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5753EE" w14:textId="293E20AB" w:rsidR="00251A49" w:rsidRPr="00951AB1" w:rsidRDefault="009E45E5" w:rsidP="000A5389">
      <w:pPr>
        <w:spacing w:line="240" w:lineRule="auto"/>
        <w:ind w:left="708" w:hanging="708"/>
        <w:rPr>
          <w:rFonts w:cs="Times New Roman"/>
          <w:b/>
          <w:szCs w:val="24"/>
        </w:rPr>
      </w:pPr>
      <w:r w:rsidRPr="00951AB1">
        <w:rPr>
          <w:rFonts w:cs="Times New Roman"/>
          <w:noProof/>
          <w:szCs w:val="24"/>
          <w:lang w:eastAsia="es-CO"/>
        </w:rPr>
        <mc:AlternateContent>
          <mc:Choice Requires="wps">
            <w:drawing>
              <wp:anchor distT="0" distB="0" distL="114300" distR="114300" simplePos="0" relativeHeight="251658240" behindDoc="0" locked="0" layoutInCell="1" allowOverlap="1" wp14:anchorId="1BF384E4" wp14:editId="3DD0A5BF">
                <wp:simplePos x="0" y="0"/>
                <wp:positionH relativeFrom="margin">
                  <wp:posOffset>662940</wp:posOffset>
                </wp:positionH>
                <wp:positionV relativeFrom="margin">
                  <wp:posOffset>1020763</wp:posOffset>
                </wp:positionV>
                <wp:extent cx="4162425" cy="2857500"/>
                <wp:effectExtent l="0" t="0" r="9525" b="0"/>
                <wp:wrapSquare wrapText="bothSides"/>
                <wp:docPr id="118" name="Cuadro de texto 1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62425" cy="2857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73B04AA4" w14:textId="77777777" w:rsidR="0088073E" w:rsidRPr="00C3645E" w:rsidRDefault="0088073E" w:rsidP="005A79E8">
                            <w:pPr>
                              <w:pStyle w:val="Sinespaciado"/>
                              <w:ind w:left="1416" w:hanging="1416"/>
                              <w:jc w:val="center"/>
                              <w:rPr>
                                <w:color w:val="2F5496"/>
                                <w:sz w:val="28"/>
                                <w:szCs w:val="28"/>
                                <w:lang w:val="es-ES"/>
                              </w:rPr>
                            </w:pPr>
                          </w:p>
                          <w:p w14:paraId="4D2C7DCC" w14:textId="77777777" w:rsidR="0088073E" w:rsidRPr="00C3645E" w:rsidRDefault="0088073E" w:rsidP="0088073E">
                            <w:pPr>
                              <w:pStyle w:val="Sinespaciado"/>
                              <w:jc w:val="center"/>
                              <w:rPr>
                                <w:rFonts w:ascii="Times New Roman" w:hAnsi="Times New Roman"/>
                                <w:color w:val="2F5496"/>
                                <w:sz w:val="52"/>
                                <w:szCs w:val="52"/>
                                <w:lang w:val="es-ES"/>
                              </w:rPr>
                            </w:pPr>
                            <w:r w:rsidRPr="00C3645E">
                              <w:rPr>
                                <w:rFonts w:ascii="Times New Roman" w:hAnsi="Times New Roman"/>
                                <w:color w:val="2F5496"/>
                                <w:sz w:val="52"/>
                                <w:szCs w:val="52"/>
                                <w:lang w:val="es-ES"/>
                              </w:rPr>
                              <w:t>Notas a los Estados Financieros</w:t>
                            </w:r>
                          </w:p>
                          <w:p w14:paraId="3EE2DDA4" w14:textId="77777777" w:rsidR="0088073E" w:rsidRPr="00C3645E" w:rsidRDefault="0088073E" w:rsidP="0088073E">
                            <w:pPr>
                              <w:pStyle w:val="Sinespaciado"/>
                              <w:jc w:val="center"/>
                              <w:rPr>
                                <w:rFonts w:ascii="Times New Roman" w:hAnsi="Times New Roman"/>
                                <w:color w:val="2F5496"/>
                                <w:sz w:val="52"/>
                                <w:szCs w:val="52"/>
                                <w:lang w:val="es-ES"/>
                              </w:rPr>
                            </w:pPr>
                            <w:r w:rsidRPr="00C3645E">
                              <w:rPr>
                                <w:rFonts w:ascii="Times New Roman" w:hAnsi="Times New Roman"/>
                                <w:color w:val="2F5496"/>
                                <w:sz w:val="52"/>
                                <w:szCs w:val="52"/>
                                <w:lang w:val="es-ES"/>
                              </w:rPr>
                              <w:t>31 de diciembre 2025</w:t>
                            </w:r>
                          </w:p>
                          <w:p w14:paraId="205DB0F3" w14:textId="77777777" w:rsidR="0088073E" w:rsidRPr="00C3645E" w:rsidRDefault="0088073E" w:rsidP="0088073E">
                            <w:pPr>
                              <w:pStyle w:val="Sinespaciado"/>
                              <w:jc w:val="center"/>
                              <w:rPr>
                                <w:rFonts w:ascii="Times New Roman" w:hAnsi="Times New Roman"/>
                                <w:color w:val="2F5496"/>
                                <w:sz w:val="40"/>
                                <w:szCs w:val="40"/>
                                <w:lang w:val="es-ES"/>
                              </w:rPr>
                            </w:pPr>
                          </w:p>
                          <w:p w14:paraId="455A21FC" w14:textId="77777777" w:rsidR="0088073E" w:rsidRPr="00C3645E" w:rsidRDefault="0088073E" w:rsidP="0088073E">
                            <w:pPr>
                              <w:pStyle w:val="Sinespaciado"/>
                              <w:jc w:val="center"/>
                              <w:rPr>
                                <w:smallCaps/>
                                <w:color w:val="151D6D"/>
                                <w:sz w:val="28"/>
                                <w:szCs w:val="28"/>
                              </w:rPr>
                            </w:pPr>
                          </w:p>
                        </w:txbxContent>
                      </wps:txbx>
                      <wps:bodyPr rot="0" vert="horz" wrap="square" lIns="0" tIns="0" rIns="0" bIns="0" anchor="b" anchorCtr="0" upright="1">
                        <a:noAutofit/>
                      </wps:bodyPr>
                    </wps:wsp>
                  </a:graphicData>
                </a:graphic>
                <wp14:sizeRelH relativeFrom="page">
                  <wp14:pctWidth>0</wp14:pctWidth>
                </wp14:sizeRelH>
                <wp14:sizeRelV relativeFrom="page">
                  <wp14:pctHeight>0</wp14:pctHeight>
                </wp14:sizeRelV>
              </wp:anchor>
            </w:drawing>
          </mc:Choice>
          <mc:Fallback>
            <w:pict>
              <v:shapetype w14:anchorId="1BF384E4" id="_x0000_t202" coordsize="21600,21600" o:spt="202" path="m,l,21600r21600,l21600,xe">
                <v:stroke joinstyle="miter"/>
                <v:path gradientshapeok="t" o:connecttype="rect"/>
              </v:shapetype>
              <v:shape id="Cuadro de texto 118" o:spid="_x0000_s1026" type="#_x0000_t202" style="position:absolute;left:0;text-align:left;margin-left:52.2pt;margin-top:80.4pt;width:327.75pt;height:225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" filled="f" stroked="f" strokeweight=".5pt">
                <v:textbox inset="0,0,0,0">
                  <w:txbxContent>
                    <w:p w14:paraId="73B04AA4" w14:textId="77777777" w:rsidR="0088073E" w:rsidRPr="00C3645E" w:rsidRDefault="0088073E" w:rsidP="005A79E8">
                      <w:pPr>
                        <w:pStyle w:val="Sinespaciado"/>
                        <w:ind w:left="1416" w:hanging="1416"/>
                        <w:jc w:val="center"/>
                        <w:rPr>
                          <w:color w:val="2F5496"/>
                          <w:sz w:val="28"/>
                          <w:szCs w:val="28"/>
                          <w:lang w:val="es-ES"/>
                        </w:rPr>
                      </w:pPr>
                    </w:p>
                    <w:p w14:paraId="4D2C7DCC" w14:textId="77777777" w:rsidR="0088073E" w:rsidRPr="00C3645E" w:rsidRDefault="0088073E" w:rsidP="0088073E">
                      <w:pPr>
                        <w:pStyle w:val="Sinespaciado"/>
                        <w:jc w:val="center"/>
                        <w:rPr>
                          <w:rFonts w:ascii="Times New Roman" w:hAnsi="Times New Roman"/>
                          <w:color w:val="2F5496"/>
                          <w:sz w:val="52"/>
                          <w:szCs w:val="52"/>
                          <w:lang w:val="es-ES"/>
                        </w:rPr>
                      </w:pPr>
                      <w:r w:rsidRPr="00C3645E">
                        <w:rPr>
                          <w:rFonts w:ascii="Times New Roman" w:hAnsi="Times New Roman"/>
                          <w:color w:val="2F5496"/>
                          <w:sz w:val="52"/>
                          <w:szCs w:val="52"/>
                          <w:lang w:val="es-ES"/>
                        </w:rPr>
                        <w:t>Notas a los Estados Financieros</w:t>
                      </w:r>
                    </w:p>
                    <w:p w14:paraId="3EE2DDA4" w14:textId="77777777" w:rsidR="0088073E" w:rsidRPr="00C3645E" w:rsidRDefault="0088073E" w:rsidP="0088073E">
                      <w:pPr>
                        <w:pStyle w:val="Sinespaciado"/>
                        <w:jc w:val="center"/>
                        <w:rPr>
                          <w:rFonts w:ascii="Times New Roman" w:hAnsi="Times New Roman"/>
                          <w:color w:val="2F5496"/>
                          <w:sz w:val="52"/>
                          <w:szCs w:val="52"/>
                          <w:lang w:val="es-ES"/>
                        </w:rPr>
                      </w:pPr>
                      <w:r w:rsidRPr="00C3645E">
                        <w:rPr>
                          <w:rFonts w:ascii="Times New Roman" w:hAnsi="Times New Roman"/>
                          <w:color w:val="2F5496"/>
                          <w:sz w:val="52"/>
                          <w:szCs w:val="52"/>
                          <w:lang w:val="es-ES"/>
                        </w:rPr>
                        <w:t>31 de diciembre 2025</w:t>
                      </w:r>
                    </w:p>
                    <w:p w14:paraId="205DB0F3" w14:textId="77777777" w:rsidR="0088073E" w:rsidRPr="00C3645E" w:rsidRDefault="0088073E" w:rsidP="0088073E">
                      <w:pPr>
                        <w:pStyle w:val="Sinespaciado"/>
                        <w:jc w:val="center"/>
                        <w:rPr>
                          <w:rFonts w:ascii="Times New Roman" w:hAnsi="Times New Roman"/>
                          <w:color w:val="2F5496"/>
                          <w:sz w:val="40"/>
                          <w:szCs w:val="40"/>
                          <w:lang w:val="es-ES"/>
                        </w:rPr>
                      </w:pPr>
                    </w:p>
                    <w:p w14:paraId="455A21FC" w14:textId="77777777" w:rsidR="0088073E" w:rsidRPr="00C3645E" w:rsidRDefault="0088073E" w:rsidP="0088073E">
                      <w:pPr>
                        <w:pStyle w:val="Sinespaciado"/>
                        <w:jc w:val="center"/>
                        <w:rPr>
                          <w:smallCaps/>
                          <w:color w:val="151D6D"/>
                          <w:sz w:val="28"/>
                          <w:szCs w:val="28"/>
                        </w:rPr>
                      </w:pPr>
                    </w:p>
                  </w:txbxContent>
                </v:textbox>
                <w10:wrap type="square" anchorx="margin" anchory="margin"/>
              </v:shape>
            </w:pict>
          </mc:Fallback>
        </mc:AlternateContent>
      </w:r>
      <w:r w:rsidRPr="00951AB1">
        <w:rPr>
          <w:rFonts w:cs="Times New Roman"/>
          <w:noProof/>
          <w:szCs w:val="24"/>
          <w:lang w:eastAsia="es-CO"/>
        </w:rPr>
        <mc:AlternateContent>
          <mc:Choice Requires="wps">
            <w:drawing>
              <wp:anchor distT="0" distB="0" distL="114300" distR="114300" simplePos="0" relativeHeight="251658241" behindDoc="0" locked="0" layoutInCell="1" allowOverlap="1" wp14:anchorId="6D07E359" wp14:editId="5FBE0EFA">
                <wp:simplePos x="0" y="0"/>
                <wp:positionH relativeFrom="margin">
                  <wp:align>center</wp:align>
                </wp:positionH>
                <wp:positionV relativeFrom="margin">
                  <wp:posOffset>5553075</wp:posOffset>
                </wp:positionV>
                <wp:extent cx="2030730" cy="1216660"/>
                <wp:effectExtent l="0" t="0" r="7620" b="2540"/>
                <wp:wrapSquare wrapText="bothSides"/>
                <wp:docPr id="122" name="Cuadro de texto 1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30730" cy="12166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2D77FC8B" w14:textId="77777777" w:rsidR="009E45E5" w:rsidRDefault="009E45E5" w:rsidP="009E45E5">
                            <w:pPr>
                              <w:pStyle w:val="Sinespaciado"/>
                              <w:jc w:val="center"/>
                              <w:rPr>
                                <w:color w:val="2F5496"/>
                                <w:sz w:val="36"/>
                                <w:szCs w:val="36"/>
                                <w:lang w:val="es-ES"/>
                              </w:rPr>
                            </w:pPr>
                          </w:p>
                          <w:p w14:paraId="6F201F82" w14:textId="77777777" w:rsidR="009E45E5" w:rsidRPr="00EE399E" w:rsidRDefault="009E45E5" w:rsidP="009E45E5">
                            <w:pPr>
                              <w:pStyle w:val="Sinespaciado"/>
                              <w:jc w:val="center"/>
                              <w:rPr>
                                <w:rFonts w:ascii="Times New Roman" w:hAnsi="Times New Roman"/>
                                <w:color w:val="2F5496"/>
                                <w:sz w:val="36"/>
                                <w:szCs w:val="36"/>
                                <w:lang w:val="es-ES"/>
                              </w:rPr>
                            </w:pPr>
                            <w:r w:rsidRPr="00EE399E">
                              <w:rPr>
                                <w:rFonts w:ascii="Times New Roman" w:hAnsi="Times New Roman"/>
                                <w:color w:val="2F5496"/>
                                <w:sz w:val="36"/>
                                <w:szCs w:val="36"/>
                                <w:lang w:val="es-ES"/>
                              </w:rPr>
                              <w:t>Bogotá – Colombia</w:t>
                            </w:r>
                          </w:p>
                          <w:p w14:paraId="3E65B537" w14:textId="77777777" w:rsidR="009E45E5" w:rsidRPr="00EE399E" w:rsidRDefault="009E45E5" w:rsidP="009E45E5">
                            <w:pPr>
                              <w:pStyle w:val="Sinespaciado"/>
                              <w:jc w:val="center"/>
                              <w:rPr>
                                <w:rFonts w:ascii="Times New Roman" w:hAnsi="Times New Roman"/>
                                <w:color w:val="2F5496"/>
                                <w:sz w:val="36"/>
                                <w:szCs w:val="36"/>
                                <w:lang w:val="es-ES"/>
                              </w:rPr>
                            </w:pPr>
                            <w:r>
                              <w:rPr>
                                <w:rFonts w:ascii="Times New Roman" w:hAnsi="Times New Roman"/>
                                <w:color w:val="2F5496"/>
                                <w:sz w:val="36"/>
                                <w:szCs w:val="36"/>
                                <w:lang w:val="es-ES"/>
                              </w:rPr>
                              <w:t>Febrero</w:t>
                            </w:r>
                            <w:r w:rsidRPr="00EE399E">
                              <w:rPr>
                                <w:rFonts w:ascii="Times New Roman" w:hAnsi="Times New Roman"/>
                                <w:color w:val="2F5496"/>
                                <w:sz w:val="36"/>
                                <w:szCs w:val="36"/>
                                <w:lang w:val="es-ES"/>
                              </w:rPr>
                              <w:t xml:space="preserve"> de </w:t>
                            </w:r>
                            <w:r w:rsidRPr="00740F6C">
                              <w:rPr>
                                <w:rFonts w:ascii="Times New Roman" w:hAnsi="Times New Roman"/>
                                <w:color w:val="2F5496"/>
                                <w:sz w:val="36"/>
                                <w:szCs w:val="36"/>
                                <w:lang w:val="es-ES"/>
                              </w:rPr>
                              <w:t>202</w:t>
                            </w:r>
                            <w:r>
                              <w:rPr>
                                <w:rFonts w:ascii="Times New Roman" w:hAnsi="Times New Roman"/>
                                <w:color w:val="2F5496"/>
                                <w:sz w:val="36"/>
                                <w:szCs w:val="36"/>
                                <w:lang w:val="es-ES"/>
                              </w:rPr>
                              <w:t>6</w:t>
                            </w:r>
                          </w:p>
                          <w:p w14:paraId="5EE5C38A" w14:textId="77777777" w:rsidR="009E45E5" w:rsidRPr="00C263DD" w:rsidRDefault="009E45E5" w:rsidP="009E45E5">
                            <w:pPr>
                              <w:pStyle w:val="Sinespaciado"/>
                              <w:jc w:val="center"/>
                              <w:rPr>
                                <w:rFonts w:ascii="Times New Roman" w:hAnsi="Times New Roman"/>
                                <w:color w:val="2F5496"/>
                                <w:sz w:val="48"/>
                                <w:szCs w:val="48"/>
                                <w:lang w:val="es-ES"/>
                              </w:rPr>
                            </w:pPr>
                          </w:p>
                          <w:p w14:paraId="2F8B66B1" w14:textId="77777777" w:rsidR="009E45E5" w:rsidRPr="002D2B9C" w:rsidRDefault="009E45E5" w:rsidP="009E45E5">
                            <w:pPr>
                              <w:pStyle w:val="Sinespaciado"/>
                              <w:jc w:val="center"/>
                              <w:rPr>
                                <w:smallCaps/>
                                <w:color w:val="151D6D"/>
                                <w:sz w:val="36"/>
                                <w:szCs w:val="36"/>
                              </w:rPr>
                            </w:pPr>
                          </w:p>
                        </w:txbxContent>
                      </wps:txbx>
                      <wps:bodyPr rot="0" vert="horz" wrap="square" lIns="0" tIns="0" rIns="0" bIns="0" anchor="b" anchorCtr="0" upright="1">
                        <a:noAutofit/>
                      </wps:bodyPr>
                    </wps:wsp>
                  </a:graphicData>
                </a:graphic>
                <wp14:sizeRelH relativeFrom="page">
                  <wp14:pctWidth>0</wp14:pctWidth>
                </wp14:sizeRelH>
                <wp14:sizeRelV relativeFrom="page">
                  <wp14:pctHeight>0</wp14:pctHeight>
                </wp14:sizeRelV>
              </wp:anchor>
            </w:drawing>
          </mc:Choice>
          <mc:Fallback>
            <w:pict>
              <v:shape w14:anchorId="6D07E359" id="Cuadro de texto 122" o:spid="_x0000_s1027" type="#_x0000_t202" style="position:absolute;left:0;text-align:left;margin-left:0;margin-top:437.25pt;width:159.9pt;height:95.8pt;z-index:251658241;visibility:visible;mso-wrap-style:square;mso-width-percent:0;mso-height-percent:0;mso-wrap-distance-left:9pt;mso-wrap-distance-top:0;mso-wrap-distance-right:9pt;mso-wrap-distance-bottom:0;mso-position-horizontal:center;mso-position-horizontal-relative:margin;mso-position-vertical:absolute;mso-position-vertical-relative:margin;mso-width-percent:0;mso-height-percent:0;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" filled="f" stroked="f" strokeweight=".5pt">
                <v:textbox inset="0,0,0,0">
                  <w:txbxContent>
                    <w:p w14:paraId="2D77FC8B" w14:textId="77777777" w:rsidR="009E45E5" w:rsidRDefault="009E45E5" w:rsidP="009E45E5">
                      <w:pPr>
                        <w:pStyle w:val="Sinespaciado"/>
                        <w:jc w:val="center"/>
                        <w:rPr>
                          <w:color w:val="2F5496"/>
                          <w:sz w:val="36"/>
                          <w:szCs w:val="36"/>
                          <w:lang w:val="es-ES"/>
                        </w:rPr>
                      </w:pPr>
                    </w:p>
                    <w:p w14:paraId="6F201F82" w14:textId="77777777" w:rsidR="009E45E5" w:rsidRPr="00EE399E" w:rsidRDefault="009E45E5" w:rsidP="009E45E5">
                      <w:pPr>
                        <w:pStyle w:val="Sinespaciado"/>
                        <w:jc w:val="center"/>
                        <w:rPr>
                          <w:rFonts w:ascii="Times New Roman" w:hAnsi="Times New Roman"/>
                          <w:color w:val="2F5496"/>
                          <w:sz w:val="36"/>
                          <w:szCs w:val="36"/>
                          <w:lang w:val="es-ES"/>
                        </w:rPr>
                      </w:pPr>
                      <w:r w:rsidRPr="00EE399E">
                        <w:rPr>
                          <w:rFonts w:ascii="Times New Roman" w:hAnsi="Times New Roman"/>
                          <w:color w:val="2F5496"/>
                          <w:sz w:val="36"/>
                          <w:szCs w:val="36"/>
                          <w:lang w:val="es-ES"/>
                        </w:rPr>
                        <w:t>Bogotá – Colombia</w:t>
                      </w:r>
                    </w:p>
                    <w:p w14:paraId="3E65B537" w14:textId="77777777" w:rsidR="009E45E5" w:rsidRPr="00EE399E" w:rsidRDefault="009E45E5" w:rsidP="009E45E5">
                      <w:pPr>
                        <w:pStyle w:val="Sinespaciado"/>
                        <w:jc w:val="center"/>
                        <w:rPr>
                          <w:rFonts w:ascii="Times New Roman" w:hAnsi="Times New Roman"/>
                          <w:color w:val="2F5496"/>
                          <w:sz w:val="36"/>
                          <w:szCs w:val="36"/>
                          <w:lang w:val="es-ES"/>
                        </w:rPr>
                      </w:pPr>
                      <w:r>
                        <w:rPr>
                          <w:rFonts w:ascii="Times New Roman" w:hAnsi="Times New Roman"/>
                          <w:color w:val="2F5496"/>
                          <w:sz w:val="36"/>
                          <w:szCs w:val="36"/>
                          <w:lang w:val="es-ES"/>
                        </w:rPr>
                        <w:t>Febrero</w:t>
                      </w:r>
                      <w:r w:rsidRPr="00EE399E">
                        <w:rPr>
                          <w:rFonts w:ascii="Times New Roman" w:hAnsi="Times New Roman"/>
                          <w:color w:val="2F5496"/>
                          <w:sz w:val="36"/>
                          <w:szCs w:val="36"/>
                          <w:lang w:val="es-ES"/>
                        </w:rPr>
                        <w:t xml:space="preserve"> de </w:t>
                      </w:r>
                      <w:r w:rsidRPr="00740F6C">
                        <w:rPr>
                          <w:rFonts w:ascii="Times New Roman" w:hAnsi="Times New Roman"/>
                          <w:color w:val="2F5496"/>
                          <w:sz w:val="36"/>
                          <w:szCs w:val="36"/>
                          <w:lang w:val="es-ES"/>
                        </w:rPr>
                        <w:t>202</w:t>
                      </w:r>
                      <w:r>
                        <w:rPr>
                          <w:rFonts w:ascii="Times New Roman" w:hAnsi="Times New Roman"/>
                          <w:color w:val="2F5496"/>
                          <w:sz w:val="36"/>
                          <w:szCs w:val="36"/>
                          <w:lang w:val="es-ES"/>
                        </w:rPr>
                        <w:t>6</w:t>
                      </w:r>
                    </w:p>
                    <w:p w14:paraId="5EE5C38A" w14:textId="77777777" w:rsidR="009E45E5" w:rsidRPr="00C263DD" w:rsidRDefault="009E45E5" w:rsidP="009E45E5">
                      <w:pPr>
                        <w:pStyle w:val="Sinespaciado"/>
                        <w:jc w:val="center"/>
                        <w:rPr>
                          <w:rFonts w:ascii="Times New Roman" w:hAnsi="Times New Roman"/>
                          <w:color w:val="2F5496"/>
                          <w:sz w:val="48"/>
                          <w:szCs w:val="48"/>
                          <w:lang w:val="es-ES"/>
                        </w:rPr>
                      </w:pPr>
                    </w:p>
                    <w:p w14:paraId="2F8B66B1" w14:textId="77777777" w:rsidR="009E45E5" w:rsidRPr="002D2B9C" w:rsidRDefault="009E45E5" w:rsidP="009E45E5">
                      <w:pPr>
                        <w:pStyle w:val="Sinespaciado"/>
                        <w:jc w:val="center"/>
                        <w:rPr>
                          <w:smallCaps/>
                          <w:color w:val="151D6D"/>
                          <w:sz w:val="36"/>
                          <w:szCs w:val="36"/>
                        </w:rPr>
                      </w:pPr>
                    </w:p>
                  </w:txbxContent>
                </v:textbox>
                <w10:wrap type="square" anchorx="margin" anchory="margin"/>
              </v:shape>
            </w:pict>
          </mc:Fallback>
        </mc:AlternateContent>
      </w:r>
    </w:p>
    <w:p w14:paraId="70EE2631" w14:textId="77777777" w:rsidR="00AC0E68" w:rsidRPr="00951AB1" w:rsidRDefault="00AC0E68" w:rsidP="000A5389">
      <w:pPr>
        <w:spacing w:line="240" w:lineRule="auto"/>
        <w:rPr>
          <w:rFonts w:cs="Times New Roman"/>
          <w:szCs w:val="24"/>
        </w:rPr>
      </w:pPr>
    </w:p>
    <w:p w14:paraId="4E8D7A78" w14:textId="77777777" w:rsidR="00AC0E68" w:rsidRPr="00951AB1" w:rsidRDefault="00AC0E68" w:rsidP="000A5389">
      <w:pPr>
        <w:spacing w:line="240" w:lineRule="auto"/>
        <w:rPr>
          <w:rFonts w:cs="Times New Roman"/>
          <w:szCs w:val="24"/>
        </w:rPr>
      </w:pPr>
    </w:p>
    <w:p w14:paraId="31FB3DA2" w14:textId="77777777" w:rsidR="00AC0E68" w:rsidRPr="00951AB1" w:rsidRDefault="00AC0E68" w:rsidP="000A5389">
      <w:pPr>
        <w:spacing w:line="240" w:lineRule="auto"/>
        <w:rPr>
          <w:rFonts w:cs="Times New Roman"/>
          <w:szCs w:val="24"/>
        </w:rPr>
      </w:pPr>
    </w:p>
    <w:p w14:paraId="33828D15" w14:textId="77777777" w:rsidR="00AC0E68" w:rsidRPr="00951AB1" w:rsidRDefault="00AC0E68" w:rsidP="000A5389">
      <w:pPr>
        <w:spacing w:line="240" w:lineRule="auto"/>
        <w:rPr>
          <w:rFonts w:cs="Times New Roman"/>
          <w:szCs w:val="24"/>
        </w:rPr>
      </w:pPr>
    </w:p>
    <w:p w14:paraId="561768A1" w14:textId="77777777" w:rsidR="00AC0E68" w:rsidRPr="00951AB1" w:rsidRDefault="00AC0E68" w:rsidP="000A5389">
      <w:pPr>
        <w:spacing w:line="240" w:lineRule="auto"/>
        <w:rPr>
          <w:rFonts w:cs="Times New Roman"/>
          <w:szCs w:val="24"/>
        </w:rPr>
      </w:pPr>
    </w:p>
    <w:p w14:paraId="6B8AF0AB" w14:textId="77777777" w:rsidR="00AC0E68" w:rsidRPr="00951AB1" w:rsidRDefault="00AC0E68" w:rsidP="000A5389">
      <w:pPr>
        <w:spacing w:line="240" w:lineRule="auto"/>
        <w:rPr>
          <w:rFonts w:cs="Times New Roman"/>
          <w:szCs w:val="24"/>
        </w:rPr>
      </w:pPr>
    </w:p>
    <w:p w14:paraId="4744909B" w14:textId="77777777" w:rsidR="00AC0E68" w:rsidRPr="00951AB1" w:rsidRDefault="00AC0E68" w:rsidP="000A5389">
      <w:pPr>
        <w:spacing w:line="240" w:lineRule="auto"/>
        <w:rPr>
          <w:rFonts w:cs="Times New Roman"/>
          <w:szCs w:val="24"/>
        </w:rPr>
      </w:pPr>
    </w:p>
    <w:p w14:paraId="55D7B123" w14:textId="77777777" w:rsidR="00AC0E68" w:rsidRPr="00951AB1" w:rsidRDefault="00AC0E68" w:rsidP="000A5389">
      <w:pPr>
        <w:spacing w:line="240" w:lineRule="auto"/>
        <w:rPr>
          <w:rFonts w:cs="Times New Roman"/>
          <w:szCs w:val="24"/>
        </w:rPr>
      </w:pPr>
    </w:p>
    <w:p w14:paraId="57763A47" w14:textId="77777777" w:rsidR="00AC0E68" w:rsidRPr="00951AB1" w:rsidRDefault="00AC0E68" w:rsidP="000A5389">
      <w:pPr>
        <w:spacing w:line="240" w:lineRule="auto"/>
        <w:rPr>
          <w:rFonts w:cs="Times New Roman"/>
          <w:szCs w:val="24"/>
        </w:rPr>
      </w:pPr>
    </w:p>
    <w:p w14:paraId="2AA7629A" w14:textId="77777777" w:rsidR="00AC0E68" w:rsidRPr="00951AB1" w:rsidRDefault="00AC0E68" w:rsidP="000A5389">
      <w:pPr>
        <w:spacing w:line="240" w:lineRule="auto"/>
        <w:rPr>
          <w:rFonts w:cs="Times New Roman"/>
          <w:szCs w:val="24"/>
        </w:rPr>
      </w:pPr>
    </w:p>
    <w:p w14:paraId="78BF179F" w14:textId="77777777" w:rsidR="00AC0E68" w:rsidRPr="00951AB1" w:rsidRDefault="00AC0E68" w:rsidP="000A5389">
      <w:pPr>
        <w:spacing w:line="240" w:lineRule="auto"/>
        <w:rPr>
          <w:rFonts w:cs="Times New Roman"/>
          <w:szCs w:val="24"/>
        </w:rPr>
      </w:pPr>
    </w:p>
    <w:p w14:paraId="7B07FE8B" w14:textId="77777777" w:rsidR="00AC0E68" w:rsidRPr="00951AB1" w:rsidRDefault="00AC0E68" w:rsidP="000A5389">
      <w:pPr>
        <w:spacing w:line="240" w:lineRule="auto"/>
        <w:rPr>
          <w:rFonts w:cs="Times New Roman"/>
          <w:szCs w:val="24"/>
        </w:rPr>
      </w:pPr>
    </w:p>
    <w:p w14:paraId="7A6BDCBD" w14:textId="77777777" w:rsidR="00AC0E68" w:rsidRPr="00951AB1" w:rsidRDefault="00AC0E68" w:rsidP="000A5389">
      <w:pPr>
        <w:spacing w:line="240" w:lineRule="auto"/>
        <w:rPr>
          <w:rFonts w:cs="Times New Roman"/>
          <w:szCs w:val="24"/>
        </w:rPr>
      </w:pPr>
    </w:p>
    <w:p w14:paraId="7E7B8169" w14:textId="77777777" w:rsidR="00AC0E68" w:rsidRPr="00951AB1" w:rsidRDefault="00AC0E68" w:rsidP="000A5389">
      <w:pPr>
        <w:spacing w:line="240" w:lineRule="auto"/>
        <w:rPr>
          <w:rFonts w:cs="Times New Roman"/>
          <w:szCs w:val="24"/>
        </w:rPr>
      </w:pPr>
    </w:p>
    <w:p w14:paraId="727CF61C" w14:textId="77777777" w:rsidR="00AC0E68" w:rsidRPr="00951AB1" w:rsidRDefault="00AC0E68" w:rsidP="000A5389">
      <w:pPr>
        <w:spacing w:line="240" w:lineRule="auto"/>
        <w:rPr>
          <w:rFonts w:cs="Times New Roman"/>
          <w:szCs w:val="24"/>
        </w:rPr>
      </w:pPr>
    </w:p>
    <w:p w14:paraId="2DFD1F23" w14:textId="77777777" w:rsidR="00AC0E68" w:rsidRPr="00951AB1" w:rsidRDefault="00AC0E68" w:rsidP="000A5389">
      <w:pPr>
        <w:spacing w:line="240" w:lineRule="auto"/>
        <w:rPr>
          <w:rFonts w:cs="Times New Roman"/>
          <w:szCs w:val="24"/>
        </w:rPr>
      </w:pPr>
    </w:p>
    <w:p w14:paraId="3B5B59FA" w14:textId="77777777" w:rsidR="00AC0E68" w:rsidRPr="00951AB1" w:rsidRDefault="00AC0E68" w:rsidP="000A5389">
      <w:pPr>
        <w:spacing w:line="240" w:lineRule="auto"/>
        <w:rPr>
          <w:rFonts w:cs="Times New Roman"/>
          <w:szCs w:val="24"/>
        </w:rPr>
      </w:pPr>
    </w:p>
    <w:p w14:paraId="65090998" w14:textId="77777777" w:rsidR="00AC0E68" w:rsidRPr="00951AB1" w:rsidRDefault="00AC0E68" w:rsidP="000A5389">
      <w:pPr>
        <w:spacing w:line="240" w:lineRule="auto"/>
        <w:rPr>
          <w:rFonts w:cs="Times New Roman"/>
          <w:szCs w:val="24"/>
        </w:rPr>
      </w:pPr>
    </w:p>
    <w:p w14:paraId="78D73148" w14:textId="77777777" w:rsidR="00AC0E68" w:rsidRPr="00951AB1" w:rsidRDefault="00AC0E68" w:rsidP="000A5389">
      <w:pPr>
        <w:spacing w:line="240" w:lineRule="auto"/>
        <w:rPr>
          <w:rFonts w:cs="Times New Roman"/>
          <w:szCs w:val="24"/>
        </w:rPr>
      </w:pPr>
    </w:p>
    <w:p w14:paraId="46F4F797" w14:textId="77777777" w:rsidR="00AC0E68" w:rsidRPr="00951AB1" w:rsidRDefault="00AC0E68" w:rsidP="000A5389">
      <w:pPr>
        <w:spacing w:line="240" w:lineRule="auto"/>
        <w:rPr>
          <w:rFonts w:cs="Times New Roman"/>
          <w:szCs w:val="24"/>
        </w:rPr>
      </w:pPr>
    </w:p>
    <w:p w14:paraId="13C3CBC1" w14:textId="77777777" w:rsidR="00AC0E68" w:rsidRPr="00951AB1" w:rsidRDefault="00AC0E68" w:rsidP="000A5389">
      <w:pPr>
        <w:spacing w:line="240" w:lineRule="auto"/>
        <w:rPr>
          <w:rFonts w:cs="Times New Roman"/>
          <w:szCs w:val="24"/>
        </w:rPr>
      </w:pPr>
    </w:p>
    <w:p w14:paraId="2F30449D" w14:textId="77777777" w:rsidR="00AC0E68" w:rsidRPr="00951AB1" w:rsidRDefault="00AC0E68" w:rsidP="000A5389">
      <w:pPr>
        <w:spacing w:line="240" w:lineRule="auto"/>
        <w:rPr>
          <w:rFonts w:cs="Times New Roman"/>
          <w:szCs w:val="24"/>
        </w:rPr>
      </w:pPr>
    </w:p>
    <w:p w14:paraId="458E4BC6" w14:textId="77777777" w:rsidR="00AC0E68" w:rsidRDefault="00AC0E68" w:rsidP="000A5389">
      <w:pPr>
        <w:spacing w:line="240" w:lineRule="auto"/>
        <w:rPr>
          <w:rFonts w:cs="Times New Roman"/>
          <w:szCs w:val="24"/>
        </w:rPr>
      </w:pPr>
    </w:p>
    <w:p w14:paraId="139A1879" w14:textId="77777777" w:rsidR="009A0894" w:rsidRDefault="009A0894" w:rsidP="000A5389">
      <w:pPr>
        <w:spacing w:line="240" w:lineRule="auto"/>
        <w:rPr>
          <w:rFonts w:cs="Times New Roman"/>
          <w:szCs w:val="24"/>
        </w:rPr>
      </w:pPr>
    </w:p>
    <w:p w14:paraId="1913C7F4" w14:textId="77777777" w:rsidR="009A0894" w:rsidRDefault="009A0894" w:rsidP="000A5389">
      <w:pPr>
        <w:spacing w:line="240" w:lineRule="auto"/>
        <w:rPr>
          <w:rFonts w:cs="Times New Roman"/>
          <w:szCs w:val="24"/>
        </w:rPr>
      </w:pPr>
    </w:p>
    <w:p w14:paraId="1418EEAE" w14:textId="77777777" w:rsidR="009A0894" w:rsidRDefault="009A0894" w:rsidP="000A5389">
      <w:pPr>
        <w:spacing w:line="240" w:lineRule="auto"/>
        <w:rPr>
          <w:rFonts w:cs="Times New Roman"/>
          <w:szCs w:val="24"/>
        </w:rPr>
      </w:pPr>
    </w:p>
    <w:p w14:paraId="151BBC72" w14:textId="77777777" w:rsidR="00314B63" w:rsidRDefault="00314B63" w:rsidP="000A5389">
      <w:pPr>
        <w:spacing w:line="240" w:lineRule="auto"/>
        <w:rPr>
          <w:rFonts w:cs="Times New Roman"/>
          <w:szCs w:val="24"/>
        </w:rPr>
      </w:pPr>
    </w:p>
    <w:p w14:paraId="2FF5CF81" w14:textId="77777777" w:rsidR="00314B63" w:rsidRDefault="00314B63" w:rsidP="000A5389">
      <w:pPr>
        <w:spacing w:line="240" w:lineRule="auto"/>
        <w:rPr>
          <w:rFonts w:cs="Times New Roman"/>
          <w:szCs w:val="24"/>
        </w:rPr>
      </w:pPr>
    </w:p>
    <w:p w14:paraId="4C546C88" w14:textId="77777777" w:rsidR="00314B63" w:rsidRDefault="00314B63" w:rsidP="000A5389">
      <w:pPr>
        <w:spacing w:line="240" w:lineRule="auto"/>
        <w:rPr>
          <w:rFonts w:cs="Times New Roman"/>
          <w:szCs w:val="24"/>
        </w:rPr>
      </w:pPr>
    </w:p>
    <w:p w14:paraId="3C8D6AF0" w14:textId="77777777" w:rsidR="00314B63" w:rsidRDefault="00314B63" w:rsidP="000A5389">
      <w:pPr>
        <w:spacing w:line="240" w:lineRule="auto"/>
        <w:rPr>
          <w:rFonts w:cs="Times New Roman"/>
          <w:szCs w:val="24"/>
        </w:rPr>
      </w:pPr>
    </w:p>
    <w:p w14:paraId="4056E507" w14:textId="77777777" w:rsidR="00314B63" w:rsidRDefault="00314B63" w:rsidP="000A5389">
      <w:pPr>
        <w:spacing w:line="240" w:lineRule="auto"/>
        <w:rPr>
          <w:rFonts w:cs="Times New Roman"/>
          <w:szCs w:val="24"/>
        </w:rPr>
      </w:pPr>
    </w:p>
    <w:p w14:paraId="07F840DC" w14:textId="77777777" w:rsidR="00314B63" w:rsidRDefault="00314B63" w:rsidP="000A5389">
      <w:pPr>
        <w:spacing w:line="240" w:lineRule="auto"/>
        <w:rPr>
          <w:rFonts w:cs="Times New Roman"/>
          <w:szCs w:val="24"/>
        </w:rPr>
      </w:pPr>
    </w:p>
    <w:p w14:paraId="0C7BAB81" w14:textId="77777777" w:rsidR="00314B63" w:rsidRDefault="00314B63" w:rsidP="000A5389">
      <w:pPr>
        <w:spacing w:line="240" w:lineRule="auto"/>
        <w:rPr>
          <w:rFonts w:cs="Times New Roman"/>
          <w:szCs w:val="24"/>
        </w:rPr>
      </w:pPr>
    </w:p>
    <w:p w14:paraId="6741FAE5" w14:textId="77777777" w:rsidR="00314B63" w:rsidRDefault="00314B63" w:rsidP="000A5389">
      <w:pPr>
        <w:spacing w:line="240" w:lineRule="auto"/>
        <w:rPr>
          <w:rFonts w:cs="Times New Roman"/>
          <w:szCs w:val="24"/>
        </w:rPr>
      </w:pPr>
    </w:p>
    <w:p w14:paraId="4D0B49E2" w14:textId="77777777" w:rsidR="00314B63" w:rsidRDefault="00314B63" w:rsidP="000A5389">
      <w:pPr>
        <w:spacing w:line="240" w:lineRule="auto"/>
        <w:rPr>
          <w:rFonts w:cs="Times New Roman"/>
          <w:szCs w:val="24"/>
        </w:rPr>
      </w:pPr>
    </w:p>
    <w:p w14:paraId="3608E4B9" w14:textId="77777777" w:rsidR="00314B63" w:rsidRDefault="00314B63" w:rsidP="000A5389">
      <w:pPr>
        <w:spacing w:line="240" w:lineRule="auto"/>
        <w:rPr>
          <w:rFonts w:cs="Times New Roman"/>
          <w:szCs w:val="24"/>
        </w:rPr>
      </w:pPr>
    </w:p>
    <w:p w14:paraId="13E23797" w14:textId="77777777" w:rsidR="00314B63" w:rsidRDefault="00314B63" w:rsidP="000A5389">
      <w:pPr>
        <w:spacing w:line="240" w:lineRule="auto"/>
        <w:rPr>
          <w:rFonts w:cs="Times New Roman"/>
          <w:szCs w:val="24"/>
        </w:rPr>
      </w:pPr>
    </w:p>
    <w:p w14:paraId="616AD5D6" w14:textId="77777777" w:rsidR="00314B63" w:rsidRDefault="00314B63" w:rsidP="000A5389">
      <w:pPr>
        <w:spacing w:line="240" w:lineRule="auto"/>
        <w:rPr>
          <w:rFonts w:cs="Times New Roman"/>
          <w:szCs w:val="24"/>
        </w:rPr>
      </w:pPr>
    </w:p>
    <w:p w14:paraId="706114CB" w14:textId="77777777" w:rsidR="00314B63" w:rsidRDefault="00314B63" w:rsidP="000A5389">
      <w:pPr>
        <w:spacing w:line="240" w:lineRule="auto"/>
        <w:rPr>
          <w:rFonts w:cs="Times New Roman"/>
          <w:szCs w:val="24"/>
        </w:rPr>
      </w:pPr>
    </w:p>
    <w:p w14:paraId="3D912926" w14:textId="77777777" w:rsidR="00314B63" w:rsidRDefault="00314B63" w:rsidP="000A5389">
      <w:pPr>
        <w:spacing w:line="240" w:lineRule="auto"/>
        <w:rPr>
          <w:rFonts w:cs="Times New Roman"/>
          <w:szCs w:val="24"/>
        </w:rPr>
      </w:pPr>
    </w:p>
    <w:p w14:paraId="7B379A1D" w14:textId="77777777" w:rsidR="009A0894" w:rsidRDefault="009A0894" w:rsidP="000A5389">
      <w:pPr>
        <w:spacing w:line="240" w:lineRule="auto"/>
        <w:rPr>
          <w:rFonts w:cs="Times New Roman"/>
          <w:szCs w:val="24"/>
        </w:rPr>
      </w:pPr>
    </w:p>
    <w:p w14:paraId="35616083" w14:textId="77777777" w:rsidR="009A0894" w:rsidRDefault="009A0894" w:rsidP="000A5389">
      <w:pPr>
        <w:spacing w:line="240" w:lineRule="auto"/>
        <w:rPr>
          <w:rFonts w:cs="Times New Roman"/>
          <w:szCs w:val="24"/>
        </w:rPr>
      </w:pPr>
    </w:p>
    <w:sdt>
      <w:sdtPr>
        <w:rPr>
          <w:rFonts w:ascii="Times New Roman" w:eastAsiaTheme="minorEastAsia" w:hAnsi="Times New Roman" w:cs="Times New Roman"/>
          <w:color w:val="002060"/>
          <w:spacing w:val="0"/>
          <w:kern w:val="2"/>
          <w:sz w:val="24"/>
          <w:szCs w:val="24"/>
          <w:lang w:val="es-ES" w:eastAsia="en-US"/>
          <w14:ligatures w14:val="standardContextual"/>
        </w:rPr>
        <w:id w:val="2100979993"/>
        <w:docPartObj>
          <w:docPartGallery w:val="Table of Contents"/>
          <w:docPartUnique/>
        </w:docPartObj>
      </w:sdtPr>
      <w:sdtEndPr>
        <w:rPr>
          <w:b/>
          <w:bCs/>
          <w:color w:val="auto"/>
          <w:szCs w:val="22"/>
        </w:rPr>
      </w:sdtEndPr>
      <w:sdtContent>
        <w:p w14:paraId="6DA76D67" w14:textId="1D15CE5B" w:rsidR="00F9103F" w:rsidRPr="00C97A86" w:rsidRDefault="00BB43CF" w:rsidP="000A5389">
          <w:pPr>
            <w:pStyle w:val="TtuloTDC"/>
            <w:spacing w:line="240" w:lineRule="auto"/>
            <w:rPr>
              <w:rFonts w:ascii="Times New Roman" w:hAnsi="Times New Roman" w:cs="Times New Roman"/>
              <w:color w:val="1F3864" w:themeColor="accent1" w:themeShade="80"/>
              <w:sz w:val="24"/>
              <w:szCs w:val="24"/>
            </w:rPr>
          </w:pPr>
          <w:r w:rsidRPr="00C97A86">
            <w:rPr>
              <w:rFonts w:ascii="Times New Roman" w:hAnsi="Times New Roman" w:cs="Times New Roman"/>
              <w:color w:val="1F3864" w:themeColor="accent1" w:themeShade="80"/>
              <w:sz w:val="24"/>
              <w:szCs w:val="24"/>
              <w:lang w:val="es-ES"/>
            </w:rPr>
            <w:t>CONTENIDO</w:t>
          </w:r>
        </w:p>
        <w:p w14:paraId="2CB6FC21" w14:textId="5E381FCC" w:rsidR="001958E2" w:rsidRDefault="00F9103F">
          <w:pPr>
            <w:pStyle w:val="TDC1"/>
            <w:tabs>
              <w:tab w:val="right" w:leader="dot" w:pos="8828"/>
            </w:tabs>
            <w:rPr>
              <w:rFonts w:asciiTheme="minorHAnsi" w:eastAsiaTheme="minorEastAsia" w:hAnsiTheme="minorHAnsi" w:cstheme="minorBidi"/>
              <w:noProof/>
              <w:kern w:val="2"/>
              <w:szCs w:val="24"/>
              <w:lang w:eastAsia="es-CO"/>
              <w14:ligatures w14:val="standardContextual"/>
            </w:rPr>
          </w:pPr>
          <w:r w:rsidRPr="00C97A86">
            <w:rPr>
              <w:rFonts w:ascii="Times New Roman" w:hAnsi="Times New Roman"/>
              <w:color w:val="1F3864" w:themeColor="accent1" w:themeShade="80"/>
              <w:szCs w:val="24"/>
            </w:rPr>
            <w:fldChar w:fldCharType="begin"/>
          </w:r>
          <w:r w:rsidRPr="00C97A86">
            <w:rPr>
              <w:rFonts w:ascii="Times New Roman" w:hAnsi="Times New Roman"/>
              <w:color w:val="1F3864" w:themeColor="accent1" w:themeShade="80"/>
              <w:szCs w:val="24"/>
            </w:rPr>
            <w:instrText xml:space="preserve"> TOC \o "1-3" \h \z \u </w:instrText>
          </w:r>
          <w:r w:rsidRPr="00C97A86">
            <w:rPr>
              <w:rFonts w:ascii="Times New Roman" w:hAnsi="Times New Roman"/>
              <w:color w:val="1F3864" w:themeColor="accent1" w:themeShade="80"/>
              <w:szCs w:val="24"/>
            </w:rPr>
            <w:fldChar w:fldCharType="separate"/>
          </w:r>
          <w:hyperlink w:anchor="_Toc222955449" w:history="1">
            <w:r w:rsidR="001958E2" w:rsidRPr="00D20EF4">
              <w:rPr>
                <w:rStyle w:val="Hipervnculo"/>
                <w:noProof/>
              </w:rPr>
              <w:t>NOTA 1. AGENCIA NACIONAL DE INFRAESTRUCTURA</w:t>
            </w:r>
            <w:r w:rsidR="001958E2">
              <w:rPr>
                <w:noProof/>
                <w:webHidden/>
              </w:rPr>
              <w:tab/>
            </w:r>
            <w:r w:rsidR="001958E2">
              <w:rPr>
                <w:noProof/>
                <w:webHidden/>
              </w:rPr>
              <w:fldChar w:fldCharType="begin"/>
            </w:r>
            <w:r w:rsidR="001958E2">
              <w:rPr>
                <w:noProof/>
                <w:webHidden/>
              </w:rPr>
              <w:instrText xml:space="preserve"> PAGEREF _Toc222955449 \h </w:instrText>
            </w:r>
            <w:r w:rsidR="001958E2">
              <w:rPr>
                <w:noProof/>
                <w:webHidden/>
              </w:rPr>
            </w:r>
            <w:r w:rsidR="001958E2">
              <w:rPr>
                <w:noProof/>
                <w:webHidden/>
              </w:rPr>
              <w:fldChar w:fldCharType="separate"/>
            </w:r>
            <w:r w:rsidR="001958E2">
              <w:rPr>
                <w:noProof/>
                <w:webHidden/>
              </w:rPr>
              <w:t>5</w:t>
            </w:r>
            <w:r w:rsidR="001958E2">
              <w:rPr>
                <w:noProof/>
                <w:webHidden/>
              </w:rPr>
              <w:fldChar w:fldCharType="end"/>
            </w:r>
          </w:hyperlink>
        </w:p>
        <w:p w14:paraId="02F339C9" w14:textId="770E6376" w:rsidR="001958E2" w:rsidRDefault="001958E2">
          <w:pPr>
            <w:pStyle w:val="TDC2"/>
            <w:tabs>
              <w:tab w:val="left" w:pos="880"/>
              <w:tab w:val="right" w:leader="dot" w:pos="8828"/>
            </w:tabs>
            <w:rPr>
              <w:rFonts w:asciiTheme="minorHAnsi" w:hAnsiTheme="minorHAnsi" w:cstheme="minorBidi"/>
              <w:noProof/>
              <w:kern w:val="2"/>
              <w:szCs w:val="24"/>
              <w14:ligatures w14:val="standardContextual"/>
            </w:rPr>
          </w:pPr>
          <w:hyperlink w:anchor="_Toc222955450" w:history="1">
            <w:r w:rsidRPr="00D20EF4">
              <w:rPr>
                <w:rStyle w:val="Hipervnculo"/>
                <w:noProof/>
              </w:rPr>
              <w:t>1.1.</w:t>
            </w:r>
            <w:r>
              <w:rPr>
                <w:rFonts w:asciiTheme="minorHAnsi" w:hAnsiTheme="minorHAnsi" w:cstheme="minorBidi"/>
                <w:noProof/>
                <w:kern w:val="2"/>
                <w:szCs w:val="24"/>
                <w14:ligatures w14:val="standardContextual"/>
              </w:rPr>
              <w:tab/>
            </w:r>
            <w:r w:rsidRPr="00D20EF4">
              <w:rPr>
                <w:rStyle w:val="Hipervnculo"/>
                <w:noProof/>
              </w:rPr>
              <w:t>Identificación y funciones</w:t>
            </w:r>
            <w:r>
              <w:rPr>
                <w:noProof/>
                <w:webHidden/>
              </w:rPr>
              <w:tab/>
            </w:r>
            <w:r>
              <w:rPr>
                <w:noProof/>
                <w:webHidden/>
              </w:rPr>
              <w:fldChar w:fldCharType="begin"/>
            </w:r>
            <w:r>
              <w:rPr>
                <w:noProof/>
                <w:webHidden/>
              </w:rPr>
              <w:instrText xml:space="preserve"> PAGEREF _Toc222955450 \h </w:instrText>
            </w:r>
            <w:r>
              <w:rPr>
                <w:noProof/>
                <w:webHidden/>
              </w:rPr>
            </w:r>
            <w:r>
              <w:rPr>
                <w:noProof/>
                <w:webHidden/>
              </w:rPr>
              <w:fldChar w:fldCharType="separate"/>
            </w:r>
            <w:r>
              <w:rPr>
                <w:noProof/>
                <w:webHidden/>
              </w:rPr>
              <w:t>6</w:t>
            </w:r>
            <w:r>
              <w:rPr>
                <w:noProof/>
                <w:webHidden/>
              </w:rPr>
              <w:fldChar w:fldCharType="end"/>
            </w:r>
          </w:hyperlink>
        </w:p>
        <w:p w14:paraId="47FC858C" w14:textId="79529521" w:rsidR="001958E2" w:rsidRDefault="001958E2">
          <w:pPr>
            <w:pStyle w:val="TDC2"/>
            <w:tabs>
              <w:tab w:val="left" w:pos="880"/>
              <w:tab w:val="right" w:leader="dot" w:pos="8828"/>
            </w:tabs>
            <w:rPr>
              <w:rFonts w:asciiTheme="minorHAnsi" w:hAnsiTheme="minorHAnsi" w:cstheme="minorBidi"/>
              <w:noProof/>
              <w:kern w:val="2"/>
              <w:szCs w:val="24"/>
              <w14:ligatures w14:val="standardContextual"/>
            </w:rPr>
          </w:pPr>
          <w:hyperlink w:anchor="_Toc222955451" w:history="1">
            <w:r w:rsidRPr="00D20EF4">
              <w:rPr>
                <w:rStyle w:val="Hipervnculo"/>
                <w:noProof/>
              </w:rPr>
              <w:t>1.2.</w:t>
            </w:r>
            <w:r>
              <w:rPr>
                <w:rFonts w:asciiTheme="minorHAnsi" w:hAnsiTheme="minorHAnsi" w:cstheme="minorBidi"/>
                <w:noProof/>
                <w:kern w:val="2"/>
                <w:szCs w:val="24"/>
                <w14:ligatures w14:val="standardContextual"/>
              </w:rPr>
              <w:tab/>
            </w:r>
            <w:r w:rsidRPr="00D20EF4">
              <w:rPr>
                <w:rStyle w:val="Hipervnculo"/>
                <w:noProof/>
              </w:rPr>
              <w:t>Declaración de cumplimiento del marco normativo y limitaciones</w:t>
            </w:r>
            <w:r>
              <w:rPr>
                <w:noProof/>
                <w:webHidden/>
              </w:rPr>
              <w:tab/>
            </w:r>
            <w:r>
              <w:rPr>
                <w:noProof/>
                <w:webHidden/>
              </w:rPr>
              <w:fldChar w:fldCharType="begin"/>
            </w:r>
            <w:r>
              <w:rPr>
                <w:noProof/>
                <w:webHidden/>
              </w:rPr>
              <w:instrText xml:space="preserve"> PAGEREF _Toc222955451 \h </w:instrText>
            </w:r>
            <w:r>
              <w:rPr>
                <w:noProof/>
                <w:webHidden/>
              </w:rPr>
            </w:r>
            <w:r>
              <w:rPr>
                <w:noProof/>
                <w:webHidden/>
              </w:rPr>
              <w:fldChar w:fldCharType="separate"/>
            </w:r>
            <w:r>
              <w:rPr>
                <w:noProof/>
                <w:webHidden/>
              </w:rPr>
              <w:t>7</w:t>
            </w:r>
            <w:r>
              <w:rPr>
                <w:noProof/>
                <w:webHidden/>
              </w:rPr>
              <w:fldChar w:fldCharType="end"/>
            </w:r>
          </w:hyperlink>
        </w:p>
        <w:p w14:paraId="3D9C282D" w14:textId="7CB0EF53" w:rsidR="001958E2" w:rsidRDefault="001958E2">
          <w:pPr>
            <w:pStyle w:val="TDC2"/>
            <w:tabs>
              <w:tab w:val="right" w:leader="dot" w:pos="8828"/>
            </w:tabs>
            <w:rPr>
              <w:rFonts w:asciiTheme="minorHAnsi" w:hAnsiTheme="minorHAnsi" w:cstheme="minorBidi"/>
              <w:noProof/>
              <w:kern w:val="2"/>
              <w:szCs w:val="24"/>
              <w14:ligatures w14:val="standardContextual"/>
            </w:rPr>
          </w:pPr>
          <w:hyperlink w:anchor="_Toc222955452" w:history="1">
            <w:r w:rsidRPr="00D20EF4">
              <w:rPr>
                <w:rStyle w:val="Hipervnculo"/>
                <w:rFonts w:eastAsia="Times New Roman"/>
                <w:noProof/>
              </w:rPr>
              <w:t>1.3.   Base normativa y periodo cubierto</w:t>
            </w:r>
            <w:r>
              <w:rPr>
                <w:noProof/>
                <w:webHidden/>
              </w:rPr>
              <w:tab/>
            </w:r>
            <w:r>
              <w:rPr>
                <w:noProof/>
                <w:webHidden/>
              </w:rPr>
              <w:fldChar w:fldCharType="begin"/>
            </w:r>
            <w:r>
              <w:rPr>
                <w:noProof/>
                <w:webHidden/>
              </w:rPr>
              <w:instrText xml:space="preserve"> PAGEREF _Toc222955452 \h </w:instrText>
            </w:r>
            <w:r>
              <w:rPr>
                <w:noProof/>
                <w:webHidden/>
              </w:rPr>
            </w:r>
            <w:r>
              <w:rPr>
                <w:noProof/>
                <w:webHidden/>
              </w:rPr>
              <w:fldChar w:fldCharType="separate"/>
            </w:r>
            <w:r>
              <w:rPr>
                <w:noProof/>
                <w:webHidden/>
              </w:rPr>
              <w:t>20</w:t>
            </w:r>
            <w:r>
              <w:rPr>
                <w:noProof/>
                <w:webHidden/>
              </w:rPr>
              <w:fldChar w:fldCharType="end"/>
            </w:r>
          </w:hyperlink>
        </w:p>
        <w:p w14:paraId="2ABE0870" w14:textId="10D59D23" w:rsidR="001958E2" w:rsidRDefault="001958E2">
          <w:pPr>
            <w:pStyle w:val="TDC2"/>
            <w:tabs>
              <w:tab w:val="right" w:leader="dot" w:pos="8828"/>
            </w:tabs>
            <w:rPr>
              <w:rFonts w:asciiTheme="minorHAnsi" w:hAnsiTheme="minorHAnsi" w:cstheme="minorBidi"/>
              <w:noProof/>
              <w:kern w:val="2"/>
              <w:szCs w:val="24"/>
              <w14:ligatures w14:val="standardContextual"/>
            </w:rPr>
          </w:pPr>
          <w:hyperlink w:anchor="_Toc222955453" w:history="1">
            <w:r w:rsidRPr="00D20EF4">
              <w:rPr>
                <w:rStyle w:val="Hipervnculo"/>
                <w:rFonts w:eastAsia="Times New Roman"/>
                <w:noProof/>
              </w:rPr>
              <w:t>1.4.   Forma de Organización y/o Cobertura</w:t>
            </w:r>
            <w:r>
              <w:rPr>
                <w:noProof/>
                <w:webHidden/>
              </w:rPr>
              <w:tab/>
            </w:r>
            <w:r>
              <w:rPr>
                <w:noProof/>
                <w:webHidden/>
              </w:rPr>
              <w:fldChar w:fldCharType="begin"/>
            </w:r>
            <w:r>
              <w:rPr>
                <w:noProof/>
                <w:webHidden/>
              </w:rPr>
              <w:instrText xml:space="preserve"> PAGEREF _Toc222955453 \h </w:instrText>
            </w:r>
            <w:r>
              <w:rPr>
                <w:noProof/>
                <w:webHidden/>
              </w:rPr>
            </w:r>
            <w:r>
              <w:rPr>
                <w:noProof/>
                <w:webHidden/>
              </w:rPr>
              <w:fldChar w:fldCharType="separate"/>
            </w:r>
            <w:r>
              <w:rPr>
                <w:noProof/>
                <w:webHidden/>
              </w:rPr>
              <w:t>21</w:t>
            </w:r>
            <w:r>
              <w:rPr>
                <w:noProof/>
                <w:webHidden/>
              </w:rPr>
              <w:fldChar w:fldCharType="end"/>
            </w:r>
          </w:hyperlink>
        </w:p>
        <w:p w14:paraId="57566C1B" w14:textId="2D651319" w:rsidR="001958E2" w:rsidRDefault="001958E2">
          <w:pPr>
            <w:pStyle w:val="TDC1"/>
            <w:tabs>
              <w:tab w:val="right" w:leader="dot" w:pos="8828"/>
            </w:tabs>
            <w:rPr>
              <w:rFonts w:asciiTheme="minorHAnsi" w:eastAsiaTheme="minorEastAsia" w:hAnsiTheme="minorHAnsi" w:cstheme="minorBidi"/>
              <w:noProof/>
              <w:kern w:val="2"/>
              <w:szCs w:val="24"/>
              <w:lang w:eastAsia="es-CO"/>
              <w14:ligatures w14:val="standardContextual"/>
            </w:rPr>
          </w:pPr>
          <w:hyperlink w:anchor="_Toc222955454" w:history="1">
            <w:r w:rsidRPr="00D20EF4">
              <w:rPr>
                <w:rStyle w:val="Hipervnculo"/>
                <w:rFonts w:eastAsia="Times New Roman"/>
                <w:noProof/>
              </w:rPr>
              <w:t>NOTA 2. BASES DE MEDICIÓN Y PRESENTACIÓN UTILIZADAS</w:t>
            </w:r>
            <w:r>
              <w:rPr>
                <w:noProof/>
                <w:webHidden/>
              </w:rPr>
              <w:tab/>
            </w:r>
            <w:r>
              <w:rPr>
                <w:noProof/>
                <w:webHidden/>
              </w:rPr>
              <w:fldChar w:fldCharType="begin"/>
            </w:r>
            <w:r>
              <w:rPr>
                <w:noProof/>
                <w:webHidden/>
              </w:rPr>
              <w:instrText xml:space="preserve"> PAGEREF _Toc222955454 \h </w:instrText>
            </w:r>
            <w:r>
              <w:rPr>
                <w:noProof/>
                <w:webHidden/>
              </w:rPr>
            </w:r>
            <w:r>
              <w:rPr>
                <w:noProof/>
                <w:webHidden/>
              </w:rPr>
              <w:fldChar w:fldCharType="separate"/>
            </w:r>
            <w:r>
              <w:rPr>
                <w:noProof/>
                <w:webHidden/>
              </w:rPr>
              <w:t>22</w:t>
            </w:r>
            <w:r>
              <w:rPr>
                <w:noProof/>
                <w:webHidden/>
              </w:rPr>
              <w:fldChar w:fldCharType="end"/>
            </w:r>
          </w:hyperlink>
        </w:p>
        <w:p w14:paraId="297E2339" w14:textId="56D9D607" w:rsidR="001958E2" w:rsidRDefault="001958E2">
          <w:pPr>
            <w:pStyle w:val="TDC2"/>
            <w:tabs>
              <w:tab w:val="right" w:leader="dot" w:pos="8828"/>
            </w:tabs>
            <w:rPr>
              <w:rFonts w:asciiTheme="minorHAnsi" w:hAnsiTheme="minorHAnsi" w:cstheme="minorBidi"/>
              <w:noProof/>
              <w:kern w:val="2"/>
              <w:szCs w:val="24"/>
              <w14:ligatures w14:val="standardContextual"/>
            </w:rPr>
          </w:pPr>
          <w:hyperlink w:anchor="_Toc222955455" w:history="1">
            <w:r w:rsidRPr="00D20EF4">
              <w:rPr>
                <w:rStyle w:val="Hipervnculo"/>
                <w:rFonts w:eastAsia="Times New Roman"/>
                <w:noProof/>
              </w:rPr>
              <w:t>2.1.       Bases de medición</w:t>
            </w:r>
            <w:r>
              <w:rPr>
                <w:noProof/>
                <w:webHidden/>
              </w:rPr>
              <w:tab/>
            </w:r>
            <w:r>
              <w:rPr>
                <w:noProof/>
                <w:webHidden/>
              </w:rPr>
              <w:fldChar w:fldCharType="begin"/>
            </w:r>
            <w:r>
              <w:rPr>
                <w:noProof/>
                <w:webHidden/>
              </w:rPr>
              <w:instrText xml:space="preserve"> PAGEREF _Toc222955455 \h </w:instrText>
            </w:r>
            <w:r>
              <w:rPr>
                <w:noProof/>
                <w:webHidden/>
              </w:rPr>
            </w:r>
            <w:r>
              <w:rPr>
                <w:noProof/>
                <w:webHidden/>
              </w:rPr>
              <w:fldChar w:fldCharType="separate"/>
            </w:r>
            <w:r>
              <w:rPr>
                <w:noProof/>
                <w:webHidden/>
              </w:rPr>
              <w:t>22</w:t>
            </w:r>
            <w:r>
              <w:rPr>
                <w:noProof/>
                <w:webHidden/>
              </w:rPr>
              <w:fldChar w:fldCharType="end"/>
            </w:r>
          </w:hyperlink>
        </w:p>
        <w:p w14:paraId="671A0C42" w14:textId="2D4D5589" w:rsidR="001958E2" w:rsidRDefault="001958E2">
          <w:pPr>
            <w:pStyle w:val="TDC2"/>
            <w:tabs>
              <w:tab w:val="right" w:leader="dot" w:pos="8828"/>
            </w:tabs>
            <w:rPr>
              <w:rFonts w:asciiTheme="minorHAnsi" w:hAnsiTheme="minorHAnsi" w:cstheme="minorBidi"/>
              <w:noProof/>
              <w:kern w:val="2"/>
              <w:szCs w:val="24"/>
              <w14:ligatures w14:val="standardContextual"/>
            </w:rPr>
          </w:pPr>
          <w:hyperlink w:anchor="_Toc222955456" w:history="1">
            <w:r w:rsidRPr="00D20EF4">
              <w:rPr>
                <w:rStyle w:val="Hipervnculo"/>
                <w:rFonts w:eastAsia="Times New Roman"/>
                <w:noProof/>
              </w:rPr>
              <w:t>2.2.       Moneda funcional y de presentación, redondeo y materialidad</w:t>
            </w:r>
            <w:r>
              <w:rPr>
                <w:noProof/>
                <w:webHidden/>
              </w:rPr>
              <w:tab/>
            </w:r>
            <w:r>
              <w:rPr>
                <w:noProof/>
                <w:webHidden/>
              </w:rPr>
              <w:fldChar w:fldCharType="begin"/>
            </w:r>
            <w:r>
              <w:rPr>
                <w:noProof/>
                <w:webHidden/>
              </w:rPr>
              <w:instrText xml:space="preserve"> PAGEREF _Toc222955456 \h </w:instrText>
            </w:r>
            <w:r>
              <w:rPr>
                <w:noProof/>
                <w:webHidden/>
              </w:rPr>
            </w:r>
            <w:r>
              <w:rPr>
                <w:noProof/>
                <w:webHidden/>
              </w:rPr>
              <w:fldChar w:fldCharType="separate"/>
            </w:r>
            <w:r>
              <w:rPr>
                <w:noProof/>
                <w:webHidden/>
              </w:rPr>
              <w:t>23</w:t>
            </w:r>
            <w:r>
              <w:rPr>
                <w:noProof/>
                <w:webHidden/>
              </w:rPr>
              <w:fldChar w:fldCharType="end"/>
            </w:r>
          </w:hyperlink>
        </w:p>
        <w:p w14:paraId="6D5535E9" w14:textId="7A8E611B" w:rsidR="001958E2" w:rsidRDefault="001958E2">
          <w:pPr>
            <w:pStyle w:val="TDC2"/>
            <w:tabs>
              <w:tab w:val="right" w:leader="dot" w:pos="8828"/>
            </w:tabs>
            <w:rPr>
              <w:rFonts w:asciiTheme="minorHAnsi" w:hAnsiTheme="minorHAnsi" w:cstheme="minorBidi"/>
              <w:noProof/>
              <w:kern w:val="2"/>
              <w:szCs w:val="24"/>
              <w14:ligatures w14:val="standardContextual"/>
            </w:rPr>
          </w:pPr>
          <w:hyperlink w:anchor="_Toc222955457" w:history="1">
            <w:r w:rsidRPr="00D20EF4">
              <w:rPr>
                <w:rStyle w:val="Hipervnculo"/>
                <w:rFonts w:eastAsia="Times New Roman"/>
                <w:noProof/>
              </w:rPr>
              <w:t>2.3.       Tratamiento de la moneda extranjera</w:t>
            </w:r>
            <w:r>
              <w:rPr>
                <w:noProof/>
                <w:webHidden/>
              </w:rPr>
              <w:tab/>
            </w:r>
            <w:r>
              <w:rPr>
                <w:noProof/>
                <w:webHidden/>
              </w:rPr>
              <w:fldChar w:fldCharType="begin"/>
            </w:r>
            <w:r>
              <w:rPr>
                <w:noProof/>
                <w:webHidden/>
              </w:rPr>
              <w:instrText xml:space="preserve"> PAGEREF _Toc222955457 \h </w:instrText>
            </w:r>
            <w:r>
              <w:rPr>
                <w:noProof/>
                <w:webHidden/>
              </w:rPr>
            </w:r>
            <w:r>
              <w:rPr>
                <w:noProof/>
                <w:webHidden/>
              </w:rPr>
              <w:fldChar w:fldCharType="separate"/>
            </w:r>
            <w:r>
              <w:rPr>
                <w:noProof/>
                <w:webHidden/>
              </w:rPr>
              <w:t>23</w:t>
            </w:r>
            <w:r>
              <w:rPr>
                <w:noProof/>
                <w:webHidden/>
              </w:rPr>
              <w:fldChar w:fldCharType="end"/>
            </w:r>
          </w:hyperlink>
        </w:p>
        <w:p w14:paraId="79022819" w14:textId="2D5F95FF" w:rsidR="001958E2" w:rsidRDefault="001958E2">
          <w:pPr>
            <w:pStyle w:val="TDC2"/>
            <w:tabs>
              <w:tab w:val="right" w:leader="dot" w:pos="8828"/>
            </w:tabs>
            <w:rPr>
              <w:rFonts w:asciiTheme="minorHAnsi" w:hAnsiTheme="minorHAnsi" w:cstheme="minorBidi"/>
              <w:noProof/>
              <w:kern w:val="2"/>
              <w:szCs w:val="24"/>
              <w14:ligatures w14:val="standardContextual"/>
            </w:rPr>
          </w:pPr>
          <w:hyperlink w:anchor="_Toc222955458" w:history="1">
            <w:r w:rsidRPr="00D20EF4">
              <w:rPr>
                <w:rStyle w:val="Hipervnculo"/>
                <w:rFonts w:eastAsia="Times New Roman"/>
                <w:noProof/>
              </w:rPr>
              <w:t>2.4.       Hechos ocurridos después del periodo contable</w:t>
            </w:r>
            <w:r>
              <w:rPr>
                <w:noProof/>
                <w:webHidden/>
              </w:rPr>
              <w:tab/>
            </w:r>
            <w:r>
              <w:rPr>
                <w:noProof/>
                <w:webHidden/>
              </w:rPr>
              <w:fldChar w:fldCharType="begin"/>
            </w:r>
            <w:r>
              <w:rPr>
                <w:noProof/>
                <w:webHidden/>
              </w:rPr>
              <w:instrText xml:space="preserve"> PAGEREF _Toc222955458 \h </w:instrText>
            </w:r>
            <w:r>
              <w:rPr>
                <w:noProof/>
                <w:webHidden/>
              </w:rPr>
            </w:r>
            <w:r>
              <w:rPr>
                <w:noProof/>
                <w:webHidden/>
              </w:rPr>
              <w:fldChar w:fldCharType="separate"/>
            </w:r>
            <w:r>
              <w:rPr>
                <w:noProof/>
                <w:webHidden/>
              </w:rPr>
              <w:t>23</w:t>
            </w:r>
            <w:r>
              <w:rPr>
                <w:noProof/>
                <w:webHidden/>
              </w:rPr>
              <w:fldChar w:fldCharType="end"/>
            </w:r>
          </w:hyperlink>
        </w:p>
        <w:p w14:paraId="62C93C0B" w14:textId="68E2F77D" w:rsidR="001958E2" w:rsidRDefault="001958E2">
          <w:pPr>
            <w:pStyle w:val="TDC2"/>
            <w:tabs>
              <w:tab w:val="right" w:leader="dot" w:pos="8828"/>
            </w:tabs>
            <w:rPr>
              <w:rFonts w:asciiTheme="minorHAnsi" w:hAnsiTheme="minorHAnsi" w:cstheme="minorBidi"/>
              <w:noProof/>
              <w:kern w:val="2"/>
              <w:szCs w:val="24"/>
              <w14:ligatures w14:val="standardContextual"/>
            </w:rPr>
          </w:pPr>
          <w:hyperlink w:anchor="_Toc222955459" w:history="1">
            <w:r w:rsidRPr="00D20EF4">
              <w:rPr>
                <w:rStyle w:val="Hipervnculo"/>
                <w:rFonts w:eastAsia="Times New Roman"/>
                <w:noProof/>
              </w:rPr>
              <w:t>2.5.       Otros aspectos</w:t>
            </w:r>
            <w:r>
              <w:rPr>
                <w:noProof/>
                <w:webHidden/>
              </w:rPr>
              <w:tab/>
            </w:r>
            <w:r>
              <w:rPr>
                <w:noProof/>
                <w:webHidden/>
              </w:rPr>
              <w:fldChar w:fldCharType="begin"/>
            </w:r>
            <w:r>
              <w:rPr>
                <w:noProof/>
                <w:webHidden/>
              </w:rPr>
              <w:instrText xml:space="preserve"> PAGEREF _Toc222955459 \h </w:instrText>
            </w:r>
            <w:r>
              <w:rPr>
                <w:noProof/>
                <w:webHidden/>
              </w:rPr>
            </w:r>
            <w:r>
              <w:rPr>
                <w:noProof/>
                <w:webHidden/>
              </w:rPr>
              <w:fldChar w:fldCharType="separate"/>
            </w:r>
            <w:r>
              <w:rPr>
                <w:noProof/>
                <w:webHidden/>
              </w:rPr>
              <w:t>24</w:t>
            </w:r>
            <w:r>
              <w:rPr>
                <w:noProof/>
                <w:webHidden/>
              </w:rPr>
              <w:fldChar w:fldCharType="end"/>
            </w:r>
          </w:hyperlink>
        </w:p>
        <w:p w14:paraId="5D1160AA" w14:textId="5ACC06F2" w:rsidR="001958E2" w:rsidRDefault="001958E2">
          <w:pPr>
            <w:pStyle w:val="TDC1"/>
            <w:tabs>
              <w:tab w:val="right" w:leader="dot" w:pos="8828"/>
            </w:tabs>
            <w:rPr>
              <w:rFonts w:asciiTheme="minorHAnsi" w:eastAsiaTheme="minorEastAsia" w:hAnsiTheme="minorHAnsi" w:cstheme="minorBidi"/>
              <w:noProof/>
              <w:kern w:val="2"/>
              <w:szCs w:val="24"/>
              <w:lang w:eastAsia="es-CO"/>
              <w14:ligatures w14:val="standardContextual"/>
            </w:rPr>
          </w:pPr>
          <w:hyperlink w:anchor="_Toc222955460" w:history="1">
            <w:r w:rsidRPr="00D20EF4">
              <w:rPr>
                <w:rStyle w:val="Hipervnculo"/>
                <w:rFonts w:eastAsia="Times New Roman"/>
                <w:noProof/>
              </w:rPr>
              <w:t>NOTA 3. JUICIOS, ESTIMACIONES, RIESGOS Y CORRECCIÓN DE ERRORES CONTABLES</w:t>
            </w:r>
            <w:r>
              <w:rPr>
                <w:noProof/>
                <w:webHidden/>
              </w:rPr>
              <w:tab/>
            </w:r>
            <w:r>
              <w:rPr>
                <w:noProof/>
                <w:webHidden/>
              </w:rPr>
              <w:fldChar w:fldCharType="begin"/>
            </w:r>
            <w:r>
              <w:rPr>
                <w:noProof/>
                <w:webHidden/>
              </w:rPr>
              <w:instrText xml:space="preserve"> PAGEREF _Toc222955460 \h </w:instrText>
            </w:r>
            <w:r>
              <w:rPr>
                <w:noProof/>
                <w:webHidden/>
              </w:rPr>
            </w:r>
            <w:r>
              <w:rPr>
                <w:noProof/>
                <w:webHidden/>
              </w:rPr>
              <w:fldChar w:fldCharType="separate"/>
            </w:r>
            <w:r>
              <w:rPr>
                <w:noProof/>
                <w:webHidden/>
              </w:rPr>
              <w:t>24</w:t>
            </w:r>
            <w:r>
              <w:rPr>
                <w:noProof/>
                <w:webHidden/>
              </w:rPr>
              <w:fldChar w:fldCharType="end"/>
            </w:r>
          </w:hyperlink>
        </w:p>
        <w:p w14:paraId="7EB63E75" w14:textId="2B415909" w:rsidR="001958E2" w:rsidRDefault="001958E2">
          <w:pPr>
            <w:pStyle w:val="TDC2"/>
            <w:tabs>
              <w:tab w:val="right" w:leader="dot" w:pos="8828"/>
            </w:tabs>
            <w:rPr>
              <w:rFonts w:asciiTheme="minorHAnsi" w:hAnsiTheme="minorHAnsi" w:cstheme="minorBidi"/>
              <w:noProof/>
              <w:kern w:val="2"/>
              <w:szCs w:val="24"/>
              <w14:ligatures w14:val="standardContextual"/>
            </w:rPr>
          </w:pPr>
          <w:hyperlink w:anchor="_Toc222955461" w:history="1">
            <w:r w:rsidRPr="00D20EF4">
              <w:rPr>
                <w:rStyle w:val="Hipervnculo"/>
                <w:rFonts w:eastAsia="Times New Roman"/>
                <w:noProof/>
              </w:rPr>
              <w:t>3.1.       Juicios</w:t>
            </w:r>
            <w:r>
              <w:rPr>
                <w:noProof/>
                <w:webHidden/>
              </w:rPr>
              <w:tab/>
            </w:r>
            <w:r>
              <w:rPr>
                <w:noProof/>
                <w:webHidden/>
              </w:rPr>
              <w:fldChar w:fldCharType="begin"/>
            </w:r>
            <w:r>
              <w:rPr>
                <w:noProof/>
                <w:webHidden/>
              </w:rPr>
              <w:instrText xml:space="preserve"> PAGEREF _Toc222955461 \h </w:instrText>
            </w:r>
            <w:r>
              <w:rPr>
                <w:noProof/>
                <w:webHidden/>
              </w:rPr>
            </w:r>
            <w:r>
              <w:rPr>
                <w:noProof/>
                <w:webHidden/>
              </w:rPr>
              <w:fldChar w:fldCharType="separate"/>
            </w:r>
            <w:r>
              <w:rPr>
                <w:noProof/>
                <w:webHidden/>
              </w:rPr>
              <w:t>24</w:t>
            </w:r>
            <w:r>
              <w:rPr>
                <w:noProof/>
                <w:webHidden/>
              </w:rPr>
              <w:fldChar w:fldCharType="end"/>
            </w:r>
          </w:hyperlink>
        </w:p>
        <w:p w14:paraId="30871381" w14:textId="26149440" w:rsidR="001958E2" w:rsidRDefault="001958E2">
          <w:pPr>
            <w:pStyle w:val="TDC2"/>
            <w:tabs>
              <w:tab w:val="right" w:leader="dot" w:pos="8828"/>
            </w:tabs>
            <w:rPr>
              <w:rFonts w:asciiTheme="minorHAnsi" w:hAnsiTheme="minorHAnsi" w:cstheme="minorBidi"/>
              <w:noProof/>
              <w:kern w:val="2"/>
              <w:szCs w:val="24"/>
              <w14:ligatures w14:val="standardContextual"/>
            </w:rPr>
          </w:pPr>
          <w:hyperlink w:anchor="_Toc222955462" w:history="1">
            <w:r w:rsidRPr="00D20EF4">
              <w:rPr>
                <w:rStyle w:val="Hipervnculo"/>
                <w:rFonts w:eastAsia="Times New Roman"/>
                <w:noProof/>
              </w:rPr>
              <w:t>3.2.       Estimaciones y supuestos</w:t>
            </w:r>
            <w:r>
              <w:rPr>
                <w:noProof/>
                <w:webHidden/>
              </w:rPr>
              <w:tab/>
            </w:r>
            <w:r>
              <w:rPr>
                <w:noProof/>
                <w:webHidden/>
              </w:rPr>
              <w:fldChar w:fldCharType="begin"/>
            </w:r>
            <w:r>
              <w:rPr>
                <w:noProof/>
                <w:webHidden/>
              </w:rPr>
              <w:instrText xml:space="preserve"> PAGEREF _Toc222955462 \h </w:instrText>
            </w:r>
            <w:r>
              <w:rPr>
                <w:noProof/>
                <w:webHidden/>
              </w:rPr>
            </w:r>
            <w:r>
              <w:rPr>
                <w:noProof/>
                <w:webHidden/>
              </w:rPr>
              <w:fldChar w:fldCharType="separate"/>
            </w:r>
            <w:r>
              <w:rPr>
                <w:noProof/>
                <w:webHidden/>
              </w:rPr>
              <w:t>24</w:t>
            </w:r>
            <w:r>
              <w:rPr>
                <w:noProof/>
                <w:webHidden/>
              </w:rPr>
              <w:fldChar w:fldCharType="end"/>
            </w:r>
          </w:hyperlink>
        </w:p>
        <w:p w14:paraId="4903FF39" w14:textId="4A3E66F8" w:rsidR="001958E2" w:rsidRDefault="001958E2">
          <w:pPr>
            <w:pStyle w:val="TDC2"/>
            <w:tabs>
              <w:tab w:val="right" w:leader="dot" w:pos="8828"/>
            </w:tabs>
            <w:rPr>
              <w:rFonts w:asciiTheme="minorHAnsi" w:hAnsiTheme="minorHAnsi" w:cstheme="minorBidi"/>
              <w:noProof/>
              <w:kern w:val="2"/>
              <w:szCs w:val="24"/>
              <w14:ligatures w14:val="standardContextual"/>
            </w:rPr>
          </w:pPr>
          <w:hyperlink w:anchor="_Toc222955463" w:history="1">
            <w:r w:rsidRPr="00D20EF4">
              <w:rPr>
                <w:rStyle w:val="Hipervnculo"/>
                <w:rFonts w:eastAsia="Times New Roman"/>
                <w:noProof/>
              </w:rPr>
              <w:t>3.3.       Correcciones contables</w:t>
            </w:r>
            <w:r>
              <w:rPr>
                <w:noProof/>
                <w:webHidden/>
              </w:rPr>
              <w:tab/>
            </w:r>
            <w:r>
              <w:rPr>
                <w:noProof/>
                <w:webHidden/>
              </w:rPr>
              <w:fldChar w:fldCharType="begin"/>
            </w:r>
            <w:r>
              <w:rPr>
                <w:noProof/>
                <w:webHidden/>
              </w:rPr>
              <w:instrText xml:space="preserve"> PAGEREF _Toc222955463 \h </w:instrText>
            </w:r>
            <w:r>
              <w:rPr>
                <w:noProof/>
                <w:webHidden/>
              </w:rPr>
            </w:r>
            <w:r>
              <w:rPr>
                <w:noProof/>
                <w:webHidden/>
              </w:rPr>
              <w:fldChar w:fldCharType="separate"/>
            </w:r>
            <w:r>
              <w:rPr>
                <w:noProof/>
                <w:webHidden/>
              </w:rPr>
              <w:t>25</w:t>
            </w:r>
            <w:r>
              <w:rPr>
                <w:noProof/>
                <w:webHidden/>
              </w:rPr>
              <w:fldChar w:fldCharType="end"/>
            </w:r>
          </w:hyperlink>
        </w:p>
        <w:p w14:paraId="396312DC" w14:textId="5CCF69E1" w:rsidR="001958E2" w:rsidRDefault="001958E2">
          <w:pPr>
            <w:pStyle w:val="TDC2"/>
            <w:tabs>
              <w:tab w:val="right" w:leader="dot" w:pos="8828"/>
            </w:tabs>
            <w:rPr>
              <w:rFonts w:asciiTheme="minorHAnsi" w:hAnsiTheme="minorHAnsi" w:cstheme="minorBidi"/>
              <w:noProof/>
              <w:kern w:val="2"/>
              <w:szCs w:val="24"/>
              <w14:ligatures w14:val="standardContextual"/>
            </w:rPr>
          </w:pPr>
          <w:hyperlink w:anchor="_Toc222955464" w:history="1">
            <w:r w:rsidRPr="00D20EF4">
              <w:rPr>
                <w:rStyle w:val="Hipervnculo"/>
                <w:rFonts w:eastAsia="Times New Roman"/>
                <w:noProof/>
              </w:rPr>
              <w:t>3.4.       Riesgos asociados a los instrumentos financieros</w:t>
            </w:r>
            <w:r>
              <w:rPr>
                <w:noProof/>
                <w:webHidden/>
              </w:rPr>
              <w:tab/>
            </w:r>
            <w:r>
              <w:rPr>
                <w:noProof/>
                <w:webHidden/>
              </w:rPr>
              <w:fldChar w:fldCharType="begin"/>
            </w:r>
            <w:r>
              <w:rPr>
                <w:noProof/>
                <w:webHidden/>
              </w:rPr>
              <w:instrText xml:space="preserve"> PAGEREF _Toc222955464 \h </w:instrText>
            </w:r>
            <w:r>
              <w:rPr>
                <w:noProof/>
                <w:webHidden/>
              </w:rPr>
            </w:r>
            <w:r>
              <w:rPr>
                <w:noProof/>
                <w:webHidden/>
              </w:rPr>
              <w:fldChar w:fldCharType="separate"/>
            </w:r>
            <w:r>
              <w:rPr>
                <w:noProof/>
                <w:webHidden/>
              </w:rPr>
              <w:t>25</w:t>
            </w:r>
            <w:r>
              <w:rPr>
                <w:noProof/>
                <w:webHidden/>
              </w:rPr>
              <w:fldChar w:fldCharType="end"/>
            </w:r>
          </w:hyperlink>
        </w:p>
        <w:p w14:paraId="28D76401" w14:textId="3A6263E8" w:rsidR="001958E2" w:rsidRDefault="001958E2">
          <w:pPr>
            <w:pStyle w:val="TDC1"/>
            <w:tabs>
              <w:tab w:val="right" w:leader="dot" w:pos="8828"/>
            </w:tabs>
            <w:rPr>
              <w:rFonts w:asciiTheme="minorHAnsi" w:eastAsiaTheme="minorEastAsia" w:hAnsiTheme="minorHAnsi" w:cstheme="minorBidi"/>
              <w:noProof/>
              <w:kern w:val="2"/>
              <w:szCs w:val="24"/>
              <w:lang w:eastAsia="es-CO"/>
              <w14:ligatures w14:val="standardContextual"/>
            </w:rPr>
          </w:pPr>
          <w:hyperlink w:anchor="_Toc222955465" w:history="1">
            <w:r w:rsidRPr="00D20EF4">
              <w:rPr>
                <w:rStyle w:val="Hipervnculo"/>
                <w:rFonts w:eastAsia="Times New Roman"/>
                <w:noProof/>
              </w:rPr>
              <w:t>NOTA 4. RESUMEN DE POLÍTICAS CONTABLES</w:t>
            </w:r>
            <w:r>
              <w:rPr>
                <w:noProof/>
                <w:webHidden/>
              </w:rPr>
              <w:tab/>
            </w:r>
            <w:r>
              <w:rPr>
                <w:noProof/>
                <w:webHidden/>
              </w:rPr>
              <w:fldChar w:fldCharType="begin"/>
            </w:r>
            <w:r>
              <w:rPr>
                <w:noProof/>
                <w:webHidden/>
              </w:rPr>
              <w:instrText xml:space="preserve"> PAGEREF _Toc222955465 \h </w:instrText>
            </w:r>
            <w:r>
              <w:rPr>
                <w:noProof/>
                <w:webHidden/>
              </w:rPr>
            </w:r>
            <w:r>
              <w:rPr>
                <w:noProof/>
                <w:webHidden/>
              </w:rPr>
              <w:fldChar w:fldCharType="separate"/>
            </w:r>
            <w:r>
              <w:rPr>
                <w:noProof/>
                <w:webHidden/>
              </w:rPr>
              <w:t>26</w:t>
            </w:r>
            <w:r>
              <w:rPr>
                <w:noProof/>
                <w:webHidden/>
              </w:rPr>
              <w:fldChar w:fldCharType="end"/>
            </w:r>
          </w:hyperlink>
        </w:p>
        <w:p w14:paraId="6A244B49" w14:textId="6079C25A" w:rsidR="001958E2" w:rsidRDefault="001958E2">
          <w:pPr>
            <w:pStyle w:val="TDC1"/>
            <w:tabs>
              <w:tab w:val="right" w:leader="dot" w:pos="8828"/>
            </w:tabs>
            <w:rPr>
              <w:rFonts w:asciiTheme="minorHAnsi" w:eastAsiaTheme="minorEastAsia" w:hAnsiTheme="minorHAnsi" w:cstheme="minorBidi"/>
              <w:noProof/>
              <w:kern w:val="2"/>
              <w:szCs w:val="24"/>
              <w:lang w:eastAsia="es-CO"/>
              <w14:ligatures w14:val="standardContextual"/>
            </w:rPr>
          </w:pPr>
          <w:hyperlink w:anchor="_Toc222955466" w:history="1">
            <w:r w:rsidRPr="00D20EF4">
              <w:rPr>
                <w:rStyle w:val="Hipervnculo"/>
                <w:rFonts w:eastAsia="Times New Roman"/>
                <w:bCs/>
                <w:noProof/>
              </w:rPr>
              <w:t>NOTA 5. EFECTIVO Y EQUIVALENTES AL EFECTIVO</w:t>
            </w:r>
            <w:r>
              <w:rPr>
                <w:noProof/>
                <w:webHidden/>
              </w:rPr>
              <w:tab/>
            </w:r>
            <w:r>
              <w:rPr>
                <w:noProof/>
                <w:webHidden/>
              </w:rPr>
              <w:fldChar w:fldCharType="begin"/>
            </w:r>
            <w:r>
              <w:rPr>
                <w:noProof/>
                <w:webHidden/>
              </w:rPr>
              <w:instrText xml:space="preserve"> PAGEREF _Toc222955466 \h </w:instrText>
            </w:r>
            <w:r>
              <w:rPr>
                <w:noProof/>
                <w:webHidden/>
              </w:rPr>
            </w:r>
            <w:r>
              <w:rPr>
                <w:noProof/>
                <w:webHidden/>
              </w:rPr>
              <w:fldChar w:fldCharType="separate"/>
            </w:r>
            <w:r>
              <w:rPr>
                <w:noProof/>
                <w:webHidden/>
              </w:rPr>
              <w:t>27</w:t>
            </w:r>
            <w:r>
              <w:rPr>
                <w:noProof/>
                <w:webHidden/>
              </w:rPr>
              <w:fldChar w:fldCharType="end"/>
            </w:r>
          </w:hyperlink>
        </w:p>
        <w:p w14:paraId="0D690FF5" w14:textId="3F975A71" w:rsidR="001958E2" w:rsidRDefault="001958E2">
          <w:pPr>
            <w:pStyle w:val="TDC2"/>
            <w:tabs>
              <w:tab w:val="right" w:leader="dot" w:pos="8828"/>
            </w:tabs>
            <w:rPr>
              <w:rFonts w:asciiTheme="minorHAnsi" w:hAnsiTheme="minorHAnsi" w:cstheme="minorBidi"/>
              <w:noProof/>
              <w:kern w:val="2"/>
              <w:szCs w:val="24"/>
              <w14:ligatures w14:val="standardContextual"/>
            </w:rPr>
          </w:pPr>
          <w:hyperlink w:anchor="_Toc222955467" w:history="1">
            <w:r w:rsidRPr="00D20EF4">
              <w:rPr>
                <w:rStyle w:val="Hipervnculo"/>
                <w:rFonts w:eastAsia="Times New Roman"/>
                <w:bCs/>
                <w:noProof/>
              </w:rPr>
              <w:t>Composición</w:t>
            </w:r>
            <w:r>
              <w:rPr>
                <w:noProof/>
                <w:webHidden/>
              </w:rPr>
              <w:tab/>
            </w:r>
            <w:r>
              <w:rPr>
                <w:noProof/>
                <w:webHidden/>
              </w:rPr>
              <w:fldChar w:fldCharType="begin"/>
            </w:r>
            <w:r>
              <w:rPr>
                <w:noProof/>
                <w:webHidden/>
              </w:rPr>
              <w:instrText xml:space="preserve"> PAGEREF _Toc222955467 \h </w:instrText>
            </w:r>
            <w:r>
              <w:rPr>
                <w:noProof/>
                <w:webHidden/>
              </w:rPr>
            </w:r>
            <w:r>
              <w:rPr>
                <w:noProof/>
                <w:webHidden/>
              </w:rPr>
              <w:fldChar w:fldCharType="separate"/>
            </w:r>
            <w:r>
              <w:rPr>
                <w:noProof/>
                <w:webHidden/>
              </w:rPr>
              <w:t>27</w:t>
            </w:r>
            <w:r>
              <w:rPr>
                <w:noProof/>
                <w:webHidden/>
              </w:rPr>
              <w:fldChar w:fldCharType="end"/>
            </w:r>
          </w:hyperlink>
        </w:p>
        <w:p w14:paraId="1295D4B7" w14:textId="2F40ADCC" w:rsidR="001958E2" w:rsidRDefault="001958E2">
          <w:pPr>
            <w:pStyle w:val="TDC2"/>
            <w:tabs>
              <w:tab w:val="left" w:pos="1100"/>
              <w:tab w:val="right" w:leader="dot" w:pos="8828"/>
            </w:tabs>
            <w:rPr>
              <w:rFonts w:asciiTheme="minorHAnsi" w:hAnsiTheme="minorHAnsi" w:cstheme="minorBidi"/>
              <w:noProof/>
              <w:kern w:val="2"/>
              <w:szCs w:val="24"/>
              <w14:ligatures w14:val="standardContextual"/>
            </w:rPr>
          </w:pPr>
          <w:hyperlink w:anchor="_Toc222955468" w:history="1">
            <w:r w:rsidRPr="00D20EF4">
              <w:rPr>
                <w:rStyle w:val="Hipervnculo"/>
                <w:noProof/>
              </w:rPr>
              <w:t xml:space="preserve">5.1.  </w:t>
            </w:r>
            <w:r>
              <w:rPr>
                <w:rFonts w:asciiTheme="minorHAnsi" w:hAnsiTheme="minorHAnsi" w:cstheme="minorBidi"/>
                <w:noProof/>
                <w:kern w:val="2"/>
                <w:szCs w:val="24"/>
                <w14:ligatures w14:val="standardContextual"/>
              </w:rPr>
              <w:tab/>
            </w:r>
            <w:r w:rsidRPr="00D20EF4">
              <w:rPr>
                <w:rStyle w:val="Hipervnculo"/>
                <w:noProof/>
              </w:rPr>
              <w:t>Depósitos en instituciones financieras</w:t>
            </w:r>
            <w:r>
              <w:rPr>
                <w:noProof/>
                <w:webHidden/>
              </w:rPr>
              <w:tab/>
            </w:r>
            <w:r>
              <w:rPr>
                <w:noProof/>
                <w:webHidden/>
              </w:rPr>
              <w:fldChar w:fldCharType="begin"/>
            </w:r>
            <w:r>
              <w:rPr>
                <w:noProof/>
                <w:webHidden/>
              </w:rPr>
              <w:instrText xml:space="preserve"> PAGEREF _Toc222955468 \h </w:instrText>
            </w:r>
            <w:r>
              <w:rPr>
                <w:noProof/>
                <w:webHidden/>
              </w:rPr>
            </w:r>
            <w:r>
              <w:rPr>
                <w:noProof/>
                <w:webHidden/>
              </w:rPr>
              <w:fldChar w:fldCharType="separate"/>
            </w:r>
            <w:r>
              <w:rPr>
                <w:noProof/>
                <w:webHidden/>
              </w:rPr>
              <w:t>28</w:t>
            </w:r>
            <w:r>
              <w:rPr>
                <w:noProof/>
                <w:webHidden/>
              </w:rPr>
              <w:fldChar w:fldCharType="end"/>
            </w:r>
          </w:hyperlink>
        </w:p>
        <w:p w14:paraId="190E387D" w14:textId="5842F0FC" w:rsidR="001958E2" w:rsidRDefault="001958E2">
          <w:pPr>
            <w:pStyle w:val="TDC2"/>
            <w:tabs>
              <w:tab w:val="left" w:pos="880"/>
              <w:tab w:val="right" w:leader="dot" w:pos="8828"/>
            </w:tabs>
            <w:rPr>
              <w:rFonts w:asciiTheme="minorHAnsi" w:hAnsiTheme="minorHAnsi" w:cstheme="minorBidi"/>
              <w:noProof/>
              <w:kern w:val="2"/>
              <w:szCs w:val="24"/>
              <w14:ligatures w14:val="standardContextual"/>
            </w:rPr>
          </w:pPr>
          <w:hyperlink w:anchor="_Toc222955469" w:history="1">
            <w:r w:rsidRPr="00D20EF4">
              <w:rPr>
                <w:rStyle w:val="Hipervnculo"/>
                <w:noProof/>
              </w:rPr>
              <w:t>5.2.</w:t>
            </w:r>
            <w:r>
              <w:rPr>
                <w:rFonts w:asciiTheme="minorHAnsi" w:hAnsiTheme="minorHAnsi" w:cstheme="minorBidi"/>
                <w:noProof/>
                <w:kern w:val="2"/>
                <w:szCs w:val="24"/>
                <w14:ligatures w14:val="standardContextual"/>
              </w:rPr>
              <w:tab/>
            </w:r>
            <w:r w:rsidRPr="00D20EF4">
              <w:rPr>
                <w:rStyle w:val="Hipervnculo"/>
                <w:noProof/>
              </w:rPr>
              <w:t>Efectivo de uso restringido</w:t>
            </w:r>
            <w:r>
              <w:rPr>
                <w:noProof/>
                <w:webHidden/>
              </w:rPr>
              <w:tab/>
            </w:r>
            <w:r>
              <w:rPr>
                <w:noProof/>
                <w:webHidden/>
              </w:rPr>
              <w:fldChar w:fldCharType="begin"/>
            </w:r>
            <w:r>
              <w:rPr>
                <w:noProof/>
                <w:webHidden/>
              </w:rPr>
              <w:instrText xml:space="preserve"> PAGEREF _Toc222955469 \h </w:instrText>
            </w:r>
            <w:r>
              <w:rPr>
                <w:noProof/>
                <w:webHidden/>
              </w:rPr>
            </w:r>
            <w:r>
              <w:rPr>
                <w:noProof/>
                <w:webHidden/>
              </w:rPr>
              <w:fldChar w:fldCharType="separate"/>
            </w:r>
            <w:r>
              <w:rPr>
                <w:noProof/>
                <w:webHidden/>
              </w:rPr>
              <w:t>28</w:t>
            </w:r>
            <w:r>
              <w:rPr>
                <w:noProof/>
                <w:webHidden/>
              </w:rPr>
              <w:fldChar w:fldCharType="end"/>
            </w:r>
          </w:hyperlink>
        </w:p>
        <w:p w14:paraId="5199DC3D" w14:textId="46AAEAB9" w:rsidR="001958E2" w:rsidRDefault="001958E2">
          <w:pPr>
            <w:pStyle w:val="TDC1"/>
            <w:tabs>
              <w:tab w:val="right" w:leader="dot" w:pos="8828"/>
            </w:tabs>
            <w:rPr>
              <w:rFonts w:asciiTheme="minorHAnsi" w:eastAsiaTheme="minorEastAsia" w:hAnsiTheme="minorHAnsi" w:cstheme="minorBidi"/>
              <w:noProof/>
              <w:kern w:val="2"/>
              <w:szCs w:val="24"/>
              <w:lang w:eastAsia="es-CO"/>
              <w14:ligatures w14:val="standardContextual"/>
            </w:rPr>
          </w:pPr>
          <w:hyperlink w:anchor="_Toc222955470" w:history="1">
            <w:r w:rsidRPr="00D20EF4">
              <w:rPr>
                <w:rStyle w:val="Hipervnculo"/>
                <w:noProof/>
              </w:rPr>
              <w:t>NOTA 7. CUENTAS POR COBRAR</w:t>
            </w:r>
            <w:r>
              <w:rPr>
                <w:noProof/>
                <w:webHidden/>
              </w:rPr>
              <w:tab/>
            </w:r>
            <w:r>
              <w:rPr>
                <w:noProof/>
                <w:webHidden/>
              </w:rPr>
              <w:fldChar w:fldCharType="begin"/>
            </w:r>
            <w:r>
              <w:rPr>
                <w:noProof/>
                <w:webHidden/>
              </w:rPr>
              <w:instrText xml:space="preserve"> PAGEREF _Toc222955470 \h </w:instrText>
            </w:r>
            <w:r>
              <w:rPr>
                <w:noProof/>
                <w:webHidden/>
              </w:rPr>
            </w:r>
            <w:r>
              <w:rPr>
                <w:noProof/>
                <w:webHidden/>
              </w:rPr>
              <w:fldChar w:fldCharType="separate"/>
            </w:r>
            <w:r>
              <w:rPr>
                <w:noProof/>
                <w:webHidden/>
              </w:rPr>
              <w:t>29</w:t>
            </w:r>
            <w:r>
              <w:rPr>
                <w:noProof/>
                <w:webHidden/>
              </w:rPr>
              <w:fldChar w:fldCharType="end"/>
            </w:r>
          </w:hyperlink>
        </w:p>
        <w:p w14:paraId="16A2FF48" w14:textId="41AE26B8" w:rsidR="001958E2" w:rsidRDefault="001958E2">
          <w:pPr>
            <w:pStyle w:val="TDC2"/>
            <w:tabs>
              <w:tab w:val="right" w:leader="dot" w:pos="8828"/>
            </w:tabs>
            <w:rPr>
              <w:rFonts w:asciiTheme="minorHAnsi" w:hAnsiTheme="minorHAnsi" w:cstheme="minorBidi"/>
              <w:noProof/>
              <w:kern w:val="2"/>
              <w:szCs w:val="24"/>
              <w14:ligatures w14:val="standardContextual"/>
            </w:rPr>
          </w:pPr>
          <w:hyperlink w:anchor="_Toc222955471" w:history="1">
            <w:r w:rsidRPr="00D20EF4">
              <w:rPr>
                <w:rStyle w:val="Hipervnculo"/>
                <w:noProof/>
              </w:rPr>
              <w:t>Composición</w:t>
            </w:r>
            <w:r>
              <w:rPr>
                <w:noProof/>
                <w:webHidden/>
              </w:rPr>
              <w:tab/>
            </w:r>
            <w:r>
              <w:rPr>
                <w:noProof/>
                <w:webHidden/>
              </w:rPr>
              <w:fldChar w:fldCharType="begin"/>
            </w:r>
            <w:r>
              <w:rPr>
                <w:noProof/>
                <w:webHidden/>
              </w:rPr>
              <w:instrText xml:space="preserve"> PAGEREF _Toc222955471 \h </w:instrText>
            </w:r>
            <w:r>
              <w:rPr>
                <w:noProof/>
                <w:webHidden/>
              </w:rPr>
            </w:r>
            <w:r>
              <w:rPr>
                <w:noProof/>
                <w:webHidden/>
              </w:rPr>
              <w:fldChar w:fldCharType="separate"/>
            </w:r>
            <w:r>
              <w:rPr>
                <w:noProof/>
                <w:webHidden/>
              </w:rPr>
              <w:t>29</w:t>
            </w:r>
            <w:r>
              <w:rPr>
                <w:noProof/>
                <w:webHidden/>
              </w:rPr>
              <w:fldChar w:fldCharType="end"/>
            </w:r>
          </w:hyperlink>
        </w:p>
        <w:p w14:paraId="06282EF2" w14:textId="75776AF4" w:rsidR="001958E2" w:rsidRDefault="001958E2">
          <w:pPr>
            <w:pStyle w:val="TDC2"/>
            <w:tabs>
              <w:tab w:val="left" w:pos="880"/>
              <w:tab w:val="right" w:leader="dot" w:pos="8828"/>
            </w:tabs>
            <w:rPr>
              <w:rFonts w:asciiTheme="minorHAnsi" w:hAnsiTheme="minorHAnsi" w:cstheme="minorBidi"/>
              <w:noProof/>
              <w:kern w:val="2"/>
              <w:szCs w:val="24"/>
              <w14:ligatures w14:val="standardContextual"/>
            </w:rPr>
          </w:pPr>
          <w:hyperlink w:anchor="_Toc222955472" w:history="1">
            <w:r w:rsidRPr="00D20EF4">
              <w:rPr>
                <w:rStyle w:val="Hipervnculo"/>
                <w:noProof/>
              </w:rPr>
              <w:t>7.1.</w:t>
            </w:r>
            <w:r>
              <w:rPr>
                <w:rFonts w:asciiTheme="minorHAnsi" w:hAnsiTheme="minorHAnsi" w:cstheme="minorBidi"/>
                <w:noProof/>
                <w:kern w:val="2"/>
                <w:szCs w:val="24"/>
                <w14:ligatures w14:val="standardContextual"/>
              </w:rPr>
              <w:tab/>
            </w:r>
            <w:r w:rsidRPr="00D20EF4">
              <w:rPr>
                <w:rStyle w:val="Hipervnculo"/>
                <w:noProof/>
              </w:rPr>
              <w:t>Cuentas por cobrar de difícil recaudo</w:t>
            </w:r>
            <w:r>
              <w:rPr>
                <w:noProof/>
                <w:webHidden/>
              </w:rPr>
              <w:tab/>
            </w:r>
            <w:r>
              <w:rPr>
                <w:noProof/>
                <w:webHidden/>
              </w:rPr>
              <w:fldChar w:fldCharType="begin"/>
            </w:r>
            <w:r>
              <w:rPr>
                <w:noProof/>
                <w:webHidden/>
              </w:rPr>
              <w:instrText xml:space="preserve"> PAGEREF _Toc222955472 \h </w:instrText>
            </w:r>
            <w:r>
              <w:rPr>
                <w:noProof/>
                <w:webHidden/>
              </w:rPr>
            </w:r>
            <w:r>
              <w:rPr>
                <w:noProof/>
                <w:webHidden/>
              </w:rPr>
              <w:fldChar w:fldCharType="separate"/>
            </w:r>
            <w:r>
              <w:rPr>
                <w:noProof/>
                <w:webHidden/>
              </w:rPr>
              <w:t>30</w:t>
            </w:r>
            <w:r>
              <w:rPr>
                <w:noProof/>
                <w:webHidden/>
              </w:rPr>
              <w:fldChar w:fldCharType="end"/>
            </w:r>
          </w:hyperlink>
        </w:p>
        <w:p w14:paraId="4E9DBFD2" w14:textId="4DFAE399" w:rsidR="001958E2" w:rsidRDefault="001958E2">
          <w:pPr>
            <w:pStyle w:val="TDC2"/>
            <w:tabs>
              <w:tab w:val="left" w:pos="880"/>
              <w:tab w:val="right" w:leader="dot" w:pos="8828"/>
            </w:tabs>
            <w:rPr>
              <w:rFonts w:asciiTheme="minorHAnsi" w:hAnsiTheme="minorHAnsi" w:cstheme="minorBidi"/>
              <w:noProof/>
              <w:kern w:val="2"/>
              <w:szCs w:val="24"/>
              <w14:ligatures w14:val="standardContextual"/>
            </w:rPr>
          </w:pPr>
          <w:hyperlink w:anchor="_Toc222955473" w:history="1">
            <w:r w:rsidRPr="00D20EF4">
              <w:rPr>
                <w:rStyle w:val="Hipervnculo"/>
                <w:noProof/>
              </w:rPr>
              <w:t>7.2.</w:t>
            </w:r>
            <w:r>
              <w:rPr>
                <w:rFonts w:asciiTheme="minorHAnsi" w:hAnsiTheme="minorHAnsi" w:cstheme="minorBidi"/>
                <w:noProof/>
                <w:kern w:val="2"/>
                <w:szCs w:val="24"/>
                <w14:ligatures w14:val="standardContextual"/>
              </w:rPr>
              <w:tab/>
            </w:r>
            <w:r w:rsidRPr="00D20EF4">
              <w:rPr>
                <w:rStyle w:val="Hipervnculo"/>
                <w:noProof/>
              </w:rPr>
              <w:t>Contribuciones tasas e ingresos no tributarios</w:t>
            </w:r>
            <w:r>
              <w:rPr>
                <w:noProof/>
                <w:webHidden/>
              </w:rPr>
              <w:tab/>
            </w:r>
            <w:r>
              <w:rPr>
                <w:noProof/>
                <w:webHidden/>
              </w:rPr>
              <w:fldChar w:fldCharType="begin"/>
            </w:r>
            <w:r>
              <w:rPr>
                <w:noProof/>
                <w:webHidden/>
              </w:rPr>
              <w:instrText xml:space="preserve"> PAGEREF _Toc222955473 \h </w:instrText>
            </w:r>
            <w:r>
              <w:rPr>
                <w:noProof/>
                <w:webHidden/>
              </w:rPr>
            </w:r>
            <w:r>
              <w:rPr>
                <w:noProof/>
                <w:webHidden/>
              </w:rPr>
              <w:fldChar w:fldCharType="separate"/>
            </w:r>
            <w:r>
              <w:rPr>
                <w:noProof/>
                <w:webHidden/>
              </w:rPr>
              <w:t>31</w:t>
            </w:r>
            <w:r>
              <w:rPr>
                <w:noProof/>
                <w:webHidden/>
              </w:rPr>
              <w:fldChar w:fldCharType="end"/>
            </w:r>
          </w:hyperlink>
        </w:p>
        <w:p w14:paraId="14D4C730" w14:textId="1A5B8E4A" w:rsidR="001958E2" w:rsidRDefault="001958E2">
          <w:pPr>
            <w:pStyle w:val="TDC2"/>
            <w:tabs>
              <w:tab w:val="left" w:pos="880"/>
              <w:tab w:val="right" w:leader="dot" w:pos="8828"/>
            </w:tabs>
            <w:rPr>
              <w:rFonts w:asciiTheme="minorHAnsi" w:hAnsiTheme="minorHAnsi" w:cstheme="minorBidi"/>
              <w:noProof/>
              <w:kern w:val="2"/>
              <w:szCs w:val="24"/>
              <w14:ligatures w14:val="standardContextual"/>
            </w:rPr>
          </w:pPr>
          <w:hyperlink w:anchor="_Toc222955474" w:history="1">
            <w:r w:rsidRPr="00D20EF4">
              <w:rPr>
                <w:rStyle w:val="Hipervnculo"/>
                <w:noProof/>
              </w:rPr>
              <w:t>7.3.</w:t>
            </w:r>
            <w:r>
              <w:rPr>
                <w:rFonts w:asciiTheme="minorHAnsi" w:hAnsiTheme="minorHAnsi" w:cstheme="minorBidi"/>
                <w:noProof/>
                <w:kern w:val="2"/>
                <w:szCs w:val="24"/>
                <w14:ligatures w14:val="standardContextual"/>
              </w:rPr>
              <w:tab/>
            </w:r>
            <w:r w:rsidRPr="00D20EF4">
              <w:rPr>
                <w:rStyle w:val="Hipervnculo"/>
                <w:noProof/>
              </w:rPr>
              <w:t>Otras cuentas por cobrar</w:t>
            </w:r>
            <w:r>
              <w:rPr>
                <w:noProof/>
                <w:webHidden/>
              </w:rPr>
              <w:tab/>
            </w:r>
            <w:r>
              <w:rPr>
                <w:noProof/>
                <w:webHidden/>
              </w:rPr>
              <w:fldChar w:fldCharType="begin"/>
            </w:r>
            <w:r>
              <w:rPr>
                <w:noProof/>
                <w:webHidden/>
              </w:rPr>
              <w:instrText xml:space="preserve"> PAGEREF _Toc222955474 \h </w:instrText>
            </w:r>
            <w:r>
              <w:rPr>
                <w:noProof/>
                <w:webHidden/>
              </w:rPr>
            </w:r>
            <w:r>
              <w:rPr>
                <w:noProof/>
                <w:webHidden/>
              </w:rPr>
              <w:fldChar w:fldCharType="separate"/>
            </w:r>
            <w:r>
              <w:rPr>
                <w:noProof/>
                <w:webHidden/>
              </w:rPr>
              <w:t>37</w:t>
            </w:r>
            <w:r>
              <w:rPr>
                <w:noProof/>
                <w:webHidden/>
              </w:rPr>
              <w:fldChar w:fldCharType="end"/>
            </w:r>
          </w:hyperlink>
        </w:p>
        <w:p w14:paraId="41EA457E" w14:textId="3B19858E" w:rsidR="001958E2" w:rsidRDefault="001958E2">
          <w:pPr>
            <w:pStyle w:val="TDC2"/>
            <w:tabs>
              <w:tab w:val="left" w:pos="880"/>
              <w:tab w:val="right" w:leader="dot" w:pos="8828"/>
            </w:tabs>
            <w:rPr>
              <w:rFonts w:asciiTheme="minorHAnsi" w:hAnsiTheme="minorHAnsi" w:cstheme="minorBidi"/>
              <w:noProof/>
              <w:kern w:val="2"/>
              <w:szCs w:val="24"/>
              <w14:ligatures w14:val="standardContextual"/>
            </w:rPr>
          </w:pPr>
          <w:hyperlink w:anchor="_Toc222955475" w:history="1">
            <w:r w:rsidRPr="00D20EF4">
              <w:rPr>
                <w:rStyle w:val="Hipervnculo"/>
                <w:noProof/>
              </w:rPr>
              <w:t>7.4.</w:t>
            </w:r>
            <w:r>
              <w:rPr>
                <w:rFonts w:asciiTheme="minorHAnsi" w:hAnsiTheme="minorHAnsi" w:cstheme="minorBidi"/>
                <w:noProof/>
                <w:kern w:val="2"/>
                <w:szCs w:val="24"/>
                <w14:ligatures w14:val="standardContextual"/>
              </w:rPr>
              <w:tab/>
            </w:r>
            <w:r w:rsidRPr="00D20EF4">
              <w:rPr>
                <w:rStyle w:val="Hipervnculo"/>
                <w:bCs/>
                <w:noProof/>
              </w:rPr>
              <w:t>Sentencias, laudos arbitrales y conciliaciones extrajudiciales a favor de la entidad</w:t>
            </w:r>
            <w:r>
              <w:rPr>
                <w:noProof/>
                <w:webHidden/>
              </w:rPr>
              <w:tab/>
            </w:r>
            <w:r>
              <w:rPr>
                <w:noProof/>
                <w:webHidden/>
              </w:rPr>
              <w:fldChar w:fldCharType="begin"/>
            </w:r>
            <w:r>
              <w:rPr>
                <w:noProof/>
                <w:webHidden/>
              </w:rPr>
              <w:instrText xml:space="preserve"> PAGEREF _Toc222955475 \h </w:instrText>
            </w:r>
            <w:r>
              <w:rPr>
                <w:noProof/>
                <w:webHidden/>
              </w:rPr>
            </w:r>
            <w:r>
              <w:rPr>
                <w:noProof/>
                <w:webHidden/>
              </w:rPr>
              <w:fldChar w:fldCharType="separate"/>
            </w:r>
            <w:r>
              <w:rPr>
                <w:noProof/>
                <w:webHidden/>
              </w:rPr>
              <w:t>45</w:t>
            </w:r>
            <w:r>
              <w:rPr>
                <w:noProof/>
                <w:webHidden/>
              </w:rPr>
              <w:fldChar w:fldCharType="end"/>
            </w:r>
          </w:hyperlink>
        </w:p>
        <w:p w14:paraId="5378D06F" w14:textId="7DDAB157" w:rsidR="001958E2" w:rsidRDefault="001958E2">
          <w:pPr>
            <w:pStyle w:val="TDC2"/>
            <w:tabs>
              <w:tab w:val="right" w:leader="dot" w:pos="8828"/>
            </w:tabs>
            <w:rPr>
              <w:rFonts w:asciiTheme="minorHAnsi" w:hAnsiTheme="minorHAnsi" w:cstheme="minorBidi"/>
              <w:noProof/>
              <w:kern w:val="2"/>
              <w:szCs w:val="24"/>
              <w14:ligatures w14:val="standardContextual"/>
            </w:rPr>
          </w:pPr>
          <w:hyperlink w:anchor="_Toc222955476" w:history="1">
            <w:r w:rsidRPr="00D20EF4">
              <w:rPr>
                <w:rStyle w:val="Hipervnculo"/>
                <w:noProof/>
              </w:rPr>
              <w:t xml:space="preserve">7.5   </w:t>
            </w:r>
            <w:r w:rsidRPr="00D20EF4">
              <w:rPr>
                <w:rStyle w:val="Hipervnculo"/>
                <w:bCs/>
                <w:noProof/>
              </w:rPr>
              <w:t>Deterioro de las cuentas por cobrar estimadas de manera individual</w:t>
            </w:r>
            <w:r>
              <w:rPr>
                <w:noProof/>
                <w:webHidden/>
              </w:rPr>
              <w:tab/>
            </w:r>
            <w:r>
              <w:rPr>
                <w:noProof/>
                <w:webHidden/>
              </w:rPr>
              <w:fldChar w:fldCharType="begin"/>
            </w:r>
            <w:r>
              <w:rPr>
                <w:noProof/>
                <w:webHidden/>
              </w:rPr>
              <w:instrText xml:space="preserve"> PAGEREF _Toc222955476 \h </w:instrText>
            </w:r>
            <w:r>
              <w:rPr>
                <w:noProof/>
                <w:webHidden/>
              </w:rPr>
            </w:r>
            <w:r>
              <w:rPr>
                <w:noProof/>
                <w:webHidden/>
              </w:rPr>
              <w:fldChar w:fldCharType="separate"/>
            </w:r>
            <w:r>
              <w:rPr>
                <w:noProof/>
                <w:webHidden/>
              </w:rPr>
              <w:t>46</w:t>
            </w:r>
            <w:r>
              <w:rPr>
                <w:noProof/>
                <w:webHidden/>
              </w:rPr>
              <w:fldChar w:fldCharType="end"/>
            </w:r>
          </w:hyperlink>
        </w:p>
        <w:p w14:paraId="5CE10E1C" w14:textId="2336ED85" w:rsidR="001958E2" w:rsidRDefault="001958E2">
          <w:pPr>
            <w:pStyle w:val="TDC2"/>
            <w:tabs>
              <w:tab w:val="left" w:pos="880"/>
              <w:tab w:val="right" w:leader="dot" w:pos="8828"/>
            </w:tabs>
            <w:rPr>
              <w:rFonts w:asciiTheme="minorHAnsi" w:hAnsiTheme="minorHAnsi" w:cstheme="minorBidi"/>
              <w:noProof/>
              <w:kern w:val="2"/>
              <w:szCs w:val="24"/>
              <w14:ligatures w14:val="standardContextual"/>
            </w:rPr>
          </w:pPr>
          <w:hyperlink w:anchor="_Toc222955477" w:history="1">
            <w:r w:rsidRPr="00D20EF4">
              <w:rPr>
                <w:rStyle w:val="Hipervnculo"/>
                <w:noProof/>
              </w:rPr>
              <w:t>7.6.</w:t>
            </w:r>
            <w:r>
              <w:rPr>
                <w:rFonts w:asciiTheme="minorHAnsi" w:hAnsiTheme="minorHAnsi" w:cstheme="minorBidi"/>
                <w:noProof/>
                <w:kern w:val="2"/>
                <w:szCs w:val="24"/>
                <w14:ligatures w14:val="standardContextual"/>
              </w:rPr>
              <w:tab/>
            </w:r>
            <w:r w:rsidRPr="00D20EF4">
              <w:rPr>
                <w:rStyle w:val="Hipervnculo"/>
                <w:noProof/>
              </w:rPr>
              <w:t>Cuentas por cobrar vencidas no deterioradas</w:t>
            </w:r>
            <w:r>
              <w:rPr>
                <w:noProof/>
                <w:webHidden/>
              </w:rPr>
              <w:tab/>
            </w:r>
            <w:r>
              <w:rPr>
                <w:noProof/>
                <w:webHidden/>
              </w:rPr>
              <w:fldChar w:fldCharType="begin"/>
            </w:r>
            <w:r>
              <w:rPr>
                <w:noProof/>
                <w:webHidden/>
              </w:rPr>
              <w:instrText xml:space="preserve"> PAGEREF _Toc222955477 \h </w:instrText>
            </w:r>
            <w:r>
              <w:rPr>
                <w:noProof/>
                <w:webHidden/>
              </w:rPr>
            </w:r>
            <w:r>
              <w:rPr>
                <w:noProof/>
                <w:webHidden/>
              </w:rPr>
              <w:fldChar w:fldCharType="separate"/>
            </w:r>
            <w:r>
              <w:rPr>
                <w:noProof/>
                <w:webHidden/>
              </w:rPr>
              <w:t>49</w:t>
            </w:r>
            <w:r>
              <w:rPr>
                <w:noProof/>
                <w:webHidden/>
              </w:rPr>
              <w:fldChar w:fldCharType="end"/>
            </w:r>
          </w:hyperlink>
        </w:p>
        <w:p w14:paraId="40E73591" w14:textId="575A8902" w:rsidR="001958E2" w:rsidRDefault="001958E2">
          <w:pPr>
            <w:pStyle w:val="TDC1"/>
            <w:tabs>
              <w:tab w:val="right" w:leader="dot" w:pos="8828"/>
            </w:tabs>
            <w:rPr>
              <w:rFonts w:asciiTheme="minorHAnsi" w:eastAsiaTheme="minorEastAsia" w:hAnsiTheme="minorHAnsi" w:cstheme="minorBidi"/>
              <w:noProof/>
              <w:kern w:val="2"/>
              <w:szCs w:val="24"/>
              <w:lang w:eastAsia="es-CO"/>
              <w14:ligatures w14:val="standardContextual"/>
            </w:rPr>
          </w:pPr>
          <w:hyperlink w:anchor="_Toc222955478" w:history="1">
            <w:r w:rsidRPr="00D20EF4">
              <w:rPr>
                <w:rStyle w:val="Hipervnculo"/>
                <w:noProof/>
              </w:rPr>
              <w:t>NOTA 10. PROPIEDADES, PLANTA Y EQUIPO</w:t>
            </w:r>
            <w:r>
              <w:rPr>
                <w:noProof/>
                <w:webHidden/>
              </w:rPr>
              <w:tab/>
            </w:r>
            <w:r>
              <w:rPr>
                <w:noProof/>
                <w:webHidden/>
              </w:rPr>
              <w:fldChar w:fldCharType="begin"/>
            </w:r>
            <w:r>
              <w:rPr>
                <w:noProof/>
                <w:webHidden/>
              </w:rPr>
              <w:instrText xml:space="preserve"> PAGEREF _Toc222955478 \h </w:instrText>
            </w:r>
            <w:r>
              <w:rPr>
                <w:noProof/>
                <w:webHidden/>
              </w:rPr>
            </w:r>
            <w:r>
              <w:rPr>
                <w:noProof/>
                <w:webHidden/>
              </w:rPr>
              <w:fldChar w:fldCharType="separate"/>
            </w:r>
            <w:r>
              <w:rPr>
                <w:noProof/>
                <w:webHidden/>
              </w:rPr>
              <w:t>51</w:t>
            </w:r>
            <w:r>
              <w:rPr>
                <w:noProof/>
                <w:webHidden/>
              </w:rPr>
              <w:fldChar w:fldCharType="end"/>
            </w:r>
          </w:hyperlink>
        </w:p>
        <w:p w14:paraId="00FEDD03" w14:textId="074385CA" w:rsidR="001958E2" w:rsidRDefault="001958E2">
          <w:pPr>
            <w:pStyle w:val="TDC2"/>
            <w:tabs>
              <w:tab w:val="right" w:leader="dot" w:pos="8828"/>
            </w:tabs>
            <w:rPr>
              <w:rFonts w:asciiTheme="minorHAnsi" w:hAnsiTheme="minorHAnsi" w:cstheme="minorBidi"/>
              <w:noProof/>
              <w:kern w:val="2"/>
              <w:szCs w:val="24"/>
              <w14:ligatures w14:val="standardContextual"/>
            </w:rPr>
          </w:pPr>
          <w:hyperlink w:anchor="_Toc222955479" w:history="1">
            <w:r w:rsidRPr="00D20EF4">
              <w:rPr>
                <w:rStyle w:val="Hipervnculo"/>
                <w:noProof/>
              </w:rPr>
              <w:t>Composición</w:t>
            </w:r>
            <w:r>
              <w:rPr>
                <w:noProof/>
                <w:webHidden/>
              </w:rPr>
              <w:tab/>
            </w:r>
            <w:r>
              <w:rPr>
                <w:noProof/>
                <w:webHidden/>
              </w:rPr>
              <w:fldChar w:fldCharType="begin"/>
            </w:r>
            <w:r>
              <w:rPr>
                <w:noProof/>
                <w:webHidden/>
              </w:rPr>
              <w:instrText xml:space="preserve"> PAGEREF _Toc222955479 \h </w:instrText>
            </w:r>
            <w:r>
              <w:rPr>
                <w:noProof/>
                <w:webHidden/>
              </w:rPr>
            </w:r>
            <w:r>
              <w:rPr>
                <w:noProof/>
                <w:webHidden/>
              </w:rPr>
              <w:fldChar w:fldCharType="separate"/>
            </w:r>
            <w:r>
              <w:rPr>
                <w:noProof/>
                <w:webHidden/>
              </w:rPr>
              <w:t>52</w:t>
            </w:r>
            <w:r>
              <w:rPr>
                <w:noProof/>
                <w:webHidden/>
              </w:rPr>
              <w:fldChar w:fldCharType="end"/>
            </w:r>
          </w:hyperlink>
        </w:p>
        <w:p w14:paraId="4C716DB1" w14:textId="24ED9627" w:rsidR="001958E2" w:rsidRDefault="001958E2">
          <w:pPr>
            <w:pStyle w:val="TDC2"/>
            <w:tabs>
              <w:tab w:val="left" w:pos="1100"/>
              <w:tab w:val="right" w:leader="dot" w:pos="8828"/>
            </w:tabs>
            <w:rPr>
              <w:rFonts w:asciiTheme="minorHAnsi" w:hAnsiTheme="minorHAnsi" w:cstheme="minorBidi"/>
              <w:noProof/>
              <w:kern w:val="2"/>
              <w:szCs w:val="24"/>
              <w14:ligatures w14:val="standardContextual"/>
            </w:rPr>
          </w:pPr>
          <w:hyperlink w:anchor="_Toc222955480" w:history="1">
            <w:r w:rsidRPr="00D20EF4">
              <w:rPr>
                <w:rStyle w:val="Hipervnculo"/>
                <w:noProof/>
              </w:rPr>
              <w:t>10.1.</w:t>
            </w:r>
            <w:r>
              <w:rPr>
                <w:rFonts w:asciiTheme="minorHAnsi" w:hAnsiTheme="minorHAnsi" w:cstheme="minorBidi"/>
                <w:noProof/>
                <w:kern w:val="2"/>
                <w:szCs w:val="24"/>
                <w14:ligatures w14:val="standardContextual"/>
              </w:rPr>
              <w:tab/>
            </w:r>
            <w:r w:rsidRPr="00D20EF4">
              <w:rPr>
                <w:rStyle w:val="Hipervnculo"/>
                <w:noProof/>
              </w:rPr>
              <w:t>Detalle saldos y movimientos PPE – Muebles</w:t>
            </w:r>
            <w:r>
              <w:rPr>
                <w:noProof/>
                <w:webHidden/>
              </w:rPr>
              <w:tab/>
            </w:r>
            <w:r>
              <w:rPr>
                <w:noProof/>
                <w:webHidden/>
              </w:rPr>
              <w:fldChar w:fldCharType="begin"/>
            </w:r>
            <w:r>
              <w:rPr>
                <w:noProof/>
                <w:webHidden/>
              </w:rPr>
              <w:instrText xml:space="preserve"> PAGEREF _Toc222955480 \h </w:instrText>
            </w:r>
            <w:r>
              <w:rPr>
                <w:noProof/>
                <w:webHidden/>
              </w:rPr>
            </w:r>
            <w:r>
              <w:rPr>
                <w:noProof/>
                <w:webHidden/>
              </w:rPr>
              <w:fldChar w:fldCharType="separate"/>
            </w:r>
            <w:r>
              <w:rPr>
                <w:noProof/>
                <w:webHidden/>
              </w:rPr>
              <w:t>52</w:t>
            </w:r>
            <w:r>
              <w:rPr>
                <w:noProof/>
                <w:webHidden/>
              </w:rPr>
              <w:fldChar w:fldCharType="end"/>
            </w:r>
          </w:hyperlink>
        </w:p>
        <w:p w14:paraId="368A0295" w14:textId="05BDC339" w:rsidR="001958E2" w:rsidRDefault="001958E2">
          <w:pPr>
            <w:pStyle w:val="TDC2"/>
            <w:tabs>
              <w:tab w:val="right" w:leader="dot" w:pos="8828"/>
            </w:tabs>
            <w:rPr>
              <w:rFonts w:asciiTheme="minorHAnsi" w:hAnsiTheme="minorHAnsi" w:cstheme="minorBidi"/>
              <w:noProof/>
              <w:kern w:val="2"/>
              <w:szCs w:val="24"/>
              <w14:ligatures w14:val="standardContextual"/>
            </w:rPr>
          </w:pPr>
          <w:hyperlink w:anchor="_Toc222955481" w:history="1">
            <w:r w:rsidRPr="00D20EF4">
              <w:rPr>
                <w:rStyle w:val="Hipervnculo"/>
                <w:noProof/>
              </w:rPr>
              <w:t>Composición</w:t>
            </w:r>
            <w:r>
              <w:rPr>
                <w:noProof/>
                <w:webHidden/>
              </w:rPr>
              <w:tab/>
            </w:r>
            <w:r>
              <w:rPr>
                <w:noProof/>
                <w:webHidden/>
              </w:rPr>
              <w:fldChar w:fldCharType="begin"/>
            </w:r>
            <w:r>
              <w:rPr>
                <w:noProof/>
                <w:webHidden/>
              </w:rPr>
              <w:instrText xml:space="preserve"> PAGEREF _Toc222955481 \h </w:instrText>
            </w:r>
            <w:r>
              <w:rPr>
                <w:noProof/>
                <w:webHidden/>
              </w:rPr>
            </w:r>
            <w:r>
              <w:rPr>
                <w:noProof/>
                <w:webHidden/>
              </w:rPr>
              <w:fldChar w:fldCharType="separate"/>
            </w:r>
            <w:r>
              <w:rPr>
                <w:noProof/>
                <w:webHidden/>
              </w:rPr>
              <w:t>53</w:t>
            </w:r>
            <w:r>
              <w:rPr>
                <w:noProof/>
                <w:webHidden/>
              </w:rPr>
              <w:fldChar w:fldCharType="end"/>
            </w:r>
          </w:hyperlink>
        </w:p>
        <w:p w14:paraId="6791E6EB" w14:textId="32954AFF" w:rsidR="001958E2" w:rsidRDefault="001958E2">
          <w:pPr>
            <w:pStyle w:val="TDC2"/>
            <w:tabs>
              <w:tab w:val="left" w:pos="1100"/>
              <w:tab w:val="right" w:leader="dot" w:pos="8828"/>
            </w:tabs>
            <w:rPr>
              <w:rFonts w:asciiTheme="minorHAnsi" w:hAnsiTheme="minorHAnsi" w:cstheme="minorBidi"/>
              <w:noProof/>
              <w:kern w:val="2"/>
              <w:szCs w:val="24"/>
              <w14:ligatures w14:val="standardContextual"/>
            </w:rPr>
          </w:pPr>
          <w:hyperlink w:anchor="_Toc222955482" w:history="1">
            <w:r w:rsidRPr="00D20EF4">
              <w:rPr>
                <w:rStyle w:val="Hipervnculo"/>
                <w:noProof/>
              </w:rPr>
              <w:t>10.2.</w:t>
            </w:r>
            <w:r>
              <w:rPr>
                <w:rFonts w:asciiTheme="minorHAnsi" w:hAnsiTheme="minorHAnsi" w:cstheme="minorBidi"/>
                <w:noProof/>
                <w:kern w:val="2"/>
                <w:szCs w:val="24"/>
                <w14:ligatures w14:val="standardContextual"/>
              </w:rPr>
              <w:tab/>
            </w:r>
            <w:r w:rsidRPr="00D20EF4">
              <w:rPr>
                <w:rStyle w:val="Hipervnculo"/>
                <w:noProof/>
              </w:rPr>
              <w:t>Detalle saldos y movimientos PPE - Inmuebles</w:t>
            </w:r>
            <w:r>
              <w:rPr>
                <w:noProof/>
                <w:webHidden/>
              </w:rPr>
              <w:tab/>
            </w:r>
            <w:r>
              <w:rPr>
                <w:noProof/>
                <w:webHidden/>
              </w:rPr>
              <w:fldChar w:fldCharType="begin"/>
            </w:r>
            <w:r>
              <w:rPr>
                <w:noProof/>
                <w:webHidden/>
              </w:rPr>
              <w:instrText xml:space="preserve"> PAGEREF _Toc222955482 \h </w:instrText>
            </w:r>
            <w:r>
              <w:rPr>
                <w:noProof/>
                <w:webHidden/>
              </w:rPr>
            </w:r>
            <w:r>
              <w:rPr>
                <w:noProof/>
                <w:webHidden/>
              </w:rPr>
              <w:fldChar w:fldCharType="separate"/>
            </w:r>
            <w:r>
              <w:rPr>
                <w:noProof/>
                <w:webHidden/>
              </w:rPr>
              <w:t>60</w:t>
            </w:r>
            <w:r>
              <w:rPr>
                <w:noProof/>
                <w:webHidden/>
              </w:rPr>
              <w:fldChar w:fldCharType="end"/>
            </w:r>
          </w:hyperlink>
        </w:p>
        <w:p w14:paraId="6354A893" w14:textId="3283CAEC" w:rsidR="001958E2" w:rsidRDefault="001958E2">
          <w:pPr>
            <w:pStyle w:val="TDC2"/>
            <w:tabs>
              <w:tab w:val="left" w:pos="1100"/>
              <w:tab w:val="right" w:leader="dot" w:pos="8828"/>
            </w:tabs>
            <w:rPr>
              <w:rFonts w:asciiTheme="minorHAnsi" w:hAnsiTheme="minorHAnsi" w:cstheme="minorBidi"/>
              <w:noProof/>
              <w:kern w:val="2"/>
              <w:szCs w:val="24"/>
              <w14:ligatures w14:val="standardContextual"/>
            </w:rPr>
          </w:pPr>
          <w:hyperlink w:anchor="_Toc222955483" w:history="1">
            <w:r w:rsidRPr="00D20EF4">
              <w:rPr>
                <w:rStyle w:val="Hipervnculo"/>
                <w:noProof/>
              </w:rPr>
              <w:t>10.3.</w:t>
            </w:r>
            <w:r>
              <w:rPr>
                <w:rFonts w:asciiTheme="minorHAnsi" w:hAnsiTheme="minorHAnsi" w:cstheme="minorBidi"/>
                <w:noProof/>
                <w:kern w:val="2"/>
                <w:szCs w:val="24"/>
                <w14:ligatures w14:val="standardContextual"/>
              </w:rPr>
              <w:tab/>
            </w:r>
            <w:r w:rsidRPr="00D20EF4">
              <w:rPr>
                <w:rStyle w:val="Hipervnculo"/>
                <w:noProof/>
              </w:rPr>
              <w:t>Construcciones en curso</w:t>
            </w:r>
            <w:r>
              <w:rPr>
                <w:noProof/>
                <w:webHidden/>
              </w:rPr>
              <w:tab/>
            </w:r>
            <w:r>
              <w:rPr>
                <w:noProof/>
                <w:webHidden/>
              </w:rPr>
              <w:fldChar w:fldCharType="begin"/>
            </w:r>
            <w:r>
              <w:rPr>
                <w:noProof/>
                <w:webHidden/>
              </w:rPr>
              <w:instrText xml:space="preserve"> PAGEREF _Toc222955483 \h </w:instrText>
            </w:r>
            <w:r>
              <w:rPr>
                <w:noProof/>
                <w:webHidden/>
              </w:rPr>
            </w:r>
            <w:r>
              <w:rPr>
                <w:noProof/>
                <w:webHidden/>
              </w:rPr>
              <w:fldChar w:fldCharType="separate"/>
            </w:r>
            <w:r>
              <w:rPr>
                <w:noProof/>
                <w:webHidden/>
              </w:rPr>
              <w:t>62</w:t>
            </w:r>
            <w:r>
              <w:rPr>
                <w:noProof/>
                <w:webHidden/>
              </w:rPr>
              <w:fldChar w:fldCharType="end"/>
            </w:r>
          </w:hyperlink>
        </w:p>
        <w:p w14:paraId="41D3FC20" w14:textId="4B86FAF3" w:rsidR="001958E2" w:rsidRDefault="001958E2">
          <w:pPr>
            <w:pStyle w:val="TDC2"/>
            <w:tabs>
              <w:tab w:val="left" w:pos="1100"/>
              <w:tab w:val="right" w:leader="dot" w:pos="8828"/>
            </w:tabs>
            <w:rPr>
              <w:rFonts w:asciiTheme="minorHAnsi" w:hAnsiTheme="minorHAnsi" w:cstheme="minorBidi"/>
              <w:noProof/>
              <w:kern w:val="2"/>
              <w:szCs w:val="24"/>
              <w14:ligatures w14:val="standardContextual"/>
            </w:rPr>
          </w:pPr>
          <w:hyperlink w:anchor="_Toc222955484" w:history="1">
            <w:r w:rsidRPr="00D20EF4">
              <w:rPr>
                <w:rStyle w:val="Hipervnculo"/>
                <w:noProof/>
              </w:rPr>
              <w:t>10.4.</w:t>
            </w:r>
            <w:r>
              <w:rPr>
                <w:rFonts w:asciiTheme="minorHAnsi" w:hAnsiTheme="minorHAnsi" w:cstheme="minorBidi"/>
                <w:noProof/>
                <w:kern w:val="2"/>
                <w:szCs w:val="24"/>
                <w14:ligatures w14:val="standardContextual"/>
              </w:rPr>
              <w:tab/>
            </w:r>
            <w:r w:rsidRPr="00D20EF4">
              <w:rPr>
                <w:rStyle w:val="Hipervnculo"/>
                <w:noProof/>
              </w:rPr>
              <w:t>Estimaciones</w:t>
            </w:r>
            <w:r>
              <w:rPr>
                <w:noProof/>
                <w:webHidden/>
              </w:rPr>
              <w:tab/>
            </w:r>
            <w:r>
              <w:rPr>
                <w:noProof/>
                <w:webHidden/>
              </w:rPr>
              <w:fldChar w:fldCharType="begin"/>
            </w:r>
            <w:r>
              <w:rPr>
                <w:noProof/>
                <w:webHidden/>
              </w:rPr>
              <w:instrText xml:space="preserve"> PAGEREF _Toc222955484 \h </w:instrText>
            </w:r>
            <w:r>
              <w:rPr>
                <w:noProof/>
                <w:webHidden/>
              </w:rPr>
            </w:r>
            <w:r>
              <w:rPr>
                <w:noProof/>
                <w:webHidden/>
              </w:rPr>
              <w:fldChar w:fldCharType="separate"/>
            </w:r>
            <w:r>
              <w:rPr>
                <w:noProof/>
                <w:webHidden/>
              </w:rPr>
              <w:t>62</w:t>
            </w:r>
            <w:r>
              <w:rPr>
                <w:noProof/>
                <w:webHidden/>
              </w:rPr>
              <w:fldChar w:fldCharType="end"/>
            </w:r>
          </w:hyperlink>
        </w:p>
        <w:p w14:paraId="7C7C209A" w14:textId="471F5D1C" w:rsidR="001958E2" w:rsidRDefault="001958E2">
          <w:pPr>
            <w:pStyle w:val="TDC1"/>
            <w:tabs>
              <w:tab w:val="right" w:leader="dot" w:pos="8828"/>
            </w:tabs>
            <w:rPr>
              <w:rFonts w:asciiTheme="minorHAnsi" w:eastAsiaTheme="minorEastAsia" w:hAnsiTheme="minorHAnsi" w:cstheme="minorBidi"/>
              <w:noProof/>
              <w:kern w:val="2"/>
              <w:szCs w:val="24"/>
              <w:lang w:eastAsia="es-CO"/>
              <w14:ligatures w14:val="standardContextual"/>
            </w:rPr>
          </w:pPr>
          <w:hyperlink w:anchor="_Toc222955485" w:history="1">
            <w:r w:rsidRPr="00D20EF4">
              <w:rPr>
                <w:rStyle w:val="Hipervnculo"/>
                <w:noProof/>
              </w:rPr>
              <w:t>NOTA 11. BIENES DE USO PÚBLICO E HISTÓRICOS Y CULTURALES</w:t>
            </w:r>
            <w:r>
              <w:rPr>
                <w:noProof/>
                <w:webHidden/>
              </w:rPr>
              <w:tab/>
            </w:r>
            <w:r>
              <w:rPr>
                <w:noProof/>
                <w:webHidden/>
              </w:rPr>
              <w:fldChar w:fldCharType="begin"/>
            </w:r>
            <w:r>
              <w:rPr>
                <w:noProof/>
                <w:webHidden/>
              </w:rPr>
              <w:instrText xml:space="preserve"> PAGEREF _Toc222955485 \h </w:instrText>
            </w:r>
            <w:r>
              <w:rPr>
                <w:noProof/>
                <w:webHidden/>
              </w:rPr>
            </w:r>
            <w:r>
              <w:rPr>
                <w:noProof/>
                <w:webHidden/>
              </w:rPr>
              <w:fldChar w:fldCharType="separate"/>
            </w:r>
            <w:r>
              <w:rPr>
                <w:noProof/>
                <w:webHidden/>
              </w:rPr>
              <w:t>63</w:t>
            </w:r>
            <w:r>
              <w:rPr>
                <w:noProof/>
                <w:webHidden/>
              </w:rPr>
              <w:fldChar w:fldCharType="end"/>
            </w:r>
          </w:hyperlink>
        </w:p>
        <w:p w14:paraId="40FBB100" w14:textId="5D1B658F" w:rsidR="001958E2" w:rsidRDefault="001958E2">
          <w:pPr>
            <w:pStyle w:val="TDC2"/>
            <w:tabs>
              <w:tab w:val="right" w:leader="dot" w:pos="8828"/>
            </w:tabs>
            <w:rPr>
              <w:rFonts w:asciiTheme="minorHAnsi" w:hAnsiTheme="minorHAnsi" w:cstheme="minorBidi"/>
              <w:noProof/>
              <w:kern w:val="2"/>
              <w:szCs w:val="24"/>
              <w14:ligatures w14:val="standardContextual"/>
            </w:rPr>
          </w:pPr>
          <w:hyperlink w:anchor="_Toc222955486" w:history="1">
            <w:r w:rsidRPr="00D20EF4">
              <w:rPr>
                <w:rStyle w:val="Hipervnculo"/>
                <w:noProof/>
              </w:rPr>
              <w:t>Composición</w:t>
            </w:r>
            <w:r>
              <w:rPr>
                <w:noProof/>
                <w:webHidden/>
              </w:rPr>
              <w:tab/>
            </w:r>
            <w:r>
              <w:rPr>
                <w:noProof/>
                <w:webHidden/>
              </w:rPr>
              <w:fldChar w:fldCharType="begin"/>
            </w:r>
            <w:r>
              <w:rPr>
                <w:noProof/>
                <w:webHidden/>
              </w:rPr>
              <w:instrText xml:space="preserve"> PAGEREF _Toc222955486 \h </w:instrText>
            </w:r>
            <w:r>
              <w:rPr>
                <w:noProof/>
                <w:webHidden/>
              </w:rPr>
            </w:r>
            <w:r>
              <w:rPr>
                <w:noProof/>
                <w:webHidden/>
              </w:rPr>
              <w:fldChar w:fldCharType="separate"/>
            </w:r>
            <w:r>
              <w:rPr>
                <w:noProof/>
                <w:webHidden/>
              </w:rPr>
              <w:t>63</w:t>
            </w:r>
            <w:r>
              <w:rPr>
                <w:noProof/>
                <w:webHidden/>
              </w:rPr>
              <w:fldChar w:fldCharType="end"/>
            </w:r>
          </w:hyperlink>
        </w:p>
        <w:p w14:paraId="12C22CFC" w14:textId="3D9DBF26" w:rsidR="001958E2" w:rsidRDefault="001958E2">
          <w:pPr>
            <w:pStyle w:val="TDC2"/>
            <w:tabs>
              <w:tab w:val="left" w:pos="1100"/>
              <w:tab w:val="right" w:leader="dot" w:pos="8828"/>
            </w:tabs>
            <w:rPr>
              <w:rFonts w:asciiTheme="minorHAnsi" w:hAnsiTheme="minorHAnsi" w:cstheme="minorBidi"/>
              <w:noProof/>
              <w:kern w:val="2"/>
              <w:szCs w:val="24"/>
              <w14:ligatures w14:val="standardContextual"/>
            </w:rPr>
          </w:pPr>
          <w:hyperlink w:anchor="_Toc222955487" w:history="1">
            <w:r w:rsidRPr="00D20EF4">
              <w:rPr>
                <w:rStyle w:val="Hipervnculo"/>
                <w:noProof/>
              </w:rPr>
              <w:t>11.1.</w:t>
            </w:r>
            <w:r>
              <w:rPr>
                <w:rFonts w:asciiTheme="minorHAnsi" w:hAnsiTheme="minorHAnsi" w:cstheme="minorBidi"/>
                <w:noProof/>
                <w:kern w:val="2"/>
                <w:szCs w:val="24"/>
                <w14:ligatures w14:val="standardContextual"/>
              </w:rPr>
              <w:tab/>
            </w:r>
            <w:r w:rsidRPr="00D20EF4">
              <w:rPr>
                <w:rStyle w:val="Hipervnculo"/>
                <w:noProof/>
              </w:rPr>
              <w:t>Bienes de uso público (BUP)</w:t>
            </w:r>
            <w:r>
              <w:rPr>
                <w:noProof/>
                <w:webHidden/>
              </w:rPr>
              <w:tab/>
            </w:r>
            <w:r>
              <w:rPr>
                <w:noProof/>
                <w:webHidden/>
              </w:rPr>
              <w:fldChar w:fldCharType="begin"/>
            </w:r>
            <w:r>
              <w:rPr>
                <w:noProof/>
                <w:webHidden/>
              </w:rPr>
              <w:instrText xml:space="preserve"> PAGEREF _Toc222955487 \h </w:instrText>
            </w:r>
            <w:r>
              <w:rPr>
                <w:noProof/>
                <w:webHidden/>
              </w:rPr>
            </w:r>
            <w:r>
              <w:rPr>
                <w:noProof/>
                <w:webHidden/>
              </w:rPr>
              <w:fldChar w:fldCharType="separate"/>
            </w:r>
            <w:r>
              <w:rPr>
                <w:noProof/>
                <w:webHidden/>
              </w:rPr>
              <w:t>65</w:t>
            </w:r>
            <w:r>
              <w:rPr>
                <w:noProof/>
                <w:webHidden/>
              </w:rPr>
              <w:fldChar w:fldCharType="end"/>
            </w:r>
          </w:hyperlink>
        </w:p>
        <w:p w14:paraId="3E448D2C" w14:textId="081A505C" w:rsidR="001958E2" w:rsidRDefault="001958E2">
          <w:pPr>
            <w:pStyle w:val="TDC2"/>
            <w:tabs>
              <w:tab w:val="left" w:pos="1320"/>
              <w:tab w:val="right" w:leader="dot" w:pos="8828"/>
            </w:tabs>
            <w:rPr>
              <w:rFonts w:asciiTheme="minorHAnsi" w:hAnsiTheme="minorHAnsi" w:cstheme="minorBidi"/>
              <w:noProof/>
              <w:kern w:val="2"/>
              <w:szCs w:val="24"/>
              <w14:ligatures w14:val="standardContextual"/>
            </w:rPr>
          </w:pPr>
          <w:hyperlink w:anchor="_Toc222955488" w:history="1">
            <w:r w:rsidRPr="00D20EF4">
              <w:rPr>
                <w:rStyle w:val="Hipervnculo"/>
                <w:noProof/>
              </w:rPr>
              <w:t xml:space="preserve">11.1.1.  </w:t>
            </w:r>
            <w:r>
              <w:rPr>
                <w:rFonts w:asciiTheme="minorHAnsi" w:hAnsiTheme="minorHAnsi" w:cstheme="minorBidi"/>
                <w:noProof/>
                <w:kern w:val="2"/>
                <w:szCs w:val="24"/>
                <w14:ligatures w14:val="standardContextual"/>
              </w:rPr>
              <w:tab/>
            </w:r>
            <w:r w:rsidRPr="00D20EF4">
              <w:rPr>
                <w:rStyle w:val="Hipervnculo"/>
                <w:noProof/>
              </w:rPr>
              <w:t>Bienes de uso público en servicio - concesión.</w:t>
            </w:r>
            <w:r>
              <w:rPr>
                <w:noProof/>
                <w:webHidden/>
              </w:rPr>
              <w:tab/>
            </w:r>
            <w:r>
              <w:rPr>
                <w:noProof/>
                <w:webHidden/>
              </w:rPr>
              <w:fldChar w:fldCharType="begin"/>
            </w:r>
            <w:r>
              <w:rPr>
                <w:noProof/>
                <w:webHidden/>
              </w:rPr>
              <w:instrText xml:space="preserve"> PAGEREF _Toc222955488 \h </w:instrText>
            </w:r>
            <w:r>
              <w:rPr>
                <w:noProof/>
                <w:webHidden/>
              </w:rPr>
            </w:r>
            <w:r>
              <w:rPr>
                <w:noProof/>
                <w:webHidden/>
              </w:rPr>
              <w:fldChar w:fldCharType="separate"/>
            </w:r>
            <w:r>
              <w:rPr>
                <w:noProof/>
                <w:webHidden/>
              </w:rPr>
              <w:t>67</w:t>
            </w:r>
            <w:r>
              <w:rPr>
                <w:noProof/>
                <w:webHidden/>
              </w:rPr>
              <w:fldChar w:fldCharType="end"/>
            </w:r>
          </w:hyperlink>
        </w:p>
        <w:p w14:paraId="66E8B1B7" w14:textId="5D4815B5" w:rsidR="001958E2" w:rsidRDefault="001958E2">
          <w:pPr>
            <w:pStyle w:val="TDC2"/>
            <w:tabs>
              <w:tab w:val="left" w:pos="1320"/>
              <w:tab w:val="right" w:leader="dot" w:pos="8828"/>
            </w:tabs>
            <w:rPr>
              <w:rFonts w:asciiTheme="minorHAnsi" w:hAnsiTheme="minorHAnsi" w:cstheme="minorBidi"/>
              <w:noProof/>
              <w:kern w:val="2"/>
              <w:szCs w:val="24"/>
              <w14:ligatures w14:val="standardContextual"/>
            </w:rPr>
          </w:pPr>
          <w:hyperlink w:anchor="_Toc222955489" w:history="1">
            <w:r w:rsidRPr="00D20EF4">
              <w:rPr>
                <w:rStyle w:val="Hipervnculo"/>
                <w:noProof/>
              </w:rPr>
              <w:t xml:space="preserve">11.1.2.  </w:t>
            </w:r>
            <w:r>
              <w:rPr>
                <w:rFonts w:asciiTheme="minorHAnsi" w:hAnsiTheme="minorHAnsi" w:cstheme="minorBidi"/>
                <w:noProof/>
                <w:kern w:val="2"/>
                <w:szCs w:val="24"/>
                <w14:ligatures w14:val="standardContextual"/>
              </w:rPr>
              <w:tab/>
            </w:r>
            <w:r w:rsidRPr="00D20EF4">
              <w:rPr>
                <w:rStyle w:val="Hipervnculo"/>
                <w:noProof/>
              </w:rPr>
              <w:t>Bienes de uso público en construcción - concesiones.</w:t>
            </w:r>
            <w:r>
              <w:rPr>
                <w:noProof/>
                <w:webHidden/>
              </w:rPr>
              <w:tab/>
            </w:r>
            <w:r>
              <w:rPr>
                <w:noProof/>
                <w:webHidden/>
              </w:rPr>
              <w:fldChar w:fldCharType="begin"/>
            </w:r>
            <w:r>
              <w:rPr>
                <w:noProof/>
                <w:webHidden/>
              </w:rPr>
              <w:instrText xml:space="preserve"> PAGEREF _Toc222955489 \h </w:instrText>
            </w:r>
            <w:r>
              <w:rPr>
                <w:noProof/>
                <w:webHidden/>
              </w:rPr>
            </w:r>
            <w:r>
              <w:rPr>
                <w:noProof/>
                <w:webHidden/>
              </w:rPr>
              <w:fldChar w:fldCharType="separate"/>
            </w:r>
            <w:r>
              <w:rPr>
                <w:noProof/>
                <w:webHidden/>
              </w:rPr>
              <w:t>71</w:t>
            </w:r>
            <w:r>
              <w:rPr>
                <w:noProof/>
                <w:webHidden/>
              </w:rPr>
              <w:fldChar w:fldCharType="end"/>
            </w:r>
          </w:hyperlink>
        </w:p>
        <w:p w14:paraId="07F6A66E" w14:textId="084E042B" w:rsidR="001958E2" w:rsidRDefault="001958E2">
          <w:pPr>
            <w:pStyle w:val="TDC2"/>
            <w:tabs>
              <w:tab w:val="left" w:pos="1320"/>
              <w:tab w:val="right" w:leader="dot" w:pos="8828"/>
            </w:tabs>
            <w:rPr>
              <w:rFonts w:asciiTheme="minorHAnsi" w:hAnsiTheme="minorHAnsi" w:cstheme="minorBidi"/>
              <w:noProof/>
              <w:kern w:val="2"/>
              <w:szCs w:val="24"/>
              <w14:ligatures w14:val="standardContextual"/>
            </w:rPr>
          </w:pPr>
          <w:hyperlink w:anchor="_Toc222955490" w:history="1">
            <w:r w:rsidRPr="00D20EF4">
              <w:rPr>
                <w:rStyle w:val="Hipervnculo"/>
                <w:noProof/>
              </w:rPr>
              <w:t xml:space="preserve">11.1.3.  </w:t>
            </w:r>
            <w:r>
              <w:rPr>
                <w:rFonts w:asciiTheme="minorHAnsi" w:hAnsiTheme="minorHAnsi" w:cstheme="minorBidi"/>
                <w:noProof/>
                <w:kern w:val="2"/>
                <w:szCs w:val="24"/>
                <w14:ligatures w14:val="standardContextual"/>
              </w:rPr>
              <w:tab/>
            </w:r>
            <w:r w:rsidRPr="00D20EF4">
              <w:rPr>
                <w:rStyle w:val="Hipervnculo"/>
                <w:noProof/>
              </w:rPr>
              <w:t>Bienes de uso público en servicio.</w:t>
            </w:r>
            <w:r>
              <w:rPr>
                <w:noProof/>
                <w:webHidden/>
              </w:rPr>
              <w:tab/>
            </w:r>
            <w:r>
              <w:rPr>
                <w:noProof/>
                <w:webHidden/>
              </w:rPr>
              <w:fldChar w:fldCharType="begin"/>
            </w:r>
            <w:r>
              <w:rPr>
                <w:noProof/>
                <w:webHidden/>
              </w:rPr>
              <w:instrText xml:space="preserve"> PAGEREF _Toc222955490 \h </w:instrText>
            </w:r>
            <w:r>
              <w:rPr>
                <w:noProof/>
                <w:webHidden/>
              </w:rPr>
            </w:r>
            <w:r>
              <w:rPr>
                <w:noProof/>
                <w:webHidden/>
              </w:rPr>
              <w:fldChar w:fldCharType="separate"/>
            </w:r>
            <w:r>
              <w:rPr>
                <w:noProof/>
                <w:webHidden/>
              </w:rPr>
              <w:t>73</w:t>
            </w:r>
            <w:r>
              <w:rPr>
                <w:noProof/>
                <w:webHidden/>
              </w:rPr>
              <w:fldChar w:fldCharType="end"/>
            </w:r>
          </w:hyperlink>
        </w:p>
        <w:p w14:paraId="1C5B817C" w14:textId="65084B1C" w:rsidR="001958E2" w:rsidRDefault="001958E2">
          <w:pPr>
            <w:pStyle w:val="TDC2"/>
            <w:tabs>
              <w:tab w:val="left" w:pos="1100"/>
              <w:tab w:val="right" w:leader="dot" w:pos="8828"/>
            </w:tabs>
            <w:rPr>
              <w:rFonts w:asciiTheme="minorHAnsi" w:hAnsiTheme="minorHAnsi" w:cstheme="minorBidi"/>
              <w:noProof/>
              <w:kern w:val="2"/>
              <w:szCs w:val="24"/>
              <w14:ligatures w14:val="standardContextual"/>
            </w:rPr>
          </w:pPr>
          <w:hyperlink w:anchor="_Toc222955491" w:history="1">
            <w:r w:rsidRPr="00D20EF4">
              <w:rPr>
                <w:rStyle w:val="Hipervnculo"/>
                <w:noProof/>
              </w:rPr>
              <w:t xml:space="preserve">11.2.  </w:t>
            </w:r>
            <w:r>
              <w:rPr>
                <w:rFonts w:asciiTheme="minorHAnsi" w:hAnsiTheme="minorHAnsi" w:cstheme="minorBidi"/>
                <w:noProof/>
                <w:kern w:val="2"/>
                <w:szCs w:val="24"/>
                <w14:ligatures w14:val="standardContextual"/>
              </w:rPr>
              <w:tab/>
            </w:r>
            <w:r w:rsidRPr="00D20EF4">
              <w:rPr>
                <w:rStyle w:val="Hipervnculo"/>
                <w:noProof/>
              </w:rPr>
              <w:t>Revelaciones adicionales</w:t>
            </w:r>
            <w:r>
              <w:rPr>
                <w:noProof/>
                <w:webHidden/>
              </w:rPr>
              <w:tab/>
            </w:r>
            <w:r>
              <w:rPr>
                <w:noProof/>
                <w:webHidden/>
              </w:rPr>
              <w:fldChar w:fldCharType="begin"/>
            </w:r>
            <w:r>
              <w:rPr>
                <w:noProof/>
                <w:webHidden/>
              </w:rPr>
              <w:instrText xml:space="preserve"> PAGEREF _Toc222955491 \h </w:instrText>
            </w:r>
            <w:r>
              <w:rPr>
                <w:noProof/>
                <w:webHidden/>
              </w:rPr>
            </w:r>
            <w:r>
              <w:rPr>
                <w:noProof/>
                <w:webHidden/>
              </w:rPr>
              <w:fldChar w:fldCharType="separate"/>
            </w:r>
            <w:r>
              <w:rPr>
                <w:noProof/>
                <w:webHidden/>
              </w:rPr>
              <w:t>74</w:t>
            </w:r>
            <w:r>
              <w:rPr>
                <w:noProof/>
                <w:webHidden/>
              </w:rPr>
              <w:fldChar w:fldCharType="end"/>
            </w:r>
          </w:hyperlink>
        </w:p>
        <w:p w14:paraId="7D833C5F" w14:textId="64D94ADB" w:rsidR="001958E2" w:rsidRDefault="001958E2">
          <w:pPr>
            <w:pStyle w:val="TDC1"/>
            <w:tabs>
              <w:tab w:val="right" w:leader="dot" w:pos="8828"/>
            </w:tabs>
            <w:rPr>
              <w:rFonts w:asciiTheme="minorHAnsi" w:eastAsiaTheme="minorEastAsia" w:hAnsiTheme="minorHAnsi" w:cstheme="minorBidi"/>
              <w:noProof/>
              <w:kern w:val="2"/>
              <w:szCs w:val="24"/>
              <w:lang w:eastAsia="es-CO"/>
              <w14:ligatures w14:val="standardContextual"/>
            </w:rPr>
          </w:pPr>
          <w:hyperlink w:anchor="_Toc222955492" w:history="1">
            <w:r w:rsidRPr="00D20EF4">
              <w:rPr>
                <w:rStyle w:val="Hipervnculo"/>
                <w:noProof/>
              </w:rPr>
              <w:t>NOTA 14. ACTIVOS INTANGIBLES</w:t>
            </w:r>
            <w:r>
              <w:rPr>
                <w:noProof/>
                <w:webHidden/>
              </w:rPr>
              <w:tab/>
            </w:r>
            <w:r>
              <w:rPr>
                <w:noProof/>
                <w:webHidden/>
              </w:rPr>
              <w:fldChar w:fldCharType="begin"/>
            </w:r>
            <w:r>
              <w:rPr>
                <w:noProof/>
                <w:webHidden/>
              </w:rPr>
              <w:instrText xml:space="preserve"> PAGEREF _Toc222955492 \h </w:instrText>
            </w:r>
            <w:r>
              <w:rPr>
                <w:noProof/>
                <w:webHidden/>
              </w:rPr>
            </w:r>
            <w:r>
              <w:rPr>
                <w:noProof/>
                <w:webHidden/>
              </w:rPr>
              <w:fldChar w:fldCharType="separate"/>
            </w:r>
            <w:r>
              <w:rPr>
                <w:noProof/>
                <w:webHidden/>
              </w:rPr>
              <w:t>80</w:t>
            </w:r>
            <w:r>
              <w:rPr>
                <w:noProof/>
                <w:webHidden/>
              </w:rPr>
              <w:fldChar w:fldCharType="end"/>
            </w:r>
          </w:hyperlink>
        </w:p>
        <w:p w14:paraId="2EB00FE9" w14:textId="1679E3E1" w:rsidR="001958E2" w:rsidRDefault="001958E2">
          <w:pPr>
            <w:pStyle w:val="TDC2"/>
            <w:tabs>
              <w:tab w:val="right" w:leader="dot" w:pos="8828"/>
            </w:tabs>
            <w:rPr>
              <w:rFonts w:asciiTheme="minorHAnsi" w:hAnsiTheme="minorHAnsi" w:cstheme="minorBidi"/>
              <w:noProof/>
              <w:kern w:val="2"/>
              <w:szCs w:val="24"/>
              <w14:ligatures w14:val="standardContextual"/>
            </w:rPr>
          </w:pPr>
          <w:hyperlink w:anchor="_Toc222955493" w:history="1">
            <w:r w:rsidRPr="00D20EF4">
              <w:rPr>
                <w:rStyle w:val="Hipervnculo"/>
                <w:noProof/>
              </w:rPr>
              <w:t>Composición</w:t>
            </w:r>
            <w:r>
              <w:rPr>
                <w:noProof/>
                <w:webHidden/>
              </w:rPr>
              <w:tab/>
            </w:r>
            <w:r>
              <w:rPr>
                <w:noProof/>
                <w:webHidden/>
              </w:rPr>
              <w:fldChar w:fldCharType="begin"/>
            </w:r>
            <w:r>
              <w:rPr>
                <w:noProof/>
                <w:webHidden/>
              </w:rPr>
              <w:instrText xml:space="preserve"> PAGEREF _Toc222955493 \h </w:instrText>
            </w:r>
            <w:r>
              <w:rPr>
                <w:noProof/>
                <w:webHidden/>
              </w:rPr>
            </w:r>
            <w:r>
              <w:rPr>
                <w:noProof/>
                <w:webHidden/>
              </w:rPr>
              <w:fldChar w:fldCharType="separate"/>
            </w:r>
            <w:r>
              <w:rPr>
                <w:noProof/>
                <w:webHidden/>
              </w:rPr>
              <w:t>80</w:t>
            </w:r>
            <w:r>
              <w:rPr>
                <w:noProof/>
                <w:webHidden/>
              </w:rPr>
              <w:fldChar w:fldCharType="end"/>
            </w:r>
          </w:hyperlink>
        </w:p>
        <w:p w14:paraId="335F19D0" w14:textId="5F82999D" w:rsidR="001958E2" w:rsidRDefault="001958E2">
          <w:pPr>
            <w:pStyle w:val="TDC2"/>
            <w:tabs>
              <w:tab w:val="left" w:pos="1100"/>
              <w:tab w:val="right" w:leader="dot" w:pos="8828"/>
            </w:tabs>
            <w:rPr>
              <w:rFonts w:asciiTheme="minorHAnsi" w:hAnsiTheme="minorHAnsi" w:cstheme="minorBidi"/>
              <w:noProof/>
              <w:kern w:val="2"/>
              <w:szCs w:val="24"/>
              <w14:ligatures w14:val="standardContextual"/>
            </w:rPr>
          </w:pPr>
          <w:hyperlink w:anchor="_Toc222955494" w:history="1">
            <w:r w:rsidRPr="00D20EF4">
              <w:rPr>
                <w:rStyle w:val="Hipervnculo"/>
                <w:noProof/>
              </w:rPr>
              <w:t>14.1.</w:t>
            </w:r>
            <w:r>
              <w:rPr>
                <w:rFonts w:asciiTheme="minorHAnsi" w:hAnsiTheme="minorHAnsi" w:cstheme="minorBidi"/>
                <w:noProof/>
                <w:kern w:val="2"/>
                <w:szCs w:val="24"/>
                <w14:ligatures w14:val="standardContextual"/>
              </w:rPr>
              <w:tab/>
            </w:r>
            <w:r w:rsidRPr="00D20EF4">
              <w:rPr>
                <w:rStyle w:val="Hipervnculo"/>
                <w:noProof/>
              </w:rPr>
              <w:t>Detalle saldos y movimientos</w:t>
            </w:r>
            <w:r>
              <w:rPr>
                <w:noProof/>
                <w:webHidden/>
              </w:rPr>
              <w:tab/>
            </w:r>
            <w:r>
              <w:rPr>
                <w:noProof/>
                <w:webHidden/>
              </w:rPr>
              <w:fldChar w:fldCharType="begin"/>
            </w:r>
            <w:r>
              <w:rPr>
                <w:noProof/>
                <w:webHidden/>
              </w:rPr>
              <w:instrText xml:space="preserve"> PAGEREF _Toc222955494 \h </w:instrText>
            </w:r>
            <w:r>
              <w:rPr>
                <w:noProof/>
                <w:webHidden/>
              </w:rPr>
            </w:r>
            <w:r>
              <w:rPr>
                <w:noProof/>
                <w:webHidden/>
              </w:rPr>
              <w:fldChar w:fldCharType="separate"/>
            </w:r>
            <w:r>
              <w:rPr>
                <w:noProof/>
                <w:webHidden/>
              </w:rPr>
              <w:t>80</w:t>
            </w:r>
            <w:r>
              <w:rPr>
                <w:noProof/>
                <w:webHidden/>
              </w:rPr>
              <w:fldChar w:fldCharType="end"/>
            </w:r>
          </w:hyperlink>
        </w:p>
        <w:p w14:paraId="626E14EE" w14:textId="70FB77D1" w:rsidR="001958E2" w:rsidRDefault="001958E2">
          <w:pPr>
            <w:pStyle w:val="TDC2"/>
            <w:tabs>
              <w:tab w:val="left" w:pos="1100"/>
              <w:tab w:val="right" w:leader="dot" w:pos="8828"/>
            </w:tabs>
            <w:rPr>
              <w:rFonts w:asciiTheme="minorHAnsi" w:hAnsiTheme="minorHAnsi" w:cstheme="minorBidi"/>
              <w:noProof/>
              <w:kern w:val="2"/>
              <w:szCs w:val="24"/>
              <w14:ligatures w14:val="standardContextual"/>
            </w:rPr>
          </w:pPr>
          <w:hyperlink w:anchor="_Toc222955495" w:history="1">
            <w:r w:rsidRPr="00D20EF4">
              <w:rPr>
                <w:rStyle w:val="Hipervnculo"/>
                <w:noProof/>
              </w:rPr>
              <w:t>14.2.</w:t>
            </w:r>
            <w:r>
              <w:rPr>
                <w:rFonts w:asciiTheme="minorHAnsi" w:hAnsiTheme="minorHAnsi" w:cstheme="minorBidi"/>
                <w:noProof/>
                <w:kern w:val="2"/>
                <w:szCs w:val="24"/>
                <w14:ligatures w14:val="standardContextual"/>
              </w:rPr>
              <w:tab/>
            </w:r>
            <w:r w:rsidRPr="00D20EF4">
              <w:rPr>
                <w:rStyle w:val="Hipervnculo"/>
                <w:noProof/>
              </w:rPr>
              <w:t>Revelaciones adicionales</w:t>
            </w:r>
            <w:r>
              <w:rPr>
                <w:noProof/>
                <w:webHidden/>
              </w:rPr>
              <w:tab/>
            </w:r>
            <w:r>
              <w:rPr>
                <w:noProof/>
                <w:webHidden/>
              </w:rPr>
              <w:fldChar w:fldCharType="begin"/>
            </w:r>
            <w:r>
              <w:rPr>
                <w:noProof/>
                <w:webHidden/>
              </w:rPr>
              <w:instrText xml:space="preserve"> PAGEREF _Toc222955495 \h </w:instrText>
            </w:r>
            <w:r>
              <w:rPr>
                <w:noProof/>
                <w:webHidden/>
              </w:rPr>
            </w:r>
            <w:r>
              <w:rPr>
                <w:noProof/>
                <w:webHidden/>
              </w:rPr>
              <w:fldChar w:fldCharType="separate"/>
            </w:r>
            <w:r>
              <w:rPr>
                <w:noProof/>
                <w:webHidden/>
              </w:rPr>
              <w:t>82</w:t>
            </w:r>
            <w:r>
              <w:rPr>
                <w:noProof/>
                <w:webHidden/>
              </w:rPr>
              <w:fldChar w:fldCharType="end"/>
            </w:r>
          </w:hyperlink>
        </w:p>
        <w:p w14:paraId="3425DC88" w14:textId="2F532E66" w:rsidR="001958E2" w:rsidRDefault="001958E2">
          <w:pPr>
            <w:pStyle w:val="TDC1"/>
            <w:tabs>
              <w:tab w:val="right" w:leader="dot" w:pos="8828"/>
            </w:tabs>
            <w:rPr>
              <w:rFonts w:asciiTheme="minorHAnsi" w:eastAsiaTheme="minorEastAsia" w:hAnsiTheme="minorHAnsi" w:cstheme="minorBidi"/>
              <w:noProof/>
              <w:kern w:val="2"/>
              <w:szCs w:val="24"/>
              <w:lang w:eastAsia="es-CO"/>
              <w14:ligatures w14:val="standardContextual"/>
            </w:rPr>
          </w:pPr>
          <w:hyperlink w:anchor="_Toc222955496" w:history="1">
            <w:r w:rsidRPr="00D20EF4">
              <w:rPr>
                <w:rStyle w:val="Hipervnculo"/>
                <w:noProof/>
              </w:rPr>
              <w:t>NOTA 16. OTROS DERECHOS Y GARANTÍAS</w:t>
            </w:r>
            <w:r>
              <w:rPr>
                <w:noProof/>
                <w:webHidden/>
              </w:rPr>
              <w:tab/>
            </w:r>
            <w:r>
              <w:rPr>
                <w:noProof/>
                <w:webHidden/>
              </w:rPr>
              <w:fldChar w:fldCharType="begin"/>
            </w:r>
            <w:r>
              <w:rPr>
                <w:noProof/>
                <w:webHidden/>
              </w:rPr>
              <w:instrText xml:space="preserve"> PAGEREF _Toc222955496 \h </w:instrText>
            </w:r>
            <w:r>
              <w:rPr>
                <w:noProof/>
                <w:webHidden/>
              </w:rPr>
            </w:r>
            <w:r>
              <w:rPr>
                <w:noProof/>
                <w:webHidden/>
              </w:rPr>
              <w:fldChar w:fldCharType="separate"/>
            </w:r>
            <w:r>
              <w:rPr>
                <w:noProof/>
                <w:webHidden/>
              </w:rPr>
              <w:t>84</w:t>
            </w:r>
            <w:r>
              <w:rPr>
                <w:noProof/>
                <w:webHidden/>
              </w:rPr>
              <w:fldChar w:fldCharType="end"/>
            </w:r>
          </w:hyperlink>
        </w:p>
        <w:p w14:paraId="2B8A20BA" w14:textId="0165C126" w:rsidR="001958E2" w:rsidRDefault="001958E2">
          <w:pPr>
            <w:pStyle w:val="TDC2"/>
            <w:tabs>
              <w:tab w:val="right" w:leader="dot" w:pos="8828"/>
            </w:tabs>
            <w:rPr>
              <w:rFonts w:asciiTheme="minorHAnsi" w:hAnsiTheme="minorHAnsi" w:cstheme="minorBidi"/>
              <w:noProof/>
              <w:kern w:val="2"/>
              <w:szCs w:val="24"/>
              <w14:ligatures w14:val="standardContextual"/>
            </w:rPr>
          </w:pPr>
          <w:hyperlink w:anchor="_Toc222955497" w:history="1">
            <w:r w:rsidRPr="00D20EF4">
              <w:rPr>
                <w:rStyle w:val="Hipervnculo"/>
                <w:noProof/>
              </w:rPr>
              <w:t>Composición</w:t>
            </w:r>
            <w:r>
              <w:rPr>
                <w:noProof/>
                <w:webHidden/>
              </w:rPr>
              <w:tab/>
            </w:r>
            <w:r>
              <w:rPr>
                <w:noProof/>
                <w:webHidden/>
              </w:rPr>
              <w:fldChar w:fldCharType="begin"/>
            </w:r>
            <w:r>
              <w:rPr>
                <w:noProof/>
                <w:webHidden/>
              </w:rPr>
              <w:instrText xml:space="preserve"> PAGEREF _Toc222955497 \h </w:instrText>
            </w:r>
            <w:r>
              <w:rPr>
                <w:noProof/>
                <w:webHidden/>
              </w:rPr>
            </w:r>
            <w:r>
              <w:rPr>
                <w:noProof/>
                <w:webHidden/>
              </w:rPr>
              <w:fldChar w:fldCharType="separate"/>
            </w:r>
            <w:r>
              <w:rPr>
                <w:noProof/>
                <w:webHidden/>
              </w:rPr>
              <w:t>84</w:t>
            </w:r>
            <w:r>
              <w:rPr>
                <w:noProof/>
                <w:webHidden/>
              </w:rPr>
              <w:fldChar w:fldCharType="end"/>
            </w:r>
          </w:hyperlink>
        </w:p>
        <w:p w14:paraId="6D1658CF" w14:textId="61E9A40E" w:rsidR="001958E2" w:rsidRDefault="001958E2">
          <w:pPr>
            <w:pStyle w:val="TDC2"/>
            <w:tabs>
              <w:tab w:val="left" w:pos="1100"/>
              <w:tab w:val="right" w:leader="dot" w:pos="8828"/>
            </w:tabs>
            <w:rPr>
              <w:rFonts w:asciiTheme="minorHAnsi" w:hAnsiTheme="minorHAnsi" w:cstheme="minorBidi"/>
              <w:noProof/>
              <w:kern w:val="2"/>
              <w:szCs w:val="24"/>
              <w14:ligatures w14:val="standardContextual"/>
            </w:rPr>
          </w:pPr>
          <w:hyperlink w:anchor="_Toc222955498" w:history="1">
            <w:r w:rsidRPr="00D20EF4">
              <w:rPr>
                <w:rStyle w:val="Hipervnculo"/>
                <w:noProof/>
              </w:rPr>
              <w:t xml:space="preserve">16.1. </w:t>
            </w:r>
            <w:r>
              <w:rPr>
                <w:rFonts w:asciiTheme="minorHAnsi" w:hAnsiTheme="minorHAnsi" w:cstheme="minorBidi"/>
                <w:noProof/>
                <w:kern w:val="2"/>
                <w:szCs w:val="24"/>
                <w14:ligatures w14:val="standardContextual"/>
              </w:rPr>
              <w:tab/>
            </w:r>
            <w:r w:rsidRPr="00D20EF4">
              <w:rPr>
                <w:rStyle w:val="Hipervnculo"/>
                <w:noProof/>
              </w:rPr>
              <w:t>Desglose - Subcuentas Otros</w:t>
            </w:r>
            <w:r>
              <w:rPr>
                <w:noProof/>
                <w:webHidden/>
              </w:rPr>
              <w:tab/>
            </w:r>
            <w:r>
              <w:rPr>
                <w:noProof/>
                <w:webHidden/>
              </w:rPr>
              <w:fldChar w:fldCharType="begin"/>
            </w:r>
            <w:r>
              <w:rPr>
                <w:noProof/>
                <w:webHidden/>
              </w:rPr>
              <w:instrText xml:space="preserve"> PAGEREF _Toc222955498 \h </w:instrText>
            </w:r>
            <w:r>
              <w:rPr>
                <w:noProof/>
                <w:webHidden/>
              </w:rPr>
            </w:r>
            <w:r>
              <w:rPr>
                <w:noProof/>
                <w:webHidden/>
              </w:rPr>
              <w:fldChar w:fldCharType="separate"/>
            </w:r>
            <w:r>
              <w:rPr>
                <w:noProof/>
                <w:webHidden/>
              </w:rPr>
              <w:t>84</w:t>
            </w:r>
            <w:r>
              <w:rPr>
                <w:noProof/>
                <w:webHidden/>
              </w:rPr>
              <w:fldChar w:fldCharType="end"/>
            </w:r>
          </w:hyperlink>
        </w:p>
        <w:p w14:paraId="0D59E3DB" w14:textId="62A85CEA" w:rsidR="001958E2" w:rsidRDefault="001958E2">
          <w:pPr>
            <w:pStyle w:val="TDC1"/>
            <w:tabs>
              <w:tab w:val="right" w:leader="dot" w:pos="8828"/>
            </w:tabs>
            <w:rPr>
              <w:rFonts w:asciiTheme="minorHAnsi" w:eastAsiaTheme="minorEastAsia" w:hAnsiTheme="minorHAnsi" w:cstheme="minorBidi"/>
              <w:noProof/>
              <w:kern w:val="2"/>
              <w:szCs w:val="24"/>
              <w:lang w:eastAsia="es-CO"/>
              <w14:ligatures w14:val="standardContextual"/>
            </w:rPr>
          </w:pPr>
          <w:hyperlink w:anchor="_Toc222955499" w:history="1">
            <w:r w:rsidRPr="00D20EF4">
              <w:rPr>
                <w:rStyle w:val="Hipervnculo"/>
                <w:noProof/>
              </w:rPr>
              <w:t>NOTA 21. PRÉSTAMOS POR PAGAR</w:t>
            </w:r>
            <w:r>
              <w:rPr>
                <w:noProof/>
                <w:webHidden/>
              </w:rPr>
              <w:tab/>
            </w:r>
            <w:r>
              <w:rPr>
                <w:noProof/>
                <w:webHidden/>
              </w:rPr>
              <w:fldChar w:fldCharType="begin"/>
            </w:r>
            <w:r>
              <w:rPr>
                <w:noProof/>
                <w:webHidden/>
              </w:rPr>
              <w:instrText xml:space="preserve"> PAGEREF _Toc222955499 \h </w:instrText>
            </w:r>
            <w:r>
              <w:rPr>
                <w:noProof/>
                <w:webHidden/>
              </w:rPr>
            </w:r>
            <w:r>
              <w:rPr>
                <w:noProof/>
                <w:webHidden/>
              </w:rPr>
              <w:fldChar w:fldCharType="separate"/>
            </w:r>
            <w:r>
              <w:rPr>
                <w:noProof/>
                <w:webHidden/>
              </w:rPr>
              <w:t>99</w:t>
            </w:r>
            <w:r>
              <w:rPr>
                <w:noProof/>
                <w:webHidden/>
              </w:rPr>
              <w:fldChar w:fldCharType="end"/>
            </w:r>
          </w:hyperlink>
        </w:p>
        <w:p w14:paraId="4C86F657" w14:textId="001FA0FB" w:rsidR="001958E2" w:rsidRDefault="001958E2">
          <w:pPr>
            <w:pStyle w:val="TDC2"/>
            <w:tabs>
              <w:tab w:val="right" w:leader="dot" w:pos="8828"/>
            </w:tabs>
            <w:rPr>
              <w:rFonts w:asciiTheme="minorHAnsi" w:hAnsiTheme="minorHAnsi" w:cstheme="minorBidi"/>
              <w:noProof/>
              <w:kern w:val="2"/>
              <w:szCs w:val="24"/>
              <w14:ligatures w14:val="standardContextual"/>
            </w:rPr>
          </w:pPr>
          <w:hyperlink w:anchor="_Toc222955500" w:history="1">
            <w:r w:rsidRPr="00D20EF4">
              <w:rPr>
                <w:rStyle w:val="Hipervnculo"/>
                <w:noProof/>
              </w:rPr>
              <w:t>Composición</w:t>
            </w:r>
            <w:r>
              <w:rPr>
                <w:noProof/>
                <w:webHidden/>
              </w:rPr>
              <w:tab/>
            </w:r>
            <w:r>
              <w:rPr>
                <w:noProof/>
                <w:webHidden/>
              </w:rPr>
              <w:fldChar w:fldCharType="begin"/>
            </w:r>
            <w:r>
              <w:rPr>
                <w:noProof/>
                <w:webHidden/>
              </w:rPr>
              <w:instrText xml:space="preserve"> PAGEREF _Toc222955500 \h </w:instrText>
            </w:r>
            <w:r>
              <w:rPr>
                <w:noProof/>
                <w:webHidden/>
              </w:rPr>
            </w:r>
            <w:r>
              <w:rPr>
                <w:noProof/>
                <w:webHidden/>
              </w:rPr>
              <w:fldChar w:fldCharType="separate"/>
            </w:r>
            <w:r>
              <w:rPr>
                <w:noProof/>
                <w:webHidden/>
              </w:rPr>
              <w:t>99</w:t>
            </w:r>
            <w:r>
              <w:rPr>
                <w:noProof/>
                <w:webHidden/>
              </w:rPr>
              <w:fldChar w:fldCharType="end"/>
            </w:r>
          </w:hyperlink>
        </w:p>
        <w:p w14:paraId="70A540C4" w14:textId="44EEA454" w:rsidR="001958E2" w:rsidRDefault="001958E2">
          <w:pPr>
            <w:pStyle w:val="TDC2"/>
            <w:tabs>
              <w:tab w:val="left" w:pos="1100"/>
              <w:tab w:val="right" w:leader="dot" w:pos="8828"/>
            </w:tabs>
            <w:rPr>
              <w:rFonts w:asciiTheme="minorHAnsi" w:hAnsiTheme="minorHAnsi" w:cstheme="minorBidi"/>
              <w:noProof/>
              <w:kern w:val="2"/>
              <w:szCs w:val="24"/>
              <w14:ligatures w14:val="standardContextual"/>
            </w:rPr>
          </w:pPr>
          <w:hyperlink w:anchor="_Toc222955501" w:history="1">
            <w:r w:rsidRPr="00D20EF4">
              <w:rPr>
                <w:rStyle w:val="Hipervnculo"/>
                <w:noProof/>
              </w:rPr>
              <w:t>21.1.</w:t>
            </w:r>
            <w:r>
              <w:rPr>
                <w:rFonts w:asciiTheme="minorHAnsi" w:hAnsiTheme="minorHAnsi" w:cstheme="minorBidi"/>
                <w:noProof/>
                <w:kern w:val="2"/>
                <w:szCs w:val="24"/>
                <w14:ligatures w14:val="standardContextual"/>
              </w:rPr>
              <w:tab/>
            </w:r>
            <w:r w:rsidRPr="00D20EF4">
              <w:rPr>
                <w:rStyle w:val="Hipervnculo"/>
                <w:noProof/>
              </w:rPr>
              <w:t>Revelaciones Generales</w:t>
            </w:r>
            <w:r>
              <w:rPr>
                <w:noProof/>
                <w:webHidden/>
              </w:rPr>
              <w:tab/>
            </w:r>
            <w:r>
              <w:rPr>
                <w:noProof/>
                <w:webHidden/>
              </w:rPr>
              <w:fldChar w:fldCharType="begin"/>
            </w:r>
            <w:r>
              <w:rPr>
                <w:noProof/>
                <w:webHidden/>
              </w:rPr>
              <w:instrText xml:space="preserve"> PAGEREF _Toc222955501 \h </w:instrText>
            </w:r>
            <w:r>
              <w:rPr>
                <w:noProof/>
                <w:webHidden/>
              </w:rPr>
            </w:r>
            <w:r>
              <w:rPr>
                <w:noProof/>
                <w:webHidden/>
              </w:rPr>
              <w:fldChar w:fldCharType="separate"/>
            </w:r>
            <w:r>
              <w:rPr>
                <w:noProof/>
                <w:webHidden/>
              </w:rPr>
              <w:t>99</w:t>
            </w:r>
            <w:r>
              <w:rPr>
                <w:noProof/>
                <w:webHidden/>
              </w:rPr>
              <w:fldChar w:fldCharType="end"/>
            </w:r>
          </w:hyperlink>
        </w:p>
        <w:p w14:paraId="0EB2A541" w14:textId="64A46624" w:rsidR="001958E2" w:rsidRDefault="001958E2">
          <w:pPr>
            <w:pStyle w:val="TDC3"/>
            <w:tabs>
              <w:tab w:val="left" w:pos="1540"/>
              <w:tab w:val="right" w:leader="dot" w:pos="8828"/>
            </w:tabs>
            <w:rPr>
              <w:rFonts w:asciiTheme="minorHAnsi" w:hAnsiTheme="minorHAnsi" w:cstheme="minorBidi"/>
              <w:noProof/>
              <w:kern w:val="2"/>
              <w:szCs w:val="24"/>
              <w14:ligatures w14:val="standardContextual"/>
            </w:rPr>
          </w:pPr>
          <w:hyperlink w:anchor="_Toc222955502" w:history="1">
            <w:r w:rsidRPr="00D20EF4">
              <w:rPr>
                <w:rStyle w:val="Hipervnculo"/>
                <w:rFonts w:eastAsia="Times New Roman"/>
                <w:noProof/>
              </w:rPr>
              <w:t>21.1.1.</w:t>
            </w:r>
            <w:r>
              <w:rPr>
                <w:rFonts w:asciiTheme="minorHAnsi" w:hAnsiTheme="minorHAnsi" w:cstheme="minorBidi"/>
                <w:noProof/>
                <w:kern w:val="2"/>
                <w:szCs w:val="24"/>
                <w14:ligatures w14:val="standardContextual"/>
              </w:rPr>
              <w:tab/>
            </w:r>
            <w:r w:rsidRPr="00D20EF4">
              <w:rPr>
                <w:rStyle w:val="Hipervnculo"/>
                <w:rFonts w:eastAsia="Times New Roman"/>
                <w:noProof/>
              </w:rPr>
              <w:t>Pasivo Financiero por acuerdo de concesión</w:t>
            </w:r>
            <w:r>
              <w:rPr>
                <w:noProof/>
                <w:webHidden/>
              </w:rPr>
              <w:tab/>
            </w:r>
            <w:r>
              <w:rPr>
                <w:noProof/>
                <w:webHidden/>
              </w:rPr>
              <w:fldChar w:fldCharType="begin"/>
            </w:r>
            <w:r>
              <w:rPr>
                <w:noProof/>
                <w:webHidden/>
              </w:rPr>
              <w:instrText xml:space="preserve"> PAGEREF _Toc222955502 \h </w:instrText>
            </w:r>
            <w:r>
              <w:rPr>
                <w:noProof/>
                <w:webHidden/>
              </w:rPr>
            </w:r>
            <w:r>
              <w:rPr>
                <w:noProof/>
                <w:webHidden/>
              </w:rPr>
              <w:fldChar w:fldCharType="separate"/>
            </w:r>
            <w:r>
              <w:rPr>
                <w:noProof/>
                <w:webHidden/>
              </w:rPr>
              <w:t>100</w:t>
            </w:r>
            <w:r>
              <w:rPr>
                <w:noProof/>
                <w:webHidden/>
              </w:rPr>
              <w:fldChar w:fldCharType="end"/>
            </w:r>
          </w:hyperlink>
        </w:p>
        <w:p w14:paraId="767A6070" w14:textId="293AAD6F" w:rsidR="001958E2" w:rsidRDefault="001958E2">
          <w:pPr>
            <w:pStyle w:val="TDC1"/>
            <w:tabs>
              <w:tab w:val="right" w:leader="dot" w:pos="8828"/>
            </w:tabs>
            <w:rPr>
              <w:rFonts w:asciiTheme="minorHAnsi" w:eastAsiaTheme="minorEastAsia" w:hAnsiTheme="minorHAnsi" w:cstheme="minorBidi"/>
              <w:noProof/>
              <w:kern w:val="2"/>
              <w:szCs w:val="24"/>
              <w:lang w:eastAsia="es-CO"/>
              <w14:ligatures w14:val="standardContextual"/>
            </w:rPr>
          </w:pPr>
          <w:hyperlink w:anchor="_Toc222955503" w:history="1">
            <w:r w:rsidRPr="00D20EF4">
              <w:rPr>
                <w:rStyle w:val="Hipervnculo"/>
                <w:noProof/>
              </w:rPr>
              <w:t>NOTA 22. CUENTAS POR PAGAR</w:t>
            </w:r>
            <w:r>
              <w:rPr>
                <w:noProof/>
                <w:webHidden/>
              </w:rPr>
              <w:tab/>
            </w:r>
            <w:r>
              <w:rPr>
                <w:noProof/>
                <w:webHidden/>
              </w:rPr>
              <w:fldChar w:fldCharType="begin"/>
            </w:r>
            <w:r>
              <w:rPr>
                <w:noProof/>
                <w:webHidden/>
              </w:rPr>
              <w:instrText xml:space="preserve"> PAGEREF _Toc222955503 \h </w:instrText>
            </w:r>
            <w:r>
              <w:rPr>
                <w:noProof/>
                <w:webHidden/>
              </w:rPr>
            </w:r>
            <w:r>
              <w:rPr>
                <w:noProof/>
                <w:webHidden/>
              </w:rPr>
              <w:fldChar w:fldCharType="separate"/>
            </w:r>
            <w:r>
              <w:rPr>
                <w:noProof/>
                <w:webHidden/>
              </w:rPr>
              <w:t>104</w:t>
            </w:r>
            <w:r>
              <w:rPr>
                <w:noProof/>
                <w:webHidden/>
              </w:rPr>
              <w:fldChar w:fldCharType="end"/>
            </w:r>
          </w:hyperlink>
        </w:p>
        <w:p w14:paraId="4FD2A0DF" w14:textId="17D10B62" w:rsidR="001958E2" w:rsidRDefault="001958E2">
          <w:pPr>
            <w:pStyle w:val="TDC2"/>
            <w:tabs>
              <w:tab w:val="right" w:leader="dot" w:pos="8828"/>
            </w:tabs>
            <w:rPr>
              <w:rFonts w:asciiTheme="minorHAnsi" w:hAnsiTheme="minorHAnsi" w:cstheme="minorBidi"/>
              <w:noProof/>
              <w:kern w:val="2"/>
              <w:szCs w:val="24"/>
              <w14:ligatures w14:val="standardContextual"/>
            </w:rPr>
          </w:pPr>
          <w:hyperlink w:anchor="_Toc222955504" w:history="1">
            <w:r w:rsidRPr="00D20EF4">
              <w:rPr>
                <w:rStyle w:val="Hipervnculo"/>
                <w:noProof/>
              </w:rPr>
              <w:t>Composición</w:t>
            </w:r>
            <w:r>
              <w:rPr>
                <w:noProof/>
                <w:webHidden/>
              </w:rPr>
              <w:tab/>
            </w:r>
            <w:r>
              <w:rPr>
                <w:noProof/>
                <w:webHidden/>
              </w:rPr>
              <w:fldChar w:fldCharType="begin"/>
            </w:r>
            <w:r>
              <w:rPr>
                <w:noProof/>
                <w:webHidden/>
              </w:rPr>
              <w:instrText xml:space="preserve"> PAGEREF _Toc222955504 \h </w:instrText>
            </w:r>
            <w:r>
              <w:rPr>
                <w:noProof/>
                <w:webHidden/>
              </w:rPr>
            </w:r>
            <w:r>
              <w:rPr>
                <w:noProof/>
                <w:webHidden/>
              </w:rPr>
              <w:fldChar w:fldCharType="separate"/>
            </w:r>
            <w:r>
              <w:rPr>
                <w:noProof/>
                <w:webHidden/>
              </w:rPr>
              <w:t>104</w:t>
            </w:r>
            <w:r>
              <w:rPr>
                <w:noProof/>
                <w:webHidden/>
              </w:rPr>
              <w:fldChar w:fldCharType="end"/>
            </w:r>
          </w:hyperlink>
        </w:p>
        <w:p w14:paraId="5E727256" w14:textId="42E12055" w:rsidR="001958E2" w:rsidRDefault="001958E2">
          <w:pPr>
            <w:pStyle w:val="TDC2"/>
            <w:tabs>
              <w:tab w:val="left" w:pos="1100"/>
              <w:tab w:val="right" w:leader="dot" w:pos="8828"/>
            </w:tabs>
            <w:rPr>
              <w:rFonts w:asciiTheme="minorHAnsi" w:hAnsiTheme="minorHAnsi" w:cstheme="minorBidi"/>
              <w:noProof/>
              <w:kern w:val="2"/>
              <w:szCs w:val="24"/>
              <w14:ligatures w14:val="standardContextual"/>
            </w:rPr>
          </w:pPr>
          <w:hyperlink w:anchor="_Toc222955505" w:history="1">
            <w:r w:rsidRPr="00D20EF4">
              <w:rPr>
                <w:rStyle w:val="Hipervnculo"/>
                <w:noProof/>
              </w:rPr>
              <w:t>22.1.</w:t>
            </w:r>
            <w:r>
              <w:rPr>
                <w:rFonts w:asciiTheme="minorHAnsi" w:hAnsiTheme="minorHAnsi" w:cstheme="minorBidi"/>
                <w:noProof/>
                <w:kern w:val="2"/>
                <w:szCs w:val="24"/>
                <w14:ligatures w14:val="standardContextual"/>
              </w:rPr>
              <w:tab/>
            </w:r>
            <w:r w:rsidRPr="00D20EF4">
              <w:rPr>
                <w:rStyle w:val="Hipervnculo"/>
                <w:noProof/>
              </w:rPr>
              <w:t>Revelaciones generales</w:t>
            </w:r>
            <w:r>
              <w:rPr>
                <w:noProof/>
                <w:webHidden/>
              </w:rPr>
              <w:tab/>
            </w:r>
            <w:r>
              <w:rPr>
                <w:noProof/>
                <w:webHidden/>
              </w:rPr>
              <w:fldChar w:fldCharType="begin"/>
            </w:r>
            <w:r>
              <w:rPr>
                <w:noProof/>
                <w:webHidden/>
              </w:rPr>
              <w:instrText xml:space="preserve"> PAGEREF _Toc222955505 \h </w:instrText>
            </w:r>
            <w:r>
              <w:rPr>
                <w:noProof/>
                <w:webHidden/>
              </w:rPr>
            </w:r>
            <w:r>
              <w:rPr>
                <w:noProof/>
                <w:webHidden/>
              </w:rPr>
              <w:fldChar w:fldCharType="separate"/>
            </w:r>
            <w:r>
              <w:rPr>
                <w:noProof/>
                <w:webHidden/>
              </w:rPr>
              <w:t>105</w:t>
            </w:r>
            <w:r>
              <w:rPr>
                <w:noProof/>
                <w:webHidden/>
              </w:rPr>
              <w:fldChar w:fldCharType="end"/>
            </w:r>
          </w:hyperlink>
        </w:p>
        <w:p w14:paraId="67993996" w14:textId="5822769E" w:rsidR="001958E2" w:rsidRDefault="001958E2">
          <w:pPr>
            <w:pStyle w:val="TDC3"/>
            <w:tabs>
              <w:tab w:val="left" w:pos="1540"/>
              <w:tab w:val="right" w:leader="dot" w:pos="8828"/>
            </w:tabs>
            <w:rPr>
              <w:rFonts w:asciiTheme="minorHAnsi" w:hAnsiTheme="minorHAnsi" w:cstheme="minorBidi"/>
              <w:noProof/>
              <w:kern w:val="2"/>
              <w:szCs w:val="24"/>
              <w14:ligatures w14:val="standardContextual"/>
            </w:rPr>
          </w:pPr>
          <w:hyperlink w:anchor="_Toc222955506" w:history="1">
            <w:r w:rsidRPr="00D20EF4">
              <w:rPr>
                <w:rStyle w:val="Hipervnculo"/>
                <w:noProof/>
              </w:rPr>
              <w:t>22.1.1.</w:t>
            </w:r>
            <w:r>
              <w:rPr>
                <w:rFonts w:asciiTheme="minorHAnsi" w:hAnsiTheme="minorHAnsi" w:cstheme="minorBidi"/>
                <w:noProof/>
                <w:kern w:val="2"/>
                <w:szCs w:val="24"/>
                <w14:ligatures w14:val="standardContextual"/>
              </w:rPr>
              <w:tab/>
            </w:r>
            <w:r w:rsidRPr="00D20EF4">
              <w:rPr>
                <w:rStyle w:val="Hipervnculo"/>
                <w:noProof/>
              </w:rPr>
              <w:t>Créditos judiciales</w:t>
            </w:r>
            <w:r>
              <w:rPr>
                <w:noProof/>
                <w:webHidden/>
              </w:rPr>
              <w:tab/>
            </w:r>
            <w:r>
              <w:rPr>
                <w:noProof/>
                <w:webHidden/>
              </w:rPr>
              <w:fldChar w:fldCharType="begin"/>
            </w:r>
            <w:r>
              <w:rPr>
                <w:noProof/>
                <w:webHidden/>
              </w:rPr>
              <w:instrText xml:space="preserve"> PAGEREF _Toc222955506 \h </w:instrText>
            </w:r>
            <w:r>
              <w:rPr>
                <w:noProof/>
                <w:webHidden/>
              </w:rPr>
            </w:r>
            <w:r>
              <w:rPr>
                <w:noProof/>
                <w:webHidden/>
              </w:rPr>
              <w:fldChar w:fldCharType="separate"/>
            </w:r>
            <w:r>
              <w:rPr>
                <w:noProof/>
                <w:webHidden/>
              </w:rPr>
              <w:t>105</w:t>
            </w:r>
            <w:r>
              <w:rPr>
                <w:noProof/>
                <w:webHidden/>
              </w:rPr>
              <w:fldChar w:fldCharType="end"/>
            </w:r>
          </w:hyperlink>
        </w:p>
        <w:p w14:paraId="7C43225B" w14:textId="122CDFDA" w:rsidR="001958E2" w:rsidRDefault="001958E2">
          <w:pPr>
            <w:pStyle w:val="TDC3"/>
            <w:tabs>
              <w:tab w:val="left" w:pos="1540"/>
              <w:tab w:val="right" w:leader="dot" w:pos="8828"/>
            </w:tabs>
            <w:rPr>
              <w:rFonts w:asciiTheme="minorHAnsi" w:hAnsiTheme="minorHAnsi" w:cstheme="minorBidi"/>
              <w:noProof/>
              <w:kern w:val="2"/>
              <w:szCs w:val="24"/>
              <w14:ligatures w14:val="standardContextual"/>
            </w:rPr>
          </w:pPr>
          <w:hyperlink w:anchor="_Toc222955507" w:history="1">
            <w:r w:rsidRPr="00D20EF4">
              <w:rPr>
                <w:rStyle w:val="Hipervnculo"/>
                <w:noProof/>
              </w:rPr>
              <w:t>22.1.2.</w:t>
            </w:r>
            <w:r>
              <w:rPr>
                <w:rFonts w:asciiTheme="minorHAnsi" w:hAnsiTheme="minorHAnsi" w:cstheme="minorBidi"/>
                <w:noProof/>
                <w:kern w:val="2"/>
                <w:szCs w:val="24"/>
                <w14:ligatures w14:val="standardContextual"/>
              </w:rPr>
              <w:tab/>
            </w:r>
            <w:r w:rsidRPr="00D20EF4">
              <w:rPr>
                <w:rStyle w:val="Hipervnculo"/>
                <w:noProof/>
              </w:rPr>
              <w:t>Otras cuentas por pagar</w:t>
            </w:r>
            <w:r>
              <w:rPr>
                <w:noProof/>
                <w:webHidden/>
              </w:rPr>
              <w:tab/>
            </w:r>
            <w:r>
              <w:rPr>
                <w:noProof/>
                <w:webHidden/>
              </w:rPr>
              <w:fldChar w:fldCharType="begin"/>
            </w:r>
            <w:r>
              <w:rPr>
                <w:noProof/>
                <w:webHidden/>
              </w:rPr>
              <w:instrText xml:space="preserve"> PAGEREF _Toc222955507 \h </w:instrText>
            </w:r>
            <w:r>
              <w:rPr>
                <w:noProof/>
                <w:webHidden/>
              </w:rPr>
            </w:r>
            <w:r>
              <w:rPr>
                <w:noProof/>
                <w:webHidden/>
              </w:rPr>
              <w:fldChar w:fldCharType="separate"/>
            </w:r>
            <w:r>
              <w:rPr>
                <w:noProof/>
                <w:webHidden/>
              </w:rPr>
              <w:t>131</w:t>
            </w:r>
            <w:r>
              <w:rPr>
                <w:noProof/>
                <w:webHidden/>
              </w:rPr>
              <w:fldChar w:fldCharType="end"/>
            </w:r>
          </w:hyperlink>
        </w:p>
        <w:p w14:paraId="3689E85B" w14:textId="7E87C8BD" w:rsidR="001958E2" w:rsidRDefault="001958E2">
          <w:pPr>
            <w:pStyle w:val="TDC3"/>
            <w:tabs>
              <w:tab w:val="left" w:pos="1540"/>
              <w:tab w:val="right" w:leader="dot" w:pos="8828"/>
            </w:tabs>
            <w:rPr>
              <w:rFonts w:asciiTheme="minorHAnsi" w:hAnsiTheme="minorHAnsi" w:cstheme="minorBidi"/>
              <w:noProof/>
              <w:kern w:val="2"/>
              <w:szCs w:val="24"/>
              <w14:ligatures w14:val="standardContextual"/>
            </w:rPr>
          </w:pPr>
          <w:hyperlink w:anchor="_Toc222955508" w:history="1">
            <w:r w:rsidRPr="00D20EF4">
              <w:rPr>
                <w:rStyle w:val="Hipervnculo"/>
                <w:noProof/>
              </w:rPr>
              <w:t>22.1.3.</w:t>
            </w:r>
            <w:r>
              <w:rPr>
                <w:rFonts w:asciiTheme="minorHAnsi" w:hAnsiTheme="minorHAnsi" w:cstheme="minorBidi"/>
                <w:noProof/>
                <w:kern w:val="2"/>
                <w:szCs w:val="24"/>
                <w14:ligatures w14:val="standardContextual"/>
              </w:rPr>
              <w:tab/>
            </w:r>
            <w:r w:rsidRPr="00D20EF4">
              <w:rPr>
                <w:rStyle w:val="Hipervnculo"/>
                <w:noProof/>
              </w:rPr>
              <w:t>Recursos a favor de terceros</w:t>
            </w:r>
            <w:r>
              <w:rPr>
                <w:noProof/>
                <w:webHidden/>
              </w:rPr>
              <w:tab/>
            </w:r>
            <w:r>
              <w:rPr>
                <w:noProof/>
                <w:webHidden/>
              </w:rPr>
              <w:fldChar w:fldCharType="begin"/>
            </w:r>
            <w:r>
              <w:rPr>
                <w:noProof/>
                <w:webHidden/>
              </w:rPr>
              <w:instrText xml:space="preserve"> PAGEREF _Toc222955508 \h </w:instrText>
            </w:r>
            <w:r>
              <w:rPr>
                <w:noProof/>
                <w:webHidden/>
              </w:rPr>
            </w:r>
            <w:r>
              <w:rPr>
                <w:noProof/>
                <w:webHidden/>
              </w:rPr>
              <w:fldChar w:fldCharType="separate"/>
            </w:r>
            <w:r>
              <w:rPr>
                <w:noProof/>
                <w:webHidden/>
              </w:rPr>
              <w:t>137</w:t>
            </w:r>
            <w:r>
              <w:rPr>
                <w:noProof/>
                <w:webHidden/>
              </w:rPr>
              <w:fldChar w:fldCharType="end"/>
            </w:r>
          </w:hyperlink>
        </w:p>
        <w:p w14:paraId="63A3C917" w14:textId="68C3977F" w:rsidR="001958E2" w:rsidRDefault="001958E2">
          <w:pPr>
            <w:pStyle w:val="TDC3"/>
            <w:tabs>
              <w:tab w:val="left" w:pos="1540"/>
              <w:tab w:val="right" w:leader="dot" w:pos="8828"/>
            </w:tabs>
            <w:rPr>
              <w:rFonts w:asciiTheme="minorHAnsi" w:hAnsiTheme="minorHAnsi" w:cstheme="minorBidi"/>
              <w:noProof/>
              <w:kern w:val="2"/>
              <w:szCs w:val="24"/>
              <w14:ligatures w14:val="standardContextual"/>
            </w:rPr>
          </w:pPr>
          <w:hyperlink w:anchor="_Toc222955509" w:history="1">
            <w:r w:rsidRPr="00D20EF4">
              <w:rPr>
                <w:rStyle w:val="Hipervnculo"/>
                <w:noProof/>
              </w:rPr>
              <w:t>22.1.4.</w:t>
            </w:r>
            <w:r>
              <w:rPr>
                <w:rFonts w:asciiTheme="minorHAnsi" w:hAnsiTheme="minorHAnsi" w:cstheme="minorBidi"/>
                <w:noProof/>
                <w:kern w:val="2"/>
                <w:szCs w:val="24"/>
                <w14:ligatures w14:val="standardContextual"/>
              </w:rPr>
              <w:tab/>
            </w:r>
            <w:r w:rsidRPr="00D20EF4">
              <w:rPr>
                <w:rStyle w:val="Hipervnculo"/>
                <w:noProof/>
              </w:rPr>
              <w:t>Adquisición de bienes y servicios nacionales</w:t>
            </w:r>
            <w:r>
              <w:rPr>
                <w:noProof/>
                <w:webHidden/>
              </w:rPr>
              <w:tab/>
            </w:r>
            <w:r>
              <w:rPr>
                <w:noProof/>
                <w:webHidden/>
              </w:rPr>
              <w:fldChar w:fldCharType="begin"/>
            </w:r>
            <w:r>
              <w:rPr>
                <w:noProof/>
                <w:webHidden/>
              </w:rPr>
              <w:instrText xml:space="preserve"> PAGEREF _Toc222955509 \h </w:instrText>
            </w:r>
            <w:r>
              <w:rPr>
                <w:noProof/>
                <w:webHidden/>
              </w:rPr>
            </w:r>
            <w:r>
              <w:rPr>
                <w:noProof/>
                <w:webHidden/>
              </w:rPr>
              <w:fldChar w:fldCharType="separate"/>
            </w:r>
            <w:r>
              <w:rPr>
                <w:noProof/>
                <w:webHidden/>
              </w:rPr>
              <w:t>137</w:t>
            </w:r>
            <w:r>
              <w:rPr>
                <w:noProof/>
                <w:webHidden/>
              </w:rPr>
              <w:fldChar w:fldCharType="end"/>
            </w:r>
          </w:hyperlink>
        </w:p>
        <w:p w14:paraId="1D6675FD" w14:textId="07FC3227" w:rsidR="001958E2" w:rsidRDefault="001958E2">
          <w:pPr>
            <w:pStyle w:val="TDC3"/>
            <w:tabs>
              <w:tab w:val="left" w:pos="1540"/>
              <w:tab w:val="right" w:leader="dot" w:pos="8828"/>
            </w:tabs>
            <w:rPr>
              <w:rFonts w:asciiTheme="minorHAnsi" w:hAnsiTheme="minorHAnsi" w:cstheme="minorBidi"/>
              <w:noProof/>
              <w:kern w:val="2"/>
              <w:szCs w:val="24"/>
              <w14:ligatures w14:val="standardContextual"/>
            </w:rPr>
          </w:pPr>
          <w:hyperlink w:anchor="_Toc222955510" w:history="1">
            <w:r w:rsidRPr="00D20EF4">
              <w:rPr>
                <w:rStyle w:val="Hipervnculo"/>
                <w:noProof/>
              </w:rPr>
              <w:t>22.1.5.</w:t>
            </w:r>
            <w:r>
              <w:rPr>
                <w:rFonts w:asciiTheme="minorHAnsi" w:hAnsiTheme="minorHAnsi" w:cstheme="minorBidi"/>
                <w:noProof/>
                <w:kern w:val="2"/>
                <w:szCs w:val="24"/>
                <w14:ligatures w14:val="standardContextual"/>
              </w:rPr>
              <w:tab/>
            </w:r>
            <w:r w:rsidRPr="00D20EF4">
              <w:rPr>
                <w:rStyle w:val="Hipervnculo"/>
                <w:noProof/>
              </w:rPr>
              <w:t>Impuestos, Contribuciones y Tasas</w:t>
            </w:r>
            <w:r>
              <w:rPr>
                <w:noProof/>
                <w:webHidden/>
              </w:rPr>
              <w:tab/>
            </w:r>
            <w:r>
              <w:rPr>
                <w:noProof/>
                <w:webHidden/>
              </w:rPr>
              <w:fldChar w:fldCharType="begin"/>
            </w:r>
            <w:r>
              <w:rPr>
                <w:noProof/>
                <w:webHidden/>
              </w:rPr>
              <w:instrText xml:space="preserve"> PAGEREF _Toc222955510 \h </w:instrText>
            </w:r>
            <w:r>
              <w:rPr>
                <w:noProof/>
                <w:webHidden/>
              </w:rPr>
            </w:r>
            <w:r>
              <w:rPr>
                <w:noProof/>
                <w:webHidden/>
              </w:rPr>
              <w:fldChar w:fldCharType="separate"/>
            </w:r>
            <w:r>
              <w:rPr>
                <w:noProof/>
                <w:webHidden/>
              </w:rPr>
              <w:t>138</w:t>
            </w:r>
            <w:r>
              <w:rPr>
                <w:noProof/>
                <w:webHidden/>
              </w:rPr>
              <w:fldChar w:fldCharType="end"/>
            </w:r>
          </w:hyperlink>
        </w:p>
        <w:p w14:paraId="7EC91D55" w14:textId="74C1F480" w:rsidR="001958E2" w:rsidRDefault="001958E2">
          <w:pPr>
            <w:pStyle w:val="TDC3"/>
            <w:tabs>
              <w:tab w:val="left" w:pos="1540"/>
              <w:tab w:val="right" w:leader="dot" w:pos="8828"/>
            </w:tabs>
            <w:rPr>
              <w:rFonts w:asciiTheme="minorHAnsi" w:hAnsiTheme="minorHAnsi" w:cstheme="minorBidi"/>
              <w:noProof/>
              <w:kern w:val="2"/>
              <w:szCs w:val="24"/>
              <w14:ligatures w14:val="standardContextual"/>
            </w:rPr>
          </w:pPr>
          <w:hyperlink w:anchor="_Toc222955511" w:history="1">
            <w:r w:rsidRPr="00D20EF4">
              <w:rPr>
                <w:rStyle w:val="Hipervnculo"/>
                <w:noProof/>
              </w:rPr>
              <w:t>22.1.6.</w:t>
            </w:r>
            <w:r>
              <w:rPr>
                <w:rFonts w:asciiTheme="minorHAnsi" w:hAnsiTheme="minorHAnsi" w:cstheme="minorBidi"/>
                <w:noProof/>
                <w:kern w:val="2"/>
                <w:szCs w:val="24"/>
                <w14:ligatures w14:val="standardContextual"/>
              </w:rPr>
              <w:tab/>
            </w:r>
            <w:r w:rsidRPr="00D20EF4">
              <w:rPr>
                <w:rStyle w:val="Hipervnculo"/>
                <w:noProof/>
              </w:rPr>
              <w:t>Descuentos de nomina</w:t>
            </w:r>
            <w:r>
              <w:rPr>
                <w:noProof/>
                <w:webHidden/>
              </w:rPr>
              <w:tab/>
            </w:r>
            <w:r>
              <w:rPr>
                <w:noProof/>
                <w:webHidden/>
              </w:rPr>
              <w:fldChar w:fldCharType="begin"/>
            </w:r>
            <w:r>
              <w:rPr>
                <w:noProof/>
                <w:webHidden/>
              </w:rPr>
              <w:instrText xml:space="preserve"> PAGEREF _Toc222955511 \h </w:instrText>
            </w:r>
            <w:r>
              <w:rPr>
                <w:noProof/>
                <w:webHidden/>
              </w:rPr>
            </w:r>
            <w:r>
              <w:rPr>
                <w:noProof/>
                <w:webHidden/>
              </w:rPr>
              <w:fldChar w:fldCharType="separate"/>
            </w:r>
            <w:r>
              <w:rPr>
                <w:noProof/>
                <w:webHidden/>
              </w:rPr>
              <w:t>139</w:t>
            </w:r>
            <w:r>
              <w:rPr>
                <w:noProof/>
                <w:webHidden/>
              </w:rPr>
              <w:fldChar w:fldCharType="end"/>
            </w:r>
          </w:hyperlink>
        </w:p>
        <w:p w14:paraId="04774F74" w14:textId="23787367" w:rsidR="001958E2" w:rsidRDefault="001958E2">
          <w:pPr>
            <w:pStyle w:val="TDC1"/>
            <w:tabs>
              <w:tab w:val="right" w:leader="dot" w:pos="8828"/>
            </w:tabs>
            <w:rPr>
              <w:rFonts w:asciiTheme="minorHAnsi" w:eastAsiaTheme="minorEastAsia" w:hAnsiTheme="minorHAnsi" w:cstheme="minorBidi"/>
              <w:noProof/>
              <w:kern w:val="2"/>
              <w:szCs w:val="24"/>
              <w:lang w:eastAsia="es-CO"/>
              <w14:ligatures w14:val="standardContextual"/>
            </w:rPr>
          </w:pPr>
          <w:hyperlink w:anchor="_Toc222955512" w:history="1">
            <w:r w:rsidRPr="00D20EF4">
              <w:rPr>
                <w:rStyle w:val="Hipervnculo"/>
                <w:noProof/>
              </w:rPr>
              <w:t>NOTA 23. BENEFICIOS A LOS EMPLEADOS</w:t>
            </w:r>
            <w:r>
              <w:rPr>
                <w:noProof/>
                <w:webHidden/>
              </w:rPr>
              <w:tab/>
            </w:r>
            <w:r>
              <w:rPr>
                <w:noProof/>
                <w:webHidden/>
              </w:rPr>
              <w:fldChar w:fldCharType="begin"/>
            </w:r>
            <w:r>
              <w:rPr>
                <w:noProof/>
                <w:webHidden/>
              </w:rPr>
              <w:instrText xml:space="preserve"> PAGEREF _Toc222955512 \h </w:instrText>
            </w:r>
            <w:r>
              <w:rPr>
                <w:noProof/>
                <w:webHidden/>
              </w:rPr>
            </w:r>
            <w:r>
              <w:rPr>
                <w:noProof/>
                <w:webHidden/>
              </w:rPr>
              <w:fldChar w:fldCharType="separate"/>
            </w:r>
            <w:r>
              <w:rPr>
                <w:noProof/>
                <w:webHidden/>
              </w:rPr>
              <w:t>139</w:t>
            </w:r>
            <w:r>
              <w:rPr>
                <w:noProof/>
                <w:webHidden/>
              </w:rPr>
              <w:fldChar w:fldCharType="end"/>
            </w:r>
          </w:hyperlink>
        </w:p>
        <w:p w14:paraId="702FB522" w14:textId="36B0138F" w:rsidR="001958E2" w:rsidRDefault="001958E2">
          <w:pPr>
            <w:pStyle w:val="TDC2"/>
            <w:tabs>
              <w:tab w:val="right" w:leader="dot" w:pos="8828"/>
            </w:tabs>
            <w:rPr>
              <w:rFonts w:asciiTheme="minorHAnsi" w:hAnsiTheme="minorHAnsi" w:cstheme="minorBidi"/>
              <w:noProof/>
              <w:kern w:val="2"/>
              <w:szCs w:val="24"/>
              <w14:ligatures w14:val="standardContextual"/>
            </w:rPr>
          </w:pPr>
          <w:hyperlink w:anchor="_Toc222955513" w:history="1">
            <w:r w:rsidRPr="00D20EF4">
              <w:rPr>
                <w:rStyle w:val="Hipervnculo"/>
                <w:noProof/>
              </w:rPr>
              <w:t>Composición</w:t>
            </w:r>
            <w:r>
              <w:rPr>
                <w:noProof/>
                <w:webHidden/>
              </w:rPr>
              <w:tab/>
            </w:r>
            <w:r>
              <w:rPr>
                <w:noProof/>
                <w:webHidden/>
              </w:rPr>
              <w:fldChar w:fldCharType="begin"/>
            </w:r>
            <w:r>
              <w:rPr>
                <w:noProof/>
                <w:webHidden/>
              </w:rPr>
              <w:instrText xml:space="preserve"> PAGEREF _Toc222955513 \h </w:instrText>
            </w:r>
            <w:r>
              <w:rPr>
                <w:noProof/>
                <w:webHidden/>
              </w:rPr>
            </w:r>
            <w:r>
              <w:rPr>
                <w:noProof/>
                <w:webHidden/>
              </w:rPr>
              <w:fldChar w:fldCharType="separate"/>
            </w:r>
            <w:r>
              <w:rPr>
                <w:noProof/>
                <w:webHidden/>
              </w:rPr>
              <w:t>139</w:t>
            </w:r>
            <w:r>
              <w:rPr>
                <w:noProof/>
                <w:webHidden/>
              </w:rPr>
              <w:fldChar w:fldCharType="end"/>
            </w:r>
          </w:hyperlink>
        </w:p>
        <w:p w14:paraId="7144C8B1" w14:textId="2923E4E9" w:rsidR="001958E2" w:rsidRDefault="001958E2">
          <w:pPr>
            <w:pStyle w:val="TDC2"/>
            <w:tabs>
              <w:tab w:val="left" w:pos="1100"/>
              <w:tab w:val="right" w:leader="dot" w:pos="8828"/>
            </w:tabs>
            <w:rPr>
              <w:rFonts w:asciiTheme="minorHAnsi" w:hAnsiTheme="minorHAnsi" w:cstheme="minorBidi"/>
              <w:noProof/>
              <w:kern w:val="2"/>
              <w:szCs w:val="24"/>
              <w14:ligatures w14:val="standardContextual"/>
            </w:rPr>
          </w:pPr>
          <w:hyperlink w:anchor="_Toc222955514" w:history="1">
            <w:r w:rsidRPr="00D20EF4">
              <w:rPr>
                <w:rStyle w:val="Hipervnculo"/>
                <w:noProof/>
              </w:rPr>
              <w:t>23.1.</w:t>
            </w:r>
            <w:r>
              <w:rPr>
                <w:rFonts w:asciiTheme="minorHAnsi" w:hAnsiTheme="minorHAnsi" w:cstheme="minorBidi"/>
                <w:noProof/>
                <w:kern w:val="2"/>
                <w:szCs w:val="24"/>
                <w14:ligatures w14:val="standardContextual"/>
              </w:rPr>
              <w:tab/>
            </w:r>
            <w:r w:rsidRPr="00D20EF4">
              <w:rPr>
                <w:rStyle w:val="Hipervnculo"/>
                <w:noProof/>
              </w:rPr>
              <w:t>Beneficios a los empleados a corto plazo</w:t>
            </w:r>
            <w:r>
              <w:rPr>
                <w:noProof/>
                <w:webHidden/>
              </w:rPr>
              <w:tab/>
            </w:r>
            <w:r>
              <w:rPr>
                <w:noProof/>
                <w:webHidden/>
              </w:rPr>
              <w:fldChar w:fldCharType="begin"/>
            </w:r>
            <w:r>
              <w:rPr>
                <w:noProof/>
                <w:webHidden/>
              </w:rPr>
              <w:instrText xml:space="preserve"> PAGEREF _Toc222955514 \h </w:instrText>
            </w:r>
            <w:r>
              <w:rPr>
                <w:noProof/>
                <w:webHidden/>
              </w:rPr>
            </w:r>
            <w:r>
              <w:rPr>
                <w:noProof/>
                <w:webHidden/>
              </w:rPr>
              <w:fldChar w:fldCharType="separate"/>
            </w:r>
            <w:r>
              <w:rPr>
                <w:noProof/>
                <w:webHidden/>
              </w:rPr>
              <w:t>140</w:t>
            </w:r>
            <w:r>
              <w:rPr>
                <w:noProof/>
                <w:webHidden/>
              </w:rPr>
              <w:fldChar w:fldCharType="end"/>
            </w:r>
          </w:hyperlink>
        </w:p>
        <w:p w14:paraId="76D42B81" w14:textId="7698B251" w:rsidR="001958E2" w:rsidRDefault="001958E2">
          <w:pPr>
            <w:pStyle w:val="TDC1"/>
            <w:tabs>
              <w:tab w:val="right" w:leader="dot" w:pos="8828"/>
            </w:tabs>
            <w:rPr>
              <w:rFonts w:asciiTheme="minorHAnsi" w:eastAsiaTheme="minorEastAsia" w:hAnsiTheme="minorHAnsi" w:cstheme="minorBidi"/>
              <w:noProof/>
              <w:kern w:val="2"/>
              <w:szCs w:val="24"/>
              <w:lang w:eastAsia="es-CO"/>
              <w14:ligatures w14:val="standardContextual"/>
            </w:rPr>
          </w:pPr>
          <w:hyperlink w:anchor="_Toc222955515" w:history="1">
            <w:r w:rsidRPr="00D20EF4">
              <w:rPr>
                <w:rStyle w:val="Hipervnculo"/>
                <w:noProof/>
              </w:rPr>
              <w:t>NOTA 24. PROVISIONES</w:t>
            </w:r>
            <w:r>
              <w:rPr>
                <w:noProof/>
                <w:webHidden/>
              </w:rPr>
              <w:tab/>
            </w:r>
            <w:r>
              <w:rPr>
                <w:noProof/>
                <w:webHidden/>
              </w:rPr>
              <w:fldChar w:fldCharType="begin"/>
            </w:r>
            <w:r>
              <w:rPr>
                <w:noProof/>
                <w:webHidden/>
              </w:rPr>
              <w:instrText xml:space="preserve"> PAGEREF _Toc222955515 \h </w:instrText>
            </w:r>
            <w:r>
              <w:rPr>
                <w:noProof/>
                <w:webHidden/>
              </w:rPr>
            </w:r>
            <w:r>
              <w:rPr>
                <w:noProof/>
                <w:webHidden/>
              </w:rPr>
              <w:fldChar w:fldCharType="separate"/>
            </w:r>
            <w:r>
              <w:rPr>
                <w:noProof/>
                <w:webHidden/>
              </w:rPr>
              <w:t>151</w:t>
            </w:r>
            <w:r>
              <w:rPr>
                <w:noProof/>
                <w:webHidden/>
              </w:rPr>
              <w:fldChar w:fldCharType="end"/>
            </w:r>
          </w:hyperlink>
        </w:p>
        <w:p w14:paraId="4495E1C8" w14:textId="54E91544" w:rsidR="001958E2" w:rsidRDefault="001958E2">
          <w:pPr>
            <w:pStyle w:val="TDC2"/>
            <w:tabs>
              <w:tab w:val="right" w:leader="dot" w:pos="8828"/>
            </w:tabs>
            <w:rPr>
              <w:rFonts w:asciiTheme="minorHAnsi" w:hAnsiTheme="minorHAnsi" w:cstheme="minorBidi"/>
              <w:noProof/>
              <w:kern w:val="2"/>
              <w:szCs w:val="24"/>
              <w14:ligatures w14:val="standardContextual"/>
            </w:rPr>
          </w:pPr>
          <w:hyperlink w:anchor="_Toc222955516" w:history="1">
            <w:r w:rsidRPr="00D20EF4">
              <w:rPr>
                <w:rStyle w:val="Hipervnculo"/>
                <w:noProof/>
              </w:rPr>
              <w:t>Composición</w:t>
            </w:r>
            <w:r>
              <w:rPr>
                <w:noProof/>
                <w:webHidden/>
              </w:rPr>
              <w:tab/>
            </w:r>
            <w:r>
              <w:rPr>
                <w:noProof/>
                <w:webHidden/>
              </w:rPr>
              <w:fldChar w:fldCharType="begin"/>
            </w:r>
            <w:r>
              <w:rPr>
                <w:noProof/>
                <w:webHidden/>
              </w:rPr>
              <w:instrText xml:space="preserve"> PAGEREF _Toc222955516 \h </w:instrText>
            </w:r>
            <w:r>
              <w:rPr>
                <w:noProof/>
                <w:webHidden/>
              </w:rPr>
            </w:r>
            <w:r>
              <w:rPr>
                <w:noProof/>
                <w:webHidden/>
              </w:rPr>
              <w:fldChar w:fldCharType="separate"/>
            </w:r>
            <w:r>
              <w:rPr>
                <w:noProof/>
                <w:webHidden/>
              </w:rPr>
              <w:t>151</w:t>
            </w:r>
            <w:r>
              <w:rPr>
                <w:noProof/>
                <w:webHidden/>
              </w:rPr>
              <w:fldChar w:fldCharType="end"/>
            </w:r>
          </w:hyperlink>
        </w:p>
        <w:p w14:paraId="4503A17A" w14:textId="4C13BBEA" w:rsidR="001958E2" w:rsidRDefault="001958E2">
          <w:pPr>
            <w:pStyle w:val="TDC2"/>
            <w:tabs>
              <w:tab w:val="left" w:pos="1100"/>
              <w:tab w:val="right" w:leader="dot" w:pos="8828"/>
            </w:tabs>
            <w:rPr>
              <w:rFonts w:asciiTheme="minorHAnsi" w:hAnsiTheme="minorHAnsi" w:cstheme="minorBidi"/>
              <w:noProof/>
              <w:kern w:val="2"/>
              <w:szCs w:val="24"/>
              <w14:ligatures w14:val="standardContextual"/>
            </w:rPr>
          </w:pPr>
          <w:hyperlink w:anchor="_Toc222955517" w:history="1">
            <w:r w:rsidRPr="00D20EF4">
              <w:rPr>
                <w:rStyle w:val="Hipervnculo"/>
                <w:noProof/>
              </w:rPr>
              <w:t>24.1.</w:t>
            </w:r>
            <w:r>
              <w:rPr>
                <w:rFonts w:asciiTheme="minorHAnsi" w:hAnsiTheme="minorHAnsi" w:cstheme="minorBidi"/>
                <w:noProof/>
                <w:kern w:val="2"/>
                <w:szCs w:val="24"/>
                <w14:ligatures w14:val="standardContextual"/>
              </w:rPr>
              <w:tab/>
            </w:r>
            <w:r w:rsidRPr="00D20EF4">
              <w:rPr>
                <w:rStyle w:val="Hipervnculo"/>
                <w:noProof/>
              </w:rPr>
              <w:t>Provisiones diversas</w:t>
            </w:r>
            <w:r>
              <w:rPr>
                <w:noProof/>
                <w:webHidden/>
              </w:rPr>
              <w:tab/>
            </w:r>
            <w:r>
              <w:rPr>
                <w:noProof/>
                <w:webHidden/>
              </w:rPr>
              <w:fldChar w:fldCharType="begin"/>
            </w:r>
            <w:r>
              <w:rPr>
                <w:noProof/>
                <w:webHidden/>
              </w:rPr>
              <w:instrText xml:space="preserve"> PAGEREF _Toc222955517 \h </w:instrText>
            </w:r>
            <w:r>
              <w:rPr>
                <w:noProof/>
                <w:webHidden/>
              </w:rPr>
            </w:r>
            <w:r>
              <w:rPr>
                <w:noProof/>
                <w:webHidden/>
              </w:rPr>
              <w:fldChar w:fldCharType="separate"/>
            </w:r>
            <w:r>
              <w:rPr>
                <w:noProof/>
                <w:webHidden/>
              </w:rPr>
              <w:t>152</w:t>
            </w:r>
            <w:r>
              <w:rPr>
                <w:noProof/>
                <w:webHidden/>
              </w:rPr>
              <w:fldChar w:fldCharType="end"/>
            </w:r>
          </w:hyperlink>
        </w:p>
        <w:p w14:paraId="3756ADC5" w14:textId="68431DFF" w:rsidR="001958E2" w:rsidRDefault="001958E2">
          <w:pPr>
            <w:pStyle w:val="TDC2"/>
            <w:tabs>
              <w:tab w:val="left" w:pos="1100"/>
              <w:tab w:val="right" w:leader="dot" w:pos="8828"/>
            </w:tabs>
            <w:rPr>
              <w:rFonts w:asciiTheme="minorHAnsi" w:hAnsiTheme="minorHAnsi" w:cstheme="minorBidi"/>
              <w:noProof/>
              <w:kern w:val="2"/>
              <w:szCs w:val="24"/>
              <w14:ligatures w14:val="standardContextual"/>
            </w:rPr>
          </w:pPr>
          <w:hyperlink w:anchor="_Toc222955518" w:history="1">
            <w:r w:rsidRPr="00D20EF4">
              <w:rPr>
                <w:rStyle w:val="Hipervnculo"/>
                <w:noProof/>
              </w:rPr>
              <w:t>24.2.</w:t>
            </w:r>
            <w:r>
              <w:rPr>
                <w:rFonts w:asciiTheme="minorHAnsi" w:hAnsiTheme="minorHAnsi" w:cstheme="minorBidi"/>
                <w:noProof/>
                <w:kern w:val="2"/>
                <w:szCs w:val="24"/>
                <w14:ligatures w14:val="standardContextual"/>
              </w:rPr>
              <w:tab/>
            </w:r>
            <w:r w:rsidRPr="00D20EF4">
              <w:rPr>
                <w:rStyle w:val="Hipervnculo"/>
                <w:noProof/>
              </w:rPr>
              <w:t>Litigios y demandas</w:t>
            </w:r>
            <w:r>
              <w:rPr>
                <w:noProof/>
                <w:webHidden/>
              </w:rPr>
              <w:tab/>
            </w:r>
            <w:r>
              <w:rPr>
                <w:noProof/>
                <w:webHidden/>
              </w:rPr>
              <w:fldChar w:fldCharType="begin"/>
            </w:r>
            <w:r>
              <w:rPr>
                <w:noProof/>
                <w:webHidden/>
              </w:rPr>
              <w:instrText xml:space="preserve"> PAGEREF _Toc222955518 \h </w:instrText>
            </w:r>
            <w:r>
              <w:rPr>
                <w:noProof/>
                <w:webHidden/>
              </w:rPr>
            </w:r>
            <w:r>
              <w:rPr>
                <w:noProof/>
                <w:webHidden/>
              </w:rPr>
              <w:fldChar w:fldCharType="separate"/>
            </w:r>
            <w:r>
              <w:rPr>
                <w:noProof/>
                <w:webHidden/>
              </w:rPr>
              <w:t>154</w:t>
            </w:r>
            <w:r>
              <w:rPr>
                <w:noProof/>
                <w:webHidden/>
              </w:rPr>
              <w:fldChar w:fldCharType="end"/>
            </w:r>
          </w:hyperlink>
        </w:p>
        <w:p w14:paraId="1355405A" w14:textId="1F2937D8" w:rsidR="001958E2" w:rsidRDefault="001958E2">
          <w:pPr>
            <w:pStyle w:val="TDC1"/>
            <w:tabs>
              <w:tab w:val="right" w:leader="dot" w:pos="8828"/>
            </w:tabs>
            <w:rPr>
              <w:rFonts w:asciiTheme="minorHAnsi" w:eastAsiaTheme="minorEastAsia" w:hAnsiTheme="minorHAnsi" w:cstheme="minorBidi"/>
              <w:noProof/>
              <w:kern w:val="2"/>
              <w:szCs w:val="24"/>
              <w:lang w:eastAsia="es-CO"/>
              <w14:ligatures w14:val="standardContextual"/>
            </w:rPr>
          </w:pPr>
          <w:hyperlink w:anchor="_Toc222955519" w:history="1">
            <w:r w:rsidRPr="00D20EF4">
              <w:rPr>
                <w:rStyle w:val="Hipervnculo"/>
                <w:noProof/>
              </w:rPr>
              <w:t>NOTA 25. OTROS PASIVOS</w:t>
            </w:r>
            <w:r>
              <w:rPr>
                <w:noProof/>
                <w:webHidden/>
              </w:rPr>
              <w:tab/>
            </w:r>
            <w:r>
              <w:rPr>
                <w:noProof/>
                <w:webHidden/>
              </w:rPr>
              <w:fldChar w:fldCharType="begin"/>
            </w:r>
            <w:r>
              <w:rPr>
                <w:noProof/>
                <w:webHidden/>
              </w:rPr>
              <w:instrText xml:space="preserve"> PAGEREF _Toc222955519 \h </w:instrText>
            </w:r>
            <w:r>
              <w:rPr>
                <w:noProof/>
                <w:webHidden/>
              </w:rPr>
            </w:r>
            <w:r>
              <w:rPr>
                <w:noProof/>
                <w:webHidden/>
              </w:rPr>
              <w:fldChar w:fldCharType="separate"/>
            </w:r>
            <w:r>
              <w:rPr>
                <w:noProof/>
                <w:webHidden/>
              </w:rPr>
              <w:t>160</w:t>
            </w:r>
            <w:r>
              <w:rPr>
                <w:noProof/>
                <w:webHidden/>
              </w:rPr>
              <w:fldChar w:fldCharType="end"/>
            </w:r>
          </w:hyperlink>
        </w:p>
        <w:p w14:paraId="489271BF" w14:textId="1D6E7F27" w:rsidR="001958E2" w:rsidRDefault="001958E2">
          <w:pPr>
            <w:pStyle w:val="TDC2"/>
            <w:tabs>
              <w:tab w:val="right" w:leader="dot" w:pos="8828"/>
            </w:tabs>
            <w:rPr>
              <w:rFonts w:asciiTheme="minorHAnsi" w:hAnsiTheme="minorHAnsi" w:cstheme="minorBidi"/>
              <w:noProof/>
              <w:kern w:val="2"/>
              <w:szCs w:val="24"/>
              <w14:ligatures w14:val="standardContextual"/>
            </w:rPr>
          </w:pPr>
          <w:hyperlink w:anchor="_Toc222955520" w:history="1">
            <w:r w:rsidRPr="00D20EF4">
              <w:rPr>
                <w:rStyle w:val="Hipervnculo"/>
                <w:noProof/>
              </w:rPr>
              <w:t>Composición</w:t>
            </w:r>
            <w:r>
              <w:rPr>
                <w:noProof/>
                <w:webHidden/>
              </w:rPr>
              <w:tab/>
            </w:r>
            <w:r>
              <w:rPr>
                <w:noProof/>
                <w:webHidden/>
              </w:rPr>
              <w:fldChar w:fldCharType="begin"/>
            </w:r>
            <w:r>
              <w:rPr>
                <w:noProof/>
                <w:webHidden/>
              </w:rPr>
              <w:instrText xml:space="preserve"> PAGEREF _Toc222955520 \h </w:instrText>
            </w:r>
            <w:r>
              <w:rPr>
                <w:noProof/>
                <w:webHidden/>
              </w:rPr>
            </w:r>
            <w:r>
              <w:rPr>
                <w:noProof/>
                <w:webHidden/>
              </w:rPr>
              <w:fldChar w:fldCharType="separate"/>
            </w:r>
            <w:r>
              <w:rPr>
                <w:noProof/>
                <w:webHidden/>
              </w:rPr>
              <w:t>160</w:t>
            </w:r>
            <w:r>
              <w:rPr>
                <w:noProof/>
                <w:webHidden/>
              </w:rPr>
              <w:fldChar w:fldCharType="end"/>
            </w:r>
          </w:hyperlink>
        </w:p>
        <w:p w14:paraId="352276F1" w14:textId="2292BB68" w:rsidR="001958E2" w:rsidRDefault="001958E2">
          <w:pPr>
            <w:pStyle w:val="TDC2"/>
            <w:tabs>
              <w:tab w:val="left" w:pos="1100"/>
              <w:tab w:val="right" w:leader="dot" w:pos="8828"/>
            </w:tabs>
            <w:rPr>
              <w:rFonts w:asciiTheme="minorHAnsi" w:hAnsiTheme="minorHAnsi" w:cstheme="minorBidi"/>
              <w:noProof/>
              <w:kern w:val="2"/>
              <w:szCs w:val="24"/>
              <w14:ligatures w14:val="standardContextual"/>
            </w:rPr>
          </w:pPr>
          <w:hyperlink w:anchor="_Toc222955521" w:history="1">
            <w:r w:rsidRPr="00D20EF4">
              <w:rPr>
                <w:rStyle w:val="Hipervnculo"/>
                <w:noProof/>
              </w:rPr>
              <w:t>25.1.</w:t>
            </w:r>
            <w:r>
              <w:rPr>
                <w:rFonts w:asciiTheme="minorHAnsi" w:hAnsiTheme="minorHAnsi" w:cstheme="minorBidi"/>
                <w:noProof/>
                <w:kern w:val="2"/>
                <w:szCs w:val="24"/>
                <w14:ligatures w14:val="standardContextual"/>
              </w:rPr>
              <w:tab/>
            </w:r>
            <w:r w:rsidRPr="00D20EF4">
              <w:rPr>
                <w:rStyle w:val="Hipervnculo"/>
                <w:noProof/>
              </w:rPr>
              <w:t>Desglose subcuentas otros.</w:t>
            </w:r>
            <w:r>
              <w:rPr>
                <w:noProof/>
                <w:webHidden/>
              </w:rPr>
              <w:tab/>
            </w:r>
            <w:r>
              <w:rPr>
                <w:noProof/>
                <w:webHidden/>
              </w:rPr>
              <w:fldChar w:fldCharType="begin"/>
            </w:r>
            <w:r>
              <w:rPr>
                <w:noProof/>
                <w:webHidden/>
              </w:rPr>
              <w:instrText xml:space="preserve"> PAGEREF _Toc222955521 \h </w:instrText>
            </w:r>
            <w:r>
              <w:rPr>
                <w:noProof/>
                <w:webHidden/>
              </w:rPr>
            </w:r>
            <w:r>
              <w:rPr>
                <w:noProof/>
                <w:webHidden/>
              </w:rPr>
              <w:fldChar w:fldCharType="separate"/>
            </w:r>
            <w:r>
              <w:rPr>
                <w:noProof/>
                <w:webHidden/>
              </w:rPr>
              <w:t>160</w:t>
            </w:r>
            <w:r>
              <w:rPr>
                <w:noProof/>
                <w:webHidden/>
              </w:rPr>
              <w:fldChar w:fldCharType="end"/>
            </w:r>
          </w:hyperlink>
        </w:p>
        <w:p w14:paraId="0639CB21" w14:textId="2A3F968F" w:rsidR="001958E2" w:rsidRDefault="001958E2">
          <w:pPr>
            <w:pStyle w:val="TDC1"/>
            <w:tabs>
              <w:tab w:val="right" w:leader="dot" w:pos="8828"/>
            </w:tabs>
            <w:rPr>
              <w:rFonts w:asciiTheme="minorHAnsi" w:eastAsiaTheme="minorEastAsia" w:hAnsiTheme="minorHAnsi" w:cstheme="minorBidi"/>
              <w:noProof/>
              <w:kern w:val="2"/>
              <w:szCs w:val="24"/>
              <w:lang w:eastAsia="es-CO"/>
              <w14:ligatures w14:val="standardContextual"/>
            </w:rPr>
          </w:pPr>
          <w:hyperlink w:anchor="_Toc222955522" w:history="1">
            <w:r w:rsidRPr="00D20EF4">
              <w:rPr>
                <w:rStyle w:val="Hipervnculo"/>
                <w:noProof/>
              </w:rPr>
              <w:t>NOTA 26. PATRIMONIO</w:t>
            </w:r>
            <w:r>
              <w:rPr>
                <w:noProof/>
                <w:webHidden/>
              </w:rPr>
              <w:tab/>
            </w:r>
            <w:r>
              <w:rPr>
                <w:noProof/>
                <w:webHidden/>
              </w:rPr>
              <w:fldChar w:fldCharType="begin"/>
            </w:r>
            <w:r>
              <w:rPr>
                <w:noProof/>
                <w:webHidden/>
              </w:rPr>
              <w:instrText xml:space="preserve"> PAGEREF _Toc222955522 \h </w:instrText>
            </w:r>
            <w:r>
              <w:rPr>
                <w:noProof/>
                <w:webHidden/>
              </w:rPr>
            </w:r>
            <w:r>
              <w:rPr>
                <w:noProof/>
                <w:webHidden/>
              </w:rPr>
              <w:fldChar w:fldCharType="separate"/>
            </w:r>
            <w:r>
              <w:rPr>
                <w:noProof/>
                <w:webHidden/>
              </w:rPr>
              <w:t>167</w:t>
            </w:r>
            <w:r>
              <w:rPr>
                <w:noProof/>
                <w:webHidden/>
              </w:rPr>
              <w:fldChar w:fldCharType="end"/>
            </w:r>
          </w:hyperlink>
        </w:p>
        <w:p w14:paraId="723260B7" w14:textId="10615B45" w:rsidR="001958E2" w:rsidRDefault="001958E2">
          <w:pPr>
            <w:pStyle w:val="TDC2"/>
            <w:tabs>
              <w:tab w:val="right" w:leader="dot" w:pos="8828"/>
            </w:tabs>
            <w:rPr>
              <w:rFonts w:asciiTheme="minorHAnsi" w:hAnsiTheme="minorHAnsi" w:cstheme="minorBidi"/>
              <w:noProof/>
              <w:kern w:val="2"/>
              <w:szCs w:val="24"/>
              <w14:ligatures w14:val="standardContextual"/>
            </w:rPr>
          </w:pPr>
          <w:hyperlink w:anchor="_Toc222955523" w:history="1">
            <w:r w:rsidRPr="00D20EF4">
              <w:rPr>
                <w:rStyle w:val="Hipervnculo"/>
                <w:noProof/>
              </w:rPr>
              <w:t>Composición</w:t>
            </w:r>
            <w:r>
              <w:rPr>
                <w:noProof/>
                <w:webHidden/>
              </w:rPr>
              <w:tab/>
            </w:r>
            <w:r>
              <w:rPr>
                <w:noProof/>
                <w:webHidden/>
              </w:rPr>
              <w:fldChar w:fldCharType="begin"/>
            </w:r>
            <w:r>
              <w:rPr>
                <w:noProof/>
                <w:webHidden/>
              </w:rPr>
              <w:instrText xml:space="preserve"> PAGEREF _Toc222955523 \h </w:instrText>
            </w:r>
            <w:r>
              <w:rPr>
                <w:noProof/>
                <w:webHidden/>
              </w:rPr>
            </w:r>
            <w:r>
              <w:rPr>
                <w:noProof/>
                <w:webHidden/>
              </w:rPr>
              <w:fldChar w:fldCharType="separate"/>
            </w:r>
            <w:r>
              <w:rPr>
                <w:noProof/>
                <w:webHidden/>
              </w:rPr>
              <w:t>167</w:t>
            </w:r>
            <w:r>
              <w:rPr>
                <w:noProof/>
                <w:webHidden/>
              </w:rPr>
              <w:fldChar w:fldCharType="end"/>
            </w:r>
          </w:hyperlink>
        </w:p>
        <w:p w14:paraId="11B5415F" w14:textId="02A3D841" w:rsidR="001958E2" w:rsidRDefault="001958E2">
          <w:pPr>
            <w:pStyle w:val="TDC2"/>
            <w:tabs>
              <w:tab w:val="left" w:pos="1100"/>
              <w:tab w:val="right" w:leader="dot" w:pos="8828"/>
            </w:tabs>
            <w:rPr>
              <w:rFonts w:asciiTheme="minorHAnsi" w:hAnsiTheme="minorHAnsi" w:cstheme="minorBidi"/>
              <w:noProof/>
              <w:kern w:val="2"/>
              <w:szCs w:val="24"/>
              <w14:ligatures w14:val="standardContextual"/>
            </w:rPr>
          </w:pPr>
          <w:hyperlink w:anchor="_Toc222955524" w:history="1">
            <w:r w:rsidRPr="00D20EF4">
              <w:rPr>
                <w:rStyle w:val="Hipervnculo"/>
                <w:rFonts w:eastAsia="Times New Roman"/>
                <w:noProof/>
              </w:rPr>
              <w:t xml:space="preserve">26.1.  </w:t>
            </w:r>
            <w:r>
              <w:rPr>
                <w:rFonts w:asciiTheme="minorHAnsi" w:hAnsiTheme="minorHAnsi" w:cstheme="minorBidi"/>
                <w:noProof/>
                <w:kern w:val="2"/>
                <w:szCs w:val="24"/>
                <w14:ligatures w14:val="standardContextual"/>
              </w:rPr>
              <w:tab/>
            </w:r>
            <w:r w:rsidRPr="00D20EF4">
              <w:rPr>
                <w:rStyle w:val="Hipervnculo"/>
                <w:rFonts w:eastAsia="Times New Roman"/>
                <w:noProof/>
              </w:rPr>
              <w:t>Resultado de ejercicios anteriores</w:t>
            </w:r>
            <w:r>
              <w:rPr>
                <w:noProof/>
                <w:webHidden/>
              </w:rPr>
              <w:tab/>
            </w:r>
            <w:r>
              <w:rPr>
                <w:noProof/>
                <w:webHidden/>
              </w:rPr>
              <w:fldChar w:fldCharType="begin"/>
            </w:r>
            <w:r>
              <w:rPr>
                <w:noProof/>
                <w:webHidden/>
              </w:rPr>
              <w:instrText xml:space="preserve"> PAGEREF _Toc222955524 \h </w:instrText>
            </w:r>
            <w:r>
              <w:rPr>
                <w:noProof/>
                <w:webHidden/>
              </w:rPr>
            </w:r>
            <w:r>
              <w:rPr>
                <w:noProof/>
                <w:webHidden/>
              </w:rPr>
              <w:fldChar w:fldCharType="separate"/>
            </w:r>
            <w:r>
              <w:rPr>
                <w:noProof/>
                <w:webHidden/>
              </w:rPr>
              <w:t>167</w:t>
            </w:r>
            <w:r>
              <w:rPr>
                <w:noProof/>
                <w:webHidden/>
              </w:rPr>
              <w:fldChar w:fldCharType="end"/>
            </w:r>
          </w:hyperlink>
        </w:p>
        <w:p w14:paraId="71999AC6" w14:textId="7803010F" w:rsidR="001958E2" w:rsidRDefault="001958E2">
          <w:pPr>
            <w:pStyle w:val="TDC2"/>
            <w:tabs>
              <w:tab w:val="left" w:pos="1100"/>
              <w:tab w:val="right" w:leader="dot" w:pos="8828"/>
            </w:tabs>
            <w:rPr>
              <w:rFonts w:asciiTheme="minorHAnsi" w:hAnsiTheme="minorHAnsi" w:cstheme="minorBidi"/>
              <w:noProof/>
              <w:kern w:val="2"/>
              <w:szCs w:val="24"/>
              <w14:ligatures w14:val="standardContextual"/>
            </w:rPr>
          </w:pPr>
          <w:hyperlink w:anchor="_Toc222955525" w:history="1">
            <w:r w:rsidRPr="00D20EF4">
              <w:rPr>
                <w:rStyle w:val="Hipervnculo"/>
                <w:rFonts w:eastAsia="Times New Roman"/>
                <w:noProof/>
              </w:rPr>
              <w:t xml:space="preserve">26.2. </w:t>
            </w:r>
            <w:r>
              <w:rPr>
                <w:rFonts w:asciiTheme="minorHAnsi" w:hAnsiTheme="minorHAnsi" w:cstheme="minorBidi"/>
                <w:noProof/>
                <w:kern w:val="2"/>
                <w:szCs w:val="24"/>
                <w14:ligatures w14:val="standardContextual"/>
              </w:rPr>
              <w:tab/>
            </w:r>
            <w:r w:rsidRPr="00D20EF4">
              <w:rPr>
                <w:rStyle w:val="Hipervnculo"/>
                <w:rFonts w:eastAsia="Times New Roman"/>
                <w:noProof/>
              </w:rPr>
              <w:t xml:space="preserve"> Resultado del ejercicio</w:t>
            </w:r>
            <w:r>
              <w:rPr>
                <w:noProof/>
                <w:webHidden/>
              </w:rPr>
              <w:tab/>
            </w:r>
            <w:r>
              <w:rPr>
                <w:noProof/>
                <w:webHidden/>
              </w:rPr>
              <w:fldChar w:fldCharType="begin"/>
            </w:r>
            <w:r>
              <w:rPr>
                <w:noProof/>
                <w:webHidden/>
              </w:rPr>
              <w:instrText xml:space="preserve"> PAGEREF _Toc222955525 \h </w:instrText>
            </w:r>
            <w:r>
              <w:rPr>
                <w:noProof/>
                <w:webHidden/>
              </w:rPr>
            </w:r>
            <w:r>
              <w:rPr>
                <w:noProof/>
                <w:webHidden/>
              </w:rPr>
              <w:fldChar w:fldCharType="separate"/>
            </w:r>
            <w:r>
              <w:rPr>
                <w:noProof/>
                <w:webHidden/>
              </w:rPr>
              <w:t>171</w:t>
            </w:r>
            <w:r>
              <w:rPr>
                <w:noProof/>
                <w:webHidden/>
              </w:rPr>
              <w:fldChar w:fldCharType="end"/>
            </w:r>
          </w:hyperlink>
        </w:p>
        <w:p w14:paraId="2CD37FCA" w14:textId="60C14B6A" w:rsidR="001958E2" w:rsidRDefault="001958E2">
          <w:pPr>
            <w:pStyle w:val="TDC2"/>
            <w:tabs>
              <w:tab w:val="left" w:pos="1100"/>
              <w:tab w:val="right" w:leader="dot" w:pos="8828"/>
            </w:tabs>
            <w:rPr>
              <w:rFonts w:asciiTheme="minorHAnsi" w:hAnsiTheme="minorHAnsi" w:cstheme="minorBidi"/>
              <w:noProof/>
              <w:kern w:val="2"/>
              <w:szCs w:val="24"/>
              <w14:ligatures w14:val="standardContextual"/>
            </w:rPr>
          </w:pPr>
          <w:hyperlink w:anchor="_Toc222955526" w:history="1">
            <w:r w:rsidRPr="00D20EF4">
              <w:rPr>
                <w:rStyle w:val="Hipervnculo"/>
                <w:rFonts w:eastAsia="Times New Roman"/>
                <w:noProof/>
              </w:rPr>
              <w:t xml:space="preserve">26.3.  </w:t>
            </w:r>
            <w:r>
              <w:rPr>
                <w:rFonts w:asciiTheme="minorHAnsi" w:hAnsiTheme="minorHAnsi" w:cstheme="minorBidi"/>
                <w:noProof/>
                <w:kern w:val="2"/>
                <w:szCs w:val="24"/>
                <w14:ligatures w14:val="standardContextual"/>
              </w:rPr>
              <w:tab/>
            </w:r>
            <w:r w:rsidRPr="00D20EF4">
              <w:rPr>
                <w:rStyle w:val="Hipervnculo"/>
                <w:rFonts w:eastAsia="Times New Roman"/>
                <w:noProof/>
              </w:rPr>
              <w:t>Capital fiscal</w:t>
            </w:r>
            <w:r>
              <w:rPr>
                <w:noProof/>
                <w:webHidden/>
              </w:rPr>
              <w:tab/>
            </w:r>
            <w:r>
              <w:rPr>
                <w:noProof/>
                <w:webHidden/>
              </w:rPr>
              <w:fldChar w:fldCharType="begin"/>
            </w:r>
            <w:r>
              <w:rPr>
                <w:noProof/>
                <w:webHidden/>
              </w:rPr>
              <w:instrText xml:space="preserve"> PAGEREF _Toc222955526 \h </w:instrText>
            </w:r>
            <w:r>
              <w:rPr>
                <w:noProof/>
                <w:webHidden/>
              </w:rPr>
            </w:r>
            <w:r>
              <w:rPr>
                <w:noProof/>
                <w:webHidden/>
              </w:rPr>
              <w:fldChar w:fldCharType="separate"/>
            </w:r>
            <w:r>
              <w:rPr>
                <w:noProof/>
                <w:webHidden/>
              </w:rPr>
              <w:t>172</w:t>
            </w:r>
            <w:r>
              <w:rPr>
                <w:noProof/>
                <w:webHidden/>
              </w:rPr>
              <w:fldChar w:fldCharType="end"/>
            </w:r>
          </w:hyperlink>
        </w:p>
        <w:p w14:paraId="48DA248D" w14:textId="5D86499C" w:rsidR="001958E2" w:rsidRDefault="001958E2">
          <w:pPr>
            <w:pStyle w:val="TDC1"/>
            <w:tabs>
              <w:tab w:val="right" w:leader="dot" w:pos="8828"/>
            </w:tabs>
            <w:rPr>
              <w:rFonts w:asciiTheme="minorHAnsi" w:eastAsiaTheme="minorEastAsia" w:hAnsiTheme="minorHAnsi" w:cstheme="minorBidi"/>
              <w:noProof/>
              <w:kern w:val="2"/>
              <w:szCs w:val="24"/>
              <w:lang w:eastAsia="es-CO"/>
              <w14:ligatures w14:val="standardContextual"/>
            </w:rPr>
          </w:pPr>
          <w:hyperlink w:anchor="_Toc222955527" w:history="1">
            <w:r w:rsidRPr="00D20EF4">
              <w:rPr>
                <w:rStyle w:val="Hipervnculo"/>
                <w:noProof/>
              </w:rPr>
              <w:t>NOTA 27. ACTIVOS Y PASIVOS CONTINGENTES</w:t>
            </w:r>
            <w:r>
              <w:rPr>
                <w:noProof/>
                <w:webHidden/>
              </w:rPr>
              <w:tab/>
            </w:r>
            <w:r>
              <w:rPr>
                <w:noProof/>
                <w:webHidden/>
              </w:rPr>
              <w:fldChar w:fldCharType="begin"/>
            </w:r>
            <w:r>
              <w:rPr>
                <w:noProof/>
                <w:webHidden/>
              </w:rPr>
              <w:instrText xml:space="preserve"> PAGEREF _Toc222955527 \h </w:instrText>
            </w:r>
            <w:r>
              <w:rPr>
                <w:noProof/>
                <w:webHidden/>
              </w:rPr>
            </w:r>
            <w:r>
              <w:rPr>
                <w:noProof/>
                <w:webHidden/>
              </w:rPr>
              <w:fldChar w:fldCharType="separate"/>
            </w:r>
            <w:r>
              <w:rPr>
                <w:noProof/>
                <w:webHidden/>
              </w:rPr>
              <w:t>173</w:t>
            </w:r>
            <w:r>
              <w:rPr>
                <w:noProof/>
                <w:webHidden/>
              </w:rPr>
              <w:fldChar w:fldCharType="end"/>
            </w:r>
          </w:hyperlink>
        </w:p>
        <w:p w14:paraId="73B90997" w14:textId="62DD8361" w:rsidR="001958E2" w:rsidRDefault="001958E2">
          <w:pPr>
            <w:pStyle w:val="TDC2"/>
            <w:tabs>
              <w:tab w:val="left" w:pos="1100"/>
              <w:tab w:val="right" w:leader="dot" w:pos="8828"/>
            </w:tabs>
            <w:rPr>
              <w:rFonts w:asciiTheme="minorHAnsi" w:hAnsiTheme="minorHAnsi" w:cstheme="minorBidi"/>
              <w:noProof/>
              <w:kern w:val="2"/>
              <w:szCs w:val="24"/>
              <w14:ligatures w14:val="standardContextual"/>
            </w:rPr>
          </w:pPr>
          <w:hyperlink w:anchor="_Toc222955528" w:history="1">
            <w:r w:rsidRPr="00D20EF4">
              <w:rPr>
                <w:rStyle w:val="Hipervnculo"/>
                <w:noProof/>
              </w:rPr>
              <w:t xml:space="preserve">27.1.  </w:t>
            </w:r>
            <w:r>
              <w:rPr>
                <w:rFonts w:asciiTheme="minorHAnsi" w:hAnsiTheme="minorHAnsi" w:cstheme="minorBidi"/>
                <w:noProof/>
                <w:kern w:val="2"/>
                <w:szCs w:val="24"/>
                <w14:ligatures w14:val="standardContextual"/>
              </w:rPr>
              <w:tab/>
            </w:r>
            <w:r w:rsidRPr="00D20EF4">
              <w:rPr>
                <w:rStyle w:val="Hipervnculo"/>
                <w:noProof/>
              </w:rPr>
              <w:t>Activos Contingentes</w:t>
            </w:r>
            <w:r>
              <w:rPr>
                <w:noProof/>
                <w:webHidden/>
              </w:rPr>
              <w:tab/>
            </w:r>
            <w:r>
              <w:rPr>
                <w:noProof/>
                <w:webHidden/>
              </w:rPr>
              <w:fldChar w:fldCharType="begin"/>
            </w:r>
            <w:r>
              <w:rPr>
                <w:noProof/>
                <w:webHidden/>
              </w:rPr>
              <w:instrText xml:space="preserve"> PAGEREF _Toc222955528 \h </w:instrText>
            </w:r>
            <w:r>
              <w:rPr>
                <w:noProof/>
                <w:webHidden/>
              </w:rPr>
            </w:r>
            <w:r>
              <w:rPr>
                <w:noProof/>
                <w:webHidden/>
              </w:rPr>
              <w:fldChar w:fldCharType="separate"/>
            </w:r>
            <w:r>
              <w:rPr>
                <w:noProof/>
                <w:webHidden/>
              </w:rPr>
              <w:t>173</w:t>
            </w:r>
            <w:r>
              <w:rPr>
                <w:noProof/>
                <w:webHidden/>
              </w:rPr>
              <w:fldChar w:fldCharType="end"/>
            </w:r>
          </w:hyperlink>
        </w:p>
        <w:p w14:paraId="1CB1D3ED" w14:textId="6D180EC3" w:rsidR="001958E2" w:rsidRDefault="001958E2">
          <w:pPr>
            <w:pStyle w:val="TDC3"/>
            <w:tabs>
              <w:tab w:val="left" w:pos="1540"/>
              <w:tab w:val="right" w:leader="dot" w:pos="8828"/>
            </w:tabs>
            <w:rPr>
              <w:rFonts w:asciiTheme="minorHAnsi" w:hAnsiTheme="minorHAnsi" w:cstheme="minorBidi"/>
              <w:noProof/>
              <w:kern w:val="2"/>
              <w:szCs w:val="24"/>
              <w14:ligatures w14:val="standardContextual"/>
            </w:rPr>
          </w:pPr>
          <w:hyperlink w:anchor="_Toc222955529" w:history="1">
            <w:r w:rsidRPr="00D20EF4">
              <w:rPr>
                <w:rStyle w:val="Hipervnculo"/>
                <w:noProof/>
              </w:rPr>
              <w:t xml:space="preserve">27.1.1.  </w:t>
            </w:r>
            <w:r>
              <w:rPr>
                <w:rFonts w:asciiTheme="minorHAnsi" w:hAnsiTheme="minorHAnsi" w:cstheme="minorBidi"/>
                <w:noProof/>
                <w:kern w:val="2"/>
                <w:szCs w:val="24"/>
                <w14:ligatures w14:val="standardContextual"/>
              </w:rPr>
              <w:tab/>
            </w:r>
            <w:r w:rsidRPr="00D20EF4">
              <w:rPr>
                <w:rStyle w:val="Hipervnculo"/>
                <w:noProof/>
              </w:rPr>
              <w:t>Revelaciones Generales</w:t>
            </w:r>
            <w:r>
              <w:rPr>
                <w:noProof/>
                <w:webHidden/>
              </w:rPr>
              <w:tab/>
            </w:r>
            <w:r>
              <w:rPr>
                <w:noProof/>
                <w:webHidden/>
              </w:rPr>
              <w:fldChar w:fldCharType="begin"/>
            </w:r>
            <w:r>
              <w:rPr>
                <w:noProof/>
                <w:webHidden/>
              </w:rPr>
              <w:instrText xml:space="preserve"> PAGEREF _Toc222955529 \h </w:instrText>
            </w:r>
            <w:r>
              <w:rPr>
                <w:noProof/>
                <w:webHidden/>
              </w:rPr>
            </w:r>
            <w:r>
              <w:rPr>
                <w:noProof/>
                <w:webHidden/>
              </w:rPr>
              <w:fldChar w:fldCharType="separate"/>
            </w:r>
            <w:r>
              <w:rPr>
                <w:noProof/>
                <w:webHidden/>
              </w:rPr>
              <w:t>174</w:t>
            </w:r>
            <w:r>
              <w:rPr>
                <w:noProof/>
                <w:webHidden/>
              </w:rPr>
              <w:fldChar w:fldCharType="end"/>
            </w:r>
          </w:hyperlink>
        </w:p>
        <w:p w14:paraId="6D1BFE7E" w14:textId="15A79DB3" w:rsidR="001958E2" w:rsidRDefault="001958E2">
          <w:pPr>
            <w:pStyle w:val="TDC2"/>
            <w:tabs>
              <w:tab w:val="left" w:pos="1100"/>
              <w:tab w:val="right" w:leader="dot" w:pos="8828"/>
            </w:tabs>
            <w:rPr>
              <w:rFonts w:asciiTheme="minorHAnsi" w:hAnsiTheme="minorHAnsi" w:cstheme="minorBidi"/>
              <w:noProof/>
              <w:kern w:val="2"/>
              <w:szCs w:val="24"/>
              <w14:ligatures w14:val="standardContextual"/>
            </w:rPr>
          </w:pPr>
          <w:hyperlink w:anchor="_Toc222955530" w:history="1">
            <w:r w:rsidRPr="00D20EF4">
              <w:rPr>
                <w:rStyle w:val="Hipervnculo"/>
                <w:noProof/>
              </w:rPr>
              <w:t>27.2.</w:t>
            </w:r>
            <w:r>
              <w:rPr>
                <w:rFonts w:asciiTheme="minorHAnsi" w:hAnsiTheme="minorHAnsi" w:cstheme="minorBidi"/>
                <w:noProof/>
                <w:kern w:val="2"/>
                <w:szCs w:val="24"/>
                <w14:ligatures w14:val="standardContextual"/>
              </w:rPr>
              <w:tab/>
            </w:r>
            <w:r w:rsidRPr="00D20EF4">
              <w:rPr>
                <w:rStyle w:val="Hipervnculo"/>
                <w:noProof/>
              </w:rPr>
              <w:t>Pasivos contingentes</w:t>
            </w:r>
            <w:r>
              <w:rPr>
                <w:noProof/>
                <w:webHidden/>
              </w:rPr>
              <w:tab/>
            </w:r>
            <w:r>
              <w:rPr>
                <w:noProof/>
                <w:webHidden/>
              </w:rPr>
              <w:fldChar w:fldCharType="begin"/>
            </w:r>
            <w:r>
              <w:rPr>
                <w:noProof/>
                <w:webHidden/>
              </w:rPr>
              <w:instrText xml:space="preserve"> PAGEREF _Toc222955530 \h </w:instrText>
            </w:r>
            <w:r>
              <w:rPr>
                <w:noProof/>
                <w:webHidden/>
              </w:rPr>
            </w:r>
            <w:r>
              <w:rPr>
                <w:noProof/>
                <w:webHidden/>
              </w:rPr>
              <w:fldChar w:fldCharType="separate"/>
            </w:r>
            <w:r>
              <w:rPr>
                <w:noProof/>
                <w:webHidden/>
              </w:rPr>
              <w:t>180</w:t>
            </w:r>
            <w:r>
              <w:rPr>
                <w:noProof/>
                <w:webHidden/>
              </w:rPr>
              <w:fldChar w:fldCharType="end"/>
            </w:r>
          </w:hyperlink>
        </w:p>
        <w:p w14:paraId="65FF07FB" w14:textId="3BBA58D1" w:rsidR="001958E2" w:rsidRDefault="001958E2">
          <w:pPr>
            <w:pStyle w:val="TDC3"/>
            <w:tabs>
              <w:tab w:val="left" w:pos="1540"/>
              <w:tab w:val="right" w:leader="dot" w:pos="8828"/>
            </w:tabs>
            <w:rPr>
              <w:rFonts w:asciiTheme="minorHAnsi" w:hAnsiTheme="minorHAnsi" w:cstheme="minorBidi"/>
              <w:noProof/>
              <w:kern w:val="2"/>
              <w:szCs w:val="24"/>
              <w14:ligatures w14:val="standardContextual"/>
            </w:rPr>
          </w:pPr>
          <w:hyperlink w:anchor="_Toc222955531" w:history="1">
            <w:r w:rsidRPr="00D20EF4">
              <w:rPr>
                <w:rStyle w:val="Hipervnculo"/>
                <w:noProof/>
              </w:rPr>
              <w:t>27.2.1.</w:t>
            </w:r>
            <w:r>
              <w:rPr>
                <w:rFonts w:asciiTheme="minorHAnsi" w:hAnsiTheme="minorHAnsi" w:cstheme="minorBidi"/>
                <w:noProof/>
                <w:kern w:val="2"/>
                <w:szCs w:val="24"/>
                <w14:ligatures w14:val="standardContextual"/>
              </w:rPr>
              <w:tab/>
            </w:r>
            <w:r w:rsidRPr="00D20EF4">
              <w:rPr>
                <w:rStyle w:val="Hipervnculo"/>
                <w:noProof/>
              </w:rPr>
              <w:t>Revelaciones generales de pasivos contingentes</w:t>
            </w:r>
            <w:r>
              <w:rPr>
                <w:noProof/>
                <w:webHidden/>
              </w:rPr>
              <w:tab/>
            </w:r>
            <w:r>
              <w:rPr>
                <w:noProof/>
                <w:webHidden/>
              </w:rPr>
              <w:fldChar w:fldCharType="begin"/>
            </w:r>
            <w:r>
              <w:rPr>
                <w:noProof/>
                <w:webHidden/>
              </w:rPr>
              <w:instrText xml:space="preserve"> PAGEREF _Toc222955531 \h </w:instrText>
            </w:r>
            <w:r>
              <w:rPr>
                <w:noProof/>
                <w:webHidden/>
              </w:rPr>
            </w:r>
            <w:r>
              <w:rPr>
                <w:noProof/>
                <w:webHidden/>
              </w:rPr>
              <w:fldChar w:fldCharType="separate"/>
            </w:r>
            <w:r>
              <w:rPr>
                <w:noProof/>
                <w:webHidden/>
              </w:rPr>
              <w:t>181</w:t>
            </w:r>
            <w:r>
              <w:rPr>
                <w:noProof/>
                <w:webHidden/>
              </w:rPr>
              <w:fldChar w:fldCharType="end"/>
            </w:r>
          </w:hyperlink>
        </w:p>
        <w:p w14:paraId="03E20AB8" w14:textId="27C8146C" w:rsidR="001958E2" w:rsidRDefault="001958E2">
          <w:pPr>
            <w:pStyle w:val="TDC1"/>
            <w:tabs>
              <w:tab w:val="right" w:leader="dot" w:pos="8828"/>
            </w:tabs>
            <w:rPr>
              <w:rFonts w:asciiTheme="minorHAnsi" w:eastAsiaTheme="minorEastAsia" w:hAnsiTheme="minorHAnsi" w:cstheme="minorBidi"/>
              <w:noProof/>
              <w:kern w:val="2"/>
              <w:szCs w:val="24"/>
              <w:lang w:eastAsia="es-CO"/>
              <w14:ligatures w14:val="standardContextual"/>
            </w:rPr>
          </w:pPr>
          <w:hyperlink w:anchor="_Toc222955532" w:history="1">
            <w:r w:rsidRPr="00D20EF4">
              <w:rPr>
                <w:rStyle w:val="Hipervnculo"/>
                <w:noProof/>
              </w:rPr>
              <w:t>NOTA 28. CUENTAS DE ORDEN (OTRAS)</w:t>
            </w:r>
            <w:r>
              <w:rPr>
                <w:noProof/>
                <w:webHidden/>
              </w:rPr>
              <w:tab/>
            </w:r>
            <w:r>
              <w:rPr>
                <w:noProof/>
                <w:webHidden/>
              </w:rPr>
              <w:fldChar w:fldCharType="begin"/>
            </w:r>
            <w:r>
              <w:rPr>
                <w:noProof/>
                <w:webHidden/>
              </w:rPr>
              <w:instrText xml:space="preserve"> PAGEREF _Toc222955532 \h </w:instrText>
            </w:r>
            <w:r>
              <w:rPr>
                <w:noProof/>
                <w:webHidden/>
              </w:rPr>
            </w:r>
            <w:r>
              <w:rPr>
                <w:noProof/>
                <w:webHidden/>
              </w:rPr>
              <w:fldChar w:fldCharType="separate"/>
            </w:r>
            <w:r>
              <w:rPr>
                <w:noProof/>
                <w:webHidden/>
              </w:rPr>
              <w:t>186</w:t>
            </w:r>
            <w:r>
              <w:rPr>
                <w:noProof/>
                <w:webHidden/>
              </w:rPr>
              <w:fldChar w:fldCharType="end"/>
            </w:r>
          </w:hyperlink>
        </w:p>
        <w:p w14:paraId="11C1E2DA" w14:textId="1F698AA2" w:rsidR="001958E2" w:rsidRDefault="001958E2">
          <w:pPr>
            <w:pStyle w:val="TDC2"/>
            <w:tabs>
              <w:tab w:val="left" w:pos="1100"/>
              <w:tab w:val="right" w:leader="dot" w:pos="8828"/>
            </w:tabs>
            <w:rPr>
              <w:rFonts w:asciiTheme="minorHAnsi" w:hAnsiTheme="minorHAnsi" w:cstheme="minorBidi"/>
              <w:noProof/>
              <w:kern w:val="2"/>
              <w:szCs w:val="24"/>
              <w14:ligatures w14:val="standardContextual"/>
            </w:rPr>
          </w:pPr>
          <w:hyperlink w:anchor="_Toc222955533" w:history="1">
            <w:r w:rsidRPr="00D20EF4">
              <w:rPr>
                <w:rStyle w:val="Hipervnculo"/>
                <w:noProof/>
              </w:rPr>
              <w:t>28.1.</w:t>
            </w:r>
            <w:r>
              <w:rPr>
                <w:rFonts w:asciiTheme="minorHAnsi" w:hAnsiTheme="minorHAnsi" w:cstheme="minorBidi"/>
                <w:noProof/>
                <w:kern w:val="2"/>
                <w:szCs w:val="24"/>
                <w14:ligatures w14:val="standardContextual"/>
              </w:rPr>
              <w:tab/>
            </w:r>
            <w:r w:rsidRPr="00D20EF4">
              <w:rPr>
                <w:rStyle w:val="Hipervnculo"/>
                <w:noProof/>
              </w:rPr>
              <w:t>Cuentas de orden deudoras</w:t>
            </w:r>
            <w:r>
              <w:rPr>
                <w:noProof/>
                <w:webHidden/>
              </w:rPr>
              <w:tab/>
            </w:r>
            <w:r>
              <w:rPr>
                <w:noProof/>
                <w:webHidden/>
              </w:rPr>
              <w:fldChar w:fldCharType="begin"/>
            </w:r>
            <w:r>
              <w:rPr>
                <w:noProof/>
                <w:webHidden/>
              </w:rPr>
              <w:instrText xml:space="preserve"> PAGEREF _Toc222955533 \h </w:instrText>
            </w:r>
            <w:r>
              <w:rPr>
                <w:noProof/>
                <w:webHidden/>
              </w:rPr>
            </w:r>
            <w:r>
              <w:rPr>
                <w:noProof/>
                <w:webHidden/>
              </w:rPr>
              <w:fldChar w:fldCharType="separate"/>
            </w:r>
            <w:r>
              <w:rPr>
                <w:noProof/>
                <w:webHidden/>
              </w:rPr>
              <w:t>186</w:t>
            </w:r>
            <w:r>
              <w:rPr>
                <w:noProof/>
                <w:webHidden/>
              </w:rPr>
              <w:fldChar w:fldCharType="end"/>
            </w:r>
          </w:hyperlink>
        </w:p>
        <w:p w14:paraId="56288CE7" w14:textId="01DBF7BD" w:rsidR="001958E2" w:rsidRDefault="001958E2">
          <w:pPr>
            <w:pStyle w:val="TDC2"/>
            <w:tabs>
              <w:tab w:val="left" w:pos="1100"/>
              <w:tab w:val="right" w:leader="dot" w:pos="8828"/>
            </w:tabs>
            <w:rPr>
              <w:rFonts w:asciiTheme="minorHAnsi" w:hAnsiTheme="minorHAnsi" w:cstheme="minorBidi"/>
              <w:noProof/>
              <w:kern w:val="2"/>
              <w:szCs w:val="24"/>
              <w14:ligatures w14:val="standardContextual"/>
            </w:rPr>
          </w:pPr>
          <w:hyperlink w:anchor="_Toc222955534" w:history="1">
            <w:r w:rsidRPr="00D20EF4">
              <w:rPr>
                <w:rStyle w:val="Hipervnculo"/>
                <w:noProof/>
              </w:rPr>
              <w:t>28.2.</w:t>
            </w:r>
            <w:r>
              <w:rPr>
                <w:rFonts w:asciiTheme="minorHAnsi" w:hAnsiTheme="minorHAnsi" w:cstheme="minorBidi"/>
                <w:noProof/>
                <w:kern w:val="2"/>
                <w:szCs w:val="24"/>
                <w14:ligatures w14:val="standardContextual"/>
              </w:rPr>
              <w:tab/>
            </w:r>
            <w:r w:rsidRPr="00D20EF4">
              <w:rPr>
                <w:rStyle w:val="Hipervnculo"/>
                <w:noProof/>
              </w:rPr>
              <w:t>Cuentas de orden acreedoras</w:t>
            </w:r>
            <w:r>
              <w:rPr>
                <w:noProof/>
                <w:webHidden/>
              </w:rPr>
              <w:tab/>
            </w:r>
            <w:r>
              <w:rPr>
                <w:noProof/>
                <w:webHidden/>
              </w:rPr>
              <w:fldChar w:fldCharType="begin"/>
            </w:r>
            <w:r>
              <w:rPr>
                <w:noProof/>
                <w:webHidden/>
              </w:rPr>
              <w:instrText xml:space="preserve"> PAGEREF _Toc222955534 \h </w:instrText>
            </w:r>
            <w:r>
              <w:rPr>
                <w:noProof/>
                <w:webHidden/>
              </w:rPr>
            </w:r>
            <w:r>
              <w:rPr>
                <w:noProof/>
                <w:webHidden/>
              </w:rPr>
              <w:fldChar w:fldCharType="separate"/>
            </w:r>
            <w:r>
              <w:rPr>
                <w:noProof/>
                <w:webHidden/>
              </w:rPr>
              <w:t>188</w:t>
            </w:r>
            <w:r>
              <w:rPr>
                <w:noProof/>
                <w:webHidden/>
              </w:rPr>
              <w:fldChar w:fldCharType="end"/>
            </w:r>
          </w:hyperlink>
        </w:p>
        <w:p w14:paraId="6CB24D3C" w14:textId="35F855DA" w:rsidR="001958E2" w:rsidRDefault="001958E2">
          <w:pPr>
            <w:pStyle w:val="TDC1"/>
            <w:tabs>
              <w:tab w:val="right" w:leader="dot" w:pos="8828"/>
            </w:tabs>
            <w:rPr>
              <w:rFonts w:asciiTheme="minorHAnsi" w:eastAsiaTheme="minorEastAsia" w:hAnsiTheme="minorHAnsi" w:cstheme="minorBidi"/>
              <w:noProof/>
              <w:kern w:val="2"/>
              <w:szCs w:val="24"/>
              <w:lang w:eastAsia="es-CO"/>
              <w14:ligatures w14:val="standardContextual"/>
            </w:rPr>
          </w:pPr>
          <w:hyperlink w:anchor="_Toc222955535" w:history="1">
            <w:r w:rsidRPr="00D20EF4">
              <w:rPr>
                <w:rStyle w:val="Hipervnculo"/>
                <w:rFonts w:eastAsia="Times New Roman"/>
                <w:noProof/>
                <w:lang w:val="es-ES"/>
              </w:rPr>
              <w:t>NOTA 29. INGRESOS</w:t>
            </w:r>
            <w:r>
              <w:rPr>
                <w:noProof/>
                <w:webHidden/>
              </w:rPr>
              <w:tab/>
            </w:r>
            <w:r>
              <w:rPr>
                <w:noProof/>
                <w:webHidden/>
              </w:rPr>
              <w:fldChar w:fldCharType="begin"/>
            </w:r>
            <w:r>
              <w:rPr>
                <w:noProof/>
                <w:webHidden/>
              </w:rPr>
              <w:instrText xml:space="preserve"> PAGEREF _Toc222955535 \h </w:instrText>
            </w:r>
            <w:r>
              <w:rPr>
                <w:noProof/>
                <w:webHidden/>
              </w:rPr>
            </w:r>
            <w:r>
              <w:rPr>
                <w:noProof/>
                <w:webHidden/>
              </w:rPr>
              <w:fldChar w:fldCharType="separate"/>
            </w:r>
            <w:r>
              <w:rPr>
                <w:noProof/>
                <w:webHidden/>
              </w:rPr>
              <w:t>189</w:t>
            </w:r>
            <w:r>
              <w:rPr>
                <w:noProof/>
                <w:webHidden/>
              </w:rPr>
              <w:fldChar w:fldCharType="end"/>
            </w:r>
          </w:hyperlink>
        </w:p>
        <w:p w14:paraId="0F49F667" w14:textId="5E4AB65A" w:rsidR="001958E2" w:rsidRDefault="001958E2">
          <w:pPr>
            <w:pStyle w:val="TDC2"/>
            <w:tabs>
              <w:tab w:val="right" w:leader="dot" w:pos="8828"/>
            </w:tabs>
            <w:rPr>
              <w:rFonts w:asciiTheme="minorHAnsi" w:hAnsiTheme="minorHAnsi" w:cstheme="minorBidi"/>
              <w:noProof/>
              <w:kern w:val="2"/>
              <w:szCs w:val="24"/>
              <w14:ligatures w14:val="standardContextual"/>
            </w:rPr>
          </w:pPr>
          <w:hyperlink w:anchor="_Toc222955536" w:history="1">
            <w:r w:rsidRPr="00D20EF4">
              <w:rPr>
                <w:rStyle w:val="Hipervnculo"/>
                <w:rFonts w:eastAsia="Times New Roman"/>
                <w:noProof/>
                <w:lang w:val="es-ES"/>
              </w:rPr>
              <w:t>Composición</w:t>
            </w:r>
            <w:r>
              <w:rPr>
                <w:noProof/>
                <w:webHidden/>
              </w:rPr>
              <w:tab/>
            </w:r>
            <w:r>
              <w:rPr>
                <w:noProof/>
                <w:webHidden/>
              </w:rPr>
              <w:fldChar w:fldCharType="begin"/>
            </w:r>
            <w:r>
              <w:rPr>
                <w:noProof/>
                <w:webHidden/>
              </w:rPr>
              <w:instrText xml:space="preserve"> PAGEREF _Toc222955536 \h </w:instrText>
            </w:r>
            <w:r>
              <w:rPr>
                <w:noProof/>
                <w:webHidden/>
              </w:rPr>
            </w:r>
            <w:r>
              <w:rPr>
                <w:noProof/>
                <w:webHidden/>
              </w:rPr>
              <w:fldChar w:fldCharType="separate"/>
            </w:r>
            <w:r>
              <w:rPr>
                <w:noProof/>
                <w:webHidden/>
              </w:rPr>
              <w:t>189</w:t>
            </w:r>
            <w:r>
              <w:rPr>
                <w:noProof/>
                <w:webHidden/>
              </w:rPr>
              <w:fldChar w:fldCharType="end"/>
            </w:r>
          </w:hyperlink>
        </w:p>
        <w:p w14:paraId="237E8DC9" w14:textId="5C5185D4" w:rsidR="001958E2" w:rsidRDefault="001958E2">
          <w:pPr>
            <w:pStyle w:val="TDC2"/>
            <w:tabs>
              <w:tab w:val="right" w:leader="dot" w:pos="8828"/>
            </w:tabs>
            <w:rPr>
              <w:rFonts w:asciiTheme="minorHAnsi" w:hAnsiTheme="minorHAnsi" w:cstheme="minorBidi"/>
              <w:noProof/>
              <w:kern w:val="2"/>
              <w:szCs w:val="24"/>
              <w14:ligatures w14:val="standardContextual"/>
            </w:rPr>
          </w:pPr>
          <w:hyperlink w:anchor="_Toc222955537" w:history="1">
            <w:r w:rsidRPr="00D20EF4">
              <w:rPr>
                <w:rStyle w:val="Hipervnculo"/>
                <w:rFonts w:eastAsia="Times New Roman"/>
                <w:bCs/>
                <w:noProof/>
                <w:lang w:val="es-ES"/>
              </w:rPr>
              <w:t>29.1.</w:t>
            </w:r>
            <w:r w:rsidRPr="00D20EF4">
              <w:rPr>
                <w:rStyle w:val="Hipervnculo"/>
                <w:rFonts w:eastAsia="Times New Roman"/>
                <w:noProof/>
                <w:lang w:val="es-ES"/>
              </w:rPr>
              <w:t xml:space="preserve">   </w:t>
            </w:r>
            <w:r w:rsidRPr="00D20EF4">
              <w:rPr>
                <w:rStyle w:val="Hipervnculo"/>
                <w:rFonts w:eastAsia="Times New Roman"/>
                <w:bCs/>
                <w:noProof/>
                <w:lang w:val="es-ES"/>
              </w:rPr>
              <w:t>Ingresos de transacciones sin contraprestación</w:t>
            </w:r>
            <w:r>
              <w:rPr>
                <w:noProof/>
                <w:webHidden/>
              </w:rPr>
              <w:tab/>
            </w:r>
            <w:r>
              <w:rPr>
                <w:noProof/>
                <w:webHidden/>
              </w:rPr>
              <w:fldChar w:fldCharType="begin"/>
            </w:r>
            <w:r>
              <w:rPr>
                <w:noProof/>
                <w:webHidden/>
              </w:rPr>
              <w:instrText xml:space="preserve"> PAGEREF _Toc222955537 \h </w:instrText>
            </w:r>
            <w:r>
              <w:rPr>
                <w:noProof/>
                <w:webHidden/>
              </w:rPr>
            </w:r>
            <w:r>
              <w:rPr>
                <w:noProof/>
                <w:webHidden/>
              </w:rPr>
              <w:fldChar w:fldCharType="separate"/>
            </w:r>
            <w:r>
              <w:rPr>
                <w:noProof/>
                <w:webHidden/>
              </w:rPr>
              <w:t>190</w:t>
            </w:r>
            <w:r>
              <w:rPr>
                <w:noProof/>
                <w:webHidden/>
              </w:rPr>
              <w:fldChar w:fldCharType="end"/>
            </w:r>
          </w:hyperlink>
        </w:p>
        <w:p w14:paraId="49120C9E" w14:textId="049E4178" w:rsidR="001958E2" w:rsidRDefault="001958E2">
          <w:pPr>
            <w:pStyle w:val="TDC3"/>
            <w:tabs>
              <w:tab w:val="right" w:leader="dot" w:pos="8828"/>
            </w:tabs>
            <w:rPr>
              <w:rFonts w:asciiTheme="minorHAnsi" w:hAnsiTheme="minorHAnsi" w:cstheme="minorBidi"/>
              <w:noProof/>
              <w:kern w:val="2"/>
              <w:szCs w:val="24"/>
              <w14:ligatures w14:val="standardContextual"/>
            </w:rPr>
          </w:pPr>
          <w:hyperlink w:anchor="_Toc222955538" w:history="1">
            <w:r w:rsidRPr="00D20EF4">
              <w:rPr>
                <w:rStyle w:val="Hipervnculo"/>
                <w:rFonts w:eastAsia="Times New Roman"/>
                <w:bCs/>
                <w:noProof/>
                <w:lang w:val="es-ES"/>
              </w:rPr>
              <w:t>29.1.1.</w:t>
            </w:r>
            <w:r w:rsidRPr="00D20EF4">
              <w:rPr>
                <w:rStyle w:val="Hipervnculo"/>
                <w:rFonts w:eastAsia="Times New Roman"/>
                <w:noProof/>
                <w:lang w:val="es-ES"/>
              </w:rPr>
              <w:t xml:space="preserve">  </w:t>
            </w:r>
            <w:r w:rsidRPr="00D20EF4">
              <w:rPr>
                <w:rStyle w:val="Hipervnculo"/>
                <w:rFonts w:eastAsia="Times New Roman"/>
                <w:bCs/>
                <w:noProof/>
                <w:lang w:val="es-ES"/>
              </w:rPr>
              <w:t>Ingresos fiscales – Detallado</w:t>
            </w:r>
            <w:r>
              <w:rPr>
                <w:noProof/>
                <w:webHidden/>
              </w:rPr>
              <w:tab/>
            </w:r>
            <w:r>
              <w:rPr>
                <w:noProof/>
                <w:webHidden/>
              </w:rPr>
              <w:fldChar w:fldCharType="begin"/>
            </w:r>
            <w:r>
              <w:rPr>
                <w:noProof/>
                <w:webHidden/>
              </w:rPr>
              <w:instrText xml:space="preserve"> PAGEREF _Toc222955538 \h </w:instrText>
            </w:r>
            <w:r>
              <w:rPr>
                <w:noProof/>
                <w:webHidden/>
              </w:rPr>
            </w:r>
            <w:r>
              <w:rPr>
                <w:noProof/>
                <w:webHidden/>
              </w:rPr>
              <w:fldChar w:fldCharType="separate"/>
            </w:r>
            <w:r>
              <w:rPr>
                <w:noProof/>
                <w:webHidden/>
              </w:rPr>
              <w:t>192</w:t>
            </w:r>
            <w:r>
              <w:rPr>
                <w:noProof/>
                <w:webHidden/>
              </w:rPr>
              <w:fldChar w:fldCharType="end"/>
            </w:r>
          </w:hyperlink>
        </w:p>
        <w:p w14:paraId="547AF6DE" w14:textId="7958D59A" w:rsidR="001958E2" w:rsidRDefault="001958E2">
          <w:pPr>
            <w:pStyle w:val="TDC2"/>
            <w:tabs>
              <w:tab w:val="right" w:leader="dot" w:pos="8828"/>
            </w:tabs>
            <w:rPr>
              <w:rFonts w:asciiTheme="minorHAnsi" w:hAnsiTheme="minorHAnsi" w:cstheme="minorBidi"/>
              <w:noProof/>
              <w:kern w:val="2"/>
              <w:szCs w:val="24"/>
              <w14:ligatures w14:val="standardContextual"/>
            </w:rPr>
          </w:pPr>
          <w:hyperlink w:anchor="_Toc222955539" w:history="1">
            <w:r w:rsidRPr="00D20EF4">
              <w:rPr>
                <w:rStyle w:val="Hipervnculo"/>
                <w:rFonts w:eastAsia="Times New Roman"/>
                <w:bCs/>
                <w:noProof/>
                <w:lang w:val="es-ES"/>
              </w:rPr>
              <w:t>29.2.</w:t>
            </w:r>
            <w:r w:rsidRPr="00D20EF4">
              <w:rPr>
                <w:rStyle w:val="Hipervnculo"/>
                <w:rFonts w:eastAsia="Times New Roman"/>
                <w:noProof/>
                <w:lang w:val="es-ES"/>
              </w:rPr>
              <w:t xml:space="preserve">   </w:t>
            </w:r>
            <w:r w:rsidRPr="00D20EF4">
              <w:rPr>
                <w:rStyle w:val="Hipervnculo"/>
                <w:rFonts w:eastAsia="Times New Roman"/>
                <w:bCs/>
                <w:noProof/>
                <w:lang w:val="es-ES"/>
              </w:rPr>
              <w:t>Ingresos de transacciones con contraprestación</w:t>
            </w:r>
            <w:r>
              <w:rPr>
                <w:noProof/>
                <w:webHidden/>
              </w:rPr>
              <w:tab/>
            </w:r>
            <w:r>
              <w:rPr>
                <w:noProof/>
                <w:webHidden/>
              </w:rPr>
              <w:fldChar w:fldCharType="begin"/>
            </w:r>
            <w:r>
              <w:rPr>
                <w:noProof/>
                <w:webHidden/>
              </w:rPr>
              <w:instrText xml:space="preserve"> PAGEREF _Toc222955539 \h </w:instrText>
            </w:r>
            <w:r>
              <w:rPr>
                <w:noProof/>
                <w:webHidden/>
              </w:rPr>
            </w:r>
            <w:r>
              <w:rPr>
                <w:noProof/>
                <w:webHidden/>
              </w:rPr>
              <w:fldChar w:fldCharType="separate"/>
            </w:r>
            <w:r>
              <w:rPr>
                <w:noProof/>
                <w:webHidden/>
              </w:rPr>
              <w:t>196</w:t>
            </w:r>
            <w:r>
              <w:rPr>
                <w:noProof/>
                <w:webHidden/>
              </w:rPr>
              <w:fldChar w:fldCharType="end"/>
            </w:r>
          </w:hyperlink>
        </w:p>
        <w:p w14:paraId="0C5D8AF4" w14:textId="1A2E78A8" w:rsidR="001958E2" w:rsidRDefault="001958E2">
          <w:pPr>
            <w:pStyle w:val="TDC1"/>
            <w:tabs>
              <w:tab w:val="right" w:leader="dot" w:pos="8828"/>
            </w:tabs>
            <w:rPr>
              <w:rFonts w:asciiTheme="minorHAnsi" w:eastAsiaTheme="minorEastAsia" w:hAnsiTheme="minorHAnsi" w:cstheme="minorBidi"/>
              <w:noProof/>
              <w:kern w:val="2"/>
              <w:szCs w:val="24"/>
              <w:lang w:eastAsia="es-CO"/>
              <w14:ligatures w14:val="standardContextual"/>
            </w:rPr>
          </w:pPr>
          <w:hyperlink w:anchor="_Toc222955540" w:history="1">
            <w:r w:rsidRPr="00D20EF4">
              <w:rPr>
                <w:rStyle w:val="Hipervnculo"/>
                <w:noProof/>
              </w:rPr>
              <w:t>NOTA 30. GASTOS</w:t>
            </w:r>
            <w:r>
              <w:rPr>
                <w:noProof/>
                <w:webHidden/>
              </w:rPr>
              <w:tab/>
            </w:r>
            <w:r>
              <w:rPr>
                <w:noProof/>
                <w:webHidden/>
              </w:rPr>
              <w:fldChar w:fldCharType="begin"/>
            </w:r>
            <w:r>
              <w:rPr>
                <w:noProof/>
                <w:webHidden/>
              </w:rPr>
              <w:instrText xml:space="preserve"> PAGEREF _Toc222955540 \h </w:instrText>
            </w:r>
            <w:r>
              <w:rPr>
                <w:noProof/>
                <w:webHidden/>
              </w:rPr>
            </w:r>
            <w:r>
              <w:rPr>
                <w:noProof/>
                <w:webHidden/>
              </w:rPr>
              <w:fldChar w:fldCharType="separate"/>
            </w:r>
            <w:r>
              <w:rPr>
                <w:noProof/>
                <w:webHidden/>
              </w:rPr>
              <w:t>206</w:t>
            </w:r>
            <w:r>
              <w:rPr>
                <w:noProof/>
                <w:webHidden/>
              </w:rPr>
              <w:fldChar w:fldCharType="end"/>
            </w:r>
          </w:hyperlink>
        </w:p>
        <w:p w14:paraId="7BA8601E" w14:textId="7DDD71E2" w:rsidR="001958E2" w:rsidRDefault="001958E2">
          <w:pPr>
            <w:pStyle w:val="TDC2"/>
            <w:tabs>
              <w:tab w:val="right" w:leader="dot" w:pos="8828"/>
            </w:tabs>
            <w:rPr>
              <w:rFonts w:asciiTheme="minorHAnsi" w:hAnsiTheme="minorHAnsi" w:cstheme="minorBidi"/>
              <w:noProof/>
              <w:kern w:val="2"/>
              <w:szCs w:val="24"/>
              <w14:ligatures w14:val="standardContextual"/>
            </w:rPr>
          </w:pPr>
          <w:hyperlink w:anchor="_Toc222955541" w:history="1">
            <w:r w:rsidRPr="00D20EF4">
              <w:rPr>
                <w:rStyle w:val="Hipervnculo"/>
                <w:noProof/>
              </w:rPr>
              <w:t>Composición</w:t>
            </w:r>
            <w:r>
              <w:rPr>
                <w:noProof/>
                <w:webHidden/>
              </w:rPr>
              <w:tab/>
            </w:r>
            <w:r>
              <w:rPr>
                <w:noProof/>
                <w:webHidden/>
              </w:rPr>
              <w:fldChar w:fldCharType="begin"/>
            </w:r>
            <w:r>
              <w:rPr>
                <w:noProof/>
                <w:webHidden/>
              </w:rPr>
              <w:instrText xml:space="preserve"> PAGEREF _Toc222955541 \h </w:instrText>
            </w:r>
            <w:r>
              <w:rPr>
                <w:noProof/>
                <w:webHidden/>
              </w:rPr>
            </w:r>
            <w:r>
              <w:rPr>
                <w:noProof/>
                <w:webHidden/>
              </w:rPr>
              <w:fldChar w:fldCharType="separate"/>
            </w:r>
            <w:r>
              <w:rPr>
                <w:noProof/>
                <w:webHidden/>
              </w:rPr>
              <w:t>206</w:t>
            </w:r>
            <w:r>
              <w:rPr>
                <w:noProof/>
                <w:webHidden/>
              </w:rPr>
              <w:fldChar w:fldCharType="end"/>
            </w:r>
          </w:hyperlink>
        </w:p>
        <w:p w14:paraId="057C68EC" w14:textId="0F8033F3" w:rsidR="001958E2" w:rsidRDefault="001958E2">
          <w:pPr>
            <w:pStyle w:val="TDC2"/>
            <w:tabs>
              <w:tab w:val="left" w:pos="1320"/>
              <w:tab w:val="right" w:leader="dot" w:pos="8828"/>
            </w:tabs>
            <w:rPr>
              <w:rFonts w:asciiTheme="minorHAnsi" w:hAnsiTheme="minorHAnsi" w:cstheme="minorBidi"/>
              <w:noProof/>
              <w:kern w:val="2"/>
              <w:szCs w:val="24"/>
              <w14:ligatures w14:val="standardContextual"/>
            </w:rPr>
          </w:pPr>
          <w:hyperlink w:anchor="_Toc222955542" w:history="1">
            <w:r w:rsidRPr="00D20EF4">
              <w:rPr>
                <w:rStyle w:val="Hipervnculo"/>
                <w:rFonts w:eastAsia="Times New Roman"/>
                <w:noProof/>
              </w:rPr>
              <w:t>30.1.</w:t>
            </w:r>
            <w:r w:rsidRPr="00D20EF4">
              <w:rPr>
                <w:rStyle w:val="Hipervnculo"/>
                <w:noProof/>
              </w:rPr>
              <w:t xml:space="preserve">   </w:t>
            </w:r>
            <w:r>
              <w:rPr>
                <w:rFonts w:asciiTheme="minorHAnsi" w:hAnsiTheme="minorHAnsi" w:cstheme="minorBidi"/>
                <w:noProof/>
                <w:kern w:val="2"/>
                <w:szCs w:val="24"/>
                <w14:ligatures w14:val="standardContextual"/>
              </w:rPr>
              <w:tab/>
            </w:r>
            <w:r w:rsidRPr="00D20EF4">
              <w:rPr>
                <w:rStyle w:val="Hipervnculo"/>
                <w:rFonts w:eastAsia="Times New Roman"/>
                <w:noProof/>
              </w:rPr>
              <w:t>Deterioro, depreciaciones, amortizaciones y provisiones</w:t>
            </w:r>
            <w:r>
              <w:rPr>
                <w:noProof/>
                <w:webHidden/>
              </w:rPr>
              <w:tab/>
            </w:r>
            <w:r>
              <w:rPr>
                <w:noProof/>
                <w:webHidden/>
              </w:rPr>
              <w:fldChar w:fldCharType="begin"/>
            </w:r>
            <w:r>
              <w:rPr>
                <w:noProof/>
                <w:webHidden/>
              </w:rPr>
              <w:instrText xml:space="preserve"> PAGEREF _Toc222955542 \h </w:instrText>
            </w:r>
            <w:r>
              <w:rPr>
                <w:noProof/>
                <w:webHidden/>
              </w:rPr>
            </w:r>
            <w:r>
              <w:rPr>
                <w:noProof/>
                <w:webHidden/>
              </w:rPr>
              <w:fldChar w:fldCharType="separate"/>
            </w:r>
            <w:r>
              <w:rPr>
                <w:noProof/>
                <w:webHidden/>
              </w:rPr>
              <w:t>207</w:t>
            </w:r>
            <w:r>
              <w:rPr>
                <w:noProof/>
                <w:webHidden/>
              </w:rPr>
              <w:fldChar w:fldCharType="end"/>
            </w:r>
          </w:hyperlink>
        </w:p>
        <w:p w14:paraId="10D1C954" w14:textId="256A689B" w:rsidR="001958E2" w:rsidRDefault="001958E2">
          <w:pPr>
            <w:pStyle w:val="TDC2"/>
            <w:tabs>
              <w:tab w:val="right" w:leader="dot" w:pos="8828"/>
            </w:tabs>
            <w:rPr>
              <w:rFonts w:asciiTheme="minorHAnsi" w:hAnsiTheme="minorHAnsi" w:cstheme="minorBidi"/>
              <w:noProof/>
              <w:kern w:val="2"/>
              <w:szCs w:val="24"/>
              <w14:ligatures w14:val="standardContextual"/>
            </w:rPr>
          </w:pPr>
          <w:hyperlink w:anchor="_Toc222955543" w:history="1">
            <w:r w:rsidRPr="00D20EF4">
              <w:rPr>
                <w:rStyle w:val="Hipervnculo"/>
                <w:rFonts w:eastAsia="Times New Roman"/>
                <w:bCs/>
                <w:noProof/>
              </w:rPr>
              <w:t>30.1.1</w:t>
            </w:r>
            <w:r w:rsidRPr="00D20EF4">
              <w:rPr>
                <w:rStyle w:val="Hipervnculo"/>
                <w:rFonts w:eastAsia="Times New Roman"/>
                <w:noProof/>
              </w:rPr>
              <w:t xml:space="preserve">    </w:t>
            </w:r>
            <w:r w:rsidRPr="00D20EF4">
              <w:rPr>
                <w:rStyle w:val="Hipervnculo"/>
                <w:rFonts w:eastAsia="Times New Roman"/>
                <w:bCs/>
                <w:noProof/>
              </w:rPr>
              <w:t>Deterioro, Activos financieros y no financieros</w:t>
            </w:r>
            <w:r>
              <w:rPr>
                <w:noProof/>
                <w:webHidden/>
              </w:rPr>
              <w:tab/>
            </w:r>
            <w:r>
              <w:rPr>
                <w:noProof/>
                <w:webHidden/>
              </w:rPr>
              <w:fldChar w:fldCharType="begin"/>
            </w:r>
            <w:r>
              <w:rPr>
                <w:noProof/>
                <w:webHidden/>
              </w:rPr>
              <w:instrText xml:space="preserve"> PAGEREF _Toc222955543 \h </w:instrText>
            </w:r>
            <w:r>
              <w:rPr>
                <w:noProof/>
                <w:webHidden/>
              </w:rPr>
            </w:r>
            <w:r>
              <w:rPr>
                <w:noProof/>
                <w:webHidden/>
              </w:rPr>
              <w:fldChar w:fldCharType="separate"/>
            </w:r>
            <w:r>
              <w:rPr>
                <w:noProof/>
                <w:webHidden/>
              </w:rPr>
              <w:t>209</w:t>
            </w:r>
            <w:r>
              <w:rPr>
                <w:noProof/>
                <w:webHidden/>
              </w:rPr>
              <w:fldChar w:fldCharType="end"/>
            </w:r>
          </w:hyperlink>
        </w:p>
        <w:p w14:paraId="5B2559B4" w14:textId="55CD79C4" w:rsidR="001958E2" w:rsidRDefault="001958E2">
          <w:pPr>
            <w:pStyle w:val="TDC2"/>
            <w:tabs>
              <w:tab w:val="right" w:leader="dot" w:pos="8828"/>
            </w:tabs>
            <w:rPr>
              <w:rFonts w:asciiTheme="minorHAnsi" w:hAnsiTheme="minorHAnsi" w:cstheme="minorBidi"/>
              <w:noProof/>
              <w:kern w:val="2"/>
              <w:szCs w:val="24"/>
              <w14:ligatures w14:val="standardContextual"/>
            </w:rPr>
          </w:pPr>
          <w:hyperlink w:anchor="_Toc222955544" w:history="1">
            <w:r w:rsidRPr="00D20EF4">
              <w:rPr>
                <w:rStyle w:val="Hipervnculo"/>
                <w:rFonts w:eastAsia="Times New Roman"/>
                <w:bCs/>
                <w:noProof/>
              </w:rPr>
              <w:t>30.2.</w:t>
            </w:r>
            <w:r w:rsidRPr="00D20EF4">
              <w:rPr>
                <w:rStyle w:val="Hipervnculo"/>
                <w:rFonts w:eastAsia="Times New Roman"/>
                <w:noProof/>
              </w:rPr>
              <w:t xml:space="preserve">   </w:t>
            </w:r>
            <w:r w:rsidRPr="00D20EF4">
              <w:rPr>
                <w:rStyle w:val="Hipervnculo"/>
                <w:rFonts w:eastAsia="Times New Roman"/>
                <w:bCs/>
                <w:noProof/>
              </w:rPr>
              <w:t>Otros gastos</w:t>
            </w:r>
            <w:r>
              <w:rPr>
                <w:noProof/>
                <w:webHidden/>
              </w:rPr>
              <w:tab/>
            </w:r>
            <w:r>
              <w:rPr>
                <w:noProof/>
                <w:webHidden/>
              </w:rPr>
              <w:fldChar w:fldCharType="begin"/>
            </w:r>
            <w:r>
              <w:rPr>
                <w:noProof/>
                <w:webHidden/>
              </w:rPr>
              <w:instrText xml:space="preserve"> PAGEREF _Toc222955544 \h </w:instrText>
            </w:r>
            <w:r>
              <w:rPr>
                <w:noProof/>
                <w:webHidden/>
              </w:rPr>
            </w:r>
            <w:r>
              <w:rPr>
                <w:noProof/>
                <w:webHidden/>
              </w:rPr>
              <w:fldChar w:fldCharType="separate"/>
            </w:r>
            <w:r>
              <w:rPr>
                <w:noProof/>
                <w:webHidden/>
              </w:rPr>
              <w:t>210</w:t>
            </w:r>
            <w:r>
              <w:rPr>
                <w:noProof/>
                <w:webHidden/>
              </w:rPr>
              <w:fldChar w:fldCharType="end"/>
            </w:r>
          </w:hyperlink>
        </w:p>
        <w:p w14:paraId="42EF4574" w14:textId="1630A5E9" w:rsidR="001958E2" w:rsidRDefault="001958E2">
          <w:pPr>
            <w:pStyle w:val="TDC2"/>
            <w:tabs>
              <w:tab w:val="right" w:leader="dot" w:pos="8828"/>
            </w:tabs>
            <w:rPr>
              <w:rFonts w:asciiTheme="minorHAnsi" w:hAnsiTheme="minorHAnsi" w:cstheme="minorBidi"/>
              <w:noProof/>
              <w:kern w:val="2"/>
              <w:szCs w:val="24"/>
              <w14:ligatures w14:val="standardContextual"/>
            </w:rPr>
          </w:pPr>
          <w:hyperlink w:anchor="_Toc222955545" w:history="1">
            <w:r w:rsidRPr="00D20EF4">
              <w:rPr>
                <w:rStyle w:val="Hipervnculo"/>
                <w:rFonts w:eastAsia="Times New Roman"/>
                <w:bCs/>
                <w:noProof/>
              </w:rPr>
              <w:t>30.3.</w:t>
            </w:r>
            <w:r w:rsidRPr="00D20EF4">
              <w:rPr>
                <w:rStyle w:val="Hipervnculo"/>
                <w:rFonts w:eastAsia="Times New Roman"/>
                <w:noProof/>
              </w:rPr>
              <w:t xml:space="preserve">   </w:t>
            </w:r>
            <w:r w:rsidRPr="00D20EF4">
              <w:rPr>
                <w:rStyle w:val="Hipervnculo"/>
                <w:rFonts w:eastAsia="Times New Roman"/>
                <w:bCs/>
                <w:noProof/>
              </w:rPr>
              <w:t>Transferencias y subvenciones</w:t>
            </w:r>
            <w:r>
              <w:rPr>
                <w:noProof/>
                <w:webHidden/>
              </w:rPr>
              <w:tab/>
            </w:r>
            <w:r>
              <w:rPr>
                <w:noProof/>
                <w:webHidden/>
              </w:rPr>
              <w:fldChar w:fldCharType="begin"/>
            </w:r>
            <w:r>
              <w:rPr>
                <w:noProof/>
                <w:webHidden/>
              </w:rPr>
              <w:instrText xml:space="preserve"> PAGEREF _Toc222955545 \h </w:instrText>
            </w:r>
            <w:r>
              <w:rPr>
                <w:noProof/>
                <w:webHidden/>
              </w:rPr>
            </w:r>
            <w:r>
              <w:rPr>
                <w:noProof/>
                <w:webHidden/>
              </w:rPr>
              <w:fldChar w:fldCharType="separate"/>
            </w:r>
            <w:r>
              <w:rPr>
                <w:noProof/>
                <w:webHidden/>
              </w:rPr>
              <w:t>214</w:t>
            </w:r>
            <w:r>
              <w:rPr>
                <w:noProof/>
                <w:webHidden/>
              </w:rPr>
              <w:fldChar w:fldCharType="end"/>
            </w:r>
          </w:hyperlink>
        </w:p>
        <w:p w14:paraId="70483EAA" w14:textId="00F385FC" w:rsidR="001958E2" w:rsidRDefault="001958E2">
          <w:pPr>
            <w:pStyle w:val="TDC2"/>
            <w:tabs>
              <w:tab w:val="right" w:leader="dot" w:pos="8828"/>
            </w:tabs>
            <w:rPr>
              <w:rFonts w:asciiTheme="minorHAnsi" w:hAnsiTheme="minorHAnsi" w:cstheme="minorBidi"/>
              <w:noProof/>
              <w:kern w:val="2"/>
              <w:szCs w:val="24"/>
              <w14:ligatures w14:val="standardContextual"/>
            </w:rPr>
          </w:pPr>
          <w:hyperlink w:anchor="_Toc222955546" w:history="1">
            <w:r w:rsidRPr="00D20EF4">
              <w:rPr>
                <w:rStyle w:val="Hipervnculo"/>
                <w:rFonts w:eastAsia="Times New Roman"/>
                <w:bCs/>
                <w:noProof/>
              </w:rPr>
              <w:t xml:space="preserve">30.4. </w:t>
            </w:r>
            <w:r w:rsidRPr="00D20EF4">
              <w:rPr>
                <w:rStyle w:val="Hipervnculo"/>
                <w:rFonts w:eastAsia="Times New Roman"/>
                <w:noProof/>
              </w:rPr>
              <w:t xml:space="preserve"> </w:t>
            </w:r>
            <w:r w:rsidRPr="00D20EF4">
              <w:rPr>
                <w:rStyle w:val="Hipervnculo"/>
                <w:rFonts w:eastAsia="Times New Roman"/>
                <w:bCs/>
                <w:noProof/>
              </w:rPr>
              <w:t>Gastos de administración, de operación y de ventas</w:t>
            </w:r>
            <w:r>
              <w:rPr>
                <w:noProof/>
                <w:webHidden/>
              </w:rPr>
              <w:tab/>
            </w:r>
            <w:r>
              <w:rPr>
                <w:noProof/>
                <w:webHidden/>
              </w:rPr>
              <w:fldChar w:fldCharType="begin"/>
            </w:r>
            <w:r>
              <w:rPr>
                <w:noProof/>
                <w:webHidden/>
              </w:rPr>
              <w:instrText xml:space="preserve"> PAGEREF _Toc222955546 \h </w:instrText>
            </w:r>
            <w:r>
              <w:rPr>
                <w:noProof/>
                <w:webHidden/>
              </w:rPr>
            </w:r>
            <w:r>
              <w:rPr>
                <w:noProof/>
                <w:webHidden/>
              </w:rPr>
              <w:fldChar w:fldCharType="separate"/>
            </w:r>
            <w:r>
              <w:rPr>
                <w:noProof/>
                <w:webHidden/>
              </w:rPr>
              <w:t>215</w:t>
            </w:r>
            <w:r>
              <w:rPr>
                <w:noProof/>
                <w:webHidden/>
              </w:rPr>
              <w:fldChar w:fldCharType="end"/>
            </w:r>
          </w:hyperlink>
        </w:p>
        <w:p w14:paraId="1E99038F" w14:textId="3E295794" w:rsidR="001958E2" w:rsidRDefault="001958E2">
          <w:pPr>
            <w:pStyle w:val="TDC2"/>
            <w:tabs>
              <w:tab w:val="right" w:leader="dot" w:pos="8828"/>
            </w:tabs>
            <w:rPr>
              <w:rFonts w:asciiTheme="minorHAnsi" w:hAnsiTheme="minorHAnsi" w:cstheme="minorBidi"/>
              <w:noProof/>
              <w:kern w:val="2"/>
              <w:szCs w:val="24"/>
              <w14:ligatures w14:val="standardContextual"/>
            </w:rPr>
          </w:pPr>
          <w:hyperlink w:anchor="_Toc222955547" w:history="1">
            <w:r w:rsidRPr="00D20EF4">
              <w:rPr>
                <w:rStyle w:val="Hipervnculo"/>
                <w:rFonts w:eastAsia="Times New Roman"/>
                <w:bCs/>
                <w:noProof/>
              </w:rPr>
              <w:t>30.5.</w:t>
            </w:r>
            <w:r w:rsidRPr="00D20EF4">
              <w:rPr>
                <w:rStyle w:val="Hipervnculo"/>
                <w:rFonts w:eastAsia="Times New Roman"/>
                <w:noProof/>
              </w:rPr>
              <w:t xml:space="preserve">    </w:t>
            </w:r>
            <w:r w:rsidRPr="00D20EF4">
              <w:rPr>
                <w:rStyle w:val="Hipervnculo"/>
                <w:rFonts w:eastAsia="Times New Roman"/>
                <w:bCs/>
                <w:noProof/>
              </w:rPr>
              <w:t>Operaciones interinstitucionales</w:t>
            </w:r>
            <w:r>
              <w:rPr>
                <w:noProof/>
                <w:webHidden/>
              </w:rPr>
              <w:tab/>
            </w:r>
            <w:r>
              <w:rPr>
                <w:noProof/>
                <w:webHidden/>
              </w:rPr>
              <w:fldChar w:fldCharType="begin"/>
            </w:r>
            <w:r>
              <w:rPr>
                <w:noProof/>
                <w:webHidden/>
              </w:rPr>
              <w:instrText xml:space="preserve"> PAGEREF _Toc222955547 \h </w:instrText>
            </w:r>
            <w:r>
              <w:rPr>
                <w:noProof/>
                <w:webHidden/>
              </w:rPr>
            </w:r>
            <w:r>
              <w:rPr>
                <w:noProof/>
                <w:webHidden/>
              </w:rPr>
              <w:fldChar w:fldCharType="separate"/>
            </w:r>
            <w:r>
              <w:rPr>
                <w:noProof/>
                <w:webHidden/>
              </w:rPr>
              <w:t>217</w:t>
            </w:r>
            <w:r>
              <w:rPr>
                <w:noProof/>
                <w:webHidden/>
              </w:rPr>
              <w:fldChar w:fldCharType="end"/>
            </w:r>
          </w:hyperlink>
        </w:p>
        <w:p w14:paraId="6F2A4BE7" w14:textId="63381CE1" w:rsidR="001958E2" w:rsidRDefault="001958E2">
          <w:pPr>
            <w:pStyle w:val="TDC1"/>
            <w:tabs>
              <w:tab w:val="right" w:leader="dot" w:pos="8828"/>
            </w:tabs>
            <w:rPr>
              <w:rFonts w:asciiTheme="minorHAnsi" w:eastAsiaTheme="minorEastAsia" w:hAnsiTheme="minorHAnsi" w:cstheme="minorBidi"/>
              <w:noProof/>
              <w:kern w:val="2"/>
              <w:szCs w:val="24"/>
              <w:lang w:eastAsia="es-CO"/>
              <w14:ligatures w14:val="standardContextual"/>
            </w:rPr>
          </w:pPr>
          <w:hyperlink w:anchor="_Toc222955548" w:history="1">
            <w:r w:rsidRPr="00D20EF4">
              <w:rPr>
                <w:rStyle w:val="Hipervnculo"/>
                <w:noProof/>
              </w:rPr>
              <w:t>NOTA 33. ACUERDOS DE CONCESIÓN - ENTIDAD CONCEDENTE</w:t>
            </w:r>
            <w:r>
              <w:rPr>
                <w:noProof/>
                <w:webHidden/>
              </w:rPr>
              <w:tab/>
            </w:r>
            <w:r>
              <w:rPr>
                <w:noProof/>
                <w:webHidden/>
              </w:rPr>
              <w:fldChar w:fldCharType="begin"/>
            </w:r>
            <w:r>
              <w:rPr>
                <w:noProof/>
                <w:webHidden/>
              </w:rPr>
              <w:instrText xml:space="preserve"> PAGEREF _Toc222955548 \h </w:instrText>
            </w:r>
            <w:r>
              <w:rPr>
                <w:noProof/>
                <w:webHidden/>
              </w:rPr>
            </w:r>
            <w:r>
              <w:rPr>
                <w:noProof/>
                <w:webHidden/>
              </w:rPr>
              <w:fldChar w:fldCharType="separate"/>
            </w:r>
            <w:r>
              <w:rPr>
                <w:noProof/>
                <w:webHidden/>
              </w:rPr>
              <w:t>218</w:t>
            </w:r>
            <w:r>
              <w:rPr>
                <w:noProof/>
                <w:webHidden/>
              </w:rPr>
              <w:fldChar w:fldCharType="end"/>
            </w:r>
          </w:hyperlink>
        </w:p>
        <w:p w14:paraId="44AEDDA5" w14:textId="1E5E90A5" w:rsidR="001958E2" w:rsidRDefault="001958E2">
          <w:pPr>
            <w:pStyle w:val="TDC2"/>
            <w:tabs>
              <w:tab w:val="right" w:leader="dot" w:pos="8828"/>
            </w:tabs>
            <w:rPr>
              <w:rFonts w:asciiTheme="minorHAnsi" w:hAnsiTheme="minorHAnsi" w:cstheme="minorBidi"/>
              <w:noProof/>
              <w:kern w:val="2"/>
              <w:szCs w:val="24"/>
              <w14:ligatures w14:val="standardContextual"/>
            </w:rPr>
          </w:pPr>
          <w:hyperlink w:anchor="_Toc222955549" w:history="1">
            <w:r w:rsidRPr="00D20EF4">
              <w:rPr>
                <w:rStyle w:val="Hipervnculo"/>
                <w:noProof/>
              </w:rPr>
              <w:t>Composición</w:t>
            </w:r>
            <w:r>
              <w:rPr>
                <w:noProof/>
                <w:webHidden/>
              </w:rPr>
              <w:tab/>
            </w:r>
            <w:r>
              <w:rPr>
                <w:noProof/>
                <w:webHidden/>
              </w:rPr>
              <w:fldChar w:fldCharType="begin"/>
            </w:r>
            <w:r>
              <w:rPr>
                <w:noProof/>
                <w:webHidden/>
              </w:rPr>
              <w:instrText xml:space="preserve"> PAGEREF _Toc222955549 \h </w:instrText>
            </w:r>
            <w:r>
              <w:rPr>
                <w:noProof/>
                <w:webHidden/>
              </w:rPr>
            </w:r>
            <w:r>
              <w:rPr>
                <w:noProof/>
                <w:webHidden/>
              </w:rPr>
              <w:fldChar w:fldCharType="separate"/>
            </w:r>
            <w:r>
              <w:rPr>
                <w:noProof/>
                <w:webHidden/>
              </w:rPr>
              <w:t>218</w:t>
            </w:r>
            <w:r>
              <w:rPr>
                <w:noProof/>
                <w:webHidden/>
              </w:rPr>
              <w:fldChar w:fldCharType="end"/>
            </w:r>
          </w:hyperlink>
        </w:p>
        <w:p w14:paraId="0379DF2F" w14:textId="1FBFF48B" w:rsidR="001958E2" w:rsidRDefault="001958E2">
          <w:pPr>
            <w:pStyle w:val="TDC2"/>
            <w:tabs>
              <w:tab w:val="left" w:pos="1100"/>
              <w:tab w:val="right" w:leader="dot" w:pos="8828"/>
            </w:tabs>
            <w:rPr>
              <w:rFonts w:asciiTheme="minorHAnsi" w:hAnsiTheme="minorHAnsi" w:cstheme="minorBidi"/>
              <w:noProof/>
              <w:kern w:val="2"/>
              <w:szCs w:val="24"/>
              <w14:ligatures w14:val="standardContextual"/>
            </w:rPr>
          </w:pPr>
          <w:hyperlink w:anchor="_Toc222955550" w:history="1">
            <w:r w:rsidRPr="00D20EF4">
              <w:rPr>
                <w:rStyle w:val="Hipervnculo"/>
                <w:noProof/>
              </w:rPr>
              <w:t>33.1.</w:t>
            </w:r>
            <w:r>
              <w:rPr>
                <w:rFonts w:asciiTheme="minorHAnsi" w:hAnsiTheme="minorHAnsi" w:cstheme="minorBidi"/>
                <w:noProof/>
                <w:kern w:val="2"/>
                <w:szCs w:val="24"/>
                <w14:ligatures w14:val="standardContextual"/>
              </w:rPr>
              <w:tab/>
            </w:r>
            <w:r w:rsidRPr="00D20EF4">
              <w:rPr>
                <w:rStyle w:val="Hipervnculo"/>
                <w:noProof/>
              </w:rPr>
              <w:t>Detalle de los acuerdos de concesión</w:t>
            </w:r>
            <w:r>
              <w:rPr>
                <w:noProof/>
                <w:webHidden/>
              </w:rPr>
              <w:tab/>
            </w:r>
            <w:r>
              <w:rPr>
                <w:noProof/>
                <w:webHidden/>
              </w:rPr>
              <w:fldChar w:fldCharType="begin"/>
            </w:r>
            <w:r>
              <w:rPr>
                <w:noProof/>
                <w:webHidden/>
              </w:rPr>
              <w:instrText xml:space="preserve"> PAGEREF _Toc222955550 \h </w:instrText>
            </w:r>
            <w:r>
              <w:rPr>
                <w:noProof/>
                <w:webHidden/>
              </w:rPr>
            </w:r>
            <w:r>
              <w:rPr>
                <w:noProof/>
                <w:webHidden/>
              </w:rPr>
              <w:fldChar w:fldCharType="separate"/>
            </w:r>
            <w:r>
              <w:rPr>
                <w:noProof/>
                <w:webHidden/>
              </w:rPr>
              <w:t>219</w:t>
            </w:r>
            <w:r>
              <w:rPr>
                <w:noProof/>
                <w:webHidden/>
              </w:rPr>
              <w:fldChar w:fldCharType="end"/>
            </w:r>
          </w:hyperlink>
        </w:p>
        <w:p w14:paraId="7573B230" w14:textId="244CDE37" w:rsidR="001958E2" w:rsidRDefault="001958E2">
          <w:pPr>
            <w:pStyle w:val="TDC3"/>
            <w:tabs>
              <w:tab w:val="right" w:leader="dot" w:pos="8828"/>
            </w:tabs>
            <w:rPr>
              <w:rFonts w:asciiTheme="minorHAnsi" w:hAnsiTheme="minorHAnsi" w:cstheme="minorBidi"/>
              <w:noProof/>
              <w:kern w:val="2"/>
              <w:szCs w:val="24"/>
              <w14:ligatures w14:val="standardContextual"/>
            </w:rPr>
          </w:pPr>
          <w:hyperlink w:anchor="_Toc222955551" w:history="1">
            <w:r w:rsidRPr="00D20EF4">
              <w:rPr>
                <w:rStyle w:val="Hipervnculo"/>
                <w:noProof/>
              </w:rPr>
              <w:t>33.1.1 Modo Carretero:</w:t>
            </w:r>
            <w:r>
              <w:rPr>
                <w:noProof/>
                <w:webHidden/>
              </w:rPr>
              <w:tab/>
            </w:r>
            <w:r>
              <w:rPr>
                <w:noProof/>
                <w:webHidden/>
              </w:rPr>
              <w:fldChar w:fldCharType="begin"/>
            </w:r>
            <w:r>
              <w:rPr>
                <w:noProof/>
                <w:webHidden/>
              </w:rPr>
              <w:instrText xml:space="preserve"> PAGEREF _Toc222955551 \h </w:instrText>
            </w:r>
            <w:r>
              <w:rPr>
                <w:noProof/>
                <w:webHidden/>
              </w:rPr>
            </w:r>
            <w:r>
              <w:rPr>
                <w:noProof/>
                <w:webHidden/>
              </w:rPr>
              <w:fldChar w:fldCharType="separate"/>
            </w:r>
            <w:r>
              <w:rPr>
                <w:noProof/>
                <w:webHidden/>
              </w:rPr>
              <w:t>219</w:t>
            </w:r>
            <w:r>
              <w:rPr>
                <w:noProof/>
                <w:webHidden/>
              </w:rPr>
              <w:fldChar w:fldCharType="end"/>
            </w:r>
          </w:hyperlink>
        </w:p>
        <w:p w14:paraId="7287CA67" w14:textId="6FA93635" w:rsidR="001958E2" w:rsidRDefault="001958E2">
          <w:pPr>
            <w:pStyle w:val="TDC2"/>
            <w:tabs>
              <w:tab w:val="right" w:leader="dot" w:pos="8828"/>
            </w:tabs>
            <w:rPr>
              <w:rFonts w:asciiTheme="minorHAnsi" w:hAnsiTheme="minorHAnsi" w:cstheme="minorBidi"/>
              <w:noProof/>
              <w:kern w:val="2"/>
              <w:szCs w:val="24"/>
              <w14:ligatures w14:val="standardContextual"/>
            </w:rPr>
          </w:pPr>
          <w:hyperlink w:anchor="_Toc222955552" w:history="1">
            <w:r w:rsidRPr="00D20EF4">
              <w:rPr>
                <w:rStyle w:val="Hipervnculo"/>
                <w:noProof/>
              </w:rPr>
              <w:t>Composición</w:t>
            </w:r>
            <w:r>
              <w:rPr>
                <w:noProof/>
                <w:webHidden/>
              </w:rPr>
              <w:tab/>
            </w:r>
            <w:r>
              <w:rPr>
                <w:noProof/>
                <w:webHidden/>
              </w:rPr>
              <w:fldChar w:fldCharType="begin"/>
            </w:r>
            <w:r>
              <w:rPr>
                <w:noProof/>
                <w:webHidden/>
              </w:rPr>
              <w:instrText xml:space="preserve"> PAGEREF _Toc222955552 \h </w:instrText>
            </w:r>
            <w:r>
              <w:rPr>
                <w:noProof/>
                <w:webHidden/>
              </w:rPr>
            </w:r>
            <w:r>
              <w:rPr>
                <w:noProof/>
                <w:webHidden/>
              </w:rPr>
              <w:fldChar w:fldCharType="separate"/>
            </w:r>
            <w:r>
              <w:rPr>
                <w:noProof/>
                <w:webHidden/>
              </w:rPr>
              <w:t>219</w:t>
            </w:r>
            <w:r>
              <w:rPr>
                <w:noProof/>
                <w:webHidden/>
              </w:rPr>
              <w:fldChar w:fldCharType="end"/>
            </w:r>
          </w:hyperlink>
        </w:p>
        <w:p w14:paraId="5E6CD211" w14:textId="6F591756" w:rsidR="001958E2" w:rsidRDefault="001958E2">
          <w:pPr>
            <w:pStyle w:val="TDC3"/>
            <w:tabs>
              <w:tab w:val="right" w:leader="dot" w:pos="8828"/>
            </w:tabs>
            <w:rPr>
              <w:rFonts w:asciiTheme="minorHAnsi" w:hAnsiTheme="minorHAnsi" w:cstheme="minorBidi"/>
              <w:noProof/>
              <w:kern w:val="2"/>
              <w:szCs w:val="24"/>
              <w14:ligatures w14:val="standardContextual"/>
            </w:rPr>
          </w:pPr>
          <w:hyperlink w:anchor="_Toc222955553" w:history="1">
            <w:r w:rsidRPr="00D20EF4">
              <w:rPr>
                <w:rStyle w:val="Hipervnculo"/>
                <w:noProof/>
              </w:rPr>
              <w:t>33.1.2 Modo portuario:</w:t>
            </w:r>
            <w:r>
              <w:rPr>
                <w:noProof/>
                <w:webHidden/>
              </w:rPr>
              <w:tab/>
            </w:r>
            <w:r>
              <w:rPr>
                <w:noProof/>
                <w:webHidden/>
              </w:rPr>
              <w:fldChar w:fldCharType="begin"/>
            </w:r>
            <w:r>
              <w:rPr>
                <w:noProof/>
                <w:webHidden/>
              </w:rPr>
              <w:instrText xml:space="preserve"> PAGEREF _Toc222955553 \h </w:instrText>
            </w:r>
            <w:r>
              <w:rPr>
                <w:noProof/>
                <w:webHidden/>
              </w:rPr>
            </w:r>
            <w:r>
              <w:rPr>
                <w:noProof/>
                <w:webHidden/>
              </w:rPr>
              <w:fldChar w:fldCharType="separate"/>
            </w:r>
            <w:r>
              <w:rPr>
                <w:noProof/>
                <w:webHidden/>
              </w:rPr>
              <w:t>226</w:t>
            </w:r>
            <w:r>
              <w:rPr>
                <w:noProof/>
                <w:webHidden/>
              </w:rPr>
              <w:fldChar w:fldCharType="end"/>
            </w:r>
          </w:hyperlink>
        </w:p>
        <w:p w14:paraId="0FC3D1BC" w14:textId="248D6AF6" w:rsidR="001958E2" w:rsidRDefault="001958E2">
          <w:pPr>
            <w:pStyle w:val="TDC2"/>
            <w:tabs>
              <w:tab w:val="right" w:leader="dot" w:pos="8828"/>
            </w:tabs>
            <w:rPr>
              <w:rFonts w:asciiTheme="minorHAnsi" w:hAnsiTheme="minorHAnsi" w:cstheme="minorBidi"/>
              <w:noProof/>
              <w:kern w:val="2"/>
              <w:szCs w:val="24"/>
              <w14:ligatures w14:val="standardContextual"/>
            </w:rPr>
          </w:pPr>
          <w:hyperlink w:anchor="_Toc222955554" w:history="1">
            <w:r w:rsidRPr="00D20EF4">
              <w:rPr>
                <w:rStyle w:val="Hipervnculo"/>
                <w:noProof/>
              </w:rPr>
              <w:t>Composición</w:t>
            </w:r>
            <w:r>
              <w:rPr>
                <w:noProof/>
                <w:webHidden/>
              </w:rPr>
              <w:tab/>
            </w:r>
            <w:r>
              <w:rPr>
                <w:noProof/>
                <w:webHidden/>
              </w:rPr>
              <w:fldChar w:fldCharType="begin"/>
            </w:r>
            <w:r>
              <w:rPr>
                <w:noProof/>
                <w:webHidden/>
              </w:rPr>
              <w:instrText xml:space="preserve"> PAGEREF _Toc222955554 \h </w:instrText>
            </w:r>
            <w:r>
              <w:rPr>
                <w:noProof/>
                <w:webHidden/>
              </w:rPr>
            </w:r>
            <w:r>
              <w:rPr>
                <w:noProof/>
                <w:webHidden/>
              </w:rPr>
              <w:fldChar w:fldCharType="separate"/>
            </w:r>
            <w:r>
              <w:rPr>
                <w:noProof/>
                <w:webHidden/>
              </w:rPr>
              <w:t>226</w:t>
            </w:r>
            <w:r>
              <w:rPr>
                <w:noProof/>
                <w:webHidden/>
              </w:rPr>
              <w:fldChar w:fldCharType="end"/>
            </w:r>
          </w:hyperlink>
        </w:p>
        <w:p w14:paraId="6651E0ED" w14:textId="0C7624FE" w:rsidR="001958E2" w:rsidRDefault="001958E2">
          <w:pPr>
            <w:pStyle w:val="TDC3"/>
            <w:tabs>
              <w:tab w:val="right" w:leader="dot" w:pos="8828"/>
            </w:tabs>
            <w:rPr>
              <w:rFonts w:asciiTheme="minorHAnsi" w:hAnsiTheme="minorHAnsi" w:cstheme="minorBidi"/>
              <w:noProof/>
              <w:kern w:val="2"/>
              <w:szCs w:val="24"/>
              <w14:ligatures w14:val="standardContextual"/>
            </w:rPr>
          </w:pPr>
          <w:hyperlink w:anchor="_Toc222955555" w:history="1">
            <w:r w:rsidRPr="00D20EF4">
              <w:rPr>
                <w:rStyle w:val="Hipervnculo"/>
                <w:rFonts w:eastAsia="Times New Roman"/>
                <w:noProof/>
              </w:rPr>
              <w:t>33.1.3 Modo Férreo:</w:t>
            </w:r>
            <w:r>
              <w:rPr>
                <w:noProof/>
                <w:webHidden/>
              </w:rPr>
              <w:tab/>
            </w:r>
            <w:r>
              <w:rPr>
                <w:noProof/>
                <w:webHidden/>
              </w:rPr>
              <w:fldChar w:fldCharType="begin"/>
            </w:r>
            <w:r>
              <w:rPr>
                <w:noProof/>
                <w:webHidden/>
              </w:rPr>
              <w:instrText xml:space="preserve"> PAGEREF _Toc222955555 \h </w:instrText>
            </w:r>
            <w:r>
              <w:rPr>
                <w:noProof/>
                <w:webHidden/>
              </w:rPr>
            </w:r>
            <w:r>
              <w:rPr>
                <w:noProof/>
                <w:webHidden/>
              </w:rPr>
              <w:fldChar w:fldCharType="separate"/>
            </w:r>
            <w:r>
              <w:rPr>
                <w:noProof/>
                <w:webHidden/>
              </w:rPr>
              <w:t>231</w:t>
            </w:r>
            <w:r>
              <w:rPr>
                <w:noProof/>
                <w:webHidden/>
              </w:rPr>
              <w:fldChar w:fldCharType="end"/>
            </w:r>
          </w:hyperlink>
        </w:p>
        <w:p w14:paraId="6E2ED6CF" w14:textId="61F41D27" w:rsidR="001958E2" w:rsidRDefault="001958E2">
          <w:pPr>
            <w:pStyle w:val="TDC2"/>
            <w:tabs>
              <w:tab w:val="right" w:leader="dot" w:pos="8828"/>
            </w:tabs>
            <w:rPr>
              <w:rFonts w:asciiTheme="minorHAnsi" w:hAnsiTheme="minorHAnsi" w:cstheme="minorBidi"/>
              <w:noProof/>
              <w:kern w:val="2"/>
              <w:szCs w:val="24"/>
              <w14:ligatures w14:val="standardContextual"/>
            </w:rPr>
          </w:pPr>
          <w:hyperlink w:anchor="_Toc222955556" w:history="1">
            <w:r w:rsidRPr="00D20EF4">
              <w:rPr>
                <w:rStyle w:val="Hipervnculo"/>
                <w:rFonts w:eastAsia="Times New Roman"/>
                <w:noProof/>
              </w:rPr>
              <w:t>Composición</w:t>
            </w:r>
            <w:r>
              <w:rPr>
                <w:noProof/>
                <w:webHidden/>
              </w:rPr>
              <w:tab/>
            </w:r>
            <w:r>
              <w:rPr>
                <w:noProof/>
                <w:webHidden/>
              </w:rPr>
              <w:fldChar w:fldCharType="begin"/>
            </w:r>
            <w:r>
              <w:rPr>
                <w:noProof/>
                <w:webHidden/>
              </w:rPr>
              <w:instrText xml:space="preserve"> PAGEREF _Toc222955556 \h </w:instrText>
            </w:r>
            <w:r>
              <w:rPr>
                <w:noProof/>
                <w:webHidden/>
              </w:rPr>
            </w:r>
            <w:r>
              <w:rPr>
                <w:noProof/>
                <w:webHidden/>
              </w:rPr>
              <w:fldChar w:fldCharType="separate"/>
            </w:r>
            <w:r>
              <w:rPr>
                <w:noProof/>
                <w:webHidden/>
              </w:rPr>
              <w:t>231</w:t>
            </w:r>
            <w:r>
              <w:rPr>
                <w:noProof/>
                <w:webHidden/>
              </w:rPr>
              <w:fldChar w:fldCharType="end"/>
            </w:r>
          </w:hyperlink>
        </w:p>
        <w:p w14:paraId="15F3C6ED" w14:textId="018A7186" w:rsidR="001958E2" w:rsidRDefault="001958E2">
          <w:pPr>
            <w:pStyle w:val="TDC3"/>
            <w:tabs>
              <w:tab w:val="right" w:leader="dot" w:pos="8828"/>
            </w:tabs>
            <w:rPr>
              <w:rFonts w:asciiTheme="minorHAnsi" w:hAnsiTheme="minorHAnsi" w:cstheme="minorBidi"/>
              <w:noProof/>
              <w:kern w:val="2"/>
              <w:szCs w:val="24"/>
              <w14:ligatures w14:val="standardContextual"/>
            </w:rPr>
          </w:pPr>
          <w:hyperlink w:anchor="_Toc222955557" w:history="1">
            <w:r w:rsidRPr="00D20EF4">
              <w:rPr>
                <w:rStyle w:val="Hipervnculo"/>
                <w:noProof/>
              </w:rPr>
              <w:t>33.1.4 Modo Fluvial:</w:t>
            </w:r>
            <w:r>
              <w:rPr>
                <w:noProof/>
                <w:webHidden/>
              </w:rPr>
              <w:tab/>
            </w:r>
            <w:r>
              <w:rPr>
                <w:noProof/>
                <w:webHidden/>
              </w:rPr>
              <w:fldChar w:fldCharType="begin"/>
            </w:r>
            <w:r>
              <w:rPr>
                <w:noProof/>
                <w:webHidden/>
              </w:rPr>
              <w:instrText xml:space="preserve"> PAGEREF _Toc222955557 \h </w:instrText>
            </w:r>
            <w:r>
              <w:rPr>
                <w:noProof/>
                <w:webHidden/>
              </w:rPr>
            </w:r>
            <w:r>
              <w:rPr>
                <w:noProof/>
                <w:webHidden/>
              </w:rPr>
              <w:fldChar w:fldCharType="separate"/>
            </w:r>
            <w:r>
              <w:rPr>
                <w:noProof/>
                <w:webHidden/>
              </w:rPr>
              <w:t>232</w:t>
            </w:r>
            <w:r>
              <w:rPr>
                <w:noProof/>
                <w:webHidden/>
              </w:rPr>
              <w:fldChar w:fldCharType="end"/>
            </w:r>
          </w:hyperlink>
        </w:p>
        <w:p w14:paraId="44233229" w14:textId="0F40E065" w:rsidR="001958E2" w:rsidRDefault="001958E2">
          <w:pPr>
            <w:pStyle w:val="TDC1"/>
            <w:tabs>
              <w:tab w:val="right" w:leader="dot" w:pos="8828"/>
            </w:tabs>
            <w:rPr>
              <w:rFonts w:asciiTheme="minorHAnsi" w:eastAsiaTheme="minorEastAsia" w:hAnsiTheme="minorHAnsi" w:cstheme="minorBidi"/>
              <w:noProof/>
              <w:kern w:val="2"/>
              <w:szCs w:val="24"/>
              <w:lang w:eastAsia="es-CO"/>
              <w14:ligatures w14:val="standardContextual"/>
            </w:rPr>
          </w:pPr>
          <w:hyperlink w:anchor="_Toc222955558" w:history="1">
            <w:r w:rsidRPr="00D20EF4">
              <w:rPr>
                <w:rStyle w:val="Hipervnculo"/>
                <w:noProof/>
              </w:rPr>
              <w:t>NOTA 35. EFECTOS DE LAS VARIACIONES EN LAS TASAS DE CAMBIO DE LA MONEDA EXTRANJERA</w:t>
            </w:r>
            <w:r>
              <w:rPr>
                <w:noProof/>
                <w:webHidden/>
              </w:rPr>
              <w:tab/>
            </w:r>
            <w:r>
              <w:rPr>
                <w:noProof/>
                <w:webHidden/>
              </w:rPr>
              <w:fldChar w:fldCharType="begin"/>
            </w:r>
            <w:r>
              <w:rPr>
                <w:noProof/>
                <w:webHidden/>
              </w:rPr>
              <w:instrText xml:space="preserve"> PAGEREF _Toc222955558 \h </w:instrText>
            </w:r>
            <w:r>
              <w:rPr>
                <w:noProof/>
                <w:webHidden/>
              </w:rPr>
            </w:r>
            <w:r>
              <w:rPr>
                <w:noProof/>
                <w:webHidden/>
              </w:rPr>
              <w:fldChar w:fldCharType="separate"/>
            </w:r>
            <w:r>
              <w:rPr>
                <w:noProof/>
                <w:webHidden/>
              </w:rPr>
              <w:t>583</w:t>
            </w:r>
            <w:r>
              <w:rPr>
                <w:noProof/>
                <w:webHidden/>
              </w:rPr>
              <w:fldChar w:fldCharType="end"/>
            </w:r>
          </w:hyperlink>
        </w:p>
        <w:p w14:paraId="1548345A" w14:textId="171E2BF5" w:rsidR="001958E2" w:rsidRDefault="001958E2">
          <w:pPr>
            <w:pStyle w:val="TDC2"/>
            <w:tabs>
              <w:tab w:val="right" w:leader="dot" w:pos="8828"/>
            </w:tabs>
            <w:rPr>
              <w:rFonts w:asciiTheme="minorHAnsi" w:hAnsiTheme="minorHAnsi" w:cstheme="minorBidi"/>
              <w:noProof/>
              <w:kern w:val="2"/>
              <w:szCs w:val="24"/>
              <w14:ligatures w14:val="standardContextual"/>
            </w:rPr>
          </w:pPr>
          <w:hyperlink w:anchor="_Toc222955559" w:history="1">
            <w:r w:rsidRPr="00D20EF4">
              <w:rPr>
                <w:rStyle w:val="Hipervnculo"/>
                <w:noProof/>
              </w:rPr>
              <w:t>Composición</w:t>
            </w:r>
            <w:r>
              <w:rPr>
                <w:noProof/>
                <w:webHidden/>
              </w:rPr>
              <w:tab/>
            </w:r>
            <w:r>
              <w:rPr>
                <w:noProof/>
                <w:webHidden/>
              </w:rPr>
              <w:fldChar w:fldCharType="begin"/>
            </w:r>
            <w:r>
              <w:rPr>
                <w:noProof/>
                <w:webHidden/>
              </w:rPr>
              <w:instrText xml:space="preserve"> PAGEREF _Toc222955559 \h </w:instrText>
            </w:r>
            <w:r>
              <w:rPr>
                <w:noProof/>
                <w:webHidden/>
              </w:rPr>
            </w:r>
            <w:r>
              <w:rPr>
                <w:noProof/>
                <w:webHidden/>
              </w:rPr>
              <w:fldChar w:fldCharType="separate"/>
            </w:r>
            <w:r>
              <w:rPr>
                <w:noProof/>
                <w:webHidden/>
              </w:rPr>
              <w:t>583</w:t>
            </w:r>
            <w:r>
              <w:rPr>
                <w:noProof/>
                <w:webHidden/>
              </w:rPr>
              <w:fldChar w:fldCharType="end"/>
            </w:r>
          </w:hyperlink>
        </w:p>
        <w:p w14:paraId="0E0D11ED" w14:textId="54C193E5" w:rsidR="001958E2" w:rsidRDefault="001958E2">
          <w:pPr>
            <w:pStyle w:val="TDC2"/>
            <w:tabs>
              <w:tab w:val="left" w:pos="1100"/>
              <w:tab w:val="right" w:leader="dot" w:pos="8828"/>
            </w:tabs>
            <w:rPr>
              <w:rFonts w:asciiTheme="minorHAnsi" w:hAnsiTheme="minorHAnsi" w:cstheme="minorBidi"/>
              <w:noProof/>
              <w:kern w:val="2"/>
              <w:szCs w:val="24"/>
              <w14:ligatures w14:val="standardContextual"/>
            </w:rPr>
          </w:pPr>
          <w:hyperlink w:anchor="_Toc222955560" w:history="1">
            <w:r w:rsidRPr="00D20EF4">
              <w:rPr>
                <w:rStyle w:val="Hipervnculo"/>
                <w:noProof/>
              </w:rPr>
              <w:t>35.1.</w:t>
            </w:r>
            <w:r>
              <w:rPr>
                <w:rFonts w:asciiTheme="minorHAnsi" w:hAnsiTheme="minorHAnsi" w:cstheme="minorBidi"/>
                <w:noProof/>
                <w:kern w:val="2"/>
                <w:szCs w:val="24"/>
                <w14:ligatures w14:val="standardContextual"/>
              </w:rPr>
              <w:tab/>
            </w:r>
            <w:r w:rsidRPr="00D20EF4">
              <w:rPr>
                <w:rStyle w:val="Hipervnculo"/>
                <w:noProof/>
              </w:rPr>
              <w:t>Conciliación de ajustes por diferencia en cambio</w:t>
            </w:r>
            <w:r>
              <w:rPr>
                <w:noProof/>
                <w:webHidden/>
              </w:rPr>
              <w:tab/>
            </w:r>
            <w:r>
              <w:rPr>
                <w:noProof/>
                <w:webHidden/>
              </w:rPr>
              <w:fldChar w:fldCharType="begin"/>
            </w:r>
            <w:r>
              <w:rPr>
                <w:noProof/>
                <w:webHidden/>
              </w:rPr>
              <w:instrText xml:space="preserve"> PAGEREF _Toc222955560 \h </w:instrText>
            </w:r>
            <w:r>
              <w:rPr>
                <w:noProof/>
                <w:webHidden/>
              </w:rPr>
            </w:r>
            <w:r>
              <w:rPr>
                <w:noProof/>
                <w:webHidden/>
              </w:rPr>
              <w:fldChar w:fldCharType="separate"/>
            </w:r>
            <w:r>
              <w:rPr>
                <w:noProof/>
                <w:webHidden/>
              </w:rPr>
              <w:t>583</w:t>
            </w:r>
            <w:r>
              <w:rPr>
                <w:noProof/>
                <w:webHidden/>
              </w:rPr>
              <w:fldChar w:fldCharType="end"/>
            </w:r>
          </w:hyperlink>
        </w:p>
        <w:p w14:paraId="6DEA00BE" w14:textId="2675718A" w:rsidR="00697647" w:rsidRPr="00951AB1" w:rsidRDefault="00F9103F" w:rsidP="000A5389">
          <w:pPr>
            <w:spacing w:line="240" w:lineRule="auto"/>
            <w:rPr>
              <w:rFonts w:cs="Times New Roman"/>
            </w:rPr>
          </w:pPr>
          <w:r w:rsidRPr="00C97A86">
            <w:rPr>
              <w:rFonts w:cs="Times New Roman"/>
              <w:b/>
              <w:bCs/>
              <w:color w:val="1F3864" w:themeColor="accent1" w:themeShade="80"/>
              <w:szCs w:val="24"/>
              <w:lang w:val="es-ES"/>
            </w:rPr>
            <w:fldChar w:fldCharType="end"/>
          </w:r>
        </w:p>
      </w:sdtContent>
    </w:sdt>
    <w:p w14:paraId="48151DFD" w14:textId="77777777" w:rsidR="00931954" w:rsidRDefault="00931954" w:rsidP="000A5389">
      <w:pPr>
        <w:spacing w:line="240" w:lineRule="auto"/>
        <w:rPr>
          <w:rFonts w:cs="Times New Roman"/>
          <w:szCs w:val="24"/>
        </w:rPr>
      </w:pPr>
    </w:p>
    <w:p w14:paraId="52C929F4" w14:textId="77777777" w:rsidR="00C97A86" w:rsidRDefault="00C97A86" w:rsidP="000A5389">
      <w:pPr>
        <w:spacing w:line="240" w:lineRule="auto"/>
        <w:rPr>
          <w:rFonts w:cs="Times New Roman"/>
          <w:szCs w:val="24"/>
        </w:rPr>
      </w:pPr>
    </w:p>
    <w:p w14:paraId="502A7640" w14:textId="77777777" w:rsidR="00C97A86" w:rsidRDefault="00C97A86" w:rsidP="000A5389">
      <w:pPr>
        <w:spacing w:line="240" w:lineRule="auto"/>
        <w:rPr>
          <w:rFonts w:cs="Times New Roman"/>
          <w:szCs w:val="24"/>
        </w:rPr>
      </w:pPr>
    </w:p>
    <w:p w14:paraId="10D83062" w14:textId="77777777" w:rsidR="00A25D3F" w:rsidRDefault="00A25D3F" w:rsidP="000A5389">
      <w:pPr>
        <w:spacing w:line="240" w:lineRule="auto"/>
        <w:rPr>
          <w:rFonts w:cs="Times New Roman"/>
          <w:szCs w:val="24"/>
        </w:rPr>
      </w:pPr>
    </w:p>
    <w:p w14:paraId="17AE4E5A" w14:textId="77777777" w:rsidR="00147090" w:rsidRDefault="00147090" w:rsidP="000A5389">
      <w:pPr>
        <w:spacing w:line="240" w:lineRule="auto"/>
        <w:rPr>
          <w:rFonts w:cs="Times New Roman"/>
          <w:szCs w:val="24"/>
        </w:rPr>
      </w:pPr>
    </w:p>
    <w:p w14:paraId="7A04CEB5" w14:textId="77777777" w:rsidR="00147090" w:rsidRDefault="00147090" w:rsidP="000A5389">
      <w:pPr>
        <w:spacing w:line="240" w:lineRule="auto"/>
        <w:rPr>
          <w:rFonts w:cs="Times New Roman"/>
          <w:szCs w:val="24"/>
        </w:rPr>
      </w:pPr>
    </w:p>
    <w:p w14:paraId="75D950C0" w14:textId="77777777" w:rsidR="00147090" w:rsidRDefault="00147090" w:rsidP="000A5389">
      <w:pPr>
        <w:spacing w:line="240" w:lineRule="auto"/>
        <w:rPr>
          <w:rFonts w:cs="Times New Roman"/>
          <w:szCs w:val="24"/>
        </w:rPr>
      </w:pPr>
    </w:p>
    <w:p w14:paraId="527CF848" w14:textId="77777777" w:rsidR="00147090" w:rsidRDefault="00147090" w:rsidP="000A5389">
      <w:pPr>
        <w:spacing w:line="240" w:lineRule="auto"/>
        <w:rPr>
          <w:rFonts w:cs="Times New Roman"/>
          <w:szCs w:val="24"/>
        </w:rPr>
      </w:pPr>
    </w:p>
    <w:p w14:paraId="07E96C81" w14:textId="77777777" w:rsidR="00147090" w:rsidRDefault="00147090" w:rsidP="000A5389">
      <w:pPr>
        <w:spacing w:line="240" w:lineRule="auto"/>
        <w:rPr>
          <w:rFonts w:cs="Times New Roman"/>
          <w:szCs w:val="24"/>
        </w:rPr>
      </w:pPr>
    </w:p>
    <w:p w14:paraId="5869D2B2" w14:textId="77777777" w:rsidR="00147090" w:rsidRDefault="00147090" w:rsidP="000A5389">
      <w:pPr>
        <w:spacing w:line="240" w:lineRule="auto"/>
        <w:rPr>
          <w:rFonts w:cs="Times New Roman"/>
          <w:szCs w:val="24"/>
        </w:rPr>
      </w:pPr>
    </w:p>
    <w:p w14:paraId="69581D1F" w14:textId="77777777" w:rsidR="00A25D3F" w:rsidRDefault="00A25D3F" w:rsidP="000A5389">
      <w:pPr>
        <w:spacing w:line="240" w:lineRule="auto"/>
        <w:rPr>
          <w:rFonts w:cs="Times New Roman"/>
          <w:szCs w:val="24"/>
        </w:rPr>
      </w:pPr>
    </w:p>
    <w:p w14:paraId="6D2C5597" w14:textId="77777777" w:rsidR="00931954" w:rsidRPr="00951AB1" w:rsidRDefault="00931954" w:rsidP="000A5389">
      <w:pPr>
        <w:pStyle w:val="Ttulo1"/>
        <w:spacing w:line="240" w:lineRule="auto"/>
        <w:rPr>
          <w:rFonts w:cs="Times New Roman"/>
          <w:sz w:val="24"/>
          <w:szCs w:val="24"/>
        </w:rPr>
      </w:pPr>
      <w:bookmarkStart w:id="0" w:name="_Toc191369477"/>
      <w:bookmarkStart w:id="1" w:name="_Toc191456807"/>
      <w:bookmarkStart w:id="2" w:name="_Toc191456917"/>
      <w:bookmarkStart w:id="3" w:name="_Toc191457027"/>
      <w:bookmarkStart w:id="4" w:name="_Toc191475654"/>
      <w:bookmarkStart w:id="5" w:name="_Toc191475763"/>
      <w:bookmarkStart w:id="6" w:name="_Toc191475872"/>
      <w:bookmarkStart w:id="7" w:name="_Toc191475395"/>
      <w:bookmarkStart w:id="8" w:name="_Toc191505771"/>
      <w:bookmarkStart w:id="9" w:name="_Toc222824083"/>
      <w:bookmarkStart w:id="10" w:name="_Toc222955449"/>
      <w:r w:rsidRPr="00951AB1">
        <w:rPr>
          <w:rFonts w:cs="Times New Roman"/>
          <w:sz w:val="24"/>
          <w:szCs w:val="24"/>
        </w:rPr>
        <w:lastRenderedPageBreak/>
        <w:t>NOTA 1. AGENCIA NACIONAL DE INFRAESTRUCTURA</w:t>
      </w:r>
      <w:bookmarkEnd w:id="0"/>
      <w:bookmarkEnd w:id="1"/>
      <w:bookmarkEnd w:id="2"/>
      <w:bookmarkEnd w:id="3"/>
      <w:bookmarkEnd w:id="4"/>
      <w:bookmarkEnd w:id="5"/>
      <w:bookmarkEnd w:id="6"/>
      <w:bookmarkEnd w:id="7"/>
      <w:bookmarkEnd w:id="8"/>
      <w:bookmarkEnd w:id="9"/>
      <w:bookmarkEnd w:id="10"/>
    </w:p>
    <w:p w14:paraId="58DC6429" w14:textId="77777777" w:rsidR="00931954" w:rsidRPr="00951AB1" w:rsidRDefault="00931954" w:rsidP="000A5389">
      <w:pPr>
        <w:spacing w:line="240" w:lineRule="auto"/>
        <w:rPr>
          <w:rFonts w:cs="Times New Roman"/>
          <w:szCs w:val="24"/>
        </w:rPr>
      </w:pPr>
    </w:p>
    <w:p w14:paraId="19FB5EBA" w14:textId="5F0C8209" w:rsidR="00931954" w:rsidRPr="00951AB1" w:rsidRDefault="005F4803" w:rsidP="000A5389">
      <w:pPr>
        <w:pStyle w:val="Ttulo2"/>
        <w:numPr>
          <w:ilvl w:val="1"/>
          <w:numId w:val="98"/>
        </w:numPr>
        <w:spacing w:line="240" w:lineRule="auto"/>
        <w:rPr>
          <w:rFonts w:cs="Times New Roman"/>
          <w:szCs w:val="24"/>
        </w:rPr>
      </w:pPr>
      <w:bookmarkStart w:id="11" w:name="_Toc191369478"/>
      <w:bookmarkStart w:id="12" w:name="_Toc191456808"/>
      <w:bookmarkStart w:id="13" w:name="_Toc191456918"/>
      <w:bookmarkStart w:id="14" w:name="_Toc191457028"/>
      <w:bookmarkStart w:id="15" w:name="_Toc191475655"/>
      <w:bookmarkStart w:id="16" w:name="_Toc191475764"/>
      <w:bookmarkStart w:id="17" w:name="_Toc191475873"/>
      <w:bookmarkStart w:id="18" w:name="_Toc191475396"/>
      <w:bookmarkStart w:id="19" w:name="_Toc191505772"/>
      <w:bookmarkStart w:id="20" w:name="_Toc222824084"/>
      <w:r w:rsidRPr="00951AB1">
        <w:rPr>
          <w:rFonts w:cs="Times New Roman"/>
          <w:szCs w:val="24"/>
        </w:rPr>
        <w:t xml:space="preserve"> </w:t>
      </w:r>
      <w:r w:rsidR="009A5B6D">
        <w:rPr>
          <w:rFonts w:cs="Times New Roman"/>
          <w:szCs w:val="24"/>
        </w:rPr>
        <w:tab/>
      </w:r>
      <w:bookmarkStart w:id="21" w:name="_Toc222955450"/>
      <w:r w:rsidR="00931954" w:rsidRPr="00951AB1">
        <w:rPr>
          <w:rFonts w:cs="Times New Roman"/>
          <w:szCs w:val="24"/>
        </w:rPr>
        <w:t>Identificación y funciones</w:t>
      </w:r>
      <w:bookmarkEnd w:id="11"/>
      <w:bookmarkEnd w:id="12"/>
      <w:bookmarkEnd w:id="13"/>
      <w:bookmarkEnd w:id="14"/>
      <w:bookmarkEnd w:id="15"/>
      <w:bookmarkEnd w:id="16"/>
      <w:bookmarkEnd w:id="17"/>
      <w:bookmarkEnd w:id="18"/>
      <w:bookmarkEnd w:id="19"/>
      <w:bookmarkEnd w:id="20"/>
      <w:bookmarkEnd w:id="21"/>
    </w:p>
    <w:p w14:paraId="72059D6E" w14:textId="77777777" w:rsidR="00FE6C47" w:rsidRPr="00951AB1" w:rsidRDefault="00FE6C47" w:rsidP="000A5389">
      <w:pPr>
        <w:spacing w:line="240" w:lineRule="auto"/>
        <w:rPr>
          <w:rFonts w:cs="Times New Roman"/>
          <w:szCs w:val="24"/>
        </w:rPr>
      </w:pPr>
    </w:p>
    <w:p w14:paraId="4D9475D3" w14:textId="77777777" w:rsidR="00FE6C47" w:rsidRDefault="00FE6C47" w:rsidP="000A5389">
      <w:pPr>
        <w:spacing w:line="240" w:lineRule="auto"/>
        <w:ind w:left="-20" w:right="-20"/>
        <w:rPr>
          <w:rFonts w:eastAsia="Times New Roman" w:cs="Times New Roman"/>
          <w:szCs w:val="24"/>
        </w:rPr>
      </w:pPr>
      <w:r w:rsidRPr="00951AB1">
        <w:rPr>
          <w:rFonts w:eastAsia="Times New Roman" w:cs="Times New Roman"/>
          <w:szCs w:val="24"/>
        </w:rPr>
        <w:t>Jurídica y administrativamente, la Agencia Nacional de Infraestructura (ANI) es una entidad de Gobierno Nacional, de naturaleza especial del sector descentralizado de la Rama Ejecutiva del Orden Nacional, con personería jurídica, patrimonio propio y autonomía administrativa, financiera y técnica; adscrita al Ministerio de Transporte de acuerdo con el artículo 1º del Decreto 4165 del 3 de noviembre de 2011.</w:t>
      </w:r>
    </w:p>
    <w:p w14:paraId="12F73897" w14:textId="77777777" w:rsidR="00953AA2" w:rsidRPr="00951AB1" w:rsidRDefault="00953AA2" w:rsidP="000A5389">
      <w:pPr>
        <w:spacing w:line="240" w:lineRule="auto"/>
        <w:ind w:left="-20" w:right="-20"/>
        <w:rPr>
          <w:rFonts w:cs="Times New Roman"/>
          <w:szCs w:val="24"/>
        </w:rPr>
      </w:pPr>
    </w:p>
    <w:p w14:paraId="5378F0E0" w14:textId="77777777" w:rsidR="00FE6C47" w:rsidRDefault="00FE6C47" w:rsidP="000A5389">
      <w:pPr>
        <w:spacing w:line="240" w:lineRule="auto"/>
        <w:ind w:left="-20" w:right="-20"/>
        <w:rPr>
          <w:rFonts w:eastAsia="Times New Roman" w:cs="Times New Roman"/>
          <w:i/>
          <w:szCs w:val="24"/>
        </w:rPr>
      </w:pPr>
      <w:r w:rsidRPr="00951AB1">
        <w:rPr>
          <w:rFonts w:eastAsia="Times New Roman" w:cs="Times New Roman"/>
          <w:szCs w:val="24"/>
        </w:rPr>
        <w:t xml:space="preserve">Así mismo, en su artículo 3, señaló: </w:t>
      </w:r>
      <w:r w:rsidRPr="00951AB1">
        <w:rPr>
          <w:rFonts w:eastAsia="Times New Roman" w:cs="Times New Roman"/>
          <w:i/>
          <w:szCs w:val="24"/>
        </w:rPr>
        <w:t xml:space="preserve">“ARTÍCULO 3o. OBJETO. Como consecuencia del cambio de naturaleza, la Agencia Nacional de Infraestructura, tendrá por objeto planear, coordinar, estructurar, contratar, ejecutar, administrar y evaluar proyectos de concesiones y otras formas de Asociación Público Privada (APP), para el diseño, construcción, mantenimiento, operación, </w:t>
      </w:r>
      <w:r w:rsidRPr="00951AB1">
        <w:rPr>
          <w:rFonts w:eastAsia="Times New Roman" w:cs="Times New Roman"/>
          <w:b/>
          <w:i/>
          <w:szCs w:val="24"/>
        </w:rPr>
        <w:t>administración</w:t>
      </w:r>
      <w:r w:rsidRPr="00951AB1">
        <w:rPr>
          <w:rFonts w:eastAsia="Times New Roman" w:cs="Times New Roman"/>
          <w:i/>
          <w:szCs w:val="24"/>
        </w:rPr>
        <w:t xml:space="preserve"> y/o explotación de la infraestructura pública de transporte en todos sus modos y de los servicios conexos o relacionados y el desarrollo de proyectos de asociación público privada para otro tipo de infraestructura pública cuando así lo determine expresamente el Gobierno Nacional respecto de infraestructuras semejantes a las enunciadas en este artículo, dentro del respeto a las normas que regulan la distribución de funciones y competencias y su asignación”.</w:t>
      </w:r>
    </w:p>
    <w:p w14:paraId="3341BD12" w14:textId="77777777" w:rsidR="008B200F" w:rsidRPr="00951AB1" w:rsidRDefault="008B200F" w:rsidP="000A5389">
      <w:pPr>
        <w:spacing w:line="240" w:lineRule="auto"/>
        <w:ind w:left="-20" w:right="-20"/>
        <w:rPr>
          <w:rFonts w:cs="Times New Roman"/>
          <w:szCs w:val="24"/>
        </w:rPr>
      </w:pPr>
    </w:p>
    <w:p w14:paraId="61BD9751" w14:textId="77777777" w:rsidR="00FE6C47" w:rsidRPr="00951AB1" w:rsidRDefault="00FE6C47" w:rsidP="000A5389">
      <w:pPr>
        <w:spacing w:line="240" w:lineRule="auto"/>
        <w:ind w:left="-20" w:right="-23"/>
        <w:rPr>
          <w:rFonts w:eastAsia="Times New Roman" w:cs="Times New Roman"/>
          <w:szCs w:val="24"/>
        </w:rPr>
      </w:pPr>
      <w:r w:rsidRPr="00951AB1">
        <w:rPr>
          <w:rFonts w:eastAsia="Times New Roman" w:cs="Times New Roman"/>
          <w:szCs w:val="24"/>
        </w:rPr>
        <w:t>Para el desarrollo de sus funciones, la ANI tiene la siguiente estructura, de acuerdo con lo establecido en el artículo 2 del Decreto 764 del 13 de mayo de 2022, que modificó el artículo 7 del Decreto ley 4165 de 2011.</w:t>
      </w:r>
    </w:p>
    <w:p w14:paraId="4162E561" w14:textId="77777777" w:rsidR="00FE6C47" w:rsidRPr="00951AB1" w:rsidRDefault="00FE6C47" w:rsidP="000A5389">
      <w:pPr>
        <w:spacing w:line="240" w:lineRule="auto"/>
        <w:ind w:left="-20" w:right="-23"/>
        <w:rPr>
          <w:rFonts w:cs="Times New Roman"/>
          <w:szCs w:val="24"/>
        </w:rPr>
      </w:pPr>
    </w:p>
    <w:p w14:paraId="0A0683BF" w14:textId="77777777" w:rsidR="00FE6C47" w:rsidRPr="00951AB1" w:rsidRDefault="00FE6C47" w:rsidP="000A5389">
      <w:pPr>
        <w:pStyle w:val="Prrafodelista"/>
        <w:numPr>
          <w:ilvl w:val="0"/>
          <w:numId w:val="21"/>
        </w:numPr>
        <w:spacing w:line="240" w:lineRule="auto"/>
        <w:ind w:right="-23"/>
        <w:rPr>
          <w:rFonts w:cs="Times New Roman"/>
          <w:szCs w:val="24"/>
        </w:rPr>
      </w:pPr>
      <w:r w:rsidRPr="00951AB1">
        <w:rPr>
          <w:rFonts w:eastAsia="Times New Roman" w:cs="Times New Roman"/>
          <w:szCs w:val="24"/>
        </w:rPr>
        <w:t xml:space="preserve">Consejo Directivo  </w:t>
      </w:r>
    </w:p>
    <w:p w14:paraId="36F8F122" w14:textId="77777777" w:rsidR="00FE6C47" w:rsidRPr="00951AB1" w:rsidRDefault="00FE6C47" w:rsidP="000A5389">
      <w:pPr>
        <w:pStyle w:val="Prrafodelista"/>
        <w:numPr>
          <w:ilvl w:val="0"/>
          <w:numId w:val="21"/>
        </w:numPr>
        <w:spacing w:line="240" w:lineRule="auto"/>
        <w:ind w:right="-23"/>
        <w:rPr>
          <w:rFonts w:cs="Times New Roman"/>
          <w:szCs w:val="24"/>
        </w:rPr>
      </w:pPr>
      <w:r w:rsidRPr="00951AB1">
        <w:rPr>
          <w:rFonts w:eastAsia="Times New Roman" w:cs="Times New Roman"/>
          <w:szCs w:val="24"/>
        </w:rPr>
        <w:t xml:space="preserve">Presidencia  </w:t>
      </w:r>
    </w:p>
    <w:p w14:paraId="0747686B" w14:textId="77777777" w:rsidR="00FE6C47" w:rsidRPr="00951AB1" w:rsidRDefault="00FE6C47" w:rsidP="000A5389">
      <w:pPr>
        <w:pStyle w:val="Prrafodelista"/>
        <w:numPr>
          <w:ilvl w:val="1"/>
          <w:numId w:val="21"/>
        </w:numPr>
        <w:spacing w:line="240" w:lineRule="auto"/>
        <w:ind w:right="-23"/>
        <w:rPr>
          <w:rFonts w:cs="Times New Roman"/>
          <w:szCs w:val="24"/>
        </w:rPr>
      </w:pPr>
      <w:r w:rsidRPr="00951AB1">
        <w:rPr>
          <w:rFonts w:eastAsia="Times New Roman" w:cs="Times New Roman"/>
          <w:szCs w:val="24"/>
        </w:rPr>
        <w:t xml:space="preserve">Oficina de Comunicaciones  </w:t>
      </w:r>
    </w:p>
    <w:p w14:paraId="597D73C9" w14:textId="77777777" w:rsidR="00FE6C47" w:rsidRPr="00951AB1" w:rsidRDefault="00FE6C47" w:rsidP="000A5389">
      <w:pPr>
        <w:pStyle w:val="Prrafodelista"/>
        <w:numPr>
          <w:ilvl w:val="1"/>
          <w:numId w:val="21"/>
        </w:numPr>
        <w:spacing w:line="240" w:lineRule="auto"/>
        <w:ind w:right="-23"/>
        <w:rPr>
          <w:rFonts w:cs="Times New Roman"/>
          <w:szCs w:val="24"/>
        </w:rPr>
      </w:pPr>
      <w:r w:rsidRPr="00951AB1">
        <w:rPr>
          <w:rFonts w:eastAsia="Times New Roman" w:cs="Times New Roman"/>
          <w:szCs w:val="24"/>
        </w:rPr>
        <w:t xml:space="preserve">Oficina de Control Interno  </w:t>
      </w:r>
    </w:p>
    <w:p w14:paraId="3CCFD896" w14:textId="77777777" w:rsidR="00FE6C47" w:rsidRPr="00951AB1" w:rsidRDefault="00FE6C47" w:rsidP="000A5389">
      <w:pPr>
        <w:pStyle w:val="Prrafodelista"/>
        <w:numPr>
          <w:ilvl w:val="0"/>
          <w:numId w:val="21"/>
        </w:numPr>
        <w:tabs>
          <w:tab w:val="left" w:pos="284"/>
        </w:tabs>
        <w:spacing w:line="240" w:lineRule="auto"/>
        <w:ind w:right="-23"/>
        <w:rPr>
          <w:rFonts w:cs="Times New Roman"/>
          <w:szCs w:val="24"/>
        </w:rPr>
      </w:pPr>
      <w:r w:rsidRPr="00951AB1">
        <w:rPr>
          <w:rFonts w:eastAsia="Times New Roman" w:cs="Times New Roman"/>
          <w:szCs w:val="24"/>
        </w:rPr>
        <w:t xml:space="preserve">Vicepresidencia Ejecutiva  </w:t>
      </w:r>
    </w:p>
    <w:p w14:paraId="0CB4C1EB" w14:textId="77777777" w:rsidR="00FE6C47" w:rsidRPr="00951AB1" w:rsidRDefault="00FE6C47" w:rsidP="000A5389">
      <w:pPr>
        <w:pStyle w:val="Prrafodelista"/>
        <w:numPr>
          <w:ilvl w:val="0"/>
          <w:numId w:val="21"/>
        </w:numPr>
        <w:spacing w:line="240" w:lineRule="auto"/>
        <w:ind w:right="-23"/>
        <w:rPr>
          <w:rFonts w:cs="Times New Roman"/>
          <w:szCs w:val="24"/>
        </w:rPr>
      </w:pPr>
      <w:r w:rsidRPr="00951AB1">
        <w:rPr>
          <w:rFonts w:eastAsia="Times New Roman" w:cs="Times New Roman"/>
          <w:szCs w:val="24"/>
        </w:rPr>
        <w:t xml:space="preserve">Vicepresidencia de Estructuración  </w:t>
      </w:r>
    </w:p>
    <w:p w14:paraId="0D801C88" w14:textId="77777777" w:rsidR="00FE6C47" w:rsidRPr="00951AB1" w:rsidRDefault="00FE6C47" w:rsidP="000A5389">
      <w:pPr>
        <w:pStyle w:val="Prrafodelista"/>
        <w:numPr>
          <w:ilvl w:val="0"/>
          <w:numId w:val="21"/>
        </w:numPr>
        <w:spacing w:line="240" w:lineRule="auto"/>
        <w:ind w:right="-23"/>
        <w:rPr>
          <w:rFonts w:cs="Times New Roman"/>
          <w:szCs w:val="24"/>
        </w:rPr>
      </w:pPr>
      <w:r w:rsidRPr="00951AB1">
        <w:rPr>
          <w:rFonts w:eastAsia="Times New Roman" w:cs="Times New Roman"/>
          <w:szCs w:val="24"/>
        </w:rPr>
        <w:t xml:space="preserve">Vicepresidencia de Gestión Contractual  </w:t>
      </w:r>
    </w:p>
    <w:p w14:paraId="06D33DD0" w14:textId="77777777" w:rsidR="00FE6C47" w:rsidRPr="00951AB1" w:rsidRDefault="00FE6C47" w:rsidP="000A5389">
      <w:pPr>
        <w:pStyle w:val="Prrafodelista"/>
        <w:numPr>
          <w:ilvl w:val="0"/>
          <w:numId w:val="21"/>
        </w:numPr>
        <w:spacing w:line="240" w:lineRule="auto"/>
        <w:ind w:right="-23"/>
        <w:rPr>
          <w:rFonts w:cs="Times New Roman"/>
          <w:szCs w:val="24"/>
        </w:rPr>
      </w:pPr>
      <w:r w:rsidRPr="00951AB1">
        <w:rPr>
          <w:rFonts w:eastAsia="Times New Roman" w:cs="Times New Roman"/>
          <w:szCs w:val="24"/>
        </w:rPr>
        <w:t xml:space="preserve">Vicepresidencia de Planeación, Riesgos y Entorno  </w:t>
      </w:r>
    </w:p>
    <w:p w14:paraId="70F71513" w14:textId="77777777" w:rsidR="00FE6C47" w:rsidRPr="00951AB1" w:rsidRDefault="00FE6C47" w:rsidP="000A5389">
      <w:pPr>
        <w:pStyle w:val="Prrafodelista"/>
        <w:numPr>
          <w:ilvl w:val="0"/>
          <w:numId w:val="21"/>
        </w:numPr>
        <w:spacing w:line="240" w:lineRule="auto"/>
        <w:ind w:right="-23"/>
        <w:rPr>
          <w:rFonts w:cs="Times New Roman"/>
          <w:szCs w:val="24"/>
        </w:rPr>
      </w:pPr>
      <w:r w:rsidRPr="00951AB1">
        <w:rPr>
          <w:rFonts w:eastAsia="Times New Roman" w:cs="Times New Roman"/>
          <w:szCs w:val="24"/>
        </w:rPr>
        <w:t xml:space="preserve">Vicepresidencia Jurídica  </w:t>
      </w:r>
    </w:p>
    <w:p w14:paraId="51F062CD" w14:textId="77777777" w:rsidR="00FE6C47" w:rsidRPr="00951AB1" w:rsidRDefault="00FE6C47" w:rsidP="000A5389">
      <w:pPr>
        <w:pStyle w:val="Prrafodelista"/>
        <w:numPr>
          <w:ilvl w:val="0"/>
          <w:numId w:val="21"/>
        </w:numPr>
        <w:spacing w:line="240" w:lineRule="auto"/>
        <w:ind w:right="-23"/>
        <w:rPr>
          <w:rFonts w:cs="Times New Roman"/>
          <w:szCs w:val="24"/>
        </w:rPr>
      </w:pPr>
      <w:r w:rsidRPr="00951AB1">
        <w:rPr>
          <w:rFonts w:eastAsia="Times New Roman" w:cs="Times New Roman"/>
          <w:szCs w:val="24"/>
        </w:rPr>
        <w:t xml:space="preserve">Vicepresidencia de Gestión Corporativa  </w:t>
      </w:r>
    </w:p>
    <w:p w14:paraId="0E0B37B4" w14:textId="77777777" w:rsidR="00FE6C47" w:rsidRPr="00951AB1" w:rsidRDefault="00FE6C47" w:rsidP="000A5389">
      <w:pPr>
        <w:pStyle w:val="Prrafodelista"/>
        <w:numPr>
          <w:ilvl w:val="0"/>
          <w:numId w:val="21"/>
        </w:numPr>
        <w:spacing w:line="240" w:lineRule="auto"/>
        <w:ind w:right="-23"/>
        <w:rPr>
          <w:rFonts w:cs="Times New Roman"/>
          <w:szCs w:val="24"/>
        </w:rPr>
      </w:pPr>
      <w:r w:rsidRPr="00951AB1">
        <w:rPr>
          <w:rFonts w:eastAsia="Times New Roman" w:cs="Times New Roman"/>
          <w:szCs w:val="24"/>
        </w:rPr>
        <w:t xml:space="preserve">Órganos de Asesoría, Coordinación y Control.  </w:t>
      </w:r>
    </w:p>
    <w:p w14:paraId="5F64B713" w14:textId="77777777" w:rsidR="00FE6C47" w:rsidRPr="00951AB1" w:rsidRDefault="00FE6C47" w:rsidP="000A5389">
      <w:pPr>
        <w:spacing w:line="240" w:lineRule="auto"/>
        <w:ind w:left="-20" w:right="-23"/>
        <w:rPr>
          <w:rFonts w:eastAsia="Times New Roman" w:cs="Times New Roman"/>
          <w:szCs w:val="24"/>
        </w:rPr>
      </w:pPr>
      <w:r w:rsidRPr="00951AB1">
        <w:rPr>
          <w:rFonts w:eastAsia="Times New Roman" w:cs="Times New Roman"/>
          <w:szCs w:val="24"/>
        </w:rPr>
        <w:t xml:space="preserve"> </w:t>
      </w:r>
    </w:p>
    <w:p w14:paraId="35D04711" w14:textId="77777777" w:rsidR="00FE6C47" w:rsidRPr="00951AB1" w:rsidRDefault="00FE6C47" w:rsidP="000A5389">
      <w:pPr>
        <w:spacing w:line="240" w:lineRule="auto"/>
        <w:ind w:left="-20" w:right="-23"/>
        <w:rPr>
          <w:rFonts w:eastAsia="Times New Roman" w:cs="Times New Roman"/>
          <w:szCs w:val="24"/>
        </w:rPr>
      </w:pPr>
      <w:r w:rsidRPr="00951AB1">
        <w:rPr>
          <w:rFonts w:eastAsia="Times New Roman" w:cs="Times New Roman"/>
          <w:szCs w:val="24"/>
        </w:rPr>
        <w:t>La Agencia Nacional de Infraestructura, tiene como domicilio principal la ciudad de Bogotá D.C., y su sede administrativa se encuentra ubicada en la Calle 24ª No. 59-42 Torre 4 Pisos 2-6-7 y Torre 3 Piso 8.</w:t>
      </w:r>
    </w:p>
    <w:p w14:paraId="124337FC" w14:textId="77777777" w:rsidR="00FE6C47" w:rsidRPr="00951AB1" w:rsidRDefault="00FE6C47" w:rsidP="000A5389">
      <w:pPr>
        <w:spacing w:line="240" w:lineRule="auto"/>
        <w:ind w:left="-20" w:right="-23"/>
        <w:rPr>
          <w:rFonts w:cs="Times New Roman"/>
          <w:szCs w:val="24"/>
        </w:rPr>
      </w:pPr>
    </w:p>
    <w:p w14:paraId="37C78C19" w14:textId="1337DB59" w:rsidR="00FE6C47" w:rsidRPr="00951AB1" w:rsidRDefault="3923660C" w:rsidP="00147090">
      <w:pPr>
        <w:spacing w:line="240" w:lineRule="auto"/>
        <w:ind w:right="-20"/>
        <w:rPr>
          <w:rFonts w:eastAsia="Times New Roman" w:cs="Times New Roman"/>
          <w:szCs w:val="24"/>
        </w:rPr>
      </w:pPr>
      <w:r w:rsidRPr="00951AB1">
        <w:rPr>
          <w:rFonts w:eastAsia="Times New Roman" w:cs="Times New Roman"/>
          <w:szCs w:val="24"/>
        </w:rPr>
        <w:t xml:space="preserve">De conformidad con el </w:t>
      </w:r>
      <w:r w:rsidR="0AC7E423" w:rsidRPr="00951AB1">
        <w:rPr>
          <w:rFonts w:eastAsia="Times New Roman" w:cs="Times New Roman"/>
          <w:szCs w:val="24"/>
        </w:rPr>
        <w:t>Decreto No. 0256 del 4 de marzo 2025 expedido por el Ministerio de Transporte</w:t>
      </w:r>
      <w:r w:rsidRPr="00951AB1">
        <w:rPr>
          <w:rFonts w:eastAsia="Times New Roman" w:cs="Times New Roman"/>
          <w:szCs w:val="24"/>
        </w:rPr>
        <w:t xml:space="preserve">, se posesionó el </w:t>
      </w:r>
      <w:r w:rsidR="3BD9AE48" w:rsidRPr="00951AB1">
        <w:rPr>
          <w:rFonts w:eastAsia="Times New Roman" w:cs="Times New Roman"/>
          <w:szCs w:val="24"/>
        </w:rPr>
        <w:t xml:space="preserve">Economista Oscar Javier Torres Yarzagaray el 5 de marzo 2025 como nuevo presidente de la Agencia Nacional de Infraestructura (ANI), en reemplazo del </w:t>
      </w:r>
      <w:r w:rsidR="3BD9AE48" w:rsidRPr="00951AB1">
        <w:rPr>
          <w:rFonts w:eastAsia="Times New Roman" w:cs="Times New Roman"/>
          <w:szCs w:val="24"/>
        </w:rPr>
        <w:lastRenderedPageBreak/>
        <w:t>Ingeniero Civil Luis Eduardo Acosta Medina</w:t>
      </w:r>
      <w:r w:rsidRPr="00951AB1">
        <w:rPr>
          <w:rFonts w:eastAsia="Times New Roman" w:cs="Times New Roman"/>
          <w:szCs w:val="24"/>
        </w:rPr>
        <w:t xml:space="preserve">, para lo cual se </w:t>
      </w:r>
      <w:r w:rsidR="0A332D71" w:rsidRPr="00951AB1">
        <w:rPr>
          <w:rFonts w:eastAsia="Times New Roman" w:cs="Times New Roman"/>
          <w:szCs w:val="24"/>
        </w:rPr>
        <w:t>dio</w:t>
      </w:r>
      <w:r w:rsidRPr="00951AB1">
        <w:rPr>
          <w:rFonts w:eastAsia="Times New Roman" w:cs="Times New Roman"/>
          <w:szCs w:val="24"/>
        </w:rPr>
        <w:t xml:space="preserve"> cumplimiento en presentar el estado del Sistema de Información Contable dentro de los términos establecidos en la Resolución CGN No. 172 de 2023.</w:t>
      </w:r>
    </w:p>
    <w:p w14:paraId="7D5674D8" w14:textId="77777777" w:rsidR="00FE6C47" w:rsidRPr="00951AB1" w:rsidRDefault="00FE6C47" w:rsidP="000A5389">
      <w:pPr>
        <w:spacing w:line="240" w:lineRule="auto"/>
        <w:ind w:left="-20" w:right="-20"/>
        <w:rPr>
          <w:rFonts w:eastAsia="Times New Roman" w:cs="Times New Roman"/>
          <w:szCs w:val="24"/>
          <w:highlight w:val="yellow"/>
        </w:rPr>
      </w:pPr>
    </w:p>
    <w:p w14:paraId="78CD7388" w14:textId="23231995" w:rsidR="00FE6C47" w:rsidRPr="00951AB1" w:rsidRDefault="005F4803" w:rsidP="000A5389">
      <w:pPr>
        <w:pStyle w:val="Ttulo2"/>
        <w:numPr>
          <w:ilvl w:val="1"/>
          <w:numId w:val="98"/>
        </w:numPr>
        <w:spacing w:line="240" w:lineRule="auto"/>
        <w:rPr>
          <w:rFonts w:cs="Times New Roman"/>
          <w:szCs w:val="24"/>
        </w:rPr>
      </w:pPr>
      <w:bookmarkStart w:id="22" w:name="_Toc191369479"/>
      <w:bookmarkStart w:id="23" w:name="_Toc191456809"/>
      <w:bookmarkStart w:id="24" w:name="_Toc191456919"/>
      <w:bookmarkStart w:id="25" w:name="_Toc191457029"/>
      <w:bookmarkStart w:id="26" w:name="_Toc191475656"/>
      <w:bookmarkStart w:id="27" w:name="_Toc191475765"/>
      <w:bookmarkStart w:id="28" w:name="_Toc191475874"/>
      <w:bookmarkStart w:id="29" w:name="_Toc191475397"/>
      <w:bookmarkStart w:id="30" w:name="_Toc191505773"/>
      <w:bookmarkStart w:id="31" w:name="_Toc222824085"/>
      <w:r w:rsidRPr="00951AB1">
        <w:rPr>
          <w:rFonts w:cs="Times New Roman"/>
          <w:szCs w:val="24"/>
        </w:rPr>
        <w:t xml:space="preserve"> </w:t>
      </w:r>
      <w:r w:rsidR="009A5B6D">
        <w:rPr>
          <w:rFonts w:cs="Times New Roman"/>
          <w:szCs w:val="24"/>
        </w:rPr>
        <w:tab/>
      </w:r>
      <w:bookmarkStart w:id="32" w:name="_Toc222955451"/>
      <w:r w:rsidR="00FE6C47" w:rsidRPr="00951AB1">
        <w:rPr>
          <w:rFonts w:cs="Times New Roman"/>
          <w:szCs w:val="24"/>
        </w:rPr>
        <w:t>Declaración de cumplimiento del marco normativo y limitaciones</w:t>
      </w:r>
      <w:bookmarkEnd w:id="22"/>
      <w:bookmarkEnd w:id="23"/>
      <w:bookmarkEnd w:id="24"/>
      <w:bookmarkEnd w:id="25"/>
      <w:bookmarkEnd w:id="26"/>
      <w:bookmarkEnd w:id="27"/>
      <w:bookmarkEnd w:id="28"/>
      <w:bookmarkEnd w:id="29"/>
      <w:bookmarkEnd w:id="30"/>
      <w:bookmarkEnd w:id="31"/>
      <w:bookmarkEnd w:id="32"/>
    </w:p>
    <w:p w14:paraId="7CD62C5A" w14:textId="77777777" w:rsidR="00FE6C47" w:rsidRPr="00951AB1" w:rsidRDefault="00FE6C47" w:rsidP="000A5389">
      <w:pPr>
        <w:spacing w:line="240" w:lineRule="auto"/>
        <w:rPr>
          <w:rFonts w:cs="Times New Roman"/>
          <w:szCs w:val="24"/>
        </w:rPr>
      </w:pPr>
    </w:p>
    <w:p w14:paraId="3F7073F4" w14:textId="553F2448" w:rsidR="00FE6C47" w:rsidRPr="00951AB1" w:rsidRDefault="3923660C" w:rsidP="000A5389">
      <w:pPr>
        <w:spacing w:line="240" w:lineRule="auto"/>
        <w:rPr>
          <w:rFonts w:cs="Times New Roman"/>
          <w:color w:val="000000" w:themeColor="text1"/>
          <w:szCs w:val="24"/>
        </w:rPr>
      </w:pPr>
      <w:r w:rsidRPr="00951AB1">
        <w:rPr>
          <w:rFonts w:eastAsia="Times New Roman" w:cs="Times New Roman"/>
          <w:szCs w:val="24"/>
        </w:rPr>
        <w:t>De acuerdo con las metodologías enunciadas y documentadas, se remitió la información al área contable de la Agencia, para la realización de los registros contables de los proyectos del modo carretero, portuario, fluvial y férreo al cierre de la vigencia 202</w:t>
      </w:r>
      <w:r w:rsidR="59AD6B23" w:rsidRPr="00951AB1">
        <w:rPr>
          <w:rFonts w:eastAsia="Times New Roman" w:cs="Times New Roman"/>
          <w:szCs w:val="24"/>
        </w:rPr>
        <w:t>5</w:t>
      </w:r>
      <w:r w:rsidRPr="00951AB1">
        <w:rPr>
          <w:rFonts w:eastAsia="Times New Roman" w:cs="Times New Roman"/>
          <w:szCs w:val="24"/>
        </w:rPr>
        <w:t xml:space="preserve">, información que fue avalada por las interventorías de los contratos de concesiones y/o el área misional.  </w:t>
      </w:r>
    </w:p>
    <w:p w14:paraId="581D29D6" w14:textId="77777777" w:rsidR="00FE6C47" w:rsidRPr="00951AB1" w:rsidRDefault="00FE6C47" w:rsidP="000A5389">
      <w:pPr>
        <w:spacing w:line="240" w:lineRule="auto"/>
        <w:rPr>
          <w:rFonts w:eastAsia="Times New Roman" w:cs="Times New Roman"/>
          <w:szCs w:val="24"/>
        </w:rPr>
      </w:pPr>
    </w:p>
    <w:p w14:paraId="71DADA8B" w14:textId="154FC5B6" w:rsidR="00FE6C47" w:rsidRPr="00951AB1" w:rsidRDefault="00FE6C47" w:rsidP="000A5389">
      <w:pPr>
        <w:spacing w:line="240" w:lineRule="auto"/>
        <w:rPr>
          <w:rFonts w:eastAsia="Times New Roman" w:cs="Times New Roman"/>
          <w:szCs w:val="24"/>
        </w:rPr>
      </w:pPr>
      <w:r w:rsidRPr="2A085367">
        <w:rPr>
          <w:rFonts w:eastAsia="Times New Roman" w:cs="Times New Roman"/>
          <w:szCs w:val="24"/>
        </w:rPr>
        <w:t xml:space="preserve">Se declara de manera </w:t>
      </w:r>
      <w:r w:rsidR="70EB1942" w:rsidRPr="2A085367">
        <w:rPr>
          <w:rFonts w:eastAsia="Times New Roman" w:cs="Times New Roman"/>
          <w:szCs w:val="24"/>
        </w:rPr>
        <w:t>transparente</w:t>
      </w:r>
      <w:r w:rsidRPr="2A085367">
        <w:rPr>
          <w:rFonts w:eastAsia="Times New Roman" w:cs="Times New Roman"/>
          <w:szCs w:val="24"/>
        </w:rPr>
        <w:t xml:space="preserve"> y sin reservas que los Estados Financieros se preparan de conformidad con el Régimen de Contabilidad Pública, del cual se cita a continuación la normatividad base aplicada:</w:t>
      </w:r>
    </w:p>
    <w:p w14:paraId="73FF0499" w14:textId="77777777" w:rsidR="00FE6C47" w:rsidRPr="00951AB1" w:rsidRDefault="00FE6C47" w:rsidP="000A5389">
      <w:pPr>
        <w:tabs>
          <w:tab w:val="left" w:pos="426"/>
          <w:tab w:val="left" w:pos="708"/>
          <w:tab w:val="left" w:pos="1416"/>
          <w:tab w:val="left" w:pos="2124"/>
          <w:tab w:val="left" w:pos="2832"/>
          <w:tab w:val="left" w:pos="3540"/>
          <w:tab w:val="left" w:pos="4248"/>
          <w:tab w:val="left" w:pos="4956"/>
          <w:tab w:val="left" w:pos="5664"/>
          <w:tab w:val="left" w:pos="6372"/>
          <w:tab w:val="left" w:pos="7080"/>
          <w:tab w:val="left" w:pos="7788"/>
        </w:tabs>
        <w:spacing w:line="240" w:lineRule="auto"/>
        <w:ind w:left="-20" w:right="51"/>
        <w:rPr>
          <w:rFonts w:eastAsia="Times New Roman" w:cs="Times New Roman"/>
          <w:szCs w:val="24"/>
        </w:rPr>
      </w:pPr>
    </w:p>
    <w:p w14:paraId="19605666" w14:textId="3F0467AC" w:rsidR="00FE6C47" w:rsidRPr="00951AB1" w:rsidRDefault="00FE6C47" w:rsidP="000A5389">
      <w:pPr>
        <w:tabs>
          <w:tab w:val="left" w:pos="426"/>
          <w:tab w:val="left" w:pos="708"/>
          <w:tab w:val="left" w:pos="1416"/>
          <w:tab w:val="left" w:pos="2124"/>
          <w:tab w:val="left" w:pos="2832"/>
          <w:tab w:val="left" w:pos="3540"/>
          <w:tab w:val="left" w:pos="4248"/>
          <w:tab w:val="left" w:pos="4956"/>
          <w:tab w:val="left" w:pos="5664"/>
          <w:tab w:val="left" w:pos="6372"/>
          <w:tab w:val="left" w:pos="7080"/>
          <w:tab w:val="left" w:pos="7788"/>
        </w:tabs>
        <w:spacing w:line="240" w:lineRule="auto"/>
        <w:ind w:left="-20" w:right="51"/>
        <w:rPr>
          <w:rFonts w:eastAsia="Times New Roman" w:cs="Times New Roman"/>
          <w:szCs w:val="24"/>
        </w:rPr>
      </w:pPr>
      <w:r w:rsidRPr="2A085367">
        <w:rPr>
          <w:rFonts w:eastAsia="Times New Roman" w:cs="Times New Roman"/>
          <w:szCs w:val="24"/>
        </w:rPr>
        <w:t xml:space="preserve">La Contaduría General de la Nación (CGN) expidió la Resolución 156 del 29 de mayo de 2018, </w:t>
      </w:r>
      <w:r w:rsidR="6A713F00" w:rsidRPr="2A085367">
        <w:rPr>
          <w:rFonts w:eastAsia="Times New Roman" w:cs="Times New Roman"/>
          <w:szCs w:val="24"/>
        </w:rPr>
        <w:t>“</w:t>
      </w:r>
      <w:r w:rsidRPr="2A085367">
        <w:rPr>
          <w:rFonts w:eastAsia="Times New Roman" w:cs="Times New Roman"/>
          <w:szCs w:val="24"/>
        </w:rPr>
        <w:t>Por la cual se modifica la Resolución 354 de 2007 que adoptó el Régimen de Contabilidad Pública, estableció su información y definió su ámbito de aplicación</w:t>
      </w:r>
      <w:r w:rsidR="1BC1A7AE" w:rsidRPr="2A085367">
        <w:rPr>
          <w:rFonts w:eastAsia="Times New Roman" w:cs="Times New Roman"/>
          <w:szCs w:val="24"/>
        </w:rPr>
        <w:t>”</w:t>
      </w:r>
      <w:r w:rsidRPr="2A085367">
        <w:rPr>
          <w:rFonts w:eastAsia="Times New Roman" w:cs="Times New Roman"/>
          <w:szCs w:val="24"/>
        </w:rPr>
        <w:t xml:space="preserve"> y derogó la Resolución 355 de 2007 la cual adoptó el Plan General de Contabilidad Pública y la Resolución 356 del 5 de septiembre de 2007, que adoptó el Manual de Procedimientos del Régimen de la Contabilidad Pública integrado por el Catálogo General de Cuentas, los Procedimientos Contables y los Instructivos Contables.</w:t>
      </w:r>
    </w:p>
    <w:p w14:paraId="1FDF416D" w14:textId="77777777" w:rsidR="00FE6C47" w:rsidRPr="00951AB1" w:rsidRDefault="00FE6C47" w:rsidP="000A5389">
      <w:pPr>
        <w:tabs>
          <w:tab w:val="left" w:pos="426"/>
          <w:tab w:val="left" w:pos="708"/>
          <w:tab w:val="left" w:pos="1416"/>
          <w:tab w:val="left" w:pos="2124"/>
          <w:tab w:val="left" w:pos="2832"/>
          <w:tab w:val="left" w:pos="3540"/>
          <w:tab w:val="left" w:pos="4248"/>
          <w:tab w:val="left" w:pos="4956"/>
          <w:tab w:val="left" w:pos="5664"/>
          <w:tab w:val="left" w:pos="6372"/>
          <w:tab w:val="left" w:pos="7080"/>
          <w:tab w:val="left" w:pos="7788"/>
        </w:tabs>
        <w:spacing w:line="240" w:lineRule="auto"/>
        <w:ind w:left="-20" w:right="51"/>
        <w:rPr>
          <w:rFonts w:eastAsia="Times New Roman" w:cs="Times New Roman"/>
          <w:szCs w:val="24"/>
        </w:rPr>
      </w:pPr>
    </w:p>
    <w:p w14:paraId="52DDB92E" w14:textId="77777777" w:rsidR="00FE6C47" w:rsidRPr="00951AB1" w:rsidRDefault="00FE6C47" w:rsidP="000A5389">
      <w:pPr>
        <w:spacing w:line="240" w:lineRule="auto"/>
        <w:ind w:left="-20" w:right="-20"/>
        <w:rPr>
          <w:rFonts w:eastAsia="Times New Roman" w:cs="Times New Roman"/>
          <w:szCs w:val="24"/>
        </w:rPr>
      </w:pPr>
      <w:r w:rsidRPr="00951AB1">
        <w:rPr>
          <w:rFonts w:eastAsia="Times New Roman" w:cs="Times New Roman"/>
          <w:szCs w:val="24"/>
        </w:rPr>
        <w:t>Como consecuencia de lo anterior, la Resolución 156 de 2018, adopta el Régimen de Contabilidad Pública conformada entre otros por el Marco Normativo para Entidades de Gobierno (Resolución 533 de 2015) y sus modificaciones con sus respectivos elementos, cuyo contenido normativo se encuentra en los actos administrativos mediante los cuales se incorporaron a dicho Régimen, entre ellos:</w:t>
      </w:r>
    </w:p>
    <w:p w14:paraId="1F15F799" w14:textId="77777777" w:rsidR="00FE6C47" w:rsidRPr="00951AB1" w:rsidRDefault="00FE6C47" w:rsidP="000A5389">
      <w:pPr>
        <w:spacing w:line="240" w:lineRule="auto"/>
        <w:ind w:left="-20" w:right="-20"/>
        <w:rPr>
          <w:rFonts w:cs="Times New Roman"/>
          <w:szCs w:val="24"/>
        </w:rPr>
      </w:pPr>
    </w:p>
    <w:p w14:paraId="0698F3F8" w14:textId="7C31E5B1" w:rsidR="008B200F" w:rsidRPr="008B200F" w:rsidRDefault="00FE6C47" w:rsidP="000E7339">
      <w:pPr>
        <w:pStyle w:val="Prrafodelista"/>
        <w:numPr>
          <w:ilvl w:val="0"/>
          <w:numId w:val="20"/>
        </w:numPr>
        <w:spacing w:line="240" w:lineRule="auto"/>
        <w:rPr>
          <w:rFonts w:cs="Times New Roman"/>
          <w:szCs w:val="24"/>
        </w:rPr>
      </w:pPr>
      <w:r w:rsidRPr="008B200F">
        <w:rPr>
          <w:rFonts w:cs="Times New Roman"/>
          <w:b/>
          <w:bCs/>
          <w:szCs w:val="24"/>
        </w:rPr>
        <w:t>Resolución</w:t>
      </w:r>
      <w:r w:rsidR="26D2C005" w:rsidRPr="008B200F">
        <w:rPr>
          <w:rFonts w:cs="Times New Roman"/>
          <w:b/>
          <w:bCs/>
          <w:szCs w:val="24"/>
        </w:rPr>
        <w:t xml:space="preserve"> ANI</w:t>
      </w:r>
      <w:r w:rsidRPr="008B200F">
        <w:rPr>
          <w:rFonts w:cs="Times New Roman"/>
          <w:b/>
          <w:bCs/>
          <w:szCs w:val="24"/>
        </w:rPr>
        <w:t xml:space="preserve"> No. 334 del 15 de junio de 2012</w:t>
      </w:r>
      <w:r w:rsidRPr="008B200F">
        <w:rPr>
          <w:rFonts w:cs="Times New Roman"/>
          <w:szCs w:val="24"/>
        </w:rPr>
        <w:t xml:space="preserve">. Conforma el Comité Técnico de Sostenibilidad del Sistema de Contabilidad Pública de la Agencia Nacional de Infraestructura. </w:t>
      </w:r>
    </w:p>
    <w:p w14:paraId="495DC8C8" w14:textId="313B32A1" w:rsidR="008B200F" w:rsidRPr="008B200F" w:rsidRDefault="00FE6C47" w:rsidP="008C0927">
      <w:pPr>
        <w:pStyle w:val="Default"/>
        <w:numPr>
          <w:ilvl w:val="0"/>
          <w:numId w:val="20"/>
        </w:numPr>
        <w:jc w:val="both"/>
        <w:rPr>
          <w:rFonts w:ascii="Times New Roman" w:hAnsi="Times New Roman" w:cs="Times New Roman"/>
        </w:rPr>
      </w:pPr>
      <w:r w:rsidRPr="008B200F">
        <w:rPr>
          <w:rFonts w:ascii="Times New Roman" w:hAnsi="Times New Roman" w:cs="Times New Roman"/>
          <w:b/>
          <w:bCs/>
        </w:rPr>
        <w:t xml:space="preserve">Resolución </w:t>
      </w:r>
      <w:r w:rsidR="60E347D5" w:rsidRPr="008B200F">
        <w:rPr>
          <w:rFonts w:ascii="Times New Roman" w:hAnsi="Times New Roman" w:cs="Times New Roman"/>
          <w:b/>
          <w:bCs/>
        </w:rPr>
        <w:t xml:space="preserve">CGN </w:t>
      </w:r>
      <w:r w:rsidRPr="008B200F">
        <w:rPr>
          <w:rFonts w:ascii="Times New Roman" w:hAnsi="Times New Roman" w:cs="Times New Roman"/>
          <w:b/>
          <w:bCs/>
        </w:rPr>
        <w:t>No. 620 del 26 de noviembre de 2015</w:t>
      </w:r>
      <w:r w:rsidRPr="008B200F">
        <w:rPr>
          <w:rFonts w:ascii="Times New Roman" w:hAnsi="Times New Roman" w:cs="Times New Roman"/>
        </w:rPr>
        <w:t xml:space="preserve"> y sus modificaciones. Incorpora el Catálogo General de Cuentas al Marco Normativo para Entidades de Gobierno. </w:t>
      </w:r>
    </w:p>
    <w:p w14:paraId="58CF3808" w14:textId="74D5D89A" w:rsidR="008B200F" w:rsidRPr="008B200F" w:rsidRDefault="00FE6C47" w:rsidP="00966A4B">
      <w:pPr>
        <w:pStyle w:val="Default"/>
        <w:numPr>
          <w:ilvl w:val="0"/>
          <w:numId w:val="20"/>
        </w:numPr>
        <w:jc w:val="both"/>
        <w:rPr>
          <w:rFonts w:ascii="Times New Roman" w:eastAsia="Times New Roman" w:hAnsi="Times New Roman" w:cs="Times New Roman"/>
        </w:rPr>
      </w:pPr>
      <w:r w:rsidRPr="008B200F">
        <w:rPr>
          <w:rFonts w:ascii="Times New Roman" w:hAnsi="Times New Roman" w:cs="Times New Roman"/>
          <w:b/>
        </w:rPr>
        <w:t xml:space="preserve">Resolución </w:t>
      </w:r>
      <w:r w:rsidR="10CEC9D9" w:rsidRPr="008B200F">
        <w:rPr>
          <w:rFonts w:ascii="Times New Roman" w:hAnsi="Times New Roman" w:cs="Times New Roman"/>
          <w:b/>
          <w:bCs/>
        </w:rPr>
        <w:t>CGN</w:t>
      </w:r>
      <w:r w:rsidR="11F061AA" w:rsidRPr="008B200F">
        <w:rPr>
          <w:rFonts w:ascii="Times New Roman" w:hAnsi="Times New Roman" w:cs="Times New Roman"/>
          <w:b/>
          <w:bCs/>
        </w:rPr>
        <w:t xml:space="preserve"> </w:t>
      </w:r>
      <w:r w:rsidRPr="008B200F">
        <w:rPr>
          <w:rFonts w:ascii="Times New Roman" w:hAnsi="Times New Roman" w:cs="Times New Roman"/>
          <w:b/>
        </w:rPr>
        <w:t xml:space="preserve">No. 525 </w:t>
      </w:r>
      <w:r w:rsidRPr="008B200F">
        <w:rPr>
          <w:rFonts w:ascii="Times New Roman" w:hAnsi="Times New Roman" w:cs="Times New Roman"/>
          <w:b/>
          <w:bCs/>
        </w:rPr>
        <w:t>de</w:t>
      </w:r>
      <w:r w:rsidR="33B719FD" w:rsidRPr="008B200F">
        <w:rPr>
          <w:rFonts w:ascii="Times New Roman" w:hAnsi="Times New Roman" w:cs="Times New Roman"/>
          <w:b/>
          <w:bCs/>
        </w:rPr>
        <w:t xml:space="preserve">l 13 </w:t>
      </w:r>
      <w:r w:rsidRPr="008B200F">
        <w:rPr>
          <w:rFonts w:ascii="Times New Roman" w:hAnsi="Times New Roman" w:cs="Times New Roman"/>
          <w:b/>
        </w:rPr>
        <w:t xml:space="preserve">de </w:t>
      </w:r>
      <w:r w:rsidR="33B719FD" w:rsidRPr="008B200F">
        <w:rPr>
          <w:rFonts w:ascii="Times New Roman" w:hAnsi="Times New Roman" w:cs="Times New Roman"/>
          <w:b/>
          <w:bCs/>
        </w:rPr>
        <w:t>septiembre de</w:t>
      </w:r>
      <w:r w:rsidRPr="008B200F">
        <w:rPr>
          <w:rFonts w:ascii="Times New Roman" w:hAnsi="Times New Roman" w:cs="Times New Roman"/>
          <w:b/>
          <w:bCs/>
        </w:rPr>
        <w:t xml:space="preserve"> 2016.</w:t>
      </w:r>
      <w:r w:rsidRPr="008B200F">
        <w:rPr>
          <w:rFonts w:ascii="Times New Roman" w:eastAsia="Times New Roman" w:hAnsi="Times New Roman" w:cs="Times New Roman"/>
        </w:rPr>
        <w:t xml:space="preserve"> Incorpora en el Régimen de Contabilidad Pública, la Norma de Proceso Contable y Sistema Documental Contable.</w:t>
      </w:r>
    </w:p>
    <w:p w14:paraId="5FF2177C" w14:textId="6866AD6A" w:rsidR="00FE6C47" w:rsidRPr="00951AB1" w:rsidRDefault="00FE6C47" w:rsidP="000A5389">
      <w:pPr>
        <w:pStyle w:val="Default"/>
        <w:numPr>
          <w:ilvl w:val="0"/>
          <w:numId w:val="20"/>
        </w:numPr>
        <w:jc w:val="both"/>
        <w:rPr>
          <w:rFonts w:ascii="Times New Roman" w:eastAsia="Times New Roman" w:hAnsi="Times New Roman" w:cs="Times New Roman"/>
        </w:rPr>
      </w:pPr>
      <w:r w:rsidRPr="00951AB1">
        <w:rPr>
          <w:rFonts w:ascii="Times New Roman" w:hAnsi="Times New Roman" w:cs="Times New Roman"/>
          <w:b/>
        </w:rPr>
        <w:t xml:space="preserve">Resolución </w:t>
      </w:r>
      <w:r w:rsidR="46AAE657" w:rsidRPr="5B0C84B6">
        <w:rPr>
          <w:rFonts w:ascii="Times New Roman" w:hAnsi="Times New Roman" w:cs="Times New Roman"/>
          <w:b/>
          <w:bCs/>
        </w:rPr>
        <w:t xml:space="preserve">CGN </w:t>
      </w:r>
      <w:r w:rsidRPr="00951AB1">
        <w:rPr>
          <w:rFonts w:ascii="Times New Roman" w:hAnsi="Times New Roman" w:cs="Times New Roman"/>
          <w:b/>
        </w:rPr>
        <w:t xml:space="preserve">No. 116 </w:t>
      </w:r>
      <w:r w:rsidR="11F061AA" w:rsidRPr="5B0C84B6">
        <w:rPr>
          <w:rFonts w:ascii="Times New Roman" w:hAnsi="Times New Roman" w:cs="Times New Roman"/>
          <w:b/>
          <w:bCs/>
        </w:rPr>
        <w:t>de</w:t>
      </w:r>
      <w:r w:rsidR="2E50EFC5" w:rsidRPr="5B0C84B6">
        <w:rPr>
          <w:rFonts w:ascii="Times New Roman" w:hAnsi="Times New Roman" w:cs="Times New Roman"/>
          <w:b/>
          <w:bCs/>
        </w:rPr>
        <w:t xml:space="preserve">l 6 </w:t>
      </w:r>
      <w:r w:rsidRPr="00951AB1">
        <w:rPr>
          <w:rFonts w:ascii="Times New Roman" w:hAnsi="Times New Roman" w:cs="Times New Roman"/>
          <w:b/>
        </w:rPr>
        <w:t xml:space="preserve">de </w:t>
      </w:r>
      <w:r w:rsidR="2E50EFC5" w:rsidRPr="5B0C84B6">
        <w:rPr>
          <w:rFonts w:ascii="Times New Roman" w:hAnsi="Times New Roman" w:cs="Times New Roman"/>
          <w:b/>
          <w:bCs/>
        </w:rPr>
        <w:t>abril de</w:t>
      </w:r>
      <w:r w:rsidR="11F061AA" w:rsidRPr="5B0C84B6">
        <w:rPr>
          <w:rFonts w:ascii="Times New Roman" w:hAnsi="Times New Roman" w:cs="Times New Roman"/>
          <w:b/>
          <w:bCs/>
        </w:rPr>
        <w:t xml:space="preserve"> </w:t>
      </w:r>
      <w:r w:rsidRPr="00951AB1">
        <w:rPr>
          <w:rFonts w:ascii="Times New Roman" w:hAnsi="Times New Roman" w:cs="Times New Roman"/>
          <w:b/>
        </w:rPr>
        <w:t>2017.</w:t>
      </w:r>
      <w:r w:rsidRPr="00951AB1">
        <w:rPr>
          <w:rFonts w:ascii="Times New Roman" w:eastAsia="Times New Roman" w:hAnsi="Times New Roman" w:cs="Times New Roman"/>
        </w:rPr>
        <w:t xml:space="preserve"> Incorpora al Marco Normativo para Entidades de Gobierno, el procedimiento Contable para el registro de los procesos judiciales, arbitrajes, conciliaciones extrajudiciales y embargo sobre cuentas bancarias, y se modifica el Catálogo General de Cuentas de dicho Marco Normativo.</w:t>
      </w:r>
    </w:p>
    <w:p w14:paraId="657BE95B" w14:textId="488F1069" w:rsidR="00FE6C47" w:rsidRPr="00951AB1" w:rsidRDefault="00FE6C47" w:rsidP="000A5389">
      <w:pPr>
        <w:pStyle w:val="Default"/>
        <w:numPr>
          <w:ilvl w:val="0"/>
          <w:numId w:val="20"/>
        </w:numPr>
        <w:jc w:val="both"/>
        <w:rPr>
          <w:rFonts w:ascii="Times New Roman" w:hAnsi="Times New Roman" w:cs="Times New Roman"/>
        </w:rPr>
      </w:pPr>
      <w:r w:rsidRPr="00951AB1">
        <w:rPr>
          <w:rFonts w:ascii="Times New Roman" w:hAnsi="Times New Roman" w:cs="Times New Roman"/>
          <w:b/>
          <w:bCs/>
        </w:rPr>
        <w:t xml:space="preserve">Resolución </w:t>
      </w:r>
      <w:r w:rsidR="07A86F8F" w:rsidRPr="5B0C84B6">
        <w:rPr>
          <w:rFonts w:ascii="Times New Roman" w:hAnsi="Times New Roman" w:cs="Times New Roman"/>
          <w:b/>
          <w:bCs/>
        </w:rPr>
        <w:t xml:space="preserve">CGN </w:t>
      </w:r>
      <w:r w:rsidRPr="00951AB1">
        <w:rPr>
          <w:rFonts w:ascii="Times New Roman" w:hAnsi="Times New Roman" w:cs="Times New Roman"/>
          <w:b/>
          <w:bCs/>
        </w:rPr>
        <w:t xml:space="preserve">No. 602 </w:t>
      </w:r>
      <w:r w:rsidR="11F061AA" w:rsidRPr="5B0C84B6">
        <w:rPr>
          <w:rFonts w:ascii="Times New Roman" w:hAnsi="Times New Roman" w:cs="Times New Roman"/>
          <w:b/>
          <w:bCs/>
        </w:rPr>
        <w:t>de</w:t>
      </w:r>
      <w:r w:rsidR="57AB26EB" w:rsidRPr="5B0C84B6">
        <w:rPr>
          <w:rFonts w:ascii="Times New Roman" w:hAnsi="Times New Roman" w:cs="Times New Roman"/>
          <w:b/>
          <w:bCs/>
        </w:rPr>
        <w:t xml:space="preserve">l 13 </w:t>
      </w:r>
      <w:r w:rsidRPr="00951AB1">
        <w:rPr>
          <w:rFonts w:ascii="Times New Roman" w:hAnsi="Times New Roman" w:cs="Times New Roman"/>
          <w:b/>
          <w:bCs/>
        </w:rPr>
        <w:t xml:space="preserve">de </w:t>
      </w:r>
      <w:r w:rsidR="57AB26EB" w:rsidRPr="5B0C84B6">
        <w:rPr>
          <w:rFonts w:ascii="Times New Roman" w:hAnsi="Times New Roman" w:cs="Times New Roman"/>
          <w:b/>
          <w:bCs/>
        </w:rPr>
        <w:t>diciembre de</w:t>
      </w:r>
      <w:r w:rsidR="11F061AA" w:rsidRPr="5B0C84B6">
        <w:rPr>
          <w:rFonts w:ascii="Times New Roman" w:hAnsi="Times New Roman" w:cs="Times New Roman"/>
          <w:b/>
          <w:bCs/>
        </w:rPr>
        <w:t xml:space="preserve"> 2018.</w:t>
      </w:r>
      <w:r w:rsidRPr="00951AB1">
        <w:rPr>
          <w:rFonts w:ascii="Times New Roman" w:hAnsi="Times New Roman" w:cs="Times New Roman"/>
        </w:rPr>
        <w:t xml:space="preserve"> Incorpora, al Marco Normativo para Entidades de Gobierno, el procedimiento contable para el registro de los hechos económicos relacionados con los acuerdos de concesión de Infraestructura de transporte y se modifica el Catálogo General de Cuentas de dicho Marco Normativo.</w:t>
      </w:r>
    </w:p>
    <w:p w14:paraId="5DB424D1" w14:textId="7AE7782F" w:rsidR="00FE6C47" w:rsidRPr="00951AB1" w:rsidRDefault="00FE6C47" w:rsidP="000A5389">
      <w:pPr>
        <w:pStyle w:val="Default"/>
        <w:numPr>
          <w:ilvl w:val="0"/>
          <w:numId w:val="20"/>
        </w:numPr>
        <w:jc w:val="both"/>
        <w:rPr>
          <w:rFonts w:ascii="Times New Roman" w:hAnsi="Times New Roman" w:cs="Times New Roman"/>
        </w:rPr>
      </w:pPr>
      <w:r w:rsidRPr="00951AB1">
        <w:rPr>
          <w:rFonts w:ascii="Times New Roman" w:hAnsi="Times New Roman" w:cs="Times New Roman"/>
          <w:b/>
          <w:bCs/>
        </w:rPr>
        <w:lastRenderedPageBreak/>
        <w:t xml:space="preserve">Resolución </w:t>
      </w:r>
      <w:r w:rsidR="11D059E0" w:rsidRPr="5B0C84B6">
        <w:rPr>
          <w:rFonts w:ascii="Times New Roman" w:hAnsi="Times New Roman" w:cs="Times New Roman"/>
          <w:b/>
          <w:bCs/>
        </w:rPr>
        <w:t xml:space="preserve">CGN </w:t>
      </w:r>
      <w:r w:rsidRPr="00951AB1">
        <w:rPr>
          <w:rFonts w:ascii="Times New Roman" w:hAnsi="Times New Roman" w:cs="Times New Roman"/>
          <w:b/>
          <w:bCs/>
        </w:rPr>
        <w:t>No. 090 del 8 de mayo de 2020.</w:t>
      </w:r>
      <w:r w:rsidRPr="00951AB1">
        <w:rPr>
          <w:rFonts w:ascii="Times New Roman" w:hAnsi="Times New Roman" w:cs="Times New Roman"/>
        </w:rPr>
        <w:t xml:space="preserve"> Modifica el Procedimiento contable para el registro de los recursos entregados en administración y el Catálogo General de Cuentas, del Marco Normativo para Entidades de Gobierno</w:t>
      </w:r>
      <w:r w:rsidR="24D2E279" w:rsidRPr="5B0C84B6">
        <w:rPr>
          <w:rFonts w:ascii="Times New Roman" w:hAnsi="Times New Roman" w:cs="Times New Roman"/>
        </w:rPr>
        <w:t>.</w:t>
      </w:r>
      <w:r w:rsidR="11F061AA" w:rsidRPr="5B0C84B6">
        <w:rPr>
          <w:rFonts w:ascii="Times New Roman" w:hAnsi="Times New Roman" w:cs="Times New Roman"/>
        </w:rPr>
        <w:t xml:space="preserve"> </w:t>
      </w:r>
      <w:r w:rsidR="03A28F71" w:rsidRPr="5B0C84B6">
        <w:rPr>
          <w:rFonts w:ascii="Times New Roman" w:hAnsi="Times New Roman" w:cs="Times New Roman"/>
        </w:rPr>
        <w:t>M</w:t>
      </w:r>
      <w:r w:rsidR="11F061AA" w:rsidRPr="5B0C84B6">
        <w:rPr>
          <w:rFonts w:ascii="Times New Roman" w:hAnsi="Times New Roman" w:cs="Times New Roman"/>
        </w:rPr>
        <w:t>odificada</w:t>
      </w:r>
      <w:r w:rsidRPr="00951AB1">
        <w:rPr>
          <w:rFonts w:ascii="Times New Roman" w:hAnsi="Times New Roman" w:cs="Times New Roman"/>
        </w:rPr>
        <w:t xml:space="preserve"> por la Resolución 64 de 2022. </w:t>
      </w:r>
    </w:p>
    <w:p w14:paraId="62F5612E" w14:textId="2AD682B6" w:rsidR="00FE6C47" w:rsidRPr="00951AB1" w:rsidRDefault="00FE6C47" w:rsidP="000A5389">
      <w:pPr>
        <w:pStyle w:val="Default"/>
        <w:numPr>
          <w:ilvl w:val="0"/>
          <w:numId w:val="20"/>
        </w:numPr>
        <w:jc w:val="both"/>
        <w:rPr>
          <w:rFonts w:ascii="Times New Roman" w:hAnsi="Times New Roman" w:cs="Times New Roman"/>
        </w:rPr>
      </w:pPr>
      <w:r w:rsidRPr="00951AB1">
        <w:rPr>
          <w:rFonts w:ascii="Times New Roman" w:hAnsi="Times New Roman" w:cs="Times New Roman"/>
          <w:b/>
          <w:bCs/>
        </w:rPr>
        <w:t xml:space="preserve">Resolución </w:t>
      </w:r>
      <w:r w:rsidR="29BB6CE1" w:rsidRPr="5B0C84B6">
        <w:rPr>
          <w:rFonts w:ascii="Times New Roman" w:hAnsi="Times New Roman" w:cs="Times New Roman"/>
          <w:b/>
          <w:bCs/>
        </w:rPr>
        <w:t>CGN</w:t>
      </w:r>
      <w:r w:rsidR="11F061AA" w:rsidRPr="5B0C84B6">
        <w:rPr>
          <w:rFonts w:ascii="Times New Roman" w:hAnsi="Times New Roman" w:cs="Times New Roman"/>
          <w:b/>
          <w:bCs/>
        </w:rPr>
        <w:t xml:space="preserve"> </w:t>
      </w:r>
      <w:r w:rsidRPr="00951AB1">
        <w:rPr>
          <w:rFonts w:ascii="Times New Roman" w:hAnsi="Times New Roman" w:cs="Times New Roman"/>
          <w:b/>
          <w:bCs/>
        </w:rPr>
        <w:t>No. 069 del 10 de mayo de 2021.</w:t>
      </w:r>
      <w:r w:rsidRPr="00951AB1">
        <w:rPr>
          <w:rFonts w:ascii="Times New Roman" w:hAnsi="Times New Roman" w:cs="Times New Roman"/>
        </w:rPr>
        <w:t xml:space="preserve"> Modifica el numeral 3.3. de la Norma de Proceso Contable y Sistema Documental Contable del Régimen de Contabilidad Pública. </w:t>
      </w:r>
    </w:p>
    <w:p w14:paraId="7A9E1A31" w14:textId="03620F19" w:rsidR="00FE6C47" w:rsidRPr="00951AB1" w:rsidRDefault="00FE6C47" w:rsidP="000A5389">
      <w:pPr>
        <w:pStyle w:val="NormalWeb"/>
        <w:numPr>
          <w:ilvl w:val="0"/>
          <w:numId w:val="20"/>
        </w:numPr>
        <w:spacing w:line="240" w:lineRule="auto"/>
        <w:rPr>
          <w:color w:val="000000"/>
        </w:rPr>
      </w:pPr>
      <w:r w:rsidRPr="5B0C84B6">
        <w:rPr>
          <w:b/>
          <w:color w:val="000000" w:themeColor="text1"/>
        </w:rPr>
        <w:t xml:space="preserve">Resolución </w:t>
      </w:r>
      <w:r w:rsidR="699836D9" w:rsidRPr="5B0C84B6">
        <w:rPr>
          <w:b/>
          <w:bCs/>
          <w:color w:val="000000" w:themeColor="text1"/>
        </w:rPr>
        <w:t xml:space="preserve">CGN </w:t>
      </w:r>
      <w:r w:rsidRPr="5B0C84B6">
        <w:rPr>
          <w:b/>
          <w:color w:val="000000" w:themeColor="text1"/>
        </w:rPr>
        <w:t>No. 080 del 2 de junio de 2021.</w:t>
      </w:r>
      <w:r w:rsidRPr="5B0C84B6">
        <w:rPr>
          <w:color w:val="000000" w:themeColor="text1"/>
        </w:rPr>
        <w:t xml:space="preserve"> Modifica el Procedimiento contable para el registro de los procesos judiciales, arbitrajes, conciliaciones extrajudiciales y embargos sobre cuentas bancarias, del Marco Normativo para Entidades de Gobierno.</w:t>
      </w:r>
    </w:p>
    <w:p w14:paraId="1E5FCD01" w14:textId="2443A33F" w:rsidR="00FE6C47" w:rsidRPr="00951AB1" w:rsidRDefault="00FE6C47" w:rsidP="000A5389">
      <w:pPr>
        <w:pStyle w:val="NormalWeb"/>
        <w:numPr>
          <w:ilvl w:val="0"/>
          <w:numId w:val="20"/>
        </w:numPr>
        <w:spacing w:line="240" w:lineRule="auto"/>
        <w:rPr>
          <w:color w:val="000000"/>
        </w:rPr>
      </w:pPr>
      <w:r w:rsidRPr="5B0C84B6">
        <w:rPr>
          <w:b/>
          <w:color w:val="000000" w:themeColor="text1"/>
        </w:rPr>
        <w:t xml:space="preserve">Resolución </w:t>
      </w:r>
      <w:r w:rsidR="79DFDBA5" w:rsidRPr="5B0C84B6">
        <w:rPr>
          <w:b/>
          <w:bCs/>
          <w:color w:val="000000" w:themeColor="text1"/>
        </w:rPr>
        <w:t>CGN</w:t>
      </w:r>
      <w:r w:rsidR="11F061AA" w:rsidRPr="5B0C84B6">
        <w:rPr>
          <w:b/>
          <w:bCs/>
          <w:color w:val="000000" w:themeColor="text1"/>
        </w:rPr>
        <w:t xml:space="preserve"> </w:t>
      </w:r>
      <w:r w:rsidRPr="5B0C84B6">
        <w:rPr>
          <w:b/>
          <w:color w:val="000000" w:themeColor="text1"/>
        </w:rPr>
        <w:t>No. 081 del 2 de junio de 2021.</w:t>
      </w:r>
      <w:r w:rsidRPr="5B0C84B6">
        <w:rPr>
          <w:color w:val="000000" w:themeColor="text1"/>
        </w:rPr>
        <w:t xml:space="preserve"> </w:t>
      </w:r>
      <w:r w:rsidR="11F061AA" w:rsidRPr="5B0C84B6">
        <w:rPr>
          <w:color w:val="000000" w:themeColor="text1"/>
        </w:rPr>
        <w:t>Modifica</w:t>
      </w:r>
      <w:r w:rsidRPr="5B0C84B6">
        <w:rPr>
          <w:color w:val="000000" w:themeColor="text1"/>
        </w:rPr>
        <w:t xml:space="preserve"> los catálogos generales de cuentas de los marcos normativos del Régimen de Contabilidad Pública en lo relativo al registro contable de los procesos judiciales, arbitrajes y conciliaciones extrajudiciales.</w:t>
      </w:r>
    </w:p>
    <w:p w14:paraId="5C4854F0" w14:textId="10AFBB1F" w:rsidR="00FE6C47" w:rsidRPr="00951AB1" w:rsidRDefault="00FE6C47" w:rsidP="000A5389">
      <w:pPr>
        <w:pStyle w:val="Default"/>
        <w:numPr>
          <w:ilvl w:val="0"/>
          <w:numId w:val="20"/>
        </w:numPr>
        <w:jc w:val="both"/>
        <w:rPr>
          <w:rFonts w:ascii="Times New Roman" w:hAnsi="Times New Roman" w:cs="Times New Roman"/>
        </w:rPr>
      </w:pPr>
      <w:r w:rsidRPr="00951AB1">
        <w:rPr>
          <w:rFonts w:ascii="Times New Roman" w:hAnsi="Times New Roman" w:cs="Times New Roman"/>
          <w:b/>
          <w:bCs/>
        </w:rPr>
        <w:t xml:space="preserve">Resolución </w:t>
      </w:r>
      <w:r w:rsidR="151DE753" w:rsidRPr="5B0C84B6">
        <w:rPr>
          <w:rFonts w:ascii="Times New Roman" w:hAnsi="Times New Roman" w:cs="Times New Roman"/>
          <w:b/>
          <w:bCs/>
        </w:rPr>
        <w:t>CGN</w:t>
      </w:r>
      <w:r w:rsidR="11F061AA" w:rsidRPr="5B0C84B6">
        <w:rPr>
          <w:rFonts w:ascii="Times New Roman" w:hAnsi="Times New Roman" w:cs="Times New Roman"/>
          <w:b/>
          <w:bCs/>
        </w:rPr>
        <w:t xml:space="preserve"> </w:t>
      </w:r>
      <w:r w:rsidRPr="00951AB1">
        <w:rPr>
          <w:rFonts w:ascii="Times New Roman" w:hAnsi="Times New Roman" w:cs="Times New Roman"/>
          <w:b/>
          <w:bCs/>
        </w:rPr>
        <w:t>No. 238 del 21 de diciembre de 2021.</w:t>
      </w:r>
      <w:r w:rsidRPr="00951AB1">
        <w:rPr>
          <w:rFonts w:ascii="Times New Roman" w:hAnsi="Times New Roman" w:cs="Times New Roman"/>
        </w:rPr>
        <w:t xml:space="preserve"> Modifica el Procedimiento contable para el registro de los procesos judiciales, arbitrajes, conciliaciones extrajudiciales y embargos sobre cuentas bancarias, del Marco Normativo para Entidades de Gobierno. </w:t>
      </w:r>
    </w:p>
    <w:p w14:paraId="5DEF5028" w14:textId="5B13E72E" w:rsidR="00FE6C47" w:rsidRPr="00951AB1" w:rsidRDefault="3923660C" w:rsidP="000A5389">
      <w:pPr>
        <w:pStyle w:val="Default"/>
        <w:numPr>
          <w:ilvl w:val="0"/>
          <w:numId w:val="20"/>
        </w:numPr>
        <w:jc w:val="both"/>
        <w:rPr>
          <w:rFonts w:ascii="Times New Roman" w:hAnsi="Times New Roman" w:cs="Times New Roman"/>
        </w:rPr>
      </w:pPr>
      <w:r w:rsidRPr="00951AB1">
        <w:rPr>
          <w:rFonts w:ascii="Times New Roman" w:hAnsi="Times New Roman" w:cs="Times New Roman"/>
          <w:b/>
          <w:bCs/>
        </w:rPr>
        <w:t xml:space="preserve">Resolución </w:t>
      </w:r>
      <w:r w:rsidR="4789B79B" w:rsidRPr="5B0C84B6">
        <w:rPr>
          <w:rFonts w:ascii="Times New Roman" w:hAnsi="Times New Roman" w:cs="Times New Roman"/>
          <w:b/>
          <w:bCs/>
        </w:rPr>
        <w:t xml:space="preserve">CGN </w:t>
      </w:r>
      <w:r w:rsidRPr="00951AB1">
        <w:rPr>
          <w:rFonts w:ascii="Times New Roman" w:hAnsi="Times New Roman" w:cs="Times New Roman"/>
          <w:b/>
          <w:bCs/>
        </w:rPr>
        <w:t>No. 64 del 30 de marzo de 2022.</w:t>
      </w:r>
      <w:r w:rsidRPr="00951AB1">
        <w:rPr>
          <w:rFonts w:ascii="Times New Roman" w:hAnsi="Times New Roman" w:cs="Times New Roman"/>
        </w:rPr>
        <w:t xml:space="preserve"> </w:t>
      </w:r>
      <w:r w:rsidR="0A62EB0A" w:rsidRPr="5B0C84B6">
        <w:rPr>
          <w:rFonts w:ascii="Times New Roman" w:hAnsi="Times New Roman" w:cs="Times New Roman"/>
        </w:rPr>
        <w:t>Modifica</w:t>
      </w:r>
      <w:r w:rsidR="76D3A669" w:rsidRPr="5B0C84B6">
        <w:rPr>
          <w:rFonts w:ascii="Times New Roman" w:hAnsi="Times New Roman" w:cs="Times New Roman"/>
        </w:rPr>
        <w:t xml:space="preserve"> los</w:t>
      </w:r>
      <w:r w:rsidRPr="00951AB1">
        <w:rPr>
          <w:rFonts w:ascii="Times New Roman" w:hAnsi="Times New Roman" w:cs="Times New Roman"/>
        </w:rPr>
        <w:t xml:space="preserve"> procedimientos contables del Marco Normativo para Entidades de Gobierno y el Catálogo General de Cuentas de dicho Marco Normativo, por la combinación de operaciones del Tesoro Nacional y Deuda Pública Nación en una entidad contable pública. </w:t>
      </w:r>
    </w:p>
    <w:p w14:paraId="5BDC977A" w14:textId="7E1F041F" w:rsidR="00FE6C47" w:rsidRPr="00951AB1" w:rsidRDefault="00FE6C47" w:rsidP="000A5389">
      <w:pPr>
        <w:pStyle w:val="Default"/>
        <w:numPr>
          <w:ilvl w:val="0"/>
          <w:numId w:val="20"/>
        </w:numPr>
        <w:jc w:val="both"/>
        <w:rPr>
          <w:rFonts w:ascii="Times New Roman" w:hAnsi="Times New Roman" w:cs="Times New Roman"/>
        </w:rPr>
      </w:pPr>
      <w:r w:rsidRPr="00951AB1">
        <w:rPr>
          <w:rFonts w:ascii="Times New Roman" w:hAnsi="Times New Roman" w:cs="Times New Roman"/>
          <w:b/>
          <w:bCs/>
        </w:rPr>
        <w:t xml:space="preserve">Resolución </w:t>
      </w:r>
      <w:r w:rsidR="1F34BEDF" w:rsidRPr="5B0C84B6">
        <w:rPr>
          <w:rFonts w:ascii="Times New Roman" w:hAnsi="Times New Roman" w:cs="Times New Roman"/>
          <w:b/>
          <w:bCs/>
        </w:rPr>
        <w:t xml:space="preserve">CGN </w:t>
      </w:r>
      <w:r w:rsidRPr="00951AB1">
        <w:rPr>
          <w:rFonts w:ascii="Times New Roman" w:hAnsi="Times New Roman" w:cs="Times New Roman"/>
          <w:b/>
          <w:bCs/>
        </w:rPr>
        <w:t>No. 356 del 30 de diciembre de 2022.</w:t>
      </w:r>
      <w:r w:rsidRPr="00951AB1">
        <w:rPr>
          <w:rFonts w:ascii="Times New Roman" w:hAnsi="Times New Roman" w:cs="Times New Roman"/>
        </w:rPr>
        <w:t xml:space="preserve"> Incorpora en los Procedimientos Transversales del Régimen de Contabilidad Pública, el Procedimiento para la preparación, presentación y publicación de los informes financieros y contables que deban publicarse conforme a lo establecido en el numeral 37 del artículo 38 de la Ley 1952 de 2019. </w:t>
      </w:r>
    </w:p>
    <w:p w14:paraId="38ABFF8F" w14:textId="00799EF0" w:rsidR="00FE6C47" w:rsidRPr="00951AB1" w:rsidRDefault="00FE6C47" w:rsidP="000A5389">
      <w:pPr>
        <w:pStyle w:val="Default"/>
        <w:numPr>
          <w:ilvl w:val="0"/>
          <w:numId w:val="20"/>
        </w:numPr>
        <w:jc w:val="both"/>
        <w:rPr>
          <w:rFonts w:ascii="Times New Roman" w:hAnsi="Times New Roman" w:cs="Times New Roman"/>
        </w:rPr>
      </w:pPr>
      <w:r w:rsidRPr="00951AB1">
        <w:rPr>
          <w:rFonts w:ascii="Times New Roman" w:hAnsi="Times New Roman" w:cs="Times New Roman"/>
          <w:b/>
          <w:bCs/>
        </w:rPr>
        <w:t>Resolución</w:t>
      </w:r>
      <w:r w:rsidR="11F061AA" w:rsidRPr="1C671183">
        <w:rPr>
          <w:rFonts w:ascii="Times New Roman" w:hAnsi="Times New Roman" w:cs="Times New Roman"/>
          <w:b/>
          <w:bCs/>
        </w:rPr>
        <w:t xml:space="preserve"> </w:t>
      </w:r>
      <w:r w:rsidR="4EE8BF3D" w:rsidRPr="1C671183">
        <w:rPr>
          <w:rFonts w:ascii="Times New Roman" w:hAnsi="Times New Roman" w:cs="Times New Roman"/>
          <w:b/>
          <w:bCs/>
        </w:rPr>
        <w:t>CGN No.</w:t>
      </w:r>
      <w:r w:rsidRPr="00951AB1">
        <w:rPr>
          <w:rFonts w:ascii="Times New Roman" w:hAnsi="Times New Roman" w:cs="Times New Roman"/>
          <w:b/>
          <w:bCs/>
        </w:rPr>
        <w:t xml:space="preserve"> 172 de 13 de junio de 2023</w:t>
      </w:r>
      <w:r w:rsidRPr="00951AB1">
        <w:rPr>
          <w:rFonts w:ascii="Times New Roman" w:hAnsi="Times New Roman" w:cs="Times New Roman"/>
        </w:rPr>
        <w:t>. Incorpora, en los Procedimientos Transversales del Régimen de Contabilidad Pública, el Procedimiento para la elaboración del informe contable cuando se produzca cambio de representante legal'.</w:t>
      </w:r>
    </w:p>
    <w:p w14:paraId="3977DB6E" w14:textId="516C35A1" w:rsidR="00FE6C47" w:rsidRPr="00951AB1" w:rsidRDefault="00FE6C47" w:rsidP="000A5389">
      <w:pPr>
        <w:pStyle w:val="NormalWeb"/>
        <w:numPr>
          <w:ilvl w:val="0"/>
          <w:numId w:val="20"/>
        </w:numPr>
        <w:spacing w:line="240" w:lineRule="auto"/>
        <w:rPr>
          <w:color w:val="000000"/>
        </w:rPr>
      </w:pPr>
      <w:r w:rsidRPr="6CB8804A">
        <w:rPr>
          <w:b/>
          <w:color w:val="000000" w:themeColor="text1"/>
        </w:rPr>
        <w:t xml:space="preserve">Resolución </w:t>
      </w:r>
      <w:r w:rsidR="53B30AA5" w:rsidRPr="6CB8804A">
        <w:rPr>
          <w:b/>
          <w:bCs/>
          <w:color w:val="000000" w:themeColor="text1"/>
        </w:rPr>
        <w:t>CGN</w:t>
      </w:r>
      <w:r w:rsidRPr="6CB8804A">
        <w:rPr>
          <w:b/>
          <w:bCs/>
          <w:color w:val="000000" w:themeColor="text1"/>
        </w:rPr>
        <w:t xml:space="preserve"> </w:t>
      </w:r>
      <w:r w:rsidRPr="6CB8804A">
        <w:rPr>
          <w:b/>
          <w:color w:val="000000" w:themeColor="text1"/>
        </w:rPr>
        <w:t>No. 180 del 21 de junio de 2023.</w:t>
      </w:r>
      <w:r w:rsidRPr="6CB8804A">
        <w:rPr>
          <w:color w:val="000000" w:themeColor="text1"/>
        </w:rPr>
        <w:t xml:space="preserve"> Incorpora la Norma de gastos de transferencias y subvenciones en las Normas para el Reconocimiento, Medición, Revelación y Presentación de los Hechos Económicos del Marco Normativo para Entidades de Gobierno.</w:t>
      </w:r>
    </w:p>
    <w:p w14:paraId="4629D391" w14:textId="23F5A3F5" w:rsidR="00FE6C47" w:rsidRPr="00951AB1" w:rsidRDefault="00FE6C47" w:rsidP="000A5389">
      <w:pPr>
        <w:pStyle w:val="Default"/>
        <w:numPr>
          <w:ilvl w:val="0"/>
          <w:numId w:val="20"/>
        </w:numPr>
        <w:jc w:val="both"/>
        <w:rPr>
          <w:rFonts w:ascii="Times New Roman" w:hAnsi="Times New Roman" w:cs="Times New Roman"/>
        </w:rPr>
      </w:pPr>
      <w:r w:rsidRPr="00951AB1">
        <w:rPr>
          <w:rFonts w:ascii="Times New Roman" w:hAnsi="Times New Roman" w:cs="Times New Roman"/>
          <w:b/>
          <w:bCs/>
        </w:rPr>
        <w:t xml:space="preserve">Resolución </w:t>
      </w:r>
      <w:r w:rsidR="3BF3EBFE" w:rsidRPr="7DF60F80">
        <w:rPr>
          <w:rFonts w:ascii="Times New Roman" w:hAnsi="Times New Roman" w:cs="Times New Roman"/>
          <w:b/>
          <w:bCs/>
        </w:rPr>
        <w:t xml:space="preserve">GGN </w:t>
      </w:r>
      <w:r w:rsidRPr="7DF60F80">
        <w:rPr>
          <w:rFonts w:ascii="Times New Roman" w:hAnsi="Times New Roman" w:cs="Times New Roman"/>
          <w:b/>
          <w:bCs/>
        </w:rPr>
        <w:t>No.</w:t>
      </w:r>
      <w:r w:rsidRPr="00951AB1">
        <w:rPr>
          <w:rFonts w:ascii="Times New Roman" w:hAnsi="Times New Roman" w:cs="Times New Roman"/>
          <w:b/>
          <w:bCs/>
        </w:rPr>
        <w:t xml:space="preserve"> 261 del 28 de agosto de 2023.</w:t>
      </w:r>
      <w:r w:rsidRPr="00951AB1">
        <w:rPr>
          <w:rFonts w:ascii="Times New Roman" w:hAnsi="Times New Roman" w:cs="Times New Roman"/>
        </w:rPr>
        <w:t xml:space="preserve"> Modifica el Procedimiento para la preparación, presentación y publicación de los informes financieros y contables de los Procedimientos Transversales del Régimen de Contabilidad Pública. </w:t>
      </w:r>
    </w:p>
    <w:p w14:paraId="4DA63BE4" w14:textId="33553653" w:rsidR="00FE6C47" w:rsidRPr="00951AB1" w:rsidRDefault="00FE6C47" w:rsidP="000A5389">
      <w:pPr>
        <w:pStyle w:val="NormalWeb"/>
        <w:numPr>
          <w:ilvl w:val="0"/>
          <w:numId w:val="20"/>
        </w:numPr>
        <w:spacing w:line="240" w:lineRule="auto"/>
        <w:rPr>
          <w:color w:val="000000"/>
        </w:rPr>
      </w:pPr>
      <w:r w:rsidRPr="00951AB1">
        <w:rPr>
          <w:b/>
          <w:bCs/>
          <w:color w:val="000000" w:themeColor="text1"/>
        </w:rPr>
        <w:t xml:space="preserve">Resolución </w:t>
      </w:r>
      <w:r w:rsidR="0A8164F6" w:rsidRPr="7DF60F80">
        <w:rPr>
          <w:b/>
          <w:bCs/>
          <w:color w:val="000000" w:themeColor="text1"/>
        </w:rPr>
        <w:t>CGN</w:t>
      </w:r>
      <w:r w:rsidRPr="7DF60F80">
        <w:rPr>
          <w:b/>
          <w:bCs/>
          <w:color w:val="000000" w:themeColor="text1"/>
        </w:rPr>
        <w:t xml:space="preserve"> </w:t>
      </w:r>
      <w:r w:rsidRPr="00951AB1">
        <w:rPr>
          <w:b/>
          <w:bCs/>
          <w:color w:val="000000" w:themeColor="text1"/>
        </w:rPr>
        <w:t>No. 285 del 5 de septiembre de 2023.</w:t>
      </w:r>
      <w:r w:rsidRPr="00951AB1">
        <w:rPr>
          <w:color w:val="000000" w:themeColor="text1"/>
        </w:rPr>
        <w:t xml:space="preserve"> </w:t>
      </w:r>
      <w:r w:rsidRPr="67AD48DE">
        <w:rPr>
          <w:color w:val="000000" w:themeColor="text1"/>
        </w:rPr>
        <w:t xml:space="preserve">Modifica </w:t>
      </w:r>
      <w:r w:rsidR="5BD0C884" w:rsidRPr="67AD48DE">
        <w:rPr>
          <w:color w:val="000000" w:themeColor="text1"/>
        </w:rPr>
        <w:t xml:space="preserve">las </w:t>
      </w:r>
      <w:r w:rsidR="3E83D3D3" w:rsidRPr="1E3826F6">
        <w:rPr>
          <w:color w:val="000000" w:themeColor="text1"/>
        </w:rPr>
        <w:t>N</w:t>
      </w:r>
      <w:r w:rsidR="5BD0C884" w:rsidRPr="1E3826F6">
        <w:rPr>
          <w:color w:val="000000" w:themeColor="text1"/>
        </w:rPr>
        <w:t>ormas</w:t>
      </w:r>
      <w:r w:rsidR="5BD0C884" w:rsidRPr="67AD48DE">
        <w:rPr>
          <w:color w:val="000000" w:themeColor="text1"/>
        </w:rPr>
        <w:t xml:space="preserve"> para el Reconocimiento, Medición, Revelación y Presentación de los </w:t>
      </w:r>
      <w:r w:rsidR="5BD0C884" w:rsidRPr="6853E0E8">
        <w:rPr>
          <w:color w:val="000000" w:themeColor="text1"/>
        </w:rPr>
        <w:t xml:space="preserve">Hechos Económicos del Marco </w:t>
      </w:r>
      <w:r w:rsidR="5BD0C884" w:rsidRPr="1D4EDF39">
        <w:rPr>
          <w:color w:val="000000" w:themeColor="text1"/>
        </w:rPr>
        <w:t xml:space="preserve">Normativo para Entidades de Gobierno. </w:t>
      </w:r>
    </w:p>
    <w:p w14:paraId="07351659" w14:textId="0DFFB78E" w:rsidR="00FE6C47" w:rsidRPr="00951AB1" w:rsidRDefault="00FE6C47" w:rsidP="000A5389">
      <w:pPr>
        <w:pStyle w:val="Default"/>
        <w:numPr>
          <w:ilvl w:val="0"/>
          <w:numId w:val="20"/>
        </w:numPr>
        <w:jc w:val="both"/>
        <w:rPr>
          <w:rFonts w:ascii="Times New Roman" w:hAnsi="Times New Roman" w:cs="Times New Roman"/>
        </w:rPr>
      </w:pPr>
      <w:r w:rsidRPr="00951AB1">
        <w:rPr>
          <w:rFonts w:ascii="Times New Roman" w:hAnsi="Times New Roman" w:cs="Times New Roman"/>
          <w:b/>
          <w:bCs/>
        </w:rPr>
        <w:t xml:space="preserve">Resolución </w:t>
      </w:r>
      <w:r w:rsidR="27B6F11C" w:rsidRPr="50C8C0A6">
        <w:rPr>
          <w:rFonts w:ascii="Times New Roman" w:hAnsi="Times New Roman" w:cs="Times New Roman"/>
          <w:b/>
          <w:bCs/>
        </w:rPr>
        <w:t xml:space="preserve">CGN </w:t>
      </w:r>
      <w:r w:rsidRPr="50C8C0A6">
        <w:rPr>
          <w:rFonts w:ascii="Times New Roman" w:hAnsi="Times New Roman" w:cs="Times New Roman"/>
          <w:b/>
          <w:bCs/>
        </w:rPr>
        <w:t>No.</w:t>
      </w:r>
      <w:r w:rsidRPr="00951AB1">
        <w:rPr>
          <w:rFonts w:ascii="Times New Roman" w:hAnsi="Times New Roman" w:cs="Times New Roman"/>
          <w:b/>
          <w:bCs/>
        </w:rPr>
        <w:t xml:space="preserve"> 438 del 5 de diciembre de 2024</w:t>
      </w:r>
      <w:r w:rsidRPr="00951AB1">
        <w:rPr>
          <w:rFonts w:ascii="Times New Roman" w:hAnsi="Times New Roman" w:cs="Times New Roman"/>
        </w:rPr>
        <w:t xml:space="preserve">. </w:t>
      </w:r>
      <w:r w:rsidRPr="7DD55542">
        <w:rPr>
          <w:rFonts w:ascii="Times New Roman" w:hAnsi="Times New Roman" w:cs="Times New Roman"/>
        </w:rPr>
        <w:t>Modifica</w:t>
      </w:r>
      <w:r w:rsidRPr="00951AB1">
        <w:rPr>
          <w:rFonts w:ascii="Times New Roman" w:hAnsi="Times New Roman" w:cs="Times New Roman"/>
        </w:rPr>
        <w:t xml:space="preserve"> el Marco Conceptual para la Preparación y Presentación de Información Financiera y las Normas para el Reconocimiento, Medición, Revelación y Presentación de los Hechos Económicos del Marco Normativo para Entidades de Gobierno. </w:t>
      </w:r>
    </w:p>
    <w:p w14:paraId="1AA6F60D" w14:textId="7FCF5CC9" w:rsidR="00FE6C47" w:rsidRPr="00951AB1" w:rsidRDefault="3923660C" w:rsidP="000A5389">
      <w:pPr>
        <w:pStyle w:val="Default"/>
        <w:numPr>
          <w:ilvl w:val="0"/>
          <w:numId w:val="20"/>
        </w:numPr>
        <w:jc w:val="both"/>
        <w:rPr>
          <w:rFonts w:ascii="Times New Roman" w:hAnsi="Times New Roman" w:cs="Times New Roman"/>
        </w:rPr>
      </w:pPr>
      <w:r w:rsidRPr="531F83BE">
        <w:rPr>
          <w:rFonts w:ascii="Times New Roman" w:hAnsi="Times New Roman" w:cs="Times New Roman"/>
          <w:b/>
          <w:bCs/>
        </w:rPr>
        <w:lastRenderedPageBreak/>
        <w:t xml:space="preserve">Resolución </w:t>
      </w:r>
      <w:r w:rsidR="77C374E6" w:rsidRPr="531F83BE">
        <w:rPr>
          <w:rFonts w:ascii="Times New Roman" w:hAnsi="Times New Roman" w:cs="Times New Roman"/>
          <w:b/>
          <w:bCs/>
        </w:rPr>
        <w:t xml:space="preserve">CGN </w:t>
      </w:r>
      <w:r w:rsidRPr="531F83BE">
        <w:rPr>
          <w:rFonts w:ascii="Times New Roman" w:hAnsi="Times New Roman" w:cs="Times New Roman"/>
          <w:b/>
          <w:bCs/>
        </w:rPr>
        <w:t>No. 443 del 6 de diciembre de 2024</w:t>
      </w:r>
      <w:r w:rsidRPr="531F83BE">
        <w:rPr>
          <w:rFonts w:ascii="Times New Roman" w:hAnsi="Times New Roman" w:cs="Times New Roman"/>
        </w:rPr>
        <w:t>. Modifica el artículo 7º Transitorio de la Resolución 602 de 2018</w:t>
      </w:r>
      <w:r w:rsidR="0A1744E3" w:rsidRPr="531F83BE">
        <w:rPr>
          <w:rFonts w:ascii="Times New Roman" w:hAnsi="Times New Roman" w:cs="Times New Roman"/>
        </w:rPr>
        <w:t xml:space="preserve"> para ampliar el plazo señalado en dicho artículo y establecer alternativas para la medición por primera vez de los activos de infraestructura </w:t>
      </w:r>
      <w:r w:rsidR="0A1744E3" w:rsidRPr="627A2C20">
        <w:rPr>
          <w:rFonts w:ascii="Times New Roman" w:hAnsi="Times New Roman" w:cs="Times New Roman"/>
        </w:rPr>
        <w:t>de transporte conforme al Marco Normativo para E</w:t>
      </w:r>
      <w:r w:rsidR="15013C83" w:rsidRPr="627A2C20">
        <w:rPr>
          <w:rFonts w:ascii="Times New Roman" w:hAnsi="Times New Roman" w:cs="Times New Roman"/>
        </w:rPr>
        <w:t xml:space="preserve">ntidades de Gobierno. </w:t>
      </w:r>
    </w:p>
    <w:p w14:paraId="3E3CEA80" w14:textId="46BCE151" w:rsidR="661FDC06" w:rsidRPr="00951AB1" w:rsidRDefault="661FDC06" w:rsidP="000A5389">
      <w:pPr>
        <w:pStyle w:val="Default"/>
        <w:numPr>
          <w:ilvl w:val="0"/>
          <w:numId w:val="20"/>
        </w:numPr>
        <w:jc w:val="both"/>
        <w:rPr>
          <w:rFonts w:ascii="Times New Roman" w:hAnsi="Times New Roman" w:cs="Times New Roman"/>
        </w:rPr>
      </w:pPr>
      <w:r w:rsidRPr="7BA31A77">
        <w:rPr>
          <w:rFonts w:ascii="Times New Roman" w:hAnsi="Times New Roman" w:cs="Times New Roman"/>
          <w:b/>
          <w:bCs/>
        </w:rPr>
        <w:t xml:space="preserve">Resolución </w:t>
      </w:r>
      <w:r w:rsidR="70C46DF1" w:rsidRPr="7BA31A77">
        <w:rPr>
          <w:rFonts w:ascii="Times New Roman" w:hAnsi="Times New Roman" w:cs="Times New Roman"/>
          <w:b/>
          <w:bCs/>
        </w:rPr>
        <w:t xml:space="preserve">CGN </w:t>
      </w:r>
      <w:r w:rsidRPr="7BA31A77">
        <w:rPr>
          <w:rFonts w:ascii="Times New Roman" w:hAnsi="Times New Roman" w:cs="Times New Roman"/>
          <w:b/>
          <w:bCs/>
        </w:rPr>
        <w:t xml:space="preserve">No. 138 del </w:t>
      </w:r>
      <w:r w:rsidR="6E92D504" w:rsidRPr="7BA31A77">
        <w:rPr>
          <w:rFonts w:ascii="Times New Roman" w:hAnsi="Times New Roman" w:cs="Times New Roman"/>
          <w:b/>
          <w:bCs/>
        </w:rPr>
        <w:t>5</w:t>
      </w:r>
      <w:r w:rsidRPr="7BA31A77">
        <w:rPr>
          <w:rFonts w:ascii="Times New Roman" w:hAnsi="Times New Roman" w:cs="Times New Roman"/>
          <w:b/>
          <w:bCs/>
        </w:rPr>
        <w:t xml:space="preserve"> de </w:t>
      </w:r>
      <w:r w:rsidR="54BA9D9A" w:rsidRPr="7BA31A77">
        <w:rPr>
          <w:rFonts w:ascii="Times New Roman" w:hAnsi="Times New Roman" w:cs="Times New Roman"/>
          <w:b/>
          <w:bCs/>
        </w:rPr>
        <w:t>junio</w:t>
      </w:r>
      <w:r w:rsidRPr="7BA31A77">
        <w:rPr>
          <w:rFonts w:ascii="Times New Roman" w:hAnsi="Times New Roman" w:cs="Times New Roman"/>
          <w:b/>
          <w:bCs/>
        </w:rPr>
        <w:t xml:space="preserve"> de 2025</w:t>
      </w:r>
      <w:r w:rsidRPr="7BA31A77">
        <w:rPr>
          <w:rFonts w:ascii="Times New Roman" w:hAnsi="Times New Roman" w:cs="Times New Roman"/>
        </w:rPr>
        <w:t xml:space="preserve">. </w:t>
      </w:r>
      <w:r w:rsidR="2895209D" w:rsidRPr="7BA31A77">
        <w:rPr>
          <w:rFonts w:ascii="Times New Roman" w:hAnsi="Times New Roman" w:cs="Times New Roman"/>
        </w:rPr>
        <w:t>E</w:t>
      </w:r>
      <w:r w:rsidR="0731E2AF" w:rsidRPr="7BA31A77">
        <w:rPr>
          <w:rFonts w:ascii="Times New Roman" w:eastAsiaTheme="minorEastAsia" w:hAnsi="Times New Roman" w:cs="Times New Roman"/>
          <w:color w:val="000000" w:themeColor="text1"/>
        </w:rPr>
        <w:t>stablece la información a reportar, los requisitos, plazos y características de envío a la Contaduría General de la Nación y se derogan las Resoluciones 411 de 2023 y 038 de 2024</w:t>
      </w:r>
      <w:r w:rsidR="269F46A8" w:rsidRPr="7BA31A77">
        <w:rPr>
          <w:rFonts w:ascii="Times New Roman" w:eastAsiaTheme="minorEastAsia" w:hAnsi="Times New Roman" w:cs="Times New Roman"/>
          <w:color w:val="000000" w:themeColor="text1"/>
        </w:rPr>
        <w:t>.</w:t>
      </w:r>
    </w:p>
    <w:p w14:paraId="5636AFD1" w14:textId="080F65FB" w:rsidR="2ED232D0" w:rsidRDefault="2ED232D0" w:rsidP="000A5389">
      <w:pPr>
        <w:pStyle w:val="Default"/>
        <w:numPr>
          <w:ilvl w:val="0"/>
          <w:numId w:val="20"/>
        </w:numPr>
        <w:jc w:val="both"/>
        <w:rPr>
          <w:rFonts w:ascii="Times New Roman" w:eastAsia="Times New Roman" w:hAnsi="Times New Roman" w:cs="Times New Roman"/>
          <w:color w:val="000000" w:themeColor="text1"/>
        </w:rPr>
      </w:pPr>
      <w:r w:rsidRPr="2A085367">
        <w:rPr>
          <w:rFonts w:ascii="Times New Roman" w:eastAsiaTheme="minorEastAsia" w:hAnsi="Times New Roman" w:cs="Times New Roman"/>
          <w:b/>
          <w:bCs/>
          <w:color w:val="000000" w:themeColor="text1"/>
        </w:rPr>
        <w:t xml:space="preserve">Resolución </w:t>
      </w:r>
      <w:r w:rsidR="76EE12A0" w:rsidRPr="7830AEE4">
        <w:rPr>
          <w:rFonts w:ascii="Times New Roman" w:eastAsiaTheme="minorEastAsia" w:hAnsi="Times New Roman" w:cs="Times New Roman"/>
          <w:b/>
          <w:bCs/>
          <w:color w:val="000000" w:themeColor="text1"/>
        </w:rPr>
        <w:t xml:space="preserve">CGN </w:t>
      </w:r>
      <w:r w:rsidRPr="2A085367">
        <w:rPr>
          <w:rFonts w:ascii="Times New Roman" w:eastAsiaTheme="minorEastAsia" w:hAnsi="Times New Roman" w:cs="Times New Roman"/>
          <w:b/>
          <w:bCs/>
          <w:color w:val="000000" w:themeColor="text1"/>
        </w:rPr>
        <w:t>No. 139 del 5 de junio de 2025</w:t>
      </w:r>
      <w:r w:rsidRPr="2A085367">
        <w:rPr>
          <w:rFonts w:ascii="Times New Roman" w:eastAsiaTheme="minorEastAsia" w:hAnsi="Times New Roman" w:cs="Times New Roman"/>
          <w:color w:val="000000" w:themeColor="text1"/>
        </w:rPr>
        <w:t>.</w:t>
      </w:r>
      <w:r w:rsidRPr="7830AEE4">
        <w:rPr>
          <w:rFonts w:ascii="Times New Roman" w:eastAsiaTheme="minorEastAsia" w:hAnsi="Times New Roman" w:cs="Times New Roman"/>
          <w:color w:val="000000" w:themeColor="text1"/>
        </w:rPr>
        <w:t xml:space="preserve"> </w:t>
      </w:r>
      <w:r w:rsidRPr="7830AEE4">
        <w:rPr>
          <w:rFonts w:ascii="Times New Roman" w:eastAsia="Times New Roman" w:hAnsi="Times New Roman" w:cs="Times New Roman"/>
          <w:color w:val="000000" w:themeColor="text1"/>
        </w:rPr>
        <w:t xml:space="preserve">Incorpora, en los Procedimientos Transversales del Régimen de Contabilidad Pública, el Procedimiento para la agregación de información, diligenciamiento y envío de los reportes de la Categoría Información Contable Pública — Convergencia a través del Sistema Consolidador de Hacienda e Información </w:t>
      </w:r>
      <w:r w:rsidR="2B12E725" w:rsidRPr="7830AEE4">
        <w:rPr>
          <w:rFonts w:ascii="Times New Roman" w:eastAsia="Times New Roman" w:hAnsi="Times New Roman" w:cs="Times New Roman"/>
          <w:color w:val="000000" w:themeColor="text1"/>
        </w:rPr>
        <w:t xml:space="preserve">Financiera </w:t>
      </w:r>
      <w:r w:rsidRPr="7830AEE4">
        <w:rPr>
          <w:rFonts w:ascii="Times New Roman" w:eastAsia="Times New Roman" w:hAnsi="Times New Roman" w:cs="Times New Roman"/>
          <w:color w:val="000000" w:themeColor="text1"/>
        </w:rPr>
        <w:t>Pública (CHIP)</w:t>
      </w:r>
    </w:p>
    <w:p w14:paraId="4036052D" w14:textId="3E851755" w:rsidR="6DB87CB7" w:rsidRPr="00951AB1" w:rsidRDefault="6DB87CB7" w:rsidP="000A5389">
      <w:pPr>
        <w:pStyle w:val="Default"/>
        <w:numPr>
          <w:ilvl w:val="0"/>
          <w:numId w:val="20"/>
        </w:numPr>
        <w:jc w:val="both"/>
        <w:rPr>
          <w:rFonts w:ascii="Times New Roman" w:eastAsiaTheme="minorEastAsia" w:hAnsi="Times New Roman" w:cs="Times New Roman"/>
          <w:color w:val="000000" w:themeColor="text1"/>
        </w:rPr>
      </w:pPr>
      <w:r w:rsidRPr="2A085367">
        <w:rPr>
          <w:rFonts w:ascii="Times New Roman" w:hAnsi="Times New Roman" w:cs="Times New Roman"/>
          <w:b/>
          <w:bCs/>
        </w:rPr>
        <w:t xml:space="preserve">Resolución </w:t>
      </w:r>
      <w:r w:rsidR="7BE4A56A" w:rsidRPr="2896115F">
        <w:rPr>
          <w:rFonts w:ascii="Times New Roman" w:hAnsi="Times New Roman" w:cs="Times New Roman"/>
          <w:b/>
          <w:bCs/>
        </w:rPr>
        <w:t xml:space="preserve">CGN </w:t>
      </w:r>
      <w:r w:rsidRPr="2A085367">
        <w:rPr>
          <w:rFonts w:ascii="Times New Roman" w:hAnsi="Times New Roman" w:cs="Times New Roman"/>
          <w:b/>
          <w:bCs/>
        </w:rPr>
        <w:t>No. 339 del 28 de noviembre de 2025</w:t>
      </w:r>
      <w:r w:rsidRPr="2A085367">
        <w:rPr>
          <w:rFonts w:ascii="Times New Roman" w:hAnsi="Times New Roman" w:cs="Times New Roman"/>
        </w:rPr>
        <w:t xml:space="preserve">. </w:t>
      </w:r>
      <w:r w:rsidR="4770A058" w:rsidRPr="2896115F">
        <w:rPr>
          <w:rFonts w:ascii="Times New Roman" w:hAnsi="Times New Roman" w:cs="Times New Roman"/>
        </w:rPr>
        <w:t>M</w:t>
      </w:r>
      <w:r w:rsidRPr="2896115F">
        <w:rPr>
          <w:rFonts w:ascii="Times New Roman" w:eastAsiaTheme="minorEastAsia" w:hAnsi="Times New Roman" w:cs="Times New Roman"/>
          <w:color w:val="000000" w:themeColor="text1"/>
        </w:rPr>
        <w:t>odifica</w:t>
      </w:r>
      <w:r w:rsidRPr="2A085367">
        <w:rPr>
          <w:rFonts w:ascii="Times New Roman" w:eastAsiaTheme="minorEastAsia" w:hAnsi="Times New Roman" w:cs="Times New Roman"/>
          <w:color w:val="000000" w:themeColor="text1"/>
        </w:rPr>
        <w:t xml:space="preserve"> el Marco Conceptual para la Preparación y Presentación de Información Financiera y las Normas para el Reconocimiento, Medición </w:t>
      </w:r>
      <w:r w:rsidR="54467551" w:rsidRPr="2A085367">
        <w:rPr>
          <w:rFonts w:ascii="Times New Roman" w:eastAsiaTheme="minorEastAsia" w:hAnsi="Times New Roman" w:cs="Times New Roman"/>
          <w:color w:val="000000" w:themeColor="text1"/>
        </w:rPr>
        <w:t>Revelación</w:t>
      </w:r>
      <w:r w:rsidRPr="2A085367">
        <w:rPr>
          <w:rFonts w:ascii="Times New Roman" w:eastAsiaTheme="minorEastAsia" w:hAnsi="Times New Roman" w:cs="Times New Roman"/>
          <w:color w:val="000000" w:themeColor="text1"/>
        </w:rPr>
        <w:t xml:space="preserve"> y Presen</w:t>
      </w:r>
      <w:r w:rsidR="63A6EFA0" w:rsidRPr="2A085367">
        <w:rPr>
          <w:rFonts w:ascii="Times New Roman" w:eastAsiaTheme="minorEastAsia" w:hAnsi="Times New Roman" w:cs="Times New Roman"/>
          <w:color w:val="000000" w:themeColor="text1"/>
        </w:rPr>
        <w:t>t</w:t>
      </w:r>
      <w:r w:rsidRPr="2A085367">
        <w:rPr>
          <w:rFonts w:ascii="Times New Roman" w:eastAsiaTheme="minorEastAsia" w:hAnsi="Times New Roman" w:cs="Times New Roman"/>
          <w:color w:val="000000" w:themeColor="text1"/>
        </w:rPr>
        <w:t>a</w:t>
      </w:r>
      <w:r w:rsidR="5CD19D83" w:rsidRPr="2A085367">
        <w:rPr>
          <w:rFonts w:ascii="Times New Roman" w:eastAsiaTheme="minorEastAsia" w:hAnsi="Times New Roman" w:cs="Times New Roman"/>
          <w:color w:val="000000" w:themeColor="text1"/>
        </w:rPr>
        <w:t>c</w:t>
      </w:r>
      <w:r w:rsidRPr="2A085367">
        <w:rPr>
          <w:rFonts w:ascii="Times New Roman" w:eastAsiaTheme="minorEastAsia" w:hAnsi="Times New Roman" w:cs="Times New Roman"/>
          <w:color w:val="000000" w:themeColor="text1"/>
        </w:rPr>
        <w:t xml:space="preserve">ión de </w:t>
      </w:r>
      <w:r w:rsidR="5A44386A" w:rsidRPr="2A085367">
        <w:rPr>
          <w:rFonts w:ascii="Times New Roman" w:eastAsiaTheme="minorEastAsia" w:hAnsi="Times New Roman" w:cs="Times New Roman"/>
          <w:color w:val="000000" w:themeColor="text1"/>
        </w:rPr>
        <w:t>l</w:t>
      </w:r>
      <w:r w:rsidRPr="2A085367">
        <w:rPr>
          <w:rFonts w:ascii="Times New Roman" w:eastAsiaTheme="minorEastAsia" w:hAnsi="Times New Roman" w:cs="Times New Roman"/>
          <w:color w:val="000000" w:themeColor="text1"/>
        </w:rPr>
        <w:t>os Hechos Económicos, del Marco Normativa para Entidades de Gobierno</w:t>
      </w:r>
      <w:r w:rsidR="2C4A914A" w:rsidRPr="2A085367">
        <w:rPr>
          <w:rFonts w:ascii="Times New Roman" w:eastAsiaTheme="minorEastAsia" w:hAnsi="Times New Roman" w:cs="Times New Roman"/>
          <w:color w:val="000000" w:themeColor="text1"/>
        </w:rPr>
        <w:t>,</w:t>
      </w:r>
      <w:r w:rsidRPr="2A085367">
        <w:rPr>
          <w:rFonts w:ascii="Times New Roman" w:eastAsiaTheme="minorEastAsia" w:hAnsi="Times New Roman" w:cs="Times New Roman"/>
          <w:color w:val="000000" w:themeColor="text1"/>
        </w:rPr>
        <w:t xml:space="preserve"> con el fin de excluir e</w:t>
      </w:r>
      <w:r w:rsidR="2FB331A0" w:rsidRPr="2A085367">
        <w:rPr>
          <w:rFonts w:ascii="Times New Roman" w:eastAsiaTheme="minorEastAsia" w:hAnsi="Times New Roman" w:cs="Times New Roman"/>
          <w:color w:val="000000" w:themeColor="text1"/>
        </w:rPr>
        <w:t>l</w:t>
      </w:r>
      <w:r w:rsidRPr="2A085367">
        <w:rPr>
          <w:rFonts w:ascii="Times New Roman" w:eastAsiaTheme="minorEastAsia" w:hAnsi="Times New Roman" w:cs="Times New Roman"/>
          <w:color w:val="000000" w:themeColor="text1"/>
        </w:rPr>
        <w:t xml:space="preserve"> estado de flujos de efectivo del juego completo de estados financieros</w:t>
      </w:r>
      <w:r w:rsidR="0D08DA4A" w:rsidRPr="2A085367">
        <w:rPr>
          <w:rFonts w:ascii="Times New Roman" w:eastAsiaTheme="minorEastAsia" w:hAnsi="Times New Roman" w:cs="Times New Roman"/>
          <w:color w:val="000000" w:themeColor="text1"/>
        </w:rPr>
        <w:t>.</w:t>
      </w:r>
    </w:p>
    <w:p w14:paraId="6928684B" w14:textId="64BEAE9E" w:rsidR="7C539857" w:rsidRDefault="7C539857" w:rsidP="000A5389">
      <w:pPr>
        <w:pStyle w:val="Default"/>
        <w:numPr>
          <w:ilvl w:val="0"/>
          <w:numId w:val="20"/>
        </w:numPr>
        <w:jc w:val="both"/>
        <w:rPr>
          <w:rFonts w:ascii="Times New Roman" w:eastAsia="Times New Roman" w:hAnsi="Times New Roman" w:cs="Times New Roman"/>
          <w:color w:val="000000" w:themeColor="text1"/>
        </w:rPr>
      </w:pPr>
      <w:r w:rsidRPr="2A085367">
        <w:rPr>
          <w:rFonts w:ascii="Times New Roman" w:eastAsiaTheme="minorEastAsia" w:hAnsi="Times New Roman" w:cs="Times New Roman"/>
          <w:b/>
          <w:bCs/>
          <w:color w:val="000000" w:themeColor="text1"/>
        </w:rPr>
        <w:t xml:space="preserve">Resolución </w:t>
      </w:r>
      <w:r w:rsidR="13BA434E" w:rsidRPr="2336F494">
        <w:rPr>
          <w:rFonts w:ascii="Times New Roman" w:eastAsiaTheme="minorEastAsia" w:hAnsi="Times New Roman" w:cs="Times New Roman"/>
          <w:b/>
          <w:bCs/>
          <w:color w:val="000000" w:themeColor="text1"/>
        </w:rPr>
        <w:t>CGN</w:t>
      </w:r>
      <w:r w:rsidR="61C084C6" w:rsidRPr="2336F494">
        <w:rPr>
          <w:rFonts w:ascii="Times New Roman" w:eastAsiaTheme="minorEastAsia" w:hAnsi="Times New Roman" w:cs="Times New Roman"/>
          <w:b/>
          <w:bCs/>
          <w:color w:val="000000" w:themeColor="text1"/>
        </w:rPr>
        <w:t xml:space="preserve"> </w:t>
      </w:r>
      <w:r w:rsidRPr="2A085367">
        <w:rPr>
          <w:rFonts w:ascii="Times New Roman" w:eastAsiaTheme="minorEastAsia" w:hAnsi="Times New Roman" w:cs="Times New Roman"/>
          <w:b/>
          <w:bCs/>
          <w:color w:val="000000" w:themeColor="text1"/>
        </w:rPr>
        <w:t>No. 347 del 4 de diciembre de 2025</w:t>
      </w:r>
      <w:r w:rsidRPr="2A085367">
        <w:rPr>
          <w:rFonts w:ascii="Times New Roman" w:eastAsiaTheme="minorEastAsia" w:hAnsi="Times New Roman" w:cs="Times New Roman"/>
          <w:color w:val="000000" w:themeColor="text1"/>
        </w:rPr>
        <w:t xml:space="preserve">. </w:t>
      </w:r>
      <w:r w:rsidR="78481C8C" w:rsidRPr="2336F494">
        <w:rPr>
          <w:rFonts w:ascii="Times New Roman" w:eastAsiaTheme="minorEastAsia" w:hAnsi="Times New Roman" w:cs="Times New Roman"/>
          <w:color w:val="000000" w:themeColor="text1"/>
        </w:rPr>
        <w:t>I</w:t>
      </w:r>
      <w:r w:rsidR="6A1FB200" w:rsidRPr="2336F494">
        <w:rPr>
          <w:rFonts w:ascii="Times New Roman" w:eastAsia="Times New Roman" w:hAnsi="Times New Roman" w:cs="Times New Roman"/>
          <w:color w:val="000000" w:themeColor="text1"/>
        </w:rPr>
        <w:t>ncorpora</w:t>
      </w:r>
      <w:r w:rsidR="33BCAFC0" w:rsidRPr="5B0C84B6">
        <w:rPr>
          <w:rFonts w:ascii="Times New Roman" w:eastAsia="Times New Roman" w:hAnsi="Times New Roman" w:cs="Times New Roman"/>
          <w:color w:val="000000" w:themeColor="text1"/>
        </w:rPr>
        <w:t xml:space="preserve"> el Procedimiento para la evaluación del control interno contable en los Procedimientos Transversales del Régimen de Contabilidad Pública y se deroga la Resolución 193 de 2016</w:t>
      </w:r>
      <w:r w:rsidR="05D0E7C8" w:rsidRPr="5B0C84B6">
        <w:rPr>
          <w:rFonts w:ascii="Times New Roman" w:eastAsia="Times New Roman" w:hAnsi="Times New Roman" w:cs="Times New Roman"/>
          <w:color w:val="000000" w:themeColor="text1"/>
        </w:rPr>
        <w:t>.</w:t>
      </w:r>
    </w:p>
    <w:p w14:paraId="26E9EFF9" w14:textId="38B74264" w:rsidR="00FE6C47" w:rsidRPr="00951AB1" w:rsidRDefault="00FE6C47" w:rsidP="000A5389">
      <w:pPr>
        <w:pStyle w:val="Prrafodelista"/>
        <w:numPr>
          <w:ilvl w:val="0"/>
          <w:numId w:val="20"/>
        </w:numPr>
        <w:spacing w:line="240" w:lineRule="auto"/>
        <w:ind w:right="-20"/>
        <w:rPr>
          <w:rFonts w:eastAsia="Times New Roman" w:cs="Times New Roman"/>
          <w:szCs w:val="24"/>
        </w:rPr>
      </w:pPr>
      <w:r w:rsidRPr="00951AB1">
        <w:rPr>
          <w:rFonts w:cs="Times New Roman"/>
          <w:color w:val="000000" w:themeColor="text1"/>
          <w:szCs w:val="24"/>
          <w:lang w:eastAsia="es-CO"/>
        </w:rPr>
        <w:t>La Doctrina Contable Pública y demás normas, que para el efecto expida la Contaduría General de la Nación y que sean de aplicación de la Agencia Nacional de Infraestructura.</w:t>
      </w:r>
    </w:p>
    <w:p w14:paraId="445C64E8" w14:textId="2369B8BF" w:rsidR="00FE6C47" w:rsidRPr="00951AB1" w:rsidRDefault="00FE6C47" w:rsidP="000A5389">
      <w:pPr>
        <w:spacing w:line="240" w:lineRule="auto"/>
        <w:ind w:right="-20"/>
        <w:rPr>
          <w:rFonts w:eastAsia="Times New Roman" w:cs="Times New Roman"/>
          <w:szCs w:val="24"/>
        </w:rPr>
      </w:pPr>
    </w:p>
    <w:p w14:paraId="6F80DA96" w14:textId="2A6D6CE7" w:rsidR="00FE6C47" w:rsidRPr="00951AB1" w:rsidRDefault="00FE6C47" w:rsidP="000A5389">
      <w:pPr>
        <w:spacing w:line="240" w:lineRule="auto"/>
        <w:ind w:right="-20"/>
        <w:rPr>
          <w:rFonts w:eastAsia="Times New Roman" w:cs="Times New Roman"/>
          <w:szCs w:val="24"/>
        </w:rPr>
      </w:pPr>
      <w:r w:rsidRPr="00951AB1">
        <w:rPr>
          <w:rFonts w:eastAsia="Times New Roman" w:cs="Times New Roman"/>
          <w:szCs w:val="24"/>
        </w:rPr>
        <w:t>Normas aplicadas por la Entidad e incorporadas en el Manual de Políticas Contables para reconocer, registrar, medir, revelar y presentar sus hechos económicos, en los estados financieros con corte a diciembre 31 de 202</w:t>
      </w:r>
      <w:r w:rsidR="3BA82A16" w:rsidRPr="00951AB1">
        <w:rPr>
          <w:rFonts w:eastAsia="Times New Roman" w:cs="Times New Roman"/>
          <w:szCs w:val="24"/>
        </w:rPr>
        <w:t>5</w:t>
      </w:r>
      <w:r w:rsidRPr="00951AB1">
        <w:rPr>
          <w:rFonts w:eastAsia="Times New Roman" w:cs="Times New Roman"/>
          <w:szCs w:val="24"/>
        </w:rPr>
        <w:t>.</w:t>
      </w:r>
    </w:p>
    <w:p w14:paraId="3D4E953E" w14:textId="77777777" w:rsidR="00FE6C47" w:rsidRPr="00951AB1" w:rsidRDefault="00FE6C47" w:rsidP="000A5389">
      <w:pPr>
        <w:spacing w:line="240" w:lineRule="auto"/>
        <w:ind w:left="-20" w:right="-20"/>
        <w:rPr>
          <w:rFonts w:cs="Times New Roman"/>
          <w:szCs w:val="24"/>
        </w:rPr>
      </w:pPr>
    </w:p>
    <w:p w14:paraId="0AC042F8" w14:textId="2DF8D052" w:rsidR="00FE6C47" w:rsidRPr="00951AB1" w:rsidRDefault="00FE6C47" w:rsidP="000A5389">
      <w:pPr>
        <w:spacing w:line="240" w:lineRule="auto"/>
        <w:ind w:left="-20" w:right="-20"/>
        <w:rPr>
          <w:rFonts w:eastAsia="Times New Roman" w:cs="Times New Roman"/>
          <w:szCs w:val="24"/>
        </w:rPr>
      </w:pPr>
      <w:r w:rsidRPr="00951AB1">
        <w:rPr>
          <w:rFonts w:eastAsia="Times New Roman" w:cs="Times New Roman"/>
          <w:szCs w:val="24"/>
        </w:rPr>
        <w:t>La ANI, cuenta con el Comité Técnico de Sostenibilidad del Sistema de Contabilidad</w:t>
      </w:r>
      <w:r w:rsidR="3DC7A87A" w:rsidRPr="5B0C84B6">
        <w:rPr>
          <w:rFonts w:eastAsia="Times New Roman" w:cs="Times New Roman"/>
          <w:szCs w:val="24"/>
        </w:rPr>
        <w:t xml:space="preserve"> Pública</w:t>
      </w:r>
      <w:r w:rsidRPr="00951AB1">
        <w:rPr>
          <w:rFonts w:eastAsia="Times New Roman" w:cs="Times New Roman"/>
          <w:szCs w:val="24"/>
        </w:rPr>
        <w:t xml:space="preserve">, conformado mediante </w:t>
      </w:r>
      <w:r w:rsidR="14E40159" w:rsidRPr="5B0C84B6">
        <w:rPr>
          <w:rFonts w:eastAsia="Times New Roman" w:cs="Times New Roman"/>
          <w:szCs w:val="24"/>
        </w:rPr>
        <w:t xml:space="preserve">la </w:t>
      </w:r>
      <w:r w:rsidRPr="00951AB1">
        <w:rPr>
          <w:rFonts w:eastAsia="Times New Roman" w:cs="Times New Roman"/>
          <w:szCs w:val="24"/>
        </w:rPr>
        <w:t xml:space="preserve">Resolución No. </w:t>
      </w:r>
      <w:r w:rsidR="11F061AA" w:rsidRPr="5B0C84B6">
        <w:rPr>
          <w:rFonts w:eastAsia="Times New Roman" w:cs="Times New Roman"/>
          <w:szCs w:val="24"/>
        </w:rPr>
        <w:t>334 de</w:t>
      </w:r>
      <w:r w:rsidR="149B1884" w:rsidRPr="5B0C84B6">
        <w:rPr>
          <w:rFonts w:eastAsia="Times New Roman" w:cs="Times New Roman"/>
          <w:szCs w:val="24"/>
        </w:rPr>
        <w:t>l 15</w:t>
      </w:r>
      <w:r w:rsidRPr="00951AB1">
        <w:rPr>
          <w:rFonts w:eastAsia="Times New Roman" w:cs="Times New Roman"/>
          <w:szCs w:val="24"/>
        </w:rPr>
        <w:t xml:space="preserve"> de junio de 2012 y modificado mediante la Resolución 429 </w:t>
      </w:r>
      <w:r w:rsidR="11F061AA" w:rsidRPr="5B0C84B6">
        <w:rPr>
          <w:rFonts w:eastAsia="Times New Roman" w:cs="Times New Roman"/>
          <w:szCs w:val="24"/>
        </w:rPr>
        <w:t>de</w:t>
      </w:r>
      <w:r w:rsidR="78D19CC5" w:rsidRPr="5B0C84B6">
        <w:rPr>
          <w:rFonts w:eastAsia="Times New Roman" w:cs="Times New Roman"/>
          <w:szCs w:val="24"/>
        </w:rPr>
        <w:t xml:space="preserve">l 4 de marzo </w:t>
      </w:r>
      <w:r w:rsidRPr="00951AB1">
        <w:rPr>
          <w:rFonts w:eastAsia="Times New Roman" w:cs="Times New Roman"/>
          <w:szCs w:val="24"/>
        </w:rPr>
        <w:t xml:space="preserve">de 2014, como instancia asesora para determinar y fijar políticas de sostenibilidad del sistema de contabilidad </w:t>
      </w:r>
      <w:r w:rsidR="6EB638B5" w:rsidRPr="5B0C84B6">
        <w:rPr>
          <w:rFonts w:eastAsia="Times New Roman" w:cs="Times New Roman"/>
          <w:szCs w:val="24"/>
        </w:rPr>
        <w:t>pública</w:t>
      </w:r>
      <w:r w:rsidR="11F061AA" w:rsidRPr="5B0C84B6">
        <w:rPr>
          <w:rFonts w:eastAsia="Times New Roman" w:cs="Times New Roman"/>
          <w:szCs w:val="24"/>
        </w:rPr>
        <w:t xml:space="preserve"> </w:t>
      </w:r>
      <w:r w:rsidRPr="00951AB1">
        <w:rPr>
          <w:rFonts w:eastAsia="Times New Roman" w:cs="Times New Roman"/>
          <w:szCs w:val="24"/>
        </w:rPr>
        <w:t>de la entidad.</w:t>
      </w:r>
    </w:p>
    <w:p w14:paraId="0CD5D699" w14:textId="77777777" w:rsidR="00FE6C47" w:rsidRPr="00951AB1" w:rsidRDefault="00FE6C47" w:rsidP="000A5389">
      <w:pPr>
        <w:spacing w:line="240" w:lineRule="auto"/>
        <w:ind w:left="-20" w:right="-20"/>
        <w:rPr>
          <w:rFonts w:cs="Times New Roman"/>
          <w:szCs w:val="24"/>
        </w:rPr>
      </w:pPr>
    </w:p>
    <w:p w14:paraId="02966F65" w14:textId="6DD9B168" w:rsidR="00FE6C47" w:rsidRPr="00951AB1" w:rsidRDefault="00FE6C47" w:rsidP="000A5389">
      <w:pPr>
        <w:spacing w:line="240" w:lineRule="auto"/>
        <w:ind w:left="-20" w:right="-20"/>
        <w:rPr>
          <w:rFonts w:eastAsia="Times New Roman" w:cs="Times New Roman"/>
          <w:szCs w:val="24"/>
        </w:rPr>
      </w:pPr>
      <w:r w:rsidRPr="00951AB1">
        <w:rPr>
          <w:rFonts w:eastAsia="Times New Roman" w:cs="Times New Roman"/>
          <w:szCs w:val="24"/>
        </w:rPr>
        <w:t>Para el cierre contable del período, la Agencia siguió los lineamientos indicados en el Instructivo CGN No. 001 del 202</w:t>
      </w:r>
      <w:r w:rsidR="5C50550D" w:rsidRPr="00951AB1">
        <w:rPr>
          <w:rFonts w:eastAsia="Times New Roman" w:cs="Times New Roman"/>
          <w:szCs w:val="24"/>
        </w:rPr>
        <w:t>5</w:t>
      </w:r>
      <w:r w:rsidRPr="00951AB1">
        <w:rPr>
          <w:rFonts w:eastAsia="Times New Roman" w:cs="Times New Roman"/>
          <w:szCs w:val="24"/>
        </w:rPr>
        <w:t>, mediante el cual se impartieron directrices</w:t>
      </w:r>
      <w:r w:rsidRPr="00951AB1">
        <w:rPr>
          <w:rFonts w:cs="Times New Roman"/>
          <w:color w:val="111211"/>
          <w:szCs w:val="24"/>
          <w:lang w:eastAsia="es-CO"/>
        </w:rPr>
        <w:t xml:space="preserve"> </w:t>
      </w:r>
      <w:r w:rsidRPr="00951AB1">
        <w:rPr>
          <w:rFonts w:eastAsia="Times New Roman" w:cs="Times New Roman"/>
          <w:szCs w:val="24"/>
        </w:rPr>
        <w:t>dirigidas a las entidades públicas para el cambio del periodo contable 202</w:t>
      </w:r>
      <w:r w:rsidR="70BF24BD" w:rsidRPr="00951AB1">
        <w:rPr>
          <w:rFonts w:eastAsia="Times New Roman" w:cs="Times New Roman"/>
          <w:szCs w:val="24"/>
        </w:rPr>
        <w:t>5</w:t>
      </w:r>
      <w:r w:rsidRPr="00951AB1">
        <w:rPr>
          <w:rFonts w:eastAsia="Times New Roman" w:cs="Times New Roman"/>
          <w:szCs w:val="24"/>
        </w:rPr>
        <w:t>-202</w:t>
      </w:r>
      <w:r w:rsidR="77DD8A3C" w:rsidRPr="00951AB1">
        <w:rPr>
          <w:rFonts w:eastAsia="Times New Roman" w:cs="Times New Roman"/>
          <w:szCs w:val="24"/>
        </w:rPr>
        <w:t>6</w:t>
      </w:r>
      <w:r w:rsidRPr="00951AB1">
        <w:rPr>
          <w:rFonts w:eastAsia="Times New Roman" w:cs="Times New Roman"/>
          <w:szCs w:val="24"/>
        </w:rPr>
        <w:t>, en cuanto el reporte de información a la CGN y otros asuntos relacionados con el proceso contable.</w:t>
      </w:r>
    </w:p>
    <w:p w14:paraId="603C37ED" w14:textId="77777777" w:rsidR="00FE6C47" w:rsidRPr="00951AB1" w:rsidRDefault="00FE6C47" w:rsidP="000A5389">
      <w:pPr>
        <w:spacing w:line="240" w:lineRule="auto"/>
        <w:ind w:left="-20" w:right="-20"/>
        <w:rPr>
          <w:rFonts w:cs="Times New Roman"/>
          <w:szCs w:val="24"/>
        </w:rPr>
      </w:pPr>
    </w:p>
    <w:p w14:paraId="543DBAD4" w14:textId="6D06726A" w:rsidR="10A7ADE9" w:rsidRPr="00951AB1" w:rsidRDefault="10A7ADE9" w:rsidP="000A5389">
      <w:pPr>
        <w:spacing w:line="240" w:lineRule="auto"/>
        <w:rPr>
          <w:rFonts w:cs="Times New Roman"/>
        </w:rPr>
      </w:pPr>
      <w:r w:rsidRPr="00951AB1">
        <w:rPr>
          <w:rFonts w:eastAsia="Times New Roman" w:cs="Times New Roman"/>
          <w:szCs w:val="24"/>
        </w:rPr>
        <w:t xml:space="preserve">En la vigencia 2025, la Agencia adelantó las actividades del plan de trabajo suscrito con la CGN, para contrarrestar las limitaciones que se describen más adelante, relacionadas con la implementación de la Norma de Acuerdos de Concesión desde la perspectiva de la entidad concedente en </w:t>
      </w:r>
      <w:r w:rsidR="5132D885" w:rsidRPr="5B0C84B6">
        <w:rPr>
          <w:rFonts w:eastAsia="Times New Roman" w:cs="Times New Roman"/>
          <w:szCs w:val="24"/>
        </w:rPr>
        <w:t>lo</w:t>
      </w:r>
      <w:r w:rsidRPr="00951AB1">
        <w:rPr>
          <w:rFonts w:eastAsia="Times New Roman" w:cs="Times New Roman"/>
          <w:szCs w:val="24"/>
        </w:rPr>
        <w:t xml:space="preserve"> correspondiente a: i) Reconocimiento por separado de los terrenos y los bienes de infraestructura; ii) Determinar los componentes de los activos para los bienes de uso público y propiedades, planta y equipo en concesión; iii) Determinar la vida útil de los activos concesionados y su posterior depreciación, evaluar los indicios de deterioro de valor </w:t>
      </w:r>
      <w:r w:rsidRPr="00951AB1">
        <w:rPr>
          <w:rFonts w:eastAsia="Times New Roman" w:cs="Times New Roman"/>
          <w:szCs w:val="24"/>
        </w:rPr>
        <w:lastRenderedPageBreak/>
        <w:t xml:space="preserve">y,  iv) la medición e incorporación de los activos de infraestructura que se encontraban concesionados antes del 01 de enero de 2018. </w:t>
      </w:r>
    </w:p>
    <w:p w14:paraId="70B9B1F4" w14:textId="5F71B961" w:rsidR="10A7ADE9" w:rsidRPr="00951AB1" w:rsidRDefault="10A7ADE9" w:rsidP="000A5389">
      <w:pPr>
        <w:spacing w:line="240" w:lineRule="auto"/>
        <w:rPr>
          <w:rFonts w:cs="Times New Roman"/>
        </w:rPr>
      </w:pPr>
      <w:r w:rsidRPr="00951AB1">
        <w:rPr>
          <w:rFonts w:eastAsia="Times New Roman" w:cs="Times New Roman"/>
          <w:szCs w:val="24"/>
        </w:rPr>
        <w:t xml:space="preserve"> </w:t>
      </w:r>
    </w:p>
    <w:p w14:paraId="4F7D76D8" w14:textId="0F3BC4C1" w:rsidR="10A7ADE9" w:rsidRPr="00951AB1" w:rsidRDefault="10A7ADE9" w:rsidP="000A5389">
      <w:pPr>
        <w:spacing w:line="240" w:lineRule="auto"/>
        <w:rPr>
          <w:rFonts w:cs="Times New Roman"/>
        </w:rPr>
      </w:pPr>
      <w:r w:rsidRPr="00951AB1">
        <w:rPr>
          <w:rFonts w:eastAsia="Times New Roman" w:cs="Times New Roman"/>
          <w:szCs w:val="24"/>
        </w:rPr>
        <w:t xml:space="preserve">Frente al reconocimiento por separado de los terrenos, la Agencia ha adelantado actividades para el registro contable de los valores relacionados con la adquisición predial, presentando mayor avance en los proyectos carretero de cuarta, tercera, segunda y primera generación, así como en el modo férreo. </w:t>
      </w:r>
    </w:p>
    <w:p w14:paraId="3CC12564" w14:textId="471BD5CD" w:rsidR="10A7ADE9" w:rsidRPr="00951AB1" w:rsidRDefault="10A7ADE9" w:rsidP="000A5389">
      <w:pPr>
        <w:spacing w:line="240" w:lineRule="auto"/>
        <w:rPr>
          <w:rFonts w:cs="Times New Roman"/>
        </w:rPr>
      </w:pPr>
      <w:r w:rsidRPr="00951AB1">
        <w:rPr>
          <w:rFonts w:eastAsia="Times New Roman" w:cs="Times New Roman"/>
          <w:szCs w:val="24"/>
        </w:rPr>
        <w:t xml:space="preserve"> </w:t>
      </w:r>
    </w:p>
    <w:p w14:paraId="5FB1954E" w14:textId="270C0B65" w:rsidR="10A7ADE9" w:rsidRPr="00951AB1" w:rsidRDefault="10A7ADE9" w:rsidP="000A5389">
      <w:pPr>
        <w:spacing w:line="240" w:lineRule="auto"/>
        <w:rPr>
          <w:rFonts w:cs="Times New Roman"/>
        </w:rPr>
      </w:pPr>
      <w:r w:rsidRPr="00951AB1">
        <w:rPr>
          <w:rFonts w:eastAsia="Times New Roman" w:cs="Times New Roman"/>
          <w:szCs w:val="24"/>
        </w:rPr>
        <w:t xml:space="preserve">En lo relacionado con la determinación de los componentes de activos, para el modo de transporte carretero, se diseñó un formato para identificar y clasificar las propiedades, planta y equipo y los activos intangibles en concesión de los bienes de uso público. No obstante, se han identificado situaciones como bajas de activos y reemplazos que requieren de un análisis detallado, lo que implicaría ajustes al formato establecido, igualmente ocurre para los modos portuario y férreo.  </w:t>
      </w:r>
    </w:p>
    <w:p w14:paraId="1CE38C67" w14:textId="384A20E9" w:rsidR="10A7ADE9" w:rsidRPr="00951AB1" w:rsidRDefault="10A7ADE9" w:rsidP="000A5389">
      <w:pPr>
        <w:spacing w:line="240" w:lineRule="auto"/>
        <w:rPr>
          <w:rFonts w:cs="Times New Roman"/>
        </w:rPr>
      </w:pPr>
      <w:r w:rsidRPr="00951AB1">
        <w:rPr>
          <w:rFonts w:eastAsia="Times New Roman" w:cs="Times New Roman"/>
          <w:szCs w:val="24"/>
        </w:rPr>
        <w:t xml:space="preserve">  </w:t>
      </w:r>
    </w:p>
    <w:p w14:paraId="683B7111" w14:textId="34D15FE0" w:rsidR="10A7ADE9" w:rsidRPr="00951AB1" w:rsidRDefault="10A7ADE9" w:rsidP="000A5389">
      <w:pPr>
        <w:spacing w:line="240" w:lineRule="auto"/>
        <w:rPr>
          <w:rFonts w:cs="Times New Roman"/>
        </w:rPr>
      </w:pPr>
      <w:r w:rsidRPr="00951AB1">
        <w:rPr>
          <w:rFonts w:eastAsia="Times New Roman" w:cs="Times New Roman"/>
          <w:szCs w:val="24"/>
        </w:rPr>
        <w:t xml:space="preserve">Respecto a la actividad de determinar las vidas útiles de los activos concesionados y su posterior depreciación, se han explorado alternativas como los son requerimientos de información a los concesionarios sobre los métodos adoptados y el desarrollo de una metodología de reconocido valor técnico que soporte la determinación de estos conceptos y que permita efectuar un adecuado reconocimiento contable de los mismos. Aun así, la implementación de un sistema de información geográfica detallado es un componente esencial para establecer un sistema de gestión de activos de infraestructura eficaz en el sector transporte. </w:t>
      </w:r>
    </w:p>
    <w:p w14:paraId="56B55240" w14:textId="0AFE069E" w:rsidR="10A7ADE9" w:rsidRPr="00951AB1" w:rsidRDefault="10A7ADE9" w:rsidP="000A5389">
      <w:pPr>
        <w:spacing w:line="240" w:lineRule="auto"/>
        <w:rPr>
          <w:rFonts w:cs="Times New Roman"/>
        </w:rPr>
      </w:pPr>
      <w:r w:rsidRPr="00951AB1">
        <w:rPr>
          <w:rFonts w:eastAsia="Times New Roman" w:cs="Times New Roman"/>
          <w:szCs w:val="24"/>
        </w:rPr>
        <w:t xml:space="preserve"> </w:t>
      </w:r>
    </w:p>
    <w:p w14:paraId="712D52FE" w14:textId="48B1AD6D" w:rsidR="10A7ADE9" w:rsidRPr="00951AB1" w:rsidRDefault="10A7ADE9" w:rsidP="000A5389">
      <w:pPr>
        <w:spacing w:line="240" w:lineRule="auto"/>
        <w:rPr>
          <w:rFonts w:cs="Times New Roman"/>
        </w:rPr>
      </w:pPr>
      <w:r w:rsidRPr="00951AB1">
        <w:rPr>
          <w:rFonts w:eastAsia="Times New Roman" w:cs="Times New Roman"/>
          <w:szCs w:val="24"/>
        </w:rPr>
        <w:t xml:space="preserve">El "Sistema de Gestión de Activos de Infraestructura de Transporte" es un proyecto en el que se encuentran trabajando las entidades adscritas al sector transporte, lideradas por el Ministerio de Transporte, este tiene como objetivo principal realizar la identificación, inventario, diagnóstico y valoración de los activos de los modos de transporte como lo son: carretero, ferroviario, fluvial, marítimo y aeroportuario. </w:t>
      </w:r>
    </w:p>
    <w:p w14:paraId="25357520" w14:textId="694D5C25" w:rsidR="10A7ADE9" w:rsidRPr="00951AB1" w:rsidRDefault="10A7ADE9" w:rsidP="000A5389">
      <w:pPr>
        <w:spacing w:line="240" w:lineRule="auto"/>
        <w:rPr>
          <w:rFonts w:cs="Times New Roman"/>
        </w:rPr>
      </w:pPr>
      <w:r w:rsidRPr="00951AB1">
        <w:rPr>
          <w:rFonts w:eastAsia="Times New Roman" w:cs="Times New Roman"/>
          <w:szCs w:val="24"/>
        </w:rPr>
        <w:t xml:space="preserve"> </w:t>
      </w:r>
    </w:p>
    <w:p w14:paraId="23F7B517" w14:textId="5413BF04" w:rsidR="10A7ADE9" w:rsidRPr="00951AB1" w:rsidRDefault="10A7ADE9" w:rsidP="000A5389">
      <w:pPr>
        <w:spacing w:line="240" w:lineRule="auto"/>
        <w:rPr>
          <w:rFonts w:cs="Times New Roman"/>
        </w:rPr>
      </w:pPr>
      <w:r w:rsidRPr="00951AB1">
        <w:rPr>
          <w:rFonts w:eastAsia="Times New Roman" w:cs="Times New Roman"/>
          <w:szCs w:val="24"/>
        </w:rPr>
        <w:t xml:space="preserve">Sin embargo, los modos aeroportuario, ferroviario, fluvial y marítimo aún no cuentan con una normativa específica para clasificación y codificación de inventarios de activos, y de manera general no se identifican metodologías de depreciación para la infraestructura de transporte, temas que serán abordados en el desarrollo del mencionado proyecto. </w:t>
      </w:r>
    </w:p>
    <w:p w14:paraId="3FB614FD" w14:textId="270C6EAD" w:rsidR="10A7ADE9" w:rsidRPr="00951AB1" w:rsidRDefault="10A7ADE9" w:rsidP="000A5389">
      <w:pPr>
        <w:spacing w:line="240" w:lineRule="auto"/>
        <w:rPr>
          <w:rFonts w:cs="Times New Roman"/>
        </w:rPr>
      </w:pPr>
      <w:r w:rsidRPr="00951AB1">
        <w:rPr>
          <w:rFonts w:eastAsia="Times New Roman" w:cs="Times New Roman"/>
          <w:szCs w:val="24"/>
        </w:rPr>
        <w:t xml:space="preserve">Dentro de las actividades realizadas en cumplimiento del plan de trabajo suscrito para dar aplicación a la Norma de Acuerdos de Concesión desde la perspectiva de la entidad concedente, encontramos: </w:t>
      </w:r>
    </w:p>
    <w:p w14:paraId="68815F27" w14:textId="3D8EC7A5" w:rsidR="10A7ADE9" w:rsidRPr="00951AB1" w:rsidRDefault="10A7ADE9" w:rsidP="000A5389">
      <w:pPr>
        <w:spacing w:line="240" w:lineRule="auto"/>
        <w:rPr>
          <w:rFonts w:cs="Times New Roman"/>
        </w:rPr>
      </w:pPr>
      <w:r w:rsidRPr="00951AB1">
        <w:rPr>
          <w:rFonts w:eastAsia="Times New Roman" w:cs="Times New Roman"/>
          <w:szCs w:val="24"/>
        </w:rPr>
        <w:t xml:space="preserve"> </w:t>
      </w:r>
    </w:p>
    <w:p w14:paraId="1597B510" w14:textId="77777777" w:rsidR="00512B77" w:rsidRDefault="10A7ADE9" w:rsidP="00512B77">
      <w:pPr>
        <w:pStyle w:val="Prrafodelista"/>
        <w:numPr>
          <w:ilvl w:val="0"/>
          <w:numId w:val="121"/>
        </w:numPr>
        <w:spacing w:line="240" w:lineRule="auto"/>
        <w:rPr>
          <w:rFonts w:eastAsia="Times New Roman" w:cs="Times New Roman"/>
          <w:szCs w:val="24"/>
        </w:rPr>
      </w:pPr>
      <w:r w:rsidRPr="00512B77">
        <w:rPr>
          <w:rFonts w:eastAsia="Times New Roman" w:cs="Times New Roman"/>
          <w:szCs w:val="24"/>
        </w:rPr>
        <w:t xml:space="preserve">La conformación de un equipo de trabajo interdisciplinario, conformado por las áreas técnicas y financieras de todos los modos de transporte, el área contable de la Vicepresidencia de Gestión Corporativa y el grupo interno de trabajo predial de la Vicepresidencia de Planeación, Riesgos y Entorno, con el propósito de adelantar las gestiones y actividades necesarias en pro de cumplir la Norma. </w:t>
      </w:r>
    </w:p>
    <w:p w14:paraId="2FDC79F7" w14:textId="77777777" w:rsidR="00512B77" w:rsidRDefault="00512B77" w:rsidP="00512B77">
      <w:pPr>
        <w:pStyle w:val="Prrafodelista"/>
        <w:spacing w:line="240" w:lineRule="auto"/>
        <w:rPr>
          <w:rFonts w:eastAsia="Times New Roman" w:cs="Times New Roman"/>
          <w:szCs w:val="24"/>
        </w:rPr>
      </w:pPr>
    </w:p>
    <w:p w14:paraId="21299976" w14:textId="7809ED2B" w:rsidR="10A7ADE9" w:rsidRPr="00512B77" w:rsidRDefault="10A7ADE9" w:rsidP="00512B77">
      <w:pPr>
        <w:pStyle w:val="Prrafodelista"/>
        <w:numPr>
          <w:ilvl w:val="0"/>
          <w:numId w:val="121"/>
        </w:numPr>
        <w:spacing w:line="240" w:lineRule="auto"/>
        <w:rPr>
          <w:rFonts w:eastAsia="Times New Roman" w:cs="Times New Roman"/>
          <w:szCs w:val="24"/>
        </w:rPr>
      </w:pPr>
      <w:r w:rsidRPr="00512B77">
        <w:rPr>
          <w:rFonts w:eastAsia="Times New Roman" w:cs="Times New Roman"/>
          <w:szCs w:val="24"/>
        </w:rPr>
        <w:lastRenderedPageBreak/>
        <w:t xml:space="preserve">La implementación de sistemas de información a nivel sectorial. </w:t>
      </w:r>
    </w:p>
    <w:p w14:paraId="46341160" w14:textId="265B1E8F" w:rsidR="10A7ADE9" w:rsidRPr="00951AB1" w:rsidRDefault="10A7ADE9" w:rsidP="000A5389">
      <w:pPr>
        <w:spacing w:line="240" w:lineRule="auto"/>
        <w:rPr>
          <w:rFonts w:cs="Times New Roman"/>
        </w:rPr>
      </w:pPr>
      <w:r w:rsidRPr="00951AB1">
        <w:rPr>
          <w:rFonts w:eastAsia="Times New Roman" w:cs="Times New Roman"/>
          <w:szCs w:val="24"/>
        </w:rPr>
        <w:t xml:space="preserve"> </w:t>
      </w:r>
    </w:p>
    <w:p w14:paraId="2FFC5D89" w14:textId="3360AD42" w:rsidR="10A7ADE9" w:rsidRPr="00951AB1" w:rsidRDefault="10A7ADE9" w:rsidP="000A5389">
      <w:pPr>
        <w:spacing w:line="240" w:lineRule="auto"/>
        <w:rPr>
          <w:rFonts w:cs="Times New Roman"/>
        </w:rPr>
      </w:pPr>
      <w:r w:rsidRPr="00951AB1">
        <w:rPr>
          <w:rFonts w:eastAsia="Times New Roman" w:cs="Times New Roman"/>
          <w:szCs w:val="24"/>
        </w:rPr>
        <w:t xml:space="preserve"> Es de anotar que entre las dificultades más importantes presentadas para el cumplimiento del Plan de Trabajo se encuentran: 1) Para la separación de terrenos, la antigüedad de los proyectos, dificultad en el levantamiento de la información y con ello, la falta de documentación de los predios. 2) En las vidas útiles, la ausencia de metodologías de depreciación sectoriales (Ani – Invias) 3) La construcción de políticas sectoriales, para la incorporación y reversión de las infraestructuras y los terrenos. 4) Limitación en el talento humano y deficiencia en el sistema de información tecnológico; por lo anterior, no es posible tramitar de forma manual tanta información.</w:t>
      </w:r>
    </w:p>
    <w:p w14:paraId="33605769" w14:textId="1DF03659" w:rsidR="10A7ADE9" w:rsidRPr="00951AB1" w:rsidRDefault="10A7ADE9" w:rsidP="000A5389">
      <w:pPr>
        <w:spacing w:line="240" w:lineRule="auto"/>
        <w:rPr>
          <w:rFonts w:cs="Times New Roman"/>
        </w:rPr>
      </w:pPr>
      <w:r w:rsidRPr="00951AB1">
        <w:rPr>
          <w:rFonts w:eastAsia="Times New Roman" w:cs="Times New Roman"/>
          <w:szCs w:val="24"/>
        </w:rPr>
        <w:t xml:space="preserve"> </w:t>
      </w:r>
    </w:p>
    <w:p w14:paraId="1D8C8390" w14:textId="54AEBFDB" w:rsidR="10A7ADE9" w:rsidRPr="00951AB1" w:rsidRDefault="10A7ADE9" w:rsidP="000A5389">
      <w:pPr>
        <w:spacing w:line="240" w:lineRule="auto"/>
        <w:rPr>
          <w:rFonts w:cs="Times New Roman"/>
        </w:rPr>
      </w:pPr>
      <w:r w:rsidRPr="00951AB1">
        <w:rPr>
          <w:rFonts w:eastAsia="Times New Roman" w:cs="Times New Roman"/>
          <w:szCs w:val="24"/>
        </w:rPr>
        <w:t xml:space="preserve">En atención a ello se requiere establecer una metodología para identificar y valorar predios no reconocidos en la Agencia Nacional de Infraestructura, en Colombia, en los proyectos de infraestructura de transporte. Dado que muchos de estos predios carecen de registros documentales, se propone la aplicación de una técnica de estimación basada en zonas homogéneas físicas y geoeconómicas avalada por la CGN No. 443 de 2014. </w:t>
      </w:r>
    </w:p>
    <w:p w14:paraId="66450697" w14:textId="68745E07" w:rsidR="10A7ADE9" w:rsidRPr="00951AB1" w:rsidRDefault="10A7ADE9" w:rsidP="000A5389">
      <w:pPr>
        <w:spacing w:line="240" w:lineRule="auto"/>
        <w:rPr>
          <w:rFonts w:cs="Times New Roman"/>
        </w:rPr>
      </w:pPr>
      <w:r w:rsidRPr="00951AB1">
        <w:rPr>
          <w:rFonts w:eastAsia="Times New Roman" w:cs="Times New Roman"/>
          <w:szCs w:val="24"/>
        </w:rPr>
        <w:t xml:space="preserve"> </w:t>
      </w:r>
    </w:p>
    <w:p w14:paraId="788B1CFF" w14:textId="73689868" w:rsidR="10A7ADE9" w:rsidRPr="00951AB1" w:rsidRDefault="10A7ADE9" w:rsidP="000A5389">
      <w:pPr>
        <w:spacing w:line="240" w:lineRule="auto"/>
        <w:rPr>
          <w:rFonts w:cs="Times New Roman"/>
        </w:rPr>
      </w:pPr>
      <w:r w:rsidRPr="00951AB1">
        <w:rPr>
          <w:rFonts w:eastAsia="Times New Roman" w:cs="Times New Roman"/>
          <w:b/>
          <w:bCs/>
          <w:szCs w:val="24"/>
        </w:rPr>
        <w:t>Gestiones adelantadas para el cierre de la vigencia</w:t>
      </w:r>
      <w:r w:rsidRPr="00951AB1">
        <w:rPr>
          <w:rFonts w:eastAsia="Times New Roman" w:cs="Times New Roman"/>
          <w:szCs w:val="24"/>
        </w:rPr>
        <w:t xml:space="preserve"> </w:t>
      </w:r>
    </w:p>
    <w:p w14:paraId="7D7C3EE7" w14:textId="583F8434" w:rsidR="10A7ADE9" w:rsidRPr="00951AB1" w:rsidRDefault="10A7ADE9" w:rsidP="000A5389">
      <w:pPr>
        <w:spacing w:line="240" w:lineRule="auto"/>
        <w:rPr>
          <w:rFonts w:cs="Times New Roman"/>
        </w:rPr>
      </w:pPr>
      <w:r w:rsidRPr="00951AB1">
        <w:rPr>
          <w:rFonts w:eastAsia="Times New Roman" w:cs="Times New Roman"/>
          <w:szCs w:val="24"/>
        </w:rPr>
        <w:t xml:space="preserve">  </w:t>
      </w:r>
    </w:p>
    <w:p w14:paraId="24892741" w14:textId="19E98294" w:rsidR="10A7ADE9" w:rsidRPr="00951AB1" w:rsidRDefault="10A7ADE9" w:rsidP="000A5389">
      <w:pPr>
        <w:spacing w:line="240" w:lineRule="auto"/>
        <w:rPr>
          <w:rFonts w:cs="Times New Roman"/>
        </w:rPr>
      </w:pPr>
      <w:r w:rsidRPr="00951AB1">
        <w:rPr>
          <w:rFonts w:eastAsia="Times New Roman" w:cs="Times New Roman"/>
          <w:szCs w:val="24"/>
          <w:u w:val="single"/>
        </w:rPr>
        <w:t>Modo Carretero:</w:t>
      </w:r>
      <w:r w:rsidRPr="00951AB1">
        <w:rPr>
          <w:rFonts w:eastAsia="Times New Roman" w:cs="Times New Roman"/>
          <w:szCs w:val="24"/>
        </w:rPr>
        <w:t xml:space="preserve">  Para cumplir con la norma en los proyectos de concesión del modo carretero, la Agencia utiliza una técnica de estimación y para ello ha desarrollado un modelo financiero con fines contables para poder determinar los criterios a utilizar para la medición y adecuada revelación de los activos y pasivos desarrollados en la ejecución del contrato de concesión y cuyo resultado están reflejados en los estados financieros de la Agencia a 31 de diciembre de 2025.  </w:t>
      </w:r>
    </w:p>
    <w:p w14:paraId="37B534CD" w14:textId="327A00CB" w:rsidR="10A7ADE9" w:rsidRPr="00951AB1" w:rsidRDefault="10A7ADE9" w:rsidP="000A5389">
      <w:pPr>
        <w:spacing w:line="240" w:lineRule="auto"/>
        <w:rPr>
          <w:rFonts w:cs="Times New Roman"/>
        </w:rPr>
      </w:pPr>
      <w:r w:rsidRPr="00951AB1">
        <w:rPr>
          <w:rFonts w:eastAsia="Times New Roman" w:cs="Times New Roman"/>
          <w:szCs w:val="24"/>
        </w:rPr>
        <w:t xml:space="preserve"> </w:t>
      </w:r>
    </w:p>
    <w:p w14:paraId="065158ED" w14:textId="543005C7" w:rsidR="10A7ADE9" w:rsidRPr="00951AB1" w:rsidRDefault="10A7ADE9" w:rsidP="000A5389">
      <w:pPr>
        <w:spacing w:line="240" w:lineRule="auto"/>
        <w:rPr>
          <w:rFonts w:cs="Times New Roman"/>
        </w:rPr>
      </w:pPr>
      <w:r w:rsidRPr="00951AB1">
        <w:rPr>
          <w:rFonts w:eastAsia="Times New Roman" w:cs="Times New Roman"/>
          <w:szCs w:val="24"/>
        </w:rPr>
        <w:t xml:space="preserve">Para la medición y reconocimiento de los activos asociados al modo carretero, se cuenta con la guía GADF-I-010 –Implementación del modelo financiero con fines contables que describe la metodología para el diligenciamiento del modelo financiero. En él, las interventorías y la entidad diligenciaran, revisaran y aprueban la información para el reconocimiento de los hechos económicos de los proyectos de concesión. </w:t>
      </w:r>
    </w:p>
    <w:p w14:paraId="19C70A00" w14:textId="5B72CC30" w:rsidR="10A7ADE9" w:rsidRPr="00951AB1" w:rsidRDefault="10A7ADE9" w:rsidP="000A5389">
      <w:pPr>
        <w:spacing w:line="240" w:lineRule="auto"/>
        <w:rPr>
          <w:rFonts w:cs="Times New Roman"/>
        </w:rPr>
      </w:pPr>
      <w:r w:rsidRPr="00951AB1">
        <w:rPr>
          <w:rFonts w:eastAsia="Times New Roman" w:cs="Times New Roman"/>
          <w:szCs w:val="24"/>
        </w:rPr>
        <w:t xml:space="preserve"> </w:t>
      </w:r>
    </w:p>
    <w:p w14:paraId="325D9AB4" w14:textId="6633EC5A" w:rsidR="10A7ADE9" w:rsidRPr="00951AB1" w:rsidRDefault="10A7ADE9" w:rsidP="000A5389">
      <w:pPr>
        <w:spacing w:line="240" w:lineRule="auto"/>
        <w:rPr>
          <w:rFonts w:cs="Times New Roman"/>
        </w:rPr>
      </w:pPr>
      <w:r w:rsidRPr="00951AB1">
        <w:rPr>
          <w:rFonts w:eastAsia="Times New Roman" w:cs="Times New Roman"/>
          <w:szCs w:val="24"/>
        </w:rPr>
        <w:t xml:space="preserve">Se diseñó e implementó la guía para la evaluación de indicios de deterioro de valor y su estimación sobre aquellos activos considerados materiales sin perjuicio de los cambios que se puedan presentar, una vez se adelanten las actividades previstas en los cronogramas del plan de trabajo suscritos.  </w:t>
      </w:r>
    </w:p>
    <w:p w14:paraId="2711A915" w14:textId="35B4334E" w:rsidR="10A7ADE9" w:rsidRPr="00951AB1" w:rsidRDefault="10A7ADE9" w:rsidP="000A5389">
      <w:pPr>
        <w:spacing w:line="240" w:lineRule="auto"/>
        <w:rPr>
          <w:rFonts w:cs="Times New Roman"/>
        </w:rPr>
      </w:pPr>
      <w:r w:rsidRPr="00951AB1">
        <w:rPr>
          <w:rFonts w:eastAsia="Times New Roman" w:cs="Times New Roman"/>
          <w:szCs w:val="24"/>
        </w:rPr>
        <w:t xml:space="preserve"> </w:t>
      </w:r>
    </w:p>
    <w:p w14:paraId="718BEFE0" w14:textId="3E882D42" w:rsidR="10A7ADE9" w:rsidRPr="00951AB1" w:rsidRDefault="10A7ADE9" w:rsidP="000A5389">
      <w:pPr>
        <w:spacing w:line="240" w:lineRule="auto"/>
        <w:rPr>
          <w:rFonts w:cs="Times New Roman"/>
        </w:rPr>
      </w:pPr>
      <w:r w:rsidRPr="00951AB1">
        <w:rPr>
          <w:rFonts w:eastAsia="Times New Roman" w:cs="Times New Roman"/>
          <w:szCs w:val="24"/>
        </w:rPr>
        <w:t xml:space="preserve">Las técnicas de estimación desarrolladas para el modo carretero tienen el propósito de revelar los hechos económicos de los contratos de concesión en los estados financieros de la entidad y en ningún caso servirá como criterio de interpretación en el marco de un Tribunal de Arbitramento, Amigable Componedor o de ningún otro mecanismo de solución de controversias. </w:t>
      </w:r>
    </w:p>
    <w:p w14:paraId="2FB34170" w14:textId="228F6901" w:rsidR="10A7ADE9" w:rsidRPr="00951AB1" w:rsidRDefault="10A7ADE9" w:rsidP="000A5389">
      <w:pPr>
        <w:spacing w:line="240" w:lineRule="auto"/>
        <w:rPr>
          <w:rFonts w:cs="Times New Roman"/>
        </w:rPr>
      </w:pPr>
      <w:r w:rsidRPr="00951AB1">
        <w:rPr>
          <w:rFonts w:eastAsia="Times New Roman" w:cs="Times New Roman"/>
          <w:szCs w:val="24"/>
        </w:rPr>
        <w:t xml:space="preserve"> </w:t>
      </w:r>
    </w:p>
    <w:p w14:paraId="5C642BA1" w14:textId="7E06761F" w:rsidR="10A7ADE9" w:rsidRPr="00951AB1" w:rsidRDefault="10A7ADE9" w:rsidP="000A5389">
      <w:pPr>
        <w:spacing w:line="240" w:lineRule="auto"/>
        <w:rPr>
          <w:rFonts w:cs="Times New Roman"/>
        </w:rPr>
      </w:pPr>
      <w:r w:rsidRPr="00951AB1">
        <w:rPr>
          <w:rFonts w:eastAsia="Times New Roman" w:cs="Times New Roman"/>
          <w:szCs w:val="24"/>
        </w:rPr>
        <w:lastRenderedPageBreak/>
        <w:t>Finalmente, en el año 2025 se realizó la actualización del formato mediante el cual se informa la Propiedad, Planta y Equipo, a fin de realizar una mejor identificación de los movimientos en el activo, así como, se determinó la política de la depreciación y vida útil en el Manual de Políticas.</w:t>
      </w:r>
    </w:p>
    <w:p w14:paraId="170D6FF8" w14:textId="68B17E4A" w:rsidR="10A7ADE9" w:rsidRPr="00951AB1" w:rsidRDefault="10A7ADE9" w:rsidP="000A5389">
      <w:pPr>
        <w:spacing w:line="240" w:lineRule="auto"/>
        <w:rPr>
          <w:rFonts w:cs="Times New Roman"/>
        </w:rPr>
      </w:pPr>
      <w:r w:rsidRPr="00951AB1">
        <w:rPr>
          <w:rFonts w:eastAsia="Times New Roman" w:cs="Times New Roman"/>
          <w:szCs w:val="24"/>
        </w:rPr>
        <w:t xml:space="preserve"> </w:t>
      </w:r>
    </w:p>
    <w:p w14:paraId="417F5B2F" w14:textId="0A2CF747" w:rsidR="10A7ADE9" w:rsidRPr="00951AB1" w:rsidRDefault="10A7ADE9" w:rsidP="000A5389">
      <w:pPr>
        <w:spacing w:line="240" w:lineRule="auto"/>
        <w:rPr>
          <w:rFonts w:cs="Times New Roman"/>
        </w:rPr>
      </w:pPr>
      <w:r w:rsidRPr="00951AB1">
        <w:rPr>
          <w:rFonts w:eastAsia="Times New Roman" w:cs="Times New Roman"/>
          <w:szCs w:val="24"/>
          <w:u w:val="single"/>
        </w:rPr>
        <w:t>Modo Férreo:</w:t>
      </w:r>
      <w:r w:rsidRPr="00951AB1">
        <w:rPr>
          <w:rFonts w:eastAsia="Times New Roman" w:cs="Times New Roman"/>
          <w:szCs w:val="24"/>
        </w:rPr>
        <w:t xml:space="preserve"> Para este modo, la Agencia diseñó los formatos para obtener la información de bienes de uso público, propiedades planta y equipo y el deterioro, para la obtención de la información de bienes de uso público, propiedad planta y equipo, y deterioro. </w:t>
      </w:r>
    </w:p>
    <w:p w14:paraId="16F9863B" w14:textId="011F4C89" w:rsidR="10A7ADE9" w:rsidRPr="00951AB1" w:rsidRDefault="10A7ADE9" w:rsidP="000A5389">
      <w:pPr>
        <w:spacing w:line="240" w:lineRule="auto"/>
        <w:rPr>
          <w:rFonts w:cs="Times New Roman"/>
        </w:rPr>
      </w:pPr>
      <w:r w:rsidRPr="00951AB1">
        <w:rPr>
          <w:rFonts w:eastAsia="Times New Roman" w:cs="Times New Roman"/>
          <w:szCs w:val="24"/>
        </w:rPr>
        <w:t xml:space="preserve"> </w:t>
      </w:r>
    </w:p>
    <w:p w14:paraId="7A651793" w14:textId="58B22803" w:rsidR="10A7ADE9" w:rsidRPr="00951AB1" w:rsidRDefault="10A7ADE9" w:rsidP="000A5389">
      <w:pPr>
        <w:spacing w:line="240" w:lineRule="auto"/>
        <w:rPr>
          <w:rFonts w:cs="Times New Roman"/>
        </w:rPr>
      </w:pPr>
      <w:r w:rsidRPr="2A085367">
        <w:rPr>
          <w:rFonts w:eastAsia="Times New Roman" w:cs="Times New Roman"/>
          <w:szCs w:val="24"/>
        </w:rPr>
        <w:t xml:space="preserve">De acuerdo con las metodologías enunciadas y documentadas, se remitió la información al área contable de la Agencia, para la realización de los registros contables de los proyectos del modo férreo al cierre de la vigencia 2025 así: Formato GCSP-F-288 Información de bienes de uso público y propiedad planta y equipo en el modo férreo según el nuevo marco normativo para Entidades de Gobierno. Formato GCSP-F-289 Informe de la metodología para la obtención de información de bienes de uso público y propiedad planta y equipo en el modo férreo según el nuevo marco normativo para Entidades de Gobierno.  </w:t>
      </w:r>
    </w:p>
    <w:p w14:paraId="76679134" w14:textId="7DCFD008" w:rsidR="10A7ADE9" w:rsidRPr="00951AB1" w:rsidRDefault="10A7ADE9" w:rsidP="000A5389">
      <w:pPr>
        <w:spacing w:line="240" w:lineRule="auto"/>
        <w:rPr>
          <w:rFonts w:cs="Times New Roman"/>
        </w:rPr>
      </w:pPr>
      <w:r w:rsidRPr="00951AB1">
        <w:rPr>
          <w:rFonts w:eastAsia="Times New Roman" w:cs="Times New Roman"/>
          <w:szCs w:val="24"/>
        </w:rPr>
        <w:t xml:space="preserve"> </w:t>
      </w:r>
    </w:p>
    <w:p w14:paraId="468F36AD" w14:textId="5DF7E304" w:rsidR="10A7ADE9" w:rsidRPr="00951AB1" w:rsidRDefault="10A7ADE9" w:rsidP="000A5389">
      <w:pPr>
        <w:spacing w:line="240" w:lineRule="auto"/>
        <w:rPr>
          <w:rFonts w:cs="Times New Roman"/>
        </w:rPr>
      </w:pPr>
      <w:r w:rsidRPr="00951AB1">
        <w:rPr>
          <w:rFonts w:eastAsia="Times New Roman" w:cs="Times New Roman"/>
          <w:szCs w:val="24"/>
          <w:u w:val="single"/>
        </w:rPr>
        <w:t>Modo Portuario</w:t>
      </w:r>
      <w:r w:rsidRPr="00951AB1">
        <w:rPr>
          <w:rFonts w:eastAsia="Times New Roman" w:cs="Times New Roman"/>
          <w:szCs w:val="24"/>
        </w:rPr>
        <w:t xml:space="preserve">: </w:t>
      </w:r>
      <w:r w:rsidRPr="00951AB1">
        <w:rPr>
          <w:rFonts w:eastAsia="Times New Roman" w:cs="Times New Roman"/>
          <w:szCs w:val="24"/>
          <w:lang w:val="es"/>
        </w:rPr>
        <w:t>La Agencia cuenta con el formato GCSP-F-011- “</w:t>
      </w:r>
      <w:r w:rsidRPr="00951AB1">
        <w:rPr>
          <w:rFonts w:eastAsia="Times New Roman" w:cs="Times New Roman"/>
          <w:i/>
          <w:iCs/>
          <w:szCs w:val="24"/>
          <w:lang w:val="es"/>
        </w:rPr>
        <w:t xml:space="preserve">Informe de inversión de capital privado en bienes de uso público del modo portuario según el marco normativo para entidades del gobierno”, </w:t>
      </w:r>
      <w:r w:rsidRPr="00951AB1">
        <w:rPr>
          <w:rFonts w:eastAsia="Times New Roman" w:cs="Times New Roman"/>
          <w:szCs w:val="24"/>
          <w:lang w:val="es"/>
        </w:rPr>
        <w:t>en el cual los concesionarios reportan la información correspondiente al valor de las inversiones realizadas desde el inicio del proyecto, de acuerdo con los ítems de inversión y propiedad planta y equipo por unidades de activos debidamente certificada.</w:t>
      </w:r>
      <w:r w:rsidRPr="00951AB1">
        <w:rPr>
          <w:rFonts w:eastAsia="Times New Roman" w:cs="Times New Roman"/>
          <w:szCs w:val="24"/>
        </w:rPr>
        <w:t xml:space="preserve"> </w:t>
      </w:r>
    </w:p>
    <w:p w14:paraId="1B8DD5B9" w14:textId="28C86876" w:rsidR="10A7ADE9" w:rsidRPr="00951AB1" w:rsidRDefault="10A7ADE9" w:rsidP="000A5389">
      <w:pPr>
        <w:spacing w:line="240" w:lineRule="auto"/>
        <w:rPr>
          <w:rFonts w:cs="Times New Roman"/>
        </w:rPr>
      </w:pPr>
      <w:r w:rsidRPr="00951AB1">
        <w:rPr>
          <w:rFonts w:eastAsia="Times New Roman" w:cs="Times New Roman"/>
          <w:szCs w:val="24"/>
        </w:rPr>
        <w:t xml:space="preserve"> </w:t>
      </w:r>
    </w:p>
    <w:p w14:paraId="6B177095" w14:textId="02F31022" w:rsidR="10A7ADE9" w:rsidRPr="00951AB1" w:rsidRDefault="10A7ADE9" w:rsidP="000A5389">
      <w:pPr>
        <w:spacing w:line="240" w:lineRule="auto"/>
        <w:rPr>
          <w:rFonts w:cs="Times New Roman"/>
        </w:rPr>
      </w:pPr>
      <w:r w:rsidRPr="00951AB1">
        <w:rPr>
          <w:rFonts w:eastAsia="Times New Roman" w:cs="Times New Roman"/>
          <w:szCs w:val="24"/>
          <w:lang w:val="es"/>
        </w:rPr>
        <w:t xml:space="preserve">De acuerdo con los formatos remitidos, se realizaron los registros contables a diciembre 31 de 2025, correspondiente a las inversiones realizadas en los proyectos del modo portuario tales como: </w:t>
      </w:r>
      <w:r w:rsidRPr="00951AB1">
        <w:rPr>
          <w:rFonts w:eastAsia="Times New Roman" w:cs="Times New Roman"/>
          <w:szCs w:val="24"/>
        </w:rPr>
        <w:t>Infraestructura en construcción y en servicio, D</w:t>
      </w:r>
      <w:r w:rsidRPr="00951AB1">
        <w:rPr>
          <w:rFonts w:eastAsia="Times New Roman" w:cs="Times New Roman"/>
          <w:szCs w:val="24"/>
          <w:lang w:val="es"/>
        </w:rPr>
        <w:t>ragados capital, Propiedades, Planta y Equipo e Intangibles.</w:t>
      </w:r>
      <w:r w:rsidRPr="00951AB1">
        <w:rPr>
          <w:rFonts w:eastAsia="Times New Roman" w:cs="Times New Roman"/>
          <w:szCs w:val="24"/>
        </w:rPr>
        <w:t xml:space="preserve"> </w:t>
      </w:r>
    </w:p>
    <w:p w14:paraId="35EE9760" w14:textId="43BE2104" w:rsidR="10A7ADE9" w:rsidRPr="00951AB1" w:rsidRDefault="10A7ADE9" w:rsidP="000A5389">
      <w:pPr>
        <w:spacing w:line="240" w:lineRule="auto"/>
        <w:rPr>
          <w:rFonts w:cs="Times New Roman"/>
        </w:rPr>
      </w:pPr>
      <w:r w:rsidRPr="00951AB1">
        <w:rPr>
          <w:rFonts w:eastAsia="Times New Roman" w:cs="Times New Roman"/>
          <w:szCs w:val="24"/>
        </w:rPr>
        <w:t xml:space="preserve"> </w:t>
      </w:r>
    </w:p>
    <w:p w14:paraId="681E17A0" w14:textId="42F4FACF" w:rsidR="10A7ADE9" w:rsidRPr="00951AB1" w:rsidRDefault="10A7ADE9" w:rsidP="000A5389">
      <w:pPr>
        <w:spacing w:line="240" w:lineRule="auto"/>
        <w:rPr>
          <w:rFonts w:cs="Times New Roman"/>
        </w:rPr>
      </w:pPr>
      <w:r w:rsidRPr="00951AB1">
        <w:rPr>
          <w:rFonts w:eastAsia="Times New Roman" w:cs="Times New Roman"/>
          <w:szCs w:val="24"/>
        </w:rPr>
        <w:t xml:space="preserve">Igualmente, se diseñó e implementó la guía para la evaluación de indicios de deterioro de valor y su estimación. </w:t>
      </w:r>
    </w:p>
    <w:p w14:paraId="2AB54C95" w14:textId="37F4069C" w:rsidR="10A7ADE9" w:rsidRPr="00951AB1" w:rsidRDefault="10A7ADE9" w:rsidP="000A5389">
      <w:pPr>
        <w:spacing w:line="240" w:lineRule="auto"/>
        <w:rPr>
          <w:rFonts w:cs="Times New Roman"/>
        </w:rPr>
      </w:pPr>
      <w:r w:rsidRPr="00951AB1">
        <w:rPr>
          <w:rFonts w:eastAsia="Times New Roman" w:cs="Times New Roman"/>
          <w:szCs w:val="24"/>
        </w:rPr>
        <w:t xml:space="preserve"> </w:t>
      </w:r>
    </w:p>
    <w:p w14:paraId="22972ECA" w14:textId="6913DE23" w:rsidR="10A7ADE9" w:rsidRPr="00951AB1" w:rsidRDefault="10A7ADE9" w:rsidP="000A5389">
      <w:pPr>
        <w:spacing w:line="240" w:lineRule="auto"/>
        <w:rPr>
          <w:rFonts w:cs="Times New Roman"/>
        </w:rPr>
      </w:pPr>
      <w:r w:rsidRPr="00951AB1">
        <w:rPr>
          <w:rFonts w:eastAsia="Times New Roman" w:cs="Times New Roman"/>
          <w:szCs w:val="24"/>
          <w:u w:val="single"/>
        </w:rPr>
        <w:t>Modo Aeroportuario</w:t>
      </w:r>
      <w:r w:rsidRPr="00951AB1">
        <w:rPr>
          <w:rFonts w:eastAsia="Times New Roman" w:cs="Times New Roman"/>
          <w:szCs w:val="24"/>
        </w:rPr>
        <w:t xml:space="preserve">: Para el modo aeroportuario la CGN declaró mediante concepto CGN No. 20201000049391 del 14-10-2020 que derogaba el concepto CGN No. 20202000018091 del 6-04-2020, que la U.A.E. de Aeronáutica Civil (Aerocivil) es la entidad concedente para fines contables, en este sentido, sería esta última la responsable del reconocimiento en sus estados financieros de todos los hechos económicos que se originan en los acuerdos de concesión de infraestructura de transporte aeronáutica y aeroportuaria.  Por su parte, sobre este modo de transporte, la ANI es la entidad que suscribe los acuerdos de concesión del modo aeroportuario, más no tendría la obligación de efectuar registros contables de la infraestructura de transporte aeronáutica y aeroportuaria.   </w:t>
      </w:r>
    </w:p>
    <w:p w14:paraId="1663A289" w14:textId="26AE495C" w:rsidR="10A7ADE9" w:rsidRPr="00951AB1" w:rsidRDefault="10A7ADE9" w:rsidP="000A5389">
      <w:pPr>
        <w:spacing w:line="240" w:lineRule="auto"/>
        <w:rPr>
          <w:rFonts w:cs="Times New Roman"/>
        </w:rPr>
      </w:pPr>
      <w:r w:rsidRPr="00951AB1">
        <w:rPr>
          <w:rFonts w:eastAsia="Times New Roman" w:cs="Times New Roman"/>
          <w:szCs w:val="24"/>
        </w:rPr>
        <w:t xml:space="preserve">  </w:t>
      </w:r>
    </w:p>
    <w:p w14:paraId="2EEB26D3" w14:textId="1405AA13" w:rsidR="10A7ADE9" w:rsidRPr="00951AB1" w:rsidRDefault="10A7ADE9" w:rsidP="000A5389">
      <w:pPr>
        <w:spacing w:line="240" w:lineRule="auto"/>
        <w:rPr>
          <w:rFonts w:cs="Times New Roman"/>
        </w:rPr>
      </w:pPr>
      <w:r w:rsidRPr="00951AB1">
        <w:rPr>
          <w:rFonts w:eastAsia="Times New Roman" w:cs="Times New Roman"/>
          <w:b/>
          <w:bCs/>
          <w:szCs w:val="24"/>
        </w:rPr>
        <w:t>Avances en el cumplimiento de la Resolución 602 de 2018 y sus modificaciones</w:t>
      </w:r>
      <w:r w:rsidRPr="00951AB1">
        <w:rPr>
          <w:rFonts w:eastAsia="Times New Roman" w:cs="Times New Roman"/>
          <w:szCs w:val="24"/>
        </w:rPr>
        <w:t xml:space="preserve"> </w:t>
      </w:r>
    </w:p>
    <w:p w14:paraId="7E0A52CE" w14:textId="437D3E9A" w:rsidR="10A7ADE9" w:rsidRPr="00951AB1" w:rsidRDefault="10A7ADE9" w:rsidP="000A5389">
      <w:pPr>
        <w:spacing w:line="240" w:lineRule="auto"/>
        <w:rPr>
          <w:rFonts w:cs="Times New Roman"/>
        </w:rPr>
      </w:pPr>
      <w:r w:rsidRPr="00951AB1">
        <w:rPr>
          <w:rFonts w:eastAsia="Times New Roman" w:cs="Times New Roman"/>
          <w:szCs w:val="24"/>
        </w:rPr>
        <w:t xml:space="preserve"> </w:t>
      </w:r>
    </w:p>
    <w:p w14:paraId="15E5E8D8" w14:textId="57BE3FDC" w:rsidR="10A7ADE9" w:rsidRPr="00951AB1" w:rsidRDefault="10A7ADE9" w:rsidP="000A5389">
      <w:pPr>
        <w:spacing w:line="240" w:lineRule="auto"/>
        <w:rPr>
          <w:rFonts w:cs="Times New Roman"/>
        </w:rPr>
      </w:pPr>
      <w:r w:rsidRPr="00951AB1">
        <w:rPr>
          <w:rFonts w:eastAsia="Times New Roman" w:cs="Times New Roman"/>
          <w:szCs w:val="24"/>
        </w:rPr>
        <w:lastRenderedPageBreak/>
        <w:t xml:space="preserve">La Agencia Nacional de Infraestructura se ha enfocado en el Plan de Trabajo como consecuencia de la Resolución 602 de 2018 emitida por la Contaduría General de la Nación; a través de diversas estrategias, se han logrado avances en la administración y control, aunque persisten debilidades para obtener información que se encuentra en los concesionarios e interventorías a causa de la reserva legal que tienen ciertos documentos. </w:t>
      </w:r>
    </w:p>
    <w:p w14:paraId="07A38974" w14:textId="1649D59E" w:rsidR="10A7ADE9" w:rsidRPr="00951AB1" w:rsidRDefault="10A7ADE9" w:rsidP="000A5389">
      <w:pPr>
        <w:spacing w:line="240" w:lineRule="auto"/>
        <w:rPr>
          <w:rFonts w:cs="Times New Roman"/>
        </w:rPr>
      </w:pPr>
      <w:r w:rsidRPr="00951AB1">
        <w:rPr>
          <w:rFonts w:eastAsia="Times New Roman" w:cs="Times New Roman"/>
          <w:szCs w:val="24"/>
        </w:rPr>
        <w:t xml:space="preserve"> </w:t>
      </w:r>
    </w:p>
    <w:p w14:paraId="7B485124" w14:textId="3AEA8F41" w:rsidR="10A7ADE9" w:rsidRPr="00951AB1" w:rsidRDefault="10A7ADE9" w:rsidP="000A5389">
      <w:pPr>
        <w:spacing w:line="240" w:lineRule="auto"/>
        <w:rPr>
          <w:rFonts w:cs="Times New Roman"/>
        </w:rPr>
      </w:pPr>
      <w:r w:rsidRPr="00951AB1">
        <w:rPr>
          <w:rFonts w:eastAsia="Times New Roman" w:cs="Times New Roman"/>
          <w:szCs w:val="24"/>
        </w:rPr>
        <w:t>Para ello se estableció un plan de trabajo que busca establecer una hoja de ruta con acciones concretas, enfocándose en fortalecer los logros adquiridos, la gestión de los activos en la Agencia y la revisión continua de las actividades propuestas frente a las cumplidas, en atención a ello las dependencias involucradas radicaron los siguientes informes con los resultados, avances y gestiones realizadas durante el periodo 2025: 1) Carretero Nos. 20255050146003 y 20265050048453. 3) Portuario y Fluvial Nos.</w:t>
      </w:r>
      <w:r w:rsidRPr="00951AB1">
        <w:rPr>
          <w:rFonts w:eastAsia="Calibri" w:cs="Times New Roman"/>
        </w:rPr>
        <w:t xml:space="preserve"> 20253080117603, </w:t>
      </w:r>
      <w:r w:rsidRPr="00951AB1">
        <w:rPr>
          <w:rFonts w:eastAsia="Times New Roman" w:cs="Times New Roman"/>
          <w:szCs w:val="24"/>
        </w:rPr>
        <w:t>20253080158943, 20253080238023, 20263080037463, 20263080037673, 20263080042213. 4) Férreo Nos. 20253080137573 y 20263080045263. 5) Gestión Predial Nos. 20256040130203 y 20266040041323.</w:t>
      </w:r>
    </w:p>
    <w:p w14:paraId="407F158A" w14:textId="05BB903F" w:rsidR="10A7ADE9" w:rsidRPr="00951AB1" w:rsidRDefault="10A7ADE9" w:rsidP="000A5389">
      <w:pPr>
        <w:spacing w:line="240" w:lineRule="auto"/>
        <w:rPr>
          <w:rFonts w:cs="Times New Roman"/>
        </w:rPr>
      </w:pPr>
      <w:r w:rsidRPr="00951AB1">
        <w:rPr>
          <w:rFonts w:eastAsia="Times New Roman" w:cs="Times New Roman"/>
          <w:szCs w:val="24"/>
        </w:rPr>
        <w:t xml:space="preserve"> </w:t>
      </w:r>
    </w:p>
    <w:p w14:paraId="67732F85" w14:textId="24FC905F" w:rsidR="10A7ADE9" w:rsidRPr="00951AB1" w:rsidRDefault="10A7ADE9" w:rsidP="000A5389">
      <w:pPr>
        <w:spacing w:line="240" w:lineRule="auto"/>
        <w:rPr>
          <w:rFonts w:cs="Times New Roman"/>
        </w:rPr>
      </w:pPr>
      <w:r w:rsidRPr="00951AB1">
        <w:rPr>
          <w:rFonts w:eastAsia="Times New Roman" w:cs="Times New Roman"/>
          <w:szCs w:val="24"/>
        </w:rPr>
        <w:t>Adicionalmente, la Agencia realizó la revelación de estos avances en cada una de las notas a los estados financieros de manera trimestral durante el periodo 2025, así como se remitieron los avances a la Contaduría y el Ministerio de Transporte con los radicados No. 20254010124881, 20254010253121, y 20254010388851.</w:t>
      </w:r>
    </w:p>
    <w:p w14:paraId="310F4429" w14:textId="1EF2EF83" w:rsidR="10A7ADE9" w:rsidRPr="00951AB1" w:rsidRDefault="10A7ADE9" w:rsidP="000A5389">
      <w:pPr>
        <w:spacing w:line="240" w:lineRule="auto"/>
        <w:rPr>
          <w:rFonts w:cs="Times New Roman"/>
        </w:rPr>
      </w:pPr>
      <w:r w:rsidRPr="00951AB1">
        <w:rPr>
          <w:rFonts w:eastAsia="Times New Roman" w:cs="Times New Roman"/>
          <w:szCs w:val="24"/>
        </w:rPr>
        <w:t xml:space="preserve"> </w:t>
      </w:r>
    </w:p>
    <w:p w14:paraId="2D1A637E" w14:textId="3CF0DF89" w:rsidR="10A7ADE9" w:rsidRDefault="10A7ADE9" w:rsidP="000A5389">
      <w:pPr>
        <w:spacing w:line="240" w:lineRule="auto"/>
        <w:rPr>
          <w:rFonts w:eastAsia="Times New Roman" w:cs="Times New Roman"/>
          <w:szCs w:val="24"/>
        </w:rPr>
      </w:pPr>
      <w:r w:rsidRPr="00951AB1">
        <w:rPr>
          <w:rFonts w:eastAsia="Times New Roman" w:cs="Times New Roman"/>
          <w:szCs w:val="24"/>
        </w:rPr>
        <w:t>A continuación, se presentan las actividades propuestas:</w:t>
      </w:r>
    </w:p>
    <w:p w14:paraId="07702623" w14:textId="77777777" w:rsidR="008B200F" w:rsidRPr="00951AB1" w:rsidRDefault="008B200F" w:rsidP="000A5389">
      <w:pPr>
        <w:spacing w:line="240" w:lineRule="auto"/>
        <w:rPr>
          <w:rFonts w:cs="Times New Roman"/>
        </w:rPr>
      </w:pPr>
    </w:p>
    <w:tbl>
      <w:tblPr>
        <w:tblW w:w="5000" w:type="pct"/>
        <w:tblLook w:val="04A0" w:firstRow="1" w:lastRow="0" w:firstColumn="1" w:lastColumn="0" w:noHBand="0" w:noVBand="1"/>
      </w:tblPr>
      <w:tblGrid>
        <w:gridCol w:w="1227"/>
        <w:gridCol w:w="408"/>
        <w:gridCol w:w="408"/>
        <w:gridCol w:w="408"/>
        <w:gridCol w:w="410"/>
        <w:gridCol w:w="408"/>
        <w:gridCol w:w="407"/>
        <w:gridCol w:w="407"/>
        <w:gridCol w:w="407"/>
        <w:gridCol w:w="379"/>
        <w:gridCol w:w="377"/>
        <w:gridCol w:w="407"/>
        <w:gridCol w:w="407"/>
        <w:gridCol w:w="407"/>
        <w:gridCol w:w="379"/>
        <w:gridCol w:w="377"/>
        <w:gridCol w:w="407"/>
        <w:gridCol w:w="407"/>
        <w:gridCol w:w="409"/>
        <w:gridCol w:w="372"/>
      </w:tblGrid>
      <w:tr w:rsidR="68B7379A" w:rsidRPr="00951AB1" w14:paraId="6B46F462" w14:textId="77777777" w:rsidTr="00512B77">
        <w:trPr>
          <w:gridAfter w:val="1"/>
          <w:wAfter w:w="213" w:type="pct"/>
          <w:trHeight w:val="240"/>
          <w:tblHeader/>
        </w:trPr>
        <w:tc>
          <w:tcPr>
            <w:tcW w:w="695" w:type="pct"/>
            <w:vMerge w:val="restart"/>
            <w:tcBorders>
              <w:top w:val="single" w:sz="8" w:space="0" w:color="auto"/>
              <w:left w:val="single" w:sz="8" w:space="0" w:color="auto"/>
              <w:bottom w:val="single" w:sz="8" w:space="0" w:color="000000" w:themeColor="text1"/>
              <w:right w:val="single" w:sz="8" w:space="0" w:color="auto"/>
            </w:tcBorders>
            <w:shd w:val="clear" w:color="auto" w:fill="0B3040"/>
            <w:tcMar>
              <w:left w:w="70" w:type="dxa"/>
              <w:right w:w="70" w:type="dxa"/>
            </w:tcMar>
            <w:vAlign w:val="center"/>
          </w:tcPr>
          <w:p w14:paraId="4D523142" w14:textId="76D4CEDC" w:rsidR="68B7379A" w:rsidRPr="00951AB1" w:rsidRDefault="68B7379A" w:rsidP="000A5389">
            <w:pPr>
              <w:spacing w:line="240" w:lineRule="auto"/>
              <w:jc w:val="center"/>
              <w:rPr>
                <w:rFonts w:cs="Times New Roman"/>
              </w:rPr>
            </w:pPr>
            <w:r w:rsidRPr="00951AB1">
              <w:rPr>
                <w:rFonts w:eastAsia="Times New Roman" w:cs="Times New Roman"/>
                <w:b/>
                <w:bCs/>
                <w:color w:val="FFFFFF" w:themeColor="background1"/>
                <w:sz w:val="16"/>
                <w:szCs w:val="16"/>
              </w:rPr>
              <w:t>HITOS</w:t>
            </w:r>
          </w:p>
        </w:tc>
        <w:tc>
          <w:tcPr>
            <w:tcW w:w="925" w:type="pct"/>
            <w:gridSpan w:val="4"/>
            <w:tcBorders>
              <w:top w:val="single" w:sz="8" w:space="0" w:color="auto"/>
              <w:left w:val="single" w:sz="8" w:space="0" w:color="auto"/>
              <w:bottom w:val="single" w:sz="8" w:space="0" w:color="auto"/>
              <w:right w:val="single" w:sz="8" w:space="0" w:color="000000" w:themeColor="text1"/>
            </w:tcBorders>
            <w:shd w:val="clear" w:color="auto" w:fill="0B3040"/>
            <w:tcMar>
              <w:left w:w="70" w:type="dxa"/>
              <w:right w:w="70" w:type="dxa"/>
            </w:tcMar>
            <w:vAlign w:val="bottom"/>
          </w:tcPr>
          <w:p w14:paraId="44CA413C" w14:textId="6A022626" w:rsidR="68B7379A" w:rsidRPr="00951AB1" w:rsidRDefault="68B7379A" w:rsidP="000A5389">
            <w:pPr>
              <w:spacing w:line="240" w:lineRule="auto"/>
              <w:jc w:val="center"/>
              <w:rPr>
                <w:rFonts w:cs="Times New Roman"/>
              </w:rPr>
            </w:pPr>
            <w:r w:rsidRPr="00951AB1">
              <w:rPr>
                <w:rFonts w:eastAsia="Times New Roman" w:cs="Times New Roman"/>
                <w:b/>
                <w:bCs/>
                <w:color w:val="FFFFFF" w:themeColor="background1"/>
                <w:sz w:val="16"/>
                <w:szCs w:val="16"/>
              </w:rPr>
              <w:t>2025</w:t>
            </w:r>
          </w:p>
        </w:tc>
        <w:tc>
          <w:tcPr>
            <w:tcW w:w="1139" w:type="pct"/>
            <w:gridSpan w:val="5"/>
            <w:tcBorders>
              <w:top w:val="single" w:sz="8" w:space="0" w:color="auto"/>
              <w:left w:val="nil"/>
              <w:bottom w:val="single" w:sz="8" w:space="0" w:color="auto"/>
              <w:right w:val="single" w:sz="8" w:space="0" w:color="000000" w:themeColor="text1"/>
            </w:tcBorders>
            <w:shd w:val="clear" w:color="auto" w:fill="0B3040"/>
            <w:tcMar>
              <w:left w:w="70" w:type="dxa"/>
              <w:right w:w="70" w:type="dxa"/>
            </w:tcMar>
            <w:vAlign w:val="bottom"/>
          </w:tcPr>
          <w:p w14:paraId="3E61F554" w14:textId="34523755" w:rsidR="68B7379A" w:rsidRPr="00951AB1" w:rsidRDefault="68B7379A" w:rsidP="000A5389">
            <w:pPr>
              <w:spacing w:line="240" w:lineRule="auto"/>
              <w:jc w:val="center"/>
              <w:rPr>
                <w:rFonts w:cs="Times New Roman"/>
              </w:rPr>
            </w:pPr>
            <w:r w:rsidRPr="00951AB1">
              <w:rPr>
                <w:rFonts w:eastAsia="Times New Roman" w:cs="Times New Roman"/>
                <w:b/>
                <w:bCs/>
                <w:color w:val="FFFFFF" w:themeColor="background1"/>
                <w:sz w:val="16"/>
                <w:szCs w:val="16"/>
              </w:rPr>
              <w:t>2026</w:t>
            </w:r>
          </w:p>
        </w:tc>
        <w:tc>
          <w:tcPr>
            <w:tcW w:w="1121" w:type="pct"/>
            <w:gridSpan w:val="5"/>
            <w:tcBorders>
              <w:top w:val="single" w:sz="8" w:space="0" w:color="auto"/>
              <w:left w:val="nil"/>
              <w:bottom w:val="single" w:sz="8" w:space="0" w:color="auto"/>
              <w:right w:val="single" w:sz="8" w:space="0" w:color="000000" w:themeColor="text1"/>
            </w:tcBorders>
            <w:shd w:val="clear" w:color="auto" w:fill="0B3040"/>
            <w:tcMar>
              <w:left w:w="70" w:type="dxa"/>
              <w:right w:w="70" w:type="dxa"/>
            </w:tcMar>
            <w:vAlign w:val="bottom"/>
          </w:tcPr>
          <w:p w14:paraId="384B64DB" w14:textId="3469A2FE" w:rsidR="68B7379A" w:rsidRPr="00951AB1" w:rsidRDefault="68B7379A" w:rsidP="000A5389">
            <w:pPr>
              <w:spacing w:line="240" w:lineRule="auto"/>
              <w:jc w:val="center"/>
              <w:rPr>
                <w:rFonts w:cs="Times New Roman"/>
              </w:rPr>
            </w:pPr>
            <w:r w:rsidRPr="00951AB1">
              <w:rPr>
                <w:rFonts w:eastAsia="Times New Roman" w:cs="Times New Roman"/>
                <w:b/>
                <w:bCs/>
                <w:color w:val="FFFFFF" w:themeColor="background1"/>
                <w:sz w:val="16"/>
                <w:szCs w:val="16"/>
              </w:rPr>
              <w:t>2027</w:t>
            </w:r>
          </w:p>
        </w:tc>
        <w:tc>
          <w:tcPr>
            <w:tcW w:w="907" w:type="pct"/>
            <w:gridSpan w:val="4"/>
            <w:tcBorders>
              <w:top w:val="single" w:sz="8" w:space="0" w:color="auto"/>
              <w:left w:val="nil"/>
              <w:bottom w:val="single" w:sz="8" w:space="0" w:color="auto"/>
              <w:right w:val="single" w:sz="8" w:space="0" w:color="000000" w:themeColor="text1"/>
            </w:tcBorders>
            <w:shd w:val="clear" w:color="auto" w:fill="0B3040"/>
            <w:tcMar>
              <w:left w:w="70" w:type="dxa"/>
              <w:right w:w="70" w:type="dxa"/>
            </w:tcMar>
            <w:vAlign w:val="bottom"/>
          </w:tcPr>
          <w:p w14:paraId="54A96CCE" w14:textId="51AF533E" w:rsidR="68B7379A" w:rsidRPr="00951AB1" w:rsidRDefault="68B7379A" w:rsidP="000A5389">
            <w:pPr>
              <w:spacing w:line="240" w:lineRule="auto"/>
              <w:jc w:val="center"/>
              <w:rPr>
                <w:rFonts w:cs="Times New Roman"/>
              </w:rPr>
            </w:pPr>
            <w:r w:rsidRPr="00951AB1">
              <w:rPr>
                <w:rFonts w:eastAsia="Times New Roman" w:cs="Times New Roman"/>
                <w:b/>
                <w:bCs/>
                <w:color w:val="FFFFFF" w:themeColor="background1"/>
                <w:sz w:val="16"/>
                <w:szCs w:val="16"/>
              </w:rPr>
              <w:t>2028</w:t>
            </w:r>
          </w:p>
        </w:tc>
      </w:tr>
      <w:tr w:rsidR="68B7379A" w:rsidRPr="00951AB1" w14:paraId="0BA75AFC" w14:textId="77777777" w:rsidTr="00512B77">
        <w:trPr>
          <w:gridAfter w:val="1"/>
          <w:wAfter w:w="213" w:type="pct"/>
          <w:trHeight w:val="240"/>
          <w:tblHeader/>
        </w:trPr>
        <w:tc>
          <w:tcPr>
            <w:tcW w:w="695" w:type="pct"/>
            <w:vMerge/>
            <w:tcBorders>
              <w:left w:val="single" w:sz="0" w:space="0" w:color="auto"/>
              <w:bottom w:val="single" w:sz="0" w:space="0" w:color="000000" w:themeColor="text1"/>
              <w:right w:val="single" w:sz="0" w:space="0" w:color="auto"/>
            </w:tcBorders>
            <w:vAlign w:val="center"/>
          </w:tcPr>
          <w:p w14:paraId="10254571" w14:textId="77777777" w:rsidR="003D537D" w:rsidRPr="00951AB1" w:rsidRDefault="003D537D" w:rsidP="000A5389">
            <w:pPr>
              <w:spacing w:line="240" w:lineRule="auto"/>
              <w:rPr>
                <w:rFonts w:cs="Times New Roman"/>
              </w:rPr>
            </w:pPr>
          </w:p>
        </w:tc>
        <w:tc>
          <w:tcPr>
            <w:tcW w:w="231" w:type="pct"/>
            <w:tcBorders>
              <w:top w:val="single" w:sz="8" w:space="0" w:color="auto"/>
              <w:left w:val="nil"/>
              <w:bottom w:val="single" w:sz="8" w:space="0" w:color="auto"/>
              <w:right w:val="nil"/>
            </w:tcBorders>
            <w:shd w:val="clear" w:color="auto" w:fill="0B3040"/>
            <w:tcMar>
              <w:left w:w="70" w:type="dxa"/>
              <w:right w:w="70" w:type="dxa"/>
            </w:tcMar>
            <w:vAlign w:val="bottom"/>
          </w:tcPr>
          <w:p w14:paraId="11993643" w14:textId="5B4992FC" w:rsidR="68B7379A" w:rsidRPr="00951AB1" w:rsidRDefault="68B7379A" w:rsidP="000A5389">
            <w:pPr>
              <w:spacing w:line="240" w:lineRule="auto"/>
              <w:jc w:val="center"/>
              <w:rPr>
                <w:rFonts w:cs="Times New Roman"/>
              </w:rPr>
            </w:pPr>
            <w:r w:rsidRPr="00951AB1">
              <w:rPr>
                <w:rFonts w:eastAsia="Times New Roman" w:cs="Times New Roman"/>
                <w:b/>
                <w:bCs/>
                <w:color w:val="FFFFFF" w:themeColor="background1"/>
                <w:sz w:val="16"/>
                <w:szCs w:val="16"/>
              </w:rPr>
              <w:t>T1</w:t>
            </w:r>
          </w:p>
        </w:tc>
        <w:tc>
          <w:tcPr>
            <w:tcW w:w="231" w:type="pct"/>
            <w:tcBorders>
              <w:top w:val="nil"/>
              <w:left w:val="nil"/>
              <w:bottom w:val="single" w:sz="8" w:space="0" w:color="auto"/>
              <w:right w:val="nil"/>
            </w:tcBorders>
            <w:shd w:val="clear" w:color="auto" w:fill="0B3040"/>
            <w:tcMar>
              <w:left w:w="70" w:type="dxa"/>
              <w:right w:w="70" w:type="dxa"/>
            </w:tcMar>
            <w:vAlign w:val="bottom"/>
          </w:tcPr>
          <w:p w14:paraId="4C98CEF1" w14:textId="71364F3F" w:rsidR="68B7379A" w:rsidRPr="00951AB1" w:rsidRDefault="68B7379A" w:rsidP="000A5389">
            <w:pPr>
              <w:spacing w:line="240" w:lineRule="auto"/>
              <w:jc w:val="center"/>
              <w:rPr>
                <w:rFonts w:cs="Times New Roman"/>
              </w:rPr>
            </w:pPr>
            <w:r w:rsidRPr="00951AB1">
              <w:rPr>
                <w:rFonts w:eastAsia="Times New Roman" w:cs="Times New Roman"/>
                <w:b/>
                <w:bCs/>
                <w:color w:val="FFFFFF" w:themeColor="background1"/>
                <w:sz w:val="16"/>
                <w:szCs w:val="16"/>
              </w:rPr>
              <w:t>T2</w:t>
            </w:r>
          </w:p>
        </w:tc>
        <w:tc>
          <w:tcPr>
            <w:tcW w:w="231" w:type="pct"/>
            <w:tcBorders>
              <w:top w:val="nil"/>
              <w:left w:val="nil"/>
              <w:bottom w:val="single" w:sz="8" w:space="0" w:color="auto"/>
              <w:right w:val="nil"/>
            </w:tcBorders>
            <w:shd w:val="clear" w:color="auto" w:fill="0B3040"/>
            <w:tcMar>
              <w:left w:w="70" w:type="dxa"/>
              <w:right w:w="70" w:type="dxa"/>
            </w:tcMar>
            <w:vAlign w:val="bottom"/>
          </w:tcPr>
          <w:p w14:paraId="5959CE1B" w14:textId="08964290" w:rsidR="68B7379A" w:rsidRPr="00951AB1" w:rsidRDefault="68B7379A" w:rsidP="000A5389">
            <w:pPr>
              <w:spacing w:line="240" w:lineRule="auto"/>
              <w:jc w:val="center"/>
              <w:rPr>
                <w:rFonts w:cs="Times New Roman"/>
              </w:rPr>
            </w:pPr>
            <w:r w:rsidRPr="00951AB1">
              <w:rPr>
                <w:rFonts w:eastAsia="Times New Roman" w:cs="Times New Roman"/>
                <w:b/>
                <w:bCs/>
                <w:color w:val="FFFFFF" w:themeColor="background1"/>
                <w:sz w:val="16"/>
                <w:szCs w:val="16"/>
              </w:rPr>
              <w:t>T3</w:t>
            </w:r>
          </w:p>
        </w:tc>
        <w:tc>
          <w:tcPr>
            <w:tcW w:w="231" w:type="pct"/>
            <w:tcBorders>
              <w:top w:val="nil"/>
              <w:left w:val="nil"/>
              <w:bottom w:val="single" w:sz="8" w:space="0" w:color="auto"/>
              <w:right w:val="single" w:sz="8" w:space="0" w:color="000000" w:themeColor="text1"/>
            </w:tcBorders>
            <w:shd w:val="clear" w:color="auto" w:fill="0B3040"/>
            <w:tcMar>
              <w:left w:w="70" w:type="dxa"/>
              <w:right w:w="70" w:type="dxa"/>
            </w:tcMar>
            <w:vAlign w:val="bottom"/>
          </w:tcPr>
          <w:p w14:paraId="6E412376" w14:textId="66A831F1" w:rsidR="68B7379A" w:rsidRPr="00951AB1" w:rsidRDefault="68B7379A" w:rsidP="000A5389">
            <w:pPr>
              <w:spacing w:line="240" w:lineRule="auto"/>
              <w:jc w:val="center"/>
              <w:rPr>
                <w:rFonts w:cs="Times New Roman"/>
              </w:rPr>
            </w:pPr>
            <w:r w:rsidRPr="00951AB1">
              <w:rPr>
                <w:rFonts w:eastAsia="Times New Roman" w:cs="Times New Roman"/>
                <w:b/>
                <w:bCs/>
                <w:color w:val="FFFFFF" w:themeColor="background1"/>
                <w:sz w:val="16"/>
                <w:szCs w:val="16"/>
              </w:rPr>
              <w:t>T4</w:t>
            </w:r>
          </w:p>
        </w:tc>
        <w:tc>
          <w:tcPr>
            <w:tcW w:w="231" w:type="pct"/>
            <w:tcBorders>
              <w:top w:val="single" w:sz="8" w:space="0" w:color="auto"/>
              <w:left w:val="single" w:sz="8" w:space="0" w:color="auto"/>
              <w:bottom w:val="single" w:sz="8" w:space="0" w:color="auto"/>
              <w:right w:val="nil"/>
            </w:tcBorders>
            <w:shd w:val="clear" w:color="auto" w:fill="0B3040"/>
            <w:tcMar>
              <w:left w:w="70" w:type="dxa"/>
              <w:right w:w="70" w:type="dxa"/>
            </w:tcMar>
            <w:vAlign w:val="bottom"/>
          </w:tcPr>
          <w:p w14:paraId="4945870F" w14:textId="18ABDFF8" w:rsidR="68B7379A" w:rsidRPr="00951AB1" w:rsidRDefault="68B7379A" w:rsidP="000A5389">
            <w:pPr>
              <w:spacing w:line="240" w:lineRule="auto"/>
              <w:jc w:val="center"/>
              <w:rPr>
                <w:rFonts w:cs="Times New Roman"/>
              </w:rPr>
            </w:pPr>
            <w:r w:rsidRPr="00951AB1">
              <w:rPr>
                <w:rFonts w:eastAsia="Times New Roman" w:cs="Times New Roman"/>
                <w:b/>
                <w:bCs/>
                <w:color w:val="FFFFFF" w:themeColor="background1"/>
                <w:sz w:val="16"/>
                <w:szCs w:val="16"/>
              </w:rPr>
              <w:t>T1</w:t>
            </w:r>
          </w:p>
        </w:tc>
        <w:tc>
          <w:tcPr>
            <w:tcW w:w="231" w:type="pct"/>
            <w:tcBorders>
              <w:top w:val="nil"/>
              <w:left w:val="nil"/>
              <w:bottom w:val="single" w:sz="8" w:space="0" w:color="auto"/>
              <w:right w:val="nil"/>
            </w:tcBorders>
            <w:shd w:val="clear" w:color="auto" w:fill="0B3040"/>
            <w:tcMar>
              <w:left w:w="70" w:type="dxa"/>
              <w:right w:w="70" w:type="dxa"/>
            </w:tcMar>
            <w:vAlign w:val="bottom"/>
          </w:tcPr>
          <w:p w14:paraId="45A07CD8" w14:textId="3A12E50D" w:rsidR="68B7379A" w:rsidRPr="00951AB1" w:rsidRDefault="68B7379A" w:rsidP="000A5389">
            <w:pPr>
              <w:spacing w:line="240" w:lineRule="auto"/>
              <w:jc w:val="center"/>
              <w:rPr>
                <w:rFonts w:cs="Times New Roman"/>
              </w:rPr>
            </w:pPr>
            <w:r w:rsidRPr="00951AB1">
              <w:rPr>
                <w:rFonts w:eastAsia="Times New Roman" w:cs="Times New Roman"/>
                <w:b/>
                <w:bCs/>
                <w:color w:val="FFFFFF" w:themeColor="background1"/>
                <w:sz w:val="16"/>
                <w:szCs w:val="16"/>
              </w:rPr>
              <w:t>T2</w:t>
            </w:r>
          </w:p>
        </w:tc>
        <w:tc>
          <w:tcPr>
            <w:tcW w:w="231" w:type="pct"/>
            <w:tcBorders>
              <w:top w:val="nil"/>
              <w:left w:val="nil"/>
              <w:bottom w:val="single" w:sz="8" w:space="0" w:color="auto"/>
              <w:right w:val="nil"/>
            </w:tcBorders>
            <w:shd w:val="clear" w:color="auto" w:fill="0B3040"/>
            <w:tcMar>
              <w:left w:w="70" w:type="dxa"/>
              <w:right w:w="70" w:type="dxa"/>
            </w:tcMar>
            <w:vAlign w:val="bottom"/>
          </w:tcPr>
          <w:p w14:paraId="4700E8C0" w14:textId="6DD6AC49" w:rsidR="68B7379A" w:rsidRPr="00951AB1" w:rsidRDefault="68B7379A" w:rsidP="000A5389">
            <w:pPr>
              <w:spacing w:line="240" w:lineRule="auto"/>
              <w:jc w:val="center"/>
              <w:rPr>
                <w:rFonts w:cs="Times New Roman"/>
              </w:rPr>
            </w:pPr>
            <w:r w:rsidRPr="00951AB1">
              <w:rPr>
                <w:rFonts w:eastAsia="Times New Roman" w:cs="Times New Roman"/>
                <w:b/>
                <w:bCs/>
                <w:color w:val="FFFFFF" w:themeColor="background1"/>
                <w:sz w:val="16"/>
                <w:szCs w:val="16"/>
              </w:rPr>
              <w:t>T3</w:t>
            </w:r>
          </w:p>
        </w:tc>
        <w:tc>
          <w:tcPr>
            <w:tcW w:w="231" w:type="pct"/>
            <w:tcBorders>
              <w:top w:val="nil"/>
              <w:left w:val="nil"/>
              <w:bottom w:val="single" w:sz="8" w:space="0" w:color="auto"/>
              <w:right w:val="single" w:sz="8" w:space="0" w:color="auto"/>
            </w:tcBorders>
            <w:shd w:val="clear" w:color="auto" w:fill="0B3040"/>
            <w:tcMar>
              <w:left w:w="70" w:type="dxa"/>
              <w:right w:w="70" w:type="dxa"/>
            </w:tcMar>
            <w:vAlign w:val="bottom"/>
          </w:tcPr>
          <w:p w14:paraId="2AEE6B32" w14:textId="7F4BE7DA" w:rsidR="68B7379A" w:rsidRPr="00951AB1" w:rsidRDefault="68B7379A" w:rsidP="000A5389">
            <w:pPr>
              <w:spacing w:line="240" w:lineRule="auto"/>
              <w:jc w:val="center"/>
              <w:rPr>
                <w:rFonts w:cs="Times New Roman"/>
              </w:rPr>
            </w:pPr>
            <w:r w:rsidRPr="00951AB1">
              <w:rPr>
                <w:rFonts w:eastAsia="Times New Roman" w:cs="Times New Roman"/>
                <w:b/>
                <w:bCs/>
                <w:color w:val="FFFFFF" w:themeColor="background1"/>
                <w:sz w:val="16"/>
                <w:szCs w:val="16"/>
              </w:rPr>
              <w:t>T4</w:t>
            </w:r>
          </w:p>
        </w:tc>
        <w:tc>
          <w:tcPr>
            <w:tcW w:w="429" w:type="pct"/>
            <w:gridSpan w:val="2"/>
            <w:tcBorders>
              <w:top w:val="nil"/>
              <w:left w:val="single" w:sz="8" w:space="0" w:color="auto"/>
              <w:bottom w:val="single" w:sz="8" w:space="0" w:color="auto"/>
              <w:right w:val="nil"/>
            </w:tcBorders>
            <w:shd w:val="clear" w:color="auto" w:fill="0B3040"/>
            <w:tcMar>
              <w:left w:w="70" w:type="dxa"/>
              <w:right w:w="70" w:type="dxa"/>
            </w:tcMar>
            <w:vAlign w:val="bottom"/>
          </w:tcPr>
          <w:p w14:paraId="508DE704" w14:textId="7FE7A01F" w:rsidR="68B7379A" w:rsidRPr="00951AB1" w:rsidRDefault="68B7379A" w:rsidP="000A5389">
            <w:pPr>
              <w:spacing w:line="240" w:lineRule="auto"/>
              <w:jc w:val="center"/>
              <w:rPr>
                <w:rFonts w:cs="Times New Roman"/>
              </w:rPr>
            </w:pPr>
            <w:r w:rsidRPr="00951AB1">
              <w:rPr>
                <w:rFonts w:eastAsia="Times New Roman" w:cs="Times New Roman"/>
                <w:b/>
                <w:bCs/>
                <w:color w:val="FFFFFF" w:themeColor="background1"/>
                <w:sz w:val="16"/>
                <w:szCs w:val="16"/>
              </w:rPr>
              <w:t>T1</w:t>
            </w:r>
          </w:p>
        </w:tc>
        <w:tc>
          <w:tcPr>
            <w:tcW w:w="231" w:type="pct"/>
            <w:tcBorders>
              <w:top w:val="nil"/>
              <w:left w:val="nil"/>
              <w:bottom w:val="single" w:sz="8" w:space="0" w:color="auto"/>
              <w:right w:val="nil"/>
            </w:tcBorders>
            <w:shd w:val="clear" w:color="auto" w:fill="0B3040"/>
            <w:tcMar>
              <w:left w:w="70" w:type="dxa"/>
              <w:right w:w="70" w:type="dxa"/>
            </w:tcMar>
            <w:vAlign w:val="bottom"/>
          </w:tcPr>
          <w:p w14:paraId="5B1C7D27" w14:textId="0C082CAA" w:rsidR="68B7379A" w:rsidRPr="00951AB1" w:rsidRDefault="68B7379A" w:rsidP="000A5389">
            <w:pPr>
              <w:spacing w:line="240" w:lineRule="auto"/>
              <w:jc w:val="center"/>
              <w:rPr>
                <w:rFonts w:cs="Times New Roman"/>
              </w:rPr>
            </w:pPr>
            <w:r w:rsidRPr="00951AB1">
              <w:rPr>
                <w:rFonts w:eastAsia="Times New Roman" w:cs="Times New Roman"/>
                <w:b/>
                <w:bCs/>
                <w:color w:val="FFFFFF" w:themeColor="background1"/>
                <w:sz w:val="16"/>
                <w:szCs w:val="16"/>
              </w:rPr>
              <w:t>T2</w:t>
            </w:r>
          </w:p>
        </w:tc>
        <w:tc>
          <w:tcPr>
            <w:tcW w:w="231" w:type="pct"/>
            <w:tcBorders>
              <w:top w:val="nil"/>
              <w:left w:val="nil"/>
              <w:bottom w:val="single" w:sz="8" w:space="0" w:color="auto"/>
              <w:right w:val="nil"/>
            </w:tcBorders>
            <w:shd w:val="clear" w:color="auto" w:fill="0B3040"/>
            <w:tcMar>
              <w:left w:w="70" w:type="dxa"/>
              <w:right w:w="70" w:type="dxa"/>
            </w:tcMar>
            <w:vAlign w:val="bottom"/>
          </w:tcPr>
          <w:p w14:paraId="7A845011" w14:textId="3E9BA6F5" w:rsidR="68B7379A" w:rsidRPr="00951AB1" w:rsidRDefault="68B7379A" w:rsidP="000A5389">
            <w:pPr>
              <w:spacing w:line="240" w:lineRule="auto"/>
              <w:jc w:val="center"/>
              <w:rPr>
                <w:rFonts w:cs="Times New Roman"/>
              </w:rPr>
            </w:pPr>
            <w:r w:rsidRPr="00951AB1">
              <w:rPr>
                <w:rFonts w:eastAsia="Times New Roman" w:cs="Times New Roman"/>
                <w:b/>
                <w:bCs/>
                <w:color w:val="FFFFFF" w:themeColor="background1"/>
                <w:sz w:val="16"/>
                <w:szCs w:val="16"/>
              </w:rPr>
              <w:t>T3</w:t>
            </w:r>
          </w:p>
        </w:tc>
        <w:tc>
          <w:tcPr>
            <w:tcW w:w="231" w:type="pct"/>
            <w:tcBorders>
              <w:top w:val="nil"/>
              <w:left w:val="nil"/>
              <w:bottom w:val="single" w:sz="8" w:space="0" w:color="auto"/>
              <w:right w:val="single" w:sz="8" w:space="0" w:color="auto"/>
            </w:tcBorders>
            <w:shd w:val="clear" w:color="auto" w:fill="0B3040"/>
            <w:tcMar>
              <w:left w:w="70" w:type="dxa"/>
              <w:right w:w="70" w:type="dxa"/>
            </w:tcMar>
            <w:vAlign w:val="bottom"/>
          </w:tcPr>
          <w:p w14:paraId="61274BAC" w14:textId="19DAA46F" w:rsidR="68B7379A" w:rsidRPr="00951AB1" w:rsidRDefault="68B7379A" w:rsidP="000A5389">
            <w:pPr>
              <w:spacing w:line="240" w:lineRule="auto"/>
              <w:jc w:val="center"/>
              <w:rPr>
                <w:rFonts w:cs="Times New Roman"/>
              </w:rPr>
            </w:pPr>
            <w:r w:rsidRPr="00951AB1">
              <w:rPr>
                <w:rFonts w:eastAsia="Times New Roman" w:cs="Times New Roman"/>
                <w:b/>
                <w:bCs/>
                <w:color w:val="FFFFFF" w:themeColor="background1"/>
                <w:sz w:val="16"/>
                <w:szCs w:val="16"/>
              </w:rPr>
              <w:t>T4</w:t>
            </w:r>
          </w:p>
        </w:tc>
        <w:tc>
          <w:tcPr>
            <w:tcW w:w="429" w:type="pct"/>
            <w:gridSpan w:val="2"/>
            <w:tcBorders>
              <w:top w:val="nil"/>
              <w:left w:val="single" w:sz="8" w:space="0" w:color="auto"/>
              <w:bottom w:val="single" w:sz="8" w:space="0" w:color="auto"/>
              <w:right w:val="nil"/>
            </w:tcBorders>
            <w:shd w:val="clear" w:color="auto" w:fill="0B3040"/>
            <w:tcMar>
              <w:left w:w="70" w:type="dxa"/>
              <w:right w:w="70" w:type="dxa"/>
            </w:tcMar>
            <w:vAlign w:val="bottom"/>
          </w:tcPr>
          <w:p w14:paraId="56DFD027" w14:textId="5700A700" w:rsidR="68B7379A" w:rsidRPr="00951AB1" w:rsidRDefault="68B7379A" w:rsidP="000A5389">
            <w:pPr>
              <w:spacing w:line="240" w:lineRule="auto"/>
              <w:jc w:val="center"/>
              <w:rPr>
                <w:rFonts w:cs="Times New Roman"/>
              </w:rPr>
            </w:pPr>
            <w:r w:rsidRPr="00951AB1">
              <w:rPr>
                <w:rFonts w:eastAsia="Times New Roman" w:cs="Times New Roman"/>
                <w:b/>
                <w:bCs/>
                <w:color w:val="FFFFFF" w:themeColor="background1"/>
                <w:sz w:val="16"/>
                <w:szCs w:val="16"/>
              </w:rPr>
              <w:t>T1</w:t>
            </w:r>
          </w:p>
        </w:tc>
        <w:tc>
          <w:tcPr>
            <w:tcW w:w="231" w:type="pct"/>
            <w:tcBorders>
              <w:top w:val="nil"/>
              <w:left w:val="nil"/>
              <w:bottom w:val="single" w:sz="8" w:space="0" w:color="auto"/>
              <w:right w:val="nil"/>
            </w:tcBorders>
            <w:shd w:val="clear" w:color="auto" w:fill="0B3040"/>
            <w:tcMar>
              <w:left w:w="70" w:type="dxa"/>
              <w:right w:w="70" w:type="dxa"/>
            </w:tcMar>
            <w:vAlign w:val="bottom"/>
          </w:tcPr>
          <w:p w14:paraId="2BE3EB51" w14:textId="174BF223" w:rsidR="68B7379A" w:rsidRPr="00951AB1" w:rsidRDefault="68B7379A" w:rsidP="000A5389">
            <w:pPr>
              <w:spacing w:line="240" w:lineRule="auto"/>
              <w:jc w:val="center"/>
              <w:rPr>
                <w:rFonts w:cs="Times New Roman"/>
              </w:rPr>
            </w:pPr>
            <w:r w:rsidRPr="00951AB1">
              <w:rPr>
                <w:rFonts w:eastAsia="Times New Roman" w:cs="Times New Roman"/>
                <w:b/>
                <w:bCs/>
                <w:color w:val="FFFFFF" w:themeColor="background1"/>
                <w:sz w:val="16"/>
                <w:szCs w:val="16"/>
              </w:rPr>
              <w:t>T2</w:t>
            </w:r>
          </w:p>
        </w:tc>
        <w:tc>
          <w:tcPr>
            <w:tcW w:w="231" w:type="pct"/>
            <w:tcBorders>
              <w:top w:val="nil"/>
              <w:left w:val="nil"/>
              <w:bottom w:val="single" w:sz="8" w:space="0" w:color="auto"/>
              <w:right w:val="nil"/>
            </w:tcBorders>
            <w:shd w:val="clear" w:color="auto" w:fill="0B3040"/>
            <w:tcMar>
              <w:left w:w="70" w:type="dxa"/>
              <w:right w:w="70" w:type="dxa"/>
            </w:tcMar>
            <w:vAlign w:val="bottom"/>
          </w:tcPr>
          <w:p w14:paraId="03B883AD" w14:textId="0DA4E678" w:rsidR="68B7379A" w:rsidRPr="00951AB1" w:rsidRDefault="68B7379A" w:rsidP="000A5389">
            <w:pPr>
              <w:spacing w:line="240" w:lineRule="auto"/>
              <w:jc w:val="center"/>
              <w:rPr>
                <w:rFonts w:cs="Times New Roman"/>
              </w:rPr>
            </w:pPr>
            <w:r w:rsidRPr="00951AB1">
              <w:rPr>
                <w:rFonts w:eastAsia="Times New Roman" w:cs="Times New Roman"/>
                <w:b/>
                <w:bCs/>
                <w:color w:val="FFFFFF" w:themeColor="background1"/>
                <w:sz w:val="16"/>
                <w:szCs w:val="16"/>
              </w:rPr>
              <w:t>T3</w:t>
            </w:r>
          </w:p>
        </w:tc>
        <w:tc>
          <w:tcPr>
            <w:tcW w:w="232" w:type="pct"/>
            <w:tcBorders>
              <w:top w:val="nil"/>
              <w:left w:val="nil"/>
              <w:bottom w:val="single" w:sz="8" w:space="0" w:color="auto"/>
              <w:right w:val="single" w:sz="8" w:space="0" w:color="auto"/>
            </w:tcBorders>
            <w:shd w:val="clear" w:color="auto" w:fill="0B3040"/>
            <w:tcMar>
              <w:left w:w="70" w:type="dxa"/>
              <w:right w:w="70" w:type="dxa"/>
            </w:tcMar>
            <w:vAlign w:val="bottom"/>
          </w:tcPr>
          <w:p w14:paraId="2A28238D" w14:textId="2E3E8F24" w:rsidR="68B7379A" w:rsidRPr="00951AB1" w:rsidRDefault="68B7379A" w:rsidP="000A5389">
            <w:pPr>
              <w:spacing w:line="240" w:lineRule="auto"/>
              <w:jc w:val="center"/>
              <w:rPr>
                <w:rFonts w:cs="Times New Roman"/>
              </w:rPr>
            </w:pPr>
            <w:r w:rsidRPr="00951AB1">
              <w:rPr>
                <w:rFonts w:eastAsia="Times New Roman" w:cs="Times New Roman"/>
                <w:b/>
                <w:bCs/>
                <w:color w:val="FFFFFF" w:themeColor="background1"/>
                <w:sz w:val="16"/>
                <w:szCs w:val="16"/>
              </w:rPr>
              <w:t>T4</w:t>
            </w:r>
          </w:p>
        </w:tc>
      </w:tr>
      <w:tr w:rsidR="68B7379A" w:rsidRPr="00951AB1" w14:paraId="26058A05" w14:textId="77777777" w:rsidTr="00512B77">
        <w:trPr>
          <w:gridAfter w:val="1"/>
          <w:wAfter w:w="213" w:type="pct"/>
          <w:trHeight w:val="405"/>
        </w:trPr>
        <w:tc>
          <w:tcPr>
            <w:tcW w:w="695" w:type="pct"/>
            <w:tcBorders>
              <w:top w:val="nil"/>
              <w:left w:val="single" w:sz="8" w:space="0" w:color="auto"/>
              <w:bottom w:val="nil"/>
              <w:right w:val="single" w:sz="8" w:space="0" w:color="auto"/>
            </w:tcBorders>
            <w:shd w:val="clear" w:color="auto" w:fill="FFFFFF" w:themeFill="background1"/>
            <w:tcMar>
              <w:left w:w="70" w:type="dxa"/>
              <w:right w:w="70" w:type="dxa"/>
            </w:tcMar>
            <w:vAlign w:val="center"/>
          </w:tcPr>
          <w:p w14:paraId="44F8D690" w14:textId="5392EB76" w:rsidR="68B7379A" w:rsidRPr="00951AB1" w:rsidRDefault="68B7379A" w:rsidP="000A5389">
            <w:pPr>
              <w:spacing w:line="240" w:lineRule="auto"/>
              <w:rPr>
                <w:rFonts w:cs="Times New Roman"/>
              </w:rPr>
            </w:pPr>
            <w:r w:rsidRPr="00951AB1">
              <w:rPr>
                <w:rFonts w:eastAsia="Times New Roman" w:cs="Times New Roman"/>
                <w:color w:val="000000" w:themeColor="text1"/>
                <w:sz w:val="16"/>
                <w:szCs w:val="16"/>
              </w:rPr>
              <w:t>Activos identificados y categorizados</w:t>
            </w:r>
          </w:p>
        </w:tc>
        <w:tc>
          <w:tcPr>
            <w:tcW w:w="231" w:type="pct"/>
            <w:shd w:val="clear" w:color="auto" w:fill="FFFFFF" w:themeFill="background1"/>
            <w:tcMar>
              <w:left w:w="70" w:type="dxa"/>
              <w:right w:w="70" w:type="dxa"/>
            </w:tcMar>
            <w:vAlign w:val="center"/>
          </w:tcPr>
          <w:p w14:paraId="77B51B78" w14:textId="223F0B1A" w:rsidR="68B7379A" w:rsidRPr="00951AB1" w:rsidRDefault="68B7379A" w:rsidP="000A5389">
            <w:pPr>
              <w:spacing w:line="240" w:lineRule="auto"/>
              <w:jc w:val="center"/>
              <w:rPr>
                <w:rFonts w:cs="Times New Roman"/>
              </w:rPr>
            </w:pPr>
            <w:r w:rsidRPr="00951AB1">
              <w:rPr>
                <w:rFonts w:eastAsia="Times New Roman" w:cs="Times New Roman"/>
                <w:color w:val="E97132"/>
                <w:sz w:val="16"/>
                <w:szCs w:val="16"/>
              </w:rPr>
              <w:t xml:space="preserve"> </w:t>
            </w:r>
          </w:p>
        </w:tc>
        <w:tc>
          <w:tcPr>
            <w:tcW w:w="231" w:type="pct"/>
            <w:shd w:val="clear" w:color="auto" w:fill="FFFFFF" w:themeFill="background1"/>
            <w:tcMar>
              <w:left w:w="70" w:type="dxa"/>
              <w:right w:w="70" w:type="dxa"/>
            </w:tcMar>
            <w:vAlign w:val="center"/>
          </w:tcPr>
          <w:p w14:paraId="4476235B" w14:textId="104DFFCC" w:rsidR="68B7379A" w:rsidRPr="00951AB1" w:rsidRDefault="68B7379A" w:rsidP="000A5389">
            <w:pPr>
              <w:spacing w:line="240" w:lineRule="auto"/>
              <w:jc w:val="center"/>
              <w:rPr>
                <w:rFonts w:cs="Times New Roman"/>
              </w:rPr>
            </w:pPr>
            <w:r w:rsidRPr="00951AB1">
              <w:rPr>
                <w:rFonts w:eastAsia="Times New Roman" w:cs="Times New Roman"/>
                <w:color w:val="E97132"/>
                <w:sz w:val="16"/>
                <w:szCs w:val="16"/>
              </w:rPr>
              <w:t>x</w:t>
            </w:r>
          </w:p>
        </w:tc>
        <w:tc>
          <w:tcPr>
            <w:tcW w:w="231" w:type="pct"/>
            <w:shd w:val="clear" w:color="auto" w:fill="FFFFFF" w:themeFill="background1"/>
            <w:tcMar>
              <w:left w:w="70" w:type="dxa"/>
              <w:right w:w="70" w:type="dxa"/>
            </w:tcMar>
            <w:vAlign w:val="center"/>
          </w:tcPr>
          <w:p w14:paraId="0586893F" w14:textId="77FDE384" w:rsidR="68B7379A" w:rsidRPr="00951AB1" w:rsidRDefault="68B7379A" w:rsidP="000A5389">
            <w:pPr>
              <w:spacing w:line="240" w:lineRule="auto"/>
              <w:jc w:val="center"/>
              <w:rPr>
                <w:rFonts w:cs="Times New Roman"/>
              </w:rPr>
            </w:pPr>
            <w:r w:rsidRPr="00951AB1">
              <w:rPr>
                <w:rFonts w:eastAsia="Times New Roman" w:cs="Times New Roman"/>
                <w:color w:val="E97132"/>
                <w:sz w:val="16"/>
                <w:szCs w:val="16"/>
              </w:rPr>
              <w:t xml:space="preserve"> </w:t>
            </w:r>
          </w:p>
        </w:tc>
        <w:tc>
          <w:tcPr>
            <w:tcW w:w="231" w:type="pct"/>
            <w:tcBorders>
              <w:top w:val="single" w:sz="8" w:space="0" w:color="auto"/>
              <w:bottom w:val="nil"/>
              <w:right w:val="single" w:sz="8" w:space="0" w:color="auto"/>
            </w:tcBorders>
            <w:shd w:val="clear" w:color="auto" w:fill="FFFFFF" w:themeFill="background1"/>
            <w:tcMar>
              <w:left w:w="70" w:type="dxa"/>
              <w:right w:w="70" w:type="dxa"/>
            </w:tcMar>
            <w:vAlign w:val="center"/>
          </w:tcPr>
          <w:p w14:paraId="134337FB" w14:textId="208886FD" w:rsidR="68B7379A" w:rsidRPr="00951AB1" w:rsidRDefault="68B7379A" w:rsidP="000A5389">
            <w:pPr>
              <w:spacing w:line="240" w:lineRule="auto"/>
              <w:jc w:val="center"/>
              <w:rPr>
                <w:rFonts w:cs="Times New Roman"/>
              </w:rPr>
            </w:pPr>
            <w:r w:rsidRPr="00951AB1">
              <w:rPr>
                <w:rFonts w:eastAsia="Times New Roman" w:cs="Times New Roman"/>
                <w:color w:val="E97132"/>
                <w:sz w:val="16"/>
                <w:szCs w:val="16"/>
              </w:rPr>
              <w:t xml:space="preserve"> </w:t>
            </w:r>
          </w:p>
        </w:tc>
        <w:tc>
          <w:tcPr>
            <w:tcW w:w="231" w:type="pct"/>
            <w:shd w:val="clear" w:color="auto" w:fill="FFFFFF" w:themeFill="background1"/>
            <w:tcMar>
              <w:left w:w="70" w:type="dxa"/>
              <w:right w:w="70" w:type="dxa"/>
            </w:tcMar>
            <w:vAlign w:val="center"/>
          </w:tcPr>
          <w:p w14:paraId="0238E69A" w14:textId="31113FB9" w:rsidR="68B7379A" w:rsidRPr="00951AB1" w:rsidRDefault="68B7379A" w:rsidP="000A5389">
            <w:pPr>
              <w:spacing w:line="240" w:lineRule="auto"/>
              <w:jc w:val="center"/>
              <w:rPr>
                <w:rFonts w:cs="Times New Roman"/>
              </w:rPr>
            </w:pPr>
            <w:r w:rsidRPr="00951AB1">
              <w:rPr>
                <w:rFonts w:eastAsia="Times New Roman" w:cs="Times New Roman"/>
                <w:color w:val="E97132"/>
                <w:sz w:val="16"/>
                <w:szCs w:val="16"/>
              </w:rPr>
              <w:t xml:space="preserve"> </w:t>
            </w:r>
          </w:p>
        </w:tc>
        <w:tc>
          <w:tcPr>
            <w:tcW w:w="231" w:type="pct"/>
            <w:shd w:val="clear" w:color="auto" w:fill="FFFFFF" w:themeFill="background1"/>
            <w:tcMar>
              <w:left w:w="70" w:type="dxa"/>
              <w:right w:w="70" w:type="dxa"/>
            </w:tcMar>
            <w:vAlign w:val="center"/>
          </w:tcPr>
          <w:p w14:paraId="1304FEA1" w14:textId="689D2E06" w:rsidR="68B7379A" w:rsidRPr="00951AB1" w:rsidRDefault="68B7379A" w:rsidP="000A5389">
            <w:pPr>
              <w:spacing w:line="240" w:lineRule="auto"/>
              <w:jc w:val="center"/>
              <w:rPr>
                <w:rFonts w:cs="Times New Roman"/>
              </w:rPr>
            </w:pPr>
            <w:r w:rsidRPr="00951AB1">
              <w:rPr>
                <w:rFonts w:eastAsia="Times New Roman" w:cs="Times New Roman"/>
                <w:color w:val="E97132"/>
                <w:sz w:val="16"/>
                <w:szCs w:val="16"/>
              </w:rPr>
              <w:t xml:space="preserve"> </w:t>
            </w:r>
          </w:p>
        </w:tc>
        <w:tc>
          <w:tcPr>
            <w:tcW w:w="231" w:type="pct"/>
            <w:shd w:val="clear" w:color="auto" w:fill="FFFFFF" w:themeFill="background1"/>
            <w:tcMar>
              <w:left w:w="70" w:type="dxa"/>
              <w:right w:w="70" w:type="dxa"/>
            </w:tcMar>
            <w:vAlign w:val="center"/>
          </w:tcPr>
          <w:p w14:paraId="2B665A96" w14:textId="7A756353" w:rsidR="68B7379A" w:rsidRPr="00951AB1" w:rsidRDefault="68B7379A" w:rsidP="000A5389">
            <w:pPr>
              <w:spacing w:line="240" w:lineRule="auto"/>
              <w:jc w:val="center"/>
              <w:rPr>
                <w:rFonts w:cs="Times New Roman"/>
              </w:rPr>
            </w:pPr>
            <w:r w:rsidRPr="00951AB1">
              <w:rPr>
                <w:rFonts w:eastAsia="Times New Roman" w:cs="Times New Roman"/>
                <w:color w:val="E97132"/>
                <w:sz w:val="16"/>
                <w:szCs w:val="16"/>
              </w:rPr>
              <w:t xml:space="preserve"> </w:t>
            </w:r>
          </w:p>
        </w:tc>
        <w:tc>
          <w:tcPr>
            <w:tcW w:w="231" w:type="pct"/>
            <w:tcBorders>
              <w:top w:val="single" w:sz="8" w:space="0" w:color="auto"/>
              <w:bottom w:val="nil"/>
              <w:right w:val="single" w:sz="8" w:space="0" w:color="auto"/>
            </w:tcBorders>
            <w:shd w:val="clear" w:color="auto" w:fill="FFFFFF" w:themeFill="background1"/>
            <w:tcMar>
              <w:left w:w="70" w:type="dxa"/>
              <w:right w:w="70" w:type="dxa"/>
            </w:tcMar>
            <w:vAlign w:val="center"/>
          </w:tcPr>
          <w:p w14:paraId="5B85C471" w14:textId="2B70D16D" w:rsidR="68B7379A" w:rsidRPr="00951AB1" w:rsidRDefault="68B7379A" w:rsidP="000A5389">
            <w:pPr>
              <w:spacing w:line="240" w:lineRule="auto"/>
              <w:jc w:val="center"/>
              <w:rPr>
                <w:rFonts w:cs="Times New Roman"/>
              </w:rPr>
            </w:pPr>
            <w:r w:rsidRPr="00951AB1">
              <w:rPr>
                <w:rFonts w:eastAsia="Times New Roman" w:cs="Times New Roman"/>
                <w:color w:val="E97132"/>
                <w:sz w:val="16"/>
                <w:szCs w:val="16"/>
              </w:rPr>
              <w:t xml:space="preserve"> </w:t>
            </w:r>
          </w:p>
        </w:tc>
        <w:tc>
          <w:tcPr>
            <w:tcW w:w="429" w:type="pct"/>
            <w:gridSpan w:val="2"/>
            <w:tcBorders>
              <w:left w:val="single" w:sz="8" w:space="0" w:color="auto"/>
              <w:bottom w:val="single" w:sz="8" w:space="0" w:color="auto"/>
            </w:tcBorders>
            <w:shd w:val="clear" w:color="auto" w:fill="FFFFFF" w:themeFill="background1"/>
            <w:tcMar>
              <w:left w:w="70" w:type="dxa"/>
              <w:right w:w="70" w:type="dxa"/>
            </w:tcMar>
            <w:vAlign w:val="center"/>
          </w:tcPr>
          <w:p w14:paraId="53B32CCE" w14:textId="4A19DE68" w:rsidR="68B7379A" w:rsidRPr="00951AB1" w:rsidRDefault="68B7379A" w:rsidP="000A5389">
            <w:pPr>
              <w:spacing w:line="240" w:lineRule="auto"/>
              <w:jc w:val="center"/>
              <w:rPr>
                <w:rFonts w:cs="Times New Roman"/>
              </w:rPr>
            </w:pPr>
            <w:r w:rsidRPr="00951AB1">
              <w:rPr>
                <w:rFonts w:eastAsia="Times New Roman" w:cs="Times New Roman"/>
                <w:color w:val="E97132"/>
                <w:sz w:val="16"/>
                <w:szCs w:val="16"/>
              </w:rPr>
              <w:t xml:space="preserve"> </w:t>
            </w:r>
          </w:p>
        </w:tc>
        <w:tc>
          <w:tcPr>
            <w:tcW w:w="231" w:type="pct"/>
            <w:shd w:val="clear" w:color="auto" w:fill="FFFFFF" w:themeFill="background1"/>
            <w:tcMar>
              <w:left w:w="70" w:type="dxa"/>
              <w:right w:w="70" w:type="dxa"/>
            </w:tcMar>
            <w:vAlign w:val="center"/>
          </w:tcPr>
          <w:p w14:paraId="518C4DC6" w14:textId="77B30EE0" w:rsidR="68B7379A" w:rsidRPr="00951AB1" w:rsidRDefault="68B7379A" w:rsidP="000A5389">
            <w:pPr>
              <w:spacing w:line="240" w:lineRule="auto"/>
              <w:jc w:val="center"/>
              <w:rPr>
                <w:rFonts w:cs="Times New Roman"/>
              </w:rPr>
            </w:pPr>
            <w:r w:rsidRPr="00951AB1">
              <w:rPr>
                <w:rFonts w:eastAsia="Times New Roman" w:cs="Times New Roman"/>
                <w:color w:val="E97132"/>
                <w:sz w:val="16"/>
                <w:szCs w:val="16"/>
              </w:rPr>
              <w:t xml:space="preserve"> </w:t>
            </w:r>
          </w:p>
        </w:tc>
        <w:tc>
          <w:tcPr>
            <w:tcW w:w="231" w:type="pct"/>
            <w:shd w:val="clear" w:color="auto" w:fill="FFFFFF" w:themeFill="background1"/>
            <w:tcMar>
              <w:left w:w="70" w:type="dxa"/>
              <w:right w:w="70" w:type="dxa"/>
            </w:tcMar>
            <w:vAlign w:val="center"/>
          </w:tcPr>
          <w:p w14:paraId="0DC0844A" w14:textId="4CC3E691" w:rsidR="68B7379A" w:rsidRPr="00951AB1" w:rsidRDefault="68B7379A" w:rsidP="000A5389">
            <w:pPr>
              <w:spacing w:line="240" w:lineRule="auto"/>
              <w:jc w:val="center"/>
              <w:rPr>
                <w:rFonts w:cs="Times New Roman"/>
              </w:rPr>
            </w:pPr>
            <w:r w:rsidRPr="00951AB1">
              <w:rPr>
                <w:rFonts w:eastAsia="Times New Roman" w:cs="Times New Roman"/>
                <w:color w:val="E97132"/>
                <w:sz w:val="16"/>
                <w:szCs w:val="16"/>
              </w:rPr>
              <w:t xml:space="preserve"> </w:t>
            </w:r>
          </w:p>
        </w:tc>
        <w:tc>
          <w:tcPr>
            <w:tcW w:w="231" w:type="pct"/>
            <w:tcBorders>
              <w:top w:val="single" w:sz="8" w:space="0" w:color="auto"/>
              <w:bottom w:val="nil"/>
              <w:right w:val="single" w:sz="8" w:space="0" w:color="auto"/>
            </w:tcBorders>
            <w:shd w:val="clear" w:color="auto" w:fill="FFFFFF" w:themeFill="background1"/>
            <w:tcMar>
              <w:left w:w="70" w:type="dxa"/>
              <w:right w:w="70" w:type="dxa"/>
            </w:tcMar>
            <w:vAlign w:val="center"/>
          </w:tcPr>
          <w:p w14:paraId="4E6DF7B6" w14:textId="6FA4292D" w:rsidR="68B7379A" w:rsidRPr="00951AB1" w:rsidRDefault="68B7379A" w:rsidP="000A5389">
            <w:pPr>
              <w:spacing w:line="240" w:lineRule="auto"/>
              <w:jc w:val="center"/>
              <w:rPr>
                <w:rFonts w:cs="Times New Roman"/>
              </w:rPr>
            </w:pPr>
            <w:r w:rsidRPr="00951AB1">
              <w:rPr>
                <w:rFonts w:eastAsia="Times New Roman" w:cs="Times New Roman"/>
                <w:color w:val="E97132"/>
                <w:sz w:val="16"/>
                <w:szCs w:val="16"/>
              </w:rPr>
              <w:t xml:space="preserve"> </w:t>
            </w:r>
          </w:p>
        </w:tc>
        <w:tc>
          <w:tcPr>
            <w:tcW w:w="429" w:type="pct"/>
            <w:gridSpan w:val="2"/>
            <w:tcBorders>
              <w:left w:val="single" w:sz="8" w:space="0" w:color="auto"/>
              <w:bottom w:val="single" w:sz="8" w:space="0" w:color="auto"/>
            </w:tcBorders>
            <w:shd w:val="clear" w:color="auto" w:fill="FFFFFF" w:themeFill="background1"/>
            <w:tcMar>
              <w:left w:w="70" w:type="dxa"/>
              <w:right w:w="70" w:type="dxa"/>
            </w:tcMar>
            <w:vAlign w:val="center"/>
          </w:tcPr>
          <w:p w14:paraId="6BAD47AB" w14:textId="330469D9" w:rsidR="68B7379A" w:rsidRPr="00951AB1" w:rsidRDefault="68B7379A" w:rsidP="000A5389">
            <w:pPr>
              <w:spacing w:line="240" w:lineRule="auto"/>
              <w:jc w:val="center"/>
              <w:rPr>
                <w:rFonts w:cs="Times New Roman"/>
              </w:rPr>
            </w:pPr>
            <w:r w:rsidRPr="00951AB1">
              <w:rPr>
                <w:rFonts w:eastAsia="Times New Roman" w:cs="Times New Roman"/>
                <w:color w:val="E97132"/>
                <w:sz w:val="16"/>
                <w:szCs w:val="16"/>
              </w:rPr>
              <w:t xml:space="preserve"> </w:t>
            </w:r>
          </w:p>
        </w:tc>
        <w:tc>
          <w:tcPr>
            <w:tcW w:w="231" w:type="pct"/>
            <w:shd w:val="clear" w:color="auto" w:fill="FFFFFF" w:themeFill="background1"/>
            <w:tcMar>
              <w:left w:w="70" w:type="dxa"/>
              <w:right w:w="70" w:type="dxa"/>
            </w:tcMar>
            <w:vAlign w:val="center"/>
          </w:tcPr>
          <w:p w14:paraId="329FEEE0" w14:textId="37CB852B" w:rsidR="68B7379A" w:rsidRPr="00951AB1" w:rsidRDefault="68B7379A" w:rsidP="000A5389">
            <w:pPr>
              <w:spacing w:line="240" w:lineRule="auto"/>
              <w:jc w:val="center"/>
              <w:rPr>
                <w:rFonts w:cs="Times New Roman"/>
              </w:rPr>
            </w:pPr>
            <w:r w:rsidRPr="00951AB1">
              <w:rPr>
                <w:rFonts w:eastAsia="Times New Roman" w:cs="Times New Roman"/>
                <w:color w:val="E97132"/>
                <w:sz w:val="16"/>
                <w:szCs w:val="16"/>
              </w:rPr>
              <w:t xml:space="preserve"> </w:t>
            </w:r>
          </w:p>
        </w:tc>
        <w:tc>
          <w:tcPr>
            <w:tcW w:w="231" w:type="pct"/>
            <w:shd w:val="clear" w:color="auto" w:fill="FFFFFF" w:themeFill="background1"/>
            <w:tcMar>
              <w:left w:w="70" w:type="dxa"/>
              <w:right w:w="70" w:type="dxa"/>
            </w:tcMar>
            <w:vAlign w:val="center"/>
          </w:tcPr>
          <w:p w14:paraId="62F6B150" w14:textId="2AD59D33" w:rsidR="68B7379A" w:rsidRPr="00951AB1" w:rsidRDefault="68B7379A" w:rsidP="000A5389">
            <w:pPr>
              <w:spacing w:line="240" w:lineRule="auto"/>
              <w:jc w:val="center"/>
              <w:rPr>
                <w:rFonts w:cs="Times New Roman"/>
              </w:rPr>
            </w:pPr>
            <w:r w:rsidRPr="00951AB1">
              <w:rPr>
                <w:rFonts w:eastAsia="Times New Roman" w:cs="Times New Roman"/>
                <w:color w:val="E97132"/>
                <w:sz w:val="16"/>
                <w:szCs w:val="16"/>
              </w:rPr>
              <w:t xml:space="preserve"> </w:t>
            </w:r>
          </w:p>
        </w:tc>
        <w:tc>
          <w:tcPr>
            <w:tcW w:w="232" w:type="pct"/>
            <w:tcBorders>
              <w:top w:val="single" w:sz="8" w:space="0" w:color="auto"/>
              <w:bottom w:val="nil"/>
              <w:right w:val="single" w:sz="8" w:space="0" w:color="auto"/>
            </w:tcBorders>
            <w:shd w:val="clear" w:color="auto" w:fill="FFFFFF" w:themeFill="background1"/>
            <w:tcMar>
              <w:left w:w="70" w:type="dxa"/>
              <w:right w:w="70" w:type="dxa"/>
            </w:tcMar>
            <w:vAlign w:val="center"/>
          </w:tcPr>
          <w:p w14:paraId="408676E1" w14:textId="1EFC2C83" w:rsidR="68B7379A" w:rsidRPr="00951AB1" w:rsidRDefault="68B7379A" w:rsidP="000A5389">
            <w:pPr>
              <w:spacing w:line="240" w:lineRule="auto"/>
              <w:jc w:val="center"/>
              <w:rPr>
                <w:rFonts w:cs="Times New Roman"/>
              </w:rPr>
            </w:pPr>
            <w:r w:rsidRPr="00951AB1">
              <w:rPr>
                <w:rFonts w:eastAsia="Times New Roman" w:cs="Times New Roman"/>
                <w:color w:val="E97132"/>
                <w:sz w:val="16"/>
                <w:szCs w:val="16"/>
              </w:rPr>
              <w:t xml:space="preserve"> </w:t>
            </w:r>
          </w:p>
        </w:tc>
      </w:tr>
      <w:tr w:rsidR="68B7379A" w:rsidRPr="00951AB1" w14:paraId="16107E99" w14:textId="77777777" w:rsidTr="00512B77">
        <w:trPr>
          <w:gridAfter w:val="1"/>
          <w:wAfter w:w="213" w:type="pct"/>
          <w:trHeight w:val="405"/>
        </w:trPr>
        <w:tc>
          <w:tcPr>
            <w:tcW w:w="695" w:type="pct"/>
            <w:tcBorders>
              <w:top w:val="nil"/>
              <w:left w:val="single" w:sz="8" w:space="0" w:color="auto"/>
              <w:bottom w:val="nil"/>
              <w:right w:val="single" w:sz="8" w:space="0" w:color="auto"/>
            </w:tcBorders>
            <w:shd w:val="clear" w:color="auto" w:fill="F2F2F2" w:themeFill="background1" w:themeFillShade="F2"/>
            <w:tcMar>
              <w:left w:w="70" w:type="dxa"/>
              <w:right w:w="70" w:type="dxa"/>
            </w:tcMar>
            <w:vAlign w:val="center"/>
          </w:tcPr>
          <w:p w14:paraId="195B1F29" w14:textId="40A3F53B" w:rsidR="68B7379A" w:rsidRPr="00951AB1" w:rsidRDefault="68B7379A" w:rsidP="000A5389">
            <w:pPr>
              <w:spacing w:line="240" w:lineRule="auto"/>
              <w:rPr>
                <w:rFonts w:cs="Times New Roman"/>
              </w:rPr>
            </w:pPr>
            <w:r w:rsidRPr="00951AB1">
              <w:rPr>
                <w:rFonts w:eastAsia="Times New Roman" w:cs="Times New Roman"/>
                <w:color w:val="000000" w:themeColor="text1"/>
                <w:sz w:val="16"/>
                <w:szCs w:val="16"/>
              </w:rPr>
              <w:t>Activos con vida útil y vida económica definida</w:t>
            </w:r>
          </w:p>
        </w:tc>
        <w:tc>
          <w:tcPr>
            <w:tcW w:w="231" w:type="pct"/>
            <w:shd w:val="clear" w:color="auto" w:fill="F2F2F2" w:themeFill="background1" w:themeFillShade="F2"/>
            <w:tcMar>
              <w:left w:w="70" w:type="dxa"/>
              <w:right w:w="70" w:type="dxa"/>
            </w:tcMar>
            <w:vAlign w:val="center"/>
          </w:tcPr>
          <w:p w14:paraId="30B4E7D5" w14:textId="115D5AEF" w:rsidR="68B7379A" w:rsidRPr="00951AB1" w:rsidRDefault="68B7379A" w:rsidP="000A5389">
            <w:pPr>
              <w:spacing w:line="240" w:lineRule="auto"/>
              <w:jc w:val="center"/>
              <w:rPr>
                <w:rFonts w:cs="Times New Roman"/>
              </w:rPr>
            </w:pPr>
            <w:r w:rsidRPr="00951AB1">
              <w:rPr>
                <w:rFonts w:eastAsia="Times New Roman" w:cs="Times New Roman"/>
                <w:color w:val="E97132"/>
                <w:sz w:val="16"/>
                <w:szCs w:val="16"/>
              </w:rPr>
              <w:t xml:space="preserve"> </w:t>
            </w:r>
          </w:p>
        </w:tc>
        <w:tc>
          <w:tcPr>
            <w:tcW w:w="231" w:type="pct"/>
            <w:shd w:val="clear" w:color="auto" w:fill="F2F2F2" w:themeFill="background1" w:themeFillShade="F2"/>
            <w:tcMar>
              <w:left w:w="70" w:type="dxa"/>
              <w:right w:w="70" w:type="dxa"/>
            </w:tcMar>
            <w:vAlign w:val="center"/>
          </w:tcPr>
          <w:p w14:paraId="3F4C6C18" w14:textId="31252B10" w:rsidR="68B7379A" w:rsidRPr="00951AB1" w:rsidRDefault="68B7379A" w:rsidP="000A5389">
            <w:pPr>
              <w:spacing w:line="240" w:lineRule="auto"/>
              <w:jc w:val="center"/>
              <w:rPr>
                <w:rFonts w:cs="Times New Roman"/>
              </w:rPr>
            </w:pPr>
            <w:r w:rsidRPr="00951AB1">
              <w:rPr>
                <w:rFonts w:eastAsia="Times New Roman" w:cs="Times New Roman"/>
                <w:color w:val="E97132"/>
                <w:sz w:val="16"/>
                <w:szCs w:val="16"/>
              </w:rPr>
              <w:t xml:space="preserve"> </w:t>
            </w:r>
          </w:p>
        </w:tc>
        <w:tc>
          <w:tcPr>
            <w:tcW w:w="231" w:type="pct"/>
            <w:shd w:val="clear" w:color="auto" w:fill="F2F2F2" w:themeFill="background1" w:themeFillShade="F2"/>
            <w:tcMar>
              <w:left w:w="70" w:type="dxa"/>
              <w:right w:w="70" w:type="dxa"/>
            </w:tcMar>
            <w:vAlign w:val="center"/>
          </w:tcPr>
          <w:p w14:paraId="4E874A8A" w14:textId="270FD867" w:rsidR="68B7379A" w:rsidRPr="00951AB1" w:rsidRDefault="68B7379A" w:rsidP="000A5389">
            <w:pPr>
              <w:spacing w:line="240" w:lineRule="auto"/>
              <w:jc w:val="center"/>
              <w:rPr>
                <w:rFonts w:cs="Times New Roman"/>
              </w:rPr>
            </w:pPr>
            <w:r w:rsidRPr="00951AB1">
              <w:rPr>
                <w:rFonts w:eastAsia="Times New Roman" w:cs="Times New Roman"/>
                <w:color w:val="E97132"/>
                <w:sz w:val="16"/>
                <w:szCs w:val="16"/>
              </w:rPr>
              <w:t>x</w:t>
            </w:r>
          </w:p>
        </w:tc>
        <w:tc>
          <w:tcPr>
            <w:tcW w:w="231" w:type="pct"/>
            <w:tcBorders>
              <w:top w:val="nil"/>
              <w:bottom w:val="nil"/>
              <w:right w:val="single" w:sz="8" w:space="0" w:color="auto"/>
            </w:tcBorders>
            <w:shd w:val="clear" w:color="auto" w:fill="F2F2F2" w:themeFill="background1" w:themeFillShade="F2"/>
            <w:tcMar>
              <w:left w:w="70" w:type="dxa"/>
              <w:right w:w="70" w:type="dxa"/>
            </w:tcMar>
            <w:vAlign w:val="center"/>
          </w:tcPr>
          <w:p w14:paraId="1ADC4616" w14:textId="0EE8F634" w:rsidR="68B7379A" w:rsidRPr="00951AB1" w:rsidRDefault="68B7379A" w:rsidP="000A5389">
            <w:pPr>
              <w:spacing w:line="240" w:lineRule="auto"/>
              <w:jc w:val="center"/>
              <w:rPr>
                <w:rFonts w:cs="Times New Roman"/>
              </w:rPr>
            </w:pPr>
            <w:r w:rsidRPr="00951AB1">
              <w:rPr>
                <w:rFonts w:eastAsia="Times New Roman" w:cs="Times New Roman"/>
                <w:color w:val="E97132"/>
                <w:sz w:val="16"/>
                <w:szCs w:val="16"/>
              </w:rPr>
              <w:t xml:space="preserve"> </w:t>
            </w:r>
          </w:p>
        </w:tc>
        <w:tc>
          <w:tcPr>
            <w:tcW w:w="231" w:type="pct"/>
            <w:shd w:val="clear" w:color="auto" w:fill="F2F2F2" w:themeFill="background1" w:themeFillShade="F2"/>
            <w:tcMar>
              <w:left w:w="70" w:type="dxa"/>
              <w:right w:w="70" w:type="dxa"/>
            </w:tcMar>
            <w:vAlign w:val="center"/>
          </w:tcPr>
          <w:p w14:paraId="3691A323" w14:textId="7BDCAB54" w:rsidR="68B7379A" w:rsidRPr="00951AB1" w:rsidRDefault="68B7379A" w:rsidP="000A5389">
            <w:pPr>
              <w:spacing w:line="240" w:lineRule="auto"/>
              <w:jc w:val="center"/>
              <w:rPr>
                <w:rFonts w:cs="Times New Roman"/>
              </w:rPr>
            </w:pPr>
            <w:r w:rsidRPr="00951AB1">
              <w:rPr>
                <w:rFonts w:eastAsia="Times New Roman" w:cs="Times New Roman"/>
                <w:color w:val="E97132"/>
                <w:sz w:val="16"/>
                <w:szCs w:val="16"/>
              </w:rPr>
              <w:t xml:space="preserve"> </w:t>
            </w:r>
          </w:p>
        </w:tc>
        <w:tc>
          <w:tcPr>
            <w:tcW w:w="231" w:type="pct"/>
            <w:shd w:val="clear" w:color="auto" w:fill="F2F2F2" w:themeFill="background1" w:themeFillShade="F2"/>
            <w:tcMar>
              <w:left w:w="70" w:type="dxa"/>
              <w:right w:w="70" w:type="dxa"/>
            </w:tcMar>
            <w:vAlign w:val="center"/>
          </w:tcPr>
          <w:p w14:paraId="42AE4D87" w14:textId="203F3654" w:rsidR="68B7379A" w:rsidRPr="00951AB1" w:rsidRDefault="68B7379A" w:rsidP="000A5389">
            <w:pPr>
              <w:spacing w:line="240" w:lineRule="auto"/>
              <w:jc w:val="center"/>
              <w:rPr>
                <w:rFonts w:cs="Times New Roman"/>
              </w:rPr>
            </w:pPr>
            <w:r w:rsidRPr="00951AB1">
              <w:rPr>
                <w:rFonts w:eastAsia="Times New Roman" w:cs="Times New Roman"/>
                <w:color w:val="E97132"/>
                <w:sz w:val="16"/>
                <w:szCs w:val="16"/>
              </w:rPr>
              <w:t xml:space="preserve"> </w:t>
            </w:r>
          </w:p>
        </w:tc>
        <w:tc>
          <w:tcPr>
            <w:tcW w:w="231" w:type="pct"/>
            <w:shd w:val="clear" w:color="auto" w:fill="F2F2F2" w:themeFill="background1" w:themeFillShade="F2"/>
            <w:tcMar>
              <w:left w:w="70" w:type="dxa"/>
              <w:right w:w="70" w:type="dxa"/>
            </w:tcMar>
            <w:vAlign w:val="center"/>
          </w:tcPr>
          <w:p w14:paraId="789FE030" w14:textId="5C1B4C0D" w:rsidR="68B7379A" w:rsidRPr="00951AB1" w:rsidRDefault="68B7379A" w:rsidP="000A5389">
            <w:pPr>
              <w:spacing w:line="240" w:lineRule="auto"/>
              <w:jc w:val="center"/>
              <w:rPr>
                <w:rFonts w:cs="Times New Roman"/>
              </w:rPr>
            </w:pPr>
            <w:r w:rsidRPr="00951AB1">
              <w:rPr>
                <w:rFonts w:eastAsia="Times New Roman" w:cs="Times New Roman"/>
                <w:color w:val="E97132"/>
                <w:sz w:val="16"/>
                <w:szCs w:val="16"/>
              </w:rPr>
              <w:t xml:space="preserve"> </w:t>
            </w:r>
          </w:p>
        </w:tc>
        <w:tc>
          <w:tcPr>
            <w:tcW w:w="231" w:type="pct"/>
            <w:tcBorders>
              <w:top w:val="nil"/>
              <w:bottom w:val="nil"/>
              <w:right w:val="single" w:sz="8" w:space="0" w:color="auto"/>
            </w:tcBorders>
            <w:shd w:val="clear" w:color="auto" w:fill="F2F2F2" w:themeFill="background1" w:themeFillShade="F2"/>
            <w:tcMar>
              <w:left w:w="70" w:type="dxa"/>
              <w:right w:w="70" w:type="dxa"/>
            </w:tcMar>
            <w:vAlign w:val="center"/>
          </w:tcPr>
          <w:p w14:paraId="0FC4B402" w14:textId="55FD7F52" w:rsidR="68B7379A" w:rsidRPr="00951AB1" w:rsidRDefault="68B7379A" w:rsidP="000A5389">
            <w:pPr>
              <w:spacing w:line="240" w:lineRule="auto"/>
              <w:jc w:val="center"/>
              <w:rPr>
                <w:rFonts w:cs="Times New Roman"/>
              </w:rPr>
            </w:pPr>
            <w:r w:rsidRPr="00951AB1">
              <w:rPr>
                <w:rFonts w:eastAsia="Times New Roman" w:cs="Times New Roman"/>
                <w:color w:val="E97132"/>
                <w:sz w:val="16"/>
                <w:szCs w:val="16"/>
              </w:rPr>
              <w:t xml:space="preserve"> </w:t>
            </w:r>
          </w:p>
        </w:tc>
        <w:tc>
          <w:tcPr>
            <w:tcW w:w="429" w:type="pct"/>
            <w:gridSpan w:val="2"/>
            <w:shd w:val="clear" w:color="auto" w:fill="F2F2F2" w:themeFill="background1" w:themeFillShade="F2"/>
            <w:tcMar>
              <w:left w:w="70" w:type="dxa"/>
              <w:right w:w="70" w:type="dxa"/>
            </w:tcMar>
            <w:vAlign w:val="center"/>
          </w:tcPr>
          <w:p w14:paraId="3BC49587" w14:textId="4D065D99" w:rsidR="68B7379A" w:rsidRPr="00951AB1" w:rsidRDefault="68B7379A" w:rsidP="000A5389">
            <w:pPr>
              <w:spacing w:line="240" w:lineRule="auto"/>
              <w:jc w:val="center"/>
              <w:rPr>
                <w:rFonts w:cs="Times New Roman"/>
              </w:rPr>
            </w:pPr>
            <w:r w:rsidRPr="00951AB1">
              <w:rPr>
                <w:rFonts w:eastAsia="Times New Roman" w:cs="Times New Roman"/>
                <w:color w:val="E97132"/>
                <w:sz w:val="16"/>
                <w:szCs w:val="16"/>
              </w:rPr>
              <w:t xml:space="preserve"> </w:t>
            </w:r>
          </w:p>
        </w:tc>
        <w:tc>
          <w:tcPr>
            <w:tcW w:w="231" w:type="pct"/>
            <w:shd w:val="clear" w:color="auto" w:fill="F2F2F2" w:themeFill="background1" w:themeFillShade="F2"/>
            <w:tcMar>
              <w:left w:w="70" w:type="dxa"/>
              <w:right w:w="70" w:type="dxa"/>
            </w:tcMar>
            <w:vAlign w:val="center"/>
          </w:tcPr>
          <w:p w14:paraId="52285B9D" w14:textId="79F0E7CC" w:rsidR="68B7379A" w:rsidRPr="00951AB1" w:rsidRDefault="68B7379A" w:rsidP="000A5389">
            <w:pPr>
              <w:spacing w:line="240" w:lineRule="auto"/>
              <w:jc w:val="center"/>
              <w:rPr>
                <w:rFonts w:cs="Times New Roman"/>
              </w:rPr>
            </w:pPr>
            <w:r w:rsidRPr="00951AB1">
              <w:rPr>
                <w:rFonts w:eastAsia="Times New Roman" w:cs="Times New Roman"/>
                <w:color w:val="E97132"/>
                <w:sz w:val="16"/>
                <w:szCs w:val="16"/>
              </w:rPr>
              <w:t xml:space="preserve"> </w:t>
            </w:r>
          </w:p>
        </w:tc>
        <w:tc>
          <w:tcPr>
            <w:tcW w:w="231" w:type="pct"/>
            <w:shd w:val="clear" w:color="auto" w:fill="F2F2F2" w:themeFill="background1" w:themeFillShade="F2"/>
            <w:tcMar>
              <w:left w:w="70" w:type="dxa"/>
              <w:right w:w="70" w:type="dxa"/>
            </w:tcMar>
            <w:vAlign w:val="center"/>
          </w:tcPr>
          <w:p w14:paraId="220AFF27" w14:textId="4680859E" w:rsidR="68B7379A" w:rsidRPr="00951AB1" w:rsidRDefault="68B7379A" w:rsidP="000A5389">
            <w:pPr>
              <w:spacing w:line="240" w:lineRule="auto"/>
              <w:jc w:val="center"/>
              <w:rPr>
                <w:rFonts w:cs="Times New Roman"/>
              </w:rPr>
            </w:pPr>
            <w:r w:rsidRPr="00951AB1">
              <w:rPr>
                <w:rFonts w:eastAsia="Times New Roman" w:cs="Times New Roman"/>
                <w:color w:val="E97132"/>
                <w:sz w:val="16"/>
                <w:szCs w:val="16"/>
              </w:rPr>
              <w:t xml:space="preserve"> </w:t>
            </w:r>
          </w:p>
        </w:tc>
        <w:tc>
          <w:tcPr>
            <w:tcW w:w="231" w:type="pct"/>
            <w:tcBorders>
              <w:top w:val="nil"/>
              <w:bottom w:val="nil"/>
              <w:right w:val="single" w:sz="8" w:space="0" w:color="auto"/>
            </w:tcBorders>
            <w:shd w:val="clear" w:color="auto" w:fill="F2F2F2" w:themeFill="background1" w:themeFillShade="F2"/>
            <w:tcMar>
              <w:left w:w="70" w:type="dxa"/>
              <w:right w:w="70" w:type="dxa"/>
            </w:tcMar>
            <w:vAlign w:val="center"/>
          </w:tcPr>
          <w:p w14:paraId="0FCE323F" w14:textId="4D24BB4B" w:rsidR="68B7379A" w:rsidRPr="00951AB1" w:rsidRDefault="68B7379A" w:rsidP="000A5389">
            <w:pPr>
              <w:spacing w:line="240" w:lineRule="auto"/>
              <w:jc w:val="center"/>
              <w:rPr>
                <w:rFonts w:cs="Times New Roman"/>
              </w:rPr>
            </w:pPr>
            <w:r w:rsidRPr="00951AB1">
              <w:rPr>
                <w:rFonts w:eastAsia="Times New Roman" w:cs="Times New Roman"/>
                <w:color w:val="E97132"/>
                <w:sz w:val="16"/>
                <w:szCs w:val="16"/>
              </w:rPr>
              <w:t xml:space="preserve"> </w:t>
            </w:r>
          </w:p>
        </w:tc>
        <w:tc>
          <w:tcPr>
            <w:tcW w:w="429" w:type="pct"/>
            <w:gridSpan w:val="2"/>
            <w:shd w:val="clear" w:color="auto" w:fill="F2F2F2" w:themeFill="background1" w:themeFillShade="F2"/>
            <w:tcMar>
              <w:left w:w="70" w:type="dxa"/>
              <w:right w:w="70" w:type="dxa"/>
            </w:tcMar>
            <w:vAlign w:val="center"/>
          </w:tcPr>
          <w:p w14:paraId="0AA598C9" w14:textId="63329449" w:rsidR="68B7379A" w:rsidRPr="00951AB1" w:rsidRDefault="68B7379A" w:rsidP="000A5389">
            <w:pPr>
              <w:spacing w:line="240" w:lineRule="auto"/>
              <w:jc w:val="center"/>
              <w:rPr>
                <w:rFonts w:cs="Times New Roman"/>
              </w:rPr>
            </w:pPr>
            <w:r w:rsidRPr="00951AB1">
              <w:rPr>
                <w:rFonts w:eastAsia="Times New Roman" w:cs="Times New Roman"/>
                <w:color w:val="E97132"/>
                <w:sz w:val="16"/>
                <w:szCs w:val="16"/>
              </w:rPr>
              <w:t xml:space="preserve"> </w:t>
            </w:r>
          </w:p>
        </w:tc>
        <w:tc>
          <w:tcPr>
            <w:tcW w:w="231" w:type="pct"/>
            <w:shd w:val="clear" w:color="auto" w:fill="F2F2F2" w:themeFill="background1" w:themeFillShade="F2"/>
            <w:tcMar>
              <w:left w:w="70" w:type="dxa"/>
              <w:right w:w="70" w:type="dxa"/>
            </w:tcMar>
            <w:vAlign w:val="center"/>
          </w:tcPr>
          <w:p w14:paraId="41CB0175" w14:textId="2CEA7EBC" w:rsidR="68B7379A" w:rsidRPr="00951AB1" w:rsidRDefault="68B7379A" w:rsidP="000A5389">
            <w:pPr>
              <w:spacing w:line="240" w:lineRule="auto"/>
              <w:jc w:val="center"/>
              <w:rPr>
                <w:rFonts w:cs="Times New Roman"/>
              </w:rPr>
            </w:pPr>
            <w:r w:rsidRPr="00951AB1">
              <w:rPr>
                <w:rFonts w:eastAsia="Times New Roman" w:cs="Times New Roman"/>
                <w:color w:val="E97132"/>
                <w:sz w:val="16"/>
                <w:szCs w:val="16"/>
              </w:rPr>
              <w:t xml:space="preserve"> </w:t>
            </w:r>
          </w:p>
        </w:tc>
        <w:tc>
          <w:tcPr>
            <w:tcW w:w="231" w:type="pct"/>
            <w:shd w:val="clear" w:color="auto" w:fill="F2F2F2" w:themeFill="background1" w:themeFillShade="F2"/>
            <w:tcMar>
              <w:left w:w="70" w:type="dxa"/>
              <w:right w:w="70" w:type="dxa"/>
            </w:tcMar>
            <w:vAlign w:val="center"/>
          </w:tcPr>
          <w:p w14:paraId="0E4EE1DB" w14:textId="02D4FFE7" w:rsidR="68B7379A" w:rsidRPr="00951AB1" w:rsidRDefault="68B7379A" w:rsidP="000A5389">
            <w:pPr>
              <w:spacing w:line="240" w:lineRule="auto"/>
              <w:jc w:val="center"/>
              <w:rPr>
                <w:rFonts w:cs="Times New Roman"/>
              </w:rPr>
            </w:pPr>
            <w:r w:rsidRPr="00951AB1">
              <w:rPr>
                <w:rFonts w:eastAsia="Times New Roman" w:cs="Times New Roman"/>
                <w:color w:val="E97132"/>
                <w:sz w:val="16"/>
                <w:szCs w:val="16"/>
              </w:rPr>
              <w:t xml:space="preserve"> </w:t>
            </w:r>
          </w:p>
        </w:tc>
        <w:tc>
          <w:tcPr>
            <w:tcW w:w="232" w:type="pct"/>
            <w:tcBorders>
              <w:top w:val="nil"/>
              <w:bottom w:val="nil"/>
              <w:right w:val="single" w:sz="8" w:space="0" w:color="auto"/>
            </w:tcBorders>
            <w:shd w:val="clear" w:color="auto" w:fill="F2F2F2" w:themeFill="background1" w:themeFillShade="F2"/>
            <w:tcMar>
              <w:left w:w="70" w:type="dxa"/>
              <w:right w:w="70" w:type="dxa"/>
            </w:tcMar>
            <w:vAlign w:val="center"/>
          </w:tcPr>
          <w:p w14:paraId="08008E31" w14:textId="3A1D028F" w:rsidR="68B7379A" w:rsidRPr="00951AB1" w:rsidRDefault="68B7379A" w:rsidP="000A5389">
            <w:pPr>
              <w:spacing w:line="240" w:lineRule="auto"/>
              <w:jc w:val="center"/>
              <w:rPr>
                <w:rFonts w:cs="Times New Roman"/>
              </w:rPr>
            </w:pPr>
            <w:r w:rsidRPr="00951AB1">
              <w:rPr>
                <w:rFonts w:eastAsia="Times New Roman" w:cs="Times New Roman"/>
                <w:color w:val="E97132"/>
                <w:sz w:val="16"/>
                <w:szCs w:val="16"/>
              </w:rPr>
              <w:t xml:space="preserve"> </w:t>
            </w:r>
          </w:p>
        </w:tc>
      </w:tr>
      <w:tr w:rsidR="68B7379A" w:rsidRPr="00951AB1" w14:paraId="5510934E" w14:textId="77777777" w:rsidTr="00512B77">
        <w:trPr>
          <w:gridAfter w:val="1"/>
          <w:wAfter w:w="213" w:type="pct"/>
          <w:trHeight w:val="405"/>
        </w:trPr>
        <w:tc>
          <w:tcPr>
            <w:tcW w:w="695" w:type="pct"/>
            <w:tcBorders>
              <w:top w:val="nil"/>
              <w:left w:val="single" w:sz="8" w:space="0" w:color="auto"/>
              <w:bottom w:val="nil"/>
              <w:right w:val="single" w:sz="8" w:space="0" w:color="auto"/>
            </w:tcBorders>
            <w:shd w:val="clear" w:color="auto" w:fill="FFFFFF" w:themeFill="background1"/>
            <w:tcMar>
              <w:left w:w="70" w:type="dxa"/>
              <w:right w:w="70" w:type="dxa"/>
            </w:tcMar>
            <w:vAlign w:val="center"/>
          </w:tcPr>
          <w:p w14:paraId="284FF8BC" w14:textId="4BC43726" w:rsidR="68B7379A" w:rsidRPr="00951AB1" w:rsidRDefault="68B7379A" w:rsidP="000A5389">
            <w:pPr>
              <w:spacing w:line="240" w:lineRule="auto"/>
              <w:rPr>
                <w:rFonts w:cs="Times New Roman"/>
              </w:rPr>
            </w:pPr>
            <w:r w:rsidRPr="00951AB1">
              <w:rPr>
                <w:rFonts w:eastAsia="Times New Roman" w:cs="Times New Roman"/>
                <w:color w:val="000000" w:themeColor="text1"/>
                <w:sz w:val="16"/>
                <w:szCs w:val="16"/>
              </w:rPr>
              <w:t>Inventario de activos carreteros georreferenciado</w:t>
            </w:r>
          </w:p>
        </w:tc>
        <w:tc>
          <w:tcPr>
            <w:tcW w:w="231" w:type="pct"/>
            <w:shd w:val="clear" w:color="auto" w:fill="FFFFFF" w:themeFill="background1"/>
            <w:tcMar>
              <w:left w:w="70" w:type="dxa"/>
              <w:right w:w="70" w:type="dxa"/>
            </w:tcMar>
            <w:vAlign w:val="center"/>
          </w:tcPr>
          <w:p w14:paraId="620997E6" w14:textId="5BC634F3" w:rsidR="68B7379A" w:rsidRPr="00951AB1" w:rsidRDefault="68B7379A" w:rsidP="000A5389">
            <w:pPr>
              <w:spacing w:line="240" w:lineRule="auto"/>
              <w:jc w:val="center"/>
              <w:rPr>
                <w:rFonts w:cs="Times New Roman"/>
              </w:rPr>
            </w:pPr>
            <w:r w:rsidRPr="00951AB1">
              <w:rPr>
                <w:rFonts w:eastAsia="Times New Roman" w:cs="Times New Roman"/>
                <w:color w:val="E97132"/>
                <w:sz w:val="16"/>
                <w:szCs w:val="16"/>
              </w:rPr>
              <w:t xml:space="preserve"> </w:t>
            </w:r>
          </w:p>
        </w:tc>
        <w:tc>
          <w:tcPr>
            <w:tcW w:w="231" w:type="pct"/>
            <w:shd w:val="clear" w:color="auto" w:fill="FFFFFF" w:themeFill="background1"/>
            <w:tcMar>
              <w:left w:w="70" w:type="dxa"/>
              <w:right w:w="70" w:type="dxa"/>
            </w:tcMar>
            <w:vAlign w:val="center"/>
          </w:tcPr>
          <w:p w14:paraId="783DC39A" w14:textId="2DD2F749" w:rsidR="68B7379A" w:rsidRPr="00951AB1" w:rsidRDefault="68B7379A" w:rsidP="000A5389">
            <w:pPr>
              <w:spacing w:line="240" w:lineRule="auto"/>
              <w:jc w:val="center"/>
              <w:rPr>
                <w:rFonts w:cs="Times New Roman"/>
              </w:rPr>
            </w:pPr>
            <w:r w:rsidRPr="00951AB1">
              <w:rPr>
                <w:rFonts w:eastAsia="Times New Roman" w:cs="Times New Roman"/>
                <w:color w:val="E97132"/>
                <w:sz w:val="16"/>
                <w:szCs w:val="16"/>
              </w:rPr>
              <w:t>x</w:t>
            </w:r>
          </w:p>
        </w:tc>
        <w:tc>
          <w:tcPr>
            <w:tcW w:w="231" w:type="pct"/>
            <w:shd w:val="clear" w:color="auto" w:fill="FFFFFF" w:themeFill="background1"/>
            <w:tcMar>
              <w:left w:w="70" w:type="dxa"/>
              <w:right w:w="70" w:type="dxa"/>
            </w:tcMar>
            <w:vAlign w:val="center"/>
          </w:tcPr>
          <w:p w14:paraId="61216E66" w14:textId="7C22A0D4" w:rsidR="68B7379A" w:rsidRPr="00951AB1" w:rsidRDefault="68B7379A" w:rsidP="000A5389">
            <w:pPr>
              <w:spacing w:line="240" w:lineRule="auto"/>
              <w:jc w:val="center"/>
              <w:rPr>
                <w:rFonts w:cs="Times New Roman"/>
              </w:rPr>
            </w:pPr>
            <w:r w:rsidRPr="00951AB1">
              <w:rPr>
                <w:rFonts w:eastAsia="Times New Roman" w:cs="Times New Roman"/>
                <w:color w:val="E97132"/>
                <w:sz w:val="16"/>
                <w:szCs w:val="16"/>
              </w:rPr>
              <w:t xml:space="preserve"> </w:t>
            </w:r>
          </w:p>
        </w:tc>
        <w:tc>
          <w:tcPr>
            <w:tcW w:w="231" w:type="pct"/>
            <w:tcBorders>
              <w:top w:val="nil"/>
              <w:bottom w:val="nil"/>
              <w:right w:val="single" w:sz="8" w:space="0" w:color="auto"/>
            </w:tcBorders>
            <w:shd w:val="clear" w:color="auto" w:fill="FFFFFF" w:themeFill="background1"/>
            <w:tcMar>
              <w:left w:w="70" w:type="dxa"/>
              <w:right w:w="70" w:type="dxa"/>
            </w:tcMar>
            <w:vAlign w:val="center"/>
          </w:tcPr>
          <w:p w14:paraId="59B91403" w14:textId="21D7BC63" w:rsidR="68B7379A" w:rsidRPr="00951AB1" w:rsidRDefault="68B7379A" w:rsidP="000A5389">
            <w:pPr>
              <w:spacing w:line="240" w:lineRule="auto"/>
              <w:jc w:val="center"/>
              <w:rPr>
                <w:rFonts w:cs="Times New Roman"/>
              </w:rPr>
            </w:pPr>
            <w:r w:rsidRPr="00951AB1">
              <w:rPr>
                <w:rFonts w:eastAsia="Times New Roman" w:cs="Times New Roman"/>
                <w:color w:val="E97132"/>
                <w:sz w:val="16"/>
                <w:szCs w:val="16"/>
              </w:rPr>
              <w:t>x</w:t>
            </w:r>
          </w:p>
        </w:tc>
        <w:tc>
          <w:tcPr>
            <w:tcW w:w="231" w:type="pct"/>
            <w:shd w:val="clear" w:color="auto" w:fill="FFFFFF" w:themeFill="background1"/>
            <w:tcMar>
              <w:left w:w="70" w:type="dxa"/>
              <w:right w:w="70" w:type="dxa"/>
            </w:tcMar>
            <w:vAlign w:val="center"/>
          </w:tcPr>
          <w:p w14:paraId="03B7E194" w14:textId="4E9B7E1F" w:rsidR="68B7379A" w:rsidRPr="00951AB1" w:rsidRDefault="68B7379A" w:rsidP="000A5389">
            <w:pPr>
              <w:spacing w:line="240" w:lineRule="auto"/>
              <w:jc w:val="center"/>
              <w:rPr>
                <w:rFonts w:cs="Times New Roman"/>
              </w:rPr>
            </w:pPr>
            <w:r w:rsidRPr="00951AB1">
              <w:rPr>
                <w:rFonts w:eastAsia="Times New Roman" w:cs="Times New Roman"/>
                <w:color w:val="E97132"/>
                <w:sz w:val="16"/>
                <w:szCs w:val="16"/>
              </w:rPr>
              <w:t xml:space="preserve"> </w:t>
            </w:r>
          </w:p>
        </w:tc>
        <w:tc>
          <w:tcPr>
            <w:tcW w:w="231" w:type="pct"/>
            <w:shd w:val="clear" w:color="auto" w:fill="FFFFFF" w:themeFill="background1"/>
            <w:tcMar>
              <w:left w:w="70" w:type="dxa"/>
              <w:right w:w="70" w:type="dxa"/>
            </w:tcMar>
            <w:vAlign w:val="center"/>
          </w:tcPr>
          <w:p w14:paraId="1CAE4C2E" w14:textId="5AC2DDD4" w:rsidR="68B7379A" w:rsidRPr="00951AB1" w:rsidRDefault="68B7379A" w:rsidP="000A5389">
            <w:pPr>
              <w:spacing w:line="240" w:lineRule="auto"/>
              <w:jc w:val="center"/>
              <w:rPr>
                <w:rFonts w:cs="Times New Roman"/>
              </w:rPr>
            </w:pPr>
            <w:r w:rsidRPr="00951AB1">
              <w:rPr>
                <w:rFonts w:eastAsia="Times New Roman" w:cs="Times New Roman"/>
                <w:color w:val="E97132"/>
                <w:sz w:val="16"/>
                <w:szCs w:val="16"/>
              </w:rPr>
              <w:t xml:space="preserve"> </w:t>
            </w:r>
          </w:p>
        </w:tc>
        <w:tc>
          <w:tcPr>
            <w:tcW w:w="231" w:type="pct"/>
            <w:shd w:val="clear" w:color="auto" w:fill="FFFFFF" w:themeFill="background1"/>
            <w:tcMar>
              <w:left w:w="70" w:type="dxa"/>
              <w:right w:w="70" w:type="dxa"/>
            </w:tcMar>
            <w:vAlign w:val="center"/>
          </w:tcPr>
          <w:p w14:paraId="517525C2" w14:textId="753F3327" w:rsidR="68B7379A" w:rsidRPr="00951AB1" w:rsidRDefault="68B7379A" w:rsidP="000A5389">
            <w:pPr>
              <w:spacing w:line="240" w:lineRule="auto"/>
              <w:jc w:val="center"/>
              <w:rPr>
                <w:rFonts w:cs="Times New Roman"/>
              </w:rPr>
            </w:pPr>
            <w:r w:rsidRPr="00951AB1">
              <w:rPr>
                <w:rFonts w:eastAsia="Times New Roman" w:cs="Times New Roman"/>
                <w:color w:val="E97132"/>
                <w:sz w:val="16"/>
                <w:szCs w:val="16"/>
              </w:rPr>
              <w:t xml:space="preserve"> </w:t>
            </w:r>
          </w:p>
        </w:tc>
        <w:tc>
          <w:tcPr>
            <w:tcW w:w="231" w:type="pct"/>
            <w:tcBorders>
              <w:top w:val="nil"/>
              <w:bottom w:val="nil"/>
              <w:right w:val="single" w:sz="8" w:space="0" w:color="auto"/>
            </w:tcBorders>
            <w:shd w:val="clear" w:color="auto" w:fill="FFFFFF" w:themeFill="background1"/>
            <w:tcMar>
              <w:left w:w="70" w:type="dxa"/>
              <w:right w:w="70" w:type="dxa"/>
            </w:tcMar>
            <w:vAlign w:val="center"/>
          </w:tcPr>
          <w:p w14:paraId="23443209" w14:textId="51C6436B" w:rsidR="68B7379A" w:rsidRPr="00951AB1" w:rsidRDefault="68B7379A" w:rsidP="000A5389">
            <w:pPr>
              <w:spacing w:line="240" w:lineRule="auto"/>
              <w:jc w:val="center"/>
              <w:rPr>
                <w:rFonts w:cs="Times New Roman"/>
              </w:rPr>
            </w:pPr>
            <w:r w:rsidRPr="00951AB1">
              <w:rPr>
                <w:rFonts w:eastAsia="Times New Roman" w:cs="Times New Roman"/>
                <w:color w:val="E97132"/>
                <w:sz w:val="16"/>
                <w:szCs w:val="16"/>
              </w:rPr>
              <w:t xml:space="preserve"> </w:t>
            </w:r>
          </w:p>
        </w:tc>
        <w:tc>
          <w:tcPr>
            <w:tcW w:w="429" w:type="pct"/>
            <w:gridSpan w:val="2"/>
            <w:shd w:val="clear" w:color="auto" w:fill="FFFFFF" w:themeFill="background1"/>
            <w:tcMar>
              <w:left w:w="70" w:type="dxa"/>
              <w:right w:w="70" w:type="dxa"/>
            </w:tcMar>
            <w:vAlign w:val="center"/>
          </w:tcPr>
          <w:p w14:paraId="41BE6422" w14:textId="5C3F9642" w:rsidR="68B7379A" w:rsidRPr="00951AB1" w:rsidRDefault="68B7379A" w:rsidP="000A5389">
            <w:pPr>
              <w:spacing w:line="240" w:lineRule="auto"/>
              <w:jc w:val="center"/>
              <w:rPr>
                <w:rFonts w:cs="Times New Roman"/>
              </w:rPr>
            </w:pPr>
            <w:r w:rsidRPr="00951AB1">
              <w:rPr>
                <w:rFonts w:eastAsia="Times New Roman" w:cs="Times New Roman"/>
                <w:color w:val="E97132"/>
                <w:sz w:val="16"/>
                <w:szCs w:val="16"/>
              </w:rPr>
              <w:t xml:space="preserve"> </w:t>
            </w:r>
          </w:p>
        </w:tc>
        <w:tc>
          <w:tcPr>
            <w:tcW w:w="231" w:type="pct"/>
            <w:shd w:val="clear" w:color="auto" w:fill="FFFFFF" w:themeFill="background1"/>
            <w:tcMar>
              <w:left w:w="70" w:type="dxa"/>
              <w:right w:w="70" w:type="dxa"/>
            </w:tcMar>
            <w:vAlign w:val="center"/>
          </w:tcPr>
          <w:p w14:paraId="4F896BB3" w14:textId="493F148E" w:rsidR="68B7379A" w:rsidRPr="00951AB1" w:rsidRDefault="68B7379A" w:rsidP="000A5389">
            <w:pPr>
              <w:spacing w:line="240" w:lineRule="auto"/>
              <w:jc w:val="center"/>
              <w:rPr>
                <w:rFonts w:cs="Times New Roman"/>
              </w:rPr>
            </w:pPr>
            <w:r w:rsidRPr="00951AB1">
              <w:rPr>
                <w:rFonts w:eastAsia="Times New Roman" w:cs="Times New Roman"/>
                <w:color w:val="E97132"/>
                <w:sz w:val="16"/>
                <w:szCs w:val="16"/>
              </w:rPr>
              <w:t xml:space="preserve"> </w:t>
            </w:r>
          </w:p>
        </w:tc>
        <w:tc>
          <w:tcPr>
            <w:tcW w:w="231" w:type="pct"/>
            <w:shd w:val="clear" w:color="auto" w:fill="FFFFFF" w:themeFill="background1"/>
            <w:tcMar>
              <w:left w:w="70" w:type="dxa"/>
              <w:right w:w="70" w:type="dxa"/>
            </w:tcMar>
            <w:vAlign w:val="center"/>
          </w:tcPr>
          <w:p w14:paraId="346B8F3B" w14:textId="7E03E986" w:rsidR="68B7379A" w:rsidRPr="00951AB1" w:rsidRDefault="68B7379A" w:rsidP="000A5389">
            <w:pPr>
              <w:spacing w:line="240" w:lineRule="auto"/>
              <w:jc w:val="center"/>
              <w:rPr>
                <w:rFonts w:cs="Times New Roman"/>
              </w:rPr>
            </w:pPr>
            <w:r w:rsidRPr="00951AB1">
              <w:rPr>
                <w:rFonts w:eastAsia="Times New Roman" w:cs="Times New Roman"/>
                <w:color w:val="E97132"/>
                <w:sz w:val="16"/>
                <w:szCs w:val="16"/>
              </w:rPr>
              <w:t xml:space="preserve"> </w:t>
            </w:r>
          </w:p>
        </w:tc>
        <w:tc>
          <w:tcPr>
            <w:tcW w:w="231" w:type="pct"/>
            <w:tcBorders>
              <w:top w:val="nil"/>
              <w:bottom w:val="nil"/>
              <w:right w:val="single" w:sz="8" w:space="0" w:color="auto"/>
            </w:tcBorders>
            <w:shd w:val="clear" w:color="auto" w:fill="FFFFFF" w:themeFill="background1"/>
            <w:tcMar>
              <w:left w:w="70" w:type="dxa"/>
              <w:right w:w="70" w:type="dxa"/>
            </w:tcMar>
            <w:vAlign w:val="center"/>
          </w:tcPr>
          <w:p w14:paraId="44B3169B" w14:textId="79ED2686" w:rsidR="68B7379A" w:rsidRPr="00951AB1" w:rsidRDefault="68B7379A" w:rsidP="000A5389">
            <w:pPr>
              <w:spacing w:line="240" w:lineRule="auto"/>
              <w:jc w:val="center"/>
              <w:rPr>
                <w:rFonts w:cs="Times New Roman"/>
              </w:rPr>
            </w:pPr>
            <w:r w:rsidRPr="00951AB1">
              <w:rPr>
                <w:rFonts w:eastAsia="Times New Roman" w:cs="Times New Roman"/>
                <w:color w:val="E97132"/>
                <w:sz w:val="16"/>
                <w:szCs w:val="16"/>
              </w:rPr>
              <w:t xml:space="preserve"> </w:t>
            </w:r>
          </w:p>
        </w:tc>
        <w:tc>
          <w:tcPr>
            <w:tcW w:w="429" w:type="pct"/>
            <w:gridSpan w:val="2"/>
            <w:shd w:val="clear" w:color="auto" w:fill="FFFFFF" w:themeFill="background1"/>
            <w:tcMar>
              <w:left w:w="70" w:type="dxa"/>
              <w:right w:w="70" w:type="dxa"/>
            </w:tcMar>
            <w:vAlign w:val="center"/>
          </w:tcPr>
          <w:p w14:paraId="4DD1A2B0" w14:textId="6FBABADD" w:rsidR="68B7379A" w:rsidRPr="00951AB1" w:rsidRDefault="68B7379A" w:rsidP="000A5389">
            <w:pPr>
              <w:spacing w:line="240" w:lineRule="auto"/>
              <w:jc w:val="center"/>
              <w:rPr>
                <w:rFonts w:cs="Times New Roman"/>
              </w:rPr>
            </w:pPr>
            <w:r w:rsidRPr="00951AB1">
              <w:rPr>
                <w:rFonts w:eastAsia="Times New Roman" w:cs="Times New Roman"/>
                <w:color w:val="E97132"/>
                <w:sz w:val="16"/>
                <w:szCs w:val="16"/>
              </w:rPr>
              <w:t xml:space="preserve"> </w:t>
            </w:r>
          </w:p>
        </w:tc>
        <w:tc>
          <w:tcPr>
            <w:tcW w:w="231" w:type="pct"/>
            <w:shd w:val="clear" w:color="auto" w:fill="FFFFFF" w:themeFill="background1"/>
            <w:tcMar>
              <w:left w:w="70" w:type="dxa"/>
              <w:right w:w="70" w:type="dxa"/>
            </w:tcMar>
            <w:vAlign w:val="center"/>
          </w:tcPr>
          <w:p w14:paraId="66FD7106" w14:textId="14029231" w:rsidR="68B7379A" w:rsidRPr="00951AB1" w:rsidRDefault="68B7379A" w:rsidP="000A5389">
            <w:pPr>
              <w:spacing w:line="240" w:lineRule="auto"/>
              <w:jc w:val="center"/>
              <w:rPr>
                <w:rFonts w:cs="Times New Roman"/>
              </w:rPr>
            </w:pPr>
            <w:r w:rsidRPr="00951AB1">
              <w:rPr>
                <w:rFonts w:eastAsia="Times New Roman" w:cs="Times New Roman"/>
                <w:color w:val="E97132"/>
                <w:sz w:val="16"/>
                <w:szCs w:val="16"/>
              </w:rPr>
              <w:t xml:space="preserve"> </w:t>
            </w:r>
          </w:p>
        </w:tc>
        <w:tc>
          <w:tcPr>
            <w:tcW w:w="231" w:type="pct"/>
            <w:shd w:val="clear" w:color="auto" w:fill="FFFFFF" w:themeFill="background1"/>
            <w:tcMar>
              <w:left w:w="70" w:type="dxa"/>
              <w:right w:w="70" w:type="dxa"/>
            </w:tcMar>
            <w:vAlign w:val="center"/>
          </w:tcPr>
          <w:p w14:paraId="587583E5" w14:textId="0DC85E35" w:rsidR="68B7379A" w:rsidRPr="00951AB1" w:rsidRDefault="68B7379A" w:rsidP="000A5389">
            <w:pPr>
              <w:spacing w:line="240" w:lineRule="auto"/>
              <w:jc w:val="center"/>
              <w:rPr>
                <w:rFonts w:cs="Times New Roman"/>
              </w:rPr>
            </w:pPr>
            <w:r w:rsidRPr="00951AB1">
              <w:rPr>
                <w:rFonts w:eastAsia="Times New Roman" w:cs="Times New Roman"/>
                <w:color w:val="E97132"/>
                <w:sz w:val="16"/>
                <w:szCs w:val="16"/>
              </w:rPr>
              <w:t xml:space="preserve"> </w:t>
            </w:r>
          </w:p>
        </w:tc>
        <w:tc>
          <w:tcPr>
            <w:tcW w:w="232" w:type="pct"/>
            <w:tcBorders>
              <w:top w:val="nil"/>
              <w:bottom w:val="nil"/>
              <w:right w:val="single" w:sz="8" w:space="0" w:color="auto"/>
            </w:tcBorders>
            <w:shd w:val="clear" w:color="auto" w:fill="FFFFFF" w:themeFill="background1"/>
            <w:tcMar>
              <w:left w:w="70" w:type="dxa"/>
              <w:right w:w="70" w:type="dxa"/>
            </w:tcMar>
            <w:vAlign w:val="center"/>
          </w:tcPr>
          <w:p w14:paraId="291D907E" w14:textId="476BB658" w:rsidR="68B7379A" w:rsidRPr="00951AB1" w:rsidRDefault="68B7379A" w:rsidP="000A5389">
            <w:pPr>
              <w:spacing w:line="240" w:lineRule="auto"/>
              <w:jc w:val="center"/>
              <w:rPr>
                <w:rFonts w:cs="Times New Roman"/>
              </w:rPr>
            </w:pPr>
            <w:r w:rsidRPr="00951AB1">
              <w:rPr>
                <w:rFonts w:eastAsia="Times New Roman" w:cs="Times New Roman"/>
                <w:color w:val="E97132"/>
                <w:sz w:val="16"/>
                <w:szCs w:val="16"/>
              </w:rPr>
              <w:t xml:space="preserve"> </w:t>
            </w:r>
          </w:p>
        </w:tc>
      </w:tr>
      <w:tr w:rsidR="68B7379A" w:rsidRPr="00951AB1" w14:paraId="6D989DFB" w14:textId="77777777" w:rsidTr="00512B77">
        <w:trPr>
          <w:gridAfter w:val="1"/>
          <w:wAfter w:w="213" w:type="pct"/>
          <w:trHeight w:val="405"/>
        </w:trPr>
        <w:tc>
          <w:tcPr>
            <w:tcW w:w="695" w:type="pct"/>
            <w:tcBorders>
              <w:top w:val="nil"/>
              <w:left w:val="single" w:sz="8" w:space="0" w:color="auto"/>
              <w:bottom w:val="nil"/>
              <w:right w:val="single" w:sz="8" w:space="0" w:color="auto"/>
            </w:tcBorders>
            <w:shd w:val="clear" w:color="auto" w:fill="F2F2F2" w:themeFill="background1" w:themeFillShade="F2"/>
            <w:tcMar>
              <w:left w:w="70" w:type="dxa"/>
              <w:right w:w="70" w:type="dxa"/>
            </w:tcMar>
            <w:vAlign w:val="center"/>
          </w:tcPr>
          <w:p w14:paraId="49680614" w14:textId="3679C4C7" w:rsidR="68B7379A" w:rsidRPr="00951AB1" w:rsidRDefault="68B7379A" w:rsidP="000A5389">
            <w:pPr>
              <w:spacing w:line="240" w:lineRule="auto"/>
              <w:rPr>
                <w:rFonts w:cs="Times New Roman"/>
              </w:rPr>
            </w:pPr>
            <w:r w:rsidRPr="00951AB1">
              <w:rPr>
                <w:rFonts w:eastAsia="Times New Roman" w:cs="Times New Roman"/>
                <w:color w:val="000000" w:themeColor="text1"/>
                <w:sz w:val="16"/>
                <w:szCs w:val="16"/>
              </w:rPr>
              <w:t>Gestión predial para la separación de terrenos</w:t>
            </w:r>
          </w:p>
        </w:tc>
        <w:tc>
          <w:tcPr>
            <w:tcW w:w="231" w:type="pct"/>
            <w:shd w:val="clear" w:color="auto" w:fill="F2F2F2" w:themeFill="background1" w:themeFillShade="F2"/>
            <w:tcMar>
              <w:left w:w="70" w:type="dxa"/>
              <w:right w:w="70" w:type="dxa"/>
            </w:tcMar>
            <w:vAlign w:val="center"/>
          </w:tcPr>
          <w:p w14:paraId="404F5291" w14:textId="658E5259" w:rsidR="68B7379A" w:rsidRPr="00951AB1" w:rsidRDefault="68B7379A" w:rsidP="000A5389">
            <w:pPr>
              <w:spacing w:line="240" w:lineRule="auto"/>
              <w:jc w:val="center"/>
              <w:rPr>
                <w:rFonts w:cs="Times New Roman"/>
              </w:rPr>
            </w:pPr>
            <w:r w:rsidRPr="00951AB1">
              <w:rPr>
                <w:rFonts w:eastAsia="Times New Roman" w:cs="Times New Roman"/>
                <w:color w:val="E97132"/>
                <w:sz w:val="16"/>
                <w:szCs w:val="16"/>
              </w:rPr>
              <w:t xml:space="preserve"> </w:t>
            </w:r>
          </w:p>
        </w:tc>
        <w:tc>
          <w:tcPr>
            <w:tcW w:w="231" w:type="pct"/>
            <w:shd w:val="clear" w:color="auto" w:fill="F2F2F2" w:themeFill="background1" w:themeFillShade="F2"/>
            <w:tcMar>
              <w:left w:w="70" w:type="dxa"/>
              <w:right w:w="70" w:type="dxa"/>
            </w:tcMar>
            <w:vAlign w:val="center"/>
          </w:tcPr>
          <w:p w14:paraId="24BE6F3E" w14:textId="74AF2991" w:rsidR="68B7379A" w:rsidRPr="00951AB1" w:rsidRDefault="68B7379A" w:rsidP="000A5389">
            <w:pPr>
              <w:spacing w:line="240" w:lineRule="auto"/>
              <w:jc w:val="center"/>
              <w:rPr>
                <w:rFonts w:cs="Times New Roman"/>
              </w:rPr>
            </w:pPr>
            <w:r w:rsidRPr="00951AB1">
              <w:rPr>
                <w:rFonts w:eastAsia="Times New Roman" w:cs="Times New Roman"/>
                <w:color w:val="E97132"/>
                <w:sz w:val="16"/>
                <w:szCs w:val="16"/>
              </w:rPr>
              <w:t>x</w:t>
            </w:r>
          </w:p>
        </w:tc>
        <w:tc>
          <w:tcPr>
            <w:tcW w:w="231" w:type="pct"/>
            <w:shd w:val="clear" w:color="auto" w:fill="F2F2F2" w:themeFill="background1" w:themeFillShade="F2"/>
            <w:tcMar>
              <w:left w:w="70" w:type="dxa"/>
              <w:right w:w="70" w:type="dxa"/>
            </w:tcMar>
            <w:vAlign w:val="center"/>
          </w:tcPr>
          <w:p w14:paraId="0057AD86" w14:textId="29005046" w:rsidR="68B7379A" w:rsidRPr="00951AB1" w:rsidRDefault="68B7379A" w:rsidP="000A5389">
            <w:pPr>
              <w:spacing w:line="240" w:lineRule="auto"/>
              <w:jc w:val="center"/>
              <w:rPr>
                <w:rFonts w:cs="Times New Roman"/>
              </w:rPr>
            </w:pPr>
            <w:r w:rsidRPr="00951AB1">
              <w:rPr>
                <w:rFonts w:eastAsia="Times New Roman" w:cs="Times New Roman"/>
                <w:color w:val="E97132"/>
                <w:sz w:val="16"/>
                <w:szCs w:val="16"/>
              </w:rPr>
              <w:t>x</w:t>
            </w:r>
          </w:p>
        </w:tc>
        <w:tc>
          <w:tcPr>
            <w:tcW w:w="231" w:type="pct"/>
            <w:tcBorders>
              <w:top w:val="nil"/>
              <w:bottom w:val="nil"/>
              <w:right w:val="single" w:sz="8" w:space="0" w:color="auto"/>
            </w:tcBorders>
            <w:shd w:val="clear" w:color="auto" w:fill="F2F2F2" w:themeFill="background1" w:themeFillShade="F2"/>
            <w:tcMar>
              <w:left w:w="70" w:type="dxa"/>
              <w:right w:w="70" w:type="dxa"/>
            </w:tcMar>
            <w:vAlign w:val="center"/>
          </w:tcPr>
          <w:p w14:paraId="74850BD5" w14:textId="671CAF8F" w:rsidR="68B7379A" w:rsidRPr="00951AB1" w:rsidRDefault="68B7379A" w:rsidP="000A5389">
            <w:pPr>
              <w:spacing w:line="240" w:lineRule="auto"/>
              <w:jc w:val="center"/>
              <w:rPr>
                <w:rFonts w:cs="Times New Roman"/>
              </w:rPr>
            </w:pPr>
            <w:r w:rsidRPr="00951AB1">
              <w:rPr>
                <w:rFonts w:eastAsia="Times New Roman" w:cs="Times New Roman"/>
                <w:color w:val="E97132"/>
                <w:sz w:val="16"/>
                <w:szCs w:val="16"/>
              </w:rPr>
              <w:t>x</w:t>
            </w:r>
          </w:p>
        </w:tc>
        <w:tc>
          <w:tcPr>
            <w:tcW w:w="231" w:type="pct"/>
            <w:shd w:val="clear" w:color="auto" w:fill="F2F2F2" w:themeFill="background1" w:themeFillShade="F2"/>
            <w:tcMar>
              <w:left w:w="70" w:type="dxa"/>
              <w:right w:w="70" w:type="dxa"/>
            </w:tcMar>
            <w:vAlign w:val="center"/>
          </w:tcPr>
          <w:p w14:paraId="3BB7A350" w14:textId="14283CBB" w:rsidR="68B7379A" w:rsidRPr="00951AB1" w:rsidRDefault="68B7379A" w:rsidP="000A5389">
            <w:pPr>
              <w:spacing w:line="240" w:lineRule="auto"/>
              <w:jc w:val="center"/>
              <w:rPr>
                <w:rFonts w:cs="Times New Roman"/>
              </w:rPr>
            </w:pPr>
            <w:r w:rsidRPr="00951AB1">
              <w:rPr>
                <w:rFonts w:eastAsia="Times New Roman" w:cs="Times New Roman"/>
                <w:color w:val="E97132"/>
                <w:sz w:val="16"/>
                <w:szCs w:val="16"/>
              </w:rPr>
              <w:t xml:space="preserve"> </w:t>
            </w:r>
          </w:p>
        </w:tc>
        <w:tc>
          <w:tcPr>
            <w:tcW w:w="231" w:type="pct"/>
            <w:shd w:val="clear" w:color="auto" w:fill="F2F2F2" w:themeFill="background1" w:themeFillShade="F2"/>
            <w:tcMar>
              <w:left w:w="70" w:type="dxa"/>
              <w:right w:w="70" w:type="dxa"/>
            </w:tcMar>
            <w:vAlign w:val="center"/>
          </w:tcPr>
          <w:p w14:paraId="436D1B6D" w14:textId="1CD87993" w:rsidR="68B7379A" w:rsidRPr="00951AB1" w:rsidRDefault="68B7379A" w:rsidP="000A5389">
            <w:pPr>
              <w:spacing w:line="240" w:lineRule="auto"/>
              <w:jc w:val="center"/>
              <w:rPr>
                <w:rFonts w:cs="Times New Roman"/>
              </w:rPr>
            </w:pPr>
            <w:r w:rsidRPr="00951AB1">
              <w:rPr>
                <w:rFonts w:eastAsia="Times New Roman" w:cs="Times New Roman"/>
                <w:color w:val="E97132"/>
                <w:sz w:val="16"/>
                <w:szCs w:val="16"/>
              </w:rPr>
              <w:t>x</w:t>
            </w:r>
          </w:p>
        </w:tc>
        <w:tc>
          <w:tcPr>
            <w:tcW w:w="231" w:type="pct"/>
            <w:shd w:val="clear" w:color="auto" w:fill="F2F2F2" w:themeFill="background1" w:themeFillShade="F2"/>
            <w:tcMar>
              <w:left w:w="70" w:type="dxa"/>
              <w:right w:w="70" w:type="dxa"/>
            </w:tcMar>
            <w:vAlign w:val="center"/>
          </w:tcPr>
          <w:p w14:paraId="56BA9A35" w14:textId="394DC922" w:rsidR="68B7379A" w:rsidRPr="00951AB1" w:rsidRDefault="68B7379A" w:rsidP="000A5389">
            <w:pPr>
              <w:spacing w:line="240" w:lineRule="auto"/>
              <w:jc w:val="center"/>
              <w:rPr>
                <w:rFonts w:cs="Times New Roman"/>
              </w:rPr>
            </w:pPr>
            <w:r w:rsidRPr="00951AB1">
              <w:rPr>
                <w:rFonts w:eastAsia="Times New Roman" w:cs="Times New Roman"/>
                <w:color w:val="E97132"/>
                <w:sz w:val="16"/>
                <w:szCs w:val="16"/>
              </w:rPr>
              <w:t>x</w:t>
            </w:r>
          </w:p>
        </w:tc>
        <w:tc>
          <w:tcPr>
            <w:tcW w:w="231" w:type="pct"/>
            <w:tcBorders>
              <w:top w:val="nil"/>
              <w:bottom w:val="nil"/>
              <w:right w:val="single" w:sz="8" w:space="0" w:color="auto"/>
            </w:tcBorders>
            <w:shd w:val="clear" w:color="auto" w:fill="F2F2F2" w:themeFill="background1" w:themeFillShade="F2"/>
            <w:tcMar>
              <w:left w:w="70" w:type="dxa"/>
              <w:right w:w="70" w:type="dxa"/>
            </w:tcMar>
            <w:vAlign w:val="center"/>
          </w:tcPr>
          <w:p w14:paraId="19796F2A" w14:textId="009A5C1F" w:rsidR="68B7379A" w:rsidRPr="00951AB1" w:rsidRDefault="68B7379A" w:rsidP="000A5389">
            <w:pPr>
              <w:spacing w:line="240" w:lineRule="auto"/>
              <w:jc w:val="center"/>
              <w:rPr>
                <w:rFonts w:cs="Times New Roman"/>
              </w:rPr>
            </w:pPr>
            <w:r w:rsidRPr="00951AB1">
              <w:rPr>
                <w:rFonts w:eastAsia="Times New Roman" w:cs="Times New Roman"/>
                <w:color w:val="E97132"/>
                <w:sz w:val="16"/>
                <w:szCs w:val="16"/>
              </w:rPr>
              <w:t>x</w:t>
            </w:r>
          </w:p>
        </w:tc>
        <w:tc>
          <w:tcPr>
            <w:tcW w:w="429" w:type="pct"/>
            <w:gridSpan w:val="2"/>
            <w:shd w:val="clear" w:color="auto" w:fill="F2F2F2" w:themeFill="background1" w:themeFillShade="F2"/>
            <w:tcMar>
              <w:left w:w="70" w:type="dxa"/>
              <w:right w:w="70" w:type="dxa"/>
            </w:tcMar>
            <w:vAlign w:val="center"/>
          </w:tcPr>
          <w:p w14:paraId="56094A35" w14:textId="11E8AD5D" w:rsidR="68B7379A" w:rsidRPr="00951AB1" w:rsidRDefault="68B7379A" w:rsidP="000A5389">
            <w:pPr>
              <w:spacing w:line="240" w:lineRule="auto"/>
              <w:jc w:val="center"/>
              <w:rPr>
                <w:rFonts w:cs="Times New Roman"/>
              </w:rPr>
            </w:pPr>
            <w:r w:rsidRPr="00951AB1">
              <w:rPr>
                <w:rFonts w:eastAsia="Times New Roman" w:cs="Times New Roman"/>
                <w:color w:val="E97132"/>
                <w:sz w:val="16"/>
                <w:szCs w:val="16"/>
              </w:rPr>
              <w:t xml:space="preserve"> </w:t>
            </w:r>
          </w:p>
        </w:tc>
        <w:tc>
          <w:tcPr>
            <w:tcW w:w="231" w:type="pct"/>
            <w:shd w:val="clear" w:color="auto" w:fill="F2F2F2" w:themeFill="background1" w:themeFillShade="F2"/>
            <w:tcMar>
              <w:left w:w="70" w:type="dxa"/>
              <w:right w:w="70" w:type="dxa"/>
            </w:tcMar>
            <w:vAlign w:val="center"/>
          </w:tcPr>
          <w:p w14:paraId="45742594" w14:textId="7BF4AD34" w:rsidR="68B7379A" w:rsidRPr="00951AB1" w:rsidRDefault="68B7379A" w:rsidP="000A5389">
            <w:pPr>
              <w:spacing w:line="240" w:lineRule="auto"/>
              <w:jc w:val="center"/>
              <w:rPr>
                <w:rFonts w:cs="Times New Roman"/>
              </w:rPr>
            </w:pPr>
            <w:r w:rsidRPr="00951AB1">
              <w:rPr>
                <w:rFonts w:eastAsia="Times New Roman" w:cs="Times New Roman"/>
                <w:color w:val="E97132"/>
                <w:sz w:val="16"/>
                <w:szCs w:val="16"/>
              </w:rPr>
              <w:t>x</w:t>
            </w:r>
          </w:p>
        </w:tc>
        <w:tc>
          <w:tcPr>
            <w:tcW w:w="231" w:type="pct"/>
            <w:shd w:val="clear" w:color="auto" w:fill="F2F2F2" w:themeFill="background1" w:themeFillShade="F2"/>
            <w:tcMar>
              <w:left w:w="70" w:type="dxa"/>
              <w:right w:w="70" w:type="dxa"/>
            </w:tcMar>
            <w:vAlign w:val="center"/>
          </w:tcPr>
          <w:p w14:paraId="23DDFAED" w14:textId="38556B72" w:rsidR="68B7379A" w:rsidRPr="00951AB1" w:rsidRDefault="68B7379A" w:rsidP="000A5389">
            <w:pPr>
              <w:spacing w:line="240" w:lineRule="auto"/>
              <w:jc w:val="center"/>
              <w:rPr>
                <w:rFonts w:cs="Times New Roman"/>
              </w:rPr>
            </w:pPr>
            <w:r w:rsidRPr="00951AB1">
              <w:rPr>
                <w:rFonts w:eastAsia="Times New Roman" w:cs="Times New Roman"/>
                <w:color w:val="E97132"/>
                <w:sz w:val="16"/>
                <w:szCs w:val="16"/>
              </w:rPr>
              <w:t>x</w:t>
            </w:r>
          </w:p>
        </w:tc>
        <w:tc>
          <w:tcPr>
            <w:tcW w:w="231" w:type="pct"/>
            <w:tcBorders>
              <w:top w:val="nil"/>
              <w:bottom w:val="nil"/>
              <w:right w:val="single" w:sz="8" w:space="0" w:color="auto"/>
            </w:tcBorders>
            <w:shd w:val="clear" w:color="auto" w:fill="F2F2F2" w:themeFill="background1" w:themeFillShade="F2"/>
            <w:tcMar>
              <w:left w:w="70" w:type="dxa"/>
              <w:right w:w="70" w:type="dxa"/>
            </w:tcMar>
            <w:vAlign w:val="center"/>
          </w:tcPr>
          <w:p w14:paraId="034AEFA4" w14:textId="3F7041A2" w:rsidR="68B7379A" w:rsidRPr="00951AB1" w:rsidRDefault="68B7379A" w:rsidP="000A5389">
            <w:pPr>
              <w:spacing w:line="240" w:lineRule="auto"/>
              <w:jc w:val="center"/>
              <w:rPr>
                <w:rFonts w:cs="Times New Roman"/>
              </w:rPr>
            </w:pPr>
            <w:r w:rsidRPr="00951AB1">
              <w:rPr>
                <w:rFonts w:eastAsia="Times New Roman" w:cs="Times New Roman"/>
                <w:color w:val="E97132"/>
                <w:sz w:val="16"/>
                <w:szCs w:val="16"/>
              </w:rPr>
              <w:t>x</w:t>
            </w:r>
          </w:p>
        </w:tc>
        <w:tc>
          <w:tcPr>
            <w:tcW w:w="429" w:type="pct"/>
            <w:gridSpan w:val="2"/>
            <w:shd w:val="clear" w:color="auto" w:fill="F2F2F2" w:themeFill="background1" w:themeFillShade="F2"/>
            <w:tcMar>
              <w:left w:w="70" w:type="dxa"/>
              <w:right w:w="70" w:type="dxa"/>
            </w:tcMar>
            <w:vAlign w:val="center"/>
          </w:tcPr>
          <w:p w14:paraId="4E470889" w14:textId="30FB419D" w:rsidR="68B7379A" w:rsidRPr="00951AB1" w:rsidRDefault="68B7379A" w:rsidP="000A5389">
            <w:pPr>
              <w:spacing w:line="240" w:lineRule="auto"/>
              <w:jc w:val="center"/>
              <w:rPr>
                <w:rFonts w:cs="Times New Roman"/>
              </w:rPr>
            </w:pPr>
            <w:r w:rsidRPr="00951AB1">
              <w:rPr>
                <w:rFonts w:eastAsia="Times New Roman" w:cs="Times New Roman"/>
                <w:color w:val="E97132"/>
                <w:sz w:val="16"/>
                <w:szCs w:val="16"/>
              </w:rPr>
              <w:t xml:space="preserve"> </w:t>
            </w:r>
          </w:p>
        </w:tc>
        <w:tc>
          <w:tcPr>
            <w:tcW w:w="231" w:type="pct"/>
            <w:shd w:val="clear" w:color="auto" w:fill="F2F2F2" w:themeFill="background1" w:themeFillShade="F2"/>
            <w:tcMar>
              <w:left w:w="70" w:type="dxa"/>
              <w:right w:w="70" w:type="dxa"/>
            </w:tcMar>
            <w:vAlign w:val="center"/>
          </w:tcPr>
          <w:p w14:paraId="3D7DA9BA" w14:textId="56A1F13B" w:rsidR="68B7379A" w:rsidRPr="00951AB1" w:rsidRDefault="68B7379A" w:rsidP="000A5389">
            <w:pPr>
              <w:spacing w:line="240" w:lineRule="auto"/>
              <w:jc w:val="center"/>
              <w:rPr>
                <w:rFonts w:cs="Times New Roman"/>
              </w:rPr>
            </w:pPr>
            <w:r w:rsidRPr="00951AB1">
              <w:rPr>
                <w:rFonts w:eastAsia="Times New Roman" w:cs="Times New Roman"/>
                <w:color w:val="E97132"/>
                <w:sz w:val="16"/>
                <w:szCs w:val="16"/>
              </w:rPr>
              <w:t>x</w:t>
            </w:r>
          </w:p>
        </w:tc>
        <w:tc>
          <w:tcPr>
            <w:tcW w:w="231" w:type="pct"/>
            <w:shd w:val="clear" w:color="auto" w:fill="F2F2F2" w:themeFill="background1" w:themeFillShade="F2"/>
            <w:tcMar>
              <w:left w:w="70" w:type="dxa"/>
              <w:right w:w="70" w:type="dxa"/>
            </w:tcMar>
            <w:vAlign w:val="center"/>
          </w:tcPr>
          <w:p w14:paraId="114895FD" w14:textId="51E1AE20" w:rsidR="68B7379A" w:rsidRPr="00951AB1" w:rsidRDefault="68B7379A" w:rsidP="000A5389">
            <w:pPr>
              <w:spacing w:line="240" w:lineRule="auto"/>
              <w:jc w:val="center"/>
              <w:rPr>
                <w:rFonts w:cs="Times New Roman"/>
              </w:rPr>
            </w:pPr>
            <w:r w:rsidRPr="00951AB1">
              <w:rPr>
                <w:rFonts w:eastAsia="Times New Roman" w:cs="Times New Roman"/>
                <w:color w:val="E97132"/>
                <w:sz w:val="16"/>
                <w:szCs w:val="16"/>
              </w:rPr>
              <w:t>x</w:t>
            </w:r>
          </w:p>
        </w:tc>
        <w:tc>
          <w:tcPr>
            <w:tcW w:w="232" w:type="pct"/>
            <w:tcBorders>
              <w:top w:val="nil"/>
              <w:bottom w:val="nil"/>
              <w:right w:val="single" w:sz="8" w:space="0" w:color="auto"/>
            </w:tcBorders>
            <w:shd w:val="clear" w:color="auto" w:fill="F2F2F2" w:themeFill="background1" w:themeFillShade="F2"/>
            <w:tcMar>
              <w:left w:w="70" w:type="dxa"/>
              <w:right w:w="70" w:type="dxa"/>
            </w:tcMar>
            <w:vAlign w:val="center"/>
          </w:tcPr>
          <w:p w14:paraId="73D6563D" w14:textId="69043F19" w:rsidR="68B7379A" w:rsidRPr="00951AB1" w:rsidRDefault="68B7379A" w:rsidP="000A5389">
            <w:pPr>
              <w:spacing w:line="240" w:lineRule="auto"/>
              <w:jc w:val="center"/>
              <w:rPr>
                <w:rFonts w:cs="Times New Roman"/>
              </w:rPr>
            </w:pPr>
            <w:r w:rsidRPr="00951AB1">
              <w:rPr>
                <w:rFonts w:eastAsia="Times New Roman" w:cs="Times New Roman"/>
                <w:color w:val="E97132"/>
                <w:sz w:val="16"/>
                <w:szCs w:val="16"/>
              </w:rPr>
              <w:t>x</w:t>
            </w:r>
          </w:p>
        </w:tc>
      </w:tr>
      <w:tr w:rsidR="68B7379A" w:rsidRPr="00951AB1" w14:paraId="22BA8816" w14:textId="77777777" w:rsidTr="00512B77">
        <w:trPr>
          <w:gridAfter w:val="1"/>
          <w:wAfter w:w="213" w:type="pct"/>
          <w:trHeight w:val="405"/>
        </w:trPr>
        <w:tc>
          <w:tcPr>
            <w:tcW w:w="695" w:type="pct"/>
            <w:tcBorders>
              <w:top w:val="nil"/>
              <w:left w:val="single" w:sz="8" w:space="0" w:color="auto"/>
              <w:bottom w:val="nil"/>
              <w:right w:val="single" w:sz="8" w:space="0" w:color="auto"/>
            </w:tcBorders>
            <w:shd w:val="clear" w:color="auto" w:fill="FFFFFF" w:themeFill="background1"/>
            <w:tcMar>
              <w:left w:w="70" w:type="dxa"/>
              <w:right w:w="70" w:type="dxa"/>
            </w:tcMar>
            <w:vAlign w:val="center"/>
          </w:tcPr>
          <w:p w14:paraId="34382623" w14:textId="39BFEC29" w:rsidR="68B7379A" w:rsidRPr="00951AB1" w:rsidRDefault="68B7379A" w:rsidP="000A5389">
            <w:pPr>
              <w:spacing w:line="240" w:lineRule="auto"/>
              <w:rPr>
                <w:rFonts w:cs="Times New Roman"/>
              </w:rPr>
            </w:pPr>
            <w:r w:rsidRPr="00951AB1">
              <w:rPr>
                <w:rFonts w:eastAsia="Times New Roman" w:cs="Times New Roman"/>
                <w:color w:val="000000" w:themeColor="text1"/>
                <w:sz w:val="16"/>
                <w:szCs w:val="16"/>
              </w:rPr>
              <w:t>Modelos de depreciación y deterioro establecidos</w:t>
            </w:r>
          </w:p>
        </w:tc>
        <w:tc>
          <w:tcPr>
            <w:tcW w:w="231" w:type="pct"/>
            <w:shd w:val="clear" w:color="auto" w:fill="FFFFFF" w:themeFill="background1"/>
            <w:tcMar>
              <w:left w:w="70" w:type="dxa"/>
              <w:right w:w="70" w:type="dxa"/>
            </w:tcMar>
            <w:vAlign w:val="center"/>
          </w:tcPr>
          <w:p w14:paraId="1B22F72E" w14:textId="23AC3A67" w:rsidR="68B7379A" w:rsidRPr="00951AB1" w:rsidRDefault="68B7379A" w:rsidP="000A5389">
            <w:pPr>
              <w:spacing w:line="240" w:lineRule="auto"/>
              <w:jc w:val="center"/>
              <w:rPr>
                <w:rFonts w:cs="Times New Roman"/>
              </w:rPr>
            </w:pPr>
            <w:r w:rsidRPr="00951AB1">
              <w:rPr>
                <w:rFonts w:eastAsia="Times New Roman" w:cs="Times New Roman"/>
                <w:color w:val="E97132"/>
                <w:sz w:val="16"/>
                <w:szCs w:val="16"/>
              </w:rPr>
              <w:t xml:space="preserve"> </w:t>
            </w:r>
          </w:p>
        </w:tc>
        <w:tc>
          <w:tcPr>
            <w:tcW w:w="231" w:type="pct"/>
            <w:shd w:val="clear" w:color="auto" w:fill="FFFFFF" w:themeFill="background1"/>
            <w:tcMar>
              <w:left w:w="70" w:type="dxa"/>
              <w:right w:w="70" w:type="dxa"/>
            </w:tcMar>
            <w:vAlign w:val="center"/>
          </w:tcPr>
          <w:p w14:paraId="767CB8CD" w14:textId="770A4DC5" w:rsidR="68B7379A" w:rsidRPr="00951AB1" w:rsidRDefault="68B7379A" w:rsidP="000A5389">
            <w:pPr>
              <w:spacing w:line="240" w:lineRule="auto"/>
              <w:jc w:val="center"/>
              <w:rPr>
                <w:rFonts w:cs="Times New Roman"/>
              </w:rPr>
            </w:pPr>
            <w:r w:rsidRPr="00951AB1">
              <w:rPr>
                <w:rFonts w:eastAsia="Times New Roman" w:cs="Times New Roman"/>
                <w:color w:val="E97132"/>
                <w:sz w:val="16"/>
                <w:szCs w:val="16"/>
              </w:rPr>
              <w:t xml:space="preserve"> </w:t>
            </w:r>
          </w:p>
        </w:tc>
        <w:tc>
          <w:tcPr>
            <w:tcW w:w="231" w:type="pct"/>
            <w:shd w:val="clear" w:color="auto" w:fill="FFFFFF" w:themeFill="background1"/>
            <w:tcMar>
              <w:left w:w="70" w:type="dxa"/>
              <w:right w:w="70" w:type="dxa"/>
            </w:tcMar>
            <w:vAlign w:val="center"/>
          </w:tcPr>
          <w:p w14:paraId="3D73ADC9" w14:textId="2667AB99" w:rsidR="68B7379A" w:rsidRPr="00951AB1" w:rsidRDefault="68B7379A" w:rsidP="000A5389">
            <w:pPr>
              <w:spacing w:line="240" w:lineRule="auto"/>
              <w:jc w:val="center"/>
              <w:rPr>
                <w:rFonts w:cs="Times New Roman"/>
              </w:rPr>
            </w:pPr>
            <w:r w:rsidRPr="00951AB1">
              <w:rPr>
                <w:rFonts w:eastAsia="Times New Roman" w:cs="Times New Roman"/>
                <w:color w:val="E97132"/>
                <w:sz w:val="16"/>
                <w:szCs w:val="16"/>
              </w:rPr>
              <w:t xml:space="preserve"> </w:t>
            </w:r>
          </w:p>
        </w:tc>
        <w:tc>
          <w:tcPr>
            <w:tcW w:w="231" w:type="pct"/>
            <w:tcBorders>
              <w:top w:val="nil"/>
              <w:bottom w:val="nil"/>
              <w:right w:val="single" w:sz="8" w:space="0" w:color="auto"/>
            </w:tcBorders>
            <w:shd w:val="clear" w:color="auto" w:fill="FFFFFF" w:themeFill="background1"/>
            <w:tcMar>
              <w:left w:w="70" w:type="dxa"/>
              <w:right w:w="70" w:type="dxa"/>
            </w:tcMar>
            <w:vAlign w:val="center"/>
          </w:tcPr>
          <w:p w14:paraId="044A6044" w14:textId="701866A7" w:rsidR="68B7379A" w:rsidRPr="00951AB1" w:rsidRDefault="68B7379A" w:rsidP="000A5389">
            <w:pPr>
              <w:spacing w:line="240" w:lineRule="auto"/>
              <w:jc w:val="center"/>
              <w:rPr>
                <w:rFonts w:cs="Times New Roman"/>
              </w:rPr>
            </w:pPr>
            <w:r w:rsidRPr="00951AB1">
              <w:rPr>
                <w:rFonts w:eastAsia="Times New Roman" w:cs="Times New Roman"/>
                <w:color w:val="E97132"/>
                <w:sz w:val="16"/>
                <w:szCs w:val="16"/>
              </w:rPr>
              <w:t>x</w:t>
            </w:r>
          </w:p>
        </w:tc>
        <w:tc>
          <w:tcPr>
            <w:tcW w:w="231" w:type="pct"/>
            <w:shd w:val="clear" w:color="auto" w:fill="FFFFFF" w:themeFill="background1"/>
            <w:tcMar>
              <w:left w:w="70" w:type="dxa"/>
              <w:right w:w="70" w:type="dxa"/>
            </w:tcMar>
            <w:vAlign w:val="center"/>
          </w:tcPr>
          <w:p w14:paraId="749EE0FE" w14:textId="0D7C89FE" w:rsidR="68B7379A" w:rsidRPr="00951AB1" w:rsidRDefault="68B7379A" w:rsidP="000A5389">
            <w:pPr>
              <w:spacing w:line="240" w:lineRule="auto"/>
              <w:jc w:val="center"/>
              <w:rPr>
                <w:rFonts w:cs="Times New Roman"/>
              </w:rPr>
            </w:pPr>
            <w:r w:rsidRPr="00951AB1">
              <w:rPr>
                <w:rFonts w:eastAsia="Times New Roman" w:cs="Times New Roman"/>
                <w:color w:val="E97132"/>
                <w:sz w:val="16"/>
                <w:szCs w:val="16"/>
              </w:rPr>
              <w:t xml:space="preserve"> </w:t>
            </w:r>
          </w:p>
        </w:tc>
        <w:tc>
          <w:tcPr>
            <w:tcW w:w="231" w:type="pct"/>
            <w:shd w:val="clear" w:color="auto" w:fill="FFFFFF" w:themeFill="background1"/>
            <w:tcMar>
              <w:left w:w="70" w:type="dxa"/>
              <w:right w:w="70" w:type="dxa"/>
            </w:tcMar>
            <w:vAlign w:val="center"/>
          </w:tcPr>
          <w:p w14:paraId="59F1D29E" w14:textId="11C062FD" w:rsidR="68B7379A" w:rsidRPr="00951AB1" w:rsidRDefault="68B7379A" w:rsidP="000A5389">
            <w:pPr>
              <w:spacing w:line="240" w:lineRule="auto"/>
              <w:jc w:val="center"/>
              <w:rPr>
                <w:rFonts w:cs="Times New Roman"/>
              </w:rPr>
            </w:pPr>
            <w:r w:rsidRPr="00951AB1">
              <w:rPr>
                <w:rFonts w:eastAsia="Times New Roman" w:cs="Times New Roman"/>
                <w:color w:val="E97132"/>
                <w:sz w:val="16"/>
                <w:szCs w:val="16"/>
              </w:rPr>
              <w:t xml:space="preserve"> </w:t>
            </w:r>
          </w:p>
        </w:tc>
        <w:tc>
          <w:tcPr>
            <w:tcW w:w="231" w:type="pct"/>
            <w:shd w:val="clear" w:color="auto" w:fill="FFFFFF" w:themeFill="background1"/>
            <w:tcMar>
              <w:left w:w="70" w:type="dxa"/>
              <w:right w:w="70" w:type="dxa"/>
            </w:tcMar>
            <w:vAlign w:val="center"/>
          </w:tcPr>
          <w:p w14:paraId="4D45671C" w14:textId="619A9023" w:rsidR="68B7379A" w:rsidRPr="00951AB1" w:rsidRDefault="68B7379A" w:rsidP="000A5389">
            <w:pPr>
              <w:spacing w:line="240" w:lineRule="auto"/>
              <w:jc w:val="center"/>
              <w:rPr>
                <w:rFonts w:cs="Times New Roman"/>
              </w:rPr>
            </w:pPr>
            <w:r w:rsidRPr="00951AB1">
              <w:rPr>
                <w:rFonts w:eastAsia="Times New Roman" w:cs="Times New Roman"/>
                <w:color w:val="E97132"/>
                <w:sz w:val="16"/>
                <w:szCs w:val="16"/>
              </w:rPr>
              <w:t xml:space="preserve"> </w:t>
            </w:r>
          </w:p>
        </w:tc>
        <w:tc>
          <w:tcPr>
            <w:tcW w:w="231" w:type="pct"/>
            <w:tcBorders>
              <w:top w:val="nil"/>
              <w:bottom w:val="nil"/>
              <w:right w:val="single" w:sz="8" w:space="0" w:color="auto"/>
            </w:tcBorders>
            <w:shd w:val="clear" w:color="auto" w:fill="FFFFFF" w:themeFill="background1"/>
            <w:tcMar>
              <w:left w:w="70" w:type="dxa"/>
              <w:right w:w="70" w:type="dxa"/>
            </w:tcMar>
            <w:vAlign w:val="center"/>
          </w:tcPr>
          <w:p w14:paraId="086786EB" w14:textId="43124C86" w:rsidR="68B7379A" w:rsidRPr="00951AB1" w:rsidRDefault="68B7379A" w:rsidP="000A5389">
            <w:pPr>
              <w:spacing w:line="240" w:lineRule="auto"/>
              <w:jc w:val="center"/>
              <w:rPr>
                <w:rFonts w:cs="Times New Roman"/>
              </w:rPr>
            </w:pPr>
            <w:r w:rsidRPr="00951AB1">
              <w:rPr>
                <w:rFonts w:eastAsia="Times New Roman" w:cs="Times New Roman"/>
                <w:color w:val="E97132"/>
                <w:sz w:val="16"/>
                <w:szCs w:val="16"/>
              </w:rPr>
              <w:t xml:space="preserve"> </w:t>
            </w:r>
          </w:p>
        </w:tc>
        <w:tc>
          <w:tcPr>
            <w:tcW w:w="429" w:type="pct"/>
            <w:gridSpan w:val="2"/>
            <w:shd w:val="clear" w:color="auto" w:fill="FFFFFF" w:themeFill="background1"/>
            <w:tcMar>
              <w:left w:w="70" w:type="dxa"/>
              <w:right w:w="70" w:type="dxa"/>
            </w:tcMar>
            <w:vAlign w:val="center"/>
          </w:tcPr>
          <w:p w14:paraId="2C4F9C83" w14:textId="34E3E2B8" w:rsidR="68B7379A" w:rsidRPr="00951AB1" w:rsidRDefault="68B7379A" w:rsidP="000A5389">
            <w:pPr>
              <w:spacing w:line="240" w:lineRule="auto"/>
              <w:jc w:val="center"/>
              <w:rPr>
                <w:rFonts w:cs="Times New Roman"/>
              </w:rPr>
            </w:pPr>
            <w:r w:rsidRPr="00951AB1">
              <w:rPr>
                <w:rFonts w:eastAsia="Times New Roman" w:cs="Times New Roman"/>
                <w:color w:val="E97132"/>
                <w:sz w:val="16"/>
                <w:szCs w:val="16"/>
              </w:rPr>
              <w:t xml:space="preserve"> </w:t>
            </w:r>
          </w:p>
        </w:tc>
        <w:tc>
          <w:tcPr>
            <w:tcW w:w="231" w:type="pct"/>
            <w:shd w:val="clear" w:color="auto" w:fill="FFFFFF" w:themeFill="background1"/>
            <w:tcMar>
              <w:left w:w="70" w:type="dxa"/>
              <w:right w:w="70" w:type="dxa"/>
            </w:tcMar>
            <w:vAlign w:val="center"/>
          </w:tcPr>
          <w:p w14:paraId="561D30C0" w14:textId="071B8386" w:rsidR="68B7379A" w:rsidRPr="00951AB1" w:rsidRDefault="68B7379A" w:rsidP="000A5389">
            <w:pPr>
              <w:spacing w:line="240" w:lineRule="auto"/>
              <w:jc w:val="center"/>
              <w:rPr>
                <w:rFonts w:cs="Times New Roman"/>
              </w:rPr>
            </w:pPr>
            <w:r w:rsidRPr="00951AB1">
              <w:rPr>
                <w:rFonts w:eastAsia="Times New Roman" w:cs="Times New Roman"/>
                <w:color w:val="E97132"/>
                <w:sz w:val="16"/>
                <w:szCs w:val="16"/>
              </w:rPr>
              <w:t xml:space="preserve"> </w:t>
            </w:r>
          </w:p>
        </w:tc>
        <w:tc>
          <w:tcPr>
            <w:tcW w:w="231" w:type="pct"/>
            <w:shd w:val="clear" w:color="auto" w:fill="FFFFFF" w:themeFill="background1"/>
            <w:tcMar>
              <w:left w:w="70" w:type="dxa"/>
              <w:right w:w="70" w:type="dxa"/>
            </w:tcMar>
            <w:vAlign w:val="center"/>
          </w:tcPr>
          <w:p w14:paraId="1714049E" w14:textId="53661B2F" w:rsidR="68B7379A" w:rsidRPr="00951AB1" w:rsidRDefault="68B7379A" w:rsidP="000A5389">
            <w:pPr>
              <w:spacing w:line="240" w:lineRule="auto"/>
              <w:jc w:val="center"/>
              <w:rPr>
                <w:rFonts w:cs="Times New Roman"/>
              </w:rPr>
            </w:pPr>
            <w:r w:rsidRPr="00951AB1">
              <w:rPr>
                <w:rFonts w:eastAsia="Times New Roman" w:cs="Times New Roman"/>
                <w:color w:val="E97132"/>
                <w:sz w:val="16"/>
                <w:szCs w:val="16"/>
              </w:rPr>
              <w:t xml:space="preserve"> </w:t>
            </w:r>
          </w:p>
        </w:tc>
        <w:tc>
          <w:tcPr>
            <w:tcW w:w="231" w:type="pct"/>
            <w:tcBorders>
              <w:top w:val="nil"/>
              <w:bottom w:val="nil"/>
              <w:right w:val="single" w:sz="8" w:space="0" w:color="auto"/>
            </w:tcBorders>
            <w:shd w:val="clear" w:color="auto" w:fill="FFFFFF" w:themeFill="background1"/>
            <w:tcMar>
              <w:left w:w="70" w:type="dxa"/>
              <w:right w:w="70" w:type="dxa"/>
            </w:tcMar>
            <w:vAlign w:val="center"/>
          </w:tcPr>
          <w:p w14:paraId="0FBAA620" w14:textId="08459C55" w:rsidR="68B7379A" w:rsidRPr="00951AB1" w:rsidRDefault="68B7379A" w:rsidP="000A5389">
            <w:pPr>
              <w:spacing w:line="240" w:lineRule="auto"/>
              <w:jc w:val="center"/>
              <w:rPr>
                <w:rFonts w:cs="Times New Roman"/>
              </w:rPr>
            </w:pPr>
            <w:r w:rsidRPr="00951AB1">
              <w:rPr>
                <w:rFonts w:eastAsia="Times New Roman" w:cs="Times New Roman"/>
                <w:color w:val="E97132"/>
                <w:sz w:val="16"/>
                <w:szCs w:val="16"/>
              </w:rPr>
              <w:t xml:space="preserve"> </w:t>
            </w:r>
          </w:p>
        </w:tc>
        <w:tc>
          <w:tcPr>
            <w:tcW w:w="429" w:type="pct"/>
            <w:gridSpan w:val="2"/>
            <w:shd w:val="clear" w:color="auto" w:fill="FFFFFF" w:themeFill="background1"/>
            <w:tcMar>
              <w:left w:w="70" w:type="dxa"/>
              <w:right w:w="70" w:type="dxa"/>
            </w:tcMar>
            <w:vAlign w:val="center"/>
          </w:tcPr>
          <w:p w14:paraId="2AC3C295" w14:textId="421D9F10" w:rsidR="68B7379A" w:rsidRPr="00951AB1" w:rsidRDefault="68B7379A" w:rsidP="000A5389">
            <w:pPr>
              <w:spacing w:line="240" w:lineRule="auto"/>
              <w:jc w:val="center"/>
              <w:rPr>
                <w:rFonts w:cs="Times New Roman"/>
              </w:rPr>
            </w:pPr>
            <w:r w:rsidRPr="00951AB1">
              <w:rPr>
                <w:rFonts w:eastAsia="Times New Roman" w:cs="Times New Roman"/>
                <w:color w:val="E97132"/>
                <w:sz w:val="16"/>
                <w:szCs w:val="16"/>
              </w:rPr>
              <w:t xml:space="preserve"> </w:t>
            </w:r>
          </w:p>
        </w:tc>
        <w:tc>
          <w:tcPr>
            <w:tcW w:w="231" w:type="pct"/>
            <w:shd w:val="clear" w:color="auto" w:fill="FFFFFF" w:themeFill="background1"/>
            <w:tcMar>
              <w:left w:w="70" w:type="dxa"/>
              <w:right w:w="70" w:type="dxa"/>
            </w:tcMar>
            <w:vAlign w:val="center"/>
          </w:tcPr>
          <w:p w14:paraId="54ED644E" w14:textId="5A307FAD" w:rsidR="68B7379A" w:rsidRPr="00951AB1" w:rsidRDefault="68B7379A" w:rsidP="000A5389">
            <w:pPr>
              <w:spacing w:line="240" w:lineRule="auto"/>
              <w:jc w:val="center"/>
              <w:rPr>
                <w:rFonts w:cs="Times New Roman"/>
              </w:rPr>
            </w:pPr>
            <w:r w:rsidRPr="00951AB1">
              <w:rPr>
                <w:rFonts w:eastAsia="Times New Roman" w:cs="Times New Roman"/>
                <w:color w:val="E97132"/>
                <w:sz w:val="16"/>
                <w:szCs w:val="16"/>
              </w:rPr>
              <w:t xml:space="preserve"> </w:t>
            </w:r>
          </w:p>
        </w:tc>
        <w:tc>
          <w:tcPr>
            <w:tcW w:w="231" w:type="pct"/>
            <w:shd w:val="clear" w:color="auto" w:fill="FFFFFF" w:themeFill="background1"/>
            <w:tcMar>
              <w:left w:w="70" w:type="dxa"/>
              <w:right w:w="70" w:type="dxa"/>
            </w:tcMar>
            <w:vAlign w:val="center"/>
          </w:tcPr>
          <w:p w14:paraId="043FBCF3" w14:textId="45D4C56F" w:rsidR="68B7379A" w:rsidRPr="00951AB1" w:rsidRDefault="68B7379A" w:rsidP="000A5389">
            <w:pPr>
              <w:spacing w:line="240" w:lineRule="auto"/>
              <w:jc w:val="center"/>
              <w:rPr>
                <w:rFonts w:cs="Times New Roman"/>
              </w:rPr>
            </w:pPr>
            <w:r w:rsidRPr="00951AB1">
              <w:rPr>
                <w:rFonts w:eastAsia="Times New Roman" w:cs="Times New Roman"/>
                <w:color w:val="E97132"/>
                <w:sz w:val="16"/>
                <w:szCs w:val="16"/>
              </w:rPr>
              <w:t xml:space="preserve"> </w:t>
            </w:r>
          </w:p>
        </w:tc>
        <w:tc>
          <w:tcPr>
            <w:tcW w:w="232" w:type="pct"/>
            <w:tcBorders>
              <w:top w:val="nil"/>
              <w:bottom w:val="nil"/>
              <w:right w:val="single" w:sz="8" w:space="0" w:color="auto"/>
            </w:tcBorders>
            <w:shd w:val="clear" w:color="auto" w:fill="FFFFFF" w:themeFill="background1"/>
            <w:tcMar>
              <w:left w:w="70" w:type="dxa"/>
              <w:right w:w="70" w:type="dxa"/>
            </w:tcMar>
            <w:vAlign w:val="center"/>
          </w:tcPr>
          <w:p w14:paraId="6499595C" w14:textId="75DAA7E6" w:rsidR="68B7379A" w:rsidRPr="00951AB1" w:rsidRDefault="68B7379A" w:rsidP="000A5389">
            <w:pPr>
              <w:spacing w:line="240" w:lineRule="auto"/>
              <w:jc w:val="center"/>
              <w:rPr>
                <w:rFonts w:cs="Times New Roman"/>
              </w:rPr>
            </w:pPr>
            <w:r w:rsidRPr="00951AB1">
              <w:rPr>
                <w:rFonts w:eastAsia="Times New Roman" w:cs="Times New Roman"/>
                <w:color w:val="E97132"/>
                <w:sz w:val="16"/>
                <w:szCs w:val="16"/>
              </w:rPr>
              <w:t xml:space="preserve"> </w:t>
            </w:r>
          </w:p>
        </w:tc>
      </w:tr>
      <w:tr w:rsidR="68B7379A" w:rsidRPr="00951AB1" w14:paraId="60668436" w14:textId="77777777" w:rsidTr="00512B77">
        <w:trPr>
          <w:gridAfter w:val="1"/>
          <w:wAfter w:w="213" w:type="pct"/>
          <w:trHeight w:val="405"/>
        </w:trPr>
        <w:tc>
          <w:tcPr>
            <w:tcW w:w="695" w:type="pct"/>
            <w:tcBorders>
              <w:top w:val="nil"/>
              <w:left w:val="single" w:sz="8" w:space="0" w:color="auto"/>
              <w:bottom w:val="nil"/>
              <w:right w:val="single" w:sz="8" w:space="0" w:color="auto"/>
            </w:tcBorders>
            <w:shd w:val="clear" w:color="auto" w:fill="F2F2F2" w:themeFill="background1" w:themeFillShade="F2"/>
            <w:tcMar>
              <w:left w:w="70" w:type="dxa"/>
              <w:right w:w="70" w:type="dxa"/>
            </w:tcMar>
            <w:vAlign w:val="center"/>
          </w:tcPr>
          <w:p w14:paraId="235DD19C" w14:textId="3D7C16EF" w:rsidR="68B7379A" w:rsidRPr="00951AB1" w:rsidRDefault="68B7379A" w:rsidP="000A5389">
            <w:pPr>
              <w:spacing w:line="240" w:lineRule="auto"/>
              <w:rPr>
                <w:rFonts w:cs="Times New Roman"/>
              </w:rPr>
            </w:pPr>
            <w:r w:rsidRPr="00951AB1">
              <w:rPr>
                <w:rFonts w:eastAsia="Times New Roman" w:cs="Times New Roman"/>
                <w:color w:val="000000" w:themeColor="text1"/>
                <w:sz w:val="16"/>
                <w:szCs w:val="16"/>
              </w:rPr>
              <w:t>Inventario de activos portuario, y fluvial georreferenciado</w:t>
            </w:r>
          </w:p>
        </w:tc>
        <w:tc>
          <w:tcPr>
            <w:tcW w:w="231" w:type="pct"/>
            <w:shd w:val="clear" w:color="auto" w:fill="F2F2F2" w:themeFill="background1" w:themeFillShade="F2"/>
            <w:tcMar>
              <w:left w:w="70" w:type="dxa"/>
              <w:right w:w="70" w:type="dxa"/>
            </w:tcMar>
            <w:vAlign w:val="center"/>
          </w:tcPr>
          <w:p w14:paraId="20BD5A82" w14:textId="4F4061E5" w:rsidR="68B7379A" w:rsidRPr="00951AB1" w:rsidRDefault="68B7379A" w:rsidP="000A5389">
            <w:pPr>
              <w:spacing w:line="240" w:lineRule="auto"/>
              <w:jc w:val="center"/>
              <w:rPr>
                <w:rFonts w:cs="Times New Roman"/>
              </w:rPr>
            </w:pPr>
            <w:r w:rsidRPr="00951AB1">
              <w:rPr>
                <w:rFonts w:eastAsia="Times New Roman" w:cs="Times New Roman"/>
                <w:color w:val="E97132"/>
                <w:sz w:val="16"/>
                <w:szCs w:val="16"/>
              </w:rPr>
              <w:t xml:space="preserve"> </w:t>
            </w:r>
          </w:p>
        </w:tc>
        <w:tc>
          <w:tcPr>
            <w:tcW w:w="231" w:type="pct"/>
            <w:shd w:val="clear" w:color="auto" w:fill="F2F2F2" w:themeFill="background1" w:themeFillShade="F2"/>
            <w:tcMar>
              <w:left w:w="70" w:type="dxa"/>
              <w:right w:w="70" w:type="dxa"/>
            </w:tcMar>
            <w:vAlign w:val="center"/>
          </w:tcPr>
          <w:p w14:paraId="6D8257C1" w14:textId="23814C2E" w:rsidR="68B7379A" w:rsidRPr="00951AB1" w:rsidRDefault="68B7379A" w:rsidP="000A5389">
            <w:pPr>
              <w:spacing w:line="240" w:lineRule="auto"/>
              <w:jc w:val="center"/>
              <w:rPr>
                <w:rFonts w:cs="Times New Roman"/>
              </w:rPr>
            </w:pPr>
            <w:r w:rsidRPr="00951AB1">
              <w:rPr>
                <w:rFonts w:eastAsia="Times New Roman" w:cs="Times New Roman"/>
                <w:color w:val="E97132"/>
                <w:sz w:val="16"/>
                <w:szCs w:val="16"/>
              </w:rPr>
              <w:t xml:space="preserve"> </w:t>
            </w:r>
          </w:p>
        </w:tc>
        <w:tc>
          <w:tcPr>
            <w:tcW w:w="231" w:type="pct"/>
            <w:shd w:val="clear" w:color="auto" w:fill="F2F2F2" w:themeFill="background1" w:themeFillShade="F2"/>
            <w:tcMar>
              <w:left w:w="70" w:type="dxa"/>
              <w:right w:w="70" w:type="dxa"/>
            </w:tcMar>
            <w:vAlign w:val="center"/>
          </w:tcPr>
          <w:p w14:paraId="117CD888" w14:textId="27EF7CA2" w:rsidR="68B7379A" w:rsidRPr="00951AB1" w:rsidRDefault="68B7379A" w:rsidP="000A5389">
            <w:pPr>
              <w:spacing w:line="240" w:lineRule="auto"/>
              <w:jc w:val="center"/>
              <w:rPr>
                <w:rFonts w:cs="Times New Roman"/>
              </w:rPr>
            </w:pPr>
            <w:r w:rsidRPr="00951AB1">
              <w:rPr>
                <w:rFonts w:eastAsia="Times New Roman" w:cs="Times New Roman"/>
                <w:color w:val="E97132"/>
                <w:sz w:val="16"/>
                <w:szCs w:val="16"/>
              </w:rPr>
              <w:t xml:space="preserve"> </w:t>
            </w:r>
          </w:p>
        </w:tc>
        <w:tc>
          <w:tcPr>
            <w:tcW w:w="231" w:type="pct"/>
            <w:tcBorders>
              <w:top w:val="nil"/>
              <w:bottom w:val="nil"/>
              <w:right w:val="single" w:sz="8" w:space="0" w:color="auto"/>
            </w:tcBorders>
            <w:shd w:val="clear" w:color="auto" w:fill="F2F2F2" w:themeFill="background1" w:themeFillShade="F2"/>
            <w:tcMar>
              <w:left w:w="70" w:type="dxa"/>
              <w:right w:w="70" w:type="dxa"/>
            </w:tcMar>
            <w:vAlign w:val="center"/>
          </w:tcPr>
          <w:p w14:paraId="14D2CFFB" w14:textId="2D88BB24" w:rsidR="68B7379A" w:rsidRPr="00951AB1" w:rsidRDefault="68B7379A" w:rsidP="000A5389">
            <w:pPr>
              <w:spacing w:line="240" w:lineRule="auto"/>
              <w:jc w:val="center"/>
              <w:rPr>
                <w:rFonts w:cs="Times New Roman"/>
              </w:rPr>
            </w:pPr>
            <w:r w:rsidRPr="00951AB1">
              <w:rPr>
                <w:rFonts w:eastAsia="Times New Roman" w:cs="Times New Roman"/>
                <w:color w:val="E97132"/>
                <w:sz w:val="16"/>
                <w:szCs w:val="16"/>
              </w:rPr>
              <w:t>x</w:t>
            </w:r>
          </w:p>
        </w:tc>
        <w:tc>
          <w:tcPr>
            <w:tcW w:w="231" w:type="pct"/>
            <w:shd w:val="clear" w:color="auto" w:fill="F2F2F2" w:themeFill="background1" w:themeFillShade="F2"/>
            <w:tcMar>
              <w:left w:w="70" w:type="dxa"/>
              <w:right w:w="70" w:type="dxa"/>
            </w:tcMar>
            <w:vAlign w:val="center"/>
          </w:tcPr>
          <w:p w14:paraId="75915E13" w14:textId="6F6C4CA6" w:rsidR="68B7379A" w:rsidRPr="00951AB1" w:rsidRDefault="68B7379A" w:rsidP="000A5389">
            <w:pPr>
              <w:spacing w:line="240" w:lineRule="auto"/>
              <w:jc w:val="center"/>
              <w:rPr>
                <w:rFonts w:cs="Times New Roman"/>
              </w:rPr>
            </w:pPr>
            <w:r w:rsidRPr="00951AB1">
              <w:rPr>
                <w:rFonts w:eastAsia="Times New Roman" w:cs="Times New Roman"/>
                <w:color w:val="E97132"/>
                <w:sz w:val="16"/>
                <w:szCs w:val="16"/>
              </w:rPr>
              <w:t xml:space="preserve"> </w:t>
            </w:r>
          </w:p>
        </w:tc>
        <w:tc>
          <w:tcPr>
            <w:tcW w:w="231" w:type="pct"/>
            <w:shd w:val="clear" w:color="auto" w:fill="F2F2F2" w:themeFill="background1" w:themeFillShade="F2"/>
            <w:tcMar>
              <w:left w:w="70" w:type="dxa"/>
              <w:right w:w="70" w:type="dxa"/>
            </w:tcMar>
            <w:vAlign w:val="center"/>
          </w:tcPr>
          <w:p w14:paraId="20BD05D6" w14:textId="74206BC6" w:rsidR="68B7379A" w:rsidRPr="00951AB1" w:rsidRDefault="68B7379A" w:rsidP="000A5389">
            <w:pPr>
              <w:spacing w:line="240" w:lineRule="auto"/>
              <w:jc w:val="center"/>
              <w:rPr>
                <w:rFonts w:cs="Times New Roman"/>
              </w:rPr>
            </w:pPr>
            <w:r w:rsidRPr="00951AB1">
              <w:rPr>
                <w:rFonts w:eastAsia="Times New Roman" w:cs="Times New Roman"/>
                <w:color w:val="E97132"/>
                <w:sz w:val="16"/>
                <w:szCs w:val="16"/>
              </w:rPr>
              <w:t xml:space="preserve"> </w:t>
            </w:r>
          </w:p>
        </w:tc>
        <w:tc>
          <w:tcPr>
            <w:tcW w:w="231" w:type="pct"/>
            <w:shd w:val="clear" w:color="auto" w:fill="F2F2F2" w:themeFill="background1" w:themeFillShade="F2"/>
            <w:tcMar>
              <w:left w:w="70" w:type="dxa"/>
              <w:right w:w="70" w:type="dxa"/>
            </w:tcMar>
            <w:vAlign w:val="center"/>
          </w:tcPr>
          <w:p w14:paraId="53C6CA73" w14:textId="5AAA0136" w:rsidR="68B7379A" w:rsidRPr="00951AB1" w:rsidRDefault="68B7379A" w:rsidP="000A5389">
            <w:pPr>
              <w:spacing w:line="240" w:lineRule="auto"/>
              <w:jc w:val="center"/>
              <w:rPr>
                <w:rFonts w:cs="Times New Roman"/>
              </w:rPr>
            </w:pPr>
            <w:r w:rsidRPr="00951AB1">
              <w:rPr>
                <w:rFonts w:eastAsia="Times New Roman" w:cs="Times New Roman"/>
                <w:color w:val="E97132"/>
                <w:sz w:val="16"/>
                <w:szCs w:val="16"/>
              </w:rPr>
              <w:t xml:space="preserve"> </w:t>
            </w:r>
          </w:p>
        </w:tc>
        <w:tc>
          <w:tcPr>
            <w:tcW w:w="231" w:type="pct"/>
            <w:tcBorders>
              <w:top w:val="nil"/>
              <w:bottom w:val="nil"/>
              <w:right w:val="single" w:sz="8" w:space="0" w:color="auto"/>
            </w:tcBorders>
            <w:shd w:val="clear" w:color="auto" w:fill="F2F2F2" w:themeFill="background1" w:themeFillShade="F2"/>
            <w:tcMar>
              <w:left w:w="70" w:type="dxa"/>
              <w:right w:w="70" w:type="dxa"/>
            </w:tcMar>
            <w:vAlign w:val="center"/>
          </w:tcPr>
          <w:p w14:paraId="11DEF0FE" w14:textId="5E557334" w:rsidR="68B7379A" w:rsidRPr="00951AB1" w:rsidRDefault="68B7379A" w:rsidP="000A5389">
            <w:pPr>
              <w:spacing w:line="240" w:lineRule="auto"/>
              <w:jc w:val="center"/>
              <w:rPr>
                <w:rFonts w:cs="Times New Roman"/>
              </w:rPr>
            </w:pPr>
            <w:r w:rsidRPr="00951AB1">
              <w:rPr>
                <w:rFonts w:eastAsia="Times New Roman" w:cs="Times New Roman"/>
                <w:color w:val="E97132"/>
                <w:sz w:val="16"/>
                <w:szCs w:val="16"/>
              </w:rPr>
              <w:t>x</w:t>
            </w:r>
          </w:p>
        </w:tc>
        <w:tc>
          <w:tcPr>
            <w:tcW w:w="429" w:type="pct"/>
            <w:gridSpan w:val="2"/>
            <w:shd w:val="clear" w:color="auto" w:fill="F2F2F2" w:themeFill="background1" w:themeFillShade="F2"/>
            <w:tcMar>
              <w:left w:w="70" w:type="dxa"/>
              <w:right w:w="70" w:type="dxa"/>
            </w:tcMar>
            <w:vAlign w:val="center"/>
          </w:tcPr>
          <w:p w14:paraId="01F30B85" w14:textId="6532D784" w:rsidR="68B7379A" w:rsidRPr="00951AB1" w:rsidRDefault="68B7379A" w:rsidP="000A5389">
            <w:pPr>
              <w:spacing w:line="240" w:lineRule="auto"/>
              <w:jc w:val="center"/>
              <w:rPr>
                <w:rFonts w:cs="Times New Roman"/>
              </w:rPr>
            </w:pPr>
            <w:r w:rsidRPr="00951AB1">
              <w:rPr>
                <w:rFonts w:eastAsia="Times New Roman" w:cs="Times New Roman"/>
                <w:color w:val="E97132"/>
                <w:sz w:val="16"/>
                <w:szCs w:val="16"/>
              </w:rPr>
              <w:t xml:space="preserve"> </w:t>
            </w:r>
          </w:p>
        </w:tc>
        <w:tc>
          <w:tcPr>
            <w:tcW w:w="231" w:type="pct"/>
            <w:shd w:val="clear" w:color="auto" w:fill="F2F2F2" w:themeFill="background1" w:themeFillShade="F2"/>
            <w:tcMar>
              <w:left w:w="70" w:type="dxa"/>
              <w:right w:w="70" w:type="dxa"/>
            </w:tcMar>
            <w:vAlign w:val="center"/>
          </w:tcPr>
          <w:p w14:paraId="7B3DA0B7" w14:textId="269F44FA" w:rsidR="68B7379A" w:rsidRPr="00951AB1" w:rsidRDefault="68B7379A" w:rsidP="000A5389">
            <w:pPr>
              <w:spacing w:line="240" w:lineRule="auto"/>
              <w:jc w:val="center"/>
              <w:rPr>
                <w:rFonts w:cs="Times New Roman"/>
              </w:rPr>
            </w:pPr>
            <w:r w:rsidRPr="00951AB1">
              <w:rPr>
                <w:rFonts w:eastAsia="Times New Roman" w:cs="Times New Roman"/>
                <w:color w:val="E97132"/>
                <w:sz w:val="16"/>
                <w:szCs w:val="16"/>
              </w:rPr>
              <w:t xml:space="preserve"> </w:t>
            </w:r>
          </w:p>
        </w:tc>
        <w:tc>
          <w:tcPr>
            <w:tcW w:w="231" w:type="pct"/>
            <w:shd w:val="clear" w:color="auto" w:fill="F2F2F2" w:themeFill="background1" w:themeFillShade="F2"/>
            <w:tcMar>
              <w:left w:w="70" w:type="dxa"/>
              <w:right w:w="70" w:type="dxa"/>
            </w:tcMar>
            <w:vAlign w:val="center"/>
          </w:tcPr>
          <w:p w14:paraId="366D08B4" w14:textId="0BE252E4" w:rsidR="68B7379A" w:rsidRPr="00951AB1" w:rsidRDefault="68B7379A" w:rsidP="000A5389">
            <w:pPr>
              <w:spacing w:line="240" w:lineRule="auto"/>
              <w:jc w:val="center"/>
              <w:rPr>
                <w:rFonts w:cs="Times New Roman"/>
              </w:rPr>
            </w:pPr>
            <w:r w:rsidRPr="00951AB1">
              <w:rPr>
                <w:rFonts w:eastAsia="Times New Roman" w:cs="Times New Roman"/>
                <w:color w:val="E97132"/>
                <w:sz w:val="16"/>
                <w:szCs w:val="16"/>
              </w:rPr>
              <w:t xml:space="preserve"> </w:t>
            </w:r>
          </w:p>
        </w:tc>
        <w:tc>
          <w:tcPr>
            <w:tcW w:w="231" w:type="pct"/>
            <w:tcBorders>
              <w:top w:val="nil"/>
              <w:bottom w:val="nil"/>
              <w:right w:val="single" w:sz="8" w:space="0" w:color="auto"/>
            </w:tcBorders>
            <w:shd w:val="clear" w:color="auto" w:fill="F2F2F2" w:themeFill="background1" w:themeFillShade="F2"/>
            <w:tcMar>
              <w:left w:w="70" w:type="dxa"/>
              <w:right w:w="70" w:type="dxa"/>
            </w:tcMar>
            <w:vAlign w:val="center"/>
          </w:tcPr>
          <w:p w14:paraId="42D2B7F4" w14:textId="4D09BA8D" w:rsidR="68B7379A" w:rsidRPr="00951AB1" w:rsidRDefault="68B7379A" w:rsidP="000A5389">
            <w:pPr>
              <w:spacing w:line="240" w:lineRule="auto"/>
              <w:jc w:val="center"/>
              <w:rPr>
                <w:rFonts w:cs="Times New Roman"/>
              </w:rPr>
            </w:pPr>
            <w:r w:rsidRPr="00951AB1">
              <w:rPr>
                <w:rFonts w:eastAsia="Times New Roman" w:cs="Times New Roman"/>
                <w:color w:val="E97132"/>
                <w:sz w:val="16"/>
                <w:szCs w:val="16"/>
              </w:rPr>
              <w:t xml:space="preserve"> </w:t>
            </w:r>
          </w:p>
        </w:tc>
        <w:tc>
          <w:tcPr>
            <w:tcW w:w="429" w:type="pct"/>
            <w:gridSpan w:val="2"/>
            <w:shd w:val="clear" w:color="auto" w:fill="F2F2F2" w:themeFill="background1" w:themeFillShade="F2"/>
            <w:tcMar>
              <w:left w:w="70" w:type="dxa"/>
              <w:right w:w="70" w:type="dxa"/>
            </w:tcMar>
            <w:vAlign w:val="center"/>
          </w:tcPr>
          <w:p w14:paraId="332E4803" w14:textId="444183AC" w:rsidR="68B7379A" w:rsidRPr="00951AB1" w:rsidRDefault="68B7379A" w:rsidP="000A5389">
            <w:pPr>
              <w:spacing w:line="240" w:lineRule="auto"/>
              <w:jc w:val="center"/>
              <w:rPr>
                <w:rFonts w:cs="Times New Roman"/>
              </w:rPr>
            </w:pPr>
            <w:r w:rsidRPr="00951AB1">
              <w:rPr>
                <w:rFonts w:eastAsia="Times New Roman" w:cs="Times New Roman"/>
                <w:color w:val="E97132"/>
                <w:sz w:val="16"/>
                <w:szCs w:val="16"/>
              </w:rPr>
              <w:t xml:space="preserve"> </w:t>
            </w:r>
          </w:p>
        </w:tc>
        <w:tc>
          <w:tcPr>
            <w:tcW w:w="231" w:type="pct"/>
            <w:shd w:val="clear" w:color="auto" w:fill="F2F2F2" w:themeFill="background1" w:themeFillShade="F2"/>
            <w:tcMar>
              <w:left w:w="70" w:type="dxa"/>
              <w:right w:w="70" w:type="dxa"/>
            </w:tcMar>
            <w:vAlign w:val="center"/>
          </w:tcPr>
          <w:p w14:paraId="4C48C9A2" w14:textId="43396A0F" w:rsidR="68B7379A" w:rsidRPr="00951AB1" w:rsidRDefault="68B7379A" w:rsidP="000A5389">
            <w:pPr>
              <w:spacing w:line="240" w:lineRule="auto"/>
              <w:jc w:val="center"/>
              <w:rPr>
                <w:rFonts w:cs="Times New Roman"/>
              </w:rPr>
            </w:pPr>
            <w:r w:rsidRPr="00951AB1">
              <w:rPr>
                <w:rFonts w:eastAsia="Times New Roman" w:cs="Times New Roman"/>
                <w:color w:val="E97132"/>
                <w:sz w:val="16"/>
                <w:szCs w:val="16"/>
              </w:rPr>
              <w:t xml:space="preserve"> </w:t>
            </w:r>
          </w:p>
        </w:tc>
        <w:tc>
          <w:tcPr>
            <w:tcW w:w="231" w:type="pct"/>
            <w:shd w:val="clear" w:color="auto" w:fill="F2F2F2" w:themeFill="background1" w:themeFillShade="F2"/>
            <w:tcMar>
              <w:left w:w="70" w:type="dxa"/>
              <w:right w:w="70" w:type="dxa"/>
            </w:tcMar>
            <w:vAlign w:val="center"/>
          </w:tcPr>
          <w:p w14:paraId="6D8569CE" w14:textId="2371EE61" w:rsidR="68B7379A" w:rsidRPr="00951AB1" w:rsidRDefault="68B7379A" w:rsidP="000A5389">
            <w:pPr>
              <w:spacing w:line="240" w:lineRule="auto"/>
              <w:jc w:val="center"/>
              <w:rPr>
                <w:rFonts w:cs="Times New Roman"/>
              </w:rPr>
            </w:pPr>
            <w:r w:rsidRPr="00951AB1">
              <w:rPr>
                <w:rFonts w:eastAsia="Times New Roman" w:cs="Times New Roman"/>
                <w:color w:val="E97132"/>
                <w:sz w:val="16"/>
                <w:szCs w:val="16"/>
              </w:rPr>
              <w:t xml:space="preserve"> </w:t>
            </w:r>
          </w:p>
        </w:tc>
        <w:tc>
          <w:tcPr>
            <w:tcW w:w="232" w:type="pct"/>
            <w:tcBorders>
              <w:top w:val="nil"/>
              <w:bottom w:val="nil"/>
              <w:right w:val="single" w:sz="8" w:space="0" w:color="auto"/>
            </w:tcBorders>
            <w:shd w:val="clear" w:color="auto" w:fill="F2F2F2" w:themeFill="background1" w:themeFillShade="F2"/>
            <w:tcMar>
              <w:left w:w="70" w:type="dxa"/>
              <w:right w:w="70" w:type="dxa"/>
            </w:tcMar>
            <w:vAlign w:val="center"/>
          </w:tcPr>
          <w:p w14:paraId="5933D136" w14:textId="35DC754D" w:rsidR="68B7379A" w:rsidRPr="00951AB1" w:rsidRDefault="68B7379A" w:rsidP="000A5389">
            <w:pPr>
              <w:spacing w:line="240" w:lineRule="auto"/>
              <w:jc w:val="center"/>
              <w:rPr>
                <w:rFonts w:cs="Times New Roman"/>
              </w:rPr>
            </w:pPr>
            <w:r w:rsidRPr="00951AB1">
              <w:rPr>
                <w:rFonts w:eastAsia="Times New Roman" w:cs="Times New Roman"/>
                <w:color w:val="E97132"/>
                <w:sz w:val="16"/>
                <w:szCs w:val="16"/>
              </w:rPr>
              <w:t xml:space="preserve"> </w:t>
            </w:r>
          </w:p>
        </w:tc>
      </w:tr>
      <w:tr w:rsidR="68B7379A" w:rsidRPr="00951AB1" w14:paraId="6137A847" w14:textId="77777777" w:rsidTr="00512B77">
        <w:trPr>
          <w:gridAfter w:val="1"/>
          <w:wAfter w:w="213" w:type="pct"/>
          <w:trHeight w:val="405"/>
        </w:trPr>
        <w:tc>
          <w:tcPr>
            <w:tcW w:w="695" w:type="pct"/>
            <w:tcBorders>
              <w:top w:val="nil"/>
              <w:left w:val="single" w:sz="8" w:space="0" w:color="auto"/>
              <w:bottom w:val="nil"/>
              <w:right w:val="single" w:sz="8" w:space="0" w:color="auto"/>
            </w:tcBorders>
            <w:shd w:val="clear" w:color="auto" w:fill="FFFFFF" w:themeFill="background1"/>
            <w:tcMar>
              <w:left w:w="70" w:type="dxa"/>
              <w:right w:w="70" w:type="dxa"/>
            </w:tcMar>
            <w:vAlign w:val="center"/>
          </w:tcPr>
          <w:p w14:paraId="5AB74BDA" w14:textId="1C634F22" w:rsidR="68B7379A" w:rsidRPr="00951AB1" w:rsidRDefault="68B7379A" w:rsidP="000A5389">
            <w:pPr>
              <w:spacing w:line="240" w:lineRule="auto"/>
              <w:rPr>
                <w:rFonts w:cs="Times New Roman"/>
              </w:rPr>
            </w:pPr>
            <w:r w:rsidRPr="00951AB1">
              <w:rPr>
                <w:rFonts w:eastAsia="Times New Roman" w:cs="Times New Roman"/>
                <w:color w:val="000000" w:themeColor="text1"/>
                <w:sz w:val="16"/>
                <w:szCs w:val="16"/>
              </w:rPr>
              <w:t>Políticas sectoriales implementados</w:t>
            </w:r>
          </w:p>
        </w:tc>
        <w:tc>
          <w:tcPr>
            <w:tcW w:w="231" w:type="pct"/>
            <w:shd w:val="clear" w:color="auto" w:fill="FFFFFF" w:themeFill="background1"/>
            <w:tcMar>
              <w:left w:w="70" w:type="dxa"/>
              <w:right w:w="70" w:type="dxa"/>
            </w:tcMar>
            <w:vAlign w:val="center"/>
          </w:tcPr>
          <w:p w14:paraId="734D3276" w14:textId="6A4E4193" w:rsidR="68B7379A" w:rsidRPr="00951AB1" w:rsidRDefault="68B7379A" w:rsidP="000A5389">
            <w:pPr>
              <w:spacing w:line="240" w:lineRule="auto"/>
              <w:jc w:val="center"/>
              <w:rPr>
                <w:rFonts w:cs="Times New Roman"/>
              </w:rPr>
            </w:pPr>
            <w:r w:rsidRPr="00951AB1">
              <w:rPr>
                <w:rFonts w:eastAsia="Times New Roman" w:cs="Times New Roman"/>
                <w:color w:val="E97132"/>
                <w:sz w:val="16"/>
                <w:szCs w:val="16"/>
              </w:rPr>
              <w:t xml:space="preserve"> </w:t>
            </w:r>
          </w:p>
        </w:tc>
        <w:tc>
          <w:tcPr>
            <w:tcW w:w="231" w:type="pct"/>
            <w:shd w:val="clear" w:color="auto" w:fill="FFFFFF" w:themeFill="background1"/>
            <w:tcMar>
              <w:left w:w="70" w:type="dxa"/>
              <w:right w:w="70" w:type="dxa"/>
            </w:tcMar>
            <w:vAlign w:val="center"/>
          </w:tcPr>
          <w:p w14:paraId="62C724D5" w14:textId="531377CF" w:rsidR="68B7379A" w:rsidRPr="00951AB1" w:rsidRDefault="68B7379A" w:rsidP="000A5389">
            <w:pPr>
              <w:spacing w:line="240" w:lineRule="auto"/>
              <w:jc w:val="center"/>
              <w:rPr>
                <w:rFonts w:cs="Times New Roman"/>
              </w:rPr>
            </w:pPr>
            <w:r w:rsidRPr="00951AB1">
              <w:rPr>
                <w:rFonts w:eastAsia="Times New Roman" w:cs="Times New Roman"/>
                <w:color w:val="E97132"/>
                <w:sz w:val="16"/>
                <w:szCs w:val="16"/>
              </w:rPr>
              <w:t>x</w:t>
            </w:r>
          </w:p>
        </w:tc>
        <w:tc>
          <w:tcPr>
            <w:tcW w:w="231" w:type="pct"/>
            <w:shd w:val="clear" w:color="auto" w:fill="FFFFFF" w:themeFill="background1"/>
            <w:tcMar>
              <w:left w:w="70" w:type="dxa"/>
              <w:right w:w="70" w:type="dxa"/>
            </w:tcMar>
            <w:vAlign w:val="center"/>
          </w:tcPr>
          <w:p w14:paraId="2DE5D1A6" w14:textId="708DB3BA" w:rsidR="68B7379A" w:rsidRPr="00951AB1" w:rsidRDefault="68B7379A" w:rsidP="000A5389">
            <w:pPr>
              <w:spacing w:line="240" w:lineRule="auto"/>
              <w:jc w:val="center"/>
              <w:rPr>
                <w:rFonts w:cs="Times New Roman"/>
              </w:rPr>
            </w:pPr>
            <w:r w:rsidRPr="00951AB1">
              <w:rPr>
                <w:rFonts w:eastAsia="Times New Roman" w:cs="Times New Roman"/>
                <w:color w:val="E97132"/>
                <w:sz w:val="16"/>
                <w:szCs w:val="16"/>
              </w:rPr>
              <w:t>x</w:t>
            </w:r>
          </w:p>
        </w:tc>
        <w:tc>
          <w:tcPr>
            <w:tcW w:w="231" w:type="pct"/>
            <w:tcBorders>
              <w:top w:val="nil"/>
              <w:bottom w:val="nil"/>
              <w:right w:val="single" w:sz="8" w:space="0" w:color="auto"/>
            </w:tcBorders>
            <w:shd w:val="clear" w:color="auto" w:fill="FFFFFF" w:themeFill="background1"/>
            <w:tcMar>
              <w:left w:w="70" w:type="dxa"/>
              <w:right w:w="70" w:type="dxa"/>
            </w:tcMar>
            <w:vAlign w:val="center"/>
          </w:tcPr>
          <w:p w14:paraId="74F9E388" w14:textId="08E8404C" w:rsidR="68B7379A" w:rsidRPr="00951AB1" w:rsidRDefault="68B7379A" w:rsidP="000A5389">
            <w:pPr>
              <w:spacing w:line="240" w:lineRule="auto"/>
              <w:jc w:val="center"/>
              <w:rPr>
                <w:rFonts w:cs="Times New Roman"/>
              </w:rPr>
            </w:pPr>
            <w:r w:rsidRPr="00951AB1">
              <w:rPr>
                <w:rFonts w:eastAsia="Times New Roman" w:cs="Times New Roman"/>
                <w:color w:val="E97132"/>
                <w:sz w:val="16"/>
                <w:szCs w:val="16"/>
              </w:rPr>
              <w:t xml:space="preserve"> </w:t>
            </w:r>
          </w:p>
        </w:tc>
        <w:tc>
          <w:tcPr>
            <w:tcW w:w="231" w:type="pct"/>
            <w:shd w:val="clear" w:color="auto" w:fill="FFFFFF" w:themeFill="background1"/>
            <w:tcMar>
              <w:left w:w="70" w:type="dxa"/>
              <w:right w:w="70" w:type="dxa"/>
            </w:tcMar>
            <w:vAlign w:val="center"/>
          </w:tcPr>
          <w:p w14:paraId="6BB18D11" w14:textId="45656443" w:rsidR="68B7379A" w:rsidRPr="00951AB1" w:rsidRDefault="68B7379A" w:rsidP="000A5389">
            <w:pPr>
              <w:spacing w:line="240" w:lineRule="auto"/>
              <w:jc w:val="center"/>
              <w:rPr>
                <w:rFonts w:cs="Times New Roman"/>
              </w:rPr>
            </w:pPr>
            <w:r w:rsidRPr="00951AB1">
              <w:rPr>
                <w:rFonts w:eastAsia="Times New Roman" w:cs="Times New Roman"/>
                <w:color w:val="E97132"/>
                <w:sz w:val="16"/>
                <w:szCs w:val="16"/>
              </w:rPr>
              <w:t xml:space="preserve"> </w:t>
            </w:r>
          </w:p>
        </w:tc>
        <w:tc>
          <w:tcPr>
            <w:tcW w:w="231" w:type="pct"/>
            <w:shd w:val="clear" w:color="auto" w:fill="FFFFFF" w:themeFill="background1"/>
            <w:tcMar>
              <w:left w:w="70" w:type="dxa"/>
              <w:right w:w="70" w:type="dxa"/>
            </w:tcMar>
            <w:vAlign w:val="center"/>
          </w:tcPr>
          <w:p w14:paraId="18BC356D" w14:textId="12B32458" w:rsidR="68B7379A" w:rsidRPr="00951AB1" w:rsidRDefault="68B7379A" w:rsidP="000A5389">
            <w:pPr>
              <w:spacing w:line="240" w:lineRule="auto"/>
              <w:jc w:val="center"/>
              <w:rPr>
                <w:rFonts w:cs="Times New Roman"/>
              </w:rPr>
            </w:pPr>
            <w:r w:rsidRPr="00951AB1">
              <w:rPr>
                <w:rFonts w:eastAsia="Times New Roman" w:cs="Times New Roman"/>
                <w:color w:val="E97132"/>
                <w:sz w:val="16"/>
                <w:szCs w:val="16"/>
              </w:rPr>
              <w:t>x</w:t>
            </w:r>
          </w:p>
        </w:tc>
        <w:tc>
          <w:tcPr>
            <w:tcW w:w="231" w:type="pct"/>
            <w:shd w:val="clear" w:color="auto" w:fill="FFFFFF" w:themeFill="background1"/>
            <w:tcMar>
              <w:left w:w="70" w:type="dxa"/>
              <w:right w:w="70" w:type="dxa"/>
            </w:tcMar>
            <w:vAlign w:val="center"/>
          </w:tcPr>
          <w:p w14:paraId="644DCC29" w14:textId="44369596" w:rsidR="68B7379A" w:rsidRPr="00951AB1" w:rsidRDefault="68B7379A" w:rsidP="000A5389">
            <w:pPr>
              <w:spacing w:line="240" w:lineRule="auto"/>
              <w:jc w:val="center"/>
              <w:rPr>
                <w:rFonts w:cs="Times New Roman"/>
              </w:rPr>
            </w:pPr>
            <w:r w:rsidRPr="00951AB1">
              <w:rPr>
                <w:rFonts w:eastAsia="Times New Roman" w:cs="Times New Roman"/>
                <w:color w:val="E97132"/>
                <w:sz w:val="16"/>
                <w:szCs w:val="16"/>
              </w:rPr>
              <w:t>x</w:t>
            </w:r>
          </w:p>
        </w:tc>
        <w:tc>
          <w:tcPr>
            <w:tcW w:w="231" w:type="pct"/>
            <w:tcBorders>
              <w:top w:val="nil"/>
              <w:bottom w:val="nil"/>
              <w:right w:val="single" w:sz="8" w:space="0" w:color="auto"/>
            </w:tcBorders>
            <w:shd w:val="clear" w:color="auto" w:fill="FFFFFF" w:themeFill="background1"/>
            <w:tcMar>
              <w:left w:w="70" w:type="dxa"/>
              <w:right w:w="70" w:type="dxa"/>
            </w:tcMar>
            <w:vAlign w:val="center"/>
          </w:tcPr>
          <w:p w14:paraId="728032EA" w14:textId="48E52D9B" w:rsidR="68B7379A" w:rsidRPr="00951AB1" w:rsidRDefault="68B7379A" w:rsidP="000A5389">
            <w:pPr>
              <w:spacing w:line="240" w:lineRule="auto"/>
              <w:jc w:val="center"/>
              <w:rPr>
                <w:rFonts w:cs="Times New Roman"/>
              </w:rPr>
            </w:pPr>
            <w:r w:rsidRPr="00951AB1">
              <w:rPr>
                <w:rFonts w:eastAsia="Times New Roman" w:cs="Times New Roman"/>
                <w:color w:val="E97132"/>
                <w:sz w:val="16"/>
                <w:szCs w:val="16"/>
              </w:rPr>
              <w:t xml:space="preserve"> </w:t>
            </w:r>
          </w:p>
        </w:tc>
        <w:tc>
          <w:tcPr>
            <w:tcW w:w="429" w:type="pct"/>
            <w:gridSpan w:val="2"/>
            <w:shd w:val="clear" w:color="auto" w:fill="FFFFFF" w:themeFill="background1"/>
            <w:tcMar>
              <w:left w:w="70" w:type="dxa"/>
              <w:right w:w="70" w:type="dxa"/>
            </w:tcMar>
            <w:vAlign w:val="center"/>
          </w:tcPr>
          <w:p w14:paraId="25319B47" w14:textId="2B9D234E" w:rsidR="68B7379A" w:rsidRPr="00951AB1" w:rsidRDefault="68B7379A" w:rsidP="000A5389">
            <w:pPr>
              <w:spacing w:line="240" w:lineRule="auto"/>
              <w:jc w:val="center"/>
              <w:rPr>
                <w:rFonts w:cs="Times New Roman"/>
              </w:rPr>
            </w:pPr>
            <w:r w:rsidRPr="00951AB1">
              <w:rPr>
                <w:rFonts w:eastAsia="Times New Roman" w:cs="Times New Roman"/>
                <w:color w:val="E97132"/>
                <w:sz w:val="16"/>
                <w:szCs w:val="16"/>
              </w:rPr>
              <w:t xml:space="preserve"> </w:t>
            </w:r>
          </w:p>
        </w:tc>
        <w:tc>
          <w:tcPr>
            <w:tcW w:w="231" w:type="pct"/>
            <w:shd w:val="clear" w:color="auto" w:fill="FFFFFF" w:themeFill="background1"/>
            <w:tcMar>
              <w:left w:w="70" w:type="dxa"/>
              <w:right w:w="70" w:type="dxa"/>
            </w:tcMar>
            <w:vAlign w:val="center"/>
          </w:tcPr>
          <w:p w14:paraId="59AB1705" w14:textId="7FC0832F" w:rsidR="68B7379A" w:rsidRPr="00951AB1" w:rsidRDefault="68B7379A" w:rsidP="000A5389">
            <w:pPr>
              <w:spacing w:line="240" w:lineRule="auto"/>
              <w:jc w:val="center"/>
              <w:rPr>
                <w:rFonts w:cs="Times New Roman"/>
              </w:rPr>
            </w:pPr>
            <w:r w:rsidRPr="00951AB1">
              <w:rPr>
                <w:rFonts w:eastAsia="Times New Roman" w:cs="Times New Roman"/>
                <w:color w:val="E97132"/>
                <w:sz w:val="16"/>
                <w:szCs w:val="16"/>
              </w:rPr>
              <w:t>x</w:t>
            </w:r>
          </w:p>
        </w:tc>
        <w:tc>
          <w:tcPr>
            <w:tcW w:w="231" w:type="pct"/>
            <w:shd w:val="clear" w:color="auto" w:fill="FFFFFF" w:themeFill="background1"/>
            <w:tcMar>
              <w:left w:w="70" w:type="dxa"/>
              <w:right w:w="70" w:type="dxa"/>
            </w:tcMar>
            <w:vAlign w:val="center"/>
          </w:tcPr>
          <w:p w14:paraId="44934D35" w14:textId="08D1D0B8" w:rsidR="68B7379A" w:rsidRPr="00951AB1" w:rsidRDefault="68B7379A" w:rsidP="000A5389">
            <w:pPr>
              <w:spacing w:line="240" w:lineRule="auto"/>
              <w:jc w:val="center"/>
              <w:rPr>
                <w:rFonts w:cs="Times New Roman"/>
              </w:rPr>
            </w:pPr>
            <w:r w:rsidRPr="00951AB1">
              <w:rPr>
                <w:rFonts w:eastAsia="Times New Roman" w:cs="Times New Roman"/>
                <w:color w:val="E97132"/>
                <w:sz w:val="16"/>
                <w:szCs w:val="16"/>
              </w:rPr>
              <w:t>x</w:t>
            </w:r>
          </w:p>
        </w:tc>
        <w:tc>
          <w:tcPr>
            <w:tcW w:w="231" w:type="pct"/>
            <w:tcBorders>
              <w:top w:val="nil"/>
              <w:bottom w:val="nil"/>
              <w:right w:val="single" w:sz="8" w:space="0" w:color="auto"/>
            </w:tcBorders>
            <w:shd w:val="clear" w:color="auto" w:fill="FFFFFF" w:themeFill="background1"/>
            <w:tcMar>
              <w:left w:w="70" w:type="dxa"/>
              <w:right w:w="70" w:type="dxa"/>
            </w:tcMar>
            <w:vAlign w:val="center"/>
          </w:tcPr>
          <w:p w14:paraId="03FC2F4E" w14:textId="1AC1BC6C" w:rsidR="68B7379A" w:rsidRPr="00951AB1" w:rsidRDefault="68B7379A" w:rsidP="000A5389">
            <w:pPr>
              <w:spacing w:line="240" w:lineRule="auto"/>
              <w:jc w:val="center"/>
              <w:rPr>
                <w:rFonts w:cs="Times New Roman"/>
              </w:rPr>
            </w:pPr>
            <w:r w:rsidRPr="00951AB1">
              <w:rPr>
                <w:rFonts w:eastAsia="Times New Roman" w:cs="Times New Roman"/>
                <w:color w:val="E97132"/>
                <w:sz w:val="16"/>
                <w:szCs w:val="16"/>
              </w:rPr>
              <w:t xml:space="preserve"> </w:t>
            </w:r>
          </w:p>
        </w:tc>
        <w:tc>
          <w:tcPr>
            <w:tcW w:w="429" w:type="pct"/>
            <w:gridSpan w:val="2"/>
            <w:shd w:val="clear" w:color="auto" w:fill="FFFFFF" w:themeFill="background1"/>
            <w:tcMar>
              <w:left w:w="70" w:type="dxa"/>
              <w:right w:w="70" w:type="dxa"/>
            </w:tcMar>
            <w:vAlign w:val="center"/>
          </w:tcPr>
          <w:p w14:paraId="342599B9" w14:textId="558B489E" w:rsidR="68B7379A" w:rsidRPr="00951AB1" w:rsidRDefault="68B7379A" w:rsidP="000A5389">
            <w:pPr>
              <w:spacing w:line="240" w:lineRule="auto"/>
              <w:jc w:val="center"/>
              <w:rPr>
                <w:rFonts w:cs="Times New Roman"/>
              </w:rPr>
            </w:pPr>
            <w:r w:rsidRPr="00951AB1">
              <w:rPr>
                <w:rFonts w:eastAsia="Times New Roman" w:cs="Times New Roman"/>
                <w:color w:val="E97132"/>
                <w:sz w:val="16"/>
                <w:szCs w:val="16"/>
              </w:rPr>
              <w:t xml:space="preserve"> </w:t>
            </w:r>
          </w:p>
        </w:tc>
        <w:tc>
          <w:tcPr>
            <w:tcW w:w="231" w:type="pct"/>
            <w:shd w:val="clear" w:color="auto" w:fill="FFFFFF" w:themeFill="background1"/>
            <w:tcMar>
              <w:left w:w="70" w:type="dxa"/>
              <w:right w:w="70" w:type="dxa"/>
            </w:tcMar>
            <w:vAlign w:val="center"/>
          </w:tcPr>
          <w:p w14:paraId="494D9124" w14:textId="5F166DD4" w:rsidR="68B7379A" w:rsidRPr="00951AB1" w:rsidRDefault="68B7379A" w:rsidP="000A5389">
            <w:pPr>
              <w:spacing w:line="240" w:lineRule="auto"/>
              <w:jc w:val="center"/>
              <w:rPr>
                <w:rFonts w:cs="Times New Roman"/>
              </w:rPr>
            </w:pPr>
            <w:r w:rsidRPr="00951AB1">
              <w:rPr>
                <w:rFonts w:eastAsia="Times New Roman" w:cs="Times New Roman"/>
                <w:color w:val="E97132"/>
                <w:sz w:val="16"/>
                <w:szCs w:val="16"/>
              </w:rPr>
              <w:t>x</w:t>
            </w:r>
          </w:p>
        </w:tc>
        <w:tc>
          <w:tcPr>
            <w:tcW w:w="231" w:type="pct"/>
            <w:shd w:val="clear" w:color="auto" w:fill="FFFFFF" w:themeFill="background1"/>
            <w:tcMar>
              <w:left w:w="70" w:type="dxa"/>
              <w:right w:w="70" w:type="dxa"/>
            </w:tcMar>
            <w:vAlign w:val="center"/>
          </w:tcPr>
          <w:p w14:paraId="5B4A5F5C" w14:textId="6946EFCB" w:rsidR="68B7379A" w:rsidRPr="00951AB1" w:rsidRDefault="68B7379A" w:rsidP="000A5389">
            <w:pPr>
              <w:spacing w:line="240" w:lineRule="auto"/>
              <w:jc w:val="center"/>
              <w:rPr>
                <w:rFonts w:cs="Times New Roman"/>
              </w:rPr>
            </w:pPr>
            <w:r w:rsidRPr="00951AB1">
              <w:rPr>
                <w:rFonts w:eastAsia="Times New Roman" w:cs="Times New Roman"/>
                <w:color w:val="E97132"/>
                <w:sz w:val="16"/>
                <w:szCs w:val="16"/>
              </w:rPr>
              <w:t>x</w:t>
            </w:r>
          </w:p>
        </w:tc>
        <w:tc>
          <w:tcPr>
            <w:tcW w:w="232" w:type="pct"/>
            <w:tcBorders>
              <w:top w:val="nil"/>
              <w:bottom w:val="nil"/>
              <w:right w:val="single" w:sz="8" w:space="0" w:color="auto"/>
            </w:tcBorders>
            <w:shd w:val="clear" w:color="auto" w:fill="FFFFFF" w:themeFill="background1"/>
            <w:tcMar>
              <w:left w:w="70" w:type="dxa"/>
              <w:right w:w="70" w:type="dxa"/>
            </w:tcMar>
            <w:vAlign w:val="center"/>
          </w:tcPr>
          <w:p w14:paraId="5B77525C" w14:textId="4A309693" w:rsidR="68B7379A" w:rsidRPr="00951AB1" w:rsidRDefault="68B7379A" w:rsidP="000A5389">
            <w:pPr>
              <w:spacing w:line="240" w:lineRule="auto"/>
              <w:jc w:val="center"/>
              <w:rPr>
                <w:rFonts w:cs="Times New Roman"/>
              </w:rPr>
            </w:pPr>
            <w:r w:rsidRPr="00951AB1">
              <w:rPr>
                <w:rFonts w:eastAsia="Times New Roman" w:cs="Times New Roman"/>
                <w:color w:val="E97132"/>
                <w:sz w:val="16"/>
                <w:szCs w:val="16"/>
              </w:rPr>
              <w:t xml:space="preserve"> </w:t>
            </w:r>
          </w:p>
        </w:tc>
      </w:tr>
      <w:tr w:rsidR="68B7379A" w:rsidRPr="00951AB1" w14:paraId="592F4AD2" w14:textId="77777777" w:rsidTr="00512B77">
        <w:trPr>
          <w:gridAfter w:val="1"/>
          <w:wAfter w:w="213" w:type="pct"/>
          <w:trHeight w:val="405"/>
        </w:trPr>
        <w:tc>
          <w:tcPr>
            <w:tcW w:w="695" w:type="pct"/>
            <w:tcBorders>
              <w:top w:val="nil"/>
              <w:left w:val="single" w:sz="8" w:space="0" w:color="auto"/>
              <w:bottom w:val="nil"/>
              <w:right w:val="single" w:sz="8" w:space="0" w:color="auto"/>
            </w:tcBorders>
            <w:shd w:val="clear" w:color="auto" w:fill="F2F2F2" w:themeFill="background1" w:themeFillShade="F2"/>
            <w:tcMar>
              <w:left w:w="70" w:type="dxa"/>
              <w:right w:w="70" w:type="dxa"/>
            </w:tcMar>
            <w:vAlign w:val="center"/>
          </w:tcPr>
          <w:p w14:paraId="684F0FA1" w14:textId="5CAAECCA" w:rsidR="68B7379A" w:rsidRPr="00951AB1" w:rsidRDefault="68B7379A" w:rsidP="000A5389">
            <w:pPr>
              <w:spacing w:line="240" w:lineRule="auto"/>
              <w:rPr>
                <w:rFonts w:cs="Times New Roman"/>
              </w:rPr>
            </w:pPr>
            <w:r w:rsidRPr="00951AB1">
              <w:rPr>
                <w:rFonts w:eastAsia="Times New Roman" w:cs="Times New Roman"/>
                <w:color w:val="000000" w:themeColor="text1"/>
                <w:sz w:val="16"/>
                <w:szCs w:val="16"/>
              </w:rPr>
              <w:lastRenderedPageBreak/>
              <w:t>Activos valorados</w:t>
            </w:r>
          </w:p>
        </w:tc>
        <w:tc>
          <w:tcPr>
            <w:tcW w:w="231" w:type="pct"/>
            <w:shd w:val="clear" w:color="auto" w:fill="F2F2F2" w:themeFill="background1" w:themeFillShade="F2"/>
            <w:tcMar>
              <w:left w:w="70" w:type="dxa"/>
              <w:right w:w="70" w:type="dxa"/>
            </w:tcMar>
            <w:vAlign w:val="center"/>
          </w:tcPr>
          <w:p w14:paraId="1DA236D2" w14:textId="6D10D5DA" w:rsidR="68B7379A" w:rsidRPr="00951AB1" w:rsidRDefault="68B7379A" w:rsidP="000A5389">
            <w:pPr>
              <w:spacing w:line="240" w:lineRule="auto"/>
              <w:jc w:val="center"/>
              <w:rPr>
                <w:rFonts w:cs="Times New Roman"/>
              </w:rPr>
            </w:pPr>
            <w:r w:rsidRPr="00951AB1">
              <w:rPr>
                <w:rFonts w:eastAsia="Times New Roman" w:cs="Times New Roman"/>
                <w:color w:val="E97132"/>
                <w:sz w:val="16"/>
                <w:szCs w:val="16"/>
              </w:rPr>
              <w:t xml:space="preserve"> </w:t>
            </w:r>
          </w:p>
        </w:tc>
        <w:tc>
          <w:tcPr>
            <w:tcW w:w="231" w:type="pct"/>
            <w:shd w:val="clear" w:color="auto" w:fill="F2F2F2" w:themeFill="background1" w:themeFillShade="F2"/>
            <w:tcMar>
              <w:left w:w="70" w:type="dxa"/>
              <w:right w:w="70" w:type="dxa"/>
            </w:tcMar>
            <w:vAlign w:val="center"/>
          </w:tcPr>
          <w:p w14:paraId="331CACAF" w14:textId="3D6E34EF" w:rsidR="68B7379A" w:rsidRPr="00951AB1" w:rsidRDefault="68B7379A" w:rsidP="000A5389">
            <w:pPr>
              <w:spacing w:line="240" w:lineRule="auto"/>
              <w:jc w:val="center"/>
              <w:rPr>
                <w:rFonts w:cs="Times New Roman"/>
              </w:rPr>
            </w:pPr>
            <w:r w:rsidRPr="00951AB1">
              <w:rPr>
                <w:rFonts w:eastAsia="Times New Roman" w:cs="Times New Roman"/>
                <w:color w:val="E97132"/>
                <w:sz w:val="16"/>
                <w:szCs w:val="16"/>
              </w:rPr>
              <w:t xml:space="preserve"> </w:t>
            </w:r>
          </w:p>
        </w:tc>
        <w:tc>
          <w:tcPr>
            <w:tcW w:w="231" w:type="pct"/>
            <w:shd w:val="clear" w:color="auto" w:fill="F2F2F2" w:themeFill="background1" w:themeFillShade="F2"/>
            <w:tcMar>
              <w:left w:w="70" w:type="dxa"/>
              <w:right w:w="70" w:type="dxa"/>
            </w:tcMar>
            <w:vAlign w:val="center"/>
          </w:tcPr>
          <w:p w14:paraId="56D1F4BF" w14:textId="47759043" w:rsidR="68B7379A" w:rsidRPr="00951AB1" w:rsidRDefault="68B7379A" w:rsidP="000A5389">
            <w:pPr>
              <w:spacing w:line="240" w:lineRule="auto"/>
              <w:jc w:val="center"/>
              <w:rPr>
                <w:rFonts w:cs="Times New Roman"/>
              </w:rPr>
            </w:pPr>
            <w:r w:rsidRPr="00951AB1">
              <w:rPr>
                <w:rFonts w:eastAsia="Times New Roman" w:cs="Times New Roman"/>
                <w:color w:val="E97132"/>
                <w:sz w:val="16"/>
                <w:szCs w:val="16"/>
              </w:rPr>
              <w:t>x</w:t>
            </w:r>
          </w:p>
        </w:tc>
        <w:tc>
          <w:tcPr>
            <w:tcW w:w="231" w:type="pct"/>
            <w:tcBorders>
              <w:top w:val="nil"/>
              <w:bottom w:val="nil"/>
              <w:right w:val="single" w:sz="8" w:space="0" w:color="auto"/>
            </w:tcBorders>
            <w:shd w:val="clear" w:color="auto" w:fill="F2F2F2" w:themeFill="background1" w:themeFillShade="F2"/>
            <w:tcMar>
              <w:left w:w="70" w:type="dxa"/>
              <w:right w:w="70" w:type="dxa"/>
            </w:tcMar>
            <w:vAlign w:val="center"/>
          </w:tcPr>
          <w:p w14:paraId="059FB5AA" w14:textId="698264A4" w:rsidR="68B7379A" w:rsidRPr="00951AB1" w:rsidRDefault="68B7379A" w:rsidP="000A5389">
            <w:pPr>
              <w:spacing w:line="240" w:lineRule="auto"/>
              <w:jc w:val="center"/>
              <w:rPr>
                <w:rFonts w:cs="Times New Roman"/>
              </w:rPr>
            </w:pPr>
            <w:r w:rsidRPr="00951AB1">
              <w:rPr>
                <w:rFonts w:eastAsia="Times New Roman" w:cs="Times New Roman"/>
                <w:color w:val="E97132"/>
                <w:sz w:val="16"/>
                <w:szCs w:val="16"/>
              </w:rPr>
              <w:t xml:space="preserve"> </w:t>
            </w:r>
          </w:p>
        </w:tc>
        <w:tc>
          <w:tcPr>
            <w:tcW w:w="231" w:type="pct"/>
            <w:shd w:val="clear" w:color="auto" w:fill="F2F2F2" w:themeFill="background1" w:themeFillShade="F2"/>
            <w:tcMar>
              <w:left w:w="70" w:type="dxa"/>
              <w:right w:w="70" w:type="dxa"/>
            </w:tcMar>
            <w:vAlign w:val="center"/>
          </w:tcPr>
          <w:p w14:paraId="25949144" w14:textId="3651A314" w:rsidR="68B7379A" w:rsidRPr="00951AB1" w:rsidRDefault="68B7379A" w:rsidP="000A5389">
            <w:pPr>
              <w:spacing w:line="240" w:lineRule="auto"/>
              <w:jc w:val="center"/>
              <w:rPr>
                <w:rFonts w:cs="Times New Roman"/>
              </w:rPr>
            </w:pPr>
            <w:r w:rsidRPr="00951AB1">
              <w:rPr>
                <w:rFonts w:eastAsia="Times New Roman" w:cs="Times New Roman"/>
                <w:color w:val="E97132"/>
                <w:sz w:val="16"/>
                <w:szCs w:val="16"/>
              </w:rPr>
              <w:t xml:space="preserve"> </w:t>
            </w:r>
          </w:p>
        </w:tc>
        <w:tc>
          <w:tcPr>
            <w:tcW w:w="231" w:type="pct"/>
            <w:shd w:val="clear" w:color="auto" w:fill="F2F2F2" w:themeFill="background1" w:themeFillShade="F2"/>
            <w:tcMar>
              <w:left w:w="70" w:type="dxa"/>
              <w:right w:w="70" w:type="dxa"/>
            </w:tcMar>
            <w:vAlign w:val="center"/>
          </w:tcPr>
          <w:p w14:paraId="0C95D0FA" w14:textId="14B562A2" w:rsidR="68B7379A" w:rsidRPr="00951AB1" w:rsidRDefault="68B7379A" w:rsidP="000A5389">
            <w:pPr>
              <w:spacing w:line="240" w:lineRule="auto"/>
              <w:jc w:val="center"/>
              <w:rPr>
                <w:rFonts w:cs="Times New Roman"/>
              </w:rPr>
            </w:pPr>
            <w:r w:rsidRPr="00951AB1">
              <w:rPr>
                <w:rFonts w:eastAsia="Times New Roman" w:cs="Times New Roman"/>
                <w:color w:val="E97132"/>
                <w:sz w:val="16"/>
                <w:szCs w:val="16"/>
              </w:rPr>
              <w:t xml:space="preserve"> </w:t>
            </w:r>
          </w:p>
        </w:tc>
        <w:tc>
          <w:tcPr>
            <w:tcW w:w="231" w:type="pct"/>
            <w:shd w:val="clear" w:color="auto" w:fill="F2F2F2" w:themeFill="background1" w:themeFillShade="F2"/>
            <w:tcMar>
              <w:left w:w="70" w:type="dxa"/>
              <w:right w:w="70" w:type="dxa"/>
            </w:tcMar>
            <w:vAlign w:val="center"/>
          </w:tcPr>
          <w:p w14:paraId="0A8C0396" w14:textId="6EC5302F" w:rsidR="68B7379A" w:rsidRPr="00951AB1" w:rsidRDefault="68B7379A" w:rsidP="000A5389">
            <w:pPr>
              <w:spacing w:line="240" w:lineRule="auto"/>
              <w:jc w:val="center"/>
              <w:rPr>
                <w:rFonts w:cs="Times New Roman"/>
              </w:rPr>
            </w:pPr>
            <w:r w:rsidRPr="00951AB1">
              <w:rPr>
                <w:rFonts w:eastAsia="Times New Roman" w:cs="Times New Roman"/>
                <w:color w:val="E97132"/>
                <w:sz w:val="16"/>
                <w:szCs w:val="16"/>
              </w:rPr>
              <w:t>x</w:t>
            </w:r>
          </w:p>
        </w:tc>
        <w:tc>
          <w:tcPr>
            <w:tcW w:w="231" w:type="pct"/>
            <w:tcBorders>
              <w:top w:val="nil"/>
              <w:bottom w:val="nil"/>
              <w:right w:val="single" w:sz="8" w:space="0" w:color="auto"/>
            </w:tcBorders>
            <w:shd w:val="clear" w:color="auto" w:fill="F2F2F2" w:themeFill="background1" w:themeFillShade="F2"/>
            <w:tcMar>
              <w:left w:w="70" w:type="dxa"/>
              <w:right w:w="70" w:type="dxa"/>
            </w:tcMar>
            <w:vAlign w:val="center"/>
          </w:tcPr>
          <w:p w14:paraId="1DA1157E" w14:textId="6BDFB59C" w:rsidR="68B7379A" w:rsidRPr="00951AB1" w:rsidRDefault="68B7379A" w:rsidP="000A5389">
            <w:pPr>
              <w:spacing w:line="240" w:lineRule="auto"/>
              <w:jc w:val="center"/>
              <w:rPr>
                <w:rFonts w:cs="Times New Roman"/>
              </w:rPr>
            </w:pPr>
            <w:r w:rsidRPr="00951AB1">
              <w:rPr>
                <w:rFonts w:eastAsia="Times New Roman" w:cs="Times New Roman"/>
                <w:color w:val="E97132"/>
                <w:sz w:val="16"/>
                <w:szCs w:val="16"/>
              </w:rPr>
              <w:t xml:space="preserve"> </w:t>
            </w:r>
          </w:p>
        </w:tc>
        <w:tc>
          <w:tcPr>
            <w:tcW w:w="429" w:type="pct"/>
            <w:gridSpan w:val="2"/>
            <w:shd w:val="clear" w:color="auto" w:fill="F2F2F2" w:themeFill="background1" w:themeFillShade="F2"/>
            <w:tcMar>
              <w:left w:w="70" w:type="dxa"/>
              <w:right w:w="70" w:type="dxa"/>
            </w:tcMar>
            <w:vAlign w:val="center"/>
          </w:tcPr>
          <w:p w14:paraId="224D36AA" w14:textId="5176339F" w:rsidR="68B7379A" w:rsidRPr="00951AB1" w:rsidRDefault="68B7379A" w:rsidP="000A5389">
            <w:pPr>
              <w:spacing w:line="240" w:lineRule="auto"/>
              <w:jc w:val="center"/>
              <w:rPr>
                <w:rFonts w:cs="Times New Roman"/>
              </w:rPr>
            </w:pPr>
            <w:r w:rsidRPr="00951AB1">
              <w:rPr>
                <w:rFonts w:eastAsia="Times New Roman" w:cs="Times New Roman"/>
                <w:color w:val="E97132"/>
                <w:sz w:val="16"/>
                <w:szCs w:val="16"/>
              </w:rPr>
              <w:t xml:space="preserve"> </w:t>
            </w:r>
          </w:p>
        </w:tc>
        <w:tc>
          <w:tcPr>
            <w:tcW w:w="231" w:type="pct"/>
            <w:shd w:val="clear" w:color="auto" w:fill="F2F2F2" w:themeFill="background1" w:themeFillShade="F2"/>
            <w:tcMar>
              <w:left w:w="70" w:type="dxa"/>
              <w:right w:w="70" w:type="dxa"/>
            </w:tcMar>
            <w:vAlign w:val="center"/>
          </w:tcPr>
          <w:p w14:paraId="5E3D146F" w14:textId="4EDF2008" w:rsidR="68B7379A" w:rsidRPr="00951AB1" w:rsidRDefault="68B7379A" w:rsidP="000A5389">
            <w:pPr>
              <w:spacing w:line="240" w:lineRule="auto"/>
              <w:jc w:val="center"/>
              <w:rPr>
                <w:rFonts w:cs="Times New Roman"/>
              </w:rPr>
            </w:pPr>
            <w:r w:rsidRPr="00951AB1">
              <w:rPr>
                <w:rFonts w:eastAsia="Times New Roman" w:cs="Times New Roman"/>
                <w:color w:val="E97132"/>
                <w:sz w:val="16"/>
                <w:szCs w:val="16"/>
              </w:rPr>
              <w:t xml:space="preserve"> </w:t>
            </w:r>
          </w:p>
        </w:tc>
        <w:tc>
          <w:tcPr>
            <w:tcW w:w="231" w:type="pct"/>
            <w:shd w:val="clear" w:color="auto" w:fill="F2F2F2" w:themeFill="background1" w:themeFillShade="F2"/>
            <w:tcMar>
              <w:left w:w="70" w:type="dxa"/>
              <w:right w:w="70" w:type="dxa"/>
            </w:tcMar>
            <w:vAlign w:val="center"/>
          </w:tcPr>
          <w:p w14:paraId="1E91990E" w14:textId="701144F5" w:rsidR="68B7379A" w:rsidRPr="00951AB1" w:rsidRDefault="68B7379A" w:rsidP="000A5389">
            <w:pPr>
              <w:spacing w:line="240" w:lineRule="auto"/>
              <w:jc w:val="center"/>
              <w:rPr>
                <w:rFonts w:cs="Times New Roman"/>
              </w:rPr>
            </w:pPr>
            <w:r w:rsidRPr="00951AB1">
              <w:rPr>
                <w:rFonts w:eastAsia="Times New Roman" w:cs="Times New Roman"/>
                <w:color w:val="E97132"/>
                <w:sz w:val="16"/>
                <w:szCs w:val="16"/>
              </w:rPr>
              <w:t>x</w:t>
            </w:r>
          </w:p>
        </w:tc>
        <w:tc>
          <w:tcPr>
            <w:tcW w:w="231" w:type="pct"/>
            <w:tcBorders>
              <w:top w:val="nil"/>
              <w:bottom w:val="nil"/>
              <w:right w:val="single" w:sz="8" w:space="0" w:color="auto"/>
            </w:tcBorders>
            <w:shd w:val="clear" w:color="auto" w:fill="F2F2F2" w:themeFill="background1" w:themeFillShade="F2"/>
            <w:tcMar>
              <w:left w:w="70" w:type="dxa"/>
              <w:right w:w="70" w:type="dxa"/>
            </w:tcMar>
            <w:vAlign w:val="center"/>
          </w:tcPr>
          <w:p w14:paraId="7C17B592" w14:textId="69AEF457" w:rsidR="68B7379A" w:rsidRPr="00951AB1" w:rsidRDefault="68B7379A" w:rsidP="000A5389">
            <w:pPr>
              <w:spacing w:line="240" w:lineRule="auto"/>
              <w:jc w:val="center"/>
              <w:rPr>
                <w:rFonts w:cs="Times New Roman"/>
              </w:rPr>
            </w:pPr>
            <w:r w:rsidRPr="00951AB1">
              <w:rPr>
                <w:rFonts w:eastAsia="Times New Roman" w:cs="Times New Roman"/>
                <w:color w:val="E97132"/>
                <w:sz w:val="16"/>
                <w:szCs w:val="16"/>
              </w:rPr>
              <w:t xml:space="preserve"> </w:t>
            </w:r>
          </w:p>
        </w:tc>
        <w:tc>
          <w:tcPr>
            <w:tcW w:w="429" w:type="pct"/>
            <w:gridSpan w:val="2"/>
            <w:shd w:val="clear" w:color="auto" w:fill="F2F2F2" w:themeFill="background1" w:themeFillShade="F2"/>
            <w:tcMar>
              <w:left w:w="70" w:type="dxa"/>
              <w:right w:w="70" w:type="dxa"/>
            </w:tcMar>
            <w:vAlign w:val="center"/>
          </w:tcPr>
          <w:p w14:paraId="62ABD6EF" w14:textId="6C18B083" w:rsidR="68B7379A" w:rsidRPr="00951AB1" w:rsidRDefault="68B7379A" w:rsidP="000A5389">
            <w:pPr>
              <w:spacing w:line="240" w:lineRule="auto"/>
              <w:jc w:val="center"/>
              <w:rPr>
                <w:rFonts w:cs="Times New Roman"/>
              </w:rPr>
            </w:pPr>
            <w:r w:rsidRPr="00951AB1">
              <w:rPr>
                <w:rFonts w:eastAsia="Times New Roman" w:cs="Times New Roman"/>
                <w:color w:val="E97132"/>
                <w:sz w:val="16"/>
                <w:szCs w:val="16"/>
              </w:rPr>
              <w:t xml:space="preserve"> </w:t>
            </w:r>
          </w:p>
        </w:tc>
        <w:tc>
          <w:tcPr>
            <w:tcW w:w="231" w:type="pct"/>
            <w:shd w:val="clear" w:color="auto" w:fill="F2F2F2" w:themeFill="background1" w:themeFillShade="F2"/>
            <w:tcMar>
              <w:left w:w="70" w:type="dxa"/>
              <w:right w:w="70" w:type="dxa"/>
            </w:tcMar>
            <w:vAlign w:val="center"/>
          </w:tcPr>
          <w:p w14:paraId="14DED0BC" w14:textId="11CC4E99" w:rsidR="68B7379A" w:rsidRPr="00951AB1" w:rsidRDefault="68B7379A" w:rsidP="000A5389">
            <w:pPr>
              <w:spacing w:line="240" w:lineRule="auto"/>
              <w:jc w:val="center"/>
              <w:rPr>
                <w:rFonts w:cs="Times New Roman"/>
              </w:rPr>
            </w:pPr>
            <w:r w:rsidRPr="00951AB1">
              <w:rPr>
                <w:rFonts w:eastAsia="Times New Roman" w:cs="Times New Roman"/>
                <w:color w:val="E97132"/>
                <w:sz w:val="16"/>
                <w:szCs w:val="16"/>
              </w:rPr>
              <w:t xml:space="preserve"> </w:t>
            </w:r>
          </w:p>
        </w:tc>
        <w:tc>
          <w:tcPr>
            <w:tcW w:w="231" w:type="pct"/>
            <w:shd w:val="clear" w:color="auto" w:fill="F2F2F2" w:themeFill="background1" w:themeFillShade="F2"/>
            <w:tcMar>
              <w:left w:w="70" w:type="dxa"/>
              <w:right w:w="70" w:type="dxa"/>
            </w:tcMar>
            <w:vAlign w:val="center"/>
          </w:tcPr>
          <w:p w14:paraId="741F3C2B" w14:textId="737AC69F" w:rsidR="68B7379A" w:rsidRPr="00951AB1" w:rsidRDefault="68B7379A" w:rsidP="000A5389">
            <w:pPr>
              <w:spacing w:line="240" w:lineRule="auto"/>
              <w:jc w:val="center"/>
              <w:rPr>
                <w:rFonts w:cs="Times New Roman"/>
              </w:rPr>
            </w:pPr>
            <w:r w:rsidRPr="00951AB1">
              <w:rPr>
                <w:rFonts w:eastAsia="Times New Roman" w:cs="Times New Roman"/>
                <w:color w:val="E97132"/>
                <w:sz w:val="16"/>
                <w:szCs w:val="16"/>
              </w:rPr>
              <w:t xml:space="preserve"> </w:t>
            </w:r>
          </w:p>
        </w:tc>
        <w:tc>
          <w:tcPr>
            <w:tcW w:w="232" w:type="pct"/>
            <w:tcBorders>
              <w:top w:val="nil"/>
              <w:bottom w:val="nil"/>
              <w:right w:val="single" w:sz="8" w:space="0" w:color="auto"/>
            </w:tcBorders>
            <w:shd w:val="clear" w:color="auto" w:fill="F2F2F2" w:themeFill="background1" w:themeFillShade="F2"/>
            <w:tcMar>
              <w:left w:w="70" w:type="dxa"/>
              <w:right w:w="70" w:type="dxa"/>
            </w:tcMar>
            <w:vAlign w:val="center"/>
          </w:tcPr>
          <w:p w14:paraId="246111F0" w14:textId="1AC8E306" w:rsidR="68B7379A" w:rsidRPr="00951AB1" w:rsidRDefault="68B7379A" w:rsidP="000A5389">
            <w:pPr>
              <w:spacing w:line="240" w:lineRule="auto"/>
              <w:jc w:val="center"/>
              <w:rPr>
                <w:rFonts w:cs="Times New Roman"/>
              </w:rPr>
            </w:pPr>
            <w:r w:rsidRPr="00951AB1">
              <w:rPr>
                <w:rFonts w:eastAsia="Times New Roman" w:cs="Times New Roman"/>
                <w:color w:val="E97132"/>
                <w:sz w:val="16"/>
                <w:szCs w:val="16"/>
              </w:rPr>
              <w:t xml:space="preserve"> </w:t>
            </w:r>
          </w:p>
        </w:tc>
      </w:tr>
      <w:tr w:rsidR="68B7379A" w:rsidRPr="00951AB1" w14:paraId="2CEE016A" w14:textId="77777777" w:rsidTr="00512B77">
        <w:trPr>
          <w:gridAfter w:val="1"/>
          <w:wAfter w:w="213" w:type="pct"/>
          <w:trHeight w:val="405"/>
        </w:trPr>
        <w:tc>
          <w:tcPr>
            <w:tcW w:w="695" w:type="pct"/>
            <w:tcBorders>
              <w:top w:val="nil"/>
              <w:left w:val="single" w:sz="8" w:space="0" w:color="auto"/>
              <w:bottom w:val="nil"/>
              <w:right w:val="single" w:sz="8" w:space="0" w:color="auto"/>
            </w:tcBorders>
            <w:shd w:val="clear" w:color="auto" w:fill="FFFFFF" w:themeFill="background1"/>
            <w:tcMar>
              <w:left w:w="70" w:type="dxa"/>
              <w:right w:w="70" w:type="dxa"/>
            </w:tcMar>
            <w:vAlign w:val="center"/>
          </w:tcPr>
          <w:p w14:paraId="2346367A" w14:textId="33636FC1" w:rsidR="68B7379A" w:rsidRPr="00951AB1" w:rsidRDefault="68B7379A" w:rsidP="000A5389">
            <w:pPr>
              <w:spacing w:line="240" w:lineRule="auto"/>
              <w:rPr>
                <w:rFonts w:cs="Times New Roman"/>
              </w:rPr>
            </w:pPr>
            <w:r w:rsidRPr="00951AB1">
              <w:rPr>
                <w:rFonts w:eastAsia="Times New Roman" w:cs="Times New Roman"/>
                <w:color w:val="000000" w:themeColor="text1"/>
                <w:sz w:val="16"/>
                <w:szCs w:val="16"/>
              </w:rPr>
              <w:t>Sistema de clasificación implementado</w:t>
            </w:r>
          </w:p>
        </w:tc>
        <w:tc>
          <w:tcPr>
            <w:tcW w:w="231" w:type="pct"/>
            <w:shd w:val="clear" w:color="auto" w:fill="FFFFFF" w:themeFill="background1"/>
            <w:tcMar>
              <w:left w:w="70" w:type="dxa"/>
              <w:right w:w="70" w:type="dxa"/>
            </w:tcMar>
            <w:vAlign w:val="center"/>
          </w:tcPr>
          <w:p w14:paraId="6F9707C1" w14:textId="70ACFF8B" w:rsidR="68B7379A" w:rsidRPr="00951AB1" w:rsidRDefault="68B7379A" w:rsidP="000A5389">
            <w:pPr>
              <w:spacing w:line="240" w:lineRule="auto"/>
              <w:jc w:val="center"/>
              <w:rPr>
                <w:rFonts w:cs="Times New Roman"/>
              </w:rPr>
            </w:pPr>
            <w:r w:rsidRPr="00951AB1">
              <w:rPr>
                <w:rFonts w:eastAsia="Times New Roman" w:cs="Times New Roman"/>
                <w:color w:val="E97132"/>
                <w:sz w:val="16"/>
                <w:szCs w:val="16"/>
              </w:rPr>
              <w:t xml:space="preserve"> </w:t>
            </w:r>
          </w:p>
        </w:tc>
        <w:tc>
          <w:tcPr>
            <w:tcW w:w="231" w:type="pct"/>
            <w:shd w:val="clear" w:color="auto" w:fill="FFFFFF" w:themeFill="background1"/>
            <w:tcMar>
              <w:left w:w="70" w:type="dxa"/>
              <w:right w:w="70" w:type="dxa"/>
            </w:tcMar>
            <w:vAlign w:val="center"/>
          </w:tcPr>
          <w:p w14:paraId="28ABE328" w14:textId="7B9ECAE9" w:rsidR="68B7379A" w:rsidRPr="00951AB1" w:rsidRDefault="68B7379A" w:rsidP="000A5389">
            <w:pPr>
              <w:spacing w:line="240" w:lineRule="auto"/>
              <w:jc w:val="center"/>
              <w:rPr>
                <w:rFonts w:cs="Times New Roman"/>
              </w:rPr>
            </w:pPr>
            <w:r w:rsidRPr="00951AB1">
              <w:rPr>
                <w:rFonts w:eastAsia="Times New Roman" w:cs="Times New Roman"/>
                <w:color w:val="E97132"/>
                <w:sz w:val="16"/>
                <w:szCs w:val="16"/>
              </w:rPr>
              <w:t>x</w:t>
            </w:r>
          </w:p>
        </w:tc>
        <w:tc>
          <w:tcPr>
            <w:tcW w:w="231" w:type="pct"/>
            <w:shd w:val="clear" w:color="auto" w:fill="FFFFFF" w:themeFill="background1"/>
            <w:tcMar>
              <w:left w:w="70" w:type="dxa"/>
              <w:right w:w="70" w:type="dxa"/>
            </w:tcMar>
            <w:vAlign w:val="center"/>
          </w:tcPr>
          <w:p w14:paraId="073FE247" w14:textId="6C21C682" w:rsidR="68B7379A" w:rsidRPr="00951AB1" w:rsidRDefault="68B7379A" w:rsidP="000A5389">
            <w:pPr>
              <w:spacing w:line="240" w:lineRule="auto"/>
              <w:jc w:val="center"/>
              <w:rPr>
                <w:rFonts w:cs="Times New Roman"/>
              </w:rPr>
            </w:pPr>
            <w:r w:rsidRPr="00951AB1">
              <w:rPr>
                <w:rFonts w:eastAsia="Times New Roman" w:cs="Times New Roman"/>
                <w:color w:val="E97132"/>
                <w:sz w:val="16"/>
                <w:szCs w:val="16"/>
              </w:rPr>
              <w:t xml:space="preserve"> </w:t>
            </w:r>
          </w:p>
        </w:tc>
        <w:tc>
          <w:tcPr>
            <w:tcW w:w="231" w:type="pct"/>
            <w:tcBorders>
              <w:top w:val="nil"/>
              <w:bottom w:val="nil"/>
              <w:right w:val="single" w:sz="8" w:space="0" w:color="auto"/>
            </w:tcBorders>
            <w:shd w:val="clear" w:color="auto" w:fill="FFFFFF" w:themeFill="background1"/>
            <w:tcMar>
              <w:left w:w="70" w:type="dxa"/>
              <w:right w:w="70" w:type="dxa"/>
            </w:tcMar>
            <w:vAlign w:val="center"/>
          </w:tcPr>
          <w:p w14:paraId="15A6E32A" w14:textId="68EB238A" w:rsidR="68B7379A" w:rsidRPr="00951AB1" w:rsidRDefault="68B7379A" w:rsidP="000A5389">
            <w:pPr>
              <w:spacing w:line="240" w:lineRule="auto"/>
              <w:jc w:val="center"/>
              <w:rPr>
                <w:rFonts w:cs="Times New Roman"/>
              </w:rPr>
            </w:pPr>
            <w:r w:rsidRPr="00951AB1">
              <w:rPr>
                <w:rFonts w:eastAsia="Times New Roman" w:cs="Times New Roman"/>
                <w:color w:val="E97132"/>
                <w:sz w:val="16"/>
                <w:szCs w:val="16"/>
              </w:rPr>
              <w:t>x</w:t>
            </w:r>
          </w:p>
        </w:tc>
        <w:tc>
          <w:tcPr>
            <w:tcW w:w="231" w:type="pct"/>
            <w:shd w:val="clear" w:color="auto" w:fill="FFFFFF" w:themeFill="background1"/>
            <w:tcMar>
              <w:left w:w="70" w:type="dxa"/>
              <w:right w:w="70" w:type="dxa"/>
            </w:tcMar>
            <w:vAlign w:val="center"/>
          </w:tcPr>
          <w:p w14:paraId="432458E5" w14:textId="48821858" w:rsidR="68B7379A" w:rsidRPr="00951AB1" w:rsidRDefault="68B7379A" w:rsidP="000A5389">
            <w:pPr>
              <w:spacing w:line="240" w:lineRule="auto"/>
              <w:jc w:val="center"/>
              <w:rPr>
                <w:rFonts w:cs="Times New Roman"/>
              </w:rPr>
            </w:pPr>
            <w:r w:rsidRPr="00951AB1">
              <w:rPr>
                <w:rFonts w:eastAsia="Times New Roman" w:cs="Times New Roman"/>
                <w:color w:val="E97132"/>
                <w:sz w:val="16"/>
                <w:szCs w:val="16"/>
              </w:rPr>
              <w:t xml:space="preserve"> </w:t>
            </w:r>
          </w:p>
        </w:tc>
        <w:tc>
          <w:tcPr>
            <w:tcW w:w="231" w:type="pct"/>
            <w:shd w:val="clear" w:color="auto" w:fill="FFFFFF" w:themeFill="background1"/>
            <w:tcMar>
              <w:left w:w="70" w:type="dxa"/>
              <w:right w:w="70" w:type="dxa"/>
            </w:tcMar>
            <w:vAlign w:val="center"/>
          </w:tcPr>
          <w:p w14:paraId="35719D6A" w14:textId="240403AB" w:rsidR="68B7379A" w:rsidRPr="00951AB1" w:rsidRDefault="68B7379A" w:rsidP="000A5389">
            <w:pPr>
              <w:spacing w:line="240" w:lineRule="auto"/>
              <w:jc w:val="center"/>
              <w:rPr>
                <w:rFonts w:cs="Times New Roman"/>
              </w:rPr>
            </w:pPr>
            <w:r w:rsidRPr="00951AB1">
              <w:rPr>
                <w:rFonts w:eastAsia="Times New Roman" w:cs="Times New Roman"/>
                <w:color w:val="E97132"/>
                <w:sz w:val="16"/>
                <w:szCs w:val="16"/>
              </w:rPr>
              <w:t>x</w:t>
            </w:r>
          </w:p>
        </w:tc>
        <w:tc>
          <w:tcPr>
            <w:tcW w:w="231" w:type="pct"/>
            <w:shd w:val="clear" w:color="auto" w:fill="FFFFFF" w:themeFill="background1"/>
            <w:tcMar>
              <w:left w:w="70" w:type="dxa"/>
              <w:right w:w="70" w:type="dxa"/>
            </w:tcMar>
            <w:vAlign w:val="center"/>
          </w:tcPr>
          <w:p w14:paraId="77F554E3" w14:textId="6F006BE7" w:rsidR="68B7379A" w:rsidRPr="00951AB1" w:rsidRDefault="68B7379A" w:rsidP="000A5389">
            <w:pPr>
              <w:spacing w:line="240" w:lineRule="auto"/>
              <w:jc w:val="center"/>
              <w:rPr>
                <w:rFonts w:cs="Times New Roman"/>
              </w:rPr>
            </w:pPr>
            <w:r w:rsidRPr="00951AB1">
              <w:rPr>
                <w:rFonts w:eastAsia="Times New Roman" w:cs="Times New Roman"/>
                <w:color w:val="E97132"/>
                <w:sz w:val="16"/>
                <w:szCs w:val="16"/>
              </w:rPr>
              <w:t xml:space="preserve"> </w:t>
            </w:r>
          </w:p>
        </w:tc>
        <w:tc>
          <w:tcPr>
            <w:tcW w:w="231" w:type="pct"/>
            <w:tcBorders>
              <w:top w:val="nil"/>
              <w:bottom w:val="nil"/>
              <w:right w:val="single" w:sz="8" w:space="0" w:color="auto"/>
            </w:tcBorders>
            <w:shd w:val="clear" w:color="auto" w:fill="FFFFFF" w:themeFill="background1"/>
            <w:tcMar>
              <w:left w:w="70" w:type="dxa"/>
              <w:right w:w="70" w:type="dxa"/>
            </w:tcMar>
            <w:vAlign w:val="center"/>
          </w:tcPr>
          <w:p w14:paraId="5388042A" w14:textId="28542D51" w:rsidR="68B7379A" w:rsidRPr="00951AB1" w:rsidRDefault="68B7379A" w:rsidP="000A5389">
            <w:pPr>
              <w:spacing w:line="240" w:lineRule="auto"/>
              <w:jc w:val="center"/>
              <w:rPr>
                <w:rFonts w:cs="Times New Roman"/>
              </w:rPr>
            </w:pPr>
            <w:r w:rsidRPr="00951AB1">
              <w:rPr>
                <w:rFonts w:eastAsia="Times New Roman" w:cs="Times New Roman"/>
                <w:color w:val="E97132"/>
                <w:sz w:val="16"/>
                <w:szCs w:val="16"/>
              </w:rPr>
              <w:t>x</w:t>
            </w:r>
          </w:p>
        </w:tc>
        <w:tc>
          <w:tcPr>
            <w:tcW w:w="429" w:type="pct"/>
            <w:gridSpan w:val="2"/>
            <w:shd w:val="clear" w:color="auto" w:fill="FFFFFF" w:themeFill="background1"/>
            <w:tcMar>
              <w:left w:w="70" w:type="dxa"/>
              <w:right w:w="70" w:type="dxa"/>
            </w:tcMar>
            <w:vAlign w:val="center"/>
          </w:tcPr>
          <w:p w14:paraId="7229844B" w14:textId="0DFE10D7" w:rsidR="68B7379A" w:rsidRPr="00951AB1" w:rsidRDefault="68B7379A" w:rsidP="000A5389">
            <w:pPr>
              <w:spacing w:line="240" w:lineRule="auto"/>
              <w:jc w:val="center"/>
              <w:rPr>
                <w:rFonts w:cs="Times New Roman"/>
              </w:rPr>
            </w:pPr>
            <w:r w:rsidRPr="00951AB1">
              <w:rPr>
                <w:rFonts w:eastAsia="Times New Roman" w:cs="Times New Roman"/>
                <w:color w:val="E97132"/>
                <w:sz w:val="16"/>
                <w:szCs w:val="16"/>
              </w:rPr>
              <w:t xml:space="preserve"> </w:t>
            </w:r>
          </w:p>
        </w:tc>
        <w:tc>
          <w:tcPr>
            <w:tcW w:w="231" w:type="pct"/>
            <w:shd w:val="clear" w:color="auto" w:fill="FFFFFF" w:themeFill="background1"/>
            <w:tcMar>
              <w:left w:w="70" w:type="dxa"/>
              <w:right w:w="70" w:type="dxa"/>
            </w:tcMar>
            <w:vAlign w:val="center"/>
          </w:tcPr>
          <w:p w14:paraId="1AF38083" w14:textId="1FB8D03D" w:rsidR="68B7379A" w:rsidRPr="00951AB1" w:rsidRDefault="68B7379A" w:rsidP="000A5389">
            <w:pPr>
              <w:spacing w:line="240" w:lineRule="auto"/>
              <w:jc w:val="center"/>
              <w:rPr>
                <w:rFonts w:cs="Times New Roman"/>
              </w:rPr>
            </w:pPr>
            <w:r w:rsidRPr="00951AB1">
              <w:rPr>
                <w:rFonts w:eastAsia="Times New Roman" w:cs="Times New Roman"/>
                <w:color w:val="E97132"/>
                <w:sz w:val="16"/>
                <w:szCs w:val="16"/>
              </w:rPr>
              <w:t>x</w:t>
            </w:r>
          </w:p>
        </w:tc>
        <w:tc>
          <w:tcPr>
            <w:tcW w:w="231" w:type="pct"/>
            <w:shd w:val="clear" w:color="auto" w:fill="FFFFFF" w:themeFill="background1"/>
            <w:tcMar>
              <w:left w:w="70" w:type="dxa"/>
              <w:right w:w="70" w:type="dxa"/>
            </w:tcMar>
            <w:vAlign w:val="center"/>
          </w:tcPr>
          <w:p w14:paraId="7F7BC106" w14:textId="06CCEAC1" w:rsidR="68B7379A" w:rsidRPr="00951AB1" w:rsidRDefault="68B7379A" w:rsidP="000A5389">
            <w:pPr>
              <w:spacing w:line="240" w:lineRule="auto"/>
              <w:jc w:val="center"/>
              <w:rPr>
                <w:rFonts w:cs="Times New Roman"/>
              </w:rPr>
            </w:pPr>
            <w:r w:rsidRPr="00951AB1">
              <w:rPr>
                <w:rFonts w:eastAsia="Times New Roman" w:cs="Times New Roman"/>
                <w:color w:val="E97132"/>
                <w:sz w:val="16"/>
                <w:szCs w:val="16"/>
              </w:rPr>
              <w:t xml:space="preserve"> </w:t>
            </w:r>
          </w:p>
        </w:tc>
        <w:tc>
          <w:tcPr>
            <w:tcW w:w="231" w:type="pct"/>
            <w:tcBorders>
              <w:top w:val="nil"/>
              <w:bottom w:val="nil"/>
              <w:right w:val="single" w:sz="8" w:space="0" w:color="auto"/>
            </w:tcBorders>
            <w:shd w:val="clear" w:color="auto" w:fill="FFFFFF" w:themeFill="background1"/>
            <w:tcMar>
              <w:left w:w="70" w:type="dxa"/>
              <w:right w:w="70" w:type="dxa"/>
            </w:tcMar>
            <w:vAlign w:val="center"/>
          </w:tcPr>
          <w:p w14:paraId="7EA1157F" w14:textId="119CD294" w:rsidR="68B7379A" w:rsidRPr="00951AB1" w:rsidRDefault="68B7379A" w:rsidP="000A5389">
            <w:pPr>
              <w:spacing w:line="240" w:lineRule="auto"/>
              <w:jc w:val="center"/>
              <w:rPr>
                <w:rFonts w:cs="Times New Roman"/>
              </w:rPr>
            </w:pPr>
            <w:r w:rsidRPr="00951AB1">
              <w:rPr>
                <w:rFonts w:eastAsia="Times New Roman" w:cs="Times New Roman"/>
                <w:color w:val="E97132"/>
                <w:sz w:val="16"/>
                <w:szCs w:val="16"/>
              </w:rPr>
              <w:t>x</w:t>
            </w:r>
          </w:p>
        </w:tc>
        <w:tc>
          <w:tcPr>
            <w:tcW w:w="429" w:type="pct"/>
            <w:gridSpan w:val="2"/>
            <w:shd w:val="clear" w:color="auto" w:fill="FFFFFF" w:themeFill="background1"/>
            <w:tcMar>
              <w:left w:w="70" w:type="dxa"/>
              <w:right w:w="70" w:type="dxa"/>
            </w:tcMar>
            <w:vAlign w:val="center"/>
          </w:tcPr>
          <w:p w14:paraId="01114EE9" w14:textId="4C2F75C2" w:rsidR="68B7379A" w:rsidRPr="00951AB1" w:rsidRDefault="68B7379A" w:rsidP="000A5389">
            <w:pPr>
              <w:spacing w:line="240" w:lineRule="auto"/>
              <w:jc w:val="center"/>
              <w:rPr>
                <w:rFonts w:cs="Times New Roman"/>
              </w:rPr>
            </w:pPr>
            <w:r w:rsidRPr="00951AB1">
              <w:rPr>
                <w:rFonts w:eastAsia="Times New Roman" w:cs="Times New Roman"/>
                <w:color w:val="E97132"/>
                <w:sz w:val="16"/>
                <w:szCs w:val="16"/>
              </w:rPr>
              <w:t xml:space="preserve"> </w:t>
            </w:r>
          </w:p>
        </w:tc>
        <w:tc>
          <w:tcPr>
            <w:tcW w:w="231" w:type="pct"/>
            <w:shd w:val="clear" w:color="auto" w:fill="FFFFFF" w:themeFill="background1"/>
            <w:tcMar>
              <w:left w:w="70" w:type="dxa"/>
              <w:right w:w="70" w:type="dxa"/>
            </w:tcMar>
            <w:vAlign w:val="center"/>
          </w:tcPr>
          <w:p w14:paraId="6504617B" w14:textId="31C8A4E0" w:rsidR="68B7379A" w:rsidRPr="00951AB1" w:rsidRDefault="68B7379A" w:rsidP="000A5389">
            <w:pPr>
              <w:spacing w:line="240" w:lineRule="auto"/>
              <w:jc w:val="center"/>
              <w:rPr>
                <w:rFonts w:cs="Times New Roman"/>
              </w:rPr>
            </w:pPr>
            <w:r w:rsidRPr="00951AB1">
              <w:rPr>
                <w:rFonts w:eastAsia="Times New Roman" w:cs="Times New Roman"/>
                <w:color w:val="E97132"/>
                <w:sz w:val="16"/>
                <w:szCs w:val="16"/>
              </w:rPr>
              <w:t xml:space="preserve"> </w:t>
            </w:r>
          </w:p>
        </w:tc>
        <w:tc>
          <w:tcPr>
            <w:tcW w:w="231" w:type="pct"/>
            <w:shd w:val="clear" w:color="auto" w:fill="FFFFFF" w:themeFill="background1"/>
            <w:tcMar>
              <w:left w:w="70" w:type="dxa"/>
              <w:right w:w="70" w:type="dxa"/>
            </w:tcMar>
            <w:vAlign w:val="center"/>
          </w:tcPr>
          <w:p w14:paraId="11A3FD8D" w14:textId="789A6352" w:rsidR="68B7379A" w:rsidRPr="00951AB1" w:rsidRDefault="68B7379A" w:rsidP="000A5389">
            <w:pPr>
              <w:spacing w:line="240" w:lineRule="auto"/>
              <w:jc w:val="center"/>
              <w:rPr>
                <w:rFonts w:cs="Times New Roman"/>
              </w:rPr>
            </w:pPr>
            <w:r w:rsidRPr="00951AB1">
              <w:rPr>
                <w:rFonts w:eastAsia="Times New Roman" w:cs="Times New Roman"/>
                <w:color w:val="E97132"/>
                <w:sz w:val="16"/>
                <w:szCs w:val="16"/>
              </w:rPr>
              <w:t xml:space="preserve"> </w:t>
            </w:r>
          </w:p>
        </w:tc>
        <w:tc>
          <w:tcPr>
            <w:tcW w:w="232" w:type="pct"/>
            <w:tcBorders>
              <w:top w:val="nil"/>
              <w:bottom w:val="nil"/>
              <w:right w:val="single" w:sz="8" w:space="0" w:color="auto"/>
            </w:tcBorders>
            <w:shd w:val="clear" w:color="auto" w:fill="FFFFFF" w:themeFill="background1"/>
            <w:tcMar>
              <w:left w:w="70" w:type="dxa"/>
              <w:right w:w="70" w:type="dxa"/>
            </w:tcMar>
            <w:vAlign w:val="center"/>
          </w:tcPr>
          <w:p w14:paraId="502BFA10" w14:textId="5632B4A6" w:rsidR="68B7379A" w:rsidRPr="00951AB1" w:rsidRDefault="68B7379A" w:rsidP="000A5389">
            <w:pPr>
              <w:spacing w:line="240" w:lineRule="auto"/>
              <w:jc w:val="center"/>
              <w:rPr>
                <w:rFonts w:cs="Times New Roman"/>
              </w:rPr>
            </w:pPr>
            <w:r w:rsidRPr="00951AB1">
              <w:rPr>
                <w:rFonts w:eastAsia="Times New Roman" w:cs="Times New Roman"/>
                <w:color w:val="E97132"/>
                <w:sz w:val="16"/>
                <w:szCs w:val="16"/>
              </w:rPr>
              <w:t xml:space="preserve"> </w:t>
            </w:r>
          </w:p>
        </w:tc>
      </w:tr>
      <w:tr w:rsidR="68B7379A" w:rsidRPr="00951AB1" w14:paraId="6DC43D83" w14:textId="77777777" w:rsidTr="00512B77">
        <w:trPr>
          <w:gridAfter w:val="1"/>
          <w:wAfter w:w="213" w:type="pct"/>
          <w:trHeight w:val="405"/>
        </w:trPr>
        <w:tc>
          <w:tcPr>
            <w:tcW w:w="695" w:type="pct"/>
            <w:tcBorders>
              <w:top w:val="nil"/>
              <w:left w:val="single" w:sz="8" w:space="0" w:color="auto"/>
              <w:bottom w:val="single" w:sz="8" w:space="0" w:color="auto"/>
              <w:right w:val="single" w:sz="8" w:space="0" w:color="auto"/>
            </w:tcBorders>
            <w:shd w:val="clear" w:color="auto" w:fill="F2F2F2" w:themeFill="background1" w:themeFillShade="F2"/>
            <w:tcMar>
              <w:left w:w="70" w:type="dxa"/>
              <w:right w:w="70" w:type="dxa"/>
            </w:tcMar>
            <w:vAlign w:val="center"/>
          </w:tcPr>
          <w:p w14:paraId="1D4FB53F" w14:textId="4B56B7CC" w:rsidR="68B7379A" w:rsidRPr="00951AB1" w:rsidRDefault="68B7379A" w:rsidP="000A5389">
            <w:pPr>
              <w:spacing w:line="240" w:lineRule="auto"/>
              <w:rPr>
                <w:rFonts w:cs="Times New Roman"/>
              </w:rPr>
            </w:pPr>
            <w:r w:rsidRPr="00951AB1">
              <w:rPr>
                <w:rFonts w:eastAsia="Times New Roman" w:cs="Times New Roman"/>
                <w:color w:val="000000" w:themeColor="text1"/>
                <w:sz w:val="16"/>
                <w:szCs w:val="16"/>
              </w:rPr>
              <w:t>Registros contables actualizados</w:t>
            </w:r>
          </w:p>
        </w:tc>
        <w:tc>
          <w:tcPr>
            <w:tcW w:w="231" w:type="pct"/>
            <w:tcBorders>
              <w:left w:val="single" w:sz="8" w:space="0" w:color="auto"/>
              <w:bottom w:val="single" w:sz="8" w:space="0" w:color="auto"/>
              <w:right w:val="nil"/>
            </w:tcBorders>
            <w:shd w:val="clear" w:color="auto" w:fill="F2F2F2" w:themeFill="background1" w:themeFillShade="F2"/>
            <w:tcMar>
              <w:left w:w="70" w:type="dxa"/>
              <w:right w:w="70" w:type="dxa"/>
            </w:tcMar>
            <w:vAlign w:val="center"/>
          </w:tcPr>
          <w:p w14:paraId="25244221" w14:textId="01F7C496" w:rsidR="68B7379A" w:rsidRPr="00951AB1" w:rsidRDefault="68B7379A" w:rsidP="000A5389">
            <w:pPr>
              <w:spacing w:line="240" w:lineRule="auto"/>
              <w:jc w:val="center"/>
              <w:rPr>
                <w:rFonts w:cs="Times New Roman"/>
              </w:rPr>
            </w:pPr>
            <w:r w:rsidRPr="00951AB1">
              <w:rPr>
                <w:rFonts w:eastAsia="Times New Roman" w:cs="Times New Roman"/>
                <w:color w:val="E97132"/>
                <w:sz w:val="16"/>
                <w:szCs w:val="16"/>
              </w:rPr>
              <w:t xml:space="preserve"> </w:t>
            </w:r>
          </w:p>
        </w:tc>
        <w:tc>
          <w:tcPr>
            <w:tcW w:w="231" w:type="pct"/>
            <w:tcBorders>
              <w:left w:val="nil"/>
              <w:bottom w:val="single" w:sz="8" w:space="0" w:color="auto"/>
              <w:right w:val="nil"/>
            </w:tcBorders>
            <w:shd w:val="clear" w:color="auto" w:fill="F2F2F2" w:themeFill="background1" w:themeFillShade="F2"/>
            <w:tcMar>
              <w:left w:w="70" w:type="dxa"/>
              <w:right w:w="70" w:type="dxa"/>
            </w:tcMar>
            <w:vAlign w:val="center"/>
          </w:tcPr>
          <w:p w14:paraId="458BE23C" w14:textId="08E0218D" w:rsidR="68B7379A" w:rsidRPr="00951AB1" w:rsidRDefault="68B7379A" w:rsidP="000A5389">
            <w:pPr>
              <w:spacing w:line="240" w:lineRule="auto"/>
              <w:jc w:val="center"/>
              <w:rPr>
                <w:rFonts w:cs="Times New Roman"/>
              </w:rPr>
            </w:pPr>
            <w:r w:rsidRPr="00951AB1">
              <w:rPr>
                <w:rFonts w:eastAsia="Times New Roman" w:cs="Times New Roman"/>
                <w:color w:val="E97132"/>
                <w:sz w:val="16"/>
                <w:szCs w:val="16"/>
              </w:rPr>
              <w:t>x</w:t>
            </w:r>
          </w:p>
        </w:tc>
        <w:tc>
          <w:tcPr>
            <w:tcW w:w="231" w:type="pct"/>
            <w:tcBorders>
              <w:left w:val="nil"/>
              <w:bottom w:val="single" w:sz="8" w:space="0" w:color="auto"/>
              <w:right w:val="nil"/>
            </w:tcBorders>
            <w:shd w:val="clear" w:color="auto" w:fill="F2F2F2" w:themeFill="background1" w:themeFillShade="F2"/>
            <w:tcMar>
              <w:left w:w="70" w:type="dxa"/>
              <w:right w:w="70" w:type="dxa"/>
            </w:tcMar>
            <w:vAlign w:val="center"/>
          </w:tcPr>
          <w:p w14:paraId="71350323" w14:textId="434F7173" w:rsidR="68B7379A" w:rsidRPr="00951AB1" w:rsidRDefault="68B7379A" w:rsidP="000A5389">
            <w:pPr>
              <w:spacing w:line="240" w:lineRule="auto"/>
              <w:jc w:val="center"/>
              <w:rPr>
                <w:rFonts w:cs="Times New Roman"/>
              </w:rPr>
            </w:pPr>
            <w:r w:rsidRPr="00951AB1">
              <w:rPr>
                <w:rFonts w:eastAsia="Times New Roman" w:cs="Times New Roman"/>
                <w:color w:val="E97132"/>
                <w:sz w:val="16"/>
                <w:szCs w:val="16"/>
              </w:rPr>
              <w:t>x</w:t>
            </w:r>
          </w:p>
        </w:tc>
        <w:tc>
          <w:tcPr>
            <w:tcW w:w="231" w:type="pct"/>
            <w:tcBorders>
              <w:top w:val="nil"/>
              <w:left w:val="nil"/>
              <w:bottom w:val="single" w:sz="8" w:space="0" w:color="auto"/>
              <w:right w:val="single" w:sz="8" w:space="0" w:color="auto"/>
            </w:tcBorders>
            <w:shd w:val="clear" w:color="auto" w:fill="F2F2F2" w:themeFill="background1" w:themeFillShade="F2"/>
            <w:tcMar>
              <w:left w:w="70" w:type="dxa"/>
              <w:right w:w="70" w:type="dxa"/>
            </w:tcMar>
            <w:vAlign w:val="center"/>
          </w:tcPr>
          <w:p w14:paraId="70D9D909" w14:textId="1B16787A" w:rsidR="68B7379A" w:rsidRPr="00951AB1" w:rsidRDefault="68B7379A" w:rsidP="000A5389">
            <w:pPr>
              <w:spacing w:line="240" w:lineRule="auto"/>
              <w:jc w:val="center"/>
              <w:rPr>
                <w:rFonts w:cs="Times New Roman"/>
              </w:rPr>
            </w:pPr>
            <w:r w:rsidRPr="00951AB1">
              <w:rPr>
                <w:rFonts w:eastAsia="Times New Roman" w:cs="Times New Roman"/>
                <w:color w:val="E97132"/>
                <w:sz w:val="16"/>
                <w:szCs w:val="16"/>
              </w:rPr>
              <w:t>x</w:t>
            </w:r>
          </w:p>
        </w:tc>
        <w:tc>
          <w:tcPr>
            <w:tcW w:w="231" w:type="pct"/>
            <w:tcBorders>
              <w:left w:val="single" w:sz="8" w:space="0" w:color="auto"/>
              <w:bottom w:val="single" w:sz="8" w:space="0" w:color="auto"/>
              <w:right w:val="nil"/>
            </w:tcBorders>
            <w:shd w:val="clear" w:color="auto" w:fill="F2F2F2" w:themeFill="background1" w:themeFillShade="F2"/>
            <w:tcMar>
              <w:left w:w="70" w:type="dxa"/>
              <w:right w:w="70" w:type="dxa"/>
            </w:tcMar>
            <w:vAlign w:val="center"/>
          </w:tcPr>
          <w:p w14:paraId="4A6918E1" w14:textId="22AB2354" w:rsidR="68B7379A" w:rsidRPr="00951AB1" w:rsidRDefault="68B7379A" w:rsidP="000A5389">
            <w:pPr>
              <w:spacing w:line="240" w:lineRule="auto"/>
              <w:jc w:val="center"/>
              <w:rPr>
                <w:rFonts w:cs="Times New Roman"/>
              </w:rPr>
            </w:pPr>
            <w:r w:rsidRPr="00951AB1">
              <w:rPr>
                <w:rFonts w:eastAsia="Times New Roman" w:cs="Times New Roman"/>
                <w:color w:val="E97132"/>
                <w:sz w:val="16"/>
                <w:szCs w:val="16"/>
              </w:rPr>
              <w:t xml:space="preserve"> </w:t>
            </w:r>
          </w:p>
        </w:tc>
        <w:tc>
          <w:tcPr>
            <w:tcW w:w="231" w:type="pct"/>
            <w:tcBorders>
              <w:left w:val="nil"/>
              <w:bottom w:val="single" w:sz="8" w:space="0" w:color="auto"/>
              <w:right w:val="nil"/>
            </w:tcBorders>
            <w:shd w:val="clear" w:color="auto" w:fill="F2F2F2" w:themeFill="background1" w:themeFillShade="F2"/>
            <w:tcMar>
              <w:left w:w="70" w:type="dxa"/>
              <w:right w:w="70" w:type="dxa"/>
            </w:tcMar>
            <w:vAlign w:val="center"/>
          </w:tcPr>
          <w:p w14:paraId="1EF3896A" w14:textId="76BA7084" w:rsidR="68B7379A" w:rsidRPr="00951AB1" w:rsidRDefault="68B7379A" w:rsidP="000A5389">
            <w:pPr>
              <w:spacing w:line="240" w:lineRule="auto"/>
              <w:jc w:val="center"/>
              <w:rPr>
                <w:rFonts w:cs="Times New Roman"/>
              </w:rPr>
            </w:pPr>
            <w:r w:rsidRPr="00951AB1">
              <w:rPr>
                <w:rFonts w:eastAsia="Times New Roman" w:cs="Times New Roman"/>
                <w:color w:val="E97132"/>
                <w:sz w:val="16"/>
                <w:szCs w:val="16"/>
              </w:rPr>
              <w:t>x</w:t>
            </w:r>
          </w:p>
        </w:tc>
        <w:tc>
          <w:tcPr>
            <w:tcW w:w="231" w:type="pct"/>
            <w:tcBorders>
              <w:left w:val="nil"/>
              <w:bottom w:val="single" w:sz="8" w:space="0" w:color="auto"/>
              <w:right w:val="nil"/>
            </w:tcBorders>
            <w:shd w:val="clear" w:color="auto" w:fill="F2F2F2" w:themeFill="background1" w:themeFillShade="F2"/>
            <w:tcMar>
              <w:left w:w="70" w:type="dxa"/>
              <w:right w:w="70" w:type="dxa"/>
            </w:tcMar>
            <w:vAlign w:val="center"/>
          </w:tcPr>
          <w:p w14:paraId="4485D6B4" w14:textId="6F1D34BB" w:rsidR="68B7379A" w:rsidRPr="00951AB1" w:rsidRDefault="68B7379A" w:rsidP="000A5389">
            <w:pPr>
              <w:spacing w:line="240" w:lineRule="auto"/>
              <w:jc w:val="center"/>
              <w:rPr>
                <w:rFonts w:cs="Times New Roman"/>
              </w:rPr>
            </w:pPr>
            <w:r w:rsidRPr="00951AB1">
              <w:rPr>
                <w:rFonts w:eastAsia="Times New Roman" w:cs="Times New Roman"/>
                <w:color w:val="E97132"/>
                <w:sz w:val="16"/>
                <w:szCs w:val="16"/>
              </w:rPr>
              <w:t>x</w:t>
            </w:r>
          </w:p>
        </w:tc>
        <w:tc>
          <w:tcPr>
            <w:tcW w:w="231" w:type="pct"/>
            <w:tcBorders>
              <w:top w:val="nil"/>
              <w:left w:val="nil"/>
              <w:bottom w:val="single" w:sz="8" w:space="0" w:color="auto"/>
              <w:right w:val="single" w:sz="8" w:space="0" w:color="auto"/>
            </w:tcBorders>
            <w:shd w:val="clear" w:color="auto" w:fill="F2F2F2" w:themeFill="background1" w:themeFillShade="F2"/>
            <w:tcMar>
              <w:left w:w="70" w:type="dxa"/>
              <w:right w:w="70" w:type="dxa"/>
            </w:tcMar>
            <w:vAlign w:val="center"/>
          </w:tcPr>
          <w:p w14:paraId="6C8C4F0A" w14:textId="7EF69FD0" w:rsidR="68B7379A" w:rsidRPr="00951AB1" w:rsidRDefault="68B7379A" w:rsidP="000A5389">
            <w:pPr>
              <w:spacing w:line="240" w:lineRule="auto"/>
              <w:jc w:val="center"/>
              <w:rPr>
                <w:rFonts w:cs="Times New Roman"/>
              </w:rPr>
            </w:pPr>
            <w:r w:rsidRPr="00951AB1">
              <w:rPr>
                <w:rFonts w:eastAsia="Times New Roman" w:cs="Times New Roman"/>
                <w:color w:val="E97132"/>
                <w:sz w:val="16"/>
                <w:szCs w:val="16"/>
              </w:rPr>
              <w:t>x</w:t>
            </w:r>
          </w:p>
        </w:tc>
        <w:tc>
          <w:tcPr>
            <w:tcW w:w="429" w:type="pct"/>
            <w:gridSpan w:val="2"/>
            <w:tcBorders>
              <w:left w:val="single" w:sz="8" w:space="0" w:color="auto"/>
              <w:bottom w:val="single" w:sz="8" w:space="0" w:color="auto"/>
              <w:right w:val="nil"/>
            </w:tcBorders>
            <w:shd w:val="clear" w:color="auto" w:fill="F2F2F2" w:themeFill="background1" w:themeFillShade="F2"/>
            <w:tcMar>
              <w:left w:w="70" w:type="dxa"/>
              <w:right w:w="70" w:type="dxa"/>
            </w:tcMar>
            <w:vAlign w:val="center"/>
          </w:tcPr>
          <w:p w14:paraId="23C0FC3A" w14:textId="124F38BB" w:rsidR="68B7379A" w:rsidRPr="00951AB1" w:rsidRDefault="68B7379A" w:rsidP="000A5389">
            <w:pPr>
              <w:spacing w:line="240" w:lineRule="auto"/>
              <w:jc w:val="center"/>
              <w:rPr>
                <w:rFonts w:cs="Times New Roman"/>
              </w:rPr>
            </w:pPr>
            <w:r w:rsidRPr="00951AB1">
              <w:rPr>
                <w:rFonts w:eastAsia="Times New Roman" w:cs="Times New Roman"/>
                <w:color w:val="E97132"/>
                <w:sz w:val="16"/>
                <w:szCs w:val="16"/>
              </w:rPr>
              <w:t xml:space="preserve"> </w:t>
            </w:r>
          </w:p>
        </w:tc>
        <w:tc>
          <w:tcPr>
            <w:tcW w:w="231" w:type="pct"/>
            <w:tcBorders>
              <w:left w:val="nil"/>
              <w:bottom w:val="single" w:sz="8" w:space="0" w:color="auto"/>
              <w:right w:val="nil"/>
            </w:tcBorders>
            <w:shd w:val="clear" w:color="auto" w:fill="F2F2F2" w:themeFill="background1" w:themeFillShade="F2"/>
            <w:tcMar>
              <w:left w:w="70" w:type="dxa"/>
              <w:right w:w="70" w:type="dxa"/>
            </w:tcMar>
            <w:vAlign w:val="center"/>
          </w:tcPr>
          <w:p w14:paraId="2BC02437" w14:textId="50CF055D" w:rsidR="68B7379A" w:rsidRPr="00951AB1" w:rsidRDefault="68B7379A" w:rsidP="000A5389">
            <w:pPr>
              <w:spacing w:line="240" w:lineRule="auto"/>
              <w:jc w:val="center"/>
              <w:rPr>
                <w:rFonts w:cs="Times New Roman"/>
              </w:rPr>
            </w:pPr>
            <w:r w:rsidRPr="00951AB1">
              <w:rPr>
                <w:rFonts w:eastAsia="Times New Roman" w:cs="Times New Roman"/>
                <w:color w:val="E97132"/>
                <w:sz w:val="16"/>
                <w:szCs w:val="16"/>
              </w:rPr>
              <w:t>x</w:t>
            </w:r>
          </w:p>
        </w:tc>
        <w:tc>
          <w:tcPr>
            <w:tcW w:w="231" w:type="pct"/>
            <w:tcBorders>
              <w:left w:val="nil"/>
              <w:bottom w:val="single" w:sz="8" w:space="0" w:color="auto"/>
              <w:right w:val="nil"/>
            </w:tcBorders>
            <w:shd w:val="clear" w:color="auto" w:fill="F2F2F2" w:themeFill="background1" w:themeFillShade="F2"/>
            <w:tcMar>
              <w:left w:w="70" w:type="dxa"/>
              <w:right w:w="70" w:type="dxa"/>
            </w:tcMar>
            <w:vAlign w:val="center"/>
          </w:tcPr>
          <w:p w14:paraId="11844756" w14:textId="52A4F929" w:rsidR="68B7379A" w:rsidRPr="00951AB1" w:rsidRDefault="68B7379A" w:rsidP="000A5389">
            <w:pPr>
              <w:spacing w:line="240" w:lineRule="auto"/>
              <w:jc w:val="center"/>
              <w:rPr>
                <w:rFonts w:cs="Times New Roman"/>
              </w:rPr>
            </w:pPr>
            <w:r w:rsidRPr="00951AB1">
              <w:rPr>
                <w:rFonts w:eastAsia="Times New Roman" w:cs="Times New Roman"/>
                <w:color w:val="E97132"/>
                <w:sz w:val="16"/>
                <w:szCs w:val="16"/>
              </w:rPr>
              <w:t>x</w:t>
            </w:r>
          </w:p>
        </w:tc>
        <w:tc>
          <w:tcPr>
            <w:tcW w:w="231" w:type="pct"/>
            <w:tcBorders>
              <w:top w:val="nil"/>
              <w:left w:val="nil"/>
              <w:bottom w:val="single" w:sz="8" w:space="0" w:color="auto"/>
              <w:right w:val="single" w:sz="8" w:space="0" w:color="auto"/>
            </w:tcBorders>
            <w:shd w:val="clear" w:color="auto" w:fill="F2F2F2" w:themeFill="background1" w:themeFillShade="F2"/>
            <w:tcMar>
              <w:left w:w="70" w:type="dxa"/>
              <w:right w:w="70" w:type="dxa"/>
            </w:tcMar>
            <w:vAlign w:val="center"/>
          </w:tcPr>
          <w:p w14:paraId="5717DBDA" w14:textId="65C709A9" w:rsidR="68B7379A" w:rsidRPr="00951AB1" w:rsidRDefault="68B7379A" w:rsidP="000A5389">
            <w:pPr>
              <w:spacing w:line="240" w:lineRule="auto"/>
              <w:jc w:val="center"/>
              <w:rPr>
                <w:rFonts w:cs="Times New Roman"/>
              </w:rPr>
            </w:pPr>
            <w:r w:rsidRPr="00951AB1">
              <w:rPr>
                <w:rFonts w:eastAsia="Times New Roman" w:cs="Times New Roman"/>
                <w:color w:val="E97132"/>
                <w:sz w:val="16"/>
                <w:szCs w:val="16"/>
              </w:rPr>
              <w:t>x</w:t>
            </w:r>
          </w:p>
        </w:tc>
        <w:tc>
          <w:tcPr>
            <w:tcW w:w="429" w:type="pct"/>
            <w:gridSpan w:val="2"/>
            <w:tcBorders>
              <w:left w:val="single" w:sz="8" w:space="0" w:color="auto"/>
              <w:bottom w:val="single" w:sz="8" w:space="0" w:color="auto"/>
              <w:right w:val="nil"/>
            </w:tcBorders>
            <w:shd w:val="clear" w:color="auto" w:fill="F2F2F2" w:themeFill="background1" w:themeFillShade="F2"/>
            <w:tcMar>
              <w:left w:w="70" w:type="dxa"/>
              <w:right w:w="70" w:type="dxa"/>
            </w:tcMar>
            <w:vAlign w:val="center"/>
          </w:tcPr>
          <w:p w14:paraId="7B426F7C" w14:textId="447CCA5B" w:rsidR="68B7379A" w:rsidRPr="00951AB1" w:rsidRDefault="68B7379A" w:rsidP="000A5389">
            <w:pPr>
              <w:spacing w:line="240" w:lineRule="auto"/>
              <w:jc w:val="center"/>
              <w:rPr>
                <w:rFonts w:cs="Times New Roman"/>
              </w:rPr>
            </w:pPr>
            <w:r w:rsidRPr="00951AB1">
              <w:rPr>
                <w:rFonts w:eastAsia="Times New Roman" w:cs="Times New Roman"/>
                <w:color w:val="E97132"/>
                <w:sz w:val="16"/>
                <w:szCs w:val="16"/>
              </w:rPr>
              <w:t xml:space="preserve"> </w:t>
            </w:r>
          </w:p>
        </w:tc>
        <w:tc>
          <w:tcPr>
            <w:tcW w:w="231" w:type="pct"/>
            <w:tcBorders>
              <w:left w:val="nil"/>
              <w:bottom w:val="single" w:sz="8" w:space="0" w:color="auto"/>
              <w:right w:val="nil"/>
            </w:tcBorders>
            <w:shd w:val="clear" w:color="auto" w:fill="F2F2F2" w:themeFill="background1" w:themeFillShade="F2"/>
            <w:tcMar>
              <w:left w:w="70" w:type="dxa"/>
              <w:right w:w="70" w:type="dxa"/>
            </w:tcMar>
            <w:vAlign w:val="center"/>
          </w:tcPr>
          <w:p w14:paraId="78775AC9" w14:textId="4C2EB844" w:rsidR="68B7379A" w:rsidRPr="00951AB1" w:rsidRDefault="68B7379A" w:rsidP="000A5389">
            <w:pPr>
              <w:spacing w:line="240" w:lineRule="auto"/>
              <w:jc w:val="center"/>
              <w:rPr>
                <w:rFonts w:cs="Times New Roman"/>
              </w:rPr>
            </w:pPr>
            <w:r w:rsidRPr="00951AB1">
              <w:rPr>
                <w:rFonts w:eastAsia="Times New Roman" w:cs="Times New Roman"/>
                <w:color w:val="E97132"/>
                <w:sz w:val="16"/>
                <w:szCs w:val="16"/>
              </w:rPr>
              <w:t>x</w:t>
            </w:r>
          </w:p>
        </w:tc>
        <w:tc>
          <w:tcPr>
            <w:tcW w:w="231" w:type="pct"/>
            <w:tcBorders>
              <w:left w:val="nil"/>
              <w:bottom w:val="single" w:sz="8" w:space="0" w:color="auto"/>
              <w:right w:val="nil"/>
            </w:tcBorders>
            <w:shd w:val="clear" w:color="auto" w:fill="F2F2F2" w:themeFill="background1" w:themeFillShade="F2"/>
            <w:tcMar>
              <w:left w:w="70" w:type="dxa"/>
              <w:right w:w="70" w:type="dxa"/>
            </w:tcMar>
            <w:vAlign w:val="center"/>
          </w:tcPr>
          <w:p w14:paraId="3A763402" w14:textId="69C57C6A" w:rsidR="68B7379A" w:rsidRPr="00951AB1" w:rsidRDefault="68B7379A" w:rsidP="000A5389">
            <w:pPr>
              <w:spacing w:line="240" w:lineRule="auto"/>
              <w:jc w:val="center"/>
              <w:rPr>
                <w:rFonts w:cs="Times New Roman"/>
              </w:rPr>
            </w:pPr>
            <w:r w:rsidRPr="00951AB1">
              <w:rPr>
                <w:rFonts w:eastAsia="Times New Roman" w:cs="Times New Roman"/>
                <w:color w:val="E97132"/>
                <w:sz w:val="16"/>
                <w:szCs w:val="16"/>
              </w:rPr>
              <w:t>x</w:t>
            </w:r>
          </w:p>
        </w:tc>
        <w:tc>
          <w:tcPr>
            <w:tcW w:w="232" w:type="pct"/>
            <w:tcBorders>
              <w:top w:val="nil"/>
              <w:left w:val="nil"/>
              <w:bottom w:val="single" w:sz="8" w:space="0" w:color="auto"/>
              <w:right w:val="single" w:sz="8" w:space="0" w:color="auto"/>
            </w:tcBorders>
            <w:shd w:val="clear" w:color="auto" w:fill="F2F2F2" w:themeFill="background1" w:themeFillShade="F2"/>
            <w:tcMar>
              <w:left w:w="70" w:type="dxa"/>
              <w:right w:w="70" w:type="dxa"/>
            </w:tcMar>
            <w:vAlign w:val="center"/>
          </w:tcPr>
          <w:p w14:paraId="07FC2D3C" w14:textId="4C0853AA" w:rsidR="68B7379A" w:rsidRPr="00951AB1" w:rsidRDefault="68B7379A" w:rsidP="000A5389">
            <w:pPr>
              <w:spacing w:line="240" w:lineRule="auto"/>
              <w:jc w:val="center"/>
              <w:rPr>
                <w:rFonts w:cs="Times New Roman"/>
              </w:rPr>
            </w:pPr>
            <w:r w:rsidRPr="00951AB1">
              <w:rPr>
                <w:rFonts w:eastAsia="Times New Roman" w:cs="Times New Roman"/>
                <w:color w:val="E97132"/>
                <w:sz w:val="16"/>
                <w:szCs w:val="16"/>
              </w:rPr>
              <w:t>x</w:t>
            </w:r>
          </w:p>
        </w:tc>
      </w:tr>
      <w:tr w:rsidR="68B7379A" w:rsidRPr="00951AB1" w14:paraId="2EBF8FDB" w14:textId="77777777" w:rsidTr="00512B77">
        <w:trPr>
          <w:trHeight w:val="300"/>
        </w:trPr>
        <w:tc>
          <w:tcPr>
            <w:tcW w:w="695" w:type="pct"/>
            <w:tcBorders>
              <w:top w:val="single" w:sz="8" w:space="0" w:color="auto"/>
              <w:left w:val="nil"/>
              <w:bottom w:val="single" w:sz="4" w:space="0" w:color="auto"/>
              <w:right w:val="nil"/>
            </w:tcBorders>
            <w:vAlign w:val="center"/>
          </w:tcPr>
          <w:p w14:paraId="235EECE0" w14:textId="44E1CDA7" w:rsidR="68B7379A" w:rsidRPr="00951AB1" w:rsidRDefault="68B7379A" w:rsidP="000A5389">
            <w:pPr>
              <w:spacing w:line="240" w:lineRule="auto"/>
              <w:rPr>
                <w:rFonts w:cs="Times New Roman"/>
              </w:rPr>
            </w:pPr>
          </w:p>
        </w:tc>
        <w:tc>
          <w:tcPr>
            <w:tcW w:w="231" w:type="pct"/>
            <w:tcBorders>
              <w:top w:val="single" w:sz="8" w:space="0" w:color="auto"/>
              <w:left w:val="nil"/>
              <w:bottom w:val="single" w:sz="4" w:space="0" w:color="auto"/>
              <w:right w:val="nil"/>
            </w:tcBorders>
            <w:vAlign w:val="center"/>
          </w:tcPr>
          <w:p w14:paraId="0C5FB9FE" w14:textId="0D1753CD" w:rsidR="68B7379A" w:rsidRPr="00951AB1" w:rsidRDefault="68B7379A" w:rsidP="000A5389">
            <w:pPr>
              <w:spacing w:line="240" w:lineRule="auto"/>
              <w:rPr>
                <w:rFonts w:cs="Times New Roman"/>
              </w:rPr>
            </w:pPr>
          </w:p>
        </w:tc>
        <w:tc>
          <w:tcPr>
            <w:tcW w:w="231" w:type="pct"/>
            <w:tcBorders>
              <w:top w:val="single" w:sz="8" w:space="0" w:color="auto"/>
              <w:left w:val="nil"/>
              <w:bottom w:val="single" w:sz="4" w:space="0" w:color="auto"/>
              <w:right w:val="nil"/>
            </w:tcBorders>
            <w:vAlign w:val="center"/>
          </w:tcPr>
          <w:p w14:paraId="0D9D6883" w14:textId="6BFA4685" w:rsidR="68B7379A" w:rsidRPr="00951AB1" w:rsidRDefault="68B7379A" w:rsidP="000A5389">
            <w:pPr>
              <w:spacing w:line="240" w:lineRule="auto"/>
              <w:rPr>
                <w:rFonts w:cs="Times New Roman"/>
              </w:rPr>
            </w:pPr>
          </w:p>
        </w:tc>
        <w:tc>
          <w:tcPr>
            <w:tcW w:w="231" w:type="pct"/>
            <w:tcBorders>
              <w:top w:val="single" w:sz="8" w:space="0" w:color="auto"/>
              <w:left w:val="nil"/>
              <w:bottom w:val="single" w:sz="4" w:space="0" w:color="auto"/>
              <w:right w:val="nil"/>
            </w:tcBorders>
            <w:vAlign w:val="center"/>
          </w:tcPr>
          <w:p w14:paraId="36D1EFB3" w14:textId="317F12FC" w:rsidR="68B7379A" w:rsidRPr="00951AB1" w:rsidRDefault="68B7379A" w:rsidP="000A5389">
            <w:pPr>
              <w:spacing w:line="240" w:lineRule="auto"/>
              <w:rPr>
                <w:rFonts w:cs="Times New Roman"/>
              </w:rPr>
            </w:pPr>
          </w:p>
        </w:tc>
        <w:tc>
          <w:tcPr>
            <w:tcW w:w="231" w:type="pct"/>
            <w:tcBorders>
              <w:top w:val="single" w:sz="8" w:space="0" w:color="auto"/>
              <w:left w:val="nil"/>
              <w:bottom w:val="single" w:sz="4" w:space="0" w:color="auto"/>
              <w:right w:val="nil"/>
            </w:tcBorders>
            <w:vAlign w:val="center"/>
          </w:tcPr>
          <w:p w14:paraId="2F022FEE" w14:textId="722B7B72" w:rsidR="68B7379A" w:rsidRPr="00951AB1" w:rsidRDefault="68B7379A" w:rsidP="000A5389">
            <w:pPr>
              <w:spacing w:line="240" w:lineRule="auto"/>
              <w:rPr>
                <w:rFonts w:cs="Times New Roman"/>
              </w:rPr>
            </w:pPr>
          </w:p>
        </w:tc>
        <w:tc>
          <w:tcPr>
            <w:tcW w:w="231" w:type="pct"/>
            <w:tcBorders>
              <w:top w:val="single" w:sz="8" w:space="0" w:color="auto"/>
              <w:left w:val="nil"/>
              <w:bottom w:val="single" w:sz="4" w:space="0" w:color="auto"/>
              <w:right w:val="nil"/>
            </w:tcBorders>
            <w:vAlign w:val="center"/>
          </w:tcPr>
          <w:p w14:paraId="37765DB1" w14:textId="31681A36" w:rsidR="68B7379A" w:rsidRPr="00951AB1" w:rsidRDefault="68B7379A" w:rsidP="000A5389">
            <w:pPr>
              <w:spacing w:line="240" w:lineRule="auto"/>
              <w:rPr>
                <w:rFonts w:cs="Times New Roman"/>
              </w:rPr>
            </w:pPr>
          </w:p>
        </w:tc>
        <w:tc>
          <w:tcPr>
            <w:tcW w:w="231" w:type="pct"/>
            <w:tcBorders>
              <w:top w:val="single" w:sz="8" w:space="0" w:color="auto"/>
              <w:left w:val="nil"/>
              <w:bottom w:val="single" w:sz="4" w:space="0" w:color="auto"/>
              <w:right w:val="nil"/>
            </w:tcBorders>
            <w:vAlign w:val="center"/>
          </w:tcPr>
          <w:p w14:paraId="7D42AAE3" w14:textId="610AD3DC" w:rsidR="68B7379A" w:rsidRPr="00951AB1" w:rsidRDefault="68B7379A" w:rsidP="000A5389">
            <w:pPr>
              <w:spacing w:line="240" w:lineRule="auto"/>
              <w:rPr>
                <w:rFonts w:cs="Times New Roman"/>
              </w:rPr>
            </w:pPr>
          </w:p>
        </w:tc>
        <w:tc>
          <w:tcPr>
            <w:tcW w:w="231" w:type="pct"/>
            <w:tcBorders>
              <w:top w:val="single" w:sz="8" w:space="0" w:color="auto"/>
              <w:left w:val="nil"/>
              <w:bottom w:val="single" w:sz="4" w:space="0" w:color="auto"/>
              <w:right w:val="nil"/>
            </w:tcBorders>
            <w:vAlign w:val="center"/>
          </w:tcPr>
          <w:p w14:paraId="2462332E" w14:textId="2ACCD9DA" w:rsidR="68B7379A" w:rsidRPr="00951AB1" w:rsidRDefault="68B7379A" w:rsidP="000A5389">
            <w:pPr>
              <w:spacing w:line="240" w:lineRule="auto"/>
              <w:rPr>
                <w:rFonts w:cs="Times New Roman"/>
              </w:rPr>
            </w:pPr>
          </w:p>
        </w:tc>
        <w:tc>
          <w:tcPr>
            <w:tcW w:w="231" w:type="pct"/>
            <w:tcBorders>
              <w:top w:val="single" w:sz="8" w:space="0" w:color="auto"/>
              <w:left w:val="nil"/>
              <w:bottom w:val="single" w:sz="4" w:space="0" w:color="auto"/>
              <w:right w:val="nil"/>
            </w:tcBorders>
            <w:vAlign w:val="center"/>
          </w:tcPr>
          <w:p w14:paraId="66701EB8" w14:textId="6928B830" w:rsidR="68B7379A" w:rsidRPr="00951AB1" w:rsidRDefault="68B7379A" w:rsidP="000A5389">
            <w:pPr>
              <w:spacing w:line="240" w:lineRule="auto"/>
              <w:rPr>
                <w:rFonts w:cs="Times New Roman"/>
              </w:rPr>
            </w:pPr>
          </w:p>
        </w:tc>
        <w:tc>
          <w:tcPr>
            <w:tcW w:w="215" w:type="pct"/>
            <w:tcBorders>
              <w:top w:val="single" w:sz="8" w:space="0" w:color="auto"/>
              <w:left w:val="nil"/>
              <w:bottom w:val="single" w:sz="4" w:space="0" w:color="auto"/>
              <w:right w:val="nil"/>
            </w:tcBorders>
            <w:vAlign w:val="center"/>
          </w:tcPr>
          <w:p w14:paraId="7BE385FC" w14:textId="7D4C433F" w:rsidR="68B7379A" w:rsidRPr="00951AB1" w:rsidRDefault="68B7379A" w:rsidP="000A5389">
            <w:pPr>
              <w:spacing w:line="240" w:lineRule="auto"/>
              <w:rPr>
                <w:rFonts w:cs="Times New Roman"/>
              </w:rPr>
            </w:pPr>
          </w:p>
        </w:tc>
        <w:tc>
          <w:tcPr>
            <w:tcW w:w="214" w:type="pct"/>
            <w:tcBorders>
              <w:top w:val="nil"/>
              <w:left w:val="nil"/>
              <w:bottom w:val="single" w:sz="4" w:space="0" w:color="auto"/>
              <w:right w:val="nil"/>
            </w:tcBorders>
            <w:vAlign w:val="center"/>
          </w:tcPr>
          <w:p w14:paraId="05590ECB" w14:textId="0E2278AD" w:rsidR="68B7379A" w:rsidRPr="00951AB1" w:rsidRDefault="68B7379A" w:rsidP="000A5389">
            <w:pPr>
              <w:spacing w:line="240" w:lineRule="auto"/>
              <w:rPr>
                <w:rFonts w:cs="Times New Roman"/>
              </w:rPr>
            </w:pPr>
          </w:p>
        </w:tc>
        <w:tc>
          <w:tcPr>
            <w:tcW w:w="231" w:type="pct"/>
            <w:tcBorders>
              <w:top w:val="single" w:sz="8" w:space="0" w:color="auto"/>
              <w:left w:val="nil"/>
              <w:bottom w:val="single" w:sz="4" w:space="0" w:color="auto"/>
              <w:right w:val="nil"/>
            </w:tcBorders>
            <w:vAlign w:val="center"/>
          </w:tcPr>
          <w:p w14:paraId="78F8289C" w14:textId="7BF8F930" w:rsidR="68B7379A" w:rsidRPr="00951AB1" w:rsidRDefault="68B7379A" w:rsidP="000A5389">
            <w:pPr>
              <w:spacing w:line="240" w:lineRule="auto"/>
              <w:rPr>
                <w:rFonts w:cs="Times New Roman"/>
              </w:rPr>
            </w:pPr>
          </w:p>
        </w:tc>
        <w:tc>
          <w:tcPr>
            <w:tcW w:w="231" w:type="pct"/>
            <w:tcBorders>
              <w:top w:val="single" w:sz="8" w:space="0" w:color="auto"/>
              <w:left w:val="nil"/>
              <w:bottom w:val="single" w:sz="4" w:space="0" w:color="auto"/>
              <w:right w:val="nil"/>
            </w:tcBorders>
            <w:vAlign w:val="center"/>
          </w:tcPr>
          <w:p w14:paraId="15D50DC7" w14:textId="3ED78360" w:rsidR="68B7379A" w:rsidRPr="00951AB1" w:rsidRDefault="68B7379A" w:rsidP="000A5389">
            <w:pPr>
              <w:spacing w:line="240" w:lineRule="auto"/>
              <w:rPr>
                <w:rFonts w:cs="Times New Roman"/>
              </w:rPr>
            </w:pPr>
          </w:p>
        </w:tc>
        <w:tc>
          <w:tcPr>
            <w:tcW w:w="231" w:type="pct"/>
            <w:tcBorders>
              <w:top w:val="single" w:sz="8" w:space="0" w:color="auto"/>
              <w:left w:val="nil"/>
              <w:bottom w:val="single" w:sz="4" w:space="0" w:color="auto"/>
              <w:right w:val="nil"/>
            </w:tcBorders>
            <w:vAlign w:val="center"/>
          </w:tcPr>
          <w:p w14:paraId="587458E5" w14:textId="41F706E0" w:rsidR="68B7379A" w:rsidRPr="00951AB1" w:rsidRDefault="68B7379A" w:rsidP="000A5389">
            <w:pPr>
              <w:spacing w:line="240" w:lineRule="auto"/>
              <w:rPr>
                <w:rFonts w:cs="Times New Roman"/>
              </w:rPr>
            </w:pPr>
          </w:p>
        </w:tc>
        <w:tc>
          <w:tcPr>
            <w:tcW w:w="215" w:type="pct"/>
            <w:tcBorders>
              <w:top w:val="single" w:sz="8" w:space="0" w:color="auto"/>
              <w:left w:val="nil"/>
              <w:bottom w:val="single" w:sz="4" w:space="0" w:color="auto"/>
              <w:right w:val="nil"/>
            </w:tcBorders>
            <w:vAlign w:val="center"/>
          </w:tcPr>
          <w:p w14:paraId="3BEA2B5C" w14:textId="471E5561" w:rsidR="68B7379A" w:rsidRPr="00951AB1" w:rsidRDefault="68B7379A" w:rsidP="000A5389">
            <w:pPr>
              <w:spacing w:line="240" w:lineRule="auto"/>
              <w:rPr>
                <w:rFonts w:cs="Times New Roman"/>
              </w:rPr>
            </w:pPr>
          </w:p>
        </w:tc>
        <w:tc>
          <w:tcPr>
            <w:tcW w:w="214" w:type="pct"/>
            <w:tcBorders>
              <w:top w:val="nil"/>
              <w:left w:val="nil"/>
              <w:bottom w:val="single" w:sz="4" w:space="0" w:color="auto"/>
              <w:right w:val="nil"/>
            </w:tcBorders>
            <w:vAlign w:val="center"/>
          </w:tcPr>
          <w:p w14:paraId="67A558F6" w14:textId="610EED2A" w:rsidR="68B7379A" w:rsidRPr="00951AB1" w:rsidRDefault="68B7379A" w:rsidP="000A5389">
            <w:pPr>
              <w:spacing w:line="240" w:lineRule="auto"/>
              <w:rPr>
                <w:rFonts w:cs="Times New Roman"/>
              </w:rPr>
            </w:pPr>
          </w:p>
        </w:tc>
        <w:tc>
          <w:tcPr>
            <w:tcW w:w="231" w:type="pct"/>
            <w:tcBorders>
              <w:top w:val="single" w:sz="8" w:space="0" w:color="auto"/>
              <w:left w:val="nil"/>
              <w:bottom w:val="single" w:sz="4" w:space="0" w:color="auto"/>
              <w:right w:val="nil"/>
            </w:tcBorders>
            <w:vAlign w:val="center"/>
          </w:tcPr>
          <w:p w14:paraId="340078D7" w14:textId="023F28A5" w:rsidR="68B7379A" w:rsidRPr="00951AB1" w:rsidRDefault="68B7379A" w:rsidP="000A5389">
            <w:pPr>
              <w:spacing w:line="240" w:lineRule="auto"/>
              <w:rPr>
                <w:rFonts w:cs="Times New Roman"/>
              </w:rPr>
            </w:pPr>
          </w:p>
        </w:tc>
        <w:tc>
          <w:tcPr>
            <w:tcW w:w="231" w:type="pct"/>
            <w:tcBorders>
              <w:top w:val="single" w:sz="8" w:space="0" w:color="auto"/>
              <w:left w:val="nil"/>
              <w:bottom w:val="single" w:sz="4" w:space="0" w:color="auto"/>
              <w:right w:val="nil"/>
            </w:tcBorders>
            <w:vAlign w:val="center"/>
          </w:tcPr>
          <w:p w14:paraId="65376C07" w14:textId="23563945" w:rsidR="68B7379A" w:rsidRPr="00951AB1" w:rsidRDefault="68B7379A" w:rsidP="000A5389">
            <w:pPr>
              <w:spacing w:line="240" w:lineRule="auto"/>
              <w:rPr>
                <w:rFonts w:cs="Times New Roman"/>
              </w:rPr>
            </w:pPr>
          </w:p>
        </w:tc>
        <w:tc>
          <w:tcPr>
            <w:tcW w:w="232" w:type="pct"/>
            <w:tcBorders>
              <w:top w:val="single" w:sz="8" w:space="0" w:color="auto"/>
              <w:left w:val="nil"/>
              <w:bottom w:val="single" w:sz="4" w:space="0" w:color="auto"/>
              <w:right w:val="nil"/>
            </w:tcBorders>
            <w:vAlign w:val="center"/>
          </w:tcPr>
          <w:p w14:paraId="5096A9DD" w14:textId="0DD217C1" w:rsidR="68B7379A" w:rsidRPr="00951AB1" w:rsidRDefault="68B7379A" w:rsidP="000A5389">
            <w:pPr>
              <w:spacing w:line="240" w:lineRule="auto"/>
              <w:rPr>
                <w:rFonts w:cs="Times New Roman"/>
              </w:rPr>
            </w:pPr>
          </w:p>
        </w:tc>
        <w:tc>
          <w:tcPr>
            <w:tcW w:w="213" w:type="pct"/>
            <w:tcBorders>
              <w:top w:val="nil"/>
              <w:left w:val="nil"/>
              <w:bottom w:val="single" w:sz="4" w:space="0" w:color="auto"/>
              <w:right w:val="nil"/>
            </w:tcBorders>
            <w:vAlign w:val="center"/>
          </w:tcPr>
          <w:p w14:paraId="53883BB4" w14:textId="038BFEE1" w:rsidR="68B7379A" w:rsidRPr="00951AB1" w:rsidRDefault="68B7379A" w:rsidP="000A5389">
            <w:pPr>
              <w:spacing w:line="240" w:lineRule="auto"/>
              <w:rPr>
                <w:rFonts w:cs="Times New Roman"/>
              </w:rPr>
            </w:pPr>
          </w:p>
        </w:tc>
      </w:tr>
    </w:tbl>
    <w:p w14:paraId="1D402A82" w14:textId="77777777" w:rsidR="00512B77" w:rsidRDefault="00512B77" w:rsidP="000A5389">
      <w:pPr>
        <w:spacing w:line="240" w:lineRule="auto"/>
      </w:pPr>
    </w:p>
    <w:p w14:paraId="1169056E" w14:textId="0E3B8A95" w:rsidR="10A7ADE9" w:rsidRDefault="10A7ADE9" w:rsidP="000A5389">
      <w:pPr>
        <w:spacing w:line="240" w:lineRule="auto"/>
      </w:pPr>
      <w:r w:rsidRPr="00951AB1">
        <w:t xml:space="preserve">Finalizando el año 2025 la Agencia realizó la </w:t>
      </w:r>
      <w:r w:rsidRPr="00951AB1">
        <w:rPr>
          <w:b/>
          <w:bCs/>
        </w:rPr>
        <w:t>identificación y categorización de Activos</w:t>
      </w:r>
      <w:r w:rsidRPr="00951AB1">
        <w:t xml:space="preserve"> para el modo carretero, los cuales se integran por cinco grupos que permiten a la Agencia organizar la información financiera y técnica, facilitando el cálculo de la depreciación y la gestión del ciclo de vida de la infraestructura. Los grupos son: </w:t>
      </w:r>
    </w:p>
    <w:p w14:paraId="73460F35" w14:textId="77777777" w:rsidR="008B200F" w:rsidRPr="00951AB1" w:rsidRDefault="008B200F" w:rsidP="000A5389">
      <w:pPr>
        <w:spacing w:line="240" w:lineRule="auto"/>
      </w:pPr>
    </w:p>
    <w:p w14:paraId="78BE643B" w14:textId="318F57D2" w:rsidR="10A7ADE9" w:rsidRDefault="10A7ADE9" w:rsidP="000A5389">
      <w:pPr>
        <w:spacing w:line="240" w:lineRule="auto"/>
      </w:pPr>
      <w:r w:rsidRPr="00951AB1">
        <w:t>Grupo 1- Vías a Cielo Abierto, este grupo comprende los elementos fundamentales de la superficie de rodadura y sus componentes laterales. Incluye: Calzadas y Bermas; Separadores, Cunetas y Drenajes; Defensas viales, Luminarias y Señales Verticales; Taludes / Obras de estabilización, Zanjas de corona y Demarcación; y Ciclo rutas, Pasos de fauna, Glorietas / Intersecciones y Rampas de frenado.</w:t>
      </w:r>
    </w:p>
    <w:p w14:paraId="7750085F" w14:textId="77777777" w:rsidR="008B200F" w:rsidRPr="00951AB1" w:rsidRDefault="008B200F" w:rsidP="000A5389">
      <w:pPr>
        <w:spacing w:line="240" w:lineRule="auto"/>
      </w:pPr>
    </w:p>
    <w:p w14:paraId="1C368C58" w14:textId="5A3E349F" w:rsidR="10A7ADE9" w:rsidRDefault="10A7ADE9" w:rsidP="000A5389">
      <w:pPr>
        <w:spacing w:line="240" w:lineRule="auto"/>
      </w:pPr>
      <w:r w:rsidRPr="00951AB1">
        <w:t>Grupo 2 – Viaductos, se agrupa las estructuras elevadas necesarias para la continuidad de la vía. Incluye: Puentes; y Muros (estructuras de contención relacionadas).</w:t>
      </w:r>
    </w:p>
    <w:p w14:paraId="1418D3B2" w14:textId="77777777" w:rsidR="008B200F" w:rsidRPr="00951AB1" w:rsidRDefault="008B200F" w:rsidP="000A5389">
      <w:pPr>
        <w:spacing w:line="240" w:lineRule="auto"/>
      </w:pPr>
    </w:p>
    <w:p w14:paraId="1BF9125D" w14:textId="51107DDF" w:rsidR="10A7ADE9" w:rsidRDefault="10A7ADE9" w:rsidP="000A5389">
      <w:pPr>
        <w:spacing w:line="240" w:lineRule="auto"/>
      </w:pPr>
      <w:r w:rsidRPr="00951AB1">
        <w:t>Grupo 3 – Túneles, comprende las estructuras subterráneas y los sistemas necesarios para su operación. Incluye: Túneles; Sistemas Inteligentes de Transporte (ITS); y otros elementos de instrumentación.</w:t>
      </w:r>
    </w:p>
    <w:p w14:paraId="39F2BAD1" w14:textId="77777777" w:rsidR="008B200F" w:rsidRPr="00951AB1" w:rsidRDefault="008B200F" w:rsidP="000A5389">
      <w:pPr>
        <w:spacing w:line="240" w:lineRule="auto"/>
      </w:pPr>
    </w:p>
    <w:p w14:paraId="61433E70" w14:textId="57E46BE8" w:rsidR="10A7ADE9" w:rsidRDefault="10A7ADE9" w:rsidP="000A5389">
      <w:pPr>
        <w:spacing w:line="240" w:lineRule="auto"/>
      </w:pPr>
      <w:r w:rsidRPr="00951AB1">
        <w:t>Grupo 4 – Predios, se refiere a las áreas de terreno necesarias para la infraestructura. Incluye: Predios; y Cercados.</w:t>
      </w:r>
    </w:p>
    <w:p w14:paraId="028EED98" w14:textId="77777777" w:rsidR="008B200F" w:rsidRPr="00951AB1" w:rsidRDefault="008B200F" w:rsidP="000A5389">
      <w:pPr>
        <w:spacing w:line="240" w:lineRule="auto"/>
      </w:pPr>
    </w:p>
    <w:p w14:paraId="608FE1B7" w14:textId="1F20C974" w:rsidR="10A7ADE9" w:rsidRPr="00951AB1" w:rsidRDefault="10A7ADE9" w:rsidP="000A5389">
      <w:pPr>
        <w:spacing w:line="240" w:lineRule="auto"/>
      </w:pPr>
      <w:r w:rsidRPr="00951AB1">
        <w:t>Grupo 5 – Edificaciones, contiene las construcciones destinadas a la operación, control y servicios del proyecto. Incluye: Estaciones de peaje y Estaciones de pesaje; Centros de Control de Operaciones (CCO); y Zonas de servicio.</w:t>
      </w:r>
    </w:p>
    <w:p w14:paraId="131BCF27" w14:textId="416A8ED7" w:rsidR="10A7ADE9" w:rsidRPr="00951AB1" w:rsidRDefault="10A7ADE9" w:rsidP="000A5389">
      <w:pPr>
        <w:spacing w:line="240" w:lineRule="auto"/>
        <w:rPr>
          <w:rFonts w:cs="Times New Roman"/>
        </w:rPr>
      </w:pPr>
      <w:r w:rsidRPr="00951AB1">
        <w:rPr>
          <w:rFonts w:eastAsia="Times New Roman" w:cs="Times New Roman"/>
          <w:szCs w:val="24"/>
        </w:rPr>
        <w:t xml:space="preserve"> </w:t>
      </w:r>
    </w:p>
    <w:p w14:paraId="1939E89C" w14:textId="71FACFAD" w:rsidR="10A7ADE9" w:rsidRPr="00951AB1" w:rsidRDefault="10A7ADE9" w:rsidP="000A5389">
      <w:pPr>
        <w:spacing w:line="240" w:lineRule="auto"/>
        <w:rPr>
          <w:rFonts w:cs="Times New Roman"/>
        </w:rPr>
      </w:pPr>
      <w:r w:rsidRPr="00951AB1">
        <w:rPr>
          <w:rFonts w:eastAsia="Times New Roman" w:cs="Times New Roman"/>
          <w:szCs w:val="24"/>
        </w:rPr>
        <w:t xml:space="preserve">Se definió la </w:t>
      </w:r>
      <w:r w:rsidRPr="00951AB1">
        <w:rPr>
          <w:rFonts w:eastAsia="Times New Roman" w:cs="Times New Roman"/>
          <w:b/>
          <w:bCs/>
          <w:szCs w:val="24"/>
        </w:rPr>
        <w:t>vida útil y vida económica</w:t>
      </w:r>
      <w:r w:rsidRPr="00951AB1">
        <w:rPr>
          <w:rFonts w:eastAsia="Times New Roman" w:cs="Times New Roman"/>
          <w:szCs w:val="24"/>
        </w:rPr>
        <w:t xml:space="preserve"> para los Bienes de Uso Público – BUP del modo carretero en las categorías previamente definidas: Los túneles tienen la mayor vida útil con 100 años; seguidos por los viaductos construidos bajo la Norma CCP-14 con 75 años de vida útil. Los viaductos más recientes bajo el Código CCP-95 tienen una vida útil de 50 años. Las vías a cielo abierto presentan la menor durabilidad con apenas 15 años de vida útil, reflejando su mayor exposición a factores climáticos y de desgaste. Las edificaciones tienen una vida útil intermedia de 45 años. Finalmente, los predios (terrenos) se consideran con vida útil indeterminada, reconociendo que los terrenos no pierden valor por el paso del tiempo, sino que, por el contrario, tienden a apreciarse. </w:t>
      </w:r>
    </w:p>
    <w:p w14:paraId="2CFAC1EF" w14:textId="3F43E610" w:rsidR="10A7ADE9" w:rsidRDefault="10A7ADE9" w:rsidP="000A5389">
      <w:pPr>
        <w:spacing w:line="240" w:lineRule="auto"/>
        <w:rPr>
          <w:rFonts w:eastAsia="Times New Roman" w:cs="Times New Roman"/>
          <w:szCs w:val="24"/>
        </w:rPr>
      </w:pPr>
      <w:r w:rsidRPr="00951AB1">
        <w:rPr>
          <w:rFonts w:eastAsia="Times New Roman" w:cs="Times New Roman"/>
          <w:szCs w:val="24"/>
        </w:rPr>
        <w:lastRenderedPageBreak/>
        <w:t xml:space="preserve"> El </w:t>
      </w:r>
      <w:r w:rsidRPr="00951AB1">
        <w:rPr>
          <w:rFonts w:eastAsia="Times New Roman" w:cs="Times New Roman"/>
          <w:b/>
          <w:bCs/>
          <w:szCs w:val="24"/>
        </w:rPr>
        <w:t xml:space="preserve">inventario de activos carreteros </w:t>
      </w:r>
      <w:r w:rsidR="008B200F" w:rsidRPr="00951AB1">
        <w:rPr>
          <w:rFonts w:eastAsia="Times New Roman" w:cs="Times New Roman"/>
          <w:b/>
          <w:bCs/>
          <w:szCs w:val="24"/>
        </w:rPr>
        <w:t>georreferenciado</w:t>
      </w:r>
      <w:r w:rsidRPr="00951AB1">
        <w:rPr>
          <w:rFonts w:eastAsia="Times New Roman" w:cs="Times New Roman"/>
          <w:szCs w:val="24"/>
        </w:rPr>
        <w:t xml:space="preserve"> se realizó en los proyectos activos de este modo en su totalidad para los elementos más representativos que son: Calzada, Berna, y Separador los cuales están en trámites de ser publicados para consulta en los servidores de la Agencia.</w:t>
      </w:r>
    </w:p>
    <w:p w14:paraId="223409C4" w14:textId="77777777" w:rsidR="008B200F" w:rsidRPr="00951AB1" w:rsidRDefault="008B200F" w:rsidP="000A5389">
      <w:pPr>
        <w:spacing w:line="240" w:lineRule="auto"/>
        <w:rPr>
          <w:rFonts w:cs="Times New Roman"/>
        </w:rPr>
      </w:pPr>
    </w:p>
    <w:tbl>
      <w:tblPr>
        <w:tblW w:w="5000" w:type="pct"/>
        <w:tbl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insideH w:val="single" w:sz="2" w:space="0" w:color="A6A6A6" w:themeColor="background1" w:themeShade="A6"/>
          <w:insideV w:val="single" w:sz="2" w:space="0" w:color="A6A6A6" w:themeColor="background1" w:themeShade="A6"/>
        </w:tblBorders>
        <w:tblLook w:val="04A0" w:firstRow="1" w:lastRow="0" w:firstColumn="1" w:lastColumn="0" w:noHBand="0" w:noVBand="1"/>
      </w:tblPr>
      <w:tblGrid>
        <w:gridCol w:w="4891"/>
        <w:gridCol w:w="3941"/>
      </w:tblGrid>
      <w:tr w:rsidR="68B7379A" w:rsidRPr="008B200F" w14:paraId="5AF6AA66" w14:textId="77777777" w:rsidTr="00F65E08">
        <w:trPr>
          <w:trHeight w:val="545"/>
        </w:trPr>
        <w:tc>
          <w:tcPr>
            <w:tcW w:w="2769" w:type="pct"/>
            <w:tcMar>
              <w:top w:w="15" w:type="dxa"/>
              <w:left w:w="15" w:type="dxa"/>
              <w:bottom w:w="15" w:type="dxa"/>
              <w:right w:w="15" w:type="dxa"/>
            </w:tcMar>
            <w:vAlign w:val="center"/>
          </w:tcPr>
          <w:p w14:paraId="703A5382" w14:textId="70DFE1FB" w:rsidR="68B7379A" w:rsidRPr="008B200F" w:rsidRDefault="68B7379A" w:rsidP="000A5389">
            <w:pPr>
              <w:spacing w:line="240" w:lineRule="auto"/>
              <w:jc w:val="center"/>
              <w:rPr>
                <w:rFonts w:cs="Times New Roman"/>
                <w:b/>
                <w:bCs/>
                <w:szCs w:val="24"/>
              </w:rPr>
            </w:pPr>
            <w:r w:rsidRPr="008B200F">
              <w:rPr>
                <w:rFonts w:eastAsia="Times New Roman" w:cs="Times New Roman"/>
                <w:b/>
                <w:bCs/>
                <w:szCs w:val="24"/>
              </w:rPr>
              <w:t>Elemento</w:t>
            </w:r>
          </w:p>
        </w:tc>
        <w:tc>
          <w:tcPr>
            <w:tcW w:w="2231" w:type="pct"/>
            <w:tcMar>
              <w:top w:w="15" w:type="dxa"/>
              <w:left w:w="15" w:type="dxa"/>
              <w:bottom w:w="15" w:type="dxa"/>
              <w:right w:w="15" w:type="dxa"/>
            </w:tcMar>
            <w:vAlign w:val="center"/>
          </w:tcPr>
          <w:p w14:paraId="28182C93" w14:textId="151B3220" w:rsidR="68B7379A" w:rsidRPr="008B200F" w:rsidRDefault="00F65E08" w:rsidP="000A5389">
            <w:pPr>
              <w:spacing w:line="240" w:lineRule="auto"/>
              <w:jc w:val="center"/>
              <w:rPr>
                <w:rFonts w:cs="Times New Roman"/>
                <w:b/>
                <w:bCs/>
                <w:szCs w:val="24"/>
              </w:rPr>
            </w:pPr>
            <w:r w:rsidRPr="008B200F">
              <w:rPr>
                <w:rFonts w:cs="Times New Roman"/>
                <w:b/>
                <w:bCs/>
                <w:szCs w:val="24"/>
              </w:rPr>
              <w:t>Elementos inventariados y georreferenciados</w:t>
            </w:r>
          </w:p>
        </w:tc>
      </w:tr>
      <w:tr w:rsidR="68B7379A" w:rsidRPr="008B200F" w14:paraId="169C72A8" w14:textId="77777777" w:rsidTr="00F65E08">
        <w:trPr>
          <w:trHeight w:val="240"/>
        </w:trPr>
        <w:tc>
          <w:tcPr>
            <w:tcW w:w="2769" w:type="pct"/>
            <w:tcMar>
              <w:top w:w="15" w:type="dxa"/>
              <w:left w:w="15" w:type="dxa"/>
              <w:bottom w:w="15" w:type="dxa"/>
              <w:right w:w="15" w:type="dxa"/>
            </w:tcMar>
            <w:vAlign w:val="center"/>
          </w:tcPr>
          <w:p w14:paraId="60CFC813" w14:textId="7DD2D1D1" w:rsidR="68B7379A" w:rsidRPr="008B200F" w:rsidRDefault="68B7379A" w:rsidP="000A5389">
            <w:pPr>
              <w:spacing w:line="240" w:lineRule="auto"/>
              <w:jc w:val="center"/>
              <w:rPr>
                <w:rFonts w:cs="Times New Roman"/>
                <w:szCs w:val="24"/>
              </w:rPr>
            </w:pPr>
            <w:r w:rsidRPr="008B200F">
              <w:rPr>
                <w:rFonts w:eastAsia="Times New Roman" w:cs="Times New Roman"/>
                <w:szCs w:val="24"/>
              </w:rPr>
              <w:t>Berma</w:t>
            </w:r>
          </w:p>
        </w:tc>
        <w:tc>
          <w:tcPr>
            <w:tcW w:w="2231" w:type="pct"/>
            <w:tcMar>
              <w:top w:w="15" w:type="dxa"/>
              <w:left w:w="15" w:type="dxa"/>
              <w:bottom w:w="15" w:type="dxa"/>
              <w:right w:w="15" w:type="dxa"/>
            </w:tcMar>
            <w:vAlign w:val="center"/>
          </w:tcPr>
          <w:p w14:paraId="4994230D" w14:textId="7FC26D41" w:rsidR="68B7379A" w:rsidRPr="008B200F" w:rsidRDefault="68B7379A" w:rsidP="000A5389">
            <w:pPr>
              <w:spacing w:line="240" w:lineRule="auto"/>
              <w:jc w:val="center"/>
              <w:rPr>
                <w:rFonts w:cs="Times New Roman"/>
                <w:szCs w:val="24"/>
              </w:rPr>
            </w:pPr>
            <w:r w:rsidRPr="008B200F">
              <w:rPr>
                <w:rFonts w:eastAsia="Times New Roman" w:cs="Times New Roman"/>
                <w:szCs w:val="24"/>
              </w:rPr>
              <w:t>19.770</w:t>
            </w:r>
          </w:p>
        </w:tc>
      </w:tr>
      <w:tr w:rsidR="68B7379A" w:rsidRPr="008B200F" w14:paraId="3893EF0E" w14:textId="77777777" w:rsidTr="00F65E08">
        <w:trPr>
          <w:trHeight w:val="225"/>
        </w:trPr>
        <w:tc>
          <w:tcPr>
            <w:tcW w:w="2769" w:type="pct"/>
            <w:tcMar>
              <w:top w:w="15" w:type="dxa"/>
              <w:left w:w="15" w:type="dxa"/>
              <w:bottom w:w="15" w:type="dxa"/>
              <w:right w:w="15" w:type="dxa"/>
            </w:tcMar>
            <w:vAlign w:val="center"/>
          </w:tcPr>
          <w:p w14:paraId="6D0EC976" w14:textId="6774C6B8" w:rsidR="68B7379A" w:rsidRPr="008B200F" w:rsidRDefault="68B7379A" w:rsidP="000A5389">
            <w:pPr>
              <w:spacing w:line="240" w:lineRule="auto"/>
              <w:jc w:val="center"/>
              <w:rPr>
                <w:rFonts w:cs="Times New Roman"/>
                <w:szCs w:val="24"/>
              </w:rPr>
            </w:pPr>
            <w:r w:rsidRPr="008B200F">
              <w:rPr>
                <w:rFonts w:eastAsia="Times New Roman" w:cs="Times New Roman"/>
                <w:szCs w:val="24"/>
              </w:rPr>
              <w:t>Calzada</w:t>
            </w:r>
          </w:p>
        </w:tc>
        <w:tc>
          <w:tcPr>
            <w:tcW w:w="2231" w:type="pct"/>
            <w:tcMar>
              <w:top w:w="15" w:type="dxa"/>
              <w:left w:w="15" w:type="dxa"/>
              <w:bottom w:w="15" w:type="dxa"/>
              <w:right w:w="15" w:type="dxa"/>
            </w:tcMar>
            <w:vAlign w:val="center"/>
          </w:tcPr>
          <w:p w14:paraId="5E6A8690" w14:textId="2E484C0A" w:rsidR="68B7379A" w:rsidRPr="008B200F" w:rsidRDefault="68B7379A" w:rsidP="000A5389">
            <w:pPr>
              <w:spacing w:line="240" w:lineRule="auto"/>
              <w:jc w:val="center"/>
              <w:rPr>
                <w:rFonts w:cs="Times New Roman"/>
                <w:szCs w:val="24"/>
              </w:rPr>
            </w:pPr>
            <w:r w:rsidRPr="008B200F">
              <w:rPr>
                <w:rFonts w:eastAsia="Times New Roman" w:cs="Times New Roman"/>
                <w:szCs w:val="24"/>
              </w:rPr>
              <w:t>9.055</w:t>
            </w:r>
          </w:p>
        </w:tc>
      </w:tr>
      <w:tr w:rsidR="68B7379A" w:rsidRPr="008B200F" w14:paraId="1F650907" w14:textId="77777777" w:rsidTr="00F65E08">
        <w:trPr>
          <w:trHeight w:val="225"/>
        </w:trPr>
        <w:tc>
          <w:tcPr>
            <w:tcW w:w="2769" w:type="pct"/>
            <w:tcMar>
              <w:top w:w="15" w:type="dxa"/>
              <w:left w:w="15" w:type="dxa"/>
              <w:bottom w:w="15" w:type="dxa"/>
              <w:right w:w="15" w:type="dxa"/>
            </w:tcMar>
            <w:vAlign w:val="center"/>
          </w:tcPr>
          <w:p w14:paraId="19C26A45" w14:textId="5F8E09B5" w:rsidR="68B7379A" w:rsidRPr="008B200F" w:rsidRDefault="68B7379A" w:rsidP="000A5389">
            <w:pPr>
              <w:spacing w:line="240" w:lineRule="auto"/>
              <w:jc w:val="center"/>
              <w:rPr>
                <w:rFonts w:cs="Times New Roman"/>
                <w:szCs w:val="24"/>
              </w:rPr>
            </w:pPr>
            <w:r w:rsidRPr="008B200F">
              <w:rPr>
                <w:rFonts w:eastAsia="Times New Roman" w:cs="Times New Roman"/>
                <w:szCs w:val="24"/>
              </w:rPr>
              <w:t>CCO</w:t>
            </w:r>
          </w:p>
        </w:tc>
        <w:tc>
          <w:tcPr>
            <w:tcW w:w="2231" w:type="pct"/>
            <w:tcMar>
              <w:top w:w="15" w:type="dxa"/>
              <w:left w:w="15" w:type="dxa"/>
              <w:bottom w:w="15" w:type="dxa"/>
              <w:right w:w="15" w:type="dxa"/>
            </w:tcMar>
            <w:vAlign w:val="center"/>
          </w:tcPr>
          <w:p w14:paraId="4E68498F" w14:textId="133BDE0F" w:rsidR="68B7379A" w:rsidRPr="008B200F" w:rsidRDefault="68B7379A" w:rsidP="000A5389">
            <w:pPr>
              <w:spacing w:line="240" w:lineRule="auto"/>
              <w:jc w:val="center"/>
              <w:rPr>
                <w:rFonts w:cs="Times New Roman"/>
                <w:szCs w:val="24"/>
              </w:rPr>
            </w:pPr>
            <w:r w:rsidRPr="008B200F">
              <w:rPr>
                <w:rFonts w:eastAsia="Times New Roman" w:cs="Times New Roman"/>
                <w:szCs w:val="24"/>
              </w:rPr>
              <w:t>2</w:t>
            </w:r>
          </w:p>
        </w:tc>
      </w:tr>
      <w:tr w:rsidR="68B7379A" w:rsidRPr="008B200F" w14:paraId="434875C9" w14:textId="77777777" w:rsidTr="00F65E08">
        <w:trPr>
          <w:trHeight w:val="240"/>
        </w:trPr>
        <w:tc>
          <w:tcPr>
            <w:tcW w:w="2769" w:type="pct"/>
            <w:tcMar>
              <w:top w:w="15" w:type="dxa"/>
              <w:left w:w="15" w:type="dxa"/>
              <w:bottom w:w="15" w:type="dxa"/>
              <w:right w:w="15" w:type="dxa"/>
            </w:tcMar>
            <w:vAlign w:val="center"/>
          </w:tcPr>
          <w:p w14:paraId="2609647A" w14:textId="12817077" w:rsidR="68B7379A" w:rsidRPr="008B200F" w:rsidRDefault="68B7379A" w:rsidP="000A5389">
            <w:pPr>
              <w:spacing w:line="240" w:lineRule="auto"/>
              <w:jc w:val="center"/>
              <w:rPr>
                <w:rFonts w:cs="Times New Roman"/>
                <w:szCs w:val="24"/>
              </w:rPr>
            </w:pPr>
            <w:r w:rsidRPr="008B200F">
              <w:rPr>
                <w:rFonts w:eastAsia="Times New Roman" w:cs="Times New Roman"/>
                <w:szCs w:val="24"/>
              </w:rPr>
              <w:t>Ciclorruta</w:t>
            </w:r>
          </w:p>
        </w:tc>
        <w:tc>
          <w:tcPr>
            <w:tcW w:w="2231" w:type="pct"/>
            <w:tcMar>
              <w:top w:w="15" w:type="dxa"/>
              <w:left w:w="15" w:type="dxa"/>
              <w:bottom w:w="15" w:type="dxa"/>
              <w:right w:w="15" w:type="dxa"/>
            </w:tcMar>
            <w:vAlign w:val="center"/>
          </w:tcPr>
          <w:p w14:paraId="72483428" w14:textId="1BB11D75" w:rsidR="68B7379A" w:rsidRPr="008B200F" w:rsidRDefault="68B7379A" w:rsidP="000A5389">
            <w:pPr>
              <w:spacing w:line="240" w:lineRule="auto"/>
              <w:jc w:val="center"/>
              <w:rPr>
                <w:rFonts w:cs="Times New Roman"/>
                <w:szCs w:val="24"/>
              </w:rPr>
            </w:pPr>
            <w:r w:rsidRPr="008B200F">
              <w:rPr>
                <w:rFonts w:eastAsia="Times New Roman" w:cs="Times New Roman"/>
                <w:szCs w:val="24"/>
              </w:rPr>
              <w:t>87</w:t>
            </w:r>
          </w:p>
        </w:tc>
      </w:tr>
      <w:tr w:rsidR="68B7379A" w:rsidRPr="008B200F" w14:paraId="7344CC5E" w14:textId="77777777" w:rsidTr="00F65E08">
        <w:trPr>
          <w:trHeight w:val="225"/>
        </w:trPr>
        <w:tc>
          <w:tcPr>
            <w:tcW w:w="2769" w:type="pct"/>
            <w:tcMar>
              <w:top w:w="15" w:type="dxa"/>
              <w:left w:w="15" w:type="dxa"/>
              <w:bottom w:w="15" w:type="dxa"/>
              <w:right w:w="15" w:type="dxa"/>
            </w:tcMar>
            <w:vAlign w:val="center"/>
          </w:tcPr>
          <w:p w14:paraId="4AFE4CE4" w14:textId="4D083487" w:rsidR="68B7379A" w:rsidRPr="008B200F" w:rsidRDefault="68B7379A" w:rsidP="000A5389">
            <w:pPr>
              <w:spacing w:line="240" w:lineRule="auto"/>
              <w:jc w:val="center"/>
              <w:rPr>
                <w:rFonts w:cs="Times New Roman"/>
                <w:szCs w:val="24"/>
              </w:rPr>
            </w:pPr>
            <w:r w:rsidRPr="008B200F">
              <w:rPr>
                <w:rFonts w:eastAsia="Times New Roman" w:cs="Times New Roman"/>
                <w:szCs w:val="24"/>
              </w:rPr>
              <w:t>Cunetas</w:t>
            </w:r>
          </w:p>
        </w:tc>
        <w:tc>
          <w:tcPr>
            <w:tcW w:w="2231" w:type="pct"/>
            <w:tcMar>
              <w:top w:w="15" w:type="dxa"/>
              <w:left w:w="15" w:type="dxa"/>
              <w:bottom w:w="15" w:type="dxa"/>
              <w:right w:w="15" w:type="dxa"/>
            </w:tcMar>
            <w:vAlign w:val="center"/>
          </w:tcPr>
          <w:p w14:paraId="33550942" w14:textId="264965FC" w:rsidR="68B7379A" w:rsidRPr="008B200F" w:rsidRDefault="68B7379A" w:rsidP="000A5389">
            <w:pPr>
              <w:spacing w:line="240" w:lineRule="auto"/>
              <w:jc w:val="center"/>
              <w:rPr>
                <w:rFonts w:cs="Times New Roman"/>
                <w:szCs w:val="24"/>
              </w:rPr>
            </w:pPr>
            <w:r w:rsidRPr="008B200F">
              <w:rPr>
                <w:rFonts w:eastAsia="Times New Roman" w:cs="Times New Roman"/>
                <w:szCs w:val="24"/>
              </w:rPr>
              <w:t>5.613</w:t>
            </w:r>
          </w:p>
        </w:tc>
      </w:tr>
      <w:tr w:rsidR="68B7379A" w:rsidRPr="008B200F" w14:paraId="1680CE35" w14:textId="77777777" w:rsidTr="00F65E08">
        <w:trPr>
          <w:trHeight w:val="225"/>
        </w:trPr>
        <w:tc>
          <w:tcPr>
            <w:tcW w:w="2769" w:type="pct"/>
            <w:tcMar>
              <w:top w:w="15" w:type="dxa"/>
              <w:left w:w="15" w:type="dxa"/>
              <w:bottom w:w="15" w:type="dxa"/>
              <w:right w:w="15" w:type="dxa"/>
            </w:tcMar>
            <w:vAlign w:val="center"/>
          </w:tcPr>
          <w:p w14:paraId="2D9B11E6" w14:textId="75DE2F62" w:rsidR="68B7379A" w:rsidRPr="008B200F" w:rsidRDefault="68B7379A" w:rsidP="000A5389">
            <w:pPr>
              <w:spacing w:line="240" w:lineRule="auto"/>
              <w:jc w:val="center"/>
              <w:rPr>
                <w:rFonts w:cs="Times New Roman"/>
                <w:szCs w:val="24"/>
              </w:rPr>
            </w:pPr>
            <w:r w:rsidRPr="008B200F">
              <w:rPr>
                <w:rFonts w:eastAsia="Times New Roman" w:cs="Times New Roman"/>
                <w:szCs w:val="24"/>
              </w:rPr>
              <w:t>Defensa Vial</w:t>
            </w:r>
          </w:p>
        </w:tc>
        <w:tc>
          <w:tcPr>
            <w:tcW w:w="2231" w:type="pct"/>
            <w:tcMar>
              <w:top w:w="15" w:type="dxa"/>
              <w:left w:w="15" w:type="dxa"/>
              <w:bottom w:w="15" w:type="dxa"/>
              <w:right w:w="15" w:type="dxa"/>
            </w:tcMar>
            <w:vAlign w:val="center"/>
          </w:tcPr>
          <w:p w14:paraId="01236C2B" w14:textId="1B095296" w:rsidR="68B7379A" w:rsidRPr="008B200F" w:rsidRDefault="68B7379A" w:rsidP="000A5389">
            <w:pPr>
              <w:spacing w:line="240" w:lineRule="auto"/>
              <w:jc w:val="center"/>
              <w:rPr>
                <w:rFonts w:cs="Times New Roman"/>
                <w:szCs w:val="24"/>
              </w:rPr>
            </w:pPr>
            <w:r w:rsidRPr="008B200F">
              <w:rPr>
                <w:rFonts w:eastAsia="Times New Roman" w:cs="Times New Roman"/>
                <w:szCs w:val="24"/>
              </w:rPr>
              <w:t>862</w:t>
            </w:r>
          </w:p>
        </w:tc>
      </w:tr>
      <w:tr w:rsidR="68B7379A" w:rsidRPr="008B200F" w14:paraId="381D951E" w14:textId="77777777" w:rsidTr="00F65E08">
        <w:trPr>
          <w:trHeight w:val="240"/>
        </w:trPr>
        <w:tc>
          <w:tcPr>
            <w:tcW w:w="2769" w:type="pct"/>
            <w:tcMar>
              <w:top w:w="15" w:type="dxa"/>
              <w:left w:w="15" w:type="dxa"/>
              <w:bottom w:w="15" w:type="dxa"/>
              <w:right w:w="15" w:type="dxa"/>
            </w:tcMar>
            <w:vAlign w:val="center"/>
          </w:tcPr>
          <w:p w14:paraId="00D40372" w14:textId="736DAB2B" w:rsidR="68B7379A" w:rsidRPr="008B200F" w:rsidRDefault="68B7379A" w:rsidP="000A5389">
            <w:pPr>
              <w:spacing w:line="240" w:lineRule="auto"/>
              <w:jc w:val="center"/>
              <w:rPr>
                <w:rFonts w:cs="Times New Roman"/>
                <w:szCs w:val="24"/>
              </w:rPr>
            </w:pPr>
            <w:r w:rsidRPr="008B200F">
              <w:rPr>
                <w:rFonts w:eastAsia="Times New Roman" w:cs="Times New Roman"/>
                <w:szCs w:val="24"/>
              </w:rPr>
              <w:t>Dispositivo ITS</w:t>
            </w:r>
          </w:p>
        </w:tc>
        <w:tc>
          <w:tcPr>
            <w:tcW w:w="2231" w:type="pct"/>
            <w:tcMar>
              <w:top w:w="15" w:type="dxa"/>
              <w:left w:w="15" w:type="dxa"/>
              <w:bottom w:w="15" w:type="dxa"/>
              <w:right w:w="15" w:type="dxa"/>
            </w:tcMar>
            <w:vAlign w:val="center"/>
          </w:tcPr>
          <w:p w14:paraId="14175009" w14:textId="7B23F988" w:rsidR="68B7379A" w:rsidRPr="008B200F" w:rsidRDefault="68B7379A" w:rsidP="000A5389">
            <w:pPr>
              <w:spacing w:line="240" w:lineRule="auto"/>
              <w:jc w:val="center"/>
              <w:rPr>
                <w:rFonts w:cs="Times New Roman"/>
                <w:szCs w:val="24"/>
              </w:rPr>
            </w:pPr>
            <w:r w:rsidRPr="008B200F">
              <w:rPr>
                <w:rFonts w:eastAsia="Times New Roman" w:cs="Times New Roman"/>
                <w:szCs w:val="24"/>
              </w:rPr>
              <w:t>352</w:t>
            </w:r>
          </w:p>
        </w:tc>
      </w:tr>
      <w:tr w:rsidR="68B7379A" w:rsidRPr="008B200F" w14:paraId="553CF359" w14:textId="77777777" w:rsidTr="00F65E08">
        <w:trPr>
          <w:trHeight w:val="225"/>
        </w:trPr>
        <w:tc>
          <w:tcPr>
            <w:tcW w:w="2769" w:type="pct"/>
            <w:tcMar>
              <w:top w:w="15" w:type="dxa"/>
              <w:left w:w="15" w:type="dxa"/>
              <w:bottom w:w="15" w:type="dxa"/>
              <w:right w:w="15" w:type="dxa"/>
            </w:tcMar>
            <w:vAlign w:val="center"/>
          </w:tcPr>
          <w:p w14:paraId="53E14520" w14:textId="45019CAE" w:rsidR="68B7379A" w:rsidRPr="008B200F" w:rsidRDefault="68B7379A" w:rsidP="000A5389">
            <w:pPr>
              <w:spacing w:line="240" w:lineRule="auto"/>
              <w:jc w:val="center"/>
              <w:rPr>
                <w:rFonts w:cs="Times New Roman"/>
                <w:szCs w:val="24"/>
              </w:rPr>
            </w:pPr>
            <w:r w:rsidRPr="008B200F">
              <w:rPr>
                <w:rFonts w:eastAsia="Times New Roman" w:cs="Times New Roman"/>
                <w:szCs w:val="24"/>
              </w:rPr>
              <w:t>Estación de peaje</w:t>
            </w:r>
          </w:p>
        </w:tc>
        <w:tc>
          <w:tcPr>
            <w:tcW w:w="2231" w:type="pct"/>
            <w:tcMar>
              <w:top w:w="15" w:type="dxa"/>
              <w:left w:w="15" w:type="dxa"/>
              <w:bottom w:w="15" w:type="dxa"/>
              <w:right w:w="15" w:type="dxa"/>
            </w:tcMar>
            <w:vAlign w:val="center"/>
          </w:tcPr>
          <w:p w14:paraId="2FEBD853" w14:textId="5D75E041" w:rsidR="68B7379A" w:rsidRPr="008B200F" w:rsidRDefault="68B7379A" w:rsidP="000A5389">
            <w:pPr>
              <w:spacing w:line="240" w:lineRule="auto"/>
              <w:jc w:val="center"/>
              <w:rPr>
                <w:rFonts w:cs="Times New Roman"/>
                <w:szCs w:val="24"/>
              </w:rPr>
            </w:pPr>
            <w:r w:rsidRPr="008B200F">
              <w:rPr>
                <w:rFonts w:eastAsia="Times New Roman" w:cs="Times New Roman"/>
                <w:szCs w:val="24"/>
              </w:rPr>
              <w:t>18</w:t>
            </w:r>
          </w:p>
        </w:tc>
      </w:tr>
      <w:tr w:rsidR="68B7379A" w:rsidRPr="008B200F" w14:paraId="46840831" w14:textId="77777777" w:rsidTr="00F65E08">
        <w:trPr>
          <w:trHeight w:val="225"/>
        </w:trPr>
        <w:tc>
          <w:tcPr>
            <w:tcW w:w="2769" w:type="pct"/>
            <w:tcMar>
              <w:top w:w="15" w:type="dxa"/>
              <w:left w:w="15" w:type="dxa"/>
              <w:bottom w:w="15" w:type="dxa"/>
              <w:right w:w="15" w:type="dxa"/>
            </w:tcMar>
            <w:vAlign w:val="center"/>
          </w:tcPr>
          <w:p w14:paraId="3D72F400" w14:textId="3A13C1DD" w:rsidR="68B7379A" w:rsidRPr="008B200F" w:rsidRDefault="68B7379A" w:rsidP="000A5389">
            <w:pPr>
              <w:spacing w:line="240" w:lineRule="auto"/>
              <w:jc w:val="center"/>
              <w:rPr>
                <w:rFonts w:cs="Times New Roman"/>
                <w:szCs w:val="24"/>
              </w:rPr>
            </w:pPr>
            <w:r w:rsidRPr="008B200F">
              <w:rPr>
                <w:rFonts w:eastAsia="Times New Roman" w:cs="Times New Roman"/>
                <w:szCs w:val="24"/>
              </w:rPr>
              <w:t>Estación de pesaje</w:t>
            </w:r>
          </w:p>
        </w:tc>
        <w:tc>
          <w:tcPr>
            <w:tcW w:w="2231" w:type="pct"/>
            <w:tcMar>
              <w:top w:w="15" w:type="dxa"/>
              <w:left w:w="15" w:type="dxa"/>
              <w:bottom w:w="15" w:type="dxa"/>
              <w:right w:w="15" w:type="dxa"/>
            </w:tcMar>
            <w:vAlign w:val="center"/>
          </w:tcPr>
          <w:p w14:paraId="4537715D" w14:textId="28D1FEEC" w:rsidR="68B7379A" w:rsidRPr="008B200F" w:rsidRDefault="68B7379A" w:rsidP="000A5389">
            <w:pPr>
              <w:spacing w:line="240" w:lineRule="auto"/>
              <w:jc w:val="center"/>
              <w:rPr>
                <w:rFonts w:cs="Times New Roman"/>
                <w:szCs w:val="24"/>
              </w:rPr>
            </w:pPr>
            <w:r w:rsidRPr="008B200F">
              <w:rPr>
                <w:rFonts w:eastAsia="Times New Roman" w:cs="Times New Roman"/>
                <w:szCs w:val="24"/>
              </w:rPr>
              <w:t>13</w:t>
            </w:r>
          </w:p>
        </w:tc>
      </w:tr>
      <w:tr w:rsidR="68B7379A" w:rsidRPr="008B200F" w14:paraId="3797BF71" w14:textId="77777777" w:rsidTr="00F65E08">
        <w:trPr>
          <w:trHeight w:val="240"/>
        </w:trPr>
        <w:tc>
          <w:tcPr>
            <w:tcW w:w="2769" w:type="pct"/>
            <w:tcMar>
              <w:top w:w="15" w:type="dxa"/>
              <w:left w:w="15" w:type="dxa"/>
              <w:bottom w:w="15" w:type="dxa"/>
              <w:right w:w="15" w:type="dxa"/>
            </w:tcMar>
            <w:vAlign w:val="center"/>
          </w:tcPr>
          <w:p w14:paraId="58AB3D18" w14:textId="59A729C2" w:rsidR="68B7379A" w:rsidRPr="008B200F" w:rsidRDefault="68B7379A" w:rsidP="000A5389">
            <w:pPr>
              <w:spacing w:line="240" w:lineRule="auto"/>
              <w:jc w:val="center"/>
              <w:rPr>
                <w:rFonts w:cs="Times New Roman"/>
                <w:szCs w:val="24"/>
              </w:rPr>
            </w:pPr>
            <w:r w:rsidRPr="008B200F">
              <w:rPr>
                <w:rFonts w:eastAsia="Times New Roman" w:cs="Times New Roman"/>
                <w:szCs w:val="24"/>
              </w:rPr>
              <w:t>Luminarias</w:t>
            </w:r>
          </w:p>
        </w:tc>
        <w:tc>
          <w:tcPr>
            <w:tcW w:w="2231" w:type="pct"/>
            <w:tcMar>
              <w:top w:w="15" w:type="dxa"/>
              <w:left w:w="15" w:type="dxa"/>
              <w:bottom w:w="15" w:type="dxa"/>
              <w:right w:w="15" w:type="dxa"/>
            </w:tcMar>
            <w:vAlign w:val="center"/>
          </w:tcPr>
          <w:p w14:paraId="2CA4BAD1" w14:textId="5967414D" w:rsidR="68B7379A" w:rsidRPr="008B200F" w:rsidRDefault="68B7379A" w:rsidP="000A5389">
            <w:pPr>
              <w:spacing w:line="240" w:lineRule="auto"/>
              <w:jc w:val="center"/>
              <w:rPr>
                <w:rFonts w:cs="Times New Roman"/>
                <w:szCs w:val="24"/>
              </w:rPr>
            </w:pPr>
            <w:r w:rsidRPr="008B200F">
              <w:rPr>
                <w:rFonts w:eastAsia="Times New Roman" w:cs="Times New Roman"/>
                <w:szCs w:val="24"/>
              </w:rPr>
              <w:t>277</w:t>
            </w:r>
          </w:p>
        </w:tc>
      </w:tr>
      <w:tr w:rsidR="68B7379A" w:rsidRPr="008B200F" w14:paraId="4A4C1AAE" w14:textId="77777777" w:rsidTr="00F65E08">
        <w:trPr>
          <w:trHeight w:val="225"/>
        </w:trPr>
        <w:tc>
          <w:tcPr>
            <w:tcW w:w="2769" w:type="pct"/>
            <w:tcMar>
              <w:top w:w="15" w:type="dxa"/>
              <w:left w:w="15" w:type="dxa"/>
              <w:bottom w:w="15" w:type="dxa"/>
              <w:right w:w="15" w:type="dxa"/>
            </w:tcMar>
            <w:vAlign w:val="center"/>
          </w:tcPr>
          <w:p w14:paraId="6AA11EE2" w14:textId="2F901CBC" w:rsidR="68B7379A" w:rsidRPr="008B200F" w:rsidRDefault="68B7379A" w:rsidP="000A5389">
            <w:pPr>
              <w:spacing w:line="240" w:lineRule="auto"/>
              <w:jc w:val="center"/>
              <w:rPr>
                <w:rFonts w:cs="Times New Roman"/>
                <w:szCs w:val="24"/>
              </w:rPr>
            </w:pPr>
            <w:r w:rsidRPr="008B200F">
              <w:rPr>
                <w:rFonts w:eastAsia="Times New Roman" w:cs="Times New Roman"/>
                <w:szCs w:val="24"/>
              </w:rPr>
              <w:t>Muros</w:t>
            </w:r>
          </w:p>
        </w:tc>
        <w:tc>
          <w:tcPr>
            <w:tcW w:w="2231" w:type="pct"/>
            <w:tcMar>
              <w:top w:w="15" w:type="dxa"/>
              <w:left w:w="15" w:type="dxa"/>
              <w:bottom w:w="15" w:type="dxa"/>
              <w:right w:w="15" w:type="dxa"/>
            </w:tcMar>
            <w:vAlign w:val="center"/>
          </w:tcPr>
          <w:p w14:paraId="749AD56E" w14:textId="549B5DA7" w:rsidR="68B7379A" w:rsidRPr="008B200F" w:rsidRDefault="68B7379A" w:rsidP="000A5389">
            <w:pPr>
              <w:spacing w:line="240" w:lineRule="auto"/>
              <w:jc w:val="center"/>
              <w:rPr>
                <w:rFonts w:cs="Times New Roman"/>
                <w:szCs w:val="24"/>
              </w:rPr>
            </w:pPr>
            <w:r w:rsidRPr="008B200F">
              <w:rPr>
                <w:rFonts w:eastAsia="Times New Roman" w:cs="Times New Roman"/>
                <w:szCs w:val="24"/>
              </w:rPr>
              <w:t>144</w:t>
            </w:r>
          </w:p>
        </w:tc>
      </w:tr>
      <w:tr w:rsidR="68B7379A" w:rsidRPr="008B200F" w14:paraId="0955E366" w14:textId="77777777" w:rsidTr="00F65E08">
        <w:trPr>
          <w:trHeight w:val="225"/>
        </w:trPr>
        <w:tc>
          <w:tcPr>
            <w:tcW w:w="2769" w:type="pct"/>
            <w:tcMar>
              <w:top w:w="15" w:type="dxa"/>
              <w:left w:w="15" w:type="dxa"/>
              <w:bottom w:w="15" w:type="dxa"/>
              <w:right w:w="15" w:type="dxa"/>
            </w:tcMar>
            <w:vAlign w:val="center"/>
          </w:tcPr>
          <w:p w14:paraId="6CD2EF18" w14:textId="69642ED4" w:rsidR="68B7379A" w:rsidRPr="008B200F" w:rsidRDefault="68B7379A" w:rsidP="000A5389">
            <w:pPr>
              <w:spacing w:line="240" w:lineRule="auto"/>
              <w:jc w:val="center"/>
              <w:rPr>
                <w:rFonts w:cs="Times New Roman"/>
                <w:szCs w:val="24"/>
              </w:rPr>
            </w:pPr>
            <w:r w:rsidRPr="008B200F">
              <w:rPr>
                <w:rFonts w:eastAsia="Times New Roman" w:cs="Times New Roman"/>
                <w:szCs w:val="24"/>
              </w:rPr>
              <w:t>Puentes</w:t>
            </w:r>
          </w:p>
        </w:tc>
        <w:tc>
          <w:tcPr>
            <w:tcW w:w="2231" w:type="pct"/>
            <w:tcMar>
              <w:top w:w="15" w:type="dxa"/>
              <w:left w:w="15" w:type="dxa"/>
              <w:bottom w:w="15" w:type="dxa"/>
              <w:right w:w="15" w:type="dxa"/>
            </w:tcMar>
            <w:vAlign w:val="center"/>
          </w:tcPr>
          <w:p w14:paraId="4BD35D83" w14:textId="1A106020" w:rsidR="68B7379A" w:rsidRPr="008B200F" w:rsidRDefault="68B7379A" w:rsidP="000A5389">
            <w:pPr>
              <w:spacing w:line="240" w:lineRule="auto"/>
              <w:jc w:val="center"/>
              <w:rPr>
                <w:rFonts w:cs="Times New Roman"/>
                <w:szCs w:val="24"/>
              </w:rPr>
            </w:pPr>
            <w:r w:rsidRPr="008B200F">
              <w:rPr>
                <w:rFonts w:eastAsia="Times New Roman" w:cs="Times New Roman"/>
                <w:szCs w:val="24"/>
              </w:rPr>
              <w:t>325</w:t>
            </w:r>
          </w:p>
        </w:tc>
      </w:tr>
      <w:tr w:rsidR="68B7379A" w:rsidRPr="008B200F" w14:paraId="73613BED" w14:textId="77777777" w:rsidTr="00F65E08">
        <w:trPr>
          <w:trHeight w:val="240"/>
        </w:trPr>
        <w:tc>
          <w:tcPr>
            <w:tcW w:w="2769" w:type="pct"/>
            <w:tcMar>
              <w:top w:w="15" w:type="dxa"/>
              <w:left w:w="15" w:type="dxa"/>
              <w:bottom w:w="15" w:type="dxa"/>
              <w:right w:w="15" w:type="dxa"/>
            </w:tcMar>
            <w:vAlign w:val="center"/>
          </w:tcPr>
          <w:p w14:paraId="45B1EF49" w14:textId="3DE88E6D" w:rsidR="68B7379A" w:rsidRPr="008B200F" w:rsidRDefault="68B7379A" w:rsidP="000A5389">
            <w:pPr>
              <w:spacing w:line="240" w:lineRule="auto"/>
              <w:jc w:val="center"/>
              <w:rPr>
                <w:rFonts w:cs="Times New Roman"/>
                <w:szCs w:val="24"/>
              </w:rPr>
            </w:pPr>
            <w:r w:rsidRPr="008B200F">
              <w:rPr>
                <w:rFonts w:eastAsia="Times New Roman" w:cs="Times New Roman"/>
                <w:szCs w:val="24"/>
              </w:rPr>
              <w:t>Señal vertical</w:t>
            </w:r>
          </w:p>
        </w:tc>
        <w:tc>
          <w:tcPr>
            <w:tcW w:w="2231" w:type="pct"/>
            <w:tcMar>
              <w:top w:w="15" w:type="dxa"/>
              <w:left w:w="15" w:type="dxa"/>
              <w:bottom w:w="15" w:type="dxa"/>
              <w:right w:w="15" w:type="dxa"/>
            </w:tcMar>
            <w:vAlign w:val="center"/>
          </w:tcPr>
          <w:p w14:paraId="1CB952C5" w14:textId="25CD36B8" w:rsidR="68B7379A" w:rsidRPr="008B200F" w:rsidRDefault="68B7379A" w:rsidP="000A5389">
            <w:pPr>
              <w:spacing w:line="240" w:lineRule="auto"/>
              <w:jc w:val="center"/>
              <w:rPr>
                <w:rFonts w:cs="Times New Roman"/>
                <w:szCs w:val="24"/>
              </w:rPr>
            </w:pPr>
            <w:r w:rsidRPr="008B200F">
              <w:rPr>
                <w:rFonts w:eastAsia="Times New Roman" w:cs="Times New Roman"/>
                <w:szCs w:val="24"/>
              </w:rPr>
              <w:t>8.127</w:t>
            </w:r>
          </w:p>
        </w:tc>
      </w:tr>
      <w:tr w:rsidR="68B7379A" w:rsidRPr="008B200F" w14:paraId="1AEB565F" w14:textId="77777777" w:rsidTr="00F65E08">
        <w:trPr>
          <w:trHeight w:val="225"/>
        </w:trPr>
        <w:tc>
          <w:tcPr>
            <w:tcW w:w="2769" w:type="pct"/>
            <w:tcMar>
              <w:top w:w="15" w:type="dxa"/>
              <w:left w:w="15" w:type="dxa"/>
              <w:bottom w:w="15" w:type="dxa"/>
              <w:right w:w="15" w:type="dxa"/>
            </w:tcMar>
            <w:vAlign w:val="center"/>
          </w:tcPr>
          <w:p w14:paraId="456347C0" w14:textId="5D0109D6" w:rsidR="68B7379A" w:rsidRPr="008B200F" w:rsidRDefault="68B7379A" w:rsidP="000A5389">
            <w:pPr>
              <w:spacing w:line="240" w:lineRule="auto"/>
              <w:jc w:val="center"/>
              <w:rPr>
                <w:rFonts w:cs="Times New Roman"/>
                <w:szCs w:val="24"/>
              </w:rPr>
            </w:pPr>
            <w:r w:rsidRPr="008B200F">
              <w:rPr>
                <w:rFonts w:eastAsia="Times New Roman" w:cs="Times New Roman"/>
                <w:szCs w:val="24"/>
              </w:rPr>
              <w:t>Separador</w:t>
            </w:r>
          </w:p>
        </w:tc>
        <w:tc>
          <w:tcPr>
            <w:tcW w:w="2231" w:type="pct"/>
            <w:tcMar>
              <w:top w:w="15" w:type="dxa"/>
              <w:left w:w="15" w:type="dxa"/>
              <w:bottom w:w="15" w:type="dxa"/>
              <w:right w:w="15" w:type="dxa"/>
            </w:tcMar>
            <w:vAlign w:val="center"/>
          </w:tcPr>
          <w:p w14:paraId="325F72C6" w14:textId="1D6ECCD4" w:rsidR="68B7379A" w:rsidRPr="008B200F" w:rsidRDefault="68B7379A" w:rsidP="000A5389">
            <w:pPr>
              <w:spacing w:line="240" w:lineRule="auto"/>
              <w:jc w:val="center"/>
              <w:rPr>
                <w:rFonts w:cs="Times New Roman"/>
                <w:szCs w:val="24"/>
              </w:rPr>
            </w:pPr>
            <w:r w:rsidRPr="008B200F">
              <w:rPr>
                <w:rFonts w:eastAsia="Times New Roman" w:cs="Times New Roman"/>
                <w:szCs w:val="24"/>
              </w:rPr>
              <w:t>5.204</w:t>
            </w:r>
          </w:p>
        </w:tc>
      </w:tr>
      <w:tr w:rsidR="68B7379A" w:rsidRPr="008B200F" w14:paraId="5AF682E9" w14:textId="77777777" w:rsidTr="00F65E08">
        <w:trPr>
          <w:trHeight w:val="225"/>
        </w:trPr>
        <w:tc>
          <w:tcPr>
            <w:tcW w:w="2769" w:type="pct"/>
            <w:tcMar>
              <w:top w:w="15" w:type="dxa"/>
              <w:left w:w="15" w:type="dxa"/>
              <w:bottom w:w="15" w:type="dxa"/>
              <w:right w:w="15" w:type="dxa"/>
            </w:tcMar>
            <w:vAlign w:val="center"/>
          </w:tcPr>
          <w:p w14:paraId="22F83DAF" w14:textId="43DBEA6E" w:rsidR="68B7379A" w:rsidRPr="008B200F" w:rsidRDefault="68B7379A" w:rsidP="000A5389">
            <w:pPr>
              <w:spacing w:line="240" w:lineRule="auto"/>
              <w:jc w:val="center"/>
              <w:rPr>
                <w:rFonts w:cs="Times New Roman"/>
                <w:szCs w:val="24"/>
              </w:rPr>
            </w:pPr>
            <w:r w:rsidRPr="008B200F">
              <w:rPr>
                <w:rFonts w:eastAsia="Times New Roman" w:cs="Times New Roman"/>
                <w:szCs w:val="24"/>
              </w:rPr>
              <w:t>Túneles</w:t>
            </w:r>
          </w:p>
        </w:tc>
        <w:tc>
          <w:tcPr>
            <w:tcW w:w="2231" w:type="pct"/>
            <w:tcMar>
              <w:top w:w="15" w:type="dxa"/>
              <w:left w:w="15" w:type="dxa"/>
              <w:bottom w:w="15" w:type="dxa"/>
              <w:right w:w="15" w:type="dxa"/>
            </w:tcMar>
            <w:vAlign w:val="center"/>
          </w:tcPr>
          <w:p w14:paraId="1AAEF168" w14:textId="6EA8121A" w:rsidR="68B7379A" w:rsidRPr="008B200F" w:rsidRDefault="68B7379A" w:rsidP="000A5389">
            <w:pPr>
              <w:spacing w:line="240" w:lineRule="auto"/>
              <w:jc w:val="center"/>
              <w:rPr>
                <w:rFonts w:cs="Times New Roman"/>
                <w:szCs w:val="24"/>
              </w:rPr>
            </w:pPr>
            <w:r w:rsidRPr="008B200F">
              <w:rPr>
                <w:rFonts w:eastAsia="Times New Roman" w:cs="Times New Roman"/>
                <w:szCs w:val="24"/>
              </w:rPr>
              <w:t>35</w:t>
            </w:r>
          </w:p>
        </w:tc>
      </w:tr>
      <w:tr w:rsidR="68B7379A" w:rsidRPr="008B200F" w14:paraId="3A611577" w14:textId="77777777" w:rsidTr="00F65E08">
        <w:trPr>
          <w:trHeight w:val="240"/>
        </w:trPr>
        <w:tc>
          <w:tcPr>
            <w:tcW w:w="2769" w:type="pct"/>
            <w:tcMar>
              <w:top w:w="15" w:type="dxa"/>
              <w:left w:w="15" w:type="dxa"/>
              <w:bottom w:w="15" w:type="dxa"/>
              <w:right w:w="15" w:type="dxa"/>
            </w:tcMar>
            <w:vAlign w:val="center"/>
          </w:tcPr>
          <w:p w14:paraId="3A8B50DA" w14:textId="7FD5763F" w:rsidR="68B7379A" w:rsidRPr="008B200F" w:rsidRDefault="68B7379A" w:rsidP="000A5389">
            <w:pPr>
              <w:spacing w:line="240" w:lineRule="auto"/>
              <w:jc w:val="center"/>
              <w:rPr>
                <w:rFonts w:cs="Times New Roman"/>
                <w:szCs w:val="24"/>
              </w:rPr>
            </w:pPr>
            <w:r w:rsidRPr="008B200F">
              <w:rPr>
                <w:rFonts w:eastAsia="Times New Roman" w:cs="Times New Roman"/>
                <w:szCs w:val="24"/>
              </w:rPr>
              <w:t>Zona de servicio</w:t>
            </w:r>
          </w:p>
        </w:tc>
        <w:tc>
          <w:tcPr>
            <w:tcW w:w="2231" w:type="pct"/>
            <w:tcMar>
              <w:top w:w="15" w:type="dxa"/>
              <w:left w:w="15" w:type="dxa"/>
              <w:bottom w:w="15" w:type="dxa"/>
              <w:right w:w="15" w:type="dxa"/>
            </w:tcMar>
            <w:vAlign w:val="center"/>
          </w:tcPr>
          <w:p w14:paraId="24D7BDEA" w14:textId="349697A0" w:rsidR="68B7379A" w:rsidRPr="008B200F" w:rsidRDefault="68B7379A" w:rsidP="000A5389">
            <w:pPr>
              <w:spacing w:line="240" w:lineRule="auto"/>
              <w:jc w:val="center"/>
              <w:rPr>
                <w:rFonts w:cs="Times New Roman"/>
                <w:szCs w:val="24"/>
              </w:rPr>
            </w:pPr>
            <w:r w:rsidRPr="008B200F">
              <w:rPr>
                <w:rFonts w:eastAsia="Times New Roman" w:cs="Times New Roman"/>
                <w:szCs w:val="24"/>
              </w:rPr>
              <w:t>2</w:t>
            </w:r>
          </w:p>
        </w:tc>
      </w:tr>
      <w:tr w:rsidR="68B7379A" w:rsidRPr="008B200F" w14:paraId="77867230" w14:textId="77777777" w:rsidTr="00F65E08">
        <w:trPr>
          <w:trHeight w:val="225"/>
        </w:trPr>
        <w:tc>
          <w:tcPr>
            <w:tcW w:w="2769" w:type="pct"/>
            <w:tcMar>
              <w:top w:w="15" w:type="dxa"/>
              <w:left w:w="15" w:type="dxa"/>
              <w:bottom w:w="15" w:type="dxa"/>
              <w:right w:w="15" w:type="dxa"/>
            </w:tcMar>
            <w:vAlign w:val="center"/>
          </w:tcPr>
          <w:p w14:paraId="7E46AA91" w14:textId="4A556AB4" w:rsidR="68B7379A" w:rsidRPr="008B200F" w:rsidRDefault="68B7379A" w:rsidP="000A5389">
            <w:pPr>
              <w:spacing w:line="240" w:lineRule="auto"/>
              <w:jc w:val="center"/>
              <w:rPr>
                <w:rFonts w:cs="Times New Roman"/>
                <w:szCs w:val="24"/>
              </w:rPr>
            </w:pPr>
            <w:r w:rsidRPr="008B200F">
              <w:rPr>
                <w:rFonts w:eastAsia="Times New Roman" w:cs="Times New Roman"/>
                <w:b/>
                <w:bCs/>
                <w:szCs w:val="24"/>
              </w:rPr>
              <w:t>Total de elementos inventariados</w:t>
            </w:r>
          </w:p>
        </w:tc>
        <w:tc>
          <w:tcPr>
            <w:tcW w:w="2231" w:type="pct"/>
            <w:tcMar>
              <w:top w:w="15" w:type="dxa"/>
              <w:left w:w="15" w:type="dxa"/>
              <w:bottom w:w="15" w:type="dxa"/>
              <w:right w:w="15" w:type="dxa"/>
            </w:tcMar>
            <w:vAlign w:val="center"/>
          </w:tcPr>
          <w:p w14:paraId="17B80158" w14:textId="7C0E9FDA" w:rsidR="68B7379A" w:rsidRPr="008B200F" w:rsidRDefault="68B7379A" w:rsidP="000A5389">
            <w:pPr>
              <w:spacing w:line="240" w:lineRule="auto"/>
              <w:jc w:val="center"/>
              <w:rPr>
                <w:rFonts w:cs="Times New Roman"/>
                <w:szCs w:val="24"/>
              </w:rPr>
            </w:pPr>
            <w:r w:rsidRPr="008B200F">
              <w:rPr>
                <w:rFonts w:eastAsia="Times New Roman" w:cs="Times New Roman"/>
                <w:b/>
                <w:bCs/>
                <w:szCs w:val="24"/>
              </w:rPr>
              <w:t>49.886</w:t>
            </w:r>
          </w:p>
        </w:tc>
      </w:tr>
    </w:tbl>
    <w:p w14:paraId="121E666B" w14:textId="0BAC8F7A" w:rsidR="10A7ADE9" w:rsidRPr="00951AB1" w:rsidRDefault="10A7ADE9" w:rsidP="000A5389">
      <w:pPr>
        <w:spacing w:line="240" w:lineRule="auto"/>
        <w:rPr>
          <w:rFonts w:cs="Times New Roman"/>
        </w:rPr>
      </w:pPr>
      <w:r w:rsidRPr="00951AB1">
        <w:rPr>
          <w:rFonts w:eastAsia="Times New Roman" w:cs="Times New Roman"/>
          <w:szCs w:val="24"/>
        </w:rPr>
        <w:t xml:space="preserve"> </w:t>
      </w:r>
    </w:p>
    <w:p w14:paraId="38592001" w14:textId="70DD99CC" w:rsidR="10A7ADE9" w:rsidRDefault="10A7ADE9" w:rsidP="000A5389">
      <w:pPr>
        <w:spacing w:line="240" w:lineRule="auto"/>
        <w:rPr>
          <w:rFonts w:eastAsia="Times New Roman" w:cs="Times New Roman"/>
          <w:szCs w:val="24"/>
        </w:rPr>
      </w:pPr>
      <w:r w:rsidRPr="00951AB1">
        <w:rPr>
          <w:rFonts w:eastAsia="Times New Roman" w:cs="Times New Roman"/>
          <w:szCs w:val="24"/>
        </w:rPr>
        <w:t xml:space="preserve">Durante el año 2025, la Agencia realizó reporte de la </w:t>
      </w:r>
      <w:r w:rsidRPr="00951AB1">
        <w:rPr>
          <w:rFonts w:eastAsia="Times New Roman" w:cs="Times New Roman"/>
          <w:b/>
          <w:bCs/>
          <w:szCs w:val="24"/>
        </w:rPr>
        <w:t>gestión predial para la separación de terrenos</w:t>
      </w:r>
      <w:r w:rsidRPr="00951AB1">
        <w:rPr>
          <w:rFonts w:eastAsia="Times New Roman" w:cs="Times New Roman"/>
          <w:szCs w:val="24"/>
        </w:rPr>
        <w:t xml:space="preserve"> al área de Contabilidad, la cual se </w:t>
      </w:r>
      <w:r w:rsidR="09BDBC2A" w:rsidRPr="00951AB1">
        <w:rPr>
          <w:rFonts w:eastAsia="Times New Roman" w:cs="Times New Roman"/>
          <w:szCs w:val="24"/>
        </w:rPr>
        <w:t>amplía</w:t>
      </w:r>
      <w:r w:rsidRPr="00951AB1">
        <w:rPr>
          <w:rFonts w:eastAsia="Times New Roman" w:cs="Times New Roman"/>
          <w:szCs w:val="24"/>
        </w:rPr>
        <w:t xml:space="preserve"> con detalle en la nota de Bienes de Uso Público, así como se presenta el resumen de la conciliación realizada con la dependencia.</w:t>
      </w:r>
    </w:p>
    <w:p w14:paraId="39DFA33B" w14:textId="77777777" w:rsidR="008B200F" w:rsidRPr="00951AB1" w:rsidRDefault="008B200F" w:rsidP="000A5389">
      <w:pPr>
        <w:spacing w:line="240" w:lineRule="auto"/>
        <w:rPr>
          <w:rFonts w:cs="Times New Roman"/>
        </w:rPr>
      </w:pPr>
    </w:p>
    <w:p w14:paraId="2E39F76E" w14:textId="688AE0F5" w:rsidR="10A7ADE9" w:rsidRDefault="10A7ADE9" w:rsidP="000A5389">
      <w:pPr>
        <w:spacing w:line="240" w:lineRule="auto"/>
        <w:rPr>
          <w:rFonts w:eastAsia="Times New Roman" w:cs="Times New Roman"/>
          <w:szCs w:val="24"/>
        </w:rPr>
      </w:pPr>
      <w:r w:rsidRPr="00951AB1">
        <w:rPr>
          <w:rFonts w:eastAsia="Times New Roman" w:cs="Times New Roman"/>
          <w:szCs w:val="24"/>
        </w:rPr>
        <w:t xml:space="preserve">Una vez obtenida la vida útil, se elaboró la metodología de </w:t>
      </w:r>
      <w:r w:rsidRPr="00951AB1">
        <w:rPr>
          <w:rFonts w:eastAsia="Times New Roman" w:cs="Times New Roman"/>
          <w:b/>
          <w:bCs/>
          <w:szCs w:val="24"/>
        </w:rPr>
        <w:t>depreciación</w:t>
      </w:r>
      <w:r w:rsidRPr="00951AB1">
        <w:rPr>
          <w:rFonts w:eastAsia="Times New Roman" w:cs="Times New Roman"/>
          <w:szCs w:val="24"/>
        </w:rPr>
        <w:t xml:space="preserve"> para los Bienes de Uso Público (BUP) del modo carretero administrados por la Agencia incorporado en el Manual de Políticas Contables, que consistió en la selección y adaptación del método de depreciación lineal o de línea recta como modelo óptimo para la valoración de los activos de infraestructura vial, por su coherencia con el esquema de concesiones viales, en el cual las obligaciones contractuales de mantenimiento garantizan un consumo uniforme del potencial de servicio del activo a lo largo del tiempo. </w:t>
      </w:r>
    </w:p>
    <w:p w14:paraId="50EAD118" w14:textId="77777777" w:rsidR="008B200F" w:rsidRPr="00951AB1" w:rsidRDefault="008B200F" w:rsidP="000A5389">
      <w:pPr>
        <w:spacing w:line="240" w:lineRule="auto"/>
        <w:rPr>
          <w:rFonts w:cs="Times New Roman"/>
        </w:rPr>
      </w:pPr>
    </w:p>
    <w:p w14:paraId="11C2FC1F" w14:textId="06B5A0D5" w:rsidR="10A7ADE9" w:rsidRDefault="10A7ADE9" w:rsidP="000A5389">
      <w:pPr>
        <w:spacing w:line="240" w:lineRule="auto"/>
        <w:rPr>
          <w:rFonts w:eastAsia="Times New Roman" w:cs="Times New Roman"/>
          <w:szCs w:val="24"/>
        </w:rPr>
      </w:pPr>
      <w:r w:rsidRPr="00951AB1">
        <w:rPr>
          <w:rFonts w:eastAsia="Times New Roman" w:cs="Times New Roman"/>
          <w:szCs w:val="24"/>
        </w:rPr>
        <w:t xml:space="preserve">La metodología estableció un valor residual del 10% del costo inicial para todas las categorías de activos, definió vidas útiles diferenciadas según la naturaleza técnica de cada tipo de infraestructura, e integró un mecanismo de ajuste dinámico mediante el cual las inversiones de capital (CAPEX) y los mantenimientos mayores generan una extensión proporcional de </w:t>
      </w:r>
      <w:r w:rsidRPr="00951AB1">
        <w:rPr>
          <w:rFonts w:eastAsia="Times New Roman" w:cs="Times New Roman"/>
          <w:szCs w:val="24"/>
        </w:rPr>
        <w:lastRenderedPageBreak/>
        <w:t>la vida útil y una actualización del valor en libros del activo, con el límite técnico de que dicha extensión no puede superar la vida útil original de diseño.</w:t>
      </w:r>
    </w:p>
    <w:p w14:paraId="019EAFDB" w14:textId="77777777" w:rsidR="00F65E08" w:rsidRPr="00951AB1" w:rsidRDefault="00F65E08" w:rsidP="000A5389">
      <w:pPr>
        <w:spacing w:line="240" w:lineRule="auto"/>
        <w:rPr>
          <w:rFonts w:cs="Times New Roman"/>
        </w:rPr>
      </w:pPr>
    </w:p>
    <w:tbl>
      <w:tblPr>
        <w:tblW w:w="5000" w:type="pct"/>
        <w:jc w:val="center"/>
        <w:tbl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insideH w:val="single" w:sz="2" w:space="0" w:color="A6A6A6" w:themeColor="background1" w:themeShade="A6"/>
          <w:insideV w:val="single" w:sz="2" w:space="0" w:color="A6A6A6" w:themeColor="background1" w:themeShade="A6"/>
        </w:tblBorders>
        <w:tblLook w:val="04A0" w:firstRow="1" w:lastRow="0" w:firstColumn="1" w:lastColumn="0" w:noHBand="0" w:noVBand="1"/>
      </w:tblPr>
      <w:tblGrid>
        <w:gridCol w:w="3061"/>
        <w:gridCol w:w="2627"/>
        <w:gridCol w:w="3144"/>
      </w:tblGrid>
      <w:tr w:rsidR="68B7379A" w:rsidRPr="008B200F" w14:paraId="345D073C" w14:textId="77777777" w:rsidTr="00F65E08">
        <w:trPr>
          <w:trHeight w:val="195"/>
          <w:jc w:val="center"/>
        </w:trPr>
        <w:tc>
          <w:tcPr>
            <w:tcW w:w="1733" w:type="pct"/>
            <w:tcMar>
              <w:top w:w="15" w:type="dxa"/>
              <w:left w:w="15" w:type="dxa"/>
              <w:bottom w:w="15" w:type="dxa"/>
              <w:right w:w="15" w:type="dxa"/>
            </w:tcMar>
            <w:vAlign w:val="center"/>
          </w:tcPr>
          <w:p w14:paraId="49974B97" w14:textId="6B3B9236" w:rsidR="68B7379A" w:rsidRPr="008B200F" w:rsidRDefault="68B7379A" w:rsidP="000A5389">
            <w:pPr>
              <w:spacing w:line="240" w:lineRule="auto"/>
              <w:jc w:val="center"/>
              <w:rPr>
                <w:rFonts w:cs="Times New Roman"/>
                <w:sz w:val="22"/>
              </w:rPr>
            </w:pPr>
            <w:r w:rsidRPr="008B200F">
              <w:rPr>
                <w:rFonts w:eastAsia="Times New Roman" w:cs="Times New Roman"/>
                <w:b/>
                <w:bCs/>
                <w:sz w:val="22"/>
              </w:rPr>
              <w:t>CATEGORÍA DEL ACTIVO</w:t>
            </w:r>
          </w:p>
        </w:tc>
        <w:tc>
          <w:tcPr>
            <w:tcW w:w="1487" w:type="pct"/>
            <w:tcMar>
              <w:top w:w="15" w:type="dxa"/>
              <w:left w:w="15" w:type="dxa"/>
              <w:bottom w:w="15" w:type="dxa"/>
              <w:right w:w="15" w:type="dxa"/>
            </w:tcMar>
            <w:vAlign w:val="center"/>
          </w:tcPr>
          <w:p w14:paraId="5FAC26A8" w14:textId="00C74169" w:rsidR="68B7379A" w:rsidRPr="008B200F" w:rsidRDefault="68B7379A" w:rsidP="000A5389">
            <w:pPr>
              <w:spacing w:line="240" w:lineRule="auto"/>
              <w:jc w:val="center"/>
              <w:rPr>
                <w:rFonts w:cs="Times New Roman"/>
                <w:sz w:val="22"/>
              </w:rPr>
            </w:pPr>
            <w:r w:rsidRPr="008B200F">
              <w:rPr>
                <w:rFonts w:eastAsia="Times New Roman" w:cs="Times New Roman"/>
                <w:b/>
                <w:bCs/>
                <w:sz w:val="22"/>
              </w:rPr>
              <w:t>VIDA ÚTIL (AÑOS) (N)</w:t>
            </w:r>
          </w:p>
        </w:tc>
        <w:tc>
          <w:tcPr>
            <w:tcW w:w="1780" w:type="pct"/>
            <w:tcMar>
              <w:top w:w="15" w:type="dxa"/>
              <w:left w:w="15" w:type="dxa"/>
              <w:bottom w:w="15" w:type="dxa"/>
              <w:right w:w="15" w:type="dxa"/>
            </w:tcMar>
            <w:vAlign w:val="center"/>
          </w:tcPr>
          <w:p w14:paraId="404A326E" w14:textId="5CF1F4B3" w:rsidR="68B7379A" w:rsidRPr="008B200F" w:rsidRDefault="68B7379A" w:rsidP="000A5389">
            <w:pPr>
              <w:spacing w:line="240" w:lineRule="auto"/>
              <w:jc w:val="center"/>
              <w:rPr>
                <w:rFonts w:cs="Times New Roman"/>
                <w:sz w:val="22"/>
              </w:rPr>
            </w:pPr>
            <w:r w:rsidRPr="008B200F">
              <w:rPr>
                <w:rFonts w:eastAsia="Times New Roman" w:cs="Times New Roman"/>
                <w:b/>
                <w:bCs/>
                <w:sz w:val="22"/>
              </w:rPr>
              <w:t>% DEPRECIACIÓN ANUAL</w:t>
            </w:r>
          </w:p>
        </w:tc>
      </w:tr>
      <w:tr w:rsidR="68B7379A" w:rsidRPr="008B200F" w14:paraId="72585167" w14:textId="77777777" w:rsidTr="00F65E08">
        <w:trPr>
          <w:trHeight w:val="135"/>
          <w:jc w:val="center"/>
        </w:trPr>
        <w:tc>
          <w:tcPr>
            <w:tcW w:w="1733" w:type="pct"/>
            <w:tcMar>
              <w:top w:w="15" w:type="dxa"/>
              <w:left w:w="15" w:type="dxa"/>
              <w:bottom w:w="15" w:type="dxa"/>
              <w:right w:w="15" w:type="dxa"/>
            </w:tcMar>
            <w:vAlign w:val="center"/>
          </w:tcPr>
          <w:p w14:paraId="56158A04" w14:textId="094217BF" w:rsidR="68B7379A" w:rsidRPr="008B200F" w:rsidRDefault="68B7379A" w:rsidP="000A5389">
            <w:pPr>
              <w:spacing w:line="240" w:lineRule="auto"/>
              <w:rPr>
                <w:rFonts w:cs="Times New Roman"/>
                <w:sz w:val="22"/>
              </w:rPr>
            </w:pPr>
            <w:r w:rsidRPr="008B200F">
              <w:rPr>
                <w:rFonts w:eastAsia="Times New Roman" w:cs="Times New Roman"/>
                <w:sz w:val="22"/>
              </w:rPr>
              <w:t>TÚNELES</w:t>
            </w:r>
          </w:p>
        </w:tc>
        <w:tc>
          <w:tcPr>
            <w:tcW w:w="1487" w:type="pct"/>
            <w:tcMar>
              <w:top w:w="15" w:type="dxa"/>
              <w:left w:w="15" w:type="dxa"/>
              <w:bottom w:w="15" w:type="dxa"/>
              <w:right w:w="15" w:type="dxa"/>
            </w:tcMar>
            <w:vAlign w:val="center"/>
          </w:tcPr>
          <w:p w14:paraId="458A6E72" w14:textId="4B6FBA7C" w:rsidR="68B7379A" w:rsidRPr="008B200F" w:rsidRDefault="68B7379A" w:rsidP="000A5389">
            <w:pPr>
              <w:spacing w:line="240" w:lineRule="auto"/>
              <w:jc w:val="center"/>
              <w:rPr>
                <w:rFonts w:cs="Times New Roman"/>
                <w:sz w:val="22"/>
              </w:rPr>
            </w:pPr>
            <w:r w:rsidRPr="008B200F">
              <w:rPr>
                <w:rFonts w:eastAsia="Times New Roman" w:cs="Times New Roman"/>
                <w:sz w:val="22"/>
              </w:rPr>
              <w:t>100</w:t>
            </w:r>
          </w:p>
        </w:tc>
        <w:tc>
          <w:tcPr>
            <w:tcW w:w="1780" w:type="pct"/>
            <w:tcMar>
              <w:top w:w="15" w:type="dxa"/>
              <w:left w:w="15" w:type="dxa"/>
              <w:bottom w:w="15" w:type="dxa"/>
              <w:right w:w="15" w:type="dxa"/>
            </w:tcMar>
            <w:vAlign w:val="center"/>
          </w:tcPr>
          <w:p w14:paraId="3B85419B" w14:textId="798DDC15" w:rsidR="68B7379A" w:rsidRPr="008B200F" w:rsidRDefault="68B7379A" w:rsidP="000A5389">
            <w:pPr>
              <w:spacing w:line="240" w:lineRule="auto"/>
              <w:jc w:val="center"/>
              <w:rPr>
                <w:rFonts w:cs="Times New Roman"/>
                <w:sz w:val="22"/>
              </w:rPr>
            </w:pPr>
            <w:r w:rsidRPr="008B200F">
              <w:rPr>
                <w:rFonts w:eastAsia="Times New Roman" w:cs="Times New Roman"/>
                <w:sz w:val="22"/>
              </w:rPr>
              <w:t>0.90%</w:t>
            </w:r>
          </w:p>
        </w:tc>
      </w:tr>
      <w:tr w:rsidR="68B7379A" w:rsidRPr="008B200F" w14:paraId="478072E5" w14:textId="77777777" w:rsidTr="00F65E08">
        <w:trPr>
          <w:trHeight w:val="120"/>
          <w:jc w:val="center"/>
        </w:trPr>
        <w:tc>
          <w:tcPr>
            <w:tcW w:w="1733" w:type="pct"/>
            <w:tcMar>
              <w:top w:w="15" w:type="dxa"/>
              <w:left w:w="15" w:type="dxa"/>
              <w:bottom w:w="15" w:type="dxa"/>
              <w:right w:w="15" w:type="dxa"/>
            </w:tcMar>
            <w:vAlign w:val="center"/>
          </w:tcPr>
          <w:p w14:paraId="720C7872" w14:textId="4BEA2006" w:rsidR="68B7379A" w:rsidRPr="008B200F" w:rsidRDefault="68B7379A" w:rsidP="000A5389">
            <w:pPr>
              <w:spacing w:line="240" w:lineRule="auto"/>
              <w:rPr>
                <w:rFonts w:cs="Times New Roman"/>
                <w:sz w:val="22"/>
              </w:rPr>
            </w:pPr>
            <w:r w:rsidRPr="008B200F">
              <w:rPr>
                <w:rFonts w:eastAsia="Times New Roman" w:cs="Times New Roman"/>
                <w:sz w:val="22"/>
              </w:rPr>
              <w:t>VIADUCTOS Norma CCP-14</w:t>
            </w:r>
          </w:p>
        </w:tc>
        <w:tc>
          <w:tcPr>
            <w:tcW w:w="1487" w:type="pct"/>
            <w:tcMar>
              <w:top w:w="15" w:type="dxa"/>
              <w:left w:w="15" w:type="dxa"/>
              <w:bottom w:w="15" w:type="dxa"/>
              <w:right w:w="15" w:type="dxa"/>
            </w:tcMar>
            <w:vAlign w:val="center"/>
          </w:tcPr>
          <w:p w14:paraId="15366DB4" w14:textId="0B90AF68" w:rsidR="68B7379A" w:rsidRPr="008B200F" w:rsidRDefault="68B7379A" w:rsidP="000A5389">
            <w:pPr>
              <w:spacing w:line="240" w:lineRule="auto"/>
              <w:jc w:val="center"/>
              <w:rPr>
                <w:rFonts w:cs="Times New Roman"/>
                <w:sz w:val="22"/>
              </w:rPr>
            </w:pPr>
            <w:r w:rsidRPr="008B200F">
              <w:rPr>
                <w:rFonts w:eastAsia="Times New Roman" w:cs="Times New Roman"/>
                <w:sz w:val="22"/>
              </w:rPr>
              <w:t>75</w:t>
            </w:r>
          </w:p>
        </w:tc>
        <w:tc>
          <w:tcPr>
            <w:tcW w:w="1780" w:type="pct"/>
            <w:tcMar>
              <w:top w:w="15" w:type="dxa"/>
              <w:left w:w="15" w:type="dxa"/>
              <w:bottom w:w="15" w:type="dxa"/>
              <w:right w:w="15" w:type="dxa"/>
            </w:tcMar>
            <w:vAlign w:val="center"/>
          </w:tcPr>
          <w:p w14:paraId="0F363C6C" w14:textId="1F407F7A" w:rsidR="68B7379A" w:rsidRPr="008B200F" w:rsidRDefault="68B7379A" w:rsidP="000A5389">
            <w:pPr>
              <w:spacing w:line="240" w:lineRule="auto"/>
              <w:jc w:val="center"/>
              <w:rPr>
                <w:rFonts w:cs="Times New Roman"/>
                <w:sz w:val="22"/>
              </w:rPr>
            </w:pPr>
            <w:r w:rsidRPr="008B200F">
              <w:rPr>
                <w:rFonts w:eastAsia="Times New Roman" w:cs="Times New Roman"/>
                <w:sz w:val="22"/>
              </w:rPr>
              <w:t>1.20%</w:t>
            </w:r>
          </w:p>
        </w:tc>
      </w:tr>
      <w:tr w:rsidR="68B7379A" w:rsidRPr="008B200F" w14:paraId="501A8088" w14:textId="77777777" w:rsidTr="00F65E08">
        <w:trPr>
          <w:trHeight w:val="180"/>
          <w:jc w:val="center"/>
        </w:trPr>
        <w:tc>
          <w:tcPr>
            <w:tcW w:w="1733" w:type="pct"/>
            <w:tcMar>
              <w:top w:w="15" w:type="dxa"/>
              <w:left w:w="15" w:type="dxa"/>
              <w:bottom w:w="15" w:type="dxa"/>
              <w:right w:w="15" w:type="dxa"/>
            </w:tcMar>
            <w:vAlign w:val="center"/>
          </w:tcPr>
          <w:p w14:paraId="3CC839AC" w14:textId="60D1601F" w:rsidR="68B7379A" w:rsidRPr="008B200F" w:rsidRDefault="68B7379A" w:rsidP="000A5389">
            <w:pPr>
              <w:spacing w:line="240" w:lineRule="auto"/>
              <w:rPr>
                <w:rFonts w:cs="Times New Roman"/>
                <w:sz w:val="22"/>
              </w:rPr>
            </w:pPr>
            <w:r w:rsidRPr="008B200F">
              <w:rPr>
                <w:rFonts w:eastAsia="Times New Roman" w:cs="Times New Roman"/>
                <w:sz w:val="22"/>
              </w:rPr>
              <w:t>VIADUCTOS Código CCP-95</w:t>
            </w:r>
          </w:p>
        </w:tc>
        <w:tc>
          <w:tcPr>
            <w:tcW w:w="1487" w:type="pct"/>
            <w:tcMar>
              <w:top w:w="15" w:type="dxa"/>
              <w:left w:w="15" w:type="dxa"/>
              <w:bottom w:w="15" w:type="dxa"/>
              <w:right w:w="15" w:type="dxa"/>
            </w:tcMar>
            <w:vAlign w:val="center"/>
          </w:tcPr>
          <w:p w14:paraId="7D2B3D50" w14:textId="3C183F5F" w:rsidR="68B7379A" w:rsidRPr="008B200F" w:rsidRDefault="68B7379A" w:rsidP="000A5389">
            <w:pPr>
              <w:spacing w:line="240" w:lineRule="auto"/>
              <w:jc w:val="center"/>
              <w:rPr>
                <w:rFonts w:cs="Times New Roman"/>
                <w:sz w:val="22"/>
              </w:rPr>
            </w:pPr>
            <w:r w:rsidRPr="008B200F">
              <w:rPr>
                <w:rFonts w:eastAsia="Times New Roman" w:cs="Times New Roman"/>
                <w:sz w:val="22"/>
              </w:rPr>
              <w:t>50</w:t>
            </w:r>
          </w:p>
        </w:tc>
        <w:tc>
          <w:tcPr>
            <w:tcW w:w="1780" w:type="pct"/>
            <w:tcMar>
              <w:top w:w="15" w:type="dxa"/>
              <w:left w:w="15" w:type="dxa"/>
              <w:bottom w:w="15" w:type="dxa"/>
              <w:right w:w="15" w:type="dxa"/>
            </w:tcMar>
            <w:vAlign w:val="center"/>
          </w:tcPr>
          <w:p w14:paraId="614A0DCD" w14:textId="02745D41" w:rsidR="68B7379A" w:rsidRPr="008B200F" w:rsidRDefault="68B7379A" w:rsidP="000A5389">
            <w:pPr>
              <w:spacing w:line="240" w:lineRule="auto"/>
              <w:jc w:val="center"/>
              <w:rPr>
                <w:rFonts w:cs="Times New Roman"/>
                <w:sz w:val="22"/>
              </w:rPr>
            </w:pPr>
            <w:r w:rsidRPr="008B200F">
              <w:rPr>
                <w:rFonts w:eastAsia="Times New Roman" w:cs="Times New Roman"/>
                <w:sz w:val="22"/>
              </w:rPr>
              <w:t>1.80%</w:t>
            </w:r>
          </w:p>
        </w:tc>
      </w:tr>
      <w:tr w:rsidR="68B7379A" w:rsidRPr="008B200F" w14:paraId="055DB784" w14:textId="77777777" w:rsidTr="00F65E08">
        <w:trPr>
          <w:trHeight w:val="195"/>
          <w:jc w:val="center"/>
        </w:trPr>
        <w:tc>
          <w:tcPr>
            <w:tcW w:w="1733" w:type="pct"/>
            <w:tcMar>
              <w:top w:w="15" w:type="dxa"/>
              <w:left w:w="15" w:type="dxa"/>
              <w:bottom w:w="15" w:type="dxa"/>
              <w:right w:w="15" w:type="dxa"/>
            </w:tcMar>
            <w:vAlign w:val="center"/>
          </w:tcPr>
          <w:p w14:paraId="2990C8A5" w14:textId="04DBB2AA" w:rsidR="68B7379A" w:rsidRPr="008B200F" w:rsidRDefault="68B7379A" w:rsidP="000A5389">
            <w:pPr>
              <w:spacing w:line="240" w:lineRule="auto"/>
              <w:rPr>
                <w:rFonts w:cs="Times New Roman"/>
                <w:sz w:val="22"/>
              </w:rPr>
            </w:pPr>
            <w:r w:rsidRPr="008B200F">
              <w:rPr>
                <w:rFonts w:eastAsia="Times New Roman" w:cs="Times New Roman"/>
                <w:sz w:val="22"/>
              </w:rPr>
              <w:t>VÍAS A CIELO ABIERTO</w:t>
            </w:r>
          </w:p>
        </w:tc>
        <w:tc>
          <w:tcPr>
            <w:tcW w:w="1487" w:type="pct"/>
            <w:tcMar>
              <w:top w:w="15" w:type="dxa"/>
              <w:left w:w="15" w:type="dxa"/>
              <w:bottom w:w="15" w:type="dxa"/>
              <w:right w:w="15" w:type="dxa"/>
            </w:tcMar>
            <w:vAlign w:val="center"/>
          </w:tcPr>
          <w:p w14:paraId="55964AA2" w14:textId="6BD7267B" w:rsidR="68B7379A" w:rsidRPr="008B200F" w:rsidRDefault="68B7379A" w:rsidP="000A5389">
            <w:pPr>
              <w:spacing w:line="240" w:lineRule="auto"/>
              <w:jc w:val="center"/>
              <w:rPr>
                <w:rFonts w:cs="Times New Roman"/>
                <w:sz w:val="22"/>
              </w:rPr>
            </w:pPr>
            <w:r w:rsidRPr="008B200F">
              <w:rPr>
                <w:rFonts w:eastAsia="Times New Roman" w:cs="Times New Roman"/>
                <w:sz w:val="22"/>
              </w:rPr>
              <w:t>15</w:t>
            </w:r>
          </w:p>
        </w:tc>
        <w:tc>
          <w:tcPr>
            <w:tcW w:w="1780" w:type="pct"/>
            <w:tcMar>
              <w:top w:w="15" w:type="dxa"/>
              <w:left w:w="15" w:type="dxa"/>
              <w:bottom w:w="15" w:type="dxa"/>
              <w:right w:w="15" w:type="dxa"/>
            </w:tcMar>
            <w:vAlign w:val="center"/>
          </w:tcPr>
          <w:p w14:paraId="5389A451" w14:textId="75139FB5" w:rsidR="68B7379A" w:rsidRPr="008B200F" w:rsidRDefault="68B7379A" w:rsidP="000A5389">
            <w:pPr>
              <w:spacing w:line="240" w:lineRule="auto"/>
              <w:jc w:val="center"/>
              <w:rPr>
                <w:rFonts w:cs="Times New Roman"/>
                <w:sz w:val="22"/>
              </w:rPr>
            </w:pPr>
            <w:r w:rsidRPr="008B200F">
              <w:rPr>
                <w:rFonts w:eastAsia="Times New Roman" w:cs="Times New Roman"/>
                <w:sz w:val="22"/>
              </w:rPr>
              <w:t>6.00%</w:t>
            </w:r>
          </w:p>
        </w:tc>
      </w:tr>
      <w:tr w:rsidR="68B7379A" w:rsidRPr="008B200F" w14:paraId="6881F966" w14:textId="77777777" w:rsidTr="00F65E08">
        <w:trPr>
          <w:trHeight w:val="30"/>
          <w:jc w:val="center"/>
        </w:trPr>
        <w:tc>
          <w:tcPr>
            <w:tcW w:w="1733" w:type="pct"/>
            <w:tcMar>
              <w:top w:w="15" w:type="dxa"/>
              <w:left w:w="15" w:type="dxa"/>
              <w:bottom w:w="15" w:type="dxa"/>
              <w:right w:w="15" w:type="dxa"/>
            </w:tcMar>
            <w:vAlign w:val="center"/>
          </w:tcPr>
          <w:p w14:paraId="093AFAA6" w14:textId="4B6AAE81" w:rsidR="68B7379A" w:rsidRPr="008B200F" w:rsidRDefault="68B7379A" w:rsidP="000A5389">
            <w:pPr>
              <w:spacing w:line="240" w:lineRule="auto"/>
              <w:rPr>
                <w:rFonts w:cs="Times New Roman"/>
                <w:sz w:val="22"/>
              </w:rPr>
            </w:pPr>
            <w:r w:rsidRPr="008B200F">
              <w:rPr>
                <w:rFonts w:eastAsia="Times New Roman" w:cs="Times New Roman"/>
                <w:sz w:val="22"/>
              </w:rPr>
              <w:t>EDIFICACIONES</w:t>
            </w:r>
          </w:p>
        </w:tc>
        <w:tc>
          <w:tcPr>
            <w:tcW w:w="1487" w:type="pct"/>
            <w:tcMar>
              <w:top w:w="15" w:type="dxa"/>
              <w:left w:w="15" w:type="dxa"/>
              <w:bottom w:w="15" w:type="dxa"/>
              <w:right w:w="15" w:type="dxa"/>
            </w:tcMar>
            <w:vAlign w:val="center"/>
          </w:tcPr>
          <w:p w14:paraId="71467501" w14:textId="2962A46A" w:rsidR="68B7379A" w:rsidRPr="008B200F" w:rsidRDefault="68B7379A" w:rsidP="000A5389">
            <w:pPr>
              <w:spacing w:line="240" w:lineRule="auto"/>
              <w:jc w:val="center"/>
              <w:rPr>
                <w:rFonts w:cs="Times New Roman"/>
                <w:sz w:val="22"/>
              </w:rPr>
            </w:pPr>
            <w:r w:rsidRPr="008B200F">
              <w:rPr>
                <w:rFonts w:eastAsia="Times New Roman" w:cs="Times New Roman"/>
                <w:sz w:val="22"/>
              </w:rPr>
              <w:t>45</w:t>
            </w:r>
          </w:p>
        </w:tc>
        <w:tc>
          <w:tcPr>
            <w:tcW w:w="1780" w:type="pct"/>
            <w:tcMar>
              <w:top w:w="15" w:type="dxa"/>
              <w:left w:w="15" w:type="dxa"/>
              <w:bottom w:w="15" w:type="dxa"/>
              <w:right w:w="15" w:type="dxa"/>
            </w:tcMar>
            <w:vAlign w:val="center"/>
          </w:tcPr>
          <w:p w14:paraId="7E196EE7" w14:textId="4809FF11" w:rsidR="68B7379A" w:rsidRPr="008B200F" w:rsidRDefault="68B7379A" w:rsidP="000A5389">
            <w:pPr>
              <w:spacing w:line="240" w:lineRule="auto"/>
              <w:jc w:val="center"/>
              <w:rPr>
                <w:rFonts w:cs="Times New Roman"/>
                <w:sz w:val="22"/>
              </w:rPr>
            </w:pPr>
            <w:r w:rsidRPr="008B200F">
              <w:rPr>
                <w:rFonts w:eastAsia="Times New Roman" w:cs="Times New Roman"/>
                <w:sz w:val="22"/>
              </w:rPr>
              <w:t>2.00%</w:t>
            </w:r>
          </w:p>
        </w:tc>
      </w:tr>
      <w:tr w:rsidR="68B7379A" w:rsidRPr="008B200F" w14:paraId="66CFFF98" w14:textId="77777777" w:rsidTr="00F65E08">
        <w:trPr>
          <w:trHeight w:val="45"/>
          <w:jc w:val="center"/>
        </w:trPr>
        <w:tc>
          <w:tcPr>
            <w:tcW w:w="1733" w:type="pct"/>
            <w:tcMar>
              <w:top w:w="15" w:type="dxa"/>
              <w:left w:w="15" w:type="dxa"/>
              <w:bottom w:w="15" w:type="dxa"/>
              <w:right w:w="15" w:type="dxa"/>
            </w:tcMar>
            <w:vAlign w:val="center"/>
          </w:tcPr>
          <w:p w14:paraId="5868A6C4" w14:textId="620A8049" w:rsidR="68B7379A" w:rsidRPr="008B200F" w:rsidRDefault="68B7379A" w:rsidP="000A5389">
            <w:pPr>
              <w:spacing w:line="240" w:lineRule="auto"/>
              <w:rPr>
                <w:rFonts w:cs="Times New Roman"/>
                <w:sz w:val="22"/>
              </w:rPr>
            </w:pPr>
            <w:r w:rsidRPr="008B200F">
              <w:rPr>
                <w:rFonts w:eastAsia="Times New Roman" w:cs="Times New Roman"/>
                <w:sz w:val="22"/>
              </w:rPr>
              <w:t>PREDIOS</w:t>
            </w:r>
          </w:p>
        </w:tc>
        <w:tc>
          <w:tcPr>
            <w:tcW w:w="1487" w:type="pct"/>
            <w:tcMar>
              <w:top w:w="15" w:type="dxa"/>
              <w:left w:w="15" w:type="dxa"/>
              <w:bottom w:w="15" w:type="dxa"/>
              <w:right w:w="15" w:type="dxa"/>
            </w:tcMar>
            <w:vAlign w:val="center"/>
          </w:tcPr>
          <w:p w14:paraId="7802C01E" w14:textId="619CE172" w:rsidR="68B7379A" w:rsidRPr="008B200F" w:rsidRDefault="68B7379A" w:rsidP="000A5389">
            <w:pPr>
              <w:spacing w:line="240" w:lineRule="auto"/>
              <w:jc w:val="center"/>
              <w:rPr>
                <w:rFonts w:cs="Times New Roman"/>
                <w:sz w:val="22"/>
              </w:rPr>
            </w:pPr>
            <w:r w:rsidRPr="008B200F">
              <w:rPr>
                <w:rFonts w:eastAsia="Times New Roman" w:cs="Times New Roman"/>
                <w:sz w:val="22"/>
              </w:rPr>
              <w:t>INDETERMINADO</w:t>
            </w:r>
          </w:p>
        </w:tc>
        <w:tc>
          <w:tcPr>
            <w:tcW w:w="1780" w:type="pct"/>
            <w:tcMar>
              <w:top w:w="15" w:type="dxa"/>
              <w:left w:w="15" w:type="dxa"/>
              <w:bottom w:w="15" w:type="dxa"/>
              <w:right w:w="15" w:type="dxa"/>
            </w:tcMar>
            <w:vAlign w:val="center"/>
          </w:tcPr>
          <w:p w14:paraId="7EFC11CB" w14:textId="392B1794" w:rsidR="68B7379A" w:rsidRPr="008B200F" w:rsidRDefault="68B7379A" w:rsidP="000A5389">
            <w:pPr>
              <w:spacing w:line="240" w:lineRule="auto"/>
              <w:jc w:val="center"/>
              <w:rPr>
                <w:rFonts w:cs="Times New Roman"/>
                <w:sz w:val="22"/>
              </w:rPr>
            </w:pPr>
            <w:r w:rsidRPr="008B200F">
              <w:rPr>
                <w:rFonts w:eastAsia="Times New Roman" w:cs="Times New Roman"/>
                <w:sz w:val="22"/>
              </w:rPr>
              <w:t>0.00%</w:t>
            </w:r>
          </w:p>
        </w:tc>
      </w:tr>
    </w:tbl>
    <w:p w14:paraId="5DF169CD" w14:textId="4A71096D" w:rsidR="10A7ADE9" w:rsidRPr="00951AB1" w:rsidRDefault="10A7ADE9" w:rsidP="000A5389">
      <w:pPr>
        <w:spacing w:line="240" w:lineRule="auto"/>
        <w:rPr>
          <w:rFonts w:cs="Times New Roman"/>
        </w:rPr>
      </w:pPr>
      <w:r w:rsidRPr="00951AB1">
        <w:rPr>
          <w:rFonts w:eastAsia="Times New Roman" w:cs="Times New Roman"/>
          <w:szCs w:val="24"/>
        </w:rPr>
        <w:t xml:space="preserve"> </w:t>
      </w:r>
    </w:p>
    <w:p w14:paraId="4083EE67" w14:textId="7ADB4C23" w:rsidR="10A7ADE9" w:rsidRPr="00951AB1" w:rsidRDefault="10A7ADE9" w:rsidP="000A5389">
      <w:pPr>
        <w:spacing w:line="240" w:lineRule="auto"/>
        <w:rPr>
          <w:rFonts w:cs="Times New Roman"/>
        </w:rPr>
      </w:pPr>
      <w:r w:rsidRPr="00951AB1">
        <w:rPr>
          <w:rFonts w:eastAsia="Times New Roman" w:cs="Times New Roman"/>
          <w:szCs w:val="24"/>
        </w:rPr>
        <w:t xml:space="preserve">En cuanto el </w:t>
      </w:r>
      <w:r w:rsidRPr="00951AB1">
        <w:rPr>
          <w:rFonts w:eastAsia="Times New Roman" w:cs="Times New Roman"/>
          <w:b/>
          <w:bCs/>
          <w:szCs w:val="24"/>
        </w:rPr>
        <w:t>deterioro</w:t>
      </w:r>
      <w:r w:rsidRPr="00951AB1">
        <w:rPr>
          <w:rFonts w:eastAsia="Times New Roman" w:cs="Times New Roman"/>
          <w:szCs w:val="24"/>
        </w:rPr>
        <w:t xml:space="preserve"> en el modo carretero, se conservó el método para aplicar el deterioro en los formatos establidos por la Agencia.</w:t>
      </w:r>
    </w:p>
    <w:p w14:paraId="76AFB6FF" w14:textId="386E0C3C" w:rsidR="10A7ADE9" w:rsidRPr="00951AB1" w:rsidRDefault="10A7ADE9" w:rsidP="000A5389">
      <w:pPr>
        <w:spacing w:line="240" w:lineRule="auto"/>
        <w:rPr>
          <w:rFonts w:cs="Times New Roman"/>
        </w:rPr>
      </w:pPr>
      <w:r w:rsidRPr="00951AB1">
        <w:rPr>
          <w:rFonts w:eastAsia="Times New Roman" w:cs="Times New Roman"/>
          <w:szCs w:val="24"/>
        </w:rPr>
        <w:t xml:space="preserve"> </w:t>
      </w:r>
    </w:p>
    <w:p w14:paraId="3BFA3915" w14:textId="7D86874F" w:rsidR="10A7ADE9" w:rsidRDefault="10A7ADE9" w:rsidP="000A5389">
      <w:pPr>
        <w:spacing w:line="240" w:lineRule="auto"/>
        <w:rPr>
          <w:rFonts w:eastAsia="Times New Roman" w:cs="Times New Roman"/>
          <w:szCs w:val="24"/>
        </w:rPr>
      </w:pPr>
      <w:r w:rsidRPr="00951AB1">
        <w:rPr>
          <w:rFonts w:eastAsia="Times New Roman" w:cs="Times New Roman"/>
          <w:szCs w:val="24"/>
        </w:rPr>
        <w:t xml:space="preserve">El </w:t>
      </w:r>
      <w:r w:rsidRPr="00951AB1">
        <w:rPr>
          <w:rFonts w:eastAsia="Times New Roman" w:cs="Times New Roman"/>
          <w:b/>
          <w:bCs/>
          <w:szCs w:val="24"/>
        </w:rPr>
        <w:t>inventario de activos portuario, y fluvial georreferenciado</w:t>
      </w:r>
      <w:r w:rsidRPr="00951AB1">
        <w:rPr>
          <w:rFonts w:eastAsia="Times New Roman" w:cs="Times New Roman"/>
          <w:szCs w:val="24"/>
        </w:rPr>
        <w:t>, si bien este entregable esta programado para el cuarto trimestre del año 2026, con un corte parcial en el año 2025, la Agencia georreferenció en el modo ferroviario para un tramo de 35 Kilómetros del proyecto Bogotá – Belencito, con el resultado de los siguientes elementos:</w:t>
      </w:r>
    </w:p>
    <w:p w14:paraId="11823BF6" w14:textId="77777777" w:rsidR="00F65E08" w:rsidRPr="00951AB1" w:rsidRDefault="00F65E08" w:rsidP="000A5389">
      <w:pPr>
        <w:spacing w:line="240" w:lineRule="auto"/>
        <w:rPr>
          <w:rFonts w:cs="Times New Roman"/>
        </w:rPr>
      </w:pPr>
    </w:p>
    <w:tbl>
      <w:tblPr>
        <w:tblW w:w="5000" w:type="pct"/>
        <w:tbl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insideH w:val="single" w:sz="2" w:space="0" w:color="A6A6A6" w:themeColor="background1" w:themeShade="A6"/>
          <w:insideV w:val="single" w:sz="2" w:space="0" w:color="A6A6A6" w:themeColor="background1" w:themeShade="A6"/>
        </w:tblBorders>
        <w:tblLook w:val="04A0" w:firstRow="1" w:lastRow="0" w:firstColumn="1" w:lastColumn="0" w:noHBand="0" w:noVBand="1"/>
      </w:tblPr>
      <w:tblGrid>
        <w:gridCol w:w="4817"/>
        <w:gridCol w:w="4015"/>
      </w:tblGrid>
      <w:tr w:rsidR="68B7379A" w:rsidRPr="008B200F" w14:paraId="50379C6A" w14:textId="77777777" w:rsidTr="008B200F">
        <w:trPr>
          <w:trHeight w:val="300"/>
          <w:tblHeader/>
        </w:trPr>
        <w:tc>
          <w:tcPr>
            <w:tcW w:w="2727" w:type="pct"/>
            <w:tcMar>
              <w:top w:w="15" w:type="dxa"/>
              <w:left w:w="15" w:type="dxa"/>
              <w:bottom w:w="15" w:type="dxa"/>
              <w:right w:w="15" w:type="dxa"/>
            </w:tcMar>
            <w:vAlign w:val="center"/>
          </w:tcPr>
          <w:p w14:paraId="74DEABF6" w14:textId="34A57696" w:rsidR="68B7379A" w:rsidRPr="008B200F" w:rsidRDefault="68B7379A" w:rsidP="000A5389">
            <w:pPr>
              <w:spacing w:line="240" w:lineRule="auto"/>
              <w:jc w:val="center"/>
              <w:rPr>
                <w:rFonts w:cs="Times New Roman"/>
                <w:sz w:val="22"/>
              </w:rPr>
            </w:pPr>
            <w:r w:rsidRPr="008B200F">
              <w:rPr>
                <w:rFonts w:eastAsia="Times New Roman" w:cs="Times New Roman"/>
                <w:b/>
                <w:bCs/>
                <w:sz w:val="22"/>
              </w:rPr>
              <w:t>Elemento</w:t>
            </w:r>
          </w:p>
        </w:tc>
        <w:tc>
          <w:tcPr>
            <w:tcW w:w="2273" w:type="pct"/>
            <w:tcMar>
              <w:top w:w="15" w:type="dxa"/>
              <w:left w:w="15" w:type="dxa"/>
              <w:bottom w:w="15" w:type="dxa"/>
              <w:right w:w="15" w:type="dxa"/>
            </w:tcMar>
            <w:vAlign w:val="center"/>
          </w:tcPr>
          <w:p w14:paraId="569B1888" w14:textId="07E4FEF3" w:rsidR="68B7379A" w:rsidRPr="008B200F" w:rsidRDefault="00F65E08" w:rsidP="000A5389">
            <w:pPr>
              <w:spacing w:line="240" w:lineRule="auto"/>
              <w:jc w:val="center"/>
              <w:rPr>
                <w:rFonts w:cs="Times New Roman"/>
                <w:sz w:val="22"/>
              </w:rPr>
            </w:pPr>
            <w:r w:rsidRPr="008B200F">
              <w:rPr>
                <w:rFonts w:cs="Times New Roman"/>
                <w:b/>
                <w:bCs/>
                <w:sz w:val="22"/>
              </w:rPr>
              <w:t>Elementos inventariados y georreferenciados</w:t>
            </w:r>
          </w:p>
        </w:tc>
      </w:tr>
      <w:tr w:rsidR="68B7379A" w:rsidRPr="008B200F" w14:paraId="7C5064AE" w14:textId="77777777" w:rsidTr="00F65E08">
        <w:trPr>
          <w:trHeight w:val="300"/>
        </w:trPr>
        <w:tc>
          <w:tcPr>
            <w:tcW w:w="2727" w:type="pct"/>
            <w:tcMar>
              <w:top w:w="15" w:type="dxa"/>
              <w:left w:w="15" w:type="dxa"/>
              <w:bottom w:w="15" w:type="dxa"/>
              <w:right w:w="15" w:type="dxa"/>
            </w:tcMar>
            <w:vAlign w:val="center"/>
          </w:tcPr>
          <w:p w14:paraId="4600CDE8" w14:textId="02881A1B" w:rsidR="68B7379A" w:rsidRPr="008B200F" w:rsidRDefault="68B7379A" w:rsidP="000A5389">
            <w:pPr>
              <w:spacing w:line="240" w:lineRule="auto"/>
              <w:jc w:val="center"/>
              <w:rPr>
                <w:rFonts w:cs="Times New Roman"/>
                <w:sz w:val="22"/>
              </w:rPr>
            </w:pPr>
            <w:r w:rsidRPr="008B200F">
              <w:rPr>
                <w:rFonts w:eastAsia="Times New Roman" w:cs="Times New Roman"/>
                <w:sz w:val="22"/>
              </w:rPr>
              <w:t>Tajea</w:t>
            </w:r>
          </w:p>
        </w:tc>
        <w:tc>
          <w:tcPr>
            <w:tcW w:w="2273" w:type="pct"/>
            <w:tcMar>
              <w:top w:w="15" w:type="dxa"/>
              <w:left w:w="15" w:type="dxa"/>
              <w:bottom w:w="15" w:type="dxa"/>
              <w:right w:w="15" w:type="dxa"/>
            </w:tcMar>
            <w:vAlign w:val="center"/>
          </w:tcPr>
          <w:p w14:paraId="1F748170" w14:textId="2DF38E84" w:rsidR="68B7379A" w:rsidRPr="008B200F" w:rsidRDefault="68B7379A" w:rsidP="000A5389">
            <w:pPr>
              <w:spacing w:line="240" w:lineRule="auto"/>
              <w:jc w:val="center"/>
              <w:rPr>
                <w:rFonts w:cs="Times New Roman"/>
                <w:sz w:val="22"/>
              </w:rPr>
            </w:pPr>
            <w:r w:rsidRPr="008B200F">
              <w:rPr>
                <w:rFonts w:eastAsia="Times New Roman" w:cs="Times New Roman"/>
                <w:sz w:val="22"/>
              </w:rPr>
              <w:t>120</w:t>
            </w:r>
          </w:p>
        </w:tc>
      </w:tr>
      <w:tr w:rsidR="68B7379A" w:rsidRPr="008B200F" w14:paraId="0D40DF3F" w14:textId="77777777" w:rsidTr="00F65E08">
        <w:trPr>
          <w:trHeight w:val="300"/>
        </w:trPr>
        <w:tc>
          <w:tcPr>
            <w:tcW w:w="2727" w:type="pct"/>
            <w:tcMar>
              <w:top w:w="15" w:type="dxa"/>
              <w:left w:w="15" w:type="dxa"/>
              <w:bottom w:w="15" w:type="dxa"/>
              <w:right w:w="15" w:type="dxa"/>
            </w:tcMar>
            <w:vAlign w:val="center"/>
          </w:tcPr>
          <w:p w14:paraId="7D3C5A8A" w14:textId="1B42A9FC" w:rsidR="68B7379A" w:rsidRPr="008B200F" w:rsidRDefault="68B7379A" w:rsidP="000A5389">
            <w:pPr>
              <w:spacing w:line="240" w:lineRule="auto"/>
              <w:jc w:val="center"/>
              <w:rPr>
                <w:rFonts w:cs="Times New Roman"/>
                <w:sz w:val="22"/>
              </w:rPr>
            </w:pPr>
            <w:r w:rsidRPr="008B200F">
              <w:rPr>
                <w:rFonts w:eastAsia="Times New Roman" w:cs="Times New Roman"/>
                <w:sz w:val="22"/>
              </w:rPr>
              <w:t>Juego</w:t>
            </w:r>
            <w:r w:rsidR="008B200F" w:rsidRPr="008B200F">
              <w:rPr>
                <w:rFonts w:eastAsia="Times New Roman" w:cs="Times New Roman"/>
                <w:sz w:val="22"/>
              </w:rPr>
              <w:t xml:space="preserve"> </w:t>
            </w:r>
            <w:r w:rsidRPr="008B200F">
              <w:rPr>
                <w:rFonts w:eastAsia="Times New Roman" w:cs="Times New Roman"/>
                <w:sz w:val="22"/>
              </w:rPr>
              <w:t>Cambia</w:t>
            </w:r>
            <w:r w:rsidR="008B200F" w:rsidRPr="008B200F">
              <w:rPr>
                <w:rFonts w:eastAsia="Times New Roman" w:cs="Times New Roman"/>
                <w:sz w:val="22"/>
              </w:rPr>
              <w:t xml:space="preserve"> Vía</w:t>
            </w:r>
          </w:p>
        </w:tc>
        <w:tc>
          <w:tcPr>
            <w:tcW w:w="2273" w:type="pct"/>
            <w:tcMar>
              <w:top w:w="15" w:type="dxa"/>
              <w:left w:w="15" w:type="dxa"/>
              <w:bottom w:w="15" w:type="dxa"/>
              <w:right w:w="15" w:type="dxa"/>
            </w:tcMar>
            <w:vAlign w:val="center"/>
          </w:tcPr>
          <w:p w14:paraId="1FBE71F1" w14:textId="1ADE7C22" w:rsidR="68B7379A" w:rsidRPr="008B200F" w:rsidRDefault="68B7379A" w:rsidP="000A5389">
            <w:pPr>
              <w:spacing w:line="240" w:lineRule="auto"/>
              <w:jc w:val="center"/>
              <w:rPr>
                <w:rFonts w:cs="Times New Roman"/>
                <w:sz w:val="22"/>
              </w:rPr>
            </w:pPr>
            <w:r w:rsidRPr="008B200F">
              <w:rPr>
                <w:rFonts w:eastAsia="Times New Roman" w:cs="Times New Roman"/>
                <w:sz w:val="22"/>
              </w:rPr>
              <w:t>7</w:t>
            </w:r>
          </w:p>
        </w:tc>
      </w:tr>
      <w:tr w:rsidR="68B7379A" w:rsidRPr="008B200F" w14:paraId="2CB73138" w14:textId="77777777" w:rsidTr="00F65E08">
        <w:trPr>
          <w:trHeight w:val="300"/>
        </w:trPr>
        <w:tc>
          <w:tcPr>
            <w:tcW w:w="2727" w:type="pct"/>
            <w:tcMar>
              <w:top w:w="15" w:type="dxa"/>
              <w:left w:w="15" w:type="dxa"/>
              <w:bottom w:w="15" w:type="dxa"/>
              <w:right w:w="15" w:type="dxa"/>
            </w:tcMar>
            <w:vAlign w:val="center"/>
          </w:tcPr>
          <w:p w14:paraId="42DBF464" w14:textId="71B2B808" w:rsidR="68B7379A" w:rsidRPr="008B200F" w:rsidRDefault="008B200F" w:rsidP="000A5389">
            <w:pPr>
              <w:spacing w:line="240" w:lineRule="auto"/>
              <w:jc w:val="center"/>
              <w:rPr>
                <w:rFonts w:cs="Times New Roman"/>
                <w:sz w:val="22"/>
              </w:rPr>
            </w:pPr>
            <w:r w:rsidRPr="008B200F">
              <w:rPr>
                <w:rFonts w:eastAsia="Times New Roman" w:cs="Times New Roman"/>
                <w:sz w:val="22"/>
              </w:rPr>
              <w:t>fin Vía</w:t>
            </w:r>
          </w:p>
        </w:tc>
        <w:tc>
          <w:tcPr>
            <w:tcW w:w="2273" w:type="pct"/>
            <w:tcMar>
              <w:top w:w="15" w:type="dxa"/>
              <w:left w:w="15" w:type="dxa"/>
              <w:bottom w:w="15" w:type="dxa"/>
              <w:right w:w="15" w:type="dxa"/>
            </w:tcMar>
            <w:vAlign w:val="center"/>
          </w:tcPr>
          <w:p w14:paraId="1B026D89" w14:textId="621714CA" w:rsidR="68B7379A" w:rsidRPr="008B200F" w:rsidRDefault="68B7379A" w:rsidP="000A5389">
            <w:pPr>
              <w:spacing w:line="240" w:lineRule="auto"/>
              <w:jc w:val="center"/>
              <w:rPr>
                <w:rFonts w:cs="Times New Roman"/>
                <w:sz w:val="22"/>
              </w:rPr>
            </w:pPr>
            <w:r w:rsidRPr="008B200F">
              <w:rPr>
                <w:rFonts w:eastAsia="Times New Roman" w:cs="Times New Roman"/>
                <w:sz w:val="22"/>
              </w:rPr>
              <w:t>7</w:t>
            </w:r>
          </w:p>
        </w:tc>
      </w:tr>
      <w:tr w:rsidR="68B7379A" w:rsidRPr="008B200F" w14:paraId="521E264B" w14:textId="77777777" w:rsidTr="00F65E08">
        <w:trPr>
          <w:trHeight w:val="300"/>
        </w:trPr>
        <w:tc>
          <w:tcPr>
            <w:tcW w:w="2727" w:type="pct"/>
            <w:tcMar>
              <w:top w:w="15" w:type="dxa"/>
              <w:left w:w="15" w:type="dxa"/>
              <w:bottom w:w="15" w:type="dxa"/>
              <w:right w:w="15" w:type="dxa"/>
            </w:tcMar>
            <w:vAlign w:val="center"/>
          </w:tcPr>
          <w:p w14:paraId="19A0D8BB" w14:textId="346AEAD8" w:rsidR="68B7379A" w:rsidRPr="008B200F" w:rsidRDefault="68B7379A" w:rsidP="000A5389">
            <w:pPr>
              <w:spacing w:line="240" w:lineRule="auto"/>
              <w:jc w:val="center"/>
              <w:rPr>
                <w:rFonts w:cs="Times New Roman"/>
                <w:sz w:val="22"/>
              </w:rPr>
            </w:pPr>
            <w:r w:rsidRPr="008B200F">
              <w:rPr>
                <w:rFonts w:eastAsia="Times New Roman" w:cs="Times New Roman"/>
                <w:sz w:val="22"/>
              </w:rPr>
              <w:t>Señal</w:t>
            </w:r>
          </w:p>
        </w:tc>
        <w:tc>
          <w:tcPr>
            <w:tcW w:w="2273" w:type="pct"/>
            <w:tcMar>
              <w:top w:w="15" w:type="dxa"/>
              <w:left w:w="15" w:type="dxa"/>
              <w:bottom w:w="15" w:type="dxa"/>
              <w:right w:w="15" w:type="dxa"/>
            </w:tcMar>
            <w:vAlign w:val="center"/>
          </w:tcPr>
          <w:p w14:paraId="69797905" w14:textId="22AE20F3" w:rsidR="68B7379A" w:rsidRPr="008B200F" w:rsidRDefault="68B7379A" w:rsidP="000A5389">
            <w:pPr>
              <w:spacing w:line="240" w:lineRule="auto"/>
              <w:jc w:val="center"/>
              <w:rPr>
                <w:rFonts w:cs="Times New Roman"/>
                <w:sz w:val="22"/>
              </w:rPr>
            </w:pPr>
            <w:r w:rsidRPr="008B200F">
              <w:rPr>
                <w:rFonts w:eastAsia="Times New Roman" w:cs="Times New Roman"/>
                <w:sz w:val="22"/>
              </w:rPr>
              <w:t>184</w:t>
            </w:r>
          </w:p>
        </w:tc>
      </w:tr>
      <w:tr w:rsidR="68B7379A" w:rsidRPr="008B200F" w14:paraId="6700CB84" w14:textId="77777777" w:rsidTr="00F65E08">
        <w:trPr>
          <w:trHeight w:val="300"/>
        </w:trPr>
        <w:tc>
          <w:tcPr>
            <w:tcW w:w="2727" w:type="pct"/>
            <w:tcMar>
              <w:top w:w="15" w:type="dxa"/>
              <w:left w:w="15" w:type="dxa"/>
              <w:bottom w:w="15" w:type="dxa"/>
              <w:right w:w="15" w:type="dxa"/>
            </w:tcMar>
            <w:vAlign w:val="center"/>
          </w:tcPr>
          <w:p w14:paraId="2E977CB9" w14:textId="3FE84D09" w:rsidR="68B7379A" w:rsidRPr="008B200F" w:rsidRDefault="68B7379A" w:rsidP="000A5389">
            <w:pPr>
              <w:spacing w:line="240" w:lineRule="auto"/>
              <w:jc w:val="center"/>
              <w:rPr>
                <w:rFonts w:cs="Times New Roman"/>
                <w:sz w:val="22"/>
              </w:rPr>
            </w:pPr>
            <w:r w:rsidRPr="008B200F">
              <w:rPr>
                <w:rFonts w:eastAsia="Times New Roman" w:cs="Times New Roman"/>
                <w:sz w:val="22"/>
              </w:rPr>
              <w:t>Tope</w:t>
            </w:r>
          </w:p>
        </w:tc>
        <w:tc>
          <w:tcPr>
            <w:tcW w:w="2273" w:type="pct"/>
            <w:tcMar>
              <w:top w:w="15" w:type="dxa"/>
              <w:left w:w="15" w:type="dxa"/>
              <w:bottom w:w="15" w:type="dxa"/>
              <w:right w:w="15" w:type="dxa"/>
            </w:tcMar>
            <w:vAlign w:val="center"/>
          </w:tcPr>
          <w:p w14:paraId="1D28FBDC" w14:textId="5F4A8283" w:rsidR="68B7379A" w:rsidRPr="008B200F" w:rsidRDefault="68B7379A" w:rsidP="000A5389">
            <w:pPr>
              <w:spacing w:line="240" w:lineRule="auto"/>
              <w:jc w:val="center"/>
              <w:rPr>
                <w:rFonts w:cs="Times New Roman"/>
                <w:sz w:val="22"/>
              </w:rPr>
            </w:pPr>
            <w:r w:rsidRPr="008B200F">
              <w:rPr>
                <w:rFonts w:eastAsia="Times New Roman" w:cs="Times New Roman"/>
                <w:sz w:val="22"/>
              </w:rPr>
              <w:t>2</w:t>
            </w:r>
          </w:p>
        </w:tc>
      </w:tr>
      <w:tr w:rsidR="68B7379A" w:rsidRPr="008B200F" w14:paraId="6CCA4EF0" w14:textId="77777777" w:rsidTr="00F65E08">
        <w:trPr>
          <w:trHeight w:val="300"/>
        </w:trPr>
        <w:tc>
          <w:tcPr>
            <w:tcW w:w="2727" w:type="pct"/>
            <w:tcMar>
              <w:top w:w="15" w:type="dxa"/>
              <w:left w:w="15" w:type="dxa"/>
              <w:bottom w:w="15" w:type="dxa"/>
              <w:right w:w="15" w:type="dxa"/>
            </w:tcMar>
            <w:vAlign w:val="center"/>
          </w:tcPr>
          <w:p w14:paraId="01B04236" w14:textId="5948A03B" w:rsidR="68B7379A" w:rsidRPr="008B200F" w:rsidRDefault="68B7379A" w:rsidP="000A5389">
            <w:pPr>
              <w:spacing w:line="240" w:lineRule="auto"/>
              <w:jc w:val="center"/>
              <w:rPr>
                <w:rFonts w:cs="Times New Roman"/>
                <w:sz w:val="22"/>
              </w:rPr>
            </w:pPr>
            <w:r w:rsidRPr="008B200F">
              <w:rPr>
                <w:rFonts w:eastAsia="Times New Roman" w:cs="Times New Roman"/>
                <w:sz w:val="22"/>
              </w:rPr>
              <w:t>Boxcoulvert</w:t>
            </w:r>
          </w:p>
        </w:tc>
        <w:tc>
          <w:tcPr>
            <w:tcW w:w="2273" w:type="pct"/>
            <w:tcMar>
              <w:top w:w="15" w:type="dxa"/>
              <w:left w:w="15" w:type="dxa"/>
              <w:bottom w:w="15" w:type="dxa"/>
              <w:right w:w="15" w:type="dxa"/>
            </w:tcMar>
            <w:vAlign w:val="center"/>
          </w:tcPr>
          <w:p w14:paraId="060A13D6" w14:textId="3F3EF484" w:rsidR="68B7379A" w:rsidRPr="008B200F" w:rsidRDefault="68B7379A" w:rsidP="000A5389">
            <w:pPr>
              <w:spacing w:line="240" w:lineRule="auto"/>
              <w:jc w:val="center"/>
              <w:rPr>
                <w:rFonts w:cs="Times New Roman"/>
                <w:sz w:val="22"/>
              </w:rPr>
            </w:pPr>
            <w:r w:rsidRPr="008B200F">
              <w:rPr>
                <w:rFonts w:eastAsia="Times New Roman" w:cs="Times New Roman"/>
                <w:sz w:val="22"/>
              </w:rPr>
              <w:t>21</w:t>
            </w:r>
          </w:p>
        </w:tc>
      </w:tr>
      <w:tr w:rsidR="68B7379A" w:rsidRPr="008B200F" w14:paraId="22486437" w14:textId="77777777" w:rsidTr="00F65E08">
        <w:trPr>
          <w:trHeight w:val="300"/>
        </w:trPr>
        <w:tc>
          <w:tcPr>
            <w:tcW w:w="2727" w:type="pct"/>
            <w:tcMar>
              <w:top w:w="15" w:type="dxa"/>
              <w:left w:w="15" w:type="dxa"/>
              <w:bottom w:w="15" w:type="dxa"/>
              <w:right w:w="15" w:type="dxa"/>
            </w:tcMar>
            <w:vAlign w:val="center"/>
          </w:tcPr>
          <w:p w14:paraId="125E7DDF" w14:textId="5B89186E" w:rsidR="68B7379A" w:rsidRPr="008B200F" w:rsidRDefault="68B7379A" w:rsidP="000A5389">
            <w:pPr>
              <w:spacing w:line="240" w:lineRule="auto"/>
              <w:jc w:val="center"/>
              <w:rPr>
                <w:rFonts w:cs="Times New Roman"/>
                <w:sz w:val="22"/>
              </w:rPr>
            </w:pPr>
            <w:r w:rsidRPr="008B200F">
              <w:rPr>
                <w:rFonts w:eastAsia="Times New Roman" w:cs="Times New Roman"/>
                <w:sz w:val="22"/>
              </w:rPr>
              <w:t>Alcantarilla</w:t>
            </w:r>
          </w:p>
        </w:tc>
        <w:tc>
          <w:tcPr>
            <w:tcW w:w="2273" w:type="pct"/>
            <w:tcMar>
              <w:top w:w="15" w:type="dxa"/>
              <w:left w:w="15" w:type="dxa"/>
              <w:bottom w:w="15" w:type="dxa"/>
              <w:right w:w="15" w:type="dxa"/>
            </w:tcMar>
            <w:vAlign w:val="center"/>
          </w:tcPr>
          <w:p w14:paraId="7887CA9E" w14:textId="1111D0B3" w:rsidR="68B7379A" w:rsidRPr="008B200F" w:rsidRDefault="68B7379A" w:rsidP="000A5389">
            <w:pPr>
              <w:spacing w:line="240" w:lineRule="auto"/>
              <w:jc w:val="center"/>
              <w:rPr>
                <w:rFonts w:cs="Times New Roman"/>
                <w:sz w:val="22"/>
              </w:rPr>
            </w:pPr>
            <w:r w:rsidRPr="008B200F">
              <w:rPr>
                <w:rFonts w:eastAsia="Times New Roman" w:cs="Times New Roman"/>
                <w:sz w:val="22"/>
              </w:rPr>
              <w:t>218</w:t>
            </w:r>
          </w:p>
        </w:tc>
      </w:tr>
      <w:tr w:rsidR="68B7379A" w:rsidRPr="008B200F" w14:paraId="148B22C2" w14:textId="77777777" w:rsidTr="00F65E08">
        <w:trPr>
          <w:trHeight w:val="300"/>
        </w:trPr>
        <w:tc>
          <w:tcPr>
            <w:tcW w:w="2727" w:type="pct"/>
            <w:tcMar>
              <w:top w:w="15" w:type="dxa"/>
              <w:left w:w="15" w:type="dxa"/>
              <w:bottom w:w="15" w:type="dxa"/>
              <w:right w:w="15" w:type="dxa"/>
            </w:tcMar>
            <w:vAlign w:val="center"/>
          </w:tcPr>
          <w:p w14:paraId="0CC9D051" w14:textId="7D7B0398" w:rsidR="68B7379A" w:rsidRPr="008B200F" w:rsidRDefault="68B7379A" w:rsidP="000A5389">
            <w:pPr>
              <w:spacing w:line="240" w:lineRule="auto"/>
              <w:jc w:val="center"/>
              <w:rPr>
                <w:rFonts w:cs="Times New Roman"/>
                <w:sz w:val="22"/>
              </w:rPr>
            </w:pPr>
            <w:r w:rsidRPr="008B200F">
              <w:rPr>
                <w:rFonts w:eastAsia="Times New Roman" w:cs="Times New Roman"/>
                <w:sz w:val="22"/>
              </w:rPr>
              <w:t>PK</w:t>
            </w:r>
          </w:p>
        </w:tc>
        <w:tc>
          <w:tcPr>
            <w:tcW w:w="2273" w:type="pct"/>
            <w:tcMar>
              <w:top w:w="15" w:type="dxa"/>
              <w:left w:w="15" w:type="dxa"/>
              <w:bottom w:w="15" w:type="dxa"/>
              <w:right w:w="15" w:type="dxa"/>
            </w:tcMar>
            <w:vAlign w:val="center"/>
          </w:tcPr>
          <w:p w14:paraId="63C6EBBE" w14:textId="318E8E0F" w:rsidR="68B7379A" w:rsidRPr="008B200F" w:rsidRDefault="68B7379A" w:rsidP="000A5389">
            <w:pPr>
              <w:spacing w:line="240" w:lineRule="auto"/>
              <w:jc w:val="center"/>
              <w:rPr>
                <w:rFonts w:cs="Times New Roman"/>
                <w:sz w:val="22"/>
              </w:rPr>
            </w:pPr>
            <w:r w:rsidRPr="008B200F">
              <w:rPr>
                <w:rFonts w:eastAsia="Times New Roman" w:cs="Times New Roman"/>
                <w:sz w:val="22"/>
              </w:rPr>
              <w:t>103</w:t>
            </w:r>
          </w:p>
        </w:tc>
      </w:tr>
      <w:tr w:rsidR="68B7379A" w:rsidRPr="008B200F" w14:paraId="68079824" w14:textId="77777777" w:rsidTr="00F65E08">
        <w:trPr>
          <w:trHeight w:val="300"/>
        </w:trPr>
        <w:tc>
          <w:tcPr>
            <w:tcW w:w="2727" w:type="pct"/>
            <w:tcMar>
              <w:top w:w="15" w:type="dxa"/>
              <w:left w:w="15" w:type="dxa"/>
              <w:bottom w:w="15" w:type="dxa"/>
              <w:right w:w="15" w:type="dxa"/>
            </w:tcMar>
            <w:vAlign w:val="center"/>
          </w:tcPr>
          <w:p w14:paraId="272D3FC1" w14:textId="4BEB51D4" w:rsidR="68B7379A" w:rsidRPr="008B200F" w:rsidRDefault="68B7379A" w:rsidP="000A5389">
            <w:pPr>
              <w:spacing w:line="240" w:lineRule="auto"/>
              <w:jc w:val="center"/>
              <w:rPr>
                <w:rFonts w:cs="Times New Roman"/>
                <w:sz w:val="22"/>
              </w:rPr>
            </w:pPr>
            <w:r w:rsidRPr="008B200F">
              <w:rPr>
                <w:rFonts w:eastAsia="Times New Roman" w:cs="Times New Roman"/>
                <w:sz w:val="22"/>
              </w:rPr>
              <w:t>Carril</w:t>
            </w:r>
          </w:p>
        </w:tc>
        <w:tc>
          <w:tcPr>
            <w:tcW w:w="2273" w:type="pct"/>
            <w:tcMar>
              <w:top w:w="15" w:type="dxa"/>
              <w:left w:w="15" w:type="dxa"/>
              <w:bottom w:w="15" w:type="dxa"/>
              <w:right w:w="15" w:type="dxa"/>
            </w:tcMar>
            <w:vAlign w:val="center"/>
          </w:tcPr>
          <w:p w14:paraId="3BD1A295" w14:textId="5714F33F" w:rsidR="68B7379A" w:rsidRPr="008B200F" w:rsidRDefault="68B7379A" w:rsidP="000A5389">
            <w:pPr>
              <w:spacing w:line="240" w:lineRule="auto"/>
              <w:jc w:val="center"/>
              <w:rPr>
                <w:rFonts w:cs="Times New Roman"/>
                <w:sz w:val="22"/>
              </w:rPr>
            </w:pPr>
            <w:r w:rsidRPr="008B200F">
              <w:rPr>
                <w:rFonts w:eastAsia="Times New Roman" w:cs="Times New Roman"/>
                <w:sz w:val="22"/>
              </w:rPr>
              <w:t>74</w:t>
            </w:r>
          </w:p>
        </w:tc>
      </w:tr>
      <w:tr w:rsidR="68B7379A" w:rsidRPr="008B200F" w14:paraId="66C11219" w14:textId="77777777" w:rsidTr="00F65E08">
        <w:trPr>
          <w:trHeight w:val="300"/>
        </w:trPr>
        <w:tc>
          <w:tcPr>
            <w:tcW w:w="2727" w:type="pct"/>
            <w:tcMar>
              <w:top w:w="15" w:type="dxa"/>
              <w:left w:w="15" w:type="dxa"/>
              <w:bottom w:w="15" w:type="dxa"/>
              <w:right w:w="15" w:type="dxa"/>
            </w:tcMar>
            <w:vAlign w:val="center"/>
          </w:tcPr>
          <w:p w14:paraId="62F11737" w14:textId="3DC669AD" w:rsidR="68B7379A" w:rsidRPr="008B200F" w:rsidRDefault="68B7379A" w:rsidP="000A5389">
            <w:pPr>
              <w:spacing w:line="240" w:lineRule="auto"/>
              <w:jc w:val="center"/>
              <w:rPr>
                <w:rFonts w:cs="Times New Roman"/>
                <w:sz w:val="22"/>
              </w:rPr>
            </w:pPr>
            <w:r w:rsidRPr="008B200F">
              <w:rPr>
                <w:rFonts w:eastAsia="Times New Roman" w:cs="Times New Roman"/>
                <w:sz w:val="22"/>
              </w:rPr>
              <w:t>Pasonivel</w:t>
            </w:r>
          </w:p>
        </w:tc>
        <w:tc>
          <w:tcPr>
            <w:tcW w:w="2273" w:type="pct"/>
            <w:tcMar>
              <w:top w:w="15" w:type="dxa"/>
              <w:left w:w="15" w:type="dxa"/>
              <w:bottom w:w="15" w:type="dxa"/>
              <w:right w:w="15" w:type="dxa"/>
            </w:tcMar>
            <w:vAlign w:val="center"/>
          </w:tcPr>
          <w:p w14:paraId="072E82A7" w14:textId="14FB866F" w:rsidR="68B7379A" w:rsidRPr="008B200F" w:rsidRDefault="68B7379A" w:rsidP="000A5389">
            <w:pPr>
              <w:spacing w:line="240" w:lineRule="auto"/>
              <w:jc w:val="center"/>
              <w:rPr>
                <w:rFonts w:cs="Times New Roman"/>
                <w:sz w:val="22"/>
              </w:rPr>
            </w:pPr>
            <w:r w:rsidRPr="008B200F">
              <w:rPr>
                <w:rFonts w:eastAsia="Times New Roman" w:cs="Times New Roman"/>
                <w:sz w:val="22"/>
              </w:rPr>
              <w:t>99</w:t>
            </w:r>
          </w:p>
        </w:tc>
      </w:tr>
      <w:tr w:rsidR="68B7379A" w:rsidRPr="008B200F" w14:paraId="1E22313F" w14:textId="77777777" w:rsidTr="00F65E08">
        <w:trPr>
          <w:trHeight w:val="300"/>
        </w:trPr>
        <w:tc>
          <w:tcPr>
            <w:tcW w:w="2727" w:type="pct"/>
            <w:tcMar>
              <w:top w:w="15" w:type="dxa"/>
              <w:left w:w="15" w:type="dxa"/>
              <w:bottom w:w="15" w:type="dxa"/>
              <w:right w:w="15" w:type="dxa"/>
            </w:tcMar>
            <w:vAlign w:val="center"/>
          </w:tcPr>
          <w:p w14:paraId="1C77C85E" w14:textId="749DAF4A" w:rsidR="68B7379A" w:rsidRPr="008B200F" w:rsidRDefault="68B7379A" w:rsidP="000A5389">
            <w:pPr>
              <w:spacing w:line="240" w:lineRule="auto"/>
              <w:jc w:val="center"/>
              <w:rPr>
                <w:rFonts w:cs="Times New Roman"/>
                <w:sz w:val="22"/>
              </w:rPr>
            </w:pPr>
            <w:r w:rsidRPr="008B200F">
              <w:rPr>
                <w:rFonts w:eastAsia="Times New Roman" w:cs="Times New Roman"/>
                <w:sz w:val="22"/>
              </w:rPr>
              <w:t>Cuneta</w:t>
            </w:r>
          </w:p>
        </w:tc>
        <w:tc>
          <w:tcPr>
            <w:tcW w:w="2273" w:type="pct"/>
            <w:tcMar>
              <w:top w:w="15" w:type="dxa"/>
              <w:left w:w="15" w:type="dxa"/>
              <w:bottom w:w="15" w:type="dxa"/>
              <w:right w:w="15" w:type="dxa"/>
            </w:tcMar>
            <w:vAlign w:val="center"/>
          </w:tcPr>
          <w:p w14:paraId="2B675D5C" w14:textId="44366882" w:rsidR="68B7379A" w:rsidRPr="008B200F" w:rsidRDefault="68B7379A" w:rsidP="000A5389">
            <w:pPr>
              <w:spacing w:line="240" w:lineRule="auto"/>
              <w:jc w:val="center"/>
              <w:rPr>
                <w:rFonts w:cs="Times New Roman"/>
                <w:sz w:val="22"/>
              </w:rPr>
            </w:pPr>
            <w:r w:rsidRPr="008B200F">
              <w:rPr>
                <w:rFonts w:eastAsia="Times New Roman" w:cs="Times New Roman"/>
                <w:sz w:val="22"/>
              </w:rPr>
              <w:t>80</w:t>
            </w:r>
          </w:p>
        </w:tc>
      </w:tr>
      <w:tr w:rsidR="68B7379A" w:rsidRPr="008B200F" w14:paraId="6675D961" w14:textId="77777777" w:rsidTr="00F65E08">
        <w:trPr>
          <w:trHeight w:val="300"/>
        </w:trPr>
        <w:tc>
          <w:tcPr>
            <w:tcW w:w="2727" w:type="pct"/>
            <w:tcMar>
              <w:top w:w="15" w:type="dxa"/>
              <w:left w:w="15" w:type="dxa"/>
              <w:bottom w:w="15" w:type="dxa"/>
              <w:right w:w="15" w:type="dxa"/>
            </w:tcMar>
            <w:vAlign w:val="center"/>
          </w:tcPr>
          <w:p w14:paraId="7B76505A" w14:textId="599E0186" w:rsidR="68B7379A" w:rsidRPr="008B200F" w:rsidRDefault="68B7379A" w:rsidP="000A5389">
            <w:pPr>
              <w:spacing w:line="240" w:lineRule="auto"/>
              <w:jc w:val="center"/>
              <w:rPr>
                <w:rFonts w:cs="Times New Roman"/>
                <w:sz w:val="22"/>
              </w:rPr>
            </w:pPr>
            <w:r w:rsidRPr="008B200F">
              <w:rPr>
                <w:rFonts w:eastAsia="Times New Roman" w:cs="Times New Roman"/>
                <w:sz w:val="22"/>
              </w:rPr>
              <w:t>Eje</w:t>
            </w:r>
            <w:r w:rsidR="008B200F" w:rsidRPr="008B200F">
              <w:rPr>
                <w:rFonts w:eastAsia="Times New Roman" w:cs="Times New Roman"/>
                <w:sz w:val="22"/>
              </w:rPr>
              <w:t xml:space="preserve"> vía Férrea</w:t>
            </w:r>
          </w:p>
        </w:tc>
        <w:tc>
          <w:tcPr>
            <w:tcW w:w="2273" w:type="pct"/>
            <w:tcMar>
              <w:top w:w="15" w:type="dxa"/>
              <w:left w:w="15" w:type="dxa"/>
              <w:bottom w:w="15" w:type="dxa"/>
              <w:right w:w="15" w:type="dxa"/>
            </w:tcMar>
            <w:vAlign w:val="center"/>
          </w:tcPr>
          <w:p w14:paraId="1D922AC8" w14:textId="628E1A26" w:rsidR="68B7379A" w:rsidRPr="008B200F" w:rsidRDefault="68B7379A" w:rsidP="000A5389">
            <w:pPr>
              <w:spacing w:line="240" w:lineRule="auto"/>
              <w:jc w:val="center"/>
              <w:rPr>
                <w:rFonts w:cs="Times New Roman"/>
                <w:sz w:val="22"/>
              </w:rPr>
            </w:pPr>
            <w:r w:rsidRPr="008B200F">
              <w:rPr>
                <w:rFonts w:eastAsia="Times New Roman" w:cs="Times New Roman"/>
                <w:sz w:val="22"/>
              </w:rPr>
              <w:t>37</w:t>
            </w:r>
          </w:p>
        </w:tc>
      </w:tr>
      <w:tr w:rsidR="68B7379A" w:rsidRPr="008B200F" w14:paraId="7E0B4514" w14:textId="77777777" w:rsidTr="00F65E08">
        <w:trPr>
          <w:trHeight w:val="300"/>
        </w:trPr>
        <w:tc>
          <w:tcPr>
            <w:tcW w:w="2727" w:type="pct"/>
            <w:tcMar>
              <w:top w:w="15" w:type="dxa"/>
              <w:left w:w="15" w:type="dxa"/>
              <w:bottom w:w="15" w:type="dxa"/>
              <w:right w:w="15" w:type="dxa"/>
            </w:tcMar>
            <w:vAlign w:val="center"/>
          </w:tcPr>
          <w:p w14:paraId="321F5A78" w14:textId="2FD7FBF7" w:rsidR="68B7379A" w:rsidRPr="008B200F" w:rsidRDefault="008B200F" w:rsidP="000A5389">
            <w:pPr>
              <w:spacing w:line="240" w:lineRule="auto"/>
              <w:jc w:val="center"/>
              <w:rPr>
                <w:rFonts w:cs="Times New Roman"/>
                <w:sz w:val="22"/>
              </w:rPr>
            </w:pPr>
            <w:r w:rsidRPr="008B200F">
              <w:rPr>
                <w:rFonts w:eastAsia="Times New Roman" w:cs="Times New Roman"/>
                <w:sz w:val="22"/>
              </w:rPr>
              <w:t xml:space="preserve">Vía </w:t>
            </w:r>
            <w:r w:rsidR="68B7379A" w:rsidRPr="008B200F">
              <w:rPr>
                <w:rFonts w:eastAsia="Times New Roman" w:cs="Times New Roman"/>
                <w:sz w:val="22"/>
              </w:rPr>
              <w:t>Acceso</w:t>
            </w:r>
          </w:p>
        </w:tc>
        <w:tc>
          <w:tcPr>
            <w:tcW w:w="2273" w:type="pct"/>
            <w:tcMar>
              <w:top w:w="15" w:type="dxa"/>
              <w:left w:w="15" w:type="dxa"/>
              <w:bottom w:w="15" w:type="dxa"/>
              <w:right w:w="15" w:type="dxa"/>
            </w:tcMar>
            <w:vAlign w:val="center"/>
          </w:tcPr>
          <w:p w14:paraId="138F744E" w14:textId="367C35E3" w:rsidR="68B7379A" w:rsidRPr="008B200F" w:rsidRDefault="68B7379A" w:rsidP="000A5389">
            <w:pPr>
              <w:spacing w:line="240" w:lineRule="auto"/>
              <w:jc w:val="center"/>
              <w:rPr>
                <w:rFonts w:cs="Times New Roman"/>
                <w:sz w:val="22"/>
              </w:rPr>
            </w:pPr>
            <w:r w:rsidRPr="008B200F">
              <w:rPr>
                <w:rFonts w:eastAsia="Times New Roman" w:cs="Times New Roman"/>
                <w:sz w:val="22"/>
              </w:rPr>
              <w:t>37</w:t>
            </w:r>
          </w:p>
        </w:tc>
      </w:tr>
      <w:tr w:rsidR="68B7379A" w:rsidRPr="008B200F" w14:paraId="4DDF3795" w14:textId="77777777" w:rsidTr="00F65E08">
        <w:trPr>
          <w:trHeight w:val="300"/>
        </w:trPr>
        <w:tc>
          <w:tcPr>
            <w:tcW w:w="2727" w:type="pct"/>
            <w:tcMar>
              <w:top w:w="15" w:type="dxa"/>
              <w:left w:w="15" w:type="dxa"/>
              <w:bottom w:w="15" w:type="dxa"/>
              <w:right w:w="15" w:type="dxa"/>
            </w:tcMar>
            <w:vAlign w:val="center"/>
          </w:tcPr>
          <w:p w14:paraId="60275CA4" w14:textId="61EBFF6A" w:rsidR="68B7379A" w:rsidRPr="008B200F" w:rsidRDefault="68B7379A" w:rsidP="000A5389">
            <w:pPr>
              <w:spacing w:line="240" w:lineRule="auto"/>
              <w:jc w:val="center"/>
              <w:rPr>
                <w:rFonts w:cs="Times New Roman"/>
                <w:sz w:val="22"/>
              </w:rPr>
            </w:pPr>
            <w:r w:rsidRPr="008B200F">
              <w:rPr>
                <w:rFonts w:eastAsia="Times New Roman" w:cs="Times New Roman"/>
                <w:sz w:val="22"/>
              </w:rPr>
              <w:t>Puente</w:t>
            </w:r>
          </w:p>
        </w:tc>
        <w:tc>
          <w:tcPr>
            <w:tcW w:w="2273" w:type="pct"/>
            <w:tcMar>
              <w:top w:w="15" w:type="dxa"/>
              <w:left w:w="15" w:type="dxa"/>
              <w:bottom w:w="15" w:type="dxa"/>
              <w:right w:w="15" w:type="dxa"/>
            </w:tcMar>
            <w:vAlign w:val="center"/>
          </w:tcPr>
          <w:p w14:paraId="426FCF97" w14:textId="35B4AE6D" w:rsidR="68B7379A" w:rsidRPr="008B200F" w:rsidRDefault="68B7379A" w:rsidP="000A5389">
            <w:pPr>
              <w:spacing w:line="240" w:lineRule="auto"/>
              <w:jc w:val="center"/>
              <w:rPr>
                <w:rFonts w:cs="Times New Roman"/>
                <w:sz w:val="22"/>
              </w:rPr>
            </w:pPr>
            <w:r w:rsidRPr="008B200F">
              <w:rPr>
                <w:rFonts w:eastAsia="Times New Roman" w:cs="Times New Roman"/>
                <w:sz w:val="22"/>
              </w:rPr>
              <w:t>19</w:t>
            </w:r>
          </w:p>
        </w:tc>
      </w:tr>
      <w:tr w:rsidR="68B7379A" w:rsidRPr="008B200F" w14:paraId="3BA4BBD8" w14:textId="77777777" w:rsidTr="00F65E08">
        <w:trPr>
          <w:trHeight w:val="300"/>
        </w:trPr>
        <w:tc>
          <w:tcPr>
            <w:tcW w:w="2727" w:type="pct"/>
            <w:tcMar>
              <w:top w:w="15" w:type="dxa"/>
              <w:left w:w="15" w:type="dxa"/>
              <w:bottom w:w="15" w:type="dxa"/>
              <w:right w:w="15" w:type="dxa"/>
            </w:tcMar>
            <w:vAlign w:val="center"/>
          </w:tcPr>
          <w:p w14:paraId="555915E2" w14:textId="31E37993" w:rsidR="68B7379A" w:rsidRPr="008B200F" w:rsidRDefault="68B7379A" w:rsidP="000A5389">
            <w:pPr>
              <w:spacing w:line="240" w:lineRule="auto"/>
              <w:jc w:val="center"/>
              <w:rPr>
                <w:rFonts w:cs="Times New Roman"/>
                <w:sz w:val="22"/>
              </w:rPr>
            </w:pPr>
            <w:r w:rsidRPr="008B200F">
              <w:rPr>
                <w:rFonts w:eastAsia="Times New Roman" w:cs="Times New Roman"/>
                <w:sz w:val="22"/>
              </w:rPr>
              <w:t>Silo</w:t>
            </w:r>
          </w:p>
        </w:tc>
        <w:tc>
          <w:tcPr>
            <w:tcW w:w="2273" w:type="pct"/>
            <w:tcMar>
              <w:top w:w="15" w:type="dxa"/>
              <w:left w:w="15" w:type="dxa"/>
              <w:bottom w:w="15" w:type="dxa"/>
              <w:right w:w="15" w:type="dxa"/>
            </w:tcMar>
            <w:vAlign w:val="center"/>
          </w:tcPr>
          <w:p w14:paraId="38BFC6D5" w14:textId="54AA88C6" w:rsidR="68B7379A" w:rsidRPr="008B200F" w:rsidRDefault="68B7379A" w:rsidP="000A5389">
            <w:pPr>
              <w:spacing w:line="240" w:lineRule="auto"/>
              <w:jc w:val="center"/>
              <w:rPr>
                <w:rFonts w:cs="Times New Roman"/>
                <w:sz w:val="22"/>
              </w:rPr>
            </w:pPr>
            <w:r w:rsidRPr="008B200F">
              <w:rPr>
                <w:rFonts w:eastAsia="Times New Roman" w:cs="Times New Roman"/>
                <w:sz w:val="22"/>
              </w:rPr>
              <w:t>3</w:t>
            </w:r>
          </w:p>
        </w:tc>
      </w:tr>
      <w:tr w:rsidR="68B7379A" w:rsidRPr="008B200F" w14:paraId="4C3EAF3D" w14:textId="77777777" w:rsidTr="00F65E08">
        <w:trPr>
          <w:trHeight w:val="300"/>
        </w:trPr>
        <w:tc>
          <w:tcPr>
            <w:tcW w:w="2727" w:type="pct"/>
            <w:tcMar>
              <w:top w:w="15" w:type="dxa"/>
              <w:left w:w="15" w:type="dxa"/>
              <w:bottom w:w="15" w:type="dxa"/>
              <w:right w:w="15" w:type="dxa"/>
            </w:tcMar>
            <w:vAlign w:val="center"/>
          </w:tcPr>
          <w:p w14:paraId="0EBEA4D9" w14:textId="1528257A" w:rsidR="68B7379A" w:rsidRPr="008B200F" w:rsidRDefault="68B7379A" w:rsidP="000A5389">
            <w:pPr>
              <w:spacing w:line="240" w:lineRule="auto"/>
              <w:jc w:val="center"/>
              <w:rPr>
                <w:rFonts w:cs="Times New Roman"/>
                <w:sz w:val="22"/>
              </w:rPr>
            </w:pPr>
            <w:r w:rsidRPr="008B200F">
              <w:rPr>
                <w:rFonts w:eastAsia="Times New Roman" w:cs="Times New Roman"/>
                <w:sz w:val="22"/>
              </w:rPr>
              <w:t>Torre</w:t>
            </w:r>
          </w:p>
        </w:tc>
        <w:tc>
          <w:tcPr>
            <w:tcW w:w="2273" w:type="pct"/>
            <w:tcMar>
              <w:top w:w="15" w:type="dxa"/>
              <w:left w:w="15" w:type="dxa"/>
              <w:bottom w:w="15" w:type="dxa"/>
              <w:right w:w="15" w:type="dxa"/>
            </w:tcMar>
            <w:vAlign w:val="center"/>
          </w:tcPr>
          <w:p w14:paraId="7C754E5D" w14:textId="1D6A2893" w:rsidR="68B7379A" w:rsidRPr="008B200F" w:rsidRDefault="68B7379A" w:rsidP="000A5389">
            <w:pPr>
              <w:spacing w:line="240" w:lineRule="auto"/>
              <w:jc w:val="center"/>
              <w:rPr>
                <w:rFonts w:cs="Times New Roman"/>
                <w:sz w:val="22"/>
              </w:rPr>
            </w:pPr>
            <w:r w:rsidRPr="008B200F">
              <w:rPr>
                <w:rFonts w:eastAsia="Times New Roman" w:cs="Times New Roman"/>
                <w:sz w:val="22"/>
              </w:rPr>
              <w:t>11</w:t>
            </w:r>
          </w:p>
        </w:tc>
      </w:tr>
      <w:tr w:rsidR="68B7379A" w:rsidRPr="008B200F" w14:paraId="136497FC" w14:textId="77777777" w:rsidTr="00F65E08">
        <w:trPr>
          <w:trHeight w:val="300"/>
        </w:trPr>
        <w:tc>
          <w:tcPr>
            <w:tcW w:w="2727" w:type="pct"/>
            <w:tcMar>
              <w:top w:w="15" w:type="dxa"/>
              <w:left w:w="15" w:type="dxa"/>
              <w:bottom w:w="15" w:type="dxa"/>
              <w:right w:w="15" w:type="dxa"/>
            </w:tcMar>
            <w:vAlign w:val="center"/>
          </w:tcPr>
          <w:p w14:paraId="3161401C" w14:textId="0157D81A" w:rsidR="68B7379A" w:rsidRPr="008B200F" w:rsidRDefault="68B7379A" w:rsidP="000A5389">
            <w:pPr>
              <w:spacing w:line="240" w:lineRule="auto"/>
              <w:jc w:val="center"/>
              <w:rPr>
                <w:rFonts w:cs="Times New Roman"/>
                <w:sz w:val="22"/>
              </w:rPr>
            </w:pPr>
            <w:r w:rsidRPr="008B200F">
              <w:rPr>
                <w:rFonts w:eastAsia="Times New Roman" w:cs="Times New Roman"/>
                <w:sz w:val="22"/>
              </w:rPr>
              <w:t>Caseta</w:t>
            </w:r>
          </w:p>
        </w:tc>
        <w:tc>
          <w:tcPr>
            <w:tcW w:w="2273" w:type="pct"/>
            <w:tcMar>
              <w:top w:w="15" w:type="dxa"/>
              <w:left w:w="15" w:type="dxa"/>
              <w:bottom w:w="15" w:type="dxa"/>
              <w:right w:w="15" w:type="dxa"/>
            </w:tcMar>
            <w:vAlign w:val="center"/>
          </w:tcPr>
          <w:p w14:paraId="6B80C927" w14:textId="30F18482" w:rsidR="68B7379A" w:rsidRPr="008B200F" w:rsidRDefault="68B7379A" w:rsidP="000A5389">
            <w:pPr>
              <w:spacing w:line="240" w:lineRule="auto"/>
              <w:jc w:val="center"/>
              <w:rPr>
                <w:rFonts w:cs="Times New Roman"/>
                <w:sz w:val="22"/>
              </w:rPr>
            </w:pPr>
            <w:r w:rsidRPr="008B200F">
              <w:rPr>
                <w:rFonts w:eastAsia="Times New Roman" w:cs="Times New Roman"/>
                <w:sz w:val="22"/>
              </w:rPr>
              <w:t>4</w:t>
            </w:r>
          </w:p>
        </w:tc>
      </w:tr>
      <w:tr w:rsidR="68B7379A" w:rsidRPr="008B200F" w14:paraId="5CB84329" w14:textId="77777777" w:rsidTr="00F65E08">
        <w:trPr>
          <w:trHeight w:val="300"/>
        </w:trPr>
        <w:tc>
          <w:tcPr>
            <w:tcW w:w="2727" w:type="pct"/>
            <w:tcMar>
              <w:top w:w="15" w:type="dxa"/>
              <w:left w:w="15" w:type="dxa"/>
              <w:bottom w:w="15" w:type="dxa"/>
              <w:right w:w="15" w:type="dxa"/>
            </w:tcMar>
            <w:vAlign w:val="center"/>
          </w:tcPr>
          <w:p w14:paraId="429FDF6B" w14:textId="3C24D45B" w:rsidR="68B7379A" w:rsidRPr="008B200F" w:rsidRDefault="68B7379A" w:rsidP="000A5389">
            <w:pPr>
              <w:spacing w:line="240" w:lineRule="auto"/>
              <w:jc w:val="center"/>
              <w:rPr>
                <w:rFonts w:cs="Times New Roman"/>
                <w:sz w:val="22"/>
              </w:rPr>
            </w:pPr>
            <w:r w:rsidRPr="008B200F">
              <w:rPr>
                <w:rFonts w:eastAsia="Times New Roman" w:cs="Times New Roman"/>
                <w:sz w:val="22"/>
              </w:rPr>
              <w:t>Cerramiento</w:t>
            </w:r>
          </w:p>
        </w:tc>
        <w:tc>
          <w:tcPr>
            <w:tcW w:w="2273" w:type="pct"/>
            <w:tcMar>
              <w:top w:w="15" w:type="dxa"/>
              <w:left w:w="15" w:type="dxa"/>
              <w:bottom w:w="15" w:type="dxa"/>
              <w:right w:w="15" w:type="dxa"/>
            </w:tcMar>
            <w:vAlign w:val="center"/>
          </w:tcPr>
          <w:p w14:paraId="14B471B7" w14:textId="4CCA9858" w:rsidR="68B7379A" w:rsidRPr="008B200F" w:rsidRDefault="68B7379A" w:rsidP="000A5389">
            <w:pPr>
              <w:spacing w:line="240" w:lineRule="auto"/>
              <w:jc w:val="center"/>
              <w:rPr>
                <w:rFonts w:cs="Times New Roman"/>
                <w:sz w:val="22"/>
              </w:rPr>
            </w:pPr>
            <w:r w:rsidRPr="008B200F">
              <w:rPr>
                <w:rFonts w:eastAsia="Times New Roman" w:cs="Times New Roman"/>
                <w:sz w:val="22"/>
              </w:rPr>
              <w:t>423</w:t>
            </w:r>
          </w:p>
        </w:tc>
      </w:tr>
      <w:tr w:rsidR="68B7379A" w:rsidRPr="008B200F" w14:paraId="511D96EF" w14:textId="77777777" w:rsidTr="00F65E08">
        <w:trPr>
          <w:trHeight w:val="300"/>
        </w:trPr>
        <w:tc>
          <w:tcPr>
            <w:tcW w:w="2727" w:type="pct"/>
            <w:tcMar>
              <w:top w:w="15" w:type="dxa"/>
              <w:left w:w="15" w:type="dxa"/>
              <w:bottom w:w="15" w:type="dxa"/>
              <w:right w:w="15" w:type="dxa"/>
            </w:tcMar>
            <w:vAlign w:val="center"/>
          </w:tcPr>
          <w:p w14:paraId="613BF9B4" w14:textId="1085E1A7" w:rsidR="68B7379A" w:rsidRPr="008B200F" w:rsidRDefault="68B7379A" w:rsidP="000A5389">
            <w:pPr>
              <w:spacing w:line="240" w:lineRule="auto"/>
              <w:jc w:val="center"/>
              <w:rPr>
                <w:rFonts w:cs="Times New Roman"/>
                <w:sz w:val="22"/>
              </w:rPr>
            </w:pPr>
            <w:r w:rsidRPr="008B200F">
              <w:rPr>
                <w:rFonts w:eastAsia="Times New Roman" w:cs="Times New Roman"/>
                <w:sz w:val="22"/>
              </w:rPr>
              <w:t>Campamento</w:t>
            </w:r>
          </w:p>
        </w:tc>
        <w:tc>
          <w:tcPr>
            <w:tcW w:w="2273" w:type="pct"/>
            <w:tcMar>
              <w:top w:w="15" w:type="dxa"/>
              <w:left w:w="15" w:type="dxa"/>
              <w:bottom w:w="15" w:type="dxa"/>
              <w:right w:w="15" w:type="dxa"/>
            </w:tcMar>
            <w:vAlign w:val="center"/>
          </w:tcPr>
          <w:p w14:paraId="292EC535" w14:textId="63C9F197" w:rsidR="68B7379A" w:rsidRPr="008B200F" w:rsidRDefault="68B7379A" w:rsidP="000A5389">
            <w:pPr>
              <w:spacing w:line="240" w:lineRule="auto"/>
              <w:jc w:val="center"/>
              <w:rPr>
                <w:rFonts w:cs="Times New Roman"/>
                <w:sz w:val="22"/>
              </w:rPr>
            </w:pPr>
            <w:r w:rsidRPr="008B200F">
              <w:rPr>
                <w:rFonts w:eastAsia="Times New Roman" w:cs="Times New Roman"/>
                <w:sz w:val="22"/>
              </w:rPr>
              <w:t>1</w:t>
            </w:r>
          </w:p>
        </w:tc>
      </w:tr>
      <w:tr w:rsidR="68B7379A" w:rsidRPr="008B200F" w14:paraId="6E4A51C9" w14:textId="77777777" w:rsidTr="00F65E08">
        <w:trPr>
          <w:trHeight w:val="300"/>
        </w:trPr>
        <w:tc>
          <w:tcPr>
            <w:tcW w:w="2727" w:type="pct"/>
            <w:tcMar>
              <w:top w:w="15" w:type="dxa"/>
              <w:left w:w="15" w:type="dxa"/>
              <w:bottom w:w="15" w:type="dxa"/>
              <w:right w:w="15" w:type="dxa"/>
            </w:tcMar>
            <w:vAlign w:val="center"/>
          </w:tcPr>
          <w:p w14:paraId="30BB4056" w14:textId="0DD73441" w:rsidR="68B7379A" w:rsidRPr="008B200F" w:rsidRDefault="68B7379A" w:rsidP="000A5389">
            <w:pPr>
              <w:spacing w:line="240" w:lineRule="auto"/>
              <w:jc w:val="center"/>
              <w:rPr>
                <w:rFonts w:cs="Times New Roman"/>
                <w:sz w:val="22"/>
              </w:rPr>
            </w:pPr>
            <w:r w:rsidRPr="008B200F">
              <w:rPr>
                <w:rFonts w:eastAsia="Times New Roman" w:cs="Times New Roman"/>
                <w:sz w:val="22"/>
              </w:rPr>
              <w:lastRenderedPageBreak/>
              <w:t>Bodega</w:t>
            </w:r>
          </w:p>
        </w:tc>
        <w:tc>
          <w:tcPr>
            <w:tcW w:w="2273" w:type="pct"/>
            <w:tcMar>
              <w:top w:w="15" w:type="dxa"/>
              <w:left w:w="15" w:type="dxa"/>
              <w:bottom w:w="15" w:type="dxa"/>
              <w:right w:w="15" w:type="dxa"/>
            </w:tcMar>
            <w:vAlign w:val="center"/>
          </w:tcPr>
          <w:p w14:paraId="596BEBB4" w14:textId="419F85B9" w:rsidR="68B7379A" w:rsidRPr="008B200F" w:rsidRDefault="68B7379A" w:rsidP="000A5389">
            <w:pPr>
              <w:spacing w:line="240" w:lineRule="auto"/>
              <w:jc w:val="center"/>
              <w:rPr>
                <w:rFonts w:cs="Times New Roman"/>
                <w:sz w:val="22"/>
              </w:rPr>
            </w:pPr>
            <w:r w:rsidRPr="008B200F">
              <w:rPr>
                <w:rFonts w:eastAsia="Times New Roman" w:cs="Times New Roman"/>
                <w:sz w:val="22"/>
              </w:rPr>
              <w:t>1</w:t>
            </w:r>
          </w:p>
        </w:tc>
      </w:tr>
      <w:tr w:rsidR="68B7379A" w:rsidRPr="008B200F" w14:paraId="3BCA3879" w14:textId="77777777" w:rsidTr="00F65E08">
        <w:trPr>
          <w:trHeight w:val="300"/>
        </w:trPr>
        <w:tc>
          <w:tcPr>
            <w:tcW w:w="2727" w:type="pct"/>
            <w:tcMar>
              <w:top w:w="15" w:type="dxa"/>
              <w:left w:w="15" w:type="dxa"/>
              <w:bottom w:w="15" w:type="dxa"/>
              <w:right w:w="15" w:type="dxa"/>
            </w:tcMar>
            <w:vAlign w:val="center"/>
          </w:tcPr>
          <w:p w14:paraId="7513F14C" w14:textId="5EC1FB5E" w:rsidR="68B7379A" w:rsidRPr="008B200F" w:rsidRDefault="68B7379A" w:rsidP="000A5389">
            <w:pPr>
              <w:spacing w:line="240" w:lineRule="auto"/>
              <w:jc w:val="center"/>
              <w:rPr>
                <w:rFonts w:cs="Times New Roman"/>
                <w:sz w:val="22"/>
              </w:rPr>
            </w:pPr>
            <w:r w:rsidRPr="008B200F">
              <w:rPr>
                <w:rFonts w:eastAsia="Times New Roman" w:cs="Times New Roman"/>
                <w:sz w:val="22"/>
              </w:rPr>
              <w:t>Estacion</w:t>
            </w:r>
          </w:p>
        </w:tc>
        <w:tc>
          <w:tcPr>
            <w:tcW w:w="2273" w:type="pct"/>
            <w:tcMar>
              <w:top w:w="15" w:type="dxa"/>
              <w:left w:w="15" w:type="dxa"/>
              <w:bottom w:w="15" w:type="dxa"/>
              <w:right w:w="15" w:type="dxa"/>
            </w:tcMar>
            <w:vAlign w:val="center"/>
          </w:tcPr>
          <w:p w14:paraId="23BB21B5" w14:textId="2DEBA9F5" w:rsidR="68B7379A" w:rsidRPr="008B200F" w:rsidRDefault="68B7379A" w:rsidP="000A5389">
            <w:pPr>
              <w:spacing w:line="240" w:lineRule="auto"/>
              <w:jc w:val="center"/>
              <w:rPr>
                <w:rFonts w:cs="Times New Roman"/>
                <w:sz w:val="22"/>
              </w:rPr>
            </w:pPr>
            <w:r w:rsidRPr="008B200F">
              <w:rPr>
                <w:rFonts w:eastAsia="Times New Roman" w:cs="Times New Roman"/>
                <w:sz w:val="22"/>
              </w:rPr>
              <w:t>4</w:t>
            </w:r>
          </w:p>
        </w:tc>
      </w:tr>
      <w:tr w:rsidR="68B7379A" w:rsidRPr="008B200F" w14:paraId="1C8BBB86" w14:textId="77777777" w:rsidTr="00F65E08">
        <w:trPr>
          <w:trHeight w:val="300"/>
        </w:trPr>
        <w:tc>
          <w:tcPr>
            <w:tcW w:w="2727" w:type="pct"/>
            <w:tcMar>
              <w:top w:w="15" w:type="dxa"/>
              <w:left w:w="15" w:type="dxa"/>
              <w:bottom w:w="15" w:type="dxa"/>
              <w:right w:w="15" w:type="dxa"/>
            </w:tcMar>
            <w:vAlign w:val="center"/>
          </w:tcPr>
          <w:p w14:paraId="744BA76F" w14:textId="5DDE13F6" w:rsidR="68B7379A" w:rsidRPr="008B200F" w:rsidRDefault="68B7379A" w:rsidP="000A5389">
            <w:pPr>
              <w:spacing w:line="240" w:lineRule="auto"/>
              <w:jc w:val="center"/>
              <w:rPr>
                <w:rFonts w:cs="Times New Roman"/>
                <w:sz w:val="22"/>
              </w:rPr>
            </w:pPr>
            <w:r w:rsidRPr="008B200F">
              <w:rPr>
                <w:rFonts w:eastAsia="Times New Roman" w:cs="Times New Roman"/>
                <w:sz w:val="22"/>
              </w:rPr>
              <w:t>Abscisa</w:t>
            </w:r>
          </w:p>
        </w:tc>
        <w:tc>
          <w:tcPr>
            <w:tcW w:w="2273" w:type="pct"/>
            <w:tcMar>
              <w:top w:w="15" w:type="dxa"/>
              <w:left w:w="15" w:type="dxa"/>
              <w:bottom w:w="15" w:type="dxa"/>
              <w:right w:w="15" w:type="dxa"/>
            </w:tcMar>
            <w:vAlign w:val="center"/>
          </w:tcPr>
          <w:p w14:paraId="7C41CFD9" w14:textId="3D05A7CD" w:rsidR="68B7379A" w:rsidRPr="008B200F" w:rsidRDefault="68B7379A" w:rsidP="000A5389">
            <w:pPr>
              <w:spacing w:line="240" w:lineRule="auto"/>
              <w:jc w:val="center"/>
              <w:rPr>
                <w:rFonts w:cs="Times New Roman"/>
                <w:sz w:val="22"/>
              </w:rPr>
            </w:pPr>
            <w:r w:rsidRPr="008B200F">
              <w:rPr>
                <w:rFonts w:eastAsia="Times New Roman" w:cs="Times New Roman"/>
                <w:sz w:val="22"/>
              </w:rPr>
              <w:t>121</w:t>
            </w:r>
          </w:p>
        </w:tc>
      </w:tr>
      <w:tr w:rsidR="68B7379A" w:rsidRPr="008B200F" w14:paraId="1D24D2FA" w14:textId="77777777" w:rsidTr="00F65E08">
        <w:trPr>
          <w:trHeight w:val="300"/>
        </w:trPr>
        <w:tc>
          <w:tcPr>
            <w:tcW w:w="2727" w:type="pct"/>
            <w:tcMar>
              <w:top w:w="15" w:type="dxa"/>
              <w:left w:w="15" w:type="dxa"/>
              <w:bottom w:w="15" w:type="dxa"/>
              <w:right w:w="15" w:type="dxa"/>
            </w:tcMar>
            <w:vAlign w:val="center"/>
          </w:tcPr>
          <w:p w14:paraId="53F32073" w14:textId="3289D4CB" w:rsidR="68B7379A" w:rsidRPr="008B200F" w:rsidRDefault="68B7379A" w:rsidP="000A5389">
            <w:pPr>
              <w:spacing w:line="240" w:lineRule="auto"/>
              <w:jc w:val="center"/>
              <w:rPr>
                <w:rFonts w:cs="Times New Roman"/>
                <w:sz w:val="22"/>
              </w:rPr>
            </w:pPr>
            <w:r w:rsidRPr="008B200F">
              <w:rPr>
                <w:rFonts w:eastAsia="Times New Roman" w:cs="Times New Roman"/>
                <w:sz w:val="22"/>
              </w:rPr>
              <w:t>Segmento</w:t>
            </w:r>
          </w:p>
        </w:tc>
        <w:tc>
          <w:tcPr>
            <w:tcW w:w="2273" w:type="pct"/>
            <w:tcMar>
              <w:top w:w="15" w:type="dxa"/>
              <w:left w:w="15" w:type="dxa"/>
              <w:bottom w:w="15" w:type="dxa"/>
              <w:right w:w="15" w:type="dxa"/>
            </w:tcMar>
            <w:vAlign w:val="center"/>
          </w:tcPr>
          <w:p w14:paraId="3A421E97" w14:textId="6AC922AE" w:rsidR="68B7379A" w:rsidRPr="008B200F" w:rsidRDefault="68B7379A" w:rsidP="000A5389">
            <w:pPr>
              <w:spacing w:line="240" w:lineRule="auto"/>
              <w:jc w:val="center"/>
              <w:rPr>
                <w:rFonts w:cs="Times New Roman"/>
                <w:sz w:val="22"/>
              </w:rPr>
            </w:pPr>
            <w:r w:rsidRPr="008B200F">
              <w:rPr>
                <w:rFonts w:eastAsia="Times New Roman" w:cs="Times New Roman"/>
                <w:sz w:val="22"/>
              </w:rPr>
              <w:t>32</w:t>
            </w:r>
          </w:p>
        </w:tc>
      </w:tr>
      <w:tr w:rsidR="68B7379A" w:rsidRPr="008B200F" w14:paraId="6BC1FC56" w14:textId="77777777" w:rsidTr="00F65E08">
        <w:trPr>
          <w:trHeight w:val="300"/>
        </w:trPr>
        <w:tc>
          <w:tcPr>
            <w:tcW w:w="2727" w:type="pct"/>
            <w:tcMar>
              <w:top w:w="15" w:type="dxa"/>
              <w:left w:w="15" w:type="dxa"/>
              <w:bottom w:w="15" w:type="dxa"/>
              <w:right w:w="15" w:type="dxa"/>
            </w:tcMar>
            <w:vAlign w:val="center"/>
          </w:tcPr>
          <w:p w14:paraId="7CFB3E62" w14:textId="29B25416" w:rsidR="68B7379A" w:rsidRPr="008B200F" w:rsidRDefault="68B7379A" w:rsidP="000A5389">
            <w:pPr>
              <w:spacing w:line="240" w:lineRule="auto"/>
              <w:jc w:val="center"/>
              <w:rPr>
                <w:rFonts w:cs="Times New Roman"/>
                <w:sz w:val="22"/>
              </w:rPr>
            </w:pPr>
            <w:r w:rsidRPr="008B200F">
              <w:rPr>
                <w:rFonts w:eastAsia="Times New Roman" w:cs="Times New Roman"/>
                <w:sz w:val="22"/>
              </w:rPr>
              <w:t>Franja</w:t>
            </w:r>
            <w:r w:rsidR="008B200F">
              <w:rPr>
                <w:rFonts w:eastAsia="Times New Roman" w:cs="Times New Roman"/>
                <w:sz w:val="22"/>
              </w:rPr>
              <w:t xml:space="preserve"> </w:t>
            </w:r>
            <w:r w:rsidRPr="008B200F">
              <w:rPr>
                <w:rFonts w:eastAsia="Times New Roman" w:cs="Times New Roman"/>
                <w:sz w:val="22"/>
              </w:rPr>
              <w:t>Admin</w:t>
            </w:r>
            <w:r w:rsidR="008B200F">
              <w:rPr>
                <w:rFonts w:eastAsia="Times New Roman" w:cs="Times New Roman"/>
                <w:sz w:val="22"/>
              </w:rPr>
              <w:t xml:space="preserve"> </w:t>
            </w:r>
            <w:r w:rsidRPr="008B200F">
              <w:rPr>
                <w:rFonts w:eastAsia="Times New Roman" w:cs="Times New Roman"/>
                <w:sz w:val="22"/>
              </w:rPr>
              <w:t>ANI</w:t>
            </w:r>
          </w:p>
        </w:tc>
        <w:tc>
          <w:tcPr>
            <w:tcW w:w="2273" w:type="pct"/>
            <w:tcMar>
              <w:top w:w="15" w:type="dxa"/>
              <w:left w:w="15" w:type="dxa"/>
              <w:bottom w:w="15" w:type="dxa"/>
              <w:right w:w="15" w:type="dxa"/>
            </w:tcMar>
            <w:vAlign w:val="center"/>
          </w:tcPr>
          <w:p w14:paraId="59EB5708" w14:textId="1AD6630E" w:rsidR="68B7379A" w:rsidRPr="008B200F" w:rsidRDefault="68B7379A" w:rsidP="000A5389">
            <w:pPr>
              <w:spacing w:line="240" w:lineRule="auto"/>
              <w:jc w:val="center"/>
              <w:rPr>
                <w:rFonts w:cs="Times New Roman"/>
                <w:sz w:val="22"/>
              </w:rPr>
            </w:pPr>
            <w:r w:rsidRPr="008B200F">
              <w:rPr>
                <w:rFonts w:eastAsia="Times New Roman" w:cs="Times New Roman"/>
                <w:sz w:val="22"/>
              </w:rPr>
              <w:t>1</w:t>
            </w:r>
          </w:p>
        </w:tc>
      </w:tr>
      <w:tr w:rsidR="68B7379A" w:rsidRPr="008B200F" w14:paraId="043CC124" w14:textId="77777777" w:rsidTr="00F65E08">
        <w:trPr>
          <w:trHeight w:val="300"/>
        </w:trPr>
        <w:tc>
          <w:tcPr>
            <w:tcW w:w="2727" w:type="pct"/>
            <w:tcMar>
              <w:top w:w="15" w:type="dxa"/>
              <w:left w:w="15" w:type="dxa"/>
              <w:bottom w:w="15" w:type="dxa"/>
              <w:right w:w="15" w:type="dxa"/>
            </w:tcMar>
            <w:vAlign w:val="center"/>
          </w:tcPr>
          <w:p w14:paraId="26B4D9AE" w14:textId="15242E42" w:rsidR="68B7379A" w:rsidRPr="008B200F" w:rsidRDefault="008B200F" w:rsidP="000A5389">
            <w:pPr>
              <w:spacing w:line="240" w:lineRule="auto"/>
              <w:jc w:val="center"/>
              <w:rPr>
                <w:rFonts w:cs="Times New Roman"/>
                <w:sz w:val="22"/>
              </w:rPr>
            </w:pPr>
            <w:r w:rsidRPr="008B200F">
              <w:rPr>
                <w:rFonts w:eastAsia="Times New Roman" w:cs="Times New Roman"/>
                <w:b/>
                <w:bCs/>
                <w:sz w:val="22"/>
              </w:rPr>
              <w:t>Total,</w:t>
            </w:r>
            <w:r w:rsidR="68B7379A" w:rsidRPr="008B200F">
              <w:rPr>
                <w:rFonts w:eastAsia="Times New Roman" w:cs="Times New Roman"/>
                <w:b/>
                <w:bCs/>
                <w:sz w:val="22"/>
              </w:rPr>
              <w:t xml:space="preserve"> de elementos ferroviarios inventariados</w:t>
            </w:r>
          </w:p>
        </w:tc>
        <w:tc>
          <w:tcPr>
            <w:tcW w:w="2273" w:type="pct"/>
            <w:tcMar>
              <w:top w:w="15" w:type="dxa"/>
              <w:left w:w="15" w:type="dxa"/>
              <w:bottom w:w="15" w:type="dxa"/>
              <w:right w:w="15" w:type="dxa"/>
            </w:tcMar>
            <w:vAlign w:val="center"/>
          </w:tcPr>
          <w:p w14:paraId="37864E2B" w14:textId="0C88262F" w:rsidR="68B7379A" w:rsidRPr="008B200F" w:rsidRDefault="68B7379A" w:rsidP="000A5389">
            <w:pPr>
              <w:spacing w:line="240" w:lineRule="auto"/>
              <w:jc w:val="center"/>
              <w:rPr>
                <w:rFonts w:cs="Times New Roman"/>
                <w:sz w:val="22"/>
              </w:rPr>
            </w:pPr>
            <w:r w:rsidRPr="008B200F">
              <w:rPr>
                <w:rFonts w:eastAsia="Times New Roman" w:cs="Times New Roman"/>
                <w:b/>
                <w:bCs/>
                <w:sz w:val="22"/>
              </w:rPr>
              <w:t>1.609</w:t>
            </w:r>
          </w:p>
        </w:tc>
      </w:tr>
    </w:tbl>
    <w:p w14:paraId="578F39E3" w14:textId="3D9B5194" w:rsidR="10A7ADE9" w:rsidRPr="00951AB1" w:rsidRDefault="10A7ADE9" w:rsidP="000A5389">
      <w:pPr>
        <w:spacing w:line="240" w:lineRule="auto"/>
        <w:rPr>
          <w:rFonts w:cs="Times New Roman"/>
        </w:rPr>
      </w:pPr>
      <w:r w:rsidRPr="00951AB1">
        <w:rPr>
          <w:rFonts w:eastAsia="Times New Roman" w:cs="Times New Roman"/>
          <w:szCs w:val="24"/>
        </w:rPr>
        <w:t xml:space="preserve"> </w:t>
      </w:r>
    </w:p>
    <w:p w14:paraId="5A84E06B" w14:textId="7C520C9A" w:rsidR="10A7ADE9" w:rsidRDefault="10A7ADE9" w:rsidP="000A5389">
      <w:pPr>
        <w:spacing w:line="240" w:lineRule="auto"/>
        <w:rPr>
          <w:rFonts w:eastAsia="Times New Roman" w:cs="Times New Roman"/>
          <w:szCs w:val="24"/>
        </w:rPr>
      </w:pPr>
      <w:r w:rsidRPr="00951AB1">
        <w:rPr>
          <w:rFonts w:eastAsia="Times New Roman" w:cs="Times New Roman"/>
          <w:szCs w:val="24"/>
        </w:rPr>
        <w:t xml:space="preserve">Sobre las </w:t>
      </w:r>
      <w:r w:rsidRPr="00951AB1">
        <w:rPr>
          <w:rFonts w:eastAsia="Times New Roman" w:cs="Times New Roman"/>
          <w:b/>
          <w:bCs/>
          <w:szCs w:val="24"/>
        </w:rPr>
        <w:t>Políticas sectoriales implementadas</w:t>
      </w:r>
      <w:r w:rsidRPr="00951AB1">
        <w:rPr>
          <w:rFonts w:eastAsia="Times New Roman" w:cs="Times New Roman"/>
          <w:szCs w:val="24"/>
        </w:rPr>
        <w:t>, la Agencia gestionó activamente ante el Ministerio de Transporte la expedición de un acto administrativo que actualizara y modernizara la metodología de reporte de información vial. Como resultado de este proceso, el Ministerio expidió la Resolución No. 20253040053135 del 23 de diciembre de 2025, mediante la cual adoptó la Versión 6 de la Metodología General para reportar información al Sistema Integral Nacional de Información de Carreteras - SINC. Esta nueva versión incorpora mejoras técnicas promovidas en gran medida por la ANI, entre ellas la representación de activos viales mediante geometrías tipo polígono para calzadas, bermas y separadores, la segmentación detallada de la malla vial entre puntos de referencia</w:t>
      </w:r>
      <w:r w:rsidR="008B200F">
        <w:rPr>
          <w:rFonts w:eastAsia="Times New Roman" w:cs="Times New Roman"/>
          <w:szCs w:val="24"/>
        </w:rPr>
        <w:t>.</w:t>
      </w:r>
    </w:p>
    <w:p w14:paraId="6D51F5DD" w14:textId="77777777" w:rsidR="008B200F" w:rsidRPr="00951AB1" w:rsidRDefault="008B200F" w:rsidP="000A5389">
      <w:pPr>
        <w:spacing w:line="240" w:lineRule="auto"/>
        <w:rPr>
          <w:rFonts w:cs="Times New Roman"/>
        </w:rPr>
      </w:pPr>
    </w:p>
    <w:p w14:paraId="1D329AED" w14:textId="1E6F6D49" w:rsidR="10A7ADE9" w:rsidRDefault="10A7ADE9" w:rsidP="000A5389">
      <w:pPr>
        <w:spacing w:line="240" w:lineRule="auto"/>
        <w:rPr>
          <w:rFonts w:eastAsia="Times New Roman" w:cs="Times New Roman"/>
          <w:szCs w:val="24"/>
        </w:rPr>
      </w:pPr>
      <w:r w:rsidRPr="00951AB1">
        <w:rPr>
          <w:rFonts w:eastAsia="Times New Roman" w:cs="Times New Roman"/>
          <w:szCs w:val="24"/>
        </w:rPr>
        <w:t>La Agencia gestionó activamente ante el Invias (como líder designado por el Mintransporte) información sobre el estado del "Manual de entrega, recibo y reversión de infraestructura de transporte", en desarrollo del proceso de articulación interinstitucional del sector, mediante radicado ANI No. 20254000399291 del 29 de octubre de 2025, en el cual se solicitó formalmente al INVIAS el acto administrativo de adopción del manual, o en su defecto, el estado de avance y la fecha proyectada para su disponibilidad. Como resultado de esta gestión, mediante radicado INVIAS No. 2025S-VBOG-084830 del 10 de noviembre de 2025, el INVIAS confirmó que el manual se encuentra en construcción con la participación de la ANI, la Aerocivil, Cormagdalena, la Unidad de Planeación de Infraestructura de Transporte -UPIT y el Departamento Nacional de Planeación - DNP.</w:t>
      </w:r>
    </w:p>
    <w:p w14:paraId="17757061" w14:textId="77777777" w:rsidR="00512B77" w:rsidRPr="00951AB1" w:rsidRDefault="00512B77" w:rsidP="000A5389">
      <w:pPr>
        <w:spacing w:line="240" w:lineRule="auto"/>
        <w:rPr>
          <w:rFonts w:cs="Times New Roman"/>
        </w:rPr>
      </w:pPr>
    </w:p>
    <w:p w14:paraId="1BDB89F5" w14:textId="602D6614" w:rsidR="10A7ADE9" w:rsidRPr="00951AB1" w:rsidRDefault="10A7ADE9" w:rsidP="000A5389">
      <w:pPr>
        <w:spacing w:line="240" w:lineRule="auto"/>
        <w:rPr>
          <w:rFonts w:cs="Times New Roman"/>
        </w:rPr>
      </w:pPr>
      <w:r w:rsidRPr="00951AB1">
        <w:rPr>
          <w:rFonts w:eastAsia="Times New Roman" w:cs="Times New Roman"/>
          <w:szCs w:val="24"/>
        </w:rPr>
        <w:t>Finalmente, la Agencia está programando mesas de trabajo en conjunto con el Invias para la construcción de la metodología de valoración predial aplicable sobre los terrenos que presentan dificultades para su determinar su costo.</w:t>
      </w:r>
    </w:p>
    <w:p w14:paraId="62AF6A4C" w14:textId="7406463C" w:rsidR="10A7ADE9" w:rsidRPr="00951AB1" w:rsidRDefault="10A7ADE9" w:rsidP="000A5389">
      <w:pPr>
        <w:spacing w:line="240" w:lineRule="auto"/>
        <w:rPr>
          <w:rFonts w:cs="Times New Roman"/>
        </w:rPr>
      </w:pPr>
      <w:r w:rsidRPr="00951AB1">
        <w:rPr>
          <w:rFonts w:eastAsia="Times New Roman" w:cs="Times New Roman"/>
          <w:szCs w:val="24"/>
        </w:rPr>
        <w:t xml:space="preserve"> </w:t>
      </w:r>
    </w:p>
    <w:p w14:paraId="5930CE05" w14:textId="0D4D509A" w:rsidR="10A7ADE9" w:rsidRPr="00951AB1" w:rsidRDefault="10A7ADE9" w:rsidP="000A5389">
      <w:pPr>
        <w:spacing w:line="240" w:lineRule="auto"/>
        <w:rPr>
          <w:rFonts w:cs="Times New Roman"/>
        </w:rPr>
      </w:pPr>
      <w:r w:rsidRPr="00951AB1">
        <w:rPr>
          <w:rFonts w:eastAsia="Times New Roman" w:cs="Times New Roman"/>
          <w:szCs w:val="24"/>
        </w:rPr>
        <w:t xml:space="preserve">Para los </w:t>
      </w:r>
      <w:r w:rsidRPr="00951AB1">
        <w:rPr>
          <w:rFonts w:eastAsia="Times New Roman" w:cs="Times New Roman"/>
          <w:b/>
          <w:bCs/>
          <w:szCs w:val="24"/>
        </w:rPr>
        <w:t>Activos valorados</w:t>
      </w:r>
      <w:r w:rsidRPr="00951AB1">
        <w:rPr>
          <w:rFonts w:eastAsia="Times New Roman" w:cs="Times New Roman"/>
          <w:szCs w:val="24"/>
        </w:rPr>
        <w:t>, la Agencia mantiene la implementación de los formatos diseñados para remitir la actualización de las inversiones en Bienes de Uso Público – BUP; Propiedad, Planta y Equipo (PPE) y la gestión predial.</w:t>
      </w:r>
    </w:p>
    <w:p w14:paraId="3C7B2B7C" w14:textId="1DF96CF8" w:rsidR="10A7ADE9" w:rsidRPr="00951AB1" w:rsidRDefault="10A7ADE9" w:rsidP="000A5389">
      <w:pPr>
        <w:spacing w:line="240" w:lineRule="auto"/>
        <w:rPr>
          <w:rFonts w:cs="Times New Roman"/>
        </w:rPr>
      </w:pPr>
      <w:r w:rsidRPr="00951AB1">
        <w:rPr>
          <w:rFonts w:eastAsia="Times New Roman" w:cs="Times New Roman"/>
          <w:szCs w:val="24"/>
        </w:rPr>
        <w:t xml:space="preserve"> </w:t>
      </w:r>
    </w:p>
    <w:p w14:paraId="0EC8292F" w14:textId="0A63AEED" w:rsidR="10A7ADE9" w:rsidRPr="00951AB1" w:rsidRDefault="10A7ADE9" w:rsidP="000A5389">
      <w:pPr>
        <w:spacing w:line="240" w:lineRule="auto"/>
        <w:rPr>
          <w:rFonts w:cs="Times New Roman"/>
        </w:rPr>
      </w:pPr>
      <w:r w:rsidRPr="00951AB1">
        <w:rPr>
          <w:rFonts w:eastAsia="Times New Roman" w:cs="Times New Roman"/>
          <w:szCs w:val="24"/>
        </w:rPr>
        <w:t xml:space="preserve">Durante la vigencia 2025, la Agencia avanzó en el desarrollo del </w:t>
      </w:r>
      <w:r w:rsidRPr="00951AB1">
        <w:rPr>
          <w:rFonts w:eastAsia="Times New Roman" w:cs="Times New Roman"/>
          <w:b/>
          <w:bCs/>
          <w:szCs w:val="24"/>
        </w:rPr>
        <w:t>Sistema de Clasificación de Infraestructura de Transporte Intermodal de Colombia (SITI)</w:t>
      </w:r>
      <w:r w:rsidRPr="00951AB1">
        <w:rPr>
          <w:rFonts w:eastAsia="Times New Roman" w:cs="Times New Roman"/>
          <w:szCs w:val="24"/>
        </w:rPr>
        <w:t xml:space="preserve">, iniciativa que está diseñada para solucionar la fragmentación de la información técnica en el sector transporte. Este sistema busca articular el ciclo de vida de los proyectos mediante un lenguaje común </w:t>
      </w:r>
      <w:r w:rsidRPr="00951AB1">
        <w:rPr>
          <w:rFonts w:eastAsia="Times New Roman" w:cs="Times New Roman"/>
          <w:szCs w:val="24"/>
        </w:rPr>
        <w:lastRenderedPageBreak/>
        <w:t xml:space="preserve">que permita la interoperabilidad entre los Sistemas de Información Geográfica (GIS) y el Modelado de Información para la Construcción (BIM). </w:t>
      </w:r>
    </w:p>
    <w:p w14:paraId="387C152F" w14:textId="584271AF" w:rsidR="10A7ADE9" w:rsidRDefault="10A7ADE9" w:rsidP="000A5389">
      <w:pPr>
        <w:spacing w:line="240" w:lineRule="auto"/>
        <w:rPr>
          <w:rFonts w:eastAsia="Times New Roman" w:cs="Times New Roman"/>
          <w:szCs w:val="24"/>
        </w:rPr>
      </w:pPr>
      <w:r w:rsidRPr="00951AB1">
        <w:rPr>
          <w:rFonts w:eastAsia="Times New Roman" w:cs="Times New Roman"/>
          <w:szCs w:val="24"/>
        </w:rPr>
        <w:t xml:space="preserve">En atención a ello, se elaboraron </w:t>
      </w:r>
      <w:r w:rsidR="002D0A3A" w:rsidRPr="00951AB1">
        <w:rPr>
          <w:rFonts w:eastAsia="Times New Roman" w:cs="Times New Roman"/>
          <w:szCs w:val="24"/>
        </w:rPr>
        <w:t>siete tomos</w:t>
      </w:r>
      <w:r w:rsidRPr="00951AB1">
        <w:rPr>
          <w:rFonts w:eastAsia="Times New Roman" w:cs="Times New Roman"/>
          <w:szCs w:val="24"/>
        </w:rPr>
        <w:t xml:space="preserve"> o documentos (los cuales se remitieron en el informe a la Contaduría y Ministerio) los cuales son:</w:t>
      </w:r>
    </w:p>
    <w:p w14:paraId="6E452DD7" w14:textId="77777777" w:rsidR="002D0A3A" w:rsidRPr="00951AB1" w:rsidRDefault="002D0A3A" w:rsidP="000A5389">
      <w:pPr>
        <w:spacing w:line="240" w:lineRule="auto"/>
        <w:rPr>
          <w:rFonts w:cs="Times New Roman"/>
        </w:rPr>
      </w:pPr>
    </w:p>
    <w:p w14:paraId="7A26C21F" w14:textId="555FA923" w:rsidR="10A7ADE9" w:rsidRPr="008B200F" w:rsidRDefault="10A7ADE9" w:rsidP="00AB401E">
      <w:pPr>
        <w:pStyle w:val="Prrafodelista"/>
        <w:numPr>
          <w:ilvl w:val="0"/>
          <w:numId w:val="120"/>
        </w:numPr>
        <w:spacing w:line="240" w:lineRule="auto"/>
        <w:rPr>
          <w:rFonts w:eastAsia="Times New Roman" w:cs="Times New Roman"/>
          <w:szCs w:val="24"/>
        </w:rPr>
      </w:pPr>
      <w:r w:rsidRPr="008B200F">
        <w:rPr>
          <w:rFonts w:eastAsia="Times New Roman" w:cs="Times New Roman"/>
          <w:szCs w:val="24"/>
        </w:rPr>
        <w:t>Análisis de necesidades de gestión: Identificación de los requerimientos técnicos y operativos necesarios para el sector.</w:t>
      </w:r>
    </w:p>
    <w:p w14:paraId="54844731" w14:textId="6533CB72" w:rsidR="10A7ADE9" w:rsidRPr="008B200F" w:rsidRDefault="10A7ADE9" w:rsidP="00AB401E">
      <w:pPr>
        <w:pStyle w:val="Prrafodelista"/>
        <w:numPr>
          <w:ilvl w:val="0"/>
          <w:numId w:val="120"/>
        </w:numPr>
        <w:spacing w:line="240" w:lineRule="auto"/>
        <w:rPr>
          <w:rFonts w:eastAsia="Times New Roman" w:cs="Times New Roman"/>
          <w:szCs w:val="24"/>
        </w:rPr>
      </w:pPr>
      <w:r w:rsidRPr="008B200F">
        <w:rPr>
          <w:rFonts w:eastAsia="Times New Roman" w:cs="Times New Roman"/>
          <w:szCs w:val="24"/>
        </w:rPr>
        <w:t>Guías de uso: Manuales detallados para la implementación y utilización del sistema.</w:t>
      </w:r>
    </w:p>
    <w:p w14:paraId="766101E4" w14:textId="41F3E284" w:rsidR="10A7ADE9" w:rsidRPr="008B200F" w:rsidRDefault="10A7ADE9" w:rsidP="00AB401E">
      <w:pPr>
        <w:pStyle w:val="Prrafodelista"/>
        <w:numPr>
          <w:ilvl w:val="0"/>
          <w:numId w:val="120"/>
        </w:numPr>
        <w:spacing w:line="240" w:lineRule="auto"/>
        <w:rPr>
          <w:rFonts w:eastAsia="Times New Roman" w:cs="Times New Roman"/>
          <w:szCs w:val="24"/>
        </w:rPr>
      </w:pPr>
      <w:r w:rsidRPr="008B200F">
        <w:rPr>
          <w:rFonts w:eastAsia="Times New Roman" w:cs="Times New Roman"/>
          <w:szCs w:val="24"/>
        </w:rPr>
        <w:t>Planes de trabajo para la vigencia 2026: Hoja de ruta estratégica para la continuidad del proyecto el próximo año.</w:t>
      </w:r>
    </w:p>
    <w:p w14:paraId="51CBBDC3" w14:textId="02AD85F3" w:rsidR="10A7ADE9" w:rsidRPr="008B200F" w:rsidRDefault="10A7ADE9" w:rsidP="00AB401E">
      <w:pPr>
        <w:pStyle w:val="Prrafodelista"/>
        <w:numPr>
          <w:ilvl w:val="0"/>
          <w:numId w:val="120"/>
        </w:numPr>
        <w:spacing w:line="240" w:lineRule="auto"/>
        <w:rPr>
          <w:rFonts w:eastAsia="Times New Roman" w:cs="Times New Roman"/>
          <w:szCs w:val="24"/>
        </w:rPr>
      </w:pPr>
      <w:r w:rsidRPr="008B200F">
        <w:rPr>
          <w:rFonts w:eastAsia="Times New Roman" w:cs="Times New Roman"/>
          <w:szCs w:val="24"/>
        </w:rPr>
        <w:t>Análisis de interoperabilidad: Estudios sobre el lenguaje común que permite la conexión entre sistemas GIS y BIM.</w:t>
      </w:r>
    </w:p>
    <w:p w14:paraId="5FB2A818" w14:textId="0581A7FE" w:rsidR="10A7ADE9" w:rsidRPr="008B200F" w:rsidRDefault="10A7ADE9" w:rsidP="00AB401E">
      <w:pPr>
        <w:pStyle w:val="Prrafodelista"/>
        <w:numPr>
          <w:ilvl w:val="0"/>
          <w:numId w:val="120"/>
        </w:numPr>
        <w:spacing w:line="240" w:lineRule="auto"/>
        <w:rPr>
          <w:rFonts w:eastAsia="Times New Roman" w:cs="Times New Roman"/>
          <w:szCs w:val="24"/>
        </w:rPr>
      </w:pPr>
      <w:r w:rsidRPr="008B200F">
        <w:rPr>
          <w:rFonts w:eastAsia="Times New Roman" w:cs="Times New Roman"/>
          <w:szCs w:val="24"/>
        </w:rPr>
        <w:t>Documentación de prototipos: Resultados de los 65 prototipos desarrollados mediante procesos de co-creación.</w:t>
      </w:r>
    </w:p>
    <w:p w14:paraId="222ABF52" w14:textId="17020C72" w:rsidR="10A7ADE9" w:rsidRPr="008B200F" w:rsidRDefault="10A7ADE9" w:rsidP="00AB401E">
      <w:pPr>
        <w:pStyle w:val="Prrafodelista"/>
        <w:numPr>
          <w:ilvl w:val="0"/>
          <w:numId w:val="120"/>
        </w:numPr>
        <w:spacing w:line="240" w:lineRule="auto"/>
        <w:rPr>
          <w:rFonts w:eastAsia="Times New Roman" w:cs="Times New Roman"/>
          <w:szCs w:val="24"/>
        </w:rPr>
      </w:pPr>
      <w:r w:rsidRPr="008B200F">
        <w:rPr>
          <w:rFonts w:eastAsia="Times New Roman" w:cs="Times New Roman"/>
          <w:szCs w:val="24"/>
        </w:rPr>
        <w:t xml:space="preserve">Marco metodológico: Detalles sobre la aplicación de la metodología </w:t>
      </w:r>
      <w:r w:rsidRPr="008B200F">
        <w:rPr>
          <w:rFonts w:eastAsia="Times New Roman" w:cs="Times New Roman"/>
          <w:i/>
          <w:iCs/>
          <w:szCs w:val="24"/>
        </w:rPr>
        <w:t>Design Science Research</w:t>
      </w:r>
      <w:r w:rsidRPr="008B200F">
        <w:rPr>
          <w:rFonts w:eastAsia="Times New Roman" w:cs="Times New Roman"/>
          <w:szCs w:val="24"/>
        </w:rPr>
        <w:t xml:space="preserve"> (DSR) en el proyecto.</w:t>
      </w:r>
    </w:p>
    <w:p w14:paraId="578AC581" w14:textId="6EB10687" w:rsidR="10A7ADE9" w:rsidRPr="008B200F" w:rsidRDefault="10A7ADE9" w:rsidP="00AB401E">
      <w:pPr>
        <w:pStyle w:val="Prrafodelista"/>
        <w:numPr>
          <w:ilvl w:val="0"/>
          <w:numId w:val="120"/>
        </w:numPr>
        <w:spacing w:line="240" w:lineRule="auto"/>
        <w:rPr>
          <w:rFonts w:eastAsia="Times New Roman" w:cs="Times New Roman"/>
          <w:szCs w:val="24"/>
        </w:rPr>
      </w:pPr>
      <w:r w:rsidRPr="008B200F">
        <w:rPr>
          <w:rFonts w:eastAsia="Times New Roman" w:cs="Times New Roman"/>
          <w:szCs w:val="24"/>
        </w:rPr>
        <w:t>Sistemas de clasificación y nomenclatura: Definición de la estructura y relaciones de la información técnica de la infraestructura vial.</w:t>
      </w:r>
    </w:p>
    <w:p w14:paraId="70DF7C24" w14:textId="3E206421" w:rsidR="10A7ADE9" w:rsidRPr="00951AB1" w:rsidRDefault="10A7ADE9" w:rsidP="000A5389">
      <w:pPr>
        <w:spacing w:line="240" w:lineRule="auto"/>
        <w:rPr>
          <w:rFonts w:cs="Times New Roman"/>
        </w:rPr>
      </w:pPr>
      <w:r w:rsidRPr="00951AB1">
        <w:rPr>
          <w:rFonts w:eastAsia="Times New Roman" w:cs="Times New Roman"/>
          <w:szCs w:val="24"/>
        </w:rPr>
        <w:t xml:space="preserve"> </w:t>
      </w:r>
    </w:p>
    <w:p w14:paraId="0D7CB9F0" w14:textId="1F3D0374" w:rsidR="10A7ADE9" w:rsidRPr="00951AB1" w:rsidRDefault="10A7ADE9" w:rsidP="000A5389">
      <w:pPr>
        <w:spacing w:line="240" w:lineRule="auto"/>
        <w:rPr>
          <w:rFonts w:cs="Times New Roman"/>
        </w:rPr>
      </w:pPr>
      <w:r w:rsidRPr="00951AB1">
        <w:rPr>
          <w:rFonts w:eastAsia="Times New Roman" w:cs="Times New Roman"/>
          <w:szCs w:val="24"/>
        </w:rPr>
        <w:t xml:space="preserve">Finalmente, se realizó la actualización de la información para los diferentes proyectos en el SIIF a través de los </w:t>
      </w:r>
      <w:r w:rsidRPr="00951AB1">
        <w:rPr>
          <w:rFonts w:eastAsia="Times New Roman" w:cs="Times New Roman"/>
          <w:b/>
          <w:bCs/>
          <w:szCs w:val="24"/>
        </w:rPr>
        <w:t>registros contables,</w:t>
      </w:r>
      <w:r w:rsidRPr="00951AB1">
        <w:rPr>
          <w:rFonts w:eastAsia="Times New Roman" w:cs="Times New Roman"/>
          <w:szCs w:val="24"/>
        </w:rPr>
        <w:t xml:space="preserve"> cuyos datos se darán a conocer con mayor detalle en cada una de las notas.</w:t>
      </w:r>
    </w:p>
    <w:p w14:paraId="47E3E549" w14:textId="7C841E2F" w:rsidR="10A7ADE9" w:rsidRPr="00951AB1" w:rsidRDefault="10A7ADE9" w:rsidP="000A5389">
      <w:pPr>
        <w:spacing w:line="240" w:lineRule="auto"/>
        <w:rPr>
          <w:rFonts w:cs="Times New Roman"/>
        </w:rPr>
      </w:pPr>
      <w:r w:rsidRPr="00951AB1">
        <w:rPr>
          <w:rFonts w:eastAsia="Times New Roman" w:cs="Times New Roman"/>
          <w:szCs w:val="24"/>
        </w:rPr>
        <w:t xml:space="preserve"> </w:t>
      </w:r>
    </w:p>
    <w:p w14:paraId="59497926" w14:textId="7B71E070" w:rsidR="10A7ADE9" w:rsidRDefault="10A7ADE9" w:rsidP="002D0A3A">
      <w:pPr>
        <w:spacing w:line="240" w:lineRule="auto"/>
        <w:rPr>
          <w:rFonts w:eastAsia="Times New Roman" w:cs="Times New Roman"/>
          <w:b/>
          <w:bCs/>
          <w:szCs w:val="24"/>
          <w:lang w:val="es-ES"/>
        </w:rPr>
      </w:pPr>
      <w:r w:rsidRPr="00951AB1">
        <w:rPr>
          <w:rFonts w:eastAsia="Times New Roman" w:cs="Times New Roman"/>
          <w:b/>
          <w:bCs/>
          <w:szCs w:val="24"/>
          <w:lang w:val="es-ES"/>
        </w:rPr>
        <w:t xml:space="preserve">Incorporaciones, </w:t>
      </w:r>
      <w:r w:rsidR="20295DF7" w:rsidRPr="00951AB1">
        <w:rPr>
          <w:rFonts w:eastAsia="Times New Roman" w:cs="Times New Roman"/>
          <w:b/>
          <w:bCs/>
          <w:szCs w:val="24"/>
          <w:lang w:val="es-ES"/>
        </w:rPr>
        <w:t xml:space="preserve">Traslados y </w:t>
      </w:r>
      <w:r w:rsidRPr="00951AB1">
        <w:rPr>
          <w:rFonts w:eastAsia="Times New Roman" w:cs="Times New Roman"/>
          <w:b/>
          <w:bCs/>
          <w:szCs w:val="24"/>
          <w:lang w:val="es-ES"/>
        </w:rPr>
        <w:t>Reversiones</w:t>
      </w:r>
      <w:r w:rsidR="203BD238" w:rsidRPr="00951AB1">
        <w:rPr>
          <w:rFonts w:eastAsia="Times New Roman" w:cs="Times New Roman"/>
          <w:b/>
          <w:bCs/>
          <w:szCs w:val="24"/>
          <w:lang w:val="es-ES"/>
        </w:rPr>
        <w:t xml:space="preserve"> /</w:t>
      </w:r>
      <w:r w:rsidRPr="00951AB1">
        <w:rPr>
          <w:rFonts w:eastAsia="Times New Roman" w:cs="Times New Roman"/>
          <w:b/>
          <w:bCs/>
          <w:szCs w:val="24"/>
          <w:lang w:val="es-ES"/>
        </w:rPr>
        <w:t xml:space="preserve"> liquidaciones de los proyectos</w:t>
      </w:r>
    </w:p>
    <w:p w14:paraId="56465134" w14:textId="77777777" w:rsidR="002D0A3A" w:rsidRPr="00951AB1" w:rsidRDefault="002D0A3A" w:rsidP="002D0A3A">
      <w:pPr>
        <w:spacing w:line="240" w:lineRule="auto"/>
        <w:rPr>
          <w:rFonts w:eastAsia="Times New Roman" w:cs="Times New Roman"/>
          <w:b/>
          <w:bCs/>
          <w:szCs w:val="24"/>
          <w:lang w:val="es-ES"/>
        </w:rPr>
      </w:pPr>
    </w:p>
    <w:p w14:paraId="2575ED85" w14:textId="712540EA" w:rsidR="10A7ADE9" w:rsidRDefault="10A7ADE9" w:rsidP="002D0A3A">
      <w:pPr>
        <w:spacing w:line="240" w:lineRule="auto"/>
        <w:rPr>
          <w:rFonts w:eastAsia="Times New Roman" w:cs="Times New Roman"/>
          <w:szCs w:val="24"/>
        </w:rPr>
      </w:pPr>
      <w:r w:rsidRPr="00951AB1">
        <w:rPr>
          <w:rFonts w:eastAsia="Times New Roman" w:cs="Times New Roman"/>
          <w:szCs w:val="24"/>
        </w:rPr>
        <w:t xml:space="preserve">La Agencia realizó incorporaciones de saldos contables para los proyectos del modo carretero remitido por la entidad titular Invias por valor de </w:t>
      </w:r>
      <w:r w:rsidRPr="00951AB1">
        <w:rPr>
          <w:rFonts w:eastAsia="Times New Roman" w:cs="Times New Roman"/>
          <w:b/>
          <w:bCs/>
          <w:szCs w:val="24"/>
        </w:rPr>
        <w:t>$4.486.476.573.337</w:t>
      </w:r>
      <w:r w:rsidRPr="00951AB1">
        <w:rPr>
          <w:rFonts w:eastAsia="Times New Roman" w:cs="Times New Roman"/>
          <w:szCs w:val="24"/>
        </w:rPr>
        <w:t xml:space="preserve"> así:</w:t>
      </w:r>
    </w:p>
    <w:p w14:paraId="68CA07C1" w14:textId="77777777" w:rsidR="002D0A3A" w:rsidRPr="00951AB1" w:rsidRDefault="002D0A3A" w:rsidP="000A5389">
      <w:pPr>
        <w:spacing w:line="240" w:lineRule="auto"/>
        <w:rPr>
          <w:rFonts w:cs="Times New Roman"/>
        </w:rPr>
      </w:pPr>
    </w:p>
    <w:tbl>
      <w:tblPr>
        <w:tblW w:w="5000" w:type="pct"/>
        <w:tbl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insideH w:val="single" w:sz="2" w:space="0" w:color="A6A6A6" w:themeColor="background1" w:themeShade="A6"/>
          <w:insideV w:val="single" w:sz="2" w:space="0" w:color="A6A6A6" w:themeColor="background1" w:themeShade="A6"/>
        </w:tblBorders>
        <w:tblLook w:val="04A0" w:firstRow="1" w:lastRow="0" w:firstColumn="1" w:lastColumn="0" w:noHBand="0" w:noVBand="1"/>
      </w:tblPr>
      <w:tblGrid>
        <w:gridCol w:w="6048"/>
        <w:gridCol w:w="2784"/>
      </w:tblGrid>
      <w:tr w:rsidR="68B7379A" w:rsidRPr="002D0A3A" w14:paraId="3BFDB3E9" w14:textId="77777777" w:rsidTr="00F65E08">
        <w:trPr>
          <w:trHeight w:val="180"/>
        </w:trPr>
        <w:tc>
          <w:tcPr>
            <w:tcW w:w="3424" w:type="pct"/>
            <w:tcMar>
              <w:left w:w="70" w:type="dxa"/>
              <w:right w:w="70" w:type="dxa"/>
            </w:tcMar>
            <w:vAlign w:val="center"/>
          </w:tcPr>
          <w:p w14:paraId="0F9B6BB2" w14:textId="18F5FFDF" w:rsidR="68B7379A" w:rsidRPr="002D0A3A" w:rsidRDefault="68B7379A" w:rsidP="000A5389">
            <w:pPr>
              <w:spacing w:line="240" w:lineRule="auto"/>
              <w:jc w:val="center"/>
              <w:rPr>
                <w:rFonts w:cs="Times New Roman"/>
              </w:rPr>
            </w:pPr>
            <w:r w:rsidRPr="002D0A3A">
              <w:rPr>
                <w:rFonts w:eastAsia="Times New Roman" w:cs="Times New Roman"/>
                <w:b/>
                <w:bCs/>
              </w:rPr>
              <w:t>Proyecto</w:t>
            </w:r>
          </w:p>
        </w:tc>
        <w:tc>
          <w:tcPr>
            <w:tcW w:w="1576" w:type="pct"/>
            <w:tcMar>
              <w:left w:w="70" w:type="dxa"/>
              <w:right w:w="70" w:type="dxa"/>
            </w:tcMar>
            <w:vAlign w:val="center"/>
          </w:tcPr>
          <w:p w14:paraId="474CAC9C" w14:textId="674AF6DE" w:rsidR="68B7379A" w:rsidRPr="002D0A3A" w:rsidRDefault="68B7379A" w:rsidP="000A5389">
            <w:pPr>
              <w:spacing w:line="240" w:lineRule="auto"/>
              <w:jc w:val="center"/>
              <w:rPr>
                <w:rFonts w:cs="Times New Roman"/>
              </w:rPr>
            </w:pPr>
            <w:r w:rsidRPr="002D0A3A">
              <w:rPr>
                <w:rFonts w:eastAsia="Times New Roman" w:cs="Times New Roman"/>
                <w:b/>
                <w:bCs/>
              </w:rPr>
              <w:t>Valor</w:t>
            </w:r>
          </w:p>
        </w:tc>
      </w:tr>
      <w:tr w:rsidR="68B7379A" w:rsidRPr="002D0A3A" w14:paraId="0C4F226E" w14:textId="77777777" w:rsidTr="00F65E08">
        <w:trPr>
          <w:trHeight w:val="360"/>
        </w:trPr>
        <w:tc>
          <w:tcPr>
            <w:tcW w:w="3424" w:type="pct"/>
            <w:tcMar>
              <w:left w:w="70" w:type="dxa"/>
              <w:right w:w="70" w:type="dxa"/>
            </w:tcMar>
            <w:vAlign w:val="center"/>
          </w:tcPr>
          <w:p w14:paraId="264B528D" w14:textId="02FC70A2" w:rsidR="68B7379A" w:rsidRPr="002D0A3A" w:rsidRDefault="68B7379A" w:rsidP="000A5389">
            <w:pPr>
              <w:spacing w:line="240" w:lineRule="auto"/>
              <w:rPr>
                <w:rFonts w:cs="Times New Roman"/>
              </w:rPr>
            </w:pPr>
            <w:r w:rsidRPr="002D0A3A">
              <w:rPr>
                <w:rFonts w:eastAsia="Times New Roman" w:cs="Times New Roman"/>
                <w:color w:val="000000" w:themeColor="text1"/>
              </w:rPr>
              <w:t xml:space="preserve">Nueva Malla Vial del Valle del Cauca </w:t>
            </w:r>
          </w:p>
        </w:tc>
        <w:tc>
          <w:tcPr>
            <w:tcW w:w="1576" w:type="pct"/>
            <w:tcMar>
              <w:left w:w="70" w:type="dxa"/>
              <w:right w:w="70" w:type="dxa"/>
            </w:tcMar>
            <w:vAlign w:val="center"/>
          </w:tcPr>
          <w:p w14:paraId="5B952DF8" w14:textId="71AADC73" w:rsidR="68B7379A" w:rsidRPr="002D0A3A" w:rsidRDefault="68B7379A" w:rsidP="000A5389">
            <w:pPr>
              <w:spacing w:line="240" w:lineRule="auto"/>
              <w:jc w:val="right"/>
              <w:rPr>
                <w:rFonts w:cs="Times New Roman"/>
              </w:rPr>
            </w:pPr>
            <w:r w:rsidRPr="002D0A3A">
              <w:rPr>
                <w:rFonts w:eastAsia="Calibri" w:cs="Times New Roman"/>
              </w:rPr>
              <w:t>1.587.163.005.330</w:t>
            </w:r>
          </w:p>
        </w:tc>
      </w:tr>
      <w:tr w:rsidR="68B7379A" w:rsidRPr="002D0A3A" w14:paraId="271FA28E" w14:textId="77777777" w:rsidTr="00F65E08">
        <w:trPr>
          <w:trHeight w:val="360"/>
        </w:trPr>
        <w:tc>
          <w:tcPr>
            <w:tcW w:w="3424" w:type="pct"/>
            <w:tcMar>
              <w:left w:w="70" w:type="dxa"/>
              <w:right w:w="70" w:type="dxa"/>
            </w:tcMar>
            <w:vAlign w:val="center"/>
          </w:tcPr>
          <w:p w14:paraId="4B264D25" w14:textId="7D7FA8C4" w:rsidR="68B7379A" w:rsidRPr="002D0A3A" w:rsidRDefault="68B7379A" w:rsidP="000A5389">
            <w:pPr>
              <w:spacing w:line="240" w:lineRule="auto"/>
              <w:rPr>
                <w:rFonts w:cs="Times New Roman"/>
              </w:rPr>
            </w:pPr>
            <w:r w:rsidRPr="002D0A3A">
              <w:rPr>
                <w:rFonts w:eastAsia="Times New Roman" w:cs="Times New Roman"/>
                <w:color w:val="000000" w:themeColor="text1"/>
              </w:rPr>
              <w:t xml:space="preserve">Troncal del Magdalena 2 </w:t>
            </w:r>
          </w:p>
        </w:tc>
        <w:tc>
          <w:tcPr>
            <w:tcW w:w="1576" w:type="pct"/>
            <w:tcMar>
              <w:left w:w="70" w:type="dxa"/>
              <w:right w:w="70" w:type="dxa"/>
            </w:tcMar>
            <w:vAlign w:val="center"/>
          </w:tcPr>
          <w:p w14:paraId="279891D0" w14:textId="48DA5572" w:rsidR="68B7379A" w:rsidRPr="002D0A3A" w:rsidRDefault="68B7379A" w:rsidP="000A5389">
            <w:pPr>
              <w:spacing w:line="240" w:lineRule="auto"/>
              <w:jc w:val="right"/>
              <w:rPr>
                <w:rFonts w:cs="Times New Roman"/>
              </w:rPr>
            </w:pPr>
            <w:r w:rsidRPr="002D0A3A">
              <w:rPr>
                <w:rFonts w:eastAsia="Calibri" w:cs="Times New Roman"/>
              </w:rPr>
              <w:t>1.420.877.100.381</w:t>
            </w:r>
          </w:p>
        </w:tc>
      </w:tr>
      <w:tr w:rsidR="68B7379A" w:rsidRPr="002D0A3A" w14:paraId="0442180B" w14:textId="77777777" w:rsidTr="00F65E08">
        <w:trPr>
          <w:trHeight w:val="360"/>
        </w:trPr>
        <w:tc>
          <w:tcPr>
            <w:tcW w:w="3424" w:type="pct"/>
            <w:tcMar>
              <w:left w:w="70" w:type="dxa"/>
              <w:right w:w="70" w:type="dxa"/>
            </w:tcMar>
            <w:vAlign w:val="center"/>
          </w:tcPr>
          <w:p w14:paraId="2A51DA69" w14:textId="3B10F126" w:rsidR="68B7379A" w:rsidRPr="002D0A3A" w:rsidRDefault="68B7379A" w:rsidP="000A5389">
            <w:pPr>
              <w:spacing w:line="240" w:lineRule="auto"/>
              <w:rPr>
                <w:rFonts w:cs="Times New Roman"/>
              </w:rPr>
            </w:pPr>
            <w:r w:rsidRPr="002D0A3A">
              <w:rPr>
                <w:rFonts w:eastAsia="Times New Roman" w:cs="Times New Roman"/>
                <w:color w:val="000000" w:themeColor="text1"/>
              </w:rPr>
              <w:t xml:space="preserve">Troncal del Magdalena 1 </w:t>
            </w:r>
          </w:p>
        </w:tc>
        <w:tc>
          <w:tcPr>
            <w:tcW w:w="1576" w:type="pct"/>
            <w:tcMar>
              <w:left w:w="70" w:type="dxa"/>
              <w:right w:w="70" w:type="dxa"/>
            </w:tcMar>
            <w:vAlign w:val="center"/>
          </w:tcPr>
          <w:p w14:paraId="19512F48" w14:textId="0EDA05DF" w:rsidR="68B7379A" w:rsidRPr="002D0A3A" w:rsidRDefault="68B7379A" w:rsidP="000A5389">
            <w:pPr>
              <w:spacing w:line="240" w:lineRule="auto"/>
              <w:jc w:val="right"/>
              <w:rPr>
                <w:rFonts w:cs="Times New Roman"/>
              </w:rPr>
            </w:pPr>
            <w:r w:rsidRPr="002D0A3A">
              <w:rPr>
                <w:rFonts w:eastAsia="Calibri" w:cs="Times New Roman"/>
              </w:rPr>
              <w:t>1.344.661.547.886</w:t>
            </w:r>
          </w:p>
        </w:tc>
      </w:tr>
      <w:tr w:rsidR="68B7379A" w:rsidRPr="002D0A3A" w14:paraId="3C29753E" w14:textId="77777777" w:rsidTr="00F65E08">
        <w:trPr>
          <w:trHeight w:val="360"/>
        </w:trPr>
        <w:tc>
          <w:tcPr>
            <w:tcW w:w="3424" w:type="pct"/>
            <w:tcMar>
              <w:left w:w="70" w:type="dxa"/>
              <w:right w:w="70" w:type="dxa"/>
            </w:tcMar>
            <w:vAlign w:val="center"/>
          </w:tcPr>
          <w:p w14:paraId="6E7606E9" w14:textId="4BA572E2" w:rsidR="68B7379A" w:rsidRPr="002D0A3A" w:rsidRDefault="68B7379A" w:rsidP="000A5389">
            <w:pPr>
              <w:spacing w:line="240" w:lineRule="auto"/>
              <w:rPr>
                <w:rFonts w:cs="Times New Roman"/>
              </w:rPr>
            </w:pPr>
            <w:r w:rsidRPr="002D0A3A">
              <w:rPr>
                <w:rFonts w:eastAsia="Times New Roman" w:cs="Times New Roman"/>
                <w:color w:val="000000" w:themeColor="text1"/>
              </w:rPr>
              <w:t xml:space="preserve">Santa Marta Riohacha Paraguachón </w:t>
            </w:r>
          </w:p>
        </w:tc>
        <w:tc>
          <w:tcPr>
            <w:tcW w:w="1576" w:type="pct"/>
            <w:tcMar>
              <w:left w:w="70" w:type="dxa"/>
              <w:right w:w="70" w:type="dxa"/>
            </w:tcMar>
            <w:vAlign w:val="center"/>
          </w:tcPr>
          <w:p w14:paraId="4049DE50" w14:textId="2FAA3EB0" w:rsidR="68B7379A" w:rsidRPr="002D0A3A" w:rsidRDefault="68B7379A" w:rsidP="000A5389">
            <w:pPr>
              <w:spacing w:line="240" w:lineRule="auto"/>
              <w:jc w:val="right"/>
              <w:rPr>
                <w:rFonts w:cs="Times New Roman"/>
              </w:rPr>
            </w:pPr>
            <w:r w:rsidRPr="002D0A3A">
              <w:rPr>
                <w:rFonts w:eastAsia="Calibri" w:cs="Times New Roman"/>
              </w:rPr>
              <w:t>133.774.919.740</w:t>
            </w:r>
          </w:p>
        </w:tc>
      </w:tr>
    </w:tbl>
    <w:p w14:paraId="31559F7A" w14:textId="40C862E2" w:rsidR="68B7379A" w:rsidRPr="00951AB1" w:rsidRDefault="68B7379A" w:rsidP="000A5389">
      <w:pPr>
        <w:spacing w:line="240" w:lineRule="auto"/>
        <w:ind w:left="-20" w:right="-20"/>
        <w:rPr>
          <w:rFonts w:cs="Times New Roman"/>
          <w:szCs w:val="24"/>
        </w:rPr>
      </w:pPr>
    </w:p>
    <w:p w14:paraId="0FDCA9D4" w14:textId="54F207A1" w:rsidR="3B1403B2" w:rsidRPr="00951AB1" w:rsidRDefault="3B1403B2" w:rsidP="000A5389">
      <w:pPr>
        <w:spacing w:line="240" w:lineRule="auto"/>
        <w:ind w:left="-20" w:right="-20"/>
        <w:rPr>
          <w:rFonts w:eastAsia="Times New Roman" w:cs="Times New Roman"/>
          <w:szCs w:val="24"/>
        </w:rPr>
      </w:pPr>
      <w:r w:rsidRPr="00951AB1">
        <w:rPr>
          <w:rFonts w:cs="Times New Roman"/>
          <w:szCs w:val="24"/>
        </w:rPr>
        <w:t>Adicionalmente, s</w:t>
      </w:r>
      <w:r w:rsidR="577E48B7" w:rsidRPr="00951AB1">
        <w:rPr>
          <w:rFonts w:cs="Times New Roman"/>
          <w:szCs w:val="24"/>
        </w:rPr>
        <w:t xml:space="preserve">e efectuaron los siguientes traslados de saldos </w:t>
      </w:r>
      <w:r w:rsidR="319C524D" w:rsidRPr="00951AB1">
        <w:rPr>
          <w:rFonts w:cs="Times New Roman"/>
          <w:szCs w:val="24"/>
        </w:rPr>
        <w:t xml:space="preserve">contables de la red carretera </w:t>
      </w:r>
      <w:r w:rsidR="577E48B7" w:rsidRPr="00951AB1">
        <w:rPr>
          <w:rFonts w:cs="Times New Roman"/>
          <w:szCs w:val="24"/>
        </w:rPr>
        <w:t xml:space="preserve">del proyecto </w:t>
      </w:r>
      <w:r w:rsidR="577E48B7" w:rsidRPr="00951AB1">
        <w:rPr>
          <w:rFonts w:eastAsia="Times New Roman" w:cs="Times New Roman"/>
          <w:szCs w:val="24"/>
        </w:rPr>
        <w:t xml:space="preserve">Transversal de las Américas revertido a los </w:t>
      </w:r>
      <w:r w:rsidR="61BC5989" w:rsidRPr="00951AB1">
        <w:rPr>
          <w:rFonts w:eastAsia="Times New Roman" w:cs="Times New Roman"/>
          <w:szCs w:val="24"/>
        </w:rPr>
        <w:t>activos</w:t>
      </w:r>
      <w:r w:rsidR="577E48B7" w:rsidRPr="00951AB1">
        <w:rPr>
          <w:rFonts w:eastAsia="Times New Roman" w:cs="Times New Roman"/>
          <w:szCs w:val="24"/>
        </w:rPr>
        <w:t>:</w:t>
      </w:r>
    </w:p>
    <w:p w14:paraId="4F8CB1FA" w14:textId="79D4727C" w:rsidR="68B7379A" w:rsidRPr="00951AB1" w:rsidRDefault="68B7379A" w:rsidP="000A5389">
      <w:pPr>
        <w:spacing w:line="240" w:lineRule="auto"/>
        <w:ind w:left="-20" w:right="-20"/>
        <w:rPr>
          <w:rFonts w:eastAsia="Times New Roman" w:cs="Times New Roman"/>
          <w:szCs w:val="24"/>
        </w:rPr>
      </w:pPr>
    </w:p>
    <w:p w14:paraId="024AC51E" w14:textId="0025286C" w:rsidR="577E48B7" w:rsidRPr="00951AB1" w:rsidRDefault="577E48B7" w:rsidP="00512B77">
      <w:pPr>
        <w:pStyle w:val="Prrafodelista"/>
        <w:numPr>
          <w:ilvl w:val="0"/>
          <w:numId w:val="122"/>
        </w:numPr>
        <w:spacing w:line="240" w:lineRule="auto"/>
        <w:ind w:right="-20"/>
        <w:rPr>
          <w:rFonts w:eastAsiaTheme="minorEastAsia" w:cs="Times New Roman"/>
          <w:szCs w:val="24"/>
        </w:rPr>
      </w:pPr>
      <w:r w:rsidRPr="00951AB1">
        <w:rPr>
          <w:rFonts w:eastAsiaTheme="minorEastAsia" w:cs="Times New Roman"/>
          <w:szCs w:val="24"/>
        </w:rPr>
        <w:t>Proyecto Autopista para la prosperidad Mar 2 Contrato No. 018-2015, por valor de $224.984.913.987.</w:t>
      </w:r>
    </w:p>
    <w:p w14:paraId="3A78B25F" w14:textId="209889F0" w:rsidR="577E48B7" w:rsidRPr="00951AB1" w:rsidRDefault="577E48B7" w:rsidP="00512B77">
      <w:pPr>
        <w:pStyle w:val="Prrafodelista"/>
        <w:numPr>
          <w:ilvl w:val="0"/>
          <w:numId w:val="122"/>
        </w:numPr>
        <w:spacing w:line="240" w:lineRule="auto"/>
        <w:ind w:right="-20"/>
        <w:rPr>
          <w:rFonts w:eastAsia="Times New Roman" w:cs="Times New Roman"/>
          <w:szCs w:val="24"/>
        </w:rPr>
      </w:pPr>
      <w:r w:rsidRPr="00951AB1">
        <w:rPr>
          <w:rFonts w:eastAsia="Times New Roman" w:cs="Times New Roman"/>
          <w:szCs w:val="24"/>
        </w:rPr>
        <w:t xml:space="preserve">Contrato de Concesión IP Antioquia - </w:t>
      </w:r>
      <w:r w:rsidR="76581070" w:rsidRPr="00951AB1">
        <w:rPr>
          <w:rFonts w:eastAsia="Times New Roman" w:cs="Times New Roman"/>
          <w:szCs w:val="24"/>
        </w:rPr>
        <w:t>Bolívar</w:t>
      </w:r>
      <w:r w:rsidRPr="00951AB1">
        <w:rPr>
          <w:rFonts w:eastAsia="Times New Roman" w:cs="Times New Roman"/>
          <w:szCs w:val="24"/>
        </w:rPr>
        <w:t xml:space="preserve"> No. 016 de 2015, por valor de $204.274.831.866.</w:t>
      </w:r>
    </w:p>
    <w:p w14:paraId="23D10F10" w14:textId="33A2FAFE" w:rsidR="6C6EB652" w:rsidRPr="00951AB1" w:rsidRDefault="6C6EB652" w:rsidP="000A5389">
      <w:pPr>
        <w:pStyle w:val="Default"/>
        <w:jc w:val="both"/>
        <w:rPr>
          <w:rFonts w:ascii="Times New Roman" w:hAnsi="Times New Roman" w:cs="Times New Roman"/>
        </w:rPr>
      </w:pPr>
      <w:r w:rsidRPr="00951AB1">
        <w:rPr>
          <w:rFonts w:ascii="Times New Roman" w:eastAsia="Times New Roman" w:hAnsi="Times New Roman" w:cs="Times New Roman"/>
        </w:rPr>
        <w:lastRenderedPageBreak/>
        <w:t>I</w:t>
      </w:r>
      <w:r w:rsidRPr="00951AB1">
        <w:rPr>
          <w:rFonts w:ascii="Times New Roman" w:eastAsiaTheme="minorEastAsia" w:hAnsi="Times New Roman" w:cs="Times New Roman"/>
          <w:color w:val="auto"/>
          <w:lang w:eastAsia="en-US"/>
        </w:rPr>
        <w:t>gualmente, la infraestructura del tramo desafectado correspondiente a La Dorada Chiriguana fue trasladado a</w:t>
      </w:r>
      <w:r w:rsidR="7EA638F1" w:rsidRPr="00951AB1">
        <w:rPr>
          <w:rFonts w:ascii="Times New Roman" w:eastAsiaTheme="minorEastAsia" w:hAnsi="Times New Roman" w:cs="Times New Roman"/>
          <w:color w:val="auto"/>
          <w:lang w:eastAsia="en-US"/>
        </w:rPr>
        <w:t>l</w:t>
      </w:r>
      <w:r w:rsidR="004D036A" w:rsidRPr="00951AB1">
        <w:rPr>
          <w:rFonts w:ascii="Times New Roman" w:eastAsiaTheme="minorEastAsia" w:hAnsi="Times New Roman" w:cs="Times New Roman"/>
          <w:color w:val="auto"/>
          <w:lang w:eastAsia="en-US"/>
        </w:rPr>
        <w:t xml:space="preserve"> contrato </w:t>
      </w:r>
      <w:r w:rsidR="51564308" w:rsidRPr="00951AB1">
        <w:rPr>
          <w:rFonts w:ascii="Times New Roman" w:eastAsiaTheme="minorEastAsia" w:hAnsi="Times New Roman" w:cs="Times New Roman"/>
          <w:color w:val="auto"/>
          <w:lang w:eastAsia="en-US"/>
        </w:rPr>
        <w:t xml:space="preserve">de concesión </w:t>
      </w:r>
      <w:r w:rsidR="004D036A" w:rsidRPr="00951AB1">
        <w:rPr>
          <w:rFonts w:ascii="Times New Roman" w:eastAsiaTheme="minorEastAsia" w:hAnsi="Times New Roman" w:cs="Times New Roman"/>
          <w:color w:val="auto"/>
          <w:lang w:eastAsia="en-US"/>
        </w:rPr>
        <w:t>APP No. 001-2025</w:t>
      </w:r>
      <w:r w:rsidR="0DDDAD5A" w:rsidRPr="00951AB1">
        <w:rPr>
          <w:rFonts w:ascii="Times New Roman" w:eastAsiaTheme="minorEastAsia" w:hAnsi="Times New Roman" w:cs="Times New Roman"/>
          <w:color w:val="auto"/>
          <w:lang w:eastAsia="en-US"/>
        </w:rPr>
        <w:t xml:space="preserve"> del </w:t>
      </w:r>
      <w:r w:rsidR="0EE33353" w:rsidRPr="00951AB1">
        <w:rPr>
          <w:rFonts w:ascii="Times New Roman" w:eastAsiaTheme="minorEastAsia" w:hAnsi="Times New Roman" w:cs="Times New Roman"/>
          <w:color w:val="auto"/>
          <w:lang w:eastAsia="en-US"/>
        </w:rPr>
        <w:t>p</w:t>
      </w:r>
      <w:r w:rsidR="0DDDAD5A" w:rsidRPr="00951AB1">
        <w:rPr>
          <w:rFonts w:ascii="Times New Roman" w:eastAsiaTheme="minorEastAsia" w:hAnsi="Times New Roman" w:cs="Times New Roman"/>
          <w:color w:val="auto"/>
          <w:lang w:eastAsia="en-US"/>
        </w:rPr>
        <w:t>royecto Corredor Férreo La Dorada – Chiriguaná suscrito con Concesión Línea Férrea Central S.A.S</w:t>
      </w:r>
      <w:r w:rsidR="203213E5" w:rsidRPr="00951AB1">
        <w:rPr>
          <w:rFonts w:ascii="Times New Roman" w:eastAsiaTheme="minorEastAsia" w:hAnsi="Times New Roman" w:cs="Times New Roman"/>
          <w:color w:val="auto"/>
          <w:lang w:eastAsia="en-US"/>
        </w:rPr>
        <w:t>.</w:t>
      </w:r>
    </w:p>
    <w:p w14:paraId="411EC402" w14:textId="0EE43F08" w:rsidR="10A7ADE9" w:rsidRPr="00951AB1" w:rsidRDefault="10A7ADE9" w:rsidP="000A5389">
      <w:pPr>
        <w:spacing w:line="240" w:lineRule="auto"/>
        <w:rPr>
          <w:rFonts w:cs="Times New Roman"/>
        </w:rPr>
      </w:pPr>
      <w:r w:rsidRPr="00951AB1">
        <w:rPr>
          <w:rFonts w:eastAsia="Times New Roman" w:cs="Times New Roman"/>
          <w:szCs w:val="24"/>
          <w:lang w:val="es"/>
        </w:rPr>
        <w:t xml:space="preserve"> </w:t>
      </w:r>
    </w:p>
    <w:p w14:paraId="1477E31F" w14:textId="5A098756" w:rsidR="10A7ADE9" w:rsidRDefault="10A7ADE9" w:rsidP="000A5389">
      <w:pPr>
        <w:spacing w:line="240" w:lineRule="auto"/>
        <w:rPr>
          <w:rFonts w:eastAsia="Times New Roman" w:cs="Times New Roman"/>
          <w:szCs w:val="24"/>
        </w:rPr>
      </w:pPr>
      <w:r w:rsidRPr="00951AB1">
        <w:rPr>
          <w:rFonts w:eastAsia="Times New Roman" w:cs="Times New Roman"/>
          <w:szCs w:val="24"/>
          <w:lang w:val="es"/>
        </w:rPr>
        <w:t xml:space="preserve">La Agencia Nacional de Infraestructura, en aplicación de la Resolución CGN No. 602 de 2018 realizó las siguientes reversiones durante el periodo 2025 </w:t>
      </w:r>
      <w:r w:rsidRPr="00951AB1">
        <w:rPr>
          <w:rFonts w:eastAsia="Times New Roman" w:cs="Times New Roman"/>
          <w:szCs w:val="24"/>
        </w:rPr>
        <w:t xml:space="preserve">por valor de </w:t>
      </w:r>
      <w:r w:rsidRPr="00951AB1">
        <w:rPr>
          <w:rFonts w:eastAsia="Times New Roman" w:cs="Times New Roman"/>
          <w:b/>
          <w:bCs/>
          <w:szCs w:val="24"/>
        </w:rPr>
        <w:t>$2.003.850.725.666</w:t>
      </w:r>
      <w:r w:rsidRPr="00951AB1">
        <w:rPr>
          <w:rFonts w:eastAsia="Times New Roman" w:cs="Times New Roman"/>
          <w:szCs w:val="24"/>
          <w:lang w:val="es"/>
        </w:rPr>
        <w:t>, utilizando e</w:t>
      </w:r>
      <w:r w:rsidRPr="00951AB1">
        <w:rPr>
          <w:rFonts w:eastAsia="Times New Roman" w:cs="Times New Roman"/>
          <w:szCs w:val="24"/>
        </w:rPr>
        <w:t>l Gasto por Transferencias y Subvenciones,</w:t>
      </w:r>
      <w:r w:rsidRPr="00951AB1">
        <w:rPr>
          <w:rFonts w:eastAsia="Times New Roman" w:cs="Times New Roman"/>
          <w:szCs w:val="24"/>
          <w:lang w:val="es"/>
        </w:rPr>
        <w:t xml:space="preserve"> subcuenta 542307001 - Bienes entregados sin contraprestación por corresponder a entregas dentro del mismo año, así:</w:t>
      </w:r>
      <w:r w:rsidRPr="00951AB1">
        <w:rPr>
          <w:rFonts w:eastAsia="Times New Roman" w:cs="Times New Roman"/>
          <w:szCs w:val="24"/>
        </w:rPr>
        <w:t xml:space="preserve"> </w:t>
      </w:r>
    </w:p>
    <w:p w14:paraId="1AD1A447" w14:textId="77777777" w:rsidR="002D0A3A" w:rsidRPr="00951AB1" w:rsidRDefault="002D0A3A" w:rsidP="000A5389">
      <w:pPr>
        <w:spacing w:line="240" w:lineRule="auto"/>
        <w:rPr>
          <w:rFonts w:eastAsia="Times New Roman" w:cs="Times New Roman"/>
          <w:szCs w:val="24"/>
        </w:rPr>
      </w:pPr>
    </w:p>
    <w:p w14:paraId="53AE2B62" w14:textId="689687EF" w:rsidR="10A7ADE9" w:rsidRPr="00951AB1" w:rsidRDefault="10A7ADE9" w:rsidP="00363B42">
      <w:pPr>
        <w:pStyle w:val="Prrafodelista"/>
        <w:numPr>
          <w:ilvl w:val="0"/>
          <w:numId w:val="124"/>
        </w:numPr>
        <w:spacing w:line="240" w:lineRule="auto"/>
        <w:rPr>
          <w:rFonts w:eastAsia="Times New Roman" w:cs="Times New Roman"/>
          <w:szCs w:val="24"/>
        </w:rPr>
      </w:pPr>
      <w:r w:rsidRPr="00951AB1">
        <w:rPr>
          <w:rFonts w:eastAsia="Times New Roman" w:cs="Times New Roman"/>
          <w:szCs w:val="24"/>
        </w:rPr>
        <w:t>Contrato de Concesión No. 002 de 2007 – Proyecto Cordoba – Sucre: $1.538.719.710.793</w:t>
      </w:r>
    </w:p>
    <w:p w14:paraId="72BF36DC" w14:textId="087114A2" w:rsidR="10A7ADE9" w:rsidRPr="00363B42" w:rsidRDefault="10A7ADE9" w:rsidP="00363B42">
      <w:pPr>
        <w:pStyle w:val="Prrafodelista"/>
        <w:numPr>
          <w:ilvl w:val="1"/>
          <w:numId w:val="124"/>
        </w:numPr>
        <w:spacing w:line="240" w:lineRule="auto"/>
        <w:rPr>
          <w:rFonts w:cs="Times New Roman"/>
        </w:rPr>
      </w:pPr>
      <w:r w:rsidRPr="00363B42">
        <w:rPr>
          <w:rFonts w:eastAsia="Times New Roman" w:cs="Times New Roman"/>
          <w:szCs w:val="24"/>
        </w:rPr>
        <w:t>Municipio de Montería $195.490.980.899</w:t>
      </w:r>
    </w:p>
    <w:p w14:paraId="24309EC5" w14:textId="14E2D002" w:rsidR="10A7ADE9" w:rsidRPr="00363B42" w:rsidRDefault="10A7ADE9" w:rsidP="00363B42">
      <w:pPr>
        <w:pStyle w:val="Prrafodelista"/>
        <w:numPr>
          <w:ilvl w:val="1"/>
          <w:numId w:val="124"/>
        </w:numPr>
        <w:spacing w:line="240" w:lineRule="auto"/>
        <w:rPr>
          <w:rFonts w:cs="Times New Roman"/>
        </w:rPr>
      </w:pPr>
      <w:r w:rsidRPr="00363B42">
        <w:rPr>
          <w:rFonts w:eastAsia="Times New Roman" w:cs="Times New Roman"/>
          <w:szCs w:val="24"/>
        </w:rPr>
        <w:t>Municipio de Sincelejo $12.665.623.501</w:t>
      </w:r>
    </w:p>
    <w:p w14:paraId="687625DD" w14:textId="25B0367E" w:rsidR="10A7ADE9" w:rsidRPr="00363B42" w:rsidRDefault="10A7ADE9" w:rsidP="00363B42">
      <w:pPr>
        <w:pStyle w:val="Prrafodelista"/>
        <w:numPr>
          <w:ilvl w:val="1"/>
          <w:numId w:val="124"/>
        </w:numPr>
        <w:spacing w:line="240" w:lineRule="auto"/>
        <w:rPr>
          <w:rFonts w:cs="Times New Roman"/>
        </w:rPr>
      </w:pPr>
      <w:r w:rsidRPr="00363B42">
        <w:rPr>
          <w:rFonts w:eastAsia="Times New Roman" w:cs="Times New Roman"/>
          <w:szCs w:val="24"/>
        </w:rPr>
        <w:t>Invias $1.330.563.106.393</w:t>
      </w:r>
    </w:p>
    <w:p w14:paraId="0A2BDCAB" w14:textId="3365B6B4" w:rsidR="10A7ADE9" w:rsidRPr="00951AB1" w:rsidRDefault="10A7ADE9" w:rsidP="00363B42">
      <w:pPr>
        <w:pStyle w:val="Prrafodelista"/>
        <w:numPr>
          <w:ilvl w:val="0"/>
          <w:numId w:val="124"/>
        </w:numPr>
        <w:spacing w:line="240" w:lineRule="auto"/>
        <w:rPr>
          <w:rFonts w:eastAsia="Times New Roman" w:cs="Times New Roman"/>
          <w:szCs w:val="24"/>
        </w:rPr>
      </w:pPr>
      <w:r w:rsidRPr="00951AB1">
        <w:rPr>
          <w:rFonts w:eastAsia="Times New Roman" w:cs="Times New Roman"/>
          <w:szCs w:val="24"/>
        </w:rPr>
        <w:t xml:space="preserve">Contrato de Concesión No. 002 de 2016 – Proyecto Bucaramanga–Pamplona: $436.055.944.240 para el Invias. </w:t>
      </w:r>
    </w:p>
    <w:p w14:paraId="2A0AF47D" w14:textId="211733EB" w:rsidR="10A7ADE9" w:rsidRPr="00951AB1" w:rsidRDefault="10A7ADE9" w:rsidP="00363B42">
      <w:pPr>
        <w:pStyle w:val="Prrafodelista"/>
        <w:numPr>
          <w:ilvl w:val="0"/>
          <w:numId w:val="124"/>
        </w:numPr>
        <w:spacing w:line="240" w:lineRule="auto"/>
        <w:rPr>
          <w:rFonts w:eastAsia="Times New Roman" w:cs="Times New Roman"/>
          <w:szCs w:val="24"/>
        </w:rPr>
      </w:pPr>
      <w:r w:rsidRPr="00951AB1">
        <w:rPr>
          <w:rFonts w:eastAsia="Times New Roman" w:cs="Times New Roman"/>
          <w:szCs w:val="24"/>
        </w:rPr>
        <w:t xml:space="preserve">Contrato de Concesión No. 001 de 2016 – Proyecto IP Vías del Nus (Concesión Vías del Nus S.A.S.): $28.720.259.166 para el Invias. </w:t>
      </w:r>
    </w:p>
    <w:p w14:paraId="68E0D894" w14:textId="4C12A1F5" w:rsidR="10A7ADE9" w:rsidRPr="00951AB1" w:rsidRDefault="10A7ADE9" w:rsidP="00363B42">
      <w:pPr>
        <w:pStyle w:val="Prrafodelista"/>
        <w:numPr>
          <w:ilvl w:val="0"/>
          <w:numId w:val="124"/>
        </w:numPr>
        <w:spacing w:line="240" w:lineRule="auto"/>
        <w:rPr>
          <w:rFonts w:eastAsia="Times New Roman" w:cs="Times New Roman"/>
          <w:szCs w:val="24"/>
        </w:rPr>
      </w:pPr>
      <w:r w:rsidRPr="00951AB1">
        <w:rPr>
          <w:rFonts w:eastAsia="Times New Roman" w:cs="Times New Roman"/>
          <w:szCs w:val="24"/>
        </w:rPr>
        <w:t>Contrato No. 002 de 2015 – APP GICA S.A.: 354</w:t>
      </w:r>
      <w:r w:rsidR="6D7EE3A7" w:rsidRPr="00951AB1">
        <w:rPr>
          <w:rFonts w:eastAsia="Times New Roman" w:cs="Times New Roman"/>
          <w:szCs w:val="24"/>
        </w:rPr>
        <w:t>.</w:t>
      </w:r>
      <w:r w:rsidRPr="00951AB1">
        <w:rPr>
          <w:rFonts w:eastAsia="Times New Roman" w:cs="Times New Roman"/>
          <w:szCs w:val="24"/>
        </w:rPr>
        <w:t>811</w:t>
      </w:r>
      <w:r w:rsidR="0C80A8A0" w:rsidRPr="00951AB1">
        <w:rPr>
          <w:rFonts w:eastAsia="Times New Roman" w:cs="Times New Roman"/>
          <w:szCs w:val="24"/>
        </w:rPr>
        <w:t>.</w:t>
      </w:r>
      <w:r w:rsidRPr="00951AB1">
        <w:rPr>
          <w:rFonts w:eastAsia="Times New Roman" w:cs="Times New Roman"/>
          <w:szCs w:val="24"/>
        </w:rPr>
        <w:t xml:space="preserve">467, Propiedad Planta y Equipo (Vehículos) para el Invias. </w:t>
      </w:r>
    </w:p>
    <w:p w14:paraId="41FD8F5A" w14:textId="4450DE12" w:rsidR="10A7ADE9" w:rsidRPr="00951AB1" w:rsidRDefault="10A7ADE9" w:rsidP="00363B42">
      <w:pPr>
        <w:spacing w:line="240" w:lineRule="auto"/>
        <w:ind w:firstLine="60"/>
        <w:rPr>
          <w:rFonts w:cs="Times New Roman"/>
        </w:rPr>
      </w:pPr>
    </w:p>
    <w:p w14:paraId="21FFC636" w14:textId="1027690E" w:rsidR="436392AE" w:rsidRPr="00951AB1" w:rsidRDefault="436392AE" w:rsidP="000A5389">
      <w:pPr>
        <w:spacing w:line="240" w:lineRule="auto"/>
        <w:rPr>
          <w:rFonts w:eastAsia="Times New Roman" w:cs="Times New Roman"/>
          <w:szCs w:val="24"/>
        </w:rPr>
      </w:pPr>
      <w:r w:rsidRPr="00951AB1">
        <w:rPr>
          <w:rFonts w:eastAsia="Times New Roman" w:cs="Times New Roman"/>
          <w:szCs w:val="24"/>
        </w:rPr>
        <w:t>De igual manera,</w:t>
      </w:r>
      <w:r w:rsidR="10A7ADE9" w:rsidRPr="00951AB1">
        <w:rPr>
          <w:rFonts w:eastAsia="Times New Roman" w:cs="Times New Roman"/>
          <w:szCs w:val="24"/>
        </w:rPr>
        <w:t xml:space="preserve"> se realizaron desincorporaciones de saldos contables sobre proyectos que fueron revertidos antes del año 2025</w:t>
      </w:r>
      <w:r w:rsidR="0F3CD95B" w:rsidRPr="00951AB1">
        <w:rPr>
          <w:rFonts w:eastAsia="Times New Roman" w:cs="Times New Roman"/>
          <w:szCs w:val="24"/>
        </w:rPr>
        <w:t>,</w:t>
      </w:r>
      <w:r w:rsidR="10A7ADE9" w:rsidRPr="00951AB1">
        <w:rPr>
          <w:rFonts w:eastAsia="Times New Roman" w:cs="Times New Roman"/>
          <w:szCs w:val="24"/>
        </w:rPr>
        <w:t xml:space="preserve"> utiliz</w:t>
      </w:r>
      <w:r w:rsidR="0EC89CED" w:rsidRPr="00951AB1">
        <w:rPr>
          <w:rFonts w:eastAsia="Times New Roman" w:cs="Times New Roman"/>
          <w:szCs w:val="24"/>
        </w:rPr>
        <w:t>ando</w:t>
      </w:r>
      <w:r w:rsidR="10A7ADE9" w:rsidRPr="00951AB1">
        <w:rPr>
          <w:rFonts w:eastAsia="Times New Roman" w:cs="Times New Roman"/>
          <w:szCs w:val="24"/>
        </w:rPr>
        <w:t xml:space="preserve"> la cuenta contable de Utilidades en el patrimonio para enviar la información a las diferentes entidades titulares sobre proyectos revertidos de conformidad con lo conceptuado por la Contaduría</w:t>
      </w:r>
      <w:r w:rsidR="7823FD11" w:rsidRPr="00951AB1">
        <w:rPr>
          <w:rFonts w:eastAsia="Times New Roman" w:cs="Times New Roman"/>
          <w:szCs w:val="24"/>
        </w:rPr>
        <w:t>, en el sentido que</w:t>
      </w:r>
      <w:r w:rsidR="10A7ADE9" w:rsidRPr="00951AB1">
        <w:rPr>
          <w:rFonts w:eastAsia="Times New Roman" w:cs="Times New Roman"/>
          <w:szCs w:val="24"/>
        </w:rPr>
        <w:t xml:space="preserve"> </w:t>
      </w:r>
      <w:r w:rsidR="24A22A84" w:rsidRPr="00951AB1">
        <w:rPr>
          <w:rFonts w:eastAsia="Times New Roman" w:cs="Times New Roman"/>
          <w:szCs w:val="24"/>
        </w:rPr>
        <w:t>mientras la Agencia se encuentre en los plazos otorgados por la CGN, no aplicará lo establecido en la Norma de políticas contables, cambios en las estimaciones contables y corrección de errores de conformidad con el Concepto CGN No. 20211100002041 del 10 de febrero 2021</w:t>
      </w:r>
      <w:r w:rsidR="69AD4526" w:rsidRPr="00951AB1">
        <w:rPr>
          <w:rFonts w:eastAsia="Times New Roman" w:cs="Times New Roman"/>
          <w:szCs w:val="24"/>
        </w:rPr>
        <w:t xml:space="preserve">, por lo tanto, </w:t>
      </w:r>
      <w:r w:rsidR="25C6BFA7" w:rsidRPr="00951AB1">
        <w:rPr>
          <w:rFonts w:eastAsia="Times New Roman" w:cs="Times New Roman"/>
          <w:szCs w:val="24"/>
        </w:rPr>
        <w:t xml:space="preserve">se retiró del activo </w:t>
      </w:r>
      <w:r w:rsidR="69AD4526" w:rsidRPr="00951AB1">
        <w:rPr>
          <w:rFonts w:eastAsia="Times New Roman" w:cs="Times New Roman"/>
          <w:szCs w:val="24"/>
        </w:rPr>
        <w:t>el</w:t>
      </w:r>
      <w:r w:rsidR="10A7ADE9" w:rsidRPr="00951AB1">
        <w:rPr>
          <w:rFonts w:eastAsia="Times New Roman" w:cs="Times New Roman"/>
          <w:szCs w:val="24"/>
        </w:rPr>
        <w:t xml:space="preserve"> valor </w:t>
      </w:r>
      <w:r w:rsidR="106E6939" w:rsidRPr="00951AB1">
        <w:rPr>
          <w:rFonts w:eastAsia="Times New Roman" w:cs="Times New Roman"/>
          <w:szCs w:val="24"/>
        </w:rPr>
        <w:t>total d</w:t>
      </w:r>
      <w:r w:rsidR="040D805C" w:rsidRPr="00951AB1">
        <w:rPr>
          <w:rFonts w:eastAsia="Times New Roman" w:cs="Times New Roman"/>
          <w:szCs w:val="24"/>
        </w:rPr>
        <w:t>e</w:t>
      </w:r>
      <w:r w:rsidR="10A7ADE9" w:rsidRPr="00951AB1">
        <w:rPr>
          <w:rFonts w:eastAsia="Times New Roman" w:cs="Times New Roman"/>
          <w:szCs w:val="24"/>
        </w:rPr>
        <w:t xml:space="preserve"> </w:t>
      </w:r>
      <w:r w:rsidR="10A7ADE9" w:rsidRPr="00951AB1">
        <w:rPr>
          <w:rFonts w:eastAsia="Times New Roman" w:cs="Times New Roman"/>
          <w:b/>
          <w:bCs/>
          <w:szCs w:val="24"/>
        </w:rPr>
        <w:t>$</w:t>
      </w:r>
      <w:r w:rsidR="1FDC820D" w:rsidRPr="00951AB1">
        <w:rPr>
          <w:rFonts w:eastAsia="Times New Roman" w:cs="Times New Roman"/>
          <w:b/>
          <w:bCs/>
          <w:szCs w:val="24"/>
        </w:rPr>
        <w:t>2.321.859.288.195</w:t>
      </w:r>
      <w:r w:rsidR="10A7ADE9" w:rsidRPr="00951AB1">
        <w:rPr>
          <w:rFonts w:eastAsia="Times New Roman" w:cs="Times New Roman"/>
          <w:szCs w:val="24"/>
        </w:rPr>
        <w:t>, para lo cual se resalta que el 9</w:t>
      </w:r>
      <w:r w:rsidR="3CE76A81" w:rsidRPr="00951AB1">
        <w:rPr>
          <w:rFonts w:eastAsia="Times New Roman" w:cs="Times New Roman"/>
          <w:szCs w:val="24"/>
        </w:rPr>
        <w:t>1</w:t>
      </w:r>
      <w:r w:rsidR="104D8515" w:rsidRPr="00951AB1">
        <w:rPr>
          <w:rFonts w:eastAsia="Times New Roman" w:cs="Times New Roman"/>
          <w:szCs w:val="24"/>
        </w:rPr>
        <w:t>,</w:t>
      </w:r>
      <w:r w:rsidR="083574A7" w:rsidRPr="00951AB1">
        <w:rPr>
          <w:rFonts w:eastAsia="Times New Roman" w:cs="Times New Roman"/>
          <w:szCs w:val="24"/>
        </w:rPr>
        <w:t>56</w:t>
      </w:r>
      <w:r w:rsidR="10A7ADE9" w:rsidRPr="00951AB1">
        <w:rPr>
          <w:rFonts w:eastAsia="Times New Roman" w:cs="Times New Roman"/>
          <w:szCs w:val="24"/>
        </w:rPr>
        <w:t>% de esta cifra corresponde l</w:t>
      </w:r>
      <w:r w:rsidR="44ACA3BC" w:rsidRPr="00951AB1">
        <w:rPr>
          <w:rFonts w:eastAsia="Times New Roman" w:cs="Times New Roman"/>
          <w:szCs w:val="24"/>
        </w:rPr>
        <w:t>o enviado al</w:t>
      </w:r>
      <w:r w:rsidR="10A7ADE9" w:rsidRPr="00951AB1">
        <w:rPr>
          <w:rFonts w:eastAsia="Times New Roman" w:cs="Times New Roman"/>
          <w:szCs w:val="24"/>
        </w:rPr>
        <w:t xml:space="preserve"> Invias con un valor de $</w:t>
      </w:r>
      <w:r w:rsidR="2705C4C6" w:rsidRPr="00951AB1">
        <w:rPr>
          <w:rFonts w:eastAsia="Times New Roman" w:cs="Times New Roman"/>
          <w:szCs w:val="24"/>
        </w:rPr>
        <w:t>2.125.944.129.391</w:t>
      </w:r>
      <w:r w:rsidR="76B8E1E4" w:rsidRPr="00951AB1">
        <w:rPr>
          <w:rFonts w:eastAsia="Times New Roman" w:cs="Times New Roman"/>
          <w:szCs w:val="24"/>
        </w:rPr>
        <w:t>, se relaciona las entidades</w:t>
      </w:r>
      <w:r w:rsidR="10A7ADE9" w:rsidRPr="00951AB1">
        <w:rPr>
          <w:rFonts w:eastAsia="Times New Roman" w:cs="Times New Roman"/>
          <w:szCs w:val="24"/>
        </w:rPr>
        <w:t>:</w:t>
      </w:r>
    </w:p>
    <w:p w14:paraId="26F68DDE" w14:textId="18F8C468" w:rsidR="10A7ADE9" w:rsidRPr="00951AB1" w:rsidRDefault="10A7ADE9" w:rsidP="000A5389">
      <w:pPr>
        <w:spacing w:line="240" w:lineRule="auto"/>
        <w:rPr>
          <w:rFonts w:cs="Times New Roman"/>
        </w:rPr>
      </w:pPr>
      <w:r w:rsidRPr="00951AB1">
        <w:rPr>
          <w:rFonts w:eastAsia="Times New Roman" w:cs="Times New Roman"/>
          <w:szCs w:val="24"/>
        </w:rPr>
        <w:t xml:space="preserve"> </w:t>
      </w:r>
    </w:p>
    <w:tbl>
      <w:tblPr>
        <w:tblW w:w="5000" w:type="pct"/>
        <w:tblLook w:val="06A0" w:firstRow="1" w:lastRow="0" w:firstColumn="1" w:lastColumn="0" w:noHBand="1" w:noVBand="1"/>
      </w:tblPr>
      <w:tblGrid>
        <w:gridCol w:w="1996"/>
        <w:gridCol w:w="4260"/>
        <w:gridCol w:w="2572"/>
      </w:tblGrid>
      <w:tr w:rsidR="68B7379A" w:rsidRPr="002D0A3A" w14:paraId="19A99EC2" w14:textId="77777777" w:rsidTr="002D0A3A">
        <w:trPr>
          <w:trHeight w:val="300"/>
          <w:tblHeader/>
        </w:trPr>
        <w:tc>
          <w:tcPr>
            <w:tcW w:w="1130" w:type="pct"/>
            <w:tcBorders>
              <w:top w:val="single" w:sz="4" w:space="0" w:color="auto"/>
              <w:left w:val="single" w:sz="4" w:space="0" w:color="auto"/>
              <w:bottom w:val="single" w:sz="4" w:space="0" w:color="auto"/>
              <w:right w:val="single" w:sz="4" w:space="0" w:color="auto"/>
            </w:tcBorders>
            <w:vAlign w:val="center"/>
          </w:tcPr>
          <w:p w14:paraId="36FA4A46" w14:textId="04ECB566" w:rsidR="68B7379A" w:rsidRPr="002D0A3A" w:rsidRDefault="68B7379A" w:rsidP="000A5389">
            <w:pPr>
              <w:spacing w:line="240" w:lineRule="auto"/>
              <w:jc w:val="center"/>
              <w:rPr>
                <w:rFonts w:cs="Times New Roman"/>
                <w:sz w:val="18"/>
                <w:szCs w:val="18"/>
              </w:rPr>
            </w:pPr>
            <w:r w:rsidRPr="002D0A3A">
              <w:rPr>
                <w:rFonts w:eastAsia="Times New Roman" w:cs="Times New Roman"/>
                <w:b/>
                <w:bCs/>
                <w:sz w:val="18"/>
                <w:szCs w:val="18"/>
              </w:rPr>
              <w:t>Entidad titular</w:t>
            </w:r>
          </w:p>
        </w:tc>
        <w:tc>
          <w:tcPr>
            <w:tcW w:w="2413" w:type="pct"/>
            <w:tcBorders>
              <w:top w:val="single" w:sz="4" w:space="0" w:color="auto"/>
              <w:left w:val="single" w:sz="4" w:space="0" w:color="auto"/>
              <w:bottom w:val="single" w:sz="4" w:space="0" w:color="auto"/>
              <w:right w:val="single" w:sz="4" w:space="0" w:color="auto"/>
            </w:tcBorders>
            <w:vAlign w:val="center"/>
          </w:tcPr>
          <w:p w14:paraId="6BCCAD21" w14:textId="2CB2D2F6" w:rsidR="68B7379A" w:rsidRPr="002D0A3A" w:rsidRDefault="68B7379A" w:rsidP="000A5389">
            <w:pPr>
              <w:spacing w:line="240" w:lineRule="auto"/>
              <w:jc w:val="center"/>
              <w:rPr>
                <w:rFonts w:cs="Times New Roman"/>
                <w:sz w:val="18"/>
                <w:szCs w:val="18"/>
              </w:rPr>
            </w:pPr>
            <w:r w:rsidRPr="002D0A3A">
              <w:rPr>
                <w:rFonts w:eastAsia="Times New Roman" w:cs="Times New Roman"/>
                <w:b/>
                <w:bCs/>
                <w:sz w:val="18"/>
                <w:szCs w:val="18"/>
              </w:rPr>
              <w:t>Proyecto</w:t>
            </w:r>
          </w:p>
        </w:tc>
        <w:tc>
          <w:tcPr>
            <w:tcW w:w="1457" w:type="pct"/>
            <w:tcBorders>
              <w:top w:val="single" w:sz="4" w:space="0" w:color="auto"/>
              <w:left w:val="single" w:sz="4" w:space="0" w:color="auto"/>
              <w:bottom w:val="single" w:sz="4" w:space="0" w:color="auto"/>
              <w:right w:val="single" w:sz="4" w:space="0" w:color="auto"/>
            </w:tcBorders>
            <w:vAlign w:val="center"/>
          </w:tcPr>
          <w:p w14:paraId="56DD296E" w14:textId="31974A1E" w:rsidR="68B7379A" w:rsidRPr="002D0A3A" w:rsidRDefault="68B7379A" w:rsidP="000A5389">
            <w:pPr>
              <w:spacing w:line="240" w:lineRule="auto"/>
              <w:jc w:val="center"/>
              <w:rPr>
                <w:rFonts w:cs="Times New Roman"/>
                <w:sz w:val="18"/>
                <w:szCs w:val="18"/>
              </w:rPr>
            </w:pPr>
            <w:r w:rsidRPr="002D0A3A">
              <w:rPr>
                <w:rFonts w:eastAsia="Times New Roman" w:cs="Times New Roman"/>
                <w:b/>
                <w:bCs/>
                <w:sz w:val="18"/>
                <w:szCs w:val="18"/>
              </w:rPr>
              <w:t xml:space="preserve">                 </w:t>
            </w:r>
            <w:r w:rsidR="5C9924F4" w:rsidRPr="002D0A3A">
              <w:rPr>
                <w:rFonts w:eastAsia="Times New Roman" w:cs="Times New Roman"/>
                <w:b/>
                <w:bCs/>
                <w:sz w:val="18"/>
                <w:szCs w:val="18"/>
              </w:rPr>
              <w:t>Valor</w:t>
            </w:r>
            <w:r w:rsidRPr="002D0A3A">
              <w:rPr>
                <w:rFonts w:eastAsia="Times New Roman" w:cs="Times New Roman"/>
                <w:b/>
                <w:bCs/>
                <w:sz w:val="18"/>
                <w:szCs w:val="18"/>
              </w:rPr>
              <w:t xml:space="preserve"> </w:t>
            </w:r>
          </w:p>
        </w:tc>
      </w:tr>
      <w:tr w:rsidR="68B7379A" w:rsidRPr="002D0A3A" w14:paraId="1C327A93" w14:textId="77777777" w:rsidTr="00E253CC">
        <w:trPr>
          <w:trHeight w:val="300"/>
        </w:trPr>
        <w:tc>
          <w:tcPr>
            <w:tcW w:w="1130" w:type="pct"/>
            <w:tcBorders>
              <w:top w:val="single" w:sz="4" w:space="0" w:color="auto"/>
              <w:left w:val="single" w:sz="4" w:space="0" w:color="auto"/>
              <w:bottom w:val="single" w:sz="4" w:space="0" w:color="auto"/>
              <w:right w:val="single" w:sz="4" w:space="0" w:color="auto"/>
            </w:tcBorders>
            <w:vAlign w:val="center"/>
          </w:tcPr>
          <w:p w14:paraId="2C058767" w14:textId="0647DCB7" w:rsidR="68B7379A" w:rsidRPr="002D0A3A" w:rsidRDefault="68B7379A" w:rsidP="000A5389">
            <w:pPr>
              <w:spacing w:line="240" w:lineRule="auto"/>
              <w:rPr>
                <w:rFonts w:cs="Times New Roman"/>
                <w:sz w:val="18"/>
                <w:szCs w:val="18"/>
              </w:rPr>
            </w:pPr>
            <w:r w:rsidRPr="002D0A3A">
              <w:rPr>
                <w:rFonts w:eastAsia="Times New Roman" w:cs="Times New Roman"/>
                <w:sz w:val="18"/>
                <w:szCs w:val="18"/>
              </w:rPr>
              <w:t>Invias</w:t>
            </w:r>
          </w:p>
        </w:tc>
        <w:tc>
          <w:tcPr>
            <w:tcW w:w="2413" w:type="pct"/>
            <w:tcBorders>
              <w:top w:val="single" w:sz="4" w:space="0" w:color="auto"/>
              <w:left w:val="single" w:sz="4" w:space="0" w:color="auto"/>
              <w:bottom w:val="single" w:sz="4" w:space="0" w:color="auto"/>
              <w:right w:val="single" w:sz="4" w:space="0" w:color="auto"/>
            </w:tcBorders>
            <w:vAlign w:val="center"/>
          </w:tcPr>
          <w:p w14:paraId="3001FBC1" w14:textId="5F75FE1B" w:rsidR="68B7379A" w:rsidRPr="002D0A3A" w:rsidRDefault="68B7379A" w:rsidP="000A5389">
            <w:pPr>
              <w:spacing w:line="240" w:lineRule="auto"/>
              <w:rPr>
                <w:rFonts w:cs="Times New Roman"/>
                <w:sz w:val="18"/>
                <w:szCs w:val="18"/>
              </w:rPr>
            </w:pPr>
            <w:r w:rsidRPr="002D0A3A">
              <w:rPr>
                <w:rFonts w:eastAsia="Times New Roman" w:cs="Times New Roman"/>
                <w:sz w:val="18"/>
                <w:szCs w:val="18"/>
              </w:rPr>
              <w:t>Transversal de las Américas</w:t>
            </w:r>
          </w:p>
        </w:tc>
        <w:tc>
          <w:tcPr>
            <w:tcW w:w="1457" w:type="pct"/>
            <w:tcBorders>
              <w:top w:val="single" w:sz="4" w:space="0" w:color="auto"/>
              <w:left w:val="single" w:sz="4" w:space="0" w:color="auto"/>
              <w:bottom w:val="single" w:sz="4" w:space="0" w:color="auto"/>
              <w:right w:val="single" w:sz="4" w:space="0" w:color="auto"/>
            </w:tcBorders>
            <w:vAlign w:val="center"/>
          </w:tcPr>
          <w:p w14:paraId="652144CD" w14:textId="15F9E834" w:rsidR="68B7379A" w:rsidRPr="002D0A3A" w:rsidRDefault="77C3C301" w:rsidP="000A5389">
            <w:pPr>
              <w:spacing w:line="240" w:lineRule="auto"/>
              <w:jc w:val="right"/>
              <w:rPr>
                <w:rFonts w:cs="Times New Roman"/>
                <w:sz w:val="18"/>
                <w:szCs w:val="18"/>
              </w:rPr>
            </w:pPr>
            <w:r w:rsidRPr="002D0A3A">
              <w:rPr>
                <w:rFonts w:eastAsia="Times New Roman" w:cs="Times New Roman"/>
                <w:sz w:val="18"/>
                <w:szCs w:val="18"/>
              </w:rPr>
              <w:t xml:space="preserve">                  1.146.053.346.038 </w:t>
            </w:r>
          </w:p>
        </w:tc>
      </w:tr>
      <w:tr w:rsidR="68B7379A" w:rsidRPr="002D0A3A" w14:paraId="122BB062" w14:textId="77777777" w:rsidTr="00E253CC">
        <w:trPr>
          <w:trHeight w:val="300"/>
        </w:trPr>
        <w:tc>
          <w:tcPr>
            <w:tcW w:w="1130" w:type="pct"/>
            <w:tcBorders>
              <w:top w:val="single" w:sz="4" w:space="0" w:color="auto"/>
              <w:left w:val="single" w:sz="4" w:space="0" w:color="auto"/>
              <w:bottom w:val="single" w:sz="4" w:space="0" w:color="auto"/>
              <w:right w:val="single" w:sz="4" w:space="0" w:color="auto"/>
            </w:tcBorders>
            <w:vAlign w:val="center"/>
          </w:tcPr>
          <w:p w14:paraId="7AF08946" w14:textId="5149ABF7" w:rsidR="68B7379A" w:rsidRPr="002D0A3A" w:rsidRDefault="68B7379A" w:rsidP="000A5389">
            <w:pPr>
              <w:spacing w:line="240" w:lineRule="auto"/>
              <w:rPr>
                <w:rFonts w:cs="Times New Roman"/>
                <w:sz w:val="18"/>
                <w:szCs w:val="18"/>
              </w:rPr>
            </w:pPr>
            <w:r w:rsidRPr="002D0A3A">
              <w:rPr>
                <w:rFonts w:eastAsia="Times New Roman" w:cs="Times New Roman"/>
                <w:sz w:val="18"/>
                <w:szCs w:val="18"/>
              </w:rPr>
              <w:t>Invias</w:t>
            </w:r>
          </w:p>
        </w:tc>
        <w:tc>
          <w:tcPr>
            <w:tcW w:w="2413" w:type="pct"/>
            <w:tcBorders>
              <w:top w:val="single" w:sz="4" w:space="0" w:color="auto"/>
              <w:left w:val="single" w:sz="4" w:space="0" w:color="auto"/>
              <w:bottom w:val="single" w:sz="4" w:space="0" w:color="auto"/>
              <w:right w:val="single" w:sz="4" w:space="0" w:color="auto"/>
            </w:tcBorders>
            <w:vAlign w:val="center"/>
          </w:tcPr>
          <w:p w14:paraId="4ABEED71" w14:textId="10E039B7" w:rsidR="68B7379A" w:rsidRPr="002D0A3A" w:rsidRDefault="68B7379A" w:rsidP="000A5389">
            <w:pPr>
              <w:spacing w:line="240" w:lineRule="auto"/>
              <w:rPr>
                <w:rFonts w:cs="Times New Roman"/>
                <w:sz w:val="18"/>
                <w:szCs w:val="18"/>
              </w:rPr>
            </w:pPr>
            <w:r w:rsidRPr="002D0A3A">
              <w:rPr>
                <w:rFonts w:eastAsia="Times New Roman" w:cs="Times New Roman"/>
                <w:sz w:val="18"/>
                <w:szCs w:val="18"/>
              </w:rPr>
              <w:t>Briceño Tunja Sogamoso - BTS</w:t>
            </w:r>
          </w:p>
        </w:tc>
        <w:tc>
          <w:tcPr>
            <w:tcW w:w="1457" w:type="pct"/>
            <w:tcBorders>
              <w:top w:val="single" w:sz="4" w:space="0" w:color="auto"/>
              <w:left w:val="single" w:sz="4" w:space="0" w:color="auto"/>
              <w:bottom w:val="single" w:sz="4" w:space="0" w:color="auto"/>
              <w:right w:val="single" w:sz="4" w:space="0" w:color="auto"/>
            </w:tcBorders>
            <w:vAlign w:val="center"/>
          </w:tcPr>
          <w:p w14:paraId="35659B70" w14:textId="0AA6293A" w:rsidR="68B7379A" w:rsidRPr="002D0A3A" w:rsidRDefault="77C3C301" w:rsidP="000A5389">
            <w:pPr>
              <w:spacing w:line="240" w:lineRule="auto"/>
              <w:jc w:val="right"/>
              <w:rPr>
                <w:rFonts w:cs="Times New Roman"/>
                <w:sz w:val="18"/>
                <w:szCs w:val="18"/>
              </w:rPr>
            </w:pPr>
            <w:r w:rsidRPr="002D0A3A">
              <w:rPr>
                <w:rFonts w:eastAsia="Times New Roman" w:cs="Times New Roman"/>
                <w:sz w:val="18"/>
                <w:szCs w:val="18"/>
              </w:rPr>
              <w:t xml:space="preserve">                     719.225.876.077 </w:t>
            </w:r>
          </w:p>
        </w:tc>
      </w:tr>
      <w:tr w:rsidR="68B7379A" w:rsidRPr="002D0A3A" w14:paraId="5318EEBE" w14:textId="77777777" w:rsidTr="00E253CC">
        <w:trPr>
          <w:trHeight w:val="300"/>
        </w:trPr>
        <w:tc>
          <w:tcPr>
            <w:tcW w:w="1130" w:type="pct"/>
            <w:tcBorders>
              <w:top w:val="single" w:sz="4" w:space="0" w:color="auto"/>
              <w:left w:val="single" w:sz="4" w:space="0" w:color="auto"/>
              <w:bottom w:val="single" w:sz="4" w:space="0" w:color="auto"/>
              <w:right w:val="single" w:sz="4" w:space="0" w:color="auto"/>
            </w:tcBorders>
            <w:vAlign w:val="center"/>
          </w:tcPr>
          <w:p w14:paraId="0CEF5FD2" w14:textId="4E204E74" w:rsidR="68B7379A" w:rsidRPr="002D0A3A" w:rsidRDefault="68B7379A" w:rsidP="000A5389">
            <w:pPr>
              <w:spacing w:line="240" w:lineRule="auto"/>
              <w:rPr>
                <w:rFonts w:cs="Times New Roman"/>
                <w:sz w:val="18"/>
                <w:szCs w:val="18"/>
              </w:rPr>
            </w:pPr>
            <w:r w:rsidRPr="002D0A3A">
              <w:rPr>
                <w:rFonts w:eastAsia="Times New Roman" w:cs="Times New Roman"/>
                <w:sz w:val="18"/>
                <w:szCs w:val="18"/>
              </w:rPr>
              <w:t>Invias</w:t>
            </w:r>
          </w:p>
        </w:tc>
        <w:tc>
          <w:tcPr>
            <w:tcW w:w="2413" w:type="pct"/>
            <w:tcBorders>
              <w:top w:val="single" w:sz="4" w:space="0" w:color="auto"/>
              <w:left w:val="single" w:sz="4" w:space="0" w:color="auto"/>
              <w:bottom w:val="single" w:sz="4" w:space="0" w:color="auto"/>
              <w:right w:val="single" w:sz="4" w:space="0" w:color="auto"/>
            </w:tcBorders>
            <w:vAlign w:val="center"/>
          </w:tcPr>
          <w:p w14:paraId="1B8B01D7" w14:textId="54ECCE0D" w:rsidR="68B7379A" w:rsidRPr="002D0A3A" w:rsidRDefault="68B7379A" w:rsidP="000A5389">
            <w:pPr>
              <w:spacing w:line="240" w:lineRule="auto"/>
              <w:rPr>
                <w:rFonts w:cs="Times New Roman"/>
                <w:sz w:val="18"/>
                <w:szCs w:val="18"/>
              </w:rPr>
            </w:pPr>
            <w:r w:rsidRPr="002D0A3A">
              <w:rPr>
                <w:rFonts w:eastAsia="Times New Roman" w:cs="Times New Roman"/>
                <w:sz w:val="18"/>
                <w:szCs w:val="18"/>
              </w:rPr>
              <w:t>Área Metropolitana de Cúcuta y Norte de Santander</w:t>
            </w:r>
          </w:p>
        </w:tc>
        <w:tc>
          <w:tcPr>
            <w:tcW w:w="1457" w:type="pct"/>
            <w:tcBorders>
              <w:top w:val="single" w:sz="4" w:space="0" w:color="auto"/>
              <w:left w:val="single" w:sz="4" w:space="0" w:color="auto"/>
              <w:bottom w:val="single" w:sz="4" w:space="0" w:color="auto"/>
              <w:right w:val="single" w:sz="4" w:space="0" w:color="auto"/>
            </w:tcBorders>
            <w:vAlign w:val="center"/>
          </w:tcPr>
          <w:p w14:paraId="0C7B9D38" w14:textId="28A1343B" w:rsidR="69711900" w:rsidRPr="002D0A3A" w:rsidRDefault="69711900" w:rsidP="000A5389">
            <w:pPr>
              <w:spacing w:line="240" w:lineRule="auto"/>
              <w:jc w:val="right"/>
              <w:rPr>
                <w:rFonts w:cs="Times New Roman"/>
                <w:sz w:val="18"/>
                <w:szCs w:val="18"/>
              </w:rPr>
            </w:pPr>
            <w:r w:rsidRPr="002D0A3A">
              <w:rPr>
                <w:rFonts w:eastAsia="Times New Roman" w:cs="Times New Roman"/>
                <w:sz w:val="18"/>
                <w:szCs w:val="18"/>
              </w:rPr>
              <w:t>259.043.988.631</w:t>
            </w:r>
          </w:p>
        </w:tc>
      </w:tr>
      <w:tr w:rsidR="68B7379A" w:rsidRPr="002D0A3A" w14:paraId="5F594536" w14:textId="77777777" w:rsidTr="00E253CC">
        <w:trPr>
          <w:trHeight w:val="300"/>
        </w:trPr>
        <w:tc>
          <w:tcPr>
            <w:tcW w:w="1130" w:type="pct"/>
            <w:tcBorders>
              <w:top w:val="single" w:sz="4" w:space="0" w:color="auto"/>
              <w:left w:val="single" w:sz="4" w:space="0" w:color="auto"/>
              <w:bottom w:val="single" w:sz="4" w:space="0" w:color="auto"/>
              <w:right w:val="single" w:sz="4" w:space="0" w:color="auto"/>
            </w:tcBorders>
            <w:vAlign w:val="center"/>
          </w:tcPr>
          <w:p w14:paraId="22D2CCFD" w14:textId="544D70DB" w:rsidR="68B7379A" w:rsidRPr="002D0A3A" w:rsidRDefault="68B7379A" w:rsidP="000A5389">
            <w:pPr>
              <w:spacing w:line="240" w:lineRule="auto"/>
              <w:rPr>
                <w:rFonts w:cs="Times New Roman"/>
                <w:sz w:val="18"/>
                <w:szCs w:val="18"/>
              </w:rPr>
            </w:pPr>
            <w:r w:rsidRPr="002D0A3A">
              <w:rPr>
                <w:rFonts w:eastAsia="Times New Roman" w:cs="Times New Roman"/>
                <w:sz w:val="18"/>
                <w:szCs w:val="18"/>
              </w:rPr>
              <w:t>AMC</w:t>
            </w:r>
          </w:p>
        </w:tc>
        <w:tc>
          <w:tcPr>
            <w:tcW w:w="2413" w:type="pct"/>
            <w:tcBorders>
              <w:top w:val="single" w:sz="4" w:space="0" w:color="auto"/>
              <w:left w:val="single" w:sz="4" w:space="0" w:color="auto"/>
              <w:bottom w:val="single" w:sz="4" w:space="0" w:color="auto"/>
              <w:right w:val="single" w:sz="4" w:space="0" w:color="auto"/>
            </w:tcBorders>
            <w:vAlign w:val="center"/>
          </w:tcPr>
          <w:p w14:paraId="02022AA3" w14:textId="69185BF6" w:rsidR="68B7379A" w:rsidRPr="002D0A3A" w:rsidRDefault="68B7379A" w:rsidP="000A5389">
            <w:pPr>
              <w:spacing w:line="240" w:lineRule="auto"/>
              <w:rPr>
                <w:rFonts w:cs="Times New Roman"/>
                <w:sz w:val="18"/>
                <w:szCs w:val="18"/>
              </w:rPr>
            </w:pPr>
            <w:r w:rsidRPr="002D0A3A">
              <w:rPr>
                <w:rFonts w:eastAsia="Times New Roman" w:cs="Times New Roman"/>
                <w:sz w:val="18"/>
                <w:szCs w:val="18"/>
              </w:rPr>
              <w:t>Área Metropolitana de Cúcuta y Norte de Santander</w:t>
            </w:r>
          </w:p>
        </w:tc>
        <w:tc>
          <w:tcPr>
            <w:tcW w:w="1457" w:type="pct"/>
            <w:tcBorders>
              <w:top w:val="single" w:sz="4" w:space="0" w:color="auto"/>
              <w:left w:val="single" w:sz="4" w:space="0" w:color="auto"/>
              <w:bottom w:val="single" w:sz="4" w:space="0" w:color="auto"/>
              <w:right w:val="single" w:sz="4" w:space="0" w:color="auto"/>
            </w:tcBorders>
            <w:vAlign w:val="center"/>
          </w:tcPr>
          <w:p w14:paraId="31290A35" w14:textId="54E80B67" w:rsidR="68B7379A" w:rsidRPr="002D0A3A" w:rsidRDefault="77C3C301" w:rsidP="000A5389">
            <w:pPr>
              <w:spacing w:line="240" w:lineRule="auto"/>
              <w:jc w:val="right"/>
              <w:rPr>
                <w:rFonts w:cs="Times New Roman"/>
                <w:sz w:val="18"/>
                <w:szCs w:val="18"/>
              </w:rPr>
            </w:pPr>
            <w:r w:rsidRPr="002D0A3A">
              <w:rPr>
                <w:rFonts w:eastAsia="Times New Roman" w:cs="Times New Roman"/>
                <w:sz w:val="18"/>
                <w:szCs w:val="18"/>
              </w:rPr>
              <w:t xml:space="preserve">                     121.484.492.457 </w:t>
            </w:r>
          </w:p>
        </w:tc>
      </w:tr>
      <w:tr w:rsidR="68B7379A" w:rsidRPr="002D0A3A" w14:paraId="76E054AC" w14:textId="77777777" w:rsidTr="00E253CC">
        <w:trPr>
          <w:trHeight w:val="300"/>
        </w:trPr>
        <w:tc>
          <w:tcPr>
            <w:tcW w:w="1130" w:type="pct"/>
            <w:tcBorders>
              <w:top w:val="single" w:sz="4" w:space="0" w:color="auto"/>
              <w:left w:val="single" w:sz="4" w:space="0" w:color="auto"/>
              <w:bottom w:val="single" w:sz="4" w:space="0" w:color="auto"/>
              <w:right w:val="single" w:sz="4" w:space="0" w:color="auto"/>
            </w:tcBorders>
            <w:vAlign w:val="center"/>
          </w:tcPr>
          <w:p w14:paraId="1C083661" w14:textId="76B1E349" w:rsidR="68B7379A" w:rsidRPr="002D0A3A" w:rsidRDefault="68B7379A" w:rsidP="000A5389">
            <w:pPr>
              <w:spacing w:line="240" w:lineRule="auto"/>
              <w:rPr>
                <w:rFonts w:cs="Times New Roman"/>
                <w:sz w:val="18"/>
                <w:szCs w:val="18"/>
              </w:rPr>
            </w:pPr>
            <w:r w:rsidRPr="002D0A3A">
              <w:rPr>
                <w:rFonts w:eastAsia="Times New Roman" w:cs="Times New Roman"/>
                <w:sz w:val="18"/>
                <w:szCs w:val="18"/>
              </w:rPr>
              <w:t>San Pelayo</w:t>
            </w:r>
          </w:p>
        </w:tc>
        <w:tc>
          <w:tcPr>
            <w:tcW w:w="2413" w:type="pct"/>
            <w:tcBorders>
              <w:top w:val="single" w:sz="4" w:space="0" w:color="auto"/>
              <w:left w:val="single" w:sz="4" w:space="0" w:color="auto"/>
              <w:bottom w:val="single" w:sz="4" w:space="0" w:color="auto"/>
              <w:right w:val="single" w:sz="4" w:space="0" w:color="auto"/>
            </w:tcBorders>
            <w:vAlign w:val="center"/>
          </w:tcPr>
          <w:p w14:paraId="6C04D538" w14:textId="6D0A2A59" w:rsidR="68B7379A" w:rsidRPr="002D0A3A" w:rsidRDefault="68B7379A" w:rsidP="000A5389">
            <w:pPr>
              <w:spacing w:line="240" w:lineRule="auto"/>
              <w:rPr>
                <w:rFonts w:cs="Times New Roman"/>
                <w:sz w:val="18"/>
                <w:szCs w:val="18"/>
              </w:rPr>
            </w:pPr>
            <w:r w:rsidRPr="002D0A3A">
              <w:rPr>
                <w:rFonts w:eastAsia="Times New Roman" w:cs="Times New Roman"/>
                <w:sz w:val="18"/>
                <w:szCs w:val="18"/>
              </w:rPr>
              <w:t>Transversal de las Américas</w:t>
            </w:r>
          </w:p>
        </w:tc>
        <w:tc>
          <w:tcPr>
            <w:tcW w:w="1457" w:type="pct"/>
            <w:tcBorders>
              <w:top w:val="single" w:sz="4" w:space="0" w:color="auto"/>
              <w:left w:val="single" w:sz="4" w:space="0" w:color="auto"/>
              <w:bottom w:val="single" w:sz="4" w:space="0" w:color="auto"/>
              <w:right w:val="single" w:sz="4" w:space="0" w:color="auto"/>
            </w:tcBorders>
            <w:vAlign w:val="center"/>
          </w:tcPr>
          <w:p w14:paraId="78AF0C40" w14:textId="0D2B38A8" w:rsidR="68B7379A" w:rsidRPr="002D0A3A" w:rsidRDefault="77C3C301" w:rsidP="000A5389">
            <w:pPr>
              <w:spacing w:line="240" w:lineRule="auto"/>
              <w:jc w:val="right"/>
              <w:rPr>
                <w:rFonts w:cs="Times New Roman"/>
                <w:sz w:val="18"/>
                <w:szCs w:val="18"/>
              </w:rPr>
            </w:pPr>
            <w:r w:rsidRPr="002D0A3A">
              <w:rPr>
                <w:rFonts w:eastAsia="Times New Roman" w:cs="Times New Roman"/>
                <w:sz w:val="18"/>
                <w:szCs w:val="18"/>
              </w:rPr>
              <w:t xml:space="preserve">                       53.456.735.931 </w:t>
            </w:r>
          </w:p>
        </w:tc>
      </w:tr>
      <w:tr w:rsidR="68B7379A" w:rsidRPr="002D0A3A" w14:paraId="210E4E15" w14:textId="77777777" w:rsidTr="00E253CC">
        <w:trPr>
          <w:trHeight w:val="300"/>
        </w:trPr>
        <w:tc>
          <w:tcPr>
            <w:tcW w:w="1130" w:type="pct"/>
            <w:tcBorders>
              <w:top w:val="single" w:sz="4" w:space="0" w:color="auto"/>
              <w:left w:val="single" w:sz="4" w:space="0" w:color="auto"/>
              <w:bottom w:val="single" w:sz="4" w:space="0" w:color="auto"/>
              <w:right w:val="single" w:sz="4" w:space="0" w:color="auto"/>
            </w:tcBorders>
            <w:vAlign w:val="center"/>
          </w:tcPr>
          <w:p w14:paraId="6941CD7E" w14:textId="082EC478" w:rsidR="68B7379A" w:rsidRPr="002D0A3A" w:rsidRDefault="68B7379A" w:rsidP="000A5389">
            <w:pPr>
              <w:spacing w:line="240" w:lineRule="auto"/>
              <w:rPr>
                <w:rFonts w:cs="Times New Roman"/>
                <w:sz w:val="18"/>
                <w:szCs w:val="18"/>
              </w:rPr>
            </w:pPr>
            <w:r w:rsidRPr="002D0A3A">
              <w:rPr>
                <w:rFonts w:eastAsia="Times New Roman" w:cs="Times New Roman"/>
                <w:sz w:val="18"/>
                <w:szCs w:val="18"/>
              </w:rPr>
              <w:t>Gobernación de Sucre</w:t>
            </w:r>
          </w:p>
        </w:tc>
        <w:tc>
          <w:tcPr>
            <w:tcW w:w="2413" w:type="pct"/>
            <w:tcBorders>
              <w:top w:val="single" w:sz="4" w:space="0" w:color="auto"/>
              <w:left w:val="single" w:sz="4" w:space="0" w:color="auto"/>
              <w:bottom w:val="single" w:sz="4" w:space="0" w:color="auto"/>
              <w:right w:val="single" w:sz="4" w:space="0" w:color="auto"/>
            </w:tcBorders>
            <w:vAlign w:val="center"/>
          </w:tcPr>
          <w:p w14:paraId="246EA105" w14:textId="79678469" w:rsidR="68B7379A" w:rsidRPr="002D0A3A" w:rsidRDefault="68B7379A" w:rsidP="000A5389">
            <w:pPr>
              <w:spacing w:line="240" w:lineRule="auto"/>
              <w:rPr>
                <w:rFonts w:cs="Times New Roman"/>
                <w:sz w:val="18"/>
                <w:szCs w:val="18"/>
              </w:rPr>
            </w:pPr>
            <w:r w:rsidRPr="002D0A3A">
              <w:rPr>
                <w:rFonts w:eastAsia="Times New Roman" w:cs="Times New Roman"/>
                <w:sz w:val="18"/>
                <w:szCs w:val="18"/>
              </w:rPr>
              <w:t>Transversal de las Américas</w:t>
            </w:r>
          </w:p>
        </w:tc>
        <w:tc>
          <w:tcPr>
            <w:tcW w:w="1457" w:type="pct"/>
            <w:tcBorders>
              <w:top w:val="single" w:sz="4" w:space="0" w:color="auto"/>
              <w:left w:val="single" w:sz="4" w:space="0" w:color="auto"/>
              <w:bottom w:val="single" w:sz="4" w:space="0" w:color="auto"/>
              <w:right w:val="single" w:sz="4" w:space="0" w:color="auto"/>
            </w:tcBorders>
            <w:vAlign w:val="center"/>
          </w:tcPr>
          <w:p w14:paraId="39AFA0BA" w14:textId="7C9DB5D6" w:rsidR="68B7379A" w:rsidRPr="002D0A3A" w:rsidRDefault="77C3C301" w:rsidP="000A5389">
            <w:pPr>
              <w:spacing w:line="240" w:lineRule="auto"/>
              <w:jc w:val="right"/>
              <w:rPr>
                <w:rFonts w:cs="Times New Roman"/>
                <w:sz w:val="18"/>
                <w:szCs w:val="18"/>
              </w:rPr>
            </w:pPr>
            <w:r w:rsidRPr="002D0A3A">
              <w:rPr>
                <w:rFonts w:eastAsia="Times New Roman" w:cs="Times New Roman"/>
                <w:sz w:val="18"/>
                <w:szCs w:val="18"/>
              </w:rPr>
              <w:t xml:space="preserve">                       15.362.131.665 </w:t>
            </w:r>
          </w:p>
        </w:tc>
      </w:tr>
      <w:tr w:rsidR="68B7379A" w:rsidRPr="002D0A3A" w14:paraId="17839D53" w14:textId="77777777" w:rsidTr="00E253CC">
        <w:trPr>
          <w:trHeight w:val="300"/>
        </w:trPr>
        <w:tc>
          <w:tcPr>
            <w:tcW w:w="1130" w:type="pct"/>
            <w:tcBorders>
              <w:top w:val="single" w:sz="4" w:space="0" w:color="auto"/>
              <w:left w:val="single" w:sz="4" w:space="0" w:color="auto"/>
              <w:bottom w:val="single" w:sz="4" w:space="0" w:color="auto"/>
              <w:right w:val="single" w:sz="4" w:space="0" w:color="auto"/>
            </w:tcBorders>
            <w:vAlign w:val="center"/>
          </w:tcPr>
          <w:p w14:paraId="66EDCA5A" w14:textId="49541C99" w:rsidR="68B7379A" w:rsidRPr="002D0A3A" w:rsidRDefault="68B7379A" w:rsidP="000A5389">
            <w:pPr>
              <w:spacing w:line="240" w:lineRule="auto"/>
              <w:rPr>
                <w:rFonts w:cs="Times New Roman"/>
                <w:sz w:val="18"/>
                <w:szCs w:val="18"/>
              </w:rPr>
            </w:pPr>
            <w:r w:rsidRPr="002D0A3A">
              <w:rPr>
                <w:rFonts w:eastAsia="Times New Roman" w:cs="Times New Roman"/>
                <w:sz w:val="18"/>
                <w:szCs w:val="18"/>
              </w:rPr>
              <w:t>Majagual</w:t>
            </w:r>
          </w:p>
        </w:tc>
        <w:tc>
          <w:tcPr>
            <w:tcW w:w="2413" w:type="pct"/>
            <w:tcBorders>
              <w:top w:val="single" w:sz="4" w:space="0" w:color="auto"/>
              <w:left w:val="single" w:sz="4" w:space="0" w:color="auto"/>
              <w:bottom w:val="single" w:sz="4" w:space="0" w:color="auto"/>
              <w:right w:val="single" w:sz="4" w:space="0" w:color="auto"/>
            </w:tcBorders>
            <w:vAlign w:val="center"/>
          </w:tcPr>
          <w:p w14:paraId="4057395D" w14:textId="759C21AB" w:rsidR="68B7379A" w:rsidRPr="002D0A3A" w:rsidRDefault="68B7379A" w:rsidP="000A5389">
            <w:pPr>
              <w:spacing w:line="240" w:lineRule="auto"/>
              <w:rPr>
                <w:rFonts w:cs="Times New Roman"/>
                <w:sz w:val="18"/>
                <w:szCs w:val="18"/>
              </w:rPr>
            </w:pPr>
            <w:r w:rsidRPr="002D0A3A">
              <w:rPr>
                <w:rFonts w:eastAsia="Times New Roman" w:cs="Times New Roman"/>
                <w:sz w:val="18"/>
                <w:szCs w:val="18"/>
              </w:rPr>
              <w:t>Transversal de las Américas</w:t>
            </w:r>
          </w:p>
        </w:tc>
        <w:tc>
          <w:tcPr>
            <w:tcW w:w="1457" w:type="pct"/>
            <w:tcBorders>
              <w:top w:val="single" w:sz="4" w:space="0" w:color="auto"/>
              <w:left w:val="single" w:sz="4" w:space="0" w:color="auto"/>
              <w:bottom w:val="single" w:sz="4" w:space="0" w:color="auto"/>
              <w:right w:val="single" w:sz="4" w:space="0" w:color="auto"/>
            </w:tcBorders>
            <w:vAlign w:val="center"/>
          </w:tcPr>
          <w:p w14:paraId="000602A1" w14:textId="17855C6D" w:rsidR="68B7379A" w:rsidRPr="002D0A3A" w:rsidRDefault="77C3C301" w:rsidP="000A5389">
            <w:pPr>
              <w:spacing w:line="240" w:lineRule="auto"/>
              <w:jc w:val="right"/>
              <w:rPr>
                <w:rFonts w:cs="Times New Roman"/>
                <w:sz w:val="18"/>
                <w:szCs w:val="18"/>
              </w:rPr>
            </w:pPr>
            <w:r w:rsidRPr="002D0A3A">
              <w:rPr>
                <w:rFonts w:eastAsia="Times New Roman" w:cs="Times New Roman"/>
                <w:sz w:val="18"/>
                <w:szCs w:val="18"/>
              </w:rPr>
              <w:t xml:space="preserve">                         5.611.798.751 </w:t>
            </w:r>
          </w:p>
        </w:tc>
      </w:tr>
      <w:tr w:rsidR="68B7379A" w:rsidRPr="002D0A3A" w14:paraId="7745AF60" w14:textId="77777777" w:rsidTr="00E253CC">
        <w:trPr>
          <w:trHeight w:val="300"/>
        </w:trPr>
        <w:tc>
          <w:tcPr>
            <w:tcW w:w="1130" w:type="pct"/>
            <w:tcBorders>
              <w:top w:val="single" w:sz="4" w:space="0" w:color="auto"/>
              <w:left w:val="single" w:sz="4" w:space="0" w:color="auto"/>
              <w:bottom w:val="single" w:sz="4" w:space="0" w:color="auto"/>
              <w:right w:val="single" w:sz="4" w:space="0" w:color="auto"/>
            </w:tcBorders>
            <w:vAlign w:val="center"/>
          </w:tcPr>
          <w:p w14:paraId="10A5102C" w14:textId="25498883" w:rsidR="68B7379A" w:rsidRPr="002D0A3A" w:rsidRDefault="68B7379A" w:rsidP="000A5389">
            <w:pPr>
              <w:spacing w:line="240" w:lineRule="auto"/>
              <w:rPr>
                <w:rFonts w:cs="Times New Roman"/>
                <w:sz w:val="18"/>
                <w:szCs w:val="18"/>
              </w:rPr>
            </w:pPr>
            <w:r w:rsidRPr="002D0A3A">
              <w:rPr>
                <w:rFonts w:eastAsia="Times New Roman" w:cs="Times New Roman"/>
                <w:sz w:val="18"/>
                <w:szCs w:val="18"/>
              </w:rPr>
              <w:t>Invias</w:t>
            </w:r>
          </w:p>
        </w:tc>
        <w:tc>
          <w:tcPr>
            <w:tcW w:w="2413" w:type="pct"/>
            <w:tcBorders>
              <w:top w:val="single" w:sz="4" w:space="0" w:color="auto"/>
              <w:left w:val="single" w:sz="4" w:space="0" w:color="auto"/>
              <w:bottom w:val="single" w:sz="4" w:space="0" w:color="auto"/>
              <w:right w:val="single" w:sz="4" w:space="0" w:color="auto"/>
            </w:tcBorders>
            <w:vAlign w:val="center"/>
          </w:tcPr>
          <w:p w14:paraId="544B330B" w14:textId="46ECD133" w:rsidR="68B7379A" w:rsidRPr="002D0A3A" w:rsidRDefault="68B7379A" w:rsidP="000A5389">
            <w:pPr>
              <w:spacing w:line="240" w:lineRule="auto"/>
              <w:rPr>
                <w:rFonts w:cs="Times New Roman"/>
                <w:sz w:val="18"/>
                <w:szCs w:val="18"/>
              </w:rPr>
            </w:pPr>
            <w:r w:rsidRPr="002D0A3A">
              <w:rPr>
                <w:rFonts w:eastAsia="Times New Roman" w:cs="Times New Roman"/>
                <w:sz w:val="18"/>
                <w:szCs w:val="18"/>
              </w:rPr>
              <w:t>Sociedad Terminal Marítimos del Pacífico</w:t>
            </w:r>
          </w:p>
        </w:tc>
        <w:tc>
          <w:tcPr>
            <w:tcW w:w="1457" w:type="pct"/>
            <w:tcBorders>
              <w:top w:val="single" w:sz="4" w:space="0" w:color="auto"/>
              <w:left w:val="single" w:sz="4" w:space="0" w:color="auto"/>
              <w:bottom w:val="single" w:sz="4" w:space="0" w:color="auto"/>
              <w:right w:val="single" w:sz="4" w:space="0" w:color="auto"/>
            </w:tcBorders>
            <w:vAlign w:val="center"/>
          </w:tcPr>
          <w:p w14:paraId="00F1D6BC" w14:textId="3109626D" w:rsidR="68B7379A" w:rsidRPr="002D0A3A" w:rsidRDefault="77C3C301" w:rsidP="000A5389">
            <w:pPr>
              <w:spacing w:line="240" w:lineRule="auto"/>
              <w:jc w:val="right"/>
              <w:rPr>
                <w:rFonts w:cs="Times New Roman"/>
                <w:sz w:val="18"/>
                <w:szCs w:val="18"/>
              </w:rPr>
            </w:pPr>
            <w:r w:rsidRPr="002D0A3A">
              <w:rPr>
                <w:rFonts w:eastAsia="Times New Roman" w:cs="Times New Roman"/>
                <w:sz w:val="18"/>
                <w:szCs w:val="18"/>
              </w:rPr>
              <w:t xml:space="preserve">                         1.203.634.324 </w:t>
            </w:r>
          </w:p>
        </w:tc>
      </w:tr>
      <w:tr w:rsidR="68B7379A" w:rsidRPr="002D0A3A" w14:paraId="468770CE" w14:textId="77777777" w:rsidTr="00E253CC">
        <w:trPr>
          <w:trHeight w:val="300"/>
        </w:trPr>
        <w:tc>
          <w:tcPr>
            <w:tcW w:w="1130" w:type="pct"/>
            <w:tcBorders>
              <w:top w:val="single" w:sz="4" w:space="0" w:color="auto"/>
              <w:left w:val="single" w:sz="4" w:space="0" w:color="auto"/>
              <w:bottom w:val="single" w:sz="4" w:space="0" w:color="auto"/>
              <w:right w:val="single" w:sz="4" w:space="0" w:color="auto"/>
            </w:tcBorders>
            <w:vAlign w:val="center"/>
          </w:tcPr>
          <w:p w14:paraId="3FE11728" w14:textId="217A1986" w:rsidR="68B7379A" w:rsidRPr="002D0A3A" w:rsidRDefault="68B7379A" w:rsidP="000A5389">
            <w:pPr>
              <w:spacing w:line="240" w:lineRule="auto"/>
              <w:rPr>
                <w:rFonts w:cs="Times New Roman"/>
                <w:sz w:val="18"/>
                <w:szCs w:val="18"/>
              </w:rPr>
            </w:pPr>
            <w:r w:rsidRPr="002D0A3A">
              <w:rPr>
                <w:rFonts w:eastAsia="Times New Roman" w:cs="Times New Roman"/>
                <w:sz w:val="18"/>
                <w:szCs w:val="18"/>
              </w:rPr>
              <w:t>Invias</w:t>
            </w:r>
          </w:p>
        </w:tc>
        <w:tc>
          <w:tcPr>
            <w:tcW w:w="2413" w:type="pct"/>
            <w:tcBorders>
              <w:top w:val="single" w:sz="4" w:space="0" w:color="auto"/>
              <w:left w:val="single" w:sz="4" w:space="0" w:color="auto"/>
              <w:bottom w:val="single" w:sz="4" w:space="0" w:color="auto"/>
              <w:right w:val="single" w:sz="4" w:space="0" w:color="auto"/>
            </w:tcBorders>
            <w:vAlign w:val="center"/>
          </w:tcPr>
          <w:p w14:paraId="76D54DF7" w14:textId="1790B66E" w:rsidR="68B7379A" w:rsidRPr="002D0A3A" w:rsidRDefault="68B7379A" w:rsidP="000A5389">
            <w:pPr>
              <w:spacing w:line="240" w:lineRule="auto"/>
              <w:rPr>
                <w:rFonts w:cs="Times New Roman"/>
                <w:sz w:val="18"/>
                <w:szCs w:val="18"/>
              </w:rPr>
            </w:pPr>
            <w:r w:rsidRPr="002D0A3A">
              <w:rPr>
                <w:rFonts w:eastAsia="Times New Roman" w:cs="Times New Roman"/>
                <w:sz w:val="18"/>
                <w:szCs w:val="18"/>
              </w:rPr>
              <w:t>Rumichaca – Pasto – Chachagui – Aeropuerto</w:t>
            </w:r>
          </w:p>
        </w:tc>
        <w:tc>
          <w:tcPr>
            <w:tcW w:w="1457" w:type="pct"/>
            <w:tcBorders>
              <w:top w:val="single" w:sz="4" w:space="0" w:color="auto"/>
              <w:left w:val="single" w:sz="4" w:space="0" w:color="auto"/>
              <w:bottom w:val="single" w:sz="4" w:space="0" w:color="auto"/>
              <w:right w:val="single" w:sz="4" w:space="0" w:color="auto"/>
            </w:tcBorders>
            <w:vAlign w:val="center"/>
          </w:tcPr>
          <w:p w14:paraId="1EA5FEA1" w14:textId="1026216F" w:rsidR="68B7379A" w:rsidRPr="002D0A3A" w:rsidRDefault="77C3C301" w:rsidP="000A5389">
            <w:pPr>
              <w:spacing w:line="240" w:lineRule="auto"/>
              <w:jc w:val="right"/>
              <w:rPr>
                <w:rFonts w:cs="Times New Roman"/>
                <w:sz w:val="18"/>
                <w:szCs w:val="18"/>
              </w:rPr>
            </w:pPr>
            <w:r w:rsidRPr="002D0A3A">
              <w:rPr>
                <w:rFonts w:eastAsia="Times New Roman" w:cs="Times New Roman"/>
                <w:sz w:val="18"/>
                <w:szCs w:val="18"/>
              </w:rPr>
              <w:t xml:space="preserve">                            417.284.321</w:t>
            </w:r>
          </w:p>
        </w:tc>
      </w:tr>
    </w:tbl>
    <w:p w14:paraId="24BBF9A5" w14:textId="02297176" w:rsidR="69403185" w:rsidRPr="00951AB1" w:rsidRDefault="69403185" w:rsidP="000A5389">
      <w:pPr>
        <w:spacing w:line="240" w:lineRule="auto"/>
        <w:rPr>
          <w:rFonts w:eastAsia="Times New Roman" w:cs="Times New Roman"/>
          <w:szCs w:val="24"/>
        </w:rPr>
      </w:pPr>
      <w:r w:rsidRPr="00951AB1">
        <w:rPr>
          <w:rFonts w:eastAsia="Times New Roman" w:cs="Times New Roman"/>
          <w:szCs w:val="24"/>
        </w:rPr>
        <w:lastRenderedPageBreak/>
        <w:t xml:space="preserve">Al cierre de la vigencia 2025, quedo pendiente por trasladar del proyecto Transversal de las Américas, </w:t>
      </w:r>
      <w:r w:rsidR="13AC39F2" w:rsidRPr="00951AB1">
        <w:rPr>
          <w:rFonts w:eastAsia="Times New Roman" w:cs="Times New Roman"/>
          <w:szCs w:val="24"/>
        </w:rPr>
        <w:t xml:space="preserve">el valor de </w:t>
      </w:r>
      <w:r w:rsidRPr="00951AB1">
        <w:rPr>
          <w:rFonts w:eastAsia="Times New Roman" w:cs="Times New Roman"/>
          <w:szCs w:val="24"/>
        </w:rPr>
        <w:t>los terrenos a l</w:t>
      </w:r>
      <w:r w:rsidR="3174B8C6" w:rsidRPr="00951AB1">
        <w:rPr>
          <w:rFonts w:eastAsia="Times New Roman" w:cs="Times New Roman"/>
          <w:szCs w:val="24"/>
        </w:rPr>
        <w:t>a</w:t>
      </w:r>
      <w:r w:rsidRPr="00951AB1">
        <w:rPr>
          <w:rFonts w:eastAsia="Times New Roman" w:cs="Times New Roman"/>
          <w:szCs w:val="24"/>
        </w:rPr>
        <w:t xml:space="preserve">s diferentes </w:t>
      </w:r>
      <w:r w:rsidR="7645AA1E" w:rsidRPr="00951AB1">
        <w:rPr>
          <w:rFonts w:eastAsia="Times New Roman" w:cs="Times New Roman"/>
          <w:szCs w:val="24"/>
        </w:rPr>
        <w:t xml:space="preserve">entidades </w:t>
      </w:r>
      <w:r w:rsidRPr="00951AB1">
        <w:rPr>
          <w:rFonts w:eastAsia="Times New Roman" w:cs="Times New Roman"/>
          <w:szCs w:val="24"/>
        </w:rPr>
        <w:t>titulares de la infraestructura. La mism</w:t>
      </w:r>
      <w:r w:rsidR="5AAEB5FD" w:rsidRPr="00951AB1">
        <w:rPr>
          <w:rFonts w:eastAsia="Times New Roman" w:cs="Times New Roman"/>
          <w:szCs w:val="24"/>
        </w:rPr>
        <w:t>a situación se presenta para el proyecto Área Metropolitana de Cúcuta</w:t>
      </w:r>
      <w:r w:rsidR="3377745D" w:rsidRPr="00951AB1">
        <w:rPr>
          <w:rFonts w:eastAsia="Times New Roman" w:cs="Times New Roman"/>
          <w:szCs w:val="24"/>
        </w:rPr>
        <w:t xml:space="preserve">, donde el GIT Predial </w:t>
      </w:r>
      <w:r w:rsidR="442B1DEC" w:rsidRPr="00951AB1">
        <w:rPr>
          <w:rFonts w:eastAsia="Times New Roman" w:cs="Times New Roman"/>
          <w:szCs w:val="24"/>
        </w:rPr>
        <w:t>está</w:t>
      </w:r>
      <w:r w:rsidR="3377745D" w:rsidRPr="00951AB1">
        <w:rPr>
          <w:rFonts w:eastAsia="Times New Roman" w:cs="Times New Roman"/>
          <w:szCs w:val="24"/>
        </w:rPr>
        <w:t xml:space="preserve"> recopilando la información de la sabana predial</w:t>
      </w:r>
      <w:r w:rsidR="41E87378" w:rsidRPr="00951AB1">
        <w:rPr>
          <w:rFonts w:eastAsia="Times New Roman" w:cs="Times New Roman"/>
          <w:szCs w:val="24"/>
        </w:rPr>
        <w:t xml:space="preserve"> para que se formalice la entrega de dichos predios</w:t>
      </w:r>
      <w:r w:rsidR="2ED9083C" w:rsidRPr="00951AB1">
        <w:rPr>
          <w:rFonts w:eastAsia="Times New Roman" w:cs="Times New Roman"/>
          <w:szCs w:val="24"/>
        </w:rPr>
        <w:t>.</w:t>
      </w:r>
    </w:p>
    <w:p w14:paraId="0545E3CA" w14:textId="3E5DC371" w:rsidR="68B7379A" w:rsidRPr="00951AB1" w:rsidRDefault="68B7379A" w:rsidP="000A5389">
      <w:pPr>
        <w:spacing w:line="240" w:lineRule="auto"/>
        <w:rPr>
          <w:rFonts w:eastAsia="Times New Roman" w:cs="Times New Roman"/>
          <w:szCs w:val="24"/>
        </w:rPr>
      </w:pPr>
    </w:p>
    <w:p w14:paraId="2C2BC249" w14:textId="36A086FA" w:rsidR="2ED9083C" w:rsidRDefault="2ED9083C" w:rsidP="000A5389">
      <w:pPr>
        <w:spacing w:line="240" w:lineRule="auto"/>
        <w:rPr>
          <w:rFonts w:eastAsia="Times New Roman" w:cs="Times New Roman"/>
          <w:szCs w:val="24"/>
        </w:rPr>
      </w:pPr>
      <w:r w:rsidRPr="00951AB1">
        <w:rPr>
          <w:rFonts w:eastAsia="Times New Roman" w:cs="Times New Roman"/>
          <w:szCs w:val="24"/>
        </w:rPr>
        <w:t>C</w:t>
      </w:r>
      <w:r w:rsidR="0B5BFD3A" w:rsidRPr="00951AB1">
        <w:rPr>
          <w:rFonts w:eastAsia="Times New Roman" w:cs="Times New Roman"/>
          <w:szCs w:val="24"/>
        </w:rPr>
        <w:t xml:space="preserve">on respecto al proyecto </w:t>
      </w:r>
      <w:r w:rsidR="5AAEB5FD" w:rsidRPr="00951AB1">
        <w:rPr>
          <w:rFonts w:eastAsia="Times New Roman" w:cs="Times New Roman"/>
          <w:szCs w:val="24"/>
        </w:rPr>
        <w:t>Córdoba Sucre</w:t>
      </w:r>
      <w:r w:rsidR="14296A8A" w:rsidRPr="00951AB1">
        <w:rPr>
          <w:rFonts w:eastAsia="Times New Roman" w:cs="Times New Roman"/>
          <w:szCs w:val="24"/>
        </w:rPr>
        <w:t>,</w:t>
      </w:r>
      <w:r w:rsidR="5AAEB5FD" w:rsidRPr="00951AB1">
        <w:rPr>
          <w:rFonts w:eastAsia="Times New Roman" w:cs="Times New Roman"/>
          <w:szCs w:val="24"/>
        </w:rPr>
        <w:t xml:space="preserve"> </w:t>
      </w:r>
      <w:r w:rsidR="52D4C249" w:rsidRPr="00951AB1">
        <w:rPr>
          <w:rFonts w:eastAsia="Times New Roman" w:cs="Times New Roman"/>
          <w:szCs w:val="24"/>
        </w:rPr>
        <w:t xml:space="preserve">no fue posible </w:t>
      </w:r>
      <w:r w:rsidR="2530F0D8" w:rsidRPr="00951AB1">
        <w:rPr>
          <w:rFonts w:eastAsia="Times New Roman" w:cs="Times New Roman"/>
          <w:szCs w:val="24"/>
        </w:rPr>
        <w:t>l</w:t>
      </w:r>
      <w:r w:rsidR="64F7A8C8" w:rsidRPr="00951AB1">
        <w:rPr>
          <w:rFonts w:eastAsia="Times New Roman" w:cs="Times New Roman"/>
          <w:szCs w:val="24"/>
        </w:rPr>
        <w:t xml:space="preserve">a entrega de la infraestructura </w:t>
      </w:r>
      <w:r w:rsidR="4ABD59EC" w:rsidRPr="00951AB1">
        <w:rPr>
          <w:rFonts w:eastAsia="Times New Roman" w:cs="Times New Roman"/>
          <w:szCs w:val="24"/>
        </w:rPr>
        <w:t xml:space="preserve">y con ella los predios </w:t>
      </w:r>
      <w:r w:rsidR="64F7A8C8" w:rsidRPr="00951AB1">
        <w:rPr>
          <w:rFonts w:eastAsia="Times New Roman" w:cs="Times New Roman"/>
          <w:szCs w:val="24"/>
        </w:rPr>
        <w:t>que le corresponde</w:t>
      </w:r>
      <w:r w:rsidR="0B76722D" w:rsidRPr="00951AB1">
        <w:rPr>
          <w:rFonts w:eastAsia="Times New Roman" w:cs="Times New Roman"/>
          <w:szCs w:val="24"/>
        </w:rPr>
        <w:t>n</w:t>
      </w:r>
      <w:r w:rsidR="64F7A8C8" w:rsidRPr="00951AB1">
        <w:rPr>
          <w:rFonts w:eastAsia="Times New Roman" w:cs="Times New Roman"/>
          <w:szCs w:val="24"/>
        </w:rPr>
        <w:t xml:space="preserve"> al </w:t>
      </w:r>
      <w:r w:rsidR="168A98B4" w:rsidRPr="00951AB1">
        <w:rPr>
          <w:rFonts w:eastAsia="Times New Roman" w:cs="Times New Roman"/>
          <w:szCs w:val="24"/>
        </w:rPr>
        <w:t>M</w:t>
      </w:r>
      <w:r w:rsidR="64F7A8C8" w:rsidRPr="00951AB1">
        <w:rPr>
          <w:rFonts w:eastAsia="Times New Roman" w:cs="Times New Roman"/>
          <w:szCs w:val="24"/>
        </w:rPr>
        <w:t xml:space="preserve">unicipio </w:t>
      </w:r>
      <w:r w:rsidR="4F4B6D1E" w:rsidRPr="00951AB1">
        <w:rPr>
          <w:rFonts w:eastAsia="Times New Roman" w:cs="Times New Roman"/>
          <w:szCs w:val="24"/>
        </w:rPr>
        <w:t xml:space="preserve">de </w:t>
      </w:r>
      <w:r w:rsidR="64F7A8C8" w:rsidRPr="00951AB1">
        <w:rPr>
          <w:rFonts w:eastAsia="Times New Roman" w:cs="Times New Roman"/>
          <w:szCs w:val="24"/>
        </w:rPr>
        <w:t xml:space="preserve">Cerete por situaciones administrativas </w:t>
      </w:r>
      <w:r w:rsidR="7089198F" w:rsidRPr="00951AB1">
        <w:rPr>
          <w:rFonts w:eastAsia="Times New Roman" w:cs="Times New Roman"/>
          <w:szCs w:val="24"/>
        </w:rPr>
        <w:t xml:space="preserve">por parte </w:t>
      </w:r>
      <w:r w:rsidR="64F7A8C8" w:rsidRPr="00951AB1">
        <w:rPr>
          <w:rFonts w:eastAsia="Times New Roman" w:cs="Times New Roman"/>
          <w:szCs w:val="24"/>
        </w:rPr>
        <w:t xml:space="preserve">de </w:t>
      </w:r>
      <w:r w:rsidR="3E9C610E" w:rsidRPr="00951AB1">
        <w:rPr>
          <w:rFonts w:eastAsia="Times New Roman" w:cs="Times New Roman"/>
          <w:szCs w:val="24"/>
        </w:rPr>
        <w:t>est</w:t>
      </w:r>
      <w:r w:rsidR="376ADA84" w:rsidRPr="00951AB1">
        <w:rPr>
          <w:rFonts w:eastAsia="Times New Roman" w:cs="Times New Roman"/>
          <w:szCs w:val="24"/>
        </w:rPr>
        <w:t>a Alcaldía</w:t>
      </w:r>
      <w:r w:rsidR="29AB4B0E" w:rsidRPr="00951AB1">
        <w:rPr>
          <w:rFonts w:eastAsia="Times New Roman" w:cs="Times New Roman"/>
          <w:szCs w:val="24"/>
        </w:rPr>
        <w:t>.</w:t>
      </w:r>
    </w:p>
    <w:p w14:paraId="1AECFEF2" w14:textId="77777777" w:rsidR="002D0A3A" w:rsidRDefault="002D0A3A" w:rsidP="000A5389">
      <w:pPr>
        <w:spacing w:line="240" w:lineRule="auto"/>
        <w:rPr>
          <w:rFonts w:eastAsia="Times New Roman" w:cs="Times New Roman"/>
          <w:szCs w:val="24"/>
        </w:rPr>
      </w:pPr>
    </w:p>
    <w:tbl>
      <w:tblPr>
        <w:tblW w:w="5000" w:type="pct"/>
        <w:tblCellMar>
          <w:left w:w="70" w:type="dxa"/>
          <w:right w:w="70" w:type="dxa"/>
        </w:tblCellMar>
        <w:tblLook w:val="04A0" w:firstRow="1" w:lastRow="0" w:firstColumn="1" w:lastColumn="0" w:noHBand="0" w:noVBand="1"/>
      </w:tblPr>
      <w:tblGrid>
        <w:gridCol w:w="972"/>
        <w:gridCol w:w="813"/>
        <w:gridCol w:w="1596"/>
        <w:gridCol w:w="1351"/>
        <w:gridCol w:w="1437"/>
        <w:gridCol w:w="1222"/>
        <w:gridCol w:w="1437"/>
      </w:tblGrid>
      <w:tr w:rsidR="00370C27" w:rsidRPr="002D0A3A" w14:paraId="08119D78" w14:textId="77777777" w:rsidTr="002D0A3A">
        <w:trPr>
          <w:trHeight w:val="480"/>
        </w:trPr>
        <w:tc>
          <w:tcPr>
            <w:tcW w:w="550"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hideMark/>
          </w:tcPr>
          <w:p w14:paraId="76AF4E33" w14:textId="77777777" w:rsidR="00370C27" w:rsidRPr="002D0A3A" w:rsidRDefault="00370C27" w:rsidP="000A5389">
            <w:pPr>
              <w:spacing w:line="240" w:lineRule="auto"/>
              <w:jc w:val="center"/>
              <w:rPr>
                <w:rFonts w:eastAsia="Times New Roman" w:cs="Times New Roman"/>
                <w:b/>
                <w:bCs/>
                <w:color w:val="000000"/>
                <w:kern w:val="0"/>
                <w:sz w:val="16"/>
                <w:szCs w:val="16"/>
                <w:lang w:eastAsia="es-CO"/>
                <w14:ligatures w14:val="none"/>
              </w:rPr>
            </w:pPr>
            <w:r w:rsidRPr="002D0A3A">
              <w:rPr>
                <w:rFonts w:eastAsia="Times New Roman" w:cs="Times New Roman"/>
                <w:b/>
                <w:bCs/>
                <w:color w:val="000000"/>
                <w:kern w:val="0"/>
                <w:sz w:val="16"/>
                <w:szCs w:val="16"/>
                <w:lang w:eastAsia="es-CO"/>
                <w14:ligatures w14:val="none"/>
              </w:rPr>
              <w:t>Proyecto</w:t>
            </w:r>
            <w:r w:rsidRPr="002D0A3A">
              <w:rPr>
                <w:rFonts w:eastAsia="Times New Roman" w:cs="Times New Roman"/>
                <w:color w:val="000000"/>
                <w:kern w:val="0"/>
                <w:sz w:val="16"/>
                <w:szCs w:val="16"/>
                <w:lang w:eastAsia="es-CO"/>
                <w14:ligatures w14:val="none"/>
              </w:rPr>
              <w:t> </w:t>
            </w:r>
          </w:p>
        </w:tc>
        <w:tc>
          <w:tcPr>
            <w:tcW w:w="460" w:type="pct"/>
            <w:tcBorders>
              <w:top w:val="single" w:sz="4" w:space="0" w:color="A6A6A6" w:themeColor="background1" w:themeShade="A6"/>
              <w:left w:val="nil"/>
              <w:bottom w:val="single" w:sz="4" w:space="0" w:color="A6A6A6" w:themeColor="background1" w:themeShade="A6"/>
              <w:right w:val="single" w:sz="4" w:space="0" w:color="A6A6A6" w:themeColor="background1" w:themeShade="A6"/>
            </w:tcBorders>
            <w:vAlign w:val="center"/>
            <w:hideMark/>
          </w:tcPr>
          <w:p w14:paraId="3E57EE24" w14:textId="77777777" w:rsidR="00370C27" w:rsidRPr="002D0A3A" w:rsidRDefault="00370C27" w:rsidP="000A5389">
            <w:pPr>
              <w:spacing w:line="240" w:lineRule="auto"/>
              <w:jc w:val="center"/>
              <w:rPr>
                <w:rFonts w:eastAsia="Times New Roman" w:cs="Times New Roman"/>
                <w:b/>
                <w:bCs/>
                <w:color w:val="000000"/>
                <w:kern w:val="0"/>
                <w:sz w:val="16"/>
                <w:szCs w:val="16"/>
                <w:lang w:eastAsia="es-CO"/>
                <w14:ligatures w14:val="none"/>
              </w:rPr>
            </w:pPr>
            <w:r w:rsidRPr="002D0A3A">
              <w:rPr>
                <w:rFonts w:eastAsia="Times New Roman" w:cs="Times New Roman"/>
                <w:b/>
                <w:bCs/>
                <w:color w:val="000000"/>
                <w:kern w:val="0"/>
                <w:sz w:val="16"/>
                <w:szCs w:val="16"/>
                <w:lang w:eastAsia="es-CO"/>
                <w14:ligatures w14:val="none"/>
              </w:rPr>
              <w:t>Contrato No.</w:t>
            </w:r>
            <w:r w:rsidRPr="002D0A3A">
              <w:rPr>
                <w:rFonts w:eastAsia="Times New Roman" w:cs="Times New Roman"/>
                <w:color w:val="000000"/>
                <w:kern w:val="0"/>
                <w:sz w:val="16"/>
                <w:szCs w:val="16"/>
                <w:lang w:eastAsia="es-CO"/>
                <w14:ligatures w14:val="none"/>
              </w:rPr>
              <w:t> </w:t>
            </w:r>
          </w:p>
        </w:tc>
        <w:tc>
          <w:tcPr>
            <w:tcW w:w="904" w:type="pct"/>
            <w:tcBorders>
              <w:top w:val="single" w:sz="4" w:space="0" w:color="A6A6A6" w:themeColor="background1" w:themeShade="A6"/>
              <w:left w:val="nil"/>
              <w:bottom w:val="single" w:sz="4" w:space="0" w:color="A6A6A6" w:themeColor="background1" w:themeShade="A6"/>
              <w:right w:val="single" w:sz="4" w:space="0" w:color="A6A6A6" w:themeColor="background1" w:themeShade="A6"/>
            </w:tcBorders>
            <w:vAlign w:val="center"/>
            <w:hideMark/>
          </w:tcPr>
          <w:p w14:paraId="4E57BF68" w14:textId="77777777" w:rsidR="00370C27" w:rsidRPr="002D0A3A" w:rsidRDefault="00370C27" w:rsidP="000A5389">
            <w:pPr>
              <w:spacing w:line="240" w:lineRule="auto"/>
              <w:jc w:val="center"/>
              <w:rPr>
                <w:rFonts w:eastAsia="Times New Roman" w:cs="Times New Roman"/>
                <w:b/>
                <w:bCs/>
                <w:color w:val="000000"/>
                <w:kern w:val="0"/>
                <w:sz w:val="16"/>
                <w:szCs w:val="16"/>
                <w:lang w:eastAsia="es-CO"/>
                <w14:ligatures w14:val="none"/>
              </w:rPr>
            </w:pPr>
            <w:r w:rsidRPr="002D0A3A">
              <w:rPr>
                <w:rFonts w:eastAsia="Times New Roman" w:cs="Times New Roman"/>
                <w:b/>
                <w:bCs/>
                <w:color w:val="000000"/>
                <w:kern w:val="0"/>
                <w:sz w:val="16"/>
                <w:szCs w:val="16"/>
                <w:lang w:eastAsia="es-CO"/>
                <w14:ligatures w14:val="none"/>
              </w:rPr>
              <w:t>Fecha de entrega y/o Liquidación</w:t>
            </w:r>
            <w:r w:rsidRPr="002D0A3A">
              <w:rPr>
                <w:rFonts w:eastAsia="Times New Roman" w:cs="Times New Roman"/>
                <w:color w:val="000000"/>
                <w:kern w:val="0"/>
                <w:sz w:val="16"/>
                <w:szCs w:val="16"/>
                <w:lang w:eastAsia="es-CO"/>
                <w14:ligatures w14:val="none"/>
              </w:rPr>
              <w:t> </w:t>
            </w:r>
          </w:p>
        </w:tc>
        <w:tc>
          <w:tcPr>
            <w:tcW w:w="765" w:type="pct"/>
            <w:tcBorders>
              <w:top w:val="single" w:sz="4" w:space="0" w:color="A6A6A6" w:themeColor="background1" w:themeShade="A6"/>
              <w:left w:val="nil"/>
              <w:bottom w:val="single" w:sz="4" w:space="0" w:color="A6A6A6" w:themeColor="background1" w:themeShade="A6"/>
              <w:right w:val="single" w:sz="4" w:space="0" w:color="A6A6A6" w:themeColor="background1" w:themeShade="A6"/>
            </w:tcBorders>
            <w:vAlign w:val="center"/>
            <w:hideMark/>
          </w:tcPr>
          <w:p w14:paraId="1756DAF1" w14:textId="77777777" w:rsidR="00370C27" w:rsidRPr="002D0A3A" w:rsidRDefault="00370C27" w:rsidP="000A5389">
            <w:pPr>
              <w:spacing w:line="240" w:lineRule="auto"/>
              <w:jc w:val="center"/>
              <w:rPr>
                <w:rFonts w:eastAsia="Times New Roman" w:cs="Times New Roman"/>
                <w:b/>
                <w:bCs/>
                <w:color w:val="000000"/>
                <w:kern w:val="0"/>
                <w:sz w:val="16"/>
                <w:szCs w:val="16"/>
                <w:lang w:eastAsia="es-CO"/>
                <w14:ligatures w14:val="none"/>
              </w:rPr>
            </w:pPr>
            <w:r w:rsidRPr="002D0A3A">
              <w:rPr>
                <w:rFonts w:eastAsia="Times New Roman" w:cs="Times New Roman"/>
                <w:b/>
                <w:bCs/>
                <w:color w:val="000000"/>
                <w:kern w:val="0"/>
                <w:sz w:val="16"/>
                <w:szCs w:val="16"/>
                <w:lang w:eastAsia="es-CO"/>
                <w14:ligatures w14:val="none"/>
              </w:rPr>
              <w:t>PPE</w:t>
            </w:r>
            <w:r w:rsidRPr="002D0A3A">
              <w:rPr>
                <w:rFonts w:eastAsia="Times New Roman" w:cs="Times New Roman"/>
                <w:color w:val="000000"/>
                <w:kern w:val="0"/>
                <w:sz w:val="16"/>
                <w:szCs w:val="16"/>
                <w:lang w:eastAsia="es-CO"/>
                <w14:ligatures w14:val="none"/>
              </w:rPr>
              <w:t> </w:t>
            </w:r>
          </w:p>
        </w:tc>
        <w:tc>
          <w:tcPr>
            <w:tcW w:w="814" w:type="pct"/>
            <w:tcBorders>
              <w:top w:val="single" w:sz="4" w:space="0" w:color="A6A6A6" w:themeColor="background1" w:themeShade="A6"/>
              <w:left w:val="nil"/>
              <w:bottom w:val="single" w:sz="4" w:space="0" w:color="A6A6A6" w:themeColor="background1" w:themeShade="A6"/>
              <w:right w:val="single" w:sz="4" w:space="0" w:color="A6A6A6" w:themeColor="background1" w:themeShade="A6"/>
            </w:tcBorders>
            <w:vAlign w:val="center"/>
            <w:hideMark/>
          </w:tcPr>
          <w:p w14:paraId="7A1A0113" w14:textId="77777777" w:rsidR="00370C27" w:rsidRPr="002D0A3A" w:rsidRDefault="00370C27" w:rsidP="000A5389">
            <w:pPr>
              <w:spacing w:line="240" w:lineRule="auto"/>
              <w:jc w:val="center"/>
              <w:rPr>
                <w:rFonts w:eastAsia="Times New Roman" w:cs="Times New Roman"/>
                <w:b/>
                <w:bCs/>
                <w:color w:val="000000"/>
                <w:kern w:val="0"/>
                <w:sz w:val="16"/>
                <w:szCs w:val="16"/>
                <w:lang w:eastAsia="es-CO"/>
                <w14:ligatures w14:val="none"/>
              </w:rPr>
            </w:pPr>
            <w:r w:rsidRPr="002D0A3A">
              <w:rPr>
                <w:rFonts w:eastAsia="Times New Roman" w:cs="Times New Roman"/>
                <w:b/>
                <w:bCs/>
                <w:color w:val="000000"/>
                <w:kern w:val="0"/>
                <w:sz w:val="16"/>
                <w:szCs w:val="16"/>
                <w:lang w:eastAsia="es-CO"/>
                <w14:ligatures w14:val="none"/>
              </w:rPr>
              <w:t>Red</w:t>
            </w:r>
            <w:r w:rsidRPr="002D0A3A">
              <w:rPr>
                <w:rFonts w:eastAsia="Times New Roman" w:cs="Times New Roman"/>
                <w:color w:val="000000"/>
                <w:kern w:val="0"/>
                <w:sz w:val="16"/>
                <w:szCs w:val="16"/>
                <w:lang w:eastAsia="es-CO"/>
                <w14:ligatures w14:val="none"/>
              </w:rPr>
              <w:t> </w:t>
            </w:r>
          </w:p>
        </w:tc>
        <w:tc>
          <w:tcPr>
            <w:tcW w:w="692" w:type="pct"/>
            <w:tcBorders>
              <w:top w:val="single" w:sz="4" w:space="0" w:color="A6A6A6" w:themeColor="background1" w:themeShade="A6"/>
              <w:left w:val="nil"/>
              <w:bottom w:val="single" w:sz="4" w:space="0" w:color="A6A6A6" w:themeColor="background1" w:themeShade="A6"/>
              <w:right w:val="single" w:sz="4" w:space="0" w:color="A6A6A6" w:themeColor="background1" w:themeShade="A6"/>
            </w:tcBorders>
            <w:vAlign w:val="center"/>
            <w:hideMark/>
          </w:tcPr>
          <w:p w14:paraId="52A83894" w14:textId="77777777" w:rsidR="00370C27" w:rsidRPr="002D0A3A" w:rsidRDefault="00370C27" w:rsidP="000A5389">
            <w:pPr>
              <w:spacing w:line="240" w:lineRule="auto"/>
              <w:jc w:val="center"/>
              <w:rPr>
                <w:rFonts w:eastAsia="Times New Roman" w:cs="Times New Roman"/>
                <w:b/>
                <w:bCs/>
                <w:color w:val="000000"/>
                <w:kern w:val="0"/>
                <w:sz w:val="16"/>
                <w:szCs w:val="16"/>
                <w:lang w:eastAsia="es-CO"/>
                <w14:ligatures w14:val="none"/>
              </w:rPr>
            </w:pPr>
            <w:r w:rsidRPr="002D0A3A">
              <w:rPr>
                <w:rFonts w:eastAsia="Times New Roman" w:cs="Times New Roman"/>
                <w:b/>
                <w:bCs/>
                <w:color w:val="000000"/>
                <w:kern w:val="0"/>
                <w:sz w:val="16"/>
                <w:szCs w:val="16"/>
                <w:lang w:eastAsia="es-CO"/>
                <w14:ligatures w14:val="none"/>
              </w:rPr>
              <w:t>Terrenos</w:t>
            </w:r>
            <w:r w:rsidRPr="002D0A3A">
              <w:rPr>
                <w:rFonts w:eastAsia="Times New Roman" w:cs="Times New Roman"/>
                <w:color w:val="000000"/>
                <w:kern w:val="0"/>
                <w:sz w:val="16"/>
                <w:szCs w:val="16"/>
                <w:lang w:eastAsia="es-CO"/>
                <w14:ligatures w14:val="none"/>
              </w:rPr>
              <w:t> </w:t>
            </w:r>
          </w:p>
        </w:tc>
        <w:tc>
          <w:tcPr>
            <w:tcW w:w="814" w:type="pct"/>
            <w:tcBorders>
              <w:top w:val="single" w:sz="4" w:space="0" w:color="A6A6A6" w:themeColor="background1" w:themeShade="A6"/>
              <w:left w:val="nil"/>
              <w:bottom w:val="single" w:sz="4" w:space="0" w:color="A6A6A6" w:themeColor="background1" w:themeShade="A6"/>
              <w:right w:val="single" w:sz="4" w:space="0" w:color="A6A6A6" w:themeColor="background1" w:themeShade="A6"/>
            </w:tcBorders>
            <w:vAlign w:val="center"/>
            <w:hideMark/>
          </w:tcPr>
          <w:p w14:paraId="1A8F5737" w14:textId="77777777" w:rsidR="00370C27" w:rsidRPr="002D0A3A" w:rsidRDefault="00370C27" w:rsidP="000A5389">
            <w:pPr>
              <w:spacing w:line="240" w:lineRule="auto"/>
              <w:jc w:val="center"/>
              <w:rPr>
                <w:rFonts w:eastAsia="Times New Roman" w:cs="Times New Roman"/>
                <w:b/>
                <w:bCs/>
                <w:color w:val="000000"/>
                <w:kern w:val="0"/>
                <w:sz w:val="16"/>
                <w:szCs w:val="16"/>
                <w:lang w:eastAsia="es-CO"/>
                <w14:ligatures w14:val="none"/>
              </w:rPr>
            </w:pPr>
            <w:r w:rsidRPr="002D0A3A">
              <w:rPr>
                <w:rFonts w:eastAsia="Times New Roman" w:cs="Times New Roman"/>
                <w:b/>
                <w:bCs/>
                <w:color w:val="000000"/>
                <w:kern w:val="0"/>
                <w:sz w:val="16"/>
                <w:szCs w:val="16"/>
                <w:lang w:eastAsia="es-CO"/>
                <w14:ligatures w14:val="none"/>
              </w:rPr>
              <w:t>Valor total</w:t>
            </w:r>
            <w:r w:rsidRPr="002D0A3A">
              <w:rPr>
                <w:rFonts w:eastAsia="Times New Roman" w:cs="Times New Roman"/>
                <w:color w:val="000000"/>
                <w:kern w:val="0"/>
                <w:sz w:val="16"/>
                <w:szCs w:val="16"/>
                <w:lang w:eastAsia="es-CO"/>
                <w14:ligatures w14:val="none"/>
              </w:rPr>
              <w:t> </w:t>
            </w:r>
          </w:p>
        </w:tc>
      </w:tr>
      <w:tr w:rsidR="00370C27" w:rsidRPr="002D0A3A" w14:paraId="70446D7B" w14:textId="77777777" w:rsidTr="002D0A3A">
        <w:trPr>
          <w:trHeight w:val="300"/>
        </w:trPr>
        <w:tc>
          <w:tcPr>
            <w:tcW w:w="550" w:type="pct"/>
            <w:tcBorders>
              <w:top w:val="nil"/>
              <w:left w:val="single" w:sz="4" w:space="0" w:color="A6A6A6" w:themeColor="background1" w:themeShade="A6"/>
              <w:bottom w:val="single" w:sz="4" w:space="0" w:color="A6A6A6" w:themeColor="background1" w:themeShade="A6"/>
              <w:right w:val="single" w:sz="4" w:space="0" w:color="A6A6A6" w:themeColor="background1" w:themeShade="A6"/>
            </w:tcBorders>
            <w:vAlign w:val="center"/>
            <w:hideMark/>
          </w:tcPr>
          <w:p w14:paraId="26D2B8D2" w14:textId="77777777" w:rsidR="00370C27" w:rsidRPr="002D0A3A" w:rsidRDefault="00370C27" w:rsidP="000A5389">
            <w:pPr>
              <w:spacing w:line="240" w:lineRule="auto"/>
              <w:rPr>
                <w:rFonts w:eastAsia="Times New Roman" w:cs="Times New Roman"/>
                <w:color w:val="000000"/>
                <w:kern w:val="0"/>
                <w:sz w:val="16"/>
                <w:szCs w:val="16"/>
                <w:lang w:eastAsia="es-CO"/>
                <w14:ligatures w14:val="none"/>
              </w:rPr>
            </w:pPr>
            <w:r w:rsidRPr="002D0A3A">
              <w:rPr>
                <w:rFonts w:eastAsia="Times New Roman" w:cs="Times New Roman"/>
                <w:color w:val="000000"/>
                <w:kern w:val="0"/>
                <w:sz w:val="16"/>
                <w:szCs w:val="16"/>
                <w:lang w:eastAsia="es-CO"/>
                <w14:ligatures w14:val="none"/>
              </w:rPr>
              <w:t>Córdoba – Sucre </w:t>
            </w:r>
          </w:p>
        </w:tc>
        <w:tc>
          <w:tcPr>
            <w:tcW w:w="460" w:type="pct"/>
            <w:tcBorders>
              <w:top w:val="nil"/>
              <w:left w:val="nil"/>
              <w:bottom w:val="single" w:sz="4" w:space="0" w:color="A6A6A6" w:themeColor="background1" w:themeShade="A6"/>
              <w:right w:val="single" w:sz="4" w:space="0" w:color="A6A6A6" w:themeColor="background1" w:themeShade="A6"/>
            </w:tcBorders>
            <w:vAlign w:val="center"/>
            <w:hideMark/>
          </w:tcPr>
          <w:p w14:paraId="7D091AEA" w14:textId="77777777" w:rsidR="00370C27" w:rsidRPr="002D0A3A" w:rsidRDefault="00370C27" w:rsidP="000A5389">
            <w:pPr>
              <w:spacing w:line="240" w:lineRule="auto"/>
              <w:jc w:val="center"/>
              <w:rPr>
                <w:rFonts w:eastAsia="Times New Roman" w:cs="Times New Roman"/>
                <w:color w:val="000000"/>
                <w:kern w:val="0"/>
                <w:sz w:val="16"/>
                <w:szCs w:val="16"/>
                <w:lang w:eastAsia="es-CO"/>
                <w14:ligatures w14:val="none"/>
              </w:rPr>
            </w:pPr>
            <w:r w:rsidRPr="002D0A3A">
              <w:rPr>
                <w:rFonts w:eastAsia="Times New Roman" w:cs="Times New Roman"/>
                <w:color w:val="000000"/>
                <w:kern w:val="0"/>
                <w:sz w:val="16"/>
                <w:szCs w:val="16"/>
                <w:lang w:eastAsia="es-CO"/>
                <w14:ligatures w14:val="none"/>
              </w:rPr>
              <w:t>002 de 2007  </w:t>
            </w:r>
          </w:p>
        </w:tc>
        <w:tc>
          <w:tcPr>
            <w:tcW w:w="904" w:type="pct"/>
            <w:tcBorders>
              <w:top w:val="nil"/>
              <w:left w:val="nil"/>
              <w:bottom w:val="single" w:sz="4" w:space="0" w:color="A6A6A6" w:themeColor="background1" w:themeShade="A6"/>
              <w:right w:val="single" w:sz="4" w:space="0" w:color="A6A6A6" w:themeColor="background1" w:themeShade="A6"/>
            </w:tcBorders>
            <w:vAlign w:val="center"/>
            <w:hideMark/>
          </w:tcPr>
          <w:p w14:paraId="615A7FE9" w14:textId="77777777" w:rsidR="00370C27" w:rsidRPr="002D0A3A" w:rsidRDefault="00370C27" w:rsidP="000A5389">
            <w:pPr>
              <w:spacing w:line="240" w:lineRule="auto"/>
              <w:jc w:val="center"/>
              <w:rPr>
                <w:rFonts w:eastAsia="Times New Roman" w:cs="Times New Roman"/>
                <w:color w:val="000000"/>
                <w:kern w:val="0"/>
                <w:sz w:val="16"/>
                <w:szCs w:val="16"/>
                <w:lang w:eastAsia="es-CO"/>
                <w14:ligatures w14:val="none"/>
              </w:rPr>
            </w:pPr>
            <w:r w:rsidRPr="002D0A3A">
              <w:rPr>
                <w:rFonts w:eastAsia="Times New Roman" w:cs="Times New Roman"/>
                <w:color w:val="000000"/>
                <w:kern w:val="0"/>
                <w:sz w:val="16"/>
                <w:szCs w:val="16"/>
                <w:lang w:eastAsia="es-CO"/>
                <w14:ligatures w14:val="none"/>
              </w:rPr>
              <w:t>Entrega 30/4/2025 </w:t>
            </w:r>
          </w:p>
        </w:tc>
        <w:tc>
          <w:tcPr>
            <w:tcW w:w="765" w:type="pct"/>
            <w:tcBorders>
              <w:top w:val="nil"/>
              <w:left w:val="nil"/>
              <w:bottom w:val="single" w:sz="4" w:space="0" w:color="A6A6A6" w:themeColor="background1" w:themeShade="A6"/>
              <w:right w:val="single" w:sz="4" w:space="0" w:color="A6A6A6" w:themeColor="background1" w:themeShade="A6"/>
            </w:tcBorders>
            <w:vAlign w:val="center"/>
            <w:hideMark/>
          </w:tcPr>
          <w:p w14:paraId="67EA060D" w14:textId="3E6ECB3A" w:rsidR="00370C27" w:rsidRPr="002D0A3A" w:rsidRDefault="00370C27" w:rsidP="000A5389">
            <w:pPr>
              <w:spacing w:line="240" w:lineRule="auto"/>
              <w:jc w:val="right"/>
              <w:rPr>
                <w:rFonts w:eastAsia="Times New Roman" w:cs="Times New Roman"/>
                <w:color w:val="000000"/>
                <w:kern w:val="0"/>
                <w:sz w:val="16"/>
                <w:szCs w:val="16"/>
                <w:lang w:eastAsia="es-CO"/>
                <w14:ligatures w14:val="none"/>
              </w:rPr>
            </w:pPr>
            <w:r w:rsidRPr="002D0A3A">
              <w:rPr>
                <w:rFonts w:eastAsia="Times New Roman" w:cs="Times New Roman"/>
                <w:color w:val="000000"/>
                <w:kern w:val="0"/>
                <w:sz w:val="16"/>
                <w:szCs w:val="16"/>
                <w:lang w:eastAsia="es-CO"/>
                <w14:ligatures w14:val="none"/>
              </w:rPr>
              <w:t>9.729.307.019,00</w:t>
            </w:r>
          </w:p>
        </w:tc>
        <w:tc>
          <w:tcPr>
            <w:tcW w:w="814" w:type="pct"/>
            <w:tcBorders>
              <w:top w:val="nil"/>
              <w:left w:val="nil"/>
              <w:bottom w:val="single" w:sz="4" w:space="0" w:color="A6A6A6" w:themeColor="background1" w:themeShade="A6"/>
              <w:right w:val="single" w:sz="4" w:space="0" w:color="A6A6A6" w:themeColor="background1" w:themeShade="A6"/>
            </w:tcBorders>
            <w:shd w:val="clear" w:color="auto" w:fill="FFFFFF" w:themeFill="background1"/>
            <w:vAlign w:val="center"/>
            <w:hideMark/>
          </w:tcPr>
          <w:p w14:paraId="17F71CF5" w14:textId="3C9AB927" w:rsidR="00370C27" w:rsidRPr="002D0A3A" w:rsidRDefault="00370C27" w:rsidP="000A5389">
            <w:pPr>
              <w:spacing w:line="240" w:lineRule="auto"/>
              <w:jc w:val="right"/>
              <w:rPr>
                <w:rFonts w:eastAsia="Times New Roman" w:cs="Times New Roman"/>
                <w:color w:val="000000"/>
                <w:kern w:val="0"/>
                <w:sz w:val="16"/>
                <w:szCs w:val="16"/>
                <w:lang w:eastAsia="es-CO"/>
                <w14:ligatures w14:val="none"/>
              </w:rPr>
            </w:pPr>
            <w:r w:rsidRPr="002D0A3A">
              <w:rPr>
                <w:rFonts w:eastAsia="Times New Roman" w:cs="Times New Roman"/>
                <w:color w:val="000000"/>
                <w:kern w:val="0"/>
                <w:sz w:val="16"/>
                <w:szCs w:val="16"/>
                <w:lang w:eastAsia="es-CO"/>
                <w14:ligatures w14:val="none"/>
              </w:rPr>
              <w:t>1.528.990.403.774</w:t>
            </w:r>
          </w:p>
        </w:tc>
        <w:tc>
          <w:tcPr>
            <w:tcW w:w="692" w:type="pct"/>
            <w:tcBorders>
              <w:top w:val="nil"/>
              <w:left w:val="nil"/>
              <w:bottom w:val="single" w:sz="4" w:space="0" w:color="A6A6A6" w:themeColor="background1" w:themeShade="A6"/>
              <w:right w:val="single" w:sz="4" w:space="0" w:color="A6A6A6" w:themeColor="background1" w:themeShade="A6"/>
            </w:tcBorders>
            <w:vAlign w:val="center"/>
            <w:hideMark/>
          </w:tcPr>
          <w:p w14:paraId="7E1E9C9F" w14:textId="03EBA098" w:rsidR="00370C27" w:rsidRPr="002D0A3A" w:rsidRDefault="00370C27" w:rsidP="000A5389">
            <w:pPr>
              <w:spacing w:line="240" w:lineRule="auto"/>
              <w:jc w:val="right"/>
              <w:rPr>
                <w:rFonts w:eastAsia="Times New Roman" w:cs="Times New Roman"/>
                <w:color w:val="000000"/>
                <w:kern w:val="0"/>
                <w:sz w:val="16"/>
                <w:szCs w:val="16"/>
                <w:lang w:eastAsia="es-CO"/>
                <w14:ligatures w14:val="none"/>
              </w:rPr>
            </w:pPr>
            <w:r w:rsidRPr="002D0A3A">
              <w:rPr>
                <w:rFonts w:eastAsia="Times New Roman" w:cs="Times New Roman"/>
                <w:color w:val="000000"/>
                <w:kern w:val="0"/>
                <w:sz w:val="16"/>
                <w:szCs w:val="16"/>
                <w:lang w:eastAsia="es-CO"/>
                <w14:ligatures w14:val="none"/>
              </w:rPr>
              <w:t>-</w:t>
            </w:r>
          </w:p>
        </w:tc>
        <w:tc>
          <w:tcPr>
            <w:tcW w:w="814" w:type="pct"/>
            <w:tcBorders>
              <w:top w:val="nil"/>
              <w:left w:val="nil"/>
              <w:bottom w:val="single" w:sz="4" w:space="0" w:color="A6A6A6" w:themeColor="background1" w:themeShade="A6"/>
              <w:right w:val="single" w:sz="4" w:space="0" w:color="A6A6A6" w:themeColor="background1" w:themeShade="A6"/>
            </w:tcBorders>
            <w:vAlign w:val="center"/>
            <w:hideMark/>
          </w:tcPr>
          <w:p w14:paraId="776B73BF" w14:textId="047082E9" w:rsidR="00370C27" w:rsidRPr="002D0A3A" w:rsidRDefault="00370C27" w:rsidP="000A5389">
            <w:pPr>
              <w:spacing w:line="240" w:lineRule="auto"/>
              <w:jc w:val="right"/>
              <w:rPr>
                <w:rFonts w:eastAsia="Times New Roman" w:cs="Times New Roman"/>
                <w:color w:val="000000"/>
                <w:kern w:val="0"/>
                <w:sz w:val="16"/>
                <w:szCs w:val="16"/>
                <w:lang w:eastAsia="es-CO"/>
                <w14:ligatures w14:val="none"/>
              </w:rPr>
            </w:pPr>
            <w:r w:rsidRPr="002D0A3A">
              <w:rPr>
                <w:rFonts w:eastAsia="Times New Roman" w:cs="Times New Roman"/>
                <w:color w:val="000000"/>
                <w:kern w:val="0"/>
                <w:sz w:val="16"/>
                <w:szCs w:val="16"/>
                <w:lang w:eastAsia="es-CO"/>
                <w14:ligatures w14:val="none"/>
              </w:rPr>
              <w:t>1.538.719.710.793</w:t>
            </w:r>
          </w:p>
        </w:tc>
      </w:tr>
      <w:tr w:rsidR="00370C27" w:rsidRPr="002D0A3A" w14:paraId="3AA4B3DE" w14:textId="77777777" w:rsidTr="002D0A3A">
        <w:trPr>
          <w:trHeight w:val="480"/>
        </w:trPr>
        <w:tc>
          <w:tcPr>
            <w:tcW w:w="550" w:type="pct"/>
            <w:tcBorders>
              <w:top w:val="nil"/>
              <w:left w:val="single" w:sz="4" w:space="0" w:color="A6A6A6" w:themeColor="background1" w:themeShade="A6"/>
              <w:bottom w:val="single" w:sz="4" w:space="0" w:color="A6A6A6" w:themeColor="background1" w:themeShade="A6"/>
              <w:right w:val="single" w:sz="4" w:space="0" w:color="A6A6A6" w:themeColor="background1" w:themeShade="A6"/>
            </w:tcBorders>
            <w:vAlign w:val="center"/>
            <w:hideMark/>
          </w:tcPr>
          <w:p w14:paraId="0C28F4B5" w14:textId="77777777" w:rsidR="00370C27" w:rsidRPr="002D0A3A" w:rsidRDefault="00370C27" w:rsidP="000A5389">
            <w:pPr>
              <w:spacing w:line="240" w:lineRule="auto"/>
              <w:rPr>
                <w:rFonts w:eastAsia="Times New Roman" w:cs="Times New Roman"/>
                <w:color w:val="000000"/>
                <w:kern w:val="0"/>
                <w:sz w:val="16"/>
                <w:szCs w:val="16"/>
                <w:lang w:eastAsia="es-CO"/>
                <w14:ligatures w14:val="none"/>
              </w:rPr>
            </w:pPr>
            <w:r w:rsidRPr="002D0A3A">
              <w:rPr>
                <w:rFonts w:eastAsia="Times New Roman" w:cs="Times New Roman"/>
                <w:color w:val="000000"/>
                <w:kern w:val="0"/>
                <w:sz w:val="16"/>
                <w:szCs w:val="16"/>
                <w:lang w:eastAsia="es-CO"/>
                <w14:ligatures w14:val="none"/>
              </w:rPr>
              <w:t>Transversal de las Américas </w:t>
            </w:r>
          </w:p>
        </w:tc>
        <w:tc>
          <w:tcPr>
            <w:tcW w:w="460" w:type="pct"/>
            <w:tcBorders>
              <w:top w:val="nil"/>
              <w:left w:val="nil"/>
              <w:bottom w:val="single" w:sz="4" w:space="0" w:color="A6A6A6" w:themeColor="background1" w:themeShade="A6"/>
              <w:right w:val="single" w:sz="4" w:space="0" w:color="A6A6A6" w:themeColor="background1" w:themeShade="A6"/>
            </w:tcBorders>
            <w:vAlign w:val="center"/>
            <w:hideMark/>
          </w:tcPr>
          <w:p w14:paraId="1A408252" w14:textId="77777777" w:rsidR="00370C27" w:rsidRPr="002D0A3A" w:rsidRDefault="00370C27" w:rsidP="000A5389">
            <w:pPr>
              <w:spacing w:line="240" w:lineRule="auto"/>
              <w:jc w:val="center"/>
              <w:rPr>
                <w:rFonts w:eastAsia="Times New Roman" w:cs="Times New Roman"/>
                <w:color w:val="000000"/>
                <w:kern w:val="0"/>
                <w:sz w:val="16"/>
                <w:szCs w:val="16"/>
                <w:lang w:eastAsia="es-CO"/>
                <w14:ligatures w14:val="none"/>
              </w:rPr>
            </w:pPr>
            <w:r w:rsidRPr="002D0A3A">
              <w:rPr>
                <w:rFonts w:eastAsia="Times New Roman" w:cs="Times New Roman"/>
                <w:color w:val="000000"/>
                <w:kern w:val="0"/>
                <w:sz w:val="16"/>
                <w:szCs w:val="16"/>
                <w:lang w:eastAsia="es-CO"/>
                <w14:ligatures w14:val="none"/>
              </w:rPr>
              <w:t>008-2010 </w:t>
            </w:r>
          </w:p>
        </w:tc>
        <w:tc>
          <w:tcPr>
            <w:tcW w:w="904" w:type="pct"/>
            <w:tcBorders>
              <w:top w:val="nil"/>
              <w:left w:val="nil"/>
              <w:bottom w:val="nil"/>
              <w:right w:val="single" w:sz="4" w:space="0" w:color="A6A6A6" w:themeColor="background1" w:themeShade="A6"/>
            </w:tcBorders>
            <w:vAlign w:val="center"/>
            <w:hideMark/>
          </w:tcPr>
          <w:p w14:paraId="37D450F7" w14:textId="77777777" w:rsidR="00370C27" w:rsidRPr="002D0A3A" w:rsidRDefault="00370C27" w:rsidP="000A5389">
            <w:pPr>
              <w:spacing w:line="240" w:lineRule="auto"/>
              <w:jc w:val="center"/>
              <w:rPr>
                <w:rFonts w:eastAsia="Times New Roman" w:cs="Times New Roman"/>
                <w:color w:val="000000"/>
                <w:kern w:val="0"/>
                <w:sz w:val="16"/>
                <w:szCs w:val="16"/>
                <w:lang w:eastAsia="es-CO"/>
                <w14:ligatures w14:val="none"/>
              </w:rPr>
            </w:pPr>
            <w:r w:rsidRPr="002D0A3A">
              <w:rPr>
                <w:rFonts w:eastAsia="Times New Roman" w:cs="Times New Roman"/>
                <w:color w:val="000000"/>
                <w:kern w:val="0"/>
                <w:sz w:val="16"/>
                <w:szCs w:val="16"/>
                <w:lang w:eastAsia="es-CO"/>
                <w14:ligatures w14:val="none"/>
              </w:rPr>
              <w:t> 31/07/2017 </w:t>
            </w:r>
            <w:r w:rsidRPr="002D0A3A">
              <w:rPr>
                <w:rFonts w:eastAsia="Times New Roman" w:cs="Times New Roman"/>
                <w:color w:val="000000"/>
                <w:kern w:val="0"/>
                <w:sz w:val="16"/>
                <w:szCs w:val="16"/>
                <w:lang w:eastAsia="es-CO"/>
                <w14:ligatures w14:val="none"/>
              </w:rPr>
              <w:br/>
              <w:t>01/12/2020</w:t>
            </w:r>
          </w:p>
        </w:tc>
        <w:tc>
          <w:tcPr>
            <w:tcW w:w="765" w:type="pct"/>
            <w:tcBorders>
              <w:top w:val="nil"/>
              <w:left w:val="nil"/>
              <w:bottom w:val="single" w:sz="4" w:space="0" w:color="A6A6A6" w:themeColor="background1" w:themeShade="A6"/>
              <w:right w:val="single" w:sz="4" w:space="0" w:color="A6A6A6" w:themeColor="background1" w:themeShade="A6"/>
            </w:tcBorders>
            <w:vAlign w:val="center"/>
            <w:hideMark/>
          </w:tcPr>
          <w:p w14:paraId="6732F104" w14:textId="70FE2DF7" w:rsidR="00370C27" w:rsidRPr="002D0A3A" w:rsidRDefault="00370C27" w:rsidP="000A5389">
            <w:pPr>
              <w:spacing w:line="240" w:lineRule="auto"/>
              <w:jc w:val="right"/>
              <w:rPr>
                <w:rFonts w:eastAsia="Times New Roman" w:cs="Times New Roman"/>
                <w:color w:val="000000"/>
                <w:kern w:val="0"/>
                <w:sz w:val="16"/>
                <w:szCs w:val="16"/>
                <w:lang w:eastAsia="es-CO"/>
                <w14:ligatures w14:val="none"/>
              </w:rPr>
            </w:pPr>
            <w:r w:rsidRPr="002D0A3A">
              <w:rPr>
                <w:rFonts w:eastAsia="Times New Roman" w:cs="Times New Roman"/>
                <w:color w:val="000000"/>
                <w:kern w:val="0"/>
                <w:sz w:val="16"/>
                <w:szCs w:val="16"/>
                <w:lang w:eastAsia="es-CO"/>
                <w14:ligatures w14:val="none"/>
              </w:rPr>
              <w:t>-</w:t>
            </w:r>
          </w:p>
        </w:tc>
        <w:tc>
          <w:tcPr>
            <w:tcW w:w="814" w:type="pct"/>
            <w:tcBorders>
              <w:top w:val="nil"/>
              <w:left w:val="nil"/>
              <w:bottom w:val="single" w:sz="4" w:space="0" w:color="A6A6A6" w:themeColor="background1" w:themeShade="A6"/>
              <w:right w:val="single" w:sz="4" w:space="0" w:color="A6A6A6" w:themeColor="background1" w:themeShade="A6"/>
            </w:tcBorders>
            <w:shd w:val="clear" w:color="auto" w:fill="FFFFFF" w:themeFill="background1"/>
            <w:vAlign w:val="center"/>
            <w:hideMark/>
          </w:tcPr>
          <w:p w14:paraId="285505C4" w14:textId="2F33F746" w:rsidR="00370C27" w:rsidRPr="002D0A3A" w:rsidRDefault="00370C27" w:rsidP="000A5389">
            <w:pPr>
              <w:spacing w:line="240" w:lineRule="auto"/>
              <w:jc w:val="right"/>
              <w:rPr>
                <w:rFonts w:eastAsia="Times New Roman" w:cs="Times New Roman"/>
                <w:color w:val="000000"/>
                <w:kern w:val="0"/>
                <w:sz w:val="16"/>
                <w:szCs w:val="16"/>
                <w:lang w:eastAsia="es-CO"/>
                <w14:ligatures w14:val="none"/>
              </w:rPr>
            </w:pPr>
            <w:r w:rsidRPr="002D0A3A">
              <w:rPr>
                <w:rFonts w:eastAsia="Times New Roman" w:cs="Times New Roman"/>
                <w:color w:val="000000"/>
                <w:kern w:val="0"/>
                <w:sz w:val="16"/>
                <w:szCs w:val="16"/>
                <w:lang w:eastAsia="es-CO"/>
                <w14:ligatures w14:val="none"/>
              </w:rPr>
              <w:t>1.220.484.012.385</w:t>
            </w:r>
          </w:p>
        </w:tc>
        <w:tc>
          <w:tcPr>
            <w:tcW w:w="692" w:type="pct"/>
            <w:tcBorders>
              <w:top w:val="nil"/>
              <w:left w:val="nil"/>
              <w:bottom w:val="single" w:sz="4" w:space="0" w:color="A6A6A6" w:themeColor="background1" w:themeShade="A6"/>
              <w:right w:val="single" w:sz="4" w:space="0" w:color="A6A6A6" w:themeColor="background1" w:themeShade="A6"/>
            </w:tcBorders>
            <w:vAlign w:val="center"/>
            <w:hideMark/>
          </w:tcPr>
          <w:p w14:paraId="60CAE57A" w14:textId="7D43C03E" w:rsidR="00370C27" w:rsidRPr="002D0A3A" w:rsidRDefault="00370C27" w:rsidP="000A5389">
            <w:pPr>
              <w:spacing w:line="240" w:lineRule="auto"/>
              <w:jc w:val="right"/>
              <w:rPr>
                <w:rFonts w:eastAsia="Times New Roman" w:cs="Times New Roman"/>
                <w:color w:val="000000"/>
                <w:kern w:val="0"/>
                <w:sz w:val="16"/>
                <w:szCs w:val="16"/>
                <w:lang w:eastAsia="es-CO"/>
                <w14:ligatures w14:val="none"/>
              </w:rPr>
            </w:pPr>
            <w:r w:rsidRPr="002D0A3A">
              <w:rPr>
                <w:rFonts w:eastAsia="Times New Roman" w:cs="Times New Roman"/>
                <w:color w:val="000000"/>
                <w:kern w:val="0"/>
                <w:sz w:val="16"/>
                <w:szCs w:val="16"/>
                <w:lang w:eastAsia="es-CO"/>
                <w14:ligatures w14:val="none"/>
              </w:rPr>
              <w:t>-</w:t>
            </w:r>
          </w:p>
        </w:tc>
        <w:tc>
          <w:tcPr>
            <w:tcW w:w="814" w:type="pct"/>
            <w:tcBorders>
              <w:top w:val="nil"/>
              <w:left w:val="nil"/>
              <w:bottom w:val="single" w:sz="4" w:space="0" w:color="A6A6A6" w:themeColor="background1" w:themeShade="A6"/>
              <w:right w:val="single" w:sz="4" w:space="0" w:color="A6A6A6" w:themeColor="background1" w:themeShade="A6"/>
            </w:tcBorders>
            <w:vAlign w:val="center"/>
            <w:hideMark/>
          </w:tcPr>
          <w:p w14:paraId="62D258C7" w14:textId="1E912F9B" w:rsidR="00370C27" w:rsidRPr="002D0A3A" w:rsidRDefault="00370C27" w:rsidP="000A5389">
            <w:pPr>
              <w:spacing w:line="240" w:lineRule="auto"/>
              <w:jc w:val="right"/>
              <w:rPr>
                <w:rFonts w:eastAsia="Times New Roman" w:cs="Times New Roman"/>
                <w:color w:val="000000"/>
                <w:kern w:val="0"/>
                <w:sz w:val="16"/>
                <w:szCs w:val="16"/>
                <w:lang w:eastAsia="es-CO"/>
                <w14:ligatures w14:val="none"/>
              </w:rPr>
            </w:pPr>
            <w:r w:rsidRPr="002D0A3A">
              <w:rPr>
                <w:rFonts w:eastAsia="Times New Roman" w:cs="Times New Roman"/>
                <w:color w:val="000000"/>
                <w:kern w:val="0"/>
                <w:sz w:val="16"/>
                <w:szCs w:val="16"/>
                <w:lang w:eastAsia="es-CO"/>
                <w14:ligatures w14:val="none"/>
              </w:rPr>
              <w:t>1.220.484.012.385</w:t>
            </w:r>
          </w:p>
        </w:tc>
      </w:tr>
      <w:tr w:rsidR="00370C27" w:rsidRPr="002D0A3A" w14:paraId="64192F80" w14:textId="77777777" w:rsidTr="002D0A3A">
        <w:trPr>
          <w:trHeight w:val="300"/>
        </w:trPr>
        <w:tc>
          <w:tcPr>
            <w:tcW w:w="550" w:type="pct"/>
            <w:tcBorders>
              <w:top w:val="nil"/>
              <w:left w:val="single" w:sz="4" w:space="0" w:color="A6A6A6" w:themeColor="background1" w:themeShade="A6"/>
              <w:bottom w:val="single" w:sz="4" w:space="0" w:color="A6A6A6" w:themeColor="background1" w:themeShade="A6"/>
              <w:right w:val="single" w:sz="4" w:space="0" w:color="A6A6A6" w:themeColor="background1" w:themeShade="A6"/>
            </w:tcBorders>
            <w:vAlign w:val="center"/>
            <w:hideMark/>
          </w:tcPr>
          <w:p w14:paraId="5B9522DD" w14:textId="77777777" w:rsidR="00370C27" w:rsidRPr="002D0A3A" w:rsidRDefault="00370C27" w:rsidP="000A5389">
            <w:pPr>
              <w:spacing w:line="240" w:lineRule="auto"/>
              <w:rPr>
                <w:rFonts w:eastAsia="Times New Roman" w:cs="Times New Roman"/>
                <w:color w:val="000000"/>
                <w:kern w:val="0"/>
                <w:sz w:val="16"/>
                <w:szCs w:val="16"/>
                <w:lang w:eastAsia="es-CO"/>
                <w14:ligatures w14:val="none"/>
              </w:rPr>
            </w:pPr>
            <w:r w:rsidRPr="002D0A3A">
              <w:rPr>
                <w:rFonts w:eastAsia="Times New Roman" w:cs="Times New Roman"/>
                <w:color w:val="000000"/>
                <w:kern w:val="0"/>
                <w:sz w:val="16"/>
                <w:szCs w:val="16"/>
                <w:lang w:eastAsia="es-CO"/>
                <w14:ligatures w14:val="none"/>
              </w:rPr>
              <w:t>Briceño Tunja Sogamoso </w:t>
            </w:r>
          </w:p>
        </w:tc>
        <w:tc>
          <w:tcPr>
            <w:tcW w:w="460" w:type="pct"/>
            <w:tcBorders>
              <w:top w:val="nil"/>
              <w:left w:val="nil"/>
              <w:bottom w:val="single" w:sz="4" w:space="0" w:color="A6A6A6" w:themeColor="background1" w:themeShade="A6"/>
              <w:right w:val="single" w:sz="4" w:space="0" w:color="A6A6A6" w:themeColor="background1" w:themeShade="A6"/>
            </w:tcBorders>
            <w:vAlign w:val="center"/>
            <w:hideMark/>
          </w:tcPr>
          <w:p w14:paraId="0367629D" w14:textId="77777777" w:rsidR="00370C27" w:rsidRPr="002D0A3A" w:rsidRDefault="00370C27" w:rsidP="000A5389">
            <w:pPr>
              <w:spacing w:line="240" w:lineRule="auto"/>
              <w:jc w:val="center"/>
              <w:rPr>
                <w:rFonts w:eastAsia="Times New Roman" w:cs="Times New Roman"/>
                <w:color w:val="000000"/>
                <w:kern w:val="0"/>
                <w:sz w:val="16"/>
                <w:szCs w:val="16"/>
                <w:lang w:eastAsia="es-CO"/>
                <w14:ligatures w14:val="none"/>
              </w:rPr>
            </w:pPr>
            <w:r w:rsidRPr="002D0A3A">
              <w:rPr>
                <w:rFonts w:eastAsia="Times New Roman" w:cs="Times New Roman"/>
                <w:color w:val="000000"/>
                <w:kern w:val="0"/>
                <w:sz w:val="16"/>
                <w:szCs w:val="16"/>
                <w:lang w:eastAsia="es-CO"/>
                <w14:ligatures w14:val="none"/>
              </w:rPr>
              <w:t>377 de 2002 </w:t>
            </w:r>
          </w:p>
        </w:tc>
        <w:tc>
          <w:tcPr>
            <w:tcW w:w="904" w:type="pct"/>
            <w:tcBorders>
              <w:top w:val="single" w:sz="4" w:space="0" w:color="A6A6A6" w:themeColor="background1" w:themeShade="A6"/>
              <w:left w:val="nil"/>
              <w:bottom w:val="single" w:sz="4" w:space="0" w:color="A6A6A6" w:themeColor="background1" w:themeShade="A6"/>
              <w:right w:val="single" w:sz="4" w:space="0" w:color="A6A6A6" w:themeColor="background1" w:themeShade="A6"/>
            </w:tcBorders>
            <w:vAlign w:val="center"/>
            <w:hideMark/>
          </w:tcPr>
          <w:p w14:paraId="303ECAD9" w14:textId="77777777" w:rsidR="00370C27" w:rsidRPr="002D0A3A" w:rsidRDefault="00370C27" w:rsidP="000A5389">
            <w:pPr>
              <w:spacing w:line="240" w:lineRule="auto"/>
              <w:jc w:val="center"/>
              <w:rPr>
                <w:rFonts w:eastAsia="Times New Roman" w:cs="Times New Roman"/>
                <w:color w:val="000000"/>
                <w:kern w:val="0"/>
                <w:sz w:val="16"/>
                <w:szCs w:val="16"/>
                <w:lang w:eastAsia="es-CO"/>
                <w14:ligatures w14:val="none"/>
              </w:rPr>
            </w:pPr>
            <w:r w:rsidRPr="002D0A3A">
              <w:rPr>
                <w:rFonts w:eastAsia="Times New Roman" w:cs="Times New Roman"/>
                <w:color w:val="000000"/>
                <w:kern w:val="0"/>
                <w:sz w:val="16"/>
                <w:szCs w:val="16"/>
                <w:lang w:eastAsia="es-CO"/>
                <w14:ligatures w14:val="none"/>
              </w:rPr>
              <w:t>Entrega 02/05/2024  </w:t>
            </w:r>
          </w:p>
        </w:tc>
        <w:tc>
          <w:tcPr>
            <w:tcW w:w="765" w:type="pct"/>
            <w:tcBorders>
              <w:top w:val="nil"/>
              <w:left w:val="nil"/>
              <w:bottom w:val="single" w:sz="4" w:space="0" w:color="A6A6A6" w:themeColor="background1" w:themeShade="A6"/>
              <w:right w:val="single" w:sz="4" w:space="0" w:color="A6A6A6" w:themeColor="background1" w:themeShade="A6"/>
            </w:tcBorders>
            <w:vAlign w:val="center"/>
            <w:hideMark/>
          </w:tcPr>
          <w:p w14:paraId="73F8A7F1" w14:textId="7F7D94DC" w:rsidR="00370C27" w:rsidRPr="002D0A3A" w:rsidRDefault="00370C27" w:rsidP="000A5389">
            <w:pPr>
              <w:spacing w:line="240" w:lineRule="auto"/>
              <w:jc w:val="right"/>
              <w:rPr>
                <w:rFonts w:eastAsia="Times New Roman" w:cs="Times New Roman"/>
                <w:color w:val="000000"/>
                <w:kern w:val="0"/>
                <w:sz w:val="16"/>
                <w:szCs w:val="16"/>
                <w:lang w:eastAsia="es-CO"/>
                <w14:ligatures w14:val="none"/>
              </w:rPr>
            </w:pPr>
            <w:r w:rsidRPr="002D0A3A">
              <w:rPr>
                <w:rFonts w:eastAsia="Times New Roman" w:cs="Times New Roman"/>
                <w:color w:val="000000"/>
                <w:kern w:val="0"/>
                <w:sz w:val="16"/>
                <w:szCs w:val="16"/>
                <w:lang w:eastAsia="es-CO"/>
                <w14:ligatures w14:val="none"/>
              </w:rPr>
              <w:t>-</w:t>
            </w:r>
          </w:p>
        </w:tc>
        <w:tc>
          <w:tcPr>
            <w:tcW w:w="814" w:type="pct"/>
            <w:tcBorders>
              <w:top w:val="nil"/>
              <w:left w:val="nil"/>
              <w:bottom w:val="single" w:sz="4" w:space="0" w:color="A6A6A6" w:themeColor="background1" w:themeShade="A6"/>
              <w:right w:val="single" w:sz="4" w:space="0" w:color="A6A6A6" w:themeColor="background1" w:themeShade="A6"/>
            </w:tcBorders>
            <w:shd w:val="clear" w:color="auto" w:fill="FFFFFF" w:themeFill="background1"/>
            <w:vAlign w:val="center"/>
            <w:hideMark/>
          </w:tcPr>
          <w:p w14:paraId="254FC2D6" w14:textId="516A6C58" w:rsidR="00370C27" w:rsidRPr="002D0A3A" w:rsidRDefault="00370C27" w:rsidP="000A5389">
            <w:pPr>
              <w:spacing w:line="240" w:lineRule="auto"/>
              <w:jc w:val="right"/>
              <w:rPr>
                <w:rFonts w:eastAsia="Times New Roman" w:cs="Times New Roman"/>
                <w:color w:val="000000"/>
                <w:kern w:val="0"/>
                <w:sz w:val="16"/>
                <w:szCs w:val="16"/>
                <w:lang w:eastAsia="es-CO"/>
                <w14:ligatures w14:val="none"/>
              </w:rPr>
            </w:pPr>
            <w:r w:rsidRPr="002D0A3A">
              <w:rPr>
                <w:rFonts w:eastAsia="Times New Roman" w:cs="Times New Roman"/>
                <w:color w:val="000000"/>
                <w:kern w:val="0"/>
                <w:sz w:val="16"/>
                <w:szCs w:val="16"/>
                <w:lang w:eastAsia="es-CO"/>
                <w14:ligatures w14:val="none"/>
              </w:rPr>
              <w:t>683.855.568.452</w:t>
            </w:r>
          </w:p>
        </w:tc>
        <w:tc>
          <w:tcPr>
            <w:tcW w:w="692" w:type="pct"/>
            <w:tcBorders>
              <w:top w:val="nil"/>
              <w:left w:val="nil"/>
              <w:bottom w:val="single" w:sz="4" w:space="0" w:color="A6A6A6" w:themeColor="background1" w:themeShade="A6"/>
              <w:right w:val="single" w:sz="4" w:space="0" w:color="A6A6A6" w:themeColor="background1" w:themeShade="A6"/>
            </w:tcBorders>
            <w:vAlign w:val="center"/>
            <w:hideMark/>
          </w:tcPr>
          <w:p w14:paraId="7FF25000" w14:textId="2D6D4AEF" w:rsidR="00370C27" w:rsidRPr="002D0A3A" w:rsidRDefault="00370C27" w:rsidP="000A5389">
            <w:pPr>
              <w:spacing w:line="240" w:lineRule="auto"/>
              <w:jc w:val="right"/>
              <w:rPr>
                <w:rFonts w:eastAsia="Times New Roman" w:cs="Times New Roman"/>
                <w:color w:val="000000"/>
                <w:kern w:val="0"/>
                <w:sz w:val="16"/>
                <w:szCs w:val="16"/>
                <w:lang w:eastAsia="es-CO"/>
                <w14:ligatures w14:val="none"/>
              </w:rPr>
            </w:pPr>
            <w:r w:rsidRPr="002D0A3A">
              <w:rPr>
                <w:rFonts w:eastAsia="Times New Roman" w:cs="Times New Roman"/>
                <w:color w:val="000000"/>
                <w:kern w:val="0"/>
                <w:sz w:val="16"/>
                <w:szCs w:val="16"/>
                <w:lang w:eastAsia="es-CO"/>
                <w14:ligatures w14:val="none"/>
              </w:rPr>
              <w:t>35.370.307.624</w:t>
            </w:r>
          </w:p>
        </w:tc>
        <w:tc>
          <w:tcPr>
            <w:tcW w:w="814" w:type="pct"/>
            <w:tcBorders>
              <w:top w:val="nil"/>
              <w:left w:val="nil"/>
              <w:bottom w:val="single" w:sz="4" w:space="0" w:color="A6A6A6" w:themeColor="background1" w:themeShade="A6"/>
              <w:right w:val="single" w:sz="4" w:space="0" w:color="A6A6A6" w:themeColor="background1" w:themeShade="A6"/>
            </w:tcBorders>
            <w:vAlign w:val="center"/>
            <w:hideMark/>
          </w:tcPr>
          <w:p w14:paraId="0DF3FC0D" w14:textId="72909B25" w:rsidR="00370C27" w:rsidRPr="002D0A3A" w:rsidRDefault="00370C27" w:rsidP="000A5389">
            <w:pPr>
              <w:spacing w:line="240" w:lineRule="auto"/>
              <w:jc w:val="right"/>
              <w:rPr>
                <w:rFonts w:eastAsia="Times New Roman" w:cs="Times New Roman"/>
                <w:color w:val="000000"/>
                <w:kern w:val="0"/>
                <w:sz w:val="16"/>
                <w:szCs w:val="16"/>
                <w:lang w:eastAsia="es-CO"/>
                <w14:ligatures w14:val="none"/>
              </w:rPr>
            </w:pPr>
            <w:r w:rsidRPr="002D0A3A">
              <w:rPr>
                <w:rFonts w:eastAsia="Times New Roman" w:cs="Times New Roman"/>
                <w:color w:val="000000"/>
                <w:kern w:val="0"/>
                <w:sz w:val="16"/>
                <w:szCs w:val="16"/>
                <w:lang w:eastAsia="es-CO"/>
                <w14:ligatures w14:val="none"/>
              </w:rPr>
              <w:t>719.225.876.076</w:t>
            </w:r>
          </w:p>
        </w:tc>
      </w:tr>
      <w:tr w:rsidR="00370C27" w:rsidRPr="002D0A3A" w14:paraId="57EBEDA5" w14:textId="77777777" w:rsidTr="002D0A3A">
        <w:trPr>
          <w:trHeight w:val="480"/>
        </w:trPr>
        <w:tc>
          <w:tcPr>
            <w:tcW w:w="550" w:type="pct"/>
            <w:tcBorders>
              <w:top w:val="nil"/>
              <w:left w:val="single" w:sz="4" w:space="0" w:color="A6A6A6" w:themeColor="background1" w:themeShade="A6"/>
              <w:bottom w:val="single" w:sz="4" w:space="0" w:color="A6A6A6" w:themeColor="background1" w:themeShade="A6"/>
              <w:right w:val="single" w:sz="4" w:space="0" w:color="A6A6A6" w:themeColor="background1" w:themeShade="A6"/>
            </w:tcBorders>
            <w:vAlign w:val="center"/>
            <w:hideMark/>
          </w:tcPr>
          <w:p w14:paraId="354024DB" w14:textId="77777777" w:rsidR="00370C27" w:rsidRPr="002D0A3A" w:rsidRDefault="00370C27" w:rsidP="000A5389">
            <w:pPr>
              <w:spacing w:line="240" w:lineRule="auto"/>
              <w:rPr>
                <w:rFonts w:eastAsia="Times New Roman" w:cs="Times New Roman"/>
                <w:color w:val="000000"/>
                <w:kern w:val="0"/>
                <w:sz w:val="16"/>
                <w:szCs w:val="16"/>
                <w:lang w:eastAsia="es-CO"/>
                <w14:ligatures w14:val="none"/>
              </w:rPr>
            </w:pPr>
            <w:r w:rsidRPr="002D0A3A">
              <w:rPr>
                <w:rFonts w:eastAsia="Times New Roman" w:cs="Times New Roman"/>
                <w:color w:val="000000"/>
                <w:kern w:val="0"/>
                <w:sz w:val="16"/>
                <w:szCs w:val="16"/>
                <w:lang w:eastAsia="es-CO"/>
                <w14:ligatures w14:val="none"/>
              </w:rPr>
              <w:t> Proyecto B/manga–Pamplona </w:t>
            </w:r>
          </w:p>
        </w:tc>
        <w:tc>
          <w:tcPr>
            <w:tcW w:w="460" w:type="pct"/>
            <w:tcBorders>
              <w:top w:val="nil"/>
              <w:left w:val="nil"/>
              <w:bottom w:val="single" w:sz="4" w:space="0" w:color="A6A6A6" w:themeColor="background1" w:themeShade="A6"/>
              <w:right w:val="single" w:sz="4" w:space="0" w:color="A6A6A6" w:themeColor="background1" w:themeShade="A6"/>
            </w:tcBorders>
            <w:vAlign w:val="center"/>
            <w:hideMark/>
          </w:tcPr>
          <w:p w14:paraId="78D2B9DA" w14:textId="77777777" w:rsidR="00370C27" w:rsidRPr="002D0A3A" w:rsidRDefault="00370C27" w:rsidP="000A5389">
            <w:pPr>
              <w:spacing w:line="240" w:lineRule="auto"/>
              <w:jc w:val="center"/>
              <w:rPr>
                <w:rFonts w:eastAsia="Times New Roman" w:cs="Times New Roman"/>
                <w:color w:val="000000"/>
                <w:kern w:val="0"/>
                <w:sz w:val="16"/>
                <w:szCs w:val="16"/>
                <w:lang w:eastAsia="es-CO"/>
                <w14:ligatures w14:val="none"/>
              </w:rPr>
            </w:pPr>
            <w:r w:rsidRPr="002D0A3A">
              <w:rPr>
                <w:rFonts w:eastAsia="Times New Roman" w:cs="Times New Roman"/>
                <w:color w:val="000000"/>
                <w:kern w:val="0"/>
                <w:sz w:val="16"/>
                <w:szCs w:val="16"/>
                <w:lang w:eastAsia="es-CO"/>
                <w14:ligatures w14:val="none"/>
              </w:rPr>
              <w:t>002 de 2016 </w:t>
            </w:r>
          </w:p>
        </w:tc>
        <w:tc>
          <w:tcPr>
            <w:tcW w:w="904" w:type="pct"/>
            <w:tcBorders>
              <w:top w:val="nil"/>
              <w:left w:val="nil"/>
              <w:bottom w:val="nil"/>
              <w:right w:val="single" w:sz="4" w:space="0" w:color="A6A6A6" w:themeColor="background1" w:themeShade="A6"/>
            </w:tcBorders>
            <w:vAlign w:val="center"/>
            <w:hideMark/>
          </w:tcPr>
          <w:p w14:paraId="4730C74C" w14:textId="77777777" w:rsidR="00370C27" w:rsidRPr="002D0A3A" w:rsidRDefault="00370C27" w:rsidP="000A5389">
            <w:pPr>
              <w:spacing w:line="240" w:lineRule="auto"/>
              <w:jc w:val="center"/>
              <w:rPr>
                <w:rFonts w:eastAsia="Times New Roman" w:cs="Times New Roman"/>
                <w:color w:val="000000"/>
                <w:kern w:val="0"/>
                <w:sz w:val="16"/>
                <w:szCs w:val="16"/>
                <w:lang w:eastAsia="es-CO"/>
                <w14:ligatures w14:val="none"/>
              </w:rPr>
            </w:pPr>
            <w:r w:rsidRPr="002D0A3A">
              <w:rPr>
                <w:rFonts w:eastAsia="Times New Roman" w:cs="Times New Roman"/>
                <w:color w:val="000000"/>
                <w:kern w:val="0"/>
                <w:sz w:val="16"/>
                <w:szCs w:val="16"/>
                <w:lang w:eastAsia="es-CO"/>
                <w14:ligatures w14:val="none"/>
              </w:rPr>
              <w:t>12/06/2025</w:t>
            </w:r>
            <w:r w:rsidRPr="002D0A3A">
              <w:rPr>
                <w:rFonts w:eastAsia="Times New Roman" w:cs="Times New Roman"/>
                <w:color w:val="000000"/>
                <w:kern w:val="0"/>
                <w:sz w:val="16"/>
                <w:szCs w:val="16"/>
                <w:lang w:eastAsia="es-CO"/>
                <w14:ligatures w14:val="none"/>
              </w:rPr>
              <w:br/>
              <w:t>31/12/2025</w:t>
            </w:r>
          </w:p>
        </w:tc>
        <w:tc>
          <w:tcPr>
            <w:tcW w:w="765" w:type="pct"/>
            <w:tcBorders>
              <w:top w:val="nil"/>
              <w:left w:val="nil"/>
              <w:bottom w:val="single" w:sz="4" w:space="0" w:color="A6A6A6" w:themeColor="background1" w:themeShade="A6"/>
              <w:right w:val="single" w:sz="4" w:space="0" w:color="A6A6A6" w:themeColor="background1" w:themeShade="A6"/>
            </w:tcBorders>
            <w:vAlign w:val="center"/>
            <w:hideMark/>
          </w:tcPr>
          <w:p w14:paraId="355A860D" w14:textId="4DFA5C7C" w:rsidR="00370C27" w:rsidRPr="002D0A3A" w:rsidRDefault="00370C27" w:rsidP="000A5389">
            <w:pPr>
              <w:spacing w:line="240" w:lineRule="auto"/>
              <w:jc w:val="right"/>
              <w:rPr>
                <w:rFonts w:eastAsia="Times New Roman" w:cs="Times New Roman"/>
                <w:color w:val="000000"/>
                <w:kern w:val="0"/>
                <w:sz w:val="16"/>
                <w:szCs w:val="16"/>
                <w:lang w:eastAsia="es-CO"/>
                <w14:ligatures w14:val="none"/>
              </w:rPr>
            </w:pPr>
            <w:r w:rsidRPr="002D0A3A">
              <w:rPr>
                <w:rFonts w:eastAsia="Times New Roman" w:cs="Times New Roman"/>
                <w:color w:val="000000"/>
                <w:kern w:val="0"/>
                <w:sz w:val="16"/>
                <w:szCs w:val="16"/>
                <w:lang w:eastAsia="es-CO"/>
                <w14:ligatures w14:val="none"/>
              </w:rPr>
              <w:t>4.927.092.434,00</w:t>
            </w:r>
          </w:p>
        </w:tc>
        <w:tc>
          <w:tcPr>
            <w:tcW w:w="814" w:type="pct"/>
            <w:tcBorders>
              <w:top w:val="nil"/>
              <w:left w:val="nil"/>
              <w:bottom w:val="single" w:sz="4" w:space="0" w:color="A6A6A6" w:themeColor="background1" w:themeShade="A6"/>
              <w:right w:val="single" w:sz="4" w:space="0" w:color="A6A6A6" w:themeColor="background1" w:themeShade="A6"/>
            </w:tcBorders>
            <w:shd w:val="clear" w:color="auto" w:fill="FFFFFF" w:themeFill="background1"/>
            <w:vAlign w:val="center"/>
            <w:hideMark/>
          </w:tcPr>
          <w:p w14:paraId="6CD57996" w14:textId="21E9CB70" w:rsidR="00370C27" w:rsidRPr="002D0A3A" w:rsidRDefault="00370C27" w:rsidP="000A5389">
            <w:pPr>
              <w:spacing w:line="240" w:lineRule="auto"/>
              <w:jc w:val="right"/>
              <w:rPr>
                <w:rFonts w:eastAsia="Times New Roman" w:cs="Times New Roman"/>
                <w:color w:val="000000"/>
                <w:kern w:val="0"/>
                <w:sz w:val="16"/>
                <w:szCs w:val="16"/>
                <w:lang w:eastAsia="es-CO"/>
                <w14:ligatures w14:val="none"/>
              </w:rPr>
            </w:pPr>
            <w:r w:rsidRPr="002D0A3A">
              <w:rPr>
                <w:rFonts w:eastAsia="Times New Roman" w:cs="Times New Roman"/>
                <w:color w:val="000000"/>
                <w:kern w:val="0"/>
                <w:sz w:val="16"/>
                <w:szCs w:val="16"/>
                <w:lang w:eastAsia="es-CO"/>
                <w14:ligatures w14:val="none"/>
              </w:rPr>
              <w:t>431.128.851.806</w:t>
            </w:r>
          </w:p>
        </w:tc>
        <w:tc>
          <w:tcPr>
            <w:tcW w:w="692" w:type="pct"/>
            <w:tcBorders>
              <w:top w:val="nil"/>
              <w:left w:val="nil"/>
              <w:bottom w:val="single" w:sz="4" w:space="0" w:color="A6A6A6" w:themeColor="background1" w:themeShade="A6"/>
              <w:right w:val="single" w:sz="4" w:space="0" w:color="A6A6A6" w:themeColor="background1" w:themeShade="A6"/>
            </w:tcBorders>
            <w:vAlign w:val="center"/>
            <w:hideMark/>
          </w:tcPr>
          <w:p w14:paraId="54A659AA" w14:textId="04B82D0A" w:rsidR="00370C27" w:rsidRPr="002D0A3A" w:rsidRDefault="00370C27" w:rsidP="000A5389">
            <w:pPr>
              <w:spacing w:line="240" w:lineRule="auto"/>
              <w:jc w:val="right"/>
              <w:rPr>
                <w:rFonts w:eastAsia="Times New Roman" w:cs="Times New Roman"/>
                <w:color w:val="000000"/>
                <w:kern w:val="0"/>
                <w:sz w:val="16"/>
                <w:szCs w:val="16"/>
                <w:lang w:eastAsia="es-CO"/>
                <w14:ligatures w14:val="none"/>
              </w:rPr>
            </w:pPr>
            <w:r w:rsidRPr="002D0A3A">
              <w:rPr>
                <w:rFonts w:eastAsia="Times New Roman" w:cs="Times New Roman"/>
                <w:color w:val="000000"/>
                <w:kern w:val="0"/>
                <w:sz w:val="16"/>
                <w:szCs w:val="16"/>
                <w:lang w:eastAsia="es-CO"/>
                <w14:ligatures w14:val="none"/>
              </w:rPr>
              <w:t>-</w:t>
            </w:r>
          </w:p>
        </w:tc>
        <w:tc>
          <w:tcPr>
            <w:tcW w:w="814" w:type="pct"/>
            <w:tcBorders>
              <w:top w:val="nil"/>
              <w:left w:val="nil"/>
              <w:bottom w:val="single" w:sz="4" w:space="0" w:color="A6A6A6" w:themeColor="background1" w:themeShade="A6"/>
              <w:right w:val="single" w:sz="4" w:space="0" w:color="A6A6A6" w:themeColor="background1" w:themeShade="A6"/>
            </w:tcBorders>
            <w:vAlign w:val="center"/>
            <w:hideMark/>
          </w:tcPr>
          <w:p w14:paraId="0CCAB770" w14:textId="62D4D3ED" w:rsidR="00370C27" w:rsidRPr="002D0A3A" w:rsidRDefault="00370C27" w:rsidP="000A5389">
            <w:pPr>
              <w:spacing w:line="240" w:lineRule="auto"/>
              <w:jc w:val="right"/>
              <w:rPr>
                <w:rFonts w:eastAsia="Times New Roman" w:cs="Times New Roman"/>
                <w:color w:val="000000"/>
                <w:kern w:val="0"/>
                <w:sz w:val="16"/>
                <w:szCs w:val="16"/>
                <w:lang w:eastAsia="es-CO"/>
                <w14:ligatures w14:val="none"/>
              </w:rPr>
            </w:pPr>
            <w:r w:rsidRPr="002D0A3A">
              <w:rPr>
                <w:rFonts w:eastAsia="Times New Roman" w:cs="Times New Roman"/>
                <w:color w:val="000000"/>
                <w:kern w:val="0"/>
                <w:sz w:val="16"/>
                <w:szCs w:val="16"/>
                <w:lang w:eastAsia="es-CO"/>
                <w14:ligatures w14:val="none"/>
              </w:rPr>
              <w:t>436.055.944.240</w:t>
            </w:r>
          </w:p>
        </w:tc>
      </w:tr>
      <w:tr w:rsidR="00370C27" w:rsidRPr="002D0A3A" w14:paraId="2DC70F68" w14:textId="77777777" w:rsidTr="002D0A3A">
        <w:trPr>
          <w:trHeight w:val="300"/>
        </w:trPr>
        <w:tc>
          <w:tcPr>
            <w:tcW w:w="550" w:type="pct"/>
            <w:tcBorders>
              <w:top w:val="nil"/>
              <w:left w:val="single" w:sz="4" w:space="0" w:color="A6A6A6" w:themeColor="background1" w:themeShade="A6"/>
              <w:bottom w:val="single" w:sz="4" w:space="0" w:color="A6A6A6" w:themeColor="background1" w:themeShade="A6"/>
              <w:right w:val="single" w:sz="4" w:space="0" w:color="A6A6A6" w:themeColor="background1" w:themeShade="A6"/>
            </w:tcBorders>
            <w:vAlign w:val="center"/>
            <w:hideMark/>
          </w:tcPr>
          <w:p w14:paraId="1108C85B" w14:textId="77777777" w:rsidR="00370C27" w:rsidRPr="002D0A3A" w:rsidRDefault="00370C27" w:rsidP="000A5389">
            <w:pPr>
              <w:spacing w:line="240" w:lineRule="auto"/>
              <w:rPr>
                <w:rFonts w:eastAsia="Times New Roman" w:cs="Times New Roman"/>
                <w:color w:val="000000"/>
                <w:kern w:val="0"/>
                <w:sz w:val="16"/>
                <w:szCs w:val="16"/>
                <w:lang w:eastAsia="es-CO"/>
                <w14:ligatures w14:val="none"/>
              </w:rPr>
            </w:pPr>
            <w:r w:rsidRPr="002D0A3A">
              <w:rPr>
                <w:rFonts w:eastAsia="Times New Roman" w:cs="Times New Roman"/>
                <w:color w:val="000000"/>
                <w:kern w:val="0"/>
                <w:sz w:val="16"/>
                <w:szCs w:val="16"/>
                <w:lang w:eastAsia="es-CO"/>
                <w14:ligatures w14:val="none"/>
              </w:rPr>
              <w:t>Vías del NUS </w:t>
            </w:r>
          </w:p>
        </w:tc>
        <w:tc>
          <w:tcPr>
            <w:tcW w:w="460" w:type="pct"/>
            <w:tcBorders>
              <w:top w:val="nil"/>
              <w:left w:val="nil"/>
              <w:bottom w:val="single" w:sz="4" w:space="0" w:color="A6A6A6" w:themeColor="background1" w:themeShade="A6"/>
              <w:right w:val="single" w:sz="4" w:space="0" w:color="A6A6A6" w:themeColor="background1" w:themeShade="A6"/>
            </w:tcBorders>
            <w:vAlign w:val="center"/>
            <w:hideMark/>
          </w:tcPr>
          <w:p w14:paraId="18FB16BD" w14:textId="77777777" w:rsidR="00370C27" w:rsidRPr="002D0A3A" w:rsidRDefault="00370C27" w:rsidP="000A5389">
            <w:pPr>
              <w:spacing w:line="240" w:lineRule="auto"/>
              <w:jc w:val="center"/>
              <w:rPr>
                <w:rFonts w:eastAsia="Times New Roman" w:cs="Times New Roman"/>
                <w:color w:val="000000"/>
                <w:kern w:val="0"/>
                <w:sz w:val="16"/>
                <w:szCs w:val="16"/>
                <w:lang w:eastAsia="es-CO"/>
                <w14:ligatures w14:val="none"/>
              </w:rPr>
            </w:pPr>
            <w:r w:rsidRPr="002D0A3A">
              <w:rPr>
                <w:rFonts w:eastAsia="Times New Roman" w:cs="Times New Roman"/>
                <w:color w:val="000000"/>
                <w:kern w:val="0"/>
                <w:sz w:val="16"/>
                <w:szCs w:val="16"/>
                <w:lang w:eastAsia="es-CO"/>
                <w14:ligatures w14:val="none"/>
              </w:rPr>
              <w:t>001-2016 </w:t>
            </w:r>
          </w:p>
        </w:tc>
        <w:tc>
          <w:tcPr>
            <w:tcW w:w="904" w:type="pct"/>
            <w:tcBorders>
              <w:top w:val="single" w:sz="4" w:space="0" w:color="A6A6A6" w:themeColor="background1" w:themeShade="A6"/>
              <w:left w:val="nil"/>
              <w:bottom w:val="single" w:sz="4" w:space="0" w:color="A6A6A6" w:themeColor="background1" w:themeShade="A6"/>
              <w:right w:val="single" w:sz="4" w:space="0" w:color="A6A6A6" w:themeColor="background1" w:themeShade="A6"/>
            </w:tcBorders>
            <w:vAlign w:val="center"/>
            <w:hideMark/>
          </w:tcPr>
          <w:p w14:paraId="73A415AB" w14:textId="77777777" w:rsidR="00370C27" w:rsidRPr="002D0A3A" w:rsidRDefault="00370C27" w:rsidP="000A5389">
            <w:pPr>
              <w:spacing w:line="240" w:lineRule="auto"/>
              <w:jc w:val="center"/>
              <w:rPr>
                <w:rFonts w:eastAsia="Times New Roman" w:cs="Times New Roman"/>
                <w:color w:val="000000"/>
                <w:kern w:val="0"/>
                <w:sz w:val="16"/>
                <w:szCs w:val="16"/>
                <w:lang w:eastAsia="es-CO"/>
                <w14:ligatures w14:val="none"/>
              </w:rPr>
            </w:pPr>
            <w:r w:rsidRPr="002D0A3A">
              <w:rPr>
                <w:rFonts w:eastAsia="Times New Roman" w:cs="Times New Roman"/>
                <w:color w:val="000000"/>
                <w:kern w:val="0"/>
                <w:sz w:val="16"/>
                <w:szCs w:val="16"/>
                <w:lang w:eastAsia="es-CO"/>
                <w14:ligatures w14:val="none"/>
              </w:rPr>
              <w:t>Entrega 12/12/2025 </w:t>
            </w:r>
          </w:p>
        </w:tc>
        <w:tc>
          <w:tcPr>
            <w:tcW w:w="765" w:type="pct"/>
            <w:tcBorders>
              <w:top w:val="nil"/>
              <w:left w:val="nil"/>
              <w:bottom w:val="single" w:sz="4" w:space="0" w:color="A6A6A6" w:themeColor="background1" w:themeShade="A6"/>
              <w:right w:val="single" w:sz="4" w:space="0" w:color="A6A6A6" w:themeColor="background1" w:themeShade="A6"/>
            </w:tcBorders>
            <w:vAlign w:val="center"/>
            <w:hideMark/>
          </w:tcPr>
          <w:p w14:paraId="78E0261F" w14:textId="3EFA13B8" w:rsidR="00370C27" w:rsidRPr="002D0A3A" w:rsidRDefault="00370C27" w:rsidP="000A5389">
            <w:pPr>
              <w:spacing w:line="240" w:lineRule="auto"/>
              <w:jc w:val="right"/>
              <w:rPr>
                <w:rFonts w:eastAsia="Times New Roman" w:cs="Times New Roman"/>
                <w:color w:val="000000"/>
                <w:kern w:val="0"/>
                <w:sz w:val="16"/>
                <w:szCs w:val="16"/>
                <w:lang w:eastAsia="es-CO"/>
                <w14:ligatures w14:val="none"/>
              </w:rPr>
            </w:pPr>
            <w:r w:rsidRPr="002D0A3A">
              <w:rPr>
                <w:rFonts w:eastAsia="Times New Roman" w:cs="Times New Roman"/>
                <w:color w:val="000000"/>
                <w:kern w:val="0"/>
                <w:sz w:val="16"/>
                <w:szCs w:val="16"/>
                <w:lang w:eastAsia="es-CO"/>
                <w14:ligatures w14:val="none"/>
              </w:rPr>
              <w:t>-</w:t>
            </w:r>
          </w:p>
        </w:tc>
        <w:tc>
          <w:tcPr>
            <w:tcW w:w="814" w:type="pct"/>
            <w:tcBorders>
              <w:top w:val="nil"/>
              <w:left w:val="nil"/>
              <w:bottom w:val="single" w:sz="4" w:space="0" w:color="A6A6A6" w:themeColor="background1" w:themeShade="A6"/>
              <w:right w:val="single" w:sz="4" w:space="0" w:color="A6A6A6" w:themeColor="background1" w:themeShade="A6"/>
            </w:tcBorders>
            <w:shd w:val="clear" w:color="auto" w:fill="FFFFFF" w:themeFill="background1"/>
            <w:vAlign w:val="center"/>
            <w:hideMark/>
          </w:tcPr>
          <w:p w14:paraId="4A236DC5" w14:textId="79C0EF3F" w:rsidR="00370C27" w:rsidRPr="002D0A3A" w:rsidRDefault="00370C27" w:rsidP="000A5389">
            <w:pPr>
              <w:spacing w:line="240" w:lineRule="auto"/>
              <w:jc w:val="right"/>
              <w:rPr>
                <w:rFonts w:eastAsia="Times New Roman" w:cs="Times New Roman"/>
                <w:color w:val="000000"/>
                <w:kern w:val="0"/>
                <w:sz w:val="16"/>
                <w:szCs w:val="16"/>
                <w:lang w:eastAsia="es-CO"/>
                <w14:ligatures w14:val="none"/>
              </w:rPr>
            </w:pPr>
            <w:r w:rsidRPr="002D0A3A">
              <w:rPr>
                <w:rFonts w:eastAsia="Times New Roman" w:cs="Times New Roman"/>
                <w:color w:val="000000"/>
                <w:kern w:val="0"/>
                <w:sz w:val="16"/>
                <w:szCs w:val="16"/>
                <w:lang w:eastAsia="es-CO"/>
                <w14:ligatures w14:val="none"/>
              </w:rPr>
              <w:t>28.686.852.178</w:t>
            </w:r>
          </w:p>
        </w:tc>
        <w:tc>
          <w:tcPr>
            <w:tcW w:w="692" w:type="pct"/>
            <w:tcBorders>
              <w:top w:val="nil"/>
              <w:left w:val="nil"/>
              <w:bottom w:val="single" w:sz="4" w:space="0" w:color="A6A6A6" w:themeColor="background1" w:themeShade="A6"/>
              <w:right w:val="single" w:sz="4" w:space="0" w:color="A6A6A6" w:themeColor="background1" w:themeShade="A6"/>
            </w:tcBorders>
            <w:vAlign w:val="center"/>
            <w:hideMark/>
          </w:tcPr>
          <w:p w14:paraId="4C36F7CE" w14:textId="4D29CAED" w:rsidR="00370C27" w:rsidRPr="002D0A3A" w:rsidRDefault="00370C27" w:rsidP="000A5389">
            <w:pPr>
              <w:spacing w:line="240" w:lineRule="auto"/>
              <w:jc w:val="right"/>
              <w:rPr>
                <w:rFonts w:eastAsia="Times New Roman" w:cs="Times New Roman"/>
                <w:color w:val="000000"/>
                <w:kern w:val="0"/>
                <w:sz w:val="16"/>
                <w:szCs w:val="16"/>
                <w:lang w:eastAsia="es-CO"/>
                <w14:ligatures w14:val="none"/>
              </w:rPr>
            </w:pPr>
            <w:r w:rsidRPr="002D0A3A">
              <w:rPr>
                <w:rFonts w:eastAsia="Times New Roman" w:cs="Times New Roman"/>
                <w:color w:val="000000"/>
                <w:kern w:val="0"/>
                <w:sz w:val="16"/>
                <w:szCs w:val="16"/>
                <w:lang w:eastAsia="es-CO"/>
                <w14:ligatures w14:val="none"/>
              </w:rPr>
              <w:t>33.406.988</w:t>
            </w:r>
          </w:p>
        </w:tc>
        <w:tc>
          <w:tcPr>
            <w:tcW w:w="814" w:type="pct"/>
            <w:tcBorders>
              <w:top w:val="nil"/>
              <w:left w:val="nil"/>
              <w:bottom w:val="single" w:sz="4" w:space="0" w:color="A6A6A6" w:themeColor="background1" w:themeShade="A6"/>
              <w:right w:val="single" w:sz="4" w:space="0" w:color="A6A6A6" w:themeColor="background1" w:themeShade="A6"/>
            </w:tcBorders>
            <w:vAlign w:val="center"/>
            <w:hideMark/>
          </w:tcPr>
          <w:p w14:paraId="73CD807C" w14:textId="1A5F05F4" w:rsidR="00370C27" w:rsidRPr="002D0A3A" w:rsidRDefault="00370C27" w:rsidP="000A5389">
            <w:pPr>
              <w:spacing w:line="240" w:lineRule="auto"/>
              <w:jc w:val="right"/>
              <w:rPr>
                <w:rFonts w:eastAsia="Times New Roman" w:cs="Times New Roman"/>
                <w:color w:val="000000"/>
                <w:kern w:val="0"/>
                <w:sz w:val="16"/>
                <w:szCs w:val="16"/>
                <w:lang w:eastAsia="es-CO"/>
                <w14:ligatures w14:val="none"/>
              </w:rPr>
            </w:pPr>
            <w:r w:rsidRPr="002D0A3A">
              <w:rPr>
                <w:rFonts w:eastAsia="Times New Roman" w:cs="Times New Roman"/>
                <w:color w:val="000000"/>
                <w:kern w:val="0"/>
                <w:sz w:val="16"/>
                <w:szCs w:val="16"/>
                <w:lang w:eastAsia="es-CO"/>
                <w14:ligatures w14:val="none"/>
              </w:rPr>
              <w:t>28.720.259.166</w:t>
            </w:r>
          </w:p>
        </w:tc>
      </w:tr>
      <w:tr w:rsidR="00370C27" w:rsidRPr="002D0A3A" w14:paraId="342ECA5E" w14:textId="77777777" w:rsidTr="002D0A3A">
        <w:trPr>
          <w:trHeight w:val="480"/>
        </w:trPr>
        <w:tc>
          <w:tcPr>
            <w:tcW w:w="550" w:type="pct"/>
            <w:tcBorders>
              <w:top w:val="nil"/>
              <w:left w:val="single" w:sz="4" w:space="0" w:color="A6A6A6" w:themeColor="background1" w:themeShade="A6"/>
              <w:bottom w:val="single" w:sz="4" w:space="0" w:color="A6A6A6" w:themeColor="background1" w:themeShade="A6"/>
              <w:right w:val="single" w:sz="4" w:space="0" w:color="A6A6A6" w:themeColor="background1" w:themeShade="A6"/>
            </w:tcBorders>
            <w:vAlign w:val="center"/>
            <w:hideMark/>
          </w:tcPr>
          <w:p w14:paraId="48A6D415" w14:textId="77777777" w:rsidR="00370C27" w:rsidRPr="002D0A3A" w:rsidRDefault="00370C27" w:rsidP="000A5389">
            <w:pPr>
              <w:spacing w:line="240" w:lineRule="auto"/>
              <w:rPr>
                <w:rFonts w:eastAsia="Times New Roman" w:cs="Times New Roman"/>
                <w:color w:val="000000"/>
                <w:kern w:val="0"/>
                <w:sz w:val="16"/>
                <w:szCs w:val="16"/>
                <w:lang w:eastAsia="es-CO"/>
                <w14:ligatures w14:val="none"/>
              </w:rPr>
            </w:pPr>
            <w:r w:rsidRPr="002D0A3A">
              <w:rPr>
                <w:rFonts w:eastAsia="Times New Roman" w:cs="Times New Roman"/>
                <w:color w:val="000000"/>
                <w:kern w:val="0"/>
                <w:sz w:val="16"/>
                <w:szCs w:val="16"/>
                <w:lang w:eastAsia="es-CO"/>
                <w14:ligatures w14:val="none"/>
              </w:rPr>
              <w:t>Sociedad Terminal Marítimos del Pacífico </w:t>
            </w:r>
          </w:p>
        </w:tc>
        <w:tc>
          <w:tcPr>
            <w:tcW w:w="460" w:type="pct"/>
            <w:tcBorders>
              <w:top w:val="nil"/>
              <w:left w:val="nil"/>
              <w:bottom w:val="single" w:sz="4" w:space="0" w:color="A6A6A6" w:themeColor="background1" w:themeShade="A6"/>
              <w:right w:val="single" w:sz="4" w:space="0" w:color="A6A6A6" w:themeColor="background1" w:themeShade="A6"/>
            </w:tcBorders>
            <w:vAlign w:val="center"/>
            <w:hideMark/>
          </w:tcPr>
          <w:p w14:paraId="43231886" w14:textId="77777777" w:rsidR="00370C27" w:rsidRPr="002D0A3A" w:rsidRDefault="00370C27" w:rsidP="000A5389">
            <w:pPr>
              <w:spacing w:line="240" w:lineRule="auto"/>
              <w:jc w:val="center"/>
              <w:rPr>
                <w:rFonts w:eastAsia="Times New Roman" w:cs="Times New Roman"/>
                <w:color w:val="000000"/>
                <w:kern w:val="0"/>
                <w:sz w:val="16"/>
                <w:szCs w:val="16"/>
                <w:lang w:eastAsia="es-CO"/>
                <w14:ligatures w14:val="none"/>
              </w:rPr>
            </w:pPr>
            <w:r w:rsidRPr="002D0A3A">
              <w:rPr>
                <w:rFonts w:eastAsia="Times New Roman" w:cs="Times New Roman"/>
                <w:color w:val="000000"/>
                <w:kern w:val="0"/>
                <w:sz w:val="16"/>
                <w:szCs w:val="16"/>
                <w:lang w:eastAsia="es-CO"/>
                <w14:ligatures w14:val="none"/>
              </w:rPr>
              <w:t>Res 1363 de 2019 </w:t>
            </w:r>
          </w:p>
        </w:tc>
        <w:tc>
          <w:tcPr>
            <w:tcW w:w="904" w:type="pct"/>
            <w:tcBorders>
              <w:top w:val="nil"/>
              <w:left w:val="nil"/>
              <w:bottom w:val="single" w:sz="4" w:space="0" w:color="A6A6A6" w:themeColor="background1" w:themeShade="A6"/>
              <w:right w:val="single" w:sz="4" w:space="0" w:color="A6A6A6" w:themeColor="background1" w:themeShade="A6"/>
            </w:tcBorders>
            <w:vAlign w:val="center"/>
            <w:hideMark/>
          </w:tcPr>
          <w:p w14:paraId="34709FED" w14:textId="77777777" w:rsidR="00370C27" w:rsidRPr="002D0A3A" w:rsidRDefault="00370C27" w:rsidP="000A5389">
            <w:pPr>
              <w:spacing w:line="240" w:lineRule="auto"/>
              <w:jc w:val="center"/>
              <w:rPr>
                <w:rFonts w:eastAsia="Times New Roman" w:cs="Times New Roman"/>
                <w:color w:val="000000"/>
                <w:kern w:val="0"/>
                <w:sz w:val="16"/>
                <w:szCs w:val="16"/>
                <w:lang w:eastAsia="es-CO"/>
                <w14:ligatures w14:val="none"/>
              </w:rPr>
            </w:pPr>
            <w:r w:rsidRPr="002D0A3A">
              <w:rPr>
                <w:rFonts w:eastAsia="Times New Roman" w:cs="Times New Roman"/>
                <w:color w:val="000000"/>
                <w:kern w:val="0"/>
                <w:sz w:val="16"/>
                <w:szCs w:val="16"/>
                <w:lang w:eastAsia="es-CO"/>
                <w14:ligatures w14:val="none"/>
              </w:rPr>
              <w:t> Entrega 29/11/2022 </w:t>
            </w:r>
          </w:p>
        </w:tc>
        <w:tc>
          <w:tcPr>
            <w:tcW w:w="765" w:type="pct"/>
            <w:tcBorders>
              <w:top w:val="nil"/>
              <w:left w:val="nil"/>
              <w:bottom w:val="single" w:sz="4" w:space="0" w:color="A6A6A6" w:themeColor="background1" w:themeShade="A6"/>
              <w:right w:val="single" w:sz="4" w:space="0" w:color="A6A6A6" w:themeColor="background1" w:themeShade="A6"/>
            </w:tcBorders>
            <w:vAlign w:val="center"/>
            <w:hideMark/>
          </w:tcPr>
          <w:p w14:paraId="5FB4195E" w14:textId="7D9E092E" w:rsidR="00370C27" w:rsidRPr="002D0A3A" w:rsidRDefault="00370C27" w:rsidP="000A5389">
            <w:pPr>
              <w:spacing w:line="240" w:lineRule="auto"/>
              <w:jc w:val="right"/>
              <w:rPr>
                <w:rFonts w:eastAsia="Times New Roman" w:cs="Times New Roman"/>
                <w:color w:val="000000"/>
                <w:kern w:val="0"/>
                <w:sz w:val="16"/>
                <w:szCs w:val="16"/>
                <w:lang w:eastAsia="es-CO"/>
                <w14:ligatures w14:val="none"/>
              </w:rPr>
            </w:pPr>
            <w:r w:rsidRPr="002D0A3A">
              <w:rPr>
                <w:rFonts w:eastAsia="Times New Roman" w:cs="Times New Roman"/>
                <w:color w:val="000000"/>
                <w:kern w:val="0"/>
                <w:sz w:val="16"/>
                <w:szCs w:val="16"/>
                <w:lang w:eastAsia="es-CO"/>
                <w14:ligatures w14:val="none"/>
              </w:rPr>
              <w:t>99.352.191,00</w:t>
            </w:r>
          </w:p>
        </w:tc>
        <w:tc>
          <w:tcPr>
            <w:tcW w:w="814" w:type="pct"/>
            <w:tcBorders>
              <w:top w:val="nil"/>
              <w:left w:val="nil"/>
              <w:bottom w:val="single" w:sz="4" w:space="0" w:color="A6A6A6" w:themeColor="background1" w:themeShade="A6"/>
              <w:right w:val="single" w:sz="4" w:space="0" w:color="A6A6A6" w:themeColor="background1" w:themeShade="A6"/>
            </w:tcBorders>
            <w:shd w:val="clear" w:color="auto" w:fill="FFFFFF" w:themeFill="background1"/>
            <w:vAlign w:val="center"/>
            <w:hideMark/>
          </w:tcPr>
          <w:p w14:paraId="1B3E15EC" w14:textId="08F5D065" w:rsidR="00370C27" w:rsidRPr="002D0A3A" w:rsidRDefault="00370C27" w:rsidP="000A5389">
            <w:pPr>
              <w:spacing w:line="240" w:lineRule="auto"/>
              <w:jc w:val="right"/>
              <w:rPr>
                <w:rFonts w:eastAsia="Times New Roman" w:cs="Times New Roman"/>
                <w:color w:val="000000"/>
                <w:kern w:val="0"/>
                <w:sz w:val="16"/>
                <w:szCs w:val="16"/>
                <w:lang w:eastAsia="es-CO"/>
                <w14:ligatures w14:val="none"/>
              </w:rPr>
            </w:pPr>
            <w:r w:rsidRPr="002D0A3A">
              <w:rPr>
                <w:rFonts w:eastAsia="Times New Roman" w:cs="Times New Roman"/>
                <w:color w:val="000000"/>
                <w:kern w:val="0"/>
                <w:sz w:val="16"/>
                <w:szCs w:val="16"/>
                <w:lang w:eastAsia="es-CO"/>
                <w14:ligatures w14:val="none"/>
              </w:rPr>
              <w:t>1.104.282.132</w:t>
            </w:r>
          </w:p>
        </w:tc>
        <w:tc>
          <w:tcPr>
            <w:tcW w:w="692" w:type="pct"/>
            <w:tcBorders>
              <w:top w:val="nil"/>
              <w:left w:val="nil"/>
              <w:bottom w:val="single" w:sz="4" w:space="0" w:color="A6A6A6" w:themeColor="background1" w:themeShade="A6"/>
              <w:right w:val="single" w:sz="4" w:space="0" w:color="A6A6A6" w:themeColor="background1" w:themeShade="A6"/>
            </w:tcBorders>
            <w:vAlign w:val="center"/>
            <w:hideMark/>
          </w:tcPr>
          <w:p w14:paraId="37DBD25B" w14:textId="3F49660E" w:rsidR="00370C27" w:rsidRPr="002D0A3A" w:rsidRDefault="00370C27" w:rsidP="000A5389">
            <w:pPr>
              <w:spacing w:line="240" w:lineRule="auto"/>
              <w:jc w:val="right"/>
              <w:rPr>
                <w:rFonts w:eastAsia="Times New Roman" w:cs="Times New Roman"/>
                <w:color w:val="000000"/>
                <w:kern w:val="0"/>
                <w:sz w:val="16"/>
                <w:szCs w:val="16"/>
                <w:lang w:eastAsia="es-CO"/>
                <w14:ligatures w14:val="none"/>
              </w:rPr>
            </w:pPr>
            <w:r w:rsidRPr="002D0A3A">
              <w:rPr>
                <w:rFonts w:eastAsia="Times New Roman" w:cs="Times New Roman"/>
                <w:color w:val="000000"/>
                <w:kern w:val="0"/>
                <w:sz w:val="16"/>
                <w:szCs w:val="16"/>
                <w:lang w:eastAsia="es-CO"/>
                <w14:ligatures w14:val="none"/>
              </w:rPr>
              <w:t>-</w:t>
            </w:r>
          </w:p>
        </w:tc>
        <w:tc>
          <w:tcPr>
            <w:tcW w:w="814" w:type="pct"/>
            <w:tcBorders>
              <w:top w:val="nil"/>
              <w:left w:val="nil"/>
              <w:bottom w:val="single" w:sz="4" w:space="0" w:color="A6A6A6" w:themeColor="background1" w:themeShade="A6"/>
              <w:right w:val="single" w:sz="4" w:space="0" w:color="A6A6A6" w:themeColor="background1" w:themeShade="A6"/>
            </w:tcBorders>
            <w:vAlign w:val="center"/>
            <w:hideMark/>
          </w:tcPr>
          <w:p w14:paraId="0721BBD0" w14:textId="52E5B7BE" w:rsidR="00370C27" w:rsidRPr="002D0A3A" w:rsidRDefault="00370C27" w:rsidP="000A5389">
            <w:pPr>
              <w:spacing w:line="240" w:lineRule="auto"/>
              <w:jc w:val="right"/>
              <w:rPr>
                <w:rFonts w:eastAsia="Times New Roman" w:cs="Times New Roman"/>
                <w:color w:val="000000"/>
                <w:kern w:val="0"/>
                <w:sz w:val="16"/>
                <w:szCs w:val="16"/>
                <w:lang w:eastAsia="es-CO"/>
                <w14:ligatures w14:val="none"/>
              </w:rPr>
            </w:pPr>
            <w:r w:rsidRPr="002D0A3A">
              <w:rPr>
                <w:rFonts w:eastAsia="Times New Roman" w:cs="Times New Roman"/>
                <w:color w:val="000000"/>
                <w:kern w:val="0"/>
                <w:sz w:val="16"/>
                <w:szCs w:val="16"/>
                <w:lang w:eastAsia="es-CO"/>
                <w14:ligatures w14:val="none"/>
              </w:rPr>
              <w:t>1.203.634.323</w:t>
            </w:r>
          </w:p>
        </w:tc>
      </w:tr>
      <w:tr w:rsidR="00370C27" w:rsidRPr="002D0A3A" w14:paraId="5F9EDF30" w14:textId="77777777" w:rsidTr="002D0A3A">
        <w:trPr>
          <w:trHeight w:val="480"/>
        </w:trPr>
        <w:tc>
          <w:tcPr>
            <w:tcW w:w="550" w:type="pct"/>
            <w:tcBorders>
              <w:top w:val="nil"/>
              <w:left w:val="single" w:sz="4" w:space="0" w:color="A6A6A6" w:themeColor="background1" w:themeShade="A6"/>
              <w:bottom w:val="single" w:sz="4" w:space="0" w:color="A6A6A6" w:themeColor="background1" w:themeShade="A6"/>
              <w:right w:val="single" w:sz="4" w:space="0" w:color="A6A6A6" w:themeColor="background1" w:themeShade="A6"/>
            </w:tcBorders>
            <w:vAlign w:val="center"/>
            <w:hideMark/>
          </w:tcPr>
          <w:p w14:paraId="02164DA5" w14:textId="77777777" w:rsidR="00370C27" w:rsidRPr="002D0A3A" w:rsidRDefault="00370C27" w:rsidP="000A5389">
            <w:pPr>
              <w:spacing w:line="240" w:lineRule="auto"/>
              <w:rPr>
                <w:rFonts w:eastAsia="Times New Roman" w:cs="Times New Roman"/>
                <w:color w:val="000000"/>
                <w:kern w:val="0"/>
                <w:sz w:val="16"/>
                <w:szCs w:val="16"/>
                <w:lang w:eastAsia="es-CO"/>
                <w14:ligatures w14:val="none"/>
              </w:rPr>
            </w:pPr>
            <w:r w:rsidRPr="002D0A3A">
              <w:rPr>
                <w:rFonts w:eastAsia="Times New Roman" w:cs="Times New Roman"/>
                <w:color w:val="000000"/>
                <w:kern w:val="0"/>
                <w:sz w:val="16"/>
                <w:szCs w:val="16"/>
                <w:lang w:eastAsia="es-CO"/>
                <w14:ligatures w14:val="none"/>
              </w:rPr>
              <w:t>Rumichaca – Pasto – Chachagüí – Aeropuerto </w:t>
            </w:r>
          </w:p>
        </w:tc>
        <w:tc>
          <w:tcPr>
            <w:tcW w:w="460" w:type="pct"/>
            <w:tcBorders>
              <w:top w:val="nil"/>
              <w:left w:val="nil"/>
              <w:bottom w:val="single" w:sz="4" w:space="0" w:color="A6A6A6" w:themeColor="background1" w:themeShade="A6"/>
              <w:right w:val="single" w:sz="4" w:space="0" w:color="A6A6A6" w:themeColor="background1" w:themeShade="A6"/>
            </w:tcBorders>
            <w:vAlign w:val="center"/>
            <w:hideMark/>
          </w:tcPr>
          <w:p w14:paraId="2CAD7016" w14:textId="77777777" w:rsidR="00370C27" w:rsidRPr="002D0A3A" w:rsidRDefault="00370C27" w:rsidP="000A5389">
            <w:pPr>
              <w:spacing w:line="240" w:lineRule="auto"/>
              <w:jc w:val="center"/>
              <w:rPr>
                <w:rFonts w:eastAsia="Times New Roman" w:cs="Times New Roman"/>
                <w:color w:val="000000"/>
                <w:kern w:val="0"/>
                <w:sz w:val="16"/>
                <w:szCs w:val="16"/>
                <w:lang w:eastAsia="es-CO"/>
                <w14:ligatures w14:val="none"/>
              </w:rPr>
            </w:pPr>
            <w:r w:rsidRPr="002D0A3A">
              <w:rPr>
                <w:rFonts w:eastAsia="Times New Roman" w:cs="Times New Roman"/>
                <w:color w:val="000000"/>
                <w:kern w:val="0"/>
                <w:sz w:val="16"/>
                <w:szCs w:val="16"/>
                <w:lang w:eastAsia="es-CO"/>
                <w14:ligatures w14:val="none"/>
              </w:rPr>
              <w:t>003-2006 </w:t>
            </w:r>
          </w:p>
        </w:tc>
        <w:tc>
          <w:tcPr>
            <w:tcW w:w="904" w:type="pct"/>
            <w:tcBorders>
              <w:top w:val="nil"/>
              <w:left w:val="nil"/>
              <w:bottom w:val="single" w:sz="4" w:space="0" w:color="A6A6A6" w:themeColor="background1" w:themeShade="A6"/>
              <w:right w:val="single" w:sz="4" w:space="0" w:color="A6A6A6" w:themeColor="background1" w:themeShade="A6"/>
            </w:tcBorders>
            <w:vAlign w:val="center"/>
            <w:hideMark/>
          </w:tcPr>
          <w:p w14:paraId="14B1B7DD" w14:textId="77777777" w:rsidR="00370C27" w:rsidRPr="002D0A3A" w:rsidRDefault="00370C27" w:rsidP="000A5389">
            <w:pPr>
              <w:spacing w:line="240" w:lineRule="auto"/>
              <w:jc w:val="center"/>
              <w:rPr>
                <w:rFonts w:eastAsia="Times New Roman" w:cs="Times New Roman"/>
                <w:color w:val="000000"/>
                <w:kern w:val="0"/>
                <w:sz w:val="16"/>
                <w:szCs w:val="16"/>
                <w:lang w:eastAsia="es-CO"/>
                <w14:ligatures w14:val="none"/>
              </w:rPr>
            </w:pPr>
            <w:r w:rsidRPr="002D0A3A">
              <w:rPr>
                <w:rFonts w:eastAsia="Times New Roman" w:cs="Times New Roman"/>
                <w:color w:val="000000"/>
                <w:kern w:val="0"/>
                <w:sz w:val="16"/>
                <w:szCs w:val="16"/>
                <w:lang w:eastAsia="es-CO"/>
                <w14:ligatures w14:val="none"/>
              </w:rPr>
              <w:t> Entrega 30/04/2015 </w:t>
            </w:r>
          </w:p>
        </w:tc>
        <w:tc>
          <w:tcPr>
            <w:tcW w:w="765" w:type="pct"/>
            <w:tcBorders>
              <w:top w:val="nil"/>
              <w:left w:val="nil"/>
              <w:bottom w:val="single" w:sz="4" w:space="0" w:color="A6A6A6" w:themeColor="background1" w:themeShade="A6"/>
              <w:right w:val="single" w:sz="4" w:space="0" w:color="A6A6A6" w:themeColor="background1" w:themeShade="A6"/>
            </w:tcBorders>
            <w:vAlign w:val="center"/>
            <w:hideMark/>
          </w:tcPr>
          <w:p w14:paraId="00E768CA" w14:textId="7EF48FC8" w:rsidR="00370C27" w:rsidRPr="002D0A3A" w:rsidRDefault="00370C27" w:rsidP="000A5389">
            <w:pPr>
              <w:spacing w:line="240" w:lineRule="auto"/>
              <w:jc w:val="right"/>
              <w:rPr>
                <w:rFonts w:eastAsia="Times New Roman" w:cs="Times New Roman"/>
                <w:color w:val="000000"/>
                <w:kern w:val="0"/>
                <w:sz w:val="16"/>
                <w:szCs w:val="16"/>
                <w:lang w:eastAsia="es-CO"/>
                <w14:ligatures w14:val="none"/>
              </w:rPr>
            </w:pPr>
            <w:r w:rsidRPr="002D0A3A">
              <w:rPr>
                <w:rFonts w:eastAsia="Times New Roman" w:cs="Times New Roman"/>
                <w:color w:val="000000"/>
                <w:kern w:val="0"/>
                <w:sz w:val="16"/>
                <w:szCs w:val="16"/>
                <w:lang w:eastAsia="es-CO"/>
                <w14:ligatures w14:val="none"/>
              </w:rPr>
              <w:t>-</w:t>
            </w:r>
          </w:p>
        </w:tc>
        <w:tc>
          <w:tcPr>
            <w:tcW w:w="814" w:type="pct"/>
            <w:tcBorders>
              <w:top w:val="nil"/>
              <w:left w:val="nil"/>
              <w:bottom w:val="single" w:sz="4" w:space="0" w:color="A6A6A6" w:themeColor="background1" w:themeShade="A6"/>
              <w:right w:val="single" w:sz="4" w:space="0" w:color="A6A6A6" w:themeColor="background1" w:themeShade="A6"/>
            </w:tcBorders>
            <w:shd w:val="clear" w:color="auto" w:fill="FFFFFF" w:themeFill="background1"/>
            <w:vAlign w:val="center"/>
            <w:hideMark/>
          </w:tcPr>
          <w:p w14:paraId="48ABB625" w14:textId="272FF066" w:rsidR="00370C27" w:rsidRPr="002D0A3A" w:rsidRDefault="00370C27" w:rsidP="000A5389">
            <w:pPr>
              <w:spacing w:line="240" w:lineRule="auto"/>
              <w:jc w:val="right"/>
              <w:rPr>
                <w:rFonts w:eastAsia="Times New Roman" w:cs="Times New Roman"/>
                <w:color w:val="000000"/>
                <w:kern w:val="0"/>
                <w:sz w:val="16"/>
                <w:szCs w:val="16"/>
                <w:lang w:eastAsia="es-CO"/>
                <w14:ligatures w14:val="none"/>
              </w:rPr>
            </w:pPr>
            <w:r w:rsidRPr="002D0A3A">
              <w:rPr>
                <w:rFonts w:eastAsia="Times New Roman" w:cs="Times New Roman"/>
                <w:color w:val="000000"/>
                <w:kern w:val="0"/>
                <w:sz w:val="16"/>
                <w:szCs w:val="16"/>
                <w:lang w:eastAsia="es-CO"/>
                <w14:ligatures w14:val="none"/>
              </w:rPr>
              <w:t>417.284.321</w:t>
            </w:r>
          </w:p>
        </w:tc>
        <w:tc>
          <w:tcPr>
            <w:tcW w:w="692" w:type="pct"/>
            <w:tcBorders>
              <w:top w:val="nil"/>
              <w:left w:val="nil"/>
              <w:bottom w:val="single" w:sz="4" w:space="0" w:color="A6A6A6" w:themeColor="background1" w:themeShade="A6"/>
              <w:right w:val="single" w:sz="4" w:space="0" w:color="A6A6A6" w:themeColor="background1" w:themeShade="A6"/>
            </w:tcBorders>
            <w:vAlign w:val="center"/>
            <w:hideMark/>
          </w:tcPr>
          <w:p w14:paraId="7E777C16" w14:textId="1F4CCD17" w:rsidR="00370C27" w:rsidRPr="002D0A3A" w:rsidRDefault="00370C27" w:rsidP="000A5389">
            <w:pPr>
              <w:spacing w:line="240" w:lineRule="auto"/>
              <w:jc w:val="right"/>
              <w:rPr>
                <w:rFonts w:eastAsia="Times New Roman" w:cs="Times New Roman"/>
                <w:color w:val="000000"/>
                <w:kern w:val="0"/>
                <w:sz w:val="16"/>
                <w:szCs w:val="16"/>
                <w:lang w:eastAsia="es-CO"/>
                <w14:ligatures w14:val="none"/>
              </w:rPr>
            </w:pPr>
            <w:r w:rsidRPr="002D0A3A">
              <w:rPr>
                <w:rFonts w:eastAsia="Times New Roman" w:cs="Times New Roman"/>
                <w:color w:val="000000"/>
                <w:kern w:val="0"/>
                <w:sz w:val="16"/>
                <w:szCs w:val="16"/>
                <w:lang w:eastAsia="es-CO"/>
                <w14:ligatures w14:val="none"/>
              </w:rPr>
              <w:t>-</w:t>
            </w:r>
          </w:p>
        </w:tc>
        <w:tc>
          <w:tcPr>
            <w:tcW w:w="814" w:type="pct"/>
            <w:tcBorders>
              <w:top w:val="nil"/>
              <w:left w:val="nil"/>
              <w:bottom w:val="single" w:sz="4" w:space="0" w:color="A6A6A6" w:themeColor="background1" w:themeShade="A6"/>
              <w:right w:val="single" w:sz="4" w:space="0" w:color="A6A6A6" w:themeColor="background1" w:themeShade="A6"/>
            </w:tcBorders>
            <w:vAlign w:val="center"/>
            <w:hideMark/>
          </w:tcPr>
          <w:p w14:paraId="48E04AB5" w14:textId="608083FA" w:rsidR="00370C27" w:rsidRPr="002D0A3A" w:rsidRDefault="00370C27" w:rsidP="000A5389">
            <w:pPr>
              <w:spacing w:line="240" w:lineRule="auto"/>
              <w:jc w:val="right"/>
              <w:rPr>
                <w:rFonts w:eastAsia="Times New Roman" w:cs="Times New Roman"/>
                <w:color w:val="000000"/>
                <w:kern w:val="0"/>
                <w:sz w:val="16"/>
                <w:szCs w:val="16"/>
                <w:lang w:eastAsia="es-CO"/>
                <w14:ligatures w14:val="none"/>
              </w:rPr>
            </w:pPr>
            <w:r w:rsidRPr="002D0A3A">
              <w:rPr>
                <w:rFonts w:eastAsia="Times New Roman" w:cs="Times New Roman"/>
                <w:color w:val="000000"/>
                <w:kern w:val="0"/>
                <w:sz w:val="16"/>
                <w:szCs w:val="16"/>
                <w:lang w:eastAsia="es-CO"/>
                <w14:ligatures w14:val="none"/>
              </w:rPr>
              <w:t>417.284.321</w:t>
            </w:r>
          </w:p>
        </w:tc>
      </w:tr>
      <w:tr w:rsidR="00900D7B" w:rsidRPr="002D0A3A" w14:paraId="33E47839" w14:textId="77777777" w:rsidTr="002D0A3A">
        <w:trPr>
          <w:trHeight w:val="300"/>
        </w:trPr>
        <w:tc>
          <w:tcPr>
            <w:tcW w:w="550" w:type="pct"/>
            <w:tcBorders>
              <w:top w:val="nil"/>
              <w:left w:val="single" w:sz="4" w:space="0" w:color="A6A6A6" w:themeColor="background1" w:themeShade="A6"/>
              <w:bottom w:val="single" w:sz="4" w:space="0" w:color="A6A6A6" w:themeColor="background1" w:themeShade="A6"/>
              <w:right w:val="single" w:sz="4" w:space="0" w:color="A6A6A6" w:themeColor="background1" w:themeShade="A6"/>
            </w:tcBorders>
            <w:vAlign w:val="center"/>
            <w:hideMark/>
          </w:tcPr>
          <w:p w14:paraId="6CE521AE" w14:textId="77777777" w:rsidR="00370C27" w:rsidRPr="002D0A3A" w:rsidRDefault="00370C27" w:rsidP="000A5389">
            <w:pPr>
              <w:spacing w:line="240" w:lineRule="auto"/>
              <w:rPr>
                <w:rFonts w:eastAsia="Times New Roman" w:cs="Times New Roman"/>
                <w:color w:val="000000"/>
                <w:kern w:val="0"/>
                <w:sz w:val="16"/>
                <w:szCs w:val="16"/>
                <w:lang w:eastAsia="es-CO"/>
                <w14:ligatures w14:val="none"/>
              </w:rPr>
            </w:pPr>
            <w:r w:rsidRPr="002D0A3A">
              <w:rPr>
                <w:rFonts w:eastAsia="Times New Roman" w:cs="Times New Roman"/>
                <w:color w:val="000000"/>
                <w:kern w:val="0"/>
                <w:sz w:val="16"/>
                <w:szCs w:val="16"/>
                <w:lang w:eastAsia="es-CO"/>
                <w14:ligatures w14:val="none"/>
              </w:rPr>
              <w:t>APP GICA S.A </w:t>
            </w:r>
          </w:p>
        </w:tc>
        <w:tc>
          <w:tcPr>
            <w:tcW w:w="460" w:type="pct"/>
            <w:tcBorders>
              <w:top w:val="nil"/>
              <w:left w:val="nil"/>
              <w:bottom w:val="single" w:sz="4" w:space="0" w:color="A6A6A6" w:themeColor="background1" w:themeShade="A6"/>
              <w:right w:val="single" w:sz="4" w:space="0" w:color="A6A6A6" w:themeColor="background1" w:themeShade="A6"/>
            </w:tcBorders>
            <w:vAlign w:val="center"/>
            <w:hideMark/>
          </w:tcPr>
          <w:p w14:paraId="2D4A09F9" w14:textId="77777777" w:rsidR="00370C27" w:rsidRPr="002D0A3A" w:rsidRDefault="00370C27" w:rsidP="000A5389">
            <w:pPr>
              <w:spacing w:line="240" w:lineRule="auto"/>
              <w:jc w:val="center"/>
              <w:rPr>
                <w:rFonts w:eastAsia="Times New Roman" w:cs="Times New Roman"/>
                <w:color w:val="000000"/>
                <w:kern w:val="0"/>
                <w:sz w:val="16"/>
                <w:szCs w:val="16"/>
                <w:lang w:eastAsia="es-CO"/>
                <w14:ligatures w14:val="none"/>
              </w:rPr>
            </w:pPr>
            <w:r w:rsidRPr="002D0A3A">
              <w:rPr>
                <w:rFonts w:eastAsia="Times New Roman" w:cs="Times New Roman"/>
                <w:color w:val="000000"/>
                <w:kern w:val="0"/>
                <w:sz w:val="16"/>
                <w:szCs w:val="16"/>
                <w:lang w:eastAsia="es-CO"/>
                <w14:ligatures w14:val="none"/>
              </w:rPr>
              <w:t> 002 de 2015 </w:t>
            </w:r>
          </w:p>
        </w:tc>
        <w:tc>
          <w:tcPr>
            <w:tcW w:w="904" w:type="pct"/>
            <w:tcBorders>
              <w:top w:val="nil"/>
              <w:left w:val="nil"/>
              <w:bottom w:val="single" w:sz="4" w:space="0" w:color="A6A6A6" w:themeColor="background1" w:themeShade="A6"/>
              <w:right w:val="single" w:sz="4" w:space="0" w:color="A6A6A6" w:themeColor="background1" w:themeShade="A6"/>
            </w:tcBorders>
            <w:vAlign w:val="center"/>
            <w:hideMark/>
          </w:tcPr>
          <w:p w14:paraId="0C6D4F61" w14:textId="77777777" w:rsidR="00370C27" w:rsidRPr="002D0A3A" w:rsidRDefault="00370C27" w:rsidP="000A5389">
            <w:pPr>
              <w:spacing w:line="240" w:lineRule="auto"/>
              <w:jc w:val="center"/>
              <w:rPr>
                <w:rFonts w:eastAsia="Times New Roman" w:cs="Times New Roman"/>
                <w:color w:val="000000"/>
                <w:kern w:val="0"/>
                <w:sz w:val="16"/>
                <w:szCs w:val="16"/>
                <w:lang w:eastAsia="es-CO"/>
                <w14:ligatures w14:val="none"/>
              </w:rPr>
            </w:pPr>
            <w:r w:rsidRPr="002D0A3A">
              <w:rPr>
                <w:rFonts w:eastAsia="Times New Roman" w:cs="Times New Roman"/>
                <w:color w:val="000000"/>
                <w:kern w:val="0"/>
                <w:sz w:val="16"/>
                <w:szCs w:val="16"/>
                <w:lang w:eastAsia="es-CO"/>
                <w14:ligatures w14:val="none"/>
              </w:rPr>
              <w:t>Entrega 26/09/2025  </w:t>
            </w:r>
          </w:p>
        </w:tc>
        <w:tc>
          <w:tcPr>
            <w:tcW w:w="765" w:type="pct"/>
            <w:tcBorders>
              <w:top w:val="nil"/>
              <w:left w:val="nil"/>
              <w:bottom w:val="single" w:sz="4" w:space="0" w:color="A6A6A6" w:themeColor="background1" w:themeShade="A6"/>
              <w:right w:val="single" w:sz="4" w:space="0" w:color="A6A6A6" w:themeColor="background1" w:themeShade="A6"/>
            </w:tcBorders>
            <w:vAlign w:val="center"/>
            <w:hideMark/>
          </w:tcPr>
          <w:p w14:paraId="588AFF5F" w14:textId="4E814059" w:rsidR="00370C27" w:rsidRPr="002D0A3A" w:rsidRDefault="00370C27" w:rsidP="000A5389">
            <w:pPr>
              <w:spacing w:line="240" w:lineRule="auto"/>
              <w:jc w:val="right"/>
              <w:rPr>
                <w:rFonts w:eastAsia="Times New Roman" w:cs="Times New Roman"/>
                <w:color w:val="000000"/>
                <w:kern w:val="0"/>
                <w:sz w:val="16"/>
                <w:szCs w:val="16"/>
                <w:lang w:eastAsia="es-CO"/>
                <w14:ligatures w14:val="none"/>
              </w:rPr>
            </w:pPr>
            <w:r w:rsidRPr="002D0A3A">
              <w:rPr>
                <w:rFonts w:eastAsia="Times New Roman" w:cs="Times New Roman"/>
                <w:color w:val="000000"/>
                <w:kern w:val="0"/>
                <w:sz w:val="16"/>
                <w:szCs w:val="16"/>
                <w:lang w:eastAsia="es-CO"/>
                <w14:ligatures w14:val="none"/>
              </w:rPr>
              <w:t>354.811.468,00</w:t>
            </w:r>
          </w:p>
        </w:tc>
        <w:tc>
          <w:tcPr>
            <w:tcW w:w="814" w:type="pct"/>
            <w:tcBorders>
              <w:top w:val="nil"/>
              <w:left w:val="nil"/>
              <w:bottom w:val="single" w:sz="4" w:space="0" w:color="A6A6A6" w:themeColor="background1" w:themeShade="A6"/>
              <w:right w:val="single" w:sz="4" w:space="0" w:color="A6A6A6" w:themeColor="background1" w:themeShade="A6"/>
            </w:tcBorders>
            <w:shd w:val="clear" w:color="auto" w:fill="FFFFFF" w:themeFill="background1"/>
            <w:vAlign w:val="center"/>
            <w:hideMark/>
          </w:tcPr>
          <w:p w14:paraId="6773D61F" w14:textId="75EF5C04" w:rsidR="00370C27" w:rsidRPr="002D0A3A" w:rsidRDefault="00370C27" w:rsidP="000A5389">
            <w:pPr>
              <w:spacing w:line="240" w:lineRule="auto"/>
              <w:jc w:val="right"/>
              <w:rPr>
                <w:rFonts w:eastAsia="Times New Roman" w:cs="Times New Roman"/>
                <w:color w:val="000000"/>
                <w:kern w:val="0"/>
                <w:sz w:val="16"/>
                <w:szCs w:val="16"/>
                <w:lang w:eastAsia="es-CO"/>
                <w14:ligatures w14:val="none"/>
              </w:rPr>
            </w:pPr>
            <w:r w:rsidRPr="002D0A3A">
              <w:rPr>
                <w:rFonts w:eastAsia="Times New Roman" w:cs="Times New Roman"/>
                <w:color w:val="000000"/>
                <w:kern w:val="0"/>
                <w:sz w:val="16"/>
                <w:szCs w:val="16"/>
                <w:lang w:eastAsia="es-CO"/>
                <w14:ligatures w14:val="none"/>
              </w:rPr>
              <w:t>-</w:t>
            </w:r>
          </w:p>
        </w:tc>
        <w:tc>
          <w:tcPr>
            <w:tcW w:w="692" w:type="pct"/>
            <w:tcBorders>
              <w:top w:val="nil"/>
              <w:left w:val="nil"/>
              <w:bottom w:val="single" w:sz="4" w:space="0" w:color="A6A6A6" w:themeColor="background1" w:themeShade="A6"/>
              <w:right w:val="single" w:sz="4" w:space="0" w:color="A6A6A6" w:themeColor="background1" w:themeShade="A6"/>
            </w:tcBorders>
            <w:vAlign w:val="center"/>
            <w:hideMark/>
          </w:tcPr>
          <w:p w14:paraId="61EA51B4" w14:textId="34BE194E" w:rsidR="00370C27" w:rsidRPr="002D0A3A" w:rsidRDefault="00370C27" w:rsidP="000A5389">
            <w:pPr>
              <w:spacing w:line="240" w:lineRule="auto"/>
              <w:jc w:val="right"/>
              <w:rPr>
                <w:rFonts w:eastAsia="Times New Roman" w:cs="Times New Roman"/>
                <w:color w:val="000000"/>
                <w:kern w:val="0"/>
                <w:sz w:val="16"/>
                <w:szCs w:val="16"/>
                <w:lang w:eastAsia="es-CO"/>
                <w14:ligatures w14:val="none"/>
              </w:rPr>
            </w:pPr>
            <w:r w:rsidRPr="002D0A3A">
              <w:rPr>
                <w:rFonts w:eastAsia="Times New Roman" w:cs="Times New Roman"/>
                <w:color w:val="000000"/>
                <w:kern w:val="0"/>
                <w:sz w:val="16"/>
                <w:szCs w:val="16"/>
                <w:lang w:eastAsia="es-CO"/>
                <w14:ligatures w14:val="none"/>
              </w:rPr>
              <w:t>-</w:t>
            </w:r>
          </w:p>
        </w:tc>
        <w:tc>
          <w:tcPr>
            <w:tcW w:w="814" w:type="pct"/>
            <w:tcBorders>
              <w:top w:val="nil"/>
              <w:left w:val="nil"/>
              <w:bottom w:val="single" w:sz="4" w:space="0" w:color="A6A6A6" w:themeColor="background1" w:themeShade="A6"/>
              <w:right w:val="single" w:sz="4" w:space="0" w:color="A6A6A6" w:themeColor="background1" w:themeShade="A6"/>
            </w:tcBorders>
            <w:vAlign w:val="center"/>
            <w:hideMark/>
          </w:tcPr>
          <w:p w14:paraId="754D5C8D" w14:textId="133BBA6E" w:rsidR="00370C27" w:rsidRPr="002D0A3A" w:rsidRDefault="00370C27" w:rsidP="000A5389">
            <w:pPr>
              <w:spacing w:line="240" w:lineRule="auto"/>
              <w:jc w:val="right"/>
              <w:rPr>
                <w:rFonts w:eastAsia="Times New Roman" w:cs="Times New Roman"/>
                <w:color w:val="000000"/>
                <w:kern w:val="0"/>
                <w:sz w:val="16"/>
                <w:szCs w:val="16"/>
                <w:lang w:eastAsia="es-CO"/>
                <w14:ligatures w14:val="none"/>
              </w:rPr>
            </w:pPr>
            <w:r w:rsidRPr="002D0A3A">
              <w:rPr>
                <w:rFonts w:eastAsia="Times New Roman" w:cs="Times New Roman"/>
                <w:color w:val="000000"/>
                <w:kern w:val="0"/>
                <w:sz w:val="16"/>
                <w:szCs w:val="16"/>
                <w:lang w:eastAsia="es-CO"/>
                <w14:ligatures w14:val="none"/>
              </w:rPr>
              <w:t>354.811.468</w:t>
            </w:r>
          </w:p>
        </w:tc>
      </w:tr>
    </w:tbl>
    <w:p w14:paraId="4690C8BD" w14:textId="2382AC32" w:rsidR="68B7379A" w:rsidRPr="00951AB1" w:rsidRDefault="4B81F06E" w:rsidP="000A5389">
      <w:pPr>
        <w:spacing w:line="240" w:lineRule="auto"/>
        <w:rPr>
          <w:rFonts w:eastAsia="Times New Roman" w:cs="Times New Roman"/>
          <w:sz w:val="16"/>
          <w:szCs w:val="16"/>
        </w:rPr>
      </w:pPr>
      <w:r w:rsidRPr="5B0C84B6">
        <w:rPr>
          <w:rFonts w:eastAsia="Times New Roman" w:cs="Times New Roman"/>
          <w:sz w:val="16"/>
          <w:szCs w:val="16"/>
        </w:rPr>
        <w:t>Cifras en pesos</w:t>
      </w:r>
    </w:p>
    <w:p w14:paraId="0B955D94" w14:textId="290FCA82" w:rsidR="68B7379A" w:rsidRPr="00951AB1" w:rsidRDefault="68B7379A" w:rsidP="000A5389">
      <w:pPr>
        <w:spacing w:line="240" w:lineRule="auto"/>
        <w:rPr>
          <w:rFonts w:eastAsia="Times New Roman" w:cs="Times New Roman"/>
          <w:szCs w:val="24"/>
        </w:rPr>
      </w:pPr>
    </w:p>
    <w:p w14:paraId="62A8BDD4" w14:textId="2A01F519" w:rsidR="6ECDF90F" w:rsidRPr="00951AB1" w:rsidRDefault="6ECDF90F" w:rsidP="000A5389">
      <w:pPr>
        <w:spacing w:line="240" w:lineRule="auto"/>
        <w:rPr>
          <w:rFonts w:eastAsia="Times New Roman" w:cs="Times New Roman"/>
          <w:szCs w:val="24"/>
        </w:rPr>
      </w:pPr>
      <w:r w:rsidRPr="00951AB1">
        <w:rPr>
          <w:rFonts w:eastAsia="Times New Roman" w:cs="Times New Roman"/>
          <w:szCs w:val="24"/>
        </w:rPr>
        <w:t xml:space="preserve">Finalmente, se realizó </w:t>
      </w:r>
      <w:r w:rsidR="5252E025" w:rsidRPr="00951AB1">
        <w:rPr>
          <w:rFonts w:eastAsia="Times New Roman" w:cs="Times New Roman"/>
          <w:szCs w:val="24"/>
        </w:rPr>
        <w:t xml:space="preserve">el reconocimiento del activo </w:t>
      </w:r>
      <w:r w:rsidR="7F77E1E3" w:rsidRPr="00951AB1">
        <w:rPr>
          <w:rFonts w:eastAsia="Times New Roman" w:cs="Times New Roman"/>
          <w:szCs w:val="24"/>
        </w:rPr>
        <w:t xml:space="preserve">y traslado de saldos a la entidad titular Invias </w:t>
      </w:r>
      <w:r w:rsidR="5252E025" w:rsidRPr="00951AB1">
        <w:rPr>
          <w:rFonts w:eastAsia="Times New Roman" w:cs="Times New Roman"/>
          <w:szCs w:val="24"/>
        </w:rPr>
        <w:t xml:space="preserve">para el proyecto revertido Ruta del Sol 1 </w:t>
      </w:r>
      <w:r w:rsidRPr="00951AB1">
        <w:rPr>
          <w:rFonts w:eastAsia="Times New Roman" w:cs="Times New Roman"/>
          <w:szCs w:val="24"/>
        </w:rPr>
        <w:t>por valor de $46.257.479.693,</w:t>
      </w:r>
      <w:r w:rsidR="3C2F091C" w:rsidRPr="00951AB1">
        <w:rPr>
          <w:rFonts w:eastAsia="Times New Roman" w:cs="Times New Roman"/>
          <w:szCs w:val="24"/>
        </w:rPr>
        <w:t xml:space="preserve"> </w:t>
      </w:r>
      <w:r w:rsidR="7F2086AA" w:rsidRPr="00951AB1">
        <w:rPr>
          <w:rFonts w:eastAsia="Times New Roman" w:cs="Times New Roman"/>
          <w:szCs w:val="24"/>
        </w:rPr>
        <w:t xml:space="preserve">correspondiendo al </w:t>
      </w:r>
      <w:r w:rsidR="34CB386A" w:rsidRPr="00951AB1">
        <w:rPr>
          <w:rFonts w:eastAsia="Times New Roman" w:cs="Times New Roman"/>
          <w:szCs w:val="24"/>
        </w:rPr>
        <w:t>A</w:t>
      </w:r>
      <w:r w:rsidR="3C2F091C" w:rsidRPr="00951AB1">
        <w:rPr>
          <w:rFonts w:eastAsia="Times New Roman" w:cs="Times New Roman"/>
          <w:szCs w:val="24"/>
        </w:rPr>
        <w:t>cuerdo conciliatorio del 02 de junio de 2022</w:t>
      </w:r>
      <w:r w:rsidR="4D8A76C8" w:rsidRPr="00951AB1">
        <w:rPr>
          <w:rFonts w:eastAsia="Times New Roman" w:cs="Times New Roman"/>
          <w:szCs w:val="24"/>
        </w:rPr>
        <w:t>, donde se realizaron el</w:t>
      </w:r>
      <w:r w:rsidR="3C2F091C" w:rsidRPr="00951AB1">
        <w:rPr>
          <w:rFonts w:eastAsia="Times New Roman" w:cs="Times New Roman"/>
          <w:szCs w:val="24"/>
        </w:rPr>
        <w:t xml:space="preserve"> Hito 81</w:t>
      </w:r>
      <w:r w:rsidR="757ECFEC" w:rsidRPr="00951AB1">
        <w:rPr>
          <w:rFonts w:eastAsia="Times New Roman" w:cs="Times New Roman"/>
          <w:szCs w:val="24"/>
        </w:rPr>
        <w:t xml:space="preserve"> por valor de</w:t>
      </w:r>
      <w:r w:rsidR="3C2F091C" w:rsidRPr="00951AB1">
        <w:rPr>
          <w:rFonts w:eastAsia="Times New Roman" w:cs="Times New Roman"/>
          <w:szCs w:val="24"/>
        </w:rPr>
        <w:t xml:space="preserve"> $ 11.079.228.004 y Obras Adicionales</w:t>
      </w:r>
      <w:r w:rsidR="29EC363D" w:rsidRPr="00951AB1">
        <w:rPr>
          <w:rFonts w:eastAsia="Times New Roman" w:cs="Times New Roman"/>
          <w:szCs w:val="24"/>
        </w:rPr>
        <w:t xml:space="preserve"> por valor de</w:t>
      </w:r>
      <w:r w:rsidR="3C2F091C" w:rsidRPr="00951AB1">
        <w:rPr>
          <w:rFonts w:eastAsia="Times New Roman" w:cs="Times New Roman"/>
          <w:szCs w:val="24"/>
        </w:rPr>
        <w:t xml:space="preserve"> $35.178.251.689</w:t>
      </w:r>
      <w:r w:rsidR="07B81D1D" w:rsidRPr="00951AB1">
        <w:rPr>
          <w:rFonts w:eastAsia="Times New Roman" w:cs="Times New Roman"/>
          <w:szCs w:val="24"/>
        </w:rPr>
        <w:t xml:space="preserve">. Esto incrementó la </w:t>
      </w:r>
      <w:r w:rsidR="3C2F091C" w:rsidRPr="00951AB1">
        <w:rPr>
          <w:rFonts w:eastAsia="Times New Roman" w:cs="Times New Roman"/>
          <w:szCs w:val="24"/>
        </w:rPr>
        <w:t xml:space="preserve">Red carretera </w:t>
      </w:r>
      <w:r w:rsidR="7EDBA1B3" w:rsidRPr="00951AB1">
        <w:rPr>
          <w:rFonts w:eastAsia="Times New Roman" w:cs="Times New Roman"/>
          <w:szCs w:val="24"/>
        </w:rPr>
        <w:t>de conformidad con e</w:t>
      </w:r>
      <w:r w:rsidR="3C2F091C" w:rsidRPr="00951AB1">
        <w:rPr>
          <w:rFonts w:eastAsia="Times New Roman" w:cs="Times New Roman"/>
          <w:szCs w:val="24"/>
        </w:rPr>
        <w:t xml:space="preserve">l </w:t>
      </w:r>
      <w:r w:rsidR="3DD9D2CA" w:rsidRPr="00951AB1">
        <w:rPr>
          <w:rFonts w:eastAsia="Times New Roman" w:cs="Times New Roman"/>
          <w:szCs w:val="24"/>
        </w:rPr>
        <w:t>C</w:t>
      </w:r>
      <w:r w:rsidR="3C2F091C" w:rsidRPr="00951AB1">
        <w:rPr>
          <w:rFonts w:eastAsia="Times New Roman" w:cs="Times New Roman"/>
          <w:szCs w:val="24"/>
        </w:rPr>
        <w:t>oncepto CGN</w:t>
      </w:r>
      <w:r w:rsidR="263E0847" w:rsidRPr="00951AB1">
        <w:rPr>
          <w:rFonts w:eastAsia="Times New Roman" w:cs="Times New Roman"/>
          <w:szCs w:val="24"/>
        </w:rPr>
        <w:t xml:space="preserve"> No.</w:t>
      </w:r>
      <w:r w:rsidR="3C2F091C" w:rsidRPr="00951AB1">
        <w:rPr>
          <w:rFonts w:eastAsia="Times New Roman" w:cs="Times New Roman"/>
          <w:szCs w:val="24"/>
        </w:rPr>
        <w:t xml:space="preserve"> 20241100023481 del 10-07-2024.</w:t>
      </w:r>
    </w:p>
    <w:p w14:paraId="249A1CE7" w14:textId="3A96A9BA" w:rsidR="68B7379A" w:rsidRPr="00951AB1" w:rsidRDefault="68B7379A" w:rsidP="000A5389">
      <w:pPr>
        <w:spacing w:line="240" w:lineRule="auto"/>
        <w:rPr>
          <w:rFonts w:eastAsia="Times New Roman" w:cs="Times New Roman"/>
          <w:szCs w:val="24"/>
        </w:rPr>
      </w:pPr>
    </w:p>
    <w:p w14:paraId="162D51B4" w14:textId="14991E55" w:rsidR="00FE6C47" w:rsidRPr="00951AB1" w:rsidRDefault="00FE6C47" w:rsidP="000A5389">
      <w:pPr>
        <w:pStyle w:val="Ttulo2"/>
        <w:numPr>
          <w:ilvl w:val="0"/>
          <w:numId w:val="0"/>
        </w:numPr>
        <w:spacing w:line="240" w:lineRule="auto"/>
        <w:ind w:right="-20"/>
        <w:rPr>
          <w:rFonts w:eastAsia="Times New Roman" w:cs="Times New Roman"/>
          <w:szCs w:val="24"/>
        </w:rPr>
      </w:pPr>
      <w:bookmarkStart w:id="33" w:name="_Toc191369480"/>
      <w:bookmarkStart w:id="34" w:name="_Toc191456810"/>
      <w:bookmarkStart w:id="35" w:name="_Toc191456920"/>
      <w:bookmarkStart w:id="36" w:name="_Toc191457030"/>
      <w:bookmarkStart w:id="37" w:name="_Toc191475657"/>
      <w:bookmarkStart w:id="38" w:name="_Toc191475766"/>
      <w:bookmarkStart w:id="39" w:name="_Toc191475875"/>
      <w:bookmarkStart w:id="40" w:name="_Toc191475398"/>
      <w:bookmarkStart w:id="41" w:name="_Toc191505774"/>
      <w:bookmarkStart w:id="42" w:name="_Toc222824086"/>
      <w:bookmarkStart w:id="43" w:name="_Toc222955452"/>
      <w:r w:rsidRPr="00951AB1">
        <w:rPr>
          <w:rFonts w:eastAsia="Times New Roman" w:cs="Times New Roman"/>
          <w:szCs w:val="24"/>
        </w:rPr>
        <w:t>1.</w:t>
      </w:r>
      <w:r w:rsidR="003050F4" w:rsidRPr="00951AB1">
        <w:rPr>
          <w:rFonts w:eastAsia="Times New Roman" w:cs="Times New Roman"/>
          <w:szCs w:val="24"/>
        </w:rPr>
        <w:t>3</w:t>
      </w:r>
      <w:r w:rsidRPr="00951AB1">
        <w:rPr>
          <w:rFonts w:eastAsia="Times New Roman" w:cs="Times New Roman"/>
          <w:szCs w:val="24"/>
        </w:rPr>
        <w:t>.</w:t>
      </w:r>
      <w:r w:rsidRPr="00951AB1">
        <w:rPr>
          <w:rFonts w:eastAsia="Times New Roman" w:cs="Times New Roman"/>
          <w:b w:val="0"/>
          <w:szCs w:val="24"/>
        </w:rPr>
        <w:t xml:space="preserve">   </w:t>
      </w:r>
      <w:r w:rsidRPr="00951AB1">
        <w:rPr>
          <w:rFonts w:eastAsia="Times New Roman" w:cs="Times New Roman"/>
          <w:szCs w:val="24"/>
        </w:rPr>
        <w:t>Base normativa y periodo cubierto</w:t>
      </w:r>
      <w:bookmarkEnd w:id="33"/>
      <w:bookmarkEnd w:id="34"/>
      <w:bookmarkEnd w:id="35"/>
      <w:bookmarkEnd w:id="36"/>
      <w:bookmarkEnd w:id="37"/>
      <w:bookmarkEnd w:id="38"/>
      <w:bookmarkEnd w:id="39"/>
      <w:bookmarkEnd w:id="40"/>
      <w:bookmarkEnd w:id="41"/>
      <w:bookmarkEnd w:id="42"/>
      <w:bookmarkEnd w:id="43"/>
    </w:p>
    <w:p w14:paraId="63A41D29" w14:textId="77777777" w:rsidR="00FE6C47" w:rsidRPr="00951AB1" w:rsidRDefault="00FE6C47" w:rsidP="000A5389">
      <w:pPr>
        <w:spacing w:line="240" w:lineRule="auto"/>
        <w:ind w:left="-20" w:right="-20"/>
        <w:rPr>
          <w:rFonts w:cs="Times New Roman"/>
          <w:szCs w:val="24"/>
        </w:rPr>
      </w:pPr>
      <w:r w:rsidRPr="00951AB1">
        <w:rPr>
          <w:rFonts w:eastAsia="Times New Roman" w:cs="Times New Roman"/>
          <w:b/>
          <w:bCs/>
          <w:szCs w:val="24"/>
        </w:rPr>
        <w:t xml:space="preserve"> </w:t>
      </w:r>
    </w:p>
    <w:p w14:paraId="29FFA5A2" w14:textId="77777777" w:rsidR="00FE6C47" w:rsidRDefault="00FE6C47" w:rsidP="000A5389">
      <w:pPr>
        <w:spacing w:line="240" w:lineRule="auto"/>
        <w:ind w:left="-20" w:right="-20"/>
        <w:rPr>
          <w:rFonts w:eastAsia="Times New Roman" w:cs="Times New Roman"/>
          <w:szCs w:val="24"/>
        </w:rPr>
      </w:pPr>
      <w:r w:rsidRPr="00951AB1">
        <w:rPr>
          <w:rFonts w:eastAsia="Times New Roman" w:cs="Times New Roman"/>
          <w:szCs w:val="24"/>
        </w:rPr>
        <w:t xml:space="preserve">El área de contabilidad hace parte del Grupo Interno de Trabajo Administrativo y Financiero de la Vicepresidencia de Gestión Corporativa, su función principal es efectuar el análisis, clasificación y registro de la información financiera con el fin de emitir los estados financieros de la Agencia.  </w:t>
      </w:r>
    </w:p>
    <w:p w14:paraId="41226BC9" w14:textId="77777777" w:rsidR="002D0A3A" w:rsidRPr="00951AB1" w:rsidRDefault="002D0A3A" w:rsidP="000A5389">
      <w:pPr>
        <w:spacing w:line="240" w:lineRule="auto"/>
        <w:ind w:left="-20" w:right="-20"/>
        <w:rPr>
          <w:rFonts w:eastAsia="Times New Roman" w:cs="Times New Roman"/>
          <w:szCs w:val="24"/>
        </w:rPr>
      </w:pPr>
    </w:p>
    <w:p w14:paraId="47AEF5DC" w14:textId="5472F4A2" w:rsidR="00FE6C47" w:rsidRDefault="00FE6C47" w:rsidP="000A5389">
      <w:pPr>
        <w:spacing w:line="240" w:lineRule="auto"/>
        <w:ind w:left="-20" w:right="-20"/>
        <w:rPr>
          <w:rFonts w:eastAsia="Times New Roman" w:cs="Times New Roman"/>
          <w:szCs w:val="24"/>
        </w:rPr>
      </w:pPr>
      <w:r w:rsidRPr="00951AB1">
        <w:rPr>
          <w:rFonts w:eastAsia="Times New Roman" w:cs="Times New Roman"/>
          <w:szCs w:val="24"/>
        </w:rPr>
        <w:lastRenderedPageBreak/>
        <w:t xml:space="preserve">Lo anterior con el objetivo de suministrar información que sea útil a una amplia variedad de usuarios, para la toma y evaluación de las decisiones económicas respecto a la asignación de recursos. Adicionalmente, los Estados Financieros constituyen un medio para la rendición de cuentas de la Agencia por los recursos que le han sido confiados. </w:t>
      </w:r>
    </w:p>
    <w:p w14:paraId="3B62B2D2" w14:textId="77777777" w:rsidR="002D0A3A" w:rsidRPr="00951AB1" w:rsidRDefault="002D0A3A" w:rsidP="000A5389">
      <w:pPr>
        <w:spacing w:line="240" w:lineRule="auto"/>
        <w:ind w:left="-20" w:right="-20"/>
        <w:rPr>
          <w:rFonts w:eastAsia="Times New Roman" w:cs="Times New Roman"/>
          <w:szCs w:val="24"/>
        </w:rPr>
      </w:pPr>
    </w:p>
    <w:p w14:paraId="03BE6F6A" w14:textId="591FDC97" w:rsidR="00FE6C47" w:rsidRDefault="00FE6C47" w:rsidP="000A5389">
      <w:pPr>
        <w:spacing w:line="240" w:lineRule="auto"/>
        <w:ind w:left="-20" w:right="-20"/>
        <w:rPr>
          <w:rFonts w:eastAsia="Times New Roman" w:cs="Times New Roman"/>
          <w:szCs w:val="24"/>
        </w:rPr>
      </w:pPr>
      <w:r w:rsidRPr="00951AB1">
        <w:rPr>
          <w:rFonts w:eastAsia="Times New Roman" w:cs="Times New Roman"/>
          <w:szCs w:val="24"/>
        </w:rPr>
        <w:t xml:space="preserve">Los Estados Financieros, presentados para el periodo </w:t>
      </w:r>
      <w:r w:rsidR="074A00C7" w:rsidRPr="00951AB1">
        <w:rPr>
          <w:rFonts w:eastAsia="Times New Roman" w:cs="Times New Roman"/>
          <w:szCs w:val="24"/>
        </w:rPr>
        <w:t>202</w:t>
      </w:r>
      <w:r w:rsidR="7DCF926D" w:rsidRPr="00951AB1">
        <w:rPr>
          <w:rFonts w:eastAsia="Times New Roman" w:cs="Times New Roman"/>
          <w:szCs w:val="24"/>
        </w:rPr>
        <w:t>5</w:t>
      </w:r>
      <w:r w:rsidRPr="00951AB1">
        <w:rPr>
          <w:rFonts w:eastAsia="Times New Roman" w:cs="Times New Roman"/>
          <w:szCs w:val="24"/>
        </w:rPr>
        <w:t xml:space="preserve">, se expresan en pesos colombianos (COP) de forma comparativa con los del período inmediatamente anterior y comprenden: a) un estado de situación financiera al final del período contable, b) un estado de resultados del período contable, c) un estado de cambios en el patrimonio del período contable, y d) las notas a los Estados Financieros de </w:t>
      </w:r>
      <w:r w:rsidR="64846675" w:rsidRPr="00951AB1">
        <w:rPr>
          <w:rFonts w:eastAsia="Times New Roman" w:cs="Times New Roman"/>
          <w:szCs w:val="24"/>
        </w:rPr>
        <w:t>conformidad</w:t>
      </w:r>
      <w:r w:rsidRPr="00951AB1">
        <w:rPr>
          <w:rFonts w:eastAsia="Times New Roman" w:cs="Times New Roman"/>
          <w:szCs w:val="24"/>
        </w:rPr>
        <w:t xml:space="preserve"> con la Resolución CGN No. </w:t>
      </w:r>
      <w:r w:rsidR="13982DF3" w:rsidRPr="00951AB1">
        <w:rPr>
          <w:rFonts w:eastAsia="Times New Roman" w:cs="Times New Roman"/>
          <w:szCs w:val="24"/>
        </w:rPr>
        <w:t>3</w:t>
      </w:r>
      <w:r w:rsidR="14E0ECBC" w:rsidRPr="00951AB1">
        <w:rPr>
          <w:rFonts w:eastAsia="Times New Roman" w:cs="Times New Roman"/>
          <w:szCs w:val="24"/>
        </w:rPr>
        <w:t>3</w:t>
      </w:r>
      <w:r w:rsidR="3FF76DA4" w:rsidRPr="00951AB1">
        <w:rPr>
          <w:rFonts w:eastAsia="Times New Roman" w:cs="Times New Roman"/>
          <w:szCs w:val="24"/>
        </w:rPr>
        <w:t>9</w:t>
      </w:r>
      <w:r w:rsidR="074A00C7" w:rsidRPr="00951AB1">
        <w:rPr>
          <w:rFonts w:eastAsia="Times New Roman" w:cs="Times New Roman"/>
          <w:szCs w:val="24"/>
        </w:rPr>
        <w:t xml:space="preserve"> de</w:t>
      </w:r>
      <w:r w:rsidR="00939618" w:rsidRPr="00951AB1">
        <w:rPr>
          <w:rFonts w:eastAsia="Times New Roman" w:cs="Times New Roman"/>
          <w:szCs w:val="24"/>
        </w:rPr>
        <w:t>l 28 de noviembre</w:t>
      </w:r>
      <w:r w:rsidR="074A00C7" w:rsidRPr="00951AB1">
        <w:rPr>
          <w:rFonts w:eastAsia="Times New Roman" w:cs="Times New Roman"/>
          <w:szCs w:val="24"/>
        </w:rPr>
        <w:t xml:space="preserve"> 202</w:t>
      </w:r>
      <w:r w:rsidR="4F89D1C5" w:rsidRPr="00951AB1">
        <w:rPr>
          <w:rFonts w:eastAsia="Times New Roman" w:cs="Times New Roman"/>
          <w:szCs w:val="24"/>
        </w:rPr>
        <w:t>5</w:t>
      </w:r>
      <w:r w:rsidR="074A00C7" w:rsidRPr="00951AB1">
        <w:rPr>
          <w:rFonts w:eastAsia="Times New Roman" w:cs="Times New Roman"/>
          <w:szCs w:val="24"/>
        </w:rPr>
        <w:t>.</w:t>
      </w:r>
    </w:p>
    <w:p w14:paraId="62C99BF7" w14:textId="77777777" w:rsidR="002D0A3A" w:rsidRPr="00951AB1" w:rsidRDefault="002D0A3A" w:rsidP="000A5389">
      <w:pPr>
        <w:spacing w:line="240" w:lineRule="auto"/>
        <w:ind w:left="-20" w:right="-20"/>
        <w:rPr>
          <w:rFonts w:eastAsia="Times New Roman" w:cs="Times New Roman"/>
          <w:szCs w:val="24"/>
        </w:rPr>
      </w:pPr>
    </w:p>
    <w:p w14:paraId="0E13873D" w14:textId="0DD61D0D" w:rsidR="00FE6C47" w:rsidRPr="00951AB1" w:rsidRDefault="00FE6C47" w:rsidP="000A5389">
      <w:pPr>
        <w:spacing w:line="240" w:lineRule="auto"/>
        <w:ind w:left="-20" w:right="-20"/>
        <w:rPr>
          <w:rFonts w:eastAsia="Times New Roman" w:cs="Times New Roman"/>
          <w:szCs w:val="24"/>
        </w:rPr>
      </w:pPr>
      <w:r w:rsidRPr="00951AB1">
        <w:rPr>
          <w:rFonts w:eastAsia="Times New Roman" w:cs="Times New Roman"/>
          <w:szCs w:val="24"/>
        </w:rPr>
        <w:t xml:space="preserve">La elaboración del juego completo de los Estados Financieros de la Agencia, se prepararon bajo los parámetros y directrices establecidos por la Contaduría General de la Nación, para las </w:t>
      </w:r>
      <w:r w:rsidR="481327A4" w:rsidRPr="00951AB1">
        <w:rPr>
          <w:rFonts w:eastAsia="Times New Roman" w:cs="Times New Roman"/>
          <w:szCs w:val="24"/>
        </w:rPr>
        <w:t>E</w:t>
      </w:r>
      <w:r w:rsidR="074A00C7" w:rsidRPr="00951AB1">
        <w:rPr>
          <w:rFonts w:eastAsia="Times New Roman" w:cs="Times New Roman"/>
          <w:szCs w:val="24"/>
        </w:rPr>
        <w:t>ntidades</w:t>
      </w:r>
      <w:r w:rsidRPr="00951AB1">
        <w:rPr>
          <w:rFonts w:eastAsia="Times New Roman" w:cs="Times New Roman"/>
          <w:szCs w:val="24"/>
        </w:rPr>
        <w:t xml:space="preserve"> de </w:t>
      </w:r>
      <w:r w:rsidR="42EFDDDE" w:rsidRPr="00951AB1">
        <w:rPr>
          <w:rFonts w:eastAsia="Times New Roman" w:cs="Times New Roman"/>
          <w:szCs w:val="24"/>
        </w:rPr>
        <w:t>G</w:t>
      </w:r>
      <w:r w:rsidR="074A00C7" w:rsidRPr="00951AB1">
        <w:rPr>
          <w:rFonts w:eastAsia="Times New Roman" w:cs="Times New Roman"/>
          <w:szCs w:val="24"/>
        </w:rPr>
        <w:t>obierno</w:t>
      </w:r>
      <w:r w:rsidRPr="00951AB1">
        <w:rPr>
          <w:rFonts w:eastAsia="Times New Roman" w:cs="Times New Roman"/>
          <w:szCs w:val="24"/>
        </w:rPr>
        <w:t xml:space="preserve"> en las Resoluciones enunciadas en el numeral 1.2 -Declaración de cumplimiento del presente informe y, son empleadas como referente teórico garantizando la totalidad de los registros de las operaciones originadas en las diferentes áreas que integran la Agencia. Los Estados Financieros son aprobados por el Consejo Directivo de la Entidad, para lo cual se realizará entre los meses de marzo y abril de 202</w:t>
      </w:r>
      <w:r w:rsidR="004E6533" w:rsidRPr="00951AB1">
        <w:rPr>
          <w:rFonts w:eastAsia="Times New Roman" w:cs="Times New Roman"/>
          <w:szCs w:val="24"/>
        </w:rPr>
        <w:t>6</w:t>
      </w:r>
      <w:r w:rsidRPr="00951AB1">
        <w:rPr>
          <w:rFonts w:eastAsia="Times New Roman" w:cs="Times New Roman"/>
          <w:szCs w:val="24"/>
        </w:rPr>
        <w:t>.</w:t>
      </w:r>
    </w:p>
    <w:p w14:paraId="1E37D826" w14:textId="77777777" w:rsidR="00FE6C47" w:rsidRPr="00951AB1" w:rsidRDefault="00FE6C47" w:rsidP="000A5389">
      <w:pPr>
        <w:spacing w:line="240" w:lineRule="auto"/>
        <w:ind w:left="-20" w:right="-20"/>
        <w:rPr>
          <w:rFonts w:cs="Times New Roman"/>
          <w:szCs w:val="24"/>
        </w:rPr>
      </w:pPr>
      <w:r w:rsidRPr="00951AB1">
        <w:rPr>
          <w:rFonts w:eastAsia="Times New Roman" w:cs="Times New Roman"/>
          <w:b/>
          <w:bCs/>
          <w:szCs w:val="24"/>
        </w:rPr>
        <w:t xml:space="preserve"> </w:t>
      </w:r>
    </w:p>
    <w:p w14:paraId="5F6BEAFE" w14:textId="512D5501" w:rsidR="00FE6C47" w:rsidRPr="00951AB1" w:rsidRDefault="00FE6C47" w:rsidP="000A5389">
      <w:pPr>
        <w:pStyle w:val="Ttulo2"/>
        <w:numPr>
          <w:ilvl w:val="0"/>
          <w:numId w:val="0"/>
        </w:numPr>
        <w:spacing w:line="240" w:lineRule="auto"/>
        <w:ind w:right="-20"/>
        <w:rPr>
          <w:rFonts w:eastAsia="Times New Roman" w:cs="Times New Roman"/>
          <w:szCs w:val="24"/>
        </w:rPr>
      </w:pPr>
      <w:bookmarkStart w:id="44" w:name="_Toc191369481"/>
      <w:bookmarkStart w:id="45" w:name="_Toc191456811"/>
      <w:bookmarkStart w:id="46" w:name="_Toc191456921"/>
      <w:bookmarkStart w:id="47" w:name="_Toc191457031"/>
      <w:bookmarkStart w:id="48" w:name="_Toc191475658"/>
      <w:bookmarkStart w:id="49" w:name="_Toc191475767"/>
      <w:bookmarkStart w:id="50" w:name="_Toc191475876"/>
      <w:bookmarkStart w:id="51" w:name="_Toc191475399"/>
      <w:bookmarkStart w:id="52" w:name="_Toc191505775"/>
      <w:bookmarkStart w:id="53" w:name="_Toc222824087"/>
      <w:bookmarkStart w:id="54" w:name="_Toc222955453"/>
      <w:r w:rsidRPr="00951AB1">
        <w:rPr>
          <w:rFonts w:eastAsia="Times New Roman" w:cs="Times New Roman"/>
          <w:szCs w:val="24"/>
        </w:rPr>
        <w:t>1.</w:t>
      </w:r>
      <w:r w:rsidR="003050F4" w:rsidRPr="00951AB1">
        <w:rPr>
          <w:rFonts w:eastAsia="Times New Roman" w:cs="Times New Roman"/>
          <w:szCs w:val="24"/>
        </w:rPr>
        <w:t>4</w:t>
      </w:r>
      <w:r w:rsidRPr="00951AB1">
        <w:rPr>
          <w:rFonts w:eastAsia="Times New Roman" w:cs="Times New Roman"/>
          <w:szCs w:val="24"/>
        </w:rPr>
        <w:t>.</w:t>
      </w:r>
      <w:r w:rsidRPr="00951AB1">
        <w:rPr>
          <w:rFonts w:eastAsia="Times New Roman" w:cs="Times New Roman"/>
          <w:b w:val="0"/>
          <w:szCs w:val="24"/>
        </w:rPr>
        <w:t xml:space="preserve">   </w:t>
      </w:r>
      <w:r w:rsidRPr="00951AB1">
        <w:rPr>
          <w:rFonts w:eastAsia="Times New Roman" w:cs="Times New Roman"/>
          <w:szCs w:val="24"/>
        </w:rPr>
        <w:t>Forma de Organización y/o Cobertura</w:t>
      </w:r>
      <w:bookmarkEnd w:id="44"/>
      <w:bookmarkEnd w:id="45"/>
      <w:bookmarkEnd w:id="46"/>
      <w:bookmarkEnd w:id="47"/>
      <w:bookmarkEnd w:id="48"/>
      <w:bookmarkEnd w:id="49"/>
      <w:bookmarkEnd w:id="50"/>
      <w:bookmarkEnd w:id="51"/>
      <w:bookmarkEnd w:id="52"/>
      <w:bookmarkEnd w:id="53"/>
      <w:bookmarkEnd w:id="54"/>
    </w:p>
    <w:p w14:paraId="4A22ED29" w14:textId="77777777" w:rsidR="00FE6C47" w:rsidRPr="00951AB1" w:rsidRDefault="00FE6C47" w:rsidP="000A5389">
      <w:pPr>
        <w:spacing w:line="240" w:lineRule="auto"/>
        <w:ind w:left="-20" w:right="-20"/>
        <w:rPr>
          <w:rFonts w:cs="Times New Roman"/>
          <w:szCs w:val="24"/>
        </w:rPr>
      </w:pPr>
      <w:r w:rsidRPr="00951AB1">
        <w:rPr>
          <w:rFonts w:eastAsia="Times New Roman" w:cs="Times New Roman"/>
          <w:b/>
          <w:bCs/>
          <w:szCs w:val="24"/>
        </w:rPr>
        <w:t xml:space="preserve"> </w:t>
      </w:r>
    </w:p>
    <w:p w14:paraId="38F12466" w14:textId="5EBC38F6" w:rsidR="00FE6C47" w:rsidRPr="00951AB1" w:rsidRDefault="00FE6C47" w:rsidP="000A5389">
      <w:pPr>
        <w:spacing w:line="240" w:lineRule="auto"/>
        <w:ind w:left="-20" w:right="-20"/>
        <w:rPr>
          <w:rFonts w:cs="Times New Roman"/>
          <w:szCs w:val="24"/>
        </w:rPr>
      </w:pPr>
      <w:r w:rsidRPr="00951AB1">
        <w:rPr>
          <w:rFonts w:eastAsia="Times New Roman" w:cs="Times New Roman"/>
          <w:szCs w:val="24"/>
        </w:rPr>
        <w:t xml:space="preserve">En el área contable reposan todos los soportes y documentos fuentes para el registro de la información correspondiente al periodo </w:t>
      </w:r>
      <w:r w:rsidR="074A00C7" w:rsidRPr="00951AB1">
        <w:rPr>
          <w:rFonts w:eastAsia="Times New Roman" w:cs="Times New Roman"/>
          <w:szCs w:val="24"/>
        </w:rPr>
        <w:t>202</w:t>
      </w:r>
      <w:r w:rsidR="56B0C800" w:rsidRPr="00951AB1">
        <w:rPr>
          <w:rFonts w:eastAsia="Times New Roman" w:cs="Times New Roman"/>
          <w:szCs w:val="24"/>
        </w:rPr>
        <w:t>5</w:t>
      </w:r>
      <w:r w:rsidRPr="00951AB1">
        <w:rPr>
          <w:rFonts w:eastAsia="Times New Roman" w:cs="Times New Roman"/>
          <w:szCs w:val="24"/>
        </w:rPr>
        <w:t>.</w:t>
      </w:r>
    </w:p>
    <w:p w14:paraId="160E231E" w14:textId="77777777" w:rsidR="00FE6C47" w:rsidRPr="00951AB1" w:rsidRDefault="00FE6C47" w:rsidP="000A5389">
      <w:pPr>
        <w:spacing w:line="240" w:lineRule="auto"/>
        <w:ind w:left="-20" w:right="-20"/>
        <w:rPr>
          <w:rFonts w:cs="Times New Roman"/>
          <w:szCs w:val="24"/>
        </w:rPr>
      </w:pPr>
      <w:r w:rsidRPr="00951AB1">
        <w:rPr>
          <w:rFonts w:eastAsia="Times New Roman" w:cs="Times New Roman"/>
          <w:szCs w:val="24"/>
        </w:rPr>
        <w:t xml:space="preserve"> </w:t>
      </w:r>
    </w:p>
    <w:p w14:paraId="3765E302" w14:textId="208AA772" w:rsidR="00FE6C47" w:rsidRPr="00951AB1" w:rsidRDefault="00FE6C47" w:rsidP="000A5389">
      <w:pPr>
        <w:spacing w:line="240" w:lineRule="auto"/>
        <w:ind w:left="-20" w:right="-23"/>
        <w:rPr>
          <w:rFonts w:cs="Times New Roman"/>
          <w:szCs w:val="24"/>
        </w:rPr>
      </w:pPr>
      <w:r w:rsidRPr="2A085367">
        <w:rPr>
          <w:rFonts w:eastAsia="Times New Roman" w:cs="Times New Roman"/>
          <w:szCs w:val="24"/>
        </w:rPr>
        <w:t>Adicionalmente en lo pertinente a la información contable se precisa que:</w:t>
      </w:r>
    </w:p>
    <w:p w14:paraId="4BC64946" w14:textId="0ECC4FA7" w:rsidR="2A085367" w:rsidRDefault="2A085367" w:rsidP="000A5389">
      <w:pPr>
        <w:spacing w:line="240" w:lineRule="auto"/>
        <w:ind w:left="-20" w:right="-23"/>
        <w:rPr>
          <w:rFonts w:eastAsia="Times New Roman" w:cs="Times New Roman"/>
          <w:szCs w:val="24"/>
        </w:rPr>
      </w:pPr>
    </w:p>
    <w:p w14:paraId="7363808A" w14:textId="711FFA6F" w:rsidR="003050F4" w:rsidRPr="00951AB1" w:rsidRDefault="00FE6C47" w:rsidP="000A5389">
      <w:pPr>
        <w:pStyle w:val="Prrafodelista"/>
        <w:numPr>
          <w:ilvl w:val="0"/>
          <w:numId w:val="101"/>
        </w:numPr>
        <w:spacing w:line="240" w:lineRule="auto"/>
        <w:ind w:right="-23"/>
        <w:rPr>
          <w:rFonts w:eastAsia="Times New Roman" w:cs="Times New Roman"/>
          <w:szCs w:val="24"/>
        </w:rPr>
      </w:pPr>
      <w:r w:rsidRPr="00951AB1">
        <w:rPr>
          <w:rFonts w:eastAsia="Times New Roman" w:cs="Times New Roman"/>
          <w:szCs w:val="24"/>
        </w:rPr>
        <w:t>Los órganos ejecutores del Presupuesto Nacional obligatoriamente deben registrar en línea sus transacciones en el en el Sistema Integrado de Información Financiera SIIF – Nación. La información allí registrada, es la fuente válida para la generación de información contable básica para la obtención de los informes y Estados Financieros requeridos por la Contaduría General de la Nación y otros entes de control.</w:t>
      </w:r>
    </w:p>
    <w:p w14:paraId="0405F3C9" w14:textId="292E4B8F" w:rsidR="003050F4" w:rsidRPr="00951AB1" w:rsidRDefault="00FE6C47" w:rsidP="000A5389">
      <w:pPr>
        <w:pStyle w:val="Prrafodelista"/>
        <w:numPr>
          <w:ilvl w:val="0"/>
          <w:numId w:val="101"/>
        </w:numPr>
        <w:spacing w:line="240" w:lineRule="auto"/>
        <w:ind w:right="-23"/>
        <w:rPr>
          <w:rFonts w:eastAsia="Times New Roman" w:cs="Times New Roman"/>
          <w:szCs w:val="24"/>
        </w:rPr>
      </w:pPr>
      <w:r w:rsidRPr="00951AB1">
        <w:rPr>
          <w:rFonts w:eastAsia="Times New Roman" w:cs="Times New Roman"/>
          <w:szCs w:val="24"/>
        </w:rPr>
        <w:t>Los Estados Financieros de la Agencia, se han generado través del aplicativo SIIF-Nación II de conformidad con la Circular Externa No. 028 del 30 de agosto de 2012 del Ministerio de Hacienda y Crédito Público, donde se estableció que la contabilidad oficial que se reporte al CHIP será la registrada en dicho aplicativo.</w:t>
      </w:r>
    </w:p>
    <w:p w14:paraId="31A76F62" w14:textId="77777777" w:rsidR="00FE6C47" w:rsidRPr="00951AB1" w:rsidRDefault="00FE6C47" w:rsidP="000A5389">
      <w:pPr>
        <w:pStyle w:val="Prrafodelista"/>
        <w:numPr>
          <w:ilvl w:val="0"/>
          <w:numId w:val="101"/>
        </w:numPr>
        <w:spacing w:line="240" w:lineRule="auto"/>
        <w:ind w:right="-23"/>
        <w:rPr>
          <w:rFonts w:eastAsia="Times New Roman" w:cs="Times New Roman"/>
          <w:szCs w:val="24"/>
        </w:rPr>
      </w:pPr>
      <w:r w:rsidRPr="00951AB1">
        <w:rPr>
          <w:rFonts w:eastAsia="Times New Roman" w:cs="Times New Roman"/>
          <w:szCs w:val="24"/>
        </w:rPr>
        <w:t xml:space="preserve">Con fundamento en lo dispuesto en el artículo 6 del Decreto 2674 de 2012, la Agencia utiliza el Sistema de Información Financiera -SINFAD, como auxiliar de los procesos contables de: nómina, almacén y depreciaciones. </w:t>
      </w:r>
    </w:p>
    <w:p w14:paraId="7F68D817" w14:textId="77777777" w:rsidR="00FE6C47" w:rsidRPr="00951AB1" w:rsidRDefault="00FE6C47" w:rsidP="000A5389">
      <w:pPr>
        <w:spacing w:line="240" w:lineRule="auto"/>
        <w:ind w:left="-20" w:right="-23"/>
        <w:rPr>
          <w:rFonts w:cs="Times New Roman"/>
          <w:szCs w:val="24"/>
        </w:rPr>
      </w:pPr>
      <w:r w:rsidRPr="00951AB1">
        <w:rPr>
          <w:rFonts w:eastAsia="Times New Roman" w:cs="Times New Roman"/>
          <w:szCs w:val="24"/>
        </w:rPr>
        <w:t xml:space="preserve"> </w:t>
      </w:r>
    </w:p>
    <w:p w14:paraId="7436F438" w14:textId="77777777" w:rsidR="00FE6C47" w:rsidRPr="00951AB1" w:rsidRDefault="00FE6C47" w:rsidP="000A5389">
      <w:pPr>
        <w:spacing w:line="240" w:lineRule="auto"/>
        <w:ind w:left="-20" w:right="-23"/>
        <w:rPr>
          <w:rFonts w:cs="Times New Roman"/>
          <w:szCs w:val="24"/>
        </w:rPr>
      </w:pPr>
      <w:r w:rsidRPr="00951AB1">
        <w:rPr>
          <w:rFonts w:eastAsia="Times New Roman" w:cs="Times New Roman"/>
          <w:szCs w:val="24"/>
        </w:rPr>
        <w:t xml:space="preserve">Finalmente, se indica que la Agencia cuenta con un plan de contingencia para el reporte de información y definió como primera medida, para restablecer la información contable y transmitirla vía CHIP, dentro de los plazos y con los requisitos establecidos por la Contaduría General de la Nación, que cuando el sistema SIIF no permita el acceso a la información del </w:t>
      </w:r>
      <w:r w:rsidRPr="00951AB1">
        <w:rPr>
          <w:rFonts w:eastAsia="Times New Roman" w:cs="Times New Roman"/>
          <w:szCs w:val="24"/>
        </w:rPr>
        <w:lastRenderedPageBreak/>
        <w:t>macroproceso contable, la Agencia generará dos días antes de cada cierre el libro diario del sistema SIIF y con este generará los informes a reportar. Como segunda medida de contingencia, se optó por asignar a los integrantes del Equipo de Contabilidad tareas específicas, que permitan mantener los saldos de las cuentas y subcuentas debidamente conciliados y controlados.</w:t>
      </w:r>
    </w:p>
    <w:p w14:paraId="7B4410EF" w14:textId="77777777" w:rsidR="00FE6C47" w:rsidRPr="00951AB1" w:rsidRDefault="00FE6C47" w:rsidP="000A5389">
      <w:pPr>
        <w:spacing w:line="240" w:lineRule="auto"/>
        <w:ind w:left="-20" w:right="-23"/>
        <w:rPr>
          <w:rFonts w:cs="Times New Roman"/>
          <w:szCs w:val="24"/>
        </w:rPr>
      </w:pPr>
      <w:r w:rsidRPr="00951AB1">
        <w:rPr>
          <w:rFonts w:eastAsia="Times New Roman" w:cs="Times New Roman"/>
          <w:szCs w:val="24"/>
        </w:rPr>
        <w:t xml:space="preserve"> </w:t>
      </w:r>
    </w:p>
    <w:p w14:paraId="7D4AA61E" w14:textId="0EBFD815" w:rsidR="00FE6C47" w:rsidRPr="00951AB1" w:rsidRDefault="00FE6C47" w:rsidP="000A5389">
      <w:pPr>
        <w:spacing w:line="240" w:lineRule="auto"/>
        <w:ind w:left="-20" w:right="-23"/>
        <w:rPr>
          <w:rFonts w:cs="Times New Roman"/>
          <w:szCs w:val="24"/>
        </w:rPr>
      </w:pPr>
      <w:r w:rsidRPr="00951AB1">
        <w:rPr>
          <w:rFonts w:eastAsia="Times New Roman" w:cs="Times New Roman"/>
          <w:szCs w:val="24"/>
        </w:rPr>
        <w:t xml:space="preserve">Para el periodo </w:t>
      </w:r>
      <w:r w:rsidR="074A00C7" w:rsidRPr="00951AB1">
        <w:rPr>
          <w:rFonts w:eastAsia="Times New Roman" w:cs="Times New Roman"/>
          <w:szCs w:val="24"/>
        </w:rPr>
        <w:t>202</w:t>
      </w:r>
      <w:r w:rsidR="05F6C422" w:rsidRPr="00951AB1">
        <w:rPr>
          <w:rFonts w:eastAsia="Times New Roman" w:cs="Times New Roman"/>
          <w:szCs w:val="24"/>
        </w:rPr>
        <w:t>5</w:t>
      </w:r>
      <w:r w:rsidRPr="00951AB1">
        <w:rPr>
          <w:rFonts w:eastAsia="Times New Roman" w:cs="Times New Roman"/>
          <w:szCs w:val="24"/>
        </w:rPr>
        <w:t>, la Agencia no agrego información, por lo tanto, sus Estados Financieros no contienen</w:t>
      </w:r>
      <w:r w:rsidR="028F1D72" w:rsidRPr="00951AB1">
        <w:rPr>
          <w:rFonts w:eastAsia="Times New Roman" w:cs="Times New Roman"/>
          <w:szCs w:val="24"/>
        </w:rPr>
        <w:t>,</w:t>
      </w:r>
      <w:r w:rsidRPr="00951AB1">
        <w:rPr>
          <w:rFonts w:eastAsia="Times New Roman" w:cs="Times New Roman"/>
          <w:szCs w:val="24"/>
        </w:rPr>
        <w:t xml:space="preserve"> ni consolidan información de unidades diferentes y/o fondos sin personería jurídica.</w:t>
      </w:r>
    </w:p>
    <w:p w14:paraId="33D3D27F" w14:textId="77777777" w:rsidR="00FE6C47" w:rsidRPr="00951AB1" w:rsidRDefault="00FE6C47" w:rsidP="000A5389">
      <w:pPr>
        <w:spacing w:line="240" w:lineRule="auto"/>
        <w:ind w:left="-20" w:right="-20"/>
        <w:rPr>
          <w:rFonts w:cs="Times New Roman"/>
          <w:szCs w:val="24"/>
        </w:rPr>
      </w:pPr>
      <w:r w:rsidRPr="00951AB1">
        <w:rPr>
          <w:rFonts w:eastAsia="Times New Roman" w:cs="Times New Roman"/>
          <w:szCs w:val="24"/>
        </w:rPr>
        <w:t xml:space="preserve"> </w:t>
      </w:r>
    </w:p>
    <w:p w14:paraId="603F26E1" w14:textId="77777777" w:rsidR="00FE6C47" w:rsidRPr="00951AB1" w:rsidRDefault="00FE6C47" w:rsidP="000A5389">
      <w:pPr>
        <w:pStyle w:val="Ttulo1"/>
        <w:spacing w:line="240" w:lineRule="auto"/>
        <w:ind w:left="-20" w:right="-20"/>
        <w:rPr>
          <w:rFonts w:cs="Times New Roman"/>
          <w:sz w:val="24"/>
          <w:szCs w:val="24"/>
        </w:rPr>
      </w:pPr>
      <w:bookmarkStart w:id="55" w:name="_Toc191369482"/>
      <w:bookmarkStart w:id="56" w:name="_Toc191456812"/>
      <w:bookmarkStart w:id="57" w:name="_Toc191456922"/>
      <w:bookmarkStart w:id="58" w:name="_Toc191457032"/>
      <w:bookmarkStart w:id="59" w:name="_Toc191475659"/>
      <w:bookmarkStart w:id="60" w:name="_Toc191475768"/>
      <w:bookmarkStart w:id="61" w:name="_Toc191475877"/>
      <w:bookmarkStart w:id="62" w:name="_Toc191475400"/>
      <w:bookmarkStart w:id="63" w:name="_Toc191505776"/>
      <w:bookmarkStart w:id="64" w:name="_Toc222824088"/>
      <w:bookmarkStart w:id="65" w:name="_Toc222955454"/>
      <w:r w:rsidRPr="00951AB1">
        <w:rPr>
          <w:rFonts w:eastAsia="Times New Roman" w:cs="Times New Roman"/>
          <w:sz w:val="24"/>
          <w:szCs w:val="24"/>
        </w:rPr>
        <w:t>NOTA 2. BASES DE MEDICIÓN Y PRESENTACIÓN UTILIZADAS</w:t>
      </w:r>
      <w:bookmarkEnd w:id="55"/>
      <w:bookmarkEnd w:id="56"/>
      <w:bookmarkEnd w:id="57"/>
      <w:bookmarkEnd w:id="58"/>
      <w:bookmarkEnd w:id="59"/>
      <w:bookmarkEnd w:id="60"/>
      <w:bookmarkEnd w:id="61"/>
      <w:bookmarkEnd w:id="62"/>
      <w:bookmarkEnd w:id="63"/>
      <w:bookmarkEnd w:id="64"/>
      <w:bookmarkEnd w:id="65"/>
    </w:p>
    <w:p w14:paraId="71C37049" w14:textId="77777777" w:rsidR="00FE6C47" w:rsidRPr="00951AB1" w:rsidRDefault="00FE6C47" w:rsidP="000A5389">
      <w:pPr>
        <w:spacing w:line="240" w:lineRule="auto"/>
        <w:ind w:left="-20" w:right="-20"/>
        <w:rPr>
          <w:rFonts w:cs="Times New Roman"/>
          <w:szCs w:val="24"/>
        </w:rPr>
      </w:pPr>
      <w:r w:rsidRPr="00951AB1">
        <w:rPr>
          <w:rFonts w:eastAsia="Times New Roman" w:cs="Times New Roman"/>
          <w:szCs w:val="24"/>
        </w:rPr>
        <w:t xml:space="preserve"> </w:t>
      </w:r>
    </w:p>
    <w:p w14:paraId="288D19C6" w14:textId="39162656" w:rsidR="00FE6C47" w:rsidRPr="00951AB1" w:rsidRDefault="00FE6C47" w:rsidP="000A5389">
      <w:pPr>
        <w:spacing w:line="240" w:lineRule="auto"/>
        <w:ind w:left="-20" w:right="-20"/>
        <w:rPr>
          <w:rFonts w:cs="Times New Roman"/>
          <w:szCs w:val="24"/>
        </w:rPr>
      </w:pPr>
      <w:r w:rsidRPr="00951AB1">
        <w:rPr>
          <w:rFonts w:eastAsia="Times New Roman" w:cs="Times New Roman"/>
          <w:szCs w:val="24"/>
        </w:rPr>
        <w:t xml:space="preserve">Para obtener los estados financieros, se procesan los datos provenientes de los hechos económicos de acuerdo con lo indicado en el Marco Normativo para Entidades de Gobierno y las políticas contables de la Agencia. De esta manera, el proceso de transformación de los datos se lleva a cabo mediante el reconocimiento, la medición y la revelación de los hechos económicos. </w:t>
      </w:r>
    </w:p>
    <w:p w14:paraId="482276A7" w14:textId="77777777" w:rsidR="00FE6C47" w:rsidRPr="00951AB1" w:rsidRDefault="00FE6C47" w:rsidP="000A5389">
      <w:pPr>
        <w:spacing w:line="240" w:lineRule="auto"/>
        <w:ind w:left="-20" w:right="-20"/>
        <w:rPr>
          <w:rFonts w:cs="Times New Roman"/>
          <w:szCs w:val="24"/>
        </w:rPr>
      </w:pPr>
      <w:r w:rsidRPr="00951AB1">
        <w:rPr>
          <w:rFonts w:eastAsia="Times New Roman" w:cs="Times New Roman"/>
          <w:szCs w:val="24"/>
        </w:rPr>
        <w:t>A continuación, se detallan las bases de medición y presentación utilizadas:</w:t>
      </w:r>
    </w:p>
    <w:p w14:paraId="6D2EC792" w14:textId="77777777" w:rsidR="00FE6C47" w:rsidRPr="00951AB1" w:rsidRDefault="00FE6C47" w:rsidP="000A5389">
      <w:pPr>
        <w:spacing w:line="240" w:lineRule="auto"/>
        <w:ind w:left="-20" w:right="-20"/>
        <w:rPr>
          <w:rFonts w:cs="Times New Roman"/>
          <w:szCs w:val="24"/>
        </w:rPr>
      </w:pPr>
      <w:r w:rsidRPr="00951AB1">
        <w:rPr>
          <w:rFonts w:eastAsia="Times New Roman" w:cs="Times New Roman"/>
          <w:szCs w:val="24"/>
        </w:rPr>
        <w:t xml:space="preserve"> </w:t>
      </w:r>
    </w:p>
    <w:p w14:paraId="36AB2340" w14:textId="46EA6D14" w:rsidR="00FE6C47" w:rsidRPr="00951AB1" w:rsidRDefault="00FE6C47" w:rsidP="000A5389">
      <w:pPr>
        <w:pStyle w:val="Ttulo2"/>
        <w:numPr>
          <w:ilvl w:val="0"/>
          <w:numId w:val="0"/>
        </w:numPr>
        <w:spacing w:line="240" w:lineRule="auto"/>
        <w:ind w:right="-20"/>
        <w:rPr>
          <w:rFonts w:eastAsia="Times New Roman" w:cs="Times New Roman"/>
          <w:szCs w:val="24"/>
        </w:rPr>
      </w:pPr>
      <w:bookmarkStart w:id="66" w:name="_Toc191369483"/>
      <w:bookmarkStart w:id="67" w:name="_Toc191456813"/>
      <w:bookmarkStart w:id="68" w:name="_Toc191456923"/>
      <w:bookmarkStart w:id="69" w:name="_Toc191457033"/>
      <w:bookmarkStart w:id="70" w:name="_Toc191475660"/>
      <w:bookmarkStart w:id="71" w:name="_Toc191475769"/>
      <w:bookmarkStart w:id="72" w:name="_Toc191475878"/>
      <w:bookmarkStart w:id="73" w:name="_Toc191475401"/>
      <w:bookmarkStart w:id="74" w:name="_Toc191505777"/>
      <w:bookmarkStart w:id="75" w:name="_Toc222824089"/>
      <w:bookmarkStart w:id="76" w:name="_Toc222955455"/>
      <w:r w:rsidRPr="00951AB1">
        <w:rPr>
          <w:rFonts w:eastAsia="Times New Roman" w:cs="Times New Roman"/>
          <w:szCs w:val="24"/>
        </w:rPr>
        <w:t>2.1.</w:t>
      </w:r>
      <w:r w:rsidRPr="00951AB1">
        <w:rPr>
          <w:rFonts w:eastAsia="Times New Roman" w:cs="Times New Roman"/>
          <w:b w:val="0"/>
          <w:szCs w:val="24"/>
        </w:rPr>
        <w:t xml:space="preserve">       </w:t>
      </w:r>
      <w:r w:rsidRPr="00951AB1">
        <w:rPr>
          <w:rFonts w:eastAsia="Times New Roman" w:cs="Times New Roman"/>
          <w:szCs w:val="24"/>
        </w:rPr>
        <w:t>Bases de medición</w:t>
      </w:r>
      <w:bookmarkEnd w:id="66"/>
      <w:bookmarkEnd w:id="67"/>
      <w:bookmarkEnd w:id="68"/>
      <w:bookmarkEnd w:id="69"/>
      <w:bookmarkEnd w:id="70"/>
      <w:bookmarkEnd w:id="71"/>
      <w:bookmarkEnd w:id="72"/>
      <w:bookmarkEnd w:id="73"/>
      <w:bookmarkEnd w:id="74"/>
      <w:bookmarkEnd w:id="75"/>
      <w:bookmarkEnd w:id="76"/>
    </w:p>
    <w:p w14:paraId="5E7427CA" w14:textId="77777777" w:rsidR="00FE6C47" w:rsidRPr="00951AB1" w:rsidRDefault="00FE6C47" w:rsidP="000A5389">
      <w:pPr>
        <w:spacing w:line="240" w:lineRule="auto"/>
        <w:ind w:left="-20" w:right="-20"/>
        <w:rPr>
          <w:rFonts w:cs="Times New Roman"/>
          <w:szCs w:val="24"/>
        </w:rPr>
      </w:pPr>
      <w:r w:rsidRPr="00951AB1">
        <w:rPr>
          <w:rFonts w:eastAsia="Times New Roman" w:cs="Times New Roman"/>
          <w:szCs w:val="24"/>
        </w:rPr>
        <w:t xml:space="preserve"> </w:t>
      </w:r>
    </w:p>
    <w:p w14:paraId="29274C8C" w14:textId="77777777" w:rsidR="00FE6C47" w:rsidRPr="00951AB1" w:rsidRDefault="00FE6C47" w:rsidP="000A5389">
      <w:pPr>
        <w:spacing w:line="240" w:lineRule="auto"/>
        <w:ind w:left="-20" w:right="-20"/>
        <w:rPr>
          <w:rFonts w:cs="Times New Roman"/>
          <w:szCs w:val="24"/>
        </w:rPr>
      </w:pPr>
      <w:r w:rsidRPr="00951AB1">
        <w:rPr>
          <w:rFonts w:eastAsia="Times New Roman" w:cs="Times New Roman"/>
          <w:szCs w:val="24"/>
        </w:rPr>
        <w:t>Los activos y pasivos se medirán al costo, costo amortizado, costo de reposición y valor de mercado. Con respecto a los activos, pasivos y gastos correspondientes a acuerdos de concesión se emplearon técnicas de estimación para establecer el valor y se documentaron mediante guías e instructivo desarrollados para tal efecto.</w:t>
      </w:r>
    </w:p>
    <w:p w14:paraId="63B05A5E" w14:textId="77777777" w:rsidR="00FE6C47" w:rsidRPr="00951AB1" w:rsidRDefault="00FE6C47" w:rsidP="000A5389">
      <w:pPr>
        <w:spacing w:line="240" w:lineRule="auto"/>
        <w:ind w:left="-20" w:right="-20"/>
        <w:rPr>
          <w:rFonts w:cs="Times New Roman"/>
          <w:szCs w:val="24"/>
        </w:rPr>
      </w:pPr>
      <w:r w:rsidRPr="00951AB1">
        <w:rPr>
          <w:rFonts w:eastAsia="Times New Roman" w:cs="Times New Roman"/>
          <w:szCs w:val="24"/>
        </w:rPr>
        <w:t xml:space="preserve"> </w:t>
      </w:r>
    </w:p>
    <w:p w14:paraId="7F87BB3C" w14:textId="77777777" w:rsidR="00FE6C47" w:rsidRPr="00951AB1" w:rsidRDefault="00FE6C47" w:rsidP="000A5389">
      <w:pPr>
        <w:spacing w:line="240" w:lineRule="auto"/>
        <w:ind w:left="-20" w:right="-20"/>
        <w:rPr>
          <w:rFonts w:eastAsia="Times New Roman" w:cs="Times New Roman"/>
          <w:szCs w:val="24"/>
        </w:rPr>
      </w:pPr>
      <w:r w:rsidRPr="00951AB1">
        <w:rPr>
          <w:rFonts w:eastAsia="Times New Roman" w:cs="Times New Roman"/>
          <w:szCs w:val="24"/>
        </w:rPr>
        <w:t>Los gastos, se contabilizan aplicando el principio de causación, es decir, cuando se han perfeccionado las transacciones con terceros y, en consecuencia, se han adquirido derechos y asumido obligaciones o cuando han ocurrido hechos económicos de origen interno o externo que puedan influir en la estructura de los recursos de la entidad. La fuente de registro de las obligaciones y los resultados económicos están clasificados y contabilizados en forma ordenada para que puedan ser verificables. El aplicativo SIIF - Nación cuenta con matrices contables que generan registros automáticos tanto en el momento de la obligación presupuestal de gasto, como en el pago.</w:t>
      </w:r>
    </w:p>
    <w:p w14:paraId="1526ED01" w14:textId="77777777" w:rsidR="00FE6C47" w:rsidRPr="00951AB1" w:rsidRDefault="00FE6C47" w:rsidP="000A5389">
      <w:pPr>
        <w:spacing w:line="240" w:lineRule="auto"/>
        <w:ind w:left="-20" w:right="-20"/>
        <w:rPr>
          <w:rFonts w:cs="Times New Roman"/>
          <w:szCs w:val="24"/>
        </w:rPr>
      </w:pPr>
      <w:r w:rsidRPr="00951AB1">
        <w:rPr>
          <w:rFonts w:eastAsia="Times New Roman" w:cs="Times New Roman"/>
          <w:szCs w:val="24"/>
        </w:rPr>
        <w:t xml:space="preserve"> </w:t>
      </w:r>
    </w:p>
    <w:p w14:paraId="115EEAC0" w14:textId="77777777" w:rsidR="00FE6C47" w:rsidRPr="00951AB1" w:rsidRDefault="00FE6C47" w:rsidP="000A5389">
      <w:pPr>
        <w:spacing w:line="240" w:lineRule="auto"/>
        <w:ind w:left="-20" w:right="-20"/>
        <w:rPr>
          <w:rFonts w:eastAsia="Times New Roman" w:cs="Times New Roman"/>
          <w:szCs w:val="24"/>
        </w:rPr>
      </w:pPr>
      <w:r w:rsidRPr="00951AB1">
        <w:rPr>
          <w:rFonts w:eastAsia="Times New Roman" w:cs="Times New Roman"/>
          <w:szCs w:val="24"/>
        </w:rPr>
        <w:t>Los ingresos generados por la Agencia en desarrollo de su objeto social son contabilizados aplicando el principio de causación y generalmente se realiza el proceso de causación y recaudo simultáneo, a través del cual el aplicativo SIIF Nación, generará tanto el comprobante de causación como el del recaudo. La Agencia Nacional de Infraestructura gestiona sus recursos a través de la Cuenta Única Nacional, administrada por la Dirección General de Crédito Público y Tesoro Nacional.</w:t>
      </w:r>
    </w:p>
    <w:p w14:paraId="016081C0" w14:textId="77777777" w:rsidR="00FE6C47" w:rsidRPr="00951AB1" w:rsidRDefault="00FE6C47" w:rsidP="000A5389">
      <w:pPr>
        <w:spacing w:line="240" w:lineRule="auto"/>
        <w:ind w:left="-20" w:right="-20"/>
        <w:rPr>
          <w:rFonts w:cs="Times New Roman"/>
          <w:szCs w:val="24"/>
        </w:rPr>
      </w:pPr>
      <w:r w:rsidRPr="00951AB1">
        <w:rPr>
          <w:rFonts w:eastAsia="Times New Roman" w:cs="Times New Roman"/>
          <w:szCs w:val="24"/>
        </w:rPr>
        <w:t xml:space="preserve"> </w:t>
      </w:r>
    </w:p>
    <w:p w14:paraId="6E5E467D" w14:textId="77777777" w:rsidR="00FE6C47" w:rsidRPr="00951AB1" w:rsidRDefault="00FE6C47" w:rsidP="000A5389">
      <w:pPr>
        <w:spacing w:line="240" w:lineRule="auto"/>
        <w:ind w:left="-20" w:right="-20"/>
        <w:rPr>
          <w:rFonts w:cs="Times New Roman"/>
          <w:szCs w:val="24"/>
        </w:rPr>
      </w:pPr>
      <w:r w:rsidRPr="00951AB1">
        <w:rPr>
          <w:rFonts w:eastAsia="Times New Roman" w:cs="Times New Roman"/>
          <w:szCs w:val="24"/>
        </w:rPr>
        <w:t xml:space="preserve">Los ingresos que recibe la entidad son trasladados a la Dirección General de Crédito Público y Tesoro Nacional vía SEBRA, los pagos de las obligaciones a cargo de la Agencia se realizan </w:t>
      </w:r>
      <w:r w:rsidRPr="00951AB1">
        <w:rPr>
          <w:rFonts w:eastAsia="Times New Roman" w:cs="Times New Roman"/>
          <w:szCs w:val="24"/>
        </w:rPr>
        <w:lastRenderedPageBreak/>
        <w:t>por parte del Tesoro Nacional al beneficiario final. Eventualmente, y para pagos del ICA y servicios públicos se solicita el traslado a pagaduría.</w:t>
      </w:r>
    </w:p>
    <w:p w14:paraId="31C31BE7" w14:textId="77777777" w:rsidR="00FE6C47" w:rsidRPr="00951AB1" w:rsidRDefault="00FE6C47" w:rsidP="000A5389">
      <w:pPr>
        <w:spacing w:line="240" w:lineRule="auto"/>
        <w:ind w:left="-20" w:right="-20"/>
        <w:rPr>
          <w:rFonts w:cs="Times New Roman"/>
          <w:szCs w:val="24"/>
        </w:rPr>
      </w:pPr>
      <w:r w:rsidRPr="00951AB1">
        <w:rPr>
          <w:rFonts w:eastAsia="Times New Roman" w:cs="Times New Roman"/>
          <w:szCs w:val="24"/>
        </w:rPr>
        <w:t xml:space="preserve"> </w:t>
      </w:r>
    </w:p>
    <w:p w14:paraId="251240EA" w14:textId="77777777" w:rsidR="00FE6C47" w:rsidRPr="00951AB1" w:rsidRDefault="00FE6C47" w:rsidP="000A5389">
      <w:pPr>
        <w:spacing w:line="240" w:lineRule="auto"/>
        <w:ind w:left="-20" w:right="-20"/>
        <w:rPr>
          <w:rFonts w:eastAsia="Times New Roman" w:cs="Times New Roman"/>
          <w:szCs w:val="24"/>
        </w:rPr>
      </w:pPr>
      <w:r w:rsidRPr="00951AB1">
        <w:rPr>
          <w:rFonts w:eastAsia="Times New Roman" w:cs="Times New Roman"/>
          <w:szCs w:val="24"/>
        </w:rPr>
        <w:t>Al interior de la entidad, se adelanta el proceso de revisión permanente de los registros contables automáticos con el fin de establecer su correcta imputación y realizar los registros de ajuste necesarios. Esta revisión está a cargo de los funcionarios y/o contratistas que laboran en el área de contabilidad, debiendo hacer las verificaciones a partir del libro diario correspondiente, de tal forma que, se verifiquen todas las transacciones y registros de los hechos económicos adecuadamente.</w:t>
      </w:r>
    </w:p>
    <w:p w14:paraId="48511C3C" w14:textId="77777777" w:rsidR="00FE6C47" w:rsidRPr="00951AB1" w:rsidRDefault="00FE6C47" w:rsidP="000A5389">
      <w:pPr>
        <w:spacing w:line="240" w:lineRule="auto"/>
        <w:ind w:left="-20" w:right="-20"/>
        <w:rPr>
          <w:rFonts w:cs="Times New Roman"/>
          <w:szCs w:val="24"/>
        </w:rPr>
      </w:pPr>
      <w:r w:rsidRPr="00951AB1">
        <w:rPr>
          <w:rFonts w:eastAsia="Times New Roman" w:cs="Times New Roman"/>
          <w:szCs w:val="24"/>
        </w:rPr>
        <w:t xml:space="preserve"> </w:t>
      </w:r>
    </w:p>
    <w:p w14:paraId="6AB511B8" w14:textId="77777777" w:rsidR="00FE6C47" w:rsidRPr="00951AB1" w:rsidRDefault="00FE6C47" w:rsidP="000A5389">
      <w:pPr>
        <w:pStyle w:val="Ttulo2"/>
        <w:numPr>
          <w:ilvl w:val="0"/>
          <w:numId w:val="0"/>
        </w:numPr>
        <w:spacing w:line="240" w:lineRule="auto"/>
        <w:ind w:right="-20"/>
        <w:rPr>
          <w:rFonts w:eastAsia="Times New Roman" w:cs="Times New Roman"/>
          <w:szCs w:val="24"/>
        </w:rPr>
      </w:pPr>
      <w:bookmarkStart w:id="77" w:name="_Toc191369484"/>
      <w:bookmarkStart w:id="78" w:name="_Toc191456814"/>
      <w:bookmarkStart w:id="79" w:name="_Toc191456924"/>
      <w:bookmarkStart w:id="80" w:name="_Toc191457034"/>
      <w:bookmarkStart w:id="81" w:name="_Toc191475661"/>
      <w:bookmarkStart w:id="82" w:name="_Toc191475770"/>
      <w:bookmarkStart w:id="83" w:name="_Toc191475879"/>
      <w:bookmarkStart w:id="84" w:name="_Toc191475402"/>
      <w:bookmarkStart w:id="85" w:name="_Toc191505778"/>
      <w:bookmarkStart w:id="86" w:name="_Toc222824090"/>
      <w:bookmarkStart w:id="87" w:name="_Toc222955456"/>
      <w:r w:rsidRPr="00951AB1">
        <w:rPr>
          <w:rFonts w:eastAsia="Times New Roman" w:cs="Times New Roman"/>
          <w:szCs w:val="24"/>
        </w:rPr>
        <w:t>2.2.</w:t>
      </w:r>
      <w:r w:rsidRPr="00951AB1">
        <w:rPr>
          <w:rFonts w:eastAsia="Times New Roman" w:cs="Times New Roman"/>
          <w:b w:val="0"/>
          <w:szCs w:val="24"/>
        </w:rPr>
        <w:t xml:space="preserve">       </w:t>
      </w:r>
      <w:r w:rsidRPr="00951AB1">
        <w:rPr>
          <w:rFonts w:eastAsia="Times New Roman" w:cs="Times New Roman"/>
          <w:szCs w:val="24"/>
        </w:rPr>
        <w:t>Moneda funcional y de presentación, redondeo y materialidad</w:t>
      </w:r>
      <w:bookmarkEnd w:id="77"/>
      <w:bookmarkEnd w:id="78"/>
      <w:bookmarkEnd w:id="79"/>
      <w:bookmarkEnd w:id="80"/>
      <w:bookmarkEnd w:id="81"/>
      <w:bookmarkEnd w:id="82"/>
      <w:bookmarkEnd w:id="83"/>
      <w:bookmarkEnd w:id="84"/>
      <w:bookmarkEnd w:id="85"/>
      <w:bookmarkEnd w:id="86"/>
      <w:bookmarkEnd w:id="87"/>
    </w:p>
    <w:p w14:paraId="3F75BD93" w14:textId="77777777" w:rsidR="00FE6C47" w:rsidRPr="00951AB1" w:rsidRDefault="00FE6C47" w:rsidP="000A5389">
      <w:pPr>
        <w:spacing w:line="240" w:lineRule="auto"/>
        <w:ind w:left="-20" w:right="-20"/>
        <w:rPr>
          <w:rFonts w:cs="Times New Roman"/>
          <w:szCs w:val="24"/>
        </w:rPr>
      </w:pPr>
      <w:r w:rsidRPr="00951AB1">
        <w:rPr>
          <w:rFonts w:eastAsia="Times New Roman" w:cs="Times New Roman"/>
          <w:b/>
          <w:bCs/>
          <w:szCs w:val="24"/>
        </w:rPr>
        <w:t xml:space="preserve"> </w:t>
      </w:r>
    </w:p>
    <w:p w14:paraId="22F6824D" w14:textId="77777777" w:rsidR="00FE6C47" w:rsidRPr="00951AB1" w:rsidRDefault="00FE6C47" w:rsidP="000A5389">
      <w:pPr>
        <w:spacing w:line="240" w:lineRule="auto"/>
        <w:ind w:left="-20" w:right="-20"/>
        <w:rPr>
          <w:rFonts w:cs="Times New Roman"/>
          <w:szCs w:val="24"/>
        </w:rPr>
      </w:pPr>
      <w:r w:rsidRPr="00951AB1">
        <w:rPr>
          <w:rFonts w:eastAsia="Times New Roman" w:cs="Times New Roman"/>
          <w:szCs w:val="24"/>
        </w:rPr>
        <w:t>El peso colombiano es la Moneda funcional utilizada para valorar y registrar las operaciones económicas, financieras y patrimoniales de la Agencia Nacional de Infraestructura.</w:t>
      </w:r>
    </w:p>
    <w:p w14:paraId="65F18BE7" w14:textId="77777777" w:rsidR="00FE6C47" w:rsidRPr="00951AB1" w:rsidRDefault="00FE6C47" w:rsidP="000A5389">
      <w:pPr>
        <w:spacing w:line="240" w:lineRule="auto"/>
        <w:ind w:left="-20" w:right="-20"/>
        <w:rPr>
          <w:rFonts w:cs="Times New Roman"/>
          <w:szCs w:val="24"/>
        </w:rPr>
      </w:pPr>
      <w:r w:rsidRPr="00951AB1">
        <w:rPr>
          <w:rFonts w:eastAsia="Times New Roman" w:cs="Times New Roman"/>
          <w:szCs w:val="24"/>
        </w:rPr>
        <w:t xml:space="preserve"> </w:t>
      </w:r>
    </w:p>
    <w:p w14:paraId="7E910524" w14:textId="77777777" w:rsidR="00FE6C47" w:rsidRPr="00951AB1" w:rsidRDefault="00FE6C47" w:rsidP="000A5389">
      <w:pPr>
        <w:spacing w:line="240" w:lineRule="auto"/>
        <w:ind w:left="-20" w:right="-20"/>
        <w:rPr>
          <w:rFonts w:cs="Times New Roman"/>
          <w:szCs w:val="24"/>
        </w:rPr>
      </w:pPr>
      <w:r w:rsidRPr="00951AB1">
        <w:rPr>
          <w:rFonts w:eastAsia="Times New Roman" w:cs="Times New Roman"/>
          <w:szCs w:val="24"/>
        </w:rPr>
        <w:t>Para efectos de presentación, de los estados financieros no se visualizarán decimales al presentar las cifras, los cuales se encuentran en pesos colombianos (COP) de forma comparativa con los del período inmediatamente anterior.</w:t>
      </w:r>
    </w:p>
    <w:p w14:paraId="1C7F2952" w14:textId="77777777" w:rsidR="00FE6C47" w:rsidRPr="00951AB1" w:rsidRDefault="00FE6C47" w:rsidP="000A5389">
      <w:pPr>
        <w:spacing w:line="240" w:lineRule="auto"/>
        <w:ind w:left="-20" w:right="-20"/>
        <w:rPr>
          <w:rFonts w:cs="Times New Roman"/>
          <w:szCs w:val="24"/>
        </w:rPr>
      </w:pPr>
      <w:r w:rsidRPr="00951AB1">
        <w:rPr>
          <w:rFonts w:eastAsia="Times New Roman" w:cs="Times New Roman"/>
          <w:szCs w:val="24"/>
        </w:rPr>
        <w:t xml:space="preserve"> </w:t>
      </w:r>
    </w:p>
    <w:p w14:paraId="5560F05A" w14:textId="77777777" w:rsidR="00FE6C47" w:rsidRPr="00951AB1" w:rsidRDefault="00FE6C47" w:rsidP="000A5389">
      <w:pPr>
        <w:spacing w:line="240" w:lineRule="auto"/>
        <w:ind w:left="-20" w:right="-20"/>
        <w:rPr>
          <w:rFonts w:cs="Times New Roman"/>
          <w:szCs w:val="24"/>
        </w:rPr>
      </w:pPr>
      <w:r w:rsidRPr="00951AB1">
        <w:rPr>
          <w:rFonts w:eastAsia="Times New Roman" w:cs="Times New Roman"/>
          <w:szCs w:val="24"/>
        </w:rPr>
        <w:t xml:space="preserve">En la elaboración de las notas a los Estados Financieros, la Agencia determinó el criterio de materialidad así: </w:t>
      </w:r>
    </w:p>
    <w:p w14:paraId="02F18411" w14:textId="77777777" w:rsidR="00FE6C47" w:rsidRPr="00951AB1" w:rsidRDefault="00FE6C47" w:rsidP="000A5389">
      <w:pPr>
        <w:spacing w:line="240" w:lineRule="auto"/>
        <w:ind w:left="-20" w:right="-20"/>
        <w:rPr>
          <w:rFonts w:cs="Times New Roman"/>
          <w:szCs w:val="24"/>
        </w:rPr>
      </w:pPr>
      <w:r w:rsidRPr="00951AB1">
        <w:rPr>
          <w:rFonts w:eastAsia="Times New Roman" w:cs="Times New Roman"/>
          <w:szCs w:val="24"/>
        </w:rPr>
        <w:t xml:space="preserve"> </w:t>
      </w:r>
    </w:p>
    <w:p w14:paraId="06642BB7" w14:textId="7A18BC54" w:rsidR="00FE6C47" w:rsidRPr="00951AB1" w:rsidRDefault="00FE6C47" w:rsidP="000A5389">
      <w:pPr>
        <w:pStyle w:val="Prrafodelista"/>
        <w:numPr>
          <w:ilvl w:val="0"/>
          <w:numId w:val="102"/>
        </w:numPr>
        <w:spacing w:line="240" w:lineRule="auto"/>
        <w:ind w:right="-20"/>
        <w:rPr>
          <w:rFonts w:eastAsia="Times New Roman" w:cs="Times New Roman"/>
          <w:szCs w:val="24"/>
        </w:rPr>
      </w:pPr>
      <w:r w:rsidRPr="00951AB1">
        <w:rPr>
          <w:rFonts w:eastAsia="Times New Roman" w:cs="Times New Roman"/>
          <w:szCs w:val="24"/>
        </w:rPr>
        <w:t xml:space="preserve">Cuando la partida no sea significativa frente al valor total de la cuenta no requiere de detalle, puesto que no afectan significativamente la presentación de la situación financiera y el resultado de la Entidad originados durante el período contable </w:t>
      </w:r>
      <w:r w:rsidR="074A00C7" w:rsidRPr="00951AB1">
        <w:rPr>
          <w:rFonts w:eastAsia="Times New Roman" w:cs="Times New Roman"/>
          <w:szCs w:val="24"/>
        </w:rPr>
        <w:t>202</w:t>
      </w:r>
      <w:r w:rsidR="49F29394" w:rsidRPr="00951AB1">
        <w:rPr>
          <w:rFonts w:eastAsia="Times New Roman" w:cs="Times New Roman"/>
          <w:szCs w:val="24"/>
        </w:rPr>
        <w:t>5</w:t>
      </w:r>
      <w:r w:rsidRPr="00951AB1">
        <w:rPr>
          <w:rFonts w:eastAsia="Times New Roman" w:cs="Times New Roman"/>
          <w:szCs w:val="24"/>
        </w:rPr>
        <w:t xml:space="preserve">, y, </w:t>
      </w:r>
    </w:p>
    <w:p w14:paraId="4BEDAD0D" w14:textId="36440264" w:rsidR="00FE6C47" w:rsidRPr="00951AB1" w:rsidRDefault="00FE6C47" w:rsidP="000A5389">
      <w:pPr>
        <w:pStyle w:val="Prrafodelista"/>
        <w:numPr>
          <w:ilvl w:val="0"/>
          <w:numId w:val="102"/>
        </w:numPr>
        <w:spacing w:line="240" w:lineRule="auto"/>
        <w:ind w:right="-20"/>
        <w:rPr>
          <w:rFonts w:eastAsia="Times New Roman" w:cs="Times New Roman"/>
          <w:szCs w:val="24"/>
        </w:rPr>
      </w:pPr>
      <w:r w:rsidRPr="00951AB1">
        <w:rPr>
          <w:rFonts w:eastAsia="Times New Roman" w:cs="Times New Roman"/>
          <w:szCs w:val="24"/>
        </w:rPr>
        <w:t>Mientras la Agencia Nacional de Infraestructura se encuentre dentro del plazo otorgado por la Resolución CGN No. 602 de 2018 y sus modificaciones, y en cumplimiento al concepto CGN No. 20211100002041 del 10 de febrero 2021, no aplicará lo establecido en la Norma de políticas contables, cambios en las estimaciones contables y corrección de errores, y los ajustes que realice afectarán la cuenta 3109</w:t>
      </w:r>
      <w:r w:rsidR="7892AC3B" w:rsidRPr="00951AB1">
        <w:rPr>
          <w:rFonts w:eastAsia="Times New Roman" w:cs="Times New Roman"/>
          <w:szCs w:val="24"/>
        </w:rPr>
        <w:t xml:space="preserve"> </w:t>
      </w:r>
      <w:r w:rsidR="074A00C7" w:rsidRPr="00951AB1">
        <w:rPr>
          <w:rFonts w:eastAsia="Times New Roman" w:cs="Times New Roman"/>
          <w:szCs w:val="24"/>
        </w:rPr>
        <w:t>-</w:t>
      </w:r>
      <w:r w:rsidR="7892AC3B" w:rsidRPr="00951AB1">
        <w:rPr>
          <w:rFonts w:eastAsia="Times New Roman" w:cs="Times New Roman"/>
          <w:szCs w:val="24"/>
        </w:rPr>
        <w:t xml:space="preserve"> </w:t>
      </w:r>
      <w:r w:rsidRPr="00951AB1">
        <w:rPr>
          <w:rFonts w:eastAsia="Times New Roman" w:cs="Times New Roman"/>
          <w:szCs w:val="24"/>
        </w:rPr>
        <w:t>Resultados de ejercicios anteriores, en la Tipología contable T77 establecida por la Contaduría para tal propósito.</w:t>
      </w:r>
    </w:p>
    <w:p w14:paraId="7814A493" w14:textId="77777777" w:rsidR="00FE6C47" w:rsidRPr="00951AB1" w:rsidRDefault="00FE6C47" w:rsidP="000A5389">
      <w:pPr>
        <w:spacing w:line="240" w:lineRule="auto"/>
        <w:ind w:left="644" w:right="-20"/>
        <w:rPr>
          <w:rFonts w:cs="Times New Roman"/>
          <w:szCs w:val="24"/>
        </w:rPr>
      </w:pPr>
      <w:r w:rsidRPr="00951AB1">
        <w:rPr>
          <w:rFonts w:eastAsia="Times New Roman" w:cs="Times New Roman"/>
          <w:szCs w:val="24"/>
        </w:rPr>
        <w:t xml:space="preserve"> </w:t>
      </w:r>
    </w:p>
    <w:p w14:paraId="4AFA9CA7" w14:textId="77777777" w:rsidR="00FE6C47" w:rsidRPr="00951AB1" w:rsidRDefault="00FE6C47" w:rsidP="000A5389">
      <w:pPr>
        <w:pStyle w:val="Ttulo2"/>
        <w:numPr>
          <w:ilvl w:val="0"/>
          <w:numId w:val="0"/>
        </w:numPr>
        <w:spacing w:line="240" w:lineRule="auto"/>
        <w:ind w:right="-20"/>
        <w:rPr>
          <w:rFonts w:eastAsia="Times New Roman" w:cs="Times New Roman"/>
          <w:szCs w:val="24"/>
        </w:rPr>
      </w:pPr>
      <w:bookmarkStart w:id="88" w:name="_Toc191369485"/>
      <w:bookmarkStart w:id="89" w:name="_Toc191456815"/>
      <w:bookmarkStart w:id="90" w:name="_Toc191456925"/>
      <w:bookmarkStart w:id="91" w:name="_Toc191457035"/>
      <w:bookmarkStart w:id="92" w:name="_Toc191475662"/>
      <w:bookmarkStart w:id="93" w:name="_Toc191475771"/>
      <w:bookmarkStart w:id="94" w:name="_Toc191475880"/>
      <w:bookmarkStart w:id="95" w:name="_Toc191475403"/>
      <w:bookmarkStart w:id="96" w:name="_Toc191505779"/>
      <w:bookmarkStart w:id="97" w:name="_Toc222824091"/>
      <w:bookmarkStart w:id="98" w:name="_Toc222955457"/>
      <w:r w:rsidRPr="00951AB1">
        <w:rPr>
          <w:rFonts w:eastAsia="Times New Roman" w:cs="Times New Roman"/>
          <w:szCs w:val="24"/>
        </w:rPr>
        <w:t>2.3.</w:t>
      </w:r>
      <w:r w:rsidRPr="00951AB1">
        <w:rPr>
          <w:rFonts w:eastAsia="Times New Roman" w:cs="Times New Roman"/>
          <w:b w:val="0"/>
          <w:szCs w:val="24"/>
        </w:rPr>
        <w:t xml:space="preserve">       </w:t>
      </w:r>
      <w:r w:rsidRPr="00951AB1">
        <w:rPr>
          <w:rFonts w:eastAsia="Times New Roman" w:cs="Times New Roman"/>
          <w:szCs w:val="24"/>
        </w:rPr>
        <w:t>Tratamiento de la moneda extranjera</w:t>
      </w:r>
      <w:bookmarkEnd w:id="88"/>
      <w:bookmarkEnd w:id="89"/>
      <w:bookmarkEnd w:id="90"/>
      <w:bookmarkEnd w:id="91"/>
      <w:bookmarkEnd w:id="92"/>
      <w:bookmarkEnd w:id="93"/>
      <w:bookmarkEnd w:id="94"/>
      <w:bookmarkEnd w:id="95"/>
      <w:bookmarkEnd w:id="96"/>
      <w:bookmarkEnd w:id="97"/>
      <w:bookmarkEnd w:id="98"/>
    </w:p>
    <w:p w14:paraId="0B589940" w14:textId="77777777" w:rsidR="00FE6C47" w:rsidRPr="00951AB1" w:rsidRDefault="00FE6C47" w:rsidP="000A5389">
      <w:pPr>
        <w:spacing w:line="240" w:lineRule="auto"/>
        <w:ind w:left="-20" w:right="-20"/>
        <w:rPr>
          <w:rFonts w:cs="Times New Roman"/>
          <w:szCs w:val="24"/>
        </w:rPr>
      </w:pPr>
      <w:r w:rsidRPr="00951AB1">
        <w:rPr>
          <w:rFonts w:eastAsia="Times New Roman" w:cs="Times New Roman"/>
          <w:szCs w:val="24"/>
        </w:rPr>
        <w:t xml:space="preserve"> </w:t>
      </w:r>
    </w:p>
    <w:p w14:paraId="3AE77759" w14:textId="77777777" w:rsidR="00FE1E23" w:rsidRDefault="00FE6C47" w:rsidP="000A5389">
      <w:pPr>
        <w:spacing w:line="240" w:lineRule="auto"/>
        <w:ind w:left="-20" w:right="-20"/>
        <w:rPr>
          <w:rFonts w:eastAsia="Times New Roman" w:cs="Times New Roman"/>
          <w:szCs w:val="24"/>
        </w:rPr>
      </w:pPr>
      <w:r w:rsidRPr="00951AB1">
        <w:rPr>
          <w:rFonts w:eastAsia="Times New Roman" w:cs="Times New Roman"/>
          <w:szCs w:val="24"/>
        </w:rPr>
        <w:t>Para el caso de los derechos adquiridos en moneda extranjera, se reconocen en la moneda legal colombiana utilizando la tasa de cambio en la fecha de la transacción y re expresan con la tasa de cambio en la fecha de cierre, afectando la respectiva cuenta de resultados según corresponda ingresos o gastos.</w:t>
      </w:r>
    </w:p>
    <w:p w14:paraId="37D72A5C" w14:textId="367B7FED" w:rsidR="00FE6C47" w:rsidRPr="00951AB1" w:rsidRDefault="00FE6C47" w:rsidP="000A5389">
      <w:pPr>
        <w:spacing w:line="240" w:lineRule="auto"/>
        <w:ind w:left="-20" w:right="-20"/>
        <w:rPr>
          <w:rFonts w:cs="Times New Roman"/>
          <w:szCs w:val="24"/>
        </w:rPr>
      </w:pPr>
      <w:r w:rsidRPr="00951AB1">
        <w:rPr>
          <w:rFonts w:eastAsia="Times New Roman" w:cs="Times New Roman"/>
          <w:b/>
          <w:bCs/>
          <w:szCs w:val="24"/>
        </w:rPr>
        <w:t xml:space="preserve"> </w:t>
      </w:r>
    </w:p>
    <w:p w14:paraId="5480CC9C" w14:textId="77777777" w:rsidR="00FE6C47" w:rsidRPr="00951AB1" w:rsidRDefault="00FE6C47" w:rsidP="000A5389">
      <w:pPr>
        <w:pStyle w:val="Ttulo2"/>
        <w:numPr>
          <w:ilvl w:val="0"/>
          <w:numId w:val="0"/>
        </w:numPr>
        <w:spacing w:line="240" w:lineRule="auto"/>
        <w:ind w:right="-20"/>
        <w:rPr>
          <w:rFonts w:eastAsia="Times New Roman" w:cs="Times New Roman"/>
          <w:szCs w:val="24"/>
        </w:rPr>
      </w:pPr>
      <w:bookmarkStart w:id="99" w:name="_Toc191369486"/>
      <w:bookmarkStart w:id="100" w:name="_Toc191456816"/>
      <w:bookmarkStart w:id="101" w:name="_Toc191456926"/>
      <w:bookmarkStart w:id="102" w:name="_Toc191457036"/>
      <w:bookmarkStart w:id="103" w:name="_Toc191475663"/>
      <w:bookmarkStart w:id="104" w:name="_Toc191475772"/>
      <w:bookmarkStart w:id="105" w:name="_Toc191475881"/>
      <w:bookmarkStart w:id="106" w:name="_Toc191475404"/>
      <w:bookmarkStart w:id="107" w:name="_Toc191505780"/>
      <w:bookmarkStart w:id="108" w:name="_Toc222824092"/>
      <w:bookmarkStart w:id="109" w:name="_Toc222955458"/>
      <w:r w:rsidRPr="00951AB1">
        <w:rPr>
          <w:rFonts w:eastAsia="Times New Roman" w:cs="Times New Roman"/>
          <w:szCs w:val="24"/>
        </w:rPr>
        <w:t>2.4.</w:t>
      </w:r>
      <w:r w:rsidRPr="00951AB1">
        <w:rPr>
          <w:rFonts w:eastAsia="Times New Roman" w:cs="Times New Roman"/>
          <w:b w:val="0"/>
          <w:szCs w:val="24"/>
        </w:rPr>
        <w:t xml:space="preserve">       </w:t>
      </w:r>
      <w:r w:rsidRPr="00951AB1">
        <w:rPr>
          <w:rFonts w:eastAsia="Times New Roman" w:cs="Times New Roman"/>
          <w:szCs w:val="24"/>
        </w:rPr>
        <w:t>Hechos ocurridos después del periodo contable</w:t>
      </w:r>
      <w:bookmarkEnd w:id="99"/>
      <w:bookmarkEnd w:id="100"/>
      <w:bookmarkEnd w:id="101"/>
      <w:bookmarkEnd w:id="102"/>
      <w:bookmarkEnd w:id="103"/>
      <w:bookmarkEnd w:id="104"/>
      <w:bookmarkEnd w:id="105"/>
      <w:bookmarkEnd w:id="106"/>
      <w:bookmarkEnd w:id="107"/>
      <w:bookmarkEnd w:id="108"/>
      <w:bookmarkEnd w:id="109"/>
    </w:p>
    <w:p w14:paraId="6C36578F" w14:textId="77777777" w:rsidR="00FE6C47" w:rsidRPr="00951AB1" w:rsidRDefault="00FE6C47" w:rsidP="000A5389">
      <w:pPr>
        <w:spacing w:line="240" w:lineRule="auto"/>
        <w:ind w:left="-20" w:right="-20"/>
        <w:rPr>
          <w:rFonts w:cs="Times New Roman"/>
          <w:szCs w:val="24"/>
        </w:rPr>
      </w:pPr>
      <w:r w:rsidRPr="00951AB1">
        <w:rPr>
          <w:rFonts w:eastAsia="Times New Roman" w:cs="Times New Roman"/>
          <w:szCs w:val="24"/>
        </w:rPr>
        <w:t xml:space="preserve"> </w:t>
      </w:r>
    </w:p>
    <w:p w14:paraId="7BC9EF73" w14:textId="77777777" w:rsidR="00FE6C47" w:rsidRPr="00951AB1" w:rsidRDefault="00FE6C47" w:rsidP="000A5389">
      <w:pPr>
        <w:spacing w:line="240" w:lineRule="auto"/>
        <w:ind w:left="-20" w:right="-20"/>
        <w:rPr>
          <w:rFonts w:cs="Times New Roman"/>
          <w:szCs w:val="24"/>
        </w:rPr>
      </w:pPr>
      <w:r w:rsidRPr="00951AB1">
        <w:rPr>
          <w:rFonts w:eastAsia="Times New Roman" w:cs="Times New Roman"/>
          <w:szCs w:val="24"/>
        </w:rPr>
        <w:t xml:space="preserve">No se presentaron hechos ocurridos después del periodo contable que fueran notificados al área de Contabilidad por eventos, favorables o desfavorables, que se hayan producido entre </w:t>
      </w:r>
      <w:r w:rsidRPr="00951AB1">
        <w:rPr>
          <w:rFonts w:eastAsia="Times New Roman" w:cs="Times New Roman"/>
          <w:szCs w:val="24"/>
        </w:rPr>
        <w:lastRenderedPageBreak/>
        <w:t xml:space="preserve">el final del periodo contable 31 de diciembre y la fecha de autorización para la publicación de los estados financieros de la Agencia. </w:t>
      </w:r>
    </w:p>
    <w:p w14:paraId="0CF3FB34" w14:textId="77777777" w:rsidR="00FE6C47" w:rsidRPr="00951AB1" w:rsidRDefault="00FE6C47" w:rsidP="000A5389">
      <w:pPr>
        <w:spacing w:line="240" w:lineRule="auto"/>
        <w:ind w:left="-20" w:right="-20"/>
        <w:rPr>
          <w:rFonts w:cs="Times New Roman"/>
          <w:szCs w:val="24"/>
        </w:rPr>
      </w:pPr>
      <w:r w:rsidRPr="00951AB1">
        <w:rPr>
          <w:rFonts w:eastAsia="Times New Roman" w:cs="Times New Roman"/>
          <w:szCs w:val="24"/>
        </w:rPr>
        <w:t xml:space="preserve"> </w:t>
      </w:r>
    </w:p>
    <w:p w14:paraId="06F8A714" w14:textId="26E6FD85" w:rsidR="00FE6C47" w:rsidRPr="00951AB1" w:rsidRDefault="00FE6C47" w:rsidP="000A5389">
      <w:pPr>
        <w:spacing w:line="240" w:lineRule="auto"/>
        <w:ind w:left="-20" w:right="-20"/>
        <w:rPr>
          <w:rFonts w:eastAsia="Times New Roman" w:cs="Times New Roman"/>
          <w:szCs w:val="24"/>
        </w:rPr>
      </w:pPr>
      <w:r w:rsidRPr="00951AB1">
        <w:rPr>
          <w:rFonts w:eastAsia="Times New Roman" w:cs="Times New Roman"/>
          <w:szCs w:val="24"/>
        </w:rPr>
        <w:t xml:space="preserve">Por su parte, la fecha de autorización para la publicación de los estados financieros corresponde al cronograma establecidos por la CGN que, en todo caso, la fecha de autorización para la publicación de los Estados Financieros de la Agencia no superará el 28 de febrero del año </w:t>
      </w:r>
      <w:r w:rsidR="074A00C7" w:rsidRPr="00951AB1">
        <w:rPr>
          <w:rFonts w:eastAsia="Times New Roman" w:cs="Times New Roman"/>
          <w:szCs w:val="24"/>
        </w:rPr>
        <w:t>202</w:t>
      </w:r>
      <w:r w:rsidR="369EB297" w:rsidRPr="00951AB1">
        <w:rPr>
          <w:rFonts w:eastAsia="Times New Roman" w:cs="Times New Roman"/>
          <w:szCs w:val="24"/>
        </w:rPr>
        <w:t>6</w:t>
      </w:r>
      <w:r w:rsidRPr="00951AB1">
        <w:rPr>
          <w:rFonts w:eastAsia="Times New Roman" w:cs="Times New Roman"/>
          <w:szCs w:val="24"/>
        </w:rPr>
        <w:t>.</w:t>
      </w:r>
    </w:p>
    <w:p w14:paraId="0C2E4BB0" w14:textId="77777777" w:rsidR="00FE6C47" w:rsidRPr="00951AB1" w:rsidRDefault="00FE6C47" w:rsidP="000A5389">
      <w:pPr>
        <w:spacing w:line="240" w:lineRule="auto"/>
        <w:ind w:left="-20" w:right="-20"/>
        <w:rPr>
          <w:rFonts w:cs="Times New Roman"/>
          <w:szCs w:val="24"/>
        </w:rPr>
      </w:pPr>
      <w:r w:rsidRPr="00951AB1">
        <w:rPr>
          <w:rFonts w:eastAsia="Times New Roman" w:cs="Times New Roman"/>
          <w:szCs w:val="24"/>
        </w:rPr>
        <w:t xml:space="preserve"> </w:t>
      </w:r>
    </w:p>
    <w:p w14:paraId="671A52DC" w14:textId="3009B0FB" w:rsidR="00FE6C47" w:rsidRPr="00951AB1" w:rsidRDefault="00FE6C47" w:rsidP="000A5389">
      <w:pPr>
        <w:spacing w:line="240" w:lineRule="auto"/>
        <w:ind w:left="-20" w:right="-20"/>
        <w:rPr>
          <w:rFonts w:eastAsia="Times New Roman" w:cs="Times New Roman"/>
          <w:color w:val="000000" w:themeColor="text1"/>
          <w:szCs w:val="24"/>
        </w:rPr>
      </w:pPr>
      <w:r w:rsidRPr="2A085367">
        <w:rPr>
          <w:rFonts w:eastAsia="Times New Roman" w:cs="Times New Roman"/>
          <w:color w:val="000000" w:themeColor="text1"/>
          <w:szCs w:val="24"/>
        </w:rPr>
        <w:t xml:space="preserve">Con el numeral 4.2 Planeación del proceso de cierre del año </w:t>
      </w:r>
      <w:r w:rsidR="074A00C7" w:rsidRPr="2A085367">
        <w:rPr>
          <w:rFonts w:eastAsia="Times New Roman" w:cs="Times New Roman"/>
          <w:color w:val="000000" w:themeColor="text1"/>
          <w:szCs w:val="24"/>
        </w:rPr>
        <w:t>202</w:t>
      </w:r>
      <w:r w:rsidR="30EF33C3" w:rsidRPr="2A085367">
        <w:rPr>
          <w:rFonts w:eastAsia="Times New Roman" w:cs="Times New Roman"/>
          <w:color w:val="000000" w:themeColor="text1"/>
          <w:szCs w:val="24"/>
        </w:rPr>
        <w:t>5</w:t>
      </w:r>
      <w:r w:rsidRPr="2A085367">
        <w:rPr>
          <w:rFonts w:eastAsia="Times New Roman" w:cs="Times New Roman"/>
          <w:color w:val="000000" w:themeColor="text1"/>
          <w:szCs w:val="24"/>
        </w:rPr>
        <w:t xml:space="preserve"> e inicio del año </w:t>
      </w:r>
      <w:r w:rsidR="074A00C7" w:rsidRPr="2A085367">
        <w:rPr>
          <w:rFonts w:eastAsia="Times New Roman" w:cs="Times New Roman"/>
          <w:color w:val="000000" w:themeColor="text1"/>
          <w:szCs w:val="24"/>
        </w:rPr>
        <w:t>202</w:t>
      </w:r>
      <w:r w:rsidR="0A27C7FA" w:rsidRPr="2A085367">
        <w:rPr>
          <w:rFonts w:eastAsia="Times New Roman" w:cs="Times New Roman"/>
          <w:color w:val="000000" w:themeColor="text1"/>
          <w:szCs w:val="24"/>
        </w:rPr>
        <w:t>6</w:t>
      </w:r>
      <w:r w:rsidRPr="2A085367">
        <w:rPr>
          <w:rFonts w:eastAsia="Times New Roman" w:cs="Times New Roman"/>
          <w:color w:val="000000" w:themeColor="text1"/>
          <w:szCs w:val="24"/>
        </w:rPr>
        <w:t>, del Instructivo CGN No. 001 de diciembre de 202</w:t>
      </w:r>
      <w:r w:rsidR="39256E10" w:rsidRPr="2A085367">
        <w:rPr>
          <w:rFonts w:eastAsia="Times New Roman" w:cs="Times New Roman"/>
          <w:color w:val="000000" w:themeColor="text1"/>
          <w:szCs w:val="24"/>
        </w:rPr>
        <w:t>5</w:t>
      </w:r>
      <w:r w:rsidRPr="2A085367">
        <w:rPr>
          <w:rFonts w:eastAsia="Times New Roman" w:cs="Times New Roman"/>
          <w:color w:val="000000" w:themeColor="text1"/>
          <w:szCs w:val="24"/>
        </w:rPr>
        <w:t xml:space="preserve">, se estableció </w:t>
      </w:r>
      <w:r w:rsidR="0B812AC2" w:rsidRPr="2A085367">
        <w:rPr>
          <w:rFonts w:eastAsia="Times New Roman" w:cs="Times New Roman"/>
          <w:color w:val="000000" w:themeColor="text1"/>
          <w:szCs w:val="24"/>
        </w:rPr>
        <w:t xml:space="preserve">el 13 de febrero de 2026 </w:t>
      </w:r>
      <w:r w:rsidRPr="2A085367">
        <w:rPr>
          <w:rFonts w:eastAsia="Times New Roman" w:cs="Times New Roman"/>
          <w:color w:val="000000" w:themeColor="text1"/>
          <w:szCs w:val="24"/>
        </w:rPr>
        <w:t>la fecha límite para el registro contable de las operaciones del mes de diciembre de 202</w:t>
      </w:r>
      <w:r w:rsidR="53ECEBCE" w:rsidRPr="2A085367">
        <w:rPr>
          <w:rFonts w:eastAsia="Times New Roman" w:cs="Times New Roman"/>
          <w:color w:val="000000" w:themeColor="text1"/>
          <w:szCs w:val="24"/>
        </w:rPr>
        <w:t>5</w:t>
      </w:r>
      <w:r w:rsidR="521B903A" w:rsidRPr="2A085367">
        <w:rPr>
          <w:rFonts w:eastAsia="Times New Roman" w:cs="Times New Roman"/>
          <w:color w:val="000000" w:themeColor="text1"/>
          <w:szCs w:val="24"/>
        </w:rPr>
        <w:t>.</w:t>
      </w:r>
      <w:r w:rsidR="32DE9736" w:rsidRPr="2A085367">
        <w:rPr>
          <w:rFonts w:eastAsia="Times New Roman" w:cs="Times New Roman"/>
          <w:color w:val="000000" w:themeColor="text1"/>
          <w:szCs w:val="24"/>
        </w:rPr>
        <w:t xml:space="preserve"> </w:t>
      </w:r>
      <w:r w:rsidR="521B903A" w:rsidRPr="2A085367">
        <w:rPr>
          <w:rFonts w:eastAsia="Times New Roman" w:cs="Times New Roman"/>
          <w:color w:val="000000" w:themeColor="text1"/>
          <w:szCs w:val="24"/>
        </w:rPr>
        <w:t>Posteriormente la CGN expidió la Resolución 039 de</w:t>
      </w:r>
      <w:r w:rsidR="64E1D844" w:rsidRPr="2A085367">
        <w:rPr>
          <w:rFonts w:eastAsia="Times New Roman" w:cs="Times New Roman"/>
          <w:color w:val="000000" w:themeColor="text1"/>
          <w:szCs w:val="24"/>
        </w:rPr>
        <w:t>l</w:t>
      </w:r>
      <w:r w:rsidR="521B903A" w:rsidRPr="2A085367">
        <w:rPr>
          <w:rFonts w:eastAsia="Times New Roman" w:cs="Times New Roman"/>
          <w:color w:val="000000" w:themeColor="text1"/>
          <w:szCs w:val="24"/>
        </w:rPr>
        <w:t xml:space="preserve"> </w:t>
      </w:r>
      <w:r w:rsidR="64E1D844" w:rsidRPr="2A085367">
        <w:rPr>
          <w:rFonts w:eastAsia="Times New Roman" w:cs="Times New Roman"/>
          <w:color w:val="000000" w:themeColor="text1"/>
          <w:szCs w:val="24"/>
        </w:rPr>
        <w:t>11 de febrero del</w:t>
      </w:r>
      <w:r w:rsidR="521B903A" w:rsidRPr="2A085367">
        <w:rPr>
          <w:rFonts w:eastAsia="Times New Roman" w:cs="Times New Roman"/>
          <w:color w:val="000000" w:themeColor="text1"/>
          <w:szCs w:val="24"/>
        </w:rPr>
        <w:t xml:space="preserve"> 2026</w:t>
      </w:r>
      <w:r w:rsidR="0B4CE21F" w:rsidRPr="2A085367">
        <w:rPr>
          <w:rFonts w:eastAsia="Times New Roman" w:cs="Times New Roman"/>
          <w:color w:val="000000" w:themeColor="text1"/>
          <w:szCs w:val="24"/>
        </w:rPr>
        <w:t>,</w:t>
      </w:r>
      <w:r w:rsidR="521B903A" w:rsidRPr="2A085367">
        <w:rPr>
          <w:rFonts w:eastAsia="Times New Roman" w:cs="Times New Roman"/>
          <w:color w:val="000000" w:themeColor="text1"/>
          <w:szCs w:val="24"/>
        </w:rPr>
        <w:t xml:space="preserve"> </w:t>
      </w:r>
      <w:r w:rsidR="0B4CE21F" w:rsidRPr="2A085367">
        <w:rPr>
          <w:rFonts w:eastAsia="Times New Roman" w:cs="Times New Roman"/>
          <w:color w:val="000000" w:themeColor="text1"/>
          <w:szCs w:val="24"/>
        </w:rPr>
        <w:t>mediante la cual prorroga el</w:t>
      </w:r>
      <w:r w:rsidR="521B903A" w:rsidRPr="2A085367">
        <w:rPr>
          <w:rFonts w:eastAsia="Times New Roman" w:cs="Times New Roman"/>
          <w:color w:val="000000" w:themeColor="text1"/>
          <w:szCs w:val="24"/>
        </w:rPr>
        <w:t xml:space="preserve"> </w:t>
      </w:r>
      <w:r w:rsidR="0B4CE21F" w:rsidRPr="2A085367">
        <w:rPr>
          <w:rFonts w:eastAsia="Times New Roman" w:cs="Times New Roman"/>
          <w:color w:val="000000" w:themeColor="text1"/>
          <w:szCs w:val="24"/>
        </w:rPr>
        <w:t xml:space="preserve">plazo indicado en el artículo 11 de la </w:t>
      </w:r>
      <w:r w:rsidR="2FCCBE89" w:rsidRPr="2A085367">
        <w:rPr>
          <w:rFonts w:eastAsia="Times New Roman" w:cs="Times New Roman"/>
          <w:color w:val="000000" w:themeColor="text1"/>
          <w:szCs w:val="24"/>
        </w:rPr>
        <w:t>Resolución</w:t>
      </w:r>
      <w:r w:rsidR="0B4CE21F" w:rsidRPr="2A085367">
        <w:rPr>
          <w:rFonts w:eastAsia="Times New Roman" w:cs="Times New Roman"/>
          <w:color w:val="000000" w:themeColor="text1"/>
          <w:szCs w:val="24"/>
        </w:rPr>
        <w:t xml:space="preserve"> CGN 138 de 2025 </w:t>
      </w:r>
      <w:r w:rsidR="729BC6C3" w:rsidRPr="2A085367">
        <w:rPr>
          <w:rFonts w:eastAsia="Times New Roman" w:cs="Times New Roman"/>
          <w:color w:val="000000" w:themeColor="text1"/>
          <w:szCs w:val="24"/>
        </w:rPr>
        <w:t>para el reporte CHIP hasta el 19 de febrero</w:t>
      </w:r>
      <w:r w:rsidR="0B4CE21F" w:rsidRPr="2A085367">
        <w:rPr>
          <w:rFonts w:eastAsia="Times New Roman" w:cs="Times New Roman"/>
          <w:color w:val="000000" w:themeColor="text1"/>
          <w:szCs w:val="24"/>
        </w:rPr>
        <w:t xml:space="preserve"> </w:t>
      </w:r>
      <w:r w:rsidR="729BC6C3" w:rsidRPr="2A085367">
        <w:rPr>
          <w:rFonts w:eastAsia="Times New Roman" w:cs="Times New Roman"/>
          <w:color w:val="000000" w:themeColor="text1"/>
          <w:szCs w:val="24"/>
        </w:rPr>
        <w:t>2026</w:t>
      </w:r>
      <w:r w:rsidR="0B4CE21F" w:rsidRPr="2A085367">
        <w:rPr>
          <w:rFonts w:eastAsia="Times New Roman" w:cs="Times New Roman"/>
          <w:color w:val="000000" w:themeColor="text1"/>
          <w:szCs w:val="24"/>
        </w:rPr>
        <w:t xml:space="preserve"> </w:t>
      </w:r>
      <w:r w:rsidR="19195DB0" w:rsidRPr="2A085367">
        <w:rPr>
          <w:rFonts w:eastAsia="Times New Roman" w:cs="Times New Roman"/>
          <w:color w:val="000000" w:themeColor="text1"/>
          <w:szCs w:val="24"/>
        </w:rPr>
        <w:t>y amplia la fecha límite para hacer registro hasta el 18 de feb</w:t>
      </w:r>
      <w:r w:rsidR="04A78368" w:rsidRPr="2A085367">
        <w:rPr>
          <w:rFonts w:eastAsia="Times New Roman" w:cs="Times New Roman"/>
          <w:color w:val="000000" w:themeColor="text1"/>
          <w:szCs w:val="24"/>
        </w:rPr>
        <w:t>r</w:t>
      </w:r>
      <w:r w:rsidR="19195DB0" w:rsidRPr="2A085367">
        <w:rPr>
          <w:rFonts w:eastAsia="Times New Roman" w:cs="Times New Roman"/>
          <w:color w:val="000000" w:themeColor="text1"/>
          <w:szCs w:val="24"/>
        </w:rPr>
        <w:t>ero</w:t>
      </w:r>
      <w:r w:rsidR="57EA5DF3" w:rsidRPr="2A085367">
        <w:rPr>
          <w:rFonts w:eastAsia="Times New Roman" w:cs="Times New Roman"/>
          <w:color w:val="000000" w:themeColor="text1"/>
          <w:szCs w:val="24"/>
        </w:rPr>
        <w:t xml:space="preserve"> </w:t>
      </w:r>
      <w:r w:rsidR="19195DB0" w:rsidRPr="2A085367">
        <w:rPr>
          <w:rFonts w:eastAsia="Times New Roman" w:cs="Times New Roman"/>
          <w:color w:val="000000" w:themeColor="text1"/>
          <w:szCs w:val="24"/>
        </w:rPr>
        <w:t>2026</w:t>
      </w:r>
      <w:r w:rsidRPr="2A085367">
        <w:rPr>
          <w:rFonts w:eastAsia="Times New Roman" w:cs="Times New Roman"/>
          <w:color w:val="000000" w:themeColor="text1"/>
          <w:szCs w:val="24"/>
        </w:rPr>
        <w:t xml:space="preserve">. No obstante, </w:t>
      </w:r>
      <w:r w:rsidR="68715903" w:rsidRPr="2A085367">
        <w:rPr>
          <w:rFonts w:eastAsia="Times New Roman" w:cs="Times New Roman"/>
          <w:color w:val="000000" w:themeColor="text1"/>
          <w:szCs w:val="24"/>
        </w:rPr>
        <w:t>por falla en el SIIF el día 18 de febrero 2026,</w:t>
      </w:r>
      <w:r w:rsidRPr="2A085367">
        <w:rPr>
          <w:rFonts w:eastAsia="Times New Roman" w:cs="Times New Roman"/>
          <w:color w:val="000000" w:themeColor="text1"/>
          <w:szCs w:val="24"/>
        </w:rPr>
        <w:t xml:space="preserve"> la Agencia solicitó a la CGN </w:t>
      </w:r>
      <w:r w:rsidR="05BE5B43" w:rsidRPr="2A085367">
        <w:rPr>
          <w:rFonts w:eastAsia="Times New Roman" w:cs="Times New Roman"/>
          <w:color w:val="000000" w:themeColor="text1"/>
          <w:szCs w:val="24"/>
        </w:rPr>
        <w:t>la apertura del SIIF el día 19 de febrero para finalizar</w:t>
      </w:r>
      <w:r w:rsidR="2C932125" w:rsidRPr="2A085367">
        <w:rPr>
          <w:rFonts w:eastAsia="Times New Roman" w:cs="Times New Roman"/>
          <w:color w:val="000000" w:themeColor="text1"/>
          <w:szCs w:val="24"/>
        </w:rPr>
        <w:t xml:space="preserve"> los registros pendientes en el sistema</w:t>
      </w:r>
      <w:r w:rsidRPr="2A085367">
        <w:rPr>
          <w:rFonts w:eastAsia="Times New Roman" w:cs="Times New Roman"/>
          <w:color w:val="000000" w:themeColor="text1"/>
          <w:szCs w:val="24"/>
        </w:rPr>
        <w:t>.</w:t>
      </w:r>
    </w:p>
    <w:p w14:paraId="77E9BD67" w14:textId="77777777" w:rsidR="00FE6C47" w:rsidRPr="00951AB1" w:rsidRDefault="00FE6C47" w:rsidP="000A5389">
      <w:pPr>
        <w:spacing w:line="240" w:lineRule="auto"/>
        <w:ind w:left="-20" w:right="-23"/>
        <w:rPr>
          <w:rFonts w:cs="Times New Roman"/>
          <w:szCs w:val="24"/>
        </w:rPr>
      </w:pPr>
      <w:r w:rsidRPr="00951AB1">
        <w:rPr>
          <w:rFonts w:eastAsia="Times New Roman" w:cs="Times New Roman"/>
          <w:szCs w:val="24"/>
        </w:rPr>
        <w:t xml:space="preserve"> </w:t>
      </w:r>
    </w:p>
    <w:p w14:paraId="5D13FF71" w14:textId="77777777" w:rsidR="00FE6C47" w:rsidRPr="00951AB1" w:rsidRDefault="00FE6C47" w:rsidP="000A5389">
      <w:pPr>
        <w:pStyle w:val="Ttulo2"/>
        <w:numPr>
          <w:ilvl w:val="0"/>
          <w:numId w:val="0"/>
        </w:numPr>
        <w:spacing w:line="240" w:lineRule="auto"/>
        <w:ind w:right="-23"/>
        <w:rPr>
          <w:rFonts w:eastAsia="Times New Roman" w:cs="Times New Roman"/>
          <w:szCs w:val="24"/>
        </w:rPr>
      </w:pPr>
      <w:bookmarkStart w:id="110" w:name="_Toc191369487"/>
      <w:bookmarkStart w:id="111" w:name="_Toc191456817"/>
      <w:bookmarkStart w:id="112" w:name="_Toc191456927"/>
      <w:bookmarkStart w:id="113" w:name="_Toc191457037"/>
      <w:bookmarkStart w:id="114" w:name="_Toc191475664"/>
      <w:bookmarkStart w:id="115" w:name="_Toc191475773"/>
      <w:bookmarkStart w:id="116" w:name="_Toc191475882"/>
      <w:bookmarkStart w:id="117" w:name="_Toc191475405"/>
      <w:bookmarkStart w:id="118" w:name="_Toc191505781"/>
      <w:bookmarkStart w:id="119" w:name="_Toc222824093"/>
      <w:bookmarkStart w:id="120" w:name="_Toc222955459"/>
      <w:r w:rsidRPr="00951AB1">
        <w:rPr>
          <w:rFonts w:eastAsia="Times New Roman" w:cs="Times New Roman"/>
          <w:szCs w:val="24"/>
        </w:rPr>
        <w:t>2.5.</w:t>
      </w:r>
      <w:r w:rsidRPr="00951AB1">
        <w:rPr>
          <w:rFonts w:eastAsia="Times New Roman" w:cs="Times New Roman"/>
          <w:b w:val="0"/>
          <w:szCs w:val="24"/>
        </w:rPr>
        <w:t xml:space="preserve">       </w:t>
      </w:r>
      <w:r w:rsidRPr="00951AB1">
        <w:rPr>
          <w:rFonts w:eastAsia="Times New Roman" w:cs="Times New Roman"/>
          <w:szCs w:val="24"/>
        </w:rPr>
        <w:t>Otros aspectos</w:t>
      </w:r>
      <w:bookmarkEnd w:id="110"/>
      <w:bookmarkEnd w:id="111"/>
      <w:bookmarkEnd w:id="112"/>
      <w:bookmarkEnd w:id="113"/>
      <w:bookmarkEnd w:id="114"/>
      <w:bookmarkEnd w:id="115"/>
      <w:bookmarkEnd w:id="116"/>
      <w:bookmarkEnd w:id="117"/>
      <w:bookmarkEnd w:id="118"/>
      <w:bookmarkEnd w:id="119"/>
      <w:bookmarkEnd w:id="120"/>
    </w:p>
    <w:p w14:paraId="633B88F6" w14:textId="77777777" w:rsidR="00FE6C47" w:rsidRPr="00951AB1" w:rsidRDefault="00FE6C47" w:rsidP="000A5389">
      <w:pPr>
        <w:spacing w:line="240" w:lineRule="auto"/>
        <w:ind w:left="-20" w:right="-23"/>
        <w:rPr>
          <w:rFonts w:cs="Times New Roman"/>
          <w:szCs w:val="24"/>
        </w:rPr>
      </w:pPr>
      <w:r w:rsidRPr="00951AB1">
        <w:rPr>
          <w:rFonts w:eastAsia="Times New Roman" w:cs="Times New Roman"/>
          <w:b/>
          <w:bCs/>
          <w:szCs w:val="24"/>
        </w:rPr>
        <w:t xml:space="preserve"> </w:t>
      </w:r>
    </w:p>
    <w:p w14:paraId="7E022951" w14:textId="77777777" w:rsidR="00FE6C47" w:rsidRPr="00951AB1" w:rsidRDefault="00FE6C47" w:rsidP="000A5389">
      <w:pPr>
        <w:spacing w:line="240" w:lineRule="auto"/>
        <w:ind w:left="-20" w:right="-23"/>
        <w:rPr>
          <w:rFonts w:cs="Times New Roman"/>
          <w:szCs w:val="24"/>
        </w:rPr>
      </w:pPr>
      <w:r w:rsidRPr="00951AB1">
        <w:rPr>
          <w:rFonts w:eastAsia="Times New Roman" w:cs="Times New Roman"/>
          <w:szCs w:val="24"/>
        </w:rPr>
        <w:t>La Agencia, dio cumplimiento al reporte de la información contable publica a la Contaduría General de la Nación en el Sistema Consolidador de Hacienda Pública CHIP y lo correspondiente a las operaciones recíprocas y Boletín de Deudores Morosos del Estado, en las fechas establecidas.</w:t>
      </w:r>
    </w:p>
    <w:p w14:paraId="33F81478" w14:textId="77777777" w:rsidR="00FE6C47" w:rsidRPr="00951AB1" w:rsidRDefault="00FE6C47" w:rsidP="000A5389">
      <w:pPr>
        <w:spacing w:line="240" w:lineRule="auto"/>
        <w:ind w:left="-20" w:right="-20"/>
        <w:rPr>
          <w:rFonts w:eastAsia="Times New Roman" w:cs="Times New Roman"/>
          <w:szCs w:val="24"/>
        </w:rPr>
      </w:pPr>
      <w:r w:rsidRPr="00951AB1">
        <w:rPr>
          <w:rFonts w:eastAsia="Times New Roman" w:cs="Times New Roman"/>
          <w:szCs w:val="24"/>
        </w:rPr>
        <w:t xml:space="preserve"> </w:t>
      </w:r>
    </w:p>
    <w:p w14:paraId="4F3605CD" w14:textId="77777777" w:rsidR="00FE6C47" w:rsidRPr="00951AB1" w:rsidRDefault="00FE6C47" w:rsidP="000A5389">
      <w:pPr>
        <w:spacing w:line="240" w:lineRule="auto"/>
        <w:ind w:left="-20" w:right="-20"/>
        <w:rPr>
          <w:rFonts w:cs="Times New Roman"/>
          <w:szCs w:val="24"/>
        </w:rPr>
      </w:pPr>
    </w:p>
    <w:p w14:paraId="66896AE1" w14:textId="77777777" w:rsidR="00FE6C47" w:rsidRPr="00951AB1" w:rsidRDefault="00FE6C47" w:rsidP="000A5389">
      <w:pPr>
        <w:pStyle w:val="Ttulo1"/>
        <w:spacing w:line="240" w:lineRule="auto"/>
        <w:ind w:left="-20" w:right="-20"/>
        <w:rPr>
          <w:rFonts w:cs="Times New Roman"/>
          <w:sz w:val="24"/>
          <w:szCs w:val="24"/>
        </w:rPr>
      </w:pPr>
      <w:bookmarkStart w:id="121" w:name="_Toc191369488"/>
      <w:bookmarkStart w:id="122" w:name="_Toc191456818"/>
      <w:bookmarkStart w:id="123" w:name="_Toc191456928"/>
      <w:bookmarkStart w:id="124" w:name="_Toc191457038"/>
      <w:bookmarkStart w:id="125" w:name="_Toc191475665"/>
      <w:bookmarkStart w:id="126" w:name="_Toc191475774"/>
      <w:bookmarkStart w:id="127" w:name="_Toc191475883"/>
      <w:bookmarkStart w:id="128" w:name="_Toc191475406"/>
      <w:bookmarkStart w:id="129" w:name="_Toc191505782"/>
      <w:bookmarkStart w:id="130" w:name="_Toc222824094"/>
      <w:bookmarkStart w:id="131" w:name="_Toc222955460"/>
      <w:r w:rsidRPr="00951AB1">
        <w:rPr>
          <w:rFonts w:eastAsia="Times New Roman" w:cs="Times New Roman"/>
          <w:sz w:val="24"/>
          <w:szCs w:val="24"/>
        </w:rPr>
        <w:t>NOTA 3. JUICIOS, ESTIMACIONES, RIESGOS Y CORRECCIÓN DE ERRORES CONTABLES</w:t>
      </w:r>
      <w:bookmarkEnd w:id="121"/>
      <w:bookmarkEnd w:id="122"/>
      <w:bookmarkEnd w:id="123"/>
      <w:bookmarkEnd w:id="124"/>
      <w:bookmarkEnd w:id="125"/>
      <w:bookmarkEnd w:id="126"/>
      <w:bookmarkEnd w:id="127"/>
      <w:bookmarkEnd w:id="128"/>
      <w:bookmarkEnd w:id="129"/>
      <w:bookmarkEnd w:id="130"/>
      <w:bookmarkEnd w:id="131"/>
    </w:p>
    <w:p w14:paraId="40D618AC" w14:textId="77777777" w:rsidR="00FE6C47" w:rsidRPr="00951AB1" w:rsidRDefault="00FE6C47" w:rsidP="000A5389">
      <w:pPr>
        <w:spacing w:line="240" w:lineRule="auto"/>
        <w:ind w:left="-20" w:right="-20"/>
        <w:rPr>
          <w:rFonts w:cs="Times New Roman"/>
          <w:szCs w:val="24"/>
        </w:rPr>
      </w:pPr>
      <w:r w:rsidRPr="00951AB1">
        <w:rPr>
          <w:rFonts w:eastAsia="Times New Roman" w:cs="Times New Roman"/>
          <w:b/>
          <w:bCs/>
          <w:szCs w:val="24"/>
        </w:rPr>
        <w:t xml:space="preserve"> </w:t>
      </w:r>
    </w:p>
    <w:p w14:paraId="707D5DA4" w14:textId="77777777" w:rsidR="00FE6C47" w:rsidRPr="00951AB1" w:rsidRDefault="00FE6C47" w:rsidP="000A5389">
      <w:pPr>
        <w:spacing w:line="240" w:lineRule="auto"/>
        <w:ind w:left="-20" w:right="-20"/>
        <w:rPr>
          <w:rFonts w:cs="Times New Roman"/>
          <w:szCs w:val="24"/>
        </w:rPr>
      </w:pPr>
      <w:r w:rsidRPr="00951AB1">
        <w:rPr>
          <w:rFonts w:eastAsia="Times New Roman" w:cs="Times New Roman"/>
          <w:szCs w:val="24"/>
        </w:rPr>
        <w:t>El proceso contable de la Agencia Nacional de Infraestructura puede presentar afectaciones por aspectos tanto internos como externos; no obstante, estas situaciones son atenuadas, con el desarrollo y aplicación de acciones de mejoramiento continuo en los procesos contables.</w:t>
      </w:r>
    </w:p>
    <w:p w14:paraId="147E50A5" w14:textId="77777777" w:rsidR="00FE6C47" w:rsidRPr="00951AB1" w:rsidRDefault="00FE6C47" w:rsidP="000A5389">
      <w:pPr>
        <w:spacing w:line="240" w:lineRule="auto"/>
        <w:ind w:left="-20" w:right="-20"/>
        <w:rPr>
          <w:rFonts w:cs="Times New Roman"/>
          <w:szCs w:val="24"/>
        </w:rPr>
      </w:pPr>
      <w:r w:rsidRPr="00951AB1">
        <w:rPr>
          <w:rFonts w:eastAsia="Times New Roman" w:cs="Times New Roman"/>
          <w:szCs w:val="24"/>
        </w:rPr>
        <w:t xml:space="preserve"> </w:t>
      </w:r>
    </w:p>
    <w:p w14:paraId="4CE88B5A" w14:textId="77777777" w:rsidR="00FE6C47" w:rsidRPr="00951AB1" w:rsidRDefault="00FE6C47" w:rsidP="000A5389">
      <w:pPr>
        <w:pStyle w:val="Ttulo2"/>
        <w:numPr>
          <w:ilvl w:val="0"/>
          <w:numId w:val="0"/>
        </w:numPr>
        <w:spacing w:line="240" w:lineRule="auto"/>
        <w:ind w:right="-20"/>
        <w:rPr>
          <w:rFonts w:eastAsia="Times New Roman" w:cs="Times New Roman"/>
          <w:szCs w:val="24"/>
        </w:rPr>
      </w:pPr>
      <w:bookmarkStart w:id="132" w:name="_Toc191369489"/>
      <w:bookmarkStart w:id="133" w:name="_Toc191456819"/>
      <w:bookmarkStart w:id="134" w:name="_Toc191456929"/>
      <w:bookmarkStart w:id="135" w:name="_Toc191457039"/>
      <w:bookmarkStart w:id="136" w:name="_Toc191475666"/>
      <w:bookmarkStart w:id="137" w:name="_Toc191475775"/>
      <w:bookmarkStart w:id="138" w:name="_Toc191475884"/>
      <w:bookmarkStart w:id="139" w:name="_Toc191475407"/>
      <w:bookmarkStart w:id="140" w:name="_Toc191505783"/>
      <w:bookmarkStart w:id="141" w:name="_Toc222824095"/>
      <w:bookmarkStart w:id="142" w:name="_Toc222955461"/>
      <w:r w:rsidRPr="00951AB1">
        <w:rPr>
          <w:rFonts w:eastAsia="Times New Roman" w:cs="Times New Roman"/>
          <w:szCs w:val="24"/>
        </w:rPr>
        <w:t>3.1.</w:t>
      </w:r>
      <w:r w:rsidRPr="00951AB1">
        <w:rPr>
          <w:rFonts w:eastAsia="Times New Roman" w:cs="Times New Roman"/>
          <w:b w:val="0"/>
          <w:szCs w:val="24"/>
        </w:rPr>
        <w:t xml:space="preserve">       </w:t>
      </w:r>
      <w:r w:rsidRPr="00951AB1">
        <w:rPr>
          <w:rFonts w:eastAsia="Times New Roman" w:cs="Times New Roman"/>
          <w:szCs w:val="24"/>
        </w:rPr>
        <w:t>Juicios</w:t>
      </w:r>
      <w:bookmarkEnd w:id="132"/>
      <w:bookmarkEnd w:id="133"/>
      <w:bookmarkEnd w:id="134"/>
      <w:bookmarkEnd w:id="135"/>
      <w:bookmarkEnd w:id="136"/>
      <w:bookmarkEnd w:id="137"/>
      <w:bookmarkEnd w:id="138"/>
      <w:bookmarkEnd w:id="139"/>
      <w:bookmarkEnd w:id="140"/>
      <w:bookmarkEnd w:id="141"/>
      <w:bookmarkEnd w:id="142"/>
      <w:r w:rsidRPr="00951AB1">
        <w:rPr>
          <w:rFonts w:eastAsia="Times New Roman" w:cs="Times New Roman"/>
          <w:szCs w:val="24"/>
        </w:rPr>
        <w:t xml:space="preserve"> </w:t>
      </w:r>
    </w:p>
    <w:p w14:paraId="1036EB7E" w14:textId="77777777" w:rsidR="00FE6C47" w:rsidRPr="00951AB1" w:rsidRDefault="00FE6C47" w:rsidP="000A5389">
      <w:pPr>
        <w:spacing w:line="240" w:lineRule="auto"/>
        <w:ind w:left="-20" w:right="-20"/>
        <w:rPr>
          <w:rFonts w:cs="Times New Roman"/>
          <w:szCs w:val="24"/>
        </w:rPr>
      </w:pPr>
      <w:r w:rsidRPr="00951AB1">
        <w:rPr>
          <w:rFonts w:eastAsia="Times New Roman" w:cs="Times New Roman"/>
          <w:szCs w:val="24"/>
        </w:rPr>
        <w:t xml:space="preserve"> </w:t>
      </w:r>
    </w:p>
    <w:p w14:paraId="25F4F48D" w14:textId="77777777" w:rsidR="00FE6C47" w:rsidRPr="00951AB1" w:rsidRDefault="00FE6C47" w:rsidP="000A5389">
      <w:pPr>
        <w:spacing w:line="240" w:lineRule="auto"/>
        <w:ind w:left="-20" w:right="-20"/>
        <w:rPr>
          <w:rFonts w:cs="Times New Roman"/>
          <w:szCs w:val="24"/>
        </w:rPr>
      </w:pPr>
      <w:r w:rsidRPr="00951AB1">
        <w:rPr>
          <w:rFonts w:eastAsia="Times New Roman" w:cs="Times New Roman"/>
          <w:szCs w:val="24"/>
        </w:rPr>
        <w:t>La Agencia Nacional de Infraestructura, no consideró juicios diferentes de las políticas contables de la entidad bajo los preceptos normativos expedidos por la CGN para la elaboración de los estados financieros.</w:t>
      </w:r>
    </w:p>
    <w:p w14:paraId="41568C68" w14:textId="77777777" w:rsidR="00FE6C47" w:rsidRPr="00951AB1" w:rsidRDefault="00FE6C47" w:rsidP="000A5389">
      <w:pPr>
        <w:spacing w:line="240" w:lineRule="auto"/>
        <w:ind w:left="-20" w:right="-20"/>
        <w:rPr>
          <w:rFonts w:cs="Times New Roman"/>
          <w:szCs w:val="24"/>
        </w:rPr>
      </w:pPr>
      <w:r w:rsidRPr="00951AB1">
        <w:rPr>
          <w:rFonts w:eastAsia="Times New Roman" w:cs="Times New Roman"/>
          <w:szCs w:val="24"/>
        </w:rPr>
        <w:t xml:space="preserve"> </w:t>
      </w:r>
    </w:p>
    <w:p w14:paraId="30553AB0" w14:textId="77777777" w:rsidR="00FE6C47" w:rsidRPr="00951AB1" w:rsidRDefault="00FE6C47" w:rsidP="000A5389">
      <w:pPr>
        <w:pStyle w:val="Ttulo2"/>
        <w:numPr>
          <w:ilvl w:val="0"/>
          <w:numId w:val="0"/>
        </w:numPr>
        <w:spacing w:line="240" w:lineRule="auto"/>
        <w:ind w:right="-20"/>
        <w:rPr>
          <w:rFonts w:eastAsia="Times New Roman" w:cs="Times New Roman"/>
          <w:szCs w:val="24"/>
        </w:rPr>
      </w:pPr>
      <w:bookmarkStart w:id="143" w:name="_Toc191369490"/>
      <w:bookmarkStart w:id="144" w:name="_Toc191456820"/>
      <w:bookmarkStart w:id="145" w:name="_Toc191456930"/>
      <w:bookmarkStart w:id="146" w:name="_Toc191457040"/>
      <w:bookmarkStart w:id="147" w:name="_Toc191475667"/>
      <w:bookmarkStart w:id="148" w:name="_Toc191475776"/>
      <w:bookmarkStart w:id="149" w:name="_Toc191475885"/>
      <w:bookmarkStart w:id="150" w:name="_Toc191475408"/>
      <w:bookmarkStart w:id="151" w:name="_Toc191505784"/>
      <w:bookmarkStart w:id="152" w:name="_Toc222824096"/>
      <w:bookmarkStart w:id="153" w:name="_Toc222955462"/>
      <w:r w:rsidRPr="00951AB1">
        <w:rPr>
          <w:rFonts w:eastAsia="Times New Roman" w:cs="Times New Roman"/>
          <w:szCs w:val="24"/>
        </w:rPr>
        <w:t>3.2.</w:t>
      </w:r>
      <w:r w:rsidRPr="00951AB1">
        <w:rPr>
          <w:rFonts w:eastAsia="Times New Roman" w:cs="Times New Roman"/>
          <w:b w:val="0"/>
          <w:szCs w:val="24"/>
        </w:rPr>
        <w:t xml:space="preserve">       </w:t>
      </w:r>
      <w:r w:rsidRPr="00951AB1">
        <w:rPr>
          <w:rFonts w:eastAsia="Times New Roman" w:cs="Times New Roman"/>
          <w:szCs w:val="24"/>
        </w:rPr>
        <w:t>Estimaciones y supuestos</w:t>
      </w:r>
      <w:bookmarkEnd w:id="143"/>
      <w:bookmarkEnd w:id="144"/>
      <w:bookmarkEnd w:id="145"/>
      <w:bookmarkEnd w:id="146"/>
      <w:bookmarkEnd w:id="147"/>
      <w:bookmarkEnd w:id="148"/>
      <w:bookmarkEnd w:id="149"/>
      <w:bookmarkEnd w:id="150"/>
      <w:bookmarkEnd w:id="151"/>
      <w:bookmarkEnd w:id="152"/>
      <w:bookmarkEnd w:id="153"/>
      <w:r w:rsidRPr="00951AB1">
        <w:rPr>
          <w:rFonts w:eastAsia="Times New Roman" w:cs="Times New Roman"/>
          <w:szCs w:val="24"/>
        </w:rPr>
        <w:t xml:space="preserve"> </w:t>
      </w:r>
    </w:p>
    <w:p w14:paraId="50B941A9" w14:textId="77777777" w:rsidR="00FE6C47" w:rsidRPr="00951AB1" w:rsidRDefault="00FE6C47" w:rsidP="000A5389">
      <w:pPr>
        <w:spacing w:line="240" w:lineRule="auto"/>
        <w:ind w:left="-20" w:right="-20"/>
        <w:rPr>
          <w:rFonts w:cs="Times New Roman"/>
          <w:szCs w:val="24"/>
        </w:rPr>
      </w:pPr>
      <w:r w:rsidRPr="00951AB1">
        <w:rPr>
          <w:rFonts w:eastAsia="Times New Roman" w:cs="Times New Roman"/>
          <w:szCs w:val="24"/>
        </w:rPr>
        <w:t xml:space="preserve"> </w:t>
      </w:r>
    </w:p>
    <w:p w14:paraId="6E18D46C" w14:textId="77777777" w:rsidR="00FE6C47" w:rsidRPr="00951AB1" w:rsidRDefault="00FE6C47" w:rsidP="000A5389">
      <w:pPr>
        <w:spacing w:line="240" w:lineRule="auto"/>
        <w:ind w:left="-20" w:right="-20"/>
        <w:rPr>
          <w:rFonts w:cs="Times New Roman"/>
          <w:szCs w:val="24"/>
        </w:rPr>
      </w:pPr>
      <w:r w:rsidRPr="00951AB1">
        <w:rPr>
          <w:rFonts w:eastAsia="Times New Roman" w:cs="Times New Roman"/>
          <w:szCs w:val="24"/>
        </w:rPr>
        <w:t xml:space="preserve">La Agencia utiliza una técnica de estimación para la determinación de los activos y pasivos del modo carretero y para ello cuenta con una matriz en Excel denominada “Modelos Financieros para Propósitos Contables”, que se actualiza con el IPC y TRM, matriz que </w:t>
      </w:r>
      <w:r w:rsidRPr="00951AB1">
        <w:rPr>
          <w:rFonts w:eastAsia="Times New Roman" w:cs="Times New Roman"/>
          <w:szCs w:val="24"/>
        </w:rPr>
        <w:lastRenderedPageBreak/>
        <w:t xml:space="preserve">permite estimar acorde con la información suministrada por las áreas misionales, el comportamiento de los proyectos concesionados desde su inicio hasta el final del periodo contable a reportar. Información que contiene la ejecución del proyecto, y fue incorporada en los Estados Financieros de la Agencia.  </w:t>
      </w:r>
    </w:p>
    <w:p w14:paraId="38C5E344" w14:textId="21CE810E" w:rsidR="00FE6C47" w:rsidRPr="00951AB1" w:rsidRDefault="00FE6C47" w:rsidP="000A5389">
      <w:pPr>
        <w:spacing w:line="240" w:lineRule="auto"/>
        <w:ind w:left="-20" w:right="-20"/>
        <w:rPr>
          <w:rFonts w:cs="Times New Roman"/>
          <w:szCs w:val="24"/>
        </w:rPr>
      </w:pPr>
      <w:r w:rsidRPr="00951AB1">
        <w:rPr>
          <w:rFonts w:eastAsia="Times New Roman" w:cs="Times New Roman"/>
          <w:szCs w:val="24"/>
        </w:rPr>
        <w:t xml:space="preserve"> Para cumplir con la Norma de Acuerdos de Concesión para los proyectos del modo Férreo, la Agencia utiliza una técnica de estimación, y para ello diseñó dos formatos así: </w:t>
      </w:r>
    </w:p>
    <w:p w14:paraId="1AAC6A18" w14:textId="77777777" w:rsidR="00FE6C47" w:rsidRPr="00951AB1" w:rsidRDefault="00FE6C47" w:rsidP="000A5389">
      <w:pPr>
        <w:spacing w:line="240" w:lineRule="auto"/>
        <w:ind w:left="-20" w:right="-20"/>
        <w:rPr>
          <w:rFonts w:cs="Times New Roman"/>
          <w:szCs w:val="24"/>
        </w:rPr>
      </w:pPr>
      <w:r w:rsidRPr="00951AB1">
        <w:rPr>
          <w:rFonts w:eastAsia="Times New Roman" w:cs="Times New Roman"/>
          <w:szCs w:val="24"/>
        </w:rPr>
        <w:t xml:space="preserve"> </w:t>
      </w:r>
    </w:p>
    <w:p w14:paraId="636ECBA5" w14:textId="77777777" w:rsidR="00FE6C47" w:rsidRPr="00951AB1" w:rsidRDefault="00FE6C47" w:rsidP="000A5389">
      <w:pPr>
        <w:pStyle w:val="Prrafodelista"/>
        <w:numPr>
          <w:ilvl w:val="0"/>
          <w:numId w:val="103"/>
        </w:numPr>
        <w:spacing w:line="240" w:lineRule="auto"/>
        <w:ind w:right="-20"/>
        <w:rPr>
          <w:rFonts w:eastAsia="Times New Roman" w:cs="Times New Roman"/>
          <w:szCs w:val="24"/>
        </w:rPr>
      </w:pPr>
      <w:r w:rsidRPr="00951AB1">
        <w:rPr>
          <w:rFonts w:eastAsia="Times New Roman" w:cs="Times New Roman"/>
          <w:szCs w:val="24"/>
        </w:rPr>
        <w:t>Formato para información de bienes de uso público y propiedad planta y equipo.</w:t>
      </w:r>
    </w:p>
    <w:p w14:paraId="2C876A3C" w14:textId="77777777" w:rsidR="00FE6C47" w:rsidRPr="00951AB1" w:rsidRDefault="00FE6C47" w:rsidP="000A5389">
      <w:pPr>
        <w:pStyle w:val="Prrafodelista"/>
        <w:numPr>
          <w:ilvl w:val="0"/>
          <w:numId w:val="103"/>
        </w:numPr>
        <w:spacing w:line="240" w:lineRule="auto"/>
        <w:ind w:right="-20"/>
        <w:rPr>
          <w:rFonts w:eastAsia="Times New Roman" w:cs="Times New Roman"/>
          <w:szCs w:val="24"/>
        </w:rPr>
      </w:pPr>
      <w:r w:rsidRPr="00951AB1">
        <w:rPr>
          <w:rFonts w:eastAsia="Times New Roman" w:cs="Times New Roman"/>
          <w:szCs w:val="24"/>
        </w:rPr>
        <w:t>Formato Metodología, para la obtención de la información de bienes de uso público y propiedad planta y equipo.</w:t>
      </w:r>
    </w:p>
    <w:p w14:paraId="62034BD9" w14:textId="77777777" w:rsidR="00FE6C47" w:rsidRPr="00951AB1" w:rsidRDefault="00FE6C47" w:rsidP="000A5389">
      <w:pPr>
        <w:spacing w:line="240" w:lineRule="auto"/>
        <w:ind w:left="-20" w:right="-20"/>
        <w:rPr>
          <w:rFonts w:cs="Times New Roman"/>
          <w:szCs w:val="24"/>
        </w:rPr>
      </w:pPr>
      <w:r w:rsidRPr="00951AB1">
        <w:rPr>
          <w:rFonts w:eastAsia="Times New Roman" w:cs="Times New Roman"/>
          <w:szCs w:val="24"/>
        </w:rPr>
        <w:t xml:space="preserve"> </w:t>
      </w:r>
    </w:p>
    <w:p w14:paraId="10A428FA" w14:textId="525C56F0" w:rsidR="00FE6C47" w:rsidRPr="00951AB1" w:rsidRDefault="00FE6C47" w:rsidP="000A5389">
      <w:pPr>
        <w:spacing w:line="240" w:lineRule="auto"/>
        <w:ind w:left="-20" w:right="-20"/>
        <w:rPr>
          <w:rFonts w:eastAsia="Times New Roman" w:cs="Times New Roman"/>
          <w:szCs w:val="24"/>
        </w:rPr>
      </w:pPr>
      <w:r w:rsidRPr="00951AB1">
        <w:rPr>
          <w:rFonts w:eastAsia="Times New Roman" w:cs="Times New Roman"/>
          <w:szCs w:val="24"/>
        </w:rPr>
        <w:t>Con respecto a la información de los procesos judiciales, la Agencia expidió la Resolución</w:t>
      </w:r>
      <w:r w:rsidRPr="00951AB1">
        <w:rPr>
          <w:rFonts w:cs="Times New Roman"/>
          <w:szCs w:val="24"/>
        </w:rPr>
        <w:t xml:space="preserve"> </w:t>
      </w:r>
      <w:r w:rsidRPr="00951AB1">
        <w:rPr>
          <w:rFonts w:eastAsia="Times New Roman" w:cs="Times New Roman"/>
          <w:szCs w:val="24"/>
        </w:rPr>
        <w:t>20247010010885 del 27 de agosto de 2024, mediante la cual adoptó la Resolución 431 del 28</w:t>
      </w:r>
      <w:r w:rsidR="5353A8A4" w:rsidRPr="00951AB1">
        <w:rPr>
          <w:rFonts w:eastAsia="Times New Roman" w:cs="Times New Roman"/>
          <w:szCs w:val="24"/>
        </w:rPr>
        <w:t xml:space="preserve"> </w:t>
      </w:r>
      <w:r w:rsidRPr="00951AB1">
        <w:rPr>
          <w:rFonts w:eastAsia="Times New Roman" w:cs="Times New Roman"/>
          <w:szCs w:val="24"/>
        </w:rPr>
        <w:t>de julio de 2023 expedida por la Agencia Nacional de Defensa Jurídica del Estado ANDJE, en lo referente a la</w:t>
      </w:r>
      <w:r w:rsidRPr="00951AB1">
        <w:rPr>
          <w:rFonts w:cs="Times New Roman"/>
          <w:szCs w:val="24"/>
        </w:rPr>
        <w:t xml:space="preserve"> </w:t>
      </w:r>
      <w:r w:rsidRPr="00951AB1">
        <w:rPr>
          <w:rFonts w:eastAsia="Times New Roman" w:cs="Times New Roman"/>
          <w:szCs w:val="24"/>
        </w:rPr>
        <w:t>metodología de reconocido valor técnico para el cálculo de la obligación contingente de los procesos judiciales, conciliaciones extrajudiciales y trámites arbitrales que se adelanten contra la entidad y deban ser registrados en el sistema eKOGUI.</w:t>
      </w:r>
    </w:p>
    <w:p w14:paraId="04C4AE7B" w14:textId="77777777" w:rsidR="00FE6C47" w:rsidRPr="00951AB1" w:rsidRDefault="00FE6C47" w:rsidP="000A5389">
      <w:pPr>
        <w:spacing w:line="240" w:lineRule="auto"/>
        <w:ind w:left="-20" w:right="-20"/>
        <w:rPr>
          <w:rFonts w:eastAsia="Times New Roman" w:cs="Times New Roman"/>
          <w:szCs w:val="24"/>
        </w:rPr>
      </w:pPr>
    </w:p>
    <w:p w14:paraId="086645E1" w14:textId="53885695" w:rsidR="00FE6C47" w:rsidRPr="00951AB1" w:rsidRDefault="00FE6C47" w:rsidP="000A5389">
      <w:pPr>
        <w:spacing w:line="240" w:lineRule="auto"/>
        <w:ind w:left="-20" w:right="-20"/>
        <w:rPr>
          <w:rFonts w:cs="Times New Roman"/>
          <w:szCs w:val="24"/>
        </w:rPr>
      </w:pPr>
      <w:r w:rsidRPr="00951AB1">
        <w:rPr>
          <w:rFonts w:eastAsia="Times New Roman" w:cs="Times New Roman"/>
          <w:szCs w:val="24"/>
        </w:rPr>
        <w:t>El Grupo Interno de Trabajo de Defensa Judicial, remite la información relacionada con los procesos judiciales a favor y en contra de la entidad y de conformidad con la calificación que cada abogado realiza, de forma semestral, a través del Ekogui y el formato interno para los Laudos Arbitrales.</w:t>
      </w:r>
    </w:p>
    <w:p w14:paraId="56938E1F" w14:textId="77777777" w:rsidR="00FE6C47" w:rsidRPr="00951AB1" w:rsidRDefault="00FE6C47" w:rsidP="000A5389">
      <w:pPr>
        <w:spacing w:line="240" w:lineRule="auto"/>
        <w:ind w:left="-20" w:right="-20"/>
        <w:rPr>
          <w:rFonts w:cs="Times New Roman"/>
          <w:szCs w:val="24"/>
        </w:rPr>
      </w:pPr>
      <w:r w:rsidRPr="00951AB1">
        <w:rPr>
          <w:rFonts w:eastAsia="Times New Roman" w:cs="Times New Roman"/>
          <w:szCs w:val="24"/>
        </w:rPr>
        <w:t xml:space="preserve"> </w:t>
      </w:r>
    </w:p>
    <w:p w14:paraId="75C01CBE" w14:textId="77777777" w:rsidR="00FE6C47" w:rsidRPr="00951AB1" w:rsidRDefault="00FE6C47" w:rsidP="000A5389">
      <w:pPr>
        <w:pStyle w:val="Ttulo2"/>
        <w:numPr>
          <w:ilvl w:val="0"/>
          <w:numId w:val="0"/>
        </w:numPr>
        <w:spacing w:line="240" w:lineRule="auto"/>
        <w:ind w:right="-20"/>
        <w:rPr>
          <w:rFonts w:eastAsia="Times New Roman" w:cs="Times New Roman"/>
          <w:szCs w:val="24"/>
        </w:rPr>
      </w:pPr>
      <w:bookmarkStart w:id="154" w:name="_Toc191369491"/>
      <w:bookmarkStart w:id="155" w:name="_Toc191456821"/>
      <w:bookmarkStart w:id="156" w:name="_Toc191456931"/>
      <w:bookmarkStart w:id="157" w:name="_Toc191457041"/>
      <w:bookmarkStart w:id="158" w:name="_Toc191475668"/>
      <w:bookmarkStart w:id="159" w:name="_Toc191475777"/>
      <w:bookmarkStart w:id="160" w:name="_Toc191475886"/>
      <w:bookmarkStart w:id="161" w:name="_Toc191475409"/>
      <w:bookmarkStart w:id="162" w:name="_Toc191505785"/>
      <w:bookmarkStart w:id="163" w:name="_Toc222824097"/>
      <w:bookmarkStart w:id="164" w:name="_Toc222955463"/>
      <w:r w:rsidRPr="00951AB1">
        <w:rPr>
          <w:rFonts w:eastAsia="Times New Roman" w:cs="Times New Roman"/>
          <w:szCs w:val="24"/>
        </w:rPr>
        <w:t>3.3.</w:t>
      </w:r>
      <w:r w:rsidRPr="00951AB1">
        <w:rPr>
          <w:rFonts w:eastAsia="Times New Roman" w:cs="Times New Roman"/>
          <w:b w:val="0"/>
          <w:szCs w:val="24"/>
        </w:rPr>
        <w:t xml:space="preserve">       </w:t>
      </w:r>
      <w:r w:rsidRPr="00951AB1">
        <w:rPr>
          <w:rFonts w:eastAsia="Times New Roman" w:cs="Times New Roman"/>
          <w:szCs w:val="24"/>
        </w:rPr>
        <w:t>Correcciones contables</w:t>
      </w:r>
      <w:bookmarkEnd w:id="154"/>
      <w:bookmarkEnd w:id="155"/>
      <w:bookmarkEnd w:id="156"/>
      <w:bookmarkEnd w:id="157"/>
      <w:bookmarkEnd w:id="158"/>
      <w:bookmarkEnd w:id="159"/>
      <w:bookmarkEnd w:id="160"/>
      <w:bookmarkEnd w:id="161"/>
      <w:bookmarkEnd w:id="162"/>
      <w:bookmarkEnd w:id="163"/>
      <w:bookmarkEnd w:id="164"/>
      <w:r w:rsidRPr="00951AB1">
        <w:rPr>
          <w:rFonts w:eastAsia="Times New Roman" w:cs="Times New Roman"/>
          <w:szCs w:val="24"/>
        </w:rPr>
        <w:t xml:space="preserve"> </w:t>
      </w:r>
    </w:p>
    <w:p w14:paraId="661B8AED" w14:textId="77777777" w:rsidR="00FE6C47" w:rsidRPr="00951AB1" w:rsidRDefault="00FE6C47" w:rsidP="000A5389">
      <w:pPr>
        <w:spacing w:line="240" w:lineRule="auto"/>
        <w:ind w:left="-20" w:right="-20"/>
        <w:rPr>
          <w:rFonts w:cs="Times New Roman"/>
          <w:szCs w:val="24"/>
        </w:rPr>
      </w:pPr>
      <w:r w:rsidRPr="00951AB1">
        <w:rPr>
          <w:rFonts w:eastAsia="Times New Roman" w:cs="Times New Roman"/>
          <w:szCs w:val="24"/>
        </w:rPr>
        <w:t xml:space="preserve"> </w:t>
      </w:r>
    </w:p>
    <w:p w14:paraId="49AD8123" w14:textId="77777777" w:rsidR="00FE6C47" w:rsidRPr="00951AB1" w:rsidRDefault="00FE6C47" w:rsidP="000A5389">
      <w:pPr>
        <w:spacing w:line="240" w:lineRule="auto"/>
        <w:ind w:left="-20" w:right="-20"/>
        <w:rPr>
          <w:rFonts w:eastAsia="Times New Roman" w:cs="Times New Roman"/>
          <w:szCs w:val="24"/>
        </w:rPr>
      </w:pPr>
      <w:r w:rsidRPr="00951AB1">
        <w:rPr>
          <w:rFonts w:eastAsia="Times New Roman" w:cs="Times New Roman"/>
          <w:szCs w:val="24"/>
        </w:rPr>
        <w:t>Para la preparación de la información contable, la entidad realiza las correcciones, cambios en políticas contables y estimaciones que consideren son justificadas, cuyos efectos están incorporados en las cifras presentadas en los diferentes elementos de los estados financieros, bien en el patrimonio para el caso de las correcciones de periodos anteriores, o en los resultados del periodo. Como medida preventiva la Agencia efectúa conciliación de cifras y registros con las demás áreas administrativas y misionales que suministran información para registros contables, con el fin de evitar inconsistencias y minimizar errores.</w:t>
      </w:r>
    </w:p>
    <w:p w14:paraId="203FE9CB" w14:textId="77777777" w:rsidR="00FE6C47" w:rsidRPr="00951AB1" w:rsidRDefault="00FE6C47" w:rsidP="000A5389">
      <w:pPr>
        <w:spacing w:line="240" w:lineRule="auto"/>
        <w:ind w:left="-20" w:right="-20"/>
        <w:rPr>
          <w:rFonts w:cs="Times New Roman"/>
          <w:szCs w:val="24"/>
        </w:rPr>
      </w:pPr>
      <w:r w:rsidRPr="00951AB1">
        <w:rPr>
          <w:rFonts w:eastAsia="Times New Roman" w:cs="Times New Roman"/>
          <w:szCs w:val="24"/>
        </w:rPr>
        <w:t xml:space="preserve"> </w:t>
      </w:r>
    </w:p>
    <w:p w14:paraId="39509842" w14:textId="2A6C8C49" w:rsidR="00707C6B" w:rsidRPr="00951AB1" w:rsidRDefault="00FE6C47" w:rsidP="000A5389">
      <w:pPr>
        <w:spacing w:line="240" w:lineRule="auto"/>
        <w:ind w:left="-20" w:right="-20"/>
        <w:rPr>
          <w:rFonts w:cs="Times New Roman"/>
          <w:szCs w:val="24"/>
        </w:rPr>
      </w:pPr>
      <w:r w:rsidRPr="00951AB1">
        <w:rPr>
          <w:rFonts w:eastAsia="Times New Roman" w:cs="Times New Roman"/>
          <w:szCs w:val="24"/>
        </w:rPr>
        <w:t>Los principales movimientos realizados por correcciones contables se revelan en la nota 2</w:t>
      </w:r>
      <w:r w:rsidR="30C50A23" w:rsidRPr="00951AB1">
        <w:rPr>
          <w:rFonts w:eastAsia="Times New Roman" w:cs="Times New Roman"/>
          <w:szCs w:val="24"/>
        </w:rPr>
        <w:t>6</w:t>
      </w:r>
      <w:r w:rsidRPr="00951AB1">
        <w:rPr>
          <w:rFonts w:eastAsia="Times New Roman" w:cs="Times New Roman"/>
          <w:szCs w:val="24"/>
        </w:rPr>
        <w:t>.</w:t>
      </w:r>
      <w:r w:rsidR="085800FE" w:rsidRPr="00951AB1">
        <w:rPr>
          <w:rFonts w:eastAsia="Times New Roman" w:cs="Times New Roman"/>
          <w:szCs w:val="24"/>
        </w:rPr>
        <w:t>1</w:t>
      </w:r>
      <w:r w:rsidRPr="00951AB1">
        <w:rPr>
          <w:rFonts w:eastAsia="Times New Roman" w:cs="Times New Roman"/>
          <w:szCs w:val="24"/>
        </w:rPr>
        <w:t>. Resultados de Ejercicios anteriores.</w:t>
      </w:r>
    </w:p>
    <w:p w14:paraId="3A193E88" w14:textId="77777777" w:rsidR="00FE6C47" w:rsidRPr="00951AB1" w:rsidRDefault="00FE6C47" w:rsidP="000A5389">
      <w:pPr>
        <w:spacing w:line="240" w:lineRule="auto"/>
        <w:ind w:left="-20" w:right="-20"/>
        <w:rPr>
          <w:rFonts w:cs="Times New Roman"/>
          <w:szCs w:val="24"/>
        </w:rPr>
      </w:pPr>
      <w:r w:rsidRPr="00951AB1">
        <w:rPr>
          <w:rFonts w:eastAsia="Times New Roman" w:cs="Times New Roman"/>
          <w:szCs w:val="24"/>
        </w:rPr>
        <w:t xml:space="preserve"> </w:t>
      </w:r>
    </w:p>
    <w:p w14:paraId="7580C789" w14:textId="77777777" w:rsidR="00FE6C47" w:rsidRPr="00951AB1" w:rsidRDefault="00FE6C47" w:rsidP="000A5389">
      <w:pPr>
        <w:pStyle w:val="Ttulo2"/>
        <w:numPr>
          <w:ilvl w:val="0"/>
          <w:numId w:val="0"/>
        </w:numPr>
        <w:spacing w:line="240" w:lineRule="auto"/>
        <w:ind w:right="-20"/>
        <w:rPr>
          <w:rFonts w:eastAsia="Times New Roman" w:cs="Times New Roman"/>
          <w:szCs w:val="24"/>
        </w:rPr>
      </w:pPr>
      <w:bookmarkStart w:id="165" w:name="_Toc191369492"/>
      <w:bookmarkStart w:id="166" w:name="_Toc191456822"/>
      <w:bookmarkStart w:id="167" w:name="_Toc191456932"/>
      <w:bookmarkStart w:id="168" w:name="_Toc191457042"/>
      <w:bookmarkStart w:id="169" w:name="_Toc191475669"/>
      <w:bookmarkStart w:id="170" w:name="_Toc191475778"/>
      <w:bookmarkStart w:id="171" w:name="_Toc191475887"/>
      <w:bookmarkStart w:id="172" w:name="_Toc191475410"/>
      <w:bookmarkStart w:id="173" w:name="_Toc191505786"/>
      <w:bookmarkStart w:id="174" w:name="_Toc222824098"/>
      <w:bookmarkStart w:id="175" w:name="_Toc222955464"/>
      <w:r w:rsidRPr="00951AB1">
        <w:rPr>
          <w:rFonts w:eastAsia="Times New Roman" w:cs="Times New Roman"/>
          <w:szCs w:val="24"/>
        </w:rPr>
        <w:t>3.4.</w:t>
      </w:r>
      <w:r w:rsidRPr="00951AB1">
        <w:rPr>
          <w:rFonts w:eastAsia="Times New Roman" w:cs="Times New Roman"/>
          <w:b w:val="0"/>
          <w:szCs w:val="24"/>
        </w:rPr>
        <w:t xml:space="preserve">       </w:t>
      </w:r>
      <w:r w:rsidRPr="00951AB1">
        <w:rPr>
          <w:rFonts w:eastAsia="Times New Roman" w:cs="Times New Roman"/>
          <w:szCs w:val="24"/>
        </w:rPr>
        <w:t>Riesgos asociados a los instrumentos financieros</w:t>
      </w:r>
      <w:bookmarkEnd w:id="165"/>
      <w:bookmarkEnd w:id="166"/>
      <w:bookmarkEnd w:id="167"/>
      <w:bookmarkEnd w:id="168"/>
      <w:bookmarkEnd w:id="169"/>
      <w:bookmarkEnd w:id="170"/>
      <w:bookmarkEnd w:id="171"/>
      <w:bookmarkEnd w:id="172"/>
      <w:bookmarkEnd w:id="173"/>
      <w:bookmarkEnd w:id="174"/>
      <w:bookmarkEnd w:id="175"/>
    </w:p>
    <w:p w14:paraId="6873D4B1" w14:textId="77777777" w:rsidR="00FE6C47" w:rsidRPr="00951AB1" w:rsidRDefault="00FE6C47" w:rsidP="000A5389">
      <w:pPr>
        <w:spacing w:line="240" w:lineRule="auto"/>
        <w:ind w:left="-20" w:right="-20"/>
        <w:rPr>
          <w:rFonts w:cs="Times New Roman"/>
          <w:szCs w:val="24"/>
        </w:rPr>
      </w:pPr>
      <w:r w:rsidRPr="00951AB1">
        <w:rPr>
          <w:rFonts w:eastAsia="Times New Roman" w:cs="Times New Roman"/>
          <w:szCs w:val="24"/>
        </w:rPr>
        <w:t xml:space="preserve"> </w:t>
      </w:r>
    </w:p>
    <w:p w14:paraId="022CE15A" w14:textId="0A58E1F6" w:rsidR="00EC658F" w:rsidRDefault="00FE6C47" w:rsidP="000A5389">
      <w:pPr>
        <w:spacing w:line="240" w:lineRule="auto"/>
        <w:ind w:left="-20" w:right="-20" w:firstLine="8"/>
        <w:rPr>
          <w:rFonts w:eastAsia="Times New Roman" w:cs="Times New Roman"/>
          <w:szCs w:val="24"/>
        </w:rPr>
      </w:pPr>
      <w:r w:rsidRPr="00951AB1">
        <w:rPr>
          <w:rFonts w:eastAsia="Times New Roman" w:cs="Times New Roman"/>
          <w:szCs w:val="24"/>
        </w:rPr>
        <w:t>La Agencia Nacional de Infraestructura, a cierre de la vigencia 202</w:t>
      </w:r>
      <w:r w:rsidR="337F0DAE" w:rsidRPr="00951AB1">
        <w:rPr>
          <w:rFonts w:eastAsia="Times New Roman" w:cs="Times New Roman"/>
          <w:szCs w:val="24"/>
        </w:rPr>
        <w:t>5</w:t>
      </w:r>
      <w:r w:rsidRPr="00951AB1">
        <w:rPr>
          <w:rFonts w:eastAsia="Times New Roman" w:cs="Times New Roman"/>
          <w:szCs w:val="24"/>
        </w:rPr>
        <w:t xml:space="preserve"> </w:t>
      </w:r>
      <w:r w:rsidR="00EC658F" w:rsidRPr="00951AB1">
        <w:rPr>
          <w:rFonts w:eastAsia="Times New Roman" w:cs="Times New Roman"/>
          <w:szCs w:val="24"/>
        </w:rPr>
        <w:t>no presenta exposición significativa a instrumentos financieros complejos.</w:t>
      </w:r>
    </w:p>
    <w:p w14:paraId="4294B7C0" w14:textId="77777777" w:rsidR="00FE1E23" w:rsidRDefault="00FE1E23" w:rsidP="000A5389">
      <w:pPr>
        <w:spacing w:line="240" w:lineRule="auto"/>
        <w:ind w:left="-20" w:right="-20" w:firstLine="8"/>
        <w:rPr>
          <w:rFonts w:eastAsia="Times New Roman" w:cs="Times New Roman"/>
          <w:szCs w:val="24"/>
        </w:rPr>
      </w:pPr>
    </w:p>
    <w:p w14:paraId="435E8D72" w14:textId="77777777" w:rsidR="00FE1E23" w:rsidRPr="00951AB1" w:rsidRDefault="00FE1E23" w:rsidP="000A5389">
      <w:pPr>
        <w:spacing w:line="240" w:lineRule="auto"/>
        <w:ind w:left="-20" w:right="-20" w:firstLine="8"/>
        <w:rPr>
          <w:rFonts w:eastAsia="Times New Roman" w:cs="Times New Roman"/>
          <w:szCs w:val="24"/>
        </w:rPr>
      </w:pPr>
    </w:p>
    <w:p w14:paraId="08A74A9C" w14:textId="529A3D42" w:rsidR="00FE6C47" w:rsidRPr="00951AB1" w:rsidRDefault="00FE6C47" w:rsidP="000A5389">
      <w:pPr>
        <w:spacing w:line="240" w:lineRule="auto"/>
        <w:ind w:left="-20" w:right="-20" w:firstLine="8"/>
        <w:rPr>
          <w:rFonts w:cs="Times New Roman"/>
          <w:szCs w:val="24"/>
        </w:rPr>
      </w:pPr>
      <w:r w:rsidRPr="00951AB1">
        <w:rPr>
          <w:rFonts w:eastAsia="Times New Roman" w:cs="Times New Roman"/>
          <w:szCs w:val="24"/>
        </w:rPr>
        <w:t xml:space="preserve"> </w:t>
      </w:r>
    </w:p>
    <w:p w14:paraId="14E5EAE9" w14:textId="77777777" w:rsidR="00FE6C47" w:rsidRPr="00951AB1" w:rsidRDefault="00FE6C47" w:rsidP="000A5389">
      <w:pPr>
        <w:pStyle w:val="Ttulo1"/>
        <w:spacing w:line="240" w:lineRule="auto"/>
        <w:ind w:left="-20" w:right="-20"/>
        <w:rPr>
          <w:rFonts w:cs="Times New Roman"/>
          <w:sz w:val="24"/>
          <w:szCs w:val="24"/>
        </w:rPr>
      </w:pPr>
      <w:bookmarkStart w:id="176" w:name="_Toc191369493"/>
      <w:bookmarkStart w:id="177" w:name="_Toc191456823"/>
      <w:bookmarkStart w:id="178" w:name="_Toc191456933"/>
      <w:bookmarkStart w:id="179" w:name="_Toc191457043"/>
      <w:bookmarkStart w:id="180" w:name="_Toc191475670"/>
      <w:bookmarkStart w:id="181" w:name="_Toc191475779"/>
      <w:bookmarkStart w:id="182" w:name="_Toc191475888"/>
      <w:bookmarkStart w:id="183" w:name="_Toc191475411"/>
      <w:bookmarkStart w:id="184" w:name="_Toc191505787"/>
      <w:bookmarkStart w:id="185" w:name="_Toc222824099"/>
      <w:bookmarkStart w:id="186" w:name="_Toc222955465"/>
      <w:r w:rsidRPr="00951AB1">
        <w:rPr>
          <w:rFonts w:eastAsia="Times New Roman" w:cs="Times New Roman"/>
          <w:sz w:val="24"/>
          <w:szCs w:val="24"/>
        </w:rPr>
        <w:lastRenderedPageBreak/>
        <w:t>NOTA 4. RESUMEN DE POLÍTICAS CONTABLES</w:t>
      </w:r>
      <w:bookmarkEnd w:id="176"/>
      <w:bookmarkEnd w:id="177"/>
      <w:bookmarkEnd w:id="178"/>
      <w:bookmarkEnd w:id="179"/>
      <w:bookmarkEnd w:id="180"/>
      <w:bookmarkEnd w:id="181"/>
      <w:bookmarkEnd w:id="182"/>
      <w:bookmarkEnd w:id="183"/>
      <w:bookmarkEnd w:id="184"/>
      <w:bookmarkEnd w:id="185"/>
      <w:bookmarkEnd w:id="186"/>
    </w:p>
    <w:p w14:paraId="5371B4E0" w14:textId="77777777" w:rsidR="00FE6C47" w:rsidRPr="00951AB1" w:rsidRDefault="00FE6C47" w:rsidP="000A5389">
      <w:pPr>
        <w:spacing w:line="240" w:lineRule="auto"/>
        <w:ind w:left="-20" w:right="-20"/>
        <w:rPr>
          <w:rFonts w:cs="Times New Roman"/>
          <w:szCs w:val="24"/>
        </w:rPr>
      </w:pPr>
      <w:r w:rsidRPr="00951AB1">
        <w:rPr>
          <w:rFonts w:eastAsia="Times New Roman" w:cs="Times New Roman"/>
          <w:szCs w:val="24"/>
        </w:rPr>
        <w:t xml:space="preserve"> </w:t>
      </w:r>
    </w:p>
    <w:p w14:paraId="4C34D31C" w14:textId="77777777" w:rsidR="00FE6C47" w:rsidRPr="00951AB1" w:rsidRDefault="00FE6C47" w:rsidP="000A5389">
      <w:pPr>
        <w:tabs>
          <w:tab w:val="left" w:pos="426"/>
          <w:tab w:val="left" w:pos="708"/>
          <w:tab w:val="left" w:pos="1416"/>
          <w:tab w:val="left" w:pos="2124"/>
          <w:tab w:val="left" w:pos="2832"/>
          <w:tab w:val="left" w:pos="3540"/>
          <w:tab w:val="left" w:pos="4248"/>
          <w:tab w:val="left" w:pos="4956"/>
          <w:tab w:val="left" w:pos="5664"/>
          <w:tab w:val="left" w:pos="6372"/>
          <w:tab w:val="left" w:pos="7080"/>
          <w:tab w:val="left" w:pos="7788"/>
        </w:tabs>
        <w:spacing w:line="240" w:lineRule="auto"/>
        <w:ind w:left="-20" w:right="49"/>
        <w:rPr>
          <w:rFonts w:cs="Times New Roman"/>
          <w:szCs w:val="24"/>
        </w:rPr>
      </w:pPr>
      <w:r w:rsidRPr="00951AB1">
        <w:rPr>
          <w:rFonts w:eastAsia="Times New Roman" w:cs="Times New Roman"/>
          <w:color w:val="000000" w:themeColor="text1"/>
          <w:szCs w:val="24"/>
        </w:rPr>
        <w:t>En el documento denominado “</w:t>
      </w:r>
      <w:r w:rsidRPr="00951AB1">
        <w:rPr>
          <w:rFonts w:eastAsia="Times New Roman" w:cs="Times New Roman"/>
          <w:i/>
          <w:iCs/>
          <w:color w:val="000000" w:themeColor="text1"/>
          <w:szCs w:val="24"/>
        </w:rPr>
        <w:t>Manual de Políticas Contables”</w:t>
      </w:r>
      <w:r w:rsidRPr="00951AB1">
        <w:rPr>
          <w:rFonts w:eastAsia="Times New Roman" w:cs="Times New Roman"/>
          <w:color w:val="000000" w:themeColor="text1"/>
          <w:szCs w:val="24"/>
        </w:rPr>
        <w:t>, GADF-M-008, se dan a conocer los lineamientos mínimos a seguir para lograr la uniformidad de la información contable y que deben ser aplicados para la preparación de los Estados Financieros.</w:t>
      </w:r>
    </w:p>
    <w:p w14:paraId="2193BBEE" w14:textId="77777777" w:rsidR="00FE6C47" w:rsidRPr="00951AB1" w:rsidRDefault="00FE6C47" w:rsidP="000A5389">
      <w:pPr>
        <w:tabs>
          <w:tab w:val="left" w:pos="426"/>
          <w:tab w:val="left" w:pos="708"/>
          <w:tab w:val="left" w:pos="1416"/>
          <w:tab w:val="left" w:pos="2124"/>
          <w:tab w:val="left" w:pos="2832"/>
          <w:tab w:val="left" w:pos="3540"/>
          <w:tab w:val="left" w:pos="4248"/>
          <w:tab w:val="left" w:pos="4956"/>
          <w:tab w:val="left" w:pos="5664"/>
          <w:tab w:val="left" w:pos="6372"/>
          <w:tab w:val="left" w:pos="7080"/>
          <w:tab w:val="left" w:pos="7788"/>
        </w:tabs>
        <w:spacing w:line="240" w:lineRule="auto"/>
        <w:ind w:left="-20" w:right="49"/>
        <w:rPr>
          <w:rFonts w:cs="Times New Roman"/>
          <w:szCs w:val="24"/>
        </w:rPr>
      </w:pPr>
      <w:r w:rsidRPr="00951AB1">
        <w:rPr>
          <w:rFonts w:eastAsia="Times New Roman" w:cs="Times New Roman"/>
          <w:color w:val="000000" w:themeColor="text1"/>
          <w:szCs w:val="24"/>
        </w:rPr>
        <w:t xml:space="preserve"> </w:t>
      </w:r>
    </w:p>
    <w:p w14:paraId="3B9D5C5F" w14:textId="77777777" w:rsidR="00FE6C47" w:rsidRPr="00951AB1" w:rsidRDefault="00FE6C47" w:rsidP="000A5389">
      <w:pPr>
        <w:spacing w:line="240" w:lineRule="auto"/>
        <w:ind w:left="-20" w:right="-20"/>
        <w:rPr>
          <w:rFonts w:eastAsia="Times New Roman" w:cs="Times New Roman"/>
          <w:szCs w:val="24"/>
        </w:rPr>
      </w:pPr>
      <w:r w:rsidRPr="00951AB1">
        <w:rPr>
          <w:rFonts w:eastAsia="Times New Roman" w:cs="Times New Roman"/>
          <w:szCs w:val="24"/>
        </w:rPr>
        <w:t xml:space="preserve">El proceso contable está diseñado por etapas, las cuales le permiten registrar los hechos económicos conforme a las políticas contables establecidas por la Agencia, en el manual contable, instructivos, formatos, guías, circulares y de acuerdo con los pronunciamientos y normas que emita la Contaduría General de la Nación. </w:t>
      </w:r>
    </w:p>
    <w:p w14:paraId="1EED8A38" w14:textId="77777777" w:rsidR="00FE6C47" w:rsidRPr="00951AB1" w:rsidRDefault="00FE6C47" w:rsidP="000A5389">
      <w:pPr>
        <w:spacing w:line="240" w:lineRule="auto"/>
        <w:ind w:left="-20" w:right="-20"/>
        <w:rPr>
          <w:rFonts w:cs="Times New Roman"/>
          <w:szCs w:val="24"/>
        </w:rPr>
      </w:pPr>
      <w:r w:rsidRPr="00951AB1">
        <w:rPr>
          <w:rFonts w:eastAsia="Times New Roman" w:cs="Times New Roman"/>
          <w:szCs w:val="24"/>
        </w:rPr>
        <w:t xml:space="preserve"> </w:t>
      </w:r>
    </w:p>
    <w:p w14:paraId="19DC5ACA" w14:textId="77777777" w:rsidR="00FE6C47" w:rsidRPr="00951AB1" w:rsidRDefault="00FE6C47" w:rsidP="000A5389">
      <w:pPr>
        <w:spacing w:line="240" w:lineRule="auto"/>
        <w:ind w:left="-20" w:right="-20"/>
        <w:rPr>
          <w:rFonts w:cs="Times New Roman"/>
          <w:szCs w:val="24"/>
        </w:rPr>
      </w:pPr>
      <w:r w:rsidRPr="00951AB1">
        <w:rPr>
          <w:rFonts w:eastAsia="Times New Roman" w:cs="Times New Roman"/>
          <w:szCs w:val="24"/>
        </w:rPr>
        <w:t xml:space="preserve">La Agencia Nacional de Infraestructura reconocerá un ACTIVO en sus Estados Financieros cuando este represente un recurso controlado, producto de sucesos pasados de los cuales espera obtener beneficios económicos o potenciales de servicios futuros. </w:t>
      </w:r>
    </w:p>
    <w:p w14:paraId="3593C60F" w14:textId="77777777" w:rsidR="00FE6C47" w:rsidRPr="00951AB1" w:rsidRDefault="00FE6C47" w:rsidP="000A5389">
      <w:pPr>
        <w:spacing w:line="240" w:lineRule="auto"/>
        <w:ind w:left="-20" w:right="-20"/>
        <w:rPr>
          <w:rFonts w:cs="Times New Roman"/>
          <w:szCs w:val="24"/>
        </w:rPr>
      </w:pPr>
      <w:r w:rsidRPr="00951AB1">
        <w:rPr>
          <w:rFonts w:eastAsia="Times New Roman" w:cs="Times New Roman"/>
          <w:szCs w:val="24"/>
        </w:rPr>
        <w:t xml:space="preserve"> </w:t>
      </w:r>
    </w:p>
    <w:p w14:paraId="0121FCA7" w14:textId="77777777" w:rsidR="00FE6C47" w:rsidRPr="00951AB1" w:rsidRDefault="00FE6C47" w:rsidP="000A5389">
      <w:pPr>
        <w:spacing w:line="240" w:lineRule="auto"/>
        <w:ind w:left="-20" w:right="-20"/>
        <w:rPr>
          <w:rFonts w:cs="Times New Roman"/>
          <w:szCs w:val="24"/>
        </w:rPr>
      </w:pPr>
      <w:r w:rsidRPr="00951AB1">
        <w:rPr>
          <w:rFonts w:eastAsia="Times New Roman" w:cs="Times New Roman"/>
          <w:szCs w:val="24"/>
        </w:rPr>
        <w:t>La Agencia Nacional de Infraestructura reconocerá un PASIVO cuando sea una obligación presente producto de sucesos pasados para cuya cancelación, una vez vencida, deberá desprenderse de recursos que incorporan beneficios económicos o un potencial de servicio.</w:t>
      </w:r>
    </w:p>
    <w:p w14:paraId="0FE645EC" w14:textId="77777777" w:rsidR="00FE6C47" w:rsidRPr="00951AB1" w:rsidRDefault="00FE6C47" w:rsidP="000A5389">
      <w:pPr>
        <w:spacing w:line="240" w:lineRule="auto"/>
        <w:ind w:left="-20" w:right="-20"/>
        <w:rPr>
          <w:rFonts w:cs="Times New Roman"/>
          <w:szCs w:val="24"/>
        </w:rPr>
      </w:pPr>
      <w:r w:rsidRPr="00951AB1">
        <w:rPr>
          <w:rFonts w:eastAsia="Times New Roman" w:cs="Times New Roman"/>
          <w:szCs w:val="24"/>
        </w:rPr>
        <w:t xml:space="preserve"> </w:t>
      </w:r>
    </w:p>
    <w:p w14:paraId="10152B81" w14:textId="77777777" w:rsidR="00FE6C47" w:rsidRPr="00951AB1" w:rsidRDefault="00FE6C47" w:rsidP="000A5389">
      <w:pPr>
        <w:spacing w:line="240" w:lineRule="auto"/>
        <w:ind w:left="-20" w:right="-20"/>
        <w:rPr>
          <w:rFonts w:eastAsia="Times New Roman" w:cs="Times New Roman"/>
          <w:szCs w:val="24"/>
        </w:rPr>
      </w:pPr>
      <w:r w:rsidRPr="00951AB1">
        <w:rPr>
          <w:rFonts w:eastAsia="Times New Roman" w:cs="Times New Roman"/>
          <w:szCs w:val="24"/>
        </w:rPr>
        <w:t>Se reconocerá un INGRESO cuando éste represente un incremento en los beneficios económicos o potencial de servicio producidos a lo largo del periodo contable, se presentan en forma de entradas o incrementos de valor de los activos, o bien como salidas o decrementos de los pasivos que dan como resultado aumentos del patrimonio y no están relacionados con el incremento del capital fiscal.</w:t>
      </w:r>
    </w:p>
    <w:p w14:paraId="1732BEC2" w14:textId="77777777" w:rsidR="00FE6C47" w:rsidRPr="00951AB1" w:rsidRDefault="00FE6C47" w:rsidP="000A5389">
      <w:pPr>
        <w:spacing w:line="240" w:lineRule="auto"/>
        <w:ind w:left="-20" w:right="-20"/>
        <w:rPr>
          <w:rFonts w:cs="Times New Roman"/>
          <w:szCs w:val="24"/>
        </w:rPr>
      </w:pPr>
      <w:r w:rsidRPr="00951AB1">
        <w:rPr>
          <w:rFonts w:eastAsia="Times New Roman" w:cs="Times New Roman"/>
          <w:szCs w:val="24"/>
        </w:rPr>
        <w:t xml:space="preserve"> </w:t>
      </w:r>
    </w:p>
    <w:p w14:paraId="10CCCDDE" w14:textId="77777777" w:rsidR="00FE6C47" w:rsidRPr="00951AB1" w:rsidRDefault="00FE6C47" w:rsidP="000A5389">
      <w:pPr>
        <w:spacing w:line="240" w:lineRule="auto"/>
        <w:ind w:left="-20" w:right="-20"/>
        <w:rPr>
          <w:rFonts w:eastAsia="Times New Roman" w:cs="Times New Roman"/>
          <w:szCs w:val="24"/>
        </w:rPr>
      </w:pPr>
      <w:r w:rsidRPr="00951AB1">
        <w:rPr>
          <w:rFonts w:eastAsia="Times New Roman" w:cs="Times New Roman"/>
          <w:szCs w:val="24"/>
        </w:rPr>
        <w:t>Se reconocerá un GASTO cuando éste represente un decremento en los beneficios económicos o potencial de servicio producidos a lo largo del periodo contable, bien en forma de salidas o disminuciones del valor de los activos, o bien por la generación o aumento de los pasivos, que dan como resultado decrementos en el patrimonio y no están asociados con la adquisición o producción de bienes y la prestación de servicios vendidos.</w:t>
      </w:r>
    </w:p>
    <w:p w14:paraId="1C026E04" w14:textId="77777777" w:rsidR="00FE6C47" w:rsidRPr="00951AB1" w:rsidRDefault="00FE6C47" w:rsidP="000A5389">
      <w:pPr>
        <w:spacing w:line="240" w:lineRule="auto"/>
        <w:rPr>
          <w:rFonts w:cs="Times New Roman"/>
          <w:szCs w:val="24"/>
        </w:rPr>
      </w:pPr>
    </w:p>
    <w:p w14:paraId="24435FAA" w14:textId="77777777" w:rsidR="00FE6C47" w:rsidRPr="00951AB1" w:rsidRDefault="00FE6C47" w:rsidP="000A5389">
      <w:pPr>
        <w:tabs>
          <w:tab w:val="left" w:pos="426"/>
          <w:tab w:val="left" w:pos="708"/>
          <w:tab w:val="left" w:pos="1416"/>
          <w:tab w:val="left" w:pos="2124"/>
          <w:tab w:val="left" w:pos="2832"/>
          <w:tab w:val="left" w:pos="3540"/>
          <w:tab w:val="left" w:pos="4248"/>
          <w:tab w:val="left" w:pos="4956"/>
          <w:tab w:val="left" w:pos="5664"/>
          <w:tab w:val="left" w:pos="6372"/>
          <w:tab w:val="left" w:pos="7080"/>
          <w:tab w:val="left" w:pos="7788"/>
        </w:tabs>
        <w:spacing w:line="240" w:lineRule="auto"/>
        <w:ind w:right="49"/>
        <w:rPr>
          <w:rFonts w:cs="Times New Roman"/>
          <w:i/>
          <w:iCs/>
          <w:szCs w:val="24"/>
        </w:rPr>
      </w:pPr>
      <w:r w:rsidRPr="00951AB1">
        <w:rPr>
          <w:rFonts w:cs="Times New Roman"/>
          <w:szCs w:val="24"/>
        </w:rPr>
        <w:t>El Manual de Políticas Contables se encuentra publicado en la página web de la entidad para su consulta.</w:t>
      </w:r>
    </w:p>
    <w:p w14:paraId="47B9D489" w14:textId="77777777" w:rsidR="00FE6C47" w:rsidRPr="00951AB1" w:rsidRDefault="00FE6C47" w:rsidP="000A5389">
      <w:pPr>
        <w:spacing w:line="240" w:lineRule="auto"/>
        <w:rPr>
          <w:rFonts w:cs="Times New Roman"/>
          <w:szCs w:val="24"/>
        </w:rPr>
      </w:pPr>
    </w:p>
    <w:p w14:paraId="3F1B70D0" w14:textId="77777777" w:rsidR="00FE6C47" w:rsidRPr="00951AB1" w:rsidRDefault="00FE6C47" w:rsidP="000A5389">
      <w:pPr>
        <w:pStyle w:val="Prrafodelista"/>
        <w:numPr>
          <w:ilvl w:val="0"/>
          <w:numId w:val="10"/>
        </w:numPr>
        <w:spacing w:line="240" w:lineRule="auto"/>
        <w:rPr>
          <w:rFonts w:cs="Times New Roman"/>
          <w:b/>
          <w:szCs w:val="24"/>
        </w:rPr>
      </w:pPr>
      <w:r w:rsidRPr="00951AB1">
        <w:rPr>
          <w:rFonts w:cs="Times New Roman"/>
          <w:b/>
          <w:szCs w:val="24"/>
        </w:rPr>
        <w:t>LISTADO DE NOTAS QUE NO LE APLICAN A LA ENTIDAD</w:t>
      </w:r>
    </w:p>
    <w:p w14:paraId="1AC3A00D" w14:textId="77777777" w:rsidR="00FE6C47" w:rsidRPr="00951AB1" w:rsidRDefault="00FE6C47" w:rsidP="000A5389">
      <w:pPr>
        <w:spacing w:line="240" w:lineRule="auto"/>
        <w:ind w:left="709" w:hanging="2"/>
        <w:rPr>
          <w:rFonts w:cs="Times New Roman"/>
          <w:b/>
          <w:szCs w:val="24"/>
        </w:rPr>
      </w:pPr>
    </w:p>
    <w:p w14:paraId="5DDFC6F2" w14:textId="77777777" w:rsidR="00FE6C47" w:rsidRPr="00951AB1" w:rsidRDefault="00FE6C47" w:rsidP="000A5389">
      <w:pPr>
        <w:spacing w:line="240" w:lineRule="auto"/>
        <w:ind w:left="709" w:hanging="2"/>
        <w:rPr>
          <w:rFonts w:cs="Times New Roman"/>
          <w:szCs w:val="24"/>
        </w:rPr>
      </w:pPr>
      <w:r w:rsidRPr="00951AB1">
        <w:rPr>
          <w:rFonts w:cs="Times New Roman"/>
          <w:szCs w:val="24"/>
        </w:rPr>
        <w:t xml:space="preserve">NOTA 6. </w:t>
      </w:r>
      <w:r w:rsidRPr="00951AB1">
        <w:rPr>
          <w:rFonts w:cs="Times New Roman"/>
          <w:szCs w:val="24"/>
        </w:rPr>
        <w:tab/>
        <w:t>INVERSIONES E INSTRUMENTOS DERIVADOS</w:t>
      </w:r>
    </w:p>
    <w:p w14:paraId="6CE022E7" w14:textId="77777777" w:rsidR="00FE6C47" w:rsidRPr="00951AB1" w:rsidRDefault="00FE6C47" w:rsidP="000A5389">
      <w:pPr>
        <w:spacing w:line="240" w:lineRule="auto"/>
        <w:ind w:left="709" w:hanging="2"/>
        <w:rPr>
          <w:rFonts w:cs="Times New Roman"/>
          <w:szCs w:val="24"/>
        </w:rPr>
      </w:pPr>
      <w:r w:rsidRPr="00951AB1">
        <w:rPr>
          <w:rFonts w:cs="Times New Roman"/>
          <w:szCs w:val="24"/>
        </w:rPr>
        <w:t xml:space="preserve">NOTA 8. </w:t>
      </w:r>
      <w:r w:rsidRPr="00951AB1">
        <w:rPr>
          <w:rFonts w:cs="Times New Roman"/>
          <w:szCs w:val="24"/>
        </w:rPr>
        <w:tab/>
        <w:t>PRESTAMOS POR COBRAR</w:t>
      </w:r>
    </w:p>
    <w:p w14:paraId="6DA7F4D2" w14:textId="155D5E57" w:rsidR="00FE6C47" w:rsidRPr="00951AB1" w:rsidRDefault="00FE6C47" w:rsidP="000A5389">
      <w:pPr>
        <w:spacing w:line="240" w:lineRule="auto"/>
        <w:ind w:left="711" w:hanging="2"/>
        <w:rPr>
          <w:rFonts w:cs="Times New Roman"/>
          <w:szCs w:val="24"/>
        </w:rPr>
      </w:pPr>
      <w:r w:rsidRPr="00951AB1">
        <w:rPr>
          <w:rFonts w:cs="Times New Roman"/>
          <w:szCs w:val="24"/>
        </w:rPr>
        <w:t>NOTA 9.</w:t>
      </w:r>
      <w:r w:rsidR="72713744" w:rsidRPr="00951AB1">
        <w:rPr>
          <w:rFonts w:cs="Times New Roman"/>
          <w:szCs w:val="24"/>
        </w:rPr>
        <w:t xml:space="preserve"> </w:t>
      </w:r>
      <w:r w:rsidR="00A13276" w:rsidRPr="00951AB1">
        <w:rPr>
          <w:rFonts w:cs="Times New Roman"/>
          <w:szCs w:val="24"/>
        </w:rPr>
        <w:t xml:space="preserve"> </w:t>
      </w:r>
      <w:r w:rsidRPr="00951AB1">
        <w:rPr>
          <w:rFonts w:cs="Times New Roman"/>
          <w:szCs w:val="24"/>
        </w:rPr>
        <w:tab/>
        <w:t>INVENTARIOS</w:t>
      </w:r>
    </w:p>
    <w:p w14:paraId="5F6814B2" w14:textId="77777777" w:rsidR="00FE6C47" w:rsidRPr="00951AB1" w:rsidRDefault="00FE6C47" w:rsidP="000A5389">
      <w:pPr>
        <w:spacing w:line="240" w:lineRule="auto"/>
        <w:ind w:left="709"/>
        <w:rPr>
          <w:rFonts w:cs="Times New Roman"/>
          <w:szCs w:val="24"/>
        </w:rPr>
      </w:pPr>
      <w:r w:rsidRPr="00951AB1">
        <w:rPr>
          <w:rFonts w:cs="Times New Roman"/>
          <w:szCs w:val="24"/>
        </w:rPr>
        <w:t xml:space="preserve">NOTA 12. </w:t>
      </w:r>
      <w:r w:rsidRPr="00951AB1">
        <w:rPr>
          <w:rFonts w:cs="Times New Roman"/>
          <w:szCs w:val="24"/>
        </w:rPr>
        <w:tab/>
        <w:t>RECURSOS NATURALES NO RENOVABLES</w:t>
      </w:r>
    </w:p>
    <w:p w14:paraId="36EEECF9" w14:textId="77777777" w:rsidR="00FE6C47" w:rsidRPr="00951AB1" w:rsidRDefault="00FE6C47" w:rsidP="000A5389">
      <w:pPr>
        <w:spacing w:line="240" w:lineRule="auto"/>
        <w:ind w:left="709"/>
        <w:rPr>
          <w:rFonts w:cs="Times New Roman"/>
          <w:szCs w:val="24"/>
        </w:rPr>
      </w:pPr>
      <w:r w:rsidRPr="00951AB1">
        <w:rPr>
          <w:rFonts w:cs="Times New Roman"/>
          <w:szCs w:val="24"/>
        </w:rPr>
        <w:t xml:space="preserve">NOTA 13. </w:t>
      </w:r>
      <w:r w:rsidRPr="00951AB1">
        <w:rPr>
          <w:rFonts w:cs="Times New Roman"/>
          <w:szCs w:val="24"/>
        </w:rPr>
        <w:tab/>
        <w:t>PROPIEDADES DE INVERSIÓN</w:t>
      </w:r>
    </w:p>
    <w:p w14:paraId="0705CD0D" w14:textId="77777777" w:rsidR="00FE6C47" w:rsidRPr="00951AB1" w:rsidRDefault="00FE6C47" w:rsidP="000A5389">
      <w:pPr>
        <w:spacing w:line="240" w:lineRule="auto"/>
        <w:ind w:left="709"/>
        <w:rPr>
          <w:rFonts w:cs="Times New Roman"/>
          <w:szCs w:val="24"/>
        </w:rPr>
      </w:pPr>
      <w:r w:rsidRPr="00951AB1">
        <w:rPr>
          <w:rFonts w:cs="Times New Roman"/>
          <w:szCs w:val="24"/>
        </w:rPr>
        <w:t xml:space="preserve">NOTA 15. </w:t>
      </w:r>
      <w:r w:rsidRPr="00951AB1">
        <w:rPr>
          <w:rFonts w:cs="Times New Roman"/>
          <w:szCs w:val="24"/>
        </w:rPr>
        <w:tab/>
        <w:t>ACTIVOS BIOLOGICOS</w:t>
      </w:r>
    </w:p>
    <w:p w14:paraId="04980EDE" w14:textId="77777777" w:rsidR="00FE6C47" w:rsidRPr="00951AB1" w:rsidRDefault="00FE6C47" w:rsidP="000A5389">
      <w:pPr>
        <w:spacing w:line="240" w:lineRule="auto"/>
        <w:ind w:left="709"/>
        <w:rPr>
          <w:rFonts w:cs="Times New Roman"/>
          <w:szCs w:val="24"/>
        </w:rPr>
      </w:pPr>
      <w:r w:rsidRPr="00951AB1">
        <w:rPr>
          <w:rFonts w:cs="Times New Roman"/>
          <w:szCs w:val="24"/>
        </w:rPr>
        <w:t xml:space="preserve">NOTA 17. </w:t>
      </w:r>
      <w:r w:rsidRPr="00951AB1">
        <w:rPr>
          <w:rFonts w:cs="Times New Roman"/>
          <w:szCs w:val="24"/>
        </w:rPr>
        <w:tab/>
        <w:t>ARRENDAMIENTOS</w:t>
      </w:r>
    </w:p>
    <w:p w14:paraId="587F1564" w14:textId="77777777" w:rsidR="00FE6C47" w:rsidRPr="00951AB1" w:rsidRDefault="00FE6C47" w:rsidP="000A5389">
      <w:pPr>
        <w:spacing w:line="240" w:lineRule="auto"/>
        <w:ind w:left="709"/>
        <w:rPr>
          <w:rFonts w:cs="Times New Roman"/>
          <w:szCs w:val="24"/>
        </w:rPr>
      </w:pPr>
      <w:r w:rsidRPr="00951AB1">
        <w:rPr>
          <w:rFonts w:cs="Times New Roman"/>
          <w:szCs w:val="24"/>
        </w:rPr>
        <w:t xml:space="preserve">NOTA 18. </w:t>
      </w:r>
      <w:r w:rsidRPr="00951AB1">
        <w:rPr>
          <w:rFonts w:cs="Times New Roman"/>
          <w:szCs w:val="24"/>
        </w:rPr>
        <w:tab/>
        <w:t>COSTOS DE FINANCIACIÓN</w:t>
      </w:r>
    </w:p>
    <w:p w14:paraId="1E6486C1" w14:textId="77777777" w:rsidR="00FE6C47" w:rsidRPr="00951AB1" w:rsidRDefault="00FE6C47" w:rsidP="000A5389">
      <w:pPr>
        <w:spacing w:line="240" w:lineRule="auto"/>
        <w:ind w:left="709"/>
        <w:rPr>
          <w:rFonts w:cs="Times New Roman"/>
          <w:szCs w:val="24"/>
        </w:rPr>
      </w:pPr>
      <w:r w:rsidRPr="00951AB1">
        <w:rPr>
          <w:rFonts w:cs="Times New Roman"/>
          <w:szCs w:val="24"/>
        </w:rPr>
        <w:lastRenderedPageBreak/>
        <w:t>NOTA 19.</w:t>
      </w:r>
      <w:r w:rsidRPr="00951AB1">
        <w:rPr>
          <w:rFonts w:cs="Times New Roman"/>
          <w:szCs w:val="24"/>
        </w:rPr>
        <w:tab/>
        <w:t>EMISIÓN Y COLOCACIÓN DE TÍTULOS DE DEUDA</w:t>
      </w:r>
    </w:p>
    <w:p w14:paraId="49B1CC59" w14:textId="389E87AC" w:rsidR="00D0500D" w:rsidRPr="00951AB1" w:rsidRDefault="00D0500D" w:rsidP="000A5389">
      <w:pPr>
        <w:spacing w:line="240" w:lineRule="auto"/>
        <w:ind w:left="709"/>
        <w:rPr>
          <w:rFonts w:cs="Times New Roman"/>
          <w:szCs w:val="24"/>
        </w:rPr>
      </w:pPr>
      <w:r w:rsidRPr="00951AB1">
        <w:rPr>
          <w:rFonts w:cs="Times New Roman"/>
          <w:szCs w:val="24"/>
        </w:rPr>
        <w:t>NOTA 20.</w:t>
      </w:r>
      <w:r w:rsidR="00993DD7" w:rsidRPr="00951AB1">
        <w:rPr>
          <w:rFonts w:cs="Times New Roman"/>
        </w:rPr>
        <w:t xml:space="preserve">        </w:t>
      </w:r>
      <w:r w:rsidR="00993DD7" w:rsidRPr="00951AB1">
        <w:rPr>
          <w:rFonts w:cs="Times New Roman"/>
          <w:szCs w:val="24"/>
        </w:rPr>
        <w:t>OPERACIONES DE INSTITUCIONES FINANCIERAS</w:t>
      </w:r>
    </w:p>
    <w:p w14:paraId="11926365" w14:textId="4D2F6927" w:rsidR="00FE6C47" w:rsidRPr="00951AB1" w:rsidRDefault="00FE6C47" w:rsidP="000A5389">
      <w:pPr>
        <w:spacing w:line="240" w:lineRule="auto"/>
        <w:ind w:left="709"/>
        <w:rPr>
          <w:rFonts w:cs="Times New Roman"/>
          <w:szCs w:val="24"/>
        </w:rPr>
      </w:pPr>
      <w:r w:rsidRPr="00951AB1">
        <w:rPr>
          <w:rFonts w:cs="Times New Roman"/>
          <w:szCs w:val="24"/>
        </w:rPr>
        <w:t>NOTA 3</w:t>
      </w:r>
      <w:r w:rsidR="009B2480" w:rsidRPr="00951AB1">
        <w:rPr>
          <w:rFonts w:cs="Times New Roman"/>
          <w:szCs w:val="24"/>
        </w:rPr>
        <w:t>1</w:t>
      </w:r>
      <w:r w:rsidRPr="00951AB1">
        <w:rPr>
          <w:rFonts w:cs="Times New Roman"/>
          <w:szCs w:val="24"/>
        </w:rPr>
        <w:t>.</w:t>
      </w:r>
      <w:r w:rsidRPr="00951AB1">
        <w:rPr>
          <w:rFonts w:cs="Times New Roman"/>
          <w:szCs w:val="24"/>
        </w:rPr>
        <w:tab/>
        <w:t>COSTO DE VENTAS</w:t>
      </w:r>
    </w:p>
    <w:p w14:paraId="37FBE5E5" w14:textId="1ADF9C2F" w:rsidR="00FE6C47" w:rsidRPr="00951AB1" w:rsidRDefault="00FE6C47" w:rsidP="000A5389">
      <w:pPr>
        <w:spacing w:line="240" w:lineRule="auto"/>
        <w:ind w:left="709"/>
        <w:rPr>
          <w:rFonts w:cs="Times New Roman"/>
          <w:szCs w:val="24"/>
        </w:rPr>
      </w:pPr>
      <w:r w:rsidRPr="00951AB1">
        <w:rPr>
          <w:rFonts w:cs="Times New Roman"/>
          <w:szCs w:val="24"/>
        </w:rPr>
        <w:t>NOTA 3</w:t>
      </w:r>
      <w:r w:rsidR="00B8727C" w:rsidRPr="00951AB1">
        <w:rPr>
          <w:rFonts w:cs="Times New Roman"/>
          <w:szCs w:val="24"/>
        </w:rPr>
        <w:t>2</w:t>
      </w:r>
      <w:r w:rsidRPr="00951AB1">
        <w:rPr>
          <w:rFonts w:cs="Times New Roman"/>
          <w:szCs w:val="24"/>
        </w:rPr>
        <w:t>.</w:t>
      </w:r>
      <w:r w:rsidRPr="00951AB1">
        <w:rPr>
          <w:rFonts w:cs="Times New Roman"/>
          <w:szCs w:val="24"/>
        </w:rPr>
        <w:tab/>
        <w:t>COSTOS DE TRANSFORMACION</w:t>
      </w:r>
    </w:p>
    <w:p w14:paraId="55AF519D" w14:textId="7D32F455" w:rsidR="00FE6C47" w:rsidRPr="00951AB1" w:rsidRDefault="00FE6C47" w:rsidP="000A5389">
      <w:pPr>
        <w:spacing w:line="240" w:lineRule="auto"/>
        <w:ind w:left="2127" w:hanging="1418"/>
        <w:rPr>
          <w:rFonts w:cs="Times New Roman"/>
          <w:szCs w:val="24"/>
        </w:rPr>
      </w:pPr>
      <w:r w:rsidRPr="00951AB1">
        <w:rPr>
          <w:rFonts w:cs="Times New Roman"/>
          <w:szCs w:val="24"/>
        </w:rPr>
        <w:t>NOTA 3</w:t>
      </w:r>
      <w:r w:rsidR="00C11694" w:rsidRPr="00951AB1">
        <w:rPr>
          <w:rFonts w:cs="Times New Roman"/>
          <w:szCs w:val="24"/>
        </w:rPr>
        <w:t>4</w:t>
      </w:r>
      <w:r w:rsidRPr="00951AB1">
        <w:rPr>
          <w:rFonts w:cs="Times New Roman"/>
          <w:szCs w:val="24"/>
        </w:rPr>
        <w:t xml:space="preserve">. </w:t>
      </w:r>
      <w:r w:rsidRPr="00951AB1">
        <w:rPr>
          <w:rFonts w:cs="Times New Roman"/>
          <w:szCs w:val="24"/>
        </w:rPr>
        <w:tab/>
        <w:t xml:space="preserve">ADMINISTRACIÓN DE RECURSOS DE SEGURIDAD SOCIAL EN PENSIONES </w:t>
      </w:r>
    </w:p>
    <w:p w14:paraId="41DAE28E" w14:textId="6AE9F6F6" w:rsidR="00FE6C47" w:rsidRPr="00951AB1" w:rsidRDefault="00FE6C47" w:rsidP="000A5389">
      <w:pPr>
        <w:spacing w:line="240" w:lineRule="auto"/>
        <w:ind w:left="709"/>
        <w:rPr>
          <w:rFonts w:cs="Times New Roman"/>
          <w:szCs w:val="24"/>
        </w:rPr>
      </w:pPr>
      <w:r w:rsidRPr="00951AB1">
        <w:rPr>
          <w:rFonts w:cs="Times New Roman"/>
          <w:szCs w:val="24"/>
        </w:rPr>
        <w:t>NOTA 3</w:t>
      </w:r>
      <w:r w:rsidR="001A22D4" w:rsidRPr="00951AB1">
        <w:rPr>
          <w:rFonts w:cs="Times New Roman"/>
          <w:szCs w:val="24"/>
        </w:rPr>
        <w:t>6</w:t>
      </w:r>
      <w:r w:rsidRPr="00951AB1">
        <w:rPr>
          <w:rFonts w:cs="Times New Roman"/>
          <w:szCs w:val="24"/>
        </w:rPr>
        <w:t xml:space="preserve">. </w:t>
      </w:r>
      <w:r w:rsidRPr="00951AB1">
        <w:rPr>
          <w:rFonts w:cs="Times New Roman"/>
          <w:szCs w:val="24"/>
        </w:rPr>
        <w:tab/>
        <w:t>IMPUESTO A LAS GANANCIAS</w:t>
      </w:r>
    </w:p>
    <w:p w14:paraId="4877558E" w14:textId="77777777" w:rsidR="006214DF" w:rsidRPr="00951AB1" w:rsidRDefault="006214DF" w:rsidP="000A5389">
      <w:pPr>
        <w:spacing w:line="240" w:lineRule="auto"/>
        <w:ind w:left="709"/>
        <w:rPr>
          <w:rFonts w:cs="Times New Roman"/>
          <w:szCs w:val="24"/>
        </w:rPr>
      </w:pPr>
    </w:p>
    <w:p w14:paraId="3392597C" w14:textId="28D0FE36" w:rsidR="3B9B9094" w:rsidRPr="00951AB1" w:rsidRDefault="3B9B9094" w:rsidP="000A5389">
      <w:pPr>
        <w:spacing w:line="240" w:lineRule="auto"/>
        <w:ind w:left="709"/>
        <w:rPr>
          <w:rFonts w:eastAsia="Times New Roman" w:cs="Times New Roman"/>
          <w:szCs w:val="24"/>
        </w:rPr>
      </w:pPr>
    </w:p>
    <w:p w14:paraId="38D6A048" w14:textId="765CC948" w:rsidR="3A0EFC6D" w:rsidRPr="00951AB1" w:rsidRDefault="3A0EFC6D" w:rsidP="000A5389">
      <w:pPr>
        <w:pStyle w:val="Ttulo1"/>
        <w:spacing w:line="240" w:lineRule="auto"/>
        <w:rPr>
          <w:rFonts w:cs="Times New Roman"/>
        </w:rPr>
      </w:pPr>
      <w:bookmarkStart w:id="187" w:name="_Toc222824100"/>
      <w:bookmarkStart w:id="188" w:name="_Toc222955466"/>
      <w:r w:rsidRPr="00951AB1">
        <w:rPr>
          <w:rFonts w:eastAsia="Times New Roman" w:cs="Times New Roman"/>
          <w:bCs/>
          <w:szCs w:val="26"/>
        </w:rPr>
        <w:t>NOTA 5. EFECTIVO Y EQUIVALENTES AL EFECTIVO</w:t>
      </w:r>
      <w:bookmarkEnd w:id="187"/>
      <w:bookmarkEnd w:id="188"/>
      <w:r w:rsidRPr="00951AB1">
        <w:rPr>
          <w:rFonts w:eastAsia="Times New Roman" w:cs="Times New Roman"/>
          <w:bCs/>
          <w:szCs w:val="26"/>
        </w:rPr>
        <w:t xml:space="preserve"> </w:t>
      </w:r>
    </w:p>
    <w:p w14:paraId="35B58614" w14:textId="7C2E58F2" w:rsidR="3A0EFC6D" w:rsidRPr="00951AB1" w:rsidRDefault="3A0EFC6D" w:rsidP="000A5389">
      <w:pPr>
        <w:spacing w:line="240" w:lineRule="auto"/>
        <w:rPr>
          <w:rFonts w:cs="Times New Roman"/>
        </w:rPr>
      </w:pPr>
      <w:r w:rsidRPr="00951AB1">
        <w:rPr>
          <w:rFonts w:eastAsia="Times New Roman" w:cs="Times New Roman"/>
          <w:b/>
          <w:bCs/>
          <w:szCs w:val="24"/>
        </w:rPr>
        <w:t xml:space="preserve"> </w:t>
      </w:r>
    </w:p>
    <w:p w14:paraId="5512FB35" w14:textId="27528D04" w:rsidR="3A0EFC6D" w:rsidRPr="00951AB1" w:rsidRDefault="3A0EFC6D" w:rsidP="000A5389">
      <w:pPr>
        <w:pStyle w:val="Ttulo2"/>
        <w:numPr>
          <w:ilvl w:val="0"/>
          <w:numId w:val="0"/>
        </w:numPr>
        <w:spacing w:line="240" w:lineRule="auto"/>
        <w:rPr>
          <w:rFonts w:eastAsia="Times New Roman" w:cs="Times New Roman"/>
          <w:bCs/>
          <w:szCs w:val="24"/>
        </w:rPr>
      </w:pPr>
      <w:bookmarkStart w:id="189" w:name="_Toc222824101"/>
      <w:bookmarkStart w:id="190" w:name="_Toc222955467"/>
      <w:r w:rsidRPr="00951AB1">
        <w:rPr>
          <w:rFonts w:eastAsia="Times New Roman" w:cs="Times New Roman"/>
          <w:bCs/>
          <w:szCs w:val="24"/>
        </w:rPr>
        <w:t>Composición</w:t>
      </w:r>
      <w:bookmarkEnd w:id="189"/>
      <w:bookmarkEnd w:id="190"/>
    </w:p>
    <w:p w14:paraId="4A166F96" w14:textId="003089E1" w:rsidR="3A0EFC6D" w:rsidRPr="00951AB1" w:rsidRDefault="3A0EFC6D" w:rsidP="000A5389">
      <w:pPr>
        <w:spacing w:line="240" w:lineRule="auto"/>
        <w:rPr>
          <w:rFonts w:cs="Times New Roman"/>
        </w:rPr>
      </w:pPr>
      <w:r w:rsidRPr="00951AB1">
        <w:rPr>
          <w:rFonts w:eastAsia="Calibri" w:cs="Times New Roman"/>
        </w:rPr>
        <w:t xml:space="preserve"> </w:t>
      </w:r>
    </w:p>
    <w:tbl>
      <w:tblPr>
        <w:tblW w:w="5000" w:type="pct"/>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1086"/>
        <w:gridCol w:w="805"/>
        <w:gridCol w:w="3538"/>
        <w:gridCol w:w="1036"/>
        <w:gridCol w:w="1254"/>
        <w:gridCol w:w="1109"/>
      </w:tblGrid>
      <w:tr w:rsidR="008640F8" w:rsidRPr="002D0A3A" w14:paraId="37CE69A5" w14:textId="77777777" w:rsidTr="00A60734">
        <w:trPr>
          <w:trHeight w:val="340"/>
        </w:trPr>
        <w:tc>
          <w:tcPr>
            <w:tcW w:w="3074" w:type="pct"/>
            <w:gridSpan w:val="3"/>
            <w:tcMar>
              <w:left w:w="70" w:type="dxa"/>
              <w:right w:w="70" w:type="dxa"/>
            </w:tcMar>
            <w:vAlign w:val="center"/>
          </w:tcPr>
          <w:p w14:paraId="33DA082A" w14:textId="65DA099F" w:rsidR="3B9B9094" w:rsidRPr="002D0A3A" w:rsidRDefault="3B9B9094" w:rsidP="000A5389">
            <w:pPr>
              <w:spacing w:line="240" w:lineRule="auto"/>
              <w:jc w:val="center"/>
              <w:rPr>
                <w:rFonts w:cs="Times New Roman"/>
                <w:sz w:val="16"/>
                <w:szCs w:val="16"/>
              </w:rPr>
            </w:pPr>
            <w:r w:rsidRPr="002D0A3A">
              <w:rPr>
                <w:rFonts w:eastAsia="Times New Roman" w:cs="Times New Roman"/>
                <w:b/>
                <w:color w:val="000000" w:themeColor="text1"/>
                <w:sz w:val="16"/>
                <w:szCs w:val="16"/>
              </w:rPr>
              <w:t>DESCRIPCIÓN</w:t>
            </w:r>
          </w:p>
        </w:tc>
        <w:tc>
          <w:tcPr>
            <w:tcW w:w="1297" w:type="pct"/>
            <w:gridSpan w:val="2"/>
            <w:tcMar>
              <w:left w:w="70" w:type="dxa"/>
              <w:right w:w="70" w:type="dxa"/>
            </w:tcMar>
            <w:vAlign w:val="center"/>
          </w:tcPr>
          <w:p w14:paraId="39C66A2C" w14:textId="75217CDC" w:rsidR="3B9B9094" w:rsidRPr="002D0A3A" w:rsidRDefault="3B9B9094" w:rsidP="000A5389">
            <w:pPr>
              <w:spacing w:line="240" w:lineRule="auto"/>
              <w:jc w:val="center"/>
              <w:rPr>
                <w:rFonts w:cs="Times New Roman"/>
                <w:sz w:val="16"/>
                <w:szCs w:val="16"/>
              </w:rPr>
            </w:pPr>
            <w:r w:rsidRPr="002D0A3A">
              <w:rPr>
                <w:rFonts w:eastAsia="Times New Roman" w:cs="Times New Roman"/>
                <w:b/>
                <w:color w:val="000000" w:themeColor="text1"/>
                <w:sz w:val="16"/>
                <w:szCs w:val="16"/>
              </w:rPr>
              <w:t>SALDOS A CORTES DE VIGENCIA</w:t>
            </w:r>
          </w:p>
        </w:tc>
        <w:tc>
          <w:tcPr>
            <w:tcW w:w="628" w:type="pct"/>
            <w:vMerge w:val="restart"/>
            <w:tcMar>
              <w:left w:w="70" w:type="dxa"/>
              <w:right w:w="70" w:type="dxa"/>
            </w:tcMar>
            <w:vAlign w:val="center"/>
          </w:tcPr>
          <w:p w14:paraId="269E9152" w14:textId="0F4966F7" w:rsidR="3B9B9094" w:rsidRPr="002D0A3A" w:rsidRDefault="3B9B9094" w:rsidP="000A5389">
            <w:pPr>
              <w:spacing w:line="240" w:lineRule="auto"/>
              <w:jc w:val="center"/>
              <w:rPr>
                <w:rFonts w:cs="Times New Roman"/>
                <w:sz w:val="16"/>
                <w:szCs w:val="16"/>
              </w:rPr>
            </w:pPr>
            <w:r w:rsidRPr="002D0A3A">
              <w:rPr>
                <w:rFonts w:eastAsia="Times New Roman" w:cs="Times New Roman"/>
                <w:b/>
                <w:color w:val="000000" w:themeColor="text1"/>
                <w:sz w:val="16"/>
                <w:szCs w:val="16"/>
              </w:rPr>
              <w:t>VARIACIÓN</w:t>
            </w:r>
          </w:p>
        </w:tc>
      </w:tr>
      <w:tr w:rsidR="00CB09BB" w:rsidRPr="002D0A3A" w14:paraId="349F4906" w14:textId="77777777" w:rsidTr="00A60734">
        <w:trPr>
          <w:trHeight w:val="340"/>
        </w:trPr>
        <w:tc>
          <w:tcPr>
            <w:tcW w:w="615" w:type="pct"/>
            <w:tcMar>
              <w:left w:w="70" w:type="dxa"/>
              <w:right w:w="70" w:type="dxa"/>
            </w:tcMar>
            <w:vAlign w:val="center"/>
          </w:tcPr>
          <w:p w14:paraId="746A50B5" w14:textId="6AF08AD3" w:rsidR="3B9B9094" w:rsidRPr="002D0A3A" w:rsidRDefault="3B9B9094" w:rsidP="000A5389">
            <w:pPr>
              <w:spacing w:line="240" w:lineRule="auto"/>
              <w:jc w:val="center"/>
              <w:rPr>
                <w:rFonts w:cs="Times New Roman"/>
                <w:sz w:val="16"/>
                <w:szCs w:val="16"/>
              </w:rPr>
            </w:pPr>
            <w:r w:rsidRPr="002D0A3A">
              <w:rPr>
                <w:rFonts w:eastAsia="Times New Roman" w:cs="Times New Roman"/>
                <w:b/>
                <w:color w:val="000000" w:themeColor="text1"/>
                <w:sz w:val="16"/>
                <w:szCs w:val="16"/>
              </w:rPr>
              <w:t>CÓDIGO CONTABLE</w:t>
            </w:r>
          </w:p>
        </w:tc>
        <w:tc>
          <w:tcPr>
            <w:tcW w:w="456" w:type="pct"/>
            <w:tcMar>
              <w:left w:w="70" w:type="dxa"/>
              <w:right w:w="70" w:type="dxa"/>
            </w:tcMar>
            <w:vAlign w:val="center"/>
          </w:tcPr>
          <w:p w14:paraId="78A6D106" w14:textId="7ECF22BB" w:rsidR="3B9B9094" w:rsidRPr="002D0A3A" w:rsidRDefault="3B9B9094" w:rsidP="000A5389">
            <w:pPr>
              <w:spacing w:line="240" w:lineRule="auto"/>
              <w:jc w:val="center"/>
              <w:rPr>
                <w:rFonts w:cs="Times New Roman"/>
                <w:sz w:val="16"/>
                <w:szCs w:val="16"/>
              </w:rPr>
            </w:pPr>
            <w:r w:rsidRPr="002D0A3A">
              <w:rPr>
                <w:rFonts w:eastAsia="Times New Roman" w:cs="Times New Roman"/>
                <w:b/>
                <w:color w:val="000000" w:themeColor="text1"/>
                <w:sz w:val="16"/>
                <w:szCs w:val="16"/>
              </w:rPr>
              <w:t>NAT</w:t>
            </w:r>
          </w:p>
        </w:tc>
        <w:tc>
          <w:tcPr>
            <w:tcW w:w="2004" w:type="pct"/>
            <w:tcMar>
              <w:left w:w="70" w:type="dxa"/>
              <w:right w:w="70" w:type="dxa"/>
            </w:tcMar>
            <w:vAlign w:val="center"/>
          </w:tcPr>
          <w:p w14:paraId="795FDDA5" w14:textId="7FF10862" w:rsidR="3B9B9094" w:rsidRPr="002D0A3A" w:rsidRDefault="3B9B9094" w:rsidP="000A5389">
            <w:pPr>
              <w:spacing w:line="240" w:lineRule="auto"/>
              <w:jc w:val="center"/>
              <w:rPr>
                <w:rFonts w:cs="Times New Roman"/>
                <w:sz w:val="16"/>
                <w:szCs w:val="16"/>
              </w:rPr>
            </w:pPr>
            <w:r w:rsidRPr="002D0A3A">
              <w:rPr>
                <w:rFonts w:eastAsia="Times New Roman" w:cs="Times New Roman"/>
                <w:b/>
                <w:color w:val="000000" w:themeColor="text1"/>
                <w:sz w:val="16"/>
                <w:szCs w:val="16"/>
              </w:rPr>
              <w:t>CONCEPTO</w:t>
            </w:r>
          </w:p>
        </w:tc>
        <w:tc>
          <w:tcPr>
            <w:tcW w:w="587" w:type="pct"/>
            <w:tcMar>
              <w:left w:w="70" w:type="dxa"/>
              <w:right w:w="70" w:type="dxa"/>
            </w:tcMar>
            <w:vAlign w:val="center"/>
          </w:tcPr>
          <w:p w14:paraId="0F18395F" w14:textId="145BCD5A" w:rsidR="3B9B9094" w:rsidRPr="002D0A3A" w:rsidRDefault="3B9B9094" w:rsidP="000A5389">
            <w:pPr>
              <w:spacing w:line="240" w:lineRule="auto"/>
              <w:jc w:val="center"/>
              <w:rPr>
                <w:rFonts w:cs="Times New Roman"/>
                <w:sz w:val="16"/>
                <w:szCs w:val="16"/>
              </w:rPr>
            </w:pPr>
            <w:r w:rsidRPr="002D0A3A">
              <w:rPr>
                <w:rFonts w:eastAsia="Times New Roman" w:cs="Times New Roman"/>
                <w:b/>
                <w:color w:val="000000" w:themeColor="text1"/>
                <w:sz w:val="16"/>
                <w:szCs w:val="16"/>
              </w:rPr>
              <w:t>2025</w:t>
            </w:r>
          </w:p>
        </w:tc>
        <w:tc>
          <w:tcPr>
            <w:tcW w:w="710" w:type="pct"/>
            <w:tcMar>
              <w:left w:w="70" w:type="dxa"/>
              <w:right w:w="70" w:type="dxa"/>
            </w:tcMar>
            <w:vAlign w:val="center"/>
          </w:tcPr>
          <w:p w14:paraId="3712AA0A" w14:textId="56D94866" w:rsidR="3B9B9094" w:rsidRPr="002D0A3A" w:rsidRDefault="3B9B9094" w:rsidP="000A5389">
            <w:pPr>
              <w:spacing w:line="240" w:lineRule="auto"/>
              <w:jc w:val="center"/>
              <w:rPr>
                <w:rFonts w:cs="Times New Roman"/>
                <w:sz w:val="16"/>
                <w:szCs w:val="16"/>
              </w:rPr>
            </w:pPr>
            <w:r w:rsidRPr="002D0A3A">
              <w:rPr>
                <w:rFonts w:eastAsia="Times New Roman" w:cs="Times New Roman"/>
                <w:b/>
                <w:color w:val="000000" w:themeColor="text1"/>
                <w:sz w:val="16"/>
                <w:szCs w:val="16"/>
              </w:rPr>
              <w:t>2024</w:t>
            </w:r>
          </w:p>
        </w:tc>
        <w:tc>
          <w:tcPr>
            <w:tcW w:w="628" w:type="pct"/>
            <w:vMerge/>
            <w:tcMar>
              <w:left w:w="70" w:type="dxa"/>
              <w:right w:w="70" w:type="dxa"/>
            </w:tcMar>
            <w:vAlign w:val="center"/>
          </w:tcPr>
          <w:p w14:paraId="1F387A44" w14:textId="164B0184" w:rsidR="3B9B9094" w:rsidRPr="002D0A3A" w:rsidRDefault="3B9B9094" w:rsidP="000A5389">
            <w:pPr>
              <w:spacing w:line="240" w:lineRule="auto"/>
              <w:jc w:val="center"/>
              <w:rPr>
                <w:rFonts w:cs="Times New Roman"/>
                <w:sz w:val="16"/>
                <w:szCs w:val="16"/>
              </w:rPr>
            </w:pPr>
          </w:p>
        </w:tc>
      </w:tr>
      <w:tr w:rsidR="005A73C0" w:rsidRPr="002D0A3A" w14:paraId="0B78121D" w14:textId="77777777" w:rsidTr="00A60734">
        <w:trPr>
          <w:trHeight w:val="340"/>
        </w:trPr>
        <w:tc>
          <w:tcPr>
            <w:tcW w:w="615" w:type="pct"/>
            <w:tcMar>
              <w:left w:w="70" w:type="dxa"/>
              <w:right w:w="70" w:type="dxa"/>
            </w:tcMar>
            <w:vAlign w:val="center"/>
          </w:tcPr>
          <w:p w14:paraId="495AD90E" w14:textId="6D341CF3" w:rsidR="3B9B9094" w:rsidRPr="002D0A3A" w:rsidRDefault="3B9B9094" w:rsidP="000A5389">
            <w:pPr>
              <w:spacing w:line="240" w:lineRule="auto"/>
              <w:jc w:val="center"/>
              <w:rPr>
                <w:rFonts w:cs="Times New Roman"/>
                <w:sz w:val="16"/>
                <w:szCs w:val="16"/>
              </w:rPr>
            </w:pPr>
            <w:r w:rsidRPr="002D0A3A">
              <w:rPr>
                <w:rFonts w:eastAsia="Times New Roman" w:cs="Times New Roman"/>
                <w:b/>
                <w:color w:val="000000" w:themeColor="text1"/>
                <w:sz w:val="16"/>
                <w:szCs w:val="16"/>
              </w:rPr>
              <w:t>1.1</w:t>
            </w:r>
          </w:p>
        </w:tc>
        <w:tc>
          <w:tcPr>
            <w:tcW w:w="456" w:type="pct"/>
            <w:tcMar>
              <w:left w:w="70" w:type="dxa"/>
              <w:right w:w="70" w:type="dxa"/>
            </w:tcMar>
            <w:vAlign w:val="center"/>
          </w:tcPr>
          <w:p w14:paraId="70D68C0F" w14:textId="15074333" w:rsidR="3B9B9094" w:rsidRPr="002D0A3A" w:rsidRDefault="3B9B9094" w:rsidP="000A5389">
            <w:pPr>
              <w:spacing w:line="240" w:lineRule="auto"/>
              <w:jc w:val="center"/>
              <w:rPr>
                <w:rFonts w:cs="Times New Roman"/>
                <w:sz w:val="16"/>
                <w:szCs w:val="16"/>
              </w:rPr>
            </w:pPr>
            <w:r w:rsidRPr="002D0A3A">
              <w:rPr>
                <w:rFonts w:eastAsia="Times New Roman" w:cs="Times New Roman"/>
                <w:b/>
                <w:color w:val="000000" w:themeColor="text1"/>
                <w:sz w:val="16"/>
                <w:szCs w:val="16"/>
              </w:rPr>
              <w:t>Db</w:t>
            </w:r>
          </w:p>
        </w:tc>
        <w:tc>
          <w:tcPr>
            <w:tcW w:w="2004" w:type="pct"/>
            <w:tcMar>
              <w:left w:w="70" w:type="dxa"/>
              <w:right w:w="70" w:type="dxa"/>
            </w:tcMar>
            <w:vAlign w:val="center"/>
          </w:tcPr>
          <w:p w14:paraId="4E94EAD2" w14:textId="4334FB51" w:rsidR="3B9B9094" w:rsidRPr="002D0A3A" w:rsidRDefault="3B9B9094" w:rsidP="000A5389">
            <w:pPr>
              <w:spacing w:line="240" w:lineRule="auto"/>
              <w:rPr>
                <w:rFonts w:cs="Times New Roman"/>
                <w:sz w:val="16"/>
                <w:szCs w:val="16"/>
              </w:rPr>
            </w:pPr>
            <w:r w:rsidRPr="002D0A3A">
              <w:rPr>
                <w:rFonts w:eastAsia="Times New Roman" w:cs="Times New Roman"/>
                <w:b/>
                <w:color w:val="000000" w:themeColor="text1"/>
                <w:sz w:val="16"/>
                <w:szCs w:val="16"/>
              </w:rPr>
              <w:t>EFECTIVO Y EQUIVALENTES AL EFECTIVO</w:t>
            </w:r>
          </w:p>
        </w:tc>
        <w:tc>
          <w:tcPr>
            <w:tcW w:w="587" w:type="pct"/>
            <w:tcMar>
              <w:left w:w="70" w:type="dxa"/>
              <w:right w:w="70" w:type="dxa"/>
            </w:tcMar>
            <w:vAlign w:val="center"/>
          </w:tcPr>
          <w:p w14:paraId="6EEAA5D6" w14:textId="5AF78A26" w:rsidR="2A085367" w:rsidRPr="002D0A3A" w:rsidRDefault="2A085367" w:rsidP="000A5389">
            <w:pPr>
              <w:spacing w:line="240" w:lineRule="auto"/>
              <w:jc w:val="right"/>
              <w:rPr>
                <w:rFonts w:eastAsia="Times New Roman" w:cs="Times New Roman"/>
                <w:b/>
                <w:bCs/>
                <w:color w:val="000000" w:themeColor="text1"/>
                <w:sz w:val="16"/>
                <w:szCs w:val="16"/>
              </w:rPr>
            </w:pPr>
          </w:p>
          <w:p w14:paraId="0D118766" w14:textId="3F83D255" w:rsidR="3B9B9094" w:rsidRPr="002D0A3A" w:rsidRDefault="3B9B9094" w:rsidP="000A5389">
            <w:pPr>
              <w:spacing w:line="240" w:lineRule="auto"/>
              <w:jc w:val="right"/>
              <w:rPr>
                <w:rFonts w:cs="Times New Roman"/>
                <w:sz w:val="16"/>
                <w:szCs w:val="16"/>
              </w:rPr>
            </w:pPr>
            <w:r w:rsidRPr="002D0A3A">
              <w:rPr>
                <w:rFonts w:eastAsia="Times New Roman" w:cs="Times New Roman"/>
                <w:b/>
                <w:color w:val="000000" w:themeColor="text1"/>
                <w:sz w:val="16"/>
                <w:szCs w:val="16"/>
              </w:rPr>
              <w:t>735.804.049</w:t>
            </w:r>
          </w:p>
        </w:tc>
        <w:tc>
          <w:tcPr>
            <w:tcW w:w="710" w:type="pct"/>
            <w:tcMar>
              <w:left w:w="70" w:type="dxa"/>
              <w:right w:w="70" w:type="dxa"/>
            </w:tcMar>
            <w:vAlign w:val="center"/>
          </w:tcPr>
          <w:p w14:paraId="17824D69" w14:textId="01427D4E" w:rsidR="3B9B9094" w:rsidRPr="002D0A3A" w:rsidRDefault="3B9B9094" w:rsidP="000A5389">
            <w:pPr>
              <w:spacing w:line="240" w:lineRule="auto"/>
              <w:jc w:val="right"/>
              <w:rPr>
                <w:rFonts w:cs="Times New Roman"/>
                <w:sz w:val="16"/>
                <w:szCs w:val="16"/>
              </w:rPr>
            </w:pPr>
            <w:r w:rsidRPr="002D0A3A">
              <w:rPr>
                <w:rFonts w:eastAsia="Times New Roman" w:cs="Times New Roman"/>
                <w:b/>
                <w:color w:val="000000" w:themeColor="text1"/>
                <w:sz w:val="16"/>
                <w:szCs w:val="16"/>
              </w:rPr>
              <w:t>553.388.805</w:t>
            </w:r>
          </w:p>
        </w:tc>
        <w:tc>
          <w:tcPr>
            <w:tcW w:w="628" w:type="pct"/>
            <w:tcMar>
              <w:left w:w="70" w:type="dxa"/>
              <w:right w:w="70" w:type="dxa"/>
            </w:tcMar>
            <w:vAlign w:val="center"/>
          </w:tcPr>
          <w:p w14:paraId="51A1C964" w14:textId="422139C5" w:rsidR="3B9B9094" w:rsidRPr="002D0A3A" w:rsidRDefault="3B9B9094" w:rsidP="000A5389">
            <w:pPr>
              <w:spacing w:line="240" w:lineRule="auto"/>
              <w:jc w:val="right"/>
              <w:rPr>
                <w:rFonts w:cs="Times New Roman"/>
                <w:sz w:val="16"/>
                <w:szCs w:val="16"/>
              </w:rPr>
            </w:pPr>
            <w:r w:rsidRPr="002D0A3A">
              <w:rPr>
                <w:rFonts w:eastAsia="Times New Roman" w:cs="Times New Roman"/>
                <w:b/>
                <w:color w:val="000000" w:themeColor="text1"/>
                <w:sz w:val="16"/>
                <w:szCs w:val="16"/>
              </w:rPr>
              <w:t>182.415.244</w:t>
            </w:r>
          </w:p>
        </w:tc>
      </w:tr>
      <w:tr w:rsidR="005A73C0" w:rsidRPr="002D0A3A" w14:paraId="24739993" w14:textId="77777777" w:rsidTr="00A60734">
        <w:trPr>
          <w:trHeight w:val="340"/>
        </w:trPr>
        <w:tc>
          <w:tcPr>
            <w:tcW w:w="615" w:type="pct"/>
            <w:tcMar>
              <w:left w:w="70" w:type="dxa"/>
              <w:right w:w="70" w:type="dxa"/>
            </w:tcMar>
            <w:vAlign w:val="center"/>
          </w:tcPr>
          <w:p w14:paraId="5E4E9A85" w14:textId="6440AA7D" w:rsidR="3B9B9094" w:rsidRPr="002D0A3A" w:rsidRDefault="3B9B9094" w:rsidP="000A5389">
            <w:pPr>
              <w:spacing w:line="240" w:lineRule="auto"/>
              <w:jc w:val="center"/>
              <w:rPr>
                <w:rFonts w:cs="Times New Roman"/>
                <w:sz w:val="16"/>
                <w:szCs w:val="16"/>
              </w:rPr>
            </w:pPr>
            <w:r w:rsidRPr="002D0A3A">
              <w:rPr>
                <w:rFonts w:eastAsia="Times New Roman" w:cs="Times New Roman"/>
                <w:color w:val="000000" w:themeColor="text1"/>
                <w:sz w:val="16"/>
                <w:szCs w:val="16"/>
              </w:rPr>
              <w:t>1.1.10</w:t>
            </w:r>
          </w:p>
        </w:tc>
        <w:tc>
          <w:tcPr>
            <w:tcW w:w="456" w:type="pct"/>
            <w:tcMar>
              <w:left w:w="70" w:type="dxa"/>
              <w:right w:w="70" w:type="dxa"/>
            </w:tcMar>
            <w:vAlign w:val="center"/>
          </w:tcPr>
          <w:p w14:paraId="2B627B15" w14:textId="47736D87" w:rsidR="3B9B9094" w:rsidRPr="002D0A3A" w:rsidRDefault="3B9B9094" w:rsidP="000A5389">
            <w:pPr>
              <w:spacing w:line="240" w:lineRule="auto"/>
              <w:jc w:val="center"/>
              <w:rPr>
                <w:rFonts w:cs="Times New Roman"/>
                <w:sz w:val="16"/>
                <w:szCs w:val="16"/>
              </w:rPr>
            </w:pPr>
            <w:r w:rsidRPr="002D0A3A">
              <w:rPr>
                <w:rFonts w:eastAsia="Times New Roman" w:cs="Times New Roman"/>
                <w:color w:val="000000" w:themeColor="text1"/>
                <w:sz w:val="16"/>
                <w:szCs w:val="16"/>
              </w:rPr>
              <w:t>Db</w:t>
            </w:r>
          </w:p>
        </w:tc>
        <w:tc>
          <w:tcPr>
            <w:tcW w:w="2004" w:type="pct"/>
            <w:tcMar>
              <w:left w:w="70" w:type="dxa"/>
              <w:right w:w="70" w:type="dxa"/>
            </w:tcMar>
            <w:vAlign w:val="center"/>
          </w:tcPr>
          <w:p w14:paraId="34582416" w14:textId="19856BA6" w:rsidR="3B9B9094" w:rsidRPr="002D0A3A" w:rsidRDefault="3B9B9094" w:rsidP="000A5389">
            <w:pPr>
              <w:spacing w:line="240" w:lineRule="auto"/>
              <w:rPr>
                <w:rFonts w:cs="Times New Roman"/>
                <w:sz w:val="16"/>
                <w:szCs w:val="16"/>
              </w:rPr>
            </w:pPr>
            <w:r w:rsidRPr="002D0A3A">
              <w:rPr>
                <w:rFonts w:eastAsia="Times New Roman" w:cs="Times New Roman"/>
                <w:color w:val="000000" w:themeColor="text1"/>
                <w:sz w:val="16"/>
                <w:szCs w:val="16"/>
              </w:rPr>
              <w:t>Depósitos en instituciones financieras</w:t>
            </w:r>
          </w:p>
        </w:tc>
        <w:tc>
          <w:tcPr>
            <w:tcW w:w="587" w:type="pct"/>
            <w:tcMar>
              <w:left w:w="70" w:type="dxa"/>
              <w:right w:w="70" w:type="dxa"/>
            </w:tcMar>
            <w:vAlign w:val="center"/>
          </w:tcPr>
          <w:p w14:paraId="0DC2B48C" w14:textId="20298CD2" w:rsidR="3B9B9094" w:rsidRPr="002D0A3A" w:rsidRDefault="3B9B9094" w:rsidP="000A5389">
            <w:pPr>
              <w:spacing w:line="240" w:lineRule="auto"/>
              <w:jc w:val="right"/>
              <w:rPr>
                <w:rFonts w:cs="Times New Roman"/>
                <w:sz w:val="16"/>
                <w:szCs w:val="16"/>
              </w:rPr>
            </w:pPr>
            <w:r w:rsidRPr="002D0A3A">
              <w:rPr>
                <w:rFonts w:eastAsia="Times New Roman" w:cs="Times New Roman"/>
                <w:color w:val="000000" w:themeColor="text1"/>
                <w:sz w:val="16"/>
                <w:szCs w:val="16"/>
              </w:rPr>
              <w:t>733.148.791</w:t>
            </w:r>
          </w:p>
        </w:tc>
        <w:tc>
          <w:tcPr>
            <w:tcW w:w="710" w:type="pct"/>
            <w:tcMar>
              <w:left w:w="70" w:type="dxa"/>
              <w:right w:w="70" w:type="dxa"/>
            </w:tcMar>
            <w:vAlign w:val="center"/>
          </w:tcPr>
          <w:p w14:paraId="07705974" w14:textId="7FAE9176" w:rsidR="3B9B9094" w:rsidRPr="002D0A3A" w:rsidRDefault="3B9B9094" w:rsidP="000A5389">
            <w:pPr>
              <w:spacing w:line="240" w:lineRule="auto"/>
              <w:jc w:val="right"/>
              <w:rPr>
                <w:rFonts w:cs="Times New Roman"/>
                <w:sz w:val="16"/>
                <w:szCs w:val="16"/>
              </w:rPr>
            </w:pPr>
            <w:r w:rsidRPr="002D0A3A">
              <w:rPr>
                <w:rFonts w:eastAsia="Times New Roman" w:cs="Times New Roman"/>
                <w:color w:val="000000" w:themeColor="text1"/>
                <w:sz w:val="16"/>
                <w:szCs w:val="16"/>
              </w:rPr>
              <w:t>550.733.547</w:t>
            </w:r>
          </w:p>
        </w:tc>
        <w:tc>
          <w:tcPr>
            <w:tcW w:w="628" w:type="pct"/>
            <w:tcMar>
              <w:left w:w="70" w:type="dxa"/>
              <w:right w:w="70" w:type="dxa"/>
            </w:tcMar>
            <w:vAlign w:val="center"/>
          </w:tcPr>
          <w:p w14:paraId="726B84D0" w14:textId="74AE99B1" w:rsidR="3B9B9094" w:rsidRPr="002D0A3A" w:rsidRDefault="3B9B9094" w:rsidP="000A5389">
            <w:pPr>
              <w:spacing w:line="240" w:lineRule="auto"/>
              <w:jc w:val="right"/>
              <w:rPr>
                <w:rFonts w:cs="Times New Roman"/>
                <w:sz w:val="16"/>
                <w:szCs w:val="16"/>
              </w:rPr>
            </w:pPr>
            <w:r w:rsidRPr="002D0A3A">
              <w:rPr>
                <w:rFonts w:eastAsia="Times New Roman" w:cs="Times New Roman"/>
                <w:color w:val="000000" w:themeColor="text1"/>
                <w:sz w:val="16"/>
                <w:szCs w:val="16"/>
              </w:rPr>
              <w:t>182.415.244</w:t>
            </w:r>
          </w:p>
        </w:tc>
      </w:tr>
      <w:tr w:rsidR="005A73C0" w:rsidRPr="002D0A3A" w14:paraId="0A629EDC" w14:textId="77777777" w:rsidTr="00A60734">
        <w:trPr>
          <w:trHeight w:val="340"/>
        </w:trPr>
        <w:tc>
          <w:tcPr>
            <w:tcW w:w="615" w:type="pct"/>
            <w:tcMar>
              <w:left w:w="70" w:type="dxa"/>
              <w:right w:w="70" w:type="dxa"/>
            </w:tcMar>
            <w:vAlign w:val="center"/>
          </w:tcPr>
          <w:p w14:paraId="57DEA317" w14:textId="4C016227" w:rsidR="3B9B9094" w:rsidRPr="002D0A3A" w:rsidRDefault="3B9B9094" w:rsidP="000A5389">
            <w:pPr>
              <w:spacing w:line="240" w:lineRule="auto"/>
              <w:jc w:val="center"/>
              <w:rPr>
                <w:rFonts w:cs="Times New Roman"/>
                <w:sz w:val="16"/>
                <w:szCs w:val="16"/>
              </w:rPr>
            </w:pPr>
            <w:r w:rsidRPr="002D0A3A">
              <w:rPr>
                <w:rFonts w:eastAsia="Times New Roman" w:cs="Times New Roman"/>
                <w:color w:val="000000" w:themeColor="text1"/>
                <w:sz w:val="16"/>
                <w:szCs w:val="16"/>
              </w:rPr>
              <w:t>1.1.32</w:t>
            </w:r>
          </w:p>
        </w:tc>
        <w:tc>
          <w:tcPr>
            <w:tcW w:w="456" w:type="pct"/>
            <w:tcMar>
              <w:left w:w="70" w:type="dxa"/>
              <w:right w:w="70" w:type="dxa"/>
            </w:tcMar>
            <w:vAlign w:val="center"/>
          </w:tcPr>
          <w:p w14:paraId="3A8EE118" w14:textId="38A10AF4" w:rsidR="3B9B9094" w:rsidRPr="002D0A3A" w:rsidRDefault="3B9B9094" w:rsidP="000A5389">
            <w:pPr>
              <w:spacing w:line="240" w:lineRule="auto"/>
              <w:jc w:val="center"/>
              <w:rPr>
                <w:rFonts w:cs="Times New Roman"/>
                <w:sz w:val="16"/>
                <w:szCs w:val="16"/>
              </w:rPr>
            </w:pPr>
            <w:r w:rsidRPr="002D0A3A">
              <w:rPr>
                <w:rFonts w:eastAsia="Times New Roman" w:cs="Times New Roman"/>
                <w:color w:val="000000" w:themeColor="text1"/>
                <w:sz w:val="16"/>
                <w:szCs w:val="16"/>
              </w:rPr>
              <w:t>Db</w:t>
            </w:r>
          </w:p>
        </w:tc>
        <w:tc>
          <w:tcPr>
            <w:tcW w:w="2004" w:type="pct"/>
            <w:tcMar>
              <w:left w:w="70" w:type="dxa"/>
              <w:right w:w="70" w:type="dxa"/>
            </w:tcMar>
            <w:vAlign w:val="center"/>
          </w:tcPr>
          <w:p w14:paraId="7170C8E6" w14:textId="61BB9FEA" w:rsidR="3B9B9094" w:rsidRPr="002D0A3A" w:rsidRDefault="3B9B9094" w:rsidP="000A5389">
            <w:pPr>
              <w:spacing w:line="240" w:lineRule="auto"/>
              <w:rPr>
                <w:rFonts w:cs="Times New Roman"/>
                <w:sz w:val="16"/>
                <w:szCs w:val="16"/>
              </w:rPr>
            </w:pPr>
            <w:r w:rsidRPr="002D0A3A">
              <w:rPr>
                <w:rFonts w:eastAsia="Times New Roman" w:cs="Times New Roman"/>
                <w:color w:val="000000" w:themeColor="text1"/>
                <w:sz w:val="16"/>
                <w:szCs w:val="16"/>
              </w:rPr>
              <w:t>Efectivo de uso restringido</w:t>
            </w:r>
          </w:p>
        </w:tc>
        <w:tc>
          <w:tcPr>
            <w:tcW w:w="587" w:type="pct"/>
            <w:tcMar>
              <w:left w:w="70" w:type="dxa"/>
              <w:right w:w="70" w:type="dxa"/>
            </w:tcMar>
            <w:vAlign w:val="center"/>
          </w:tcPr>
          <w:p w14:paraId="17352AD0" w14:textId="4E8129F0" w:rsidR="3B9B9094" w:rsidRPr="002D0A3A" w:rsidRDefault="3B9B9094" w:rsidP="000A5389">
            <w:pPr>
              <w:spacing w:line="240" w:lineRule="auto"/>
              <w:jc w:val="right"/>
              <w:rPr>
                <w:rFonts w:cs="Times New Roman"/>
                <w:sz w:val="16"/>
                <w:szCs w:val="16"/>
              </w:rPr>
            </w:pPr>
            <w:r w:rsidRPr="002D0A3A">
              <w:rPr>
                <w:rFonts w:eastAsia="Times New Roman" w:cs="Times New Roman"/>
                <w:color w:val="000000" w:themeColor="text1"/>
                <w:sz w:val="16"/>
                <w:szCs w:val="16"/>
              </w:rPr>
              <w:t>2.655.258</w:t>
            </w:r>
          </w:p>
        </w:tc>
        <w:tc>
          <w:tcPr>
            <w:tcW w:w="710" w:type="pct"/>
            <w:tcMar>
              <w:left w:w="70" w:type="dxa"/>
              <w:right w:w="70" w:type="dxa"/>
            </w:tcMar>
            <w:vAlign w:val="center"/>
          </w:tcPr>
          <w:p w14:paraId="6339D310" w14:textId="55D53909" w:rsidR="3B9B9094" w:rsidRPr="002D0A3A" w:rsidRDefault="3B9B9094" w:rsidP="000A5389">
            <w:pPr>
              <w:spacing w:line="240" w:lineRule="auto"/>
              <w:jc w:val="right"/>
              <w:rPr>
                <w:rFonts w:cs="Times New Roman"/>
                <w:sz w:val="16"/>
                <w:szCs w:val="16"/>
              </w:rPr>
            </w:pPr>
            <w:r w:rsidRPr="002D0A3A">
              <w:rPr>
                <w:rFonts w:eastAsia="Times New Roman" w:cs="Times New Roman"/>
                <w:color w:val="000000" w:themeColor="text1"/>
                <w:sz w:val="16"/>
                <w:szCs w:val="16"/>
              </w:rPr>
              <w:t>2.655.258</w:t>
            </w:r>
          </w:p>
        </w:tc>
        <w:tc>
          <w:tcPr>
            <w:tcW w:w="628" w:type="pct"/>
            <w:tcMar>
              <w:left w:w="70" w:type="dxa"/>
              <w:right w:w="70" w:type="dxa"/>
            </w:tcMar>
            <w:vAlign w:val="center"/>
          </w:tcPr>
          <w:p w14:paraId="6F5AFC55" w14:textId="574F3800" w:rsidR="3B9B9094" w:rsidRPr="002D0A3A" w:rsidRDefault="3B9B9094" w:rsidP="000A5389">
            <w:pPr>
              <w:spacing w:line="240" w:lineRule="auto"/>
              <w:jc w:val="right"/>
              <w:rPr>
                <w:rFonts w:cs="Times New Roman"/>
                <w:sz w:val="16"/>
                <w:szCs w:val="16"/>
              </w:rPr>
            </w:pPr>
            <w:r w:rsidRPr="002D0A3A">
              <w:rPr>
                <w:rFonts w:eastAsia="Times New Roman" w:cs="Times New Roman"/>
                <w:color w:val="000000" w:themeColor="text1"/>
                <w:sz w:val="16"/>
                <w:szCs w:val="16"/>
              </w:rPr>
              <w:t>0</w:t>
            </w:r>
          </w:p>
        </w:tc>
      </w:tr>
    </w:tbl>
    <w:p w14:paraId="321D79F6" w14:textId="53C23489" w:rsidR="3A0EFC6D" w:rsidRPr="00951AB1" w:rsidRDefault="3A0EFC6D" w:rsidP="000A5389">
      <w:pPr>
        <w:spacing w:line="240" w:lineRule="auto"/>
        <w:rPr>
          <w:rFonts w:cs="Times New Roman"/>
        </w:rPr>
      </w:pPr>
      <w:r w:rsidRPr="00951AB1">
        <w:rPr>
          <w:rFonts w:eastAsia="Times New Roman" w:cs="Times New Roman"/>
          <w:sz w:val="14"/>
          <w:szCs w:val="14"/>
        </w:rPr>
        <w:t>Cifras expresadas en pesos</w:t>
      </w:r>
    </w:p>
    <w:p w14:paraId="2DD6DCE5" w14:textId="35D9C65E" w:rsidR="3A0EFC6D" w:rsidRPr="00951AB1" w:rsidRDefault="3A0EFC6D" w:rsidP="000A5389">
      <w:pPr>
        <w:spacing w:line="240" w:lineRule="auto"/>
        <w:rPr>
          <w:rFonts w:cs="Times New Roman"/>
        </w:rPr>
      </w:pPr>
      <w:r w:rsidRPr="00951AB1">
        <w:rPr>
          <w:rFonts w:eastAsia="Times New Roman" w:cs="Times New Roman"/>
          <w:szCs w:val="24"/>
        </w:rPr>
        <w:t xml:space="preserve"> </w:t>
      </w:r>
    </w:p>
    <w:p w14:paraId="00223A23" w14:textId="5095DBE4" w:rsidR="3A0EFC6D" w:rsidRPr="00951AB1" w:rsidRDefault="3A0EFC6D" w:rsidP="000A5389">
      <w:pPr>
        <w:spacing w:line="240" w:lineRule="auto"/>
        <w:rPr>
          <w:rFonts w:cs="Times New Roman"/>
        </w:rPr>
      </w:pPr>
      <w:r w:rsidRPr="00951AB1">
        <w:rPr>
          <w:rFonts w:eastAsia="Times New Roman" w:cs="Times New Roman"/>
          <w:szCs w:val="24"/>
        </w:rPr>
        <w:t xml:space="preserve">El efectivo y equivalentes al efectivo representan los activos con mayor liquidez de la Entidad, destinados a cumplir con obligaciones inmediatas y a financiar la operación corriente del sector público.  Así mismo, los fondos de efectivo y equivalentes al efectivo que no están disponibles para su uso inmediato ya sea por restricciones legales o económicas. </w:t>
      </w:r>
    </w:p>
    <w:p w14:paraId="2863566C" w14:textId="71290533" w:rsidR="3A0EFC6D" w:rsidRPr="00951AB1" w:rsidRDefault="3A0EFC6D" w:rsidP="000A5389">
      <w:pPr>
        <w:spacing w:line="240" w:lineRule="auto"/>
        <w:rPr>
          <w:rFonts w:cs="Times New Roman"/>
        </w:rPr>
      </w:pPr>
      <w:r w:rsidRPr="00951AB1">
        <w:rPr>
          <w:rFonts w:eastAsia="Times New Roman" w:cs="Times New Roman"/>
          <w:szCs w:val="24"/>
        </w:rPr>
        <w:t xml:space="preserve"> </w:t>
      </w:r>
    </w:p>
    <w:p w14:paraId="65C62FD0" w14:textId="728A6666" w:rsidR="3A0EFC6D" w:rsidRPr="00951AB1" w:rsidRDefault="3A0EFC6D" w:rsidP="000A5389">
      <w:pPr>
        <w:spacing w:line="240" w:lineRule="auto"/>
        <w:rPr>
          <w:rFonts w:cs="Times New Roman"/>
        </w:rPr>
      </w:pPr>
      <w:r w:rsidRPr="00951AB1">
        <w:rPr>
          <w:rFonts w:eastAsia="Times New Roman" w:cs="Times New Roman"/>
          <w:szCs w:val="24"/>
        </w:rPr>
        <w:t>El efectivo y equivalentes de efectivo se clasifica de la siguiente manera:</w:t>
      </w:r>
    </w:p>
    <w:p w14:paraId="360ACF41" w14:textId="277E96C1" w:rsidR="3A0EFC6D" w:rsidRPr="00951AB1" w:rsidRDefault="3A0EFC6D" w:rsidP="000A5389">
      <w:pPr>
        <w:spacing w:line="240" w:lineRule="auto"/>
        <w:rPr>
          <w:rFonts w:cs="Times New Roman"/>
        </w:rPr>
      </w:pPr>
      <w:r w:rsidRPr="00951AB1">
        <w:rPr>
          <w:rFonts w:eastAsia="Times New Roman" w:cs="Times New Roman"/>
          <w:szCs w:val="24"/>
        </w:rPr>
        <w:t xml:space="preserve"> </w:t>
      </w:r>
    </w:p>
    <w:p w14:paraId="731436FF" w14:textId="6EF308C0" w:rsidR="3A0EFC6D" w:rsidRPr="00951AB1" w:rsidRDefault="3A0EFC6D" w:rsidP="000A5389">
      <w:pPr>
        <w:pStyle w:val="Prrafodelista"/>
        <w:numPr>
          <w:ilvl w:val="0"/>
          <w:numId w:val="49"/>
        </w:numPr>
        <w:spacing w:line="240" w:lineRule="auto"/>
        <w:rPr>
          <w:rFonts w:eastAsia="Times New Roman" w:cs="Times New Roman"/>
          <w:szCs w:val="24"/>
        </w:rPr>
      </w:pPr>
      <w:r w:rsidRPr="00951AB1">
        <w:rPr>
          <w:rFonts w:eastAsia="Times New Roman" w:cs="Times New Roman"/>
          <w:b/>
          <w:bCs/>
          <w:szCs w:val="24"/>
        </w:rPr>
        <w:t>Recursos del Tesoro Nacional:</w:t>
      </w:r>
      <w:r w:rsidRPr="00951AB1">
        <w:rPr>
          <w:rFonts w:eastAsia="Times New Roman" w:cs="Times New Roman"/>
          <w:szCs w:val="24"/>
        </w:rPr>
        <w:t xml:space="preserve"> Dinero vía transferencia del Presupuesto General.</w:t>
      </w:r>
    </w:p>
    <w:p w14:paraId="62247CC8" w14:textId="5E85135D" w:rsidR="3A0EFC6D" w:rsidRPr="00951AB1" w:rsidRDefault="3A0EFC6D" w:rsidP="000A5389">
      <w:pPr>
        <w:pStyle w:val="Prrafodelista"/>
        <w:numPr>
          <w:ilvl w:val="0"/>
          <w:numId w:val="49"/>
        </w:numPr>
        <w:spacing w:line="240" w:lineRule="auto"/>
        <w:rPr>
          <w:rFonts w:eastAsia="Times New Roman" w:cs="Times New Roman"/>
          <w:szCs w:val="24"/>
        </w:rPr>
      </w:pPr>
      <w:r w:rsidRPr="00951AB1">
        <w:rPr>
          <w:rFonts w:eastAsia="Times New Roman" w:cs="Times New Roman"/>
          <w:b/>
          <w:bCs/>
          <w:szCs w:val="24"/>
        </w:rPr>
        <w:t>Recursos Propios:</w:t>
      </w:r>
      <w:r w:rsidRPr="00951AB1">
        <w:rPr>
          <w:rFonts w:eastAsia="Times New Roman" w:cs="Times New Roman"/>
          <w:szCs w:val="24"/>
        </w:rPr>
        <w:t xml:space="preserve"> Ingresos generados por la gestión de la entidad (tasas, multas, contraprestaciones).</w:t>
      </w:r>
    </w:p>
    <w:p w14:paraId="1BF89B79" w14:textId="213AF251" w:rsidR="3A0EFC6D" w:rsidRPr="00951AB1" w:rsidRDefault="3A0EFC6D" w:rsidP="000A5389">
      <w:pPr>
        <w:spacing w:line="240" w:lineRule="auto"/>
        <w:rPr>
          <w:rFonts w:cs="Times New Roman"/>
        </w:rPr>
      </w:pPr>
      <w:r w:rsidRPr="00951AB1">
        <w:rPr>
          <w:rFonts w:eastAsia="Times New Roman" w:cs="Times New Roman"/>
          <w:szCs w:val="24"/>
        </w:rPr>
        <w:t xml:space="preserve"> </w:t>
      </w:r>
    </w:p>
    <w:p w14:paraId="56E96117" w14:textId="10D26E96" w:rsidR="3A0EFC6D" w:rsidRPr="00951AB1" w:rsidRDefault="3A0EFC6D" w:rsidP="000A5389">
      <w:pPr>
        <w:spacing w:line="240" w:lineRule="auto"/>
        <w:rPr>
          <w:rFonts w:cs="Times New Roman"/>
        </w:rPr>
      </w:pPr>
      <w:r w:rsidRPr="00951AB1">
        <w:rPr>
          <w:rFonts w:eastAsia="Times New Roman" w:cs="Times New Roman"/>
          <w:szCs w:val="24"/>
        </w:rPr>
        <w:t xml:space="preserve"> La clasificación anterior </w:t>
      </w:r>
      <w:r w:rsidR="1A725E03" w:rsidRPr="00951AB1">
        <w:rPr>
          <w:rFonts w:eastAsia="Times New Roman" w:cs="Times New Roman"/>
          <w:szCs w:val="24"/>
        </w:rPr>
        <w:t>está</w:t>
      </w:r>
      <w:r w:rsidRPr="00951AB1">
        <w:rPr>
          <w:rFonts w:eastAsia="Times New Roman" w:cs="Times New Roman"/>
          <w:szCs w:val="24"/>
        </w:rPr>
        <w:t xml:space="preserve"> compuesta por: </w:t>
      </w:r>
    </w:p>
    <w:p w14:paraId="7E2FDA95" w14:textId="15D45C8A" w:rsidR="3A0EFC6D" w:rsidRPr="00951AB1" w:rsidRDefault="3A0EFC6D" w:rsidP="000A5389">
      <w:pPr>
        <w:pStyle w:val="Prrafodelista"/>
        <w:numPr>
          <w:ilvl w:val="0"/>
          <w:numId w:val="9"/>
        </w:numPr>
        <w:spacing w:line="240" w:lineRule="auto"/>
        <w:rPr>
          <w:rFonts w:eastAsia="Times New Roman" w:cs="Times New Roman"/>
          <w:szCs w:val="24"/>
        </w:rPr>
      </w:pPr>
      <w:r w:rsidRPr="00951AB1">
        <w:rPr>
          <w:rFonts w:eastAsia="Times New Roman" w:cs="Times New Roman"/>
          <w:szCs w:val="24"/>
        </w:rPr>
        <w:t>Recursos recibidos en administración de acuerdo con lo pactado en los contratos o convenios suscritos.</w:t>
      </w:r>
    </w:p>
    <w:p w14:paraId="408678C1" w14:textId="7AECA393" w:rsidR="3A0EFC6D" w:rsidRPr="00951AB1" w:rsidRDefault="3A0EFC6D" w:rsidP="000A5389">
      <w:pPr>
        <w:pStyle w:val="Prrafodelista"/>
        <w:numPr>
          <w:ilvl w:val="0"/>
          <w:numId w:val="9"/>
        </w:numPr>
        <w:spacing w:line="240" w:lineRule="auto"/>
        <w:rPr>
          <w:rFonts w:eastAsia="Times New Roman" w:cs="Times New Roman"/>
          <w:szCs w:val="24"/>
        </w:rPr>
      </w:pPr>
      <w:r w:rsidRPr="00951AB1">
        <w:rPr>
          <w:rFonts w:eastAsia="Times New Roman" w:cs="Times New Roman"/>
          <w:szCs w:val="24"/>
        </w:rPr>
        <w:t>Recursos para el pago de las retenciones del impuesto de industria y comercio, los descuentos efectuados a funcionarios y contratistas a ser consignados en cuentas AFC y aportes parafiscales.</w:t>
      </w:r>
    </w:p>
    <w:p w14:paraId="60CE009F" w14:textId="5A83E7DA" w:rsidR="3A0EFC6D" w:rsidRPr="00951AB1" w:rsidRDefault="3A0EFC6D" w:rsidP="000A5389">
      <w:pPr>
        <w:pStyle w:val="Prrafodelista"/>
        <w:numPr>
          <w:ilvl w:val="0"/>
          <w:numId w:val="9"/>
        </w:numPr>
        <w:spacing w:line="240" w:lineRule="auto"/>
        <w:rPr>
          <w:rFonts w:eastAsia="Times New Roman" w:cs="Times New Roman"/>
          <w:szCs w:val="24"/>
        </w:rPr>
      </w:pPr>
      <w:r w:rsidRPr="00951AB1">
        <w:rPr>
          <w:rFonts w:eastAsia="Times New Roman" w:cs="Times New Roman"/>
          <w:szCs w:val="24"/>
        </w:rPr>
        <w:t>Recursos recibidos por las EPS por pago de incapacidades.</w:t>
      </w:r>
    </w:p>
    <w:p w14:paraId="4A70A8F0" w14:textId="63292FF9" w:rsidR="3A0EFC6D" w:rsidRPr="00951AB1" w:rsidRDefault="3A0EFC6D" w:rsidP="000A5389">
      <w:pPr>
        <w:pStyle w:val="Prrafodelista"/>
        <w:numPr>
          <w:ilvl w:val="0"/>
          <w:numId w:val="9"/>
        </w:numPr>
        <w:spacing w:line="240" w:lineRule="auto"/>
        <w:rPr>
          <w:rFonts w:eastAsia="Times New Roman" w:cs="Times New Roman"/>
          <w:szCs w:val="24"/>
        </w:rPr>
      </w:pPr>
      <w:r w:rsidRPr="00951AB1">
        <w:rPr>
          <w:rFonts w:eastAsia="Times New Roman" w:cs="Times New Roman"/>
          <w:szCs w:val="24"/>
        </w:rPr>
        <w:t>Recursos recibidos como contraprestación (red férrea, portuaria y aeroportuaria).</w:t>
      </w:r>
    </w:p>
    <w:p w14:paraId="08807965" w14:textId="4D4EF38D" w:rsidR="3A0EFC6D" w:rsidRPr="00951AB1" w:rsidRDefault="3A0EFC6D" w:rsidP="000A5389">
      <w:pPr>
        <w:pStyle w:val="Prrafodelista"/>
        <w:numPr>
          <w:ilvl w:val="0"/>
          <w:numId w:val="9"/>
        </w:numPr>
        <w:spacing w:line="240" w:lineRule="auto"/>
        <w:rPr>
          <w:rFonts w:eastAsia="Times New Roman" w:cs="Times New Roman"/>
          <w:szCs w:val="24"/>
        </w:rPr>
      </w:pPr>
      <w:r w:rsidRPr="00951AB1">
        <w:rPr>
          <w:rFonts w:eastAsia="Times New Roman" w:cs="Times New Roman"/>
          <w:szCs w:val="24"/>
        </w:rPr>
        <w:t>Recursos trasladados entre cuentas bancarias de la entidad.</w:t>
      </w:r>
    </w:p>
    <w:p w14:paraId="74ADDDBE" w14:textId="73C28005" w:rsidR="3A0EFC6D" w:rsidRPr="00951AB1" w:rsidRDefault="3A0EFC6D" w:rsidP="000A5389">
      <w:pPr>
        <w:pStyle w:val="Prrafodelista"/>
        <w:numPr>
          <w:ilvl w:val="0"/>
          <w:numId w:val="9"/>
        </w:numPr>
        <w:spacing w:line="240" w:lineRule="auto"/>
        <w:rPr>
          <w:rFonts w:eastAsia="Times New Roman" w:cs="Times New Roman"/>
          <w:szCs w:val="24"/>
        </w:rPr>
      </w:pPr>
      <w:r w:rsidRPr="00951AB1">
        <w:rPr>
          <w:rFonts w:eastAsia="Times New Roman" w:cs="Times New Roman"/>
          <w:szCs w:val="24"/>
        </w:rPr>
        <w:t>Recursos recibidos por concepto de rendimientos financieros.</w:t>
      </w:r>
    </w:p>
    <w:p w14:paraId="2B90B090" w14:textId="628FF95D" w:rsidR="3A0EFC6D" w:rsidRPr="00951AB1" w:rsidRDefault="3A0EFC6D" w:rsidP="000A5389">
      <w:pPr>
        <w:pStyle w:val="Prrafodelista"/>
        <w:numPr>
          <w:ilvl w:val="0"/>
          <w:numId w:val="9"/>
        </w:numPr>
        <w:spacing w:line="240" w:lineRule="auto"/>
        <w:rPr>
          <w:rFonts w:eastAsia="Times New Roman" w:cs="Times New Roman"/>
          <w:szCs w:val="24"/>
        </w:rPr>
      </w:pPr>
      <w:r w:rsidRPr="00951AB1">
        <w:rPr>
          <w:rFonts w:eastAsia="Times New Roman" w:cs="Times New Roman"/>
          <w:szCs w:val="24"/>
        </w:rPr>
        <w:lastRenderedPageBreak/>
        <w:t>Recursos recibidos por la explotación de activos en concesión consignados en cuentas de la ANI.</w:t>
      </w:r>
    </w:p>
    <w:p w14:paraId="1462BB08" w14:textId="10E5424D" w:rsidR="3A0EFC6D" w:rsidRPr="00951AB1" w:rsidRDefault="3A0EFC6D" w:rsidP="000A5389">
      <w:pPr>
        <w:pStyle w:val="Prrafodelista"/>
        <w:numPr>
          <w:ilvl w:val="0"/>
          <w:numId w:val="9"/>
        </w:numPr>
        <w:spacing w:line="240" w:lineRule="auto"/>
        <w:rPr>
          <w:rFonts w:eastAsia="Times New Roman" w:cs="Times New Roman"/>
          <w:szCs w:val="24"/>
        </w:rPr>
      </w:pPr>
      <w:r w:rsidRPr="00951AB1">
        <w:rPr>
          <w:rFonts w:eastAsia="Times New Roman" w:cs="Times New Roman"/>
          <w:szCs w:val="24"/>
        </w:rPr>
        <w:t xml:space="preserve">Otros recursos pactados </w:t>
      </w:r>
      <w:r w:rsidR="3B6AD82A" w:rsidRPr="00951AB1">
        <w:rPr>
          <w:rFonts w:eastAsia="Times New Roman" w:cs="Times New Roman"/>
          <w:szCs w:val="24"/>
        </w:rPr>
        <w:t>en los contratos de concesión</w:t>
      </w:r>
    </w:p>
    <w:p w14:paraId="62049799" w14:textId="7A4D505C" w:rsidR="3B9B9094" w:rsidRPr="00951AB1" w:rsidRDefault="3B9B9094" w:rsidP="000A5389">
      <w:pPr>
        <w:spacing w:line="240" w:lineRule="auto"/>
        <w:ind w:left="360"/>
        <w:rPr>
          <w:rFonts w:cs="Times New Roman"/>
          <w:b/>
          <w:bCs/>
          <w:szCs w:val="24"/>
        </w:rPr>
      </w:pPr>
    </w:p>
    <w:p w14:paraId="6F9FEE71" w14:textId="7350AF48" w:rsidR="00CF42DF" w:rsidRPr="00951AB1" w:rsidRDefault="000C1350" w:rsidP="000A5389">
      <w:pPr>
        <w:pStyle w:val="Ttulo2"/>
        <w:numPr>
          <w:ilvl w:val="0"/>
          <w:numId w:val="0"/>
        </w:numPr>
        <w:spacing w:line="240" w:lineRule="auto"/>
        <w:rPr>
          <w:rFonts w:cs="Times New Roman"/>
        </w:rPr>
      </w:pPr>
      <w:bookmarkStart w:id="191" w:name="_Toc191369496"/>
      <w:bookmarkStart w:id="192" w:name="_Toc191456826"/>
      <w:bookmarkStart w:id="193" w:name="_Toc191456936"/>
      <w:bookmarkStart w:id="194" w:name="_Toc191457046"/>
      <w:bookmarkStart w:id="195" w:name="_Toc191475673"/>
      <w:bookmarkStart w:id="196" w:name="_Toc191475782"/>
      <w:bookmarkStart w:id="197" w:name="_Toc191475891"/>
      <w:bookmarkStart w:id="198" w:name="_Toc191475414"/>
      <w:bookmarkStart w:id="199" w:name="_Toc191505790"/>
      <w:bookmarkStart w:id="200" w:name="_Toc222824102"/>
      <w:bookmarkStart w:id="201" w:name="_Toc222955468"/>
      <w:r w:rsidRPr="00951AB1">
        <w:rPr>
          <w:rFonts w:cs="Times New Roman"/>
        </w:rPr>
        <w:t xml:space="preserve">5.1.  </w:t>
      </w:r>
      <w:r w:rsidRPr="00951AB1">
        <w:rPr>
          <w:rFonts w:cs="Times New Roman"/>
        </w:rPr>
        <w:tab/>
      </w:r>
      <w:r w:rsidR="45FE901B" w:rsidRPr="00951AB1">
        <w:rPr>
          <w:rFonts w:cs="Times New Roman"/>
        </w:rPr>
        <w:t>Depósitos en instituciones financieras</w:t>
      </w:r>
      <w:bookmarkEnd w:id="191"/>
      <w:bookmarkEnd w:id="192"/>
      <w:bookmarkEnd w:id="193"/>
      <w:bookmarkEnd w:id="194"/>
      <w:bookmarkEnd w:id="195"/>
      <w:bookmarkEnd w:id="196"/>
      <w:bookmarkEnd w:id="197"/>
      <w:bookmarkEnd w:id="198"/>
      <w:bookmarkEnd w:id="199"/>
      <w:bookmarkEnd w:id="200"/>
      <w:bookmarkEnd w:id="201"/>
    </w:p>
    <w:p w14:paraId="157403B8" w14:textId="509F00E8" w:rsidR="35BF31F6" w:rsidRPr="00951AB1" w:rsidRDefault="35BF31F6" w:rsidP="000A5389">
      <w:pPr>
        <w:spacing w:line="240" w:lineRule="auto"/>
        <w:rPr>
          <w:rFonts w:cs="Times New Roman"/>
        </w:rPr>
      </w:pPr>
    </w:p>
    <w:tbl>
      <w:tblPr>
        <w:tblW w:w="5000" w:type="pct"/>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CellMar>
          <w:left w:w="70" w:type="dxa"/>
          <w:right w:w="70" w:type="dxa"/>
        </w:tblCellMar>
        <w:tblLook w:val="04A0" w:firstRow="1" w:lastRow="0" w:firstColumn="1" w:lastColumn="0" w:noHBand="0" w:noVBand="1"/>
      </w:tblPr>
      <w:tblGrid>
        <w:gridCol w:w="999"/>
        <w:gridCol w:w="413"/>
        <w:gridCol w:w="1559"/>
        <w:gridCol w:w="1134"/>
        <w:gridCol w:w="1134"/>
        <w:gridCol w:w="1277"/>
        <w:gridCol w:w="1321"/>
        <w:gridCol w:w="991"/>
      </w:tblGrid>
      <w:tr w:rsidR="006304F4" w:rsidRPr="002D0A3A" w14:paraId="19541BD2" w14:textId="77777777" w:rsidTr="006304F4">
        <w:trPr>
          <w:trHeight w:val="890"/>
        </w:trPr>
        <w:tc>
          <w:tcPr>
            <w:tcW w:w="1683" w:type="pct"/>
            <w:gridSpan w:val="3"/>
            <w:shd w:val="clear" w:color="auto" w:fill="FFFFFF" w:themeFill="background1"/>
            <w:vAlign w:val="center"/>
            <w:hideMark/>
          </w:tcPr>
          <w:p w14:paraId="21814AFE" w14:textId="77777777" w:rsidR="008567AA" w:rsidRPr="002D0A3A" w:rsidRDefault="008567AA" w:rsidP="000A5389">
            <w:pPr>
              <w:spacing w:line="240" w:lineRule="auto"/>
              <w:jc w:val="center"/>
              <w:rPr>
                <w:rFonts w:eastAsia="Times New Roman" w:cs="Times New Roman"/>
                <w:b/>
                <w:color w:val="000000"/>
                <w:kern w:val="0"/>
                <w:sz w:val="18"/>
                <w:szCs w:val="18"/>
                <w:lang w:eastAsia="es-CO"/>
                <w14:ligatures w14:val="none"/>
              </w:rPr>
            </w:pPr>
            <w:r w:rsidRPr="002D0A3A">
              <w:rPr>
                <w:rFonts w:eastAsia="Times New Roman" w:cs="Times New Roman"/>
                <w:b/>
                <w:color w:val="000000"/>
                <w:kern w:val="0"/>
                <w:sz w:val="18"/>
                <w:szCs w:val="18"/>
                <w:lang w:eastAsia="es-CO"/>
                <w14:ligatures w14:val="none"/>
              </w:rPr>
              <w:t>CONCEPTO</w:t>
            </w:r>
          </w:p>
        </w:tc>
        <w:tc>
          <w:tcPr>
            <w:tcW w:w="642" w:type="pct"/>
            <w:shd w:val="clear" w:color="auto" w:fill="FFFFFF" w:themeFill="background1"/>
            <w:vAlign w:val="center"/>
            <w:hideMark/>
          </w:tcPr>
          <w:p w14:paraId="7826A812" w14:textId="77777777" w:rsidR="008567AA" w:rsidRPr="002D0A3A" w:rsidRDefault="008567AA" w:rsidP="000A5389">
            <w:pPr>
              <w:spacing w:line="240" w:lineRule="auto"/>
              <w:jc w:val="center"/>
              <w:rPr>
                <w:rFonts w:eastAsia="Times New Roman" w:cs="Times New Roman"/>
                <w:b/>
                <w:color w:val="000000"/>
                <w:kern w:val="0"/>
                <w:sz w:val="18"/>
                <w:szCs w:val="18"/>
                <w:lang w:eastAsia="es-CO"/>
                <w14:ligatures w14:val="none"/>
              </w:rPr>
            </w:pPr>
            <w:r w:rsidRPr="002D0A3A">
              <w:rPr>
                <w:rFonts w:eastAsia="Times New Roman" w:cs="Times New Roman"/>
                <w:b/>
                <w:color w:val="000000"/>
                <w:kern w:val="0"/>
                <w:sz w:val="18"/>
                <w:szCs w:val="18"/>
                <w:lang w:eastAsia="es-CO"/>
                <w14:ligatures w14:val="none"/>
              </w:rPr>
              <w:t>2025</w:t>
            </w:r>
          </w:p>
        </w:tc>
        <w:tc>
          <w:tcPr>
            <w:tcW w:w="642" w:type="pct"/>
            <w:shd w:val="clear" w:color="auto" w:fill="FFFFFF" w:themeFill="background1"/>
            <w:vAlign w:val="center"/>
            <w:hideMark/>
          </w:tcPr>
          <w:p w14:paraId="7E0AA469" w14:textId="77777777" w:rsidR="008567AA" w:rsidRPr="002D0A3A" w:rsidRDefault="008567AA" w:rsidP="000A5389">
            <w:pPr>
              <w:spacing w:line="240" w:lineRule="auto"/>
              <w:jc w:val="center"/>
              <w:rPr>
                <w:rFonts w:eastAsia="Times New Roman" w:cs="Times New Roman"/>
                <w:b/>
                <w:color w:val="000000"/>
                <w:kern w:val="0"/>
                <w:sz w:val="18"/>
                <w:szCs w:val="18"/>
                <w:lang w:eastAsia="es-CO"/>
                <w14:ligatures w14:val="none"/>
              </w:rPr>
            </w:pPr>
            <w:r w:rsidRPr="002D0A3A">
              <w:rPr>
                <w:rFonts w:eastAsia="Times New Roman" w:cs="Times New Roman"/>
                <w:b/>
                <w:color w:val="000000"/>
                <w:kern w:val="0"/>
                <w:sz w:val="18"/>
                <w:szCs w:val="18"/>
                <w:lang w:eastAsia="es-CO"/>
                <w14:ligatures w14:val="none"/>
              </w:rPr>
              <w:t>2024</w:t>
            </w:r>
          </w:p>
        </w:tc>
        <w:tc>
          <w:tcPr>
            <w:tcW w:w="723" w:type="pct"/>
            <w:shd w:val="clear" w:color="auto" w:fill="FFFFFF" w:themeFill="background1"/>
            <w:vAlign w:val="center"/>
            <w:hideMark/>
          </w:tcPr>
          <w:p w14:paraId="7952434E" w14:textId="18920F89" w:rsidR="008567AA" w:rsidRPr="002D0A3A" w:rsidRDefault="008567AA" w:rsidP="000A5389">
            <w:pPr>
              <w:spacing w:line="240" w:lineRule="auto"/>
              <w:jc w:val="center"/>
              <w:rPr>
                <w:rFonts w:eastAsia="Times New Roman" w:cs="Times New Roman"/>
                <w:b/>
                <w:color w:val="000000"/>
                <w:kern w:val="0"/>
                <w:sz w:val="18"/>
                <w:szCs w:val="18"/>
                <w:lang w:eastAsia="es-CO"/>
                <w14:ligatures w14:val="none"/>
              </w:rPr>
            </w:pPr>
            <w:r w:rsidRPr="002D0A3A">
              <w:rPr>
                <w:rFonts w:eastAsia="Times New Roman" w:cs="Times New Roman"/>
                <w:b/>
                <w:color w:val="000000"/>
                <w:kern w:val="0"/>
                <w:sz w:val="18"/>
                <w:szCs w:val="18"/>
                <w:lang w:eastAsia="es-CO"/>
                <w14:ligatures w14:val="none"/>
              </w:rPr>
              <w:t>VARIACIÓN</w:t>
            </w:r>
          </w:p>
        </w:tc>
        <w:tc>
          <w:tcPr>
            <w:tcW w:w="748" w:type="pct"/>
            <w:shd w:val="clear" w:color="auto" w:fill="FFFFFF" w:themeFill="background1"/>
            <w:vAlign w:val="center"/>
            <w:hideMark/>
          </w:tcPr>
          <w:p w14:paraId="4EDEF0BB" w14:textId="77777777" w:rsidR="008567AA" w:rsidRPr="002D0A3A" w:rsidRDefault="008567AA" w:rsidP="000A5389">
            <w:pPr>
              <w:spacing w:line="240" w:lineRule="auto"/>
              <w:jc w:val="center"/>
              <w:rPr>
                <w:rFonts w:eastAsia="Times New Roman" w:cs="Times New Roman"/>
                <w:b/>
                <w:color w:val="000000"/>
                <w:kern w:val="0"/>
                <w:sz w:val="18"/>
                <w:szCs w:val="18"/>
                <w:lang w:eastAsia="es-CO"/>
                <w14:ligatures w14:val="none"/>
              </w:rPr>
            </w:pPr>
            <w:r w:rsidRPr="002D0A3A">
              <w:rPr>
                <w:rFonts w:eastAsia="Times New Roman" w:cs="Times New Roman"/>
                <w:b/>
                <w:color w:val="000000"/>
                <w:kern w:val="0"/>
                <w:sz w:val="18"/>
                <w:szCs w:val="18"/>
                <w:lang w:eastAsia="es-CO"/>
                <w14:ligatures w14:val="none"/>
              </w:rPr>
              <w:t>RENTABILIDAD</w:t>
            </w:r>
          </w:p>
          <w:p w14:paraId="63ED0E94" w14:textId="59C62859" w:rsidR="008567AA" w:rsidRPr="002D0A3A" w:rsidRDefault="008567AA" w:rsidP="000A5389">
            <w:pPr>
              <w:spacing w:line="240" w:lineRule="auto"/>
              <w:jc w:val="center"/>
              <w:rPr>
                <w:rFonts w:eastAsia="Times New Roman" w:cs="Times New Roman"/>
                <w:b/>
                <w:color w:val="000000"/>
                <w:kern w:val="0"/>
                <w:sz w:val="18"/>
                <w:szCs w:val="18"/>
                <w:lang w:eastAsia="es-CO"/>
                <w14:ligatures w14:val="none"/>
              </w:rPr>
            </w:pPr>
            <w:r w:rsidRPr="002D0A3A">
              <w:rPr>
                <w:rFonts w:eastAsia="Times New Roman" w:cs="Times New Roman"/>
                <w:b/>
                <w:color w:val="000000"/>
                <w:kern w:val="0"/>
                <w:sz w:val="18"/>
                <w:szCs w:val="18"/>
                <w:lang w:eastAsia="es-CO"/>
                <w14:ligatures w14:val="none"/>
              </w:rPr>
              <w:t xml:space="preserve">CIERRE </w:t>
            </w:r>
            <w:r w:rsidRPr="002D0A3A">
              <w:rPr>
                <w:rFonts w:eastAsia="Times New Roman" w:cs="Times New Roman"/>
                <w:b/>
                <w:bCs/>
                <w:color w:val="000000"/>
                <w:kern w:val="0"/>
                <w:sz w:val="18"/>
                <w:szCs w:val="18"/>
                <w:lang w:eastAsia="es-CO"/>
                <w14:ligatures w14:val="none"/>
              </w:rPr>
              <w:t>2025</w:t>
            </w:r>
          </w:p>
        </w:tc>
        <w:tc>
          <w:tcPr>
            <w:tcW w:w="561" w:type="pct"/>
            <w:shd w:val="clear" w:color="auto" w:fill="FFFFFF" w:themeFill="background1"/>
            <w:vAlign w:val="center"/>
            <w:hideMark/>
          </w:tcPr>
          <w:p w14:paraId="18553EBA" w14:textId="77777777" w:rsidR="008567AA" w:rsidRPr="002D0A3A" w:rsidRDefault="008567AA" w:rsidP="000A5389">
            <w:pPr>
              <w:spacing w:line="240" w:lineRule="auto"/>
              <w:jc w:val="center"/>
              <w:rPr>
                <w:rFonts w:eastAsia="Times New Roman" w:cs="Times New Roman"/>
                <w:b/>
                <w:color w:val="000000"/>
                <w:kern w:val="0"/>
                <w:sz w:val="18"/>
                <w:szCs w:val="18"/>
                <w:lang w:eastAsia="es-CO"/>
                <w14:ligatures w14:val="none"/>
              </w:rPr>
            </w:pPr>
            <w:r w:rsidRPr="002D0A3A">
              <w:rPr>
                <w:rFonts w:eastAsia="Times New Roman" w:cs="Times New Roman"/>
                <w:b/>
                <w:color w:val="000000"/>
                <w:kern w:val="0"/>
                <w:sz w:val="18"/>
                <w:szCs w:val="18"/>
                <w:lang w:eastAsia="es-CO"/>
                <w14:ligatures w14:val="none"/>
              </w:rPr>
              <w:t>% TASA PROMEDIO</w:t>
            </w:r>
          </w:p>
        </w:tc>
      </w:tr>
      <w:tr w:rsidR="006304F4" w:rsidRPr="002D0A3A" w14:paraId="23CB1536" w14:textId="77777777" w:rsidTr="006304F4">
        <w:trPr>
          <w:trHeight w:val="481"/>
        </w:trPr>
        <w:tc>
          <w:tcPr>
            <w:tcW w:w="1683" w:type="pct"/>
            <w:gridSpan w:val="3"/>
            <w:shd w:val="clear" w:color="auto" w:fill="FFFFFF" w:themeFill="background1"/>
            <w:noWrap/>
            <w:vAlign w:val="center"/>
            <w:hideMark/>
          </w:tcPr>
          <w:p w14:paraId="6661A6F2" w14:textId="77777777" w:rsidR="00102FF2" w:rsidRPr="002D0A3A" w:rsidRDefault="00102FF2" w:rsidP="002D0A3A">
            <w:pPr>
              <w:spacing w:line="240" w:lineRule="auto"/>
              <w:jc w:val="left"/>
              <w:rPr>
                <w:rFonts w:eastAsia="Times New Roman" w:cs="Times New Roman"/>
                <w:b/>
                <w:color w:val="000000"/>
                <w:kern w:val="0"/>
                <w:sz w:val="18"/>
                <w:szCs w:val="18"/>
                <w:lang w:eastAsia="es-CO"/>
                <w14:ligatures w14:val="none"/>
              </w:rPr>
            </w:pPr>
            <w:r w:rsidRPr="002D0A3A">
              <w:rPr>
                <w:rFonts w:eastAsia="Times New Roman" w:cs="Times New Roman"/>
                <w:b/>
                <w:color w:val="000000"/>
                <w:kern w:val="0"/>
                <w:sz w:val="18"/>
                <w:szCs w:val="18"/>
                <w:lang w:eastAsia="es-CO"/>
                <w14:ligatures w14:val="none"/>
              </w:rPr>
              <w:t>DEPÓSITOS EN INSTITUCIONES FINANCIERAS</w:t>
            </w:r>
          </w:p>
        </w:tc>
        <w:tc>
          <w:tcPr>
            <w:tcW w:w="642" w:type="pct"/>
            <w:shd w:val="clear" w:color="auto" w:fill="FFFFFF" w:themeFill="background1"/>
            <w:noWrap/>
            <w:vAlign w:val="center"/>
            <w:hideMark/>
          </w:tcPr>
          <w:p w14:paraId="4B4E768B" w14:textId="57D7213D" w:rsidR="00102FF2" w:rsidRPr="002D0A3A" w:rsidRDefault="00102FF2" w:rsidP="000A5389">
            <w:pPr>
              <w:spacing w:line="240" w:lineRule="auto"/>
              <w:jc w:val="right"/>
              <w:rPr>
                <w:rFonts w:eastAsia="Times New Roman" w:cs="Times New Roman"/>
                <w:b/>
                <w:color w:val="000000"/>
                <w:kern w:val="0"/>
                <w:sz w:val="18"/>
                <w:szCs w:val="18"/>
                <w:lang w:eastAsia="es-CO"/>
                <w14:ligatures w14:val="none"/>
              </w:rPr>
            </w:pPr>
            <w:r w:rsidRPr="002D0A3A">
              <w:rPr>
                <w:rFonts w:eastAsia="Times New Roman" w:cs="Times New Roman"/>
                <w:b/>
                <w:color w:val="000000" w:themeColor="text1"/>
                <w:sz w:val="18"/>
                <w:szCs w:val="18"/>
                <w:lang w:eastAsia="es-CO"/>
              </w:rPr>
              <w:t>733.148.79</w:t>
            </w:r>
            <w:r w:rsidR="72F680C9" w:rsidRPr="002D0A3A">
              <w:rPr>
                <w:rFonts w:eastAsia="Times New Roman" w:cs="Times New Roman"/>
                <w:b/>
                <w:color w:val="000000" w:themeColor="text1"/>
                <w:sz w:val="18"/>
                <w:szCs w:val="18"/>
                <w:lang w:eastAsia="es-CO"/>
              </w:rPr>
              <w:t>1</w:t>
            </w:r>
          </w:p>
        </w:tc>
        <w:tc>
          <w:tcPr>
            <w:tcW w:w="642" w:type="pct"/>
            <w:shd w:val="clear" w:color="auto" w:fill="FFFFFF" w:themeFill="background1"/>
            <w:noWrap/>
            <w:vAlign w:val="center"/>
            <w:hideMark/>
          </w:tcPr>
          <w:p w14:paraId="1C268A2A" w14:textId="77777777" w:rsidR="00102FF2" w:rsidRPr="002D0A3A" w:rsidRDefault="00102FF2" w:rsidP="000A5389">
            <w:pPr>
              <w:spacing w:line="240" w:lineRule="auto"/>
              <w:jc w:val="right"/>
              <w:rPr>
                <w:rFonts w:eastAsia="Times New Roman" w:cs="Times New Roman"/>
                <w:b/>
                <w:color w:val="000000"/>
                <w:kern w:val="0"/>
                <w:sz w:val="18"/>
                <w:szCs w:val="18"/>
                <w:lang w:eastAsia="es-CO"/>
                <w14:ligatures w14:val="none"/>
              </w:rPr>
            </w:pPr>
            <w:r w:rsidRPr="002D0A3A">
              <w:rPr>
                <w:rFonts w:eastAsia="Times New Roman" w:cs="Times New Roman"/>
                <w:b/>
                <w:color w:val="000000"/>
                <w:kern w:val="0"/>
                <w:sz w:val="18"/>
                <w:szCs w:val="18"/>
                <w:lang w:eastAsia="es-CO"/>
                <w14:ligatures w14:val="none"/>
              </w:rPr>
              <w:t>550.733.547</w:t>
            </w:r>
          </w:p>
        </w:tc>
        <w:tc>
          <w:tcPr>
            <w:tcW w:w="723" w:type="pct"/>
            <w:shd w:val="clear" w:color="auto" w:fill="FFFFFF" w:themeFill="background1"/>
            <w:noWrap/>
            <w:vAlign w:val="center"/>
            <w:hideMark/>
          </w:tcPr>
          <w:p w14:paraId="0D8F34AB" w14:textId="77777777" w:rsidR="00102FF2" w:rsidRPr="002D0A3A" w:rsidRDefault="00102FF2" w:rsidP="000A5389">
            <w:pPr>
              <w:spacing w:line="240" w:lineRule="auto"/>
              <w:jc w:val="right"/>
              <w:rPr>
                <w:rFonts w:eastAsia="Times New Roman" w:cs="Times New Roman"/>
                <w:b/>
                <w:color w:val="000000"/>
                <w:kern w:val="0"/>
                <w:sz w:val="18"/>
                <w:szCs w:val="18"/>
                <w:lang w:eastAsia="es-CO"/>
                <w14:ligatures w14:val="none"/>
              </w:rPr>
            </w:pPr>
            <w:r w:rsidRPr="002D0A3A">
              <w:rPr>
                <w:rFonts w:eastAsia="Times New Roman" w:cs="Times New Roman"/>
                <w:b/>
                <w:color w:val="000000"/>
                <w:kern w:val="0"/>
                <w:sz w:val="18"/>
                <w:szCs w:val="18"/>
                <w:lang w:eastAsia="es-CO"/>
                <w14:ligatures w14:val="none"/>
              </w:rPr>
              <w:t>182.415.245</w:t>
            </w:r>
          </w:p>
        </w:tc>
        <w:tc>
          <w:tcPr>
            <w:tcW w:w="748" w:type="pct"/>
            <w:shd w:val="clear" w:color="auto" w:fill="FFFFFF" w:themeFill="background1"/>
            <w:noWrap/>
            <w:vAlign w:val="center"/>
            <w:hideMark/>
          </w:tcPr>
          <w:p w14:paraId="49E43B91" w14:textId="1CE4280A" w:rsidR="00102FF2" w:rsidRPr="002D0A3A" w:rsidRDefault="4E2A111A" w:rsidP="000A5389">
            <w:pPr>
              <w:spacing w:line="240" w:lineRule="auto"/>
              <w:jc w:val="right"/>
              <w:rPr>
                <w:rFonts w:eastAsia="Times New Roman" w:cs="Times New Roman"/>
                <w:b/>
                <w:bCs/>
                <w:color w:val="000000" w:themeColor="text1"/>
                <w:sz w:val="18"/>
                <w:szCs w:val="18"/>
                <w:lang w:eastAsia="es-CO"/>
              </w:rPr>
            </w:pPr>
            <w:r w:rsidRPr="002D0A3A">
              <w:rPr>
                <w:rFonts w:eastAsiaTheme="minorEastAsia"/>
                <w:b/>
                <w:bCs/>
                <w:color w:val="000000" w:themeColor="text1"/>
                <w:sz w:val="18"/>
                <w:szCs w:val="18"/>
                <w:lang w:eastAsia="es-CO"/>
              </w:rPr>
              <w:t> 28.101.254</w:t>
            </w:r>
          </w:p>
        </w:tc>
        <w:tc>
          <w:tcPr>
            <w:tcW w:w="561" w:type="pct"/>
            <w:shd w:val="clear" w:color="auto" w:fill="FFFFFF" w:themeFill="background1"/>
            <w:noWrap/>
            <w:vAlign w:val="center"/>
            <w:hideMark/>
          </w:tcPr>
          <w:p w14:paraId="53CE1366" w14:textId="77777777" w:rsidR="00102FF2" w:rsidRPr="002D0A3A" w:rsidRDefault="00102FF2" w:rsidP="000A5389">
            <w:pPr>
              <w:spacing w:line="240" w:lineRule="auto"/>
              <w:jc w:val="center"/>
              <w:rPr>
                <w:rFonts w:eastAsia="Times New Roman" w:cs="Times New Roman"/>
                <w:b/>
                <w:color w:val="000000"/>
                <w:kern w:val="0"/>
                <w:sz w:val="18"/>
                <w:szCs w:val="18"/>
                <w:lang w:eastAsia="es-CO"/>
                <w14:ligatures w14:val="none"/>
              </w:rPr>
            </w:pPr>
            <w:r w:rsidRPr="002D0A3A">
              <w:rPr>
                <w:rFonts w:eastAsia="Times New Roman" w:cs="Times New Roman"/>
                <w:b/>
                <w:color w:val="000000"/>
                <w:kern w:val="0"/>
                <w:sz w:val="18"/>
                <w:szCs w:val="18"/>
                <w:lang w:eastAsia="es-CO"/>
                <w14:ligatures w14:val="none"/>
              </w:rPr>
              <w:t>1</w:t>
            </w:r>
          </w:p>
        </w:tc>
      </w:tr>
      <w:tr w:rsidR="006304F4" w:rsidRPr="002D0A3A" w14:paraId="3FA06C04" w14:textId="77777777" w:rsidTr="006304F4">
        <w:trPr>
          <w:trHeight w:val="405"/>
        </w:trPr>
        <w:tc>
          <w:tcPr>
            <w:tcW w:w="566" w:type="pct"/>
            <w:shd w:val="clear" w:color="auto" w:fill="FFFFFF" w:themeFill="background1"/>
            <w:noWrap/>
            <w:vAlign w:val="center"/>
            <w:hideMark/>
          </w:tcPr>
          <w:p w14:paraId="40F97456" w14:textId="77777777" w:rsidR="00102FF2" w:rsidRPr="002D0A3A" w:rsidRDefault="00102FF2" w:rsidP="000A5389">
            <w:pPr>
              <w:spacing w:line="240" w:lineRule="auto"/>
              <w:rPr>
                <w:rFonts w:eastAsia="Times New Roman" w:cs="Times New Roman"/>
                <w:color w:val="000000"/>
                <w:kern w:val="0"/>
                <w:sz w:val="18"/>
                <w:szCs w:val="18"/>
                <w:lang w:eastAsia="es-CO"/>
                <w14:ligatures w14:val="none"/>
              </w:rPr>
            </w:pPr>
            <w:r w:rsidRPr="002D0A3A">
              <w:rPr>
                <w:rFonts w:eastAsia="Times New Roman" w:cs="Times New Roman"/>
                <w:color w:val="000000"/>
                <w:kern w:val="0"/>
                <w:sz w:val="18"/>
                <w:szCs w:val="18"/>
                <w:lang w:eastAsia="es-CO"/>
                <w14:ligatures w14:val="none"/>
              </w:rPr>
              <w:t>1.1.10.05</w:t>
            </w:r>
          </w:p>
        </w:tc>
        <w:tc>
          <w:tcPr>
            <w:tcW w:w="234" w:type="pct"/>
            <w:shd w:val="clear" w:color="auto" w:fill="FFFFFF" w:themeFill="background1"/>
            <w:noWrap/>
            <w:vAlign w:val="center"/>
            <w:hideMark/>
          </w:tcPr>
          <w:p w14:paraId="3CF0D82A" w14:textId="77777777" w:rsidR="00102FF2" w:rsidRPr="002D0A3A" w:rsidRDefault="00102FF2" w:rsidP="000A5389">
            <w:pPr>
              <w:spacing w:line="240" w:lineRule="auto"/>
              <w:jc w:val="center"/>
              <w:rPr>
                <w:rFonts w:eastAsia="Times New Roman" w:cs="Times New Roman"/>
                <w:color w:val="000000"/>
                <w:kern w:val="0"/>
                <w:sz w:val="18"/>
                <w:szCs w:val="18"/>
                <w:lang w:eastAsia="es-CO"/>
                <w14:ligatures w14:val="none"/>
              </w:rPr>
            </w:pPr>
            <w:r w:rsidRPr="002D0A3A">
              <w:rPr>
                <w:rFonts w:eastAsia="Times New Roman" w:cs="Times New Roman"/>
                <w:color w:val="000000"/>
                <w:kern w:val="0"/>
                <w:sz w:val="18"/>
                <w:szCs w:val="18"/>
                <w:lang w:eastAsia="es-CO"/>
                <w14:ligatures w14:val="none"/>
              </w:rPr>
              <w:t>Db</w:t>
            </w:r>
          </w:p>
        </w:tc>
        <w:tc>
          <w:tcPr>
            <w:tcW w:w="882" w:type="pct"/>
            <w:shd w:val="clear" w:color="auto" w:fill="FFFFFF" w:themeFill="background1"/>
            <w:vAlign w:val="center"/>
            <w:hideMark/>
          </w:tcPr>
          <w:p w14:paraId="5F453D09" w14:textId="77777777" w:rsidR="001D13E2" w:rsidRPr="002D0A3A" w:rsidRDefault="00102FF2" w:rsidP="000A5389">
            <w:pPr>
              <w:spacing w:line="240" w:lineRule="auto"/>
              <w:rPr>
                <w:rFonts w:eastAsia="Times New Roman" w:cs="Times New Roman"/>
                <w:color w:val="000000"/>
                <w:kern w:val="0"/>
                <w:sz w:val="18"/>
                <w:szCs w:val="18"/>
                <w:lang w:eastAsia="es-CO"/>
                <w14:ligatures w14:val="none"/>
              </w:rPr>
            </w:pPr>
            <w:r w:rsidRPr="002D0A3A">
              <w:rPr>
                <w:rFonts w:eastAsia="Times New Roman" w:cs="Times New Roman"/>
                <w:color w:val="000000"/>
                <w:kern w:val="0"/>
                <w:sz w:val="18"/>
                <w:szCs w:val="18"/>
                <w:lang w:eastAsia="es-CO"/>
                <w14:ligatures w14:val="none"/>
              </w:rPr>
              <w:t xml:space="preserve">Cuenta </w:t>
            </w:r>
            <w:r w:rsidR="001D13E2" w:rsidRPr="002D0A3A">
              <w:rPr>
                <w:rFonts w:eastAsia="Times New Roman" w:cs="Times New Roman"/>
                <w:color w:val="000000"/>
                <w:kern w:val="0"/>
                <w:sz w:val="18"/>
                <w:szCs w:val="18"/>
                <w:lang w:eastAsia="es-CO"/>
                <w14:ligatures w14:val="none"/>
              </w:rPr>
              <w:t>de ahorro</w:t>
            </w:r>
          </w:p>
          <w:p w14:paraId="7EA1A3B0" w14:textId="73428A3E" w:rsidR="00102FF2" w:rsidRPr="002D0A3A" w:rsidRDefault="00102FF2" w:rsidP="000A5389">
            <w:pPr>
              <w:spacing w:line="240" w:lineRule="auto"/>
              <w:rPr>
                <w:rFonts w:eastAsia="Times New Roman" w:cs="Times New Roman"/>
                <w:color w:val="000000"/>
                <w:kern w:val="0"/>
                <w:sz w:val="18"/>
                <w:szCs w:val="18"/>
                <w:lang w:eastAsia="es-CO"/>
                <w14:ligatures w14:val="none"/>
              </w:rPr>
            </w:pPr>
          </w:p>
        </w:tc>
        <w:tc>
          <w:tcPr>
            <w:tcW w:w="642" w:type="pct"/>
            <w:shd w:val="clear" w:color="auto" w:fill="FFFFFF" w:themeFill="background1"/>
            <w:vAlign w:val="center"/>
            <w:hideMark/>
          </w:tcPr>
          <w:p w14:paraId="1A118E60" w14:textId="77777777" w:rsidR="00102FF2" w:rsidRPr="002D0A3A" w:rsidRDefault="00102FF2" w:rsidP="000A5389">
            <w:pPr>
              <w:spacing w:line="240" w:lineRule="auto"/>
              <w:jc w:val="right"/>
              <w:rPr>
                <w:rFonts w:eastAsia="Times New Roman" w:cs="Times New Roman"/>
                <w:color w:val="000000"/>
                <w:kern w:val="0"/>
                <w:sz w:val="18"/>
                <w:szCs w:val="18"/>
                <w:lang w:eastAsia="es-CO"/>
                <w14:ligatures w14:val="none"/>
              </w:rPr>
            </w:pPr>
            <w:r w:rsidRPr="002D0A3A">
              <w:rPr>
                <w:rFonts w:eastAsia="Times New Roman" w:cs="Times New Roman"/>
                <w:color w:val="000000"/>
                <w:kern w:val="0"/>
                <w:sz w:val="18"/>
                <w:szCs w:val="18"/>
                <w:lang w:eastAsia="es-CO"/>
                <w14:ligatures w14:val="none"/>
              </w:rPr>
              <w:t>393.264.518</w:t>
            </w:r>
          </w:p>
        </w:tc>
        <w:tc>
          <w:tcPr>
            <w:tcW w:w="642" w:type="pct"/>
            <w:shd w:val="clear" w:color="auto" w:fill="FFFFFF" w:themeFill="background1"/>
            <w:vAlign w:val="center"/>
            <w:hideMark/>
          </w:tcPr>
          <w:p w14:paraId="2E8FC108" w14:textId="77777777" w:rsidR="00102FF2" w:rsidRPr="002D0A3A" w:rsidRDefault="00102FF2" w:rsidP="000A5389">
            <w:pPr>
              <w:spacing w:line="240" w:lineRule="auto"/>
              <w:jc w:val="right"/>
              <w:rPr>
                <w:rFonts w:eastAsia="Times New Roman" w:cs="Times New Roman"/>
                <w:color w:val="000000"/>
                <w:kern w:val="0"/>
                <w:sz w:val="18"/>
                <w:szCs w:val="18"/>
                <w:lang w:eastAsia="es-CO"/>
                <w14:ligatures w14:val="none"/>
              </w:rPr>
            </w:pPr>
            <w:r w:rsidRPr="002D0A3A">
              <w:rPr>
                <w:rFonts w:eastAsia="Times New Roman" w:cs="Times New Roman"/>
                <w:color w:val="000000"/>
                <w:kern w:val="0"/>
                <w:sz w:val="18"/>
                <w:szCs w:val="18"/>
                <w:lang w:eastAsia="es-CO"/>
                <w14:ligatures w14:val="none"/>
              </w:rPr>
              <w:t>247.105.781</w:t>
            </w:r>
          </w:p>
        </w:tc>
        <w:tc>
          <w:tcPr>
            <w:tcW w:w="723" w:type="pct"/>
            <w:shd w:val="clear" w:color="auto" w:fill="FFFFFF" w:themeFill="background1"/>
            <w:noWrap/>
            <w:vAlign w:val="center"/>
            <w:hideMark/>
          </w:tcPr>
          <w:p w14:paraId="5BED26AC" w14:textId="77777777" w:rsidR="00102FF2" w:rsidRPr="002D0A3A" w:rsidRDefault="00102FF2" w:rsidP="000A5389">
            <w:pPr>
              <w:spacing w:line="240" w:lineRule="auto"/>
              <w:jc w:val="right"/>
              <w:rPr>
                <w:rFonts w:eastAsia="Times New Roman" w:cs="Times New Roman"/>
                <w:color w:val="000000"/>
                <w:kern w:val="0"/>
                <w:sz w:val="18"/>
                <w:szCs w:val="18"/>
                <w:lang w:eastAsia="es-CO"/>
                <w14:ligatures w14:val="none"/>
              </w:rPr>
            </w:pPr>
            <w:r w:rsidRPr="002D0A3A">
              <w:rPr>
                <w:rFonts w:eastAsia="Times New Roman" w:cs="Times New Roman"/>
                <w:color w:val="000000"/>
                <w:kern w:val="0"/>
                <w:sz w:val="18"/>
                <w:szCs w:val="18"/>
                <w:lang w:eastAsia="es-CO"/>
                <w14:ligatures w14:val="none"/>
              </w:rPr>
              <w:t>146.158.737,00</w:t>
            </w:r>
          </w:p>
        </w:tc>
        <w:tc>
          <w:tcPr>
            <w:tcW w:w="748" w:type="pct"/>
            <w:shd w:val="clear" w:color="auto" w:fill="FFFFFF" w:themeFill="background1"/>
            <w:noWrap/>
            <w:vAlign w:val="center"/>
            <w:hideMark/>
          </w:tcPr>
          <w:p w14:paraId="33F17B5D" w14:textId="6C5F595F" w:rsidR="00102FF2" w:rsidRPr="002D0A3A" w:rsidRDefault="6A78575F" w:rsidP="000A5389">
            <w:pPr>
              <w:spacing w:line="240" w:lineRule="auto"/>
              <w:jc w:val="right"/>
              <w:rPr>
                <w:rFonts w:eastAsia="Times New Roman" w:cs="Times New Roman"/>
                <w:color w:val="000000" w:themeColor="text1"/>
                <w:sz w:val="18"/>
                <w:szCs w:val="18"/>
                <w:lang w:eastAsia="es-CO"/>
              </w:rPr>
            </w:pPr>
            <w:r w:rsidRPr="002D0A3A">
              <w:rPr>
                <w:rFonts w:eastAsia="Times New Roman" w:cs="Times New Roman"/>
                <w:color w:val="000000" w:themeColor="text1"/>
                <w:sz w:val="18"/>
                <w:szCs w:val="18"/>
                <w:lang w:eastAsia="es-CO"/>
              </w:rPr>
              <w:t> </w:t>
            </w:r>
            <w:r w:rsidR="4AC7C8E7" w:rsidRPr="002D0A3A">
              <w:rPr>
                <w:rFonts w:eastAsia="Times New Roman" w:cs="Times New Roman"/>
                <w:color w:val="000000" w:themeColor="text1"/>
                <w:sz w:val="18"/>
                <w:szCs w:val="18"/>
                <w:lang w:eastAsia="es-CO"/>
              </w:rPr>
              <w:t>28.101.254</w:t>
            </w:r>
          </w:p>
        </w:tc>
        <w:tc>
          <w:tcPr>
            <w:tcW w:w="561" w:type="pct"/>
            <w:shd w:val="clear" w:color="auto" w:fill="FFFFFF" w:themeFill="background1"/>
            <w:noWrap/>
            <w:vAlign w:val="center"/>
            <w:hideMark/>
          </w:tcPr>
          <w:p w14:paraId="52166152" w14:textId="77777777" w:rsidR="00102FF2" w:rsidRPr="002D0A3A" w:rsidRDefault="00102FF2" w:rsidP="000A5389">
            <w:pPr>
              <w:spacing w:line="240" w:lineRule="auto"/>
              <w:jc w:val="center"/>
              <w:rPr>
                <w:rFonts w:eastAsia="Times New Roman" w:cs="Times New Roman"/>
                <w:color w:val="000000"/>
                <w:kern w:val="0"/>
                <w:sz w:val="18"/>
                <w:szCs w:val="18"/>
                <w:lang w:eastAsia="es-CO"/>
                <w14:ligatures w14:val="none"/>
              </w:rPr>
            </w:pPr>
            <w:r w:rsidRPr="002D0A3A">
              <w:rPr>
                <w:rFonts w:eastAsia="Times New Roman" w:cs="Times New Roman"/>
                <w:color w:val="000000"/>
                <w:kern w:val="0"/>
                <w:sz w:val="18"/>
                <w:szCs w:val="18"/>
                <w:lang w:eastAsia="es-CO"/>
                <w14:ligatures w14:val="none"/>
              </w:rPr>
              <w:t>1</w:t>
            </w:r>
          </w:p>
        </w:tc>
      </w:tr>
      <w:tr w:rsidR="006304F4" w:rsidRPr="002D0A3A" w14:paraId="3BF9838D" w14:textId="77777777" w:rsidTr="006304F4">
        <w:trPr>
          <w:trHeight w:val="420"/>
        </w:trPr>
        <w:tc>
          <w:tcPr>
            <w:tcW w:w="566" w:type="pct"/>
            <w:shd w:val="clear" w:color="auto" w:fill="FFFFFF" w:themeFill="background1"/>
            <w:noWrap/>
            <w:vAlign w:val="center"/>
            <w:hideMark/>
          </w:tcPr>
          <w:p w14:paraId="085CBE82" w14:textId="77777777" w:rsidR="00102FF2" w:rsidRPr="002D0A3A" w:rsidRDefault="00102FF2" w:rsidP="000A5389">
            <w:pPr>
              <w:spacing w:line="240" w:lineRule="auto"/>
              <w:rPr>
                <w:rFonts w:eastAsia="Times New Roman" w:cs="Times New Roman"/>
                <w:color w:val="000000"/>
                <w:kern w:val="0"/>
                <w:sz w:val="18"/>
                <w:szCs w:val="18"/>
                <w:lang w:eastAsia="es-CO"/>
                <w14:ligatures w14:val="none"/>
              </w:rPr>
            </w:pPr>
            <w:r w:rsidRPr="002D0A3A">
              <w:rPr>
                <w:rFonts w:eastAsia="Times New Roman" w:cs="Times New Roman"/>
                <w:color w:val="000000"/>
                <w:kern w:val="0"/>
                <w:sz w:val="18"/>
                <w:szCs w:val="18"/>
                <w:lang w:eastAsia="es-CO"/>
                <w14:ligatures w14:val="none"/>
              </w:rPr>
              <w:t>1.1.10.06</w:t>
            </w:r>
          </w:p>
        </w:tc>
        <w:tc>
          <w:tcPr>
            <w:tcW w:w="234" w:type="pct"/>
            <w:shd w:val="clear" w:color="auto" w:fill="FFFFFF" w:themeFill="background1"/>
            <w:noWrap/>
            <w:vAlign w:val="center"/>
            <w:hideMark/>
          </w:tcPr>
          <w:p w14:paraId="690527AA" w14:textId="77777777" w:rsidR="00102FF2" w:rsidRPr="002D0A3A" w:rsidRDefault="00102FF2" w:rsidP="000A5389">
            <w:pPr>
              <w:spacing w:line="240" w:lineRule="auto"/>
              <w:jc w:val="center"/>
              <w:rPr>
                <w:rFonts w:eastAsia="Times New Roman" w:cs="Times New Roman"/>
                <w:color w:val="000000"/>
                <w:kern w:val="0"/>
                <w:sz w:val="18"/>
                <w:szCs w:val="18"/>
                <w:lang w:eastAsia="es-CO"/>
                <w14:ligatures w14:val="none"/>
              </w:rPr>
            </w:pPr>
            <w:r w:rsidRPr="002D0A3A">
              <w:rPr>
                <w:rFonts w:eastAsia="Times New Roman" w:cs="Times New Roman"/>
                <w:color w:val="000000"/>
                <w:kern w:val="0"/>
                <w:sz w:val="18"/>
                <w:szCs w:val="18"/>
                <w:lang w:eastAsia="es-CO"/>
                <w14:ligatures w14:val="none"/>
              </w:rPr>
              <w:t>Db</w:t>
            </w:r>
          </w:p>
        </w:tc>
        <w:tc>
          <w:tcPr>
            <w:tcW w:w="882" w:type="pct"/>
            <w:shd w:val="clear" w:color="auto" w:fill="FFFFFF" w:themeFill="background1"/>
            <w:vAlign w:val="center"/>
            <w:hideMark/>
          </w:tcPr>
          <w:p w14:paraId="216C5FDE" w14:textId="77777777" w:rsidR="001D13E2" w:rsidRPr="002D0A3A" w:rsidRDefault="00102FF2" w:rsidP="000A5389">
            <w:pPr>
              <w:spacing w:line="240" w:lineRule="auto"/>
              <w:rPr>
                <w:rFonts w:eastAsia="Times New Roman" w:cs="Times New Roman"/>
                <w:color w:val="000000"/>
                <w:kern w:val="0"/>
                <w:sz w:val="18"/>
                <w:szCs w:val="18"/>
                <w:lang w:eastAsia="es-CO"/>
                <w14:ligatures w14:val="none"/>
              </w:rPr>
            </w:pPr>
            <w:r w:rsidRPr="002D0A3A">
              <w:rPr>
                <w:rFonts w:eastAsia="Times New Roman" w:cs="Times New Roman"/>
                <w:color w:val="000000"/>
                <w:kern w:val="0"/>
                <w:sz w:val="18"/>
                <w:szCs w:val="18"/>
                <w:lang w:eastAsia="es-CO"/>
                <w14:ligatures w14:val="none"/>
              </w:rPr>
              <w:t xml:space="preserve">Cuenta </w:t>
            </w:r>
            <w:r w:rsidR="001D13E2" w:rsidRPr="002D0A3A">
              <w:rPr>
                <w:rFonts w:eastAsia="Times New Roman" w:cs="Times New Roman"/>
                <w:color w:val="000000"/>
                <w:kern w:val="0"/>
                <w:sz w:val="18"/>
                <w:szCs w:val="18"/>
                <w:lang w:eastAsia="es-CO"/>
                <w14:ligatures w14:val="none"/>
              </w:rPr>
              <w:t>corriente</w:t>
            </w:r>
          </w:p>
          <w:p w14:paraId="05CF8592" w14:textId="52F7A448" w:rsidR="00102FF2" w:rsidRPr="002D0A3A" w:rsidRDefault="00102FF2" w:rsidP="000A5389">
            <w:pPr>
              <w:spacing w:line="240" w:lineRule="auto"/>
              <w:rPr>
                <w:rFonts w:eastAsia="Times New Roman" w:cs="Times New Roman"/>
                <w:color w:val="000000"/>
                <w:kern w:val="0"/>
                <w:sz w:val="18"/>
                <w:szCs w:val="18"/>
                <w:lang w:eastAsia="es-CO"/>
                <w14:ligatures w14:val="none"/>
              </w:rPr>
            </w:pPr>
          </w:p>
        </w:tc>
        <w:tc>
          <w:tcPr>
            <w:tcW w:w="642" w:type="pct"/>
            <w:shd w:val="clear" w:color="auto" w:fill="FFFFFF" w:themeFill="background1"/>
            <w:vAlign w:val="center"/>
            <w:hideMark/>
          </w:tcPr>
          <w:p w14:paraId="0543D93B" w14:textId="4193C8FE" w:rsidR="00102FF2" w:rsidRPr="002D0A3A" w:rsidRDefault="00102FF2" w:rsidP="000A5389">
            <w:pPr>
              <w:spacing w:line="240" w:lineRule="auto"/>
              <w:jc w:val="right"/>
              <w:rPr>
                <w:rFonts w:eastAsia="Times New Roman" w:cs="Times New Roman"/>
                <w:color w:val="000000"/>
                <w:kern w:val="0"/>
                <w:sz w:val="18"/>
                <w:szCs w:val="18"/>
                <w:lang w:eastAsia="es-CO"/>
                <w14:ligatures w14:val="none"/>
              </w:rPr>
            </w:pPr>
            <w:r w:rsidRPr="002D0A3A">
              <w:rPr>
                <w:rFonts w:eastAsia="Times New Roman" w:cs="Times New Roman"/>
                <w:color w:val="000000"/>
                <w:kern w:val="0"/>
                <w:sz w:val="18"/>
                <w:szCs w:val="18"/>
                <w:lang w:eastAsia="es-CO"/>
                <w14:ligatures w14:val="none"/>
              </w:rPr>
              <w:t>339.884.27</w:t>
            </w:r>
            <w:r w:rsidR="0C478AE4" w:rsidRPr="002D0A3A">
              <w:rPr>
                <w:rFonts w:eastAsia="Times New Roman" w:cs="Times New Roman"/>
                <w:color w:val="000000"/>
                <w:kern w:val="0"/>
                <w:sz w:val="18"/>
                <w:szCs w:val="18"/>
                <w:lang w:eastAsia="es-CO"/>
                <w14:ligatures w14:val="none"/>
              </w:rPr>
              <w:t>3</w:t>
            </w:r>
          </w:p>
        </w:tc>
        <w:tc>
          <w:tcPr>
            <w:tcW w:w="642" w:type="pct"/>
            <w:shd w:val="clear" w:color="auto" w:fill="FFFFFF" w:themeFill="background1"/>
            <w:vAlign w:val="center"/>
            <w:hideMark/>
          </w:tcPr>
          <w:p w14:paraId="16F15FD6" w14:textId="77777777" w:rsidR="00102FF2" w:rsidRPr="002D0A3A" w:rsidRDefault="00102FF2" w:rsidP="000A5389">
            <w:pPr>
              <w:spacing w:line="240" w:lineRule="auto"/>
              <w:jc w:val="right"/>
              <w:rPr>
                <w:rFonts w:eastAsia="Times New Roman" w:cs="Times New Roman"/>
                <w:color w:val="000000"/>
                <w:kern w:val="0"/>
                <w:sz w:val="18"/>
                <w:szCs w:val="18"/>
                <w:lang w:eastAsia="es-CO"/>
                <w14:ligatures w14:val="none"/>
              </w:rPr>
            </w:pPr>
            <w:r w:rsidRPr="002D0A3A">
              <w:rPr>
                <w:rFonts w:eastAsia="Times New Roman" w:cs="Times New Roman"/>
                <w:color w:val="000000"/>
                <w:kern w:val="0"/>
                <w:sz w:val="18"/>
                <w:szCs w:val="18"/>
                <w:lang w:eastAsia="es-CO"/>
                <w14:ligatures w14:val="none"/>
              </w:rPr>
              <w:t>303.627.766</w:t>
            </w:r>
          </w:p>
        </w:tc>
        <w:tc>
          <w:tcPr>
            <w:tcW w:w="723" w:type="pct"/>
            <w:shd w:val="clear" w:color="auto" w:fill="FFFFFF" w:themeFill="background1"/>
            <w:noWrap/>
            <w:vAlign w:val="center"/>
            <w:hideMark/>
          </w:tcPr>
          <w:p w14:paraId="44F65F72" w14:textId="77777777" w:rsidR="00102FF2" w:rsidRPr="002D0A3A" w:rsidRDefault="00102FF2" w:rsidP="000A5389">
            <w:pPr>
              <w:spacing w:line="240" w:lineRule="auto"/>
              <w:jc w:val="right"/>
              <w:rPr>
                <w:rFonts w:eastAsia="Times New Roman" w:cs="Times New Roman"/>
                <w:color w:val="000000"/>
                <w:kern w:val="0"/>
                <w:sz w:val="18"/>
                <w:szCs w:val="18"/>
                <w:lang w:eastAsia="es-CO"/>
                <w14:ligatures w14:val="none"/>
              </w:rPr>
            </w:pPr>
            <w:r w:rsidRPr="002D0A3A">
              <w:rPr>
                <w:rFonts w:eastAsia="Times New Roman" w:cs="Times New Roman"/>
                <w:color w:val="000000"/>
                <w:kern w:val="0"/>
                <w:sz w:val="18"/>
                <w:szCs w:val="18"/>
                <w:lang w:eastAsia="es-CO"/>
                <w14:ligatures w14:val="none"/>
              </w:rPr>
              <w:t>36.256.508,00</w:t>
            </w:r>
          </w:p>
        </w:tc>
        <w:tc>
          <w:tcPr>
            <w:tcW w:w="748" w:type="pct"/>
            <w:shd w:val="clear" w:color="auto" w:fill="FFFFFF" w:themeFill="background1"/>
            <w:noWrap/>
            <w:vAlign w:val="center"/>
            <w:hideMark/>
          </w:tcPr>
          <w:p w14:paraId="3AB875ED" w14:textId="77777777" w:rsidR="00102FF2" w:rsidRPr="002D0A3A" w:rsidRDefault="00102FF2" w:rsidP="000A5389">
            <w:pPr>
              <w:spacing w:line="240" w:lineRule="auto"/>
              <w:jc w:val="center"/>
              <w:rPr>
                <w:rFonts w:eastAsia="Times New Roman" w:cs="Times New Roman"/>
                <w:color w:val="000000"/>
                <w:kern w:val="0"/>
                <w:sz w:val="18"/>
                <w:szCs w:val="18"/>
                <w:lang w:eastAsia="es-CO"/>
                <w14:ligatures w14:val="none"/>
              </w:rPr>
            </w:pPr>
            <w:r w:rsidRPr="002D0A3A">
              <w:rPr>
                <w:rFonts w:eastAsia="Times New Roman" w:cs="Times New Roman"/>
                <w:color w:val="000000"/>
                <w:kern w:val="0"/>
                <w:sz w:val="18"/>
                <w:szCs w:val="18"/>
                <w:lang w:eastAsia="es-CO"/>
                <w14:ligatures w14:val="none"/>
              </w:rPr>
              <w:t>N/A</w:t>
            </w:r>
          </w:p>
        </w:tc>
        <w:tc>
          <w:tcPr>
            <w:tcW w:w="561" w:type="pct"/>
            <w:shd w:val="clear" w:color="auto" w:fill="FFFFFF" w:themeFill="background1"/>
            <w:noWrap/>
            <w:vAlign w:val="center"/>
            <w:hideMark/>
          </w:tcPr>
          <w:p w14:paraId="5190D2F3" w14:textId="77777777" w:rsidR="00102FF2" w:rsidRPr="002D0A3A" w:rsidRDefault="00102FF2" w:rsidP="000A5389">
            <w:pPr>
              <w:spacing w:line="240" w:lineRule="auto"/>
              <w:jc w:val="center"/>
              <w:rPr>
                <w:rFonts w:eastAsia="Times New Roman" w:cs="Times New Roman"/>
                <w:color w:val="000000"/>
                <w:kern w:val="0"/>
                <w:sz w:val="18"/>
                <w:szCs w:val="18"/>
                <w:lang w:eastAsia="es-CO"/>
                <w14:ligatures w14:val="none"/>
              </w:rPr>
            </w:pPr>
            <w:r w:rsidRPr="002D0A3A">
              <w:rPr>
                <w:rFonts w:eastAsia="Times New Roman" w:cs="Times New Roman"/>
                <w:color w:val="000000"/>
                <w:kern w:val="0"/>
                <w:sz w:val="18"/>
                <w:szCs w:val="18"/>
                <w:lang w:eastAsia="es-CO"/>
                <w14:ligatures w14:val="none"/>
              </w:rPr>
              <w:t>N/A</w:t>
            </w:r>
          </w:p>
        </w:tc>
      </w:tr>
    </w:tbl>
    <w:p w14:paraId="6B4ABB85" w14:textId="654F9FF2" w:rsidR="0063781E" w:rsidRPr="00951AB1" w:rsidRDefault="001D13E2" w:rsidP="000A5389">
      <w:pPr>
        <w:spacing w:line="240" w:lineRule="auto"/>
        <w:rPr>
          <w:rFonts w:eastAsia="Times New Roman" w:cs="Times New Roman"/>
          <w:sz w:val="16"/>
          <w:szCs w:val="16"/>
        </w:rPr>
      </w:pPr>
      <w:r w:rsidRPr="00951AB1">
        <w:rPr>
          <w:rFonts w:eastAsia="Times New Roman" w:cs="Times New Roman"/>
          <w:sz w:val="16"/>
          <w:szCs w:val="16"/>
        </w:rPr>
        <w:t xml:space="preserve">Cifras expresadas en pesos </w:t>
      </w:r>
    </w:p>
    <w:p w14:paraId="3C9F6982" w14:textId="77777777" w:rsidR="001D13E2" w:rsidRPr="00951AB1" w:rsidRDefault="001D13E2" w:rsidP="000A5389">
      <w:pPr>
        <w:spacing w:line="240" w:lineRule="auto"/>
        <w:rPr>
          <w:rFonts w:eastAsia="Times New Roman" w:cs="Times New Roman"/>
          <w:color w:val="000000" w:themeColor="text1"/>
          <w:sz w:val="28"/>
          <w:szCs w:val="28"/>
        </w:rPr>
      </w:pPr>
    </w:p>
    <w:p w14:paraId="1ECCC392" w14:textId="5B2E2E66" w:rsidR="001D13E2" w:rsidRPr="00951AB1" w:rsidRDefault="001D13E2" w:rsidP="000A5389">
      <w:pPr>
        <w:spacing w:line="240" w:lineRule="auto"/>
        <w:rPr>
          <w:rFonts w:cs="Times New Roman"/>
          <w:szCs w:val="24"/>
        </w:rPr>
      </w:pPr>
      <w:r w:rsidRPr="2A085367">
        <w:rPr>
          <w:rFonts w:cs="Times New Roman"/>
          <w:szCs w:val="24"/>
        </w:rPr>
        <w:t>Cuenta de ahorros: Esta cuenta es de tipo recaudadora, en ella la Agencia recibe sus ingresos propios (contraprestaciones férrea, portuaria y aeroportuaria). Desde esta cuenta se efectúan traslados a la Cuenta Única Nacional (CUN) y pagos que se realizan por el giro normal de las transacciones de la Agencia.  Los rendimientos generados en esta cuenta bancaria, certificados por el banco, y que fueron reconocidos en el resultado del ejercicio durante el año 2025, corresponden a la suma total de $</w:t>
      </w:r>
      <w:r w:rsidR="1401ED10" w:rsidRPr="2A085367">
        <w:rPr>
          <w:rFonts w:cs="Times New Roman"/>
          <w:szCs w:val="24"/>
        </w:rPr>
        <w:t>28.101.254</w:t>
      </w:r>
      <w:r w:rsidRPr="2A085367">
        <w:rPr>
          <w:rFonts w:cs="Times New Roman"/>
          <w:szCs w:val="24"/>
        </w:rPr>
        <w:t>, con una tasa promedio 1,00% E.A. </w:t>
      </w:r>
    </w:p>
    <w:p w14:paraId="7B9FF385" w14:textId="77777777" w:rsidR="006304F4" w:rsidRDefault="006304F4" w:rsidP="000A5389">
      <w:pPr>
        <w:spacing w:line="240" w:lineRule="auto"/>
        <w:rPr>
          <w:rFonts w:cs="Times New Roman"/>
          <w:szCs w:val="24"/>
        </w:rPr>
      </w:pPr>
    </w:p>
    <w:p w14:paraId="1B9479B0" w14:textId="13B4013B" w:rsidR="001D13E2" w:rsidRDefault="001D13E2" w:rsidP="000A5389">
      <w:pPr>
        <w:spacing w:line="240" w:lineRule="auto"/>
        <w:rPr>
          <w:rFonts w:cs="Times New Roman"/>
          <w:szCs w:val="24"/>
        </w:rPr>
      </w:pPr>
      <w:r w:rsidRPr="00951AB1">
        <w:rPr>
          <w:rFonts w:cs="Times New Roman"/>
          <w:szCs w:val="24"/>
        </w:rPr>
        <w:t>Cuenta corriente:  Está destinada a la administración de recursos públicos, que permite el recaudo, pago y gestión de fondos de forma inmediata mediante transferencias electrónicas o cheques. Esta cuenta es de tipo pagadora, está estrictamente regulada por el régimen de contabilidad pública y las directrices del Ministerio de Hacienda y Crédito Público quien realiza los traspasos a pagaduría a efectos de realizar los pagos por concepto de deducciones de nómina y retenciones de industria y comercio.  Por su naturaleza, este tipo de cuenta bancaria no genera rentabilidad y por consiguiente no aplica tasa promedio. </w:t>
      </w:r>
    </w:p>
    <w:p w14:paraId="3F3C9F31" w14:textId="77777777" w:rsidR="006304F4" w:rsidRPr="00951AB1" w:rsidRDefault="006304F4" w:rsidP="000A5389">
      <w:pPr>
        <w:spacing w:line="240" w:lineRule="auto"/>
        <w:rPr>
          <w:rFonts w:cs="Times New Roman"/>
          <w:szCs w:val="24"/>
        </w:rPr>
      </w:pPr>
    </w:p>
    <w:p w14:paraId="3028A166" w14:textId="0A17A159" w:rsidR="001D13E2" w:rsidRPr="00951AB1" w:rsidRDefault="03122174" w:rsidP="000A5389">
      <w:pPr>
        <w:spacing w:line="240" w:lineRule="auto"/>
        <w:rPr>
          <w:rFonts w:cs="Times New Roman"/>
          <w:szCs w:val="24"/>
        </w:rPr>
      </w:pPr>
      <w:r w:rsidRPr="00951AB1">
        <w:rPr>
          <w:rFonts w:eastAsia="Times New Roman" w:cs="Times New Roman"/>
          <w:szCs w:val="24"/>
        </w:rPr>
        <w:t>Al cierre de la vigencia 2025, estas cuentas bancarias se encuentran debidamente conciliadas en el formato establecido para ello, evidenciando partidas conciliatorias que no superan 6 meses</w:t>
      </w:r>
      <w:r w:rsidR="001D13E2" w:rsidRPr="00951AB1">
        <w:rPr>
          <w:rFonts w:cs="Times New Roman"/>
          <w:szCs w:val="24"/>
        </w:rPr>
        <w:t>.</w:t>
      </w:r>
    </w:p>
    <w:p w14:paraId="183A7734" w14:textId="77777777" w:rsidR="00FE1E23" w:rsidRPr="00951AB1" w:rsidRDefault="00FE1E23" w:rsidP="000A5389">
      <w:pPr>
        <w:spacing w:line="240" w:lineRule="auto"/>
        <w:rPr>
          <w:rFonts w:cs="Times New Roman"/>
          <w:szCs w:val="24"/>
        </w:rPr>
      </w:pPr>
    </w:p>
    <w:p w14:paraId="67301640" w14:textId="673BA904" w:rsidR="00E53995" w:rsidRPr="00951AB1" w:rsidRDefault="00924AFE" w:rsidP="000A5389">
      <w:pPr>
        <w:pStyle w:val="Ttulo2"/>
        <w:numPr>
          <w:ilvl w:val="1"/>
          <w:numId w:val="99"/>
        </w:numPr>
        <w:spacing w:line="240" w:lineRule="auto"/>
        <w:rPr>
          <w:rFonts w:cs="Times New Roman"/>
        </w:rPr>
      </w:pPr>
      <w:bookmarkStart w:id="202" w:name="_Toc191369497"/>
      <w:bookmarkStart w:id="203" w:name="_Toc191456827"/>
      <w:bookmarkStart w:id="204" w:name="_Toc191456937"/>
      <w:bookmarkStart w:id="205" w:name="_Toc191457047"/>
      <w:bookmarkStart w:id="206" w:name="_Toc191475674"/>
      <w:bookmarkStart w:id="207" w:name="_Toc191475783"/>
      <w:bookmarkStart w:id="208" w:name="_Toc191475892"/>
      <w:bookmarkStart w:id="209" w:name="_Toc191475415"/>
      <w:bookmarkStart w:id="210" w:name="_Toc191505791"/>
      <w:bookmarkStart w:id="211" w:name="_Toc222824103"/>
      <w:r w:rsidRPr="00951AB1">
        <w:rPr>
          <w:rFonts w:cs="Times New Roman"/>
          <w:szCs w:val="24"/>
        </w:rPr>
        <w:t xml:space="preserve"> </w:t>
      </w:r>
      <w:r w:rsidRPr="00951AB1">
        <w:rPr>
          <w:rFonts w:cs="Times New Roman"/>
          <w:szCs w:val="24"/>
        </w:rPr>
        <w:tab/>
      </w:r>
      <w:bookmarkStart w:id="212" w:name="_Toc222955469"/>
      <w:r w:rsidR="00DB65A2" w:rsidRPr="00951AB1">
        <w:rPr>
          <w:rFonts w:cs="Times New Roman"/>
          <w:szCs w:val="24"/>
        </w:rPr>
        <w:t>Efectivo de uso restringido</w:t>
      </w:r>
      <w:bookmarkEnd w:id="202"/>
      <w:bookmarkEnd w:id="203"/>
      <w:bookmarkEnd w:id="204"/>
      <w:bookmarkEnd w:id="205"/>
      <w:bookmarkEnd w:id="206"/>
      <w:bookmarkEnd w:id="207"/>
      <w:bookmarkEnd w:id="208"/>
      <w:bookmarkEnd w:id="209"/>
      <w:bookmarkEnd w:id="210"/>
      <w:bookmarkEnd w:id="211"/>
      <w:bookmarkEnd w:id="212"/>
    </w:p>
    <w:p w14:paraId="23D0EB8F" w14:textId="77777777" w:rsidR="008567AA" w:rsidRPr="00951AB1" w:rsidRDefault="008567AA" w:rsidP="000A5389">
      <w:pPr>
        <w:spacing w:line="240" w:lineRule="auto"/>
        <w:rPr>
          <w:rFonts w:cs="Times New Roman"/>
        </w:rPr>
      </w:pPr>
    </w:p>
    <w:tbl>
      <w:tblPr>
        <w:tblW w:w="5000" w:type="pct"/>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CellMar>
          <w:left w:w="70" w:type="dxa"/>
          <w:right w:w="70" w:type="dxa"/>
        </w:tblCellMar>
        <w:tblLook w:val="04A0" w:firstRow="1" w:lastRow="0" w:firstColumn="1" w:lastColumn="0" w:noHBand="0" w:noVBand="1"/>
      </w:tblPr>
      <w:tblGrid>
        <w:gridCol w:w="2829"/>
        <w:gridCol w:w="1134"/>
        <w:gridCol w:w="994"/>
        <w:gridCol w:w="849"/>
        <w:gridCol w:w="1277"/>
        <w:gridCol w:w="710"/>
        <w:gridCol w:w="1035"/>
      </w:tblGrid>
      <w:tr w:rsidR="001D13E2" w:rsidRPr="00951AB1" w14:paraId="6CC6EAB7" w14:textId="77777777" w:rsidTr="001A4BE5">
        <w:trPr>
          <w:cantSplit/>
          <w:trHeight w:val="1503"/>
        </w:trPr>
        <w:tc>
          <w:tcPr>
            <w:tcW w:w="1602" w:type="pct"/>
            <w:shd w:val="clear" w:color="000000" w:fill="FFFFFF"/>
            <w:noWrap/>
            <w:vAlign w:val="center"/>
            <w:hideMark/>
          </w:tcPr>
          <w:p w14:paraId="310E2CA6" w14:textId="195E0440" w:rsidR="001D13E2" w:rsidRPr="00951AB1" w:rsidRDefault="001D13E2" w:rsidP="000A5389">
            <w:pPr>
              <w:spacing w:line="240" w:lineRule="auto"/>
              <w:rPr>
                <w:rFonts w:eastAsia="Times New Roman" w:cs="Times New Roman"/>
                <w:b/>
                <w:bCs/>
                <w:color w:val="000000"/>
                <w:kern w:val="0"/>
                <w:sz w:val="16"/>
                <w:szCs w:val="16"/>
                <w:lang w:eastAsia="es-CO"/>
                <w14:ligatures w14:val="none"/>
              </w:rPr>
            </w:pPr>
            <w:r w:rsidRPr="00951AB1">
              <w:rPr>
                <w:rFonts w:eastAsia="Times New Roman" w:cs="Times New Roman"/>
                <w:b/>
                <w:bCs/>
                <w:color w:val="000000"/>
                <w:kern w:val="0"/>
                <w:sz w:val="16"/>
                <w:szCs w:val="16"/>
                <w:lang w:eastAsia="es-CO"/>
                <w14:ligatures w14:val="none"/>
              </w:rPr>
              <w:t>CONCEPTO</w:t>
            </w:r>
          </w:p>
        </w:tc>
        <w:tc>
          <w:tcPr>
            <w:tcW w:w="642" w:type="pct"/>
            <w:shd w:val="clear" w:color="000000" w:fill="FFFFFF"/>
            <w:vAlign w:val="center"/>
            <w:hideMark/>
          </w:tcPr>
          <w:p w14:paraId="07D39B66" w14:textId="77777777" w:rsidR="001D13E2" w:rsidRPr="00951AB1" w:rsidRDefault="001D13E2" w:rsidP="000A5389">
            <w:pPr>
              <w:spacing w:line="240" w:lineRule="auto"/>
              <w:jc w:val="center"/>
              <w:rPr>
                <w:rFonts w:eastAsia="Times New Roman" w:cs="Times New Roman"/>
                <w:b/>
                <w:bCs/>
                <w:color w:val="000000"/>
                <w:kern w:val="0"/>
                <w:sz w:val="16"/>
                <w:szCs w:val="16"/>
                <w:lang w:eastAsia="es-CO"/>
                <w14:ligatures w14:val="none"/>
              </w:rPr>
            </w:pPr>
            <w:r w:rsidRPr="00951AB1">
              <w:rPr>
                <w:rFonts w:eastAsia="Times New Roman" w:cs="Times New Roman"/>
                <w:b/>
                <w:bCs/>
                <w:color w:val="000000"/>
                <w:kern w:val="0"/>
                <w:sz w:val="16"/>
                <w:szCs w:val="16"/>
                <w:lang w:eastAsia="es-CO"/>
                <w14:ligatures w14:val="none"/>
              </w:rPr>
              <w:t>2025</w:t>
            </w:r>
          </w:p>
        </w:tc>
        <w:tc>
          <w:tcPr>
            <w:tcW w:w="563" w:type="pct"/>
            <w:shd w:val="clear" w:color="000000" w:fill="FFFFFF"/>
            <w:vAlign w:val="center"/>
            <w:hideMark/>
          </w:tcPr>
          <w:p w14:paraId="5BFD4948" w14:textId="77777777" w:rsidR="001D13E2" w:rsidRPr="00951AB1" w:rsidRDefault="001D13E2" w:rsidP="000A5389">
            <w:pPr>
              <w:spacing w:line="240" w:lineRule="auto"/>
              <w:jc w:val="center"/>
              <w:rPr>
                <w:rFonts w:eastAsia="Times New Roman" w:cs="Times New Roman"/>
                <w:b/>
                <w:bCs/>
                <w:color w:val="000000"/>
                <w:kern w:val="0"/>
                <w:sz w:val="16"/>
                <w:szCs w:val="16"/>
                <w:lang w:eastAsia="es-CO"/>
                <w14:ligatures w14:val="none"/>
              </w:rPr>
            </w:pPr>
            <w:r w:rsidRPr="00951AB1">
              <w:rPr>
                <w:rFonts w:eastAsia="Times New Roman" w:cs="Times New Roman"/>
                <w:b/>
                <w:bCs/>
                <w:color w:val="000000"/>
                <w:kern w:val="0"/>
                <w:sz w:val="16"/>
                <w:szCs w:val="16"/>
                <w:lang w:eastAsia="es-CO"/>
                <w14:ligatures w14:val="none"/>
              </w:rPr>
              <w:t>2024</w:t>
            </w:r>
          </w:p>
        </w:tc>
        <w:tc>
          <w:tcPr>
            <w:tcW w:w="481" w:type="pct"/>
            <w:shd w:val="clear" w:color="000000" w:fill="FFFFFF"/>
            <w:textDirection w:val="btLr"/>
            <w:vAlign w:val="center"/>
            <w:hideMark/>
          </w:tcPr>
          <w:p w14:paraId="1EF135F6" w14:textId="30CE598A" w:rsidR="001D13E2" w:rsidRPr="00951AB1" w:rsidRDefault="001D13E2" w:rsidP="000A5389">
            <w:pPr>
              <w:spacing w:line="240" w:lineRule="auto"/>
              <w:ind w:left="113" w:right="113"/>
              <w:jc w:val="center"/>
              <w:rPr>
                <w:rFonts w:eastAsia="Times New Roman" w:cs="Times New Roman"/>
                <w:b/>
                <w:bCs/>
                <w:color w:val="000000"/>
                <w:kern w:val="0"/>
                <w:sz w:val="16"/>
                <w:szCs w:val="16"/>
                <w:lang w:eastAsia="es-CO"/>
                <w14:ligatures w14:val="none"/>
              </w:rPr>
            </w:pPr>
            <w:r w:rsidRPr="00951AB1">
              <w:rPr>
                <w:rFonts w:eastAsia="Times New Roman" w:cs="Times New Roman"/>
                <w:b/>
                <w:bCs/>
                <w:color w:val="000000"/>
                <w:kern w:val="0"/>
                <w:sz w:val="16"/>
                <w:szCs w:val="16"/>
                <w:lang w:eastAsia="es-CO"/>
                <w14:ligatures w14:val="none"/>
              </w:rPr>
              <w:t>VARIACIÓN</w:t>
            </w:r>
          </w:p>
        </w:tc>
        <w:tc>
          <w:tcPr>
            <w:tcW w:w="723" w:type="pct"/>
            <w:shd w:val="clear" w:color="000000" w:fill="FFFFFF"/>
            <w:textDirection w:val="btLr"/>
            <w:vAlign w:val="center"/>
            <w:hideMark/>
          </w:tcPr>
          <w:p w14:paraId="1784067B" w14:textId="77777777" w:rsidR="001D13E2" w:rsidRPr="00951AB1" w:rsidRDefault="001D13E2" w:rsidP="000A5389">
            <w:pPr>
              <w:spacing w:line="240" w:lineRule="auto"/>
              <w:ind w:left="113" w:right="113"/>
              <w:jc w:val="center"/>
              <w:rPr>
                <w:rFonts w:eastAsia="Times New Roman" w:cs="Times New Roman"/>
                <w:b/>
                <w:bCs/>
                <w:color w:val="000000"/>
                <w:kern w:val="0"/>
                <w:sz w:val="16"/>
                <w:szCs w:val="16"/>
                <w:lang w:eastAsia="es-CO"/>
                <w14:ligatures w14:val="none"/>
              </w:rPr>
            </w:pPr>
            <w:r w:rsidRPr="00951AB1">
              <w:rPr>
                <w:rFonts w:eastAsia="Times New Roman" w:cs="Times New Roman"/>
                <w:b/>
                <w:bCs/>
                <w:color w:val="000000"/>
                <w:kern w:val="0"/>
                <w:sz w:val="16"/>
                <w:szCs w:val="16"/>
                <w:lang w:eastAsia="es-CO"/>
                <w14:ligatures w14:val="none"/>
              </w:rPr>
              <w:t>RENTABILIDAD</w:t>
            </w:r>
          </w:p>
          <w:p w14:paraId="26AFD9F0" w14:textId="720C0AB4" w:rsidR="001D13E2" w:rsidRPr="00951AB1" w:rsidRDefault="001D13E2" w:rsidP="000A5389">
            <w:pPr>
              <w:spacing w:line="240" w:lineRule="auto"/>
              <w:ind w:left="113" w:right="113"/>
              <w:jc w:val="center"/>
              <w:rPr>
                <w:rFonts w:eastAsia="Times New Roman" w:cs="Times New Roman"/>
                <w:b/>
                <w:bCs/>
                <w:color w:val="000000"/>
                <w:kern w:val="0"/>
                <w:sz w:val="16"/>
                <w:szCs w:val="16"/>
                <w:lang w:eastAsia="es-CO"/>
                <w14:ligatures w14:val="none"/>
              </w:rPr>
            </w:pPr>
            <w:r w:rsidRPr="00951AB1">
              <w:rPr>
                <w:rFonts w:eastAsia="Times New Roman" w:cs="Times New Roman"/>
                <w:b/>
                <w:bCs/>
                <w:color w:val="000000"/>
                <w:kern w:val="0"/>
                <w:sz w:val="16"/>
                <w:szCs w:val="16"/>
                <w:lang w:eastAsia="es-CO"/>
                <w14:ligatures w14:val="none"/>
              </w:rPr>
              <w:t>CIERRE 2025</w:t>
            </w:r>
          </w:p>
        </w:tc>
        <w:tc>
          <w:tcPr>
            <w:tcW w:w="402" w:type="pct"/>
            <w:shd w:val="clear" w:color="000000" w:fill="FFFFFF"/>
            <w:textDirection w:val="btLr"/>
            <w:vAlign w:val="center"/>
            <w:hideMark/>
          </w:tcPr>
          <w:p w14:paraId="43488F2C" w14:textId="77777777" w:rsidR="001D13E2" w:rsidRPr="00951AB1" w:rsidRDefault="001D13E2" w:rsidP="000A5389">
            <w:pPr>
              <w:spacing w:line="240" w:lineRule="auto"/>
              <w:ind w:left="113" w:right="113"/>
              <w:jc w:val="center"/>
              <w:rPr>
                <w:rFonts w:eastAsia="Times New Roman" w:cs="Times New Roman"/>
                <w:b/>
                <w:bCs/>
                <w:color w:val="000000"/>
                <w:kern w:val="0"/>
                <w:sz w:val="16"/>
                <w:szCs w:val="16"/>
                <w:lang w:eastAsia="es-CO"/>
                <w14:ligatures w14:val="none"/>
              </w:rPr>
            </w:pPr>
            <w:r w:rsidRPr="00951AB1">
              <w:rPr>
                <w:rFonts w:eastAsia="Times New Roman" w:cs="Times New Roman"/>
                <w:b/>
                <w:bCs/>
                <w:color w:val="000000"/>
                <w:kern w:val="0"/>
                <w:sz w:val="16"/>
                <w:szCs w:val="16"/>
                <w:lang w:eastAsia="es-CO"/>
                <w14:ligatures w14:val="none"/>
              </w:rPr>
              <w:t>% TASA PROMEDIO</w:t>
            </w:r>
          </w:p>
        </w:tc>
        <w:tc>
          <w:tcPr>
            <w:tcW w:w="586" w:type="pct"/>
            <w:shd w:val="clear" w:color="000000" w:fill="FFFFFF"/>
            <w:textDirection w:val="btLr"/>
            <w:vAlign w:val="center"/>
            <w:hideMark/>
          </w:tcPr>
          <w:p w14:paraId="51A973A9" w14:textId="77777777" w:rsidR="001D13E2" w:rsidRPr="00951AB1" w:rsidRDefault="001D13E2" w:rsidP="000A5389">
            <w:pPr>
              <w:spacing w:line="240" w:lineRule="auto"/>
              <w:ind w:left="113" w:right="113"/>
              <w:jc w:val="center"/>
              <w:rPr>
                <w:rFonts w:eastAsia="Times New Roman" w:cs="Times New Roman"/>
                <w:b/>
                <w:bCs/>
                <w:color w:val="000000"/>
                <w:kern w:val="0"/>
                <w:sz w:val="16"/>
                <w:szCs w:val="16"/>
                <w:lang w:eastAsia="es-CO"/>
                <w14:ligatures w14:val="none"/>
              </w:rPr>
            </w:pPr>
            <w:r w:rsidRPr="00951AB1">
              <w:rPr>
                <w:rFonts w:eastAsia="Times New Roman" w:cs="Times New Roman"/>
                <w:b/>
                <w:bCs/>
                <w:color w:val="000000"/>
                <w:kern w:val="0"/>
                <w:sz w:val="16"/>
                <w:szCs w:val="16"/>
                <w:lang w:eastAsia="es-CO"/>
                <w14:ligatures w14:val="none"/>
              </w:rPr>
              <w:t>RESTRICCIONES</w:t>
            </w:r>
          </w:p>
        </w:tc>
      </w:tr>
      <w:tr w:rsidR="001D13E2" w:rsidRPr="00951AB1" w14:paraId="649E1063" w14:textId="77777777" w:rsidTr="001A4BE5">
        <w:trPr>
          <w:trHeight w:val="450"/>
        </w:trPr>
        <w:tc>
          <w:tcPr>
            <w:tcW w:w="1602" w:type="pct"/>
            <w:shd w:val="clear" w:color="000000" w:fill="FFFFFF"/>
            <w:noWrap/>
            <w:vAlign w:val="center"/>
            <w:hideMark/>
          </w:tcPr>
          <w:p w14:paraId="44DBD219" w14:textId="4DAA2D19" w:rsidR="001D13E2" w:rsidRPr="00951AB1" w:rsidRDefault="001D13E2" w:rsidP="000A5389">
            <w:pPr>
              <w:spacing w:line="240" w:lineRule="auto"/>
              <w:rPr>
                <w:rFonts w:eastAsia="Times New Roman" w:cs="Times New Roman"/>
                <w:b/>
                <w:bCs/>
                <w:color w:val="000000"/>
                <w:kern w:val="0"/>
                <w:sz w:val="18"/>
                <w:szCs w:val="18"/>
                <w:lang w:eastAsia="es-CO"/>
                <w14:ligatures w14:val="none"/>
              </w:rPr>
            </w:pPr>
            <w:r w:rsidRPr="00951AB1">
              <w:rPr>
                <w:rFonts w:eastAsia="Times New Roman" w:cs="Times New Roman"/>
                <w:b/>
                <w:bCs/>
                <w:color w:val="000000"/>
                <w:kern w:val="0"/>
                <w:sz w:val="18"/>
                <w:szCs w:val="18"/>
                <w:lang w:eastAsia="es-CO"/>
                <w14:ligatures w14:val="none"/>
              </w:rPr>
              <w:t>EFECTIVO DE USO RESTRINGIDO</w:t>
            </w:r>
          </w:p>
        </w:tc>
        <w:tc>
          <w:tcPr>
            <w:tcW w:w="642" w:type="pct"/>
            <w:shd w:val="clear" w:color="000000" w:fill="FFFFFF"/>
            <w:noWrap/>
            <w:vAlign w:val="center"/>
            <w:hideMark/>
          </w:tcPr>
          <w:p w14:paraId="4017F222" w14:textId="77777777" w:rsidR="001D13E2" w:rsidRPr="00951AB1" w:rsidRDefault="001D13E2" w:rsidP="000A5389">
            <w:pPr>
              <w:spacing w:line="240" w:lineRule="auto"/>
              <w:jc w:val="right"/>
              <w:rPr>
                <w:rFonts w:eastAsia="Times New Roman" w:cs="Times New Roman"/>
                <w:b/>
                <w:bCs/>
                <w:color w:val="000000"/>
                <w:kern w:val="0"/>
                <w:sz w:val="18"/>
                <w:szCs w:val="18"/>
                <w:lang w:eastAsia="es-CO"/>
                <w14:ligatures w14:val="none"/>
              </w:rPr>
            </w:pPr>
            <w:r w:rsidRPr="00951AB1">
              <w:rPr>
                <w:rFonts w:eastAsia="Times New Roman" w:cs="Times New Roman"/>
                <w:b/>
                <w:bCs/>
                <w:color w:val="000000"/>
                <w:kern w:val="0"/>
                <w:sz w:val="18"/>
                <w:szCs w:val="18"/>
                <w:lang w:eastAsia="es-CO"/>
                <w14:ligatures w14:val="none"/>
              </w:rPr>
              <w:t>2.655.258</w:t>
            </w:r>
          </w:p>
        </w:tc>
        <w:tc>
          <w:tcPr>
            <w:tcW w:w="563" w:type="pct"/>
            <w:shd w:val="clear" w:color="000000" w:fill="FFFFFF"/>
            <w:noWrap/>
            <w:vAlign w:val="center"/>
            <w:hideMark/>
          </w:tcPr>
          <w:p w14:paraId="71B0CF26" w14:textId="77777777" w:rsidR="001D13E2" w:rsidRPr="00951AB1" w:rsidRDefault="001D13E2" w:rsidP="000A5389">
            <w:pPr>
              <w:spacing w:line="240" w:lineRule="auto"/>
              <w:jc w:val="right"/>
              <w:rPr>
                <w:rFonts w:eastAsia="Times New Roman" w:cs="Times New Roman"/>
                <w:b/>
                <w:bCs/>
                <w:color w:val="000000"/>
                <w:kern w:val="0"/>
                <w:sz w:val="18"/>
                <w:szCs w:val="18"/>
                <w:lang w:eastAsia="es-CO"/>
                <w14:ligatures w14:val="none"/>
              </w:rPr>
            </w:pPr>
            <w:r w:rsidRPr="00951AB1">
              <w:rPr>
                <w:rFonts w:eastAsia="Times New Roman" w:cs="Times New Roman"/>
                <w:b/>
                <w:bCs/>
                <w:color w:val="000000"/>
                <w:kern w:val="0"/>
                <w:sz w:val="18"/>
                <w:szCs w:val="18"/>
                <w:lang w:eastAsia="es-CO"/>
                <w14:ligatures w14:val="none"/>
              </w:rPr>
              <w:t>2.655.258</w:t>
            </w:r>
          </w:p>
        </w:tc>
        <w:tc>
          <w:tcPr>
            <w:tcW w:w="481" w:type="pct"/>
            <w:shd w:val="clear" w:color="000000" w:fill="FFFFFF"/>
            <w:noWrap/>
            <w:vAlign w:val="center"/>
            <w:hideMark/>
          </w:tcPr>
          <w:p w14:paraId="2707EBFA" w14:textId="77777777" w:rsidR="001D13E2" w:rsidRPr="00951AB1" w:rsidRDefault="001D13E2" w:rsidP="000A5389">
            <w:pPr>
              <w:spacing w:line="240" w:lineRule="auto"/>
              <w:jc w:val="center"/>
              <w:rPr>
                <w:rFonts w:eastAsia="Times New Roman" w:cs="Times New Roman"/>
                <w:b/>
                <w:bCs/>
                <w:color w:val="000000"/>
                <w:kern w:val="0"/>
                <w:sz w:val="18"/>
                <w:szCs w:val="18"/>
                <w:lang w:eastAsia="es-CO"/>
                <w14:ligatures w14:val="none"/>
              </w:rPr>
            </w:pPr>
            <w:r w:rsidRPr="00951AB1">
              <w:rPr>
                <w:rFonts w:eastAsia="Times New Roman" w:cs="Times New Roman"/>
                <w:b/>
                <w:bCs/>
                <w:color w:val="000000"/>
                <w:kern w:val="0"/>
                <w:sz w:val="18"/>
                <w:szCs w:val="18"/>
                <w:lang w:eastAsia="es-CO"/>
                <w14:ligatures w14:val="none"/>
              </w:rPr>
              <w:t>0</w:t>
            </w:r>
          </w:p>
        </w:tc>
        <w:tc>
          <w:tcPr>
            <w:tcW w:w="723" w:type="pct"/>
            <w:shd w:val="clear" w:color="000000" w:fill="FFFFFF"/>
            <w:noWrap/>
            <w:vAlign w:val="center"/>
            <w:hideMark/>
          </w:tcPr>
          <w:p w14:paraId="75F4A35E" w14:textId="77777777" w:rsidR="001D13E2" w:rsidRPr="00951AB1" w:rsidRDefault="001D13E2" w:rsidP="000A5389">
            <w:pPr>
              <w:spacing w:line="240" w:lineRule="auto"/>
              <w:jc w:val="center"/>
              <w:rPr>
                <w:rFonts w:eastAsia="Times New Roman" w:cs="Times New Roman"/>
                <w:b/>
                <w:bCs/>
                <w:color w:val="000000"/>
                <w:kern w:val="0"/>
                <w:sz w:val="18"/>
                <w:szCs w:val="18"/>
                <w:lang w:eastAsia="es-CO"/>
                <w14:ligatures w14:val="none"/>
              </w:rPr>
            </w:pPr>
            <w:r w:rsidRPr="00951AB1">
              <w:rPr>
                <w:rFonts w:eastAsia="Times New Roman" w:cs="Times New Roman"/>
                <w:b/>
                <w:bCs/>
                <w:color w:val="000000"/>
                <w:kern w:val="0"/>
                <w:sz w:val="18"/>
                <w:szCs w:val="18"/>
                <w:lang w:eastAsia="es-CO"/>
                <w14:ligatures w14:val="none"/>
              </w:rPr>
              <w:t>0</w:t>
            </w:r>
          </w:p>
        </w:tc>
        <w:tc>
          <w:tcPr>
            <w:tcW w:w="402" w:type="pct"/>
            <w:shd w:val="clear" w:color="000000" w:fill="FFFFFF"/>
            <w:noWrap/>
            <w:vAlign w:val="center"/>
            <w:hideMark/>
          </w:tcPr>
          <w:p w14:paraId="452C4D47" w14:textId="77777777" w:rsidR="001D13E2" w:rsidRPr="00951AB1" w:rsidRDefault="001D13E2" w:rsidP="000A5389">
            <w:pPr>
              <w:spacing w:line="240" w:lineRule="auto"/>
              <w:jc w:val="center"/>
              <w:rPr>
                <w:rFonts w:eastAsia="Times New Roman" w:cs="Times New Roman"/>
                <w:b/>
                <w:bCs/>
                <w:color w:val="000000"/>
                <w:kern w:val="0"/>
                <w:sz w:val="18"/>
                <w:szCs w:val="18"/>
                <w:lang w:eastAsia="es-CO"/>
                <w14:ligatures w14:val="none"/>
              </w:rPr>
            </w:pPr>
            <w:r w:rsidRPr="00951AB1">
              <w:rPr>
                <w:rFonts w:eastAsia="Times New Roman" w:cs="Times New Roman"/>
                <w:b/>
                <w:bCs/>
                <w:color w:val="000000"/>
                <w:kern w:val="0"/>
                <w:sz w:val="18"/>
                <w:szCs w:val="18"/>
                <w:lang w:eastAsia="es-CO"/>
                <w14:ligatures w14:val="none"/>
              </w:rPr>
              <w:t>0</w:t>
            </w:r>
          </w:p>
        </w:tc>
        <w:tc>
          <w:tcPr>
            <w:tcW w:w="586" w:type="pct"/>
            <w:shd w:val="clear" w:color="000000" w:fill="FFFFFF"/>
            <w:noWrap/>
            <w:vAlign w:val="center"/>
            <w:hideMark/>
          </w:tcPr>
          <w:p w14:paraId="4F9D67A5" w14:textId="77777777" w:rsidR="001D13E2" w:rsidRPr="00951AB1" w:rsidRDefault="001D13E2" w:rsidP="000A5389">
            <w:pPr>
              <w:spacing w:line="240" w:lineRule="auto"/>
              <w:rPr>
                <w:rFonts w:eastAsia="Times New Roman" w:cs="Times New Roman"/>
                <w:b/>
                <w:bCs/>
                <w:color w:val="000000"/>
                <w:kern w:val="0"/>
                <w:sz w:val="18"/>
                <w:szCs w:val="18"/>
                <w:lang w:eastAsia="es-CO"/>
                <w14:ligatures w14:val="none"/>
              </w:rPr>
            </w:pPr>
            <w:r w:rsidRPr="00951AB1">
              <w:rPr>
                <w:rFonts w:eastAsia="Times New Roman" w:cs="Times New Roman"/>
                <w:b/>
                <w:bCs/>
                <w:color w:val="000000"/>
                <w:kern w:val="0"/>
                <w:sz w:val="18"/>
                <w:szCs w:val="18"/>
                <w:lang w:eastAsia="es-CO"/>
                <w14:ligatures w14:val="none"/>
              </w:rPr>
              <w:t> </w:t>
            </w:r>
          </w:p>
        </w:tc>
      </w:tr>
      <w:tr w:rsidR="001D13E2" w:rsidRPr="00951AB1" w14:paraId="552B574F" w14:textId="77777777" w:rsidTr="001A4BE5">
        <w:trPr>
          <w:trHeight w:val="618"/>
        </w:trPr>
        <w:tc>
          <w:tcPr>
            <w:tcW w:w="1602" w:type="pct"/>
            <w:shd w:val="clear" w:color="000000" w:fill="FFFFFF"/>
            <w:noWrap/>
            <w:vAlign w:val="center"/>
            <w:hideMark/>
          </w:tcPr>
          <w:p w14:paraId="22351529" w14:textId="78E8AB53" w:rsidR="001D13E2" w:rsidRPr="00951AB1" w:rsidRDefault="001D13E2" w:rsidP="000A5389">
            <w:pPr>
              <w:spacing w:line="240" w:lineRule="auto"/>
              <w:rPr>
                <w:rFonts w:eastAsia="Times New Roman" w:cs="Times New Roman"/>
                <w:b/>
                <w:bCs/>
                <w:color w:val="000000"/>
                <w:kern w:val="0"/>
                <w:sz w:val="18"/>
                <w:szCs w:val="18"/>
                <w:lang w:eastAsia="es-CO"/>
                <w14:ligatures w14:val="none"/>
              </w:rPr>
            </w:pPr>
            <w:r w:rsidRPr="00951AB1">
              <w:rPr>
                <w:rFonts w:eastAsia="Times New Roman" w:cs="Times New Roman"/>
                <w:b/>
                <w:bCs/>
                <w:color w:val="000000"/>
                <w:kern w:val="0"/>
                <w:sz w:val="18"/>
                <w:szCs w:val="18"/>
                <w:lang w:eastAsia="es-CO"/>
                <w14:ligatures w14:val="none"/>
              </w:rPr>
              <w:lastRenderedPageBreak/>
              <w:t>1.1.32.10 Depósitos en instituciones financieras</w:t>
            </w:r>
          </w:p>
        </w:tc>
        <w:tc>
          <w:tcPr>
            <w:tcW w:w="642" w:type="pct"/>
            <w:shd w:val="clear" w:color="000000" w:fill="FFFFFF"/>
            <w:noWrap/>
            <w:vAlign w:val="center"/>
            <w:hideMark/>
          </w:tcPr>
          <w:p w14:paraId="69797BB1" w14:textId="77777777" w:rsidR="001D13E2" w:rsidRPr="00951AB1" w:rsidRDefault="001D13E2" w:rsidP="000A5389">
            <w:pPr>
              <w:spacing w:line="240" w:lineRule="auto"/>
              <w:jc w:val="right"/>
              <w:rPr>
                <w:rFonts w:eastAsia="Times New Roman" w:cs="Times New Roman"/>
                <w:b/>
                <w:bCs/>
                <w:color w:val="000000"/>
                <w:kern w:val="0"/>
                <w:sz w:val="18"/>
                <w:szCs w:val="18"/>
                <w:lang w:eastAsia="es-CO"/>
                <w14:ligatures w14:val="none"/>
              </w:rPr>
            </w:pPr>
            <w:r w:rsidRPr="00951AB1">
              <w:rPr>
                <w:rFonts w:eastAsia="Times New Roman" w:cs="Times New Roman"/>
                <w:b/>
                <w:bCs/>
                <w:color w:val="000000"/>
                <w:kern w:val="0"/>
                <w:sz w:val="18"/>
                <w:szCs w:val="18"/>
                <w:lang w:eastAsia="es-CO"/>
                <w14:ligatures w14:val="none"/>
              </w:rPr>
              <w:t>2.655.258</w:t>
            </w:r>
          </w:p>
        </w:tc>
        <w:tc>
          <w:tcPr>
            <w:tcW w:w="563" w:type="pct"/>
            <w:shd w:val="clear" w:color="000000" w:fill="FFFFFF"/>
            <w:noWrap/>
            <w:vAlign w:val="center"/>
            <w:hideMark/>
          </w:tcPr>
          <w:p w14:paraId="748B1F2C" w14:textId="77777777" w:rsidR="001D13E2" w:rsidRPr="00951AB1" w:rsidRDefault="001D13E2" w:rsidP="000A5389">
            <w:pPr>
              <w:spacing w:line="240" w:lineRule="auto"/>
              <w:jc w:val="right"/>
              <w:rPr>
                <w:rFonts w:eastAsia="Times New Roman" w:cs="Times New Roman"/>
                <w:b/>
                <w:bCs/>
                <w:color w:val="000000"/>
                <w:kern w:val="0"/>
                <w:sz w:val="18"/>
                <w:szCs w:val="18"/>
                <w:lang w:eastAsia="es-CO"/>
                <w14:ligatures w14:val="none"/>
              </w:rPr>
            </w:pPr>
            <w:r w:rsidRPr="00951AB1">
              <w:rPr>
                <w:rFonts w:eastAsia="Times New Roman" w:cs="Times New Roman"/>
                <w:b/>
                <w:bCs/>
                <w:color w:val="000000"/>
                <w:kern w:val="0"/>
                <w:sz w:val="18"/>
                <w:szCs w:val="18"/>
                <w:lang w:eastAsia="es-CO"/>
                <w14:ligatures w14:val="none"/>
              </w:rPr>
              <w:t>2.655.258</w:t>
            </w:r>
          </w:p>
        </w:tc>
        <w:tc>
          <w:tcPr>
            <w:tcW w:w="481" w:type="pct"/>
            <w:shd w:val="clear" w:color="000000" w:fill="FFFFFF"/>
            <w:noWrap/>
            <w:vAlign w:val="center"/>
            <w:hideMark/>
          </w:tcPr>
          <w:p w14:paraId="1837CE14" w14:textId="77777777" w:rsidR="001D13E2" w:rsidRPr="00951AB1" w:rsidRDefault="001D13E2" w:rsidP="000A5389">
            <w:pPr>
              <w:spacing w:line="240" w:lineRule="auto"/>
              <w:jc w:val="center"/>
              <w:rPr>
                <w:rFonts w:eastAsia="Times New Roman" w:cs="Times New Roman"/>
                <w:b/>
                <w:bCs/>
                <w:color w:val="000000"/>
                <w:kern w:val="0"/>
                <w:sz w:val="18"/>
                <w:szCs w:val="18"/>
                <w:lang w:eastAsia="es-CO"/>
                <w14:ligatures w14:val="none"/>
              </w:rPr>
            </w:pPr>
            <w:r w:rsidRPr="00951AB1">
              <w:rPr>
                <w:rFonts w:eastAsia="Times New Roman" w:cs="Times New Roman"/>
                <w:b/>
                <w:bCs/>
                <w:color w:val="000000"/>
                <w:kern w:val="0"/>
                <w:sz w:val="18"/>
                <w:szCs w:val="18"/>
                <w:lang w:eastAsia="es-CO"/>
                <w14:ligatures w14:val="none"/>
              </w:rPr>
              <w:t>0</w:t>
            </w:r>
          </w:p>
        </w:tc>
        <w:tc>
          <w:tcPr>
            <w:tcW w:w="723" w:type="pct"/>
            <w:shd w:val="clear" w:color="000000" w:fill="FFFFFF"/>
            <w:noWrap/>
            <w:vAlign w:val="center"/>
            <w:hideMark/>
          </w:tcPr>
          <w:p w14:paraId="2FE988BE" w14:textId="77777777" w:rsidR="001D13E2" w:rsidRPr="00951AB1" w:rsidRDefault="001D13E2" w:rsidP="000A5389">
            <w:pPr>
              <w:spacing w:line="240" w:lineRule="auto"/>
              <w:jc w:val="center"/>
              <w:rPr>
                <w:rFonts w:eastAsia="Times New Roman" w:cs="Times New Roman"/>
                <w:b/>
                <w:bCs/>
                <w:color w:val="000000"/>
                <w:kern w:val="0"/>
                <w:sz w:val="18"/>
                <w:szCs w:val="18"/>
                <w:lang w:eastAsia="es-CO"/>
                <w14:ligatures w14:val="none"/>
              </w:rPr>
            </w:pPr>
            <w:r w:rsidRPr="00951AB1">
              <w:rPr>
                <w:rFonts w:eastAsia="Times New Roman" w:cs="Times New Roman"/>
                <w:b/>
                <w:bCs/>
                <w:color w:val="000000"/>
                <w:kern w:val="0"/>
                <w:sz w:val="18"/>
                <w:szCs w:val="18"/>
                <w:lang w:eastAsia="es-CO"/>
                <w14:ligatures w14:val="none"/>
              </w:rPr>
              <w:t>0</w:t>
            </w:r>
          </w:p>
        </w:tc>
        <w:tc>
          <w:tcPr>
            <w:tcW w:w="402" w:type="pct"/>
            <w:shd w:val="clear" w:color="000000" w:fill="FFFFFF"/>
            <w:noWrap/>
            <w:vAlign w:val="center"/>
            <w:hideMark/>
          </w:tcPr>
          <w:p w14:paraId="2D2FB2B2" w14:textId="77777777" w:rsidR="001D13E2" w:rsidRPr="00951AB1" w:rsidRDefault="001D13E2" w:rsidP="000A5389">
            <w:pPr>
              <w:spacing w:line="240" w:lineRule="auto"/>
              <w:jc w:val="center"/>
              <w:rPr>
                <w:rFonts w:eastAsia="Times New Roman" w:cs="Times New Roman"/>
                <w:b/>
                <w:bCs/>
                <w:color w:val="000000"/>
                <w:kern w:val="0"/>
                <w:sz w:val="18"/>
                <w:szCs w:val="18"/>
                <w:lang w:eastAsia="es-CO"/>
                <w14:ligatures w14:val="none"/>
              </w:rPr>
            </w:pPr>
            <w:r w:rsidRPr="00951AB1">
              <w:rPr>
                <w:rFonts w:eastAsia="Times New Roman" w:cs="Times New Roman"/>
                <w:b/>
                <w:bCs/>
                <w:color w:val="000000"/>
                <w:kern w:val="0"/>
                <w:sz w:val="18"/>
                <w:szCs w:val="18"/>
                <w:lang w:eastAsia="es-CO"/>
                <w14:ligatures w14:val="none"/>
              </w:rPr>
              <w:t>0</w:t>
            </w:r>
          </w:p>
        </w:tc>
        <w:tc>
          <w:tcPr>
            <w:tcW w:w="586" w:type="pct"/>
            <w:vMerge w:val="restart"/>
            <w:shd w:val="clear" w:color="000000" w:fill="FFFFFF"/>
            <w:noWrap/>
            <w:vAlign w:val="center"/>
            <w:hideMark/>
          </w:tcPr>
          <w:p w14:paraId="19E7300E" w14:textId="2B429FA0" w:rsidR="001D13E2" w:rsidRPr="00951AB1" w:rsidRDefault="001D13E2" w:rsidP="000A5389">
            <w:pPr>
              <w:spacing w:line="240" w:lineRule="auto"/>
              <w:rPr>
                <w:rFonts w:eastAsia="Times New Roman" w:cs="Times New Roman"/>
                <w:b/>
                <w:bCs/>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Proceso Ejecutivo Laboral</w:t>
            </w:r>
          </w:p>
        </w:tc>
      </w:tr>
      <w:tr w:rsidR="001D13E2" w:rsidRPr="00951AB1" w14:paraId="6A5CB4D4" w14:textId="77777777" w:rsidTr="001A4BE5">
        <w:trPr>
          <w:trHeight w:val="285"/>
        </w:trPr>
        <w:tc>
          <w:tcPr>
            <w:tcW w:w="1602" w:type="pct"/>
            <w:shd w:val="clear" w:color="000000" w:fill="FFFFFF"/>
            <w:noWrap/>
            <w:vAlign w:val="center"/>
            <w:hideMark/>
          </w:tcPr>
          <w:p w14:paraId="0B71C2F4" w14:textId="682D5E8C" w:rsidR="001D13E2" w:rsidRPr="00951AB1" w:rsidRDefault="001D13E2" w:rsidP="000A5389">
            <w:pPr>
              <w:spacing w:line="240" w:lineRule="auto"/>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Cuenta de ahorro</w:t>
            </w:r>
          </w:p>
        </w:tc>
        <w:tc>
          <w:tcPr>
            <w:tcW w:w="642" w:type="pct"/>
            <w:shd w:val="clear" w:color="000000" w:fill="FFFFFF"/>
            <w:noWrap/>
            <w:vAlign w:val="center"/>
            <w:hideMark/>
          </w:tcPr>
          <w:p w14:paraId="2650C6BC" w14:textId="77777777" w:rsidR="001D13E2" w:rsidRPr="00951AB1" w:rsidRDefault="001D13E2"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2.655.258</w:t>
            </w:r>
          </w:p>
        </w:tc>
        <w:tc>
          <w:tcPr>
            <w:tcW w:w="563" w:type="pct"/>
            <w:shd w:val="clear" w:color="000000" w:fill="FFFFFF"/>
            <w:noWrap/>
            <w:vAlign w:val="center"/>
            <w:hideMark/>
          </w:tcPr>
          <w:p w14:paraId="03E4E7B4" w14:textId="77777777" w:rsidR="001D13E2" w:rsidRPr="00951AB1" w:rsidRDefault="001D13E2"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2.655.258</w:t>
            </w:r>
          </w:p>
        </w:tc>
        <w:tc>
          <w:tcPr>
            <w:tcW w:w="481" w:type="pct"/>
            <w:shd w:val="clear" w:color="000000" w:fill="FFFFFF"/>
            <w:noWrap/>
            <w:vAlign w:val="center"/>
            <w:hideMark/>
          </w:tcPr>
          <w:p w14:paraId="7F9989DA" w14:textId="77777777" w:rsidR="001D13E2" w:rsidRPr="00951AB1" w:rsidRDefault="001D13E2" w:rsidP="000A5389">
            <w:pPr>
              <w:spacing w:line="240" w:lineRule="auto"/>
              <w:jc w:val="center"/>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0</w:t>
            </w:r>
          </w:p>
        </w:tc>
        <w:tc>
          <w:tcPr>
            <w:tcW w:w="723" w:type="pct"/>
            <w:shd w:val="clear" w:color="000000" w:fill="FFFFFF"/>
            <w:noWrap/>
            <w:vAlign w:val="center"/>
            <w:hideMark/>
          </w:tcPr>
          <w:p w14:paraId="404A6981" w14:textId="77777777" w:rsidR="001D13E2" w:rsidRPr="00951AB1" w:rsidRDefault="001D13E2" w:rsidP="000A5389">
            <w:pPr>
              <w:spacing w:line="240" w:lineRule="auto"/>
              <w:jc w:val="center"/>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N/A</w:t>
            </w:r>
          </w:p>
        </w:tc>
        <w:tc>
          <w:tcPr>
            <w:tcW w:w="402" w:type="pct"/>
            <w:shd w:val="clear" w:color="000000" w:fill="FFFFFF"/>
            <w:noWrap/>
            <w:vAlign w:val="center"/>
            <w:hideMark/>
          </w:tcPr>
          <w:p w14:paraId="01BE56B4" w14:textId="77777777" w:rsidR="001D13E2" w:rsidRPr="00951AB1" w:rsidRDefault="001D13E2" w:rsidP="000A5389">
            <w:pPr>
              <w:spacing w:line="240" w:lineRule="auto"/>
              <w:jc w:val="center"/>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N/A</w:t>
            </w:r>
          </w:p>
        </w:tc>
        <w:tc>
          <w:tcPr>
            <w:tcW w:w="586" w:type="pct"/>
            <w:vMerge/>
            <w:shd w:val="clear" w:color="000000" w:fill="FFFFFF"/>
            <w:noWrap/>
            <w:vAlign w:val="center"/>
            <w:hideMark/>
          </w:tcPr>
          <w:p w14:paraId="7E10ECE3" w14:textId="21B249A7" w:rsidR="001D13E2" w:rsidRPr="00951AB1" w:rsidRDefault="001D13E2" w:rsidP="000A5389">
            <w:pPr>
              <w:spacing w:line="240" w:lineRule="auto"/>
              <w:rPr>
                <w:rFonts w:eastAsia="Times New Roman" w:cs="Times New Roman"/>
                <w:color w:val="000000"/>
                <w:kern w:val="0"/>
                <w:sz w:val="18"/>
                <w:szCs w:val="18"/>
                <w:lang w:eastAsia="es-CO"/>
                <w14:ligatures w14:val="none"/>
              </w:rPr>
            </w:pPr>
          </w:p>
        </w:tc>
      </w:tr>
    </w:tbl>
    <w:p w14:paraId="7F005F84" w14:textId="1DF30077" w:rsidR="001D13E2" w:rsidRPr="00951AB1" w:rsidRDefault="001D13E2" w:rsidP="000A5389">
      <w:pPr>
        <w:spacing w:line="240" w:lineRule="auto"/>
        <w:rPr>
          <w:rFonts w:eastAsia="Times New Roman" w:cs="Times New Roman"/>
          <w:szCs w:val="24"/>
        </w:rPr>
      </w:pPr>
      <w:r w:rsidRPr="00951AB1">
        <w:rPr>
          <w:rFonts w:eastAsia="Times New Roman" w:cs="Times New Roman"/>
          <w:sz w:val="16"/>
          <w:szCs w:val="16"/>
        </w:rPr>
        <w:t>Cifras expresadas en pesos</w:t>
      </w:r>
    </w:p>
    <w:p w14:paraId="39918DC6" w14:textId="77777777" w:rsidR="00E53995" w:rsidRPr="00951AB1" w:rsidRDefault="00E53995" w:rsidP="000A5389">
      <w:pPr>
        <w:spacing w:line="240" w:lineRule="auto"/>
        <w:rPr>
          <w:rFonts w:cs="Times New Roman"/>
          <w:szCs w:val="24"/>
        </w:rPr>
      </w:pPr>
    </w:p>
    <w:p w14:paraId="2DF29226" w14:textId="1713C2D7" w:rsidR="00E53995" w:rsidRDefault="6C8F9E9C" w:rsidP="000A5389">
      <w:pPr>
        <w:spacing w:line="240" w:lineRule="auto"/>
        <w:rPr>
          <w:rFonts w:eastAsia="Times New Roman" w:cs="Times New Roman"/>
          <w:szCs w:val="24"/>
        </w:rPr>
      </w:pPr>
      <w:r w:rsidRPr="00951AB1">
        <w:rPr>
          <w:rFonts w:eastAsia="Times New Roman" w:cs="Times New Roman"/>
          <w:szCs w:val="24"/>
        </w:rPr>
        <w:t>El valor de $2.655.258 que se refleja en la cuenta de ahorros por concepto de uso restringido corresponde a</w:t>
      </w:r>
      <w:r w:rsidR="1DDBFBF1" w:rsidRPr="00951AB1">
        <w:rPr>
          <w:rFonts w:eastAsia="Times New Roman" w:cs="Times New Roman"/>
          <w:szCs w:val="24"/>
        </w:rPr>
        <w:t>l</w:t>
      </w:r>
      <w:r w:rsidRPr="00951AB1">
        <w:rPr>
          <w:rFonts w:eastAsia="Times New Roman" w:cs="Times New Roman"/>
          <w:szCs w:val="24"/>
        </w:rPr>
        <w:t xml:space="preserve"> proceso ejecutivo </w:t>
      </w:r>
      <w:r w:rsidR="35CA6D14" w:rsidRPr="00951AB1">
        <w:rPr>
          <w:rFonts w:eastAsia="Times New Roman" w:cs="Times New Roman"/>
          <w:szCs w:val="24"/>
        </w:rPr>
        <w:t>laboral</w:t>
      </w:r>
      <w:r w:rsidRPr="00951AB1">
        <w:rPr>
          <w:rFonts w:eastAsia="Times New Roman" w:cs="Times New Roman"/>
          <w:szCs w:val="24"/>
        </w:rPr>
        <w:t xml:space="preserve"> a nombre de Manuel Alfonso Gutiérrez Silva, radicado No. 201000087 del Juzgado Civil del Circuito de Patios, Norte de Santander. La Agencia interpuso recurso de apelación que se encuentra en segunda instancia.</w:t>
      </w:r>
      <w:r w:rsidR="001D13E2" w:rsidRPr="00951AB1">
        <w:rPr>
          <w:rFonts w:eastAsia="Times New Roman" w:cs="Times New Roman"/>
          <w:szCs w:val="24"/>
        </w:rPr>
        <w:t xml:space="preserve">  </w:t>
      </w:r>
      <w:r w:rsidRPr="00951AB1">
        <w:rPr>
          <w:rFonts w:eastAsia="Times New Roman" w:cs="Times New Roman"/>
          <w:szCs w:val="24"/>
        </w:rPr>
        <w:t xml:space="preserve"> </w:t>
      </w:r>
    </w:p>
    <w:p w14:paraId="4D11C4F1" w14:textId="77777777" w:rsidR="006304F4" w:rsidRPr="00951AB1" w:rsidRDefault="006304F4" w:rsidP="000A5389">
      <w:pPr>
        <w:spacing w:line="240" w:lineRule="auto"/>
        <w:rPr>
          <w:rFonts w:eastAsia="Times New Roman" w:cs="Times New Roman"/>
          <w:szCs w:val="24"/>
        </w:rPr>
      </w:pPr>
    </w:p>
    <w:p w14:paraId="6837C6E7" w14:textId="7DA875D5" w:rsidR="00E53995" w:rsidRDefault="6C8F9E9C" w:rsidP="000A5389">
      <w:pPr>
        <w:spacing w:line="240" w:lineRule="auto"/>
        <w:rPr>
          <w:rFonts w:eastAsia="Times New Roman" w:cs="Times New Roman"/>
          <w:szCs w:val="24"/>
        </w:rPr>
      </w:pPr>
      <w:r w:rsidRPr="00951AB1">
        <w:rPr>
          <w:rFonts w:eastAsia="Times New Roman" w:cs="Times New Roman"/>
          <w:szCs w:val="24"/>
        </w:rPr>
        <w:t>Por la naturaleza del activo (restringido), no hay lugar a rentabilidad y no aplica tasa promedio.</w:t>
      </w:r>
      <w:r w:rsidR="001D13E2" w:rsidRPr="00951AB1">
        <w:rPr>
          <w:rFonts w:eastAsia="Times New Roman" w:cs="Times New Roman"/>
          <w:szCs w:val="24"/>
        </w:rPr>
        <w:t xml:space="preserve">  </w:t>
      </w:r>
      <w:r w:rsidRPr="00951AB1">
        <w:rPr>
          <w:rFonts w:eastAsia="Times New Roman" w:cs="Times New Roman"/>
          <w:szCs w:val="24"/>
        </w:rPr>
        <w:t xml:space="preserve"> </w:t>
      </w:r>
    </w:p>
    <w:p w14:paraId="1F783302" w14:textId="77777777" w:rsidR="006304F4" w:rsidRPr="00951AB1" w:rsidRDefault="006304F4" w:rsidP="000A5389">
      <w:pPr>
        <w:spacing w:line="240" w:lineRule="auto"/>
        <w:rPr>
          <w:rFonts w:eastAsia="Times New Roman" w:cs="Times New Roman"/>
          <w:szCs w:val="24"/>
        </w:rPr>
      </w:pPr>
    </w:p>
    <w:p w14:paraId="6BC52121" w14:textId="41A5C3DA" w:rsidR="00E53995" w:rsidRPr="00951AB1" w:rsidRDefault="6C8F9E9C" w:rsidP="000A5389">
      <w:pPr>
        <w:spacing w:line="240" w:lineRule="auto"/>
        <w:rPr>
          <w:rFonts w:eastAsia="Times New Roman" w:cs="Times New Roman"/>
          <w:szCs w:val="24"/>
        </w:rPr>
      </w:pPr>
      <w:r w:rsidRPr="00951AB1">
        <w:rPr>
          <w:rFonts w:eastAsia="Times New Roman" w:cs="Times New Roman"/>
          <w:szCs w:val="24"/>
        </w:rPr>
        <w:t xml:space="preserve">El área competente de la Agencia ha realizado las gestiones pertinentes para el reintegro de </w:t>
      </w:r>
      <w:r w:rsidR="31AB5197" w:rsidRPr="00951AB1">
        <w:rPr>
          <w:rFonts w:eastAsia="Times New Roman" w:cs="Times New Roman"/>
          <w:szCs w:val="24"/>
        </w:rPr>
        <w:t>este valor</w:t>
      </w:r>
      <w:r w:rsidRPr="00951AB1">
        <w:rPr>
          <w:rFonts w:eastAsia="Times New Roman" w:cs="Times New Roman"/>
          <w:szCs w:val="24"/>
        </w:rPr>
        <w:t>, no obstante, al cierre del período no ha sido posible su devolución a la cuenta bancaria.</w:t>
      </w:r>
      <w:r w:rsidR="001D13E2" w:rsidRPr="00951AB1">
        <w:rPr>
          <w:rFonts w:eastAsia="Times New Roman" w:cs="Times New Roman"/>
          <w:szCs w:val="24"/>
        </w:rPr>
        <w:t xml:space="preserve">  </w:t>
      </w:r>
      <w:r w:rsidRPr="00951AB1">
        <w:rPr>
          <w:rFonts w:eastAsia="Times New Roman" w:cs="Times New Roman"/>
          <w:szCs w:val="24"/>
        </w:rPr>
        <w:t xml:space="preserve"> </w:t>
      </w:r>
    </w:p>
    <w:p w14:paraId="5F1C2D4F" w14:textId="77777777" w:rsidR="006304F4" w:rsidRDefault="006304F4" w:rsidP="000A5389">
      <w:pPr>
        <w:spacing w:line="240" w:lineRule="auto"/>
        <w:rPr>
          <w:rFonts w:eastAsia="Times New Roman" w:cs="Times New Roman"/>
          <w:szCs w:val="24"/>
        </w:rPr>
      </w:pPr>
    </w:p>
    <w:p w14:paraId="23204FBC" w14:textId="61499669" w:rsidR="00E53995" w:rsidRDefault="6C8F9E9C" w:rsidP="000A5389">
      <w:pPr>
        <w:spacing w:line="240" w:lineRule="auto"/>
        <w:rPr>
          <w:rFonts w:eastAsia="Times New Roman" w:cs="Times New Roman"/>
          <w:szCs w:val="24"/>
        </w:rPr>
      </w:pPr>
      <w:r w:rsidRPr="00951AB1">
        <w:rPr>
          <w:rFonts w:eastAsia="Times New Roman" w:cs="Times New Roman"/>
          <w:szCs w:val="24"/>
        </w:rPr>
        <w:t>Por último, se presenta un comparativo de los años 2025 y 2024 de los saldos de efectivo y equivalentes al disponibles, así como de uso restringido, identificando las cuentas bancarias correspondientes:</w:t>
      </w:r>
    </w:p>
    <w:p w14:paraId="2B9D18C7" w14:textId="77777777" w:rsidR="006304F4" w:rsidRPr="00951AB1" w:rsidRDefault="006304F4" w:rsidP="000A5389">
      <w:pPr>
        <w:spacing w:line="240" w:lineRule="auto"/>
        <w:rPr>
          <w:rFonts w:cs="Times New Roman"/>
          <w:szCs w:val="24"/>
        </w:rPr>
      </w:pPr>
    </w:p>
    <w:tbl>
      <w:tblPr>
        <w:tblW w:w="0" w:type="auto"/>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CellMar>
          <w:left w:w="70" w:type="dxa"/>
          <w:right w:w="70" w:type="dxa"/>
        </w:tblCellMar>
        <w:tblLook w:val="04A0" w:firstRow="1" w:lastRow="0" w:firstColumn="1" w:lastColumn="0" w:noHBand="0" w:noVBand="1"/>
      </w:tblPr>
      <w:tblGrid>
        <w:gridCol w:w="666"/>
        <w:gridCol w:w="312"/>
        <w:gridCol w:w="1106"/>
        <w:gridCol w:w="1006"/>
        <w:gridCol w:w="949"/>
        <w:gridCol w:w="949"/>
        <w:gridCol w:w="1120"/>
        <w:gridCol w:w="1022"/>
        <w:gridCol w:w="849"/>
        <w:gridCol w:w="849"/>
      </w:tblGrid>
      <w:tr w:rsidR="001D13E2" w:rsidRPr="00951AB1" w14:paraId="7F5C4524" w14:textId="77777777" w:rsidTr="00E524D3">
        <w:trPr>
          <w:trHeight w:val="570"/>
        </w:trPr>
        <w:tc>
          <w:tcPr>
            <w:tcW w:w="0" w:type="auto"/>
            <w:gridSpan w:val="4"/>
            <w:noWrap/>
            <w:vAlign w:val="center"/>
            <w:hideMark/>
          </w:tcPr>
          <w:p w14:paraId="258271BD" w14:textId="77777777" w:rsidR="001D13E2" w:rsidRPr="00951AB1" w:rsidRDefault="001D13E2" w:rsidP="000A5389">
            <w:pPr>
              <w:spacing w:line="240" w:lineRule="auto"/>
              <w:jc w:val="center"/>
              <w:rPr>
                <w:rFonts w:eastAsia="Times New Roman" w:cs="Times New Roman"/>
                <w:b/>
                <w:bCs/>
                <w:color w:val="000000"/>
                <w:kern w:val="0"/>
                <w:sz w:val="14"/>
                <w:szCs w:val="14"/>
                <w:lang w:eastAsia="es-CO"/>
                <w14:ligatures w14:val="none"/>
              </w:rPr>
            </w:pPr>
            <w:r w:rsidRPr="00951AB1">
              <w:rPr>
                <w:rFonts w:eastAsia="Times New Roman" w:cs="Times New Roman"/>
                <w:b/>
                <w:bCs/>
                <w:color w:val="000000"/>
                <w:kern w:val="0"/>
                <w:sz w:val="14"/>
                <w:szCs w:val="14"/>
                <w:lang w:eastAsia="es-CO"/>
                <w14:ligatures w14:val="none"/>
              </w:rPr>
              <w:t>CONCEPTO</w:t>
            </w:r>
          </w:p>
        </w:tc>
        <w:tc>
          <w:tcPr>
            <w:tcW w:w="0" w:type="auto"/>
            <w:gridSpan w:val="2"/>
            <w:vAlign w:val="center"/>
            <w:hideMark/>
          </w:tcPr>
          <w:p w14:paraId="18521FA7" w14:textId="77777777" w:rsidR="001D13E2" w:rsidRPr="00951AB1" w:rsidRDefault="001D13E2" w:rsidP="000A5389">
            <w:pPr>
              <w:spacing w:line="240" w:lineRule="auto"/>
              <w:jc w:val="center"/>
              <w:rPr>
                <w:rFonts w:eastAsia="Times New Roman" w:cs="Times New Roman"/>
                <w:b/>
                <w:bCs/>
                <w:color w:val="000000"/>
                <w:kern w:val="0"/>
                <w:sz w:val="14"/>
                <w:szCs w:val="14"/>
                <w:lang w:eastAsia="es-CO"/>
                <w14:ligatures w14:val="none"/>
              </w:rPr>
            </w:pPr>
            <w:r w:rsidRPr="00951AB1">
              <w:rPr>
                <w:rFonts w:eastAsia="Times New Roman" w:cs="Times New Roman"/>
                <w:b/>
                <w:bCs/>
                <w:color w:val="000000"/>
                <w:kern w:val="0"/>
                <w:sz w:val="14"/>
                <w:szCs w:val="14"/>
                <w:lang w:eastAsia="es-CO"/>
                <w14:ligatures w14:val="none"/>
              </w:rPr>
              <w:t>SALDOS A CORTES DE VIGENCIA</w:t>
            </w:r>
          </w:p>
        </w:tc>
        <w:tc>
          <w:tcPr>
            <w:tcW w:w="0" w:type="auto"/>
            <w:gridSpan w:val="2"/>
            <w:noWrap/>
            <w:vAlign w:val="center"/>
            <w:hideMark/>
          </w:tcPr>
          <w:p w14:paraId="219501CB" w14:textId="77777777" w:rsidR="001D13E2" w:rsidRPr="00951AB1" w:rsidRDefault="001D13E2" w:rsidP="000A5389">
            <w:pPr>
              <w:spacing w:line="240" w:lineRule="auto"/>
              <w:jc w:val="center"/>
              <w:rPr>
                <w:rFonts w:eastAsia="Times New Roman" w:cs="Times New Roman"/>
                <w:b/>
                <w:bCs/>
                <w:color w:val="000000"/>
                <w:kern w:val="0"/>
                <w:sz w:val="14"/>
                <w:szCs w:val="14"/>
                <w:lang w:eastAsia="es-CO"/>
                <w14:ligatures w14:val="none"/>
              </w:rPr>
            </w:pPr>
            <w:r w:rsidRPr="00951AB1">
              <w:rPr>
                <w:rFonts w:eastAsia="Times New Roman" w:cs="Times New Roman"/>
                <w:b/>
                <w:bCs/>
                <w:color w:val="000000"/>
                <w:kern w:val="0"/>
                <w:sz w:val="14"/>
                <w:szCs w:val="14"/>
                <w:lang w:eastAsia="es-CO"/>
                <w14:ligatures w14:val="none"/>
              </w:rPr>
              <w:t>CONCEPTO</w:t>
            </w:r>
          </w:p>
        </w:tc>
        <w:tc>
          <w:tcPr>
            <w:tcW w:w="0" w:type="auto"/>
            <w:gridSpan w:val="2"/>
            <w:vAlign w:val="center"/>
            <w:hideMark/>
          </w:tcPr>
          <w:p w14:paraId="6C727E18" w14:textId="77777777" w:rsidR="001D13E2" w:rsidRPr="00951AB1" w:rsidRDefault="001D13E2" w:rsidP="000A5389">
            <w:pPr>
              <w:spacing w:line="240" w:lineRule="auto"/>
              <w:jc w:val="center"/>
              <w:rPr>
                <w:rFonts w:eastAsia="Times New Roman" w:cs="Times New Roman"/>
                <w:b/>
                <w:bCs/>
                <w:color w:val="000000"/>
                <w:kern w:val="0"/>
                <w:sz w:val="14"/>
                <w:szCs w:val="14"/>
                <w:lang w:eastAsia="es-CO"/>
                <w14:ligatures w14:val="none"/>
              </w:rPr>
            </w:pPr>
            <w:r w:rsidRPr="00951AB1">
              <w:rPr>
                <w:rFonts w:eastAsia="Times New Roman" w:cs="Times New Roman"/>
                <w:b/>
                <w:bCs/>
                <w:color w:val="000000"/>
                <w:kern w:val="0"/>
                <w:sz w:val="14"/>
                <w:szCs w:val="14"/>
                <w:lang w:eastAsia="es-CO"/>
                <w14:ligatures w14:val="none"/>
              </w:rPr>
              <w:t>SALDOS A CORTES DE VIGENCIA</w:t>
            </w:r>
          </w:p>
        </w:tc>
      </w:tr>
      <w:tr w:rsidR="001D13E2" w:rsidRPr="00951AB1" w14:paraId="7B3C3A18" w14:textId="77777777" w:rsidTr="00E524D3">
        <w:trPr>
          <w:trHeight w:val="413"/>
        </w:trPr>
        <w:tc>
          <w:tcPr>
            <w:tcW w:w="0" w:type="auto"/>
            <w:gridSpan w:val="3"/>
            <w:vAlign w:val="center"/>
          </w:tcPr>
          <w:p w14:paraId="4964FA38" w14:textId="77777777" w:rsidR="001D13E2" w:rsidRPr="00951AB1" w:rsidRDefault="001D13E2" w:rsidP="000A5389">
            <w:pPr>
              <w:spacing w:line="240" w:lineRule="auto"/>
              <w:jc w:val="center"/>
              <w:rPr>
                <w:rFonts w:eastAsia="Times New Roman" w:cs="Times New Roman"/>
                <w:b/>
                <w:bCs/>
                <w:color w:val="000000"/>
                <w:kern w:val="0"/>
                <w:sz w:val="14"/>
                <w:szCs w:val="14"/>
                <w:lang w:eastAsia="es-CO"/>
                <w14:ligatures w14:val="none"/>
              </w:rPr>
            </w:pPr>
            <w:r w:rsidRPr="00951AB1">
              <w:rPr>
                <w:rFonts w:eastAsia="Times New Roman" w:cs="Times New Roman"/>
                <w:b/>
                <w:bCs/>
                <w:color w:val="000000"/>
                <w:kern w:val="0"/>
                <w:sz w:val="14"/>
                <w:szCs w:val="14"/>
                <w:lang w:eastAsia="es-CO"/>
                <w14:ligatures w14:val="none"/>
              </w:rPr>
              <w:t>Tipo de cuenta</w:t>
            </w:r>
          </w:p>
        </w:tc>
        <w:tc>
          <w:tcPr>
            <w:tcW w:w="0" w:type="auto"/>
            <w:vAlign w:val="center"/>
            <w:hideMark/>
          </w:tcPr>
          <w:p w14:paraId="41E01487" w14:textId="77777777" w:rsidR="001D13E2" w:rsidRPr="00951AB1" w:rsidRDefault="001D13E2" w:rsidP="000A5389">
            <w:pPr>
              <w:spacing w:line="240" w:lineRule="auto"/>
              <w:jc w:val="center"/>
              <w:rPr>
                <w:rFonts w:eastAsia="Times New Roman" w:cs="Times New Roman"/>
                <w:b/>
                <w:bCs/>
                <w:color w:val="000000"/>
                <w:kern w:val="0"/>
                <w:sz w:val="14"/>
                <w:szCs w:val="14"/>
                <w:lang w:eastAsia="es-CO"/>
                <w14:ligatures w14:val="none"/>
              </w:rPr>
            </w:pPr>
            <w:r w:rsidRPr="00951AB1">
              <w:rPr>
                <w:rFonts w:eastAsia="Times New Roman" w:cs="Times New Roman"/>
                <w:b/>
                <w:bCs/>
                <w:color w:val="000000"/>
                <w:kern w:val="0"/>
                <w:sz w:val="14"/>
                <w:szCs w:val="14"/>
                <w:lang w:eastAsia="es-CO"/>
                <w14:ligatures w14:val="none"/>
              </w:rPr>
              <w:t>Número de cuenta</w:t>
            </w:r>
          </w:p>
        </w:tc>
        <w:tc>
          <w:tcPr>
            <w:tcW w:w="0" w:type="auto"/>
            <w:vAlign w:val="center"/>
            <w:hideMark/>
          </w:tcPr>
          <w:p w14:paraId="4C80653F" w14:textId="77777777" w:rsidR="001D13E2" w:rsidRPr="00951AB1" w:rsidRDefault="001D13E2" w:rsidP="000A5389">
            <w:pPr>
              <w:spacing w:line="240" w:lineRule="auto"/>
              <w:jc w:val="center"/>
              <w:rPr>
                <w:rFonts w:eastAsia="Times New Roman" w:cs="Times New Roman"/>
                <w:b/>
                <w:bCs/>
                <w:color w:val="000000"/>
                <w:kern w:val="0"/>
                <w:sz w:val="14"/>
                <w:szCs w:val="14"/>
                <w:lang w:eastAsia="es-CO"/>
                <w14:ligatures w14:val="none"/>
              </w:rPr>
            </w:pPr>
            <w:r w:rsidRPr="00951AB1">
              <w:rPr>
                <w:rFonts w:eastAsia="Times New Roman" w:cs="Times New Roman"/>
                <w:b/>
                <w:bCs/>
                <w:color w:val="000000"/>
                <w:kern w:val="0"/>
                <w:sz w:val="14"/>
                <w:szCs w:val="14"/>
                <w:lang w:eastAsia="es-CO"/>
                <w14:ligatures w14:val="none"/>
              </w:rPr>
              <w:t>2025</w:t>
            </w:r>
          </w:p>
        </w:tc>
        <w:tc>
          <w:tcPr>
            <w:tcW w:w="0" w:type="auto"/>
            <w:vAlign w:val="center"/>
            <w:hideMark/>
          </w:tcPr>
          <w:p w14:paraId="74B8F26F" w14:textId="77777777" w:rsidR="001D13E2" w:rsidRPr="00951AB1" w:rsidRDefault="001D13E2" w:rsidP="000A5389">
            <w:pPr>
              <w:spacing w:line="240" w:lineRule="auto"/>
              <w:jc w:val="center"/>
              <w:rPr>
                <w:rFonts w:eastAsia="Times New Roman" w:cs="Times New Roman"/>
                <w:b/>
                <w:bCs/>
                <w:color w:val="000000"/>
                <w:kern w:val="0"/>
                <w:sz w:val="14"/>
                <w:szCs w:val="14"/>
                <w:lang w:eastAsia="es-CO"/>
                <w14:ligatures w14:val="none"/>
              </w:rPr>
            </w:pPr>
            <w:r w:rsidRPr="00951AB1">
              <w:rPr>
                <w:rFonts w:eastAsia="Times New Roman" w:cs="Times New Roman"/>
                <w:b/>
                <w:bCs/>
                <w:color w:val="000000"/>
                <w:kern w:val="0"/>
                <w:sz w:val="14"/>
                <w:szCs w:val="14"/>
                <w:lang w:eastAsia="es-CO"/>
                <w14:ligatures w14:val="none"/>
              </w:rPr>
              <w:t>2024</w:t>
            </w:r>
          </w:p>
        </w:tc>
        <w:tc>
          <w:tcPr>
            <w:tcW w:w="0" w:type="auto"/>
            <w:vAlign w:val="center"/>
            <w:hideMark/>
          </w:tcPr>
          <w:p w14:paraId="76397047" w14:textId="77777777" w:rsidR="001D13E2" w:rsidRPr="00951AB1" w:rsidRDefault="001D13E2" w:rsidP="000A5389">
            <w:pPr>
              <w:spacing w:line="240" w:lineRule="auto"/>
              <w:jc w:val="center"/>
              <w:rPr>
                <w:rFonts w:eastAsia="Times New Roman" w:cs="Times New Roman"/>
                <w:b/>
                <w:bCs/>
                <w:color w:val="000000"/>
                <w:kern w:val="0"/>
                <w:sz w:val="14"/>
                <w:szCs w:val="14"/>
                <w:lang w:eastAsia="es-CO"/>
                <w14:ligatures w14:val="none"/>
              </w:rPr>
            </w:pPr>
            <w:r w:rsidRPr="00951AB1">
              <w:rPr>
                <w:rFonts w:eastAsia="Times New Roman" w:cs="Times New Roman"/>
                <w:b/>
                <w:bCs/>
                <w:color w:val="000000"/>
                <w:kern w:val="0"/>
                <w:sz w:val="14"/>
                <w:szCs w:val="14"/>
                <w:lang w:eastAsia="es-CO"/>
                <w14:ligatures w14:val="none"/>
              </w:rPr>
              <w:t>Tipo de cuenta</w:t>
            </w:r>
          </w:p>
        </w:tc>
        <w:tc>
          <w:tcPr>
            <w:tcW w:w="0" w:type="auto"/>
            <w:vAlign w:val="center"/>
            <w:hideMark/>
          </w:tcPr>
          <w:p w14:paraId="149539A0" w14:textId="77777777" w:rsidR="001D13E2" w:rsidRPr="00951AB1" w:rsidRDefault="001D13E2" w:rsidP="000A5389">
            <w:pPr>
              <w:spacing w:line="240" w:lineRule="auto"/>
              <w:jc w:val="center"/>
              <w:rPr>
                <w:rFonts w:eastAsia="Times New Roman" w:cs="Times New Roman"/>
                <w:b/>
                <w:bCs/>
                <w:color w:val="000000"/>
                <w:kern w:val="0"/>
                <w:sz w:val="14"/>
                <w:szCs w:val="14"/>
                <w:lang w:eastAsia="es-CO"/>
                <w14:ligatures w14:val="none"/>
              </w:rPr>
            </w:pPr>
            <w:r w:rsidRPr="00951AB1">
              <w:rPr>
                <w:rFonts w:eastAsia="Times New Roman" w:cs="Times New Roman"/>
                <w:b/>
                <w:bCs/>
                <w:color w:val="000000"/>
                <w:kern w:val="0"/>
                <w:sz w:val="14"/>
                <w:szCs w:val="14"/>
                <w:lang w:eastAsia="es-CO"/>
                <w14:ligatures w14:val="none"/>
              </w:rPr>
              <w:t>Número de cuenta</w:t>
            </w:r>
          </w:p>
        </w:tc>
        <w:tc>
          <w:tcPr>
            <w:tcW w:w="0" w:type="auto"/>
            <w:vAlign w:val="center"/>
            <w:hideMark/>
          </w:tcPr>
          <w:p w14:paraId="3BD05CE8" w14:textId="77777777" w:rsidR="001D13E2" w:rsidRPr="00951AB1" w:rsidRDefault="001D13E2" w:rsidP="000A5389">
            <w:pPr>
              <w:spacing w:line="240" w:lineRule="auto"/>
              <w:jc w:val="center"/>
              <w:rPr>
                <w:rFonts w:eastAsia="Times New Roman" w:cs="Times New Roman"/>
                <w:b/>
                <w:bCs/>
                <w:color w:val="000000"/>
                <w:kern w:val="0"/>
                <w:sz w:val="14"/>
                <w:szCs w:val="14"/>
                <w:lang w:eastAsia="es-CO"/>
                <w14:ligatures w14:val="none"/>
              </w:rPr>
            </w:pPr>
            <w:r w:rsidRPr="00951AB1">
              <w:rPr>
                <w:rFonts w:eastAsia="Times New Roman" w:cs="Times New Roman"/>
                <w:b/>
                <w:bCs/>
                <w:color w:val="000000"/>
                <w:kern w:val="0"/>
                <w:sz w:val="14"/>
                <w:szCs w:val="14"/>
                <w:lang w:eastAsia="es-CO"/>
                <w14:ligatures w14:val="none"/>
              </w:rPr>
              <w:t>2025</w:t>
            </w:r>
          </w:p>
        </w:tc>
        <w:tc>
          <w:tcPr>
            <w:tcW w:w="0" w:type="auto"/>
            <w:vAlign w:val="center"/>
            <w:hideMark/>
          </w:tcPr>
          <w:p w14:paraId="43890972" w14:textId="77777777" w:rsidR="001D13E2" w:rsidRPr="00951AB1" w:rsidRDefault="001D13E2" w:rsidP="000A5389">
            <w:pPr>
              <w:spacing w:line="240" w:lineRule="auto"/>
              <w:jc w:val="center"/>
              <w:rPr>
                <w:rFonts w:eastAsia="Times New Roman" w:cs="Times New Roman"/>
                <w:b/>
                <w:bCs/>
                <w:color w:val="000000"/>
                <w:kern w:val="0"/>
                <w:sz w:val="14"/>
                <w:szCs w:val="14"/>
                <w:lang w:eastAsia="es-CO"/>
                <w14:ligatures w14:val="none"/>
              </w:rPr>
            </w:pPr>
            <w:r w:rsidRPr="00951AB1">
              <w:rPr>
                <w:rFonts w:eastAsia="Times New Roman" w:cs="Times New Roman"/>
                <w:b/>
                <w:bCs/>
                <w:color w:val="000000"/>
                <w:kern w:val="0"/>
                <w:sz w:val="14"/>
                <w:szCs w:val="14"/>
                <w:lang w:eastAsia="es-CO"/>
                <w14:ligatures w14:val="none"/>
              </w:rPr>
              <w:t>2024</w:t>
            </w:r>
          </w:p>
        </w:tc>
      </w:tr>
      <w:tr w:rsidR="001D13E2" w:rsidRPr="00951AB1" w14:paraId="724735BD" w14:textId="77777777" w:rsidTr="00E524D3">
        <w:trPr>
          <w:trHeight w:val="555"/>
        </w:trPr>
        <w:tc>
          <w:tcPr>
            <w:tcW w:w="0" w:type="auto"/>
            <w:gridSpan w:val="4"/>
            <w:vAlign w:val="center"/>
            <w:hideMark/>
          </w:tcPr>
          <w:p w14:paraId="508DA932" w14:textId="77777777" w:rsidR="001D13E2" w:rsidRPr="00951AB1" w:rsidRDefault="001D13E2" w:rsidP="000A5389">
            <w:pPr>
              <w:spacing w:line="240" w:lineRule="auto"/>
              <w:jc w:val="center"/>
              <w:rPr>
                <w:rFonts w:eastAsia="Times New Roman" w:cs="Times New Roman"/>
                <w:b/>
                <w:bCs/>
                <w:color w:val="000000"/>
                <w:kern w:val="0"/>
                <w:sz w:val="14"/>
                <w:szCs w:val="14"/>
                <w:lang w:eastAsia="es-CO"/>
                <w14:ligatures w14:val="none"/>
              </w:rPr>
            </w:pPr>
            <w:r w:rsidRPr="00951AB1">
              <w:rPr>
                <w:rFonts w:eastAsia="Times New Roman" w:cs="Times New Roman"/>
                <w:b/>
                <w:bCs/>
                <w:color w:val="000000"/>
                <w:kern w:val="0"/>
                <w:sz w:val="14"/>
                <w:szCs w:val="14"/>
                <w:lang w:eastAsia="es-CO"/>
                <w14:ligatures w14:val="none"/>
              </w:rPr>
              <w:t>DEPOSITOS EN INSTITUCIONES FINANCIERAS</w:t>
            </w:r>
          </w:p>
        </w:tc>
        <w:tc>
          <w:tcPr>
            <w:tcW w:w="0" w:type="auto"/>
            <w:noWrap/>
            <w:vAlign w:val="center"/>
            <w:hideMark/>
          </w:tcPr>
          <w:p w14:paraId="65A0D461" w14:textId="77777777" w:rsidR="001D13E2" w:rsidRPr="00951AB1" w:rsidRDefault="001D13E2" w:rsidP="000A5389">
            <w:pPr>
              <w:spacing w:line="240" w:lineRule="auto"/>
              <w:jc w:val="right"/>
              <w:rPr>
                <w:rFonts w:eastAsia="Times New Roman" w:cs="Times New Roman"/>
                <w:b/>
                <w:bCs/>
                <w:color w:val="000000"/>
                <w:kern w:val="0"/>
                <w:sz w:val="14"/>
                <w:szCs w:val="14"/>
                <w:lang w:eastAsia="es-CO"/>
                <w14:ligatures w14:val="none"/>
              </w:rPr>
            </w:pPr>
            <w:r w:rsidRPr="00951AB1">
              <w:rPr>
                <w:rFonts w:eastAsia="Times New Roman" w:cs="Times New Roman"/>
                <w:b/>
                <w:bCs/>
                <w:color w:val="000000"/>
                <w:kern w:val="0"/>
                <w:sz w:val="14"/>
                <w:szCs w:val="14"/>
                <w:lang w:eastAsia="es-CO"/>
                <w14:ligatures w14:val="none"/>
              </w:rPr>
              <w:t>733.148.791</w:t>
            </w:r>
          </w:p>
        </w:tc>
        <w:tc>
          <w:tcPr>
            <w:tcW w:w="0" w:type="auto"/>
            <w:noWrap/>
            <w:vAlign w:val="center"/>
            <w:hideMark/>
          </w:tcPr>
          <w:p w14:paraId="660078AF" w14:textId="77777777" w:rsidR="001D13E2" w:rsidRPr="00951AB1" w:rsidRDefault="001D13E2" w:rsidP="000A5389">
            <w:pPr>
              <w:spacing w:line="240" w:lineRule="auto"/>
              <w:jc w:val="right"/>
              <w:rPr>
                <w:rFonts w:eastAsia="Times New Roman" w:cs="Times New Roman"/>
                <w:b/>
                <w:bCs/>
                <w:color w:val="000000"/>
                <w:kern w:val="0"/>
                <w:sz w:val="14"/>
                <w:szCs w:val="14"/>
                <w:lang w:eastAsia="es-CO"/>
                <w14:ligatures w14:val="none"/>
              </w:rPr>
            </w:pPr>
            <w:r w:rsidRPr="00951AB1">
              <w:rPr>
                <w:rFonts w:eastAsia="Times New Roman" w:cs="Times New Roman"/>
                <w:b/>
                <w:bCs/>
                <w:color w:val="000000"/>
                <w:kern w:val="0"/>
                <w:sz w:val="14"/>
                <w:szCs w:val="14"/>
                <w:lang w:eastAsia="es-CO"/>
                <w14:ligatures w14:val="none"/>
              </w:rPr>
              <w:t>550.733.547</w:t>
            </w:r>
          </w:p>
        </w:tc>
        <w:tc>
          <w:tcPr>
            <w:tcW w:w="0" w:type="auto"/>
            <w:gridSpan w:val="2"/>
            <w:vAlign w:val="center"/>
            <w:hideMark/>
          </w:tcPr>
          <w:p w14:paraId="3B22BD8C" w14:textId="77777777" w:rsidR="001D13E2" w:rsidRPr="00951AB1" w:rsidRDefault="001D13E2" w:rsidP="000A5389">
            <w:pPr>
              <w:spacing w:line="240" w:lineRule="auto"/>
              <w:jc w:val="center"/>
              <w:rPr>
                <w:rFonts w:eastAsia="Times New Roman" w:cs="Times New Roman"/>
                <w:b/>
                <w:bCs/>
                <w:color w:val="000000"/>
                <w:kern w:val="0"/>
                <w:sz w:val="14"/>
                <w:szCs w:val="14"/>
                <w:lang w:eastAsia="es-CO"/>
                <w14:ligatures w14:val="none"/>
              </w:rPr>
            </w:pPr>
            <w:r w:rsidRPr="00951AB1">
              <w:rPr>
                <w:rFonts w:eastAsia="Times New Roman" w:cs="Times New Roman"/>
                <w:b/>
                <w:bCs/>
                <w:color w:val="000000"/>
                <w:kern w:val="0"/>
                <w:sz w:val="14"/>
                <w:szCs w:val="14"/>
                <w:lang w:eastAsia="es-CO"/>
                <w14:ligatures w14:val="none"/>
              </w:rPr>
              <w:t>EFECTIVO DE USO RESTRINGIDO</w:t>
            </w:r>
          </w:p>
        </w:tc>
        <w:tc>
          <w:tcPr>
            <w:tcW w:w="0" w:type="auto"/>
            <w:noWrap/>
            <w:vAlign w:val="center"/>
            <w:hideMark/>
          </w:tcPr>
          <w:p w14:paraId="3ECE73E2" w14:textId="77777777" w:rsidR="001D13E2" w:rsidRPr="00951AB1" w:rsidRDefault="001D13E2" w:rsidP="000A5389">
            <w:pPr>
              <w:spacing w:line="240" w:lineRule="auto"/>
              <w:jc w:val="right"/>
              <w:rPr>
                <w:rFonts w:eastAsia="Times New Roman" w:cs="Times New Roman"/>
                <w:b/>
                <w:bCs/>
                <w:color w:val="000000"/>
                <w:kern w:val="0"/>
                <w:sz w:val="14"/>
                <w:szCs w:val="14"/>
                <w:lang w:eastAsia="es-CO"/>
                <w14:ligatures w14:val="none"/>
              </w:rPr>
            </w:pPr>
            <w:r w:rsidRPr="00951AB1">
              <w:rPr>
                <w:rFonts w:eastAsia="Times New Roman" w:cs="Times New Roman"/>
                <w:b/>
                <w:bCs/>
                <w:color w:val="000000"/>
                <w:kern w:val="0"/>
                <w:sz w:val="14"/>
                <w:szCs w:val="14"/>
                <w:lang w:eastAsia="es-CO"/>
                <w14:ligatures w14:val="none"/>
              </w:rPr>
              <w:t>2.655.258</w:t>
            </w:r>
          </w:p>
        </w:tc>
        <w:tc>
          <w:tcPr>
            <w:tcW w:w="0" w:type="auto"/>
            <w:noWrap/>
            <w:vAlign w:val="center"/>
            <w:hideMark/>
          </w:tcPr>
          <w:p w14:paraId="11407EA5" w14:textId="77777777" w:rsidR="001D13E2" w:rsidRPr="00951AB1" w:rsidRDefault="001D13E2" w:rsidP="000A5389">
            <w:pPr>
              <w:spacing w:line="240" w:lineRule="auto"/>
              <w:jc w:val="right"/>
              <w:rPr>
                <w:rFonts w:eastAsia="Times New Roman" w:cs="Times New Roman"/>
                <w:b/>
                <w:bCs/>
                <w:color w:val="000000"/>
                <w:kern w:val="0"/>
                <w:sz w:val="14"/>
                <w:szCs w:val="14"/>
                <w:lang w:eastAsia="es-CO"/>
                <w14:ligatures w14:val="none"/>
              </w:rPr>
            </w:pPr>
            <w:r w:rsidRPr="00951AB1">
              <w:rPr>
                <w:rFonts w:eastAsia="Times New Roman" w:cs="Times New Roman"/>
                <w:b/>
                <w:bCs/>
                <w:color w:val="000000"/>
                <w:kern w:val="0"/>
                <w:sz w:val="14"/>
                <w:szCs w:val="14"/>
                <w:lang w:eastAsia="es-CO"/>
                <w14:ligatures w14:val="none"/>
              </w:rPr>
              <w:t>2.655.258</w:t>
            </w:r>
          </w:p>
        </w:tc>
      </w:tr>
      <w:tr w:rsidR="001D13E2" w:rsidRPr="00951AB1" w14:paraId="61F0EB2F" w14:textId="77777777" w:rsidTr="00E524D3">
        <w:trPr>
          <w:trHeight w:val="420"/>
        </w:trPr>
        <w:tc>
          <w:tcPr>
            <w:tcW w:w="0" w:type="auto"/>
            <w:noWrap/>
            <w:vAlign w:val="center"/>
            <w:hideMark/>
          </w:tcPr>
          <w:p w14:paraId="30E57D89" w14:textId="77777777" w:rsidR="001D13E2" w:rsidRPr="00951AB1" w:rsidRDefault="001D13E2" w:rsidP="000A5389">
            <w:pPr>
              <w:spacing w:line="240" w:lineRule="auto"/>
              <w:rPr>
                <w:rFonts w:eastAsia="Times New Roman" w:cs="Times New Roman"/>
                <w:color w:val="000000"/>
                <w:kern w:val="0"/>
                <w:sz w:val="14"/>
                <w:szCs w:val="14"/>
                <w:lang w:eastAsia="es-CO"/>
                <w14:ligatures w14:val="none"/>
              </w:rPr>
            </w:pPr>
            <w:r w:rsidRPr="00951AB1">
              <w:rPr>
                <w:rFonts w:eastAsia="Times New Roman" w:cs="Times New Roman"/>
                <w:color w:val="000000"/>
                <w:kern w:val="0"/>
                <w:sz w:val="14"/>
                <w:szCs w:val="14"/>
                <w:lang w:eastAsia="es-CO"/>
                <w14:ligatures w14:val="none"/>
              </w:rPr>
              <w:t>1.1.10.06</w:t>
            </w:r>
          </w:p>
        </w:tc>
        <w:tc>
          <w:tcPr>
            <w:tcW w:w="0" w:type="auto"/>
            <w:noWrap/>
            <w:vAlign w:val="center"/>
            <w:hideMark/>
          </w:tcPr>
          <w:p w14:paraId="6F0DBD92" w14:textId="77777777" w:rsidR="001D13E2" w:rsidRPr="00951AB1" w:rsidRDefault="001D13E2" w:rsidP="000A5389">
            <w:pPr>
              <w:spacing w:line="240" w:lineRule="auto"/>
              <w:jc w:val="center"/>
              <w:rPr>
                <w:rFonts w:eastAsia="Times New Roman" w:cs="Times New Roman"/>
                <w:color w:val="000000"/>
                <w:kern w:val="0"/>
                <w:sz w:val="14"/>
                <w:szCs w:val="14"/>
                <w:lang w:eastAsia="es-CO"/>
                <w14:ligatures w14:val="none"/>
              </w:rPr>
            </w:pPr>
            <w:r w:rsidRPr="00951AB1">
              <w:rPr>
                <w:rFonts w:eastAsia="Times New Roman" w:cs="Times New Roman"/>
                <w:color w:val="000000"/>
                <w:kern w:val="0"/>
                <w:sz w:val="14"/>
                <w:szCs w:val="14"/>
                <w:lang w:eastAsia="es-CO"/>
                <w14:ligatures w14:val="none"/>
              </w:rPr>
              <w:t>Db</w:t>
            </w:r>
          </w:p>
        </w:tc>
        <w:tc>
          <w:tcPr>
            <w:tcW w:w="0" w:type="auto"/>
            <w:noWrap/>
            <w:vAlign w:val="center"/>
            <w:hideMark/>
          </w:tcPr>
          <w:p w14:paraId="7D2E6AD8" w14:textId="77777777" w:rsidR="001D13E2" w:rsidRPr="00951AB1" w:rsidRDefault="001D13E2" w:rsidP="000A5389">
            <w:pPr>
              <w:spacing w:line="240" w:lineRule="auto"/>
              <w:rPr>
                <w:rFonts w:eastAsia="Times New Roman" w:cs="Times New Roman"/>
                <w:color w:val="000000"/>
                <w:kern w:val="0"/>
                <w:sz w:val="14"/>
                <w:szCs w:val="14"/>
                <w:lang w:eastAsia="es-CO"/>
                <w14:ligatures w14:val="none"/>
              </w:rPr>
            </w:pPr>
            <w:r w:rsidRPr="00951AB1">
              <w:rPr>
                <w:rFonts w:eastAsia="Times New Roman" w:cs="Times New Roman"/>
                <w:color w:val="000000"/>
                <w:kern w:val="0"/>
                <w:sz w:val="14"/>
                <w:szCs w:val="14"/>
                <w:lang w:eastAsia="es-CO"/>
                <w14:ligatures w14:val="none"/>
              </w:rPr>
              <w:t>Cuenta de ahorro</w:t>
            </w:r>
          </w:p>
        </w:tc>
        <w:tc>
          <w:tcPr>
            <w:tcW w:w="0" w:type="auto"/>
            <w:noWrap/>
            <w:vAlign w:val="center"/>
            <w:hideMark/>
          </w:tcPr>
          <w:p w14:paraId="78C5D461" w14:textId="77777777" w:rsidR="001D13E2" w:rsidRPr="00951AB1" w:rsidRDefault="001D13E2" w:rsidP="000A5389">
            <w:pPr>
              <w:spacing w:line="240" w:lineRule="auto"/>
              <w:jc w:val="right"/>
              <w:rPr>
                <w:rFonts w:eastAsia="Times New Roman" w:cs="Times New Roman"/>
                <w:color w:val="000000"/>
                <w:kern w:val="0"/>
                <w:sz w:val="14"/>
                <w:szCs w:val="14"/>
                <w:lang w:eastAsia="es-CO"/>
                <w14:ligatures w14:val="none"/>
              </w:rPr>
            </w:pPr>
            <w:r w:rsidRPr="00951AB1">
              <w:rPr>
                <w:rFonts w:eastAsia="Times New Roman" w:cs="Times New Roman"/>
                <w:color w:val="000000"/>
                <w:kern w:val="0"/>
                <w:sz w:val="14"/>
                <w:szCs w:val="14"/>
                <w:lang w:eastAsia="es-CO"/>
                <w14:ligatures w14:val="none"/>
              </w:rPr>
              <w:t>18816489667</w:t>
            </w:r>
          </w:p>
        </w:tc>
        <w:tc>
          <w:tcPr>
            <w:tcW w:w="0" w:type="auto"/>
            <w:noWrap/>
            <w:vAlign w:val="center"/>
            <w:hideMark/>
          </w:tcPr>
          <w:p w14:paraId="58718D70" w14:textId="77777777" w:rsidR="001D13E2" w:rsidRPr="00951AB1" w:rsidRDefault="001D13E2" w:rsidP="000A5389">
            <w:pPr>
              <w:spacing w:line="240" w:lineRule="auto"/>
              <w:jc w:val="right"/>
              <w:rPr>
                <w:rFonts w:eastAsia="Times New Roman" w:cs="Times New Roman"/>
                <w:color w:val="000000"/>
                <w:kern w:val="0"/>
                <w:sz w:val="14"/>
                <w:szCs w:val="14"/>
                <w:lang w:eastAsia="es-CO"/>
                <w14:ligatures w14:val="none"/>
              </w:rPr>
            </w:pPr>
            <w:r w:rsidRPr="00951AB1">
              <w:rPr>
                <w:rFonts w:eastAsia="Times New Roman" w:cs="Times New Roman"/>
                <w:color w:val="000000"/>
                <w:kern w:val="0"/>
                <w:sz w:val="14"/>
                <w:szCs w:val="14"/>
                <w:lang w:eastAsia="es-CO"/>
                <w14:ligatures w14:val="none"/>
              </w:rPr>
              <w:t>393.264.518</w:t>
            </w:r>
          </w:p>
        </w:tc>
        <w:tc>
          <w:tcPr>
            <w:tcW w:w="0" w:type="auto"/>
            <w:noWrap/>
            <w:vAlign w:val="center"/>
            <w:hideMark/>
          </w:tcPr>
          <w:p w14:paraId="174BF9CD" w14:textId="77777777" w:rsidR="001D13E2" w:rsidRPr="00951AB1" w:rsidRDefault="001D13E2" w:rsidP="000A5389">
            <w:pPr>
              <w:spacing w:line="240" w:lineRule="auto"/>
              <w:jc w:val="right"/>
              <w:rPr>
                <w:rFonts w:eastAsia="Times New Roman" w:cs="Times New Roman"/>
                <w:color w:val="000000"/>
                <w:kern w:val="0"/>
                <w:sz w:val="14"/>
                <w:szCs w:val="14"/>
                <w:lang w:eastAsia="es-CO"/>
                <w14:ligatures w14:val="none"/>
              </w:rPr>
            </w:pPr>
            <w:r w:rsidRPr="00951AB1">
              <w:rPr>
                <w:rFonts w:eastAsia="Times New Roman" w:cs="Times New Roman"/>
                <w:color w:val="000000"/>
                <w:kern w:val="0"/>
                <w:sz w:val="14"/>
                <w:szCs w:val="14"/>
                <w:lang w:eastAsia="es-CO"/>
                <w14:ligatures w14:val="none"/>
              </w:rPr>
              <w:t>247.105.781</w:t>
            </w:r>
          </w:p>
        </w:tc>
        <w:tc>
          <w:tcPr>
            <w:tcW w:w="0" w:type="auto"/>
            <w:noWrap/>
            <w:vAlign w:val="center"/>
            <w:hideMark/>
          </w:tcPr>
          <w:p w14:paraId="58BAE777" w14:textId="77777777" w:rsidR="001D13E2" w:rsidRPr="00951AB1" w:rsidRDefault="001D13E2" w:rsidP="000A5389">
            <w:pPr>
              <w:spacing w:line="240" w:lineRule="auto"/>
              <w:rPr>
                <w:rFonts w:eastAsia="Times New Roman" w:cs="Times New Roman"/>
                <w:color w:val="000000"/>
                <w:kern w:val="0"/>
                <w:sz w:val="14"/>
                <w:szCs w:val="14"/>
                <w:lang w:eastAsia="es-CO"/>
                <w14:ligatures w14:val="none"/>
              </w:rPr>
            </w:pPr>
            <w:r w:rsidRPr="00951AB1">
              <w:rPr>
                <w:rFonts w:eastAsia="Times New Roman" w:cs="Times New Roman"/>
                <w:color w:val="000000"/>
                <w:kern w:val="0"/>
                <w:sz w:val="14"/>
                <w:szCs w:val="14"/>
                <w:lang w:eastAsia="es-CO"/>
                <w14:ligatures w14:val="none"/>
              </w:rPr>
              <w:t>Cuenta de ahorro</w:t>
            </w:r>
          </w:p>
        </w:tc>
        <w:tc>
          <w:tcPr>
            <w:tcW w:w="0" w:type="auto"/>
            <w:noWrap/>
            <w:vAlign w:val="center"/>
            <w:hideMark/>
          </w:tcPr>
          <w:p w14:paraId="154EB0B3" w14:textId="77777777" w:rsidR="001D13E2" w:rsidRPr="00951AB1" w:rsidRDefault="001D13E2" w:rsidP="000A5389">
            <w:pPr>
              <w:spacing w:line="240" w:lineRule="auto"/>
              <w:jc w:val="right"/>
              <w:rPr>
                <w:rFonts w:eastAsia="Times New Roman" w:cs="Times New Roman"/>
                <w:color w:val="000000"/>
                <w:kern w:val="0"/>
                <w:sz w:val="14"/>
                <w:szCs w:val="14"/>
                <w:lang w:eastAsia="es-CO"/>
                <w14:ligatures w14:val="none"/>
              </w:rPr>
            </w:pPr>
            <w:r w:rsidRPr="00951AB1">
              <w:rPr>
                <w:rFonts w:eastAsia="Times New Roman" w:cs="Times New Roman"/>
                <w:color w:val="000000"/>
                <w:kern w:val="0"/>
                <w:sz w:val="14"/>
                <w:szCs w:val="14"/>
                <w:lang w:eastAsia="es-CO"/>
                <w14:ligatures w14:val="none"/>
              </w:rPr>
              <w:t>18816489667</w:t>
            </w:r>
          </w:p>
        </w:tc>
        <w:tc>
          <w:tcPr>
            <w:tcW w:w="0" w:type="auto"/>
            <w:noWrap/>
            <w:vAlign w:val="center"/>
            <w:hideMark/>
          </w:tcPr>
          <w:p w14:paraId="06DD8F29" w14:textId="77777777" w:rsidR="001D13E2" w:rsidRPr="00951AB1" w:rsidRDefault="001D13E2" w:rsidP="000A5389">
            <w:pPr>
              <w:spacing w:line="240" w:lineRule="auto"/>
              <w:jc w:val="right"/>
              <w:rPr>
                <w:rFonts w:eastAsia="Times New Roman" w:cs="Times New Roman"/>
                <w:color w:val="000000"/>
                <w:kern w:val="0"/>
                <w:sz w:val="14"/>
                <w:szCs w:val="14"/>
                <w:lang w:eastAsia="es-CO"/>
                <w14:ligatures w14:val="none"/>
              </w:rPr>
            </w:pPr>
            <w:r w:rsidRPr="00951AB1">
              <w:rPr>
                <w:rFonts w:eastAsia="Times New Roman" w:cs="Times New Roman"/>
                <w:color w:val="000000"/>
                <w:kern w:val="0"/>
                <w:sz w:val="14"/>
                <w:szCs w:val="14"/>
                <w:lang w:eastAsia="es-CO"/>
                <w14:ligatures w14:val="none"/>
              </w:rPr>
              <w:t>2.655.258</w:t>
            </w:r>
          </w:p>
        </w:tc>
        <w:tc>
          <w:tcPr>
            <w:tcW w:w="0" w:type="auto"/>
            <w:noWrap/>
            <w:vAlign w:val="center"/>
            <w:hideMark/>
          </w:tcPr>
          <w:p w14:paraId="7CC9B9FC" w14:textId="77777777" w:rsidR="001D13E2" w:rsidRPr="00951AB1" w:rsidRDefault="001D13E2" w:rsidP="000A5389">
            <w:pPr>
              <w:spacing w:line="240" w:lineRule="auto"/>
              <w:jc w:val="right"/>
              <w:rPr>
                <w:rFonts w:eastAsia="Times New Roman" w:cs="Times New Roman"/>
                <w:color w:val="000000"/>
                <w:kern w:val="0"/>
                <w:sz w:val="14"/>
                <w:szCs w:val="14"/>
                <w:lang w:eastAsia="es-CO"/>
                <w14:ligatures w14:val="none"/>
              </w:rPr>
            </w:pPr>
            <w:r w:rsidRPr="00951AB1">
              <w:rPr>
                <w:rFonts w:eastAsia="Times New Roman" w:cs="Times New Roman"/>
                <w:color w:val="000000"/>
                <w:kern w:val="0"/>
                <w:sz w:val="14"/>
                <w:szCs w:val="14"/>
                <w:lang w:eastAsia="es-CO"/>
                <w14:ligatures w14:val="none"/>
              </w:rPr>
              <w:t>2.655.258</w:t>
            </w:r>
          </w:p>
        </w:tc>
      </w:tr>
      <w:tr w:rsidR="001D13E2" w:rsidRPr="00951AB1" w14:paraId="601435B3" w14:textId="77777777" w:rsidTr="001D0619">
        <w:trPr>
          <w:trHeight w:val="574"/>
        </w:trPr>
        <w:tc>
          <w:tcPr>
            <w:tcW w:w="0" w:type="auto"/>
            <w:noWrap/>
            <w:vAlign w:val="center"/>
            <w:hideMark/>
          </w:tcPr>
          <w:p w14:paraId="727B66FA" w14:textId="77777777" w:rsidR="001D13E2" w:rsidRPr="00951AB1" w:rsidRDefault="001D13E2" w:rsidP="000A5389">
            <w:pPr>
              <w:spacing w:line="240" w:lineRule="auto"/>
              <w:rPr>
                <w:rFonts w:eastAsia="Times New Roman" w:cs="Times New Roman"/>
                <w:color w:val="000000"/>
                <w:kern w:val="0"/>
                <w:sz w:val="14"/>
                <w:szCs w:val="14"/>
                <w:lang w:eastAsia="es-CO"/>
                <w14:ligatures w14:val="none"/>
              </w:rPr>
            </w:pPr>
            <w:r w:rsidRPr="00951AB1">
              <w:rPr>
                <w:rFonts w:eastAsia="Times New Roman" w:cs="Times New Roman"/>
                <w:color w:val="000000"/>
                <w:kern w:val="0"/>
                <w:sz w:val="14"/>
                <w:szCs w:val="14"/>
                <w:lang w:eastAsia="es-CO"/>
                <w14:ligatures w14:val="none"/>
              </w:rPr>
              <w:t>1.1.10.05</w:t>
            </w:r>
          </w:p>
        </w:tc>
        <w:tc>
          <w:tcPr>
            <w:tcW w:w="0" w:type="auto"/>
            <w:noWrap/>
            <w:vAlign w:val="center"/>
            <w:hideMark/>
          </w:tcPr>
          <w:p w14:paraId="032A7D29" w14:textId="77777777" w:rsidR="001D13E2" w:rsidRPr="00951AB1" w:rsidRDefault="001D13E2" w:rsidP="000A5389">
            <w:pPr>
              <w:spacing w:line="240" w:lineRule="auto"/>
              <w:jc w:val="center"/>
              <w:rPr>
                <w:rFonts w:eastAsia="Times New Roman" w:cs="Times New Roman"/>
                <w:color w:val="000000"/>
                <w:kern w:val="0"/>
                <w:sz w:val="14"/>
                <w:szCs w:val="14"/>
                <w:lang w:eastAsia="es-CO"/>
                <w14:ligatures w14:val="none"/>
              </w:rPr>
            </w:pPr>
            <w:r w:rsidRPr="00951AB1">
              <w:rPr>
                <w:rFonts w:eastAsia="Times New Roman" w:cs="Times New Roman"/>
                <w:color w:val="000000"/>
                <w:kern w:val="0"/>
                <w:sz w:val="14"/>
                <w:szCs w:val="14"/>
                <w:lang w:eastAsia="es-CO"/>
                <w14:ligatures w14:val="none"/>
              </w:rPr>
              <w:t>Db</w:t>
            </w:r>
          </w:p>
        </w:tc>
        <w:tc>
          <w:tcPr>
            <w:tcW w:w="0" w:type="auto"/>
            <w:noWrap/>
            <w:vAlign w:val="center"/>
            <w:hideMark/>
          </w:tcPr>
          <w:p w14:paraId="10103695" w14:textId="77777777" w:rsidR="001D13E2" w:rsidRPr="00951AB1" w:rsidRDefault="001D13E2" w:rsidP="000A5389">
            <w:pPr>
              <w:spacing w:line="240" w:lineRule="auto"/>
              <w:rPr>
                <w:rFonts w:eastAsia="Times New Roman" w:cs="Times New Roman"/>
                <w:color w:val="000000"/>
                <w:kern w:val="0"/>
                <w:sz w:val="14"/>
                <w:szCs w:val="14"/>
                <w:lang w:eastAsia="es-CO"/>
                <w14:ligatures w14:val="none"/>
              </w:rPr>
            </w:pPr>
            <w:r w:rsidRPr="00951AB1">
              <w:rPr>
                <w:rFonts w:eastAsia="Times New Roman" w:cs="Times New Roman"/>
                <w:color w:val="000000"/>
                <w:kern w:val="0"/>
                <w:sz w:val="14"/>
                <w:szCs w:val="14"/>
                <w:lang w:eastAsia="es-CO"/>
                <w14:ligatures w14:val="none"/>
              </w:rPr>
              <w:t>Cuenta corriente</w:t>
            </w:r>
          </w:p>
        </w:tc>
        <w:tc>
          <w:tcPr>
            <w:tcW w:w="0" w:type="auto"/>
            <w:noWrap/>
            <w:vAlign w:val="center"/>
            <w:hideMark/>
          </w:tcPr>
          <w:p w14:paraId="590ABDCF" w14:textId="77777777" w:rsidR="001D13E2" w:rsidRPr="00951AB1" w:rsidRDefault="001D13E2" w:rsidP="000A5389">
            <w:pPr>
              <w:spacing w:line="240" w:lineRule="auto"/>
              <w:jc w:val="right"/>
              <w:rPr>
                <w:rFonts w:eastAsia="Times New Roman" w:cs="Times New Roman"/>
                <w:color w:val="000000"/>
                <w:kern w:val="0"/>
                <w:sz w:val="14"/>
                <w:szCs w:val="14"/>
                <w:lang w:eastAsia="es-CO"/>
                <w14:ligatures w14:val="none"/>
              </w:rPr>
            </w:pPr>
            <w:r w:rsidRPr="00951AB1">
              <w:rPr>
                <w:rFonts w:eastAsia="Times New Roman" w:cs="Times New Roman"/>
                <w:color w:val="000000"/>
                <w:kern w:val="0"/>
                <w:sz w:val="14"/>
                <w:szCs w:val="14"/>
                <w:lang w:eastAsia="es-CO"/>
                <w14:ligatures w14:val="none"/>
              </w:rPr>
              <w:t>18815273624</w:t>
            </w:r>
          </w:p>
        </w:tc>
        <w:tc>
          <w:tcPr>
            <w:tcW w:w="0" w:type="auto"/>
            <w:noWrap/>
            <w:vAlign w:val="center"/>
            <w:hideMark/>
          </w:tcPr>
          <w:p w14:paraId="0C208A37" w14:textId="49424531" w:rsidR="001D13E2" w:rsidRPr="00951AB1" w:rsidRDefault="001D13E2" w:rsidP="000A5389">
            <w:pPr>
              <w:spacing w:line="240" w:lineRule="auto"/>
              <w:jc w:val="right"/>
              <w:rPr>
                <w:rFonts w:eastAsia="Times New Roman" w:cs="Times New Roman"/>
                <w:color w:val="000000"/>
                <w:kern w:val="0"/>
                <w:sz w:val="14"/>
                <w:szCs w:val="14"/>
                <w:lang w:eastAsia="es-CO"/>
                <w14:ligatures w14:val="none"/>
              </w:rPr>
            </w:pPr>
            <w:r w:rsidRPr="00951AB1">
              <w:rPr>
                <w:rFonts w:eastAsia="Times New Roman" w:cs="Times New Roman"/>
                <w:color w:val="000000"/>
                <w:kern w:val="0"/>
                <w:sz w:val="14"/>
                <w:szCs w:val="14"/>
                <w:lang w:eastAsia="es-CO"/>
                <w14:ligatures w14:val="none"/>
              </w:rPr>
              <w:t>339.884.27</w:t>
            </w:r>
            <w:r w:rsidR="4B123A9D" w:rsidRPr="00951AB1">
              <w:rPr>
                <w:rFonts w:eastAsia="Times New Roman" w:cs="Times New Roman"/>
                <w:color w:val="000000"/>
                <w:kern w:val="0"/>
                <w:sz w:val="14"/>
                <w:szCs w:val="14"/>
                <w:lang w:eastAsia="es-CO"/>
                <w14:ligatures w14:val="none"/>
              </w:rPr>
              <w:t>3</w:t>
            </w:r>
          </w:p>
        </w:tc>
        <w:tc>
          <w:tcPr>
            <w:tcW w:w="0" w:type="auto"/>
            <w:noWrap/>
            <w:vAlign w:val="center"/>
            <w:hideMark/>
          </w:tcPr>
          <w:p w14:paraId="5763158E" w14:textId="77777777" w:rsidR="001D13E2" w:rsidRPr="00951AB1" w:rsidRDefault="001D13E2" w:rsidP="000A5389">
            <w:pPr>
              <w:spacing w:line="240" w:lineRule="auto"/>
              <w:jc w:val="right"/>
              <w:rPr>
                <w:rFonts w:eastAsia="Times New Roman" w:cs="Times New Roman"/>
                <w:color w:val="000000"/>
                <w:kern w:val="0"/>
                <w:sz w:val="14"/>
                <w:szCs w:val="14"/>
                <w:lang w:eastAsia="es-CO"/>
                <w14:ligatures w14:val="none"/>
              </w:rPr>
            </w:pPr>
            <w:r w:rsidRPr="00951AB1">
              <w:rPr>
                <w:rFonts w:eastAsia="Times New Roman" w:cs="Times New Roman"/>
                <w:color w:val="000000"/>
                <w:kern w:val="0"/>
                <w:sz w:val="14"/>
                <w:szCs w:val="14"/>
                <w:lang w:eastAsia="es-CO"/>
                <w14:ligatures w14:val="none"/>
              </w:rPr>
              <w:t>303.627.766</w:t>
            </w:r>
          </w:p>
        </w:tc>
        <w:tc>
          <w:tcPr>
            <w:tcW w:w="0" w:type="auto"/>
            <w:noWrap/>
            <w:vAlign w:val="center"/>
            <w:hideMark/>
          </w:tcPr>
          <w:p w14:paraId="0F3EBD8F" w14:textId="77777777" w:rsidR="001D13E2" w:rsidRPr="00951AB1" w:rsidRDefault="001D13E2" w:rsidP="000A5389">
            <w:pPr>
              <w:spacing w:line="240" w:lineRule="auto"/>
              <w:rPr>
                <w:rFonts w:eastAsia="Times New Roman" w:cs="Times New Roman"/>
                <w:color w:val="000000"/>
                <w:kern w:val="0"/>
                <w:sz w:val="14"/>
                <w:szCs w:val="14"/>
                <w:lang w:eastAsia="es-CO"/>
                <w14:ligatures w14:val="none"/>
              </w:rPr>
            </w:pPr>
            <w:r w:rsidRPr="00951AB1">
              <w:rPr>
                <w:rFonts w:eastAsia="Times New Roman" w:cs="Times New Roman"/>
                <w:color w:val="000000"/>
                <w:kern w:val="0"/>
                <w:sz w:val="14"/>
                <w:szCs w:val="14"/>
                <w:lang w:eastAsia="es-CO"/>
                <w14:ligatures w14:val="none"/>
              </w:rPr>
              <w:t>Cuenta corriente</w:t>
            </w:r>
          </w:p>
        </w:tc>
        <w:tc>
          <w:tcPr>
            <w:tcW w:w="0" w:type="auto"/>
            <w:noWrap/>
            <w:vAlign w:val="center"/>
            <w:hideMark/>
          </w:tcPr>
          <w:p w14:paraId="74FAC9AC" w14:textId="77777777" w:rsidR="001D13E2" w:rsidRPr="00951AB1" w:rsidRDefault="001D13E2" w:rsidP="000A5389">
            <w:pPr>
              <w:spacing w:line="240" w:lineRule="auto"/>
              <w:jc w:val="right"/>
              <w:rPr>
                <w:rFonts w:eastAsia="Times New Roman" w:cs="Times New Roman"/>
                <w:color w:val="000000"/>
                <w:kern w:val="0"/>
                <w:sz w:val="14"/>
                <w:szCs w:val="14"/>
                <w:lang w:eastAsia="es-CO"/>
                <w14:ligatures w14:val="none"/>
              </w:rPr>
            </w:pPr>
            <w:r w:rsidRPr="00951AB1">
              <w:rPr>
                <w:rFonts w:eastAsia="Times New Roman" w:cs="Times New Roman"/>
                <w:color w:val="000000"/>
                <w:kern w:val="0"/>
                <w:sz w:val="14"/>
                <w:szCs w:val="14"/>
                <w:lang w:eastAsia="es-CO"/>
                <w14:ligatures w14:val="none"/>
              </w:rPr>
              <w:t>18815273624</w:t>
            </w:r>
          </w:p>
        </w:tc>
        <w:tc>
          <w:tcPr>
            <w:tcW w:w="0" w:type="auto"/>
            <w:noWrap/>
            <w:vAlign w:val="center"/>
            <w:hideMark/>
          </w:tcPr>
          <w:p w14:paraId="5417CA90" w14:textId="77777777" w:rsidR="001D13E2" w:rsidRPr="00951AB1" w:rsidRDefault="001D13E2" w:rsidP="000A5389">
            <w:pPr>
              <w:spacing w:line="240" w:lineRule="auto"/>
              <w:jc w:val="right"/>
              <w:rPr>
                <w:rFonts w:eastAsia="Times New Roman" w:cs="Times New Roman"/>
                <w:color w:val="000000"/>
                <w:kern w:val="0"/>
                <w:sz w:val="14"/>
                <w:szCs w:val="14"/>
                <w:lang w:eastAsia="es-CO"/>
                <w14:ligatures w14:val="none"/>
              </w:rPr>
            </w:pPr>
            <w:r w:rsidRPr="00951AB1">
              <w:rPr>
                <w:rFonts w:eastAsia="Times New Roman" w:cs="Times New Roman"/>
                <w:color w:val="000000"/>
                <w:kern w:val="0"/>
                <w:sz w:val="14"/>
                <w:szCs w:val="14"/>
                <w:lang w:eastAsia="es-CO"/>
                <w14:ligatures w14:val="none"/>
              </w:rPr>
              <w:t>0</w:t>
            </w:r>
          </w:p>
        </w:tc>
        <w:tc>
          <w:tcPr>
            <w:tcW w:w="0" w:type="auto"/>
            <w:noWrap/>
            <w:vAlign w:val="center"/>
            <w:hideMark/>
          </w:tcPr>
          <w:p w14:paraId="2FC2D28D" w14:textId="77777777" w:rsidR="001D13E2" w:rsidRPr="00951AB1" w:rsidRDefault="001D13E2" w:rsidP="000A5389">
            <w:pPr>
              <w:spacing w:line="240" w:lineRule="auto"/>
              <w:jc w:val="right"/>
              <w:rPr>
                <w:rFonts w:eastAsia="Times New Roman" w:cs="Times New Roman"/>
                <w:color w:val="000000"/>
                <w:kern w:val="0"/>
                <w:sz w:val="14"/>
                <w:szCs w:val="14"/>
                <w:lang w:eastAsia="es-CO"/>
                <w14:ligatures w14:val="none"/>
              </w:rPr>
            </w:pPr>
            <w:r w:rsidRPr="00951AB1">
              <w:rPr>
                <w:rFonts w:eastAsia="Times New Roman" w:cs="Times New Roman"/>
                <w:color w:val="000000"/>
                <w:kern w:val="0"/>
                <w:sz w:val="14"/>
                <w:szCs w:val="14"/>
                <w:lang w:eastAsia="es-CO"/>
                <w14:ligatures w14:val="none"/>
              </w:rPr>
              <w:t>0</w:t>
            </w:r>
          </w:p>
        </w:tc>
      </w:tr>
    </w:tbl>
    <w:p w14:paraId="57717A13" w14:textId="77777777" w:rsidR="001D13E2" w:rsidRPr="00951AB1" w:rsidRDefault="001D13E2" w:rsidP="000A5389">
      <w:pPr>
        <w:spacing w:line="240" w:lineRule="auto"/>
        <w:rPr>
          <w:rFonts w:eastAsia="Times New Roman" w:cs="Times New Roman"/>
          <w:szCs w:val="24"/>
        </w:rPr>
      </w:pPr>
      <w:r w:rsidRPr="00951AB1">
        <w:rPr>
          <w:rFonts w:eastAsia="Times New Roman" w:cs="Times New Roman"/>
          <w:sz w:val="16"/>
          <w:szCs w:val="16"/>
        </w:rPr>
        <w:t>Cifras expresadas en pesos</w:t>
      </w:r>
    </w:p>
    <w:p w14:paraId="0E194A80" w14:textId="231633C4" w:rsidR="00E53995" w:rsidRDefault="00E53995" w:rsidP="000A5389">
      <w:pPr>
        <w:pStyle w:val="Prrafodelista"/>
        <w:spacing w:line="240" w:lineRule="auto"/>
        <w:ind w:left="360"/>
        <w:rPr>
          <w:rFonts w:cs="Times New Roman"/>
          <w:szCs w:val="24"/>
        </w:rPr>
      </w:pPr>
    </w:p>
    <w:p w14:paraId="361C2F47" w14:textId="77777777" w:rsidR="001D0619" w:rsidRDefault="001D0619" w:rsidP="000A5389">
      <w:pPr>
        <w:pStyle w:val="Prrafodelista"/>
        <w:spacing w:line="240" w:lineRule="auto"/>
        <w:ind w:left="360"/>
        <w:rPr>
          <w:rFonts w:cs="Times New Roman"/>
          <w:szCs w:val="24"/>
        </w:rPr>
      </w:pPr>
    </w:p>
    <w:p w14:paraId="4C17DCA0" w14:textId="77777777" w:rsidR="001D0619" w:rsidRPr="00951AB1" w:rsidRDefault="001D0619" w:rsidP="000A5389">
      <w:pPr>
        <w:pStyle w:val="Prrafodelista"/>
        <w:spacing w:line="240" w:lineRule="auto"/>
        <w:ind w:left="360"/>
        <w:rPr>
          <w:rFonts w:cs="Times New Roman"/>
          <w:szCs w:val="24"/>
        </w:rPr>
      </w:pPr>
    </w:p>
    <w:p w14:paraId="7B4BBFDA" w14:textId="7085C745" w:rsidR="00E53995" w:rsidRPr="00951AB1" w:rsidRDefault="00E53995" w:rsidP="000A5389">
      <w:pPr>
        <w:pStyle w:val="Ttulo1"/>
        <w:spacing w:line="240" w:lineRule="auto"/>
        <w:rPr>
          <w:rFonts w:cs="Times New Roman"/>
          <w:sz w:val="24"/>
          <w:szCs w:val="24"/>
        </w:rPr>
      </w:pPr>
      <w:bookmarkStart w:id="213" w:name="_Toc191369498"/>
      <w:bookmarkStart w:id="214" w:name="_Toc191456828"/>
      <w:bookmarkStart w:id="215" w:name="_Toc191456938"/>
      <w:bookmarkStart w:id="216" w:name="_Toc191457048"/>
      <w:bookmarkStart w:id="217" w:name="_Toc191475675"/>
      <w:bookmarkStart w:id="218" w:name="_Toc191475784"/>
      <w:bookmarkStart w:id="219" w:name="_Toc191475893"/>
      <w:bookmarkStart w:id="220" w:name="_Toc191475416"/>
      <w:bookmarkStart w:id="221" w:name="_Toc191505792"/>
      <w:bookmarkStart w:id="222" w:name="_Toc222824104"/>
      <w:bookmarkStart w:id="223" w:name="_Toc222955470"/>
      <w:r w:rsidRPr="00951AB1">
        <w:rPr>
          <w:rFonts w:cs="Times New Roman"/>
          <w:sz w:val="24"/>
          <w:szCs w:val="24"/>
        </w:rPr>
        <w:t xml:space="preserve">NOTA </w:t>
      </w:r>
      <w:r w:rsidR="001F1558" w:rsidRPr="00951AB1">
        <w:rPr>
          <w:rFonts w:cs="Times New Roman"/>
          <w:sz w:val="24"/>
          <w:szCs w:val="24"/>
        </w:rPr>
        <w:t>7</w:t>
      </w:r>
      <w:r w:rsidRPr="00951AB1">
        <w:rPr>
          <w:rFonts w:cs="Times New Roman"/>
          <w:sz w:val="24"/>
          <w:szCs w:val="24"/>
        </w:rPr>
        <w:t>. CUENTAS POR COBRAR</w:t>
      </w:r>
      <w:bookmarkEnd w:id="213"/>
      <w:bookmarkEnd w:id="214"/>
      <w:bookmarkEnd w:id="215"/>
      <w:bookmarkEnd w:id="216"/>
      <w:bookmarkEnd w:id="217"/>
      <w:bookmarkEnd w:id="218"/>
      <w:bookmarkEnd w:id="219"/>
      <w:bookmarkEnd w:id="220"/>
      <w:bookmarkEnd w:id="221"/>
      <w:bookmarkEnd w:id="222"/>
      <w:bookmarkEnd w:id="223"/>
    </w:p>
    <w:p w14:paraId="240C069B" w14:textId="77777777" w:rsidR="00E53995" w:rsidRPr="00951AB1" w:rsidRDefault="00E53995" w:rsidP="000A5389">
      <w:pPr>
        <w:pStyle w:val="Prrafodelista"/>
        <w:spacing w:line="240" w:lineRule="auto"/>
        <w:ind w:left="360"/>
        <w:rPr>
          <w:rFonts w:cs="Times New Roman"/>
          <w:b/>
          <w:szCs w:val="24"/>
        </w:rPr>
      </w:pPr>
    </w:p>
    <w:p w14:paraId="7C663E3F" w14:textId="12DAC73C" w:rsidR="00E53995" w:rsidRPr="00951AB1" w:rsidRDefault="00E53995" w:rsidP="000A5389">
      <w:pPr>
        <w:pStyle w:val="Ttulo2"/>
        <w:numPr>
          <w:ilvl w:val="0"/>
          <w:numId w:val="0"/>
        </w:numPr>
        <w:spacing w:line="240" w:lineRule="auto"/>
        <w:rPr>
          <w:rFonts w:cs="Times New Roman"/>
        </w:rPr>
      </w:pPr>
      <w:bookmarkStart w:id="224" w:name="_Toc191369499"/>
      <w:bookmarkStart w:id="225" w:name="_Toc191456829"/>
      <w:bookmarkStart w:id="226" w:name="_Toc191456939"/>
      <w:bookmarkStart w:id="227" w:name="_Toc191457049"/>
      <w:bookmarkStart w:id="228" w:name="_Toc191475676"/>
      <w:bookmarkStart w:id="229" w:name="_Toc191475785"/>
      <w:bookmarkStart w:id="230" w:name="_Toc191475894"/>
      <w:bookmarkStart w:id="231" w:name="_Toc191475417"/>
      <w:bookmarkStart w:id="232" w:name="_Toc191505793"/>
      <w:bookmarkStart w:id="233" w:name="_Toc222824105"/>
      <w:bookmarkStart w:id="234" w:name="_Toc222955471"/>
      <w:r w:rsidRPr="00951AB1">
        <w:rPr>
          <w:rFonts w:cs="Times New Roman"/>
        </w:rPr>
        <w:t>Composición</w:t>
      </w:r>
      <w:bookmarkEnd w:id="224"/>
      <w:bookmarkEnd w:id="225"/>
      <w:bookmarkEnd w:id="226"/>
      <w:bookmarkEnd w:id="227"/>
      <w:bookmarkEnd w:id="228"/>
      <w:bookmarkEnd w:id="229"/>
      <w:bookmarkEnd w:id="230"/>
      <w:bookmarkEnd w:id="231"/>
      <w:bookmarkEnd w:id="232"/>
      <w:bookmarkEnd w:id="233"/>
      <w:bookmarkEnd w:id="234"/>
    </w:p>
    <w:p w14:paraId="3C8A3D33" w14:textId="77777777" w:rsidR="005E64D9" w:rsidRPr="00951AB1" w:rsidRDefault="005E64D9" w:rsidP="000A5389">
      <w:pPr>
        <w:autoSpaceDE w:val="0"/>
        <w:autoSpaceDN w:val="0"/>
        <w:adjustRightInd w:val="0"/>
        <w:spacing w:line="240" w:lineRule="auto"/>
        <w:rPr>
          <w:rFonts w:cs="Times New Roman"/>
          <w:szCs w:val="24"/>
        </w:rPr>
      </w:pPr>
    </w:p>
    <w:p w14:paraId="4FADDCE0" w14:textId="70BDCDBA" w:rsidR="005E64D9" w:rsidRPr="00951AB1" w:rsidRDefault="005E64D9" w:rsidP="000A5389">
      <w:pPr>
        <w:autoSpaceDE w:val="0"/>
        <w:autoSpaceDN w:val="0"/>
        <w:adjustRightInd w:val="0"/>
        <w:spacing w:line="240" w:lineRule="auto"/>
        <w:rPr>
          <w:rFonts w:cs="Times New Roman"/>
          <w:szCs w:val="24"/>
        </w:rPr>
      </w:pPr>
      <w:r w:rsidRPr="00951AB1">
        <w:rPr>
          <w:rFonts w:cs="Times New Roman"/>
          <w:szCs w:val="24"/>
        </w:rPr>
        <w:t>Se reconocen como cuentas por cobrar, los derechos a favor de la entidad adquiridos en desarrollo de sus actividades, de los cuales se espera, a futuro, la entrada de un flujo financiero fijo o determinable, a través de efectivo, equivalentes al efectivo u otro instrumento. Estas partidas incluyen los derechos originados en transacciones con y sin contraprestación.</w:t>
      </w:r>
    </w:p>
    <w:p w14:paraId="5BFF6201" w14:textId="77777777" w:rsidR="005E64D9" w:rsidRPr="00951AB1" w:rsidRDefault="005E64D9" w:rsidP="000A5389">
      <w:pPr>
        <w:autoSpaceDE w:val="0"/>
        <w:autoSpaceDN w:val="0"/>
        <w:adjustRightInd w:val="0"/>
        <w:spacing w:line="240" w:lineRule="auto"/>
        <w:rPr>
          <w:rFonts w:cs="Times New Roman"/>
          <w:szCs w:val="24"/>
        </w:rPr>
      </w:pPr>
    </w:p>
    <w:p w14:paraId="6F8F04F2" w14:textId="6098293C" w:rsidR="005E64D9" w:rsidRPr="00951AB1" w:rsidRDefault="005E64D9" w:rsidP="000A5389">
      <w:pPr>
        <w:autoSpaceDE w:val="0"/>
        <w:autoSpaceDN w:val="0"/>
        <w:adjustRightInd w:val="0"/>
        <w:spacing w:line="240" w:lineRule="auto"/>
        <w:rPr>
          <w:rFonts w:cs="Times New Roman"/>
          <w:szCs w:val="24"/>
        </w:rPr>
      </w:pPr>
      <w:r w:rsidRPr="00951AB1">
        <w:rPr>
          <w:rFonts w:eastAsiaTheme="minorEastAsia" w:cs="Times New Roman"/>
          <w:szCs w:val="24"/>
        </w:rPr>
        <w:lastRenderedPageBreak/>
        <w:t xml:space="preserve">Las cuentas por cobrar se clasifican al costo y se miden por el valor de la transacción, determinado en los soportes documentales correspondientes. </w:t>
      </w:r>
      <w:r w:rsidRPr="00951AB1">
        <w:rPr>
          <w:rFonts w:cs="Times New Roman"/>
          <w:szCs w:val="24"/>
        </w:rPr>
        <w:t>Cuando existan operaciones en moneda extranjera, las transacciones se reconocerán utilizando la tasa de cambio a el peso colombiano en la fecha de transacción. A continuación, se presenta la composición de las cuentas por cobrar comparando los años 2025 y 2024:</w:t>
      </w:r>
    </w:p>
    <w:p w14:paraId="588DFDD5" w14:textId="77777777" w:rsidR="00B75A18" w:rsidRPr="00951AB1" w:rsidRDefault="00B75A18" w:rsidP="000A5389">
      <w:pPr>
        <w:spacing w:line="240" w:lineRule="auto"/>
        <w:rPr>
          <w:rFonts w:cs="Times New Roman"/>
          <w:szCs w:val="24"/>
        </w:rPr>
      </w:pPr>
    </w:p>
    <w:tbl>
      <w:tblPr>
        <w:tblW w:w="5000" w:type="pct"/>
        <w:tblLayout w:type="fixed"/>
        <w:tblLook w:val="04A0" w:firstRow="1" w:lastRow="0" w:firstColumn="1" w:lastColumn="0" w:noHBand="0" w:noVBand="1"/>
      </w:tblPr>
      <w:tblGrid>
        <w:gridCol w:w="1124"/>
        <w:gridCol w:w="712"/>
        <w:gridCol w:w="2973"/>
        <w:gridCol w:w="1418"/>
        <w:gridCol w:w="1277"/>
        <w:gridCol w:w="1314"/>
      </w:tblGrid>
      <w:tr w:rsidR="005E64D9" w:rsidRPr="00951AB1" w14:paraId="495321F7" w14:textId="77777777" w:rsidTr="005E64D9">
        <w:trPr>
          <w:trHeight w:val="340"/>
          <w:tblHeader/>
        </w:trPr>
        <w:tc>
          <w:tcPr>
            <w:tcW w:w="2727" w:type="pct"/>
            <w:gridSpan w:val="3"/>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tcMar>
              <w:left w:w="70" w:type="dxa"/>
              <w:right w:w="70" w:type="dxa"/>
            </w:tcMar>
            <w:vAlign w:val="center"/>
          </w:tcPr>
          <w:p w14:paraId="02F80990" w14:textId="77777777" w:rsidR="005E64D9" w:rsidRPr="00951AB1" w:rsidRDefault="005E64D9" w:rsidP="000A5389">
            <w:pPr>
              <w:spacing w:line="240" w:lineRule="auto"/>
              <w:jc w:val="center"/>
              <w:rPr>
                <w:rFonts w:cs="Times New Roman"/>
              </w:rPr>
            </w:pPr>
            <w:r w:rsidRPr="00951AB1">
              <w:rPr>
                <w:rFonts w:eastAsia="Times New Roman" w:cs="Times New Roman"/>
                <w:b/>
                <w:bCs/>
                <w:color w:val="000000" w:themeColor="text1"/>
                <w:sz w:val="16"/>
                <w:szCs w:val="16"/>
              </w:rPr>
              <w:t>DESCRIPCIÓN</w:t>
            </w:r>
          </w:p>
        </w:tc>
        <w:tc>
          <w:tcPr>
            <w:tcW w:w="1528" w:type="pct"/>
            <w:gridSpan w:val="2"/>
            <w:tcBorders>
              <w:top w:val="single" w:sz="8" w:space="0" w:color="A6A6A6" w:themeColor="background1" w:themeShade="A6"/>
              <w:left w:val="nil"/>
              <w:bottom w:val="single" w:sz="8" w:space="0" w:color="A6A6A6" w:themeColor="background1" w:themeShade="A6"/>
              <w:right w:val="single" w:sz="8" w:space="0" w:color="A6A6A6" w:themeColor="background1" w:themeShade="A6"/>
            </w:tcBorders>
            <w:tcMar>
              <w:left w:w="70" w:type="dxa"/>
              <w:right w:w="70" w:type="dxa"/>
            </w:tcMar>
            <w:vAlign w:val="center"/>
          </w:tcPr>
          <w:p w14:paraId="009380CE" w14:textId="77777777" w:rsidR="005E64D9" w:rsidRPr="00951AB1" w:rsidRDefault="005E64D9" w:rsidP="000A5389">
            <w:pPr>
              <w:spacing w:line="240" w:lineRule="auto"/>
              <w:jc w:val="center"/>
              <w:rPr>
                <w:rFonts w:cs="Times New Roman"/>
              </w:rPr>
            </w:pPr>
            <w:r w:rsidRPr="00951AB1">
              <w:rPr>
                <w:rFonts w:eastAsia="Times New Roman" w:cs="Times New Roman"/>
                <w:b/>
                <w:bCs/>
                <w:color w:val="000000" w:themeColor="text1"/>
                <w:sz w:val="16"/>
                <w:szCs w:val="16"/>
              </w:rPr>
              <w:t>SALDOS A CORTES DE VIGENCIA</w:t>
            </w:r>
          </w:p>
        </w:tc>
        <w:tc>
          <w:tcPr>
            <w:tcW w:w="745" w:type="pct"/>
            <w:tcBorders>
              <w:top w:val="single" w:sz="8" w:space="0" w:color="A6A6A6" w:themeColor="background1" w:themeShade="A6"/>
              <w:left w:val="nil"/>
              <w:bottom w:val="single" w:sz="8" w:space="0" w:color="A6A6A6" w:themeColor="background1" w:themeShade="A6"/>
              <w:right w:val="single" w:sz="8" w:space="0" w:color="A6A6A6" w:themeColor="background1" w:themeShade="A6"/>
            </w:tcBorders>
            <w:tcMar>
              <w:left w:w="70" w:type="dxa"/>
              <w:right w:w="70" w:type="dxa"/>
            </w:tcMar>
            <w:vAlign w:val="center"/>
          </w:tcPr>
          <w:p w14:paraId="35C107C0" w14:textId="77777777" w:rsidR="005E64D9" w:rsidRPr="00951AB1" w:rsidRDefault="005E64D9" w:rsidP="000A5389">
            <w:pPr>
              <w:spacing w:line="240" w:lineRule="auto"/>
              <w:jc w:val="center"/>
              <w:rPr>
                <w:rFonts w:cs="Times New Roman"/>
              </w:rPr>
            </w:pPr>
            <w:r w:rsidRPr="00951AB1">
              <w:rPr>
                <w:rFonts w:eastAsia="Times New Roman" w:cs="Times New Roman"/>
                <w:b/>
                <w:bCs/>
                <w:color w:val="000000" w:themeColor="text1"/>
                <w:sz w:val="16"/>
                <w:szCs w:val="16"/>
              </w:rPr>
              <w:t>VARIACIÓN</w:t>
            </w:r>
          </w:p>
        </w:tc>
      </w:tr>
      <w:tr w:rsidR="005E64D9" w:rsidRPr="00951AB1" w14:paraId="0DC98093" w14:textId="77777777" w:rsidTr="005E64D9">
        <w:trPr>
          <w:trHeight w:val="340"/>
          <w:tblHeader/>
        </w:trPr>
        <w:tc>
          <w:tcPr>
            <w:tcW w:w="637" w:type="pct"/>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tcMar>
              <w:left w:w="70" w:type="dxa"/>
              <w:right w:w="70" w:type="dxa"/>
            </w:tcMar>
            <w:vAlign w:val="center"/>
          </w:tcPr>
          <w:p w14:paraId="154AE9EF" w14:textId="77777777" w:rsidR="005E64D9" w:rsidRPr="00951AB1" w:rsidRDefault="005E64D9" w:rsidP="000A5389">
            <w:pPr>
              <w:spacing w:line="240" w:lineRule="auto"/>
              <w:jc w:val="center"/>
              <w:rPr>
                <w:rFonts w:cs="Times New Roman"/>
              </w:rPr>
            </w:pPr>
            <w:r w:rsidRPr="00951AB1">
              <w:rPr>
                <w:rFonts w:eastAsia="Times New Roman" w:cs="Times New Roman"/>
                <w:b/>
                <w:bCs/>
                <w:color w:val="000000" w:themeColor="text1"/>
                <w:sz w:val="16"/>
                <w:szCs w:val="16"/>
              </w:rPr>
              <w:t>CÓDIGO CONTABLE</w:t>
            </w:r>
          </w:p>
        </w:tc>
        <w:tc>
          <w:tcPr>
            <w:tcW w:w="404" w:type="pct"/>
            <w:tcBorders>
              <w:top w:val="nil"/>
              <w:left w:val="single" w:sz="8" w:space="0" w:color="A6A6A6" w:themeColor="background1" w:themeShade="A6"/>
              <w:bottom w:val="single" w:sz="8" w:space="0" w:color="A6A6A6" w:themeColor="background1" w:themeShade="A6"/>
              <w:right w:val="single" w:sz="8" w:space="0" w:color="A6A6A6" w:themeColor="background1" w:themeShade="A6"/>
            </w:tcBorders>
            <w:tcMar>
              <w:left w:w="70" w:type="dxa"/>
              <w:right w:w="70" w:type="dxa"/>
            </w:tcMar>
            <w:vAlign w:val="center"/>
          </w:tcPr>
          <w:p w14:paraId="75FD2A32" w14:textId="77777777" w:rsidR="005E64D9" w:rsidRPr="00951AB1" w:rsidRDefault="005E64D9" w:rsidP="000A5389">
            <w:pPr>
              <w:spacing w:line="240" w:lineRule="auto"/>
              <w:jc w:val="center"/>
              <w:rPr>
                <w:rFonts w:cs="Times New Roman"/>
              </w:rPr>
            </w:pPr>
            <w:r w:rsidRPr="00951AB1">
              <w:rPr>
                <w:rFonts w:eastAsia="Times New Roman" w:cs="Times New Roman"/>
                <w:b/>
                <w:bCs/>
                <w:color w:val="000000" w:themeColor="text1"/>
                <w:sz w:val="16"/>
                <w:szCs w:val="16"/>
              </w:rPr>
              <w:t>NAT</w:t>
            </w:r>
          </w:p>
        </w:tc>
        <w:tc>
          <w:tcPr>
            <w:tcW w:w="1686" w:type="pct"/>
            <w:tcBorders>
              <w:top w:val="nil"/>
              <w:left w:val="single" w:sz="8" w:space="0" w:color="A6A6A6" w:themeColor="background1" w:themeShade="A6"/>
              <w:bottom w:val="single" w:sz="8" w:space="0" w:color="A6A6A6" w:themeColor="background1" w:themeShade="A6"/>
              <w:right w:val="single" w:sz="8" w:space="0" w:color="A6A6A6" w:themeColor="background1" w:themeShade="A6"/>
            </w:tcBorders>
            <w:tcMar>
              <w:left w:w="70" w:type="dxa"/>
              <w:right w:w="70" w:type="dxa"/>
            </w:tcMar>
            <w:vAlign w:val="center"/>
          </w:tcPr>
          <w:p w14:paraId="0C48BF19" w14:textId="77777777" w:rsidR="005E64D9" w:rsidRPr="00951AB1" w:rsidRDefault="005E64D9" w:rsidP="000A5389">
            <w:pPr>
              <w:spacing w:line="240" w:lineRule="auto"/>
              <w:jc w:val="center"/>
              <w:rPr>
                <w:rFonts w:cs="Times New Roman"/>
              </w:rPr>
            </w:pPr>
            <w:r w:rsidRPr="00951AB1">
              <w:rPr>
                <w:rFonts w:eastAsia="Times New Roman" w:cs="Times New Roman"/>
                <w:b/>
                <w:bCs/>
                <w:color w:val="000000" w:themeColor="text1"/>
                <w:sz w:val="16"/>
                <w:szCs w:val="16"/>
              </w:rPr>
              <w:t>CONCEPTO</w:t>
            </w:r>
          </w:p>
        </w:tc>
        <w:tc>
          <w:tcPr>
            <w:tcW w:w="804" w:type="pct"/>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tcMar>
              <w:left w:w="70" w:type="dxa"/>
              <w:right w:w="70" w:type="dxa"/>
            </w:tcMar>
            <w:vAlign w:val="center"/>
          </w:tcPr>
          <w:p w14:paraId="5DD7CA2B" w14:textId="77777777" w:rsidR="005E64D9" w:rsidRPr="00951AB1" w:rsidRDefault="005E64D9" w:rsidP="000A5389">
            <w:pPr>
              <w:spacing w:line="240" w:lineRule="auto"/>
              <w:jc w:val="center"/>
              <w:rPr>
                <w:rFonts w:cs="Times New Roman"/>
              </w:rPr>
            </w:pPr>
            <w:r w:rsidRPr="00951AB1">
              <w:rPr>
                <w:rFonts w:eastAsia="Times New Roman" w:cs="Times New Roman"/>
                <w:b/>
                <w:bCs/>
                <w:color w:val="000000" w:themeColor="text1"/>
                <w:sz w:val="16"/>
                <w:szCs w:val="16"/>
              </w:rPr>
              <w:t>2025</w:t>
            </w:r>
          </w:p>
        </w:tc>
        <w:tc>
          <w:tcPr>
            <w:tcW w:w="724" w:type="pct"/>
            <w:tcBorders>
              <w:top w:val="nil"/>
              <w:left w:val="single" w:sz="8" w:space="0" w:color="A6A6A6" w:themeColor="background1" w:themeShade="A6"/>
              <w:bottom w:val="single" w:sz="8" w:space="0" w:color="A6A6A6" w:themeColor="background1" w:themeShade="A6"/>
              <w:right w:val="single" w:sz="8" w:space="0" w:color="A6A6A6" w:themeColor="background1" w:themeShade="A6"/>
            </w:tcBorders>
            <w:tcMar>
              <w:left w:w="70" w:type="dxa"/>
              <w:right w:w="70" w:type="dxa"/>
            </w:tcMar>
            <w:vAlign w:val="center"/>
          </w:tcPr>
          <w:p w14:paraId="3A73B447" w14:textId="77777777" w:rsidR="005E64D9" w:rsidRPr="00951AB1" w:rsidRDefault="005E64D9" w:rsidP="000A5389">
            <w:pPr>
              <w:spacing w:line="240" w:lineRule="auto"/>
              <w:jc w:val="center"/>
              <w:rPr>
                <w:rFonts w:cs="Times New Roman"/>
              </w:rPr>
            </w:pPr>
            <w:r w:rsidRPr="00951AB1">
              <w:rPr>
                <w:rFonts w:eastAsia="Times New Roman" w:cs="Times New Roman"/>
                <w:b/>
                <w:bCs/>
                <w:color w:val="000000" w:themeColor="text1"/>
                <w:sz w:val="16"/>
                <w:szCs w:val="16"/>
              </w:rPr>
              <w:t>2024</w:t>
            </w:r>
          </w:p>
        </w:tc>
        <w:tc>
          <w:tcPr>
            <w:tcW w:w="745" w:type="pct"/>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tcMar>
              <w:left w:w="70" w:type="dxa"/>
              <w:right w:w="70" w:type="dxa"/>
            </w:tcMar>
            <w:vAlign w:val="center"/>
          </w:tcPr>
          <w:p w14:paraId="03D7EDC6" w14:textId="77777777" w:rsidR="005E64D9" w:rsidRPr="00951AB1" w:rsidRDefault="005E64D9" w:rsidP="000A5389">
            <w:pPr>
              <w:spacing w:line="240" w:lineRule="auto"/>
              <w:jc w:val="center"/>
              <w:rPr>
                <w:rFonts w:cs="Times New Roman"/>
              </w:rPr>
            </w:pPr>
            <w:r w:rsidRPr="00951AB1">
              <w:rPr>
                <w:rFonts w:eastAsia="Times New Roman" w:cs="Times New Roman"/>
                <w:b/>
                <w:bCs/>
                <w:color w:val="000000" w:themeColor="text1"/>
                <w:sz w:val="16"/>
                <w:szCs w:val="16"/>
              </w:rPr>
              <w:t>VALOR VARIACIÓN</w:t>
            </w:r>
          </w:p>
        </w:tc>
      </w:tr>
      <w:tr w:rsidR="005E64D9" w:rsidRPr="00951AB1" w14:paraId="794BC68D" w14:textId="77777777" w:rsidTr="005E64D9">
        <w:trPr>
          <w:trHeight w:val="340"/>
          <w:tblHeader/>
        </w:trPr>
        <w:tc>
          <w:tcPr>
            <w:tcW w:w="637" w:type="pct"/>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tcMar>
              <w:left w:w="70" w:type="dxa"/>
              <w:right w:w="70" w:type="dxa"/>
            </w:tcMar>
            <w:vAlign w:val="center"/>
          </w:tcPr>
          <w:p w14:paraId="0656515C" w14:textId="77777777" w:rsidR="005E64D9" w:rsidRPr="00951AB1" w:rsidRDefault="005E64D9" w:rsidP="000A5389">
            <w:pPr>
              <w:spacing w:line="240" w:lineRule="auto"/>
              <w:jc w:val="center"/>
              <w:rPr>
                <w:rFonts w:cs="Times New Roman"/>
              </w:rPr>
            </w:pPr>
            <w:r w:rsidRPr="00951AB1">
              <w:rPr>
                <w:rFonts w:cs="Times New Roman"/>
                <w:b/>
                <w:bCs/>
                <w:color w:val="000000"/>
                <w:sz w:val="16"/>
                <w:szCs w:val="16"/>
              </w:rPr>
              <w:t>1.3</w:t>
            </w:r>
          </w:p>
        </w:tc>
        <w:tc>
          <w:tcPr>
            <w:tcW w:w="404" w:type="pct"/>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tcMar>
              <w:left w:w="70" w:type="dxa"/>
              <w:right w:w="70" w:type="dxa"/>
            </w:tcMar>
            <w:vAlign w:val="center"/>
          </w:tcPr>
          <w:p w14:paraId="387BF49D" w14:textId="77777777" w:rsidR="005E64D9" w:rsidRPr="00951AB1" w:rsidRDefault="005E64D9" w:rsidP="000A5389">
            <w:pPr>
              <w:spacing w:line="240" w:lineRule="auto"/>
              <w:jc w:val="center"/>
              <w:rPr>
                <w:rFonts w:cs="Times New Roman"/>
              </w:rPr>
            </w:pPr>
            <w:r w:rsidRPr="00951AB1">
              <w:rPr>
                <w:rFonts w:cs="Times New Roman"/>
                <w:b/>
                <w:bCs/>
                <w:color w:val="000000"/>
                <w:sz w:val="16"/>
                <w:szCs w:val="16"/>
              </w:rPr>
              <w:t>Db</w:t>
            </w:r>
          </w:p>
        </w:tc>
        <w:tc>
          <w:tcPr>
            <w:tcW w:w="1686" w:type="pct"/>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tcMar>
              <w:left w:w="70" w:type="dxa"/>
              <w:right w:w="70" w:type="dxa"/>
            </w:tcMar>
            <w:vAlign w:val="center"/>
          </w:tcPr>
          <w:p w14:paraId="0663FBBD" w14:textId="77777777" w:rsidR="005E64D9" w:rsidRPr="00951AB1" w:rsidRDefault="005E64D9" w:rsidP="000A5389">
            <w:pPr>
              <w:spacing w:line="240" w:lineRule="auto"/>
              <w:rPr>
                <w:rFonts w:cs="Times New Roman"/>
              </w:rPr>
            </w:pPr>
            <w:r w:rsidRPr="00951AB1">
              <w:rPr>
                <w:rFonts w:cs="Times New Roman"/>
                <w:b/>
                <w:bCs/>
                <w:color w:val="000000"/>
                <w:sz w:val="16"/>
                <w:szCs w:val="16"/>
              </w:rPr>
              <w:t>CUENTAS POR COBRAR</w:t>
            </w:r>
          </w:p>
        </w:tc>
        <w:tc>
          <w:tcPr>
            <w:tcW w:w="804" w:type="pct"/>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tcMar>
              <w:left w:w="70" w:type="dxa"/>
              <w:right w:w="70" w:type="dxa"/>
            </w:tcMar>
            <w:vAlign w:val="center"/>
          </w:tcPr>
          <w:p w14:paraId="44BD26D3" w14:textId="77777777" w:rsidR="005E64D9" w:rsidRPr="00951AB1" w:rsidRDefault="005E64D9" w:rsidP="000A5389">
            <w:pPr>
              <w:spacing w:line="240" w:lineRule="auto"/>
              <w:jc w:val="right"/>
              <w:rPr>
                <w:rFonts w:cs="Times New Roman"/>
              </w:rPr>
            </w:pPr>
            <w:r w:rsidRPr="00951AB1">
              <w:rPr>
                <w:rFonts w:cs="Times New Roman"/>
                <w:b/>
                <w:bCs/>
                <w:color w:val="000000"/>
                <w:sz w:val="16"/>
                <w:szCs w:val="16"/>
              </w:rPr>
              <w:t>227.852.272.797</w:t>
            </w:r>
          </w:p>
        </w:tc>
        <w:tc>
          <w:tcPr>
            <w:tcW w:w="724" w:type="pct"/>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tcMar>
              <w:left w:w="70" w:type="dxa"/>
              <w:right w:w="70" w:type="dxa"/>
            </w:tcMar>
            <w:vAlign w:val="center"/>
          </w:tcPr>
          <w:p w14:paraId="27874A17" w14:textId="77777777" w:rsidR="005E64D9" w:rsidRPr="00951AB1" w:rsidRDefault="005E64D9" w:rsidP="000A5389">
            <w:pPr>
              <w:spacing w:line="240" w:lineRule="auto"/>
              <w:jc w:val="right"/>
              <w:rPr>
                <w:rFonts w:cs="Times New Roman"/>
              </w:rPr>
            </w:pPr>
            <w:r w:rsidRPr="00951AB1">
              <w:rPr>
                <w:rFonts w:cs="Times New Roman"/>
                <w:b/>
                <w:bCs/>
                <w:color w:val="000000"/>
                <w:sz w:val="16"/>
                <w:szCs w:val="16"/>
              </w:rPr>
              <w:t>148.479.735.830</w:t>
            </w:r>
          </w:p>
        </w:tc>
        <w:tc>
          <w:tcPr>
            <w:tcW w:w="745" w:type="pct"/>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tcMar>
              <w:left w:w="70" w:type="dxa"/>
              <w:right w:w="70" w:type="dxa"/>
            </w:tcMar>
            <w:vAlign w:val="center"/>
          </w:tcPr>
          <w:p w14:paraId="0C321B3E" w14:textId="77777777" w:rsidR="005E64D9" w:rsidRPr="00951AB1" w:rsidRDefault="005E64D9" w:rsidP="000A5389">
            <w:pPr>
              <w:spacing w:line="240" w:lineRule="auto"/>
              <w:jc w:val="right"/>
              <w:rPr>
                <w:rFonts w:cs="Times New Roman"/>
              </w:rPr>
            </w:pPr>
            <w:r w:rsidRPr="00951AB1">
              <w:rPr>
                <w:rFonts w:cs="Times New Roman"/>
                <w:b/>
                <w:bCs/>
                <w:color w:val="000000"/>
                <w:sz w:val="16"/>
                <w:szCs w:val="16"/>
              </w:rPr>
              <w:t>79.372.536.967</w:t>
            </w:r>
          </w:p>
        </w:tc>
      </w:tr>
      <w:tr w:rsidR="005E64D9" w:rsidRPr="00951AB1" w14:paraId="04140E98" w14:textId="77777777" w:rsidTr="005E64D9">
        <w:trPr>
          <w:trHeight w:val="340"/>
          <w:tblHeader/>
        </w:trPr>
        <w:tc>
          <w:tcPr>
            <w:tcW w:w="637" w:type="pct"/>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tcMar>
              <w:left w:w="70" w:type="dxa"/>
              <w:right w:w="70" w:type="dxa"/>
            </w:tcMar>
            <w:vAlign w:val="center"/>
          </w:tcPr>
          <w:p w14:paraId="6B0D15CB" w14:textId="77777777" w:rsidR="005E64D9" w:rsidRPr="00951AB1" w:rsidRDefault="005E64D9" w:rsidP="000A5389">
            <w:pPr>
              <w:spacing w:line="240" w:lineRule="auto"/>
              <w:jc w:val="center"/>
              <w:rPr>
                <w:rFonts w:cs="Times New Roman"/>
              </w:rPr>
            </w:pPr>
            <w:r w:rsidRPr="00951AB1">
              <w:rPr>
                <w:rFonts w:cs="Times New Roman"/>
                <w:color w:val="000000"/>
                <w:sz w:val="16"/>
                <w:szCs w:val="16"/>
              </w:rPr>
              <w:t>1.3.85</w:t>
            </w:r>
          </w:p>
        </w:tc>
        <w:tc>
          <w:tcPr>
            <w:tcW w:w="404" w:type="pct"/>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tcMar>
              <w:left w:w="70" w:type="dxa"/>
              <w:right w:w="70" w:type="dxa"/>
            </w:tcMar>
            <w:vAlign w:val="center"/>
          </w:tcPr>
          <w:p w14:paraId="7009EF46" w14:textId="77777777" w:rsidR="005E64D9" w:rsidRPr="00951AB1" w:rsidRDefault="005E64D9" w:rsidP="000A5389">
            <w:pPr>
              <w:spacing w:line="240" w:lineRule="auto"/>
              <w:jc w:val="center"/>
              <w:rPr>
                <w:rFonts w:cs="Times New Roman"/>
              </w:rPr>
            </w:pPr>
            <w:r w:rsidRPr="00951AB1">
              <w:rPr>
                <w:rFonts w:cs="Times New Roman"/>
                <w:color w:val="000000"/>
                <w:sz w:val="16"/>
                <w:szCs w:val="16"/>
              </w:rPr>
              <w:t>Db</w:t>
            </w:r>
          </w:p>
        </w:tc>
        <w:tc>
          <w:tcPr>
            <w:tcW w:w="1686" w:type="pct"/>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tcMar>
              <w:left w:w="70" w:type="dxa"/>
              <w:right w:w="70" w:type="dxa"/>
            </w:tcMar>
            <w:vAlign w:val="center"/>
          </w:tcPr>
          <w:p w14:paraId="482D4B3D" w14:textId="2CBF033D" w:rsidR="005E64D9" w:rsidRPr="00951AB1" w:rsidRDefault="005E64D9" w:rsidP="000A5389">
            <w:pPr>
              <w:spacing w:line="240" w:lineRule="auto"/>
              <w:rPr>
                <w:rFonts w:cs="Times New Roman"/>
              </w:rPr>
            </w:pPr>
            <w:r w:rsidRPr="00951AB1">
              <w:rPr>
                <w:rFonts w:cs="Times New Roman"/>
                <w:color w:val="000000"/>
                <w:sz w:val="16"/>
                <w:szCs w:val="16"/>
              </w:rPr>
              <w:t>Cuentas Por Cobrar de Difícil Recaudo</w:t>
            </w:r>
          </w:p>
        </w:tc>
        <w:tc>
          <w:tcPr>
            <w:tcW w:w="804" w:type="pct"/>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tcMar>
              <w:left w:w="70" w:type="dxa"/>
              <w:right w:w="70" w:type="dxa"/>
            </w:tcMar>
            <w:vAlign w:val="center"/>
          </w:tcPr>
          <w:p w14:paraId="0CAC31EA" w14:textId="77777777" w:rsidR="005E64D9" w:rsidRPr="00951AB1" w:rsidRDefault="005E64D9" w:rsidP="000A5389">
            <w:pPr>
              <w:spacing w:line="240" w:lineRule="auto"/>
              <w:jc w:val="right"/>
              <w:rPr>
                <w:rFonts w:cs="Times New Roman"/>
              </w:rPr>
            </w:pPr>
            <w:r w:rsidRPr="00951AB1">
              <w:rPr>
                <w:rFonts w:cs="Times New Roman"/>
                <w:color w:val="000000"/>
                <w:sz w:val="16"/>
                <w:szCs w:val="16"/>
              </w:rPr>
              <w:t>384.910.511.044</w:t>
            </w:r>
          </w:p>
        </w:tc>
        <w:tc>
          <w:tcPr>
            <w:tcW w:w="724" w:type="pct"/>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tcMar>
              <w:left w:w="70" w:type="dxa"/>
              <w:right w:w="70" w:type="dxa"/>
            </w:tcMar>
            <w:vAlign w:val="center"/>
          </w:tcPr>
          <w:p w14:paraId="45038DD0" w14:textId="77777777" w:rsidR="005E64D9" w:rsidRPr="00951AB1" w:rsidRDefault="005E64D9" w:rsidP="000A5389">
            <w:pPr>
              <w:spacing w:line="240" w:lineRule="auto"/>
              <w:jc w:val="right"/>
              <w:rPr>
                <w:rFonts w:cs="Times New Roman"/>
              </w:rPr>
            </w:pPr>
            <w:r w:rsidRPr="00951AB1">
              <w:rPr>
                <w:rFonts w:cs="Times New Roman"/>
                <w:color w:val="000000"/>
                <w:sz w:val="16"/>
                <w:szCs w:val="16"/>
              </w:rPr>
              <w:t>384.910.511.044</w:t>
            </w:r>
          </w:p>
        </w:tc>
        <w:tc>
          <w:tcPr>
            <w:tcW w:w="745" w:type="pct"/>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tcMar>
              <w:left w:w="70" w:type="dxa"/>
              <w:right w:w="70" w:type="dxa"/>
            </w:tcMar>
            <w:vAlign w:val="center"/>
          </w:tcPr>
          <w:p w14:paraId="34643A0F" w14:textId="77777777" w:rsidR="005E64D9" w:rsidRPr="00951AB1" w:rsidRDefault="005E64D9" w:rsidP="000A5389">
            <w:pPr>
              <w:spacing w:line="240" w:lineRule="auto"/>
              <w:jc w:val="right"/>
              <w:rPr>
                <w:rFonts w:cs="Times New Roman"/>
              </w:rPr>
            </w:pPr>
            <w:r w:rsidRPr="00951AB1">
              <w:rPr>
                <w:rFonts w:cs="Times New Roman"/>
                <w:color w:val="000000"/>
                <w:sz w:val="16"/>
                <w:szCs w:val="16"/>
              </w:rPr>
              <w:t>0</w:t>
            </w:r>
          </w:p>
        </w:tc>
      </w:tr>
      <w:tr w:rsidR="005E64D9" w:rsidRPr="00951AB1" w14:paraId="1B7FDAEE" w14:textId="77777777" w:rsidTr="005E64D9">
        <w:trPr>
          <w:trHeight w:val="340"/>
          <w:tblHeader/>
        </w:trPr>
        <w:tc>
          <w:tcPr>
            <w:tcW w:w="637" w:type="pct"/>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tcMar>
              <w:left w:w="70" w:type="dxa"/>
              <w:right w:w="70" w:type="dxa"/>
            </w:tcMar>
            <w:vAlign w:val="center"/>
          </w:tcPr>
          <w:p w14:paraId="10809917" w14:textId="77777777" w:rsidR="005E64D9" w:rsidRPr="00951AB1" w:rsidRDefault="005E64D9" w:rsidP="000A5389">
            <w:pPr>
              <w:spacing w:line="240" w:lineRule="auto"/>
              <w:jc w:val="center"/>
              <w:rPr>
                <w:rFonts w:eastAsia="Times New Roman" w:cs="Times New Roman"/>
                <w:color w:val="000000" w:themeColor="text1"/>
                <w:sz w:val="16"/>
                <w:szCs w:val="16"/>
              </w:rPr>
            </w:pPr>
            <w:r w:rsidRPr="00951AB1">
              <w:rPr>
                <w:rFonts w:cs="Times New Roman"/>
                <w:color w:val="000000"/>
                <w:sz w:val="16"/>
                <w:szCs w:val="16"/>
              </w:rPr>
              <w:t>1.3.11</w:t>
            </w:r>
          </w:p>
        </w:tc>
        <w:tc>
          <w:tcPr>
            <w:tcW w:w="404" w:type="pct"/>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tcMar>
              <w:left w:w="70" w:type="dxa"/>
              <w:right w:w="70" w:type="dxa"/>
            </w:tcMar>
            <w:vAlign w:val="center"/>
          </w:tcPr>
          <w:p w14:paraId="307DBFDA" w14:textId="77777777" w:rsidR="005E64D9" w:rsidRPr="00951AB1" w:rsidRDefault="005E64D9" w:rsidP="000A5389">
            <w:pPr>
              <w:spacing w:line="240" w:lineRule="auto"/>
              <w:jc w:val="center"/>
              <w:rPr>
                <w:rFonts w:eastAsia="Times New Roman" w:cs="Times New Roman"/>
                <w:color w:val="000000" w:themeColor="text1"/>
                <w:sz w:val="16"/>
                <w:szCs w:val="16"/>
              </w:rPr>
            </w:pPr>
            <w:r w:rsidRPr="00951AB1">
              <w:rPr>
                <w:rFonts w:cs="Times New Roman"/>
                <w:color w:val="000000"/>
                <w:sz w:val="16"/>
                <w:szCs w:val="16"/>
              </w:rPr>
              <w:t>Db</w:t>
            </w:r>
          </w:p>
        </w:tc>
        <w:tc>
          <w:tcPr>
            <w:tcW w:w="1686" w:type="pct"/>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tcMar>
              <w:left w:w="70" w:type="dxa"/>
              <w:right w:w="70" w:type="dxa"/>
            </w:tcMar>
            <w:vAlign w:val="center"/>
          </w:tcPr>
          <w:p w14:paraId="6335E662" w14:textId="2B08F58F" w:rsidR="005E64D9" w:rsidRPr="00951AB1" w:rsidRDefault="005E64D9" w:rsidP="000A5389">
            <w:pPr>
              <w:spacing w:line="240" w:lineRule="auto"/>
              <w:rPr>
                <w:rFonts w:eastAsia="Times New Roman" w:cs="Times New Roman"/>
                <w:color w:val="000000" w:themeColor="text1"/>
                <w:sz w:val="16"/>
                <w:szCs w:val="16"/>
              </w:rPr>
            </w:pPr>
            <w:r w:rsidRPr="00951AB1">
              <w:rPr>
                <w:rFonts w:cs="Times New Roman"/>
                <w:color w:val="000000"/>
                <w:sz w:val="16"/>
                <w:szCs w:val="16"/>
              </w:rPr>
              <w:t>Contribuciones Tasas e Ingresos No Tributarios</w:t>
            </w:r>
          </w:p>
        </w:tc>
        <w:tc>
          <w:tcPr>
            <w:tcW w:w="804" w:type="pct"/>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tcMar>
              <w:left w:w="70" w:type="dxa"/>
              <w:right w:w="70" w:type="dxa"/>
            </w:tcMar>
            <w:vAlign w:val="center"/>
          </w:tcPr>
          <w:p w14:paraId="25D435CA" w14:textId="77777777" w:rsidR="005E64D9" w:rsidRPr="00951AB1" w:rsidRDefault="005E64D9" w:rsidP="000A5389">
            <w:pPr>
              <w:spacing w:line="240" w:lineRule="auto"/>
              <w:jc w:val="right"/>
              <w:rPr>
                <w:rFonts w:eastAsia="Times New Roman" w:cs="Times New Roman"/>
                <w:color w:val="000000" w:themeColor="text1"/>
                <w:sz w:val="16"/>
                <w:szCs w:val="16"/>
              </w:rPr>
            </w:pPr>
            <w:r w:rsidRPr="00951AB1">
              <w:rPr>
                <w:rFonts w:cs="Times New Roman"/>
                <w:color w:val="000000"/>
                <w:sz w:val="16"/>
                <w:szCs w:val="16"/>
              </w:rPr>
              <w:t>106.884.943.806</w:t>
            </w:r>
          </w:p>
        </w:tc>
        <w:tc>
          <w:tcPr>
            <w:tcW w:w="724" w:type="pct"/>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tcMar>
              <w:left w:w="70" w:type="dxa"/>
              <w:right w:w="70" w:type="dxa"/>
            </w:tcMar>
            <w:vAlign w:val="center"/>
          </w:tcPr>
          <w:p w14:paraId="59204758" w14:textId="77777777" w:rsidR="005E64D9" w:rsidRPr="00951AB1" w:rsidRDefault="005E64D9" w:rsidP="000A5389">
            <w:pPr>
              <w:spacing w:line="240" w:lineRule="auto"/>
              <w:jc w:val="right"/>
              <w:rPr>
                <w:rFonts w:eastAsia="Times New Roman" w:cs="Times New Roman"/>
                <w:color w:val="000000" w:themeColor="text1"/>
                <w:sz w:val="16"/>
                <w:szCs w:val="16"/>
              </w:rPr>
            </w:pPr>
            <w:r w:rsidRPr="00951AB1">
              <w:rPr>
                <w:rFonts w:cs="Times New Roman"/>
                <w:color w:val="000000"/>
                <w:sz w:val="16"/>
                <w:szCs w:val="16"/>
              </w:rPr>
              <w:t>92.493.575.365</w:t>
            </w:r>
          </w:p>
        </w:tc>
        <w:tc>
          <w:tcPr>
            <w:tcW w:w="745" w:type="pct"/>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tcMar>
              <w:left w:w="70" w:type="dxa"/>
              <w:right w:w="70" w:type="dxa"/>
            </w:tcMar>
            <w:vAlign w:val="center"/>
          </w:tcPr>
          <w:p w14:paraId="465DE751" w14:textId="77777777" w:rsidR="005E64D9" w:rsidRPr="00951AB1" w:rsidRDefault="005E64D9" w:rsidP="000A5389">
            <w:pPr>
              <w:spacing w:line="240" w:lineRule="auto"/>
              <w:jc w:val="right"/>
              <w:rPr>
                <w:rFonts w:eastAsia="Times New Roman" w:cs="Times New Roman"/>
                <w:color w:val="000000" w:themeColor="text1"/>
                <w:sz w:val="16"/>
                <w:szCs w:val="16"/>
              </w:rPr>
            </w:pPr>
            <w:r w:rsidRPr="00951AB1">
              <w:rPr>
                <w:rFonts w:cs="Times New Roman"/>
                <w:color w:val="000000"/>
                <w:sz w:val="16"/>
                <w:szCs w:val="16"/>
              </w:rPr>
              <w:t>14.391.368.441</w:t>
            </w:r>
          </w:p>
        </w:tc>
      </w:tr>
      <w:tr w:rsidR="005E64D9" w:rsidRPr="00951AB1" w14:paraId="6934FAAB" w14:textId="77777777" w:rsidTr="005E64D9">
        <w:trPr>
          <w:trHeight w:val="340"/>
          <w:tblHeader/>
        </w:trPr>
        <w:tc>
          <w:tcPr>
            <w:tcW w:w="637" w:type="pct"/>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tcMar>
              <w:left w:w="70" w:type="dxa"/>
              <w:right w:w="70" w:type="dxa"/>
            </w:tcMar>
            <w:vAlign w:val="center"/>
          </w:tcPr>
          <w:p w14:paraId="12FEA166" w14:textId="77777777" w:rsidR="005E64D9" w:rsidRPr="00951AB1" w:rsidRDefault="005E64D9" w:rsidP="000A5389">
            <w:pPr>
              <w:spacing w:line="240" w:lineRule="auto"/>
              <w:jc w:val="center"/>
              <w:rPr>
                <w:rFonts w:eastAsia="Times New Roman" w:cs="Times New Roman"/>
                <w:color w:val="000000" w:themeColor="text1"/>
                <w:sz w:val="16"/>
                <w:szCs w:val="16"/>
              </w:rPr>
            </w:pPr>
            <w:r w:rsidRPr="00951AB1">
              <w:rPr>
                <w:rFonts w:cs="Times New Roman"/>
                <w:color w:val="000000"/>
                <w:sz w:val="16"/>
                <w:szCs w:val="16"/>
              </w:rPr>
              <w:t>1.3.84</w:t>
            </w:r>
          </w:p>
        </w:tc>
        <w:tc>
          <w:tcPr>
            <w:tcW w:w="404" w:type="pct"/>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tcMar>
              <w:left w:w="70" w:type="dxa"/>
              <w:right w:w="70" w:type="dxa"/>
            </w:tcMar>
            <w:vAlign w:val="center"/>
          </w:tcPr>
          <w:p w14:paraId="4D827DBA" w14:textId="77777777" w:rsidR="005E64D9" w:rsidRPr="00951AB1" w:rsidRDefault="005E64D9" w:rsidP="000A5389">
            <w:pPr>
              <w:spacing w:line="240" w:lineRule="auto"/>
              <w:jc w:val="center"/>
              <w:rPr>
                <w:rFonts w:eastAsia="Times New Roman" w:cs="Times New Roman"/>
                <w:color w:val="000000" w:themeColor="text1"/>
                <w:sz w:val="16"/>
                <w:szCs w:val="16"/>
              </w:rPr>
            </w:pPr>
            <w:r w:rsidRPr="00951AB1">
              <w:rPr>
                <w:rFonts w:cs="Times New Roman"/>
                <w:color w:val="000000"/>
                <w:sz w:val="16"/>
                <w:szCs w:val="16"/>
              </w:rPr>
              <w:t>Db</w:t>
            </w:r>
          </w:p>
        </w:tc>
        <w:tc>
          <w:tcPr>
            <w:tcW w:w="1686" w:type="pct"/>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tcMar>
              <w:left w:w="70" w:type="dxa"/>
              <w:right w:w="70" w:type="dxa"/>
            </w:tcMar>
            <w:vAlign w:val="center"/>
          </w:tcPr>
          <w:p w14:paraId="221E20D7" w14:textId="4C067AF2" w:rsidR="005E64D9" w:rsidRPr="00951AB1" w:rsidRDefault="005E64D9" w:rsidP="000A5389">
            <w:pPr>
              <w:spacing w:line="240" w:lineRule="auto"/>
              <w:rPr>
                <w:rFonts w:eastAsia="Times New Roman" w:cs="Times New Roman"/>
                <w:color w:val="000000" w:themeColor="text1"/>
                <w:sz w:val="16"/>
                <w:szCs w:val="16"/>
              </w:rPr>
            </w:pPr>
            <w:r w:rsidRPr="00951AB1">
              <w:rPr>
                <w:rFonts w:cs="Times New Roman"/>
                <w:color w:val="000000"/>
                <w:sz w:val="16"/>
                <w:szCs w:val="16"/>
              </w:rPr>
              <w:t>Otras Cuentas Por Cobrar</w:t>
            </w:r>
          </w:p>
        </w:tc>
        <w:tc>
          <w:tcPr>
            <w:tcW w:w="804" w:type="pct"/>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tcMar>
              <w:left w:w="70" w:type="dxa"/>
              <w:right w:w="70" w:type="dxa"/>
            </w:tcMar>
            <w:vAlign w:val="center"/>
          </w:tcPr>
          <w:p w14:paraId="78DE8A87" w14:textId="77777777" w:rsidR="005E64D9" w:rsidRPr="00951AB1" w:rsidRDefault="005E64D9" w:rsidP="000A5389">
            <w:pPr>
              <w:spacing w:line="240" w:lineRule="auto"/>
              <w:jc w:val="right"/>
              <w:rPr>
                <w:rFonts w:eastAsia="Times New Roman" w:cs="Times New Roman"/>
                <w:color w:val="000000" w:themeColor="text1"/>
                <w:sz w:val="16"/>
                <w:szCs w:val="16"/>
              </w:rPr>
            </w:pPr>
            <w:r w:rsidRPr="00951AB1">
              <w:rPr>
                <w:rFonts w:cs="Times New Roman"/>
                <w:color w:val="000000"/>
                <w:sz w:val="16"/>
                <w:szCs w:val="16"/>
              </w:rPr>
              <w:t>3.285.274.730</w:t>
            </w:r>
          </w:p>
        </w:tc>
        <w:tc>
          <w:tcPr>
            <w:tcW w:w="724" w:type="pct"/>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tcMar>
              <w:left w:w="70" w:type="dxa"/>
              <w:right w:w="70" w:type="dxa"/>
            </w:tcMar>
            <w:vAlign w:val="center"/>
          </w:tcPr>
          <w:p w14:paraId="0C75669D" w14:textId="77777777" w:rsidR="005E64D9" w:rsidRPr="00951AB1" w:rsidRDefault="005E64D9" w:rsidP="000A5389">
            <w:pPr>
              <w:spacing w:line="240" w:lineRule="auto"/>
              <w:jc w:val="right"/>
              <w:rPr>
                <w:rFonts w:eastAsia="Times New Roman" w:cs="Times New Roman"/>
                <w:color w:val="000000" w:themeColor="text1"/>
                <w:sz w:val="16"/>
                <w:szCs w:val="16"/>
              </w:rPr>
            </w:pPr>
            <w:r w:rsidRPr="00951AB1">
              <w:rPr>
                <w:rFonts w:cs="Times New Roman"/>
                <w:color w:val="000000"/>
                <w:sz w:val="16"/>
                <w:szCs w:val="16"/>
              </w:rPr>
              <w:t>9.480.049.758</w:t>
            </w:r>
          </w:p>
        </w:tc>
        <w:tc>
          <w:tcPr>
            <w:tcW w:w="745" w:type="pct"/>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tcMar>
              <w:left w:w="70" w:type="dxa"/>
              <w:right w:w="70" w:type="dxa"/>
            </w:tcMar>
            <w:vAlign w:val="center"/>
          </w:tcPr>
          <w:p w14:paraId="0EEE5B65" w14:textId="77777777" w:rsidR="005E64D9" w:rsidRPr="00951AB1" w:rsidRDefault="005E64D9" w:rsidP="000A5389">
            <w:pPr>
              <w:spacing w:line="240" w:lineRule="auto"/>
              <w:jc w:val="right"/>
              <w:rPr>
                <w:rFonts w:eastAsia="Times New Roman" w:cs="Times New Roman"/>
                <w:color w:val="000000" w:themeColor="text1"/>
                <w:sz w:val="16"/>
                <w:szCs w:val="16"/>
              </w:rPr>
            </w:pPr>
            <w:r w:rsidRPr="00951AB1">
              <w:rPr>
                <w:rFonts w:cs="Times New Roman"/>
                <w:color w:val="000000"/>
                <w:sz w:val="16"/>
                <w:szCs w:val="16"/>
              </w:rPr>
              <w:t>-6.194.775.029</w:t>
            </w:r>
          </w:p>
        </w:tc>
      </w:tr>
      <w:tr w:rsidR="005E64D9" w:rsidRPr="00951AB1" w14:paraId="70642BE1" w14:textId="77777777" w:rsidTr="005E64D9">
        <w:trPr>
          <w:trHeight w:val="340"/>
          <w:tblHeader/>
        </w:trPr>
        <w:tc>
          <w:tcPr>
            <w:tcW w:w="637" w:type="pct"/>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tcMar>
              <w:left w:w="70" w:type="dxa"/>
              <w:right w:w="70" w:type="dxa"/>
            </w:tcMar>
            <w:vAlign w:val="center"/>
          </w:tcPr>
          <w:p w14:paraId="30816F2D" w14:textId="77777777" w:rsidR="005E64D9" w:rsidRPr="00951AB1" w:rsidRDefault="005E64D9" w:rsidP="000A5389">
            <w:pPr>
              <w:spacing w:line="240" w:lineRule="auto"/>
              <w:jc w:val="center"/>
              <w:rPr>
                <w:rFonts w:eastAsia="Times New Roman" w:cs="Times New Roman"/>
                <w:color w:val="000000" w:themeColor="text1"/>
                <w:sz w:val="16"/>
                <w:szCs w:val="16"/>
              </w:rPr>
            </w:pPr>
            <w:r w:rsidRPr="00951AB1">
              <w:rPr>
                <w:rFonts w:cs="Times New Roman"/>
                <w:color w:val="000000"/>
                <w:sz w:val="16"/>
                <w:szCs w:val="16"/>
              </w:rPr>
              <w:t>1.3.38</w:t>
            </w:r>
          </w:p>
        </w:tc>
        <w:tc>
          <w:tcPr>
            <w:tcW w:w="404" w:type="pct"/>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tcMar>
              <w:left w:w="70" w:type="dxa"/>
              <w:right w:w="70" w:type="dxa"/>
            </w:tcMar>
            <w:vAlign w:val="center"/>
          </w:tcPr>
          <w:p w14:paraId="7092F141" w14:textId="77777777" w:rsidR="005E64D9" w:rsidRPr="00951AB1" w:rsidRDefault="005E64D9" w:rsidP="000A5389">
            <w:pPr>
              <w:spacing w:line="240" w:lineRule="auto"/>
              <w:jc w:val="center"/>
              <w:rPr>
                <w:rFonts w:eastAsia="Times New Roman" w:cs="Times New Roman"/>
                <w:color w:val="000000" w:themeColor="text1"/>
                <w:sz w:val="16"/>
                <w:szCs w:val="16"/>
              </w:rPr>
            </w:pPr>
            <w:r w:rsidRPr="00951AB1">
              <w:rPr>
                <w:rFonts w:cs="Times New Roman"/>
                <w:color w:val="000000"/>
                <w:sz w:val="16"/>
                <w:szCs w:val="16"/>
              </w:rPr>
              <w:t>Db</w:t>
            </w:r>
          </w:p>
        </w:tc>
        <w:tc>
          <w:tcPr>
            <w:tcW w:w="1686" w:type="pct"/>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tcMar>
              <w:left w:w="70" w:type="dxa"/>
              <w:right w:w="70" w:type="dxa"/>
            </w:tcMar>
            <w:vAlign w:val="center"/>
          </w:tcPr>
          <w:p w14:paraId="503E37A2" w14:textId="43FC0E32" w:rsidR="005E64D9" w:rsidRPr="00951AB1" w:rsidRDefault="005E64D9" w:rsidP="000A5389">
            <w:pPr>
              <w:spacing w:line="240" w:lineRule="auto"/>
              <w:rPr>
                <w:rFonts w:eastAsia="Times New Roman" w:cs="Times New Roman"/>
                <w:color w:val="000000" w:themeColor="text1"/>
                <w:sz w:val="16"/>
                <w:szCs w:val="16"/>
              </w:rPr>
            </w:pPr>
            <w:r w:rsidRPr="00951AB1">
              <w:rPr>
                <w:rFonts w:cs="Times New Roman"/>
                <w:color w:val="000000"/>
                <w:sz w:val="16"/>
                <w:szCs w:val="16"/>
              </w:rPr>
              <w:t>Sentencias, Laudos Arbitrales y Conciliaciones Extrajudiciales a Favor de la Entidad</w:t>
            </w:r>
          </w:p>
        </w:tc>
        <w:tc>
          <w:tcPr>
            <w:tcW w:w="804" w:type="pct"/>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tcMar>
              <w:left w:w="70" w:type="dxa"/>
              <w:right w:w="70" w:type="dxa"/>
            </w:tcMar>
            <w:vAlign w:val="center"/>
          </w:tcPr>
          <w:p w14:paraId="7DE926C7" w14:textId="77777777" w:rsidR="005E64D9" w:rsidRPr="00951AB1" w:rsidRDefault="005E64D9" w:rsidP="000A5389">
            <w:pPr>
              <w:spacing w:line="240" w:lineRule="auto"/>
              <w:jc w:val="right"/>
              <w:rPr>
                <w:rFonts w:eastAsia="Times New Roman" w:cs="Times New Roman"/>
                <w:color w:val="000000" w:themeColor="text1"/>
                <w:sz w:val="16"/>
                <w:szCs w:val="16"/>
              </w:rPr>
            </w:pPr>
            <w:r w:rsidRPr="00951AB1">
              <w:rPr>
                <w:rFonts w:cs="Times New Roman"/>
                <w:color w:val="000000"/>
                <w:sz w:val="16"/>
                <w:szCs w:val="16"/>
              </w:rPr>
              <w:t>96.503.809</w:t>
            </w:r>
          </w:p>
        </w:tc>
        <w:tc>
          <w:tcPr>
            <w:tcW w:w="724" w:type="pct"/>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tcMar>
              <w:left w:w="70" w:type="dxa"/>
              <w:right w:w="70" w:type="dxa"/>
            </w:tcMar>
            <w:vAlign w:val="center"/>
          </w:tcPr>
          <w:p w14:paraId="748193D4" w14:textId="77777777" w:rsidR="005E64D9" w:rsidRPr="00951AB1" w:rsidRDefault="005E64D9" w:rsidP="000A5389">
            <w:pPr>
              <w:spacing w:line="240" w:lineRule="auto"/>
              <w:jc w:val="right"/>
              <w:rPr>
                <w:rFonts w:eastAsia="Times New Roman" w:cs="Times New Roman"/>
                <w:color w:val="000000" w:themeColor="text1"/>
                <w:sz w:val="16"/>
                <w:szCs w:val="16"/>
              </w:rPr>
            </w:pPr>
            <w:r w:rsidRPr="00951AB1">
              <w:rPr>
                <w:rFonts w:cs="Times New Roman"/>
                <w:color w:val="000000"/>
                <w:sz w:val="16"/>
                <w:szCs w:val="16"/>
              </w:rPr>
              <w:t>96.503.809</w:t>
            </w:r>
          </w:p>
        </w:tc>
        <w:tc>
          <w:tcPr>
            <w:tcW w:w="745" w:type="pct"/>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tcMar>
              <w:left w:w="70" w:type="dxa"/>
              <w:right w:w="70" w:type="dxa"/>
            </w:tcMar>
            <w:vAlign w:val="center"/>
          </w:tcPr>
          <w:p w14:paraId="2A112FD1" w14:textId="77777777" w:rsidR="005E64D9" w:rsidRPr="00951AB1" w:rsidRDefault="005E64D9" w:rsidP="000A5389">
            <w:pPr>
              <w:spacing w:line="240" w:lineRule="auto"/>
              <w:jc w:val="right"/>
              <w:rPr>
                <w:rFonts w:eastAsia="Times New Roman" w:cs="Times New Roman"/>
                <w:color w:val="000000" w:themeColor="text1"/>
                <w:sz w:val="16"/>
                <w:szCs w:val="16"/>
              </w:rPr>
            </w:pPr>
            <w:r w:rsidRPr="00951AB1">
              <w:rPr>
                <w:rFonts w:cs="Times New Roman"/>
                <w:color w:val="000000"/>
                <w:sz w:val="16"/>
                <w:szCs w:val="16"/>
              </w:rPr>
              <w:t>0</w:t>
            </w:r>
          </w:p>
        </w:tc>
      </w:tr>
      <w:tr w:rsidR="005E64D9" w:rsidRPr="00951AB1" w14:paraId="74E61CAC" w14:textId="77777777" w:rsidTr="005E64D9">
        <w:trPr>
          <w:trHeight w:val="340"/>
          <w:tblHeader/>
        </w:trPr>
        <w:tc>
          <w:tcPr>
            <w:tcW w:w="637" w:type="pct"/>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tcMar>
              <w:left w:w="70" w:type="dxa"/>
              <w:right w:w="70" w:type="dxa"/>
            </w:tcMar>
            <w:vAlign w:val="center"/>
          </w:tcPr>
          <w:p w14:paraId="4DF45777" w14:textId="77777777" w:rsidR="005E64D9" w:rsidRPr="00951AB1" w:rsidRDefault="005E64D9" w:rsidP="000A5389">
            <w:pPr>
              <w:spacing w:line="240" w:lineRule="auto"/>
              <w:jc w:val="center"/>
              <w:rPr>
                <w:rFonts w:cs="Times New Roman"/>
              </w:rPr>
            </w:pPr>
            <w:r w:rsidRPr="00951AB1">
              <w:rPr>
                <w:rFonts w:cs="Times New Roman"/>
                <w:color w:val="000000"/>
                <w:sz w:val="16"/>
                <w:szCs w:val="16"/>
              </w:rPr>
              <w:t>1.3.86</w:t>
            </w:r>
          </w:p>
        </w:tc>
        <w:tc>
          <w:tcPr>
            <w:tcW w:w="404" w:type="pct"/>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tcMar>
              <w:left w:w="70" w:type="dxa"/>
              <w:right w:w="70" w:type="dxa"/>
            </w:tcMar>
            <w:vAlign w:val="center"/>
          </w:tcPr>
          <w:p w14:paraId="31CC4C78" w14:textId="77777777" w:rsidR="005E64D9" w:rsidRPr="00951AB1" w:rsidRDefault="005E64D9" w:rsidP="000A5389">
            <w:pPr>
              <w:spacing w:line="240" w:lineRule="auto"/>
              <w:jc w:val="center"/>
              <w:rPr>
                <w:rFonts w:cs="Times New Roman"/>
              </w:rPr>
            </w:pPr>
            <w:r w:rsidRPr="00951AB1">
              <w:rPr>
                <w:rFonts w:cs="Times New Roman"/>
                <w:color w:val="000000"/>
                <w:sz w:val="16"/>
                <w:szCs w:val="16"/>
              </w:rPr>
              <w:t>Cr</w:t>
            </w:r>
          </w:p>
        </w:tc>
        <w:tc>
          <w:tcPr>
            <w:tcW w:w="1686" w:type="pct"/>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tcMar>
              <w:left w:w="70" w:type="dxa"/>
              <w:right w:w="70" w:type="dxa"/>
            </w:tcMar>
            <w:vAlign w:val="center"/>
          </w:tcPr>
          <w:p w14:paraId="059E6214" w14:textId="5D90471F" w:rsidR="005E64D9" w:rsidRPr="00951AB1" w:rsidRDefault="005E64D9" w:rsidP="000A5389">
            <w:pPr>
              <w:spacing w:line="240" w:lineRule="auto"/>
              <w:rPr>
                <w:rFonts w:cs="Times New Roman"/>
              </w:rPr>
            </w:pPr>
            <w:r w:rsidRPr="00951AB1">
              <w:rPr>
                <w:rFonts w:cs="Times New Roman"/>
                <w:color w:val="000000"/>
                <w:sz w:val="16"/>
                <w:szCs w:val="16"/>
              </w:rPr>
              <w:t>Deterioro Acumulado de Cuentas Por Cobrar (Cr)</w:t>
            </w:r>
          </w:p>
        </w:tc>
        <w:tc>
          <w:tcPr>
            <w:tcW w:w="804" w:type="pct"/>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tcMar>
              <w:left w:w="70" w:type="dxa"/>
              <w:right w:w="70" w:type="dxa"/>
            </w:tcMar>
            <w:vAlign w:val="center"/>
          </w:tcPr>
          <w:p w14:paraId="28253B82" w14:textId="77777777" w:rsidR="005E64D9" w:rsidRPr="00951AB1" w:rsidRDefault="005E64D9" w:rsidP="000A5389">
            <w:pPr>
              <w:spacing w:line="240" w:lineRule="auto"/>
              <w:jc w:val="right"/>
              <w:rPr>
                <w:rFonts w:cs="Times New Roman"/>
              </w:rPr>
            </w:pPr>
            <w:r w:rsidRPr="00951AB1">
              <w:rPr>
                <w:rFonts w:cs="Times New Roman"/>
                <w:color w:val="000000"/>
                <w:sz w:val="16"/>
                <w:szCs w:val="16"/>
              </w:rPr>
              <w:t>-267.324.960.592</w:t>
            </w:r>
          </w:p>
        </w:tc>
        <w:tc>
          <w:tcPr>
            <w:tcW w:w="724" w:type="pct"/>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tcMar>
              <w:left w:w="70" w:type="dxa"/>
              <w:right w:w="70" w:type="dxa"/>
            </w:tcMar>
            <w:vAlign w:val="center"/>
          </w:tcPr>
          <w:p w14:paraId="3768C471" w14:textId="77777777" w:rsidR="005E64D9" w:rsidRPr="00951AB1" w:rsidRDefault="005E64D9" w:rsidP="000A5389">
            <w:pPr>
              <w:spacing w:line="240" w:lineRule="auto"/>
              <w:jc w:val="right"/>
              <w:rPr>
                <w:rFonts w:cs="Times New Roman"/>
              </w:rPr>
            </w:pPr>
            <w:r w:rsidRPr="00951AB1">
              <w:rPr>
                <w:rFonts w:cs="Times New Roman"/>
                <w:color w:val="000000"/>
                <w:sz w:val="16"/>
                <w:szCs w:val="16"/>
              </w:rPr>
              <w:t>-338.500.904.146</w:t>
            </w:r>
          </w:p>
        </w:tc>
        <w:tc>
          <w:tcPr>
            <w:tcW w:w="745" w:type="pct"/>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tcMar>
              <w:left w:w="70" w:type="dxa"/>
              <w:right w:w="70" w:type="dxa"/>
            </w:tcMar>
            <w:vAlign w:val="center"/>
          </w:tcPr>
          <w:p w14:paraId="4944F133" w14:textId="77777777" w:rsidR="005E64D9" w:rsidRPr="00951AB1" w:rsidRDefault="005E64D9" w:rsidP="000A5389">
            <w:pPr>
              <w:spacing w:line="240" w:lineRule="auto"/>
              <w:jc w:val="right"/>
              <w:rPr>
                <w:rFonts w:cs="Times New Roman"/>
              </w:rPr>
            </w:pPr>
            <w:r w:rsidRPr="00951AB1">
              <w:rPr>
                <w:rFonts w:cs="Times New Roman"/>
                <w:color w:val="000000"/>
                <w:sz w:val="16"/>
                <w:szCs w:val="16"/>
              </w:rPr>
              <w:t>71.175.943.554</w:t>
            </w:r>
          </w:p>
        </w:tc>
      </w:tr>
    </w:tbl>
    <w:p w14:paraId="56C55D97" w14:textId="77777777" w:rsidR="005E64D9" w:rsidRPr="00951AB1" w:rsidRDefault="005E64D9" w:rsidP="000A5389">
      <w:pPr>
        <w:spacing w:line="240" w:lineRule="auto"/>
        <w:rPr>
          <w:rFonts w:cs="Times New Roman"/>
        </w:rPr>
      </w:pPr>
      <w:r w:rsidRPr="00951AB1">
        <w:rPr>
          <w:rFonts w:eastAsia="Times New Roman" w:cs="Times New Roman"/>
          <w:sz w:val="14"/>
          <w:szCs w:val="14"/>
        </w:rPr>
        <w:t>Cifras expresadas en pesos</w:t>
      </w:r>
    </w:p>
    <w:p w14:paraId="2835F4AD" w14:textId="77777777" w:rsidR="00166D40" w:rsidRPr="00951AB1" w:rsidRDefault="00166D40" w:rsidP="000A5389">
      <w:pPr>
        <w:autoSpaceDE w:val="0"/>
        <w:autoSpaceDN w:val="0"/>
        <w:adjustRightInd w:val="0"/>
        <w:spacing w:line="240" w:lineRule="auto"/>
        <w:rPr>
          <w:rFonts w:cs="Times New Roman"/>
          <w:szCs w:val="24"/>
        </w:rPr>
      </w:pPr>
    </w:p>
    <w:p w14:paraId="63BAF5D3" w14:textId="6E3005A7" w:rsidR="005E64D9" w:rsidRPr="00951AB1" w:rsidRDefault="005E64D9" w:rsidP="000A5389">
      <w:pPr>
        <w:pStyle w:val="Ttulo2"/>
        <w:numPr>
          <w:ilvl w:val="1"/>
          <w:numId w:val="77"/>
        </w:numPr>
        <w:spacing w:line="240" w:lineRule="auto"/>
        <w:rPr>
          <w:rFonts w:cs="Times New Roman"/>
          <w:szCs w:val="24"/>
        </w:rPr>
      </w:pPr>
      <w:bookmarkStart w:id="235" w:name="_Toc191369500"/>
      <w:bookmarkStart w:id="236" w:name="_Toc191456830"/>
      <w:bookmarkStart w:id="237" w:name="_Toc191456940"/>
      <w:bookmarkStart w:id="238" w:name="_Toc191457050"/>
      <w:bookmarkStart w:id="239" w:name="_Toc191475677"/>
      <w:bookmarkStart w:id="240" w:name="_Toc191475786"/>
      <w:bookmarkStart w:id="241" w:name="_Toc191475895"/>
      <w:bookmarkStart w:id="242" w:name="_Toc191475418"/>
      <w:bookmarkStart w:id="243" w:name="_Toc191505794"/>
      <w:r w:rsidRPr="00951AB1">
        <w:rPr>
          <w:rFonts w:cs="Times New Roman"/>
          <w:szCs w:val="24"/>
        </w:rPr>
        <w:t xml:space="preserve">  </w:t>
      </w:r>
      <w:r w:rsidRPr="00951AB1">
        <w:rPr>
          <w:rFonts w:cs="Times New Roman"/>
          <w:szCs w:val="24"/>
        </w:rPr>
        <w:tab/>
      </w:r>
      <w:bookmarkStart w:id="244" w:name="_Toc222955472"/>
      <w:r w:rsidRPr="00951AB1">
        <w:rPr>
          <w:rFonts w:cs="Times New Roman"/>
          <w:szCs w:val="24"/>
        </w:rPr>
        <w:t>Cuentas por cobrar de difícil recaudo</w:t>
      </w:r>
      <w:bookmarkEnd w:id="235"/>
      <w:bookmarkEnd w:id="236"/>
      <w:bookmarkEnd w:id="237"/>
      <w:bookmarkEnd w:id="238"/>
      <w:bookmarkEnd w:id="239"/>
      <w:bookmarkEnd w:id="240"/>
      <w:bookmarkEnd w:id="241"/>
      <w:bookmarkEnd w:id="242"/>
      <w:bookmarkEnd w:id="243"/>
      <w:bookmarkEnd w:id="244"/>
      <w:r w:rsidRPr="00951AB1">
        <w:rPr>
          <w:rFonts w:cs="Times New Roman"/>
          <w:szCs w:val="24"/>
        </w:rPr>
        <w:t xml:space="preserve"> </w:t>
      </w:r>
    </w:p>
    <w:p w14:paraId="40FF27A9" w14:textId="77777777" w:rsidR="005E64D9" w:rsidRPr="00951AB1" w:rsidRDefault="005E64D9" w:rsidP="000A5389">
      <w:pPr>
        <w:spacing w:line="240" w:lineRule="auto"/>
        <w:rPr>
          <w:rFonts w:cs="Times New Roman"/>
        </w:rPr>
      </w:pPr>
    </w:p>
    <w:p w14:paraId="7FA608E1" w14:textId="267A6847" w:rsidR="005E64D9" w:rsidRPr="00951AB1" w:rsidRDefault="005E64D9" w:rsidP="000A5389">
      <w:pPr>
        <w:spacing w:line="240" w:lineRule="auto"/>
        <w:rPr>
          <w:rFonts w:cs="Times New Roman"/>
          <w:szCs w:val="24"/>
        </w:rPr>
      </w:pPr>
      <w:r w:rsidRPr="00951AB1">
        <w:rPr>
          <w:rFonts w:cs="Times New Roman"/>
          <w:szCs w:val="24"/>
        </w:rPr>
        <w:t>Representa el valor de las cuentas por cobrar a favor de la entidad pendientes de recaudo, que por su antigüedad y morosidad han sido reclasificadas desde la cuenta principal.</w:t>
      </w:r>
    </w:p>
    <w:p w14:paraId="1FAFA603" w14:textId="77777777" w:rsidR="005E64D9" w:rsidRPr="00951AB1" w:rsidRDefault="005E64D9" w:rsidP="000A5389">
      <w:pPr>
        <w:spacing w:line="240" w:lineRule="auto"/>
        <w:rPr>
          <w:rFonts w:cs="Times New Roman"/>
          <w:szCs w:val="24"/>
        </w:rPr>
      </w:pPr>
    </w:p>
    <w:p w14:paraId="308087C0" w14:textId="77777777" w:rsidR="005E64D9" w:rsidRPr="00951AB1" w:rsidRDefault="005E64D9" w:rsidP="000A5389">
      <w:pPr>
        <w:spacing w:line="240" w:lineRule="auto"/>
        <w:rPr>
          <w:rFonts w:cs="Times New Roman"/>
          <w:szCs w:val="24"/>
        </w:rPr>
      </w:pPr>
      <w:r w:rsidRPr="00951AB1">
        <w:rPr>
          <w:rFonts w:cs="Times New Roman"/>
          <w:szCs w:val="24"/>
        </w:rPr>
        <w:t>Composición de las cuentas por cobrar de difícil recaudo:</w:t>
      </w:r>
    </w:p>
    <w:p w14:paraId="4DE48F3D" w14:textId="77777777" w:rsidR="005E64D9" w:rsidRPr="00951AB1" w:rsidRDefault="005E64D9" w:rsidP="000A5389">
      <w:pPr>
        <w:spacing w:line="240" w:lineRule="auto"/>
        <w:rPr>
          <w:rFonts w:cs="Times New Roman"/>
          <w:szCs w:val="24"/>
        </w:rPr>
      </w:pPr>
    </w:p>
    <w:tbl>
      <w:tblPr>
        <w:tblW w:w="5000" w:type="pct"/>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CellMar>
          <w:left w:w="70" w:type="dxa"/>
          <w:right w:w="70" w:type="dxa"/>
        </w:tblCellMar>
        <w:tblLook w:val="04A0" w:firstRow="1" w:lastRow="0" w:firstColumn="1" w:lastColumn="0" w:noHBand="0" w:noVBand="1"/>
      </w:tblPr>
      <w:tblGrid>
        <w:gridCol w:w="1065"/>
        <w:gridCol w:w="3538"/>
        <w:gridCol w:w="1444"/>
        <w:gridCol w:w="1414"/>
        <w:gridCol w:w="1367"/>
      </w:tblGrid>
      <w:tr w:rsidR="005E64D9" w:rsidRPr="007A0E01" w14:paraId="09A5285C" w14:textId="77777777" w:rsidTr="00FB6F32">
        <w:trPr>
          <w:trHeight w:val="225"/>
        </w:trPr>
        <w:tc>
          <w:tcPr>
            <w:tcW w:w="603" w:type="pct"/>
            <w:shd w:val="clear" w:color="auto" w:fill="FFFFFF" w:themeFill="background1"/>
            <w:vAlign w:val="center"/>
            <w:hideMark/>
          </w:tcPr>
          <w:p w14:paraId="545803BB" w14:textId="77777777" w:rsidR="005E64D9" w:rsidRPr="007A0E01" w:rsidRDefault="005E64D9" w:rsidP="000A5389">
            <w:pPr>
              <w:spacing w:line="240" w:lineRule="auto"/>
              <w:jc w:val="center"/>
              <w:rPr>
                <w:rFonts w:eastAsia="Times New Roman" w:cs="Times New Roman"/>
                <w:b/>
                <w:bCs/>
                <w:sz w:val="16"/>
                <w:szCs w:val="16"/>
                <w:lang w:eastAsia="es-CO"/>
              </w:rPr>
            </w:pPr>
            <w:r w:rsidRPr="007A0E01">
              <w:rPr>
                <w:rFonts w:eastAsia="Times New Roman" w:cs="Times New Roman"/>
                <w:b/>
                <w:bCs/>
                <w:sz w:val="16"/>
                <w:szCs w:val="16"/>
                <w:lang w:eastAsia="es-CO"/>
              </w:rPr>
              <w:t>CÓD</w:t>
            </w:r>
          </w:p>
        </w:tc>
        <w:tc>
          <w:tcPr>
            <w:tcW w:w="2004" w:type="pct"/>
            <w:shd w:val="clear" w:color="auto" w:fill="FFFFFF" w:themeFill="background1"/>
            <w:vAlign w:val="center"/>
            <w:hideMark/>
          </w:tcPr>
          <w:p w14:paraId="4F93FE57" w14:textId="77777777" w:rsidR="005E64D9" w:rsidRPr="007A0E01" w:rsidRDefault="005E64D9" w:rsidP="000A5389">
            <w:pPr>
              <w:spacing w:line="240" w:lineRule="auto"/>
              <w:jc w:val="center"/>
              <w:rPr>
                <w:rFonts w:eastAsia="Times New Roman" w:cs="Times New Roman"/>
                <w:b/>
                <w:bCs/>
                <w:sz w:val="16"/>
                <w:szCs w:val="16"/>
                <w:lang w:eastAsia="es-CO"/>
              </w:rPr>
            </w:pPr>
            <w:r w:rsidRPr="007A0E01">
              <w:rPr>
                <w:rFonts w:eastAsia="Times New Roman" w:cs="Times New Roman"/>
                <w:b/>
                <w:bCs/>
                <w:sz w:val="16"/>
                <w:szCs w:val="16"/>
                <w:lang w:eastAsia="es-CO"/>
              </w:rPr>
              <w:t>CONCEPTO</w:t>
            </w:r>
          </w:p>
        </w:tc>
        <w:tc>
          <w:tcPr>
            <w:tcW w:w="818" w:type="pct"/>
            <w:shd w:val="clear" w:color="auto" w:fill="FFFFFF" w:themeFill="background1"/>
            <w:vAlign w:val="center"/>
            <w:hideMark/>
          </w:tcPr>
          <w:p w14:paraId="7B912E89" w14:textId="77777777" w:rsidR="005E64D9" w:rsidRPr="007A0E01" w:rsidRDefault="005E64D9" w:rsidP="000A5389">
            <w:pPr>
              <w:spacing w:line="240" w:lineRule="auto"/>
              <w:jc w:val="center"/>
              <w:rPr>
                <w:rFonts w:eastAsia="Times New Roman" w:cs="Times New Roman"/>
                <w:b/>
                <w:bCs/>
                <w:sz w:val="16"/>
                <w:szCs w:val="16"/>
                <w:lang w:eastAsia="es-CO"/>
              </w:rPr>
            </w:pPr>
            <w:r w:rsidRPr="007A0E01">
              <w:rPr>
                <w:rFonts w:eastAsia="Times New Roman" w:cs="Times New Roman"/>
                <w:b/>
                <w:bCs/>
                <w:sz w:val="16"/>
                <w:szCs w:val="16"/>
                <w:lang w:eastAsia="es-CO"/>
              </w:rPr>
              <w:t xml:space="preserve">2025 </w:t>
            </w:r>
          </w:p>
        </w:tc>
        <w:tc>
          <w:tcPr>
            <w:tcW w:w="801" w:type="pct"/>
            <w:shd w:val="clear" w:color="auto" w:fill="FFFFFF" w:themeFill="background1"/>
            <w:vAlign w:val="center"/>
            <w:hideMark/>
          </w:tcPr>
          <w:p w14:paraId="0BB3434C" w14:textId="4159E14E" w:rsidR="005E64D9" w:rsidRPr="007A0E01" w:rsidRDefault="005E64D9" w:rsidP="000A5389">
            <w:pPr>
              <w:spacing w:line="240" w:lineRule="auto"/>
              <w:jc w:val="center"/>
              <w:rPr>
                <w:rFonts w:eastAsia="Times New Roman" w:cs="Times New Roman"/>
                <w:b/>
                <w:bCs/>
                <w:sz w:val="16"/>
                <w:szCs w:val="16"/>
                <w:lang w:eastAsia="es-CO"/>
              </w:rPr>
            </w:pPr>
            <w:r w:rsidRPr="007A0E01">
              <w:rPr>
                <w:rFonts w:eastAsia="Times New Roman" w:cs="Times New Roman"/>
                <w:b/>
                <w:bCs/>
                <w:sz w:val="16"/>
                <w:szCs w:val="16"/>
                <w:lang w:eastAsia="es-CO"/>
              </w:rPr>
              <w:t>202</w:t>
            </w:r>
            <w:r w:rsidR="15400947" w:rsidRPr="007A0E01">
              <w:rPr>
                <w:rFonts w:eastAsia="Times New Roman" w:cs="Times New Roman"/>
                <w:b/>
                <w:bCs/>
                <w:sz w:val="16"/>
                <w:szCs w:val="16"/>
                <w:lang w:eastAsia="es-CO"/>
              </w:rPr>
              <w:t>4</w:t>
            </w:r>
          </w:p>
        </w:tc>
        <w:tc>
          <w:tcPr>
            <w:tcW w:w="774" w:type="pct"/>
            <w:shd w:val="clear" w:color="auto" w:fill="FFFFFF" w:themeFill="background1"/>
            <w:vAlign w:val="center"/>
            <w:hideMark/>
          </w:tcPr>
          <w:p w14:paraId="77296218" w14:textId="77777777" w:rsidR="005E64D9" w:rsidRPr="007A0E01" w:rsidRDefault="005E64D9" w:rsidP="000A5389">
            <w:pPr>
              <w:spacing w:line="240" w:lineRule="auto"/>
              <w:jc w:val="center"/>
              <w:rPr>
                <w:rFonts w:eastAsia="Times New Roman" w:cs="Times New Roman"/>
                <w:b/>
                <w:bCs/>
                <w:sz w:val="16"/>
                <w:szCs w:val="16"/>
                <w:lang w:eastAsia="es-CO"/>
              </w:rPr>
            </w:pPr>
            <w:r w:rsidRPr="007A0E01">
              <w:rPr>
                <w:rFonts w:eastAsia="Times New Roman" w:cs="Times New Roman"/>
                <w:b/>
                <w:bCs/>
                <w:sz w:val="16"/>
                <w:szCs w:val="16"/>
                <w:lang w:eastAsia="es-CO"/>
              </w:rPr>
              <w:t>VARIACIÓN</w:t>
            </w:r>
          </w:p>
        </w:tc>
      </w:tr>
      <w:tr w:rsidR="005E64D9" w:rsidRPr="007A0E01" w14:paraId="214F7154" w14:textId="77777777" w:rsidTr="00FB6F32">
        <w:trPr>
          <w:trHeight w:val="225"/>
        </w:trPr>
        <w:tc>
          <w:tcPr>
            <w:tcW w:w="603" w:type="pct"/>
            <w:shd w:val="clear" w:color="auto" w:fill="FFFFFF" w:themeFill="background1"/>
            <w:noWrap/>
            <w:vAlign w:val="center"/>
            <w:hideMark/>
          </w:tcPr>
          <w:p w14:paraId="200A0BCB" w14:textId="77777777" w:rsidR="005E64D9" w:rsidRPr="007A0E01" w:rsidRDefault="005E64D9" w:rsidP="000A5389">
            <w:pPr>
              <w:spacing w:line="240" w:lineRule="auto"/>
              <w:rPr>
                <w:rFonts w:eastAsia="Times New Roman" w:cs="Times New Roman"/>
                <w:sz w:val="16"/>
                <w:szCs w:val="16"/>
                <w:lang w:eastAsia="es-CO"/>
              </w:rPr>
            </w:pPr>
            <w:r w:rsidRPr="007A0E01">
              <w:rPr>
                <w:rFonts w:eastAsia="Times New Roman" w:cs="Times New Roman"/>
                <w:sz w:val="16"/>
                <w:szCs w:val="16"/>
                <w:lang w:eastAsia="es-CO"/>
              </w:rPr>
              <w:t>1.3.85</w:t>
            </w:r>
          </w:p>
        </w:tc>
        <w:tc>
          <w:tcPr>
            <w:tcW w:w="2004" w:type="pct"/>
            <w:shd w:val="clear" w:color="auto" w:fill="FFFFFF" w:themeFill="background1"/>
            <w:vAlign w:val="center"/>
            <w:hideMark/>
          </w:tcPr>
          <w:p w14:paraId="3C733154" w14:textId="77777777" w:rsidR="005E64D9" w:rsidRPr="007A0E01" w:rsidRDefault="005E64D9" w:rsidP="000A5389">
            <w:pPr>
              <w:spacing w:line="240" w:lineRule="auto"/>
              <w:rPr>
                <w:rFonts w:eastAsia="Times New Roman" w:cs="Times New Roman"/>
                <w:sz w:val="16"/>
                <w:szCs w:val="16"/>
                <w:lang w:eastAsia="es-CO"/>
              </w:rPr>
            </w:pPr>
            <w:r w:rsidRPr="007A0E01">
              <w:rPr>
                <w:rFonts w:eastAsia="Times New Roman" w:cs="Times New Roman"/>
                <w:sz w:val="16"/>
                <w:szCs w:val="16"/>
                <w:lang w:eastAsia="es-CO"/>
              </w:rPr>
              <w:t>CUENTAS POR COBRAR DE DIFÍCIL RECAUDO</w:t>
            </w:r>
          </w:p>
        </w:tc>
        <w:tc>
          <w:tcPr>
            <w:tcW w:w="818" w:type="pct"/>
            <w:shd w:val="clear" w:color="auto" w:fill="FFFFFF" w:themeFill="background1"/>
            <w:noWrap/>
            <w:vAlign w:val="center"/>
            <w:hideMark/>
          </w:tcPr>
          <w:p w14:paraId="2A384167" w14:textId="77777777" w:rsidR="005E64D9" w:rsidRPr="007A0E01" w:rsidRDefault="005E64D9" w:rsidP="000A5389">
            <w:pPr>
              <w:spacing w:line="240" w:lineRule="auto"/>
              <w:jc w:val="right"/>
              <w:rPr>
                <w:rFonts w:eastAsia="Times New Roman" w:cs="Times New Roman"/>
                <w:sz w:val="16"/>
                <w:szCs w:val="16"/>
                <w:lang w:eastAsia="es-CO"/>
              </w:rPr>
            </w:pPr>
            <w:r w:rsidRPr="007A0E01">
              <w:rPr>
                <w:rFonts w:eastAsia="Times New Roman" w:cs="Times New Roman"/>
                <w:sz w:val="16"/>
                <w:szCs w:val="16"/>
                <w:lang w:eastAsia="es-CO"/>
              </w:rPr>
              <w:t>384.910.511.044</w:t>
            </w:r>
          </w:p>
        </w:tc>
        <w:tc>
          <w:tcPr>
            <w:tcW w:w="801" w:type="pct"/>
            <w:shd w:val="clear" w:color="auto" w:fill="FFFFFF" w:themeFill="background1"/>
            <w:noWrap/>
            <w:vAlign w:val="center"/>
            <w:hideMark/>
          </w:tcPr>
          <w:p w14:paraId="4B31D6BF" w14:textId="77777777" w:rsidR="005E64D9" w:rsidRPr="007A0E01" w:rsidRDefault="005E64D9" w:rsidP="000A5389">
            <w:pPr>
              <w:spacing w:line="240" w:lineRule="auto"/>
              <w:jc w:val="right"/>
              <w:rPr>
                <w:rFonts w:eastAsia="Times New Roman" w:cs="Times New Roman"/>
                <w:sz w:val="16"/>
                <w:szCs w:val="16"/>
                <w:lang w:eastAsia="es-CO"/>
              </w:rPr>
            </w:pPr>
            <w:r w:rsidRPr="007A0E01">
              <w:rPr>
                <w:rFonts w:eastAsia="Times New Roman" w:cs="Times New Roman"/>
                <w:sz w:val="16"/>
                <w:szCs w:val="16"/>
                <w:lang w:eastAsia="es-CO"/>
              </w:rPr>
              <w:t>384.910.511.044</w:t>
            </w:r>
          </w:p>
        </w:tc>
        <w:tc>
          <w:tcPr>
            <w:tcW w:w="774" w:type="pct"/>
            <w:shd w:val="clear" w:color="auto" w:fill="FFFFFF" w:themeFill="background1"/>
            <w:noWrap/>
            <w:vAlign w:val="center"/>
            <w:hideMark/>
          </w:tcPr>
          <w:p w14:paraId="52083E6B" w14:textId="77777777" w:rsidR="005E64D9" w:rsidRPr="007A0E01" w:rsidRDefault="005E64D9" w:rsidP="000A5389">
            <w:pPr>
              <w:spacing w:line="240" w:lineRule="auto"/>
              <w:jc w:val="right"/>
              <w:rPr>
                <w:rFonts w:eastAsia="Times New Roman" w:cs="Times New Roman"/>
                <w:sz w:val="16"/>
                <w:szCs w:val="16"/>
                <w:lang w:eastAsia="es-CO"/>
              </w:rPr>
            </w:pPr>
            <w:r w:rsidRPr="007A0E01">
              <w:rPr>
                <w:rFonts w:eastAsia="Times New Roman" w:cs="Times New Roman"/>
                <w:sz w:val="16"/>
                <w:szCs w:val="16"/>
                <w:lang w:eastAsia="es-CO"/>
              </w:rPr>
              <w:t>0</w:t>
            </w:r>
          </w:p>
        </w:tc>
      </w:tr>
      <w:tr w:rsidR="005E64D9" w:rsidRPr="007A0E01" w14:paraId="2A8873C8" w14:textId="77777777" w:rsidTr="00FB6F32">
        <w:trPr>
          <w:trHeight w:val="450"/>
        </w:trPr>
        <w:tc>
          <w:tcPr>
            <w:tcW w:w="603" w:type="pct"/>
            <w:shd w:val="clear" w:color="auto" w:fill="FFFFFF" w:themeFill="background1"/>
            <w:noWrap/>
            <w:vAlign w:val="center"/>
            <w:hideMark/>
          </w:tcPr>
          <w:p w14:paraId="7FBB70EA" w14:textId="77777777" w:rsidR="005E64D9" w:rsidRPr="007A0E01" w:rsidRDefault="005E64D9" w:rsidP="000A5389">
            <w:pPr>
              <w:spacing w:line="240" w:lineRule="auto"/>
              <w:rPr>
                <w:rFonts w:eastAsia="Times New Roman" w:cs="Times New Roman"/>
                <w:sz w:val="16"/>
                <w:szCs w:val="16"/>
                <w:lang w:eastAsia="es-CO"/>
              </w:rPr>
            </w:pPr>
            <w:r w:rsidRPr="007A0E01">
              <w:rPr>
                <w:rFonts w:eastAsia="Times New Roman" w:cs="Times New Roman"/>
                <w:sz w:val="16"/>
                <w:szCs w:val="16"/>
                <w:lang w:eastAsia="es-CO"/>
              </w:rPr>
              <w:t>1.3.85.20</w:t>
            </w:r>
          </w:p>
        </w:tc>
        <w:tc>
          <w:tcPr>
            <w:tcW w:w="2004" w:type="pct"/>
            <w:shd w:val="clear" w:color="auto" w:fill="FFFFFF" w:themeFill="background1"/>
            <w:vAlign w:val="center"/>
            <w:hideMark/>
          </w:tcPr>
          <w:p w14:paraId="54E7B333" w14:textId="77777777" w:rsidR="005E64D9" w:rsidRPr="007A0E01" w:rsidRDefault="005E64D9" w:rsidP="000A5389">
            <w:pPr>
              <w:spacing w:line="240" w:lineRule="auto"/>
              <w:rPr>
                <w:rFonts w:eastAsia="Times New Roman" w:cs="Times New Roman"/>
                <w:sz w:val="16"/>
                <w:szCs w:val="16"/>
                <w:lang w:eastAsia="es-CO"/>
              </w:rPr>
            </w:pPr>
            <w:r w:rsidRPr="007A0E01">
              <w:rPr>
                <w:rFonts w:eastAsia="Times New Roman" w:cs="Times New Roman"/>
                <w:sz w:val="16"/>
                <w:szCs w:val="16"/>
                <w:lang w:eastAsia="es-CO"/>
              </w:rPr>
              <w:t>Sentencias, laudos arbitrales y conciliaciones extrajudiciales a favor</w:t>
            </w:r>
          </w:p>
        </w:tc>
        <w:tc>
          <w:tcPr>
            <w:tcW w:w="818" w:type="pct"/>
            <w:shd w:val="clear" w:color="auto" w:fill="FFFFFF" w:themeFill="background1"/>
            <w:noWrap/>
            <w:vAlign w:val="center"/>
            <w:hideMark/>
          </w:tcPr>
          <w:p w14:paraId="57D27E79" w14:textId="77777777" w:rsidR="005E64D9" w:rsidRPr="007A0E01" w:rsidRDefault="005E64D9" w:rsidP="000A5389">
            <w:pPr>
              <w:spacing w:line="240" w:lineRule="auto"/>
              <w:jc w:val="right"/>
              <w:rPr>
                <w:rFonts w:eastAsia="Times New Roman" w:cs="Times New Roman"/>
                <w:sz w:val="16"/>
                <w:szCs w:val="16"/>
                <w:lang w:eastAsia="es-CO"/>
              </w:rPr>
            </w:pPr>
            <w:r w:rsidRPr="007A0E01">
              <w:rPr>
                <w:rFonts w:eastAsia="Times New Roman" w:cs="Times New Roman"/>
                <w:sz w:val="16"/>
                <w:szCs w:val="16"/>
                <w:lang w:eastAsia="es-CO"/>
              </w:rPr>
              <w:t>384.588.158.996</w:t>
            </w:r>
          </w:p>
        </w:tc>
        <w:tc>
          <w:tcPr>
            <w:tcW w:w="801" w:type="pct"/>
            <w:shd w:val="clear" w:color="auto" w:fill="FFFFFF" w:themeFill="background1"/>
            <w:noWrap/>
            <w:vAlign w:val="center"/>
            <w:hideMark/>
          </w:tcPr>
          <w:p w14:paraId="414AC4B8" w14:textId="77777777" w:rsidR="005E64D9" w:rsidRPr="007A0E01" w:rsidRDefault="005E64D9" w:rsidP="000A5389">
            <w:pPr>
              <w:spacing w:line="240" w:lineRule="auto"/>
              <w:jc w:val="right"/>
              <w:rPr>
                <w:rFonts w:eastAsia="Times New Roman" w:cs="Times New Roman"/>
                <w:sz w:val="16"/>
                <w:szCs w:val="16"/>
                <w:lang w:eastAsia="es-CO"/>
              </w:rPr>
            </w:pPr>
            <w:r w:rsidRPr="007A0E01">
              <w:rPr>
                <w:rFonts w:eastAsia="Times New Roman" w:cs="Times New Roman"/>
                <w:sz w:val="16"/>
                <w:szCs w:val="16"/>
                <w:lang w:eastAsia="es-CO"/>
              </w:rPr>
              <w:t>384.588.158.996</w:t>
            </w:r>
          </w:p>
        </w:tc>
        <w:tc>
          <w:tcPr>
            <w:tcW w:w="774" w:type="pct"/>
            <w:shd w:val="clear" w:color="auto" w:fill="FFFFFF" w:themeFill="background1"/>
            <w:noWrap/>
            <w:vAlign w:val="center"/>
            <w:hideMark/>
          </w:tcPr>
          <w:p w14:paraId="6C699BBC" w14:textId="77777777" w:rsidR="005E64D9" w:rsidRPr="007A0E01" w:rsidRDefault="005E64D9" w:rsidP="000A5389">
            <w:pPr>
              <w:spacing w:line="240" w:lineRule="auto"/>
              <w:jc w:val="right"/>
              <w:rPr>
                <w:rFonts w:eastAsia="Times New Roman" w:cs="Times New Roman"/>
                <w:sz w:val="16"/>
                <w:szCs w:val="16"/>
                <w:lang w:eastAsia="es-CO"/>
              </w:rPr>
            </w:pPr>
            <w:r w:rsidRPr="007A0E01">
              <w:rPr>
                <w:rFonts w:eastAsia="Times New Roman" w:cs="Times New Roman"/>
                <w:sz w:val="16"/>
                <w:szCs w:val="16"/>
                <w:lang w:eastAsia="es-CO"/>
              </w:rPr>
              <w:t>0</w:t>
            </w:r>
          </w:p>
        </w:tc>
      </w:tr>
      <w:tr w:rsidR="005E64D9" w:rsidRPr="007A0E01" w14:paraId="5BA5C7D6" w14:textId="77777777" w:rsidTr="00FB6F32">
        <w:trPr>
          <w:trHeight w:val="225"/>
        </w:trPr>
        <w:tc>
          <w:tcPr>
            <w:tcW w:w="603" w:type="pct"/>
            <w:shd w:val="clear" w:color="auto" w:fill="FFFFFF" w:themeFill="background1"/>
            <w:noWrap/>
            <w:vAlign w:val="center"/>
            <w:hideMark/>
          </w:tcPr>
          <w:p w14:paraId="4FCE9C7E" w14:textId="77777777" w:rsidR="005E64D9" w:rsidRPr="007A0E01" w:rsidRDefault="005E64D9" w:rsidP="000A5389">
            <w:pPr>
              <w:spacing w:line="240" w:lineRule="auto"/>
              <w:rPr>
                <w:rFonts w:eastAsia="Times New Roman" w:cs="Times New Roman"/>
                <w:sz w:val="16"/>
                <w:szCs w:val="16"/>
                <w:lang w:eastAsia="es-CO"/>
              </w:rPr>
            </w:pPr>
            <w:r w:rsidRPr="007A0E01">
              <w:rPr>
                <w:rFonts w:eastAsia="Times New Roman" w:cs="Times New Roman"/>
                <w:sz w:val="16"/>
                <w:szCs w:val="16"/>
                <w:lang w:eastAsia="es-CO"/>
              </w:rPr>
              <w:t>1.3.85.90</w:t>
            </w:r>
          </w:p>
        </w:tc>
        <w:tc>
          <w:tcPr>
            <w:tcW w:w="2004" w:type="pct"/>
            <w:shd w:val="clear" w:color="auto" w:fill="FFFFFF" w:themeFill="background1"/>
            <w:vAlign w:val="center"/>
            <w:hideMark/>
          </w:tcPr>
          <w:p w14:paraId="445669A3" w14:textId="77777777" w:rsidR="005E64D9" w:rsidRPr="007A0E01" w:rsidRDefault="005E64D9" w:rsidP="000A5389">
            <w:pPr>
              <w:spacing w:line="240" w:lineRule="auto"/>
              <w:rPr>
                <w:rFonts w:eastAsia="Times New Roman" w:cs="Times New Roman"/>
                <w:sz w:val="16"/>
                <w:szCs w:val="16"/>
                <w:lang w:eastAsia="es-CO"/>
              </w:rPr>
            </w:pPr>
            <w:r w:rsidRPr="007A0E01">
              <w:rPr>
                <w:rFonts w:eastAsia="Times New Roman" w:cs="Times New Roman"/>
                <w:sz w:val="16"/>
                <w:szCs w:val="16"/>
                <w:lang w:eastAsia="es-CO"/>
              </w:rPr>
              <w:t>Otras cuentas por cobrar de difícil recaudo</w:t>
            </w:r>
          </w:p>
        </w:tc>
        <w:tc>
          <w:tcPr>
            <w:tcW w:w="818" w:type="pct"/>
            <w:shd w:val="clear" w:color="auto" w:fill="FFFFFF" w:themeFill="background1"/>
            <w:noWrap/>
            <w:vAlign w:val="center"/>
            <w:hideMark/>
          </w:tcPr>
          <w:p w14:paraId="421F6037" w14:textId="77777777" w:rsidR="005E64D9" w:rsidRPr="007A0E01" w:rsidRDefault="005E64D9" w:rsidP="000A5389">
            <w:pPr>
              <w:spacing w:line="240" w:lineRule="auto"/>
              <w:jc w:val="right"/>
              <w:rPr>
                <w:rFonts w:eastAsia="Times New Roman" w:cs="Times New Roman"/>
                <w:sz w:val="16"/>
                <w:szCs w:val="16"/>
                <w:lang w:eastAsia="es-CO"/>
              </w:rPr>
            </w:pPr>
            <w:r w:rsidRPr="007A0E01">
              <w:rPr>
                <w:rFonts w:eastAsia="Times New Roman" w:cs="Times New Roman"/>
                <w:sz w:val="16"/>
                <w:szCs w:val="16"/>
                <w:lang w:eastAsia="es-CO"/>
              </w:rPr>
              <w:t>322.352.048</w:t>
            </w:r>
          </w:p>
        </w:tc>
        <w:tc>
          <w:tcPr>
            <w:tcW w:w="801" w:type="pct"/>
            <w:shd w:val="clear" w:color="auto" w:fill="FFFFFF" w:themeFill="background1"/>
            <w:noWrap/>
            <w:vAlign w:val="center"/>
            <w:hideMark/>
          </w:tcPr>
          <w:p w14:paraId="48BAFB31" w14:textId="77777777" w:rsidR="005E64D9" w:rsidRPr="007A0E01" w:rsidRDefault="005E64D9" w:rsidP="000A5389">
            <w:pPr>
              <w:spacing w:line="240" w:lineRule="auto"/>
              <w:jc w:val="right"/>
              <w:rPr>
                <w:rFonts w:eastAsia="Times New Roman" w:cs="Times New Roman"/>
                <w:sz w:val="16"/>
                <w:szCs w:val="16"/>
                <w:lang w:eastAsia="es-CO"/>
              </w:rPr>
            </w:pPr>
            <w:r w:rsidRPr="007A0E01">
              <w:rPr>
                <w:rFonts w:eastAsia="Times New Roman" w:cs="Times New Roman"/>
                <w:sz w:val="16"/>
                <w:szCs w:val="16"/>
                <w:lang w:eastAsia="es-CO"/>
              </w:rPr>
              <w:t>322.352.048</w:t>
            </w:r>
          </w:p>
        </w:tc>
        <w:tc>
          <w:tcPr>
            <w:tcW w:w="774" w:type="pct"/>
            <w:shd w:val="clear" w:color="auto" w:fill="FFFFFF" w:themeFill="background1"/>
            <w:noWrap/>
            <w:vAlign w:val="center"/>
            <w:hideMark/>
          </w:tcPr>
          <w:p w14:paraId="48435F24" w14:textId="77777777" w:rsidR="005E64D9" w:rsidRPr="007A0E01" w:rsidRDefault="005E64D9" w:rsidP="000A5389">
            <w:pPr>
              <w:spacing w:line="240" w:lineRule="auto"/>
              <w:jc w:val="right"/>
              <w:rPr>
                <w:rFonts w:eastAsia="Times New Roman" w:cs="Times New Roman"/>
                <w:sz w:val="16"/>
                <w:szCs w:val="16"/>
                <w:lang w:eastAsia="es-CO"/>
              </w:rPr>
            </w:pPr>
            <w:r w:rsidRPr="007A0E01">
              <w:rPr>
                <w:rFonts w:eastAsia="Times New Roman" w:cs="Times New Roman"/>
                <w:sz w:val="16"/>
                <w:szCs w:val="16"/>
                <w:lang w:eastAsia="es-CO"/>
              </w:rPr>
              <w:t>0</w:t>
            </w:r>
          </w:p>
        </w:tc>
      </w:tr>
    </w:tbl>
    <w:p w14:paraId="01F03BD5" w14:textId="7D1A8385" w:rsidR="005E64D9" w:rsidRDefault="005E64D9" w:rsidP="000A5389">
      <w:pPr>
        <w:pStyle w:val="2"/>
        <w:spacing w:line="240" w:lineRule="auto"/>
        <w:rPr>
          <w:rFonts w:ascii="Times New Roman" w:hAnsi="Times New Roman"/>
          <w:sz w:val="14"/>
          <w:szCs w:val="14"/>
        </w:rPr>
      </w:pPr>
      <w:r w:rsidRPr="00951AB1">
        <w:rPr>
          <w:rFonts w:ascii="Times New Roman" w:hAnsi="Times New Roman"/>
          <w:sz w:val="14"/>
          <w:szCs w:val="14"/>
        </w:rPr>
        <w:t>Cifras expresadas en pesos</w:t>
      </w:r>
    </w:p>
    <w:p w14:paraId="3F42F456" w14:textId="41C1AC06" w:rsidR="009A00A6" w:rsidRDefault="009A00A6" w:rsidP="000A5389">
      <w:pPr>
        <w:spacing w:line="240" w:lineRule="auto"/>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668"/>
        <w:gridCol w:w="288"/>
        <w:gridCol w:w="950"/>
        <w:gridCol w:w="950"/>
        <w:gridCol w:w="950"/>
        <w:gridCol w:w="680"/>
        <w:gridCol w:w="950"/>
        <w:gridCol w:w="946"/>
        <w:gridCol w:w="350"/>
        <w:gridCol w:w="950"/>
        <w:gridCol w:w="146"/>
      </w:tblGrid>
      <w:tr w:rsidR="005E64D9" w:rsidRPr="00951AB1" w14:paraId="795A2300" w14:textId="77777777" w:rsidTr="006304F4">
        <w:trPr>
          <w:gridAfter w:val="1"/>
          <w:trHeight w:val="471"/>
        </w:trPr>
        <w:tc>
          <w:tcPr>
            <w:tcW w:w="0" w:type="auto"/>
            <w:vMerge w:val="restart"/>
            <w:vAlign w:val="center"/>
            <w:hideMark/>
          </w:tcPr>
          <w:p w14:paraId="2A7A35D0" w14:textId="77777777" w:rsidR="005E64D9" w:rsidRPr="00951AB1" w:rsidRDefault="005E64D9" w:rsidP="000A5389">
            <w:pPr>
              <w:spacing w:line="240" w:lineRule="auto"/>
              <w:jc w:val="center"/>
              <w:rPr>
                <w:rFonts w:eastAsia="Times New Roman" w:cs="Times New Roman"/>
                <w:b/>
                <w:bCs/>
                <w:color w:val="000000"/>
                <w:sz w:val="12"/>
                <w:szCs w:val="12"/>
                <w:lang w:eastAsia="es-CO"/>
              </w:rPr>
            </w:pPr>
            <w:r w:rsidRPr="00951AB1">
              <w:rPr>
                <w:rFonts w:eastAsia="Times New Roman" w:cs="Times New Roman"/>
                <w:b/>
                <w:bCs/>
                <w:color w:val="000000"/>
                <w:sz w:val="12"/>
                <w:szCs w:val="12"/>
                <w:lang w:eastAsia="es-CO"/>
              </w:rPr>
              <w:t>DESCRIPCIÓN</w:t>
            </w:r>
          </w:p>
        </w:tc>
        <w:tc>
          <w:tcPr>
            <w:tcW w:w="0" w:type="auto"/>
            <w:gridSpan w:val="3"/>
            <w:vMerge w:val="restart"/>
            <w:vAlign w:val="center"/>
            <w:hideMark/>
          </w:tcPr>
          <w:p w14:paraId="2D6F462E" w14:textId="77777777" w:rsidR="005E64D9" w:rsidRPr="00951AB1" w:rsidRDefault="005E64D9" w:rsidP="000A5389">
            <w:pPr>
              <w:spacing w:line="240" w:lineRule="auto"/>
              <w:jc w:val="center"/>
              <w:rPr>
                <w:rFonts w:eastAsia="Times New Roman" w:cs="Times New Roman"/>
                <w:b/>
                <w:bCs/>
                <w:color w:val="000000"/>
                <w:sz w:val="12"/>
                <w:szCs w:val="12"/>
                <w:lang w:eastAsia="es-CO"/>
              </w:rPr>
            </w:pPr>
            <w:r w:rsidRPr="00951AB1">
              <w:rPr>
                <w:rFonts w:eastAsia="Times New Roman" w:cs="Times New Roman"/>
                <w:b/>
                <w:bCs/>
                <w:color w:val="000000"/>
                <w:sz w:val="12"/>
                <w:szCs w:val="12"/>
                <w:lang w:eastAsia="es-CO"/>
              </w:rPr>
              <w:t>CORTE VIGENCIA 2025</w:t>
            </w:r>
          </w:p>
        </w:tc>
        <w:tc>
          <w:tcPr>
            <w:tcW w:w="0" w:type="auto"/>
            <w:gridSpan w:val="5"/>
            <w:vMerge w:val="restart"/>
            <w:vAlign w:val="center"/>
            <w:hideMark/>
          </w:tcPr>
          <w:p w14:paraId="20E40F7B" w14:textId="77777777" w:rsidR="005E64D9" w:rsidRPr="00951AB1" w:rsidRDefault="005E64D9" w:rsidP="000A5389">
            <w:pPr>
              <w:spacing w:line="240" w:lineRule="auto"/>
              <w:jc w:val="center"/>
              <w:rPr>
                <w:rFonts w:eastAsia="Times New Roman" w:cs="Times New Roman"/>
                <w:b/>
                <w:bCs/>
                <w:color w:val="000000"/>
                <w:sz w:val="12"/>
                <w:szCs w:val="12"/>
                <w:lang w:eastAsia="es-CO"/>
              </w:rPr>
            </w:pPr>
            <w:r w:rsidRPr="00951AB1">
              <w:rPr>
                <w:rFonts w:eastAsia="Times New Roman" w:cs="Times New Roman"/>
                <w:b/>
                <w:bCs/>
                <w:color w:val="000000"/>
                <w:sz w:val="12"/>
                <w:szCs w:val="12"/>
                <w:lang w:eastAsia="es-CO"/>
              </w:rPr>
              <w:t>DETERIORO ACUMULADO 2025</w:t>
            </w:r>
          </w:p>
        </w:tc>
        <w:tc>
          <w:tcPr>
            <w:tcW w:w="0" w:type="auto"/>
            <w:vMerge w:val="restart"/>
            <w:vAlign w:val="center"/>
            <w:hideMark/>
          </w:tcPr>
          <w:p w14:paraId="6832A112" w14:textId="77777777" w:rsidR="005E64D9" w:rsidRPr="00951AB1" w:rsidRDefault="005E64D9" w:rsidP="000A5389">
            <w:pPr>
              <w:spacing w:line="240" w:lineRule="auto"/>
              <w:jc w:val="center"/>
              <w:rPr>
                <w:rFonts w:eastAsia="Times New Roman" w:cs="Times New Roman"/>
                <w:b/>
                <w:bCs/>
                <w:color w:val="000000"/>
                <w:sz w:val="12"/>
                <w:szCs w:val="12"/>
                <w:lang w:eastAsia="es-CO"/>
              </w:rPr>
            </w:pPr>
            <w:r w:rsidRPr="00951AB1">
              <w:rPr>
                <w:rFonts w:eastAsia="Times New Roman" w:cs="Times New Roman"/>
                <w:b/>
                <w:bCs/>
                <w:color w:val="000000"/>
                <w:sz w:val="12"/>
                <w:szCs w:val="12"/>
                <w:lang w:eastAsia="es-CO"/>
              </w:rPr>
              <w:t>DEFINITIVO</w:t>
            </w:r>
          </w:p>
        </w:tc>
      </w:tr>
      <w:tr w:rsidR="005E64D9" w:rsidRPr="00951AB1" w14:paraId="465A778B" w14:textId="77777777" w:rsidTr="006304F4">
        <w:trPr>
          <w:trHeight w:val="308"/>
        </w:trPr>
        <w:tc>
          <w:tcPr>
            <w:tcW w:w="0" w:type="auto"/>
            <w:vMerge/>
            <w:vAlign w:val="center"/>
            <w:hideMark/>
          </w:tcPr>
          <w:p w14:paraId="11FDB3AF" w14:textId="77777777" w:rsidR="005E64D9" w:rsidRPr="00951AB1" w:rsidRDefault="005E64D9" w:rsidP="000A5389">
            <w:pPr>
              <w:spacing w:line="240" w:lineRule="auto"/>
              <w:rPr>
                <w:rFonts w:eastAsia="Times New Roman" w:cs="Times New Roman"/>
                <w:b/>
                <w:bCs/>
                <w:color w:val="000000"/>
                <w:sz w:val="12"/>
                <w:szCs w:val="12"/>
                <w:lang w:eastAsia="es-CO"/>
              </w:rPr>
            </w:pPr>
          </w:p>
        </w:tc>
        <w:tc>
          <w:tcPr>
            <w:tcW w:w="0" w:type="auto"/>
            <w:gridSpan w:val="3"/>
            <w:vMerge/>
            <w:vAlign w:val="center"/>
            <w:hideMark/>
          </w:tcPr>
          <w:p w14:paraId="4CE2FDA4" w14:textId="77777777" w:rsidR="005E64D9" w:rsidRPr="00951AB1" w:rsidRDefault="005E64D9" w:rsidP="000A5389">
            <w:pPr>
              <w:spacing w:line="240" w:lineRule="auto"/>
              <w:rPr>
                <w:rFonts w:eastAsia="Times New Roman" w:cs="Times New Roman"/>
                <w:b/>
                <w:bCs/>
                <w:color w:val="000000"/>
                <w:sz w:val="12"/>
                <w:szCs w:val="12"/>
                <w:lang w:eastAsia="es-CO"/>
              </w:rPr>
            </w:pPr>
          </w:p>
        </w:tc>
        <w:tc>
          <w:tcPr>
            <w:tcW w:w="0" w:type="auto"/>
            <w:gridSpan w:val="5"/>
            <w:vMerge/>
            <w:vAlign w:val="center"/>
            <w:hideMark/>
          </w:tcPr>
          <w:p w14:paraId="3B2957D7" w14:textId="77777777" w:rsidR="005E64D9" w:rsidRPr="00951AB1" w:rsidRDefault="005E64D9" w:rsidP="000A5389">
            <w:pPr>
              <w:spacing w:line="240" w:lineRule="auto"/>
              <w:rPr>
                <w:rFonts w:eastAsia="Times New Roman" w:cs="Times New Roman"/>
                <w:b/>
                <w:bCs/>
                <w:color w:val="000000"/>
                <w:sz w:val="12"/>
                <w:szCs w:val="12"/>
                <w:lang w:eastAsia="es-CO"/>
              </w:rPr>
            </w:pPr>
          </w:p>
        </w:tc>
        <w:tc>
          <w:tcPr>
            <w:tcW w:w="0" w:type="auto"/>
            <w:vMerge/>
            <w:vAlign w:val="center"/>
            <w:hideMark/>
          </w:tcPr>
          <w:p w14:paraId="3C1BB616" w14:textId="77777777" w:rsidR="005E64D9" w:rsidRPr="00951AB1" w:rsidRDefault="005E64D9" w:rsidP="000A5389">
            <w:pPr>
              <w:spacing w:line="240" w:lineRule="auto"/>
              <w:rPr>
                <w:rFonts w:eastAsia="Times New Roman" w:cs="Times New Roman"/>
                <w:b/>
                <w:bCs/>
                <w:color w:val="000000"/>
                <w:sz w:val="12"/>
                <w:szCs w:val="12"/>
                <w:lang w:eastAsia="es-CO"/>
              </w:rPr>
            </w:pPr>
          </w:p>
        </w:tc>
        <w:tc>
          <w:tcPr>
            <w:tcW w:w="0" w:type="auto"/>
            <w:noWrap/>
            <w:vAlign w:val="bottom"/>
            <w:hideMark/>
          </w:tcPr>
          <w:p w14:paraId="0E2541D0" w14:textId="77777777" w:rsidR="005E64D9" w:rsidRPr="00951AB1" w:rsidRDefault="005E64D9" w:rsidP="000A5389">
            <w:pPr>
              <w:spacing w:line="240" w:lineRule="auto"/>
              <w:jc w:val="center"/>
              <w:rPr>
                <w:rFonts w:eastAsia="Times New Roman" w:cs="Times New Roman"/>
                <w:b/>
                <w:bCs/>
                <w:color w:val="000000"/>
                <w:sz w:val="12"/>
                <w:szCs w:val="12"/>
                <w:lang w:eastAsia="es-CO"/>
              </w:rPr>
            </w:pPr>
          </w:p>
        </w:tc>
      </w:tr>
      <w:tr w:rsidR="005E64D9" w:rsidRPr="00951AB1" w14:paraId="1FC63BF5" w14:textId="77777777" w:rsidTr="006304F4">
        <w:trPr>
          <w:trHeight w:val="64"/>
        </w:trPr>
        <w:tc>
          <w:tcPr>
            <w:tcW w:w="0" w:type="auto"/>
            <w:vMerge/>
            <w:vAlign w:val="center"/>
            <w:hideMark/>
          </w:tcPr>
          <w:p w14:paraId="17A8E511" w14:textId="77777777" w:rsidR="005E64D9" w:rsidRPr="00951AB1" w:rsidRDefault="005E64D9" w:rsidP="000A5389">
            <w:pPr>
              <w:spacing w:line="240" w:lineRule="auto"/>
              <w:rPr>
                <w:rFonts w:eastAsia="Times New Roman" w:cs="Times New Roman"/>
                <w:b/>
                <w:bCs/>
                <w:color w:val="000000"/>
                <w:sz w:val="12"/>
                <w:szCs w:val="12"/>
                <w:lang w:eastAsia="es-CO"/>
              </w:rPr>
            </w:pPr>
          </w:p>
        </w:tc>
        <w:tc>
          <w:tcPr>
            <w:tcW w:w="0" w:type="auto"/>
            <w:gridSpan w:val="3"/>
            <w:vMerge/>
            <w:vAlign w:val="center"/>
            <w:hideMark/>
          </w:tcPr>
          <w:p w14:paraId="45688149" w14:textId="77777777" w:rsidR="005E64D9" w:rsidRPr="00951AB1" w:rsidRDefault="005E64D9" w:rsidP="000A5389">
            <w:pPr>
              <w:spacing w:line="240" w:lineRule="auto"/>
              <w:rPr>
                <w:rFonts w:eastAsia="Times New Roman" w:cs="Times New Roman"/>
                <w:b/>
                <w:bCs/>
                <w:color w:val="000000"/>
                <w:sz w:val="12"/>
                <w:szCs w:val="12"/>
                <w:lang w:eastAsia="es-CO"/>
              </w:rPr>
            </w:pPr>
          </w:p>
        </w:tc>
        <w:tc>
          <w:tcPr>
            <w:tcW w:w="0" w:type="auto"/>
            <w:gridSpan w:val="5"/>
            <w:vMerge/>
            <w:vAlign w:val="center"/>
            <w:hideMark/>
          </w:tcPr>
          <w:p w14:paraId="5534ABA1" w14:textId="77777777" w:rsidR="005E64D9" w:rsidRPr="00951AB1" w:rsidRDefault="005E64D9" w:rsidP="000A5389">
            <w:pPr>
              <w:spacing w:line="240" w:lineRule="auto"/>
              <w:rPr>
                <w:rFonts w:eastAsia="Times New Roman" w:cs="Times New Roman"/>
                <w:b/>
                <w:bCs/>
                <w:color w:val="000000"/>
                <w:sz w:val="12"/>
                <w:szCs w:val="12"/>
                <w:lang w:eastAsia="es-CO"/>
              </w:rPr>
            </w:pPr>
          </w:p>
        </w:tc>
        <w:tc>
          <w:tcPr>
            <w:tcW w:w="0" w:type="auto"/>
            <w:vMerge/>
            <w:vAlign w:val="center"/>
            <w:hideMark/>
          </w:tcPr>
          <w:p w14:paraId="60A91EB8" w14:textId="77777777" w:rsidR="005E64D9" w:rsidRPr="00951AB1" w:rsidRDefault="005E64D9" w:rsidP="000A5389">
            <w:pPr>
              <w:spacing w:line="240" w:lineRule="auto"/>
              <w:rPr>
                <w:rFonts w:eastAsia="Times New Roman" w:cs="Times New Roman"/>
                <w:b/>
                <w:bCs/>
                <w:color w:val="000000"/>
                <w:sz w:val="12"/>
                <w:szCs w:val="12"/>
                <w:lang w:eastAsia="es-CO"/>
              </w:rPr>
            </w:pPr>
          </w:p>
        </w:tc>
        <w:tc>
          <w:tcPr>
            <w:tcW w:w="0" w:type="auto"/>
            <w:noWrap/>
            <w:vAlign w:val="bottom"/>
            <w:hideMark/>
          </w:tcPr>
          <w:p w14:paraId="530C73E0" w14:textId="77777777" w:rsidR="005E64D9" w:rsidRPr="00951AB1" w:rsidRDefault="005E64D9" w:rsidP="000A5389">
            <w:pPr>
              <w:spacing w:line="240" w:lineRule="auto"/>
              <w:rPr>
                <w:rFonts w:eastAsia="Times New Roman" w:cs="Times New Roman"/>
                <w:sz w:val="12"/>
                <w:szCs w:val="12"/>
                <w:lang w:eastAsia="es-CO"/>
              </w:rPr>
            </w:pPr>
          </w:p>
        </w:tc>
      </w:tr>
      <w:tr w:rsidR="005E64D9" w:rsidRPr="00951AB1" w14:paraId="618D45B3" w14:textId="77777777" w:rsidTr="006304F4">
        <w:trPr>
          <w:gridAfter w:val="1"/>
          <w:trHeight w:val="1022"/>
        </w:trPr>
        <w:tc>
          <w:tcPr>
            <w:tcW w:w="0" w:type="auto"/>
            <w:vAlign w:val="center"/>
            <w:hideMark/>
          </w:tcPr>
          <w:p w14:paraId="12F6E8D8" w14:textId="77777777" w:rsidR="005E64D9" w:rsidRPr="00951AB1" w:rsidRDefault="005E64D9" w:rsidP="000A5389">
            <w:pPr>
              <w:spacing w:line="240" w:lineRule="auto"/>
              <w:jc w:val="center"/>
              <w:rPr>
                <w:rFonts w:eastAsia="Times New Roman" w:cs="Times New Roman"/>
                <w:b/>
                <w:bCs/>
                <w:color w:val="000000"/>
                <w:sz w:val="12"/>
                <w:szCs w:val="12"/>
                <w:lang w:eastAsia="es-CO"/>
              </w:rPr>
            </w:pPr>
            <w:r w:rsidRPr="00951AB1">
              <w:rPr>
                <w:rFonts w:eastAsia="Times New Roman" w:cs="Times New Roman"/>
                <w:b/>
                <w:bCs/>
                <w:color w:val="000000"/>
                <w:sz w:val="12"/>
                <w:szCs w:val="12"/>
                <w:lang w:eastAsia="es-CO"/>
              </w:rPr>
              <w:t>CONCEPTO</w:t>
            </w:r>
          </w:p>
        </w:tc>
        <w:tc>
          <w:tcPr>
            <w:tcW w:w="0" w:type="auto"/>
            <w:textDirection w:val="btLr"/>
            <w:vAlign w:val="center"/>
            <w:hideMark/>
          </w:tcPr>
          <w:p w14:paraId="254F5AD8" w14:textId="77777777" w:rsidR="005E64D9" w:rsidRPr="00951AB1" w:rsidRDefault="005E64D9" w:rsidP="000A5389">
            <w:pPr>
              <w:spacing w:line="240" w:lineRule="auto"/>
              <w:jc w:val="center"/>
              <w:rPr>
                <w:rFonts w:eastAsia="Times New Roman" w:cs="Times New Roman"/>
                <w:b/>
                <w:bCs/>
                <w:color w:val="000000"/>
                <w:sz w:val="12"/>
                <w:szCs w:val="12"/>
                <w:lang w:eastAsia="es-CO"/>
              </w:rPr>
            </w:pPr>
            <w:r w:rsidRPr="00951AB1">
              <w:rPr>
                <w:rFonts w:eastAsia="Times New Roman" w:cs="Times New Roman"/>
                <w:b/>
                <w:bCs/>
                <w:color w:val="000000"/>
                <w:sz w:val="12"/>
                <w:szCs w:val="12"/>
                <w:lang w:eastAsia="es-CO"/>
              </w:rPr>
              <w:t>SALDO CORRIENTE</w:t>
            </w:r>
          </w:p>
        </w:tc>
        <w:tc>
          <w:tcPr>
            <w:tcW w:w="0" w:type="auto"/>
            <w:textDirection w:val="btLr"/>
            <w:vAlign w:val="center"/>
            <w:hideMark/>
          </w:tcPr>
          <w:p w14:paraId="705CE908" w14:textId="77777777" w:rsidR="005E64D9" w:rsidRPr="00951AB1" w:rsidRDefault="005E64D9" w:rsidP="000A5389">
            <w:pPr>
              <w:spacing w:line="240" w:lineRule="auto"/>
              <w:jc w:val="center"/>
              <w:rPr>
                <w:rFonts w:eastAsia="Times New Roman" w:cs="Times New Roman"/>
                <w:b/>
                <w:bCs/>
                <w:color w:val="000000"/>
                <w:sz w:val="12"/>
                <w:szCs w:val="12"/>
                <w:lang w:eastAsia="es-CO"/>
              </w:rPr>
            </w:pPr>
            <w:r w:rsidRPr="00951AB1">
              <w:rPr>
                <w:rFonts w:eastAsia="Times New Roman" w:cs="Times New Roman"/>
                <w:b/>
                <w:bCs/>
                <w:color w:val="000000"/>
                <w:sz w:val="12"/>
                <w:szCs w:val="12"/>
                <w:lang w:eastAsia="es-CO"/>
              </w:rPr>
              <w:t>SALDO NO CORRIENTE</w:t>
            </w:r>
          </w:p>
        </w:tc>
        <w:tc>
          <w:tcPr>
            <w:tcW w:w="0" w:type="auto"/>
            <w:textDirection w:val="btLr"/>
            <w:vAlign w:val="center"/>
            <w:hideMark/>
          </w:tcPr>
          <w:p w14:paraId="3764CC92" w14:textId="77777777" w:rsidR="005E64D9" w:rsidRPr="00951AB1" w:rsidRDefault="005E64D9" w:rsidP="000A5389">
            <w:pPr>
              <w:spacing w:line="240" w:lineRule="auto"/>
              <w:jc w:val="center"/>
              <w:rPr>
                <w:rFonts w:eastAsia="Times New Roman" w:cs="Times New Roman"/>
                <w:b/>
                <w:bCs/>
                <w:color w:val="000000"/>
                <w:sz w:val="12"/>
                <w:szCs w:val="12"/>
                <w:lang w:eastAsia="es-CO"/>
              </w:rPr>
            </w:pPr>
            <w:r w:rsidRPr="00951AB1">
              <w:rPr>
                <w:rFonts w:eastAsia="Times New Roman" w:cs="Times New Roman"/>
                <w:b/>
                <w:bCs/>
                <w:color w:val="000000"/>
                <w:sz w:val="12"/>
                <w:szCs w:val="12"/>
                <w:lang w:eastAsia="es-CO"/>
              </w:rPr>
              <w:t>SALDO FINAL</w:t>
            </w:r>
          </w:p>
        </w:tc>
        <w:tc>
          <w:tcPr>
            <w:tcW w:w="0" w:type="auto"/>
            <w:textDirection w:val="btLr"/>
            <w:vAlign w:val="center"/>
            <w:hideMark/>
          </w:tcPr>
          <w:p w14:paraId="3108CFD6" w14:textId="77777777" w:rsidR="005E64D9" w:rsidRPr="00951AB1" w:rsidRDefault="005E64D9" w:rsidP="000A5389">
            <w:pPr>
              <w:spacing w:line="240" w:lineRule="auto"/>
              <w:jc w:val="center"/>
              <w:rPr>
                <w:rFonts w:eastAsia="Times New Roman" w:cs="Times New Roman"/>
                <w:b/>
                <w:bCs/>
                <w:color w:val="000000"/>
                <w:sz w:val="12"/>
                <w:szCs w:val="12"/>
                <w:lang w:eastAsia="es-CO"/>
              </w:rPr>
            </w:pPr>
            <w:r w:rsidRPr="00951AB1">
              <w:rPr>
                <w:rFonts w:eastAsia="Times New Roman" w:cs="Times New Roman"/>
                <w:b/>
                <w:bCs/>
                <w:color w:val="000000"/>
                <w:sz w:val="12"/>
                <w:szCs w:val="12"/>
                <w:lang w:eastAsia="es-CO"/>
              </w:rPr>
              <w:t>SALDO INICIAL</w:t>
            </w:r>
          </w:p>
        </w:tc>
        <w:tc>
          <w:tcPr>
            <w:tcW w:w="0" w:type="auto"/>
            <w:textDirection w:val="btLr"/>
            <w:vAlign w:val="center"/>
            <w:hideMark/>
          </w:tcPr>
          <w:p w14:paraId="3A1A1391" w14:textId="77777777" w:rsidR="005E64D9" w:rsidRPr="00951AB1" w:rsidRDefault="005E64D9" w:rsidP="000A5389">
            <w:pPr>
              <w:spacing w:line="240" w:lineRule="auto"/>
              <w:jc w:val="center"/>
              <w:rPr>
                <w:rFonts w:eastAsia="Times New Roman" w:cs="Times New Roman"/>
                <w:b/>
                <w:bCs/>
                <w:color w:val="000000"/>
                <w:sz w:val="12"/>
                <w:szCs w:val="12"/>
                <w:lang w:eastAsia="es-CO"/>
              </w:rPr>
            </w:pPr>
            <w:r w:rsidRPr="00951AB1">
              <w:rPr>
                <w:rFonts w:eastAsia="Times New Roman" w:cs="Times New Roman"/>
                <w:b/>
                <w:bCs/>
                <w:color w:val="000000"/>
                <w:sz w:val="12"/>
                <w:szCs w:val="12"/>
                <w:lang w:eastAsia="es-CO"/>
              </w:rPr>
              <w:t>(+) DETERIORO APLICADO EN LA VIGENCIA</w:t>
            </w:r>
          </w:p>
        </w:tc>
        <w:tc>
          <w:tcPr>
            <w:tcW w:w="0" w:type="auto"/>
            <w:textDirection w:val="btLr"/>
            <w:vAlign w:val="center"/>
            <w:hideMark/>
          </w:tcPr>
          <w:p w14:paraId="156D7ED1" w14:textId="77777777" w:rsidR="005E64D9" w:rsidRPr="00951AB1" w:rsidRDefault="005E64D9" w:rsidP="000A5389">
            <w:pPr>
              <w:spacing w:line="240" w:lineRule="auto"/>
              <w:jc w:val="center"/>
              <w:rPr>
                <w:rFonts w:eastAsia="Times New Roman" w:cs="Times New Roman"/>
                <w:b/>
                <w:bCs/>
                <w:color w:val="000000"/>
                <w:sz w:val="12"/>
                <w:szCs w:val="12"/>
                <w:lang w:eastAsia="es-CO"/>
              </w:rPr>
            </w:pPr>
            <w:r w:rsidRPr="00951AB1">
              <w:rPr>
                <w:rFonts w:eastAsia="Times New Roman" w:cs="Times New Roman"/>
                <w:b/>
                <w:bCs/>
                <w:color w:val="000000"/>
                <w:sz w:val="12"/>
                <w:szCs w:val="12"/>
                <w:lang w:eastAsia="es-CO"/>
              </w:rPr>
              <w:t>(-) REVERSIÓN DE DETERIORO EN LA VIGENCIA</w:t>
            </w:r>
          </w:p>
        </w:tc>
        <w:tc>
          <w:tcPr>
            <w:tcW w:w="0" w:type="auto"/>
            <w:textDirection w:val="btLr"/>
            <w:vAlign w:val="center"/>
            <w:hideMark/>
          </w:tcPr>
          <w:p w14:paraId="24A6C2F0" w14:textId="77777777" w:rsidR="005E64D9" w:rsidRPr="00951AB1" w:rsidRDefault="005E64D9" w:rsidP="000A5389">
            <w:pPr>
              <w:spacing w:line="240" w:lineRule="auto"/>
              <w:jc w:val="center"/>
              <w:rPr>
                <w:rFonts w:eastAsia="Times New Roman" w:cs="Times New Roman"/>
                <w:b/>
                <w:bCs/>
                <w:color w:val="000000"/>
                <w:sz w:val="12"/>
                <w:szCs w:val="12"/>
                <w:lang w:eastAsia="es-CO"/>
              </w:rPr>
            </w:pPr>
            <w:r w:rsidRPr="00951AB1">
              <w:rPr>
                <w:rFonts w:eastAsia="Times New Roman" w:cs="Times New Roman"/>
                <w:b/>
                <w:bCs/>
                <w:color w:val="000000"/>
                <w:sz w:val="12"/>
                <w:szCs w:val="12"/>
                <w:lang w:eastAsia="es-CO"/>
              </w:rPr>
              <w:t>SALDO FINAL</w:t>
            </w:r>
          </w:p>
        </w:tc>
        <w:tc>
          <w:tcPr>
            <w:tcW w:w="0" w:type="auto"/>
            <w:vAlign w:val="center"/>
            <w:hideMark/>
          </w:tcPr>
          <w:p w14:paraId="2C912EB5" w14:textId="77777777" w:rsidR="005E64D9" w:rsidRPr="00951AB1" w:rsidRDefault="005E64D9" w:rsidP="000A5389">
            <w:pPr>
              <w:spacing w:line="240" w:lineRule="auto"/>
              <w:jc w:val="center"/>
              <w:rPr>
                <w:rFonts w:eastAsia="Times New Roman" w:cs="Times New Roman"/>
                <w:b/>
                <w:bCs/>
                <w:color w:val="000000"/>
                <w:sz w:val="12"/>
                <w:szCs w:val="12"/>
                <w:lang w:eastAsia="es-CO"/>
              </w:rPr>
            </w:pPr>
            <w:r w:rsidRPr="00951AB1">
              <w:rPr>
                <w:rFonts w:eastAsia="Times New Roman" w:cs="Times New Roman"/>
                <w:b/>
                <w:bCs/>
                <w:color w:val="000000"/>
                <w:sz w:val="12"/>
                <w:szCs w:val="12"/>
                <w:lang w:eastAsia="es-CO"/>
              </w:rPr>
              <w:t>%</w:t>
            </w:r>
          </w:p>
        </w:tc>
        <w:tc>
          <w:tcPr>
            <w:tcW w:w="0" w:type="auto"/>
            <w:textDirection w:val="btLr"/>
            <w:vAlign w:val="center"/>
            <w:hideMark/>
          </w:tcPr>
          <w:p w14:paraId="58B98E19" w14:textId="77777777" w:rsidR="005E64D9" w:rsidRPr="00951AB1" w:rsidRDefault="005E64D9" w:rsidP="000A5389">
            <w:pPr>
              <w:spacing w:line="240" w:lineRule="auto"/>
              <w:jc w:val="center"/>
              <w:rPr>
                <w:rFonts w:eastAsia="Times New Roman" w:cs="Times New Roman"/>
                <w:b/>
                <w:bCs/>
                <w:color w:val="000000"/>
                <w:sz w:val="12"/>
                <w:szCs w:val="12"/>
                <w:lang w:eastAsia="es-CO"/>
              </w:rPr>
            </w:pPr>
            <w:r w:rsidRPr="00951AB1">
              <w:rPr>
                <w:rFonts w:eastAsia="Times New Roman" w:cs="Times New Roman"/>
                <w:b/>
                <w:bCs/>
                <w:color w:val="000000"/>
                <w:sz w:val="12"/>
                <w:szCs w:val="12"/>
                <w:lang w:eastAsia="es-CO"/>
              </w:rPr>
              <w:t>SALDO DESPUÉS DE DETERIORO</w:t>
            </w:r>
          </w:p>
        </w:tc>
      </w:tr>
      <w:tr w:rsidR="005E64D9" w:rsidRPr="00951AB1" w14:paraId="6E14EC57" w14:textId="77777777" w:rsidTr="006304F4">
        <w:trPr>
          <w:gridAfter w:val="1"/>
          <w:trHeight w:val="585"/>
        </w:trPr>
        <w:tc>
          <w:tcPr>
            <w:tcW w:w="0" w:type="auto"/>
            <w:vAlign w:val="center"/>
            <w:hideMark/>
          </w:tcPr>
          <w:p w14:paraId="03B7BE18" w14:textId="77777777" w:rsidR="005E64D9" w:rsidRPr="00951AB1" w:rsidRDefault="005E64D9" w:rsidP="000A5389">
            <w:pPr>
              <w:spacing w:line="240" w:lineRule="auto"/>
              <w:rPr>
                <w:rFonts w:eastAsia="Times New Roman" w:cs="Times New Roman"/>
                <w:b/>
                <w:bCs/>
                <w:color w:val="000000"/>
                <w:sz w:val="12"/>
                <w:szCs w:val="12"/>
                <w:lang w:eastAsia="es-CO"/>
              </w:rPr>
            </w:pPr>
            <w:r w:rsidRPr="00951AB1">
              <w:rPr>
                <w:rFonts w:eastAsia="Times New Roman" w:cs="Times New Roman"/>
                <w:b/>
                <w:bCs/>
                <w:color w:val="000000"/>
                <w:sz w:val="12"/>
                <w:szCs w:val="12"/>
                <w:lang w:eastAsia="es-CO"/>
              </w:rPr>
              <w:t>CUENTAS POR COBRAR DE DIFÍCIL RECAUDO</w:t>
            </w:r>
          </w:p>
        </w:tc>
        <w:tc>
          <w:tcPr>
            <w:tcW w:w="0" w:type="auto"/>
            <w:noWrap/>
            <w:vAlign w:val="center"/>
            <w:hideMark/>
          </w:tcPr>
          <w:p w14:paraId="3B045EEF" w14:textId="77777777" w:rsidR="005E64D9" w:rsidRPr="00951AB1" w:rsidRDefault="005E64D9" w:rsidP="000A5389">
            <w:pPr>
              <w:spacing w:line="240" w:lineRule="auto"/>
              <w:jc w:val="right"/>
              <w:rPr>
                <w:rFonts w:eastAsia="Times New Roman" w:cs="Times New Roman"/>
                <w:b/>
                <w:bCs/>
                <w:color w:val="000000"/>
                <w:sz w:val="12"/>
                <w:szCs w:val="12"/>
                <w:lang w:eastAsia="es-CO"/>
              </w:rPr>
            </w:pPr>
            <w:r w:rsidRPr="00951AB1">
              <w:rPr>
                <w:rFonts w:eastAsia="Times New Roman" w:cs="Times New Roman"/>
                <w:b/>
                <w:bCs/>
                <w:color w:val="000000"/>
                <w:sz w:val="12"/>
                <w:szCs w:val="12"/>
                <w:lang w:eastAsia="es-CO"/>
              </w:rPr>
              <w:t xml:space="preserve">0 </w:t>
            </w:r>
          </w:p>
        </w:tc>
        <w:tc>
          <w:tcPr>
            <w:tcW w:w="0" w:type="auto"/>
            <w:noWrap/>
            <w:vAlign w:val="center"/>
            <w:hideMark/>
          </w:tcPr>
          <w:p w14:paraId="31BAC3DA" w14:textId="77777777" w:rsidR="005E64D9" w:rsidRPr="00951AB1" w:rsidRDefault="005E64D9" w:rsidP="000A5389">
            <w:pPr>
              <w:spacing w:line="240" w:lineRule="auto"/>
              <w:jc w:val="right"/>
              <w:rPr>
                <w:rFonts w:eastAsia="Times New Roman" w:cs="Times New Roman"/>
                <w:b/>
                <w:bCs/>
                <w:color w:val="000000"/>
                <w:sz w:val="12"/>
                <w:szCs w:val="12"/>
                <w:lang w:eastAsia="es-CO"/>
              </w:rPr>
            </w:pPr>
            <w:r w:rsidRPr="00951AB1">
              <w:rPr>
                <w:rFonts w:eastAsia="Times New Roman" w:cs="Times New Roman"/>
                <w:b/>
                <w:bCs/>
                <w:color w:val="000000"/>
                <w:sz w:val="12"/>
                <w:szCs w:val="12"/>
                <w:lang w:eastAsia="es-CO"/>
              </w:rPr>
              <w:t xml:space="preserve">384.910.511.044 </w:t>
            </w:r>
          </w:p>
        </w:tc>
        <w:tc>
          <w:tcPr>
            <w:tcW w:w="0" w:type="auto"/>
            <w:noWrap/>
            <w:vAlign w:val="center"/>
            <w:hideMark/>
          </w:tcPr>
          <w:p w14:paraId="64F8518B" w14:textId="77777777" w:rsidR="005E64D9" w:rsidRPr="00951AB1" w:rsidRDefault="005E64D9" w:rsidP="000A5389">
            <w:pPr>
              <w:spacing w:line="240" w:lineRule="auto"/>
              <w:jc w:val="center"/>
              <w:rPr>
                <w:rFonts w:eastAsia="Times New Roman" w:cs="Times New Roman"/>
                <w:b/>
                <w:bCs/>
                <w:color w:val="000000"/>
                <w:sz w:val="12"/>
                <w:szCs w:val="12"/>
                <w:lang w:eastAsia="es-CO"/>
              </w:rPr>
            </w:pPr>
            <w:r w:rsidRPr="00951AB1">
              <w:rPr>
                <w:rFonts w:eastAsia="Times New Roman" w:cs="Times New Roman"/>
                <w:b/>
                <w:bCs/>
                <w:color w:val="000000"/>
                <w:sz w:val="12"/>
                <w:szCs w:val="12"/>
                <w:lang w:eastAsia="es-CO"/>
              </w:rPr>
              <w:t>384.910.511.044</w:t>
            </w:r>
          </w:p>
        </w:tc>
        <w:tc>
          <w:tcPr>
            <w:tcW w:w="0" w:type="auto"/>
            <w:noWrap/>
            <w:vAlign w:val="center"/>
            <w:hideMark/>
          </w:tcPr>
          <w:p w14:paraId="255D290D" w14:textId="77777777" w:rsidR="005E64D9" w:rsidRPr="00951AB1" w:rsidRDefault="005E64D9" w:rsidP="000A5389">
            <w:pPr>
              <w:spacing w:line="240" w:lineRule="auto"/>
              <w:jc w:val="right"/>
              <w:rPr>
                <w:rFonts w:eastAsia="Times New Roman" w:cs="Times New Roman"/>
                <w:b/>
                <w:bCs/>
                <w:color w:val="000000"/>
                <w:sz w:val="12"/>
                <w:szCs w:val="12"/>
                <w:lang w:eastAsia="es-CO"/>
              </w:rPr>
            </w:pPr>
            <w:r w:rsidRPr="00951AB1">
              <w:rPr>
                <w:rFonts w:eastAsia="Times New Roman" w:cs="Times New Roman"/>
                <w:b/>
                <w:bCs/>
                <w:color w:val="000000"/>
                <w:sz w:val="12"/>
                <w:szCs w:val="12"/>
                <w:lang w:eastAsia="es-CO"/>
              </w:rPr>
              <w:t xml:space="preserve">317.466.787.994 </w:t>
            </w:r>
          </w:p>
        </w:tc>
        <w:tc>
          <w:tcPr>
            <w:tcW w:w="0" w:type="auto"/>
            <w:noWrap/>
            <w:vAlign w:val="center"/>
            <w:hideMark/>
          </w:tcPr>
          <w:p w14:paraId="01FC8C40" w14:textId="77777777" w:rsidR="005E64D9" w:rsidRPr="00951AB1" w:rsidRDefault="005E64D9" w:rsidP="000A5389">
            <w:pPr>
              <w:spacing w:line="240" w:lineRule="auto"/>
              <w:jc w:val="right"/>
              <w:rPr>
                <w:rFonts w:eastAsia="Times New Roman" w:cs="Times New Roman"/>
                <w:b/>
                <w:bCs/>
                <w:color w:val="000000"/>
                <w:sz w:val="12"/>
                <w:szCs w:val="12"/>
                <w:lang w:eastAsia="es-CO"/>
              </w:rPr>
            </w:pPr>
            <w:r w:rsidRPr="00951AB1">
              <w:rPr>
                <w:rFonts w:eastAsia="Times New Roman" w:cs="Times New Roman"/>
                <w:b/>
                <w:bCs/>
                <w:color w:val="000000"/>
                <w:sz w:val="12"/>
                <w:szCs w:val="12"/>
                <w:lang w:eastAsia="es-CO"/>
              </w:rPr>
              <w:t xml:space="preserve">0 </w:t>
            </w:r>
          </w:p>
        </w:tc>
        <w:tc>
          <w:tcPr>
            <w:tcW w:w="0" w:type="auto"/>
            <w:noWrap/>
            <w:vAlign w:val="center"/>
            <w:hideMark/>
          </w:tcPr>
          <w:p w14:paraId="509D3363" w14:textId="77777777" w:rsidR="005E64D9" w:rsidRPr="00951AB1" w:rsidRDefault="005E64D9" w:rsidP="000A5389">
            <w:pPr>
              <w:spacing w:line="240" w:lineRule="auto"/>
              <w:jc w:val="right"/>
              <w:rPr>
                <w:rFonts w:eastAsia="Times New Roman" w:cs="Times New Roman"/>
                <w:b/>
                <w:bCs/>
                <w:color w:val="000000"/>
                <w:sz w:val="12"/>
                <w:szCs w:val="12"/>
                <w:lang w:eastAsia="es-CO"/>
              </w:rPr>
            </w:pPr>
            <w:r w:rsidRPr="00951AB1">
              <w:rPr>
                <w:rFonts w:eastAsia="Times New Roman" w:cs="Times New Roman"/>
                <w:b/>
                <w:bCs/>
                <w:color w:val="000000"/>
                <w:sz w:val="12"/>
                <w:szCs w:val="12"/>
                <w:lang w:eastAsia="es-CO"/>
              </w:rPr>
              <w:t xml:space="preserve">2.868.476.835 </w:t>
            </w:r>
          </w:p>
        </w:tc>
        <w:tc>
          <w:tcPr>
            <w:tcW w:w="0" w:type="auto"/>
            <w:noWrap/>
            <w:vAlign w:val="center"/>
            <w:hideMark/>
          </w:tcPr>
          <w:p w14:paraId="39C94964" w14:textId="77777777" w:rsidR="005E64D9" w:rsidRPr="00951AB1" w:rsidRDefault="005E64D9" w:rsidP="000A5389">
            <w:pPr>
              <w:spacing w:line="240" w:lineRule="auto"/>
              <w:jc w:val="right"/>
              <w:rPr>
                <w:rFonts w:eastAsia="Times New Roman" w:cs="Times New Roman"/>
                <w:b/>
                <w:bCs/>
                <w:color w:val="000000"/>
                <w:sz w:val="12"/>
                <w:szCs w:val="12"/>
                <w:lang w:eastAsia="es-CO"/>
              </w:rPr>
            </w:pPr>
            <w:r w:rsidRPr="00951AB1">
              <w:rPr>
                <w:rFonts w:eastAsia="Times New Roman" w:cs="Times New Roman"/>
                <w:b/>
                <w:bCs/>
                <w:color w:val="000000"/>
                <w:sz w:val="12"/>
                <w:szCs w:val="12"/>
                <w:lang w:eastAsia="es-CO"/>
              </w:rPr>
              <w:t xml:space="preserve">314.598.311.159 </w:t>
            </w:r>
          </w:p>
        </w:tc>
        <w:tc>
          <w:tcPr>
            <w:tcW w:w="0" w:type="auto"/>
            <w:noWrap/>
            <w:vAlign w:val="center"/>
            <w:hideMark/>
          </w:tcPr>
          <w:p w14:paraId="7A11456F" w14:textId="77777777" w:rsidR="005E64D9" w:rsidRPr="00951AB1" w:rsidRDefault="005E64D9" w:rsidP="000A5389">
            <w:pPr>
              <w:spacing w:line="240" w:lineRule="auto"/>
              <w:jc w:val="center"/>
              <w:rPr>
                <w:rFonts w:eastAsia="Times New Roman" w:cs="Times New Roman"/>
                <w:b/>
                <w:bCs/>
                <w:color w:val="000000"/>
                <w:sz w:val="12"/>
                <w:szCs w:val="12"/>
                <w:lang w:eastAsia="es-CO"/>
              </w:rPr>
            </w:pPr>
            <w:r w:rsidRPr="00951AB1">
              <w:rPr>
                <w:rFonts w:cs="Times New Roman"/>
                <w:b/>
                <w:bCs/>
                <w:color w:val="000000"/>
                <w:sz w:val="12"/>
                <w:szCs w:val="12"/>
              </w:rPr>
              <w:t xml:space="preserve">55,1 </w:t>
            </w:r>
          </w:p>
        </w:tc>
        <w:tc>
          <w:tcPr>
            <w:tcW w:w="0" w:type="auto"/>
            <w:noWrap/>
            <w:vAlign w:val="center"/>
            <w:hideMark/>
          </w:tcPr>
          <w:p w14:paraId="03A1B7CD" w14:textId="77777777" w:rsidR="005E64D9" w:rsidRPr="00951AB1" w:rsidRDefault="005E64D9" w:rsidP="000A5389">
            <w:pPr>
              <w:spacing w:line="240" w:lineRule="auto"/>
              <w:jc w:val="right"/>
              <w:rPr>
                <w:rFonts w:eastAsia="Times New Roman" w:cs="Times New Roman"/>
                <w:b/>
                <w:bCs/>
                <w:color w:val="000000"/>
                <w:sz w:val="12"/>
                <w:szCs w:val="12"/>
                <w:lang w:eastAsia="es-CO"/>
              </w:rPr>
            </w:pPr>
            <w:r w:rsidRPr="00951AB1">
              <w:rPr>
                <w:rFonts w:eastAsia="Times New Roman" w:cs="Times New Roman"/>
                <w:b/>
                <w:bCs/>
                <w:color w:val="000000"/>
                <w:sz w:val="12"/>
                <w:szCs w:val="12"/>
                <w:lang w:eastAsia="es-CO"/>
              </w:rPr>
              <w:t>172.813.685.499</w:t>
            </w:r>
          </w:p>
        </w:tc>
      </w:tr>
      <w:tr w:rsidR="005E64D9" w:rsidRPr="00951AB1" w14:paraId="6F48456B" w14:textId="77777777" w:rsidTr="006304F4">
        <w:trPr>
          <w:gridAfter w:val="1"/>
          <w:trHeight w:val="616"/>
        </w:trPr>
        <w:tc>
          <w:tcPr>
            <w:tcW w:w="0" w:type="auto"/>
            <w:vAlign w:val="center"/>
            <w:hideMark/>
          </w:tcPr>
          <w:p w14:paraId="33BBC0A4" w14:textId="77777777" w:rsidR="005E64D9" w:rsidRPr="00951AB1" w:rsidRDefault="005E64D9" w:rsidP="000A5389">
            <w:pPr>
              <w:spacing w:line="240" w:lineRule="auto"/>
              <w:rPr>
                <w:rFonts w:eastAsia="Times New Roman" w:cs="Times New Roman"/>
                <w:color w:val="000000"/>
                <w:sz w:val="12"/>
                <w:szCs w:val="12"/>
                <w:lang w:eastAsia="es-CO"/>
              </w:rPr>
            </w:pPr>
            <w:r w:rsidRPr="00951AB1">
              <w:rPr>
                <w:rFonts w:eastAsia="Times New Roman" w:cs="Times New Roman"/>
                <w:color w:val="000000"/>
                <w:sz w:val="12"/>
                <w:szCs w:val="12"/>
                <w:lang w:eastAsia="es-CO"/>
              </w:rPr>
              <w:t>Sentencias, laudos arbitrales y conciliaciones extrajudiciales a favor</w:t>
            </w:r>
          </w:p>
        </w:tc>
        <w:tc>
          <w:tcPr>
            <w:tcW w:w="0" w:type="auto"/>
            <w:noWrap/>
            <w:vAlign w:val="center"/>
            <w:hideMark/>
          </w:tcPr>
          <w:p w14:paraId="44DA10F2" w14:textId="77777777" w:rsidR="005E64D9" w:rsidRPr="00951AB1" w:rsidRDefault="005E64D9" w:rsidP="000A5389">
            <w:pPr>
              <w:spacing w:line="240" w:lineRule="auto"/>
              <w:jc w:val="right"/>
              <w:rPr>
                <w:rFonts w:eastAsia="Times New Roman" w:cs="Times New Roman"/>
                <w:color w:val="000000"/>
                <w:sz w:val="12"/>
                <w:szCs w:val="12"/>
                <w:lang w:eastAsia="es-CO"/>
              </w:rPr>
            </w:pPr>
            <w:r w:rsidRPr="00951AB1">
              <w:rPr>
                <w:rFonts w:eastAsia="Times New Roman" w:cs="Times New Roman"/>
                <w:color w:val="000000"/>
                <w:sz w:val="12"/>
                <w:szCs w:val="12"/>
                <w:lang w:eastAsia="es-CO"/>
              </w:rPr>
              <w:t xml:space="preserve">0 </w:t>
            </w:r>
          </w:p>
        </w:tc>
        <w:tc>
          <w:tcPr>
            <w:tcW w:w="0" w:type="auto"/>
            <w:noWrap/>
            <w:vAlign w:val="center"/>
            <w:hideMark/>
          </w:tcPr>
          <w:p w14:paraId="7CC8E4AF" w14:textId="77777777" w:rsidR="005E64D9" w:rsidRPr="00951AB1" w:rsidRDefault="005E64D9" w:rsidP="000A5389">
            <w:pPr>
              <w:spacing w:line="240" w:lineRule="auto"/>
              <w:jc w:val="right"/>
              <w:rPr>
                <w:rFonts w:eastAsia="Times New Roman" w:cs="Times New Roman"/>
                <w:color w:val="000000"/>
                <w:sz w:val="12"/>
                <w:szCs w:val="12"/>
                <w:lang w:eastAsia="es-CO"/>
              </w:rPr>
            </w:pPr>
            <w:r w:rsidRPr="00951AB1">
              <w:rPr>
                <w:rFonts w:eastAsia="Times New Roman" w:cs="Times New Roman"/>
                <w:color w:val="000000"/>
                <w:sz w:val="12"/>
                <w:szCs w:val="12"/>
                <w:lang w:eastAsia="es-CO"/>
              </w:rPr>
              <w:t xml:space="preserve">384.588.158.996 </w:t>
            </w:r>
          </w:p>
        </w:tc>
        <w:tc>
          <w:tcPr>
            <w:tcW w:w="0" w:type="auto"/>
            <w:noWrap/>
            <w:vAlign w:val="center"/>
            <w:hideMark/>
          </w:tcPr>
          <w:p w14:paraId="41FA066F" w14:textId="77777777" w:rsidR="005E64D9" w:rsidRPr="00951AB1" w:rsidRDefault="005E64D9" w:rsidP="000A5389">
            <w:pPr>
              <w:spacing w:line="240" w:lineRule="auto"/>
              <w:jc w:val="right"/>
              <w:rPr>
                <w:rFonts w:eastAsia="Times New Roman" w:cs="Times New Roman"/>
                <w:color w:val="000000"/>
                <w:sz w:val="12"/>
                <w:szCs w:val="12"/>
                <w:lang w:eastAsia="es-CO"/>
              </w:rPr>
            </w:pPr>
            <w:r w:rsidRPr="00951AB1">
              <w:rPr>
                <w:rFonts w:eastAsia="Times New Roman" w:cs="Times New Roman"/>
                <w:color w:val="000000"/>
                <w:sz w:val="12"/>
                <w:szCs w:val="12"/>
                <w:lang w:eastAsia="es-CO"/>
              </w:rPr>
              <w:t xml:space="preserve">384.588.158.996 </w:t>
            </w:r>
          </w:p>
        </w:tc>
        <w:tc>
          <w:tcPr>
            <w:tcW w:w="0" w:type="auto"/>
            <w:noWrap/>
            <w:vAlign w:val="center"/>
            <w:hideMark/>
          </w:tcPr>
          <w:p w14:paraId="2FD5A9B7" w14:textId="77777777" w:rsidR="005E64D9" w:rsidRPr="00951AB1" w:rsidRDefault="005E64D9" w:rsidP="000A5389">
            <w:pPr>
              <w:spacing w:line="240" w:lineRule="auto"/>
              <w:jc w:val="right"/>
              <w:rPr>
                <w:rFonts w:eastAsia="Times New Roman" w:cs="Times New Roman"/>
                <w:color w:val="000000"/>
                <w:sz w:val="12"/>
                <w:szCs w:val="12"/>
                <w:lang w:eastAsia="es-CO"/>
              </w:rPr>
            </w:pPr>
            <w:r w:rsidRPr="00951AB1">
              <w:rPr>
                <w:rFonts w:eastAsia="Times New Roman" w:cs="Times New Roman"/>
                <w:color w:val="000000"/>
                <w:sz w:val="12"/>
                <w:szCs w:val="12"/>
                <w:lang w:eastAsia="es-CO"/>
              </w:rPr>
              <w:t>314.357.215.342</w:t>
            </w:r>
          </w:p>
        </w:tc>
        <w:tc>
          <w:tcPr>
            <w:tcW w:w="0" w:type="auto"/>
            <w:noWrap/>
            <w:vAlign w:val="center"/>
            <w:hideMark/>
          </w:tcPr>
          <w:p w14:paraId="32DC9FB5" w14:textId="77777777" w:rsidR="005E64D9" w:rsidRPr="00951AB1" w:rsidRDefault="005E64D9" w:rsidP="000A5389">
            <w:pPr>
              <w:spacing w:line="240" w:lineRule="auto"/>
              <w:jc w:val="right"/>
              <w:rPr>
                <w:rFonts w:eastAsia="Times New Roman" w:cs="Times New Roman"/>
                <w:color w:val="000000"/>
                <w:sz w:val="12"/>
                <w:szCs w:val="12"/>
                <w:lang w:eastAsia="es-CO"/>
              </w:rPr>
            </w:pPr>
            <w:r w:rsidRPr="00951AB1">
              <w:rPr>
                <w:rFonts w:eastAsia="Times New Roman" w:cs="Times New Roman"/>
                <w:color w:val="000000"/>
                <w:sz w:val="12"/>
                <w:szCs w:val="12"/>
                <w:lang w:eastAsia="es-CO"/>
              </w:rPr>
              <w:t xml:space="preserve">0 </w:t>
            </w:r>
          </w:p>
        </w:tc>
        <w:tc>
          <w:tcPr>
            <w:tcW w:w="0" w:type="auto"/>
            <w:noWrap/>
            <w:vAlign w:val="center"/>
            <w:hideMark/>
          </w:tcPr>
          <w:p w14:paraId="54E7AE81" w14:textId="77777777" w:rsidR="005E64D9" w:rsidRPr="00951AB1" w:rsidRDefault="005E64D9" w:rsidP="000A5389">
            <w:pPr>
              <w:spacing w:line="240" w:lineRule="auto"/>
              <w:jc w:val="right"/>
              <w:rPr>
                <w:rFonts w:eastAsia="Times New Roman" w:cs="Times New Roman"/>
                <w:color w:val="000000"/>
                <w:sz w:val="12"/>
                <w:szCs w:val="12"/>
                <w:lang w:eastAsia="es-CO"/>
              </w:rPr>
            </w:pPr>
            <w:r w:rsidRPr="00951AB1">
              <w:rPr>
                <w:rFonts w:eastAsia="Times New Roman" w:cs="Times New Roman"/>
                <w:color w:val="000000"/>
                <w:sz w:val="12"/>
                <w:szCs w:val="12"/>
                <w:lang w:eastAsia="es-CO"/>
              </w:rPr>
              <w:t>102.540.017.261</w:t>
            </w:r>
          </w:p>
        </w:tc>
        <w:tc>
          <w:tcPr>
            <w:tcW w:w="0" w:type="auto"/>
            <w:noWrap/>
            <w:vAlign w:val="center"/>
            <w:hideMark/>
          </w:tcPr>
          <w:p w14:paraId="571E7D34" w14:textId="77777777" w:rsidR="005E64D9" w:rsidRPr="00951AB1" w:rsidRDefault="005E64D9" w:rsidP="000A5389">
            <w:pPr>
              <w:spacing w:line="240" w:lineRule="auto"/>
              <w:jc w:val="right"/>
              <w:rPr>
                <w:rFonts w:eastAsia="Times New Roman" w:cs="Times New Roman"/>
                <w:color w:val="000000"/>
                <w:sz w:val="12"/>
                <w:szCs w:val="12"/>
                <w:lang w:eastAsia="es-CO"/>
              </w:rPr>
            </w:pPr>
            <w:r w:rsidRPr="00951AB1">
              <w:rPr>
                <w:rFonts w:eastAsia="Times New Roman" w:cs="Times New Roman"/>
                <w:color w:val="000000"/>
                <w:sz w:val="12"/>
                <w:szCs w:val="12"/>
                <w:lang w:eastAsia="es-CO"/>
              </w:rPr>
              <w:t>211.817.198.081</w:t>
            </w:r>
          </w:p>
        </w:tc>
        <w:tc>
          <w:tcPr>
            <w:tcW w:w="0" w:type="auto"/>
            <w:noWrap/>
            <w:vAlign w:val="center"/>
            <w:hideMark/>
          </w:tcPr>
          <w:p w14:paraId="47B614C6" w14:textId="77777777" w:rsidR="005E64D9" w:rsidRPr="00951AB1" w:rsidRDefault="005E64D9" w:rsidP="000A5389">
            <w:pPr>
              <w:spacing w:line="240" w:lineRule="auto"/>
              <w:jc w:val="center"/>
              <w:rPr>
                <w:rFonts w:eastAsia="Times New Roman" w:cs="Times New Roman"/>
                <w:color w:val="000000"/>
                <w:sz w:val="12"/>
                <w:szCs w:val="12"/>
                <w:lang w:eastAsia="es-CO"/>
              </w:rPr>
            </w:pPr>
            <w:r w:rsidRPr="00951AB1">
              <w:rPr>
                <w:rFonts w:cs="Times New Roman"/>
                <w:color w:val="000000"/>
                <w:sz w:val="12"/>
                <w:szCs w:val="12"/>
              </w:rPr>
              <w:t xml:space="preserve">55,1 </w:t>
            </w:r>
          </w:p>
        </w:tc>
        <w:tc>
          <w:tcPr>
            <w:tcW w:w="0" w:type="auto"/>
            <w:noWrap/>
            <w:vAlign w:val="center"/>
            <w:hideMark/>
          </w:tcPr>
          <w:p w14:paraId="2F47C473" w14:textId="77777777" w:rsidR="005E64D9" w:rsidRPr="00951AB1" w:rsidRDefault="005E64D9" w:rsidP="000A5389">
            <w:pPr>
              <w:spacing w:line="240" w:lineRule="auto"/>
              <w:jc w:val="right"/>
              <w:rPr>
                <w:rFonts w:eastAsia="Times New Roman" w:cs="Times New Roman"/>
                <w:color w:val="000000"/>
                <w:sz w:val="12"/>
                <w:szCs w:val="12"/>
                <w:lang w:eastAsia="es-CO"/>
              </w:rPr>
            </w:pPr>
            <w:r w:rsidRPr="00951AB1">
              <w:rPr>
                <w:rFonts w:eastAsia="Times New Roman" w:cs="Times New Roman"/>
                <w:color w:val="000000"/>
                <w:sz w:val="12"/>
                <w:szCs w:val="12"/>
                <w:lang w:eastAsia="es-CO"/>
              </w:rPr>
              <w:t>172.770.960.915</w:t>
            </w:r>
          </w:p>
        </w:tc>
      </w:tr>
      <w:tr w:rsidR="005E64D9" w:rsidRPr="00951AB1" w14:paraId="1F057A38" w14:textId="77777777" w:rsidTr="006304F4">
        <w:trPr>
          <w:gridAfter w:val="1"/>
          <w:trHeight w:val="308"/>
        </w:trPr>
        <w:tc>
          <w:tcPr>
            <w:tcW w:w="0" w:type="auto"/>
            <w:vAlign w:val="center"/>
            <w:hideMark/>
          </w:tcPr>
          <w:p w14:paraId="429C0B50" w14:textId="77777777" w:rsidR="005E64D9" w:rsidRPr="00951AB1" w:rsidRDefault="005E64D9" w:rsidP="000A5389">
            <w:pPr>
              <w:spacing w:line="240" w:lineRule="auto"/>
              <w:rPr>
                <w:rFonts w:eastAsia="Times New Roman" w:cs="Times New Roman"/>
                <w:color w:val="000000"/>
                <w:sz w:val="12"/>
                <w:szCs w:val="12"/>
                <w:lang w:eastAsia="es-CO"/>
              </w:rPr>
            </w:pPr>
            <w:r w:rsidRPr="00951AB1">
              <w:rPr>
                <w:rFonts w:eastAsia="Times New Roman" w:cs="Times New Roman"/>
                <w:color w:val="000000"/>
                <w:sz w:val="12"/>
                <w:szCs w:val="12"/>
                <w:lang w:eastAsia="es-CO"/>
              </w:rPr>
              <w:lastRenderedPageBreak/>
              <w:t>Otras cuentas por cobrar de difícil recaudo</w:t>
            </w:r>
          </w:p>
        </w:tc>
        <w:tc>
          <w:tcPr>
            <w:tcW w:w="0" w:type="auto"/>
            <w:noWrap/>
            <w:vAlign w:val="center"/>
            <w:hideMark/>
          </w:tcPr>
          <w:p w14:paraId="776AD633" w14:textId="77777777" w:rsidR="005E64D9" w:rsidRPr="00951AB1" w:rsidRDefault="005E64D9" w:rsidP="000A5389">
            <w:pPr>
              <w:spacing w:line="240" w:lineRule="auto"/>
              <w:jc w:val="right"/>
              <w:rPr>
                <w:rFonts w:eastAsia="Times New Roman" w:cs="Times New Roman"/>
                <w:color w:val="000000"/>
                <w:sz w:val="12"/>
                <w:szCs w:val="12"/>
                <w:lang w:eastAsia="es-CO"/>
              </w:rPr>
            </w:pPr>
            <w:r w:rsidRPr="00951AB1">
              <w:rPr>
                <w:rFonts w:eastAsia="Times New Roman" w:cs="Times New Roman"/>
                <w:color w:val="000000"/>
                <w:sz w:val="12"/>
                <w:szCs w:val="12"/>
                <w:lang w:eastAsia="es-CO"/>
              </w:rPr>
              <w:t xml:space="preserve">0 </w:t>
            </w:r>
          </w:p>
        </w:tc>
        <w:tc>
          <w:tcPr>
            <w:tcW w:w="0" w:type="auto"/>
            <w:noWrap/>
            <w:vAlign w:val="center"/>
            <w:hideMark/>
          </w:tcPr>
          <w:p w14:paraId="58A85012" w14:textId="77777777" w:rsidR="005E64D9" w:rsidRPr="00951AB1" w:rsidRDefault="005E64D9" w:rsidP="000A5389">
            <w:pPr>
              <w:spacing w:line="240" w:lineRule="auto"/>
              <w:jc w:val="right"/>
              <w:rPr>
                <w:rFonts w:eastAsia="Times New Roman" w:cs="Times New Roman"/>
                <w:color w:val="000000"/>
                <w:sz w:val="12"/>
                <w:szCs w:val="12"/>
                <w:lang w:eastAsia="es-CO"/>
              </w:rPr>
            </w:pPr>
            <w:r w:rsidRPr="00951AB1">
              <w:rPr>
                <w:rFonts w:eastAsia="Times New Roman" w:cs="Times New Roman"/>
                <w:color w:val="000000"/>
                <w:sz w:val="12"/>
                <w:szCs w:val="12"/>
                <w:lang w:eastAsia="es-CO"/>
              </w:rPr>
              <w:t xml:space="preserve">322.352.048 </w:t>
            </w:r>
          </w:p>
        </w:tc>
        <w:tc>
          <w:tcPr>
            <w:tcW w:w="0" w:type="auto"/>
            <w:noWrap/>
            <w:vAlign w:val="center"/>
            <w:hideMark/>
          </w:tcPr>
          <w:p w14:paraId="4C14B1F5" w14:textId="77777777" w:rsidR="005E64D9" w:rsidRPr="00951AB1" w:rsidRDefault="005E64D9" w:rsidP="000A5389">
            <w:pPr>
              <w:spacing w:line="240" w:lineRule="auto"/>
              <w:jc w:val="right"/>
              <w:rPr>
                <w:rFonts w:eastAsia="Times New Roman" w:cs="Times New Roman"/>
                <w:color w:val="000000"/>
                <w:sz w:val="12"/>
                <w:szCs w:val="12"/>
                <w:lang w:eastAsia="es-CO"/>
              </w:rPr>
            </w:pPr>
            <w:r w:rsidRPr="00951AB1">
              <w:rPr>
                <w:rFonts w:eastAsia="Times New Roman" w:cs="Times New Roman"/>
                <w:color w:val="000000"/>
                <w:sz w:val="12"/>
                <w:szCs w:val="12"/>
                <w:lang w:eastAsia="es-CO"/>
              </w:rPr>
              <w:t xml:space="preserve">322.352.048 </w:t>
            </w:r>
          </w:p>
        </w:tc>
        <w:tc>
          <w:tcPr>
            <w:tcW w:w="0" w:type="auto"/>
            <w:noWrap/>
            <w:vAlign w:val="center"/>
            <w:hideMark/>
          </w:tcPr>
          <w:p w14:paraId="50FBE1AA" w14:textId="77777777" w:rsidR="005E64D9" w:rsidRPr="00951AB1" w:rsidRDefault="005E64D9" w:rsidP="000A5389">
            <w:pPr>
              <w:spacing w:line="240" w:lineRule="auto"/>
              <w:jc w:val="right"/>
              <w:rPr>
                <w:rFonts w:eastAsia="Times New Roman" w:cs="Times New Roman"/>
                <w:color w:val="000000"/>
                <w:sz w:val="12"/>
                <w:szCs w:val="12"/>
                <w:lang w:eastAsia="es-CO"/>
              </w:rPr>
            </w:pPr>
            <w:r w:rsidRPr="00951AB1">
              <w:rPr>
                <w:rFonts w:eastAsia="Times New Roman" w:cs="Times New Roman"/>
                <w:color w:val="000000"/>
                <w:sz w:val="12"/>
                <w:szCs w:val="12"/>
                <w:lang w:eastAsia="es-CO"/>
              </w:rPr>
              <w:t>241.095.817</w:t>
            </w:r>
          </w:p>
        </w:tc>
        <w:tc>
          <w:tcPr>
            <w:tcW w:w="0" w:type="auto"/>
            <w:noWrap/>
            <w:vAlign w:val="center"/>
            <w:hideMark/>
          </w:tcPr>
          <w:p w14:paraId="6A0D128B" w14:textId="77777777" w:rsidR="005E64D9" w:rsidRPr="00951AB1" w:rsidRDefault="005E64D9" w:rsidP="000A5389">
            <w:pPr>
              <w:spacing w:line="240" w:lineRule="auto"/>
              <w:jc w:val="right"/>
              <w:rPr>
                <w:rFonts w:eastAsia="Times New Roman" w:cs="Times New Roman"/>
                <w:color w:val="000000"/>
                <w:sz w:val="12"/>
                <w:szCs w:val="12"/>
                <w:lang w:eastAsia="es-CO"/>
              </w:rPr>
            </w:pPr>
            <w:r w:rsidRPr="00951AB1">
              <w:rPr>
                <w:rFonts w:eastAsia="Times New Roman" w:cs="Times New Roman"/>
                <w:color w:val="000000"/>
                <w:sz w:val="12"/>
                <w:szCs w:val="12"/>
                <w:lang w:eastAsia="es-CO"/>
              </w:rPr>
              <w:t xml:space="preserve">38.531.646 </w:t>
            </w:r>
          </w:p>
        </w:tc>
        <w:tc>
          <w:tcPr>
            <w:tcW w:w="0" w:type="auto"/>
            <w:noWrap/>
            <w:vAlign w:val="center"/>
            <w:hideMark/>
          </w:tcPr>
          <w:p w14:paraId="128D4BE5" w14:textId="77777777" w:rsidR="005E64D9" w:rsidRPr="00951AB1" w:rsidRDefault="005E64D9" w:rsidP="000A5389">
            <w:pPr>
              <w:spacing w:line="240" w:lineRule="auto"/>
              <w:jc w:val="right"/>
              <w:rPr>
                <w:rFonts w:eastAsia="Times New Roman" w:cs="Times New Roman"/>
                <w:color w:val="000000"/>
                <w:sz w:val="12"/>
                <w:szCs w:val="12"/>
                <w:lang w:eastAsia="es-CO"/>
              </w:rPr>
            </w:pPr>
            <w:r w:rsidRPr="00951AB1">
              <w:rPr>
                <w:rFonts w:eastAsia="Times New Roman" w:cs="Times New Roman"/>
                <w:color w:val="000000"/>
                <w:sz w:val="12"/>
                <w:szCs w:val="12"/>
                <w:lang w:eastAsia="es-CO"/>
              </w:rPr>
              <w:t xml:space="preserve">0 </w:t>
            </w:r>
          </w:p>
        </w:tc>
        <w:tc>
          <w:tcPr>
            <w:tcW w:w="0" w:type="auto"/>
            <w:noWrap/>
            <w:vAlign w:val="center"/>
            <w:hideMark/>
          </w:tcPr>
          <w:p w14:paraId="51A54B29" w14:textId="77777777" w:rsidR="005E64D9" w:rsidRPr="00951AB1" w:rsidRDefault="005E64D9" w:rsidP="000A5389">
            <w:pPr>
              <w:spacing w:line="240" w:lineRule="auto"/>
              <w:jc w:val="right"/>
              <w:rPr>
                <w:rFonts w:eastAsia="Times New Roman" w:cs="Times New Roman"/>
                <w:color w:val="000000"/>
                <w:sz w:val="12"/>
                <w:szCs w:val="12"/>
                <w:lang w:eastAsia="es-CO"/>
              </w:rPr>
            </w:pPr>
            <w:r w:rsidRPr="00951AB1">
              <w:rPr>
                <w:rFonts w:eastAsia="Times New Roman" w:cs="Times New Roman"/>
                <w:color w:val="000000"/>
                <w:sz w:val="12"/>
                <w:szCs w:val="12"/>
                <w:lang w:eastAsia="es-CO"/>
              </w:rPr>
              <w:t>279.627.463</w:t>
            </w:r>
          </w:p>
        </w:tc>
        <w:tc>
          <w:tcPr>
            <w:tcW w:w="0" w:type="auto"/>
            <w:noWrap/>
            <w:vAlign w:val="center"/>
            <w:hideMark/>
          </w:tcPr>
          <w:p w14:paraId="4D413BDC" w14:textId="77777777" w:rsidR="005E64D9" w:rsidRPr="00951AB1" w:rsidRDefault="005E64D9" w:rsidP="000A5389">
            <w:pPr>
              <w:spacing w:line="240" w:lineRule="auto"/>
              <w:jc w:val="center"/>
              <w:rPr>
                <w:rFonts w:eastAsia="Times New Roman" w:cs="Times New Roman"/>
                <w:color w:val="000000"/>
                <w:sz w:val="12"/>
                <w:szCs w:val="12"/>
                <w:lang w:eastAsia="es-CO"/>
              </w:rPr>
            </w:pPr>
            <w:r w:rsidRPr="00951AB1">
              <w:rPr>
                <w:rFonts w:cs="Times New Roman"/>
                <w:color w:val="000000"/>
                <w:sz w:val="12"/>
                <w:szCs w:val="12"/>
              </w:rPr>
              <w:t xml:space="preserve">86,7 </w:t>
            </w:r>
          </w:p>
        </w:tc>
        <w:tc>
          <w:tcPr>
            <w:tcW w:w="0" w:type="auto"/>
            <w:noWrap/>
            <w:vAlign w:val="center"/>
            <w:hideMark/>
          </w:tcPr>
          <w:p w14:paraId="5AA24A33" w14:textId="77777777" w:rsidR="005E64D9" w:rsidRPr="00951AB1" w:rsidRDefault="005E64D9" w:rsidP="000A5389">
            <w:pPr>
              <w:spacing w:line="240" w:lineRule="auto"/>
              <w:jc w:val="right"/>
              <w:rPr>
                <w:rFonts w:eastAsia="Times New Roman" w:cs="Times New Roman"/>
                <w:color w:val="000000"/>
                <w:sz w:val="12"/>
                <w:szCs w:val="12"/>
                <w:lang w:eastAsia="es-CO"/>
              </w:rPr>
            </w:pPr>
            <w:r w:rsidRPr="00951AB1">
              <w:rPr>
                <w:rFonts w:eastAsia="Times New Roman" w:cs="Times New Roman"/>
                <w:color w:val="000000"/>
                <w:sz w:val="12"/>
                <w:szCs w:val="12"/>
                <w:lang w:eastAsia="es-CO"/>
              </w:rPr>
              <w:t>42.724.584</w:t>
            </w:r>
          </w:p>
        </w:tc>
      </w:tr>
    </w:tbl>
    <w:p w14:paraId="6DAD6085" w14:textId="2C8AE93D" w:rsidR="00AF6306" w:rsidRPr="00951AB1" w:rsidRDefault="005E64D9" w:rsidP="000A5389">
      <w:pPr>
        <w:autoSpaceDE w:val="0"/>
        <w:autoSpaceDN w:val="0"/>
        <w:adjustRightInd w:val="0"/>
        <w:spacing w:line="240" w:lineRule="auto"/>
        <w:rPr>
          <w:rFonts w:cs="Times New Roman"/>
          <w:sz w:val="14"/>
          <w:szCs w:val="14"/>
        </w:rPr>
      </w:pPr>
      <w:r w:rsidRPr="00951AB1">
        <w:rPr>
          <w:rFonts w:cs="Times New Roman"/>
          <w:sz w:val="14"/>
          <w:szCs w:val="14"/>
        </w:rPr>
        <w:t>Cifras expresadas en pesos</w:t>
      </w:r>
    </w:p>
    <w:p w14:paraId="75F8D8F2" w14:textId="77777777" w:rsidR="008567AA" w:rsidRPr="00951AB1" w:rsidRDefault="008567AA" w:rsidP="000A5389">
      <w:pPr>
        <w:autoSpaceDE w:val="0"/>
        <w:autoSpaceDN w:val="0"/>
        <w:adjustRightInd w:val="0"/>
        <w:spacing w:line="240" w:lineRule="auto"/>
        <w:rPr>
          <w:rFonts w:cs="Times New Roman"/>
          <w:color w:val="000000"/>
          <w:sz w:val="14"/>
          <w:szCs w:val="14"/>
        </w:rPr>
      </w:pPr>
    </w:p>
    <w:p w14:paraId="67B558A4" w14:textId="77777777" w:rsidR="008567AA" w:rsidRPr="00951AB1" w:rsidRDefault="008567AA" w:rsidP="000A5389">
      <w:pPr>
        <w:autoSpaceDE w:val="0"/>
        <w:autoSpaceDN w:val="0"/>
        <w:adjustRightInd w:val="0"/>
        <w:spacing w:line="240" w:lineRule="auto"/>
        <w:rPr>
          <w:rFonts w:cs="Times New Roman"/>
          <w:color w:val="000000"/>
          <w:szCs w:val="24"/>
        </w:rPr>
      </w:pPr>
    </w:p>
    <w:tbl>
      <w:tblPr>
        <w:tblW w:w="5000" w:type="pct"/>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CellMar>
          <w:left w:w="70" w:type="dxa"/>
          <w:right w:w="70" w:type="dxa"/>
        </w:tblCellMar>
        <w:tblLook w:val="04A0" w:firstRow="1" w:lastRow="0" w:firstColumn="1" w:lastColumn="0" w:noHBand="0" w:noVBand="1"/>
      </w:tblPr>
      <w:tblGrid>
        <w:gridCol w:w="981"/>
        <w:gridCol w:w="1086"/>
        <w:gridCol w:w="1251"/>
        <w:gridCol w:w="963"/>
        <w:gridCol w:w="963"/>
        <w:gridCol w:w="694"/>
        <w:gridCol w:w="813"/>
        <w:gridCol w:w="427"/>
        <w:gridCol w:w="1650"/>
      </w:tblGrid>
      <w:tr w:rsidR="005E64D9" w:rsidRPr="005D3E21" w14:paraId="44105263" w14:textId="77777777" w:rsidTr="005D3E21">
        <w:trPr>
          <w:trHeight w:val="409"/>
          <w:tblHeader/>
        </w:trPr>
        <w:tc>
          <w:tcPr>
            <w:tcW w:w="573" w:type="pct"/>
            <w:vMerge w:val="restart"/>
            <w:vAlign w:val="center"/>
            <w:hideMark/>
          </w:tcPr>
          <w:p w14:paraId="221D77E8" w14:textId="77777777" w:rsidR="005E64D9" w:rsidRPr="005D3E21" w:rsidRDefault="005E64D9" w:rsidP="000A5389">
            <w:pPr>
              <w:spacing w:line="240" w:lineRule="auto"/>
              <w:jc w:val="center"/>
              <w:rPr>
                <w:rFonts w:eastAsia="Times New Roman" w:cs="Times New Roman"/>
                <w:b/>
                <w:bCs/>
                <w:color w:val="000000"/>
                <w:sz w:val="12"/>
                <w:szCs w:val="12"/>
                <w:lang w:eastAsia="es-CO"/>
              </w:rPr>
            </w:pPr>
            <w:r w:rsidRPr="005D3E21">
              <w:rPr>
                <w:rFonts w:eastAsia="Times New Roman" w:cs="Times New Roman"/>
                <w:b/>
                <w:bCs/>
                <w:color w:val="000000"/>
                <w:sz w:val="12"/>
                <w:szCs w:val="12"/>
                <w:lang w:eastAsia="es-CO"/>
              </w:rPr>
              <w:t>DESCRIPCIÓN</w:t>
            </w:r>
          </w:p>
        </w:tc>
        <w:tc>
          <w:tcPr>
            <w:tcW w:w="655" w:type="pct"/>
            <w:vMerge w:val="restart"/>
            <w:vAlign w:val="center"/>
            <w:hideMark/>
          </w:tcPr>
          <w:p w14:paraId="5F8DB381" w14:textId="77777777" w:rsidR="005E64D9" w:rsidRPr="005D3E21" w:rsidRDefault="005E64D9" w:rsidP="000A5389">
            <w:pPr>
              <w:spacing w:line="240" w:lineRule="auto"/>
              <w:jc w:val="center"/>
              <w:rPr>
                <w:rFonts w:eastAsia="Times New Roman" w:cs="Times New Roman"/>
                <w:b/>
                <w:bCs/>
                <w:color w:val="000000"/>
                <w:sz w:val="12"/>
                <w:szCs w:val="12"/>
                <w:lang w:eastAsia="es-CO"/>
              </w:rPr>
            </w:pPr>
            <w:r w:rsidRPr="005D3E21">
              <w:rPr>
                <w:rFonts w:eastAsia="Times New Roman" w:cs="Times New Roman"/>
                <w:b/>
                <w:bCs/>
                <w:color w:val="000000"/>
                <w:sz w:val="12"/>
                <w:szCs w:val="12"/>
                <w:lang w:eastAsia="es-CO"/>
              </w:rPr>
              <w:t>DESCRIPCIÓN AUXILIAR</w:t>
            </w:r>
          </w:p>
        </w:tc>
        <w:tc>
          <w:tcPr>
            <w:tcW w:w="737" w:type="pct"/>
            <w:vMerge w:val="restart"/>
            <w:vAlign w:val="center"/>
            <w:hideMark/>
          </w:tcPr>
          <w:p w14:paraId="5A2C4CDB" w14:textId="77777777" w:rsidR="005E64D9" w:rsidRPr="005D3E21" w:rsidRDefault="005E64D9" w:rsidP="000A5389">
            <w:pPr>
              <w:spacing w:line="240" w:lineRule="auto"/>
              <w:jc w:val="center"/>
              <w:rPr>
                <w:rFonts w:eastAsia="Times New Roman" w:cs="Times New Roman"/>
                <w:b/>
                <w:bCs/>
                <w:color w:val="000000"/>
                <w:sz w:val="12"/>
                <w:szCs w:val="12"/>
                <w:lang w:eastAsia="es-CO"/>
              </w:rPr>
            </w:pPr>
            <w:r w:rsidRPr="005D3E21">
              <w:rPr>
                <w:rFonts w:eastAsia="Times New Roman" w:cs="Times New Roman"/>
                <w:b/>
                <w:bCs/>
                <w:color w:val="000000"/>
                <w:sz w:val="12"/>
                <w:szCs w:val="12"/>
                <w:lang w:eastAsia="es-CO"/>
              </w:rPr>
              <w:t>VALOR AUXILIAR 31-12-2025</w:t>
            </w:r>
          </w:p>
        </w:tc>
        <w:tc>
          <w:tcPr>
            <w:tcW w:w="1148" w:type="pct"/>
            <w:gridSpan w:val="2"/>
            <w:vAlign w:val="center"/>
            <w:hideMark/>
          </w:tcPr>
          <w:p w14:paraId="708D4419" w14:textId="77777777" w:rsidR="005E64D9" w:rsidRPr="005D3E21" w:rsidRDefault="005E64D9" w:rsidP="000A5389">
            <w:pPr>
              <w:spacing w:line="240" w:lineRule="auto"/>
              <w:jc w:val="center"/>
              <w:rPr>
                <w:rFonts w:eastAsia="Times New Roman" w:cs="Times New Roman"/>
                <w:b/>
                <w:bCs/>
                <w:color w:val="000000"/>
                <w:sz w:val="12"/>
                <w:szCs w:val="12"/>
                <w:lang w:eastAsia="es-CO"/>
              </w:rPr>
            </w:pPr>
            <w:r w:rsidRPr="005D3E21">
              <w:rPr>
                <w:rFonts w:eastAsia="Times New Roman" w:cs="Times New Roman"/>
                <w:b/>
                <w:bCs/>
                <w:color w:val="000000"/>
                <w:sz w:val="12"/>
                <w:szCs w:val="12"/>
                <w:lang w:eastAsia="es-CO"/>
              </w:rPr>
              <w:t>PLAZO (rango en N meses)</w:t>
            </w:r>
          </w:p>
        </w:tc>
        <w:tc>
          <w:tcPr>
            <w:tcW w:w="411" w:type="pct"/>
            <w:vMerge w:val="restart"/>
            <w:vAlign w:val="center"/>
            <w:hideMark/>
          </w:tcPr>
          <w:p w14:paraId="767A6B6A" w14:textId="77777777" w:rsidR="005E64D9" w:rsidRPr="005D3E21" w:rsidRDefault="005E64D9" w:rsidP="000A5389">
            <w:pPr>
              <w:spacing w:line="240" w:lineRule="auto"/>
              <w:jc w:val="center"/>
              <w:rPr>
                <w:rFonts w:eastAsia="Times New Roman" w:cs="Times New Roman"/>
                <w:b/>
                <w:bCs/>
                <w:color w:val="000000"/>
                <w:sz w:val="12"/>
                <w:szCs w:val="12"/>
                <w:lang w:eastAsia="es-CO"/>
              </w:rPr>
            </w:pPr>
            <w:r w:rsidRPr="005D3E21">
              <w:rPr>
                <w:rFonts w:eastAsia="Times New Roman" w:cs="Times New Roman"/>
                <w:b/>
                <w:bCs/>
                <w:color w:val="000000"/>
                <w:sz w:val="12"/>
                <w:szCs w:val="12"/>
                <w:lang w:eastAsia="es-CO"/>
              </w:rPr>
              <w:t>% E.A</w:t>
            </w:r>
          </w:p>
        </w:tc>
        <w:tc>
          <w:tcPr>
            <w:tcW w:w="738" w:type="pct"/>
            <w:gridSpan w:val="2"/>
            <w:vAlign w:val="center"/>
            <w:hideMark/>
          </w:tcPr>
          <w:p w14:paraId="5177B6EB" w14:textId="77777777" w:rsidR="005E64D9" w:rsidRPr="005D3E21" w:rsidRDefault="005E64D9" w:rsidP="000A5389">
            <w:pPr>
              <w:spacing w:line="240" w:lineRule="auto"/>
              <w:jc w:val="center"/>
              <w:rPr>
                <w:rFonts w:eastAsia="Times New Roman" w:cs="Times New Roman"/>
                <w:b/>
                <w:bCs/>
                <w:color w:val="000000"/>
                <w:sz w:val="12"/>
                <w:szCs w:val="12"/>
                <w:lang w:eastAsia="es-CO"/>
              </w:rPr>
            </w:pPr>
            <w:r w:rsidRPr="005D3E21">
              <w:rPr>
                <w:rFonts w:eastAsia="Times New Roman" w:cs="Times New Roman"/>
                <w:b/>
                <w:bCs/>
                <w:color w:val="000000"/>
                <w:sz w:val="12"/>
                <w:szCs w:val="12"/>
                <w:lang w:eastAsia="es-CO"/>
              </w:rPr>
              <w:t>VENCIMIENTO (meses)</w:t>
            </w:r>
          </w:p>
        </w:tc>
        <w:tc>
          <w:tcPr>
            <w:tcW w:w="738" w:type="pct"/>
            <w:vMerge w:val="restart"/>
            <w:vAlign w:val="center"/>
            <w:hideMark/>
          </w:tcPr>
          <w:p w14:paraId="78B1477C" w14:textId="77777777" w:rsidR="005E64D9" w:rsidRPr="005D3E21" w:rsidRDefault="005E64D9" w:rsidP="000A5389">
            <w:pPr>
              <w:spacing w:line="240" w:lineRule="auto"/>
              <w:jc w:val="center"/>
              <w:rPr>
                <w:rFonts w:eastAsia="Times New Roman" w:cs="Times New Roman"/>
                <w:b/>
                <w:bCs/>
                <w:color w:val="000000"/>
                <w:sz w:val="12"/>
                <w:szCs w:val="12"/>
                <w:lang w:eastAsia="es-CO"/>
              </w:rPr>
            </w:pPr>
            <w:r w:rsidRPr="005D3E21">
              <w:rPr>
                <w:rFonts w:eastAsia="Times New Roman" w:cs="Times New Roman"/>
                <w:b/>
                <w:bCs/>
                <w:color w:val="000000"/>
                <w:sz w:val="12"/>
                <w:szCs w:val="12"/>
                <w:lang w:eastAsia="es-CO"/>
              </w:rPr>
              <w:t xml:space="preserve">Observaciones </w:t>
            </w:r>
          </w:p>
        </w:tc>
      </w:tr>
      <w:tr w:rsidR="008567AA" w:rsidRPr="005D3E21" w14:paraId="2C53CBE7" w14:textId="77777777" w:rsidTr="005D3E21">
        <w:trPr>
          <w:trHeight w:val="71"/>
        </w:trPr>
        <w:tc>
          <w:tcPr>
            <w:tcW w:w="573" w:type="pct"/>
            <w:vMerge/>
            <w:vAlign w:val="center"/>
            <w:hideMark/>
          </w:tcPr>
          <w:p w14:paraId="413580FF" w14:textId="77777777" w:rsidR="005E64D9" w:rsidRPr="005D3E21" w:rsidRDefault="005E64D9" w:rsidP="000A5389">
            <w:pPr>
              <w:spacing w:line="240" w:lineRule="auto"/>
              <w:rPr>
                <w:rFonts w:eastAsia="Times New Roman" w:cs="Times New Roman"/>
                <w:b/>
                <w:bCs/>
                <w:color w:val="000000"/>
                <w:sz w:val="12"/>
                <w:szCs w:val="12"/>
                <w:lang w:eastAsia="es-CO"/>
              </w:rPr>
            </w:pPr>
          </w:p>
        </w:tc>
        <w:tc>
          <w:tcPr>
            <w:tcW w:w="655" w:type="pct"/>
            <w:vMerge/>
            <w:vAlign w:val="center"/>
            <w:hideMark/>
          </w:tcPr>
          <w:p w14:paraId="3CA29918" w14:textId="77777777" w:rsidR="005E64D9" w:rsidRPr="005D3E21" w:rsidRDefault="005E64D9" w:rsidP="000A5389">
            <w:pPr>
              <w:spacing w:line="240" w:lineRule="auto"/>
              <w:rPr>
                <w:rFonts w:eastAsia="Times New Roman" w:cs="Times New Roman"/>
                <w:b/>
                <w:bCs/>
                <w:color w:val="000000"/>
                <w:sz w:val="12"/>
                <w:szCs w:val="12"/>
                <w:lang w:eastAsia="es-CO"/>
              </w:rPr>
            </w:pPr>
          </w:p>
        </w:tc>
        <w:tc>
          <w:tcPr>
            <w:tcW w:w="737" w:type="pct"/>
            <w:vMerge/>
            <w:vAlign w:val="center"/>
            <w:hideMark/>
          </w:tcPr>
          <w:p w14:paraId="44D7FB1F" w14:textId="77777777" w:rsidR="005E64D9" w:rsidRPr="005D3E21" w:rsidRDefault="005E64D9" w:rsidP="000A5389">
            <w:pPr>
              <w:spacing w:line="240" w:lineRule="auto"/>
              <w:rPr>
                <w:rFonts w:eastAsia="Times New Roman" w:cs="Times New Roman"/>
                <w:b/>
                <w:bCs/>
                <w:color w:val="000000"/>
                <w:sz w:val="12"/>
                <w:szCs w:val="12"/>
                <w:lang w:eastAsia="es-CO"/>
              </w:rPr>
            </w:pPr>
          </w:p>
        </w:tc>
        <w:tc>
          <w:tcPr>
            <w:tcW w:w="574" w:type="pct"/>
            <w:vAlign w:val="center"/>
            <w:hideMark/>
          </w:tcPr>
          <w:p w14:paraId="2CC9A017" w14:textId="77777777" w:rsidR="005E64D9" w:rsidRPr="005D3E21" w:rsidRDefault="005E64D9" w:rsidP="000A5389">
            <w:pPr>
              <w:spacing w:line="240" w:lineRule="auto"/>
              <w:jc w:val="center"/>
              <w:rPr>
                <w:rFonts w:eastAsia="Times New Roman" w:cs="Times New Roman"/>
                <w:b/>
                <w:bCs/>
                <w:color w:val="000000"/>
                <w:sz w:val="12"/>
                <w:szCs w:val="12"/>
                <w:lang w:eastAsia="es-CO"/>
              </w:rPr>
            </w:pPr>
            <w:r w:rsidRPr="005D3E21">
              <w:rPr>
                <w:rFonts w:eastAsia="Times New Roman" w:cs="Times New Roman"/>
                <w:b/>
                <w:bCs/>
                <w:color w:val="000000"/>
                <w:sz w:val="12"/>
                <w:szCs w:val="12"/>
                <w:lang w:eastAsia="es-CO"/>
              </w:rPr>
              <w:t>MIN</w:t>
            </w:r>
          </w:p>
        </w:tc>
        <w:tc>
          <w:tcPr>
            <w:tcW w:w="574" w:type="pct"/>
            <w:vAlign w:val="center"/>
            <w:hideMark/>
          </w:tcPr>
          <w:p w14:paraId="4E0F654D" w14:textId="77777777" w:rsidR="005E64D9" w:rsidRPr="005D3E21" w:rsidRDefault="005E64D9" w:rsidP="000A5389">
            <w:pPr>
              <w:spacing w:line="240" w:lineRule="auto"/>
              <w:jc w:val="center"/>
              <w:rPr>
                <w:rFonts w:eastAsia="Times New Roman" w:cs="Times New Roman"/>
                <w:b/>
                <w:bCs/>
                <w:color w:val="000000"/>
                <w:sz w:val="12"/>
                <w:szCs w:val="12"/>
                <w:lang w:eastAsia="es-CO"/>
              </w:rPr>
            </w:pPr>
            <w:r w:rsidRPr="005D3E21">
              <w:rPr>
                <w:rFonts w:eastAsia="Times New Roman" w:cs="Times New Roman"/>
                <w:b/>
                <w:bCs/>
                <w:color w:val="000000"/>
                <w:sz w:val="12"/>
                <w:szCs w:val="12"/>
                <w:lang w:eastAsia="es-CO"/>
              </w:rPr>
              <w:t>MÁX</w:t>
            </w:r>
          </w:p>
        </w:tc>
        <w:tc>
          <w:tcPr>
            <w:tcW w:w="411" w:type="pct"/>
            <w:vMerge/>
            <w:vAlign w:val="center"/>
            <w:hideMark/>
          </w:tcPr>
          <w:p w14:paraId="3FAE17BC" w14:textId="77777777" w:rsidR="005E64D9" w:rsidRPr="005D3E21" w:rsidRDefault="005E64D9" w:rsidP="000A5389">
            <w:pPr>
              <w:spacing w:line="240" w:lineRule="auto"/>
              <w:rPr>
                <w:rFonts w:eastAsia="Times New Roman" w:cs="Times New Roman"/>
                <w:b/>
                <w:bCs/>
                <w:color w:val="000000"/>
                <w:sz w:val="12"/>
                <w:szCs w:val="12"/>
                <w:lang w:eastAsia="es-CO"/>
              </w:rPr>
            </w:pPr>
          </w:p>
        </w:tc>
        <w:tc>
          <w:tcPr>
            <w:tcW w:w="499" w:type="pct"/>
            <w:vAlign w:val="center"/>
            <w:hideMark/>
          </w:tcPr>
          <w:p w14:paraId="14D15C32" w14:textId="77777777" w:rsidR="005E64D9" w:rsidRPr="005D3E21" w:rsidRDefault="005E64D9" w:rsidP="000A5389">
            <w:pPr>
              <w:spacing w:line="240" w:lineRule="auto"/>
              <w:jc w:val="center"/>
              <w:rPr>
                <w:rFonts w:eastAsia="Times New Roman" w:cs="Times New Roman"/>
                <w:b/>
                <w:bCs/>
                <w:color w:val="000000"/>
                <w:sz w:val="12"/>
                <w:szCs w:val="12"/>
                <w:lang w:eastAsia="es-CO"/>
              </w:rPr>
            </w:pPr>
            <w:r w:rsidRPr="005D3E21">
              <w:rPr>
                <w:rFonts w:eastAsia="Times New Roman" w:cs="Times New Roman"/>
                <w:b/>
                <w:bCs/>
                <w:color w:val="000000"/>
                <w:sz w:val="12"/>
                <w:szCs w:val="12"/>
                <w:lang w:eastAsia="es-CO"/>
              </w:rPr>
              <w:t>MIN</w:t>
            </w:r>
          </w:p>
        </w:tc>
        <w:tc>
          <w:tcPr>
            <w:tcW w:w="239" w:type="pct"/>
            <w:vAlign w:val="center"/>
            <w:hideMark/>
          </w:tcPr>
          <w:p w14:paraId="3ECA95EC" w14:textId="77777777" w:rsidR="005E64D9" w:rsidRPr="005D3E21" w:rsidRDefault="005E64D9" w:rsidP="000A5389">
            <w:pPr>
              <w:spacing w:line="240" w:lineRule="auto"/>
              <w:jc w:val="center"/>
              <w:rPr>
                <w:rFonts w:eastAsia="Times New Roman" w:cs="Times New Roman"/>
                <w:b/>
                <w:bCs/>
                <w:color w:val="000000"/>
                <w:sz w:val="12"/>
                <w:szCs w:val="12"/>
                <w:lang w:eastAsia="es-CO"/>
              </w:rPr>
            </w:pPr>
            <w:r w:rsidRPr="005D3E21">
              <w:rPr>
                <w:rFonts w:eastAsia="Times New Roman" w:cs="Times New Roman"/>
                <w:b/>
                <w:bCs/>
                <w:color w:val="000000"/>
                <w:sz w:val="12"/>
                <w:szCs w:val="12"/>
                <w:lang w:eastAsia="es-CO"/>
              </w:rPr>
              <w:t>MÁX</w:t>
            </w:r>
          </w:p>
        </w:tc>
        <w:tc>
          <w:tcPr>
            <w:tcW w:w="738" w:type="pct"/>
            <w:vMerge/>
            <w:vAlign w:val="center"/>
            <w:hideMark/>
          </w:tcPr>
          <w:p w14:paraId="7CE65B91" w14:textId="77777777" w:rsidR="005E64D9" w:rsidRPr="005D3E21" w:rsidRDefault="005E64D9" w:rsidP="000A5389">
            <w:pPr>
              <w:spacing w:line="240" w:lineRule="auto"/>
              <w:rPr>
                <w:rFonts w:eastAsia="Times New Roman" w:cs="Times New Roman"/>
                <w:b/>
                <w:bCs/>
                <w:color w:val="000000"/>
                <w:sz w:val="12"/>
                <w:szCs w:val="12"/>
                <w:lang w:eastAsia="es-CO"/>
              </w:rPr>
            </w:pPr>
          </w:p>
        </w:tc>
      </w:tr>
      <w:tr w:rsidR="008567AA" w:rsidRPr="005D3E21" w14:paraId="16C5AFC1" w14:textId="77777777" w:rsidTr="005D3E21">
        <w:trPr>
          <w:trHeight w:val="1074"/>
        </w:trPr>
        <w:tc>
          <w:tcPr>
            <w:tcW w:w="573" w:type="pct"/>
            <w:vAlign w:val="center"/>
            <w:hideMark/>
          </w:tcPr>
          <w:p w14:paraId="25C22B12" w14:textId="77777777" w:rsidR="005E64D9" w:rsidRPr="005D3E21" w:rsidRDefault="005E64D9" w:rsidP="000A5389">
            <w:pPr>
              <w:spacing w:line="240" w:lineRule="auto"/>
              <w:rPr>
                <w:rFonts w:eastAsia="Times New Roman" w:cs="Times New Roman"/>
                <w:color w:val="000000"/>
                <w:sz w:val="12"/>
                <w:szCs w:val="12"/>
                <w:lang w:eastAsia="es-CO"/>
              </w:rPr>
            </w:pPr>
            <w:r w:rsidRPr="005D3E21">
              <w:rPr>
                <w:rFonts w:eastAsia="Times New Roman" w:cs="Times New Roman"/>
                <w:color w:val="000000"/>
                <w:sz w:val="12"/>
                <w:szCs w:val="12"/>
                <w:lang w:eastAsia="es-CO"/>
              </w:rPr>
              <w:t>Sentencias, laudos arbitrales y conciliaciones extrajudiciales a favor</w:t>
            </w:r>
          </w:p>
        </w:tc>
        <w:tc>
          <w:tcPr>
            <w:tcW w:w="655" w:type="pct"/>
            <w:vAlign w:val="center"/>
            <w:hideMark/>
          </w:tcPr>
          <w:p w14:paraId="24FB1653" w14:textId="234122A8" w:rsidR="005E64D9" w:rsidRPr="005D3E21" w:rsidRDefault="005E64D9" w:rsidP="000A5389">
            <w:pPr>
              <w:spacing w:line="240" w:lineRule="auto"/>
              <w:rPr>
                <w:rFonts w:eastAsia="Times New Roman" w:cs="Times New Roman"/>
                <w:color w:val="000000"/>
                <w:sz w:val="12"/>
                <w:szCs w:val="12"/>
                <w:lang w:eastAsia="es-CO"/>
              </w:rPr>
            </w:pPr>
            <w:r w:rsidRPr="005D3E21">
              <w:rPr>
                <w:rFonts w:eastAsia="Times New Roman" w:cs="Times New Roman"/>
                <w:color w:val="000000"/>
                <w:sz w:val="12"/>
                <w:szCs w:val="12"/>
                <w:lang w:eastAsia="es-CO"/>
              </w:rPr>
              <w:t>Concesión Autopista Bogotá Girardot S.A.</w:t>
            </w:r>
          </w:p>
        </w:tc>
        <w:tc>
          <w:tcPr>
            <w:tcW w:w="737" w:type="pct"/>
            <w:vAlign w:val="center"/>
            <w:hideMark/>
          </w:tcPr>
          <w:p w14:paraId="4F943E40" w14:textId="77777777" w:rsidR="005E64D9" w:rsidRPr="005D3E21" w:rsidRDefault="005E64D9" w:rsidP="000A5389">
            <w:pPr>
              <w:spacing w:line="240" w:lineRule="auto"/>
              <w:jc w:val="right"/>
              <w:rPr>
                <w:rFonts w:eastAsia="Times New Roman" w:cs="Times New Roman"/>
                <w:color w:val="000000"/>
                <w:sz w:val="12"/>
                <w:szCs w:val="12"/>
                <w:lang w:eastAsia="es-CO"/>
              </w:rPr>
            </w:pPr>
            <w:r w:rsidRPr="005D3E21">
              <w:rPr>
                <w:rFonts w:eastAsia="Times New Roman" w:cs="Times New Roman"/>
                <w:color w:val="000000"/>
                <w:sz w:val="12"/>
                <w:szCs w:val="12"/>
                <w:lang w:eastAsia="es-CO"/>
              </w:rPr>
              <w:t>384.588.158.996</w:t>
            </w:r>
          </w:p>
        </w:tc>
        <w:tc>
          <w:tcPr>
            <w:tcW w:w="574" w:type="pct"/>
            <w:vAlign w:val="center"/>
            <w:hideMark/>
          </w:tcPr>
          <w:p w14:paraId="0524FDC3" w14:textId="77777777" w:rsidR="005E64D9" w:rsidRPr="005D3E21" w:rsidRDefault="005E64D9" w:rsidP="000A5389">
            <w:pPr>
              <w:spacing w:line="240" w:lineRule="auto"/>
              <w:jc w:val="center"/>
              <w:rPr>
                <w:rFonts w:eastAsia="Times New Roman" w:cs="Times New Roman"/>
                <w:color w:val="000000"/>
                <w:sz w:val="12"/>
                <w:szCs w:val="12"/>
                <w:lang w:eastAsia="es-CO"/>
              </w:rPr>
            </w:pPr>
            <w:r w:rsidRPr="005D3E21">
              <w:rPr>
                <w:rFonts w:eastAsia="Times New Roman" w:cs="Times New Roman"/>
                <w:color w:val="000000"/>
                <w:sz w:val="12"/>
                <w:szCs w:val="12"/>
                <w:lang w:eastAsia="es-CO"/>
              </w:rPr>
              <w:t>Suspendida por proceso de liquidación</w:t>
            </w:r>
          </w:p>
        </w:tc>
        <w:tc>
          <w:tcPr>
            <w:tcW w:w="574" w:type="pct"/>
            <w:vAlign w:val="center"/>
            <w:hideMark/>
          </w:tcPr>
          <w:p w14:paraId="7727D384" w14:textId="77777777" w:rsidR="005E64D9" w:rsidRPr="005D3E21" w:rsidRDefault="005E64D9" w:rsidP="000A5389">
            <w:pPr>
              <w:spacing w:line="240" w:lineRule="auto"/>
              <w:jc w:val="center"/>
              <w:rPr>
                <w:rFonts w:eastAsia="Times New Roman" w:cs="Times New Roman"/>
                <w:color w:val="000000"/>
                <w:sz w:val="12"/>
                <w:szCs w:val="12"/>
                <w:lang w:eastAsia="es-CO"/>
              </w:rPr>
            </w:pPr>
            <w:r w:rsidRPr="005D3E21">
              <w:rPr>
                <w:rFonts w:eastAsia="Times New Roman" w:cs="Times New Roman"/>
                <w:color w:val="000000"/>
                <w:sz w:val="12"/>
                <w:szCs w:val="12"/>
                <w:lang w:eastAsia="es-CO"/>
              </w:rPr>
              <w:t>Suspendida por proceso de liquidación</w:t>
            </w:r>
          </w:p>
        </w:tc>
        <w:tc>
          <w:tcPr>
            <w:tcW w:w="411" w:type="pct"/>
            <w:vAlign w:val="center"/>
            <w:hideMark/>
          </w:tcPr>
          <w:p w14:paraId="4DEA5933" w14:textId="77777777" w:rsidR="005E64D9" w:rsidRPr="005D3E21" w:rsidRDefault="005E64D9" w:rsidP="000A5389">
            <w:pPr>
              <w:spacing w:line="240" w:lineRule="auto"/>
              <w:jc w:val="center"/>
              <w:rPr>
                <w:rFonts w:eastAsia="Times New Roman" w:cs="Times New Roman"/>
                <w:color w:val="000000"/>
                <w:sz w:val="12"/>
                <w:szCs w:val="12"/>
                <w:lang w:eastAsia="es-CO"/>
              </w:rPr>
            </w:pPr>
            <w:r w:rsidRPr="005D3E21">
              <w:rPr>
                <w:rFonts w:eastAsia="Times New Roman" w:cs="Times New Roman"/>
                <w:color w:val="000000"/>
                <w:sz w:val="12"/>
                <w:szCs w:val="12"/>
                <w:lang w:eastAsia="es-CO"/>
              </w:rPr>
              <w:t>Suspendida por proceso de liquidación</w:t>
            </w:r>
          </w:p>
        </w:tc>
        <w:tc>
          <w:tcPr>
            <w:tcW w:w="738" w:type="pct"/>
            <w:gridSpan w:val="2"/>
            <w:vAlign w:val="center"/>
            <w:hideMark/>
          </w:tcPr>
          <w:p w14:paraId="326CE93F" w14:textId="77777777" w:rsidR="005E64D9" w:rsidRPr="005D3E21" w:rsidRDefault="005E64D9" w:rsidP="000A5389">
            <w:pPr>
              <w:spacing w:line="240" w:lineRule="auto"/>
              <w:jc w:val="center"/>
              <w:rPr>
                <w:rFonts w:eastAsia="Times New Roman" w:cs="Times New Roman"/>
                <w:color w:val="000000"/>
                <w:sz w:val="12"/>
                <w:szCs w:val="12"/>
                <w:lang w:eastAsia="es-CO"/>
              </w:rPr>
            </w:pPr>
            <w:r w:rsidRPr="005D3E21">
              <w:rPr>
                <w:rFonts w:eastAsia="Times New Roman" w:cs="Times New Roman"/>
                <w:color w:val="000000"/>
                <w:sz w:val="12"/>
                <w:szCs w:val="12"/>
                <w:lang w:eastAsia="es-CO"/>
              </w:rPr>
              <w:t>Suspendida por proceso de liquidación</w:t>
            </w:r>
          </w:p>
        </w:tc>
        <w:tc>
          <w:tcPr>
            <w:tcW w:w="738" w:type="pct"/>
            <w:vAlign w:val="center"/>
            <w:hideMark/>
          </w:tcPr>
          <w:p w14:paraId="173CE90F" w14:textId="77777777" w:rsidR="005E64D9" w:rsidRPr="005D3E21" w:rsidRDefault="005E64D9" w:rsidP="000A5389">
            <w:pPr>
              <w:spacing w:line="240" w:lineRule="auto"/>
              <w:rPr>
                <w:rFonts w:eastAsia="Times New Roman" w:cs="Times New Roman"/>
                <w:color w:val="000000"/>
                <w:sz w:val="12"/>
                <w:szCs w:val="12"/>
                <w:lang w:eastAsia="es-CO"/>
              </w:rPr>
            </w:pPr>
            <w:r w:rsidRPr="005D3E21">
              <w:rPr>
                <w:rFonts w:eastAsia="Times New Roman" w:cs="Times New Roman"/>
                <w:color w:val="000000"/>
                <w:sz w:val="12"/>
                <w:szCs w:val="12"/>
                <w:lang w:eastAsia="es-CO"/>
              </w:rPr>
              <w:t>Varios títulos ejecutivos. Se encuentra en proceso de liquidación obligatoria lo cual suspende la prescripción de la acción de cobro.</w:t>
            </w:r>
          </w:p>
        </w:tc>
      </w:tr>
      <w:tr w:rsidR="008567AA" w:rsidRPr="005D3E21" w14:paraId="560BA478" w14:textId="77777777" w:rsidTr="005D3E21">
        <w:trPr>
          <w:trHeight w:val="893"/>
        </w:trPr>
        <w:tc>
          <w:tcPr>
            <w:tcW w:w="573" w:type="pct"/>
            <w:vAlign w:val="center"/>
          </w:tcPr>
          <w:p w14:paraId="38F447A5" w14:textId="77777777" w:rsidR="005E64D9" w:rsidRPr="005D3E21" w:rsidRDefault="005E64D9" w:rsidP="000A5389">
            <w:pPr>
              <w:spacing w:line="240" w:lineRule="auto"/>
              <w:rPr>
                <w:rFonts w:eastAsia="Times New Roman" w:cs="Times New Roman"/>
                <w:color w:val="000000"/>
                <w:sz w:val="12"/>
                <w:szCs w:val="12"/>
                <w:lang w:eastAsia="es-CO"/>
              </w:rPr>
            </w:pPr>
            <w:r w:rsidRPr="005D3E21">
              <w:rPr>
                <w:rFonts w:eastAsia="Times New Roman" w:cs="Times New Roman"/>
                <w:color w:val="000000"/>
                <w:sz w:val="12"/>
                <w:szCs w:val="12"/>
                <w:lang w:eastAsia="es-CO"/>
              </w:rPr>
              <w:t>Otras cuentas por cobrar de difícil recaudo</w:t>
            </w:r>
          </w:p>
        </w:tc>
        <w:tc>
          <w:tcPr>
            <w:tcW w:w="655" w:type="pct"/>
            <w:vAlign w:val="center"/>
          </w:tcPr>
          <w:p w14:paraId="0E6D5831" w14:textId="49EAAA2A" w:rsidR="005E64D9" w:rsidRPr="005D3E21" w:rsidRDefault="005E64D9" w:rsidP="000A5389">
            <w:pPr>
              <w:spacing w:line="240" w:lineRule="auto"/>
              <w:rPr>
                <w:rFonts w:eastAsia="Times New Roman" w:cs="Times New Roman"/>
                <w:color w:val="000000"/>
                <w:sz w:val="12"/>
                <w:szCs w:val="12"/>
                <w:lang w:eastAsia="es-CO"/>
              </w:rPr>
            </w:pPr>
            <w:r w:rsidRPr="005D3E21">
              <w:rPr>
                <w:rFonts w:eastAsia="Times New Roman" w:cs="Times New Roman"/>
                <w:color w:val="000000"/>
                <w:sz w:val="12"/>
                <w:szCs w:val="12"/>
                <w:lang w:eastAsia="es-CO"/>
              </w:rPr>
              <w:t>Hospital Santa Catalina E.S.E.</w:t>
            </w:r>
          </w:p>
        </w:tc>
        <w:tc>
          <w:tcPr>
            <w:tcW w:w="737" w:type="pct"/>
            <w:vAlign w:val="center"/>
          </w:tcPr>
          <w:p w14:paraId="13DCFBB6" w14:textId="77777777" w:rsidR="005E64D9" w:rsidRPr="005D3E21" w:rsidRDefault="005E64D9" w:rsidP="000A5389">
            <w:pPr>
              <w:spacing w:line="240" w:lineRule="auto"/>
              <w:jc w:val="right"/>
              <w:rPr>
                <w:rFonts w:eastAsia="Times New Roman" w:cs="Times New Roman"/>
                <w:color w:val="000000"/>
                <w:sz w:val="12"/>
                <w:szCs w:val="12"/>
                <w:lang w:eastAsia="es-CO"/>
              </w:rPr>
            </w:pPr>
            <w:r w:rsidRPr="005D3E21">
              <w:rPr>
                <w:rFonts w:eastAsia="Times New Roman" w:cs="Times New Roman"/>
                <w:color w:val="000000"/>
                <w:sz w:val="12"/>
                <w:szCs w:val="12"/>
                <w:lang w:eastAsia="es-CO"/>
              </w:rPr>
              <w:t xml:space="preserve">                 232.538.162 </w:t>
            </w:r>
          </w:p>
        </w:tc>
        <w:tc>
          <w:tcPr>
            <w:tcW w:w="574" w:type="pct"/>
            <w:vAlign w:val="center"/>
          </w:tcPr>
          <w:p w14:paraId="1FB13987" w14:textId="77777777" w:rsidR="005E64D9" w:rsidRPr="005D3E21" w:rsidRDefault="005E64D9" w:rsidP="000A5389">
            <w:pPr>
              <w:spacing w:line="240" w:lineRule="auto"/>
              <w:jc w:val="center"/>
              <w:rPr>
                <w:rFonts w:eastAsia="Times New Roman" w:cs="Times New Roman"/>
                <w:color w:val="000000"/>
                <w:sz w:val="12"/>
                <w:szCs w:val="12"/>
                <w:lang w:eastAsia="es-CO"/>
              </w:rPr>
            </w:pPr>
            <w:r w:rsidRPr="005D3E21">
              <w:rPr>
                <w:rFonts w:eastAsia="Times New Roman" w:cs="Times New Roman"/>
                <w:color w:val="000000"/>
                <w:sz w:val="12"/>
                <w:szCs w:val="12"/>
                <w:lang w:eastAsia="es-CO"/>
              </w:rPr>
              <w:t xml:space="preserve">Demanda en curso </w:t>
            </w:r>
          </w:p>
        </w:tc>
        <w:tc>
          <w:tcPr>
            <w:tcW w:w="574" w:type="pct"/>
            <w:vAlign w:val="center"/>
          </w:tcPr>
          <w:p w14:paraId="6CF8C3A9" w14:textId="77777777" w:rsidR="005E64D9" w:rsidRPr="005D3E21" w:rsidRDefault="005E64D9" w:rsidP="000A5389">
            <w:pPr>
              <w:spacing w:line="240" w:lineRule="auto"/>
              <w:jc w:val="center"/>
              <w:rPr>
                <w:rFonts w:eastAsia="Times New Roman" w:cs="Times New Roman"/>
                <w:color w:val="000000"/>
                <w:sz w:val="12"/>
                <w:szCs w:val="12"/>
                <w:lang w:eastAsia="es-CO"/>
              </w:rPr>
            </w:pPr>
            <w:r w:rsidRPr="005D3E21">
              <w:rPr>
                <w:rFonts w:eastAsia="Times New Roman" w:cs="Times New Roman"/>
                <w:color w:val="000000"/>
                <w:sz w:val="12"/>
                <w:szCs w:val="12"/>
                <w:lang w:eastAsia="es-CO"/>
              </w:rPr>
              <w:t>Demanda en curso</w:t>
            </w:r>
          </w:p>
        </w:tc>
        <w:tc>
          <w:tcPr>
            <w:tcW w:w="411" w:type="pct"/>
            <w:vAlign w:val="center"/>
          </w:tcPr>
          <w:p w14:paraId="1E771F83" w14:textId="77777777" w:rsidR="005E64D9" w:rsidRPr="005D3E21" w:rsidRDefault="005E64D9" w:rsidP="000A5389">
            <w:pPr>
              <w:spacing w:line="240" w:lineRule="auto"/>
              <w:jc w:val="center"/>
              <w:rPr>
                <w:rFonts w:eastAsia="Times New Roman" w:cs="Times New Roman"/>
                <w:color w:val="000000"/>
                <w:sz w:val="12"/>
                <w:szCs w:val="12"/>
                <w:lang w:eastAsia="es-CO"/>
              </w:rPr>
            </w:pPr>
            <w:r w:rsidRPr="005D3E21">
              <w:rPr>
                <w:rFonts w:eastAsia="Times New Roman" w:cs="Times New Roman"/>
                <w:color w:val="000000"/>
                <w:sz w:val="12"/>
                <w:szCs w:val="12"/>
                <w:lang w:eastAsia="es-CO"/>
              </w:rPr>
              <w:t>Demanda en curso</w:t>
            </w:r>
          </w:p>
        </w:tc>
        <w:tc>
          <w:tcPr>
            <w:tcW w:w="738" w:type="pct"/>
            <w:gridSpan w:val="2"/>
            <w:vAlign w:val="center"/>
          </w:tcPr>
          <w:p w14:paraId="5B009478" w14:textId="77777777" w:rsidR="005E64D9" w:rsidRPr="005D3E21" w:rsidRDefault="005E64D9" w:rsidP="000A5389">
            <w:pPr>
              <w:spacing w:line="240" w:lineRule="auto"/>
              <w:jc w:val="center"/>
              <w:rPr>
                <w:rFonts w:eastAsia="Times New Roman" w:cs="Times New Roman"/>
                <w:color w:val="000000"/>
                <w:sz w:val="12"/>
                <w:szCs w:val="12"/>
                <w:lang w:eastAsia="es-CO"/>
              </w:rPr>
            </w:pPr>
            <w:r w:rsidRPr="005D3E21">
              <w:rPr>
                <w:rFonts w:eastAsia="Times New Roman" w:cs="Times New Roman"/>
                <w:color w:val="000000"/>
                <w:sz w:val="12"/>
                <w:szCs w:val="12"/>
                <w:lang w:eastAsia="es-CO"/>
              </w:rPr>
              <w:t>Demanda en curso</w:t>
            </w:r>
          </w:p>
        </w:tc>
        <w:tc>
          <w:tcPr>
            <w:tcW w:w="738" w:type="pct"/>
            <w:vAlign w:val="center"/>
          </w:tcPr>
          <w:p w14:paraId="404C9C0E" w14:textId="77777777" w:rsidR="005E64D9" w:rsidRPr="005D3E21" w:rsidRDefault="005E64D9" w:rsidP="000A5389">
            <w:pPr>
              <w:spacing w:line="240" w:lineRule="auto"/>
              <w:rPr>
                <w:rFonts w:eastAsia="Times New Roman" w:cs="Times New Roman"/>
                <w:color w:val="000000"/>
                <w:sz w:val="12"/>
                <w:szCs w:val="12"/>
                <w:lang w:eastAsia="es-CO"/>
              </w:rPr>
            </w:pPr>
            <w:r w:rsidRPr="005D3E21">
              <w:rPr>
                <w:rFonts w:eastAsia="Times New Roman" w:cs="Times New Roman"/>
                <w:color w:val="000000"/>
                <w:sz w:val="12"/>
                <w:szCs w:val="12"/>
                <w:lang w:eastAsia="es-CO"/>
              </w:rPr>
              <w:t xml:space="preserve">Cursa demanda ejecutiva bajo el Radicado 76147333300120200015601, la cual se encuentra pendiente de resolver apelación contra la decisión de falta de T.E. proferida en primera instancia ejecutiva con radicado </w:t>
            </w:r>
          </w:p>
        </w:tc>
      </w:tr>
      <w:tr w:rsidR="008567AA" w:rsidRPr="005D3E21" w14:paraId="409FC194" w14:textId="77777777" w:rsidTr="005D3E21">
        <w:trPr>
          <w:trHeight w:val="870"/>
        </w:trPr>
        <w:tc>
          <w:tcPr>
            <w:tcW w:w="573" w:type="pct"/>
            <w:vAlign w:val="center"/>
            <w:hideMark/>
          </w:tcPr>
          <w:p w14:paraId="17B17234" w14:textId="77777777" w:rsidR="005E64D9" w:rsidRPr="005D3E21" w:rsidRDefault="005E64D9" w:rsidP="000A5389">
            <w:pPr>
              <w:spacing w:line="240" w:lineRule="auto"/>
              <w:rPr>
                <w:rFonts w:eastAsia="Times New Roman" w:cs="Times New Roman"/>
                <w:color w:val="000000"/>
                <w:sz w:val="12"/>
                <w:szCs w:val="12"/>
                <w:lang w:eastAsia="es-CO"/>
              </w:rPr>
            </w:pPr>
            <w:r w:rsidRPr="005D3E21">
              <w:rPr>
                <w:rFonts w:eastAsia="Times New Roman" w:cs="Times New Roman"/>
                <w:color w:val="000000"/>
                <w:sz w:val="12"/>
                <w:szCs w:val="12"/>
                <w:lang w:eastAsia="es-CO"/>
              </w:rPr>
              <w:t>Otras cuentas por cobrar de difícil recaudo</w:t>
            </w:r>
          </w:p>
        </w:tc>
        <w:tc>
          <w:tcPr>
            <w:tcW w:w="655" w:type="pct"/>
            <w:vAlign w:val="center"/>
            <w:hideMark/>
          </w:tcPr>
          <w:p w14:paraId="0D76E9DE" w14:textId="65954F27" w:rsidR="005E64D9" w:rsidRPr="005D3E21" w:rsidRDefault="005E64D9" w:rsidP="000A5389">
            <w:pPr>
              <w:spacing w:line="240" w:lineRule="auto"/>
              <w:rPr>
                <w:rFonts w:eastAsia="Times New Roman" w:cs="Times New Roman"/>
                <w:color w:val="000000"/>
                <w:sz w:val="12"/>
                <w:szCs w:val="12"/>
                <w:lang w:eastAsia="es-CO"/>
              </w:rPr>
            </w:pPr>
            <w:r w:rsidRPr="005D3E21">
              <w:rPr>
                <w:rFonts w:eastAsia="Times New Roman" w:cs="Times New Roman"/>
                <w:color w:val="000000" w:themeColor="text1"/>
                <w:sz w:val="12"/>
                <w:szCs w:val="12"/>
                <w:lang w:eastAsia="es-CO"/>
              </w:rPr>
              <w:t>Edgar Chacon Hartmann</w:t>
            </w:r>
          </w:p>
        </w:tc>
        <w:tc>
          <w:tcPr>
            <w:tcW w:w="737" w:type="pct"/>
            <w:vAlign w:val="center"/>
            <w:hideMark/>
          </w:tcPr>
          <w:p w14:paraId="25F6AD3C" w14:textId="77777777" w:rsidR="005E64D9" w:rsidRPr="005D3E21" w:rsidRDefault="005E64D9" w:rsidP="000A5389">
            <w:pPr>
              <w:spacing w:line="240" w:lineRule="auto"/>
              <w:jc w:val="right"/>
              <w:rPr>
                <w:rFonts w:eastAsia="Times New Roman" w:cs="Times New Roman"/>
                <w:color w:val="000000"/>
                <w:sz w:val="12"/>
                <w:szCs w:val="12"/>
                <w:lang w:eastAsia="es-CO"/>
              </w:rPr>
            </w:pPr>
            <w:r w:rsidRPr="005D3E21">
              <w:rPr>
                <w:rFonts w:eastAsia="Times New Roman" w:cs="Times New Roman"/>
                <w:color w:val="000000"/>
                <w:sz w:val="12"/>
                <w:szCs w:val="12"/>
                <w:lang w:eastAsia="es-CO"/>
              </w:rPr>
              <w:t xml:space="preserve">                  57.016.638</w:t>
            </w:r>
          </w:p>
        </w:tc>
        <w:tc>
          <w:tcPr>
            <w:tcW w:w="574" w:type="pct"/>
            <w:vAlign w:val="center"/>
            <w:hideMark/>
          </w:tcPr>
          <w:p w14:paraId="0360AA7F" w14:textId="77777777" w:rsidR="005E64D9" w:rsidRPr="005D3E21" w:rsidRDefault="005E64D9" w:rsidP="000A5389">
            <w:pPr>
              <w:spacing w:line="240" w:lineRule="auto"/>
              <w:jc w:val="center"/>
              <w:rPr>
                <w:rFonts w:eastAsia="Times New Roman" w:cs="Times New Roman"/>
                <w:color w:val="000000"/>
                <w:sz w:val="12"/>
                <w:szCs w:val="12"/>
                <w:lang w:eastAsia="es-CO"/>
              </w:rPr>
            </w:pPr>
            <w:r w:rsidRPr="005D3E21">
              <w:rPr>
                <w:rFonts w:eastAsia="Times New Roman" w:cs="Times New Roman"/>
                <w:color w:val="000000"/>
                <w:sz w:val="12"/>
                <w:szCs w:val="12"/>
                <w:lang w:eastAsia="es-CO"/>
              </w:rPr>
              <w:t>13/05/2020</w:t>
            </w:r>
          </w:p>
        </w:tc>
        <w:tc>
          <w:tcPr>
            <w:tcW w:w="574" w:type="pct"/>
            <w:vAlign w:val="center"/>
            <w:hideMark/>
          </w:tcPr>
          <w:p w14:paraId="2E79797E" w14:textId="77777777" w:rsidR="005E64D9" w:rsidRPr="005D3E21" w:rsidRDefault="005E64D9" w:rsidP="000A5389">
            <w:pPr>
              <w:spacing w:line="240" w:lineRule="auto"/>
              <w:jc w:val="center"/>
              <w:rPr>
                <w:rFonts w:eastAsia="Times New Roman" w:cs="Times New Roman"/>
                <w:color w:val="000000"/>
                <w:sz w:val="12"/>
                <w:szCs w:val="12"/>
                <w:lang w:eastAsia="es-CO"/>
              </w:rPr>
            </w:pPr>
            <w:r w:rsidRPr="005D3E21">
              <w:rPr>
                <w:rFonts w:eastAsia="Times New Roman" w:cs="Times New Roman"/>
                <w:color w:val="000000"/>
                <w:sz w:val="12"/>
                <w:szCs w:val="12"/>
                <w:lang w:eastAsia="es-CO"/>
              </w:rPr>
              <w:t>Demanda en curso</w:t>
            </w:r>
          </w:p>
        </w:tc>
        <w:tc>
          <w:tcPr>
            <w:tcW w:w="411" w:type="pct"/>
            <w:vAlign w:val="center"/>
            <w:hideMark/>
          </w:tcPr>
          <w:p w14:paraId="0536A8D3" w14:textId="77777777" w:rsidR="005E64D9" w:rsidRPr="005D3E21" w:rsidRDefault="005E64D9" w:rsidP="000A5389">
            <w:pPr>
              <w:spacing w:line="240" w:lineRule="auto"/>
              <w:jc w:val="center"/>
              <w:rPr>
                <w:rFonts w:eastAsia="Times New Roman" w:cs="Times New Roman"/>
                <w:color w:val="000000"/>
                <w:sz w:val="12"/>
                <w:szCs w:val="12"/>
                <w:lang w:eastAsia="es-CO"/>
              </w:rPr>
            </w:pPr>
            <w:r w:rsidRPr="005D3E21">
              <w:rPr>
                <w:rFonts w:eastAsia="Times New Roman" w:cs="Times New Roman"/>
                <w:color w:val="000000"/>
                <w:sz w:val="12"/>
                <w:szCs w:val="12"/>
                <w:lang w:eastAsia="es-CO"/>
              </w:rPr>
              <w:t xml:space="preserve">Demanda en curso </w:t>
            </w:r>
          </w:p>
        </w:tc>
        <w:tc>
          <w:tcPr>
            <w:tcW w:w="738" w:type="pct"/>
            <w:gridSpan w:val="2"/>
            <w:vAlign w:val="center"/>
            <w:hideMark/>
          </w:tcPr>
          <w:p w14:paraId="1CF75629" w14:textId="77777777" w:rsidR="005E64D9" w:rsidRPr="005D3E21" w:rsidRDefault="005E64D9" w:rsidP="000A5389">
            <w:pPr>
              <w:spacing w:line="240" w:lineRule="auto"/>
              <w:jc w:val="center"/>
              <w:rPr>
                <w:rFonts w:eastAsia="Times New Roman" w:cs="Times New Roman"/>
                <w:color w:val="000000"/>
                <w:sz w:val="12"/>
                <w:szCs w:val="12"/>
                <w:lang w:eastAsia="es-CO"/>
              </w:rPr>
            </w:pPr>
            <w:r w:rsidRPr="005D3E21">
              <w:rPr>
                <w:rFonts w:eastAsia="Times New Roman" w:cs="Times New Roman"/>
                <w:color w:val="000000"/>
                <w:sz w:val="12"/>
                <w:szCs w:val="12"/>
                <w:lang w:eastAsia="es-CO"/>
              </w:rPr>
              <w:t>Demanda en curso</w:t>
            </w:r>
          </w:p>
        </w:tc>
        <w:tc>
          <w:tcPr>
            <w:tcW w:w="738" w:type="pct"/>
            <w:vAlign w:val="center"/>
            <w:hideMark/>
          </w:tcPr>
          <w:p w14:paraId="57B11C83" w14:textId="77777777" w:rsidR="005E64D9" w:rsidRPr="005D3E21" w:rsidRDefault="005E64D9" w:rsidP="000A5389">
            <w:pPr>
              <w:spacing w:line="240" w:lineRule="auto"/>
              <w:rPr>
                <w:rFonts w:eastAsia="Times New Roman" w:cs="Times New Roman"/>
                <w:color w:val="000000"/>
                <w:sz w:val="12"/>
                <w:szCs w:val="12"/>
                <w:lang w:eastAsia="es-CO"/>
              </w:rPr>
            </w:pPr>
            <w:r w:rsidRPr="005D3E21">
              <w:rPr>
                <w:rFonts w:eastAsia="Times New Roman" w:cs="Times New Roman"/>
                <w:color w:val="000000" w:themeColor="text1"/>
                <w:sz w:val="12"/>
                <w:szCs w:val="12"/>
                <w:lang w:eastAsia="es-CO"/>
              </w:rPr>
              <w:t>Demanda de NyRD contra título ejecutivo, rad. 25000234200020210053500, en apelación de sentencia de primera instancia.</w:t>
            </w:r>
          </w:p>
        </w:tc>
      </w:tr>
      <w:tr w:rsidR="008567AA" w:rsidRPr="005D3E21" w14:paraId="2C5C274E" w14:textId="77777777" w:rsidTr="005D3E21">
        <w:trPr>
          <w:trHeight w:val="855"/>
        </w:trPr>
        <w:tc>
          <w:tcPr>
            <w:tcW w:w="573" w:type="pct"/>
            <w:vAlign w:val="center"/>
            <w:hideMark/>
          </w:tcPr>
          <w:p w14:paraId="4BD22B7F" w14:textId="77777777" w:rsidR="005E64D9" w:rsidRPr="005D3E21" w:rsidRDefault="005E64D9" w:rsidP="000A5389">
            <w:pPr>
              <w:spacing w:line="240" w:lineRule="auto"/>
              <w:rPr>
                <w:rFonts w:eastAsia="Times New Roman" w:cs="Times New Roman"/>
                <w:color w:val="000000"/>
                <w:sz w:val="12"/>
                <w:szCs w:val="12"/>
                <w:lang w:eastAsia="es-CO"/>
              </w:rPr>
            </w:pPr>
            <w:r w:rsidRPr="005D3E21">
              <w:rPr>
                <w:rFonts w:eastAsia="Times New Roman" w:cs="Times New Roman"/>
                <w:color w:val="000000"/>
                <w:sz w:val="12"/>
                <w:szCs w:val="12"/>
                <w:lang w:eastAsia="es-CO"/>
              </w:rPr>
              <w:t>Otras cuentas por cobrar de difícil recaudo</w:t>
            </w:r>
          </w:p>
        </w:tc>
        <w:tc>
          <w:tcPr>
            <w:tcW w:w="655" w:type="pct"/>
            <w:vAlign w:val="center"/>
            <w:hideMark/>
          </w:tcPr>
          <w:p w14:paraId="58DB9415" w14:textId="266748AD" w:rsidR="005E64D9" w:rsidRPr="005D3E21" w:rsidRDefault="005E64D9" w:rsidP="000A5389">
            <w:pPr>
              <w:spacing w:line="240" w:lineRule="auto"/>
              <w:rPr>
                <w:rFonts w:eastAsia="Times New Roman" w:cs="Times New Roman"/>
                <w:color w:val="000000"/>
                <w:sz w:val="12"/>
                <w:szCs w:val="12"/>
                <w:lang w:eastAsia="es-CO"/>
              </w:rPr>
            </w:pPr>
            <w:r w:rsidRPr="005D3E21">
              <w:rPr>
                <w:rFonts w:eastAsia="Times New Roman" w:cs="Times New Roman"/>
                <w:color w:val="000000"/>
                <w:sz w:val="12"/>
                <w:szCs w:val="12"/>
                <w:lang w:eastAsia="es-CO"/>
              </w:rPr>
              <w:t>Ivonne De La Caridad Prada Medina</w:t>
            </w:r>
          </w:p>
        </w:tc>
        <w:tc>
          <w:tcPr>
            <w:tcW w:w="737" w:type="pct"/>
            <w:vAlign w:val="center"/>
            <w:hideMark/>
          </w:tcPr>
          <w:p w14:paraId="7ACCC783" w14:textId="77777777" w:rsidR="005E64D9" w:rsidRPr="005D3E21" w:rsidRDefault="005E64D9" w:rsidP="000A5389">
            <w:pPr>
              <w:spacing w:line="240" w:lineRule="auto"/>
              <w:jc w:val="right"/>
              <w:rPr>
                <w:rFonts w:eastAsia="Times New Roman" w:cs="Times New Roman"/>
                <w:color w:val="000000"/>
                <w:sz w:val="12"/>
                <w:szCs w:val="12"/>
                <w:lang w:eastAsia="es-CO"/>
              </w:rPr>
            </w:pPr>
            <w:r w:rsidRPr="005D3E21">
              <w:rPr>
                <w:rFonts w:eastAsia="Times New Roman" w:cs="Times New Roman"/>
                <w:color w:val="000000"/>
                <w:sz w:val="12"/>
                <w:szCs w:val="12"/>
                <w:lang w:eastAsia="es-CO"/>
              </w:rPr>
              <w:t xml:space="preserve">                 32.797.248</w:t>
            </w:r>
          </w:p>
        </w:tc>
        <w:tc>
          <w:tcPr>
            <w:tcW w:w="574" w:type="pct"/>
            <w:vAlign w:val="center"/>
            <w:hideMark/>
          </w:tcPr>
          <w:p w14:paraId="1D0EDD49" w14:textId="77777777" w:rsidR="005E64D9" w:rsidRPr="005D3E21" w:rsidRDefault="005E64D9" w:rsidP="000A5389">
            <w:pPr>
              <w:spacing w:line="240" w:lineRule="auto"/>
              <w:jc w:val="center"/>
              <w:rPr>
                <w:rFonts w:eastAsia="Times New Roman" w:cs="Times New Roman"/>
                <w:color w:val="000000"/>
                <w:sz w:val="12"/>
                <w:szCs w:val="12"/>
                <w:lang w:eastAsia="es-CO"/>
              </w:rPr>
            </w:pPr>
            <w:r w:rsidRPr="005D3E21">
              <w:rPr>
                <w:rFonts w:eastAsia="Times New Roman" w:cs="Times New Roman"/>
                <w:color w:val="000000"/>
                <w:sz w:val="12"/>
                <w:szCs w:val="12"/>
                <w:lang w:eastAsia="es-CO"/>
              </w:rPr>
              <w:t>8/04/2021</w:t>
            </w:r>
          </w:p>
        </w:tc>
        <w:tc>
          <w:tcPr>
            <w:tcW w:w="574" w:type="pct"/>
            <w:vAlign w:val="center"/>
            <w:hideMark/>
          </w:tcPr>
          <w:p w14:paraId="5E4BF430" w14:textId="77777777" w:rsidR="005E64D9" w:rsidRPr="005D3E21" w:rsidRDefault="005E64D9" w:rsidP="000A5389">
            <w:pPr>
              <w:spacing w:line="240" w:lineRule="auto"/>
              <w:jc w:val="center"/>
              <w:rPr>
                <w:rFonts w:eastAsia="Times New Roman" w:cs="Times New Roman"/>
                <w:color w:val="000000"/>
                <w:sz w:val="12"/>
                <w:szCs w:val="12"/>
                <w:lang w:eastAsia="es-CO"/>
              </w:rPr>
            </w:pPr>
            <w:r w:rsidRPr="005D3E21">
              <w:rPr>
                <w:rFonts w:eastAsia="Times New Roman" w:cs="Times New Roman"/>
                <w:color w:val="000000"/>
                <w:sz w:val="12"/>
                <w:szCs w:val="12"/>
                <w:lang w:eastAsia="es-CO"/>
              </w:rPr>
              <w:t>8/04/2021</w:t>
            </w:r>
          </w:p>
        </w:tc>
        <w:tc>
          <w:tcPr>
            <w:tcW w:w="411" w:type="pct"/>
            <w:vAlign w:val="center"/>
            <w:hideMark/>
          </w:tcPr>
          <w:p w14:paraId="22E3B7E5" w14:textId="77777777" w:rsidR="005E64D9" w:rsidRPr="005D3E21" w:rsidRDefault="005E64D9" w:rsidP="000A5389">
            <w:pPr>
              <w:spacing w:line="240" w:lineRule="auto"/>
              <w:jc w:val="center"/>
              <w:rPr>
                <w:rFonts w:eastAsia="Times New Roman" w:cs="Times New Roman"/>
                <w:color w:val="000000"/>
                <w:sz w:val="12"/>
                <w:szCs w:val="12"/>
                <w:lang w:eastAsia="es-CO"/>
              </w:rPr>
            </w:pPr>
            <w:r w:rsidRPr="005D3E21">
              <w:rPr>
                <w:rFonts w:eastAsia="Times New Roman" w:cs="Times New Roman"/>
                <w:color w:val="000000"/>
                <w:sz w:val="12"/>
                <w:szCs w:val="12"/>
                <w:lang w:eastAsia="es-CO"/>
              </w:rPr>
              <w:t xml:space="preserve"> NA</w:t>
            </w:r>
          </w:p>
        </w:tc>
        <w:tc>
          <w:tcPr>
            <w:tcW w:w="738" w:type="pct"/>
            <w:gridSpan w:val="2"/>
            <w:vAlign w:val="center"/>
            <w:hideMark/>
          </w:tcPr>
          <w:p w14:paraId="15129998" w14:textId="77777777" w:rsidR="005E64D9" w:rsidRPr="005D3E21" w:rsidRDefault="005E64D9" w:rsidP="000A5389">
            <w:pPr>
              <w:spacing w:line="240" w:lineRule="auto"/>
              <w:jc w:val="center"/>
              <w:rPr>
                <w:rFonts w:eastAsia="Times New Roman" w:cs="Times New Roman"/>
                <w:color w:val="000000"/>
                <w:sz w:val="12"/>
                <w:szCs w:val="12"/>
                <w:lang w:eastAsia="es-CO"/>
              </w:rPr>
            </w:pPr>
            <w:r w:rsidRPr="005D3E21">
              <w:rPr>
                <w:rFonts w:eastAsia="Times New Roman" w:cs="Times New Roman"/>
                <w:color w:val="000000"/>
                <w:sz w:val="12"/>
                <w:szCs w:val="12"/>
                <w:lang w:eastAsia="es-CO"/>
              </w:rPr>
              <w:t>8/04/2021</w:t>
            </w:r>
          </w:p>
        </w:tc>
        <w:tc>
          <w:tcPr>
            <w:tcW w:w="738" w:type="pct"/>
            <w:noWrap/>
            <w:vAlign w:val="center"/>
            <w:hideMark/>
          </w:tcPr>
          <w:p w14:paraId="059B280D" w14:textId="77777777" w:rsidR="005E64D9" w:rsidRPr="005D3E21" w:rsidRDefault="005E64D9" w:rsidP="000A5389">
            <w:pPr>
              <w:spacing w:line="240" w:lineRule="auto"/>
              <w:rPr>
                <w:rFonts w:eastAsia="Times New Roman" w:cs="Times New Roman"/>
                <w:color w:val="000000"/>
                <w:sz w:val="12"/>
                <w:szCs w:val="12"/>
                <w:lang w:eastAsia="es-CO"/>
              </w:rPr>
            </w:pPr>
            <w:r w:rsidRPr="005D3E21">
              <w:rPr>
                <w:rFonts w:eastAsia="Times New Roman" w:cs="Times New Roman"/>
                <w:color w:val="000000" w:themeColor="text1"/>
                <w:sz w:val="12"/>
                <w:szCs w:val="12"/>
                <w:lang w:eastAsia="es-CO"/>
              </w:rPr>
              <w:t>En revisión del título ejecutivo.</w:t>
            </w:r>
          </w:p>
        </w:tc>
      </w:tr>
    </w:tbl>
    <w:p w14:paraId="7D938C5B" w14:textId="77777777" w:rsidR="005E64D9" w:rsidRPr="00951AB1" w:rsidRDefault="005E64D9" w:rsidP="000A5389">
      <w:pPr>
        <w:pStyle w:val="2"/>
        <w:spacing w:line="240" w:lineRule="auto"/>
        <w:rPr>
          <w:rFonts w:ascii="Times New Roman" w:hAnsi="Times New Roman"/>
          <w:sz w:val="14"/>
          <w:szCs w:val="14"/>
        </w:rPr>
      </w:pPr>
      <w:r w:rsidRPr="00951AB1">
        <w:rPr>
          <w:rFonts w:ascii="Times New Roman" w:hAnsi="Times New Roman"/>
          <w:sz w:val="14"/>
          <w:szCs w:val="14"/>
        </w:rPr>
        <w:t>Cifras expresadas en pesos</w:t>
      </w:r>
    </w:p>
    <w:p w14:paraId="2F5CB39F" w14:textId="77777777" w:rsidR="00AF6306" w:rsidRPr="00951AB1" w:rsidRDefault="00AF6306" w:rsidP="000A5389">
      <w:pPr>
        <w:autoSpaceDE w:val="0"/>
        <w:autoSpaceDN w:val="0"/>
        <w:adjustRightInd w:val="0"/>
        <w:spacing w:line="240" w:lineRule="auto"/>
        <w:rPr>
          <w:rFonts w:cs="Times New Roman"/>
          <w:color w:val="000000"/>
          <w:szCs w:val="24"/>
        </w:rPr>
      </w:pPr>
    </w:p>
    <w:p w14:paraId="32052B1D" w14:textId="701BE6E1" w:rsidR="005E64D9" w:rsidRPr="00951AB1" w:rsidRDefault="00BD137E" w:rsidP="00BD137E">
      <w:pPr>
        <w:pStyle w:val="Ttulo2"/>
        <w:numPr>
          <w:ilvl w:val="1"/>
          <w:numId w:val="77"/>
        </w:numPr>
        <w:spacing w:line="240" w:lineRule="auto"/>
        <w:rPr>
          <w:rFonts w:cs="Times New Roman"/>
        </w:rPr>
      </w:pPr>
      <w:bookmarkStart w:id="245" w:name="_Toc191369501"/>
      <w:bookmarkStart w:id="246" w:name="_Toc191456831"/>
      <w:bookmarkStart w:id="247" w:name="_Toc191456941"/>
      <w:bookmarkStart w:id="248" w:name="_Toc191457051"/>
      <w:bookmarkStart w:id="249" w:name="_Toc191475678"/>
      <w:bookmarkStart w:id="250" w:name="_Toc191475787"/>
      <w:bookmarkStart w:id="251" w:name="_Toc191475896"/>
      <w:bookmarkStart w:id="252" w:name="_Toc191475419"/>
      <w:bookmarkStart w:id="253" w:name="_Toc191505795"/>
      <w:r>
        <w:rPr>
          <w:rFonts w:cs="Times New Roman"/>
        </w:rPr>
        <w:t xml:space="preserve"> </w:t>
      </w:r>
      <w:r>
        <w:rPr>
          <w:rFonts w:cs="Times New Roman"/>
        </w:rPr>
        <w:tab/>
      </w:r>
      <w:bookmarkStart w:id="254" w:name="_Toc222955473"/>
      <w:r w:rsidR="005E64D9" w:rsidRPr="2A085367">
        <w:rPr>
          <w:rFonts w:cs="Times New Roman"/>
        </w:rPr>
        <w:t>Contribuciones tasas e ingresos no tributarios</w:t>
      </w:r>
      <w:bookmarkEnd w:id="245"/>
      <w:bookmarkEnd w:id="246"/>
      <w:bookmarkEnd w:id="247"/>
      <w:bookmarkEnd w:id="248"/>
      <w:bookmarkEnd w:id="249"/>
      <w:bookmarkEnd w:id="250"/>
      <w:bookmarkEnd w:id="251"/>
      <w:bookmarkEnd w:id="252"/>
      <w:bookmarkEnd w:id="253"/>
      <w:bookmarkEnd w:id="254"/>
    </w:p>
    <w:p w14:paraId="5E639A61" w14:textId="77777777" w:rsidR="005E64D9" w:rsidRPr="00951AB1" w:rsidRDefault="005E64D9" w:rsidP="000A5389">
      <w:pPr>
        <w:spacing w:line="240" w:lineRule="auto"/>
        <w:rPr>
          <w:rFonts w:cs="Times New Roman"/>
        </w:rPr>
      </w:pPr>
    </w:p>
    <w:p w14:paraId="4CC14860" w14:textId="377C91B9" w:rsidR="005E64D9" w:rsidRPr="00951AB1" w:rsidRDefault="005E64D9" w:rsidP="000A5389">
      <w:pPr>
        <w:pStyle w:val="2"/>
        <w:spacing w:line="240" w:lineRule="auto"/>
        <w:rPr>
          <w:rFonts w:ascii="Times New Roman" w:hAnsi="Times New Roman"/>
          <w:szCs w:val="24"/>
          <w:lang w:bidi="es-ES"/>
        </w:rPr>
      </w:pPr>
      <w:r w:rsidRPr="2A085367">
        <w:rPr>
          <w:rFonts w:ascii="Times New Roman" w:hAnsi="Times New Roman"/>
          <w:szCs w:val="24"/>
          <w:lang w:bidi="es-ES"/>
        </w:rPr>
        <w:t>Representan el valor de los derechos a favor de la entidad que se originan por conceptos tales como sanciones contractuales, disciplinarias y derechos de tránsito; su composición es la siguiente:</w:t>
      </w:r>
    </w:p>
    <w:p w14:paraId="623B786A" w14:textId="00E0BD5C" w:rsidR="2A085367" w:rsidRDefault="2A085367" w:rsidP="000A5389">
      <w:pPr>
        <w:spacing w:line="240" w:lineRule="auto"/>
        <w:rPr>
          <w:rFonts w:cs="Times New Roman"/>
          <w:szCs w:val="24"/>
          <w:lang w:bidi="es-ES"/>
        </w:rPr>
      </w:pPr>
    </w:p>
    <w:p w14:paraId="2AE8CE2A" w14:textId="05971C37" w:rsidR="005E64D9" w:rsidRDefault="005E64D9" w:rsidP="000A5389">
      <w:pPr>
        <w:spacing w:line="240" w:lineRule="auto"/>
        <w:rPr>
          <w:rFonts w:cs="Times New Roman"/>
          <w:szCs w:val="24"/>
          <w:lang w:bidi="es-ES"/>
        </w:rPr>
      </w:pPr>
      <w:r w:rsidRPr="2A085367">
        <w:rPr>
          <w:rFonts w:cs="Times New Roman"/>
          <w:szCs w:val="24"/>
          <w:lang w:bidi="es-ES"/>
        </w:rPr>
        <w:t>A continuación, se detallan los saldos corrientes, no corrientes y el deterioro acumulado, con corte al 31 de diciembre de 2025:</w:t>
      </w:r>
    </w:p>
    <w:p w14:paraId="4C715F61" w14:textId="77777777" w:rsidR="005335AB" w:rsidRDefault="005335AB" w:rsidP="000A5389">
      <w:pPr>
        <w:spacing w:line="240" w:lineRule="auto"/>
        <w:rPr>
          <w:rFonts w:cs="Times New Roman"/>
          <w:szCs w:val="24"/>
          <w:lang w:bidi="es-ES"/>
        </w:rPr>
      </w:pPr>
    </w:p>
    <w:tbl>
      <w:tblPr>
        <w:tblW w:w="8892"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CellMar>
          <w:left w:w="70" w:type="dxa"/>
          <w:right w:w="70" w:type="dxa"/>
        </w:tblCellMar>
        <w:tblLook w:val="04A0" w:firstRow="1" w:lastRow="0" w:firstColumn="1" w:lastColumn="0" w:noHBand="0" w:noVBand="1"/>
      </w:tblPr>
      <w:tblGrid>
        <w:gridCol w:w="1935"/>
        <w:gridCol w:w="2079"/>
        <w:gridCol w:w="2151"/>
        <w:gridCol w:w="1348"/>
        <w:gridCol w:w="1379"/>
      </w:tblGrid>
      <w:tr w:rsidR="00A24BAE" w:rsidRPr="00951AB1" w14:paraId="41FCCCA1" w14:textId="77777777" w:rsidTr="00164208">
        <w:trPr>
          <w:trHeight w:val="225"/>
        </w:trPr>
        <w:tc>
          <w:tcPr>
            <w:tcW w:w="1935" w:type="dxa"/>
            <w:shd w:val="clear" w:color="auto" w:fill="FFFFFF" w:themeFill="background1"/>
            <w:vAlign w:val="center"/>
            <w:hideMark/>
          </w:tcPr>
          <w:p w14:paraId="457C4702" w14:textId="77777777" w:rsidR="00A24BAE" w:rsidRPr="00951AB1" w:rsidRDefault="00A24BAE" w:rsidP="000A5389">
            <w:pPr>
              <w:spacing w:line="240" w:lineRule="auto"/>
              <w:jc w:val="center"/>
              <w:rPr>
                <w:rFonts w:eastAsia="Times New Roman" w:cs="Times New Roman"/>
                <w:b/>
                <w:bCs/>
                <w:sz w:val="16"/>
                <w:szCs w:val="16"/>
                <w:lang w:eastAsia="es-CO"/>
              </w:rPr>
            </w:pPr>
            <w:r w:rsidRPr="2A085367">
              <w:rPr>
                <w:rFonts w:eastAsia="Times New Roman" w:cs="Times New Roman"/>
                <w:b/>
                <w:bCs/>
                <w:sz w:val="16"/>
                <w:szCs w:val="16"/>
                <w:lang w:eastAsia="es-CO"/>
              </w:rPr>
              <w:t>CÓD</w:t>
            </w:r>
          </w:p>
        </w:tc>
        <w:tc>
          <w:tcPr>
            <w:tcW w:w="2079" w:type="dxa"/>
            <w:shd w:val="clear" w:color="auto" w:fill="FFFFFF" w:themeFill="background1"/>
            <w:vAlign w:val="center"/>
            <w:hideMark/>
          </w:tcPr>
          <w:p w14:paraId="4BBCEDD2" w14:textId="77777777" w:rsidR="00A24BAE" w:rsidRPr="00951AB1" w:rsidRDefault="00A24BAE" w:rsidP="000A5389">
            <w:pPr>
              <w:spacing w:line="240" w:lineRule="auto"/>
              <w:jc w:val="center"/>
              <w:rPr>
                <w:rFonts w:eastAsia="Times New Roman" w:cs="Times New Roman"/>
                <w:b/>
                <w:bCs/>
                <w:sz w:val="16"/>
                <w:szCs w:val="16"/>
                <w:lang w:eastAsia="es-CO"/>
              </w:rPr>
            </w:pPr>
            <w:r w:rsidRPr="2A085367">
              <w:rPr>
                <w:rFonts w:eastAsia="Times New Roman" w:cs="Times New Roman"/>
                <w:b/>
                <w:bCs/>
                <w:sz w:val="16"/>
                <w:szCs w:val="16"/>
                <w:lang w:eastAsia="es-CO"/>
              </w:rPr>
              <w:t>CONCEPTO</w:t>
            </w:r>
          </w:p>
        </w:tc>
        <w:tc>
          <w:tcPr>
            <w:tcW w:w="2151" w:type="dxa"/>
            <w:shd w:val="clear" w:color="auto" w:fill="FFFFFF" w:themeFill="background1"/>
            <w:vAlign w:val="center"/>
            <w:hideMark/>
          </w:tcPr>
          <w:p w14:paraId="29FC5FD1" w14:textId="77777777" w:rsidR="00A24BAE" w:rsidRPr="00951AB1" w:rsidRDefault="00A24BAE" w:rsidP="000A5389">
            <w:pPr>
              <w:spacing w:line="240" w:lineRule="auto"/>
              <w:jc w:val="center"/>
              <w:rPr>
                <w:rFonts w:eastAsia="Times New Roman" w:cs="Times New Roman"/>
                <w:b/>
                <w:bCs/>
                <w:sz w:val="16"/>
                <w:szCs w:val="16"/>
                <w:lang w:eastAsia="es-CO"/>
              </w:rPr>
            </w:pPr>
            <w:r w:rsidRPr="2A085367">
              <w:rPr>
                <w:rFonts w:eastAsia="Times New Roman" w:cs="Times New Roman"/>
                <w:b/>
                <w:bCs/>
                <w:sz w:val="16"/>
                <w:szCs w:val="16"/>
                <w:lang w:eastAsia="es-CO"/>
              </w:rPr>
              <w:t xml:space="preserve">2025 </w:t>
            </w:r>
          </w:p>
        </w:tc>
        <w:tc>
          <w:tcPr>
            <w:tcW w:w="1348" w:type="dxa"/>
            <w:shd w:val="clear" w:color="auto" w:fill="FFFFFF" w:themeFill="background1"/>
            <w:vAlign w:val="center"/>
            <w:hideMark/>
          </w:tcPr>
          <w:p w14:paraId="51F49630" w14:textId="77777777" w:rsidR="00A24BAE" w:rsidRPr="00951AB1" w:rsidRDefault="00A24BAE" w:rsidP="000A5389">
            <w:pPr>
              <w:spacing w:line="240" w:lineRule="auto"/>
              <w:jc w:val="center"/>
              <w:rPr>
                <w:rFonts w:eastAsia="Times New Roman" w:cs="Times New Roman"/>
                <w:b/>
                <w:bCs/>
                <w:sz w:val="16"/>
                <w:szCs w:val="16"/>
                <w:lang w:eastAsia="es-CO"/>
              </w:rPr>
            </w:pPr>
            <w:r w:rsidRPr="2A085367">
              <w:rPr>
                <w:rFonts w:eastAsia="Times New Roman" w:cs="Times New Roman"/>
                <w:b/>
                <w:bCs/>
                <w:sz w:val="16"/>
                <w:szCs w:val="16"/>
                <w:lang w:eastAsia="es-CO"/>
              </w:rPr>
              <w:t xml:space="preserve">2024 </w:t>
            </w:r>
          </w:p>
        </w:tc>
        <w:tc>
          <w:tcPr>
            <w:tcW w:w="1379" w:type="dxa"/>
            <w:shd w:val="clear" w:color="auto" w:fill="FFFFFF" w:themeFill="background1"/>
            <w:vAlign w:val="center"/>
            <w:hideMark/>
          </w:tcPr>
          <w:p w14:paraId="2F32914C" w14:textId="77777777" w:rsidR="00A24BAE" w:rsidRPr="00951AB1" w:rsidRDefault="00A24BAE" w:rsidP="000A5389">
            <w:pPr>
              <w:spacing w:line="240" w:lineRule="auto"/>
              <w:jc w:val="center"/>
              <w:rPr>
                <w:rFonts w:eastAsia="Times New Roman" w:cs="Times New Roman"/>
                <w:b/>
                <w:bCs/>
                <w:sz w:val="16"/>
                <w:szCs w:val="16"/>
                <w:lang w:eastAsia="es-CO"/>
              </w:rPr>
            </w:pPr>
            <w:r w:rsidRPr="2A085367">
              <w:rPr>
                <w:rFonts w:eastAsia="Times New Roman" w:cs="Times New Roman"/>
                <w:b/>
                <w:bCs/>
                <w:sz w:val="16"/>
                <w:szCs w:val="16"/>
                <w:lang w:eastAsia="es-CO"/>
              </w:rPr>
              <w:t>VARIACIÓN</w:t>
            </w:r>
          </w:p>
        </w:tc>
      </w:tr>
      <w:tr w:rsidR="00A24BAE" w:rsidRPr="00951AB1" w14:paraId="337FA001" w14:textId="77777777" w:rsidTr="00164208">
        <w:trPr>
          <w:trHeight w:val="225"/>
        </w:trPr>
        <w:tc>
          <w:tcPr>
            <w:tcW w:w="1935" w:type="dxa"/>
            <w:shd w:val="clear" w:color="auto" w:fill="FFFFFF" w:themeFill="background1"/>
            <w:noWrap/>
            <w:vAlign w:val="center"/>
            <w:hideMark/>
          </w:tcPr>
          <w:p w14:paraId="1A4302EC" w14:textId="77777777" w:rsidR="00A24BAE" w:rsidRPr="00951AB1" w:rsidRDefault="00A24BAE" w:rsidP="000A5389">
            <w:pPr>
              <w:spacing w:line="240" w:lineRule="auto"/>
              <w:rPr>
                <w:rFonts w:eastAsia="Times New Roman" w:cs="Times New Roman"/>
                <w:sz w:val="16"/>
                <w:szCs w:val="16"/>
                <w:lang w:eastAsia="es-CO"/>
              </w:rPr>
            </w:pPr>
            <w:r w:rsidRPr="2A085367">
              <w:rPr>
                <w:rFonts w:eastAsia="Times New Roman" w:cs="Times New Roman"/>
                <w:sz w:val="16"/>
                <w:szCs w:val="16"/>
                <w:lang w:eastAsia="es-CO"/>
              </w:rPr>
              <w:t>1.3.11</w:t>
            </w:r>
          </w:p>
        </w:tc>
        <w:tc>
          <w:tcPr>
            <w:tcW w:w="2079" w:type="dxa"/>
            <w:shd w:val="clear" w:color="auto" w:fill="FFFFFF" w:themeFill="background1"/>
            <w:vAlign w:val="center"/>
            <w:hideMark/>
          </w:tcPr>
          <w:p w14:paraId="17D3E7B0" w14:textId="77777777" w:rsidR="00A24BAE" w:rsidRPr="00951AB1" w:rsidRDefault="00A24BAE" w:rsidP="000A5389">
            <w:pPr>
              <w:spacing w:line="240" w:lineRule="auto"/>
              <w:rPr>
                <w:rFonts w:eastAsia="Times New Roman" w:cs="Times New Roman"/>
                <w:sz w:val="16"/>
                <w:szCs w:val="16"/>
                <w:lang w:eastAsia="es-CO"/>
              </w:rPr>
            </w:pPr>
            <w:r w:rsidRPr="2A085367">
              <w:rPr>
                <w:rFonts w:eastAsia="Times New Roman" w:cs="Times New Roman"/>
                <w:sz w:val="16"/>
                <w:szCs w:val="16"/>
                <w:lang w:eastAsia="es-CO"/>
              </w:rPr>
              <w:t>Contribuciones tasas e ingresos no tributarios</w:t>
            </w:r>
          </w:p>
        </w:tc>
        <w:tc>
          <w:tcPr>
            <w:tcW w:w="2151" w:type="dxa"/>
            <w:shd w:val="clear" w:color="auto" w:fill="FFFFFF" w:themeFill="background1"/>
            <w:noWrap/>
            <w:vAlign w:val="center"/>
            <w:hideMark/>
          </w:tcPr>
          <w:p w14:paraId="376BF725" w14:textId="77777777" w:rsidR="00A24BAE" w:rsidRPr="00951AB1" w:rsidRDefault="00A24BAE" w:rsidP="000A5389">
            <w:pPr>
              <w:spacing w:line="240" w:lineRule="auto"/>
              <w:jc w:val="right"/>
              <w:rPr>
                <w:rFonts w:eastAsia="Times New Roman" w:cs="Times New Roman"/>
                <w:sz w:val="16"/>
                <w:szCs w:val="16"/>
                <w:lang w:eastAsia="es-CO"/>
              </w:rPr>
            </w:pPr>
            <w:r w:rsidRPr="2A085367">
              <w:rPr>
                <w:rFonts w:cs="Times New Roman"/>
                <w:color w:val="000000" w:themeColor="text1"/>
                <w:sz w:val="16"/>
                <w:szCs w:val="16"/>
              </w:rPr>
              <w:t>106.884.943.806</w:t>
            </w:r>
          </w:p>
        </w:tc>
        <w:tc>
          <w:tcPr>
            <w:tcW w:w="1348" w:type="dxa"/>
            <w:shd w:val="clear" w:color="auto" w:fill="FFFFFF" w:themeFill="background1"/>
            <w:noWrap/>
            <w:vAlign w:val="center"/>
            <w:hideMark/>
          </w:tcPr>
          <w:p w14:paraId="43F526B9" w14:textId="77777777" w:rsidR="00A24BAE" w:rsidRPr="00951AB1" w:rsidRDefault="00A24BAE" w:rsidP="000A5389">
            <w:pPr>
              <w:spacing w:line="240" w:lineRule="auto"/>
              <w:jc w:val="right"/>
              <w:rPr>
                <w:rFonts w:eastAsia="Times New Roman" w:cs="Times New Roman"/>
                <w:sz w:val="16"/>
                <w:szCs w:val="16"/>
                <w:lang w:eastAsia="es-CO"/>
              </w:rPr>
            </w:pPr>
            <w:r w:rsidRPr="2A085367">
              <w:rPr>
                <w:rFonts w:eastAsia="Times New Roman" w:cs="Times New Roman"/>
                <w:sz w:val="16"/>
                <w:szCs w:val="16"/>
                <w:lang w:eastAsia="es-CO"/>
              </w:rPr>
              <w:t>92.493.575.365</w:t>
            </w:r>
          </w:p>
        </w:tc>
        <w:tc>
          <w:tcPr>
            <w:tcW w:w="1379" w:type="dxa"/>
            <w:shd w:val="clear" w:color="auto" w:fill="FFFFFF" w:themeFill="background1"/>
            <w:noWrap/>
            <w:vAlign w:val="center"/>
            <w:hideMark/>
          </w:tcPr>
          <w:p w14:paraId="2EDB70B5" w14:textId="77777777" w:rsidR="00A24BAE" w:rsidRPr="00951AB1" w:rsidRDefault="00A24BAE" w:rsidP="000A5389">
            <w:pPr>
              <w:spacing w:line="240" w:lineRule="auto"/>
              <w:jc w:val="right"/>
              <w:rPr>
                <w:rFonts w:eastAsia="Times New Roman" w:cs="Times New Roman"/>
                <w:sz w:val="16"/>
                <w:szCs w:val="16"/>
                <w:lang w:eastAsia="es-CO"/>
              </w:rPr>
            </w:pPr>
            <w:r w:rsidRPr="2A085367">
              <w:rPr>
                <w:rFonts w:cs="Times New Roman"/>
                <w:sz w:val="16"/>
                <w:szCs w:val="16"/>
              </w:rPr>
              <w:t>14.391.368.441</w:t>
            </w:r>
          </w:p>
        </w:tc>
      </w:tr>
      <w:tr w:rsidR="00A24BAE" w:rsidRPr="00951AB1" w14:paraId="1EAE0479" w14:textId="77777777" w:rsidTr="00164208">
        <w:trPr>
          <w:trHeight w:val="225"/>
        </w:trPr>
        <w:tc>
          <w:tcPr>
            <w:tcW w:w="1935" w:type="dxa"/>
            <w:shd w:val="clear" w:color="auto" w:fill="FFFFFF" w:themeFill="background1"/>
            <w:noWrap/>
            <w:vAlign w:val="center"/>
            <w:hideMark/>
          </w:tcPr>
          <w:p w14:paraId="422A0E72" w14:textId="77777777" w:rsidR="00A24BAE" w:rsidRPr="00951AB1" w:rsidRDefault="00A24BAE" w:rsidP="000A5389">
            <w:pPr>
              <w:spacing w:line="240" w:lineRule="auto"/>
              <w:rPr>
                <w:rFonts w:eastAsia="Times New Roman" w:cs="Times New Roman"/>
                <w:sz w:val="16"/>
                <w:szCs w:val="16"/>
                <w:lang w:eastAsia="es-CO"/>
              </w:rPr>
            </w:pPr>
            <w:r w:rsidRPr="2A085367">
              <w:rPr>
                <w:rFonts w:eastAsia="Times New Roman" w:cs="Times New Roman"/>
                <w:sz w:val="16"/>
                <w:szCs w:val="16"/>
                <w:lang w:eastAsia="es-CO"/>
              </w:rPr>
              <w:t>1.3.11.02</w:t>
            </w:r>
          </w:p>
        </w:tc>
        <w:tc>
          <w:tcPr>
            <w:tcW w:w="2079" w:type="dxa"/>
            <w:shd w:val="clear" w:color="auto" w:fill="FFFFFF" w:themeFill="background1"/>
            <w:vAlign w:val="center"/>
            <w:hideMark/>
          </w:tcPr>
          <w:p w14:paraId="6278FB36" w14:textId="77777777" w:rsidR="00A24BAE" w:rsidRPr="00951AB1" w:rsidRDefault="00A24BAE" w:rsidP="000A5389">
            <w:pPr>
              <w:spacing w:line="240" w:lineRule="auto"/>
              <w:rPr>
                <w:rFonts w:eastAsia="Times New Roman" w:cs="Times New Roman"/>
                <w:sz w:val="16"/>
                <w:szCs w:val="16"/>
                <w:lang w:eastAsia="es-CO"/>
              </w:rPr>
            </w:pPr>
            <w:r w:rsidRPr="2A085367">
              <w:rPr>
                <w:rFonts w:eastAsia="Times New Roman" w:cs="Times New Roman"/>
                <w:sz w:val="16"/>
                <w:szCs w:val="16"/>
                <w:lang w:eastAsia="es-CO"/>
              </w:rPr>
              <w:t>Multas y sanciones</w:t>
            </w:r>
          </w:p>
        </w:tc>
        <w:tc>
          <w:tcPr>
            <w:tcW w:w="2151" w:type="dxa"/>
            <w:shd w:val="clear" w:color="auto" w:fill="FFFFFF" w:themeFill="background1"/>
            <w:noWrap/>
            <w:vAlign w:val="center"/>
            <w:hideMark/>
          </w:tcPr>
          <w:p w14:paraId="564A319D" w14:textId="77777777" w:rsidR="00A24BAE" w:rsidRPr="00951AB1" w:rsidRDefault="00A24BAE" w:rsidP="000A5389">
            <w:pPr>
              <w:spacing w:line="240" w:lineRule="auto"/>
              <w:jc w:val="right"/>
              <w:rPr>
                <w:rFonts w:eastAsia="Times New Roman" w:cs="Times New Roman"/>
                <w:sz w:val="16"/>
                <w:szCs w:val="16"/>
                <w:lang w:eastAsia="es-CO"/>
              </w:rPr>
            </w:pPr>
            <w:r w:rsidRPr="2A085367">
              <w:rPr>
                <w:rFonts w:cs="Times New Roman"/>
                <w:color w:val="000000" w:themeColor="text1"/>
                <w:sz w:val="16"/>
                <w:szCs w:val="16"/>
              </w:rPr>
              <w:t>69.466.243.933</w:t>
            </w:r>
          </w:p>
        </w:tc>
        <w:tc>
          <w:tcPr>
            <w:tcW w:w="1348" w:type="dxa"/>
            <w:shd w:val="clear" w:color="auto" w:fill="FFFFFF" w:themeFill="background1"/>
            <w:noWrap/>
            <w:vAlign w:val="center"/>
            <w:hideMark/>
          </w:tcPr>
          <w:p w14:paraId="775E3C8F" w14:textId="77777777" w:rsidR="00A24BAE" w:rsidRPr="00951AB1" w:rsidRDefault="00A24BAE" w:rsidP="000A5389">
            <w:pPr>
              <w:spacing w:line="240" w:lineRule="auto"/>
              <w:jc w:val="right"/>
              <w:rPr>
                <w:rFonts w:eastAsia="Times New Roman" w:cs="Times New Roman"/>
                <w:sz w:val="16"/>
                <w:szCs w:val="16"/>
                <w:lang w:eastAsia="es-CO"/>
              </w:rPr>
            </w:pPr>
            <w:r w:rsidRPr="2A085367">
              <w:rPr>
                <w:rFonts w:eastAsia="Times New Roman" w:cs="Times New Roman"/>
                <w:sz w:val="16"/>
                <w:szCs w:val="16"/>
                <w:lang w:eastAsia="es-CO"/>
              </w:rPr>
              <w:t>72.054.293.438</w:t>
            </w:r>
          </w:p>
        </w:tc>
        <w:tc>
          <w:tcPr>
            <w:tcW w:w="1379" w:type="dxa"/>
            <w:shd w:val="clear" w:color="auto" w:fill="FFFFFF" w:themeFill="background1"/>
            <w:noWrap/>
            <w:vAlign w:val="center"/>
            <w:hideMark/>
          </w:tcPr>
          <w:p w14:paraId="754622B2" w14:textId="77777777" w:rsidR="00A24BAE" w:rsidRPr="00951AB1" w:rsidRDefault="00A24BAE" w:rsidP="000A5389">
            <w:pPr>
              <w:spacing w:line="240" w:lineRule="auto"/>
              <w:jc w:val="right"/>
              <w:rPr>
                <w:rFonts w:eastAsia="Times New Roman" w:cs="Times New Roman"/>
                <w:sz w:val="16"/>
                <w:szCs w:val="16"/>
                <w:lang w:eastAsia="es-CO"/>
              </w:rPr>
            </w:pPr>
            <w:r w:rsidRPr="2A085367">
              <w:rPr>
                <w:rFonts w:cs="Times New Roman"/>
                <w:sz w:val="16"/>
                <w:szCs w:val="16"/>
              </w:rPr>
              <w:t>-2.588.049.506</w:t>
            </w:r>
          </w:p>
        </w:tc>
      </w:tr>
      <w:tr w:rsidR="00A24BAE" w:rsidRPr="00951AB1" w14:paraId="6F8A51F6" w14:textId="77777777" w:rsidTr="00164208">
        <w:trPr>
          <w:trHeight w:val="225"/>
        </w:trPr>
        <w:tc>
          <w:tcPr>
            <w:tcW w:w="1935" w:type="dxa"/>
            <w:shd w:val="clear" w:color="auto" w:fill="FFFFFF" w:themeFill="background1"/>
            <w:noWrap/>
            <w:vAlign w:val="center"/>
          </w:tcPr>
          <w:p w14:paraId="14EE4889" w14:textId="77777777" w:rsidR="00A24BAE" w:rsidRPr="00951AB1" w:rsidRDefault="00A24BAE" w:rsidP="000A5389">
            <w:pPr>
              <w:spacing w:line="240" w:lineRule="auto"/>
              <w:rPr>
                <w:rFonts w:eastAsia="Times New Roman" w:cs="Times New Roman"/>
                <w:sz w:val="16"/>
                <w:szCs w:val="16"/>
                <w:lang w:eastAsia="es-CO"/>
              </w:rPr>
            </w:pPr>
            <w:r w:rsidRPr="2A085367">
              <w:rPr>
                <w:rFonts w:eastAsia="Times New Roman" w:cs="Times New Roman"/>
                <w:sz w:val="16"/>
                <w:szCs w:val="16"/>
                <w:lang w:eastAsia="es-CO"/>
              </w:rPr>
              <w:t>1.3.11.45</w:t>
            </w:r>
          </w:p>
        </w:tc>
        <w:tc>
          <w:tcPr>
            <w:tcW w:w="2079" w:type="dxa"/>
            <w:shd w:val="clear" w:color="auto" w:fill="FFFFFF" w:themeFill="background1"/>
            <w:vAlign w:val="center"/>
          </w:tcPr>
          <w:p w14:paraId="14617A8D" w14:textId="77777777" w:rsidR="00A24BAE" w:rsidRPr="00951AB1" w:rsidRDefault="00A24BAE" w:rsidP="000A5389">
            <w:pPr>
              <w:spacing w:line="240" w:lineRule="auto"/>
              <w:rPr>
                <w:rFonts w:eastAsia="Times New Roman" w:cs="Times New Roman"/>
                <w:sz w:val="16"/>
                <w:szCs w:val="16"/>
                <w:lang w:eastAsia="es-CO"/>
              </w:rPr>
            </w:pPr>
            <w:r w:rsidRPr="2A085367">
              <w:rPr>
                <w:rFonts w:eastAsia="Times New Roman" w:cs="Times New Roman"/>
                <w:sz w:val="16"/>
                <w:szCs w:val="16"/>
                <w:lang w:eastAsia="es-CO"/>
              </w:rPr>
              <w:t>Derechos de explotación no relacionados con la infraestructura de transporte</w:t>
            </w:r>
          </w:p>
        </w:tc>
        <w:tc>
          <w:tcPr>
            <w:tcW w:w="2151" w:type="dxa"/>
            <w:shd w:val="clear" w:color="auto" w:fill="FFFFFF" w:themeFill="background1"/>
            <w:noWrap/>
            <w:vAlign w:val="center"/>
          </w:tcPr>
          <w:p w14:paraId="7AA73156" w14:textId="77777777" w:rsidR="00A24BAE" w:rsidRPr="00951AB1" w:rsidRDefault="00A24BAE" w:rsidP="000A5389">
            <w:pPr>
              <w:spacing w:line="240" w:lineRule="auto"/>
              <w:jc w:val="right"/>
              <w:rPr>
                <w:rFonts w:cs="Times New Roman"/>
                <w:color w:val="000000"/>
                <w:sz w:val="16"/>
                <w:szCs w:val="16"/>
              </w:rPr>
            </w:pPr>
            <w:r w:rsidRPr="2A085367">
              <w:rPr>
                <w:rFonts w:cs="Times New Roman"/>
                <w:color w:val="000000" w:themeColor="text1"/>
                <w:sz w:val="16"/>
                <w:szCs w:val="16"/>
              </w:rPr>
              <w:t>21.515.441.370</w:t>
            </w:r>
          </w:p>
        </w:tc>
        <w:tc>
          <w:tcPr>
            <w:tcW w:w="1348" w:type="dxa"/>
            <w:shd w:val="clear" w:color="auto" w:fill="FFFFFF" w:themeFill="background1"/>
            <w:noWrap/>
            <w:vAlign w:val="center"/>
          </w:tcPr>
          <w:p w14:paraId="7B1CA055" w14:textId="77777777" w:rsidR="00A24BAE" w:rsidRPr="00951AB1" w:rsidRDefault="00A24BAE" w:rsidP="000A5389">
            <w:pPr>
              <w:spacing w:line="240" w:lineRule="auto"/>
              <w:jc w:val="right"/>
              <w:rPr>
                <w:rFonts w:eastAsia="Times New Roman" w:cs="Times New Roman"/>
                <w:sz w:val="16"/>
                <w:szCs w:val="16"/>
                <w:lang w:eastAsia="es-CO"/>
              </w:rPr>
            </w:pPr>
            <w:r w:rsidRPr="2A085367">
              <w:rPr>
                <w:rFonts w:eastAsia="Times New Roman" w:cs="Times New Roman"/>
                <w:sz w:val="16"/>
                <w:szCs w:val="16"/>
                <w:lang w:eastAsia="es-CO"/>
              </w:rPr>
              <w:t>0</w:t>
            </w:r>
          </w:p>
        </w:tc>
        <w:tc>
          <w:tcPr>
            <w:tcW w:w="1379" w:type="dxa"/>
            <w:shd w:val="clear" w:color="auto" w:fill="FFFFFF" w:themeFill="background1"/>
            <w:noWrap/>
            <w:vAlign w:val="center"/>
          </w:tcPr>
          <w:p w14:paraId="143FD2E5" w14:textId="77777777" w:rsidR="00A24BAE" w:rsidRPr="00951AB1" w:rsidRDefault="00A24BAE" w:rsidP="000A5389">
            <w:pPr>
              <w:spacing w:line="240" w:lineRule="auto"/>
              <w:jc w:val="right"/>
              <w:rPr>
                <w:rFonts w:cs="Times New Roman"/>
                <w:sz w:val="16"/>
                <w:szCs w:val="16"/>
              </w:rPr>
            </w:pPr>
            <w:r w:rsidRPr="2A085367">
              <w:rPr>
                <w:rFonts w:cs="Times New Roman"/>
                <w:sz w:val="16"/>
                <w:szCs w:val="16"/>
              </w:rPr>
              <w:t>21.515.441.370</w:t>
            </w:r>
          </w:p>
        </w:tc>
      </w:tr>
      <w:tr w:rsidR="00A24BAE" w:rsidRPr="00951AB1" w14:paraId="4B5BD4C7" w14:textId="77777777" w:rsidTr="00164208">
        <w:trPr>
          <w:trHeight w:val="225"/>
        </w:trPr>
        <w:tc>
          <w:tcPr>
            <w:tcW w:w="1935" w:type="dxa"/>
            <w:shd w:val="clear" w:color="auto" w:fill="FFFFFF" w:themeFill="background1"/>
            <w:noWrap/>
            <w:vAlign w:val="center"/>
          </w:tcPr>
          <w:p w14:paraId="2877421B" w14:textId="77777777" w:rsidR="00A24BAE" w:rsidRPr="00951AB1" w:rsidRDefault="00A24BAE" w:rsidP="000A5389">
            <w:pPr>
              <w:spacing w:line="240" w:lineRule="auto"/>
              <w:rPr>
                <w:rFonts w:eastAsia="Times New Roman" w:cs="Times New Roman"/>
                <w:sz w:val="16"/>
                <w:szCs w:val="16"/>
                <w:lang w:eastAsia="es-CO"/>
              </w:rPr>
            </w:pPr>
            <w:r w:rsidRPr="2A085367">
              <w:rPr>
                <w:rFonts w:eastAsia="Times New Roman" w:cs="Times New Roman"/>
                <w:sz w:val="16"/>
                <w:szCs w:val="16"/>
                <w:lang w:eastAsia="es-CO"/>
              </w:rPr>
              <w:t>1.3.11.16</w:t>
            </w:r>
          </w:p>
        </w:tc>
        <w:tc>
          <w:tcPr>
            <w:tcW w:w="2079" w:type="dxa"/>
            <w:shd w:val="clear" w:color="auto" w:fill="FFFFFF" w:themeFill="background1"/>
            <w:vAlign w:val="center"/>
          </w:tcPr>
          <w:p w14:paraId="022FC37B" w14:textId="77777777" w:rsidR="00A24BAE" w:rsidRPr="00951AB1" w:rsidRDefault="00A24BAE" w:rsidP="000A5389">
            <w:pPr>
              <w:spacing w:line="240" w:lineRule="auto"/>
              <w:rPr>
                <w:rFonts w:eastAsia="Times New Roman" w:cs="Times New Roman"/>
                <w:sz w:val="16"/>
                <w:szCs w:val="16"/>
                <w:lang w:eastAsia="es-CO"/>
              </w:rPr>
            </w:pPr>
            <w:r w:rsidRPr="2A085367">
              <w:rPr>
                <w:rFonts w:eastAsia="Times New Roman" w:cs="Times New Roman"/>
                <w:sz w:val="16"/>
                <w:szCs w:val="16"/>
                <w:lang w:eastAsia="es-CO"/>
              </w:rPr>
              <w:t>Derechos de tránsito</w:t>
            </w:r>
          </w:p>
        </w:tc>
        <w:tc>
          <w:tcPr>
            <w:tcW w:w="2151" w:type="dxa"/>
            <w:shd w:val="clear" w:color="auto" w:fill="FFFFFF" w:themeFill="background1"/>
            <w:noWrap/>
            <w:vAlign w:val="center"/>
          </w:tcPr>
          <w:p w14:paraId="7D6AE59A" w14:textId="77777777" w:rsidR="00A24BAE" w:rsidRPr="00951AB1" w:rsidRDefault="00A24BAE" w:rsidP="000A5389">
            <w:pPr>
              <w:spacing w:line="240" w:lineRule="auto"/>
              <w:jc w:val="right"/>
              <w:rPr>
                <w:rFonts w:eastAsia="Times New Roman" w:cs="Times New Roman"/>
                <w:sz w:val="16"/>
                <w:szCs w:val="16"/>
                <w:lang w:eastAsia="es-CO"/>
              </w:rPr>
            </w:pPr>
            <w:r w:rsidRPr="2A085367">
              <w:rPr>
                <w:rFonts w:cs="Times New Roman"/>
                <w:color w:val="000000" w:themeColor="text1"/>
                <w:sz w:val="16"/>
                <w:szCs w:val="16"/>
              </w:rPr>
              <w:t>15.903.258.503</w:t>
            </w:r>
          </w:p>
        </w:tc>
        <w:tc>
          <w:tcPr>
            <w:tcW w:w="1348" w:type="dxa"/>
            <w:shd w:val="clear" w:color="auto" w:fill="FFFFFF" w:themeFill="background1"/>
            <w:noWrap/>
            <w:vAlign w:val="center"/>
          </w:tcPr>
          <w:p w14:paraId="08F72D54" w14:textId="77777777" w:rsidR="00A24BAE" w:rsidRPr="00951AB1" w:rsidRDefault="00A24BAE" w:rsidP="000A5389">
            <w:pPr>
              <w:spacing w:line="240" w:lineRule="auto"/>
              <w:jc w:val="right"/>
              <w:rPr>
                <w:rFonts w:eastAsia="Times New Roman" w:cs="Times New Roman"/>
                <w:sz w:val="16"/>
                <w:szCs w:val="16"/>
                <w:lang w:eastAsia="es-CO"/>
              </w:rPr>
            </w:pPr>
            <w:r w:rsidRPr="2A085367">
              <w:rPr>
                <w:rFonts w:eastAsia="Times New Roman" w:cs="Times New Roman"/>
                <w:sz w:val="16"/>
                <w:szCs w:val="16"/>
                <w:lang w:eastAsia="es-CO"/>
              </w:rPr>
              <w:t>20.439.281.92</w:t>
            </w:r>
          </w:p>
        </w:tc>
        <w:tc>
          <w:tcPr>
            <w:tcW w:w="1379" w:type="dxa"/>
            <w:shd w:val="clear" w:color="auto" w:fill="FFFFFF" w:themeFill="background1"/>
            <w:noWrap/>
            <w:vAlign w:val="center"/>
          </w:tcPr>
          <w:p w14:paraId="0D92949C" w14:textId="77777777" w:rsidR="00A24BAE" w:rsidRPr="00951AB1" w:rsidRDefault="00A24BAE" w:rsidP="000A5389">
            <w:pPr>
              <w:spacing w:line="240" w:lineRule="auto"/>
              <w:jc w:val="right"/>
              <w:rPr>
                <w:rFonts w:eastAsia="Times New Roman" w:cs="Times New Roman"/>
                <w:sz w:val="16"/>
                <w:szCs w:val="16"/>
                <w:lang w:eastAsia="es-CO"/>
              </w:rPr>
            </w:pPr>
            <w:r w:rsidRPr="2A085367">
              <w:rPr>
                <w:rFonts w:cs="Times New Roman"/>
                <w:sz w:val="16"/>
                <w:szCs w:val="16"/>
              </w:rPr>
              <w:t>-4.536.023.424</w:t>
            </w:r>
          </w:p>
        </w:tc>
      </w:tr>
    </w:tbl>
    <w:p w14:paraId="0FEEEBFA" w14:textId="77777777" w:rsidR="00DC2BC7" w:rsidRPr="00951AB1" w:rsidRDefault="00DC2BC7" w:rsidP="000A5389">
      <w:pPr>
        <w:spacing w:line="240" w:lineRule="auto"/>
        <w:rPr>
          <w:rFonts w:cs="Times New Roman"/>
          <w:szCs w:val="24"/>
          <w:lang w:bidi="es-ES"/>
        </w:rPr>
      </w:pPr>
      <w:r w:rsidRPr="2A085367">
        <w:rPr>
          <w:rFonts w:eastAsia="Times New Roman" w:cs="Times New Roman"/>
          <w:sz w:val="14"/>
          <w:szCs w:val="14"/>
          <w:lang w:eastAsia="es-CO"/>
        </w:rPr>
        <w:t>Cifras expresadas en pesos</w:t>
      </w:r>
    </w:p>
    <w:tbl>
      <w:tblPr>
        <w:tblW w:w="8893" w:type="dxa"/>
        <w:tblCellMar>
          <w:left w:w="70" w:type="dxa"/>
          <w:right w:w="70" w:type="dxa"/>
        </w:tblCellMar>
        <w:tblLook w:val="04A0" w:firstRow="1" w:lastRow="0" w:firstColumn="1" w:lastColumn="0" w:noHBand="0" w:noVBand="1"/>
      </w:tblPr>
      <w:tblGrid>
        <w:gridCol w:w="1247"/>
        <w:gridCol w:w="890"/>
        <w:gridCol w:w="890"/>
        <w:gridCol w:w="950"/>
        <w:gridCol w:w="890"/>
        <w:gridCol w:w="1156"/>
        <w:gridCol w:w="740"/>
        <w:gridCol w:w="890"/>
        <w:gridCol w:w="350"/>
        <w:gridCol w:w="890"/>
      </w:tblGrid>
      <w:tr w:rsidR="005E64D9" w:rsidRPr="00951AB1" w14:paraId="11FFA672" w14:textId="77777777" w:rsidTr="00FE1E23">
        <w:trPr>
          <w:trHeight w:val="458"/>
          <w:tblHeader/>
        </w:trPr>
        <w:tc>
          <w:tcPr>
            <w:tcW w:w="1247" w:type="dxa"/>
            <w:vMerge w:val="restar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hideMark/>
          </w:tcPr>
          <w:p w14:paraId="67D02434" w14:textId="5026C4B1" w:rsidR="005E64D9" w:rsidRPr="00951AB1" w:rsidRDefault="005E64D9" w:rsidP="000A5389">
            <w:pPr>
              <w:spacing w:line="240" w:lineRule="auto"/>
              <w:jc w:val="center"/>
              <w:rPr>
                <w:rFonts w:eastAsia="Times New Roman" w:cs="Times New Roman"/>
                <w:b/>
                <w:bCs/>
                <w:color w:val="000000"/>
                <w:sz w:val="12"/>
                <w:szCs w:val="12"/>
                <w:lang w:eastAsia="es-CO"/>
              </w:rPr>
            </w:pPr>
            <w:r w:rsidRPr="2A085367">
              <w:rPr>
                <w:rFonts w:eastAsia="Times New Roman" w:cs="Times New Roman"/>
                <w:b/>
                <w:bCs/>
                <w:color w:val="000000" w:themeColor="text1"/>
                <w:sz w:val="12"/>
                <w:szCs w:val="12"/>
                <w:lang w:eastAsia="es-CO"/>
              </w:rPr>
              <w:lastRenderedPageBreak/>
              <w:t>DESCRIPCIÓN</w:t>
            </w:r>
          </w:p>
        </w:tc>
        <w:tc>
          <w:tcPr>
            <w:tcW w:w="2730" w:type="dxa"/>
            <w:gridSpan w:val="3"/>
            <w:vMerge w:val="restar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hideMark/>
          </w:tcPr>
          <w:p w14:paraId="3709D8F3" w14:textId="77777777" w:rsidR="005E64D9" w:rsidRPr="00951AB1" w:rsidRDefault="005E64D9" w:rsidP="000A5389">
            <w:pPr>
              <w:spacing w:line="240" w:lineRule="auto"/>
              <w:jc w:val="center"/>
              <w:rPr>
                <w:rFonts w:eastAsia="Times New Roman" w:cs="Times New Roman"/>
                <w:b/>
                <w:bCs/>
                <w:color w:val="000000"/>
                <w:sz w:val="12"/>
                <w:szCs w:val="12"/>
                <w:lang w:eastAsia="es-CO"/>
              </w:rPr>
            </w:pPr>
            <w:r w:rsidRPr="00951AB1">
              <w:rPr>
                <w:rFonts w:eastAsia="Times New Roman" w:cs="Times New Roman"/>
                <w:b/>
                <w:bCs/>
                <w:color w:val="000000"/>
                <w:sz w:val="12"/>
                <w:szCs w:val="12"/>
                <w:lang w:eastAsia="es-CO"/>
              </w:rPr>
              <w:t>CORTE VIGENCIA 2025</w:t>
            </w:r>
          </w:p>
        </w:tc>
        <w:tc>
          <w:tcPr>
            <w:tcW w:w="4026" w:type="dxa"/>
            <w:gridSpan w:val="5"/>
            <w:vMerge w:val="restar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hideMark/>
          </w:tcPr>
          <w:p w14:paraId="0FD4B800" w14:textId="77777777" w:rsidR="005E64D9" w:rsidRPr="00951AB1" w:rsidRDefault="005E64D9" w:rsidP="000A5389">
            <w:pPr>
              <w:spacing w:line="240" w:lineRule="auto"/>
              <w:jc w:val="center"/>
              <w:rPr>
                <w:rFonts w:eastAsia="Times New Roman" w:cs="Times New Roman"/>
                <w:b/>
                <w:bCs/>
                <w:color w:val="000000"/>
                <w:sz w:val="12"/>
                <w:szCs w:val="12"/>
                <w:lang w:eastAsia="es-CO"/>
              </w:rPr>
            </w:pPr>
            <w:r w:rsidRPr="00951AB1">
              <w:rPr>
                <w:rFonts w:eastAsia="Times New Roman" w:cs="Times New Roman"/>
                <w:b/>
                <w:bCs/>
                <w:color w:val="000000"/>
                <w:sz w:val="12"/>
                <w:szCs w:val="12"/>
                <w:lang w:eastAsia="es-CO"/>
              </w:rPr>
              <w:t>DETERIORO ACUMULADO 2025</w:t>
            </w:r>
          </w:p>
        </w:tc>
        <w:tc>
          <w:tcPr>
            <w:tcW w:w="890" w:type="dxa"/>
            <w:vMerge w:val="restar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hideMark/>
          </w:tcPr>
          <w:p w14:paraId="6EA383AE" w14:textId="77777777" w:rsidR="005E64D9" w:rsidRPr="00951AB1" w:rsidRDefault="005E64D9" w:rsidP="000A5389">
            <w:pPr>
              <w:spacing w:line="240" w:lineRule="auto"/>
              <w:jc w:val="center"/>
              <w:rPr>
                <w:rFonts w:eastAsia="Times New Roman" w:cs="Times New Roman"/>
                <w:b/>
                <w:bCs/>
                <w:color w:val="000000"/>
                <w:sz w:val="12"/>
                <w:szCs w:val="12"/>
                <w:lang w:eastAsia="es-CO"/>
              </w:rPr>
            </w:pPr>
            <w:r w:rsidRPr="00951AB1">
              <w:rPr>
                <w:rFonts w:eastAsia="Times New Roman" w:cs="Times New Roman"/>
                <w:b/>
                <w:bCs/>
                <w:color w:val="000000"/>
                <w:sz w:val="12"/>
                <w:szCs w:val="12"/>
                <w:lang w:eastAsia="es-CO"/>
              </w:rPr>
              <w:t>DEFINITIVO</w:t>
            </w:r>
          </w:p>
        </w:tc>
      </w:tr>
      <w:tr w:rsidR="00B96AB2" w:rsidRPr="00951AB1" w14:paraId="3ED38A39" w14:textId="77777777" w:rsidTr="00FE1E23">
        <w:trPr>
          <w:trHeight w:val="458"/>
          <w:tblHeader/>
        </w:trPr>
        <w:tc>
          <w:tcPr>
            <w:tcW w:w="1247" w:type="dxa"/>
            <w:vMerge/>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hideMark/>
          </w:tcPr>
          <w:p w14:paraId="17A11D30" w14:textId="77777777" w:rsidR="00B96AB2" w:rsidRPr="00951AB1" w:rsidRDefault="00B96AB2" w:rsidP="000A5389">
            <w:pPr>
              <w:spacing w:line="240" w:lineRule="auto"/>
              <w:rPr>
                <w:rFonts w:eastAsia="Times New Roman" w:cs="Times New Roman"/>
                <w:b/>
                <w:bCs/>
                <w:color w:val="000000"/>
                <w:sz w:val="12"/>
                <w:szCs w:val="12"/>
                <w:lang w:eastAsia="es-CO"/>
              </w:rPr>
            </w:pPr>
          </w:p>
        </w:tc>
        <w:tc>
          <w:tcPr>
            <w:tcW w:w="2730" w:type="dxa"/>
            <w:gridSpan w:val="3"/>
            <w:vMerge/>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hideMark/>
          </w:tcPr>
          <w:p w14:paraId="1AE96FA4" w14:textId="77777777" w:rsidR="00B96AB2" w:rsidRPr="00951AB1" w:rsidRDefault="00B96AB2" w:rsidP="000A5389">
            <w:pPr>
              <w:spacing w:line="240" w:lineRule="auto"/>
              <w:rPr>
                <w:rFonts w:eastAsia="Times New Roman" w:cs="Times New Roman"/>
                <w:b/>
                <w:bCs/>
                <w:color w:val="000000"/>
                <w:sz w:val="12"/>
                <w:szCs w:val="12"/>
                <w:lang w:eastAsia="es-CO"/>
              </w:rPr>
            </w:pPr>
          </w:p>
        </w:tc>
        <w:tc>
          <w:tcPr>
            <w:tcW w:w="4026" w:type="dxa"/>
            <w:gridSpan w:val="5"/>
            <w:vMerge/>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hideMark/>
          </w:tcPr>
          <w:p w14:paraId="086C98B5" w14:textId="77777777" w:rsidR="00B96AB2" w:rsidRPr="00951AB1" w:rsidRDefault="00B96AB2" w:rsidP="000A5389">
            <w:pPr>
              <w:spacing w:line="240" w:lineRule="auto"/>
              <w:rPr>
                <w:rFonts w:eastAsia="Times New Roman" w:cs="Times New Roman"/>
                <w:b/>
                <w:bCs/>
                <w:color w:val="000000"/>
                <w:sz w:val="12"/>
                <w:szCs w:val="12"/>
                <w:lang w:eastAsia="es-CO"/>
              </w:rPr>
            </w:pPr>
          </w:p>
        </w:tc>
        <w:tc>
          <w:tcPr>
            <w:tcW w:w="890" w:type="dxa"/>
            <w:vMerge/>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hideMark/>
          </w:tcPr>
          <w:p w14:paraId="492B1F16" w14:textId="77777777" w:rsidR="00B96AB2" w:rsidRPr="00951AB1" w:rsidRDefault="00B96AB2" w:rsidP="000A5389">
            <w:pPr>
              <w:spacing w:line="240" w:lineRule="auto"/>
              <w:rPr>
                <w:rFonts w:eastAsia="Times New Roman" w:cs="Times New Roman"/>
                <w:b/>
                <w:bCs/>
                <w:color w:val="000000"/>
                <w:sz w:val="12"/>
                <w:szCs w:val="12"/>
                <w:lang w:eastAsia="es-CO"/>
              </w:rPr>
            </w:pPr>
          </w:p>
        </w:tc>
      </w:tr>
      <w:tr w:rsidR="00B96AB2" w:rsidRPr="00951AB1" w14:paraId="08437CF5" w14:textId="77777777" w:rsidTr="00FE1E23">
        <w:trPr>
          <w:trHeight w:val="458"/>
          <w:tblHeader/>
        </w:trPr>
        <w:tc>
          <w:tcPr>
            <w:tcW w:w="1247" w:type="dxa"/>
            <w:vMerge/>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hideMark/>
          </w:tcPr>
          <w:p w14:paraId="546A917C" w14:textId="77777777" w:rsidR="00B96AB2" w:rsidRPr="00951AB1" w:rsidRDefault="00B96AB2" w:rsidP="000A5389">
            <w:pPr>
              <w:spacing w:line="240" w:lineRule="auto"/>
              <w:rPr>
                <w:rFonts w:eastAsia="Times New Roman" w:cs="Times New Roman"/>
                <w:b/>
                <w:bCs/>
                <w:color w:val="000000"/>
                <w:sz w:val="12"/>
                <w:szCs w:val="12"/>
                <w:lang w:eastAsia="es-CO"/>
              </w:rPr>
            </w:pPr>
          </w:p>
        </w:tc>
        <w:tc>
          <w:tcPr>
            <w:tcW w:w="2730" w:type="dxa"/>
            <w:gridSpan w:val="3"/>
            <w:vMerge/>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hideMark/>
          </w:tcPr>
          <w:p w14:paraId="175C27A7" w14:textId="77777777" w:rsidR="00B96AB2" w:rsidRPr="00951AB1" w:rsidRDefault="00B96AB2" w:rsidP="000A5389">
            <w:pPr>
              <w:spacing w:line="240" w:lineRule="auto"/>
              <w:rPr>
                <w:rFonts w:eastAsia="Times New Roman" w:cs="Times New Roman"/>
                <w:b/>
                <w:bCs/>
                <w:color w:val="000000"/>
                <w:sz w:val="12"/>
                <w:szCs w:val="12"/>
                <w:lang w:eastAsia="es-CO"/>
              </w:rPr>
            </w:pPr>
          </w:p>
        </w:tc>
        <w:tc>
          <w:tcPr>
            <w:tcW w:w="4026" w:type="dxa"/>
            <w:gridSpan w:val="5"/>
            <w:vMerge/>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hideMark/>
          </w:tcPr>
          <w:p w14:paraId="4569F0D5" w14:textId="77777777" w:rsidR="00B96AB2" w:rsidRPr="00951AB1" w:rsidRDefault="00B96AB2" w:rsidP="000A5389">
            <w:pPr>
              <w:spacing w:line="240" w:lineRule="auto"/>
              <w:rPr>
                <w:rFonts w:eastAsia="Times New Roman" w:cs="Times New Roman"/>
                <w:b/>
                <w:bCs/>
                <w:color w:val="000000"/>
                <w:sz w:val="12"/>
                <w:szCs w:val="12"/>
                <w:lang w:eastAsia="es-CO"/>
              </w:rPr>
            </w:pPr>
          </w:p>
        </w:tc>
        <w:tc>
          <w:tcPr>
            <w:tcW w:w="890" w:type="dxa"/>
            <w:vMerge/>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hideMark/>
          </w:tcPr>
          <w:p w14:paraId="0C48F9F1" w14:textId="77777777" w:rsidR="00B96AB2" w:rsidRPr="00951AB1" w:rsidRDefault="00B96AB2" w:rsidP="000A5389">
            <w:pPr>
              <w:spacing w:line="240" w:lineRule="auto"/>
              <w:rPr>
                <w:rFonts w:eastAsia="Times New Roman" w:cs="Times New Roman"/>
                <w:b/>
                <w:bCs/>
                <w:color w:val="000000"/>
                <w:sz w:val="12"/>
                <w:szCs w:val="12"/>
                <w:lang w:eastAsia="es-CO"/>
              </w:rPr>
            </w:pPr>
          </w:p>
        </w:tc>
      </w:tr>
      <w:tr w:rsidR="00B7619C" w:rsidRPr="00951AB1" w14:paraId="15565F8C" w14:textId="77777777" w:rsidTr="00FE1E23">
        <w:trPr>
          <w:trHeight w:val="881"/>
          <w:tblHeader/>
        </w:trPr>
        <w:tc>
          <w:tcPr>
            <w:tcW w:w="1247"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hideMark/>
          </w:tcPr>
          <w:p w14:paraId="201D8278" w14:textId="617FD93F" w:rsidR="005E64D9" w:rsidRPr="00951AB1" w:rsidRDefault="005E64D9" w:rsidP="000A5389">
            <w:pPr>
              <w:spacing w:line="240" w:lineRule="auto"/>
              <w:jc w:val="center"/>
              <w:rPr>
                <w:rFonts w:eastAsia="Times New Roman" w:cs="Times New Roman"/>
                <w:b/>
                <w:bCs/>
                <w:color w:val="000000"/>
                <w:sz w:val="12"/>
                <w:szCs w:val="12"/>
                <w:lang w:eastAsia="es-CO"/>
              </w:rPr>
            </w:pPr>
            <w:r w:rsidRPr="00951AB1">
              <w:rPr>
                <w:rFonts w:eastAsia="Times New Roman" w:cs="Times New Roman"/>
                <w:b/>
                <w:bCs/>
                <w:color w:val="000000"/>
                <w:sz w:val="12"/>
                <w:szCs w:val="12"/>
                <w:lang w:eastAsia="es-CO"/>
              </w:rPr>
              <w:t>ONCEPTO</w:t>
            </w:r>
          </w:p>
        </w:tc>
        <w:tc>
          <w:tcPr>
            <w:tcW w:w="890" w:type="dxa"/>
            <w:tcBorders>
              <w:top w:val="single" w:sz="4" w:space="0" w:color="A6A6A6" w:themeColor="background1" w:themeShade="A6"/>
              <w:left w:val="nil"/>
              <w:bottom w:val="single" w:sz="4" w:space="0" w:color="A6A6A6" w:themeColor="background1" w:themeShade="A6"/>
              <w:right w:val="single" w:sz="4" w:space="0" w:color="A6A6A6" w:themeColor="background1" w:themeShade="A6"/>
            </w:tcBorders>
            <w:textDirection w:val="btLr"/>
            <w:vAlign w:val="center"/>
            <w:hideMark/>
          </w:tcPr>
          <w:p w14:paraId="272309AA" w14:textId="77777777" w:rsidR="005E64D9" w:rsidRPr="00951AB1" w:rsidRDefault="005E64D9" w:rsidP="000A5389">
            <w:pPr>
              <w:spacing w:line="240" w:lineRule="auto"/>
              <w:jc w:val="center"/>
              <w:rPr>
                <w:rFonts w:eastAsia="Times New Roman" w:cs="Times New Roman"/>
                <w:b/>
                <w:bCs/>
                <w:color w:val="000000"/>
                <w:sz w:val="12"/>
                <w:szCs w:val="12"/>
                <w:lang w:eastAsia="es-CO"/>
              </w:rPr>
            </w:pPr>
            <w:r w:rsidRPr="00951AB1">
              <w:rPr>
                <w:rFonts w:eastAsia="Times New Roman" w:cs="Times New Roman"/>
                <w:b/>
                <w:bCs/>
                <w:color w:val="000000"/>
                <w:sz w:val="12"/>
                <w:szCs w:val="12"/>
                <w:lang w:eastAsia="es-CO"/>
              </w:rPr>
              <w:t>SALDO CORRIENTE</w:t>
            </w:r>
          </w:p>
        </w:tc>
        <w:tc>
          <w:tcPr>
            <w:tcW w:w="890" w:type="dxa"/>
            <w:tcBorders>
              <w:top w:val="single" w:sz="4" w:space="0" w:color="A6A6A6" w:themeColor="background1" w:themeShade="A6"/>
              <w:left w:val="nil"/>
              <w:bottom w:val="single" w:sz="4" w:space="0" w:color="A6A6A6" w:themeColor="background1" w:themeShade="A6"/>
              <w:right w:val="single" w:sz="4" w:space="0" w:color="A6A6A6" w:themeColor="background1" w:themeShade="A6"/>
            </w:tcBorders>
            <w:textDirection w:val="btLr"/>
            <w:vAlign w:val="center"/>
            <w:hideMark/>
          </w:tcPr>
          <w:p w14:paraId="063690F5" w14:textId="77777777" w:rsidR="005E64D9" w:rsidRPr="00951AB1" w:rsidRDefault="005E64D9" w:rsidP="000A5389">
            <w:pPr>
              <w:spacing w:line="240" w:lineRule="auto"/>
              <w:jc w:val="center"/>
              <w:rPr>
                <w:rFonts w:eastAsia="Times New Roman" w:cs="Times New Roman"/>
                <w:b/>
                <w:bCs/>
                <w:color w:val="000000"/>
                <w:sz w:val="12"/>
                <w:szCs w:val="12"/>
                <w:lang w:eastAsia="es-CO"/>
              </w:rPr>
            </w:pPr>
            <w:r w:rsidRPr="00951AB1">
              <w:rPr>
                <w:rFonts w:eastAsia="Times New Roman" w:cs="Times New Roman"/>
                <w:b/>
                <w:bCs/>
                <w:color w:val="000000"/>
                <w:sz w:val="12"/>
                <w:szCs w:val="12"/>
                <w:lang w:eastAsia="es-CO"/>
              </w:rPr>
              <w:t>SALDO NO CORRIENTE</w:t>
            </w:r>
          </w:p>
        </w:tc>
        <w:tc>
          <w:tcPr>
            <w:tcW w:w="950" w:type="dxa"/>
            <w:tcBorders>
              <w:top w:val="single" w:sz="4" w:space="0" w:color="A6A6A6" w:themeColor="background1" w:themeShade="A6"/>
              <w:left w:val="nil"/>
              <w:bottom w:val="single" w:sz="4" w:space="0" w:color="A6A6A6" w:themeColor="background1" w:themeShade="A6"/>
              <w:right w:val="single" w:sz="4" w:space="0" w:color="A6A6A6" w:themeColor="background1" w:themeShade="A6"/>
            </w:tcBorders>
            <w:textDirection w:val="btLr"/>
            <w:vAlign w:val="center"/>
            <w:hideMark/>
          </w:tcPr>
          <w:p w14:paraId="7663C471" w14:textId="77777777" w:rsidR="005E64D9" w:rsidRPr="00951AB1" w:rsidRDefault="005E64D9" w:rsidP="000A5389">
            <w:pPr>
              <w:spacing w:line="240" w:lineRule="auto"/>
              <w:jc w:val="center"/>
              <w:rPr>
                <w:rFonts w:eastAsia="Times New Roman" w:cs="Times New Roman"/>
                <w:b/>
                <w:bCs/>
                <w:color w:val="000000"/>
                <w:sz w:val="12"/>
                <w:szCs w:val="12"/>
                <w:lang w:eastAsia="es-CO"/>
              </w:rPr>
            </w:pPr>
            <w:r w:rsidRPr="00951AB1">
              <w:rPr>
                <w:rFonts w:eastAsia="Times New Roman" w:cs="Times New Roman"/>
                <w:b/>
                <w:bCs/>
                <w:color w:val="000000"/>
                <w:sz w:val="12"/>
                <w:szCs w:val="12"/>
                <w:lang w:eastAsia="es-CO"/>
              </w:rPr>
              <w:t>SALDO FINAL</w:t>
            </w:r>
          </w:p>
        </w:tc>
        <w:tc>
          <w:tcPr>
            <w:tcW w:w="890" w:type="dxa"/>
            <w:tcBorders>
              <w:top w:val="single" w:sz="4" w:space="0" w:color="A6A6A6" w:themeColor="background1" w:themeShade="A6"/>
              <w:left w:val="nil"/>
              <w:bottom w:val="single" w:sz="4" w:space="0" w:color="A6A6A6" w:themeColor="background1" w:themeShade="A6"/>
              <w:right w:val="single" w:sz="4" w:space="0" w:color="A6A6A6" w:themeColor="background1" w:themeShade="A6"/>
            </w:tcBorders>
            <w:textDirection w:val="btLr"/>
            <w:vAlign w:val="center"/>
            <w:hideMark/>
          </w:tcPr>
          <w:p w14:paraId="6C742127" w14:textId="77777777" w:rsidR="005E64D9" w:rsidRPr="00951AB1" w:rsidRDefault="005E64D9" w:rsidP="000A5389">
            <w:pPr>
              <w:spacing w:line="240" w:lineRule="auto"/>
              <w:jc w:val="center"/>
              <w:rPr>
                <w:rFonts w:eastAsia="Times New Roman" w:cs="Times New Roman"/>
                <w:b/>
                <w:bCs/>
                <w:color w:val="000000"/>
                <w:sz w:val="12"/>
                <w:szCs w:val="12"/>
                <w:lang w:eastAsia="es-CO"/>
              </w:rPr>
            </w:pPr>
            <w:r w:rsidRPr="00951AB1">
              <w:rPr>
                <w:rFonts w:eastAsia="Times New Roman" w:cs="Times New Roman"/>
                <w:b/>
                <w:bCs/>
                <w:color w:val="000000"/>
                <w:sz w:val="12"/>
                <w:szCs w:val="12"/>
                <w:lang w:eastAsia="es-CO"/>
              </w:rPr>
              <w:t>SALDO INICIAL</w:t>
            </w:r>
          </w:p>
        </w:tc>
        <w:tc>
          <w:tcPr>
            <w:tcW w:w="1156" w:type="dxa"/>
            <w:tcBorders>
              <w:top w:val="single" w:sz="4" w:space="0" w:color="A6A6A6" w:themeColor="background1" w:themeShade="A6"/>
              <w:left w:val="nil"/>
              <w:bottom w:val="single" w:sz="4" w:space="0" w:color="A6A6A6" w:themeColor="background1" w:themeShade="A6"/>
              <w:right w:val="single" w:sz="4" w:space="0" w:color="A6A6A6" w:themeColor="background1" w:themeShade="A6"/>
            </w:tcBorders>
            <w:textDirection w:val="btLr"/>
            <w:vAlign w:val="center"/>
            <w:hideMark/>
          </w:tcPr>
          <w:p w14:paraId="3E28C9FB" w14:textId="77777777" w:rsidR="005E64D9" w:rsidRPr="00951AB1" w:rsidRDefault="005E64D9" w:rsidP="000A5389">
            <w:pPr>
              <w:spacing w:line="240" w:lineRule="auto"/>
              <w:jc w:val="center"/>
              <w:rPr>
                <w:rFonts w:eastAsia="Times New Roman" w:cs="Times New Roman"/>
                <w:b/>
                <w:bCs/>
                <w:color w:val="000000"/>
                <w:sz w:val="12"/>
                <w:szCs w:val="12"/>
                <w:lang w:eastAsia="es-CO"/>
              </w:rPr>
            </w:pPr>
            <w:r w:rsidRPr="00951AB1">
              <w:rPr>
                <w:rFonts w:eastAsia="Times New Roman" w:cs="Times New Roman"/>
                <w:b/>
                <w:bCs/>
                <w:color w:val="000000"/>
                <w:sz w:val="12"/>
                <w:szCs w:val="12"/>
                <w:lang w:eastAsia="es-CO"/>
              </w:rPr>
              <w:t>(+) DETERIORO APLICADO EN LA VIGENCIA</w:t>
            </w:r>
          </w:p>
        </w:tc>
        <w:tc>
          <w:tcPr>
            <w:tcW w:w="740" w:type="dxa"/>
            <w:tcBorders>
              <w:top w:val="single" w:sz="4" w:space="0" w:color="A6A6A6" w:themeColor="background1" w:themeShade="A6"/>
              <w:left w:val="nil"/>
              <w:bottom w:val="single" w:sz="4" w:space="0" w:color="A6A6A6" w:themeColor="background1" w:themeShade="A6"/>
              <w:right w:val="single" w:sz="4" w:space="0" w:color="A6A6A6" w:themeColor="background1" w:themeShade="A6"/>
            </w:tcBorders>
            <w:textDirection w:val="btLr"/>
            <w:vAlign w:val="center"/>
            <w:hideMark/>
          </w:tcPr>
          <w:p w14:paraId="3DD982EB" w14:textId="77777777" w:rsidR="005E64D9" w:rsidRPr="00951AB1" w:rsidRDefault="005E64D9" w:rsidP="000A5389">
            <w:pPr>
              <w:spacing w:line="240" w:lineRule="auto"/>
              <w:jc w:val="center"/>
              <w:rPr>
                <w:rFonts w:eastAsia="Times New Roman" w:cs="Times New Roman"/>
                <w:b/>
                <w:bCs/>
                <w:color w:val="000000"/>
                <w:sz w:val="12"/>
                <w:szCs w:val="12"/>
                <w:lang w:eastAsia="es-CO"/>
              </w:rPr>
            </w:pPr>
            <w:r w:rsidRPr="00951AB1">
              <w:rPr>
                <w:rFonts w:eastAsia="Times New Roman" w:cs="Times New Roman"/>
                <w:b/>
                <w:bCs/>
                <w:color w:val="000000"/>
                <w:sz w:val="12"/>
                <w:szCs w:val="12"/>
                <w:lang w:eastAsia="es-CO"/>
              </w:rPr>
              <w:t>(-) REVERSIÓN DE DETERIORO EN LA VIGENCIA</w:t>
            </w:r>
          </w:p>
        </w:tc>
        <w:tc>
          <w:tcPr>
            <w:tcW w:w="890" w:type="dxa"/>
            <w:tcBorders>
              <w:top w:val="single" w:sz="4" w:space="0" w:color="A6A6A6" w:themeColor="background1" w:themeShade="A6"/>
              <w:left w:val="nil"/>
              <w:bottom w:val="single" w:sz="4" w:space="0" w:color="A6A6A6" w:themeColor="background1" w:themeShade="A6"/>
              <w:right w:val="single" w:sz="4" w:space="0" w:color="A6A6A6" w:themeColor="background1" w:themeShade="A6"/>
            </w:tcBorders>
            <w:textDirection w:val="btLr"/>
            <w:vAlign w:val="center"/>
            <w:hideMark/>
          </w:tcPr>
          <w:p w14:paraId="5C8037F4" w14:textId="77777777" w:rsidR="005E64D9" w:rsidRPr="00951AB1" w:rsidRDefault="005E64D9" w:rsidP="000A5389">
            <w:pPr>
              <w:spacing w:line="240" w:lineRule="auto"/>
              <w:jc w:val="center"/>
              <w:rPr>
                <w:rFonts w:eastAsia="Times New Roman" w:cs="Times New Roman"/>
                <w:b/>
                <w:bCs/>
                <w:color w:val="000000"/>
                <w:sz w:val="12"/>
                <w:szCs w:val="12"/>
                <w:lang w:eastAsia="es-CO"/>
              </w:rPr>
            </w:pPr>
            <w:r w:rsidRPr="00951AB1">
              <w:rPr>
                <w:rFonts w:eastAsia="Times New Roman" w:cs="Times New Roman"/>
                <w:b/>
                <w:bCs/>
                <w:color w:val="000000"/>
                <w:sz w:val="12"/>
                <w:szCs w:val="12"/>
                <w:lang w:eastAsia="es-CO"/>
              </w:rPr>
              <w:t>SALDO FINAL</w:t>
            </w:r>
          </w:p>
        </w:tc>
        <w:tc>
          <w:tcPr>
            <w:tcW w:w="350" w:type="dxa"/>
            <w:tcBorders>
              <w:top w:val="single" w:sz="4" w:space="0" w:color="A6A6A6" w:themeColor="background1" w:themeShade="A6"/>
              <w:left w:val="nil"/>
              <w:bottom w:val="single" w:sz="4" w:space="0" w:color="A6A6A6" w:themeColor="background1" w:themeShade="A6"/>
              <w:right w:val="single" w:sz="4" w:space="0" w:color="A6A6A6" w:themeColor="background1" w:themeShade="A6"/>
            </w:tcBorders>
            <w:vAlign w:val="center"/>
            <w:hideMark/>
          </w:tcPr>
          <w:p w14:paraId="3DEF6987" w14:textId="77777777" w:rsidR="005E64D9" w:rsidRPr="00951AB1" w:rsidRDefault="005E64D9" w:rsidP="000A5389">
            <w:pPr>
              <w:spacing w:line="240" w:lineRule="auto"/>
              <w:jc w:val="center"/>
              <w:rPr>
                <w:rFonts w:eastAsia="Times New Roman" w:cs="Times New Roman"/>
                <w:b/>
                <w:bCs/>
                <w:color w:val="000000"/>
                <w:sz w:val="12"/>
                <w:szCs w:val="12"/>
                <w:lang w:eastAsia="es-CO"/>
              </w:rPr>
            </w:pPr>
            <w:r w:rsidRPr="00951AB1">
              <w:rPr>
                <w:rFonts w:eastAsia="Times New Roman" w:cs="Times New Roman"/>
                <w:b/>
                <w:bCs/>
                <w:color w:val="000000"/>
                <w:sz w:val="12"/>
                <w:szCs w:val="12"/>
                <w:lang w:eastAsia="es-CO"/>
              </w:rPr>
              <w:t>%</w:t>
            </w:r>
          </w:p>
        </w:tc>
        <w:tc>
          <w:tcPr>
            <w:tcW w:w="890" w:type="dxa"/>
            <w:tcBorders>
              <w:top w:val="single" w:sz="4" w:space="0" w:color="A6A6A6" w:themeColor="background1" w:themeShade="A6"/>
              <w:left w:val="nil"/>
              <w:bottom w:val="single" w:sz="4" w:space="0" w:color="A6A6A6" w:themeColor="background1" w:themeShade="A6"/>
              <w:right w:val="single" w:sz="4" w:space="0" w:color="A6A6A6" w:themeColor="background1" w:themeShade="A6"/>
            </w:tcBorders>
            <w:textDirection w:val="btLr"/>
            <w:vAlign w:val="center"/>
            <w:hideMark/>
          </w:tcPr>
          <w:p w14:paraId="24B02A60" w14:textId="77777777" w:rsidR="005E64D9" w:rsidRPr="00951AB1" w:rsidRDefault="005E64D9" w:rsidP="000A5389">
            <w:pPr>
              <w:spacing w:line="240" w:lineRule="auto"/>
              <w:jc w:val="center"/>
              <w:rPr>
                <w:rFonts w:eastAsia="Times New Roman" w:cs="Times New Roman"/>
                <w:b/>
                <w:bCs/>
                <w:color w:val="000000"/>
                <w:sz w:val="12"/>
                <w:szCs w:val="12"/>
                <w:lang w:eastAsia="es-CO"/>
              </w:rPr>
            </w:pPr>
            <w:r w:rsidRPr="00951AB1">
              <w:rPr>
                <w:rFonts w:eastAsia="Times New Roman" w:cs="Times New Roman"/>
                <w:b/>
                <w:bCs/>
                <w:color w:val="000000"/>
                <w:sz w:val="12"/>
                <w:szCs w:val="12"/>
                <w:lang w:eastAsia="es-CO"/>
              </w:rPr>
              <w:t>SALDO DESPUÉS DE DETERIORO</w:t>
            </w:r>
          </w:p>
        </w:tc>
      </w:tr>
      <w:tr w:rsidR="00B7619C" w:rsidRPr="00951AB1" w14:paraId="792427F3" w14:textId="77777777" w:rsidTr="00FE1E23">
        <w:trPr>
          <w:trHeight w:val="585"/>
          <w:tblHeader/>
        </w:trPr>
        <w:tc>
          <w:tcPr>
            <w:tcW w:w="1247"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hideMark/>
          </w:tcPr>
          <w:p w14:paraId="2D9C39F4" w14:textId="77777777" w:rsidR="005E64D9" w:rsidRPr="00951AB1" w:rsidRDefault="005E64D9" w:rsidP="000A5389">
            <w:pPr>
              <w:spacing w:line="240" w:lineRule="auto"/>
              <w:rPr>
                <w:rFonts w:eastAsia="Times New Roman" w:cs="Times New Roman"/>
                <w:b/>
                <w:bCs/>
                <w:color w:val="000000"/>
                <w:sz w:val="12"/>
                <w:szCs w:val="12"/>
                <w:lang w:eastAsia="es-CO"/>
              </w:rPr>
            </w:pPr>
            <w:r w:rsidRPr="00951AB1">
              <w:rPr>
                <w:rFonts w:eastAsia="Times New Roman" w:cs="Times New Roman"/>
                <w:b/>
                <w:bCs/>
                <w:sz w:val="12"/>
                <w:szCs w:val="12"/>
                <w:lang w:eastAsia="es-CO"/>
              </w:rPr>
              <w:t>CONTRIBUCIONES TASAS E INGRESOS NO TRIBUTARIOS</w:t>
            </w:r>
          </w:p>
        </w:tc>
        <w:tc>
          <w:tcPr>
            <w:tcW w:w="890" w:type="dxa"/>
            <w:tcBorders>
              <w:top w:val="single" w:sz="4" w:space="0" w:color="A6A6A6" w:themeColor="background1" w:themeShade="A6"/>
              <w:left w:val="nil"/>
              <w:bottom w:val="single" w:sz="4" w:space="0" w:color="A6A6A6" w:themeColor="background1" w:themeShade="A6"/>
              <w:right w:val="single" w:sz="4" w:space="0" w:color="A6A6A6" w:themeColor="background1" w:themeShade="A6"/>
            </w:tcBorders>
            <w:noWrap/>
            <w:vAlign w:val="center"/>
            <w:hideMark/>
          </w:tcPr>
          <w:p w14:paraId="5D68130A" w14:textId="77777777" w:rsidR="005E64D9" w:rsidRPr="00951AB1" w:rsidRDefault="005E64D9" w:rsidP="000A5389">
            <w:pPr>
              <w:spacing w:line="240" w:lineRule="auto"/>
              <w:jc w:val="right"/>
              <w:rPr>
                <w:rFonts w:eastAsia="Times New Roman" w:cs="Times New Roman"/>
                <w:b/>
                <w:bCs/>
                <w:color w:val="000000"/>
                <w:sz w:val="12"/>
                <w:szCs w:val="12"/>
                <w:lang w:eastAsia="es-CO"/>
              </w:rPr>
            </w:pPr>
            <w:r w:rsidRPr="00951AB1">
              <w:rPr>
                <w:rFonts w:cs="Times New Roman"/>
                <w:b/>
                <w:bCs/>
                <w:color w:val="000000"/>
                <w:sz w:val="12"/>
                <w:szCs w:val="12"/>
              </w:rPr>
              <w:t xml:space="preserve">41.983.779.551 </w:t>
            </w:r>
          </w:p>
        </w:tc>
        <w:tc>
          <w:tcPr>
            <w:tcW w:w="890" w:type="dxa"/>
            <w:tcBorders>
              <w:top w:val="single" w:sz="4" w:space="0" w:color="A6A6A6" w:themeColor="background1" w:themeShade="A6"/>
              <w:left w:val="nil"/>
              <w:bottom w:val="single" w:sz="4" w:space="0" w:color="A6A6A6" w:themeColor="background1" w:themeShade="A6"/>
              <w:right w:val="single" w:sz="4" w:space="0" w:color="A6A6A6" w:themeColor="background1" w:themeShade="A6"/>
            </w:tcBorders>
            <w:noWrap/>
            <w:vAlign w:val="center"/>
            <w:hideMark/>
          </w:tcPr>
          <w:p w14:paraId="7CAF58D2" w14:textId="77777777" w:rsidR="005E64D9" w:rsidRPr="00951AB1" w:rsidRDefault="005E64D9" w:rsidP="000A5389">
            <w:pPr>
              <w:spacing w:line="240" w:lineRule="auto"/>
              <w:jc w:val="right"/>
              <w:rPr>
                <w:rFonts w:eastAsia="Times New Roman" w:cs="Times New Roman"/>
                <w:b/>
                <w:bCs/>
                <w:color w:val="000000"/>
                <w:sz w:val="12"/>
                <w:szCs w:val="12"/>
                <w:lang w:eastAsia="es-CO"/>
              </w:rPr>
            </w:pPr>
            <w:r w:rsidRPr="00951AB1">
              <w:rPr>
                <w:rFonts w:cs="Times New Roman"/>
                <w:b/>
                <w:bCs/>
                <w:color w:val="000000"/>
                <w:sz w:val="12"/>
                <w:szCs w:val="12"/>
              </w:rPr>
              <w:t xml:space="preserve">64.901.164.255 </w:t>
            </w:r>
          </w:p>
        </w:tc>
        <w:tc>
          <w:tcPr>
            <w:tcW w:w="950" w:type="dxa"/>
            <w:tcBorders>
              <w:top w:val="single" w:sz="4" w:space="0" w:color="A6A6A6" w:themeColor="background1" w:themeShade="A6"/>
              <w:left w:val="nil"/>
              <w:bottom w:val="single" w:sz="4" w:space="0" w:color="A6A6A6" w:themeColor="background1" w:themeShade="A6"/>
              <w:right w:val="single" w:sz="4" w:space="0" w:color="A6A6A6" w:themeColor="background1" w:themeShade="A6"/>
            </w:tcBorders>
            <w:noWrap/>
            <w:vAlign w:val="center"/>
            <w:hideMark/>
          </w:tcPr>
          <w:p w14:paraId="6DEF6998" w14:textId="77777777" w:rsidR="005E64D9" w:rsidRPr="00951AB1" w:rsidRDefault="005E64D9" w:rsidP="000A5389">
            <w:pPr>
              <w:spacing w:line="240" w:lineRule="auto"/>
              <w:jc w:val="center"/>
              <w:rPr>
                <w:rFonts w:eastAsia="Times New Roman" w:cs="Times New Roman"/>
                <w:b/>
                <w:bCs/>
                <w:color w:val="000000"/>
                <w:sz w:val="12"/>
                <w:szCs w:val="12"/>
                <w:lang w:eastAsia="es-CO"/>
              </w:rPr>
            </w:pPr>
            <w:r w:rsidRPr="00951AB1">
              <w:rPr>
                <w:rFonts w:cs="Times New Roman"/>
                <w:b/>
                <w:bCs/>
                <w:color w:val="000000"/>
                <w:sz w:val="12"/>
                <w:szCs w:val="12"/>
              </w:rPr>
              <w:t xml:space="preserve">106.884.943.806 </w:t>
            </w:r>
          </w:p>
        </w:tc>
        <w:tc>
          <w:tcPr>
            <w:tcW w:w="890" w:type="dxa"/>
            <w:tcBorders>
              <w:top w:val="single" w:sz="4" w:space="0" w:color="A6A6A6" w:themeColor="background1" w:themeShade="A6"/>
              <w:left w:val="nil"/>
              <w:bottom w:val="single" w:sz="4" w:space="0" w:color="A6A6A6" w:themeColor="background1" w:themeShade="A6"/>
              <w:right w:val="single" w:sz="4" w:space="0" w:color="A6A6A6" w:themeColor="background1" w:themeShade="A6"/>
            </w:tcBorders>
            <w:noWrap/>
            <w:vAlign w:val="center"/>
            <w:hideMark/>
          </w:tcPr>
          <w:p w14:paraId="14B2EF6C" w14:textId="77777777" w:rsidR="005E64D9" w:rsidRPr="00951AB1" w:rsidRDefault="005E64D9" w:rsidP="000A5389">
            <w:pPr>
              <w:spacing w:line="240" w:lineRule="auto"/>
              <w:jc w:val="right"/>
              <w:rPr>
                <w:rFonts w:eastAsia="Times New Roman" w:cs="Times New Roman"/>
                <w:b/>
                <w:bCs/>
                <w:color w:val="000000"/>
                <w:sz w:val="12"/>
                <w:szCs w:val="12"/>
                <w:lang w:eastAsia="es-CO"/>
              </w:rPr>
            </w:pPr>
            <w:r w:rsidRPr="00951AB1">
              <w:rPr>
                <w:rFonts w:cs="Times New Roman"/>
                <w:b/>
                <w:bCs/>
                <w:color w:val="000000"/>
                <w:sz w:val="12"/>
                <w:szCs w:val="12"/>
              </w:rPr>
              <w:t xml:space="preserve">23.821.743.076 </w:t>
            </w:r>
          </w:p>
        </w:tc>
        <w:tc>
          <w:tcPr>
            <w:tcW w:w="1156" w:type="dxa"/>
            <w:tcBorders>
              <w:top w:val="single" w:sz="4" w:space="0" w:color="A6A6A6" w:themeColor="background1" w:themeShade="A6"/>
              <w:left w:val="nil"/>
              <w:bottom w:val="single" w:sz="4" w:space="0" w:color="A6A6A6" w:themeColor="background1" w:themeShade="A6"/>
              <w:right w:val="single" w:sz="4" w:space="0" w:color="A6A6A6" w:themeColor="background1" w:themeShade="A6"/>
            </w:tcBorders>
            <w:noWrap/>
            <w:vAlign w:val="center"/>
            <w:hideMark/>
          </w:tcPr>
          <w:p w14:paraId="2F97B7CF" w14:textId="77777777" w:rsidR="005E64D9" w:rsidRPr="00951AB1" w:rsidRDefault="005E64D9" w:rsidP="000A5389">
            <w:pPr>
              <w:spacing w:line="240" w:lineRule="auto"/>
              <w:jc w:val="right"/>
              <w:rPr>
                <w:rFonts w:eastAsia="Times New Roman" w:cs="Times New Roman"/>
                <w:b/>
                <w:bCs/>
                <w:color w:val="000000"/>
                <w:sz w:val="12"/>
                <w:szCs w:val="12"/>
                <w:lang w:eastAsia="es-CO"/>
              </w:rPr>
            </w:pPr>
            <w:r w:rsidRPr="00951AB1">
              <w:rPr>
                <w:rFonts w:cs="Times New Roman"/>
                <w:b/>
                <w:bCs/>
                <w:color w:val="000000"/>
                <w:sz w:val="12"/>
                <w:szCs w:val="12"/>
              </w:rPr>
              <w:t xml:space="preserve">31.514.519.419 </w:t>
            </w:r>
          </w:p>
        </w:tc>
        <w:tc>
          <w:tcPr>
            <w:tcW w:w="740" w:type="dxa"/>
            <w:tcBorders>
              <w:top w:val="single" w:sz="4" w:space="0" w:color="A6A6A6" w:themeColor="background1" w:themeShade="A6"/>
              <w:left w:val="nil"/>
              <w:bottom w:val="single" w:sz="4" w:space="0" w:color="A6A6A6" w:themeColor="background1" w:themeShade="A6"/>
              <w:right w:val="single" w:sz="4" w:space="0" w:color="A6A6A6" w:themeColor="background1" w:themeShade="A6"/>
            </w:tcBorders>
            <w:noWrap/>
            <w:vAlign w:val="center"/>
            <w:hideMark/>
          </w:tcPr>
          <w:p w14:paraId="6A73552A" w14:textId="77777777" w:rsidR="005E64D9" w:rsidRPr="00951AB1" w:rsidRDefault="005E64D9" w:rsidP="000A5389">
            <w:pPr>
              <w:spacing w:line="240" w:lineRule="auto"/>
              <w:jc w:val="right"/>
              <w:rPr>
                <w:rFonts w:eastAsia="Times New Roman" w:cs="Times New Roman"/>
                <w:b/>
                <w:bCs/>
                <w:color w:val="000000"/>
                <w:sz w:val="12"/>
                <w:szCs w:val="12"/>
                <w:lang w:eastAsia="es-CO"/>
              </w:rPr>
            </w:pPr>
            <w:r w:rsidRPr="00951AB1">
              <w:rPr>
                <w:rFonts w:cs="Times New Roman"/>
                <w:b/>
                <w:bCs/>
                <w:color w:val="000000"/>
                <w:sz w:val="12"/>
                <w:szCs w:val="12"/>
              </w:rPr>
              <w:t xml:space="preserve">206.907.949 </w:t>
            </w:r>
          </w:p>
        </w:tc>
        <w:tc>
          <w:tcPr>
            <w:tcW w:w="890" w:type="dxa"/>
            <w:tcBorders>
              <w:top w:val="single" w:sz="4" w:space="0" w:color="A6A6A6" w:themeColor="background1" w:themeShade="A6"/>
              <w:left w:val="nil"/>
              <w:bottom w:val="single" w:sz="4" w:space="0" w:color="A6A6A6" w:themeColor="background1" w:themeShade="A6"/>
              <w:right w:val="single" w:sz="4" w:space="0" w:color="A6A6A6" w:themeColor="background1" w:themeShade="A6"/>
            </w:tcBorders>
            <w:noWrap/>
            <w:vAlign w:val="center"/>
            <w:hideMark/>
          </w:tcPr>
          <w:p w14:paraId="65972BB5" w14:textId="77777777" w:rsidR="005E64D9" w:rsidRPr="00951AB1" w:rsidRDefault="005E64D9" w:rsidP="000A5389">
            <w:pPr>
              <w:spacing w:line="240" w:lineRule="auto"/>
              <w:jc w:val="right"/>
              <w:rPr>
                <w:rFonts w:eastAsia="Times New Roman" w:cs="Times New Roman"/>
                <w:b/>
                <w:bCs/>
                <w:color w:val="000000"/>
                <w:sz w:val="12"/>
                <w:szCs w:val="12"/>
                <w:lang w:eastAsia="es-CO"/>
              </w:rPr>
            </w:pPr>
            <w:r w:rsidRPr="00951AB1">
              <w:rPr>
                <w:rFonts w:cs="Times New Roman"/>
                <w:b/>
                <w:bCs/>
                <w:color w:val="000000"/>
                <w:sz w:val="12"/>
                <w:szCs w:val="12"/>
              </w:rPr>
              <w:t xml:space="preserve">55.129.354.546 </w:t>
            </w:r>
          </w:p>
        </w:tc>
        <w:tc>
          <w:tcPr>
            <w:tcW w:w="350" w:type="dxa"/>
            <w:tcBorders>
              <w:top w:val="single" w:sz="4" w:space="0" w:color="A6A6A6" w:themeColor="background1" w:themeShade="A6"/>
              <w:left w:val="nil"/>
              <w:bottom w:val="single" w:sz="4" w:space="0" w:color="A6A6A6" w:themeColor="background1" w:themeShade="A6"/>
              <w:right w:val="single" w:sz="4" w:space="0" w:color="A6A6A6" w:themeColor="background1" w:themeShade="A6"/>
            </w:tcBorders>
            <w:noWrap/>
            <w:vAlign w:val="center"/>
            <w:hideMark/>
          </w:tcPr>
          <w:p w14:paraId="7374BDD4" w14:textId="77777777" w:rsidR="005E64D9" w:rsidRPr="00951AB1" w:rsidRDefault="005E64D9" w:rsidP="000A5389">
            <w:pPr>
              <w:spacing w:line="240" w:lineRule="auto"/>
              <w:jc w:val="center"/>
              <w:rPr>
                <w:rFonts w:eastAsia="Times New Roman" w:cs="Times New Roman"/>
                <w:b/>
                <w:bCs/>
                <w:color w:val="000000"/>
                <w:sz w:val="12"/>
                <w:szCs w:val="12"/>
                <w:lang w:eastAsia="es-CO"/>
              </w:rPr>
            </w:pPr>
            <w:r w:rsidRPr="00951AB1">
              <w:rPr>
                <w:rFonts w:cs="Times New Roman"/>
                <w:b/>
                <w:bCs/>
                <w:color w:val="000000"/>
                <w:sz w:val="12"/>
                <w:szCs w:val="12"/>
              </w:rPr>
              <w:t xml:space="preserve">51,6 </w:t>
            </w:r>
          </w:p>
        </w:tc>
        <w:tc>
          <w:tcPr>
            <w:tcW w:w="890" w:type="dxa"/>
            <w:tcBorders>
              <w:top w:val="single" w:sz="4" w:space="0" w:color="A6A6A6" w:themeColor="background1" w:themeShade="A6"/>
              <w:left w:val="nil"/>
              <w:bottom w:val="single" w:sz="4" w:space="0" w:color="A6A6A6" w:themeColor="background1" w:themeShade="A6"/>
              <w:right w:val="single" w:sz="4" w:space="0" w:color="A6A6A6" w:themeColor="background1" w:themeShade="A6"/>
            </w:tcBorders>
            <w:noWrap/>
            <w:vAlign w:val="center"/>
            <w:hideMark/>
          </w:tcPr>
          <w:p w14:paraId="60A3709D" w14:textId="77777777" w:rsidR="005E64D9" w:rsidRPr="00951AB1" w:rsidRDefault="005E64D9" w:rsidP="000A5389">
            <w:pPr>
              <w:spacing w:line="240" w:lineRule="auto"/>
              <w:jc w:val="right"/>
              <w:rPr>
                <w:rFonts w:eastAsia="Times New Roman" w:cs="Times New Roman"/>
                <w:b/>
                <w:bCs/>
                <w:color w:val="000000"/>
                <w:sz w:val="12"/>
                <w:szCs w:val="12"/>
                <w:lang w:eastAsia="es-CO"/>
              </w:rPr>
            </w:pPr>
            <w:r w:rsidRPr="00951AB1">
              <w:rPr>
                <w:rFonts w:cs="Times New Roman"/>
                <w:b/>
                <w:bCs/>
                <w:color w:val="000000"/>
                <w:sz w:val="12"/>
                <w:szCs w:val="12"/>
              </w:rPr>
              <w:t xml:space="preserve">51.755.589.260 </w:t>
            </w:r>
          </w:p>
        </w:tc>
      </w:tr>
      <w:tr w:rsidR="00B7619C" w:rsidRPr="00951AB1" w14:paraId="4CB17B19" w14:textId="77777777" w:rsidTr="00FE1E23">
        <w:trPr>
          <w:trHeight w:val="239"/>
          <w:tblHeader/>
        </w:trPr>
        <w:tc>
          <w:tcPr>
            <w:tcW w:w="1247"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hideMark/>
          </w:tcPr>
          <w:p w14:paraId="7B1D8B36" w14:textId="77777777" w:rsidR="005E64D9" w:rsidRPr="00951AB1" w:rsidRDefault="005E64D9" w:rsidP="000A5389">
            <w:pPr>
              <w:spacing w:line="240" w:lineRule="auto"/>
              <w:rPr>
                <w:rFonts w:eastAsia="Times New Roman" w:cs="Times New Roman"/>
                <w:color w:val="000000"/>
                <w:sz w:val="12"/>
                <w:szCs w:val="12"/>
                <w:lang w:eastAsia="es-CO"/>
              </w:rPr>
            </w:pPr>
            <w:r w:rsidRPr="00951AB1">
              <w:rPr>
                <w:rFonts w:eastAsia="Times New Roman" w:cs="Times New Roman"/>
                <w:sz w:val="12"/>
                <w:szCs w:val="12"/>
                <w:lang w:eastAsia="es-CO"/>
              </w:rPr>
              <w:t>Multas</w:t>
            </w:r>
          </w:p>
        </w:tc>
        <w:tc>
          <w:tcPr>
            <w:tcW w:w="890" w:type="dxa"/>
            <w:tcBorders>
              <w:top w:val="single" w:sz="4" w:space="0" w:color="A6A6A6" w:themeColor="background1" w:themeShade="A6"/>
              <w:left w:val="nil"/>
              <w:bottom w:val="single" w:sz="4" w:space="0" w:color="A6A6A6" w:themeColor="background1" w:themeShade="A6"/>
              <w:right w:val="single" w:sz="4" w:space="0" w:color="A6A6A6" w:themeColor="background1" w:themeShade="A6"/>
            </w:tcBorders>
            <w:noWrap/>
            <w:vAlign w:val="center"/>
            <w:hideMark/>
          </w:tcPr>
          <w:p w14:paraId="37729339" w14:textId="77777777" w:rsidR="005E64D9" w:rsidRPr="00951AB1" w:rsidRDefault="005E64D9" w:rsidP="000A5389">
            <w:pPr>
              <w:spacing w:line="240" w:lineRule="auto"/>
              <w:jc w:val="right"/>
              <w:rPr>
                <w:rFonts w:eastAsia="Times New Roman" w:cs="Times New Roman"/>
                <w:color w:val="000000"/>
                <w:sz w:val="12"/>
                <w:szCs w:val="12"/>
                <w:lang w:eastAsia="es-CO"/>
              </w:rPr>
            </w:pPr>
            <w:r w:rsidRPr="00951AB1">
              <w:rPr>
                <w:rFonts w:cs="Times New Roman"/>
                <w:color w:val="000000"/>
                <w:sz w:val="12"/>
                <w:szCs w:val="12"/>
              </w:rPr>
              <w:t xml:space="preserve">4.565.079.678 </w:t>
            </w:r>
          </w:p>
        </w:tc>
        <w:tc>
          <w:tcPr>
            <w:tcW w:w="890" w:type="dxa"/>
            <w:tcBorders>
              <w:top w:val="single" w:sz="4" w:space="0" w:color="A6A6A6" w:themeColor="background1" w:themeShade="A6"/>
              <w:left w:val="nil"/>
              <w:bottom w:val="single" w:sz="4" w:space="0" w:color="A6A6A6" w:themeColor="background1" w:themeShade="A6"/>
              <w:right w:val="single" w:sz="4" w:space="0" w:color="A6A6A6" w:themeColor="background1" w:themeShade="A6"/>
            </w:tcBorders>
            <w:noWrap/>
            <w:vAlign w:val="center"/>
            <w:hideMark/>
          </w:tcPr>
          <w:p w14:paraId="4186CE3E" w14:textId="77777777" w:rsidR="005E64D9" w:rsidRPr="00951AB1" w:rsidRDefault="005E64D9" w:rsidP="000A5389">
            <w:pPr>
              <w:spacing w:line="240" w:lineRule="auto"/>
              <w:jc w:val="right"/>
              <w:rPr>
                <w:rFonts w:eastAsia="Times New Roman" w:cs="Times New Roman"/>
                <w:color w:val="000000"/>
                <w:sz w:val="12"/>
                <w:szCs w:val="12"/>
                <w:lang w:eastAsia="es-CO"/>
              </w:rPr>
            </w:pPr>
            <w:r w:rsidRPr="00951AB1">
              <w:rPr>
                <w:rFonts w:cs="Times New Roman"/>
                <w:color w:val="000000"/>
                <w:sz w:val="12"/>
                <w:szCs w:val="12"/>
              </w:rPr>
              <w:t xml:space="preserve">64.901.164.255 </w:t>
            </w:r>
          </w:p>
        </w:tc>
        <w:tc>
          <w:tcPr>
            <w:tcW w:w="950" w:type="dxa"/>
            <w:tcBorders>
              <w:top w:val="single" w:sz="4" w:space="0" w:color="A6A6A6" w:themeColor="background1" w:themeShade="A6"/>
              <w:left w:val="nil"/>
              <w:bottom w:val="single" w:sz="4" w:space="0" w:color="A6A6A6" w:themeColor="background1" w:themeShade="A6"/>
              <w:right w:val="single" w:sz="4" w:space="0" w:color="A6A6A6" w:themeColor="background1" w:themeShade="A6"/>
            </w:tcBorders>
            <w:noWrap/>
            <w:vAlign w:val="center"/>
            <w:hideMark/>
          </w:tcPr>
          <w:p w14:paraId="6BA306E0" w14:textId="77777777" w:rsidR="005E64D9" w:rsidRPr="00951AB1" w:rsidRDefault="005E64D9" w:rsidP="000A5389">
            <w:pPr>
              <w:spacing w:line="240" w:lineRule="auto"/>
              <w:jc w:val="right"/>
              <w:rPr>
                <w:rFonts w:eastAsia="Times New Roman" w:cs="Times New Roman"/>
                <w:color w:val="000000"/>
                <w:sz w:val="12"/>
                <w:szCs w:val="12"/>
                <w:lang w:eastAsia="es-CO"/>
              </w:rPr>
            </w:pPr>
            <w:r w:rsidRPr="00951AB1">
              <w:rPr>
                <w:rFonts w:cs="Times New Roman"/>
                <w:color w:val="000000"/>
                <w:sz w:val="12"/>
                <w:szCs w:val="12"/>
              </w:rPr>
              <w:t xml:space="preserve">69.466.243.933 </w:t>
            </w:r>
          </w:p>
        </w:tc>
        <w:tc>
          <w:tcPr>
            <w:tcW w:w="890" w:type="dxa"/>
            <w:tcBorders>
              <w:top w:val="single" w:sz="4" w:space="0" w:color="A6A6A6" w:themeColor="background1" w:themeShade="A6"/>
              <w:left w:val="nil"/>
              <w:bottom w:val="single" w:sz="4" w:space="0" w:color="A6A6A6" w:themeColor="background1" w:themeShade="A6"/>
              <w:right w:val="single" w:sz="4" w:space="0" w:color="A6A6A6" w:themeColor="background1" w:themeShade="A6"/>
            </w:tcBorders>
            <w:noWrap/>
            <w:vAlign w:val="center"/>
            <w:hideMark/>
          </w:tcPr>
          <w:p w14:paraId="684B9DDC" w14:textId="77777777" w:rsidR="005E64D9" w:rsidRPr="00951AB1" w:rsidRDefault="005E64D9" w:rsidP="000A5389">
            <w:pPr>
              <w:spacing w:line="240" w:lineRule="auto"/>
              <w:jc w:val="right"/>
              <w:rPr>
                <w:rFonts w:eastAsia="Times New Roman" w:cs="Times New Roman"/>
                <w:color w:val="000000"/>
                <w:sz w:val="12"/>
                <w:szCs w:val="12"/>
                <w:lang w:eastAsia="es-CO"/>
              </w:rPr>
            </w:pPr>
            <w:r w:rsidRPr="00951AB1">
              <w:rPr>
                <w:rFonts w:cs="Times New Roman"/>
                <w:color w:val="000000"/>
                <w:sz w:val="12"/>
                <w:szCs w:val="12"/>
              </w:rPr>
              <w:t xml:space="preserve">23.821.743.076 </w:t>
            </w:r>
          </w:p>
        </w:tc>
        <w:tc>
          <w:tcPr>
            <w:tcW w:w="1156" w:type="dxa"/>
            <w:tcBorders>
              <w:top w:val="single" w:sz="4" w:space="0" w:color="A6A6A6" w:themeColor="background1" w:themeShade="A6"/>
              <w:left w:val="nil"/>
              <w:bottom w:val="single" w:sz="4" w:space="0" w:color="A6A6A6" w:themeColor="background1" w:themeShade="A6"/>
              <w:right w:val="single" w:sz="4" w:space="0" w:color="A6A6A6" w:themeColor="background1" w:themeShade="A6"/>
            </w:tcBorders>
            <w:noWrap/>
            <w:vAlign w:val="center"/>
            <w:hideMark/>
          </w:tcPr>
          <w:p w14:paraId="37F3DCB6" w14:textId="77777777" w:rsidR="005E64D9" w:rsidRPr="00951AB1" w:rsidRDefault="005E64D9" w:rsidP="000A5389">
            <w:pPr>
              <w:spacing w:line="240" w:lineRule="auto"/>
              <w:jc w:val="right"/>
              <w:rPr>
                <w:rFonts w:eastAsia="Times New Roman" w:cs="Times New Roman"/>
                <w:color w:val="000000"/>
                <w:sz w:val="12"/>
                <w:szCs w:val="12"/>
                <w:lang w:eastAsia="es-CO"/>
              </w:rPr>
            </w:pPr>
            <w:r w:rsidRPr="00951AB1">
              <w:rPr>
                <w:rFonts w:cs="Times New Roman"/>
                <w:color w:val="000000"/>
                <w:sz w:val="12"/>
                <w:szCs w:val="12"/>
              </w:rPr>
              <w:t xml:space="preserve">31.514.519.419 </w:t>
            </w:r>
          </w:p>
        </w:tc>
        <w:tc>
          <w:tcPr>
            <w:tcW w:w="740" w:type="dxa"/>
            <w:tcBorders>
              <w:top w:val="single" w:sz="4" w:space="0" w:color="A6A6A6" w:themeColor="background1" w:themeShade="A6"/>
              <w:left w:val="nil"/>
              <w:bottom w:val="single" w:sz="4" w:space="0" w:color="A6A6A6" w:themeColor="background1" w:themeShade="A6"/>
              <w:right w:val="single" w:sz="4" w:space="0" w:color="A6A6A6" w:themeColor="background1" w:themeShade="A6"/>
            </w:tcBorders>
            <w:noWrap/>
            <w:vAlign w:val="center"/>
            <w:hideMark/>
          </w:tcPr>
          <w:p w14:paraId="2166F927" w14:textId="77777777" w:rsidR="005E64D9" w:rsidRPr="00951AB1" w:rsidRDefault="005E64D9" w:rsidP="000A5389">
            <w:pPr>
              <w:spacing w:line="240" w:lineRule="auto"/>
              <w:jc w:val="right"/>
              <w:rPr>
                <w:rFonts w:eastAsia="Times New Roman" w:cs="Times New Roman"/>
                <w:color w:val="000000"/>
                <w:sz w:val="12"/>
                <w:szCs w:val="12"/>
                <w:lang w:eastAsia="es-CO"/>
              </w:rPr>
            </w:pPr>
            <w:r w:rsidRPr="00951AB1">
              <w:rPr>
                <w:rFonts w:cs="Times New Roman"/>
                <w:color w:val="000000"/>
                <w:sz w:val="12"/>
                <w:szCs w:val="12"/>
              </w:rPr>
              <w:t xml:space="preserve">206.907.949 </w:t>
            </w:r>
          </w:p>
        </w:tc>
        <w:tc>
          <w:tcPr>
            <w:tcW w:w="890" w:type="dxa"/>
            <w:tcBorders>
              <w:top w:val="single" w:sz="4" w:space="0" w:color="A6A6A6" w:themeColor="background1" w:themeShade="A6"/>
              <w:left w:val="nil"/>
              <w:bottom w:val="single" w:sz="4" w:space="0" w:color="A6A6A6" w:themeColor="background1" w:themeShade="A6"/>
              <w:right w:val="single" w:sz="4" w:space="0" w:color="A6A6A6" w:themeColor="background1" w:themeShade="A6"/>
            </w:tcBorders>
            <w:noWrap/>
            <w:vAlign w:val="center"/>
            <w:hideMark/>
          </w:tcPr>
          <w:p w14:paraId="06710824" w14:textId="77777777" w:rsidR="005E64D9" w:rsidRPr="00951AB1" w:rsidRDefault="005E64D9" w:rsidP="000A5389">
            <w:pPr>
              <w:spacing w:line="240" w:lineRule="auto"/>
              <w:jc w:val="right"/>
              <w:rPr>
                <w:rFonts w:eastAsia="Times New Roman" w:cs="Times New Roman"/>
                <w:color w:val="000000"/>
                <w:sz w:val="12"/>
                <w:szCs w:val="12"/>
                <w:lang w:eastAsia="es-CO"/>
              </w:rPr>
            </w:pPr>
            <w:r w:rsidRPr="00951AB1">
              <w:rPr>
                <w:rFonts w:cs="Times New Roman"/>
                <w:color w:val="000000"/>
                <w:sz w:val="12"/>
                <w:szCs w:val="12"/>
              </w:rPr>
              <w:t xml:space="preserve">55.129.354.546 </w:t>
            </w:r>
          </w:p>
        </w:tc>
        <w:tc>
          <w:tcPr>
            <w:tcW w:w="350" w:type="dxa"/>
            <w:tcBorders>
              <w:top w:val="single" w:sz="4" w:space="0" w:color="A6A6A6" w:themeColor="background1" w:themeShade="A6"/>
              <w:left w:val="nil"/>
              <w:bottom w:val="single" w:sz="4" w:space="0" w:color="A6A6A6" w:themeColor="background1" w:themeShade="A6"/>
              <w:right w:val="single" w:sz="4" w:space="0" w:color="A6A6A6" w:themeColor="background1" w:themeShade="A6"/>
            </w:tcBorders>
            <w:noWrap/>
            <w:vAlign w:val="center"/>
            <w:hideMark/>
          </w:tcPr>
          <w:p w14:paraId="3951FEAE" w14:textId="77777777" w:rsidR="005E64D9" w:rsidRPr="00951AB1" w:rsidRDefault="005E64D9" w:rsidP="000A5389">
            <w:pPr>
              <w:spacing w:line="240" w:lineRule="auto"/>
              <w:jc w:val="center"/>
              <w:rPr>
                <w:rFonts w:eastAsia="Times New Roman" w:cs="Times New Roman"/>
                <w:color w:val="000000"/>
                <w:sz w:val="12"/>
                <w:szCs w:val="12"/>
                <w:lang w:eastAsia="es-CO"/>
              </w:rPr>
            </w:pPr>
            <w:r w:rsidRPr="00951AB1">
              <w:rPr>
                <w:rFonts w:cs="Times New Roman"/>
                <w:color w:val="000000"/>
                <w:sz w:val="12"/>
                <w:szCs w:val="12"/>
              </w:rPr>
              <w:t xml:space="preserve">79,4 </w:t>
            </w:r>
          </w:p>
        </w:tc>
        <w:tc>
          <w:tcPr>
            <w:tcW w:w="890" w:type="dxa"/>
            <w:tcBorders>
              <w:top w:val="single" w:sz="4" w:space="0" w:color="A6A6A6" w:themeColor="background1" w:themeShade="A6"/>
              <w:left w:val="nil"/>
              <w:bottom w:val="single" w:sz="4" w:space="0" w:color="A6A6A6" w:themeColor="background1" w:themeShade="A6"/>
              <w:right w:val="single" w:sz="4" w:space="0" w:color="A6A6A6" w:themeColor="background1" w:themeShade="A6"/>
            </w:tcBorders>
            <w:noWrap/>
            <w:vAlign w:val="center"/>
            <w:hideMark/>
          </w:tcPr>
          <w:p w14:paraId="19A43C7E" w14:textId="77777777" w:rsidR="005E64D9" w:rsidRPr="00951AB1" w:rsidRDefault="005E64D9" w:rsidP="000A5389">
            <w:pPr>
              <w:spacing w:line="240" w:lineRule="auto"/>
              <w:jc w:val="right"/>
              <w:rPr>
                <w:rFonts w:eastAsia="Times New Roman" w:cs="Times New Roman"/>
                <w:color w:val="000000"/>
                <w:sz w:val="12"/>
                <w:szCs w:val="12"/>
                <w:lang w:eastAsia="es-CO"/>
              </w:rPr>
            </w:pPr>
            <w:r w:rsidRPr="00951AB1">
              <w:rPr>
                <w:rFonts w:cs="Times New Roman"/>
                <w:color w:val="000000"/>
                <w:sz w:val="12"/>
                <w:szCs w:val="12"/>
              </w:rPr>
              <w:t xml:space="preserve">14.336.889.387 </w:t>
            </w:r>
          </w:p>
        </w:tc>
      </w:tr>
      <w:tr w:rsidR="00B7619C" w:rsidRPr="00951AB1" w14:paraId="0C0F4122" w14:textId="77777777" w:rsidTr="00FE1E23">
        <w:trPr>
          <w:trHeight w:val="616"/>
          <w:tblHeader/>
        </w:trPr>
        <w:tc>
          <w:tcPr>
            <w:tcW w:w="1247"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4FCC594E" w14:textId="77777777" w:rsidR="005E64D9" w:rsidRPr="00951AB1" w:rsidRDefault="005E64D9" w:rsidP="000A5389">
            <w:pPr>
              <w:spacing w:line="240" w:lineRule="auto"/>
              <w:rPr>
                <w:rFonts w:eastAsia="Times New Roman" w:cs="Times New Roman"/>
                <w:sz w:val="12"/>
                <w:szCs w:val="12"/>
                <w:lang w:eastAsia="es-CO"/>
              </w:rPr>
            </w:pPr>
            <w:r w:rsidRPr="00951AB1">
              <w:rPr>
                <w:rFonts w:eastAsia="Times New Roman" w:cs="Times New Roman"/>
                <w:sz w:val="12"/>
                <w:szCs w:val="12"/>
                <w:lang w:eastAsia="es-CO"/>
              </w:rPr>
              <w:t>Derechos de explotación no relacionados con la infraestructura de transporte</w:t>
            </w:r>
          </w:p>
        </w:tc>
        <w:tc>
          <w:tcPr>
            <w:tcW w:w="890" w:type="dxa"/>
            <w:tcBorders>
              <w:top w:val="single" w:sz="4" w:space="0" w:color="A6A6A6" w:themeColor="background1" w:themeShade="A6"/>
              <w:left w:val="nil"/>
              <w:bottom w:val="single" w:sz="4" w:space="0" w:color="A6A6A6" w:themeColor="background1" w:themeShade="A6"/>
              <w:right w:val="single" w:sz="4" w:space="0" w:color="A6A6A6" w:themeColor="background1" w:themeShade="A6"/>
            </w:tcBorders>
            <w:noWrap/>
            <w:vAlign w:val="center"/>
          </w:tcPr>
          <w:p w14:paraId="6D8ADC66" w14:textId="77777777" w:rsidR="005E64D9" w:rsidRPr="00951AB1" w:rsidRDefault="005E64D9" w:rsidP="000A5389">
            <w:pPr>
              <w:spacing w:line="240" w:lineRule="auto"/>
              <w:jc w:val="right"/>
              <w:rPr>
                <w:rFonts w:cs="Times New Roman"/>
                <w:color w:val="000000"/>
                <w:sz w:val="12"/>
                <w:szCs w:val="12"/>
              </w:rPr>
            </w:pPr>
            <w:r w:rsidRPr="00951AB1">
              <w:rPr>
                <w:rFonts w:cs="Times New Roman"/>
                <w:color w:val="000000"/>
                <w:sz w:val="12"/>
                <w:szCs w:val="12"/>
              </w:rPr>
              <w:t xml:space="preserve">21.515.441.370 </w:t>
            </w:r>
          </w:p>
        </w:tc>
        <w:tc>
          <w:tcPr>
            <w:tcW w:w="890" w:type="dxa"/>
            <w:tcBorders>
              <w:top w:val="single" w:sz="4" w:space="0" w:color="A6A6A6" w:themeColor="background1" w:themeShade="A6"/>
              <w:left w:val="nil"/>
              <w:bottom w:val="single" w:sz="4" w:space="0" w:color="A6A6A6" w:themeColor="background1" w:themeShade="A6"/>
              <w:right w:val="single" w:sz="4" w:space="0" w:color="A6A6A6" w:themeColor="background1" w:themeShade="A6"/>
            </w:tcBorders>
            <w:noWrap/>
            <w:vAlign w:val="center"/>
          </w:tcPr>
          <w:p w14:paraId="033637CF" w14:textId="77777777" w:rsidR="005E64D9" w:rsidRPr="00951AB1" w:rsidRDefault="005E64D9" w:rsidP="000A5389">
            <w:pPr>
              <w:spacing w:line="240" w:lineRule="auto"/>
              <w:jc w:val="right"/>
              <w:rPr>
                <w:rFonts w:cs="Times New Roman"/>
                <w:color w:val="000000"/>
                <w:sz w:val="12"/>
                <w:szCs w:val="12"/>
              </w:rPr>
            </w:pPr>
            <w:r w:rsidRPr="00951AB1">
              <w:rPr>
                <w:rFonts w:cs="Times New Roman"/>
                <w:color w:val="000000"/>
                <w:sz w:val="12"/>
                <w:szCs w:val="12"/>
              </w:rPr>
              <w:t xml:space="preserve">0 </w:t>
            </w:r>
          </w:p>
        </w:tc>
        <w:tc>
          <w:tcPr>
            <w:tcW w:w="950" w:type="dxa"/>
            <w:tcBorders>
              <w:top w:val="single" w:sz="4" w:space="0" w:color="A6A6A6" w:themeColor="background1" w:themeShade="A6"/>
              <w:left w:val="nil"/>
              <w:bottom w:val="single" w:sz="4" w:space="0" w:color="A6A6A6" w:themeColor="background1" w:themeShade="A6"/>
              <w:right w:val="single" w:sz="4" w:space="0" w:color="A6A6A6" w:themeColor="background1" w:themeShade="A6"/>
            </w:tcBorders>
            <w:noWrap/>
            <w:vAlign w:val="center"/>
          </w:tcPr>
          <w:p w14:paraId="5207B253" w14:textId="77777777" w:rsidR="005E64D9" w:rsidRPr="00951AB1" w:rsidRDefault="005E64D9" w:rsidP="000A5389">
            <w:pPr>
              <w:spacing w:line="240" w:lineRule="auto"/>
              <w:jc w:val="right"/>
              <w:rPr>
                <w:rFonts w:cs="Times New Roman"/>
                <w:color w:val="000000"/>
                <w:sz w:val="12"/>
                <w:szCs w:val="12"/>
              </w:rPr>
            </w:pPr>
            <w:r w:rsidRPr="00951AB1">
              <w:rPr>
                <w:rFonts w:cs="Times New Roman"/>
                <w:color w:val="000000"/>
                <w:sz w:val="12"/>
                <w:szCs w:val="12"/>
              </w:rPr>
              <w:t xml:space="preserve">21.515.441.370 </w:t>
            </w:r>
          </w:p>
        </w:tc>
        <w:tc>
          <w:tcPr>
            <w:tcW w:w="890" w:type="dxa"/>
            <w:tcBorders>
              <w:top w:val="single" w:sz="4" w:space="0" w:color="A6A6A6" w:themeColor="background1" w:themeShade="A6"/>
              <w:left w:val="nil"/>
              <w:bottom w:val="single" w:sz="4" w:space="0" w:color="A6A6A6" w:themeColor="background1" w:themeShade="A6"/>
              <w:right w:val="single" w:sz="4" w:space="0" w:color="A6A6A6" w:themeColor="background1" w:themeShade="A6"/>
            </w:tcBorders>
            <w:noWrap/>
            <w:vAlign w:val="center"/>
          </w:tcPr>
          <w:p w14:paraId="0C5107DA" w14:textId="77777777" w:rsidR="005E64D9" w:rsidRPr="00951AB1" w:rsidRDefault="005E64D9" w:rsidP="000A5389">
            <w:pPr>
              <w:spacing w:line="240" w:lineRule="auto"/>
              <w:jc w:val="right"/>
              <w:rPr>
                <w:rFonts w:cs="Times New Roman"/>
                <w:color w:val="000000"/>
                <w:sz w:val="12"/>
                <w:szCs w:val="12"/>
              </w:rPr>
            </w:pPr>
            <w:r w:rsidRPr="00951AB1">
              <w:rPr>
                <w:rFonts w:cs="Times New Roman"/>
                <w:color w:val="000000"/>
                <w:sz w:val="12"/>
                <w:szCs w:val="12"/>
              </w:rPr>
              <w:t xml:space="preserve">0 </w:t>
            </w:r>
          </w:p>
        </w:tc>
        <w:tc>
          <w:tcPr>
            <w:tcW w:w="1156" w:type="dxa"/>
            <w:tcBorders>
              <w:top w:val="single" w:sz="4" w:space="0" w:color="A6A6A6" w:themeColor="background1" w:themeShade="A6"/>
              <w:left w:val="nil"/>
              <w:bottom w:val="single" w:sz="4" w:space="0" w:color="A6A6A6" w:themeColor="background1" w:themeShade="A6"/>
              <w:right w:val="single" w:sz="4" w:space="0" w:color="A6A6A6" w:themeColor="background1" w:themeShade="A6"/>
            </w:tcBorders>
            <w:noWrap/>
            <w:vAlign w:val="center"/>
          </w:tcPr>
          <w:p w14:paraId="1BA6FDAE" w14:textId="77777777" w:rsidR="005E64D9" w:rsidRPr="00951AB1" w:rsidRDefault="005E64D9" w:rsidP="000A5389">
            <w:pPr>
              <w:spacing w:line="240" w:lineRule="auto"/>
              <w:jc w:val="right"/>
              <w:rPr>
                <w:rFonts w:cs="Times New Roman"/>
                <w:color w:val="000000"/>
                <w:sz w:val="12"/>
                <w:szCs w:val="12"/>
              </w:rPr>
            </w:pPr>
            <w:r w:rsidRPr="00951AB1">
              <w:rPr>
                <w:rFonts w:cs="Times New Roman"/>
                <w:color w:val="000000"/>
                <w:sz w:val="12"/>
                <w:szCs w:val="12"/>
              </w:rPr>
              <w:t xml:space="preserve">0 </w:t>
            </w:r>
          </w:p>
        </w:tc>
        <w:tc>
          <w:tcPr>
            <w:tcW w:w="740" w:type="dxa"/>
            <w:tcBorders>
              <w:top w:val="single" w:sz="4" w:space="0" w:color="A6A6A6" w:themeColor="background1" w:themeShade="A6"/>
              <w:left w:val="nil"/>
              <w:bottom w:val="single" w:sz="4" w:space="0" w:color="A6A6A6" w:themeColor="background1" w:themeShade="A6"/>
              <w:right w:val="single" w:sz="4" w:space="0" w:color="A6A6A6" w:themeColor="background1" w:themeShade="A6"/>
            </w:tcBorders>
            <w:noWrap/>
            <w:vAlign w:val="center"/>
          </w:tcPr>
          <w:p w14:paraId="705EBAA0" w14:textId="77777777" w:rsidR="005E64D9" w:rsidRPr="00951AB1" w:rsidRDefault="005E64D9" w:rsidP="000A5389">
            <w:pPr>
              <w:spacing w:line="240" w:lineRule="auto"/>
              <w:jc w:val="right"/>
              <w:rPr>
                <w:rFonts w:cs="Times New Roman"/>
                <w:color w:val="000000"/>
                <w:sz w:val="12"/>
                <w:szCs w:val="12"/>
              </w:rPr>
            </w:pPr>
            <w:r w:rsidRPr="00951AB1">
              <w:rPr>
                <w:rFonts w:cs="Times New Roman"/>
                <w:color w:val="000000"/>
                <w:sz w:val="12"/>
                <w:szCs w:val="12"/>
              </w:rPr>
              <w:t xml:space="preserve">0 </w:t>
            </w:r>
          </w:p>
        </w:tc>
        <w:tc>
          <w:tcPr>
            <w:tcW w:w="890" w:type="dxa"/>
            <w:tcBorders>
              <w:top w:val="single" w:sz="4" w:space="0" w:color="A6A6A6" w:themeColor="background1" w:themeShade="A6"/>
              <w:left w:val="nil"/>
              <w:bottom w:val="single" w:sz="4" w:space="0" w:color="A6A6A6" w:themeColor="background1" w:themeShade="A6"/>
              <w:right w:val="single" w:sz="4" w:space="0" w:color="A6A6A6" w:themeColor="background1" w:themeShade="A6"/>
            </w:tcBorders>
            <w:noWrap/>
            <w:vAlign w:val="center"/>
          </w:tcPr>
          <w:p w14:paraId="7D2A71B9" w14:textId="77777777" w:rsidR="005E64D9" w:rsidRPr="00951AB1" w:rsidRDefault="005E64D9" w:rsidP="000A5389">
            <w:pPr>
              <w:spacing w:line="240" w:lineRule="auto"/>
              <w:jc w:val="right"/>
              <w:rPr>
                <w:rFonts w:cs="Times New Roman"/>
                <w:color w:val="000000"/>
                <w:sz w:val="12"/>
                <w:szCs w:val="12"/>
              </w:rPr>
            </w:pPr>
            <w:r w:rsidRPr="00951AB1">
              <w:rPr>
                <w:rFonts w:cs="Times New Roman"/>
                <w:color w:val="000000"/>
                <w:sz w:val="12"/>
                <w:szCs w:val="12"/>
              </w:rPr>
              <w:t xml:space="preserve">0 </w:t>
            </w:r>
          </w:p>
        </w:tc>
        <w:tc>
          <w:tcPr>
            <w:tcW w:w="350" w:type="dxa"/>
            <w:tcBorders>
              <w:top w:val="single" w:sz="4" w:space="0" w:color="A6A6A6" w:themeColor="background1" w:themeShade="A6"/>
              <w:left w:val="nil"/>
              <w:bottom w:val="single" w:sz="4" w:space="0" w:color="A6A6A6" w:themeColor="background1" w:themeShade="A6"/>
              <w:right w:val="single" w:sz="4" w:space="0" w:color="A6A6A6" w:themeColor="background1" w:themeShade="A6"/>
            </w:tcBorders>
            <w:noWrap/>
            <w:vAlign w:val="center"/>
          </w:tcPr>
          <w:p w14:paraId="6059D219" w14:textId="77777777" w:rsidR="005E64D9" w:rsidRPr="00951AB1" w:rsidRDefault="005E64D9" w:rsidP="000A5389">
            <w:pPr>
              <w:spacing w:line="240" w:lineRule="auto"/>
              <w:jc w:val="center"/>
              <w:rPr>
                <w:rFonts w:cs="Times New Roman"/>
                <w:color w:val="000000"/>
                <w:sz w:val="12"/>
                <w:szCs w:val="12"/>
              </w:rPr>
            </w:pPr>
            <w:r w:rsidRPr="00951AB1">
              <w:rPr>
                <w:rFonts w:cs="Times New Roman"/>
                <w:color w:val="000000"/>
                <w:sz w:val="12"/>
                <w:szCs w:val="12"/>
              </w:rPr>
              <w:t xml:space="preserve">0,0 </w:t>
            </w:r>
          </w:p>
        </w:tc>
        <w:tc>
          <w:tcPr>
            <w:tcW w:w="890" w:type="dxa"/>
            <w:tcBorders>
              <w:top w:val="single" w:sz="4" w:space="0" w:color="A6A6A6" w:themeColor="background1" w:themeShade="A6"/>
              <w:left w:val="nil"/>
              <w:bottom w:val="single" w:sz="4" w:space="0" w:color="A6A6A6" w:themeColor="background1" w:themeShade="A6"/>
              <w:right w:val="single" w:sz="4" w:space="0" w:color="A6A6A6" w:themeColor="background1" w:themeShade="A6"/>
            </w:tcBorders>
            <w:noWrap/>
            <w:vAlign w:val="center"/>
          </w:tcPr>
          <w:p w14:paraId="70DDE7B7" w14:textId="77777777" w:rsidR="005E64D9" w:rsidRPr="00951AB1" w:rsidRDefault="005E64D9" w:rsidP="000A5389">
            <w:pPr>
              <w:spacing w:line="240" w:lineRule="auto"/>
              <w:jc w:val="right"/>
              <w:rPr>
                <w:rFonts w:cs="Times New Roman"/>
                <w:color w:val="000000"/>
                <w:sz w:val="12"/>
                <w:szCs w:val="12"/>
              </w:rPr>
            </w:pPr>
            <w:r w:rsidRPr="00951AB1">
              <w:rPr>
                <w:rFonts w:cs="Times New Roman"/>
                <w:color w:val="000000"/>
                <w:sz w:val="12"/>
                <w:szCs w:val="12"/>
              </w:rPr>
              <w:t xml:space="preserve">21.515.441.370 </w:t>
            </w:r>
          </w:p>
        </w:tc>
      </w:tr>
      <w:tr w:rsidR="00B7619C" w:rsidRPr="00951AB1" w14:paraId="3B4A6229" w14:textId="77777777" w:rsidTr="00FE1E23">
        <w:trPr>
          <w:trHeight w:val="175"/>
          <w:tblHeader/>
        </w:trPr>
        <w:tc>
          <w:tcPr>
            <w:tcW w:w="1247" w:type="dxa"/>
            <w:tcBorders>
              <w:top w:val="nil"/>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40426D53" w14:textId="77777777" w:rsidR="005E64D9" w:rsidRPr="00951AB1" w:rsidRDefault="005E64D9" w:rsidP="000A5389">
            <w:pPr>
              <w:spacing w:line="240" w:lineRule="auto"/>
              <w:rPr>
                <w:rFonts w:eastAsia="Times New Roman" w:cs="Times New Roman"/>
                <w:color w:val="000000"/>
                <w:sz w:val="12"/>
                <w:szCs w:val="12"/>
                <w:lang w:eastAsia="es-CO"/>
              </w:rPr>
            </w:pPr>
            <w:r w:rsidRPr="00951AB1">
              <w:rPr>
                <w:rFonts w:eastAsia="Times New Roman" w:cs="Times New Roman"/>
                <w:sz w:val="12"/>
                <w:szCs w:val="12"/>
                <w:lang w:eastAsia="es-CO"/>
              </w:rPr>
              <w:t>Derechos de tránsito</w:t>
            </w:r>
          </w:p>
        </w:tc>
        <w:tc>
          <w:tcPr>
            <w:tcW w:w="890" w:type="dxa"/>
            <w:tcBorders>
              <w:top w:val="nil"/>
              <w:left w:val="nil"/>
              <w:bottom w:val="single" w:sz="4" w:space="0" w:color="A6A6A6" w:themeColor="background1" w:themeShade="A6"/>
              <w:right w:val="single" w:sz="4" w:space="0" w:color="A6A6A6" w:themeColor="background1" w:themeShade="A6"/>
            </w:tcBorders>
            <w:noWrap/>
            <w:vAlign w:val="center"/>
          </w:tcPr>
          <w:p w14:paraId="4F68D6ED" w14:textId="77777777" w:rsidR="005E64D9" w:rsidRPr="00951AB1" w:rsidRDefault="005E64D9" w:rsidP="000A5389">
            <w:pPr>
              <w:spacing w:line="240" w:lineRule="auto"/>
              <w:jc w:val="right"/>
              <w:rPr>
                <w:rFonts w:eastAsia="Times New Roman" w:cs="Times New Roman"/>
                <w:color w:val="000000"/>
                <w:sz w:val="12"/>
                <w:szCs w:val="12"/>
                <w:lang w:eastAsia="es-CO"/>
              </w:rPr>
            </w:pPr>
            <w:r w:rsidRPr="00951AB1">
              <w:rPr>
                <w:rFonts w:cs="Times New Roman"/>
                <w:color w:val="000000"/>
                <w:sz w:val="12"/>
                <w:szCs w:val="12"/>
              </w:rPr>
              <w:t xml:space="preserve">15.903.258.503 </w:t>
            </w:r>
          </w:p>
        </w:tc>
        <w:tc>
          <w:tcPr>
            <w:tcW w:w="890" w:type="dxa"/>
            <w:tcBorders>
              <w:top w:val="nil"/>
              <w:left w:val="nil"/>
              <w:bottom w:val="single" w:sz="4" w:space="0" w:color="A6A6A6" w:themeColor="background1" w:themeShade="A6"/>
              <w:right w:val="single" w:sz="4" w:space="0" w:color="A6A6A6" w:themeColor="background1" w:themeShade="A6"/>
            </w:tcBorders>
            <w:noWrap/>
            <w:vAlign w:val="center"/>
          </w:tcPr>
          <w:p w14:paraId="040A30C5" w14:textId="77777777" w:rsidR="005E64D9" w:rsidRPr="00951AB1" w:rsidRDefault="005E64D9" w:rsidP="000A5389">
            <w:pPr>
              <w:spacing w:line="240" w:lineRule="auto"/>
              <w:jc w:val="right"/>
              <w:rPr>
                <w:rFonts w:eastAsia="Times New Roman" w:cs="Times New Roman"/>
                <w:color w:val="000000"/>
                <w:sz w:val="12"/>
                <w:szCs w:val="12"/>
                <w:lang w:eastAsia="es-CO"/>
              </w:rPr>
            </w:pPr>
            <w:r w:rsidRPr="00951AB1">
              <w:rPr>
                <w:rFonts w:cs="Times New Roman"/>
                <w:color w:val="000000"/>
                <w:sz w:val="12"/>
                <w:szCs w:val="12"/>
              </w:rPr>
              <w:t xml:space="preserve">0 </w:t>
            </w:r>
          </w:p>
        </w:tc>
        <w:tc>
          <w:tcPr>
            <w:tcW w:w="950" w:type="dxa"/>
            <w:tcBorders>
              <w:top w:val="nil"/>
              <w:left w:val="nil"/>
              <w:bottom w:val="single" w:sz="4" w:space="0" w:color="A6A6A6" w:themeColor="background1" w:themeShade="A6"/>
              <w:right w:val="single" w:sz="4" w:space="0" w:color="A6A6A6" w:themeColor="background1" w:themeShade="A6"/>
            </w:tcBorders>
            <w:noWrap/>
            <w:vAlign w:val="center"/>
          </w:tcPr>
          <w:p w14:paraId="15FDB3E9" w14:textId="77777777" w:rsidR="005E64D9" w:rsidRPr="00951AB1" w:rsidRDefault="005E64D9" w:rsidP="000A5389">
            <w:pPr>
              <w:spacing w:line="240" w:lineRule="auto"/>
              <w:jc w:val="right"/>
              <w:rPr>
                <w:rFonts w:eastAsia="Times New Roman" w:cs="Times New Roman"/>
                <w:color w:val="000000"/>
                <w:sz w:val="12"/>
                <w:szCs w:val="12"/>
                <w:lang w:eastAsia="es-CO"/>
              </w:rPr>
            </w:pPr>
            <w:r w:rsidRPr="00951AB1">
              <w:rPr>
                <w:rFonts w:cs="Times New Roman"/>
                <w:color w:val="000000"/>
                <w:sz w:val="12"/>
                <w:szCs w:val="12"/>
              </w:rPr>
              <w:t xml:space="preserve">15.903.258.503 </w:t>
            </w:r>
          </w:p>
        </w:tc>
        <w:tc>
          <w:tcPr>
            <w:tcW w:w="890" w:type="dxa"/>
            <w:tcBorders>
              <w:top w:val="nil"/>
              <w:left w:val="nil"/>
              <w:bottom w:val="single" w:sz="4" w:space="0" w:color="A6A6A6" w:themeColor="background1" w:themeShade="A6"/>
              <w:right w:val="single" w:sz="4" w:space="0" w:color="A6A6A6" w:themeColor="background1" w:themeShade="A6"/>
            </w:tcBorders>
            <w:noWrap/>
            <w:vAlign w:val="center"/>
          </w:tcPr>
          <w:p w14:paraId="40EBA9EA" w14:textId="77777777" w:rsidR="005E64D9" w:rsidRPr="00951AB1" w:rsidRDefault="005E64D9" w:rsidP="000A5389">
            <w:pPr>
              <w:spacing w:line="240" w:lineRule="auto"/>
              <w:jc w:val="right"/>
              <w:rPr>
                <w:rFonts w:eastAsia="Times New Roman" w:cs="Times New Roman"/>
                <w:color w:val="000000"/>
                <w:sz w:val="12"/>
                <w:szCs w:val="12"/>
                <w:lang w:eastAsia="es-CO"/>
              </w:rPr>
            </w:pPr>
            <w:r w:rsidRPr="00951AB1">
              <w:rPr>
                <w:rFonts w:cs="Times New Roman"/>
                <w:color w:val="000000"/>
                <w:sz w:val="12"/>
                <w:szCs w:val="12"/>
              </w:rPr>
              <w:t xml:space="preserve">0 </w:t>
            </w:r>
          </w:p>
        </w:tc>
        <w:tc>
          <w:tcPr>
            <w:tcW w:w="1156" w:type="dxa"/>
            <w:tcBorders>
              <w:top w:val="nil"/>
              <w:left w:val="nil"/>
              <w:bottom w:val="single" w:sz="4" w:space="0" w:color="A6A6A6" w:themeColor="background1" w:themeShade="A6"/>
              <w:right w:val="single" w:sz="4" w:space="0" w:color="A6A6A6" w:themeColor="background1" w:themeShade="A6"/>
            </w:tcBorders>
            <w:noWrap/>
            <w:vAlign w:val="center"/>
          </w:tcPr>
          <w:p w14:paraId="2BE25FA9" w14:textId="77777777" w:rsidR="005E64D9" w:rsidRPr="00951AB1" w:rsidRDefault="005E64D9" w:rsidP="000A5389">
            <w:pPr>
              <w:spacing w:line="240" w:lineRule="auto"/>
              <w:jc w:val="right"/>
              <w:rPr>
                <w:rFonts w:eastAsia="Times New Roman" w:cs="Times New Roman"/>
                <w:color w:val="000000"/>
                <w:sz w:val="12"/>
                <w:szCs w:val="12"/>
                <w:lang w:eastAsia="es-CO"/>
              </w:rPr>
            </w:pPr>
            <w:r w:rsidRPr="00951AB1">
              <w:rPr>
                <w:rFonts w:cs="Times New Roman"/>
                <w:color w:val="000000"/>
                <w:sz w:val="12"/>
                <w:szCs w:val="12"/>
              </w:rPr>
              <w:t xml:space="preserve">0 </w:t>
            </w:r>
          </w:p>
        </w:tc>
        <w:tc>
          <w:tcPr>
            <w:tcW w:w="740" w:type="dxa"/>
            <w:tcBorders>
              <w:top w:val="nil"/>
              <w:left w:val="nil"/>
              <w:bottom w:val="single" w:sz="4" w:space="0" w:color="A6A6A6" w:themeColor="background1" w:themeShade="A6"/>
              <w:right w:val="single" w:sz="4" w:space="0" w:color="A6A6A6" w:themeColor="background1" w:themeShade="A6"/>
            </w:tcBorders>
            <w:noWrap/>
            <w:vAlign w:val="center"/>
          </w:tcPr>
          <w:p w14:paraId="267C8E38" w14:textId="77777777" w:rsidR="005E64D9" w:rsidRPr="00951AB1" w:rsidRDefault="005E64D9" w:rsidP="000A5389">
            <w:pPr>
              <w:spacing w:line="240" w:lineRule="auto"/>
              <w:jc w:val="right"/>
              <w:rPr>
                <w:rFonts w:eastAsia="Times New Roman" w:cs="Times New Roman"/>
                <w:color w:val="000000"/>
                <w:sz w:val="12"/>
                <w:szCs w:val="12"/>
                <w:lang w:eastAsia="es-CO"/>
              </w:rPr>
            </w:pPr>
            <w:r w:rsidRPr="00951AB1">
              <w:rPr>
                <w:rFonts w:cs="Times New Roman"/>
                <w:color w:val="000000"/>
                <w:sz w:val="12"/>
                <w:szCs w:val="12"/>
              </w:rPr>
              <w:t xml:space="preserve">0 </w:t>
            </w:r>
          </w:p>
        </w:tc>
        <w:tc>
          <w:tcPr>
            <w:tcW w:w="890" w:type="dxa"/>
            <w:tcBorders>
              <w:top w:val="nil"/>
              <w:left w:val="nil"/>
              <w:bottom w:val="single" w:sz="4" w:space="0" w:color="A6A6A6" w:themeColor="background1" w:themeShade="A6"/>
              <w:right w:val="single" w:sz="4" w:space="0" w:color="A6A6A6" w:themeColor="background1" w:themeShade="A6"/>
            </w:tcBorders>
            <w:noWrap/>
            <w:vAlign w:val="center"/>
          </w:tcPr>
          <w:p w14:paraId="1368BA30" w14:textId="77777777" w:rsidR="005E64D9" w:rsidRPr="00951AB1" w:rsidRDefault="005E64D9" w:rsidP="000A5389">
            <w:pPr>
              <w:spacing w:line="240" w:lineRule="auto"/>
              <w:jc w:val="right"/>
              <w:rPr>
                <w:rFonts w:eastAsia="Times New Roman" w:cs="Times New Roman"/>
                <w:color w:val="000000"/>
                <w:sz w:val="12"/>
                <w:szCs w:val="12"/>
                <w:lang w:eastAsia="es-CO"/>
              </w:rPr>
            </w:pPr>
            <w:r w:rsidRPr="00951AB1">
              <w:rPr>
                <w:rFonts w:cs="Times New Roman"/>
                <w:color w:val="000000"/>
                <w:sz w:val="12"/>
                <w:szCs w:val="12"/>
              </w:rPr>
              <w:t xml:space="preserve">0 </w:t>
            </w:r>
          </w:p>
        </w:tc>
        <w:tc>
          <w:tcPr>
            <w:tcW w:w="350" w:type="dxa"/>
            <w:tcBorders>
              <w:top w:val="nil"/>
              <w:left w:val="nil"/>
              <w:bottom w:val="single" w:sz="4" w:space="0" w:color="A6A6A6" w:themeColor="background1" w:themeShade="A6"/>
              <w:right w:val="single" w:sz="4" w:space="0" w:color="A6A6A6" w:themeColor="background1" w:themeShade="A6"/>
            </w:tcBorders>
            <w:noWrap/>
            <w:vAlign w:val="center"/>
          </w:tcPr>
          <w:p w14:paraId="33BB6DA0" w14:textId="77777777" w:rsidR="005E64D9" w:rsidRPr="00951AB1" w:rsidRDefault="005E64D9" w:rsidP="000A5389">
            <w:pPr>
              <w:spacing w:line="240" w:lineRule="auto"/>
              <w:jc w:val="center"/>
              <w:rPr>
                <w:rFonts w:cs="Times New Roman"/>
                <w:color w:val="000000"/>
                <w:sz w:val="12"/>
                <w:szCs w:val="12"/>
              </w:rPr>
            </w:pPr>
            <w:r w:rsidRPr="00951AB1">
              <w:rPr>
                <w:rFonts w:cs="Times New Roman"/>
                <w:color w:val="000000"/>
                <w:sz w:val="12"/>
                <w:szCs w:val="12"/>
              </w:rPr>
              <w:t xml:space="preserve">0,0 </w:t>
            </w:r>
          </w:p>
        </w:tc>
        <w:tc>
          <w:tcPr>
            <w:tcW w:w="890" w:type="dxa"/>
            <w:tcBorders>
              <w:top w:val="nil"/>
              <w:left w:val="nil"/>
              <w:bottom w:val="single" w:sz="4" w:space="0" w:color="A6A6A6" w:themeColor="background1" w:themeShade="A6"/>
              <w:right w:val="single" w:sz="4" w:space="0" w:color="A6A6A6" w:themeColor="background1" w:themeShade="A6"/>
            </w:tcBorders>
            <w:noWrap/>
            <w:vAlign w:val="center"/>
          </w:tcPr>
          <w:p w14:paraId="386950B8" w14:textId="77777777" w:rsidR="005E64D9" w:rsidRPr="00951AB1" w:rsidRDefault="005E64D9" w:rsidP="000A5389">
            <w:pPr>
              <w:spacing w:line="240" w:lineRule="auto"/>
              <w:jc w:val="right"/>
              <w:rPr>
                <w:rFonts w:eastAsia="Times New Roman" w:cs="Times New Roman"/>
                <w:color w:val="000000"/>
                <w:sz w:val="12"/>
                <w:szCs w:val="12"/>
                <w:lang w:eastAsia="es-CO"/>
              </w:rPr>
            </w:pPr>
            <w:r w:rsidRPr="00951AB1">
              <w:rPr>
                <w:rFonts w:cs="Times New Roman"/>
                <w:color w:val="000000"/>
                <w:sz w:val="12"/>
                <w:szCs w:val="12"/>
              </w:rPr>
              <w:t xml:space="preserve">15.903.258.503 </w:t>
            </w:r>
          </w:p>
        </w:tc>
      </w:tr>
    </w:tbl>
    <w:p w14:paraId="5BEB5DF3" w14:textId="66EA380B" w:rsidR="005E64D9" w:rsidRPr="00951AB1" w:rsidRDefault="005E64D9" w:rsidP="000A5389">
      <w:pPr>
        <w:spacing w:line="240" w:lineRule="auto"/>
        <w:rPr>
          <w:rFonts w:cs="Times New Roman"/>
          <w:szCs w:val="24"/>
          <w:lang w:bidi="es-ES"/>
        </w:rPr>
      </w:pPr>
      <w:r w:rsidRPr="2A085367">
        <w:rPr>
          <w:rFonts w:eastAsia="Times New Roman" w:cs="Times New Roman"/>
          <w:sz w:val="14"/>
          <w:szCs w:val="14"/>
          <w:lang w:eastAsia="es-CO"/>
        </w:rPr>
        <w:t>Cifras expresadas en pesos</w:t>
      </w:r>
    </w:p>
    <w:p w14:paraId="15548723" w14:textId="3D8B5743" w:rsidR="2A085367" w:rsidRDefault="2A085367" w:rsidP="000A5389">
      <w:pPr>
        <w:spacing w:line="240" w:lineRule="auto"/>
        <w:rPr>
          <w:rFonts w:cs="Times New Roman"/>
          <w:i/>
          <w:iCs/>
          <w:szCs w:val="24"/>
          <w:u w:val="single"/>
          <w:lang w:bidi="es-ES"/>
        </w:rPr>
      </w:pPr>
    </w:p>
    <w:p w14:paraId="78BE51EA" w14:textId="77777777" w:rsidR="005E64D9" w:rsidRDefault="005E64D9" w:rsidP="000A5389">
      <w:pPr>
        <w:spacing w:line="240" w:lineRule="auto"/>
        <w:rPr>
          <w:rFonts w:cs="Times New Roman"/>
          <w:szCs w:val="24"/>
          <w:lang w:bidi="es-ES"/>
        </w:rPr>
      </w:pPr>
      <w:r w:rsidRPr="00951AB1">
        <w:rPr>
          <w:rFonts w:cs="Times New Roman"/>
          <w:i/>
          <w:iCs/>
          <w:szCs w:val="24"/>
          <w:u w:val="single"/>
          <w:lang w:bidi="es-ES"/>
        </w:rPr>
        <w:t>Multas y sanciones</w:t>
      </w:r>
      <w:r w:rsidRPr="00951AB1">
        <w:rPr>
          <w:rFonts w:cs="Times New Roman"/>
          <w:i/>
          <w:iCs/>
          <w:szCs w:val="24"/>
          <w:lang w:bidi="es-ES"/>
        </w:rPr>
        <w:t>:</w:t>
      </w:r>
      <w:r w:rsidRPr="00951AB1">
        <w:rPr>
          <w:rFonts w:cs="Times New Roman"/>
          <w:szCs w:val="24"/>
          <w:lang w:bidi="es-ES"/>
        </w:rPr>
        <w:t xml:space="preserve"> son imposiciones efectuadas por la entidad, en el ejercicio de la potestad sancionatoria, de una multa pecuniaria al responsable de un incumplimiento contractual.</w:t>
      </w:r>
    </w:p>
    <w:p w14:paraId="0D857DD5" w14:textId="77777777" w:rsidR="006304F4" w:rsidRPr="00951AB1" w:rsidRDefault="006304F4" w:rsidP="000A5389">
      <w:pPr>
        <w:spacing w:line="240" w:lineRule="auto"/>
        <w:rPr>
          <w:rFonts w:cs="Times New Roman"/>
          <w:szCs w:val="24"/>
          <w:lang w:bidi="es-ES"/>
        </w:rPr>
      </w:pPr>
    </w:p>
    <w:p w14:paraId="38596436" w14:textId="77777777" w:rsidR="005E64D9" w:rsidRPr="00951AB1" w:rsidRDefault="005E64D9" w:rsidP="000A5389">
      <w:pPr>
        <w:spacing w:line="240" w:lineRule="auto"/>
        <w:rPr>
          <w:rFonts w:cs="Times New Roman"/>
          <w:szCs w:val="24"/>
          <w:lang w:bidi="es-ES"/>
        </w:rPr>
      </w:pPr>
      <w:r w:rsidRPr="00951AB1">
        <w:rPr>
          <w:rFonts w:cs="Times New Roman"/>
          <w:szCs w:val="24"/>
          <w:lang w:bidi="es-ES"/>
        </w:rPr>
        <w:t>El Grupo Interno de Trabajo de Defensa Judicial, tiene la competencia funcional para adelantar el cobro persuasivo y coactivo de las obligaciones que les sean remitidas para la gestión de cobro corresponde a la Agencia, con el fin de lograr el recaudo efectivo de la cartera por estos conceptos. A continuación, se detallan las sanciones reconocidas:</w:t>
      </w:r>
    </w:p>
    <w:p w14:paraId="58663C2A" w14:textId="77777777" w:rsidR="005E64D9" w:rsidRPr="00951AB1" w:rsidRDefault="005E64D9" w:rsidP="000A5389">
      <w:pPr>
        <w:spacing w:line="240" w:lineRule="auto"/>
        <w:rPr>
          <w:rFonts w:cs="Times New Roman"/>
          <w:szCs w:val="24"/>
          <w:lang w:bidi="es-ES"/>
        </w:rPr>
      </w:pPr>
    </w:p>
    <w:p w14:paraId="70982C4B" w14:textId="77777777" w:rsidR="005E64D9" w:rsidRPr="00951AB1" w:rsidRDefault="005E64D9" w:rsidP="000A5389">
      <w:pPr>
        <w:spacing w:line="240" w:lineRule="auto"/>
        <w:rPr>
          <w:rFonts w:cs="Times New Roman"/>
          <w:szCs w:val="24"/>
          <w:lang w:bidi="es-ES"/>
        </w:rPr>
      </w:pPr>
      <w:r w:rsidRPr="00951AB1">
        <w:rPr>
          <w:rFonts w:cs="Times New Roman"/>
          <w:b/>
          <w:bCs/>
          <w:szCs w:val="24"/>
          <w:lang w:bidi="es-ES"/>
        </w:rPr>
        <w:t>Disciplinarias</w:t>
      </w:r>
      <w:r w:rsidRPr="00951AB1">
        <w:rPr>
          <w:rFonts w:cs="Times New Roman"/>
          <w:szCs w:val="24"/>
          <w:lang w:bidi="es-ES"/>
        </w:rPr>
        <w:t xml:space="preserve"> por valor total de $231.715.354 a cargo de:</w:t>
      </w:r>
    </w:p>
    <w:p w14:paraId="18E825BF" w14:textId="77777777" w:rsidR="005E64D9" w:rsidRPr="00951AB1" w:rsidRDefault="005E64D9" w:rsidP="000A5389">
      <w:pPr>
        <w:spacing w:line="240" w:lineRule="auto"/>
        <w:rPr>
          <w:rFonts w:eastAsia="Times New Roman" w:cs="Times New Roman"/>
          <w:sz w:val="14"/>
          <w:szCs w:val="14"/>
          <w:lang w:eastAsia="es-CO"/>
        </w:rPr>
      </w:pPr>
    </w:p>
    <w:p w14:paraId="1CFCC477" w14:textId="77777777" w:rsidR="005E64D9" w:rsidRDefault="005E64D9" w:rsidP="000A5389">
      <w:pPr>
        <w:spacing w:line="240" w:lineRule="auto"/>
        <w:rPr>
          <w:rFonts w:cs="Times New Roman"/>
          <w:szCs w:val="24"/>
          <w:lang w:bidi="es-ES"/>
        </w:rPr>
      </w:pPr>
      <w:r w:rsidRPr="00951AB1">
        <w:rPr>
          <w:rFonts w:cs="Times New Roman"/>
          <w:szCs w:val="24"/>
          <w:u w:val="single"/>
          <w:lang w:bidi="es-ES"/>
        </w:rPr>
        <w:t>Camilo Andrés Jaramillo Berrocal:</w:t>
      </w:r>
      <w:r w:rsidRPr="00951AB1">
        <w:rPr>
          <w:rFonts w:cs="Times New Roman"/>
          <w:szCs w:val="24"/>
          <w:lang w:bidi="es-ES"/>
        </w:rPr>
        <w:t xml:space="preserve"> corresponden a sanción disciplinaria impuesta en su condición de Vicepresidente de Estructuración de la Agencia Nacional de infraestructura - ANI, consistente en suspensión en el ejercicio del cargo por el término de seis (6) meses e inhabilidad especial por el mismo término, convertido el término de la sanción de suspensión en salarios básicos devengados para el momento de la comisión de la falta; declarada en la Resolución ANI No. 20241010000605 del 22 de enero del 2024, con Constancia Ejecutoria de fecha el martes,</w:t>
      </w:r>
      <w:r w:rsidRPr="00951AB1">
        <w:rPr>
          <w:rFonts w:cs="Times New Roman"/>
          <w:b/>
          <w:bCs/>
          <w:szCs w:val="24"/>
          <w:lang w:eastAsia="es-CO"/>
        </w:rPr>
        <w:t xml:space="preserve"> </w:t>
      </w:r>
      <w:r w:rsidRPr="00951AB1">
        <w:rPr>
          <w:rFonts w:cs="Times New Roman"/>
          <w:szCs w:val="24"/>
          <w:lang w:bidi="es-ES"/>
        </w:rPr>
        <w:t>6 de febrero de 2024 por valor de $85.220.640.</w:t>
      </w:r>
    </w:p>
    <w:p w14:paraId="06F7F95B" w14:textId="77777777" w:rsidR="006304F4" w:rsidRPr="00951AB1" w:rsidRDefault="006304F4" w:rsidP="000A5389">
      <w:pPr>
        <w:spacing w:line="240" w:lineRule="auto"/>
        <w:rPr>
          <w:rFonts w:cs="Times New Roman"/>
          <w:szCs w:val="24"/>
          <w:lang w:bidi="es-ES"/>
        </w:rPr>
      </w:pPr>
    </w:p>
    <w:p w14:paraId="2809C5ED" w14:textId="77777777" w:rsidR="005E64D9" w:rsidRPr="00951AB1" w:rsidRDefault="005E64D9" w:rsidP="000A5389">
      <w:pPr>
        <w:spacing w:line="240" w:lineRule="auto"/>
        <w:rPr>
          <w:rFonts w:cs="Times New Roman"/>
          <w:szCs w:val="24"/>
          <w:lang w:bidi="es-ES"/>
        </w:rPr>
      </w:pPr>
      <w:r w:rsidRPr="00951AB1">
        <w:rPr>
          <w:rFonts w:cs="Times New Roman"/>
          <w:szCs w:val="24"/>
          <w:u w:val="single"/>
          <w:lang w:bidi="es-ES"/>
        </w:rPr>
        <w:t>Julio Cesar Arango Garces:</w:t>
      </w:r>
      <w:r w:rsidRPr="00951AB1">
        <w:rPr>
          <w:rFonts w:cs="Times New Roman"/>
          <w:szCs w:val="24"/>
          <w:lang w:bidi="es-ES"/>
        </w:rPr>
        <w:t xml:space="preserve"> corresponden a sanción disciplinaria impuesta en su condición de exservidor Público: Subgerente de Gestión Contractual y Gerente General del INCO; consistente en suspensión en el ejercicio del cargo por el término de seis (6) meses e inhabilidad especial por el mismo término, convertida en multa, declarada en la Resolución ANI No.</w:t>
      </w:r>
      <w:r w:rsidRPr="00951AB1">
        <w:rPr>
          <w:rFonts w:eastAsia="Times New Roman" w:cs="Times New Roman"/>
          <w:color w:val="000000"/>
          <w:szCs w:val="24"/>
          <w:lang w:eastAsia="es-CO"/>
        </w:rPr>
        <w:t xml:space="preserve"> </w:t>
      </w:r>
      <w:r w:rsidRPr="00951AB1">
        <w:rPr>
          <w:rFonts w:cs="Times New Roman"/>
          <w:szCs w:val="24"/>
          <w:lang w:bidi="es-ES"/>
        </w:rPr>
        <w:t>20234020006115 del 26 de mayo del 2023, con Constancia Ejecutoria de fecha el martes,</w:t>
      </w:r>
      <w:r w:rsidRPr="00951AB1">
        <w:rPr>
          <w:rFonts w:cs="Times New Roman"/>
          <w:b/>
          <w:bCs/>
          <w:szCs w:val="24"/>
          <w:lang w:eastAsia="es-CO"/>
        </w:rPr>
        <w:t xml:space="preserve"> </w:t>
      </w:r>
      <w:r w:rsidRPr="00951AB1">
        <w:rPr>
          <w:rFonts w:cs="Times New Roman"/>
          <w:szCs w:val="24"/>
          <w:lang w:bidi="es-ES"/>
        </w:rPr>
        <w:t>30 de mayo de 2023 por valor de $64.526.646.</w:t>
      </w:r>
    </w:p>
    <w:p w14:paraId="45AB388A" w14:textId="77777777" w:rsidR="005E64D9" w:rsidRDefault="005E64D9" w:rsidP="000A5389">
      <w:pPr>
        <w:spacing w:line="240" w:lineRule="auto"/>
        <w:rPr>
          <w:rFonts w:cs="Times New Roman"/>
          <w:szCs w:val="24"/>
          <w:lang w:bidi="es-ES"/>
        </w:rPr>
      </w:pPr>
      <w:r w:rsidRPr="00951AB1">
        <w:rPr>
          <w:rFonts w:cs="Times New Roman"/>
          <w:szCs w:val="24"/>
          <w:u w:val="single"/>
          <w:lang w:bidi="es-ES"/>
        </w:rPr>
        <w:t>Beatriz Eugenia Morales Vélez:</w:t>
      </w:r>
      <w:r w:rsidRPr="00951AB1">
        <w:rPr>
          <w:rFonts w:cs="Times New Roman"/>
          <w:szCs w:val="24"/>
          <w:lang w:bidi="es-ES"/>
        </w:rPr>
        <w:t xml:space="preserve"> corresponden a sanción disciplinaria impuesta en su condición de Vicepresidente de Estructuración de la Agencia, consistente en suspensión en el ejercicio del cargo por el término de seis (4) meses e inhabilidad especial por el mismo término, convertido el término de la sanción de suspensión en salarios básicos devengados </w:t>
      </w:r>
      <w:r w:rsidRPr="00951AB1">
        <w:rPr>
          <w:rFonts w:cs="Times New Roman"/>
          <w:szCs w:val="24"/>
          <w:lang w:bidi="es-ES"/>
        </w:rPr>
        <w:lastRenderedPageBreak/>
        <w:t>para el momento de la comisión de la falta; declarada en la Resolución ANI No. 20241010000605 del 22 de enero del 2024, con Constancia Ejecutoria de fecha el martes,</w:t>
      </w:r>
      <w:r w:rsidRPr="00951AB1">
        <w:rPr>
          <w:rFonts w:cs="Times New Roman"/>
          <w:b/>
          <w:bCs/>
          <w:szCs w:val="24"/>
          <w:lang w:eastAsia="es-CO"/>
        </w:rPr>
        <w:t xml:space="preserve"> </w:t>
      </w:r>
      <w:r w:rsidRPr="00951AB1">
        <w:rPr>
          <w:rFonts w:cs="Times New Roman"/>
          <w:szCs w:val="24"/>
          <w:lang w:bidi="es-ES"/>
        </w:rPr>
        <w:t>6 de febrero de 2024 por valor de $47.185.328.</w:t>
      </w:r>
    </w:p>
    <w:p w14:paraId="304B8971" w14:textId="77777777" w:rsidR="006304F4" w:rsidRPr="00951AB1" w:rsidRDefault="006304F4" w:rsidP="000A5389">
      <w:pPr>
        <w:spacing w:line="240" w:lineRule="auto"/>
        <w:rPr>
          <w:rFonts w:cs="Times New Roman"/>
          <w:szCs w:val="24"/>
          <w:lang w:bidi="es-ES"/>
        </w:rPr>
      </w:pPr>
    </w:p>
    <w:p w14:paraId="54A4DC13" w14:textId="77777777" w:rsidR="005E64D9" w:rsidRPr="00951AB1" w:rsidRDefault="005E64D9" w:rsidP="000A5389">
      <w:pPr>
        <w:spacing w:line="240" w:lineRule="auto"/>
        <w:rPr>
          <w:rFonts w:cs="Times New Roman"/>
          <w:szCs w:val="24"/>
          <w:lang w:bidi="es-ES"/>
        </w:rPr>
      </w:pPr>
      <w:r w:rsidRPr="00951AB1">
        <w:rPr>
          <w:rFonts w:cs="Times New Roman"/>
          <w:szCs w:val="24"/>
          <w:u w:val="single"/>
          <w:lang w:bidi="es-ES"/>
        </w:rPr>
        <w:t>Ivan Mauricio Fierro Sánchez :</w:t>
      </w:r>
      <w:r w:rsidRPr="00951AB1">
        <w:rPr>
          <w:rFonts w:cs="Times New Roman"/>
          <w:szCs w:val="24"/>
          <w:lang w:bidi="es-ES"/>
        </w:rPr>
        <w:t xml:space="preserve"> corresponden a sanción disciplinaria impuesta en su condición de Vicepresidente de Estructuración de la Agencia, consistente en suspensión en el ejercicio del cargo por el término de seis (4) meses e inhabilidad especial por el mismo término, convertido el término de la sanción de suspensión en salarios básicos devengados para el momento de la comisión de la falta; declarada en la Resolución ANI No. 20241010000605 del 22 de enero del 2024, con Constancia Ejecutoria de fecha el martes,</w:t>
      </w:r>
      <w:r w:rsidRPr="00951AB1">
        <w:rPr>
          <w:rFonts w:cs="Times New Roman"/>
          <w:b/>
          <w:bCs/>
          <w:szCs w:val="24"/>
          <w:lang w:eastAsia="es-CO"/>
        </w:rPr>
        <w:t xml:space="preserve"> </w:t>
      </w:r>
      <w:r w:rsidRPr="00951AB1">
        <w:rPr>
          <w:rFonts w:cs="Times New Roman"/>
          <w:szCs w:val="24"/>
          <w:lang w:bidi="es-ES"/>
        </w:rPr>
        <w:t>6 de febrero de 2024 por valor de $</w:t>
      </w:r>
      <w:r w:rsidRPr="00951AB1">
        <w:rPr>
          <w:rFonts w:cs="Times New Roman"/>
        </w:rPr>
        <w:t xml:space="preserve"> </w:t>
      </w:r>
      <w:r w:rsidRPr="00951AB1">
        <w:rPr>
          <w:rFonts w:cs="Times New Roman"/>
          <w:szCs w:val="24"/>
          <w:lang w:bidi="es-ES"/>
        </w:rPr>
        <w:t>34.782.740.</w:t>
      </w:r>
    </w:p>
    <w:p w14:paraId="327026CD" w14:textId="77777777" w:rsidR="005E64D9" w:rsidRPr="00951AB1" w:rsidRDefault="005E64D9" w:rsidP="000A5389">
      <w:pPr>
        <w:autoSpaceDE w:val="0"/>
        <w:autoSpaceDN w:val="0"/>
        <w:adjustRightInd w:val="0"/>
        <w:spacing w:line="240" w:lineRule="auto"/>
        <w:rPr>
          <w:rFonts w:cs="Times New Roman"/>
          <w:color w:val="000000"/>
          <w:szCs w:val="24"/>
        </w:rPr>
      </w:pPr>
    </w:p>
    <w:tbl>
      <w:tblPr>
        <w:tblW w:w="5000" w:type="pct"/>
        <w:jc w:val="center"/>
        <w:tblCellMar>
          <w:left w:w="70" w:type="dxa"/>
          <w:right w:w="70" w:type="dxa"/>
        </w:tblCellMar>
        <w:tblLook w:val="04A0" w:firstRow="1" w:lastRow="0" w:firstColumn="1" w:lastColumn="0" w:noHBand="0" w:noVBand="1"/>
      </w:tblPr>
      <w:tblGrid>
        <w:gridCol w:w="1270"/>
        <w:gridCol w:w="1647"/>
        <w:gridCol w:w="1116"/>
        <w:gridCol w:w="1674"/>
        <w:gridCol w:w="1118"/>
        <w:gridCol w:w="682"/>
        <w:gridCol w:w="717"/>
        <w:gridCol w:w="604"/>
      </w:tblGrid>
      <w:tr w:rsidR="005E64D9" w:rsidRPr="00951AB1" w14:paraId="3C518E99" w14:textId="77777777" w:rsidTr="005E64D9">
        <w:trPr>
          <w:trHeight w:val="585"/>
          <w:tblHeader/>
          <w:jc w:val="center"/>
        </w:trPr>
        <w:tc>
          <w:tcPr>
            <w:tcW w:w="720" w:type="pct"/>
            <w:vMerge w:val="restart"/>
            <w:tcBorders>
              <w:top w:val="single" w:sz="4" w:space="0" w:color="D0D0D0"/>
              <w:left w:val="single" w:sz="4" w:space="0" w:color="D0D0D0"/>
              <w:bottom w:val="single" w:sz="4" w:space="0" w:color="D0D0D0"/>
              <w:right w:val="single" w:sz="4" w:space="0" w:color="D0D0D0"/>
            </w:tcBorders>
            <w:vAlign w:val="center"/>
            <w:hideMark/>
          </w:tcPr>
          <w:p w14:paraId="25C630CF" w14:textId="77777777" w:rsidR="005E64D9" w:rsidRPr="00951AB1" w:rsidRDefault="005E64D9" w:rsidP="000A5389">
            <w:pPr>
              <w:spacing w:line="240" w:lineRule="auto"/>
              <w:jc w:val="center"/>
              <w:rPr>
                <w:rFonts w:eastAsia="Times New Roman" w:cs="Times New Roman"/>
                <w:b/>
                <w:bCs/>
                <w:color w:val="000000"/>
                <w:sz w:val="16"/>
                <w:szCs w:val="16"/>
                <w:lang w:eastAsia="es-CO"/>
              </w:rPr>
            </w:pPr>
            <w:r w:rsidRPr="00951AB1">
              <w:rPr>
                <w:rFonts w:eastAsia="Times New Roman" w:cs="Times New Roman"/>
                <w:b/>
                <w:bCs/>
                <w:color w:val="000000"/>
                <w:sz w:val="16"/>
                <w:szCs w:val="16"/>
                <w:lang w:eastAsia="es-CO"/>
              </w:rPr>
              <w:t>CONCEPTO</w:t>
            </w:r>
          </w:p>
        </w:tc>
        <w:tc>
          <w:tcPr>
            <w:tcW w:w="933" w:type="pct"/>
            <w:vMerge w:val="restart"/>
            <w:tcBorders>
              <w:top w:val="single" w:sz="4" w:space="0" w:color="D0D0D0"/>
              <w:left w:val="single" w:sz="4" w:space="0" w:color="D0D0D0"/>
              <w:bottom w:val="single" w:sz="4" w:space="0" w:color="D0D0D0"/>
              <w:right w:val="single" w:sz="4" w:space="0" w:color="D0D0D0"/>
            </w:tcBorders>
            <w:vAlign w:val="center"/>
            <w:hideMark/>
          </w:tcPr>
          <w:p w14:paraId="3F4B338A" w14:textId="77777777" w:rsidR="005E64D9" w:rsidRPr="00951AB1" w:rsidRDefault="005E64D9" w:rsidP="000A5389">
            <w:pPr>
              <w:spacing w:line="240" w:lineRule="auto"/>
              <w:jc w:val="center"/>
              <w:rPr>
                <w:rFonts w:eastAsia="Times New Roman" w:cs="Times New Roman"/>
                <w:b/>
                <w:bCs/>
                <w:color w:val="000000"/>
                <w:sz w:val="16"/>
                <w:szCs w:val="16"/>
                <w:lang w:eastAsia="es-CO"/>
              </w:rPr>
            </w:pPr>
            <w:r w:rsidRPr="00951AB1">
              <w:rPr>
                <w:rFonts w:eastAsia="Times New Roman" w:cs="Times New Roman"/>
                <w:b/>
                <w:bCs/>
                <w:color w:val="000000"/>
                <w:sz w:val="16"/>
                <w:szCs w:val="16"/>
                <w:lang w:eastAsia="es-CO"/>
              </w:rPr>
              <w:t>TERCERO</w:t>
            </w:r>
          </w:p>
        </w:tc>
        <w:tc>
          <w:tcPr>
            <w:tcW w:w="632" w:type="pct"/>
            <w:tcBorders>
              <w:top w:val="single" w:sz="4" w:space="0" w:color="D0D0D0"/>
              <w:left w:val="nil"/>
              <w:bottom w:val="single" w:sz="4" w:space="0" w:color="D0D0D0"/>
              <w:right w:val="single" w:sz="4" w:space="0" w:color="D0D0D0"/>
            </w:tcBorders>
            <w:vAlign w:val="center"/>
            <w:hideMark/>
          </w:tcPr>
          <w:p w14:paraId="430513C4" w14:textId="77777777" w:rsidR="005E64D9" w:rsidRPr="00951AB1" w:rsidRDefault="005E64D9" w:rsidP="000A5389">
            <w:pPr>
              <w:spacing w:line="240" w:lineRule="auto"/>
              <w:jc w:val="center"/>
              <w:rPr>
                <w:rFonts w:eastAsia="Times New Roman" w:cs="Times New Roman"/>
                <w:b/>
                <w:bCs/>
                <w:color w:val="000000"/>
                <w:sz w:val="16"/>
                <w:szCs w:val="16"/>
                <w:lang w:eastAsia="es-CO"/>
              </w:rPr>
            </w:pPr>
            <w:r w:rsidRPr="00951AB1">
              <w:rPr>
                <w:rFonts w:eastAsia="Times New Roman" w:cs="Times New Roman"/>
                <w:b/>
                <w:bCs/>
                <w:color w:val="000000"/>
                <w:sz w:val="16"/>
                <w:szCs w:val="16"/>
                <w:lang w:eastAsia="es-CO"/>
              </w:rPr>
              <w:t xml:space="preserve">VALOR </w:t>
            </w:r>
          </w:p>
        </w:tc>
        <w:tc>
          <w:tcPr>
            <w:tcW w:w="1581" w:type="pct"/>
            <w:gridSpan w:val="2"/>
            <w:tcBorders>
              <w:top w:val="single" w:sz="4" w:space="0" w:color="D0D0D0"/>
              <w:left w:val="nil"/>
              <w:bottom w:val="single" w:sz="4" w:space="0" w:color="D0D0D0"/>
              <w:right w:val="single" w:sz="4" w:space="0" w:color="D0D0D0"/>
            </w:tcBorders>
            <w:vAlign w:val="center"/>
            <w:hideMark/>
          </w:tcPr>
          <w:p w14:paraId="34D42FDA" w14:textId="77777777" w:rsidR="005E64D9" w:rsidRPr="00951AB1" w:rsidRDefault="005E64D9" w:rsidP="000A5389">
            <w:pPr>
              <w:spacing w:line="240" w:lineRule="auto"/>
              <w:jc w:val="center"/>
              <w:rPr>
                <w:rFonts w:eastAsia="Times New Roman" w:cs="Times New Roman"/>
                <w:b/>
                <w:bCs/>
                <w:color w:val="000000"/>
                <w:sz w:val="16"/>
                <w:szCs w:val="16"/>
                <w:lang w:eastAsia="es-CO"/>
              </w:rPr>
            </w:pPr>
            <w:r w:rsidRPr="00951AB1">
              <w:rPr>
                <w:rFonts w:eastAsia="Times New Roman" w:cs="Times New Roman"/>
                <w:b/>
                <w:bCs/>
                <w:color w:val="000000"/>
                <w:sz w:val="16"/>
                <w:szCs w:val="16"/>
                <w:lang w:eastAsia="es-CO"/>
              </w:rPr>
              <w:t>PLAZO</w:t>
            </w:r>
          </w:p>
        </w:tc>
        <w:tc>
          <w:tcPr>
            <w:tcW w:w="386" w:type="pct"/>
            <w:vMerge w:val="restart"/>
            <w:tcBorders>
              <w:top w:val="single" w:sz="4" w:space="0" w:color="D0D0D0"/>
              <w:left w:val="single" w:sz="4" w:space="0" w:color="D0D0D0"/>
              <w:bottom w:val="single" w:sz="4" w:space="0" w:color="D0D0D0"/>
              <w:right w:val="single" w:sz="4" w:space="0" w:color="D0D0D0"/>
            </w:tcBorders>
            <w:vAlign w:val="center"/>
            <w:hideMark/>
          </w:tcPr>
          <w:p w14:paraId="4B3C9C61" w14:textId="77777777" w:rsidR="005E64D9" w:rsidRPr="00951AB1" w:rsidRDefault="005E64D9" w:rsidP="000A5389">
            <w:pPr>
              <w:spacing w:line="240" w:lineRule="auto"/>
              <w:jc w:val="center"/>
              <w:rPr>
                <w:rFonts w:eastAsia="Times New Roman" w:cs="Times New Roman"/>
                <w:b/>
                <w:bCs/>
                <w:color w:val="000000"/>
                <w:sz w:val="16"/>
                <w:szCs w:val="16"/>
                <w:lang w:eastAsia="es-CO"/>
              </w:rPr>
            </w:pPr>
            <w:r w:rsidRPr="00951AB1">
              <w:rPr>
                <w:rFonts w:eastAsia="Times New Roman" w:cs="Times New Roman"/>
                <w:b/>
                <w:bCs/>
                <w:color w:val="000000"/>
                <w:sz w:val="16"/>
                <w:szCs w:val="16"/>
                <w:lang w:eastAsia="es-CO"/>
              </w:rPr>
              <w:t>% E. A</w:t>
            </w:r>
          </w:p>
        </w:tc>
        <w:tc>
          <w:tcPr>
            <w:tcW w:w="748" w:type="pct"/>
            <w:gridSpan w:val="2"/>
            <w:tcBorders>
              <w:top w:val="single" w:sz="4" w:space="0" w:color="D0D0D0"/>
              <w:left w:val="nil"/>
              <w:bottom w:val="single" w:sz="4" w:space="0" w:color="D0D0D0"/>
              <w:right w:val="single" w:sz="4" w:space="0" w:color="D0D0D0"/>
            </w:tcBorders>
            <w:vAlign w:val="center"/>
            <w:hideMark/>
          </w:tcPr>
          <w:p w14:paraId="6F481B70" w14:textId="77777777" w:rsidR="005E64D9" w:rsidRPr="00951AB1" w:rsidRDefault="005E64D9" w:rsidP="000A5389">
            <w:pPr>
              <w:spacing w:line="240" w:lineRule="auto"/>
              <w:jc w:val="center"/>
              <w:rPr>
                <w:rFonts w:eastAsia="Times New Roman" w:cs="Times New Roman"/>
                <w:b/>
                <w:bCs/>
                <w:color w:val="000000"/>
                <w:sz w:val="16"/>
                <w:szCs w:val="16"/>
                <w:lang w:eastAsia="es-CO"/>
              </w:rPr>
            </w:pPr>
            <w:r w:rsidRPr="00951AB1">
              <w:rPr>
                <w:rFonts w:eastAsia="Times New Roman" w:cs="Times New Roman"/>
                <w:b/>
                <w:bCs/>
                <w:color w:val="000000"/>
                <w:sz w:val="16"/>
                <w:szCs w:val="16"/>
                <w:lang w:eastAsia="es-CO"/>
              </w:rPr>
              <w:t xml:space="preserve">VENCIMIENTO </w:t>
            </w:r>
          </w:p>
        </w:tc>
      </w:tr>
      <w:tr w:rsidR="005E64D9" w:rsidRPr="00951AB1" w14:paraId="03D6B9DB" w14:textId="77777777" w:rsidTr="005E64D9">
        <w:trPr>
          <w:trHeight w:val="435"/>
          <w:tblHeader/>
          <w:jc w:val="center"/>
        </w:trPr>
        <w:tc>
          <w:tcPr>
            <w:tcW w:w="720" w:type="pct"/>
            <w:vMerge/>
            <w:tcBorders>
              <w:top w:val="single" w:sz="4" w:space="0" w:color="D0D0D0"/>
              <w:left w:val="single" w:sz="4" w:space="0" w:color="D0D0D0"/>
              <w:bottom w:val="single" w:sz="4" w:space="0" w:color="D0D0D0"/>
              <w:right w:val="single" w:sz="4" w:space="0" w:color="D0D0D0"/>
            </w:tcBorders>
            <w:vAlign w:val="center"/>
            <w:hideMark/>
          </w:tcPr>
          <w:p w14:paraId="1FD8679D" w14:textId="77777777" w:rsidR="005E64D9" w:rsidRPr="00951AB1" w:rsidRDefault="005E64D9" w:rsidP="000A5389">
            <w:pPr>
              <w:spacing w:line="240" w:lineRule="auto"/>
              <w:rPr>
                <w:rFonts w:eastAsia="Times New Roman" w:cs="Times New Roman"/>
                <w:b/>
                <w:bCs/>
                <w:color w:val="000000"/>
                <w:sz w:val="16"/>
                <w:szCs w:val="16"/>
                <w:lang w:eastAsia="es-CO"/>
              </w:rPr>
            </w:pPr>
          </w:p>
        </w:tc>
        <w:tc>
          <w:tcPr>
            <w:tcW w:w="933" w:type="pct"/>
            <w:vMerge/>
            <w:tcBorders>
              <w:top w:val="single" w:sz="4" w:space="0" w:color="D0D0D0"/>
              <w:left w:val="single" w:sz="4" w:space="0" w:color="D0D0D0"/>
              <w:bottom w:val="single" w:sz="4" w:space="0" w:color="D0D0D0"/>
              <w:right w:val="single" w:sz="4" w:space="0" w:color="D0D0D0"/>
            </w:tcBorders>
            <w:vAlign w:val="center"/>
            <w:hideMark/>
          </w:tcPr>
          <w:p w14:paraId="4C0BB851" w14:textId="77777777" w:rsidR="005E64D9" w:rsidRPr="00951AB1" w:rsidRDefault="005E64D9" w:rsidP="000A5389">
            <w:pPr>
              <w:spacing w:line="240" w:lineRule="auto"/>
              <w:rPr>
                <w:rFonts w:eastAsia="Times New Roman" w:cs="Times New Roman"/>
                <w:b/>
                <w:bCs/>
                <w:color w:val="000000"/>
                <w:sz w:val="16"/>
                <w:szCs w:val="16"/>
                <w:lang w:eastAsia="es-CO"/>
              </w:rPr>
            </w:pPr>
          </w:p>
        </w:tc>
        <w:tc>
          <w:tcPr>
            <w:tcW w:w="632" w:type="pct"/>
            <w:tcBorders>
              <w:top w:val="nil"/>
              <w:left w:val="nil"/>
              <w:bottom w:val="single" w:sz="4" w:space="0" w:color="D0D0D0"/>
              <w:right w:val="single" w:sz="4" w:space="0" w:color="D0D0D0"/>
            </w:tcBorders>
            <w:vAlign w:val="center"/>
            <w:hideMark/>
          </w:tcPr>
          <w:p w14:paraId="78AAE3CC" w14:textId="77777777" w:rsidR="005E64D9" w:rsidRPr="00951AB1" w:rsidRDefault="005E64D9" w:rsidP="000A5389">
            <w:pPr>
              <w:spacing w:line="240" w:lineRule="auto"/>
              <w:jc w:val="center"/>
              <w:rPr>
                <w:rFonts w:eastAsia="Times New Roman" w:cs="Times New Roman"/>
                <w:b/>
                <w:bCs/>
                <w:color w:val="000000"/>
                <w:sz w:val="16"/>
                <w:szCs w:val="16"/>
                <w:lang w:eastAsia="es-CO"/>
              </w:rPr>
            </w:pPr>
            <w:r w:rsidRPr="00951AB1">
              <w:rPr>
                <w:rFonts w:eastAsia="Times New Roman" w:cs="Times New Roman"/>
                <w:b/>
                <w:bCs/>
                <w:color w:val="000000"/>
                <w:sz w:val="16"/>
                <w:szCs w:val="16"/>
                <w:lang w:eastAsia="es-CO"/>
              </w:rPr>
              <w:t>31/12/2025</w:t>
            </w:r>
          </w:p>
        </w:tc>
        <w:tc>
          <w:tcPr>
            <w:tcW w:w="948" w:type="pct"/>
            <w:tcBorders>
              <w:top w:val="nil"/>
              <w:left w:val="nil"/>
              <w:bottom w:val="single" w:sz="4" w:space="0" w:color="D0D0D0"/>
              <w:right w:val="single" w:sz="4" w:space="0" w:color="D0D0D0"/>
            </w:tcBorders>
            <w:vAlign w:val="center"/>
            <w:hideMark/>
          </w:tcPr>
          <w:p w14:paraId="4EF20A49" w14:textId="77777777" w:rsidR="005E64D9" w:rsidRPr="00951AB1" w:rsidRDefault="005E64D9" w:rsidP="000A5389">
            <w:pPr>
              <w:spacing w:line="240" w:lineRule="auto"/>
              <w:jc w:val="center"/>
              <w:rPr>
                <w:rFonts w:eastAsia="Times New Roman" w:cs="Times New Roman"/>
                <w:b/>
                <w:bCs/>
                <w:color w:val="000000"/>
                <w:sz w:val="16"/>
                <w:szCs w:val="16"/>
                <w:lang w:eastAsia="es-CO"/>
              </w:rPr>
            </w:pPr>
            <w:r w:rsidRPr="00951AB1">
              <w:rPr>
                <w:rFonts w:eastAsia="Times New Roman" w:cs="Times New Roman"/>
                <w:b/>
                <w:bCs/>
                <w:color w:val="000000"/>
                <w:sz w:val="16"/>
                <w:szCs w:val="16"/>
                <w:lang w:eastAsia="es-CO"/>
              </w:rPr>
              <w:t>MINIMO</w:t>
            </w:r>
          </w:p>
        </w:tc>
        <w:tc>
          <w:tcPr>
            <w:tcW w:w="633" w:type="pct"/>
            <w:tcBorders>
              <w:top w:val="nil"/>
              <w:left w:val="nil"/>
              <w:bottom w:val="single" w:sz="4" w:space="0" w:color="D0D0D0"/>
              <w:right w:val="single" w:sz="4" w:space="0" w:color="D0D0D0"/>
            </w:tcBorders>
            <w:vAlign w:val="center"/>
            <w:hideMark/>
          </w:tcPr>
          <w:p w14:paraId="3681720E" w14:textId="77777777" w:rsidR="005E64D9" w:rsidRPr="00951AB1" w:rsidRDefault="005E64D9" w:rsidP="000A5389">
            <w:pPr>
              <w:spacing w:line="240" w:lineRule="auto"/>
              <w:jc w:val="center"/>
              <w:rPr>
                <w:rFonts w:eastAsia="Times New Roman" w:cs="Times New Roman"/>
                <w:b/>
                <w:bCs/>
                <w:color w:val="000000"/>
                <w:sz w:val="16"/>
                <w:szCs w:val="16"/>
                <w:lang w:eastAsia="es-CO"/>
              </w:rPr>
            </w:pPr>
            <w:r w:rsidRPr="00951AB1">
              <w:rPr>
                <w:rFonts w:eastAsia="Times New Roman" w:cs="Times New Roman"/>
                <w:b/>
                <w:bCs/>
                <w:color w:val="000000"/>
                <w:sz w:val="16"/>
                <w:szCs w:val="16"/>
                <w:lang w:eastAsia="es-CO"/>
              </w:rPr>
              <w:t>MÁXIMO</w:t>
            </w:r>
          </w:p>
        </w:tc>
        <w:tc>
          <w:tcPr>
            <w:tcW w:w="386" w:type="pct"/>
            <w:vMerge/>
            <w:tcBorders>
              <w:top w:val="single" w:sz="4" w:space="0" w:color="D0D0D0"/>
              <w:left w:val="single" w:sz="4" w:space="0" w:color="D0D0D0"/>
              <w:bottom w:val="single" w:sz="4" w:space="0" w:color="D0D0D0"/>
              <w:right w:val="single" w:sz="4" w:space="0" w:color="D0D0D0"/>
            </w:tcBorders>
            <w:vAlign w:val="center"/>
            <w:hideMark/>
          </w:tcPr>
          <w:p w14:paraId="1F014D44" w14:textId="77777777" w:rsidR="005E64D9" w:rsidRPr="00951AB1" w:rsidRDefault="005E64D9" w:rsidP="000A5389">
            <w:pPr>
              <w:spacing w:line="240" w:lineRule="auto"/>
              <w:rPr>
                <w:rFonts w:eastAsia="Times New Roman" w:cs="Times New Roman"/>
                <w:b/>
                <w:bCs/>
                <w:color w:val="000000"/>
                <w:sz w:val="16"/>
                <w:szCs w:val="16"/>
                <w:lang w:eastAsia="es-CO"/>
              </w:rPr>
            </w:pPr>
          </w:p>
        </w:tc>
        <w:tc>
          <w:tcPr>
            <w:tcW w:w="406" w:type="pct"/>
            <w:tcBorders>
              <w:top w:val="nil"/>
              <w:left w:val="nil"/>
              <w:bottom w:val="single" w:sz="4" w:space="0" w:color="D0D0D0"/>
              <w:right w:val="single" w:sz="4" w:space="0" w:color="D0D0D0"/>
            </w:tcBorders>
            <w:vAlign w:val="center"/>
            <w:hideMark/>
          </w:tcPr>
          <w:p w14:paraId="0FFDFCCD" w14:textId="77777777" w:rsidR="005E64D9" w:rsidRPr="00951AB1" w:rsidRDefault="005E64D9" w:rsidP="000A5389">
            <w:pPr>
              <w:spacing w:line="240" w:lineRule="auto"/>
              <w:jc w:val="center"/>
              <w:rPr>
                <w:rFonts w:eastAsia="Times New Roman" w:cs="Times New Roman"/>
                <w:b/>
                <w:bCs/>
                <w:color w:val="000000"/>
                <w:sz w:val="16"/>
                <w:szCs w:val="16"/>
                <w:lang w:eastAsia="es-CO"/>
              </w:rPr>
            </w:pPr>
            <w:r w:rsidRPr="00951AB1">
              <w:rPr>
                <w:rFonts w:eastAsia="Times New Roman" w:cs="Times New Roman"/>
                <w:b/>
                <w:bCs/>
                <w:color w:val="000000"/>
                <w:sz w:val="16"/>
                <w:szCs w:val="16"/>
                <w:lang w:eastAsia="es-CO"/>
              </w:rPr>
              <w:t>MIN</w:t>
            </w:r>
          </w:p>
        </w:tc>
        <w:tc>
          <w:tcPr>
            <w:tcW w:w="342" w:type="pct"/>
            <w:tcBorders>
              <w:top w:val="nil"/>
              <w:left w:val="nil"/>
              <w:bottom w:val="single" w:sz="4" w:space="0" w:color="D0D0D0"/>
              <w:right w:val="single" w:sz="4" w:space="0" w:color="D0D0D0"/>
            </w:tcBorders>
            <w:vAlign w:val="center"/>
            <w:hideMark/>
          </w:tcPr>
          <w:p w14:paraId="1DD808CF" w14:textId="77777777" w:rsidR="005E64D9" w:rsidRPr="00951AB1" w:rsidRDefault="005E64D9" w:rsidP="000A5389">
            <w:pPr>
              <w:spacing w:line="240" w:lineRule="auto"/>
              <w:jc w:val="center"/>
              <w:rPr>
                <w:rFonts w:eastAsia="Times New Roman" w:cs="Times New Roman"/>
                <w:b/>
                <w:bCs/>
                <w:color w:val="000000"/>
                <w:sz w:val="16"/>
                <w:szCs w:val="16"/>
                <w:lang w:eastAsia="es-CO"/>
              </w:rPr>
            </w:pPr>
            <w:r w:rsidRPr="00951AB1">
              <w:rPr>
                <w:rFonts w:eastAsia="Times New Roman" w:cs="Times New Roman"/>
                <w:b/>
                <w:bCs/>
                <w:color w:val="000000"/>
                <w:sz w:val="16"/>
                <w:szCs w:val="16"/>
                <w:lang w:eastAsia="es-CO"/>
              </w:rPr>
              <w:t>MÁX</w:t>
            </w:r>
          </w:p>
        </w:tc>
      </w:tr>
      <w:tr w:rsidR="005E64D9" w:rsidRPr="00951AB1" w14:paraId="2A3D1F64" w14:textId="77777777" w:rsidTr="005E64D9">
        <w:trPr>
          <w:trHeight w:val="690"/>
          <w:jc w:val="center"/>
        </w:trPr>
        <w:tc>
          <w:tcPr>
            <w:tcW w:w="720" w:type="pct"/>
            <w:tcBorders>
              <w:top w:val="nil"/>
              <w:left w:val="single" w:sz="4" w:space="0" w:color="D0D0D0"/>
              <w:bottom w:val="single" w:sz="4" w:space="0" w:color="D0D0D0"/>
              <w:right w:val="single" w:sz="4" w:space="0" w:color="D0D0D0"/>
            </w:tcBorders>
            <w:vAlign w:val="center"/>
            <w:hideMark/>
          </w:tcPr>
          <w:p w14:paraId="5FA4B310" w14:textId="77777777" w:rsidR="005E64D9" w:rsidRPr="00951AB1" w:rsidRDefault="005E64D9" w:rsidP="000A5389">
            <w:pPr>
              <w:spacing w:line="240" w:lineRule="auto"/>
              <w:rPr>
                <w:rFonts w:eastAsia="Times New Roman" w:cs="Times New Roman"/>
                <w:color w:val="000000"/>
                <w:sz w:val="16"/>
                <w:szCs w:val="16"/>
                <w:lang w:eastAsia="es-CO"/>
              </w:rPr>
            </w:pPr>
            <w:r w:rsidRPr="00951AB1">
              <w:rPr>
                <w:rFonts w:eastAsia="Times New Roman" w:cs="Times New Roman"/>
                <w:color w:val="000000"/>
                <w:sz w:val="16"/>
                <w:szCs w:val="16"/>
                <w:lang w:eastAsia="es-CO"/>
              </w:rPr>
              <w:t>Sanciones Disciplinarias</w:t>
            </w:r>
          </w:p>
        </w:tc>
        <w:tc>
          <w:tcPr>
            <w:tcW w:w="933" w:type="pct"/>
            <w:tcBorders>
              <w:top w:val="nil"/>
              <w:left w:val="nil"/>
              <w:bottom w:val="single" w:sz="4" w:space="0" w:color="D0D0D0"/>
              <w:right w:val="single" w:sz="4" w:space="0" w:color="D0D0D0"/>
            </w:tcBorders>
            <w:vAlign w:val="center"/>
            <w:hideMark/>
          </w:tcPr>
          <w:p w14:paraId="4C7668F8" w14:textId="77777777" w:rsidR="005E64D9" w:rsidRPr="00951AB1" w:rsidRDefault="005E64D9" w:rsidP="000A5389">
            <w:pPr>
              <w:spacing w:line="240" w:lineRule="auto"/>
              <w:rPr>
                <w:rFonts w:eastAsia="Times New Roman" w:cs="Times New Roman"/>
                <w:color w:val="000000"/>
                <w:sz w:val="16"/>
                <w:szCs w:val="16"/>
                <w:lang w:eastAsia="es-CO"/>
              </w:rPr>
            </w:pPr>
            <w:r w:rsidRPr="00951AB1">
              <w:rPr>
                <w:rFonts w:eastAsia="Times New Roman" w:cs="Times New Roman"/>
                <w:color w:val="000000"/>
                <w:sz w:val="16"/>
                <w:szCs w:val="16"/>
                <w:lang w:eastAsia="es-CO"/>
              </w:rPr>
              <w:t>CAMILO ANDRES JARAMILLO BERROCAL</w:t>
            </w:r>
          </w:p>
        </w:tc>
        <w:tc>
          <w:tcPr>
            <w:tcW w:w="632" w:type="pct"/>
            <w:tcBorders>
              <w:top w:val="nil"/>
              <w:left w:val="nil"/>
              <w:bottom w:val="single" w:sz="4" w:space="0" w:color="D0D0D0"/>
              <w:right w:val="single" w:sz="4" w:space="0" w:color="D0D0D0"/>
            </w:tcBorders>
            <w:vAlign w:val="center"/>
            <w:hideMark/>
          </w:tcPr>
          <w:p w14:paraId="75A5CB1B" w14:textId="77777777" w:rsidR="005E64D9" w:rsidRPr="00951AB1" w:rsidRDefault="005E64D9" w:rsidP="000A5389">
            <w:pPr>
              <w:spacing w:line="240" w:lineRule="auto"/>
              <w:jc w:val="center"/>
              <w:rPr>
                <w:rFonts w:eastAsia="Times New Roman" w:cs="Times New Roman"/>
                <w:color w:val="000000"/>
                <w:sz w:val="16"/>
                <w:szCs w:val="16"/>
                <w:lang w:eastAsia="es-CO"/>
              </w:rPr>
            </w:pPr>
            <w:r w:rsidRPr="00951AB1">
              <w:rPr>
                <w:rFonts w:eastAsia="Times New Roman" w:cs="Times New Roman"/>
                <w:color w:val="000000"/>
                <w:sz w:val="16"/>
                <w:szCs w:val="16"/>
                <w:lang w:eastAsia="es-CO"/>
              </w:rPr>
              <w:t>85.220.640</w:t>
            </w:r>
          </w:p>
        </w:tc>
        <w:tc>
          <w:tcPr>
            <w:tcW w:w="948" w:type="pct"/>
            <w:tcBorders>
              <w:top w:val="nil"/>
              <w:left w:val="nil"/>
              <w:bottom w:val="single" w:sz="4" w:space="0" w:color="D0D0D0"/>
              <w:right w:val="single" w:sz="4" w:space="0" w:color="D0D0D0"/>
            </w:tcBorders>
            <w:vAlign w:val="center"/>
            <w:hideMark/>
          </w:tcPr>
          <w:p w14:paraId="746DC2EA" w14:textId="77777777" w:rsidR="005E64D9" w:rsidRPr="00951AB1" w:rsidRDefault="005E64D9" w:rsidP="000A5389">
            <w:pPr>
              <w:spacing w:line="240" w:lineRule="auto"/>
              <w:rPr>
                <w:rFonts w:eastAsia="Times New Roman" w:cs="Times New Roman"/>
                <w:color w:val="000000"/>
                <w:sz w:val="16"/>
                <w:szCs w:val="16"/>
                <w:lang w:eastAsia="es-CO"/>
              </w:rPr>
            </w:pPr>
            <w:r w:rsidRPr="00951AB1">
              <w:rPr>
                <w:rFonts w:eastAsia="Times New Roman" w:cs="Times New Roman"/>
                <w:color w:val="000000"/>
                <w:sz w:val="16"/>
                <w:szCs w:val="16"/>
                <w:lang w:eastAsia="es-CO"/>
              </w:rPr>
              <w:t>22/01/2024 (Resolución No. 20241010000605)</w:t>
            </w:r>
          </w:p>
        </w:tc>
        <w:tc>
          <w:tcPr>
            <w:tcW w:w="633" w:type="pct"/>
            <w:tcBorders>
              <w:top w:val="nil"/>
              <w:left w:val="nil"/>
              <w:bottom w:val="single" w:sz="4" w:space="0" w:color="D0D0D0"/>
              <w:right w:val="single" w:sz="4" w:space="0" w:color="D0D0D0"/>
            </w:tcBorders>
            <w:vAlign w:val="center"/>
            <w:hideMark/>
          </w:tcPr>
          <w:p w14:paraId="31DB91CE" w14:textId="77777777" w:rsidR="005E64D9" w:rsidRPr="00951AB1" w:rsidRDefault="005E64D9" w:rsidP="000A5389">
            <w:pPr>
              <w:spacing w:line="240" w:lineRule="auto"/>
              <w:jc w:val="center"/>
              <w:rPr>
                <w:rFonts w:eastAsia="Times New Roman" w:cs="Times New Roman"/>
                <w:color w:val="000000"/>
                <w:sz w:val="16"/>
                <w:szCs w:val="16"/>
                <w:lang w:eastAsia="es-CO"/>
              </w:rPr>
            </w:pPr>
            <w:r w:rsidRPr="00951AB1">
              <w:rPr>
                <w:rFonts w:eastAsia="Times New Roman" w:cs="Times New Roman"/>
                <w:color w:val="000000"/>
                <w:sz w:val="16"/>
                <w:szCs w:val="16"/>
                <w:lang w:eastAsia="es-CO"/>
              </w:rPr>
              <w:t>6/02/2024</w:t>
            </w:r>
          </w:p>
        </w:tc>
        <w:tc>
          <w:tcPr>
            <w:tcW w:w="386" w:type="pct"/>
            <w:tcBorders>
              <w:top w:val="nil"/>
              <w:left w:val="nil"/>
              <w:bottom w:val="single" w:sz="4" w:space="0" w:color="D0D0D0"/>
              <w:right w:val="single" w:sz="4" w:space="0" w:color="D0D0D0"/>
            </w:tcBorders>
            <w:vAlign w:val="center"/>
            <w:hideMark/>
          </w:tcPr>
          <w:p w14:paraId="4F755CFC" w14:textId="77777777" w:rsidR="005E64D9" w:rsidRPr="00951AB1" w:rsidRDefault="005E64D9" w:rsidP="000A5389">
            <w:pPr>
              <w:spacing w:line="240" w:lineRule="auto"/>
              <w:jc w:val="center"/>
              <w:rPr>
                <w:rFonts w:eastAsia="Times New Roman" w:cs="Times New Roman"/>
                <w:color w:val="000000"/>
                <w:sz w:val="16"/>
                <w:szCs w:val="16"/>
                <w:lang w:eastAsia="es-CO"/>
              </w:rPr>
            </w:pPr>
            <w:r w:rsidRPr="00951AB1">
              <w:rPr>
                <w:rFonts w:eastAsia="Times New Roman" w:cs="Times New Roman"/>
                <w:color w:val="000000"/>
                <w:sz w:val="16"/>
                <w:szCs w:val="16"/>
                <w:lang w:eastAsia="es-CO"/>
              </w:rPr>
              <w:t>12%</w:t>
            </w:r>
          </w:p>
        </w:tc>
        <w:tc>
          <w:tcPr>
            <w:tcW w:w="748" w:type="pct"/>
            <w:gridSpan w:val="2"/>
            <w:tcBorders>
              <w:top w:val="single" w:sz="4" w:space="0" w:color="D0D0D0"/>
              <w:left w:val="nil"/>
              <w:bottom w:val="single" w:sz="4" w:space="0" w:color="D0D0D0"/>
              <w:right w:val="single" w:sz="4" w:space="0" w:color="D0D0D0"/>
            </w:tcBorders>
            <w:vAlign w:val="center"/>
            <w:hideMark/>
          </w:tcPr>
          <w:p w14:paraId="647CFE85" w14:textId="77777777" w:rsidR="005E64D9" w:rsidRPr="00951AB1" w:rsidRDefault="005E64D9" w:rsidP="000A5389">
            <w:pPr>
              <w:spacing w:line="240" w:lineRule="auto"/>
              <w:jc w:val="center"/>
              <w:rPr>
                <w:rFonts w:eastAsia="Times New Roman" w:cs="Times New Roman"/>
                <w:color w:val="000000"/>
                <w:sz w:val="16"/>
                <w:szCs w:val="16"/>
                <w:lang w:eastAsia="es-CO"/>
              </w:rPr>
            </w:pPr>
            <w:r w:rsidRPr="00951AB1">
              <w:rPr>
                <w:rFonts w:eastAsia="Times New Roman" w:cs="Times New Roman"/>
                <w:color w:val="000000"/>
                <w:sz w:val="16"/>
                <w:szCs w:val="16"/>
                <w:lang w:eastAsia="es-CO"/>
              </w:rPr>
              <w:t>6/03/2024</w:t>
            </w:r>
          </w:p>
        </w:tc>
      </w:tr>
      <w:tr w:rsidR="005E64D9" w:rsidRPr="00951AB1" w14:paraId="37028FD2" w14:textId="77777777" w:rsidTr="005E64D9">
        <w:trPr>
          <w:trHeight w:val="405"/>
          <w:jc w:val="center"/>
        </w:trPr>
        <w:tc>
          <w:tcPr>
            <w:tcW w:w="720" w:type="pct"/>
            <w:tcBorders>
              <w:top w:val="nil"/>
              <w:left w:val="single" w:sz="4" w:space="0" w:color="D0D0D0"/>
              <w:bottom w:val="single" w:sz="4" w:space="0" w:color="D0D0D0"/>
              <w:right w:val="single" w:sz="4" w:space="0" w:color="D0D0D0"/>
            </w:tcBorders>
            <w:vAlign w:val="center"/>
            <w:hideMark/>
          </w:tcPr>
          <w:p w14:paraId="05EA0876" w14:textId="77777777" w:rsidR="005E64D9" w:rsidRPr="00951AB1" w:rsidRDefault="005E64D9" w:rsidP="000A5389">
            <w:pPr>
              <w:spacing w:line="240" w:lineRule="auto"/>
              <w:rPr>
                <w:rFonts w:eastAsia="Times New Roman" w:cs="Times New Roman"/>
                <w:color w:val="000000"/>
                <w:sz w:val="16"/>
                <w:szCs w:val="16"/>
                <w:lang w:eastAsia="es-CO"/>
              </w:rPr>
            </w:pPr>
            <w:r w:rsidRPr="00951AB1">
              <w:rPr>
                <w:rFonts w:eastAsia="Times New Roman" w:cs="Times New Roman"/>
                <w:color w:val="000000"/>
                <w:sz w:val="16"/>
                <w:szCs w:val="16"/>
                <w:lang w:eastAsia="es-CO"/>
              </w:rPr>
              <w:t>Sanciones Disciplinarias</w:t>
            </w:r>
          </w:p>
        </w:tc>
        <w:tc>
          <w:tcPr>
            <w:tcW w:w="933" w:type="pct"/>
            <w:tcBorders>
              <w:top w:val="nil"/>
              <w:left w:val="nil"/>
              <w:bottom w:val="single" w:sz="4" w:space="0" w:color="D0D0D0"/>
              <w:right w:val="single" w:sz="4" w:space="0" w:color="D0D0D0"/>
            </w:tcBorders>
            <w:vAlign w:val="center"/>
            <w:hideMark/>
          </w:tcPr>
          <w:p w14:paraId="7E535521" w14:textId="77777777" w:rsidR="005E64D9" w:rsidRPr="00951AB1" w:rsidRDefault="005E64D9" w:rsidP="000A5389">
            <w:pPr>
              <w:spacing w:line="240" w:lineRule="auto"/>
              <w:rPr>
                <w:rFonts w:eastAsia="Times New Roman" w:cs="Times New Roman"/>
                <w:color w:val="000000"/>
                <w:sz w:val="16"/>
                <w:szCs w:val="16"/>
                <w:lang w:eastAsia="es-CO"/>
              </w:rPr>
            </w:pPr>
            <w:r w:rsidRPr="00951AB1">
              <w:rPr>
                <w:rFonts w:eastAsia="Times New Roman" w:cs="Times New Roman"/>
                <w:color w:val="000000"/>
                <w:sz w:val="16"/>
                <w:szCs w:val="16"/>
                <w:lang w:eastAsia="es-CO"/>
              </w:rPr>
              <w:t>JULIO CESAR ARANGO GARCES</w:t>
            </w:r>
          </w:p>
        </w:tc>
        <w:tc>
          <w:tcPr>
            <w:tcW w:w="632" w:type="pct"/>
            <w:tcBorders>
              <w:top w:val="nil"/>
              <w:left w:val="nil"/>
              <w:bottom w:val="single" w:sz="4" w:space="0" w:color="D0D0D0"/>
              <w:right w:val="single" w:sz="4" w:space="0" w:color="D0D0D0"/>
            </w:tcBorders>
            <w:vAlign w:val="center"/>
            <w:hideMark/>
          </w:tcPr>
          <w:p w14:paraId="5DF5D104" w14:textId="77777777" w:rsidR="005E64D9" w:rsidRPr="00951AB1" w:rsidRDefault="005E64D9" w:rsidP="000A5389">
            <w:pPr>
              <w:spacing w:line="240" w:lineRule="auto"/>
              <w:jc w:val="center"/>
              <w:rPr>
                <w:rFonts w:eastAsia="Times New Roman" w:cs="Times New Roman"/>
                <w:color w:val="000000"/>
                <w:sz w:val="16"/>
                <w:szCs w:val="16"/>
                <w:lang w:eastAsia="es-CO"/>
              </w:rPr>
            </w:pPr>
            <w:r w:rsidRPr="00951AB1">
              <w:rPr>
                <w:rFonts w:eastAsia="Times New Roman" w:cs="Times New Roman"/>
                <w:color w:val="000000"/>
                <w:sz w:val="16"/>
                <w:szCs w:val="16"/>
                <w:lang w:eastAsia="es-CO"/>
              </w:rPr>
              <w:t>64.526.646</w:t>
            </w:r>
          </w:p>
        </w:tc>
        <w:tc>
          <w:tcPr>
            <w:tcW w:w="948" w:type="pct"/>
            <w:tcBorders>
              <w:top w:val="nil"/>
              <w:left w:val="nil"/>
              <w:bottom w:val="single" w:sz="4" w:space="0" w:color="D0D0D0"/>
              <w:right w:val="single" w:sz="4" w:space="0" w:color="D0D0D0"/>
            </w:tcBorders>
            <w:vAlign w:val="center"/>
            <w:hideMark/>
          </w:tcPr>
          <w:p w14:paraId="3A607460" w14:textId="77777777" w:rsidR="005E64D9" w:rsidRPr="00951AB1" w:rsidRDefault="005E64D9" w:rsidP="000A5389">
            <w:pPr>
              <w:spacing w:line="240" w:lineRule="auto"/>
              <w:rPr>
                <w:rFonts w:eastAsia="Times New Roman" w:cs="Times New Roman"/>
                <w:color w:val="000000"/>
                <w:sz w:val="16"/>
                <w:szCs w:val="16"/>
                <w:lang w:eastAsia="es-CO"/>
              </w:rPr>
            </w:pPr>
            <w:r w:rsidRPr="00951AB1">
              <w:rPr>
                <w:rFonts w:eastAsia="Times New Roman" w:cs="Times New Roman"/>
                <w:color w:val="000000"/>
                <w:sz w:val="16"/>
                <w:szCs w:val="16"/>
                <w:lang w:eastAsia="es-CO"/>
              </w:rPr>
              <w:t>26/05/2023 (Resolución No. 20234020006115)</w:t>
            </w:r>
          </w:p>
        </w:tc>
        <w:tc>
          <w:tcPr>
            <w:tcW w:w="633" w:type="pct"/>
            <w:tcBorders>
              <w:top w:val="nil"/>
              <w:left w:val="nil"/>
              <w:bottom w:val="single" w:sz="4" w:space="0" w:color="D0D0D0"/>
              <w:right w:val="single" w:sz="4" w:space="0" w:color="D0D0D0"/>
            </w:tcBorders>
            <w:vAlign w:val="center"/>
            <w:hideMark/>
          </w:tcPr>
          <w:p w14:paraId="215D4C43" w14:textId="77777777" w:rsidR="005E64D9" w:rsidRPr="00951AB1" w:rsidRDefault="005E64D9" w:rsidP="000A5389">
            <w:pPr>
              <w:spacing w:line="240" w:lineRule="auto"/>
              <w:jc w:val="center"/>
              <w:rPr>
                <w:rFonts w:eastAsia="Times New Roman" w:cs="Times New Roman"/>
                <w:color w:val="000000"/>
                <w:sz w:val="16"/>
                <w:szCs w:val="16"/>
                <w:lang w:eastAsia="es-CO"/>
              </w:rPr>
            </w:pPr>
            <w:r w:rsidRPr="00951AB1">
              <w:rPr>
                <w:rFonts w:eastAsia="Times New Roman" w:cs="Times New Roman"/>
                <w:color w:val="000000"/>
                <w:sz w:val="16"/>
                <w:szCs w:val="16"/>
                <w:lang w:eastAsia="es-CO"/>
              </w:rPr>
              <w:t>30/05/2023</w:t>
            </w:r>
          </w:p>
        </w:tc>
        <w:tc>
          <w:tcPr>
            <w:tcW w:w="386" w:type="pct"/>
            <w:tcBorders>
              <w:top w:val="nil"/>
              <w:left w:val="nil"/>
              <w:bottom w:val="single" w:sz="4" w:space="0" w:color="D0D0D0"/>
              <w:right w:val="single" w:sz="4" w:space="0" w:color="D0D0D0"/>
            </w:tcBorders>
            <w:vAlign w:val="center"/>
            <w:hideMark/>
          </w:tcPr>
          <w:p w14:paraId="13436176" w14:textId="77777777" w:rsidR="005E64D9" w:rsidRPr="00951AB1" w:rsidRDefault="005E64D9" w:rsidP="000A5389">
            <w:pPr>
              <w:spacing w:line="240" w:lineRule="auto"/>
              <w:jc w:val="center"/>
              <w:rPr>
                <w:rFonts w:eastAsia="Times New Roman" w:cs="Times New Roman"/>
                <w:color w:val="000000"/>
                <w:sz w:val="16"/>
                <w:szCs w:val="16"/>
                <w:lang w:eastAsia="es-CO"/>
              </w:rPr>
            </w:pPr>
            <w:r w:rsidRPr="00951AB1">
              <w:rPr>
                <w:rFonts w:eastAsia="Times New Roman" w:cs="Times New Roman"/>
                <w:color w:val="000000"/>
                <w:sz w:val="16"/>
                <w:szCs w:val="16"/>
                <w:lang w:eastAsia="es-CO"/>
              </w:rPr>
              <w:t>12%</w:t>
            </w:r>
          </w:p>
        </w:tc>
        <w:tc>
          <w:tcPr>
            <w:tcW w:w="748" w:type="pct"/>
            <w:gridSpan w:val="2"/>
            <w:tcBorders>
              <w:top w:val="single" w:sz="4" w:space="0" w:color="D0D0D0"/>
              <w:left w:val="nil"/>
              <w:bottom w:val="single" w:sz="4" w:space="0" w:color="D0D0D0"/>
              <w:right w:val="single" w:sz="4" w:space="0" w:color="D0D0D0"/>
            </w:tcBorders>
            <w:vAlign w:val="center"/>
            <w:hideMark/>
          </w:tcPr>
          <w:p w14:paraId="1AFEAB69" w14:textId="77777777" w:rsidR="005E64D9" w:rsidRPr="00951AB1" w:rsidRDefault="005E64D9" w:rsidP="000A5389">
            <w:pPr>
              <w:spacing w:line="240" w:lineRule="auto"/>
              <w:jc w:val="center"/>
              <w:rPr>
                <w:rFonts w:eastAsia="Times New Roman" w:cs="Times New Roman"/>
                <w:color w:val="000000"/>
                <w:sz w:val="16"/>
                <w:szCs w:val="16"/>
                <w:lang w:eastAsia="es-CO"/>
              </w:rPr>
            </w:pPr>
            <w:r w:rsidRPr="00951AB1">
              <w:rPr>
                <w:rFonts w:eastAsia="Times New Roman" w:cs="Times New Roman"/>
                <w:color w:val="000000"/>
                <w:sz w:val="16"/>
                <w:szCs w:val="16"/>
                <w:lang w:eastAsia="es-CO"/>
              </w:rPr>
              <w:t>28/06/2023</w:t>
            </w:r>
          </w:p>
        </w:tc>
      </w:tr>
      <w:tr w:rsidR="005E64D9" w:rsidRPr="00951AB1" w14:paraId="537DFDD5" w14:textId="77777777" w:rsidTr="005E64D9">
        <w:trPr>
          <w:trHeight w:val="375"/>
          <w:jc w:val="center"/>
        </w:trPr>
        <w:tc>
          <w:tcPr>
            <w:tcW w:w="720" w:type="pct"/>
            <w:tcBorders>
              <w:top w:val="nil"/>
              <w:left w:val="single" w:sz="4" w:space="0" w:color="D0D0D0"/>
              <w:bottom w:val="single" w:sz="4" w:space="0" w:color="D0D0D0"/>
              <w:right w:val="single" w:sz="4" w:space="0" w:color="D0D0D0"/>
            </w:tcBorders>
            <w:vAlign w:val="center"/>
            <w:hideMark/>
          </w:tcPr>
          <w:p w14:paraId="7854395C" w14:textId="77777777" w:rsidR="005E64D9" w:rsidRPr="00951AB1" w:rsidRDefault="005E64D9" w:rsidP="000A5389">
            <w:pPr>
              <w:spacing w:line="240" w:lineRule="auto"/>
              <w:rPr>
                <w:rFonts w:eastAsia="Times New Roman" w:cs="Times New Roman"/>
                <w:color w:val="000000"/>
                <w:sz w:val="16"/>
                <w:szCs w:val="16"/>
                <w:lang w:eastAsia="es-CO"/>
              </w:rPr>
            </w:pPr>
            <w:r w:rsidRPr="00951AB1">
              <w:rPr>
                <w:rFonts w:eastAsia="Times New Roman" w:cs="Times New Roman"/>
                <w:color w:val="000000"/>
                <w:sz w:val="16"/>
                <w:szCs w:val="16"/>
                <w:lang w:eastAsia="es-CO"/>
              </w:rPr>
              <w:t>Sanciones Disciplinarias</w:t>
            </w:r>
          </w:p>
        </w:tc>
        <w:tc>
          <w:tcPr>
            <w:tcW w:w="933" w:type="pct"/>
            <w:tcBorders>
              <w:top w:val="nil"/>
              <w:left w:val="nil"/>
              <w:bottom w:val="single" w:sz="4" w:space="0" w:color="D0D0D0"/>
              <w:right w:val="single" w:sz="4" w:space="0" w:color="D0D0D0"/>
            </w:tcBorders>
            <w:vAlign w:val="center"/>
            <w:hideMark/>
          </w:tcPr>
          <w:p w14:paraId="522988F7" w14:textId="77777777" w:rsidR="005E64D9" w:rsidRPr="00951AB1" w:rsidRDefault="005E64D9" w:rsidP="000A5389">
            <w:pPr>
              <w:spacing w:line="240" w:lineRule="auto"/>
              <w:rPr>
                <w:rFonts w:eastAsia="Times New Roman" w:cs="Times New Roman"/>
                <w:color w:val="000000"/>
                <w:sz w:val="16"/>
                <w:szCs w:val="16"/>
                <w:lang w:eastAsia="es-CO"/>
              </w:rPr>
            </w:pPr>
            <w:r w:rsidRPr="00951AB1">
              <w:rPr>
                <w:rFonts w:eastAsia="Times New Roman" w:cs="Times New Roman"/>
                <w:color w:val="000000"/>
                <w:sz w:val="16"/>
                <w:szCs w:val="16"/>
                <w:lang w:eastAsia="es-CO"/>
              </w:rPr>
              <w:t>BEATRIZ EUGENIA MORALES VELEZ</w:t>
            </w:r>
          </w:p>
        </w:tc>
        <w:tc>
          <w:tcPr>
            <w:tcW w:w="632" w:type="pct"/>
            <w:tcBorders>
              <w:top w:val="nil"/>
              <w:left w:val="nil"/>
              <w:bottom w:val="single" w:sz="4" w:space="0" w:color="D0D0D0"/>
              <w:right w:val="single" w:sz="4" w:space="0" w:color="D0D0D0"/>
            </w:tcBorders>
            <w:vAlign w:val="center"/>
            <w:hideMark/>
          </w:tcPr>
          <w:p w14:paraId="1E784007" w14:textId="77777777" w:rsidR="005E64D9" w:rsidRPr="00951AB1" w:rsidRDefault="005E64D9" w:rsidP="000A5389">
            <w:pPr>
              <w:spacing w:line="240" w:lineRule="auto"/>
              <w:jc w:val="center"/>
              <w:rPr>
                <w:rFonts w:eastAsia="Times New Roman" w:cs="Times New Roman"/>
                <w:color w:val="000000"/>
                <w:sz w:val="16"/>
                <w:szCs w:val="16"/>
                <w:lang w:eastAsia="es-CO"/>
              </w:rPr>
            </w:pPr>
            <w:r w:rsidRPr="00951AB1">
              <w:rPr>
                <w:rFonts w:eastAsia="Times New Roman" w:cs="Times New Roman"/>
                <w:color w:val="000000"/>
                <w:sz w:val="16"/>
                <w:szCs w:val="16"/>
                <w:lang w:eastAsia="es-CO"/>
              </w:rPr>
              <w:t>47.185.328</w:t>
            </w:r>
          </w:p>
        </w:tc>
        <w:tc>
          <w:tcPr>
            <w:tcW w:w="948" w:type="pct"/>
            <w:tcBorders>
              <w:top w:val="nil"/>
              <w:left w:val="nil"/>
              <w:bottom w:val="single" w:sz="4" w:space="0" w:color="D0D0D0"/>
              <w:right w:val="single" w:sz="4" w:space="0" w:color="D0D0D0"/>
            </w:tcBorders>
            <w:vAlign w:val="center"/>
            <w:hideMark/>
          </w:tcPr>
          <w:p w14:paraId="063D0D49" w14:textId="77777777" w:rsidR="005E64D9" w:rsidRPr="00951AB1" w:rsidRDefault="005E64D9" w:rsidP="000A5389">
            <w:pPr>
              <w:spacing w:line="240" w:lineRule="auto"/>
              <w:rPr>
                <w:rFonts w:eastAsia="Times New Roman" w:cs="Times New Roman"/>
                <w:color w:val="000000"/>
                <w:sz w:val="16"/>
                <w:szCs w:val="16"/>
                <w:lang w:eastAsia="es-CO"/>
              </w:rPr>
            </w:pPr>
            <w:r w:rsidRPr="00951AB1">
              <w:rPr>
                <w:rFonts w:eastAsia="Times New Roman" w:cs="Times New Roman"/>
                <w:color w:val="000000"/>
                <w:sz w:val="16"/>
                <w:szCs w:val="16"/>
                <w:lang w:eastAsia="es-CO"/>
              </w:rPr>
              <w:t>22/01/2024 (Resolución No. 20241010000605)</w:t>
            </w:r>
          </w:p>
        </w:tc>
        <w:tc>
          <w:tcPr>
            <w:tcW w:w="633" w:type="pct"/>
            <w:tcBorders>
              <w:top w:val="nil"/>
              <w:left w:val="nil"/>
              <w:bottom w:val="single" w:sz="4" w:space="0" w:color="D0D0D0"/>
              <w:right w:val="single" w:sz="4" w:space="0" w:color="D0D0D0"/>
            </w:tcBorders>
            <w:vAlign w:val="center"/>
            <w:hideMark/>
          </w:tcPr>
          <w:p w14:paraId="6F335A98" w14:textId="77777777" w:rsidR="005E64D9" w:rsidRPr="00951AB1" w:rsidRDefault="005E64D9" w:rsidP="000A5389">
            <w:pPr>
              <w:spacing w:line="240" w:lineRule="auto"/>
              <w:jc w:val="center"/>
              <w:rPr>
                <w:rFonts w:eastAsia="Times New Roman" w:cs="Times New Roman"/>
                <w:color w:val="000000"/>
                <w:sz w:val="16"/>
                <w:szCs w:val="16"/>
                <w:lang w:eastAsia="es-CO"/>
              </w:rPr>
            </w:pPr>
            <w:r w:rsidRPr="00951AB1">
              <w:rPr>
                <w:rFonts w:eastAsia="Times New Roman" w:cs="Times New Roman"/>
                <w:color w:val="000000"/>
                <w:sz w:val="16"/>
                <w:szCs w:val="16"/>
                <w:lang w:eastAsia="es-CO"/>
              </w:rPr>
              <w:t>6/02/2024</w:t>
            </w:r>
          </w:p>
        </w:tc>
        <w:tc>
          <w:tcPr>
            <w:tcW w:w="386" w:type="pct"/>
            <w:tcBorders>
              <w:top w:val="nil"/>
              <w:left w:val="nil"/>
              <w:bottom w:val="single" w:sz="4" w:space="0" w:color="D0D0D0"/>
              <w:right w:val="single" w:sz="4" w:space="0" w:color="D0D0D0"/>
            </w:tcBorders>
            <w:vAlign w:val="center"/>
            <w:hideMark/>
          </w:tcPr>
          <w:p w14:paraId="20277873" w14:textId="77777777" w:rsidR="005E64D9" w:rsidRPr="00951AB1" w:rsidRDefault="005E64D9" w:rsidP="000A5389">
            <w:pPr>
              <w:spacing w:line="240" w:lineRule="auto"/>
              <w:jc w:val="center"/>
              <w:rPr>
                <w:rFonts w:eastAsia="Times New Roman" w:cs="Times New Roman"/>
                <w:color w:val="000000"/>
                <w:sz w:val="16"/>
                <w:szCs w:val="16"/>
                <w:lang w:eastAsia="es-CO"/>
              </w:rPr>
            </w:pPr>
            <w:r w:rsidRPr="00951AB1">
              <w:rPr>
                <w:rFonts w:eastAsia="Times New Roman" w:cs="Times New Roman"/>
                <w:color w:val="000000"/>
                <w:sz w:val="16"/>
                <w:szCs w:val="16"/>
                <w:lang w:eastAsia="es-CO"/>
              </w:rPr>
              <w:t>12%</w:t>
            </w:r>
          </w:p>
        </w:tc>
        <w:tc>
          <w:tcPr>
            <w:tcW w:w="748" w:type="pct"/>
            <w:gridSpan w:val="2"/>
            <w:tcBorders>
              <w:top w:val="single" w:sz="4" w:space="0" w:color="D0D0D0"/>
              <w:left w:val="nil"/>
              <w:bottom w:val="single" w:sz="4" w:space="0" w:color="D0D0D0"/>
              <w:right w:val="single" w:sz="4" w:space="0" w:color="D0D0D0"/>
            </w:tcBorders>
            <w:vAlign w:val="center"/>
            <w:hideMark/>
          </w:tcPr>
          <w:p w14:paraId="254497BD" w14:textId="77777777" w:rsidR="005E64D9" w:rsidRPr="00951AB1" w:rsidRDefault="005E64D9" w:rsidP="000A5389">
            <w:pPr>
              <w:spacing w:line="240" w:lineRule="auto"/>
              <w:jc w:val="center"/>
              <w:rPr>
                <w:rFonts w:eastAsia="Times New Roman" w:cs="Times New Roman"/>
                <w:color w:val="000000"/>
                <w:sz w:val="16"/>
                <w:szCs w:val="16"/>
                <w:lang w:eastAsia="es-CO"/>
              </w:rPr>
            </w:pPr>
            <w:r w:rsidRPr="00951AB1">
              <w:rPr>
                <w:rFonts w:eastAsia="Times New Roman" w:cs="Times New Roman"/>
                <w:color w:val="000000"/>
                <w:sz w:val="16"/>
                <w:szCs w:val="16"/>
                <w:lang w:eastAsia="es-CO"/>
              </w:rPr>
              <w:t>6/03/2024</w:t>
            </w:r>
          </w:p>
        </w:tc>
      </w:tr>
      <w:tr w:rsidR="005E64D9" w:rsidRPr="00951AB1" w14:paraId="76E10F1F" w14:textId="77777777" w:rsidTr="005E64D9">
        <w:trPr>
          <w:trHeight w:val="375"/>
          <w:jc w:val="center"/>
        </w:trPr>
        <w:tc>
          <w:tcPr>
            <w:tcW w:w="720" w:type="pct"/>
            <w:tcBorders>
              <w:top w:val="nil"/>
              <w:left w:val="single" w:sz="4" w:space="0" w:color="D0D0D0"/>
              <w:bottom w:val="single" w:sz="4" w:space="0" w:color="D0D0D0"/>
              <w:right w:val="single" w:sz="4" w:space="0" w:color="D0D0D0"/>
            </w:tcBorders>
            <w:vAlign w:val="center"/>
            <w:hideMark/>
          </w:tcPr>
          <w:p w14:paraId="237FBBDB" w14:textId="77777777" w:rsidR="005E64D9" w:rsidRPr="00951AB1" w:rsidRDefault="005E64D9" w:rsidP="000A5389">
            <w:pPr>
              <w:spacing w:line="240" w:lineRule="auto"/>
              <w:rPr>
                <w:rFonts w:eastAsia="Times New Roman" w:cs="Times New Roman"/>
                <w:color w:val="000000"/>
                <w:sz w:val="16"/>
                <w:szCs w:val="16"/>
                <w:lang w:eastAsia="es-CO"/>
              </w:rPr>
            </w:pPr>
            <w:r w:rsidRPr="00951AB1">
              <w:rPr>
                <w:rFonts w:eastAsia="Times New Roman" w:cs="Times New Roman"/>
                <w:color w:val="000000"/>
                <w:sz w:val="16"/>
                <w:szCs w:val="16"/>
                <w:lang w:eastAsia="es-CO"/>
              </w:rPr>
              <w:t>Sanciones Disciplinarias</w:t>
            </w:r>
          </w:p>
        </w:tc>
        <w:tc>
          <w:tcPr>
            <w:tcW w:w="933" w:type="pct"/>
            <w:tcBorders>
              <w:top w:val="nil"/>
              <w:left w:val="nil"/>
              <w:bottom w:val="single" w:sz="4" w:space="0" w:color="D0D0D0"/>
              <w:right w:val="single" w:sz="4" w:space="0" w:color="D0D0D0"/>
            </w:tcBorders>
            <w:vAlign w:val="center"/>
            <w:hideMark/>
          </w:tcPr>
          <w:p w14:paraId="7656947A" w14:textId="77777777" w:rsidR="005E64D9" w:rsidRPr="00951AB1" w:rsidRDefault="005E64D9" w:rsidP="000A5389">
            <w:pPr>
              <w:spacing w:line="240" w:lineRule="auto"/>
              <w:rPr>
                <w:rFonts w:eastAsia="Times New Roman" w:cs="Times New Roman"/>
                <w:color w:val="000000"/>
                <w:sz w:val="16"/>
                <w:szCs w:val="16"/>
                <w:lang w:eastAsia="es-CO"/>
              </w:rPr>
            </w:pPr>
            <w:r w:rsidRPr="00951AB1">
              <w:rPr>
                <w:rFonts w:eastAsia="Times New Roman" w:cs="Times New Roman"/>
                <w:color w:val="000000"/>
                <w:sz w:val="16"/>
                <w:szCs w:val="16"/>
                <w:lang w:eastAsia="es-CO"/>
              </w:rPr>
              <w:t>IVAN MAURICIO FIERRO SANCHEZ</w:t>
            </w:r>
          </w:p>
        </w:tc>
        <w:tc>
          <w:tcPr>
            <w:tcW w:w="632" w:type="pct"/>
            <w:tcBorders>
              <w:top w:val="nil"/>
              <w:left w:val="nil"/>
              <w:bottom w:val="single" w:sz="4" w:space="0" w:color="D0D0D0"/>
              <w:right w:val="single" w:sz="4" w:space="0" w:color="D0D0D0"/>
            </w:tcBorders>
            <w:vAlign w:val="center"/>
            <w:hideMark/>
          </w:tcPr>
          <w:p w14:paraId="728AF6F1" w14:textId="77777777" w:rsidR="005E64D9" w:rsidRPr="00951AB1" w:rsidRDefault="005E64D9" w:rsidP="000A5389">
            <w:pPr>
              <w:spacing w:line="240" w:lineRule="auto"/>
              <w:jc w:val="center"/>
              <w:rPr>
                <w:rFonts w:eastAsia="Times New Roman" w:cs="Times New Roman"/>
                <w:color w:val="000000"/>
                <w:sz w:val="16"/>
                <w:szCs w:val="16"/>
                <w:lang w:eastAsia="es-CO"/>
              </w:rPr>
            </w:pPr>
            <w:r w:rsidRPr="00951AB1">
              <w:rPr>
                <w:rFonts w:eastAsia="Times New Roman" w:cs="Times New Roman"/>
                <w:color w:val="000000"/>
                <w:sz w:val="16"/>
                <w:szCs w:val="16"/>
                <w:lang w:eastAsia="es-CO"/>
              </w:rPr>
              <w:t>34.782.740</w:t>
            </w:r>
          </w:p>
        </w:tc>
        <w:tc>
          <w:tcPr>
            <w:tcW w:w="948" w:type="pct"/>
            <w:tcBorders>
              <w:top w:val="nil"/>
              <w:left w:val="nil"/>
              <w:bottom w:val="single" w:sz="4" w:space="0" w:color="D0D0D0"/>
              <w:right w:val="single" w:sz="4" w:space="0" w:color="D0D0D0"/>
            </w:tcBorders>
            <w:vAlign w:val="center"/>
            <w:hideMark/>
          </w:tcPr>
          <w:p w14:paraId="583067AC" w14:textId="77777777" w:rsidR="005E64D9" w:rsidRPr="00951AB1" w:rsidRDefault="005E64D9" w:rsidP="000A5389">
            <w:pPr>
              <w:spacing w:line="240" w:lineRule="auto"/>
              <w:rPr>
                <w:rFonts w:eastAsia="Times New Roman" w:cs="Times New Roman"/>
                <w:color w:val="000000"/>
                <w:sz w:val="16"/>
                <w:szCs w:val="16"/>
                <w:lang w:eastAsia="es-CO"/>
              </w:rPr>
            </w:pPr>
            <w:r w:rsidRPr="00951AB1">
              <w:rPr>
                <w:rFonts w:eastAsia="Times New Roman" w:cs="Times New Roman"/>
                <w:color w:val="000000"/>
                <w:sz w:val="16"/>
                <w:szCs w:val="16"/>
                <w:lang w:eastAsia="es-CO"/>
              </w:rPr>
              <w:t>22/01/2024 (Resolución No. 20241010000605)</w:t>
            </w:r>
          </w:p>
        </w:tc>
        <w:tc>
          <w:tcPr>
            <w:tcW w:w="633" w:type="pct"/>
            <w:tcBorders>
              <w:top w:val="nil"/>
              <w:left w:val="nil"/>
              <w:bottom w:val="single" w:sz="4" w:space="0" w:color="D0D0D0"/>
              <w:right w:val="single" w:sz="4" w:space="0" w:color="D0D0D0"/>
            </w:tcBorders>
            <w:vAlign w:val="center"/>
            <w:hideMark/>
          </w:tcPr>
          <w:p w14:paraId="54060F85" w14:textId="77777777" w:rsidR="005E64D9" w:rsidRPr="00951AB1" w:rsidRDefault="005E64D9" w:rsidP="000A5389">
            <w:pPr>
              <w:spacing w:line="240" w:lineRule="auto"/>
              <w:jc w:val="center"/>
              <w:rPr>
                <w:rFonts w:eastAsia="Times New Roman" w:cs="Times New Roman"/>
                <w:color w:val="000000"/>
                <w:sz w:val="16"/>
                <w:szCs w:val="16"/>
                <w:lang w:eastAsia="es-CO"/>
              </w:rPr>
            </w:pPr>
            <w:r w:rsidRPr="00951AB1">
              <w:rPr>
                <w:rFonts w:eastAsia="Times New Roman" w:cs="Times New Roman"/>
                <w:color w:val="000000"/>
                <w:sz w:val="16"/>
                <w:szCs w:val="16"/>
                <w:lang w:eastAsia="es-CO"/>
              </w:rPr>
              <w:t>6/02/2024</w:t>
            </w:r>
          </w:p>
        </w:tc>
        <w:tc>
          <w:tcPr>
            <w:tcW w:w="386" w:type="pct"/>
            <w:tcBorders>
              <w:top w:val="nil"/>
              <w:left w:val="nil"/>
              <w:bottom w:val="single" w:sz="4" w:space="0" w:color="D0D0D0"/>
              <w:right w:val="single" w:sz="4" w:space="0" w:color="D0D0D0"/>
            </w:tcBorders>
            <w:vAlign w:val="center"/>
            <w:hideMark/>
          </w:tcPr>
          <w:p w14:paraId="078E3996" w14:textId="77777777" w:rsidR="005E64D9" w:rsidRPr="00951AB1" w:rsidRDefault="005E64D9" w:rsidP="000A5389">
            <w:pPr>
              <w:spacing w:line="240" w:lineRule="auto"/>
              <w:jc w:val="center"/>
              <w:rPr>
                <w:rFonts w:eastAsia="Times New Roman" w:cs="Times New Roman"/>
                <w:color w:val="000000"/>
                <w:sz w:val="16"/>
                <w:szCs w:val="16"/>
                <w:lang w:eastAsia="es-CO"/>
              </w:rPr>
            </w:pPr>
            <w:r w:rsidRPr="00951AB1">
              <w:rPr>
                <w:rFonts w:eastAsia="Times New Roman" w:cs="Times New Roman"/>
                <w:color w:val="000000"/>
                <w:sz w:val="16"/>
                <w:szCs w:val="16"/>
                <w:lang w:eastAsia="es-CO"/>
              </w:rPr>
              <w:t>12%</w:t>
            </w:r>
          </w:p>
        </w:tc>
        <w:tc>
          <w:tcPr>
            <w:tcW w:w="748" w:type="pct"/>
            <w:gridSpan w:val="2"/>
            <w:tcBorders>
              <w:top w:val="single" w:sz="4" w:space="0" w:color="D0D0D0"/>
              <w:left w:val="nil"/>
              <w:bottom w:val="single" w:sz="4" w:space="0" w:color="D0D0D0"/>
              <w:right w:val="single" w:sz="4" w:space="0" w:color="D0D0D0"/>
            </w:tcBorders>
            <w:vAlign w:val="center"/>
            <w:hideMark/>
          </w:tcPr>
          <w:p w14:paraId="253ED794" w14:textId="77777777" w:rsidR="005E64D9" w:rsidRPr="00951AB1" w:rsidRDefault="005E64D9" w:rsidP="000A5389">
            <w:pPr>
              <w:spacing w:line="240" w:lineRule="auto"/>
              <w:jc w:val="center"/>
              <w:rPr>
                <w:rFonts w:eastAsia="Times New Roman" w:cs="Times New Roman"/>
                <w:color w:val="000000"/>
                <w:sz w:val="16"/>
                <w:szCs w:val="16"/>
                <w:lang w:eastAsia="es-CO"/>
              </w:rPr>
            </w:pPr>
            <w:r w:rsidRPr="00951AB1">
              <w:rPr>
                <w:rFonts w:eastAsia="Times New Roman" w:cs="Times New Roman"/>
                <w:color w:val="000000"/>
                <w:sz w:val="16"/>
                <w:szCs w:val="16"/>
                <w:lang w:eastAsia="es-CO"/>
              </w:rPr>
              <w:t>6/03/2024</w:t>
            </w:r>
          </w:p>
        </w:tc>
      </w:tr>
    </w:tbl>
    <w:p w14:paraId="348632E7" w14:textId="77777777" w:rsidR="005E64D9" w:rsidRPr="00951AB1" w:rsidRDefault="005E64D9" w:rsidP="000A5389">
      <w:pPr>
        <w:spacing w:line="240" w:lineRule="auto"/>
        <w:rPr>
          <w:rFonts w:eastAsia="Times New Roman" w:cs="Times New Roman"/>
          <w:sz w:val="14"/>
          <w:szCs w:val="14"/>
          <w:lang w:eastAsia="es-CO"/>
        </w:rPr>
      </w:pPr>
      <w:r w:rsidRPr="00951AB1">
        <w:rPr>
          <w:rFonts w:eastAsia="Times New Roman" w:cs="Times New Roman"/>
          <w:sz w:val="14"/>
          <w:szCs w:val="14"/>
          <w:lang w:eastAsia="es-CO"/>
        </w:rPr>
        <w:t>Cifras expresadas en pesos</w:t>
      </w:r>
    </w:p>
    <w:p w14:paraId="4BA9247F" w14:textId="77777777" w:rsidR="005E64D9" w:rsidRPr="00951AB1" w:rsidRDefault="005E64D9" w:rsidP="000A5389">
      <w:pPr>
        <w:autoSpaceDE w:val="0"/>
        <w:autoSpaceDN w:val="0"/>
        <w:adjustRightInd w:val="0"/>
        <w:spacing w:line="240" w:lineRule="auto"/>
        <w:rPr>
          <w:rFonts w:cs="Times New Roman"/>
          <w:color w:val="000000"/>
          <w:szCs w:val="24"/>
        </w:rPr>
      </w:pPr>
    </w:p>
    <w:p w14:paraId="69D28BE3" w14:textId="77777777" w:rsidR="005E64D9" w:rsidRPr="00951AB1" w:rsidRDefault="005E64D9" w:rsidP="000A5389">
      <w:pPr>
        <w:spacing w:line="240" w:lineRule="auto"/>
        <w:rPr>
          <w:rFonts w:cs="Times New Roman"/>
          <w:szCs w:val="24"/>
          <w:lang w:bidi="es-ES"/>
        </w:rPr>
      </w:pPr>
      <w:r w:rsidRPr="00951AB1">
        <w:rPr>
          <w:rFonts w:cs="Times New Roman"/>
          <w:b/>
          <w:bCs/>
          <w:szCs w:val="24"/>
          <w:lang w:bidi="es-ES"/>
        </w:rPr>
        <w:t>Contractuales</w:t>
      </w:r>
      <w:r w:rsidRPr="00951AB1">
        <w:rPr>
          <w:rFonts w:cs="Times New Roman"/>
          <w:szCs w:val="24"/>
          <w:lang w:bidi="es-ES"/>
        </w:rPr>
        <w:t xml:space="preserve"> por valor total de $</w:t>
      </w:r>
      <w:r w:rsidRPr="00951AB1">
        <w:rPr>
          <w:rFonts w:cs="Times New Roman"/>
        </w:rPr>
        <w:t xml:space="preserve"> </w:t>
      </w:r>
      <w:r w:rsidRPr="00951AB1">
        <w:rPr>
          <w:rFonts w:cs="Times New Roman"/>
          <w:szCs w:val="24"/>
          <w:lang w:bidi="es-ES"/>
        </w:rPr>
        <w:t xml:space="preserve">69.234.528.579 a cargo de: </w:t>
      </w:r>
    </w:p>
    <w:p w14:paraId="4D4D60D3" w14:textId="77777777" w:rsidR="005E64D9" w:rsidRPr="00951AB1" w:rsidRDefault="005E64D9" w:rsidP="000A5389">
      <w:pPr>
        <w:spacing w:line="240" w:lineRule="auto"/>
        <w:ind w:right="-3"/>
        <w:rPr>
          <w:rFonts w:cs="Times New Roman"/>
          <w:szCs w:val="24"/>
          <w:highlight w:val="yellow"/>
        </w:rPr>
      </w:pPr>
    </w:p>
    <w:p w14:paraId="2C8864EE" w14:textId="77777777" w:rsidR="005E64D9" w:rsidRPr="00951AB1" w:rsidRDefault="005E64D9" w:rsidP="000A5389">
      <w:pPr>
        <w:spacing w:line="240" w:lineRule="auto"/>
        <w:ind w:right="48"/>
        <w:rPr>
          <w:rFonts w:cs="Times New Roman"/>
          <w:szCs w:val="24"/>
          <w:lang w:bidi="es-ES"/>
        </w:rPr>
      </w:pPr>
      <w:bookmarkStart w:id="255" w:name="_Hlk191162328"/>
      <w:r w:rsidRPr="00951AB1">
        <w:rPr>
          <w:rFonts w:eastAsiaTheme="minorEastAsia" w:cs="Times New Roman"/>
          <w:szCs w:val="24"/>
          <w:u w:val="single"/>
        </w:rPr>
        <w:t>Sociedad Portuaria Bullpesa S.A:</w:t>
      </w:r>
      <w:r w:rsidRPr="00951AB1">
        <w:rPr>
          <w:rFonts w:eastAsiaTheme="minorEastAsia" w:cs="Times New Roman"/>
          <w:szCs w:val="24"/>
        </w:rPr>
        <w:t xml:space="preserve"> Por valor de $38.280.593.490 </w:t>
      </w:r>
      <w:r w:rsidRPr="00951AB1">
        <w:rPr>
          <w:rFonts w:cs="Times New Roman"/>
          <w:szCs w:val="24"/>
          <w:lang w:bidi="es-ES"/>
        </w:rPr>
        <w:t>corresponde las sanciones contractuales determinadas mediante las Resoluciones ANI No.</w:t>
      </w:r>
      <w:r w:rsidRPr="00951AB1">
        <w:rPr>
          <w:rFonts w:eastAsiaTheme="minorEastAsia" w:cs="Times New Roman"/>
          <w:szCs w:val="24"/>
          <w:lang w:bidi="es-ES"/>
        </w:rPr>
        <w:t xml:space="preserve"> 1904 de 17 de diciembre de 2019 y </w:t>
      </w:r>
      <w:r w:rsidRPr="00951AB1">
        <w:rPr>
          <w:rFonts w:cs="Times New Roman"/>
          <w:szCs w:val="24"/>
          <w:lang w:bidi="es-ES"/>
        </w:rPr>
        <w:t xml:space="preserve">Resolución No. 20227070004345 del 31 de marzo de 2022, las cuales fueron impuestas en dólares de los Estados Unidos de Norte América (USD) y reexpresadas a la TRM del 31 de diciembre de 2025. </w:t>
      </w:r>
    </w:p>
    <w:p w14:paraId="0794D5FB" w14:textId="77777777" w:rsidR="005E64D9" w:rsidRPr="00951AB1" w:rsidRDefault="005E64D9" w:rsidP="000A5389">
      <w:pPr>
        <w:spacing w:line="240" w:lineRule="auto"/>
        <w:rPr>
          <w:rFonts w:cs="Times New Roman"/>
          <w:szCs w:val="24"/>
          <w:u w:val="single"/>
          <w:lang w:bidi="es-ES"/>
        </w:rPr>
      </w:pPr>
    </w:p>
    <w:p w14:paraId="73E1B7A7" w14:textId="77777777" w:rsidR="005E64D9" w:rsidRPr="00951AB1" w:rsidRDefault="005E64D9" w:rsidP="000A5389">
      <w:pPr>
        <w:spacing w:line="240" w:lineRule="auto"/>
        <w:rPr>
          <w:rFonts w:cs="Times New Roman"/>
          <w:szCs w:val="24"/>
          <w:lang w:bidi="es-ES"/>
        </w:rPr>
      </w:pPr>
      <w:r w:rsidRPr="00951AB1">
        <w:rPr>
          <w:rFonts w:cs="Times New Roman"/>
          <w:szCs w:val="24"/>
          <w:u w:val="single"/>
          <w:lang w:bidi="es-ES"/>
        </w:rPr>
        <w:t>Concesionaria Vial de los Andes S.A. - Coviandes S.A:</w:t>
      </w:r>
      <w:r w:rsidRPr="00951AB1">
        <w:rPr>
          <w:rFonts w:cs="Times New Roman"/>
          <w:szCs w:val="24"/>
          <w:lang w:bidi="es-ES"/>
        </w:rPr>
        <w:t xml:space="preserve"> </w:t>
      </w:r>
      <w:r w:rsidRPr="00951AB1">
        <w:rPr>
          <w:rFonts w:eastAsiaTheme="minorEastAsia" w:cs="Times New Roman"/>
          <w:szCs w:val="24"/>
        </w:rPr>
        <w:t xml:space="preserve">Por valor de $23.506.994.882 </w:t>
      </w:r>
      <w:r w:rsidRPr="00951AB1">
        <w:rPr>
          <w:rFonts w:cs="Times New Roman"/>
          <w:szCs w:val="24"/>
          <w:lang w:bidi="es-ES"/>
        </w:rPr>
        <w:t>corresponde al incumplimiento de obligaciones contractuales declaradas de la Resolución ANI No. 1956 del 20 de diciembre de 2019 y, Resolución ANI No. 20217070000535 del 14 de enero de 2021.</w:t>
      </w:r>
    </w:p>
    <w:p w14:paraId="354F67B9" w14:textId="77777777" w:rsidR="005E64D9" w:rsidRPr="00951AB1" w:rsidRDefault="005E64D9" w:rsidP="000A5389">
      <w:pPr>
        <w:spacing w:line="240" w:lineRule="auto"/>
        <w:rPr>
          <w:rFonts w:cs="Times New Roman"/>
          <w:szCs w:val="24"/>
          <w:lang w:bidi="es-ES"/>
        </w:rPr>
      </w:pPr>
    </w:p>
    <w:p w14:paraId="424AE6F8" w14:textId="77777777" w:rsidR="005E64D9" w:rsidRPr="00951AB1" w:rsidRDefault="005E64D9" w:rsidP="000A5389">
      <w:pPr>
        <w:spacing w:line="240" w:lineRule="auto"/>
        <w:rPr>
          <w:rFonts w:cs="Times New Roman"/>
          <w:szCs w:val="24"/>
          <w:lang w:bidi="es-ES"/>
        </w:rPr>
      </w:pPr>
      <w:r w:rsidRPr="00951AB1">
        <w:rPr>
          <w:rFonts w:cs="Times New Roman"/>
          <w:szCs w:val="24"/>
          <w:lang w:bidi="es-ES"/>
        </w:rPr>
        <w:t>Las Resoluciones No. 1956 del 20/12/2019 y 20217070000535 del 14/01/2021 que contienen la obligación a cargo de COVIANDES, fueron anuladas el 10 de noviembre de 2023 mediante Laudo proferido por el Tribunal arbitral convocado por la Concesión Vial de los Andes S.A.S. contra la Agencia Nacional de Infraestructura - 128517, no obstante, conforme a lo establecido en el artículo 40 y siguientes de la Ley 1563 de 2012, el 12 de enero de 2024, la Agencia Nacional de Infraestructura presentó Recurso de anulación en contra del precitado Laudo, con solicitud de suspensión de cumplimiento de los efectos de este.</w:t>
      </w:r>
    </w:p>
    <w:p w14:paraId="4E8B8BDD" w14:textId="77777777" w:rsidR="005E64D9" w:rsidRPr="00951AB1" w:rsidRDefault="005E64D9" w:rsidP="000A5389">
      <w:pPr>
        <w:spacing w:line="240" w:lineRule="auto"/>
        <w:rPr>
          <w:rFonts w:cs="Times New Roman"/>
          <w:szCs w:val="24"/>
          <w:lang w:bidi="es-ES"/>
        </w:rPr>
      </w:pPr>
    </w:p>
    <w:p w14:paraId="5A8179F8" w14:textId="77777777" w:rsidR="005E64D9" w:rsidRPr="00951AB1" w:rsidRDefault="005E64D9" w:rsidP="000A5389">
      <w:pPr>
        <w:spacing w:line="240" w:lineRule="auto"/>
        <w:rPr>
          <w:rFonts w:cs="Times New Roman"/>
          <w:szCs w:val="24"/>
          <w:lang w:bidi="es-ES"/>
        </w:rPr>
      </w:pPr>
      <w:r w:rsidRPr="00951AB1">
        <w:rPr>
          <w:rFonts w:cs="Times New Roman"/>
          <w:szCs w:val="24"/>
          <w:u w:val="single"/>
          <w:lang w:bidi="es-ES"/>
        </w:rPr>
        <w:t>Sociedad Portuaria Terminal de IFO'S S.A:</w:t>
      </w:r>
      <w:r w:rsidRPr="00951AB1">
        <w:rPr>
          <w:rFonts w:cs="Times New Roman"/>
          <w:szCs w:val="24"/>
          <w:lang w:bidi="es-ES"/>
        </w:rPr>
        <w:t xml:space="preserve"> </w:t>
      </w:r>
      <w:r w:rsidRPr="00951AB1">
        <w:rPr>
          <w:rFonts w:eastAsiaTheme="minorEastAsia" w:cs="Times New Roman"/>
          <w:szCs w:val="24"/>
        </w:rPr>
        <w:t xml:space="preserve">Por valor de $2.483.733.384 </w:t>
      </w:r>
      <w:r w:rsidRPr="00951AB1">
        <w:rPr>
          <w:rFonts w:cs="Times New Roman"/>
          <w:szCs w:val="24"/>
          <w:lang w:bidi="es-ES"/>
        </w:rPr>
        <w:t xml:space="preserve">corresponde las sanciones contractuales determinadas mediante las Resoluciones ANI No 20217070012395 del 27/07/202, 20217070010005 del 23/06/201 y 20227070004605 del 06/04/2022; las cuales fueron impuestas en dólares de los Estados Unidos de Norte América (USD) y que, fueron reexpresada a la TRM del 31 de diciembre de 2025. </w:t>
      </w:r>
    </w:p>
    <w:p w14:paraId="34311362" w14:textId="77777777" w:rsidR="005E64D9" w:rsidRPr="00951AB1" w:rsidRDefault="005E64D9" w:rsidP="000A5389">
      <w:pPr>
        <w:spacing w:line="240" w:lineRule="auto"/>
        <w:rPr>
          <w:rFonts w:cs="Times New Roman"/>
          <w:szCs w:val="24"/>
          <w:lang w:bidi="es-ES"/>
        </w:rPr>
      </w:pPr>
    </w:p>
    <w:p w14:paraId="59C16CD8" w14:textId="77777777" w:rsidR="005E64D9" w:rsidRPr="00951AB1" w:rsidRDefault="005E64D9" w:rsidP="000A5389">
      <w:pPr>
        <w:spacing w:line="240" w:lineRule="auto"/>
        <w:rPr>
          <w:rFonts w:cs="Times New Roman"/>
          <w:szCs w:val="24"/>
          <w:lang w:bidi="es-ES"/>
        </w:rPr>
      </w:pPr>
      <w:r w:rsidRPr="00951AB1">
        <w:rPr>
          <w:rFonts w:cs="Times New Roman"/>
          <w:szCs w:val="24"/>
          <w:u w:val="single"/>
          <w:lang w:bidi="es-ES"/>
        </w:rPr>
        <w:t>Sociedad Portuaria Energética Multipropósito y Contenedores Puerto Solo Buenaventura S.A:</w:t>
      </w:r>
      <w:r w:rsidRPr="00951AB1">
        <w:rPr>
          <w:rFonts w:cs="Times New Roman"/>
          <w:szCs w:val="24"/>
          <w:lang w:bidi="es-ES"/>
        </w:rPr>
        <w:t xml:space="preserve"> </w:t>
      </w:r>
      <w:r w:rsidRPr="00951AB1">
        <w:rPr>
          <w:rFonts w:eastAsiaTheme="minorEastAsia" w:cs="Times New Roman"/>
          <w:szCs w:val="24"/>
        </w:rPr>
        <w:t xml:space="preserve">Por valor de $2.388.950.503 </w:t>
      </w:r>
      <w:r w:rsidRPr="00951AB1">
        <w:rPr>
          <w:rFonts w:cs="Times New Roman"/>
          <w:szCs w:val="24"/>
          <w:lang w:bidi="es-ES"/>
        </w:rPr>
        <w:t>corresponde a la Resolución ANI No 20257070012435 del 29-08-2025 por medio de la cual se resuelven los recursos de reposición interpuestos contra la Resolución No. 20247070014225 de 7 de noviembre de 2024, realizando abono a la deuda durante el año 2025.</w:t>
      </w:r>
    </w:p>
    <w:p w14:paraId="6C7976EE" w14:textId="77777777" w:rsidR="005E64D9" w:rsidRPr="00951AB1" w:rsidRDefault="005E64D9" w:rsidP="000A5389">
      <w:pPr>
        <w:spacing w:line="240" w:lineRule="auto"/>
        <w:rPr>
          <w:rFonts w:cs="Times New Roman"/>
          <w:szCs w:val="24"/>
          <w:lang w:bidi="es-ES"/>
        </w:rPr>
      </w:pPr>
    </w:p>
    <w:p w14:paraId="0AD467D9" w14:textId="77777777" w:rsidR="005E64D9" w:rsidRPr="00951AB1" w:rsidRDefault="005E64D9" w:rsidP="000A5389">
      <w:pPr>
        <w:spacing w:line="240" w:lineRule="auto"/>
        <w:rPr>
          <w:rFonts w:cs="Times New Roman"/>
          <w:szCs w:val="24"/>
          <w:lang w:bidi="es-ES"/>
        </w:rPr>
      </w:pPr>
      <w:r w:rsidRPr="00951AB1">
        <w:rPr>
          <w:rFonts w:cs="Times New Roman"/>
          <w:szCs w:val="24"/>
          <w:u w:val="single"/>
          <w:lang w:bidi="es-ES"/>
        </w:rPr>
        <w:t>Consorcio Velnec - GNG:</w:t>
      </w:r>
      <w:r w:rsidRPr="00951AB1">
        <w:rPr>
          <w:rFonts w:cs="Times New Roman"/>
          <w:szCs w:val="24"/>
          <w:lang w:bidi="es-ES"/>
        </w:rPr>
        <w:t xml:space="preserve"> </w:t>
      </w:r>
      <w:r w:rsidRPr="00951AB1">
        <w:rPr>
          <w:rFonts w:eastAsiaTheme="minorEastAsia" w:cs="Times New Roman"/>
          <w:szCs w:val="24"/>
        </w:rPr>
        <w:t xml:space="preserve">Por valor de $2.176.129.175 </w:t>
      </w:r>
      <w:r w:rsidRPr="00951AB1">
        <w:rPr>
          <w:rFonts w:cs="Times New Roman"/>
          <w:szCs w:val="24"/>
          <w:lang w:bidi="es-ES"/>
        </w:rPr>
        <w:t>corresponde a la Resolución ANI No 20257070012045 de fecha 20-08-2025 Por medio de la cual se resuelven unos recursos de reposición interpuestos contra la Resolución ANI No 20247070009845 de fecha 08-08-2024 con fecha de constancia ejecutoria 09-09-2025 Rad. ANI No.: 20251010074969 por la que se declaran unos incumplimientos y se hace efectiva la cláusula penal, dentro del proceso administrativo sancionatorio contractual, en el marco del contrato de Interventoría No. 100/2016.</w:t>
      </w:r>
    </w:p>
    <w:p w14:paraId="11A0AC27" w14:textId="77777777" w:rsidR="005E64D9" w:rsidRPr="00951AB1" w:rsidRDefault="005E64D9" w:rsidP="000A5389">
      <w:pPr>
        <w:spacing w:line="240" w:lineRule="auto"/>
        <w:rPr>
          <w:rFonts w:cs="Times New Roman"/>
          <w:szCs w:val="24"/>
          <w:lang w:bidi="es-ES"/>
        </w:rPr>
      </w:pPr>
    </w:p>
    <w:p w14:paraId="5BF9101C" w14:textId="77777777" w:rsidR="005E64D9" w:rsidRPr="00951AB1" w:rsidRDefault="005E64D9" w:rsidP="000A5389">
      <w:pPr>
        <w:spacing w:line="240" w:lineRule="auto"/>
        <w:ind w:right="-3"/>
        <w:rPr>
          <w:rFonts w:cs="Times New Roman"/>
          <w:szCs w:val="24"/>
          <w:lang w:bidi="es-ES"/>
        </w:rPr>
      </w:pPr>
      <w:r w:rsidRPr="00951AB1">
        <w:rPr>
          <w:rFonts w:cs="Times New Roman"/>
          <w:szCs w:val="24"/>
          <w:u w:val="single"/>
          <w:lang w:bidi="es-ES"/>
        </w:rPr>
        <w:t>Digicom System Corporation SA:</w:t>
      </w:r>
      <w:r w:rsidRPr="00951AB1">
        <w:rPr>
          <w:rFonts w:cs="Times New Roman"/>
          <w:szCs w:val="24"/>
          <w:lang w:bidi="es-ES"/>
        </w:rPr>
        <w:t xml:space="preserve">  </w:t>
      </w:r>
      <w:r w:rsidRPr="00951AB1">
        <w:rPr>
          <w:rFonts w:eastAsiaTheme="minorEastAsia" w:cs="Times New Roman"/>
          <w:szCs w:val="24"/>
        </w:rPr>
        <w:t xml:space="preserve">Por valor de $262.867.895 </w:t>
      </w:r>
      <w:r w:rsidRPr="00951AB1">
        <w:rPr>
          <w:rFonts w:cs="Times New Roman"/>
          <w:szCs w:val="24"/>
          <w:lang w:bidi="es-ES"/>
        </w:rPr>
        <w:t xml:space="preserve">corresponde la sanción contractual impuesta mediante la Resolución ANI No. 20227070021345 del 23 de diciembre de 2022 y 20237070002395 del 02 de marzo de 2023. </w:t>
      </w:r>
    </w:p>
    <w:p w14:paraId="7CEBE7FF" w14:textId="77777777" w:rsidR="005E64D9" w:rsidRPr="00951AB1" w:rsidRDefault="005E64D9" w:rsidP="000A5389">
      <w:pPr>
        <w:spacing w:line="240" w:lineRule="auto"/>
        <w:rPr>
          <w:rFonts w:cs="Times New Roman"/>
          <w:szCs w:val="24"/>
          <w:lang w:bidi="es-ES"/>
        </w:rPr>
      </w:pPr>
    </w:p>
    <w:p w14:paraId="01301C13" w14:textId="77777777" w:rsidR="005E64D9" w:rsidRPr="00951AB1" w:rsidRDefault="005E64D9" w:rsidP="000A5389">
      <w:pPr>
        <w:spacing w:line="240" w:lineRule="auto"/>
        <w:ind w:right="-3"/>
        <w:rPr>
          <w:rFonts w:cs="Times New Roman"/>
          <w:szCs w:val="24"/>
          <w:lang w:bidi="es-ES"/>
        </w:rPr>
      </w:pPr>
      <w:r w:rsidRPr="00951AB1">
        <w:rPr>
          <w:rFonts w:cs="Times New Roman"/>
          <w:szCs w:val="24"/>
          <w:u w:val="single"/>
          <w:lang w:bidi="es-ES"/>
        </w:rPr>
        <w:t>Sociedad Portuaria de la Península:</w:t>
      </w:r>
      <w:r w:rsidRPr="00951AB1">
        <w:rPr>
          <w:rFonts w:cs="Times New Roman"/>
          <w:szCs w:val="24"/>
          <w:lang w:bidi="es-ES"/>
        </w:rPr>
        <w:t xml:space="preserve"> </w:t>
      </w:r>
      <w:r w:rsidRPr="00951AB1">
        <w:rPr>
          <w:rFonts w:eastAsiaTheme="minorEastAsia" w:cs="Times New Roman"/>
          <w:szCs w:val="24"/>
        </w:rPr>
        <w:t xml:space="preserve">Por valor de $78.581.789 </w:t>
      </w:r>
      <w:r w:rsidRPr="00951AB1">
        <w:rPr>
          <w:rFonts w:cs="Times New Roman"/>
          <w:szCs w:val="24"/>
          <w:lang w:bidi="es-ES"/>
        </w:rPr>
        <w:t>corresponde las sanciones contractuales determinadas mediante las Resoluciones ANI No.1482 del 10 de octubre 2016, 1409 del 12 de octubre de 2017 y 20207070017545 de 30-11-2020, las cuales fueron impuestas en dólares de los Estados Unidos de Norte América (USD) y que, fueron reexpresada a la TRM del 31 de diciembre de 2025.</w:t>
      </w:r>
    </w:p>
    <w:p w14:paraId="2DB1B0E3" w14:textId="77777777" w:rsidR="005E64D9" w:rsidRPr="00951AB1" w:rsidRDefault="005E64D9" w:rsidP="000A5389">
      <w:pPr>
        <w:spacing w:line="240" w:lineRule="auto"/>
        <w:ind w:right="-3"/>
        <w:rPr>
          <w:rFonts w:cs="Times New Roman"/>
          <w:szCs w:val="24"/>
          <w:lang w:bidi="es-ES"/>
        </w:rPr>
      </w:pPr>
    </w:p>
    <w:p w14:paraId="14DBBFD9" w14:textId="77777777" w:rsidR="005E64D9" w:rsidRPr="00951AB1" w:rsidRDefault="005E64D9" w:rsidP="000A5389">
      <w:pPr>
        <w:spacing w:line="240" w:lineRule="auto"/>
        <w:ind w:right="-3"/>
        <w:rPr>
          <w:rFonts w:cs="Times New Roman"/>
          <w:szCs w:val="24"/>
          <w:lang w:bidi="es-ES"/>
        </w:rPr>
      </w:pPr>
      <w:r w:rsidRPr="00951AB1">
        <w:rPr>
          <w:rFonts w:cs="Times New Roman"/>
          <w:szCs w:val="24"/>
          <w:u w:val="single"/>
          <w:lang w:bidi="es-ES"/>
        </w:rPr>
        <w:t>Sociedad Portuaria Puerto Hondo S.A:</w:t>
      </w:r>
      <w:r w:rsidRPr="00951AB1">
        <w:rPr>
          <w:rFonts w:cs="Times New Roman"/>
          <w:szCs w:val="24"/>
          <w:lang w:bidi="es-ES"/>
        </w:rPr>
        <w:t xml:space="preserve"> </w:t>
      </w:r>
      <w:r w:rsidRPr="00951AB1">
        <w:rPr>
          <w:rFonts w:eastAsiaTheme="minorEastAsia" w:cs="Times New Roman"/>
          <w:szCs w:val="24"/>
        </w:rPr>
        <w:t xml:space="preserve">Por valor de $51.997.461 </w:t>
      </w:r>
      <w:r w:rsidRPr="00951AB1">
        <w:rPr>
          <w:rFonts w:cs="Times New Roman"/>
          <w:szCs w:val="24"/>
          <w:lang w:bidi="es-ES"/>
        </w:rPr>
        <w:t>corresponde las sanciones contractuales determinadas mediante las Resoluciones ANI No. 1023 del 10 de julio de 2019 confirmada por la Resolución No. 158 de 5 de febrero de 2020 y la Resolución No. 20207070005975 del 18 de mayo del 2020 que deja en firma la 1290 del 29 de agosto del 2019</w:t>
      </w:r>
      <w:r w:rsidRPr="00951AB1">
        <w:rPr>
          <w:rFonts w:cs="Times New Roman"/>
        </w:rPr>
        <w:t xml:space="preserve"> </w:t>
      </w:r>
      <w:r w:rsidRPr="00951AB1">
        <w:rPr>
          <w:rFonts w:cs="Times New Roman"/>
          <w:szCs w:val="24"/>
          <w:lang w:bidi="es-ES"/>
        </w:rPr>
        <w:t>Constancia de Ejecutoria con Radicado ANI 20251010073689 de fecha 05-09-2025. Ambas, impuestas en dólares de los Estados Unidos de Norte América (USD) y reexpresadas a la TRM del 31 de diciembre de 2025.</w:t>
      </w:r>
    </w:p>
    <w:p w14:paraId="4D5B9C78" w14:textId="77777777" w:rsidR="005E64D9" w:rsidRPr="00951AB1" w:rsidRDefault="005E64D9" w:rsidP="000A5389">
      <w:pPr>
        <w:spacing w:line="240" w:lineRule="auto"/>
        <w:ind w:right="-3"/>
        <w:rPr>
          <w:rFonts w:cs="Times New Roman"/>
          <w:szCs w:val="24"/>
          <w:lang w:bidi="es-ES"/>
        </w:rPr>
      </w:pPr>
    </w:p>
    <w:p w14:paraId="4E8E855E" w14:textId="77777777" w:rsidR="005E64D9" w:rsidRPr="00951AB1" w:rsidRDefault="005E64D9" w:rsidP="000A5389">
      <w:pPr>
        <w:spacing w:line="240" w:lineRule="auto"/>
        <w:ind w:right="-3"/>
        <w:rPr>
          <w:rFonts w:cs="Times New Roman"/>
          <w:szCs w:val="24"/>
        </w:rPr>
      </w:pPr>
      <w:r w:rsidRPr="00951AB1">
        <w:rPr>
          <w:rFonts w:cs="Times New Roman"/>
          <w:szCs w:val="24"/>
          <w:u w:val="single"/>
        </w:rPr>
        <w:t>M P S Importaciones Y Exportaciones S.A.S:</w:t>
      </w:r>
      <w:r w:rsidRPr="00951AB1">
        <w:rPr>
          <w:rFonts w:cs="Times New Roman"/>
          <w:szCs w:val="24"/>
        </w:rPr>
        <w:t xml:space="preserve"> </w:t>
      </w:r>
      <w:r w:rsidRPr="00951AB1">
        <w:rPr>
          <w:rFonts w:eastAsiaTheme="minorEastAsia" w:cs="Times New Roman"/>
          <w:szCs w:val="24"/>
        </w:rPr>
        <w:t>Por valor de $4.680.000 c</w:t>
      </w:r>
      <w:r w:rsidRPr="00951AB1">
        <w:rPr>
          <w:rFonts w:cs="Times New Roman"/>
          <w:szCs w:val="24"/>
        </w:rPr>
        <w:t>orresponde a las sanciones contractuales determinadas mediante las Resoluciones ANI No 20227070020375 del 14 de diciembre de 2022 y 20237070005125 del 04 de mayo de 2023</w:t>
      </w:r>
      <w:bookmarkEnd w:id="255"/>
      <w:r w:rsidRPr="00951AB1">
        <w:rPr>
          <w:rFonts w:cs="Times New Roman"/>
          <w:szCs w:val="24"/>
        </w:rPr>
        <w:t>.</w:t>
      </w:r>
    </w:p>
    <w:p w14:paraId="4C9F3A2B" w14:textId="77777777" w:rsidR="005E64D9" w:rsidRPr="00951AB1" w:rsidRDefault="005E64D9" w:rsidP="000A5389">
      <w:pPr>
        <w:spacing w:line="240" w:lineRule="auto"/>
        <w:ind w:right="-3"/>
        <w:rPr>
          <w:rFonts w:cs="Times New Roman"/>
          <w:szCs w:val="24"/>
          <w:highlight w:val="yellow"/>
        </w:rPr>
      </w:pPr>
    </w:p>
    <w:tbl>
      <w:tblPr>
        <w:tblW w:w="5000" w:type="pct"/>
        <w:tblCellMar>
          <w:left w:w="70" w:type="dxa"/>
          <w:right w:w="70" w:type="dxa"/>
        </w:tblCellMar>
        <w:tblLook w:val="04A0" w:firstRow="1" w:lastRow="0" w:firstColumn="1" w:lastColumn="0" w:noHBand="0" w:noVBand="1"/>
      </w:tblPr>
      <w:tblGrid>
        <w:gridCol w:w="1151"/>
        <w:gridCol w:w="1501"/>
        <w:gridCol w:w="1171"/>
        <w:gridCol w:w="2151"/>
        <w:gridCol w:w="1047"/>
        <w:gridCol w:w="486"/>
        <w:gridCol w:w="638"/>
        <w:gridCol w:w="683"/>
      </w:tblGrid>
      <w:tr w:rsidR="005E64D9" w:rsidRPr="00951AB1" w14:paraId="508BC529" w14:textId="77777777" w:rsidTr="005E64D9">
        <w:trPr>
          <w:trHeight w:val="585"/>
          <w:tblHeader/>
        </w:trPr>
        <w:tc>
          <w:tcPr>
            <w:tcW w:w="652" w:type="pct"/>
            <w:vMerge w:val="restart"/>
            <w:tcBorders>
              <w:top w:val="single" w:sz="4" w:space="0" w:color="D0D0D0"/>
              <w:left w:val="single" w:sz="4" w:space="0" w:color="D0D0D0"/>
              <w:bottom w:val="single" w:sz="4" w:space="0" w:color="D0D0D0"/>
              <w:right w:val="single" w:sz="4" w:space="0" w:color="D0D0D0"/>
            </w:tcBorders>
            <w:vAlign w:val="center"/>
            <w:hideMark/>
          </w:tcPr>
          <w:p w14:paraId="666F7EE2" w14:textId="77777777" w:rsidR="005E64D9" w:rsidRPr="00951AB1" w:rsidRDefault="005E64D9" w:rsidP="000A5389">
            <w:pPr>
              <w:spacing w:line="240" w:lineRule="auto"/>
              <w:jc w:val="center"/>
              <w:rPr>
                <w:rFonts w:eastAsia="Times New Roman" w:cs="Times New Roman"/>
                <w:b/>
                <w:bCs/>
                <w:color w:val="000000"/>
                <w:sz w:val="16"/>
                <w:szCs w:val="16"/>
                <w:lang w:eastAsia="es-CO"/>
              </w:rPr>
            </w:pPr>
            <w:r w:rsidRPr="00951AB1">
              <w:rPr>
                <w:rFonts w:eastAsia="Times New Roman" w:cs="Times New Roman"/>
                <w:b/>
                <w:bCs/>
                <w:color w:val="000000"/>
                <w:sz w:val="16"/>
                <w:szCs w:val="16"/>
                <w:lang w:eastAsia="es-CO"/>
              </w:rPr>
              <w:lastRenderedPageBreak/>
              <w:t>CONCEPTO</w:t>
            </w:r>
          </w:p>
        </w:tc>
        <w:tc>
          <w:tcPr>
            <w:tcW w:w="850" w:type="pct"/>
            <w:vMerge w:val="restart"/>
            <w:tcBorders>
              <w:top w:val="single" w:sz="4" w:space="0" w:color="D0D0D0"/>
              <w:left w:val="single" w:sz="4" w:space="0" w:color="D0D0D0"/>
              <w:bottom w:val="single" w:sz="4" w:space="0" w:color="D0D0D0"/>
              <w:right w:val="single" w:sz="4" w:space="0" w:color="D0D0D0"/>
            </w:tcBorders>
            <w:vAlign w:val="center"/>
            <w:hideMark/>
          </w:tcPr>
          <w:p w14:paraId="5E639B89" w14:textId="77777777" w:rsidR="005E64D9" w:rsidRPr="00951AB1" w:rsidRDefault="005E64D9" w:rsidP="000A5389">
            <w:pPr>
              <w:spacing w:line="240" w:lineRule="auto"/>
              <w:jc w:val="center"/>
              <w:rPr>
                <w:rFonts w:eastAsia="Times New Roman" w:cs="Times New Roman"/>
                <w:b/>
                <w:bCs/>
                <w:color w:val="000000"/>
                <w:sz w:val="16"/>
                <w:szCs w:val="16"/>
                <w:lang w:eastAsia="es-CO"/>
              </w:rPr>
            </w:pPr>
            <w:r w:rsidRPr="00951AB1">
              <w:rPr>
                <w:rFonts w:eastAsia="Times New Roman" w:cs="Times New Roman"/>
                <w:b/>
                <w:bCs/>
                <w:color w:val="000000"/>
                <w:sz w:val="16"/>
                <w:szCs w:val="16"/>
                <w:lang w:eastAsia="es-CO"/>
              </w:rPr>
              <w:t>TERCERO</w:t>
            </w:r>
          </w:p>
        </w:tc>
        <w:tc>
          <w:tcPr>
            <w:tcW w:w="663" w:type="pct"/>
            <w:tcBorders>
              <w:top w:val="single" w:sz="4" w:space="0" w:color="D0D0D0"/>
              <w:left w:val="nil"/>
              <w:bottom w:val="single" w:sz="4" w:space="0" w:color="D0D0D0"/>
              <w:right w:val="single" w:sz="4" w:space="0" w:color="D0D0D0"/>
            </w:tcBorders>
            <w:vAlign w:val="center"/>
            <w:hideMark/>
          </w:tcPr>
          <w:p w14:paraId="2E52C524" w14:textId="77777777" w:rsidR="005E64D9" w:rsidRPr="00951AB1" w:rsidRDefault="005E64D9" w:rsidP="000A5389">
            <w:pPr>
              <w:spacing w:line="240" w:lineRule="auto"/>
              <w:jc w:val="center"/>
              <w:rPr>
                <w:rFonts w:eastAsia="Times New Roman" w:cs="Times New Roman"/>
                <w:b/>
                <w:bCs/>
                <w:color w:val="000000"/>
                <w:sz w:val="16"/>
                <w:szCs w:val="16"/>
                <w:lang w:eastAsia="es-CO"/>
              </w:rPr>
            </w:pPr>
            <w:r w:rsidRPr="00951AB1">
              <w:rPr>
                <w:rFonts w:eastAsia="Times New Roman" w:cs="Times New Roman"/>
                <w:b/>
                <w:bCs/>
                <w:color w:val="000000"/>
                <w:sz w:val="16"/>
                <w:szCs w:val="16"/>
                <w:lang w:eastAsia="es-CO"/>
              </w:rPr>
              <w:t xml:space="preserve">VALOR </w:t>
            </w:r>
          </w:p>
        </w:tc>
        <w:tc>
          <w:tcPr>
            <w:tcW w:w="1811" w:type="pct"/>
            <w:gridSpan w:val="2"/>
            <w:tcBorders>
              <w:top w:val="single" w:sz="4" w:space="0" w:color="D0D0D0"/>
              <w:left w:val="nil"/>
              <w:bottom w:val="single" w:sz="4" w:space="0" w:color="D0D0D0"/>
              <w:right w:val="single" w:sz="4" w:space="0" w:color="D0D0D0"/>
            </w:tcBorders>
            <w:vAlign w:val="center"/>
            <w:hideMark/>
          </w:tcPr>
          <w:p w14:paraId="3861BEE9" w14:textId="77777777" w:rsidR="005E64D9" w:rsidRPr="00951AB1" w:rsidRDefault="005E64D9" w:rsidP="000A5389">
            <w:pPr>
              <w:spacing w:line="240" w:lineRule="auto"/>
              <w:jc w:val="center"/>
              <w:rPr>
                <w:rFonts w:eastAsia="Times New Roman" w:cs="Times New Roman"/>
                <w:b/>
                <w:bCs/>
                <w:color w:val="000000"/>
                <w:sz w:val="16"/>
                <w:szCs w:val="16"/>
                <w:lang w:eastAsia="es-CO"/>
              </w:rPr>
            </w:pPr>
            <w:r w:rsidRPr="00951AB1">
              <w:rPr>
                <w:rFonts w:eastAsia="Times New Roman" w:cs="Times New Roman"/>
                <w:b/>
                <w:bCs/>
                <w:color w:val="000000"/>
                <w:sz w:val="16"/>
                <w:szCs w:val="16"/>
                <w:lang w:eastAsia="es-CO"/>
              </w:rPr>
              <w:t>PLAZO</w:t>
            </w:r>
          </w:p>
        </w:tc>
        <w:tc>
          <w:tcPr>
            <w:tcW w:w="275" w:type="pct"/>
            <w:vMerge w:val="restart"/>
            <w:tcBorders>
              <w:top w:val="single" w:sz="4" w:space="0" w:color="D0D0D0"/>
              <w:left w:val="single" w:sz="4" w:space="0" w:color="D0D0D0"/>
              <w:bottom w:val="single" w:sz="4" w:space="0" w:color="D0D0D0"/>
              <w:right w:val="single" w:sz="4" w:space="0" w:color="D0D0D0"/>
            </w:tcBorders>
            <w:vAlign w:val="center"/>
            <w:hideMark/>
          </w:tcPr>
          <w:p w14:paraId="18E5B967" w14:textId="77777777" w:rsidR="005E64D9" w:rsidRPr="00951AB1" w:rsidRDefault="005E64D9" w:rsidP="000A5389">
            <w:pPr>
              <w:spacing w:line="240" w:lineRule="auto"/>
              <w:jc w:val="center"/>
              <w:rPr>
                <w:rFonts w:eastAsia="Times New Roman" w:cs="Times New Roman"/>
                <w:b/>
                <w:bCs/>
                <w:color w:val="000000"/>
                <w:sz w:val="16"/>
                <w:szCs w:val="16"/>
                <w:lang w:eastAsia="es-CO"/>
              </w:rPr>
            </w:pPr>
            <w:r w:rsidRPr="00951AB1">
              <w:rPr>
                <w:rFonts w:eastAsia="Times New Roman" w:cs="Times New Roman"/>
                <w:b/>
                <w:bCs/>
                <w:color w:val="000000"/>
                <w:sz w:val="16"/>
                <w:szCs w:val="16"/>
                <w:lang w:eastAsia="es-CO"/>
              </w:rPr>
              <w:t>% E.A</w:t>
            </w:r>
          </w:p>
        </w:tc>
        <w:tc>
          <w:tcPr>
            <w:tcW w:w="748" w:type="pct"/>
            <w:gridSpan w:val="2"/>
            <w:tcBorders>
              <w:top w:val="single" w:sz="4" w:space="0" w:color="D0D0D0"/>
              <w:left w:val="nil"/>
              <w:bottom w:val="single" w:sz="4" w:space="0" w:color="D0D0D0"/>
              <w:right w:val="single" w:sz="4" w:space="0" w:color="D0D0D0"/>
            </w:tcBorders>
            <w:vAlign w:val="center"/>
            <w:hideMark/>
          </w:tcPr>
          <w:p w14:paraId="40066635" w14:textId="77777777" w:rsidR="005E64D9" w:rsidRPr="00951AB1" w:rsidRDefault="005E64D9" w:rsidP="000A5389">
            <w:pPr>
              <w:spacing w:line="240" w:lineRule="auto"/>
              <w:jc w:val="center"/>
              <w:rPr>
                <w:rFonts w:eastAsia="Times New Roman" w:cs="Times New Roman"/>
                <w:b/>
                <w:bCs/>
                <w:color w:val="000000"/>
                <w:sz w:val="16"/>
                <w:szCs w:val="16"/>
                <w:lang w:eastAsia="es-CO"/>
              </w:rPr>
            </w:pPr>
            <w:r w:rsidRPr="00951AB1">
              <w:rPr>
                <w:rFonts w:eastAsia="Times New Roman" w:cs="Times New Roman"/>
                <w:b/>
                <w:bCs/>
                <w:color w:val="000000"/>
                <w:sz w:val="16"/>
                <w:szCs w:val="16"/>
                <w:lang w:eastAsia="es-CO"/>
              </w:rPr>
              <w:t xml:space="preserve">VENCIMIENTO </w:t>
            </w:r>
          </w:p>
        </w:tc>
      </w:tr>
      <w:tr w:rsidR="005E64D9" w:rsidRPr="00951AB1" w14:paraId="46F31EF0" w14:textId="77777777" w:rsidTr="005E64D9">
        <w:trPr>
          <w:trHeight w:val="300"/>
          <w:tblHeader/>
        </w:trPr>
        <w:tc>
          <w:tcPr>
            <w:tcW w:w="652" w:type="pct"/>
            <w:vMerge/>
            <w:tcBorders>
              <w:top w:val="single" w:sz="4" w:space="0" w:color="D0D0D0"/>
              <w:left w:val="single" w:sz="4" w:space="0" w:color="D0D0D0"/>
              <w:bottom w:val="single" w:sz="4" w:space="0" w:color="D0D0D0"/>
              <w:right w:val="single" w:sz="4" w:space="0" w:color="D0D0D0"/>
            </w:tcBorders>
            <w:vAlign w:val="center"/>
            <w:hideMark/>
          </w:tcPr>
          <w:p w14:paraId="1D17A1CB" w14:textId="77777777" w:rsidR="005E64D9" w:rsidRPr="00951AB1" w:rsidRDefault="005E64D9" w:rsidP="000A5389">
            <w:pPr>
              <w:spacing w:line="240" w:lineRule="auto"/>
              <w:rPr>
                <w:rFonts w:eastAsia="Times New Roman" w:cs="Times New Roman"/>
                <w:b/>
                <w:bCs/>
                <w:color w:val="000000"/>
                <w:sz w:val="16"/>
                <w:szCs w:val="16"/>
                <w:lang w:eastAsia="es-CO"/>
              </w:rPr>
            </w:pPr>
          </w:p>
        </w:tc>
        <w:tc>
          <w:tcPr>
            <w:tcW w:w="850" w:type="pct"/>
            <w:vMerge/>
            <w:tcBorders>
              <w:top w:val="single" w:sz="4" w:space="0" w:color="D0D0D0"/>
              <w:left w:val="single" w:sz="4" w:space="0" w:color="D0D0D0"/>
              <w:bottom w:val="single" w:sz="4" w:space="0" w:color="D0D0D0"/>
              <w:right w:val="single" w:sz="4" w:space="0" w:color="D0D0D0"/>
            </w:tcBorders>
            <w:vAlign w:val="center"/>
            <w:hideMark/>
          </w:tcPr>
          <w:p w14:paraId="2EA6B1CD" w14:textId="77777777" w:rsidR="005E64D9" w:rsidRPr="00951AB1" w:rsidRDefault="005E64D9" w:rsidP="000A5389">
            <w:pPr>
              <w:spacing w:line="240" w:lineRule="auto"/>
              <w:rPr>
                <w:rFonts w:eastAsia="Times New Roman" w:cs="Times New Roman"/>
                <w:b/>
                <w:bCs/>
                <w:color w:val="000000"/>
                <w:sz w:val="16"/>
                <w:szCs w:val="16"/>
                <w:lang w:eastAsia="es-CO"/>
              </w:rPr>
            </w:pPr>
          </w:p>
        </w:tc>
        <w:tc>
          <w:tcPr>
            <w:tcW w:w="663" w:type="pct"/>
            <w:tcBorders>
              <w:top w:val="nil"/>
              <w:left w:val="nil"/>
              <w:bottom w:val="single" w:sz="4" w:space="0" w:color="D0D0D0"/>
              <w:right w:val="single" w:sz="4" w:space="0" w:color="D0D0D0"/>
            </w:tcBorders>
            <w:vAlign w:val="center"/>
            <w:hideMark/>
          </w:tcPr>
          <w:p w14:paraId="4BFFE322" w14:textId="77777777" w:rsidR="005E64D9" w:rsidRPr="00951AB1" w:rsidRDefault="005E64D9" w:rsidP="000A5389">
            <w:pPr>
              <w:spacing w:line="240" w:lineRule="auto"/>
              <w:jc w:val="center"/>
              <w:rPr>
                <w:rFonts w:eastAsia="Times New Roman" w:cs="Times New Roman"/>
                <w:b/>
                <w:bCs/>
                <w:color w:val="000000"/>
                <w:sz w:val="16"/>
                <w:szCs w:val="16"/>
                <w:lang w:eastAsia="es-CO"/>
              </w:rPr>
            </w:pPr>
            <w:r w:rsidRPr="00951AB1">
              <w:rPr>
                <w:rFonts w:eastAsia="Times New Roman" w:cs="Times New Roman"/>
                <w:b/>
                <w:bCs/>
                <w:color w:val="000000"/>
                <w:sz w:val="16"/>
                <w:szCs w:val="16"/>
                <w:lang w:eastAsia="es-CO"/>
              </w:rPr>
              <w:t>31/12/2025</w:t>
            </w:r>
          </w:p>
        </w:tc>
        <w:tc>
          <w:tcPr>
            <w:tcW w:w="1218" w:type="pct"/>
            <w:tcBorders>
              <w:top w:val="nil"/>
              <w:left w:val="nil"/>
              <w:bottom w:val="single" w:sz="4" w:space="0" w:color="D0D0D0"/>
              <w:right w:val="single" w:sz="4" w:space="0" w:color="D0D0D0"/>
            </w:tcBorders>
            <w:vAlign w:val="center"/>
            <w:hideMark/>
          </w:tcPr>
          <w:p w14:paraId="32B96B24" w14:textId="77777777" w:rsidR="005E64D9" w:rsidRPr="00951AB1" w:rsidRDefault="005E64D9" w:rsidP="000A5389">
            <w:pPr>
              <w:spacing w:line="240" w:lineRule="auto"/>
              <w:jc w:val="center"/>
              <w:rPr>
                <w:rFonts w:eastAsia="Times New Roman" w:cs="Times New Roman"/>
                <w:b/>
                <w:bCs/>
                <w:color w:val="000000"/>
                <w:sz w:val="16"/>
                <w:szCs w:val="16"/>
                <w:lang w:eastAsia="es-CO"/>
              </w:rPr>
            </w:pPr>
            <w:r w:rsidRPr="00951AB1">
              <w:rPr>
                <w:rFonts w:eastAsia="Times New Roman" w:cs="Times New Roman"/>
                <w:b/>
                <w:bCs/>
                <w:color w:val="000000"/>
                <w:sz w:val="16"/>
                <w:szCs w:val="16"/>
                <w:lang w:eastAsia="es-CO"/>
              </w:rPr>
              <w:t>MINIMO</w:t>
            </w:r>
          </w:p>
        </w:tc>
        <w:tc>
          <w:tcPr>
            <w:tcW w:w="593" w:type="pct"/>
            <w:tcBorders>
              <w:top w:val="nil"/>
              <w:left w:val="nil"/>
              <w:bottom w:val="single" w:sz="4" w:space="0" w:color="D0D0D0"/>
              <w:right w:val="single" w:sz="4" w:space="0" w:color="D0D0D0"/>
            </w:tcBorders>
            <w:vAlign w:val="center"/>
            <w:hideMark/>
          </w:tcPr>
          <w:p w14:paraId="0E500B1D" w14:textId="77777777" w:rsidR="005E64D9" w:rsidRPr="00951AB1" w:rsidRDefault="005E64D9" w:rsidP="000A5389">
            <w:pPr>
              <w:spacing w:line="240" w:lineRule="auto"/>
              <w:jc w:val="center"/>
              <w:rPr>
                <w:rFonts w:eastAsia="Times New Roman" w:cs="Times New Roman"/>
                <w:b/>
                <w:bCs/>
                <w:color w:val="000000"/>
                <w:sz w:val="16"/>
                <w:szCs w:val="16"/>
                <w:lang w:eastAsia="es-CO"/>
              </w:rPr>
            </w:pPr>
            <w:r w:rsidRPr="00951AB1">
              <w:rPr>
                <w:rFonts w:eastAsia="Times New Roman" w:cs="Times New Roman"/>
                <w:b/>
                <w:bCs/>
                <w:color w:val="000000"/>
                <w:sz w:val="16"/>
                <w:szCs w:val="16"/>
                <w:lang w:eastAsia="es-CO"/>
              </w:rPr>
              <w:t>MÁXIMO</w:t>
            </w:r>
          </w:p>
        </w:tc>
        <w:tc>
          <w:tcPr>
            <w:tcW w:w="275" w:type="pct"/>
            <w:vMerge/>
            <w:tcBorders>
              <w:top w:val="single" w:sz="4" w:space="0" w:color="D0D0D0"/>
              <w:left w:val="single" w:sz="4" w:space="0" w:color="D0D0D0"/>
              <w:bottom w:val="single" w:sz="4" w:space="0" w:color="D0D0D0"/>
              <w:right w:val="single" w:sz="4" w:space="0" w:color="D0D0D0"/>
            </w:tcBorders>
            <w:vAlign w:val="center"/>
            <w:hideMark/>
          </w:tcPr>
          <w:p w14:paraId="2FC71281" w14:textId="77777777" w:rsidR="005E64D9" w:rsidRPr="00951AB1" w:rsidRDefault="005E64D9" w:rsidP="000A5389">
            <w:pPr>
              <w:spacing w:line="240" w:lineRule="auto"/>
              <w:rPr>
                <w:rFonts w:eastAsia="Times New Roman" w:cs="Times New Roman"/>
                <w:b/>
                <w:bCs/>
                <w:color w:val="000000"/>
                <w:sz w:val="16"/>
                <w:szCs w:val="16"/>
                <w:lang w:eastAsia="es-CO"/>
              </w:rPr>
            </w:pPr>
          </w:p>
        </w:tc>
        <w:tc>
          <w:tcPr>
            <w:tcW w:w="361" w:type="pct"/>
            <w:tcBorders>
              <w:top w:val="nil"/>
              <w:left w:val="nil"/>
              <w:bottom w:val="single" w:sz="4" w:space="0" w:color="D0D0D0"/>
              <w:right w:val="single" w:sz="4" w:space="0" w:color="D0D0D0"/>
            </w:tcBorders>
            <w:vAlign w:val="center"/>
            <w:hideMark/>
          </w:tcPr>
          <w:p w14:paraId="031DB6D5" w14:textId="77777777" w:rsidR="005E64D9" w:rsidRPr="00951AB1" w:rsidRDefault="005E64D9" w:rsidP="000A5389">
            <w:pPr>
              <w:spacing w:line="240" w:lineRule="auto"/>
              <w:jc w:val="center"/>
              <w:rPr>
                <w:rFonts w:eastAsia="Times New Roman" w:cs="Times New Roman"/>
                <w:b/>
                <w:bCs/>
                <w:color w:val="000000"/>
                <w:sz w:val="16"/>
                <w:szCs w:val="16"/>
                <w:lang w:eastAsia="es-CO"/>
              </w:rPr>
            </w:pPr>
            <w:r w:rsidRPr="00951AB1">
              <w:rPr>
                <w:rFonts w:eastAsia="Times New Roman" w:cs="Times New Roman"/>
                <w:b/>
                <w:bCs/>
                <w:color w:val="000000"/>
                <w:sz w:val="16"/>
                <w:szCs w:val="16"/>
                <w:lang w:eastAsia="es-CO"/>
              </w:rPr>
              <w:t>MIN</w:t>
            </w:r>
          </w:p>
        </w:tc>
        <w:tc>
          <w:tcPr>
            <w:tcW w:w="387" w:type="pct"/>
            <w:tcBorders>
              <w:top w:val="nil"/>
              <w:left w:val="nil"/>
              <w:bottom w:val="single" w:sz="4" w:space="0" w:color="D0D0D0"/>
              <w:right w:val="single" w:sz="4" w:space="0" w:color="D0D0D0"/>
            </w:tcBorders>
            <w:vAlign w:val="center"/>
            <w:hideMark/>
          </w:tcPr>
          <w:p w14:paraId="25FBC64C" w14:textId="77777777" w:rsidR="005E64D9" w:rsidRPr="00951AB1" w:rsidRDefault="005E64D9" w:rsidP="000A5389">
            <w:pPr>
              <w:spacing w:line="240" w:lineRule="auto"/>
              <w:jc w:val="center"/>
              <w:rPr>
                <w:rFonts w:eastAsia="Times New Roman" w:cs="Times New Roman"/>
                <w:b/>
                <w:bCs/>
                <w:color w:val="000000"/>
                <w:sz w:val="16"/>
                <w:szCs w:val="16"/>
                <w:lang w:eastAsia="es-CO"/>
              </w:rPr>
            </w:pPr>
            <w:r w:rsidRPr="00951AB1">
              <w:rPr>
                <w:rFonts w:eastAsia="Times New Roman" w:cs="Times New Roman"/>
                <w:b/>
                <w:bCs/>
                <w:color w:val="000000"/>
                <w:sz w:val="16"/>
                <w:szCs w:val="16"/>
                <w:lang w:eastAsia="es-CO"/>
              </w:rPr>
              <w:t>MÁX</w:t>
            </w:r>
          </w:p>
        </w:tc>
      </w:tr>
      <w:tr w:rsidR="005E64D9" w:rsidRPr="00951AB1" w14:paraId="177C5AC8" w14:textId="77777777" w:rsidTr="005E64D9">
        <w:trPr>
          <w:trHeight w:val="510"/>
        </w:trPr>
        <w:tc>
          <w:tcPr>
            <w:tcW w:w="652" w:type="pct"/>
            <w:tcBorders>
              <w:top w:val="nil"/>
              <w:left w:val="single" w:sz="4" w:space="0" w:color="D0D0D0"/>
              <w:bottom w:val="single" w:sz="4" w:space="0" w:color="D0D0D0"/>
              <w:right w:val="single" w:sz="4" w:space="0" w:color="D0D0D0"/>
            </w:tcBorders>
            <w:vAlign w:val="center"/>
            <w:hideMark/>
          </w:tcPr>
          <w:p w14:paraId="77F6B90C" w14:textId="77777777" w:rsidR="005E64D9" w:rsidRPr="00951AB1" w:rsidRDefault="005E64D9" w:rsidP="000A5389">
            <w:pPr>
              <w:spacing w:line="240" w:lineRule="auto"/>
              <w:rPr>
                <w:rFonts w:eastAsia="Times New Roman" w:cs="Times New Roman"/>
                <w:color w:val="000000"/>
                <w:sz w:val="16"/>
                <w:szCs w:val="16"/>
                <w:lang w:eastAsia="es-CO"/>
              </w:rPr>
            </w:pPr>
            <w:r w:rsidRPr="00951AB1">
              <w:rPr>
                <w:rFonts w:eastAsia="Times New Roman" w:cs="Times New Roman"/>
                <w:color w:val="000000"/>
                <w:sz w:val="16"/>
                <w:szCs w:val="16"/>
                <w:lang w:eastAsia="es-CO"/>
              </w:rPr>
              <w:t>Sanciones contractuales</w:t>
            </w:r>
          </w:p>
        </w:tc>
        <w:tc>
          <w:tcPr>
            <w:tcW w:w="850" w:type="pct"/>
            <w:tcBorders>
              <w:top w:val="nil"/>
              <w:left w:val="nil"/>
              <w:bottom w:val="single" w:sz="4" w:space="0" w:color="D0D0D0"/>
              <w:right w:val="single" w:sz="4" w:space="0" w:color="D0D0D0"/>
            </w:tcBorders>
            <w:vAlign w:val="center"/>
            <w:hideMark/>
          </w:tcPr>
          <w:p w14:paraId="4F25F5B9" w14:textId="5234FCA8" w:rsidR="005E64D9" w:rsidRPr="00951AB1" w:rsidRDefault="005E64D9" w:rsidP="000A5389">
            <w:pPr>
              <w:spacing w:line="240" w:lineRule="auto"/>
              <w:rPr>
                <w:rFonts w:eastAsia="Times New Roman" w:cs="Times New Roman"/>
                <w:color w:val="000000"/>
                <w:sz w:val="16"/>
                <w:szCs w:val="16"/>
                <w:lang w:eastAsia="es-CO"/>
              </w:rPr>
            </w:pPr>
            <w:r w:rsidRPr="00951AB1">
              <w:rPr>
                <w:rFonts w:eastAsia="Times New Roman" w:cs="Times New Roman"/>
                <w:color w:val="000000"/>
                <w:sz w:val="16"/>
                <w:szCs w:val="16"/>
                <w:lang w:eastAsia="es-CO"/>
              </w:rPr>
              <w:t>Sociedad Portuaria Bullpesa S. A</w:t>
            </w:r>
          </w:p>
        </w:tc>
        <w:tc>
          <w:tcPr>
            <w:tcW w:w="663" w:type="pct"/>
            <w:tcBorders>
              <w:top w:val="nil"/>
              <w:left w:val="nil"/>
              <w:bottom w:val="single" w:sz="4" w:space="0" w:color="D0D0D0"/>
              <w:right w:val="single" w:sz="4" w:space="0" w:color="D0D0D0"/>
            </w:tcBorders>
            <w:vAlign w:val="center"/>
            <w:hideMark/>
          </w:tcPr>
          <w:p w14:paraId="7E50977D" w14:textId="77777777" w:rsidR="005E64D9" w:rsidRPr="00951AB1" w:rsidRDefault="005E64D9" w:rsidP="000A5389">
            <w:pPr>
              <w:spacing w:line="240" w:lineRule="auto"/>
              <w:jc w:val="center"/>
              <w:rPr>
                <w:rFonts w:eastAsia="Times New Roman" w:cs="Times New Roman"/>
                <w:color w:val="000000"/>
                <w:sz w:val="16"/>
                <w:szCs w:val="16"/>
                <w:lang w:eastAsia="es-CO"/>
              </w:rPr>
            </w:pPr>
            <w:r w:rsidRPr="00951AB1">
              <w:rPr>
                <w:rFonts w:eastAsia="Times New Roman" w:cs="Times New Roman"/>
                <w:color w:val="000000"/>
                <w:sz w:val="16"/>
                <w:szCs w:val="16"/>
                <w:lang w:eastAsia="es-CO"/>
              </w:rPr>
              <w:t>38.280.593.490</w:t>
            </w:r>
          </w:p>
        </w:tc>
        <w:tc>
          <w:tcPr>
            <w:tcW w:w="1218" w:type="pct"/>
            <w:tcBorders>
              <w:top w:val="nil"/>
              <w:left w:val="nil"/>
              <w:bottom w:val="single" w:sz="4" w:space="0" w:color="D0D0D0"/>
              <w:right w:val="single" w:sz="4" w:space="0" w:color="D0D0D0"/>
            </w:tcBorders>
            <w:vAlign w:val="center"/>
            <w:hideMark/>
          </w:tcPr>
          <w:p w14:paraId="74D09C14" w14:textId="77777777" w:rsidR="005E64D9" w:rsidRPr="00951AB1" w:rsidRDefault="005E64D9" w:rsidP="000A5389">
            <w:pPr>
              <w:spacing w:line="240" w:lineRule="auto"/>
              <w:rPr>
                <w:rFonts w:eastAsia="Times New Roman" w:cs="Times New Roman"/>
                <w:color w:val="000000"/>
                <w:sz w:val="16"/>
                <w:szCs w:val="16"/>
                <w:lang w:eastAsia="es-CO"/>
              </w:rPr>
            </w:pPr>
            <w:r w:rsidRPr="00951AB1">
              <w:rPr>
                <w:rFonts w:eastAsia="Times New Roman" w:cs="Times New Roman"/>
                <w:color w:val="000000"/>
                <w:sz w:val="16"/>
                <w:szCs w:val="16"/>
                <w:lang w:eastAsia="es-CO"/>
              </w:rPr>
              <w:t>31/03/2022 (Resolución No. 20227070004345)</w:t>
            </w:r>
          </w:p>
        </w:tc>
        <w:tc>
          <w:tcPr>
            <w:tcW w:w="593" w:type="pct"/>
            <w:tcBorders>
              <w:top w:val="nil"/>
              <w:left w:val="nil"/>
              <w:bottom w:val="single" w:sz="4" w:space="0" w:color="D0D0D0"/>
              <w:right w:val="single" w:sz="4" w:space="0" w:color="D0D0D0"/>
            </w:tcBorders>
            <w:vAlign w:val="center"/>
            <w:hideMark/>
          </w:tcPr>
          <w:p w14:paraId="0200AD45" w14:textId="77777777" w:rsidR="005E64D9" w:rsidRPr="00951AB1" w:rsidRDefault="005E64D9" w:rsidP="000A5389">
            <w:pPr>
              <w:spacing w:line="240" w:lineRule="auto"/>
              <w:jc w:val="center"/>
              <w:rPr>
                <w:rFonts w:eastAsia="Times New Roman" w:cs="Times New Roman"/>
                <w:color w:val="000000"/>
                <w:sz w:val="16"/>
                <w:szCs w:val="16"/>
                <w:lang w:eastAsia="es-CO"/>
              </w:rPr>
            </w:pPr>
            <w:r w:rsidRPr="00951AB1">
              <w:rPr>
                <w:rFonts w:eastAsia="Times New Roman" w:cs="Times New Roman"/>
                <w:color w:val="000000"/>
                <w:sz w:val="16"/>
                <w:szCs w:val="16"/>
                <w:lang w:eastAsia="es-CO"/>
              </w:rPr>
              <w:t>9/11/2022</w:t>
            </w:r>
          </w:p>
        </w:tc>
        <w:tc>
          <w:tcPr>
            <w:tcW w:w="275" w:type="pct"/>
            <w:tcBorders>
              <w:top w:val="nil"/>
              <w:left w:val="nil"/>
              <w:bottom w:val="single" w:sz="4" w:space="0" w:color="D0D0D0"/>
              <w:right w:val="single" w:sz="4" w:space="0" w:color="D0D0D0"/>
            </w:tcBorders>
            <w:vAlign w:val="center"/>
            <w:hideMark/>
          </w:tcPr>
          <w:p w14:paraId="6F03E93C" w14:textId="77777777" w:rsidR="005E64D9" w:rsidRPr="00951AB1" w:rsidRDefault="005E64D9" w:rsidP="000A5389">
            <w:pPr>
              <w:spacing w:line="240" w:lineRule="auto"/>
              <w:jc w:val="center"/>
              <w:rPr>
                <w:rFonts w:eastAsia="Times New Roman" w:cs="Times New Roman"/>
                <w:color w:val="000000"/>
                <w:sz w:val="16"/>
                <w:szCs w:val="16"/>
                <w:lang w:eastAsia="es-CO"/>
              </w:rPr>
            </w:pPr>
            <w:r w:rsidRPr="00951AB1">
              <w:rPr>
                <w:rFonts w:eastAsia="Times New Roman" w:cs="Times New Roman"/>
                <w:color w:val="000000"/>
                <w:sz w:val="16"/>
                <w:szCs w:val="16"/>
                <w:lang w:eastAsia="es-CO"/>
              </w:rPr>
              <w:t>12%</w:t>
            </w:r>
          </w:p>
        </w:tc>
        <w:tc>
          <w:tcPr>
            <w:tcW w:w="748" w:type="pct"/>
            <w:gridSpan w:val="2"/>
            <w:tcBorders>
              <w:top w:val="single" w:sz="4" w:space="0" w:color="D0D0D0"/>
              <w:left w:val="nil"/>
              <w:bottom w:val="single" w:sz="4" w:space="0" w:color="D0D0D0"/>
              <w:right w:val="single" w:sz="4" w:space="0" w:color="D0D0D0"/>
            </w:tcBorders>
            <w:vAlign w:val="center"/>
            <w:hideMark/>
          </w:tcPr>
          <w:p w14:paraId="04179358" w14:textId="77777777" w:rsidR="005E64D9" w:rsidRPr="00951AB1" w:rsidRDefault="005E64D9" w:rsidP="000A5389">
            <w:pPr>
              <w:spacing w:line="240" w:lineRule="auto"/>
              <w:jc w:val="center"/>
              <w:rPr>
                <w:rFonts w:eastAsia="Times New Roman" w:cs="Times New Roman"/>
                <w:color w:val="000000"/>
                <w:sz w:val="16"/>
                <w:szCs w:val="16"/>
                <w:lang w:eastAsia="es-CO"/>
              </w:rPr>
            </w:pPr>
            <w:r w:rsidRPr="00951AB1">
              <w:rPr>
                <w:rFonts w:eastAsia="Times New Roman" w:cs="Times New Roman"/>
                <w:color w:val="000000"/>
                <w:sz w:val="16"/>
                <w:szCs w:val="16"/>
                <w:lang w:eastAsia="es-CO"/>
              </w:rPr>
              <w:t>23/11/2022</w:t>
            </w:r>
          </w:p>
        </w:tc>
      </w:tr>
      <w:tr w:rsidR="005E64D9" w:rsidRPr="00951AB1" w14:paraId="00C3760D" w14:textId="77777777" w:rsidTr="005E64D9">
        <w:trPr>
          <w:trHeight w:val="765"/>
        </w:trPr>
        <w:tc>
          <w:tcPr>
            <w:tcW w:w="652" w:type="pct"/>
            <w:tcBorders>
              <w:top w:val="nil"/>
              <w:left w:val="single" w:sz="4" w:space="0" w:color="D0D0D0"/>
              <w:bottom w:val="single" w:sz="4" w:space="0" w:color="D0D0D0"/>
              <w:right w:val="single" w:sz="4" w:space="0" w:color="D0D0D0"/>
            </w:tcBorders>
            <w:vAlign w:val="center"/>
            <w:hideMark/>
          </w:tcPr>
          <w:p w14:paraId="18B36CE5" w14:textId="77777777" w:rsidR="005E64D9" w:rsidRPr="00951AB1" w:rsidRDefault="005E64D9" w:rsidP="000A5389">
            <w:pPr>
              <w:spacing w:line="240" w:lineRule="auto"/>
              <w:rPr>
                <w:rFonts w:eastAsia="Times New Roman" w:cs="Times New Roman"/>
                <w:color w:val="000000"/>
                <w:sz w:val="16"/>
                <w:szCs w:val="16"/>
                <w:lang w:eastAsia="es-CO"/>
              </w:rPr>
            </w:pPr>
            <w:r w:rsidRPr="00951AB1">
              <w:rPr>
                <w:rFonts w:eastAsia="Times New Roman" w:cs="Times New Roman"/>
                <w:color w:val="000000"/>
                <w:sz w:val="16"/>
                <w:szCs w:val="16"/>
                <w:lang w:eastAsia="es-CO"/>
              </w:rPr>
              <w:t>Sanciones contractuales</w:t>
            </w:r>
          </w:p>
        </w:tc>
        <w:tc>
          <w:tcPr>
            <w:tcW w:w="850" w:type="pct"/>
            <w:tcBorders>
              <w:top w:val="nil"/>
              <w:left w:val="nil"/>
              <w:bottom w:val="single" w:sz="4" w:space="0" w:color="D0D0D0"/>
              <w:right w:val="single" w:sz="4" w:space="0" w:color="D0D0D0"/>
            </w:tcBorders>
            <w:vAlign w:val="center"/>
            <w:hideMark/>
          </w:tcPr>
          <w:p w14:paraId="3665568C" w14:textId="4D318808" w:rsidR="005E64D9" w:rsidRPr="00951AB1" w:rsidRDefault="005E64D9" w:rsidP="000A5389">
            <w:pPr>
              <w:spacing w:line="240" w:lineRule="auto"/>
              <w:rPr>
                <w:rFonts w:eastAsia="Times New Roman" w:cs="Times New Roman"/>
                <w:color w:val="000000"/>
                <w:sz w:val="16"/>
                <w:szCs w:val="16"/>
                <w:lang w:eastAsia="es-CO"/>
              </w:rPr>
            </w:pPr>
            <w:r w:rsidRPr="00951AB1">
              <w:rPr>
                <w:rFonts w:eastAsia="Times New Roman" w:cs="Times New Roman"/>
                <w:color w:val="000000"/>
                <w:sz w:val="16"/>
                <w:szCs w:val="16"/>
                <w:lang w:eastAsia="es-CO"/>
              </w:rPr>
              <w:t>Concesionaria Vial De Los Andes S.A.S. Coviandes S.A.S.</w:t>
            </w:r>
          </w:p>
        </w:tc>
        <w:tc>
          <w:tcPr>
            <w:tcW w:w="663" w:type="pct"/>
            <w:tcBorders>
              <w:top w:val="nil"/>
              <w:left w:val="nil"/>
              <w:bottom w:val="single" w:sz="4" w:space="0" w:color="D0D0D0"/>
              <w:right w:val="single" w:sz="4" w:space="0" w:color="D0D0D0"/>
            </w:tcBorders>
            <w:vAlign w:val="center"/>
            <w:hideMark/>
          </w:tcPr>
          <w:p w14:paraId="68B60C07" w14:textId="77777777" w:rsidR="005E64D9" w:rsidRPr="00951AB1" w:rsidRDefault="005E64D9" w:rsidP="000A5389">
            <w:pPr>
              <w:spacing w:line="240" w:lineRule="auto"/>
              <w:jc w:val="center"/>
              <w:rPr>
                <w:rFonts w:eastAsia="Times New Roman" w:cs="Times New Roman"/>
                <w:color w:val="000000"/>
                <w:sz w:val="16"/>
                <w:szCs w:val="16"/>
                <w:lang w:eastAsia="es-CO"/>
              </w:rPr>
            </w:pPr>
            <w:r w:rsidRPr="00951AB1">
              <w:rPr>
                <w:rFonts w:eastAsia="Times New Roman" w:cs="Times New Roman"/>
                <w:color w:val="000000"/>
                <w:sz w:val="16"/>
                <w:szCs w:val="16"/>
                <w:lang w:eastAsia="es-CO"/>
              </w:rPr>
              <w:t>23.506.994.882</w:t>
            </w:r>
          </w:p>
        </w:tc>
        <w:tc>
          <w:tcPr>
            <w:tcW w:w="1218" w:type="pct"/>
            <w:tcBorders>
              <w:top w:val="nil"/>
              <w:left w:val="nil"/>
              <w:bottom w:val="single" w:sz="4" w:space="0" w:color="D0D0D0"/>
              <w:right w:val="single" w:sz="4" w:space="0" w:color="D0D0D0"/>
            </w:tcBorders>
            <w:vAlign w:val="center"/>
            <w:hideMark/>
          </w:tcPr>
          <w:p w14:paraId="2AF85A36" w14:textId="77777777" w:rsidR="005E64D9" w:rsidRPr="00951AB1" w:rsidRDefault="005E64D9" w:rsidP="000A5389">
            <w:pPr>
              <w:spacing w:line="240" w:lineRule="auto"/>
              <w:rPr>
                <w:rFonts w:eastAsia="Times New Roman" w:cs="Times New Roman"/>
                <w:color w:val="000000"/>
                <w:sz w:val="16"/>
                <w:szCs w:val="16"/>
                <w:lang w:eastAsia="es-CO"/>
              </w:rPr>
            </w:pPr>
            <w:r w:rsidRPr="00951AB1">
              <w:rPr>
                <w:rFonts w:eastAsia="Times New Roman" w:cs="Times New Roman"/>
                <w:color w:val="000000"/>
                <w:sz w:val="16"/>
                <w:szCs w:val="16"/>
                <w:lang w:eastAsia="es-CO"/>
              </w:rPr>
              <w:t>20/12/2019 (Resolución No. 1956 Perjuicios: $33.359.652.082)</w:t>
            </w:r>
          </w:p>
        </w:tc>
        <w:tc>
          <w:tcPr>
            <w:tcW w:w="593" w:type="pct"/>
            <w:tcBorders>
              <w:top w:val="nil"/>
              <w:left w:val="nil"/>
              <w:bottom w:val="single" w:sz="4" w:space="0" w:color="D0D0D0"/>
              <w:right w:val="single" w:sz="4" w:space="0" w:color="D0D0D0"/>
            </w:tcBorders>
            <w:vAlign w:val="center"/>
            <w:hideMark/>
          </w:tcPr>
          <w:p w14:paraId="14A99227" w14:textId="77777777" w:rsidR="005E64D9" w:rsidRPr="00951AB1" w:rsidRDefault="005E64D9" w:rsidP="000A5389">
            <w:pPr>
              <w:spacing w:line="240" w:lineRule="auto"/>
              <w:jc w:val="center"/>
              <w:rPr>
                <w:rFonts w:eastAsia="Times New Roman" w:cs="Times New Roman"/>
                <w:color w:val="000000"/>
                <w:sz w:val="16"/>
                <w:szCs w:val="16"/>
                <w:lang w:eastAsia="es-CO"/>
              </w:rPr>
            </w:pPr>
            <w:r w:rsidRPr="00951AB1">
              <w:rPr>
                <w:rFonts w:eastAsia="Times New Roman" w:cs="Times New Roman"/>
                <w:color w:val="000000"/>
                <w:sz w:val="16"/>
                <w:szCs w:val="16"/>
                <w:lang w:eastAsia="es-CO"/>
              </w:rPr>
              <w:t>15/01/2021</w:t>
            </w:r>
          </w:p>
        </w:tc>
        <w:tc>
          <w:tcPr>
            <w:tcW w:w="275" w:type="pct"/>
            <w:tcBorders>
              <w:top w:val="nil"/>
              <w:left w:val="nil"/>
              <w:bottom w:val="single" w:sz="4" w:space="0" w:color="D0D0D0"/>
              <w:right w:val="single" w:sz="4" w:space="0" w:color="D0D0D0"/>
            </w:tcBorders>
            <w:vAlign w:val="center"/>
            <w:hideMark/>
          </w:tcPr>
          <w:p w14:paraId="48588F0D" w14:textId="77777777" w:rsidR="005E64D9" w:rsidRPr="00951AB1" w:rsidRDefault="005E64D9" w:rsidP="000A5389">
            <w:pPr>
              <w:spacing w:line="240" w:lineRule="auto"/>
              <w:jc w:val="center"/>
              <w:rPr>
                <w:rFonts w:eastAsia="Times New Roman" w:cs="Times New Roman"/>
                <w:color w:val="000000"/>
                <w:sz w:val="16"/>
                <w:szCs w:val="16"/>
                <w:lang w:eastAsia="es-CO"/>
              </w:rPr>
            </w:pPr>
            <w:r w:rsidRPr="00951AB1">
              <w:rPr>
                <w:rFonts w:eastAsia="Times New Roman" w:cs="Times New Roman"/>
                <w:color w:val="000000"/>
                <w:sz w:val="16"/>
                <w:szCs w:val="16"/>
                <w:lang w:eastAsia="es-CO"/>
              </w:rPr>
              <w:t>12%</w:t>
            </w:r>
          </w:p>
        </w:tc>
        <w:tc>
          <w:tcPr>
            <w:tcW w:w="748" w:type="pct"/>
            <w:gridSpan w:val="2"/>
            <w:tcBorders>
              <w:top w:val="single" w:sz="4" w:space="0" w:color="D0D0D0"/>
              <w:left w:val="nil"/>
              <w:bottom w:val="single" w:sz="4" w:space="0" w:color="D0D0D0"/>
              <w:right w:val="single" w:sz="4" w:space="0" w:color="D0D0D0"/>
            </w:tcBorders>
            <w:vAlign w:val="center"/>
            <w:hideMark/>
          </w:tcPr>
          <w:p w14:paraId="0874B7FF" w14:textId="77777777" w:rsidR="005E64D9" w:rsidRPr="00951AB1" w:rsidRDefault="005E64D9" w:rsidP="000A5389">
            <w:pPr>
              <w:spacing w:line="240" w:lineRule="auto"/>
              <w:jc w:val="center"/>
              <w:rPr>
                <w:rFonts w:eastAsia="Times New Roman" w:cs="Times New Roman"/>
                <w:color w:val="000000"/>
                <w:sz w:val="16"/>
                <w:szCs w:val="16"/>
                <w:lang w:eastAsia="es-CO"/>
              </w:rPr>
            </w:pPr>
            <w:r w:rsidRPr="00951AB1">
              <w:rPr>
                <w:rFonts w:eastAsia="Times New Roman" w:cs="Times New Roman"/>
                <w:color w:val="000000"/>
                <w:sz w:val="16"/>
                <w:szCs w:val="16"/>
                <w:lang w:eastAsia="es-CO"/>
              </w:rPr>
              <w:t>15/01/2021</w:t>
            </w:r>
          </w:p>
        </w:tc>
      </w:tr>
      <w:tr w:rsidR="005E64D9" w:rsidRPr="00951AB1" w14:paraId="3773AEA8" w14:textId="77777777" w:rsidTr="005E64D9">
        <w:trPr>
          <w:trHeight w:val="583"/>
        </w:trPr>
        <w:tc>
          <w:tcPr>
            <w:tcW w:w="652" w:type="pct"/>
            <w:vMerge w:val="restart"/>
            <w:tcBorders>
              <w:top w:val="nil"/>
              <w:left w:val="single" w:sz="4" w:space="0" w:color="D0D0D0"/>
              <w:bottom w:val="single" w:sz="4" w:space="0" w:color="D0D0D0"/>
              <w:right w:val="single" w:sz="4" w:space="0" w:color="D0D0D0"/>
            </w:tcBorders>
            <w:vAlign w:val="center"/>
            <w:hideMark/>
          </w:tcPr>
          <w:p w14:paraId="65947DFA" w14:textId="77777777" w:rsidR="005E64D9" w:rsidRPr="00951AB1" w:rsidRDefault="005E64D9" w:rsidP="000A5389">
            <w:pPr>
              <w:spacing w:line="240" w:lineRule="auto"/>
              <w:rPr>
                <w:rFonts w:eastAsia="Times New Roman" w:cs="Times New Roman"/>
                <w:color w:val="000000"/>
                <w:sz w:val="16"/>
                <w:szCs w:val="16"/>
                <w:lang w:eastAsia="es-CO"/>
              </w:rPr>
            </w:pPr>
            <w:r w:rsidRPr="00951AB1">
              <w:rPr>
                <w:rFonts w:eastAsia="Times New Roman" w:cs="Times New Roman"/>
                <w:color w:val="000000"/>
                <w:sz w:val="16"/>
                <w:szCs w:val="16"/>
                <w:lang w:eastAsia="es-CO"/>
              </w:rPr>
              <w:t>Sanciones contractuales</w:t>
            </w:r>
          </w:p>
        </w:tc>
        <w:tc>
          <w:tcPr>
            <w:tcW w:w="850" w:type="pct"/>
            <w:vMerge w:val="restart"/>
            <w:tcBorders>
              <w:top w:val="nil"/>
              <w:left w:val="single" w:sz="4" w:space="0" w:color="D0D0D0"/>
              <w:bottom w:val="single" w:sz="4" w:space="0" w:color="D0D0D0"/>
              <w:right w:val="single" w:sz="4" w:space="0" w:color="D0D0D0"/>
            </w:tcBorders>
            <w:vAlign w:val="center"/>
            <w:hideMark/>
          </w:tcPr>
          <w:p w14:paraId="0CB1D4F0" w14:textId="2F1EBB7A" w:rsidR="005E64D9" w:rsidRPr="00951AB1" w:rsidRDefault="005E64D9" w:rsidP="000A5389">
            <w:pPr>
              <w:spacing w:line="240" w:lineRule="auto"/>
              <w:rPr>
                <w:rFonts w:eastAsia="Times New Roman" w:cs="Times New Roman"/>
                <w:color w:val="000000"/>
                <w:sz w:val="16"/>
                <w:szCs w:val="16"/>
                <w:lang w:eastAsia="es-CO"/>
              </w:rPr>
            </w:pPr>
            <w:r w:rsidRPr="00951AB1">
              <w:rPr>
                <w:rFonts w:eastAsia="Times New Roman" w:cs="Times New Roman"/>
                <w:color w:val="000000"/>
                <w:sz w:val="16"/>
                <w:szCs w:val="16"/>
                <w:lang w:eastAsia="es-CO"/>
              </w:rPr>
              <w:t>Sociedad Portuaria Terminal De Ifo's S.A.</w:t>
            </w:r>
          </w:p>
        </w:tc>
        <w:tc>
          <w:tcPr>
            <w:tcW w:w="663" w:type="pct"/>
            <w:vMerge w:val="restart"/>
            <w:tcBorders>
              <w:top w:val="nil"/>
              <w:left w:val="single" w:sz="4" w:space="0" w:color="D0D0D0"/>
              <w:bottom w:val="single" w:sz="4" w:space="0" w:color="D0D0D0"/>
              <w:right w:val="single" w:sz="4" w:space="0" w:color="D0D0D0"/>
            </w:tcBorders>
            <w:vAlign w:val="center"/>
            <w:hideMark/>
          </w:tcPr>
          <w:p w14:paraId="1D42B675" w14:textId="77777777" w:rsidR="005E64D9" w:rsidRPr="00951AB1" w:rsidRDefault="005E64D9" w:rsidP="000A5389">
            <w:pPr>
              <w:spacing w:line="240" w:lineRule="auto"/>
              <w:jc w:val="center"/>
              <w:rPr>
                <w:rFonts w:eastAsia="Times New Roman" w:cs="Times New Roman"/>
                <w:color w:val="000000"/>
                <w:sz w:val="16"/>
                <w:szCs w:val="16"/>
                <w:lang w:eastAsia="es-CO"/>
              </w:rPr>
            </w:pPr>
            <w:r w:rsidRPr="00951AB1">
              <w:rPr>
                <w:rFonts w:eastAsia="Times New Roman" w:cs="Times New Roman"/>
                <w:color w:val="000000"/>
                <w:sz w:val="16"/>
                <w:szCs w:val="16"/>
                <w:lang w:eastAsia="es-CO"/>
              </w:rPr>
              <w:t>2.483.733.384</w:t>
            </w:r>
          </w:p>
        </w:tc>
        <w:tc>
          <w:tcPr>
            <w:tcW w:w="1218" w:type="pct"/>
            <w:tcBorders>
              <w:top w:val="nil"/>
              <w:left w:val="nil"/>
              <w:bottom w:val="single" w:sz="4" w:space="0" w:color="D0D0D0"/>
              <w:right w:val="single" w:sz="4" w:space="0" w:color="D0D0D0"/>
            </w:tcBorders>
            <w:vAlign w:val="center"/>
            <w:hideMark/>
          </w:tcPr>
          <w:p w14:paraId="235E73FB" w14:textId="77777777" w:rsidR="005E64D9" w:rsidRPr="00951AB1" w:rsidRDefault="005E64D9" w:rsidP="000A5389">
            <w:pPr>
              <w:spacing w:line="240" w:lineRule="auto"/>
              <w:rPr>
                <w:rFonts w:eastAsia="Times New Roman" w:cs="Times New Roman"/>
                <w:color w:val="000000"/>
                <w:sz w:val="16"/>
                <w:szCs w:val="16"/>
                <w:lang w:eastAsia="es-CO"/>
              </w:rPr>
            </w:pPr>
            <w:r w:rsidRPr="00951AB1">
              <w:rPr>
                <w:rFonts w:eastAsia="Times New Roman" w:cs="Times New Roman"/>
                <w:color w:val="000000"/>
                <w:sz w:val="16"/>
                <w:szCs w:val="16"/>
                <w:lang w:eastAsia="es-CO"/>
              </w:rPr>
              <w:t>26/07/2021 (Resolución No. 20217070012395 Multa: USD$63.605.73)</w:t>
            </w:r>
          </w:p>
        </w:tc>
        <w:tc>
          <w:tcPr>
            <w:tcW w:w="593" w:type="pct"/>
            <w:tcBorders>
              <w:top w:val="nil"/>
              <w:left w:val="nil"/>
              <w:bottom w:val="single" w:sz="4" w:space="0" w:color="D0D0D0"/>
              <w:right w:val="single" w:sz="4" w:space="0" w:color="D0D0D0"/>
            </w:tcBorders>
            <w:vAlign w:val="center"/>
            <w:hideMark/>
          </w:tcPr>
          <w:p w14:paraId="799436FA" w14:textId="77777777" w:rsidR="005E64D9" w:rsidRPr="00951AB1" w:rsidRDefault="005E64D9" w:rsidP="000A5389">
            <w:pPr>
              <w:spacing w:line="240" w:lineRule="auto"/>
              <w:jc w:val="center"/>
              <w:rPr>
                <w:rFonts w:eastAsia="Times New Roman" w:cs="Times New Roman"/>
                <w:color w:val="000000"/>
                <w:sz w:val="16"/>
                <w:szCs w:val="16"/>
                <w:lang w:eastAsia="es-CO"/>
              </w:rPr>
            </w:pPr>
            <w:r w:rsidRPr="00951AB1">
              <w:rPr>
                <w:rFonts w:eastAsia="Times New Roman" w:cs="Times New Roman"/>
                <w:color w:val="000000"/>
                <w:sz w:val="16"/>
                <w:szCs w:val="16"/>
                <w:lang w:eastAsia="es-CO"/>
              </w:rPr>
              <w:t>11/10/2021</w:t>
            </w:r>
          </w:p>
        </w:tc>
        <w:tc>
          <w:tcPr>
            <w:tcW w:w="275" w:type="pct"/>
            <w:tcBorders>
              <w:top w:val="nil"/>
              <w:left w:val="nil"/>
              <w:bottom w:val="single" w:sz="4" w:space="0" w:color="D0D0D0"/>
              <w:right w:val="single" w:sz="4" w:space="0" w:color="D0D0D0"/>
            </w:tcBorders>
            <w:vAlign w:val="center"/>
            <w:hideMark/>
          </w:tcPr>
          <w:p w14:paraId="460E0A02" w14:textId="77777777" w:rsidR="005E64D9" w:rsidRPr="00951AB1" w:rsidRDefault="005E64D9" w:rsidP="000A5389">
            <w:pPr>
              <w:spacing w:line="240" w:lineRule="auto"/>
              <w:jc w:val="center"/>
              <w:rPr>
                <w:rFonts w:eastAsia="Times New Roman" w:cs="Times New Roman"/>
                <w:color w:val="000000"/>
                <w:sz w:val="16"/>
                <w:szCs w:val="16"/>
                <w:lang w:eastAsia="es-CO"/>
              </w:rPr>
            </w:pPr>
            <w:r w:rsidRPr="00951AB1">
              <w:rPr>
                <w:rFonts w:eastAsia="Times New Roman" w:cs="Times New Roman"/>
                <w:color w:val="000000"/>
                <w:sz w:val="16"/>
                <w:szCs w:val="16"/>
                <w:lang w:eastAsia="es-CO"/>
              </w:rPr>
              <w:t>12%</w:t>
            </w:r>
          </w:p>
        </w:tc>
        <w:tc>
          <w:tcPr>
            <w:tcW w:w="748" w:type="pct"/>
            <w:gridSpan w:val="2"/>
            <w:tcBorders>
              <w:top w:val="single" w:sz="4" w:space="0" w:color="D0D0D0"/>
              <w:left w:val="nil"/>
              <w:bottom w:val="single" w:sz="4" w:space="0" w:color="D0D0D0"/>
              <w:right w:val="single" w:sz="4" w:space="0" w:color="D0D0D0"/>
            </w:tcBorders>
            <w:vAlign w:val="center"/>
            <w:hideMark/>
          </w:tcPr>
          <w:p w14:paraId="23A2CBDD" w14:textId="77777777" w:rsidR="005E64D9" w:rsidRPr="00951AB1" w:rsidRDefault="005E64D9" w:rsidP="000A5389">
            <w:pPr>
              <w:spacing w:line="240" w:lineRule="auto"/>
              <w:jc w:val="center"/>
              <w:rPr>
                <w:rFonts w:eastAsia="Times New Roman" w:cs="Times New Roman"/>
                <w:color w:val="000000"/>
                <w:sz w:val="16"/>
                <w:szCs w:val="16"/>
                <w:lang w:eastAsia="es-CO"/>
              </w:rPr>
            </w:pPr>
            <w:r w:rsidRPr="00951AB1">
              <w:rPr>
                <w:rFonts w:eastAsia="Times New Roman" w:cs="Times New Roman"/>
                <w:color w:val="000000"/>
                <w:sz w:val="16"/>
                <w:szCs w:val="16"/>
                <w:lang w:eastAsia="es-CO"/>
              </w:rPr>
              <w:t>25/10/2021</w:t>
            </w:r>
          </w:p>
        </w:tc>
      </w:tr>
      <w:tr w:rsidR="005E64D9" w:rsidRPr="00951AB1" w14:paraId="27B8EA4A" w14:textId="77777777" w:rsidTr="005E64D9">
        <w:trPr>
          <w:trHeight w:val="536"/>
        </w:trPr>
        <w:tc>
          <w:tcPr>
            <w:tcW w:w="652" w:type="pct"/>
            <w:vMerge/>
            <w:tcBorders>
              <w:top w:val="nil"/>
              <w:left w:val="single" w:sz="4" w:space="0" w:color="D0D0D0"/>
              <w:bottom w:val="single" w:sz="4" w:space="0" w:color="D0D0D0"/>
              <w:right w:val="single" w:sz="4" w:space="0" w:color="D0D0D0"/>
            </w:tcBorders>
            <w:vAlign w:val="center"/>
            <w:hideMark/>
          </w:tcPr>
          <w:p w14:paraId="6C0046E9" w14:textId="77777777" w:rsidR="005E64D9" w:rsidRPr="00951AB1" w:rsidRDefault="005E64D9" w:rsidP="000A5389">
            <w:pPr>
              <w:spacing w:line="240" w:lineRule="auto"/>
              <w:rPr>
                <w:rFonts w:eastAsia="Times New Roman" w:cs="Times New Roman"/>
                <w:color w:val="000000"/>
                <w:sz w:val="16"/>
                <w:szCs w:val="16"/>
                <w:lang w:eastAsia="es-CO"/>
              </w:rPr>
            </w:pPr>
          </w:p>
        </w:tc>
        <w:tc>
          <w:tcPr>
            <w:tcW w:w="850" w:type="pct"/>
            <w:vMerge/>
            <w:tcBorders>
              <w:top w:val="nil"/>
              <w:left w:val="single" w:sz="4" w:space="0" w:color="D0D0D0"/>
              <w:bottom w:val="single" w:sz="4" w:space="0" w:color="D0D0D0"/>
              <w:right w:val="single" w:sz="4" w:space="0" w:color="D0D0D0"/>
            </w:tcBorders>
            <w:vAlign w:val="center"/>
            <w:hideMark/>
          </w:tcPr>
          <w:p w14:paraId="61AD375A" w14:textId="77777777" w:rsidR="005E64D9" w:rsidRPr="00951AB1" w:rsidRDefault="005E64D9" w:rsidP="000A5389">
            <w:pPr>
              <w:spacing w:line="240" w:lineRule="auto"/>
              <w:rPr>
                <w:rFonts w:eastAsia="Times New Roman" w:cs="Times New Roman"/>
                <w:color w:val="000000"/>
                <w:sz w:val="16"/>
                <w:szCs w:val="16"/>
                <w:lang w:eastAsia="es-CO"/>
              </w:rPr>
            </w:pPr>
          </w:p>
        </w:tc>
        <w:tc>
          <w:tcPr>
            <w:tcW w:w="663" w:type="pct"/>
            <w:vMerge/>
            <w:tcBorders>
              <w:top w:val="nil"/>
              <w:left w:val="single" w:sz="4" w:space="0" w:color="D0D0D0"/>
              <w:bottom w:val="single" w:sz="4" w:space="0" w:color="D0D0D0"/>
              <w:right w:val="single" w:sz="4" w:space="0" w:color="D0D0D0"/>
            </w:tcBorders>
            <w:vAlign w:val="center"/>
            <w:hideMark/>
          </w:tcPr>
          <w:p w14:paraId="4D316850" w14:textId="77777777" w:rsidR="005E64D9" w:rsidRPr="00951AB1" w:rsidRDefault="005E64D9" w:rsidP="000A5389">
            <w:pPr>
              <w:spacing w:line="240" w:lineRule="auto"/>
              <w:rPr>
                <w:rFonts w:eastAsia="Times New Roman" w:cs="Times New Roman"/>
                <w:color w:val="000000"/>
                <w:sz w:val="16"/>
                <w:szCs w:val="16"/>
                <w:lang w:eastAsia="es-CO"/>
              </w:rPr>
            </w:pPr>
          </w:p>
        </w:tc>
        <w:tc>
          <w:tcPr>
            <w:tcW w:w="1218" w:type="pct"/>
            <w:tcBorders>
              <w:top w:val="nil"/>
              <w:left w:val="nil"/>
              <w:bottom w:val="single" w:sz="4" w:space="0" w:color="D0D0D0"/>
              <w:right w:val="single" w:sz="4" w:space="0" w:color="D0D0D0"/>
            </w:tcBorders>
            <w:vAlign w:val="center"/>
            <w:hideMark/>
          </w:tcPr>
          <w:p w14:paraId="7B7B9F1F" w14:textId="77777777" w:rsidR="005E64D9" w:rsidRPr="00951AB1" w:rsidRDefault="005E64D9" w:rsidP="000A5389">
            <w:pPr>
              <w:spacing w:line="240" w:lineRule="auto"/>
              <w:rPr>
                <w:rFonts w:eastAsia="Times New Roman" w:cs="Times New Roman"/>
                <w:color w:val="000000"/>
                <w:sz w:val="16"/>
                <w:szCs w:val="16"/>
                <w:lang w:eastAsia="es-CO"/>
              </w:rPr>
            </w:pPr>
            <w:r w:rsidRPr="00951AB1">
              <w:rPr>
                <w:rFonts w:eastAsia="Times New Roman" w:cs="Times New Roman"/>
                <w:color w:val="000000"/>
                <w:sz w:val="16"/>
                <w:szCs w:val="16"/>
                <w:lang w:eastAsia="es-CO"/>
              </w:rPr>
              <w:t>23/06/2021 (Resolución No. 20217070010005 Multa: USD$768,524)</w:t>
            </w:r>
          </w:p>
        </w:tc>
        <w:tc>
          <w:tcPr>
            <w:tcW w:w="593" w:type="pct"/>
            <w:tcBorders>
              <w:top w:val="nil"/>
              <w:left w:val="nil"/>
              <w:bottom w:val="single" w:sz="4" w:space="0" w:color="D0D0D0"/>
              <w:right w:val="single" w:sz="4" w:space="0" w:color="D0D0D0"/>
            </w:tcBorders>
            <w:vAlign w:val="center"/>
            <w:hideMark/>
          </w:tcPr>
          <w:p w14:paraId="50947533" w14:textId="77777777" w:rsidR="005E64D9" w:rsidRPr="00951AB1" w:rsidRDefault="005E64D9" w:rsidP="000A5389">
            <w:pPr>
              <w:spacing w:line="240" w:lineRule="auto"/>
              <w:jc w:val="center"/>
              <w:rPr>
                <w:rFonts w:eastAsia="Times New Roman" w:cs="Times New Roman"/>
                <w:color w:val="000000"/>
                <w:sz w:val="16"/>
                <w:szCs w:val="16"/>
                <w:lang w:eastAsia="es-CO"/>
              </w:rPr>
            </w:pPr>
            <w:r w:rsidRPr="00951AB1">
              <w:rPr>
                <w:rFonts w:eastAsia="Times New Roman" w:cs="Times New Roman"/>
                <w:color w:val="000000"/>
                <w:sz w:val="16"/>
                <w:szCs w:val="16"/>
                <w:lang w:eastAsia="es-CO"/>
              </w:rPr>
              <w:t>6/05/2022</w:t>
            </w:r>
          </w:p>
        </w:tc>
        <w:tc>
          <w:tcPr>
            <w:tcW w:w="275" w:type="pct"/>
            <w:tcBorders>
              <w:top w:val="nil"/>
              <w:left w:val="nil"/>
              <w:bottom w:val="single" w:sz="4" w:space="0" w:color="D0D0D0"/>
              <w:right w:val="single" w:sz="4" w:space="0" w:color="D0D0D0"/>
            </w:tcBorders>
            <w:vAlign w:val="center"/>
            <w:hideMark/>
          </w:tcPr>
          <w:p w14:paraId="6A6118FD" w14:textId="77777777" w:rsidR="005E64D9" w:rsidRPr="00951AB1" w:rsidRDefault="005E64D9" w:rsidP="000A5389">
            <w:pPr>
              <w:spacing w:line="240" w:lineRule="auto"/>
              <w:jc w:val="center"/>
              <w:rPr>
                <w:rFonts w:eastAsia="Times New Roman" w:cs="Times New Roman"/>
                <w:color w:val="000000"/>
                <w:sz w:val="16"/>
                <w:szCs w:val="16"/>
                <w:lang w:eastAsia="es-CO"/>
              </w:rPr>
            </w:pPr>
            <w:r w:rsidRPr="00951AB1">
              <w:rPr>
                <w:rFonts w:eastAsia="Times New Roman" w:cs="Times New Roman"/>
                <w:color w:val="000000"/>
                <w:sz w:val="16"/>
                <w:szCs w:val="16"/>
                <w:lang w:eastAsia="es-CO"/>
              </w:rPr>
              <w:t>12%</w:t>
            </w:r>
          </w:p>
        </w:tc>
        <w:tc>
          <w:tcPr>
            <w:tcW w:w="748" w:type="pct"/>
            <w:gridSpan w:val="2"/>
            <w:tcBorders>
              <w:top w:val="single" w:sz="4" w:space="0" w:color="D0D0D0"/>
              <w:left w:val="nil"/>
              <w:bottom w:val="single" w:sz="4" w:space="0" w:color="D0D0D0"/>
              <w:right w:val="single" w:sz="4" w:space="0" w:color="D0D0D0"/>
            </w:tcBorders>
            <w:vAlign w:val="center"/>
            <w:hideMark/>
          </w:tcPr>
          <w:p w14:paraId="2A089E98" w14:textId="77777777" w:rsidR="005E64D9" w:rsidRPr="00951AB1" w:rsidRDefault="005E64D9" w:rsidP="000A5389">
            <w:pPr>
              <w:spacing w:line="240" w:lineRule="auto"/>
              <w:jc w:val="center"/>
              <w:rPr>
                <w:rFonts w:eastAsia="Times New Roman" w:cs="Times New Roman"/>
                <w:color w:val="000000"/>
                <w:sz w:val="16"/>
                <w:szCs w:val="16"/>
                <w:lang w:eastAsia="es-CO"/>
              </w:rPr>
            </w:pPr>
            <w:r w:rsidRPr="00951AB1">
              <w:rPr>
                <w:rFonts w:eastAsia="Times New Roman" w:cs="Times New Roman"/>
                <w:color w:val="000000"/>
                <w:sz w:val="16"/>
                <w:szCs w:val="16"/>
                <w:lang w:eastAsia="es-CO"/>
              </w:rPr>
              <w:t> </w:t>
            </w:r>
          </w:p>
        </w:tc>
      </w:tr>
      <w:tr w:rsidR="005E64D9" w:rsidRPr="00951AB1" w14:paraId="09A72D25" w14:textId="77777777" w:rsidTr="005E64D9">
        <w:trPr>
          <w:trHeight w:val="814"/>
        </w:trPr>
        <w:tc>
          <w:tcPr>
            <w:tcW w:w="652" w:type="pct"/>
            <w:vMerge/>
            <w:tcBorders>
              <w:top w:val="nil"/>
              <w:left w:val="single" w:sz="4" w:space="0" w:color="D0D0D0"/>
              <w:bottom w:val="single" w:sz="4" w:space="0" w:color="D0D0D0"/>
              <w:right w:val="single" w:sz="4" w:space="0" w:color="D0D0D0"/>
            </w:tcBorders>
            <w:vAlign w:val="center"/>
            <w:hideMark/>
          </w:tcPr>
          <w:p w14:paraId="7C00CDC7" w14:textId="77777777" w:rsidR="005E64D9" w:rsidRPr="00951AB1" w:rsidRDefault="005E64D9" w:rsidP="000A5389">
            <w:pPr>
              <w:spacing w:line="240" w:lineRule="auto"/>
              <w:rPr>
                <w:rFonts w:eastAsia="Times New Roman" w:cs="Times New Roman"/>
                <w:color w:val="000000"/>
                <w:sz w:val="16"/>
                <w:szCs w:val="16"/>
                <w:lang w:eastAsia="es-CO"/>
              </w:rPr>
            </w:pPr>
          </w:p>
        </w:tc>
        <w:tc>
          <w:tcPr>
            <w:tcW w:w="850" w:type="pct"/>
            <w:vMerge/>
            <w:tcBorders>
              <w:top w:val="nil"/>
              <w:left w:val="single" w:sz="4" w:space="0" w:color="D0D0D0"/>
              <w:bottom w:val="single" w:sz="4" w:space="0" w:color="D0D0D0"/>
              <w:right w:val="single" w:sz="4" w:space="0" w:color="D0D0D0"/>
            </w:tcBorders>
            <w:vAlign w:val="center"/>
            <w:hideMark/>
          </w:tcPr>
          <w:p w14:paraId="45E354A3" w14:textId="77777777" w:rsidR="005E64D9" w:rsidRPr="00951AB1" w:rsidRDefault="005E64D9" w:rsidP="000A5389">
            <w:pPr>
              <w:spacing w:line="240" w:lineRule="auto"/>
              <w:rPr>
                <w:rFonts w:eastAsia="Times New Roman" w:cs="Times New Roman"/>
                <w:color w:val="000000"/>
                <w:sz w:val="16"/>
                <w:szCs w:val="16"/>
                <w:lang w:eastAsia="es-CO"/>
              </w:rPr>
            </w:pPr>
          </w:p>
        </w:tc>
        <w:tc>
          <w:tcPr>
            <w:tcW w:w="663" w:type="pct"/>
            <w:vMerge/>
            <w:tcBorders>
              <w:top w:val="nil"/>
              <w:left w:val="single" w:sz="4" w:space="0" w:color="D0D0D0"/>
              <w:bottom w:val="single" w:sz="4" w:space="0" w:color="D0D0D0"/>
              <w:right w:val="single" w:sz="4" w:space="0" w:color="D0D0D0"/>
            </w:tcBorders>
            <w:vAlign w:val="center"/>
            <w:hideMark/>
          </w:tcPr>
          <w:p w14:paraId="3D32C91B" w14:textId="77777777" w:rsidR="005E64D9" w:rsidRPr="00951AB1" w:rsidRDefault="005E64D9" w:rsidP="000A5389">
            <w:pPr>
              <w:spacing w:line="240" w:lineRule="auto"/>
              <w:rPr>
                <w:rFonts w:eastAsia="Times New Roman" w:cs="Times New Roman"/>
                <w:color w:val="000000"/>
                <w:sz w:val="16"/>
                <w:szCs w:val="16"/>
                <w:lang w:eastAsia="es-CO"/>
              </w:rPr>
            </w:pPr>
          </w:p>
        </w:tc>
        <w:tc>
          <w:tcPr>
            <w:tcW w:w="1218" w:type="pct"/>
            <w:tcBorders>
              <w:top w:val="nil"/>
              <w:left w:val="nil"/>
              <w:bottom w:val="single" w:sz="4" w:space="0" w:color="D0D0D0"/>
              <w:right w:val="single" w:sz="4" w:space="0" w:color="D0D0D0"/>
            </w:tcBorders>
            <w:vAlign w:val="center"/>
            <w:hideMark/>
          </w:tcPr>
          <w:p w14:paraId="6059ED1E" w14:textId="77777777" w:rsidR="005E64D9" w:rsidRPr="00951AB1" w:rsidRDefault="005E64D9" w:rsidP="000A5389">
            <w:pPr>
              <w:spacing w:line="240" w:lineRule="auto"/>
              <w:rPr>
                <w:rFonts w:eastAsia="Times New Roman" w:cs="Times New Roman"/>
                <w:color w:val="000000"/>
                <w:sz w:val="16"/>
                <w:szCs w:val="16"/>
                <w:lang w:eastAsia="es-CO"/>
              </w:rPr>
            </w:pPr>
            <w:r w:rsidRPr="00951AB1">
              <w:rPr>
                <w:rFonts w:eastAsia="Times New Roman" w:cs="Times New Roman"/>
                <w:color w:val="000000"/>
                <w:sz w:val="16"/>
                <w:szCs w:val="16"/>
                <w:lang w:eastAsia="es-CO"/>
              </w:rPr>
              <w:t>06/04/2022 (Resolución No. 20227070004605 Multa: USD$3.607 y Perjuicios: $226.207.274)</w:t>
            </w:r>
          </w:p>
        </w:tc>
        <w:tc>
          <w:tcPr>
            <w:tcW w:w="593" w:type="pct"/>
            <w:tcBorders>
              <w:top w:val="nil"/>
              <w:left w:val="nil"/>
              <w:bottom w:val="single" w:sz="4" w:space="0" w:color="D0D0D0"/>
              <w:right w:val="single" w:sz="4" w:space="0" w:color="D0D0D0"/>
            </w:tcBorders>
            <w:vAlign w:val="center"/>
            <w:hideMark/>
          </w:tcPr>
          <w:p w14:paraId="74EA8FB5" w14:textId="77777777" w:rsidR="005E64D9" w:rsidRPr="00951AB1" w:rsidRDefault="005E64D9" w:rsidP="000A5389">
            <w:pPr>
              <w:spacing w:line="240" w:lineRule="auto"/>
              <w:jc w:val="center"/>
              <w:rPr>
                <w:rFonts w:eastAsia="Times New Roman" w:cs="Times New Roman"/>
                <w:color w:val="000000"/>
                <w:sz w:val="16"/>
                <w:szCs w:val="16"/>
                <w:lang w:eastAsia="es-CO"/>
              </w:rPr>
            </w:pPr>
            <w:r w:rsidRPr="00951AB1">
              <w:rPr>
                <w:rFonts w:eastAsia="Times New Roman" w:cs="Times New Roman"/>
                <w:color w:val="000000"/>
                <w:sz w:val="16"/>
                <w:szCs w:val="16"/>
                <w:lang w:eastAsia="es-CO"/>
              </w:rPr>
              <w:t>15/09/2022</w:t>
            </w:r>
          </w:p>
        </w:tc>
        <w:tc>
          <w:tcPr>
            <w:tcW w:w="275" w:type="pct"/>
            <w:tcBorders>
              <w:top w:val="nil"/>
              <w:left w:val="nil"/>
              <w:bottom w:val="single" w:sz="4" w:space="0" w:color="D0D0D0"/>
              <w:right w:val="single" w:sz="4" w:space="0" w:color="D0D0D0"/>
            </w:tcBorders>
            <w:vAlign w:val="center"/>
            <w:hideMark/>
          </w:tcPr>
          <w:p w14:paraId="6597FD9A" w14:textId="77777777" w:rsidR="005E64D9" w:rsidRPr="00951AB1" w:rsidRDefault="005E64D9" w:rsidP="000A5389">
            <w:pPr>
              <w:spacing w:line="240" w:lineRule="auto"/>
              <w:jc w:val="center"/>
              <w:rPr>
                <w:rFonts w:eastAsia="Times New Roman" w:cs="Times New Roman"/>
                <w:color w:val="000000"/>
                <w:sz w:val="16"/>
                <w:szCs w:val="16"/>
                <w:lang w:eastAsia="es-CO"/>
              </w:rPr>
            </w:pPr>
            <w:r w:rsidRPr="00951AB1">
              <w:rPr>
                <w:rFonts w:eastAsia="Times New Roman" w:cs="Times New Roman"/>
                <w:color w:val="000000"/>
                <w:sz w:val="16"/>
                <w:szCs w:val="16"/>
                <w:lang w:eastAsia="es-CO"/>
              </w:rPr>
              <w:t>12%</w:t>
            </w:r>
          </w:p>
        </w:tc>
        <w:tc>
          <w:tcPr>
            <w:tcW w:w="748" w:type="pct"/>
            <w:gridSpan w:val="2"/>
            <w:tcBorders>
              <w:top w:val="single" w:sz="4" w:space="0" w:color="D0D0D0"/>
              <w:left w:val="nil"/>
              <w:bottom w:val="single" w:sz="4" w:space="0" w:color="D0D0D0"/>
              <w:right w:val="single" w:sz="4" w:space="0" w:color="D0D0D0"/>
            </w:tcBorders>
            <w:vAlign w:val="center"/>
            <w:hideMark/>
          </w:tcPr>
          <w:p w14:paraId="12E8D7B0" w14:textId="77777777" w:rsidR="005E64D9" w:rsidRPr="00951AB1" w:rsidRDefault="005E64D9" w:rsidP="000A5389">
            <w:pPr>
              <w:spacing w:line="240" w:lineRule="auto"/>
              <w:jc w:val="center"/>
              <w:rPr>
                <w:rFonts w:eastAsia="Times New Roman" w:cs="Times New Roman"/>
                <w:color w:val="000000"/>
                <w:sz w:val="16"/>
                <w:szCs w:val="16"/>
                <w:lang w:eastAsia="es-CO"/>
              </w:rPr>
            </w:pPr>
            <w:r w:rsidRPr="00951AB1">
              <w:rPr>
                <w:rFonts w:eastAsia="Times New Roman" w:cs="Times New Roman"/>
                <w:color w:val="000000"/>
                <w:sz w:val="16"/>
                <w:szCs w:val="16"/>
                <w:lang w:eastAsia="es-CO"/>
              </w:rPr>
              <w:t>28/09/2022</w:t>
            </w:r>
          </w:p>
        </w:tc>
      </w:tr>
      <w:tr w:rsidR="005E64D9" w:rsidRPr="00951AB1" w14:paraId="3DD0C8F3" w14:textId="77777777" w:rsidTr="005E64D9">
        <w:trPr>
          <w:trHeight w:val="369"/>
        </w:trPr>
        <w:tc>
          <w:tcPr>
            <w:tcW w:w="652" w:type="pct"/>
            <w:tcBorders>
              <w:top w:val="nil"/>
              <w:left w:val="single" w:sz="4" w:space="0" w:color="D0D0D0"/>
              <w:bottom w:val="single" w:sz="4" w:space="0" w:color="D0D0D0"/>
              <w:right w:val="single" w:sz="4" w:space="0" w:color="D0D0D0"/>
            </w:tcBorders>
            <w:vAlign w:val="center"/>
          </w:tcPr>
          <w:p w14:paraId="6D7B8C60" w14:textId="77777777" w:rsidR="005E64D9" w:rsidRPr="00951AB1" w:rsidRDefault="005E64D9" w:rsidP="000A5389">
            <w:pPr>
              <w:spacing w:line="240" w:lineRule="auto"/>
              <w:rPr>
                <w:rFonts w:eastAsia="Times New Roman" w:cs="Times New Roman"/>
                <w:color w:val="000000"/>
                <w:sz w:val="16"/>
                <w:szCs w:val="16"/>
                <w:lang w:eastAsia="es-CO"/>
              </w:rPr>
            </w:pPr>
            <w:r w:rsidRPr="00951AB1">
              <w:rPr>
                <w:rFonts w:eastAsia="Times New Roman" w:cs="Times New Roman"/>
                <w:color w:val="000000"/>
                <w:sz w:val="16"/>
                <w:szCs w:val="16"/>
                <w:lang w:eastAsia="es-CO"/>
              </w:rPr>
              <w:t>Sanciones contractuales</w:t>
            </w:r>
          </w:p>
        </w:tc>
        <w:tc>
          <w:tcPr>
            <w:tcW w:w="850" w:type="pct"/>
            <w:tcBorders>
              <w:top w:val="nil"/>
              <w:left w:val="single" w:sz="4" w:space="0" w:color="D0D0D0"/>
              <w:bottom w:val="single" w:sz="4" w:space="0" w:color="D0D0D0"/>
              <w:right w:val="single" w:sz="4" w:space="0" w:color="D0D0D0"/>
            </w:tcBorders>
            <w:vAlign w:val="center"/>
          </w:tcPr>
          <w:p w14:paraId="37C537F6" w14:textId="5B61D294" w:rsidR="005E64D9" w:rsidRPr="00951AB1" w:rsidRDefault="005E64D9" w:rsidP="000A5389">
            <w:pPr>
              <w:spacing w:line="240" w:lineRule="auto"/>
              <w:rPr>
                <w:rFonts w:eastAsia="Times New Roman" w:cs="Times New Roman"/>
                <w:color w:val="000000"/>
                <w:sz w:val="16"/>
                <w:szCs w:val="16"/>
                <w:lang w:eastAsia="es-CO"/>
              </w:rPr>
            </w:pPr>
            <w:r w:rsidRPr="00951AB1">
              <w:rPr>
                <w:rFonts w:eastAsia="Times New Roman" w:cs="Times New Roman"/>
                <w:color w:val="000000"/>
                <w:sz w:val="16"/>
                <w:szCs w:val="16"/>
                <w:lang w:eastAsia="es-CO"/>
              </w:rPr>
              <w:t>Sociedad Portuaria Energética Multipropósito Y Contenedores Puerto Solo Buenaventura S.A</w:t>
            </w:r>
          </w:p>
        </w:tc>
        <w:tc>
          <w:tcPr>
            <w:tcW w:w="663" w:type="pct"/>
            <w:tcBorders>
              <w:top w:val="nil"/>
              <w:left w:val="single" w:sz="4" w:space="0" w:color="D0D0D0"/>
              <w:bottom w:val="single" w:sz="4" w:space="0" w:color="D0D0D0"/>
              <w:right w:val="single" w:sz="4" w:space="0" w:color="D0D0D0"/>
            </w:tcBorders>
            <w:vAlign w:val="center"/>
          </w:tcPr>
          <w:p w14:paraId="2400A03A" w14:textId="77777777" w:rsidR="005E64D9" w:rsidRPr="00951AB1" w:rsidRDefault="005E64D9" w:rsidP="000A5389">
            <w:pPr>
              <w:spacing w:line="240" w:lineRule="auto"/>
              <w:jc w:val="right"/>
              <w:rPr>
                <w:rFonts w:eastAsia="Times New Roman" w:cs="Times New Roman"/>
                <w:color w:val="000000"/>
                <w:sz w:val="16"/>
                <w:szCs w:val="16"/>
                <w:lang w:eastAsia="es-CO"/>
              </w:rPr>
            </w:pPr>
            <w:r w:rsidRPr="00951AB1">
              <w:rPr>
                <w:rFonts w:eastAsia="Times New Roman" w:cs="Times New Roman"/>
                <w:color w:val="000000"/>
                <w:sz w:val="16"/>
                <w:szCs w:val="16"/>
                <w:lang w:eastAsia="es-CO"/>
              </w:rPr>
              <w:t>2.388.950.503</w:t>
            </w:r>
          </w:p>
        </w:tc>
        <w:tc>
          <w:tcPr>
            <w:tcW w:w="1218" w:type="pct"/>
            <w:tcBorders>
              <w:top w:val="nil"/>
              <w:left w:val="nil"/>
              <w:bottom w:val="single" w:sz="4" w:space="0" w:color="D0D0D0"/>
              <w:right w:val="single" w:sz="4" w:space="0" w:color="D0D0D0"/>
            </w:tcBorders>
            <w:vAlign w:val="center"/>
          </w:tcPr>
          <w:p w14:paraId="470F8BF7" w14:textId="77777777" w:rsidR="005E64D9" w:rsidRPr="00951AB1" w:rsidRDefault="005E64D9" w:rsidP="000A5389">
            <w:pPr>
              <w:spacing w:line="240" w:lineRule="auto"/>
              <w:rPr>
                <w:rFonts w:eastAsia="Times New Roman" w:cs="Times New Roman"/>
                <w:color w:val="000000"/>
                <w:sz w:val="16"/>
                <w:szCs w:val="16"/>
                <w:lang w:eastAsia="es-CO"/>
              </w:rPr>
            </w:pPr>
            <w:r w:rsidRPr="00951AB1">
              <w:rPr>
                <w:rFonts w:eastAsia="Times New Roman" w:cs="Times New Roman"/>
                <w:color w:val="000000"/>
                <w:sz w:val="16"/>
                <w:szCs w:val="16"/>
                <w:lang w:eastAsia="es-CO"/>
              </w:rPr>
              <w:t xml:space="preserve">20247070014225 de fecha 07-11-2024 </w:t>
            </w:r>
          </w:p>
          <w:p w14:paraId="3A7953BB" w14:textId="77777777" w:rsidR="005E64D9" w:rsidRPr="00951AB1" w:rsidRDefault="005E64D9" w:rsidP="000A5389">
            <w:pPr>
              <w:spacing w:line="240" w:lineRule="auto"/>
              <w:rPr>
                <w:rFonts w:eastAsia="Times New Roman" w:cs="Times New Roman"/>
                <w:color w:val="000000"/>
                <w:sz w:val="16"/>
                <w:szCs w:val="16"/>
                <w:lang w:eastAsia="es-CO"/>
              </w:rPr>
            </w:pPr>
            <w:r w:rsidRPr="00951AB1">
              <w:rPr>
                <w:rFonts w:eastAsia="Times New Roman" w:cs="Times New Roman"/>
                <w:color w:val="000000"/>
                <w:sz w:val="16"/>
                <w:szCs w:val="16"/>
                <w:lang w:eastAsia="es-CO"/>
              </w:rPr>
              <w:t>Resolución ANI No 20257070012435 del 29-08-2025</w:t>
            </w:r>
          </w:p>
          <w:p w14:paraId="5B8DEDF8" w14:textId="77777777" w:rsidR="005E64D9" w:rsidRPr="00951AB1" w:rsidRDefault="005E64D9" w:rsidP="000A5389">
            <w:pPr>
              <w:spacing w:line="240" w:lineRule="auto"/>
              <w:rPr>
                <w:rFonts w:eastAsia="Times New Roman" w:cs="Times New Roman"/>
                <w:color w:val="000000"/>
                <w:sz w:val="16"/>
                <w:szCs w:val="16"/>
                <w:lang w:eastAsia="es-CO"/>
              </w:rPr>
            </w:pPr>
          </w:p>
        </w:tc>
        <w:tc>
          <w:tcPr>
            <w:tcW w:w="593" w:type="pct"/>
            <w:tcBorders>
              <w:top w:val="nil"/>
              <w:left w:val="nil"/>
              <w:bottom w:val="single" w:sz="4" w:space="0" w:color="D0D0D0"/>
              <w:right w:val="single" w:sz="4" w:space="0" w:color="D0D0D0"/>
            </w:tcBorders>
            <w:vAlign w:val="center"/>
          </w:tcPr>
          <w:p w14:paraId="6EEF3668" w14:textId="77777777" w:rsidR="005E64D9" w:rsidRPr="00951AB1" w:rsidRDefault="005E64D9" w:rsidP="000A5389">
            <w:pPr>
              <w:spacing w:line="240" w:lineRule="auto"/>
              <w:jc w:val="center"/>
              <w:rPr>
                <w:rFonts w:eastAsia="Times New Roman" w:cs="Times New Roman"/>
                <w:color w:val="000000"/>
                <w:sz w:val="16"/>
                <w:szCs w:val="16"/>
                <w:lang w:eastAsia="es-CO"/>
              </w:rPr>
            </w:pPr>
            <w:r w:rsidRPr="00951AB1">
              <w:rPr>
                <w:rFonts w:eastAsia="Times New Roman" w:cs="Times New Roman"/>
                <w:color w:val="000000"/>
                <w:sz w:val="16"/>
                <w:szCs w:val="16"/>
                <w:lang w:eastAsia="es-CO"/>
              </w:rPr>
              <w:t>05-09-2025</w:t>
            </w:r>
          </w:p>
        </w:tc>
        <w:tc>
          <w:tcPr>
            <w:tcW w:w="275" w:type="pct"/>
            <w:tcBorders>
              <w:top w:val="nil"/>
              <w:left w:val="nil"/>
              <w:bottom w:val="single" w:sz="4" w:space="0" w:color="D0D0D0"/>
              <w:right w:val="single" w:sz="4" w:space="0" w:color="D0D0D0"/>
            </w:tcBorders>
            <w:vAlign w:val="center"/>
          </w:tcPr>
          <w:p w14:paraId="6A072286" w14:textId="77777777" w:rsidR="005E64D9" w:rsidRPr="00951AB1" w:rsidRDefault="005E64D9" w:rsidP="000A5389">
            <w:pPr>
              <w:spacing w:line="240" w:lineRule="auto"/>
              <w:jc w:val="center"/>
              <w:rPr>
                <w:rFonts w:eastAsia="Times New Roman" w:cs="Times New Roman"/>
                <w:color w:val="000000"/>
                <w:sz w:val="16"/>
                <w:szCs w:val="16"/>
                <w:lang w:eastAsia="es-CO"/>
              </w:rPr>
            </w:pPr>
            <w:r w:rsidRPr="00951AB1">
              <w:rPr>
                <w:rFonts w:eastAsia="Times New Roman" w:cs="Times New Roman"/>
                <w:color w:val="000000"/>
                <w:sz w:val="16"/>
                <w:szCs w:val="16"/>
                <w:lang w:eastAsia="es-CO"/>
              </w:rPr>
              <w:t>12%</w:t>
            </w:r>
          </w:p>
        </w:tc>
        <w:tc>
          <w:tcPr>
            <w:tcW w:w="748" w:type="pct"/>
            <w:gridSpan w:val="2"/>
            <w:tcBorders>
              <w:top w:val="single" w:sz="4" w:space="0" w:color="D0D0D0"/>
              <w:left w:val="nil"/>
              <w:bottom w:val="single" w:sz="4" w:space="0" w:color="D0D0D0"/>
              <w:right w:val="single" w:sz="4" w:space="0" w:color="D0D0D0"/>
            </w:tcBorders>
            <w:vAlign w:val="center"/>
          </w:tcPr>
          <w:p w14:paraId="2EC45A81" w14:textId="77777777" w:rsidR="005E64D9" w:rsidRPr="00951AB1" w:rsidRDefault="005E64D9" w:rsidP="000A5389">
            <w:pPr>
              <w:spacing w:line="240" w:lineRule="auto"/>
              <w:jc w:val="center"/>
              <w:rPr>
                <w:rFonts w:eastAsia="Times New Roman" w:cs="Times New Roman"/>
                <w:color w:val="000000"/>
                <w:sz w:val="16"/>
                <w:szCs w:val="16"/>
                <w:lang w:eastAsia="es-CO"/>
              </w:rPr>
            </w:pPr>
            <w:r w:rsidRPr="00951AB1">
              <w:rPr>
                <w:rFonts w:eastAsia="Times New Roman" w:cs="Times New Roman"/>
                <w:color w:val="000000"/>
                <w:sz w:val="16"/>
                <w:szCs w:val="16"/>
                <w:lang w:eastAsia="es-CO"/>
              </w:rPr>
              <w:t>05-10-2025</w:t>
            </w:r>
          </w:p>
        </w:tc>
      </w:tr>
      <w:tr w:rsidR="005E64D9" w:rsidRPr="00951AB1" w14:paraId="3E16B9DD" w14:textId="77777777" w:rsidTr="005E64D9">
        <w:trPr>
          <w:trHeight w:val="814"/>
        </w:trPr>
        <w:tc>
          <w:tcPr>
            <w:tcW w:w="652" w:type="pct"/>
            <w:tcBorders>
              <w:top w:val="nil"/>
              <w:left w:val="single" w:sz="4" w:space="0" w:color="D0D0D0"/>
              <w:bottom w:val="single" w:sz="4" w:space="0" w:color="D0D0D0"/>
              <w:right w:val="single" w:sz="4" w:space="0" w:color="D0D0D0"/>
            </w:tcBorders>
            <w:vAlign w:val="center"/>
          </w:tcPr>
          <w:p w14:paraId="0DB9F410" w14:textId="77777777" w:rsidR="005E64D9" w:rsidRPr="00951AB1" w:rsidRDefault="005E64D9" w:rsidP="000A5389">
            <w:pPr>
              <w:spacing w:line="240" w:lineRule="auto"/>
              <w:rPr>
                <w:rFonts w:eastAsia="Times New Roman" w:cs="Times New Roman"/>
                <w:color w:val="000000"/>
                <w:sz w:val="16"/>
                <w:szCs w:val="16"/>
                <w:lang w:eastAsia="es-CO"/>
              </w:rPr>
            </w:pPr>
            <w:r w:rsidRPr="00951AB1">
              <w:rPr>
                <w:rFonts w:eastAsia="Times New Roman" w:cs="Times New Roman"/>
                <w:color w:val="000000"/>
                <w:sz w:val="16"/>
                <w:szCs w:val="16"/>
                <w:lang w:eastAsia="es-CO"/>
              </w:rPr>
              <w:t>Sanciones contractuales</w:t>
            </w:r>
          </w:p>
        </w:tc>
        <w:tc>
          <w:tcPr>
            <w:tcW w:w="850" w:type="pct"/>
            <w:tcBorders>
              <w:top w:val="nil"/>
              <w:left w:val="single" w:sz="4" w:space="0" w:color="D0D0D0"/>
              <w:bottom w:val="single" w:sz="4" w:space="0" w:color="D0D0D0"/>
              <w:right w:val="single" w:sz="4" w:space="0" w:color="D0D0D0"/>
            </w:tcBorders>
            <w:vAlign w:val="center"/>
          </w:tcPr>
          <w:p w14:paraId="31D4BEDD" w14:textId="1A40D701" w:rsidR="005E64D9" w:rsidRPr="00951AB1" w:rsidRDefault="005E64D9" w:rsidP="000A5389">
            <w:pPr>
              <w:spacing w:line="240" w:lineRule="auto"/>
              <w:rPr>
                <w:rFonts w:eastAsia="Times New Roman" w:cs="Times New Roman"/>
                <w:color w:val="000000"/>
                <w:sz w:val="16"/>
                <w:szCs w:val="16"/>
                <w:lang w:eastAsia="es-CO"/>
              </w:rPr>
            </w:pPr>
            <w:r w:rsidRPr="00951AB1">
              <w:rPr>
                <w:rFonts w:eastAsia="Times New Roman" w:cs="Times New Roman"/>
                <w:color w:val="000000"/>
                <w:sz w:val="16"/>
                <w:szCs w:val="16"/>
                <w:lang w:eastAsia="es-CO"/>
              </w:rPr>
              <w:t>Consorcio Velnec - Gng</w:t>
            </w:r>
          </w:p>
        </w:tc>
        <w:tc>
          <w:tcPr>
            <w:tcW w:w="663" w:type="pct"/>
            <w:tcBorders>
              <w:top w:val="nil"/>
              <w:left w:val="single" w:sz="4" w:space="0" w:color="D0D0D0"/>
              <w:bottom w:val="single" w:sz="4" w:space="0" w:color="D0D0D0"/>
              <w:right w:val="single" w:sz="4" w:space="0" w:color="D0D0D0"/>
            </w:tcBorders>
            <w:vAlign w:val="center"/>
          </w:tcPr>
          <w:p w14:paraId="49AAEED7" w14:textId="77777777" w:rsidR="005E64D9" w:rsidRPr="00951AB1" w:rsidRDefault="005E64D9" w:rsidP="000A5389">
            <w:pPr>
              <w:spacing w:line="240" w:lineRule="auto"/>
              <w:jc w:val="right"/>
              <w:rPr>
                <w:rFonts w:eastAsia="Times New Roman" w:cs="Times New Roman"/>
                <w:color w:val="000000"/>
                <w:sz w:val="16"/>
                <w:szCs w:val="16"/>
                <w:lang w:eastAsia="es-CO"/>
              </w:rPr>
            </w:pPr>
            <w:r w:rsidRPr="00951AB1">
              <w:rPr>
                <w:rFonts w:eastAsia="Times New Roman" w:cs="Times New Roman"/>
                <w:color w:val="000000"/>
                <w:sz w:val="16"/>
                <w:szCs w:val="16"/>
                <w:lang w:eastAsia="es-CO"/>
              </w:rPr>
              <w:t>2.176.129.175</w:t>
            </w:r>
          </w:p>
        </w:tc>
        <w:tc>
          <w:tcPr>
            <w:tcW w:w="1218" w:type="pct"/>
            <w:tcBorders>
              <w:top w:val="nil"/>
              <w:left w:val="nil"/>
              <w:bottom w:val="single" w:sz="4" w:space="0" w:color="D0D0D0"/>
              <w:right w:val="single" w:sz="4" w:space="0" w:color="D0D0D0"/>
            </w:tcBorders>
            <w:vAlign w:val="center"/>
          </w:tcPr>
          <w:p w14:paraId="3D997DAE" w14:textId="77777777" w:rsidR="005E64D9" w:rsidRPr="00951AB1" w:rsidRDefault="005E64D9" w:rsidP="000A5389">
            <w:pPr>
              <w:spacing w:line="240" w:lineRule="auto"/>
              <w:rPr>
                <w:rFonts w:eastAsia="Times New Roman" w:cs="Times New Roman"/>
                <w:color w:val="000000"/>
                <w:sz w:val="16"/>
                <w:szCs w:val="16"/>
                <w:lang w:eastAsia="es-CO"/>
              </w:rPr>
            </w:pPr>
            <w:r w:rsidRPr="00951AB1">
              <w:rPr>
                <w:rFonts w:eastAsia="Times New Roman" w:cs="Times New Roman"/>
                <w:color w:val="000000"/>
                <w:sz w:val="16"/>
                <w:szCs w:val="16"/>
                <w:lang w:eastAsia="es-CO"/>
              </w:rPr>
              <w:t>Resolución 20247070009845 de 8 de agosto de 2024</w:t>
            </w:r>
          </w:p>
          <w:p w14:paraId="4477524E" w14:textId="77777777" w:rsidR="005E64D9" w:rsidRPr="00951AB1" w:rsidRDefault="005E64D9" w:rsidP="000A5389">
            <w:pPr>
              <w:spacing w:line="240" w:lineRule="auto"/>
              <w:rPr>
                <w:rFonts w:eastAsia="Times New Roman" w:cs="Times New Roman"/>
                <w:color w:val="000000"/>
                <w:sz w:val="16"/>
                <w:szCs w:val="16"/>
                <w:lang w:eastAsia="es-CO"/>
              </w:rPr>
            </w:pPr>
            <w:r w:rsidRPr="00951AB1">
              <w:rPr>
                <w:rFonts w:eastAsia="Times New Roman" w:cs="Times New Roman"/>
                <w:color w:val="000000"/>
                <w:sz w:val="16"/>
                <w:szCs w:val="16"/>
                <w:lang w:eastAsia="es-CO"/>
              </w:rPr>
              <w:t>Resolución ANI No 20257070012045 de fecha 20-08-2025</w:t>
            </w:r>
          </w:p>
        </w:tc>
        <w:tc>
          <w:tcPr>
            <w:tcW w:w="593" w:type="pct"/>
            <w:tcBorders>
              <w:top w:val="nil"/>
              <w:left w:val="nil"/>
              <w:bottom w:val="single" w:sz="4" w:space="0" w:color="D0D0D0"/>
              <w:right w:val="single" w:sz="4" w:space="0" w:color="D0D0D0"/>
            </w:tcBorders>
            <w:vAlign w:val="center"/>
          </w:tcPr>
          <w:p w14:paraId="309D48DD" w14:textId="77777777" w:rsidR="005E64D9" w:rsidRPr="00951AB1" w:rsidRDefault="005E64D9" w:rsidP="000A5389">
            <w:pPr>
              <w:spacing w:line="240" w:lineRule="auto"/>
              <w:jc w:val="center"/>
              <w:rPr>
                <w:rFonts w:eastAsia="Times New Roman" w:cs="Times New Roman"/>
                <w:color w:val="000000"/>
                <w:sz w:val="16"/>
                <w:szCs w:val="16"/>
                <w:lang w:eastAsia="es-CO"/>
              </w:rPr>
            </w:pPr>
            <w:r w:rsidRPr="00951AB1">
              <w:rPr>
                <w:rFonts w:eastAsia="Times New Roman" w:cs="Times New Roman"/>
                <w:color w:val="000000"/>
                <w:sz w:val="16"/>
                <w:szCs w:val="16"/>
                <w:lang w:eastAsia="es-CO"/>
              </w:rPr>
              <w:t>09-09-2025</w:t>
            </w:r>
          </w:p>
        </w:tc>
        <w:tc>
          <w:tcPr>
            <w:tcW w:w="275" w:type="pct"/>
            <w:tcBorders>
              <w:top w:val="nil"/>
              <w:left w:val="nil"/>
              <w:bottom w:val="single" w:sz="4" w:space="0" w:color="D0D0D0"/>
              <w:right w:val="single" w:sz="4" w:space="0" w:color="D0D0D0"/>
            </w:tcBorders>
            <w:vAlign w:val="center"/>
          </w:tcPr>
          <w:p w14:paraId="1D01078D" w14:textId="77777777" w:rsidR="005E64D9" w:rsidRPr="00951AB1" w:rsidRDefault="005E64D9" w:rsidP="000A5389">
            <w:pPr>
              <w:spacing w:line="240" w:lineRule="auto"/>
              <w:jc w:val="center"/>
              <w:rPr>
                <w:rFonts w:eastAsia="Times New Roman" w:cs="Times New Roman"/>
                <w:color w:val="000000"/>
                <w:sz w:val="16"/>
                <w:szCs w:val="16"/>
                <w:lang w:eastAsia="es-CO"/>
              </w:rPr>
            </w:pPr>
            <w:r w:rsidRPr="00951AB1">
              <w:rPr>
                <w:rFonts w:eastAsia="Times New Roman" w:cs="Times New Roman"/>
                <w:color w:val="000000"/>
                <w:sz w:val="16"/>
                <w:szCs w:val="16"/>
                <w:lang w:eastAsia="es-CO"/>
              </w:rPr>
              <w:t>12%</w:t>
            </w:r>
          </w:p>
        </w:tc>
        <w:tc>
          <w:tcPr>
            <w:tcW w:w="748" w:type="pct"/>
            <w:gridSpan w:val="2"/>
            <w:tcBorders>
              <w:top w:val="single" w:sz="4" w:space="0" w:color="D0D0D0"/>
              <w:left w:val="nil"/>
              <w:bottom w:val="single" w:sz="4" w:space="0" w:color="D0D0D0"/>
              <w:right w:val="single" w:sz="4" w:space="0" w:color="D0D0D0"/>
            </w:tcBorders>
            <w:vAlign w:val="center"/>
          </w:tcPr>
          <w:p w14:paraId="4B8B67B7" w14:textId="77777777" w:rsidR="005E64D9" w:rsidRPr="00951AB1" w:rsidRDefault="005E64D9" w:rsidP="000A5389">
            <w:pPr>
              <w:spacing w:line="240" w:lineRule="auto"/>
              <w:jc w:val="center"/>
              <w:rPr>
                <w:rFonts w:eastAsia="Times New Roman" w:cs="Times New Roman"/>
                <w:color w:val="000000"/>
                <w:sz w:val="16"/>
                <w:szCs w:val="16"/>
                <w:lang w:eastAsia="es-CO"/>
              </w:rPr>
            </w:pPr>
            <w:r w:rsidRPr="00951AB1">
              <w:rPr>
                <w:rFonts w:eastAsia="Times New Roman" w:cs="Times New Roman"/>
                <w:color w:val="000000"/>
                <w:sz w:val="16"/>
                <w:szCs w:val="16"/>
                <w:lang w:eastAsia="es-CO"/>
              </w:rPr>
              <w:t>09-10-2025</w:t>
            </w:r>
          </w:p>
        </w:tc>
      </w:tr>
      <w:tr w:rsidR="005E64D9" w:rsidRPr="00951AB1" w14:paraId="0CCDCE1A" w14:textId="77777777" w:rsidTr="005E64D9">
        <w:trPr>
          <w:trHeight w:val="814"/>
        </w:trPr>
        <w:tc>
          <w:tcPr>
            <w:tcW w:w="652" w:type="pct"/>
            <w:tcBorders>
              <w:top w:val="nil"/>
              <w:left w:val="single" w:sz="4" w:space="0" w:color="D0D0D0"/>
              <w:bottom w:val="single" w:sz="4" w:space="0" w:color="D0D0D0"/>
              <w:right w:val="single" w:sz="4" w:space="0" w:color="D0D0D0"/>
            </w:tcBorders>
            <w:vAlign w:val="center"/>
          </w:tcPr>
          <w:p w14:paraId="08E519B9" w14:textId="77777777" w:rsidR="005E64D9" w:rsidRPr="00951AB1" w:rsidRDefault="005E64D9" w:rsidP="000A5389">
            <w:pPr>
              <w:spacing w:line="240" w:lineRule="auto"/>
              <w:rPr>
                <w:rFonts w:eastAsia="Times New Roman" w:cs="Times New Roman"/>
                <w:color w:val="000000"/>
                <w:sz w:val="16"/>
                <w:szCs w:val="16"/>
                <w:lang w:eastAsia="es-CO"/>
              </w:rPr>
            </w:pPr>
            <w:r w:rsidRPr="00951AB1">
              <w:rPr>
                <w:rFonts w:eastAsia="Times New Roman" w:cs="Times New Roman"/>
                <w:color w:val="000000"/>
                <w:sz w:val="16"/>
                <w:szCs w:val="16"/>
                <w:lang w:eastAsia="es-CO"/>
              </w:rPr>
              <w:t>Sanciones contractuales</w:t>
            </w:r>
          </w:p>
        </w:tc>
        <w:tc>
          <w:tcPr>
            <w:tcW w:w="850" w:type="pct"/>
            <w:tcBorders>
              <w:top w:val="nil"/>
              <w:left w:val="single" w:sz="4" w:space="0" w:color="D0D0D0"/>
              <w:bottom w:val="single" w:sz="4" w:space="0" w:color="D0D0D0"/>
              <w:right w:val="single" w:sz="4" w:space="0" w:color="D0D0D0"/>
            </w:tcBorders>
            <w:vAlign w:val="center"/>
          </w:tcPr>
          <w:p w14:paraId="581877CB" w14:textId="3BC00D22" w:rsidR="005E64D9" w:rsidRPr="00951AB1" w:rsidRDefault="005E64D9" w:rsidP="000A5389">
            <w:pPr>
              <w:spacing w:line="240" w:lineRule="auto"/>
              <w:rPr>
                <w:rFonts w:eastAsia="Times New Roman" w:cs="Times New Roman"/>
                <w:color w:val="000000"/>
                <w:sz w:val="16"/>
                <w:szCs w:val="16"/>
                <w:lang w:eastAsia="es-CO"/>
              </w:rPr>
            </w:pPr>
            <w:r w:rsidRPr="00951AB1">
              <w:rPr>
                <w:rFonts w:eastAsia="Times New Roman" w:cs="Times New Roman"/>
                <w:color w:val="000000"/>
                <w:sz w:val="16"/>
                <w:szCs w:val="16"/>
                <w:lang w:eastAsia="es-CO"/>
              </w:rPr>
              <w:t>Digicom System Corporation Sa</w:t>
            </w:r>
          </w:p>
        </w:tc>
        <w:tc>
          <w:tcPr>
            <w:tcW w:w="663" w:type="pct"/>
            <w:tcBorders>
              <w:top w:val="nil"/>
              <w:left w:val="single" w:sz="4" w:space="0" w:color="D0D0D0"/>
              <w:bottom w:val="single" w:sz="4" w:space="0" w:color="D0D0D0"/>
              <w:right w:val="single" w:sz="4" w:space="0" w:color="D0D0D0"/>
            </w:tcBorders>
            <w:vAlign w:val="center"/>
          </w:tcPr>
          <w:p w14:paraId="3DB87951" w14:textId="77777777" w:rsidR="005E64D9" w:rsidRPr="00951AB1" w:rsidRDefault="005E64D9" w:rsidP="000A5389">
            <w:pPr>
              <w:spacing w:line="240" w:lineRule="auto"/>
              <w:jc w:val="right"/>
              <w:rPr>
                <w:rFonts w:eastAsia="Times New Roman" w:cs="Times New Roman"/>
                <w:color w:val="000000"/>
                <w:sz w:val="16"/>
                <w:szCs w:val="16"/>
                <w:lang w:eastAsia="es-CO"/>
              </w:rPr>
            </w:pPr>
            <w:r w:rsidRPr="00951AB1">
              <w:rPr>
                <w:rFonts w:eastAsia="Times New Roman" w:cs="Times New Roman"/>
                <w:color w:val="000000"/>
                <w:sz w:val="16"/>
                <w:szCs w:val="16"/>
                <w:lang w:eastAsia="es-CO"/>
              </w:rPr>
              <w:t>262.867.895</w:t>
            </w:r>
          </w:p>
        </w:tc>
        <w:tc>
          <w:tcPr>
            <w:tcW w:w="1218" w:type="pct"/>
            <w:tcBorders>
              <w:top w:val="nil"/>
              <w:left w:val="nil"/>
              <w:bottom w:val="single" w:sz="4" w:space="0" w:color="D0D0D0"/>
              <w:right w:val="single" w:sz="4" w:space="0" w:color="D0D0D0"/>
            </w:tcBorders>
            <w:vAlign w:val="center"/>
          </w:tcPr>
          <w:p w14:paraId="6912F8B5" w14:textId="77777777" w:rsidR="005E64D9" w:rsidRPr="00951AB1" w:rsidRDefault="005E64D9" w:rsidP="000A5389">
            <w:pPr>
              <w:spacing w:line="240" w:lineRule="auto"/>
              <w:rPr>
                <w:rFonts w:eastAsia="Times New Roman" w:cs="Times New Roman"/>
                <w:color w:val="000000"/>
                <w:sz w:val="16"/>
                <w:szCs w:val="16"/>
                <w:lang w:eastAsia="es-CO"/>
              </w:rPr>
            </w:pPr>
            <w:r w:rsidRPr="00951AB1">
              <w:rPr>
                <w:rFonts w:eastAsia="Times New Roman" w:cs="Times New Roman"/>
                <w:color w:val="000000"/>
                <w:sz w:val="16"/>
                <w:szCs w:val="16"/>
                <w:lang w:eastAsia="es-CO"/>
              </w:rPr>
              <w:t>23/12/2022 (Resolución No. 20227070021345)</w:t>
            </w:r>
          </w:p>
        </w:tc>
        <w:tc>
          <w:tcPr>
            <w:tcW w:w="593" w:type="pct"/>
            <w:tcBorders>
              <w:top w:val="nil"/>
              <w:left w:val="nil"/>
              <w:bottom w:val="single" w:sz="4" w:space="0" w:color="D0D0D0"/>
              <w:right w:val="single" w:sz="4" w:space="0" w:color="D0D0D0"/>
            </w:tcBorders>
            <w:vAlign w:val="center"/>
          </w:tcPr>
          <w:p w14:paraId="17DC2141" w14:textId="77777777" w:rsidR="005E64D9" w:rsidRPr="00951AB1" w:rsidRDefault="005E64D9" w:rsidP="000A5389">
            <w:pPr>
              <w:spacing w:line="240" w:lineRule="auto"/>
              <w:jc w:val="center"/>
              <w:rPr>
                <w:rFonts w:eastAsia="Times New Roman" w:cs="Times New Roman"/>
                <w:color w:val="000000"/>
                <w:sz w:val="16"/>
                <w:szCs w:val="16"/>
                <w:lang w:eastAsia="es-CO"/>
              </w:rPr>
            </w:pPr>
            <w:r w:rsidRPr="00951AB1">
              <w:rPr>
                <w:rFonts w:eastAsia="Times New Roman" w:cs="Times New Roman"/>
                <w:color w:val="000000"/>
                <w:sz w:val="16"/>
                <w:szCs w:val="16"/>
                <w:lang w:eastAsia="es-CO"/>
              </w:rPr>
              <w:t>3/03/2023</w:t>
            </w:r>
          </w:p>
        </w:tc>
        <w:tc>
          <w:tcPr>
            <w:tcW w:w="275" w:type="pct"/>
            <w:tcBorders>
              <w:top w:val="nil"/>
              <w:left w:val="nil"/>
              <w:bottom w:val="single" w:sz="4" w:space="0" w:color="D0D0D0"/>
              <w:right w:val="single" w:sz="4" w:space="0" w:color="D0D0D0"/>
            </w:tcBorders>
            <w:vAlign w:val="center"/>
          </w:tcPr>
          <w:p w14:paraId="72F48ADC" w14:textId="77777777" w:rsidR="005E64D9" w:rsidRPr="00951AB1" w:rsidRDefault="005E64D9" w:rsidP="000A5389">
            <w:pPr>
              <w:spacing w:line="240" w:lineRule="auto"/>
              <w:jc w:val="center"/>
              <w:rPr>
                <w:rFonts w:eastAsia="Times New Roman" w:cs="Times New Roman"/>
                <w:color w:val="000000"/>
                <w:sz w:val="16"/>
                <w:szCs w:val="16"/>
                <w:lang w:eastAsia="es-CO"/>
              </w:rPr>
            </w:pPr>
            <w:r w:rsidRPr="00951AB1">
              <w:rPr>
                <w:rFonts w:eastAsia="Times New Roman" w:cs="Times New Roman"/>
                <w:color w:val="000000"/>
                <w:sz w:val="16"/>
                <w:szCs w:val="16"/>
                <w:lang w:eastAsia="es-CO"/>
              </w:rPr>
              <w:t>12%</w:t>
            </w:r>
          </w:p>
        </w:tc>
        <w:tc>
          <w:tcPr>
            <w:tcW w:w="748" w:type="pct"/>
            <w:gridSpan w:val="2"/>
            <w:tcBorders>
              <w:top w:val="single" w:sz="4" w:space="0" w:color="D0D0D0"/>
              <w:left w:val="nil"/>
              <w:bottom w:val="single" w:sz="4" w:space="0" w:color="D0D0D0"/>
              <w:right w:val="single" w:sz="4" w:space="0" w:color="D0D0D0"/>
            </w:tcBorders>
            <w:vAlign w:val="center"/>
          </w:tcPr>
          <w:p w14:paraId="2A80085E" w14:textId="77777777" w:rsidR="005E64D9" w:rsidRPr="00951AB1" w:rsidRDefault="005E64D9" w:rsidP="000A5389">
            <w:pPr>
              <w:spacing w:line="240" w:lineRule="auto"/>
              <w:jc w:val="center"/>
              <w:rPr>
                <w:rFonts w:eastAsia="Times New Roman" w:cs="Times New Roman"/>
                <w:color w:val="000000"/>
                <w:sz w:val="16"/>
                <w:szCs w:val="16"/>
                <w:lang w:eastAsia="es-CO"/>
              </w:rPr>
            </w:pPr>
            <w:r w:rsidRPr="00951AB1">
              <w:rPr>
                <w:rFonts w:eastAsia="Times New Roman" w:cs="Times New Roman"/>
                <w:color w:val="000000"/>
                <w:sz w:val="16"/>
                <w:szCs w:val="16"/>
                <w:lang w:eastAsia="es-CO"/>
              </w:rPr>
              <w:t>16/03/2023</w:t>
            </w:r>
          </w:p>
        </w:tc>
      </w:tr>
      <w:tr w:rsidR="005E64D9" w:rsidRPr="00951AB1" w14:paraId="53CB9539" w14:textId="77777777" w:rsidTr="005E64D9">
        <w:trPr>
          <w:trHeight w:val="765"/>
        </w:trPr>
        <w:tc>
          <w:tcPr>
            <w:tcW w:w="652" w:type="pct"/>
            <w:vMerge w:val="restart"/>
            <w:tcBorders>
              <w:top w:val="nil"/>
              <w:left w:val="single" w:sz="4" w:space="0" w:color="D0D0D0"/>
              <w:bottom w:val="single" w:sz="4" w:space="0" w:color="D0D0D0"/>
              <w:right w:val="single" w:sz="4" w:space="0" w:color="D0D0D0"/>
            </w:tcBorders>
            <w:vAlign w:val="center"/>
            <w:hideMark/>
          </w:tcPr>
          <w:p w14:paraId="4E6867A7" w14:textId="77777777" w:rsidR="005E64D9" w:rsidRPr="00951AB1" w:rsidRDefault="005E64D9" w:rsidP="000A5389">
            <w:pPr>
              <w:spacing w:line="240" w:lineRule="auto"/>
              <w:rPr>
                <w:rFonts w:eastAsia="Times New Roman" w:cs="Times New Roman"/>
                <w:color w:val="000000"/>
                <w:sz w:val="16"/>
                <w:szCs w:val="16"/>
                <w:lang w:eastAsia="es-CO"/>
              </w:rPr>
            </w:pPr>
            <w:r w:rsidRPr="00951AB1">
              <w:rPr>
                <w:rFonts w:eastAsia="Times New Roman" w:cs="Times New Roman"/>
                <w:color w:val="000000"/>
                <w:sz w:val="16"/>
                <w:szCs w:val="16"/>
                <w:lang w:eastAsia="es-CO"/>
              </w:rPr>
              <w:t>Sanciones contractuales</w:t>
            </w:r>
          </w:p>
        </w:tc>
        <w:tc>
          <w:tcPr>
            <w:tcW w:w="850" w:type="pct"/>
            <w:vMerge w:val="restart"/>
            <w:tcBorders>
              <w:top w:val="nil"/>
              <w:left w:val="single" w:sz="4" w:space="0" w:color="D0D0D0"/>
              <w:bottom w:val="single" w:sz="4" w:space="0" w:color="D0D0D0"/>
              <w:right w:val="single" w:sz="4" w:space="0" w:color="D0D0D0"/>
            </w:tcBorders>
            <w:vAlign w:val="center"/>
            <w:hideMark/>
          </w:tcPr>
          <w:p w14:paraId="165D51F4" w14:textId="3C3090E4" w:rsidR="005E64D9" w:rsidRPr="00951AB1" w:rsidRDefault="005E64D9" w:rsidP="000A5389">
            <w:pPr>
              <w:spacing w:line="240" w:lineRule="auto"/>
              <w:rPr>
                <w:rFonts w:eastAsia="Times New Roman" w:cs="Times New Roman"/>
                <w:color w:val="000000"/>
                <w:sz w:val="16"/>
                <w:szCs w:val="16"/>
                <w:lang w:eastAsia="es-CO"/>
              </w:rPr>
            </w:pPr>
            <w:r w:rsidRPr="00951AB1">
              <w:rPr>
                <w:rFonts w:eastAsia="Times New Roman" w:cs="Times New Roman"/>
                <w:color w:val="000000"/>
                <w:sz w:val="16"/>
                <w:szCs w:val="16"/>
                <w:lang w:eastAsia="es-CO"/>
              </w:rPr>
              <w:t xml:space="preserve">Sociedad Portuaria De La </w:t>
            </w:r>
            <w:r w:rsidR="008567AA" w:rsidRPr="00951AB1">
              <w:rPr>
                <w:rFonts w:eastAsia="Times New Roman" w:cs="Times New Roman"/>
                <w:color w:val="000000"/>
                <w:sz w:val="16"/>
                <w:szCs w:val="16"/>
                <w:lang w:eastAsia="es-CO"/>
              </w:rPr>
              <w:t>Península</w:t>
            </w:r>
          </w:p>
        </w:tc>
        <w:tc>
          <w:tcPr>
            <w:tcW w:w="663" w:type="pct"/>
            <w:vMerge w:val="restart"/>
            <w:tcBorders>
              <w:top w:val="nil"/>
              <w:left w:val="single" w:sz="4" w:space="0" w:color="D0D0D0"/>
              <w:bottom w:val="single" w:sz="4" w:space="0" w:color="D0D0D0"/>
              <w:right w:val="single" w:sz="4" w:space="0" w:color="D0D0D0"/>
            </w:tcBorders>
            <w:vAlign w:val="center"/>
            <w:hideMark/>
          </w:tcPr>
          <w:p w14:paraId="151DC0C8" w14:textId="77777777" w:rsidR="005E64D9" w:rsidRPr="00951AB1" w:rsidRDefault="005E64D9" w:rsidP="000A5389">
            <w:pPr>
              <w:spacing w:line="240" w:lineRule="auto"/>
              <w:jc w:val="right"/>
              <w:rPr>
                <w:rFonts w:eastAsia="Times New Roman" w:cs="Times New Roman"/>
                <w:color w:val="000000"/>
                <w:sz w:val="16"/>
                <w:szCs w:val="16"/>
                <w:lang w:eastAsia="es-CO"/>
              </w:rPr>
            </w:pPr>
            <w:r w:rsidRPr="00951AB1">
              <w:rPr>
                <w:rFonts w:eastAsia="Times New Roman" w:cs="Times New Roman"/>
                <w:color w:val="000000"/>
                <w:sz w:val="16"/>
                <w:szCs w:val="16"/>
                <w:lang w:eastAsia="es-CO"/>
              </w:rPr>
              <w:t>78.581.789</w:t>
            </w:r>
          </w:p>
        </w:tc>
        <w:tc>
          <w:tcPr>
            <w:tcW w:w="1218" w:type="pct"/>
            <w:tcBorders>
              <w:top w:val="nil"/>
              <w:left w:val="nil"/>
              <w:bottom w:val="single" w:sz="4" w:space="0" w:color="D0D0D0"/>
              <w:right w:val="single" w:sz="4" w:space="0" w:color="D0D0D0"/>
            </w:tcBorders>
            <w:vAlign w:val="center"/>
            <w:hideMark/>
          </w:tcPr>
          <w:p w14:paraId="3179628B" w14:textId="77777777" w:rsidR="005E64D9" w:rsidRPr="00951AB1" w:rsidRDefault="005E64D9" w:rsidP="000A5389">
            <w:pPr>
              <w:spacing w:line="240" w:lineRule="auto"/>
              <w:rPr>
                <w:rFonts w:eastAsia="Times New Roman" w:cs="Times New Roman"/>
                <w:color w:val="000000"/>
                <w:sz w:val="16"/>
                <w:szCs w:val="16"/>
                <w:lang w:eastAsia="es-CO"/>
              </w:rPr>
            </w:pPr>
            <w:r w:rsidRPr="00951AB1">
              <w:rPr>
                <w:rFonts w:eastAsia="Times New Roman" w:cs="Times New Roman"/>
                <w:color w:val="000000"/>
                <w:sz w:val="16"/>
                <w:szCs w:val="16"/>
                <w:lang w:eastAsia="es-CO"/>
              </w:rPr>
              <w:t>30/11/2020 (Resolución No. 20207070017545 Multa: USD$67.081,57)</w:t>
            </w:r>
          </w:p>
        </w:tc>
        <w:tc>
          <w:tcPr>
            <w:tcW w:w="593" w:type="pct"/>
            <w:tcBorders>
              <w:top w:val="nil"/>
              <w:left w:val="nil"/>
              <w:bottom w:val="single" w:sz="4" w:space="0" w:color="D0D0D0"/>
              <w:right w:val="single" w:sz="4" w:space="0" w:color="D0D0D0"/>
            </w:tcBorders>
            <w:vAlign w:val="center"/>
            <w:hideMark/>
          </w:tcPr>
          <w:p w14:paraId="18C63694" w14:textId="77777777" w:rsidR="005E64D9" w:rsidRPr="00951AB1" w:rsidRDefault="005E64D9" w:rsidP="000A5389">
            <w:pPr>
              <w:spacing w:line="240" w:lineRule="auto"/>
              <w:jc w:val="center"/>
              <w:rPr>
                <w:rFonts w:eastAsia="Times New Roman" w:cs="Times New Roman"/>
                <w:color w:val="000000"/>
                <w:sz w:val="16"/>
                <w:szCs w:val="16"/>
                <w:lang w:eastAsia="es-CO"/>
              </w:rPr>
            </w:pPr>
            <w:r w:rsidRPr="00951AB1">
              <w:rPr>
                <w:rFonts w:eastAsia="Times New Roman" w:cs="Times New Roman"/>
                <w:color w:val="000000"/>
                <w:sz w:val="16"/>
                <w:szCs w:val="16"/>
                <w:lang w:eastAsia="es-CO"/>
              </w:rPr>
              <w:t>13/05/2021</w:t>
            </w:r>
          </w:p>
        </w:tc>
        <w:tc>
          <w:tcPr>
            <w:tcW w:w="275" w:type="pct"/>
            <w:tcBorders>
              <w:top w:val="nil"/>
              <w:left w:val="nil"/>
              <w:bottom w:val="single" w:sz="4" w:space="0" w:color="D0D0D0"/>
              <w:right w:val="single" w:sz="4" w:space="0" w:color="D0D0D0"/>
            </w:tcBorders>
            <w:vAlign w:val="center"/>
            <w:hideMark/>
          </w:tcPr>
          <w:p w14:paraId="07289B91" w14:textId="77777777" w:rsidR="005E64D9" w:rsidRPr="00951AB1" w:rsidRDefault="005E64D9" w:rsidP="000A5389">
            <w:pPr>
              <w:spacing w:line="240" w:lineRule="auto"/>
              <w:jc w:val="center"/>
              <w:rPr>
                <w:rFonts w:eastAsia="Times New Roman" w:cs="Times New Roman"/>
                <w:color w:val="000000"/>
                <w:sz w:val="16"/>
                <w:szCs w:val="16"/>
                <w:lang w:eastAsia="es-CO"/>
              </w:rPr>
            </w:pPr>
            <w:r w:rsidRPr="00951AB1">
              <w:rPr>
                <w:rFonts w:eastAsia="Times New Roman" w:cs="Times New Roman"/>
                <w:color w:val="000000"/>
                <w:sz w:val="16"/>
                <w:szCs w:val="16"/>
                <w:lang w:eastAsia="es-CO"/>
              </w:rPr>
              <w:t>12%</w:t>
            </w:r>
          </w:p>
        </w:tc>
        <w:tc>
          <w:tcPr>
            <w:tcW w:w="748" w:type="pct"/>
            <w:gridSpan w:val="2"/>
            <w:tcBorders>
              <w:top w:val="single" w:sz="4" w:space="0" w:color="D0D0D0"/>
              <w:left w:val="nil"/>
              <w:bottom w:val="single" w:sz="4" w:space="0" w:color="D0D0D0"/>
              <w:right w:val="single" w:sz="4" w:space="0" w:color="D0D0D0"/>
            </w:tcBorders>
            <w:noWrap/>
            <w:vAlign w:val="bottom"/>
            <w:hideMark/>
          </w:tcPr>
          <w:p w14:paraId="3BE4CE50" w14:textId="77777777" w:rsidR="005E64D9" w:rsidRPr="00951AB1" w:rsidRDefault="005E64D9" w:rsidP="000A5389">
            <w:pPr>
              <w:spacing w:line="240" w:lineRule="auto"/>
              <w:jc w:val="center"/>
              <w:rPr>
                <w:rFonts w:eastAsia="Times New Roman" w:cs="Times New Roman"/>
                <w:color w:val="000000"/>
                <w:sz w:val="16"/>
                <w:szCs w:val="16"/>
                <w:lang w:eastAsia="es-CO"/>
              </w:rPr>
            </w:pPr>
            <w:r w:rsidRPr="00951AB1">
              <w:rPr>
                <w:rFonts w:eastAsia="Times New Roman" w:cs="Times New Roman"/>
                <w:color w:val="000000"/>
                <w:sz w:val="16"/>
                <w:szCs w:val="16"/>
                <w:lang w:eastAsia="es-CO"/>
              </w:rPr>
              <w:t>27/05/2021</w:t>
            </w:r>
          </w:p>
        </w:tc>
      </w:tr>
      <w:tr w:rsidR="005E64D9" w:rsidRPr="00951AB1" w14:paraId="7DA8C196" w14:textId="77777777" w:rsidTr="005E64D9">
        <w:trPr>
          <w:trHeight w:val="720"/>
        </w:trPr>
        <w:tc>
          <w:tcPr>
            <w:tcW w:w="652" w:type="pct"/>
            <w:vMerge/>
            <w:tcBorders>
              <w:top w:val="nil"/>
              <w:left w:val="single" w:sz="4" w:space="0" w:color="D0D0D0"/>
              <w:bottom w:val="single" w:sz="4" w:space="0" w:color="D0D0D0"/>
              <w:right w:val="single" w:sz="4" w:space="0" w:color="D0D0D0"/>
            </w:tcBorders>
            <w:vAlign w:val="center"/>
            <w:hideMark/>
          </w:tcPr>
          <w:p w14:paraId="44289475" w14:textId="77777777" w:rsidR="005E64D9" w:rsidRPr="00951AB1" w:rsidRDefault="005E64D9" w:rsidP="000A5389">
            <w:pPr>
              <w:spacing w:line="240" w:lineRule="auto"/>
              <w:rPr>
                <w:rFonts w:eastAsia="Times New Roman" w:cs="Times New Roman"/>
                <w:color w:val="000000"/>
                <w:sz w:val="16"/>
                <w:szCs w:val="16"/>
                <w:lang w:eastAsia="es-CO"/>
              </w:rPr>
            </w:pPr>
          </w:p>
        </w:tc>
        <w:tc>
          <w:tcPr>
            <w:tcW w:w="850" w:type="pct"/>
            <w:vMerge/>
            <w:tcBorders>
              <w:top w:val="nil"/>
              <w:left w:val="single" w:sz="4" w:space="0" w:color="D0D0D0"/>
              <w:bottom w:val="single" w:sz="4" w:space="0" w:color="D0D0D0"/>
              <w:right w:val="single" w:sz="4" w:space="0" w:color="D0D0D0"/>
            </w:tcBorders>
            <w:vAlign w:val="center"/>
            <w:hideMark/>
          </w:tcPr>
          <w:p w14:paraId="63D423CB" w14:textId="77777777" w:rsidR="005E64D9" w:rsidRPr="00951AB1" w:rsidRDefault="005E64D9" w:rsidP="000A5389">
            <w:pPr>
              <w:spacing w:line="240" w:lineRule="auto"/>
              <w:rPr>
                <w:rFonts w:eastAsia="Times New Roman" w:cs="Times New Roman"/>
                <w:color w:val="000000"/>
                <w:sz w:val="16"/>
                <w:szCs w:val="16"/>
                <w:lang w:eastAsia="es-CO"/>
              </w:rPr>
            </w:pPr>
          </w:p>
        </w:tc>
        <w:tc>
          <w:tcPr>
            <w:tcW w:w="663" w:type="pct"/>
            <w:vMerge/>
            <w:tcBorders>
              <w:top w:val="nil"/>
              <w:left w:val="single" w:sz="4" w:space="0" w:color="D0D0D0"/>
              <w:bottom w:val="single" w:sz="4" w:space="0" w:color="D0D0D0"/>
              <w:right w:val="single" w:sz="4" w:space="0" w:color="D0D0D0"/>
            </w:tcBorders>
            <w:vAlign w:val="center"/>
            <w:hideMark/>
          </w:tcPr>
          <w:p w14:paraId="5C6E1409" w14:textId="77777777" w:rsidR="005E64D9" w:rsidRPr="00951AB1" w:rsidRDefault="005E64D9" w:rsidP="000A5389">
            <w:pPr>
              <w:spacing w:line="240" w:lineRule="auto"/>
              <w:rPr>
                <w:rFonts w:eastAsia="Times New Roman" w:cs="Times New Roman"/>
                <w:color w:val="000000"/>
                <w:sz w:val="16"/>
                <w:szCs w:val="16"/>
                <w:lang w:eastAsia="es-CO"/>
              </w:rPr>
            </w:pPr>
          </w:p>
        </w:tc>
        <w:tc>
          <w:tcPr>
            <w:tcW w:w="1218" w:type="pct"/>
            <w:tcBorders>
              <w:top w:val="nil"/>
              <w:left w:val="nil"/>
              <w:bottom w:val="single" w:sz="4" w:space="0" w:color="D0D0D0"/>
              <w:right w:val="single" w:sz="4" w:space="0" w:color="D0D0D0"/>
            </w:tcBorders>
            <w:vAlign w:val="center"/>
            <w:hideMark/>
          </w:tcPr>
          <w:p w14:paraId="06038FB0" w14:textId="77777777" w:rsidR="005E64D9" w:rsidRPr="00951AB1" w:rsidRDefault="005E64D9" w:rsidP="000A5389">
            <w:pPr>
              <w:spacing w:line="240" w:lineRule="auto"/>
              <w:rPr>
                <w:rFonts w:eastAsia="Times New Roman" w:cs="Times New Roman"/>
                <w:color w:val="000000"/>
                <w:sz w:val="16"/>
                <w:szCs w:val="16"/>
                <w:lang w:eastAsia="es-CO"/>
              </w:rPr>
            </w:pPr>
            <w:r w:rsidRPr="00951AB1">
              <w:rPr>
                <w:rFonts w:eastAsia="Times New Roman" w:cs="Times New Roman"/>
                <w:color w:val="000000"/>
                <w:sz w:val="16"/>
                <w:szCs w:val="16"/>
                <w:lang w:eastAsia="es-CO"/>
              </w:rPr>
              <w:t>26/09/2022 (Resolución No. 20227070015165 Perjuicios: $1.049.674.163)</w:t>
            </w:r>
          </w:p>
        </w:tc>
        <w:tc>
          <w:tcPr>
            <w:tcW w:w="593" w:type="pct"/>
            <w:tcBorders>
              <w:top w:val="nil"/>
              <w:left w:val="nil"/>
              <w:bottom w:val="single" w:sz="4" w:space="0" w:color="D0D0D0"/>
              <w:right w:val="single" w:sz="4" w:space="0" w:color="D0D0D0"/>
            </w:tcBorders>
            <w:vAlign w:val="center"/>
            <w:hideMark/>
          </w:tcPr>
          <w:p w14:paraId="51AC146D" w14:textId="77777777" w:rsidR="005E64D9" w:rsidRPr="00951AB1" w:rsidRDefault="005E64D9" w:rsidP="000A5389">
            <w:pPr>
              <w:spacing w:line="240" w:lineRule="auto"/>
              <w:jc w:val="center"/>
              <w:rPr>
                <w:rFonts w:eastAsia="Times New Roman" w:cs="Times New Roman"/>
                <w:color w:val="000000"/>
                <w:sz w:val="16"/>
                <w:szCs w:val="16"/>
                <w:lang w:eastAsia="es-CO"/>
              </w:rPr>
            </w:pPr>
            <w:r w:rsidRPr="00951AB1">
              <w:rPr>
                <w:rFonts w:eastAsia="Times New Roman" w:cs="Times New Roman"/>
                <w:color w:val="000000"/>
                <w:sz w:val="16"/>
                <w:szCs w:val="16"/>
                <w:lang w:eastAsia="es-CO"/>
              </w:rPr>
              <w:t>19/12/2022</w:t>
            </w:r>
          </w:p>
        </w:tc>
        <w:tc>
          <w:tcPr>
            <w:tcW w:w="275" w:type="pct"/>
            <w:tcBorders>
              <w:top w:val="nil"/>
              <w:left w:val="nil"/>
              <w:bottom w:val="single" w:sz="4" w:space="0" w:color="D0D0D0"/>
              <w:right w:val="single" w:sz="4" w:space="0" w:color="D0D0D0"/>
            </w:tcBorders>
            <w:vAlign w:val="center"/>
            <w:hideMark/>
          </w:tcPr>
          <w:p w14:paraId="519869FF" w14:textId="77777777" w:rsidR="005E64D9" w:rsidRPr="00951AB1" w:rsidRDefault="005E64D9" w:rsidP="000A5389">
            <w:pPr>
              <w:spacing w:line="240" w:lineRule="auto"/>
              <w:jc w:val="center"/>
              <w:rPr>
                <w:rFonts w:eastAsia="Times New Roman" w:cs="Times New Roman"/>
                <w:color w:val="000000"/>
                <w:sz w:val="16"/>
                <w:szCs w:val="16"/>
                <w:lang w:eastAsia="es-CO"/>
              </w:rPr>
            </w:pPr>
            <w:r w:rsidRPr="00951AB1">
              <w:rPr>
                <w:rFonts w:eastAsia="Times New Roman" w:cs="Times New Roman"/>
                <w:color w:val="000000"/>
                <w:sz w:val="16"/>
                <w:szCs w:val="16"/>
                <w:lang w:eastAsia="es-CO"/>
              </w:rPr>
              <w:t>12%</w:t>
            </w:r>
          </w:p>
        </w:tc>
        <w:tc>
          <w:tcPr>
            <w:tcW w:w="748" w:type="pct"/>
            <w:gridSpan w:val="2"/>
            <w:tcBorders>
              <w:top w:val="single" w:sz="4" w:space="0" w:color="D0D0D0"/>
              <w:left w:val="nil"/>
              <w:bottom w:val="single" w:sz="4" w:space="0" w:color="D0D0D0"/>
              <w:right w:val="single" w:sz="4" w:space="0" w:color="D0D0D0"/>
            </w:tcBorders>
            <w:noWrap/>
            <w:vAlign w:val="bottom"/>
            <w:hideMark/>
          </w:tcPr>
          <w:p w14:paraId="5F2731A7" w14:textId="77777777" w:rsidR="005E64D9" w:rsidRPr="00951AB1" w:rsidRDefault="005E64D9" w:rsidP="000A5389">
            <w:pPr>
              <w:spacing w:line="240" w:lineRule="auto"/>
              <w:jc w:val="center"/>
              <w:rPr>
                <w:rFonts w:eastAsia="Times New Roman" w:cs="Times New Roman"/>
                <w:color w:val="000000"/>
                <w:sz w:val="16"/>
                <w:szCs w:val="16"/>
                <w:lang w:eastAsia="es-CO"/>
              </w:rPr>
            </w:pPr>
            <w:r w:rsidRPr="00951AB1">
              <w:rPr>
                <w:rFonts w:eastAsia="Times New Roman" w:cs="Times New Roman"/>
                <w:color w:val="000000"/>
                <w:sz w:val="16"/>
                <w:szCs w:val="16"/>
                <w:lang w:eastAsia="es-CO"/>
              </w:rPr>
              <w:t>30/12/2022</w:t>
            </w:r>
          </w:p>
        </w:tc>
      </w:tr>
      <w:tr w:rsidR="005E64D9" w:rsidRPr="00951AB1" w14:paraId="5FD5CC6B" w14:textId="77777777" w:rsidTr="005E64D9">
        <w:trPr>
          <w:trHeight w:val="765"/>
        </w:trPr>
        <w:tc>
          <w:tcPr>
            <w:tcW w:w="652" w:type="pct"/>
            <w:vMerge/>
            <w:tcBorders>
              <w:top w:val="nil"/>
              <w:left w:val="single" w:sz="4" w:space="0" w:color="D0D0D0"/>
              <w:bottom w:val="single" w:sz="4" w:space="0" w:color="D0D0D0"/>
              <w:right w:val="single" w:sz="4" w:space="0" w:color="D0D0D0"/>
            </w:tcBorders>
            <w:vAlign w:val="center"/>
            <w:hideMark/>
          </w:tcPr>
          <w:p w14:paraId="4E17833D" w14:textId="77777777" w:rsidR="005E64D9" w:rsidRPr="00951AB1" w:rsidRDefault="005E64D9" w:rsidP="000A5389">
            <w:pPr>
              <w:spacing w:line="240" w:lineRule="auto"/>
              <w:rPr>
                <w:rFonts w:eastAsia="Times New Roman" w:cs="Times New Roman"/>
                <w:color w:val="000000"/>
                <w:sz w:val="16"/>
                <w:szCs w:val="16"/>
                <w:lang w:eastAsia="es-CO"/>
              </w:rPr>
            </w:pPr>
          </w:p>
        </w:tc>
        <w:tc>
          <w:tcPr>
            <w:tcW w:w="850" w:type="pct"/>
            <w:vMerge/>
            <w:tcBorders>
              <w:top w:val="nil"/>
              <w:left w:val="single" w:sz="4" w:space="0" w:color="D0D0D0"/>
              <w:bottom w:val="single" w:sz="4" w:space="0" w:color="D0D0D0"/>
              <w:right w:val="single" w:sz="4" w:space="0" w:color="D0D0D0"/>
            </w:tcBorders>
            <w:vAlign w:val="center"/>
            <w:hideMark/>
          </w:tcPr>
          <w:p w14:paraId="77129CCA" w14:textId="77777777" w:rsidR="005E64D9" w:rsidRPr="00951AB1" w:rsidRDefault="005E64D9" w:rsidP="000A5389">
            <w:pPr>
              <w:spacing w:line="240" w:lineRule="auto"/>
              <w:rPr>
                <w:rFonts w:eastAsia="Times New Roman" w:cs="Times New Roman"/>
                <w:color w:val="000000"/>
                <w:sz w:val="16"/>
                <w:szCs w:val="16"/>
                <w:lang w:eastAsia="es-CO"/>
              </w:rPr>
            </w:pPr>
          </w:p>
        </w:tc>
        <w:tc>
          <w:tcPr>
            <w:tcW w:w="663" w:type="pct"/>
            <w:vMerge/>
            <w:tcBorders>
              <w:top w:val="nil"/>
              <w:left w:val="single" w:sz="4" w:space="0" w:color="D0D0D0"/>
              <w:bottom w:val="single" w:sz="4" w:space="0" w:color="D0D0D0"/>
              <w:right w:val="single" w:sz="4" w:space="0" w:color="D0D0D0"/>
            </w:tcBorders>
            <w:vAlign w:val="center"/>
            <w:hideMark/>
          </w:tcPr>
          <w:p w14:paraId="2015E539" w14:textId="77777777" w:rsidR="005E64D9" w:rsidRPr="00951AB1" w:rsidRDefault="005E64D9" w:rsidP="000A5389">
            <w:pPr>
              <w:spacing w:line="240" w:lineRule="auto"/>
              <w:rPr>
                <w:rFonts w:eastAsia="Times New Roman" w:cs="Times New Roman"/>
                <w:color w:val="000000"/>
                <w:sz w:val="16"/>
                <w:szCs w:val="16"/>
                <w:lang w:eastAsia="es-CO"/>
              </w:rPr>
            </w:pPr>
          </w:p>
        </w:tc>
        <w:tc>
          <w:tcPr>
            <w:tcW w:w="1218" w:type="pct"/>
            <w:tcBorders>
              <w:top w:val="nil"/>
              <w:left w:val="nil"/>
              <w:bottom w:val="single" w:sz="4" w:space="0" w:color="D0D0D0"/>
              <w:right w:val="single" w:sz="4" w:space="0" w:color="D0D0D0"/>
            </w:tcBorders>
            <w:vAlign w:val="center"/>
            <w:hideMark/>
          </w:tcPr>
          <w:p w14:paraId="03078EA8" w14:textId="77777777" w:rsidR="005E64D9" w:rsidRPr="00951AB1" w:rsidRDefault="005E64D9" w:rsidP="000A5389">
            <w:pPr>
              <w:spacing w:line="240" w:lineRule="auto"/>
              <w:rPr>
                <w:rFonts w:eastAsia="Times New Roman" w:cs="Times New Roman"/>
                <w:color w:val="000000"/>
                <w:sz w:val="16"/>
                <w:szCs w:val="16"/>
                <w:lang w:eastAsia="es-CO"/>
              </w:rPr>
            </w:pPr>
            <w:r w:rsidRPr="00951AB1">
              <w:rPr>
                <w:rFonts w:eastAsia="Times New Roman" w:cs="Times New Roman"/>
                <w:color w:val="000000"/>
                <w:sz w:val="16"/>
                <w:szCs w:val="16"/>
                <w:lang w:eastAsia="es-CO"/>
              </w:rPr>
              <w:t>06/06/2022 (Resolución No. 20227070007315 Multa: USD$6.978,39)</w:t>
            </w:r>
          </w:p>
        </w:tc>
        <w:tc>
          <w:tcPr>
            <w:tcW w:w="593" w:type="pct"/>
            <w:tcBorders>
              <w:top w:val="nil"/>
              <w:left w:val="nil"/>
              <w:bottom w:val="single" w:sz="4" w:space="0" w:color="D0D0D0"/>
              <w:right w:val="single" w:sz="4" w:space="0" w:color="D0D0D0"/>
            </w:tcBorders>
            <w:vAlign w:val="center"/>
            <w:hideMark/>
          </w:tcPr>
          <w:p w14:paraId="53F8796E" w14:textId="77777777" w:rsidR="005E64D9" w:rsidRPr="00951AB1" w:rsidRDefault="005E64D9" w:rsidP="000A5389">
            <w:pPr>
              <w:spacing w:line="240" w:lineRule="auto"/>
              <w:jc w:val="center"/>
              <w:rPr>
                <w:rFonts w:eastAsia="Times New Roman" w:cs="Times New Roman"/>
                <w:color w:val="000000"/>
                <w:sz w:val="16"/>
                <w:szCs w:val="16"/>
                <w:lang w:eastAsia="es-CO"/>
              </w:rPr>
            </w:pPr>
            <w:r w:rsidRPr="00951AB1">
              <w:rPr>
                <w:rFonts w:eastAsia="Times New Roman" w:cs="Times New Roman"/>
                <w:color w:val="000000"/>
                <w:sz w:val="16"/>
                <w:szCs w:val="16"/>
                <w:lang w:eastAsia="es-CO"/>
              </w:rPr>
              <w:t>20/09/2022</w:t>
            </w:r>
          </w:p>
        </w:tc>
        <w:tc>
          <w:tcPr>
            <w:tcW w:w="275" w:type="pct"/>
            <w:tcBorders>
              <w:top w:val="nil"/>
              <w:left w:val="nil"/>
              <w:bottom w:val="single" w:sz="4" w:space="0" w:color="D0D0D0"/>
              <w:right w:val="single" w:sz="4" w:space="0" w:color="D0D0D0"/>
            </w:tcBorders>
            <w:vAlign w:val="center"/>
            <w:hideMark/>
          </w:tcPr>
          <w:p w14:paraId="7E5745DB" w14:textId="77777777" w:rsidR="005E64D9" w:rsidRPr="00951AB1" w:rsidRDefault="005E64D9" w:rsidP="000A5389">
            <w:pPr>
              <w:spacing w:line="240" w:lineRule="auto"/>
              <w:jc w:val="center"/>
              <w:rPr>
                <w:rFonts w:eastAsia="Times New Roman" w:cs="Times New Roman"/>
                <w:color w:val="000000"/>
                <w:sz w:val="16"/>
                <w:szCs w:val="16"/>
                <w:lang w:eastAsia="es-CO"/>
              </w:rPr>
            </w:pPr>
            <w:r w:rsidRPr="00951AB1">
              <w:rPr>
                <w:rFonts w:eastAsia="Times New Roman" w:cs="Times New Roman"/>
                <w:color w:val="000000"/>
                <w:sz w:val="16"/>
                <w:szCs w:val="16"/>
                <w:lang w:eastAsia="es-CO"/>
              </w:rPr>
              <w:t>12%</w:t>
            </w:r>
          </w:p>
        </w:tc>
        <w:tc>
          <w:tcPr>
            <w:tcW w:w="748" w:type="pct"/>
            <w:gridSpan w:val="2"/>
            <w:tcBorders>
              <w:top w:val="single" w:sz="4" w:space="0" w:color="D0D0D0"/>
              <w:left w:val="nil"/>
              <w:bottom w:val="single" w:sz="4" w:space="0" w:color="D0D0D0"/>
              <w:right w:val="single" w:sz="4" w:space="0" w:color="D0D0D0"/>
            </w:tcBorders>
            <w:noWrap/>
            <w:vAlign w:val="bottom"/>
            <w:hideMark/>
          </w:tcPr>
          <w:p w14:paraId="751FCBAE" w14:textId="77777777" w:rsidR="005E64D9" w:rsidRPr="00951AB1" w:rsidRDefault="005E64D9" w:rsidP="000A5389">
            <w:pPr>
              <w:spacing w:line="240" w:lineRule="auto"/>
              <w:jc w:val="center"/>
              <w:rPr>
                <w:rFonts w:eastAsia="Times New Roman" w:cs="Times New Roman"/>
                <w:color w:val="000000"/>
                <w:sz w:val="16"/>
                <w:szCs w:val="16"/>
                <w:lang w:eastAsia="es-CO"/>
              </w:rPr>
            </w:pPr>
            <w:r w:rsidRPr="00951AB1">
              <w:rPr>
                <w:rFonts w:eastAsia="Times New Roman" w:cs="Times New Roman"/>
                <w:color w:val="000000"/>
                <w:sz w:val="16"/>
                <w:szCs w:val="16"/>
                <w:lang w:eastAsia="es-CO"/>
              </w:rPr>
              <w:t>3/10/2022</w:t>
            </w:r>
          </w:p>
        </w:tc>
      </w:tr>
      <w:tr w:rsidR="005E64D9" w:rsidRPr="00951AB1" w14:paraId="47F525ED" w14:textId="77777777" w:rsidTr="005E64D9">
        <w:trPr>
          <w:trHeight w:val="525"/>
        </w:trPr>
        <w:tc>
          <w:tcPr>
            <w:tcW w:w="652" w:type="pct"/>
            <w:vMerge w:val="restart"/>
            <w:tcBorders>
              <w:top w:val="nil"/>
              <w:left w:val="single" w:sz="4" w:space="0" w:color="D0D0D0"/>
              <w:bottom w:val="single" w:sz="4" w:space="0" w:color="D0D0D0"/>
              <w:right w:val="single" w:sz="4" w:space="0" w:color="D0D0D0"/>
            </w:tcBorders>
            <w:vAlign w:val="center"/>
            <w:hideMark/>
          </w:tcPr>
          <w:p w14:paraId="2810089A" w14:textId="77777777" w:rsidR="005E64D9" w:rsidRPr="00951AB1" w:rsidRDefault="005E64D9" w:rsidP="000A5389">
            <w:pPr>
              <w:spacing w:line="240" w:lineRule="auto"/>
              <w:rPr>
                <w:rFonts w:eastAsia="Times New Roman" w:cs="Times New Roman"/>
                <w:color w:val="000000"/>
                <w:sz w:val="16"/>
                <w:szCs w:val="16"/>
                <w:lang w:eastAsia="es-CO"/>
              </w:rPr>
            </w:pPr>
            <w:r w:rsidRPr="00951AB1">
              <w:rPr>
                <w:rFonts w:eastAsia="Times New Roman" w:cs="Times New Roman"/>
                <w:color w:val="000000"/>
                <w:sz w:val="16"/>
                <w:szCs w:val="16"/>
                <w:lang w:eastAsia="es-CO"/>
              </w:rPr>
              <w:t>Sanciones contractuales</w:t>
            </w:r>
          </w:p>
        </w:tc>
        <w:tc>
          <w:tcPr>
            <w:tcW w:w="850" w:type="pct"/>
            <w:vMerge w:val="restart"/>
            <w:tcBorders>
              <w:top w:val="nil"/>
              <w:left w:val="single" w:sz="4" w:space="0" w:color="D0D0D0"/>
              <w:bottom w:val="single" w:sz="4" w:space="0" w:color="D0D0D0"/>
              <w:right w:val="single" w:sz="4" w:space="0" w:color="D0D0D0"/>
            </w:tcBorders>
            <w:vAlign w:val="center"/>
            <w:hideMark/>
          </w:tcPr>
          <w:p w14:paraId="0A26CCB9" w14:textId="0025CE87" w:rsidR="005E64D9" w:rsidRPr="00951AB1" w:rsidRDefault="005E64D9" w:rsidP="000A5389">
            <w:pPr>
              <w:spacing w:line="240" w:lineRule="auto"/>
              <w:rPr>
                <w:rFonts w:eastAsia="Times New Roman" w:cs="Times New Roman"/>
                <w:color w:val="000000"/>
                <w:sz w:val="16"/>
                <w:szCs w:val="16"/>
                <w:lang w:eastAsia="es-CO"/>
              </w:rPr>
            </w:pPr>
            <w:r w:rsidRPr="00951AB1">
              <w:rPr>
                <w:rFonts w:eastAsia="Times New Roman" w:cs="Times New Roman"/>
                <w:color w:val="000000"/>
                <w:sz w:val="16"/>
                <w:szCs w:val="16"/>
                <w:lang w:eastAsia="es-CO"/>
              </w:rPr>
              <w:t>Sociedad Portuaria Puerto Hondo S.A.</w:t>
            </w:r>
          </w:p>
        </w:tc>
        <w:tc>
          <w:tcPr>
            <w:tcW w:w="663" w:type="pct"/>
            <w:vMerge w:val="restart"/>
            <w:tcBorders>
              <w:top w:val="nil"/>
              <w:left w:val="single" w:sz="4" w:space="0" w:color="D0D0D0"/>
              <w:bottom w:val="single" w:sz="4" w:space="0" w:color="D0D0D0"/>
              <w:right w:val="single" w:sz="4" w:space="0" w:color="D0D0D0"/>
            </w:tcBorders>
            <w:vAlign w:val="center"/>
            <w:hideMark/>
          </w:tcPr>
          <w:p w14:paraId="0D888158" w14:textId="77777777" w:rsidR="005E64D9" w:rsidRPr="00951AB1" w:rsidRDefault="005E64D9" w:rsidP="000A5389">
            <w:pPr>
              <w:spacing w:line="240" w:lineRule="auto"/>
              <w:jc w:val="right"/>
              <w:rPr>
                <w:rFonts w:eastAsia="Times New Roman" w:cs="Times New Roman"/>
                <w:color w:val="000000"/>
                <w:sz w:val="16"/>
                <w:szCs w:val="16"/>
                <w:lang w:eastAsia="es-CO"/>
              </w:rPr>
            </w:pPr>
            <w:r w:rsidRPr="00951AB1">
              <w:rPr>
                <w:rFonts w:eastAsia="Times New Roman" w:cs="Times New Roman"/>
                <w:color w:val="000000"/>
                <w:sz w:val="16"/>
                <w:szCs w:val="16"/>
                <w:lang w:eastAsia="es-CO"/>
              </w:rPr>
              <w:t>51.997.461</w:t>
            </w:r>
          </w:p>
        </w:tc>
        <w:tc>
          <w:tcPr>
            <w:tcW w:w="1218" w:type="pct"/>
            <w:tcBorders>
              <w:top w:val="nil"/>
              <w:left w:val="nil"/>
              <w:bottom w:val="single" w:sz="4" w:space="0" w:color="D0D0D0"/>
              <w:right w:val="single" w:sz="4" w:space="0" w:color="D0D0D0"/>
            </w:tcBorders>
            <w:vAlign w:val="center"/>
            <w:hideMark/>
          </w:tcPr>
          <w:p w14:paraId="48D6BFEB" w14:textId="77777777" w:rsidR="005E64D9" w:rsidRPr="00951AB1" w:rsidRDefault="005E64D9" w:rsidP="000A5389">
            <w:pPr>
              <w:spacing w:line="240" w:lineRule="auto"/>
              <w:rPr>
                <w:rFonts w:eastAsia="Times New Roman" w:cs="Times New Roman"/>
                <w:color w:val="000000"/>
                <w:sz w:val="16"/>
                <w:szCs w:val="16"/>
                <w:lang w:eastAsia="es-CO"/>
              </w:rPr>
            </w:pPr>
            <w:r w:rsidRPr="00951AB1">
              <w:rPr>
                <w:rFonts w:eastAsia="Times New Roman" w:cs="Times New Roman"/>
                <w:color w:val="000000"/>
                <w:sz w:val="16"/>
                <w:szCs w:val="16"/>
                <w:lang w:eastAsia="es-CO"/>
              </w:rPr>
              <w:t>06/06/2019 (Resolución No. 803 Multa: USD$4.544)</w:t>
            </w:r>
          </w:p>
        </w:tc>
        <w:tc>
          <w:tcPr>
            <w:tcW w:w="593" w:type="pct"/>
            <w:tcBorders>
              <w:top w:val="nil"/>
              <w:left w:val="nil"/>
              <w:bottom w:val="single" w:sz="4" w:space="0" w:color="D0D0D0"/>
              <w:right w:val="single" w:sz="4" w:space="0" w:color="D0D0D0"/>
            </w:tcBorders>
            <w:vAlign w:val="center"/>
            <w:hideMark/>
          </w:tcPr>
          <w:p w14:paraId="718D87FD" w14:textId="77777777" w:rsidR="005E64D9" w:rsidRPr="00951AB1" w:rsidRDefault="005E64D9" w:rsidP="000A5389">
            <w:pPr>
              <w:spacing w:line="240" w:lineRule="auto"/>
              <w:jc w:val="center"/>
              <w:rPr>
                <w:rFonts w:eastAsia="Times New Roman" w:cs="Times New Roman"/>
                <w:color w:val="000000"/>
                <w:sz w:val="16"/>
                <w:szCs w:val="16"/>
                <w:lang w:eastAsia="es-CO"/>
              </w:rPr>
            </w:pPr>
            <w:r w:rsidRPr="00951AB1">
              <w:rPr>
                <w:rFonts w:eastAsia="Times New Roman" w:cs="Times New Roman"/>
                <w:color w:val="000000"/>
                <w:sz w:val="16"/>
                <w:szCs w:val="16"/>
                <w:lang w:eastAsia="es-CO"/>
              </w:rPr>
              <w:t>27/08/2019</w:t>
            </w:r>
          </w:p>
        </w:tc>
        <w:tc>
          <w:tcPr>
            <w:tcW w:w="275" w:type="pct"/>
            <w:tcBorders>
              <w:top w:val="nil"/>
              <w:left w:val="nil"/>
              <w:bottom w:val="single" w:sz="4" w:space="0" w:color="D0D0D0"/>
              <w:right w:val="single" w:sz="4" w:space="0" w:color="D0D0D0"/>
            </w:tcBorders>
            <w:vAlign w:val="center"/>
            <w:hideMark/>
          </w:tcPr>
          <w:p w14:paraId="5DA6EB25" w14:textId="77777777" w:rsidR="005E64D9" w:rsidRPr="00951AB1" w:rsidRDefault="005E64D9" w:rsidP="000A5389">
            <w:pPr>
              <w:spacing w:line="240" w:lineRule="auto"/>
              <w:jc w:val="center"/>
              <w:rPr>
                <w:rFonts w:eastAsia="Times New Roman" w:cs="Times New Roman"/>
                <w:color w:val="000000"/>
                <w:sz w:val="16"/>
                <w:szCs w:val="16"/>
                <w:lang w:eastAsia="es-CO"/>
              </w:rPr>
            </w:pPr>
            <w:r w:rsidRPr="00951AB1">
              <w:rPr>
                <w:rFonts w:eastAsia="Times New Roman" w:cs="Times New Roman"/>
                <w:color w:val="000000"/>
                <w:sz w:val="16"/>
                <w:szCs w:val="16"/>
                <w:lang w:eastAsia="es-CO"/>
              </w:rPr>
              <w:t>12%</w:t>
            </w:r>
          </w:p>
        </w:tc>
        <w:tc>
          <w:tcPr>
            <w:tcW w:w="748" w:type="pct"/>
            <w:gridSpan w:val="2"/>
            <w:tcBorders>
              <w:top w:val="single" w:sz="4" w:space="0" w:color="D0D0D0"/>
              <w:left w:val="nil"/>
              <w:bottom w:val="single" w:sz="4" w:space="0" w:color="D0D0D0"/>
              <w:right w:val="single" w:sz="4" w:space="0" w:color="D0D0D0"/>
            </w:tcBorders>
            <w:noWrap/>
            <w:vAlign w:val="bottom"/>
            <w:hideMark/>
          </w:tcPr>
          <w:p w14:paraId="6797DC8E" w14:textId="77777777" w:rsidR="005E64D9" w:rsidRPr="00951AB1" w:rsidRDefault="005E64D9" w:rsidP="000A5389">
            <w:pPr>
              <w:spacing w:line="240" w:lineRule="auto"/>
              <w:jc w:val="center"/>
              <w:rPr>
                <w:rFonts w:eastAsia="Times New Roman" w:cs="Times New Roman"/>
                <w:color w:val="000000"/>
                <w:sz w:val="16"/>
                <w:szCs w:val="16"/>
                <w:lang w:eastAsia="es-CO"/>
              </w:rPr>
            </w:pPr>
            <w:r w:rsidRPr="00951AB1">
              <w:rPr>
                <w:rFonts w:eastAsia="Times New Roman" w:cs="Times New Roman"/>
                <w:color w:val="000000"/>
                <w:sz w:val="16"/>
                <w:szCs w:val="16"/>
                <w:lang w:eastAsia="es-CO"/>
              </w:rPr>
              <w:t>27/08/2019</w:t>
            </w:r>
          </w:p>
        </w:tc>
      </w:tr>
      <w:tr w:rsidR="005E64D9" w:rsidRPr="00951AB1" w14:paraId="6F0AB5DD" w14:textId="77777777" w:rsidTr="005E64D9">
        <w:trPr>
          <w:trHeight w:val="495"/>
        </w:trPr>
        <w:tc>
          <w:tcPr>
            <w:tcW w:w="652" w:type="pct"/>
            <w:vMerge/>
            <w:tcBorders>
              <w:top w:val="nil"/>
              <w:left w:val="single" w:sz="4" w:space="0" w:color="D0D0D0"/>
              <w:bottom w:val="single" w:sz="4" w:space="0" w:color="D0D0D0"/>
              <w:right w:val="single" w:sz="4" w:space="0" w:color="D0D0D0"/>
            </w:tcBorders>
            <w:vAlign w:val="center"/>
            <w:hideMark/>
          </w:tcPr>
          <w:p w14:paraId="22BCD5FB" w14:textId="77777777" w:rsidR="005E64D9" w:rsidRPr="00951AB1" w:rsidRDefault="005E64D9" w:rsidP="000A5389">
            <w:pPr>
              <w:spacing w:line="240" w:lineRule="auto"/>
              <w:rPr>
                <w:rFonts w:eastAsia="Times New Roman" w:cs="Times New Roman"/>
                <w:color w:val="000000"/>
                <w:sz w:val="16"/>
                <w:szCs w:val="16"/>
                <w:lang w:eastAsia="es-CO"/>
              </w:rPr>
            </w:pPr>
          </w:p>
        </w:tc>
        <w:tc>
          <w:tcPr>
            <w:tcW w:w="850" w:type="pct"/>
            <w:vMerge/>
            <w:tcBorders>
              <w:top w:val="nil"/>
              <w:left w:val="single" w:sz="4" w:space="0" w:color="D0D0D0"/>
              <w:bottom w:val="single" w:sz="4" w:space="0" w:color="D0D0D0"/>
              <w:right w:val="single" w:sz="4" w:space="0" w:color="D0D0D0"/>
            </w:tcBorders>
            <w:vAlign w:val="center"/>
            <w:hideMark/>
          </w:tcPr>
          <w:p w14:paraId="4169D2B4" w14:textId="77777777" w:rsidR="005E64D9" w:rsidRPr="00951AB1" w:rsidRDefault="005E64D9" w:rsidP="000A5389">
            <w:pPr>
              <w:spacing w:line="240" w:lineRule="auto"/>
              <w:rPr>
                <w:rFonts w:eastAsia="Times New Roman" w:cs="Times New Roman"/>
                <w:color w:val="000000"/>
                <w:sz w:val="16"/>
                <w:szCs w:val="16"/>
                <w:lang w:eastAsia="es-CO"/>
              </w:rPr>
            </w:pPr>
          </w:p>
        </w:tc>
        <w:tc>
          <w:tcPr>
            <w:tcW w:w="663" w:type="pct"/>
            <w:vMerge/>
            <w:tcBorders>
              <w:top w:val="nil"/>
              <w:left w:val="single" w:sz="4" w:space="0" w:color="D0D0D0"/>
              <w:bottom w:val="single" w:sz="4" w:space="0" w:color="D0D0D0"/>
              <w:right w:val="single" w:sz="4" w:space="0" w:color="D0D0D0"/>
            </w:tcBorders>
            <w:vAlign w:val="center"/>
            <w:hideMark/>
          </w:tcPr>
          <w:p w14:paraId="13C51909" w14:textId="77777777" w:rsidR="005E64D9" w:rsidRPr="00951AB1" w:rsidRDefault="005E64D9" w:rsidP="000A5389">
            <w:pPr>
              <w:spacing w:line="240" w:lineRule="auto"/>
              <w:rPr>
                <w:rFonts w:eastAsia="Times New Roman" w:cs="Times New Roman"/>
                <w:color w:val="000000"/>
                <w:sz w:val="16"/>
                <w:szCs w:val="16"/>
                <w:lang w:eastAsia="es-CO"/>
              </w:rPr>
            </w:pPr>
          </w:p>
        </w:tc>
        <w:tc>
          <w:tcPr>
            <w:tcW w:w="1218" w:type="pct"/>
            <w:tcBorders>
              <w:top w:val="nil"/>
              <w:left w:val="nil"/>
              <w:bottom w:val="single" w:sz="4" w:space="0" w:color="D0D0D0"/>
              <w:right w:val="single" w:sz="4" w:space="0" w:color="D0D0D0"/>
            </w:tcBorders>
            <w:vAlign w:val="center"/>
            <w:hideMark/>
          </w:tcPr>
          <w:p w14:paraId="0B5E395A" w14:textId="77777777" w:rsidR="005E64D9" w:rsidRPr="00951AB1" w:rsidRDefault="005E64D9" w:rsidP="000A5389">
            <w:pPr>
              <w:spacing w:line="240" w:lineRule="auto"/>
              <w:rPr>
                <w:rFonts w:eastAsia="Times New Roman" w:cs="Times New Roman"/>
                <w:color w:val="000000"/>
                <w:sz w:val="16"/>
                <w:szCs w:val="16"/>
                <w:lang w:eastAsia="es-CO"/>
              </w:rPr>
            </w:pPr>
            <w:r w:rsidRPr="00951AB1">
              <w:rPr>
                <w:rFonts w:eastAsia="Times New Roman" w:cs="Times New Roman"/>
                <w:color w:val="000000"/>
                <w:sz w:val="16"/>
                <w:szCs w:val="16"/>
                <w:lang w:eastAsia="es-CO"/>
              </w:rPr>
              <w:t>29/08/2019 (Resolución No. 803 Multa: USD$6.919,93)</w:t>
            </w:r>
          </w:p>
        </w:tc>
        <w:tc>
          <w:tcPr>
            <w:tcW w:w="593" w:type="pct"/>
            <w:tcBorders>
              <w:top w:val="nil"/>
              <w:left w:val="nil"/>
              <w:bottom w:val="single" w:sz="4" w:space="0" w:color="D0D0D0"/>
              <w:right w:val="single" w:sz="4" w:space="0" w:color="D0D0D0"/>
            </w:tcBorders>
            <w:vAlign w:val="center"/>
            <w:hideMark/>
          </w:tcPr>
          <w:p w14:paraId="38CAE552" w14:textId="77777777" w:rsidR="005E64D9" w:rsidRPr="00951AB1" w:rsidRDefault="005E64D9" w:rsidP="000A5389">
            <w:pPr>
              <w:spacing w:line="240" w:lineRule="auto"/>
              <w:jc w:val="center"/>
              <w:rPr>
                <w:rFonts w:eastAsia="Times New Roman" w:cs="Times New Roman"/>
                <w:color w:val="000000"/>
                <w:sz w:val="16"/>
                <w:szCs w:val="16"/>
                <w:lang w:eastAsia="es-CO"/>
              </w:rPr>
            </w:pPr>
            <w:r w:rsidRPr="00951AB1">
              <w:rPr>
                <w:rFonts w:eastAsia="Times New Roman" w:cs="Times New Roman"/>
                <w:color w:val="000000"/>
                <w:sz w:val="16"/>
                <w:szCs w:val="16"/>
                <w:lang w:eastAsia="es-CO"/>
              </w:rPr>
              <w:t>19/05/2020</w:t>
            </w:r>
          </w:p>
        </w:tc>
        <w:tc>
          <w:tcPr>
            <w:tcW w:w="275" w:type="pct"/>
            <w:tcBorders>
              <w:top w:val="nil"/>
              <w:left w:val="nil"/>
              <w:bottom w:val="single" w:sz="4" w:space="0" w:color="D0D0D0"/>
              <w:right w:val="single" w:sz="4" w:space="0" w:color="D0D0D0"/>
            </w:tcBorders>
            <w:vAlign w:val="center"/>
            <w:hideMark/>
          </w:tcPr>
          <w:p w14:paraId="5ACC5A65" w14:textId="77777777" w:rsidR="005E64D9" w:rsidRPr="00951AB1" w:rsidRDefault="005E64D9" w:rsidP="000A5389">
            <w:pPr>
              <w:spacing w:line="240" w:lineRule="auto"/>
              <w:jc w:val="center"/>
              <w:rPr>
                <w:rFonts w:eastAsia="Times New Roman" w:cs="Times New Roman"/>
                <w:color w:val="000000"/>
                <w:sz w:val="16"/>
                <w:szCs w:val="16"/>
                <w:lang w:eastAsia="es-CO"/>
              </w:rPr>
            </w:pPr>
            <w:r w:rsidRPr="00951AB1">
              <w:rPr>
                <w:rFonts w:eastAsia="Times New Roman" w:cs="Times New Roman"/>
                <w:color w:val="000000"/>
                <w:sz w:val="16"/>
                <w:szCs w:val="16"/>
                <w:lang w:eastAsia="es-CO"/>
              </w:rPr>
              <w:t>12%</w:t>
            </w:r>
          </w:p>
        </w:tc>
        <w:tc>
          <w:tcPr>
            <w:tcW w:w="748" w:type="pct"/>
            <w:gridSpan w:val="2"/>
            <w:tcBorders>
              <w:top w:val="single" w:sz="4" w:space="0" w:color="D0D0D0"/>
              <w:left w:val="nil"/>
              <w:bottom w:val="single" w:sz="4" w:space="0" w:color="D0D0D0"/>
              <w:right w:val="single" w:sz="4" w:space="0" w:color="D0D0D0"/>
            </w:tcBorders>
            <w:noWrap/>
            <w:vAlign w:val="bottom"/>
            <w:hideMark/>
          </w:tcPr>
          <w:p w14:paraId="6CB4CC33" w14:textId="77777777" w:rsidR="005E64D9" w:rsidRPr="00951AB1" w:rsidRDefault="005E64D9" w:rsidP="000A5389">
            <w:pPr>
              <w:spacing w:line="240" w:lineRule="auto"/>
              <w:jc w:val="center"/>
              <w:rPr>
                <w:rFonts w:eastAsia="Times New Roman" w:cs="Times New Roman"/>
                <w:color w:val="000000"/>
                <w:sz w:val="16"/>
                <w:szCs w:val="16"/>
                <w:lang w:eastAsia="es-CO"/>
              </w:rPr>
            </w:pPr>
            <w:r w:rsidRPr="00951AB1">
              <w:rPr>
                <w:rFonts w:eastAsia="Times New Roman" w:cs="Times New Roman"/>
                <w:color w:val="000000"/>
                <w:sz w:val="16"/>
                <w:szCs w:val="16"/>
                <w:lang w:eastAsia="es-CO"/>
              </w:rPr>
              <w:t>19/05/2020</w:t>
            </w:r>
          </w:p>
        </w:tc>
      </w:tr>
      <w:tr w:rsidR="005E64D9" w:rsidRPr="00951AB1" w14:paraId="4E466215" w14:textId="77777777" w:rsidTr="005E64D9">
        <w:trPr>
          <w:trHeight w:val="1164"/>
        </w:trPr>
        <w:tc>
          <w:tcPr>
            <w:tcW w:w="652" w:type="pct"/>
            <w:vMerge/>
            <w:tcBorders>
              <w:top w:val="nil"/>
              <w:left w:val="single" w:sz="4" w:space="0" w:color="D0D0D0"/>
              <w:bottom w:val="single" w:sz="4" w:space="0" w:color="D0D0D0"/>
              <w:right w:val="single" w:sz="4" w:space="0" w:color="D0D0D0"/>
            </w:tcBorders>
            <w:vAlign w:val="center"/>
            <w:hideMark/>
          </w:tcPr>
          <w:p w14:paraId="08EFCA83" w14:textId="77777777" w:rsidR="005E64D9" w:rsidRPr="00951AB1" w:rsidRDefault="005E64D9" w:rsidP="000A5389">
            <w:pPr>
              <w:spacing w:line="240" w:lineRule="auto"/>
              <w:rPr>
                <w:rFonts w:eastAsia="Times New Roman" w:cs="Times New Roman"/>
                <w:color w:val="000000"/>
                <w:sz w:val="16"/>
                <w:szCs w:val="16"/>
                <w:lang w:eastAsia="es-CO"/>
              </w:rPr>
            </w:pPr>
          </w:p>
        </w:tc>
        <w:tc>
          <w:tcPr>
            <w:tcW w:w="850" w:type="pct"/>
            <w:vMerge/>
            <w:tcBorders>
              <w:top w:val="nil"/>
              <w:left w:val="single" w:sz="4" w:space="0" w:color="D0D0D0"/>
              <w:bottom w:val="single" w:sz="4" w:space="0" w:color="D0D0D0"/>
              <w:right w:val="single" w:sz="4" w:space="0" w:color="D0D0D0"/>
            </w:tcBorders>
            <w:vAlign w:val="center"/>
            <w:hideMark/>
          </w:tcPr>
          <w:p w14:paraId="7238B45E" w14:textId="77777777" w:rsidR="005E64D9" w:rsidRPr="00951AB1" w:rsidRDefault="005E64D9" w:rsidP="000A5389">
            <w:pPr>
              <w:spacing w:line="240" w:lineRule="auto"/>
              <w:rPr>
                <w:rFonts w:eastAsia="Times New Roman" w:cs="Times New Roman"/>
                <w:color w:val="000000"/>
                <w:sz w:val="16"/>
                <w:szCs w:val="16"/>
                <w:lang w:eastAsia="es-CO"/>
              </w:rPr>
            </w:pPr>
          </w:p>
        </w:tc>
        <w:tc>
          <w:tcPr>
            <w:tcW w:w="663" w:type="pct"/>
            <w:vMerge/>
            <w:tcBorders>
              <w:top w:val="nil"/>
              <w:left w:val="single" w:sz="4" w:space="0" w:color="D0D0D0"/>
              <w:bottom w:val="single" w:sz="4" w:space="0" w:color="D0D0D0"/>
              <w:right w:val="single" w:sz="4" w:space="0" w:color="D0D0D0"/>
            </w:tcBorders>
            <w:vAlign w:val="center"/>
            <w:hideMark/>
          </w:tcPr>
          <w:p w14:paraId="046C5D82" w14:textId="77777777" w:rsidR="005E64D9" w:rsidRPr="00951AB1" w:rsidRDefault="005E64D9" w:rsidP="000A5389">
            <w:pPr>
              <w:spacing w:line="240" w:lineRule="auto"/>
              <w:rPr>
                <w:rFonts w:eastAsia="Times New Roman" w:cs="Times New Roman"/>
                <w:color w:val="000000"/>
                <w:sz w:val="16"/>
                <w:szCs w:val="16"/>
                <w:lang w:eastAsia="es-CO"/>
              </w:rPr>
            </w:pPr>
          </w:p>
        </w:tc>
        <w:tc>
          <w:tcPr>
            <w:tcW w:w="1218" w:type="pct"/>
            <w:tcBorders>
              <w:top w:val="nil"/>
              <w:left w:val="nil"/>
              <w:bottom w:val="single" w:sz="4" w:space="0" w:color="D0D0D0"/>
              <w:right w:val="single" w:sz="4" w:space="0" w:color="D0D0D0"/>
            </w:tcBorders>
            <w:vAlign w:val="center"/>
            <w:hideMark/>
          </w:tcPr>
          <w:p w14:paraId="4C4BF24F" w14:textId="77777777" w:rsidR="005E64D9" w:rsidRPr="00951AB1" w:rsidRDefault="005E64D9" w:rsidP="000A5389">
            <w:pPr>
              <w:spacing w:line="240" w:lineRule="auto"/>
              <w:rPr>
                <w:rFonts w:eastAsia="Times New Roman" w:cs="Times New Roman"/>
                <w:color w:val="000000"/>
                <w:sz w:val="16"/>
                <w:szCs w:val="16"/>
                <w:lang w:eastAsia="es-CO"/>
              </w:rPr>
            </w:pPr>
            <w:r w:rsidRPr="00951AB1">
              <w:rPr>
                <w:rFonts w:eastAsia="Times New Roman" w:cs="Times New Roman"/>
                <w:color w:val="000000"/>
                <w:sz w:val="16"/>
                <w:szCs w:val="16"/>
                <w:lang w:eastAsia="es-CO"/>
              </w:rPr>
              <w:t>30/11/2023 (Resolución No. 20237070016695 Perjuicios: Plan de Inversión - USD$561.639, Contraprestación: USD$4.084.961 e Intereses COP $ 20.312.409.105)</w:t>
            </w:r>
          </w:p>
        </w:tc>
        <w:tc>
          <w:tcPr>
            <w:tcW w:w="593" w:type="pct"/>
            <w:tcBorders>
              <w:top w:val="nil"/>
              <w:left w:val="nil"/>
              <w:bottom w:val="single" w:sz="4" w:space="0" w:color="D0D0D0"/>
              <w:right w:val="single" w:sz="4" w:space="0" w:color="D0D0D0"/>
            </w:tcBorders>
            <w:vAlign w:val="center"/>
            <w:hideMark/>
          </w:tcPr>
          <w:p w14:paraId="189B8F60" w14:textId="77777777" w:rsidR="005E64D9" w:rsidRPr="00951AB1" w:rsidRDefault="005E64D9" w:rsidP="000A5389">
            <w:pPr>
              <w:spacing w:line="240" w:lineRule="auto"/>
              <w:jc w:val="center"/>
              <w:rPr>
                <w:rFonts w:eastAsia="Times New Roman" w:cs="Times New Roman"/>
                <w:color w:val="000000"/>
                <w:sz w:val="16"/>
                <w:szCs w:val="16"/>
                <w:lang w:eastAsia="es-CO"/>
              </w:rPr>
            </w:pPr>
            <w:r w:rsidRPr="00951AB1">
              <w:rPr>
                <w:rFonts w:eastAsia="Times New Roman" w:cs="Times New Roman"/>
                <w:color w:val="000000"/>
                <w:sz w:val="16"/>
                <w:szCs w:val="16"/>
                <w:lang w:eastAsia="es-CO"/>
              </w:rPr>
              <w:t>15/12/2023</w:t>
            </w:r>
          </w:p>
        </w:tc>
        <w:tc>
          <w:tcPr>
            <w:tcW w:w="275" w:type="pct"/>
            <w:tcBorders>
              <w:top w:val="nil"/>
              <w:left w:val="nil"/>
              <w:bottom w:val="single" w:sz="4" w:space="0" w:color="D0D0D0"/>
              <w:right w:val="single" w:sz="4" w:space="0" w:color="D0D0D0"/>
            </w:tcBorders>
            <w:vAlign w:val="center"/>
            <w:hideMark/>
          </w:tcPr>
          <w:p w14:paraId="22D82514" w14:textId="77777777" w:rsidR="005E64D9" w:rsidRPr="00951AB1" w:rsidRDefault="005E64D9" w:rsidP="000A5389">
            <w:pPr>
              <w:spacing w:line="240" w:lineRule="auto"/>
              <w:jc w:val="center"/>
              <w:rPr>
                <w:rFonts w:eastAsia="Times New Roman" w:cs="Times New Roman"/>
                <w:color w:val="000000"/>
                <w:sz w:val="16"/>
                <w:szCs w:val="16"/>
                <w:lang w:eastAsia="es-CO"/>
              </w:rPr>
            </w:pPr>
            <w:r w:rsidRPr="00951AB1">
              <w:rPr>
                <w:rFonts w:eastAsia="Times New Roman" w:cs="Times New Roman"/>
                <w:color w:val="000000"/>
                <w:sz w:val="16"/>
                <w:szCs w:val="16"/>
                <w:lang w:eastAsia="es-CO"/>
              </w:rPr>
              <w:t>12%</w:t>
            </w:r>
          </w:p>
        </w:tc>
        <w:tc>
          <w:tcPr>
            <w:tcW w:w="748" w:type="pct"/>
            <w:gridSpan w:val="2"/>
            <w:tcBorders>
              <w:top w:val="single" w:sz="4" w:space="0" w:color="D0D0D0"/>
              <w:left w:val="nil"/>
              <w:bottom w:val="single" w:sz="4" w:space="0" w:color="D0D0D0"/>
              <w:right w:val="single" w:sz="4" w:space="0" w:color="D0D0D0"/>
            </w:tcBorders>
            <w:noWrap/>
            <w:vAlign w:val="center"/>
            <w:hideMark/>
          </w:tcPr>
          <w:p w14:paraId="59132384" w14:textId="77777777" w:rsidR="005E64D9" w:rsidRPr="00951AB1" w:rsidRDefault="005E64D9" w:rsidP="000A5389">
            <w:pPr>
              <w:spacing w:line="240" w:lineRule="auto"/>
              <w:jc w:val="center"/>
              <w:rPr>
                <w:rFonts w:eastAsia="Times New Roman" w:cs="Times New Roman"/>
                <w:color w:val="000000"/>
                <w:sz w:val="16"/>
                <w:szCs w:val="16"/>
                <w:lang w:eastAsia="es-CO"/>
              </w:rPr>
            </w:pPr>
            <w:r w:rsidRPr="00951AB1">
              <w:rPr>
                <w:rFonts w:eastAsia="Times New Roman" w:cs="Times New Roman"/>
                <w:color w:val="000000"/>
                <w:sz w:val="16"/>
                <w:szCs w:val="16"/>
                <w:lang w:eastAsia="es-CO"/>
              </w:rPr>
              <w:t>29/12/2023</w:t>
            </w:r>
          </w:p>
        </w:tc>
      </w:tr>
      <w:tr w:rsidR="005E64D9" w:rsidRPr="00951AB1" w14:paraId="0C2C7602" w14:textId="77777777" w:rsidTr="005E64D9">
        <w:trPr>
          <w:trHeight w:val="555"/>
        </w:trPr>
        <w:tc>
          <w:tcPr>
            <w:tcW w:w="652" w:type="pct"/>
            <w:tcBorders>
              <w:top w:val="nil"/>
              <w:left w:val="single" w:sz="4" w:space="0" w:color="D0D0D0"/>
              <w:bottom w:val="single" w:sz="4" w:space="0" w:color="D0D0D0"/>
              <w:right w:val="single" w:sz="4" w:space="0" w:color="D0D0D0"/>
            </w:tcBorders>
            <w:vAlign w:val="center"/>
            <w:hideMark/>
          </w:tcPr>
          <w:p w14:paraId="7D2DA561" w14:textId="77777777" w:rsidR="005E64D9" w:rsidRPr="00951AB1" w:rsidRDefault="005E64D9" w:rsidP="000A5389">
            <w:pPr>
              <w:spacing w:line="240" w:lineRule="auto"/>
              <w:rPr>
                <w:rFonts w:eastAsia="Times New Roman" w:cs="Times New Roman"/>
                <w:color w:val="000000"/>
                <w:sz w:val="16"/>
                <w:szCs w:val="16"/>
                <w:lang w:eastAsia="es-CO"/>
              </w:rPr>
            </w:pPr>
            <w:r w:rsidRPr="00951AB1">
              <w:rPr>
                <w:rFonts w:eastAsia="Times New Roman" w:cs="Times New Roman"/>
                <w:color w:val="000000"/>
                <w:sz w:val="16"/>
                <w:szCs w:val="16"/>
                <w:lang w:eastAsia="es-CO"/>
              </w:rPr>
              <w:t>Sanciones contractuales</w:t>
            </w:r>
          </w:p>
        </w:tc>
        <w:tc>
          <w:tcPr>
            <w:tcW w:w="850" w:type="pct"/>
            <w:tcBorders>
              <w:top w:val="nil"/>
              <w:left w:val="nil"/>
              <w:bottom w:val="single" w:sz="4" w:space="0" w:color="D0D0D0"/>
              <w:right w:val="single" w:sz="4" w:space="0" w:color="D0D0D0"/>
            </w:tcBorders>
            <w:vAlign w:val="center"/>
            <w:hideMark/>
          </w:tcPr>
          <w:p w14:paraId="5B2E6DB4" w14:textId="132A1FBD" w:rsidR="005E64D9" w:rsidRPr="00951AB1" w:rsidRDefault="005E64D9" w:rsidP="000A5389">
            <w:pPr>
              <w:spacing w:line="240" w:lineRule="auto"/>
              <w:rPr>
                <w:rFonts w:eastAsia="Times New Roman" w:cs="Times New Roman"/>
                <w:color w:val="000000"/>
                <w:sz w:val="16"/>
                <w:szCs w:val="16"/>
                <w:lang w:eastAsia="es-CO"/>
              </w:rPr>
            </w:pPr>
            <w:r w:rsidRPr="00951AB1">
              <w:rPr>
                <w:rFonts w:eastAsia="Times New Roman" w:cs="Times New Roman"/>
                <w:color w:val="000000"/>
                <w:sz w:val="16"/>
                <w:szCs w:val="16"/>
                <w:lang w:eastAsia="es-CO"/>
              </w:rPr>
              <w:t>M P S Importaciones Y Exportaciones S.A.S</w:t>
            </w:r>
          </w:p>
        </w:tc>
        <w:tc>
          <w:tcPr>
            <w:tcW w:w="663" w:type="pct"/>
            <w:tcBorders>
              <w:top w:val="nil"/>
              <w:left w:val="nil"/>
              <w:bottom w:val="single" w:sz="4" w:space="0" w:color="D0D0D0"/>
              <w:right w:val="single" w:sz="4" w:space="0" w:color="D0D0D0"/>
            </w:tcBorders>
            <w:vAlign w:val="center"/>
            <w:hideMark/>
          </w:tcPr>
          <w:p w14:paraId="1F3368C9" w14:textId="77777777" w:rsidR="005E64D9" w:rsidRPr="00951AB1" w:rsidRDefault="005E64D9" w:rsidP="000A5389">
            <w:pPr>
              <w:spacing w:line="240" w:lineRule="auto"/>
              <w:jc w:val="center"/>
              <w:rPr>
                <w:rFonts w:eastAsia="Times New Roman" w:cs="Times New Roman"/>
                <w:color w:val="000000"/>
                <w:sz w:val="16"/>
                <w:szCs w:val="16"/>
                <w:lang w:eastAsia="es-CO"/>
              </w:rPr>
            </w:pPr>
            <w:r w:rsidRPr="00951AB1">
              <w:rPr>
                <w:rFonts w:eastAsia="Times New Roman" w:cs="Times New Roman"/>
                <w:color w:val="000000"/>
                <w:sz w:val="16"/>
                <w:szCs w:val="16"/>
                <w:lang w:eastAsia="es-CO"/>
              </w:rPr>
              <w:t>4.680.000</w:t>
            </w:r>
          </w:p>
        </w:tc>
        <w:tc>
          <w:tcPr>
            <w:tcW w:w="1218" w:type="pct"/>
            <w:tcBorders>
              <w:top w:val="nil"/>
              <w:left w:val="nil"/>
              <w:bottom w:val="single" w:sz="4" w:space="0" w:color="D0D0D0"/>
              <w:right w:val="single" w:sz="4" w:space="0" w:color="D0D0D0"/>
            </w:tcBorders>
            <w:vAlign w:val="center"/>
            <w:hideMark/>
          </w:tcPr>
          <w:p w14:paraId="1247AB0F" w14:textId="77777777" w:rsidR="005E64D9" w:rsidRPr="00951AB1" w:rsidRDefault="005E64D9" w:rsidP="000A5389">
            <w:pPr>
              <w:spacing w:line="240" w:lineRule="auto"/>
              <w:rPr>
                <w:rFonts w:eastAsia="Times New Roman" w:cs="Times New Roman"/>
                <w:color w:val="000000"/>
                <w:sz w:val="16"/>
                <w:szCs w:val="16"/>
                <w:lang w:eastAsia="es-CO"/>
              </w:rPr>
            </w:pPr>
            <w:r w:rsidRPr="00951AB1">
              <w:rPr>
                <w:rFonts w:eastAsia="Times New Roman" w:cs="Times New Roman"/>
                <w:color w:val="000000"/>
                <w:sz w:val="16"/>
                <w:szCs w:val="16"/>
                <w:lang w:eastAsia="es-CO"/>
              </w:rPr>
              <w:t xml:space="preserve">14/12/2022 (Resolución No. 20227070020375) </w:t>
            </w:r>
          </w:p>
        </w:tc>
        <w:tc>
          <w:tcPr>
            <w:tcW w:w="593" w:type="pct"/>
            <w:tcBorders>
              <w:top w:val="nil"/>
              <w:left w:val="nil"/>
              <w:bottom w:val="single" w:sz="4" w:space="0" w:color="D0D0D0"/>
              <w:right w:val="single" w:sz="4" w:space="0" w:color="D0D0D0"/>
            </w:tcBorders>
            <w:vAlign w:val="center"/>
            <w:hideMark/>
          </w:tcPr>
          <w:p w14:paraId="627A0F3A" w14:textId="77777777" w:rsidR="005E64D9" w:rsidRPr="00951AB1" w:rsidRDefault="005E64D9" w:rsidP="000A5389">
            <w:pPr>
              <w:spacing w:line="240" w:lineRule="auto"/>
              <w:jc w:val="center"/>
              <w:rPr>
                <w:rFonts w:eastAsia="Times New Roman" w:cs="Times New Roman"/>
                <w:color w:val="000000"/>
                <w:sz w:val="16"/>
                <w:szCs w:val="16"/>
                <w:lang w:eastAsia="es-CO"/>
              </w:rPr>
            </w:pPr>
            <w:r w:rsidRPr="00951AB1">
              <w:rPr>
                <w:rFonts w:eastAsia="Times New Roman" w:cs="Times New Roman"/>
                <w:color w:val="000000"/>
                <w:sz w:val="16"/>
                <w:szCs w:val="16"/>
                <w:lang w:eastAsia="es-CO"/>
              </w:rPr>
              <w:t>5/05/2023</w:t>
            </w:r>
          </w:p>
        </w:tc>
        <w:tc>
          <w:tcPr>
            <w:tcW w:w="275" w:type="pct"/>
            <w:tcBorders>
              <w:top w:val="nil"/>
              <w:left w:val="nil"/>
              <w:bottom w:val="single" w:sz="4" w:space="0" w:color="D0D0D0"/>
              <w:right w:val="single" w:sz="4" w:space="0" w:color="D0D0D0"/>
            </w:tcBorders>
            <w:vAlign w:val="center"/>
            <w:hideMark/>
          </w:tcPr>
          <w:p w14:paraId="7FA7076C" w14:textId="77777777" w:rsidR="005E64D9" w:rsidRPr="00951AB1" w:rsidRDefault="005E64D9" w:rsidP="000A5389">
            <w:pPr>
              <w:spacing w:line="240" w:lineRule="auto"/>
              <w:jc w:val="center"/>
              <w:rPr>
                <w:rFonts w:eastAsia="Times New Roman" w:cs="Times New Roman"/>
                <w:color w:val="000000"/>
                <w:sz w:val="16"/>
                <w:szCs w:val="16"/>
                <w:lang w:eastAsia="es-CO"/>
              </w:rPr>
            </w:pPr>
            <w:r w:rsidRPr="00951AB1">
              <w:rPr>
                <w:rFonts w:eastAsia="Times New Roman" w:cs="Times New Roman"/>
                <w:color w:val="000000"/>
                <w:sz w:val="16"/>
                <w:szCs w:val="16"/>
                <w:lang w:eastAsia="es-CO"/>
              </w:rPr>
              <w:t>12%</w:t>
            </w:r>
          </w:p>
        </w:tc>
        <w:tc>
          <w:tcPr>
            <w:tcW w:w="748" w:type="pct"/>
            <w:gridSpan w:val="2"/>
            <w:tcBorders>
              <w:top w:val="single" w:sz="4" w:space="0" w:color="D0D0D0"/>
              <w:left w:val="nil"/>
              <w:bottom w:val="single" w:sz="4" w:space="0" w:color="D0D0D0"/>
              <w:right w:val="single" w:sz="4" w:space="0" w:color="D0D0D0"/>
            </w:tcBorders>
            <w:noWrap/>
            <w:vAlign w:val="center"/>
            <w:hideMark/>
          </w:tcPr>
          <w:p w14:paraId="45D4B4E4" w14:textId="77777777" w:rsidR="005E64D9" w:rsidRPr="00951AB1" w:rsidRDefault="005E64D9" w:rsidP="000A5389">
            <w:pPr>
              <w:spacing w:line="240" w:lineRule="auto"/>
              <w:jc w:val="center"/>
              <w:rPr>
                <w:rFonts w:eastAsia="Times New Roman" w:cs="Times New Roman"/>
                <w:color w:val="000000"/>
                <w:sz w:val="16"/>
                <w:szCs w:val="16"/>
                <w:lang w:eastAsia="es-CO"/>
              </w:rPr>
            </w:pPr>
            <w:r w:rsidRPr="00951AB1">
              <w:rPr>
                <w:rFonts w:eastAsia="Times New Roman" w:cs="Times New Roman"/>
                <w:color w:val="000000"/>
                <w:sz w:val="16"/>
                <w:szCs w:val="16"/>
                <w:lang w:eastAsia="es-CO"/>
              </w:rPr>
              <w:t>18/05/2023</w:t>
            </w:r>
          </w:p>
        </w:tc>
      </w:tr>
    </w:tbl>
    <w:p w14:paraId="5D197E6C" w14:textId="77777777" w:rsidR="005E64D9" w:rsidRPr="00951AB1" w:rsidRDefault="005E64D9" w:rsidP="000A5389">
      <w:pPr>
        <w:spacing w:line="240" w:lineRule="auto"/>
        <w:ind w:left="-20" w:right="-20"/>
        <w:rPr>
          <w:rFonts w:cs="Times New Roman"/>
        </w:rPr>
      </w:pPr>
      <w:r w:rsidRPr="00951AB1">
        <w:rPr>
          <w:rFonts w:eastAsia="Times New Roman" w:cs="Times New Roman"/>
          <w:sz w:val="14"/>
          <w:szCs w:val="14"/>
        </w:rPr>
        <w:lastRenderedPageBreak/>
        <w:t>Cifras expresadas en pesos</w:t>
      </w:r>
    </w:p>
    <w:p w14:paraId="7EB18D98" w14:textId="77777777" w:rsidR="005E64D9" w:rsidRPr="00951AB1" w:rsidRDefault="005E64D9" w:rsidP="000A5389">
      <w:pPr>
        <w:spacing w:line="240" w:lineRule="auto"/>
        <w:ind w:right="-3"/>
        <w:rPr>
          <w:rFonts w:cs="Times New Roman"/>
          <w:szCs w:val="24"/>
        </w:rPr>
      </w:pPr>
    </w:p>
    <w:p w14:paraId="7C920CB5" w14:textId="77777777" w:rsidR="005E64D9" w:rsidRPr="00951AB1" w:rsidRDefault="005E64D9" w:rsidP="000A5389">
      <w:pPr>
        <w:spacing w:line="240" w:lineRule="auto"/>
        <w:ind w:right="-3"/>
        <w:rPr>
          <w:rFonts w:eastAsia="Times New Roman" w:cs="Times New Roman"/>
          <w:szCs w:val="24"/>
          <w:lang w:val="es-ES"/>
        </w:rPr>
      </w:pPr>
      <w:r w:rsidRPr="00951AB1">
        <w:rPr>
          <w:rFonts w:eastAsia="Times New Roman" w:cs="Times New Roman"/>
          <w:szCs w:val="24"/>
          <w:lang w:val="es-ES"/>
        </w:rPr>
        <w:t xml:space="preserve">La tasa de interés se toma de acuerdo con el artículo 9 de la ley 68 de 1923 que señala: </w:t>
      </w:r>
    </w:p>
    <w:p w14:paraId="09FE6BC6" w14:textId="77777777" w:rsidR="005E64D9" w:rsidRPr="00951AB1" w:rsidRDefault="005E64D9" w:rsidP="000A5389">
      <w:pPr>
        <w:spacing w:line="240" w:lineRule="auto"/>
        <w:ind w:right="-3"/>
        <w:rPr>
          <w:rFonts w:eastAsia="Times New Roman" w:cs="Times New Roman"/>
          <w:szCs w:val="24"/>
          <w:lang w:val="es"/>
        </w:rPr>
      </w:pPr>
    </w:p>
    <w:p w14:paraId="007953B0" w14:textId="77777777" w:rsidR="005E64D9" w:rsidRPr="00951AB1" w:rsidRDefault="005E64D9" w:rsidP="000A5389">
      <w:pPr>
        <w:spacing w:line="240" w:lineRule="auto"/>
        <w:ind w:right="-3"/>
        <w:rPr>
          <w:rFonts w:eastAsia="Times New Roman" w:cs="Times New Roman"/>
          <w:szCs w:val="24"/>
          <w:lang w:val="es-ES"/>
        </w:rPr>
      </w:pPr>
      <w:r w:rsidRPr="00951AB1">
        <w:rPr>
          <w:rFonts w:eastAsia="Times New Roman" w:cs="Times New Roman"/>
          <w:b/>
          <w:bCs/>
          <w:szCs w:val="24"/>
          <w:lang w:val="es-ES"/>
        </w:rPr>
        <w:t>“Artículo 9º. </w:t>
      </w:r>
      <w:r w:rsidRPr="00951AB1">
        <w:rPr>
          <w:rFonts w:eastAsia="Times New Roman" w:cs="Times New Roman"/>
          <w:szCs w:val="24"/>
          <w:lang w:val="es-ES"/>
        </w:rPr>
        <w:t>Los créditos a favor del Tesoro devengan intereses a la tasa del doce por ciento (12 por 100) anual, desde el día en que se hagan exigibles hasta aquel en que se verifique el pago.” No obstante, se aclara que el Grupo de Contabilidad carece de competencia para liquidar, los intereses por lo cual dependerá de lo que disponga cada supervisor o área correspondiente.</w:t>
      </w:r>
    </w:p>
    <w:p w14:paraId="498C48B9" w14:textId="77777777" w:rsidR="005E64D9" w:rsidRPr="00951AB1" w:rsidRDefault="005E64D9" w:rsidP="000A5389">
      <w:pPr>
        <w:spacing w:line="240" w:lineRule="auto"/>
        <w:ind w:right="-3"/>
        <w:rPr>
          <w:rFonts w:cs="Times New Roman"/>
          <w:szCs w:val="24"/>
        </w:rPr>
      </w:pPr>
    </w:p>
    <w:p w14:paraId="25CECD7B" w14:textId="77777777" w:rsidR="005E64D9" w:rsidRPr="00951AB1" w:rsidRDefault="005E64D9" w:rsidP="000A5389">
      <w:pPr>
        <w:spacing w:line="240" w:lineRule="auto"/>
        <w:ind w:right="-3"/>
        <w:rPr>
          <w:rFonts w:cs="Times New Roman"/>
          <w:szCs w:val="24"/>
        </w:rPr>
      </w:pPr>
      <w:r w:rsidRPr="00951AB1">
        <w:rPr>
          <w:rFonts w:cs="Times New Roman"/>
          <w:b/>
          <w:bCs/>
          <w:szCs w:val="24"/>
          <w:u w:val="single"/>
          <w:lang w:bidi="es-ES"/>
        </w:rPr>
        <w:t>Derechos de explotación no relacionados con la infraestructura de transporte</w:t>
      </w:r>
      <w:r w:rsidRPr="00951AB1">
        <w:rPr>
          <w:rFonts w:cs="Times New Roman"/>
          <w:b/>
          <w:bCs/>
          <w:szCs w:val="24"/>
          <w:lang w:bidi="es-ES"/>
        </w:rPr>
        <w:t>:</w:t>
      </w:r>
      <w:r w:rsidRPr="00951AB1">
        <w:rPr>
          <w:rFonts w:cs="Times New Roman"/>
          <w:szCs w:val="24"/>
          <w:lang w:bidi="es-ES"/>
        </w:rPr>
        <w:t xml:space="preserve"> por valor total de $21.515.441.370, corresponde al</w:t>
      </w:r>
      <w:r w:rsidRPr="00951AB1">
        <w:rPr>
          <w:rFonts w:cs="Times New Roman"/>
          <w:szCs w:val="24"/>
        </w:rPr>
        <w:t xml:space="preserve"> reconocimiento de la cartera por cobrar de los ingresos por concepto de la contraprestación aeroportuaria, usando esta cuenta contable en consideración al concepto de la Contaduría General de la Nación CGN No 20251100041751 de fecha 05-11-2025 Tratamiento contable del porcentaje de contraprestación aeroportuaria Decreto 008 del 2024. </w:t>
      </w:r>
    </w:p>
    <w:p w14:paraId="09ADB8AF" w14:textId="77777777" w:rsidR="005E64D9" w:rsidRPr="00951AB1" w:rsidRDefault="005E64D9" w:rsidP="000A5389">
      <w:pPr>
        <w:spacing w:line="240" w:lineRule="auto"/>
        <w:ind w:right="-3"/>
        <w:rPr>
          <w:rFonts w:cs="Times New Roman"/>
          <w:szCs w:val="24"/>
        </w:rPr>
      </w:pPr>
    </w:p>
    <w:p w14:paraId="6892D29C" w14:textId="77777777" w:rsidR="005E64D9" w:rsidRPr="00951AB1" w:rsidRDefault="005E64D9" w:rsidP="000A5389">
      <w:pPr>
        <w:spacing w:line="240" w:lineRule="auto"/>
        <w:ind w:right="-3"/>
        <w:rPr>
          <w:rFonts w:cs="Times New Roman"/>
          <w:szCs w:val="24"/>
        </w:rPr>
      </w:pPr>
      <w:r w:rsidRPr="00951AB1">
        <w:rPr>
          <w:rFonts w:cs="Times New Roman"/>
          <w:szCs w:val="24"/>
        </w:rPr>
        <w:t>Se precisa que esta cuenta contable inicia su utilización desde el periodo 2025 con el concepto de la CGN, por lo tanto, no tiene comparabilidad frente al año 2024 que no se alcanzó a causar el ingreso y la cartera por fiabilidad en el valor del ingreso, el cual se concilió con la Aerocivil en el año 2025, cuando se reconoció dichos ingresos.</w:t>
      </w:r>
    </w:p>
    <w:p w14:paraId="63A69DFC" w14:textId="77777777" w:rsidR="005E64D9" w:rsidRPr="00951AB1" w:rsidRDefault="005E64D9" w:rsidP="000A5389">
      <w:pPr>
        <w:spacing w:line="240" w:lineRule="auto"/>
        <w:ind w:right="-3"/>
        <w:rPr>
          <w:rFonts w:cs="Times New Roman"/>
          <w:szCs w:val="24"/>
        </w:rPr>
      </w:pPr>
    </w:p>
    <w:p w14:paraId="0A07BB4B" w14:textId="77777777" w:rsidR="005E64D9" w:rsidRPr="00951AB1" w:rsidRDefault="005E64D9" w:rsidP="000A5389">
      <w:pPr>
        <w:spacing w:line="240" w:lineRule="auto"/>
        <w:ind w:right="-3"/>
        <w:rPr>
          <w:rFonts w:cs="Times New Roman"/>
          <w:szCs w:val="24"/>
        </w:rPr>
      </w:pPr>
      <w:r w:rsidRPr="00951AB1">
        <w:rPr>
          <w:rFonts w:eastAsia="Times New Roman" w:cs="Times New Roman"/>
          <w:szCs w:val="24"/>
        </w:rPr>
        <w:t>A continuación, se detalla la composición de las cuentas por cobrar</w:t>
      </w:r>
      <w:r w:rsidRPr="00951AB1">
        <w:rPr>
          <w:rFonts w:eastAsia="Times New Roman" w:cs="Times New Roman"/>
          <w:color w:val="FF0000"/>
          <w:szCs w:val="24"/>
        </w:rPr>
        <w:t xml:space="preserve"> </w:t>
      </w:r>
      <w:r w:rsidRPr="00951AB1">
        <w:rPr>
          <w:rFonts w:eastAsia="Times New Roman" w:cs="Times New Roman"/>
          <w:szCs w:val="24"/>
        </w:rPr>
        <w:t>por concepto de “Derechos de explotación no relacionados con la infraestructura de transporte”, en atención a la información suministrada por la Gerencia Financiera de la Vicepresidencia Gestión Contractual, así:</w:t>
      </w:r>
    </w:p>
    <w:p w14:paraId="65A8F18E" w14:textId="77777777" w:rsidR="005E64D9" w:rsidRPr="00951AB1" w:rsidRDefault="005E64D9" w:rsidP="000A5389">
      <w:pPr>
        <w:spacing w:line="240" w:lineRule="auto"/>
        <w:ind w:right="-3"/>
        <w:rPr>
          <w:rFonts w:cs="Times New Roman"/>
          <w:szCs w:val="24"/>
        </w:rPr>
      </w:pPr>
    </w:p>
    <w:tbl>
      <w:tblPr>
        <w:tblW w:w="8613"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CellMar>
          <w:left w:w="70" w:type="dxa"/>
          <w:right w:w="70" w:type="dxa"/>
        </w:tblCellMar>
        <w:tblLook w:val="04A0" w:firstRow="1" w:lastRow="0" w:firstColumn="1" w:lastColumn="0" w:noHBand="0" w:noVBand="1"/>
      </w:tblPr>
      <w:tblGrid>
        <w:gridCol w:w="7193"/>
        <w:gridCol w:w="1420"/>
      </w:tblGrid>
      <w:tr w:rsidR="005E64D9" w:rsidRPr="00951AB1" w14:paraId="63AFB278" w14:textId="77777777" w:rsidTr="00B24EFA">
        <w:trPr>
          <w:trHeight w:val="300"/>
          <w:tblHeader/>
        </w:trPr>
        <w:tc>
          <w:tcPr>
            <w:tcW w:w="7193" w:type="dxa"/>
            <w:noWrap/>
            <w:hideMark/>
          </w:tcPr>
          <w:p w14:paraId="1D47AF1A" w14:textId="77777777" w:rsidR="005E64D9" w:rsidRPr="00951AB1" w:rsidRDefault="005E64D9" w:rsidP="000A5389">
            <w:pPr>
              <w:spacing w:line="240" w:lineRule="auto"/>
              <w:jc w:val="center"/>
              <w:rPr>
                <w:rFonts w:eastAsia="Times New Roman" w:cs="Times New Roman"/>
                <w:b/>
                <w:bCs/>
                <w:color w:val="000000"/>
                <w:kern w:val="0"/>
                <w:sz w:val="20"/>
                <w:szCs w:val="20"/>
                <w:lang w:eastAsia="es-CO"/>
                <w14:ligatures w14:val="none"/>
              </w:rPr>
            </w:pPr>
            <w:r w:rsidRPr="00951AB1">
              <w:rPr>
                <w:rFonts w:eastAsia="Times New Roman" w:cs="Times New Roman"/>
                <w:b/>
                <w:bCs/>
                <w:color w:val="000000"/>
                <w:kern w:val="0"/>
                <w:sz w:val="20"/>
                <w:szCs w:val="20"/>
                <w:lang w:eastAsia="es-CO"/>
                <w14:ligatures w14:val="none"/>
              </w:rPr>
              <w:t>ENTIDAD</w:t>
            </w:r>
          </w:p>
        </w:tc>
        <w:tc>
          <w:tcPr>
            <w:tcW w:w="1420" w:type="dxa"/>
            <w:noWrap/>
            <w:hideMark/>
          </w:tcPr>
          <w:p w14:paraId="62153C1B" w14:textId="77777777" w:rsidR="005E64D9" w:rsidRPr="00951AB1" w:rsidRDefault="005E64D9" w:rsidP="000A5389">
            <w:pPr>
              <w:spacing w:line="240" w:lineRule="auto"/>
              <w:jc w:val="center"/>
              <w:rPr>
                <w:rFonts w:eastAsia="Times New Roman" w:cs="Times New Roman"/>
                <w:b/>
                <w:bCs/>
                <w:color w:val="000000"/>
                <w:kern w:val="0"/>
                <w:sz w:val="20"/>
                <w:szCs w:val="20"/>
                <w:lang w:eastAsia="es-CO"/>
                <w14:ligatures w14:val="none"/>
              </w:rPr>
            </w:pPr>
            <w:r w:rsidRPr="00951AB1">
              <w:rPr>
                <w:rFonts w:eastAsia="Times New Roman" w:cs="Times New Roman"/>
                <w:b/>
                <w:bCs/>
                <w:color w:val="000000"/>
                <w:kern w:val="0"/>
                <w:sz w:val="20"/>
                <w:szCs w:val="20"/>
                <w:lang w:eastAsia="es-CO"/>
                <w14:ligatures w14:val="none"/>
              </w:rPr>
              <w:t>VALOR</w:t>
            </w:r>
          </w:p>
        </w:tc>
      </w:tr>
      <w:tr w:rsidR="005E64D9" w:rsidRPr="00951AB1" w14:paraId="637ED612" w14:textId="77777777" w:rsidTr="00B24EFA">
        <w:trPr>
          <w:trHeight w:val="300"/>
        </w:trPr>
        <w:tc>
          <w:tcPr>
            <w:tcW w:w="7193" w:type="dxa"/>
            <w:noWrap/>
            <w:vAlign w:val="center"/>
            <w:hideMark/>
          </w:tcPr>
          <w:p w14:paraId="665E9D8D" w14:textId="0340EA6B" w:rsidR="005E64D9" w:rsidRPr="00951AB1" w:rsidRDefault="008567AA" w:rsidP="000A5389">
            <w:pPr>
              <w:spacing w:line="240" w:lineRule="auto"/>
              <w:rPr>
                <w:rFonts w:eastAsia="Times New Roman" w:cs="Times New Roman"/>
                <w:color w:val="000000"/>
                <w:kern w:val="0"/>
                <w:sz w:val="20"/>
                <w:szCs w:val="20"/>
                <w:lang w:eastAsia="es-CO"/>
                <w14:ligatures w14:val="none"/>
              </w:rPr>
            </w:pPr>
            <w:r w:rsidRPr="00951AB1">
              <w:rPr>
                <w:rFonts w:cs="Times New Roman"/>
                <w:color w:val="000000"/>
                <w:sz w:val="20"/>
                <w:szCs w:val="20"/>
              </w:rPr>
              <w:t>Sociedad Concesionaria Operadora Aeroportuaria Internacional S A</w:t>
            </w:r>
          </w:p>
        </w:tc>
        <w:tc>
          <w:tcPr>
            <w:tcW w:w="1420" w:type="dxa"/>
            <w:noWrap/>
            <w:vAlign w:val="center"/>
            <w:hideMark/>
          </w:tcPr>
          <w:p w14:paraId="56CF2302" w14:textId="77777777" w:rsidR="005E64D9" w:rsidRPr="00951AB1" w:rsidRDefault="005E64D9" w:rsidP="000A5389">
            <w:pPr>
              <w:spacing w:line="240" w:lineRule="auto"/>
              <w:jc w:val="right"/>
              <w:rPr>
                <w:rFonts w:eastAsia="Times New Roman" w:cs="Times New Roman"/>
                <w:color w:val="000000"/>
                <w:kern w:val="0"/>
                <w:sz w:val="20"/>
                <w:szCs w:val="20"/>
                <w:lang w:eastAsia="es-CO"/>
                <w14:ligatures w14:val="none"/>
              </w:rPr>
            </w:pPr>
            <w:r w:rsidRPr="00951AB1">
              <w:rPr>
                <w:rFonts w:cs="Times New Roman"/>
                <w:color w:val="000000"/>
                <w:sz w:val="20"/>
                <w:szCs w:val="20"/>
              </w:rPr>
              <w:t>19.703.628.956</w:t>
            </w:r>
          </w:p>
        </w:tc>
      </w:tr>
      <w:tr w:rsidR="005E64D9" w:rsidRPr="00951AB1" w14:paraId="05748329" w14:textId="77777777" w:rsidTr="00B24EFA">
        <w:trPr>
          <w:trHeight w:val="300"/>
        </w:trPr>
        <w:tc>
          <w:tcPr>
            <w:tcW w:w="7193" w:type="dxa"/>
            <w:noWrap/>
            <w:vAlign w:val="center"/>
            <w:hideMark/>
          </w:tcPr>
          <w:p w14:paraId="13E76249" w14:textId="46800CC9" w:rsidR="005E64D9" w:rsidRPr="00951AB1" w:rsidRDefault="008567AA" w:rsidP="000A5389">
            <w:pPr>
              <w:spacing w:line="240" w:lineRule="auto"/>
              <w:rPr>
                <w:rFonts w:eastAsia="Times New Roman" w:cs="Times New Roman"/>
                <w:color w:val="000000"/>
                <w:kern w:val="0"/>
                <w:sz w:val="20"/>
                <w:szCs w:val="20"/>
                <w:lang w:eastAsia="es-CO"/>
                <w14:ligatures w14:val="none"/>
              </w:rPr>
            </w:pPr>
            <w:r w:rsidRPr="00951AB1">
              <w:rPr>
                <w:rFonts w:cs="Times New Roman"/>
                <w:color w:val="000000"/>
                <w:sz w:val="20"/>
                <w:szCs w:val="20"/>
              </w:rPr>
              <w:t>Operadora Internacional Aeropuerto De Cartagena S.A.S</w:t>
            </w:r>
          </w:p>
        </w:tc>
        <w:tc>
          <w:tcPr>
            <w:tcW w:w="1420" w:type="dxa"/>
            <w:noWrap/>
            <w:vAlign w:val="center"/>
            <w:hideMark/>
          </w:tcPr>
          <w:p w14:paraId="2EB233A8" w14:textId="77777777" w:rsidR="005E64D9" w:rsidRPr="00951AB1" w:rsidRDefault="005E64D9" w:rsidP="000A5389">
            <w:pPr>
              <w:spacing w:line="240" w:lineRule="auto"/>
              <w:jc w:val="right"/>
              <w:rPr>
                <w:rFonts w:eastAsia="Times New Roman" w:cs="Times New Roman"/>
                <w:color w:val="000000"/>
                <w:kern w:val="0"/>
                <w:sz w:val="20"/>
                <w:szCs w:val="20"/>
                <w:lang w:eastAsia="es-CO"/>
                <w14:ligatures w14:val="none"/>
              </w:rPr>
            </w:pPr>
            <w:r w:rsidRPr="00951AB1">
              <w:rPr>
                <w:rFonts w:cs="Times New Roman"/>
                <w:color w:val="000000"/>
                <w:sz w:val="20"/>
                <w:szCs w:val="20"/>
              </w:rPr>
              <w:t>1.015.359.187</w:t>
            </w:r>
          </w:p>
        </w:tc>
      </w:tr>
      <w:tr w:rsidR="005E64D9" w:rsidRPr="00951AB1" w14:paraId="0B766BF7" w14:textId="77777777" w:rsidTr="00B24EFA">
        <w:trPr>
          <w:trHeight w:val="300"/>
        </w:trPr>
        <w:tc>
          <w:tcPr>
            <w:tcW w:w="7193" w:type="dxa"/>
            <w:noWrap/>
            <w:vAlign w:val="center"/>
            <w:hideMark/>
          </w:tcPr>
          <w:p w14:paraId="61D8682D" w14:textId="32E54340" w:rsidR="005E64D9" w:rsidRPr="00951AB1" w:rsidRDefault="008567AA" w:rsidP="000A5389">
            <w:pPr>
              <w:spacing w:line="240" w:lineRule="auto"/>
              <w:rPr>
                <w:rFonts w:eastAsia="Times New Roman" w:cs="Times New Roman"/>
                <w:color w:val="000000"/>
                <w:kern w:val="0"/>
                <w:sz w:val="20"/>
                <w:szCs w:val="20"/>
                <w:lang w:eastAsia="es-CO"/>
                <w14:ligatures w14:val="none"/>
              </w:rPr>
            </w:pPr>
            <w:r w:rsidRPr="00951AB1">
              <w:rPr>
                <w:rFonts w:cs="Times New Roman"/>
                <w:color w:val="000000"/>
                <w:sz w:val="20"/>
                <w:szCs w:val="20"/>
              </w:rPr>
              <w:t>Sociedad Operadora De Aeropuertos Centro Norte S.A.S</w:t>
            </w:r>
          </w:p>
        </w:tc>
        <w:tc>
          <w:tcPr>
            <w:tcW w:w="1420" w:type="dxa"/>
            <w:noWrap/>
            <w:vAlign w:val="center"/>
            <w:hideMark/>
          </w:tcPr>
          <w:p w14:paraId="46216D99" w14:textId="77777777" w:rsidR="005E64D9" w:rsidRPr="00951AB1" w:rsidRDefault="005E64D9" w:rsidP="000A5389">
            <w:pPr>
              <w:spacing w:line="240" w:lineRule="auto"/>
              <w:jc w:val="right"/>
              <w:rPr>
                <w:rFonts w:eastAsia="Times New Roman" w:cs="Times New Roman"/>
                <w:color w:val="000000"/>
                <w:kern w:val="0"/>
                <w:sz w:val="20"/>
                <w:szCs w:val="20"/>
                <w:lang w:eastAsia="es-CO"/>
                <w14:ligatures w14:val="none"/>
              </w:rPr>
            </w:pPr>
            <w:r w:rsidRPr="00951AB1">
              <w:rPr>
                <w:rFonts w:cs="Times New Roman"/>
                <w:color w:val="000000"/>
                <w:sz w:val="20"/>
                <w:szCs w:val="20"/>
              </w:rPr>
              <w:t>510.252.166</w:t>
            </w:r>
          </w:p>
        </w:tc>
      </w:tr>
      <w:tr w:rsidR="005E64D9" w:rsidRPr="00951AB1" w14:paraId="0FBDBCF0" w14:textId="77777777" w:rsidTr="00B24EFA">
        <w:trPr>
          <w:trHeight w:val="300"/>
        </w:trPr>
        <w:tc>
          <w:tcPr>
            <w:tcW w:w="7193" w:type="dxa"/>
            <w:noWrap/>
            <w:vAlign w:val="center"/>
            <w:hideMark/>
          </w:tcPr>
          <w:p w14:paraId="59188CFD" w14:textId="78FAD41D" w:rsidR="005E64D9" w:rsidRPr="00951AB1" w:rsidRDefault="008567AA" w:rsidP="000A5389">
            <w:pPr>
              <w:spacing w:line="240" w:lineRule="auto"/>
              <w:rPr>
                <w:rFonts w:eastAsia="Times New Roman" w:cs="Times New Roman"/>
                <w:color w:val="000000"/>
                <w:kern w:val="0"/>
                <w:sz w:val="20"/>
                <w:szCs w:val="20"/>
                <w:lang w:eastAsia="es-CO"/>
                <w14:ligatures w14:val="none"/>
              </w:rPr>
            </w:pPr>
            <w:r w:rsidRPr="00951AB1">
              <w:rPr>
                <w:rFonts w:cs="Times New Roman"/>
                <w:color w:val="000000"/>
                <w:sz w:val="20"/>
                <w:szCs w:val="20"/>
              </w:rPr>
              <w:t>Transporte Ferroportuario De Colombia - Transferport S.A.S</w:t>
            </w:r>
          </w:p>
        </w:tc>
        <w:tc>
          <w:tcPr>
            <w:tcW w:w="1420" w:type="dxa"/>
            <w:noWrap/>
            <w:vAlign w:val="center"/>
            <w:hideMark/>
          </w:tcPr>
          <w:p w14:paraId="1DE5B0D6" w14:textId="77777777" w:rsidR="005E64D9" w:rsidRPr="00951AB1" w:rsidRDefault="005E64D9" w:rsidP="000A5389">
            <w:pPr>
              <w:spacing w:line="240" w:lineRule="auto"/>
              <w:jc w:val="right"/>
              <w:rPr>
                <w:rFonts w:eastAsia="Times New Roman" w:cs="Times New Roman"/>
                <w:color w:val="000000"/>
                <w:kern w:val="0"/>
                <w:sz w:val="20"/>
                <w:szCs w:val="20"/>
                <w:lang w:eastAsia="es-CO"/>
                <w14:ligatures w14:val="none"/>
              </w:rPr>
            </w:pPr>
            <w:r w:rsidRPr="00951AB1">
              <w:rPr>
                <w:rFonts w:cs="Times New Roman"/>
                <w:color w:val="000000"/>
                <w:sz w:val="20"/>
                <w:szCs w:val="20"/>
              </w:rPr>
              <w:t>280.566.104</w:t>
            </w:r>
          </w:p>
        </w:tc>
      </w:tr>
      <w:tr w:rsidR="005E64D9" w:rsidRPr="00951AB1" w14:paraId="2B51CA95" w14:textId="77777777" w:rsidTr="00B24EFA">
        <w:trPr>
          <w:trHeight w:val="300"/>
        </w:trPr>
        <w:tc>
          <w:tcPr>
            <w:tcW w:w="7193" w:type="dxa"/>
            <w:noWrap/>
            <w:vAlign w:val="center"/>
            <w:hideMark/>
          </w:tcPr>
          <w:p w14:paraId="7D0609B1" w14:textId="5CA3FD44" w:rsidR="005E64D9" w:rsidRPr="00951AB1" w:rsidRDefault="008567AA" w:rsidP="000A5389">
            <w:pPr>
              <w:spacing w:line="240" w:lineRule="auto"/>
              <w:rPr>
                <w:rFonts w:eastAsia="Times New Roman" w:cs="Times New Roman"/>
                <w:color w:val="000000"/>
                <w:kern w:val="0"/>
                <w:sz w:val="20"/>
                <w:szCs w:val="20"/>
                <w:lang w:eastAsia="es-CO"/>
                <w14:ligatures w14:val="none"/>
              </w:rPr>
            </w:pPr>
            <w:r w:rsidRPr="00951AB1">
              <w:rPr>
                <w:rFonts w:cs="Times New Roman"/>
                <w:color w:val="000000"/>
                <w:sz w:val="20"/>
                <w:szCs w:val="20"/>
              </w:rPr>
              <w:t>Cooperativa De Trabajo Asociado Y De Servicios Multiples De Colombia Limitada</w:t>
            </w:r>
          </w:p>
        </w:tc>
        <w:tc>
          <w:tcPr>
            <w:tcW w:w="1420" w:type="dxa"/>
            <w:noWrap/>
            <w:vAlign w:val="center"/>
            <w:hideMark/>
          </w:tcPr>
          <w:p w14:paraId="6BAEC894" w14:textId="77777777" w:rsidR="005E64D9" w:rsidRPr="00951AB1" w:rsidRDefault="005E64D9" w:rsidP="000A5389">
            <w:pPr>
              <w:spacing w:line="240" w:lineRule="auto"/>
              <w:jc w:val="right"/>
              <w:rPr>
                <w:rFonts w:eastAsia="Times New Roman" w:cs="Times New Roman"/>
                <w:color w:val="000000"/>
                <w:kern w:val="0"/>
                <w:sz w:val="20"/>
                <w:szCs w:val="20"/>
                <w:lang w:eastAsia="es-CO"/>
                <w14:ligatures w14:val="none"/>
              </w:rPr>
            </w:pPr>
            <w:r w:rsidRPr="00951AB1">
              <w:rPr>
                <w:rFonts w:cs="Times New Roman"/>
                <w:color w:val="000000"/>
                <w:sz w:val="20"/>
                <w:szCs w:val="20"/>
              </w:rPr>
              <w:t>5.634.957</w:t>
            </w:r>
          </w:p>
        </w:tc>
      </w:tr>
    </w:tbl>
    <w:p w14:paraId="7BD5707F" w14:textId="77777777" w:rsidR="005E64D9" w:rsidRPr="00951AB1" w:rsidRDefault="005E64D9" w:rsidP="000A5389">
      <w:pPr>
        <w:spacing w:line="240" w:lineRule="auto"/>
        <w:ind w:right="-3"/>
        <w:rPr>
          <w:rFonts w:cs="Times New Roman"/>
          <w:szCs w:val="24"/>
        </w:rPr>
      </w:pPr>
    </w:p>
    <w:p w14:paraId="124EF4AB" w14:textId="0680E2D1" w:rsidR="005E64D9" w:rsidRPr="00951AB1" w:rsidRDefault="005E64D9" w:rsidP="000A5389">
      <w:pPr>
        <w:widowControl w:val="0"/>
        <w:autoSpaceDE w:val="0"/>
        <w:autoSpaceDN w:val="0"/>
        <w:spacing w:line="240" w:lineRule="auto"/>
        <w:contextualSpacing/>
        <w:rPr>
          <w:rFonts w:cs="Times New Roman"/>
          <w:szCs w:val="24"/>
          <w:lang w:val="es-ES"/>
        </w:rPr>
      </w:pPr>
      <w:r w:rsidRPr="00951AB1">
        <w:rPr>
          <w:rFonts w:eastAsia="Times New Roman" w:cs="Times New Roman"/>
          <w:szCs w:val="24"/>
          <w:lang w:eastAsia="es-ES" w:bidi="es-ES"/>
        </w:rPr>
        <w:t>Esta cartera</w:t>
      </w:r>
      <w:r w:rsidRPr="00951AB1">
        <w:rPr>
          <w:rFonts w:eastAsia="Times New Roman" w:cs="Times New Roman"/>
          <w:szCs w:val="24"/>
          <w:lang w:val="es-ES" w:eastAsia="es-ES" w:bidi="es-ES"/>
        </w:rPr>
        <w:t xml:space="preserve"> no son objeto de deterioro por cuanto la antigüedad frente al vencimiento contractual no supera los tres (3) meses, no se consideran criterios de plazo, ni tasas de interés, debido a que el registro del derecho y el recaudo se generan dentro del mes corriente y con la Aerocivil una vez se concilian los valores, adicionalmente, estas cuentas por cobrar no tienen pignoraciones, ni generan transferencias de riesgos a terceros.</w:t>
      </w:r>
    </w:p>
    <w:p w14:paraId="7A0CF605" w14:textId="77777777" w:rsidR="005E64D9" w:rsidRPr="00951AB1" w:rsidRDefault="005E64D9" w:rsidP="000A5389">
      <w:pPr>
        <w:spacing w:line="240" w:lineRule="auto"/>
        <w:ind w:right="-3"/>
        <w:rPr>
          <w:rFonts w:cs="Times New Roman"/>
          <w:szCs w:val="24"/>
        </w:rPr>
      </w:pPr>
    </w:p>
    <w:p w14:paraId="5E471CF8" w14:textId="77777777" w:rsidR="005E64D9" w:rsidRDefault="005E64D9" w:rsidP="000A5389">
      <w:pPr>
        <w:spacing w:line="240" w:lineRule="auto"/>
        <w:ind w:left="-20" w:right="-20"/>
        <w:rPr>
          <w:rFonts w:eastAsia="Times New Roman" w:cs="Times New Roman"/>
          <w:szCs w:val="24"/>
          <w:lang w:val="es"/>
        </w:rPr>
      </w:pPr>
      <w:r w:rsidRPr="00951AB1">
        <w:rPr>
          <w:rFonts w:eastAsia="Times New Roman" w:cs="Times New Roman"/>
          <w:szCs w:val="24"/>
          <w:lang w:val="es"/>
        </w:rPr>
        <w:t>Por su parte, los “</w:t>
      </w:r>
      <w:r w:rsidRPr="00951AB1">
        <w:rPr>
          <w:rFonts w:eastAsia="Times New Roman" w:cs="Times New Roman"/>
          <w:b/>
          <w:bCs/>
          <w:szCs w:val="24"/>
          <w:u w:val="single"/>
          <w:lang w:val="es"/>
        </w:rPr>
        <w:t>Derechos de tránsito</w:t>
      </w:r>
      <w:r w:rsidRPr="00951AB1">
        <w:rPr>
          <w:rFonts w:eastAsia="Times New Roman" w:cs="Times New Roman"/>
          <w:szCs w:val="24"/>
          <w:lang w:val="es"/>
        </w:rPr>
        <w:t xml:space="preserve">” por valor total de $15.903.258.503, corresponden a los ingresos propios percibidos por la Agencia, de los operadores Drummond LTDA, C.I. Prodeco S.A, </w:t>
      </w:r>
      <w:r w:rsidRPr="00951AB1">
        <w:rPr>
          <w:rFonts w:eastAsia="Times New Roman" w:cs="Times New Roman"/>
          <w:color w:val="000000"/>
          <w:szCs w:val="24"/>
          <w:lang w:eastAsia="es-CO"/>
        </w:rPr>
        <w:t>Transporte Ferroportuario De Colombia - Transferport S.A.S</w:t>
      </w:r>
      <w:r w:rsidRPr="00951AB1">
        <w:rPr>
          <w:rFonts w:eastAsia="Times New Roman" w:cs="Times New Roman"/>
          <w:szCs w:val="24"/>
          <w:lang w:val="es"/>
        </w:rPr>
        <w:t xml:space="preserve">, Consorcio CTSA </w:t>
      </w:r>
      <w:r w:rsidRPr="00951AB1">
        <w:rPr>
          <w:rFonts w:eastAsia="Times New Roman" w:cs="Times New Roman"/>
          <w:szCs w:val="24"/>
          <w:lang w:val="es"/>
        </w:rPr>
        <w:lastRenderedPageBreak/>
        <w:t xml:space="preserve">Integral y Consorcio Ferreobelen C&amp;E, que se relacionan con las tarifas definidas para el uso de las vías férreas para el transporte de cargas de carbón. </w:t>
      </w:r>
    </w:p>
    <w:p w14:paraId="4472548A" w14:textId="77777777" w:rsidR="006304F4" w:rsidRPr="00951AB1" w:rsidRDefault="006304F4" w:rsidP="000A5389">
      <w:pPr>
        <w:spacing w:line="240" w:lineRule="auto"/>
        <w:ind w:left="-20" w:right="-20"/>
        <w:rPr>
          <w:rFonts w:eastAsia="Times New Roman" w:cs="Times New Roman"/>
          <w:szCs w:val="24"/>
          <w:lang w:val="es"/>
        </w:rPr>
      </w:pPr>
    </w:p>
    <w:p w14:paraId="53B8E533" w14:textId="5D02D4AF" w:rsidR="005E64D9" w:rsidRPr="00951AB1" w:rsidRDefault="005E64D9" w:rsidP="000A5389">
      <w:pPr>
        <w:spacing w:line="240" w:lineRule="auto"/>
        <w:ind w:left="-20" w:right="-20"/>
        <w:rPr>
          <w:rFonts w:eastAsia="Times New Roman" w:cs="Times New Roman"/>
          <w:szCs w:val="24"/>
        </w:rPr>
      </w:pPr>
      <w:r w:rsidRPr="00951AB1">
        <w:rPr>
          <w:rFonts w:eastAsia="Times New Roman" w:cs="Times New Roman"/>
          <w:szCs w:val="24"/>
        </w:rPr>
        <w:t>A continuación, se detalla las entidades con cartera, en virtud de la información suministrada por la Gerencia de Proyectos Férreos de la Vicepresidencia Gestión Contractual, a nivel de terceros:</w:t>
      </w:r>
    </w:p>
    <w:tbl>
      <w:tblPr>
        <w:tblW w:w="5000" w:type="pct"/>
        <w:tblLayout w:type="fixed"/>
        <w:tblCellMar>
          <w:left w:w="70" w:type="dxa"/>
          <w:right w:w="70" w:type="dxa"/>
        </w:tblCellMar>
        <w:tblLook w:val="04A0" w:firstRow="1" w:lastRow="0" w:firstColumn="1" w:lastColumn="0" w:noHBand="0" w:noVBand="1"/>
      </w:tblPr>
      <w:tblGrid>
        <w:gridCol w:w="4389"/>
        <w:gridCol w:w="1418"/>
        <w:gridCol w:w="1559"/>
        <w:gridCol w:w="1462"/>
      </w:tblGrid>
      <w:tr w:rsidR="005E64D9" w:rsidRPr="00951AB1" w14:paraId="144F4DD5" w14:textId="77777777" w:rsidTr="008567AA">
        <w:trPr>
          <w:trHeight w:val="300"/>
          <w:tblHeader/>
        </w:trPr>
        <w:tc>
          <w:tcPr>
            <w:tcW w:w="2486" w:type="pct"/>
            <w:tcBorders>
              <w:top w:val="single" w:sz="4" w:space="0" w:color="D0D0D0"/>
              <w:left w:val="single" w:sz="4" w:space="0" w:color="D0D0D0"/>
              <w:bottom w:val="single" w:sz="4" w:space="0" w:color="D0D0D0"/>
              <w:right w:val="single" w:sz="4" w:space="0" w:color="D0D0D0"/>
            </w:tcBorders>
            <w:shd w:val="clear" w:color="auto" w:fill="FFFFFF" w:themeFill="background1"/>
            <w:vAlign w:val="center"/>
            <w:hideMark/>
          </w:tcPr>
          <w:p w14:paraId="773DC0BF" w14:textId="77777777" w:rsidR="005E64D9" w:rsidRPr="00951AB1" w:rsidRDefault="005E64D9" w:rsidP="000A5389">
            <w:pPr>
              <w:spacing w:line="240" w:lineRule="auto"/>
              <w:jc w:val="center"/>
              <w:rPr>
                <w:rFonts w:eastAsia="Times New Roman" w:cs="Times New Roman"/>
                <w:b/>
                <w:bCs/>
                <w:color w:val="000000"/>
                <w:sz w:val="20"/>
                <w:szCs w:val="20"/>
                <w:lang w:eastAsia="es-CO"/>
              </w:rPr>
            </w:pPr>
            <w:r w:rsidRPr="00951AB1">
              <w:rPr>
                <w:rFonts w:eastAsia="Times New Roman" w:cs="Times New Roman"/>
                <w:b/>
                <w:bCs/>
                <w:color w:val="000000"/>
                <w:sz w:val="20"/>
                <w:szCs w:val="20"/>
                <w:lang w:eastAsia="es-CO"/>
              </w:rPr>
              <w:t>ENTIDAD</w:t>
            </w:r>
          </w:p>
        </w:tc>
        <w:tc>
          <w:tcPr>
            <w:tcW w:w="803" w:type="pct"/>
            <w:tcBorders>
              <w:top w:val="single" w:sz="4" w:space="0" w:color="D0D0D0"/>
              <w:left w:val="nil"/>
              <w:bottom w:val="single" w:sz="4" w:space="0" w:color="D0D0D0"/>
              <w:right w:val="single" w:sz="4" w:space="0" w:color="D0D0D0"/>
            </w:tcBorders>
            <w:shd w:val="clear" w:color="auto" w:fill="FFFFFF" w:themeFill="background1"/>
            <w:vAlign w:val="center"/>
            <w:hideMark/>
          </w:tcPr>
          <w:p w14:paraId="17185CD2" w14:textId="77777777" w:rsidR="005E64D9" w:rsidRPr="00951AB1" w:rsidRDefault="005E64D9" w:rsidP="000A5389">
            <w:pPr>
              <w:spacing w:line="240" w:lineRule="auto"/>
              <w:jc w:val="center"/>
              <w:rPr>
                <w:rFonts w:eastAsia="Times New Roman" w:cs="Times New Roman"/>
                <w:b/>
                <w:bCs/>
                <w:color w:val="000000"/>
                <w:sz w:val="20"/>
                <w:szCs w:val="20"/>
                <w:lang w:eastAsia="es-CO"/>
              </w:rPr>
            </w:pPr>
            <w:r w:rsidRPr="00951AB1">
              <w:rPr>
                <w:rFonts w:eastAsia="Times New Roman" w:cs="Times New Roman"/>
                <w:b/>
                <w:bCs/>
                <w:color w:val="000000"/>
                <w:sz w:val="20"/>
                <w:szCs w:val="20"/>
                <w:lang w:eastAsia="es-CO"/>
              </w:rPr>
              <w:t>2025</w:t>
            </w:r>
          </w:p>
        </w:tc>
        <w:tc>
          <w:tcPr>
            <w:tcW w:w="883" w:type="pct"/>
            <w:tcBorders>
              <w:top w:val="single" w:sz="4" w:space="0" w:color="D0D0D0"/>
              <w:left w:val="nil"/>
              <w:bottom w:val="single" w:sz="4" w:space="0" w:color="D0D0D0"/>
              <w:right w:val="single" w:sz="4" w:space="0" w:color="D0D0D0"/>
            </w:tcBorders>
            <w:shd w:val="clear" w:color="auto" w:fill="FFFFFF" w:themeFill="background1"/>
            <w:vAlign w:val="center"/>
            <w:hideMark/>
          </w:tcPr>
          <w:p w14:paraId="1CAD9A77" w14:textId="77777777" w:rsidR="005E64D9" w:rsidRPr="00951AB1" w:rsidRDefault="005E64D9" w:rsidP="000A5389">
            <w:pPr>
              <w:spacing w:line="240" w:lineRule="auto"/>
              <w:jc w:val="center"/>
              <w:rPr>
                <w:rFonts w:eastAsia="Times New Roman" w:cs="Times New Roman"/>
                <w:b/>
                <w:bCs/>
                <w:color w:val="000000"/>
                <w:sz w:val="20"/>
                <w:szCs w:val="20"/>
                <w:lang w:eastAsia="es-CO"/>
              </w:rPr>
            </w:pPr>
            <w:r w:rsidRPr="00951AB1">
              <w:rPr>
                <w:rFonts w:eastAsia="Times New Roman" w:cs="Times New Roman"/>
                <w:b/>
                <w:bCs/>
                <w:color w:val="000000"/>
                <w:sz w:val="20"/>
                <w:szCs w:val="20"/>
                <w:lang w:eastAsia="es-CO"/>
              </w:rPr>
              <w:t>2024</w:t>
            </w:r>
          </w:p>
        </w:tc>
        <w:tc>
          <w:tcPr>
            <w:tcW w:w="828" w:type="pct"/>
            <w:tcBorders>
              <w:top w:val="single" w:sz="4" w:space="0" w:color="D0D0D0"/>
              <w:left w:val="nil"/>
              <w:bottom w:val="single" w:sz="4" w:space="0" w:color="D0D0D0"/>
              <w:right w:val="single" w:sz="4" w:space="0" w:color="D0D0D0"/>
            </w:tcBorders>
            <w:shd w:val="clear" w:color="auto" w:fill="FFFFFF" w:themeFill="background1"/>
            <w:vAlign w:val="center"/>
            <w:hideMark/>
          </w:tcPr>
          <w:p w14:paraId="4B0B8738" w14:textId="77777777" w:rsidR="005E64D9" w:rsidRPr="00951AB1" w:rsidRDefault="005E64D9" w:rsidP="000A5389">
            <w:pPr>
              <w:spacing w:line="240" w:lineRule="auto"/>
              <w:jc w:val="center"/>
              <w:rPr>
                <w:rFonts w:eastAsia="Times New Roman" w:cs="Times New Roman"/>
                <w:b/>
                <w:bCs/>
                <w:color w:val="000000"/>
                <w:sz w:val="20"/>
                <w:szCs w:val="20"/>
                <w:lang w:eastAsia="es-CO"/>
              </w:rPr>
            </w:pPr>
            <w:r w:rsidRPr="00951AB1">
              <w:rPr>
                <w:rFonts w:eastAsia="Times New Roman" w:cs="Times New Roman"/>
                <w:b/>
                <w:bCs/>
                <w:color w:val="000000"/>
                <w:sz w:val="20"/>
                <w:szCs w:val="20"/>
                <w:lang w:eastAsia="es-CO"/>
              </w:rPr>
              <w:t>VARIACION</w:t>
            </w:r>
          </w:p>
        </w:tc>
      </w:tr>
      <w:tr w:rsidR="005E64D9" w:rsidRPr="00951AB1" w14:paraId="1A376DCB" w14:textId="77777777" w:rsidTr="008567AA">
        <w:trPr>
          <w:trHeight w:val="300"/>
        </w:trPr>
        <w:tc>
          <w:tcPr>
            <w:tcW w:w="2486" w:type="pct"/>
            <w:tcBorders>
              <w:top w:val="nil"/>
              <w:left w:val="single" w:sz="4" w:space="0" w:color="D0D0D0"/>
              <w:bottom w:val="single" w:sz="4" w:space="0" w:color="D0D0D0"/>
              <w:right w:val="single" w:sz="4" w:space="0" w:color="D0D0D0"/>
            </w:tcBorders>
            <w:shd w:val="clear" w:color="auto" w:fill="FFFFFF" w:themeFill="background1"/>
            <w:vAlign w:val="center"/>
            <w:hideMark/>
          </w:tcPr>
          <w:p w14:paraId="416999BA" w14:textId="77777777" w:rsidR="005E64D9" w:rsidRPr="00951AB1" w:rsidRDefault="005E64D9" w:rsidP="000A5389">
            <w:pPr>
              <w:spacing w:line="240" w:lineRule="auto"/>
              <w:rPr>
                <w:rFonts w:eastAsia="Times New Roman" w:cs="Times New Roman"/>
                <w:color w:val="000000"/>
                <w:sz w:val="20"/>
                <w:szCs w:val="20"/>
                <w:lang w:eastAsia="es-CO"/>
              </w:rPr>
            </w:pPr>
            <w:r w:rsidRPr="00951AB1">
              <w:rPr>
                <w:rFonts w:cs="Times New Roman"/>
                <w:color w:val="000000"/>
                <w:sz w:val="20"/>
                <w:szCs w:val="20"/>
              </w:rPr>
              <w:t>Drummond LTDA</w:t>
            </w:r>
          </w:p>
        </w:tc>
        <w:tc>
          <w:tcPr>
            <w:tcW w:w="803" w:type="pct"/>
            <w:tcBorders>
              <w:top w:val="nil"/>
              <w:left w:val="nil"/>
              <w:bottom w:val="single" w:sz="4" w:space="0" w:color="D0D0D0"/>
              <w:right w:val="single" w:sz="4" w:space="0" w:color="D0D0D0"/>
            </w:tcBorders>
            <w:shd w:val="clear" w:color="auto" w:fill="FFFFFF" w:themeFill="background1"/>
            <w:vAlign w:val="center"/>
            <w:hideMark/>
          </w:tcPr>
          <w:p w14:paraId="0B3B5B00" w14:textId="77777777" w:rsidR="005E64D9" w:rsidRPr="00951AB1" w:rsidRDefault="005E64D9" w:rsidP="000A5389">
            <w:pPr>
              <w:spacing w:line="240" w:lineRule="auto"/>
              <w:jc w:val="right"/>
              <w:rPr>
                <w:rFonts w:eastAsia="Times New Roman" w:cs="Times New Roman"/>
                <w:color w:val="000000"/>
                <w:sz w:val="20"/>
                <w:szCs w:val="20"/>
                <w:lang w:eastAsia="es-CO"/>
              </w:rPr>
            </w:pPr>
            <w:r w:rsidRPr="00951AB1">
              <w:rPr>
                <w:rFonts w:cs="Times New Roman"/>
                <w:color w:val="000000"/>
                <w:sz w:val="20"/>
                <w:szCs w:val="20"/>
              </w:rPr>
              <w:t>13.873.722.086</w:t>
            </w:r>
          </w:p>
        </w:tc>
        <w:tc>
          <w:tcPr>
            <w:tcW w:w="883" w:type="pct"/>
            <w:tcBorders>
              <w:top w:val="nil"/>
              <w:left w:val="nil"/>
              <w:bottom w:val="single" w:sz="4" w:space="0" w:color="D0D0D0"/>
              <w:right w:val="single" w:sz="4" w:space="0" w:color="D0D0D0"/>
            </w:tcBorders>
            <w:shd w:val="clear" w:color="auto" w:fill="FFFFFF" w:themeFill="background1"/>
            <w:vAlign w:val="center"/>
            <w:hideMark/>
          </w:tcPr>
          <w:p w14:paraId="7F1ECE16" w14:textId="77777777" w:rsidR="005E64D9" w:rsidRPr="00951AB1" w:rsidRDefault="005E64D9" w:rsidP="000A5389">
            <w:pPr>
              <w:spacing w:line="240" w:lineRule="auto"/>
              <w:jc w:val="right"/>
              <w:rPr>
                <w:rFonts w:eastAsia="Times New Roman" w:cs="Times New Roman"/>
                <w:color w:val="000000"/>
                <w:sz w:val="20"/>
                <w:szCs w:val="20"/>
                <w:lang w:eastAsia="es-CO"/>
              </w:rPr>
            </w:pPr>
            <w:r w:rsidRPr="00951AB1">
              <w:rPr>
                <w:rFonts w:cs="Times New Roman"/>
                <w:color w:val="000000"/>
                <w:sz w:val="20"/>
                <w:szCs w:val="20"/>
              </w:rPr>
              <w:t>18.397.056.403</w:t>
            </w:r>
          </w:p>
        </w:tc>
        <w:tc>
          <w:tcPr>
            <w:tcW w:w="828" w:type="pct"/>
            <w:tcBorders>
              <w:top w:val="nil"/>
              <w:left w:val="nil"/>
              <w:bottom w:val="single" w:sz="4" w:space="0" w:color="D0D0D0"/>
              <w:right w:val="single" w:sz="4" w:space="0" w:color="D0D0D0"/>
            </w:tcBorders>
            <w:shd w:val="clear" w:color="auto" w:fill="FFFFFF" w:themeFill="background1"/>
            <w:vAlign w:val="center"/>
            <w:hideMark/>
          </w:tcPr>
          <w:p w14:paraId="5BD51FF2" w14:textId="77777777" w:rsidR="005E64D9" w:rsidRPr="00951AB1" w:rsidRDefault="005E64D9" w:rsidP="000A5389">
            <w:pPr>
              <w:spacing w:line="240" w:lineRule="auto"/>
              <w:jc w:val="right"/>
              <w:rPr>
                <w:rFonts w:eastAsia="Times New Roman" w:cs="Times New Roman"/>
                <w:color w:val="000000"/>
                <w:sz w:val="20"/>
                <w:szCs w:val="20"/>
                <w:lang w:eastAsia="es-CO"/>
              </w:rPr>
            </w:pPr>
            <w:r w:rsidRPr="00951AB1">
              <w:rPr>
                <w:rFonts w:cs="Times New Roman"/>
                <w:color w:val="000000"/>
                <w:sz w:val="20"/>
                <w:szCs w:val="20"/>
              </w:rPr>
              <w:t>-4.523.334.317</w:t>
            </w:r>
          </w:p>
        </w:tc>
      </w:tr>
      <w:tr w:rsidR="005E64D9" w:rsidRPr="00951AB1" w14:paraId="475DBD67" w14:textId="77777777" w:rsidTr="008567AA">
        <w:trPr>
          <w:trHeight w:val="300"/>
        </w:trPr>
        <w:tc>
          <w:tcPr>
            <w:tcW w:w="2486" w:type="pct"/>
            <w:tcBorders>
              <w:top w:val="nil"/>
              <w:left w:val="single" w:sz="4" w:space="0" w:color="D0D0D0"/>
              <w:bottom w:val="single" w:sz="4" w:space="0" w:color="D0D0D0"/>
              <w:right w:val="single" w:sz="4" w:space="0" w:color="D0D0D0"/>
            </w:tcBorders>
            <w:shd w:val="clear" w:color="auto" w:fill="FFFFFF" w:themeFill="background1"/>
            <w:vAlign w:val="center"/>
            <w:hideMark/>
          </w:tcPr>
          <w:p w14:paraId="5B7BC748" w14:textId="40DEF064" w:rsidR="005E64D9" w:rsidRPr="00951AB1" w:rsidRDefault="005E64D9" w:rsidP="000A5389">
            <w:pPr>
              <w:spacing w:line="240" w:lineRule="auto"/>
              <w:rPr>
                <w:rFonts w:eastAsia="Times New Roman" w:cs="Times New Roman"/>
                <w:color w:val="000000"/>
                <w:sz w:val="20"/>
                <w:szCs w:val="20"/>
                <w:lang w:eastAsia="es-CO"/>
              </w:rPr>
            </w:pPr>
            <w:r w:rsidRPr="00951AB1">
              <w:rPr>
                <w:rFonts w:cs="Times New Roman"/>
                <w:color w:val="000000"/>
                <w:sz w:val="20"/>
                <w:szCs w:val="20"/>
              </w:rPr>
              <w:t>Transporte</w:t>
            </w:r>
            <w:r w:rsidR="006304F4">
              <w:rPr>
                <w:rFonts w:cs="Times New Roman"/>
                <w:color w:val="000000"/>
                <w:sz w:val="20"/>
                <w:szCs w:val="20"/>
              </w:rPr>
              <w:t xml:space="preserve"> </w:t>
            </w:r>
            <w:r w:rsidRPr="00951AB1">
              <w:rPr>
                <w:rFonts w:cs="Times New Roman"/>
                <w:color w:val="000000"/>
                <w:sz w:val="20"/>
                <w:szCs w:val="20"/>
              </w:rPr>
              <w:t>Ferroportuario De Colombia - Transferport S.A.S</w:t>
            </w:r>
          </w:p>
        </w:tc>
        <w:tc>
          <w:tcPr>
            <w:tcW w:w="803" w:type="pct"/>
            <w:tcBorders>
              <w:top w:val="nil"/>
              <w:left w:val="nil"/>
              <w:bottom w:val="single" w:sz="4" w:space="0" w:color="D0D0D0"/>
              <w:right w:val="single" w:sz="4" w:space="0" w:color="D0D0D0"/>
            </w:tcBorders>
            <w:shd w:val="clear" w:color="auto" w:fill="FFFFFF" w:themeFill="background1"/>
            <w:vAlign w:val="center"/>
            <w:hideMark/>
          </w:tcPr>
          <w:p w14:paraId="3698FA63" w14:textId="77777777" w:rsidR="005E64D9" w:rsidRPr="00951AB1" w:rsidRDefault="005E64D9" w:rsidP="000A5389">
            <w:pPr>
              <w:spacing w:line="240" w:lineRule="auto"/>
              <w:jc w:val="right"/>
              <w:rPr>
                <w:rFonts w:eastAsia="Times New Roman" w:cs="Times New Roman"/>
                <w:color w:val="000000"/>
                <w:sz w:val="20"/>
                <w:szCs w:val="20"/>
                <w:lang w:eastAsia="es-CO"/>
              </w:rPr>
            </w:pPr>
            <w:r w:rsidRPr="00951AB1">
              <w:rPr>
                <w:rFonts w:cs="Times New Roman"/>
                <w:color w:val="000000"/>
                <w:sz w:val="20"/>
                <w:szCs w:val="20"/>
              </w:rPr>
              <w:t>1.075.314.172</w:t>
            </w:r>
          </w:p>
        </w:tc>
        <w:tc>
          <w:tcPr>
            <w:tcW w:w="883" w:type="pct"/>
            <w:tcBorders>
              <w:top w:val="nil"/>
              <w:left w:val="nil"/>
              <w:bottom w:val="single" w:sz="4" w:space="0" w:color="D0D0D0"/>
              <w:right w:val="single" w:sz="4" w:space="0" w:color="D0D0D0"/>
            </w:tcBorders>
            <w:shd w:val="clear" w:color="auto" w:fill="FFFFFF" w:themeFill="background1"/>
            <w:vAlign w:val="center"/>
            <w:hideMark/>
          </w:tcPr>
          <w:p w14:paraId="25CA6AA7" w14:textId="77777777" w:rsidR="005E64D9" w:rsidRPr="00951AB1" w:rsidRDefault="005E64D9" w:rsidP="000A5389">
            <w:pPr>
              <w:spacing w:line="240" w:lineRule="auto"/>
              <w:jc w:val="right"/>
              <w:rPr>
                <w:rFonts w:eastAsia="Times New Roman" w:cs="Times New Roman"/>
                <w:color w:val="000000"/>
                <w:sz w:val="20"/>
                <w:szCs w:val="20"/>
                <w:lang w:eastAsia="es-CO"/>
              </w:rPr>
            </w:pPr>
            <w:r w:rsidRPr="00951AB1">
              <w:rPr>
                <w:rFonts w:cs="Times New Roman"/>
                <w:color w:val="000000"/>
                <w:sz w:val="20"/>
                <w:szCs w:val="20"/>
              </w:rPr>
              <w:t>233.811.462</w:t>
            </w:r>
          </w:p>
        </w:tc>
        <w:tc>
          <w:tcPr>
            <w:tcW w:w="828" w:type="pct"/>
            <w:tcBorders>
              <w:top w:val="nil"/>
              <w:left w:val="nil"/>
              <w:bottom w:val="single" w:sz="4" w:space="0" w:color="D0D0D0"/>
              <w:right w:val="single" w:sz="4" w:space="0" w:color="D0D0D0"/>
            </w:tcBorders>
            <w:shd w:val="clear" w:color="auto" w:fill="FFFFFF" w:themeFill="background1"/>
            <w:vAlign w:val="center"/>
            <w:hideMark/>
          </w:tcPr>
          <w:p w14:paraId="616A5578" w14:textId="77777777" w:rsidR="005E64D9" w:rsidRPr="00951AB1" w:rsidRDefault="005E64D9" w:rsidP="000A5389">
            <w:pPr>
              <w:spacing w:line="240" w:lineRule="auto"/>
              <w:jc w:val="right"/>
              <w:rPr>
                <w:rFonts w:eastAsia="Times New Roman" w:cs="Times New Roman"/>
                <w:color w:val="000000"/>
                <w:sz w:val="20"/>
                <w:szCs w:val="20"/>
                <w:lang w:eastAsia="es-CO"/>
              </w:rPr>
            </w:pPr>
            <w:r w:rsidRPr="00951AB1">
              <w:rPr>
                <w:rFonts w:cs="Times New Roman"/>
                <w:color w:val="000000"/>
                <w:sz w:val="20"/>
                <w:szCs w:val="20"/>
              </w:rPr>
              <w:t>841.502.710</w:t>
            </w:r>
          </w:p>
        </w:tc>
      </w:tr>
      <w:tr w:rsidR="005E64D9" w:rsidRPr="00951AB1" w14:paraId="193C7FD9" w14:textId="77777777" w:rsidTr="008567AA">
        <w:trPr>
          <w:trHeight w:val="480"/>
        </w:trPr>
        <w:tc>
          <w:tcPr>
            <w:tcW w:w="2486" w:type="pct"/>
            <w:tcBorders>
              <w:top w:val="nil"/>
              <w:left w:val="single" w:sz="4" w:space="0" w:color="D0D0D0"/>
              <w:bottom w:val="single" w:sz="4" w:space="0" w:color="D0D0D0"/>
              <w:right w:val="single" w:sz="4" w:space="0" w:color="D0D0D0"/>
            </w:tcBorders>
            <w:shd w:val="clear" w:color="auto" w:fill="FFFFFF" w:themeFill="background1"/>
            <w:vAlign w:val="center"/>
            <w:hideMark/>
          </w:tcPr>
          <w:p w14:paraId="7237E5F7" w14:textId="77777777" w:rsidR="005E64D9" w:rsidRPr="00951AB1" w:rsidRDefault="005E64D9" w:rsidP="000A5389">
            <w:pPr>
              <w:spacing w:line="240" w:lineRule="auto"/>
              <w:rPr>
                <w:rFonts w:eastAsia="Times New Roman" w:cs="Times New Roman"/>
                <w:color w:val="000000"/>
                <w:sz w:val="20"/>
                <w:szCs w:val="20"/>
                <w:lang w:eastAsia="es-CO"/>
              </w:rPr>
            </w:pPr>
            <w:r w:rsidRPr="00951AB1">
              <w:rPr>
                <w:rFonts w:cs="Times New Roman"/>
                <w:color w:val="000000"/>
                <w:sz w:val="20"/>
                <w:szCs w:val="20"/>
              </w:rPr>
              <w:t>C.I. Prodeco S.A.</w:t>
            </w:r>
          </w:p>
        </w:tc>
        <w:tc>
          <w:tcPr>
            <w:tcW w:w="803" w:type="pct"/>
            <w:tcBorders>
              <w:top w:val="nil"/>
              <w:left w:val="nil"/>
              <w:bottom w:val="single" w:sz="4" w:space="0" w:color="D0D0D0"/>
              <w:right w:val="single" w:sz="4" w:space="0" w:color="D0D0D0"/>
            </w:tcBorders>
            <w:shd w:val="clear" w:color="auto" w:fill="FFFFFF" w:themeFill="background1"/>
            <w:vAlign w:val="center"/>
            <w:hideMark/>
          </w:tcPr>
          <w:p w14:paraId="657E34DB" w14:textId="77777777" w:rsidR="005E64D9" w:rsidRPr="00951AB1" w:rsidRDefault="005E64D9" w:rsidP="000A5389">
            <w:pPr>
              <w:spacing w:line="240" w:lineRule="auto"/>
              <w:jc w:val="right"/>
              <w:rPr>
                <w:rFonts w:eastAsia="Times New Roman" w:cs="Times New Roman"/>
                <w:color w:val="000000"/>
                <w:sz w:val="20"/>
                <w:szCs w:val="20"/>
                <w:lang w:eastAsia="es-CO"/>
              </w:rPr>
            </w:pPr>
            <w:r w:rsidRPr="00951AB1">
              <w:rPr>
                <w:rFonts w:cs="Times New Roman"/>
                <w:color w:val="000000"/>
                <w:sz w:val="20"/>
                <w:szCs w:val="20"/>
              </w:rPr>
              <w:t>926.099.782</w:t>
            </w:r>
          </w:p>
        </w:tc>
        <w:tc>
          <w:tcPr>
            <w:tcW w:w="883" w:type="pct"/>
            <w:tcBorders>
              <w:top w:val="nil"/>
              <w:left w:val="nil"/>
              <w:bottom w:val="single" w:sz="4" w:space="0" w:color="D0D0D0"/>
              <w:right w:val="single" w:sz="4" w:space="0" w:color="D0D0D0"/>
            </w:tcBorders>
            <w:shd w:val="clear" w:color="auto" w:fill="FFFFFF" w:themeFill="background1"/>
            <w:vAlign w:val="center"/>
            <w:hideMark/>
          </w:tcPr>
          <w:p w14:paraId="35BEA6C7" w14:textId="77777777" w:rsidR="005E64D9" w:rsidRPr="00951AB1" w:rsidRDefault="005E64D9" w:rsidP="000A5389">
            <w:pPr>
              <w:spacing w:line="240" w:lineRule="auto"/>
              <w:jc w:val="right"/>
              <w:rPr>
                <w:rFonts w:eastAsia="Times New Roman" w:cs="Times New Roman"/>
                <w:color w:val="000000"/>
                <w:sz w:val="20"/>
                <w:szCs w:val="20"/>
                <w:lang w:eastAsia="es-CO"/>
              </w:rPr>
            </w:pPr>
            <w:r w:rsidRPr="00951AB1">
              <w:rPr>
                <w:rFonts w:cs="Times New Roman"/>
                <w:color w:val="000000"/>
                <w:sz w:val="20"/>
                <w:szCs w:val="20"/>
              </w:rPr>
              <w:t>1.598.351.840</w:t>
            </w:r>
          </w:p>
        </w:tc>
        <w:tc>
          <w:tcPr>
            <w:tcW w:w="828" w:type="pct"/>
            <w:tcBorders>
              <w:top w:val="nil"/>
              <w:left w:val="nil"/>
              <w:bottom w:val="single" w:sz="4" w:space="0" w:color="D0D0D0"/>
              <w:right w:val="single" w:sz="4" w:space="0" w:color="D0D0D0"/>
            </w:tcBorders>
            <w:shd w:val="clear" w:color="auto" w:fill="FFFFFF" w:themeFill="background1"/>
            <w:vAlign w:val="center"/>
            <w:hideMark/>
          </w:tcPr>
          <w:p w14:paraId="6E10E560" w14:textId="77777777" w:rsidR="005E64D9" w:rsidRPr="00951AB1" w:rsidRDefault="005E64D9" w:rsidP="000A5389">
            <w:pPr>
              <w:spacing w:line="240" w:lineRule="auto"/>
              <w:jc w:val="right"/>
              <w:rPr>
                <w:rFonts w:eastAsia="Times New Roman" w:cs="Times New Roman"/>
                <w:color w:val="000000"/>
                <w:sz w:val="20"/>
                <w:szCs w:val="20"/>
                <w:lang w:eastAsia="es-CO"/>
              </w:rPr>
            </w:pPr>
            <w:r w:rsidRPr="00951AB1">
              <w:rPr>
                <w:rFonts w:cs="Times New Roman"/>
                <w:color w:val="000000"/>
                <w:sz w:val="20"/>
                <w:szCs w:val="20"/>
              </w:rPr>
              <w:t>-672.252.058</w:t>
            </w:r>
          </w:p>
        </w:tc>
      </w:tr>
      <w:tr w:rsidR="005E64D9" w:rsidRPr="00951AB1" w14:paraId="1B90E206" w14:textId="77777777" w:rsidTr="008567AA">
        <w:trPr>
          <w:trHeight w:val="300"/>
        </w:trPr>
        <w:tc>
          <w:tcPr>
            <w:tcW w:w="2486" w:type="pct"/>
            <w:tcBorders>
              <w:top w:val="nil"/>
              <w:left w:val="single" w:sz="4" w:space="0" w:color="D0D0D0"/>
              <w:bottom w:val="single" w:sz="4" w:space="0" w:color="D0D0D0"/>
              <w:right w:val="single" w:sz="4" w:space="0" w:color="D0D0D0"/>
            </w:tcBorders>
            <w:shd w:val="clear" w:color="auto" w:fill="FFFFFF" w:themeFill="background1"/>
            <w:vAlign w:val="center"/>
            <w:hideMark/>
          </w:tcPr>
          <w:p w14:paraId="410177EE" w14:textId="77777777" w:rsidR="005E64D9" w:rsidRPr="00951AB1" w:rsidRDefault="005E64D9" w:rsidP="000A5389">
            <w:pPr>
              <w:spacing w:line="240" w:lineRule="auto"/>
              <w:rPr>
                <w:rFonts w:eastAsia="Times New Roman" w:cs="Times New Roman"/>
                <w:color w:val="000000"/>
                <w:sz w:val="20"/>
                <w:szCs w:val="20"/>
                <w:lang w:eastAsia="es-CO"/>
              </w:rPr>
            </w:pPr>
            <w:r w:rsidRPr="00951AB1">
              <w:rPr>
                <w:rFonts w:cs="Times New Roman"/>
                <w:color w:val="000000"/>
                <w:sz w:val="20"/>
                <w:szCs w:val="20"/>
              </w:rPr>
              <w:t>Consorcio Ferreobelen C&amp;E</w:t>
            </w:r>
          </w:p>
        </w:tc>
        <w:tc>
          <w:tcPr>
            <w:tcW w:w="803" w:type="pct"/>
            <w:tcBorders>
              <w:top w:val="nil"/>
              <w:left w:val="nil"/>
              <w:bottom w:val="single" w:sz="4" w:space="0" w:color="D0D0D0"/>
              <w:right w:val="single" w:sz="4" w:space="0" w:color="D0D0D0"/>
            </w:tcBorders>
            <w:shd w:val="clear" w:color="auto" w:fill="FFFFFF" w:themeFill="background1"/>
            <w:vAlign w:val="center"/>
            <w:hideMark/>
          </w:tcPr>
          <w:p w14:paraId="7062C5F7" w14:textId="77777777" w:rsidR="005E64D9" w:rsidRPr="00951AB1" w:rsidRDefault="005E64D9" w:rsidP="000A5389">
            <w:pPr>
              <w:spacing w:line="240" w:lineRule="auto"/>
              <w:jc w:val="right"/>
              <w:rPr>
                <w:rFonts w:eastAsia="Times New Roman" w:cs="Times New Roman"/>
                <w:color w:val="000000"/>
                <w:sz w:val="20"/>
                <w:szCs w:val="20"/>
                <w:lang w:eastAsia="es-CO"/>
              </w:rPr>
            </w:pPr>
            <w:r w:rsidRPr="00951AB1">
              <w:rPr>
                <w:rFonts w:cs="Times New Roman"/>
                <w:color w:val="000000"/>
                <w:sz w:val="20"/>
                <w:szCs w:val="20"/>
              </w:rPr>
              <w:t>22.367.794</w:t>
            </w:r>
          </w:p>
        </w:tc>
        <w:tc>
          <w:tcPr>
            <w:tcW w:w="883" w:type="pct"/>
            <w:tcBorders>
              <w:top w:val="nil"/>
              <w:left w:val="nil"/>
              <w:bottom w:val="single" w:sz="4" w:space="0" w:color="D0D0D0"/>
              <w:right w:val="single" w:sz="4" w:space="0" w:color="D0D0D0"/>
            </w:tcBorders>
            <w:shd w:val="clear" w:color="auto" w:fill="FFFFFF" w:themeFill="background1"/>
            <w:vAlign w:val="center"/>
            <w:hideMark/>
          </w:tcPr>
          <w:p w14:paraId="18519323" w14:textId="77777777" w:rsidR="005E64D9" w:rsidRPr="00951AB1" w:rsidRDefault="005E64D9" w:rsidP="000A5389">
            <w:pPr>
              <w:spacing w:line="240" w:lineRule="auto"/>
              <w:jc w:val="right"/>
              <w:rPr>
                <w:rFonts w:eastAsia="Times New Roman" w:cs="Times New Roman"/>
                <w:color w:val="000000"/>
                <w:sz w:val="20"/>
                <w:szCs w:val="20"/>
                <w:lang w:eastAsia="es-CO"/>
              </w:rPr>
            </w:pPr>
            <w:r w:rsidRPr="00951AB1">
              <w:rPr>
                <w:rFonts w:cs="Times New Roman"/>
                <w:color w:val="000000"/>
                <w:sz w:val="20"/>
                <w:szCs w:val="20"/>
              </w:rPr>
              <w:t>0</w:t>
            </w:r>
          </w:p>
        </w:tc>
        <w:tc>
          <w:tcPr>
            <w:tcW w:w="828" w:type="pct"/>
            <w:tcBorders>
              <w:top w:val="nil"/>
              <w:left w:val="nil"/>
              <w:bottom w:val="single" w:sz="4" w:space="0" w:color="D0D0D0"/>
              <w:right w:val="single" w:sz="4" w:space="0" w:color="D0D0D0"/>
            </w:tcBorders>
            <w:shd w:val="clear" w:color="auto" w:fill="FFFFFF" w:themeFill="background1"/>
            <w:vAlign w:val="center"/>
            <w:hideMark/>
          </w:tcPr>
          <w:p w14:paraId="0C8669AE" w14:textId="77777777" w:rsidR="005E64D9" w:rsidRPr="00951AB1" w:rsidRDefault="005E64D9" w:rsidP="000A5389">
            <w:pPr>
              <w:spacing w:line="240" w:lineRule="auto"/>
              <w:jc w:val="right"/>
              <w:rPr>
                <w:rFonts w:eastAsia="Times New Roman" w:cs="Times New Roman"/>
                <w:color w:val="000000"/>
                <w:sz w:val="20"/>
                <w:szCs w:val="20"/>
                <w:lang w:eastAsia="es-CO"/>
              </w:rPr>
            </w:pPr>
            <w:r w:rsidRPr="00951AB1">
              <w:rPr>
                <w:rFonts w:cs="Times New Roman"/>
                <w:color w:val="000000"/>
                <w:sz w:val="20"/>
                <w:szCs w:val="20"/>
              </w:rPr>
              <w:t>22.367.794</w:t>
            </w:r>
          </w:p>
        </w:tc>
      </w:tr>
      <w:tr w:rsidR="005E64D9" w:rsidRPr="00951AB1" w14:paraId="35B3B029" w14:textId="77777777" w:rsidTr="008567AA">
        <w:trPr>
          <w:trHeight w:val="300"/>
        </w:trPr>
        <w:tc>
          <w:tcPr>
            <w:tcW w:w="2486" w:type="pct"/>
            <w:tcBorders>
              <w:top w:val="nil"/>
              <w:left w:val="single" w:sz="4" w:space="0" w:color="D0D0D0"/>
              <w:bottom w:val="single" w:sz="4" w:space="0" w:color="D0D0D0"/>
              <w:right w:val="single" w:sz="4" w:space="0" w:color="D0D0D0"/>
            </w:tcBorders>
            <w:shd w:val="clear" w:color="auto" w:fill="FFFFFF" w:themeFill="background1"/>
            <w:vAlign w:val="center"/>
            <w:hideMark/>
          </w:tcPr>
          <w:p w14:paraId="203BC14B" w14:textId="77777777" w:rsidR="005E64D9" w:rsidRPr="00951AB1" w:rsidRDefault="005E64D9" w:rsidP="000A5389">
            <w:pPr>
              <w:spacing w:line="240" w:lineRule="auto"/>
              <w:rPr>
                <w:rFonts w:eastAsia="Times New Roman" w:cs="Times New Roman"/>
                <w:color w:val="000000"/>
                <w:sz w:val="20"/>
                <w:szCs w:val="20"/>
                <w:lang w:eastAsia="es-CO"/>
              </w:rPr>
            </w:pPr>
            <w:r w:rsidRPr="00951AB1">
              <w:rPr>
                <w:rFonts w:cs="Times New Roman"/>
                <w:color w:val="000000"/>
                <w:sz w:val="20"/>
                <w:szCs w:val="20"/>
              </w:rPr>
              <w:t>Consorcio CTSA Integral</w:t>
            </w:r>
          </w:p>
        </w:tc>
        <w:tc>
          <w:tcPr>
            <w:tcW w:w="803" w:type="pct"/>
            <w:tcBorders>
              <w:top w:val="nil"/>
              <w:left w:val="nil"/>
              <w:bottom w:val="single" w:sz="4" w:space="0" w:color="D0D0D0"/>
              <w:right w:val="single" w:sz="4" w:space="0" w:color="D0D0D0"/>
            </w:tcBorders>
            <w:shd w:val="clear" w:color="auto" w:fill="FFFFFF" w:themeFill="background1"/>
            <w:vAlign w:val="center"/>
            <w:hideMark/>
          </w:tcPr>
          <w:p w14:paraId="2F732E2B" w14:textId="77777777" w:rsidR="005E64D9" w:rsidRPr="00951AB1" w:rsidRDefault="005E64D9" w:rsidP="000A5389">
            <w:pPr>
              <w:spacing w:line="240" w:lineRule="auto"/>
              <w:jc w:val="right"/>
              <w:rPr>
                <w:rFonts w:eastAsia="Times New Roman" w:cs="Times New Roman"/>
                <w:color w:val="000000"/>
                <w:sz w:val="20"/>
                <w:szCs w:val="20"/>
                <w:lang w:eastAsia="es-CO"/>
              </w:rPr>
            </w:pPr>
            <w:r w:rsidRPr="00951AB1">
              <w:rPr>
                <w:rFonts w:cs="Times New Roman"/>
                <w:color w:val="000000"/>
                <w:sz w:val="20"/>
                <w:szCs w:val="20"/>
              </w:rPr>
              <w:t>5.754.669</w:t>
            </w:r>
          </w:p>
        </w:tc>
        <w:tc>
          <w:tcPr>
            <w:tcW w:w="883" w:type="pct"/>
            <w:tcBorders>
              <w:top w:val="nil"/>
              <w:left w:val="nil"/>
              <w:bottom w:val="single" w:sz="4" w:space="0" w:color="D0D0D0"/>
              <w:right w:val="single" w:sz="4" w:space="0" w:color="D0D0D0"/>
            </w:tcBorders>
            <w:shd w:val="clear" w:color="auto" w:fill="FFFFFF" w:themeFill="background1"/>
            <w:vAlign w:val="center"/>
            <w:hideMark/>
          </w:tcPr>
          <w:p w14:paraId="70BEEBE1" w14:textId="77777777" w:rsidR="005E64D9" w:rsidRPr="00951AB1" w:rsidRDefault="005E64D9" w:rsidP="000A5389">
            <w:pPr>
              <w:spacing w:line="240" w:lineRule="auto"/>
              <w:jc w:val="right"/>
              <w:rPr>
                <w:rFonts w:eastAsia="Times New Roman" w:cs="Times New Roman"/>
                <w:color w:val="000000"/>
                <w:sz w:val="20"/>
                <w:szCs w:val="20"/>
                <w:lang w:eastAsia="es-CO"/>
              </w:rPr>
            </w:pPr>
            <w:r w:rsidRPr="00951AB1">
              <w:rPr>
                <w:rFonts w:cs="Times New Roman"/>
                <w:color w:val="000000"/>
                <w:sz w:val="20"/>
                <w:szCs w:val="20"/>
              </w:rPr>
              <w:t>132.982.596</w:t>
            </w:r>
          </w:p>
        </w:tc>
        <w:tc>
          <w:tcPr>
            <w:tcW w:w="828" w:type="pct"/>
            <w:tcBorders>
              <w:top w:val="nil"/>
              <w:left w:val="nil"/>
              <w:bottom w:val="single" w:sz="4" w:space="0" w:color="D0D0D0"/>
              <w:right w:val="single" w:sz="4" w:space="0" w:color="D0D0D0"/>
            </w:tcBorders>
            <w:shd w:val="clear" w:color="auto" w:fill="FFFFFF" w:themeFill="background1"/>
            <w:vAlign w:val="center"/>
            <w:hideMark/>
          </w:tcPr>
          <w:p w14:paraId="676C02C8" w14:textId="77777777" w:rsidR="005E64D9" w:rsidRPr="00951AB1" w:rsidRDefault="005E64D9" w:rsidP="000A5389">
            <w:pPr>
              <w:spacing w:line="240" w:lineRule="auto"/>
              <w:jc w:val="right"/>
              <w:rPr>
                <w:rFonts w:eastAsia="Times New Roman" w:cs="Times New Roman"/>
                <w:color w:val="000000"/>
                <w:sz w:val="20"/>
                <w:szCs w:val="20"/>
                <w:lang w:eastAsia="es-CO"/>
              </w:rPr>
            </w:pPr>
            <w:r w:rsidRPr="00951AB1">
              <w:rPr>
                <w:rFonts w:cs="Times New Roman"/>
                <w:color w:val="000000"/>
                <w:sz w:val="20"/>
                <w:szCs w:val="20"/>
              </w:rPr>
              <w:t>-127.227.927</w:t>
            </w:r>
          </w:p>
        </w:tc>
      </w:tr>
      <w:tr w:rsidR="005E64D9" w:rsidRPr="00951AB1" w14:paraId="4B38B20B" w14:textId="77777777" w:rsidTr="008567AA">
        <w:trPr>
          <w:trHeight w:val="300"/>
        </w:trPr>
        <w:tc>
          <w:tcPr>
            <w:tcW w:w="2486" w:type="pct"/>
            <w:tcBorders>
              <w:top w:val="nil"/>
              <w:left w:val="single" w:sz="4" w:space="0" w:color="D0D0D0"/>
              <w:bottom w:val="single" w:sz="4" w:space="0" w:color="D0D0D0"/>
              <w:right w:val="single" w:sz="4" w:space="0" w:color="D0D0D0"/>
            </w:tcBorders>
            <w:shd w:val="clear" w:color="auto" w:fill="FFFFFF" w:themeFill="background1"/>
            <w:vAlign w:val="center"/>
          </w:tcPr>
          <w:p w14:paraId="4979F840" w14:textId="77777777" w:rsidR="005E64D9" w:rsidRPr="00951AB1" w:rsidRDefault="005E64D9" w:rsidP="000A5389">
            <w:pPr>
              <w:spacing w:line="240" w:lineRule="auto"/>
              <w:rPr>
                <w:rFonts w:eastAsia="Times New Roman" w:cs="Times New Roman"/>
                <w:color w:val="000000"/>
                <w:sz w:val="20"/>
                <w:szCs w:val="20"/>
                <w:lang w:eastAsia="es-CO"/>
              </w:rPr>
            </w:pPr>
            <w:r w:rsidRPr="00951AB1">
              <w:rPr>
                <w:rFonts w:cs="Times New Roman"/>
                <w:color w:val="000000"/>
                <w:sz w:val="20"/>
                <w:szCs w:val="20"/>
              </w:rPr>
              <w:t>Consorcio San Felipe Férreo</w:t>
            </w:r>
          </w:p>
        </w:tc>
        <w:tc>
          <w:tcPr>
            <w:tcW w:w="803" w:type="pct"/>
            <w:tcBorders>
              <w:top w:val="nil"/>
              <w:left w:val="nil"/>
              <w:bottom w:val="single" w:sz="4" w:space="0" w:color="D0D0D0"/>
              <w:right w:val="single" w:sz="4" w:space="0" w:color="D0D0D0"/>
            </w:tcBorders>
            <w:shd w:val="clear" w:color="auto" w:fill="FFFFFF" w:themeFill="background1"/>
            <w:vAlign w:val="center"/>
          </w:tcPr>
          <w:p w14:paraId="6735838B" w14:textId="77777777" w:rsidR="005E64D9" w:rsidRPr="00951AB1" w:rsidRDefault="005E64D9" w:rsidP="000A5389">
            <w:pPr>
              <w:spacing w:line="240" w:lineRule="auto"/>
              <w:jc w:val="right"/>
              <w:rPr>
                <w:rFonts w:eastAsia="Times New Roman" w:cs="Times New Roman"/>
                <w:color w:val="000000"/>
                <w:sz w:val="20"/>
                <w:szCs w:val="20"/>
                <w:lang w:eastAsia="es-CO"/>
              </w:rPr>
            </w:pPr>
            <w:r w:rsidRPr="00951AB1">
              <w:rPr>
                <w:rFonts w:cs="Times New Roman"/>
                <w:color w:val="000000"/>
                <w:sz w:val="20"/>
                <w:szCs w:val="20"/>
              </w:rPr>
              <w:t>0</w:t>
            </w:r>
          </w:p>
        </w:tc>
        <w:tc>
          <w:tcPr>
            <w:tcW w:w="883" w:type="pct"/>
            <w:tcBorders>
              <w:top w:val="nil"/>
              <w:left w:val="nil"/>
              <w:bottom w:val="single" w:sz="4" w:space="0" w:color="D0D0D0"/>
              <w:right w:val="single" w:sz="4" w:space="0" w:color="D0D0D0"/>
            </w:tcBorders>
            <w:shd w:val="clear" w:color="auto" w:fill="FFFFFF" w:themeFill="background1"/>
            <w:vAlign w:val="center"/>
          </w:tcPr>
          <w:p w14:paraId="0B04529A" w14:textId="77777777" w:rsidR="005E64D9" w:rsidRPr="00951AB1" w:rsidRDefault="005E64D9" w:rsidP="000A5389">
            <w:pPr>
              <w:spacing w:line="240" w:lineRule="auto"/>
              <w:jc w:val="right"/>
              <w:rPr>
                <w:rFonts w:eastAsia="Times New Roman" w:cs="Times New Roman"/>
                <w:color w:val="000000"/>
                <w:sz w:val="20"/>
                <w:szCs w:val="20"/>
                <w:lang w:eastAsia="es-CO"/>
              </w:rPr>
            </w:pPr>
            <w:r w:rsidRPr="00951AB1">
              <w:rPr>
                <w:rFonts w:cs="Times New Roman"/>
                <w:color w:val="000000"/>
                <w:sz w:val="20"/>
                <w:szCs w:val="20"/>
              </w:rPr>
              <w:t>77.079.626</w:t>
            </w:r>
          </w:p>
        </w:tc>
        <w:tc>
          <w:tcPr>
            <w:tcW w:w="828" w:type="pct"/>
            <w:tcBorders>
              <w:top w:val="nil"/>
              <w:left w:val="nil"/>
              <w:bottom w:val="single" w:sz="4" w:space="0" w:color="D0D0D0"/>
              <w:right w:val="single" w:sz="4" w:space="0" w:color="D0D0D0"/>
            </w:tcBorders>
            <w:shd w:val="clear" w:color="auto" w:fill="FFFFFF" w:themeFill="background1"/>
            <w:vAlign w:val="center"/>
          </w:tcPr>
          <w:p w14:paraId="3FE18F06" w14:textId="77777777" w:rsidR="005E64D9" w:rsidRPr="00951AB1" w:rsidRDefault="005E64D9" w:rsidP="000A5389">
            <w:pPr>
              <w:spacing w:line="240" w:lineRule="auto"/>
              <w:jc w:val="right"/>
              <w:rPr>
                <w:rFonts w:eastAsia="Times New Roman" w:cs="Times New Roman"/>
                <w:color w:val="000000"/>
                <w:sz w:val="20"/>
                <w:szCs w:val="20"/>
                <w:lang w:eastAsia="es-CO"/>
              </w:rPr>
            </w:pPr>
            <w:r w:rsidRPr="00951AB1">
              <w:rPr>
                <w:rFonts w:cs="Times New Roman"/>
                <w:color w:val="000000"/>
                <w:sz w:val="20"/>
                <w:szCs w:val="20"/>
              </w:rPr>
              <w:t>-77.079.626</w:t>
            </w:r>
          </w:p>
        </w:tc>
      </w:tr>
      <w:tr w:rsidR="005E64D9" w:rsidRPr="00951AB1" w14:paraId="6985F6D9" w14:textId="77777777" w:rsidTr="008567AA">
        <w:trPr>
          <w:trHeight w:val="300"/>
        </w:trPr>
        <w:tc>
          <w:tcPr>
            <w:tcW w:w="2486" w:type="pct"/>
            <w:tcBorders>
              <w:top w:val="nil"/>
              <w:left w:val="single" w:sz="4" w:space="0" w:color="D0D0D0"/>
              <w:bottom w:val="single" w:sz="4" w:space="0" w:color="D0D0D0"/>
              <w:right w:val="single" w:sz="4" w:space="0" w:color="D0D0D0"/>
            </w:tcBorders>
            <w:shd w:val="clear" w:color="auto" w:fill="FFFFFF" w:themeFill="background1"/>
            <w:vAlign w:val="center"/>
            <w:hideMark/>
          </w:tcPr>
          <w:p w14:paraId="59133A2B" w14:textId="77777777" w:rsidR="005E64D9" w:rsidRPr="00951AB1" w:rsidRDefault="005E64D9" w:rsidP="000A5389">
            <w:pPr>
              <w:spacing w:line="240" w:lineRule="auto"/>
              <w:rPr>
                <w:rFonts w:eastAsia="Times New Roman" w:cs="Times New Roman"/>
                <w:b/>
                <w:bCs/>
                <w:color w:val="000000"/>
                <w:sz w:val="20"/>
                <w:szCs w:val="20"/>
                <w:lang w:eastAsia="es-CO"/>
              </w:rPr>
            </w:pPr>
            <w:r w:rsidRPr="00951AB1">
              <w:rPr>
                <w:rFonts w:eastAsia="Times New Roman" w:cs="Times New Roman"/>
                <w:b/>
                <w:bCs/>
                <w:color w:val="000000"/>
                <w:sz w:val="20"/>
                <w:szCs w:val="20"/>
                <w:lang w:eastAsia="es-CO"/>
              </w:rPr>
              <w:t>TOTAL</w:t>
            </w:r>
          </w:p>
        </w:tc>
        <w:tc>
          <w:tcPr>
            <w:tcW w:w="803" w:type="pct"/>
            <w:tcBorders>
              <w:top w:val="nil"/>
              <w:left w:val="nil"/>
              <w:bottom w:val="single" w:sz="4" w:space="0" w:color="D0D0D0"/>
              <w:right w:val="single" w:sz="4" w:space="0" w:color="D0D0D0"/>
            </w:tcBorders>
            <w:shd w:val="clear" w:color="auto" w:fill="FFFFFF" w:themeFill="background1"/>
            <w:vAlign w:val="center"/>
            <w:hideMark/>
          </w:tcPr>
          <w:p w14:paraId="51AB6C38" w14:textId="77777777" w:rsidR="005E64D9" w:rsidRPr="00951AB1" w:rsidRDefault="005E64D9" w:rsidP="000A5389">
            <w:pPr>
              <w:spacing w:line="240" w:lineRule="auto"/>
              <w:jc w:val="right"/>
              <w:rPr>
                <w:rFonts w:eastAsia="Times New Roman" w:cs="Times New Roman"/>
                <w:b/>
                <w:bCs/>
                <w:color w:val="000000"/>
                <w:sz w:val="20"/>
                <w:szCs w:val="20"/>
                <w:lang w:eastAsia="es-CO"/>
              </w:rPr>
            </w:pPr>
            <w:r w:rsidRPr="00951AB1">
              <w:rPr>
                <w:rFonts w:cs="Times New Roman"/>
                <w:b/>
                <w:bCs/>
                <w:color w:val="000000"/>
                <w:sz w:val="20"/>
                <w:szCs w:val="20"/>
              </w:rPr>
              <w:t>15.903.258.503</w:t>
            </w:r>
          </w:p>
        </w:tc>
        <w:tc>
          <w:tcPr>
            <w:tcW w:w="883" w:type="pct"/>
            <w:tcBorders>
              <w:top w:val="nil"/>
              <w:left w:val="nil"/>
              <w:bottom w:val="single" w:sz="4" w:space="0" w:color="D0D0D0"/>
              <w:right w:val="single" w:sz="4" w:space="0" w:color="D0D0D0"/>
            </w:tcBorders>
            <w:shd w:val="clear" w:color="auto" w:fill="FFFFFF" w:themeFill="background1"/>
            <w:vAlign w:val="center"/>
            <w:hideMark/>
          </w:tcPr>
          <w:p w14:paraId="38639010" w14:textId="77777777" w:rsidR="005E64D9" w:rsidRPr="00951AB1" w:rsidRDefault="005E64D9" w:rsidP="000A5389">
            <w:pPr>
              <w:spacing w:line="240" w:lineRule="auto"/>
              <w:jc w:val="right"/>
              <w:rPr>
                <w:rFonts w:eastAsia="Times New Roman" w:cs="Times New Roman"/>
                <w:b/>
                <w:bCs/>
                <w:color w:val="000000"/>
                <w:sz w:val="20"/>
                <w:szCs w:val="20"/>
                <w:lang w:eastAsia="es-CO"/>
              </w:rPr>
            </w:pPr>
            <w:r w:rsidRPr="00951AB1">
              <w:rPr>
                <w:rFonts w:cs="Times New Roman"/>
                <w:b/>
                <w:bCs/>
                <w:color w:val="000000"/>
                <w:sz w:val="20"/>
                <w:szCs w:val="20"/>
              </w:rPr>
              <w:t>20.439.281.927</w:t>
            </w:r>
          </w:p>
        </w:tc>
        <w:tc>
          <w:tcPr>
            <w:tcW w:w="828" w:type="pct"/>
            <w:tcBorders>
              <w:top w:val="nil"/>
              <w:left w:val="nil"/>
              <w:bottom w:val="single" w:sz="4" w:space="0" w:color="D0D0D0"/>
              <w:right w:val="single" w:sz="4" w:space="0" w:color="D0D0D0"/>
            </w:tcBorders>
            <w:shd w:val="clear" w:color="auto" w:fill="FFFFFF" w:themeFill="background1"/>
            <w:vAlign w:val="center"/>
            <w:hideMark/>
          </w:tcPr>
          <w:p w14:paraId="5E9A88FB" w14:textId="77777777" w:rsidR="005E64D9" w:rsidRPr="00951AB1" w:rsidRDefault="005E64D9" w:rsidP="000A5389">
            <w:pPr>
              <w:spacing w:line="240" w:lineRule="auto"/>
              <w:jc w:val="right"/>
              <w:rPr>
                <w:rFonts w:eastAsia="Times New Roman" w:cs="Times New Roman"/>
                <w:b/>
                <w:bCs/>
                <w:color w:val="000000"/>
                <w:sz w:val="20"/>
                <w:szCs w:val="20"/>
                <w:lang w:eastAsia="es-CO"/>
              </w:rPr>
            </w:pPr>
            <w:r w:rsidRPr="00951AB1">
              <w:rPr>
                <w:rFonts w:cs="Times New Roman"/>
                <w:b/>
                <w:bCs/>
                <w:color w:val="000000"/>
                <w:sz w:val="20"/>
                <w:szCs w:val="20"/>
              </w:rPr>
              <w:t>-4.536.023.424</w:t>
            </w:r>
          </w:p>
        </w:tc>
      </w:tr>
    </w:tbl>
    <w:p w14:paraId="535BD1BA" w14:textId="77777777" w:rsidR="005E64D9" w:rsidRPr="00951AB1" w:rsidRDefault="005E64D9" w:rsidP="000A5389">
      <w:pPr>
        <w:spacing w:line="240" w:lineRule="auto"/>
        <w:ind w:right="-20"/>
        <w:rPr>
          <w:rFonts w:cs="Times New Roman"/>
        </w:rPr>
      </w:pPr>
      <w:r w:rsidRPr="00951AB1">
        <w:rPr>
          <w:rFonts w:eastAsia="Times New Roman" w:cs="Times New Roman"/>
          <w:b/>
          <w:bCs/>
          <w:color w:val="FF0000"/>
          <w:sz w:val="14"/>
          <w:szCs w:val="14"/>
        </w:rPr>
        <w:t xml:space="preserve"> </w:t>
      </w:r>
      <w:r w:rsidRPr="00951AB1">
        <w:rPr>
          <w:rFonts w:eastAsia="Times New Roman" w:cs="Times New Roman"/>
          <w:sz w:val="14"/>
          <w:szCs w:val="14"/>
        </w:rPr>
        <w:t>Cifras expresadas en pesos</w:t>
      </w:r>
    </w:p>
    <w:p w14:paraId="2A40078A" w14:textId="77777777" w:rsidR="006304F4" w:rsidRDefault="006304F4" w:rsidP="000A5389">
      <w:pPr>
        <w:spacing w:line="240" w:lineRule="auto"/>
        <w:rPr>
          <w:rFonts w:cs="Times New Roman"/>
          <w:szCs w:val="24"/>
          <w:lang w:val="es-ES" w:eastAsia="es-ES" w:bidi="es-ES"/>
        </w:rPr>
      </w:pPr>
    </w:p>
    <w:p w14:paraId="19593308" w14:textId="43B8F948" w:rsidR="005E64D9" w:rsidRDefault="005E64D9" w:rsidP="000A5389">
      <w:pPr>
        <w:spacing w:line="240" w:lineRule="auto"/>
        <w:rPr>
          <w:rFonts w:cs="Times New Roman"/>
          <w:szCs w:val="24"/>
          <w:lang w:val="es-ES" w:eastAsia="es-ES" w:bidi="es-ES"/>
        </w:rPr>
      </w:pPr>
      <w:r w:rsidRPr="00951AB1">
        <w:rPr>
          <w:rFonts w:cs="Times New Roman"/>
          <w:szCs w:val="24"/>
          <w:lang w:val="es-ES" w:eastAsia="es-ES" w:bidi="es-ES"/>
        </w:rPr>
        <w:t>Las cuentas por cobrar por concepto de derechos de tránsito no son objeto de deterioro por cuanto la antigüedad de estas no supera los tres (3) meses, no se consideran criterios de plazo, ni tasas de interés, debido a que el registro del derecho y el recaudo se generan dentro del mes corriente, adicionalmente, estas cuentas por cobrar no tienen pignoraciones, ni generan transferencias de riesgos a terceros.</w:t>
      </w:r>
      <w:bookmarkStart w:id="256" w:name="_Toc191369502"/>
      <w:bookmarkStart w:id="257" w:name="_Toc191456832"/>
      <w:bookmarkStart w:id="258" w:name="_Toc191456942"/>
      <w:bookmarkStart w:id="259" w:name="_Toc191457052"/>
      <w:bookmarkStart w:id="260" w:name="_Toc191475679"/>
      <w:bookmarkStart w:id="261" w:name="_Toc191475788"/>
      <w:bookmarkStart w:id="262" w:name="_Toc191475897"/>
      <w:bookmarkStart w:id="263" w:name="_Toc191475420"/>
      <w:bookmarkStart w:id="264" w:name="_Toc191505796"/>
    </w:p>
    <w:p w14:paraId="73AA1AB3" w14:textId="77777777" w:rsidR="000E2BD8" w:rsidRPr="00951AB1" w:rsidRDefault="000E2BD8" w:rsidP="000A5389">
      <w:pPr>
        <w:spacing w:line="240" w:lineRule="auto"/>
        <w:rPr>
          <w:rFonts w:cs="Times New Roman"/>
          <w:szCs w:val="24"/>
        </w:rPr>
      </w:pPr>
    </w:p>
    <w:p w14:paraId="692EF1CE" w14:textId="20C051B0" w:rsidR="005E64D9" w:rsidRPr="00951AB1" w:rsidRDefault="005E64D9" w:rsidP="000A5389">
      <w:pPr>
        <w:pStyle w:val="Ttulo2"/>
        <w:numPr>
          <w:ilvl w:val="1"/>
          <w:numId w:val="77"/>
        </w:numPr>
        <w:spacing w:line="240" w:lineRule="auto"/>
        <w:rPr>
          <w:rFonts w:cs="Times New Roman"/>
          <w:szCs w:val="24"/>
        </w:rPr>
      </w:pPr>
      <w:r w:rsidRPr="00951AB1">
        <w:rPr>
          <w:rFonts w:cs="Times New Roman"/>
          <w:szCs w:val="24"/>
        </w:rPr>
        <w:t xml:space="preserve">  </w:t>
      </w:r>
      <w:r w:rsidRPr="00951AB1">
        <w:rPr>
          <w:rFonts w:cs="Times New Roman"/>
          <w:szCs w:val="24"/>
        </w:rPr>
        <w:tab/>
      </w:r>
      <w:bookmarkStart w:id="265" w:name="_Toc222955474"/>
      <w:r w:rsidRPr="00951AB1">
        <w:rPr>
          <w:rFonts w:cs="Times New Roman"/>
          <w:szCs w:val="24"/>
        </w:rPr>
        <w:t>Otras cuentas por cobrar</w:t>
      </w:r>
      <w:bookmarkEnd w:id="256"/>
      <w:bookmarkEnd w:id="257"/>
      <w:bookmarkEnd w:id="258"/>
      <w:bookmarkEnd w:id="259"/>
      <w:bookmarkEnd w:id="260"/>
      <w:bookmarkEnd w:id="261"/>
      <w:bookmarkEnd w:id="262"/>
      <w:bookmarkEnd w:id="263"/>
      <w:bookmarkEnd w:id="264"/>
      <w:bookmarkEnd w:id="265"/>
    </w:p>
    <w:p w14:paraId="08372073" w14:textId="77777777" w:rsidR="005E64D9" w:rsidRPr="00951AB1" w:rsidRDefault="005E64D9" w:rsidP="000A5389">
      <w:pPr>
        <w:spacing w:line="240" w:lineRule="auto"/>
        <w:rPr>
          <w:rFonts w:cs="Times New Roman"/>
          <w:sz w:val="14"/>
          <w:szCs w:val="14"/>
        </w:rPr>
      </w:pPr>
      <w:r w:rsidRPr="00951AB1">
        <w:rPr>
          <w:rFonts w:cs="Times New Roman"/>
          <w:sz w:val="14"/>
          <w:szCs w:val="14"/>
        </w:rPr>
        <w:t xml:space="preserve">  </w:t>
      </w:r>
    </w:p>
    <w:p w14:paraId="45E48AE8" w14:textId="77777777" w:rsidR="005E64D9" w:rsidRPr="00951AB1" w:rsidRDefault="005E64D9" w:rsidP="000A5389">
      <w:pPr>
        <w:spacing w:line="240" w:lineRule="auto"/>
        <w:rPr>
          <w:rFonts w:cs="Times New Roman"/>
          <w:sz w:val="14"/>
          <w:szCs w:val="14"/>
        </w:rPr>
      </w:pPr>
    </w:p>
    <w:tbl>
      <w:tblPr>
        <w:tblW w:w="8779"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CellMar>
          <w:left w:w="70" w:type="dxa"/>
          <w:right w:w="70" w:type="dxa"/>
        </w:tblCellMar>
        <w:tblLook w:val="04A0" w:firstRow="1" w:lastRow="0" w:firstColumn="1" w:lastColumn="0" w:noHBand="0" w:noVBand="1"/>
      </w:tblPr>
      <w:tblGrid>
        <w:gridCol w:w="1177"/>
        <w:gridCol w:w="2924"/>
        <w:gridCol w:w="1701"/>
        <w:gridCol w:w="1418"/>
        <w:gridCol w:w="1559"/>
      </w:tblGrid>
      <w:tr w:rsidR="005E64D9" w:rsidRPr="00951AB1" w14:paraId="0CE79CD7" w14:textId="77777777" w:rsidTr="000E2BD8">
        <w:trPr>
          <w:trHeight w:val="274"/>
          <w:tblHeader/>
        </w:trPr>
        <w:tc>
          <w:tcPr>
            <w:tcW w:w="1177" w:type="dxa"/>
            <w:shd w:val="clear" w:color="000000" w:fill="FFFFFF"/>
            <w:vAlign w:val="center"/>
            <w:hideMark/>
          </w:tcPr>
          <w:p w14:paraId="6BB1C9C9" w14:textId="77777777" w:rsidR="005E64D9" w:rsidRPr="00951AB1" w:rsidRDefault="005E64D9" w:rsidP="000A5389">
            <w:pPr>
              <w:spacing w:line="240" w:lineRule="auto"/>
              <w:jc w:val="center"/>
              <w:rPr>
                <w:rFonts w:eastAsia="Times New Roman" w:cs="Times New Roman"/>
                <w:b/>
                <w:bCs/>
                <w:color w:val="000000"/>
                <w:kern w:val="0"/>
                <w:sz w:val="18"/>
                <w:szCs w:val="18"/>
                <w:lang w:eastAsia="es-CO"/>
                <w14:ligatures w14:val="none"/>
              </w:rPr>
            </w:pPr>
            <w:r w:rsidRPr="00951AB1">
              <w:rPr>
                <w:rFonts w:eastAsia="Times New Roman" w:cs="Times New Roman"/>
                <w:b/>
                <w:bCs/>
                <w:color w:val="000000"/>
                <w:kern w:val="0"/>
                <w:sz w:val="18"/>
                <w:szCs w:val="18"/>
                <w:lang w:eastAsia="es-CO"/>
                <w14:ligatures w14:val="none"/>
              </w:rPr>
              <w:t>CÓDIGO</w:t>
            </w:r>
          </w:p>
        </w:tc>
        <w:tc>
          <w:tcPr>
            <w:tcW w:w="2924" w:type="dxa"/>
            <w:shd w:val="clear" w:color="000000" w:fill="FFFFFF"/>
            <w:vAlign w:val="center"/>
            <w:hideMark/>
          </w:tcPr>
          <w:p w14:paraId="1E970641" w14:textId="77777777" w:rsidR="005E64D9" w:rsidRPr="00951AB1" w:rsidRDefault="005E64D9" w:rsidP="000A5389">
            <w:pPr>
              <w:spacing w:line="240" w:lineRule="auto"/>
              <w:jc w:val="center"/>
              <w:rPr>
                <w:rFonts w:eastAsia="Times New Roman" w:cs="Times New Roman"/>
                <w:b/>
                <w:bCs/>
                <w:color w:val="000000"/>
                <w:kern w:val="0"/>
                <w:sz w:val="18"/>
                <w:szCs w:val="18"/>
                <w:lang w:eastAsia="es-CO"/>
                <w14:ligatures w14:val="none"/>
              </w:rPr>
            </w:pPr>
            <w:r w:rsidRPr="00951AB1">
              <w:rPr>
                <w:rFonts w:eastAsia="Times New Roman" w:cs="Times New Roman"/>
                <w:b/>
                <w:bCs/>
                <w:color w:val="000000"/>
                <w:kern w:val="0"/>
                <w:sz w:val="18"/>
                <w:szCs w:val="18"/>
                <w:lang w:eastAsia="es-CO"/>
                <w14:ligatures w14:val="none"/>
              </w:rPr>
              <w:t>CONCEPTO</w:t>
            </w:r>
          </w:p>
        </w:tc>
        <w:tc>
          <w:tcPr>
            <w:tcW w:w="1701" w:type="dxa"/>
            <w:shd w:val="clear" w:color="000000" w:fill="FFFFFF"/>
            <w:vAlign w:val="center"/>
            <w:hideMark/>
          </w:tcPr>
          <w:p w14:paraId="22D7A430" w14:textId="2ACB5AC6" w:rsidR="005E64D9" w:rsidRPr="00951AB1" w:rsidRDefault="005E64D9" w:rsidP="000A5389">
            <w:pPr>
              <w:spacing w:line="240" w:lineRule="auto"/>
              <w:jc w:val="center"/>
              <w:rPr>
                <w:rFonts w:eastAsia="Times New Roman" w:cs="Times New Roman"/>
                <w:b/>
                <w:bCs/>
                <w:color w:val="000000"/>
                <w:kern w:val="0"/>
                <w:sz w:val="18"/>
                <w:szCs w:val="18"/>
                <w:lang w:eastAsia="es-CO"/>
                <w14:ligatures w14:val="none"/>
              </w:rPr>
            </w:pPr>
            <w:r w:rsidRPr="00951AB1">
              <w:rPr>
                <w:rFonts w:eastAsia="Times New Roman" w:cs="Times New Roman"/>
                <w:b/>
                <w:bCs/>
                <w:color w:val="000000"/>
                <w:kern w:val="0"/>
                <w:sz w:val="18"/>
                <w:szCs w:val="18"/>
                <w:lang w:eastAsia="es-CO"/>
                <w14:ligatures w14:val="none"/>
              </w:rPr>
              <w:t>202</w:t>
            </w:r>
            <w:r w:rsidR="000E2BD8">
              <w:rPr>
                <w:rFonts w:eastAsia="Times New Roman" w:cs="Times New Roman"/>
                <w:b/>
                <w:bCs/>
                <w:color w:val="000000"/>
                <w:kern w:val="0"/>
                <w:sz w:val="18"/>
                <w:szCs w:val="18"/>
                <w:lang w:eastAsia="es-CO"/>
                <w14:ligatures w14:val="none"/>
              </w:rPr>
              <w:t>5</w:t>
            </w:r>
          </w:p>
        </w:tc>
        <w:tc>
          <w:tcPr>
            <w:tcW w:w="1418" w:type="dxa"/>
            <w:shd w:val="clear" w:color="000000" w:fill="FFFFFF"/>
            <w:vAlign w:val="center"/>
            <w:hideMark/>
          </w:tcPr>
          <w:p w14:paraId="45C27E3C" w14:textId="7BC7333E" w:rsidR="005E64D9" w:rsidRPr="00951AB1" w:rsidRDefault="005E64D9" w:rsidP="000A5389">
            <w:pPr>
              <w:spacing w:line="240" w:lineRule="auto"/>
              <w:jc w:val="center"/>
              <w:rPr>
                <w:rFonts w:eastAsia="Times New Roman" w:cs="Times New Roman"/>
                <w:b/>
                <w:bCs/>
                <w:color w:val="000000"/>
                <w:kern w:val="0"/>
                <w:sz w:val="18"/>
                <w:szCs w:val="18"/>
                <w:lang w:eastAsia="es-CO"/>
                <w14:ligatures w14:val="none"/>
              </w:rPr>
            </w:pPr>
            <w:r w:rsidRPr="00951AB1">
              <w:rPr>
                <w:rFonts w:eastAsia="Times New Roman" w:cs="Times New Roman"/>
                <w:b/>
                <w:bCs/>
                <w:color w:val="000000"/>
                <w:kern w:val="0"/>
                <w:sz w:val="18"/>
                <w:szCs w:val="18"/>
                <w:lang w:eastAsia="es-CO"/>
                <w14:ligatures w14:val="none"/>
              </w:rPr>
              <w:t>202</w:t>
            </w:r>
            <w:r w:rsidR="007B1127">
              <w:rPr>
                <w:rFonts w:eastAsia="Times New Roman" w:cs="Times New Roman"/>
                <w:b/>
                <w:bCs/>
                <w:color w:val="000000"/>
                <w:kern w:val="0"/>
                <w:sz w:val="18"/>
                <w:szCs w:val="18"/>
                <w:lang w:eastAsia="es-CO"/>
                <w14:ligatures w14:val="none"/>
              </w:rPr>
              <w:t>4</w:t>
            </w:r>
          </w:p>
        </w:tc>
        <w:tc>
          <w:tcPr>
            <w:tcW w:w="1559" w:type="dxa"/>
            <w:shd w:val="clear" w:color="000000" w:fill="FFFFFF"/>
            <w:vAlign w:val="center"/>
            <w:hideMark/>
          </w:tcPr>
          <w:p w14:paraId="5171917F" w14:textId="77777777" w:rsidR="005E64D9" w:rsidRPr="00951AB1" w:rsidRDefault="005E64D9" w:rsidP="000A5389">
            <w:pPr>
              <w:spacing w:line="240" w:lineRule="auto"/>
              <w:jc w:val="center"/>
              <w:rPr>
                <w:rFonts w:eastAsia="Times New Roman" w:cs="Times New Roman"/>
                <w:b/>
                <w:bCs/>
                <w:color w:val="000000"/>
                <w:kern w:val="0"/>
                <w:sz w:val="18"/>
                <w:szCs w:val="18"/>
                <w:lang w:eastAsia="es-CO"/>
                <w14:ligatures w14:val="none"/>
              </w:rPr>
            </w:pPr>
            <w:r w:rsidRPr="00951AB1">
              <w:rPr>
                <w:rFonts w:eastAsia="Times New Roman" w:cs="Times New Roman"/>
                <w:b/>
                <w:bCs/>
                <w:color w:val="000000"/>
                <w:kern w:val="0"/>
                <w:sz w:val="18"/>
                <w:szCs w:val="18"/>
                <w:lang w:eastAsia="es-CO"/>
                <w14:ligatures w14:val="none"/>
              </w:rPr>
              <w:t>VARIACIÓN</w:t>
            </w:r>
          </w:p>
        </w:tc>
      </w:tr>
      <w:tr w:rsidR="005E64D9" w:rsidRPr="00951AB1" w14:paraId="047BFB3D" w14:textId="77777777" w:rsidTr="000E2BD8">
        <w:trPr>
          <w:trHeight w:val="274"/>
        </w:trPr>
        <w:tc>
          <w:tcPr>
            <w:tcW w:w="1177" w:type="dxa"/>
            <w:shd w:val="clear" w:color="000000" w:fill="FFFFFF"/>
            <w:noWrap/>
            <w:vAlign w:val="center"/>
            <w:hideMark/>
          </w:tcPr>
          <w:p w14:paraId="2C78A692" w14:textId="77777777" w:rsidR="005E64D9" w:rsidRPr="00951AB1" w:rsidRDefault="005E64D9" w:rsidP="000A5389">
            <w:pPr>
              <w:spacing w:line="240" w:lineRule="auto"/>
              <w:rPr>
                <w:rFonts w:eastAsia="Times New Roman" w:cs="Times New Roman"/>
                <w:b/>
                <w:bCs/>
                <w:color w:val="000000"/>
                <w:kern w:val="0"/>
                <w:sz w:val="18"/>
                <w:szCs w:val="18"/>
                <w:lang w:eastAsia="es-CO"/>
                <w14:ligatures w14:val="none"/>
              </w:rPr>
            </w:pPr>
            <w:r w:rsidRPr="00951AB1">
              <w:rPr>
                <w:rFonts w:eastAsia="Times New Roman" w:cs="Times New Roman"/>
                <w:b/>
                <w:bCs/>
                <w:color w:val="000000"/>
                <w:kern w:val="0"/>
                <w:sz w:val="18"/>
                <w:szCs w:val="18"/>
                <w:lang w:eastAsia="es-CO"/>
                <w14:ligatures w14:val="none"/>
              </w:rPr>
              <w:t>1.3.84</w:t>
            </w:r>
          </w:p>
        </w:tc>
        <w:tc>
          <w:tcPr>
            <w:tcW w:w="2924" w:type="dxa"/>
            <w:shd w:val="clear" w:color="000000" w:fill="FFFFFF"/>
            <w:noWrap/>
            <w:vAlign w:val="center"/>
            <w:hideMark/>
          </w:tcPr>
          <w:p w14:paraId="2B9AE6F0" w14:textId="77777777" w:rsidR="005E64D9" w:rsidRPr="00951AB1" w:rsidRDefault="005E64D9" w:rsidP="000A5389">
            <w:pPr>
              <w:spacing w:line="240" w:lineRule="auto"/>
              <w:rPr>
                <w:rFonts w:eastAsia="Times New Roman" w:cs="Times New Roman"/>
                <w:b/>
                <w:bCs/>
                <w:color w:val="000000"/>
                <w:kern w:val="0"/>
                <w:sz w:val="18"/>
                <w:szCs w:val="18"/>
                <w:lang w:eastAsia="es-CO"/>
                <w14:ligatures w14:val="none"/>
              </w:rPr>
            </w:pPr>
            <w:r w:rsidRPr="00951AB1">
              <w:rPr>
                <w:rFonts w:eastAsia="Times New Roman" w:cs="Times New Roman"/>
                <w:b/>
                <w:bCs/>
                <w:color w:val="000000"/>
                <w:kern w:val="0"/>
                <w:sz w:val="18"/>
                <w:szCs w:val="18"/>
                <w:lang w:eastAsia="es-CO"/>
                <w14:ligatures w14:val="none"/>
              </w:rPr>
              <w:t>OTRAS CUENTAS POR COBRAR</w:t>
            </w:r>
          </w:p>
        </w:tc>
        <w:tc>
          <w:tcPr>
            <w:tcW w:w="1701" w:type="dxa"/>
            <w:shd w:val="clear" w:color="000000" w:fill="FFFFFF"/>
            <w:noWrap/>
            <w:vAlign w:val="center"/>
            <w:hideMark/>
          </w:tcPr>
          <w:p w14:paraId="709A4BFE" w14:textId="77777777" w:rsidR="005E64D9" w:rsidRPr="00951AB1" w:rsidRDefault="005E64D9" w:rsidP="000A5389">
            <w:pPr>
              <w:spacing w:line="240" w:lineRule="auto"/>
              <w:jc w:val="right"/>
              <w:rPr>
                <w:rFonts w:eastAsia="Times New Roman" w:cs="Times New Roman"/>
                <w:b/>
                <w:bCs/>
                <w:color w:val="000000"/>
                <w:kern w:val="0"/>
                <w:sz w:val="18"/>
                <w:szCs w:val="18"/>
                <w:lang w:eastAsia="es-CO"/>
                <w14:ligatures w14:val="none"/>
              </w:rPr>
            </w:pPr>
            <w:r w:rsidRPr="00951AB1">
              <w:rPr>
                <w:rFonts w:eastAsia="Times New Roman" w:cs="Times New Roman"/>
                <w:b/>
                <w:bCs/>
                <w:color w:val="000000"/>
                <w:kern w:val="0"/>
                <w:sz w:val="18"/>
                <w:szCs w:val="18"/>
                <w:lang w:eastAsia="es-CO"/>
                <w14:ligatures w14:val="none"/>
              </w:rPr>
              <w:t>3.285.274.730</w:t>
            </w:r>
          </w:p>
        </w:tc>
        <w:tc>
          <w:tcPr>
            <w:tcW w:w="1418" w:type="dxa"/>
            <w:shd w:val="clear" w:color="000000" w:fill="FFFFFF"/>
            <w:noWrap/>
            <w:vAlign w:val="center"/>
            <w:hideMark/>
          </w:tcPr>
          <w:p w14:paraId="6A624210" w14:textId="77777777" w:rsidR="005E64D9" w:rsidRPr="00951AB1" w:rsidRDefault="005E64D9" w:rsidP="000A5389">
            <w:pPr>
              <w:spacing w:line="240" w:lineRule="auto"/>
              <w:jc w:val="right"/>
              <w:rPr>
                <w:rFonts w:eastAsia="Times New Roman" w:cs="Times New Roman"/>
                <w:b/>
                <w:bCs/>
                <w:color w:val="000000"/>
                <w:kern w:val="0"/>
                <w:sz w:val="18"/>
                <w:szCs w:val="18"/>
                <w:lang w:eastAsia="es-CO"/>
                <w14:ligatures w14:val="none"/>
              </w:rPr>
            </w:pPr>
            <w:r w:rsidRPr="00951AB1">
              <w:rPr>
                <w:rFonts w:eastAsia="Times New Roman" w:cs="Times New Roman"/>
                <w:b/>
                <w:bCs/>
                <w:color w:val="000000"/>
                <w:kern w:val="0"/>
                <w:sz w:val="18"/>
                <w:szCs w:val="18"/>
                <w:lang w:eastAsia="es-CO"/>
                <w14:ligatures w14:val="none"/>
              </w:rPr>
              <w:t>9.480.049.758</w:t>
            </w:r>
          </w:p>
        </w:tc>
        <w:tc>
          <w:tcPr>
            <w:tcW w:w="1559" w:type="dxa"/>
            <w:shd w:val="clear" w:color="000000" w:fill="FFFFFF"/>
            <w:noWrap/>
            <w:vAlign w:val="center"/>
            <w:hideMark/>
          </w:tcPr>
          <w:p w14:paraId="568D4424" w14:textId="77777777" w:rsidR="005E64D9" w:rsidRPr="00951AB1" w:rsidRDefault="005E64D9" w:rsidP="000A5389">
            <w:pPr>
              <w:spacing w:line="240" w:lineRule="auto"/>
              <w:jc w:val="right"/>
              <w:rPr>
                <w:rFonts w:eastAsia="Times New Roman" w:cs="Times New Roman"/>
                <w:b/>
                <w:bCs/>
                <w:color w:val="000000"/>
                <w:kern w:val="0"/>
                <w:sz w:val="18"/>
                <w:szCs w:val="18"/>
                <w:lang w:eastAsia="es-CO"/>
                <w14:ligatures w14:val="none"/>
              </w:rPr>
            </w:pPr>
            <w:r w:rsidRPr="00951AB1">
              <w:rPr>
                <w:rFonts w:eastAsia="Times New Roman" w:cs="Times New Roman"/>
                <w:b/>
                <w:bCs/>
                <w:color w:val="000000"/>
                <w:kern w:val="0"/>
                <w:sz w:val="18"/>
                <w:szCs w:val="18"/>
                <w:lang w:eastAsia="es-CO"/>
                <w14:ligatures w14:val="none"/>
              </w:rPr>
              <w:t>-6.194.775.029</w:t>
            </w:r>
          </w:p>
        </w:tc>
      </w:tr>
      <w:tr w:rsidR="005E64D9" w:rsidRPr="00951AB1" w14:paraId="2AD85A82" w14:textId="77777777" w:rsidTr="000E2BD8">
        <w:trPr>
          <w:trHeight w:val="274"/>
        </w:trPr>
        <w:tc>
          <w:tcPr>
            <w:tcW w:w="1177" w:type="dxa"/>
            <w:shd w:val="clear" w:color="000000" w:fill="FFFFFF"/>
            <w:noWrap/>
            <w:vAlign w:val="center"/>
            <w:hideMark/>
          </w:tcPr>
          <w:p w14:paraId="236204B1" w14:textId="77777777" w:rsidR="005E64D9" w:rsidRPr="00951AB1" w:rsidRDefault="005E64D9" w:rsidP="000A5389">
            <w:pPr>
              <w:spacing w:line="240" w:lineRule="auto"/>
              <w:rPr>
                <w:rFonts w:eastAsia="Times New Roman" w:cs="Times New Roman"/>
                <w:color w:val="000000"/>
                <w:kern w:val="0"/>
                <w:sz w:val="18"/>
                <w:szCs w:val="18"/>
                <w:lang w:eastAsia="es-CO"/>
                <w14:ligatures w14:val="none"/>
              </w:rPr>
            </w:pPr>
            <w:r w:rsidRPr="00951AB1">
              <w:rPr>
                <w:rFonts w:cs="Times New Roman"/>
                <w:color w:val="000000"/>
                <w:sz w:val="18"/>
                <w:szCs w:val="18"/>
              </w:rPr>
              <w:t>1.3.84.10</w:t>
            </w:r>
          </w:p>
        </w:tc>
        <w:tc>
          <w:tcPr>
            <w:tcW w:w="2924" w:type="dxa"/>
            <w:shd w:val="clear" w:color="000000" w:fill="FFFFFF"/>
            <w:vAlign w:val="center"/>
            <w:hideMark/>
          </w:tcPr>
          <w:p w14:paraId="025AB041" w14:textId="77777777" w:rsidR="005E64D9" w:rsidRPr="00951AB1" w:rsidRDefault="005E64D9" w:rsidP="000A5389">
            <w:pPr>
              <w:spacing w:line="240" w:lineRule="auto"/>
              <w:rPr>
                <w:rFonts w:eastAsia="Times New Roman" w:cs="Times New Roman"/>
                <w:color w:val="000000"/>
                <w:kern w:val="0"/>
                <w:sz w:val="18"/>
                <w:szCs w:val="18"/>
                <w:lang w:eastAsia="es-CO"/>
                <w14:ligatures w14:val="none"/>
              </w:rPr>
            </w:pPr>
            <w:r w:rsidRPr="00951AB1">
              <w:rPr>
                <w:rFonts w:cs="Times New Roman"/>
                <w:color w:val="000000"/>
                <w:sz w:val="18"/>
                <w:szCs w:val="18"/>
              </w:rPr>
              <w:t>Derechos cobrados por terceros</w:t>
            </w:r>
          </w:p>
        </w:tc>
        <w:tc>
          <w:tcPr>
            <w:tcW w:w="1701" w:type="dxa"/>
            <w:shd w:val="clear" w:color="000000" w:fill="FFFFFF"/>
            <w:noWrap/>
            <w:vAlign w:val="center"/>
            <w:hideMark/>
          </w:tcPr>
          <w:p w14:paraId="6C2858B2" w14:textId="77777777" w:rsidR="005E64D9" w:rsidRPr="00951AB1" w:rsidRDefault="005E64D9" w:rsidP="000A5389">
            <w:pPr>
              <w:spacing w:line="240" w:lineRule="auto"/>
              <w:jc w:val="right"/>
              <w:rPr>
                <w:rFonts w:eastAsia="Times New Roman" w:cs="Times New Roman"/>
                <w:color w:val="000000"/>
                <w:kern w:val="0"/>
                <w:sz w:val="18"/>
                <w:szCs w:val="18"/>
                <w:lang w:eastAsia="es-CO"/>
                <w14:ligatures w14:val="none"/>
              </w:rPr>
            </w:pPr>
            <w:r w:rsidRPr="00951AB1">
              <w:rPr>
                <w:rFonts w:cs="Times New Roman"/>
                <w:color w:val="000000"/>
                <w:sz w:val="18"/>
                <w:szCs w:val="18"/>
              </w:rPr>
              <w:t>2.664.467.375</w:t>
            </w:r>
          </w:p>
        </w:tc>
        <w:tc>
          <w:tcPr>
            <w:tcW w:w="1418" w:type="dxa"/>
            <w:shd w:val="clear" w:color="000000" w:fill="FFFFFF"/>
            <w:noWrap/>
            <w:vAlign w:val="center"/>
            <w:hideMark/>
          </w:tcPr>
          <w:p w14:paraId="62DF8F83" w14:textId="77777777" w:rsidR="005E64D9" w:rsidRPr="00951AB1" w:rsidRDefault="005E64D9" w:rsidP="000A5389">
            <w:pPr>
              <w:spacing w:line="240" w:lineRule="auto"/>
              <w:jc w:val="right"/>
              <w:rPr>
                <w:rFonts w:eastAsia="Times New Roman" w:cs="Times New Roman"/>
                <w:color w:val="000000"/>
                <w:kern w:val="0"/>
                <w:sz w:val="18"/>
                <w:szCs w:val="18"/>
                <w:lang w:eastAsia="es-CO"/>
                <w14:ligatures w14:val="none"/>
              </w:rPr>
            </w:pPr>
            <w:r w:rsidRPr="00951AB1">
              <w:rPr>
                <w:rFonts w:cs="Times New Roman"/>
                <w:color w:val="000000"/>
                <w:sz w:val="18"/>
                <w:szCs w:val="18"/>
              </w:rPr>
              <w:t>203.317.122</w:t>
            </w:r>
          </w:p>
        </w:tc>
        <w:tc>
          <w:tcPr>
            <w:tcW w:w="1559" w:type="dxa"/>
            <w:shd w:val="clear" w:color="000000" w:fill="FFFFFF"/>
            <w:noWrap/>
            <w:vAlign w:val="center"/>
            <w:hideMark/>
          </w:tcPr>
          <w:p w14:paraId="35918642" w14:textId="77777777" w:rsidR="005E64D9" w:rsidRPr="00951AB1" w:rsidRDefault="005E64D9" w:rsidP="000A5389">
            <w:pPr>
              <w:spacing w:line="240" w:lineRule="auto"/>
              <w:jc w:val="right"/>
              <w:rPr>
                <w:rFonts w:eastAsia="Times New Roman" w:cs="Times New Roman"/>
                <w:color w:val="000000"/>
                <w:kern w:val="0"/>
                <w:sz w:val="18"/>
                <w:szCs w:val="18"/>
                <w:lang w:eastAsia="es-CO"/>
                <w14:ligatures w14:val="none"/>
              </w:rPr>
            </w:pPr>
            <w:r w:rsidRPr="00951AB1">
              <w:rPr>
                <w:rFonts w:cs="Times New Roman"/>
                <w:color w:val="000000"/>
                <w:sz w:val="18"/>
                <w:szCs w:val="18"/>
              </w:rPr>
              <w:t>2.461.150.254</w:t>
            </w:r>
          </w:p>
        </w:tc>
      </w:tr>
      <w:tr w:rsidR="005E64D9" w:rsidRPr="00951AB1" w14:paraId="326AFBFA" w14:textId="77777777" w:rsidTr="000E2BD8">
        <w:trPr>
          <w:trHeight w:val="274"/>
        </w:trPr>
        <w:tc>
          <w:tcPr>
            <w:tcW w:w="1177" w:type="dxa"/>
            <w:shd w:val="clear" w:color="000000" w:fill="FFFFFF"/>
            <w:noWrap/>
            <w:vAlign w:val="center"/>
            <w:hideMark/>
          </w:tcPr>
          <w:p w14:paraId="49150079" w14:textId="77777777" w:rsidR="005E64D9" w:rsidRPr="00951AB1" w:rsidRDefault="005E64D9" w:rsidP="000A5389">
            <w:pPr>
              <w:spacing w:line="240" w:lineRule="auto"/>
              <w:rPr>
                <w:rFonts w:eastAsia="Times New Roman" w:cs="Times New Roman"/>
                <w:color w:val="000000"/>
                <w:kern w:val="0"/>
                <w:sz w:val="18"/>
                <w:szCs w:val="18"/>
                <w:lang w:eastAsia="es-CO"/>
                <w14:ligatures w14:val="none"/>
              </w:rPr>
            </w:pPr>
            <w:r w:rsidRPr="00951AB1">
              <w:rPr>
                <w:rFonts w:cs="Times New Roman"/>
                <w:color w:val="000000"/>
                <w:sz w:val="18"/>
                <w:szCs w:val="18"/>
              </w:rPr>
              <w:t>1.3.84.55</w:t>
            </w:r>
          </w:p>
        </w:tc>
        <w:tc>
          <w:tcPr>
            <w:tcW w:w="2924" w:type="dxa"/>
            <w:shd w:val="clear" w:color="000000" w:fill="FFFFFF"/>
            <w:vAlign w:val="center"/>
            <w:hideMark/>
          </w:tcPr>
          <w:p w14:paraId="45BFF43A" w14:textId="77777777" w:rsidR="005E64D9" w:rsidRPr="00951AB1" w:rsidRDefault="005E64D9" w:rsidP="000A5389">
            <w:pPr>
              <w:spacing w:line="240" w:lineRule="auto"/>
              <w:rPr>
                <w:rFonts w:eastAsia="Times New Roman" w:cs="Times New Roman"/>
                <w:color w:val="000000"/>
                <w:kern w:val="0"/>
                <w:sz w:val="18"/>
                <w:szCs w:val="18"/>
                <w:lang w:eastAsia="es-CO"/>
                <w14:ligatures w14:val="none"/>
              </w:rPr>
            </w:pPr>
            <w:r w:rsidRPr="00951AB1">
              <w:rPr>
                <w:rFonts w:cs="Times New Roman"/>
                <w:color w:val="000000"/>
                <w:sz w:val="18"/>
                <w:szCs w:val="18"/>
              </w:rPr>
              <w:t>Reintegros</w:t>
            </w:r>
          </w:p>
        </w:tc>
        <w:tc>
          <w:tcPr>
            <w:tcW w:w="1701" w:type="dxa"/>
            <w:shd w:val="clear" w:color="000000" w:fill="FFFFFF"/>
            <w:noWrap/>
            <w:vAlign w:val="center"/>
            <w:hideMark/>
          </w:tcPr>
          <w:p w14:paraId="70093FD7" w14:textId="77777777" w:rsidR="005E64D9" w:rsidRPr="00951AB1" w:rsidRDefault="005E64D9" w:rsidP="000A5389">
            <w:pPr>
              <w:spacing w:line="240" w:lineRule="auto"/>
              <w:jc w:val="right"/>
              <w:rPr>
                <w:rFonts w:eastAsia="Times New Roman" w:cs="Times New Roman"/>
                <w:color w:val="000000"/>
                <w:kern w:val="0"/>
                <w:sz w:val="18"/>
                <w:szCs w:val="18"/>
                <w:lang w:eastAsia="es-CO"/>
                <w14:ligatures w14:val="none"/>
              </w:rPr>
            </w:pPr>
            <w:r w:rsidRPr="00951AB1">
              <w:rPr>
                <w:rFonts w:cs="Times New Roman"/>
                <w:color w:val="000000"/>
                <w:sz w:val="18"/>
                <w:szCs w:val="18"/>
              </w:rPr>
              <w:t>406.560.657</w:t>
            </w:r>
          </w:p>
        </w:tc>
        <w:tc>
          <w:tcPr>
            <w:tcW w:w="1418" w:type="dxa"/>
            <w:shd w:val="clear" w:color="000000" w:fill="FFFFFF"/>
            <w:noWrap/>
            <w:vAlign w:val="center"/>
            <w:hideMark/>
          </w:tcPr>
          <w:p w14:paraId="2DE31517" w14:textId="77777777" w:rsidR="005E64D9" w:rsidRPr="00951AB1" w:rsidRDefault="005E64D9" w:rsidP="000A5389">
            <w:pPr>
              <w:spacing w:line="240" w:lineRule="auto"/>
              <w:jc w:val="right"/>
              <w:rPr>
                <w:rFonts w:eastAsia="Times New Roman" w:cs="Times New Roman"/>
                <w:color w:val="000000"/>
                <w:kern w:val="0"/>
                <w:sz w:val="18"/>
                <w:szCs w:val="18"/>
                <w:lang w:eastAsia="es-CO"/>
                <w14:ligatures w14:val="none"/>
              </w:rPr>
            </w:pPr>
            <w:r w:rsidRPr="00951AB1">
              <w:rPr>
                <w:rFonts w:cs="Times New Roman"/>
                <w:color w:val="000000"/>
                <w:sz w:val="18"/>
                <w:szCs w:val="18"/>
              </w:rPr>
              <w:t>0</w:t>
            </w:r>
          </w:p>
        </w:tc>
        <w:tc>
          <w:tcPr>
            <w:tcW w:w="1559" w:type="dxa"/>
            <w:shd w:val="clear" w:color="000000" w:fill="FFFFFF"/>
            <w:noWrap/>
            <w:vAlign w:val="center"/>
            <w:hideMark/>
          </w:tcPr>
          <w:p w14:paraId="7BACE21A" w14:textId="77777777" w:rsidR="005E64D9" w:rsidRPr="00951AB1" w:rsidRDefault="005E64D9" w:rsidP="000A5389">
            <w:pPr>
              <w:spacing w:line="240" w:lineRule="auto"/>
              <w:jc w:val="right"/>
              <w:rPr>
                <w:rFonts w:eastAsia="Times New Roman" w:cs="Times New Roman"/>
                <w:color w:val="000000"/>
                <w:kern w:val="0"/>
                <w:sz w:val="18"/>
                <w:szCs w:val="18"/>
                <w:lang w:eastAsia="es-CO"/>
                <w14:ligatures w14:val="none"/>
              </w:rPr>
            </w:pPr>
            <w:r w:rsidRPr="00951AB1">
              <w:rPr>
                <w:rFonts w:cs="Times New Roman"/>
                <w:color w:val="000000"/>
                <w:sz w:val="18"/>
                <w:szCs w:val="18"/>
              </w:rPr>
              <w:t>406.560.657</w:t>
            </w:r>
          </w:p>
        </w:tc>
      </w:tr>
      <w:tr w:rsidR="005E64D9" w:rsidRPr="00951AB1" w14:paraId="230E9DC7" w14:textId="77777777" w:rsidTr="000E2BD8">
        <w:trPr>
          <w:trHeight w:val="274"/>
        </w:trPr>
        <w:tc>
          <w:tcPr>
            <w:tcW w:w="1177" w:type="dxa"/>
            <w:shd w:val="clear" w:color="000000" w:fill="FFFFFF"/>
            <w:noWrap/>
            <w:vAlign w:val="center"/>
            <w:hideMark/>
          </w:tcPr>
          <w:p w14:paraId="4D517B76" w14:textId="77777777" w:rsidR="005E64D9" w:rsidRPr="00951AB1" w:rsidRDefault="005E64D9" w:rsidP="000A5389">
            <w:pPr>
              <w:spacing w:line="240" w:lineRule="auto"/>
              <w:rPr>
                <w:rFonts w:eastAsia="Times New Roman" w:cs="Times New Roman"/>
                <w:color w:val="000000"/>
                <w:kern w:val="0"/>
                <w:sz w:val="18"/>
                <w:szCs w:val="18"/>
                <w:lang w:eastAsia="es-CO"/>
                <w14:ligatures w14:val="none"/>
              </w:rPr>
            </w:pPr>
            <w:r w:rsidRPr="00951AB1">
              <w:rPr>
                <w:rFonts w:cs="Times New Roman"/>
                <w:color w:val="000000"/>
                <w:sz w:val="18"/>
                <w:szCs w:val="18"/>
              </w:rPr>
              <w:t>1.3.84.90</w:t>
            </w:r>
          </w:p>
        </w:tc>
        <w:tc>
          <w:tcPr>
            <w:tcW w:w="2924" w:type="dxa"/>
            <w:shd w:val="clear" w:color="000000" w:fill="FFFFFF"/>
            <w:vAlign w:val="center"/>
            <w:hideMark/>
          </w:tcPr>
          <w:p w14:paraId="49FA4F4F" w14:textId="77777777" w:rsidR="005E64D9" w:rsidRPr="00951AB1" w:rsidRDefault="005E64D9" w:rsidP="000A5389">
            <w:pPr>
              <w:spacing w:line="240" w:lineRule="auto"/>
              <w:rPr>
                <w:rFonts w:eastAsia="Times New Roman" w:cs="Times New Roman"/>
                <w:color w:val="000000"/>
                <w:kern w:val="0"/>
                <w:sz w:val="18"/>
                <w:szCs w:val="18"/>
                <w:lang w:eastAsia="es-CO"/>
                <w14:ligatures w14:val="none"/>
              </w:rPr>
            </w:pPr>
            <w:r w:rsidRPr="00951AB1">
              <w:rPr>
                <w:rFonts w:cs="Times New Roman"/>
                <w:color w:val="000000"/>
                <w:sz w:val="18"/>
                <w:szCs w:val="18"/>
              </w:rPr>
              <w:t>Otras cuentas por cobrar</w:t>
            </w:r>
          </w:p>
        </w:tc>
        <w:tc>
          <w:tcPr>
            <w:tcW w:w="1701" w:type="dxa"/>
            <w:shd w:val="clear" w:color="000000" w:fill="FFFFFF"/>
            <w:noWrap/>
            <w:vAlign w:val="center"/>
            <w:hideMark/>
          </w:tcPr>
          <w:p w14:paraId="22C163B1" w14:textId="77777777" w:rsidR="005E64D9" w:rsidRPr="00951AB1" w:rsidRDefault="005E64D9" w:rsidP="000A5389">
            <w:pPr>
              <w:spacing w:line="240" w:lineRule="auto"/>
              <w:jc w:val="right"/>
              <w:rPr>
                <w:rFonts w:eastAsia="Times New Roman" w:cs="Times New Roman"/>
                <w:color w:val="000000"/>
                <w:kern w:val="0"/>
                <w:sz w:val="18"/>
                <w:szCs w:val="18"/>
                <w:lang w:eastAsia="es-CO"/>
                <w14:ligatures w14:val="none"/>
              </w:rPr>
            </w:pPr>
            <w:r w:rsidRPr="00951AB1">
              <w:rPr>
                <w:rFonts w:cs="Times New Roman"/>
                <w:color w:val="000000"/>
                <w:sz w:val="18"/>
                <w:szCs w:val="18"/>
              </w:rPr>
              <w:t>144.608.027</w:t>
            </w:r>
          </w:p>
        </w:tc>
        <w:tc>
          <w:tcPr>
            <w:tcW w:w="1418" w:type="dxa"/>
            <w:shd w:val="clear" w:color="000000" w:fill="FFFFFF"/>
            <w:noWrap/>
            <w:vAlign w:val="center"/>
            <w:hideMark/>
          </w:tcPr>
          <w:p w14:paraId="701A368B" w14:textId="77777777" w:rsidR="005E64D9" w:rsidRPr="00951AB1" w:rsidRDefault="005E64D9" w:rsidP="000A5389">
            <w:pPr>
              <w:spacing w:line="240" w:lineRule="auto"/>
              <w:jc w:val="right"/>
              <w:rPr>
                <w:rFonts w:eastAsia="Times New Roman" w:cs="Times New Roman"/>
                <w:color w:val="000000"/>
                <w:kern w:val="0"/>
                <w:sz w:val="18"/>
                <w:szCs w:val="18"/>
                <w:lang w:eastAsia="es-CO"/>
                <w14:ligatures w14:val="none"/>
              </w:rPr>
            </w:pPr>
            <w:r w:rsidRPr="00951AB1">
              <w:rPr>
                <w:rFonts w:cs="Times New Roman"/>
                <w:color w:val="000000"/>
                <w:sz w:val="18"/>
                <w:szCs w:val="18"/>
              </w:rPr>
              <w:t>9.223.245.405</w:t>
            </w:r>
          </w:p>
        </w:tc>
        <w:tc>
          <w:tcPr>
            <w:tcW w:w="1559" w:type="dxa"/>
            <w:shd w:val="clear" w:color="000000" w:fill="FFFFFF"/>
            <w:noWrap/>
            <w:vAlign w:val="center"/>
            <w:hideMark/>
          </w:tcPr>
          <w:p w14:paraId="38AB6A02" w14:textId="77777777" w:rsidR="005E64D9" w:rsidRPr="00951AB1" w:rsidRDefault="005E64D9" w:rsidP="000A5389">
            <w:pPr>
              <w:spacing w:line="240" w:lineRule="auto"/>
              <w:jc w:val="right"/>
              <w:rPr>
                <w:rFonts w:eastAsia="Times New Roman" w:cs="Times New Roman"/>
                <w:color w:val="000000"/>
                <w:kern w:val="0"/>
                <w:sz w:val="18"/>
                <w:szCs w:val="18"/>
                <w:lang w:eastAsia="es-CO"/>
                <w14:ligatures w14:val="none"/>
              </w:rPr>
            </w:pPr>
            <w:r w:rsidRPr="00951AB1">
              <w:rPr>
                <w:rFonts w:cs="Times New Roman"/>
                <w:color w:val="000000"/>
                <w:sz w:val="18"/>
                <w:szCs w:val="18"/>
              </w:rPr>
              <w:t>-9.078.637.378</w:t>
            </w:r>
          </w:p>
        </w:tc>
      </w:tr>
      <w:tr w:rsidR="005E64D9" w:rsidRPr="00951AB1" w14:paraId="23513499" w14:textId="77777777" w:rsidTr="000E2BD8">
        <w:trPr>
          <w:trHeight w:val="274"/>
        </w:trPr>
        <w:tc>
          <w:tcPr>
            <w:tcW w:w="1177" w:type="dxa"/>
            <w:shd w:val="clear" w:color="000000" w:fill="FFFFFF"/>
            <w:noWrap/>
            <w:vAlign w:val="center"/>
            <w:hideMark/>
          </w:tcPr>
          <w:p w14:paraId="02C7A6F9" w14:textId="77777777" w:rsidR="005E64D9" w:rsidRPr="00951AB1" w:rsidRDefault="005E64D9" w:rsidP="000A5389">
            <w:pPr>
              <w:spacing w:line="240" w:lineRule="auto"/>
              <w:rPr>
                <w:rFonts w:eastAsia="Times New Roman" w:cs="Times New Roman"/>
                <w:color w:val="000000"/>
                <w:kern w:val="0"/>
                <w:sz w:val="18"/>
                <w:szCs w:val="18"/>
                <w:lang w:eastAsia="es-CO"/>
                <w14:ligatures w14:val="none"/>
              </w:rPr>
            </w:pPr>
            <w:r w:rsidRPr="00951AB1">
              <w:rPr>
                <w:rFonts w:cs="Times New Roman"/>
                <w:color w:val="000000"/>
                <w:sz w:val="18"/>
                <w:szCs w:val="18"/>
              </w:rPr>
              <w:t>1.3.84.26</w:t>
            </w:r>
          </w:p>
        </w:tc>
        <w:tc>
          <w:tcPr>
            <w:tcW w:w="2924" w:type="dxa"/>
            <w:shd w:val="clear" w:color="000000" w:fill="FFFFFF"/>
            <w:vAlign w:val="center"/>
            <w:hideMark/>
          </w:tcPr>
          <w:p w14:paraId="405D6377" w14:textId="77777777" w:rsidR="005E64D9" w:rsidRPr="00951AB1" w:rsidRDefault="005E64D9" w:rsidP="000A5389">
            <w:pPr>
              <w:spacing w:line="240" w:lineRule="auto"/>
              <w:rPr>
                <w:rFonts w:eastAsia="Times New Roman" w:cs="Times New Roman"/>
                <w:color w:val="000000"/>
                <w:kern w:val="0"/>
                <w:sz w:val="18"/>
                <w:szCs w:val="18"/>
                <w:lang w:eastAsia="es-CO"/>
                <w14:ligatures w14:val="none"/>
              </w:rPr>
            </w:pPr>
            <w:r w:rsidRPr="00951AB1">
              <w:rPr>
                <w:rFonts w:cs="Times New Roman"/>
                <w:color w:val="000000"/>
                <w:sz w:val="18"/>
                <w:szCs w:val="18"/>
              </w:rPr>
              <w:t>Pago por cuenta de terceros</w:t>
            </w:r>
          </w:p>
        </w:tc>
        <w:tc>
          <w:tcPr>
            <w:tcW w:w="1701" w:type="dxa"/>
            <w:shd w:val="clear" w:color="000000" w:fill="FFFFFF"/>
            <w:noWrap/>
            <w:vAlign w:val="center"/>
            <w:hideMark/>
          </w:tcPr>
          <w:p w14:paraId="59BDB13C" w14:textId="77777777" w:rsidR="005E64D9" w:rsidRPr="00951AB1" w:rsidRDefault="005E64D9" w:rsidP="000A5389">
            <w:pPr>
              <w:spacing w:line="240" w:lineRule="auto"/>
              <w:jc w:val="right"/>
              <w:rPr>
                <w:rFonts w:eastAsia="Times New Roman" w:cs="Times New Roman"/>
                <w:color w:val="000000"/>
                <w:kern w:val="0"/>
                <w:sz w:val="18"/>
                <w:szCs w:val="18"/>
                <w:lang w:eastAsia="es-CO"/>
                <w14:ligatures w14:val="none"/>
              </w:rPr>
            </w:pPr>
            <w:r w:rsidRPr="00951AB1">
              <w:rPr>
                <w:rFonts w:cs="Times New Roman"/>
                <w:color w:val="000000"/>
                <w:sz w:val="18"/>
                <w:szCs w:val="18"/>
              </w:rPr>
              <w:t>69.638.671</w:t>
            </w:r>
          </w:p>
        </w:tc>
        <w:tc>
          <w:tcPr>
            <w:tcW w:w="1418" w:type="dxa"/>
            <w:shd w:val="clear" w:color="000000" w:fill="FFFFFF"/>
            <w:noWrap/>
            <w:vAlign w:val="center"/>
            <w:hideMark/>
          </w:tcPr>
          <w:p w14:paraId="5D4535F1" w14:textId="77777777" w:rsidR="005E64D9" w:rsidRPr="00951AB1" w:rsidRDefault="005E64D9" w:rsidP="000A5389">
            <w:pPr>
              <w:spacing w:line="240" w:lineRule="auto"/>
              <w:jc w:val="right"/>
              <w:rPr>
                <w:rFonts w:eastAsia="Times New Roman" w:cs="Times New Roman"/>
                <w:color w:val="000000"/>
                <w:kern w:val="0"/>
                <w:sz w:val="18"/>
                <w:szCs w:val="18"/>
                <w:lang w:eastAsia="es-CO"/>
                <w14:ligatures w14:val="none"/>
              </w:rPr>
            </w:pPr>
            <w:r w:rsidRPr="00951AB1">
              <w:rPr>
                <w:rFonts w:cs="Times New Roman"/>
                <w:color w:val="000000"/>
                <w:sz w:val="18"/>
                <w:szCs w:val="18"/>
              </w:rPr>
              <w:t>53.487.232</w:t>
            </w:r>
          </w:p>
        </w:tc>
        <w:tc>
          <w:tcPr>
            <w:tcW w:w="1559" w:type="dxa"/>
            <w:shd w:val="clear" w:color="000000" w:fill="FFFFFF"/>
            <w:noWrap/>
            <w:vAlign w:val="center"/>
            <w:hideMark/>
          </w:tcPr>
          <w:p w14:paraId="43335503" w14:textId="77777777" w:rsidR="005E64D9" w:rsidRPr="00951AB1" w:rsidRDefault="005E64D9" w:rsidP="000A5389">
            <w:pPr>
              <w:spacing w:line="240" w:lineRule="auto"/>
              <w:jc w:val="right"/>
              <w:rPr>
                <w:rFonts w:eastAsia="Times New Roman" w:cs="Times New Roman"/>
                <w:color w:val="000000"/>
                <w:kern w:val="0"/>
                <w:sz w:val="18"/>
                <w:szCs w:val="18"/>
                <w:lang w:eastAsia="es-CO"/>
                <w14:ligatures w14:val="none"/>
              </w:rPr>
            </w:pPr>
            <w:r w:rsidRPr="00951AB1">
              <w:rPr>
                <w:rFonts w:cs="Times New Roman"/>
                <w:color w:val="000000"/>
                <w:sz w:val="18"/>
                <w:szCs w:val="18"/>
              </w:rPr>
              <w:t>16.151.439</w:t>
            </w:r>
          </w:p>
        </w:tc>
      </w:tr>
    </w:tbl>
    <w:p w14:paraId="7D5BA99F" w14:textId="77777777" w:rsidR="005E64D9" w:rsidRPr="00951AB1" w:rsidRDefault="005E64D9" w:rsidP="000A5389">
      <w:pPr>
        <w:spacing w:line="240" w:lineRule="auto"/>
        <w:rPr>
          <w:rFonts w:cs="Times New Roman"/>
          <w:sz w:val="14"/>
          <w:szCs w:val="14"/>
        </w:rPr>
      </w:pPr>
      <w:r w:rsidRPr="00951AB1">
        <w:rPr>
          <w:rFonts w:cs="Times New Roman"/>
          <w:sz w:val="14"/>
          <w:szCs w:val="14"/>
        </w:rPr>
        <w:t>Cifras expresadas en pesos</w:t>
      </w:r>
    </w:p>
    <w:p w14:paraId="40872303" w14:textId="77777777" w:rsidR="005E64D9" w:rsidRPr="00951AB1" w:rsidRDefault="005E64D9" w:rsidP="000A5389">
      <w:pPr>
        <w:spacing w:line="240" w:lineRule="auto"/>
        <w:rPr>
          <w:rFonts w:cs="Times New Roman"/>
          <w:b/>
          <w:bCs/>
        </w:rPr>
      </w:pPr>
    </w:p>
    <w:p w14:paraId="1B56F372" w14:textId="77777777" w:rsidR="005E64D9" w:rsidRPr="00951AB1" w:rsidRDefault="005E64D9" w:rsidP="000A5389">
      <w:pPr>
        <w:spacing w:line="240" w:lineRule="auto"/>
        <w:rPr>
          <w:rFonts w:cs="Times New Roman"/>
          <w:szCs w:val="24"/>
        </w:rPr>
      </w:pPr>
      <w:r w:rsidRPr="00951AB1">
        <w:rPr>
          <w:rFonts w:cs="Times New Roman"/>
          <w:szCs w:val="24"/>
        </w:rPr>
        <w:t>A continuación, se detallan los saldos corrientes, no corriente y el deterioro relacionado con esta cuenta, con corte al 31 de diciembre de 2025:</w:t>
      </w:r>
    </w:p>
    <w:p w14:paraId="7AA0F8B5" w14:textId="77777777" w:rsidR="005E64D9" w:rsidRPr="00951AB1" w:rsidRDefault="005E64D9" w:rsidP="000A5389">
      <w:pPr>
        <w:spacing w:line="240" w:lineRule="auto"/>
        <w:rPr>
          <w:rFonts w:cs="Times New Roman"/>
          <w:szCs w:val="24"/>
        </w:rPr>
      </w:pPr>
    </w:p>
    <w:tbl>
      <w:tblPr>
        <w:tblW w:w="5000" w:type="pct"/>
        <w:tblCellMar>
          <w:left w:w="70" w:type="dxa"/>
          <w:right w:w="70" w:type="dxa"/>
        </w:tblCellMar>
        <w:tblLook w:val="04A0" w:firstRow="1" w:lastRow="0" w:firstColumn="1" w:lastColumn="0" w:noHBand="0" w:noVBand="1"/>
      </w:tblPr>
      <w:tblGrid>
        <w:gridCol w:w="1591"/>
        <w:gridCol w:w="1015"/>
        <w:gridCol w:w="1013"/>
        <w:gridCol w:w="1160"/>
        <w:gridCol w:w="724"/>
        <w:gridCol w:w="572"/>
        <w:gridCol w:w="510"/>
        <w:gridCol w:w="798"/>
        <w:gridCol w:w="311"/>
        <w:gridCol w:w="1134"/>
      </w:tblGrid>
      <w:tr w:rsidR="005E64D9" w:rsidRPr="00951AB1" w14:paraId="54D68306" w14:textId="77777777" w:rsidTr="008567AA">
        <w:trPr>
          <w:trHeight w:val="458"/>
        </w:trPr>
        <w:tc>
          <w:tcPr>
            <w:tcW w:w="901" w:type="pct"/>
            <w:vMerge w:val="restart"/>
            <w:tcBorders>
              <w:top w:val="single" w:sz="4" w:space="0" w:color="A6A6A6"/>
              <w:left w:val="single" w:sz="4" w:space="0" w:color="A6A6A6"/>
              <w:bottom w:val="single" w:sz="4" w:space="0" w:color="A6A6A6"/>
              <w:right w:val="single" w:sz="4" w:space="0" w:color="A6A6A6"/>
            </w:tcBorders>
            <w:vAlign w:val="center"/>
            <w:hideMark/>
          </w:tcPr>
          <w:p w14:paraId="0C722E38" w14:textId="77777777" w:rsidR="005E64D9" w:rsidRPr="00951AB1" w:rsidRDefault="005E64D9" w:rsidP="000A5389">
            <w:pPr>
              <w:spacing w:line="240" w:lineRule="auto"/>
              <w:jc w:val="center"/>
              <w:rPr>
                <w:rFonts w:eastAsia="Times New Roman" w:cs="Times New Roman"/>
                <w:b/>
                <w:bCs/>
                <w:color w:val="000000"/>
                <w:sz w:val="14"/>
                <w:szCs w:val="14"/>
                <w:lang w:eastAsia="es-CO"/>
              </w:rPr>
            </w:pPr>
            <w:r w:rsidRPr="00951AB1">
              <w:rPr>
                <w:rFonts w:eastAsia="Times New Roman" w:cs="Times New Roman"/>
                <w:b/>
                <w:bCs/>
                <w:color w:val="000000"/>
                <w:sz w:val="14"/>
                <w:szCs w:val="14"/>
                <w:lang w:eastAsia="es-CO"/>
              </w:rPr>
              <w:t>DESCRIPCIÓN</w:t>
            </w:r>
          </w:p>
        </w:tc>
        <w:tc>
          <w:tcPr>
            <w:tcW w:w="1806" w:type="pct"/>
            <w:gridSpan w:val="3"/>
            <w:vMerge w:val="restart"/>
            <w:tcBorders>
              <w:top w:val="single" w:sz="4" w:space="0" w:color="A6A6A6"/>
              <w:left w:val="single" w:sz="4" w:space="0" w:color="A6A6A6"/>
              <w:bottom w:val="single" w:sz="4" w:space="0" w:color="A6A6A6"/>
              <w:right w:val="single" w:sz="4" w:space="0" w:color="A6A6A6"/>
            </w:tcBorders>
            <w:vAlign w:val="center"/>
            <w:hideMark/>
          </w:tcPr>
          <w:p w14:paraId="1363D491" w14:textId="77777777" w:rsidR="005E64D9" w:rsidRPr="00951AB1" w:rsidRDefault="005E64D9" w:rsidP="000A5389">
            <w:pPr>
              <w:spacing w:line="240" w:lineRule="auto"/>
              <w:jc w:val="center"/>
              <w:rPr>
                <w:rFonts w:eastAsia="Times New Roman" w:cs="Times New Roman"/>
                <w:b/>
                <w:bCs/>
                <w:color w:val="000000"/>
                <w:sz w:val="14"/>
                <w:szCs w:val="14"/>
                <w:lang w:eastAsia="es-CO"/>
              </w:rPr>
            </w:pPr>
            <w:r w:rsidRPr="00951AB1">
              <w:rPr>
                <w:rFonts w:eastAsia="Times New Roman" w:cs="Times New Roman"/>
                <w:b/>
                <w:bCs/>
                <w:color w:val="000000"/>
                <w:sz w:val="14"/>
                <w:szCs w:val="14"/>
                <w:lang w:eastAsia="es-CO"/>
              </w:rPr>
              <w:t>CORTE VIGENCIA 2025</w:t>
            </w:r>
          </w:p>
        </w:tc>
        <w:tc>
          <w:tcPr>
            <w:tcW w:w="1651" w:type="pct"/>
            <w:gridSpan w:val="5"/>
            <w:vMerge w:val="restart"/>
            <w:tcBorders>
              <w:top w:val="single" w:sz="4" w:space="0" w:color="A6A6A6"/>
              <w:left w:val="single" w:sz="4" w:space="0" w:color="A6A6A6"/>
              <w:bottom w:val="single" w:sz="4" w:space="0" w:color="A6A6A6"/>
              <w:right w:val="single" w:sz="4" w:space="0" w:color="A6A6A6"/>
            </w:tcBorders>
            <w:vAlign w:val="center"/>
            <w:hideMark/>
          </w:tcPr>
          <w:p w14:paraId="77DE7752" w14:textId="77777777" w:rsidR="005E64D9" w:rsidRPr="00951AB1" w:rsidRDefault="005E64D9" w:rsidP="000A5389">
            <w:pPr>
              <w:spacing w:line="240" w:lineRule="auto"/>
              <w:jc w:val="center"/>
              <w:rPr>
                <w:rFonts w:eastAsia="Times New Roman" w:cs="Times New Roman"/>
                <w:b/>
                <w:bCs/>
                <w:color w:val="000000"/>
                <w:sz w:val="14"/>
                <w:szCs w:val="14"/>
                <w:lang w:eastAsia="es-CO"/>
              </w:rPr>
            </w:pPr>
            <w:r w:rsidRPr="00951AB1">
              <w:rPr>
                <w:rFonts w:eastAsia="Times New Roman" w:cs="Times New Roman"/>
                <w:b/>
                <w:bCs/>
                <w:color w:val="000000"/>
                <w:sz w:val="14"/>
                <w:szCs w:val="14"/>
                <w:lang w:eastAsia="es-CO"/>
              </w:rPr>
              <w:t>DETERIORO ACUMULADO 2025</w:t>
            </w:r>
          </w:p>
        </w:tc>
        <w:tc>
          <w:tcPr>
            <w:tcW w:w="642" w:type="pct"/>
            <w:vMerge w:val="restart"/>
            <w:tcBorders>
              <w:top w:val="single" w:sz="4" w:space="0" w:color="A6A6A6"/>
              <w:left w:val="single" w:sz="4" w:space="0" w:color="A6A6A6"/>
              <w:bottom w:val="single" w:sz="4" w:space="0" w:color="A6A6A6"/>
              <w:right w:val="single" w:sz="4" w:space="0" w:color="A6A6A6"/>
            </w:tcBorders>
            <w:vAlign w:val="center"/>
            <w:hideMark/>
          </w:tcPr>
          <w:p w14:paraId="2C946AEB" w14:textId="77777777" w:rsidR="005E64D9" w:rsidRPr="00951AB1" w:rsidRDefault="005E64D9" w:rsidP="000A5389">
            <w:pPr>
              <w:spacing w:line="240" w:lineRule="auto"/>
              <w:jc w:val="center"/>
              <w:rPr>
                <w:rFonts w:eastAsia="Times New Roman" w:cs="Times New Roman"/>
                <w:b/>
                <w:bCs/>
                <w:color w:val="000000"/>
                <w:sz w:val="14"/>
                <w:szCs w:val="14"/>
                <w:lang w:eastAsia="es-CO"/>
              </w:rPr>
            </w:pPr>
            <w:r w:rsidRPr="00951AB1">
              <w:rPr>
                <w:rFonts w:eastAsia="Times New Roman" w:cs="Times New Roman"/>
                <w:b/>
                <w:bCs/>
                <w:color w:val="000000"/>
                <w:sz w:val="14"/>
                <w:szCs w:val="14"/>
                <w:lang w:eastAsia="es-CO"/>
              </w:rPr>
              <w:t>DEFINITIVO</w:t>
            </w:r>
          </w:p>
        </w:tc>
      </w:tr>
      <w:tr w:rsidR="005E64D9" w:rsidRPr="00951AB1" w14:paraId="2A897235" w14:textId="77777777">
        <w:trPr>
          <w:trHeight w:val="471"/>
        </w:trPr>
        <w:tc>
          <w:tcPr>
            <w:tcW w:w="901" w:type="pct"/>
            <w:vMerge/>
            <w:tcBorders>
              <w:top w:val="single" w:sz="4" w:space="0" w:color="A6A6A6"/>
              <w:left w:val="single" w:sz="4" w:space="0" w:color="A6A6A6"/>
              <w:bottom w:val="single" w:sz="4" w:space="0" w:color="A6A6A6"/>
              <w:right w:val="single" w:sz="4" w:space="0" w:color="A6A6A6"/>
            </w:tcBorders>
            <w:vAlign w:val="center"/>
            <w:hideMark/>
          </w:tcPr>
          <w:p w14:paraId="446D6C39" w14:textId="77777777" w:rsidR="005E64D9" w:rsidRPr="00951AB1" w:rsidRDefault="005E64D9" w:rsidP="000A5389">
            <w:pPr>
              <w:spacing w:line="240" w:lineRule="auto"/>
              <w:rPr>
                <w:rFonts w:eastAsia="Times New Roman" w:cs="Times New Roman"/>
                <w:b/>
                <w:bCs/>
                <w:color w:val="000000"/>
                <w:sz w:val="14"/>
                <w:szCs w:val="14"/>
                <w:lang w:eastAsia="es-CO"/>
              </w:rPr>
            </w:pPr>
          </w:p>
        </w:tc>
        <w:tc>
          <w:tcPr>
            <w:tcW w:w="1806" w:type="pct"/>
            <w:gridSpan w:val="3"/>
            <w:vMerge/>
            <w:tcBorders>
              <w:top w:val="single" w:sz="4" w:space="0" w:color="A6A6A6"/>
              <w:left w:val="single" w:sz="4" w:space="0" w:color="A6A6A6"/>
              <w:bottom w:val="single" w:sz="4" w:space="0" w:color="A6A6A6"/>
              <w:right w:val="single" w:sz="4" w:space="0" w:color="A6A6A6"/>
            </w:tcBorders>
            <w:vAlign w:val="center"/>
            <w:hideMark/>
          </w:tcPr>
          <w:p w14:paraId="34DDA7E4" w14:textId="77777777" w:rsidR="005E64D9" w:rsidRPr="00951AB1" w:rsidRDefault="005E64D9" w:rsidP="000A5389">
            <w:pPr>
              <w:spacing w:line="240" w:lineRule="auto"/>
              <w:rPr>
                <w:rFonts w:eastAsia="Times New Roman" w:cs="Times New Roman"/>
                <w:b/>
                <w:bCs/>
                <w:color w:val="000000"/>
                <w:sz w:val="14"/>
                <w:szCs w:val="14"/>
                <w:lang w:eastAsia="es-CO"/>
              </w:rPr>
            </w:pPr>
          </w:p>
        </w:tc>
        <w:tc>
          <w:tcPr>
            <w:tcW w:w="1651" w:type="pct"/>
            <w:gridSpan w:val="5"/>
            <w:vMerge/>
            <w:tcBorders>
              <w:top w:val="single" w:sz="4" w:space="0" w:color="A6A6A6"/>
              <w:left w:val="single" w:sz="4" w:space="0" w:color="A6A6A6"/>
              <w:bottom w:val="single" w:sz="4" w:space="0" w:color="A6A6A6"/>
              <w:right w:val="single" w:sz="4" w:space="0" w:color="A6A6A6"/>
            </w:tcBorders>
            <w:vAlign w:val="center"/>
            <w:hideMark/>
          </w:tcPr>
          <w:p w14:paraId="367E9FDC" w14:textId="77777777" w:rsidR="005E64D9" w:rsidRPr="00951AB1" w:rsidRDefault="005E64D9" w:rsidP="000A5389">
            <w:pPr>
              <w:spacing w:line="240" w:lineRule="auto"/>
              <w:rPr>
                <w:rFonts w:eastAsia="Times New Roman" w:cs="Times New Roman"/>
                <w:b/>
                <w:bCs/>
                <w:color w:val="000000"/>
                <w:sz w:val="14"/>
                <w:szCs w:val="14"/>
                <w:lang w:eastAsia="es-CO"/>
              </w:rPr>
            </w:pPr>
          </w:p>
        </w:tc>
        <w:tc>
          <w:tcPr>
            <w:tcW w:w="642" w:type="pct"/>
            <w:vMerge/>
            <w:tcBorders>
              <w:top w:val="single" w:sz="4" w:space="0" w:color="A6A6A6"/>
              <w:left w:val="single" w:sz="4" w:space="0" w:color="A6A6A6"/>
              <w:bottom w:val="single" w:sz="4" w:space="0" w:color="A6A6A6"/>
              <w:right w:val="single" w:sz="4" w:space="0" w:color="A6A6A6"/>
            </w:tcBorders>
            <w:vAlign w:val="center"/>
            <w:hideMark/>
          </w:tcPr>
          <w:p w14:paraId="32C78015" w14:textId="77777777" w:rsidR="005E64D9" w:rsidRPr="00951AB1" w:rsidRDefault="005E64D9" w:rsidP="000A5389">
            <w:pPr>
              <w:spacing w:line="240" w:lineRule="auto"/>
              <w:rPr>
                <w:rFonts w:eastAsia="Times New Roman" w:cs="Times New Roman"/>
                <w:b/>
                <w:bCs/>
                <w:color w:val="000000"/>
                <w:sz w:val="14"/>
                <w:szCs w:val="14"/>
                <w:lang w:eastAsia="es-CO"/>
              </w:rPr>
            </w:pPr>
          </w:p>
        </w:tc>
      </w:tr>
      <w:tr w:rsidR="005E64D9" w:rsidRPr="00951AB1" w14:paraId="4521B49B" w14:textId="77777777" w:rsidTr="007B1127">
        <w:trPr>
          <w:trHeight w:val="458"/>
        </w:trPr>
        <w:tc>
          <w:tcPr>
            <w:tcW w:w="901" w:type="pct"/>
            <w:vMerge/>
            <w:tcBorders>
              <w:top w:val="single" w:sz="4" w:space="0" w:color="A6A6A6"/>
              <w:left w:val="single" w:sz="4" w:space="0" w:color="A6A6A6"/>
              <w:bottom w:val="single" w:sz="4" w:space="0" w:color="A6A6A6"/>
              <w:right w:val="single" w:sz="4" w:space="0" w:color="A6A6A6"/>
            </w:tcBorders>
            <w:vAlign w:val="center"/>
            <w:hideMark/>
          </w:tcPr>
          <w:p w14:paraId="75EF2727" w14:textId="77777777" w:rsidR="005E64D9" w:rsidRPr="00951AB1" w:rsidRDefault="005E64D9" w:rsidP="000A5389">
            <w:pPr>
              <w:spacing w:line="240" w:lineRule="auto"/>
              <w:rPr>
                <w:rFonts w:eastAsia="Times New Roman" w:cs="Times New Roman"/>
                <w:b/>
                <w:bCs/>
                <w:color w:val="000000"/>
                <w:sz w:val="14"/>
                <w:szCs w:val="14"/>
                <w:lang w:eastAsia="es-CO"/>
              </w:rPr>
            </w:pPr>
          </w:p>
        </w:tc>
        <w:tc>
          <w:tcPr>
            <w:tcW w:w="1806" w:type="pct"/>
            <w:gridSpan w:val="3"/>
            <w:vMerge/>
            <w:tcBorders>
              <w:top w:val="single" w:sz="4" w:space="0" w:color="A6A6A6"/>
              <w:left w:val="single" w:sz="4" w:space="0" w:color="A6A6A6"/>
              <w:bottom w:val="single" w:sz="4" w:space="0" w:color="A6A6A6"/>
              <w:right w:val="single" w:sz="4" w:space="0" w:color="A6A6A6"/>
            </w:tcBorders>
            <w:vAlign w:val="center"/>
            <w:hideMark/>
          </w:tcPr>
          <w:p w14:paraId="72BE0371" w14:textId="77777777" w:rsidR="005E64D9" w:rsidRPr="00951AB1" w:rsidRDefault="005E64D9" w:rsidP="000A5389">
            <w:pPr>
              <w:spacing w:line="240" w:lineRule="auto"/>
              <w:rPr>
                <w:rFonts w:eastAsia="Times New Roman" w:cs="Times New Roman"/>
                <w:b/>
                <w:bCs/>
                <w:color w:val="000000"/>
                <w:sz w:val="14"/>
                <w:szCs w:val="14"/>
                <w:lang w:eastAsia="es-CO"/>
              </w:rPr>
            </w:pPr>
          </w:p>
        </w:tc>
        <w:tc>
          <w:tcPr>
            <w:tcW w:w="1651" w:type="pct"/>
            <w:gridSpan w:val="5"/>
            <w:vMerge/>
            <w:tcBorders>
              <w:top w:val="single" w:sz="4" w:space="0" w:color="A6A6A6"/>
              <w:left w:val="single" w:sz="4" w:space="0" w:color="A6A6A6"/>
              <w:bottom w:val="single" w:sz="4" w:space="0" w:color="A6A6A6"/>
              <w:right w:val="single" w:sz="4" w:space="0" w:color="A6A6A6"/>
            </w:tcBorders>
            <w:vAlign w:val="center"/>
            <w:hideMark/>
          </w:tcPr>
          <w:p w14:paraId="7E97050D" w14:textId="77777777" w:rsidR="005E64D9" w:rsidRPr="00951AB1" w:rsidRDefault="005E64D9" w:rsidP="000A5389">
            <w:pPr>
              <w:spacing w:line="240" w:lineRule="auto"/>
              <w:rPr>
                <w:rFonts w:eastAsia="Times New Roman" w:cs="Times New Roman"/>
                <w:b/>
                <w:bCs/>
                <w:color w:val="000000"/>
                <w:sz w:val="14"/>
                <w:szCs w:val="14"/>
                <w:lang w:eastAsia="es-CO"/>
              </w:rPr>
            </w:pPr>
          </w:p>
        </w:tc>
        <w:tc>
          <w:tcPr>
            <w:tcW w:w="642" w:type="pct"/>
            <w:vMerge/>
            <w:tcBorders>
              <w:top w:val="single" w:sz="4" w:space="0" w:color="A6A6A6"/>
              <w:left w:val="single" w:sz="4" w:space="0" w:color="A6A6A6"/>
              <w:bottom w:val="single" w:sz="4" w:space="0" w:color="A6A6A6"/>
              <w:right w:val="single" w:sz="4" w:space="0" w:color="A6A6A6"/>
            </w:tcBorders>
            <w:vAlign w:val="center"/>
            <w:hideMark/>
          </w:tcPr>
          <w:p w14:paraId="02A9BF6F" w14:textId="77777777" w:rsidR="005E64D9" w:rsidRPr="00951AB1" w:rsidRDefault="005E64D9" w:rsidP="000A5389">
            <w:pPr>
              <w:spacing w:line="240" w:lineRule="auto"/>
              <w:rPr>
                <w:rFonts w:eastAsia="Times New Roman" w:cs="Times New Roman"/>
                <w:b/>
                <w:bCs/>
                <w:color w:val="000000"/>
                <w:sz w:val="14"/>
                <w:szCs w:val="14"/>
                <w:lang w:eastAsia="es-CO"/>
              </w:rPr>
            </w:pPr>
          </w:p>
        </w:tc>
      </w:tr>
      <w:tr w:rsidR="005E64D9" w:rsidRPr="00951AB1" w14:paraId="3F2D5C2A" w14:textId="77777777">
        <w:trPr>
          <w:trHeight w:val="1620"/>
        </w:trPr>
        <w:tc>
          <w:tcPr>
            <w:tcW w:w="901" w:type="pct"/>
            <w:tcBorders>
              <w:top w:val="nil"/>
              <w:left w:val="single" w:sz="4" w:space="0" w:color="A6A6A6"/>
              <w:bottom w:val="single" w:sz="4" w:space="0" w:color="A6A6A6"/>
              <w:right w:val="single" w:sz="4" w:space="0" w:color="A6A6A6"/>
            </w:tcBorders>
            <w:textDirection w:val="btLr"/>
            <w:vAlign w:val="center"/>
            <w:hideMark/>
          </w:tcPr>
          <w:p w14:paraId="391A6964" w14:textId="77777777" w:rsidR="005E64D9" w:rsidRPr="00951AB1" w:rsidRDefault="005E64D9" w:rsidP="000A5389">
            <w:pPr>
              <w:spacing w:line="240" w:lineRule="auto"/>
              <w:jc w:val="center"/>
              <w:rPr>
                <w:rFonts w:eastAsia="Times New Roman" w:cs="Times New Roman"/>
                <w:b/>
                <w:bCs/>
                <w:color w:val="000000"/>
                <w:sz w:val="14"/>
                <w:szCs w:val="14"/>
                <w:lang w:eastAsia="es-CO"/>
              </w:rPr>
            </w:pPr>
            <w:r w:rsidRPr="00951AB1">
              <w:rPr>
                <w:rFonts w:eastAsia="Times New Roman" w:cs="Times New Roman"/>
                <w:b/>
                <w:bCs/>
                <w:color w:val="000000"/>
                <w:sz w:val="14"/>
                <w:szCs w:val="14"/>
                <w:lang w:eastAsia="es-CO"/>
              </w:rPr>
              <w:lastRenderedPageBreak/>
              <w:t>CONCEPTO</w:t>
            </w:r>
          </w:p>
        </w:tc>
        <w:tc>
          <w:tcPr>
            <w:tcW w:w="575" w:type="pct"/>
            <w:tcBorders>
              <w:top w:val="nil"/>
              <w:left w:val="nil"/>
              <w:bottom w:val="single" w:sz="4" w:space="0" w:color="A6A6A6"/>
              <w:right w:val="single" w:sz="4" w:space="0" w:color="A6A6A6"/>
            </w:tcBorders>
            <w:textDirection w:val="btLr"/>
            <w:vAlign w:val="center"/>
            <w:hideMark/>
          </w:tcPr>
          <w:p w14:paraId="4549EBF5" w14:textId="77777777" w:rsidR="005E64D9" w:rsidRPr="00951AB1" w:rsidRDefault="005E64D9" w:rsidP="000A5389">
            <w:pPr>
              <w:spacing w:line="240" w:lineRule="auto"/>
              <w:jc w:val="center"/>
              <w:rPr>
                <w:rFonts w:eastAsia="Times New Roman" w:cs="Times New Roman"/>
                <w:b/>
                <w:bCs/>
                <w:color w:val="000000"/>
                <w:sz w:val="14"/>
                <w:szCs w:val="14"/>
                <w:lang w:eastAsia="es-CO"/>
              </w:rPr>
            </w:pPr>
            <w:r w:rsidRPr="00951AB1">
              <w:rPr>
                <w:rFonts w:eastAsia="Times New Roman" w:cs="Times New Roman"/>
                <w:b/>
                <w:bCs/>
                <w:color w:val="000000"/>
                <w:sz w:val="14"/>
                <w:szCs w:val="14"/>
                <w:lang w:eastAsia="es-CO"/>
              </w:rPr>
              <w:t>SALDO CORRIENTE</w:t>
            </w:r>
          </w:p>
        </w:tc>
        <w:tc>
          <w:tcPr>
            <w:tcW w:w="574" w:type="pct"/>
            <w:tcBorders>
              <w:top w:val="nil"/>
              <w:left w:val="nil"/>
              <w:bottom w:val="single" w:sz="4" w:space="0" w:color="A6A6A6"/>
              <w:right w:val="single" w:sz="4" w:space="0" w:color="A6A6A6"/>
            </w:tcBorders>
            <w:textDirection w:val="btLr"/>
            <w:vAlign w:val="center"/>
            <w:hideMark/>
          </w:tcPr>
          <w:p w14:paraId="3FEDEC8C" w14:textId="77777777" w:rsidR="005E64D9" w:rsidRPr="00951AB1" w:rsidRDefault="005E64D9" w:rsidP="000A5389">
            <w:pPr>
              <w:spacing w:line="240" w:lineRule="auto"/>
              <w:jc w:val="center"/>
              <w:rPr>
                <w:rFonts w:eastAsia="Times New Roman" w:cs="Times New Roman"/>
                <w:b/>
                <w:bCs/>
                <w:color w:val="000000"/>
                <w:sz w:val="14"/>
                <w:szCs w:val="14"/>
                <w:lang w:eastAsia="es-CO"/>
              </w:rPr>
            </w:pPr>
            <w:r w:rsidRPr="00951AB1">
              <w:rPr>
                <w:rFonts w:eastAsia="Times New Roman" w:cs="Times New Roman"/>
                <w:b/>
                <w:bCs/>
                <w:color w:val="000000"/>
                <w:sz w:val="14"/>
                <w:szCs w:val="14"/>
                <w:lang w:eastAsia="es-CO"/>
              </w:rPr>
              <w:t>SALDO NO CORRIENTE</w:t>
            </w:r>
          </w:p>
        </w:tc>
        <w:tc>
          <w:tcPr>
            <w:tcW w:w="657" w:type="pct"/>
            <w:tcBorders>
              <w:top w:val="nil"/>
              <w:left w:val="nil"/>
              <w:bottom w:val="single" w:sz="4" w:space="0" w:color="A6A6A6"/>
              <w:right w:val="single" w:sz="4" w:space="0" w:color="A6A6A6"/>
            </w:tcBorders>
            <w:textDirection w:val="btLr"/>
            <w:vAlign w:val="center"/>
            <w:hideMark/>
          </w:tcPr>
          <w:p w14:paraId="259888D5" w14:textId="77777777" w:rsidR="005E64D9" w:rsidRPr="00951AB1" w:rsidRDefault="005E64D9" w:rsidP="000A5389">
            <w:pPr>
              <w:spacing w:line="240" w:lineRule="auto"/>
              <w:jc w:val="center"/>
              <w:rPr>
                <w:rFonts w:eastAsia="Times New Roman" w:cs="Times New Roman"/>
                <w:b/>
                <w:bCs/>
                <w:color w:val="000000"/>
                <w:sz w:val="14"/>
                <w:szCs w:val="14"/>
                <w:lang w:eastAsia="es-CO"/>
              </w:rPr>
            </w:pPr>
            <w:r w:rsidRPr="00951AB1">
              <w:rPr>
                <w:rFonts w:eastAsia="Times New Roman" w:cs="Times New Roman"/>
                <w:b/>
                <w:bCs/>
                <w:color w:val="000000"/>
                <w:sz w:val="14"/>
                <w:szCs w:val="14"/>
                <w:lang w:eastAsia="es-CO"/>
              </w:rPr>
              <w:t>SALDO FINAL</w:t>
            </w:r>
          </w:p>
        </w:tc>
        <w:tc>
          <w:tcPr>
            <w:tcW w:w="410" w:type="pct"/>
            <w:tcBorders>
              <w:top w:val="nil"/>
              <w:left w:val="nil"/>
              <w:bottom w:val="single" w:sz="4" w:space="0" w:color="A6A6A6"/>
              <w:right w:val="single" w:sz="4" w:space="0" w:color="A6A6A6"/>
            </w:tcBorders>
            <w:textDirection w:val="btLr"/>
            <w:vAlign w:val="center"/>
            <w:hideMark/>
          </w:tcPr>
          <w:p w14:paraId="67C62247" w14:textId="77777777" w:rsidR="005E64D9" w:rsidRPr="00951AB1" w:rsidRDefault="005E64D9" w:rsidP="000A5389">
            <w:pPr>
              <w:spacing w:line="240" w:lineRule="auto"/>
              <w:jc w:val="center"/>
              <w:rPr>
                <w:rFonts w:eastAsia="Times New Roman" w:cs="Times New Roman"/>
                <w:b/>
                <w:bCs/>
                <w:color w:val="000000"/>
                <w:sz w:val="14"/>
                <w:szCs w:val="14"/>
                <w:lang w:eastAsia="es-CO"/>
              </w:rPr>
            </w:pPr>
            <w:r w:rsidRPr="00951AB1">
              <w:rPr>
                <w:rFonts w:eastAsia="Times New Roman" w:cs="Times New Roman"/>
                <w:b/>
                <w:bCs/>
                <w:color w:val="000000"/>
                <w:sz w:val="14"/>
                <w:szCs w:val="14"/>
                <w:lang w:eastAsia="es-CO"/>
              </w:rPr>
              <w:t>SALDO INICIAL</w:t>
            </w:r>
          </w:p>
        </w:tc>
        <w:tc>
          <w:tcPr>
            <w:tcW w:w="324" w:type="pct"/>
            <w:tcBorders>
              <w:top w:val="nil"/>
              <w:left w:val="nil"/>
              <w:bottom w:val="single" w:sz="4" w:space="0" w:color="A6A6A6"/>
              <w:right w:val="single" w:sz="4" w:space="0" w:color="A6A6A6"/>
            </w:tcBorders>
            <w:textDirection w:val="btLr"/>
            <w:vAlign w:val="center"/>
            <w:hideMark/>
          </w:tcPr>
          <w:p w14:paraId="371DE1E6" w14:textId="77777777" w:rsidR="005E64D9" w:rsidRPr="00951AB1" w:rsidRDefault="005E64D9" w:rsidP="000A5389">
            <w:pPr>
              <w:spacing w:line="240" w:lineRule="auto"/>
              <w:jc w:val="center"/>
              <w:rPr>
                <w:rFonts w:eastAsia="Times New Roman" w:cs="Times New Roman"/>
                <w:b/>
                <w:bCs/>
                <w:color w:val="000000"/>
                <w:sz w:val="14"/>
                <w:szCs w:val="14"/>
                <w:lang w:eastAsia="es-CO"/>
              </w:rPr>
            </w:pPr>
            <w:r w:rsidRPr="00951AB1">
              <w:rPr>
                <w:rFonts w:eastAsia="Times New Roman" w:cs="Times New Roman"/>
                <w:b/>
                <w:bCs/>
                <w:color w:val="000000"/>
                <w:sz w:val="14"/>
                <w:szCs w:val="14"/>
                <w:lang w:eastAsia="es-CO"/>
              </w:rPr>
              <w:t>(+) DETERIORO APLICADO EN LA VIGENCIA</w:t>
            </w:r>
          </w:p>
        </w:tc>
        <w:tc>
          <w:tcPr>
            <w:tcW w:w="289" w:type="pct"/>
            <w:tcBorders>
              <w:top w:val="nil"/>
              <w:left w:val="nil"/>
              <w:bottom w:val="single" w:sz="4" w:space="0" w:color="A6A6A6"/>
              <w:right w:val="single" w:sz="4" w:space="0" w:color="A6A6A6"/>
            </w:tcBorders>
            <w:textDirection w:val="btLr"/>
            <w:vAlign w:val="center"/>
            <w:hideMark/>
          </w:tcPr>
          <w:p w14:paraId="107001CF" w14:textId="77777777" w:rsidR="005E64D9" w:rsidRPr="00951AB1" w:rsidRDefault="005E64D9" w:rsidP="000A5389">
            <w:pPr>
              <w:spacing w:line="240" w:lineRule="auto"/>
              <w:jc w:val="center"/>
              <w:rPr>
                <w:rFonts w:eastAsia="Times New Roman" w:cs="Times New Roman"/>
                <w:b/>
                <w:bCs/>
                <w:color w:val="000000"/>
                <w:sz w:val="14"/>
                <w:szCs w:val="14"/>
                <w:lang w:eastAsia="es-CO"/>
              </w:rPr>
            </w:pPr>
            <w:r w:rsidRPr="00951AB1">
              <w:rPr>
                <w:rFonts w:eastAsia="Times New Roman" w:cs="Times New Roman"/>
                <w:b/>
                <w:bCs/>
                <w:color w:val="000000"/>
                <w:sz w:val="14"/>
                <w:szCs w:val="14"/>
                <w:lang w:eastAsia="es-CO"/>
              </w:rPr>
              <w:t>(-) REVERSIÓN DE DETERIORO EN LA VIGENCIA</w:t>
            </w:r>
          </w:p>
        </w:tc>
        <w:tc>
          <w:tcPr>
            <w:tcW w:w="452" w:type="pct"/>
            <w:tcBorders>
              <w:top w:val="nil"/>
              <w:left w:val="nil"/>
              <w:bottom w:val="single" w:sz="4" w:space="0" w:color="A6A6A6"/>
              <w:right w:val="single" w:sz="4" w:space="0" w:color="A6A6A6"/>
            </w:tcBorders>
            <w:textDirection w:val="btLr"/>
            <w:vAlign w:val="center"/>
            <w:hideMark/>
          </w:tcPr>
          <w:p w14:paraId="34022017" w14:textId="77777777" w:rsidR="005E64D9" w:rsidRPr="00951AB1" w:rsidRDefault="005E64D9" w:rsidP="000A5389">
            <w:pPr>
              <w:spacing w:line="240" w:lineRule="auto"/>
              <w:jc w:val="center"/>
              <w:rPr>
                <w:rFonts w:eastAsia="Times New Roman" w:cs="Times New Roman"/>
                <w:b/>
                <w:bCs/>
                <w:color w:val="000000"/>
                <w:sz w:val="14"/>
                <w:szCs w:val="14"/>
                <w:lang w:eastAsia="es-CO"/>
              </w:rPr>
            </w:pPr>
            <w:r w:rsidRPr="00951AB1">
              <w:rPr>
                <w:rFonts w:eastAsia="Times New Roman" w:cs="Times New Roman"/>
                <w:b/>
                <w:bCs/>
                <w:color w:val="000000"/>
                <w:sz w:val="14"/>
                <w:szCs w:val="14"/>
                <w:lang w:eastAsia="es-CO"/>
              </w:rPr>
              <w:t>SALDO FINAL</w:t>
            </w:r>
          </w:p>
        </w:tc>
        <w:tc>
          <w:tcPr>
            <w:tcW w:w="176" w:type="pct"/>
            <w:tcBorders>
              <w:top w:val="nil"/>
              <w:left w:val="nil"/>
              <w:bottom w:val="single" w:sz="4" w:space="0" w:color="A6A6A6"/>
              <w:right w:val="single" w:sz="4" w:space="0" w:color="A6A6A6"/>
            </w:tcBorders>
            <w:vAlign w:val="center"/>
            <w:hideMark/>
          </w:tcPr>
          <w:p w14:paraId="5095ED8B" w14:textId="77777777" w:rsidR="005E64D9" w:rsidRPr="00951AB1" w:rsidRDefault="005E64D9" w:rsidP="000A5389">
            <w:pPr>
              <w:spacing w:line="240" w:lineRule="auto"/>
              <w:jc w:val="center"/>
              <w:rPr>
                <w:rFonts w:eastAsia="Times New Roman" w:cs="Times New Roman"/>
                <w:b/>
                <w:bCs/>
                <w:color w:val="000000"/>
                <w:sz w:val="14"/>
                <w:szCs w:val="14"/>
                <w:lang w:eastAsia="es-CO"/>
              </w:rPr>
            </w:pPr>
            <w:r w:rsidRPr="00951AB1">
              <w:rPr>
                <w:rFonts w:eastAsia="Times New Roman" w:cs="Times New Roman"/>
                <w:b/>
                <w:bCs/>
                <w:color w:val="000000"/>
                <w:sz w:val="14"/>
                <w:szCs w:val="14"/>
                <w:lang w:eastAsia="es-CO"/>
              </w:rPr>
              <w:t>%</w:t>
            </w:r>
          </w:p>
        </w:tc>
        <w:tc>
          <w:tcPr>
            <w:tcW w:w="642" w:type="pct"/>
            <w:tcBorders>
              <w:top w:val="nil"/>
              <w:left w:val="nil"/>
              <w:bottom w:val="single" w:sz="4" w:space="0" w:color="A6A6A6"/>
              <w:right w:val="single" w:sz="4" w:space="0" w:color="A6A6A6"/>
            </w:tcBorders>
            <w:textDirection w:val="btLr"/>
            <w:vAlign w:val="center"/>
            <w:hideMark/>
          </w:tcPr>
          <w:p w14:paraId="22C6C983" w14:textId="77777777" w:rsidR="005E64D9" w:rsidRPr="00951AB1" w:rsidRDefault="005E64D9" w:rsidP="000A5389">
            <w:pPr>
              <w:spacing w:line="240" w:lineRule="auto"/>
              <w:jc w:val="center"/>
              <w:rPr>
                <w:rFonts w:eastAsia="Times New Roman" w:cs="Times New Roman"/>
                <w:b/>
                <w:bCs/>
                <w:color w:val="000000"/>
                <w:sz w:val="14"/>
                <w:szCs w:val="14"/>
                <w:lang w:eastAsia="es-CO"/>
              </w:rPr>
            </w:pPr>
            <w:r w:rsidRPr="00951AB1">
              <w:rPr>
                <w:rFonts w:eastAsia="Times New Roman" w:cs="Times New Roman"/>
                <w:b/>
                <w:bCs/>
                <w:color w:val="000000"/>
                <w:sz w:val="14"/>
                <w:szCs w:val="14"/>
                <w:lang w:eastAsia="es-CO"/>
              </w:rPr>
              <w:t>SALDO DESPUÉS DE DETERIORO</w:t>
            </w:r>
          </w:p>
        </w:tc>
      </w:tr>
      <w:tr w:rsidR="005E64D9" w:rsidRPr="00951AB1" w14:paraId="39226820" w14:textId="77777777">
        <w:trPr>
          <w:trHeight w:val="285"/>
        </w:trPr>
        <w:tc>
          <w:tcPr>
            <w:tcW w:w="901" w:type="pct"/>
            <w:tcBorders>
              <w:top w:val="nil"/>
              <w:left w:val="single" w:sz="4" w:space="0" w:color="A6A6A6"/>
              <w:bottom w:val="single" w:sz="4" w:space="0" w:color="A6A6A6"/>
              <w:right w:val="single" w:sz="4" w:space="0" w:color="A6A6A6"/>
            </w:tcBorders>
            <w:vAlign w:val="center"/>
            <w:hideMark/>
          </w:tcPr>
          <w:p w14:paraId="4A358C3A" w14:textId="77777777" w:rsidR="005E64D9" w:rsidRPr="00951AB1" w:rsidRDefault="005E64D9" w:rsidP="000A5389">
            <w:pPr>
              <w:spacing w:line="240" w:lineRule="auto"/>
              <w:rPr>
                <w:rFonts w:eastAsia="Times New Roman" w:cs="Times New Roman"/>
                <w:b/>
                <w:bCs/>
                <w:color w:val="000000"/>
                <w:sz w:val="14"/>
                <w:szCs w:val="14"/>
                <w:lang w:eastAsia="es-CO"/>
              </w:rPr>
            </w:pPr>
            <w:r w:rsidRPr="00951AB1">
              <w:rPr>
                <w:rFonts w:eastAsia="Times New Roman" w:cs="Times New Roman"/>
                <w:b/>
                <w:bCs/>
                <w:color w:val="000000"/>
                <w:sz w:val="14"/>
                <w:szCs w:val="14"/>
                <w:lang w:eastAsia="es-CO"/>
              </w:rPr>
              <w:t>OTRAS CUENTAS POR COBRAR</w:t>
            </w:r>
          </w:p>
        </w:tc>
        <w:tc>
          <w:tcPr>
            <w:tcW w:w="575" w:type="pct"/>
            <w:tcBorders>
              <w:top w:val="nil"/>
              <w:left w:val="nil"/>
              <w:bottom w:val="single" w:sz="4" w:space="0" w:color="A6A6A6"/>
              <w:right w:val="single" w:sz="4" w:space="0" w:color="A6A6A6"/>
            </w:tcBorders>
            <w:noWrap/>
            <w:vAlign w:val="center"/>
            <w:hideMark/>
          </w:tcPr>
          <w:p w14:paraId="0351662A" w14:textId="77777777" w:rsidR="005E64D9" w:rsidRPr="00951AB1" w:rsidRDefault="005E64D9" w:rsidP="000A5389">
            <w:pPr>
              <w:spacing w:line="240" w:lineRule="auto"/>
              <w:jc w:val="right"/>
              <w:rPr>
                <w:rFonts w:eastAsia="Times New Roman" w:cs="Times New Roman"/>
                <w:b/>
                <w:bCs/>
                <w:color w:val="000000"/>
                <w:sz w:val="14"/>
                <w:szCs w:val="14"/>
                <w:lang w:eastAsia="es-CO"/>
              </w:rPr>
            </w:pPr>
            <w:r w:rsidRPr="00951AB1">
              <w:rPr>
                <w:rFonts w:cs="Times New Roman"/>
                <w:b/>
                <w:bCs/>
                <w:color w:val="000000"/>
                <w:sz w:val="14"/>
                <w:szCs w:val="14"/>
              </w:rPr>
              <w:t xml:space="preserve">3.237.112.846 </w:t>
            </w:r>
          </w:p>
        </w:tc>
        <w:tc>
          <w:tcPr>
            <w:tcW w:w="574" w:type="pct"/>
            <w:tcBorders>
              <w:top w:val="nil"/>
              <w:left w:val="nil"/>
              <w:bottom w:val="single" w:sz="4" w:space="0" w:color="A6A6A6"/>
              <w:right w:val="single" w:sz="4" w:space="0" w:color="A6A6A6"/>
            </w:tcBorders>
            <w:noWrap/>
            <w:vAlign w:val="center"/>
            <w:hideMark/>
          </w:tcPr>
          <w:p w14:paraId="64C90B9C" w14:textId="77777777" w:rsidR="005E64D9" w:rsidRPr="00951AB1" w:rsidRDefault="005E64D9" w:rsidP="000A5389">
            <w:pPr>
              <w:spacing w:line="240" w:lineRule="auto"/>
              <w:jc w:val="right"/>
              <w:rPr>
                <w:rFonts w:eastAsia="Times New Roman" w:cs="Times New Roman"/>
                <w:b/>
                <w:bCs/>
                <w:color w:val="000000"/>
                <w:sz w:val="14"/>
                <w:szCs w:val="14"/>
                <w:lang w:eastAsia="es-CO"/>
              </w:rPr>
            </w:pPr>
            <w:r w:rsidRPr="00951AB1">
              <w:rPr>
                <w:rFonts w:cs="Times New Roman"/>
                <w:b/>
                <w:bCs/>
                <w:color w:val="000000"/>
                <w:sz w:val="14"/>
                <w:szCs w:val="14"/>
              </w:rPr>
              <w:t xml:space="preserve">48.161.884 </w:t>
            </w:r>
          </w:p>
        </w:tc>
        <w:tc>
          <w:tcPr>
            <w:tcW w:w="657" w:type="pct"/>
            <w:tcBorders>
              <w:top w:val="nil"/>
              <w:left w:val="nil"/>
              <w:bottom w:val="single" w:sz="4" w:space="0" w:color="A6A6A6"/>
              <w:right w:val="single" w:sz="4" w:space="0" w:color="A6A6A6"/>
            </w:tcBorders>
            <w:noWrap/>
            <w:vAlign w:val="center"/>
            <w:hideMark/>
          </w:tcPr>
          <w:p w14:paraId="0FCF3BEA" w14:textId="77777777" w:rsidR="005E64D9" w:rsidRPr="00951AB1" w:rsidRDefault="005E64D9" w:rsidP="000A5389">
            <w:pPr>
              <w:spacing w:line="240" w:lineRule="auto"/>
              <w:jc w:val="right"/>
              <w:rPr>
                <w:rFonts w:eastAsia="Times New Roman" w:cs="Times New Roman"/>
                <w:b/>
                <w:bCs/>
                <w:color w:val="000000"/>
                <w:sz w:val="14"/>
                <w:szCs w:val="14"/>
                <w:lang w:eastAsia="es-CO"/>
              </w:rPr>
            </w:pPr>
            <w:r w:rsidRPr="00951AB1">
              <w:rPr>
                <w:rFonts w:cs="Times New Roman"/>
                <w:b/>
                <w:bCs/>
                <w:color w:val="000000"/>
                <w:sz w:val="14"/>
                <w:szCs w:val="14"/>
              </w:rPr>
              <w:t xml:space="preserve">3.285.274.730 </w:t>
            </w:r>
          </w:p>
        </w:tc>
        <w:tc>
          <w:tcPr>
            <w:tcW w:w="410" w:type="pct"/>
            <w:tcBorders>
              <w:top w:val="nil"/>
              <w:left w:val="nil"/>
              <w:bottom w:val="single" w:sz="4" w:space="0" w:color="A6A6A6"/>
              <w:right w:val="single" w:sz="4" w:space="0" w:color="A6A6A6"/>
            </w:tcBorders>
            <w:noWrap/>
            <w:vAlign w:val="center"/>
            <w:hideMark/>
          </w:tcPr>
          <w:p w14:paraId="1C3A3B21" w14:textId="77777777" w:rsidR="005E64D9" w:rsidRPr="00951AB1" w:rsidRDefault="005E64D9" w:rsidP="000A5389">
            <w:pPr>
              <w:spacing w:line="240" w:lineRule="auto"/>
              <w:jc w:val="right"/>
              <w:rPr>
                <w:rFonts w:eastAsia="Times New Roman" w:cs="Times New Roman"/>
                <w:b/>
                <w:bCs/>
                <w:color w:val="000000"/>
                <w:sz w:val="14"/>
                <w:szCs w:val="14"/>
                <w:lang w:eastAsia="es-CO"/>
              </w:rPr>
            </w:pPr>
            <w:r w:rsidRPr="00951AB1">
              <w:rPr>
                <w:rFonts w:cs="Times New Roman"/>
                <w:b/>
                <w:bCs/>
                <w:color w:val="000000"/>
                <w:sz w:val="14"/>
                <w:szCs w:val="14"/>
              </w:rPr>
              <w:t xml:space="preserve">6.606.942 </w:t>
            </w:r>
          </w:p>
        </w:tc>
        <w:tc>
          <w:tcPr>
            <w:tcW w:w="324" w:type="pct"/>
            <w:tcBorders>
              <w:top w:val="nil"/>
              <w:left w:val="nil"/>
              <w:bottom w:val="single" w:sz="4" w:space="0" w:color="A6A6A6"/>
              <w:right w:val="single" w:sz="4" w:space="0" w:color="A6A6A6"/>
            </w:tcBorders>
            <w:noWrap/>
            <w:vAlign w:val="center"/>
            <w:hideMark/>
          </w:tcPr>
          <w:p w14:paraId="00FB2088" w14:textId="77777777" w:rsidR="005E64D9" w:rsidRPr="00951AB1" w:rsidRDefault="005E64D9" w:rsidP="000A5389">
            <w:pPr>
              <w:spacing w:line="240" w:lineRule="auto"/>
              <w:jc w:val="right"/>
              <w:rPr>
                <w:rFonts w:eastAsia="Times New Roman" w:cs="Times New Roman"/>
                <w:b/>
                <w:bCs/>
                <w:color w:val="000000"/>
                <w:sz w:val="14"/>
                <w:szCs w:val="14"/>
                <w:lang w:eastAsia="es-CO"/>
              </w:rPr>
            </w:pPr>
            <w:r w:rsidRPr="00951AB1">
              <w:rPr>
                <w:rFonts w:cs="Times New Roman"/>
                <w:b/>
                <w:bCs/>
                <w:color w:val="000000"/>
                <w:sz w:val="14"/>
                <w:szCs w:val="14"/>
              </w:rPr>
              <w:t xml:space="preserve">5.052 </w:t>
            </w:r>
          </w:p>
        </w:tc>
        <w:tc>
          <w:tcPr>
            <w:tcW w:w="289" w:type="pct"/>
            <w:tcBorders>
              <w:top w:val="nil"/>
              <w:left w:val="nil"/>
              <w:bottom w:val="single" w:sz="4" w:space="0" w:color="A6A6A6"/>
              <w:right w:val="single" w:sz="4" w:space="0" w:color="A6A6A6"/>
            </w:tcBorders>
            <w:noWrap/>
            <w:vAlign w:val="center"/>
            <w:hideMark/>
          </w:tcPr>
          <w:p w14:paraId="3D1BB615" w14:textId="77777777" w:rsidR="005E64D9" w:rsidRPr="00951AB1" w:rsidRDefault="005E64D9" w:rsidP="000A5389">
            <w:pPr>
              <w:spacing w:line="240" w:lineRule="auto"/>
              <w:jc w:val="right"/>
              <w:rPr>
                <w:rFonts w:eastAsia="Times New Roman" w:cs="Times New Roman"/>
                <w:b/>
                <w:bCs/>
                <w:color w:val="000000"/>
                <w:sz w:val="14"/>
                <w:szCs w:val="14"/>
                <w:lang w:eastAsia="es-CO"/>
              </w:rPr>
            </w:pPr>
            <w:r w:rsidRPr="00951AB1">
              <w:rPr>
                <w:rFonts w:cs="Times New Roman"/>
                <w:b/>
                <w:bCs/>
                <w:color w:val="000000"/>
                <w:sz w:val="14"/>
                <w:szCs w:val="14"/>
              </w:rPr>
              <w:t xml:space="preserve">0 </w:t>
            </w:r>
          </w:p>
        </w:tc>
        <w:tc>
          <w:tcPr>
            <w:tcW w:w="452" w:type="pct"/>
            <w:tcBorders>
              <w:top w:val="nil"/>
              <w:left w:val="nil"/>
              <w:bottom w:val="single" w:sz="4" w:space="0" w:color="A6A6A6"/>
              <w:right w:val="single" w:sz="4" w:space="0" w:color="A6A6A6"/>
            </w:tcBorders>
            <w:noWrap/>
            <w:vAlign w:val="center"/>
            <w:hideMark/>
          </w:tcPr>
          <w:p w14:paraId="6B2511B4" w14:textId="77777777" w:rsidR="005E64D9" w:rsidRPr="00951AB1" w:rsidRDefault="005E64D9" w:rsidP="000A5389">
            <w:pPr>
              <w:spacing w:line="240" w:lineRule="auto"/>
              <w:jc w:val="right"/>
              <w:rPr>
                <w:rFonts w:eastAsia="Times New Roman" w:cs="Times New Roman"/>
                <w:b/>
                <w:bCs/>
                <w:color w:val="000000"/>
                <w:sz w:val="14"/>
                <w:szCs w:val="14"/>
                <w:lang w:eastAsia="es-CO"/>
              </w:rPr>
            </w:pPr>
            <w:r w:rsidRPr="00951AB1">
              <w:rPr>
                <w:rFonts w:cs="Times New Roman"/>
                <w:b/>
                <w:bCs/>
                <w:color w:val="000000"/>
                <w:sz w:val="14"/>
                <w:szCs w:val="14"/>
              </w:rPr>
              <w:t xml:space="preserve">6.611.994 </w:t>
            </w:r>
          </w:p>
        </w:tc>
        <w:tc>
          <w:tcPr>
            <w:tcW w:w="176" w:type="pct"/>
            <w:tcBorders>
              <w:top w:val="nil"/>
              <w:left w:val="nil"/>
              <w:bottom w:val="single" w:sz="4" w:space="0" w:color="A6A6A6"/>
              <w:right w:val="single" w:sz="4" w:space="0" w:color="A6A6A6"/>
            </w:tcBorders>
            <w:noWrap/>
            <w:vAlign w:val="center"/>
            <w:hideMark/>
          </w:tcPr>
          <w:p w14:paraId="0825160A" w14:textId="77777777" w:rsidR="005E64D9" w:rsidRPr="00951AB1" w:rsidRDefault="005E64D9" w:rsidP="000A5389">
            <w:pPr>
              <w:spacing w:line="240" w:lineRule="auto"/>
              <w:jc w:val="center"/>
              <w:rPr>
                <w:rFonts w:eastAsia="Times New Roman" w:cs="Times New Roman"/>
                <w:b/>
                <w:bCs/>
                <w:color w:val="000000"/>
                <w:sz w:val="14"/>
                <w:szCs w:val="14"/>
                <w:lang w:eastAsia="es-CO"/>
              </w:rPr>
            </w:pPr>
            <w:r w:rsidRPr="00951AB1">
              <w:rPr>
                <w:rFonts w:cs="Times New Roman"/>
                <w:b/>
                <w:bCs/>
                <w:color w:val="000000"/>
                <w:sz w:val="14"/>
                <w:szCs w:val="14"/>
              </w:rPr>
              <w:t xml:space="preserve">0 </w:t>
            </w:r>
          </w:p>
        </w:tc>
        <w:tc>
          <w:tcPr>
            <w:tcW w:w="642" w:type="pct"/>
            <w:tcBorders>
              <w:top w:val="nil"/>
              <w:left w:val="nil"/>
              <w:bottom w:val="single" w:sz="4" w:space="0" w:color="A6A6A6"/>
              <w:right w:val="single" w:sz="4" w:space="0" w:color="A6A6A6"/>
            </w:tcBorders>
            <w:noWrap/>
            <w:vAlign w:val="center"/>
            <w:hideMark/>
          </w:tcPr>
          <w:p w14:paraId="11CB23A0" w14:textId="77777777" w:rsidR="005E64D9" w:rsidRPr="00951AB1" w:rsidRDefault="005E64D9" w:rsidP="000A5389">
            <w:pPr>
              <w:spacing w:line="240" w:lineRule="auto"/>
              <w:jc w:val="right"/>
              <w:rPr>
                <w:rFonts w:eastAsia="Times New Roman" w:cs="Times New Roman"/>
                <w:b/>
                <w:bCs/>
                <w:color w:val="000000"/>
                <w:sz w:val="14"/>
                <w:szCs w:val="14"/>
                <w:lang w:eastAsia="es-CO"/>
              </w:rPr>
            </w:pPr>
            <w:r w:rsidRPr="00951AB1">
              <w:rPr>
                <w:rFonts w:cs="Times New Roman"/>
                <w:b/>
                <w:bCs/>
                <w:color w:val="000000"/>
                <w:sz w:val="14"/>
                <w:szCs w:val="14"/>
              </w:rPr>
              <w:t xml:space="preserve">3.278.662.736 </w:t>
            </w:r>
          </w:p>
        </w:tc>
      </w:tr>
      <w:tr w:rsidR="005E64D9" w:rsidRPr="00951AB1" w14:paraId="0465B965" w14:textId="77777777">
        <w:trPr>
          <w:trHeight w:val="300"/>
        </w:trPr>
        <w:tc>
          <w:tcPr>
            <w:tcW w:w="901" w:type="pct"/>
            <w:tcBorders>
              <w:top w:val="nil"/>
              <w:left w:val="single" w:sz="4" w:space="0" w:color="A6A6A6"/>
              <w:bottom w:val="single" w:sz="4" w:space="0" w:color="A6A6A6"/>
              <w:right w:val="single" w:sz="4" w:space="0" w:color="A6A6A6"/>
            </w:tcBorders>
            <w:vAlign w:val="center"/>
            <w:hideMark/>
          </w:tcPr>
          <w:p w14:paraId="78015389" w14:textId="77777777" w:rsidR="005E64D9" w:rsidRPr="00951AB1" w:rsidRDefault="005E64D9" w:rsidP="000A5389">
            <w:pPr>
              <w:spacing w:line="240" w:lineRule="auto"/>
              <w:rPr>
                <w:rFonts w:eastAsia="Times New Roman" w:cs="Times New Roman"/>
                <w:color w:val="000000"/>
                <w:sz w:val="14"/>
                <w:szCs w:val="14"/>
                <w:lang w:eastAsia="es-CO"/>
              </w:rPr>
            </w:pPr>
            <w:r w:rsidRPr="00951AB1">
              <w:rPr>
                <w:rFonts w:cs="Times New Roman"/>
                <w:color w:val="000000"/>
                <w:sz w:val="14"/>
                <w:szCs w:val="14"/>
              </w:rPr>
              <w:t>Derechos cobrados por terceros</w:t>
            </w:r>
          </w:p>
        </w:tc>
        <w:tc>
          <w:tcPr>
            <w:tcW w:w="575" w:type="pct"/>
            <w:tcBorders>
              <w:top w:val="nil"/>
              <w:left w:val="nil"/>
              <w:bottom w:val="single" w:sz="4" w:space="0" w:color="A6A6A6"/>
              <w:right w:val="single" w:sz="4" w:space="0" w:color="A6A6A6"/>
            </w:tcBorders>
            <w:noWrap/>
            <w:vAlign w:val="center"/>
            <w:hideMark/>
          </w:tcPr>
          <w:p w14:paraId="65EEACA6" w14:textId="77777777" w:rsidR="005E64D9" w:rsidRPr="00951AB1" w:rsidRDefault="005E64D9" w:rsidP="000A5389">
            <w:pPr>
              <w:spacing w:line="240" w:lineRule="auto"/>
              <w:jc w:val="right"/>
              <w:rPr>
                <w:rFonts w:eastAsia="Times New Roman" w:cs="Times New Roman"/>
                <w:color w:val="000000"/>
                <w:sz w:val="14"/>
                <w:szCs w:val="14"/>
                <w:lang w:eastAsia="es-CO"/>
              </w:rPr>
            </w:pPr>
            <w:r w:rsidRPr="00951AB1">
              <w:rPr>
                <w:rFonts w:cs="Times New Roman"/>
                <w:color w:val="000000"/>
                <w:sz w:val="14"/>
                <w:szCs w:val="14"/>
              </w:rPr>
              <w:t xml:space="preserve">2.664.467.375 </w:t>
            </w:r>
          </w:p>
        </w:tc>
        <w:tc>
          <w:tcPr>
            <w:tcW w:w="574" w:type="pct"/>
            <w:tcBorders>
              <w:top w:val="nil"/>
              <w:left w:val="nil"/>
              <w:bottom w:val="single" w:sz="4" w:space="0" w:color="A6A6A6"/>
              <w:right w:val="single" w:sz="4" w:space="0" w:color="A6A6A6"/>
            </w:tcBorders>
            <w:noWrap/>
            <w:vAlign w:val="center"/>
            <w:hideMark/>
          </w:tcPr>
          <w:p w14:paraId="10623C24" w14:textId="77777777" w:rsidR="005E64D9" w:rsidRPr="00951AB1" w:rsidRDefault="005E64D9" w:rsidP="000A5389">
            <w:pPr>
              <w:spacing w:line="240" w:lineRule="auto"/>
              <w:jc w:val="right"/>
              <w:rPr>
                <w:rFonts w:eastAsia="Times New Roman" w:cs="Times New Roman"/>
                <w:color w:val="000000"/>
                <w:sz w:val="14"/>
                <w:szCs w:val="14"/>
                <w:lang w:eastAsia="es-CO"/>
              </w:rPr>
            </w:pPr>
            <w:r w:rsidRPr="00951AB1">
              <w:rPr>
                <w:rFonts w:cs="Times New Roman"/>
                <w:color w:val="000000"/>
                <w:sz w:val="14"/>
                <w:szCs w:val="14"/>
              </w:rPr>
              <w:t xml:space="preserve">0 </w:t>
            </w:r>
          </w:p>
        </w:tc>
        <w:tc>
          <w:tcPr>
            <w:tcW w:w="657" w:type="pct"/>
            <w:tcBorders>
              <w:top w:val="nil"/>
              <w:left w:val="nil"/>
              <w:bottom w:val="single" w:sz="4" w:space="0" w:color="A6A6A6"/>
              <w:right w:val="single" w:sz="4" w:space="0" w:color="A6A6A6"/>
            </w:tcBorders>
            <w:noWrap/>
            <w:vAlign w:val="center"/>
            <w:hideMark/>
          </w:tcPr>
          <w:p w14:paraId="23A9F0C5" w14:textId="77777777" w:rsidR="005E64D9" w:rsidRPr="00951AB1" w:rsidRDefault="005E64D9" w:rsidP="000A5389">
            <w:pPr>
              <w:spacing w:line="240" w:lineRule="auto"/>
              <w:jc w:val="right"/>
              <w:rPr>
                <w:rFonts w:eastAsia="Times New Roman" w:cs="Times New Roman"/>
                <w:color w:val="000000"/>
                <w:sz w:val="14"/>
                <w:szCs w:val="14"/>
                <w:lang w:eastAsia="es-CO"/>
              </w:rPr>
            </w:pPr>
            <w:r w:rsidRPr="00951AB1">
              <w:rPr>
                <w:rFonts w:cs="Times New Roman"/>
                <w:color w:val="000000"/>
                <w:sz w:val="14"/>
                <w:szCs w:val="14"/>
              </w:rPr>
              <w:t xml:space="preserve">2.664.467.375 </w:t>
            </w:r>
          </w:p>
        </w:tc>
        <w:tc>
          <w:tcPr>
            <w:tcW w:w="410" w:type="pct"/>
            <w:tcBorders>
              <w:top w:val="nil"/>
              <w:left w:val="nil"/>
              <w:bottom w:val="single" w:sz="4" w:space="0" w:color="A6A6A6"/>
              <w:right w:val="single" w:sz="4" w:space="0" w:color="A6A6A6"/>
            </w:tcBorders>
            <w:noWrap/>
            <w:vAlign w:val="center"/>
            <w:hideMark/>
          </w:tcPr>
          <w:p w14:paraId="4986782D" w14:textId="77777777" w:rsidR="005E64D9" w:rsidRPr="00951AB1" w:rsidRDefault="005E64D9" w:rsidP="000A5389">
            <w:pPr>
              <w:spacing w:line="240" w:lineRule="auto"/>
              <w:jc w:val="right"/>
              <w:rPr>
                <w:rFonts w:eastAsia="Times New Roman" w:cs="Times New Roman"/>
                <w:color w:val="000000"/>
                <w:sz w:val="14"/>
                <w:szCs w:val="14"/>
                <w:lang w:eastAsia="es-CO"/>
              </w:rPr>
            </w:pPr>
            <w:r w:rsidRPr="00951AB1">
              <w:rPr>
                <w:rFonts w:cs="Times New Roman"/>
                <w:color w:val="000000"/>
                <w:sz w:val="14"/>
                <w:szCs w:val="14"/>
              </w:rPr>
              <w:t xml:space="preserve">0 </w:t>
            </w:r>
          </w:p>
        </w:tc>
        <w:tc>
          <w:tcPr>
            <w:tcW w:w="324" w:type="pct"/>
            <w:tcBorders>
              <w:top w:val="nil"/>
              <w:left w:val="nil"/>
              <w:bottom w:val="single" w:sz="4" w:space="0" w:color="A6A6A6"/>
              <w:right w:val="single" w:sz="4" w:space="0" w:color="A6A6A6"/>
            </w:tcBorders>
            <w:noWrap/>
            <w:vAlign w:val="center"/>
            <w:hideMark/>
          </w:tcPr>
          <w:p w14:paraId="46BD428B" w14:textId="77777777" w:rsidR="005E64D9" w:rsidRPr="00951AB1" w:rsidRDefault="005E64D9" w:rsidP="000A5389">
            <w:pPr>
              <w:spacing w:line="240" w:lineRule="auto"/>
              <w:jc w:val="right"/>
              <w:rPr>
                <w:rFonts w:eastAsia="Times New Roman" w:cs="Times New Roman"/>
                <w:color w:val="000000"/>
                <w:sz w:val="14"/>
                <w:szCs w:val="14"/>
                <w:lang w:eastAsia="es-CO"/>
              </w:rPr>
            </w:pPr>
            <w:r w:rsidRPr="00951AB1">
              <w:rPr>
                <w:rFonts w:cs="Times New Roman"/>
                <w:color w:val="000000"/>
                <w:sz w:val="14"/>
                <w:szCs w:val="14"/>
              </w:rPr>
              <w:t xml:space="preserve">0 </w:t>
            </w:r>
          </w:p>
        </w:tc>
        <w:tc>
          <w:tcPr>
            <w:tcW w:w="289" w:type="pct"/>
            <w:tcBorders>
              <w:top w:val="nil"/>
              <w:left w:val="nil"/>
              <w:bottom w:val="single" w:sz="4" w:space="0" w:color="A6A6A6"/>
              <w:right w:val="single" w:sz="4" w:space="0" w:color="A6A6A6"/>
            </w:tcBorders>
            <w:noWrap/>
            <w:vAlign w:val="center"/>
            <w:hideMark/>
          </w:tcPr>
          <w:p w14:paraId="65AEB36C" w14:textId="77777777" w:rsidR="005E64D9" w:rsidRPr="00951AB1" w:rsidRDefault="005E64D9" w:rsidP="000A5389">
            <w:pPr>
              <w:spacing w:line="240" w:lineRule="auto"/>
              <w:jc w:val="right"/>
              <w:rPr>
                <w:rFonts w:eastAsia="Times New Roman" w:cs="Times New Roman"/>
                <w:color w:val="000000"/>
                <w:sz w:val="14"/>
                <w:szCs w:val="14"/>
                <w:lang w:eastAsia="es-CO"/>
              </w:rPr>
            </w:pPr>
            <w:r w:rsidRPr="00951AB1">
              <w:rPr>
                <w:rFonts w:cs="Times New Roman"/>
                <w:color w:val="000000"/>
                <w:sz w:val="14"/>
                <w:szCs w:val="14"/>
              </w:rPr>
              <w:t xml:space="preserve">0 </w:t>
            </w:r>
          </w:p>
        </w:tc>
        <w:tc>
          <w:tcPr>
            <w:tcW w:w="452" w:type="pct"/>
            <w:tcBorders>
              <w:top w:val="nil"/>
              <w:left w:val="nil"/>
              <w:bottom w:val="single" w:sz="4" w:space="0" w:color="A6A6A6"/>
              <w:right w:val="single" w:sz="4" w:space="0" w:color="A6A6A6"/>
            </w:tcBorders>
            <w:noWrap/>
            <w:vAlign w:val="center"/>
            <w:hideMark/>
          </w:tcPr>
          <w:p w14:paraId="7A2629C5" w14:textId="77777777" w:rsidR="005E64D9" w:rsidRPr="00951AB1" w:rsidRDefault="005E64D9" w:rsidP="000A5389">
            <w:pPr>
              <w:spacing w:line="240" w:lineRule="auto"/>
              <w:jc w:val="right"/>
              <w:rPr>
                <w:rFonts w:eastAsia="Times New Roman" w:cs="Times New Roman"/>
                <w:color w:val="000000"/>
                <w:sz w:val="14"/>
                <w:szCs w:val="14"/>
                <w:lang w:eastAsia="es-CO"/>
              </w:rPr>
            </w:pPr>
            <w:r w:rsidRPr="00951AB1">
              <w:rPr>
                <w:rFonts w:cs="Times New Roman"/>
                <w:color w:val="000000"/>
                <w:sz w:val="14"/>
                <w:szCs w:val="14"/>
              </w:rPr>
              <w:t xml:space="preserve">0 </w:t>
            </w:r>
          </w:p>
        </w:tc>
        <w:tc>
          <w:tcPr>
            <w:tcW w:w="176" w:type="pct"/>
            <w:tcBorders>
              <w:top w:val="nil"/>
              <w:left w:val="nil"/>
              <w:bottom w:val="single" w:sz="4" w:space="0" w:color="A6A6A6"/>
              <w:right w:val="single" w:sz="4" w:space="0" w:color="A6A6A6"/>
            </w:tcBorders>
            <w:noWrap/>
            <w:vAlign w:val="center"/>
            <w:hideMark/>
          </w:tcPr>
          <w:p w14:paraId="251D6E38" w14:textId="77777777" w:rsidR="005E64D9" w:rsidRPr="00951AB1" w:rsidRDefault="005E64D9" w:rsidP="000A5389">
            <w:pPr>
              <w:spacing w:line="240" w:lineRule="auto"/>
              <w:jc w:val="center"/>
              <w:rPr>
                <w:rFonts w:eastAsia="Times New Roman" w:cs="Times New Roman"/>
                <w:color w:val="000000"/>
                <w:sz w:val="14"/>
                <w:szCs w:val="14"/>
                <w:lang w:eastAsia="es-CO"/>
              </w:rPr>
            </w:pPr>
            <w:r w:rsidRPr="00951AB1">
              <w:rPr>
                <w:rFonts w:cs="Times New Roman"/>
                <w:color w:val="000000"/>
                <w:sz w:val="14"/>
                <w:szCs w:val="14"/>
              </w:rPr>
              <w:t xml:space="preserve">0 </w:t>
            </w:r>
          </w:p>
        </w:tc>
        <w:tc>
          <w:tcPr>
            <w:tcW w:w="642" w:type="pct"/>
            <w:tcBorders>
              <w:top w:val="nil"/>
              <w:left w:val="nil"/>
              <w:bottom w:val="single" w:sz="4" w:space="0" w:color="A6A6A6"/>
              <w:right w:val="single" w:sz="4" w:space="0" w:color="A6A6A6"/>
            </w:tcBorders>
            <w:noWrap/>
            <w:vAlign w:val="center"/>
            <w:hideMark/>
          </w:tcPr>
          <w:p w14:paraId="751A135C" w14:textId="77777777" w:rsidR="005E64D9" w:rsidRPr="00951AB1" w:rsidRDefault="005E64D9" w:rsidP="000A5389">
            <w:pPr>
              <w:spacing w:line="240" w:lineRule="auto"/>
              <w:jc w:val="right"/>
              <w:rPr>
                <w:rFonts w:eastAsia="Times New Roman" w:cs="Times New Roman"/>
                <w:color w:val="000000"/>
                <w:sz w:val="14"/>
                <w:szCs w:val="14"/>
                <w:lang w:eastAsia="es-CO"/>
              </w:rPr>
            </w:pPr>
            <w:r w:rsidRPr="00951AB1">
              <w:rPr>
                <w:rFonts w:cs="Times New Roman"/>
                <w:color w:val="000000"/>
                <w:sz w:val="14"/>
                <w:szCs w:val="14"/>
              </w:rPr>
              <w:t xml:space="preserve">2.664.467.375 </w:t>
            </w:r>
          </w:p>
        </w:tc>
      </w:tr>
      <w:tr w:rsidR="005E64D9" w:rsidRPr="00951AB1" w14:paraId="53C2A498" w14:textId="77777777">
        <w:trPr>
          <w:trHeight w:val="300"/>
        </w:trPr>
        <w:tc>
          <w:tcPr>
            <w:tcW w:w="901" w:type="pct"/>
            <w:tcBorders>
              <w:top w:val="nil"/>
              <w:left w:val="single" w:sz="4" w:space="0" w:color="A6A6A6"/>
              <w:bottom w:val="single" w:sz="4" w:space="0" w:color="A6A6A6"/>
              <w:right w:val="single" w:sz="4" w:space="0" w:color="A6A6A6"/>
            </w:tcBorders>
            <w:vAlign w:val="center"/>
          </w:tcPr>
          <w:p w14:paraId="4D860CAA" w14:textId="77777777" w:rsidR="005E64D9" w:rsidRPr="00951AB1" w:rsidRDefault="005E64D9" w:rsidP="000A5389">
            <w:pPr>
              <w:spacing w:line="240" w:lineRule="auto"/>
              <w:rPr>
                <w:rFonts w:eastAsia="Times New Roman" w:cs="Times New Roman"/>
                <w:color w:val="000000"/>
                <w:sz w:val="14"/>
                <w:szCs w:val="14"/>
                <w:lang w:eastAsia="es-CO"/>
              </w:rPr>
            </w:pPr>
            <w:r w:rsidRPr="00951AB1">
              <w:rPr>
                <w:rFonts w:cs="Times New Roman"/>
                <w:color w:val="000000"/>
                <w:sz w:val="14"/>
                <w:szCs w:val="14"/>
              </w:rPr>
              <w:t>Reintegros</w:t>
            </w:r>
          </w:p>
        </w:tc>
        <w:tc>
          <w:tcPr>
            <w:tcW w:w="575" w:type="pct"/>
            <w:tcBorders>
              <w:top w:val="nil"/>
              <w:left w:val="nil"/>
              <w:bottom w:val="single" w:sz="4" w:space="0" w:color="A6A6A6"/>
              <w:right w:val="single" w:sz="4" w:space="0" w:color="A6A6A6"/>
            </w:tcBorders>
            <w:noWrap/>
            <w:vAlign w:val="center"/>
          </w:tcPr>
          <w:p w14:paraId="2AA0BFB5" w14:textId="77777777" w:rsidR="005E64D9" w:rsidRPr="00951AB1" w:rsidRDefault="005E64D9" w:rsidP="000A5389">
            <w:pPr>
              <w:spacing w:line="240" w:lineRule="auto"/>
              <w:jc w:val="right"/>
              <w:rPr>
                <w:rFonts w:eastAsia="Times New Roman" w:cs="Times New Roman"/>
                <w:color w:val="000000"/>
                <w:sz w:val="14"/>
                <w:szCs w:val="14"/>
                <w:lang w:eastAsia="es-CO"/>
              </w:rPr>
            </w:pPr>
            <w:r w:rsidRPr="00951AB1">
              <w:rPr>
                <w:rFonts w:cs="Times New Roman"/>
                <w:color w:val="000000"/>
                <w:sz w:val="14"/>
                <w:szCs w:val="14"/>
              </w:rPr>
              <w:t xml:space="preserve">406.560.657 </w:t>
            </w:r>
          </w:p>
        </w:tc>
        <w:tc>
          <w:tcPr>
            <w:tcW w:w="574" w:type="pct"/>
            <w:tcBorders>
              <w:top w:val="nil"/>
              <w:left w:val="nil"/>
              <w:bottom w:val="single" w:sz="4" w:space="0" w:color="A6A6A6"/>
              <w:right w:val="single" w:sz="4" w:space="0" w:color="A6A6A6"/>
            </w:tcBorders>
            <w:noWrap/>
            <w:vAlign w:val="center"/>
          </w:tcPr>
          <w:p w14:paraId="73E75672" w14:textId="77777777" w:rsidR="005E64D9" w:rsidRPr="00951AB1" w:rsidRDefault="005E64D9" w:rsidP="000A5389">
            <w:pPr>
              <w:spacing w:line="240" w:lineRule="auto"/>
              <w:jc w:val="right"/>
              <w:rPr>
                <w:rFonts w:eastAsia="Times New Roman" w:cs="Times New Roman"/>
                <w:color w:val="000000"/>
                <w:sz w:val="14"/>
                <w:szCs w:val="14"/>
                <w:lang w:eastAsia="es-CO"/>
              </w:rPr>
            </w:pPr>
            <w:r w:rsidRPr="00951AB1">
              <w:rPr>
                <w:rFonts w:cs="Times New Roman"/>
                <w:color w:val="000000"/>
                <w:sz w:val="14"/>
                <w:szCs w:val="14"/>
              </w:rPr>
              <w:t xml:space="preserve">0 </w:t>
            </w:r>
          </w:p>
        </w:tc>
        <w:tc>
          <w:tcPr>
            <w:tcW w:w="657" w:type="pct"/>
            <w:tcBorders>
              <w:top w:val="nil"/>
              <w:left w:val="nil"/>
              <w:bottom w:val="single" w:sz="4" w:space="0" w:color="A6A6A6"/>
              <w:right w:val="single" w:sz="4" w:space="0" w:color="A6A6A6"/>
            </w:tcBorders>
            <w:noWrap/>
            <w:vAlign w:val="center"/>
          </w:tcPr>
          <w:p w14:paraId="0CEC4F80" w14:textId="77777777" w:rsidR="005E64D9" w:rsidRPr="00951AB1" w:rsidRDefault="005E64D9" w:rsidP="000A5389">
            <w:pPr>
              <w:spacing w:line="240" w:lineRule="auto"/>
              <w:jc w:val="right"/>
              <w:rPr>
                <w:rFonts w:eastAsia="Times New Roman" w:cs="Times New Roman"/>
                <w:color w:val="000000"/>
                <w:sz w:val="14"/>
                <w:szCs w:val="14"/>
                <w:lang w:eastAsia="es-CO"/>
              </w:rPr>
            </w:pPr>
            <w:r w:rsidRPr="00951AB1">
              <w:rPr>
                <w:rFonts w:cs="Times New Roman"/>
                <w:color w:val="000000"/>
                <w:sz w:val="14"/>
                <w:szCs w:val="14"/>
              </w:rPr>
              <w:t xml:space="preserve">406.560.657 </w:t>
            </w:r>
          </w:p>
        </w:tc>
        <w:tc>
          <w:tcPr>
            <w:tcW w:w="410" w:type="pct"/>
            <w:tcBorders>
              <w:top w:val="nil"/>
              <w:left w:val="nil"/>
              <w:bottom w:val="single" w:sz="4" w:space="0" w:color="A6A6A6"/>
              <w:right w:val="single" w:sz="4" w:space="0" w:color="A6A6A6"/>
            </w:tcBorders>
            <w:noWrap/>
            <w:vAlign w:val="center"/>
          </w:tcPr>
          <w:p w14:paraId="60B28D2E" w14:textId="77777777" w:rsidR="005E64D9" w:rsidRPr="00951AB1" w:rsidRDefault="005E64D9" w:rsidP="000A5389">
            <w:pPr>
              <w:spacing w:line="240" w:lineRule="auto"/>
              <w:jc w:val="right"/>
              <w:rPr>
                <w:rFonts w:eastAsia="Times New Roman" w:cs="Times New Roman"/>
                <w:color w:val="000000"/>
                <w:sz w:val="14"/>
                <w:szCs w:val="14"/>
                <w:lang w:eastAsia="es-CO"/>
              </w:rPr>
            </w:pPr>
            <w:r w:rsidRPr="00951AB1">
              <w:rPr>
                <w:rFonts w:cs="Times New Roman"/>
                <w:color w:val="000000"/>
                <w:sz w:val="14"/>
                <w:szCs w:val="14"/>
              </w:rPr>
              <w:t xml:space="preserve">0 </w:t>
            </w:r>
          </w:p>
        </w:tc>
        <w:tc>
          <w:tcPr>
            <w:tcW w:w="324" w:type="pct"/>
            <w:tcBorders>
              <w:top w:val="nil"/>
              <w:left w:val="nil"/>
              <w:bottom w:val="single" w:sz="4" w:space="0" w:color="A6A6A6"/>
              <w:right w:val="single" w:sz="4" w:space="0" w:color="A6A6A6"/>
            </w:tcBorders>
            <w:noWrap/>
            <w:vAlign w:val="center"/>
          </w:tcPr>
          <w:p w14:paraId="3CDF19F1" w14:textId="77777777" w:rsidR="005E64D9" w:rsidRPr="00951AB1" w:rsidRDefault="005E64D9" w:rsidP="000A5389">
            <w:pPr>
              <w:spacing w:line="240" w:lineRule="auto"/>
              <w:jc w:val="right"/>
              <w:rPr>
                <w:rFonts w:eastAsia="Times New Roman" w:cs="Times New Roman"/>
                <w:color w:val="000000"/>
                <w:sz w:val="14"/>
                <w:szCs w:val="14"/>
                <w:lang w:eastAsia="es-CO"/>
              </w:rPr>
            </w:pPr>
            <w:r w:rsidRPr="00951AB1">
              <w:rPr>
                <w:rFonts w:cs="Times New Roman"/>
                <w:color w:val="000000"/>
                <w:sz w:val="14"/>
                <w:szCs w:val="14"/>
              </w:rPr>
              <w:t xml:space="preserve">0 </w:t>
            </w:r>
          </w:p>
        </w:tc>
        <w:tc>
          <w:tcPr>
            <w:tcW w:w="289" w:type="pct"/>
            <w:tcBorders>
              <w:top w:val="nil"/>
              <w:left w:val="nil"/>
              <w:bottom w:val="single" w:sz="4" w:space="0" w:color="A6A6A6"/>
              <w:right w:val="single" w:sz="4" w:space="0" w:color="A6A6A6"/>
            </w:tcBorders>
            <w:noWrap/>
            <w:vAlign w:val="center"/>
          </w:tcPr>
          <w:p w14:paraId="55F31288" w14:textId="77777777" w:rsidR="005E64D9" w:rsidRPr="00951AB1" w:rsidRDefault="005E64D9" w:rsidP="000A5389">
            <w:pPr>
              <w:spacing w:line="240" w:lineRule="auto"/>
              <w:jc w:val="right"/>
              <w:rPr>
                <w:rFonts w:eastAsia="Times New Roman" w:cs="Times New Roman"/>
                <w:color w:val="000000"/>
                <w:sz w:val="14"/>
                <w:szCs w:val="14"/>
                <w:lang w:eastAsia="es-CO"/>
              </w:rPr>
            </w:pPr>
            <w:r w:rsidRPr="00951AB1">
              <w:rPr>
                <w:rFonts w:cs="Times New Roman"/>
                <w:color w:val="000000"/>
                <w:sz w:val="14"/>
                <w:szCs w:val="14"/>
              </w:rPr>
              <w:t xml:space="preserve">0 </w:t>
            </w:r>
          </w:p>
        </w:tc>
        <w:tc>
          <w:tcPr>
            <w:tcW w:w="452" w:type="pct"/>
            <w:tcBorders>
              <w:top w:val="nil"/>
              <w:left w:val="nil"/>
              <w:bottom w:val="single" w:sz="4" w:space="0" w:color="A6A6A6"/>
              <w:right w:val="single" w:sz="4" w:space="0" w:color="A6A6A6"/>
            </w:tcBorders>
            <w:noWrap/>
            <w:vAlign w:val="center"/>
          </w:tcPr>
          <w:p w14:paraId="691ADF65" w14:textId="77777777" w:rsidR="005E64D9" w:rsidRPr="00951AB1" w:rsidRDefault="005E64D9" w:rsidP="000A5389">
            <w:pPr>
              <w:spacing w:line="240" w:lineRule="auto"/>
              <w:jc w:val="right"/>
              <w:rPr>
                <w:rFonts w:eastAsia="Times New Roman" w:cs="Times New Roman"/>
                <w:color w:val="000000"/>
                <w:sz w:val="14"/>
                <w:szCs w:val="14"/>
                <w:lang w:eastAsia="es-CO"/>
              </w:rPr>
            </w:pPr>
            <w:r w:rsidRPr="00951AB1">
              <w:rPr>
                <w:rFonts w:cs="Times New Roman"/>
                <w:color w:val="000000"/>
                <w:sz w:val="14"/>
                <w:szCs w:val="14"/>
              </w:rPr>
              <w:t xml:space="preserve">0 </w:t>
            </w:r>
          </w:p>
        </w:tc>
        <w:tc>
          <w:tcPr>
            <w:tcW w:w="176" w:type="pct"/>
            <w:tcBorders>
              <w:top w:val="nil"/>
              <w:left w:val="nil"/>
              <w:bottom w:val="single" w:sz="4" w:space="0" w:color="A6A6A6"/>
              <w:right w:val="single" w:sz="4" w:space="0" w:color="A6A6A6"/>
            </w:tcBorders>
            <w:noWrap/>
            <w:vAlign w:val="center"/>
          </w:tcPr>
          <w:p w14:paraId="46F9066C" w14:textId="77777777" w:rsidR="005E64D9" w:rsidRPr="00951AB1" w:rsidRDefault="005E64D9" w:rsidP="000A5389">
            <w:pPr>
              <w:spacing w:line="240" w:lineRule="auto"/>
              <w:jc w:val="center"/>
              <w:rPr>
                <w:rFonts w:eastAsia="Times New Roman" w:cs="Times New Roman"/>
                <w:color w:val="000000"/>
                <w:sz w:val="14"/>
                <w:szCs w:val="14"/>
                <w:lang w:eastAsia="es-CO"/>
              </w:rPr>
            </w:pPr>
            <w:r w:rsidRPr="00951AB1">
              <w:rPr>
                <w:rFonts w:cs="Times New Roman"/>
                <w:color w:val="000000"/>
                <w:sz w:val="14"/>
                <w:szCs w:val="14"/>
              </w:rPr>
              <w:t xml:space="preserve">0 </w:t>
            </w:r>
          </w:p>
        </w:tc>
        <w:tc>
          <w:tcPr>
            <w:tcW w:w="642" w:type="pct"/>
            <w:tcBorders>
              <w:top w:val="nil"/>
              <w:left w:val="nil"/>
              <w:bottom w:val="single" w:sz="4" w:space="0" w:color="A6A6A6"/>
              <w:right w:val="single" w:sz="4" w:space="0" w:color="A6A6A6"/>
            </w:tcBorders>
            <w:noWrap/>
            <w:vAlign w:val="center"/>
          </w:tcPr>
          <w:p w14:paraId="5A784A2E" w14:textId="77777777" w:rsidR="005E64D9" w:rsidRPr="00951AB1" w:rsidRDefault="005E64D9" w:rsidP="000A5389">
            <w:pPr>
              <w:spacing w:line="240" w:lineRule="auto"/>
              <w:jc w:val="right"/>
              <w:rPr>
                <w:rFonts w:eastAsia="Times New Roman" w:cs="Times New Roman"/>
                <w:color w:val="000000"/>
                <w:sz w:val="14"/>
                <w:szCs w:val="14"/>
                <w:lang w:eastAsia="es-CO"/>
              </w:rPr>
            </w:pPr>
            <w:r w:rsidRPr="00951AB1">
              <w:rPr>
                <w:rFonts w:cs="Times New Roman"/>
                <w:color w:val="000000"/>
                <w:sz w:val="14"/>
                <w:szCs w:val="14"/>
              </w:rPr>
              <w:t xml:space="preserve">406.560.657 </w:t>
            </w:r>
          </w:p>
        </w:tc>
      </w:tr>
      <w:tr w:rsidR="005E64D9" w:rsidRPr="00951AB1" w14:paraId="3E2E0F71" w14:textId="77777777">
        <w:trPr>
          <w:trHeight w:val="300"/>
        </w:trPr>
        <w:tc>
          <w:tcPr>
            <w:tcW w:w="901" w:type="pct"/>
            <w:tcBorders>
              <w:top w:val="nil"/>
              <w:left w:val="single" w:sz="4" w:space="0" w:color="A6A6A6"/>
              <w:bottom w:val="single" w:sz="4" w:space="0" w:color="A6A6A6"/>
              <w:right w:val="single" w:sz="4" w:space="0" w:color="A6A6A6"/>
            </w:tcBorders>
            <w:vAlign w:val="center"/>
            <w:hideMark/>
          </w:tcPr>
          <w:p w14:paraId="6D314BE9" w14:textId="77777777" w:rsidR="005E64D9" w:rsidRPr="00951AB1" w:rsidRDefault="005E64D9" w:rsidP="000A5389">
            <w:pPr>
              <w:spacing w:line="240" w:lineRule="auto"/>
              <w:rPr>
                <w:rFonts w:eastAsia="Times New Roman" w:cs="Times New Roman"/>
                <w:color w:val="000000"/>
                <w:sz w:val="14"/>
                <w:szCs w:val="14"/>
                <w:lang w:eastAsia="es-CO"/>
              </w:rPr>
            </w:pPr>
            <w:r w:rsidRPr="00951AB1">
              <w:rPr>
                <w:rFonts w:cs="Times New Roman"/>
                <w:color w:val="000000"/>
                <w:sz w:val="14"/>
                <w:szCs w:val="14"/>
              </w:rPr>
              <w:t>Otras cuentas por cobrar</w:t>
            </w:r>
          </w:p>
        </w:tc>
        <w:tc>
          <w:tcPr>
            <w:tcW w:w="575" w:type="pct"/>
            <w:tcBorders>
              <w:top w:val="nil"/>
              <w:left w:val="nil"/>
              <w:bottom w:val="single" w:sz="4" w:space="0" w:color="A6A6A6"/>
              <w:right w:val="single" w:sz="4" w:space="0" w:color="A6A6A6"/>
            </w:tcBorders>
            <w:noWrap/>
            <w:vAlign w:val="center"/>
            <w:hideMark/>
          </w:tcPr>
          <w:p w14:paraId="173A0AAE" w14:textId="77777777" w:rsidR="005E64D9" w:rsidRPr="00951AB1" w:rsidRDefault="005E64D9" w:rsidP="000A5389">
            <w:pPr>
              <w:spacing w:line="240" w:lineRule="auto"/>
              <w:jc w:val="right"/>
              <w:rPr>
                <w:rFonts w:eastAsia="Times New Roman" w:cs="Times New Roman"/>
                <w:color w:val="000000"/>
                <w:sz w:val="14"/>
                <w:szCs w:val="14"/>
                <w:lang w:eastAsia="es-CO"/>
              </w:rPr>
            </w:pPr>
            <w:r w:rsidRPr="00951AB1">
              <w:rPr>
                <w:rFonts w:cs="Times New Roman"/>
                <w:color w:val="000000"/>
                <w:sz w:val="14"/>
                <w:szCs w:val="14"/>
              </w:rPr>
              <w:t xml:space="preserve">137.685.027 </w:t>
            </w:r>
          </w:p>
        </w:tc>
        <w:tc>
          <w:tcPr>
            <w:tcW w:w="574" w:type="pct"/>
            <w:tcBorders>
              <w:top w:val="nil"/>
              <w:left w:val="nil"/>
              <w:bottom w:val="single" w:sz="4" w:space="0" w:color="A6A6A6"/>
              <w:right w:val="single" w:sz="4" w:space="0" w:color="A6A6A6"/>
            </w:tcBorders>
            <w:noWrap/>
            <w:vAlign w:val="center"/>
            <w:hideMark/>
          </w:tcPr>
          <w:p w14:paraId="28B87161" w14:textId="77777777" w:rsidR="005E64D9" w:rsidRPr="00951AB1" w:rsidRDefault="005E64D9" w:rsidP="000A5389">
            <w:pPr>
              <w:spacing w:line="240" w:lineRule="auto"/>
              <w:jc w:val="right"/>
              <w:rPr>
                <w:rFonts w:eastAsia="Times New Roman" w:cs="Times New Roman"/>
                <w:color w:val="000000"/>
                <w:sz w:val="14"/>
                <w:szCs w:val="14"/>
                <w:lang w:eastAsia="es-CO"/>
              </w:rPr>
            </w:pPr>
            <w:r w:rsidRPr="00951AB1">
              <w:rPr>
                <w:rFonts w:cs="Times New Roman"/>
                <w:color w:val="000000"/>
                <w:sz w:val="14"/>
                <w:szCs w:val="14"/>
              </w:rPr>
              <w:t xml:space="preserve">6.923.000 </w:t>
            </w:r>
          </w:p>
        </w:tc>
        <w:tc>
          <w:tcPr>
            <w:tcW w:w="657" w:type="pct"/>
            <w:tcBorders>
              <w:top w:val="nil"/>
              <w:left w:val="nil"/>
              <w:bottom w:val="single" w:sz="4" w:space="0" w:color="A6A6A6"/>
              <w:right w:val="single" w:sz="4" w:space="0" w:color="A6A6A6"/>
            </w:tcBorders>
            <w:noWrap/>
            <w:vAlign w:val="center"/>
            <w:hideMark/>
          </w:tcPr>
          <w:p w14:paraId="46E26A9C" w14:textId="77777777" w:rsidR="005E64D9" w:rsidRPr="00951AB1" w:rsidRDefault="005E64D9" w:rsidP="000A5389">
            <w:pPr>
              <w:spacing w:line="240" w:lineRule="auto"/>
              <w:jc w:val="right"/>
              <w:rPr>
                <w:rFonts w:eastAsia="Times New Roman" w:cs="Times New Roman"/>
                <w:color w:val="000000"/>
                <w:sz w:val="14"/>
                <w:szCs w:val="14"/>
                <w:lang w:eastAsia="es-CO"/>
              </w:rPr>
            </w:pPr>
            <w:r w:rsidRPr="00951AB1">
              <w:rPr>
                <w:rFonts w:cs="Times New Roman"/>
                <w:color w:val="000000"/>
                <w:sz w:val="14"/>
                <w:szCs w:val="14"/>
              </w:rPr>
              <w:t xml:space="preserve">144.608.027 </w:t>
            </w:r>
          </w:p>
        </w:tc>
        <w:tc>
          <w:tcPr>
            <w:tcW w:w="410" w:type="pct"/>
            <w:tcBorders>
              <w:top w:val="nil"/>
              <w:left w:val="nil"/>
              <w:bottom w:val="single" w:sz="4" w:space="0" w:color="A6A6A6"/>
              <w:right w:val="single" w:sz="4" w:space="0" w:color="A6A6A6"/>
            </w:tcBorders>
            <w:noWrap/>
            <w:vAlign w:val="center"/>
            <w:hideMark/>
          </w:tcPr>
          <w:p w14:paraId="7720AA60" w14:textId="77777777" w:rsidR="005E64D9" w:rsidRPr="00951AB1" w:rsidRDefault="005E64D9" w:rsidP="000A5389">
            <w:pPr>
              <w:spacing w:line="240" w:lineRule="auto"/>
              <w:jc w:val="right"/>
              <w:rPr>
                <w:rFonts w:eastAsia="Times New Roman" w:cs="Times New Roman"/>
                <w:color w:val="000000"/>
                <w:sz w:val="14"/>
                <w:szCs w:val="14"/>
                <w:lang w:eastAsia="es-CO"/>
              </w:rPr>
            </w:pPr>
            <w:r w:rsidRPr="00951AB1">
              <w:rPr>
                <w:rFonts w:cs="Times New Roman"/>
                <w:color w:val="000000"/>
                <w:sz w:val="14"/>
                <w:szCs w:val="14"/>
              </w:rPr>
              <w:t xml:space="preserve">6.606.942 </w:t>
            </w:r>
          </w:p>
        </w:tc>
        <w:tc>
          <w:tcPr>
            <w:tcW w:w="324" w:type="pct"/>
            <w:tcBorders>
              <w:top w:val="nil"/>
              <w:left w:val="nil"/>
              <w:bottom w:val="single" w:sz="4" w:space="0" w:color="A6A6A6"/>
              <w:right w:val="single" w:sz="4" w:space="0" w:color="A6A6A6"/>
            </w:tcBorders>
            <w:noWrap/>
            <w:vAlign w:val="center"/>
            <w:hideMark/>
          </w:tcPr>
          <w:p w14:paraId="3B351E8F" w14:textId="77777777" w:rsidR="005E64D9" w:rsidRPr="00951AB1" w:rsidRDefault="005E64D9" w:rsidP="000A5389">
            <w:pPr>
              <w:spacing w:line="240" w:lineRule="auto"/>
              <w:jc w:val="right"/>
              <w:rPr>
                <w:rFonts w:eastAsia="Times New Roman" w:cs="Times New Roman"/>
                <w:color w:val="000000"/>
                <w:sz w:val="14"/>
                <w:szCs w:val="14"/>
                <w:lang w:eastAsia="es-CO"/>
              </w:rPr>
            </w:pPr>
            <w:r w:rsidRPr="00951AB1">
              <w:rPr>
                <w:rFonts w:cs="Times New Roman"/>
                <w:color w:val="000000"/>
                <w:sz w:val="14"/>
                <w:szCs w:val="14"/>
              </w:rPr>
              <w:t xml:space="preserve">5.052 </w:t>
            </w:r>
          </w:p>
        </w:tc>
        <w:tc>
          <w:tcPr>
            <w:tcW w:w="289" w:type="pct"/>
            <w:tcBorders>
              <w:top w:val="nil"/>
              <w:left w:val="nil"/>
              <w:bottom w:val="single" w:sz="4" w:space="0" w:color="A6A6A6"/>
              <w:right w:val="single" w:sz="4" w:space="0" w:color="A6A6A6"/>
            </w:tcBorders>
            <w:noWrap/>
            <w:vAlign w:val="center"/>
            <w:hideMark/>
          </w:tcPr>
          <w:p w14:paraId="7FE22D2F" w14:textId="77777777" w:rsidR="005E64D9" w:rsidRPr="00951AB1" w:rsidRDefault="005E64D9" w:rsidP="000A5389">
            <w:pPr>
              <w:spacing w:line="240" w:lineRule="auto"/>
              <w:jc w:val="right"/>
              <w:rPr>
                <w:rFonts w:eastAsia="Times New Roman" w:cs="Times New Roman"/>
                <w:color w:val="000000"/>
                <w:sz w:val="14"/>
                <w:szCs w:val="14"/>
                <w:lang w:eastAsia="es-CO"/>
              </w:rPr>
            </w:pPr>
            <w:r w:rsidRPr="00951AB1">
              <w:rPr>
                <w:rFonts w:cs="Times New Roman"/>
                <w:color w:val="000000"/>
                <w:sz w:val="14"/>
                <w:szCs w:val="14"/>
              </w:rPr>
              <w:t xml:space="preserve">0 </w:t>
            </w:r>
          </w:p>
        </w:tc>
        <w:tc>
          <w:tcPr>
            <w:tcW w:w="452" w:type="pct"/>
            <w:tcBorders>
              <w:top w:val="nil"/>
              <w:left w:val="nil"/>
              <w:bottom w:val="single" w:sz="4" w:space="0" w:color="A6A6A6"/>
              <w:right w:val="single" w:sz="4" w:space="0" w:color="A6A6A6"/>
            </w:tcBorders>
            <w:noWrap/>
            <w:vAlign w:val="center"/>
            <w:hideMark/>
          </w:tcPr>
          <w:p w14:paraId="22EC7117" w14:textId="77777777" w:rsidR="005E64D9" w:rsidRPr="00951AB1" w:rsidRDefault="005E64D9" w:rsidP="000A5389">
            <w:pPr>
              <w:spacing w:line="240" w:lineRule="auto"/>
              <w:jc w:val="right"/>
              <w:rPr>
                <w:rFonts w:eastAsia="Times New Roman" w:cs="Times New Roman"/>
                <w:color w:val="000000"/>
                <w:sz w:val="14"/>
                <w:szCs w:val="14"/>
                <w:lang w:eastAsia="es-CO"/>
              </w:rPr>
            </w:pPr>
            <w:r w:rsidRPr="00951AB1">
              <w:rPr>
                <w:rFonts w:cs="Times New Roman"/>
                <w:color w:val="000000"/>
                <w:sz w:val="14"/>
                <w:szCs w:val="14"/>
              </w:rPr>
              <w:t xml:space="preserve">6.611.994 </w:t>
            </w:r>
          </w:p>
        </w:tc>
        <w:tc>
          <w:tcPr>
            <w:tcW w:w="176" w:type="pct"/>
            <w:tcBorders>
              <w:top w:val="nil"/>
              <w:left w:val="nil"/>
              <w:bottom w:val="single" w:sz="4" w:space="0" w:color="A6A6A6"/>
              <w:right w:val="single" w:sz="4" w:space="0" w:color="A6A6A6"/>
            </w:tcBorders>
            <w:noWrap/>
            <w:vAlign w:val="center"/>
            <w:hideMark/>
          </w:tcPr>
          <w:p w14:paraId="63BB5380" w14:textId="77777777" w:rsidR="005E64D9" w:rsidRPr="00951AB1" w:rsidRDefault="005E64D9" w:rsidP="000A5389">
            <w:pPr>
              <w:spacing w:line="240" w:lineRule="auto"/>
              <w:jc w:val="center"/>
              <w:rPr>
                <w:rFonts w:eastAsia="Times New Roman" w:cs="Times New Roman"/>
                <w:color w:val="000000"/>
                <w:sz w:val="14"/>
                <w:szCs w:val="14"/>
                <w:lang w:eastAsia="es-CO"/>
              </w:rPr>
            </w:pPr>
            <w:r w:rsidRPr="00951AB1">
              <w:rPr>
                <w:rFonts w:cs="Times New Roman"/>
                <w:color w:val="000000"/>
                <w:sz w:val="14"/>
                <w:szCs w:val="14"/>
              </w:rPr>
              <w:t xml:space="preserve">5 </w:t>
            </w:r>
          </w:p>
        </w:tc>
        <w:tc>
          <w:tcPr>
            <w:tcW w:w="642" w:type="pct"/>
            <w:tcBorders>
              <w:top w:val="nil"/>
              <w:left w:val="nil"/>
              <w:bottom w:val="single" w:sz="4" w:space="0" w:color="A6A6A6"/>
              <w:right w:val="single" w:sz="4" w:space="0" w:color="A6A6A6"/>
            </w:tcBorders>
            <w:noWrap/>
            <w:vAlign w:val="center"/>
            <w:hideMark/>
          </w:tcPr>
          <w:p w14:paraId="247F2EAB" w14:textId="77777777" w:rsidR="005E64D9" w:rsidRPr="00951AB1" w:rsidRDefault="005E64D9" w:rsidP="000A5389">
            <w:pPr>
              <w:spacing w:line="240" w:lineRule="auto"/>
              <w:jc w:val="right"/>
              <w:rPr>
                <w:rFonts w:eastAsia="Times New Roman" w:cs="Times New Roman"/>
                <w:color w:val="000000"/>
                <w:sz w:val="14"/>
                <w:szCs w:val="14"/>
                <w:lang w:eastAsia="es-CO"/>
              </w:rPr>
            </w:pPr>
            <w:r w:rsidRPr="00951AB1">
              <w:rPr>
                <w:rFonts w:cs="Times New Roman"/>
                <w:color w:val="000000"/>
                <w:sz w:val="14"/>
                <w:szCs w:val="14"/>
              </w:rPr>
              <w:t xml:space="preserve">137.996.033 </w:t>
            </w:r>
          </w:p>
        </w:tc>
      </w:tr>
      <w:tr w:rsidR="005E64D9" w:rsidRPr="00951AB1" w14:paraId="74234848" w14:textId="77777777">
        <w:trPr>
          <w:trHeight w:val="300"/>
        </w:trPr>
        <w:tc>
          <w:tcPr>
            <w:tcW w:w="901" w:type="pct"/>
            <w:tcBorders>
              <w:top w:val="nil"/>
              <w:left w:val="single" w:sz="4" w:space="0" w:color="A6A6A6"/>
              <w:bottom w:val="single" w:sz="4" w:space="0" w:color="A6A6A6"/>
              <w:right w:val="single" w:sz="4" w:space="0" w:color="A6A6A6"/>
            </w:tcBorders>
            <w:vAlign w:val="center"/>
            <w:hideMark/>
          </w:tcPr>
          <w:p w14:paraId="08133A2C" w14:textId="77777777" w:rsidR="005E64D9" w:rsidRPr="00951AB1" w:rsidRDefault="005E64D9" w:rsidP="000A5389">
            <w:pPr>
              <w:spacing w:line="240" w:lineRule="auto"/>
              <w:rPr>
                <w:rFonts w:eastAsia="Times New Roman" w:cs="Times New Roman"/>
                <w:color w:val="000000"/>
                <w:sz w:val="14"/>
                <w:szCs w:val="14"/>
                <w:lang w:eastAsia="es-CO"/>
              </w:rPr>
            </w:pPr>
            <w:r w:rsidRPr="00951AB1">
              <w:rPr>
                <w:rFonts w:cs="Times New Roman"/>
                <w:color w:val="000000"/>
                <w:sz w:val="14"/>
                <w:szCs w:val="14"/>
              </w:rPr>
              <w:t>Pago por cuenta de terceros</w:t>
            </w:r>
          </w:p>
        </w:tc>
        <w:tc>
          <w:tcPr>
            <w:tcW w:w="575" w:type="pct"/>
            <w:tcBorders>
              <w:top w:val="nil"/>
              <w:left w:val="nil"/>
              <w:bottom w:val="single" w:sz="4" w:space="0" w:color="A6A6A6"/>
              <w:right w:val="single" w:sz="4" w:space="0" w:color="A6A6A6"/>
            </w:tcBorders>
            <w:noWrap/>
            <w:vAlign w:val="center"/>
            <w:hideMark/>
          </w:tcPr>
          <w:p w14:paraId="64AB4E79" w14:textId="77777777" w:rsidR="005E64D9" w:rsidRPr="00951AB1" w:rsidRDefault="005E64D9" w:rsidP="000A5389">
            <w:pPr>
              <w:spacing w:line="240" w:lineRule="auto"/>
              <w:jc w:val="right"/>
              <w:rPr>
                <w:rFonts w:eastAsia="Times New Roman" w:cs="Times New Roman"/>
                <w:color w:val="000000"/>
                <w:sz w:val="14"/>
                <w:szCs w:val="14"/>
                <w:lang w:eastAsia="es-CO"/>
              </w:rPr>
            </w:pPr>
            <w:r w:rsidRPr="00951AB1">
              <w:rPr>
                <w:rFonts w:cs="Times New Roman"/>
                <w:color w:val="000000"/>
                <w:sz w:val="14"/>
                <w:szCs w:val="14"/>
              </w:rPr>
              <w:t xml:space="preserve">28.399.787 </w:t>
            </w:r>
          </w:p>
        </w:tc>
        <w:tc>
          <w:tcPr>
            <w:tcW w:w="574" w:type="pct"/>
            <w:tcBorders>
              <w:top w:val="nil"/>
              <w:left w:val="nil"/>
              <w:bottom w:val="single" w:sz="4" w:space="0" w:color="A6A6A6"/>
              <w:right w:val="single" w:sz="4" w:space="0" w:color="A6A6A6"/>
            </w:tcBorders>
            <w:noWrap/>
            <w:vAlign w:val="center"/>
            <w:hideMark/>
          </w:tcPr>
          <w:p w14:paraId="1AEE6368" w14:textId="77777777" w:rsidR="005E64D9" w:rsidRPr="00951AB1" w:rsidRDefault="005E64D9" w:rsidP="000A5389">
            <w:pPr>
              <w:spacing w:line="240" w:lineRule="auto"/>
              <w:jc w:val="right"/>
              <w:rPr>
                <w:rFonts w:eastAsia="Times New Roman" w:cs="Times New Roman"/>
                <w:color w:val="000000"/>
                <w:sz w:val="14"/>
                <w:szCs w:val="14"/>
                <w:lang w:eastAsia="es-CO"/>
              </w:rPr>
            </w:pPr>
            <w:r w:rsidRPr="00951AB1">
              <w:rPr>
                <w:rFonts w:cs="Times New Roman"/>
                <w:color w:val="000000"/>
                <w:sz w:val="14"/>
                <w:szCs w:val="14"/>
              </w:rPr>
              <w:t xml:space="preserve">41.238.884 </w:t>
            </w:r>
          </w:p>
        </w:tc>
        <w:tc>
          <w:tcPr>
            <w:tcW w:w="657" w:type="pct"/>
            <w:tcBorders>
              <w:top w:val="nil"/>
              <w:left w:val="nil"/>
              <w:bottom w:val="single" w:sz="4" w:space="0" w:color="A6A6A6"/>
              <w:right w:val="single" w:sz="4" w:space="0" w:color="A6A6A6"/>
            </w:tcBorders>
            <w:noWrap/>
            <w:vAlign w:val="center"/>
            <w:hideMark/>
          </w:tcPr>
          <w:p w14:paraId="46685264" w14:textId="77777777" w:rsidR="005E64D9" w:rsidRPr="00951AB1" w:rsidRDefault="005E64D9" w:rsidP="000A5389">
            <w:pPr>
              <w:spacing w:line="240" w:lineRule="auto"/>
              <w:jc w:val="right"/>
              <w:rPr>
                <w:rFonts w:eastAsia="Times New Roman" w:cs="Times New Roman"/>
                <w:color w:val="000000"/>
                <w:sz w:val="14"/>
                <w:szCs w:val="14"/>
                <w:lang w:eastAsia="es-CO"/>
              </w:rPr>
            </w:pPr>
            <w:r w:rsidRPr="00951AB1">
              <w:rPr>
                <w:rFonts w:cs="Times New Roman"/>
                <w:color w:val="000000"/>
                <w:sz w:val="14"/>
                <w:szCs w:val="14"/>
              </w:rPr>
              <w:t xml:space="preserve">69.638.671 </w:t>
            </w:r>
          </w:p>
        </w:tc>
        <w:tc>
          <w:tcPr>
            <w:tcW w:w="410" w:type="pct"/>
            <w:tcBorders>
              <w:top w:val="nil"/>
              <w:left w:val="nil"/>
              <w:bottom w:val="single" w:sz="4" w:space="0" w:color="A6A6A6"/>
              <w:right w:val="single" w:sz="4" w:space="0" w:color="A6A6A6"/>
            </w:tcBorders>
            <w:noWrap/>
            <w:vAlign w:val="center"/>
            <w:hideMark/>
          </w:tcPr>
          <w:p w14:paraId="2B2D965A" w14:textId="77777777" w:rsidR="005E64D9" w:rsidRPr="00951AB1" w:rsidRDefault="005E64D9" w:rsidP="000A5389">
            <w:pPr>
              <w:spacing w:line="240" w:lineRule="auto"/>
              <w:jc w:val="right"/>
              <w:rPr>
                <w:rFonts w:eastAsia="Times New Roman" w:cs="Times New Roman"/>
                <w:color w:val="000000"/>
                <w:sz w:val="14"/>
                <w:szCs w:val="14"/>
                <w:lang w:eastAsia="es-CO"/>
              </w:rPr>
            </w:pPr>
            <w:r w:rsidRPr="00951AB1">
              <w:rPr>
                <w:rFonts w:cs="Times New Roman"/>
                <w:color w:val="000000"/>
                <w:sz w:val="14"/>
                <w:szCs w:val="14"/>
              </w:rPr>
              <w:t xml:space="preserve">0 </w:t>
            </w:r>
          </w:p>
        </w:tc>
        <w:tc>
          <w:tcPr>
            <w:tcW w:w="324" w:type="pct"/>
            <w:tcBorders>
              <w:top w:val="nil"/>
              <w:left w:val="nil"/>
              <w:bottom w:val="single" w:sz="4" w:space="0" w:color="A6A6A6"/>
              <w:right w:val="single" w:sz="4" w:space="0" w:color="A6A6A6"/>
            </w:tcBorders>
            <w:noWrap/>
            <w:vAlign w:val="center"/>
            <w:hideMark/>
          </w:tcPr>
          <w:p w14:paraId="0EEDD43D" w14:textId="77777777" w:rsidR="005E64D9" w:rsidRPr="00951AB1" w:rsidRDefault="005E64D9" w:rsidP="000A5389">
            <w:pPr>
              <w:spacing w:line="240" w:lineRule="auto"/>
              <w:jc w:val="right"/>
              <w:rPr>
                <w:rFonts w:eastAsia="Times New Roman" w:cs="Times New Roman"/>
                <w:color w:val="000000"/>
                <w:sz w:val="14"/>
                <w:szCs w:val="14"/>
                <w:lang w:eastAsia="es-CO"/>
              </w:rPr>
            </w:pPr>
            <w:r w:rsidRPr="00951AB1">
              <w:rPr>
                <w:rFonts w:cs="Times New Roman"/>
                <w:color w:val="000000"/>
                <w:sz w:val="14"/>
                <w:szCs w:val="14"/>
              </w:rPr>
              <w:t xml:space="preserve">0 </w:t>
            </w:r>
          </w:p>
        </w:tc>
        <w:tc>
          <w:tcPr>
            <w:tcW w:w="289" w:type="pct"/>
            <w:tcBorders>
              <w:top w:val="nil"/>
              <w:left w:val="nil"/>
              <w:bottom w:val="single" w:sz="4" w:space="0" w:color="A6A6A6"/>
              <w:right w:val="single" w:sz="4" w:space="0" w:color="A6A6A6"/>
            </w:tcBorders>
            <w:noWrap/>
            <w:vAlign w:val="center"/>
            <w:hideMark/>
          </w:tcPr>
          <w:p w14:paraId="54F3DDF5" w14:textId="77777777" w:rsidR="005E64D9" w:rsidRPr="00951AB1" w:rsidRDefault="005E64D9" w:rsidP="000A5389">
            <w:pPr>
              <w:spacing w:line="240" w:lineRule="auto"/>
              <w:jc w:val="right"/>
              <w:rPr>
                <w:rFonts w:eastAsia="Times New Roman" w:cs="Times New Roman"/>
                <w:color w:val="000000"/>
                <w:sz w:val="14"/>
                <w:szCs w:val="14"/>
                <w:lang w:eastAsia="es-CO"/>
              </w:rPr>
            </w:pPr>
            <w:r w:rsidRPr="00951AB1">
              <w:rPr>
                <w:rFonts w:cs="Times New Roman"/>
                <w:color w:val="000000"/>
                <w:sz w:val="14"/>
                <w:szCs w:val="14"/>
              </w:rPr>
              <w:t xml:space="preserve">0 </w:t>
            </w:r>
          </w:p>
        </w:tc>
        <w:tc>
          <w:tcPr>
            <w:tcW w:w="452" w:type="pct"/>
            <w:tcBorders>
              <w:top w:val="nil"/>
              <w:left w:val="nil"/>
              <w:bottom w:val="single" w:sz="4" w:space="0" w:color="A6A6A6"/>
              <w:right w:val="single" w:sz="4" w:space="0" w:color="A6A6A6"/>
            </w:tcBorders>
            <w:noWrap/>
            <w:vAlign w:val="center"/>
            <w:hideMark/>
          </w:tcPr>
          <w:p w14:paraId="2A96E9E1" w14:textId="77777777" w:rsidR="005E64D9" w:rsidRPr="00951AB1" w:rsidRDefault="005E64D9" w:rsidP="000A5389">
            <w:pPr>
              <w:spacing w:line="240" w:lineRule="auto"/>
              <w:jc w:val="right"/>
              <w:rPr>
                <w:rFonts w:eastAsia="Times New Roman" w:cs="Times New Roman"/>
                <w:color w:val="000000"/>
                <w:sz w:val="14"/>
                <w:szCs w:val="14"/>
                <w:lang w:eastAsia="es-CO"/>
              </w:rPr>
            </w:pPr>
            <w:r w:rsidRPr="00951AB1">
              <w:rPr>
                <w:rFonts w:cs="Times New Roman"/>
                <w:color w:val="000000"/>
                <w:sz w:val="14"/>
                <w:szCs w:val="14"/>
              </w:rPr>
              <w:t xml:space="preserve">0 </w:t>
            </w:r>
          </w:p>
        </w:tc>
        <w:tc>
          <w:tcPr>
            <w:tcW w:w="176" w:type="pct"/>
            <w:tcBorders>
              <w:top w:val="nil"/>
              <w:left w:val="nil"/>
              <w:bottom w:val="single" w:sz="4" w:space="0" w:color="A6A6A6"/>
              <w:right w:val="single" w:sz="4" w:space="0" w:color="A6A6A6"/>
            </w:tcBorders>
            <w:noWrap/>
            <w:vAlign w:val="center"/>
            <w:hideMark/>
          </w:tcPr>
          <w:p w14:paraId="7A972976" w14:textId="77777777" w:rsidR="005E64D9" w:rsidRPr="00951AB1" w:rsidRDefault="005E64D9" w:rsidP="000A5389">
            <w:pPr>
              <w:spacing w:line="240" w:lineRule="auto"/>
              <w:jc w:val="center"/>
              <w:rPr>
                <w:rFonts w:eastAsia="Times New Roman" w:cs="Times New Roman"/>
                <w:color w:val="000000"/>
                <w:sz w:val="14"/>
                <w:szCs w:val="14"/>
                <w:lang w:eastAsia="es-CO"/>
              </w:rPr>
            </w:pPr>
            <w:r w:rsidRPr="00951AB1">
              <w:rPr>
                <w:rFonts w:cs="Times New Roman"/>
                <w:color w:val="000000"/>
                <w:sz w:val="14"/>
                <w:szCs w:val="14"/>
              </w:rPr>
              <w:t xml:space="preserve">0 </w:t>
            </w:r>
          </w:p>
        </w:tc>
        <w:tc>
          <w:tcPr>
            <w:tcW w:w="642" w:type="pct"/>
            <w:tcBorders>
              <w:top w:val="nil"/>
              <w:left w:val="nil"/>
              <w:bottom w:val="single" w:sz="4" w:space="0" w:color="A6A6A6"/>
              <w:right w:val="single" w:sz="4" w:space="0" w:color="A6A6A6"/>
            </w:tcBorders>
            <w:noWrap/>
            <w:vAlign w:val="center"/>
            <w:hideMark/>
          </w:tcPr>
          <w:p w14:paraId="141E9413" w14:textId="77777777" w:rsidR="005E64D9" w:rsidRPr="00951AB1" w:rsidRDefault="005E64D9" w:rsidP="000A5389">
            <w:pPr>
              <w:spacing w:line="240" w:lineRule="auto"/>
              <w:jc w:val="right"/>
              <w:rPr>
                <w:rFonts w:eastAsia="Times New Roman" w:cs="Times New Roman"/>
                <w:color w:val="000000"/>
                <w:sz w:val="14"/>
                <w:szCs w:val="14"/>
                <w:lang w:eastAsia="es-CO"/>
              </w:rPr>
            </w:pPr>
            <w:r w:rsidRPr="00951AB1">
              <w:rPr>
                <w:rFonts w:cs="Times New Roman"/>
                <w:color w:val="000000"/>
                <w:sz w:val="14"/>
                <w:szCs w:val="14"/>
              </w:rPr>
              <w:t xml:space="preserve">69.638.671 </w:t>
            </w:r>
          </w:p>
        </w:tc>
      </w:tr>
    </w:tbl>
    <w:p w14:paraId="0898F8E2" w14:textId="77777777" w:rsidR="005E64D9" w:rsidRPr="00951AB1" w:rsidRDefault="005E64D9" w:rsidP="000A5389">
      <w:pPr>
        <w:spacing w:line="240" w:lineRule="auto"/>
        <w:rPr>
          <w:rFonts w:cs="Times New Roman"/>
          <w:sz w:val="14"/>
          <w:szCs w:val="14"/>
        </w:rPr>
      </w:pPr>
      <w:r w:rsidRPr="00951AB1">
        <w:rPr>
          <w:rFonts w:cs="Times New Roman"/>
          <w:sz w:val="14"/>
          <w:szCs w:val="14"/>
        </w:rPr>
        <w:t>Cifras expresadas en pesos</w:t>
      </w:r>
    </w:p>
    <w:p w14:paraId="6F9099FD" w14:textId="77777777" w:rsidR="005E64D9" w:rsidRPr="00951AB1" w:rsidRDefault="005E64D9" w:rsidP="000A5389">
      <w:pPr>
        <w:spacing w:line="240" w:lineRule="auto"/>
        <w:rPr>
          <w:rFonts w:cs="Times New Roman"/>
          <w:szCs w:val="24"/>
        </w:rPr>
      </w:pPr>
    </w:p>
    <w:p w14:paraId="19707F57" w14:textId="77777777" w:rsidR="005E64D9" w:rsidRPr="00951AB1" w:rsidRDefault="005E64D9" w:rsidP="000A5389">
      <w:pPr>
        <w:spacing w:line="240" w:lineRule="auto"/>
        <w:rPr>
          <w:rFonts w:cs="Times New Roman"/>
          <w:szCs w:val="24"/>
        </w:rPr>
      </w:pPr>
      <w:r w:rsidRPr="00951AB1">
        <w:rPr>
          <w:rFonts w:cs="Times New Roman"/>
          <w:b/>
          <w:bCs/>
          <w:szCs w:val="24"/>
        </w:rPr>
        <w:t>Derechos cobrados por terceros:</w:t>
      </w:r>
      <w:r w:rsidRPr="00951AB1">
        <w:rPr>
          <w:rFonts w:cs="Times New Roman"/>
          <w:szCs w:val="24"/>
        </w:rPr>
        <w:t xml:space="preserve"> </w:t>
      </w:r>
      <w:r w:rsidRPr="00951AB1">
        <w:rPr>
          <w:rFonts w:eastAsia="Times New Roman" w:cs="Times New Roman"/>
          <w:szCs w:val="24"/>
          <w:lang w:val="es"/>
        </w:rPr>
        <w:t xml:space="preserve">por valor total de $2.664.467.375 </w:t>
      </w:r>
      <w:r w:rsidRPr="00951AB1">
        <w:rPr>
          <w:rFonts w:cs="Times New Roman"/>
          <w:szCs w:val="24"/>
        </w:rPr>
        <w:t>representa el valor de las cuentas por cobrar derivadas principalmente del ingreso por concepto de la contraprestación aeroportuaria Decreto 008 del 2024 (Concepto CGN No 20251100041751 de 05-11-2025), así como de los arrendamientos a lo largo de los corredores férreos desafectados que tienen su origen en el Contrato de obra suscritos con el Consorcio CTSA - Ingeneral y Consorcio Ferreobelen C&amp;E.</w:t>
      </w:r>
    </w:p>
    <w:p w14:paraId="0BD1ECF9" w14:textId="77777777" w:rsidR="005E64D9" w:rsidRPr="00951AB1" w:rsidRDefault="005E64D9" w:rsidP="000A5389">
      <w:pPr>
        <w:spacing w:line="240" w:lineRule="auto"/>
        <w:rPr>
          <w:rFonts w:cs="Times New Roman"/>
          <w:szCs w:val="24"/>
        </w:rPr>
      </w:pPr>
    </w:p>
    <w:p w14:paraId="0F7CC10F" w14:textId="77777777" w:rsidR="005E64D9" w:rsidRPr="00951AB1" w:rsidRDefault="005E64D9" w:rsidP="000A5389">
      <w:pPr>
        <w:spacing w:line="240" w:lineRule="auto"/>
        <w:rPr>
          <w:rFonts w:cs="Times New Roman"/>
          <w:szCs w:val="24"/>
        </w:rPr>
      </w:pPr>
      <w:r w:rsidRPr="00951AB1">
        <w:rPr>
          <w:rFonts w:cs="Times New Roman"/>
          <w:szCs w:val="24"/>
        </w:rPr>
        <w:t>En consecuencia, con corte 31 de diciembre de 2025, se presentan los saldos por terceros que conforman el concepto “Derechos cobrados por terceros” los cuales quedaron pendientes de transferir a la ANI por parte de las siguientes entidades:</w:t>
      </w:r>
    </w:p>
    <w:p w14:paraId="4007238E" w14:textId="77777777" w:rsidR="005E64D9" w:rsidRPr="00951AB1" w:rsidRDefault="005E64D9" w:rsidP="000A5389">
      <w:pPr>
        <w:spacing w:line="240" w:lineRule="auto"/>
        <w:rPr>
          <w:rFonts w:cs="Times New Roman"/>
          <w:szCs w:val="24"/>
        </w:rPr>
      </w:pPr>
    </w:p>
    <w:p w14:paraId="6CEBE6E2" w14:textId="77777777" w:rsidR="005E64D9" w:rsidRPr="00951AB1" w:rsidRDefault="005E64D9" w:rsidP="000A5389">
      <w:pPr>
        <w:spacing w:line="240" w:lineRule="auto"/>
        <w:ind w:firstLine="708"/>
        <w:rPr>
          <w:rFonts w:cs="Times New Roman"/>
          <w:sz w:val="14"/>
          <w:szCs w:val="14"/>
        </w:rPr>
      </w:pPr>
    </w:p>
    <w:tbl>
      <w:tblPr>
        <w:tblW w:w="8921"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CellMar>
          <w:left w:w="70" w:type="dxa"/>
          <w:right w:w="70" w:type="dxa"/>
        </w:tblCellMar>
        <w:tblLook w:val="04A0" w:firstRow="1" w:lastRow="0" w:firstColumn="1" w:lastColumn="0" w:noHBand="0" w:noVBand="1"/>
      </w:tblPr>
      <w:tblGrid>
        <w:gridCol w:w="4952"/>
        <w:gridCol w:w="1559"/>
        <w:gridCol w:w="1134"/>
        <w:gridCol w:w="1276"/>
      </w:tblGrid>
      <w:tr w:rsidR="005E64D9" w:rsidRPr="00951AB1" w14:paraId="461E1F10" w14:textId="77777777" w:rsidTr="007B1127">
        <w:trPr>
          <w:trHeight w:val="315"/>
          <w:tblHeader/>
        </w:trPr>
        <w:tc>
          <w:tcPr>
            <w:tcW w:w="4952" w:type="dxa"/>
            <w:shd w:val="clear" w:color="000000" w:fill="FFFFFF"/>
            <w:vAlign w:val="center"/>
            <w:hideMark/>
          </w:tcPr>
          <w:p w14:paraId="31056650" w14:textId="77777777" w:rsidR="005E64D9" w:rsidRPr="00951AB1" w:rsidRDefault="005E64D9" w:rsidP="000A5389">
            <w:pPr>
              <w:spacing w:line="240" w:lineRule="auto"/>
              <w:jc w:val="center"/>
              <w:rPr>
                <w:rFonts w:eastAsia="Times New Roman" w:cs="Times New Roman"/>
                <w:b/>
                <w:bCs/>
                <w:color w:val="000000"/>
                <w:kern w:val="0"/>
                <w:sz w:val="18"/>
                <w:szCs w:val="18"/>
                <w:lang w:eastAsia="es-CO"/>
                <w14:ligatures w14:val="none"/>
              </w:rPr>
            </w:pPr>
            <w:r w:rsidRPr="00951AB1">
              <w:rPr>
                <w:rFonts w:eastAsia="Times New Roman" w:cs="Times New Roman"/>
                <w:b/>
                <w:bCs/>
                <w:color w:val="000000"/>
                <w:kern w:val="0"/>
                <w:sz w:val="18"/>
                <w:szCs w:val="18"/>
                <w:lang w:eastAsia="es-CO"/>
                <w14:ligatures w14:val="none"/>
              </w:rPr>
              <w:t>Entidad</w:t>
            </w:r>
          </w:p>
        </w:tc>
        <w:tc>
          <w:tcPr>
            <w:tcW w:w="1559" w:type="dxa"/>
            <w:shd w:val="clear" w:color="000000" w:fill="FFFFFF"/>
            <w:vAlign w:val="center"/>
            <w:hideMark/>
          </w:tcPr>
          <w:p w14:paraId="3732C86E" w14:textId="77777777" w:rsidR="005E64D9" w:rsidRPr="00951AB1" w:rsidRDefault="005E64D9" w:rsidP="000A5389">
            <w:pPr>
              <w:spacing w:line="240" w:lineRule="auto"/>
              <w:jc w:val="center"/>
              <w:rPr>
                <w:rFonts w:eastAsia="Times New Roman" w:cs="Times New Roman"/>
                <w:b/>
                <w:bCs/>
                <w:color w:val="000000"/>
                <w:kern w:val="0"/>
                <w:sz w:val="18"/>
                <w:szCs w:val="18"/>
                <w:lang w:eastAsia="es-CO"/>
                <w14:ligatures w14:val="none"/>
              </w:rPr>
            </w:pPr>
            <w:r w:rsidRPr="00951AB1">
              <w:rPr>
                <w:rFonts w:eastAsia="Times New Roman" w:cs="Times New Roman"/>
                <w:b/>
                <w:bCs/>
                <w:color w:val="000000"/>
                <w:kern w:val="0"/>
                <w:sz w:val="18"/>
                <w:szCs w:val="18"/>
                <w:lang w:eastAsia="es-CO"/>
                <w14:ligatures w14:val="none"/>
              </w:rPr>
              <w:t>Saldo 2025</w:t>
            </w:r>
          </w:p>
        </w:tc>
        <w:tc>
          <w:tcPr>
            <w:tcW w:w="1134" w:type="dxa"/>
            <w:shd w:val="clear" w:color="000000" w:fill="FFFFFF"/>
            <w:vAlign w:val="center"/>
            <w:hideMark/>
          </w:tcPr>
          <w:p w14:paraId="323FF4BC" w14:textId="77777777" w:rsidR="005E64D9" w:rsidRPr="00951AB1" w:rsidRDefault="005E64D9" w:rsidP="000A5389">
            <w:pPr>
              <w:spacing w:line="240" w:lineRule="auto"/>
              <w:jc w:val="center"/>
              <w:rPr>
                <w:rFonts w:eastAsia="Times New Roman" w:cs="Times New Roman"/>
                <w:b/>
                <w:bCs/>
                <w:color w:val="000000"/>
                <w:kern w:val="0"/>
                <w:sz w:val="18"/>
                <w:szCs w:val="18"/>
                <w:lang w:eastAsia="es-CO"/>
                <w14:ligatures w14:val="none"/>
              </w:rPr>
            </w:pPr>
            <w:r w:rsidRPr="00951AB1">
              <w:rPr>
                <w:rFonts w:eastAsia="Times New Roman" w:cs="Times New Roman"/>
                <w:b/>
                <w:bCs/>
                <w:color w:val="000000"/>
                <w:kern w:val="0"/>
                <w:sz w:val="18"/>
                <w:szCs w:val="18"/>
                <w:lang w:eastAsia="es-CO"/>
                <w14:ligatures w14:val="none"/>
              </w:rPr>
              <w:t>Saldo 2024</w:t>
            </w:r>
          </w:p>
        </w:tc>
        <w:tc>
          <w:tcPr>
            <w:tcW w:w="1276" w:type="dxa"/>
            <w:shd w:val="clear" w:color="000000" w:fill="FFFFFF"/>
            <w:vAlign w:val="center"/>
            <w:hideMark/>
          </w:tcPr>
          <w:p w14:paraId="5A9CA2CB" w14:textId="77777777" w:rsidR="005E64D9" w:rsidRPr="00951AB1" w:rsidRDefault="005E64D9" w:rsidP="000A5389">
            <w:pPr>
              <w:spacing w:line="240" w:lineRule="auto"/>
              <w:jc w:val="center"/>
              <w:rPr>
                <w:rFonts w:eastAsia="Times New Roman" w:cs="Times New Roman"/>
                <w:b/>
                <w:bCs/>
                <w:color w:val="000000"/>
                <w:kern w:val="0"/>
                <w:sz w:val="18"/>
                <w:szCs w:val="18"/>
                <w:lang w:eastAsia="es-CO"/>
                <w14:ligatures w14:val="none"/>
              </w:rPr>
            </w:pPr>
            <w:r w:rsidRPr="00951AB1">
              <w:rPr>
                <w:rFonts w:eastAsia="Times New Roman" w:cs="Times New Roman"/>
                <w:b/>
                <w:bCs/>
                <w:color w:val="000000"/>
                <w:kern w:val="0"/>
                <w:sz w:val="18"/>
                <w:szCs w:val="18"/>
                <w:lang w:eastAsia="es-CO"/>
                <w14:ligatures w14:val="none"/>
              </w:rPr>
              <w:t>Variación</w:t>
            </w:r>
          </w:p>
        </w:tc>
      </w:tr>
      <w:tr w:rsidR="005E64D9" w:rsidRPr="00951AB1" w14:paraId="79998686" w14:textId="77777777" w:rsidTr="007B1127">
        <w:trPr>
          <w:trHeight w:val="315"/>
        </w:trPr>
        <w:tc>
          <w:tcPr>
            <w:tcW w:w="4952" w:type="dxa"/>
            <w:shd w:val="clear" w:color="000000" w:fill="FFFFFF"/>
            <w:noWrap/>
            <w:vAlign w:val="center"/>
            <w:hideMark/>
          </w:tcPr>
          <w:p w14:paraId="0C9A7013" w14:textId="0A73B32E" w:rsidR="005E64D9" w:rsidRPr="00951AB1" w:rsidRDefault="005E64D9" w:rsidP="000A5389">
            <w:pPr>
              <w:spacing w:line="240" w:lineRule="auto"/>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Unidad Administrativa Especial De Aeronautica Civil</w:t>
            </w:r>
          </w:p>
        </w:tc>
        <w:tc>
          <w:tcPr>
            <w:tcW w:w="1559" w:type="dxa"/>
            <w:shd w:val="clear" w:color="000000" w:fill="FFFFFF"/>
            <w:noWrap/>
            <w:vAlign w:val="center"/>
            <w:hideMark/>
          </w:tcPr>
          <w:p w14:paraId="1BCA326A" w14:textId="77777777" w:rsidR="005E64D9" w:rsidRPr="00951AB1" w:rsidRDefault="005E64D9"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1.834.012.668</w:t>
            </w:r>
          </w:p>
        </w:tc>
        <w:tc>
          <w:tcPr>
            <w:tcW w:w="1134" w:type="dxa"/>
            <w:shd w:val="clear" w:color="000000" w:fill="FFFFFF"/>
            <w:noWrap/>
            <w:vAlign w:val="center"/>
            <w:hideMark/>
          </w:tcPr>
          <w:p w14:paraId="36FCD81D" w14:textId="77777777" w:rsidR="005E64D9" w:rsidRPr="00951AB1" w:rsidRDefault="005E64D9"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0</w:t>
            </w:r>
          </w:p>
        </w:tc>
        <w:tc>
          <w:tcPr>
            <w:tcW w:w="1276" w:type="dxa"/>
            <w:shd w:val="clear" w:color="000000" w:fill="FFFFFF"/>
            <w:noWrap/>
            <w:vAlign w:val="center"/>
            <w:hideMark/>
          </w:tcPr>
          <w:p w14:paraId="1CFB8E94" w14:textId="77777777" w:rsidR="005E64D9" w:rsidRPr="00951AB1" w:rsidRDefault="005E64D9"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1.834.012.668</w:t>
            </w:r>
          </w:p>
        </w:tc>
      </w:tr>
      <w:tr w:rsidR="005E64D9" w:rsidRPr="00951AB1" w14:paraId="263AD2CD" w14:textId="77777777" w:rsidTr="007B1127">
        <w:trPr>
          <w:trHeight w:val="315"/>
        </w:trPr>
        <w:tc>
          <w:tcPr>
            <w:tcW w:w="4952" w:type="dxa"/>
            <w:shd w:val="clear" w:color="000000" w:fill="FFFFFF"/>
            <w:noWrap/>
            <w:vAlign w:val="center"/>
            <w:hideMark/>
          </w:tcPr>
          <w:p w14:paraId="11CABCD1" w14:textId="06B546A1" w:rsidR="005E64D9" w:rsidRPr="00951AB1" w:rsidRDefault="005E64D9" w:rsidP="000A5389">
            <w:pPr>
              <w:spacing w:line="240" w:lineRule="auto"/>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Aeropuerto Olaya Herrera</w:t>
            </w:r>
          </w:p>
        </w:tc>
        <w:tc>
          <w:tcPr>
            <w:tcW w:w="1559" w:type="dxa"/>
            <w:shd w:val="clear" w:color="000000" w:fill="FFFFFF"/>
            <w:noWrap/>
            <w:vAlign w:val="center"/>
            <w:hideMark/>
          </w:tcPr>
          <w:p w14:paraId="29BA5466" w14:textId="77777777" w:rsidR="005E64D9" w:rsidRPr="00951AB1" w:rsidRDefault="005E64D9"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716.166.460</w:t>
            </w:r>
          </w:p>
        </w:tc>
        <w:tc>
          <w:tcPr>
            <w:tcW w:w="1134" w:type="dxa"/>
            <w:shd w:val="clear" w:color="000000" w:fill="FFFFFF"/>
            <w:noWrap/>
            <w:vAlign w:val="center"/>
            <w:hideMark/>
          </w:tcPr>
          <w:p w14:paraId="6C44A8EA" w14:textId="77777777" w:rsidR="005E64D9" w:rsidRPr="00951AB1" w:rsidRDefault="005E64D9"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0</w:t>
            </w:r>
          </w:p>
        </w:tc>
        <w:tc>
          <w:tcPr>
            <w:tcW w:w="1276" w:type="dxa"/>
            <w:shd w:val="clear" w:color="000000" w:fill="FFFFFF"/>
            <w:noWrap/>
            <w:vAlign w:val="center"/>
            <w:hideMark/>
          </w:tcPr>
          <w:p w14:paraId="21110D60" w14:textId="77777777" w:rsidR="005E64D9" w:rsidRPr="00951AB1" w:rsidRDefault="005E64D9"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716.166.460</w:t>
            </w:r>
          </w:p>
        </w:tc>
      </w:tr>
      <w:tr w:rsidR="005E64D9" w:rsidRPr="00951AB1" w14:paraId="3DA00906" w14:textId="77777777" w:rsidTr="007B1127">
        <w:trPr>
          <w:trHeight w:val="315"/>
        </w:trPr>
        <w:tc>
          <w:tcPr>
            <w:tcW w:w="4952" w:type="dxa"/>
            <w:shd w:val="clear" w:color="000000" w:fill="FFFFFF"/>
            <w:noWrap/>
            <w:vAlign w:val="center"/>
            <w:hideMark/>
          </w:tcPr>
          <w:p w14:paraId="39B5BB6B" w14:textId="444D96BA" w:rsidR="005E64D9" w:rsidRPr="00951AB1" w:rsidRDefault="005E64D9" w:rsidP="000A5389">
            <w:pPr>
              <w:spacing w:line="240" w:lineRule="auto"/>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Consorcio Ferreobelen C&amp;E</w:t>
            </w:r>
          </w:p>
        </w:tc>
        <w:tc>
          <w:tcPr>
            <w:tcW w:w="1559" w:type="dxa"/>
            <w:shd w:val="clear" w:color="000000" w:fill="FFFFFF"/>
            <w:noWrap/>
            <w:vAlign w:val="center"/>
            <w:hideMark/>
          </w:tcPr>
          <w:p w14:paraId="0BE3D383" w14:textId="77777777" w:rsidR="005E64D9" w:rsidRPr="00951AB1" w:rsidRDefault="005E64D9"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102.391.536</w:t>
            </w:r>
          </w:p>
        </w:tc>
        <w:tc>
          <w:tcPr>
            <w:tcW w:w="1134" w:type="dxa"/>
            <w:shd w:val="clear" w:color="000000" w:fill="FFFFFF"/>
            <w:noWrap/>
            <w:vAlign w:val="center"/>
            <w:hideMark/>
          </w:tcPr>
          <w:p w14:paraId="3E3601B0" w14:textId="77777777" w:rsidR="005E64D9" w:rsidRPr="00951AB1" w:rsidRDefault="005E64D9"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0</w:t>
            </w:r>
          </w:p>
        </w:tc>
        <w:tc>
          <w:tcPr>
            <w:tcW w:w="1276" w:type="dxa"/>
            <w:shd w:val="clear" w:color="000000" w:fill="FFFFFF"/>
            <w:noWrap/>
            <w:vAlign w:val="center"/>
            <w:hideMark/>
          </w:tcPr>
          <w:p w14:paraId="38EB8026" w14:textId="77777777" w:rsidR="005E64D9" w:rsidRPr="00951AB1" w:rsidRDefault="005E64D9"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102.391.536</w:t>
            </w:r>
          </w:p>
        </w:tc>
      </w:tr>
      <w:tr w:rsidR="005E64D9" w:rsidRPr="00951AB1" w14:paraId="5C3EC308" w14:textId="77777777" w:rsidTr="007B1127">
        <w:trPr>
          <w:trHeight w:val="315"/>
        </w:trPr>
        <w:tc>
          <w:tcPr>
            <w:tcW w:w="4952" w:type="dxa"/>
            <w:shd w:val="clear" w:color="000000" w:fill="FFFFFF"/>
            <w:noWrap/>
            <w:vAlign w:val="center"/>
            <w:hideMark/>
          </w:tcPr>
          <w:p w14:paraId="3F86EF24" w14:textId="570688D1" w:rsidR="005E64D9" w:rsidRPr="00951AB1" w:rsidRDefault="005E64D9" w:rsidP="000A5389">
            <w:pPr>
              <w:spacing w:line="240" w:lineRule="auto"/>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Consorcio Ctsa - Ingeral</w:t>
            </w:r>
          </w:p>
        </w:tc>
        <w:tc>
          <w:tcPr>
            <w:tcW w:w="1559" w:type="dxa"/>
            <w:shd w:val="clear" w:color="000000" w:fill="FFFFFF"/>
            <w:noWrap/>
            <w:vAlign w:val="center"/>
            <w:hideMark/>
          </w:tcPr>
          <w:p w14:paraId="36910841" w14:textId="77777777" w:rsidR="005E64D9" w:rsidRPr="00951AB1" w:rsidRDefault="005E64D9"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11.896.711</w:t>
            </w:r>
          </w:p>
        </w:tc>
        <w:tc>
          <w:tcPr>
            <w:tcW w:w="1134" w:type="dxa"/>
            <w:shd w:val="clear" w:color="000000" w:fill="FFFFFF"/>
            <w:noWrap/>
            <w:vAlign w:val="center"/>
            <w:hideMark/>
          </w:tcPr>
          <w:p w14:paraId="74F666B9" w14:textId="77777777" w:rsidR="005E64D9" w:rsidRPr="00951AB1" w:rsidRDefault="005E64D9"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148.417.280</w:t>
            </w:r>
          </w:p>
        </w:tc>
        <w:tc>
          <w:tcPr>
            <w:tcW w:w="1276" w:type="dxa"/>
            <w:shd w:val="clear" w:color="000000" w:fill="FFFFFF"/>
            <w:noWrap/>
            <w:vAlign w:val="center"/>
            <w:hideMark/>
          </w:tcPr>
          <w:p w14:paraId="2BCFC17E" w14:textId="77777777" w:rsidR="005E64D9" w:rsidRPr="00951AB1" w:rsidRDefault="005E64D9"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-136.520.569</w:t>
            </w:r>
          </w:p>
        </w:tc>
      </w:tr>
      <w:tr w:rsidR="005E64D9" w:rsidRPr="00951AB1" w14:paraId="7D8EEF2F" w14:textId="77777777" w:rsidTr="007B1127">
        <w:trPr>
          <w:trHeight w:val="315"/>
        </w:trPr>
        <w:tc>
          <w:tcPr>
            <w:tcW w:w="4952" w:type="dxa"/>
            <w:shd w:val="clear" w:color="000000" w:fill="FFFFFF"/>
            <w:noWrap/>
            <w:vAlign w:val="center"/>
            <w:hideMark/>
          </w:tcPr>
          <w:p w14:paraId="6ECCF5F3" w14:textId="27151865" w:rsidR="005E64D9" w:rsidRPr="00951AB1" w:rsidRDefault="005E64D9" w:rsidP="000A5389">
            <w:pPr>
              <w:spacing w:line="240" w:lineRule="auto"/>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Consorcio San Felipe Ferreo</w:t>
            </w:r>
          </w:p>
        </w:tc>
        <w:tc>
          <w:tcPr>
            <w:tcW w:w="1559" w:type="dxa"/>
            <w:shd w:val="clear" w:color="000000" w:fill="FFFFFF"/>
            <w:noWrap/>
            <w:vAlign w:val="center"/>
            <w:hideMark/>
          </w:tcPr>
          <w:p w14:paraId="480468A2" w14:textId="77777777" w:rsidR="005E64D9" w:rsidRPr="00951AB1" w:rsidRDefault="005E64D9"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0</w:t>
            </w:r>
          </w:p>
        </w:tc>
        <w:tc>
          <w:tcPr>
            <w:tcW w:w="1134" w:type="dxa"/>
            <w:shd w:val="clear" w:color="000000" w:fill="FFFFFF"/>
            <w:noWrap/>
            <w:vAlign w:val="center"/>
            <w:hideMark/>
          </w:tcPr>
          <w:p w14:paraId="6C2EE458" w14:textId="77777777" w:rsidR="005E64D9" w:rsidRPr="00951AB1" w:rsidRDefault="005E64D9"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54.899.842</w:t>
            </w:r>
          </w:p>
        </w:tc>
        <w:tc>
          <w:tcPr>
            <w:tcW w:w="1276" w:type="dxa"/>
            <w:shd w:val="clear" w:color="000000" w:fill="FFFFFF"/>
            <w:noWrap/>
            <w:vAlign w:val="center"/>
            <w:hideMark/>
          </w:tcPr>
          <w:p w14:paraId="5DFAE779" w14:textId="77777777" w:rsidR="005E64D9" w:rsidRPr="00951AB1" w:rsidRDefault="005E64D9"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-54.899.842</w:t>
            </w:r>
          </w:p>
        </w:tc>
      </w:tr>
      <w:tr w:rsidR="005E64D9" w:rsidRPr="00951AB1" w14:paraId="5869BFAE" w14:textId="77777777" w:rsidTr="007B1127">
        <w:trPr>
          <w:trHeight w:val="315"/>
        </w:trPr>
        <w:tc>
          <w:tcPr>
            <w:tcW w:w="4952" w:type="dxa"/>
            <w:shd w:val="clear" w:color="000000" w:fill="FFFFFF"/>
            <w:noWrap/>
            <w:vAlign w:val="center"/>
            <w:hideMark/>
          </w:tcPr>
          <w:p w14:paraId="6F7AE34B" w14:textId="77777777" w:rsidR="005E64D9" w:rsidRPr="00951AB1" w:rsidRDefault="005E64D9" w:rsidP="000A5389">
            <w:pPr>
              <w:spacing w:line="240" w:lineRule="auto"/>
              <w:rPr>
                <w:rFonts w:eastAsia="Times New Roman" w:cs="Times New Roman"/>
                <w:b/>
                <w:bCs/>
                <w:color w:val="000000"/>
                <w:kern w:val="0"/>
                <w:sz w:val="18"/>
                <w:szCs w:val="18"/>
                <w:lang w:eastAsia="es-CO"/>
                <w14:ligatures w14:val="none"/>
              </w:rPr>
            </w:pPr>
            <w:r w:rsidRPr="00951AB1">
              <w:rPr>
                <w:rFonts w:eastAsia="Times New Roman" w:cs="Times New Roman"/>
                <w:b/>
                <w:bCs/>
                <w:color w:val="000000"/>
                <w:kern w:val="0"/>
                <w:sz w:val="18"/>
                <w:szCs w:val="18"/>
                <w:lang w:eastAsia="es-CO"/>
                <w14:ligatures w14:val="none"/>
              </w:rPr>
              <w:t xml:space="preserve">TOTALES </w:t>
            </w:r>
          </w:p>
        </w:tc>
        <w:tc>
          <w:tcPr>
            <w:tcW w:w="1559" w:type="dxa"/>
            <w:shd w:val="clear" w:color="000000" w:fill="FFFFFF"/>
            <w:noWrap/>
            <w:vAlign w:val="center"/>
            <w:hideMark/>
          </w:tcPr>
          <w:p w14:paraId="586EB2F3" w14:textId="77777777" w:rsidR="005E64D9" w:rsidRPr="00951AB1" w:rsidRDefault="005E64D9" w:rsidP="000A5389">
            <w:pPr>
              <w:spacing w:line="240" w:lineRule="auto"/>
              <w:jc w:val="right"/>
              <w:rPr>
                <w:rFonts w:eastAsia="Times New Roman" w:cs="Times New Roman"/>
                <w:b/>
                <w:bCs/>
                <w:color w:val="000000"/>
                <w:kern w:val="0"/>
                <w:sz w:val="18"/>
                <w:szCs w:val="18"/>
                <w:lang w:eastAsia="es-CO"/>
                <w14:ligatures w14:val="none"/>
              </w:rPr>
            </w:pPr>
            <w:r w:rsidRPr="00951AB1">
              <w:rPr>
                <w:rFonts w:eastAsia="Times New Roman" w:cs="Times New Roman"/>
                <w:b/>
                <w:bCs/>
                <w:color w:val="000000"/>
                <w:kern w:val="0"/>
                <w:sz w:val="18"/>
                <w:szCs w:val="18"/>
                <w:lang w:eastAsia="es-CO"/>
                <w14:ligatures w14:val="none"/>
              </w:rPr>
              <w:t>2.664.467.375</w:t>
            </w:r>
          </w:p>
        </w:tc>
        <w:tc>
          <w:tcPr>
            <w:tcW w:w="1134" w:type="dxa"/>
            <w:shd w:val="clear" w:color="000000" w:fill="FFFFFF"/>
            <w:noWrap/>
            <w:vAlign w:val="center"/>
            <w:hideMark/>
          </w:tcPr>
          <w:p w14:paraId="29D3F41D" w14:textId="77777777" w:rsidR="005E64D9" w:rsidRPr="00951AB1" w:rsidRDefault="005E64D9" w:rsidP="000A5389">
            <w:pPr>
              <w:spacing w:line="240" w:lineRule="auto"/>
              <w:jc w:val="right"/>
              <w:rPr>
                <w:rFonts w:eastAsia="Times New Roman" w:cs="Times New Roman"/>
                <w:b/>
                <w:bCs/>
                <w:color w:val="000000"/>
                <w:kern w:val="0"/>
                <w:sz w:val="18"/>
                <w:szCs w:val="18"/>
                <w:lang w:eastAsia="es-CO"/>
                <w14:ligatures w14:val="none"/>
              </w:rPr>
            </w:pPr>
            <w:r w:rsidRPr="00951AB1">
              <w:rPr>
                <w:rFonts w:eastAsia="Times New Roman" w:cs="Times New Roman"/>
                <w:b/>
                <w:bCs/>
                <w:color w:val="000000"/>
                <w:kern w:val="0"/>
                <w:sz w:val="18"/>
                <w:szCs w:val="18"/>
                <w:lang w:eastAsia="es-CO"/>
                <w14:ligatures w14:val="none"/>
              </w:rPr>
              <w:t>203.317.122</w:t>
            </w:r>
          </w:p>
        </w:tc>
        <w:tc>
          <w:tcPr>
            <w:tcW w:w="1276" w:type="dxa"/>
            <w:shd w:val="clear" w:color="000000" w:fill="FFFFFF"/>
            <w:noWrap/>
            <w:vAlign w:val="center"/>
            <w:hideMark/>
          </w:tcPr>
          <w:p w14:paraId="4348BC39" w14:textId="77777777" w:rsidR="005E64D9" w:rsidRPr="00951AB1" w:rsidRDefault="005E64D9" w:rsidP="000A5389">
            <w:pPr>
              <w:spacing w:line="240" w:lineRule="auto"/>
              <w:jc w:val="right"/>
              <w:rPr>
                <w:rFonts w:eastAsia="Times New Roman" w:cs="Times New Roman"/>
                <w:b/>
                <w:bCs/>
                <w:color w:val="000000"/>
                <w:kern w:val="0"/>
                <w:sz w:val="18"/>
                <w:szCs w:val="18"/>
                <w:lang w:eastAsia="es-CO"/>
                <w14:ligatures w14:val="none"/>
              </w:rPr>
            </w:pPr>
            <w:r w:rsidRPr="00951AB1">
              <w:rPr>
                <w:rFonts w:eastAsia="Times New Roman" w:cs="Times New Roman"/>
                <w:b/>
                <w:bCs/>
                <w:color w:val="000000"/>
                <w:kern w:val="0"/>
                <w:sz w:val="18"/>
                <w:szCs w:val="18"/>
                <w:lang w:eastAsia="es-CO"/>
                <w14:ligatures w14:val="none"/>
              </w:rPr>
              <w:t>2.461.150.253</w:t>
            </w:r>
          </w:p>
        </w:tc>
      </w:tr>
    </w:tbl>
    <w:p w14:paraId="6BEB6268" w14:textId="77777777" w:rsidR="005E64D9" w:rsidRPr="00951AB1" w:rsidRDefault="005E64D9" w:rsidP="000A5389">
      <w:pPr>
        <w:spacing w:line="240" w:lineRule="auto"/>
        <w:rPr>
          <w:rFonts w:cs="Times New Roman"/>
          <w:sz w:val="14"/>
          <w:szCs w:val="14"/>
        </w:rPr>
      </w:pPr>
      <w:r w:rsidRPr="00951AB1">
        <w:rPr>
          <w:rFonts w:cs="Times New Roman"/>
          <w:sz w:val="14"/>
          <w:szCs w:val="14"/>
        </w:rPr>
        <w:t>Cifras expresadas en pesos</w:t>
      </w:r>
    </w:p>
    <w:p w14:paraId="402B14B6" w14:textId="77777777" w:rsidR="005E64D9" w:rsidRPr="00951AB1" w:rsidRDefault="005E64D9" w:rsidP="000A5389">
      <w:pPr>
        <w:spacing w:line="240" w:lineRule="auto"/>
        <w:rPr>
          <w:rFonts w:cs="Times New Roman"/>
          <w:sz w:val="14"/>
          <w:szCs w:val="14"/>
        </w:rPr>
      </w:pPr>
    </w:p>
    <w:p w14:paraId="07129568" w14:textId="77777777" w:rsidR="005E64D9" w:rsidRPr="00951AB1" w:rsidRDefault="005E64D9" w:rsidP="000A5389">
      <w:pPr>
        <w:widowControl w:val="0"/>
        <w:autoSpaceDE w:val="0"/>
        <w:autoSpaceDN w:val="0"/>
        <w:spacing w:line="240" w:lineRule="auto"/>
        <w:contextualSpacing/>
        <w:rPr>
          <w:rFonts w:eastAsia="Times New Roman" w:cs="Times New Roman"/>
          <w:szCs w:val="24"/>
          <w:lang w:val="es-ES" w:eastAsia="es-ES" w:bidi="es-ES"/>
        </w:rPr>
      </w:pPr>
      <w:r w:rsidRPr="00951AB1">
        <w:rPr>
          <w:rFonts w:eastAsia="Times New Roman" w:cs="Times New Roman"/>
          <w:szCs w:val="24"/>
          <w:lang w:eastAsia="es-ES" w:bidi="es-ES"/>
        </w:rPr>
        <w:t>Esta cartera</w:t>
      </w:r>
      <w:r w:rsidRPr="00951AB1">
        <w:rPr>
          <w:rFonts w:eastAsia="Times New Roman" w:cs="Times New Roman"/>
          <w:szCs w:val="24"/>
          <w:lang w:val="es-ES" w:eastAsia="es-ES" w:bidi="es-ES"/>
        </w:rPr>
        <w:t xml:space="preserve"> no son objeto de deterioro por cuanto la antigüedad frente al vencimiento contractual no supera los tres (3) meses, no se consideran criterios de plazo, ni tasas de interés, debido a que el registro del derecho y el recaudo se generan dentro del mes corriente, en cuanto la deuda de la Aerocivil y el Aeropuerto Olaya Herrera, corresponde a lo recibidos de las Concesiones Aeroportuarias para ser transferida a la Agencia una vez se concilian los valores, adicionalmente, estas cuentas por cobrar no tienen pignoraciones, ni generan transferencias de riesgos a terceros.</w:t>
      </w:r>
    </w:p>
    <w:p w14:paraId="6EFA6B9A" w14:textId="77777777" w:rsidR="005E64D9" w:rsidRPr="00951AB1" w:rsidRDefault="005E64D9" w:rsidP="000A5389">
      <w:pPr>
        <w:spacing w:line="240" w:lineRule="auto"/>
        <w:rPr>
          <w:rFonts w:cs="Times New Roman"/>
          <w:szCs w:val="24"/>
        </w:rPr>
      </w:pPr>
    </w:p>
    <w:p w14:paraId="17FEF553" w14:textId="77777777" w:rsidR="005E64D9" w:rsidRPr="00951AB1" w:rsidRDefault="005E64D9" w:rsidP="000A5389">
      <w:pPr>
        <w:spacing w:line="240" w:lineRule="auto"/>
        <w:rPr>
          <w:rFonts w:cs="Times New Roman"/>
          <w:szCs w:val="24"/>
        </w:rPr>
      </w:pPr>
      <w:r w:rsidRPr="00951AB1">
        <w:rPr>
          <w:rFonts w:cs="Times New Roman"/>
          <w:b/>
          <w:bCs/>
          <w:i/>
          <w:iCs/>
          <w:szCs w:val="24"/>
        </w:rPr>
        <w:t>Reintegros:</w:t>
      </w:r>
      <w:r w:rsidRPr="00951AB1">
        <w:rPr>
          <w:rFonts w:cs="Times New Roman"/>
          <w:szCs w:val="24"/>
        </w:rPr>
        <w:t xml:space="preserve"> por valor de $406.560.657 corresponden al reconocimiento de los recursos de la Restitución a la Dirección del Tesoro Nacional por Capital No Ejecutado de los Aportes </w:t>
      </w:r>
      <w:r w:rsidRPr="00951AB1">
        <w:rPr>
          <w:rFonts w:cs="Times New Roman"/>
          <w:szCs w:val="24"/>
        </w:rPr>
        <w:lastRenderedPageBreak/>
        <w:t>Estatales que se encontraban en el Patrimonio Autónomo del proyecto Santa Marta Riohacha Paraguachón Contrato No. 445/95 informado en formato GCSP-F-007 con corte 31/07/2025, que se encuentra en que el Ministerio de Hacienda y Crédito Público esperando que el documento No. REP_204_25/07/2025 se asigne al portafolio de la ANI para su imputación.</w:t>
      </w:r>
    </w:p>
    <w:p w14:paraId="2B1626BA" w14:textId="77777777" w:rsidR="005E64D9" w:rsidRPr="00951AB1" w:rsidRDefault="005E64D9" w:rsidP="000A5389">
      <w:pPr>
        <w:spacing w:line="240" w:lineRule="auto"/>
        <w:rPr>
          <w:rFonts w:cs="Times New Roman"/>
          <w:szCs w:val="24"/>
        </w:rPr>
      </w:pPr>
    </w:p>
    <w:p w14:paraId="0BD8828B" w14:textId="77777777" w:rsidR="005E64D9" w:rsidRPr="00951AB1" w:rsidRDefault="005E64D9" w:rsidP="000A5389">
      <w:pPr>
        <w:widowControl w:val="0"/>
        <w:autoSpaceDE w:val="0"/>
        <w:autoSpaceDN w:val="0"/>
        <w:spacing w:line="240" w:lineRule="auto"/>
        <w:contextualSpacing/>
        <w:rPr>
          <w:rFonts w:eastAsia="Times New Roman" w:cs="Times New Roman"/>
          <w:szCs w:val="24"/>
          <w:lang w:val="es-ES" w:eastAsia="es-ES" w:bidi="es-ES"/>
        </w:rPr>
      </w:pPr>
      <w:r w:rsidRPr="00951AB1">
        <w:rPr>
          <w:rFonts w:eastAsia="Times New Roman" w:cs="Times New Roman"/>
          <w:szCs w:val="24"/>
          <w:lang w:eastAsia="es-ES" w:bidi="es-ES"/>
        </w:rPr>
        <w:t>Esta cartera</w:t>
      </w:r>
      <w:r w:rsidRPr="00951AB1">
        <w:rPr>
          <w:rFonts w:eastAsia="Times New Roman" w:cs="Times New Roman"/>
          <w:szCs w:val="24"/>
          <w:lang w:val="es-ES" w:eastAsia="es-ES" w:bidi="es-ES"/>
        </w:rPr>
        <w:t xml:space="preserve"> no es objeto de deterior, no se consideran criterios de plazo, ni tasas de interés por cuanto son recursos que se encuentra en el Tesoro disponibles para la Agencia una vez culmen los trámites ante el Ministerio. Adicionalmente, estas cuentas por cobrar no tienen pignoraciones, ni generan transferencias de riesgos a terceros.</w:t>
      </w:r>
    </w:p>
    <w:p w14:paraId="0C14C13A" w14:textId="77777777" w:rsidR="005E64D9" w:rsidRPr="00951AB1" w:rsidRDefault="005E64D9" w:rsidP="000A5389">
      <w:pPr>
        <w:spacing w:line="240" w:lineRule="auto"/>
        <w:rPr>
          <w:rFonts w:cs="Times New Roman"/>
          <w:szCs w:val="24"/>
          <w:lang w:val="es-ES"/>
        </w:rPr>
      </w:pPr>
    </w:p>
    <w:p w14:paraId="6C5C8B78" w14:textId="77777777" w:rsidR="005E64D9" w:rsidRPr="00951AB1" w:rsidRDefault="005E64D9" w:rsidP="000A5389">
      <w:pPr>
        <w:spacing w:line="240" w:lineRule="auto"/>
        <w:rPr>
          <w:rFonts w:cs="Times New Roman"/>
          <w:szCs w:val="24"/>
        </w:rPr>
      </w:pPr>
      <w:r w:rsidRPr="00951AB1">
        <w:rPr>
          <w:rFonts w:cs="Times New Roman"/>
          <w:b/>
          <w:bCs/>
          <w:i/>
          <w:iCs/>
          <w:szCs w:val="24"/>
        </w:rPr>
        <w:t>Otras cuentas por cobrar</w:t>
      </w:r>
      <w:r w:rsidRPr="00951AB1">
        <w:rPr>
          <w:rFonts w:cs="Times New Roman"/>
          <w:b/>
          <w:bCs/>
          <w:szCs w:val="24"/>
        </w:rPr>
        <w:t>:</w:t>
      </w:r>
      <w:r w:rsidRPr="00951AB1">
        <w:rPr>
          <w:rFonts w:cs="Times New Roman"/>
          <w:szCs w:val="24"/>
        </w:rPr>
        <w:t xml:space="preserve"> por valor de $144.608.027 corresponde en su gran mayoría a los rendimientos financieros que generan los recursos en el patrimonio autónomo de las entidades recaudadoras de la contraprestación aeroportuaria (Fideicomisos Sociedad Fiduciaria de Occidente SA y Aeropuerto Olaya Herrera), así como la férrea (Bancolombia S.A.) mientras son transferidos a la cuenta de la Agencia.</w:t>
      </w:r>
    </w:p>
    <w:p w14:paraId="355F6B70" w14:textId="77777777" w:rsidR="005E64D9" w:rsidRPr="00951AB1" w:rsidRDefault="005E64D9" w:rsidP="000A5389">
      <w:pPr>
        <w:spacing w:line="240" w:lineRule="auto"/>
        <w:rPr>
          <w:rFonts w:cs="Times New Roman"/>
          <w:szCs w:val="24"/>
        </w:rPr>
      </w:pPr>
    </w:p>
    <w:p w14:paraId="074B8734" w14:textId="15D2F3CC" w:rsidR="005E64D9" w:rsidRPr="00951AB1" w:rsidRDefault="005E64D9" w:rsidP="000A5389">
      <w:pPr>
        <w:widowControl w:val="0"/>
        <w:autoSpaceDE w:val="0"/>
        <w:autoSpaceDN w:val="0"/>
        <w:spacing w:line="240" w:lineRule="auto"/>
        <w:contextualSpacing/>
        <w:rPr>
          <w:rFonts w:cs="Times New Roman"/>
          <w:szCs w:val="24"/>
          <w:lang w:val="es-ES"/>
        </w:rPr>
      </w:pPr>
      <w:r w:rsidRPr="00951AB1">
        <w:rPr>
          <w:rFonts w:eastAsia="Times New Roman" w:cs="Times New Roman"/>
          <w:szCs w:val="24"/>
          <w:lang w:eastAsia="es-ES" w:bidi="es-ES"/>
        </w:rPr>
        <w:t>Por lo anterior, esta cartera</w:t>
      </w:r>
      <w:r w:rsidRPr="00951AB1">
        <w:rPr>
          <w:rFonts w:eastAsia="Times New Roman" w:cs="Times New Roman"/>
          <w:szCs w:val="24"/>
          <w:lang w:val="es-ES" w:eastAsia="es-ES" w:bidi="es-ES"/>
        </w:rPr>
        <w:t xml:space="preserve"> no es objeto de deterior, no se consideran criterios de plazo, ni tasas de interés por cuanto son recursos que se encuentra disponibles en la fiducia para la Agencia una vez se concilien las cifras de los recursos a favor. Adicionalmente, estas cuentas por cobrar no tienen pignoraciones, ni generan transferencias de riesgos a terceros.</w:t>
      </w:r>
    </w:p>
    <w:p w14:paraId="778E9BCC" w14:textId="77777777" w:rsidR="005E64D9" w:rsidRPr="00951AB1" w:rsidRDefault="005E64D9" w:rsidP="000A5389">
      <w:pPr>
        <w:spacing w:line="240" w:lineRule="auto"/>
        <w:rPr>
          <w:rFonts w:cs="Times New Roman"/>
          <w:szCs w:val="24"/>
        </w:rPr>
      </w:pPr>
    </w:p>
    <w:tbl>
      <w:tblPr>
        <w:tblW w:w="5000" w:type="pct"/>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CellMar>
          <w:left w:w="70" w:type="dxa"/>
          <w:right w:w="70" w:type="dxa"/>
        </w:tblCellMar>
        <w:tblLook w:val="04A0" w:firstRow="1" w:lastRow="0" w:firstColumn="1" w:lastColumn="0" w:noHBand="0" w:noVBand="1"/>
      </w:tblPr>
      <w:tblGrid>
        <w:gridCol w:w="5106"/>
        <w:gridCol w:w="1397"/>
        <w:gridCol w:w="1086"/>
        <w:gridCol w:w="1239"/>
      </w:tblGrid>
      <w:tr w:rsidR="005E64D9" w:rsidRPr="00951AB1" w14:paraId="075A7404" w14:textId="77777777" w:rsidTr="007B1127">
        <w:trPr>
          <w:trHeight w:val="315"/>
        </w:trPr>
        <w:tc>
          <w:tcPr>
            <w:tcW w:w="2892" w:type="pct"/>
            <w:shd w:val="clear" w:color="000000" w:fill="FFFFFF"/>
            <w:vAlign w:val="center"/>
            <w:hideMark/>
          </w:tcPr>
          <w:p w14:paraId="34FBCD02" w14:textId="77777777" w:rsidR="005E64D9" w:rsidRPr="00951AB1" w:rsidRDefault="005E64D9" w:rsidP="000A5389">
            <w:pPr>
              <w:spacing w:line="240" w:lineRule="auto"/>
              <w:jc w:val="center"/>
              <w:rPr>
                <w:rFonts w:eastAsia="Times New Roman" w:cs="Times New Roman"/>
                <w:b/>
                <w:bCs/>
                <w:color w:val="000000"/>
                <w:kern w:val="0"/>
                <w:sz w:val="18"/>
                <w:szCs w:val="18"/>
                <w:lang w:eastAsia="es-CO"/>
                <w14:ligatures w14:val="none"/>
              </w:rPr>
            </w:pPr>
            <w:r w:rsidRPr="00951AB1">
              <w:rPr>
                <w:rFonts w:eastAsia="Times New Roman" w:cs="Times New Roman"/>
                <w:b/>
                <w:bCs/>
                <w:color w:val="000000"/>
                <w:kern w:val="0"/>
                <w:sz w:val="18"/>
                <w:szCs w:val="18"/>
                <w:lang w:eastAsia="es-CO"/>
                <w14:ligatures w14:val="none"/>
              </w:rPr>
              <w:t>Entidad</w:t>
            </w:r>
          </w:p>
        </w:tc>
        <w:tc>
          <w:tcPr>
            <w:tcW w:w="791" w:type="pct"/>
            <w:shd w:val="clear" w:color="000000" w:fill="FFFFFF"/>
            <w:vAlign w:val="center"/>
            <w:hideMark/>
          </w:tcPr>
          <w:p w14:paraId="3AF48EC8" w14:textId="77777777" w:rsidR="005E64D9" w:rsidRPr="00951AB1" w:rsidRDefault="005E64D9" w:rsidP="000A5389">
            <w:pPr>
              <w:spacing w:line="240" w:lineRule="auto"/>
              <w:jc w:val="center"/>
              <w:rPr>
                <w:rFonts w:eastAsia="Times New Roman" w:cs="Times New Roman"/>
                <w:b/>
                <w:bCs/>
                <w:color w:val="000000"/>
                <w:kern w:val="0"/>
                <w:sz w:val="18"/>
                <w:szCs w:val="18"/>
                <w:lang w:eastAsia="es-CO"/>
                <w14:ligatures w14:val="none"/>
              </w:rPr>
            </w:pPr>
            <w:r w:rsidRPr="00951AB1">
              <w:rPr>
                <w:rFonts w:eastAsia="Times New Roman" w:cs="Times New Roman"/>
                <w:b/>
                <w:bCs/>
                <w:color w:val="000000"/>
                <w:kern w:val="0"/>
                <w:sz w:val="18"/>
                <w:szCs w:val="18"/>
                <w:lang w:eastAsia="es-CO"/>
                <w14:ligatures w14:val="none"/>
              </w:rPr>
              <w:t>Saldo 2025</w:t>
            </w:r>
          </w:p>
        </w:tc>
        <w:tc>
          <w:tcPr>
            <w:tcW w:w="615" w:type="pct"/>
            <w:shd w:val="clear" w:color="000000" w:fill="FFFFFF"/>
            <w:vAlign w:val="center"/>
            <w:hideMark/>
          </w:tcPr>
          <w:p w14:paraId="53166C51" w14:textId="77777777" w:rsidR="005E64D9" w:rsidRPr="00951AB1" w:rsidRDefault="005E64D9" w:rsidP="000A5389">
            <w:pPr>
              <w:spacing w:line="240" w:lineRule="auto"/>
              <w:jc w:val="center"/>
              <w:rPr>
                <w:rFonts w:eastAsia="Times New Roman" w:cs="Times New Roman"/>
                <w:b/>
                <w:bCs/>
                <w:color w:val="000000"/>
                <w:kern w:val="0"/>
                <w:sz w:val="18"/>
                <w:szCs w:val="18"/>
                <w:lang w:eastAsia="es-CO"/>
                <w14:ligatures w14:val="none"/>
              </w:rPr>
            </w:pPr>
            <w:r w:rsidRPr="00951AB1">
              <w:rPr>
                <w:rFonts w:eastAsia="Times New Roman" w:cs="Times New Roman"/>
                <w:b/>
                <w:bCs/>
                <w:color w:val="000000"/>
                <w:kern w:val="0"/>
                <w:sz w:val="18"/>
                <w:szCs w:val="18"/>
                <w:lang w:eastAsia="es-CO"/>
                <w14:ligatures w14:val="none"/>
              </w:rPr>
              <w:t>Saldo 2024</w:t>
            </w:r>
          </w:p>
        </w:tc>
        <w:tc>
          <w:tcPr>
            <w:tcW w:w="703" w:type="pct"/>
            <w:shd w:val="clear" w:color="000000" w:fill="FFFFFF"/>
            <w:vAlign w:val="center"/>
            <w:hideMark/>
          </w:tcPr>
          <w:p w14:paraId="1E463B37" w14:textId="77777777" w:rsidR="005E64D9" w:rsidRPr="00951AB1" w:rsidRDefault="005E64D9" w:rsidP="000A5389">
            <w:pPr>
              <w:spacing w:line="240" w:lineRule="auto"/>
              <w:jc w:val="center"/>
              <w:rPr>
                <w:rFonts w:eastAsia="Times New Roman" w:cs="Times New Roman"/>
                <w:b/>
                <w:bCs/>
                <w:color w:val="000000"/>
                <w:kern w:val="0"/>
                <w:sz w:val="18"/>
                <w:szCs w:val="18"/>
                <w:lang w:eastAsia="es-CO"/>
                <w14:ligatures w14:val="none"/>
              </w:rPr>
            </w:pPr>
            <w:r w:rsidRPr="00951AB1">
              <w:rPr>
                <w:rFonts w:eastAsia="Times New Roman" w:cs="Times New Roman"/>
                <w:b/>
                <w:bCs/>
                <w:color w:val="000000"/>
                <w:kern w:val="0"/>
                <w:sz w:val="18"/>
                <w:szCs w:val="18"/>
                <w:lang w:eastAsia="es-CO"/>
                <w14:ligatures w14:val="none"/>
              </w:rPr>
              <w:t>Variación</w:t>
            </w:r>
          </w:p>
        </w:tc>
      </w:tr>
      <w:tr w:rsidR="005E64D9" w:rsidRPr="00951AB1" w14:paraId="1FA57AFB" w14:textId="77777777" w:rsidTr="007B1127">
        <w:trPr>
          <w:trHeight w:val="300"/>
        </w:trPr>
        <w:tc>
          <w:tcPr>
            <w:tcW w:w="2892" w:type="pct"/>
            <w:noWrap/>
            <w:vAlign w:val="center"/>
            <w:hideMark/>
          </w:tcPr>
          <w:p w14:paraId="3421786C" w14:textId="7AA1B99B" w:rsidR="005E64D9" w:rsidRPr="00951AB1" w:rsidRDefault="005E64D9" w:rsidP="000A5389">
            <w:pPr>
              <w:spacing w:line="240" w:lineRule="auto"/>
              <w:rPr>
                <w:rFonts w:eastAsia="Times New Roman" w:cs="Times New Roman"/>
                <w:color w:val="000000"/>
                <w:kern w:val="0"/>
                <w:sz w:val="18"/>
                <w:szCs w:val="18"/>
                <w:lang w:eastAsia="es-CO"/>
                <w14:ligatures w14:val="none"/>
              </w:rPr>
            </w:pPr>
            <w:r w:rsidRPr="00951AB1">
              <w:rPr>
                <w:rFonts w:cs="Times New Roman"/>
                <w:color w:val="000000"/>
                <w:sz w:val="18"/>
                <w:szCs w:val="18"/>
              </w:rPr>
              <w:t>Fideicomisos Sociedad Fiduciaria De Occidente Sa</w:t>
            </w:r>
          </w:p>
        </w:tc>
        <w:tc>
          <w:tcPr>
            <w:tcW w:w="791" w:type="pct"/>
            <w:noWrap/>
            <w:vAlign w:val="center"/>
            <w:hideMark/>
          </w:tcPr>
          <w:p w14:paraId="03159F34" w14:textId="77777777" w:rsidR="005E64D9" w:rsidRPr="00951AB1" w:rsidRDefault="005E64D9" w:rsidP="000A5389">
            <w:pPr>
              <w:spacing w:line="240" w:lineRule="auto"/>
              <w:jc w:val="right"/>
              <w:rPr>
                <w:rFonts w:eastAsia="Times New Roman" w:cs="Times New Roman"/>
                <w:color w:val="000000"/>
                <w:kern w:val="0"/>
                <w:sz w:val="18"/>
                <w:szCs w:val="18"/>
                <w:lang w:eastAsia="es-CO"/>
                <w14:ligatures w14:val="none"/>
              </w:rPr>
            </w:pPr>
            <w:r w:rsidRPr="00951AB1">
              <w:rPr>
                <w:rFonts w:cs="Times New Roman"/>
                <w:color w:val="000000"/>
                <w:sz w:val="18"/>
                <w:szCs w:val="18"/>
              </w:rPr>
              <w:t>125.677.667</w:t>
            </w:r>
          </w:p>
        </w:tc>
        <w:tc>
          <w:tcPr>
            <w:tcW w:w="615" w:type="pct"/>
            <w:noWrap/>
            <w:vAlign w:val="center"/>
            <w:hideMark/>
          </w:tcPr>
          <w:p w14:paraId="6F894ACE" w14:textId="77777777" w:rsidR="005E64D9" w:rsidRPr="00951AB1" w:rsidRDefault="005E64D9" w:rsidP="000A5389">
            <w:pPr>
              <w:spacing w:line="240" w:lineRule="auto"/>
              <w:jc w:val="right"/>
              <w:rPr>
                <w:rFonts w:eastAsia="Times New Roman" w:cs="Times New Roman"/>
                <w:color w:val="000000"/>
                <w:kern w:val="0"/>
                <w:sz w:val="18"/>
                <w:szCs w:val="18"/>
                <w:lang w:eastAsia="es-CO"/>
                <w14:ligatures w14:val="none"/>
              </w:rPr>
            </w:pPr>
            <w:r w:rsidRPr="00951AB1">
              <w:rPr>
                <w:rFonts w:cs="Times New Roman"/>
                <w:sz w:val="18"/>
                <w:szCs w:val="18"/>
              </w:rPr>
              <w:t>0</w:t>
            </w:r>
          </w:p>
        </w:tc>
        <w:tc>
          <w:tcPr>
            <w:tcW w:w="703" w:type="pct"/>
            <w:noWrap/>
            <w:vAlign w:val="center"/>
            <w:hideMark/>
          </w:tcPr>
          <w:p w14:paraId="0107B488" w14:textId="77777777" w:rsidR="005E64D9" w:rsidRPr="00951AB1" w:rsidRDefault="005E64D9" w:rsidP="000A5389">
            <w:pPr>
              <w:spacing w:line="240" w:lineRule="auto"/>
              <w:jc w:val="right"/>
              <w:rPr>
                <w:rFonts w:eastAsia="Times New Roman" w:cs="Times New Roman"/>
                <w:kern w:val="0"/>
                <w:sz w:val="18"/>
                <w:szCs w:val="18"/>
                <w:lang w:eastAsia="es-CO"/>
                <w14:ligatures w14:val="none"/>
              </w:rPr>
            </w:pPr>
            <w:r w:rsidRPr="00951AB1">
              <w:rPr>
                <w:rFonts w:cs="Times New Roman"/>
                <w:sz w:val="18"/>
                <w:szCs w:val="18"/>
              </w:rPr>
              <w:t>125.677.667</w:t>
            </w:r>
          </w:p>
        </w:tc>
      </w:tr>
      <w:tr w:rsidR="005E64D9" w:rsidRPr="00951AB1" w14:paraId="5F6055B3" w14:textId="77777777" w:rsidTr="007B1127">
        <w:trPr>
          <w:trHeight w:val="300"/>
        </w:trPr>
        <w:tc>
          <w:tcPr>
            <w:tcW w:w="2892" w:type="pct"/>
            <w:noWrap/>
            <w:vAlign w:val="center"/>
            <w:hideMark/>
          </w:tcPr>
          <w:p w14:paraId="2A6BC428" w14:textId="0E85DA21" w:rsidR="005E64D9" w:rsidRPr="00951AB1" w:rsidRDefault="005E64D9" w:rsidP="000A5389">
            <w:pPr>
              <w:spacing w:line="240" w:lineRule="auto"/>
              <w:rPr>
                <w:rFonts w:eastAsia="Times New Roman" w:cs="Times New Roman"/>
                <w:color w:val="000000"/>
                <w:kern w:val="0"/>
                <w:sz w:val="18"/>
                <w:szCs w:val="18"/>
                <w:lang w:eastAsia="es-CO"/>
                <w14:ligatures w14:val="none"/>
              </w:rPr>
            </w:pPr>
            <w:r w:rsidRPr="00951AB1">
              <w:rPr>
                <w:rFonts w:cs="Times New Roman"/>
                <w:color w:val="000000"/>
                <w:sz w:val="18"/>
                <w:szCs w:val="18"/>
              </w:rPr>
              <w:t>Aeropuerto Olaya Herrera</w:t>
            </w:r>
          </w:p>
        </w:tc>
        <w:tc>
          <w:tcPr>
            <w:tcW w:w="791" w:type="pct"/>
            <w:noWrap/>
            <w:vAlign w:val="center"/>
            <w:hideMark/>
          </w:tcPr>
          <w:p w14:paraId="0350F0C3" w14:textId="77777777" w:rsidR="005E64D9" w:rsidRPr="00951AB1" w:rsidRDefault="005E64D9" w:rsidP="000A5389">
            <w:pPr>
              <w:spacing w:line="240" w:lineRule="auto"/>
              <w:jc w:val="right"/>
              <w:rPr>
                <w:rFonts w:eastAsia="Times New Roman" w:cs="Times New Roman"/>
                <w:color w:val="000000"/>
                <w:kern w:val="0"/>
                <w:sz w:val="18"/>
                <w:szCs w:val="18"/>
                <w:lang w:eastAsia="es-CO"/>
                <w14:ligatures w14:val="none"/>
              </w:rPr>
            </w:pPr>
            <w:r w:rsidRPr="00951AB1">
              <w:rPr>
                <w:rFonts w:cs="Times New Roman"/>
                <w:color w:val="000000"/>
                <w:sz w:val="18"/>
                <w:szCs w:val="18"/>
              </w:rPr>
              <w:t>8.979.059</w:t>
            </w:r>
          </w:p>
        </w:tc>
        <w:tc>
          <w:tcPr>
            <w:tcW w:w="615" w:type="pct"/>
            <w:noWrap/>
            <w:vAlign w:val="center"/>
            <w:hideMark/>
          </w:tcPr>
          <w:p w14:paraId="533129D7" w14:textId="77777777" w:rsidR="005E64D9" w:rsidRPr="00951AB1" w:rsidRDefault="005E64D9" w:rsidP="000A5389">
            <w:pPr>
              <w:spacing w:line="240" w:lineRule="auto"/>
              <w:jc w:val="right"/>
              <w:rPr>
                <w:rFonts w:eastAsia="Times New Roman" w:cs="Times New Roman"/>
                <w:kern w:val="0"/>
                <w:sz w:val="18"/>
                <w:szCs w:val="18"/>
                <w:lang w:eastAsia="es-CO"/>
                <w14:ligatures w14:val="none"/>
              </w:rPr>
            </w:pPr>
            <w:r w:rsidRPr="00951AB1">
              <w:rPr>
                <w:rFonts w:cs="Times New Roman"/>
                <w:sz w:val="18"/>
                <w:szCs w:val="18"/>
              </w:rPr>
              <w:t>0</w:t>
            </w:r>
          </w:p>
        </w:tc>
        <w:tc>
          <w:tcPr>
            <w:tcW w:w="703" w:type="pct"/>
            <w:noWrap/>
            <w:vAlign w:val="center"/>
            <w:hideMark/>
          </w:tcPr>
          <w:p w14:paraId="201EF9C2" w14:textId="77777777" w:rsidR="005E64D9" w:rsidRPr="00951AB1" w:rsidRDefault="005E64D9" w:rsidP="000A5389">
            <w:pPr>
              <w:spacing w:line="240" w:lineRule="auto"/>
              <w:jc w:val="right"/>
              <w:rPr>
                <w:rFonts w:eastAsia="Times New Roman" w:cs="Times New Roman"/>
                <w:kern w:val="0"/>
                <w:sz w:val="18"/>
                <w:szCs w:val="18"/>
                <w:lang w:eastAsia="es-CO"/>
                <w14:ligatures w14:val="none"/>
              </w:rPr>
            </w:pPr>
            <w:r w:rsidRPr="00951AB1">
              <w:rPr>
                <w:rFonts w:cs="Times New Roman"/>
                <w:sz w:val="18"/>
                <w:szCs w:val="18"/>
              </w:rPr>
              <w:t>8.979.059</w:t>
            </w:r>
          </w:p>
        </w:tc>
      </w:tr>
      <w:tr w:rsidR="005E64D9" w:rsidRPr="00951AB1" w14:paraId="5131067F" w14:textId="77777777" w:rsidTr="007B1127">
        <w:trPr>
          <w:trHeight w:val="300"/>
        </w:trPr>
        <w:tc>
          <w:tcPr>
            <w:tcW w:w="2892" w:type="pct"/>
            <w:noWrap/>
            <w:vAlign w:val="center"/>
            <w:hideMark/>
          </w:tcPr>
          <w:p w14:paraId="0DC4A626" w14:textId="6EE75833" w:rsidR="005E64D9" w:rsidRPr="00951AB1" w:rsidRDefault="005E64D9" w:rsidP="000A5389">
            <w:pPr>
              <w:spacing w:line="240" w:lineRule="auto"/>
              <w:rPr>
                <w:rFonts w:eastAsia="Times New Roman" w:cs="Times New Roman"/>
                <w:color w:val="000000"/>
                <w:kern w:val="0"/>
                <w:sz w:val="18"/>
                <w:szCs w:val="18"/>
                <w:lang w:eastAsia="es-CO"/>
                <w14:ligatures w14:val="none"/>
              </w:rPr>
            </w:pPr>
            <w:r w:rsidRPr="00951AB1">
              <w:rPr>
                <w:rFonts w:cs="Times New Roman"/>
                <w:color w:val="000000"/>
                <w:sz w:val="18"/>
                <w:szCs w:val="18"/>
              </w:rPr>
              <w:t>Diego Orlando Bustos Forero</w:t>
            </w:r>
          </w:p>
        </w:tc>
        <w:tc>
          <w:tcPr>
            <w:tcW w:w="791" w:type="pct"/>
            <w:noWrap/>
            <w:vAlign w:val="center"/>
            <w:hideMark/>
          </w:tcPr>
          <w:p w14:paraId="4C26A56B" w14:textId="77777777" w:rsidR="005E64D9" w:rsidRPr="00951AB1" w:rsidRDefault="005E64D9" w:rsidP="000A5389">
            <w:pPr>
              <w:spacing w:line="240" w:lineRule="auto"/>
              <w:jc w:val="right"/>
              <w:rPr>
                <w:rFonts w:eastAsia="Times New Roman" w:cs="Times New Roman"/>
                <w:color w:val="000000"/>
                <w:kern w:val="0"/>
                <w:sz w:val="18"/>
                <w:szCs w:val="18"/>
                <w:lang w:eastAsia="es-CO"/>
                <w14:ligatures w14:val="none"/>
              </w:rPr>
            </w:pPr>
            <w:r w:rsidRPr="00951AB1">
              <w:rPr>
                <w:rFonts w:cs="Times New Roman"/>
                <w:color w:val="000000"/>
                <w:sz w:val="18"/>
                <w:szCs w:val="18"/>
              </w:rPr>
              <w:t>6.923.000</w:t>
            </w:r>
          </w:p>
        </w:tc>
        <w:tc>
          <w:tcPr>
            <w:tcW w:w="615" w:type="pct"/>
            <w:noWrap/>
            <w:vAlign w:val="center"/>
            <w:hideMark/>
          </w:tcPr>
          <w:p w14:paraId="01A4DAC2" w14:textId="77777777" w:rsidR="005E64D9" w:rsidRPr="00951AB1" w:rsidRDefault="005E64D9" w:rsidP="000A5389">
            <w:pPr>
              <w:spacing w:line="240" w:lineRule="auto"/>
              <w:jc w:val="right"/>
              <w:rPr>
                <w:rFonts w:eastAsia="Times New Roman" w:cs="Times New Roman"/>
                <w:kern w:val="0"/>
                <w:sz w:val="18"/>
                <w:szCs w:val="18"/>
                <w:lang w:eastAsia="es-CO"/>
                <w14:ligatures w14:val="none"/>
              </w:rPr>
            </w:pPr>
            <w:r w:rsidRPr="00951AB1">
              <w:rPr>
                <w:rFonts w:cs="Times New Roman"/>
                <w:color w:val="000000"/>
                <w:sz w:val="18"/>
                <w:szCs w:val="18"/>
              </w:rPr>
              <w:t>6.923.000</w:t>
            </w:r>
          </w:p>
        </w:tc>
        <w:tc>
          <w:tcPr>
            <w:tcW w:w="703" w:type="pct"/>
            <w:noWrap/>
            <w:vAlign w:val="center"/>
            <w:hideMark/>
          </w:tcPr>
          <w:p w14:paraId="2C68F2A2" w14:textId="77777777" w:rsidR="005E64D9" w:rsidRPr="00951AB1" w:rsidRDefault="005E64D9" w:rsidP="000A5389">
            <w:pPr>
              <w:spacing w:line="240" w:lineRule="auto"/>
              <w:jc w:val="right"/>
              <w:rPr>
                <w:rFonts w:eastAsia="Times New Roman" w:cs="Times New Roman"/>
                <w:kern w:val="0"/>
                <w:sz w:val="18"/>
                <w:szCs w:val="18"/>
                <w:lang w:eastAsia="es-CO"/>
                <w14:ligatures w14:val="none"/>
              </w:rPr>
            </w:pPr>
            <w:r w:rsidRPr="00951AB1">
              <w:rPr>
                <w:rFonts w:cs="Times New Roman"/>
                <w:sz w:val="18"/>
                <w:szCs w:val="18"/>
              </w:rPr>
              <w:t>0</w:t>
            </w:r>
          </w:p>
        </w:tc>
      </w:tr>
      <w:tr w:rsidR="005E64D9" w:rsidRPr="00951AB1" w14:paraId="22572F26" w14:textId="77777777" w:rsidTr="007B1127">
        <w:trPr>
          <w:trHeight w:val="300"/>
        </w:trPr>
        <w:tc>
          <w:tcPr>
            <w:tcW w:w="2892" w:type="pct"/>
            <w:noWrap/>
            <w:vAlign w:val="center"/>
            <w:hideMark/>
          </w:tcPr>
          <w:p w14:paraId="60D30CB7" w14:textId="0937E823" w:rsidR="005E64D9" w:rsidRPr="00951AB1" w:rsidRDefault="005E64D9" w:rsidP="000A5389">
            <w:pPr>
              <w:spacing w:line="240" w:lineRule="auto"/>
              <w:rPr>
                <w:rFonts w:eastAsia="Times New Roman" w:cs="Times New Roman"/>
                <w:color w:val="000000"/>
                <w:kern w:val="0"/>
                <w:sz w:val="18"/>
                <w:szCs w:val="18"/>
                <w:lang w:eastAsia="es-CO"/>
                <w14:ligatures w14:val="none"/>
              </w:rPr>
            </w:pPr>
            <w:r w:rsidRPr="00951AB1">
              <w:rPr>
                <w:rFonts w:cs="Times New Roman"/>
                <w:color w:val="000000"/>
                <w:sz w:val="18"/>
                <w:szCs w:val="18"/>
              </w:rPr>
              <w:t>Bancolombia S.A.</w:t>
            </w:r>
          </w:p>
        </w:tc>
        <w:tc>
          <w:tcPr>
            <w:tcW w:w="791" w:type="pct"/>
            <w:noWrap/>
            <w:vAlign w:val="center"/>
            <w:hideMark/>
          </w:tcPr>
          <w:p w14:paraId="1B9BB115" w14:textId="77777777" w:rsidR="005E64D9" w:rsidRPr="00951AB1" w:rsidRDefault="005E64D9" w:rsidP="000A5389">
            <w:pPr>
              <w:spacing w:line="240" w:lineRule="auto"/>
              <w:jc w:val="right"/>
              <w:rPr>
                <w:rFonts w:eastAsia="Times New Roman" w:cs="Times New Roman"/>
                <w:color w:val="000000"/>
                <w:kern w:val="0"/>
                <w:sz w:val="18"/>
                <w:szCs w:val="18"/>
                <w:lang w:eastAsia="es-CO"/>
                <w14:ligatures w14:val="none"/>
              </w:rPr>
            </w:pPr>
            <w:r w:rsidRPr="00951AB1">
              <w:rPr>
                <w:rFonts w:cs="Times New Roman"/>
                <w:color w:val="000000"/>
                <w:sz w:val="18"/>
                <w:szCs w:val="18"/>
              </w:rPr>
              <w:t>3.028.301</w:t>
            </w:r>
          </w:p>
        </w:tc>
        <w:tc>
          <w:tcPr>
            <w:tcW w:w="615" w:type="pct"/>
            <w:noWrap/>
            <w:vAlign w:val="center"/>
            <w:hideMark/>
          </w:tcPr>
          <w:p w14:paraId="3EE53BFC" w14:textId="77777777" w:rsidR="005E64D9" w:rsidRPr="00951AB1" w:rsidRDefault="005E64D9" w:rsidP="000A5389">
            <w:pPr>
              <w:spacing w:line="240" w:lineRule="auto"/>
              <w:jc w:val="right"/>
              <w:rPr>
                <w:rFonts w:eastAsia="Times New Roman" w:cs="Times New Roman"/>
                <w:kern w:val="0"/>
                <w:sz w:val="18"/>
                <w:szCs w:val="18"/>
                <w:lang w:eastAsia="es-CO"/>
                <w14:ligatures w14:val="none"/>
              </w:rPr>
            </w:pPr>
            <w:r w:rsidRPr="00951AB1">
              <w:rPr>
                <w:rFonts w:cs="Times New Roman"/>
                <w:sz w:val="18"/>
                <w:szCs w:val="18"/>
              </w:rPr>
              <w:t>0</w:t>
            </w:r>
          </w:p>
        </w:tc>
        <w:tc>
          <w:tcPr>
            <w:tcW w:w="703" w:type="pct"/>
            <w:noWrap/>
            <w:vAlign w:val="center"/>
            <w:hideMark/>
          </w:tcPr>
          <w:p w14:paraId="7B3B05B7" w14:textId="77777777" w:rsidR="005E64D9" w:rsidRPr="00951AB1" w:rsidRDefault="005E64D9" w:rsidP="000A5389">
            <w:pPr>
              <w:spacing w:line="240" w:lineRule="auto"/>
              <w:jc w:val="right"/>
              <w:rPr>
                <w:rFonts w:eastAsia="Times New Roman" w:cs="Times New Roman"/>
                <w:kern w:val="0"/>
                <w:sz w:val="18"/>
                <w:szCs w:val="18"/>
                <w:lang w:eastAsia="es-CO"/>
                <w14:ligatures w14:val="none"/>
              </w:rPr>
            </w:pPr>
            <w:r w:rsidRPr="00951AB1">
              <w:rPr>
                <w:rFonts w:cs="Times New Roman"/>
                <w:sz w:val="18"/>
                <w:szCs w:val="18"/>
              </w:rPr>
              <w:t>3.028.301</w:t>
            </w:r>
          </w:p>
        </w:tc>
      </w:tr>
    </w:tbl>
    <w:p w14:paraId="05B88D6A" w14:textId="77777777" w:rsidR="005E64D9" w:rsidRPr="00951AB1" w:rsidRDefault="005E64D9" w:rsidP="000A5389">
      <w:pPr>
        <w:spacing w:line="240" w:lineRule="auto"/>
        <w:rPr>
          <w:rFonts w:eastAsia="Times New Roman" w:cs="Times New Roman"/>
          <w:color w:val="000000"/>
          <w:sz w:val="14"/>
          <w:szCs w:val="14"/>
          <w:lang w:eastAsia="es-CO"/>
        </w:rPr>
      </w:pPr>
      <w:r w:rsidRPr="00951AB1">
        <w:rPr>
          <w:rFonts w:eastAsia="Times New Roman" w:cs="Times New Roman"/>
          <w:color w:val="000000"/>
          <w:sz w:val="14"/>
          <w:szCs w:val="14"/>
          <w:lang w:eastAsia="es-CO"/>
        </w:rPr>
        <w:t>Cifras expresadas en pesos</w:t>
      </w:r>
    </w:p>
    <w:p w14:paraId="1415CF5C" w14:textId="77777777" w:rsidR="005E64D9" w:rsidRPr="00951AB1" w:rsidRDefault="005E64D9" w:rsidP="000A5389">
      <w:pPr>
        <w:spacing w:line="240" w:lineRule="auto"/>
        <w:rPr>
          <w:rFonts w:cs="Times New Roman"/>
          <w:szCs w:val="24"/>
        </w:rPr>
      </w:pPr>
    </w:p>
    <w:p w14:paraId="23C0CA93" w14:textId="77777777" w:rsidR="005E64D9" w:rsidRPr="00951AB1" w:rsidRDefault="005E64D9" w:rsidP="000A5389">
      <w:pPr>
        <w:spacing w:line="240" w:lineRule="auto"/>
        <w:rPr>
          <w:rFonts w:cs="Times New Roman"/>
          <w:szCs w:val="24"/>
        </w:rPr>
      </w:pPr>
      <w:r w:rsidRPr="00951AB1">
        <w:rPr>
          <w:rFonts w:cs="Times New Roman"/>
          <w:szCs w:val="24"/>
        </w:rPr>
        <w:t xml:space="preserve">Respecto de la cuenta por cobrar a Diego Orlando Bustos Forero con un saldo por $6.923.000 clasificada como no corriente, corresponde a la deuda por financiación de una maestría según Resoluciones ANI Nos. 624 del 30 de abril de 2014 y 847 25 de junio 2014, en proceso coactivo No. 005-2018. </w:t>
      </w:r>
    </w:p>
    <w:p w14:paraId="3E80B789" w14:textId="77777777" w:rsidR="005E64D9" w:rsidRPr="00951AB1" w:rsidRDefault="005E64D9" w:rsidP="000A5389">
      <w:pPr>
        <w:spacing w:line="240" w:lineRule="auto"/>
        <w:rPr>
          <w:rFonts w:cs="Times New Roman"/>
          <w:szCs w:val="24"/>
        </w:rPr>
      </w:pPr>
    </w:p>
    <w:tbl>
      <w:tblPr>
        <w:tblW w:w="4967" w:type="pct"/>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CellMar>
          <w:left w:w="70" w:type="dxa"/>
          <w:right w:w="70" w:type="dxa"/>
        </w:tblCellMar>
        <w:tblLook w:val="04A0" w:firstRow="1" w:lastRow="0" w:firstColumn="1" w:lastColumn="0" w:noHBand="0" w:noVBand="1"/>
      </w:tblPr>
      <w:tblGrid>
        <w:gridCol w:w="1261"/>
        <w:gridCol w:w="1994"/>
        <w:gridCol w:w="1135"/>
        <w:gridCol w:w="849"/>
        <w:gridCol w:w="1135"/>
        <w:gridCol w:w="567"/>
        <w:gridCol w:w="966"/>
        <w:gridCol w:w="863"/>
      </w:tblGrid>
      <w:tr w:rsidR="005E64D9" w:rsidRPr="006304F4" w14:paraId="214FF899" w14:textId="77777777" w:rsidTr="007B1127">
        <w:trPr>
          <w:trHeight w:val="349"/>
        </w:trPr>
        <w:tc>
          <w:tcPr>
            <w:tcW w:w="719" w:type="pct"/>
            <w:vMerge w:val="restart"/>
            <w:vAlign w:val="center"/>
            <w:hideMark/>
          </w:tcPr>
          <w:p w14:paraId="6B0DE346" w14:textId="77777777" w:rsidR="005E64D9" w:rsidRPr="006304F4" w:rsidRDefault="005E64D9" w:rsidP="000A5389">
            <w:pPr>
              <w:spacing w:line="240" w:lineRule="auto"/>
              <w:jc w:val="center"/>
              <w:rPr>
                <w:rFonts w:eastAsia="Times New Roman" w:cs="Times New Roman"/>
                <w:b/>
                <w:bCs/>
                <w:color w:val="000000"/>
                <w:sz w:val="16"/>
                <w:szCs w:val="16"/>
                <w:lang w:eastAsia="es-CO"/>
              </w:rPr>
            </w:pPr>
            <w:r w:rsidRPr="006304F4">
              <w:rPr>
                <w:rFonts w:eastAsia="Times New Roman" w:cs="Times New Roman"/>
                <w:b/>
                <w:bCs/>
                <w:color w:val="000000"/>
                <w:sz w:val="16"/>
                <w:szCs w:val="16"/>
                <w:lang w:eastAsia="es-CO"/>
              </w:rPr>
              <w:t>DESCRIPCIÓN</w:t>
            </w:r>
          </w:p>
        </w:tc>
        <w:tc>
          <w:tcPr>
            <w:tcW w:w="1137" w:type="pct"/>
            <w:vMerge w:val="restart"/>
            <w:vAlign w:val="center"/>
            <w:hideMark/>
          </w:tcPr>
          <w:p w14:paraId="0ED4F2D6" w14:textId="77777777" w:rsidR="005E64D9" w:rsidRPr="006304F4" w:rsidRDefault="005E64D9" w:rsidP="000A5389">
            <w:pPr>
              <w:spacing w:line="240" w:lineRule="auto"/>
              <w:jc w:val="center"/>
              <w:rPr>
                <w:rFonts w:eastAsia="Times New Roman" w:cs="Times New Roman"/>
                <w:b/>
                <w:bCs/>
                <w:color w:val="000000"/>
                <w:sz w:val="16"/>
                <w:szCs w:val="16"/>
                <w:lang w:eastAsia="es-CO"/>
              </w:rPr>
            </w:pPr>
            <w:r w:rsidRPr="006304F4">
              <w:rPr>
                <w:rFonts w:eastAsia="Times New Roman" w:cs="Times New Roman"/>
                <w:b/>
                <w:bCs/>
                <w:color w:val="000000"/>
                <w:sz w:val="16"/>
                <w:szCs w:val="16"/>
                <w:lang w:eastAsia="es-CO"/>
              </w:rPr>
              <w:t>DESCRIPCIÓN AUXILIAR</w:t>
            </w:r>
          </w:p>
        </w:tc>
        <w:tc>
          <w:tcPr>
            <w:tcW w:w="647" w:type="pct"/>
            <w:vAlign w:val="center"/>
            <w:hideMark/>
          </w:tcPr>
          <w:p w14:paraId="1A74BFB4" w14:textId="77777777" w:rsidR="005E64D9" w:rsidRPr="006304F4" w:rsidRDefault="005E64D9" w:rsidP="000A5389">
            <w:pPr>
              <w:spacing w:line="240" w:lineRule="auto"/>
              <w:jc w:val="center"/>
              <w:rPr>
                <w:rFonts w:eastAsia="Times New Roman" w:cs="Times New Roman"/>
                <w:b/>
                <w:bCs/>
                <w:color w:val="000000"/>
                <w:sz w:val="16"/>
                <w:szCs w:val="16"/>
                <w:lang w:eastAsia="es-CO"/>
              </w:rPr>
            </w:pPr>
            <w:r w:rsidRPr="006304F4">
              <w:rPr>
                <w:rFonts w:eastAsia="Times New Roman" w:cs="Times New Roman"/>
                <w:b/>
                <w:bCs/>
                <w:color w:val="000000"/>
                <w:sz w:val="16"/>
                <w:szCs w:val="16"/>
                <w:lang w:eastAsia="es-CO"/>
              </w:rPr>
              <w:t xml:space="preserve">VALOR </w:t>
            </w:r>
          </w:p>
        </w:tc>
        <w:tc>
          <w:tcPr>
            <w:tcW w:w="1131" w:type="pct"/>
            <w:gridSpan w:val="2"/>
            <w:vAlign w:val="center"/>
            <w:hideMark/>
          </w:tcPr>
          <w:p w14:paraId="0BEB2C91" w14:textId="77777777" w:rsidR="005E64D9" w:rsidRPr="006304F4" w:rsidRDefault="005E64D9" w:rsidP="000A5389">
            <w:pPr>
              <w:spacing w:line="240" w:lineRule="auto"/>
              <w:jc w:val="center"/>
              <w:rPr>
                <w:rFonts w:eastAsia="Times New Roman" w:cs="Times New Roman"/>
                <w:b/>
                <w:bCs/>
                <w:color w:val="000000"/>
                <w:sz w:val="16"/>
                <w:szCs w:val="16"/>
                <w:lang w:eastAsia="es-CO"/>
              </w:rPr>
            </w:pPr>
            <w:r w:rsidRPr="006304F4">
              <w:rPr>
                <w:rFonts w:eastAsia="Times New Roman" w:cs="Times New Roman"/>
                <w:b/>
                <w:bCs/>
                <w:color w:val="000000"/>
                <w:sz w:val="16"/>
                <w:szCs w:val="16"/>
                <w:lang w:eastAsia="es-CO"/>
              </w:rPr>
              <w:t>PLAZO</w:t>
            </w:r>
          </w:p>
        </w:tc>
        <w:tc>
          <w:tcPr>
            <w:tcW w:w="323" w:type="pct"/>
            <w:vMerge w:val="restart"/>
            <w:vAlign w:val="center"/>
            <w:hideMark/>
          </w:tcPr>
          <w:p w14:paraId="581977CA" w14:textId="77777777" w:rsidR="005E64D9" w:rsidRPr="006304F4" w:rsidRDefault="005E64D9" w:rsidP="000A5389">
            <w:pPr>
              <w:spacing w:line="240" w:lineRule="auto"/>
              <w:jc w:val="center"/>
              <w:rPr>
                <w:rFonts w:eastAsia="Times New Roman" w:cs="Times New Roman"/>
                <w:b/>
                <w:bCs/>
                <w:color w:val="000000"/>
                <w:sz w:val="16"/>
                <w:szCs w:val="16"/>
                <w:lang w:eastAsia="es-CO"/>
              </w:rPr>
            </w:pPr>
            <w:r w:rsidRPr="006304F4">
              <w:rPr>
                <w:rFonts w:eastAsia="Times New Roman" w:cs="Times New Roman"/>
                <w:b/>
                <w:bCs/>
                <w:color w:val="000000"/>
                <w:sz w:val="16"/>
                <w:szCs w:val="16"/>
                <w:lang w:eastAsia="es-CO"/>
              </w:rPr>
              <w:t>% E.A</w:t>
            </w:r>
          </w:p>
        </w:tc>
        <w:tc>
          <w:tcPr>
            <w:tcW w:w="1043" w:type="pct"/>
            <w:gridSpan w:val="2"/>
            <w:vAlign w:val="center"/>
            <w:hideMark/>
          </w:tcPr>
          <w:p w14:paraId="6415544D" w14:textId="77777777" w:rsidR="005E64D9" w:rsidRPr="006304F4" w:rsidRDefault="005E64D9" w:rsidP="000A5389">
            <w:pPr>
              <w:spacing w:line="240" w:lineRule="auto"/>
              <w:jc w:val="center"/>
              <w:rPr>
                <w:rFonts w:eastAsia="Times New Roman" w:cs="Times New Roman"/>
                <w:b/>
                <w:bCs/>
                <w:color w:val="000000"/>
                <w:sz w:val="16"/>
                <w:szCs w:val="16"/>
                <w:lang w:eastAsia="es-CO"/>
              </w:rPr>
            </w:pPr>
            <w:r w:rsidRPr="006304F4">
              <w:rPr>
                <w:rFonts w:eastAsia="Times New Roman" w:cs="Times New Roman"/>
                <w:b/>
                <w:bCs/>
                <w:color w:val="000000"/>
                <w:sz w:val="16"/>
                <w:szCs w:val="16"/>
                <w:lang w:eastAsia="es-CO"/>
              </w:rPr>
              <w:t xml:space="preserve">VENCIMIENTO </w:t>
            </w:r>
          </w:p>
        </w:tc>
      </w:tr>
      <w:tr w:rsidR="005E64D9" w:rsidRPr="006304F4" w14:paraId="6608EFBA" w14:textId="77777777" w:rsidTr="007B1127">
        <w:trPr>
          <w:trHeight w:val="315"/>
        </w:trPr>
        <w:tc>
          <w:tcPr>
            <w:tcW w:w="719" w:type="pct"/>
            <w:vMerge/>
            <w:vAlign w:val="center"/>
            <w:hideMark/>
          </w:tcPr>
          <w:p w14:paraId="1400CB45" w14:textId="77777777" w:rsidR="005E64D9" w:rsidRPr="006304F4" w:rsidRDefault="005E64D9" w:rsidP="000A5389">
            <w:pPr>
              <w:spacing w:line="240" w:lineRule="auto"/>
              <w:rPr>
                <w:rFonts w:eastAsia="Times New Roman" w:cs="Times New Roman"/>
                <w:b/>
                <w:bCs/>
                <w:color w:val="000000"/>
                <w:sz w:val="16"/>
                <w:szCs w:val="16"/>
                <w:lang w:eastAsia="es-CO"/>
              </w:rPr>
            </w:pPr>
          </w:p>
        </w:tc>
        <w:tc>
          <w:tcPr>
            <w:tcW w:w="1137" w:type="pct"/>
            <w:vMerge/>
            <w:vAlign w:val="center"/>
            <w:hideMark/>
          </w:tcPr>
          <w:p w14:paraId="7D82C6B1" w14:textId="77777777" w:rsidR="005E64D9" w:rsidRPr="006304F4" w:rsidRDefault="005E64D9" w:rsidP="000A5389">
            <w:pPr>
              <w:spacing w:line="240" w:lineRule="auto"/>
              <w:rPr>
                <w:rFonts w:eastAsia="Times New Roman" w:cs="Times New Roman"/>
                <w:b/>
                <w:bCs/>
                <w:color w:val="000000"/>
                <w:sz w:val="16"/>
                <w:szCs w:val="16"/>
                <w:lang w:eastAsia="es-CO"/>
              </w:rPr>
            </w:pPr>
          </w:p>
        </w:tc>
        <w:tc>
          <w:tcPr>
            <w:tcW w:w="647" w:type="pct"/>
            <w:vAlign w:val="center"/>
            <w:hideMark/>
          </w:tcPr>
          <w:p w14:paraId="1D0D7016" w14:textId="77777777" w:rsidR="005E64D9" w:rsidRPr="006304F4" w:rsidRDefault="005E64D9" w:rsidP="000A5389">
            <w:pPr>
              <w:spacing w:line="240" w:lineRule="auto"/>
              <w:jc w:val="center"/>
              <w:rPr>
                <w:rFonts w:eastAsia="Times New Roman" w:cs="Times New Roman"/>
                <w:b/>
                <w:bCs/>
                <w:color w:val="000000"/>
                <w:sz w:val="16"/>
                <w:szCs w:val="16"/>
                <w:lang w:eastAsia="es-CO"/>
              </w:rPr>
            </w:pPr>
            <w:r w:rsidRPr="006304F4">
              <w:rPr>
                <w:rFonts w:eastAsia="Times New Roman" w:cs="Times New Roman"/>
                <w:b/>
                <w:bCs/>
                <w:color w:val="000000"/>
                <w:sz w:val="16"/>
                <w:szCs w:val="16"/>
                <w:lang w:eastAsia="es-CO"/>
              </w:rPr>
              <w:t>31/12/2024</w:t>
            </w:r>
          </w:p>
        </w:tc>
        <w:tc>
          <w:tcPr>
            <w:tcW w:w="484" w:type="pct"/>
            <w:vAlign w:val="center"/>
            <w:hideMark/>
          </w:tcPr>
          <w:p w14:paraId="2791B22B" w14:textId="77777777" w:rsidR="005E64D9" w:rsidRPr="006304F4" w:rsidRDefault="005E64D9" w:rsidP="000A5389">
            <w:pPr>
              <w:spacing w:line="240" w:lineRule="auto"/>
              <w:jc w:val="center"/>
              <w:rPr>
                <w:rFonts w:eastAsia="Times New Roman" w:cs="Times New Roman"/>
                <w:b/>
                <w:bCs/>
                <w:color w:val="000000"/>
                <w:sz w:val="16"/>
                <w:szCs w:val="16"/>
                <w:lang w:eastAsia="es-CO"/>
              </w:rPr>
            </w:pPr>
            <w:r w:rsidRPr="006304F4">
              <w:rPr>
                <w:rFonts w:eastAsia="Times New Roman" w:cs="Times New Roman"/>
                <w:b/>
                <w:bCs/>
                <w:color w:val="000000"/>
                <w:sz w:val="16"/>
                <w:szCs w:val="16"/>
                <w:lang w:eastAsia="es-CO"/>
              </w:rPr>
              <w:t>MINIMO</w:t>
            </w:r>
          </w:p>
        </w:tc>
        <w:tc>
          <w:tcPr>
            <w:tcW w:w="647" w:type="pct"/>
            <w:vAlign w:val="center"/>
            <w:hideMark/>
          </w:tcPr>
          <w:p w14:paraId="1B6CDB9D" w14:textId="77777777" w:rsidR="005E64D9" w:rsidRPr="006304F4" w:rsidRDefault="005E64D9" w:rsidP="000A5389">
            <w:pPr>
              <w:spacing w:line="240" w:lineRule="auto"/>
              <w:jc w:val="center"/>
              <w:rPr>
                <w:rFonts w:eastAsia="Times New Roman" w:cs="Times New Roman"/>
                <w:b/>
                <w:bCs/>
                <w:color w:val="000000"/>
                <w:sz w:val="16"/>
                <w:szCs w:val="16"/>
                <w:lang w:eastAsia="es-CO"/>
              </w:rPr>
            </w:pPr>
            <w:r w:rsidRPr="006304F4">
              <w:rPr>
                <w:rFonts w:eastAsia="Times New Roman" w:cs="Times New Roman"/>
                <w:b/>
                <w:bCs/>
                <w:color w:val="000000"/>
                <w:sz w:val="16"/>
                <w:szCs w:val="16"/>
                <w:lang w:eastAsia="es-CO"/>
              </w:rPr>
              <w:t>MÁXIMO</w:t>
            </w:r>
          </w:p>
        </w:tc>
        <w:tc>
          <w:tcPr>
            <w:tcW w:w="323" w:type="pct"/>
            <w:vMerge/>
            <w:vAlign w:val="center"/>
            <w:hideMark/>
          </w:tcPr>
          <w:p w14:paraId="3A31CE28" w14:textId="77777777" w:rsidR="005E64D9" w:rsidRPr="006304F4" w:rsidRDefault="005E64D9" w:rsidP="000A5389">
            <w:pPr>
              <w:spacing w:line="240" w:lineRule="auto"/>
              <w:rPr>
                <w:rFonts w:eastAsia="Times New Roman" w:cs="Times New Roman"/>
                <w:b/>
                <w:bCs/>
                <w:color w:val="000000"/>
                <w:sz w:val="16"/>
                <w:szCs w:val="16"/>
                <w:lang w:eastAsia="es-CO"/>
              </w:rPr>
            </w:pPr>
          </w:p>
        </w:tc>
        <w:tc>
          <w:tcPr>
            <w:tcW w:w="551" w:type="pct"/>
            <w:vAlign w:val="center"/>
            <w:hideMark/>
          </w:tcPr>
          <w:p w14:paraId="23BEB03F" w14:textId="77777777" w:rsidR="005E64D9" w:rsidRPr="006304F4" w:rsidRDefault="005E64D9" w:rsidP="000A5389">
            <w:pPr>
              <w:spacing w:line="240" w:lineRule="auto"/>
              <w:jc w:val="center"/>
              <w:rPr>
                <w:rFonts w:eastAsia="Times New Roman" w:cs="Times New Roman"/>
                <w:b/>
                <w:bCs/>
                <w:color w:val="000000"/>
                <w:sz w:val="16"/>
                <w:szCs w:val="16"/>
                <w:lang w:eastAsia="es-CO"/>
              </w:rPr>
            </w:pPr>
            <w:r w:rsidRPr="006304F4">
              <w:rPr>
                <w:rFonts w:eastAsia="Times New Roman" w:cs="Times New Roman"/>
                <w:b/>
                <w:bCs/>
                <w:color w:val="000000"/>
                <w:sz w:val="16"/>
                <w:szCs w:val="16"/>
                <w:lang w:eastAsia="es-CO"/>
              </w:rPr>
              <w:t>MINIMO</w:t>
            </w:r>
          </w:p>
        </w:tc>
        <w:tc>
          <w:tcPr>
            <w:tcW w:w="492" w:type="pct"/>
            <w:vAlign w:val="center"/>
            <w:hideMark/>
          </w:tcPr>
          <w:p w14:paraId="657C20F3" w14:textId="77777777" w:rsidR="005E64D9" w:rsidRPr="006304F4" w:rsidRDefault="005E64D9" w:rsidP="000A5389">
            <w:pPr>
              <w:spacing w:line="240" w:lineRule="auto"/>
              <w:jc w:val="center"/>
              <w:rPr>
                <w:rFonts w:eastAsia="Times New Roman" w:cs="Times New Roman"/>
                <w:b/>
                <w:bCs/>
                <w:color w:val="000000"/>
                <w:sz w:val="16"/>
                <w:szCs w:val="16"/>
                <w:lang w:eastAsia="es-CO"/>
              </w:rPr>
            </w:pPr>
            <w:r w:rsidRPr="006304F4">
              <w:rPr>
                <w:rFonts w:eastAsia="Times New Roman" w:cs="Times New Roman"/>
                <w:b/>
                <w:bCs/>
                <w:color w:val="000000"/>
                <w:sz w:val="16"/>
                <w:szCs w:val="16"/>
                <w:lang w:eastAsia="es-CO"/>
              </w:rPr>
              <w:t>MÁXIMO</w:t>
            </w:r>
          </w:p>
        </w:tc>
      </w:tr>
      <w:tr w:rsidR="005E64D9" w:rsidRPr="006304F4" w14:paraId="0FC65504" w14:textId="77777777" w:rsidTr="007B1127">
        <w:trPr>
          <w:trHeight w:val="822"/>
        </w:trPr>
        <w:tc>
          <w:tcPr>
            <w:tcW w:w="719" w:type="pct"/>
            <w:vAlign w:val="center"/>
            <w:hideMark/>
          </w:tcPr>
          <w:p w14:paraId="7FE1B085" w14:textId="77777777" w:rsidR="005E64D9" w:rsidRPr="006304F4" w:rsidRDefault="005E64D9" w:rsidP="000A5389">
            <w:pPr>
              <w:spacing w:line="240" w:lineRule="auto"/>
              <w:rPr>
                <w:rFonts w:eastAsia="Times New Roman" w:cs="Times New Roman"/>
                <w:color w:val="000000"/>
                <w:sz w:val="16"/>
                <w:szCs w:val="16"/>
                <w:lang w:eastAsia="es-CO"/>
              </w:rPr>
            </w:pPr>
            <w:r w:rsidRPr="006304F4">
              <w:rPr>
                <w:rFonts w:eastAsia="Times New Roman" w:cs="Times New Roman"/>
                <w:color w:val="000000"/>
                <w:sz w:val="16"/>
                <w:szCs w:val="16"/>
                <w:lang w:eastAsia="es-CO"/>
              </w:rPr>
              <w:t>Otras cuentas por cobrar</w:t>
            </w:r>
          </w:p>
        </w:tc>
        <w:tc>
          <w:tcPr>
            <w:tcW w:w="1137" w:type="pct"/>
            <w:vAlign w:val="center"/>
            <w:hideMark/>
          </w:tcPr>
          <w:p w14:paraId="103DEB7C" w14:textId="3DAC0F90" w:rsidR="005E64D9" w:rsidRPr="006304F4" w:rsidRDefault="005E64D9" w:rsidP="000A5389">
            <w:pPr>
              <w:spacing w:line="240" w:lineRule="auto"/>
              <w:rPr>
                <w:rFonts w:eastAsia="Times New Roman" w:cs="Times New Roman"/>
                <w:color w:val="000000"/>
                <w:sz w:val="16"/>
                <w:szCs w:val="16"/>
                <w:lang w:eastAsia="es-CO"/>
              </w:rPr>
            </w:pPr>
            <w:r w:rsidRPr="006304F4">
              <w:rPr>
                <w:rFonts w:eastAsia="Times New Roman" w:cs="Times New Roman"/>
                <w:color w:val="000000"/>
                <w:sz w:val="16"/>
                <w:szCs w:val="16"/>
                <w:lang w:eastAsia="es-CO"/>
              </w:rPr>
              <w:t>Diego Orlando Bustos Forero</w:t>
            </w:r>
          </w:p>
        </w:tc>
        <w:tc>
          <w:tcPr>
            <w:tcW w:w="647" w:type="pct"/>
            <w:noWrap/>
            <w:vAlign w:val="center"/>
            <w:hideMark/>
          </w:tcPr>
          <w:p w14:paraId="327FAF9E" w14:textId="77777777" w:rsidR="005E64D9" w:rsidRPr="006304F4" w:rsidRDefault="005E64D9" w:rsidP="000A5389">
            <w:pPr>
              <w:spacing w:line="240" w:lineRule="auto"/>
              <w:jc w:val="center"/>
              <w:rPr>
                <w:rFonts w:eastAsia="Times New Roman" w:cs="Times New Roman"/>
                <w:color w:val="000000"/>
                <w:sz w:val="16"/>
                <w:szCs w:val="16"/>
                <w:lang w:eastAsia="es-CO"/>
              </w:rPr>
            </w:pPr>
            <w:r w:rsidRPr="006304F4">
              <w:rPr>
                <w:rFonts w:eastAsia="Times New Roman" w:cs="Times New Roman"/>
                <w:color w:val="000000"/>
                <w:sz w:val="16"/>
                <w:szCs w:val="16"/>
                <w:lang w:eastAsia="es-CO"/>
              </w:rPr>
              <w:t>6.923.000</w:t>
            </w:r>
          </w:p>
        </w:tc>
        <w:tc>
          <w:tcPr>
            <w:tcW w:w="484" w:type="pct"/>
            <w:noWrap/>
            <w:vAlign w:val="center"/>
            <w:hideMark/>
          </w:tcPr>
          <w:p w14:paraId="67810362" w14:textId="77777777" w:rsidR="005E64D9" w:rsidRPr="006304F4" w:rsidRDefault="005E64D9" w:rsidP="000A5389">
            <w:pPr>
              <w:spacing w:line="240" w:lineRule="auto"/>
              <w:jc w:val="center"/>
              <w:rPr>
                <w:rFonts w:eastAsia="Times New Roman" w:cs="Times New Roman"/>
                <w:color w:val="000000"/>
                <w:sz w:val="16"/>
                <w:szCs w:val="16"/>
                <w:lang w:eastAsia="es-CO"/>
              </w:rPr>
            </w:pPr>
            <w:r w:rsidRPr="006304F4">
              <w:rPr>
                <w:rFonts w:eastAsia="Times New Roman" w:cs="Times New Roman"/>
                <w:color w:val="000000"/>
                <w:sz w:val="16"/>
                <w:szCs w:val="16"/>
                <w:lang w:eastAsia="es-CO"/>
              </w:rPr>
              <w:t>Sin T.E.</w:t>
            </w:r>
          </w:p>
        </w:tc>
        <w:tc>
          <w:tcPr>
            <w:tcW w:w="647" w:type="pct"/>
            <w:noWrap/>
            <w:vAlign w:val="center"/>
            <w:hideMark/>
          </w:tcPr>
          <w:p w14:paraId="5B6BAF46" w14:textId="77777777" w:rsidR="005E64D9" w:rsidRPr="006304F4" w:rsidRDefault="005E64D9" w:rsidP="000A5389">
            <w:pPr>
              <w:spacing w:line="240" w:lineRule="auto"/>
              <w:jc w:val="center"/>
              <w:rPr>
                <w:rFonts w:eastAsia="Times New Roman" w:cs="Times New Roman"/>
                <w:color w:val="000000"/>
                <w:sz w:val="16"/>
                <w:szCs w:val="16"/>
                <w:lang w:eastAsia="es-CO"/>
              </w:rPr>
            </w:pPr>
            <w:r w:rsidRPr="006304F4">
              <w:rPr>
                <w:rFonts w:eastAsia="Times New Roman" w:cs="Times New Roman"/>
                <w:color w:val="000000"/>
                <w:sz w:val="16"/>
                <w:szCs w:val="16"/>
                <w:lang w:eastAsia="es-CO"/>
              </w:rPr>
              <w:t>Sin T.E.</w:t>
            </w:r>
          </w:p>
        </w:tc>
        <w:tc>
          <w:tcPr>
            <w:tcW w:w="323" w:type="pct"/>
            <w:noWrap/>
            <w:vAlign w:val="center"/>
            <w:hideMark/>
          </w:tcPr>
          <w:p w14:paraId="4D30071E" w14:textId="77777777" w:rsidR="005E64D9" w:rsidRPr="006304F4" w:rsidRDefault="005E64D9" w:rsidP="000A5389">
            <w:pPr>
              <w:spacing w:line="240" w:lineRule="auto"/>
              <w:jc w:val="center"/>
              <w:rPr>
                <w:rFonts w:eastAsia="Times New Roman" w:cs="Times New Roman"/>
                <w:color w:val="000000"/>
                <w:sz w:val="16"/>
                <w:szCs w:val="16"/>
                <w:lang w:eastAsia="es-CO"/>
              </w:rPr>
            </w:pPr>
          </w:p>
        </w:tc>
        <w:tc>
          <w:tcPr>
            <w:tcW w:w="551" w:type="pct"/>
            <w:vAlign w:val="center"/>
          </w:tcPr>
          <w:p w14:paraId="468DD8F3" w14:textId="77777777" w:rsidR="005E64D9" w:rsidRPr="006304F4" w:rsidRDefault="005E64D9" w:rsidP="000A5389">
            <w:pPr>
              <w:spacing w:line="240" w:lineRule="auto"/>
              <w:jc w:val="center"/>
              <w:rPr>
                <w:rFonts w:eastAsia="Times New Roman" w:cs="Times New Roman"/>
                <w:color w:val="000000"/>
                <w:sz w:val="16"/>
                <w:szCs w:val="16"/>
                <w:lang w:eastAsia="es-CO"/>
              </w:rPr>
            </w:pPr>
            <w:r w:rsidRPr="006304F4">
              <w:rPr>
                <w:rFonts w:eastAsia="Times New Roman" w:cs="Times New Roman"/>
                <w:color w:val="000000"/>
                <w:sz w:val="16"/>
                <w:szCs w:val="16"/>
                <w:lang w:eastAsia="es-CO"/>
              </w:rPr>
              <w:t>Sin T.E.</w:t>
            </w:r>
          </w:p>
        </w:tc>
        <w:tc>
          <w:tcPr>
            <w:tcW w:w="492" w:type="pct"/>
            <w:vAlign w:val="center"/>
          </w:tcPr>
          <w:p w14:paraId="4AC8ADF4" w14:textId="77777777" w:rsidR="005E64D9" w:rsidRPr="006304F4" w:rsidRDefault="005E64D9" w:rsidP="000A5389">
            <w:pPr>
              <w:spacing w:line="240" w:lineRule="auto"/>
              <w:rPr>
                <w:rFonts w:cs="Times New Roman"/>
                <w:sz w:val="16"/>
                <w:szCs w:val="16"/>
              </w:rPr>
            </w:pPr>
          </w:p>
        </w:tc>
      </w:tr>
    </w:tbl>
    <w:p w14:paraId="46B83918" w14:textId="0E30F0B7" w:rsidR="005E64D9" w:rsidRPr="00951AB1" w:rsidRDefault="005E64D9" w:rsidP="000A5389">
      <w:pPr>
        <w:spacing w:line="240" w:lineRule="auto"/>
        <w:rPr>
          <w:rFonts w:cs="Times New Roman"/>
        </w:rPr>
      </w:pPr>
      <w:r w:rsidRPr="00951AB1">
        <w:rPr>
          <w:rFonts w:cs="Times New Roman"/>
          <w:sz w:val="14"/>
          <w:szCs w:val="14"/>
        </w:rPr>
        <w:t>Cifras expresadas en  pesos</w:t>
      </w:r>
    </w:p>
    <w:p w14:paraId="247321DD" w14:textId="77777777" w:rsidR="005E64D9" w:rsidRPr="00951AB1" w:rsidRDefault="005E64D9" w:rsidP="000A5389">
      <w:pPr>
        <w:spacing w:line="240" w:lineRule="auto"/>
        <w:rPr>
          <w:rFonts w:cs="Times New Roman"/>
          <w:szCs w:val="24"/>
        </w:rPr>
      </w:pPr>
    </w:p>
    <w:p w14:paraId="0A3CBF77" w14:textId="77777777" w:rsidR="005E64D9" w:rsidRPr="00951AB1" w:rsidRDefault="005E64D9" w:rsidP="000A5389">
      <w:pPr>
        <w:spacing w:line="240" w:lineRule="auto"/>
        <w:rPr>
          <w:rFonts w:cs="Times New Roman"/>
          <w:szCs w:val="24"/>
        </w:rPr>
      </w:pPr>
      <w:r w:rsidRPr="00951AB1">
        <w:rPr>
          <w:rFonts w:cs="Times New Roman"/>
          <w:b/>
          <w:bCs/>
          <w:szCs w:val="24"/>
        </w:rPr>
        <w:t>Pago por cuenta de terceros:</w:t>
      </w:r>
      <w:r w:rsidRPr="00951AB1">
        <w:rPr>
          <w:rFonts w:cs="Times New Roman"/>
        </w:rPr>
        <w:t xml:space="preserve"> </w:t>
      </w:r>
      <w:r w:rsidRPr="00951AB1">
        <w:rPr>
          <w:rFonts w:cs="Times New Roman"/>
          <w:szCs w:val="24"/>
        </w:rPr>
        <w:t xml:space="preserve">por valor de $69.638.671 corresponden a las incapacidades reconocidas en las nóminas de sueldos de los funcionarios de la entidad, que a 31 de diciembre 2025 se encontraban pendientes de pago y que fueron conciliados con GIT de Talento Humano, las cuales se relacionan a continuación: </w:t>
      </w:r>
    </w:p>
    <w:p w14:paraId="5789EA0F" w14:textId="77777777" w:rsidR="005E64D9" w:rsidRPr="00951AB1" w:rsidRDefault="005E64D9" w:rsidP="000A5389">
      <w:pPr>
        <w:spacing w:line="240" w:lineRule="auto"/>
        <w:rPr>
          <w:rFonts w:cs="Times New Roman"/>
          <w:szCs w:val="24"/>
        </w:rPr>
      </w:pPr>
    </w:p>
    <w:p w14:paraId="60E51345" w14:textId="77777777" w:rsidR="005E64D9" w:rsidRPr="00951AB1" w:rsidRDefault="005E64D9" w:rsidP="000A5389">
      <w:pPr>
        <w:spacing w:line="240" w:lineRule="auto"/>
        <w:rPr>
          <w:rFonts w:eastAsia="Times New Roman" w:cs="Times New Roman"/>
          <w:color w:val="000000"/>
          <w:sz w:val="14"/>
          <w:szCs w:val="14"/>
          <w:lang w:eastAsia="es-CO"/>
        </w:rPr>
      </w:pPr>
    </w:p>
    <w:tbl>
      <w:tblPr>
        <w:tblW w:w="8818"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CellMar>
          <w:left w:w="70" w:type="dxa"/>
          <w:right w:w="70" w:type="dxa"/>
        </w:tblCellMar>
        <w:tblLook w:val="04A0" w:firstRow="1" w:lastRow="0" w:firstColumn="1" w:lastColumn="0" w:noHBand="0" w:noVBand="1"/>
      </w:tblPr>
      <w:tblGrid>
        <w:gridCol w:w="7645"/>
        <w:gridCol w:w="1173"/>
      </w:tblGrid>
      <w:tr w:rsidR="005E64D9" w:rsidRPr="00951AB1" w14:paraId="4D110E59" w14:textId="77777777" w:rsidTr="007B1127">
        <w:trPr>
          <w:trHeight w:val="315"/>
        </w:trPr>
        <w:tc>
          <w:tcPr>
            <w:tcW w:w="7645" w:type="dxa"/>
            <w:shd w:val="clear" w:color="000000" w:fill="FFFFFF"/>
            <w:vAlign w:val="center"/>
            <w:hideMark/>
          </w:tcPr>
          <w:p w14:paraId="4F212564" w14:textId="77777777" w:rsidR="005E64D9" w:rsidRPr="00951AB1" w:rsidRDefault="005E64D9" w:rsidP="000A5389">
            <w:pPr>
              <w:spacing w:line="240" w:lineRule="auto"/>
              <w:jc w:val="center"/>
              <w:rPr>
                <w:rFonts w:eastAsia="Times New Roman" w:cs="Times New Roman"/>
                <w:b/>
                <w:bCs/>
                <w:color w:val="000000"/>
                <w:kern w:val="0"/>
                <w:sz w:val="18"/>
                <w:szCs w:val="18"/>
                <w:lang w:eastAsia="es-CO"/>
                <w14:ligatures w14:val="none"/>
              </w:rPr>
            </w:pPr>
            <w:r w:rsidRPr="00951AB1">
              <w:rPr>
                <w:rFonts w:eastAsia="Times New Roman" w:cs="Times New Roman"/>
                <w:b/>
                <w:bCs/>
                <w:color w:val="000000"/>
                <w:kern w:val="0"/>
                <w:sz w:val="18"/>
                <w:szCs w:val="18"/>
                <w:lang w:eastAsia="es-CO"/>
                <w14:ligatures w14:val="none"/>
              </w:rPr>
              <w:t>Entidad</w:t>
            </w:r>
          </w:p>
        </w:tc>
        <w:tc>
          <w:tcPr>
            <w:tcW w:w="1173" w:type="dxa"/>
            <w:shd w:val="clear" w:color="000000" w:fill="FFFFFF"/>
            <w:vAlign w:val="center"/>
            <w:hideMark/>
          </w:tcPr>
          <w:p w14:paraId="45A459AD" w14:textId="77777777" w:rsidR="005E64D9" w:rsidRPr="00951AB1" w:rsidRDefault="005E64D9" w:rsidP="000A5389">
            <w:pPr>
              <w:spacing w:line="240" w:lineRule="auto"/>
              <w:jc w:val="center"/>
              <w:rPr>
                <w:rFonts w:eastAsia="Times New Roman" w:cs="Times New Roman"/>
                <w:b/>
                <w:bCs/>
                <w:color w:val="000000"/>
                <w:kern w:val="0"/>
                <w:sz w:val="18"/>
                <w:szCs w:val="18"/>
                <w:lang w:eastAsia="es-CO"/>
                <w14:ligatures w14:val="none"/>
              </w:rPr>
            </w:pPr>
            <w:r w:rsidRPr="00951AB1">
              <w:rPr>
                <w:rFonts w:eastAsia="Times New Roman" w:cs="Times New Roman"/>
                <w:b/>
                <w:bCs/>
                <w:color w:val="000000"/>
                <w:kern w:val="0"/>
                <w:sz w:val="18"/>
                <w:szCs w:val="18"/>
                <w:lang w:eastAsia="es-CO"/>
                <w14:ligatures w14:val="none"/>
              </w:rPr>
              <w:t>Saldo 2025</w:t>
            </w:r>
          </w:p>
        </w:tc>
      </w:tr>
      <w:tr w:rsidR="005E64D9" w:rsidRPr="00951AB1" w14:paraId="7C2481F1" w14:textId="77777777" w:rsidTr="007B1127">
        <w:trPr>
          <w:trHeight w:val="300"/>
        </w:trPr>
        <w:tc>
          <w:tcPr>
            <w:tcW w:w="7645" w:type="dxa"/>
            <w:noWrap/>
            <w:hideMark/>
          </w:tcPr>
          <w:p w14:paraId="226057A2" w14:textId="01D89D49" w:rsidR="005E64D9" w:rsidRPr="00951AB1" w:rsidRDefault="005E64D9" w:rsidP="000A5389">
            <w:pPr>
              <w:spacing w:line="240" w:lineRule="auto"/>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Entidad Promotora de Salud Sanitas S.A.S.</w:t>
            </w:r>
          </w:p>
        </w:tc>
        <w:tc>
          <w:tcPr>
            <w:tcW w:w="1173" w:type="dxa"/>
            <w:noWrap/>
            <w:hideMark/>
          </w:tcPr>
          <w:p w14:paraId="650E9985" w14:textId="77777777" w:rsidR="005E64D9" w:rsidRPr="00951AB1" w:rsidRDefault="005E64D9"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39.443.235</w:t>
            </w:r>
          </w:p>
        </w:tc>
      </w:tr>
      <w:tr w:rsidR="005E64D9" w:rsidRPr="00951AB1" w14:paraId="270300D0" w14:textId="77777777" w:rsidTr="007B1127">
        <w:trPr>
          <w:trHeight w:val="300"/>
        </w:trPr>
        <w:tc>
          <w:tcPr>
            <w:tcW w:w="7645" w:type="dxa"/>
            <w:noWrap/>
            <w:hideMark/>
          </w:tcPr>
          <w:p w14:paraId="1F99F9B5" w14:textId="776A7F23" w:rsidR="005E64D9" w:rsidRPr="00951AB1" w:rsidRDefault="005E64D9" w:rsidP="000A5389">
            <w:pPr>
              <w:spacing w:line="240" w:lineRule="auto"/>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Nueva Empresa Promotora de Salud S.A. - En intervención Bajo la Medida de Toma de Posesión</w:t>
            </w:r>
          </w:p>
        </w:tc>
        <w:tc>
          <w:tcPr>
            <w:tcW w:w="1173" w:type="dxa"/>
            <w:noWrap/>
            <w:hideMark/>
          </w:tcPr>
          <w:p w14:paraId="710D51AB" w14:textId="77777777" w:rsidR="005E64D9" w:rsidRPr="00951AB1" w:rsidRDefault="005E64D9"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13.538.771</w:t>
            </w:r>
          </w:p>
        </w:tc>
      </w:tr>
      <w:tr w:rsidR="005E64D9" w:rsidRPr="00951AB1" w14:paraId="3446045C" w14:textId="77777777" w:rsidTr="007B1127">
        <w:trPr>
          <w:trHeight w:val="300"/>
        </w:trPr>
        <w:tc>
          <w:tcPr>
            <w:tcW w:w="7645" w:type="dxa"/>
            <w:noWrap/>
            <w:hideMark/>
          </w:tcPr>
          <w:p w14:paraId="3942F06C" w14:textId="0552CD60" w:rsidR="005E64D9" w:rsidRPr="00951AB1" w:rsidRDefault="005E64D9" w:rsidP="000A5389">
            <w:pPr>
              <w:spacing w:line="240" w:lineRule="auto"/>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Aliansalud Entidad Promotora De Salud S.A.</w:t>
            </w:r>
          </w:p>
        </w:tc>
        <w:tc>
          <w:tcPr>
            <w:tcW w:w="1173" w:type="dxa"/>
            <w:noWrap/>
            <w:hideMark/>
          </w:tcPr>
          <w:p w14:paraId="580E364D" w14:textId="77777777" w:rsidR="005E64D9" w:rsidRPr="00951AB1" w:rsidRDefault="005E64D9"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10.700.659</w:t>
            </w:r>
          </w:p>
        </w:tc>
      </w:tr>
      <w:tr w:rsidR="005E64D9" w:rsidRPr="00951AB1" w14:paraId="3B886BA2" w14:textId="77777777" w:rsidTr="007B1127">
        <w:trPr>
          <w:trHeight w:val="300"/>
        </w:trPr>
        <w:tc>
          <w:tcPr>
            <w:tcW w:w="7645" w:type="dxa"/>
            <w:noWrap/>
            <w:hideMark/>
          </w:tcPr>
          <w:p w14:paraId="7D2215D5" w14:textId="23706238" w:rsidR="005E64D9" w:rsidRPr="00951AB1" w:rsidRDefault="005E64D9" w:rsidP="000A5389">
            <w:pPr>
              <w:spacing w:line="240" w:lineRule="auto"/>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Caja de Compensación Familiar Compensar</w:t>
            </w:r>
          </w:p>
        </w:tc>
        <w:tc>
          <w:tcPr>
            <w:tcW w:w="1173" w:type="dxa"/>
            <w:noWrap/>
            <w:hideMark/>
          </w:tcPr>
          <w:p w14:paraId="1FAC9979" w14:textId="77777777" w:rsidR="005E64D9" w:rsidRPr="00951AB1" w:rsidRDefault="005E64D9"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4.904.617</w:t>
            </w:r>
          </w:p>
        </w:tc>
      </w:tr>
      <w:tr w:rsidR="005E64D9" w:rsidRPr="00951AB1" w14:paraId="35400B17" w14:textId="77777777" w:rsidTr="007B1127">
        <w:trPr>
          <w:trHeight w:val="300"/>
        </w:trPr>
        <w:tc>
          <w:tcPr>
            <w:tcW w:w="7645" w:type="dxa"/>
            <w:noWrap/>
            <w:hideMark/>
          </w:tcPr>
          <w:p w14:paraId="7B95F3EC" w14:textId="29D816D4" w:rsidR="005E64D9" w:rsidRPr="00951AB1" w:rsidRDefault="005E64D9" w:rsidP="000A5389">
            <w:pPr>
              <w:spacing w:line="240" w:lineRule="auto"/>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Entidad Promotora de Salud Famisanar S.A.S - En Intervención Bajo la Medida de Toma de Posesión</w:t>
            </w:r>
          </w:p>
        </w:tc>
        <w:tc>
          <w:tcPr>
            <w:tcW w:w="1173" w:type="dxa"/>
            <w:noWrap/>
            <w:hideMark/>
          </w:tcPr>
          <w:p w14:paraId="42BBAF47" w14:textId="77777777" w:rsidR="005E64D9" w:rsidRPr="00951AB1" w:rsidRDefault="005E64D9"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1.051.389</w:t>
            </w:r>
          </w:p>
        </w:tc>
      </w:tr>
    </w:tbl>
    <w:p w14:paraId="74F63217" w14:textId="77777777" w:rsidR="005E64D9" w:rsidRPr="00951AB1" w:rsidRDefault="005E64D9" w:rsidP="000A5389">
      <w:pPr>
        <w:spacing w:line="240" w:lineRule="auto"/>
        <w:rPr>
          <w:rFonts w:eastAsia="Times New Roman" w:cs="Times New Roman"/>
          <w:color w:val="000000"/>
          <w:sz w:val="14"/>
          <w:szCs w:val="14"/>
          <w:lang w:eastAsia="es-CO"/>
        </w:rPr>
      </w:pPr>
      <w:r w:rsidRPr="00951AB1">
        <w:rPr>
          <w:rFonts w:eastAsia="Times New Roman" w:cs="Times New Roman"/>
          <w:color w:val="000000"/>
          <w:sz w:val="14"/>
          <w:szCs w:val="14"/>
          <w:lang w:eastAsia="es-CO"/>
        </w:rPr>
        <w:t>Cifras expresadas en pesos</w:t>
      </w:r>
    </w:p>
    <w:p w14:paraId="23EC9A2A" w14:textId="77777777" w:rsidR="005E64D9" w:rsidRPr="00951AB1" w:rsidRDefault="005E64D9" w:rsidP="000A5389">
      <w:pPr>
        <w:spacing w:line="240" w:lineRule="auto"/>
        <w:rPr>
          <w:rFonts w:eastAsia="Times New Roman" w:cs="Times New Roman"/>
          <w:color w:val="000000" w:themeColor="text1"/>
          <w:szCs w:val="24"/>
        </w:rPr>
      </w:pPr>
    </w:p>
    <w:p w14:paraId="46E2EFD6" w14:textId="77777777" w:rsidR="005E64D9" w:rsidRPr="00951AB1" w:rsidRDefault="005E64D9" w:rsidP="000A5389">
      <w:pPr>
        <w:spacing w:line="240" w:lineRule="auto"/>
        <w:rPr>
          <w:rFonts w:cs="Times New Roman"/>
          <w:szCs w:val="24"/>
        </w:rPr>
      </w:pPr>
      <w:r w:rsidRPr="00951AB1">
        <w:rPr>
          <w:rFonts w:eastAsia="Times New Roman" w:cs="Times New Roman"/>
          <w:color w:val="000000" w:themeColor="text1"/>
          <w:szCs w:val="24"/>
        </w:rPr>
        <w:t>En el marco del cierre contable de la Vigencia 2025, se describen las gestiones con respecto a las acreencias por concepto de incapacidades:</w:t>
      </w:r>
    </w:p>
    <w:p w14:paraId="0B17AF86" w14:textId="77777777" w:rsidR="005E64D9" w:rsidRPr="00951AB1" w:rsidRDefault="005E64D9" w:rsidP="000A5389">
      <w:pPr>
        <w:shd w:val="clear" w:color="auto" w:fill="FFFFFF" w:themeFill="background1"/>
        <w:spacing w:line="240" w:lineRule="auto"/>
        <w:rPr>
          <w:rFonts w:eastAsia="Times New Roman" w:cs="Times New Roman"/>
          <w:color w:val="000000" w:themeColor="text1"/>
          <w:szCs w:val="24"/>
        </w:rPr>
      </w:pPr>
    </w:p>
    <w:p w14:paraId="26B565CC" w14:textId="77777777" w:rsidR="005E64D9" w:rsidRPr="00951AB1" w:rsidRDefault="005E64D9" w:rsidP="000A5389">
      <w:pPr>
        <w:shd w:val="clear" w:color="auto" w:fill="FFFFFF" w:themeFill="background1"/>
        <w:spacing w:line="240" w:lineRule="auto"/>
        <w:rPr>
          <w:rFonts w:eastAsia="Times New Roman" w:cs="Times New Roman"/>
          <w:color w:val="000000" w:themeColor="text1"/>
          <w:szCs w:val="24"/>
        </w:rPr>
      </w:pPr>
      <w:r w:rsidRPr="00951AB1">
        <w:rPr>
          <w:rFonts w:eastAsia="Times New Roman" w:cs="Times New Roman"/>
          <w:b/>
          <w:bCs/>
          <w:color w:val="000000" w:themeColor="text1"/>
          <w:szCs w:val="24"/>
        </w:rPr>
        <w:t>Entidad Promotora de Salud Sanitas S.A.S.</w:t>
      </w:r>
      <w:r w:rsidRPr="00951AB1">
        <w:rPr>
          <w:rFonts w:eastAsia="Times New Roman" w:cs="Times New Roman"/>
          <w:color w:val="000000" w:themeColor="text1"/>
          <w:szCs w:val="24"/>
        </w:rPr>
        <w:t xml:space="preserve"> se relaciona el detalle así:</w:t>
      </w:r>
    </w:p>
    <w:p w14:paraId="180F0CD7" w14:textId="77777777" w:rsidR="005E64D9" w:rsidRPr="00951AB1" w:rsidRDefault="005E64D9" w:rsidP="000A5389">
      <w:pPr>
        <w:shd w:val="clear" w:color="auto" w:fill="FFFFFF" w:themeFill="background1"/>
        <w:spacing w:line="240" w:lineRule="auto"/>
        <w:rPr>
          <w:rFonts w:eastAsia="Times New Roman" w:cs="Times New Roman"/>
          <w:color w:val="000000" w:themeColor="text1"/>
          <w:szCs w:val="24"/>
        </w:rPr>
      </w:pPr>
    </w:p>
    <w:tbl>
      <w:tblPr>
        <w:tblW w:w="5000" w:type="pct"/>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CellMar>
          <w:left w:w="70" w:type="dxa"/>
          <w:right w:w="70" w:type="dxa"/>
        </w:tblCellMar>
        <w:tblLook w:val="04A0" w:firstRow="1" w:lastRow="0" w:firstColumn="1" w:lastColumn="0" w:noHBand="0" w:noVBand="1"/>
      </w:tblPr>
      <w:tblGrid>
        <w:gridCol w:w="1054"/>
        <w:gridCol w:w="1762"/>
        <w:gridCol w:w="1462"/>
        <w:gridCol w:w="1216"/>
        <w:gridCol w:w="1216"/>
        <w:gridCol w:w="1061"/>
        <w:gridCol w:w="1057"/>
      </w:tblGrid>
      <w:tr w:rsidR="005E64D9" w:rsidRPr="006304F4" w14:paraId="576F02B7" w14:textId="77777777" w:rsidTr="005D16A2">
        <w:trPr>
          <w:trHeight w:val="405"/>
          <w:tblHeader/>
        </w:trPr>
        <w:tc>
          <w:tcPr>
            <w:tcW w:w="617" w:type="pct"/>
            <w:vAlign w:val="center"/>
            <w:hideMark/>
          </w:tcPr>
          <w:p w14:paraId="146C63C2" w14:textId="77777777" w:rsidR="005E64D9" w:rsidRPr="006304F4" w:rsidRDefault="005E64D9" w:rsidP="000A5389">
            <w:pPr>
              <w:spacing w:line="240" w:lineRule="auto"/>
              <w:jc w:val="center"/>
              <w:rPr>
                <w:rFonts w:eastAsia="Times New Roman" w:cs="Times New Roman"/>
                <w:color w:val="000000"/>
                <w:kern w:val="0"/>
                <w:sz w:val="16"/>
                <w:szCs w:val="16"/>
                <w:lang w:eastAsia="es-CO"/>
                <w14:ligatures w14:val="none"/>
              </w:rPr>
            </w:pPr>
            <w:r w:rsidRPr="006304F4">
              <w:rPr>
                <w:rFonts w:eastAsia="Arial" w:cs="Times New Roman"/>
                <w:b/>
                <w:bCs/>
                <w:color w:val="000000"/>
                <w:kern w:val="0"/>
                <w:sz w:val="16"/>
                <w:szCs w:val="16"/>
                <w:lang w:eastAsia="es-CO"/>
                <w14:ligatures w14:val="none"/>
              </w:rPr>
              <w:t>EPS</w:t>
            </w:r>
          </w:p>
        </w:tc>
        <w:tc>
          <w:tcPr>
            <w:tcW w:w="1018" w:type="pct"/>
            <w:vAlign w:val="center"/>
            <w:hideMark/>
          </w:tcPr>
          <w:p w14:paraId="1D3BC02D" w14:textId="77777777" w:rsidR="005E64D9" w:rsidRPr="006304F4" w:rsidRDefault="005E64D9" w:rsidP="000A5389">
            <w:pPr>
              <w:spacing w:line="240" w:lineRule="auto"/>
              <w:jc w:val="center"/>
              <w:rPr>
                <w:rFonts w:eastAsia="Times New Roman" w:cs="Times New Roman"/>
                <w:b/>
                <w:bCs/>
                <w:color w:val="000000"/>
                <w:kern w:val="0"/>
                <w:sz w:val="16"/>
                <w:szCs w:val="16"/>
                <w:lang w:eastAsia="es-CO"/>
                <w14:ligatures w14:val="none"/>
              </w:rPr>
            </w:pPr>
            <w:r w:rsidRPr="006304F4">
              <w:rPr>
                <w:rFonts w:eastAsia="Times New Roman" w:cs="Times New Roman"/>
                <w:b/>
                <w:bCs/>
                <w:color w:val="000000" w:themeColor="text1"/>
                <w:kern w:val="0"/>
                <w:sz w:val="16"/>
                <w:szCs w:val="16"/>
                <w:lang w:eastAsia="es-CO"/>
                <w14:ligatures w14:val="none"/>
              </w:rPr>
              <w:t>FUNCIONARIO</w:t>
            </w:r>
          </w:p>
        </w:tc>
        <w:tc>
          <w:tcPr>
            <w:tcW w:w="848" w:type="pct"/>
            <w:vAlign w:val="center"/>
            <w:hideMark/>
          </w:tcPr>
          <w:p w14:paraId="184848C1" w14:textId="77777777" w:rsidR="005E64D9" w:rsidRPr="006304F4" w:rsidRDefault="005E64D9" w:rsidP="000A5389">
            <w:pPr>
              <w:spacing w:line="240" w:lineRule="auto"/>
              <w:jc w:val="center"/>
              <w:rPr>
                <w:rFonts w:eastAsia="Times New Roman" w:cs="Times New Roman"/>
                <w:b/>
                <w:bCs/>
                <w:color w:val="000000"/>
                <w:kern w:val="0"/>
                <w:sz w:val="16"/>
                <w:szCs w:val="16"/>
                <w:lang w:eastAsia="es-CO"/>
                <w14:ligatures w14:val="none"/>
              </w:rPr>
            </w:pPr>
            <w:r w:rsidRPr="006304F4">
              <w:rPr>
                <w:rFonts w:eastAsia="Times New Roman" w:cs="Times New Roman"/>
                <w:b/>
                <w:bCs/>
                <w:color w:val="000000" w:themeColor="text1"/>
                <w:kern w:val="0"/>
                <w:sz w:val="16"/>
                <w:szCs w:val="16"/>
                <w:lang w:eastAsia="es-CO"/>
                <w14:ligatures w14:val="none"/>
              </w:rPr>
              <w:t>No RESOLUCION</w:t>
            </w:r>
          </w:p>
        </w:tc>
        <w:tc>
          <w:tcPr>
            <w:tcW w:w="639" w:type="pct"/>
            <w:vAlign w:val="center"/>
            <w:hideMark/>
          </w:tcPr>
          <w:p w14:paraId="281BD5C1" w14:textId="77777777" w:rsidR="005E64D9" w:rsidRPr="006304F4" w:rsidRDefault="005E64D9" w:rsidP="000A5389">
            <w:pPr>
              <w:spacing w:line="240" w:lineRule="auto"/>
              <w:jc w:val="center"/>
              <w:rPr>
                <w:rFonts w:eastAsia="Times New Roman" w:cs="Times New Roman"/>
                <w:b/>
                <w:bCs/>
                <w:color w:val="000000"/>
                <w:kern w:val="0"/>
                <w:sz w:val="16"/>
                <w:szCs w:val="16"/>
                <w:lang w:eastAsia="es-CO"/>
                <w14:ligatures w14:val="none"/>
              </w:rPr>
            </w:pPr>
            <w:r w:rsidRPr="006304F4">
              <w:rPr>
                <w:rFonts w:eastAsia="Times New Roman" w:cs="Times New Roman"/>
                <w:b/>
                <w:bCs/>
                <w:color w:val="000000" w:themeColor="text1"/>
                <w:kern w:val="0"/>
                <w:sz w:val="16"/>
                <w:szCs w:val="16"/>
                <w:lang w:eastAsia="es-CO"/>
                <w14:ligatures w14:val="none"/>
              </w:rPr>
              <w:t>FECHA RESOLUCION</w:t>
            </w:r>
          </w:p>
        </w:tc>
        <w:tc>
          <w:tcPr>
            <w:tcW w:w="639" w:type="pct"/>
            <w:vAlign w:val="center"/>
            <w:hideMark/>
          </w:tcPr>
          <w:p w14:paraId="4EE40516" w14:textId="77777777" w:rsidR="005E64D9" w:rsidRPr="006304F4" w:rsidRDefault="005E64D9" w:rsidP="000A5389">
            <w:pPr>
              <w:spacing w:line="240" w:lineRule="auto"/>
              <w:jc w:val="center"/>
              <w:rPr>
                <w:rFonts w:eastAsia="Times New Roman" w:cs="Times New Roman"/>
                <w:b/>
                <w:bCs/>
                <w:color w:val="000000"/>
                <w:kern w:val="0"/>
                <w:sz w:val="16"/>
                <w:szCs w:val="16"/>
                <w:lang w:eastAsia="es-CO"/>
                <w14:ligatures w14:val="none"/>
              </w:rPr>
            </w:pPr>
            <w:r w:rsidRPr="006304F4">
              <w:rPr>
                <w:rFonts w:eastAsia="Times New Roman" w:cs="Times New Roman"/>
                <w:b/>
                <w:bCs/>
                <w:color w:val="000000" w:themeColor="text1"/>
                <w:kern w:val="0"/>
                <w:sz w:val="16"/>
                <w:szCs w:val="16"/>
                <w:lang w:eastAsia="es-CO"/>
                <w14:ligatures w14:val="none"/>
              </w:rPr>
              <w:t>VALOR RESOLUCION</w:t>
            </w:r>
          </w:p>
        </w:tc>
        <w:tc>
          <w:tcPr>
            <w:tcW w:w="621" w:type="pct"/>
            <w:vAlign w:val="center"/>
            <w:hideMark/>
          </w:tcPr>
          <w:p w14:paraId="1CA3EAC5" w14:textId="77777777" w:rsidR="005E64D9" w:rsidRPr="006304F4" w:rsidRDefault="005E64D9" w:rsidP="000A5389">
            <w:pPr>
              <w:spacing w:line="240" w:lineRule="auto"/>
              <w:jc w:val="center"/>
              <w:rPr>
                <w:rFonts w:eastAsia="Times New Roman" w:cs="Times New Roman"/>
                <w:b/>
                <w:bCs/>
                <w:color w:val="000000"/>
                <w:kern w:val="0"/>
                <w:sz w:val="16"/>
                <w:szCs w:val="16"/>
                <w:lang w:eastAsia="es-CO"/>
                <w14:ligatures w14:val="none"/>
              </w:rPr>
            </w:pPr>
            <w:r w:rsidRPr="006304F4">
              <w:rPr>
                <w:rFonts w:eastAsia="Times New Roman" w:cs="Times New Roman"/>
                <w:b/>
                <w:bCs/>
                <w:color w:val="000000" w:themeColor="text1"/>
                <w:kern w:val="0"/>
                <w:sz w:val="16"/>
                <w:szCs w:val="16"/>
                <w:lang w:eastAsia="es-CO"/>
                <w14:ligatures w14:val="none"/>
              </w:rPr>
              <w:t>VALOR CAUSADO EN NOMINA</w:t>
            </w:r>
          </w:p>
        </w:tc>
        <w:tc>
          <w:tcPr>
            <w:tcW w:w="618" w:type="pct"/>
            <w:vAlign w:val="center"/>
            <w:hideMark/>
          </w:tcPr>
          <w:p w14:paraId="57724FDF" w14:textId="77777777" w:rsidR="005E64D9" w:rsidRPr="006304F4" w:rsidRDefault="005E64D9" w:rsidP="000A5389">
            <w:pPr>
              <w:spacing w:line="240" w:lineRule="auto"/>
              <w:jc w:val="center"/>
              <w:rPr>
                <w:rFonts w:eastAsia="Times New Roman" w:cs="Times New Roman"/>
                <w:b/>
                <w:bCs/>
                <w:color w:val="000000"/>
                <w:kern w:val="0"/>
                <w:sz w:val="16"/>
                <w:szCs w:val="16"/>
                <w:lang w:eastAsia="es-CO"/>
                <w14:ligatures w14:val="none"/>
              </w:rPr>
            </w:pPr>
            <w:r w:rsidRPr="006304F4">
              <w:rPr>
                <w:rFonts w:eastAsia="Times New Roman" w:cs="Times New Roman"/>
                <w:b/>
                <w:bCs/>
                <w:color w:val="000000" w:themeColor="text1"/>
                <w:kern w:val="0"/>
                <w:sz w:val="16"/>
                <w:szCs w:val="16"/>
                <w:lang w:eastAsia="es-CO"/>
                <w14:ligatures w14:val="none"/>
              </w:rPr>
              <w:t>VALOR QUE ADEUDA LA EPS</w:t>
            </w:r>
          </w:p>
        </w:tc>
      </w:tr>
      <w:tr w:rsidR="005E64D9" w:rsidRPr="006304F4" w14:paraId="695CBD35" w14:textId="77777777" w:rsidTr="005D16A2">
        <w:trPr>
          <w:trHeight w:val="405"/>
        </w:trPr>
        <w:tc>
          <w:tcPr>
            <w:tcW w:w="617" w:type="pct"/>
            <w:vAlign w:val="center"/>
            <w:hideMark/>
          </w:tcPr>
          <w:p w14:paraId="58C8051D" w14:textId="77777777" w:rsidR="005E64D9" w:rsidRPr="006304F4" w:rsidRDefault="005E64D9" w:rsidP="000A5389">
            <w:pPr>
              <w:spacing w:line="240" w:lineRule="auto"/>
              <w:jc w:val="center"/>
              <w:rPr>
                <w:rFonts w:eastAsia="Times New Roman" w:cs="Times New Roman"/>
                <w:color w:val="000000"/>
                <w:kern w:val="0"/>
                <w:sz w:val="16"/>
                <w:szCs w:val="16"/>
                <w:lang w:eastAsia="es-CO"/>
                <w14:ligatures w14:val="none"/>
              </w:rPr>
            </w:pPr>
            <w:r w:rsidRPr="006304F4">
              <w:rPr>
                <w:rFonts w:eastAsia="Times New Roman" w:cs="Times New Roman"/>
                <w:color w:val="000000" w:themeColor="text1"/>
                <w:kern w:val="0"/>
                <w:sz w:val="16"/>
                <w:szCs w:val="16"/>
                <w:lang w:eastAsia="es-CO"/>
                <w14:ligatures w14:val="none"/>
              </w:rPr>
              <w:t>SANITAS</w:t>
            </w:r>
          </w:p>
        </w:tc>
        <w:tc>
          <w:tcPr>
            <w:tcW w:w="1018" w:type="pct"/>
            <w:vAlign w:val="center"/>
            <w:hideMark/>
          </w:tcPr>
          <w:p w14:paraId="0C791330" w14:textId="4554B4EF" w:rsidR="005E64D9" w:rsidRPr="006304F4" w:rsidRDefault="005E64D9" w:rsidP="000A5389">
            <w:pPr>
              <w:spacing w:line="240" w:lineRule="auto"/>
              <w:rPr>
                <w:rFonts w:eastAsia="Times New Roman" w:cs="Times New Roman"/>
                <w:color w:val="000000"/>
                <w:kern w:val="0"/>
                <w:sz w:val="16"/>
                <w:szCs w:val="16"/>
                <w:lang w:eastAsia="es-CO"/>
                <w14:ligatures w14:val="none"/>
              </w:rPr>
            </w:pPr>
            <w:r w:rsidRPr="006304F4">
              <w:rPr>
                <w:rFonts w:eastAsia="Times New Roman" w:cs="Times New Roman"/>
                <w:color w:val="000000"/>
                <w:kern w:val="0"/>
                <w:sz w:val="16"/>
                <w:szCs w:val="16"/>
                <w:lang w:eastAsia="es-CO"/>
                <w14:ligatures w14:val="none"/>
              </w:rPr>
              <w:t>Erika Patricia Dulcey</w:t>
            </w:r>
          </w:p>
        </w:tc>
        <w:tc>
          <w:tcPr>
            <w:tcW w:w="848" w:type="pct"/>
            <w:vAlign w:val="center"/>
            <w:hideMark/>
          </w:tcPr>
          <w:p w14:paraId="1BE1D043" w14:textId="77777777" w:rsidR="005E64D9" w:rsidRPr="006304F4" w:rsidRDefault="005E64D9" w:rsidP="000A5389">
            <w:pPr>
              <w:spacing w:line="240" w:lineRule="auto"/>
              <w:jc w:val="center"/>
              <w:rPr>
                <w:rFonts w:eastAsia="Times New Roman" w:cs="Times New Roman"/>
                <w:color w:val="000000"/>
                <w:kern w:val="0"/>
                <w:sz w:val="16"/>
                <w:szCs w:val="16"/>
                <w:lang w:eastAsia="es-CO"/>
                <w14:ligatures w14:val="none"/>
              </w:rPr>
            </w:pPr>
            <w:r w:rsidRPr="006304F4">
              <w:rPr>
                <w:rFonts w:eastAsia="Times New Roman" w:cs="Times New Roman"/>
                <w:color w:val="000000" w:themeColor="text1"/>
                <w:kern w:val="0"/>
                <w:sz w:val="16"/>
                <w:szCs w:val="16"/>
                <w:lang w:eastAsia="es-CO"/>
                <w14:ligatures w14:val="none"/>
              </w:rPr>
              <w:t>1498</w:t>
            </w:r>
          </w:p>
        </w:tc>
        <w:tc>
          <w:tcPr>
            <w:tcW w:w="639" w:type="pct"/>
            <w:vAlign w:val="center"/>
            <w:hideMark/>
          </w:tcPr>
          <w:p w14:paraId="40FF5A2E" w14:textId="77777777" w:rsidR="005E64D9" w:rsidRPr="006304F4" w:rsidRDefault="005E64D9" w:rsidP="000A5389">
            <w:pPr>
              <w:spacing w:line="240" w:lineRule="auto"/>
              <w:jc w:val="center"/>
              <w:rPr>
                <w:rFonts w:eastAsia="Times New Roman" w:cs="Times New Roman"/>
                <w:color w:val="000000"/>
                <w:kern w:val="0"/>
                <w:sz w:val="16"/>
                <w:szCs w:val="16"/>
                <w:lang w:eastAsia="es-CO"/>
                <w14:ligatures w14:val="none"/>
              </w:rPr>
            </w:pPr>
            <w:r w:rsidRPr="006304F4">
              <w:rPr>
                <w:rFonts w:eastAsia="Times New Roman" w:cs="Times New Roman"/>
                <w:color w:val="000000" w:themeColor="text1"/>
                <w:kern w:val="0"/>
                <w:sz w:val="16"/>
                <w:szCs w:val="16"/>
                <w:lang w:eastAsia="es-CO"/>
                <w14:ligatures w14:val="none"/>
              </w:rPr>
              <w:t>25/08/2015</w:t>
            </w:r>
          </w:p>
        </w:tc>
        <w:tc>
          <w:tcPr>
            <w:tcW w:w="639" w:type="pct"/>
            <w:vAlign w:val="center"/>
            <w:hideMark/>
          </w:tcPr>
          <w:p w14:paraId="1F336743" w14:textId="77777777" w:rsidR="005E64D9" w:rsidRPr="006304F4" w:rsidRDefault="005E64D9" w:rsidP="000A5389">
            <w:pPr>
              <w:spacing w:line="240" w:lineRule="auto"/>
              <w:jc w:val="right"/>
              <w:rPr>
                <w:rFonts w:eastAsia="Times New Roman" w:cs="Times New Roman"/>
                <w:color w:val="000000"/>
                <w:kern w:val="0"/>
                <w:sz w:val="16"/>
                <w:szCs w:val="16"/>
                <w:lang w:eastAsia="es-CO"/>
                <w14:ligatures w14:val="none"/>
              </w:rPr>
            </w:pPr>
            <w:r w:rsidRPr="006304F4">
              <w:rPr>
                <w:rFonts w:eastAsia="Times New Roman" w:cs="Times New Roman"/>
                <w:color w:val="000000" w:themeColor="text1"/>
                <w:kern w:val="0"/>
                <w:sz w:val="16"/>
                <w:szCs w:val="16"/>
                <w:lang w:eastAsia="es-CO"/>
                <w14:ligatures w14:val="none"/>
              </w:rPr>
              <w:t>28.405.901</w:t>
            </w:r>
          </w:p>
        </w:tc>
        <w:tc>
          <w:tcPr>
            <w:tcW w:w="621" w:type="pct"/>
            <w:vAlign w:val="center"/>
            <w:hideMark/>
          </w:tcPr>
          <w:p w14:paraId="120D32EF" w14:textId="77777777" w:rsidR="005E64D9" w:rsidRPr="006304F4" w:rsidRDefault="005E64D9" w:rsidP="000A5389">
            <w:pPr>
              <w:spacing w:line="240" w:lineRule="auto"/>
              <w:jc w:val="right"/>
              <w:rPr>
                <w:rFonts w:eastAsia="Times New Roman" w:cs="Times New Roman"/>
                <w:color w:val="000000"/>
                <w:kern w:val="0"/>
                <w:sz w:val="16"/>
                <w:szCs w:val="16"/>
                <w:lang w:eastAsia="es-CO"/>
                <w14:ligatures w14:val="none"/>
              </w:rPr>
            </w:pPr>
            <w:r w:rsidRPr="006304F4">
              <w:rPr>
                <w:rFonts w:eastAsia="Times New Roman" w:cs="Times New Roman"/>
                <w:color w:val="000000" w:themeColor="text1"/>
                <w:kern w:val="0"/>
                <w:sz w:val="16"/>
                <w:szCs w:val="16"/>
                <w:lang w:eastAsia="es-CO"/>
                <w14:ligatures w14:val="none"/>
              </w:rPr>
              <w:t>28.405.901</w:t>
            </w:r>
          </w:p>
        </w:tc>
        <w:tc>
          <w:tcPr>
            <w:tcW w:w="618" w:type="pct"/>
            <w:vAlign w:val="center"/>
            <w:hideMark/>
          </w:tcPr>
          <w:p w14:paraId="1F67BA24" w14:textId="77777777" w:rsidR="005E64D9" w:rsidRPr="006304F4" w:rsidRDefault="005E64D9" w:rsidP="000A5389">
            <w:pPr>
              <w:spacing w:line="240" w:lineRule="auto"/>
              <w:jc w:val="right"/>
              <w:rPr>
                <w:rFonts w:eastAsia="Times New Roman" w:cs="Times New Roman"/>
                <w:color w:val="000000"/>
                <w:kern w:val="0"/>
                <w:sz w:val="16"/>
                <w:szCs w:val="16"/>
                <w:lang w:eastAsia="es-CO"/>
                <w14:ligatures w14:val="none"/>
              </w:rPr>
            </w:pPr>
            <w:r w:rsidRPr="006304F4">
              <w:rPr>
                <w:rFonts w:eastAsia="Times New Roman" w:cs="Times New Roman"/>
                <w:color w:val="000000" w:themeColor="text1"/>
                <w:kern w:val="0"/>
                <w:sz w:val="16"/>
                <w:szCs w:val="16"/>
                <w:lang w:eastAsia="es-CO"/>
                <w14:ligatures w14:val="none"/>
              </w:rPr>
              <w:t>28.405.900</w:t>
            </w:r>
          </w:p>
        </w:tc>
      </w:tr>
      <w:tr w:rsidR="005E64D9" w:rsidRPr="006304F4" w14:paraId="10F35B64" w14:textId="77777777" w:rsidTr="005D16A2">
        <w:trPr>
          <w:trHeight w:val="405"/>
        </w:trPr>
        <w:tc>
          <w:tcPr>
            <w:tcW w:w="617" w:type="pct"/>
            <w:vAlign w:val="center"/>
            <w:hideMark/>
          </w:tcPr>
          <w:p w14:paraId="25D39B0F" w14:textId="77777777" w:rsidR="005E64D9" w:rsidRPr="006304F4" w:rsidRDefault="005E64D9" w:rsidP="000A5389">
            <w:pPr>
              <w:spacing w:line="240" w:lineRule="auto"/>
              <w:jc w:val="center"/>
              <w:rPr>
                <w:rFonts w:eastAsia="Times New Roman" w:cs="Times New Roman"/>
                <w:color w:val="000000"/>
                <w:kern w:val="0"/>
                <w:sz w:val="16"/>
                <w:szCs w:val="16"/>
                <w:lang w:eastAsia="es-CO"/>
                <w14:ligatures w14:val="none"/>
              </w:rPr>
            </w:pPr>
            <w:r w:rsidRPr="006304F4">
              <w:rPr>
                <w:rFonts w:eastAsia="Times New Roman" w:cs="Times New Roman"/>
                <w:color w:val="000000" w:themeColor="text1"/>
                <w:kern w:val="0"/>
                <w:sz w:val="16"/>
                <w:szCs w:val="16"/>
                <w:lang w:eastAsia="es-CO"/>
                <w14:ligatures w14:val="none"/>
              </w:rPr>
              <w:t>SANITAS</w:t>
            </w:r>
          </w:p>
        </w:tc>
        <w:tc>
          <w:tcPr>
            <w:tcW w:w="1018" w:type="pct"/>
            <w:vAlign w:val="center"/>
            <w:hideMark/>
          </w:tcPr>
          <w:p w14:paraId="41F04B24" w14:textId="003C74A1" w:rsidR="005E64D9" w:rsidRPr="006304F4" w:rsidRDefault="005E64D9" w:rsidP="000A5389">
            <w:pPr>
              <w:spacing w:line="240" w:lineRule="auto"/>
              <w:rPr>
                <w:rFonts w:eastAsia="Times New Roman" w:cs="Times New Roman"/>
                <w:color w:val="000000"/>
                <w:kern w:val="0"/>
                <w:sz w:val="16"/>
                <w:szCs w:val="16"/>
                <w:lang w:eastAsia="es-CO"/>
                <w14:ligatures w14:val="none"/>
              </w:rPr>
            </w:pPr>
            <w:r w:rsidRPr="006304F4">
              <w:rPr>
                <w:rFonts w:eastAsia="Times New Roman" w:cs="Times New Roman"/>
                <w:color w:val="000000"/>
                <w:kern w:val="0"/>
                <w:sz w:val="16"/>
                <w:szCs w:val="16"/>
                <w:lang w:eastAsia="es-CO"/>
                <w14:ligatures w14:val="none"/>
              </w:rPr>
              <w:t xml:space="preserve">Flabio Andrés Aguirre Otalora </w:t>
            </w:r>
          </w:p>
        </w:tc>
        <w:tc>
          <w:tcPr>
            <w:tcW w:w="848" w:type="pct"/>
            <w:vAlign w:val="center"/>
            <w:hideMark/>
          </w:tcPr>
          <w:p w14:paraId="3A7F82DD" w14:textId="77777777" w:rsidR="005E64D9" w:rsidRPr="006304F4" w:rsidRDefault="005E64D9" w:rsidP="000A5389">
            <w:pPr>
              <w:spacing w:line="240" w:lineRule="auto"/>
              <w:jc w:val="center"/>
              <w:rPr>
                <w:rFonts w:eastAsia="Times New Roman" w:cs="Times New Roman"/>
                <w:color w:val="000000"/>
                <w:kern w:val="0"/>
                <w:sz w:val="16"/>
                <w:szCs w:val="16"/>
                <w:lang w:eastAsia="es-CO"/>
                <w14:ligatures w14:val="none"/>
              </w:rPr>
            </w:pPr>
            <w:r w:rsidRPr="006304F4">
              <w:rPr>
                <w:rFonts w:eastAsia="Times New Roman" w:cs="Times New Roman"/>
                <w:color w:val="000000" w:themeColor="text1"/>
                <w:kern w:val="0"/>
                <w:sz w:val="16"/>
                <w:szCs w:val="16"/>
                <w:lang w:eastAsia="es-CO"/>
                <w14:ligatures w14:val="none"/>
              </w:rPr>
              <w:t>20244030013485</w:t>
            </w:r>
          </w:p>
        </w:tc>
        <w:tc>
          <w:tcPr>
            <w:tcW w:w="639" w:type="pct"/>
            <w:vAlign w:val="center"/>
            <w:hideMark/>
          </w:tcPr>
          <w:p w14:paraId="48CC2982" w14:textId="77777777" w:rsidR="005E64D9" w:rsidRPr="006304F4" w:rsidRDefault="005E64D9" w:rsidP="000A5389">
            <w:pPr>
              <w:spacing w:line="240" w:lineRule="auto"/>
              <w:jc w:val="center"/>
              <w:rPr>
                <w:rFonts w:eastAsia="Times New Roman" w:cs="Times New Roman"/>
                <w:color w:val="000000"/>
                <w:kern w:val="0"/>
                <w:sz w:val="16"/>
                <w:szCs w:val="16"/>
                <w:lang w:eastAsia="es-CO"/>
                <w14:ligatures w14:val="none"/>
              </w:rPr>
            </w:pPr>
            <w:r w:rsidRPr="006304F4">
              <w:rPr>
                <w:rFonts w:eastAsia="Times New Roman" w:cs="Times New Roman"/>
                <w:color w:val="000000" w:themeColor="text1"/>
                <w:kern w:val="0"/>
                <w:sz w:val="16"/>
                <w:szCs w:val="16"/>
                <w:lang w:eastAsia="es-CO"/>
                <w14:ligatures w14:val="none"/>
              </w:rPr>
              <w:t>17/10/2024</w:t>
            </w:r>
          </w:p>
        </w:tc>
        <w:tc>
          <w:tcPr>
            <w:tcW w:w="639" w:type="pct"/>
            <w:vAlign w:val="center"/>
            <w:hideMark/>
          </w:tcPr>
          <w:p w14:paraId="5B61362B" w14:textId="77777777" w:rsidR="005E64D9" w:rsidRPr="006304F4" w:rsidRDefault="005E64D9" w:rsidP="000A5389">
            <w:pPr>
              <w:spacing w:line="240" w:lineRule="auto"/>
              <w:jc w:val="right"/>
              <w:rPr>
                <w:rFonts w:eastAsia="Times New Roman" w:cs="Times New Roman"/>
                <w:color w:val="000000"/>
                <w:kern w:val="0"/>
                <w:sz w:val="16"/>
                <w:szCs w:val="16"/>
                <w:lang w:eastAsia="es-CO"/>
                <w14:ligatures w14:val="none"/>
              </w:rPr>
            </w:pPr>
            <w:r w:rsidRPr="006304F4">
              <w:rPr>
                <w:rFonts w:eastAsia="Times New Roman" w:cs="Times New Roman"/>
                <w:color w:val="000000" w:themeColor="text1"/>
                <w:kern w:val="0"/>
                <w:sz w:val="16"/>
                <w:szCs w:val="16"/>
                <w:lang w:eastAsia="es-CO"/>
                <w14:ligatures w14:val="none"/>
              </w:rPr>
              <w:t>2.320.615</w:t>
            </w:r>
          </w:p>
        </w:tc>
        <w:tc>
          <w:tcPr>
            <w:tcW w:w="621" w:type="pct"/>
            <w:vAlign w:val="center"/>
            <w:hideMark/>
          </w:tcPr>
          <w:p w14:paraId="3B67F693" w14:textId="77777777" w:rsidR="005E64D9" w:rsidRPr="006304F4" w:rsidRDefault="005E64D9" w:rsidP="000A5389">
            <w:pPr>
              <w:spacing w:line="240" w:lineRule="auto"/>
              <w:jc w:val="right"/>
              <w:rPr>
                <w:rFonts w:eastAsia="Times New Roman" w:cs="Times New Roman"/>
                <w:color w:val="000000"/>
                <w:kern w:val="0"/>
                <w:sz w:val="16"/>
                <w:szCs w:val="16"/>
                <w:lang w:eastAsia="es-CO"/>
                <w14:ligatures w14:val="none"/>
              </w:rPr>
            </w:pPr>
            <w:r w:rsidRPr="006304F4">
              <w:rPr>
                <w:rFonts w:eastAsia="Times New Roman" w:cs="Times New Roman"/>
                <w:color w:val="000000" w:themeColor="text1"/>
                <w:kern w:val="0"/>
                <w:sz w:val="16"/>
                <w:szCs w:val="16"/>
                <w:lang w:eastAsia="es-CO"/>
                <w14:ligatures w14:val="none"/>
              </w:rPr>
              <w:t>2.320.615</w:t>
            </w:r>
          </w:p>
        </w:tc>
        <w:tc>
          <w:tcPr>
            <w:tcW w:w="618" w:type="pct"/>
            <w:vAlign w:val="center"/>
            <w:hideMark/>
          </w:tcPr>
          <w:p w14:paraId="1E6B2EE9" w14:textId="77777777" w:rsidR="005E64D9" w:rsidRPr="006304F4" w:rsidRDefault="005E64D9" w:rsidP="000A5389">
            <w:pPr>
              <w:spacing w:line="240" w:lineRule="auto"/>
              <w:jc w:val="right"/>
              <w:rPr>
                <w:rFonts w:eastAsia="Times New Roman" w:cs="Times New Roman"/>
                <w:color w:val="000000"/>
                <w:kern w:val="0"/>
                <w:sz w:val="16"/>
                <w:szCs w:val="16"/>
                <w:lang w:eastAsia="es-CO"/>
                <w14:ligatures w14:val="none"/>
              </w:rPr>
            </w:pPr>
            <w:r w:rsidRPr="006304F4">
              <w:rPr>
                <w:rFonts w:eastAsia="Times New Roman" w:cs="Times New Roman"/>
                <w:color w:val="000000" w:themeColor="text1"/>
                <w:kern w:val="0"/>
                <w:sz w:val="16"/>
                <w:szCs w:val="16"/>
                <w:lang w:eastAsia="es-CO"/>
                <w14:ligatures w14:val="none"/>
              </w:rPr>
              <w:t>1</w:t>
            </w:r>
          </w:p>
        </w:tc>
      </w:tr>
      <w:tr w:rsidR="005E64D9" w:rsidRPr="006304F4" w14:paraId="27A7BDAF" w14:textId="77777777" w:rsidTr="005D16A2">
        <w:trPr>
          <w:trHeight w:val="405"/>
        </w:trPr>
        <w:tc>
          <w:tcPr>
            <w:tcW w:w="617" w:type="pct"/>
            <w:vAlign w:val="center"/>
            <w:hideMark/>
          </w:tcPr>
          <w:p w14:paraId="6305CE63" w14:textId="77777777" w:rsidR="005E64D9" w:rsidRPr="006304F4" w:rsidRDefault="005E64D9" w:rsidP="000A5389">
            <w:pPr>
              <w:spacing w:line="240" w:lineRule="auto"/>
              <w:jc w:val="center"/>
              <w:rPr>
                <w:rFonts w:eastAsia="Times New Roman" w:cs="Times New Roman"/>
                <w:color w:val="000000"/>
                <w:kern w:val="0"/>
                <w:sz w:val="16"/>
                <w:szCs w:val="16"/>
                <w:lang w:eastAsia="es-CO"/>
                <w14:ligatures w14:val="none"/>
              </w:rPr>
            </w:pPr>
            <w:r w:rsidRPr="006304F4">
              <w:rPr>
                <w:rFonts w:eastAsia="Times New Roman" w:cs="Times New Roman"/>
                <w:color w:val="000000" w:themeColor="text1"/>
                <w:kern w:val="0"/>
                <w:sz w:val="16"/>
                <w:szCs w:val="16"/>
                <w:lang w:eastAsia="es-CO"/>
                <w14:ligatures w14:val="none"/>
              </w:rPr>
              <w:t>SANITAS</w:t>
            </w:r>
          </w:p>
        </w:tc>
        <w:tc>
          <w:tcPr>
            <w:tcW w:w="1018" w:type="pct"/>
            <w:vAlign w:val="center"/>
            <w:hideMark/>
          </w:tcPr>
          <w:p w14:paraId="70CB9B9B" w14:textId="4A56238B" w:rsidR="005E64D9" w:rsidRPr="006304F4" w:rsidRDefault="005E64D9" w:rsidP="000A5389">
            <w:pPr>
              <w:spacing w:line="240" w:lineRule="auto"/>
              <w:rPr>
                <w:rFonts w:eastAsia="Times New Roman" w:cs="Times New Roman"/>
                <w:color w:val="000000"/>
                <w:kern w:val="0"/>
                <w:sz w:val="16"/>
                <w:szCs w:val="16"/>
                <w:lang w:eastAsia="es-CO"/>
                <w14:ligatures w14:val="none"/>
              </w:rPr>
            </w:pPr>
            <w:r w:rsidRPr="006304F4">
              <w:rPr>
                <w:rFonts w:eastAsia="Times New Roman" w:cs="Times New Roman"/>
                <w:color w:val="000000"/>
                <w:kern w:val="0"/>
                <w:sz w:val="16"/>
                <w:szCs w:val="16"/>
                <w:lang w:eastAsia="es-CO"/>
                <w14:ligatures w14:val="none"/>
              </w:rPr>
              <w:t>Flabio Andrés Aguirre Otalora</w:t>
            </w:r>
          </w:p>
        </w:tc>
        <w:tc>
          <w:tcPr>
            <w:tcW w:w="848" w:type="pct"/>
            <w:vAlign w:val="center"/>
            <w:hideMark/>
          </w:tcPr>
          <w:p w14:paraId="4E1D7BE0" w14:textId="77777777" w:rsidR="005E64D9" w:rsidRPr="006304F4" w:rsidRDefault="005E64D9" w:rsidP="000A5389">
            <w:pPr>
              <w:spacing w:line="240" w:lineRule="auto"/>
              <w:jc w:val="center"/>
              <w:rPr>
                <w:rFonts w:eastAsia="Times New Roman" w:cs="Times New Roman"/>
                <w:color w:val="000000"/>
                <w:kern w:val="0"/>
                <w:sz w:val="16"/>
                <w:szCs w:val="16"/>
                <w:lang w:eastAsia="es-CO"/>
                <w14:ligatures w14:val="none"/>
              </w:rPr>
            </w:pPr>
            <w:r w:rsidRPr="006304F4">
              <w:rPr>
                <w:rFonts w:eastAsia="Times New Roman" w:cs="Times New Roman"/>
                <w:color w:val="000000" w:themeColor="text1"/>
                <w:kern w:val="0"/>
                <w:sz w:val="16"/>
                <w:szCs w:val="16"/>
                <w:lang w:eastAsia="es-CO"/>
                <w14:ligatures w14:val="none"/>
              </w:rPr>
              <w:t>20254030004975</w:t>
            </w:r>
          </w:p>
        </w:tc>
        <w:tc>
          <w:tcPr>
            <w:tcW w:w="639" w:type="pct"/>
            <w:vAlign w:val="center"/>
            <w:hideMark/>
          </w:tcPr>
          <w:p w14:paraId="5C260FDF" w14:textId="77777777" w:rsidR="005E64D9" w:rsidRPr="006304F4" w:rsidRDefault="005E64D9" w:rsidP="000A5389">
            <w:pPr>
              <w:spacing w:line="240" w:lineRule="auto"/>
              <w:jc w:val="center"/>
              <w:rPr>
                <w:rFonts w:eastAsia="Times New Roman" w:cs="Times New Roman"/>
                <w:color w:val="000000"/>
                <w:kern w:val="0"/>
                <w:sz w:val="16"/>
                <w:szCs w:val="16"/>
                <w:lang w:eastAsia="es-CO"/>
                <w14:ligatures w14:val="none"/>
              </w:rPr>
            </w:pPr>
            <w:r w:rsidRPr="006304F4">
              <w:rPr>
                <w:rFonts w:eastAsia="Times New Roman" w:cs="Times New Roman"/>
                <w:color w:val="000000" w:themeColor="text1"/>
                <w:kern w:val="0"/>
                <w:sz w:val="16"/>
                <w:szCs w:val="16"/>
                <w:lang w:eastAsia="es-CO"/>
                <w14:ligatures w14:val="none"/>
              </w:rPr>
              <w:t>15/04/2025</w:t>
            </w:r>
          </w:p>
        </w:tc>
        <w:tc>
          <w:tcPr>
            <w:tcW w:w="639" w:type="pct"/>
            <w:vAlign w:val="center"/>
            <w:hideMark/>
          </w:tcPr>
          <w:p w14:paraId="3B3BD380" w14:textId="77777777" w:rsidR="005E64D9" w:rsidRPr="006304F4" w:rsidRDefault="005E64D9" w:rsidP="000A5389">
            <w:pPr>
              <w:spacing w:line="240" w:lineRule="auto"/>
              <w:jc w:val="right"/>
              <w:rPr>
                <w:rFonts w:eastAsia="Times New Roman" w:cs="Times New Roman"/>
                <w:color w:val="000000"/>
                <w:kern w:val="0"/>
                <w:sz w:val="16"/>
                <w:szCs w:val="16"/>
                <w:lang w:eastAsia="es-CO"/>
                <w14:ligatures w14:val="none"/>
              </w:rPr>
            </w:pPr>
            <w:r w:rsidRPr="006304F4">
              <w:rPr>
                <w:rFonts w:eastAsia="Times New Roman" w:cs="Times New Roman"/>
                <w:color w:val="000000" w:themeColor="text1"/>
                <w:kern w:val="0"/>
                <w:sz w:val="16"/>
                <w:szCs w:val="16"/>
                <w:lang w:eastAsia="es-CO"/>
                <w14:ligatures w14:val="none"/>
              </w:rPr>
              <w:t>1.606.579</w:t>
            </w:r>
          </w:p>
        </w:tc>
        <w:tc>
          <w:tcPr>
            <w:tcW w:w="621" w:type="pct"/>
            <w:vAlign w:val="center"/>
            <w:hideMark/>
          </w:tcPr>
          <w:p w14:paraId="012DA826" w14:textId="77777777" w:rsidR="005E64D9" w:rsidRPr="006304F4" w:rsidRDefault="005E64D9" w:rsidP="000A5389">
            <w:pPr>
              <w:spacing w:line="240" w:lineRule="auto"/>
              <w:jc w:val="right"/>
              <w:rPr>
                <w:rFonts w:eastAsia="Times New Roman" w:cs="Times New Roman"/>
                <w:color w:val="000000"/>
                <w:kern w:val="0"/>
                <w:sz w:val="16"/>
                <w:szCs w:val="16"/>
                <w:lang w:eastAsia="es-CO"/>
                <w14:ligatures w14:val="none"/>
              </w:rPr>
            </w:pPr>
            <w:r w:rsidRPr="006304F4">
              <w:rPr>
                <w:rFonts w:eastAsia="Times New Roman" w:cs="Times New Roman"/>
                <w:color w:val="000000" w:themeColor="text1"/>
                <w:kern w:val="0"/>
                <w:sz w:val="16"/>
                <w:szCs w:val="16"/>
                <w:lang w:eastAsia="es-CO"/>
                <w14:ligatures w14:val="none"/>
              </w:rPr>
              <w:t>1.606.579</w:t>
            </w:r>
          </w:p>
        </w:tc>
        <w:tc>
          <w:tcPr>
            <w:tcW w:w="618" w:type="pct"/>
            <w:vAlign w:val="center"/>
            <w:hideMark/>
          </w:tcPr>
          <w:p w14:paraId="4F987AB1" w14:textId="77777777" w:rsidR="005E64D9" w:rsidRPr="006304F4" w:rsidRDefault="005E64D9" w:rsidP="000A5389">
            <w:pPr>
              <w:spacing w:line="240" w:lineRule="auto"/>
              <w:jc w:val="right"/>
              <w:rPr>
                <w:rFonts w:eastAsia="Times New Roman" w:cs="Times New Roman"/>
                <w:color w:val="000000"/>
                <w:kern w:val="0"/>
                <w:sz w:val="16"/>
                <w:szCs w:val="16"/>
                <w:lang w:eastAsia="es-CO"/>
                <w14:ligatures w14:val="none"/>
              </w:rPr>
            </w:pPr>
            <w:r w:rsidRPr="006304F4">
              <w:rPr>
                <w:rFonts w:eastAsia="Times New Roman" w:cs="Times New Roman"/>
                <w:color w:val="000000" w:themeColor="text1"/>
                <w:kern w:val="0"/>
                <w:sz w:val="16"/>
                <w:szCs w:val="16"/>
                <w:lang w:eastAsia="es-CO"/>
                <w14:ligatures w14:val="none"/>
              </w:rPr>
              <w:t>1.606.579</w:t>
            </w:r>
          </w:p>
        </w:tc>
      </w:tr>
      <w:tr w:rsidR="005E64D9" w:rsidRPr="006304F4" w14:paraId="2B94C32B" w14:textId="77777777" w:rsidTr="005D16A2">
        <w:trPr>
          <w:trHeight w:val="405"/>
        </w:trPr>
        <w:tc>
          <w:tcPr>
            <w:tcW w:w="617" w:type="pct"/>
            <w:vAlign w:val="center"/>
            <w:hideMark/>
          </w:tcPr>
          <w:p w14:paraId="6924984C" w14:textId="77777777" w:rsidR="005E64D9" w:rsidRPr="006304F4" w:rsidRDefault="005E64D9" w:rsidP="000A5389">
            <w:pPr>
              <w:spacing w:line="240" w:lineRule="auto"/>
              <w:jc w:val="center"/>
              <w:rPr>
                <w:rFonts w:eastAsia="Times New Roman" w:cs="Times New Roman"/>
                <w:color w:val="000000"/>
                <w:kern w:val="0"/>
                <w:sz w:val="16"/>
                <w:szCs w:val="16"/>
                <w:lang w:eastAsia="es-CO"/>
                <w14:ligatures w14:val="none"/>
              </w:rPr>
            </w:pPr>
            <w:r w:rsidRPr="006304F4">
              <w:rPr>
                <w:rFonts w:eastAsia="Times New Roman" w:cs="Times New Roman"/>
                <w:color w:val="000000" w:themeColor="text1"/>
                <w:kern w:val="0"/>
                <w:sz w:val="16"/>
                <w:szCs w:val="16"/>
                <w:lang w:eastAsia="es-CO"/>
                <w14:ligatures w14:val="none"/>
              </w:rPr>
              <w:t>SANITAS</w:t>
            </w:r>
          </w:p>
        </w:tc>
        <w:tc>
          <w:tcPr>
            <w:tcW w:w="1018" w:type="pct"/>
            <w:vAlign w:val="center"/>
            <w:hideMark/>
          </w:tcPr>
          <w:p w14:paraId="3BF37E84" w14:textId="0A239497" w:rsidR="005E64D9" w:rsidRPr="006304F4" w:rsidRDefault="005E64D9" w:rsidP="000A5389">
            <w:pPr>
              <w:spacing w:line="240" w:lineRule="auto"/>
              <w:rPr>
                <w:rFonts w:eastAsia="Times New Roman" w:cs="Times New Roman"/>
                <w:color w:val="000000"/>
                <w:kern w:val="0"/>
                <w:sz w:val="16"/>
                <w:szCs w:val="16"/>
                <w:lang w:eastAsia="es-CO"/>
                <w14:ligatures w14:val="none"/>
              </w:rPr>
            </w:pPr>
            <w:r w:rsidRPr="006304F4">
              <w:rPr>
                <w:rFonts w:eastAsia="Times New Roman" w:cs="Times New Roman"/>
                <w:color w:val="000000"/>
                <w:kern w:val="0"/>
                <w:sz w:val="16"/>
                <w:szCs w:val="16"/>
                <w:lang w:eastAsia="es-CO"/>
                <w14:ligatures w14:val="none"/>
              </w:rPr>
              <w:t>Flabio Andrés Aguirre Otalora</w:t>
            </w:r>
          </w:p>
        </w:tc>
        <w:tc>
          <w:tcPr>
            <w:tcW w:w="848" w:type="pct"/>
            <w:vAlign w:val="center"/>
            <w:hideMark/>
          </w:tcPr>
          <w:p w14:paraId="07495ECE" w14:textId="77777777" w:rsidR="005E64D9" w:rsidRPr="006304F4" w:rsidRDefault="005E64D9" w:rsidP="000A5389">
            <w:pPr>
              <w:spacing w:line="240" w:lineRule="auto"/>
              <w:jc w:val="center"/>
              <w:rPr>
                <w:rFonts w:eastAsia="Times New Roman" w:cs="Times New Roman"/>
                <w:color w:val="000000"/>
                <w:kern w:val="0"/>
                <w:sz w:val="16"/>
                <w:szCs w:val="16"/>
                <w:lang w:eastAsia="es-CO"/>
                <w14:ligatures w14:val="none"/>
              </w:rPr>
            </w:pPr>
            <w:r w:rsidRPr="006304F4">
              <w:rPr>
                <w:rFonts w:eastAsia="Times New Roman" w:cs="Times New Roman"/>
                <w:color w:val="000000" w:themeColor="text1"/>
                <w:kern w:val="0"/>
                <w:sz w:val="16"/>
                <w:szCs w:val="16"/>
                <w:lang w:eastAsia="es-CO"/>
                <w14:ligatures w14:val="none"/>
              </w:rPr>
              <w:t>20254030007895</w:t>
            </w:r>
          </w:p>
        </w:tc>
        <w:tc>
          <w:tcPr>
            <w:tcW w:w="639" w:type="pct"/>
            <w:vAlign w:val="center"/>
            <w:hideMark/>
          </w:tcPr>
          <w:p w14:paraId="24C6B7F0" w14:textId="77777777" w:rsidR="005E64D9" w:rsidRPr="006304F4" w:rsidRDefault="005E64D9" w:rsidP="000A5389">
            <w:pPr>
              <w:spacing w:line="240" w:lineRule="auto"/>
              <w:jc w:val="center"/>
              <w:rPr>
                <w:rFonts w:eastAsia="Times New Roman" w:cs="Times New Roman"/>
                <w:color w:val="000000"/>
                <w:kern w:val="0"/>
                <w:sz w:val="16"/>
                <w:szCs w:val="16"/>
                <w:lang w:eastAsia="es-CO"/>
                <w14:ligatures w14:val="none"/>
              </w:rPr>
            </w:pPr>
            <w:r w:rsidRPr="006304F4">
              <w:rPr>
                <w:rFonts w:eastAsia="Times New Roman" w:cs="Times New Roman"/>
                <w:color w:val="000000" w:themeColor="text1"/>
                <w:kern w:val="0"/>
                <w:sz w:val="16"/>
                <w:szCs w:val="16"/>
                <w:lang w:eastAsia="es-CO"/>
                <w14:ligatures w14:val="none"/>
              </w:rPr>
              <w:t>19/06/2025</w:t>
            </w:r>
          </w:p>
        </w:tc>
        <w:tc>
          <w:tcPr>
            <w:tcW w:w="639" w:type="pct"/>
            <w:vAlign w:val="center"/>
            <w:hideMark/>
          </w:tcPr>
          <w:p w14:paraId="768B4761" w14:textId="77777777" w:rsidR="005E64D9" w:rsidRPr="006304F4" w:rsidRDefault="005E64D9" w:rsidP="000A5389">
            <w:pPr>
              <w:spacing w:line="240" w:lineRule="auto"/>
              <w:jc w:val="right"/>
              <w:rPr>
                <w:rFonts w:eastAsia="Times New Roman" w:cs="Times New Roman"/>
                <w:color w:val="000000"/>
                <w:kern w:val="0"/>
                <w:sz w:val="16"/>
                <w:szCs w:val="16"/>
                <w:lang w:eastAsia="es-CO"/>
                <w14:ligatures w14:val="none"/>
              </w:rPr>
            </w:pPr>
            <w:r w:rsidRPr="006304F4">
              <w:rPr>
                <w:rFonts w:eastAsia="Times New Roman" w:cs="Times New Roman"/>
                <w:color w:val="000000" w:themeColor="text1"/>
                <w:kern w:val="0"/>
                <w:sz w:val="16"/>
                <w:szCs w:val="16"/>
                <w:lang w:eastAsia="es-CO"/>
                <w14:ligatures w14:val="none"/>
              </w:rPr>
              <w:t>321.319</w:t>
            </w:r>
          </w:p>
        </w:tc>
        <w:tc>
          <w:tcPr>
            <w:tcW w:w="621" w:type="pct"/>
            <w:vAlign w:val="center"/>
            <w:hideMark/>
          </w:tcPr>
          <w:p w14:paraId="583E423B" w14:textId="77777777" w:rsidR="005E64D9" w:rsidRPr="006304F4" w:rsidRDefault="005E64D9" w:rsidP="000A5389">
            <w:pPr>
              <w:spacing w:line="240" w:lineRule="auto"/>
              <w:jc w:val="right"/>
              <w:rPr>
                <w:rFonts w:eastAsia="Times New Roman" w:cs="Times New Roman"/>
                <w:color w:val="000000"/>
                <w:kern w:val="0"/>
                <w:sz w:val="16"/>
                <w:szCs w:val="16"/>
                <w:lang w:eastAsia="es-CO"/>
                <w14:ligatures w14:val="none"/>
              </w:rPr>
            </w:pPr>
            <w:r w:rsidRPr="006304F4">
              <w:rPr>
                <w:rFonts w:eastAsia="Times New Roman" w:cs="Times New Roman"/>
                <w:color w:val="000000" w:themeColor="text1"/>
                <w:kern w:val="0"/>
                <w:sz w:val="16"/>
                <w:szCs w:val="16"/>
                <w:lang w:eastAsia="es-CO"/>
                <w14:ligatures w14:val="none"/>
              </w:rPr>
              <w:t>321.319</w:t>
            </w:r>
          </w:p>
        </w:tc>
        <w:tc>
          <w:tcPr>
            <w:tcW w:w="618" w:type="pct"/>
            <w:vAlign w:val="center"/>
            <w:hideMark/>
          </w:tcPr>
          <w:p w14:paraId="677FC426" w14:textId="77777777" w:rsidR="005E64D9" w:rsidRPr="006304F4" w:rsidRDefault="005E64D9" w:rsidP="000A5389">
            <w:pPr>
              <w:spacing w:line="240" w:lineRule="auto"/>
              <w:jc w:val="right"/>
              <w:rPr>
                <w:rFonts w:eastAsia="Times New Roman" w:cs="Times New Roman"/>
                <w:color w:val="000000"/>
                <w:kern w:val="0"/>
                <w:sz w:val="16"/>
                <w:szCs w:val="16"/>
                <w:lang w:eastAsia="es-CO"/>
                <w14:ligatures w14:val="none"/>
              </w:rPr>
            </w:pPr>
            <w:r w:rsidRPr="006304F4">
              <w:rPr>
                <w:rFonts w:eastAsia="Times New Roman" w:cs="Times New Roman"/>
                <w:color w:val="000000" w:themeColor="text1"/>
                <w:kern w:val="0"/>
                <w:sz w:val="16"/>
                <w:szCs w:val="16"/>
                <w:lang w:eastAsia="es-CO"/>
                <w14:ligatures w14:val="none"/>
              </w:rPr>
              <w:t>160.659</w:t>
            </w:r>
          </w:p>
        </w:tc>
      </w:tr>
      <w:tr w:rsidR="005E64D9" w:rsidRPr="006304F4" w14:paraId="6CB5B3C4" w14:textId="77777777" w:rsidTr="005D16A2">
        <w:trPr>
          <w:trHeight w:val="405"/>
        </w:trPr>
        <w:tc>
          <w:tcPr>
            <w:tcW w:w="617" w:type="pct"/>
            <w:vAlign w:val="center"/>
            <w:hideMark/>
          </w:tcPr>
          <w:p w14:paraId="0510088A" w14:textId="77777777" w:rsidR="005E64D9" w:rsidRPr="006304F4" w:rsidRDefault="005E64D9" w:rsidP="000A5389">
            <w:pPr>
              <w:spacing w:line="240" w:lineRule="auto"/>
              <w:jc w:val="center"/>
              <w:rPr>
                <w:rFonts w:eastAsia="Times New Roman" w:cs="Times New Roman"/>
                <w:color w:val="000000"/>
                <w:kern w:val="0"/>
                <w:sz w:val="16"/>
                <w:szCs w:val="16"/>
                <w:lang w:eastAsia="es-CO"/>
                <w14:ligatures w14:val="none"/>
              </w:rPr>
            </w:pPr>
            <w:r w:rsidRPr="006304F4">
              <w:rPr>
                <w:rFonts w:eastAsia="Times New Roman" w:cs="Times New Roman"/>
                <w:color w:val="000000" w:themeColor="text1"/>
                <w:kern w:val="0"/>
                <w:sz w:val="16"/>
                <w:szCs w:val="16"/>
                <w:lang w:eastAsia="es-CO"/>
                <w14:ligatures w14:val="none"/>
              </w:rPr>
              <w:t>SANITAS</w:t>
            </w:r>
          </w:p>
        </w:tc>
        <w:tc>
          <w:tcPr>
            <w:tcW w:w="1018" w:type="pct"/>
            <w:vAlign w:val="center"/>
            <w:hideMark/>
          </w:tcPr>
          <w:p w14:paraId="53244749" w14:textId="5CC8FCBA" w:rsidR="005E64D9" w:rsidRPr="006304F4" w:rsidRDefault="005E64D9" w:rsidP="000A5389">
            <w:pPr>
              <w:spacing w:line="240" w:lineRule="auto"/>
              <w:rPr>
                <w:rFonts w:eastAsia="Times New Roman" w:cs="Times New Roman"/>
                <w:color w:val="000000"/>
                <w:kern w:val="0"/>
                <w:sz w:val="16"/>
                <w:szCs w:val="16"/>
                <w:lang w:eastAsia="es-CO"/>
                <w14:ligatures w14:val="none"/>
              </w:rPr>
            </w:pPr>
            <w:r w:rsidRPr="006304F4">
              <w:rPr>
                <w:rFonts w:eastAsia="Times New Roman" w:cs="Times New Roman"/>
                <w:color w:val="000000"/>
                <w:kern w:val="0"/>
                <w:sz w:val="16"/>
                <w:szCs w:val="16"/>
                <w:lang w:eastAsia="es-CO"/>
                <w14:ligatures w14:val="none"/>
              </w:rPr>
              <w:t>Astrid Yerleny Botia Niño</w:t>
            </w:r>
          </w:p>
        </w:tc>
        <w:tc>
          <w:tcPr>
            <w:tcW w:w="848" w:type="pct"/>
            <w:vAlign w:val="center"/>
            <w:hideMark/>
          </w:tcPr>
          <w:p w14:paraId="31CF9B5B" w14:textId="77777777" w:rsidR="005E64D9" w:rsidRPr="006304F4" w:rsidRDefault="005E64D9" w:rsidP="000A5389">
            <w:pPr>
              <w:spacing w:line="240" w:lineRule="auto"/>
              <w:jc w:val="center"/>
              <w:rPr>
                <w:rFonts w:eastAsia="Times New Roman" w:cs="Times New Roman"/>
                <w:color w:val="000000"/>
                <w:kern w:val="0"/>
                <w:sz w:val="16"/>
                <w:szCs w:val="16"/>
                <w:lang w:eastAsia="es-CO"/>
                <w14:ligatures w14:val="none"/>
              </w:rPr>
            </w:pPr>
            <w:r w:rsidRPr="006304F4">
              <w:rPr>
                <w:rFonts w:eastAsia="Times New Roman" w:cs="Times New Roman"/>
                <w:color w:val="000000"/>
                <w:kern w:val="0"/>
                <w:sz w:val="16"/>
                <w:szCs w:val="16"/>
                <w:lang w:eastAsia="es-CO"/>
                <w14:ligatures w14:val="none"/>
              </w:rPr>
              <w:t>20254030011915</w:t>
            </w:r>
          </w:p>
        </w:tc>
        <w:tc>
          <w:tcPr>
            <w:tcW w:w="639" w:type="pct"/>
            <w:vAlign w:val="center"/>
            <w:hideMark/>
          </w:tcPr>
          <w:p w14:paraId="0487B1C0" w14:textId="77777777" w:rsidR="005E64D9" w:rsidRPr="006304F4" w:rsidRDefault="005E64D9" w:rsidP="000A5389">
            <w:pPr>
              <w:spacing w:line="240" w:lineRule="auto"/>
              <w:jc w:val="center"/>
              <w:rPr>
                <w:rFonts w:eastAsia="Times New Roman" w:cs="Times New Roman"/>
                <w:color w:val="000000"/>
                <w:kern w:val="0"/>
                <w:sz w:val="16"/>
                <w:szCs w:val="16"/>
                <w:lang w:eastAsia="es-CO"/>
                <w14:ligatures w14:val="none"/>
              </w:rPr>
            </w:pPr>
            <w:r w:rsidRPr="006304F4">
              <w:rPr>
                <w:rFonts w:eastAsia="Times New Roman" w:cs="Times New Roman"/>
                <w:color w:val="000000" w:themeColor="text1"/>
                <w:kern w:val="0"/>
                <w:sz w:val="16"/>
                <w:szCs w:val="16"/>
                <w:lang w:eastAsia="es-CO"/>
                <w14:ligatures w14:val="none"/>
              </w:rPr>
              <w:t>19/08/2025</w:t>
            </w:r>
          </w:p>
        </w:tc>
        <w:tc>
          <w:tcPr>
            <w:tcW w:w="639" w:type="pct"/>
            <w:vAlign w:val="center"/>
            <w:hideMark/>
          </w:tcPr>
          <w:p w14:paraId="64BAD55C" w14:textId="77777777" w:rsidR="005E64D9" w:rsidRPr="006304F4" w:rsidRDefault="005E64D9" w:rsidP="000A5389">
            <w:pPr>
              <w:spacing w:line="240" w:lineRule="auto"/>
              <w:jc w:val="right"/>
              <w:rPr>
                <w:rFonts w:eastAsia="Times New Roman" w:cs="Times New Roman"/>
                <w:color w:val="000000"/>
                <w:kern w:val="0"/>
                <w:sz w:val="16"/>
                <w:szCs w:val="16"/>
                <w:lang w:eastAsia="es-CO"/>
                <w14:ligatures w14:val="none"/>
              </w:rPr>
            </w:pPr>
            <w:r w:rsidRPr="006304F4">
              <w:rPr>
                <w:rFonts w:eastAsia="Times New Roman" w:cs="Times New Roman"/>
                <w:color w:val="000000" w:themeColor="text1"/>
                <w:kern w:val="0"/>
                <w:sz w:val="16"/>
                <w:szCs w:val="16"/>
                <w:lang w:eastAsia="es-CO"/>
                <w14:ligatures w14:val="none"/>
              </w:rPr>
              <w:t>2.448.858</w:t>
            </w:r>
          </w:p>
        </w:tc>
        <w:tc>
          <w:tcPr>
            <w:tcW w:w="621" w:type="pct"/>
            <w:vAlign w:val="center"/>
            <w:hideMark/>
          </w:tcPr>
          <w:p w14:paraId="6E98169E" w14:textId="77777777" w:rsidR="005E64D9" w:rsidRPr="006304F4" w:rsidRDefault="005E64D9" w:rsidP="000A5389">
            <w:pPr>
              <w:spacing w:line="240" w:lineRule="auto"/>
              <w:jc w:val="right"/>
              <w:rPr>
                <w:rFonts w:eastAsia="Times New Roman" w:cs="Times New Roman"/>
                <w:color w:val="000000"/>
                <w:kern w:val="0"/>
                <w:sz w:val="16"/>
                <w:szCs w:val="16"/>
                <w:lang w:eastAsia="es-CO"/>
                <w14:ligatures w14:val="none"/>
              </w:rPr>
            </w:pPr>
            <w:r w:rsidRPr="006304F4">
              <w:rPr>
                <w:rFonts w:eastAsia="Times New Roman" w:cs="Times New Roman"/>
                <w:color w:val="000000" w:themeColor="text1"/>
                <w:kern w:val="0"/>
                <w:sz w:val="16"/>
                <w:szCs w:val="16"/>
                <w:lang w:eastAsia="es-CO"/>
                <w14:ligatures w14:val="none"/>
              </w:rPr>
              <w:t>2.448.858</w:t>
            </w:r>
          </w:p>
        </w:tc>
        <w:tc>
          <w:tcPr>
            <w:tcW w:w="618" w:type="pct"/>
            <w:vAlign w:val="center"/>
            <w:hideMark/>
          </w:tcPr>
          <w:p w14:paraId="5BA89053" w14:textId="77777777" w:rsidR="005E64D9" w:rsidRPr="006304F4" w:rsidRDefault="005E64D9" w:rsidP="000A5389">
            <w:pPr>
              <w:spacing w:line="240" w:lineRule="auto"/>
              <w:jc w:val="right"/>
              <w:rPr>
                <w:rFonts w:eastAsia="Times New Roman" w:cs="Times New Roman"/>
                <w:color w:val="000000"/>
                <w:kern w:val="0"/>
                <w:sz w:val="16"/>
                <w:szCs w:val="16"/>
                <w:lang w:eastAsia="es-CO"/>
                <w14:ligatures w14:val="none"/>
              </w:rPr>
            </w:pPr>
            <w:r w:rsidRPr="006304F4">
              <w:rPr>
                <w:rFonts w:eastAsia="Times New Roman" w:cs="Times New Roman"/>
                <w:color w:val="000000" w:themeColor="text1"/>
                <w:kern w:val="0"/>
                <w:sz w:val="16"/>
                <w:szCs w:val="16"/>
                <w:lang w:eastAsia="es-CO"/>
                <w14:ligatures w14:val="none"/>
              </w:rPr>
              <w:t>1</w:t>
            </w:r>
          </w:p>
        </w:tc>
      </w:tr>
      <w:tr w:rsidR="005E64D9" w:rsidRPr="006304F4" w14:paraId="047B37EF" w14:textId="77777777" w:rsidTr="005D16A2">
        <w:trPr>
          <w:trHeight w:val="405"/>
        </w:trPr>
        <w:tc>
          <w:tcPr>
            <w:tcW w:w="617" w:type="pct"/>
            <w:vAlign w:val="center"/>
            <w:hideMark/>
          </w:tcPr>
          <w:p w14:paraId="11BE4A76" w14:textId="77777777" w:rsidR="005E64D9" w:rsidRPr="006304F4" w:rsidRDefault="005E64D9" w:rsidP="000A5389">
            <w:pPr>
              <w:spacing w:line="240" w:lineRule="auto"/>
              <w:jc w:val="center"/>
              <w:rPr>
                <w:rFonts w:eastAsia="Times New Roman" w:cs="Times New Roman"/>
                <w:color w:val="000000"/>
                <w:kern w:val="0"/>
                <w:sz w:val="16"/>
                <w:szCs w:val="16"/>
                <w:lang w:eastAsia="es-CO"/>
                <w14:ligatures w14:val="none"/>
              </w:rPr>
            </w:pPr>
            <w:r w:rsidRPr="006304F4">
              <w:rPr>
                <w:rFonts w:eastAsia="Times New Roman" w:cs="Times New Roman"/>
                <w:color w:val="000000" w:themeColor="text1"/>
                <w:kern w:val="0"/>
                <w:sz w:val="16"/>
                <w:szCs w:val="16"/>
                <w:lang w:eastAsia="es-CO"/>
                <w14:ligatures w14:val="none"/>
              </w:rPr>
              <w:t>SANITAS</w:t>
            </w:r>
          </w:p>
        </w:tc>
        <w:tc>
          <w:tcPr>
            <w:tcW w:w="1018" w:type="pct"/>
            <w:vAlign w:val="center"/>
            <w:hideMark/>
          </w:tcPr>
          <w:p w14:paraId="4C3B45D7" w14:textId="48FA67FB" w:rsidR="005E64D9" w:rsidRPr="006304F4" w:rsidRDefault="005E64D9" w:rsidP="000A5389">
            <w:pPr>
              <w:spacing w:line="240" w:lineRule="auto"/>
              <w:rPr>
                <w:rFonts w:eastAsia="Times New Roman" w:cs="Times New Roman"/>
                <w:color w:val="000000"/>
                <w:kern w:val="0"/>
                <w:sz w:val="16"/>
                <w:szCs w:val="16"/>
                <w:lang w:eastAsia="es-CO"/>
                <w14:ligatures w14:val="none"/>
              </w:rPr>
            </w:pPr>
            <w:r w:rsidRPr="006304F4">
              <w:rPr>
                <w:rFonts w:eastAsia="Times New Roman" w:cs="Times New Roman"/>
                <w:color w:val="000000"/>
                <w:kern w:val="0"/>
                <w:sz w:val="16"/>
                <w:szCs w:val="16"/>
                <w:lang w:eastAsia="es-CO"/>
                <w14:ligatures w14:val="none"/>
              </w:rPr>
              <w:t>Astrid Yerleny Botia Niño</w:t>
            </w:r>
          </w:p>
        </w:tc>
        <w:tc>
          <w:tcPr>
            <w:tcW w:w="848" w:type="pct"/>
            <w:vAlign w:val="center"/>
            <w:hideMark/>
          </w:tcPr>
          <w:p w14:paraId="18F3330F" w14:textId="77777777" w:rsidR="005E64D9" w:rsidRPr="006304F4" w:rsidRDefault="005E64D9" w:rsidP="000A5389">
            <w:pPr>
              <w:spacing w:line="240" w:lineRule="auto"/>
              <w:jc w:val="center"/>
              <w:rPr>
                <w:rFonts w:eastAsia="Times New Roman" w:cs="Times New Roman"/>
                <w:color w:val="000000"/>
                <w:kern w:val="0"/>
                <w:sz w:val="16"/>
                <w:szCs w:val="16"/>
                <w:lang w:eastAsia="es-CO"/>
                <w14:ligatures w14:val="none"/>
              </w:rPr>
            </w:pPr>
            <w:r w:rsidRPr="006304F4">
              <w:rPr>
                <w:rFonts w:eastAsia="Times New Roman" w:cs="Times New Roman"/>
                <w:color w:val="000000"/>
                <w:kern w:val="0"/>
                <w:sz w:val="16"/>
                <w:szCs w:val="16"/>
                <w:lang w:eastAsia="es-CO"/>
                <w14:ligatures w14:val="none"/>
              </w:rPr>
              <w:t>20254030014655</w:t>
            </w:r>
          </w:p>
        </w:tc>
        <w:tc>
          <w:tcPr>
            <w:tcW w:w="639" w:type="pct"/>
            <w:vAlign w:val="center"/>
            <w:hideMark/>
          </w:tcPr>
          <w:p w14:paraId="44FA73C8" w14:textId="77777777" w:rsidR="005E64D9" w:rsidRPr="006304F4" w:rsidRDefault="005E64D9" w:rsidP="000A5389">
            <w:pPr>
              <w:spacing w:line="240" w:lineRule="auto"/>
              <w:jc w:val="center"/>
              <w:rPr>
                <w:rFonts w:eastAsia="Times New Roman" w:cs="Times New Roman"/>
                <w:color w:val="000000"/>
                <w:kern w:val="0"/>
                <w:sz w:val="16"/>
                <w:szCs w:val="16"/>
                <w:lang w:eastAsia="es-CO"/>
                <w14:ligatures w14:val="none"/>
              </w:rPr>
            </w:pPr>
            <w:r w:rsidRPr="006304F4">
              <w:rPr>
                <w:rFonts w:eastAsia="Times New Roman" w:cs="Times New Roman"/>
                <w:color w:val="000000" w:themeColor="text1"/>
                <w:kern w:val="0"/>
                <w:sz w:val="16"/>
                <w:szCs w:val="16"/>
                <w:lang w:eastAsia="es-CO"/>
                <w14:ligatures w14:val="none"/>
              </w:rPr>
              <w:t>22/10/2025</w:t>
            </w:r>
          </w:p>
        </w:tc>
        <w:tc>
          <w:tcPr>
            <w:tcW w:w="639" w:type="pct"/>
            <w:vAlign w:val="center"/>
            <w:hideMark/>
          </w:tcPr>
          <w:p w14:paraId="57389560" w14:textId="77777777" w:rsidR="005E64D9" w:rsidRPr="006304F4" w:rsidRDefault="005E64D9" w:rsidP="000A5389">
            <w:pPr>
              <w:spacing w:line="240" w:lineRule="auto"/>
              <w:jc w:val="right"/>
              <w:rPr>
                <w:rFonts w:eastAsia="Times New Roman" w:cs="Times New Roman"/>
                <w:color w:val="000000"/>
                <w:kern w:val="0"/>
                <w:sz w:val="16"/>
                <w:szCs w:val="16"/>
                <w:lang w:eastAsia="es-CO"/>
                <w14:ligatures w14:val="none"/>
              </w:rPr>
            </w:pPr>
            <w:r w:rsidRPr="006304F4">
              <w:rPr>
                <w:rFonts w:eastAsia="Times New Roman" w:cs="Times New Roman"/>
                <w:color w:val="000000" w:themeColor="text1"/>
                <w:kern w:val="0"/>
                <w:sz w:val="16"/>
                <w:szCs w:val="16"/>
                <w:lang w:eastAsia="es-CO"/>
                <w14:ligatures w14:val="none"/>
              </w:rPr>
              <w:t>1.714.200</w:t>
            </w:r>
          </w:p>
        </w:tc>
        <w:tc>
          <w:tcPr>
            <w:tcW w:w="621" w:type="pct"/>
            <w:vAlign w:val="center"/>
            <w:hideMark/>
          </w:tcPr>
          <w:p w14:paraId="30C755EC" w14:textId="77777777" w:rsidR="005E64D9" w:rsidRPr="006304F4" w:rsidRDefault="005E64D9" w:rsidP="000A5389">
            <w:pPr>
              <w:spacing w:line="240" w:lineRule="auto"/>
              <w:jc w:val="right"/>
              <w:rPr>
                <w:rFonts w:eastAsia="Times New Roman" w:cs="Times New Roman"/>
                <w:color w:val="000000"/>
                <w:kern w:val="0"/>
                <w:sz w:val="16"/>
                <w:szCs w:val="16"/>
                <w:lang w:eastAsia="es-CO"/>
                <w14:ligatures w14:val="none"/>
              </w:rPr>
            </w:pPr>
            <w:r w:rsidRPr="006304F4">
              <w:rPr>
                <w:rFonts w:eastAsia="Times New Roman" w:cs="Times New Roman"/>
                <w:color w:val="000000" w:themeColor="text1"/>
                <w:kern w:val="0"/>
                <w:sz w:val="16"/>
                <w:szCs w:val="16"/>
                <w:lang w:eastAsia="es-CO"/>
                <w14:ligatures w14:val="none"/>
              </w:rPr>
              <w:t>1.714.200</w:t>
            </w:r>
          </w:p>
        </w:tc>
        <w:tc>
          <w:tcPr>
            <w:tcW w:w="618" w:type="pct"/>
            <w:vAlign w:val="center"/>
            <w:hideMark/>
          </w:tcPr>
          <w:p w14:paraId="6A38149A" w14:textId="77777777" w:rsidR="005E64D9" w:rsidRPr="006304F4" w:rsidRDefault="005E64D9" w:rsidP="000A5389">
            <w:pPr>
              <w:spacing w:line="240" w:lineRule="auto"/>
              <w:jc w:val="right"/>
              <w:rPr>
                <w:rFonts w:eastAsia="Times New Roman" w:cs="Times New Roman"/>
                <w:color w:val="000000"/>
                <w:kern w:val="0"/>
                <w:sz w:val="16"/>
                <w:szCs w:val="16"/>
                <w:lang w:eastAsia="es-CO"/>
                <w14:ligatures w14:val="none"/>
              </w:rPr>
            </w:pPr>
            <w:r w:rsidRPr="006304F4">
              <w:rPr>
                <w:rFonts w:eastAsia="Times New Roman" w:cs="Times New Roman"/>
                <w:color w:val="000000" w:themeColor="text1"/>
                <w:kern w:val="0"/>
                <w:sz w:val="16"/>
                <w:szCs w:val="16"/>
                <w:lang w:eastAsia="es-CO"/>
                <w14:ligatures w14:val="none"/>
              </w:rPr>
              <w:t>1.714.200</w:t>
            </w:r>
          </w:p>
        </w:tc>
      </w:tr>
      <w:tr w:rsidR="005E64D9" w:rsidRPr="006304F4" w14:paraId="25294742" w14:textId="77777777" w:rsidTr="005D16A2">
        <w:trPr>
          <w:trHeight w:val="405"/>
        </w:trPr>
        <w:tc>
          <w:tcPr>
            <w:tcW w:w="617" w:type="pct"/>
            <w:vAlign w:val="center"/>
            <w:hideMark/>
          </w:tcPr>
          <w:p w14:paraId="061D7317" w14:textId="77777777" w:rsidR="005E64D9" w:rsidRPr="006304F4" w:rsidRDefault="005E64D9" w:rsidP="000A5389">
            <w:pPr>
              <w:spacing w:line="240" w:lineRule="auto"/>
              <w:jc w:val="center"/>
              <w:rPr>
                <w:rFonts w:eastAsia="Times New Roman" w:cs="Times New Roman"/>
                <w:color w:val="000000"/>
                <w:kern w:val="0"/>
                <w:sz w:val="16"/>
                <w:szCs w:val="16"/>
                <w:lang w:eastAsia="es-CO"/>
                <w14:ligatures w14:val="none"/>
              </w:rPr>
            </w:pPr>
            <w:r w:rsidRPr="006304F4">
              <w:rPr>
                <w:rFonts w:eastAsia="Times New Roman" w:cs="Times New Roman"/>
                <w:color w:val="000000" w:themeColor="text1"/>
                <w:kern w:val="0"/>
                <w:sz w:val="16"/>
                <w:szCs w:val="16"/>
                <w:lang w:eastAsia="es-CO"/>
                <w14:ligatures w14:val="none"/>
              </w:rPr>
              <w:t>SANITAS</w:t>
            </w:r>
          </w:p>
        </w:tc>
        <w:tc>
          <w:tcPr>
            <w:tcW w:w="1018" w:type="pct"/>
            <w:vAlign w:val="center"/>
            <w:hideMark/>
          </w:tcPr>
          <w:p w14:paraId="32D4F3BA" w14:textId="5F65F315" w:rsidR="005E64D9" w:rsidRPr="006304F4" w:rsidRDefault="005E64D9" w:rsidP="000A5389">
            <w:pPr>
              <w:spacing w:line="240" w:lineRule="auto"/>
              <w:rPr>
                <w:rFonts w:eastAsia="Times New Roman" w:cs="Times New Roman"/>
                <w:color w:val="000000"/>
                <w:kern w:val="0"/>
                <w:sz w:val="16"/>
                <w:szCs w:val="16"/>
                <w:lang w:eastAsia="es-CO"/>
                <w14:ligatures w14:val="none"/>
              </w:rPr>
            </w:pPr>
            <w:r w:rsidRPr="006304F4">
              <w:rPr>
                <w:rFonts w:eastAsia="Times New Roman" w:cs="Times New Roman"/>
                <w:color w:val="000000"/>
                <w:kern w:val="0"/>
                <w:sz w:val="16"/>
                <w:szCs w:val="16"/>
                <w:lang w:eastAsia="es-CO"/>
                <w14:ligatures w14:val="none"/>
              </w:rPr>
              <w:t>Lady Katherin Sandoval Chacón</w:t>
            </w:r>
          </w:p>
        </w:tc>
        <w:tc>
          <w:tcPr>
            <w:tcW w:w="848" w:type="pct"/>
            <w:vAlign w:val="center"/>
            <w:hideMark/>
          </w:tcPr>
          <w:p w14:paraId="2E96ED27" w14:textId="77777777" w:rsidR="005E64D9" w:rsidRPr="006304F4" w:rsidRDefault="005E64D9" w:rsidP="000A5389">
            <w:pPr>
              <w:spacing w:line="240" w:lineRule="auto"/>
              <w:jc w:val="center"/>
              <w:rPr>
                <w:rFonts w:eastAsia="Times New Roman" w:cs="Times New Roman"/>
                <w:color w:val="000000"/>
                <w:kern w:val="0"/>
                <w:sz w:val="16"/>
                <w:szCs w:val="16"/>
                <w:lang w:eastAsia="es-CO"/>
                <w14:ligatures w14:val="none"/>
              </w:rPr>
            </w:pPr>
            <w:r w:rsidRPr="006304F4">
              <w:rPr>
                <w:rFonts w:eastAsia="Times New Roman" w:cs="Times New Roman"/>
                <w:color w:val="000000"/>
                <w:kern w:val="0"/>
                <w:sz w:val="16"/>
                <w:szCs w:val="16"/>
                <w:lang w:eastAsia="es-CO"/>
                <w14:ligatures w14:val="none"/>
              </w:rPr>
              <w:t>20254030018355</w:t>
            </w:r>
          </w:p>
        </w:tc>
        <w:tc>
          <w:tcPr>
            <w:tcW w:w="639" w:type="pct"/>
            <w:vAlign w:val="center"/>
            <w:hideMark/>
          </w:tcPr>
          <w:p w14:paraId="6F14CF0D" w14:textId="77777777" w:rsidR="005E64D9" w:rsidRPr="006304F4" w:rsidRDefault="005E64D9" w:rsidP="000A5389">
            <w:pPr>
              <w:spacing w:line="240" w:lineRule="auto"/>
              <w:jc w:val="center"/>
              <w:rPr>
                <w:rFonts w:eastAsia="Times New Roman" w:cs="Times New Roman"/>
                <w:color w:val="000000"/>
                <w:kern w:val="0"/>
                <w:sz w:val="16"/>
                <w:szCs w:val="16"/>
                <w:lang w:eastAsia="es-CO"/>
                <w14:ligatures w14:val="none"/>
              </w:rPr>
            </w:pPr>
            <w:r w:rsidRPr="006304F4">
              <w:rPr>
                <w:rFonts w:eastAsia="Times New Roman" w:cs="Times New Roman"/>
                <w:color w:val="000000" w:themeColor="text1"/>
                <w:kern w:val="0"/>
                <w:sz w:val="16"/>
                <w:szCs w:val="16"/>
                <w:lang w:eastAsia="es-CO"/>
                <w14:ligatures w14:val="none"/>
              </w:rPr>
              <w:t>16/12/2025</w:t>
            </w:r>
          </w:p>
        </w:tc>
        <w:tc>
          <w:tcPr>
            <w:tcW w:w="639" w:type="pct"/>
            <w:vAlign w:val="center"/>
            <w:hideMark/>
          </w:tcPr>
          <w:p w14:paraId="0C58166B" w14:textId="77777777" w:rsidR="005E64D9" w:rsidRPr="006304F4" w:rsidRDefault="005E64D9" w:rsidP="000A5389">
            <w:pPr>
              <w:spacing w:line="240" w:lineRule="auto"/>
              <w:jc w:val="right"/>
              <w:rPr>
                <w:rFonts w:eastAsia="Times New Roman" w:cs="Times New Roman"/>
                <w:color w:val="000000"/>
                <w:kern w:val="0"/>
                <w:sz w:val="16"/>
                <w:szCs w:val="16"/>
                <w:lang w:eastAsia="es-CO"/>
                <w14:ligatures w14:val="none"/>
              </w:rPr>
            </w:pPr>
            <w:r w:rsidRPr="006304F4">
              <w:rPr>
                <w:rFonts w:eastAsia="Times New Roman" w:cs="Times New Roman"/>
                <w:color w:val="000000" w:themeColor="text1"/>
                <w:kern w:val="0"/>
                <w:sz w:val="16"/>
                <w:szCs w:val="16"/>
                <w:lang w:eastAsia="es-CO"/>
                <w14:ligatures w14:val="none"/>
              </w:rPr>
              <w:t>7.555.895</w:t>
            </w:r>
          </w:p>
        </w:tc>
        <w:tc>
          <w:tcPr>
            <w:tcW w:w="621" w:type="pct"/>
            <w:vAlign w:val="center"/>
            <w:hideMark/>
          </w:tcPr>
          <w:p w14:paraId="2A60C18B" w14:textId="77777777" w:rsidR="005E64D9" w:rsidRPr="006304F4" w:rsidRDefault="005E64D9" w:rsidP="000A5389">
            <w:pPr>
              <w:spacing w:line="240" w:lineRule="auto"/>
              <w:jc w:val="right"/>
              <w:rPr>
                <w:rFonts w:eastAsia="Times New Roman" w:cs="Times New Roman"/>
                <w:color w:val="000000"/>
                <w:kern w:val="0"/>
                <w:sz w:val="16"/>
                <w:szCs w:val="16"/>
                <w:lang w:eastAsia="es-CO"/>
                <w14:ligatures w14:val="none"/>
              </w:rPr>
            </w:pPr>
            <w:r w:rsidRPr="006304F4">
              <w:rPr>
                <w:rFonts w:eastAsia="Times New Roman" w:cs="Times New Roman"/>
                <w:color w:val="000000" w:themeColor="text1"/>
                <w:kern w:val="0"/>
                <w:sz w:val="16"/>
                <w:szCs w:val="16"/>
                <w:lang w:eastAsia="es-CO"/>
                <w14:ligatures w14:val="none"/>
              </w:rPr>
              <w:t>7.555.895</w:t>
            </w:r>
          </w:p>
        </w:tc>
        <w:tc>
          <w:tcPr>
            <w:tcW w:w="618" w:type="pct"/>
            <w:vAlign w:val="center"/>
            <w:hideMark/>
          </w:tcPr>
          <w:p w14:paraId="5CEDAD96" w14:textId="77777777" w:rsidR="005E64D9" w:rsidRPr="006304F4" w:rsidRDefault="005E64D9" w:rsidP="000A5389">
            <w:pPr>
              <w:spacing w:line="240" w:lineRule="auto"/>
              <w:jc w:val="right"/>
              <w:rPr>
                <w:rFonts w:eastAsia="Times New Roman" w:cs="Times New Roman"/>
                <w:color w:val="000000"/>
                <w:kern w:val="0"/>
                <w:sz w:val="16"/>
                <w:szCs w:val="16"/>
                <w:lang w:eastAsia="es-CO"/>
                <w14:ligatures w14:val="none"/>
              </w:rPr>
            </w:pPr>
            <w:r w:rsidRPr="006304F4">
              <w:rPr>
                <w:rFonts w:eastAsia="Times New Roman" w:cs="Times New Roman"/>
                <w:color w:val="000000" w:themeColor="text1"/>
                <w:kern w:val="0"/>
                <w:sz w:val="16"/>
                <w:szCs w:val="16"/>
                <w:lang w:eastAsia="es-CO"/>
                <w14:ligatures w14:val="none"/>
              </w:rPr>
              <w:t>7.555.895</w:t>
            </w:r>
          </w:p>
        </w:tc>
      </w:tr>
      <w:tr w:rsidR="005E64D9" w:rsidRPr="006304F4" w14:paraId="40C78611" w14:textId="77777777" w:rsidTr="005D16A2">
        <w:trPr>
          <w:trHeight w:val="405"/>
        </w:trPr>
        <w:tc>
          <w:tcPr>
            <w:tcW w:w="3122" w:type="pct"/>
            <w:gridSpan w:val="4"/>
            <w:vAlign w:val="center"/>
            <w:hideMark/>
          </w:tcPr>
          <w:p w14:paraId="3B9F7ACE" w14:textId="77777777" w:rsidR="005E64D9" w:rsidRPr="006304F4" w:rsidRDefault="005E64D9" w:rsidP="000A5389">
            <w:pPr>
              <w:spacing w:line="240" w:lineRule="auto"/>
              <w:jc w:val="center"/>
              <w:rPr>
                <w:rFonts w:eastAsia="Times New Roman" w:cs="Times New Roman"/>
                <w:b/>
                <w:bCs/>
                <w:color w:val="000000"/>
                <w:kern w:val="0"/>
                <w:sz w:val="16"/>
                <w:szCs w:val="16"/>
                <w:lang w:eastAsia="es-CO"/>
                <w14:ligatures w14:val="none"/>
              </w:rPr>
            </w:pPr>
            <w:r w:rsidRPr="006304F4">
              <w:rPr>
                <w:rFonts w:eastAsia="Times New Roman" w:cs="Times New Roman"/>
                <w:b/>
                <w:bCs/>
                <w:color w:val="000000"/>
                <w:kern w:val="0"/>
                <w:sz w:val="16"/>
                <w:szCs w:val="16"/>
                <w:lang w:eastAsia="es-CO"/>
                <w14:ligatures w14:val="none"/>
              </w:rPr>
              <w:t>TOTALES</w:t>
            </w:r>
          </w:p>
        </w:tc>
        <w:tc>
          <w:tcPr>
            <w:tcW w:w="639" w:type="pct"/>
            <w:vAlign w:val="center"/>
            <w:hideMark/>
          </w:tcPr>
          <w:p w14:paraId="703703C7" w14:textId="77777777" w:rsidR="005E64D9" w:rsidRPr="006304F4" w:rsidRDefault="005E64D9" w:rsidP="000A5389">
            <w:pPr>
              <w:spacing w:line="240" w:lineRule="auto"/>
              <w:jc w:val="right"/>
              <w:rPr>
                <w:rFonts w:eastAsia="Times New Roman" w:cs="Times New Roman"/>
                <w:b/>
                <w:bCs/>
                <w:color w:val="000000"/>
                <w:kern w:val="0"/>
                <w:sz w:val="16"/>
                <w:szCs w:val="16"/>
                <w:lang w:eastAsia="es-CO"/>
                <w14:ligatures w14:val="none"/>
              </w:rPr>
            </w:pPr>
            <w:r w:rsidRPr="006304F4">
              <w:rPr>
                <w:rFonts w:eastAsia="Times New Roman" w:cs="Times New Roman"/>
                <w:b/>
                <w:bCs/>
                <w:color w:val="000000"/>
                <w:kern w:val="0"/>
                <w:sz w:val="16"/>
                <w:szCs w:val="16"/>
                <w:lang w:eastAsia="es-CO"/>
                <w14:ligatures w14:val="none"/>
              </w:rPr>
              <w:t>44.373.367</w:t>
            </w:r>
          </w:p>
        </w:tc>
        <w:tc>
          <w:tcPr>
            <w:tcW w:w="621" w:type="pct"/>
            <w:vAlign w:val="center"/>
            <w:hideMark/>
          </w:tcPr>
          <w:p w14:paraId="0998EC6C" w14:textId="77777777" w:rsidR="005E64D9" w:rsidRPr="006304F4" w:rsidRDefault="005E64D9" w:rsidP="000A5389">
            <w:pPr>
              <w:spacing w:line="240" w:lineRule="auto"/>
              <w:jc w:val="right"/>
              <w:rPr>
                <w:rFonts w:eastAsia="Times New Roman" w:cs="Times New Roman"/>
                <w:b/>
                <w:bCs/>
                <w:color w:val="000000"/>
                <w:kern w:val="0"/>
                <w:sz w:val="16"/>
                <w:szCs w:val="16"/>
                <w:lang w:eastAsia="es-CO"/>
                <w14:ligatures w14:val="none"/>
              </w:rPr>
            </w:pPr>
            <w:r w:rsidRPr="006304F4">
              <w:rPr>
                <w:rFonts w:eastAsia="Times New Roman" w:cs="Times New Roman"/>
                <w:b/>
                <w:bCs/>
                <w:color w:val="000000"/>
                <w:kern w:val="0"/>
                <w:sz w:val="16"/>
                <w:szCs w:val="16"/>
                <w:lang w:eastAsia="es-CO"/>
                <w14:ligatures w14:val="none"/>
              </w:rPr>
              <w:t>44.373.367</w:t>
            </w:r>
          </w:p>
        </w:tc>
        <w:tc>
          <w:tcPr>
            <w:tcW w:w="618" w:type="pct"/>
            <w:vAlign w:val="center"/>
            <w:hideMark/>
          </w:tcPr>
          <w:p w14:paraId="4AB299EA" w14:textId="77777777" w:rsidR="005E64D9" w:rsidRPr="006304F4" w:rsidRDefault="005E64D9" w:rsidP="000A5389">
            <w:pPr>
              <w:spacing w:line="240" w:lineRule="auto"/>
              <w:jc w:val="right"/>
              <w:rPr>
                <w:rFonts w:eastAsia="Times New Roman" w:cs="Times New Roman"/>
                <w:b/>
                <w:bCs/>
                <w:color w:val="000000"/>
                <w:kern w:val="0"/>
                <w:sz w:val="16"/>
                <w:szCs w:val="16"/>
                <w:lang w:eastAsia="es-CO"/>
                <w14:ligatures w14:val="none"/>
              </w:rPr>
            </w:pPr>
            <w:r w:rsidRPr="006304F4">
              <w:rPr>
                <w:rFonts w:eastAsia="Times New Roman" w:cs="Times New Roman"/>
                <w:b/>
                <w:bCs/>
                <w:color w:val="000000"/>
                <w:kern w:val="0"/>
                <w:sz w:val="16"/>
                <w:szCs w:val="16"/>
                <w:lang w:eastAsia="es-CO"/>
                <w14:ligatures w14:val="none"/>
              </w:rPr>
              <w:t>39.443.235</w:t>
            </w:r>
          </w:p>
        </w:tc>
      </w:tr>
    </w:tbl>
    <w:p w14:paraId="302A29B7" w14:textId="7CFD9DE7" w:rsidR="005E64D9" w:rsidRPr="00951AB1" w:rsidRDefault="2E877FCF" w:rsidP="000A5389">
      <w:pPr>
        <w:spacing w:line="240" w:lineRule="auto"/>
        <w:rPr>
          <w:rFonts w:eastAsia="Times New Roman" w:cs="Times New Roman"/>
          <w:color w:val="000000" w:themeColor="text1"/>
          <w:sz w:val="14"/>
          <w:szCs w:val="14"/>
          <w:lang w:eastAsia="es-CO"/>
        </w:rPr>
      </w:pPr>
      <w:r w:rsidRPr="00951AB1">
        <w:rPr>
          <w:rFonts w:eastAsia="Times New Roman" w:cs="Times New Roman"/>
          <w:color w:val="000000" w:themeColor="text1"/>
          <w:szCs w:val="24"/>
        </w:rPr>
        <w:t xml:space="preserve"> </w:t>
      </w:r>
      <w:r w:rsidRPr="00951AB1">
        <w:rPr>
          <w:rFonts w:eastAsia="Times New Roman" w:cs="Times New Roman"/>
          <w:color w:val="000000" w:themeColor="text1"/>
          <w:sz w:val="14"/>
          <w:szCs w:val="14"/>
          <w:lang w:eastAsia="es-CO"/>
        </w:rPr>
        <w:t>Cifras expresadas en pesos</w:t>
      </w:r>
    </w:p>
    <w:p w14:paraId="416F0EC5" w14:textId="030C1983" w:rsidR="005E64D9" w:rsidRPr="00951AB1" w:rsidRDefault="005E64D9" w:rsidP="000A5389">
      <w:pPr>
        <w:shd w:val="clear" w:color="auto" w:fill="FFFFFF" w:themeFill="background1"/>
        <w:spacing w:line="240" w:lineRule="auto"/>
        <w:rPr>
          <w:rFonts w:eastAsia="Times New Roman" w:cs="Times New Roman"/>
          <w:szCs w:val="24"/>
        </w:rPr>
      </w:pPr>
    </w:p>
    <w:p w14:paraId="5C96782D" w14:textId="77777777" w:rsidR="005E64D9" w:rsidRPr="00951AB1" w:rsidRDefault="005E64D9" w:rsidP="000A5389">
      <w:pPr>
        <w:shd w:val="clear" w:color="auto" w:fill="FFFFFF" w:themeFill="background1"/>
        <w:spacing w:line="240" w:lineRule="auto"/>
        <w:rPr>
          <w:rFonts w:eastAsia="Arial Narrow" w:cs="Times New Roman"/>
          <w:color w:val="000000" w:themeColor="text1"/>
          <w:szCs w:val="24"/>
        </w:rPr>
      </w:pPr>
      <w:r w:rsidRPr="00951AB1">
        <w:rPr>
          <w:rFonts w:eastAsia="Arial Narrow" w:cs="Times New Roman"/>
          <w:color w:val="000000" w:themeColor="text1"/>
          <w:szCs w:val="24"/>
          <w:u w:val="single"/>
        </w:rPr>
        <w:t>Erika Patricia Dulcey</w:t>
      </w:r>
      <w:r w:rsidRPr="00951AB1">
        <w:rPr>
          <w:rFonts w:eastAsia="Arial Narrow" w:cs="Times New Roman"/>
          <w:color w:val="000000" w:themeColor="text1"/>
          <w:szCs w:val="24"/>
        </w:rPr>
        <w:t>: Las dos (2) incapacidades que tienen más de tres años sin pago por parte de las EPS, se relaciona y adjunta memorando No. 20247010221203 del 23 de diciembre de 2024, con la información remitida por el área Jurídica con el estado actual de las mismas, adicional de la información verificada por el Git de Talento Humano, a través de portal web de la Rama Judicial, donde se evidencia que siguen en proceso de recobro por vía judicial de la siguiente forma:</w:t>
      </w:r>
      <w:r w:rsidRPr="00951AB1">
        <w:rPr>
          <w:rFonts w:eastAsia="Arial" w:cs="Times New Roman"/>
          <w:color w:val="000000" w:themeColor="text1"/>
          <w:szCs w:val="24"/>
        </w:rPr>
        <w:t xml:space="preserve"> S</w:t>
      </w:r>
      <w:r w:rsidRPr="00951AB1">
        <w:rPr>
          <w:rFonts w:eastAsia="Arial Narrow" w:cs="Times New Roman"/>
          <w:color w:val="000000" w:themeColor="text1"/>
          <w:szCs w:val="24"/>
        </w:rPr>
        <w:t xml:space="preserve">ituación Jurídica: </w:t>
      </w:r>
    </w:p>
    <w:p w14:paraId="138D43AC" w14:textId="77777777" w:rsidR="005E64D9" w:rsidRPr="00951AB1" w:rsidRDefault="005E64D9" w:rsidP="000A5389">
      <w:pPr>
        <w:shd w:val="clear" w:color="auto" w:fill="FFFFFF" w:themeFill="background1"/>
        <w:spacing w:line="240" w:lineRule="auto"/>
        <w:rPr>
          <w:rFonts w:eastAsia="Arial Narrow" w:cs="Times New Roman"/>
          <w:color w:val="000000" w:themeColor="text1"/>
          <w:szCs w:val="24"/>
        </w:rPr>
      </w:pPr>
    </w:p>
    <w:p w14:paraId="2D69D17C" w14:textId="77777777" w:rsidR="005E64D9" w:rsidRPr="00951AB1" w:rsidRDefault="005E64D9" w:rsidP="000A5389">
      <w:pPr>
        <w:shd w:val="clear" w:color="auto" w:fill="FFFFFF" w:themeFill="background1"/>
        <w:spacing w:line="240" w:lineRule="auto"/>
        <w:rPr>
          <w:rFonts w:eastAsia="Arial Narrow" w:cs="Times New Roman"/>
          <w:color w:val="000000" w:themeColor="text1"/>
          <w:szCs w:val="24"/>
        </w:rPr>
      </w:pPr>
      <w:r w:rsidRPr="00951AB1">
        <w:rPr>
          <w:rFonts w:eastAsia="Arial Narrow" w:cs="Times New Roman"/>
          <w:color w:val="000000" w:themeColor="text1"/>
          <w:szCs w:val="24"/>
        </w:rPr>
        <w:t xml:space="preserve">Despacho Juzgado 5° Laboral del Circuito de Bogotá. Proceso No. 11001310500520190042500. Actuaciones: 23/11/2020 Se admitió la demanda// 13/10/2021 Se recibe poder del demandante// 21/10/2021, Se envió el proceso al grupo técnico de digitalización// 08/11/2021 Se recibe tramite notificación// 25/11/2021 Recepción Memorial, EPS Sanitas Allega contestación, el día 18 de abril de 2023 se envía por correo electrónico impulso procesal// 12/02/2024 a la finalización del convenio de digitalización se recibió el </w:t>
      </w:r>
      <w:r w:rsidRPr="00951AB1">
        <w:rPr>
          <w:rFonts w:eastAsia="Arial Narrow" w:cs="Times New Roman"/>
          <w:color w:val="000000" w:themeColor="text1"/>
          <w:szCs w:val="24"/>
        </w:rPr>
        <w:lastRenderedPageBreak/>
        <w:t xml:space="preserve">expediente físico, sin embargo,  no se tiene acceso a los documentos digitalizados, por lo que se asigna para digitalizar y organizar - MFB (GM). A la fecha no se evidencia movimiento alguno.  </w:t>
      </w:r>
    </w:p>
    <w:p w14:paraId="4F965E22" w14:textId="77777777" w:rsidR="005E64D9" w:rsidRPr="00951AB1" w:rsidRDefault="005E64D9" w:rsidP="000A5389">
      <w:pPr>
        <w:shd w:val="clear" w:color="auto" w:fill="FFFFFF" w:themeFill="background1"/>
        <w:spacing w:line="240" w:lineRule="auto"/>
        <w:rPr>
          <w:rFonts w:eastAsia="Arial Narrow" w:cs="Times New Roman"/>
          <w:color w:val="000000" w:themeColor="text1"/>
          <w:szCs w:val="24"/>
        </w:rPr>
      </w:pPr>
      <w:r w:rsidRPr="00951AB1">
        <w:rPr>
          <w:rFonts w:eastAsia="Arial Narrow" w:cs="Times New Roman"/>
          <w:color w:val="000000" w:themeColor="text1"/>
          <w:szCs w:val="24"/>
        </w:rPr>
        <w:t xml:space="preserve"> </w:t>
      </w:r>
    </w:p>
    <w:p w14:paraId="56A62141" w14:textId="77777777" w:rsidR="005E64D9" w:rsidRPr="00951AB1" w:rsidRDefault="005E64D9" w:rsidP="000A5389">
      <w:pPr>
        <w:shd w:val="clear" w:color="auto" w:fill="FFFFFF" w:themeFill="background1"/>
        <w:spacing w:line="240" w:lineRule="auto"/>
        <w:rPr>
          <w:rFonts w:eastAsia="Arial Narrow" w:cs="Times New Roman"/>
          <w:color w:val="000000" w:themeColor="text1"/>
          <w:szCs w:val="24"/>
        </w:rPr>
      </w:pPr>
      <w:r w:rsidRPr="00951AB1">
        <w:rPr>
          <w:rFonts w:eastAsia="Arial Narrow" w:cs="Times New Roman"/>
          <w:color w:val="000000" w:themeColor="text1"/>
          <w:szCs w:val="24"/>
        </w:rPr>
        <w:t>Envío memorando No. 20244030163723 a la Coordinación del GIT de Defensa Judicial con la solicitud de información sobre lo pertinente. Respuesta del GIT de Defensa Judicial con memorando No. 20247010221203 del 23 de diciembre de 2024 con el estado actual de las incapacidades en proceso jurídico. Envío memorando No. 20254030090323 el 23 de mayo de 2025 a la Coordinación del GIT de Defensa Judicial con la solicitud de información sobre el estado de las Incapacidades, No obstante, al revisar en el portal de la rama judicial el 06 de agosto de 2025 el juzgado fija fecha para audiencia el 02 de septiembre de 2025., como última actuación registrada el 01 de diciembre de 2025 se envió el expediente al Tribunal Superior de Bogotá para lo correspondiente.</w:t>
      </w:r>
    </w:p>
    <w:p w14:paraId="3E56B1D3" w14:textId="4C688B28" w:rsidR="005E64D9" w:rsidRPr="00951AB1" w:rsidRDefault="005E64D9" w:rsidP="000A5389">
      <w:pPr>
        <w:pStyle w:val="xmsonormal"/>
        <w:shd w:val="clear" w:color="auto" w:fill="FFFFFF"/>
        <w:spacing w:line="240" w:lineRule="auto"/>
        <w:rPr>
          <w:rStyle w:val="xcontentpasted0"/>
          <w:color w:val="000000"/>
          <w:bdr w:val="none" w:sz="0" w:space="0" w:color="auto" w:frame="1"/>
        </w:rPr>
      </w:pPr>
      <w:r w:rsidRPr="00951AB1">
        <w:rPr>
          <w:rStyle w:val="xcontentpasted0"/>
          <w:color w:val="000000"/>
          <w:u w:val="single"/>
          <w:bdr w:val="none" w:sz="0" w:space="0" w:color="auto" w:frame="1"/>
        </w:rPr>
        <w:t>Flabio Andrés Aguirre Otalora:</w:t>
      </w:r>
      <w:r w:rsidRPr="00951AB1">
        <w:rPr>
          <w:rStyle w:val="xcontentpasted0"/>
          <w:color w:val="000000"/>
          <w:bdr w:val="none" w:sz="0" w:space="0" w:color="auto" w:frame="1"/>
        </w:rPr>
        <w:t xml:space="preserve"> La Resolución No. 20244030013485 presentó d</w:t>
      </w:r>
      <w:r w:rsidRPr="00951AB1">
        <w:rPr>
          <w:rFonts w:eastAsia="Arial Narrow"/>
          <w:color w:val="000000" w:themeColor="text1"/>
        </w:rPr>
        <w:t>iferencia en el pago generado por la EPS, por cuanto el valor reconocido no es igual al valor causado en la obligación.</w:t>
      </w:r>
      <w:r w:rsidRPr="00951AB1">
        <w:t xml:space="preserve"> </w:t>
      </w:r>
      <w:r w:rsidRPr="00951AB1">
        <w:rPr>
          <w:rFonts w:eastAsia="Arial Narrow"/>
          <w:color w:val="000000" w:themeColor="text1"/>
        </w:rPr>
        <w:t>En gestión de cobro con radicados No. 60455124 del 19 de marzo de 2025 y 60698835 del 19 de mayo de 2025. Reiteración de cobro el 17 de diciembre de 2025 en la página de la EPS. Derecho de Petición con la solicitud de pago de las incapacidades mediante radicado No. 20264030043951 el 10 de febrero de 2026.</w:t>
      </w:r>
    </w:p>
    <w:p w14:paraId="1EF0C51E" w14:textId="77777777" w:rsidR="005E64D9" w:rsidRPr="00951AB1" w:rsidRDefault="005E64D9" w:rsidP="000A5389">
      <w:pPr>
        <w:pStyle w:val="xmsonormal"/>
        <w:shd w:val="clear" w:color="auto" w:fill="FFFFFF"/>
        <w:spacing w:line="240" w:lineRule="auto"/>
        <w:rPr>
          <w:rStyle w:val="xcontentpasted0"/>
          <w:color w:val="000000"/>
          <w:bdr w:val="none" w:sz="0" w:space="0" w:color="auto" w:frame="1"/>
        </w:rPr>
      </w:pPr>
      <w:r w:rsidRPr="00951AB1">
        <w:rPr>
          <w:rStyle w:val="xcontentpasted0"/>
          <w:color w:val="000000"/>
          <w:u w:val="single"/>
          <w:bdr w:val="none" w:sz="0" w:space="0" w:color="auto" w:frame="1"/>
        </w:rPr>
        <w:t>Astrid Yerleny Botia Niño:</w:t>
      </w:r>
      <w:r w:rsidRPr="00951AB1">
        <w:t xml:space="preserve"> </w:t>
      </w:r>
      <w:r w:rsidRPr="00951AB1">
        <w:rPr>
          <w:rStyle w:val="xcontentpasted0"/>
          <w:color w:val="000000"/>
          <w:bdr w:val="none" w:sz="0" w:space="0" w:color="auto" w:frame="1"/>
        </w:rPr>
        <w:t>La Resolución No. 20254030011915 presentó d</w:t>
      </w:r>
      <w:r w:rsidRPr="00951AB1">
        <w:rPr>
          <w:rFonts w:eastAsia="Arial Narrow"/>
          <w:color w:val="000000" w:themeColor="text1"/>
        </w:rPr>
        <w:t>iferencia en el pago generado por la EPS, por cuanto el valor reconocido no es igual al valor causado en la obligación.</w:t>
      </w:r>
      <w:r w:rsidRPr="00951AB1">
        <w:t xml:space="preserve"> </w:t>
      </w:r>
      <w:r w:rsidRPr="00951AB1">
        <w:rPr>
          <w:rFonts w:eastAsia="Arial Narrow"/>
          <w:color w:val="000000" w:themeColor="text1"/>
        </w:rPr>
        <w:t>En gestión de cobro Rs. 20254030014655 dentro del plazo establecido con radicado No. 61059038 del 01 de octubre de 2025 (Prórroga). Reiteración de cobro el 17 de diciembre de 2025 en la página de la EPS.</w:t>
      </w:r>
    </w:p>
    <w:p w14:paraId="15C6E518" w14:textId="77777777" w:rsidR="005E64D9" w:rsidRPr="00951AB1" w:rsidRDefault="005E64D9" w:rsidP="000A5389">
      <w:pPr>
        <w:pStyle w:val="xmsonormal"/>
        <w:shd w:val="clear" w:color="auto" w:fill="FFFFFF"/>
        <w:spacing w:line="240" w:lineRule="auto"/>
        <w:rPr>
          <w:rStyle w:val="xcontentpasted0"/>
          <w:color w:val="000000"/>
          <w:bdr w:val="none" w:sz="0" w:space="0" w:color="auto" w:frame="1"/>
        </w:rPr>
      </w:pPr>
      <w:r w:rsidRPr="00951AB1">
        <w:rPr>
          <w:rStyle w:val="xcontentpasted0"/>
          <w:color w:val="000000"/>
          <w:u w:val="single"/>
          <w:bdr w:val="none" w:sz="0" w:space="0" w:color="auto" w:frame="1"/>
        </w:rPr>
        <w:t>Lady Katherin Sandoval Chacon:</w:t>
      </w:r>
      <w:r w:rsidRPr="00951AB1">
        <w:rPr>
          <w:rStyle w:val="xcontentpasted0"/>
          <w:color w:val="000000"/>
          <w:bdr w:val="none" w:sz="0" w:space="0" w:color="auto" w:frame="1"/>
        </w:rPr>
        <w:t xml:space="preserve"> En gestión de cobro Rs. 20254030018355 con radicado No. 61269705 del 04 de diciembre de 2025, reconocida por la EPS el 05 de enero de 2026.</w:t>
      </w:r>
    </w:p>
    <w:p w14:paraId="0A4F915B" w14:textId="77777777" w:rsidR="005E64D9" w:rsidRPr="00951AB1" w:rsidRDefault="005E64D9" w:rsidP="000A5389">
      <w:pPr>
        <w:pStyle w:val="xmsonormal"/>
        <w:shd w:val="clear" w:color="auto" w:fill="FFFFFF"/>
        <w:spacing w:line="240" w:lineRule="auto"/>
        <w:rPr>
          <w:rStyle w:val="xcontentpasted0"/>
          <w:color w:val="000000"/>
          <w:bdr w:val="none" w:sz="0" w:space="0" w:color="auto" w:frame="1"/>
        </w:rPr>
      </w:pPr>
      <w:r w:rsidRPr="00951AB1">
        <w:rPr>
          <w:rStyle w:val="xcontentpasted0"/>
          <w:b/>
          <w:bCs/>
          <w:color w:val="000000"/>
          <w:bdr w:val="none" w:sz="0" w:space="0" w:color="auto" w:frame="1"/>
        </w:rPr>
        <w:t>Nueva Empresa Promotora de Salud S.A</w:t>
      </w:r>
      <w:r w:rsidRPr="00951AB1">
        <w:rPr>
          <w:rStyle w:val="xcontentpasted0"/>
          <w:color w:val="000000"/>
          <w:bdr w:val="none" w:sz="0" w:space="0" w:color="auto" w:frame="1"/>
        </w:rPr>
        <w:t>., se detalla a continuación:</w:t>
      </w:r>
    </w:p>
    <w:tbl>
      <w:tblPr>
        <w:tblW w:w="8784"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CellMar>
          <w:left w:w="70" w:type="dxa"/>
          <w:right w:w="70" w:type="dxa"/>
        </w:tblCellMar>
        <w:tblLook w:val="04A0" w:firstRow="1" w:lastRow="0" w:firstColumn="1" w:lastColumn="0" w:noHBand="0" w:noVBand="1"/>
      </w:tblPr>
      <w:tblGrid>
        <w:gridCol w:w="1166"/>
        <w:gridCol w:w="1305"/>
        <w:gridCol w:w="1631"/>
        <w:gridCol w:w="1276"/>
        <w:gridCol w:w="1216"/>
        <w:gridCol w:w="1056"/>
        <w:gridCol w:w="1134"/>
      </w:tblGrid>
      <w:tr w:rsidR="005E64D9" w:rsidRPr="006304F4" w14:paraId="17F09287" w14:textId="77777777" w:rsidTr="006304F4">
        <w:trPr>
          <w:trHeight w:val="405"/>
          <w:tblHeader/>
        </w:trPr>
        <w:tc>
          <w:tcPr>
            <w:tcW w:w="1166" w:type="dxa"/>
            <w:vAlign w:val="center"/>
            <w:hideMark/>
          </w:tcPr>
          <w:p w14:paraId="2987F60D" w14:textId="77777777" w:rsidR="005E64D9" w:rsidRPr="006304F4" w:rsidRDefault="005E64D9" w:rsidP="000A5389">
            <w:pPr>
              <w:spacing w:line="240" w:lineRule="auto"/>
              <w:jc w:val="center"/>
              <w:rPr>
                <w:rFonts w:eastAsia="Times New Roman" w:cs="Times New Roman"/>
                <w:b/>
                <w:bCs/>
                <w:color w:val="000000"/>
                <w:kern w:val="0"/>
                <w:sz w:val="16"/>
                <w:szCs w:val="16"/>
                <w:lang w:eastAsia="es-CO"/>
                <w14:ligatures w14:val="none"/>
              </w:rPr>
            </w:pPr>
            <w:r w:rsidRPr="006304F4">
              <w:rPr>
                <w:rFonts w:eastAsia="Times New Roman" w:cs="Times New Roman"/>
                <w:b/>
                <w:bCs/>
                <w:color w:val="000000" w:themeColor="text1"/>
                <w:kern w:val="0"/>
                <w:sz w:val="16"/>
                <w:szCs w:val="16"/>
                <w:lang w:eastAsia="es-CO"/>
                <w14:ligatures w14:val="none"/>
              </w:rPr>
              <w:t>EPS</w:t>
            </w:r>
          </w:p>
        </w:tc>
        <w:tc>
          <w:tcPr>
            <w:tcW w:w="1305" w:type="dxa"/>
            <w:vAlign w:val="center"/>
            <w:hideMark/>
          </w:tcPr>
          <w:p w14:paraId="5FF707B8" w14:textId="77777777" w:rsidR="005E64D9" w:rsidRPr="006304F4" w:rsidRDefault="005E64D9" w:rsidP="000A5389">
            <w:pPr>
              <w:spacing w:line="240" w:lineRule="auto"/>
              <w:jc w:val="center"/>
              <w:rPr>
                <w:rFonts w:eastAsia="Times New Roman" w:cs="Times New Roman"/>
                <w:b/>
                <w:bCs/>
                <w:color w:val="000000"/>
                <w:kern w:val="0"/>
                <w:sz w:val="16"/>
                <w:szCs w:val="16"/>
                <w:lang w:eastAsia="es-CO"/>
                <w14:ligatures w14:val="none"/>
              </w:rPr>
            </w:pPr>
            <w:r w:rsidRPr="006304F4">
              <w:rPr>
                <w:rFonts w:eastAsia="Times New Roman" w:cs="Times New Roman"/>
                <w:b/>
                <w:bCs/>
                <w:color w:val="000000" w:themeColor="text1"/>
                <w:kern w:val="0"/>
                <w:sz w:val="16"/>
                <w:szCs w:val="16"/>
                <w:lang w:eastAsia="es-CO"/>
                <w14:ligatures w14:val="none"/>
              </w:rPr>
              <w:t>FUNCIONARIO</w:t>
            </w:r>
          </w:p>
        </w:tc>
        <w:tc>
          <w:tcPr>
            <w:tcW w:w="1631" w:type="dxa"/>
            <w:vAlign w:val="center"/>
            <w:hideMark/>
          </w:tcPr>
          <w:p w14:paraId="22F0041F" w14:textId="77777777" w:rsidR="005E64D9" w:rsidRPr="006304F4" w:rsidRDefault="005E64D9" w:rsidP="000A5389">
            <w:pPr>
              <w:spacing w:line="240" w:lineRule="auto"/>
              <w:jc w:val="center"/>
              <w:rPr>
                <w:rFonts w:eastAsia="Times New Roman" w:cs="Times New Roman"/>
                <w:b/>
                <w:bCs/>
                <w:color w:val="000000"/>
                <w:kern w:val="0"/>
                <w:sz w:val="16"/>
                <w:szCs w:val="16"/>
                <w:lang w:eastAsia="es-CO"/>
                <w14:ligatures w14:val="none"/>
              </w:rPr>
            </w:pPr>
            <w:r w:rsidRPr="006304F4">
              <w:rPr>
                <w:rFonts w:eastAsia="Times New Roman" w:cs="Times New Roman"/>
                <w:b/>
                <w:bCs/>
                <w:color w:val="000000" w:themeColor="text1"/>
                <w:kern w:val="0"/>
                <w:sz w:val="16"/>
                <w:szCs w:val="16"/>
                <w:lang w:eastAsia="es-CO"/>
                <w14:ligatures w14:val="none"/>
              </w:rPr>
              <w:t>No RESOLUCION</w:t>
            </w:r>
          </w:p>
        </w:tc>
        <w:tc>
          <w:tcPr>
            <w:tcW w:w="1276" w:type="dxa"/>
            <w:vAlign w:val="center"/>
            <w:hideMark/>
          </w:tcPr>
          <w:p w14:paraId="6CDAF0C7" w14:textId="77777777" w:rsidR="005E64D9" w:rsidRPr="006304F4" w:rsidRDefault="005E64D9" w:rsidP="000A5389">
            <w:pPr>
              <w:spacing w:line="240" w:lineRule="auto"/>
              <w:jc w:val="center"/>
              <w:rPr>
                <w:rFonts w:eastAsia="Times New Roman" w:cs="Times New Roman"/>
                <w:b/>
                <w:bCs/>
                <w:color w:val="000000"/>
                <w:kern w:val="0"/>
                <w:sz w:val="16"/>
                <w:szCs w:val="16"/>
                <w:lang w:eastAsia="es-CO"/>
                <w14:ligatures w14:val="none"/>
              </w:rPr>
            </w:pPr>
            <w:r w:rsidRPr="006304F4">
              <w:rPr>
                <w:rFonts w:eastAsia="Times New Roman" w:cs="Times New Roman"/>
                <w:b/>
                <w:bCs/>
                <w:color w:val="000000" w:themeColor="text1"/>
                <w:kern w:val="0"/>
                <w:sz w:val="16"/>
                <w:szCs w:val="16"/>
                <w:lang w:eastAsia="es-CO"/>
                <w14:ligatures w14:val="none"/>
              </w:rPr>
              <w:t>FECHA RESOLUCION</w:t>
            </w:r>
          </w:p>
        </w:tc>
        <w:tc>
          <w:tcPr>
            <w:tcW w:w="1216" w:type="dxa"/>
            <w:vAlign w:val="center"/>
            <w:hideMark/>
          </w:tcPr>
          <w:p w14:paraId="2653E221" w14:textId="77777777" w:rsidR="005E64D9" w:rsidRPr="006304F4" w:rsidRDefault="005E64D9" w:rsidP="000A5389">
            <w:pPr>
              <w:spacing w:line="240" w:lineRule="auto"/>
              <w:jc w:val="center"/>
              <w:rPr>
                <w:rFonts w:eastAsia="Times New Roman" w:cs="Times New Roman"/>
                <w:b/>
                <w:bCs/>
                <w:color w:val="000000"/>
                <w:kern w:val="0"/>
                <w:sz w:val="16"/>
                <w:szCs w:val="16"/>
                <w:lang w:eastAsia="es-CO"/>
                <w14:ligatures w14:val="none"/>
              </w:rPr>
            </w:pPr>
            <w:r w:rsidRPr="006304F4">
              <w:rPr>
                <w:rFonts w:eastAsia="Times New Roman" w:cs="Times New Roman"/>
                <w:b/>
                <w:bCs/>
                <w:color w:val="000000" w:themeColor="text1"/>
                <w:kern w:val="0"/>
                <w:sz w:val="16"/>
                <w:szCs w:val="16"/>
                <w:lang w:eastAsia="es-CO"/>
                <w14:ligatures w14:val="none"/>
              </w:rPr>
              <w:t>VALOR RESOLUCION</w:t>
            </w:r>
          </w:p>
        </w:tc>
        <w:tc>
          <w:tcPr>
            <w:tcW w:w="1056" w:type="dxa"/>
            <w:vAlign w:val="center"/>
            <w:hideMark/>
          </w:tcPr>
          <w:p w14:paraId="7B16CBC0" w14:textId="77777777" w:rsidR="005E64D9" w:rsidRPr="006304F4" w:rsidRDefault="005E64D9" w:rsidP="000A5389">
            <w:pPr>
              <w:spacing w:line="240" w:lineRule="auto"/>
              <w:jc w:val="center"/>
              <w:rPr>
                <w:rFonts w:eastAsia="Times New Roman" w:cs="Times New Roman"/>
                <w:b/>
                <w:bCs/>
                <w:color w:val="000000"/>
                <w:kern w:val="0"/>
                <w:sz w:val="16"/>
                <w:szCs w:val="16"/>
                <w:lang w:eastAsia="es-CO"/>
                <w14:ligatures w14:val="none"/>
              </w:rPr>
            </w:pPr>
            <w:r w:rsidRPr="006304F4">
              <w:rPr>
                <w:rFonts w:eastAsia="Times New Roman" w:cs="Times New Roman"/>
                <w:b/>
                <w:bCs/>
                <w:color w:val="000000" w:themeColor="text1"/>
                <w:kern w:val="0"/>
                <w:sz w:val="16"/>
                <w:szCs w:val="16"/>
                <w:lang w:eastAsia="es-CO"/>
                <w14:ligatures w14:val="none"/>
              </w:rPr>
              <w:t>VALOR CAUSADO EN NOMINA</w:t>
            </w:r>
          </w:p>
        </w:tc>
        <w:tc>
          <w:tcPr>
            <w:tcW w:w="1134" w:type="dxa"/>
            <w:vAlign w:val="center"/>
            <w:hideMark/>
          </w:tcPr>
          <w:p w14:paraId="349374B2" w14:textId="77777777" w:rsidR="005E64D9" w:rsidRPr="006304F4" w:rsidRDefault="005E64D9" w:rsidP="000A5389">
            <w:pPr>
              <w:spacing w:line="240" w:lineRule="auto"/>
              <w:jc w:val="center"/>
              <w:rPr>
                <w:rFonts w:eastAsia="Times New Roman" w:cs="Times New Roman"/>
                <w:b/>
                <w:bCs/>
                <w:color w:val="000000"/>
                <w:kern w:val="0"/>
                <w:sz w:val="16"/>
                <w:szCs w:val="16"/>
                <w:lang w:eastAsia="es-CO"/>
                <w14:ligatures w14:val="none"/>
              </w:rPr>
            </w:pPr>
            <w:r w:rsidRPr="006304F4">
              <w:rPr>
                <w:rFonts w:eastAsia="Times New Roman" w:cs="Times New Roman"/>
                <w:b/>
                <w:bCs/>
                <w:color w:val="000000" w:themeColor="text1"/>
                <w:kern w:val="0"/>
                <w:sz w:val="16"/>
                <w:szCs w:val="16"/>
                <w:lang w:eastAsia="es-CO"/>
                <w14:ligatures w14:val="none"/>
              </w:rPr>
              <w:t>VALOR QUE ADEUDA LA EPS</w:t>
            </w:r>
          </w:p>
        </w:tc>
      </w:tr>
      <w:tr w:rsidR="005E64D9" w:rsidRPr="006304F4" w14:paraId="70DEDE87" w14:textId="77777777" w:rsidTr="005D16A2">
        <w:trPr>
          <w:trHeight w:val="405"/>
        </w:trPr>
        <w:tc>
          <w:tcPr>
            <w:tcW w:w="1166" w:type="dxa"/>
            <w:vAlign w:val="center"/>
            <w:hideMark/>
          </w:tcPr>
          <w:p w14:paraId="033211EC" w14:textId="77777777" w:rsidR="005E64D9" w:rsidRPr="006304F4" w:rsidRDefault="005E64D9" w:rsidP="000A5389">
            <w:pPr>
              <w:spacing w:line="240" w:lineRule="auto"/>
              <w:jc w:val="center"/>
              <w:rPr>
                <w:rFonts w:eastAsia="Times New Roman" w:cs="Times New Roman"/>
                <w:color w:val="000000"/>
                <w:kern w:val="0"/>
                <w:sz w:val="16"/>
                <w:szCs w:val="16"/>
                <w:lang w:eastAsia="es-CO"/>
                <w14:ligatures w14:val="none"/>
              </w:rPr>
            </w:pPr>
            <w:r w:rsidRPr="006304F4">
              <w:rPr>
                <w:rFonts w:eastAsia="Times New Roman" w:cs="Times New Roman"/>
                <w:color w:val="000000" w:themeColor="text1"/>
                <w:kern w:val="0"/>
                <w:sz w:val="16"/>
                <w:szCs w:val="16"/>
                <w:lang w:eastAsia="es-CO"/>
                <w14:ligatures w14:val="none"/>
              </w:rPr>
              <w:t>N</w:t>
            </w:r>
            <w:r w:rsidRPr="006304F4">
              <w:rPr>
                <w:rFonts w:eastAsia="Times New Roman" w:cs="Times New Roman"/>
                <w:color w:val="000000"/>
                <w:kern w:val="0"/>
                <w:sz w:val="16"/>
                <w:szCs w:val="16"/>
                <w:lang w:eastAsia="es-CO"/>
                <w14:ligatures w14:val="none"/>
              </w:rPr>
              <w:t>UEVA EPS</w:t>
            </w:r>
          </w:p>
        </w:tc>
        <w:tc>
          <w:tcPr>
            <w:tcW w:w="1305" w:type="dxa"/>
            <w:vAlign w:val="center"/>
            <w:hideMark/>
          </w:tcPr>
          <w:p w14:paraId="32E64C26" w14:textId="0E0DE42E" w:rsidR="005E64D9" w:rsidRPr="006304F4" w:rsidRDefault="005E64D9" w:rsidP="000A5389">
            <w:pPr>
              <w:spacing w:line="240" w:lineRule="auto"/>
              <w:rPr>
                <w:rFonts w:eastAsia="Times New Roman" w:cs="Times New Roman"/>
                <w:color w:val="000000"/>
                <w:kern w:val="0"/>
                <w:sz w:val="16"/>
                <w:szCs w:val="16"/>
                <w:lang w:eastAsia="es-CO"/>
                <w14:ligatures w14:val="none"/>
              </w:rPr>
            </w:pPr>
            <w:r w:rsidRPr="006304F4">
              <w:rPr>
                <w:rFonts w:eastAsia="Times New Roman" w:cs="Times New Roman"/>
                <w:color w:val="000000"/>
                <w:kern w:val="0"/>
                <w:sz w:val="16"/>
                <w:szCs w:val="16"/>
                <w:lang w:eastAsia="es-CO"/>
                <w14:ligatures w14:val="none"/>
              </w:rPr>
              <w:t xml:space="preserve">Adriana Eunice </w:t>
            </w:r>
            <w:r w:rsidR="00014990" w:rsidRPr="006304F4">
              <w:rPr>
                <w:rFonts w:eastAsia="Times New Roman" w:cs="Times New Roman"/>
                <w:color w:val="000000"/>
                <w:kern w:val="0"/>
                <w:sz w:val="16"/>
                <w:szCs w:val="16"/>
                <w:lang w:eastAsia="es-CO"/>
                <w14:ligatures w14:val="none"/>
              </w:rPr>
              <w:t>González</w:t>
            </w:r>
            <w:r w:rsidRPr="006304F4">
              <w:rPr>
                <w:rFonts w:eastAsia="Times New Roman" w:cs="Times New Roman"/>
                <w:color w:val="000000"/>
                <w:kern w:val="0"/>
                <w:sz w:val="16"/>
                <w:szCs w:val="16"/>
                <w:lang w:eastAsia="es-CO"/>
                <w14:ligatures w14:val="none"/>
              </w:rPr>
              <w:t xml:space="preserve"> </w:t>
            </w:r>
            <w:r w:rsidR="00014990" w:rsidRPr="006304F4">
              <w:rPr>
                <w:rFonts w:eastAsia="Times New Roman" w:cs="Times New Roman"/>
                <w:color w:val="000000"/>
                <w:kern w:val="0"/>
                <w:sz w:val="16"/>
                <w:szCs w:val="16"/>
                <w:lang w:eastAsia="es-CO"/>
                <w14:ligatures w14:val="none"/>
              </w:rPr>
              <w:t>Marín</w:t>
            </w:r>
            <w:r w:rsidRPr="006304F4">
              <w:rPr>
                <w:rFonts w:eastAsia="Times New Roman" w:cs="Times New Roman"/>
                <w:color w:val="000000"/>
                <w:kern w:val="0"/>
                <w:sz w:val="16"/>
                <w:szCs w:val="16"/>
                <w:lang w:eastAsia="es-CO"/>
                <w14:ligatures w14:val="none"/>
              </w:rPr>
              <w:t xml:space="preserve"> </w:t>
            </w:r>
          </w:p>
        </w:tc>
        <w:tc>
          <w:tcPr>
            <w:tcW w:w="1631" w:type="dxa"/>
            <w:vAlign w:val="center"/>
            <w:hideMark/>
          </w:tcPr>
          <w:p w14:paraId="4804173D" w14:textId="77777777" w:rsidR="005E64D9" w:rsidRPr="006304F4" w:rsidRDefault="005E64D9" w:rsidP="000A5389">
            <w:pPr>
              <w:spacing w:line="240" w:lineRule="auto"/>
              <w:jc w:val="center"/>
              <w:rPr>
                <w:rFonts w:eastAsia="Times New Roman" w:cs="Times New Roman"/>
                <w:color w:val="000000"/>
                <w:kern w:val="0"/>
                <w:sz w:val="16"/>
                <w:szCs w:val="16"/>
                <w:lang w:eastAsia="es-CO"/>
                <w14:ligatures w14:val="none"/>
              </w:rPr>
            </w:pPr>
            <w:r w:rsidRPr="006304F4">
              <w:rPr>
                <w:rFonts w:eastAsia="Times New Roman" w:cs="Times New Roman"/>
                <w:color w:val="000000" w:themeColor="text1"/>
                <w:kern w:val="0"/>
                <w:sz w:val="16"/>
                <w:szCs w:val="16"/>
                <w:lang w:eastAsia="es-CO"/>
                <w14:ligatures w14:val="none"/>
              </w:rPr>
              <w:t>20244030002605</w:t>
            </w:r>
          </w:p>
        </w:tc>
        <w:tc>
          <w:tcPr>
            <w:tcW w:w="1276" w:type="dxa"/>
            <w:vAlign w:val="center"/>
            <w:hideMark/>
          </w:tcPr>
          <w:p w14:paraId="5FFC49F0" w14:textId="77777777" w:rsidR="005E64D9" w:rsidRPr="006304F4" w:rsidRDefault="005E64D9" w:rsidP="000A5389">
            <w:pPr>
              <w:spacing w:line="240" w:lineRule="auto"/>
              <w:jc w:val="center"/>
              <w:rPr>
                <w:rFonts w:eastAsia="Times New Roman" w:cs="Times New Roman"/>
                <w:color w:val="000000"/>
                <w:kern w:val="0"/>
                <w:sz w:val="16"/>
                <w:szCs w:val="16"/>
                <w:lang w:eastAsia="es-CO"/>
                <w14:ligatures w14:val="none"/>
              </w:rPr>
            </w:pPr>
            <w:r w:rsidRPr="006304F4">
              <w:rPr>
                <w:rFonts w:eastAsia="Times New Roman" w:cs="Times New Roman"/>
                <w:color w:val="000000" w:themeColor="text1"/>
                <w:kern w:val="0"/>
                <w:sz w:val="16"/>
                <w:szCs w:val="16"/>
                <w:lang w:eastAsia="es-CO"/>
                <w14:ligatures w14:val="none"/>
              </w:rPr>
              <w:t>18/03/2024</w:t>
            </w:r>
          </w:p>
        </w:tc>
        <w:tc>
          <w:tcPr>
            <w:tcW w:w="1216" w:type="dxa"/>
            <w:vAlign w:val="center"/>
            <w:hideMark/>
          </w:tcPr>
          <w:p w14:paraId="6CAD60AA" w14:textId="77777777" w:rsidR="005E64D9" w:rsidRPr="006304F4" w:rsidRDefault="005E64D9" w:rsidP="000A5389">
            <w:pPr>
              <w:spacing w:line="240" w:lineRule="auto"/>
              <w:jc w:val="right"/>
              <w:rPr>
                <w:rFonts w:eastAsia="Times New Roman" w:cs="Times New Roman"/>
                <w:color w:val="000000"/>
                <w:kern w:val="0"/>
                <w:sz w:val="16"/>
                <w:szCs w:val="16"/>
                <w:lang w:eastAsia="es-CO"/>
                <w14:ligatures w14:val="none"/>
              </w:rPr>
            </w:pPr>
            <w:r w:rsidRPr="006304F4">
              <w:rPr>
                <w:rFonts w:eastAsia="Times New Roman" w:cs="Times New Roman"/>
                <w:color w:val="000000" w:themeColor="text1"/>
                <w:kern w:val="0"/>
                <w:sz w:val="16"/>
                <w:szCs w:val="16"/>
                <w:lang w:eastAsia="es-CO"/>
                <w14:ligatures w14:val="none"/>
              </w:rPr>
              <w:t>9.078.736</w:t>
            </w:r>
          </w:p>
        </w:tc>
        <w:tc>
          <w:tcPr>
            <w:tcW w:w="1056" w:type="dxa"/>
            <w:vAlign w:val="center"/>
            <w:hideMark/>
          </w:tcPr>
          <w:p w14:paraId="526249DA" w14:textId="77777777" w:rsidR="005E64D9" w:rsidRPr="006304F4" w:rsidRDefault="005E64D9" w:rsidP="000A5389">
            <w:pPr>
              <w:spacing w:line="240" w:lineRule="auto"/>
              <w:jc w:val="right"/>
              <w:rPr>
                <w:rFonts w:eastAsia="Times New Roman" w:cs="Times New Roman"/>
                <w:color w:val="000000"/>
                <w:kern w:val="0"/>
                <w:sz w:val="16"/>
                <w:szCs w:val="16"/>
                <w:lang w:eastAsia="es-CO"/>
                <w14:ligatures w14:val="none"/>
              </w:rPr>
            </w:pPr>
            <w:r w:rsidRPr="006304F4">
              <w:rPr>
                <w:rFonts w:eastAsia="Times New Roman" w:cs="Times New Roman"/>
                <w:color w:val="000000" w:themeColor="text1"/>
                <w:kern w:val="0"/>
                <w:sz w:val="16"/>
                <w:szCs w:val="16"/>
                <w:lang w:eastAsia="es-CO"/>
                <w14:ligatures w14:val="none"/>
              </w:rPr>
              <w:t>9.078.736</w:t>
            </w:r>
          </w:p>
        </w:tc>
        <w:tc>
          <w:tcPr>
            <w:tcW w:w="1134" w:type="dxa"/>
            <w:vAlign w:val="center"/>
            <w:hideMark/>
          </w:tcPr>
          <w:p w14:paraId="1FB7FFD9" w14:textId="77777777" w:rsidR="005E64D9" w:rsidRPr="006304F4" w:rsidRDefault="005E64D9" w:rsidP="000A5389">
            <w:pPr>
              <w:spacing w:line="240" w:lineRule="auto"/>
              <w:jc w:val="right"/>
              <w:rPr>
                <w:rFonts w:eastAsia="Times New Roman" w:cs="Times New Roman"/>
                <w:color w:val="000000"/>
                <w:kern w:val="0"/>
                <w:sz w:val="16"/>
                <w:szCs w:val="16"/>
                <w:lang w:eastAsia="es-CO"/>
                <w14:ligatures w14:val="none"/>
              </w:rPr>
            </w:pPr>
            <w:r w:rsidRPr="006304F4">
              <w:rPr>
                <w:rFonts w:eastAsia="Times New Roman" w:cs="Times New Roman"/>
                <w:color w:val="000000" w:themeColor="text1"/>
                <w:kern w:val="0"/>
                <w:sz w:val="16"/>
                <w:szCs w:val="16"/>
                <w:lang w:eastAsia="es-CO"/>
                <w14:ligatures w14:val="none"/>
              </w:rPr>
              <w:t>620.817</w:t>
            </w:r>
          </w:p>
        </w:tc>
      </w:tr>
      <w:tr w:rsidR="005E64D9" w:rsidRPr="006304F4" w14:paraId="31F0865A" w14:textId="77777777" w:rsidTr="005D16A2">
        <w:trPr>
          <w:trHeight w:val="405"/>
        </w:trPr>
        <w:tc>
          <w:tcPr>
            <w:tcW w:w="1166" w:type="dxa"/>
            <w:vAlign w:val="center"/>
            <w:hideMark/>
          </w:tcPr>
          <w:p w14:paraId="310BD1D0" w14:textId="77777777" w:rsidR="005E64D9" w:rsidRPr="006304F4" w:rsidRDefault="005E64D9" w:rsidP="000A5389">
            <w:pPr>
              <w:spacing w:line="240" w:lineRule="auto"/>
              <w:jc w:val="center"/>
              <w:rPr>
                <w:rFonts w:eastAsia="Times New Roman" w:cs="Times New Roman"/>
                <w:color w:val="000000"/>
                <w:kern w:val="0"/>
                <w:sz w:val="16"/>
                <w:szCs w:val="16"/>
                <w:lang w:eastAsia="es-CO"/>
                <w14:ligatures w14:val="none"/>
              </w:rPr>
            </w:pPr>
            <w:r w:rsidRPr="006304F4">
              <w:rPr>
                <w:rFonts w:eastAsia="Times New Roman" w:cs="Times New Roman"/>
                <w:color w:val="000000" w:themeColor="text1"/>
                <w:kern w:val="0"/>
                <w:sz w:val="16"/>
                <w:szCs w:val="16"/>
                <w:lang w:eastAsia="es-CO"/>
                <w14:ligatures w14:val="none"/>
              </w:rPr>
              <w:t>NUEVA EPS</w:t>
            </w:r>
          </w:p>
        </w:tc>
        <w:tc>
          <w:tcPr>
            <w:tcW w:w="1305" w:type="dxa"/>
            <w:vAlign w:val="center"/>
            <w:hideMark/>
          </w:tcPr>
          <w:p w14:paraId="2D7CDA47" w14:textId="03F97A88" w:rsidR="005E64D9" w:rsidRPr="006304F4" w:rsidRDefault="005E64D9" w:rsidP="000A5389">
            <w:pPr>
              <w:spacing w:line="240" w:lineRule="auto"/>
              <w:rPr>
                <w:rFonts w:eastAsia="Times New Roman" w:cs="Times New Roman"/>
                <w:color w:val="000000"/>
                <w:kern w:val="0"/>
                <w:sz w:val="16"/>
                <w:szCs w:val="16"/>
                <w:lang w:eastAsia="es-CO"/>
                <w14:ligatures w14:val="none"/>
              </w:rPr>
            </w:pPr>
            <w:r w:rsidRPr="006304F4">
              <w:rPr>
                <w:rFonts w:eastAsia="Times New Roman" w:cs="Times New Roman"/>
                <w:color w:val="000000"/>
                <w:kern w:val="0"/>
                <w:sz w:val="16"/>
                <w:szCs w:val="16"/>
                <w:lang w:eastAsia="es-CO"/>
                <w14:ligatures w14:val="none"/>
              </w:rPr>
              <w:t xml:space="preserve">John </w:t>
            </w:r>
            <w:r w:rsidR="00014990" w:rsidRPr="006304F4">
              <w:rPr>
                <w:rFonts w:eastAsia="Times New Roman" w:cs="Times New Roman"/>
                <w:color w:val="000000"/>
                <w:kern w:val="0"/>
                <w:sz w:val="16"/>
                <w:szCs w:val="16"/>
                <w:lang w:eastAsia="es-CO"/>
                <w14:ligatures w14:val="none"/>
              </w:rPr>
              <w:t>Ángel</w:t>
            </w:r>
            <w:r w:rsidRPr="006304F4">
              <w:rPr>
                <w:rFonts w:eastAsia="Times New Roman" w:cs="Times New Roman"/>
                <w:color w:val="000000"/>
                <w:kern w:val="0"/>
                <w:sz w:val="16"/>
                <w:szCs w:val="16"/>
                <w:lang w:eastAsia="es-CO"/>
                <w14:ligatures w14:val="none"/>
              </w:rPr>
              <w:t xml:space="preserve"> </w:t>
            </w:r>
            <w:r w:rsidR="00014990" w:rsidRPr="006304F4">
              <w:rPr>
                <w:rFonts w:eastAsia="Times New Roman" w:cs="Times New Roman"/>
                <w:color w:val="000000"/>
                <w:kern w:val="0"/>
                <w:sz w:val="16"/>
                <w:szCs w:val="16"/>
                <w:lang w:eastAsia="es-CO"/>
                <w14:ligatures w14:val="none"/>
              </w:rPr>
              <w:t>González</w:t>
            </w:r>
            <w:r w:rsidRPr="006304F4">
              <w:rPr>
                <w:rFonts w:eastAsia="Times New Roman" w:cs="Times New Roman"/>
                <w:color w:val="000000"/>
                <w:kern w:val="0"/>
                <w:sz w:val="16"/>
                <w:szCs w:val="16"/>
                <w:lang w:eastAsia="es-CO"/>
                <w14:ligatures w14:val="none"/>
              </w:rPr>
              <w:t xml:space="preserve"> Diaz</w:t>
            </w:r>
          </w:p>
        </w:tc>
        <w:tc>
          <w:tcPr>
            <w:tcW w:w="1631" w:type="dxa"/>
            <w:vAlign w:val="center"/>
            <w:hideMark/>
          </w:tcPr>
          <w:p w14:paraId="29CE94BC" w14:textId="77777777" w:rsidR="005E64D9" w:rsidRPr="006304F4" w:rsidRDefault="005E64D9" w:rsidP="000A5389">
            <w:pPr>
              <w:spacing w:line="240" w:lineRule="auto"/>
              <w:jc w:val="center"/>
              <w:rPr>
                <w:rFonts w:eastAsia="Times New Roman" w:cs="Times New Roman"/>
                <w:color w:val="000000"/>
                <w:kern w:val="0"/>
                <w:sz w:val="16"/>
                <w:szCs w:val="16"/>
                <w:lang w:eastAsia="es-CO"/>
                <w14:ligatures w14:val="none"/>
              </w:rPr>
            </w:pPr>
            <w:r w:rsidRPr="006304F4">
              <w:rPr>
                <w:rFonts w:eastAsia="Times New Roman" w:cs="Times New Roman"/>
                <w:color w:val="000000"/>
                <w:kern w:val="0"/>
                <w:sz w:val="16"/>
                <w:szCs w:val="16"/>
                <w:lang w:eastAsia="es-CO"/>
                <w14:ligatures w14:val="none"/>
              </w:rPr>
              <w:t>20254030014645</w:t>
            </w:r>
          </w:p>
        </w:tc>
        <w:tc>
          <w:tcPr>
            <w:tcW w:w="1276" w:type="dxa"/>
            <w:vAlign w:val="center"/>
            <w:hideMark/>
          </w:tcPr>
          <w:p w14:paraId="752CB9F3" w14:textId="77777777" w:rsidR="005E64D9" w:rsidRPr="006304F4" w:rsidRDefault="005E64D9" w:rsidP="000A5389">
            <w:pPr>
              <w:spacing w:line="240" w:lineRule="auto"/>
              <w:jc w:val="center"/>
              <w:rPr>
                <w:rFonts w:eastAsia="Times New Roman" w:cs="Times New Roman"/>
                <w:color w:val="000000"/>
                <w:kern w:val="0"/>
                <w:sz w:val="16"/>
                <w:szCs w:val="16"/>
                <w:lang w:eastAsia="es-CO"/>
                <w14:ligatures w14:val="none"/>
              </w:rPr>
            </w:pPr>
            <w:r w:rsidRPr="006304F4">
              <w:rPr>
                <w:rFonts w:eastAsia="Times New Roman" w:cs="Times New Roman"/>
                <w:color w:val="000000" w:themeColor="text1"/>
                <w:kern w:val="0"/>
                <w:sz w:val="16"/>
                <w:szCs w:val="16"/>
                <w:lang w:eastAsia="es-CO"/>
                <w14:ligatures w14:val="none"/>
              </w:rPr>
              <w:t>22/10/2025</w:t>
            </w:r>
          </w:p>
        </w:tc>
        <w:tc>
          <w:tcPr>
            <w:tcW w:w="1216" w:type="dxa"/>
            <w:vAlign w:val="center"/>
            <w:hideMark/>
          </w:tcPr>
          <w:p w14:paraId="4FE68E52" w14:textId="77777777" w:rsidR="005E64D9" w:rsidRPr="006304F4" w:rsidRDefault="005E64D9" w:rsidP="000A5389">
            <w:pPr>
              <w:spacing w:line="240" w:lineRule="auto"/>
              <w:jc w:val="right"/>
              <w:rPr>
                <w:rFonts w:eastAsia="Times New Roman" w:cs="Times New Roman"/>
                <w:color w:val="000000"/>
                <w:kern w:val="0"/>
                <w:sz w:val="16"/>
                <w:szCs w:val="16"/>
                <w:lang w:eastAsia="es-CO"/>
                <w14:ligatures w14:val="none"/>
              </w:rPr>
            </w:pPr>
            <w:r w:rsidRPr="006304F4">
              <w:rPr>
                <w:rFonts w:eastAsia="Times New Roman" w:cs="Times New Roman"/>
                <w:color w:val="000000" w:themeColor="text1"/>
                <w:kern w:val="0"/>
                <w:sz w:val="16"/>
                <w:szCs w:val="16"/>
                <w:lang w:eastAsia="es-CO"/>
                <w14:ligatures w14:val="none"/>
              </w:rPr>
              <w:t>11.848.866</w:t>
            </w:r>
          </w:p>
        </w:tc>
        <w:tc>
          <w:tcPr>
            <w:tcW w:w="1056" w:type="dxa"/>
            <w:vAlign w:val="center"/>
            <w:hideMark/>
          </w:tcPr>
          <w:p w14:paraId="5AEEC11F" w14:textId="77777777" w:rsidR="005E64D9" w:rsidRPr="006304F4" w:rsidRDefault="005E64D9" w:rsidP="000A5389">
            <w:pPr>
              <w:spacing w:line="240" w:lineRule="auto"/>
              <w:jc w:val="right"/>
              <w:rPr>
                <w:rFonts w:eastAsia="Times New Roman" w:cs="Times New Roman"/>
                <w:color w:val="000000"/>
                <w:kern w:val="0"/>
                <w:sz w:val="16"/>
                <w:szCs w:val="16"/>
                <w:lang w:eastAsia="es-CO"/>
                <w14:ligatures w14:val="none"/>
              </w:rPr>
            </w:pPr>
            <w:r w:rsidRPr="006304F4">
              <w:rPr>
                <w:rFonts w:eastAsia="Times New Roman" w:cs="Times New Roman"/>
                <w:color w:val="000000" w:themeColor="text1"/>
                <w:kern w:val="0"/>
                <w:sz w:val="16"/>
                <w:szCs w:val="16"/>
                <w:lang w:eastAsia="es-CO"/>
                <w14:ligatures w14:val="none"/>
              </w:rPr>
              <w:t>11.848.866</w:t>
            </w:r>
          </w:p>
        </w:tc>
        <w:tc>
          <w:tcPr>
            <w:tcW w:w="1134" w:type="dxa"/>
            <w:vAlign w:val="center"/>
            <w:hideMark/>
          </w:tcPr>
          <w:p w14:paraId="14739A3B" w14:textId="77777777" w:rsidR="005E64D9" w:rsidRPr="006304F4" w:rsidRDefault="005E64D9" w:rsidP="000A5389">
            <w:pPr>
              <w:spacing w:line="240" w:lineRule="auto"/>
              <w:jc w:val="right"/>
              <w:rPr>
                <w:rFonts w:eastAsia="Times New Roman" w:cs="Times New Roman"/>
                <w:color w:val="000000"/>
                <w:kern w:val="0"/>
                <w:sz w:val="16"/>
                <w:szCs w:val="16"/>
                <w:lang w:eastAsia="es-CO"/>
                <w14:ligatures w14:val="none"/>
              </w:rPr>
            </w:pPr>
            <w:r w:rsidRPr="006304F4">
              <w:rPr>
                <w:rFonts w:eastAsia="Times New Roman" w:cs="Times New Roman"/>
                <w:color w:val="000000" w:themeColor="text1"/>
                <w:kern w:val="0"/>
                <w:sz w:val="16"/>
                <w:szCs w:val="16"/>
                <w:lang w:eastAsia="es-CO"/>
                <w14:ligatures w14:val="none"/>
              </w:rPr>
              <w:t>351.243</w:t>
            </w:r>
          </w:p>
        </w:tc>
      </w:tr>
      <w:tr w:rsidR="005E64D9" w:rsidRPr="006304F4" w14:paraId="29CE4865" w14:textId="77777777" w:rsidTr="005D16A2">
        <w:trPr>
          <w:trHeight w:val="405"/>
        </w:trPr>
        <w:tc>
          <w:tcPr>
            <w:tcW w:w="1166" w:type="dxa"/>
            <w:vAlign w:val="center"/>
            <w:hideMark/>
          </w:tcPr>
          <w:p w14:paraId="735EF805" w14:textId="77777777" w:rsidR="005E64D9" w:rsidRPr="006304F4" w:rsidRDefault="005E64D9" w:rsidP="000A5389">
            <w:pPr>
              <w:spacing w:line="240" w:lineRule="auto"/>
              <w:jc w:val="center"/>
              <w:rPr>
                <w:rFonts w:eastAsia="Times New Roman" w:cs="Times New Roman"/>
                <w:color w:val="000000"/>
                <w:kern w:val="0"/>
                <w:sz w:val="16"/>
                <w:szCs w:val="16"/>
                <w:lang w:eastAsia="es-CO"/>
                <w14:ligatures w14:val="none"/>
              </w:rPr>
            </w:pPr>
            <w:r w:rsidRPr="006304F4">
              <w:rPr>
                <w:rFonts w:eastAsia="Times New Roman" w:cs="Times New Roman"/>
                <w:color w:val="000000" w:themeColor="text1"/>
                <w:kern w:val="0"/>
                <w:sz w:val="16"/>
                <w:szCs w:val="16"/>
                <w:lang w:eastAsia="es-CO"/>
                <w14:ligatures w14:val="none"/>
              </w:rPr>
              <w:t>NUEVA EPS</w:t>
            </w:r>
          </w:p>
        </w:tc>
        <w:tc>
          <w:tcPr>
            <w:tcW w:w="1305" w:type="dxa"/>
            <w:vAlign w:val="center"/>
            <w:hideMark/>
          </w:tcPr>
          <w:p w14:paraId="1D5DC30B" w14:textId="548EE4B9" w:rsidR="005E64D9" w:rsidRPr="006304F4" w:rsidRDefault="005E64D9" w:rsidP="000A5389">
            <w:pPr>
              <w:spacing w:line="240" w:lineRule="auto"/>
              <w:rPr>
                <w:rFonts w:eastAsia="Times New Roman" w:cs="Times New Roman"/>
                <w:color w:val="000000"/>
                <w:kern w:val="0"/>
                <w:sz w:val="16"/>
                <w:szCs w:val="16"/>
                <w:lang w:eastAsia="es-CO"/>
                <w14:ligatures w14:val="none"/>
              </w:rPr>
            </w:pPr>
            <w:r w:rsidRPr="006304F4">
              <w:rPr>
                <w:rFonts w:eastAsia="Times New Roman" w:cs="Times New Roman"/>
                <w:color w:val="000000"/>
                <w:kern w:val="0"/>
                <w:sz w:val="16"/>
                <w:szCs w:val="16"/>
                <w:lang w:eastAsia="es-CO"/>
                <w14:ligatures w14:val="none"/>
              </w:rPr>
              <w:t xml:space="preserve">John </w:t>
            </w:r>
            <w:r w:rsidR="00014990" w:rsidRPr="006304F4">
              <w:rPr>
                <w:rFonts w:eastAsia="Times New Roman" w:cs="Times New Roman"/>
                <w:color w:val="000000"/>
                <w:kern w:val="0"/>
                <w:sz w:val="16"/>
                <w:szCs w:val="16"/>
                <w:lang w:eastAsia="es-CO"/>
                <w14:ligatures w14:val="none"/>
              </w:rPr>
              <w:t>Ángel</w:t>
            </w:r>
            <w:r w:rsidRPr="006304F4">
              <w:rPr>
                <w:rFonts w:eastAsia="Times New Roman" w:cs="Times New Roman"/>
                <w:color w:val="000000"/>
                <w:kern w:val="0"/>
                <w:sz w:val="16"/>
                <w:szCs w:val="16"/>
                <w:lang w:eastAsia="es-CO"/>
                <w14:ligatures w14:val="none"/>
              </w:rPr>
              <w:t xml:space="preserve"> </w:t>
            </w:r>
            <w:r w:rsidR="00014990" w:rsidRPr="006304F4">
              <w:rPr>
                <w:rFonts w:eastAsia="Times New Roman" w:cs="Times New Roman"/>
                <w:color w:val="000000"/>
                <w:kern w:val="0"/>
                <w:sz w:val="16"/>
                <w:szCs w:val="16"/>
                <w:lang w:eastAsia="es-CO"/>
                <w14:ligatures w14:val="none"/>
              </w:rPr>
              <w:t>González</w:t>
            </w:r>
            <w:r w:rsidRPr="006304F4">
              <w:rPr>
                <w:rFonts w:eastAsia="Times New Roman" w:cs="Times New Roman"/>
                <w:color w:val="000000"/>
                <w:kern w:val="0"/>
                <w:sz w:val="16"/>
                <w:szCs w:val="16"/>
                <w:lang w:eastAsia="es-CO"/>
                <w14:ligatures w14:val="none"/>
              </w:rPr>
              <w:t xml:space="preserve"> Diaz</w:t>
            </w:r>
          </w:p>
        </w:tc>
        <w:tc>
          <w:tcPr>
            <w:tcW w:w="1631" w:type="dxa"/>
            <w:vAlign w:val="center"/>
            <w:hideMark/>
          </w:tcPr>
          <w:p w14:paraId="31102DC7" w14:textId="77777777" w:rsidR="005E64D9" w:rsidRPr="006304F4" w:rsidRDefault="005E64D9" w:rsidP="000A5389">
            <w:pPr>
              <w:spacing w:line="240" w:lineRule="auto"/>
              <w:jc w:val="center"/>
              <w:rPr>
                <w:rFonts w:eastAsia="Times New Roman" w:cs="Times New Roman"/>
                <w:color w:val="000000"/>
                <w:kern w:val="0"/>
                <w:sz w:val="16"/>
                <w:szCs w:val="16"/>
                <w:lang w:eastAsia="es-CO"/>
                <w14:ligatures w14:val="none"/>
              </w:rPr>
            </w:pPr>
            <w:r w:rsidRPr="006304F4">
              <w:rPr>
                <w:rFonts w:eastAsia="Times New Roman" w:cs="Times New Roman"/>
                <w:color w:val="000000"/>
                <w:kern w:val="0"/>
                <w:sz w:val="16"/>
                <w:szCs w:val="16"/>
                <w:lang w:eastAsia="es-CO"/>
                <w14:ligatures w14:val="none"/>
              </w:rPr>
              <w:t>20254030016645</w:t>
            </w:r>
          </w:p>
        </w:tc>
        <w:tc>
          <w:tcPr>
            <w:tcW w:w="1276" w:type="dxa"/>
            <w:vAlign w:val="center"/>
            <w:hideMark/>
          </w:tcPr>
          <w:p w14:paraId="54B8E849" w14:textId="77777777" w:rsidR="005E64D9" w:rsidRPr="006304F4" w:rsidRDefault="005E64D9" w:rsidP="000A5389">
            <w:pPr>
              <w:spacing w:line="240" w:lineRule="auto"/>
              <w:jc w:val="center"/>
              <w:rPr>
                <w:rFonts w:eastAsia="Times New Roman" w:cs="Times New Roman"/>
                <w:color w:val="000000"/>
                <w:kern w:val="0"/>
                <w:sz w:val="16"/>
                <w:szCs w:val="16"/>
                <w:lang w:eastAsia="es-CO"/>
                <w14:ligatures w14:val="none"/>
              </w:rPr>
            </w:pPr>
            <w:r w:rsidRPr="006304F4">
              <w:rPr>
                <w:rFonts w:eastAsia="Times New Roman" w:cs="Times New Roman"/>
                <w:color w:val="000000" w:themeColor="text1"/>
                <w:kern w:val="0"/>
                <w:sz w:val="16"/>
                <w:szCs w:val="16"/>
                <w:lang w:eastAsia="es-CO"/>
                <w14:ligatures w14:val="none"/>
              </w:rPr>
              <w:t>21/11/2025</w:t>
            </w:r>
          </w:p>
        </w:tc>
        <w:tc>
          <w:tcPr>
            <w:tcW w:w="1216" w:type="dxa"/>
            <w:vAlign w:val="center"/>
            <w:hideMark/>
          </w:tcPr>
          <w:p w14:paraId="54B40CD0" w14:textId="77777777" w:rsidR="005E64D9" w:rsidRPr="006304F4" w:rsidRDefault="005E64D9" w:rsidP="000A5389">
            <w:pPr>
              <w:spacing w:line="240" w:lineRule="auto"/>
              <w:jc w:val="right"/>
              <w:rPr>
                <w:rFonts w:eastAsia="Times New Roman" w:cs="Times New Roman"/>
                <w:color w:val="000000"/>
                <w:kern w:val="0"/>
                <w:sz w:val="16"/>
                <w:szCs w:val="16"/>
                <w:lang w:eastAsia="es-CO"/>
                <w14:ligatures w14:val="none"/>
              </w:rPr>
            </w:pPr>
            <w:r w:rsidRPr="006304F4">
              <w:rPr>
                <w:rFonts w:eastAsia="Times New Roman" w:cs="Times New Roman"/>
                <w:color w:val="000000" w:themeColor="text1"/>
                <w:kern w:val="0"/>
                <w:sz w:val="16"/>
                <w:szCs w:val="16"/>
                <w:lang w:eastAsia="es-CO"/>
                <w14:ligatures w14:val="none"/>
              </w:rPr>
              <w:t>9.873.921</w:t>
            </w:r>
          </w:p>
        </w:tc>
        <w:tc>
          <w:tcPr>
            <w:tcW w:w="1056" w:type="dxa"/>
            <w:vAlign w:val="center"/>
            <w:hideMark/>
          </w:tcPr>
          <w:p w14:paraId="1A5C6EAB" w14:textId="77777777" w:rsidR="005E64D9" w:rsidRPr="006304F4" w:rsidRDefault="005E64D9" w:rsidP="000A5389">
            <w:pPr>
              <w:spacing w:line="240" w:lineRule="auto"/>
              <w:jc w:val="right"/>
              <w:rPr>
                <w:rFonts w:eastAsia="Times New Roman" w:cs="Times New Roman"/>
                <w:color w:val="000000"/>
                <w:kern w:val="0"/>
                <w:sz w:val="16"/>
                <w:szCs w:val="16"/>
                <w:lang w:eastAsia="es-CO"/>
                <w14:ligatures w14:val="none"/>
              </w:rPr>
            </w:pPr>
            <w:r w:rsidRPr="006304F4">
              <w:rPr>
                <w:rFonts w:eastAsia="Times New Roman" w:cs="Times New Roman"/>
                <w:color w:val="000000" w:themeColor="text1"/>
                <w:kern w:val="0"/>
                <w:sz w:val="16"/>
                <w:szCs w:val="16"/>
                <w:lang w:eastAsia="es-CO"/>
                <w14:ligatures w14:val="none"/>
              </w:rPr>
              <w:t>9.873.921</w:t>
            </w:r>
          </w:p>
        </w:tc>
        <w:tc>
          <w:tcPr>
            <w:tcW w:w="1134" w:type="dxa"/>
            <w:vAlign w:val="center"/>
            <w:hideMark/>
          </w:tcPr>
          <w:p w14:paraId="670E4732" w14:textId="77777777" w:rsidR="005E64D9" w:rsidRPr="006304F4" w:rsidRDefault="005E64D9" w:rsidP="000A5389">
            <w:pPr>
              <w:spacing w:line="240" w:lineRule="auto"/>
              <w:jc w:val="right"/>
              <w:rPr>
                <w:rFonts w:eastAsia="Times New Roman" w:cs="Times New Roman"/>
                <w:color w:val="000000"/>
                <w:kern w:val="0"/>
                <w:sz w:val="16"/>
                <w:szCs w:val="16"/>
                <w:lang w:eastAsia="es-CO"/>
                <w14:ligatures w14:val="none"/>
              </w:rPr>
            </w:pPr>
            <w:r w:rsidRPr="006304F4">
              <w:rPr>
                <w:rFonts w:eastAsia="Times New Roman" w:cs="Times New Roman"/>
                <w:color w:val="000000" w:themeColor="text1"/>
                <w:kern w:val="0"/>
                <w:sz w:val="16"/>
                <w:szCs w:val="16"/>
                <w:lang w:eastAsia="es-CO"/>
                <w14:ligatures w14:val="none"/>
              </w:rPr>
              <w:t>9.873.921</w:t>
            </w:r>
          </w:p>
        </w:tc>
      </w:tr>
      <w:tr w:rsidR="005E64D9" w:rsidRPr="006304F4" w14:paraId="74456489" w14:textId="77777777" w:rsidTr="005D16A2">
        <w:trPr>
          <w:trHeight w:val="405"/>
        </w:trPr>
        <w:tc>
          <w:tcPr>
            <w:tcW w:w="1166" w:type="dxa"/>
            <w:vAlign w:val="center"/>
            <w:hideMark/>
          </w:tcPr>
          <w:p w14:paraId="69BC0E80" w14:textId="77777777" w:rsidR="005E64D9" w:rsidRPr="006304F4" w:rsidRDefault="005E64D9" w:rsidP="000A5389">
            <w:pPr>
              <w:spacing w:line="240" w:lineRule="auto"/>
              <w:jc w:val="center"/>
              <w:rPr>
                <w:rFonts w:eastAsia="Times New Roman" w:cs="Times New Roman"/>
                <w:color w:val="000000"/>
                <w:kern w:val="0"/>
                <w:sz w:val="16"/>
                <w:szCs w:val="16"/>
                <w:lang w:eastAsia="es-CO"/>
                <w14:ligatures w14:val="none"/>
              </w:rPr>
            </w:pPr>
            <w:r w:rsidRPr="006304F4">
              <w:rPr>
                <w:rFonts w:eastAsia="Times New Roman" w:cs="Times New Roman"/>
                <w:color w:val="000000" w:themeColor="text1"/>
                <w:kern w:val="0"/>
                <w:sz w:val="16"/>
                <w:szCs w:val="16"/>
                <w:lang w:eastAsia="es-CO"/>
                <w14:ligatures w14:val="none"/>
              </w:rPr>
              <w:t>NUEVA EPS</w:t>
            </w:r>
          </w:p>
        </w:tc>
        <w:tc>
          <w:tcPr>
            <w:tcW w:w="1305" w:type="dxa"/>
            <w:vAlign w:val="center"/>
            <w:hideMark/>
          </w:tcPr>
          <w:p w14:paraId="6E852D19" w14:textId="2BCA0369" w:rsidR="005E64D9" w:rsidRPr="006304F4" w:rsidRDefault="005E64D9" w:rsidP="000A5389">
            <w:pPr>
              <w:spacing w:line="240" w:lineRule="auto"/>
              <w:rPr>
                <w:rFonts w:eastAsia="Times New Roman" w:cs="Times New Roman"/>
                <w:color w:val="000000"/>
                <w:kern w:val="0"/>
                <w:sz w:val="16"/>
                <w:szCs w:val="16"/>
                <w:lang w:eastAsia="es-CO"/>
                <w14:ligatures w14:val="none"/>
              </w:rPr>
            </w:pPr>
            <w:r w:rsidRPr="006304F4">
              <w:rPr>
                <w:rFonts w:eastAsia="Times New Roman" w:cs="Times New Roman"/>
                <w:color w:val="000000"/>
                <w:kern w:val="0"/>
                <w:sz w:val="16"/>
                <w:szCs w:val="16"/>
                <w:lang w:eastAsia="es-CO"/>
                <w14:ligatures w14:val="none"/>
              </w:rPr>
              <w:t xml:space="preserve">John </w:t>
            </w:r>
            <w:r w:rsidR="00014990" w:rsidRPr="006304F4">
              <w:rPr>
                <w:rFonts w:eastAsia="Times New Roman" w:cs="Times New Roman"/>
                <w:color w:val="000000"/>
                <w:kern w:val="0"/>
                <w:sz w:val="16"/>
                <w:szCs w:val="16"/>
                <w:lang w:eastAsia="es-CO"/>
                <w14:ligatures w14:val="none"/>
              </w:rPr>
              <w:t>Ángel</w:t>
            </w:r>
            <w:r w:rsidRPr="006304F4">
              <w:rPr>
                <w:rFonts w:eastAsia="Times New Roman" w:cs="Times New Roman"/>
                <w:color w:val="000000"/>
                <w:kern w:val="0"/>
                <w:sz w:val="16"/>
                <w:szCs w:val="16"/>
                <w:lang w:eastAsia="es-CO"/>
                <w14:ligatures w14:val="none"/>
              </w:rPr>
              <w:t xml:space="preserve"> </w:t>
            </w:r>
            <w:r w:rsidR="00014990" w:rsidRPr="006304F4">
              <w:rPr>
                <w:rFonts w:eastAsia="Times New Roman" w:cs="Times New Roman"/>
                <w:color w:val="000000"/>
                <w:kern w:val="0"/>
                <w:sz w:val="16"/>
                <w:szCs w:val="16"/>
                <w:lang w:eastAsia="es-CO"/>
                <w14:ligatures w14:val="none"/>
              </w:rPr>
              <w:t>González</w:t>
            </w:r>
            <w:r w:rsidRPr="006304F4">
              <w:rPr>
                <w:rFonts w:eastAsia="Times New Roman" w:cs="Times New Roman"/>
                <w:color w:val="000000"/>
                <w:kern w:val="0"/>
                <w:sz w:val="16"/>
                <w:szCs w:val="16"/>
                <w:lang w:eastAsia="es-CO"/>
                <w14:ligatures w14:val="none"/>
              </w:rPr>
              <w:t xml:space="preserve"> Diaz</w:t>
            </w:r>
          </w:p>
        </w:tc>
        <w:tc>
          <w:tcPr>
            <w:tcW w:w="1631" w:type="dxa"/>
            <w:vAlign w:val="center"/>
            <w:hideMark/>
          </w:tcPr>
          <w:p w14:paraId="062007CE" w14:textId="77777777" w:rsidR="005E64D9" w:rsidRPr="006304F4" w:rsidRDefault="005E64D9" w:rsidP="000A5389">
            <w:pPr>
              <w:spacing w:line="240" w:lineRule="auto"/>
              <w:jc w:val="center"/>
              <w:rPr>
                <w:rFonts w:eastAsia="Times New Roman" w:cs="Times New Roman"/>
                <w:color w:val="000000"/>
                <w:kern w:val="0"/>
                <w:sz w:val="16"/>
                <w:szCs w:val="16"/>
                <w:lang w:eastAsia="es-CO"/>
                <w14:ligatures w14:val="none"/>
              </w:rPr>
            </w:pPr>
            <w:r w:rsidRPr="006304F4">
              <w:rPr>
                <w:rFonts w:eastAsia="Times New Roman" w:cs="Times New Roman"/>
                <w:color w:val="000000"/>
                <w:kern w:val="0"/>
                <w:sz w:val="16"/>
                <w:szCs w:val="16"/>
                <w:lang w:eastAsia="es-CO"/>
                <w14:ligatures w14:val="none"/>
              </w:rPr>
              <w:t>20254030018415</w:t>
            </w:r>
          </w:p>
        </w:tc>
        <w:tc>
          <w:tcPr>
            <w:tcW w:w="1276" w:type="dxa"/>
            <w:vAlign w:val="center"/>
            <w:hideMark/>
          </w:tcPr>
          <w:p w14:paraId="15D816B9" w14:textId="77777777" w:rsidR="005E64D9" w:rsidRPr="006304F4" w:rsidRDefault="005E64D9" w:rsidP="000A5389">
            <w:pPr>
              <w:spacing w:line="240" w:lineRule="auto"/>
              <w:jc w:val="center"/>
              <w:rPr>
                <w:rFonts w:eastAsia="Times New Roman" w:cs="Times New Roman"/>
                <w:color w:val="000000"/>
                <w:kern w:val="0"/>
                <w:sz w:val="16"/>
                <w:szCs w:val="16"/>
                <w:lang w:eastAsia="es-CO"/>
                <w14:ligatures w14:val="none"/>
              </w:rPr>
            </w:pPr>
            <w:r w:rsidRPr="006304F4">
              <w:rPr>
                <w:rFonts w:eastAsia="Times New Roman" w:cs="Times New Roman"/>
                <w:color w:val="000000" w:themeColor="text1"/>
                <w:kern w:val="0"/>
                <w:sz w:val="16"/>
                <w:szCs w:val="16"/>
                <w:lang w:eastAsia="es-CO"/>
                <w14:ligatures w14:val="none"/>
              </w:rPr>
              <w:t>17/12/2025</w:t>
            </w:r>
          </w:p>
        </w:tc>
        <w:tc>
          <w:tcPr>
            <w:tcW w:w="1216" w:type="dxa"/>
            <w:vAlign w:val="center"/>
            <w:hideMark/>
          </w:tcPr>
          <w:p w14:paraId="1DEC631E" w14:textId="77777777" w:rsidR="005E64D9" w:rsidRPr="006304F4" w:rsidRDefault="005E64D9" w:rsidP="000A5389">
            <w:pPr>
              <w:spacing w:line="240" w:lineRule="auto"/>
              <w:jc w:val="right"/>
              <w:rPr>
                <w:rFonts w:eastAsia="Times New Roman" w:cs="Times New Roman"/>
                <w:color w:val="000000"/>
                <w:kern w:val="0"/>
                <w:sz w:val="16"/>
                <w:szCs w:val="16"/>
                <w:lang w:eastAsia="es-CO"/>
                <w14:ligatures w14:val="none"/>
              </w:rPr>
            </w:pPr>
            <w:r w:rsidRPr="006304F4">
              <w:rPr>
                <w:rFonts w:eastAsia="Times New Roman" w:cs="Times New Roman"/>
                <w:color w:val="000000" w:themeColor="text1"/>
                <w:kern w:val="0"/>
                <w:sz w:val="16"/>
                <w:szCs w:val="16"/>
                <w:lang w:eastAsia="es-CO"/>
                <w14:ligatures w14:val="none"/>
              </w:rPr>
              <w:t>2.692.790</w:t>
            </w:r>
          </w:p>
        </w:tc>
        <w:tc>
          <w:tcPr>
            <w:tcW w:w="1056" w:type="dxa"/>
            <w:vAlign w:val="center"/>
            <w:hideMark/>
          </w:tcPr>
          <w:p w14:paraId="10A33A50" w14:textId="77777777" w:rsidR="005E64D9" w:rsidRPr="006304F4" w:rsidRDefault="005E64D9" w:rsidP="000A5389">
            <w:pPr>
              <w:spacing w:line="240" w:lineRule="auto"/>
              <w:jc w:val="right"/>
              <w:rPr>
                <w:rFonts w:eastAsia="Times New Roman" w:cs="Times New Roman"/>
                <w:color w:val="000000"/>
                <w:kern w:val="0"/>
                <w:sz w:val="16"/>
                <w:szCs w:val="16"/>
                <w:lang w:eastAsia="es-CO"/>
                <w14:ligatures w14:val="none"/>
              </w:rPr>
            </w:pPr>
            <w:r w:rsidRPr="006304F4">
              <w:rPr>
                <w:rFonts w:eastAsia="Times New Roman" w:cs="Times New Roman"/>
                <w:color w:val="000000" w:themeColor="text1"/>
                <w:kern w:val="0"/>
                <w:sz w:val="16"/>
                <w:szCs w:val="16"/>
                <w:lang w:eastAsia="es-CO"/>
                <w14:ligatures w14:val="none"/>
              </w:rPr>
              <w:t>2.692.790</w:t>
            </w:r>
          </w:p>
        </w:tc>
        <w:tc>
          <w:tcPr>
            <w:tcW w:w="1134" w:type="dxa"/>
            <w:vAlign w:val="center"/>
            <w:hideMark/>
          </w:tcPr>
          <w:p w14:paraId="6100BC51" w14:textId="77777777" w:rsidR="005E64D9" w:rsidRPr="006304F4" w:rsidRDefault="005E64D9" w:rsidP="000A5389">
            <w:pPr>
              <w:spacing w:line="240" w:lineRule="auto"/>
              <w:jc w:val="right"/>
              <w:rPr>
                <w:rFonts w:eastAsia="Times New Roman" w:cs="Times New Roman"/>
                <w:color w:val="000000"/>
                <w:kern w:val="0"/>
                <w:sz w:val="16"/>
                <w:szCs w:val="16"/>
                <w:lang w:eastAsia="es-CO"/>
                <w14:ligatures w14:val="none"/>
              </w:rPr>
            </w:pPr>
            <w:r w:rsidRPr="006304F4">
              <w:rPr>
                <w:rFonts w:eastAsia="Times New Roman" w:cs="Times New Roman"/>
                <w:color w:val="000000" w:themeColor="text1"/>
                <w:kern w:val="0"/>
                <w:sz w:val="16"/>
                <w:szCs w:val="16"/>
                <w:lang w:eastAsia="es-CO"/>
                <w14:ligatures w14:val="none"/>
              </w:rPr>
              <w:t>2.692.790</w:t>
            </w:r>
          </w:p>
        </w:tc>
      </w:tr>
      <w:tr w:rsidR="005E64D9" w:rsidRPr="006304F4" w14:paraId="6B867B4F" w14:textId="77777777" w:rsidTr="005D16A2">
        <w:trPr>
          <w:trHeight w:val="405"/>
        </w:trPr>
        <w:tc>
          <w:tcPr>
            <w:tcW w:w="5378" w:type="dxa"/>
            <w:gridSpan w:val="4"/>
            <w:vAlign w:val="center"/>
            <w:hideMark/>
          </w:tcPr>
          <w:p w14:paraId="252ED84D" w14:textId="77777777" w:rsidR="005E64D9" w:rsidRPr="006304F4" w:rsidRDefault="005E64D9" w:rsidP="000A5389">
            <w:pPr>
              <w:spacing w:line="240" w:lineRule="auto"/>
              <w:jc w:val="center"/>
              <w:rPr>
                <w:rFonts w:eastAsia="Times New Roman" w:cs="Times New Roman"/>
                <w:b/>
                <w:bCs/>
                <w:color w:val="000000"/>
                <w:kern w:val="0"/>
                <w:sz w:val="16"/>
                <w:szCs w:val="16"/>
                <w:lang w:eastAsia="es-CO"/>
                <w14:ligatures w14:val="none"/>
              </w:rPr>
            </w:pPr>
            <w:r w:rsidRPr="006304F4">
              <w:rPr>
                <w:rFonts w:eastAsia="Times New Roman" w:cs="Times New Roman"/>
                <w:b/>
                <w:bCs/>
                <w:color w:val="000000"/>
                <w:kern w:val="0"/>
                <w:sz w:val="16"/>
                <w:szCs w:val="16"/>
                <w:lang w:eastAsia="es-CO"/>
                <w14:ligatures w14:val="none"/>
              </w:rPr>
              <w:t>TOTALES</w:t>
            </w:r>
          </w:p>
        </w:tc>
        <w:tc>
          <w:tcPr>
            <w:tcW w:w="1216" w:type="dxa"/>
            <w:vAlign w:val="center"/>
            <w:hideMark/>
          </w:tcPr>
          <w:p w14:paraId="112CD79E" w14:textId="77777777" w:rsidR="005E64D9" w:rsidRPr="006304F4" w:rsidRDefault="005E64D9" w:rsidP="000A5389">
            <w:pPr>
              <w:spacing w:line="240" w:lineRule="auto"/>
              <w:jc w:val="right"/>
              <w:rPr>
                <w:rFonts w:eastAsia="Times New Roman" w:cs="Times New Roman"/>
                <w:b/>
                <w:bCs/>
                <w:color w:val="000000"/>
                <w:kern w:val="0"/>
                <w:sz w:val="16"/>
                <w:szCs w:val="16"/>
                <w:lang w:eastAsia="es-CO"/>
                <w14:ligatures w14:val="none"/>
              </w:rPr>
            </w:pPr>
            <w:r w:rsidRPr="006304F4">
              <w:rPr>
                <w:rFonts w:eastAsia="Times New Roman" w:cs="Times New Roman"/>
                <w:b/>
                <w:bCs/>
                <w:color w:val="000000"/>
                <w:kern w:val="0"/>
                <w:sz w:val="16"/>
                <w:szCs w:val="16"/>
                <w:lang w:eastAsia="es-CO"/>
                <w14:ligatures w14:val="none"/>
              </w:rPr>
              <w:t>33.494.313</w:t>
            </w:r>
          </w:p>
        </w:tc>
        <w:tc>
          <w:tcPr>
            <w:tcW w:w="1056" w:type="dxa"/>
            <w:vAlign w:val="center"/>
            <w:hideMark/>
          </w:tcPr>
          <w:p w14:paraId="0058937B" w14:textId="77777777" w:rsidR="005E64D9" w:rsidRPr="006304F4" w:rsidRDefault="005E64D9" w:rsidP="000A5389">
            <w:pPr>
              <w:spacing w:line="240" w:lineRule="auto"/>
              <w:jc w:val="right"/>
              <w:rPr>
                <w:rFonts w:eastAsia="Times New Roman" w:cs="Times New Roman"/>
                <w:b/>
                <w:bCs/>
                <w:color w:val="000000"/>
                <w:kern w:val="0"/>
                <w:sz w:val="16"/>
                <w:szCs w:val="16"/>
                <w:lang w:eastAsia="es-CO"/>
                <w14:ligatures w14:val="none"/>
              </w:rPr>
            </w:pPr>
            <w:r w:rsidRPr="006304F4">
              <w:rPr>
                <w:rFonts w:eastAsia="Times New Roman" w:cs="Times New Roman"/>
                <w:b/>
                <w:bCs/>
                <w:color w:val="000000"/>
                <w:kern w:val="0"/>
                <w:sz w:val="16"/>
                <w:szCs w:val="16"/>
                <w:lang w:eastAsia="es-CO"/>
                <w14:ligatures w14:val="none"/>
              </w:rPr>
              <w:t>33.494.313</w:t>
            </w:r>
          </w:p>
        </w:tc>
        <w:tc>
          <w:tcPr>
            <w:tcW w:w="1134" w:type="dxa"/>
            <w:vAlign w:val="center"/>
            <w:hideMark/>
          </w:tcPr>
          <w:p w14:paraId="611E894F" w14:textId="77777777" w:rsidR="005E64D9" w:rsidRPr="006304F4" w:rsidRDefault="005E64D9" w:rsidP="000A5389">
            <w:pPr>
              <w:spacing w:line="240" w:lineRule="auto"/>
              <w:jc w:val="right"/>
              <w:rPr>
                <w:rFonts w:eastAsia="Times New Roman" w:cs="Times New Roman"/>
                <w:b/>
                <w:bCs/>
                <w:color w:val="000000"/>
                <w:kern w:val="0"/>
                <w:sz w:val="16"/>
                <w:szCs w:val="16"/>
                <w:lang w:eastAsia="es-CO"/>
                <w14:ligatures w14:val="none"/>
              </w:rPr>
            </w:pPr>
            <w:r w:rsidRPr="006304F4">
              <w:rPr>
                <w:rFonts w:eastAsia="Times New Roman" w:cs="Times New Roman"/>
                <w:b/>
                <w:bCs/>
                <w:color w:val="000000"/>
                <w:kern w:val="0"/>
                <w:sz w:val="16"/>
                <w:szCs w:val="16"/>
                <w:lang w:eastAsia="es-CO"/>
                <w14:ligatures w14:val="none"/>
              </w:rPr>
              <w:t>13.538.771</w:t>
            </w:r>
          </w:p>
        </w:tc>
      </w:tr>
    </w:tbl>
    <w:p w14:paraId="65DB0D0B" w14:textId="77777777" w:rsidR="00014990" w:rsidRPr="00951AB1" w:rsidRDefault="756F7170" w:rsidP="000A5389">
      <w:pPr>
        <w:spacing w:line="240" w:lineRule="auto"/>
        <w:rPr>
          <w:rFonts w:eastAsia="Times New Roman" w:cs="Times New Roman"/>
          <w:color w:val="000000" w:themeColor="text1"/>
          <w:sz w:val="14"/>
          <w:szCs w:val="14"/>
          <w:lang w:eastAsia="es-CO"/>
        </w:rPr>
      </w:pPr>
      <w:r w:rsidRPr="00951AB1">
        <w:rPr>
          <w:rFonts w:eastAsia="Times New Roman" w:cs="Times New Roman"/>
          <w:color w:val="000000" w:themeColor="text1"/>
          <w:sz w:val="14"/>
          <w:szCs w:val="14"/>
          <w:lang w:eastAsia="es-CO"/>
        </w:rPr>
        <w:t>Cifras expresadas en pesos</w:t>
      </w:r>
    </w:p>
    <w:p w14:paraId="7D485FBC" w14:textId="77777777" w:rsidR="00014990" w:rsidRPr="00951AB1" w:rsidRDefault="00014990" w:rsidP="000A5389">
      <w:pPr>
        <w:spacing w:line="240" w:lineRule="auto"/>
        <w:rPr>
          <w:rFonts w:eastAsia="Times New Roman" w:cs="Times New Roman"/>
          <w:color w:val="000000" w:themeColor="text1"/>
          <w:sz w:val="14"/>
          <w:szCs w:val="14"/>
          <w:lang w:eastAsia="es-CO"/>
        </w:rPr>
      </w:pPr>
    </w:p>
    <w:p w14:paraId="2135653C" w14:textId="1F9048DF" w:rsidR="005E64D9" w:rsidRPr="00951AB1" w:rsidRDefault="005E64D9" w:rsidP="000A5389">
      <w:pPr>
        <w:spacing w:line="240" w:lineRule="auto"/>
        <w:rPr>
          <w:rStyle w:val="xcontentpasted0"/>
          <w:rFonts w:eastAsia="Times New Roman" w:cs="Times New Roman"/>
          <w:color w:val="000000" w:themeColor="text1"/>
          <w:szCs w:val="24"/>
          <w:lang w:eastAsia="es-CO"/>
        </w:rPr>
      </w:pPr>
      <w:r w:rsidRPr="00951AB1">
        <w:rPr>
          <w:rStyle w:val="xcontentpasted0"/>
          <w:rFonts w:cs="Times New Roman"/>
          <w:color w:val="000000"/>
          <w:szCs w:val="24"/>
          <w:u w:val="single"/>
          <w:bdr w:val="none" w:sz="0" w:space="0" w:color="auto" w:frame="1"/>
        </w:rPr>
        <w:lastRenderedPageBreak/>
        <w:t>Adriana Eunice González Marín:</w:t>
      </w:r>
      <w:r w:rsidRPr="00951AB1">
        <w:rPr>
          <w:rStyle w:val="xcontentpasted0"/>
          <w:rFonts w:cs="Times New Roman"/>
          <w:color w:val="000000"/>
          <w:szCs w:val="24"/>
          <w:bdr w:val="none" w:sz="0" w:space="0" w:color="auto" w:frame="1"/>
        </w:rPr>
        <w:t xml:space="preserve"> En gestión de cobro, pendiente pago saldo por parte de la EPS. Se envía oficio con radicado No. 20244030382881 del 23 de octubre de 2024 con solicitud de reliquidación IBC y días de incapacidad. Derecho de petición No. 20244030438921 del 03 de diciembre de 2024 solicitando reliquidación Licencia de maternidad aborto, por diferencia en IBC (Ingreso Base de Cotización) y días de incapacidad. Correo asesora Nueva EPS 24/10/2025, solicitando revalidación y reliquidación de la Licencia por IBC.</w:t>
      </w:r>
    </w:p>
    <w:p w14:paraId="1879790E" w14:textId="38E208D1" w:rsidR="005E64D9" w:rsidRPr="00951AB1" w:rsidRDefault="005E64D9" w:rsidP="000A5389">
      <w:pPr>
        <w:pStyle w:val="xmsonormal"/>
        <w:shd w:val="clear" w:color="auto" w:fill="FFFFFF"/>
        <w:spacing w:line="240" w:lineRule="auto"/>
        <w:rPr>
          <w:rStyle w:val="xcontentpasted0"/>
          <w:color w:val="000000"/>
          <w:bdr w:val="none" w:sz="0" w:space="0" w:color="auto" w:frame="1"/>
        </w:rPr>
      </w:pPr>
      <w:r w:rsidRPr="00951AB1">
        <w:rPr>
          <w:rStyle w:val="xcontentpasted0"/>
          <w:color w:val="000000"/>
          <w:u w:val="single"/>
          <w:bdr w:val="none" w:sz="0" w:space="0" w:color="auto" w:frame="1"/>
        </w:rPr>
        <w:t>John Ángel González Diaz:</w:t>
      </w:r>
      <w:r w:rsidRPr="00951AB1">
        <w:rPr>
          <w:rStyle w:val="xcontentpasted0"/>
          <w:color w:val="000000"/>
          <w:bdr w:val="none" w:sz="0" w:space="0" w:color="auto" w:frame="1"/>
        </w:rPr>
        <w:t xml:space="preserve"> En gestión de cobro dentro del plazo establecido con radicados No. 7002909618 del 11 de octubre de 2025, No. 900810402 del 08 de noviembre de 2025 y No. 7003015641 del 04 de diciembre de 2025, la EPS ha ido pagando gradualmente las incapacidades del servidor.</w:t>
      </w:r>
    </w:p>
    <w:p w14:paraId="0725C1CA" w14:textId="77777777" w:rsidR="005E64D9" w:rsidRPr="00951AB1" w:rsidRDefault="005E64D9" w:rsidP="000A5389">
      <w:pPr>
        <w:pStyle w:val="xmsonormal"/>
        <w:shd w:val="clear" w:color="auto" w:fill="FFFFFF"/>
        <w:spacing w:line="240" w:lineRule="auto"/>
        <w:rPr>
          <w:rStyle w:val="xcontentpasted0"/>
          <w:color w:val="000000"/>
          <w:bdr w:val="none" w:sz="0" w:space="0" w:color="auto" w:frame="1"/>
        </w:rPr>
      </w:pPr>
      <w:r w:rsidRPr="00951AB1">
        <w:rPr>
          <w:rStyle w:val="xcontentpasted0"/>
          <w:b/>
          <w:bCs/>
          <w:color w:val="000000"/>
          <w:bdr w:val="none" w:sz="0" w:space="0" w:color="auto" w:frame="1"/>
        </w:rPr>
        <w:t>Aliansalud Entidad Promotora de Salud S.A</w:t>
      </w:r>
      <w:r w:rsidRPr="00951AB1">
        <w:rPr>
          <w:rStyle w:val="xcontentpasted0"/>
          <w:color w:val="000000"/>
          <w:bdr w:val="none" w:sz="0" w:space="0" w:color="auto" w:frame="1"/>
        </w:rPr>
        <w:t>., se integra por la siguiente incapacidad:</w:t>
      </w:r>
    </w:p>
    <w:tbl>
      <w:tblPr>
        <w:tblW w:w="5000" w:type="pct"/>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CellMar>
          <w:left w:w="70" w:type="dxa"/>
          <w:right w:w="70" w:type="dxa"/>
        </w:tblCellMar>
        <w:tblLook w:val="04A0" w:firstRow="1" w:lastRow="0" w:firstColumn="1" w:lastColumn="0" w:noHBand="0" w:noVBand="1"/>
      </w:tblPr>
      <w:tblGrid>
        <w:gridCol w:w="1300"/>
        <w:gridCol w:w="1451"/>
        <w:gridCol w:w="1351"/>
        <w:gridCol w:w="1351"/>
        <w:gridCol w:w="1351"/>
        <w:gridCol w:w="1074"/>
        <w:gridCol w:w="950"/>
      </w:tblGrid>
      <w:tr w:rsidR="005E64D9" w:rsidRPr="00B547EE" w14:paraId="4C41B161" w14:textId="77777777" w:rsidTr="005D16A2">
        <w:trPr>
          <w:trHeight w:val="405"/>
        </w:trPr>
        <w:tc>
          <w:tcPr>
            <w:tcW w:w="671" w:type="pct"/>
            <w:vAlign w:val="center"/>
            <w:hideMark/>
          </w:tcPr>
          <w:p w14:paraId="4E882299" w14:textId="77777777" w:rsidR="005E64D9" w:rsidRPr="00B547EE" w:rsidRDefault="005E64D9" w:rsidP="000A5389">
            <w:pPr>
              <w:spacing w:line="240" w:lineRule="auto"/>
              <w:jc w:val="center"/>
              <w:rPr>
                <w:rFonts w:eastAsia="Times New Roman" w:cs="Times New Roman"/>
                <w:b/>
                <w:bCs/>
                <w:color w:val="000000"/>
                <w:kern w:val="0"/>
                <w:sz w:val="18"/>
                <w:szCs w:val="18"/>
                <w:lang w:eastAsia="es-CO"/>
                <w14:ligatures w14:val="none"/>
              </w:rPr>
            </w:pPr>
            <w:r w:rsidRPr="00B547EE">
              <w:rPr>
                <w:rFonts w:eastAsia="Times New Roman" w:cs="Times New Roman"/>
                <w:b/>
                <w:bCs/>
                <w:color w:val="000000" w:themeColor="text1"/>
                <w:kern w:val="0"/>
                <w:sz w:val="18"/>
                <w:szCs w:val="18"/>
                <w:lang w:eastAsia="es-CO"/>
                <w14:ligatures w14:val="none"/>
              </w:rPr>
              <w:t>EPS</w:t>
            </w:r>
          </w:p>
        </w:tc>
        <w:tc>
          <w:tcPr>
            <w:tcW w:w="731" w:type="pct"/>
            <w:vAlign w:val="center"/>
            <w:hideMark/>
          </w:tcPr>
          <w:p w14:paraId="57A4149B" w14:textId="77777777" w:rsidR="005E64D9" w:rsidRPr="00B547EE" w:rsidRDefault="005E64D9" w:rsidP="000A5389">
            <w:pPr>
              <w:spacing w:line="240" w:lineRule="auto"/>
              <w:jc w:val="center"/>
              <w:rPr>
                <w:rFonts w:eastAsia="Times New Roman" w:cs="Times New Roman"/>
                <w:b/>
                <w:bCs/>
                <w:color w:val="000000"/>
                <w:kern w:val="0"/>
                <w:sz w:val="18"/>
                <w:szCs w:val="18"/>
                <w:lang w:eastAsia="es-CO"/>
                <w14:ligatures w14:val="none"/>
              </w:rPr>
            </w:pPr>
            <w:r w:rsidRPr="00B547EE">
              <w:rPr>
                <w:rFonts w:eastAsia="Times New Roman" w:cs="Times New Roman"/>
                <w:b/>
                <w:bCs/>
                <w:color w:val="000000" w:themeColor="text1"/>
                <w:kern w:val="0"/>
                <w:sz w:val="18"/>
                <w:szCs w:val="18"/>
                <w:lang w:eastAsia="es-CO"/>
                <w14:ligatures w14:val="none"/>
              </w:rPr>
              <w:t>FUNCIONARIO</w:t>
            </w:r>
          </w:p>
        </w:tc>
        <w:tc>
          <w:tcPr>
            <w:tcW w:w="739" w:type="pct"/>
            <w:vAlign w:val="center"/>
            <w:hideMark/>
          </w:tcPr>
          <w:p w14:paraId="4CB77405" w14:textId="77777777" w:rsidR="005E64D9" w:rsidRPr="00B547EE" w:rsidRDefault="005E64D9" w:rsidP="000A5389">
            <w:pPr>
              <w:spacing w:line="240" w:lineRule="auto"/>
              <w:jc w:val="center"/>
              <w:rPr>
                <w:rFonts w:eastAsia="Times New Roman" w:cs="Times New Roman"/>
                <w:b/>
                <w:bCs/>
                <w:color w:val="000000"/>
                <w:kern w:val="0"/>
                <w:sz w:val="18"/>
                <w:szCs w:val="18"/>
                <w:lang w:eastAsia="es-CO"/>
                <w14:ligatures w14:val="none"/>
              </w:rPr>
            </w:pPr>
            <w:r w:rsidRPr="00B547EE">
              <w:rPr>
                <w:rFonts w:eastAsia="Times New Roman" w:cs="Times New Roman"/>
                <w:b/>
                <w:bCs/>
                <w:color w:val="000000" w:themeColor="text1"/>
                <w:kern w:val="0"/>
                <w:sz w:val="18"/>
                <w:szCs w:val="18"/>
                <w:lang w:eastAsia="es-CO"/>
                <w14:ligatures w14:val="none"/>
              </w:rPr>
              <w:t>No RESOLUCION</w:t>
            </w:r>
          </w:p>
        </w:tc>
        <w:tc>
          <w:tcPr>
            <w:tcW w:w="714" w:type="pct"/>
            <w:vAlign w:val="center"/>
            <w:hideMark/>
          </w:tcPr>
          <w:p w14:paraId="34EACB5E" w14:textId="77777777" w:rsidR="005E64D9" w:rsidRPr="00B547EE" w:rsidRDefault="005E64D9" w:rsidP="000A5389">
            <w:pPr>
              <w:spacing w:line="240" w:lineRule="auto"/>
              <w:jc w:val="center"/>
              <w:rPr>
                <w:rFonts w:eastAsia="Times New Roman" w:cs="Times New Roman"/>
                <w:b/>
                <w:bCs/>
                <w:color w:val="000000"/>
                <w:kern w:val="0"/>
                <w:sz w:val="18"/>
                <w:szCs w:val="18"/>
                <w:lang w:eastAsia="es-CO"/>
                <w14:ligatures w14:val="none"/>
              </w:rPr>
            </w:pPr>
            <w:r w:rsidRPr="00B547EE">
              <w:rPr>
                <w:rFonts w:eastAsia="Times New Roman" w:cs="Times New Roman"/>
                <w:b/>
                <w:bCs/>
                <w:color w:val="000000" w:themeColor="text1"/>
                <w:kern w:val="0"/>
                <w:sz w:val="18"/>
                <w:szCs w:val="18"/>
                <w:lang w:eastAsia="es-CO"/>
                <w14:ligatures w14:val="none"/>
              </w:rPr>
              <w:t>FECHA RESOLUCION</w:t>
            </w:r>
          </w:p>
        </w:tc>
        <w:tc>
          <w:tcPr>
            <w:tcW w:w="715" w:type="pct"/>
            <w:vAlign w:val="center"/>
            <w:hideMark/>
          </w:tcPr>
          <w:p w14:paraId="2E88B00A" w14:textId="77777777" w:rsidR="005E64D9" w:rsidRPr="00B547EE" w:rsidRDefault="005E64D9" w:rsidP="000A5389">
            <w:pPr>
              <w:spacing w:line="240" w:lineRule="auto"/>
              <w:rPr>
                <w:rFonts w:eastAsia="Times New Roman" w:cs="Times New Roman"/>
                <w:b/>
                <w:bCs/>
                <w:color w:val="000000"/>
                <w:kern w:val="0"/>
                <w:sz w:val="18"/>
                <w:szCs w:val="18"/>
                <w:lang w:eastAsia="es-CO"/>
                <w14:ligatures w14:val="none"/>
              </w:rPr>
            </w:pPr>
            <w:r w:rsidRPr="00B547EE">
              <w:rPr>
                <w:rFonts w:eastAsia="Times New Roman" w:cs="Times New Roman"/>
                <w:b/>
                <w:bCs/>
                <w:color w:val="000000" w:themeColor="text1"/>
                <w:kern w:val="0"/>
                <w:sz w:val="18"/>
                <w:szCs w:val="18"/>
                <w:lang w:eastAsia="es-CO"/>
                <w14:ligatures w14:val="none"/>
              </w:rPr>
              <w:t>VALOR RESOLUCION</w:t>
            </w:r>
          </w:p>
        </w:tc>
        <w:tc>
          <w:tcPr>
            <w:tcW w:w="794" w:type="pct"/>
            <w:vAlign w:val="center"/>
            <w:hideMark/>
          </w:tcPr>
          <w:p w14:paraId="4CD62FC5" w14:textId="77777777" w:rsidR="005E64D9" w:rsidRPr="00B547EE" w:rsidRDefault="005E64D9" w:rsidP="000A5389">
            <w:pPr>
              <w:spacing w:line="240" w:lineRule="auto"/>
              <w:jc w:val="center"/>
              <w:rPr>
                <w:rFonts w:eastAsia="Times New Roman" w:cs="Times New Roman"/>
                <w:b/>
                <w:bCs/>
                <w:color w:val="000000"/>
                <w:kern w:val="0"/>
                <w:sz w:val="18"/>
                <w:szCs w:val="18"/>
                <w:lang w:eastAsia="es-CO"/>
                <w14:ligatures w14:val="none"/>
              </w:rPr>
            </w:pPr>
            <w:r w:rsidRPr="00B547EE">
              <w:rPr>
                <w:rFonts w:eastAsia="Times New Roman" w:cs="Times New Roman"/>
                <w:b/>
                <w:bCs/>
                <w:color w:val="000000" w:themeColor="text1"/>
                <w:kern w:val="0"/>
                <w:sz w:val="18"/>
                <w:szCs w:val="18"/>
                <w:lang w:eastAsia="es-CO"/>
                <w14:ligatures w14:val="none"/>
              </w:rPr>
              <w:t>VALOR CAUSADO EN NOMINA</w:t>
            </w:r>
          </w:p>
        </w:tc>
        <w:tc>
          <w:tcPr>
            <w:tcW w:w="635" w:type="pct"/>
            <w:vAlign w:val="center"/>
            <w:hideMark/>
          </w:tcPr>
          <w:p w14:paraId="4FF384FD" w14:textId="77777777" w:rsidR="005E64D9" w:rsidRPr="00B547EE" w:rsidRDefault="005E64D9" w:rsidP="000A5389">
            <w:pPr>
              <w:spacing w:line="240" w:lineRule="auto"/>
              <w:jc w:val="center"/>
              <w:rPr>
                <w:rFonts w:eastAsia="Times New Roman" w:cs="Times New Roman"/>
                <w:b/>
                <w:bCs/>
                <w:color w:val="000000"/>
                <w:kern w:val="0"/>
                <w:sz w:val="18"/>
                <w:szCs w:val="18"/>
                <w:lang w:eastAsia="es-CO"/>
                <w14:ligatures w14:val="none"/>
              </w:rPr>
            </w:pPr>
            <w:r w:rsidRPr="00B547EE">
              <w:rPr>
                <w:rFonts w:eastAsia="Times New Roman" w:cs="Times New Roman"/>
                <w:b/>
                <w:bCs/>
                <w:color w:val="000000" w:themeColor="text1"/>
                <w:kern w:val="0"/>
                <w:sz w:val="18"/>
                <w:szCs w:val="18"/>
                <w:lang w:eastAsia="es-CO"/>
                <w14:ligatures w14:val="none"/>
              </w:rPr>
              <w:t>VALOR QUE ADEUDA LA EPS</w:t>
            </w:r>
          </w:p>
        </w:tc>
      </w:tr>
      <w:tr w:rsidR="005E64D9" w:rsidRPr="00B547EE" w14:paraId="447EB282" w14:textId="77777777" w:rsidTr="005D16A2">
        <w:trPr>
          <w:trHeight w:val="405"/>
        </w:trPr>
        <w:tc>
          <w:tcPr>
            <w:tcW w:w="671" w:type="pct"/>
            <w:vAlign w:val="center"/>
            <w:hideMark/>
          </w:tcPr>
          <w:p w14:paraId="0F3EBD6B" w14:textId="77777777" w:rsidR="005E64D9" w:rsidRPr="00B547EE" w:rsidRDefault="005E64D9" w:rsidP="000A5389">
            <w:pPr>
              <w:spacing w:line="240" w:lineRule="auto"/>
              <w:jc w:val="center"/>
              <w:rPr>
                <w:rFonts w:eastAsia="Times New Roman" w:cs="Times New Roman"/>
                <w:color w:val="000000"/>
                <w:kern w:val="0"/>
                <w:sz w:val="18"/>
                <w:szCs w:val="18"/>
                <w:lang w:eastAsia="es-CO"/>
                <w14:ligatures w14:val="none"/>
              </w:rPr>
            </w:pPr>
            <w:r w:rsidRPr="00B547EE">
              <w:rPr>
                <w:rFonts w:eastAsia="Times New Roman" w:cs="Times New Roman"/>
                <w:color w:val="000000" w:themeColor="text1"/>
                <w:kern w:val="0"/>
                <w:sz w:val="18"/>
                <w:szCs w:val="18"/>
                <w:lang w:eastAsia="es-CO"/>
                <w14:ligatures w14:val="none"/>
              </w:rPr>
              <w:t>ALIANSALUD</w:t>
            </w:r>
          </w:p>
        </w:tc>
        <w:tc>
          <w:tcPr>
            <w:tcW w:w="731" w:type="pct"/>
            <w:vAlign w:val="center"/>
            <w:hideMark/>
          </w:tcPr>
          <w:p w14:paraId="74F569EA" w14:textId="47E9AAF6" w:rsidR="005E64D9" w:rsidRPr="00B547EE" w:rsidRDefault="005E64D9" w:rsidP="000A5389">
            <w:pPr>
              <w:spacing w:line="240" w:lineRule="auto"/>
              <w:rPr>
                <w:rFonts w:eastAsia="Times New Roman" w:cs="Times New Roman"/>
                <w:color w:val="000000"/>
                <w:kern w:val="0"/>
                <w:sz w:val="18"/>
                <w:szCs w:val="18"/>
                <w:lang w:eastAsia="es-CO"/>
                <w14:ligatures w14:val="none"/>
              </w:rPr>
            </w:pPr>
            <w:r w:rsidRPr="00B547EE">
              <w:rPr>
                <w:rFonts w:eastAsia="Times New Roman" w:cs="Times New Roman"/>
                <w:color w:val="000000"/>
                <w:kern w:val="0"/>
                <w:sz w:val="18"/>
                <w:szCs w:val="18"/>
                <w:lang w:eastAsia="es-CO"/>
                <w14:ligatures w14:val="none"/>
              </w:rPr>
              <w:t xml:space="preserve">Cesar Augusto García Montoya </w:t>
            </w:r>
          </w:p>
        </w:tc>
        <w:tc>
          <w:tcPr>
            <w:tcW w:w="739" w:type="pct"/>
            <w:vAlign w:val="center"/>
            <w:hideMark/>
          </w:tcPr>
          <w:p w14:paraId="05ED311E" w14:textId="77777777" w:rsidR="005E64D9" w:rsidRPr="00B547EE" w:rsidRDefault="005E64D9" w:rsidP="000A5389">
            <w:pPr>
              <w:spacing w:line="240" w:lineRule="auto"/>
              <w:jc w:val="center"/>
              <w:rPr>
                <w:rFonts w:eastAsia="Times New Roman" w:cs="Times New Roman"/>
                <w:color w:val="000000"/>
                <w:kern w:val="0"/>
                <w:sz w:val="18"/>
                <w:szCs w:val="18"/>
                <w:lang w:eastAsia="es-CO"/>
                <w14:ligatures w14:val="none"/>
              </w:rPr>
            </w:pPr>
            <w:r w:rsidRPr="00B547EE">
              <w:rPr>
                <w:rFonts w:eastAsia="Times New Roman" w:cs="Times New Roman"/>
                <w:color w:val="000000" w:themeColor="text1"/>
                <w:kern w:val="0"/>
                <w:sz w:val="18"/>
                <w:szCs w:val="18"/>
                <w:lang w:eastAsia="es-CO"/>
                <w14:ligatures w14:val="none"/>
              </w:rPr>
              <w:t>927</w:t>
            </w:r>
          </w:p>
        </w:tc>
        <w:tc>
          <w:tcPr>
            <w:tcW w:w="714" w:type="pct"/>
            <w:vAlign w:val="center"/>
            <w:hideMark/>
          </w:tcPr>
          <w:p w14:paraId="77821028" w14:textId="77777777" w:rsidR="005E64D9" w:rsidRPr="00B547EE" w:rsidRDefault="005E64D9" w:rsidP="000A5389">
            <w:pPr>
              <w:spacing w:line="240" w:lineRule="auto"/>
              <w:jc w:val="center"/>
              <w:rPr>
                <w:rFonts w:eastAsia="Times New Roman" w:cs="Times New Roman"/>
                <w:color w:val="000000"/>
                <w:kern w:val="0"/>
                <w:sz w:val="18"/>
                <w:szCs w:val="18"/>
                <w:lang w:eastAsia="es-CO"/>
                <w14:ligatures w14:val="none"/>
              </w:rPr>
            </w:pPr>
            <w:r w:rsidRPr="00B547EE">
              <w:rPr>
                <w:rFonts w:eastAsia="Times New Roman" w:cs="Times New Roman"/>
                <w:color w:val="000000" w:themeColor="text1"/>
                <w:kern w:val="0"/>
                <w:sz w:val="18"/>
                <w:szCs w:val="18"/>
                <w:lang w:eastAsia="es-CO"/>
                <w14:ligatures w14:val="none"/>
              </w:rPr>
              <w:t>2018</w:t>
            </w:r>
          </w:p>
        </w:tc>
        <w:tc>
          <w:tcPr>
            <w:tcW w:w="715" w:type="pct"/>
            <w:vAlign w:val="center"/>
            <w:hideMark/>
          </w:tcPr>
          <w:p w14:paraId="53B2BA94" w14:textId="77777777" w:rsidR="005E64D9" w:rsidRPr="00B547EE" w:rsidRDefault="005E64D9" w:rsidP="000A5389">
            <w:pPr>
              <w:spacing w:line="240" w:lineRule="auto"/>
              <w:jc w:val="right"/>
              <w:rPr>
                <w:rFonts w:eastAsia="Times New Roman" w:cs="Times New Roman"/>
                <w:color w:val="000000"/>
                <w:kern w:val="0"/>
                <w:sz w:val="18"/>
                <w:szCs w:val="18"/>
                <w:lang w:eastAsia="es-CO"/>
                <w14:ligatures w14:val="none"/>
              </w:rPr>
            </w:pPr>
            <w:r w:rsidRPr="00B547EE">
              <w:rPr>
                <w:rFonts w:eastAsia="Times New Roman" w:cs="Times New Roman"/>
                <w:color w:val="000000" w:themeColor="text1"/>
                <w:kern w:val="0"/>
                <w:sz w:val="18"/>
                <w:szCs w:val="18"/>
                <w:lang w:eastAsia="es-CO"/>
                <w14:ligatures w14:val="none"/>
              </w:rPr>
              <w:t>10.700.659</w:t>
            </w:r>
          </w:p>
        </w:tc>
        <w:tc>
          <w:tcPr>
            <w:tcW w:w="794" w:type="pct"/>
            <w:vAlign w:val="center"/>
            <w:hideMark/>
          </w:tcPr>
          <w:p w14:paraId="0AAC96E9" w14:textId="77777777" w:rsidR="005E64D9" w:rsidRPr="00B547EE" w:rsidRDefault="005E64D9" w:rsidP="000A5389">
            <w:pPr>
              <w:spacing w:line="240" w:lineRule="auto"/>
              <w:jc w:val="right"/>
              <w:rPr>
                <w:rFonts w:eastAsia="Times New Roman" w:cs="Times New Roman"/>
                <w:color w:val="000000"/>
                <w:kern w:val="0"/>
                <w:sz w:val="18"/>
                <w:szCs w:val="18"/>
                <w:lang w:eastAsia="es-CO"/>
                <w14:ligatures w14:val="none"/>
              </w:rPr>
            </w:pPr>
            <w:r w:rsidRPr="00B547EE">
              <w:rPr>
                <w:rFonts w:eastAsia="Times New Roman" w:cs="Times New Roman"/>
                <w:color w:val="000000" w:themeColor="text1"/>
                <w:kern w:val="0"/>
                <w:sz w:val="18"/>
                <w:szCs w:val="18"/>
                <w:lang w:eastAsia="es-CO"/>
                <w14:ligatures w14:val="none"/>
              </w:rPr>
              <w:t>10.700.659</w:t>
            </w:r>
          </w:p>
        </w:tc>
        <w:tc>
          <w:tcPr>
            <w:tcW w:w="635" w:type="pct"/>
            <w:vAlign w:val="center"/>
            <w:hideMark/>
          </w:tcPr>
          <w:p w14:paraId="1A2625A4" w14:textId="77777777" w:rsidR="005E64D9" w:rsidRPr="00B547EE" w:rsidRDefault="005E64D9" w:rsidP="000A5389">
            <w:pPr>
              <w:spacing w:line="240" w:lineRule="auto"/>
              <w:jc w:val="right"/>
              <w:rPr>
                <w:rFonts w:eastAsia="Times New Roman" w:cs="Times New Roman"/>
                <w:color w:val="000000"/>
                <w:kern w:val="0"/>
                <w:sz w:val="18"/>
                <w:szCs w:val="18"/>
                <w:lang w:eastAsia="es-CO"/>
                <w14:ligatures w14:val="none"/>
              </w:rPr>
            </w:pPr>
            <w:r w:rsidRPr="00B547EE">
              <w:rPr>
                <w:rFonts w:eastAsia="Times New Roman" w:cs="Times New Roman"/>
                <w:color w:val="000000" w:themeColor="text1"/>
                <w:kern w:val="0"/>
                <w:sz w:val="18"/>
                <w:szCs w:val="18"/>
                <w:lang w:eastAsia="es-CO"/>
                <w14:ligatures w14:val="none"/>
              </w:rPr>
              <w:t>10.700.659</w:t>
            </w:r>
          </w:p>
        </w:tc>
      </w:tr>
    </w:tbl>
    <w:p w14:paraId="7D0A52FC" w14:textId="77777777" w:rsidR="139AD6EF" w:rsidRPr="00951AB1" w:rsidRDefault="139AD6EF" w:rsidP="000A5389">
      <w:pPr>
        <w:spacing w:line="240" w:lineRule="auto"/>
        <w:rPr>
          <w:rFonts w:eastAsia="Times New Roman" w:cs="Times New Roman"/>
          <w:color w:val="000000" w:themeColor="text1"/>
          <w:sz w:val="14"/>
          <w:szCs w:val="14"/>
          <w:lang w:eastAsia="es-CO"/>
        </w:rPr>
      </w:pPr>
      <w:r w:rsidRPr="00951AB1">
        <w:rPr>
          <w:rFonts w:eastAsia="Times New Roman" w:cs="Times New Roman"/>
          <w:color w:val="000000" w:themeColor="text1"/>
          <w:sz w:val="14"/>
          <w:szCs w:val="14"/>
          <w:lang w:eastAsia="es-CO"/>
        </w:rPr>
        <w:t>Cifras expresadas en pesos</w:t>
      </w:r>
    </w:p>
    <w:p w14:paraId="4A843A90" w14:textId="43968493" w:rsidR="005E64D9" w:rsidRPr="00951AB1" w:rsidRDefault="005E64D9" w:rsidP="000A5389">
      <w:pPr>
        <w:shd w:val="clear" w:color="auto" w:fill="FFFFFF" w:themeFill="background1"/>
        <w:spacing w:line="240" w:lineRule="auto"/>
        <w:rPr>
          <w:rFonts w:eastAsia="Times New Roman" w:cs="Times New Roman"/>
          <w:szCs w:val="24"/>
        </w:rPr>
      </w:pPr>
    </w:p>
    <w:p w14:paraId="634CC9F5" w14:textId="77777777" w:rsidR="005E64D9" w:rsidRPr="00951AB1" w:rsidRDefault="005E64D9" w:rsidP="000A5389">
      <w:pPr>
        <w:shd w:val="clear" w:color="auto" w:fill="FFFFFF"/>
        <w:spacing w:line="240" w:lineRule="auto"/>
        <w:textAlignment w:val="baseline"/>
        <w:rPr>
          <w:rFonts w:eastAsia="Times New Roman" w:cs="Times New Roman"/>
          <w:bdr w:val="none" w:sz="0" w:space="0" w:color="auto" w:frame="1"/>
        </w:rPr>
      </w:pPr>
      <w:r w:rsidRPr="00951AB1">
        <w:rPr>
          <w:rFonts w:eastAsia="Times New Roman" w:cs="Times New Roman"/>
          <w:bdr w:val="none" w:sz="0" w:space="0" w:color="auto" w:frame="1"/>
        </w:rPr>
        <w:t>Situación Jurídica: Despacho Juzgado 25 Laboral del Circuito de Bogotá. Proceso No. 11001310502520220002500. Actuaciones:1/2/2022 radicación de proceso// 22/07/2022 auto inadmite demanda concede cinco (5) días para subsanar// 01/08/2022 subsanación de la demanda enviada por correo electrónico// 13/02/2023 auto del 10-02/2023 admite demanda y ordena notificar a la parte demandada// 18/04/2023 ANI envía notificación de demanda a Aliansalud EPS vía correo electrónico// 04/05/2023 Aliansalud EPS contesta demanda vía correo electrónico// 23/01/2024 auto tiene por contestada la demanda por Aliansalud EPS y fija fecha para audiencia el día 30 de mayo de 2024 a las 10:30 a.m.// 03/05/2024 auto ordena remitir el proceso al juzgado 48 laboral del circuito de Bogotá// 19/06/2024 oficio elaborado se remite proceso al juzgado 48 laboral del circuito de Bogotá// 01/08/2024 auto avoca conocimiento del proceso y fija fecha para audiencia de que tratan los arts. 77 y 80 para el día 15 de agosto de 2024, envían el link de la audiencia en el auto// 15/08/2024 se realiza audiencia inicial, y se programa audiencia para lectura de fallo para el 13 de septiembre de 2024 a las 10:30 a.m.//13/09/2024 se dicta sentencia condenatoria para ANI, se interpone recurso de apelación en efecto suspensivo// 16/09/2024 se remite al tribunal superior sala laboral// 17/09/2024 reparto del proceso a Karen Lucia Castro Ortega// 20/09/2024 al despacho por reparto// 07/10/2024 auto admite recurso de apelación corre traslado para alegar por el termino de cinco (5) días para presentar alegatos de conclusión iniciando con la parte apelante.</w:t>
      </w:r>
    </w:p>
    <w:p w14:paraId="13EC94DF" w14:textId="77777777" w:rsidR="005E64D9" w:rsidRPr="00951AB1" w:rsidRDefault="005E64D9" w:rsidP="000A5389">
      <w:pPr>
        <w:shd w:val="clear" w:color="auto" w:fill="FFFFFF"/>
        <w:spacing w:line="240" w:lineRule="auto"/>
        <w:textAlignment w:val="baseline"/>
        <w:rPr>
          <w:rFonts w:eastAsia="Times New Roman" w:cs="Times New Roman"/>
          <w:bdr w:val="none" w:sz="0" w:space="0" w:color="auto" w:frame="1"/>
        </w:rPr>
      </w:pPr>
      <w:r w:rsidRPr="00951AB1">
        <w:rPr>
          <w:rFonts w:eastAsia="Times New Roman" w:cs="Times New Roman"/>
          <w:bdr w:val="none" w:sz="0" w:space="0" w:color="auto" w:frame="1"/>
        </w:rPr>
        <w:t xml:space="preserve"> </w:t>
      </w:r>
    </w:p>
    <w:p w14:paraId="7617F2D2" w14:textId="77777777" w:rsidR="005E64D9" w:rsidRPr="00951AB1" w:rsidRDefault="005E64D9" w:rsidP="000A5389">
      <w:pPr>
        <w:shd w:val="clear" w:color="auto" w:fill="FFFFFF"/>
        <w:spacing w:line="240" w:lineRule="auto"/>
        <w:textAlignment w:val="baseline"/>
        <w:rPr>
          <w:rFonts w:eastAsia="Times New Roman" w:cs="Times New Roman"/>
          <w:bdr w:val="none" w:sz="0" w:space="0" w:color="auto" w:frame="1"/>
        </w:rPr>
      </w:pPr>
      <w:r w:rsidRPr="00951AB1">
        <w:rPr>
          <w:rFonts w:eastAsia="Times New Roman" w:cs="Times New Roman"/>
          <w:bdr w:val="none" w:sz="0" w:space="0" w:color="auto" w:frame="1"/>
        </w:rPr>
        <w:t xml:space="preserve">Envío memorando No. 20244030163723 a la Coordinación del GIT de Defensa Judicial con la solicitud de información sobre lo pertinente. Respuesta del GIT de Defensa Judicial con memorando No. 20247010221203 del 23 de diciembre de 2024 con el estado actual de las </w:t>
      </w:r>
      <w:r w:rsidRPr="00951AB1">
        <w:rPr>
          <w:rFonts w:eastAsia="Times New Roman" w:cs="Times New Roman"/>
          <w:bdr w:val="none" w:sz="0" w:space="0" w:color="auto" w:frame="1"/>
        </w:rPr>
        <w:lastRenderedPageBreak/>
        <w:t>incapacidades en proceso jurídico. Envío memorando No. 20254030090323 el 23 de mayo de 2025 a la Coordinación del GIT de Defensa Judicial con la solicitud de información sobre el estado de las Incapacidades, No obstante, al revisar en el portal de la rama judicial el 30 de julio de 2025 el tribunal confirmo sentencia absolutoria. No obstante, al realizar una revisión posterior en el portal de la rama judicial el 25 de noviembre de 2025 el Juzgado convoco para audiencia de trámite y juzgamiento para el día 02 de julio de 2026 a las 02:30 pm.</w:t>
      </w:r>
    </w:p>
    <w:p w14:paraId="0FCB4AE4" w14:textId="77777777" w:rsidR="005E64D9" w:rsidRPr="00951AB1" w:rsidRDefault="005E64D9" w:rsidP="000A5389">
      <w:pPr>
        <w:shd w:val="clear" w:color="auto" w:fill="FFFFFF"/>
        <w:spacing w:line="240" w:lineRule="auto"/>
        <w:textAlignment w:val="baseline"/>
        <w:rPr>
          <w:rFonts w:eastAsia="Times New Roman" w:cs="Times New Roman"/>
          <w:bdr w:val="none" w:sz="0" w:space="0" w:color="auto" w:frame="1"/>
        </w:rPr>
      </w:pPr>
    </w:p>
    <w:p w14:paraId="0504D630" w14:textId="77777777" w:rsidR="005E64D9" w:rsidRPr="00951AB1" w:rsidRDefault="005E64D9" w:rsidP="000A5389">
      <w:pPr>
        <w:shd w:val="clear" w:color="auto" w:fill="FFFFFF"/>
        <w:spacing w:line="240" w:lineRule="auto"/>
        <w:textAlignment w:val="baseline"/>
        <w:rPr>
          <w:rFonts w:eastAsia="Times New Roman" w:cs="Times New Roman"/>
          <w:bdr w:val="none" w:sz="0" w:space="0" w:color="auto" w:frame="1"/>
        </w:rPr>
      </w:pPr>
      <w:r w:rsidRPr="00951AB1">
        <w:rPr>
          <w:rFonts w:eastAsia="Times New Roman" w:cs="Times New Roman"/>
          <w:b/>
          <w:bCs/>
          <w:bdr w:val="none" w:sz="0" w:space="0" w:color="auto" w:frame="1"/>
        </w:rPr>
        <w:t>Caja de Compensación Familiar Compensar</w:t>
      </w:r>
      <w:r w:rsidRPr="00951AB1">
        <w:rPr>
          <w:rFonts w:eastAsia="Times New Roman" w:cs="Times New Roman"/>
          <w:bdr w:val="none" w:sz="0" w:space="0" w:color="auto" w:frame="1"/>
        </w:rPr>
        <w:t>, con las siguientes incapacidades:</w:t>
      </w:r>
    </w:p>
    <w:p w14:paraId="25999C3F" w14:textId="77777777" w:rsidR="005E64D9" w:rsidRPr="00951AB1" w:rsidRDefault="005E64D9" w:rsidP="000A5389">
      <w:pPr>
        <w:shd w:val="clear" w:color="auto" w:fill="FFFFFF"/>
        <w:spacing w:line="240" w:lineRule="auto"/>
        <w:textAlignment w:val="baseline"/>
        <w:rPr>
          <w:rFonts w:eastAsia="Times New Roman" w:cs="Times New Roman"/>
          <w:bdr w:val="none" w:sz="0" w:space="0" w:color="auto" w:frame="1"/>
        </w:rPr>
      </w:pPr>
    </w:p>
    <w:tbl>
      <w:tblPr>
        <w:tblW w:w="5000" w:type="pct"/>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CellMar>
          <w:left w:w="70" w:type="dxa"/>
          <w:right w:w="70" w:type="dxa"/>
        </w:tblCellMar>
        <w:tblLook w:val="04A0" w:firstRow="1" w:lastRow="0" w:firstColumn="1" w:lastColumn="0" w:noHBand="0" w:noVBand="1"/>
      </w:tblPr>
      <w:tblGrid>
        <w:gridCol w:w="1241"/>
        <w:gridCol w:w="1451"/>
        <w:gridCol w:w="1492"/>
        <w:gridCol w:w="1351"/>
        <w:gridCol w:w="1123"/>
        <w:gridCol w:w="1259"/>
        <w:gridCol w:w="911"/>
      </w:tblGrid>
      <w:tr w:rsidR="005E64D9" w:rsidRPr="00B547EE" w14:paraId="362DC5A8" w14:textId="77777777" w:rsidTr="00B547EE">
        <w:trPr>
          <w:trHeight w:val="405"/>
        </w:trPr>
        <w:tc>
          <w:tcPr>
            <w:tcW w:w="703" w:type="pct"/>
            <w:vAlign w:val="center"/>
            <w:hideMark/>
          </w:tcPr>
          <w:p w14:paraId="110BE831" w14:textId="77777777" w:rsidR="005E64D9" w:rsidRPr="00B547EE" w:rsidRDefault="005E64D9" w:rsidP="000A5389">
            <w:pPr>
              <w:spacing w:line="240" w:lineRule="auto"/>
              <w:jc w:val="center"/>
              <w:rPr>
                <w:rFonts w:eastAsia="Times New Roman" w:cs="Times New Roman"/>
                <w:b/>
                <w:bCs/>
                <w:color w:val="000000"/>
                <w:kern w:val="0"/>
                <w:sz w:val="18"/>
                <w:szCs w:val="18"/>
                <w:lang w:eastAsia="es-CO"/>
                <w14:ligatures w14:val="none"/>
              </w:rPr>
            </w:pPr>
            <w:r w:rsidRPr="00B547EE">
              <w:rPr>
                <w:rFonts w:eastAsia="Times New Roman" w:cs="Times New Roman"/>
                <w:b/>
                <w:bCs/>
                <w:color w:val="000000" w:themeColor="text1"/>
                <w:kern w:val="0"/>
                <w:sz w:val="18"/>
                <w:szCs w:val="18"/>
                <w:lang w:eastAsia="es-CO"/>
                <w14:ligatures w14:val="none"/>
              </w:rPr>
              <w:t>EPS</w:t>
            </w:r>
          </w:p>
        </w:tc>
        <w:tc>
          <w:tcPr>
            <w:tcW w:w="822" w:type="pct"/>
            <w:vAlign w:val="center"/>
            <w:hideMark/>
          </w:tcPr>
          <w:p w14:paraId="10D76856" w14:textId="77777777" w:rsidR="005E64D9" w:rsidRPr="00B547EE" w:rsidRDefault="005E64D9" w:rsidP="000A5389">
            <w:pPr>
              <w:spacing w:line="240" w:lineRule="auto"/>
              <w:jc w:val="center"/>
              <w:rPr>
                <w:rFonts w:eastAsia="Times New Roman" w:cs="Times New Roman"/>
                <w:b/>
                <w:bCs/>
                <w:color w:val="000000"/>
                <w:kern w:val="0"/>
                <w:sz w:val="18"/>
                <w:szCs w:val="18"/>
                <w:lang w:eastAsia="es-CO"/>
                <w14:ligatures w14:val="none"/>
              </w:rPr>
            </w:pPr>
            <w:r w:rsidRPr="00B547EE">
              <w:rPr>
                <w:rFonts w:eastAsia="Times New Roman" w:cs="Times New Roman"/>
                <w:b/>
                <w:bCs/>
                <w:color w:val="000000" w:themeColor="text1"/>
                <w:kern w:val="0"/>
                <w:sz w:val="18"/>
                <w:szCs w:val="18"/>
                <w:lang w:eastAsia="es-CO"/>
                <w14:ligatures w14:val="none"/>
              </w:rPr>
              <w:t>FUNCIONARIO</w:t>
            </w:r>
          </w:p>
        </w:tc>
        <w:tc>
          <w:tcPr>
            <w:tcW w:w="845" w:type="pct"/>
            <w:vAlign w:val="center"/>
            <w:hideMark/>
          </w:tcPr>
          <w:p w14:paraId="32CA5820" w14:textId="77777777" w:rsidR="005E64D9" w:rsidRPr="00B547EE" w:rsidRDefault="005E64D9" w:rsidP="000A5389">
            <w:pPr>
              <w:spacing w:line="240" w:lineRule="auto"/>
              <w:jc w:val="center"/>
              <w:rPr>
                <w:rFonts w:eastAsia="Times New Roman" w:cs="Times New Roman"/>
                <w:b/>
                <w:bCs/>
                <w:color w:val="000000"/>
                <w:kern w:val="0"/>
                <w:sz w:val="18"/>
                <w:szCs w:val="18"/>
                <w:lang w:eastAsia="es-CO"/>
                <w14:ligatures w14:val="none"/>
              </w:rPr>
            </w:pPr>
            <w:r w:rsidRPr="00B547EE">
              <w:rPr>
                <w:rFonts w:eastAsia="Times New Roman" w:cs="Times New Roman"/>
                <w:b/>
                <w:bCs/>
                <w:color w:val="000000" w:themeColor="text1"/>
                <w:kern w:val="0"/>
                <w:sz w:val="18"/>
                <w:szCs w:val="18"/>
                <w:lang w:eastAsia="es-CO"/>
                <w14:ligatures w14:val="none"/>
              </w:rPr>
              <w:t>No RESOLUCION</w:t>
            </w:r>
          </w:p>
        </w:tc>
        <w:tc>
          <w:tcPr>
            <w:tcW w:w="765" w:type="pct"/>
            <w:vAlign w:val="center"/>
            <w:hideMark/>
          </w:tcPr>
          <w:p w14:paraId="17A395E6" w14:textId="77777777" w:rsidR="005E64D9" w:rsidRPr="00B547EE" w:rsidRDefault="005E64D9" w:rsidP="000A5389">
            <w:pPr>
              <w:spacing w:line="240" w:lineRule="auto"/>
              <w:jc w:val="center"/>
              <w:rPr>
                <w:rFonts w:eastAsia="Times New Roman" w:cs="Times New Roman"/>
                <w:b/>
                <w:bCs/>
                <w:color w:val="000000"/>
                <w:kern w:val="0"/>
                <w:sz w:val="18"/>
                <w:szCs w:val="18"/>
                <w:lang w:eastAsia="es-CO"/>
                <w14:ligatures w14:val="none"/>
              </w:rPr>
            </w:pPr>
            <w:r w:rsidRPr="00B547EE">
              <w:rPr>
                <w:rFonts w:eastAsia="Times New Roman" w:cs="Times New Roman"/>
                <w:b/>
                <w:bCs/>
                <w:color w:val="000000" w:themeColor="text1"/>
                <w:kern w:val="0"/>
                <w:sz w:val="18"/>
                <w:szCs w:val="18"/>
                <w:lang w:eastAsia="es-CO"/>
                <w14:ligatures w14:val="none"/>
              </w:rPr>
              <w:t>FECHA RESOLUCION</w:t>
            </w:r>
          </w:p>
        </w:tc>
        <w:tc>
          <w:tcPr>
            <w:tcW w:w="636" w:type="pct"/>
            <w:vAlign w:val="center"/>
            <w:hideMark/>
          </w:tcPr>
          <w:p w14:paraId="79BA5CF6" w14:textId="77777777" w:rsidR="005E64D9" w:rsidRPr="00B547EE" w:rsidRDefault="005E64D9" w:rsidP="000A5389">
            <w:pPr>
              <w:spacing w:line="240" w:lineRule="auto"/>
              <w:jc w:val="center"/>
              <w:rPr>
                <w:rFonts w:eastAsia="Times New Roman" w:cs="Times New Roman"/>
                <w:b/>
                <w:bCs/>
                <w:color w:val="000000"/>
                <w:kern w:val="0"/>
                <w:sz w:val="18"/>
                <w:szCs w:val="18"/>
                <w:lang w:eastAsia="es-CO"/>
                <w14:ligatures w14:val="none"/>
              </w:rPr>
            </w:pPr>
            <w:r w:rsidRPr="00B547EE">
              <w:rPr>
                <w:rFonts w:eastAsia="Times New Roman" w:cs="Times New Roman"/>
                <w:b/>
                <w:bCs/>
                <w:color w:val="000000" w:themeColor="text1"/>
                <w:kern w:val="0"/>
                <w:sz w:val="18"/>
                <w:szCs w:val="18"/>
                <w:lang w:eastAsia="es-CO"/>
                <w14:ligatures w14:val="none"/>
              </w:rPr>
              <w:t>VALOR RESOLUCION</w:t>
            </w:r>
          </w:p>
        </w:tc>
        <w:tc>
          <w:tcPr>
            <w:tcW w:w="713" w:type="pct"/>
            <w:vAlign w:val="center"/>
            <w:hideMark/>
          </w:tcPr>
          <w:p w14:paraId="7D8D4359" w14:textId="77777777" w:rsidR="005E64D9" w:rsidRPr="00B547EE" w:rsidRDefault="005E64D9" w:rsidP="000A5389">
            <w:pPr>
              <w:spacing w:line="240" w:lineRule="auto"/>
              <w:jc w:val="center"/>
              <w:rPr>
                <w:rFonts w:eastAsia="Times New Roman" w:cs="Times New Roman"/>
                <w:b/>
                <w:bCs/>
                <w:color w:val="000000"/>
                <w:kern w:val="0"/>
                <w:sz w:val="18"/>
                <w:szCs w:val="18"/>
                <w:lang w:eastAsia="es-CO"/>
                <w14:ligatures w14:val="none"/>
              </w:rPr>
            </w:pPr>
            <w:r w:rsidRPr="00B547EE">
              <w:rPr>
                <w:rFonts w:eastAsia="Times New Roman" w:cs="Times New Roman"/>
                <w:b/>
                <w:bCs/>
                <w:color w:val="000000" w:themeColor="text1"/>
                <w:kern w:val="0"/>
                <w:sz w:val="18"/>
                <w:szCs w:val="18"/>
                <w:lang w:eastAsia="es-CO"/>
                <w14:ligatures w14:val="none"/>
              </w:rPr>
              <w:t>VALOR CAUSADO EN NOMINA</w:t>
            </w:r>
          </w:p>
        </w:tc>
        <w:tc>
          <w:tcPr>
            <w:tcW w:w="516" w:type="pct"/>
            <w:vAlign w:val="center"/>
            <w:hideMark/>
          </w:tcPr>
          <w:p w14:paraId="2F5DA272" w14:textId="77777777" w:rsidR="005E64D9" w:rsidRPr="00B547EE" w:rsidRDefault="005E64D9" w:rsidP="000A5389">
            <w:pPr>
              <w:spacing w:line="240" w:lineRule="auto"/>
              <w:jc w:val="center"/>
              <w:rPr>
                <w:rFonts w:eastAsia="Times New Roman" w:cs="Times New Roman"/>
                <w:b/>
                <w:bCs/>
                <w:color w:val="000000"/>
                <w:kern w:val="0"/>
                <w:sz w:val="18"/>
                <w:szCs w:val="18"/>
                <w:lang w:eastAsia="es-CO"/>
                <w14:ligatures w14:val="none"/>
              </w:rPr>
            </w:pPr>
            <w:r w:rsidRPr="00B547EE">
              <w:rPr>
                <w:rFonts w:eastAsia="Times New Roman" w:cs="Times New Roman"/>
                <w:b/>
                <w:bCs/>
                <w:color w:val="000000" w:themeColor="text1"/>
                <w:kern w:val="0"/>
                <w:sz w:val="18"/>
                <w:szCs w:val="18"/>
                <w:lang w:eastAsia="es-CO"/>
                <w14:ligatures w14:val="none"/>
              </w:rPr>
              <w:t>VALOR QUE ADEUDA LA EPS</w:t>
            </w:r>
          </w:p>
        </w:tc>
      </w:tr>
      <w:tr w:rsidR="005E64D9" w:rsidRPr="00B547EE" w14:paraId="6B1F6848" w14:textId="77777777" w:rsidTr="00B547EE">
        <w:trPr>
          <w:trHeight w:val="405"/>
        </w:trPr>
        <w:tc>
          <w:tcPr>
            <w:tcW w:w="703" w:type="pct"/>
            <w:vAlign w:val="center"/>
            <w:hideMark/>
          </w:tcPr>
          <w:p w14:paraId="15049A7F" w14:textId="77777777" w:rsidR="005E64D9" w:rsidRPr="00B547EE" w:rsidRDefault="005E64D9" w:rsidP="000A5389">
            <w:pPr>
              <w:spacing w:line="240" w:lineRule="auto"/>
              <w:jc w:val="center"/>
              <w:rPr>
                <w:rFonts w:eastAsia="Times New Roman" w:cs="Times New Roman"/>
                <w:color w:val="000000"/>
                <w:kern w:val="0"/>
                <w:sz w:val="18"/>
                <w:szCs w:val="18"/>
                <w:lang w:eastAsia="es-CO"/>
                <w14:ligatures w14:val="none"/>
              </w:rPr>
            </w:pPr>
            <w:r w:rsidRPr="00B547EE">
              <w:rPr>
                <w:rFonts w:eastAsia="Times New Roman" w:cs="Times New Roman"/>
                <w:color w:val="000000" w:themeColor="text1"/>
                <w:kern w:val="0"/>
                <w:sz w:val="18"/>
                <w:szCs w:val="18"/>
                <w:lang w:eastAsia="es-CO"/>
                <w14:ligatures w14:val="none"/>
              </w:rPr>
              <w:t>COMPENSAR</w:t>
            </w:r>
          </w:p>
        </w:tc>
        <w:tc>
          <w:tcPr>
            <w:tcW w:w="822" w:type="pct"/>
            <w:vAlign w:val="center"/>
            <w:hideMark/>
          </w:tcPr>
          <w:p w14:paraId="6CA7B328" w14:textId="383EA40F" w:rsidR="005E64D9" w:rsidRPr="00B547EE" w:rsidRDefault="005E64D9" w:rsidP="000A5389">
            <w:pPr>
              <w:spacing w:line="240" w:lineRule="auto"/>
              <w:rPr>
                <w:rFonts w:eastAsia="Times New Roman" w:cs="Times New Roman"/>
                <w:color w:val="000000"/>
                <w:kern w:val="0"/>
                <w:sz w:val="18"/>
                <w:szCs w:val="18"/>
                <w:lang w:eastAsia="es-CO"/>
                <w14:ligatures w14:val="none"/>
              </w:rPr>
            </w:pPr>
            <w:r w:rsidRPr="00B547EE">
              <w:rPr>
                <w:rFonts w:eastAsia="Times New Roman" w:cs="Times New Roman"/>
                <w:color w:val="000000"/>
                <w:kern w:val="0"/>
                <w:sz w:val="18"/>
                <w:szCs w:val="18"/>
                <w:lang w:eastAsia="es-CO"/>
                <w14:ligatures w14:val="none"/>
              </w:rPr>
              <w:t>Luis Ariel Romero Palacio</w:t>
            </w:r>
          </w:p>
        </w:tc>
        <w:tc>
          <w:tcPr>
            <w:tcW w:w="845" w:type="pct"/>
            <w:vAlign w:val="center"/>
            <w:hideMark/>
          </w:tcPr>
          <w:p w14:paraId="7890E822" w14:textId="77777777" w:rsidR="005E64D9" w:rsidRPr="00B547EE" w:rsidRDefault="005E64D9" w:rsidP="000A5389">
            <w:pPr>
              <w:spacing w:line="240" w:lineRule="auto"/>
              <w:jc w:val="center"/>
              <w:rPr>
                <w:rFonts w:eastAsia="Times New Roman" w:cs="Times New Roman"/>
                <w:color w:val="000000"/>
                <w:kern w:val="0"/>
                <w:sz w:val="18"/>
                <w:szCs w:val="18"/>
                <w:lang w:eastAsia="es-CO"/>
                <w14:ligatures w14:val="none"/>
              </w:rPr>
            </w:pPr>
            <w:r w:rsidRPr="00B547EE">
              <w:rPr>
                <w:rFonts w:eastAsia="Times New Roman" w:cs="Times New Roman"/>
                <w:color w:val="000000" w:themeColor="text1"/>
                <w:kern w:val="0"/>
                <w:sz w:val="18"/>
                <w:szCs w:val="18"/>
                <w:lang w:eastAsia="es-CO"/>
                <w14:ligatures w14:val="none"/>
              </w:rPr>
              <w:t>20224030008735</w:t>
            </w:r>
          </w:p>
        </w:tc>
        <w:tc>
          <w:tcPr>
            <w:tcW w:w="765" w:type="pct"/>
            <w:vAlign w:val="center"/>
            <w:hideMark/>
          </w:tcPr>
          <w:p w14:paraId="6A26620D" w14:textId="77777777" w:rsidR="005E64D9" w:rsidRPr="00B547EE" w:rsidRDefault="005E64D9" w:rsidP="000A5389">
            <w:pPr>
              <w:spacing w:line="240" w:lineRule="auto"/>
              <w:jc w:val="center"/>
              <w:rPr>
                <w:rFonts w:eastAsia="Times New Roman" w:cs="Times New Roman"/>
                <w:color w:val="000000"/>
                <w:kern w:val="0"/>
                <w:sz w:val="18"/>
                <w:szCs w:val="18"/>
                <w:lang w:eastAsia="es-CO"/>
                <w14:ligatures w14:val="none"/>
              </w:rPr>
            </w:pPr>
            <w:r w:rsidRPr="00B547EE">
              <w:rPr>
                <w:rFonts w:eastAsia="Times New Roman" w:cs="Times New Roman"/>
                <w:color w:val="000000" w:themeColor="text1"/>
                <w:kern w:val="0"/>
                <w:sz w:val="18"/>
                <w:szCs w:val="18"/>
                <w:lang w:eastAsia="es-CO"/>
                <w14:ligatures w14:val="none"/>
              </w:rPr>
              <w:t>29/06/2022</w:t>
            </w:r>
          </w:p>
        </w:tc>
        <w:tc>
          <w:tcPr>
            <w:tcW w:w="636" w:type="pct"/>
            <w:vAlign w:val="center"/>
            <w:hideMark/>
          </w:tcPr>
          <w:p w14:paraId="5D8C76BF" w14:textId="77777777" w:rsidR="005E64D9" w:rsidRPr="00B547EE" w:rsidRDefault="005E64D9" w:rsidP="000A5389">
            <w:pPr>
              <w:spacing w:line="240" w:lineRule="auto"/>
              <w:jc w:val="right"/>
              <w:rPr>
                <w:rFonts w:eastAsia="Times New Roman" w:cs="Times New Roman"/>
                <w:color w:val="000000"/>
                <w:kern w:val="0"/>
                <w:sz w:val="18"/>
                <w:szCs w:val="18"/>
                <w:lang w:eastAsia="es-CO"/>
                <w14:ligatures w14:val="none"/>
              </w:rPr>
            </w:pPr>
            <w:r w:rsidRPr="00B547EE">
              <w:rPr>
                <w:rFonts w:eastAsia="Times New Roman" w:cs="Times New Roman"/>
                <w:color w:val="000000" w:themeColor="text1"/>
                <w:kern w:val="0"/>
                <w:sz w:val="18"/>
                <w:szCs w:val="18"/>
                <w:lang w:eastAsia="es-CO"/>
                <w14:ligatures w14:val="none"/>
              </w:rPr>
              <w:t>710.542</w:t>
            </w:r>
          </w:p>
        </w:tc>
        <w:tc>
          <w:tcPr>
            <w:tcW w:w="713" w:type="pct"/>
            <w:vAlign w:val="center"/>
            <w:hideMark/>
          </w:tcPr>
          <w:p w14:paraId="70B4580C" w14:textId="77777777" w:rsidR="005E64D9" w:rsidRPr="00B547EE" w:rsidRDefault="005E64D9" w:rsidP="000A5389">
            <w:pPr>
              <w:spacing w:line="240" w:lineRule="auto"/>
              <w:jc w:val="right"/>
              <w:rPr>
                <w:rFonts w:eastAsia="Times New Roman" w:cs="Times New Roman"/>
                <w:color w:val="000000"/>
                <w:kern w:val="0"/>
                <w:sz w:val="18"/>
                <w:szCs w:val="18"/>
                <w:lang w:eastAsia="es-CO"/>
                <w14:ligatures w14:val="none"/>
              </w:rPr>
            </w:pPr>
            <w:r w:rsidRPr="00B547EE">
              <w:rPr>
                <w:rFonts w:eastAsia="Times New Roman" w:cs="Times New Roman"/>
                <w:color w:val="000000" w:themeColor="text1"/>
                <w:kern w:val="0"/>
                <w:sz w:val="18"/>
                <w:szCs w:val="18"/>
                <w:lang w:eastAsia="es-CO"/>
                <w14:ligatures w14:val="none"/>
              </w:rPr>
              <w:t>710.542</w:t>
            </w:r>
          </w:p>
        </w:tc>
        <w:tc>
          <w:tcPr>
            <w:tcW w:w="516" w:type="pct"/>
            <w:vAlign w:val="center"/>
            <w:hideMark/>
          </w:tcPr>
          <w:p w14:paraId="51A2BC52" w14:textId="77777777" w:rsidR="005E64D9" w:rsidRPr="00B547EE" w:rsidRDefault="005E64D9" w:rsidP="000A5389">
            <w:pPr>
              <w:spacing w:line="240" w:lineRule="auto"/>
              <w:jc w:val="right"/>
              <w:rPr>
                <w:rFonts w:eastAsia="Times New Roman" w:cs="Times New Roman"/>
                <w:color w:val="000000"/>
                <w:kern w:val="0"/>
                <w:sz w:val="18"/>
                <w:szCs w:val="18"/>
                <w:lang w:eastAsia="es-CO"/>
                <w14:ligatures w14:val="none"/>
              </w:rPr>
            </w:pPr>
            <w:r w:rsidRPr="00B547EE">
              <w:rPr>
                <w:rFonts w:eastAsia="Times New Roman" w:cs="Times New Roman"/>
                <w:color w:val="000000" w:themeColor="text1"/>
                <w:kern w:val="0"/>
                <w:sz w:val="18"/>
                <w:szCs w:val="18"/>
                <w:lang w:eastAsia="es-CO"/>
                <w14:ligatures w14:val="none"/>
              </w:rPr>
              <w:t>710.542</w:t>
            </w:r>
          </w:p>
        </w:tc>
      </w:tr>
      <w:tr w:rsidR="005E64D9" w:rsidRPr="00B547EE" w14:paraId="4D68D87E" w14:textId="77777777" w:rsidTr="00B547EE">
        <w:trPr>
          <w:trHeight w:val="405"/>
        </w:trPr>
        <w:tc>
          <w:tcPr>
            <w:tcW w:w="703" w:type="pct"/>
            <w:vAlign w:val="center"/>
            <w:hideMark/>
          </w:tcPr>
          <w:p w14:paraId="2EF091D6" w14:textId="77777777" w:rsidR="005E64D9" w:rsidRPr="00B547EE" w:rsidRDefault="005E64D9" w:rsidP="000A5389">
            <w:pPr>
              <w:spacing w:line="240" w:lineRule="auto"/>
              <w:jc w:val="center"/>
              <w:rPr>
                <w:rFonts w:eastAsia="Times New Roman" w:cs="Times New Roman"/>
                <w:color w:val="000000"/>
                <w:kern w:val="0"/>
                <w:sz w:val="18"/>
                <w:szCs w:val="18"/>
                <w:lang w:eastAsia="es-CO"/>
                <w14:ligatures w14:val="none"/>
              </w:rPr>
            </w:pPr>
            <w:r w:rsidRPr="00B547EE">
              <w:rPr>
                <w:rFonts w:eastAsia="Times New Roman" w:cs="Times New Roman"/>
                <w:color w:val="000000" w:themeColor="text1"/>
                <w:kern w:val="0"/>
                <w:sz w:val="18"/>
                <w:szCs w:val="18"/>
                <w:lang w:eastAsia="es-CO"/>
                <w14:ligatures w14:val="none"/>
              </w:rPr>
              <w:t>C</w:t>
            </w:r>
            <w:r w:rsidRPr="00B547EE">
              <w:rPr>
                <w:rFonts w:eastAsia="Times New Roman" w:cs="Times New Roman"/>
                <w:color w:val="000000"/>
                <w:kern w:val="0"/>
                <w:sz w:val="18"/>
                <w:szCs w:val="18"/>
                <w:lang w:eastAsia="es-CO"/>
                <w14:ligatures w14:val="none"/>
              </w:rPr>
              <w:t>OMPENSAR</w:t>
            </w:r>
          </w:p>
        </w:tc>
        <w:tc>
          <w:tcPr>
            <w:tcW w:w="822" w:type="pct"/>
            <w:vAlign w:val="center"/>
            <w:hideMark/>
          </w:tcPr>
          <w:p w14:paraId="5E1785FF" w14:textId="715903E1" w:rsidR="005E64D9" w:rsidRPr="00B547EE" w:rsidRDefault="005E64D9" w:rsidP="000A5389">
            <w:pPr>
              <w:spacing w:line="240" w:lineRule="auto"/>
              <w:rPr>
                <w:rFonts w:eastAsia="Times New Roman" w:cs="Times New Roman"/>
                <w:color w:val="000000"/>
                <w:kern w:val="0"/>
                <w:sz w:val="18"/>
                <w:szCs w:val="18"/>
                <w:lang w:eastAsia="es-CO"/>
                <w14:ligatures w14:val="none"/>
              </w:rPr>
            </w:pPr>
            <w:r w:rsidRPr="00B547EE">
              <w:rPr>
                <w:rFonts w:eastAsia="Times New Roman" w:cs="Times New Roman"/>
                <w:color w:val="000000"/>
                <w:kern w:val="0"/>
                <w:sz w:val="18"/>
                <w:szCs w:val="18"/>
                <w:lang w:eastAsia="es-CO"/>
                <w14:ligatures w14:val="none"/>
              </w:rPr>
              <w:t>Sonia Rocio Oliveros Boada</w:t>
            </w:r>
          </w:p>
        </w:tc>
        <w:tc>
          <w:tcPr>
            <w:tcW w:w="845" w:type="pct"/>
            <w:vAlign w:val="center"/>
            <w:hideMark/>
          </w:tcPr>
          <w:p w14:paraId="477C7DE0" w14:textId="77777777" w:rsidR="005E64D9" w:rsidRPr="00B547EE" w:rsidRDefault="005E64D9" w:rsidP="000A5389">
            <w:pPr>
              <w:spacing w:line="240" w:lineRule="auto"/>
              <w:jc w:val="center"/>
              <w:rPr>
                <w:rFonts w:eastAsia="Times New Roman" w:cs="Times New Roman"/>
                <w:color w:val="000000"/>
                <w:kern w:val="0"/>
                <w:sz w:val="18"/>
                <w:szCs w:val="18"/>
                <w:lang w:eastAsia="es-CO"/>
                <w14:ligatures w14:val="none"/>
              </w:rPr>
            </w:pPr>
            <w:r w:rsidRPr="00B547EE">
              <w:rPr>
                <w:rFonts w:eastAsia="Times New Roman" w:cs="Times New Roman"/>
                <w:color w:val="000000"/>
                <w:kern w:val="0"/>
                <w:sz w:val="18"/>
                <w:szCs w:val="18"/>
                <w:lang w:eastAsia="es-CO"/>
                <w14:ligatures w14:val="none"/>
              </w:rPr>
              <w:t>20254030007905</w:t>
            </w:r>
          </w:p>
        </w:tc>
        <w:tc>
          <w:tcPr>
            <w:tcW w:w="765" w:type="pct"/>
            <w:vAlign w:val="center"/>
            <w:hideMark/>
          </w:tcPr>
          <w:p w14:paraId="0DF5C5FB" w14:textId="77777777" w:rsidR="005E64D9" w:rsidRPr="00B547EE" w:rsidRDefault="005E64D9" w:rsidP="000A5389">
            <w:pPr>
              <w:spacing w:line="240" w:lineRule="auto"/>
              <w:jc w:val="center"/>
              <w:rPr>
                <w:rFonts w:eastAsia="Times New Roman" w:cs="Times New Roman"/>
                <w:color w:val="000000"/>
                <w:kern w:val="0"/>
                <w:sz w:val="18"/>
                <w:szCs w:val="18"/>
                <w:lang w:eastAsia="es-CO"/>
                <w14:ligatures w14:val="none"/>
              </w:rPr>
            </w:pPr>
            <w:r w:rsidRPr="00B547EE">
              <w:rPr>
                <w:rFonts w:eastAsia="Times New Roman" w:cs="Times New Roman"/>
                <w:color w:val="000000" w:themeColor="text1"/>
                <w:kern w:val="0"/>
                <w:sz w:val="18"/>
                <w:szCs w:val="18"/>
                <w:lang w:eastAsia="es-CO"/>
                <w14:ligatures w14:val="none"/>
              </w:rPr>
              <w:t>19/06/2025</w:t>
            </w:r>
          </w:p>
        </w:tc>
        <w:tc>
          <w:tcPr>
            <w:tcW w:w="636" w:type="pct"/>
            <w:vAlign w:val="center"/>
            <w:hideMark/>
          </w:tcPr>
          <w:p w14:paraId="28B8EC3A" w14:textId="77777777" w:rsidR="005E64D9" w:rsidRPr="00B547EE" w:rsidRDefault="005E64D9" w:rsidP="000A5389">
            <w:pPr>
              <w:spacing w:line="240" w:lineRule="auto"/>
              <w:jc w:val="right"/>
              <w:rPr>
                <w:rFonts w:eastAsia="Times New Roman" w:cs="Times New Roman"/>
                <w:color w:val="000000"/>
                <w:kern w:val="0"/>
                <w:sz w:val="18"/>
                <w:szCs w:val="18"/>
                <w:lang w:eastAsia="es-CO"/>
                <w14:ligatures w14:val="none"/>
              </w:rPr>
            </w:pPr>
            <w:r w:rsidRPr="00B547EE">
              <w:rPr>
                <w:rFonts w:eastAsia="Times New Roman" w:cs="Times New Roman"/>
                <w:color w:val="000000" w:themeColor="text1"/>
                <w:kern w:val="0"/>
                <w:sz w:val="18"/>
                <w:szCs w:val="18"/>
                <w:lang w:eastAsia="es-CO"/>
                <w14:ligatures w14:val="none"/>
              </w:rPr>
              <w:t>16.106.404</w:t>
            </w:r>
          </w:p>
        </w:tc>
        <w:tc>
          <w:tcPr>
            <w:tcW w:w="713" w:type="pct"/>
            <w:vAlign w:val="center"/>
            <w:hideMark/>
          </w:tcPr>
          <w:p w14:paraId="594B2FD5" w14:textId="77777777" w:rsidR="005E64D9" w:rsidRPr="00B547EE" w:rsidRDefault="005E64D9" w:rsidP="000A5389">
            <w:pPr>
              <w:spacing w:line="240" w:lineRule="auto"/>
              <w:jc w:val="right"/>
              <w:rPr>
                <w:rFonts w:eastAsia="Times New Roman" w:cs="Times New Roman"/>
                <w:color w:val="000000"/>
                <w:kern w:val="0"/>
                <w:sz w:val="18"/>
                <w:szCs w:val="18"/>
                <w:lang w:eastAsia="es-CO"/>
                <w14:ligatures w14:val="none"/>
              </w:rPr>
            </w:pPr>
            <w:r w:rsidRPr="00B547EE">
              <w:rPr>
                <w:rFonts w:eastAsia="Times New Roman" w:cs="Times New Roman"/>
                <w:color w:val="000000" w:themeColor="text1"/>
                <w:kern w:val="0"/>
                <w:sz w:val="18"/>
                <w:szCs w:val="18"/>
                <w:lang w:eastAsia="es-CO"/>
                <w14:ligatures w14:val="none"/>
              </w:rPr>
              <w:t>16.106.404</w:t>
            </w:r>
          </w:p>
        </w:tc>
        <w:tc>
          <w:tcPr>
            <w:tcW w:w="516" w:type="pct"/>
            <w:vAlign w:val="center"/>
            <w:hideMark/>
          </w:tcPr>
          <w:p w14:paraId="3476D226" w14:textId="77777777" w:rsidR="005E64D9" w:rsidRPr="00B547EE" w:rsidRDefault="005E64D9" w:rsidP="000A5389">
            <w:pPr>
              <w:spacing w:line="240" w:lineRule="auto"/>
              <w:jc w:val="right"/>
              <w:rPr>
                <w:rFonts w:eastAsia="Times New Roman" w:cs="Times New Roman"/>
                <w:color w:val="000000"/>
                <w:kern w:val="0"/>
                <w:sz w:val="18"/>
                <w:szCs w:val="18"/>
                <w:lang w:eastAsia="es-CO"/>
                <w14:ligatures w14:val="none"/>
              </w:rPr>
            </w:pPr>
            <w:r w:rsidRPr="00B547EE">
              <w:rPr>
                <w:rFonts w:eastAsia="Times New Roman" w:cs="Times New Roman"/>
                <w:color w:val="000000" w:themeColor="text1"/>
                <w:kern w:val="0"/>
                <w:sz w:val="18"/>
                <w:szCs w:val="18"/>
                <w:lang w:eastAsia="es-CO"/>
                <w14:ligatures w14:val="none"/>
              </w:rPr>
              <w:t>4.194.075</w:t>
            </w:r>
          </w:p>
        </w:tc>
      </w:tr>
      <w:tr w:rsidR="005E64D9" w:rsidRPr="00B547EE" w14:paraId="5EA2E4B4" w14:textId="77777777" w:rsidTr="00B547EE">
        <w:trPr>
          <w:trHeight w:val="405"/>
        </w:trPr>
        <w:tc>
          <w:tcPr>
            <w:tcW w:w="3135" w:type="pct"/>
            <w:gridSpan w:val="4"/>
            <w:vAlign w:val="center"/>
            <w:hideMark/>
          </w:tcPr>
          <w:p w14:paraId="4A4627B3" w14:textId="77777777" w:rsidR="005E64D9" w:rsidRPr="00B547EE" w:rsidRDefault="005E64D9" w:rsidP="000A5389">
            <w:pPr>
              <w:spacing w:line="240" w:lineRule="auto"/>
              <w:jc w:val="center"/>
              <w:rPr>
                <w:rFonts w:eastAsia="Times New Roman" w:cs="Times New Roman"/>
                <w:b/>
                <w:bCs/>
                <w:color w:val="000000"/>
                <w:kern w:val="0"/>
                <w:sz w:val="18"/>
                <w:szCs w:val="18"/>
                <w:lang w:eastAsia="es-CO"/>
                <w14:ligatures w14:val="none"/>
              </w:rPr>
            </w:pPr>
            <w:r w:rsidRPr="00B547EE">
              <w:rPr>
                <w:rFonts w:eastAsia="Times New Roman" w:cs="Times New Roman"/>
                <w:b/>
                <w:bCs/>
                <w:color w:val="000000"/>
                <w:kern w:val="0"/>
                <w:sz w:val="18"/>
                <w:szCs w:val="18"/>
                <w:lang w:eastAsia="es-CO"/>
                <w14:ligatures w14:val="none"/>
              </w:rPr>
              <w:t>TOTALES</w:t>
            </w:r>
          </w:p>
        </w:tc>
        <w:tc>
          <w:tcPr>
            <w:tcW w:w="636" w:type="pct"/>
            <w:vAlign w:val="center"/>
            <w:hideMark/>
          </w:tcPr>
          <w:p w14:paraId="006DD446" w14:textId="77777777" w:rsidR="005E64D9" w:rsidRPr="00B547EE" w:rsidRDefault="005E64D9" w:rsidP="000A5389">
            <w:pPr>
              <w:spacing w:line="240" w:lineRule="auto"/>
              <w:jc w:val="right"/>
              <w:rPr>
                <w:rFonts w:eastAsia="Times New Roman" w:cs="Times New Roman"/>
                <w:b/>
                <w:bCs/>
                <w:color w:val="000000"/>
                <w:kern w:val="0"/>
                <w:sz w:val="18"/>
                <w:szCs w:val="18"/>
                <w:lang w:eastAsia="es-CO"/>
                <w14:ligatures w14:val="none"/>
              </w:rPr>
            </w:pPr>
            <w:r w:rsidRPr="00B547EE">
              <w:rPr>
                <w:rFonts w:eastAsia="Times New Roman" w:cs="Times New Roman"/>
                <w:b/>
                <w:bCs/>
                <w:color w:val="000000"/>
                <w:kern w:val="0"/>
                <w:sz w:val="18"/>
                <w:szCs w:val="18"/>
                <w:lang w:eastAsia="es-CO"/>
                <w14:ligatures w14:val="none"/>
              </w:rPr>
              <w:t>16.816.946</w:t>
            </w:r>
          </w:p>
        </w:tc>
        <w:tc>
          <w:tcPr>
            <w:tcW w:w="713" w:type="pct"/>
            <w:vAlign w:val="center"/>
            <w:hideMark/>
          </w:tcPr>
          <w:p w14:paraId="10753788" w14:textId="77777777" w:rsidR="005E64D9" w:rsidRPr="00B547EE" w:rsidRDefault="005E64D9" w:rsidP="000A5389">
            <w:pPr>
              <w:spacing w:line="240" w:lineRule="auto"/>
              <w:jc w:val="right"/>
              <w:rPr>
                <w:rFonts w:eastAsia="Times New Roman" w:cs="Times New Roman"/>
                <w:b/>
                <w:bCs/>
                <w:color w:val="000000"/>
                <w:kern w:val="0"/>
                <w:sz w:val="18"/>
                <w:szCs w:val="18"/>
                <w:lang w:eastAsia="es-CO"/>
                <w14:ligatures w14:val="none"/>
              </w:rPr>
            </w:pPr>
            <w:r w:rsidRPr="00B547EE">
              <w:rPr>
                <w:rFonts w:eastAsia="Times New Roman" w:cs="Times New Roman"/>
                <w:b/>
                <w:bCs/>
                <w:color w:val="000000"/>
                <w:kern w:val="0"/>
                <w:sz w:val="18"/>
                <w:szCs w:val="18"/>
                <w:lang w:eastAsia="es-CO"/>
                <w14:ligatures w14:val="none"/>
              </w:rPr>
              <w:t>16.816.946</w:t>
            </w:r>
          </w:p>
        </w:tc>
        <w:tc>
          <w:tcPr>
            <w:tcW w:w="516" w:type="pct"/>
            <w:vAlign w:val="center"/>
            <w:hideMark/>
          </w:tcPr>
          <w:p w14:paraId="7BE0156D" w14:textId="77777777" w:rsidR="005E64D9" w:rsidRPr="00B547EE" w:rsidRDefault="005E64D9" w:rsidP="000A5389">
            <w:pPr>
              <w:spacing w:line="240" w:lineRule="auto"/>
              <w:jc w:val="right"/>
              <w:rPr>
                <w:rFonts w:eastAsia="Times New Roman" w:cs="Times New Roman"/>
                <w:b/>
                <w:bCs/>
                <w:color w:val="000000"/>
                <w:kern w:val="0"/>
                <w:sz w:val="18"/>
                <w:szCs w:val="18"/>
                <w:lang w:eastAsia="es-CO"/>
                <w14:ligatures w14:val="none"/>
              </w:rPr>
            </w:pPr>
            <w:r w:rsidRPr="00B547EE">
              <w:rPr>
                <w:rFonts w:eastAsia="Times New Roman" w:cs="Times New Roman"/>
                <w:b/>
                <w:bCs/>
                <w:color w:val="000000"/>
                <w:kern w:val="0"/>
                <w:sz w:val="18"/>
                <w:szCs w:val="18"/>
                <w:lang w:eastAsia="es-CO"/>
                <w14:ligatures w14:val="none"/>
              </w:rPr>
              <w:t>4.904.617</w:t>
            </w:r>
          </w:p>
        </w:tc>
      </w:tr>
    </w:tbl>
    <w:p w14:paraId="76DE419C" w14:textId="77777777" w:rsidR="0060233C" w:rsidRPr="00951AB1" w:rsidRDefault="0060233C" w:rsidP="000A5389">
      <w:pPr>
        <w:spacing w:line="240" w:lineRule="auto"/>
        <w:rPr>
          <w:rFonts w:eastAsia="Times New Roman" w:cs="Times New Roman"/>
          <w:color w:val="000000" w:themeColor="text1"/>
          <w:sz w:val="14"/>
          <w:szCs w:val="14"/>
          <w:lang w:eastAsia="es-CO"/>
        </w:rPr>
      </w:pPr>
      <w:r w:rsidRPr="00951AB1">
        <w:rPr>
          <w:rFonts w:eastAsia="Times New Roman" w:cs="Times New Roman"/>
          <w:color w:val="000000" w:themeColor="text1"/>
          <w:sz w:val="14"/>
          <w:szCs w:val="14"/>
          <w:lang w:eastAsia="es-CO"/>
        </w:rPr>
        <w:t>Cifras expresadas en pesos</w:t>
      </w:r>
    </w:p>
    <w:p w14:paraId="2A2CB76A" w14:textId="77777777" w:rsidR="0060233C" w:rsidRPr="00951AB1" w:rsidRDefault="0060233C" w:rsidP="000A5389">
      <w:pPr>
        <w:shd w:val="clear" w:color="auto" w:fill="FFFFFF"/>
        <w:spacing w:line="240" w:lineRule="auto"/>
        <w:textAlignment w:val="baseline"/>
        <w:rPr>
          <w:rFonts w:eastAsia="Times New Roman" w:cs="Times New Roman"/>
          <w:bdr w:val="none" w:sz="0" w:space="0" w:color="auto" w:frame="1"/>
        </w:rPr>
      </w:pPr>
    </w:p>
    <w:p w14:paraId="1085382D" w14:textId="77777777" w:rsidR="005E64D9" w:rsidRPr="00951AB1" w:rsidRDefault="005E64D9" w:rsidP="000A5389">
      <w:pPr>
        <w:shd w:val="clear" w:color="auto" w:fill="FFFFFF"/>
        <w:spacing w:line="240" w:lineRule="auto"/>
        <w:textAlignment w:val="baseline"/>
        <w:rPr>
          <w:rFonts w:eastAsia="Times New Roman" w:cs="Times New Roman"/>
          <w:bdr w:val="none" w:sz="0" w:space="0" w:color="auto" w:frame="1"/>
        </w:rPr>
      </w:pPr>
      <w:r w:rsidRPr="00951AB1">
        <w:rPr>
          <w:rFonts w:eastAsia="Times New Roman" w:cs="Times New Roman"/>
          <w:u w:val="single"/>
          <w:bdr w:val="none" w:sz="0" w:space="0" w:color="auto" w:frame="1"/>
        </w:rPr>
        <w:t>Luis Ariel Romero Palacio:</w:t>
      </w:r>
      <w:r w:rsidRPr="00951AB1">
        <w:rPr>
          <w:rFonts w:cs="Times New Roman"/>
        </w:rPr>
        <w:t xml:space="preserve"> </w:t>
      </w:r>
      <w:r w:rsidRPr="00951AB1">
        <w:rPr>
          <w:rFonts w:eastAsia="Times New Roman" w:cs="Times New Roman"/>
          <w:bdr w:val="none" w:sz="0" w:space="0" w:color="auto" w:frame="1"/>
        </w:rPr>
        <w:t>Situación Jurídica: Incapacidad remitida a Jurídica mediante memorando No 20224030145743 del 28/11/2022, en proyección de demanda. Despacho: Juzgado 06 Municipal de Pequeñas Causas laborales de Bogotá. Proceso 11001410500620230200800. Actuaciones: 05/12/2023 se realiza demanda y se comunica a la EPS Compensar vía correo electrónico// 12/12/2023 se recibe el acta de reparto asignándole número de radicación y juzgado a la demanda radicada// 04/06/2024 auto inadmite la demanda y corre traslado para ser subsanada por el termino de (5) cinco días// 11/06/2024 se envía subsanación de la demanda por parte de ANI, vía correo electrónico y radicada en el SIUGJ// 11/07/2024 auto admite la demanda subsanada por ANI y ordena notificarla personalmente a compensar E.P.S//se notifica demanda el día 24 de octubre de 2024.</w:t>
      </w:r>
    </w:p>
    <w:p w14:paraId="280B0FC2" w14:textId="77777777" w:rsidR="001D0619" w:rsidRDefault="001D0619" w:rsidP="000A5389">
      <w:pPr>
        <w:shd w:val="clear" w:color="auto" w:fill="FFFFFF"/>
        <w:spacing w:line="240" w:lineRule="auto"/>
        <w:textAlignment w:val="baseline"/>
        <w:rPr>
          <w:rFonts w:eastAsia="Times New Roman" w:cs="Times New Roman"/>
          <w:bdr w:val="none" w:sz="0" w:space="0" w:color="auto" w:frame="1"/>
        </w:rPr>
      </w:pPr>
    </w:p>
    <w:p w14:paraId="6DB7438C" w14:textId="774B8A71" w:rsidR="005E64D9" w:rsidRPr="00951AB1" w:rsidRDefault="005E64D9" w:rsidP="000A5389">
      <w:pPr>
        <w:shd w:val="clear" w:color="auto" w:fill="FFFFFF"/>
        <w:spacing w:line="240" w:lineRule="auto"/>
        <w:textAlignment w:val="baseline"/>
        <w:rPr>
          <w:rFonts w:eastAsia="Times New Roman" w:cs="Times New Roman"/>
          <w:bdr w:val="none" w:sz="0" w:space="0" w:color="auto" w:frame="1"/>
        </w:rPr>
      </w:pPr>
      <w:r w:rsidRPr="00951AB1">
        <w:rPr>
          <w:rFonts w:eastAsia="Times New Roman" w:cs="Times New Roman"/>
          <w:bdr w:val="none" w:sz="0" w:space="0" w:color="auto" w:frame="1"/>
        </w:rPr>
        <w:t>Envío memorando No. 20244030163723 a la Coordinación del GIT de Defensa Judicial con la solicitud de información sobre lo pertinente. Respuesta del GIT de Defensa Judicial con memorando No. 20247010221203 del 23 de diciembre de 2024 con el estado actual de las incapacidades en proceso jurídico. Envío memorando No. 20254030090323 el 23 de mayo de 2025 a la Coordinación del GIT de Defensa Judicial con la solicitud de información sobre el estado de las Incapacidades.11/07/2024 auto admite la demanda subsanada por ANI y ordena notificarla personalmente a compensar E.P.S., al realizar la revisión en portal de rama judicial registra como última actuación El 23 de enero de 2025 auto admite la demanda y requiere a la parte demandante.</w:t>
      </w:r>
    </w:p>
    <w:p w14:paraId="2AA74A92" w14:textId="77777777" w:rsidR="005E64D9" w:rsidRPr="00951AB1" w:rsidRDefault="005E64D9" w:rsidP="000A5389">
      <w:pPr>
        <w:shd w:val="clear" w:color="auto" w:fill="FFFFFF"/>
        <w:spacing w:line="240" w:lineRule="auto"/>
        <w:textAlignment w:val="baseline"/>
        <w:rPr>
          <w:rFonts w:eastAsia="Times New Roman" w:cs="Times New Roman"/>
          <w:bdr w:val="none" w:sz="0" w:space="0" w:color="auto" w:frame="1"/>
        </w:rPr>
      </w:pPr>
    </w:p>
    <w:p w14:paraId="6EE48E7D" w14:textId="77777777" w:rsidR="005E64D9" w:rsidRPr="00951AB1" w:rsidRDefault="005E64D9" w:rsidP="000A5389">
      <w:pPr>
        <w:shd w:val="clear" w:color="auto" w:fill="FFFFFF"/>
        <w:spacing w:line="240" w:lineRule="auto"/>
        <w:textAlignment w:val="baseline"/>
        <w:rPr>
          <w:rFonts w:eastAsia="Times New Roman" w:cs="Times New Roman"/>
          <w:bdr w:val="none" w:sz="0" w:space="0" w:color="auto" w:frame="1"/>
        </w:rPr>
      </w:pPr>
      <w:r w:rsidRPr="00951AB1">
        <w:rPr>
          <w:rFonts w:eastAsia="Times New Roman" w:cs="Times New Roman"/>
          <w:u w:val="single"/>
          <w:bdr w:val="none" w:sz="0" w:space="0" w:color="auto" w:frame="1"/>
        </w:rPr>
        <w:t>Sonia Rocio Oliveros Boada:</w:t>
      </w:r>
      <w:r w:rsidRPr="00951AB1">
        <w:rPr>
          <w:rFonts w:cs="Times New Roman"/>
        </w:rPr>
        <w:t xml:space="preserve"> </w:t>
      </w:r>
      <w:r w:rsidRPr="00951AB1">
        <w:rPr>
          <w:rFonts w:eastAsia="Times New Roman" w:cs="Times New Roman"/>
          <w:bdr w:val="none" w:sz="0" w:space="0" w:color="auto" w:frame="1"/>
        </w:rPr>
        <w:t xml:space="preserve">En gestión de cobro con radicado No. EN20250000435598 del 19 de mayo de 2025, pagos parciales en junio de 2025 y en septiembre de 2025, se realizó </w:t>
      </w:r>
      <w:r w:rsidRPr="00951AB1">
        <w:rPr>
          <w:rFonts w:eastAsia="Times New Roman" w:cs="Times New Roman"/>
          <w:bdr w:val="none" w:sz="0" w:space="0" w:color="auto" w:frame="1"/>
        </w:rPr>
        <w:lastRenderedPageBreak/>
        <w:t>recobro por la página de la EPS el 18 de noviembre de 2025 para el reconocimiento de la diferencia.</w:t>
      </w:r>
    </w:p>
    <w:p w14:paraId="513B4E3D" w14:textId="77777777" w:rsidR="005E64D9" w:rsidRPr="00951AB1" w:rsidRDefault="005E64D9" w:rsidP="000A5389">
      <w:pPr>
        <w:shd w:val="clear" w:color="auto" w:fill="FFFFFF"/>
        <w:spacing w:line="240" w:lineRule="auto"/>
        <w:textAlignment w:val="baseline"/>
        <w:rPr>
          <w:rFonts w:eastAsia="Times New Roman" w:cs="Times New Roman"/>
          <w:bdr w:val="none" w:sz="0" w:space="0" w:color="auto" w:frame="1"/>
        </w:rPr>
      </w:pPr>
    </w:p>
    <w:p w14:paraId="6B356BAD" w14:textId="77777777" w:rsidR="005E64D9" w:rsidRPr="00951AB1" w:rsidRDefault="005E64D9" w:rsidP="000A5389">
      <w:pPr>
        <w:shd w:val="clear" w:color="auto" w:fill="FFFFFF"/>
        <w:spacing w:line="240" w:lineRule="auto"/>
        <w:textAlignment w:val="baseline"/>
        <w:rPr>
          <w:rFonts w:eastAsia="Times New Roman" w:cs="Times New Roman"/>
          <w:bdr w:val="none" w:sz="0" w:space="0" w:color="auto" w:frame="1"/>
        </w:rPr>
      </w:pPr>
      <w:r w:rsidRPr="00951AB1">
        <w:rPr>
          <w:rFonts w:eastAsia="Times New Roman" w:cs="Times New Roman"/>
          <w:b/>
          <w:bCs/>
          <w:bdr w:val="none" w:sz="0" w:space="0" w:color="auto" w:frame="1"/>
        </w:rPr>
        <w:t>Entidad Promotora De Salud Famisanar S.A.S</w:t>
      </w:r>
      <w:r w:rsidRPr="00951AB1">
        <w:rPr>
          <w:rFonts w:eastAsia="Times New Roman" w:cs="Times New Roman"/>
          <w:bdr w:val="none" w:sz="0" w:space="0" w:color="auto" w:frame="1"/>
        </w:rPr>
        <w:t>, las cuales se detallan así:</w:t>
      </w:r>
    </w:p>
    <w:p w14:paraId="7B70ACCD" w14:textId="77777777" w:rsidR="005E64D9" w:rsidRPr="00951AB1" w:rsidRDefault="005E64D9" w:rsidP="000A5389">
      <w:pPr>
        <w:shd w:val="clear" w:color="auto" w:fill="FFFFFF"/>
        <w:spacing w:line="240" w:lineRule="auto"/>
        <w:textAlignment w:val="baseline"/>
        <w:rPr>
          <w:rFonts w:eastAsia="Times New Roman" w:cs="Times New Roman"/>
          <w:bdr w:val="none" w:sz="0" w:space="0" w:color="auto" w:frame="1"/>
        </w:rPr>
      </w:pPr>
    </w:p>
    <w:tbl>
      <w:tblPr>
        <w:tblW w:w="8660"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CellMar>
          <w:left w:w="70" w:type="dxa"/>
          <w:right w:w="70" w:type="dxa"/>
        </w:tblCellMar>
        <w:tblLook w:val="04A0" w:firstRow="1" w:lastRow="0" w:firstColumn="1" w:lastColumn="0" w:noHBand="0" w:noVBand="1"/>
      </w:tblPr>
      <w:tblGrid>
        <w:gridCol w:w="1271"/>
        <w:gridCol w:w="1276"/>
        <w:gridCol w:w="1575"/>
        <w:gridCol w:w="1216"/>
        <w:gridCol w:w="1216"/>
        <w:gridCol w:w="1153"/>
        <w:gridCol w:w="953"/>
      </w:tblGrid>
      <w:tr w:rsidR="005E64D9" w:rsidRPr="00B547EE" w14:paraId="218CD8E9" w14:textId="77777777" w:rsidTr="007D0403">
        <w:trPr>
          <w:trHeight w:val="405"/>
        </w:trPr>
        <w:tc>
          <w:tcPr>
            <w:tcW w:w="1271" w:type="dxa"/>
            <w:vAlign w:val="center"/>
            <w:hideMark/>
          </w:tcPr>
          <w:p w14:paraId="2CA2367A" w14:textId="77777777" w:rsidR="005E64D9" w:rsidRPr="00B547EE" w:rsidRDefault="005E64D9" w:rsidP="000A5389">
            <w:pPr>
              <w:spacing w:line="240" w:lineRule="auto"/>
              <w:jc w:val="center"/>
              <w:rPr>
                <w:rFonts w:eastAsia="Times New Roman" w:cs="Times New Roman"/>
                <w:b/>
                <w:bCs/>
                <w:color w:val="000000"/>
                <w:kern w:val="0"/>
                <w:sz w:val="18"/>
                <w:szCs w:val="18"/>
                <w:lang w:eastAsia="es-CO"/>
                <w14:ligatures w14:val="none"/>
              </w:rPr>
            </w:pPr>
            <w:r w:rsidRPr="00B547EE">
              <w:rPr>
                <w:rFonts w:eastAsia="Times New Roman" w:cs="Times New Roman"/>
                <w:b/>
                <w:bCs/>
                <w:color w:val="000000" w:themeColor="text1"/>
                <w:kern w:val="0"/>
                <w:sz w:val="18"/>
                <w:szCs w:val="18"/>
                <w:lang w:eastAsia="es-CO"/>
                <w14:ligatures w14:val="none"/>
              </w:rPr>
              <w:t>EPS</w:t>
            </w:r>
          </w:p>
        </w:tc>
        <w:tc>
          <w:tcPr>
            <w:tcW w:w="1276" w:type="dxa"/>
            <w:vAlign w:val="center"/>
            <w:hideMark/>
          </w:tcPr>
          <w:p w14:paraId="66109F7D" w14:textId="77777777" w:rsidR="005E64D9" w:rsidRPr="00B547EE" w:rsidRDefault="005E64D9" w:rsidP="000A5389">
            <w:pPr>
              <w:spacing w:line="240" w:lineRule="auto"/>
              <w:jc w:val="center"/>
              <w:rPr>
                <w:rFonts w:eastAsia="Times New Roman" w:cs="Times New Roman"/>
                <w:b/>
                <w:bCs/>
                <w:color w:val="000000"/>
                <w:kern w:val="0"/>
                <w:sz w:val="18"/>
                <w:szCs w:val="18"/>
                <w:lang w:eastAsia="es-CO"/>
                <w14:ligatures w14:val="none"/>
              </w:rPr>
            </w:pPr>
            <w:r w:rsidRPr="00B547EE">
              <w:rPr>
                <w:rFonts w:eastAsia="Times New Roman" w:cs="Times New Roman"/>
                <w:b/>
                <w:bCs/>
                <w:color w:val="000000" w:themeColor="text1"/>
                <w:kern w:val="0"/>
                <w:sz w:val="18"/>
                <w:szCs w:val="18"/>
                <w:lang w:eastAsia="es-CO"/>
                <w14:ligatures w14:val="none"/>
              </w:rPr>
              <w:t>FUNCIONARIO</w:t>
            </w:r>
          </w:p>
        </w:tc>
        <w:tc>
          <w:tcPr>
            <w:tcW w:w="1575" w:type="dxa"/>
            <w:vAlign w:val="center"/>
            <w:hideMark/>
          </w:tcPr>
          <w:p w14:paraId="26C36EF4" w14:textId="77777777" w:rsidR="005E64D9" w:rsidRPr="00B547EE" w:rsidRDefault="005E64D9" w:rsidP="000A5389">
            <w:pPr>
              <w:spacing w:line="240" w:lineRule="auto"/>
              <w:jc w:val="center"/>
              <w:rPr>
                <w:rFonts w:eastAsia="Times New Roman" w:cs="Times New Roman"/>
                <w:b/>
                <w:bCs/>
                <w:color w:val="000000"/>
                <w:kern w:val="0"/>
                <w:sz w:val="18"/>
                <w:szCs w:val="18"/>
                <w:lang w:eastAsia="es-CO"/>
                <w14:ligatures w14:val="none"/>
              </w:rPr>
            </w:pPr>
            <w:r w:rsidRPr="00B547EE">
              <w:rPr>
                <w:rFonts w:eastAsia="Times New Roman" w:cs="Times New Roman"/>
                <w:b/>
                <w:bCs/>
                <w:color w:val="000000" w:themeColor="text1"/>
                <w:kern w:val="0"/>
                <w:sz w:val="18"/>
                <w:szCs w:val="18"/>
                <w:lang w:eastAsia="es-CO"/>
                <w14:ligatures w14:val="none"/>
              </w:rPr>
              <w:t>No RESOLUCION</w:t>
            </w:r>
          </w:p>
        </w:tc>
        <w:tc>
          <w:tcPr>
            <w:tcW w:w="1216" w:type="dxa"/>
            <w:vAlign w:val="center"/>
            <w:hideMark/>
          </w:tcPr>
          <w:p w14:paraId="328459BD" w14:textId="77777777" w:rsidR="005E64D9" w:rsidRPr="00B547EE" w:rsidRDefault="005E64D9" w:rsidP="000A5389">
            <w:pPr>
              <w:spacing w:line="240" w:lineRule="auto"/>
              <w:jc w:val="center"/>
              <w:rPr>
                <w:rFonts w:eastAsia="Times New Roman" w:cs="Times New Roman"/>
                <w:b/>
                <w:bCs/>
                <w:color w:val="000000"/>
                <w:kern w:val="0"/>
                <w:sz w:val="18"/>
                <w:szCs w:val="18"/>
                <w:lang w:eastAsia="es-CO"/>
                <w14:ligatures w14:val="none"/>
              </w:rPr>
            </w:pPr>
            <w:r w:rsidRPr="00B547EE">
              <w:rPr>
                <w:rFonts w:eastAsia="Times New Roman" w:cs="Times New Roman"/>
                <w:b/>
                <w:bCs/>
                <w:color w:val="000000" w:themeColor="text1"/>
                <w:kern w:val="0"/>
                <w:sz w:val="18"/>
                <w:szCs w:val="18"/>
                <w:lang w:eastAsia="es-CO"/>
                <w14:ligatures w14:val="none"/>
              </w:rPr>
              <w:t>FECHA RESOLUCION</w:t>
            </w:r>
          </w:p>
        </w:tc>
        <w:tc>
          <w:tcPr>
            <w:tcW w:w="1216" w:type="dxa"/>
            <w:vAlign w:val="center"/>
            <w:hideMark/>
          </w:tcPr>
          <w:p w14:paraId="1A736BFF" w14:textId="77777777" w:rsidR="005E64D9" w:rsidRPr="00B547EE" w:rsidRDefault="005E64D9" w:rsidP="000A5389">
            <w:pPr>
              <w:spacing w:line="240" w:lineRule="auto"/>
              <w:jc w:val="center"/>
              <w:rPr>
                <w:rFonts w:eastAsia="Times New Roman" w:cs="Times New Roman"/>
                <w:b/>
                <w:bCs/>
                <w:color w:val="000000"/>
                <w:kern w:val="0"/>
                <w:sz w:val="18"/>
                <w:szCs w:val="18"/>
                <w:lang w:eastAsia="es-CO"/>
                <w14:ligatures w14:val="none"/>
              </w:rPr>
            </w:pPr>
            <w:r w:rsidRPr="00B547EE">
              <w:rPr>
                <w:rFonts w:eastAsia="Times New Roman" w:cs="Times New Roman"/>
                <w:b/>
                <w:bCs/>
                <w:color w:val="000000" w:themeColor="text1"/>
                <w:kern w:val="0"/>
                <w:sz w:val="18"/>
                <w:szCs w:val="18"/>
                <w:lang w:eastAsia="es-CO"/>
                <w14:ligatures w14:val="none"/>
              </w:rPr>
              <w:t>VALOR RESOLUCION</w:t>
            </w:r>
          </w:p>
        </w:tc>
        <w:tc>
          <w:tcPr>
            <w:tcW w:w="1153" w:type="dxa"/>
            <w:vAlign w:val="center"/>
            <w:hideMark/>
          </w:tcPr>
          <w:p w14:paraId="5902E24A" w14:textId="77777777" w:rsidR="005E64D9" w:rsidRPr="00B547EE" w:rsidRDefault="005E64D9" w:rsidP="000A5389">
            <w:pPr>
              <w:spacing w:line="240" w:lineRule="auto"/>
              <w:jc w:val="center"/>
              <w:rPr>
                <w:rFonts w:eastAsia="Times New Roman" w:cs="Times New Roman"/>
                <w:b/>
                <w:bCs/>
                <w:color w:val="000000"/>
                <w:kern w:val="0"/>
                <w:sz w:val="18"/>
                <w:szCs w:val="18"/>
                <w:lang w:eastAsia="es-CO"/>
                <w14:ligatures w14:val="none"/>
              </w:rPr>
            </w:pPr>
            <w:r w:rsidRPr="00B547EE">
              <w:rPr>
                <w:rFonts w:eastAsia="Times New Roman" w:cs="Times New Roman"/>
                <w:b/>
                <w:bCs/>
                <w:color w:val="000000" w:themeColor="text1"/>
                <w:kern w:val="0"/>
                <w:sz w:val="18"/>
                <w:szCs w:val="18"/>
                <w:lang w:eastAsia="es-CO"/>
                <w14:ligatures w14:val="none"/>
              </w:rPr>
              <w:t>VALOR CAUSADO EN NOMINA</w:t>
            </w:r>
          </w:p>
        </w:tc>
        <w:tc>
          <w:tcPr>
            <w:tcW w:w="953" w:type="dxa"/>
            <w:vAlign w:val="center"/>
            <w:hideMark/>
          </w:tcPr>
          <w:p w14:paraId="5EB003C1" w14:textId="77777777" w:rsidR="005E64D9" w:rsidRPr="00B547EE" w:rsidRDefault="005E64D9" w:rsidP="000A5389">
            <w:pPr>
              <w:spacing w:line="240" w:lineRule="auto"/>
              <w:jc w:val="center"/>
              <w:rPr>
                <w:rFonts w:eastAsia="Times New Roman" w:cs="Times New Roman"/>
                <w:b/>
                <w:bCs/>
                <w:color w:val="000000"/>
                <w:kern w:val="0"/>
                <w:sz w:val="18"/>
                <w:szCs w:val="18"/>
                <w:lang w:eastAsia="es-CO"/>
                <w14:ligatures w14:val="none"/>
              </w:rPr>
            </w:pPr>
            <w:r w:rsidRPr="00B547EE">
              <w:rPr>
                <w:rFonts w:eastAsia="Times New Roman" w:cs="Times New Roman"/>
                <w:b/>
                <w:bCs/>
                <w:color w:val="000000" w:themeColor="text1"/>
                <w:kern w:val="0"/>
                <w:sz w:val="18"/>
                <w:szCs w:val="18"/>
                <w:lang w:eastAsia="es-CO"/>
                <w14:ligatures w14:val="none"/>
              </w:rPr>
              <w:t>VALOR QUE ADEUDA LA EPS</w:t>
            </w:r>
          </w:p>
        </w:tc>
      </w:tr>
      <w:tr w:rsidR="005E64D9" w:rsidRPr="00B547EE" w14:paraId="1B4B20CC" w14:textId="77777777" w:rsidTr="007D0403">
        <w:trPr>
          <w:trHeight w:val="405"/>
        </w:trPr>
        <w:tc>
          <w:tcPr>
            <w:tcW w:w="1271" w:type="dxa"/>
            <w:vAlign w:val="center"/>
            <w:hideMark/>
          </w:tcPr>
          <w:p w14:paraId="336A154C" w14:textId="77777777" w:rsidR="005E64D9" w:rsidRPr="00B547EE" w:rsidRDefault="005E64D9" w:rsidP="000A5389">
            <w:pPr>
              <w:spacing w:line="240" w:lineRule="auto"/>
              <w:jc w:val="center"/>
              <w:rPr>
                <w:rFonts w:eastAsia="Times New Roman" w:cs="Times New Roman"/>
                <w:color w:val="000000"/>
                <w:kern w:val="0"/>
                <w:sz w:val="18"/>
                <w:szCs w:val="18"/>
                <w:lang w:eastAsia="es-CO"/>
                <w14:ligatures w14:val="none"/>
              </w:rPr>
            </w:pPr>
            <w:r w:rsidRPr="00B547EE">
              <w:rPr>
                <w:rFonts w:eastAsia="Times New Roman" w:cs="Times New Roman"/>
                <w:color w:val="000000" w:themeColor="text1"/>
                <w:kern w:val="0"/>
                <w:sz w:val="18"/>
                <w:szCs w:val="18"/>
                <w:lang w:eastAsia="es-CO"/>
                <w14:ligatures w14:val="none"/>
              </w:rPr>
              <w:t>FAMISANAR</w:t>
            </w:r>
          </w:p>
        </w:tc>
        <w:tc>
          <w:tcPr>
            <w:tcW w:w="1276" w:type="dxa"/>
            <w:vAlign w:val="center"/>
            <w:hideMark/>
          </w:tcPr>
          <w:p w14:paraId="07BFD65C" w14:textId="0AE31F5C" w:rsidR="005E64D9" w:rsidRPr="00B547EE" w:rsidRDefault="005E64D9" w:rsidP="000A5389">
            <w:pPr>
              <w:spacing w:line="240" w:lineRule="auto"/>
              <w:rPr>
                <w:rFonts w:eastAsia="Times New Roman" w:cs="Times New Roman"/>
                <w:color w:val="000000"/>
                <w:kern w:val="0"/>
                <w:sz w:val="18"/>
                <w:szCs w:val="18"/>
                <w:lang w:eastAsia="es-CO"/>
                <w14:ligatures w14:val="none"/>
              </w:rPr>
            </w:pPr>
            <w:r w:rsidRPr="00B547EE">
              <w:rPr>
                <w:rFonts w:eastAsia="Times New Roman" w:cs="Times New Roman"/>
                <w:color w:val="000000"/>
                <w:kern w:val="0"/>
                <w:sz w:val="18"/>
                <w:szCs w:val="18"/>
                <w:lang w:eastAsia="es-CO"/>
                <w14:ligatures w14:val="none"/>
              </w:rPr>
              <w:t xml:space="preserve">Andrea Patiño Chacón </w:t>
            </w:r>
          </w:p>
        </w:tc>
        <w:tc>
          <w:tcPr>
            <w:tcW w:w="1575" w:type="dxa"/>
            <w:vAlign w:val="center"/>
            <w:hideMark/>
          </w:tcPr>
          <w:p w14:paraId="658F416A" w14:textId="77777777" w:rsidR="005E64D9" w:rsidRPr="00B547EE" w:rsidRDefault="005E64D9" w:rsidP="000A5389">
            <w:pPr>
              <w:spacing w:line="240" w:lineRule="auto"/>
              <w:jc w:val="center"/>
              <w:rPr>
                <w:rFonts w:eastAsia="Times New Roman" w:cs="Times New Roman"/>
                <w:color w:val="000000"/>
                <w:kern w:val="0"/>
                <w:sz w:val="18"/>
                <w:szCs w:val="18"/>
                <w:lang w:eastAsia="es-CO"/>
                <w14:ligatures w14:val="none"/>
              </w:rPr>
            </w:pPr>
            <w:r w:rsidRPr="00B547EE">
              <w:rPr>
                <w:rFonts w:eastAsia="Times New Roman" w:cs="Times New Roman"/>
                <w:color w:val="000000" w:themeColor="text1"/>
                <w:kern w:val="0"/>
                <w:sz w:val="18"/>
                <w:szCs w:val="18"/>
                <w:lang w:eastAsia="es-CO"/>
                <w14:ligatures w14:val="none"/>
              </w:rPr>
              <w:t>20224030006185</w:t>
            </w:r>
          </w:p>
        </w:tc>
        <w:tc>
          <w:tcPr>
            <w:tcW w:w="1216" w:type="dxa"/>
            <w:vAlign w:val="center"/>
            <w:hideMark/>
          </w:tcPr>
          <w:p w14:paraId="43CD6FFA" w14:textId="77777777" w:rsidR="005E64D9" w:rsidRPr="00B547EE" w:rsidRDefault="005E64D9" w:rsidP="000A5389">
            <w:pPr>
              <w:spacing w:line="240" w:lineRule="auto"/>
              <w:jc w:val="center"/>
              <w:rPr>
                <w:rFonts w:eastAsia="Times New Roman" w:cs="Times New Roman"/>
                <w:color w:val="000000"/>
                <w:kern w:val="0"/>
                <w:sz w:val="18"/>
                <w:szCs w:val="18"/>
                <w:lang w:eastAsia="es-CO"/>
                <w14:ligatures w14:val="none"/>
              </w:rPr>
            </w:pPr>
            <w:r w:rsidRPr="00B547EE">
              <w:rPr>
                <w:rFonts w:eastAsia="Times New Roman" w:cs="Times New Roman"/>
                <w:color w:val="000000" w:themeColor="text1"/>
                <w:kern w:val="0"/>
                <w:sz w:val="18"/>
                <w:szCs w:val="18"/>
                <w:lang w:eastAsia="es-CO"/>
                <w14:ligatures w14:val="none"/>
              </w:rPr>
              <w:t>18/05/2022</w:t>
            </w:r>
          </w:p>
        </w:tc>
        <w:tc>
          <w:tcPr>
            <w:tcW w:w="1216" w:type="dxa"/>
            <w:vAlign w:val="center"/>
            <w:hideMark/>
          </w:tcPr>
          <w:p w14:paraId="3B4D95F3" w14:textId="77777777" w:rsidR="005E64D9" w:rsidRPr="00B547EE" w:rsidRDefault="005E64D9" w:rsidP="000A5389">
            <w:pPr>
              <w:spacing w:line="240" w:lineRule="auto"/>
              <w:jc w:val="right"/>
              <w:rPr>
                <w:rFonts w:eastAsia="Times New Roman" w:cs="Times New Roman"/>
                <w:color w:val="000000"/>
                <w:kern w:val="0"/>
                <w:sz w:val="18"/>
                <w:szCs w:val="18"/>
                <w:lang w:eastAsia="es-CO"/>
                <w14:ligatures w14:val="none"/>
              </w:rPr>
            </w:pPr>
            <w:r w:rsidRPr="00B547EE">
              <w:rPr>
                <w:rFonts w:eastAsia="Times New Roman" w:cs="Times New Roman"/>
                <w:color w:val="000000" w:themeColor="text1"/>
                <w:kern w:val="0"/>
                <w:sz w:val="18"/>
                <w:szCs w:val="18"/>
                <w:lang w:eastAsia="es-CO"/>
                <w14:ligatures w14:val="none"/>
              </w:rPr>
              <w:t>788.911</w:t>
            </w:r>
          </w:p>
        </w:tc>
        <w:tc>
          <w:tcPr>
            <w:tcW w:w="1153" w:type="dxa"/>
            <w:vAlign w:val="center"/>
            <w:hideMark/>
          </w:tcPr>
          <w:p w14:paraId="2A7E53BC" w14:textId="77777777" w:rsidR="005E64D9" w:rsidRPr="00B547EE" w:rsidRDefault="005E64D9" w:rsidP="000A5389">
            <w:pPr>
              <w:spacing w:line="240" w:lineRule="auto"/>
              <w:jc w:val="right"/>
              <w:rPr>
                <w:rFonts w:eastAsia="Times New Roman" w:cs="Times New Roman"/>
                <w:color w:val="000000"/>
                <w:kern w:val="0"/>
                <w:sz w:val="18"/>
                <w:szCs w:val="18"/>
                <w:lang w:eastAsia="es-CO"/>
                <w14:ligatures w14:val="none"/>
              </w:rPr>
            </w:pPr>
            <w:r w:rsidRPr="00B547EE">
              <w:rPr>
                <w:rFonts w:eastAsia="Times New Roman" w:cs="Times New Roman"/>
                <w:color w:val="000000" w:themeColor="text1"/>
                <w:kern w:val="0"/>
                <w:sz w:val="18"/>
                <w:szCs w:val="18"/>
                <w:lang w:eastAsia="es-CO"/>
                <w14:ligatures w14:val="none"/>
              </w:rPr>
              <w:t>788.911</w:t>
            </w:r>
          </w:p>
        </w:tc>
        <w:tc>
          <w:tcPr>
            <w:tcW w:w="953" w:type="dxa"/>
            <w:vAlign w:val="center"/>
            <w:hideMark/>
          </w:tcPr>
          <w:p w14:paraId="4B5F1F93" w14:textId="77777777" w:rsidR="005E64D9" w:rsidRPr="00B547EE" w:rsidRDefault="005E64D9" w:rsidP="000A5389">
            <w:pPr>
              <w:spacing w:line="240" w:lineRule="auto"/>
              <w:jc w:val="right"/>
              <w:rPr>
                <w:rFonts w:eastAsia="Times New Roman" w:cs="Times New Roman"/>
                <w:color w:val="000000"/>
                <w:kern w:val="0"/>
                <w:sz w:val="18"/>
                <w:szCs w:val="18"/>
                <w:lang w:eastAsia="es-CO"/>
                <w14:ligatures w14:val="none"/>
              </w:rPr>
            </w:pPr>
            <w:r w:rsidRPr="00B547EE">
              <w:rPr>
                <w:rFonts w:eastAsia="Times New Roman" w:cs="Times New Roman"/>
                <w:color w:val="000000" w:themeColor="text1"/>
                <w:kern w:val="0"/>
                <w:sz w:val="18"/>
                <w:szCs w:val="18"/>
                <w:lang w:eastAsia="es-CO"/>
                <w14:ligatures w14:val="none"/>
              </w:rPr>
              <w:t>788.911</w:t>
            </w:r>
          </w:p>
        </w:tc>
      </w:tr>
      <w:tr w:rsidR="005E64D9" w:rsidRPr="00B547EE" w14:paraId="39BD94B8" w14:textId="77777777" w:rsidTr="007D0403">
        <w:trPr>
          <w:trHeight w:val="405"/>
        </w:trPr>
        <w:tc>
          <w:tcPr>
            <w:tcW w:w="1271" w:type="dxa"/>
            <w:vAlign w:val="center"/>
            <w:hideMark/>
          </w:tcPr>
          <w:p w14:paraId="2C35F625" w14:textId="77777777" w:rsidR="005E64D9" w:rsidRPr="00B547EE" w:rsidRDefault="005E64D9" w:rsidP="000A5389">
            <w:pPr>
              <w:spacing w:line="240" w:lineRule="auto"/>
              <w:jc w:val="center"/>
              <w:rPr>
                <w:rFonts w:eastAsia="Times New Roman" w:cs="Times New Roman"/>
                <w:color w:val="000000"/>
                <w:kern w:val="0"/>
                <w:sz w:val="18"/>
                <w:szCs w:val="18"/>
                <w:lang w:eastAsia="es-CO"/>
                <w14:ligatures w14:val="none"/>
              </w:rPr>
            </w:pPr>
            <w:r w:rsidRPr="00B547EE">
              <w:rPr>
                <w:rFonts w:eastAsia="Times New Roman" w:cs="Times New Roman"/>
                <w:color w:val="000000" w:themeColor="text1"/>
                <w:kern w:val="0"/>
                <w:sz w:val="18"/>
                <w:szCs w:val="18"/>
                <w:lang w:eastAsia="es-CO"/>
                <w14:ligatures w14:val="none"/>
              </w:rPr>
              <w:t>FAMISANAR</w:t>
            </w:r>
          </w:p>
        </w:tc>
        <w:tc>
          <w:tcPr>
            <w:tcW w:w="1276" w:type="dxa"/>
            <w:vAlign w:val="center"/>
            <w:hideMark/>
          </w:tcPr>
          <w:p w14:paraId="2D30C096" w14:textId="42B0180E" w:rsidR="005E64D9" w:rsidRPr="00B547EE" w:rsidRDefault="005E64D9" w:rsidP="000A5389">
            <w:pPr>
              <w:spacing w:line="240" w:lineRule="auto"/>
              <w:rPr>
                <w:rFonts w:eastAsia="Times New Roman" w:cs="Times New Roman"/>
                <w:color w:val="000000"/>
                <w:kern w:val="0"/>
                <w:sz w:val="18"/>
                <w:szCs w:val="18"/>
                <w:lang w:eastAsia="es-CO"/>
                <w14:ligatures w14:val="none"/>
              </w:rPr>
            </w:pPr>
            <w:r w:rsidRPr="00B547EE">
              <w:rPr>
                <w:rFonts w:eastAsia="Times New Roman" w:cs="Times New Roman"/>
                <w:color w:val="000000"/>
                <w:kern w:val="0"/>
                <w:sz w:val="18"/>
                <w:szCs w:val="18"/>
                <w:lang w:eastAsia="es-CO"/>
                <w14:ligatures w14:val="none"/>
              </w:rPr>
              <w:t xml:space="preserve">Oscar Gustavo Calderon Medina </w:t>
            </w:r>
          </w:p>
        </w:tc>
        <w:tc>
          <w:tcPr>
            <w:tcW w:w="1575" w:type="dxa"/>
            <w:vAlign w:val="center"/>
            <w:hideMark/>
          </w:tcPr>
          <w:p w14:paraId="4258F77C" w14:textId="77777777" w:rsidR="005E64D9" w:rsidRPr="00B547EE" w:rsidRDefault="005E64D9" w:rsidP="000A5389">
            <w:pPr>
              <w:spacing w:line="240" w:lineRule="auto"/>
              <w:jc w:val="center"/>
              <w:rPr>
                <w:rFonts w:eastAsia="Times New Roman" w:cs="Times New Roman"/>
                <w:color w:val="000000"/>
                <w:kern w:val="0"/>
                <w:sz w:val="18"/>
                <w:szCs w:val="18"/>
                <w:lang w:eastAsia="es-CO"/>
                <w14:ligatures w14:val="none"/>
              </w:rPr>
            </w:pPr>
            <w:r w:rsidRPr="00B547EE">
              <w:rPr>
                <w:rFonts w:eastAsia="Times New Roman" w:cs="Times New Roman"/>
                <w:color w:val="000000" w:themeColor="text1"/>
                <w:kern w:val="0"/>
                <w:sz w:val="18"/>
                <w:szCs w:val="18"/>
                <w:lang w:eastAsia="es-CO"/>
                <w14:ligatures w14:val="none"/>
              </w:rPr>
              <w:t>20244030003925</w:t>
            </w:r>
          </w:p>
        </w:tc>
        <w:tc>
          <w:tcPr>
            <w:tcW w:w="1216" w:type="dxa"/>
            <w:vAlign w:val="center"/>
            <w:hideMark/>
          </w:tcPr>
          <w:p w14:paraId="6A1B2457" w14:textId="77777777" w:rsidR="005E64D9" w:rsidRPr="00B547EE" w:rsidRDefault="005E64D9" w:rsidP="000A5389">
            <w:pPr>
              <w:spacing w:line="240" w:lineRule="auto"/>
              <w:jc w:val="center"/>
              <w:rPr>
                <w:rFonts w:eastAsia="Times New Roman" w:cs="Times New Roman"/>
                <w:color w:val="000000"/>
                <w:kern w:val="0"/>
                <w:sz w:val="18"/>
                <w:szCs w:val="18"/>
                <w:lang w:eastAsia="es-CO"/>
                <w14:ligatures w14:val="none"/>
              </w:rPr>
            </w:pPr>
            <w:r w:rsidRPr="00B547EE">
              <w:rPr>
                <w:rFonts w:eastAsia="Times New Roman" w:cs="Times New Roman"/>
                <w:color w:val="000000" w:themeColor="text1"/>
                <w:kern w:val="0"/>
                <w:sz w:val="18"/>
                <w:szCs w:val="18"/>
                <w:lang w:eastAsia="es-CO"/>
                <w14:ligatures w14:val="none"/>
              </w:rPr>
              <w:t>24/04/2024</w:t>
            </w:r>
          </w:p>
        </w:tc>
        <w:tc>
          <w:tcPr>
            <w:tcW w:w="1216" w:type="dxa"/>
            <w:vAlign w:val="center"/>
            <w:hideMark/>
          </w:tcPr>
          <w:p w14:paraId="2E4E04B5" w14:textId="77777777" w:rsidR="005E64D9" w:rsidRPr="00B547EE" w:rsidRDefault="005E64D9" w:rsidP="000A5389">
            <w:pPr>
              <w:spacing w:line="240" w:lineRule="auto"/>
              <w:jc w:val="right"/>
              <w:rPr>
                <w:rFonts w:eastAsia="Times New Roman" w:cs="Times New Roman"/>
                <w:color w:val="000000"/>
                <w:kern w:val="0"/>
                <w:sz w:val="18"/>
                <w:szCs w:val="18"/>
                <w:lang w:eastAsia="es-CO"/>
                <w14:ligatures w14:val="none"/>
              </w:rPr>
            </w:pPr>
            <w:r w:rsidRPr="00B547EE">
              <w:rPr>
                <w:rFonts w:eastAsia="Times New Roman" w:cs="Times New Roman"/>
                <w:color w:val="000000" w:themeColor="text1"/>
                <w:kern w:val="0"/>
                <w:sz w:val="18"/>
                <w:szCs w:val="18"/>
                <w:lang w:eastAsia="es-CO"/>
                <w14:ligatures w14:val="none"/>
              </w:rPr>
              <w:t>1.061.445</w:t>
            </w:r>
          </w:p>
        </w:tc>
        <w:tc>
          <w:tcPr>
            <w:tcW w:w="1153" w:type="dxa"/>
            <w:vAlign w:val="center"/>
            <w:hideMark/>
          </w:tcPr>
          <w:p w14:paraId="02176B33" w14:textId="77777777" w:rsidR="005E64D9" w:rsidRPr="00B547EE" w:rsidRDefault="005E64D9" w:rsidP="000A5389">
            <w:pPr>
              <w:spacing w:line="240" w:lineRule="auto"/>
              <w:jc w:val="right"/>
              <w:rPr>
                <w:rFonts w:eastAsia="Times New Roman" w:cs="Times New Roman"/>
                <w:color w:val="000000"/>
                <w:kern w:val="0"/>
                <w:sz w:val="18"/>
                <w:szCs w:val="18"/>
                <w:lang w:eastAsia="es-CO"/>
                <w14:ligatures w14:val="none"/>
              </w:rPr>
            </w:pPr>
            <w:r w:rsidRPr="00B547EE">
              <w:rPr>
                <w:rFonts w:eastAsia="Times New Roman" w:cs="Times New Roman"/>
                <w:color w:val="000000"/>
                <w:kern w:val="0"/>
                <w:sz w:val="18"/>
                <w:szCs w:val="18"/>
                <w:lang w:eastAsia="es-CO"/>
                <w14:ligatures w14:val="none"/>
              </w:rPr>
              <w:t>1.061.445</w:t>
            </w:r>
          </w:p>
        </w:tc>
        <w:tc>
          <w:tcPr>
            <w:tcW w:w="953" w:type="dxa"/>
            <w:vAlign w:val="center"/>
            <w:hideMark/>
          </w:tcPr>
          <w:p w14:paraId="57783607" w14:textId="77777777" w:rsidR="005E64D9" w:rsidRPr="00B547EE" w:rsidRDefault="005E64D9" w:rsidP="000A5389">
            <w:pPr>
              <w:spacing w:line="240" w:lineRule="auto"/>
              <w:jc w:val="right"/>
              <w:rPr>
                <w:rFonts w:eastAsia="Times New Roman" w:cs="Times New Roman"/>
                <w:color w:val="000000"/>
                <w:kern w:val="0"/>
                <w:sz w:val="18"/>
                <w:szCs w:val="18"/>
                <w:lang w:eastAsia="es-CO"/>
                <w14:ligatures w14:val="none"/>
              </w:rPr>
            </w:pPr>
            <w:r w:rsidRPr="00B547EE">
              <w:rPr>
                <w:rFonts w:eastAsia="Times New Roman" w:cs="Times New Roman"/>
                <w:color w:val="000000"/>
                <w:kern w:val="0"/>
                <w:sz w:val="18"/>
                <w:szCs w:val="18"/>
                <w:lang w:eastAsia="es-CO"/>
                <w14:ligatures w14:val="none"/>
              </w:rPr>
              <w:t>12.054</w:t>
            </w:r>
          </w:p>
        </w:tc>
      </w:tr>
      <w:tr w:rsidR="005E64D9" w:rsidRPr="00B547EE" w14:paraId="4CED851E" w14:textId="77777777" w:rsidTr="007D0403">
        <w:trPr>
          <w:trHeight w:val="405"/>
        </w:trPr>
        <w:tc>
          <w:tcPr>
            <w:tcW w:w="1271" w:type="dxa"/>
            <w:vAlign w:val="center"/>
            <w:hideMark/>
          </w:tcPr>
          <w:p w14:paraId="38FF3016" w14:textId="77777777" w:rsidR="005E64D9" w:rsidRPr="00B547EE" w:rsidRDefault="005E64D9" w:rsidP="000A5389">
            <w:pPr>
              <w:spacing w:line="240" w:lineRule="auto"/>
              <w:jc w:val="center"/>
              <w:rPr>
                <w:rFonts w:eastAsia="Times New Roman" w:cs="Times New Roman"/>
                <w:color w:val="000000"/>
                <w:kern w:val="0"/>
                <w:sz w:val="18"/>
                <w:szCs w:val="18"/>
                <w:lang w:eastAsia="es-CO"/>
                <w14:ligatures w14:val="none"/>
              </w:rPr>
            </w:pPr>
            <w:r w:rsidRPr="00B547EE">
              <w:rPr>
                <w:rFonts w:eastAsia="Times New Roman" w:cs="Times New Roman"/>
                <w:color w:val="000000" w:themeColor="text1"/>
                <w:kern w:val="0"/>
                <w:sz w:val="18"/>
                <w:szCs w:val="18"/>
                <w:lang w:eastAsia="es-CO"/>
                <w14:ligatures w14:val="none"/>
              </w:rPr>
              <w:t>FAMISANAR</w:t>
            </w:r>
          </w:p>
        </w:tc>
        <w:tc>
          <w:tcPr>
            <w:tcW w:w="1276" w:type="dxa"/>
            <w:vAlign w:val="center"/>
            <w:hideMark/>
          </w:tcPr>
          <w:p w14:paraId="30E47C48" w14:textId="6F95FFF9" w:rsidR="005E64D9" w:rsidRPr="00B547EE" w:rsidRDefault="005E64D9" w:rsidP="000A5389">
            <w:pPr>
              <w:spacing w:line="240" w:lineRule="auto"/>
              <w:rPr>
                <w:rFonts w:eastAsia="Times New Roman" w:cs="Times New Roman"/>
                <w:color w:val="000000"/>
                <w:kern w:val="0"/>
                <w:sz w:val="18"/>
                <w:szCs w:val="18"/>
                <w:lang w:eastAsia="es-CO"/>
                <w14:ligatures w14:val="none"/>
              </w:rPr>
            </w:pPr>
            <w:r w:rsidRPr="00B547EE">
              <w:rPr>
                <w:rFonts w:eastAsia="Times New Roman" w:cs="Times New Roman"/>
                <w:color w:val="000000"/>
                <w:kern w:val="0"/>
                <w:sz w:val="18"/>
                <w:szCs w:val="18"/>
                <w:lang w:eastAsia="es-CO"/>
                <w14:ligatures w14:val="none"/>
              </w:rPr>
              <w:t xml:space="preserve">Edward Norvey Verano Bohorquez </w:t>
            </w:r>
          </w:p>
        </w:tc>
        <w:tc>
          <w:tcPr>
            <w:tcW w:w="1575" w:type="dxa"/>
            <w:vAlign w:val="center"/>
            <w:hideMark/>
          </w:tcPr>
          <w:p w14:paraId="4880AA27" w14:textId="77777777" w:rsidR="005E64D9" w:rsidRPr="00B547EE" w:rsidRDefault="005E64D9" w:rsidP="000A5389">
            <w:pPr>
              <w:spacing w:line="240" w:lineRule="auto"/>
              <w:jc w:val="center"/>
              <w:rPr>
                <w:rFonts w:eastAsia="Times New Roman" w:cs="Times New Roman"/>
                <w:color w:val="000000"/>
                <w:kern w:val="0"/>
                <w:sz w:val="18"/>
                <w:szCs w:val="18"/>
                <w:lang w:eastAsia="es-CO"/>
                <w14:ligatures w14:val="none"/>
              </w:rPr>
            </w:pPr>
            <w:r w:rsidRPr="00B547EE">
              <w:rPr>
                <w:rFonts w:eastAsia="Times New Roman" w:cs="Times New Roman"/>
                <w:color w:val="000000"/>
                <w:kern w:val="0"/>
                <w:sz w:val="18"/>
                <w:szCs w:val="18"/>
                <w:lang w:eastAsia="es-CO"/>
                <w14:ligatures w14:val="none"/>
              </w:rPr>
              <w:t>20254030018355</w:t>
            </w:r>
          </w:p>
        </w:tc>
        <w:tc>
          <w:tcPr>
            <w:tcW w:w="1216" w:type="dxa"/>
            <w:vAlign w:val="center"/>
            <w:hideMark/>
          </w:tcPr>
          <w:p w14:paraId="0B0C6566" w14:textId="77777777" w:rsidR="005E64D9" w:rsidRPr="00B547EE" w:rsidRDefault="005E64D9" w:rsidP="000A5389">
            <w:pPr>
              <w:spacing w:line="240" w:lineRule="auto"/>
              <w:jc w:val="center"/>
              <w:rPr>
                <w:rFonts w:eastAsia="Times New Roman" w:cs="Times New Roman"/>
                <w:color w:val="000000"/>
                <w:kern w:val="0"/>
                <w:sz w:val="18"/>
                <w:szCs w:val="18"/>
                <w:lang w:eastAsia="es-CO"/>
                <w14:ligatures w14:val="none"/>
              </w:rPr>
            </w:pPr>
            <w:r w:rsidRPr="00B547EE">
              <w:rPr>
                <w:rFonts w:eastAsia="Times New Roman" w:cs="Times New Roman"/>
                <w:color w:val="000000" w:themeColor="text1"/>
                <w:kern w:val="0"/>
                <w:sz w:val="18"/>
                <w:szCs w:val="18"/>
                <w:lang w:eastAsia="es-CO"/>
                <w14:ligatures w14:val="none"/>
              </w:rPr>
              <w:t>12/08/2025</w:t>
            </w:r>
          </w:p>
        </w:tc>
        <w:tc>
          <w:tcPr>
            <w:tcW w:w="1216" w:type="dxa"/>
            <w:vAlign w:val="center"/>
            <w:hideMark/>
          </w:tcPr>
          <w:p w14:paraId="759ABB9D" w14:textId="77777777" w:rsidR="005E64D9" w:rsidRPr="00B547EE" w:rsidRDefault="005E64D9" w:rsidP="000A5389">
            <w:pPr>
              <w:spacing w:line="240" w:lineRule="auto"/>
              <w:jc w:val="right"/>
              <w:rPr>
                <w:rFonts w:eastAsia="Times New Roman" w:cs="Times New Roman"/>
                <w:color w:val="000000"/>
                <w:kern w:val="0"/>
                <w:sz w:val="18"/>
                <w:szCs w:val="18"/>
                <w:lang w:eastAsia="es-CO"/>
                <w14:ligatures w14:val="none"/>
              </w:rPr>
            </w:pPr>
            <w:r w:rsidRPr="00B547EE">
              <w:rPr>
                <w:rFonts w:eastAsia="Times New Roman" w:cs="Times New Roman"/>
                <w:color w:val="000000" w:themeColor="text1"/>
                <w:kern w:val="0"/>
                <w:sz w:val="18"/>
                <w:szCs w:val="18"/>
                <w:lang w:eastAsia="es-CO"/>
                <w14:ligatures w14:val="none"/>
              </w:rPr>
              <w:t>2.157.882</w:t>
            </w:r>
          </w:p>
        </w:tc>
        <w:tc>
          <w:tcPr>
            <w:tcW w:w="1153" w:type="dxa"/>
            <w:vAlign w:val="center"/>
            <w:hideMark/>
          </w:tcPr>
          <w:p w14:paraId="4C1C73C4" w14:textId="77777777" w:rsidR="005E64D9" w:rsidRPr="00B547EE" w:rsidRDefault="005E64D9" w:rsidP="000A5389">
            <w:pPr>
              <w:spacing w:line="240" w:lineRule="auto"/>
              <w:jc w:val="right"/>
              <w:rPr>
                <w:rFonts w:eastAsia="Times New Roman" w:cs="Times New Roman"/>
                <w:color w:val="000000"/>
                <w:kern w:val="0"/>
                <w:sz w:val="18"/>
                <w:szCs w:val="18"/>
                <w:lang w:eastAsia="es-CO"/>
                <w14:ligatures w14:val="none"/>
              </w:rPr>
            </w:pPr>
            <w:r w:rsidRPr="00B547EE">
              <w:rPr>
                <w:rFonts w:eastAsia="Times New Roman" w:cs="Times New Roman"/>
                <w:color w:val="000000" w:themeColor="text1"/>
                <w:kern w:val="0"/>
                <w:sz w:val="18"/>
                <w:szCs w:val="18"/>
                <w:lang w:eastAsia="es-CO"/>
                <w14:ligatures w14:val="none"/>
              </w:rPr>
              <w:t>2.157.882</w:t>
            </w:r>
          </w:p>
        </w:tc>
        <w:tc>
          <w:tcPr>
            <w:tcW w:w="953" w:type="dxa"/>
            <w:vAlign w:val="center"/>
            <w:hideMark/>
          </w:tcPr>
          <w:p w14:paraId="7A91F83F" w14:textId="77777777" w:rsidR="005E64D9" w:rsidRPr="00B547EE" w:rsidRDefault="005E64D9" w:rsidP="000A5389">
            <w:pPr>
              <w:spacing w:line="240" w:lineRule="auto"/>
              <w:jc w:val="right"/>
              <w:rPr>
                <w:rFonts w:eastAsia="Times New Roman" w:cs="Times New Roman"/>
                <w:color w:val="000000"/>
                <w:kern w:val="0"/>
                <w:sz w:val="18"/>
                <w:szCs w:val="18"/>
                <w:lang w:eastAsia="es-CO"/>
                <w14:ligatures w14:val="none"/>
              </w:rPr>
            </w:pPr>
            <w:r w:rsidRPr="00B547EE">
              <w:rPr>
                <w:rFonts w:eastAsia="Times New Roman" w:cs="Times New Roman"/>
                <w:color w:val="000000" w:themeColor="text1"/>
                <w:kern w:val="0"/>
                <w:sz w:val="18"/>
                <w:szCs w:val="18"/>
                <w:lang w:eastAsia="es-CO"/>
                <w14:ligatures w14:val="none"/>
              </w:rPr>
              <w:t>250.424</w:t>
            </w:r>
          </w:p>
        </w:tc>
      </w:tr>
      <w:tr w:rsidR="005E64D9" w:rsidRPr="00B547EE" w14:paraId="1AA8A380" w14:textId="77777777" w:rsidTr="007D0403">
        <w:trPr>
          <w:trHeight w:val="405"/>
        </w:trPr>
        <w:tc>
          <w:tcPr>
            <w:tcW w:w="5338" w:type="dxa"/>
            <w:gridSpan w:val="4"/>
            <w:vAlign w:val="center"/>
            <w:hideMark/>
          </w:tcPr>
          <w:p w14:paraId="4F18B008" w14:textId="77777777" w:rsidR="005E64D9" w:rsidRPr="00B547EE" w:rsidRDefault="005E64D9" w:rsidP="000A5389">
            <w:pPr>
              <w:spacing w:line="240" w:lineRule="auto"/>
              <w:jc w:val="center"/>
              <w:rPr>
                <w:rFonts w:eastAsia="Times New Roman" w:cs="Times New Roman"/>
                <w:b/>
                <w:bCs/>
                <w:color w:val="000000"/>
                <w:kern w:val="0"/>
                <w:sz w:val="18"/>
                <w:szCs w:val="18"/>
                <w:lang w:eastAsia="es-CO"/>
                <w14:ligatures w14:val="none"/>
              </w:rPr>
            </w:pPr>
            <w:r w:rsidRPr="00B547EE">
              <w:rPr>
                <w:rFonts w:eastAsia="Times New Roman" w:cs="Times New Roman"/>
                <w:b/>
                <w:bCs/>
                <w:color w:val="000000"/>
                <w:kern w:val="0"/>
                <w:sz w:val="18"/>
                <w:szCs w:val="18"/>
                <w:lang w:eastAsia="es-CO"/>
                <w14:ligatures w14:val="none"/>
              </w:rPr>
              <w:t>TOTALES</w:t>
            </w:r>
          </w:p>
        </w:tc>
        <w:tc>
          <w:tcPr>
            <w:tcW w:w="1216" w:type="dxa"/>
            <w:vAlign w:val="center"/>
            <w:hideMark/>
          </w:tcPr>
          <w:p w14:paraId="0125FE79" w14:textId="77777777" w:rsidR="005E64D9" w:rsidRPr="00B547EE" w:rsidRDefault="005E64D9" w:rsidP="000A5389">
            <w:pPr>
              <w:spacing w:line="240" w:lineRule="auto"/>
              <w:jc w:val="right"/>
              <w:rPr>
                <w:rFonts w:eastAsia="Times New Roman" w:cs="Times New Roman"/>
                <w:b/>
                <w:bCs/>
                <w:color w:val="000000"/>
                <w:kern w:val="0"/>
                <w:sz w:val="18"/>
                <w:szCs w:val="18"/>
                <w:lang w:eastAsia="es-CO"/>
                <w14:ligatures w14:val="none"/>
              </w:rPr>
            </w:pPr>
            <w:r w:rsidRPr="00B547EE">
              <w:rPr>
                <w:rFonts w:eastAsia="Times New Roman" w:cs="Times New Roman"/>
                <w:b/>
                <w:bCs/>
                <w:color w:val="000000"/>
                <w:kern w:val="0"/>
                <w:sz w:val="18"/>
                <w:szCs w:val="18"/>
                <w:lang w:eastAsia="es-CO"/>
                <w14:ligatures w14:val="none"/>
              </w:rPr>
              <w:t>4.008.238</w:t>
            </w:r>
          </w:p>
        </w:tc>
        <w:tc>
          <w:tcPr>
            <w:tcW w:w="1153" w:type="dxa"/>
            <w:vAlign w:val="center"/>
            <w:hideMark/>
          </w:tcPr>
          <w:p w14:paraId="29A01A16" w14:textId="77777777" w:rsidR="005E64D9" w:rsidRPr="00B547EE" w:rsidRDefault="005E64D9" w:rsidP="000A5389">
            <w:pPr>
              <w:spacing w:line="240" w:lineRule="auto"/>
              <w:jc w:val="right"/>
              <w:rPr>
                <w:rFonts w:eastAsia="Times New Roman" w:cs="Times New Roman"/>
                <w:b/>
                <w:bCs/>
                <w:color w:val="000000"/>
                <w:kern w:val="0"/>
                <w:sz w:val="18"/>
                <w:szCs w:val="18"/>
                <w:lang w:eastAsia="es-CO"/>
                <w14:ligatures w14:val="none"/>
              </w:rPr>
            </w:pPr>
            <w:r w:rsidRPr="00B547EE">
              <w:rPr>
                <w:rFonts w:eastAsia="Times New Roman" w:cs="Times New Roman"/>
                <w:b/>
                <w:bCs/>
                <w:color w:val="000000"/>
                <w:kern w:val="0"/>
                <w:sz w:val="18"/>
                <w:szCs w:val="18"/>
                <w:lang w:eastAsia="es-CO"/>
                <w14:ligatures w14:val="none"/>
              </w:rPr>
              <w:t>4.008.238</w:t>
            </w:r>
          </w:p>
        </w:tc>
        <w:tc>
          <w:tcPr>
            <w:tcW w:w="953" w:type="dxa"/>
            <w:vAlign w:val="center"/>
            <w:hideMark/>
          </w:tcPr>
          <w:p w14:paraId="7E158552" w14:textId="77777777" w:rsidR="005E64D9" w:rsidRPr="00B547EE" w:rsidRDefault="005E64D9" w:rsidP="000A5389">
            <w:pPr>
              <w:spacing w:line="240" w:lineRule="auto"/>
              <w:jc w:val="right"/>
              <w:rPr>
                <w:rFonts w:eastAsia="Times New Roman" w:cs="Times New Roman"/>
                <w:b/>
                <w:bCs/>
                <w:color w:val="000000"/>
                <w:kern w:val="0"/>
                <w:sz w:val="18"/>
                <w:szCs w:val="18"/>
                <w:lang w:eastAsia="es-CO"/>
                <w14:ligatures w14:val="none"/>
              </w:rPr>
            </w:pPr>
            <w:r w:rsidRPr="00B547EE">
              <w:rPr>
                <w:rFonts w:eastAsia="Times New Roman" w:cs="Times New Roman"/>
                <w:b/>
                <w:bCs/>
                <w:color w:val="000000"/>
                <w:kern w:val="0"/>
                <w:sz w:val="18"/>
                <w:szCs w:val="18"/>
                <w:lang w:eastAsia="es-CO"/>
                <w14:ligatures w14:val="none"/>
              </w:rPr>
              <w:t>1.051.389</w:t>
            </w:r>
          </w:p>
        </w:tc>
      </w:tr>
    </w:tbl>
    <w:p w14:paraId="32C766C4" w14:textId="77777777" w:rsidR="0060233C" w:rsidRPr="00951AB1" w:rsidRDefault="0060233C" w:rsidP="000A5389">
      <w:pPr>
        <w:spacing w:line="240" w:lineRule="auto"/>
        <w:rPr>
          <w:rFonts w:eastAsia="Times New Roman" w:cs="Times New Roman"/>
          <w:color w:val="000000" w:themeColor="text1"/>
          <w:sz w:val="14"/>
          <w:szCs w:val="14"/>
          <w:lang w:eastAsia="es-CO"/>
        </w:rPr>
      </w:pPr>
      <w:r w:rsidRPr="00951AB1">
        <w:rPr>
          <w:rFonts w:eastAsia="Times New Roman" w:cs="Times New Roman"/>
          <w:color w:val="000000" w:themeColor="text1"/>
          <w:sz w:val="14"/>
          <w:szCs w:val="14"/>
          <w:lang w:eastAsia="es-CO"/>
        </w:rPr>
        <w:t>Cifras expresadas en pesos</w:t>
      </w:r>
    </w:p>
    <w:p w14:paraId="52951561" w14:textId="77777777" w:rsidR="005E64D9" w:rsidRPr="00951AB1" w:rsidRDefault="005E64D9" w:rsidP="000A5389">
      <w:pPr>
        <w:shd w:val="clear" w:color="auto" w:fill="FFFFFF"/>
        <w:spacing w:line="240" w:lineRule="auto"/>
        <w:textAlignment w:val="baseline"/>
        <w:rPr>
          <w:rFonts w:eastAsia="Times New Roman" w:cs="Times New Roman"/>
          <w:bdr w:val="none" w:sz="0" w:space="0" w:color="auto" w:frame="1"/>
        </w:rPr>
      </w:pPr>
    </w:p>
    <w:p w14:paraId="3C6206B3" w14:textId="1DF8B808" w:rsidR="005E64D9" w:rsidRDefault="005E64D9" w:rsidP="000A5389">
      <w:pPr>
        <w:shd w:val="clear" w:color="auto" w:fill="FFFFFF"/>
        <w:spacing w:line="240" w:lineRule="auto"/>
        <w:textAlignment w:val="baseline"/>
        <w:rPr>
          <w:rFonts w:eastAsia="Times New Roman" w:cs="Times New Roman"/>
          <w:bdr w:val="none" w:sz="0" w:space="0" w:color="auto" w:frame="1"/>
        </w:rPr>
      </w:pPr>
      <w:r w:rsidRPr="00951AB1">
        <w:rPr>
          <w:rFonts w:eastAsia="Times New Roman" w:cs="Times New Roman"/>
          <w:u w:val="single"/>
          <w:bdr w:val="none" w:sz="0" w:space="0" w:color="auto" w:frame="1"/>
        </w:rPr>
        <w:t>Andrea Patiño Chacón:</w:t>
      </w:r>
      <w:r w:rsidRPr="00951AB1">
        <w:rPr>
          <w:rFonts w:cs="Times New Roman"/>
        </w:rPr>
        <w:t xml:space="preserve"> </w:t>
      </w:r>
      <w:r w:rsidRPr="00951AB1">
        <w:rPr>
          <w:rFonts w:eastAsia="Times New Roman" w:cs="Times New Roman"/>
          <w:bdr w:val="none" w:sz="0" w:space="0" w:color="auto" w:frame="1"/>
        </w:rPr>
        <w:t xml:space="preserve">Situación Jurídica: Incapacidad remitida a Jurídica mediante Memorando No 20224030146293 del 28/11/2022, en proyección de demanda. </w:t>
      </w:r>
    </w:p>
    <w:p w14:paraId="581B7B6A" w14:textId="77777777" w:rsidR="00B547EE" w:rsidRPr="00951AB1" w:rsidRDefault="00B547EE" w:rsidP="000A5389">
      <w:pPr>
        <w:shd w:val="clear" w:color="auto" w:fill="FFFFFF"/>
        <w:spacing w:line="240" w:lineRule="auto"/>
        <w:textAlignment w:val="baseline"/>
        <w:rPr>
          <w:rFonts w:eastAsia="Times New Roman" w:cs="Times New Roman"/>
          <w:bdr w:val="none" w:sz="0" w:space="0" w:color="auto" w:frame="1"/>
        </w:rPr>
      </w:pPr>
    </w:p>
    <w:p w14:paraId="277A0452" w14:textId="77777777" w:rsidR="002B4B25" w:rsidRDefault="005E64D9" w:rsidP="000A5389">
      <w:pPr>
        <w:shd w:val="clear" w:color="auto" w:fill="FFFFFF"/>
        <w:spacing w:line="240" w:lineRule="auto"/>
        <w:textAlignment w:val="baseline"/>
        <w:rPr>
          <w:rFonts w:eastAsia="Times New Roman" w:cs="Times New Roman"/>
          <w:bdr w:val="none" w:sz="0" w:space="0" w:color="auto" w:frame="1"/>
        </w:rPr>
      </w:pPr>
      <w:r w:rsidRPr="00951AB1">
        <w:rPr>
          <w:rFonts w:eastAsia="Times New Roman" w:cs="Times New Roman"/>
          <w:bdr w:val="none" w:sz="0" w:space="0" w:color="auto" w:frame="1"/>
        </w:rPr>
        <w:t>Despacho: Juzgado 011 Municipal de pequeñas causas laborales. Proceso: 11001410501120230200100. Actuaciones: 05/12/2023 se realiza demanda y se comunica a la EPS Famisanar vía correo electrónico// 07/12/2023 se recibe el acta de reparto asignándole número de radicación y juzgado a la demanda radicada// 14/12/2023 auto admite demanda y reconoce personería al Dr. Elber Andrés Estupiñán // 15/01/2024 apoderado de Famisanar EPS envía poder// 08/05/2024 auto notifica por conducta concluyente a la demandada y corre traslado por 10 días para que conteste la demanda y fija fecha para audiencia de que trata el artículo 72 del C.P.T.S.S., el día 20 de agosto de 2024 a las 10:30 a.m. de manera virtual por la plataforma times// 20/08/2024 se realiza audiencia, niegan pretensiones a ANI y condena en costas a 50.000 en espera de liquidación por parte del despacho// 13/09/2024 auto aprueba liquidación de costas, archivar el proceso, previas las correspondientes anotaciones en los libros radicadores.</w:t>
      </w:r>
    </w:p>
    <w:p w14:paraId="17A7E06A" w14:textId="458C03C9" w:rsidR="005E64D9" w:rsidRPr="00951AB1" w:rsidRDefault="005E64D9" w:rsidP="000A5389">
      <w:pPr>
        <w:shd w:val="clear" w:color="auto" w:fill="FFFFFF"/>
        <w:spacing w:line="240" w:lineRule="auto"/>
        <w:textAlignment w:val="baseline"/>
        <w:rPr>
          <w:rFonts w:eastAsia="Times New Roman" w:cs="Times New Roman"/>
          <w:bdr w:val="none" w:sz="0" w:space="0" w:color="auto" w:frame="1"/>
        </w:rPr>
      </w:pPr>
      <w:r w:rsidRPr="00951AB1">
        <w:rPr>
          <w:rFonts w:eastAsia="Times New Roman" w:cs="Times New Roman"/>
          <w:bdr w:val="none" w:sz="0" w:space="0" w:color="auto" w:frame="1"/>
        </w:rPr>
        <w:t xml:space="preserve"> </w:t>
      </w:r>
    </w:p>
    <w:p w14:paraId="5731E716" w14:textId="0F049083" w:rsidR="005E64D9" w:rsidRPr="00951AB1" w:rsidRDefault="005E64D9" w:rsidP="000A5389">
      <w:pPr>
        <w:shd w:val="clear" w:color="auto" w:fill="FFFFFF"/>
        <w:spacing w:line="240" w:lineRule="auto"/>
        <w:textAlignment w:val="baseline"/>
        <w:rPr>
          <w:rFonts w:eastAsia="Times New Roman" w:cs="Times New Roman"/>
          <w:bdr w:val="none" w:sz="0" w:space="0" w:color="auto" w:frame="1"/>
        </w:rPr>
      </w:pPr>
      <w:r w:rsidRPr="00951AB1">
        <w:rPr>
          <w:rFonts w:eastAsia="Times New Roman" w:cs="Times New Roman"/>
          <w:bdr w:val="none" w:sz="0" w:space="0" w:color="auto" w:frame="1"/>
        </w:rPr>
        <w:t>Envío memorando No. 20244030163723 a la Coordinación del GIT de Defensa Judicial con la solicitud de información sobre lo pertinente. Respuesta del GIT de Defensa Judicial con memorando No. 20247010221203 del 23 de diciembre de 2024 con el estado actual de las incapacidades en proceso jurídico. Envío memorando No. 20254030090323 el 23 de mayo de 2025 a la Coordinación del GIT de Defensa Judicial con la solicitud de información sobre el estado de las Incapacidades, no obstante, en la revisión por parte del Git de Talento Humano en el portal de la Rama Judicial tiene como última actuación.</w:t>
      </w:r>
    </w:p>
    <w:p w14:paraId="307B20F1" w14:textId="77777777" w:rsidR="005E64D9" w:rsidRPr="00951AB1" w:rsidRDefault="005E64D9" w:rsidP="000A5389">
      <w:pPr>
        <w:shd w:val="clear" w:color="auto" w:fill="FFFFFF"/>
        <w:spacing w:line="240" w:lineRule="auto"/>
        <w:textAlignment w:val="baseline"/>
        <w:rPr>
          <w:rFonts w:eastAsia="Times New Roman" w:cs="Times New Roman"/>
          <w:bdr w:val="none" w:sz="0" w:space="0" w:color="auto" w:frame="1"/>
        </w:rPr>
      </w:pPr>
      <w:r w:rsidRPr="00951AB1">
        <w:rPr>
          <w:rFonts w:eastAsia="Times New Roman" w:cs="Times New Roman"/>
          <w:bdr w:val="none" w:sz="0" w:space="0" w:color="auto" w:frame="1"/>
        </w:rPr>
        <w:t xml:space="preserve"> </w:t>
      </w:r>
    </w:p>
    <w:p w14:paraId="7EAB913E" w14:textId="77777777" w:rsidR="005E64D9" w:rsidRPr="00951AB1" w:rsidRDefault="005E64D9" w:rsidP="000A5389">
      <w:pPr>
        <w:shd w:val="clear" w:color="auto" w:fill="FFFFFF"/>
        <w:spacing w:line="240" w:lineRule="auto"/>
        <w:textAlignment w:val="baseline"/>
        <w:rPr>
          <w:rFonts w:eastAsia="Times New Roman" w:cs="Times New Roman"/>
          <w:bdr w:val="none" w:sz="0" w:space="0" w:color="auto" w:frame="1"/>
        </w:rPr>
      </w:pPr>
      <w:r w:rsidRPr="00951AB1">
        <w:rPr>
          <w:rFonts w:eastAsia="Times New Roman" w:cs="Times New Roman"/>
          <w:u w:val="single"/>
          <w:bdr w:val="none" w:sz="0" w:space="0" w:color="auto" w:frame="1"/>
        </w:rPr>
        <w:t>Oscar Gustavo Calderon Medina:</w:t>
      </w:r>
      <w:r w:rsidRPr="00951AB1">
        <w:rPr>
          <w:rFonts w:cs="Times New Roman"/>
        </w:rPr>
        <w:t xml:space="preserve"> </w:t>
      </w:r>
      <w:r w:rsidRPr="00951AB1">
        <w:rPr>
          <w:rFonts w:eastAsia="Times New Roman" w:cs="Times New Roman"/>
          <w:bdr w:val="none" w:sz="0" w:space="0" w:color="auto" w:frame="1"/>
        </w:rPr>
        <w:t>Diferencia en el pago generado por la EPS, por cuanto el valor reconocido no es igual al valor causado en la obligación.</w:t>
      </w:r>
    </w:p>
    <w:p w14:paraId="16EFF39C" w14:textId="77777777" w:rsidR="005E64D9" w:rsidRPr="00951AB1" w:rsidRDefault="005E64D9" w:rsidP="000A5389">
      <w:pPr>
        <w:shd w:val="clear" w:color="auto" w:fill="FFFFFF"/>
        <w:spacing w:line="240" w:lineRule="auto"/>
        <w:textAlignment w:val="baseline"/>
        <w:rPr>
          <w:rFonts w:eastAsia="Times New Roman" w:cs="Times New Roman"/>
          <w:bdr w:val="none" w:sz="0" w:space="0" w:color="auto" w:frame="1"/>
        </w:rPr>
      </w:pPr>
      <w:r w:rsidRPr="00951AB1">
        <w:rPr>
          <w:rFonts w:eastAsia="Times New Roman" w:cs="Times New Roman"/>
          <w:bdr w:val="none" w:sz="0" w:space="0" w:color="auto" w:frame="1"/>
        </w:rPr>
        <w:t xml:space="preserve"> </w:t>
      </w:r>
    </w:p>
    <w:p w14:paraId="0E61535C" w14:textId="77777777" w:rsidR="005E64D9" w:rsidRPr="00951AB1" w:rsidRDefault="005E64D9" w:rsidP="000A5389">
      <w:pPr>
        <w:shd w:val="clear" w:color="auto" w:fill="FFFFFF"/>
        <w:spacing w:line="240" w:lineRule="auto"/>
        <w:textAlignment w:val="baseline"/>
        <w:rPr>
          <w:rFonts w:eastAsia="Times New Roman" w:cs="Times New Roman"/>
          <w:bdr w:val="none" w:sz="0" w:space="0" w:color="auto" w:frame="1"/>
        </w:rPr>
      </w:pPr>
      <w:r w:rsidRPr="00951AB1">
        <w:rPr>
          <w:rFonts w:eastAsia="Times New Roman" w:cs="Times New Roman"/>
          <w:u w:val="single"/>
          <w:bdr w:val="none" w:sz="0" w:space="0" w:color="auto" w:frame="1"/>
        </w:rPr>
        <w:lastRenderedPageBreak/>
        <w:t>Edward Norvey Verano Bohorquez:</w:t>
      </w:r>
      <w:r w:rsidRPr="00951AB1">
        <w:rPr>
          <w:rFonts w:cs="Times New Roman"/>
        </w:rPr>
        <w:t xml:space="preserve"> </w:t>
      </w:r>
      <w:r w:rsidRPr="00951AB1">
        <w:rPr>
          <w:rFonts w:eastAsia="Times New Roman" w:cs="Times New Roman"/>
          <w:bdr w:val="none" w:sz="0" w:space="0" w:color="auto" w:frame="1"/>
        </w:rPr>
        <w:t>En gestión de cobro con radicado No. 5010-2025-E-501136 del 04 de septiembre de 2025, solicitud información de la liquidación del pago realizado por diferencia en el valor reconocido el 24 de noviembre de 2025 radicado No. 3020-2025-E-697124.</w:t>
      </w:r>
    </w:p>
    <w:p w14:paraId="46C79FED" w14:textId="77777777" w:rsidR="005E64D9" w:rsidRPr="00951AB1" w:rsidRDefault="005E64D9" w:rsidP="000A5389">
      <w:pPr>
        <w:shd w:val="clear" w:color="auto" w:fill="FFFFFF"/>
        <w:spacing w:line="240" w:lineRule="auto"/>
        <w:textAlignment w:val="baseline"/>
        <w:rPr>
          <w:rFonts w:eastAsia="Times New Roman" w:cs="Times New Roman"/>
          <w:bdr w:val="none" w:sz="0" w:space="0" w:color="auto" w:frame="1"/>
        </w:rPr>
      </w:pPr>
    </w:p>
    <w:p w14:paraId="734F2714" w14:textId="77777777" w:rsidR="005E64D9" w:rsidRPr="00951AB1" w:rsidRDefault="005E64D9" w:rsidP="000A5389">
      <w:pPr>
        <w:spacing w:line="240" w:lineRule="auto"/>
        <w:rPr>
          <w:rFonts w:cs="Times New Roman"/>
        </w:rPr>
      </w:pPr>
    </w:p>
    <w:p w14:paraId="3E9B1E41" w14:textId="77777777" w:rsidR="005E64D9" w:rsidRPr="00951AB1" w:rsidRDefault="005E64D9" w:rsidP="000A5389">
      <w:pPr>
        <w:pStyle w:val="Ttulo2"/>
        <w:numPr>
          <w:ilvl w:val="1"/>
          <w:numId w:val="77"/>
        </w:numPr>
        <w:tabs>
          <w:tab w:val="num" w:pos="717"/>
        </w:tabs>
        <w:spacing w:line="240" w:lineRule="auto"/>
        <w:ind w:left="567" w:hanging="567"/>
        <w:rPr>
          <w:rFonts w:cs="Times New Roman"/>
          <w:szCs w:val="24"/>
        </w:rPr>
      </w:pPr>
      <w:bookmarkStart w:id="266" w:name="_Toc191369503"/>
      <w:r w:rsidRPr="00951AB1">
        <w:rPr>
          <w:rFonts w:cs="Times New Roman"/>
          <w:szCs w:val="24"/>
        </w:rPr>
        <w:t xml:space="preserve"> </w:t>
      </w:r>
      <w:bookmarkStart w:id="267" w:name="_Toc222955475"/>
      <w:bookmarkEnd w:id="266"/>
      <w:r w:rsidRPr="00951AB1">
        <w:rPr>
          <w:rFonts w:cs="Times New Roman"/>
          <w:bCs/>
          <w:szCs w:val="24"/>
        </w:rPr>
        <w:t>Sentencias, laudos arbitrales y conciliaciones extrajudiciales a favor de la entidad</w:t>
      </w:r>
      <w:bookmarkEnd w:id="267"/>
    </w:p>
    <w:p w14:paraId="5FE48458" w14:textId="77777777" w:rsidR="005E64D9" w:rsidRPr="00951AB1" w:rsidRDefault="005E64D9" w:rsidP="000A5389">
      <w:pPr>
        <w:spacing w:line="240" w:lineRule="auto"/>
        <w:rPr>
          <w:rFonts w:cs="Times New Roman"/>
          <w:szCs w:val="24"/>
        </w:rPr>
      </w:pPr>
    </w:p>
    <w:p w14:paraId="5CB610EA" w14:textId="77777777" w:rsidR="005E64D9" w:rsidRPr="00951AB1" w:rsidRDefault="005E64D9" w:rsidP="000A5389">
      <w:pPr>
        <w:pStyle w:val="2"/>
        <w:spacing w:line="240" w:lineRule="auto"/>
        <w:rPr>
          <w:rFonts w:ascii="Times New Roman" w:hAnsi="Times New Roman"/>
        </w:rPr>
      </w:pPr>
      <w:r w:rsidRPr="00951AB1">
        <w:rPr>
          <w:rFonts w:ascii="Times New Roman" w:hAnsi="Times New Roman"/>
          <w:szCs w:val="24"/>
          <w:lang w:bidi="es-ES"/>
        </w:rPr>
        <w:t xml:space="preserve">La cuenta de </w:t>
      </w:r>
      <w:r w:rsidRPr="00951AB1">
        <w:rPr>
          <w:rFonts w:ascii="Times New Roman" w:hAnsi="Times New Roman"/>
        </w:rPr>
        <w:t>sentencias, laudos arbitrales y conciliaciones extrajudiciales a favor de la entidad representa el valor de los derechos a favor de la entidad que se originan por conceptos tales, como Costas Procesales; su composición es la siguiente:</w:t>
      </w:r>
    </w:p>
    <w:p w14:paraId="4FB3BEE4" w14:textId="77777777" w:rsidR="005E64D9" w:rsidRPr="00951AB1" w:rsidRDefault="005E64D9" w:rsidP="000A5389">
      <w:pPr>
        <w:spacing w:line="240" w:lineRule="auto"/>
        <w:rPr>
          <w:rFonts w:cs="Times New Roman"/>
        </w:rPr>
      </w:pPr>
    </w:p>
    <w:tbl>
      <w:tblPr>
        <w:tblW w:w="5000" w:type="pct"/>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CellMar>
          <w:left w:w="70" w:type="dxa"/>
          <w:right w:w="70" w:type="dxa"/>
        </w:tblCellMar>
        <w:tblLook w:val="04A0" w:firstRow="1" w:lastRow="0" w:firstColumn="1" w:lastColumn="0" w:noHBand="0" w:noVBand="1"/>
      </w:tblPr>
      <w:tblGrid>
        <w:gridCol w:w="1012"/>
        <w:gridCol w:w="4243"/>
        <w:gridCol w:w="1141"/>
        <w:gridCol w:w="1141"/>
        <w:gridCol w:w="1291"/>
      </w:tblGrid>
      <w:tr w:rsidR="005E64D9" w:rsidRPr="00B547EE" w14:paraId="74C09812" w14:textId="77777777" w:rsidTr="005E64D9">
        <w:trPr>
          <w:trHeight w:val="139"/>
        </w:trPr>
        <w:tc>
          <w:tcPr>
            <w:tcW w:w="574" w:type="pct"/>
            <w:vAlign w:val="center"/>
            <w:hideMark/>
          </w:tcPr>
          <w:p w14:paraId="3DAF2185" w14:textId="77777777" w:rsidR="005E64D9" w:rsidRPr="00B547EE" w:rsidRDefault="005E64D9" w:rsidP="000A5389">
            <w:pPr>
              <w:spacing w:line="240" w:lineRule="auto"/>
              <w:jc w:val="center"/>
              <w:rPr>
                <w:rFonts w:eastAsia="Times New Roman" w:cs="Times New Roman"/>
                <w:b/>
                <w:sz w:val="18"/>
                <w:szCs w:val="18"/>
                <w:lang w:eastAsia="es-CO"/>
              </w:rPr>
            </w:pPr>
            <w:r w:rsidRPr="00B547EE">
              <w:rPr>
                <w:rFonts w:eastAsia="Times New Roman" w:cs="Times New Roman"/>
                <w:b/>
                <w:sz w:val="18"/>
                <w:szCs w:val="18"/>
                <w:lang w:eastAsia="es-CO"/>
              </w:rPr>
              <w:t>CÓD</w:t>
            </w:r>
          </w:p>
        </w:tc>
        <w:tc>
          <w:tcPr>
            <w:tcW w:w="2403" w:type="pct"/>
            <w:vAlign w:val="center"/>
            <w:hideMark/>
          </w:tcPr>
          <w:p w14:paraId="02A5CC5A" w14:textId="77777777" w:rsidR="005E64D9" w:rsidRPr="00B547EE" w:rsidRDefault="005E64D9" w:rsidP="000A5389">
            <w:pPr>
              <w:spacing w:line="240" w:lineRule="auto"/>
              <w:jc w:val="center"/>
              <w:rPr>
                <w:rFonts w:eastAsia="Times New Roman" w:cs="Times New Roman"/>
                <w:b/>
                <w:color w:val="000000"/>
                <w:sz w:val="18"/>
                <w:szCs w:val="18"/>
                <w:lang w:eastAsia="es-CO"/>
              </w:rPr>
            </w:pPr>
            <w:r w:rsidRPr="00B547EE">
              <w:rPr>
                <w:rFonts w:eastAsia="Times New Roman" w:cs="Times New Roman"/>
                <w:b/>
                <w:color w:val="000000"/>
                <w:sz w:val="18"/>
                <w:szCs w:val="18"/>
                <w:lang w:eastAsia="es-CO"/>
              </w:rPr>
              <w:t>CONCEPTO</w:t>
            </w:r>
          </w:p>
        </w:tc>
        <w:tc>
          <w:tcPr>
            <w:tcW w:w="646" w:type="pct"/>
            <w:vAlign w:val="center"/>
            <w:hideMark/>
          </w:tcPr>
          <w:p w14:paraId="2D9D54CA" w14:textId="77777777" w:rsidR="005E64D9" w:rsidRPr="00B547EE" w:rsidRDefault="005E64D9" w:rsidP="000A5389">
            <w:pPr>
              <w:spacing w:line="240" w:lineRule="auto"/>
              <w:jc w:val="center"/>
              <w:rPr>
                <w:rFonts w:eastAsia="Times New Roman" w:cs="Times New Roman"/>
                <w:b/>
                <w:color w:val="000000"/>
                <w:sz w:val="18"/>
                <w:szCs w:val="18"/>
                <w:lang w:eastAsia="es-CO"/>
              </w:rPr>
            </w:pPr>
            <w:r w:rsidRPr="00B547EE">
              <w:rPr>
                <w:rFonts w:eastAsia="Times New Roman" w:cs="Times New Roman"/>
                <w:b/>
                <w:color w:val="000000"/>
                <w:sz w:val="18"/>
                <w:szCs w:val="18"/>
                <w:lang w:eastAsia="es-CO"/>
              </w:rPr>
              <w:t>2025</w:t>
            </w:r>
          </w:p>
        </w:tc>
        <w:tc>
          <w:tcPr>
            <w:tcW w:w="646" w:type="pct"/>
            <w:vAlign w:val="center"/>
            <w:hideMark/>
          </w:tcPr>
          <w:p w14:paraId="07CA96CA" w14:textId="77777777" w:rsidR="005E64D9" w:rsidRPr="00B547EE" w:rsidRDefault="005E64D9" w:rsidP="000A5389">
            <w:pPr>
              <w:spacing w:line="240" w:lineRule="auto"/>
              <w:jc w:val="center"/>
              <w:rPr>
                <w:rFonts w:eastAsia="Times New Roman" w:cs="Times New Roman"/>
                <w:b/>
                <w:color w:val="000000"/>
                <w:sz w:val="18"/>
                <w:szCs w:val="18"/>
                <w:lang w:eastAsia="es-CO"/>
              </w:rPr>
            </w:pPr>
            <w:r w:rsidRPr="00B547EE">
              <w:rPr>
                <w:rFonts w:eastAsia="Times New Roman" w:cs="Times New Roman"/>
                <w:b/>
                <w:color w:val="000000"/>
                <w:sz w:val="18"/>
                <w:szCs w:val="18"/>
                <w:lang w:eastAsia="es-CO"/>
              </w:rPr>
              <w:t>2024</w:t>
            </w:r>
          </w:p>
        </w:tc>
        <w:tc>
          <w:tcPr>
            <w:tcW w:w="732" w:type="pct"/>
            <w:vAlign w:val="center"/>
            <w:hideMark/>
          </w:tcPr>
          <w:p w14:paraId="02077FDB" w14:textId="77777777" w:rsidR="005E64D9" w:rsidRPr="00B547EE" w:rsidRDefault="005E64D9" w:rsidP="000A5389">
            <w:pPr>
              <w:spacing w:line="240" w:lineRule="auto"/>
              <w:jc w:val="center"/>
              <w:rPr>
                <w:rFonts w:eastAsia="Times New Roman" w:cs="Times New Roman"/>
                <w:b/>
                <w:color w:val="000000"/>
                <w:sz w:val="18"/>
                <w:szCs w:val="18"/>
                <w:lang w:eastAsia="es-CO"/>
              </w:rPr>
            </w:pPr>
            <w:r w:rsidRPr="00B547EE">
              <w:rPr>
                <w:rFonts w:eastAsia="Times New Roman" w:cs="Times New Roman"/>
                <w:b/>
                <w:color w:val="000000"/>
                <w:sz w:val="18"/>
                <w:szCs w:val="18"/>
                <w:lang w:eastAsia="es-CO"/>
              </w:rPr>
              <w:t>VARIACIÓN</w:t>
            </w:r>
          </w:p>
        </w:tc>
      </w:tr>
      <w:tr w:rsidR="005E64D9" w:rsidRPr="00B547EE" w14:paraId="1E762682" w14:textId="77777777" w:rsidTr="005E64D9">
        <w:trPr>
          <w:trHeight w:val="397"/>
        </w:trPr>
        <w:tc>
          <w:tcPr>
            <w:tcW w:w="574" w:type="pct"/>
            <w:noWrap/>
            <w:vAlign w:val="bottom"/>
            <w:hideMark/>
          </w:tcPr>
          <w:p w14:paraId="1B96EE7E" w14:textId="77777777" w:rsidR="005E64D9" w:rsidRPr="00B547EE" w:rsidRDefault="005E64D9" w:rsidP="000A5389">
            <w:pPr>
              <w:spacing w:line="240" w:lineRule="auto"/>
              <w:rPr>
                <w:rFonts w:eastAsia="Times New Roman" w:cs="Times New Roman"/>
                <w:sz w:val="18"/>
                <w:szCs w:val="18"/>
                <w:lang w:eastAsia="es-CO"/>
              </w:rPr>
            </w:pPr>
            <w:r w:rsidRPr="00B547EE">
              <w:rPr>
                <w:rFonts w:eastAsia="Times New Roman" w:cs="Times New Roman"/>
                <w:sz w:val="18"/>
                <w:szCs w:val="18"/>
                <w:lang w:eastAsia="es-CO"/>
              </w:rPr>
              <w:t>1.3.38</w:t>
            </w:r>
          </w:p>
        </w:tc>
        <w:tc>
          <w:tcPr>
            <w:tcW w:w="2403" w:type="pct"/>
            <w:vAlign w:val="center"/>
            <w:hideMark/>
          </w:tcPr>
          <w:p w14:paraId="08481D3C" w14:textId="77777777" w:rsidR="005E64D9" w:rsidRPr="00B547EE" w:rsidRDefault="005E64D9" w:rsidP="000A5389">
            <w:pPr>
              <w:spacing w:line="240" w:lineRule="auto"/>
              <w:rPr>
                <w:rFonts w:eastAsia="Times New Roman" w:cs="Times New Roman"/>
                <w:b/>
                <w:color w:val="000000"/>
                <w:sz w:val="18"/>
                <w:szCs w:val="18"/>
                <w:lang w:eastAsia="es-CO"/>
              </w:rPr>
            </w:pPr>
            <w:r w:rsidRPr="00B547EE">
              <w:rPr>
                <w:rFonts w:eastAsia="Times New Roman" w:cs="Times New Roman"/>
                <w:b/>
                <w:color w:val="000000"/>
                <w:sz w:val="18"/>
                <w:szCs w:val="18"/>
                <w:lang w:eastAsia="es-CO"/>
              </w:rPr>
              <w:t>SENTENCIAS, LAUDOS ARBITRALES Y CONCILIACIONES EXTRAJUDICIALES A FAVOR DE LA ENTIDAD</w:t>
            </w:r>
          </w:p>
        </w:tc>
        <w:tc>
          <w:tcPr>
            <w:tcW w:w="646" w:type="pct"/>
            <w:noWrap/>
            <w:vAlign w:val="center"/>
            <w:hideMark/>
          </w:tcPr>
          <w:p w14:paraId="519648E2" w14:textId="77777777" w:rsidR="005E64D9" w:rsidRPr="00B547EE" w:rsidRDefault="005E64D9" w:rsidP="000A5389">
            <w:pPr>
              <w:spacing w:line="240" w:lineRule="auto"/>
              <w:jc w:val="right"/>
              <w:rPr>
                <w:rFonts w:eastAsia="Times New Roman" w:cs="Times New Roman"/>
                <w:b/>
                <w:color w:val="000000"/>
                <w:sz w:val="18"/>
                <w:szCs w:val="18"/>
                <w:lang w:eastAsia="es-CO"/>
              </w:rPr>
            </w:pPr>
            <w:r w:rsidRPr="00B547EE">
              <w:rPr>
                <w:rFonts w:eastAsia="Times New Roman" w:cs="Times New Roman"/>
                <w:b/>
                <w:color w:val="000000"/>
                <w:sz w:val="18"/>
                <w:szCs w:val="18"/>
                <w:lang w:eastAsia="es-CO"/>
              </w:rPr>
              <w:t xml:space="preserve">  96.503.809 </w:t>
            </w:r>
          </w:p>
        </w:tc>
        <w:tc>
          <w:tcPr>
            <w:tcW w:w="646" w:type="pct"/>
            <w:noWrap/>
            <w:vAlign w:val="center"/>
            <w:hideMark/>
          </w:tcPr>
          <w:p w14:paraId="0D76E7E3" w14:textId="77777777" w:rsidR="005E64D9" w:rsidRPr="00B547EE" w:rsidRDefault="005E64D9" w:rsidP="000A5389">
            <w:pPr>
              <w:spacing w:line="240" w:lineRule="auto"/>
              <w:jc w:val="right"/>
              <w:rPr>
                <w:rFonts w:eastAsia="Times New Roman" w:cs="Times New Roman"/>
                <w:b/>
                <w:color w:val="000000"/>
                <w:sz w:val="18"/>
                <w:szCs w:val="18"/>
                <w:lang w:eastAsia="es-CO"/>
              </w:rPr>
            </w:pPr>
            <w:r w:rsidRPr="00B547EE">
              <w:rPr>
                <w:rFonts w:eastAsia="Times New Roman" w:cs="Times New Roman"/>
                <w:b/>
                <w:color w:val="000000"/>
                <w:sz w:val="18"/>
                <w:szCs w:val="18"/>
                <w:lang w:eastAsia="es-CO"/>
              </w:rPr>
              <w:t xml:space="preserve">  96.503.809 </w:t>
            </w:r>
          </w:p>
        </w:tc>
        <w:tc>
          <w:tcPr>
            <w:tcW w:w="732" w:type="pct"/>
            <w:noWrap/>
            <w:vAlign w:val="center"/>
            <w:hideMark/>
          </w:tcPr>
          <w:p w14:paraId="25AAA484" w14:textId="77777777" w:rsidR="005E64D9" w:rsidRPr="00B547EE" w:rsidRDefault="005E64D9" w:rsidP="000A5389">
            <w:pPr>
              <w:spacing w:line="240" w:lineRule="auto"/>
              <w:jc w:val="right"/>
              <w:rPr>
                <w:rFonts w:eastAsia="Times New Roman" w:cs="Times New Roman"/>
                <w:b/>
                <w:color w:val="000000"/>
                <w:sz w:val="18"/>
                <w:szCs w:val="18"/>
                <w:lang w:eastAsia="es-CO"/>
              </w:rPr>
            </w:pPr>
            <w:r w:rsidRPr="00B547EE">
              <w:rPr>
                <w:rFonts w:eastAsia="Times New Roman" w:cs="Times New Roman"/>
                <w:b/>
                <w:color w:val="000000"/>
                <w:sz w:val="18"/>
                <w:szCs w:val="18"/>
                <w:lang w:eastAsia="es-CO"/>
              </w:rPr>
              <w:t xml:space="preserve">- </w:t>
            </w:r>
          </w:p>
        </w:tc>
      </w:tr>
      <w:tr w:rsidR="005E64D9" w:rsidRPr="00B547EE" w14:paraId="530130A3" w14:textId="77777777" w:rsidTr="005E64D9">
        <w:trPr>
          <w:trHeight w:val="163"/>
        </w:trPr>
        <w:tc>
          <w:tcPr>
            <w:tcW w:w="574" w:type="pct"/>
            <w:noWrap/>
            <w:vAlign w:val="bottom"/>
            <w:hideMark/>
          </w:tcPr>
          <w:p w14:paraId="35B018CD" w14:textId="77777777" w:rsidR="005E64D9" w:rsidRPr="00B547EE" w:rsidRDefault="005E64D9" w:rsidP="000A5389">
            <w:pPr>
              <w:spacing w:line="240" w:lineRule="auto"/>
              <w:rPr>
                <w:rFonts w:eastAsia="Times New Roman" w:cs="Times New Roman"/>
                <w:sz w:val="18"/>
                <w:szCs w:val="18"/>
                <w:lang w:eastAsia="es-CO"/>
              </w:rPr>
            </w:pPr>
            <w:r w:rsidRPr="00B547EE">
              <w:rPr>
                <w:rFonts w:eastAsia="Times New Roman" w:cs="Times New Roman"/>
                <w:sz w:val="18"/>
                <w:szCs w:val="18"/>
                <w:lang w:eastAsia="es-CO"/>
              </w:rPr>
              <w:t>1.3.38.05</w:t>
            </w:r>
          </w:p>
        </w:tc>
        <w:tc>
          <w:tcPr>
            <w:tcW w:w="2403" w:type="pct"/>
            <w:vAlign w:val="center"/>
            <w:hideMark/>
          </w:tcPr>
          <w:p w14:paraId="3FB44691" w14:textId="77777777" w:rsidR="005E64D9" w:rsidRPr="00B547EE" w:rsidRDefault="005E64D9" w:rsidP="000A5389">
            <w:pPr>
              <w:spacing w:line="240" w:lineRule="auto"/>
              <w:rPr>
                <w:rFonts w:eastAsia="Times New Roman" w:cs="Times New Roman"/>
                <w:color w:val="000000"/>
                <w:sz w:val="18"/>
                <w:szCs w:val="18"/>
                <w:lang w:eastAsia="es-CO"/>
              </w:rPr>
            </w:pPr>
            <w:r w:rsidRPr="00B547EE">
              <w:rPr>
                <w:rFonts w:eastAsia="Times New Roman" w:cs="Times New Roman"/>
                <w:color w:val="000000"/>
                <w:sz w:val="18"/>
                <w:szCs w:val="18"/>
                <w:lang w:eastAsia="es-CO"/>
              </w:rPr>
              <w:t>Costas Procesales</w:t>
            </w:r>
          </w:p>
        </w:tc>
        <w:tc>
          <w:tcPr>
            <w:tcW w:w="646" w:type="pct"/>
            <w:noWrap/>
            <w:vAlign w:val="center"/>
            <w:hideMark/>
          </w:tcPr>
          <w:p w14:paraId="0203F734" w14:textId="77777777" w:rsidR="005E64D9" w:rsidRPr="00B547EE" w:rsidRDefault="005E64D9" w:rsidP="000A5389">
            <w:pPr>
              <w:spacing w:line="240" w:lineRule="auto"/>
              <w:jc w:val="right"/>
              <w:rPr>
                <w:rFonts w:eastAsia="Times New Roman" w:cs="Times New Roman"/>
                <w:color w:val="000000"/>
                <w:sz w:val="18"/>
                <w:szCs w:val="18"/>
                <w:lang w:eastAsia="es-CO"/>
              </w:rPr>
            </w:pPr>
            <w:r w:rsidRPr="00B547EE">
              <w:rPr>
                <w:rFonts w:eastAsia="Times New Roman" w:cs="Times New Roman"/>
                <w:color w:val="000000"/>
                <w:sz w:val="18"/>
                <w:szCs w:val="18"/>
                <w:lang w:eastAsia="es-CO"/>
              </w:rPr>
              <w:t xml:space="preserve">  96.503.809 </w:t>
            </w:r>
          </w:p>
        </w:tc>
        <w:tc>
          <w:tcPr>
            <w:tcW w:w="646" w:type="pct"/>
            <w:noWrap/>
            <w:vAlign w:val="center"/>
            <w:hideMark/>
          </w:tcPr>
          <w:p w14:paraId="6D2F4727" w14:textId="77777777" w:rsidR="005E64D9" w:rsidRPr="00B547EE" w:rsidRDefault="005E64D9" w:rsidP="000A5389">
            <w:pPr>
              <w:spacing w:line="240" w:lineRule="auto"/>
              <w:jc w:val="right"/>
              <w:rPr>
                <w:rFonts w:eastAsia="Times New Roman" w:cs="Times New Roman"/>
                <w:color w:val="000000"/>
                <w:sz w:val="18"/>
                <w:szCs w:val="18"/>
                <w:lang w:eastAsia="es-CO"/>
              </w:rPr>
            </w:pPr>
            <w:r w:rsidRPr="00B547EE">
              <w:rPr>
                <w:rFonts w:eastAsia="Times New Roman" w:cs="Times New Roman"/>
                <w:color w:val="000000"/>
                <w:sz w:val="18"/>
                <w:szCs w:val="18"/>
                <w:lang w:eastAsia="es-CO"/>
              </w:rPr>
              <w:t xml:space="preserve">  96.503.809 </w:t>
            </w:r>
          </w:p>
        </w:tc>
        <w:tc>
          <w:tcPr>
            <w:tcW w:w="732" w:type="pct"/>
            <w:noWrap/>
            <w:vAlign w:val="center"/>
            <w:hideMark/>
          </w:tcPr>
          <w:p w14:paraId="49C98507" w14:textId="77777777" w:rsidR="005E64D9" w:rsidRPr="00B547EE" w:rsidRDefault="005E64D9" w:rsidP="000A5389">
            <w:pPr>
              <w:spacing w:line="240" w:lineRule="auto"/>
              <w:jc w:val="right"/>
              <w:rPr>
                <w:rFonts w:eastAsia="Times New Roman" w:cs="Times New Roman"/>
                <w:sz w:val="18"/>
                <w:szCs w:val="18"/>
                <w:lang w:eastAsia="es-CO"/>
              </w:rPr>
            </w:pPr>
            <w:r w:rsidRPr="00B547EE">
              <w:rPr>
                <w:rFonts w:eastAsia="Times New Roman" w:cs="Times New Roman"/>
                <w:sz w:val="18"/>
                <w:szCs w:val="18"/>
                <w:lang w:eastAsia="es-CO"/>
              </w:rPr>
              <w:t xml:space="preserve">- </w:t>
            </w:r>
          </w:p>
        </w:tc>
      </w:tr>
    </w:tbl>
    <w:p w14:paraId="6FB3C7E9" w14:textId="77777777" w:rsidR="005E64D9" w:rsidRPr="00951AB1" w:rsidRDefault="005E64D9" w:rsidP="000A5389">
      <w:pPr>
        <w:spacing w:line="240" w:lineRule="auto"/>
        <w:rPr>
          <w:rFonts w:cs="Times New Roman"/>
          <w:sz w:val="14"/>
          <w:szCs w:val="14"/>
        </w:rPr>
      </w:pPr>
      <w:r w:rsidRPr="00951AB1">
        <w:rPr>
          <w:rFonts w:cs="Times New Roman"/>
          <w:sz w:val="14"/>
          <w:szCs w:val="14"/>
        </w:rPr>
        <w:t>Cifras expresadas en pesos</w:t>
      </w:r>
    </w:p>
    <w:p w14:paraId="5F0928A8" w14:textId="77777777" w:rsidR="005E64D9" w:rsidRPr="00951AB1" w:rsidRDefault="005E64D9" w:rsidP="000A5389">
      <w:pPr>
        <w:spacing w:line="240" w:lineRule="auto"/>
        <w:rPr>
          <w:rFonts w:cs="Times New Roman"/>
          <w:szCs w:val="24"/>
          <w:lang w:bidi="es-ES"/>
        </w:rPr>
      </w:pPr>
    </w:p>
    <w:p w14:paraId="7D69AE56" w14:textId="77777777" w:rsidR="005E64D9" w:rsidRPr="00951AB1" w:rsidRDefault="005E64D9" w:rsidP="000A5389">
      <w:pPr>
        <w:spacing w:line="240" w:lineRule="auto"/>
        <w:rPr>
          <w:rFonts w:cs="Times New Roman"/>
          <w:szCs w:val="24"/>
          <w:lang w:bidi="es-ES"/>
        </w:rPr>
      </w:pPr>
      <w:r w:rsidRPr="00951AB1">
        <w:rPr>
          <w:rFonts w:cs="Times New Roman"/>
          <w:szCs w:val="24"/>
          <w:lang w:bidi="es-ES"/>
        </w:rPr>
        <w:t>A continuación, se detallan los saldos corrientes, no corriente y el deterioro relacionado a esta cuenta con corte al 31 de diciembre de 2025:</w:t>
      </w:r>
    </w:p>
    <w:p w14:paraId="5A521C5E" w14:textId="77777777" w:rsidR="005E64D9" w:rsidRPr="00951AB1" w:rsidRDefault="005E64D9" w:rsidP="000A5389">
      <w:pPr>
        <w:spacing w:line="240" w:lineRule="auto"/>
        <w:rPr>
          <w:rFonts w:cs="Times New Roman"/>
          <w:sz w:val="14"/>
          <w:szCs w:val="14"/>
        </w:rPr>
      </w:pPr>
    </w:p>
    <w:p w14:paraId="1B171732" w14:textId="77777777" w:rsidR="005E64D9" w:rsidRPr="00951AB1" w:rsidRDefault="005E64D9" w:rsidP="000A5389">
      <w:pPr>
        <w:spacing w:line="240" w:lineRule="auto"/>
        <w:rPr>
          <w:rFonts w:cs="Times New Roman"/>
          <w:sz w:val="14"/>
          <w:szCs w:val="14"/>
        </w:rPr>
      </w:pPr>
    </w:p>
    <w:p w14:paraId="5FE192DB" w14:textId="77777777" w:rsidR="005E64D9" w:rsidRPr="00951AB1" w:rsidRDefault="005E64D9" w:rsidP="000A5389">
      <w:pPr>
        <w:spacing w:line="240" w:lineRule="auto"/>
        <w:rPr>
          <w:rFonts w:cs="Times New Roman"/>
          <w:sz w:val="14"/>
          <w:szCs w:val="1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766"/>
        <w:gridCol w:w="849"/>
        <w:gridCol w:w="447"/>
        <w:gridCol w:w="978"/>
        <w:gridCol w:w="881"/>
        <w:gridCol w:w="793"/>
        <w:gridCol w:w="836"/>
        <w:gridCol w:w="834"/>
        <w:gridCol w:w="312"/>
        <w:gridCol w:w="986"/>
        <w:gridCol w:w="146"/>
      </w:tblGrid>
      <w:tr w:rsidR="005E64D9" w:rsidRPr="007D0403" w14:paraId="79134A10" w14:textId="77777777" w:rsidTr="00B547EE">
        <w:trPr>
          <w:gridAfter w:val="1"/>
          <w:wAfter w:w="90" w:type="pct"/>
          <w:trHeight w:val="471"/>
          <w:tblHeader/>
        </w:trPr>
        <w:tc>
          <w:tcPr>
            <w:tcW w:w="1008" w:type="pct"/>
            <w:vMerge w:val="restart"/>
            <w:shd w:val="clear" w:color="000000" w:fill="FFFFFF"/>
            <w:vAlign w:val="center"/>
            <w:hideMark/>
          </w:tcPr>
          <w:p w14:paraId="6BCBD683" w14:textId="77777777" w:rsidR="005E64D9" w:rsidRPr="007D0403" w:rsidRDefault="005E64D9" w:rsidP="000A5389">
            <w:pPr>
              <w:spacing w:line="240" w:lineRule="auto"/>
              <w:jc w:val="center"/>
              <w:rPr>
                <w:rFonts w:eastAsia="Times New Roman" w:cs="Times New Roman"/>
                <w:b/>
                <w:bCs/>
                <w:sz w:val="14"/>
                <w:szCs w:val="14"/>
                <w:lang w:eastAsia="es-CO"/>
              </w:rPr>
            </w:pPr>
            <w:r w:rsidRPr="007D0403">
              <w:rPr>
                <w:rFonts w:eastAsia="Times New Roman" w:cs="Times New Roman"/>
                <w:b/>
                <w:bCs/>
                <w:sz w:val="14"/>
                <w:szCs w:val="14"/>
                <w:lang w:eastAsia="es-CO"/>
              </w:rPr>
              <w:t>DESCRIPCIÓN</w:t>
            </w:r>
          </w:p>
        </w:tc>
        <w:tc>
          <w:tcPr>
            <w:tcW w:w="1311" w:type="pct"/>
            <w:gridSpan w:val="3"/>
            <w:vMerge w:val="restart"/>
            <w:shd w:val="clear" w:color="000000" w:fill="FFFFFF"/>
            <w:vAlign w:val="center"/>
            <w:hideMark/>
          </w:tcPr>
          <w:p w14:paraId="05F16292" w14:textId="77777777" w:rsidR="005E64D9" w:rsidRPr="007D0403" w:rsidRDefault="005E64D9" w:rsidP="000A5389">
            <w:pPr>
              <w:spacing w:line="240" w:lineRule="auto"/>
              <w:jc w:val="center"/>
              <w:rPr>
                <w:rFonts w:eastAsia="Times New Roman" w:cs="Times New Roman"/>
                <w:b/>
                <w:bCs/>
                <w:sz w:val="14"/>
                <w:szCs w:val="14"/>
                <w:lang w:eastAsia="es-CO"/>
              </w:rPr>
            </w:pPr>
            <w:r w:rsidRPr="007D0403">
              <w:rPr>
                <w:rFonts w:eastAsia="Times New Roman" w:cs="Times New Roman"/>
                <w:b/>
                <w:bCs/>
                <w:sz w:val="14"/>
                <w:szCs w:val="14"/>
                <w:lang w:eastAsia="es-CO"/>
              </w:rPr>
              <w:t>CORTE VIGENCIA 2025</w:t>
            </w:r>
          </w:p>
        </w:tc>
        <w:tc>
          <w:tcPr>
            <w:tcW w:w="2087" w:type="pct"/>
            <w:gridSpan w:val="5"/>
            <w:vMerge w:val="restart"/>
            <w:shd w:val="clear" w:color="000000" w:fill="FFFFFF"/>
            <w:vAlign w:val="center"/>
            <w:hideMark/>
          </w:tcPr>
          <w:p w14:paraId="185F1BA3" w14:textId="77777777" w:rsidR="005E64D9" w:rsidRPr="007D0403" w:rsidRDefault="005E64D9" w:rsidP="000A5389">
            <w:pPr>
              <w:spacing w:line="240" w:lineRule="auto"/>
              <w:jc w:val="center"/>
              <w:rPr>
                <w:rFonts w:eastAsia="Times New Roman" w:cs="Times New Roman"/>
                <w:b/>
                <w:bCs/>
                <w:sz w:val="14"/>
                <w:szCs w:val="14"/>
                <w:lang w:eastAsia="es-CO"/>
              </w:rPr>
            </w:pPr>
            <w:r w:rsidRPr="007D0403">
              <w:rPr>
                <w:rFonts w:eastAsia="Times New Roman" w:cs="Times New Roman"/>
                <w:b/>
                <w:bCs/>
                <w:sz w:val="14"/>
                <w:szCs w:val="14"/>
                <w:lang w:eastAsia="es-CO"/>
              </w:rPr>
              <w:t>DETERIORO ACUMULADO 2025</w:t>
            </w:r>
          </w:p>
        </w:tc>
        <w:tc>
          <w:tcPr>
            <w:tcW w:w="503" w:type="pct"/>
            <w:vMerge w:val="restart"/>
            <w:vAlign w:val="center"/>
            <w:hideMark/>
          </w:tcPr>
          <w:p w14:paraId="13B3F038" w14:textId="77777777" w:rsidR="005E64D9" w:rsidRPr="007D0403" w:rsidRDefault="005E64D9" w:rsidP="000A5389">
            <w:pPr>
              <w:spacing w:line="240" w:lineRule="auto"/>
              <w:jc w:val="center"/>
              <w:rPr>
                <w:rFonts w:eastAsia="Times New Roman" w:cs="Times New Roman"/>
                <w:b/>
                <w:bCs/>
                <w:sz w:val="14"/>
                <w:szCs w:val="14"/>
                <w:lang w:eastAsia="es-CO"/>
              </w:rPr>
            </w:pPr>
            <w:r w:rsidRPr="007D0403">
              <w:rPr>
                <w:rFonts w:eastAsia="Times New Roman" w:cs="Times New Roman"/>
                <w:b/>
                <w:bCs/>
                <w:sz w:val="14"/>
                <w:szCs w:val="14"/>
                <w:lang w:eastAsia="es-CO"/>
              </w:rPr>
              <w:t>DEFINITIVO</w:t>
            </w:r>
          </w:p>
        </w:tc>
      </w:tr>
      <w:tr w:rsidR="005E64D9" w:rsidRPr="007D0403" w14:paraId="40E48097" w14:textId="77777777" w:rsidTr="00B547EE">
        <w:trPr>
          <w:trHeight w:val="300"/>
          <w:tblHeader/>
        </w:trPr>
        <w:tc>
          <w:tcPr>
            <w:tcW w:w="1008" w:type="pct"/>
            <w:vMerge/>
            <w:vAlign w:val="center"/>
            <w:hideMark/>
          </w:tcPr>
          <w:p w14:paraId="740D5114" w14:textId="77777777" w:rsidR="005E64D9" w:rsidRPr="007D0403" w:rsidRDefault="005E64D9" w:rsidP="000A5389">
            <w:pPr>
              <w:spacing w:line="240" w:lineRule="auto"/>
              <w:rPr>
                <w:rFonts w:eastAsia="Times New Roman" w:cs="Times New Roman"/>
                <w:b/>
                <w:bCs/>
                <w:sz w:val="14"/>
                <w:szCs w:val="14"/>
                <w:lang w:eastAsia="es-CO"/>
              </w:rPr>
            </w:pPr>
          </w:p>
        </w:tc>
        <w:tc>
          <w:tcPr>
            <w:tcW w:w="1311" w:type="pct"/>
            <w:gridSpan w:val="3"/>
            <w:vMerge/>
            <w:vAlign w:val="center"/>
            <w:hideMark/>
          </w:tcPr>
          <w:p w14:paraId="3DEC637A" w14:textId="77777777" w:rsidR="005E64D9" w:rsidRPr="007D0403" w:rsidRDefault="005E64D9" w:rsidP="000A5389">
            <w:pPr>
              <w:spacing w:line="240" w:lineRule="auto"/>
              <w:rPr>
                <w:rFonts w:eastAsia="Times New Roman" w:cs="Times New Roman"/>
                <w:b/>
                <w:bCs/>
                <w:sz w:val="14"/>
                <w:szCs w:val="14"/>
                <w:lang w:eastAsia="es-CO"/>
              </w:rPr>
            </w:pPr>
          </w:p>
        </w:tc>
        <w:tc>
          <w:tcPr>
            <w:tcW w:w="2087" w:type="pct"/>
            <w:gridSpan w:val="5"/>
            <w:vMerge/>
            <w:vAlign w:val="center"/>
            <w:hideMark/>
          </w:tcPr>
          <w:p w14:paraId="30B118DC" w14:textId="77777777" w:rsidR="005E64D9" w:rsidRPr="007D0403" w:rsidRDefault="005E64D9" w:rsidP="000A5389">
            <w:pPr>
              <w:spacing w:line="240" w:lineRule="auto"/>
              <w:rPr>
                <w:rFonts w:eastAsia="Times New Roman" w:cs="Times New Roman"/>
                <w:b/>
                <w:bCs/>
                <w:sz w:val="14"/>
                <w:szCs w:val="14"/>
                <w:lang w:eastAsia="es-CO"/>
              </w:rPr>
            </w:pPr>
          </w:p>
        </w:tc>
        <w:tc>
          <w:tcPr>
            <w:tcW w:w="503" w:type="pct"/>
            <w:vMerge/>
            <w:vAlign w:val="center"/>
            <w:hideMark/>
          </w:tcPr>
          <w:p w14:paraId="15138C16" w14:textId="77777777" w:rsidR="005E64D9" w:rsidRPr="007D0403" w:rsidRDefault="005E64D9" w:rsidP="000A5389">
            <w:pPr>
              <w:spacing w:line="240" w:lineRule="auto"/>
              <w:rPr>
                <w:rFonts w:eastAsia="Times New Roman" w:cs="Times New Roman"/>
                <w:b/>
                <w:bCs/>
                <w:sz w:val="14"/>
                <w:szCs w:val="14"/>
                <w:lang w:eastAsia="es-CO"/>
              </w:rPr>
            </w:pPr>
          </w:p>
        </w:tc>
        <w:tc>
          <w:tcPr>
            <w:tcW w:w="90" w:type="pct"/>
            <w:noWrap/>
            <w:vAlign w:val="bottom"/>
            <w:hideMark/>
          </w:tcPr>
          <w:p w14:paraId="29F1EB81" w14:textId="77777777" w:rsidR="005E64D9" w:rsidRPr="007D0403" w:rsidRDefault="005E64D9" w:rsidP="000A5389">
            <w:pPr>
              <w:spacing w:line="240" w:lineRule="auto"/>
              <w:jc w:val="center"/>
              <w:rPr>
                <w:rFonts w:eastAsia="Times New Roman" w:cs="Times New Roman"/>
                <w:b/>
                <w:bCs/>
                <w:sz w:val="14"/>
                <w:szCs w:val="14"/>
                <w:lang w:eastAsia="es-CO"/>
              </w:rPr>
            </w:pPr>
          </w:p>
        </w:tc>
      </w:tr>
      <w:tr w:rsidR="005E64D9" w:rsidRPr="007D0403" w14:paraId="209BC3DF" w14:textId="77777777" w:rsidTr="00B547EE">
        <w:trPr>
          <w:trHeight w:val="40"/>
          <w:tblHeader/>
        </w:trPr>
        <w:tc>
          <w:tcPr>
            <w:tcW w:w="1008" w:type="pct"/>
            <w:vMerge/>
            <w:vAlign w:val="center"/>
            <w:hideMark/>
          </w:tcPr>
          <w:p w14:paraId="1925FAB2" w14:textId="77777777" w:rsidR="005E64D9" w:rsidRPr="007D0403" w:rsidRDefault="005E64D9" w:rsidP="000A5389">
            <w:pPr>
              <w:spacing w:line="240" w:lineRule="auto"/>
              <w:rPr>
                <w:rFonts w:eastAsia="Times New Roman" w:cs="Times New Roman"/>
                <w:b/>
                <w:bCs/>
                <w:sz w:val="14"/>
                <w:szCs w:val="14"/>
                <w:lang w:eastAsia="es-CO"/>
              </w:rPr>
            </w:pPr>
          </w:p>
        </w:tc>
        <w:tc>
          <w:tcPr>
            <w:tcW w:w="1311" w:type="pct"/>
            <w:gridSpan w:val="3"/>
            <w:vMerge/>
            <w:vAlign w:val="center"/>
            <w:hideMark/>
          </w:tcPr>
          <w:p w14:paraId="610F5056" w14:textId="77777777" w:rsidR="005E64D9" w:rsidRPr="007D0403" w:rsidRDefault="005E64D9" w:rsidP="000A5389">
            <w:pPr>
              <w:spacing w:line="240" w:lineRule="auto"/>
              <w:rPr>
                <w:rFonts w:eastAsia="Times New Roman" w:cs="Times New Roman"/>
                <w:b/>
                <w:bCs/>
                <w:sz w:val="14"/>
                <w:szCs w:val="14"/>
                <w:lang w:eastAsia="es-CO"/>
              </w:rPr>
            </w:pPr>
          </w:p>
        </w:tc>
        <w:tc>
          <w:tcPr>
            <w:tcW w:w="2087" w:type="pct"/>
            <w:gridSpan w:val="5"/>
            <w:vMerge/>
            <w:vAlign w:val="center"/>
            <w:hideMark/>
          </w:tcPr>
          <w:p w14:paraId="2389CCA2" w14:textId="77777777" w:rsidR="005E64D9" w:rsidRPr="007D0403" w:rsidRDefault="005E64D9" w:rsidP="000A5389">
            <w:pPr>
              <w:spacing w:line="240" w:lineRule="auto"/>
              <w:rPr>
                <w:rFonts w:eastAsia="Times New Roman" w:cs="Times New Roman"/>
                <w:b/>
                <w:bCs/>
                <w:sz w:val="14"/>
                <w:szCs w:val="14"/>
                <w:lang w:eastAsia="es-CO"/>
              </w:rPr>
            </w:pPr>
          </w:p>
        </w:tc>
        <w:tc>
          <w:tcPr>
            <w:tcW w:w="503" w:type="pct"/>
            <w:vMerge/>
            <w:vAlign w:val="center"/>
            <w:hideMark/>
          </w:tcPr>
          <w:p w14:paraId="787C3113" w14:textId="77777777" w:rsidR="005E64D9" w:rsidRPr="007D0403" w:rsidRDefault="005E64D9" w:rsidP="000A5389">
            <w:pPr>
              <w:spacing w:line="240" w:lineRule="auto"/>
              <w:rPr>
                <w:rFonts w:eastAsia="Times New Roman" w:cs="Times New Roman"/>
                <w:b/>
                <w:bCs/>
                <w:sz w:val="14"/>
                <w:szCs w:val="14"/>
                <w:lang w:eastAsia="es-CO"/>
              </w:rPr>
            </w:pPr>
          </w:p>
        </w:tc>
        <w:tc>
          <w:tcPr>
            <w:tcW w:w="90" w:type="pct"/>
            <w:noWrap/>
            <w:vAlign w:val="bottom"/>
            <w:hideMark/>
          </w:tcPr>
          <w:p w14:paraId="4F739804" w14:textId="77777777" w:rsidR="005E64D9" w:rsidRPr="007D0403" w:rsidRDefault="005E64D9" w:rsidP="000A5389">
            <w:pPr>
              <w:spacing w:line="240" w:lineRule="auto"/>
              <w:rPr>
                <w:rFonts w:eastAsia="Times New Roman" w:cs="Times New Roman"/>
                <w:sz w:val="14"/>
                <w:szCs w:val="14"/>
                <w:lang w:eastAsia="es-CO"/>
              </w:rPr>
            </w:pPr>
          </w:p>
        </w:tc>
      </w:tr>
      <w:tr w:rsidR="005E64D9" w:rsidRPr="007D0403" w14:paraId="20946C0F" w14:textId="77777777" w:rsidTr="00B547EE">
        <w:trPr>
          <w:trHeight w:val="1560"/>
          <w:tblHeader/>
        </w:trPr>
        <w:tc>
          <w:tcPr>
            <w:tcW w:w="1008" w:type="pct"/>
            <w:shd w:val="clear" w:color="000000" w:fill="FFFFFF"/>
            <w:textDirection w:val="btLr"/>
            <w:vAlign w:val="center"/>
            <w:hideMark/>
          </w:tcPr>
          <w:p w14:paraId="12B60381" w14:textId="77777777" w:rsidR="005E64D9" w:rsidRPr="007D0403" w:rsidRDefault="005E64D9" w:rsidP="000A5389">
            <w:pPr>
              <w:spacing w:line="240" w:lineRule="auto"/>
              <w:jc w:val="center"/>
              <w:rPr>
                <w:rFonts w:eastAsia="Times New Roman" w:cs="Times New Roman"/>
                <w:b/>
                <w:bCs/>
                <w:sz w:val="14"/>
                <w:szCs w:val="14"/>
                <w:lang w:eastAsia="es-CO"/>
              </w:rPr>
            </w:pPr>
            <w:r w:rsidRPr="007D0403">
              <w:rPr>
                <w:rFonts w:eastAsia="Times New Roman" w:cs="Times New Roman"/>
                <w:b/>
                <w:bCs/>
                <w:sz w:val="14"/>
                <w:szCs w:val="14"/>
                <w:lang w:eastAsia="es-CO"/>
              </w:rPr>
              <w:t>CONCEPTO</w:t>
            </w:r>
          </w:p>
        </w:tc>
        <w:tc>
          <w:tcPr>
            <w:tcW w:w="489" w:type="pct"/>
            <w:shd w:val="clear" w:color="000000" w:fill="FFFFFF"/>
            <w:textDirection w:val="btLr"/>
            <w:vAlign w:val="center"/>
            <w:hideMark/>
          </w:tcPr>
          <w:p w14:paraId="6BB115E5" w14:textId="77777777" w:rsidR="005E64D9" w:rsidRPr="007D0403" w:rsidRDefault="005E64D9" w:rsidP="000A5389">
            <w:pPr>
              <w:spacing w:line="240" w:lineRule="auto"/>
              <w:jc w:val="center"/>
              <w:rPr>
                <w:rFonts w:eastAsia="Times New Roman" w:cs="Times New Roman"/>
                <w:b/>
                <w:bCs/>
                <w:sz w:val="14"/>
                <w:szCs w:val="14"/>
                <w:lang w:eastAsia="es-CO"/>
              </w:rPr>
            </w:pPr>
            <w:r w:rsidRPr="007D0403">
              <w:rPr>
                <w:rFonts w:eastAsia="Times New Roman" w:cs="Times New Roman"/>
                <w:b/>
                <w:bCs/>
                <w:sz w:val="14"/>
                <w:szCs w:val="14"/>
                <w:lang w:eastAsia="es-CO"/>
              </w:rPr>
              <w:t>SALDO CORRIENTE</w:t>
            </w:r>
          </w:p>
        </w:tc>
        <w:tc>
          <w:tcPr>
            <w:tcW w:w="261" w:type="pct"/>
            <w:shd w:val="clear" w:color="000000" w:fill="FFFFFF"/>
            <w:textDirection w:val="btLr"/>
            <w:vAlign w:val="center"/>
            <w:hideMark/>
          </w:tcPr>
          <w:p w14:paraId="03A1EE94" w14:textId="77777777" w:rsidR="005E64D9" w:rsidRPr="007D0403" w:rsidRDefault="005E64D9" w:rsidP="000A5389">
            <w:pPr>
              <w:spacing w:line="240" w:lineRule="auto"/>
              <w:jc w:val="center"/>
              <w:rPr>
                <w:rFonts w:eastAsia="Times New Roman" w:cs="Times New Roman"/>
                <w:b/>
                <w:bCs/>
                <w:sz w:val="14"/>
                <w:szCs w:val="14"/>
                <w:lang w:eastAsia="es-CO"/>
              </w:rPr>
            </w:pPr>
            <w:r w:rsidRPr="007D0403">
              <w:rPr>
                <w:rFonts w:eastAsia="Times New Roman" w:cs="Times New Roman"/>
                <w:b/>
                <w:bCs/>
                <w:sz w:val="14"/>
                <w:szCs w:val="14"/>
                <w:lang w:eastAsia="es-CO"/>
              </w:rPr>
              <w:t>SALDO NO CORRIENTE</w:t>
            </w:r>
          </w:p>
        </w:tc>
        <w:tc>
          <w:tcPr>
            <w:tcW w:w="562" w:type="pct"/>
            <w:shd w:val="clear" w:color="000000" w:fill="FFFFFF"/>
            <w:textDirection w:val="btLr"/>
            <w:vAlign w:val="center"/>
            <w:hideMark/>
          </w:tcPr>
          <w:p w14:paraId="764A44F5" w14:textId="77777777" w:rsidR="005E64D9" w:rsidRPr="007D0403" w:rsidRDefault="005E64D9" w:rsidP="000A5389">
            <w:pPr>
              <w:spacing w:line="240" w:lineRule="auto"/>
              <w:jc w:val="center"/>
              <w:rPr>
                <w:rFonts w:eastAsia="Times New Roman" w:cs="Times New Roman"/>
                <w:b/>
                <w:bCs/>
                <w:sz w:val="14"/>
                <w:szCs w:val="14"/>
                <w:lang w:eastAsia="es-CO"/>
              </w:rPr>
            </w:pPr>
            <w:r w:rsidRPr="007D0403">
              <w:rPr>
                <w:rFonts w:eastAsia="Times New Roman" w:cs="Times New Roman"/>
                <w:b/>
                <w:bCs/>
                <w:sz w:val="14"/>
                <w:szCs w:val="14"/>
                <w:lang w:eastAsia="es-CO"/>
              </w:rPr>
              <w:t>SALDO FINAL</w:t>
            </w:r>
          </w:p>
        </w:tc>
        <w:tc>
          <w:tcPr>
            <w:tcW w:w="507" w:type="pct"/>
            <w:shd w:val="clear" w:color="000000" w:fill="FFFFFF"/>
            <w:textDirection w:val="btLr"/>
            <w:vAlign w:val="center"/>
            <w:hideMark/>
          </w:tcPr>
          <w:p w14:paraId="1A4456C1" w14:textId="77777777" w:rsidR="005E64D9" w:rsidRPr="007D0403" w:rsidRDefault="005E64D9" w:rsidP="000A5389">
            <w:pPr>
              <w:spacing w:line="240" w:lineRule="auto"/>
              <w:jc w:val="center"/>
              <w:rPr>
                <w:rFonts w:eastAsia="Times New Roman" w:cs="Times New Roman"/>
                <w:b/>
                <w:bCs/>
                <w:sz w:val="14"/>
                <w:szCs w:val="14"/>
                <w:lang w:eastAsia="es-CO"/>
              </w:rPr>
            </w:pPr>
            <w:r w:rsidRPr="007D0403">
              <w:rPr>
                <w:rFonts w:eastAsia="Times New Roman" w:cs="Times New Roman"/>
                <w:b/>
                <w:bCs/>
                <w:sz w:val="14"/>
                <w:szCs w:val="14"/>
                <w:lang w:eastAsia="es-CO"/>
              </w:rPr>
              <w:t>SALDO INICIAL</w:t>
            </w:r>
          </w:p>
        </w:tc>
        <w:tc>
          <w:tcPr>
            <w:tcW w:w="457" w:type="pct"/>
            <w:shd w:val="clear" w:color="000000" w:fill="FFFFFF"/>
            <w:textDirection w:val="btLr"/>
            <w:vAlign w:val="center"/>
            <w:hideMark/>
          </w:tcPr>
          <w:p w14:paraId="4AC0E562" w14:textId="77777777" w:rsidR="005E64D9" w:rsidRPr="007D0403" w:rsidRDefault="005E64D9" w:rsidP="000A5389">
            <w:pPr>
              <w:spacing w:line="240" w:lineRule="auto"/>
              <w:jc w:val="center"/>
              <w:rPr>
                <w:rFonts w:eastAsia="Times New Roman" w:cs="Times New Roman"/>
                <w:b/>
                <w:bCs/>
                <w:sz w:val="14"/>
                <w:szCs w:val="14"/>
                <w:lang w:eastAsia="es-CO"/>
              </w:rPr>
            </w:pPr>
            <w:r w:rsidRPr="007D0403">
              <w:rPr>
                <w:rFonts w:eastAsia="Times New Roman" w:cs="Times New Roman"/>
                <w:b/>
                <w:bCs/>
                <w:sz w:val="14"/>
                <w:szCs w:val="14"/>
                <w:lang w:eastAsia="es-CO"/>
              </w:rPr>
              <w:t>(+) DETERIORO APLICADO EN LA VIGENCIA</w:t>
            </w:r>
          </w:p>
        </w:tc>
        <w:tc>
          <w:tcPr>
            <w:tcW w:w="481" w:type="pct"/>
            <w:shd w:val="clear" w:color="000000" w:fill="FFFFFF"/>
            <w:textDirection w:val="btLr"/>
            <w:vAlign w:val="center"/>
            <w:hideMark/>
          </w:tcPr>
          <w:p w14:paraId="652CAE13" w14:textId="77777777" w:rsidR="005E64D9" w:rsidRPr="007D0403" w:rsidRDefault="005E64D9" w:rsidP="000A5389">
            <w:pPr>
              <w:spacing w:line="240" w:lineRule="auto"/>
              <w:jc w:val="center"/>
              <w:rPr>
                <w:rFonts w:eastAsia="Times New Roman" w:cs="Times New Roman"/>
                <w:b/>
                <w:bCs/>
                <w:sz w:val="14"/>
                <w:szCs w:val="14"/>
                <w:lang w:eastAsia="es-CO"/>
              </w:rPr>
            </w:pPr>
            <w:r w:rsidRPr="007D0403">
              <w:rPr>
                <w:rFonts w:eastAsia="Times New Roman" w:cs="Times New Roman"/>
                <w:b/>
                <w:bCs/>
                <w:sz w:val="14"/>
                <w:szCs w:val="14"/>
                <w:lang w:eastAsia="es-CO"/>
              </w:rPr>
              <w:t>(-) REVERSIÓN DE DETERIORO EN LA VIGENCIA</w:t>
            </w:r>
          </w:p>
        </w:tc>
        <w:tc>
          <w:tcPr>
            <w:tcW w:w="480" w:type="pct"/>
            <w:shd w:val="clear" w:color="000000" w:fill="FFFFFF"/>
            <w:textDirection w:val="btLr"/>
            <w:vAlign w:val="center"/>
            <w:hideMark/>
          </w:tcPr>
          <w:p w14:paraId="7E1F080F" w14:textId="77777777" w:rsidR="005E64D9" w:rsidRPr="007D0403" w:rsidRDefault="005E64D9" w:rsidP="000A5389">
            <w:pPr>
              <w:spacing w:line="240" w:lineRule="auto"/>
              <w:jc w:val="center"/>
              <w:rPr>
                <w:rFonts w:eastAsia="Times New Roman" w:cs="Times New Roman"/>
                <w:b/>
                <w:bCs/>
                <w:sz w:val="14"/>
                <w:szCs w:val="14"/>
                <w:lang w:eastAsia="es-CO"/>
              </w:rPr>
            </w:pPr>
            <w:r w:rsidRPr="007D0403">
              <w:rPr>
                <w:rFonts w:eastAsia="Times New Roman" w:cs="Times New Roman"/>
                <w:b/>
                <w:bCs/>
                <w:sz w:val="14"/>
                <w:szCs w:val="14"/>
                <w:lang w:eastAsia="es-CO"/>
              </w:rPr>
              <w:t>SALDO FINAL</w:t>
            </w:r>
          </w:p>
        </w:tc>
        <w:tc>
          <w:tcPr>
            <w:tcW w:w="162" w:type="pct"/>
            <w:shd w:val="clear" w:color="000000" w:fill="FFFFFF"/>
            <w:textDirection w:val="tbLrV"/>
            <w:vAlign w:val="center"/>
            <w:hideMark/>
          </w:tcPr>
          <w:p w14:paraId="07851CA4" w14:textId="77777777" w:rsidR="005E64D9" w:rsidRPr="007D0403" w:rsidRDefault="005E64D9" w:rsidP="000A5389">
            <w:pPr>
              <w:spacing w:line="240" w:lineRule="auto"/>
              <w:jc w:val="center"/>
              <w:rPr>
                <w:rFonts w:eastAsia="Times New Roman" w:cs="Times New Roman"/>
                <w:b/>
                <w:bCs/>
                <w:sz w:val="14"/>
                <w:szCs w:val="14"/>
                <w:lang w:eastAsia="es-CO"/>
              </w:rPr>
            </w:pPr>
            <w:r w:rsidRPr="007D0403">
              <w:rPr>
                <w:rFonts w:eastAsia="Times New Roman" w:cs="Times New Roman"/>
                <w:b/>
                <w:bCs/>
                <w:sz w:val="14"/>
                <w:szCs w:val="14"/>
                <w:lang w:eastAsia="es-CO"/>
              </w:rPr>
              <w:t>%</w:t>
            </w:r>
          </w:p>
        </w:tc>
        <w:tc>
          <w:tcPr>
            <w:tcW w:w="503" w:type="pct"/>
            <w:textDirection w:val="btLr"/>
            <w:vAlign w:val="center"/>
            <w:hideMark/>
          </w:tcPr>
          <w:p w14:paraId="18A8765A" w14:textId="77777777" w:rsidR="005E64D9" w:rsidRPr="007D0403" w:rsidRDefault="005E64D9" w:rsidP="000A5389">
            <w:pPr>
              <w:spacing w:line="240" w:lineRule="auto"/>
              <w:jc w:val="center"/>
              <w:rPr>
                <w:rFonts w:eastAsia="Times New Roman" w:cs="Times New Roman"/>
                <w:b/>
                <w:bCs/>
                <w:sz w:val="14"/>
                <w:szCs w:val="14"/>
                <w:lang w:eastAsia="es-CO"/>
              </w:rPr>
            </w:pPr>
            <w:r w:rsidRPr="007D0403">
              <w:rPr>
                <w:rFonts w:eastAsia="Times New Roman" w:cs="Times New Roman"/>
                <w:b/>
                <w:bCs/>
                <w:sz w:val="14"/>
                <w:szCs w:val="14"/>
                <w:lang w:eastAsia="es-CO"/>
              </w:rPr>
              <w:t>SALDO DESPUÉS DE DETERIORO</w:t>
            </w:r>
          </w:p>
        </w:tc>
        <w:tc>
          <w:tcPr>
            <w:tcW w:w="90" w:type="pct"/>
            <w:vAlign w:val="center"/>
            <w:hideMark/>
          </w:tcPr>
          <w:p w14:paraId="11D12C12" w14:textId="77777777" w:rsidR="005E64D9" w:rsidRPr="007D0403" w:rsidRDefault="005E64D9" w:rsidP="000A5389">
            <w:pPr>
              <w:spacing w:line="240" w:lineRule="auto"/>
              <w:rPr>
                <w:rFonts w:eastAsia="Times New Roman" w:cs="Times New Roman"/>
                <w:sz w:val="14"/>
                <w:szCs w:val="14"/>
                <w:lang w:eastAsia="es-CO"/>
              </w:rPr>
            </w:pPr>
          </w:p>
        </w:tc>
      </w:tr>
      <w:tr w:rsidR="005E64D9" w:rsidRPr="007D0403" w14:paraId="50E0EC12" w14:textId="77777777" w:rsidTr="00B547EE">
        <w:trPr>
          <w:trHeight w:val="855"/>
        </w:trPr>
        <w:tc>
          <w:tcPr>
            <w:tcW w:w="1008" w:type="pct"/>
            <w:shd w:val="clear" w:color="000000" w:fill="FFFFFF"/>
            <w:vAlign w:val="center"/>
            <w:hideMark/>
          </w:tcPr>
          <w:p w14:paraId="790233CB" w14:textId="77777777" w:rsidR="005E64D9" w:rsidRPr="007D0403" w:rsidRDefault="005E64D9" w:rsidP="000A5389">
            <w:pPr>
              <w:spacing w:line="240" w:lineRule="auto"/>
              <w:rPr>
                <w:rFonts w:eastAsia="Times New Roman" w:cs="Times New Roman"/>
                <w:b/>
                <w:bCs/>
                <w:sz w:val="14"/>
                <w:szCs w:val="14"/>
                <w:lang w:eastAsia="es-CO"/>
              </w:rPr>
            </w:pPr>
            <w:r w:rsidRPr="007D0403">
              <w:rPr>
                <w:rFonts w:eastAsia="Times New Roman" w:cs="Times New Roman"/>
                <w:b/>
                <w:bCs/>
                <w:sz w:val="14"/>
                <w:szCs w:val="14"/>
                <w:lang w:eastAsia="es-CO"/>
              </w:rPr>
              <w:t>SENTENCIAS, LAUDOS ARBITRALES Y CONCILIACIONES EXTRAJUDICIALES A FAVOR DE LA ENTIDAD</w:t>
            </w:r>
          </w:p>
        </w:tc>
        <w:tc>
          <w:tcPr>
            <w:tcW w:w="489" w:type="pct"/>
            <w:shd w:val="clear" w:color="000000" w:fill="FFFFFF"/>
            <w:noWrap/>
            <w:vAlign w:val="center"/>
            <w:hideMark/>
          </w:tcPr>
          <w:p w14:paraId="6489E35D" w14:textId="77777777" w:rsidR="005E64D9" w:rsidRPr="007D0403" w:rsidRDefault="005E64D9" w:rsidP="000A5389">
            <w:pPr>
              <w:spacing w:line="240" w:lineRule="auto"/>
              <w:jc w:val="right"/>
              <w:rPr>
                <w:rFonts w:eastAsia="Times New Roman" w:cs="Times New Roman"/>
                <w:b/>
                <w:bCs/>
                <w:sz w:val="14"/>
                <w:szCs w:val="14"/>
                <w:lang w:eastAsia="es-CO"/>
              </w:rPr>
            </w:pPr>
            <w:r w:rsidRPr="007D0403">
              <w:rPr>
                <w:rFonts w:eastAsia="Times New Roman" w:cs="Times New Roman"/>
                <w:b/>
                <w:bCs/>
                <w:sz w:val="14"/>
                <w:szCs w:val="14"/>
                <w:lang w:eastAsia="es-CO"/>
              </w:rPr>
              <w:t xml:space="preserve">96.503.809 </w:t>
            </w:r>
          </w:p>
        </w:tc>
        <w:tc>
          <w:tcPr>
            <w:tcW w:w="261" w:type="pct"/>
            <w:shd w:val="clear" w:color="000000" w:fill="FFFFFF"/>
            <w:noWrap/>
            <w:vAlign w:val="center"/>
            <w:hideMark/>
          </w:tcPr>
          <w:p w14:paraId="18E440ED" w14:textId="77777777" w:rsidR="005E64D9" w:rsidRPr="007D0403" w:rsidRDefault="005E64D9" w:rsidP="000A5389">
            <w:pPr>
              <w:spacing w:line="240" w:lineRule="auto"/>
              <w:jc w:val="right"/>
              <w:rPr>
                <w:rFonts w:eastAsia="Times New Roman" w:cs="Times New Roman"/>
                <w:b/>
                <w:bCs/>
                <w:sz w:val="14"/>
                <w:szCs w:val="14"/>
                <w:lang w:eastAsia="es-CO"/>
              </w:rPr>
            </w:pPr>
            <w:r w:rsidRPr="007D0403">
              <w:rPr>
                <w:rFonts w:eastAsia="Times New Roman" w:cs="Times New Roman"/>
                <w:b/>
                <w:bCs/>
                <w:sz w:val="14"/>
                <w:szCs w:val="14"/>
                <w:lang w:eastAsia="es-CO"/>
              </w:rPr>
              <w:t xml:space="preserve">0 </w:t>
            </w:r>
          </w:p>
        </w:tc>
        <w:tc>
          <w:tcPr>
            <w:tcW w:w="562" w:type="pct"/>
            <w:shd w:val="clear" w:color="000000" w:fill="FFFFFF"/>
            <w:noWrap/>
            <w:vAlign w:val="center"/>
            <w:hideMark/>
          </w:tcPr>
          <w:p w14:paraId="079B8B49" w14:textId="77777777" w:rsidR="005E64D9" w:rsidRPr="007D0403" w:rsidRDefault="005E64D9" w:rsidP="000A5389">
            <w:pPr>
              <w:spacing w:line="240" w:lineRule="auto"/>
              <w:jc w:val="right"/>
              <w:rPr>
                <w:rFonts w:eastAsia="Times New Roman" w:cs="Times New Roman"/>
                <w:b/>
                <w:bCs/>
                <w:sz w:val="14"/>
                <w:szCs w:val="14"/>
                <w:lang w:eastAsia="es-CO"/>
              </w:rPr>
            </w:pPr>
            <w:r w:rsidRPr="007D0403">
              <w:rPr>
                <w:rFonts w:eastAsia="Times New Roman" w:cs="Times New Roman"/>
                <w:b/>
                <w:bCs/>
                <w:sz w:val="14"/>
                <w:szCs w:val="14"/>
                <w:lang w:eastAsia="es-CO"/>
              </w:rPr>
              <w:t xml:space="preserve">96.503.809 </w:t>
            </w:r>
          </w:p>
        </w:tc>
        <w:tc>
          <w:tcPr>
            <w:tcW w:w="507" w:type="pct"/>
            <w:shd w:val="clear" w:color="000000" w:fill="FFFFFF"/>
            <w:noWrap/>
            <w:vAlign w:val="center"/>
            <w:hideMark/>
          </w:tcPr>
          <w:p w14:paraId="753B120F" w14:textId="77777777" w:rsidR="005E64D9" w:rsidRPr="007D0403" w:rsidRDefault="005E64D9" w:rsidP="000A5389">
            <w:pPr>
              <w:spacing w:line="240" w:lineRule="auto"/>
              <w:jc w:val="right"/>
              <w:rPr>
                <w:rFonts w:eastAsia="Times New Roman" w:cs="Times New Roman"/>
                <w:b/>
                <w:bCs/>
                <w:sz w:val="14"/>
                <w:szCs w:val="14"/>
                <w:lang w:eastAsia="es-CO"/>
              </w:rPr>
            </w:pPr>
            <w:r w:rsidRPr="007D0403">
              <w:rPr>
                <w:rFonts w:eastAsia="Times New Roman" w:cs="Times New Roman"/>
                <w:b/>
                <w:bCs/>
                <w:sz w:val="14"/>
                <w:szCs w:val="14"/>
                <w:lang w:eastAsia="es-CO"/>
              </w:rPr>
              <w:t xml:space="preserve">74.242.969 </w:t>
            </w:r>
          </w:p>
        </w:tc>
        <w:tc>
          <w:tcPr>
            <w:tcW w:w="457" w:type="pct"/>
            <w:shd w:val="clear" w:color="000000" w:fill="FFFFFF"/>
            <w:noWrap/>
            <w:vAlign w:val="center"/>
            <w:hideMark/>
          </w:tcPr>
          <w:p w14:paraId="7630BF89" w14:textId="77777777" w:rsidR="005E64D9" w:rsidRPr="007D0403" w:rsidRDefault="005E64D9" w:rsidP="000A5389">
            <w:pPr>
              <w:spacing w:line="240" w:lineRule="auto"/>
              <w:jc w:val="right"/>
              <w:rPr>
                <w:rFonts w:eastAsia="Times New Roman" w:cs="Times New Roman"/>
                <w:b/>
                <w:bCs/>
                <w:sz w:val="14"/>
                <w:szCs w:val="14"/>
                <w:lang w:eastAsia="es-CO"/>
              </w:rPr>
            </w:pPr>
            <w:r w:rsidRPr="007D0403">
              <w:rPr>
                <w:rFonts w:cs="Times New Roman"/>
                <w:b/>
                <w:bCs/>
                <w:color w:val="000000"/>
                <w:sz w:val="14"/>
                <w:szCs w:val="14"/>
              </w:rPr>
              <w:t xml:space="preserve">96.503.809 </w:t>
            </w:r>
          </w:p>
        </w:tc>
        <w:tc>
          <w:tcPr>
            <w:tcW w:w="481" w:type="pct"/>
            <w:shd w:val="clear" w:color="000000" w:fill="FFFFFF"/>
            <w:noWrap/>
            <w:vAlign w:val="center"/>
            <w:hideMark/>
          </w:tcPr>
          <w:p w14:paraId="4730CECC" w14:textId="77777777" w:rsidR="005E64D9" w:rsidRPr="007D0403" w:rsidRDefault="005E64D9" w:rsidP="000A5389">
            <w:pPr>
              <w:spacing w:line="240" w:lineRule="auto"/>
              <w:jc w:val="right"/>
              <w:rPr>
                <w:rFonts w:eastAsia="Times New Roman" w:cs="Times New Roman"/>
                <w:b/>
                <w:bCs/>
                <w:sz w:val="14"/>
                <w:szCs w:val="14"/>
                <w:lang w:eastAsia="es-CO"/>
              </w:rPr>
            </w:pPr>
            <w:r w:rsidRPr="007D0403">
              <w:rPr>
                <w:rFonts w:cs="Times New Roman"/>
                <w:b/>
                <w:bCs/>
                <w:color w:val="000000"/>
                <w:sz w:val="14"/>
                <w:szCs w:val="14"/>
              </w:rPr>
              <w:t xml:space="preserve">74.242.969 </w:t>
            </w:r>
          </w:p>
        </w:tc>
        <w:tc>
          <w:tcPr>
            <w:tcW w:w="480" w:type="pct"/>
            <w:shd w:val="clear" w:color="000000" w:fill="FFFFFF"/>
            <w:noWrap/>
            <w:vAlign w:val="center"/>
            <w:hideMark/>
          </w:tcPr>
          <w:p w14:paraId="367A54D5" w14:textId="77777777" w:rsidR="005E64D9" w:rsidRPr="007D0403" w:rsidRDefault="005E64D9" w:rsidP="000A5389">
            <w:pPr>
              <w:spacing w:line="240" w:lineRule="auto"/>
              <w:jc w:val="right"/>
              <w:rPr>
                <w:rFonts w:eastAsia="Times New Roman" w:cs="Times New Roman"/>
                <w:b/>
                <w:bCs/>
                <w:sz w:val="14"/>
                <w:szCs w:val="14"/>
                <w:lang w:eastAsia="es-CO"/>
              </w:rPr>
            </w:pPr>
            <w:r w:rsidRPr="007D0403">
              <w:rPr>
                <w:rFonts w:cs="Times New Roman"/>
                <w:b/>
                <w:bCs/>
                <w:color w:val="000000"/>
                <w:sz w:val="14"/>
                <w:szCs w:val="14"/>
              </w:rPr>
              <w:t xml:space="preserve">17.925.538 </w:t>
            </w:r>
          </w:p>
        </w:tc>
        <w:tc>
          <w:tcPr>
            <w:tcW w:w="162" w:type="pct"/>
            <w:shd w:val="clear" w:color="000000" w:fill="FFFFFF"/>
            <w:noWrap/>
            <w:vAlign w:val="center"/>
            <w:hideMark/>
          </w:tcPr>
          <w:p w14:paraId="0E15385D" w14:textId="77777777" w:rsidR="005E64D9" w:rsidRPr="007D0403" w:rsidRDefault="005E64D9" w:rsidP="000A5389">
            <w:pPr>
              <w:spacing w:line="240" w:lineRule="auto"/>
              <w:jc w:val="center"/>
              <w:rPr>
                <w:rFonts w:eastAsia="Times New Roman" w:cs="Times New Roman"/>
                <w:b/>
                <w:bCs/>
                <w:sz w:val="14"/>
                <w:szCs w:val="14"/>
                <w:lang w:eastAsia="es-CO"/>
              </w:rPr>
            </w:pPr>
            <w:r w:rsidRPr="007D0403">
              <w:rPr>
                <w:rFonts w:cs="Times New Roman"/>
                <w:b/>
                <w:bCs/>
                <w:color w:val="000000"/>
                <w:sz w:val="14"/>
                <w:szCs w:val="14"/>
              </w:rPr>
              <w:t xml:space="preserve">0 </w:t>
            </w:r>
          </w:p>
        </w:tc>
        <w:tc>
          <w:tcPr>
            <w:tcW w:w="503" w:type="pct"/>
            <w:noWrap/>
            <w:vAlign w:val="center"/>
            <w:hideMark/>
          </w:tcPr>
          <w:p w14:paraId="5F1FF81D" w14:textId="77777777" w:rsidR="005E64D9" w:rsidRPr="007D0403" w:rsidRDefault="005E64D9" w:rsidP="000A5389">
            <w:pPr>
              <w:spacing w:line="240" w:lineRule="auto"/>
              <w:jc w:val="right"/>
              <w:rPr>
                <w:rFonts w:eastAsia="Times New Roman" w:cs="Times New Roman"/>
                <w:b/>
                <w:bCs/>
                <w:sz w:val="14"/>
                <w:szCs w:val="14"/>
                <w:lang w:eastAsia="es-CO"/>
              </w:rPr>
            </w:pPr>
            <w:r w:rsidRPr="007D0403">
              <w:rPr>
                <w:rFonts w:cs="Times New Roman"/>
                <w:b/>
                <w:bCs/>
                <w:color w:val="000000"/>
                <w:sz w:val="14"/>
                <w:szCs w:val="14"/>
              </w:rPr>
              <w:t xml:space="preserve">92.168.508 </w:t>
            </w:r>
          </w:p>
        </w:tc>
        <w:tc>
          <w:tcPr>
            <w:tcW w:w="90" w:type="pct"/>
            <w:vAlign w:val="center"/>
            <w:hideMark/>
          </w:tcPr>
          <w:p w14:paraId="687E5071" w14:textId="77777777" w:rsidR="005E64D9" w:rsidRPr="007D0403" w:rsidRDefault="005E64D9" w:rsidP="000A5389">
            <w:pPr>
              <w:spacing w:line="240" w:lineRule="auto"/>
              <w:rPr>
                <w:rFonts w:eastAsia="Times New Roman" w:cs="Times New Roman"/>
                <w:sz w:val="14"/>
                <w:szCs w:val="14"/>
                <w:lang w:eastAsia="es-CO"/>
              </w:rPr>
            </w:pPr>
          </w:p>
        </w:tc>
      </w:tr>
      <w:tr w:rsidR="005E64D9" w:rsidRPr="007D0403" w14:paraId="0CABDE03" w14:textId="77777777" w:rsidTr="00B547EE">
        <w:trPr>
          <w:trHeight w:val="300"/>
        </w:trPr>
        <w:tc>
          <w:tcPr>
            <w:tcW w:w="1008" w:type="pct"/>
            <w:vAlign w:val="center"/>
            <w:hideMark/>
          </w:tcPr>
          <w:p w14:paraId="5FCD5364" w14:textId="77777777" w:rsidR="005E64D9" w:rsidRPr="007D0403" w:rsidRDefault="005E64D9" w:rsidP="000A5389">
            <w:pPr>
              <w:spacing w:line="240" w:lineRule="auto"/>
              <w:rPr>
                <w:rFonts w:eastAsia="Times New Roman" w:cs="Times New Roman"/>
                <w:sz w:val="14"/>
                <w:szCs w:val="14"/>
                <w:lang w:eastAsia="es-CO"/>
              </w:rPr>
            </w:pPr>
            <w:r w:rsidRPr="007D0403">
              <w:rPr>
                <w:rFonts w:eastAsia="Times New Roman" w:cs="Times New Roman"/>
                <w:sz w:val="14"/>
                <w:szCs w:val="14"/>
                <w:lang w:eastAsia="es-CO"/>
              </w:rPr>
              <w:t>Costas procesales</w:t>
            </w:r>
          </w:p>
        </w:tc>
        <w:tc>
          <w:tcPr>
            <w:tcW w:w="489" w:type="pct"/>
            <w:noWrap/>
            <w:vAlign w:val="center"/>
            <w:hideMark/>
          </w:tcPr>
          <w:p w14:paraId="63050FE6" w14:textId="77777777" w:rsidR="005E64D9" w:rsidRPr="007D0403" w:rsidRDefault="005E64D9" w:rsidP="000A5389">
            <w:pPr>
              <w:spacing w:line="240" w:lineRule="auto"/>
              <w:jc w:val="right"/>
              <w:rPr>
                <w:rFonts w:eastAsia="Times New Roman" w:cs="Times New Roman"/>
                <w:sz w:val="14"/>
                <w:szCs w:val="14"/>
                <w:lang w:eastAsia="es-CO"/>
              </w:rPr>
            </w:pPr>
            <w:r w:rsidRPr="007D0403">
              <w:rPr>
                <w:rFonts w:eastAsia="Times New Roman" w:cs="Times New Roman"/>
                <w:sz w:val="14"/>
                <w:szCs w:val="14"/>
                <w:lang w:eastAsia="es-CO"/>
              </w:rPr>
              <w:t xml:space="preserve">96.503.809 </w:t>
            </w:r>
          </w:p>
        </w:tc>
        <w:tc>
          <w:tcPr>
            <w:tcW w:w="261" w:type="pct"/>
            <w:noWrap/>
            <w:vAlign w:val="center"/>
            <w:hideMark/>
          </w:tcPr>
          <w:p w14:paraId="543FCBF6" w14:textId="77777777" w:rsidR="005E64D9" w:rsidRPr="007D0403" w:rsidRDefault="005E64D9" w:rsidP="000A5389">
            <w:pPr>
              <w:spacing w:line="240" w:lineRule="auto"/>
              <w:jc w:val="right"/>
              <w:rPr>
                <w:rFonts w:eastAsia="Times New Roman" w:cs="Times New Roman"/>
                <w:sz w:val="14"/>
                <w:szCs w:val="14"/>
                <w:lang w:eastAsia="es-CO"/>
              </w:rPr>
            </w:pPr>
            <w:r w:rsidRPr="007D0403">
              <w:rPr>
                <w:rFonts w:eastAsia="Times New Roman" w:cs="Times New Roman"/>
                <w:sz w:val="14"/>
                <w:szCs w:val="14"/>
                <w:lang w:eastAsia="es-CO"/>
              </w:rPr>
              <w:t xml:space="preserve">0 </w:t>
            </w:r>
          </w:p>
        </w:tc>
        <w:tc>
          <w:tcPr>
            <w:tcW w:w="562" w:type="pct"/>
            <w:noWrap/>
            <w:vAlign w:val="center"/>
            <w:hideMark/>
          </w:tcPr>
          <w:p w14:paraId="2E807B4D" w14:textId="77777777" w:rsidR="005E64D9" w:rsidRPr="007D0403" w:rsidRDefault="005E64D9" w:rsidP="000A5389">
            <w:pPr>
              <w:spacing w:line="240" w:lineRule="auto"/>
              <w:jc w:val="right"/>
              <w:rPr>
                <w:rFonts w:eastAsia="Times New Roman" w:cs="Times New Roman"/>
                <w:sz w:val="14"/>
                <w:szCs w:val="14"/>
                <w:lang w:eastAsia="es-CO"/>
              </w:rPr>
            </w:pPr>
            <w:r w:rsidRPr="007D0403">
              <w:rPr>
                <w:rFonts w:eastAsia="Times New Roman" w:cs="Times New Roman"/>
                <w:sz w:val="14"/>
                <w:szCs w:val="14"/>
                <w:lang w:eastAsia="es-CO"/>
              </w:rPr>
              <w:t xml:space="preserve">96.503.809 </w:t>
            </w:r>
          </w:p>
        </w:tc>
        <w:tc>
          <w:tcPr>
            <w:tcW w:w="507" w:type="pct"/>
            <w:noWrap/>
            <w:vAlign w:val="center"/>
            <w:hideMark/>
          </w:tcPr>
          <w:p w14:paraId="12071822" w14:textId="77777777" w:rsidR="005E64D9" w:rsidRPr="007D0403" w:rsidRDefault="005E64D9" w:rsidP="000A5389">
            <w:pPr>
              <w:spacing w:line="240" w:lineRule="auto"/>
              <w:jc w:val="right"/>
              <w:rPr>
                <w:rFonts w:eastAsia="Times New Roman" w:cs="Times New Roman"/>
                <w:sz w:val="14"/>
                <w:szCs w:val="14"/>
                <w:lang w:eastAsia="es-CO"/>
              </w:rPr>
            </w:pPr>
            <w:r w:rsidRPr="007D0403">
              <w:rPr>
                <w:rFonts w:eastAsia="Times New Roman" w:cs="Times New Roman"/>
                <w:sz w:val="14"/>
                <w:szCs w:val="14"/>
                <w:lang w:eastAsia="es-CO"/>
              </w:rPr>
              <w:t xml:space="preserve">74.242.969 </w:t>
            </w:r>
          </w:p>
        </w:tc>
        <w:tc>
          <w:tcPr>
            <w:tcW w:w="457" w:type="pct"/>
            <w:noWrap/>
            <w:vAlign w:val="center"/>
            <w:hideMark/>
          </w:tcPr>
          <w:p w14:paraId="35359E0E" w14:textId="77777777" w:rsidR="005E64D9" w:rsidRPr="007D0403" w:rsidRDefault="005E64D9" w:rsidP="000A5389">
            <w:pPr>
              <w:spacing w:line="240" w:lineRule="auto"/>
              <w:jc w:val="right"/>
              <w:rPr>
                <w:rFonts w:eastAsia="Times New Roman" w:cs="Times New Roman"/>
                <w:sz w:val="14"/>
                <w:szCs w:val="14"/>
                <w:lang w:eastAsia="es-CO"/>
              </w:rPr>
            </w:pPr>
            <w:r w:rsidRPr="007D0403">
              <w:rPr>
                <w:rFonts w:cs="Times New Roman"/>
                <w:color w:val="000000"/>
                <w:sz w:val="14"/>
                <w:szCs w:val="14"/>
              </w:rPr>
              <w:t xml:space="preserve">96.503.809 </w:t>
            </w:r>
          </w:p>
        </w:tc>
        <w:tc>
          <w:tcPr>
            <w:tcW w:w="481" w:type="pct"/>
            <w:noWrap/>
            <w:vAlign w:val="center"/>
            <w:hideMark/>
          </w:tcPr>
          <w:p w14:paraId="64FD406C" w14:textId="77777777" w:rsidR="005E64D9" w:rsidRPr="007D0403" w:rsidRDefault="005E64D9" w:rsidP="000A5389">
            <w:pPr>
              <w:spacing w:line="240" w:lineRule="auto"/>
              <w:jc w:val="right"/>
              <w:rPr>
                <w:rFonts w:eastAsia="Times New Roman" w:cs="Times New Roman"/>
                <w:sz w:val="14"/>
                <w:szCs w:val="14"/>
                <w:lang w:eastAsia="es-CO"/>
              </w:rPr>
            </w:pPr>
            <w:r w:rsidRPr="007D0403">
              <w:rPr>
                <w:rFonts w:cs="Times New Roman"/>
                <w:color w:val="000000"/>
                <w:sz w:val="14"/>
                <w:szCs w:val="14"/>
              </w:rPr>
              <w:t xml:space="preserve">74.242.969 </w:t>
            </w:r>
          </w:p>
        </w:tc>
        <w:tc>
          <w:tcPr>
            <w:tcW w:w="480" w:type="pct"/>
            <w:noWrap/>
            <w:vAlign w:val="center"/>
            <w:hideMark/>
          </w:tcPr>
          <w:p w14:paraId="629D580F" w14:textId="77777777" w:rsidR="005E64D9" w:rsidRPr="007D0403" w:rsidRDefault="005E64D9" w:rsidP="000A5389">
            <w:pPr>
              <w:spacing w:line="240" w:lineRule="auto"/>
              <w:jc w:val="right"/>
              <w:rPr>
                <w:rFonts w:eastAsia="Times New Roman" w:cs="Times New Roman"/>
                <w:sz w:val="14"/>
                <w:szCs w:val="14"/>
                <w:lang w:eastAsia="es-CO"/>
              </w:rPr>
            </w:pPr>
            <w:r w:rsidRPr="007D0403">
              <w:rPr>
                <w:rFonts w:cs="Times New Roman"/>
                <w:color w:val="000000"/>
                <w:sz w:val="14"/>
                <w:szCs w:val="14"/>
              </w:rPr>
              <w:t xml:space="preserve">17.925.538 </w:t>
            </w:r>
          </w:p>
        </w:tc>
        <w:tc>
          <w:tcPr>
            <w:tcW w:w="162" w:type="pct"/>
            <w:noWrap/>
            <w:vAlign w:val="center"/>
            <w:hideMark/>
          </w:tcPr>
          <w:p w14:paraId="494815B5" w14:textId="77777777" w:rsidR="005E64D9" w:rsidRPr="007D0403" w:rsidRDefault="005E64D9" w:rsidP="000A5389">
            <w:pPr>
              <w:spacing w:line="240" w:lineRule="auto"/>
              <w:jc w:val="center"/>
              <w:rPr>
                <w:rFonts w:eastAsia="Times New Roman" w:cs="Times New Roman"/>
                <w:sz w:val="14"/>
                <w:szCs w:val="14"/>
                <w:lang w:eastAsia="es-CO"/>
              </w:rPr>
            </w:pPr>
            <w:r w:rsidRPr="007D0403">
              <w:rPr>
                <w:rFonts w:cs="Times New Roman"/>
                <w:color w:val="000000"/>
                <w:sz w:val="14"/>
                <w:szCs w:val="14"/>
              </w:rPr>
              <w:t xml:space="preserve">0 </w:t>
            </w:r>
          </w:p>
        </w:tc>
        <w:tc>
          <w:tcPr>
            <w:tcW w:w="503" w:type="pct"/>
            <w:noWrap/>
            <w:vAlign w:val="center"/>
            <w:hideMark/>
          </w:tcPr>
          <w:p w14:paraId="6D75ADEC" w14:textId="77777777" w:rsidR="005E64D9" w:rsidRPr="007D0403" w:rsidRDefault="005E64D9" w:rsidP="000A5389">
            <w:pPr>
              <w:spacing w:line="240" w:lineRule="auto"/>
              <w:jc w:val="right"/>
              <w:rPr>
                <w:rFonts w:eastAsia="Times New Roman" w:cs="Times New Roman"/>
                <w:sz w:val="14"/>
                <w:szCs w:val="14"/>
                <w:lang w:eastAsia="es-CO"/>
              </w:rPr>
            </w:pPr>
            <w:r w:rsidRPr="007D0403">
              <w:rPr>
                <w:rFonts w:cs="Times New Roman"/>
                <w:color w:val="000000"/>
                <w:sz w:val="14"/>
                <w:szCs w:val="14"/>
              </w:rPr>
              <w:t xml:space="preserve">92.168.508 </w:t>
            </w:r>
          </w:p>
        </w:tc>
        <w:tc>
          <w:tcPr>
            <w:tcW w:w="90" w:type="pct"/>
            <w:vAlign w:val="center"/>
            <w:hideMark/>
          </w:tcPr>
          <w:p w14:paraId="569E2986" w14:textId="77777777" w:rsidR="005E64D9" w:rsidRPr="007D0403" w:rsidRDefault="005E64D9" w:rsidP="000A5389">
            <w:pPr>
              <w:spacing w:line="240" w:lineRule="auto"/>
              <w:rPr>
                <w:rFonts w:eastAsia="Times New Roman" w:cs="Times New Roman"/>
                <w:sz w:val="14"/>
                <w:szCs w:val="14"/>
                <w:lang w:eastAsia="es-CO"/>
              </w:rPr>
            </w:pPr>
          </w:p>
        </w:tc>
      </w:tr>
    </w:tbl>
    <w:p w14:paraId="3870D4E2" w14:textId="77777777" w:rsidR="005E64D9" w:rsidRPr="00951AB1" w:rsidRDefault="005E64D9" w:rsidP="000A5389">
      <w:pPr>
        <w:spacing w:line="240" w:lineRule="auto"/>
        <w:rPr>
          <w:rFonts w:cs="Times New Roman"/>
          <w:sz w:val="14"/>
          <w:szCs w:val="14"/>
        </w:rPr>
      </w:pPr>
      <w:bookmarkStart w:id="268" w:name="_Hlk191169514"/>
      <w:r w:rsidRPr="00951AB1">
        <w:rPr>
          <w:rFonts w:cs="Times New Roman"/>
          <w:sz w:val="14"/>
          <w:szCs w:val="14"/>
        </w:rPr>
        <w:t>Cifras expresadas en pesos</w:t>
      </w:r>
    </w:p>
    <w:p w14:paraId="5BA3B9FE" w14:textId="77777777" w:rsidR="005E64D9" w:rsidRPr="00951AB1" w:rsidRDefault="005E64D9" w:rsidP="000A5389">
      <w:pPr>
        <w:spacing w:line="240" w:lineRule="auto"/>
        <w:rPr>
          <w:rFonts w:cs="Times New Roman"/>
          <w:sz w:val="14"/>
          <w:szCs w:val="14"/>
        </w:rPr>
      </w:pPr>
    </w:p>
    <w:p w14:paraId="65CC48F0" w14:textId="77777777" w:rsidR="005E64D9" w:rsidRPr="00951AB1" w:rsidRDefault="005E64D9" w:rsidP="000A5389">
      <w:pPr>
        <w:spacing w:line="240" w:lineRule="auto"/>
        <w:rPr>
          <w:rFonts w:cs="Times New Roman"/>
          <w:sz w:val="14"/>
          <w:szCs w:val="14"/>
        </w:rPr>
      </w:pPr>
    </w:p>
    <w:p w14:paraId="69170A08" w14:textId="77777777" w:rsidR="005E64D9" w:rsidRPr="00951AB1" w:rsidRDefault="005E64D9" w:rsidP="000A5389">
      <w:pPr>
        <w:spacing w:line="240" w:lineRule="auto"/>
        <w:rPr>
          <w:rFonts w:cs="Times New Roman"/>
          <w:sz w:val="14"/>
          <w:szCs w:val="14"/>
        </w:rPr>
      </w:pPr>
    </w:p>
    <w:tbl>
      <w:tblPr>
        <w:tblW w:w="5000" w:type="pct"/>
        <w:jc w:val="center"/>
        <w:tblCellMar>
          <w:left w:w="70" w:type="dxa"/>
          <w:right w:w="70" w:type="dxa"/>
        </w:tblCellMar>
        <w:tblLook w:val="04A0" w:firstRow="1" w:lastRow="0" w:firstColumn="1" w:lastColumn="0" w:noHBand="0" w:noVBand="1"/>
      </w:tblPr>
      <w:tblGrid>
        <w:gridCol w:w="1413"/>
        <w:gridCol w:w="2027"/>
        <w:gridCol w:w="1052"/>
        <w:gridCol w:w="1052"/>
        <w:gridCol w:w="1052"/>
        <w:gridCol w:w="616"/>
        <w:gridCol w:w="763"/>
        <w:gridCol w:w="853"/>
      </w:tblGrid>
      <w:tr w:rsidR="005E64D9" w:rsidRPr="007D0403" w14:paraId="41121986" w14:textId="77777777" w:rsidTr="005E64D9">
        <w:trPr>
          <w:trHeight w:val="268"/>
          <w:tblHeader/>
          <w:jc w:val="center"/>
        </w:trPr>
        <w:tc>
          <w:tcPr>
            <w:tcW w:w="800" w:type="pct"/>
            <w:vMerge w:val="restart"/>
            <w:tcBorders>
              <w:top w:val="single" w:sz="4" w:space="0" w:color="D0D0D0"/>
              <w:left w:val="single" w:sz="4" w:space="0" w:color="D0D0D0"/>
              <w:bottom w:val="single" w:sz="4" w:space="0" w:color="D0D0D0"/>
              <w:right w:val="single" w:sz="4" w:space="0" w:color="D0D0D0"/>
            </w:tcBorders>
            <w:vAlign w:val="center"/>
            <w:hideMark/>
          </w:tcPr>
          <w:p w14:paraId="33E8D5DC" w14:textId="77777777" w:rsidR="005E64D9" w:rsidRPr="00392927" w:rsidRDefault="005E64D9" w:rsidP="000A5389">
            <w:pPr>
              <w:spacing w:line="240" w:lineRule="auto"/>
              <w:jc w:val="center"/>
              <w:rPr>
                <w:rFonts w:eastAsia="Times New Roman" w:cs="Times New Roman"/>
                <w:b/>
                <w:bCs/>
                <w:color w:val="000000"/>
                <w:sz w:val="14"/>
                <w:szCs w:val="14"/>
                <w:lang w:eastAsia="es-CO"/>
              </w:rPr>
            </w:pPr>
            <w:r w:rsidRPr="00392927">
              <w:rPr>
                <w:rFonts w:eastAsia="Times New Roman" w:cs="Times New Roman"/>
                <w:b/>
                <w:bCs/>
                <w:color w:val="000000"/>
                <w:sz w:val="14"/>
                <w:szCs w:val="14"/>
                <w:lang w:eastAsia="es-CO"/>
              </w:rPr>
              <w:t>DESCRIPCIÓN</w:t>
            </w:r>
          </w:p>
        </w:tc>
        <w:tc>
          <w:tcPr>
            <w:tcW w:w="1148" w:type="pct"/>
            <w:vMerge w:val="restart"/>
            <w:tcBorders>
              <w:top w:val="single" w:sz="4" w:space="0" w:color="D0D0D0"/>
              <w:left w:val="single" w:sz="4" w:space="0" w:color="D0D0D0"/>
              <w:bottom w:val="single" w:sz="4" w:space="0" w:color="D0D0D0"/>
              <w:right w:val="single" w:sz="4" w:space="0" w:color="D0D0D0"/>
            </w:tcBorders>
            <w:vAlign w:val="center"/>
            <w:hideMark/>
          </w:tcPr>
          <w:p w14:paraId="0661238E" w14:textId="77777777" w:rsidR="005E64D9" w:rsidRPr="00392927" w:rsidRDefault="005E64D9" w:rsidP="000A5389">
            <w:pPr>
              <w:spacing w:line="240" w:lineRule="auto"/>
              <w:jc w:val="center"/>
              <w:rPr>
                <w:rFonts w:eastAsia="Times New Roman" w:cs="Times New Roman"/>
                <w:b/>
                <w:bCs/>
                <w:color w:val="000000"/>
                <w:sz w:val="14"/>
                <w:szCs w:val="14"/>
                <w:lang w:eastAsia="es-CO"/>
              </w:rPr>
            </w:pPr>
            <w:r w:rsidRPr="00392927">
              <w:rPr>
                <w:rFonts w:eastAsia="Times New Roman" w:cs="Times New Roman"/>
                <w:b/>
                <w:bCs/>
                <w:color w:val="000000"/>
                <w:sz w:val="14"/>
                <w:szCs w:val="14"/>
                <w:lang w:eastAsia="es-CO"/>
              </w:rPr>
              <w:t>TERCERO</w:t>
            </w:r>
          </w:p>
        </w:tc>
        <w:tc>
          <w:tcPr>
            <w:tcW w:w="596" w:type="pct"/>
            <w:tcBorders>
              <w:top w:val="single" w:sz="4" w:space="0" w:color="D0D0D0"/>
              <w:left w:val="nil"/>
              <w:bottom w:val="single" w:sz="4" w:space="0" w:color="D0D0D0"/>
              <w:right w:val="single" w:sz="4" w:space="0" w:color="D0D0D0"/>
            </w:tcBorders>
            <w:vAlign w:val="center"/>
            <w:hideMark/>
          </w:tcPr>
          <w:p w14:paraId="579DAEC4" w14:textId="77777777" w:rsidR="005E64D9" w:rsidRPr="00392927" w:rsidRDefault="005E64D9" w:rsidP="000A5389">
            <w:pPr>
              <w:spacing w:line="240" w:lineRule="auto"/>
              <w:jc w:val="center"/>
              <w:rPr>
                <w:rFonts w:eastAsia="Times New Roman" w:cs="Times New Roman"/>
                <w:b/>
                <w:bCs/>
                <w:color w:val="000000"/>
                <w:sz w:val="14"/>
                <w:szCs w:val="14"/>
                <w:lang w:eastAsia="es-CO"/>
              </w:rPr>
            </w:pPr>
            <w:r w:rsidRPr="00392927">
              <w:rPr>
                <w:rFonts w:eastAsia="Times New Roman" w:cs="Times New Roman"/>
                <w:b/>
                <w:bCs/>
                <w:color w:val="000000"/>
                <w:sz w:val="14"/>
                <w:szCs w:val="14"/>
                <w:lang w:eastAsia="es-CO"/>
              </w:rPr>
              <w:t xml:space="preserve">VALOR </w:t>
            </w:r>
          </w:p>
        </w:tc>
        <w:tc>
          <w:tcPr>
            <w:tcW w:w="1192" w:type="pct"/>
            <w:gridSpan w:val="2"/>
            <w:tcBorders>
              <w:top w:val="single" w:sz="4" w:space="0" w:color="D0D0D0"/>
              <w:left w:val="nil"/>
              <w:bottom w:val="single" w:sz="4" w:space="0" w:color="D0D0D0"/>
              <w:right w:val="single" w:sz="4" w:space="0" w:color="D0D0D0"/>
            </w:tcBorders>
            <w:vAlign w:val="center"/>
            <w:hideMark/>
          </w:tcPr>
          <w:p w14:paraId="5746672C" w14:textId="77777777" w:rsidR="005E64D9" w:rsidRPr="00392927" w:rsidRDefault="005E64D9" w:rsidP="000A5389">
            <w:pPr>
              <w:spacing w:line="240" w:lineRule="auto"/>
              <w:jc w:val="center"/>
              <w:rPr>
                <w:rFonts w:eastAsia="Times New Roman" w:cs="Times New Roman"/>
                <w:b/>
                <w:bCs/>
                <w:color w:val="000000"/>
                <w:sz w:val="14"/>
                <w:szCs w:val="14"/>
                <w:lang w:eastAsia="es-CO"/>
              </w:rPr>
            </w:pPr>
            <w:r w:rsidRPr="00392927">
              <w:rPr>
                <w:rFonts w:eastAsia="Times New Roman" w:cs="Times New Roman"/>
                <w:b/>
                <w:bCs/>
                <w:color w:val="000000"/>
                <w:sz w:val="14"/>
                <w:szCs w:val="14"/>
                <w:lang w:eastAsia="es-CO"/>
              </w:rPr>
              <w:t>PLAZO</w:t>
            </w:r>
          </w:p>
        </w:tc>
        <w:tc>
          <w:tcPr>
            <w:tcW w:w="349" w:type="pct"/>
            <w:vMerge w:val="restart"/>
            <w:tcBorders>
              <w:top w:val="single" w:sz="4" w:space="0" w:color="D0D0D0"/>
              <w:left w:val="single" w:sz="4" w:space="0" w:color="D0D0D0"/>
              <w:bottom w:val="single" w:sz="4" w:space="0" w:color="D0D0D0"/>
              <w:right w:val="single" w:sz="4" w:space="0" w:color="D0D0D0"/>
            </w:tcBorders>
            <w:vAlign w:val="center"/>
            <w:hideMark/>
          </w:tcPr>
          <w:p w14:paraId="42F0F83F" w14:textId="77777777" w:rsidR="005E64D9" w:rsidRPr="00392927" w:rsidRDefault="005E64D9" w:rsidP="000A5389">
            <w:pPr>
              <w:spacing w:line="240" w:lineRule="auto"/>
              <w:jc w:val="center"/>
              <w:rPr>
                <w:rFonts w:eastAsia="Times New Roman" w:cs="Times New Roman"/>
                <w:b/>
                <w:bCs/>
                <w:color w:val="000000"/>
                <w:sz w:val="14"/>
                <w:szCs w:val="14"/>
                <w:lang w:eastAsia="es-CO"/>
              </w:rPr>
            </w:pPr>
            <w:r w:rsidRPr="00392927">
              <w:rPr>
                <w:rFonts w:eastAsia="Times New Roman" w:cs="Times New Roman"/>
                <w:b/>
                <w:bCs/>
                <w:color w:val="000000"/>
                <w:sz w:val="14"/>
                <w:szCs w:val="14"/>
                <w:lang w:eastAsia="es-CO"/>
              </w:rPr>
              <w:t>% E. A</w:t>
            </w:r>
          </w:p>
        </w:tc>
        <w:tc>
          <w:tcPr>
            <w:tcW w:w="915" w:type="pct"/>
            <w:gridSpan w:val="2"/>
            <w:tcBorders>
              <w:top w:val="single" w:sz="4" w:space="0" w:color="D0D0D0"/>
              <w:left w:val="nil"/>
              <w:bottom w:val="single" w:sz="4" w:space="0" w:color="D0D0D0"/>
              <w:right w:val="single" w:sz="4" w:space="0" w:color="D0D0D0"/>
            </w:tcBorders>
            <w:vAlign w:val="center"/>
            <w:hideMark/>
          </w:tcPr>
          <w:p w14:paraId="31706CFE" w14:textId="77777777" w:rsidR="005E64D9" w:rsidRPr="00392927" w:rsidRDefault="005E64D9" w:rsidP="000A5389">
            <w:pPr>
              <w:spacing w:line="240" w:lineRule="auto"/>
              <w:jc w:val="center"/>
              <w:rPr>
                <w:rFonts w:eastAsia="Times New Roman" w:cs="Times New Roman"/>
                <w:b/>
                <w:bCs/>
                <w:color w:val="000000"/>
                <w:sz w:val="14"/>
                <w:szCs w:val="14"/>
                <w:lang w:eastAsia="es-CO"/>
              </w:rPr>
            </w:pPr>
            <w:r w:rsidRPr="00392927">
              <w:rPr>
                <w:rFonts w:eastAsia="Times New Roman" w:cs="Times New Roman"/>
                <w:b/>
                <w:bCs/>
                <w:color w:val="000000"/>
                <w:sz w:val="14"/>
                <w:szCs w:val="14"/>
                <w:lang w:eastAsia="es-CO"/>
              </w:rPr>
              <w:t xml:space="preserve">VENCIMIENTO </w:t>
            </w:r>
          </w:p>
        </w:tc>
      </w:tr>
      <w:tr w:rsidR="005E64D9" w:rsidRPr="007D0403" w14:paraId="23D7FC08" w14:textId="77777777" w:rsidTr="005E64D9">
        <w:trPr>
          <w:trHeight w:val="70"/>
          <w:tblHeader/>
          <w:jc w:val="center"/>
        </w:trPr>
        <w:tc>
          <w:tcPr>
            <w:tcW w:w="800" w:type="pct"/>
            <w:vMerge/>
            <w:tcBorders>
              <w:top w:val="single" w:sz="4" w:space="0" w:color="D0D0D0"/>
              <w:left w:val="single" w:sz="4" w:space="0" w:color="D0D0D0"/>
              <w:bottom w:val="single" w:sz="4" w:space="0" w:color="D0D0D0"/>
              <w:right w:val="single" w:sz="4" w:space="0" w:color="D0D0D0"/>
            </w:tcBorders>
            <w:vAlign w:val="center"/>
            <w:hideMark/>
          </w:tcPr>
          <w:p w14:paraId="6E6A0DEE" w14:textId="77777777" w:rsidR="005E64D9" w:rsidRPr="00392927" w:rsidRDefault="005E64D9" w:rsidP="000A5389">
            <w:pPr>
              <w:spacing w:line="240" w:lineRule="auto"/>
              <w:rPr>
                <w:rFonts w:eastAsia="Times New Roman" w:cs="Times New Roman"/>
                <w:b/>
                <w:bCs/>
                <w:color w:val="000000"/>
                <w:sz w:val="14"/>
                <w:szCs w:val="14"/>
                <w:lang w:eastAsia="es-CO"/>
              </w:rPr>
            </w:pPr>
          </w:p>
        </w:tc>
        <w:tc>
          <w:tcPr>
            <w:tcW w:w="1148" w:type="pct"/>
            <w:vMerge/>
            <w:tcBorders>
              <w:top w:val="single" w:sz="4" w:space="0" w:color="D0D0D0"/>
              <w:left w:val="single" w:sz="4" w:space="0" w:color="D0D0D0"/>
              <w:bottom w:val="single" w:sz="4" w:space="0" w:color="D0D0D0"/>
              <w:right w:val="single" w:sz="4" w:space="0" w:color="D0D0D0"/>
            </w:tcBorders>
            <w:vAlign w:val="center"/>
            <w:hideMark/>
          </w:tcPr>
          <w:p w14:paraId="75A56502" w14:textId="77777777" w:rsidR="005E64D9" w:rsidRPr="00392927" w:rsidRDefault="005E64D9" w:rsidP="000A5389">
            <w:pPr>
              <w:spacing w:line="240" w:lineRule="auto"/>
              <w:rPr>
                <w:rFonts w:eastAsia="Times New Roman" w:cs="Times New Roman"/>
                <w:b/>
                <w:bCs/>
                <w:color w:val="000000"/>
                <w:sz w:val="14"/>
                <w:szCs w:val="14"/>
                <w:lang w:eastAsia="es-CO"/>
              </w:rPr>
            </w:pPr>
          </w:p>
        </w:tc>
        <w:tc>
          <w:tcPr>
            <w:tcW w:w="596" w:type="pct"/>
            <w:tcBorders>
              <w:top w:val="nil"/>
              <w:left w:val="nil"/>
              <w:bottom w:val="single" w:sz="4" w:space="0" w:color="D0D0D0"/>
              <w:right w:val="single" w:sz="4" w:space="0" w:color="D0D0D0"/>
            </w:tcBorders>
            <w:vAlign w:val="center"/>
            <w:hideMark/>
          </w:tcPr>
          <w:p w14:paraId="6521002D" w14:textId="77777777" w:rsidR="005E64D9" w:rsidRPr="00392927" w:rsidRDefault="005E64D9" w:rsidP="000A5389">
            <w:pPr>
              <w:spacing w:line="240" w:lineRule="auto"/>
              <w:jc w:val="center"/>
              <w:rPr>
                <w:rFonts w:eastAsia="Times New Roman" w:cs="Times New Roman"/>
                <w:b/>
                <w:bCs/>
                <w:color w:val="000000"/>
                <w:sz w:val="14"/>
                <w:szCs w:val="14"/>
                <w:lang w:eastAsia="es-CO"/>
              </w:rPr>
            </w:pPr>
            <w:r w:rsidRPr="00392927">
              <w:rPr>
                <w:rFonts w:eastAsia="Times New Roman" w:cs="Times New Roman"/>
                <w:b/>
                <w:bCs/>
                <w:color w:val="000000"/>
                <w:sz w:val="14"/>
                <w:szCs w:val="14"/>
                <w:lang w:eastAsia="es-CO"/>
              </w:rPr>
              <w:t>31/12/2025</w:t>
            </w:r>
          </w:p>
        </w:tc>
        <w:tc>
          <w:tcPr>
            <w:tcW w:w="596" w:type="pct"/>
            <w:tcBorders>
              <w:top w:val="nil"/>
              <w:left w:val="nil"/>
              <w:bottom w:val="single" w:sz="4" w:space="0" w:color="D0D0D0"/>
              <w:right w:val="single" w:sz="4" w:space="0" w:color="D0D0D0"/>
            </w:tcBorders>
            <w:vAlign w:val="center"/>
            <w:hideMark/>
          </w:tcPr>
          <w:p w14:paraId="3E10A154" w14:textId="77777777" w:rsidR="005E64D9" w:rsidRPr="00392927" w:rsidRDefault="005E64D9" w:rsidP="000A5389">
            <w:pPr>
              <w:spacing w:line="240" w:lineRule="auto"/>
              <w:jc w:val="center"/>
              <w:rPr>
                <w:rFonts w:eastAsia="Times New Roman" w:cs="Times New Roman"/>
                <w:b/>
                <w:bCs/>
                <w:color w:val="000000"/>
                <w:sz w:val="14"/>
                <w:szCs w:val="14"/>
                <w:lang w:eastAsia="es-CO"/>
              </w:rPr>
            </w:pPr>
            <w:r w:rsidRPr="00392927">
              <w:rPr>
                <w:rFonts w:eastAsia="Times New Roman" w:cs="Times New Roman"/>
                <w:b/>
                <w:bCs/>
                <w:color w:val="000000"/>
                <w:sz w:val="14"/>
                <w:szCs w:val="14"/>
                <w:lang w:eastAsia="es-CO"/>
              </w:rPr>
              <w:t>MINIMO</w:t>
            </w:r>
          </w:p>
        </w:tc>
        <w:tc>
          <w:tcPr>
            <w:tcW w:w="596" w:type="pct"/>
            <w:tcBorders>
              <w:top w:val="nil"/>
              <w:left w:val="nil"/>
              <w:bottom w:val="single" w:sz="4" w:space="0" w:color="D0D0D0"/>
              <w:right w:val="single" w:sz="4" w:space="0" w:color="D0D0D0"/>
            </w:tcBorders>
            <w:vAlign w:val="center"/>
            <w:hideMark/>
          </w:tcPr>
          <w:p w14:paraId="1F09EB55" w14:textId="77777777" w:rsidR="005E64D9" w:rsidRPr="00392927" w:rsidRDefault="005E64D9" w:rsidP="000A5389">
            <w:pPr>
              <w:spacing w:line="240" w:lineRule="auto"/>
              <w:jc w:val="center"/>
              <w:rPr>
                <w:rFonts w:eastAsia="Times New Roman" w:cs="Times New Roman"/>
                <w:b/>
                <w:bCs/>
                <w:color w:val="000000"/>
                <w:sz w:val="14"/>
                <w:szCs w:val="14"/>
                <w:lang w:eastAsia="es-CO"/>
              </w:rPr>
            </w:pPr>
            <w:r w:rsidRPr="00392927">
              <w:rPr>
                <w:rFonts w:eastAsia="Times New Roman" w:cs="Times New Roman"/>
                <w:b/>
                <w:bCs/>
                <w:color w:val="000000"/>
                <w:sz w:val="14"/>
                <w:szCs w:val="14"/>
                <w:lang w:eastAsia="es-CO"/>
              </w:rPr>
              <w:t>MÁXIMO</w:t>
            </w:r>
          </w:p>
        </w:tc>
        <w:tc>
          <w:tcPr>
            <w:tcW w:w="349" w:type="pct"/>
            <w:vMerge/>
            <w:tcBorders>
              <w:top w:val="single" w:sz="4" w:space="0" w:color="D0D0D0"/>
              <w:left w:val="single" w:sz="4" w:space="0" w:color="D0D0D0"/>
              <w:bottom w:val="single" w:sz="4" w:space="0" w:color="D0D0D0"/>
              <w:right w:val="single" w:sz="4" w:space="0" w:color="D0D0D0"/>
            </w:tcBorders>
            <w:vAlign w:val="center"/>
            <w:hideMark/>
          </w:tcPr>
          <w:p w14:paraId="5A95F139" w14:textId="77777777" w:rsidR="005E64D9" w:rsidRPr="00392927" w:rsidRDefault="005E64D9" w:rsidP="000A5389">
            <w:pPr>
              <w:spacing w:line="240" w:lineRule="auto"/>
              <w:rPr>
                <w:rFonts w:eastAsia="Times New Roman" w:cs="Times New Roman"/>
                <w:b/>
                <w:bCs/>
                <w:color w:val="000000"/>
                <w:sz w:val="14"/>
                <w:szCs w:val="14"/>
                <w:lang w:eastAsia="es-CO"/>
              </w:rPr>
            </w:pPr>
          </w:p>
        </w:tc>
        <w:tc>
          <w:tcPr>
            <w:tcW w:w="432" w:type="pct"/>
            <w:tcBorders>
              <w:top w:val="nil"/>
              <w:left w:val="nil"/>
              <w:bottom w:val="single" w:sz="4" w:space="0" w:color="D0D0D0"/>
              <w:right w:val="single" w:sz="4" w:space="0" w:color="D0D0D0"/>
            </w:tcBorders>
            <w:vAlign w:val="center"/>
            <w:hideMark/>
          </w:tcPr>
          <w:p w14:paraId="4553ED46" w14:textId="77777777" w:rsidR="005E64D9" w:rsidRPr="00392927" w:rsidRDefault="005E64D9" w:rsidP="000A5389">
            <w:pPr>
              <w:spacing w:line="240" w:lineRule="auto"/>
              <w:jc w:val="center"/>
              <w:rPr>
                <w:rFonts w:eastAsia="Times New Roman" w:cs="Times New Roman"/>
                <w:b/>
                <w:bCs/>
                <w:color w:val="000000"/>
                <w:sz w:val="14"/>
                <w:szCs w:val="14"/>
                <w:lang w:eastAsia="es-CO"/>
              </w:rPr>
            </w:pPr>
            <w:r w:rsidRPr="00392927">
              <w:rPr>
                <w:rFonts w:eastAsia="Times New Roman" w:cs="Times New Roman"/>
                <w:b/>
                <w:bCs/>
                <w:color w:val="000000"/>
                <w:sz w:val="14"/>
                <w:szCs w:val="14"/>
                <w:lang w:eastAsia="es-CO"/>
              </w:rPr>
              <w:t>MIN</w:t>
            </w:r>
          </w:p>
        </w:tc>
        <w:tc>
          <w:tcPr>
            <w:tcW w:w="483" w:type="pct"/>
            <w:tcBorders>
              <w:top w:val="nil"/>
              <w:left w:val="nil"/>
              <w:bottom w:val="single" w:sz="4" w:space="0" w:color="D0D0D0"/>
              <w:right w:val="single" w:sz="4" w:space="0" w:color="D0D0D0"/>
            </w:tcBorders>
            <w:vAlign w:val="center"/>
            <w:hideMark/>
          </w:tcPr>
          <w:p w14:paraId="3FC280E7" w14:textId="77777777" w:rsidR="005E64D9" w:rsidRPr="00392927" w:rsidRDefault="005E64D9" w:rsidP="000A5389">
            <w:pPr>
              <w:spacing w:line="240" w:lineRule="auto"/>
              <w:jc w:val="center"/>
              <w:rPr>
                <w:rFonts w:eastAsia="Times New Roman" w:cs="Times New Roman"/>
                <w:b/>
                <w:bCs/>
                <w:color w:val="000000"/>
                <w:sz w:val="14"/>
                <w:szCs w:val="14"/>
                <w:lang w:eastAsia="es-CO"/>
              </w:rPr>
            </w:pPr>
            <w:r w:rsidRPr="00392927">
              <w:rPr>
                <w:rFonts w:eastAsia="Times New Roman" w:cs="Times New Roman"/>
                <w:b/>
                <w:bCs/>
                <w:color w:val="000000"/>
                <w:sz w:val="14"/>
                <w:szCs w:val="14"/>
                <w:lang w:eastAsia="es-CO"/>
              </w:rPr>
              <w:t>MÁX</w:t>
            </w:r>
          </w:p>
        </w:tc>
      </w:tr>
      <w:tr w:rsidR="005E64D9" w:rsidRPr="007D0403" w14:paraId="3F102FA6" w14:textId="77777777" w:rsidTr="005E64D9">
        <w:trPr>
          <w:trHeight w:val="424"/>
          <w:jc w:val="center"/>
        </w:trPr>
        <w:tc>
          <w:tcPr>
            <w:tcW w:w="800" w:type="pct"/>
            <w:tcBorders>
              <w:top w:val="nil"/>
              <w:left w:val="single" w:sz="4" w:space="0" w:color="D0D0D0"/>
              <w:bottom w:val="single" w:sz="4" w:space="0" w:color="D0D0D0"/>
              <w:right w:val="single" w:sz="4" w:space="0" w:color="D0D0D0"/>
            </w:tcBorders>
            <w:noWrap/>
            <w:vAlign w:val="center"/>
            <w:hideMark/>
          </w:tcPr>
          <w:p w14:paraId="2FEC77C7" w14:textId="77777777" w:rsidR="005E64D9" w:rsidRPr="007D0403" w:rsidRDefault="005E64D9" w:rsidP="000A5389">
            <w:pPr>
              <w:spacing w:line="240" w:lineRule="auto"/>
              <w:rPr>
                <w:rFonts w:eastAsia="Times New Roman" w:cs="Times New Roman"/>
                <w:color w:val="000000"/>
                <w:sz w:val="16"/>
                <w:szCs w:val="16"/>
                <w:lang w:eastAsia="es-CO"/>
              </w:rPr>
            </w:pPr>
            <w:r w:rsidRPr="007D0403">
              <w:rPr>
                <w:rFonts w:eastAsia="Times New Roman" w:cs="Times New Roman"/>
                <w:color w:val="000000"/>
                <w:sz w:val="16"/>
                <w:szCs w:val="16"/>
                <w:lang w:eastAsia="es-CO"/>
              </w:rPr>
              <w:t>Costas procesales</w:t>
            </w:r>
          </w:p>
        </w:tc>
        <w:tc>
          <w:tcPr>
            <w:tcW w:w="1148" w:type="pct"/>
            <w:tcBorders>
              <w:top w:val="nil"/>
              <w:left w:val="nil"/>
              <w:bottom w:val="single" w:sz="4" w:space="0" w:color="D0D0D0"/>
              <w:right w:val="single" w:sz="4" w:space="0" w:color="D0D0D0"/>
            </w:tcBorders>
            <w:vAlign w:val="center"/>
            <w:hideMark/>
          </w:tcPr>
          <w:p w14:paraId="1DBBE1F7" w14:textId="0BFBDE2C" w:rsidR="005E64D9" w:rsidRPr="007D0403" w:rsidRDefault="005E64D9" w:rsidP="000A5389">
            <w:pPr>
              <w:spacing w:line="240" w:lineRule="auto"/>
              <w:rPr>
                <w:rFonts w:eastAsia="Times New Roman" w:cs="Times New Roman"/>
                <w:color w:val="000000"/>
                <w:sz w:val="16"/>
                <w:szCs w:val="16"/>
                <w:lang w:eastAsia="es-CO"/>
              </w:rPr>
            </w:pPr>
            <w:r w:rsidRPr="007D0403">
              <w:rPr>
                <w:rFonts w:eastAsia="Times New Roman" w:cs="Times New Roman"/>
                <w:color w:val="000000"/>
                <w:sz w:val="16"/>
                <w:szCs w:val="16"/>
                <w:lang w:eastAsia="es-CO"/>
              </w:rPr>
              <w:t>María Victoria Solarte Daza</w:t>
            </w:r>
          </w:p>
        </w:tc>
        <w:tc>
          <w:tcPr>
            <w:tcW w:w="596" w:type="pct"/>
            <w:tcBorders>
              <w:top w:val="nil"/>
              <w:left w:val="nil"/>
              <w:bottom w:val="single" w:sz="4" w:space="0" w:color="D0D0D0"/>
              <w:right w:val="single" w:sz="4" w:space="0" w:color="D0D0D0"/>
            </w:tcBorders>
            <w:noWrap/>
            <w:vAlign w:val="center"/>
            <w:hideMark/>
          </w:tcPr>
          <w:p w14:paraId="4BD87DF2" w14:textId="77777777" w:rsidR="005E64D9" w:rsidRPr="007D0403" w:rsidRDefault="005E64D9" w:rsidP="000A5389">
            <w:pPr>
              <w:spacing w:line="240" w:lineRule="auto"/>
              <w:jc w:val="center"/>
              <w:rPr>
                <w:rFonts w:eastAsia="Times New Roman" w:cs="Times New Roman"/>
                <w:color w:val="000000"/>
                <w:sz w:val="16"/>
                <w:szCs w:val="16"/>
                <w:lang w:eastAsia="es-CO"/>
              </w:rPr>
            </w:pPr>
            <w:r w:rsidRPr="007D0403">
              <w:rPr>
                <w:rFonts w:eastAsia="Times New Roman" w:cs="Times New Roman"/>
                <w:color w:val="000000"/>
                <w:sz w:val="16"/>
                <w:szCs w:val="16"/>
                <w:lang w:eastAsia="es-CO"/>
              </w:rPr>
              <w:t>16.624.840</w:t>
            </w:r>
          </w:p>
        </w:tc>
        <w:tc>
          <w:tcPr>
            <w:tcW w:w="596" w:type="pct"/>
            <w:tcBorders>
              <w:top w:val="nil"/>
              <w:left w:val="nil"/>
              <w:bottom w:val="single" w:sz="4" w:space="0" w:color="D0D0D0"/>
              <w:right w:val="single" w:sz="4" w:space="0" w:color="D0D0D0"/>
            </w:tcBorders>
            <w:noWrap/>
            <w:vAlign w:val="center"/>
            <w:hideMark/>
          </w:tcPr>
          <w:p w14:paraId="4B64961D" w14:textId="77777777" w:rsidR="005E64D9" w:rsidRPr="007D0403" w:rsidRDefault="005E64D9" w:rsidP="000A5389">
            <w:pPr>
              <w:spacing w:line="240" w:lineRule="auto"/>
              <w:jc w:val="center"/>
              <w:rPr>
                <w:rFonts w:eastAsia="Times New Roman" w:cs="Times New Roman"/>
                <w:color w:val="000000"/>
                <w:sz w:val="16"/>
                <w:szCs w:val="16"/>
                <w:lang w:eastAsia="es-CO"/>
              </w:rPr>
            </w:pPr>
            <w:r w:rsidRPr="007D0403">
              <w:rPr>
                <w:rFonts w:eastAsia="Times New Roman" w:cs="Times New Roman"/>
                <w:color w:val="000000"/>
                <w:sz w:val="16"/>
                <w:szCs w:val="16"/>
                <w:lang w:eastAsia="es-CO"/>
              </w:rPr>
              <w:t>16/11/2018</w:t>
            </w:r>
          </w:p>
        </w:tc>
        <w:tc>
          <w:tcPr>
            <w:tcW w:w="596" w:type="pct"/>
            <w:tcBorders>
              <w:top w:val="nil"/>
              <w:left w:val="nil"/>
              <w:bottom w:val="single" w:sz="4" w:space="0" w:color="D0D0D0"/>
              <w:right w:val="single" w:sz="4" w:space="0" w:color="D0D0D0"/>
            </w:tcBorders>
            <w:noWrap/>
            <w:vAlign w:val="center"/>
            <w:hideMark/>
          </w:tcPr>
          <w:p w14:paraId="6CDFB145" w14:textId="77777777" w:rsidR="005E64D9" w:rsidRPr="007D0403" w:rsidRDefault="005E64D9" w:rsidP="000A5389">
            <w:pPr>
              <w:spacing w:line="240" w:lineRule="auto"/>
              <w:jc w:val="center"/>
              <w:rPr>
                <w:rFonts w:eastAsia="Times New Roman" w:cs="Times New Roman"/>
                <w:color w:val="000000"/>
                <w:sz w:val="16"/>
                <w:szCs w:val="16"/>
                <w:lang w:eastAsia="es-CO"/>
              </w:rPr>
            </w:pPr>
            <w:r w:rsidRPr="007D0403">
              <w:rPr>
                <w:rFonts w:eastAsia="Times New Roman" w:cs="Times New Roman"/>
                <w:color w:val="000000"/>
                <w:sz w:val="16"/>
                <w:szCs w:val="16"/>
                <w:lang w:eastAsia="es-CO"/>
              </w:rPr>
              <w:t>7/06/2019</w:t>
            </w:r>
          </w:p>
        </w:tc>
        <w:tc>
          <w:tcPr>
            <w:tcW w:w="349" w:type="pct"/>
            <w:tcBorders>
              <w:top w:val="nil"/>
              <w:left w:val="nil"/>
              <w:bottom w:val="single" w:sz="4" w:space="0" w:color="D0D0D0"/>
              <w:right w:val="single" w:sz="4" w:space="0" w:color="D0D0D0"/>
            </w:tcBorders>
            <w:noWrap/>
            <w:vAlign w:val="center"/>
            <w:hideMark/>
          </w:tcPr>
          <w:p w14:paraId="5CA0A2FE" w14:textId="77777777" w:rsidR="005E64D9" w:rsidRPr="007D0403" w:rsidRDefault="005E64D9" w:rsidP="000A5389">
            <w:pPr>
              <w:spacing w:line="240" w:lineRule="auto"/>
              <w:jc w:val="center"/>
              <w:rPr>
                <w:rFonts w:eastAsia="Times New Roman" w:cs="Times New Roman"/>
                <w:color w:val="000000"/>
                <w:sz w:val="16"/>
                <w:szCs w:val="16"/>
                <w:lang w:eastAsia="es-CO"/>
              </w:rPr>
            </w:pPr>
            <w:r w:rsidRPr="007D0403">
              <w:rPr>
                <w:rFonts w:eastAsia="Times New Roman" w:cs="Times New Roman"/>
                <w:color w:val="000000"/>
                <w:sz w:val="16"/>
                <w:szCs w:val="16"/>
                <w:lang w:eastAsia="es-CO"/>
              </w:rPr>
              <w:t>12%</w:t>
            </w:r>
          </w:p>
        </w:tc>
        <w:tc>
          <w:tcPr>
            <w:tcW w:w="915" w:type="pct"/>
            <w:gridSpan w:val="2"/>
            <w:tcBorders>
              <w:top w:val="single" w:sz="4" w:space="0" w:color="D0D0D0"/>
              <w:left w:val="nil"/>
              <w:bottom w:val="single" w:sz="4" w:space="0" w:color="D0D0D0"/>
              <w:right w:val="single" w:sz="4" w:space="0" w:color="D0D0D0"/>
            </w:tcBorders>
            <w:vAlign w:val="center"/>
            <w:hideMark/>
          </w:tcPr>
          <w:p w14:paraId="1999DF17" w14:textId="77777777" w:rsidR="005E64D9" w:rsidRPr="007D0403" w:rsidRDefault="005E64D9" w:rsidP="000A5389">
            <w:pPr>
              <w:spacing w:line="240" w:lineRule="auto"/>
              <w:jc w:val="center"/>
              <w:rPr>
                <w:rFonts w:eastAsia="Times New Roman" w:cs="Times New Roman"/>
                <w:color w:val="000000"/>
                <w:sz w:val="16"/>
                <w:szCs w:val="16"/>
                <w:lang w:eastAsia="es-CO"/>
              </w:rPr>
            </w:pPr>
            <w:r w:rsidRPr="007D0403">
              <w:rPr>
                <w:rFonts w:eastAsia="Times New Roman" w:cs="Times New Roman"/>
                <w:color w:val="000000"/>
                <w:sz w:val="16"/>
                <w:szCs w:val="16"/>
                <w:lang w:eastAsia="es-CO"/>
              </w:rPr>
              <w:t>7/06/2019</w:t>
            </w:r>
          </w:p>
        </w:tc>
      </w:tr>
      <w:tr w:rsidR="005E64D9" w:rsidRPr="007D0403" w14:paraId="245CF70A" w14:textId="77777777" w:rsidTr="005E64D9">
        <w:trPr>
          <w:trHeight w:val="160"/>
          <w:jc w:val="center"/>
        </w:trPr>
        <w:tc>
          <w:tcPr>
            <w:tcW w:w="800" w:type="pct"/>
            <w:tcBorders>
              <w:top w:val="nil"/>
              <w:left w:val="single" w:sz="4" w:space="0" w:color="D0D0D0"/>
              <w:bottom w:val="single" w:sz="4" w:space="0" w:color="D0D0D0"/>
              <w:right w:val="single" w:sz="4" w:space="0" w:color="D0D0D0"/>
            </w:tcBorders>
            <w:noWrap/>
            <w:vAlign w:val="center"/>
            <w:hideMark/>
          </w:tcPr>
          <w:p w14:paraId="6B00D948" w14:textId="77777777" w:rsidR="005E64D9" w:rsidRPr="007D0403" w:rsidRDefault="005E64D9" w:rsidP="000A5389">
            <w:pPr>
              <w:spacing w:line="240" w:lineRule="auto"/>
              <w:rPr>
                <w:rFonts w:eastAsia="Times New Roman" w:cs="Times New Roman"/>
                <w:color w:val="000000"/>
                <w:sz w:val="16"/>
                <w:szCs w:val="16"/>
                <w:lang w:eastAsia="es-CO"/>
              </w:rPr>
            </w:pPr>
            <w:r w:rsidRPr="007D0403">
              <w:rPr>
                <w:rFonts w:eastAsia="Times New Roman" w:cs="Times New Roman"/>
                <w:color w:val="000000"/>
                <w:sz w:val="16"/>
                <w:szCs w:val="16"/>
                <w:lang w:eastAsia="es-CO"/>
              </w:rPr>
              <w:t>Costas procesales</w:t>
            </w:r>
          </w:p>
        </w:tc>
        <w:tc>
          <w:tcPr>
            <w:tcW w:w="1148" w:type="pct"/>
            <w:tcBorders>
              <w:top w:val="nil"/>
              <w:left w:val="nil"/>
              <w:bottom w:val="single" w:sz="4" w:space="0" w:color="D0D0D0"/>
              <w:right w:val="single" w:sz="4" w:space="0" w:color="D0D0D0"/>
            </w:tcBorders>
            <w:vAlign w:val="center"/>
            <w:hideMark/>
          </w:tcPr>
          <w:p w14:paraId="1A9C812A" w14:textId="6356DE02" w:rsidR="005E64D9" w:rsidRPr="007D0403" w:rsidRDefault="005E64D9" w:rsidP="000A5389">
            <w:pPr>
              <w:spacing w:line="240" w:lineRule="auto"/>
              <w:rPr>
                <w:rFonts w:eastAsia="Times New Roman" w:cs="Times New Roman"/>
                <w:color w:val="000000"/>
                <w:sz w:val="16"/>
                <w:szCs w:val="16"/>
                <w:lang w:eastAsia="es-CO"/>
              </w:rPr>
            </w:pPr>
            <w:r w:rsidRPr="007D0403">
              <w:rPr>
                <w:rFonts w:eastAsia="Times New Roman" w:cs="Times New Roman"/>
                <w:color w:val="000000"/>
                <w:sz w:val="16"/>
                <w:szCs w:val="16"/>
                <w:lang w:eastAsia="es-CO"/>
              </w:rPr>
              <w:t xml:space="preserve">Luis Solarte </w:t>
            </w:r>
          </w:p>
        </w:tc>
        <w:tc>
          <w:tcPr>
            <w:tcW w:w="596" w:type="pct"/>
            <w:tcBorders>
              <w:top w:val="nil"/>
              <w:left w:val="nil"/>
              <w:bottom w:val="single" w:sz="4" w:space="0" w:color="D0D0D0"/>
              <w:right w:val="single" w:sz="4" w:space="0" w:color="D0D0D0"/>
            </w:tcBorders>
            <w:noWrap/>
            <w:vAlign w:val="center"/>
            <w:hideMark/>
          </w:tcPr>
          <w:p w14:paraId="0113F237" w14:textId="77777777" w:rsidR="005E64D9" w:rsidRPr="007D0403" w:rsidRDefault="005E64D9" w:rsidP="000A5389">
            <w:pPr>
              <w:spacing w:line="240" w:lineRule="auto"/>
              <w:jc w:val="center"/>
              <w:rPr>
                <w:rFonts w:eastAsia="Times New Roman" w:cs="Times New Roman"/>
                <w:color w:val="000000"/>
                <w:sz w:val="16"/>
                <w:szCs w:val="16"/>
                <w:lang w:eastAsia="es-CO"/>
              </w:rPr>
            </w:pPr>
            <w:r w:rsidRPr="007D0403">
              <w:rPr>
                <w:rFonts w:eastAsia="Times New Roman" w:cs="Times New Roman"/>
                <w:color w:val="000000"/>
                <w:sz w:val="16"/>
                <w:szCs w:val="16"/>
                <w:lang w:eastAsia="es-CO"/>
              </w:rPr>
              <w:t>16.624.840</w:t>
            </w:r>
          </w:p>
        </w:tc>
        <w:tc>
          <w:tcPr>
            <w:tcW w:w="596" w:type="pct"/>
            <w:tcBorders>
              <w:top w:val="nil"/>
              <w:left w:val="nil"/>
              <w:bottom w:val="single" w:sz="4" w:space="0" w:color="D0D0D0"/>
              <w:right w:val="single" w:sz="4" w:space="0" w:color="D0D0D0"/>
            </w:tcBorders>
            <w:noWrap/>
            <w:vAlign w:val="center"/>
            <w:hideMark/>
          </w:tcPr>
          <w:p w14:paraId="753FE62B" w14:textId="77777777" w:rsidR="005E64D9" w:rsidRPr="007D0403" w:rsidRDefault="005E64D9" w:rsidP="000A5389">
            <w:pPr>
              <w:spacing w:line="240" w:lineRule="auto"/>
              <w:jc w:val="center"/>
              <w:rPr>
                <w:rFonts w:eastAsia="Times New Roman" w:cs="Times New Roman"/>
                <w:color w:val="000000"/>
                <w:sz w:val="16"/>
                <w:szCs w:val="16"/>
                <w:lang w:eastAsia="es-CO"/>
              </w:rPr>
            </w:pPr>
            <w:r w:rsidRPr="007D0403">
              <w:rPr>
                <w:rFonts w:eastAsia="Times New Roman" w:cs="Times New Roman"/>
                <w:color w:val="000000"/>
                <w:sz w:val="16"/>
                <w:szCs w:val="16"/>
                <w:lang w:eastAsia="es-CO"/>
              </w:rPr>
              <w:t>16/11/2018</w:t>
            </w:r>
          </w:p>
        </w:tc>
        <w:tc>
          <w:tcPr>
            <w:tcW w:w="596" w:type="pct"/>
            <w:tcBorders>
              <w:top w:val="nil"/>
              <w:left w:val="nil"/>
              <w:bottom w:val="single" w:sz="4" w:space="0" w:color="D0D0D0"/>
              <w:right w:val="single" w:sz="4" w:space="0" w:color="D0D0D0"/>
            </w:tcBorders>
            <w:noWrap/>
            <w:vAlign w:val="center"/>
            <w:hideMark/>
          </w:tcPr>
          <w:p w14:paraId="2F6DF6AF" w14:textId="77777777" w:rsidR="005E64D9" w:rsidRPr="007D0403" w:rsidRDefault="005E64D9" w:rsidP="000A5389">
            <w:pPr>
              <w:spacing w:line="240" w:lineRule="auto"/>
              <w:jc w:val="center"/>
              <w:rPr>
                <w:rFonts w:eastAsia="Times New Roman" w:cs="Times New Roman"/>
                <w:color w:val="000000"/>
                <w:sz w:val="16"/>
                <w:szCs w:val="16"/>
                <w:lang w:eastAsia="es-CO"/>
              </w:rPr>
            </w:pPr>
            <w:r w:rsidRPr="007D0403">
              <w:rPr>
                <w:rFonts w:eastAsia="Times New Roman" w:cs="Times New Roman"/>
                <w:color w:val="000000"/>
                <w:sz w:val="16"/>
                <w:szCs w:val="16"/>
                <w:lang w:eastAsia="es-CO"/>
              </w:rPr>
              <w:t>7/06/2019</w:t>
            </w:r>
          </w:p>
        </w:tc>
        <w:tc>
          <w:tcPr>
            <w:tcW w:w="349" w:type="pct"/>
            <w:tcBorders>
              <w:top w:val="nil"/>
              <w:left w:val="nil"/>
              <w:bottom w:val="single" w:sz="4" w:space="0" w:color="D0D0D0"/>
              <w:right w:val="single" w:sz="4" w:space="0" w:color="D0D0D0"/>
            </w:tcBorders>
            <w:noWrap/>
            <w:vAlign w:val="center"/>
            <w:hideMark/>
          </w:tcPr>
          <w:p w14:paraId="289D6EB8" w14:textId="77777777" w:rsidR="005E64D9" w:rsidRPr="007D0403" w:rsidRDefault="005E64D9" w:rsidP="000A5389">
            <w:pPr>
              <w:spacing w:line="240" w:lineRule="auto"/>
              <w:jc w:val="center"/>
              <w:rPr>
                <w:rFonts w:eastAsia="Times New Roman" w:cs="Times New Roman"/>
                <w:color w:val="000000"/>
                <w:sz w:val="16"/>
                <w:szCs w:val="16"/>
                <w:lang w:eastAsia="es-CO"/>
              </w:rPr>
            </w:pPr>
            <w:r w:rsidRPr="007D0403">
              <w:rPr>
                <w:rFonts w:eastAsia="Times New Roman" w:cs="Times New Roman"/>
                <w:color w:val="000000"/>
                <w:sz w:val="16"/>
                <w:szCs w:val="16"/>
                <w:lang w:eastAsia="es-CO"/>
              </w:rPr>
              <w:t>12%</w:t>
            </w:r>
          </w:p>
        </w:tc>
        <w:tc>
          <w:tcPr>
            <w:tcW w:w="915" w:type="pct"/>
            <w:gridSpan w:val="2"/>
            <w:tcBorders>
              <w:top w:val="single" w:sz="4" w:space="0" w:color="D0D0D0"/>
              <w:left w:val="nil"/>
              <w:bottom w:val="single" w:sz="4" w:space="0" w:color="D0D0D0"/>
              <w:right w:val="single" w:sz="4" w:space="0" w:color="D0D0D0"/>
            </w:tcBorders>
            <w:vAlign w:val="center"/>
            <w:hideMark/>
          </w:tcPr>
          <w:p w14:paraId="3AAD45D6" w14:textId="77777777" w:rsidR="005E64D9" w:rsidRPr="007D0403" w:rsidRDefault="005E64D9" w:rsidP="000A5389">
            <w:pPr>
              <w:spacing w:line="240" w:lineRule="auto"/>
              <w:jc w:val="center"/>
              <w:rPr>
                <w:rFonts w:eastAsia="Times New Roman" w:cs="Times New Roman"/>
                <w:color w:val="000000"/>
                <w:sz w:val="16"/>
                <w:szCs w:val="16"/>
                <w:lang w:eastAsia="es-CO"/>
              </w:rPr>
            </w:pPr>
            <w:r w:rsidRPr="007D0403">
              <w:rPr>
                <w:rFonts w:eastAsia="Times New Roman" w:cs="Times New Roman"/>
                <w:color w:val="000000"/>
                <w:sz w:val="16"/>
                <w:szCs w:val="16"/>
                <w:lang w:eastAsia="es-CO"/>
              </w:rPr>
              <w:t>7/06/2019</w:t>
            </w:r>
          </w:p>
        </w:tc>
      </w:tr>
      <w:tr w:rsidR="005E64D9" w:rsidRPr="007D0403" w14:paraId="1195E918" w14:textId="77777777" w:rsidTr="005E64D9">
        <w:trPr>
          <w:trHeight w:val="551"/>
          <w:jc w:val="center"/>
        </w:trPr>
        <w:tc>
          <w:tcPr>
            <w:tcW w:w="800" w:type="pct"/>
            <w:tcBorders>
              <w:top w:val="nil"/>
              <w:left w:val="single" w:sz="4" w:space="0" w:color="D0D0D0"/>
              <w:bottom w:val="single" w:sz="4" w:space="0" w:color="D0D0D0"/>
              <w:right w:val="single" w:sz="4" w:space="0" w:color="D0D0D0"/>
            </w:tcBorders>
            <w:noWrap/>
            <w:vAlign w:val="center"/>
            <w:hideMark/>
          </w:tcPr>
          <w:p w14:paraId="1D7DFB60" w14:textId="77777777" w:rsidR="005E64D9" w:rsidRPr="007D0403" w:rsidRDefault="005E64D9" w:rsidP="000A5389">
            <w:pPr>
              <w:spacing w:line="240" w:lineRule="auto"/>
              <w:rPr>
                <w:rFonts w:eastAsia="Times New Roman" w:cs="Times New Roman"/>
                <w:color w:val="000000"/>
                <w:sz w:val="16"/>
                <w:szCs w:val="16"/>
                <w:lang w:eastAsia="es-CO"/>
              </w:rPr>
            </w:pPr>
            <w:r w:rsidRPr="007D0403">
              <w:rPr>
                <w:rFonts w:eastAsia="Times New Roman" w:cs="Times New Roman"/>
                <w:color w:val="000000"/>
                <w:sz w:val="16"/>
                <w:szCs w:val="16"/>
                <w:lang w:eastAsia="es-CO"/>
              </w:rPr>
              <w:t>Costas procesales</w:t>
            </w:r>
          </w:p>
        </w:tc>
        <w:tc>
          <w:tcPr>
            <w:tcW w:w="1148" w:type="pct"/>
            <w:tcBorders>
              <w:top w:val="nil"/>
              <w:left w:val="nil"/>
              <w:bottom w:val="single" w:sz="4" w:space="0" w:color="D0D0D0"/>
              <w:right w:val="single" w:sz="4" w:space="0" w:color="D0D0D0"/>
            </w:tcBorders>
            <w:vAlign w:val="center"/>
            <w:hideMark/>
          </w:tcPr>
          <w:p w14:paraId="052142F5" w14:textId="5D319259" w:rsidR="005E64D9" w:rsidRPr="007D0403" w:rsidRDefault="005E64D9" w:rsidP="000A5389">
            <w:pPr>
              <w:spacing w:line="240" w:lineRule="auto"/>
              <w:rPr>
                <w:rFonts w:eastAsia="Times New Roman" w:cs="Times New Roman"/>
                <w:color w:val="000000"/>
                <w:sz w:val="16"/>
                <w:szCs w:val="16"/>
                <w:lang w:eastAsia="es-CO"/>
              </w:rPr>
            </w:pPr>
            <w:r w:rsidRPr="007D0403">
              <w:rPr>
                <w:rFonts w:eastAsia="Times New Roman" w:cs="Times New Roman"/>
                <w:color w:val="000000"/>
                <w:sz w:val="16"/>
                <w:szCs w:val="16"/>
                <w:lang w:eastAsia="es-CO"/>
              </w:rPr>
              <w:t>Edgar Arturo León Benavides</w:t>
            </w:r>
          </w:p>
        </w:tc>
        <w:tc>
          <w:tcPr>
            <w:tcW w:w="596" w:type="pct"/>
            <w:tcBorders>
              <w:top w:val="nil"/>
              <w:left w:val="nil"/>
              <w:bottom w:val="single" w:sz="4" w:space="0" w:color="D0D0D0"/>
              <w:right w:val="single" w:sz="4" w:space="0" w:color="D0D0D0"/>
            </w:tcBorders>
            <w:noWrap/>
            <w:vAlign w:val="center"/>
            <w:hideMark/>
          </w:tcPr>
          <w:p w14:paraId="68126381" w14:textId="77777777" w:rsidR="005E64D9" w:rsidRPr="007D0403" w:rsidRDefault="005E64D9" w:rsidP="000A5389">
            <w:pPr>
              <w:spacing w:line="240" w:lineRule="auto"/>
              <w:jc w:val="center"/>
              <w:rPr>
                <w:rFonts w:eastAsia="Times New Roman" w:cs="Times New Roman"/>
                <w:color w:val="000000"/>
                <w:sz w:val="16"/>
                <w:szCs w:val="16"/>
                <w:lang w:eastAsia="es-CO"/>
              </w:rPr>
            </w:pPr>
            <w:r w:rsidRPr="007D0403">
              <w:rPr>
                <w:rFonts w:eastAsia="Times New Roman" w:cs="Times New Roman"/>
                <w:color w:val="000000"/>
                <w:sz w:val="16"/>
                <w:szCs w:val="16"/>
                <w:lang w:eastAsia="es-CO"/>
              </w:rPr>
              <w:t>16.624.840</w:t>
            </w:r>
          </w:p>
        </w:tc>
        <w:tc>
          <w:tcPr>
            <w:tcW w:w="596" w:type="pct"/>
            <w:tcBorders>
              <w:top w:val="nil"/>
              <w:left w:val="nil"/>
              <w:bottom w:val="single" w:sz="4" w:space="0" w:color="D0D0D0"/>
              <w:right w:val="single" w:sz="4" w:space="0" w:color="D0D0D0"/>
            </w:tcBorders>
            <w:noWrap/>
            <w:vAlign w:val="center"/>
            <w:hideMark/>
          </w:tcPr>
          <w:p w14:paraId="2480360A" w14:textId="77777777" w:rsidR="005E64D9" w:rsidRPr="007D0403" w:rsidRDefault="005E64D9" w:rsidP="000A5389">
            <w:pPr>
              <w:spacing w:line="240" w:lineRule="auto"/>
              <w:jc w:val="center"/>
              <w:rPr>
                <w:rFonts w:eastAsia="Times New Roman" w:cs="Times New Roman"/>
                <w:color w:val="000000"/>
                <w:sz w:val="16"/>
                <w:szCs w:val="16"/>
                <w:lang w:eastAsia="es-CO"/>
              </w:rPr>
            </w:pPr>
            <w:r w:rsidRPr="007D0403">
              <w:rPr>
                <w:rFonts w:eastAsia="Times New Roman" w:cs="Times New Roman"/>
                <w:color w:val="000000"/>
                <w:sz w:val="16"/>
                <w:szCs w:val="16"/>
                <w:lang w:eastAsia="es-CO"/>
              </w:rPr>
              <w:t>16/11/2018</w:t>
            </w:r>
          </w:p>
        </w:tc>
        <w:tc>
          <w:tcPr>
            <w:tcW w:w="596" w:type="pct"/>
            <w:tcBorders>
              <w:top w:val="nil"/>
              <w:left w:val="nil"/>
              <w:bottom w:val="single" w:sz="4" w:space="0" w:color="D0D0D0"/>
              <w:right w:val="single" w:sz="4" w:space="0" w:color="D0D0D0"/>
            </w:tcBorders>
            <w:noWrap/>
            <w:vAlign w:val="center"/>
            <w:hideMark/>
          </w:tcPr>
          <w:p w14:paraId="65A5DFDE" w14:textId="77777777" w:rsidR="005E64D9" w:rsidRPr="007D0403" w:rsidRDefault="005E64D9" w:rsidP="000A5389">
            <w:pPr>
              <w:spacing w:line="240" w:lineRule="auto"/>
              <w:jc w:val="center"/>
              <w:rPr>
                <w:rFonts w:eastAsia="Times New Roman" w:cs="Times New Roman"/>
                <w:color w:val="000000"/>
                <w:sz w:val="16"/>
                <w:szCs w:val="16"/>
                <w:lang w:eastAsia="es-CO"/>
              </w:rPr>
            </w:pPr>
            <w:r w:rsidRPr="007D0403">
              <w:rPr>
                <w:rFonts w:eastAsia="Times New Roman" w:cs="Times New Roman"/>
                <w:color w:val="000000"/>
                <w:sz w:val="16"/>
                <w:szCs w:val="16"/>
                <w:lang w:eastAsia="es-CO"/>
              </w:rPr>
              <w:t>7/06/2019</w:t>
            </w:r>
          </w:p>
        </w:tc>
        <w:tc>
          <w:tcPr>
            <w:tcW w:w="349" w:type="pct"/>
            <w:tcBorders>
              <w:top w:val="nil"/>
              <w:left w:val="nil"/>
              <w:bottom w:val="single" w:sz="4" w:space="0" w:color="D0D0D0"/>
              <w:right w:val="single" w:sz="4" w:space="0" w:color="D0D0D0"/>
            </w:tcBorders>
            <w:noWrap/>
            <w:vAlign w:val="center"/>
            <w:hideMark/>
          </w:tcPr>
          <w:p w14:paraId="278A375E" w14:textId="77777777" w:rsidR="005E64D9" w:rsidRPr="007D0403" w:rsidRDefault="005E64D9" w:rsidP="000A5389">
            <w:pPr>
              <w:spacing w:line="240" w:lineRule="auto"/>
              <w:jc w:val="center"/>
              <w:rPr>
                <w:rFonts w:eastAsia="Times New Roman" w:cs="Times New Roman"/>
                <w:color w:val="000000"/>
                <w:sz w:val="16"/>
                <w:szCs w:val="16"/>
                <w:lang w:eastAsia="es-CO"/>
              </w:rPr>
            </w:pPr>
            <w:r w:rsidRPr="007D0403">
              <w:rPr>
                <w:rFonts w:eastAsia="Times New Roman" w:cs="Times New Roman"/>
                <w:color w:val="000000"/>
                <w:sz w:val="16"/>
                <w:szCs w:val="16"/>
                <w:lang w:eastAsia="es-CO"/>
              </w:rPr>
              <w:t>12%</w:t>
            </w:r>
          </w:p>
        </w:tc>
        <w:tc>
          <w:tcPr>
            <w:tcW w:w="915" w:type="pct"/>
            <w:gridSpan w:val="2"/>
            <w:tcBorders>
              <w:top w:val="single" w:sz="4" w:space="0" w:color="D0D0D0"/>
              <w:left w:val="nil"/>
              <w:bottom w:val="single" w:sz="4" w:space="0" w:color="D0D0D0"/>
              <w:right w:val="single" w:sz="4" w:space="0" w:color="D0D0D0"/>
            </w:tcBorders>
            <w:vAlign w:val="center"/>
            <w:hideMark/>
          </w:tcPr>
          <w:p w14:paraId="7C7AE451" w14:textId="77777777" w:rsidR="005E64D9" w:rsidRPr="007D0403" w:rsidRDefault="005E64D9" w:rsidP="000A5389">
            <w:pPr>
              <w:spacing w:line="240" w:lineRule="auto"/>
              <w:jc w:val="center"/>
              <w:rPr>
                <w:rFonts w:eastAsia="Times New Roman" w:cs="Times New Roman"/>
                <w:color w:val="000000"/>
                <w:sz w:val="16"/>
                <w:szCs w:val="16"/>
                <w:lang w:eastAsia="es-CO"/>
              </w:rPr>
            </w:pPr>
            <w:r w:rsidRPr="007D0403">
              <w:rPr>
                <w:rFonts w:eastAsia="Times New Roman" w:cs="Times New Roman"/>
                <w:color w:val="000000"/>
                <w:sz w:val="16"/>
                <w:szCs w:val="16"/>
                <w:lang w:eastAsia="es-CO"/>
              </w:rPr>
              <w:t>7/06/2019</w:t>
            </w:r>
          </w:p>
        </w:tc>
      </w:tr>
      <w:tr w:rsidR="005E64D9" w:rsidRPr="007D0403" w14:paraId="7786813A" w14:textId="77777777" w:rsidTr="005E64D9">
        <w:trPr>
          <w:trHeight w:val="430"/>
          <w:jc w:val="center"/>
        </w:trPr>
        <w:tc>
          <w:tcPr>
            <w:tcW w:w="800" w:type="pct"/>
            <w:tcBorders>
              <w:top w:val="nil"/>
              <w:left w:val="single" w:sz="4" w:space="0" w:color="D0D0D0"/>
              <w:bottom w:val="single" w:sz="4" w:space="0" w:color="D0D0D0"/>
              <w:right w:val="single" w:sz="4" w:space="0" w:color="D0D0D0"/>
            </w:tcBorders>
            <w:noWrap/>
            <w:vAlign w:val="center"/>
            <w:hideMark/>
          </w:tcPr>
          <w:p w14:paraId="3F1C0653" w14:textId="77777777" w:rsidR="005E64D9" w:rsidRPr="007D0403" w:rsidRDefault="005E64D9" w:rsidP="000A5389">
            <w:pPr>
              <w:spacing w:line="240" w:lineRule="auto"/>
              <w:rPr>
                <w:rFonts w:eastAsia="Times New Roman" w:cs="Times New Roman"/>
                <w:color w:val="000000"/>
                <w:sz w:val="16"/>
                <w:szCs w:val="16"/>
                <w:lang w:eastAsia="es-CO"/>
              </w:rPr>
            </w:pPr>
            <w:r w:rsidRPr="007D0403">
              <w:rPr>
                <w:rFonts w:eastAsia="Times New Roman" w:cs="Times New Roman"/>
                <w:color w:val="000000"/>
                <w:sz w:val="16"/>
                <w:szCs w:val="16"/>
                <w:lang w:eastAsia="es-CO"/>
              </w:rPr>
              <w:t>Costas procesales</w:t>
            </w:r>
          </w:p>
        </w:tc>
        <w:tc>
          <w:tcPr>
            <w:tcW w:w="1148" w:type="pct"/>
            <w:tcBorders>
              <w:top w:val="nil"/>
              <w:left w:val="nil"/>
              <w:bottom w:val="single" w:sz="4" w:space="0" w:color="D0D0D0"/>
              <w:right w:val="single" w:sz="4" w:space="0" w:color="D0D0D0"/>
            </w:tcBorders>
            <w:vAlign w:val="center"/>
            <w:hideMark/>
          </w:tcPr>
          <w:p w14:paraId="312B785E" w14:textId="68EB7730" w:rsidR="005E64D9" w:rsidRPr="007D0403" w:rsidRDefault="005E64D9" w:rsidP="000A5389">
            <w:pPr>
              <w:spacing w:line="240" w:lineRule="auto"/>
              <w:rPr>
                <w:rFonts w:eastAsia="Times New Roman" w:cs="Times New Roman"/>
                <w:color w:val="000000"/>
                <w:sz w:val="16"/>
                <w:szCs w:val="16"/>
                <w:lang w:eastAsia="es-CO"/>
              </w:rPr>
            </w:pPr>
            <w:r w:rsidRPr="007D0403">
              <w:rPr>
                <w:rFonts w:eastAsia="Times New Roman" w:cs="Times New Roman"/>
                <w:color w:val="000000"/>
                <w:sz w:val="16"/>
                <w:szCs w:val="16"/>
                <w:lang w:eastAsia="es-CO"/>
              </w:rPr>
              <w:t>Nelly Beatriz Daza Solarte</w:t>
            </w:r>
          </w:p>
        </w:tc>
        <w:tc>
          <w:tcPr>
            <w:tcW w:w="596" w:type="pct"/>
            <w:tcBorders>
              <w:top w:val="nil"/>
              <w:left w:val="nil"/>
              <w:bottom w:val="single" w:sz="4" w:space="0" w:color="D0D0D0"/>
              <w:right w:val="single" w:sz="4" w:space="0" w:color="D0D0D0"/>
            </w:tcBorders>
            <w:noWrap/>
            <w:vAlign w:val="center"/>
            <w:hideMark/>
          </w:tcPr>
          <w:p w14:paraId="6BB57C4C" w14:textId="77777777" w:rsidR="005E64D9" w:rsidRPr="007D0403" w:rsidRDefault="005E64D9" w:rsidP="000A5389">
            <w:pPr>
              <w:spacing w:line="240" w:lineRule="auto"/>
              <w:jc w:val="center"/>
              <w:rPr>
                <w:rFonts w:eastAsia="Times New Roman" w:cs="Times New Roman"/>
                <w:color w:val="000000"/>
                <w:sz w:val="16"/>
                <w:szCs w:val="16"/>
                <w:lang w:eastAsia="es-CO"/>
              </w:rPr>
            </w:pPr>
            <w:r w:rsidRPr="007D0403">
              <w:rPr>
                <w:rFonts w:eastAsia="Times New Roman" w:cs="Times New Roman"/>
                <w:color w:val="000000"/>
                <w:sz w:val="16"/>
                <w:szCs w:val="16"/>
                <w:lang w:eastAsia="es-CO"/>
              </w:rPr>
              <w:t>16.624.840</w:t>
            </w:r>
          </w:p>
        </w:tc>
        <w:tc>
          <w:tcPr>
            <w:tcW w:w="596" w:type="pct"/>
            <w:tcBorders>
              <w:top w:val="nil"/>
              <w:left w:val="nil"/>
              <w:bottom w:val="single" w:sz="4" w:space="0" w:color="D0D0D0"/>
              <w:right w:val="single" w:sz="4" w:space="0" w:color="D0D0D0"/>
            </w:tcBorders>
            <w:noWrap/>
            <w:vAlign w:val="center"/>
            <w:hideMark/>
          </w:tcPr>
          <w:p w14:paraId="2C6E5AC2" w14:textId="77777777" w:rsidR="005E64D9" w:rsidRPr="007D0403" w:rsidRDefault="005E64D9" w:rsidP="000A5389">
            <w:pPr>
              <w:spacing w:line="240" w:lineRule="auto"/>
              <w:jc w:val="center"/>
              <w:rPr>
                <w:rFonts w:eastAsia="Times New Roman" w:cs="Times New Roman"/>
                <w:color w:val="000000"/>
                <w:sz w:val="16"/>
                <w:szCs w:val="16"/>
                <w:lang w:eastAsia="es-CO"/>
              </w:rPr>
            </w:pPr>
            <w:r w:rsidRPr="007D0403">
              <w:rPr>
                <w:rFonts w:eastAsia="Times New Roman" w:cs="Times New Roman"/>
                <w:color w:val="000000"/>
                <w:sz w:val="16"/>
                <w:szCs w:val="16"/>
                <w:lang w:eastAsia="es-CO"/>
              </w:rPr>
              <w:t>16/11/2018</w:t>
            </w:r>
          </w:p>
        </w:tc>
        <w:tc>
          <w:tcPr>
            <w:tcW w:w="596" w:type="pct"/>
            <w:tcBorders>
              <w:top w:val="nil"/>
              <w:left w:val="nil"/>
              <w:bottom w:val="single" w:sz="4" w:space="0" w:color="D0D0D0"/>
              <w:right w:val="single" w:sz="4" w:space="0" w:color="D0D0D0"/>
            </w:tcBorders>
            <w:noWrap/>
            <w:vAlign w:val="center"/>
            <w:hideMark/>
          </w:tcPr>
          <w:p w14:paraId="209C94BA" w14:textId="77777777" w:rsidR="005E64D9" w:rsidRPr="007D0403" w:rsidRDefault="005E64D9" w:rsidP="000A5389">
            <w:pPr>
              <w:spacing w:line="240" w:lineRule="auto"/>
              <w:jc w:val="center"/>
              <w:rPr>
                <w:rFonts w:eastAsia="Times New Roman" w:cs="Times New Roman"/>
                <w:color w:val="000000"/>
                <w:sz w:val="16"/>
                <w:szCs w:val="16"/>
                <w:lang w:eastAsia="es-CO"/>
              </w:rPr>
            </w:pPr>
            <w:r w:rsidRPr="007D0403">
              <w:rPr>
                <w:rFonts w:eastAsia="Times New Roman" w:cs="Times New Roman"/>
                <w:color w:val="000000"/>
                <w:sz w:val="16"/>
                <w:szCs w:val="16"/>
                <w:lang w:eastAsia="es-CO"/>
              </w:rPr>
              <w:t>7/06/2019</w:t>
            </w:r>
          </w:p>
        </w:tc>
        <w:tc>
          <w:tcPr>
            <w:tcW w:w="349" w:type="pct"/>
            <w:tcBorders>
              <w:top w:val="nil"/>
              <w:left w:val="nil"/>
              <w:bottom w:val="single" w:sz="4" w:space="0" w:color="D0D0D0"/>
              <w:right w:val="single" w:sz="4" w:space="0" w:color="D0D0D0"/>
            </w:tcBorders>
            <w:noWrap/>
            <w:vAlign w:val="center"/>
            <w:hideMark/>
          </w:tcPr>
          <w:p w14:paraId="32026BA7" w14:textId="77777777" w:rsidR="005E64D9" w:rsidRPr="007D0403" w:rsidRDefault="005E64D9" w:rsidP="000A5389">
            <w:pPr>
              <w:spacing w:line="240" w:lineRule="auto"/>
              <w:jc w:val="center"/>
              <w:rPr>
                <w:rFonts w:eastAsia="Times New Roman" w:cs="Times New Roman"/>
                <w:color w:val="000000"/>
                <w:sz w:val="16"/>
                <w:szCs w:val="16"/>
                <w:lang w:eastAsia="es-CO"/>
              </w:rPr>
            </w:pPr>
            <w:r w:rsidRPr="007D0403">
              <w:rPr>
                <w:rFonts w:eastAsia="Times New Roman" w:cs="Times New Roman"/>
                <w:color w:val="000000"/>
                <w:sz w:val="16"/>
                <w:szCs w:val="16"/>
                <w:lang w:eastAsia="es-CO"/>
              </w:rPr>
              <w:t>12%</w:t>
            </w:r>
          </w:p>
        </w:tc>
        <w:tc>
          <w:tcPr>
            <w:tcW w:w="915" w:type="pct"/>
            <w:gridSpan w:val="2"/>
            <w:tcBorders>
              <w:top w:val="single" w:sz="4" w:space="0" w:color="D0D0D0"/>
              <w:left w:val="nil"/>
              <w:bottom w:val="single" w:sz="4" w:space="0" w:color="D0D0D0"/>
              <w:right w:val="single" w:sz="4" w:space="0" w:color="D0D0D0"/>
            </w:tcBorders>
            <w:vAlign w:val="center"/>
            <w:hideMark/>
          </w:tcPr>
          <w:p w14:paraId="21E8B578" w14:textId="77777777" w:rsidR="005E64D9" w:rsidRPr="007D0403" w:rsidRDefault="005E64D9" w:rsidP="000A5389">
            <w:pPr>
              <w:spacing w:line="240" w:lineRule="auto"/>
              <w:jc w:val="center"/>
              <w:rPr>
                <w:rFonts w:eastAsia="Times New Roman" w:cs="Times New Roman"/>
                <w:color w:val="000000"/>
                <w:sz w:val="16"/>
                <w:szCs w:val="16"/>
                <w:lang w:eastAsia="es-CO"/>
              </w:rPr>
            </w:pPr>
            <w:r w:rsidRPr="007D0403">
              <w:rPr>
                <w:rFonts w:eastAsia="Times New Roman" w:cs="Times New Roman"/>
                <w:color w:val="000000"/>
                <w:sz w:val="16"/>
                <w:szCs w:val="16"/>
                <w:lang w:eastAsia="es-CO"/>
              </w:rPr>
              <w:t>7/06/2019</w:t>
            </w:r>
          </w:p>
        </w:tc>
      </w:tr>
      <w:tr w:rsidR="005E64D9" w:rsidRPr="007D0403" w14:paraId="3AFD0282" w14:textId="77777777" w:rsidTr="005E64D9">
        <w:trPr>
          <w:trHeight w:val="494"/>
          <w:jc w:val="center"/>
        </w:trPr>
        <w:tc>
          <w:tcPr>
            <w:tcW w:w="800" w:type="pct"/>
            <w:tcBorders>
              <w:top w:val="nil"/>
              <w:left w:val="single" w:sz="4" w:space="0" w:color="D0D0D0"/>
              <w:bottom w:val="single" w:sz="4" w:space="0" w:color="D0D0D0"/>
              <w:right w:val="single" w:sz="4" w:space="0" w:color="D0D0D0"/>
            </w:tcBorders>
            <w:noWrap/>
            <w:vAlign w:val="center"/>
            <w:hideMark/>
          </w:tcPr>
          <w:p w14:paraId="7E187698" w14:textId="77777777" w:rsidR="005E64D9" w:rsidRPr="007D0403" w:rsidRDefault="005E64D9" w:rsidP="000A5389">
            <w:pPr>
              <w:spacing w:line="240" w:lineRule="auto"/>
              <w:rPr>
                <w:rFonts w:eastAsia="Times New Roman" w:cs="Times New Roman"/>
                <w:color w:val="000000"/>
                <w:sz w:val="16"/>
                <w:szCs w:val="16"/>
                <w:lang w:eastAsia="es-CO"/>
              </w:rPr>
            </w:pPr>
            <w:r w:rsidRPr="007D0403">
              <w:rPr>
                <w:rFonts w:eastAsia="Times New Roman" w:cs="Times New Roman"/>
                <w:color w:val="000000"/>
                <w:sz w:val="16"/>
                <w:szCs w:val="16"/>
                <w:lang w:eastAsia="es-CO"/>
              </w:rPr>
              <w:lastRenderedPageBreak/>
              <w:t>Costas procesales</w:t>
            </w:r>
          </w:p>
        </w:tc>
        <w:tc>
          <w:tcPr>
            <w:tcW w:w="1148" w:type="pct"/>
            <w:tcBorders>
              <w:top w:val="nil"/>
              <w:left w:val="nil"/>
              <w:bottom w:val="single" w:sz="4" w:space="0" w:color="D0D0D0"/>
              <w:right w:val="single" w:sz="4" w:space="0" w:color="D0D0D0"/>
            </w:tcBorders>
            <w:vAlign w:val="center"/>
            <w:hideMark/>
          </w:tcPr>
          <w:p w14:paraId="0B8A8E0C" w14:textId="6D3E1222" w:rsidR="005E64D9" w:rsidRPr="007D0403" w:rsidRDefault="005E64D9" w:rsidP="000A5389">
            <w:pPr>
              <w:spacing w:line="240" w:lineRule="auto"/>
              <w:rPr>
                <w:rFonts w:eastAsia="Times New Roman" w:cs="Times New Roman"/>
                <w:color w:val="000000"/>
                <w:sz w:val="16"/>
                <w:szCs w:val="16"/>
                <w:lang w:eastAsia="es-CO"/>
              </w:rPr>
            </w:pPr>
            <w:r w:rsidRPr="007D0403">
              <w:rPr>
                <w:rFonts w:eastAsia="Times New Roman" w:cs="Times New Roman"/>
                <w:color w:val="000000"/>
                <w:sz w:val="16"/>
                <w:szCs w:val="16"/>
                <w:lang w:eastAsia="es-CO"/>
              </w:rPr>
              <w:t>Autopistas De La Sabana S.A.S</w:t>
            </w:r>
          </w:p>
        </w:tc>
        <w:tc>
          <w:tcPr>
            <w:tcW w:w="596" w:type="pct"/>
            <w:tcBorders>
              <w:top w:val="nil"/>
              <w:left w:val="nil"/>
              <w:bottom w:val="single" w:sz="4" w:space="0" w:color="D0D0D0"/>
              <w:right w:val="single" w:sz="4" w:space="0" w:color="D0D0D0"/>
            </w:tcBorders>
            <w:noWrap/>
            <w:vAlign w:val="center"/>
            <w:hideMark/>
          </w:tcPr>
          <w:p w14:paraId="5D781A54" w14:textId="77777777" w:rsidR="005E64D9" w:rsidRPr="007D0403" w:rsidRDefault="005E64D9" w:rsidP="000A5389">
            <w:pPr>
              <w:spacing w:line="240" w:lineRule="auto"/>
              <w:jc w:val="center"/>
              <w:rPr>
                <w:rFonts w:eastAsia="Times New Roman" w:cs="Times New Roman"/>
                <w:color w:val="000000"/>
                <w:sz w:val="16"/>
                <w:szCs w:val="16"/>
                <w:lang w:eastAsia="es-CO"/>
              </w:rPr>
            </w:pPr>
            <w:r w:rsidRPr="007D0403">
              <w:rPr>
                <w:rFonts w:eastAsia="Times New Roman" w:cs="Times New Roman"/>
                <w:color w:val="000000"/>
                <w:sz w:val="16"/>
                <w:szCs w:val="16"/>
                <w:lang w:eastAsia="es-CO"/>
              </w:rPr>
              <w:t>9.085.260</w:t>
            </w:r>
          </w:p>
        </w:tc>
        <w:tc>
          <w:tcPr>
            <w:tcW w:w="596" w:type="pct"/>
            <w:tcBorders>
              <w:top w:val="nil"/>
              <w:left w:val="nil"/>
              <w:bottom w:val="single" w:sz="4" w:space="0" w:color="D0D0D0"/>
              <w:right w:val="single" w:sz="4" w:space="0" w:color="D0D0D0"/>
            </w:tcBorders>
            <w:noWrap/>
            <w:vAlign w:val="center"/>
            <w:hideMark/>
          </w:tcPr>
          <w:p w14:paraId="6396FCA7" w14:textId="77777777" w:rsidR="005E64D9" w:rsidRPr="007D0403" w:rsidRDefault="005E64D9" w:rsidP="000A5389">
            <w:pPr>
              <w:spacing w:line="240" w:lineRule="auto"/>
              <w:jc w:val="center"/>
              <w:rPr>
                <w:rFonts w:eastAsia="Times New Roman" w:cs="Times New Roman"/>
                <w:color w:val="000000"/>
                <w:sz w:val="16"/>
                <w:szCs w:val="16"/>
                <w:lang w:eastAsia="es-CO"/>
              </w:rPr>
            </w:pPr>
            <w:r w:rsidRPr="007D0403">
              <w:rPr>
                <w:rFonts w:eastAsia="Times New Roman" w:cs="Times New Roman"/>
                <w:color w:val="000000"/>
                <w:sz w:val="16"/>
                <w:szCs w:val="16"/>
                <w:lang w:eastAsia="es-CO"/>
              </w:rPr>
              <w:t>11/11/2021</w:t>
            </w:r>
          </w:p>
        </w:tc>
        <w:tc>
          <w:tcPr>
            <w:tcW w:w="596" w:type="pct"/>
            <w:tcBorders>
              <w:top w:val="nil"/>
              <w:left w:val="nil"/>
              <w:bottom w:val="single" w:sz="4" w:space="0" w:color="D0D0D0"/>
              <w:right w:val="single" w:sz="4" w:space="0" w:color="D0D0D0"/>
            </w:tcBorders>
            <w:noWrap/>
            <w:vAlign w:val="center"/>
            <w:hideMark/>
          </w:tcPr>
          <w:p w14:paraId="32678157" w14:textId="77777777" w:rsidR="005E64D9" w:rsidRPr="007D0403" w:rsidRDefault="005E64D9" w:rsidP="000A5389">
            <w:pPr>
              <w:spacing w:line="240" w:lineRule="auto"/>
              <w:jc w:val="center"/>
              <w:rPr>
                <w:rFonts w:eastAsia="Times New Roman" w:cs="Times New Roman"/>
                <w:color w:val="000000"/>
                <w:sz w:val="16"/>
                <w:szCs w:val="16"/>
                <w:lang w:eastAsia="es-CO"/>
              </w:rPr>
            </w:pPr>
            <w:r w:rsidRPr="007D0403">
              <w:rPr>
                <w:rFonts w:eastAsia="Times New Roman" w:cs="Times New Roman"/>
                <w:color w:val="000000"/>
                <w:sz w:val="16"/>
                <w:szCs w:val="16"/>
                <w:lang w:eastAsia="es-CO"/>
              </w:rPr>
              <w:t>21/02/2022</w:t>
            </w:r>
          </w:p>
        </w:tc>
        <w:tc>
          <w:tcPr>
            <w:tcW w:w="349" w:type="pct"/>
            <w:tcBorders>
              <w:top w:val="nil"/>
              <w:left w:val="nil"/>
              <w:bottom w:val="single" w:sz="4" w:space="0" w:color="D0D0D0"/>
              <w:right w:val="single" w:sz="4" w:space="0" w:color="D0D0D0"/>
            </w:tcBorders>
            <w:noWrap/>
            <w:vAlign w:val="center"/>
            <w:hideMark/>
          </w:tcPr>
          <w:p w14:paraId="47D9A4F2" w14:textId="77777777" w:rsidR="005E64D9" w:rsidRPr="007D0403" w:rsidRDefault="005E64D9" w:rsidP="000A5389">
            <w:pPr>
              <w:spacing w:line="240" w:lineRule="auto"/>
              <w:jc w:val="center"/>
              <w:rPr>
                <w:rFonts w:eastAsia="Times New Roman" w:cs="Times New Roman"/>
                <w:color w:val="000000"/>
                <w:sz w:val="16"/>
                <w:szCs w:val="16"/>
                <w:lang w:eastAsia="es-CO"/>
              </w:rPr>
            </w:pPr>
            <w:r w:rsidRPr="007D0403">
              <w:rPr>
                <w:rFonts w:eastAsia="Times New Roman" w:cs="Times New Roman"/>
                <w:color w:val="000000"/>
                <w:sz w:val="16"/>
                <w:szCs w:val="16"/>
                <w:lang w:eastAsia="es-CO"/>
              </w:rPr>
              <w:t>12%</w:t>
            </w:r>
          </w:p>
        </w:tc>
        <w:tc>
          <w:tcPr>
            <w:tcW w:w="915" w:type="pct"/>
            <w:gridSpan w:val="2"/>
            <w:tcBorders>
              <w:top w:val="single" w:sz="4" w:space="0" w:color="D0D0D0"/>
              <w:left w:val="nil"/>
              <w:bottom w:val="single" w:sz="4" w:space="0" w:color="D0D0D0"/>
              <w:right w:val="single" w:sz="4" w:space="0" w:color="D0D0D0"/>
            </w:tcBorders>
            <w:vAlign w:val="center"/>
            <w:hideMark/>
          </w:tcPr>
          <w:p w14:paraId="0399B68D" w14:textId="77777777" w:rsidR="005E64D9" w:rsidRPr="007D0403" w:rsidRDefault="005E64D9" w:rsidP="000A5389">
            <w:pPr>
              <w:spacing w:line="240" w:lineRule="auto"/>
              <w:jc w:val="center"/>
              <w:rPr>
                <w:rFonts w:eastAsia="Times New Roman" w:cs="Times New Roman"/>
                <w:color w:val="000000"/>
                <w:sz w:val="16"/>
                <w:szCs w:val="16"/>
                <w:lang w:eastAsia="es-CO"/>
              </w:rPr>
            </w:pPr>
            <w:r w:rsidRPr="007D0403">
              <w:rPr>
                <w:rFonts w:eastAsia="Times New Roman" w:cs="Times New Roman"/>
                <w:color w:val="000000"/>
                <w:sz w:val="16"/>
                <w:szCs w:val="16"/>
                <w:lang w:eastAsia="es-CO"/>
              </w:rPr>
              <w:t>21/02/2022</w:t>
            </w:r>
          </w:p>
        </w:tc>
      </w:tr>
      <w:tr w:rsidR="005E64D9" w:rsidRPr="007D0403" w14:paraId="03F9403C" w14:textId="77777777" w:rsidTr="005E64D9">
        <w:trPr>
          <w:trHeight w:val="416"/>
          <w:jc w:val="center"/>
        </w:trPr>
        <w:tc>
          <w:tcPr>
            <w:tcW w:w="800" w:type="pct"/>
            <w:tcBorders>
              <w:top w:val="nil"/>
              <w:left w:val="single" w:sz="4" w:space="0" w:color="D0D0D0"/>
              <w:bottom w:val="single" w:sz="4" w:space="0" w:color="D0D0D0"/>
              <w:right w:val="single" w:sz="4" w:space="0" w:color="D0D0D0"/>
            </w:tcBorders>
            <w:noWrap/>
            <w:vAlign w:val="center"/>
            <w:hideMark/>
          </w:tcPr>
          <w:p w14:paraId="1756136A" w14:textId="77777777" w:rsidR="005E64D9" w:rsidRPr="007D0403" w:rsidRDefault="005E64D9" w:rsidP="000A5389">
            <w:pPr>
              <w:spacing w:line="240" w:lineRule="auto"/>
              <w:rPr>
                <w:rFonts w:eastAsia="Times New Roman" w:cs="Times New Roman"/>
                <w:color w:val="000000"/>
                <w:sz w:val="16"/>
                <w:szCs w:val="16"/>
                <w:lang w:eastAsia="es-CO"/>
              </w:rPr>
            </w:pPr>
            <w:r w:rsidRPr="007D0403">
              <w:rPr>
                <w:rFonts w:eastAsia="Times New Roman" w:cs="Times New Roman"/>
                <w:color w:val="000000"/>
                <w:sz w:val="16"/>
                <w:szCs w:val="16"/>
                <w:lang w:eastAsia="es-CO"/>
              </w:rPr>
              <w:t>Costas procesales</w:t>
            </w:r>
          </w:p>
        </w:tc>
        <w:tc>
          <w:tcPr>
            <w:tcW w:w="1148" w:type="pct"/>
            <w:tcBorders>
              <w:top w:val="nil"/>
              <w:left w:val="nil"/>
              <w:bottom w:val="single" w:sz="4" w:space="0" w:color="D0D0D0"/>
              <w:right w:val="single" w:sz="4" w:space="0" w:color="D0D0D0"/>
            </w:tcBorders>
            <w:vAlign w:val="center"/>
            <w:hideMark/>
          </w:tcPr>
          <w:p w14:paraId="5C338958" w14:textId="5F67C143" w:rsidR="005E64D9" w:rsidRPr="007D0403" w:rsidRDefault="005E64D9" w:rsidP="000A5389">
            <w:pPr>
              <w:spacing w:line="240" w:lineRule="auto"/>
              <w:rPr>
                <w:rFonts w:eastAsia="Times New Roman" w:cs="Times New Roman"/>
                <w:color w:val="000000"/>
                <w:sz w:val="16"/>
                <w:szCs w:val="16"/>
                <w:lang w:eastAsia="es-CO"/>
              </w:rPr>
            </w:pPr>
            <w:r w:rsidRPr="007D0403">
              <w:rPr>
                <w:rFonts w:eastAsia="Times New Roman" w:cs="Times New Roman"/>
                <w:color w:val="000000"/>
                <w:sz w:val="16"/>
                <w:szCs w:val="16"/>
                <w:lang w:eastAsia="es-CO"/>
              </w:rPr>
              <w:t xml:space="preserve">Diego María López Gómez </w:t>
            </w:r>
          </w:p>
        </w:tc>
        <w:tc>
          <w:tcPr>
            <w:tcW w:w="596" w:type="pct"/>
            <w:tcBorders>
              <w:top w:val="nil"/>
              <w:left w:val="nil"/>
              <w:bottom w:val="single" w:sz="4" w:space="0" w:color="D0D0D0"/>
              <w:right w:val="single" w:sz="4" w:space="0" w:color="D0D0D0"/>
            </w:tcBorders>
            <w:noWrap/>
            <w:vAlign w:val="center"/>
            <w:hideMark/>
          </w:tcPr>
          <w:p w14:paraId="4028EBE1" w14:textId="77777777" w:rsidR="005E64D9" w:rsidRPr="007D0403" w:rsidRDefault="005E64D9" w:rsidP="000A5389">
            <w:pPr>
              <w:spacing w:line="240" w:lineRule="auto"/>
              <w:jc w:val="center"/>
              <w:rPr>
                <w:rFonts w:eastAsia="Times New Roman" w:cs="Times New Roman"/>
                <w:color w:val="000000"/>
                <w:sz w:val="16"/>
                <w:szCs w:val="16"/>
                <w:lang w:eastAsia="es-CO"/>
              </w:rPr>
            </w:pPr>
            <w:r w:rsidRPr="007D0403">
              <w:rPr>
                <w:rFonts w:eastAsia="Times New Roman" w:cs="Times New Roman"/>
                <w:color w:val="000000"/>
                <w:sz w:val="16"/>
                <w:szCs w:val="16"/>
                <w:lang w:eastAsia="es-CO"/>
              </w:rPr>
              <w:t>8.027.737</w:t>
            </w:r>
          </w:p>
        </w:tc>
        <w:tc>
          <w:tcPr>
            <w:tcW w:w="596" w:type="pct"/>
            <w:tcBorders>
              <w:top w:val="nil"/>
              <w:left w:val="nil"/>
              <w:bottom w:val="single" w:sz="4" w:space="0" w:color="D0D0D0"/>
              <w:right w:val="single" w:sz="4" w:space="0" w:color="D0D0D0"/>
            </w:tcBorders>
            <w:noWrap/>
            <w:vAlign w:val="center"/>
            <w:hideMark/>
          </w:tcPr>
          <w:p w14:paraId="7CEDFAB0" w14:textId="77777777" w:rsidR="005E64D9" w:rsidRPr="007D0403" w:rsidRDefault="005E64D9" w:rsidP="000A5389">
            <w:pPr>
              <w:spacing w:line="240" w:lineRule="auto"/>
              <w:jc w:val="center"/>
              <w:rPr>
                <w:rFonts w:eastAsia="Times New Roman" w:cs="Times New Roman"/>
                <w:color w:val="000000"/>
                <w:sz w:val="16"/>
                <w:szCs w:val="16"/>
                <w:lang w:eastAsia="es-CO"/>
              </w:rPr>
            </w:pPr>
            <w:r w:rsidRPr="007D0403">
              <w:rPr>
                <w:rFonts w:eastAsia="Times New Roman" w:cs="Times New Roman"/>
                <w:color w:val="000000"/>
                <w:sz w:val="16"/>
                <w:szCs w:val="16"/>
                <w:lang w:eastAsia="es-CO"/>
              </w:rPr>
              <w:t>9/06/2021</w:t>
            </w:r>
          </w:p>
        </w:tc>
        <w:tc>
          <w:tcPr>
            <w:tcW w:w="596" w:type="pct"/>
            <w:tcBorders>
              <w:top w:val="nil"/>
              <w:left w:val="nil"/>
              <w:bottom w:val="single" w:sz="4" w:space="0" w:color="D0D0D0"/>
              <w:right w:val="single" w:sz="4" w:space="0" w:color="D0D0D0"/>
            </w:tcBorders>
            <w:noWrap/>
            <w:vAlign w:val="center"/>
            <w:hideMark/>
          </w:tcPr>
          <w:p w14:paraId="50B73DFA" w14:textId="77777777" w:rsidR="005E64D9" w:rsidRPr="007D0403" w:rsidRDefault="005E64D9" w:rsidP="000A5389">
            <w:pPr>
              <w:spacing w:line="240" w:lineRule="auto"/>
              <w:jc w:val="center"/>
              <w:rPr>
                <w:rFonts w:eastAsia="Times New Roman" w:cs="Times New Roman"/>
                <w:color w:val="000000"/>
                <w:sz w:val="16"/>
                <w:szCs w:val="16"/>
                <w:lang w:eastAsia="es-CO"/>
              </w:rPr>
            </w:pPr>
            <w:r w:rsidRPr="007D0403">
              <w:rPr>
                <w:rFonts w:eastAsia="Times New Roman" w:cs="Times New Roman"/>
                <w:color w:val="000000"/>
                <w:sz w:val="16"/>
                <w:szCs w:val="16"/>
                <w:lang w:eastAsia="es-CO"/>
              </w:rPr>
              <w:t>25/06/2021</w:t>
            </w:r>
          </w:p>
        </w:tc>
        <w:tc>
          <w:tcPr>
            <w:tcW w:w="349" w:type="pct"/>
            <w:tcBorders>
              <w:top w:val="nil"/>
              <w:left w:val="nil"/>
              <w:bottom w:val="single" w:sz="4" w:space="0" w:color="D0D0D0"/>
              <w:right w:val="single" w:sz="4" w:space="0" w:color="D0D0D0"/>
            </w:tcBorders>
            <w:noWrap/>
            <w:vAlign w:val="center"/>
            <w:hideMark/>
          </w:tcPr>
          <w:p w14:paraId="20D18C65" w14:textId="77777777" w:rsidR="005E64D9" w:rsidRPr="007D0403" w:rsidRDefault="005E64D9" w:rsidP="000A5389">
            <w:pPr>
              <w:spacing w:line="240" w:lineRule="auto"/>
              <w:jc w:val="center"/>
              <w:rPr>
                <w:rFonts w:eastAsia="Times New Roman" w:cs="Times New Roman"/>
                <w:color w:val="000000"/>
                <w:sz w:val="16"/>
                <w:szCs w:val="16"/>
                <w:lang w:eastAsia="es-CO"/>
              </w:rPr>
            </w:pPr>
            <w:r w:rsidRPr="007D0403">
              <w:rPr>
                <w:rFonts w:eastAsia="Times New Roman" w:cs="Times New Roman"/>
                <w:color w:val="000000"/>
                <w:sz w:val="16"/>
                <w:szCs w:val="16"/>
                <w:lang w:eastAsia="es-CO"/>
              </w:rPr>
              <w:t>12%</w:t>
            </w:r>
          </w:p>
        </w:tc>
        <w:tc>
          <w:tcPr>
            <w:tcW w:w="915" w:type="pct"/>
            <w:gridSpan w:val="2"/>
            <w:tcBorders>
              <w:top w:val="single" w:sz="4" w:space="0" w:color="D0D0D0"/>
              <w:left w:val="nil"/>
              <w:bottom w:val="single" w:sz="4" w:space="0" w:color="D0D0D0"/>
              <w:right w:val="single" w:sz="4" w:space="0" w:color="D0D0D0"/>
            </w:tcBorders>
            <w:vAlign w:val="center"/>
            <w:hideMark/>
          </w:tcPr>
          <w:p w14:paraId="2203B9BD" w14:textId="77777777" w:rsidR="005E64D9" w:rsidRPr="007D0403" w:rsidRDefault="005E64D9" w:rsidP="000A5389">
            <w:pPr>
              <w:spacing w:line="240" w:lineRule="auto"/>
              <w:jc w:val="center"/>
              <w:rPr>
                <w:rFonts w:eastAsia="Times New Roman" w:cs="Times New Roman"/>
                <w:color w:val="000000"/>
                <w:sz w:val="16"/>
                <w:szCs w:val="16"/>
                <w:lang w:eastAsia="es-CO"/>
              </w:rPr>
            </w:pPr>
            <w:r w:rsidRPr="007D0403">
              <w:rPr>
                <w:rFonts w:eastAsia="Times New Roman" w:cs="Times New Roman"/>
                <w:color w:val="000000"/>
                <w:sz w:val="16"/>
                <w:szCs w:val="16"/>
                <w:lang w:eastAsia="es-CO"/>
              </w:rPr>
              <w:t>25/06/2021</w:t>
            </w:r>
          </w:p>
        </w:tc>
      </w:tr>
      <w:tr w:rsidR="005E64D9" w:rsidRPr="007D0403" w14:paraId="7C8687AF" w14:textId="77777777" w:rsidTr="005E64D9">
        <w:trPr>
          <w:trHeight w:val="423"/>
          <w:jc w:val="center"/>
        </w:trPr>
        <w:tc>
          <w:tcPr>
            <w:tcW w:w="800" w:type="pct"/>
            <w:tcBorders>
              <w:top w:val="nil"/>
              <w:left w:val="single" w:sz="4" w:space="0" w:color="D0D0D0"/>
              <w:bottom w:val="single" w:sz="4" w:space="0" w:color="D0D0D0"/>
              <w:right w:val="single" w:sz="4" w:space="0" w:color="D0D0D0"/>
            </w:tcBorders>
            <w:noWrap/>
            <w:vAlign w:val="center"/>
            <w:hideMark/>
          </w:tcPr>
          <w:p w14:paraId="0C21F699" w14:textId="77777777" w:rsidR="005E64D9" w:rsidRPr="007D0403" w:rsidRDefault="005E64D9" w:rsidP="000A5389">
            <w:pPr>
              <w:spacing w:line="240" w:lineRule="auto"/>
              <w:rPr>
                <w:rFonts w:eastAsia="Times New Roman" w:cs="Times New Roman"/>
                <w:color w:val="000000"/>
                <w:sz w:val="16"/>
                <w:szCs w:val="16"/>
                <w:lang w:eastAsia="es-CO"/>
              </w:rPr>
            </w:pPr>
            <w:r w:rsidRPr="007D0403">
              <w:rPr>
                <w:rFonts w:eastAsia="Times New Roman" w:cs="Times New Roman"/>
                <w:color w:val="000000"/>
                <w:sz w:val="16"/>
                <w:szCs w:val="16"/>
                <w:lang w:eastAsia="es-CO"/>
              </w:rPr>
              <w:t>Costas procesales</w:t>
            </w:r>
          </w:p>
        </w:tc>
        <w:tc>
          <w:tcPr>
            <w:tcW w:w="1148" w:type="pct"/>
            <w:tcBorders>
              <w:top w:val="nil"/>
              <w:left w:val="nil"/>
              <w:bottom w:val="single" w:sz="4" w:space="0" w:color="D0D0D0"/>
              <w:right w:val="single" w:sz="4" w:space="0" w:color="D0D0D0"/>
            </w:tcBorders>
            <w:vAlign w:val="center"/>
            <w:hideMark/>
          </w:tcPr>
          <w:p w14:paraId="0DFDF2EC" w14:textId="0EF0A398" w:rsidR="005E64D9" w:rsidRPr="007D0403" w:rsidRDefault="005E64D9" w:rsidP="000A5389">
            <w:pPr>
              <w:spacing w:line="240" w:lineRule="auto"/>
              <w:rPr>
                <w:rFonts w:eastAsia="Times New Roman" w:cs="Times New Roman"/>
                <w:color w:val="000000"/>
                <w:sz w:val="16"/>
                <w:szCs w:val="16"/>
                <w:lang w:eastAsia="es-CO"/>
              </w:rPr>
            </w:pPr>
            <w:r w:rsidRPr="007D0403">
              <w:rPr>
                <w:rFonts w:eastAsia="Times New Roman" w:cs="Times New Roman"/>
                <w:color w:val="000000"/>
                <w:sz w:val="16"/>
                <w:szCs w:val="16"/>
                <w:lang w:eastAsia="es-CO"/>
              </w:rPr>
              <w:t xml:space="preserve">Alvaro Montes Sevilla </w:t>
            </w:r>
          </w:p>
        </w:tc>
        <w:tc>
          <w:tcPr>
            <w:tcW w:w="596" w:type="pct"/>
            <w:tcBorders>
              <w:top w:val="nil"/>
              <w:left w:val="nil"/>
              <w:bottom w:val="single" w:sz="4" w:space="0" w:color="D0D0D0"/>
              <w:right w:val="single" w:sz="4" w:space="0" w:color="D0D0D0"/>
            </w:tcBorders>
            <w:noWrap/>
            <w:vAlign w:val="center"/>
            <w:hideMark/>
          </w:tcPr>
          <w:p w14:paraId="625D0912" w14:textId="77777777" w:rsidR="005E64D9" w:rsidRPr="007D0403" w:rsidRDefault="005E64D9" w:rsidP="000A5389">
            <w:pPr>
              <w:spacing w:line="240" w:lineRule="auto"/>
              <w:jc w:val="center"/>
              <w:rPr>
                <w:rFonts w:eastAsia="Times New Roman" w:cs="Times New Roman"/>
                <w:color w:val="000000"/>
                <w:sz w:val="16"/>
                <w:szCs w:val="16"/>
                <w:lang w:eastAsia="es-CO"/>
              </w:rPr>
            </w:pPr>
            <w:r w:rsidRPr="007D0403">
              <w:rPr>
                <w:rFonts w:eastAsia="Times New Roman" w:cs="Times New Roman"/>
                <w:color w:val="000000"/>
                <w:sz w:val="16"/>
                <w:szCs w:val="16"/>
                <w:lang w:eastAsia="es-CO"/>
              </w:rPr>
              <w:t>7.200.000</w:t>
            </w:r>
          </w:p>
        </w:tc>
        <w:tc>
          <w:tcPr>
            <w:tcW w:w="596" w:type="pct"/>
            <w:tcBorders>
              <w:top w:val="nil"/>
              <w:left w:val="nil"/>
              <w:bottom w:val="single" w:sz="4" w:space="0" w:color="D0D0D0"/>
              <w:right w:val="single" w:sz="4" w:space="0" w:color="D0D0D0"/>
            </w:tcBorders>
            <w:noWrap/>
            <w:vAlign w:val="center"/>
            <w:hideMark/>
          </w:tcPr>
          <w:p w14:paraId="2631E05E" w14:textId="77777777" w:rsidR="005E64D9" w:rsidRPr="007D0403" w:rsidRDefault="005E64D9" w:rsidP="000A5389">
            <w:pPr>
              <w:spacing w:line="240" w:lineRule="auto"/>
              <w:jc w:val="center"/>
              <w:rPr>
                <w:rFonts w:eastAsia="Times New Roman" w:cs="Times New Roman"/>
                <w:color w:val="000000"/>
                <w:sz w:val="16"/>
                <w:szCs w:val="16"/>
                <w:lang w:eastAsia="es-CO"/>
              </w:rPr>
            </w:pPr>
            <w:r w:rsidRPr="007D0403">
              <w:rPr>
                <w:rFonts w:eastAsia="Times New Roman" w:cs="Times New Roman"/>
                <w:color w:val="000000"/>
                <w:sz w:val="16"/>
                <w:szCs w:val="16"/>
                <w:lang w:eastAsia="es-CO"/>
              </w:rPr>
              <w:t>2/04/2019</w:t>
            </w:r>
          </w:p>
        </w:tc>
        <w:tc>
          <w:tcPr>
            <w:tcW w:w="596" w:type="pct"/>
            <w:tcBorders>
              <w:top w:val="nil"/>
              <w:left w:val="nil"/>
              <w:bottom w:val="single" w:sz="4" w:space="0" w:color="D0D0D0"/>
              <w:right w:val="single" w:sz="4" w:space="0" w:color="D0D0D0"/>
            </w:tcBorders>
            <w:noWrap/>
            <w:vAlign w:val="center"/>
            <w:hideMark/>
          </w:tcPr>
          <w:p w14:paraId="62792E0B" w14:textId="77777777" w:rsidR="005E64D9" w:rsidRPr="007D0403" w:rsidRDefault="005E64D9" w:rsidP="000A5389">
            <w:pPr>
              <w:spacing w:line="240" w:lineRule="auto"/>
              <w:jc w:val="center"/>
              <w:rPr>
                <w:rFonts w:eastAsia="Times New Roman" w:cs="Times New Roman"/>
                <w:color w:val="000000"/>
                <w:sz w:val="16"/>
                <w:szCs w:val="16"/>
                <w:lang w:eastAsia="es-CO"/>
              </w:rPr>
            </w:pPr>
            <w:r w:rsidRPr="007D0403">
              <w:rPr>
                <w:rFonts w:eastAsia="Times New Roman" w:cs="Times New Roman"/>
                <w:color w:val="000000"/>
                <w:sz w:val="16"/>
                <w:szCs w:val="16"/>
                <w:lang w:eastAsia="es-CO"/>
              </w:rPr>
              <w:t>28/06/2019</w:t>
            </w:r>
          </w:p>
        </w:tc>
        <w:tc>
          <w:tcPr>
            <w:tcW w:w="349" w:type="pct"/>
            <w:tcBorders>
              <w:top w:val="nil"/>
              <w:left w:val="nil"/>
              <w:bottom w:val="single" w:sz="4" w:space="0" w:color="D0D0D0"/>
              <w:right w:val="single" w:sz="4" w:space="0" w:color="D0D0D0"/>
            </w:tcBorders>
            <w:noWrap/>
            <w:vAlign w:val="center"/>
            <w:hideMark/>
          </w:tcPr>
          <w:p w14:paraId="5DE8492A" w14:textId="77777777" w:rsidR="005E64D9" w:rsidRPr="007D0403" w:rsidRDefault="005E64D9" w:rsidP="000A5389">
            <w:pPr>
              <w:spacing w:line="240" w:lineRule="auto"/>
              <w:jc w:val="center"/>
              <w:rPr>
                <w:rFonts w:eastAsia="Times New Roman" w:cs="Times New Roman"/>
                <w:color w:val="000000"/>
                <w:sz w:val="16"/>
                <w:szCs w:val="16"/>
                <w:lang w:eastAsia="es-CO"/>
              </w:rPr>
            </w:pPr>
            <w:r w:rsidRPr="007D0403">
              <w:rPr>
                <w:rFonts w:eastAsia="Times New Roman" w:cs="Times New Roman"/>
                <w:color w:val="000000"/>
                <w:sz w:val="16"/>
                <w:szCs w:val="16"/>
                <w:lang w:eastAsia="es-CO"/>
              </w:rPr>
              <w:t>12%</w:t>
            </w:r>
          </w:p>
        </w:tc>
        <w:tc>
          <w:tcPr>
            <w:tcW w:w="915" w:type="pct"/>
            <w:gridSpan w:val="2"/>
            <w:tcBorders>
              <w:top w:val="single" w:sz="4" w:space="0" w:color="D0D0D0"/>
              <w:left w:val="nil"/>
              <w:bottom w:val="single" w:sz="4" w:space="0" w:color="D0D0D0"/>
              <w:right w:val="single" w:sz="4" w:space="0" w:color="D0D0D0"/>
            </w:tcBorders>
            <w:vAlign w:val="center"/>
            <w:hideMark/>
          </w:tcPr>
          <w:p w14:paraId="334BC30D" w14:textId="77777777" w:rsidR="005E64D9" w:rsidRPr="007D0403" w:rsidRDefault="005E64D9" w:rsidP="000A5389">
            <w:pPr>
              <w:spacing w:line="240" w:lineRule="auto"/>
              <w:jc w:val="center"/>
              <w:rPr>
                <w:rFonts w:eastAsia="Times New Roman" w:cs="Times New Roman"/>
                <w:color w:val="000000"/>
                <w:sz w:val="16"/>
                <w:szCs w:val="16"/>
                <w:lang w:eastAsia="es-CO"/>
              </w:rPr>
            </w:pPr>
            <w:r w:rsidRPr="007D0403">
              <w:rPr>
                <w:rFonts w:eastAsia="Times New Roman" w:cs="Times New Roman"/>
                <w:color w:val="000000"/>
                <w:sz w:val="16"/>
                <w:szCs w:val="16"/>
                <w:lang w:eastAsia="es-CO"/>
              </w:rPr>
              <w:t>28/06/2019</w:t>
            </w:r>
          </w:p>
        </w:tc>
      </w:tr>
      <w:tr w:rsidR="005E64D9" w:rsidRPr="007D0403" w14:paraId="34F4B581" w14:textId="77777777" w:rsidTr="005E64D9">
        <w:trPr>
          <w:trHeight w:val="345"/>
          <w:jc w:val="center"/>
        </w:trPr>
        <w:tc>
          <w:tcPr>
            <w:tcW w:w="800" w:type="pct"/>
            <w:tcBorders>
              <w:top w:val="nil"/>
              <w:left w:val="single" w:sz="4" w:space="0" w:color="D0D0D0"/>
              <w:bottom w:val="single" w:sz="4" w:space="0" w:color="D0D0D0"/>
              <w:right w:val="single" w:sz="4" w:space="0" w:color="D0D0D0"/>
            </w:tcBorders>
            <w:noWrap/>
            <w:vAlign w:val="center"/>
            <w:hideMark/>
          </w:tcPr>
          <w:p w14:paraId="50104D18" w14:textId="77777777" w:rsidR="005E64D9" w:rsidRPr="007D0403" w:rsidRDefault="005E64D9" w:rsidP="000A5389">
            <w:pPr>
              <w:spacing w:line="240" w:lineRule="auto"/>
              <w:rPr>
                <w:rFonts w:eastAsia="Times New Roman" w:cs="Times New Roman"/>
                <w:color w:val="000000"/>
                <w:sz w:val="16"/>
                <w:szCs w:val="16"/>
                <w:lang w:eastAsia="es-CO"/>
              </w:rPr>
            </w:pPr>
            <w:r w:rsidRPr="007D0403">
              <w:rPr>
                <w:rFonts w:eastAsia="Times New Roman" w:cs="Times New Roman"/>
                <w:color w:val="000000"/>
                <w:sz w:val="16"/>
                <w:szCs w:val="16"/>
                <w:lang w:eastAsia="es-CO"/>
              </w:rPr>
              <w:t>Costas procesales</w:t>
            </w:r>
          </w:p>
        </w:tc>
        <w:tc>
          <w:tcPr>
            <w:tcW w:w="1148" w:type="pct"/>
            <w:tcBorders>
              <w:top w:val="nil"/>
              <w:left w:val="nil"/>
              <w:bottom w:val="single" w:sz="4" w:space="0" w:color="D0D0D0"/>
              <w:right w:val="single" w:sz="4" w:space="0" w:color="D0D0D0"/>
            </w:tcBorders>
            <w:vAlign w:val="center"/>
            <w:hideMark/>
          </w:tcPr>
          <w:p w14:paraId="1C6A69C3" w14:textId="5B4C7B11" w:rsidR="005E64D9" w:rsidRPr="007D0403" w:rsidRDefault="005E64D9" w:rsidP="000A5389">
            <w:pPr>
              <w:spacing w:line="240" w:lineRule="auto"/>
              <w:rPr>
                <w:rFonts w:eastAsia="Times New Roman" w:cs="Times New Roman"/>
                <w:color w:val="000000"/>
                <w:sz w:val="16"/>
                <w:szCs w:val="16"/>
                <w:lang w:eastAsia="es-CO"/>
              </w:rPr>
            </w:pPr>
            <w:r w:rsidRPr="007D0403">
              <w:rPr>
                <w:rFonts w:eastAsia="Times New Roman" w:cs="Times New Roman"/>
                <w:color w:val="000000"/>
                <w:sz w:val="16"/>
                <w:szCs w:val="16"/>
                <w:lang w:eastAsia="es-CO"/>
              </w:rPr>
              <w:t xml:space="preserve">Paula Andrea López Ortiz </w:t>
            </w:r>
          </w:p>
        </w:tc>
        <w:tc>
          <w:tcPr>
            <w:tcW w:w="596" w:type="pct"/>
            <w:tcBorders>
              <w:top w:val="nil"/>
              <w:left w:val="nil"/>
              <w:bottom w:val="single" w:sz="4" w:space="0" w:color="D0D0D0"/>
              <w:right w:val="single" w:sz="4" w:space="0" w:color="D0D0D0"/>
            </w:tcBorders>
            <w:noWrap/>
            <w:vAlign w:val="center"/>
            <w:hideMark/>
          </w:tcPr>
          <w:p w14:paraId="396821BA" w14:textId="77777777" w:rsidR="005E64D9" w:rsidRPr="007D0403" w:rsidRDefault="005E64D9" w:rsidP="000A5389">
            <w:pPr>
              <w:spacing w:line="240" w:lineRule="auto"/>
              <w:jc w:val="center"/>
              <w:rPr>
                <w:rFonts w:eastAsia="Times New Roman" w:cs="Times New Roman"/>
                <w:color w:val="000000"/>
                <w:sz w:val="16"/>
                <w:szCs w:val="16"/>
                <w:lang w:eastAsia="es-CO"/>
              </w:rPr>
            </w:pPr>
            <w:r w:rsidRPr="007D0403">
              <w:rPr>
                <w:rFonts w:eastAsia="Times New Roman" w:cs="Times New Roman"/>
                <w:color w:val="000000"/>
                <w:sz w:val="16"/>
                <w:szCs w:val="16"/>
                <w:lang w:eastAsia="es-CO"/>
              </w:rPr>
              <w:t>1.166.630</w:t>
            </w:r>
          </w:p>
        </w:tc>
        <w:tc>
          <w:tcPr>
            <w:tcW w:w="596" w:type="pct"/>
            <w:tcBorders>
              <w:top w:val="nil"/>
              <w:left w:val="nil"/>
              <w:bottom w:val="single" w:sz="4" w:space="0" w:color="D0D0D0"/>
              <w:right w:val="single" w:sz="4" w:space="0" w:color="D0D0D0"/>
            </w:tcBorders>
            <w:noWrap/>
            <w:vAlign w:val="center"/>
            <w:hideMark/>
          </w:tcPr>
          <w:p w14:paraId="6AE2A5C6" w14:textId="77777777" w:rsidR="005E64D9" w:rsidRPr="007D0403" w:rsidRDefault="005E64D9" w:rsidP="000A5389">
            <w:pPr>
              <w:spacing w:line="240" w:lineRule="auto"/>
              <w:jc w:val="center"/>
              <w:rPr>
                <w:rFonts w:eastAsia="Times New Roman" w:cs="Times New Roman"/>
                <w:color w:val="000000"/>
                <w:sz w:val="16"/>
                <w:szCs w:val="16"/>
                <w:lang w:eastAsia="es-CO"/>
              </w:rPr>
            </w:pPr>
            <w:r w:rsidRPr="007D0403">
              <w:rPr>
                <w:rFonts w:eastAsia="Times New Roman" w:cs="Times New Roman"/>
                <w:color w:val="000000"/>
                <w:sz w:val="16"/>
                <w:szCs w:val="16"/>
                <w:lang w:eastAsia="es-CO"/>
              </w:rPr>
              <w:t>2/05/2019</w:t>
            </w:r>
          </w:p>
        </w:tc>
        <w:tc>
          <w:tcPr>
            <w:tcW w:w="596" w:type="pct"/>
            <w:tcBorders>
              <w:top w:val="nil"/>
              <w:left w:val="nil"/>
              <w:bottom w:val="single" w:sz="4" w:space="0" w:color="D0D0D0"/>
              <w:right w:val="single" w:sz="4" w:space="0" w:color="D0D0D0"/>
            </w:tcBorders>
            <w:noWrap/>
            <w:vAlign w:val="center"/>
            <w:hideMark/>
          </w:tcPr>
          <w:p w14:paraId="13FE8888" w14:textId="77777777" w:rsidR="005E64D9" w:rsidRPr="007D0403" w:rsidRDefault="005E64D9" w:rsidP="000A5389">
            <w:pPr>
              <w:spacing w:line="240" w:lineRule="auto"/>
              <w:jc w:val="center"/>
              <w:rPr>
                <w:rFonts w:eastAsia="Times New Roman" w:cs="Times New Roman"/>
                <w:color w:val="000000"/>
                <w:sz w:val="16"/>
                <w:szCs w:val="16"/>
                <w:lang w:eastAsia="es-CO"/>
              </w:rPr>
            </w:pPr>
            <w:r w:rsidRPr="007D0403">
              <w:rPr>
                <w:rFonts w:eastAsia="Times New Roman" w:cs="Times New Roman"/>
                <w:color w:val="000000"/>
                <w:sz w:val="16"/>
                <w:szCs w:val="16"/>
                <w:lang w:eastAsia="es-CO"/>
              </w:rPr>
              <w:t>13/05/2021</w:t>
            </w:r>
          </w:p>
        </w:tc>
        <w:tc>
          <w:tcPr>
            <w:tcW w:w="349" w:type="pct"/>
            <w:tcBorders>
              <w:top w:val="nil"/>
              <w:left w:val="nil"/>
              <w:bottom w:val="single" w:sz="4" w:space="0" w:color="D0D0D0"/>
              <w:right w:val="single" w:sz="4" w:space="0" w:color="D0D0D0"/>
            </w:tcBorders>
            <w:noWrap/>
            <w:vAlign w:val="center"/>
            <w:hideMark/>
          </w:tcPr>
          <w:p w14:paraId="26C87697" w14:textId="77777777" w:rsidR="005E64D9" w:rsidRPr="007D0403" w:rsidRDefault="005E64D9" w:rsidP="000A5389">
            <w:pPr>
              <w:spacing w:line="240" w:lineRule="auto"/>
              <w:jc w:val="center"/>
              <w:rPr>
                <w:rFonts w:eastAsia="Times New Roman" w:cs="Times New Roman"/>
                <w:color w:val="000000"/>
                <w:sz w:val="16"/>
                <w:szCs w:val="16"/>
                <w:lang w:eastAsia="es-CO"/>
              </w:rPr>
            </w:pPr>
            <w:r w:rsidRPr="007D0403">
              <w:rPr>
                <w:rFonts w:eastAsia="Times New Roman" w:cs="Times New Roman"/>
                <w:color w:val="000000"/>
                <w:sz w:val="16"/>
                <w:szCs w:val="16"/>
                <w:lang w:eastAsia="es-CO"/>
              </w:rPr>
              <w:t>12%</w:t>
            </w:r>
          </w:p>
        </w:tc>
        <w:tc>
          <w:tcPr>
            <w:tcW w:w="915" w:type="pct"/>
            <w:gridSpan w:val="2"/>
            <w:tcBorders>
              <w:top w:val="single" w:sz="4" w:space="0" w:color="D0D0D0"/>
              <w:left w:val="nil"/>
              <w:bottom w:val="single" w:sz="4" w:space="0" w:color="D0D0D0"/>
              <w:right w:val="single" w:sz="4" w:space="0" w:color="D0D0D0"/>
            </w:tcBorders>
            <w:vAlign w:val="center"/>
            <w:hideMark/>
          </w:tcPr>
          <w:p w14:paraId="737A46A2" w14:textId="77777777" w:rsidR="005E64D9" w:rsidRPr="007D0403" w:rsidRDefault="005E64D9" w:rsidP="000A5389">
            <w:pPr>
              <w:spacing w:line="240" w:lineRule="auto"/>
              <w:jc w:val="center"/>
              <w:rPr>
                <w:rFonts w:eastAsia="Times New Roman" w:cs="Times New Roman"/>
                <w:color w:val="000000"/>
                <w:sz w:val="16"/>
                <w:szCs w:val="16"/>
                <w:lang w:eastAsia="es-CO"/>
              </w:rPr>
            </w:pPr>
            <w:r w:rsidRPr="007D0403">
              <w:rPr>
                <w:rFonts w:eastAsia="Times New Roman" w:cs="Times New Roman"/>
                <w:color w:val="000000"/>
                <w:sz w:val="16"/>
                <w:szCs w:val="16"/>
                <w:lang w:eastAsia="es-CO"/>
              </w:rPr>
              <w:t>13/05/2021</w:t>
            </w:r>
          </w:p>
        </w:tc>
      </w:tr>
      <w:tr w:rsidR="005E64D9" w:rsidRPr="007D0403" w14:paraId="2AB16C1C" w14:textId="77777777" w:rsidTr="005E64D9">
        <w:trPr>
          <w:trHeight w:val="565"/>
          <w:jc w:val="center"/>
        </w:trPr>
        <w:tc>
          <w:tcPr>
            <w:tcW w:w="800" w:type="pct"/>
            <w:tcBorders>
              <w:top w:val="nil"/>
              <w:left w:val="single" w:sz="4" w:space="0" w:color="D0D0D0"/>
              <w:bottom w:val="single" w:sz="4" w:space="0" w:color="D0D0D0"/>
              <w:right w:val="single" w:sz="4" w:space="0" w:color="D0D0D0"/>
            </w:tcBorders>
            <w:noWrap/>
            <w:vAlign w:val="center"/>
            <w:hideMark/>
          </w:tcPr>
          <w:p w14:paraId="2AE3EB0F" w14:textId="77777777" w:rsidR="005E64D9" w:rsidRPr="007D0403" w:rsidRDefault="005E64D9" w:rsidP="000A5389">
            <w:pPr>
              <w:spacing w:line="240" w:lineRule="auto"/>
              <w:rPr>
                <w:rFonts w:eastAsia="Times New Roman" w:cs="Times New Roman"/>
                <w:color w:val="000000"/>
                <w:sz w:val="16"/>
                <w:szCs w:val="16"/>
                <w:lang w:eastAsia="es-CO"/>
              </w:rPr>
            </w:pPr>
            <w:r w:rsidRPr="007D0403">
              <w:rPr>
                <w:rFonts w:eastAsia="Times New Roman" w:cs="Times New Roman"/>
                <w:color w:val="000000"/>
                <w:sz w:val="16"/>
                <w:szCs w:val="16"/>
                <w:lang w:eastAsia="es-CO"/>
              </w:rPr>
              <w:t>Costas procesales</w:t>
            </w:r>
          </w:p>
        </w:tc>
        <w:tc>
          <w:tcPr>
            <w:tcW w:w="1148" w:type="pct"/>
            <w:tcBorders>
              <w:top w:val="nil"/>
              <w:left w:val="nil"/>
              <w:bottom w:val="single" w:sz="4" w:space="0" w:color="D0D0D0"/>
              <w:right w:val="single" w:sz="4" w:space="0" w:color="D0D0D0"/>
            </w:tcBorders>
            <w:vAlign w:val="center"/>
            <w:hideMark/>
          </w:tcPr>
          <w:p w14:paraId="04BD6616" w14:textId="3BA8E072" w:rsidR="005E64D9" w:rsidRPr="007D0403" w:rsidRDefault="005E64D9" w:rsidP="000A5389">
            <w:pPr>
              <w:spacing w:line="240" w:lineRule="auto"/>
              <w:rPr>
                <w:rFonts w:eastAsia="Times New Roman" w:cs="Times New Roman"/>
                <w:color w:val="000000"/>
                <w:sz w:val="16"/>
                <w:szCs w:val="16"/>
                <w:lang w:eastAsia="es-CO"/>
              </w:rPr>
            </w:pPr>
            <w:r w:rsidRPr="007D0403">
              <w:rPr>
                <w:rFonts w:eastAsia="Times New Roman" w:cs="Times New Roman"/>
                <w:color w:val="000000"/>
                <w:sz w:val="16"/>
                <w:szCs w:val="16"/>
                <w:lang w:eastAsia="es-CO"/>
              </w:rPr>
              <w:t xml:space="preserve">Nelvis Beatriz Amaya Robles </w:t>
            </w:r>
          </w:p>
        </w:tc>
        <w:tc>
          <w:tcPr>
            <w:tcW w:w="596" w:type="pct"/>
            <w:tcBorders>
              <w:top w:val="nil"/>
              <w:left w:val="nil"/>
              <w:bottom w:val="single" w:sz="4" w:space="0" w:color="D0D0D0"/>
              <w:right w:val="single" w:sz="4" w:space="0" w:color="D0D0D0"/>
            </w:tcBorders>
            <w:noWrap/>
            <w:vAlign w:val="center"/>
            <w:hideMark/>
          </w:tcPr>
          <w:p w14:paraId="7101FFFA" w14:textId="77777777" w:rsidR="005E64D9" w:rsidRPr="007D0403" w:rsidRDefault="005E64D9" w:rsidP="000A5389">
            <w:pPr>
              <w:spacing w:line="240" w:lineRule="auto"/>
              <w:jc w:val="center"/>
              <w:rPr>
                <w:rFonts w:eastAsia="Times New Roman" w:cs="Times New Roman"/>
                <w:color w:val="000000"/>
                <w:sz w:val="16"/>
                <w:szCs w:val="16"/>
                <w:lang w:eastAsia="es-CO"/>
              </w:rPr>
            </w:pPr>
            <w:r w:rsidRPr="007D0403">
              <w:rPr>
                <w:rFonts w:eastAsia="Times New Roman" w:cs="Times New Roman"/>
                <w:color w:val="000000"/>
                <w:sz w:val="16"/>
                <w:szCs w:val="16"/>
                <w:lang w:eastAsia="es-CO"/>
              </w:rPr>
              <w:t>908.526</w:t>
            </w:r>
          </w:p>
        </w:tc>
        <w:tc>
          <w:tcPr>
            <w:tcW w:w="596" w:type="pct"/>
            <w:tcBorders>
              <w:top w:val="nil"/>
              <w:left w:val="nil"/>
              <w:bottom w:val="single" w:sz="4" w:space="0" w:color="D0D0D0"/>
              <w:right w:val="single" w:sz="4" w:space="0" w:color="D0D0D0"/>
            </w:tcBorders>
            <w:noWrap/>
            <w:vAlign w:val="center"/>
            <w:hideMark/>
          </w:tcPr>
          <w:p w14:paraId="74C61D8B" w14:textId="77777777" w:rsidR="005E64D9" w:rsidRPr="007D0403" w:rsidRDefault="005E64D9" w:rsidP="000A5389">
            <w:pPr>
              <w:spacing w:line="240" w:lineRule="auto"/>
              <w:jc w:val="center"/>
              <w:rPr>
                <w:rFonts w:eastAsia="Times New Roman" w:cs="Times New Roman"/>
                <w:color w:val="000000"/>
                <w:sz w:val="16"/>
                <w:szCs w:val="16"/>
                <w:lang w:eastAsia="es-CO"/>
              </w:rPr>
            </w:pPr>
            <w:r w:rsidRPr="007D0403">
              <w:rPr>
                <w:rFonts w:eastAsia="Times New Roman" w:cs="Times New Roman"/>
                <w:color w:val="000000"/>
                <w:sz w:val="16"/>
                <w:szCs w:val="16"/>
                <w:lang w:eastAsia="es-CO"/>
              </w:rPr>
              <w:t>22/04/2021</w:t>
            </w:r>
          </w:p>
        </w:tc>
        <w:tc>
          <w:tcPr>
            <w:tcW w:w="596" w:type="pct"/>
            <w:tcBorders>
              <w:top w:val="nil"/>
              <w:left w:val="nil"/>
              <w:bottom w:val="single" w:sz="4" w:space="0" w:color="D0D0D0"/>
              <w:right w:val="single" w:sz="4" w:space="0" w:color="D0D0D0"/>
            </w:tcBorders>
            <w:noWrap/>
            <w:vAlign w:val="center"/>
            <w:hideMark/>
          </w:tcPr>
          <w:p w14:paraId="6F6843EC" w14:textId="77777777" w:rsidR="005E64D9" w:rsidRPr="007D0403" w:rsidRDefault="005E64D9" w:rsidP="000A5389">
            <w:pPr>
              <w:spacing w:line="240" w:lineRule="auto"/>
              <w:jc w:val="center"/>
              <w:rPr>
                <w:rFonts w:eastAsia="Times New Roman" w:cs="Times New Roman"/>
                <w:color w:val="000000"/>
                <w:sz w:val="16"/>
                <w:szCs w:val="16"/>
                <w:lang w:eastAsia="es-CO"/>
              </w:rPr>
            </w:pPr>
            <w:r w:rsidRPr="007D0403">
              <w:rPr>
                <w:rFonts w:eastAsia="Times New Roman" w:cs="Times New Roman"/>
                <w:color w:val="000000"/>
                <w:sz w:val="16"/>
                <w:szCs w:val="16"/>
                <w:lang w:eastAsia="es-CO"/>
              </w:rPr>
              <w:t>25/06/2021</w:t>
            </w:r>
          </w:p>
        </w:tc>
        <w:tc>
          <w:tcPr>
            <w:tcW w:w="349" w:type="pct"/>
            <w:tcBorders>
              <w:top w:val="nil"/>
              <w:left w:val="nil"/>
              <w:bottom w:val="single" w:sz="4" w:space="0" w:color="D0D0D0"/>
              <w:right w:val="single" w:sz="4" w:space="0" w:color="D0D0D0"/>
            </w:tcBorders>
            <w:noWrap/>
            <w:vAlign w:val="center"/>
            <w:hideMark/>
          </w:tcPr>
          <w:p w14:paraId="0E029A44" w14:textId="77777777" w:rsidR="005E64D9" w:rsidRPr="007D0403" w:rsidRDefault="005E64D9" w:rsidP="000A5389">
            <w:pPr>
              <w:spacing w:line="240" w:lineRule="auto"/>
              <w:jc w:val="center"/>
              <w:rPr>
                <w:rFonts w:eastAsia="Times New Roman" w:cs="Times New Roman"/>
                <w:color w:val="000000"/>
                <w:sz w:val="16"/>
                <w:szCs w:val="16"/>
                <w:lang w:eastAsia="es-CO"/>
              </w:rPr>
            </w:pPr>
            <w:r w:rsidRPr="007D0403">
              <w:rPr>
                <w:rFonts w:eastAsia="Times New Roman" w:cs="Times New Roman"/>
                <w:color w:val="000000"/>
                <w:sz w:val="16"/>
                <w:szCs w:val="16"/>
                <w:lang w:eastAsia="es-CO"/>
              </w:rPr>
              <w:t>12%</w:t>
            </w:r>
          </w:p>
        </w:tc>
        <w:tc>
          <w:tcPr>
            <w:tcW w:w="915" w:type="pct"/>
            <w:gridSpan w:val="2"/>
            <w:tcBorders>
              <w:top w:val="single" w:sz="4" w:space="0" w:color="D0D0D0"/>
              <w:left w:val="nil"/>
              <w:bottom w:val="single" w:sz="4" w:space="0" w:color="D0D0D0"/>
              <w:right w:val="single" w:sz="4" w:space="0" w:color="D0D0D0"/>
            </w:tcBorders>
            <w:vAlign w:val="center"/>
            <w:hideMark/>
          </w:tcPr>
          <w:p w14:paraId="14E4DAFA" w14:textId="77777777" w:rsidR="005E64D9" w:rsidRPr="007D0403" w:rsidRDefault="005E64D9" w:rsidP="000A5389">
            <w:pPr>
              <w:spacing w:line="240" w:lineRule="auto"/>
              <w:jc w:val="center"/>
              <w:rPr>
                <w:rFonts w:eastAsia="Times New Roman" w:cs="Times New Roman"/>
                <w:color w:val="000000"/>
                <w:sz w:val="16"/>
                <w:szCs w:val="16"/>
                <w:lang w:eastAsia="es-CO"/>
              </w:rPr>
            </w:pPr>
            <w:r w:rsidRPr="007D0403">
              <w:rPr>
                <w:rFonts w:eastAsia="Times New Roman" w:cs="Times New Roman"/>
                <w:color w:val="000000"/>
                <w:sz w:val="16"/>
                <w:szCs w:val="16"/>
                <w:lang w:eastAsia="es-CO"/>
              </w:rPr>
              <w:t>25/06/2021</w:t>
            </w:r>
          </w:p>
        </w:tc>
      </w:tr>
      <w:tr w:rsidR="005E64D9" w:rsidRPr="007D0403" w14:paraId="4C735790" w14:textId="77777777" w:rsidTr="005E64D9">
        <w:trPr>
          <w:trHeight w:val="333"/>
          <w:jc w:val="center"/>
        </w:trPr>
        <w:tc>
          <w:tcPr>
            <w:tcW w:w="800" w:type="pct"/>
            <w:tcBorders>
              <w:top w:val="nil"/>
              <w:left w:val="single" w:sz="4" w:space="0" w:color="D0D0D0"/>
              <w:bottom w:val="single" w:sz="4" w:space="0" w:color="D0D0D0"/>
              <w:right w:val="single" w:sz="4" w:space="0" w:color="D0D0D0"/>
            </w:tcBorders>
            <w:noWrap/>
            <w:vAlign w:val="center"/>
            <w:hideMark/>
          </w:tcPr>
          <w:p w14:paraId="738D25FE" w14:textId="77777777" w:rsidR="005E64D9" w:rsidRPr="007D0403" w:rsidRDefault="005E64D9" w:rsidP="000A5389">
            <w:pPr>
              <w:spacing w:line="240" w:lineRule="auto"/>
              <w:rPr>
                <w:rFonts w:eastAsia="Times New Roman" w:cs="Times New Roman"/>
                <w:color w:val="000000"/>
                <w:sz w:val="16"/>
                <w:szCs w:val="16"/>
                <w:lang w:eastAsia="es-CO"/>
              </w:rPr>
            </w:pPr>
            <w:r w:rsidRPr="007D0403">
              <w:rPr>
                <w:rFonts w:eastAsia="Times New Roman" w:cs="Times New Roman"/>
                <w:color w:val="000000"/>
                <w:sz w:val="16"/>
                <w:szCs w:val="16"/>
                <w:lang w:eastAsia="es-CO"/>
              </w:rPr>
              <w:t>Costas procesales</w:t>
            </w:r>
          </w:p>
        </w:tc>
        <w:tc>
          <w:tcPr>
            <w:tcW w:w="1148" w:type="pct"/>
            <w:tcBorders>
              <w:top w:val="nil"/>
              <w:left w:val="nil"/>
              <w:bottom w:val="single" w:sz="4" w:space="0" w:color="D0D0D0"/>
              <w:right w:val="single" w:sz="4" w:space="0" w:color="D0D0D0"/>
            </w:tcBorders>
            <w:vAlign w:val="center"/>
            <w:hideMark/>
          </w:tcPr>
          <w:p w14:paraId="08F7677B" w14:textId="0B992017" w:rsidR="005E64D9" w:rsidRPr="007D0403" w:rsidRDefault="005E64D9" w:rsidP="000A5389">
            <w:pPr>
              <w:spacing w:line="240" w:lineRule="auto"/>
              <w:rPr>
                <w:rFonts w:eastAsia="Times New Roman" w:cs="Times New Roman"/>
                <w:color w:val="000000"/>
                <w:sz w:val="16"/>
                <w:szCs w:val="16"/>
                <w:lang w:eastAsia="es-CO"/>
              </w:rPr>
            </w:pPr>
            <w:r w:rsidRPr="007D0403">
              <w:rPr>
                <w:rFonts w:eastAsia="Times New Roman" w:cs="Times New Roman"/>
                <w:color w:val="000000"/>
                <w:sz w:val="16"/>
                <w:szCs w:val="16"/>
                <w:lang w:eastAsia="es-CO"/>
              </w:rPr>
              <w:t xml:space="preserve">Dumar Alexander Neira Aya </w:t>
            </w:r>
          </w:p>
        </w:tc>
        <w:tc>
          <w:tcPr>
            <w:tcW w:w="596" w:type="pct"/>
            <w:tcBorders>
              <w:top w:val="nil"/>
              <w:left w:val="nil"/>
              <w:bottom w:val="single" w:sz="4" w:space="0" w:color="D0D0D0"/>
              <w:right w:val="single" w:sz="4" w:space="0" w:color="D0D0D0"/>
            </w:tcBorders>
            <w:noWrap/>
            <w:vAlign w:val="center"/>
            <w:hideMark/>
          </w:tcPr>
          <w:p w14:paraId="164983DF" w14:textId="77777777" w:rsidR="005E64D9" w:rsidRPr="007D0403" w:rsidRDefault="005E64D9" w:rsidP="000A5389">
            <w:pPr>
              <w:spacing w:line="240" w:lineRule="auto"/>
              <w:jc w:val="center"/>
              <w:rPr>
                <w:rFonts w:eastAsia="Times New Roman" w:cs="Times New Roman"/>
                <w:color w:val="000000"/>
                <w:sz w:val="16"/>
                <w:szCs w:val="16"/>
                <w:lang w:eastAsia="es-CO"/>
              </w:rPr>
            </w:pPr>
            <w:r w:rsidRPr="007D0403">
              <w:rPr>
                <w:rFonts w:eastAsia="Times New Roman" w:cs="Times New Roman"/>
                <w:color w:val="000000"/>
                <w:sz w:val="16"/>
                <w:szCs w:val="16"/>
                <w:lang w:eastAsia="es-CO"/>
              </w:rPr>
              <w:t>828.116</w:t>
            </w:r>
          </w:p>
        </w:tc>
        <w:tc>
          <w:tcPr>
            <w:tcW w:w="596" w:type="pct"/>
            <w:tcBorders>
              <w:top w:val="nil"/>
              <w:left w:val="nil"/>
              <w:bottom w:val="single" w:sz="4" w:space="0" w:color="D0D0D0"/>
              <w:right w:val="single" w:sz="4" w:space="0" w:color="D0D0D0"/>
            </w:tcBorders>
            <w:noWrap/>
            <w:vAlign w:val="center"/>
            <w:hideMark/>
          </w:tcPr>
          <w:p w14:paraId="1D54BF9B" w14:textId="77777777" w:rsidR="005E64D9" w:rsidRPr="007D0403" w:rsidRDefault="005E64D9" w:rsidP="000A5389">
            <w:pPr>
              <w:spacing w:line="240" w:lineRule="auto"/>
              <w:jc w:val="center"/>
              <w:rPr>
                <w:rFonts w:eastAsia="Times New Roman" w:cs="Times New Roman"/>
                <w:color w:val="000000"/>
                <w:sz w:val="16"/>
                <w:szCs w:val="16"/>
                <w:lang w:eastAsia="es-CO"/>
              </w:rPr>
            </w:pPr>
            <w:r w:rsidRPr="007D0403">
              <w:rPr>
                <w:rFonts w:eastAsia="Times New Roman" w:cs="Times New Roman"/>
                <w:color w:val="000000"/>
                <w:sz w:val="16"/>
                <w:szCs w:val="16"/>
                <w:lang w:eastAsia="es-CO"/>
              </w:rPr>
              <w:t>8/04/2019</w:t>
            </w:r>
          </w:p>
        </w:tc>
        <w:tc>
          <w:tcPr>
            <w:tcW w:w="596" w:type="pct"/>
            <w:tcBorders>
              <w:top w:val="nil"/>
              <w:left w:val="nil"/>
              <w:bottom w:val="single" w:sz="4" w:space="0" w:color="D0D0D0"/>
              <w:right w:val="single" w:sz="4" w:space="0" w:color="D0D0D0"/>
            </w:tcBorders>
            <w:noWrap/>
            <w:vAlign w:val="center"/>
            <w:hideMark/>
          </w:tcPr>
          <w:p w14:paraId="57475C9F" w14:textId="77777777" w:rsidR="005E64D9" w:rsidRPr="007D0403" w:rsidRDefault="005E64D9" w:rsidP="000A5389">
            <w:pPr>
              <w:spacing w:line="240" w:lineRule="auto"/>
              <w:jc w:val="center"/>
              <w:rPr>
                <w:rFonts w:eastAsia="Times New Roman" w:cs="Times New Roman"/>
                <w:color w:val="000000"/>
                <w:sz w:val="16"/>
                <w:szCs w:val="16"/>
                <w:lang w:eastAsia="es-CO"/>
              </w:rPr>
            </w:pPr>
            <w:r w:rsidRPr="007D0403">
              <w:rPr>
                <w:rFonts w:eastAsia="Times New Roman" w:cs="Times New Roman"/>
                <w:color w:val="000000"/>
                <w:sz w:val="16"/>
                <w:szCs w:val="16"/>
                <w:lang w:eastAsia="es-CO"/>
              </w:rPr>
              <w:t>11/07/2019</w:t>
            </w:r>
          </w:p>
        </w:tc>
        <w:tc>
          <w:tcPr>
            <w:tcW w:w="349" w:type="pct"/>
            <w:tcBorders>
              <w:top w:val="nil"/>
              <w:left w:val="nil"/>
              <w:bottom w:val="single" w:sz="4" w:space="0" w:color="D0D0D0"/>
              <w:right w:val="single" w:sz="4" w:space="0" w:color="D0D0D0"/>
            </w:tcBorders>
            <w:noWrap/>
            <w:vAlign w:val="center"/>
            <w:hideMark/>
          </w:tcPr>
          <w:p w14:paraId="67B92C41" w14:textId="77777777" w:rsidR="005E64D9" w:rsidRPr="007D0403" w:rsidRDefault="005E64D9" w:rsidP="000A5389">
            <w:pPr>
              <w:spacing w:line="240" w:lineRule="auto"/>
              <w:jc w:val="center"/>
              <w:rPr>
                <w:rFonts w:eastAsia="Times New Roman" w:cs="Times New Roman"/>
                <w:color w:val="000000"/>
                <w:sz w:val="16"/>
                <w:szCs w:val="16"/>
                <w:lang w:eastAsia="es-CO"/>
              </w:rPr>
            </w:pPr>
            <w:r w:rsidRPr="007D0403">
              <w:rPr>
                <w:rFonts w:eastAsia="Times New Roman" w:cs="Times New Roman"/>
                <w:color w:val="000000"/>
                <w:sz w:val="16"/>
                <w:szCs w:val="16"/>
                <w:lang w:eastAsia="es-CO"/>
              </w:rPr>
              <w:t>12%</w:t>
            </w:r>
          </w:p>
        </w:tc>
        <w:tc>
          <w:tcPr>
            <w:tcW w:w="915" w:type="pct"/>
            <w:gridSpan w:val="2"/>
            <w:tcBorders>
              <w:top w:val="single" w:sz="4" w:space="0" w:color="D0D0D0"/>
              <w:left w:val="nil"/>
              <w:bottom w:val="single" w:sz="4" w:space="0" w:color="D0D0D0"/>
              <w:right w:val="single" w:sz="4" w:space="0" w:color="D0D0D0"/>
            </w:tcBorders>
            <w:vAlign w:val="center"/>
            <w:hideMark/>
          </w:tcPr>
          <w:p w14:paraId="45E3BA6A" w14:textId="77777777" w:rsidR="005E64D9" w:rsidRPr="007D0403" w:rsidRDefault="005E64D9" w:rsidP="000A5389">
            <w:pPr>
              <w:spacing w:line="240" w:lineRule="auto"/>
              <w:jc w:val="center"/>
              <w:rPr>
                <w:rFonts w:eastAsia="Times New Roman" w:cs="Times New Roman"/>
                <w:color w:val="000000"/>
                <w:sz w:val="16"/>
                <w:szCs w:val="16"/>
                <w:lang w:eastAsia="es-CO"/>
              </w:rPr>
            </w:pPr>
            <w:r w:rsidRPr="007D0403">
              <w:rPr>
                <w:rFonts w:eastAsia="Times New Roman" w:cs="Times New Roman"/>
                <w:color w:val="000000"/>
                <w:sz w:val="16"/>
                <w:szCs w:val="16"/>
                <w:lang w:eastAsia="es-CO"/>
              </w:rPr>
              <w:t>11/07/2019</w:t>
            </w:r>
          </w:p>
        </w:tc>
      </w:tr>
      <w:tr w:rsidR="005E64D9" w:rsidRPr="007D0403" w14:paraId="7386D54A" w14:textId="77777777" w:rsidTr="005E64D9">
        <w:trPr>
          <w:trHeight w:val="539"/>
          <w:jc w:val="center"/>
        </w:trPr>
        <w:tc>
          <w:tcPr>
            <w:tcW w:w="800" w:type="pct"/>
            <w:tcBorders>
              <w:top w:val="nil"/>
              <w:left w:val="single" w:sz="4" w:space="0" w:color="D0D0D0"/>
              <w:bottom w:val="single" w:sz="4" w:space="0" w:color="D0D0D0"/>
              <w:right w:val="single" w:sz="4" w:space="0" w:color="D0D0D0"/>
            </w:tcBorders>
            <w:noWrap/>
            <w:vAlign w:val="center"/>
            <w:hideMark/>
          </w:tcPr>
          <w:p w14:paraId="7FF30E18" w14:textId="77777777" w:rsidR="005E64D9" w:rsidRPr="007D0403" w:rsidRDefault="005E64D9" w:rsidP="000A5389">
            <w:pPr>
              <w:spacing w:line="240" w:lineRule="auto"/>
              <w:rPr>
                <w:rFonts w:eastAsia="Times New Roman" w:cs="Times New Roman"/>
                <w:color w:val="000000"/>
                <w:sz w:val="16"/>
                <w:szCs w:val="16"/>
                <w:lang w:eastAsia="es-CO"/>
              </w:rPr>
            </w:pPr>
            <w:r w:rsidRPr="007D0403">
              <w:rPr>
                <w:rFonts w:eastAsia="Times New Roman" w:cs="Times New Roman"/>
                <w:color w:val="000000"/>
                <w:sz w:val="16"/>
                <w:szCs w:val="16"/>
                <w:lang w:eastAsia="es-CO"/>
              </w:rPr>
              <w:t>Costas procesales</w:t>
            </w:r>
          </w:p>
        </w:tc>
        <w:tc>
          <w:tcPr>
            <w:tcW w:w="1148" w:type="pct"/>
            <w:tcBorders>
              <w:top w:val="nil"/>
              <w:left w:val="nil"/>
              <w:bottom w:val="single" w:sz="4" w:space="0" w:color="D0D0D0"/>
              <w:right w:val="single" w:sz="4" w:space="0" w:color="D0D0D0"/>
            </w:tcBorders>
            <w:vAlign w:val="center"/>
            <w:hideMark/>
          </w:tcPr>
          <w:p w14:paraId="2A70A64E" w14:textId="5E50E351" w:rsidR="005E64D9" w:rsidRPr="007D0403" w:rsidRDefault="005E64D9" w:rsidP="000A5389">
            <w:pPr>
              <w:spacing w:line="240" w:lineRule="auto"/>
              <w:rPr>
                <w:rFonts w:eastAsia="Times New Roman" w:cs="Times New Roman"/>
                <w:color w:val="000000"/>
                <w:sz w:val="16"/>
                <w:szCs w:val="16"/>
                <w:lang w:eastAsia="es-CO"/>
              </w:rPr>
            </w:pPr>
            <w:r w:rsidRPr="007D0403">
              <w:rPr>
                <w:rFonts w:eastAsia="Times New Roman" w:cs="Times New Roman"/>
                <w:color w:val="000000"/>
                <w:sz w:val="16"/>
                <w:szCs w:val="16"/>
                <w:lang w:eastAsia="es-CO"/>
              </w:rPr>
              <w:t xml:space="preserve">Jairo Mauricio Merchan Acosta </w:t>
            </w:r>
          </w:p>
        </w:tc>
        <w:tc>
          <w:tcPr>
            <w:tcW w:w="596" w:type="pct"/>
            <w:tcBorders>
              <w:top w:val="nil"/>
              <w:left w:val="nil"/>
              <w:bottom w:val="single" w:sz="4" w:space="0" w:color="D0D0D0"/>
              <w:right w:val="single" w:sz="4" w:space="0" w:color="D0D0D0"/>
            </w:tcBorders>
            <w:noWrap/>
            <w:vAlign w:val="center"/>
            <w:hideMark/>
          </w:tcPr>
          <w:p w14:paraId="3EA8D447" w14:textId="77777777" w:rsidR="005E64D9" w:rsidRPr="007D0403" w:rsidRDefault="005E64D9" w:rsidP="000A5389">
            <w:pPr>
              <w:spacing w:line="240" w:lineRule="auto"/>
              <w:jc w:val="center"/>
              <w:rPr>
                <w:rFonts w:eastAsia="Times New Roman" w:cs="Times New Roman"/>
                <w:color w:val="000000"/>
                <w:sz w:val="16"/>
                <w:szCs w:val="16"/>
                <w:lang w:eastAsia="es-CO"/>
              </w:rPr>
            </w:pPr>
            <w:r w:rsidRPr="007D0403">
              <w:rPr>
                <w:rFonts w:eastAsia="Times New Roman" w:cs="Times New Roman"/>
                <w:color w:val="000000"/>
                <w:sz w:val="16"/>
                <w:szCs w:val="16"/>
                <w:lang w:eastAsia="es-CO"/>
              </w:rPr>
              <w:t>826.116</w:t>
            </w:r>
          </w:p>
        </w:tc>
        <w:tc>
          <w:tcPr>
            <w:tcW w:w="596" w:type="pct"/>
            <w:tcBorders>
              <w:top w:val="nil"/>
              <w:left w:val="nil"/>
              <w:bottom w:val="single" w:sz="4" w:space="0" w:color="D0D0D0"/>
              <w:right w:val="single" w:sz="4" w:space="0" w:color="D0D0D0"/>
            </w:tcBorders>
            <w:noWrap/>
            <w:vAlign w:val="center"/>
            <w:hideMark/>
          </w:tcPr>
          <w:p w14:paraId="6DE48EBE" w14:textId="77777777" w:rsidR="005E64D9" w:rsidRPr="007D0403" w:rsidRDefault="005E64D9" w:rsidP="000A5389">
            <w:pPr>
              <w:spacing w:line="240" w:lineRule="auto"/>
              <w:jc w:val="center"/>
              <w:rPr>
                <w:rFonts w:eastAsia="Times New Roman" w:cs="Times New Roman"/>
                <w:color w:val="000000"/>
                <w:sz w:val="16"/>
                <w:szCs w:val="16"/>
                <w:lang w:eastAsia="es-CO"/>
              </w:rPr>
            </w:pPr>
            <w:r w:rsidRPr="007D0403">
              <w:rPr>
                <w:rFonts w:eastAsia="Times New Roman" w:cs="Times New Roman"/>
                <w:color w:val="000000"/>
                <w:sz w:val="16"/>
                <w:szCs w:val="16"/>
                <w:lang w:eastAsia="es-CO"/>
              </w:rPr>
              <w:t>1/09/2020</w:t>
            </w:r>
          </w:p>
        </w:tc>
        <w:tc>
          <w:tcPr>
            <w:tcW w:w="596" w:type="pct"/>
            <w:tcBorders>
              <w:top w:val="nil"/>
              <w:left w:val="nil"/>
              <w:bottom w:val="single" w:sz="4" w:space="0" w:color="D0D0D0"/>
              <w:right w:val="single" w:sz="4" w:space="0" w:color="D0D0D0"/>
            </w:tcBorders>
            <w:noWrap/>
            <w:vAlign w:val="center"/>
            <w:hideMark/>
          </w:tcPr>
          <w:p w14:paraId="7444FEE3" w14:textId="77777777" w:rsidR="005E64D9" w:rsidRPr="007D0403" w:rsidRDefault="005E64D9" w:rsidP="000A5389">
            <w:pPr>
              <w:spacing w:line="240" w:lineRule="auto"/>
              <w:jc w:val="center"/>
              <w:rPr>
                <w:rFonts w:eastAsia="Times New Roman" w:cs="Times New Roman"/>
                <w:color w:val="000000"/>
                <w:sz w:val="16"/>
                <w:szCs w:val="16"/>
                <w:lang w:eastAsia="es-CO"/>
              </w:rPr>
            </w:pPr>
            <w:r w:rsidRPr="007D0403">
              <w:rPr>
                <w:rFonts w:eastAsia="Times New Roman" w:cs="Times New Roman"/>
                <w:color w:val="000000"/>
                <w:sz w:val="16"/>
                <w:szCs w:val="16"/>
                <w:lang w:eastAsia="es-CO"/>
              </w:rPr>
              <w:t>3/12/2020</w:t>
            </w:r>
          </w:p>
        </w:tc>
        <w:tc>
          <w:tcPr>
            <w:tcW w:w="349" w:type="pct"/>
            <w:tcBorders>
              <w:top w:val="nil"/>
              <w:left w:val="nil"/>
              <w:bottom w:val="single" w:sz="4" w:space="0" w:color="D0D0D0"/>
              <w:right w:val="single" w:sz="4" w:space="0" w:color="D0D0D0"/>
            </w:tcBorders>
            <w:noWrap/>
            <w:vAlign w:val="center"/>
            <w:hideMark/>
          </w:tcPr>
          <w:p w14:paraId="15F35203" w14:textId="77777777" w:rsidR="005E64D9" w:rsidRPr="007D0403" w:rsidRDefault="005E64D9" w:rsidP="000A5389">
            <w:pPr>
              <w:spacing w:line="240" w:lineRule="auto"/>
              <w:jc w:val="center"/>
              <w:rPr>
                <w:rFonts w:eastAsia="Times New Roman" w:cs="Times New Roman"/>
                <w:color w:val="000000"/>
                <w:sz w:val="16"/>
                <w:szCs w:val="16"/>
                <w:lang w:eastAsia="es-CO"/>
              </w:rPr>
            </w:pPr>
            <w:r w:rsidRPr="007D0403">
              <w:rPr>
                <w:rFonts w:eastAsia="Times New Roman" w:cs="Times New Roman"/>
                <w:color w:val="000000"/>
                <w:sz w:val="16"/>
                <w:szCs w:val="16"/>
                <w:lang w:eastAsia="es-CO"/>
              </w:rPr>
              <w:t>12%</w:t>
            </w:r>
          </w:p>
        </w:tc>
        <w:tc>
          <w:tcPr>
            <w:tcW w:w="915" w:type="pct"/>
            <w:gridSpan w:val="2"/>
            <w:tcBorders>
              <w:top w:val="single" w:sz="4" w:space="0" w:color="D0D0D0"/>
              <w:left w:val="nil"/>
              <w:bottom w:val="single" w:sz="4" w:space="0" w:color="D0D0D0"/>
              <w:right w:val="single" w:sz="4" w:space="0" w:color="D0D0D0"/>
            </w:tcBorders>
            <w:vAlign w:val="center"/>
            <w:hideMark/>
          </w:tcPr>
          <w:p w14:paraId="329E0732" w14:textId="77777777" w:rsidR="005E64D9" w:rsidRPr="007D0403" w:rsidRDefault="005E64D9" w:rsidP="000A5389">
            <w:pPr>
              <w:spacing w:line="240" w:lineRule="auto"/>
              <w:jc w:val="center"/>
              <w:rPr>
                <w:rFonts w:eastAsia="Times New Roman" w:cs="Times New Roman"/>
                <w:color w:val="000000"/>
                <w:sz w:val="16"/>
                <w:szCs w:val="16"/>
                <w:lang w:eastAsia="es-CO"/>
              </w:rPr>
            </w:pPr>
            <w:r w:rsidRPr="007D0403">
              <w:rPr>
                <w:rFonts w:eastAsia="Times New Roman" w:cs="Times New Roman"/>
                <w:color w:val="000000"/>
                <w:sz w:val="16"/>
                <w:szCs w:val="16"/>
                <w:lang w:eastAsia="es-CO"/>
              </w:rPr>
              <w:t>3/12/2020</w:t>
            </w:r>
          </w:p>
        </w:tc>
      </w:tr>
      <w:tr w:rsidR="005E64D9" w:rsidRPr="007D0403" w14:paraId="006DDB36" w14:textId="77777777" w:rsidTr="005E64D9">
        <w:trPr>
          <w:trHeight w:val="635"/>
          <w:jc w:val="center"/>
        </w:trPr>
        <w:tc>
          <w:tcPr>
            <w:tcW w:w="800" w:type="pct"/>
            <w:tcBorders>
              <w:top w:val="nil"/>
              <w:left w:val="single" w:sz="4" w:space="0" w:color="D0D0D0"/>
              <w:bottom w:val="single" w:sz="4" w:space="0" w:color="D0D0D0"/>
              <w:right w:val="single" w:sz="4" w:space="0" w:color="D0D0D0"/>
            </w:tcBorders>
            <w:noWrap/>
            <w:vAlign w:val="center"/>
            <w:hideMark/>
          </w:tcPr>
          <w:p w14:paraId="16B166B4" w14:textId="77777777" w:rsidR="005E64D9" w:rsidRPr="007D0403" w:rsidRDefault="005E64D9" w:rsidP="000A5389">
            <w:pPr>
              <w:spacing w:line="240" w:lineRule="auto"/>
              <w:rPr>
                <w:rFonts w:eastAsia="Times New Roman" w:cs="Times New Roman"/>
                <w:color w:val="000000"/>
                <w:sz w:val="16"/>
                <w:szCs w:val="16"/>
                <w:lang w:eastAsia="es-CO"/>
              </w:rPr>
            </w:pPr>
            <w:r w:rsidRPr="007D0403">
              <w:rPr>
                <w:rFonts w:eastAsia="Times New Roman" w:cs="Times New Roman"/>
                <w:color w:val="000000"/>
                <w:sz w:val="16"/>
                <w:szCs w:val="16"/>
                <w:lang w:eastAsia="es-CO"/>
              </w:rPr>
              <w:t>Costas procesales</w:t>
            </w:r>
          </w:p>
        </w:tc>
        <w:tc>
          <w:tcPr>
            <w:tcW w:w="1148" w:type="pct"/>
            <w:tcBorders>
              <w:top w:val="nil"/>
              <w:left w:val="nil"/>
              <w:bottom w:val="single" w:sz="4" w:space="0" w:color="D0D0D0"/>
              <w:right w:val="single" w:sz="4" w:space="0" w:color="D0D0D0"/>
            </w:tcBorders>
            <w:vAlign w:val="center"/>
            <w:hideMark/>
          </w:tcPr>
          <w:p w14:paraId="2EBDD3BE" w14:textId="5BDC3576" w:rsidR="005E64D9" w:rsidRPr="007D0403" w:rsidRDefault="005E64D9" w:rsidP="000A5389">
            <w:pPr>
              <w:spacing w:line="240" w:lineRule="auto"/>
              <w:rPr>
                <w:rFonts w:eastAsia="Times New Roman" w:cs="Times New Roman"/>
                <w:color w:val="000000"/>
                <w:sz w:val="16"/>
                <w:szCs w:val="16"/>
                <w:lang w:eastAsia="es-CO"/>
              </w:rPr>
            </w:pPr>
            <w:r w:rsidRPr="007D0403">
              <w:rPr>
                <w:rFonts w:eastAsia="Times New Roman" w:cs="Times New Roman"/>
                <w:color w:val="000000"/>
                <w:sz w:val="16"/>
                <w:szCs w:val="16"/>
                <w:lang w:eastAsia="es-CO"/>
              </w:rPr>
              <w:t xml:space="preserve">José María Hernández Solarte </w:t>
            </w:r>
          </w:p>
        </w:tc>
        <w:tc>
          <w:tcPr>
            <w:tcW w:w="596" w:type="pct"/>
            <w:tcBorders>
              <w:top w:val="nil"/>
              <w:left w:val="nil"/>
              <w:bottom w:val="single" w:sz="4" w:space="0" w:color="D0D0D0"/>
              <w:right w:val="single" w:sz="4" w:space="0" w:color="D0D0D0"/>
            </w:tcBorders>
            <w:noWrap/>
            <w:vAlign w:val="center"/>
            <w:hideMark/>
          </w:tcPr>
          <w:p w14:paraId="4370FD62" w14:textId="77777777" w:rsidR="005E64D9" w:rsidRPr="007D0403" w:rsidRDefault="005E64D9" w:rsidP="000A5389">
            <w:pPr>
              <w:spacing w:line="240" w:lineRule="auto"/>
              <w:jc w:val="center"/>
              <w:rPr>
                <w:rFonts w:eastAsia="Times New Roman" w:cs="Times New Roman"/>
                <w:color w:val="000000"/>
                <w:sz w:val="16"/>
                <w:szCs w:val="16"/>
                <w:lang w:eastAsia="es-CO"/>
              </w:rPr>
            </w:pPr>
            <w:r w:rsidRPr="007D0403">
              <w:rPr>
                <w:rFonts w:eastAsia="Times New Roman" w:cs="Times New Roman"/>
                <w:color w:val="000000"/>
                <w:sz w:val="16"/>
                <w:szCs w:val="16"/>
                <w:lang w:eastAsia="es-CO"/>
              </w:rPr>
              <w:t>811.700</w:t>
            </w:r>
          </w:p>
        </w:tc>
        <w:tc>
          <w:tcPr>
            <w:tcW w:w="596" w:type="pct"/>
            <w:tcBorders>
              <w:top w:val="nil"/>
              <w:left w:val="nil"/>
              <w:bottom w:val="single" w:sz="4" w:space="0" w:color="D0D0D0"/>
              <w:right w:val="single" w:sz="4" w:space="0" w:color="D0D0D0"/>
            </w:tcBorders>
            <w:noWrap/>
            <w:vAlign w:val="center"/>
            <w:hideMark/>
          </w:tcPr>
          <w:p w14:paraId="60B57EE1" w14:textId="77777777" w:rsidR="005E64D9" w:rsidRPr="007D0403" w:rsidRDefault="005E64D9" w:rsidP="000A5389">
            <w:pPr>
              <w:spacing w:line="240" w:lineRule="auto"/>
              <w:jc w:val="center"/>
              <w:rPr>
                <w:rFonts w:eastAsia="Times New Roman" w:cs="Times New Roman"/>
                <w:color w:val="000000"/>
                <w:sz w:val="16"/>
                <w:szCs w:val="16"/>
                <w:lang w:eastAsia="es-CO"/>
              </w:rPr>
            </w:pPr>
            <w:r w:rsidRPr="007D0403">
              <w:rPr>
                <w:rFonts w:eastAsia="Times New Roman" w:cs="Times New Roman"/>
                <w:color w:val="000000"/>
                <w:sz w:val="16"/>
                <w:szCs w:val="16"/>
                <w:lang w:eastAsia="es-CO"/>
              </w:rPr>
              <w:t>Sin T.E.</w:t>
            </w:r>
          </w:p>
        </w:tc>
        <w:tc>
          <w:tcPr>
            <w:tcW w:w="596" w:type="pct"/>
            <w:tcBorders>
              <w:top w:val="nil"/>
              <w:left w:val="nil"/>
              <w:bottom w:val="single" w:sz="4" w:space="0" w:color="D0D0D0"/>
              <w:right w:val="single" w:sz="4" w:space="0" w:color="D0D0D0"/>
            </w:tcBorders>
            <w:noWrap/>
            <w:vAlign w:val="center"/>
            <w:hideMark/>
          </w:tcPr>
          <w:p w14:paraId="2DD15542" w14:textId="77777777" w:rsidR="005E64D9" w:rsidRPr="007D0403" w:rsidRDefault="005E64D9" w:rsidP="000A5389">
            <w:pPr>
              <w:spacing w:line="240" w:lineRule="auto"/>
              <w:jc w:val="center"/>
              <w:rPr>
                <w:rFonts w:eastAsia="Times New Roman" w:cs="Times New Roman"/>
                <w:color w:val="000000"/>
                <w:sz w:val="16"/>
                <w:szCs w:val="16"/>
                <w:lang w:eastAsia="es-CO"/>
              </w:rPr>
            </w:pPr>
            <w:r w:rsidRPr="007D0403">
              <w:rPr>
                <w:rFonts w:eastAsia="Times New Roman" w:cs="Times New Roman"/>
                <w:color w:val="000000"/>
                <w:sz w:val="16"/>
                <w:szCs w:val="16"/>
                <w:lang w:eastAsia="es-CO"/>
              </w:rPr>
              <w:t>Sin T.E.</w:t>
            </w:r>
          </w:p>
        </w:tc>
        <w:tc>
          <w:tcPr>
            <w:tcW w:w="349" w:type="pct"/>
            <w:tcBorders>
              <w:top w:val="nil"/>
              <w:left w:val="nil"/>
              <w:bottom w:val="single" w:sz="4" w:space="0" w:color="D0D0D0"/>
              <w:right w:val="single" w:sz="4" w:space="0" w:color="D0D0D0"/>
            </w:tcBorders>
            <w:noWrap/>
            <w:vAlign w:val="center"/>
            <w:hideMark/>
          </w:tcPr>
          <w:p w14:paraId="52C07E72" w14:textId="77777777" w:rsidR="005E64D9" w:rsidRPr="007D0403" w:rsidRDefault="005E64D9" w:rsidP="000A5389">
            <w:pPr>
              <w:spacing w:line="240" w:lineRule="auto"/>
              <w:jc w:val="center"/>
              <w:rPr>
                <w:rFonts w:eastAsia="Times New Roman" w:cs="Times New Roman"/>
                <w:color w:val="000000"/>
                <w:sz w:val="16"/>
                <w:szCs w:val="16"/>
                <w:lang w:eastAsia="es-CO"/>
              </w:rPr>
            </w:pPr>
            <w:r w:rsidRPr="007D0403">
              <w:rPr>
                <w:rFonts w:eastAsia="Times New Roman" w:cs="Times New Roman"/>
                <w:color w:val="000000"/>
                <w:sz w:val="16"/>
                <w:szCs w:val="16"/>
                <w:lang w:eastAsia="es-CO"/>
              </w:rPr>
              <w:t>12%</w:t>
            </w:r>
          </w:p>
        </w:tc>
        <w:tc>
          <w:tcPr>
            <w:tcW w:w="915" w:type="pct"/>
            <w:gridSpan w:val="2"/>
            <w:tcBorders>
              <w:top w:val="single" w:sz="4" w:space="0" w:color="D0D0D0"/>
              <w:left w:val="nil"/>
              <w:bottom w:val="single" w:sz="4" w:space="0" w:color="D0D0D0"/>
              <w:right w:val="single" w:sz="4" w:space="0" w:color="D0D0D0"/>
            </w:tcBorders>
            <w:vAlign w:val="center"/>
            <w:hideMark/>
          </w:tcPr>
          <w:p w14:paraId="3DBFC178" w14:textId="77777777" w:rsidR="005E64D9" w:rsidRPr="007D0403" w:rsidRDefault="005E64D9" w:rsidP="000A5389">
            <w:pPr>
              <w:spacing w:line="240" w:lineRule="auto"/>
              <w:jc w:val="center"/>
              <w:rPr>
                <w:rFonts w:eastAsia="Times New Roman" w:cs="Times New Roman"/>
                <w:color w:val="000000"/>
                <w:sz w:val="16"/>
                <w:szCs w:val="16"/>
                <w:lang w:eastAsia="es-CO"/>
              </w:rPr>
            </w:pPr>
            <w:r w:rsidRPr="007D0403">
              <w:rPr>
                <w:rFonts w:eastAsia="Times New Roman" w:cs="Times New Roman"/>
                <w:color w:val="000000"/>
                <w:sz w:val="16"/>
                <w:szCs w:val="16"/>
                <w:lang w:eastAsia="es-CO"/>
              </w:rPr>
              <w:t>Sin T.E.</w:t>
            </w:r>
          </w:p>
        </w:tc>
      </w:tr>
      <w:tr w:rsidR="005E64D9" w:rsidRPr="007D0403" w14:paraId="16DD112E" w14:textId="77777777" w:rsidTr="005E64D9">
        <w:trPr>
          <w:trHeight w:val="387"/>
          <w:jc w:val="center"/>
        </w:trPr>
        <w:tc>
          <w:tcPr>
            <w:tcW w:w="800" w:type="pct"/>
            <w:tcBorders>
              <w:top w:val="nil"/>
              <w:left w:val="single" w:sz="4" w:space="0" w:color="D0D0D0"/>
              <w:bottom w:val="single" w:sz="4" w:space="0" w:color="D0D0D0"/>
              <w:right w:val="single" w:sz="4" w:space="0" w:color="D0D0D0"/>
            </w:tcBorders>
            <w:noWrap/>
            <w:vAlign w:val="center"/>
            <w:hideMark/>
          </w:tcPr>
          <w:p w14:paraId="117F4617" w14:textId="77777777" w:rsidR="005E64D9" w:rsidRPr="007D0403" w:rsidRDefault="005E64D9" w:rsidP="000A5389">
            <w:pPr>
              <w:spacing w:line="240" w:lineRule="auto"/>
              <w:rPr>
                <w:rFonts w:eastAsia="Times New Roman" w:cs="Times New Roman"/>
                <w:color w:val="000000"/>
                <w:sz w:val="16"/>
                <w:szCs w:val="16"/>
                <w:lang w:eastAsia="es-CO"/>
              </w:rPr>
            </w:pPr>
            <w:r w:rsidRPr="007D0403">
              <w:rPr>
                <w:rFonts w:eastAsia="Times New Roman" w:cs="Times New Roman"/>
                <w:color w:val="000000"/>
                <w:sz w:val="16"/>
                <w:szCs w:val="16"/>
                <w:lang w:eastAsia="es-CO"/>
              </w:rPr>
              <w:t>Costas procesales</w:t>
            </w:r>
          </w:p>
        </w:tc>
        <w:tc>
          <w:tcPr>
            <w:tcW w:w="1148" w:type="pct"/>
            <w:tcBorders>
              <w:top w:val="nil"/>
              <w:left w:val="nil"/>
              <w:bottom w:val="single" w:sz="4" w:space="0" w:color="D0D0D0"/>
              <w:right w:val="single" w:sz="4" w:space="0" w:color="D0D0D0"/>
            </w:tcBorders>
            <w:vAlign w:val="center"/>
            <w:hideMark/>
          </w:tcPr>
          <w:p w14:paraId="5AB09EEC" w14:textId="37F9386E" w:rsidR="005E64D9" w:rsidRPr="007D0403" w:rsidRDefault="005E64D9" w:rsidP="000A5389">
            <w:pPr>
              <w:spacing w:line="240" w:lineRule="auto"/>
              <w:rPr>
                <w:rFonts w:eastAsia="Times New Roman" w:cs="Times New Roman"/>
                <w:color w:val="000000"/>
                <w:sz w:val="16"/>
                <w:szCs w:val="16"/>
                <w:lang w:eastAsia="es-CO"/>
              </w:rPr>
            </w:pPr>
            <w:r w:rsidRPr="007D0403">
              <w:rPr>
                <w:rFonts w:eastAsia="Times New Roman" w:cs="Times New Roman"/>
                <w:color w:val="000000"/>
                <w:sz w:val="16"/>
                <w:szCs w:val="16"/>
                <w:lang w:eastAsia="es-CO"/>
              </w:rPr>
              <w:t xml:space="preserve">Pedro Hernan Cruz Suarez </w:t>
            </w:r>
          </w:p>
        </w:tc>
        <w:tc>
          <w:tcPr>
            <w:tcW w:w="596" w:type="pct"/>
            <w:tcBorders>
              <w:top w:val="nil"/>
              <w:left w:val="nil"/>
              <w:bottom w:val="single" w:sz="4" w:space="0" w:color="D0D0D0"/>
              <w:right w:val="single" w:sz="4" w:space="0" w:color="D0D0D0"/>
            </w:tcBorders>
            <w:noWrap/>
            <w:vAlign w:val="center"/>
            <w:hideMark/>
          </w:tcPr>
          <w:p w14:paraId="44CD9C69" w14:textId="77777777" w:rsidR="005E64D9" w:rsidRPr="007D0403" w:rsidRDefault="005E64D9" w:rsidP="000A5389">
            <w:pPr>
              <w:spacing w:line="240" w:lineRule="auto"/>
              <w:jc w:val="center"/>
              <w:rPr>
                <w:rFonts w:eastAsia="Times New Roman" w:cs="Times New Roman"/>
                <w:color w:val="000000"/>
                <w:sz w:val="16"/>
                <w:szCs w:val="16"/>
                <w:lang w:eastAsia="es-CO"/>
              </w:rPr>
            </w:pPr>
            <w:r w:rsidRPr="007D0403">
              <w:rPr>
                <w:rFonts w:eastAsia="Times New Roman" w:cs="Times New Roman"/>
                <w:color w:val="000000"/>
                <w:sz w:val="16"/>
                <w:szCs w:val="16"/>
                <w:lang w:eastAsia="es-CO"/>
              </w:rPr>
              <w:t>643.335</w:t>
            </w:r>
          </w:p>
        </w:tc>
        <w:tc>
          <w:tcPr>
            <w:tcW w:w="596" w:type="pct"/>
            <w:tcBorders>
              <w:top w:val="nil"/>
              <w:left w:val="nil"/>
              <w:bottom w:val="single" w:sz="4" w:space="0" w:color="D0D0D0"/>
              <w:right w:val="single" w:sz="4" w:space="0" w:color="D0D0D0"/>
            </w:tcBorders>
            <w:noWrap/>
            <w:vAlign w:val="center"/>
            <w:hideMark/>
          </w:tcPr>
          <w:p w14:paraId="1EF6540B" w14:textId="77777777" w:rsidR="005E64D9" w:rsidRPr="007D0403" w:rsidRDefault="005E64D9" w:rsidP="000A5389">
            <w:pPr>
              <w:spacing w:line="240" w:lineRule="auto"/>
              <w:jc w:val="center"/>
              <w:rPr>
                <w:rFonts w:eastAsia="Times New Roman" w:cs="Times New Roman"/>
                <w:color w:val="000000"/>
                <w:sz w:val="16"/>
                <w:szCs w:val="16"/>
                <w:lang w:eastAsia="es-CO"/>
              </w:rPr>
            </w:pPr>
            <w:r w:rsidRPr="007D0403">
              <w:rPr>
                <w:rFonts w:eastAsia="Times New Roman" w:cs="Times New Roman"/>
                <w:color w:val="000000"/>
                <w:sz w:val="16"/>
                <w:szCs w:val="16"/>
                <w:lang w:eastAsia="es-CO"/>
              </w:rPr>
              <w:t>31/07/2019</w:t>
            </w:r>
          </w:p>
        </w:tc>
        <w:tc>
          <w:tcPr>
            <w:tcW w:w="596" w:type="pct"/>
            <w:tcBorders>
              <w:top w:val="nil"/>
              <w:left w:val="nil"/>
              <w:bottom w:val="single" w:sz="4" w:space="0" w:color="D0D0D0"/>
              <w:right w:val="single" w:sz="4" w:space="0" w:color="D0D0D0"/>
            </w:tcBorders>
            <w:noWrap/>
            <w:vAlign w:val="center"/>
            <w:hideMark/>
          </w:tcPr>
          <w:p w14:paraId="6B02F30D" w14:textId="77777777" w:rsidR="005E64D9" w:rsidRPr="007D0403" w:rsidRDefault="005E64D9" w:rsidP="000A5389">
            <w:pPr>
              <w:spacing w:line="240" w:lineRule="auto"/>
              <w:jc w:val="center"/>
              <w:rPr>
                <w:rFonts w:eastAsia="Times New Roman" w:cs="Times New Roman"/>
                <w:color w:val="000000"/>
                <w:sz w:val="16"/>
                <w:szCs w:val="16"/>
                <w:lang w:eastAsia="es-CO"/>
              </w:rPr>
            </w:pPr>
            <w:r w:rsidRPr="007D0403">
              <w:rPr>
                <w:rFonts w:eastAsia="Times New Roman" w:cs="Times New Roman"/>
                <w:color w:val="000000"/>
                <w:sz w:val="16"/>
                <w:szCs w:val="16"/>
                <w:lang w:eastAsia="es-CO"/>
              </w:rPr>
              <w:t>21/09/2020</w:t>
            </w:r>
          </w:p>
        </w:tc>
        <w:tc>
          <w:tcPr>
            <w:tcW w:w="349" w:type="pct"/>
            <w:tcBorders>
              <w:top w:val="nil"/>
              <w:left w:val="nil"/>
              <w:bottom w:val="single" w:sz="4" w:space="0" w:color="D0D0D0"/>
              <w:right w:val="single" w:sz="4" w:space="0" w:color="D0D0D0"/>
            </w:tcBorders>
            <w:noWrap/>
            <w:vAlign w:val="center"/>
            <w:hideMark/>
          </w:tcPr>
          <w:p w14:paraId="6B331761" w14:textId="77777777" w:rsidR="005E64D9" w:rsidRPr="007D0403" w:rsidRDefault="005E64D9" w:rsidP="000A5389">
            <w:pPr>
              <w:spacing w:line="240" w:lineRule="auto"/>
              <w:jc w:val="center"/>
              <w:rPr>
                <w:rFonts w:eastAsia="Times New Roman" w:cs="Times New Roman"/>
                <w:color w:val="000000"/>
                <w:sz w:val="16"/>
                <w:szCs w:val="16"/>
                <w:lang w:eastAsia="es-CO"/>
              </w:rPr>
            </w:pPr>
            <w:r w:rsidRPr="007D0403">
              <w:rPr>
                <w:rFonts w:eastAsia="Times New Roman" w:cs="Times New Roman"/>
                <w:color w:val="000000"/>
                <w:sz w:val="16"/>
                <w:szCs w:val="16"/>
                <w:lang w:eastAsia="es-CO"/>
              </w:rPr>
              <w:t>12%</w:t>
            </w:r>
          </w:p>
        </w:tc>
        <w:tc>
          <w:tcPr>
            <w:tcW w:w="915" w:type="pct"/>
            <w:gridSpan w:val="2"/>
            <w:tcBorders>
              <w:top w:val="single" w:sz="4" w:space="0" w:color="D0D0D0"/>
              <w:left w:val="nil"/>
              <w:bottom w:val="single" w:sz="4" w:space="0" w:color="D0D0D0"/>
              <w:right w:val="single" w:sz="4" w:space="0" w:color="D0D0D0"/>
            </w:tcBorders>
            <w:vAlign w:val="center"/>
            <w:hideMark/>
          </w:tcPr>
          <w:p w14:paraId="2214E68A" w14:textId="77777777" w:rsidR="005E64D9" w:rsidRPr="007D0403" w:rsidRDefault="005E64D9" w:rsidP="000A5389">
            <w:pPr>
              <w:spacing w:line="240" w:lineRule="auto"/>
              <w:jc w:val="center"/>
              <w:rPr>
                <w:rFonts w:eastAsia="Times New Roman" w:cs="Times New Roman"/>
                <w:color w:val="000000"/>
                <w:sz w:val="16"/>
                <w:szCs w:val="16"/>
                <w:lang w:eastAsia="es-CO"/>
              </w:rPr>
            </w:pPr>
            <w:r w:rsidRPr="007D0403">
              <w:rPr>
                <w:rFonts w:eastAsia="Times New Roman" w:cs="Times New Roman"/>
                <w:color w:val="000000"/>
                <w:sz w:val="16"/>
                <w:szCs w:val="16"/>
                <w:lang w:eastAsia="es-CO"/>
              </w:rPr>
              <w:t>21/09/2020</w:t>
            </w:r>
          </w:p>
        </w:tc>
      </w:tr>
      <w:tr w:rsidR="005E64D9" w:rsidRPr="007D0403" w14:paraId="10494AE9" w14:textId="77777777" w:rsidTr="005E64D9">
        <w:trPr>
          <w:trHeight w:val="451"/>
          <w:jc w:val="center"/>
        </w:trPr>
        <w:tc>
          <w:tcPr>
            <w:tcW w:w="800" w:type="pct"/>
            <w:tcBorders>
              <w:top w:val="nil"/>
              <w:left w:val="single" w:sz="4" w:space="0" w:color="D0D0D0"/>
              <w:bottom w:val="single" w:sz="4" w:space="0" w:color="D0D0D0"/>
              <w:right w:val="single" w:sz="4" w:space="0" w:color="D0D0D0"/>
            </w:tcBorders>
            <w:noWrap/>
            <w:vAlign w:val="center"/>
            <w:hideMark/>
          </w:tcPr>
          <w:p w14:paraId="39E8CB68" w14:textId="77777777" w:rsidR="005E64D9" w:rsidRPr="007D0403" w:rsidRDefault="005E64D9" w:rsidP="000A5389">
            <w:pPr>
              <w:spacing w:line="240" w:lineRule="auto"/>
              <w:rPr>
                <w:rFonts w:eastAsia="Times New Roman" w:cs="Times New Roman"/>
                <w:color w:val="000000"/>
                <w:sz w:val="16"/>
                <w:szCs w:val="16"/>
                <w:lang w:eastAsia="es-CO"/>
              </w:rPr>
            </w:pPr>
            <w:r w:rsidRPr="007D0403">
              <w:rPr>
                <w:rFonts w:eastAsia="Times New Roman" w:cs="Times New Roman"/>
                <w:color w:val="000000"/>
                <w:sz w:val="16"/>
                <w:szCs w:val="16"/>
                <w:lang w:eastAsia="es-CO"/>
              </w:rPr>
              <w:t>Costas procesales</w:t>
            </w:r>
          </w:p>
        </w:tc>
        <w:tc>
          <w:tcPr>
            <w:tcW w:w="1148" w:type="pct"/>
            <w:tcBorders>
              <w:top w:val="nil"/>
              <w:left w:val="nil"/>
              <w:bottom w:val="single" w:sz="4" w:space="0" w:color="D0D0D0"/>
              <w:right w:val="single" w:sz="4" w:space="0" w:color="D0D0D0"/>
            </w:tcBorders>
            <w:vAlign w:val="center"/>
            <w:hideMark/>
          </w:tcPr>
          <w:p w14:paraId="32D02960" w14:textId="09D5135F" w:rsidR="005E64D9" w:rsidRPr="007D0403" w:rsidRDefault="005E64D9" w:rsidP="000A5389">
            <w:pPr>
              <w:spacing w:line="240" w:lineRule="auto"/>
              <w:rPr>
                <w:rFonts w:eastAsia="Times New Roman" w:cs="Times New Roman"/>
                <w:color w:val="000000"/>
                <w:sz w:val="16"/>
                <w:szCs w:val="16"/>
                <w:lang w:eastAsia="es-CO"/>
              </w:rPr>
            </w:pPr>
            <w:r w:rsidRPr="007D0403">
              <w:rPr>
                <w:rFonts w:eastAsia="Times New Roman" w:cs="Times New Roman"/>
                <w:color w:val="000000"/>
                <w:sz w:val="16"/>
                <w:szCs w:val="16"/>
                <w:lang w:eastAsia="es-CO"/>
              </w:rPr>
              <w:t xml:space="preserve">German Francisco Rojas Baquero </w:t>
            </w:r>
          </w:p>
        </w:tc>
        <w:tc>
          <w:tcPr>
            <w:tcW w:w="596" w:type="pct"/>
            <w:tcBorders>
              <w:top w:val="nil"/>
              <w:left w:val="nil"/>
              <w:bottom w:val="single" w:sz="4" w:space="0" w:color="D0D0D0"/>
              <w:right w:val="single" w:sz="4" w:space="0" w:color="D0D0D0"/>
            </w:tcBorders>
            <w:noWrap/>
            <w:vAlign w:val="center"/>
            <w:hideMark/>
          </w:tcPr>
          <w:p w14:paraId="76D0247C" w14:textId="77777777" w:rsidR="005E64D9" w:rsidRPr="007D0403" w:rsidRDefault="005E64D9" w:rsidP="000A5389">
            <w:pPr>
              <w:spacing w:line="240" w:lineRule="auto"/>
              <w:jc w:val="center"/>
              <w:rPr>
                <w:rFonts w:eastAsia="Times New Roman" w:cs="Times New Roman"/>
                <w:color w:val="000000"/>
                <w:sz w:val="16"/>
                <w:szCs w:val="16"/>
                <w:lang w:eastAsia="es-CO"/>
              </w:rPr>
            </w:pPr>
            <w:r w:rsidRPr="007D0403">
              <w:rPr>
                <w:rFonts w:eastAsia="Times New Roman" w:cs="Times New Roman"/>
                <w:color w:val="000000"/>
                <w:sz w:val="16"/>
                <w:szCs w:val="16"/>
                <w:lang w:eastAsia="es-CO"/>
              </w:rPr>
              <w:t>300.000</w:t>
            </w:r>
          </w:p>
        </w:tc>
        <w:tc>
          <w:tcPr>
            <w:tcW w:w="596" w:type="pct"/>
            <w:tcBorders>
              <w:top w:val="nil"/>
              <w:left w:val="nil"/>
              <w:bottom w:val="single" w:sz="4" w:space="0" w:color="D0D0D0"/>
              <w:right w:val="single" w:sz="4" w:space="0" w:color="D0D0D0"/>
            </w:tcBorders>
            <w:noWrap/>
            <w:vAlign w:val="center"/>
            <w:hideMark/>
          </w:tcPr>
          <w:p w14:paraId="2A14965E" w14:textId="77777777" w:rsidR="005E64D9" w:rsidRPr="007D0403" w:rsidRDefault="005E64D9" w:rsidP="000A5389">
            <w:pPr>
              <w:spacing w:line="240" w:lineRule="auto"/>
              <w:jc w:val="center"/>
              <w:rPr>
                <w:rFonts w:eastAsia="Times New Roman" w:cs="Times New Roman"/>
                <w:color w:val="000000"/>
                <w:sz w:val="16"/>
                <w:szCs w:val="16"/>
                <w:lang w:eastAsia="es-CO"/>
              </w:rPr>
            </w:pPr>
            <w:r w:rsidRPr="007D0403">
              <w:rPr>
                <w:rFonts w:eastAsia="Times New Roman" w:cs="Times New Roman"/>
                <w:color w:val="000000"/>
                <w:sz w:val="16"/>
                <w:szCs w:val="16"/>
                <w:lang w:eastAsia="es-CO"/>
              </w:rPr>
              <w:t>10/02/2021</w:t>
            </w:r>
          </w:p>
        </w:tc>
        <w:tc>
          <w:tcPr>
            <w:tcW w:w="596" w:type="pct"/>
            <w:tcBorders>
              <w:top w:val="nil"/>
              <w:left w:val="nil"/>
              <w:bottom w:val="single" w:sz="4" w:space="0" w:color="D0D0D0"/>
              <w:right w:val="single" w:sz="4" w:space="0" w:color="D0D0D0"/>
            </w:tcBorders>
            <w:noWrap/>
            <w:vAlign w:val="center"/>
            <w:hideMark/>
          </w:tcPr>
          <w:p w14:paraId="72D96E96" w14:textId="77777777" w:rsidR="005E64D9" w:rsidRPr="007D0403" w:rsidRDefault="005E64D9" w:rsidP="000A5389">
            <w:pPr>
              <w:spacing w:line="240" w:lineRule="auto"/>
              <w:jc w:val="center"/>
              <w:rPr>
                <w:rFonts w:eastAsia="Times New Roman" w:cs="Times New Roman"/>
                <w:color w:val="000000"/>
                <w:sz w:val="16"/>
                <w:szCs w:val="16"/>
                <w:lang w:eastAsia="es-CO"/>
              </w:rPr>
            </w:pPr>
            <w:r w:rsidRPr="007D0403">
              <w:rPr>
                <w:rFonts w:eastAsia="Times New Roman" w:cs="Times New Roman"/>
                <w:color w:val="000000"/>
                <w:sz w:val="16"/>
                <w:szCs w:val="16"/>
                <w:lang w:eastAsia="es-CO"/>
              </w:rPr>
              <w:t>12/03/2021</w:t>
            </w:r>
          </w:p>
        </w:tc>
        <w:tc>
          <w:tcPr>
            <w:tcW w:w="349" w:type="pct"/>
            <w:tcBorders>
              <w:top w:val="nil"/>
              <w:left w:val="nil"/>
              <w:bottom w:val="single" w:sz="4" w:space="0" w:color="D0D0D0"/>
              <w:right w:val="single" w:sz="4" w:space="0" w:color="D0D0D0"/>
            </w:tcBorders>
            <w:noWrap/>
            <w:vAlign w:val="center"/>
            <w:hideMark/>
          </w:tcPr>
          <w:p w14:paraId="1A74538D" w14:textId="77777777" w:rsidR="005E64D9" w:rsidRPr="007D0403" w:rsidRDefault="005E64D9" w:rsidP="000A5389">
            <w:pPr>
              <w:spacing w:line="240" w:lineRule="auto"/>
              <w:jc w:val="center"/>
              <w:rPr>
                <w:rFonts w:eastAsia="Times New Roman" w:cs="Times New Roman"/>
                <w:color w:val="000000"/>
                <w:sz w:val="16"/>
                <w:szCs w:val="16"/>
                <w:lang w:eastAsia="es-CO"/>
              </w:rPr>
            </w:pPr>
            <w:r w:rsidRPr="007D0403">
              <w:rPr>
                <w:rFonts w:eastAsia="Times New Roman" w:cs="Times New Roman"/>
                <w:color w:val="000000"/>
                <w:sz w:val="16"/>
                <w:szCs w:val="16"/>
                <w:lang w:eastAsia="es-CO"/>
              </w:rPr>
              <w:t>12%</w:t>
            </w:r>
          </w:p>
        </w:tc>
        <w:tc>
          <w:tcPr>
            <w:tcW w:w="915" w:type="pct"/>
            <w:gridSpan w:val="2"/>
            <w:tcBorders>
              <w:top w:val="single" w:sz="4" w:space="0" w:color="D0D0D0"/>
              <w:left w:val="nil"/>
              <w:bottom w:val="single" w:sz="4" w:space="0" w:color="D0D0D0"/>
              <w:right w:val="single" w:sz="4" w:space="0" w:color="D0D0D0"/>
            </w:tcBorders>
            <w:vAlign w:val="center"/>
            <w:hideMark/>
          </w:tcPr>
          <w:p w14:paraId="7BB600CA" w14:textId="77777777" w:rsidR="005E64D9" w:rsidRPr="007D0403" w:rsidRDefault="005E64D9" w:rsidP="000A5389">
            <w:pPr>
              <w:spacing w:line="240" w:lineRule="auto"/>
              <w:jc w:val="center"/>
              <w:rPr>
                <w:rFonts w:eastAsia="Times New Roman" w:cs="Times New Roman"/>
                <w:color w:val="000000"/>
                <w:sz w:val="16"/>
                <w:szCs w:val="16"/>
                <w:lang w:eastAsia="es-CO"/>
              </w:rPr>
            </w:pPr>
            <w:r w:rsidRPr="007D0403">
              <w:rPr>
                <w:rFonts w:eastAsia="Times New Roman" w:cs="Times New Roman"/>
                <w:color w:val="000000"/>
                <w:sz w:val="16"/>
                <w:szCs w:val="16"/>
                <w:lang w:eastAsia="es-CO"/>
              </w:rPr>
              <w:t>12/03/2021</w:t>
            </w:r>
          </w:p>
        </w:tc>
      </w:tr>
      <w:tr w:rsidR="005E64D9" w:rsidRPr="007D0403" w14:paraId="31DF2D41" w14:textId="77777777" w:rsidTr="005E64D9">
        <w:trPr>
          <w:trHeight w:val="219"/>
          <w:jc w:val="center"/>
        </w:trPr>
        <w:tc>
          <w:tcPr>
            <w:tcW w:w="800" w:type="pct"/>
            <w:tcBorders>
              <w:top w:val="nil"/>
              <w:left w:val="single" w:sz="4" w:space="0" w:color="D0D0D0"/>
              <w:bottom w:val="single" w:sz="4" w:space="0" w:color="D0D0D0"/>
              <w:right w:val="single" w:sz="4" w:space="0" w:color="D0D0D0"/>
            </w:tcBorders>
            <w:noWrap/>
            <w:vAlign w:val="center"/>
            <w:hideMark/>
          </w:tcPr>
          <w:p w14:paraId="66CB7421" w14:textId="77777777" w:rsidR="005E64D9" w:rsidRPr="007D0403" w:rsidRDefault="005E64D9" w:rsidP="000A5389">
            <w:pPr>
              <w:spacing w:line="240" w:lineRule="auto"/>
              <w:rPr>
                <w:rFonts w:eastAsia="Times New Roman" w:cs="Times New Roman"/>
                <w:color w:val="000000"/>
                <w:sz w:val="16"/>
                <w:szCs w:val="16"/>
                <w:lang w:eastAsia="es-CO"/>
              </w:rPr>
            </w:pPr>
            <w:r w:rsidRPr="007D0403">
              <w:rPr>
                <w:rFonts w:eastAsia="Times New Roman" w:cs="Times New Roman"/>
                <w:color w:val="000000"/>
                <w:sz w:val="16"/>
                <w:szCs w:val="16"/>
                <w:lang w:eastAsia="es-CO"/>
              </w:rPr>
              <w:t>Costas procesales</w:t>
            </w:r>
          </w:p>
        </w:tc>
        <w:tc>
          <w:tcPr>
            <w:tcW w:w="1148" w:type="pct"/>
            <w:tcBorders>
              <w:top w:val="nil"/>
              <w:left w:val="nil"/>
              <w:bottom w:val="single" w:sz="4" w:space="0" w:color="D0D0D0"/>
              <w:right w:val="single" w:sz="4" w:space="0" w:color="D0D0D0"/>
            </w:tcBorders>
            <w:vAlign w:val="center"/>
            <w:hideMark/>
          </w:tcPr>
          <w:p w14:paraId="26330BA1" w14:textId="400501EB" w:rsidR="005E64D9" w:rsidRPr="007D0403" w:rsidRDefault="005E64D9" w:rsidP="000A5389">
            <w:pPr>
              <w:spacing w:line="240" w:lineRule="auto"/>
              <w:rPr>
                <w:rFonts w:eastAsia="Times New Roman" w:cs="Times New Roman"/>
                <w:color w:val="000000"/>
                <w:sz w:val="16"/>
                <w:szCs w:val="16"/>
                <w:lang w:eastAsia="es-CO"/>
              </w:rPr>
            </w:pPr>
            <w:r w:rsidRPr="007D0403">
              <w:rPr>
                <w:rFonts w:eastAsia="Times New Roman" w:cs="Times New Roman"/>
                <w:color w:val="000000"/>
                <w:sz w:val="16"/>
                <w:szCs w:val="16"/>
                <w:lang w:eastAsia="es-CO"/>
              </w:rPr>
              <w:t xml:space="preserve">Mauricio López Galvis </w:t>
            </w:r>
          </w:p>
        </w:tc>
        <w:tc>
          <w:tcPr>
            <w:tcW w:w="596" w:type="pct"/>
            <w:tcBorders>
              <w:top w:val="nil"/>
              <w:left w:val="nil"/>
              <w:bottom w:val="single" w:sz="4" w:space="0" w:color="D0D0D0"/>
              <w:right w:val="single" w:sz="4" w:space="0" w:color="D0D0D0"/>
            </w:tcBorders>
            <w:noWrap/>
            <w:vAlign w:val="center"/>
            <w:hideMark/>
          </w:tcPr>
          <w:p w14:paraId="0F51D9B6" w14:textId="77777777" w:rsidR="005E64D9" w:rsidRPr="007D0403" w:rsidRDefault="005E64D9" w:rsidP="000A5389">
            <w:pPr>
              <w:spacing w:line="240" w:lineRule="auto"/>
              <w:jc w:val="center"/>
              <w:rPr>
                <w:rFonts w:eastAsia="Times New Roman" w:cs="Times New Roman"/>
                <w:color w:val="000000"/>
                <w:sz w:val="16"/>
                <w:szCs w:val="16"/>
                <w:lang w:eastAsia="es-CO"/>
              </w:rPr>
            </w:pPr>
            <w:r w:rsidRPr="007D0403">
              <w:rPr>
                <w:rFonts w:eastAsia="Times New Roman" w:cs="Times New Roman"/>
                <w:color w:val="000000"/>
                <w:sz w:val="16"/>
                <w:szCs w:val="16"/>
                <w:lang w:eastAsia="es-CO"/>
              </w:rPr>
              <w:t>207.029</w:t>
            </w:r>
          </w:p>
        </w:tc>
        <w:tc>
          <w:tcPr>
            <w:tcW w:w="596" w:type="pct"/>
            <w:tcBorders>
              <w:top w:val="nil"/>
              <w:left w:val="nil"/>
              <w:bottom w:val="single" w:sz="4" w:space="0" w:color="D0D0D0"/>
              <w:right w:val="single" w:sz="4" w:space="0" w:color="D0D0D0"/>
            </w:tcBorders>
            <w:noWrap/>
            <w:vAlign w:val="center"/>
            <w:hideMark/>
          </w:tcPr>
          <w:p w14:paraId="5219D3C3" w14:textId="77777777" w:rsidR="005E64D9" w:rsidRPr="007D0403" w:rsidRDefault="005E64D9" w:rsidP="000A5389">
            <w:pPr>
              <w:spacing w:line="240" w:lineRule="auto"/>
              <w:jc w:val="center"/>
              <w:rPr>
                <w:rFonts w:eastAsia="Times New Roman" w:cs="Times New Roman"/>
                <w:color w:val="000000"/>
                <w:sz w:val="16"/>
                <w:szCs w:val="16"/>
                <w:lang w:eastAsia="es-CO"/>
              </w:rPr>
            </w:pPr>
            <w:r w:rsidRPr="007D0403">
              <w:rPr>
                <w:rFonts w:eastAsia="Times New Roman" w:cs="Times New Roman"/>
                <w:color w:val="000000"/>
                <w:sz w:val="16"/>
                <w:szCs w:val="16"/>
                <w:lang w:eastAsia="es-CO"/>
              </w:rPr>
              <w:t>5/11/2019</w:t>
            </w:r>
          </w:p>
        </w:tc>
        <w:tc>
          <w:tcPr>
            <w:tcW w:w="596" w:type="pct"/>
            <w:tcBorders>
              <w:top w:val="nil"/>
              <w:left w:val="nil"/>
              <w:bottom w:val="single" w:sz="4" w:space="0" w:color="D0D0D0"/>
              <w:right w:val="single" w:sz="4" w:space="0" w:color="D0D0D0"/>
            </w:tcBorders>
            <w:noWrap/>
            <w:vAlign w:val="center"/>
            <w:hideMark/>
          </w:tcPr>
          <w:p w14:paraId="43DDC5F8" w14:textId="77777777" w:rsidR="005E64D9" w:rsidRPr="007D0403" w:rsidRDefault="005E64D9" w:rsidP="000A5389">
            <w:pPr>
              <w:spacing w:line="240" w:lineRule="auto"/>
              <w:jc w:val="center"/>
              <w:rPr>
                <w:rFonts w:eastAsia="Times New Roman" w:cs="Times New Roman"/>
                <w:color w:val="000000"/>
                <w:sz w:val="16"/>
                <w:szCs w:val="16"/>
                <w:lang w:eastAsia="es-CO"/>
              </w:rPr>
            </w:pPr>
            <w:r w:rsidRPr="007D0403">
              <w:rPr>
                <w:rFonts w:eastAsia="Times New Roman" w:cs="Times New Roman"/>
                <w:color w:val="000000"/>
                <w:sz w:val="16"/>
                <w:szCs w:val="16"/>
                <w:lang w:eastAsia="es-CO"/>
              </w:rPr>
              <w:t>28/11/2019</w:t>
            </w:r>
          </w:p>
        </w:tc>
        <w:tc>
          <w:tcPr>
            <w:tcW w:w="349" w:type="pct"/>
            <w:tcBorders>
              <w:top w:val="nil"/>
              <w:left w:val="nil"/>
              <w:bottom w:val="single" w:sz="4" w:space="0" w:color="D0D0D0"/>
              <w:right w:val="single" w:sz="4" w:space="0" w:color="D0D0D0"/>
            </w:tcBorders>
            <w:noWrap/>
            <w:vAlign w:val="center"/>
            <w:hideMark/>
          </w:tcPr>
          <w:p w14:paraId="2E0084AD" w14:textId="77777777" w:rsidR="005E64D9" w:rsidRPr="007D0403" w:rsidRDefault="005E64D9" w:rsidP="000A5389">
            <w:pPr>
              <w:spacing w:line="240" w:lineRule="auto"/>
              <w:jc w:val="center"/>
              <w:rPr>
                <w:rFonts w:eastAsia="Times New Roman" w:cs="Times New Roman"/>
                <w:color w:val="000000"/>
                <w:sz w:val="16"/>
                <w:szCs w:val="16"/>
                <w:lang w:eastAsia="es-CO"/>
              </w:rPr>
            </w:pPr>
            <w:r w:rsidRPr="007D0403">
              <w:rPr>
                <w:rFonts w:eastAsia="Times New Roman" w:cs="Times New Roman"/>
                <w:color w:val="000000"/>
                <w:sz w:val="16"/>
                <w:szCs w:val="16"/>
                <w:lang w:eastAsia="es-CO"/>
              </w:rPr>
              <w:t>12%</w:t>
            </w:r>
          </w:p>
        </w:tc>
        <w:tc>
          <w:tcPr>
            <w:tcW w:w="915" w:type="pct"/>
            <w:gridSpan w:val="2"/>
            <w:tcBorders>
              <w:top w:val="single" w:sz="4" w:space="0" w:color="D0D0D0"/>
              <w:left w:val="nil"/>
              <w:bottom w:val="single" w:sz="4" w:space="0" w:color="D0D0D0"/>
              <w:right w:val="single" w:sz="4" w:space="0" w:color="D0D0D0"/>
            </w:tcBorders>
            <w:vAlign w:val="center"/>
            <w:hideMark/>
          </w:tcPr>
          <w:p w14:paraId="64EEA28F" w14:textId="77777777" w:rsidR="005E64D9" w:rsidRPr="007D0403" w:rsidRDefault="005E64D9" w:rsidP="000A5389">
            <w:pPr>
              <w:spacing w:line="240" w:lineRule="auto"/>
              <w:jc w:val="center"/>
              <w:rPr>
                <w:rFonts w:eastAsia="Times New Roman" w:cs="Times New Roman"/>
                <w:color w:val="000000"/>
                <w:sz w:val="16"/>
                <w:szCs w:val="16"/>
                <w:lang w:eastAsia="es-CO"/>
              </w:rPr>
            </w:pPr>
            <w:r w:rsidRPr="007D0403">
              <w:rPr>
                <w:rFonts w:eastAsia="Times New Roman" w:cs="Times New Roman"/>
                <w:color w:val="000000"/>
                <w:sz w:val="16"/>
                <w:szCs w:val="16"/>
                <w:lang w:eastAsia="es-CO"/>
              </w:rPr>
              <w:t>28/11/2019</w:t>
            </w:r>
          </w:p>
        </w:tc>
      </w:tr>
    </w:tbl>
    <w:bookmarkEnd w:id="268"/>
    <w:p w14:paraId="59D7E044" w14:textId="77777777" w:rsidR="005E64D9" w:rsidRPr="00951AB1" w:rsidRDefault="005E64D9" w:rsidP="000A5389">
      <w:pPr>
        <w:spacing w:line="240" w:lineRule="auto"/>
        <w:rPr>
          <w:rFonts w:cs="Times New Roman"/>
          <w:sz w:val="14"/>
          <w:szCs w:val="14"/>
        </w:rPr>
      </w:pPr>
      <w:r w:rsidRPr="00951AB1">
        <w:rPr>
          <w:rFonts w:cs="Times New Roman"/>
          <w:sz w:val="14"/>
          <w:szCs w:val="14"/>
        </w:rPr>
        <w:t>Cifras expresadas en pesos</w:t>
      </w:r>
    </w:p>
    <w:p w14:paraId="49C37FBF" w14:textId="77777777" w:rsidR="005E64D9" w:rsidRPr="00951AB1" w:rsidRDefault="005E64D9" w:rsidP="000A5389">
      <w:pPr>
        <w:spacing w:line="240" w:lineRule="auto"/>
        <w:rPr>
          <w:rFonts w:cs="Times New Roman"/>
        </w:rPr>
      </w:pPr>
    </w:p>
    <w:p w14:paraId="6C08A391" w14:textId="77777777" w:rsidR="005E64D9" w:rsidRPr="00951AB1" w:rsidRDefault="005E64D9" w:rsidP="000A5389">
      <w:pPr>
        <w:spacing w:line="240" w:lineRule="auto"/>
        <w:ind w:right="-3"/>
        <w:rPr>
          <w:rFonts w:eastAsia="Times New Roman" w:cs="Times New Roman"/>
          <w:szCs w:val="24"/>
          <w:lang w:val="es"/>
        </w:rPr>
      </w:pPr>
      <w:r w:rsidRPr="00951AB1">
        <w:rPr>
          <w:rFonts w:eastAsia="Times New Roman" w:cs="Times New Roman"/>
          <w:szCs w:val="24"/>
          <w:lang w:val="es"/>
        </w:rPr>
        <w:t xml:space="preserve">La tasa de interés se toma de acuerdo con el artículo 9 de la ley 68 de 1923 que señala: </w:t>
      </w:r>
    </w:p>
    <w:p w14:paraId="2277E212" w14:textId="77777777" w:rsidR="005E64D9" w:rsidRPr="00951AB1" w:rsidRDefault="005E64D9" w:rsidP="000A5389">
      <w:pPr>
        <w:spacing w:line="240" w:lineRule="auto"/>
        <w:ind w:right="-3"/>
        <w:rPr>
          <w:rFonts w:eastAsia="Times New Roman" w:cs="Times New Roman"/>
          <w:szCs w:val="24"/>
          <w:lang w:val="es"/>
        </w:rPr>
      </w:pPr>
    </w:p>
    <w:p w14:paraId="7596EA68" w14:textId="094BA189" w:rsidR="005E64D9" w:rsidRPr="00951AB1" w:rsidRDefault="005E64D9" w:rsidP="000A5389">
      <w:pPr>
        <w:spacing w:line="240" w:lineRule="auto"/>
        <w:rPr>
          <w:rFonts w:cs="Times New Roman"/>
          <w:szCs w:val="24"/>
          <w:lang w:val="es-ES"/>
        </w:rPr>
      </w:pPr>
      <w:r w:rsidRPr="00951AB1">
        <w:rPr>
          <w:rFonts w:cs="Times New Roman"/>
          <w:b/>
          <w:bCs/>
          <w:szCs w:val="24"/>
          <w:lang w:val="es-ES"/>
        </w:rPr>
        <w:t>“Artículo 9º. </w:t>
      </w:r>
      <w:r w:rsidRPr="00951AB1">
        <w:rPr>
          <w:rFonts w:cs="Times New Roman"/>
          <w:szCs w:val="24"/>
          <w:lang w:val="es-ES"/>
        </w:rPr>
        <w:t>Los créditos a favor del Tesoro devengan intereses a la rata del doce por ciento (12 por 100) anual, desde el día en que se hagan exigibles hasta aquel en que se verifique el pago”.</w:t>
      </w:r>
      <w:bookmarkStart w:id="269" w:name="_Toc191369505"/>
      <w:bookmarkStart w:id="270" w:name="_Toc191456835"/>
      <w:bookmarkStart w:id="271" w:name="_Toc191456945"/>
      <w:bookmarkStart w:id="272" w:name="_Toc191457055"/>
      <w:bookmarkStart w:id="273" w:name="_Toc191475682"/>
      <w:bookmarkStart w:id="274" w:name="_Toc191475791"/>
      <w:bookmarkStart w:id="275" w:name="_Toc191475900"/>
      <w:bookmarkStart w:id="276" w:name="_Toc191475423"/>
      <w:bookmarkStart w:id="277" w:name="_Toc191505799"/>
    </w:p>
    <w:p w14:paraId="2496ACAB" w14:textId="77777777" w:rsidR="00DB2570" w:rsidRPr="00951AB1" w:rsidRDefault="00DB2570" w:rsidP="000A5389">
      <w:pPr>
        <w:spacing w:line="240" w:lineRule="auto"/>
        <w:rPr>
          <w:rFonts w:cs="Times New Roman"/>
        </w:rPr>
      </w:pPr>
    </w:p>
    <w:p w14:paraId="54A68B59" w14:textId="05FA7CEB" w:rsidR="005E64D9" w:rsidRPr="00951AB1" w:rsidRDefault="005E64D9" w:rsidP="000A5389">
      <w:pPr>
        <w:pStyle w:val="Ttulo2"/>
        <w:numPr>
          <w:ilvl w:val="0"/>
          <w:numId w:val="0"/>
        </w:numPr>
        <w:spacing w:line="240" w:lineRule="auto"/>
        <w:rPr>
          <w:rFonts w:cs="Times New Roman"/>
          <w:bCs/>
          <w:szCs w:val="24"/>
        </w:rPr>
      </w:pPr>
      <w:bookmarkStart w:id="278" w:name="_Toc222955476"/>
      <w:r w:rsidRPr="00951AB1">
        <w:rPr>
          <w:rFonts w:cs="Times New Roman"/>
          <w:szCs w:val="24"/>
        </w:rPr>
        <w:t xml:space="preserve">7.5   </w:t>
      </w:r>
      <w:r w:rsidRPr="00951AB1">
        <w:rPr>
          <w:rFonts w:cs="Times New Roman"/>
          <w:bCs/>
          <w:szCs w:val="24"/>
        </w:rPr>
        <w:t>Deterioro de las cuentas por cobrar estimadas de manera individual</w:t>
      </w:r>
      <w:bookmarkEnd w:id="269"/>
      <w:bookmarkEnd w:id="270"/>
      <w:bookmarkEnd w:id="271"/>
      <w:bookmarkEnd w:id="272"/>
      <w:bookmarkEnd w:id="273"/>
      <w:bookmarkEnd w:id="274"/>
      <w:bookmarkEnd w:id="275"/>
      <w:bookmarkEnd w:id="276"/>
      <w:bookmarkEnd w:id="277"/>
      <w:bookmarkEnd w:id="278"/>
    </w:p>
    <w:p w14:paraId="143CACB4" w14:textId="77777777" w:rsidR="005E64D9" w:rsidRPr="00951AB1" w:rsidRDefault="005E64D9" w:rsidP="000A5389">
      <w:pPr>
        <w:spacing w:line="240" w:lineRule="auto"/>
        <w:rPr>
          <w:rFonts w:cs="Times New Roman"/>
        </w:rPr>
      </w:pPr>
    </w:p>
    <w:p w14:paraId="5D8DEC07" w14:textId="1058942F" w:rsidR="005E64D9" w:rsidRPr="00951AB1" w:rsidRDefault="005E64D9" w:rsidP="000A5389">
      <w:pPr>
        <w:spacing w:line="240" w:lineRule="auto"/>
        <w:rPr>
          <w:rFonts w:cs="Times New Roman"/>
          <w:szCs w:val="24"/>
        </w:rPr>
      </w:pPr>
      <w:r w:rsidRPr="00951AB1">
        <w:rPr>
          <w:rFonts w:cs="Times New Roman"/>
          <w:szCs w:val="24"/>
          <w:lang w:bidi="es-ES"/>
        </w:rPr>
        <w:t>El G.I.T. de Defensa Judicial de la Vicepresidencia Jurídica</w:t>
      </w:r>
      <w:r w:rsidRPr="00951AB1">
        <w:rPr>
          <w:rFonts w:cs="Times New Roman"/>
          <w:szCs w:val="24"/>
        </w:rPr>
        <w:t xml:space="preserve"> realizó la evaluación y estimación del deterioro de las cuentas por cobrar de conformidad con el Instructivo/Guía “</w:t>
      </w:r>
      <w:r w:rsidRPr="00951AB1">
        <w:rPr>
          <w:rFonts w:cs="Times New Roman"/>
          <w:i/>
          <w:iCs/>
          <w:szCs w:val="24"/>
        </w:rPr>
        <w:t>GADF-I-012 Guía para la Estimación del Deterioro de las Cuentas por Cobrar</w:t>
      </w:r>
      <w:r w:rsidRPr="00951AB1">
        <w:rPr>
          <w:rFonts w:cs="Times New Roman"/>
          <w:szCs w:val="24"/>
        </w:rPr>
        <w:t>” y el “</w:t>
      </w:r>
      <w:r w:rsidRPr="00951AB1">
        <w:rPr>
          <w:rFonts w:cs="Times New Roman"/>
          <w:i/>
          <w:iCs/>
          <w:szCs w:val="24"/>
        </w:rPr>
        <w:t>Test de Comprobación de Indicios de Deterioro de las Cuentas por Cobrar</w:t>
      </w:r>
      <w:r w:rsidRPr="00951AB1">
        <w:rPr>
          <w:rFonts w:cs="Times New Roman"/>
          <w:szCs w:val="24"/>
        </w:rPr>
        <w:t>”.</w:t>
      </w:r>
    </w:p>
    <w:p w14:paraId="28A4B0C5" w14:textId="77777777" w:rsidR="005E64D9" w:rsidRPr="00951AB1" w:rsidRDefault="005E64D9" w:rsidP="000A5389">
      <w:pPr>
        <w:spacing w:line="240" w:lineRule="auto"/>
        <w:rPr>
          <w:rFonts w:cs="Times New Roman"/>
          <w:szCs w:val="24"/>
        </w:rPr>
      </w:pPr>
    </w:p>
    <w:p w14:paraId="511E4271" w14:textId="77777777" w:rsidR="005E64D9" w:rsidRPr="00951AB1" w:rsidRDefault="005E64D9" w:rsidP="000A5389">
      <w:pPr>
        <w:spacing w:line="240" w:lineRule="auto"/>
        <w:rPr>
          <w:rFonts w:cs="Times New Roman"/>
          <w:szCs w:val="24"/>
        </w:rPr>
      </w:pPr>
      <w:r w:rsidRPr="00951AB1">
        <w:rPr>
          <w:rFonts w:cs="Times New Roman"/>
          <w:szCs w:val="24"/>
        </w:rPr>
        <w:t>A continuación, se detallan los deudores objeto de deterioro:</w:t>
      </w:r>
    </w:p>
    <w:p w14:paraId="28431E72" w14:textId="77777777" w:rsidR="005E64D9" w:rsidRPr="00951AB1" w:rsidRDefault="005E64D9" w:rsidP="000A5389">
      <w:pPr>
        <w:spacing w:line="240" w:lineRule="auto"/>
        <w:rPr>
          <w:rFonts w:cs="Times New Roman"/>
          <w:sz w:val="14"/>
          <w:szCs w:val="14"/>
        </w:rPr>
      </w:pPr>
    </w:p>
    <w:p w14:paraId="31F3D58E" w14:textId="77777777" w:rsidR="005E64D9" w:rsidRPr="00951AB1" w:rsidRDefault="005E64D9" w:rsidP="000A5389">
      <w:pPr>
        <w:spacing w:line="240" w:lineRule="auto"/>
        <w:rPr>
          <w:rFonts w:cs="Times New Roman"/>
          <w:sz w:val="14"/>
          <w:szCs w:val="14"/>
        </w:rPr>
      </w:pPr>
    </w:p>
    <w:tbl>
      <w:tblPr>
        <w:tblW w:w="8933" w:type="dxa"/>
        <w:tblLayout w:type="fixed"/>
        <w:tblCellMar>
          <w:left w:w="70" w:type="dxa"/>
          <w:right w:w="70" w:type="dxa"/>
        </w:tblCellMar>
        <w:tblLook w:val="04A0" w:firstRow="1" w:lastRow="0" w:firstColumn="1" w:lastColumn="0" w:noHBand="0" w:noVBand="1"/>
      </w:tblPr>
      <w:tblGrid>
        <w:gridCol w:w="1266"/>
        <w:gridCol w:w="976"/>
        <w:gridCol w:w="2426"/>
        <w:gridCol w:w="1276"/>
        <w:gridCol w:w="709"/>
        <w:gridCol w:w="1005"/>
        <w:gridCol w:w="1275"/>
      </w:tblGrid>
      <w:tr w:rsidR="005E64D9" w:rsidRPr="00951AB1" w14:paraId="2F0BFE4B" w14:textId="77777777" w:rsidTr="2C9F3575">
        <w:trPr>
          <w:trHeight w:val="1608"/>
          <w:tblHeader/>
        </w:trPr>
        <w:tc>
          <w:tcPr>
            <w:tcW w:w="1266" w:type="dxa"/>
            <w:tcBorders>
              <w:top w:val="single" w:sz="8" w:space="0" w:color="D0D0D0"/>
              <w:left w:val="single" w:sz="8" w:space="0" w:color="D0D0D0"/>
              <w:bottom w:val="single" w:sz="8" w:space="0" w:color="D0D0D0"/>
              <w:right w:val="single" w:sz="8" w:space="0" w:color="D0D0D0"/>
            </w:tcBorders>
            <w:textDirection w:val="btLr"/>
            <w:vAlign w:val="center"/>
            <w:hideMark/>
          </w:tcPr>
          <w:p w14:paraId="72546FC4" w14:textId="77777777" w:rsidR="005E64D9" w:rsidRPr="00283B07" w:rsidRDefault="005E64D9" w:rsidP="000A5389">
            <w:pPr>
              <w:spacing w:line="240" w:lineRule="auto"/>
              <w:jc w:val="center"/>
              <w:rPr>
                <w:rFonts w:eastAsia="Times New Roman" w:cs="Times New Roman"/>
                <w:b/>
                <w:bCs/>
                <w:color w:val="000000"/>
                <w:kern w:val="0"/>
                <w:sz w:val="14"/>
                <w:szCs w:val="14"/>
                <w:lang w:eastAsia="es-CO"/>
                <w14:ligatures w14:val="none"/>
              </w:rPr>
            </w:pPr>
            <w:r w:rsidRPr="00283B07">
              <w:rPr>
                <w:rFonts w:eastAsia="Times New Roman" w:cs="Times New Roman"/>
                <w:b/>
                <w:bCs/>
                <w:color w:val="000000"/>
                <w:kern w:val="0"/>
                <w:sz w:val="14"/>
                <w:szCs w:val="14"/>
                <w:lang w:eastAsia="es-CO"/>
                <w14:ligatures w14:val="none"/>
              </w:rPr>
              <w:t>CUENTA</w:t>
            </w:r>
          </w:p>
        </w:tc>
        <w:tc>
          <w:tcPr>
            <w:tcW w:w="976" w:type="dxa"/>
            <w:tcBorders>
              <w:top w:val="single" w:sz="8" w:space="0" w:color="D0D0D0"/>
              <w:left w:val="nil"/>
              <w:bottom w:val="single" w:sz="8" w:space="0" w:color="D0D0D0"/>
              <w:right w:val="single" w:sz="8" w:space="0" w:color="D0D0D0"/>
            </w:tcBorders>
            <w:textDirection w:val="btLr"/>
            <w:vAlign w:val="center"/>
            <w:hideMark/>
          </w:tcPr>
          <w:p w14:paraId="2C50A179" w14:textId="77777777" w:rsidR="005E64D9" w:rsidRPr="00283B07" w:rsidRDefault="005E64D9" w:rsidP="000A5389">
            <w:pPr>
              <w:spacing w:line="240" w:lineRule="auto"/>
              <w:jc w:val="center"/>
              <w:rPr>
                <w:rFonts w:eastAsia="Times New Roman" w:cs="Times New Roman"/>
                <w:b/>
                <w:bCs/>
                <w:color w:val="000000"/>
                <w:kern w:val="0"/>
                <w:sz w:val="14"/>
                <w:szCs w:val="14"/>
                <w:lang w:eastAsia="es-CO"/>
                <w14:ligatures w14:val="none"/>
              </w:rPr>
            </w:pPr>
            <w:r w:rsidRPr="00283B07">
              <w:rPr>
                <w:rFonts w:eastAsia="Times New Roman" w:cs="Times New Roman"/>
                <w:b/>
                <w:bCs/>
                <w:color w:val="000000"/>
                <w:kern w:val="0"/>
                <w:sz w:val="14"/>
                <w:szCs w:val="14"/>
                <w:lang w:eastAsia="es-CO"/>
                <w14:ligatures w14:val="none"/>
              </w:rPr>
              <w:t>Fecha de la Obligación</w:t>
            </w:r>
          </w:p>
        </w:tc>
        <w:tc>
          <w:tcPr>
            <w:tcW w:w="2426" w:type="dxa"/>
            <w:tcBorders>
              <w:top w:val="single" w:sz="8" w:space="0" w:color="D0D0D0"/>
              <w:left w:val="nil"/>
              <w:bottom w:val="single" w:sz="8" w:space="0" w:color="D0D0D0"/>
              <w:right w:val="single" w:sz="8" w:space="0" w:color="D0D0D0"/>
            </w:tcBorders>
            <w:noWrap/>
            <w:textDirection w:val="btLr"/>
            <w:vAlign w:val="center"/>
            <w:hideMark/>
          </w:tcPr>
          <w:p w14:paraId="2C4F6EC2" w14:textId="77777777" w:rsidR="005E64D9" w:rsidRPr="00283B07" w:rsidRDefault="005E64D9" w:rsidP="000A5389">
            <w:pPr>
              <w:spacing w:line="240" w:lineRule="auto"/>
              <w:jc w:val="center"/>
              <w:rPr>
                <w:rFonts w:eastAsia="Times New Roman" w:cs="Times New Roman"/>
                <w:b/>
                <w:bCs/>
                <w:color w:val="000000"/>
                <w:kern w:val="0"/>
                <w:sz w:val="14"/>
                <w:szCs w:val="14"/>
                <w:lang w:eastAsia="es-CO"/>
                <w14:ligatures w14:val="none"/>
              </w:rPr>
            </w:pPr>
            <w:r w:rsidRPr="00283B07">
              <w:rPr>
                <w:rFonts w:eastAsia="Times New Roman" w:cs="Times New Roman"/>
                <w:b/>
                <w:bCs/>
                <w:color w:val="000000"/>
                <w:kern w:val="0"/>
                <w:sz w:val="14"/>
                <w:szCs w:val="14"/>
                <w:lang w:eastAsia="es-CO"/>
                <w14:ligatures w14:val="none"/>
              </w:rPr>
              <w:t>Tercero</w:t>
            </w:r>
          </w:p>
        </w:tc>
        <w:tc>
          <w:tcPr>
            <w:tcW w:w="1276" w:type="dxa"/>
            <w:tcBorders>
              <w:top w:val="single" w:sz="8" w:space="0" w:color="D0D0D0"/>
              <w:left w:val="nil"/>
              <w:bottom w:val="single" w:sz="8" w:space="0" w:color="D0D0D0"/>
              <w:right w:val="single" w:sz="8" w:space="0" w:color="D0D0D0"/>
            </w:tcBorders>
            <w:noWrap/>
            <w:textDirection w:val="btLr"/>
            <w:vAlign w:val="center"/>
            <w:hideMark/>
          </w:tcPr>
          <w:p w14:paraId="7E58CD1B" w14:textId="77777777" w:rsidR="005E64D9" w:rsidRPr="00283B07" w:rsidRDefault="005E64D9" w:rsidP="000A5389">
            <w:pPr>
              <w:spacing w:line="240" w:lineRule="auto"/>
              <w:jc w:val="center"/>
              <w:rPr>
                <w:rFonts w:eastAsia="Times New Roman" w:cs="Times New Roman"/>
                <w:b/>
                <w:bCs/>
                <w:color w:val="000000"/>
                <w:kern w:val="0"/>
                <w:sz w:val="14"/>
                <w:szCs w:val="14"/>
                <w:lang w:eastAsia="es-CO"/>
                <w14:ligatures w14:val="none"/>
              </w:rPr>
            </w:pPr>
            <w:r w:rsidRPr="00283B07">
              <w:rPr>
                <w:rFonts w:eastAsia="Times New Roman" w:cs="Times New Roman"/>
                <w:b/>
                <w:bCs/>
                <w:color w:val="000000"/>
                <w:kern w:val="0"/>
                <w:sz w:val="14"/>
                <w:szCs w:val="14"/>
                <w:lang w:eastAsia="es-CO"/>
                <w14:ligatures w14:val="none"/>
              </w:rPr>
              <w:t>Valor</w:t>
            </w:r>
          </w:p>
        </w:tc>
        <w:tc>
          <w:tcPr>
            <w:tcW w:w="709" w:type="dxa"/>
            <w:tcBorders>
              <w:top w:val="single" w:sz="8" w:space="0" w:color="D0D0D0"/>
              <w:left w:val="nil"/>
              <w:bottom w:val="single" w:sz="8" w:space="0" w:color="D0D0D0"/>
              <w:right w:val="single" w:sz="8" w:space="0" w:color="D0D0D0"/>
            </w:tcBorders>
            <w:textDirection w:val="btLr"/>
            <w:vAlign w:val="center"/>
            <w:hideMark/>
          </w:tcPr>
          <w:p w14:paraId="2FC193B3" w14:textId="77777777" w:rsidR="005E64D9" w:rsidRPr="00283B07" w:rsidRDefault="005E64D9" w:rsidP="000A5389">
            <w:pPr>
              <w:spacing w:line="240" w:lineRule="auto"/>
              <w:jc w:val="center"/>
              <w:rPr>
                <w:rFonts w:eastAsia="Times New Roman" w:cs="Times New Roman"/>
                <w:b/>
                <w:bCs/>
                <w:color w:val="000000"/>
                <w:kern w:val="0"/>
                <w:sz w:val="14"/>
                <w:szCs w:val="14"/>
                <w:lang w:eastAsia="es-CO"/>
                <w14:ligatures w14:val="none"/>
              </w:rPr>
            </w:pPr>
            <w:r w:rsidRPr="00283B07">
              <w:rPr>
                <w:rFonts w:eastAsia="Times New Roman" w:cs="Times New Roman"/>
                <w:b/>
                <w:bCs/>
                <w:color w:val="000000"/>
                <w:kern w:val="0"/>
                <w:sz w:val="14"/>
                <w:szCs w:val="14"/>
                <w:lang w:eastAsia="es-CO"/>
                <w14:ligatures w14:val="none"/>
              </w:rPr>
              <w:t>&gt; 3 MESES HASTA 12 MESES</w:t>
            </w:r>
          </w:p>
        </w:tc>
        <w:tc>
          <w:tcPr>
            <w:tcW w:w="1005" w:type="dxa"/>
            <w:tcBorders>
              <w:top w:val="single" w:sz="8" w:space="0" w:color="D0D0D0"/>
              <w:left w:val="nil"/>
              <w:bottom w:val="single" w:sz="8" w:space="0" w:color="D0D0D0"/>
              <w:right w:val="single" w:sz="8" w:space="0" w:color="D0D0D0"/>
            </w:tcBorders>
            <w:textDirection w:val="btLr"/>
            <w:vAlign w:val="center"/>
            <w:hideMark/>
          </w:tcPr>
          <w:p w14:paraId="304BFC7D" w14:textId="77777777" w:rsidR="005E64D9" w:rsidRPr="00283B07" w:rsidRDefault="005E64D9" w:rsidP="000A5389">
            <w:pPr>
              <w:spacing w:line="240" w:lineRule="auto"/>
              <w:jc w:val="center"/>
              <w:rPr>
                <w:rFonts w:eastAsia="Times New Roman" w:cs="Times New Roman"/>
                <w:b/>
                <w:bCs/>
                <w:color w:val="000000"/>
                <w:kern w:val="0"/>
                <w:sz w:val="14"/>
                <w:szCs w:val="14"/>
                <w:lang w:eastAsia="es-CO"/>
                <w14:ligatures w14:val="none"/>
              </w:rPr>
            </w:pPr>
            <w:r w:rsidRPr="00283B07">
              <w:rPr>
                <w:rFonts w:eastAsia="Times New Roman" w:cs="Times New Roman"/>
                <w:b/>
                <w:bCs/>
                <w:color w:val="000000"/>
                <w:kern w:val="0"/>
                <w:sz w:val="14"/>
                <w:szCs w:val="14"/>
                <w:lang w:eastAsia="es-CO"/>
                <w14:ligatures w14:val="none"/>
              </w:rPr>
              <w:t xml:space="preserve">&gt; 1 AÑO Y HASTA 3 AÑOS </w:t>
            </w:r>
          </w:p>
        </w:tc>
        <w:tc>
          <w:tcPr>
            <w:tcW w:w="1275" w:type="dxa"/>
            <w:tcBorders>
              <w:top w:val="single" w:sz="8" w:space="0" w:color="D0D0D0"/>
              <w:left w:val="nil"/>
              <w:bottom w:val="single" w:sz="8" w:space="0" w:color="D0D0D0"/>
              <w:right w:val="single" w:sz="8" w:space="0" w:color="D0D0D0"/>
            </w:tcBorders>
            <w:textDirection w:val="btLr"/>
            <w:vAlign w:val="center"/>
            <w:hideMark/>
          </w:tcPr>
          <w:p w14:paraId="6E2225AB" w14:textId="77777777" w:rsidR="005E64D9" w:rsidRPr="00283B07" w:rsidRDefault="005E64D9" w:rsidP="000A5389">
            <w:pPr>
              <w:spacing w:line="240" w:lineRule="auto"/>
              <w:jc w:val="center"/>
              <w:rPr>
                <w:rFonts w:eastAsia="Times New Roman" w:cs="Times New Roman"/>
                <w:b/>
                <w:bCs/>
                <w:color w:val="000000"/>
                <w:kern w:val="0"/>
                <w:sz w:val="14"/>
                <w:szCs w:val="14"/>
                <w:lang w:eastAsia="es-CO"/>
                <w14:ligatures w14:val="none"/>
              </w:rPr>
            </w:pPr>
            <w:r w:rsidRPr="00283B07">
              <w:rPr>
                <w:rFonts w:eastAsia="Times New Roman" w:cs="Times New Roman"/>
                <w:b/>
                <w:bCs/>
                <w:color w:val="000000"/>
                <w:kern w:val="0"/>
                <w:sz w:val="14"/>
                <w:szCs w:val="14"/>
                <w:lang w:eastAsia="es-CO"/>
                <w14:ligatures w14:val="none"/>
              </w:rPr>
              <w:t xml:space="preserve">&gt; 3 AÑOS </w:t>
            </w:r>
          </w:p>
        </w:tc>
      </w:tr>
      <w:tr w:rsidR="005E64D9" w:rsidRPr="00951AB1" w14:paraId="236F5A55" w14:textId="77777777" w:rsidTr="2C9F3575">
        <w:trPr>
          <w:trHeight w:val="270"/>
        </w:trPr>
        <w:tc>
          <w:tcPr>
            <w:tcW w:w="1266" w:type="dxa"/>
            <w:tcBorders>
              <w:top w:val="nil"/>
              <w:left w:val="single" w:sz="8" w:space="0" w:color="D0D0D0"/>
              <w:bottom w:val="single" w:sz="8" w:space="0" w:color="D0D0D0"/>
              <w:right w:val="single" w:sz="8" w:space="0" w:color="D0D0D0"/>
            </w:tcBorders>
            <w:noWrap/>
            <w:vAlign w:val="center"/>
            <w:hideMark/>
          </w:tcPr>
          <w:p w14:paraId="7A274FBF" w14:textId="77777777" w:rsidR="005E64D9" w:rsidRPr="00951AB1" w:rsidRDefault="005E64D9" w:rsidP="000A5389">
            <w:pPr>
              <w:spacing w:line="240" w:lineRule="auto"/>
              <w:rPr>
                <w:rFonts w:eastAsia="Times New Roman" w:cs="Times New Roman"/>
                <w:color w:val="000000"/>
                <w:kern w:val="0"/>
                <w:sz w:val="16"/>
                <w:szCs w:val="16"/>
                <w:lang w:eastAsia="es-CO"/>
                <w14:ligatures w14:val="none"/>
              </w:rPr>
            </w:pPr>
            <w:r w:rsidRPr="00951AB1">
              <w:rPr>
                <w:rFonts w:eastAsia="Times New Roman" w:cs="Times New Roman"/>
                <w:color w:val="000000"/>
                <w:kern w:val="0"/>
                <w:sz w:val="16"/>
                <w:szCs w:val="16"/>
                <w:lang w:eastAsia="es-CO"/>
                <w14:ligatures w14:val="none"/>
              </w:rPr>
              <w:t>Sanciones disciplinarias</w:t>
            </w:r>
          </w:p>
        </w:tc>
        <w:tc>
          <w:tcPr>
            <w:tcW w:w="976" w:type="dxa"/>
            <w:tcBorders>
              <w:top w:val="nil"/>
              <w:left w:val="nil"/>
              <w:bottom w:val="single" w:sz="8" w:space="0" w:color="D0D0D0"/>
              <w:right w:val="single" w:sz="8" w:space="0" w:color="D0D0D0"/>
            </w:tcBorders>
            <w:noWrap/>
            <w:vAlign w:val="center"/>
            <w:hideMark/>
          </w:tcPr>
          <w:p w14:paraId="512B3DAF" w14:textId="77777777" w:rsidR="005E64D9" w:rsidRPr="00951AB1" w:rsidRDefault="005E64D9" w:rsidP="000A5389">
            <w:pPr>
              <w:spacing w:line="240" w:lineRule="auto"/>
              <w:jc w:val="center"/>
              <w:rPr>
                <w:rFonts w:eastAsia="Times New Roman" w:cs="Times New Roman"/>
                <w:color w:val="000000"/>
                <w:kern w:val="0"/>
                <w:sz w:val="16"/>
                <w:szCs w:val="16"/>
                <w:lang w:eastAsia="es-CO"/>
                <w14:ligatures w14:val="none"/>
              </w:rPr>
            </w:pPr>
            <w:r w:rsidRPr="00951AB1">
              <w:rPr>
                <w:rFonts w:eastAsia="Times New Roman" w:cs="Times New Roman"/>
                <w:color w:val="000000"/>
                <w:kern w:val="0"/>
                <w:sz w:val="16"/>
                <w:szCs w:val="16"/>
                <w:lang w:eastAsia="es-CO"/>
                <w14:ligatures w14:val="none"/>
              </w:rPr>
              <w:t>26/05/2023</w:t>
            </w:r>
          </w:p>
        </w:tc>
        <w:tc>
          <w:tcPr>
            <w:tcW w:w="2426" w:type="dxa"/>
            <w:tcBorders>
              <w:top w:val="nil"/>
              <w:left w:val="nil"/>
              <w:bottom w:val="single" w:sz="8" w:space="0" w:color="D0D0D0"/>
              <w:right w:val="single" w:sz="8" w:space="0" w:color="D0D0D0"/>
            </w:tcBorders>
            <w:noWrap/>
            <w:vAlign w:val="center"/>
            <w:hideMark/>
          </w:tcPr>
          <w:p w14:paraId="02EA409D" w14:textId="16D542F9" w:rsidR="005E64D9" w:rsidRPr="00951AB1" w:rsidRDefault="005E64D9" w:rsidP="000A5389">
            <w:pPr>
              <w:spacing w:line="240" w:lineRule="auto"/>
              <w:rPr>
                <w:rFonts w:eastAsia="Times New Roman" w:cs="Times New Roman"/>
                <w:color w:val="000000"/>
                <w:kern w:val="0"/>
                <w:sz w:val="16"/>
                <w:szCs w:val="16"/>
                <w:lang w:eastAsia="es-CO"/>
                <w14:ligatures w14:val="none"/>
              </w:rPr>
            </w:pPr>
            <w:r w:rsidRPr="00951AB1">
              <w:rPr>
                <w:rFonts w:eastAsia="Times New Roman" w:cs="Times New Roman"/>
                <w:color w:val="000000"/>
                <w:kern w:val="0"/>
                <w:sz w:val="16"/>
                <w:szCs w:val="16"/>
                <w:lang w:eastAsia="es-CO"/>
                <w14:ligatures w14:val="none"/>
              </w:rPr>
              <w:t>Julio Cesar Arango Garces</w:t>
            </w:r>
          </w:p>
        </w:tc>
        <w:tc>
          <w:tcPr>
            <w:tcW w:w="1276" w:type="dxa"/>
            <w:tcBorders>
              <w:top w:val="nil"/>
              <w:left w:val="nil"/>
              <w:bottom w:val="single" w:sz="8" w:space="0" w:color="D0D0D0"/>
              <w:right w:val="single" w:sz="8" w:space="0" w:color="D0D0D0"/>
            </w:tcBorders>
            <w:noWrap/>
            <w:vAlign w:val="center"/>
            <w:hideMark/>
          </w:tcPr>
          <w:p w14:paraId="6FBD78EF" w14:textId="77777777" w:rsidR="005E64D9" w:rsidRPr="00951AB1" w:rsidRDefault="005E64D9" w:rsidP="000A5389">
            <w:pPr>
              <w:spacing w:line="240" w:lineRule="auto"/>
              <w:jc w:val="right"/>
              <w:rPr>
                <w:rFonts w:eastAsia="Times New Roman" w:cs="Times New Roman"/>
                <w:color w:val="000000"/>
                <w:kern w:val="0"/>
                <w:sz w:val="16"/>
                <w:szCs w:val="16"/>
                <w:lang w:eastAsia="es-CO"/>
                <w14:ligatures w14:val="none"/>
              </w:rPr>
            </w:pPr>
            <w:r w:rsidRPr="00951AB1">
              <w:rPr>
                <w:rFonts w:eastAsia="Times New Roman" w:cs="Times New Roman"/>
                <w:color w:val="000000"/>
                <w:kern w:val="0"/>
                <w:sz w:val="16"/>
                <w:szCs w:val="16"/>
                <w:lang w:eastAsia="es-CO"/>
                <w14:ligatures w14:val="none"/>
              </w:rPr>
              <w:t>64.526.646</w:t>
            </w:r>
          </w:p>
        </w:tc>
        <w:tc>
          <w:tcPr>
            <w:tcW w:w="709" w:type="dxa"/>
            <w:tcBorders>
              <w:top w:val="nil"/>
              <w:left w:val="nil"/>
              <w:bottom w:val="single" w:sz="8" w:space="0" w:color="D0D0D0"/>
              <w:right w:val="single" w:sz="8" w:space="0" w:color="D0D0D0"/>
            </w:tcBorders>
            <w:noWrap/>
            <w:vAlign w:val="center"/>
            <w:hideMark/>
          </w:tcPr>
          <w:p w14:paraId="52D567FB" w14:textId="77777777" w:rsidR="005E64D9" w:rsidRPr="00951AB1" w:rsidRDefault="005E64D9" w:rsidP="000A5389">
            <w:pPr>
              <w:spacing w:line="240" w:lineRule="auto"/>
              <w:jc w:val="right"/>
              <w:rPr>
                <w:rFonts w:eastAsia="Times New Roman" w:cs="Times New Roman"/>
                <w:color w:val="000000"/>
                <w:kern w:val="0"/>
                <w:sz w:val="16"/>
                <w:szCs w:val="16"/>
                <w:lang w:eastAsia="es-CO"/>
                <w14:ligatures w14:val="none"/>
              </w:rPr>
            </w:pPr>
            <w:r w:rsidRPr="00951AB1">
              <w:rPr>
                <w:rFonts w:eastAsia="Times New Roman" w:cs="Times New Roman"/>
                <w:color w:val="000000"/>
                <w:kern w:val="0"/>
                <w:sz w:val="16"/>
                <w:szCs w:val="16"/>
                <w:lang w:eastAsia="es-CO"/>
                <w14:ligatures w14:val="none"/>
              </w:rPr>
              <w:t> </w:t>
            </w:r>
          </w:p>
        </w:tc>
        <w:tc>
          <w:tcPr>
            <w:tcW w:w="1005" w:type="dxa"/>
            <w:tcBorders>
              <w:top w:val="nil"/>
              <w:left w:val="nil"/>
              <w:bottom w:val="single" w:sz="8" w:space="0" w:color="D0D0D0"/>
              <w:right w:val="single" w:sz="8" w:space="0" w:color="D0D0D0"/>
            </w:tcBorders>
            <w:noWrap/>
            <w:vAlign w:val="center"/>
            <w:hideMark/>
          </w:tcPr>
          <w:p w14:paraId="6002DC07" w14:textId="77777777" w:rsidR="005E64D9" w:rsidRPr="00951AB1" w:rsidRDefault="005E64D9" w:rsidP="000A5389">
            <w:pPr>
              <w:spacing w:line="240" w:lineRule="auto"/>
              <w:jc w:val="right"/>
              <w:rPr>
                <w:rFonts w:eastAsia="Times New Roman" w:cs="Times New Roman"/>
                <w:color w:val="000000"/>
                <w:kern w:val="0"/>
                <w:sz w:val="16"/>
                <w:szCs w:val="16"/>
                <w:lang w:eastAsia="es-CO"/>
                <w14:ligatures w14:val="none"/>
              </w:rPr>
            </w:pPr>
            <w:r w:rsidRPr="00951AB1">
              <w:rPr>
                <w:rFonts w:eastAsia="Times New Roman" w:cs="Times New Roman"/>
                <w:color w:val="000000"/>
                <w:kern w:val="0"/>
                <w:sz w:val="16"/>
                <w:szCs w:val="16"/>
                <w:lang w:eastAsia="es-CO"/>
                <w14:ligatures w14:val="none"/>
              </w:rPr>
              <w:t>64.526.646</w:t>
            </w:r>
          </w:p>
        </w:tc>
        <w:tc>
          <w:tcPr>
            <w:tcW w:w="1275" w:type="dxa"/>
            <w:tcBorders>
              <w:top w:val="nil"/>
              <w:left w:val="nil"/>
              <w:bottom w:val="single" w:sz="8" w:space="0" w:color="D0D0D0"/>
              <w:right w:val="single" w:sz="8" w:space="0" w:color="D0D0D0"/>
            </w:tcBorders>
            <w:noWrap/>
            <w:vAlign w:val="center"/>
            <w:hideMark/>
          </w:tcPr>
          <w:p w14:paraId="68BFDC32" w14:textId="77777777" w:rsidR="005E64D9" w:rsidRPr="00951AB1" w:rsidRDefault="005E64D9" w:rsidP="000A5389">
            <w:pPr>
              <w:spacing w:line="240" w:lineRule="auto"/>
              <w:jc w:val="right"/>
              <w:rPr>
                <w:rFonts w:eastAsia="Times New Roman" w:cs="Times New Roman"/>
                <w:color w:val="000000"/>
                <w:kern w:val="0"/>
                <w:sz w:val="16"/>
                <w:szCs w:val="16"/>
                <w:lang w:eastAsia="es-CO"/>
                <w14:ligatures w14:val="none"/>
              </w:rPr>
            </w:pPr>
            <w:r w:rsidRPr="00951AB1">
              <w:rPr>
                <w:rFonts w:eastAsia="Times New Roman" w:cs="Times New Roman"/>
                <w:color w:val="000000"/>
                <w:kern w:val="0"/>
                <w:sz w:val="16"/>
                <w:szCs w:val="16"/>
                <w:lang w:eastAsia="es-CO"/>
                <w14:ligatures w14:val="none"/>
              </w:rPr>
              <w:t> </w:t>
            </w:r>
          </w:p>
        </w:tc>
      </w:tr>
      <w:tr w:rsidR="005E64D9" w:rsidRPr="00951AB1" w14:paraId="3164FE75" w14:textId="77777777" w:rsidTr="2C9F3575">
        <w:trPr>
          <w:trHeight w:val="270"/>
        </w:trPr>
        <w:tc>
          <w:tcPr>
            <w:tcW w:w="1266" w:type="dxa"/>
            <w:tcBorders>
              <w:top w:val="nil"/>
              <w:left w:val="single" w:sz="8" w:space="0" w:color="D0D0D0"/>
              <w:bottom w:val="single" w:sz="8" w:space="0" w:color="D0D0D0"/>
              <w:right w:val="single" w:sz="8" w:space="0" w:color="D0D0D0"/>
            </w:tcBorders>
            <w:noWrap/>
            <w:vAlign w:val="center"/>
            <w:hideMark/>
          </w:tcPr>
          <w:p w14:paraId="01E94580" w14:textId="77777777" w:rsidR="005E64D9" w:rsidRPr="00951AB1" w:rsidRDefault="005E64D9" w:rsidP="000A5389">
            <w:pPr>
              <w:spacing w:line="240" w:lineRule="auto"/>
              <w:rPr>
                <w:rFonts w:eastAsia="Times New Roman" w:cs="Times New Roman"/>
                <w:color w:val="000000"/>
                <w:kern w:val="0"/>
                <w:sz w:val="16"/>
                <w:szCs w:val="16"/>
                <w:lang w:eastAsia="es-CO"/>
                <w14:ligatures w14:val="none"/>
              </w:rPr>
            </w:pPr>
            <w:r w:rsidRPr="00951AB1">
              <w:rPr>
                <w:rFonts w:eastAsia="Times New Roman" w:cs="Times New Roman"/>
                <w:color w:val="000000"/>
                <w:kern w:val="0"/>
                <w:sz w:val="16"/>
                <w:szCs w:val="16"/>
                <w:lang w:eastAsia="es-CO"/>
                <w14:ligatures w14:val="none"/>
              </w:rPr>
              <w:lastRenderedPageBreak/>
              <w:t>Sanciones contractuales</w:t>
            </w:r>
          </w:p>
        </w:tc>
        <w:tc>
          <w:tcPr>
            <w:tcW w:w="976" w:type="dxa"/>
            <w:tcBorders>
              <w:top w:val="nil"/>
              <w:left w:val="nil"/>
              <w:bottom w:val="single" w:sz="8" w:space="0" w:color="D0D0D0"/>
              <w:right w:val="single" w:sz="8" w:space="0" w:color="D0D0D0"/>
            </w:tcBorders>
            <w:noWrap/>
            <w:vAlign w:val="center"/>
            <w:hideMark/>
          </w:tcPr>
          <w:p w14:paraId="6D1BF213" w14:textId="77777777" w:rsidR="005E64D9" w:rsidRPr="00951AB1" w:rsidRDefault="005E64D9" w:rsidP="000A5389">
            <w:pPr>
              <w:spacing w:line="240" w:lineRule="auto"/>
              <w:jc w:val="center"/>
              <w:rPr>
                <w:rFonts w:eastAsia="Times New Roman" w:cs="Times New Roman"/>
                <w:color w:val="000000"/>
                <w:kern w:val="0"/>
                <w:sz w:val="16"/>
                <w:szCs w:val="16"/>
                <w:lang w:eastAsia="es-CO"/>
                <w14:ligatures w14:val="none"/>
              </w:rPr>
            </w:pPr>
            <w:r w:rsidRPr="00951AB1">
              <w:rPr>
                <w:rFonts w:eastAsia="Times New Roman" w:cs="Times New Roman"/>
                <w:color w:val="000000"/>
                <w:kern w:val="0"/>
                <w:sz w:val="16"/>
                <w:szCs w:val="16"/>
                <w:lang w:eastAsia="es-CO"/>
                <w14:ligatures w14:val="none"/>
              </w:rPr>
              <w:t>31/05/2021</w:t>
            </w:r>
          </w:p>
        </w:tc>
        <w:tc>
          <w:tcPr>
            <w:tcW w:w="2426" w:type="dxa"/>
            <w:tcBorders>
              <w:top w:val="nil"/>
              <w:left w:val="nil"/>
              <w:bottom w:val="single" w:sz="8" w:space="0" w:color="D0D0D0"/>
              <w:right w:val="single" w:sz="8" w:space="0" w:color="D0D0D0"/>
            </w:tcBorders>
            <w:noWrap/>
            <w:vAlign w:val="center"/>
            <w:hideMark/>
          </w:tcPr>
          <w:p w14:paraId="6422B40B" w14:textId="09F21DB8" w:rsidR="005E64D9" w:rsidRPr="00951AB1" w:rsidRDefault="005E64D9" w:rsidP="000A5389">
            <w:pPr>
              <w:spacing w:line="240" w:lineRule="auto"/>
              <w:rPr>
                <w:rFonts w:eastAsia="Times New Roman" w:cs="Times New Roman"/>
                <w:color w:val="000000"/>
                <w:kern w:val="0"/>
                <w:sz w:val="16"/>
                <w:szCs w:val="16"/>
                <w:lang w:eastAsia="es-CO"/>
                <w14:ligatures w14:val="none"/>
              </w:rPr>
            </w:pPr>
            <w:r w:rsidRPr="00951AB1">
              <w:rPr>
                <w:rFonts w:eastAsia="Times New Roman" w:cs="Times New Roman"/>
                <w:color w:val="000000"/>
                <w:kern w:val="0"/>
                <w:sz w:val="16"/>
                <w:szCs w:val="16"/>
                <w:lang w:eastAsia="es-CO"/>
                <w14:ligatures w14:val="none"/>
              </w:rPr>
              <w:t>Concesionaria Vial De Los Andes S.A.S. Coviandes S.A.S.</w:t>
            </w:r>
          </w:p>
        </w:tc>
        <w:tc>
          <w:tcPr>
            <w:tcW w:w="1276" w:type="dxa"/>
            <w:tcBorders>
              <w:top w:val="nil"/>
              <w:left w:val="nil"/>
              <w:bottom w:val="single" w:sz="8" w:space="0" w:color="D0D0D0"/>
              <w:right w:val="single" w:sz="8" w:space="0" w:color="D0D0D0"/>
            </w:tcBorders>
            <w:noWrap/>
            <w:vAlign w:val="center"/>
            <w:hideMark/>
          </w:tcPr>
          <w:p w14:paraId="2262058E" w14:textId="77777777" w:rsidR="005E64D9" w:rsidRPr="00951AB1" w:rsidRDefault="005E64D9" w:rsidP="000A5389">
            <w:pPr>
              <w:spacing w:line="240" w:lineRule="auto"/>
              <w:jc w:val="right"/>
              <w:rPr>
                <w:rFonts w:eastAsia="Times New Roman" w:cs="Times New Roman"/>
                <w:color w:val="000000"/>
                <w:kern w:val="0"/>
                <w:sz w:val="16"/>
                <w:szCs w:val="16"/>
                <w:lang w:eastAsia="es-CO"/>
                <w14:ligatures w14:val="none"/>
              </w:rPr>
            </w:pPr>
            <w:r w:rsidRPr="00951AB1">
              <w:rPr>
                <w:rFonts w:eastAsia="Times New Roman" w:cs="Times New Roman"/>
                <w:color w:val="000000"/>
                <w:kern w:val="0"/>
                <w:sz w:val="16"/>
                <w:szCs w:val="16"/>
                <w:lang w:eastAsia="es-CO"/>
                <w14:ligatures w14:val="none"/>
              </w:rPr>
              <w:t>23.506.994.882</w:t>
            </w:r>
          </w:p>
        </w:tc>
        <w:tc>
          <w:tcPr>
            <w:tcW w:w="709" w:type="dxa"/>
            <w:tcBorders>
              <w:top w:val="nil"/>
              <w:left w:val="nil"/>
              <w:bottom w:val="single" w:sz="8" w:space="0" w:color="D0D0D0"/>
              <w:right w:val="single" w:sz="8" w:space="0" w:color="D0D0D0"/>
            </w:tcBorders>
            <w:noWrap/>
            <w:vAlign w:val="center"/>
            <w:hideMark/>
          </w:tcPr>
          <w:p w14:paraId="257BE038" w14:textId="77777777" w:rsidR="005E64D9" w:rsidRPr="00951AB1" w:rsidRDefault="005E64D9" w:rsidP="000A5389">
            <w:pPr>
              <w:spacing w:line="240" w:lineRule="auto"/>
              <w:jc w:val="right"/>
              <w:rPr>
                <w:rFonts w:eastAsia="Times New Roman" w:cs="Times New Roman"/>
                <w:color w:val="000000"/>
                <w:kern w:val="0"/>
                <w:sz w:val="16"/>
                <w:szCs w:val="16"/>
                <w:lang w:eastAsia="es-CO"/>
                <w14:ligatures w14:val="none"/>
              </w:rPr>
            </w:pPr>
            <w:r w:rsidRPr="00951AB1">
              <w:rPr>
                <w:rFonts w:eastAsia="Times New Roman" w:cs="Times New Roman"/>
                <w:color w:val="000000"/>
                <w:kern w:val="0"/>
                <w:sz w:val="16"/>
                <w:szCs w:val="16"/>
                <w:lang w:eastAsia="es-CO"/>
                <w14:ligatures w14:val="none"/>
              </w:rPr>
              <w:t> </w:t>
            </w:r>
          </w:p>
        </w:tc>
        <w:tc>
          <w:tcPr>
            <w:tcW w:w="1005" w:type="dxa"/>
            <w:tcBorders>
              <w:top w:val="nil"/>
              <w:left w:val="nil"/>
              <w:bottom w:val="single" w:sz="8" w:space="0" w:color="D0D0D0"/>
              <w:right w:val="single" w:sz="8" w:space="0" w:color="D0D0D0"/>
            </w:tcBorders>
            <w:noWrap/>
            <w:vAlign w:val="center"/>
            <w:hideMark/>
          </w:tcPr>
          <w:p w14:paraId="1C5590B3" w14:textId="77777777" w:rsidR="005E64D9" w:rsidRPr="00951AB1" w:rsidRDefault="005E64D9" w:rsidP="000A5389">
            <w:pPr>
              <w:spacing w:line="240" w:lineRule="auto"/>
              <w:jc w:val="right"/>
              <w:rPr>
                <w:rFonts w:eastAsia="Times New Roman" w:cs="Times New Roman"/>
                <w:color w:val="000000"/>
                <w:kern w:val="0"/>
                <w:sz w:val="16"/>
                <w:szCs w:val="16"/>
                <w:lang w:eastAsia="es-CO"/>
                <w14:ligatures w14:val="none"/>
              </w:rPr>
            </w:pPr>
            <w:r w:rsidRPr="00951AB1">
              <w:rPr>
                <w:rFonts w:eastAsia="Times New Roman" w:cs="Times New Roman"/>
                <w:color w:val="000000"/>
                <w:kern w:val="0"/>
                <w:sz w:val="16"/>
                <w:szCs w:val="16"/>
                <w:lang w:eastAsia="es-CO"/>
                <w14:ligatures w14:val="none"/>
              </w:rPr>
              <w:t> </w:t>
            </w:r>
          </w:p>
        </w:tc>
        <w:tc>
          <w:tcPr>
            <w:tcW w:w="1275" w:type="dxa"/>
            <w:tcBorders>
              <w:top w:val="nil"/>
              <w:left w:val="nil"/>
              <w:bottom w:val="single" w:sz="8" w:space="0" w:color="D0D0D0"/>
              <w:right w:val="single" w:sz="8" w:space="0" w:color="D0D0D0"/>
            </w:tcBorders>
            <w:noWrap/>
            <w:vAlign w:val="center"/>
            <w:hideMark/>
          </w:tcPr>
          <w:p w14:paraId="199CDA07" w14:textId="77777777" w:rsidR="005E64D9" w:rsidRPr="00951AB1" w:rsidRDefault="005E64D9" w:rsidP="000A5389">
            <w:pPr>
              <w:spacing w:line="240" w:lineRule="auto"/>
              <w:jc w:val="right"/>
              <w:rPr>
                <w:rFonts w:eastAsia="Times New Roman" w:cs="Times New Roman"/>
                <w:color w:val="000000"/>
                <w:kern w:val="0"/>
                <w:sz w:val="16"/>
                <w:szCs w:val="16"/>
                <w:lang w:eastAsia="es-CO"/>
                <w14:ligatures w14:val="none"/>
              </w:rPr>
            </w:pPr>
            <w:r w:rsidRPr="00951AB1">
              <w:rPr>
                <w:rFonts w:eastAsia="Times New Roman" w:cs="Times New Roman"/>
                <w:color w:val="000000"/>
                <w:kern w:val="0"/>
                <w:sz w:val="16"/>
                <w:szCs w:val="16"/>
                <w:lang w:eastAsia="es-CO"/>
                <w14:ligatures w14:val="none"/>
              </w:rPr>
              <w:t>23.506.994.882</w:t>
            </w:r>
          </w:p>
        </w:tc>
      </w:tr>
      <w:tr w:rsidR="005E64D9" w:rsidRPr="00951AB1" w14:paraId="35B813E1" w14:textId="77777777" w:rsidTr="2C9F3575">
        <w:trPr>
          <w:trHeight w:val="270"/>
        </w:trPr>
        <w:tc>
          <w:tcPr>
            <w:tcW w:w="1266" w:type="dxa"/>
            <w:tcBorders>
              <w:top w:val="nil"/>
              <w:left w:val="single" w:sz="8" w:space="0" w:color="D0D0D0"/>
              <w:bottom w:val="single" w:sz="8" w:space="0" w:color="D0D0D0"/>
              <w:right w:val="single" w:sz="8" w:space="0" w:color="D0D0D0"/>
            </w:tcBorders>
            <w:noWrap/>
            <w:vAlign w:val="center"/>
            <w:hideMark/>
          </w:tcPr>
          <w:p w14:paraId="0A82A606" w14:textId="77777777" w:rsidR="005E64D9" w:rsidRPr="00951AB1" w:rsidRDefault="005E64D9" w:rsidP="000A5389">
            <w:pPr>
              <w:spacing w:line="240" w:lineRule="auto"/>
              <w:rPr>
                <w:rFonts w:eastAsia="Times New Roman" w:cs="Times New Roman"/>
                <w:color w:val="000000"/>
                <w:kern w:val="0"/>
                <w:sz w:val="16"/>
                <w:szCs w:val="16"/>
                <w:lang w:eastAsia="es-CO"/>
                <w14:ligatures w14:val="none"/>
              </w:rPr>
            </w:pPr>
            <w:r w:rsidRPr="00951AB1">
              <w:rPr>
                <w:rFonts w:eastAsia="Times New Roman" w:cs="Times New Roman"/>
                <w:color w:val="000000"/>
                <w:kern w:val="0"/>
                <w:sz w:val="16"/>
                <w:szCs w:val="16"/>
                <w:lang w:eastAsia="es-CO"/>
                <w14:ligatures w14:val="none"/>
              </w:rPr>
              <w:t>Sanciones contractuales</w:t>
            </w:r>
          </w:p>
        </w:tc>
        <w:tc>
          <w:tcPr>
            <w:tcW w:w="976" w:type="dxa"/>
            <w:tcBorders>
              <w:top w:val="nil"/>
              <w:left w:val="nil"/>
              <w:bottom w:val="single" w:sz="8" w:space="0" w:color="D0D0D0"/>
              <w:right w:val="single" w:sz="8" w:space="0" w:color="D0D0D0"/>
            </w:tcBorders>
            <w:noWrap/>
            <w:vAlign w:val="center"/>
            <w:hideMark/>
          </w:tcPr>
          <w:p w14:paraId="5127EDA6" w14:textId="77777777" w:rsidR="005E64D9" w:rsidRPr="00951AB1" w:rsidRDefault="005E64D9" w:rsidP="000A5389">
            <w:pPr>
              <w:spacing w:line="240" w:lineRule="auto"/>
              <w:jc w:val="center"/>
              <w:rPr>
                <w:rFonts w:eastAsia="Times New Roman" w:cs="Times New Roman"/>
                <w:color w:val="000000"/>
                <w:kern w:val="0"/>
                <w:sz w:val="16"/>
                <w:szCs w:val="16"/>
                <w:lang w:eastAsia="es-CO"/>
                <w14:ligatures w14:val="none"/>
              </w:rPr>
            </w:pPr>
            <w:r w:rsidRPr="00951AB1">
              <w:rPr>
                <w:rFonts w:eastAsia="Times New Roman" w:cs="Times New Roman"/>
                <w:color w:val="000000"/>
                <w:kern w:val="0"/>
                <w:sz w:val="16"/>
                <w:szCs w:val="16"/>
                <w:lang w:eastAsia="es-CO"/>
                <w14:ligatures w14:val="none"/>
              </w:rPr>
              <w:t>6/05/2022</w:t>
            </w:r>
          </w:p>
        </w:tc>
        <w:tc>
          <w:tcPr>
            <w:tcW w:w="2426" w:type="dxa"/>
            <w:tcBorders>
              <w:top w:val="nil"/>
              <w:left w:val="nil"/>
              <w:bottom w:val="single" w:sz="8" w:space="0" w:color="D0D0D0"/>
              <w:right w:val="single" w:sz="8" w:space="0" w:color="D0D0D0"/>
            </w:tcBorders>
            <w:noWrap/>
            <w:vAlign w:val="center"/>
            <w:hideMark/>
          </w:tcPr>
          <w:p w14:paraId="03D4DF5C" w14:textId="64E125E4" w:rsidR="005E64D9" w:rsidRPr="00951AB1" w:rsidRDefault="005E64D9" w:rsidP="000A5389">
            <w:pPr>
              <w:spacing w:line="240" w:lineRule="auto"/>
              <w:rPr>
                <w:rFonts w:eastAsia="Times New Roman" w:cs="Times New Roman"/>
                <w:color w:val="000000"/>
                <w:kern w:val="0"/>
                <w:sz w:val="16"/>
                <w:szCs w:val="16"/>
                <w:lang w:eastAsia="es-CO"/>
                <w14:ligatures w14:val="none"/>
              </w:rPr>
            </w:pPr>
            <w:r w:rsidRPr="00951AB1">
              <w:rPr>
                <w:rFonts w:eastAsia="Times New Roman" w:cs="Times New Roman"/>
                <w:color w:val="000000"/>
                <w:kern w:val="0"/>
                <w:sz w:val="16"/>
                <w:szCs w:val="16"/>
                <w:lang w:eastAsia="es-CO"/>
                <w14:ligatures w14:val="none"/>
              </w:rPr>
              <w:t>Sociedad Portuaria Terminal De IFO'S S.A.</w:t>
            </w:r>
          </w:p>
        </w:tc>
        <w:tc>
          <w:tcPr>
            <w:tcW w:w="1276" w:type="dxa"/>
            <w:tcBorders>
              <w:top w:val="nil"/>
              <w:left w:val="nil"/>
              <w:bottom w:val="single" w:sz="8" w:space="0" w:color="D0D0D0"/>
              <w:right w:val="single" w:sz="8" w:space="0" w:color="D0D0D0"/>
            </w:tcBorders>
            <w:noWrap/>
            <w:vAlign w:val="center"/>
            <w:hideMark/>
          </w:tcPr>
          <w:p w14:paraId="18898F09" w14:textId="77777777" w:rsidR="005E64D9" w:rsidRPr="00951AB1" w:rsidRDefault="005E64D9" w:rsidP="000A5389">
            <w:pPr>
              <w:spacing w:line="240" w:lineRule="auto"/>
              <w:jc w:val="right"/>
              <w:rPr>
                <w:rFonts w:eastAsia="Times New Roman" w:cs="Times New Roman"/>
                <w:color w:val="000000"/>
                <w:kern w:val="0"/>
                <w:sz w:val="16"/>
                <w:szCs w:val="16"/>
                <w:lang w:eastAsia="es-CO"/>
                <w14:ligatures w14:val="none"/>
              </w:rPr>
            </w:pPr>
            <w:r w:rsidRPr="00951AB1">
              <w:rPr>
                <w:rFonts w:eastAsia="Times New Roman" w:cs="Times New Roman"/>
                <w:color w:val="000000"/>
                <w:kern w:val="0"/>
                <w:sz w:val="16"/>
                <w:szCs w:val="16"/>
                <w:lang w:eastAsia="es-CO"/>
                <w14:ligatures w14:val="none"/>
              </w:rPr>
              <w:t>2.483.733.384</w:t>
            </w:r>
          </w:p>
        </w:tc>
        <w:tc>
          <w:tcPr>
            <w:tcW w:w="709" w:type="dxa"/>
            <w:tcBorders>
              <w:top w:val="nil"/>
              <w:left w:val="nil"/>
              <w:bottom w:val="single" w:sz="8" w:space="0" w:color="D0D0D0"/>
              <w:right w:val="single" w:sz="8" w:space="0" w:color="D0D0D0"/>
            </w:tcBorders>
            <w:noWrap/>
            <w:vAlign w:val="center"/>
            <w:hideMark/>
          </w:tcPr>
          <w:p w14:paraId="7041121A" w14:textId="77777777" w:rsidR="005E64D9" w:rsidRPr="00951AB1" w:rsidRDefault="005E64D9" w:rsidP="000A5389">
            <w:pPr>
              <w:spacing w:line="240" w:lineRule="auto"/>
              <w:jc w:val="right"/>
              <w:rPr>
                <w:rFonts w:eastAsia="Times New Roman" w:cs="Times New Roman"/>
                <w:color w:val="000000"/>
                <w:kern w:val="0"/>
                <w:sz w:val="16"/>
                <w:szCs w:val="16"/>
                <w:lang w:eastAsia="es-CO"/>
                <w14:ligatures w14:val="none"/>
              </w:rPr>
            </w:pPr>
            <w:r w:rsidRPr="00951AB1">
              <w:rPr>
                <w:rFonts w:eastAsia="Times New Roman" w:cs="Times New Roman"/>
                <w:color w:val="000000"/>
                <w:kern w:val="0"/>
                <w:sz w:val="16"/>
                <w:szCs w:val="16"/>
                <w:lang w:eastAsia="es-CO"/>
                <w14:ligatures w14:val="none"/>
              </w:rPr>
              <w:t> </w:t>
            </w:r>
          </w:p>
        </w:tc>
        <w:tc>
          <w:tcPr>
            <w:tcW w:w="1005" w:type="dxa"/>
            <w:tcBorders>
              <w:top w:val="nil"/>
              <w:left w:val="nil"/>
              <w:bottom w:val="single" w:sz="8" w:space="0" w:color="D0D0D0"/>
              <w:right w:val="single" w:sz="8" w:space="0" w:color="D0D0D0"/>
            </w:tcBorders>
            <w:noWrap/>
            <w:vAlign w:val="center"/>
            <w:hideMark/>
          </w:tcPr>
          <w:p w14:paraId="0B605461" w14:textId="77777777" w:rsidR="005E64D9" w:rsidRPr="00951AB1" w:rsidRDefault="005E64D9" w:rsidP="000A5389">
            <w:pPr>
              <w:spacing w:line="240" w:lineRule="auto"/>
              <w:jc w:val="right"/>
              <w:rPr>
                <w:rFonts w:eastAsia="Times New Roman" w:cs="Times New Roman"/>
                <w:color w:val="000000"/>
                <w:kern w:val="0"/>
                <w:sz w:val="16"/>
                <w:szCs w:val="16"/>
                <w:lang w:eastAsia="es-CO"/>
                <w14:ligatures w14:val="none"/>
              </w:rPr>
            </w:pPr>
            <w:r w:rsidRPr="00951AB1">
              <w:rPr>
                <w:rFonts w:eastAsia="Times New Roman" w:cs="Times New Roman"/>
                <w:color w:val="000000"/>
                <w:kern w:val="0"/>
                <w:sz w:val="16"/>
                <w:szCs w:val="16"/>
                <w:lang w:eastAsia="es-CO"/>
                <w14:ligatures w14:val="none"/>
              </w:rPr>
              <w:t> </w:t>
            </w:r>
          </w:p>
        </w:tc>
        <w:tc>
          <w:tcPr>
            <w:tcW w:w="1275" w:type="dxa"/>
            <w:tcBorders>
              <w:top w:val="nil"/>
              <w:left w:val="nil"/>
              <w:bottom w:val="single" w:sz="8" w:space="0" w:color="D0D0D0"/>
              <w:right w:val="single" w:sz="8" w:space="0" w:color="D0D0D0"/>
            </w:tcBorders>
            <w:noWrap/>
            <w:vAlign w:val="center"/>
            <w:hideMark/>
          </w:tcPr>
          <w:p w14:paraId="0991B421" w14:textId="77777777" w:rsidR="005E64D9" w:rsidRPr="00951AB1" w:rsidRDefault="005E64D9" w:rsidP="000A5389">
            <w:pPr>
              <w:spacing w:line="240" w:lineRule="auto"/>
              <w:jc w:val="right"/>
              <w:rPr>
                <w:rFonts w:eastAsia="Times New Roman" w:cs="Times New Roman"/>
                <w:color w:val="000000"/>
                <w:kern w:val="0"/>
                <w:sz w:val="16"/>
                <w:szCs w:val="16"/>
                <w:lang w:eastAsia="es-CO"/>
                <w14:ligatures w14:val="none"/>
              </w:rPr>
            </w:pPr>
            <w:r w:rsidRPr="00951AB1">
              <w:rPr>
                <w:rFonts w:eastAsia="Times New Roman" w:cs="Times New Roman"/>
                <w:color w:val="000000"/>
                <w:kern w:val="0"/>
                <w:sz w:val="16"/>
                <w:szCs w:val="16"/>
                <w:lang w:eastAsia="es-CO"/>
                <w14:ligatures w14:val="none"/>
              </w:rPr>
              <w:t>2.483.733.384</w:t>
            </w:r>
          </w:p>
        </w:tc>
      </w:tr>
      <w:tr w:rsidR="005E64D9" w:rsidRPr="00951AB1" w14:paraId="6C94E629" w14:textId="77777777" w:rsidTr="2C9F3575">
        <w:trPr>
          <w:trHeight w:val="270"/>
        </w:trPr>
        <w:tc>
          <w:tcPr>
            <w:tcW w:w="1266" w:type="dxa"/>
            <w:tcBorders>
              <w:top w:val="nil"/>
              <w:left w:val="single" w:sz="8" w:space="0" w:color="D0D0D0"/>
              <w:bottom w:val="single" w:sz="8" w:space="0" w:color="D0D0D0"/>
              <w:right w:val="single" w:sz="8" w:space="0" w:color="D0D0D0"/>
            </w:tcBorders>
            <w:noWrap/>
            <w:vAlign w:val="center"/>
            <w:hideMark/>
          </w:tcPr>
          <w:p w14:paraId="71DF79EC" w14:textId="77777777" w:rsidR="005E64D9" w:rsidRPr="00951AB1" w:rsidRDefault="005E64D9" w:rsidP="000A5389">
            <w:pPr>
              <w:spacing w:line="240" w:lineRule="auto"/>
              <w:rPr>
                <w:rFonts w:eastAsia="Times New Roman" w:cs="Times New Roman"/>
                <w:color w:val="000000"/>
                <w:kern w:val="0"/>
                <w:sz w:val="16"/>
                <w:szCs w:val="16"/>
                <w:lang w:eastAsia="es-CO"/>
                <w14:ligatures w14:val="none"/>
              </w:rPr>
            </w:pPr>
            <w:r w:rsidRPr="00951AB1">
              <w:rPr>
                <w:rFonts w:eastAsia="Times New Roman" w:cs="Times New Roman"/>
                <w:color w:val="000000"/>
                <w:kern w:val="0"/>
                <w:sz w:val="16"/>
                <w:szCs w:val="16"/>
                <w:lang w:eastAsia="es-CO"/>
                <w14:ligatures w14:val="none"/>
              </w:rPr>
              <w:t>Sanciones contractuales</w:t>
            </w:r>
          </w:p>
        </w:tc>
        <w:tc>
          <w:tcPr>
            <w:tcW w:w="976" w:type="dxa"/>
            <w:tcBorders>
              <w:top w:val="nil"/>
              <w:left w:val="nil"/>
              <w:bottom w:val="single" w:sz="8" w:space="0" w:color="D0D0D0"/>
              <w:right w:val="single" w:sz="8" w:space="0" w:color="D0D0D0"/>
            </w:tcBorders>
            <w:noWrap/>
            <w:vAlign w:val="center"/>
            <w:hideMark/>
          </w:tcPr>
          <w:p w14:paraId="2555551D" w14:textId="77777777" w:rsidR="005E64D9" w:rsidRPr="00951AB1" w:rsidRDefault="005E64D9" w:rsidP="000A5389">
            <w:pPr>
              <w:spacing w:line="240" w:lineRule="auto"/>
              <w:jc w:val="center"/>
              <w:rPr>
                <w:rFonts w:eastAsia="Times New Roman" w:cs="Times New Roman"/>
                <w:color w:val="000000"/>
                <w:kern w:val="0"/>
                <w:sz w:val="16"/>
                <w:szCs w:val="16"/>
                <w:lang w:eastAsia="es-CO"/>
                <w14:ligatures w14:val="none"/>
              </w:rPr>
            </w:pPr>
            <w:r w:rsidRPr="00951AB1">
              <w:rPr>
                <w:rFonts w:eastAsia="Times New Roman" w:cs="Times New Roman"/>
                <w:color w:val="000000"/>
                <w:kern w:val="0"/>
                <w:sz w:val="16"/>
                <w:szCs w:val="16"/>
                <w:lang w:eastAsia="es-CO"/>
                <w14:ligatures w14:val="none"/>
              </w:rPr>
              <w:t>30/11/2023</w:t>
            </w:r>
          </w:p>
        </w:tc>
        <w:tc>
          <w:tcPr>
            <w:tcW w:w="2426" w:type="dxa"/>
            <w:tcBorders>
              <w:top w:val="nil"/>
              <w:left w:val="nil"/>
              <w:bottom w:val="single" w:sz="8" w:space="0" w:color="D0D0D0"/>
              <w:right w:val="single" w:sz="8" w:space="0" w:color="D0D0D0"/>
            </w:tcBorders>
            <w:noWrap/>
            <w:vAlign w:val="center"/>
            <w:hideMark/>
          </w:tcPr>
          <w:p w14:paraId="55AEEF1C" w14:textId="08DB1426" w:rsidR="005E64D9" w:rsidRPr="00951AB1" w:rsidRDefault="005E64D9" w:rsidP="000A5389">
            <w:pPr>
              <w:spacing w:line="240" w:lineRule="auto"/>
              <w:rPr>
                <w:rFonts w:eastAsia="Times New Roman" w:cs="Times New Roman"/>
                <w:color w:val="000000"/>
                <w:kern w:val="0"/>
                <w:sz w:val="16"/>
                <w:szCs w:val="16"/>
                <w:lang w:eastAsia="es-CO"/>
                <w14:ligatures w14:val="none"/>
              </w:rPr>
            </w:pPr>
            <w:r w:rsidRPr="00951AB1">
              <w:rPr>
                <w:rFonts w:eastAsia="Times New Roman" w:cs="Times New Roman"/>
                <w:color w:val="000000"/>
                <w:kern w:val="0"/>
                <w:sz w:val="16"/>
                <w:szCs w:val="16"/>
                <w:lang w:eastAsia="es-CO"/>
                <w14:ligatures w14:val="none"/>
              </w:rPr>
              <w:t>Sociedad Portuaria Puerto Hondo S.A.</w:t>
            </w:r>
          </w:p>
        </w:tc>
        <w:tc>
          <w:tcPr>
            <w:tcW w:w="1276" w:type="dxa"/>
            <w:tcBorders>
              <w:top w:val="nil"/>
              <w:left w:val="nil"/>
              <w:bottom w:val="single" w:sz="8" w:space="0" w:color="D0D0D0"/>
              <w:right w:val="single" w:sz="8" w:space="0" w:color="D0D0D0"/>
            </w:tcBorders>
            <w:noWrap/>
            <w:vAlign w:val="center"/>
            <w:hideMark/>
          </w:tcPr>
          <w:p w14:paraId="3317DA24" w14:textId="77777777" w:rsidR="005E64D9" w:rsidRPr="00951AB1" w:rsidRDefault="005E64D9" w:rsidP="000A5389">
            <w:pPr>
              <w:spacing w:line="240" w:lineRule="auto"/>
              <w:jc w:val="right"/>
              <w:rPr>
                <w:rFonts w:eastAsia="Times New Roman" w:cs="Times New Roman"/>
                <w:color w:val="000000"/>
                <w:kern w:val="0"/>
                <w:sz w:val="16"/>
                <w:szCs w:val="16"/>
                <w:lang w:eastAsia="es-CO"/>
                <w14:ligatures w14:val="none"/>
              </w:rPr>
            </w:pPr>
            <w:r w:rsidRPr="00951AB1">
              <w:rPr>
                <w:rFonts w:eastAsia="Times New Roman" w:cs="Times New Roman"/>
                <w:color w:val="000000"/>
                <w:kern w:val="0"/>
                <w:sz w:val="16"/>
                <w:szCs w:val="16"/>
                <w:lang w:eastAsia="es-CO"/>
                <w14:ligatures w14:val="none"/>
              </w:rPr>
              <w:t>51.997.461</w:t>
            </w:r>
          </w:p>
        </w:tc>
        <w:tc>
          <w:tcPr>
            <w:tcW w:w="709" w:type="dxa"/>
            <w:tcBorders>
              <w:top w:val="nil"/>
              <w:left w:val="nil"/>
              <w:bottom w:val="single" w:sz="8" w:space="0" w:color="D0D0D0"/>
              <w:right w:val="single" w:sz="8" w:space="0" w:color="D0D0D0"/>
            </w:tcBorders>
            <w:noWrap/>
            <w:vAlign w:val="center"/>
            <w:hideMark/>
          </w:tcPr>
          <w:p w14:paraId="3518702B" w14:textId="77777777" w:rsidR="005E64D9" w:rsidRPr="00951AB1" w:rsidRDefault="005E64D9" w:rsidP="000A5389">
            <w:pPr>
              <w:spacing w:line="240" w:lineRule="auto"/>
              <w:jc w:val="right"/>
              <w:rPr>
                <w:rFonts w:eastAsia="Times New Roman" w:cs="Times New Roman"/>
                <w:color w:val="000000"/>
                <w:kern w:val="0"/>
                <w:sz w:val="16"/>
                <w:szCs w:val="16"/>
                <w:lang w:eastAsia="es-CO"/>
                <w14:ligatures w14:val="none"/>
              </w:rPr>
            </w:pPr>
            <w:r w:rsidRPr="00951AB1">
              <w:rPr>
                <w:rFonts w:eastAsia="Times New Roman" w:cs="Times New Roman"/>
                <w:color w:val="000000"/>
                <w:kern w:val="0"/>
                <w:sz w:val="16"/>
                <w:szCs w:val="16"/>
                <w:lang w:eastAsia="es-CO"/>
                <w14:ligatures w14:val="none"/>
              </w:rPr>
              <w:t> </w:t>
            </w:r>
          </w:p>
        </w:tc>
        <w:tc>
          <w:tcPr>
            <w:tcW w:w="1005" w:type="dxa"/>
            <w:tcBorders>
              <w:top w:val="nil"/>
              <w:left w:val="nil"/>
              <w:bottom w:val="single" w:sz="8" w:space="0" w:color="D0D0D0"/>
              <w:right w:val="single" w:sz="8" w:space="0" w:color="D0D0D0"/>
            </w:tcBorders>
            <w:noWrap/>
            <w:vAlign w:val="center"/>
            <w:hideMark/>
          </w:tcPr>
          <w:p w14:paraId="0593FA57" w14:textId="77777777" w:rsidR="005E64D9" w:rsidRPr="00951AB1" w:rsidRDefault="005E64D9" w:rsidP="000A5389">
            <w:pPr>
              <w:spacing w:line="240" w:lineRule="auto"/>
              <w:jc w:val="right"/>
              <w:rPr>
                <w:rFonts w:eastAsia="Times New Roman" w:cs="Times New Roman"/>
                <w:color w:val="000000"/>
                <w:kern w:val="0"/>
                <w:sz w:val="16"/>
                <w:szCs w:val="16"/>
                <w:lang w:eastAsia="es-CO"/>
                <w14:ligatures w14:val="none"/>
              </w:rPr>
            </w:pPr>
            <w:r w:rsidRPr="00951AB1">
              <w:rPr>
                <w:rFonts w:eastAsia="Times New Roman" w:cs="Times New Roman"/>
                <w:color w:val="000000"/>
                <w:kern w:val="0"/>
                <w:sz w:val="16"/>
                <w:szCs w:val="16"/>
                <w:lang w:eastAsia="es-CO"/>
                <w14:ligatures w14:val="none"/>
              </w:rPr>
              <w:t>51.997.461</w:t>
            </w:r>
          </w:p>
        </w:tc>
        <w:tc>
          <w:tcPr>
            <w:tcW w:w="1275" w:type="dxa"/>
            <w:tcBorders>
              <w:top w:val="nil"/>
              <w:left w:val="nil"/>
              <w:bottom w:val="single" w:sz="8" w:space="0" w:color="D0D0D0"/>
              <w:right w:val="single" w:sz="8" w:space="0" w:color="D0D0D0"/>
            </w:tcBorders>
            <w:noWrap/>
            <w:vAlign w:val="center"/>
            <w:hideMark/>
          </w:tcPr>
          <w:p w14:paraId="18F7917B" w14:textId="77777777" w:rsidR="005E64D9" w:rsidRPr="00951AB1" w:rsidRDefault="005E64D9" w:rsidP="000A5389">
            <w:pPr>
              <w:spacing w:line="240" w:lineRule="auto"/>
              <w:jc w:val="right"/>
              <w:rPr>
                <w:rFonts w:eastAsia="Times New Roman" w:cs="Times New Roman"/>
                <w:color w:val="000000"/>
                <w:kern w:val="0"/>
                <w:sz w:val="16"/>
                <w:szCs w:val="16"/>
                <w:lang w:eastAsia="es-CO"/>
                <w14:ligatures w14:val="none"/>
              </w:rPr>
            </w:pPr>
            <w:r w:rsidRPr="00951AB1">
              <w:rPr>
                <w:rFonts w:eastAsia="Times New Roman" w:cs="Times New Roman"/>
                <w:color w:val="000000"/>
                <w:kern w:val="0"/>
                <w:sz w:val="16"/>
                <w:szCs w:val="16"/>
                <w:lang w:eastAsia="es-CO"/>
                <w14:ligatures w14:val="none"/>
              </w:rPr>
              <w:t> </w:t>
            </w:r>
          </w:p>
        </w:tc>
      </w:tr>
      <w:tr w:rsidR="005E64D9" w:rsidRPr="00951AB1" w14:paraId="7528F94B" w14:textId="77777777" w:rsidTr="2C9F3575">
        <w:trPr>
          <w:trHeight w:val="270"/>
        </w:trPr>
        <w:tc>
          <w:tcPr>
            <w:tcW w:w="1266" w:type="dxa"/>
            <w:tcBorders>
              <w:top w:val="nil"/>
              <w:left w:val="single" w:sz="8" w:space="0" w:color="D0D0D0"/>
              <w:bottom w:val="single" w:sz="8" w:space="0" w:color="D0D0D0"/>
              <w:right w:val="single" w:sz="8" w:space="0" w:color="D0D0D0"/>
            </w:tcBorders>
            <w:noWrap/>
            <w:vAlign w:val="center"/>
            <w:hideMark/>
          </w:tcPr>
          <w:p w14:paraId="274EA1DD" w14:textId="77777777" w:rsidR="005E64D9" w:rsidRPr="00951AB1" w:rsidRDefault="005E64D9" w:rsidP="000A5389">
            <w:pPr>
              <w:spacing w:line="240" w:lineRule="auto"/>
              <w:rPr>
                <w:rFonts w:eastAsia="Times New Roman" w:cs="Times New Roman"/>
                <w:color w:val="000000"/>
                <w:kern w:val="0"/>
                <w:sz w:val="16"/>
                <w:szCs w:val="16"/>
                <w:lang w:eastAsia="es-CO"/>
                <w14:ligatures w14:val="none"/>
              </w:rPr>
            </w:pPr>
            <w:r w:rsidRPr="00951AB1">
              <w:rPr>
                <w:rFonts w:eastAsia="Times New Roman" w:cs="Times New Roman"/>
                <w:color w:val="000000"/>
                <w:kern w:val="0"/>
                <w:sz w:val="16"/>
                <w:szCs w:val="16"/>
                <w:lang w:eastAsia="es-CO"/>
                <w14:ligatures w14:val="none"/>
              </w:rPr>
              <w:t>Sanciones contractuales</w:t>
            </w:r>
          </w:p>
        </w:tc>
        <w:tc>
          <w:tcPr>
            <w:tcW w:w="976" w:type="dxa"/>
            <w:tcBorders>
              <w:top w:val="nil"/>
              <w:left w:val="nil"/>
              <w:bottom w:val="single" w:sz="8" w:space="0" w:color="D0D0D0"/>
              <w:right w:val="single" w:sz="8" w:space="0" w:color="D0D0D0"/>
            </w:tcBorders>
            <w:noWrap/>
            <w:vAlign w:val="center"/>
            <w:hideMark/>
          </w:tcPr>
          <w:p w14:paraId="0EA47594" w14:textId="77777777" w:rsidR="005E64D9" w:rsidRPr="00951AB1" w:rsidRDefault="005E64D9" w:rsidP="000A5389">
            <w:pPr>
              <w:spacing w:line="240" w:lineRule="auto"/>
              <w:jc w:val="center"/>
              <w:rPr>
                <w:rFonts w:eastAsia="Times New Roman" w:cs="Times New Roman"/>
                <w:color w:val="000000"/>
                <w:kern w:val="0"/>
                <w:sz w:val="16"/>
                <w:szCs w:val="16"/>
                <w:lang w:eastAsia="es-CO"/>
                <w14:ligatures w14:val="none"/>
              </w:rPr>
            </w:pPr>
            <w:r w:rsidRPr="00951AB1">
              <w:rPr>
                <w:rFonts w:eastAsia="Times New Roman" w:cs="Times New Roman"/>
                <w:color w:val="000000"/>
                <w:kern w:val="0"/>
                <w:sz w:val="16"/>
                <w:szCs w:val="16"/>
                <w:lang w:eastAsia="es-CO"/>
                <w14:ligatures w14:val="none"/>
              </w:rPr>
              <w:t>30/06/2021</w:t>
            </w:r>
          </w:p>
        </w:tc>
        <w:tc>
          <w:tcPr>
            <w:tcW w:w="2426" w:type="dxa"/>
            <w:tcBorders>
              <w:top w:val="nil"/>
              <w:left w:val="nil"/>
              <w:bottom w:val="single" w:sz="8" w:space="0" w:color="D0D0D0"/>
              <w:right w:val="single" w:sz="8" w:space="0" w:color="D0D0D0"/>
            </w:tcBorders>
            <w:noWrap/>
            <w:vAlign w:val="center"/>
            <w:hideMark/>
          </w:tcPr>
          <w:p w14:paraId="563F5D85" w14:textId="07C04F9F" w:rsidR="005E64D9" w:rsidRPr="00951AB1" w:rsidRDefault="005E64D9" w:rsidP="000A5389">
            <w:pPr>
              <w:spacing w:line="240" w:lineRule="auto"/>
              <w:rPr>
                <w:rFonts w:eastAsia="Times New Roman" w:cs="Times New Roman"/>
                <w:color w:val="000000"/>
                <w:kern w:val="0"/>
                <w:sz w:val="16"/>
                <w:szCs w:val="16"/>
                <w:lang w:eastAsia="es-CO"/>
                <w14:ligatures w14:val="none"/>
              </w:rPr>
            </w:pPr>
            <w:r w:rsidRPr="00951AB1">
              <w:rPr>
                <w:rFonts w:eastAsia="Times New Roman" w:cs="Times New Roman"/>
                <w:color w:val="000000"/>
                <w:kern w:val="0"/>
                <w:sz w:val="16"/>
                <w:szCs w:val="16"/>
                <w:lang w:eastAsia="es-CO"/>
                <w14:ligatures w14:val="none"/>
              </w:rPr>
              <w:t>Sociedad Portuaria De La Península</w:t>
            </w:r>
          </w:p>
        </w:tc>
        <w:tc>
          <w:tcPr>
            <w:tcW w:w="1276" w:type="dxa"/>
            <w:tcBorders>
              <w:top w:val="nil"/>
              <w:left w:val="nil"/>
              <w:bottom w:val="single" w:sz="8" w:space="0" w:color="D0D0D0"/>
              <w:right w:val="single" w:sz="8" w:space="0" w:color="D0D0D0"/>
            </w:tcBorders>
            <w:noWrap/>
            <w:vAlign w:val="center"/>
            <w:hideMark/>
          </w:tcPr>
          <w:p w14:paraId="57F39E57" w14:textId="77777777" w:rsidR="005E64D9" w:rsidRPr="00951AB1" w:rsidRDefault="005E64D9" w:rsidP="000A5389">
            <w:pPr>
              <w:spacing w:line="240" w:lineRule="auto"/>
              <w:jc w:val="right"/>
              <w:rPr>
                <w:rFonts w:eastAsia="Times New Roman" w:cs="Times New Roman"/>
                <w:color w:val="000000"/>
                <w:kern w:val="0"/>
                <w:sz w:val="16"/>
                <w:szCs w:val="16"/>
                <w:lang w:eastAsia="es-CO"/>
                <w14:ligatures w14:val="none"/>
              </w:rPr>
            </w:pPr>
            <w:r w:rsidRPr="00951AB1">
              <w:rPr>
                <w:rFonts w:eastAsia="Times New Roman" w:cs="Times New Roman"/>
                <w:color w:val="000000"/>
                <w:kern w:val="0"/>
                <w:sz w:val="16"/>
                <w:szCs w:val="16"/>
                <w:lang w:eastAsia="es-CO"/>
                <w14:ligatures w14:val="none"/>
              </w:rPr>
              <w:t>78.581.789</w:t>
            </w:r>
          </w:p>
        </w:tc>
        <w:tc>
          <w:tcPr>
            <w:tcW w:w="709" w:type="dxa"/>
            <w:tcBorders>
              <w:top w:val="nil"/>
              <w:left w:val="nil"/>
              <w:bottom w:val="single" w:sz="8" w:space="0" w:color="D0D0D0"/>
              <w:right w:val="single" w:sz="8" w:space="0" w:color="D0D0D0"/>
            </w:tcBorders>
            <w:noWrap/>
            <w:vAlign w:val="center"/>
            <w:hideMark/>
          </w:tcPr>
          <w:p w14:paraId="380E6671" w14:textId="77777777" w:rsidR="005E64D9" w:rsidRPr="00951AB1" w:rsidRDefault="005E64D9" w:rsidP="000A5389">
            <w:pPr>
              <w:spacing w:line="240" w:lineRule="auto"/>
              <w:jc w:val="right"/>
              <w:rPr>
                <w:rFonts w:eastAsia="Times New Roman" w:cs="Times New Roman"/>
                <w:color w:val="000000"/>
                <w:kern w:val="0"/>
                <w:sz w:val="16"/>
                <w:szCs w:val="16"/>
                <w:lang w:eastAsia="es-CO"/>
                <w14:ligatures w14:val="none"/>
              </w:rPr>
            </w:pPr>
            <w:r w:rsidRPr="00951AB1">
              <w:rPr>
                <w:rFonts w:eastAsia="Times New Roman" w:cs="Times New Roman"/>
                <w:color w:val="000000"/>
                <w:kern w:val="0"/>
                <w:sz w:val="16"/>
                <w:szCs w:val="16"/>
                <w:lang w:eastAsia="es-CO"/>
                <w14:ligatures w14:val="none"/>
              </w:rPr>
              <w:t> </w:t>
            </w:r>
          </w:p>
        </w:tc>
        <w:tc>
          <w:tcPr>
            <w:tcW w:w="1005" w:type="dxa"/>
            <w:tcBorders>
              <w:top w:val="nil"/>
              <w:left w:val="nil"/>
              <w:bottom w:val="single" w:sz="8" w:space="0" w:color="D0D0D0"/>
              <w:right w:val="single" w:sz="8" w:space="0" w:color="D0D0D0"/>
            </w:tcBorders>
            <w:noWrap/>
            <w:vAlign w:val="center"/>
            <w:hideMark/>
          </w:tcPr>
          <w:p w14:paraId="1B7CDA0A" w14:textId="77777777" w:rsidR="005E64D9" w:rsidRPr="00951AB1" w:rsidRDefault="005E64D9" w:rsidP="000A5389">
            <w:pPr>
              <w:spacing w:line="240" w:lineRule="auto"/>
              <w:jc w:val="right"/>
              <w:rPr>
                <w:rFonts w:eastAsia="Times New Roman" w:cs="Times New Roman"/>
                <w:color w:val="000000"/>
                <w:kern w:val="0"/>
                <w:sz w:val="16"/>
                <w:szCs w:val="16"/>
                <w:lang w:eastAsia="es-CO"/>
                <w14:ligatures w14:val="none"/>
              </w:rPr>
            </w:pPr>
            <w:r w:rsidRPr="00951AB1">
              <w:rPr>
                <w:rFonts w:eastAsia="Times New Roman" w:cs="Times New Roman"/>
                <w:color w:val="000000"/>
                <w:kern w:val="0"/>
                <w:sz w:val="16"/>
                <w:szCs w:val="16"/>
                <w:lang w:eastAsia="es-CO"/>
                <w14:ligatures w14:val="none"/>
              </w:rPr>
              <w:t> </w:t>
            </w:r>
          </w:p>
        </w:tc>
        <w:tc>
          <w:tcPr>
            <w:tcW w:w="1275" w:type="dxa"/>
            <w:tcBorders>
              <w:top w:val="nil"/>
              <w:left w:val="nil"/>
              <w:bottom w:val="single" w:sz="8" w:space="0" w:color="D0D0D0"/>
              <w:right w:val="single" w:sz="8" w:space="0" w:color="D0D0D0"/>
            </w:tcBorders>
            <w:noWrap/>
            <w:vAlign w:val="center"/>
            <w:hideMark/>
          </w:tcPr>
          <w:p w14:paraId="1FC57512" w14:textId="77777777" w:rsidR="005E64D9" w:rsidRPr="00951AB1" w:rsidRDefault="005E64D9" w:rsidP="000A5389">
            <w:pPr>
              <w:spacing w:line="240" w:lineRule="auto"/>
              <w:jc w:val="right"/>
              <w:rPr>
                <w:rFonts w:eastAsia="Times New Roman" w:cs="Times New Roman"/>
                <w:color w:val="000000"/>
                <w:kern w:val="0"/>
                <w:sz w:val="16"/>
                <w:szCs w:val="16"/>
                <w:lang w:eastAsia="es-CO"/>
                <w14:ligatures w14:val="none"/>
              </w:rPr>
            </w:pPr>
            <w:r w:rsidRPr="00951AB1">
              <w:rPr>
                <w:rFonts w:eastAsia="Times New Roman" w:cs="Times New Roman"/>
                <w:color w:val="000000"/>
                <w:kern w:val="0"/>
                <w:sz w:val="16"/>
                <w:szCs w:val="16"/>
                <w:lang w:eastAsia="es-CO"/>
                <w14:ligatures w14:val="none"/>
              </w:rPr>
              <w:t>78.581.789</w:t>
            </w:r>
          </w:p>
        </w:tc>
      </w:tr>
      <w:tr w:rsidR="005E64D9" w:rsidRPr="00951AB1" w14:paraId="1ACAD4CB" w14:textId="77777777" w:rsidTr="2C9F3575">
        <w:trPr>
          <w:trHeight w:val="270"/>
        </w:trPr>
        <w:tc>
          <w:tcPr>
            <w:tcW w:w="1266" w:type="dxa"/>
            <w:tcBorders>
              <w:top w:val="nil"/>
              <w:left w:val="single" w:sz="8" w:space="0" w:color="D0D0D0"/>
              <w:bottom w:val="single" w:sz="8" w:space="0" w:color="D0D0D0"/>
              <w:right w:val="single" w:sz="8" w:space="0" w:color="D0D0D0"/>
            </w:tcBorders>
            <w:noWrap/>
            <w:vAlign w:val="center"/>
            <w:hideMark/>
          </w:tcPr>
          <w:p w14:paraId="3FF0B692" w14:textId="77777777" w:rsidR="005E64D9" w:rsidRPr="00951AB1" w:rsidRDefault="005E64D9" w:rsidP="000A5389">
            <w:pPr>
              <w:spacing w:line="240" w:lineRule="auto"/>
              <w:rPr>
                <w:rFonts w:eastAsia="Times New Roman" w:cs="Times New Roman"/>
                <w:color w:val="000000"/>
                <w:kern w:val="0"/>
                <w:sz w:val="16"/>
                <w:szCs w:val="16"/>
                <w:lang w:eastAsia="es-CO"/>
                <w14:ligatures w14:val="none"/>
              </w:rPr>
            </w:pPr>
            <w:r w:rsidRPr="00951AB1">
              <w:rPr>
                <w:rFonts w:eastAsia="Times New Roman" w:cs="Times New Roman"/>
                <w:color w:val="000000"/>
                <w:kern w:val="0"/>
                <w:sz w:val="16"/>
                <w:szCs w:val="16"/>
                <w:lang w:eastAsia="es-CO"/>
                <w14:ligatures w14:val="none"/>
              </w:rPr>
              <w:t>Sanciones contractuales</w:t>
            </w:r>
          </w:p>
        </w:tc>
        <w:tc>
          <w:tcPr>
            <w:tcW w:w="976" w:type="dxa"/>
            <w:tcBorders>
              <w:top w:val="nil"/>
              <w:left w:val="nil"/>
              <w:bottom w:val="single" w:sz="8" w:space="0" w:color="D0D0D0"/>
              <w:right w:val="single" w:sz="8" w:space="0" w:color="D0D0D0"/>
            </w:tcBorders>
            <w:noWrap/>
            <w:vAlign w:val="center"/>
            <w:hideMark/>
          </w:tcPr>
          <w:p w14:paraId="1098D07D" w14:textId="77777777" w:rsidR="005E64D9" w:rsidRPr="00951AB1" w:rsidRDefault="005E64D9" w:rsidP="000A5389">
            <w:pPr>
              <w:spacing w:line="240" w:lineRule="auto"/>
              <w:jc w:val="center"/>
              <w:rPr>
                <w:rFonts w:eastAsia="Times New Roman" w:cs="Times New Roman"/>
                <w:color w:val="000000"/>
                <w:kern w:val="0"/>
                <w:sz w:val="16"/>
                <w:szCs w:val="16"/>
                <w:lang w:eastAsia="es-CO"/>
                <w14:ligatures w14:val="none"/>
              </w:rPr>
            </w:pPr>
            <w:r w:rsidRPr="00951AB1">
              <w:rPr>
                <w:rFonts w:eastAsia="Times New Roman" w:cs="Times New Roman"/>
                <w:color w:val="000000"/>
                <w:kern w:val="0"/>
                <w:sz w:val="16"/>
                <w:szCs w:val="16"/>
                <w:lang w:eastAsia="es-CO"/>
                <w14:ligatures w14:val="none"/>
              </w:rPr>
              <w:t>31/03/2022</w:t>
            </w:r>
          </w:p>
        </w:tc>
        <w:tc>
          <w:tcPr>
            <w:tcW w:w="2426" w:type="dxa"/>
            <w:tcBorders>
              <w:top w:val="nil"/>
              <w:left w:val="nil"/>
              <w:bottom w:val="single" w:sz="8" w:space="0" w:color="D0D0D0"/>
              <w:right w:val="single" w:sz="8" w:space="0" w:color="D0D0D0"/>
            </w:tcBorders>
            <w:noWrap/>
            <w:vAlign w:val="center"/>
            <w:hideMark/>
          </w:tcPr>
          <w:p w14:paraId="51830FE5" w14:textId="24706DED" w:rsidR="005E64D9" w:rsidRPr="00951AB1" w:rsidRDefault="005E64D9" w:rsidP="000A5389">
            <w:pPr>
              <w:spacing w:line="240" w:lineRule="auto"/>
              <w:rPr>
                <w:rFonts w:eastAsia="Times New Roman" w:cs="Times New Roman"/>
                <w:color w:val="000000"/>
                <w:kern w:val="0"/>
                <w:sz w:val="16"/>
                <w:szCs w:val="16"/>
                <w:lang w:eastAsia="es-CO"/>
                <w14:ligatures w14:val="none"/>
              </w:rPr>
            </w:pPr>
            <w:r w:rsidRPr="00951AB1">
              <w:rPr>
                <w:rFonts w:eastAsia="Times New Roman" w:cs="Times New Roman"/>
                <w:color w:val="000000"/>
                <w:kern w:val="0"/>
                <w:sz w:val="16"/>
                <w:szCs w:val="16"/>
                <w:lang w:eastAsia="es-CO"/>
                <w14:ligatures w14:val="none"/>
              </w:rPr>
              <w:t>Sociedad Portuaria Bullpesa S. A</w:t>
            </w:r>
          </w:p>
        </w:tc>
        <w:tc>
          <w:tcPr>
            <w:tcW w:w="1276" w:type="dxa"/>
            <w:tcBorders>
              <w:top w:val="nil"/>
              <w:left w:val="nil"/>
              <w:bottom w:val="single" w:sz="8" w:space="0" w:color="D0D0D0"/>
              <w:right w:val="single" w:sz="8" w:space="0" w:color="D0D0D0"/>
            </w:tcBorders>
            <w:noWrap/>
            <w:vAlign w:val="center"/>
            <w:hideMark/>
          </w:tcPr>
          <w:p w14:paraId="2C059EC8" w14:textId="77777777" w:rsidR="005E64D9" w:rsidRPr="00951AB1" w:rsidRDefault="005E64D9" w:rsidP="000A5389">
            <w:pPr>
              <w:spacing w:line="240" w:lineRule="auto"/>
              <w:jc w:val="right"/>
              <w:rPr>
                <w:rFonts w:eastAsia="Times New Roman" w:cs="Times New Roman"/>
                <w:color w:val="000000"/>
                <w:kern w:val="0"/>
                <w:sz w:val="16"/>
                <w:szCs w:val="16"/>
                <w:lang w:eastAsia="es-CO"/>
                <w14:ligatures w14:val="none"/>
              </w:rPr>
            </w:pPr>
            <w:r w:rsidRPr="00951AB1">
              <w:rPr>
                <w:rFonts w:eastAsia="Times New Roman" w:cs="Times New Roman"/>
                <w:color w:val="000000"/>
                <w:kern w:val="0"/>
                <w:sz w:val="16"/>
                <w:szCs w:val="16"/>
                <w:lang w:eastAsia="es-CO"/>
                <w14:ligatures w14:val="none"/>
              </w:rPr>
              <w:t>38.280.593.490</w:t>
            </w:r>
          </w:p>
        </w:tc>
        <w:tc>
          <w:tcPr>
            <w:tcW w:w="709" w:type="dxa"/>
            <w:tcBorders>
              <w:top w:val="nil"/>
              <w:left w:val="nil"/>
              <w:bottom w:val="single" w:sz="8" w:space="0" w:color="D0D0D0"/>
              <w:right w:val="single" w:sz="8" w:space="0" w:color="D0D0D0"/>
            </w:tcBorders>
            <w:noWrap/>
            <w:vAlign w:val="center"/>
            <w:hideMark/>
          </w:tcPr>
          <w:p w14:paraId="6EA92948" w14:textId="77777777" w:rsidR="005E64D9" w:rsidRPr="00951AB1" w:rsidRDefault="005E64D9" w:rsidP="000A5389">
            <w:pPr>
              <w:spacing w:line="240" w:lineRule="auto"/>
              <w:jc w:val="right"/>
              <w:rPr>
                <w:rFonts w:eastAsia="Times New Roman" w:cs="Times New Roman"/>
                <w:color w:val="000000"/>
                <w:kern w:val="0"/>
                <w:sz w:val="16"/>
                <w:szCs w:val="16"/>
                <w:lang w:eastAsia="es-CO"/>
                <w14:ligatures w14:val="none"/>
              </w:rPr>
            </w:pPr>
            <w:r w:rsidRPr="00951AB1">
              <w:rPr>
                <w:rFonts w:eastAsia="Times New Roman" w:cs="Times New Roman"/>
                <w:color w:val="000000"/>
                <w:kern w:val="0"/>
                <w:sz w:val="16"/>
                <w:szCs w:val="16"/>
                <w:lang w:eastAsia="es-CO"/>
                <w14:ligatures w14:val="none"/>
              </w:rPr>
              <w:t> </w:t>
            </w:r>
          </w:p>
        </w:tc>
        <w:tc>
          <w:tcPr>
            <w:tcW w:w="1005" w:type="dxa"/>
            <w:tcBorders>
              <w:top w:val="nil"/>
              <w:left w:val="nil"/>
              <w:bottom w:val="single" w:sz="8" w:space="0" w:color="D0D0D0"/>
              <w:right w:val="single" w:sz="8" w:space="0" w:color="D0D0D0"/>
            </w:tcBorders>
            <w:noWrap/>
            <w:vAlign w:val="center"/>
            <w:hideMark/>
          </w:tcPr>
          <w:p w14:paraId="6AA1AC0F" w14:textId="77777777" w:rsidR="005E64D9" w:rsidRPr="00951AB1" w:rsidRDefault="005E64D9" w:rsidP="000A5389">
            <w:pPr>
              <w:spacing w:line="240" w:lineRule="auto"/>
              <w:jc w:val="right"/>
              <w:rPr>
                <w:rFonts w:eastAsia="Times New Roman" w:cs="Times New Roman"/>
                <w:color w:val="000000"/>
                <w:kern w:val="0"/>
                <w:sz w:val="16"/>
                <w:szCs w:val="16"/>
                <w:lang w:eastAsia="es-CO"/>
                <w14:ligatures w14:val="none"/>
              </w:rPr>
            </w:pPr>
            <w:r w:rsidRPr="00951AB1">
              <w:rPr>
                <w:rFonts w:eastAsia="Times New Roman" w:cs="Times New Roman"/>
                <w:color w:val="000000"/>
                <w:kern w:val="0"/>
                <w:sz w:val="16"/>
                <w:szCs w:val="16"/>
                <w:lang w:eastAsia="es-CO"/>
                <w14:ligatures w14:val="none"/>
              </w:rPr>
              <w:t> </w:t>
            </w:r>
          </w:p>
        </w:tc>
        <w:tc>
          <w:tcPr>
            <w:tcW w:w="1275" w:type="dxa"/>
            <w:tcBorders>
              <w:top w:val="nil"/>
              <w:left w:val="nil"/>
              <w:bottom w:val="single" w:sz="8" w:space="0" w:color="D0D0D0"/>
              <w:right w:val="single" w:sz="8" w:space="0" w:color="D0D0D0"/>
            </w:tcBorders>
            <w:noWrap/>
            <w:vAlign w:val="center"/>
            <w:hideMark/>
          </w:tcPr>
          <w:p w14:paraId="5752B3DC" w14:textId="77777777" w:rsidR="005E64D9" w:rsidRPr="00951AB1" w:rsidRDefault="005E64D9" w:rsidP="000A5389">
            <w:pPr>
              <w:spacing w:line="240" w:lineRule="auto"/>
              <w:jc w:val="right"/>
              <w:rPr>
                <w:rFonts w:eastAsia="Times New Roman" w:cs="Times New Roman"/>
                <w:color w:val="000000"/>
                <w:kern w:val="0"/>
                <w:sz w:val="16"/>
                <w:szCs w:val="16"/>
                <w:lang w:eastAsia="es-CO"/>
                <w14:ligatures w14:val="none"/>
              </w:rPr>
            </w:pPr>
            <w:r w:rsidRPr="00951AB1">
              <w:rPr>
                <w:rFonts w:eastAsia="Times New Roman" w:cs="Times New Roman"/>
                <w:color w:val="000000"/>
                <w:kern w:val="0"/>
                <w:sz w:val="16"/>
                <w:szCs w:val="16"/>
                <w:lang w:eastAsia="es-CO"/>
                <w14:ligatures w14:val="none"/>
              </w:rPr>
              <w:t>38.280.593.490</w:t>
            </w:r>
          </w:p>
        </w:tc>
      </w:tr>
      <w:tr w:rsidR="005E64D9" w:rsidRPr="00951AB1" w14:paraId="50F2F5F1" w14:textId="77777777" w:rsidTr="2C9F3575">
        <w:trPr>
          <w:trHeight w:val="270"/>
        </w:trPr>
        <w:tc>
          <w:tcPr>
            <w:tcW w:w="1266" w:type="dxa"/>
            <w:tcBorders>
              <w:top w:val="nil"/>
              <w:left w:val="single" w:sz="8" w:space="0" w:color="D0D0D0"/>
              <w:bottom w:val="single" w:sz="8" w:space="0" w:color="D0D0D0"/>
              <w:right w:val="single" w:sz="8" w:space="0" w:color="D0D0D0"/>
            </w:tcBorders>
            <w:noWrap/>
            <w:vAlign w:val="center"/>
            <w:hideMark/>
          </w:tcPr>
          <w:p w14:paraId="7252295D" w14:textId="77777777" w:rsidR="005E64D9" w:rsidRPr="00951AB1" w:rsidRDefault="005E64D9" w:rsidP="000A5389">
            <w:pPr>
              <w:spacing w:line="240" w:lineRule="auto"/>
              <w:rPr>
                <w:rFonts w:eastAsia="Times New Roman" w:cs="Times New Roman"/>
                <w:color w:val="000000"/>
                <w:kern w:val="0"/>
                <w:sz w:val="16"/>
                <w:szCs w:val="16"/>
                <w:lang w:eastAsia="es-CO"/>
                <w14:ligatures w14:val="none"/>
              </w:rPr>
            </w:pPr>
            <w:r w:rsidRPr="00951AB1">
              <w:rPr>
                <w:rFonts w:eastAsia="Times New Roman" w:cs="Times New Roman"/>
                <w:color w:val="000000"/>
                <w:kern w:val="0"/>
                <w:sz w:val="16"/>
                <w:szCs w:val="16"/>
                <w:lang w:eastAsia="es-CO"/>
                <w14:ligatures w14:val="none"/>
              </w:rPr>
              <w:t>Costas procesales</w:t>
            </w:r>
          </w:p>
        </w:tc>
        <w:tc>
          <w:tcPr>
            <w:tcW w:w="976" w:type="dxa"/>
            <w:tcBorders>
              <w:top w:val="nil"/>
              <w:left w:val="nil"/>
              <w:bottom w:val="single" w:sz="8" w:space="0" w:color="D0D0D0"/>
              <w:right w:val="single" w:sz="8" w:space="0" w:color="D0D0D0"/>
            </w:tcBorders>
            <w:noWrap/>
            <w:vAlign w:val="center"/>
            <w:hideMark/>
          </w:tcPr>
          <w:p w14:paraId="5509C8C6" w14:textId="77777777" w:rsidR="005E64D9" w:rsidRPr="00951AB1" w:rsidRDefault="005E64D9" w:rsidP="000A5389">
            <w:pPr>
              <w:spacing w:line="240" w:lineRule="auto"/>
              <w:jc w:val="center"/>
              <w:rPr>
                <w:rFonts w:eastAsia="Times New Roman" w:cs="Times New Roman"/>
                <w:color w:val="000000"/>
                <w:kern w:val="0"/>
                <w:sz w:val="16"/>
                <w:szCs w:val="16"/>
                <w:lang w:eastAsia="es-CO"/>
                <w14:ligatures w14:val="none"/>
              </w:rPr>
            </w:pPr>
            <w:r w:rsidRPr="00951AB1">
              <w:rPr>
                <w:rFonts w:eastAsia="Times New Roman" w:cs="Times New Roman"/>
                <w:color w:val="000000"/>
                <w:kern w:val="0"/>
                <w:sz w:val="16"/>
                <w:szCs w:val="16"/>
                <w:lang w:eastAsia="es-CO"/>
                <w14:ligatures w14:val="none"/>
              </w:rPr>
              <w:t>7/06/2019</w:t>
            </w:r>
          </w:p>
        </w:tc>
        <w:tc>
          <w:tcPr>
            <w:tcW w:w="2426" w:type="dxa"/>
            <w:tcBorders>
              <w:top w:val="nil"/>
              <w:left w:val="nil"/>
              <w:bottom w:val="single" w:sz="8" w:space="0" w:color="D0D0D0"/>
              <w:right w:val="single" w:sz="8" w:space="0" w:color="D0D0D0"/>
            </w:tcBorders>
            <w:noWrap/>
            <w:vAlign w:val="center"/>
            <w:hideMark/>
          </w:tcPr>
          <w:p w14:paraId="736834A9" w14:textId="16F66F87" w:rsidR="005E64D9" w:rsidRPr="00951AB1" w:rsidRDefault="005E64D9" w:rsidP="000A5389">
            <w:pPr>
              <w:spacing w:line="240" w:lineRule="auto"/>
              <w:rPr>
                <w:rFonts w:eastAsia="Times New Roman" w:cs="Times New Roman"/>
                <w:color w:val="000000"/>
                <w:kern w:val="0"/>
                <w:sz w:val="16"/>
                <w:szCs w:val="16"/>
                <w:lang w:eastAsia="es-CO"/>
                <w14:ligatures w14:val="none"/>
              </w:rPr>
            </w:pPr>
            <w:r w:rsidRPr="00951AB1">
              <w:rPr>
                <w:rFonts w:eastAsia="Times New Roman" w:cs="Times New Roman"/>
                <w:color w:val="000000"/>
                <w:kern w:val="0"/>
                <w:sz w:val="16"/>
                <w:szCs w:val="16"/>
                <w:lang w:eastAsia="es-CO"/>
                <w14:ligatures w14:val="none"/>
              </w:rPr>
              <w:t>María Victoria Solarte Daza</w:t>
            </w:r>
          </w:p>
        </w:tc>
        <w:tc>
          <w:tcPr>
            <w:tcW w:w="1276" w:type="dxa"/>
            <w:tcBorders>
              <w:top w:val="nil"/>
              <w:left w:val="nil"/>
              <w:bottom w:val="single" w:sz="8" w:space="0" w:color="D0D0D0"/>
              <w:right w:val="single" w:sz="8" w:space="0" w:color="D0D0D0"/>
            </w:tcBorders>
            <w:noWrap/>
            <w:vAlign w:val="center"/>
            <w:hideMark/>
          </w:tcPr>
          <w:p w14:paraId="7FB92456" w14:textId="77777777" w:rsidR="005E64D9" w:rsidRPr="00951AB1" w:rsidRDefault="005E64D9" w:rsidP="000A5389">
            <w:pPr>
              <w:spacing w:line="240" w:lineRule="auto"/>
              <w:jc w:val="right"/>
              <w:rPr>
                <w:rFonts w:eastAsia="Times New Roman" w:cs="Times New Roman"/>
                <w:color w:val="000000"/>
                <w:kern w:val="0"/>
                <w:sz w:val="16"/>
                <w:szCs w:val="16"/>
                <w:lang w:eastAsia="es-CO"/>
                <w14:ligatures w14:val="none"/>
              </w:rPr>
            </w:pPr>
            <w:r w:rsidRPr="00951AB1">
              <w:rPr>
                <w:rFonts w:eastAsia="Times New Roman" w:cs="Times New Roman"/>
                <w:color w:val="000000"/>
                <w:kern w:val="0"/>
                <w:sz w:val="16"/>
                <w:szCs w:val="16"/>
                <w:lang w:eastAsia="es-CO"/>
                <w14:ligatures w14:val="none"/>
              </w:rPr>
              <w:t>16.624.840</w:t>
            </w:r>
          </w:p>
        </w:tc>
        <w:tc>
          <w:tcPr>
            <w:tcW w:w="709" w:type="dxa"/>
            <w:tcBorders>
              <w:top w:val="nil"/>
              <w:left w:val="nil"/>
              <w:bottom w:val="single" w:sz="8" w:space="0" w:color="D0D0D0"/>
              <w:right w:val="single" w:sz="8" w:space="0" w:color="D0D0D0"/>
            </w:tcBorders>
            <w:noWrap/>
            <w:vAlign w:val="center"/>
            <w:hideMark/>
          </w:tcPr>
          <w:p w14:paraId="7CB3FBA3" w14:textId="77777777" w:rsidR="005E64D9" w:rsidRPr="00951AB1" w:rsidRDefault="005E64D9" w:rsidP="000A5389">
            <w:pPr>
              <w:spacing w:line="240" w:lineRule="auto"/>
              <w:jc w:val="right"/>
              <w:rPr>
                <w:rFonts w:eastAsia="Times New Roman" w:cs="Times New Roman"/>
                <w:color w:val="000000"/>
                <w:kern w:val="0"/>
                <w:sz w:val="16"/>
                <w:szCs w:val="16"/>
                <w:lang w:eastAsia="es-CO"/>
                <w14:ligatures w14:val="none"/>
              </w:rPr>
            </w:pPr>
            <w:r w:rsidRPr="00951AB1">
              <w:rPr>
                <w:rFonts w:eastAsia="Times New Roman" w:cs="Times New Roman"/>
                <w:color w:val="000000"/>
                <w:kern w:val="0"/>
                <w:sz w:val="16"/>
                <w:szCs w:val="16"/>
                <w:lang w:eastAsia="es-CO"/>
                <w14:ligatures w14:val="none"/>
              </w:rPr>
              <w:t> </w:t>
            </w:r>
          </w:p>
        </w:tc>
        <w:tc>
          <w:tcPr>
            <w:tcW w:w="1005" w:type="dxa"/>
            <w:tcBorders>
              <w:top w:val="nil"/>
              <w:left w:val="nil"/>
              <w:bottom w:val="single" w:sz="8" w:space="0" w:color="D0D0D0"/>
              <w:right w:val="single" w:sz="8" w:space="0" w:color="D0D0D0"/>
            </w:tcBorders>
            <w:noWrap/>
            <w:vAlign w:val="center"/>
            <w:hideMark/>
          </w:tcPr>
          <w:p w14:paraId="1FC99AEC" w14:textId="77777777" w:rsidR="005E64D9" w:rsidRPr="00951AB1" w:rsidRDefault="005E64D9" w:rsidP="000A5389">
            <w:pPr>
              <w:spacing w:line="240" w:lineRule="auto"/>
              <w:jc w:val="right"/>
              <w:rPr>
                <w:rFonts w:eastAsia="Times New Roman" w:cs="Times New Roman"/>
                <w:color w:val="000000"/>
                <w:kern w:val="0"/>
                <w:sz w:val="16"/>
                <w:szCs w:val="16"/>
                <w:lang w:eastAsia="es-CO"/>
                <w14:ligatures w14:val="none"/>
              </w:rPr>
            </w:pPr>
            <w:r w:rsidRPr="00951AB1">
              <w:rPr>
                <w:rFonts w:eastAsia="Times New Roman" w:cs="Times New Roman"/>
                <w:color w:val="000000"/>
                <w:kern w:val="0"/>
                <w:sz w:val="16"/>
                <w:szCs w:val="16"/>
                <w:lang w:eastAsia="es-CO"/>
                <w14:ligatures w14:val="none"/>
              </w:rPr>
              <w:t> </w:t>
            </w:r>
          </w:p>
        </w:tc>
        <w:tc>
          <w:tcPr>
            <w:tcW w:w="1275" w:type="dxa"/>
            <w:tcBorders>
              <w:top w:val="nil"/>
              <w:left w:val="nil"/>
              <w:bottom w:val="single" w:sz="8" w:space="0" w:color="D0D0D0"/>
              <w:right w:val="single" w:sz="8" w:space="0" w:color="D0D0D0"/>
            </w:tcBorders>
            <w:noWrap/>
            <w:vAlign w:val="center"/>
            <w:hideMark/>
          </w:tcPr>
          <w:p w14:paraId="14490935" w14:textId="77777777" w:rsidR="005E64D9" w:rsidRPr="00951AB1" w:rsidRDefault="005E64D9" w:rsidP="000A5389">
            <w:pPr>
              <w:spacing w:line="240" w:lineRule="auto"/>
              <w:jc w:val="right"/>
              <w:rPr>
                <w:rFonts w:eastAsia="Times New Roman" w:cs="Times New Roman"/>
                <w:color w:val="000000"/>
                <w:kern w:val="0"/>
                <w:sz w:val="16"/>
                <w:szCs w:val="16"/>
                <w:lang w:eastAsia="es-CO"/>
                <w14:ligatures w14:val="none"/>
              </w:rPr>
            </w:pPr>
            <w:r w:rsidRPr="00951AB1">
              <w:rPr>
                <w:rFonts w:eastAsia="Times New Roman" w:cs="Times New Roman"/>
                <w:color w:val="000000"/>
                <w:kern w:val="0"/>
                <w:sz w:val="16"/>
                <w:szCs w:val="16"/>
                <w:lang w:eastAsia="es-CO"/>
                <w14:ligatures w14:val="none"/>
              </w:rPr>
              <w:t>16.624.840</w:t>
            </w:r>
          </w:p>
        </w:tc>
      </w:tr>
      <w:tr w:rsidR="005E64D9" w:rsidRPr="00951AB1" w14:paraId="3CCFB372" w14:textId="77777777" w:rsidTr="2C9F3575">
        <w:trPr>
          <w:trHeight w:val="270"/>
        </w:trPr>
        <w:tc>
          <w:tcPr>
            <w:tcW w:w="1266" w:type="dxa"/>
            <w:tcBorders>
              <w:top w:val="nil"/>
              <w:left w:val="single" w:sz="8" w:space="0" w:color="D0D0D0"/>
              <w:bottom w:val="single" w:sz="8" w:space="0" w:color="D0D0D0"/>
              <w:right w:val="single" w:sz="8" w:space="0" w:color="D0D0D0"/>
            </w:tcBorders>
            <w:noWrap/>
            <w:vAlign w:val="center"/>
            <w:hideMark/>
          </w:tcPr>
          <w:p w14:paraId="13D20787" w14:textId="77777777" w:rsidR="005E64D9" w:rsidRPr="00951AB1" w:rsidRDefault="005E64D9" w:rsidP="000A5389">
            <w:pPr>
              <w:spacing w:line="240" w:lineRule="auto"/>
              <w:rPr>
                <w:rFonts w:eastAsia="Times New Roman" w:cs="Times New Roman"/>
                <w:color w:val="000000"/>
                <w:kern w:val="0"/>
                <w:sz w:val="16"/>
                <w:szCs w:val="16"/>
                <w:lang w:eastAsia="es-CO"/>
                <w14:ligatures w14:val="none"/>
              </w:rPr>
            </w:pPr>
            <w:r w:rsidRPr="00951AB1">
              <w:rPr>
                <w:rFonts w:eastAsia="Times New Roman" w:cs="Times New Roman"/>
                <w:color w:val="000000"/>
                <w:kern w:val="0"/>
                <w:sz w:val="16"/>
                <w:szCs w:val="16"/>
                <w:lang w:eastAsia="es-CO"/>
                <w14:ligatures w14:val="none"/>
              </w:rPr>
              <w:t>Costas procesales</w:t>
            </w:r>
          </w:p>
        </w:tc>
        <w:tc>
          <w:tcPr>
            <w:tcW w:w="976" w:type="dxa"/>
            <w:tcBorders>
              <w:top w:val="nil"/>
              <w:left w:val="nil"/>
              <w:bottom w:val="single" w:sz="8" w:space="0" w:color="D0D0D0"/>
              <w:right w:val="single" w:sz="8" w:space="0" w:color="D0D0D0"/>
            </w:tcBorders>
            <w:noWrap/>
            <w:vAlign w:val="center"/>
            <w:hideMark/>
          </w:tcPr>
          <w:p w14:paraId="7B778BDF" w14:textId="77777777" w:rsidR="005E64D9" w:rsidRPr="00951AB1" w:rsidRDefault="005E64D9" w:rsidP="000A5389">
            <w:pPr>
              <w:spacing w:line="240" w:lineRule="auto"/>
              <w:jc w:val="center"/>
              <w:rPr>
                <w:rFonts w:eastAsia="Times New Roman" w:cs="Times New Roman"/>
                <w:color w:val="000000"/>
                <w:kern w:val="0"/>
                <w:sz w:val="16"/>
                <w:szCs w:val="16"/>
                <w:lang w:eastAsia="es-CO"/>
                <w14:ligatures w14:val="none"/>
              </w:rPr>
            </w:pPr>
            <w:r w:rsidRPr="00951AB1">
              <w:rPr>
                <w:rFonts w:eastAsia="Times New Roman" w:cs="Times New Roman"/>
                <w:color w:val="000000"/>
                <w:kern w:val="0"/>
                <w:sz w:val="16"/>
                <w:szCs w:val="16"/>
                <w:lang w:eastAsia="es-CO"/>
                <w14:ligatures w14:val="none"/>
              </w:rPr>
              <w:t>7/06/2019</w:t>
            </w:r>
          </w:p>
        </w:tc>
        <w:tc>
          <w:tcPr>
            <w:tcW w:w="2426" w:type="dxa"/>
            <w:tcBorders>
              <w:top w:val="nil"/>
              <w:left w:val="nil"/>
              <w:bottom w:val="single" w:sz="8" w:space="0" w:color="D0D0D0"/>
              <w:right w:val="single" w:sz="8" w:space="0" w:color="D0D0D0"/>
            </w:tcBorders>
            <w:noWrap/>
            <w:vAlign w:val="center"/>
            <w:hideMark/>
          </w:tcPr>
          <w:p w14:paraId="343DF54E" w14:textId="290D65DC" w:rsidR="005E64D9" w:rsidRPr="00951AB1" w:rsidRDefault="005E64D9" w:rsidP="000A5389">
            <w:pPr>
              <w:spacing w:line="240" w:lineRule="auto"/>
              <w:rPr>
                <w:rFonts w:eastAsia="Times New Roman" w:cs="Times New Roman"/>
                <w:color w:val="000000"/>
                <w:kern w:val="0"/>
                <w:sz w:val="16"/>
                <w:szCs w:val="16"/>
                <w:lang w:eastAsia="es-CO"/>
                <w14:ligatures w14:val="none"/>
              </w:rPr>
            </w:pPr>
            <w:r w:rsidRPr="00951AB1">
              <w:rPr>
                <w:rFonts w:eastAsia="Times New Roman" w:cs="Times New Roman"/>
                <w:color w:val="000000"/>
                <w:kern w:val="0"/>
                <w:sz w:val="16"/>
                <w:szCs w:val="16"/>
                <w:lang w:eastAsia="es-CO"/>
                <w14:ligatures w14:val="none"/>
              </w:rPr>
              <w:t xml:space="preserve">Luis Solarte </w:t>
            </w:r>
          </w:p>
        </w:tc>
        <w:tc>
          <w:tcPr>
            <w:tcW w:w="1276" w:type="dxa"/>
            <w:tcBorders>
              <w:top w:val="nil"/>
              <w:left w:val="nil"/>
              <w:bottom w:val="single" w:sz="8" w:space="0" w:color="D0D0D0"/>
              <w:right w:val="single" w:sz="8" w:space="0" w:color="D0D0D0"/>
            </w:tcBorders>
            <w:noWrap/>
            <w:vAlign w:val="center"/>
            <w:hideMark/>
          </w:tcPr>
          <w:p w14:paraId="47F87E96" w14:textId="77777777" w:rsidR="005E64D9" w:rsidRPr="00951AB1" w:rsidRDefault="005E64D9" w:rsidP="000A5389">
            <w:pPr>
              <w:spacing w:line="240" w:lineRule="auto"/>
              <w:jc w:val="right"/>
              <w:rPr>
                <w:rFonts w:eastAsia="Times New Roman" w:cs="Times New Roman"/>
                <w:color w:val="000000"/>
                <w:kern w:val="0"/>
                <w:sz w:val="16"/>
                <w:szCs w:val="16"/>
                <w:lang w:eastAsia="es-CO"/>
                <w14:ligatures w14:val="none"/>
              </w:rPr>
            </w:pPr>
            <w:r w:rsidRPr="00951AB1">
              <w:rPr>
                <w:rFonts w:eastAsia="Times New Roman" w:cs="Times New Roman"/>
                <w:color w:val="000000"/>
                <w:kern w:val="0"/>
                <w:sz w:val="16"/>
                <w:szCs w:val="16"/>
                <w:lang w:eastAsia="es-CO"/>
                <w14:ligatures w14:val="none"/>
              </w:rPr>
              <w:t>16.624.840</w:t>
            </w:r>
          </w:p>
        </w:tc>
        <w:tc>
          <w:tcPr>
            <w:tcW w:w="709" w:type="dxa"/>
            <w:tcBorders>
              <w:top w:val="nil"/>
              <w:left w:val="nil"/>
              <w:bottom w:val="single" w:sz="8" w:space="0" w:color="D0D0D0"/>
              <w:right w:val="single" w:sz="8" w:space="0" w:color="D0D0D0"/>
            </w:tcBorders>
            <w:noWrap/>
            <w:vAlign w:val="center"/>
            <w:hideMark/>
          </w:tcPr>
          <w:p w14:paraId="231D24C0" w14:textId="77777777" w:rsidR="005E64D9" w:rsidRPr="00951AB1" w:rsidRDefault="005E64D9" w:rsidP="000A5389">
            <w:pPr>
              <w:spacing w:line="240" w:lineRule="auto"/>
              <w:rPr>
                <w:rFonts w:eastAsia="Times New Roman" w:cs="Times New Roman"/>
                <w:color w:val="000000"/>
                <w:kern w:val="0"/>
                <w:sz w:val="16"/>
                <w:szCs w:val="16"/>
                <w:lang w:eastAsia="es-CO"/>
                <w14:ligatures w14:val="none"/>
              </w:rPr>
            </w:pPr>
            <w:r w:rsidRPr="00951AB1">
              <w:rPr>
                <w:rFonts w:eastAsia="Times New Roman" w:cs="Times New Roman"/>
                <w:color w:val="000000"/>
                <w:kern w:val="0"/>
                <w:sz w:val="16"/>
                <w:szCs w:val="16"/>
                <w:lang w:eastAsia="es-CO"/>
                <w14:ligatures w14:val="none"/>
              </w:rPr>
              <w:t> </w:t>
            </w:r>
          </w:p>
        </w:tc>
        <w:tc>
          <w:tcPr>
            <w:tcW w:w="1005" w:type="dxa"/>
            <w:tcBorders>
              <w:top w:val="nil"/>
              <w:left w:val="nil"/>
              <w:bottom w:val="single" w:sz="8" w:space="0" w:color="D0D0D0"/>
              <w:right w:val="single" w:sz="8" w:space="0" w:color="D0D0D0"/>
            </w:tcBorders>
            <w:noWrap/>
            <w:vAlign w:val="center"/>
            <w:hideMark/>
          </w:tcPr>
          <w:p w14:paraId="30178E93" w14:textId="77777777" w:rsidR="005E64D9" w:rsidRPr="00951AB1" w:rsidRDefault="005E64D9" w:rsidP="000A5389">
            <w:pPr>
              <w:spacing w:line="240" w:lineRule="auto"/>
              <w:jc w:val="right"/>
              <w:rPr>
                <w:rFonts w:eastAsia="Times New Roman" w:cs="Times New Roman"/>
                <w:color w:val="000000"/>
                <w:kern w:val="0"/>
                <w:sz w:val="16"/>
                <w:szCs w:val="16"/>
                <w:lang w:eastAsia="es-CO"/>
                <w14:ligatures w14:val="none"/>
              </w:rPr>
            </w:pPr>
            <w:r w:rsidRPr="00951AB1">
              <w:rPr>
                <w:rFonts w:eastAsia="Times New Roman" w:cs="Times New Roman"/>
                <w:color w:val="000000"/>
                <w:kern w:val="0"/>
                <w:sz w:val="16"/>
                <w:szCs w:val="16"/>
                <w:lang w:eastAsia="es-CO"/>
                <w14:ligatures w14:val="none"/>
              </w:rPr>
              <w:t> </w:t>
            </w:r>
          </w:p>
        </w:tc>
        <w:tc>
          <w:tcPr>
            <w:tcW w:w="1275" w:type="dxa"/>
            <w:tcBorders>
              <w:top w:val="nil"/>
              <w:left w:val="nil"/>
              <w:bottom w:val="single" w:sz="8" w:space="0" w:color="D0D0D0"/>
              <w:right w:val="single" w:sz="8" w:space="0" w:color="D0D0D0"/>
            </w:tcBorders>
            <w:noWrap/>
            <w:vAlign w:val="center"/>
            <w:hideMark/>
          </w:tcPr>
          <w:p w14:paraId="12C5796B" w14:textId="77777777" w:rsidR="005E64D9" w:rsidRPr="00951AB1" w:rsidRDefault="005E64D9" w:rsidP="000A5389">
            <w:pPr>
              <w:spacing w:line="240" w:lineRule="auto"/>
              <w:jc w:val="right"/>
              <w:rPr>
                <w:rFonts w:eastAsia="Times New Roman" w:cs="Times New Roman"/>
                <w:color w:val="000000"/>
                <w:kern w:val="0"/>
                <w:sz w:val="16"/>
                <w:szCs w:val="16"/>
                <w:lang w:eastAsia="es-CO"/>
                <w14:ligatures w14:val="none"/>
              </w:rPr>
            </w:pPr>
            <w:r w:rsidRPr="00951AB1">
              <w:rPr>
                <w:rFonts w:eastAsia="Times New Roman" w:cs="Times New Roman"/>
                <w:color w:val="000000"/>
                <w:kern w:val="0"/>
                <w:sz w:val="16"/>
                <w:szCs w:val="16"/>
                <w:lang w:eastAsia="es-CO"/>
                <w14:ligatures w14:val="none"/>
              </w:rPr>
              <w:t>16.624.840</w:t>
            </w:r>
          </w:p>
        </w:tc>
      </w:tr>
      <w:tr w:rsidR="005E64D9" w:rsidRPr="00951AB1" w14:paraId="06B2D7F1" w14:textId="77777777" w:rsidTr="2C9F3575">
        <w:trPr>
          <w:trHeight w:val="270"/>
        </w:trPr>
        <w:tc>
          <w:tcPr>
            <w:tcW w:w="1266" w:type="dxa"/>
            <w:tcBorders>
              <w:top w:val="nil"/>
              <w:left w:val="single" w:sz="8" w:space="0" w:color="D0D0D0"/>
              <w:bottom w:val="single" w:sz="8" w:space="0" w:color="D0D0D0"/>
              <w:right w:val="single" w:sz="8" w:space="0" w:color="D0D0D0"/>
            </w:tcBorders>
            <w:noWrap/>
            <w:vAlign w:val="center"/>
            <w:hideMark/>
          </w:tcPr>
          <w:p w14:paraId="0723F163" w14:textId="77777777" w:rsidR="005E64D9" w:rsidRPr="00951AB1" w:rsidRDefault="005E64D9" w:rsidP="000A5389">
            <w:pPr>
              <w:spacing w:line="240" w:lineRule="auto"/>
              <w:rPr>
                <w:rFonts w:eastAsia="Times New Roman" w:cs="Times New Roman"/>
                <w:color w:val="000000"/>
                <w:kern w:val="0"/>
                <w:sz w:val="16"/>
                <w:szCs w:val="16"/>
                <w:lang w:eastAsia="es-CO"/>
                <w14:ligatures w14:val="none"/>
              </w:rPr>
            </w:pPr>
            <w:r w:rsidRPr="00951AB1">
              <w:rPr>
                <w:rFonts w:eastAsia="Times New Roman" w:cs="Times New Roman"/>
                <w:color w:val="000000"/>
                <w:kern w:val="0"/>
                <w:sz w:val="16"/>
                <w:szCs w:val="16"/>
                <w:lang w:eastAsia="es-CO"/>
                <w14:ligatures w14:val="none"/>
              </w:rPr>
              <w:t>Costas procesales</w:t>
            </w:r>
          </w:p>
        </w:tc>
        <w:tc>
          <w:tcPr>
            <w:tcW w:w="976" w:type="dxa"/>
            <w:tcBorders>
              <w:top w:val="nil"/>
              <w:left w:val="nil"/>
              <w:bottom w:val="single" w:sz="8" w:space="0" w:color="D0D0D0"/>
              <w:right w:val="single" w:sz="8" w:space="0" w:color="D0D0D0"/>
            </w:tcBorders>
            <w:noWrap/>
            <w:vAlign w:val="center"/>
            <w:hideMark/>
          </w:tcPr>
          <w:p w14:paraId="08F015B2" w14:textId="77777777" w:rsidR="005E64D9" w:rsidRPr="00951AB1" w:rsidRDefault="005E64D9" w:rsidP="000A5389">
            <w:pPr>
              <w:spacing w:line="240" w:lineRule="auto"/>
              <w:jc w:val="center"/>
              <w:rPr>
                <w:rFonts w:eastAsia="Times New Roman" w:cs="Times New Roman"/>
                <w:color w:val="000000"/>
                <w:kern w:val="0"/>
                <w:sz w:val="16"/>
                <w:szCs w:val="16"/>
                <w:lang w:eastAsia="es-CO"/>
                <w14:ligatures w14:val="none"/>
              </w:rPr>
            </w:pPr>
            <w:r w:rsidRPr="00951AB1">
              <w:rPr>
                <w:rFonts w:eastAsia="Times New Roman" w:cs="Times New Roman"/>
                <w:color w:val="000000"/>
                <w:kern w:val="0"/>
                <w:sz w:val="16"/>
                <w:szCs w:val="16"/>
                <w:lang w:eastAsia="es-CO"/>
                <w14:ligatures w14:val="none"/>
              </w:rPr>
              <w:t>7/06/2019</w:t>
            </w:r>
          </w:p>
        </w:tc>
        <w:tc>
          <w:tcPr>
            <w:tcW w:w="2426" w:type="dxa"/>
            <w:tcBorders>
              <w:top w:val="nil"/>
              <w:left w:val="nil"/>
              <w:bottom w:val="single" w:sz="8" w:space="0" w:color="D0D0D0"/>
              <w:right w:val="single" w:sz="8" w:space="0" w:color="D0D0D0"/>
            </w:tcBorders>
            <w:noWrap/>
            <w:vAlign w:val="center"/>
            <w:hideMark/>
          </w:tcPr>
          <w:p w14:paraId="7D7D0003" w14:textId="24B85C03" w:rsidR="005E64D9" w:rsidRPr="00951AB1" w:rsidRDefault="005E64D9" w:rsidP="000A5389">
            <w:pPr>
              <w:spacing w:line="240" w:lineRule="auto"/>
              <w:rPr>
                <w:rFonts w:eastAsia="Times New Roman" w:cs="Times New Roman"/>
                <w:color w:val="000000"/>
                <w:kern w:val="0"/>
                <w:sz w:val="16"/>
                <w:szCs w:val="16"/>
                <w:lang w:eastAsia="es-CO"/>
                <w14:ligatures w14:val="none"/>
              </w:rPr>
            </w:pPr>
            <w:r w:rsidRPr="00951AB1">
              <w:rPr>
                <w:rFonts w:eastAsia="Times New Roman" w:cs="Times New Roman"/>
                <w:color w:val="000000"/>
                <w:kern w:val="0"/>
                <w:sz w:val="16"/>
                <w:szCs w:val="16"/>
                <w:lang w:eastAsia="es-CO"/>
                <w14:ligatures w14:val="none"/>
              </w:rPr>
              <w:t>Edgar Arturo León Benavides</w:t>
            </w:r>
          </w:p>
        </w:tc>
        <w:tc>
          <w:tcPr>
            <w:tcW w:w="1276" w:type="dxa"/>
            <w:tcBorders>
              <w:top w:val="nil"/>
              <w:left w:val="nil"/>
              <w:bottom w:val="single" w:sz="8" w:space="0" w:color="D0D0D0"/>
              <w:right w:val="single" w:sz="8" w:space="0" w:color="D0D0D0"/>
            </w:tcBorders>
            <w:noWrap/>
            <w:vAlign w:val="center"/>
            <w:hideMark/>
          </w:tcPr>
          <w:p w14:paraId="3F7675B1" w14:textId="77777777" w:rsidR="005E64D9" w:rsidRPr="00951AB1" w:rsidRDefault="005E64D9" w:rsidP="000A5389">
            <w:pPr>
              <w:spacing w:line="240" w:lineRule="auto"/>
              <w:jc w:val="right"/>
              <w:rPr>
                <w:rFonts w:eastAsia="Times New Roman" w:cs="Times New Roman"/>
                <w:color w:val="000000"/>
                <w:kern w:val="0"/>
                <w:sz w:val="16"/>
                <w:szCs w:val="16"/>
                <w:lang w:eastAsia="es-CO"/>
                <w14:ligatures w14:val="none"/>
              </w:rPr>
            </w:pPr>
            <w:r w:rsidRPr="00951AB1">
              <w:rPr>
                <w:rFonts w:eastAsia="Times New Roman" w:cs="Times New Roman"/>
                <w:color w:val="000000"/>
                <w:kern w:val="0"/>
                <w:sz w:val="16"/>
                <w:szCs w:val="16"/>
                <w:lang w:eastAsia="es-CO"/>
                <w14:ligatures w14:val="none"/>
              </w:rPr>
              <w:t>16.624.840</w:t>
            </w:r>
          </w:p>
        </w:tc>
        <w:tc>
          <w:tcPr>
            <w:tcW w:w="709" w:type="dxa"/>
            <w:tcBorders>
              <w:top w:val="nil"/>
              <w:left w:val="nil"/>
              <w:bottom w:val="single" w:sz="8" w:space="0" w:color="D0D0D0"/>
              <w:right w:val="single" w:sz="8" w:space="0" w:color="D0D0D0"/>
            </w:tcBorders>
            <w:noWrap/>
            <w:vAlign w:val="center"/>
            <w:hideMark/>
          </w:tcPr>
          <w:p w14:paraId="3E8DD1DB" w14:textId="77777777" w:rsidR="005E64D9" w:rsidRPr="00951AB1" w:rsidRDefault="005E64D9" w:rsidP="000A5389">
            <w:pPr>
              <w:spacing w:line="240" w:lineRule="auto"/>
              <w:jc w:val="right"/>
              <w:rPr>
                <w:rFonts w:eastAsia="Times New Roman" w:cs="Times New Roman"/>
                <w:b/>
                <w:bCs/>
                <w:color w:val="000000"/>
                <w:kern w:val="0"/>
                <w:sz w:val="16"/>
                <w:szCs w:val="16"/>
                <w:lang w:eastAsia="es-CO"/>
                <w14:ligatures w14:val="none"/>
              </w:rPr>
            </w:pPr>
            <w:r w:rsidRPr="00951AB1">
              <w:rPr>
                <w:rFonts w:eastAsia="Times New Roman" w:cs="Times New Roman"/>
                <w:b/>
                <w:bCs/>
                <w:color w:val="000000"/>
                <w:kern w:val="0"/>
                <w:sz w:val="16"/>
                <w:szCs w:val="16"/>
                <w:lang w:eastAsia="es-CO"/>
                <w14:ligatures w14:val="none"/>
              </w:rPr>
              <w:t> </w:t>
            </w:r>
          </w:p>
        </w:tc>
        <w:tc>
          <w:tcPr>
            <w:tcW w:w="1005" w:type="dxa"/>
            <w:tcBorders>
              <w:top w:val="nil"/>
              <w:left w:val="nil"/>
              <w:bottom w:val="single" w:sz="8" w:space="0" w:color="D0D0D0"/>
              <w:right w:val="single" w:sz="8" w:space="0" w:color="D0D0D0"/>
            </w:tcBorders>
            <w:noWrap/>
            <w:vAlign w:val="center"/>
            <w:hideMark/>
          </w:tcPr>
          <w:p w14:paraId="61B88E21" w14:textId="77777777" w:rsidR="005E64D9" w:rsidRPr="00951AB1" w:rsidRDefault="005E64D9" w:rsidP="000A5389">
            <w:pPr>
              <w:spacing w:line="240" w:lineRule="auto"/>
              <w:jc w:val="right"/>
              <w:rPr>
                <w:rFonts w:eastAsia="Times New Roman" w:cs="Times New Roman"/>
                <w:color w:val="000000"/>
                <w:kern w:val="0"/>
                <w:sz w:val="16"/>
                <w:szCs w:val="16"/>
                <w:lang w:eastAsia="es-CO"/>
                <w14:ligatures w14:val="none"/>
              </w:rPr>
            </w:pPr>
            <w:r w:rsidRPr="00951AB1">
              <w:rPr>
                <w:rFonts w:eastAsia="Times New Roman" w:cs="Times New Roman"/>
                <w:color w:val="000000"/>
                <w:kern w:val="0"/>
                <w:sz w:val="16"/>
                <w:szCs w:val="16"/>
                <w:lang w:eastAsia="es-CO"/>
                <w14:ligatures w14:val="none"/>
              </w:rPr>
              <w:t> </w:t>
            </w:r>
          </w:p>
        </w:tc>
        <w:tc>
          <w:tcPr>
            <w:tcW w:w="1275" w:type="dxa"/>
            <w:tcBorders>
              <w:top w:val="nil"/>
              <w:left w:val="nil"/>
              <w:bottom w:val="single" w:sz="8" w:space="0" w:color="D0D0D0"/>
              <w:right w:val="single" w:sz="8" w:space="0" w:color="D0D0D0"/>
            </w:tcBorders>
            <w:noWrap/>
            <w:vAlign w:val="center"/>
            <w:hideMark/>
          </w:tcPr>
          <w:p w14:paraId="00318473" w14:textId="77777777" w:rsidR="005E64D9" w:rsidRPr="00951AB1" w:rsidRDefault="005E64D9" w:rsidP="000A5389">
            <w:pPr>
              <w:spacing w:line="240" w:lineRule="auto"/>
              <w:jc w:val="right"/>
              <w:rPr>
                <w:rFonts w:eastAsia="Times New Roman" w:cs="Times New Roman"/>
                <w:color w:val="000000"/>
                <w:kern w:val="0"/>
                <w:sz w:val="16"/>
                <w:szCs w:val="16"/>
                <w:lang w:eastAsia="es-CO"/>
                <w14:ligatures w14:val="none"/>
              </w:rPr>
            </w:pPr>
            <w:r w:rsidRPr="00951AB1">
              <w:rPr>
                <w:rFonts w:eastAsia="Times New Roman" w:cs="Times New Roman"/>
                <w:color w:val="000000"/>
                <w:kern w:val="0"/>
                <w:sz w:val="16"/>
                <w:szCs w:val="16"/>
                <w:lang w:eastAsia="es-CO"/>
                <w14:ligatures w14:val="none"/>
              </w:rPr>
              <w:t>16.624.840</w:t>
            </w:r>
          </w:p>
        </w:tc>
      </w:tr>
      <w:tr w:rsidR="005E64D9" w:rsidRPr="00951AB1" w14:paraId="1F2F8A4D" w14:textId="77777777" w:rsidTr="2C9F3575">
        <w:trPr>
          <w:trHeight w:val="270"/>
        </w:trPr>
        <w:tc>
          <w:tcPr>
            <w:tcW w:w="1266" w:type="dxa"/>
            <w:tcBorders>
              <w:top w:val="nil"/>
              <w:left w:val="single" w:sz="8" w:space="0" w:color="D0D0D0"/>
              <w:bottom w:val="single" w:sz="8" w:space="0" w:color="D0D0D0"/>
              <w:right w:val="single" w:sz="8" w:space="0" w:color="D0D0D0"/>
            </w:tcBorders>
            <w:noWrap/>
            <w:vAlign w:val="center"/>
            <w:hideMark/>
          </w:tcPr>
          <w:p w14:paraId="1612F9D1" w14:textId="77777777" w:rsidR="005E64D9" w:rsidRPr="00951AB1" w:rsidRDefault="005E64D9" w:rsidP="000A5389">
            <w:pPr>
              <w:spacing w:line="240" w:lineRule="auto"/>
              <w:rPr>
                <w:rFonts w:eastAsia="Times New Roman" w:cs="Times New Roman"/>
                <w:color w:val="000000"/>
                <w:kern w:val="0"/>
                <w:sz w:val="16"/>
                <w:szCs w:val="16"/>
                <w:lang w:eastAsia="es-CO"/>
                <w14:ligatures w14:val="none"/>
              </w:rPr>
            </w:pPr>
            <w:r w:rsidRPr="00951AB1">
              <w:rPr>
                <w:rFonts w:eastAsia="Times New Roman" w:cs="Times New Roman"/>
                <w:color w:val="000000"/>
                <w:kern w:val="0"/>
                <w:sz w:val="16"/>
                <w:szCs w:val="16"/>
                <w:lang w:eastAsia="es-CO"/>
                <w14:ligatures w14:val="none"/>
              </w:rPr>
              <w:t>Costas procesales</w:t>
            </w:r>
          </w:p>
        </w:tc>
        <w:tc>
          <w:tcPr>
            <w:tcW w:w="976" w:type="dxa"/>
            <w:tcBorders>
              <w:top w:val="nil"/>
              <w:left w:val="nil"/>
              <w:bottom w:val="single" w:sz="8" w:space="0" w:color="D0D0D0"/>
              <w:right w:val="single" w:sz="8" w:space="0" w:color="D0D0D0"/>
            </w:tcBorders>
            <w:noWrap/>
            <w:vAlign w:val="center"/>
            <w:hideMark/>
          </w:tcPr>
          <w:p w14:paraId="710690CB" w14:textId="77777777" w:rsidR="005E64D9" w:rsidRPr="00951AB1" w:rsidRDefault="005E64D9" w:rsidP="000A5389">
            <w:pPr>
              <w:spacing w:line="240" w:lineRule="auto"/>
              <w:jc w:val="center"/>
              <w:rPr>
                <w:rFonts w:eastAsia="Times New Roman" w:cs="Times New Roman"/>
                <w:color w:val="000000"/>
                <w:kern w:val="0"/>
                <w:sz w:val="16"/>
                <w:szCs w:val="16"/>
                <w:lang w:eastAsia="es-CO"/>
                <w14:ligatures w14:val="none"/>
              </w:rPr>
            </w:pPr>
            <w:r w:rsidRPr="00951AB1">
              <w:rPr>
                <w:rFonts w:eastAsia="Times New Roman" w:cs="Times New Roman"/>
                <w:color w:val="000000"/>
                <w:kern w:val="0"/>
                <w:sz w:val="16"/>
                <w:szCs w:val="16"/>
                <w:lang w:eastAsia="es-CO"/>
                <w14:ligatures w14:val="none"/>
              </w:rPr>
              <w:t>7/06/2019</w:t>
            </w:r>
          </w:p>
        </w:tc>
        <w:tc>
          <w:tcPr>
            <w:tcW w:w="2426" w:type="dxa"/>
            <w:tcBorders>
              <w:top w:val="nil"/>
              <w:left w:val="nil"/>
              <w:bottom w:val="single" w:sz="8" w:space="0" w:color="D0D0D0"/>
              <w:right w:val="single" w:sz="8" w:space="0" w:color="D0D0D0"/>
            </w:tcBorders>
            <w:noWrap/>
            <w:vAlign w:val="center"/>
            <w:hideMark/>
          </w:tcPr>
          <w:p w14:paraId="23EDB073" w14:textId="7F7775E7" w:rsidR="005E64D9" w:rsidRPr="00951AB1" w:rsidRDefault="005E64D9" w:rsidP="000A5389">
            <w:pPr>
              <w:spacing w:line="240" w:lineRule="auto"/>
              <w:rPr>
                <w:rFonts w:eastAsia="Times New Roman" w:cs="Times New Roman"/>
                <w:color w:val="000000"/>
                <w:kern w:val="0"/>
                <w:sz w:val="16"/>
                <w:szCs w:val="16"/>
                <w:lang w:eastAsia="es-CO"/>
                <w14:ligatures w14:val="none"/>
              </w:rPr>
            </w:pPr>
            <w:r w:rsidRPr="00951AB1">
              <w:rPr>
                <w:rFonts w:eastAsia="Times New Roman" w:cs="Times New Roman"/>
                <w:color w:val="000000"/>
                <w:kern w:val="0"/>
                <w:sz w:val="16"/>
                <w:szCs w:val="16"/>
                <w:lang w:eastAsia="es-CO"/>
                <w14:ligatures w14:val="none"/>
              </w:rPr>
              <w:t>Nelly Beatriz Daza Solarte</w:t>
            </w:r>
          </w:p>
        </w:tc>
        <w:tc>
          <w:tcPr>
            <w:tcW w:w="1276" w:type="dxa"/>
            <w:tcBorders>
              <w:top w:val="nil"/>
              <w:left w:val="nil"/>
              <w:bottom w:val="single" w:sz="8" w:space="0" w:color="D0D0D0"/>
              <w:right w:val="single" w:sz="8" w:space="0" w:color="D0D0D0"/>
            </w:tcBorders>
            <w:noWrap/>
            <w:vAlign w:val="center"/>
            <w:hideMark/>
          </w:tcPr>
          <w:p w14:paraId="7096EED6" w14:textId="77777777" w:rsidR="005E64D9" w:rsidRPr="00951AB1" w:rsidRDefault="005E64D9" w:rsidP="000A5389">
            <w:pPr>
              <w:spacing w:line="240" w:lineRule="auto"/>
              <w:jc w:val="right"/>
              <w:rPr>
                <w:rFonts w:eastAsia="Times New Roman" w:cs="Times New Roman"/>
                <w:color w:val="000000"/>
                <w:kern w:val="0"/>
                <w:sz w:val="16"/>
                <w:szCs w:val="16"/>
                <w:lang w:eastAsia="es-CO"/>
                <w14:ligatures w14:val="none"/>
              </w:rPr>
            </w:pPr>
            <w:r w:rsidRPr="00951AB1">
              <w:rPr>
                <w:rFonts w:eastAsia="Times New Roman" w:cs="Times New Roman"/>
                <w:color w:val="000000"/>
                <w:kern w:val="0"/>
                <w:sz w:val="16"/>
                <w:szCs w:val="16"/>
                <w:lang w:eastAsia="es-CO"/>
                <w14:ligatures w14:val="none"/>
              </w:rPr>
              <w:t>16.624.840</w:t>
            </w:r>
          </w:p>
        </w:tc>
        <w:tc>
          <w:tcPr>
            <w:tcW w:w="709" w:type="dxa"/>
            <w:tcBorders>
              <w:top w:val="nil"/>
              <w:left w:val="nil"/>
              <w:bottom w:val="single" w:sz="8" w:space="0" w:color="D0D0D0"/>
              <w:right w:val="single" w:sz="8" w:space="0" w:color="D0D0D0"/>
            </w:tcBorders>
            <w:noWrap/>
            <w:vAlign w:val="center"/>
            <w:hideMark/>
          </w:tcPr>
          <w:p w14:paraId="69557762" w14:textId="77777777" w:rsidR="005E64D9" w:rsidRPr="00951AB1" w:rsidRDefault="005E64D9" w:rsidP="000A5389">
            <w:pPr>
              <w:spacing w:line="240" w:lineRule="auto"/>
              <w:jc w:val="right"/>
              <w:rPr>
                <w:rFonts w:eastAsia="Times New Roman" w:cs="Times New Roman"/>
                <w:color w:val="000000"/>
                <w:kern w:val="0"/>
                <w:sz w:val="16"/>
                <w:szCs w:val="16"/>
                <w:lang w:eastAsia="es-CO"/>
                <w14:ligatures w14:val="none"/>
              </w:rPr>
            </w:pPr>
            <w:r w:rsidRPr="00951AB1">
              <w:rPr>
                <w:rFonts w:eastAsia="Times New Roman" w:cs="Times New Roman"/>
                <w:color w:val="000000"/>
                <w:kern w:val="0"/>
                <w:sz w:val="16"/>
                <w:szCs w:val="16"/>
                <w:lang w:eastAsia="es-CO"/>
                <w14:ligatures w14:val="none"/>
              </w:rPr>
              <w:t> </w:t>
            </w:r>
          </w:p>
        </w:tc>
        <w:tc>
          <w:tcPr>
            <w:tcW w:w="1005" w:type="dxa"/>
            <w:tcBorders>
              <w:top w:val="nil"/>
              <w:left w:val="nil"/>
              <w:bottom w:val="single" w:sz="8" w:space="0" w:color="D0D0D0"/>
              <w:right w:val="single" w:sz="8" w:space="0" w:color="D0D0D0"/>
            </w:tcBorders>
            <w:noWrap/>
            <w:vAlign w:val="center"/>
            <w:hideMark/>
          </w:tcPr>
          <w:p w14:paraId="0ED1DD52" w14:textId="77777777" w:rsidR="005E64D9" w:rsidRPr="00951AB1" w:rsidRDefault="005E64D9" w:rsidP="000A5389">
            <w:pPr>
              <w:spacing w:line="240" w:lineRule="auto"/>
              <w:jc w:val="right"/>
              <w:rPr>
                <w:rFonts w:eastAsia="Times New Roman" w:cs="Times New Roman"/>
                <w:color w:val="000000"/>
                <w:kern w:val="0"/>
                <w:sz w:val="16"/>
                <w:szCs w:val="16"/>
                <w:lang w:eastAsia="es-CO"/>
                <w14:ligatures w14:val="none"/>
              </w:rPr>
            </w:pPr>
            <w:r w:rsidRPr="00951AB1">
              <w:rPr>
                <w:rFonts w:eastAsia="Times New Roman" w:cs="Times New Roman"/>
                <w:color w:val="000000"/>
                <w:kern w:val="0"/>
                <w:sz w:val="16"/>
                <w:szCs w:val="16"/>
                <w:lang w:eastAsia="es-CO"/>
                <w14:ligatures w14:val="none"/>
              </w:rPr>
              <w:t> </w:t>
            </w:r>
          </w:p>
        </w:tc>
        <w:tc>
          <w:tcPr>
            <w:tcW w:w="1275" w:type="dxa"/>
            <w:tcBorders>
              <w:top w:val="nil"/>
              <w:left w:val="nil"/>
              <w:bottom w:val="single" w:sz="8" w:space="0" w:color="D0D0D0"/>
              <w:right w:val="single" w:sz="8" w:space="0" w:color="D0D0D0"/>
            </w:tcBorders>
            <w:noWrap/>
            <w:vAlign w:val="center"/>
            <w:hideMark/>
          </w:tcPr>
          <w:p w14:paraId="242449CA" w14:textId="77777777" w:rsidR="005E64D9" w:rsidRPr="00951AB1" w:rsidRDefault="005E64D9" w:rsidP="000A5389">
            <w:pPr>
              <w:spacing w:line="240" w:lineRule="auto"/>
              <w:jc w:val="right"/>
              <w:rPr>
                <w:rFonts w:eastAsia="Times New Roman" w:cs="Times New Roman"/>
                <w:color w:val="000000"/>
                <w:kern w:val="0"/>
                <w:sz w:val="16"/>
                <w:szCs w:val="16"/>
                <w:lang w:eastAsia="es-CO"/>
                <w14:ligatures w14:val="none"/>
              </w:rPr>
            </w:pPr>
            <w:r w:rsidRPr="00951AB1">
              <w:rPr>
                <w:rFonts w:eastAsia="Times New Roman" w:cs="Times New Roman"/>
                <w:color w:val="000000"/>
                <w:kern w:val="0"/>
                <w:sz w:val="16"/>
                <w:szCs w:val="16"/>
                <w:lang w:eastAsia="es-CO"/>
                <w14:ligatures w14:val="none"/>
              </w:rPr>
              <w:t>16.624.840</w:t>
            </w:r>
          </w:p>
        </w:tc>
      </w:tr>
      <w:tr w:rsidR="005E64D9" w:rsidRPr="00951AB1" w14:paraId="1739D122" w14:textId="77777777" w:rsidTr="2C9F3575">
        <w:trPr>
          <w:trHeight w:val="270"/>
        </w:trPr>
        <w:tc>
          <w:tcPr>
            <w:tcW w:w="1266" w:type="dxa"/>
            <w:tcBorders>
              <w:top w:val="nil"/>
              <w:left w:val="single" w:sz="8" w:space="0" w:color="D0D0D0"/>
              <w:bottom w:val="single" w:sz="8" w:space="0" w:color="D0D0D0"/>
              <w:right w:val="single" w:sz="8" w:space="0" w:color="D0D0D0"/>
            </w:tcBorders>
            <w:noWrap/>
            <w:vAlign w:val="center"/>
            <w:hideMark/>
          </w:tcPr>
          <w:p w14:paraId="7DD95D1F" w14:textId="77777777" w:rsidR="005E64D9" w:rsidRPr="00951AB1" w:rsidRDefault="005E64D9" w:rsidP="000A5389">
            <w:pPr>
              <w:spacing w:line="240" w:lineRule="auto"/>
              <w:rPr>
                <w:rFonts w:eastAsia="Times New Roman" w:cs="Times New Roman"/>
                <w:color w:val="000000"/>
                <w:kern w:val="0"/>
                <w:sz w:val="16"/>
                <w:szCs w:val="16"/>
                <w:lang w:eastAsia="es-CO"/>
                <w14:ligatures w14:val="none"/>
              </w:rPr>
            </w:pPr>
            <w:r w:rsidRPr="00951AB1">
              <w:rPr>
                <w:rFonts w:eastAsia="Times New Roman" w:cs="Times New Roman"/>
                <w:color w:val="000000"/>
                <w:kern w:val="0"/>
                <w:sz w:val="16"/>
                <w:szCs w:val="16"/>
                <w:lang w:eastAsia="es-CO"/>
                <w14:ligatures w14:val="none"/>
              </w:rPr>
              <w:t>Costas procesales</w:t>
            </w:r>
          </w:p>
        </w:tc>
        <w:tc>
          <w:tcPr>
            <w:tcW w:w="976" w:type="dxa"/>
            <w:tcBorders>
              <w:top w:val="nil"/>
              <w:left w:val="nil"/>
              <w:bottom w:val="single" w:sz="8" w:space="0" w:color="D0D0D0"/>
              <w:right w:val="single" w:sz="8" w:space="0" w:color="D0D0D0"/>
            </w:tcBorders>
            <w:noWrap/>
            <w:vAlign w:val="center"/>
            <w:hideMark/>
          </w:tcPr>
          <w:p w14:paraId="16D67476" w14:textId="77777777" w:rsidR="005E64D9" w:rsidRPr="00951AB1" w:rsidRDefault="005E64D9" w:rsidP="000A5389">
            <w:pPr>
              <w:spacing w:line="240" w:lineRule="auto"/>
              <w:jc w:val="center"/>
              <w:rPr>
                <w:rFonts w:eastAsia="Times New Roman" w:cs="Times New Roman"/>
                <w:color w:val="000000"/>
                <w:kern w:val="0"/>
                <w:sz w:val="16"/>
                <w:szCs w:val="16"/>
                <w:lang w:eastAsia="es-CO"/>
                <w14:ligatures w14:val="none"/>
              </w:rPr>
            </w:pPr>
            <w:r w:rsidRPr="00951AB1">
              <w:rPr>
                <w:rFonts w:eastAsia="Times New Roman" w:cs="Times New Roman"/>
                <w:color w:val="000000"/>
                <w:kern w:val="0"/>
                <w:sz w:val="16"/>
                <w:szCs w:val="16"/>
                <w:lang w:eastAsia="es-CO"/>
                <w14:ligatures w14:val="none"/>
              </w:rPr>
              <w:t>21/02/2022</w:t>
            </w:r>
          </w:p>
        </w:tc>
        <w:tc>
          <w:tcPr>
            <w:tcW w:w="2426" w:type="dxa"/>
            <w:tcBorders>
              <w:top w:val="nil"/>
              <w:left w:val="nil"/>
              <w:bottom w:val="single" w:sz="8" w:space="0" w:color="D0D0D0"/>
              <w:right w:val="single" w:sz="8" w:space="0" w:color="D0D0D0"/>
            </w:tcBorders>
            <w:noWrap/>
            <w:vAlign w:val="center"/>
            <w:hideMark/>
          </w:tcPr>
          <w:p w14:paraId="3C3E92A2" w14:textId="1B267ACE" w:rsidR="005E64D9" w:rsidRPr="00951AB1" w:rsidRDefault="005E64D9" w:rsidP="000A5389">
            <w:pPr>
              <w:spacing w:line="240" w:lineRule="auto"/>
              <w:rPr>
                <w:rFonts w:eastAsia="Times New Roman" w:cs="Times New Roman"/>
                <w:color w:val="000000"/>
                <w:kern w:val="0"/>
                <w:sz w:val="16"/>
                <w:szCs w:val="16"/>
                <w:lang w:eastAsia="es-CO"/>
                <w14:ligatures w14:val="none"/>
              </w:rPr>
            </w:pPr>
            <w:r w:rsidRPr="00951AB1">
              <w:rPr>
                <w:rFonts w:eastAsia="Times New Roman" w:cs="Times New Roman"/>
                <w:color w:val="000000"/>
                <w:kern w:val="0"/>
                <w:sz w:val="16"/>
                <w:szCs w:val="16"/>
                <w:lang w:eastAsia="es-CO"/>
                <w14:ligatures w14:val="none"/>
              </w:rPr>
              <w:t>Autopistas De La Sabana S.A.S</w:t>
            </w:r>
          </w:p>
        </w:tc>
        <w:tc>
          <w:tcPr>
            <w:tcW w:w="1276" w:type="dxa"/>
            <w:tcBorders>
              <w:top w:val="nil"/>
              <w:left w:val="nil"/>
              <w:bottom w:val="single" w:sz="8" w:space="0" w:color="D0D0D0"/>
              <w:right w:val="single" w:sz="8" w:space="0" w:color="D0D0D0"/>
            </w:tcBorders>
            <w:noWrap/>
            <w:vAlign w:val="center"/>
            <w:hideMark/>
          </w:tcPr>
          <w:p w14:paraId="478C1A6E" w14:textId="77777777" w:rsidR="005E64D9" w:rsidRPr="00951AB1" w:rsidRDefault="005E64D9" w:rsidP="000A5389">
            <w:pPr>
              <w:spacing w:line="240" w:lineRule="auto"/>
              <w:jc w:val="right"/>
              <w:rPr>
                <w:rFonts w:eastAsia="Times New Roman" w:cs="Times New Roman"/>
                <w:color w:val="000000"/>
                <w:kern w:val="0"/>
                <w:sz w:val="16"/>
                <w:szCs w:val="16"/>
                <w:lang w:eastAsia="es-CO"/>
                <w14:ligatures w14:val="none"/>
              </w:rPr>
            </w:pPr>
            <w:r w:rsidRPr="00951AB1">
              <w:rPr>
                <w:rFonts w:eastAsia="Times New Roman" w:cs="Times New Roman"/>
                <w:color w:val="000000"/>
                <w:kern w:val="0"/>
                <w:sz w:val="16"/>
                <w:szCs w:val="16"/>
                <w:lang w:eastAsia="es-CO"/>
                <w14:ligatures w14:val="none"/>
              </w:rPr>
              <w:t>9.085.260</w:t>
            </w:r>
          </w:p>
        </w:tc>
        <w:tc>
          <w:tcPr>
            <w:tcW w:w="709" w:type="dxa"/>
            <w:tcBorders>
              <w:top w:val="nil"/>
              <w:left w:val="nil"/>
              <w:bottom w:val="single" w:sz="8" w:space="0" w:color="D0D0D0"/>
              <w:right w:val="single" w:sz="8" w:space="0" w:color="D0D0D0"/>
            </w:tcBorders>
            <w:noWrap/>
            <w:vAlign w:val="center"/>
            <w:hideMark/>
          </w:tcPr>
          <w:p w14:paraId="64DED609" w14:textId="77777777" w:rsidR="005E64D9" w:rsidRPr="00951AB1" w:rsidRDefault="005E64D9" w:rsidP="000A5389">
            <w:pPr>
              <w:spacing w:line="240" w:lineRule="auto"/>
              <w:jc w:val="right"/>
              <w:rPr>
                <w:rFonts w:eastAsia="Times New Roman" w:cs="Times New Roman"/>
                <w:color w:val="000000"/>
                <w:kern w:val="0"/>
                <w:sz w:val="16"/>
                <w:szCs w:val="16"/>
                <w:lang w:eastAsia="es-CO"/>
                <w14:ligatures w14:val="none"/>
              </w:rPr>
            </w:pPr>
            <w:r w:rsidRPr="00951AB1">
              <w:rPr>
                <w:rFonts w:eastAsia="Times New Roman" w:cs="Times New Roman"/>
                <w:color w:val="000000"/>
                <w:kern w:val="0"/>
                <w:sz w:val="16"/>
                <w:szCs w:val="16"/>
                <w:lang w:eastAsia="es-CO"/>
                <w14:ligatures w14:val="none"/>
              </w:rPr>
              <w:t> </w:t>
            </w:r>
          </w:p>
        </w:tc>
        <w:tc>
          <w:tcPr>
            <w:tcW w:w="1005" w:type="dxa"/>
            <w:tcBorders>
              <w:top w:val="nil"/>
              <w:left w:val="nil"/>
              <w:bottom w:val="single" w:sz="8" w:space="0" w:color="D0D0D0"/>
              <w:right w:val="single" w:sz="8" w:space="0" w:color="D0D0D0"/>
            </w:tcBorders>
            <w:noWrap/>
            <w:vAlign w:val="center"/>
            <w:hideMark/>
          </w:tcPr>
          <w:p w14:paraId="53C5FC92" w14:textId="77777777" w:rsidR="005E64D9" w:rsidRPr="00951AB1" w:rsidRDefault="005E64D9" w:rsidP="000A5389">
            <w:pPr>
              <w:spacing w:line="240" w:lineRule="auto"/>
              <w:jc w:val="right"/>
              <w:rPr>
                <w:rFonts w:eastAsia="Times New Roman" w:cs="Times New Roman"/>
                <w:color w:val="000000"/>
                <w:kern w:val="0"/>
                <w:sz w:val="16"/>
                <w:szCs w:val="16"/>
                <w:lang w:eastAsia="es-CO"/>
                <w14:ligatures w14:val="none"/>
              </w:rPr>
            </w:pPr>
            <w:r w:rsidRPr="00951AB1">
              <w:rPr>
                <w:rFonts w:eastAsia="Times New Roman" w:cs="Times New Roman"/>
                <w:color w:val="000000"/>
                <w:kern w:val="0"/>
                <w:sz w:val="16"/>
                <w:szCs w:val="16"/>
                <w:lang w:eastAsia="es-CO"/>
                <w14:ligatures w14:val="none"/>
              </w:rPr>
              <w:t> </w:t>
            </w:r>
          </w:p>
        </w:tc>
        <w:tc>
          <w:tcPr>
            <w:tcW w:w="1275" w:type="dxa"/>
            <w:tcBorders>
              <w:top w:val="nil"/>
              <w:left w:val="nil"/>
              <w:bottom w:val="single" w:sz="8" w:space="0" w:color="D0D0D0"/>
              <w:right w:val="single" w:sz="8" w:space="0" w:color="D0D0D0"/>
            </w:tcBorders>
            <w:noWrap/>
            <w:vAlign w:val="center"/>
            <w:hideMark/>
          </w:tcPr>
          <w:p w14:paraId="6D775D0E" w14:textId="77777777" w:rsidR="005E64D9" w:rsidRPr="00951AB1" w:rsidRDefault="005E64D9" w:rsidP="000A5389">
            <w:pPr>
              <w:spacing w:line="240" w:lineRule="auto"/>
              <w:jc w:val="right"/>
              <w:rPr>
                <w:rFonts w:eastAsia="Times New Roman" w:cs="Times New Roman"/>
                <w:color w:val="000000"/>
                <w:kern w:val="0"/>
                <w:sz w:val="16"/>
                <w:szCs w:val="16"/>
                <w:lang w:eastAsia="es-CO"/>
                <w14:ligatures w14:val="none"/>
              </w:rPr>
            </w:pPr>
            <w:r w:rsidRPr="00951AB1">
              <w:rPr>
                <w:rFonts w:eastAsia="Times New Roman" w:cs="Times New Roman"/>
                <w:color w:val="000000"/>
                <w:kern w:val="0"/>
                <w:sz w:val="16"/>
                <w:szCs w:val="16"/>
                <w:lang w:eastAsia="es-CO"/>
                <w14:ligatures w14:val="none"/>
              </w:rPr>
              <w:t>9.085.260</w:t>
            </w:r>
          </w:p>
        </w:tc>
      </w:tr>
      <w:tr w:rsidR="005E64D9" w:rsidRPr="00951AB1" w14:paraId="53C1267A" w14:textId="77777777" w:rsidTr="2C9F3575">
        <w:trPr>
          <w:trHeight w:val="270"/>
        </w:trPr>
        <w:tc>
          <w:tcPr>
            <w:tcW w:w="1266" w:type="dxa"/>
            <w:tcBorders>
              <w:top w:val="nil"/>
              <w:left w:val="single" w:sz="8" w:space="0" w:color="D0D0D0"/>
              <w:bottom w:val="single" w:sz="8" w:space="0" w:color="D0D0D0"/>
              <w:right w:val="single" w:sz="8" w:space="0" w:color="D0D0D0"/>
            </w:tcBorders>
            <w:noWrap/>
            <w:vAlign w:val="center"/>
            <w:hideMark/>
          </w:tcPr>
          <w:p w14:paraId="2018C053" w14:textId="77777777" w:rsidR="005E64D9" w:rsidRPr="00951AB1" w:rsidRDefault="005E64D9" w:rsidP="000A5389">
            <w:pPr>
              <w:spacing w:line="240" w:lineRule="auto"/>
              <w:rPr>
                <w:rFonts w:eastAsia="Times New Roman" w:cs="Times New Roman"/>
                <w:color w:val="000000"/>
                <w:kern w:val="0"/>
                <w:sz w:val="16"/>
                <w:szCs w:val="16"/>
                <w:lang w:eastAsia="es-CO"/>
                <w14:ligatures w14:val="none"/>
              </w:rPr>
            </w:pPr>
            <w:r w:rsidRPr="00951AB1">
              <w:rPr>
                <w:rFonts w:eastAsia="Times New Roman" w:cs="Times New Roman"/>
                <w:color w:val="000000"/>
                <w:kern w:val="0"/>
                <w:sz w:val="16"/>
                <w:szCs w:val="16"/>
                <w:lang w:eastAsia="es-CO"/>
                <w14:ligatures w14:val="none"/>
              </w:rPr>
              <w:t>Costas procesales</w:t>
            </w:r>
          </w:p>
        </w:tc>
        <w:tc>
          <w:tcPr>
            <w:tcW w:w="976" w:type="dxa"/>
            <w:tcBorders>
              <w:top w:val="nil"/>
              <w:left w:val="nil"/>
              <w:bottom w:val="single" w:sz="8" w:space="0" w:color="D0D0D0"/>
              <w:right w:val="single" w:sz="8" w:space="0" w:color="D0D0D0"/>
            </w:tcBorders>
            <w:noWrap/>
            <w:vAlign w:val="center"/>
            <w:hideMark/>
          </w:tcPr>
          <w:p w14:paraId="7096E1C1" w14:textId="77777777" w:rsidR="005E64D9" w:rsidRPr="00951AB1" w:rsidRDefault="005E64D9" w:rsidP="000A5389">
            <w:pPr>
              <w:spacing w:line="240" w:lineRule="auto"/>
              <w:jc w:val="center"/>
              <w:rPr>
                <w:rFonts w:eastAsia="Times New Roman" w:cs="Times New Roman"/>
                <w:color w:val="000000"/>
                <w:kern w:val="0"/>
                <w:sz w:val="16"/>
                <w:szCs w:val="16"/>
                <w:lang w:eastAsia="es-CO"/>
                <w14:ligatures w14:val="none"/>
              </w:rPr>
            </w:pPr>
            <w:r w:rsidRPr="00951AB1">
              <w:rPr>
                <w:rFonts w:eastAsia="Times New Roman" w:cs="Times New Roman"/>
                <w:color w:val="000000"/>
                <w:kern w:val="0"/>
                <w:sz w:val="16"/>
                <w:szCs w:val="16"/>
                <w:lang w:eastAsia="es-CO"/>
                <w14:ligatures w14:val="none"/>
              </w:rPr>
              <w:t>25/06/2021</w:t>
            </w:r>
          </w:p>
        </w:tc>
        <w:tc>
          <w:tcPr>
            <w:tcW w:w="2426" w:type="dxa"/>
            <w:tcBorders>
              <w:top w:val="nil"/>
              <w:left w:val="nil"/>
              <w:bottom w:val="single" w:sz="8" w:space="0" w:color="D0D0D0"/>
              <w:right w:val="single" w:sz="8" w:space="0" w:color="D0D0D0"/>
            </w:tcBorders>
            <w:noWrap/>
            <w:vAlign w:val="center"/>
            <w:hideMark/>
          </w:tcPr>
          <w:p w14:paraId="675F8C64" w14:textId="638CAB7D" w:rsidR="005E64D9" w:rsidRPr="00951AB1" w:rsidRDefault="005E64D9" w:rsidP="000A5389">
            <w:pPr>
              <w:spacing w:line="240" w:lineRule="auto"/>
              <w:rPr>
                <w:rFonts w:eastAsia="Times New Roman" w:cs="Times New Roman"/>
                <w:color w:val="000000"/>
                <w:kern w:val="0"/>
                <w:sz w:val="16"/>
                <w:szCs w:val="16"/>
                <w:lang w:eastAsia="es-CO"/>
                <w14:ligatures w14:val="none"/>
              </w:rPr>
            </w:pPr>
            <w:r w:rsidRPr="00951AB1">
              <w:rPr>
                <w:rFonts w:eastAsia="Times New Roman" w:cs="Times New Roman"/>
                <w:color w:val="000000"/>
                <w:kern w:val="0"/>
                <w:sz w:val="16"/>
                <w:szCs w:val="16"/>
                <w:lang w:eastAsia="es-CO"/>
                <w14:ligatures w14:val="none"/>
              </w:rPr>
              <w:t xml:space="preserve">Diego María López Gómez </w:t>
            </w:r>
          </w:p>
        </w:tc>
        <w:tc>
          <w:tcPr>
            <w:tcW w:w="1276" w:type="dxa"/>
            <w:tcBorders>
              <w:top w:val="nil"/>
              <w:left w:val="nil"/>
              <w:bottom w:val="single" w:sz="8" w:space="0" w:color="D0D0D0"/>
              <w:right w:val="single" w:sz="8" w:space="0" w:color="D0D0D0"/>
            </w:tcBorders>
            <w:noWrap/>
            <w:vAlign w:val="center"/>
            <w:hideMark/>
          </w:tcPr>
          <w:p w14:paraId="5799CC17" w14:textId="77777777" w:rsidR="005E64D9" w:rsidRPr="00951AB1" w:rsidRDefault="005E64D9" w:rsidP="000A5389">
            <w:pPr>
              <w:spacing w:line="240" w:lineRule="auto"/>
              <w:jc w:val="right"/>
              <w:rPr>
                <w:rFonts w:eastAsia="Times New Roman" w:cs="Times New Roman"/>
                <w:color w:val="000000"/>
                <w:kern w:val="0"/>
                <w:sz w:val="16"/>
                <w:szCs w:val="16"/>
                <w:lang w:eastAsia="es-CO"/>
                <w14:ligatures w14:val="none"/>
              </w:rPr>
            </w:pPr>
            <w:r w:rsidRPr="00951AB1">
              <w:rPr>
                <w:rFonts w:eastAsia="Times New Roman" w:cs="Times New Roman"/>
                <w:color w:val="000000"/>
                <w:kern w:val="0"/>
                <w:sz w:val="16"/>
                <w:szCs w:val="16"/>
                <w:lang w:eastAsia="es-CO"/>
                <w14:ligatures w14:val="none"/>
              </w:rPr>
              <w:t>8.027.737</w:t>
            </w:r>
          </w:p>
        </w:tc>
        <w:tc>
          <w:tcPr>
            <w:tcW w:w="709" w:type="dxa"/>
            <w:tcBorders>
              <w:top w:val="nil"/>
              <w:left w:val="nil"/>
              <w:bottom w:val="single" w:sz="8" w:space="0" w:color="D0D0D0"/>
              <w:right w:val="single" w:sz="8" w:space="0" w:color="D0D0D0"/>
            </w:tcBorders>
            <w:noWrap/>
            <w:vAlign w:val="center"/>
            <w:hideMark/>
          </w:tcPr>
          <w:p w14:paraId="4237808C" w14:textId="77777777" w:rsidR="005E64D9" w:rsidRPr="00951AB1" w:rsidRDefault="005E64D9" w:rsidP="000A5389">
            <w:pPr>
              <w:spacing w:line="240" w:lineRule="auto"/>
              <w:jc w:val="right"/>
              <w:rPr>
                <w:rFonts w:eastAsia="Times New Roman" w:cs="Times New Roman"/>
                <w:color w:val="000000"/>
                <w:kern w:val="0"/>
                <w:sz w:val="16"/>
                <w:szCs w:val="16"/>
                <w:lang w:eastAsia="es-CO"/>
                <w14:ligatures w14:val="none"/>
              </w:rPr>
            </w:pPr>
            <w:r w:rsidRPr="00951AB1">
              <w:rPr>
                <w:rFonts w:eastAsia="Times New Roman" w:cs="Times New Roman"/>
                <w:color w:val="000000"/>
                <w:kern w:val="0"/>
                <w:sz w:val="16"/>
                <w:szCs w:val="16"/>
                <w:lang w:eastAsia="es-CO"/>
                <w14:ligatures w14:val="none"/>
              </w:rPr>
              <w:t> </w:t>
            </w:r>
          </w:p>
        </w:tc>
        <w:tc>
          <w:tcPr>
            <w:tcW w:w="1005" w:type="dxa"/>
            <w:tcBorders>
              <w:top w:val="nil"/>
              <w:left w:val="nil"/>
              <w:bottom w:val="single" w:sz="8" w:space="0" w:color="D0D0D0"/>
              <w:right w:val="single" w:sz="8" w:space="0" w:color="D0D0D0"/>
            </w:tcBorders>
            <w:noWrap/>
            <w:vAlign w:val="center"/>
            <w:hideMark/>
          </w:tcPr>
          <w:p w14:paraId="664B4DCE" w14:textId="77777777" w:rsidR="005E64D9" w:rsidRPr="00951AB1" w:rsidRDefault="005E64D9" w:rsidP="000A5389">
            <w:pPr>
              <w:spacing w:line="240" w:lineRule="auto"/>
              <w:jc w:val="right"/>
              <w:rPr>
                <w:rFonts w:eastAsia="Times New Roman" w:cs="Times New Roman"/>
                <w:color w:val="000000"/>
                <w:kern w:val="0"/>
                <w:sz w:val="16"/>
                <w:szCs w:val="16"/>
                <w:lang w:eastAsia="es-CO"/>
                <w14:ligatures w14:val="none"/>
              </w:rPr>
            </w:pPr>
            <w:r w:rsidRPr="00951AB1">
              <w:rPr>
                <w:rFonts w:eastAsia="Times New Roman" w:cs="Times New Roman"/>
                <w:color w:val="000000"/>
                <w:kern w:val="0"/>
                <w:sz w:val="16"/>
                <w:szCs w:val="16"/>
                <w:lang w:eastAsia="es-CO"/>
                <w14:ligatures w14:val="none"/>
              </w:rPr>
              <w:t> </w:t>
            </w:r>
          </w:p>
        </w:tc>
        <w:tc>
          <w:tcPr>
            <w:tcW w:w="1275" w:type="dxa"/>
            <w:tcBorders>
              <w:top w:val="nil"/>
              <w:left w:val="nil"/>
              <w:bottom w:val="single" w:sz="8" w:space="0" w:color="D0D0D0"/>
              <w:right w:val="single" w:sz="8" w:space="0" w:color="D0D0D0"/>
            </w:tcBorders>
            <w:noWrap/>
            <w:vAlign w:val="center"/>
            <w:hideMark/>
          </w:tcPr>
          <w:p w14:paraId="71F4B498" w14:textId="77777777" w:rsidR="005E64D9" w:rsidRPr="00951AB1" w:rsidRDefault="005E64D9" w:rsidP="000A5389">
            <w:pPr>
              <w:spacing w:line="240" w:lineRule="auto"/>
              <w:jc w:val="right"/>
              <w:rPr>
                <w:rFonts w:eastAsia="Times New Roman" w:cs="Times New Roman"/>
                <w:color w:val="000000"/>
                <w:kern w:val="0"/>
                <w:sz w:val="16"/>
                <w:szCs w:val="16"/>
                <w:lang w:eastAsia="es-CO"/>
                <w14:ligatures w14:val="none"/>
              </w:rPr>
            </w:pPr>
            <w:r w:rsidRPr="00951AB1">
              <w:rPr>
                <w:rFonts w:eastAsia="Times New Roman" w:cs="Times New Roman"/>
                <w:color w:val="000000"/>
                <w:kern w:val="0"/>
                <w:sz w:val="16"/>
                <w:szCs w:val="16"/>
                <w:lang w:eastAsia="es-CO"/>
                <w14:ligatures w14:val="none"/>
              </w:rPr>
              <w:t>8.027.737</w:t>
            </w:r>
          </w:p>
        </w:tc>
      </w:tr>
      <w:tr w:rsidR="005E64D9" w:rsidRPr="00951AB1" w14:paraId="46D2A1B0" w14:textId="77777777" w:rsidTr="2C9F3575">
        <w:trPr>
          <w:trHeight w:val="270"/>
        </w:trPr>
        <w:tc>
          <w:tcPr>
            <w:tcW w:w="1266" w:type="dxa"/>
            <w:tcBorders>
              <w:top w:val="nil"/>
              <w:left w:val="single" w:sz="8" w:space="0" w:color="D0D0D0"/>
              <w:bottom w:val="single" w:sz="8" w:space="0" w:color="D0D0D0"/>
              <w:right w:val="single" w:sz="8" w:space="0" w:color="D0D0D0"/>
            </w:tcBorders>
            <w:noWrap/>
            <w:vAlign w:val="center"/>
            <w:hideMark/>
          </w:tcPr>
          <w:p w14:paraId="33EDE885" w14:textId="77777777" w:rsidR="005E64D9" w:rsidRPr="00951AB1" w:rsidRDefault="005E64D9" w:rsidP="000A5389">
            <w:pPr>
              <w:spacing w:line="240" w:lineRule="auto"/>
              <w:rPr>
                <w:rFonts w:eastAsia="Times New Roman" w:cs="Times New Roman"/>
                <w:color w:val="000000"/>
                <w:kern w:val="0"/>
                <w:sz w:val="16"/>
                <w:szCs w:val="16"/>
                <w:lang w:eastAsia="es-CO"/>
                <w14:ligatures w14:val="none"/>
              </w:rPr>
            </w:pPr>
            <w:r w:rsidRPr="00951AB1">
              <w:rPr>
                <w:rFonts w:eastAsia="Times New Roman" w:cs="Times New Roman"/>
                <w:color w:val="000000"/>
                <w:kern w:val="0"/>
                <w:sz w:val="16"/>
                <w:szCs w:val="16"/>
                <w:lang w:eastAsia="es-CO"/>
                <w14:ligatures w14:val="none"/>
              </w:rPr>
              <w:t>Costas procesales</w:t>
            </w:r>
          </w:p>
        </w:tc>
        <w:tc>
          <w:tcPr>
            <w:tcW w:w="976" w:type="dxa"/>
            <w:tcBorders>
              <w:top w:val="nil"/>
              <w:left w:val="nil"/>
              <w:bottom w:val="single" w:sz="8" w:space="0" w:color="D0D0D0"/>
              <w:right w:val="single" w:sz="8" w:space="0" w:color="D0D0D0"/>
            </w:tcBorders>
            <w:noWrap/>
            <w:vAlign w:val="center"/>
            <w:hideMark/>
          </w:tcPr>
          <w:p w14:paraId="48FDF3C2" w14:textId="77777777" w:rsidR="005E64D9" w:rsidRPr="00951AB1" w:rsidRDefault="005E64D9" w:rsidP="000A5389">
            <w:pPr>
              <w:spacing w:line="240" w:lineRule="auto"/>
              <w:jc w:val="center"/>
              <w:rPr>
                <w:rFonts w:eastAsia="Times New Roman" w:cs="Times New Roman"/>
                <w:color w:val="000000"/>
                <w:kern w:val="0"/>
                <w:sz w:val="16"/>
                <w:szCs w:val="16"/>
                <w:lang w:eastAsia="es-CO"/>
                <w14:ligatures w14:val="none"/>
              </w:rPr>
            </w:pPr>
            <w:r w:rsidRPr="00951AB1">
              <w:rPr>
                <w:rFonts w:eastAsia="Times New Roman" w:cs="Times New Roman"/>
                <w:color w:val="000000"/>
                <w:kern w:val="0"/>
                <w:sz w:val="16"/>
                <w:szCs w:val="16"/>
                <w:lang w:eastAsia="es-CO"/>
                <w14:ligatures w14:val="none"/>
              </w:rPr>
              <w:t>28/06/2019</w:t>
            </w:r>
          </w:p>
        </w:tc>
        <w:tc>
          <w:tcPr>
            <w:tcW w:w="2426" w:type="dxa"/>
            <w:tcBorders>
              <w:top w:val="nil"/>
              <w:left w:val="nil"/>
              <w:bottom w:val="single" w:sz="8" w:space="0" w:color="D0D0D0"/>
              <w:right w:val="single" w:sz="8" w:space="0" w:color="D0D0D0"/>
            </w:tcBorders>
            <w:noWrap/>
            <w:vAlign w:val="center"/>
            <w:hideMark/>
          </w:tcPr>
          <w:p w14:paraId="517D3138" w14:textId="238E181D" w:rsidR="005E64D9" w:rsidRPr="00951AB1" w:rsidRDefault="005E64D9" w:rsidP="000A5389">
            <w:pPr>
              <w:spacing w:line="240" w:lineRule="auto"/>
              <w:rPr>
                <w:rFonts w:eastAsia="Times New Roman" w:cs="Times New Roman"/>
                <w:color w:val="000000"/>
                <w:kern w:val="0"/>
                <w:sz w:val="16"/>
                <w:szCs w:val="16"/>
                <w:lang w:eastAsia="es-CO"/>
                <w14:ligatures w14:val="none"/>
              </w:rPr>
            </w:pPr>
            <w:r w:rsidRPr="00951AB1">
              <w:rPr>
                <w:rFonts w:eastAsia="Times New Roman" w:cs="Times New Roman"/>
                <w:color w:val="000000"/>
                <w:kern w:val="0"/>
                <w:sz w:val="16"/>
                <w:szCs w:val="16"/>
                <w:lang w:eastAsia="es-CO"/>
                <w14:ligatures w14:val="none"/>
              </w:rPr>
              <w:t xml:space="preserve">Alvaro Montes Sevilla </w:t>
            </w:r>
          </w:p>
        </w:tc>
        <w:tc>
          <w:tcPr>
            <w:tcW w:w="1276" w:type="dxa"/>
            <w:tcBorders>
              <w:top w:val="nil"/>
              <w:left w:val="nil"/>
              <w:bottom w:val="single" w:sz="8" w:space="0" w:color="D0D0D0"/>
              <w:right w:val="single" w:sz="8" w:space="0" w:color="D0D0D0"/>
            </w:tcBorders>
            <w:noWrap/>
            <w:vAlign w:val="center"/>
            <w:hideMark/>
          </w:tcPr>
          <w:p w14:paraId="4AD5FFB8" w14:textId="77777777" w:rsidR="005E64D9" w:rsidRPr="00951AB1" w:rsidRDefault="005E64D9" w:rsidP="000A5389">
            <w:pPr>
              <w:spacing w:line="240" w:lineRule="auto"/>
              <w:jc w:val="right"/>
              <w:rPr>
                <w:rFonts w:eastAsia="Times New Roman" w:cs="Times New Roman"/>
                <w:color w:val="000000"/>
                <w:kern w:val="0"/>
                <w:sz w:val="16"/>
                <w:szCs w:val="16"/>
                <w:lang w:eastAsia="es-CO"/>
                <w14:ligatures w14:val="none"/>
              </w:rPr>
            </w:pPr>
            <w:r w:rsidRPr="00951AB1">
              <w:rPr>
                <w:rFonts w:eastAsia="Times New Roman" w:cs="Times New Roman"/>
                <w:color w:val="000000"/>
                <w:kern w:val="0"/>
                <w:sz w:val="16"/>
                <w:szCs w:val="16"/>
                <w:lang w:eastAsia="es-CO"/>
                <w14:ligatures w14:val="none"/>
              </w:rPr>
              <w:t>7.200.000</w:t>
            </w:r>
          </w:p>
        </w:tc>
        <w:tc>
          <w:tcPr>
            <w:tcW w:w="709" w:type="dxa"/>
            <w:tcBorders>
              <w:top w:val="nil"/>
              <w:left w:val="nil"/>
              <w:bottom w:val="single" w:sz="8" w:space="0" w:color="D0D0D0"/>
              <w:right w:val="single" w:sz="8" w:space="0" w:color="D0D0D0"/>
            </w:tcBorders>
            <w:noWrap/>
            <w:vAlign w:val="center"/>
            <w:hideMark/>
          </w:tcPr>
          <w:p w14:paraId="0EC00F89" w14:textId="77777777" w:rsidR="005E64D9" w:rsidRPr="00951AB1" w:rsidRDefault="005E64D9" w:rsidP="000A5389">
            <w:pPr>
              <w:spacing w:line="240" w:lineRule="auto"/>
              <w:rPr>
                <w:rFonts w:eastAsia="Times New Roman" w:cs="Times New Roman"/>
                <w:color w:val="000000"/>
                <w:kern w:val="0"/>
                <w:sz w:val="16"/>
                <w:szCs w:val="16"/>
                <w:lang w:eastAsia="es-CO"/>
                <w14:ligatures w14:val="none"/>
              </w:rPr>
            </w:pPr>
            <w:r w:rsidRPr="00951AB1">
              <w:rPr>
                <w:rFonts w:eastAsia="Times New Roman" w:cs="Times New Roman"/>
                <w:color w:val="000000"/>
                <w:kern w:val="0"/>
                <w:sz w:val="16"/>
                <w:szCs w:val="16"/>
                <w:lang w:eastAsia="es-CO"/>
                <w14:ligatures w14:val="none"/>
              </w:rPr>
              <w:t> </w:t>
            </w:r>
          </w:p>
        </w:tc>
        <w:tc>
          <w:tcPr>
            <w:tcW w:w="1005" w:type="dxa"/>
            <w:tcBorders>
              <w:top w:val="nil"/>
              <w:left w:val="nil"/>
              <w:bottom w:val="single" w:sz="8" w:space="0" w:color="D0D0D0"/>
              <w:right w:val="single" w:sz="8" w:space="0" w:color="D0D0D0"/>
            </w:tcBorders>
            <w:noWrap/>
            <w:vAlign w:val="center"/>
            <w:hideMark/>
          </w:tcPr>
          <w:p w14:paraId="7920BE80" w14:textId="77777777" w:rsidR="005E64D9" w:rsidRPr="00951AB1" w:rsidRDefault="005E64D9" w:rsidP="000A5389">
            <w:pPr>
              <w:spacing w:line="240" w:lineRule="auto"/>
              <w:jc w:val="right"/>
              <w:rPr>
                <w:rFonts w:eastAsia="Times New Roman" w:cs="Times New Roman"/>
                <w:color w:val="000000"/>
                <w:kern w:val="0"/>
                <w:sz w:val="16"/>
                <w:szCs w:val="16"/>
                <w:lang w:eastAsia="es-CO"/>
                <w14:ligatures w14:val="none"/>
              </w:rPr>
            </w:pPr>
            <w:r w:rsidRPr="00951AB1">
              <w:rPr>
                <w:rFonts w:eastAsia="Times New Roman" w:cs="Times New Roman"/>
                <w:color w:val="000000"/>
                <w:kern w:val="0"/>
                <w:sz w:val="16"/>
                <w:szCs w:val="16"/>
                <w:lang w:eastAsia="es-CO"/>
                <w14:ligatures w14:val="none"/>
              </w:rPr>
              <w:t> </w:t>
            </w:r>
          </w:p>
        </w:tc>
        <w:tc>
          <w:tcPr>
            <w:tcW w:w="1275" w:type="dxa"/>
            <w:tcBorders>
              <w:top w:val="nil"/>
              <w:left w:val="nil"/>
              <w:bottom w:val="single" w:sz="8" w:space="0" w:color="D0D0D0"/>
              <w:right w:val="single" w:sz="8" w:space="0" w:color="D0D0D0"/>
            </w:tcBorders>
            <w:noWrap/>
            <w:vAlign w:val="center"/>
            <w:hideMark/>
          </w:tcPr>
          <w:p w14:paraId="78393C7E" w14:textId="77777777" w:rsidR="005E64D9" w:rsidRPr="00951AB1" w:rsidRDefault="005E64D9" w:rsidP="000A5389">
            <w:pPr>
              <w:spacing w:line="240" w:lineRule="auto"/>
              <w:jc w:val="right"/>
              <w:rPr>
                <w:rFonts w:eastAsia="Times New Roman" w:cs="Times New Roman"/>
                <w:color w:val="000000"/>
                <w:kern w:val="0"/>
                <w:sz w:val="16"/>
                <w:szCs w:val="16"/>
                <w:lang w:eastAsia="es-CO"/>
                <w14:ligatures w14:val="none"/>
              </w:rPr>
            </w:pPr>
            <w:r w:rsidRPr="00951AB1">
              <w:rPr>
                <w:rFonts w:eastAsia="Times New Roman" w:cs="Times New Roman"/>
                <w:color w:val="000000"/>
                <w:kern w:val="0"/>
                <w:sz w:val="16"/>
                <w:szCs w:val="16"/>
                <w:lang w:eastAsia="es-CO"/>
                <w14:ligatures w14:val="none"/>
              </w:rPr>
              <w:t>7.200.000</w:t>
            </w:r>
          </w:p>
        </w:tc>
      </w:tr>
      <w:tr w:rsidR="005E64D9" w:rsidRPr="00951AB1" w14:paraId="2CCB94BB" w14:textId="77777777" w:rsidTr="2C9F3575">
        <w:trPr>
          <w:trHeight w:val="270"/>
        </w:trPr>
        <w:tc>
          <w:tcPr>
            <w:tcW w:w="1266" w:type="dxa"/>
            <w:tcBorders>
              <w:top w:val="nil"/>
              <w:left w:val="single" w:sz="8" w:space="0" w:color="D0D0D0"/>
              <w:bottom w:val="single" w:sz="8" w:space="0" w:color="D0D0D0"/>
              <w:right w:val="single" w:sz="8" w:space="0" w:color="D0D0D0"/>
            </w:tcBorders>
            <w:noWrap/>
            <w:vAlign w:val="center"/>
            <w:hideMark/>
          </w:tcPr>
          <w:p w14:paraId="1991B6C7" w14:textId="77777777" w:rsidR="005E64D9" w:rsidRPr="00951AB1" w:rsidRDefault="005E64D9" w:rsidP="000A5389">
            <w:pPr>
              <w:spacing w:line="240" w:lineRule="auto"/>
              <w:rPr>
                <w:rFonts w:eastAsia="Times New Roman" w:cs="Times New Roman"/>
                <w:color w:val="000000"/>
                <w:kern w:val="0"/>
                <w:sz w:val="16"/>
                <w:szCs w:val="16"/>
                <w:lang w:eastAsia="es-CO"/>
                <w14:ligatures w14:val="none"/>
              </w:rPr>
            </w:pPr>
            <w:r w:rsidRPr="00951AB1">
              <w:rPr>
                <w:rFonts w:eastAsia="Times New Roman" w:cs="Times New Roman"/>
                <w:color w:val="000000"/>
                <w:kern w:val="0"/>
                <w:sz w:val="16"/>
                <w:szCs w:val="16"/>
                <w:lang w:eastAsia="es-CO"/>
                <w14:ligatures w14:val="none"/>
              </w:rPr>
              <w:t>Costas procesales</w:t>
            </w:r>
          </w:p>
        </w:tc>
        <w:tc>
          <w:tcPr>
            <w:tcW w:w="976" w:type="dxa"/>
            <w:tcBorders>
              <w:top w:val="nil"/>
              <w:left w:val="nil"/>
              <w:bottom w:val="single" w:sz="8" w:space="0" w:color="D0D0D0"/>
              <w:right w:val="single" w:sz="8" w:space="0" w:color="D0D0D0"/>
            </w:tcBorders>
            <w:noWrap/>
            <w:vAlign w:val="center"/>
            <w:hideMark/>
          </w:tcPr>
          <w:p w14:paraId="061DC1F8" w14:textId="77777777" w:rsidR="005E64D9" w:rsidRPr="00951AB1" w:rsidRDefault="005E64D9" w:rsidP="000A5389">
            <w:pPr>
              <w:spacing w:line="240" w:lineRule="auto"/>
              <w:jc w:val="center"/>
              <w:rPr>
                <w:rFonts w:eastAsia="Times New Roman" w:cs="Times New Roman"/>
                <w:color w:val="000000"/>
                <w:kern w:val="0"/>
                <w:sz w:val="16"/>
                <w:szCs w:val="16"/>
                <w:lang w:eastAsia="es-CO"/>
                <w14:ligatures w14:val="none"/>
              </w:rPr>
            </w:pPr>
            <w:r w:rsidRPr="00951AB1">
              <w:rPr>
                <w:rFonts w:eastAsia="Times New Roman" w:cs="Times New Roman"/>
                <w:color w:val="000000"/>
                <w:kern w:val="0"/>
                <w:sz w:val="16"/>
                <w:szCs w:val="16"/>
                <w:lang w:eastAsia="es-CO"/>
                <w14:ligatures w14:val="none"/>
              </w:rPr>
              <w:t>13/05/2021</w:t>
            </w:r>
          </w:p>
        </w:tc>
        <w:tc>
          <w:tcPr>
            <w:tcW w:w="2426" w:type="dxa"/>
            <w:tcBorders>
              <w:top w:val="nil"/>
              <w:left w:val="nil"/>
              <w:bottom w:val="single" w:sz="8" w:space="0" w:color="D0D0D0"/>
              <w:right w:val="single" w:sz="8" w:space="0" w:color="D0D0D0"/>
            </w:tcBorders>
            <w:noWrap/>
            <w:vAlign w:val="center"/>
            <w:hideMark/>
          </w:tcPr>
          <w:p w14:paraId="3EA6FA1F" w14:textId="34C230CF" w:rsidR="005E64D9" w:rsidRPr="00951AB1" w:rsidRDefault="005E64D9" w:rsidP="000A5389">
            <w:pPr>
              <w:spacing w:line="240" w:lineRule="auto"/>
              <w:rPr>
                <w:rFonts w:eastAsia="Times New Roman" w:cs="Times New Roman"/>
                <w:color w:val="000000"/>
                <w:kern w:val="0"/>
                <w:sz w:val="16"/>
                <w:szCs w:val="16"/>
                <w:lang w:eastAsia="es-CO"/>
                <w14:ligatures w14:val="none"/>
              </w:rPr>
            </w:pPr>
            <w:r w:rsidRPr="00951AB1">
              <w:rPr>
                <w:rFonts w:eastAsia="Times New Roman" w:cs="Times New Roman"/>
                <w:color w:val="000000"/>
                <w:kern w:val="0"/>
                <w:sz w:val="16"/>
                <w:szCs w:val="16"/>
                <w:lang w:eastAsia="es-CO"/>
                <w14:ligatures w14:val="none"/>
              </w:rPr>
              <w:t xml:space="preserve">Paula Andrea </w:t>
            </w:r>
            <w:r w:rsidR="003076E2" w:rsidRPr="00951AB1">
              <w:rPr>
                <w:rFonts w:eastAsia="Times New Roman" w:cs="Times New Roman"/>
                <w:color w:val="000000"/>
                <w:kern w:val="0"/>
                <w:sz w:val="16"/>
                <w:szCs w:val="16"/>
                <w:lang w:eastAsia="es-CO"/>
                <w14:ligatures w14:val="none"/>
              </w:rPr>
              <w:t>López</w:t>
            </w:r>
            <w:r w:rsidRPr="00951AB1">
              <w:rPr>
                <w:rFonts w:eastAsia="Times New Roman" w:cs="Times New Roman"/>
                <w:color w:val="000000"/>
                <w:kern w:val="0"/>
                <w:sz w:val="16"/>
                <w:szCs w:val="16"/>
                <w:lang w:eastAsia="es-CO"/>
                <w14:ligatures w14:val="none"/>
              </w:rPr>
              <w:t xml:space="preserve"> Ortiz </w:t>
            </w:r>
          </w:p>
        </w:tc>
        <w:tc>
          <w:tcPr>
            <w:tcW w:w="1276" w:type="dxa"/>
            <w:tcBorders>
              <w:top w:val="nil"/>
              <w:left w:val="nil"/>
              <w:bottom w:val="single" w:sz="8" w:space="0" w:color="D0D0D0"/>
              <w:right w:val="single" w:sz="8" w:space="0" w:color="D0D0D0"/>
            </w:tcBorders>
            <w:noWrap/>
            <w:vAlign w:val="center"/>
            <w:hideMark/>
          </w:tcPr>
          <w:p w14:paraId="26D6457D" w14:textId="77777777" w:rsidR="005E64D9" w:rsidRPr="00951AB1" w:rsidRDefault="005E64D9" w:rsidP="000A5389">
            <w:pPr>
              <w:spacing w:line="240" w:lineRule="auto"/>
              <w:jc w:val="right"/>
              <w:rPr>
                <w:rFonts w:eastAsia="Times New Roman" w:cs="Times New Roman"/>
                <w:color w:val="000000"/>
                <w:kern w:val="0"/>
                <w:sz w:val="16"/>
                <w:szCs w:val="16"/>
                <w:lang w:eastAsia="es-CO"/>
                <w14:ligatures w14:val="none"/>
              </w:rPr>
            </w:pPr>
            <w:r w:rsidRPr="00951AB1">
              <w:rPr>
                <w:rFonts w:eastAsia="Times New Roman" w:cs="Times New Roman"/>
                <w:color w:val="000000"/>
                <w:kern w:val="0"/>
                <w:sz w:val="16"/>
                <w:szCs w:val="16"/>
                <w:lang w:eastAsia="es-CO"/>
                <w14:ligatures w14:val="none"/>
              </w:rPr>
              <w:t>1.166.630</w:t>
            </w:r>
          </w:p>
        </w:tc>
        <w:tc>
          <w:tcPr>
            <w:tcW w:w="709" w:type="dxa"/>
            <w:tcBorders>
              <w:top w:val="nil"/>
              <w:left w:val="nil"/>
              <w:bottom w:val="single" w:sz="8" w:space="0" w:color="D0D0D0"/>
              <w:right w:val="single" w:sz="8" w:space="0" w:color="D0D0D0"/>
            </w:tcBorders>
            <w:noWrap/>
            <w:vAlign w:val="center"/>
            <w:hideMark/>
          </w:tcPr>
          <w:p w14:paraId="0534982B" w14:textId="77777777" w:rsidR="005E64D9" w:rsidRPr="00951AB1" w:rsidRDefault="005E64D9" w:rsidP="000A5389">
            <w:pPr>
              <w:spacing w:line="240" w:lineRule="auto"/>
              <w:jc w:val="right"/>
              <w:rPr>
                <w:rFonts w:eastAsia="Times New Roman" w:cs="Times New Roman"/>
                <w:color w:val="000000"/>
                <w:kern w:val="0"/>
                <w:sz w:val="16"/>
                <w:szCs w:val="16"/>
                <w:lang w:eastAsia="es-CO"/>
                <w14:ligatures w14:val="none"/>
              </w:rPr>
            </w:pPr>
            <w:r w:rsidRPr="00951AB1">
              <w:rPr>
                <w:rFonts w:eastAsia="Times New Roman" w:cs="Times New Roman"/>
                <w:color w:val="000000"/>
                <w:kern w:val="0"/>
                <w:sz w:val="16"/>
                <w:szCs w:val="16"/>
                <w:lang w:eastAsia="es-CO"/>
                <w14:ligatures w14:val="none"/>
              </w:rPr>
              <w:t> </w:t>
            </w:r>
          </w:p>
        </w:tc>
        <w:tc>
          <w:tcPr>
            <w:tcW w:w="1005" w:type="dxa"/>
            <w:tcBorders>
              <w:top w:val="nil"/>
              <w:left w:val="nil"/>
              <w:bottom w:val="single" w:sz="8" w:space="0" w:color="D0D0D0"/>
              <w:right w:val="single" w:sz="8" w:space="0" w:color="D0D0D0"/>
            </w:tcBorders>
            <w:noWrap/>
            <w:vAlign w:val="center"/>
            <w:hideMark/>
          </w:tcPr>
          <w:p w14:paraId="4DBE4F3C" w14:textId="77777777" w:rsidR="005E64D9" w:rsidRPr="00951AB1" w:rsidRDefault="005E64D9" w:rsidP="000A5389">
            <w:pPr>
              <w:spacing w:line="240" w:lineRule="auto"/>
              <w:jc w:val="right"/>
              <w:rPr>
                <w:rFonts w:eastAsia="Times New Roman" w:cs="Times New Roman"/>
                <w:color w:val="000000"/>
                <w:kern w:val="0"/>
                <w:sz w:val="16"/>
                <w:szCs w:val="16"/>
                <w:lang w:eastAsia="es-CO"/>
                <w14:ligatures w14:val="none"/>
              </w:rPr>
            </w:pPr>
            <w:r w:rsidRPr="00951AB1">
              <w:rPr>
                <w:rFonts w:eastAsia="Times New Roman" w:cs="Times New Roman"/>
                <w:color w:val="000000"/>
                <w:kern w:val="0"/>
                <w:sz w:val="16"/>
                <w:szCs w:val="16"/>
                <w:lang w:eastAsia="es-CO"/>
                <w14:ligatures w14:val="none"/>
              </w:rPr>
              <w:t> </w:t>
            </w:r>
          </w:p>
        </w:tc>
        <w:tc>
          <w:tcPr>
            <w:tcW w:w="1275" w:type="dxa"/>
            <w:tcBorders>
              <w:top w:val="nil"/>
              <w:left w:val="nil"/>
              <w:bottom w:val="single" w:sz="8" w:space="0" w:color="D0D0D0"/>
              <w:right w:val="single" w:sz="8" w:space="0" w:color="D0D0D0"/>
            </w:tcBorders>
            <w:noWrap/>
            <w:vAlign w:val="center"/>
            <w:hideMark/>
          </w:tcPr>
          <w:p w14:paraId="18F291AF" w14:textId="77777777" w:rsidR="005E64D9" w:rsidRPr="00951AB1" w:rsidRDefault="005E64D9" w:rsidP="000A5389">
            <w:pPr>
              <w:spacing w:line="240" w:lineRule="auto"/>
              <w:jc w:val="right"/>
              <w:rPr>
                <w:rFonts w:eastAsia="Times New Roman" w:cs="Times New Roman"/>
                <w:color w:val="000000"/>
                <w:kern w:val="0"/>
                <w:sz w:val="16"/>
                <w:szCs w:val="16"/>
                <w:lang w:eastAsia="es-CO"/>
                <w14:ligatures w14:val="none"/>
              </w:rPr>
            </w:pPr>
            <w:r w:rsidRPr="00951AB1">
              <w:rPr>
                <w:rFonts w:eastAsia="Times New Roman" w:cs="Times New Roman"/>
                <w:color w:val="000000"/>
                <w:kern w:val="0"/>
                <w:sz w:val="16"/>
                <w:szCs w:val="16"/>
                <w:lang w:eastAsia="es-CO"/>
                <w14:ligatures w14:val="none"/>
              </w:rPr>
              <w:t>1.166.630</w:t>
            </w:r>
          </w:p>
        </w:tc>
      </w:tr>
      <w:tr w:rsidR="005E64D9" w:rsidRPr="00951AB1" w14:paraId="4DC00A87" w14:textId="77777777" w:rsidTr="2C9F3575">
        <w:trPr>
          <w:trHeight w:val="270"/>
        </w:trPr>
        <w:tc>
          <w:tcPr>
            <w:tcW w:w="1266" w:type="dxa"/>
            <w:tcBorders>
              <w:top w:val="nil"/>
              <w:left w:val="single" w:sz="8" w:space="0" w:color="D0D0D0"/>
              <w:bottom w:val="single" w:sz="8" w:space="0" w:color="D0D0D0"/>
              <w:right w:val="single" w:sz="8" w:space="0" w:color="D0D0D0"/>
            </w:tcBorders>
            <w:noWrap/>
            <w:vAlign w:val="center"/>
            <w:hideMark/>
          </w:tcPr>
          <w:p w14:paraId="19159F94" w14:textId="77777777" w:rsidR="005E64D9" w:rsidRPr="00951AB1" w:rsidRDefault="005E64D9" w:rsidP="000A5389">
            <w:pPr>
              <w:spacing w:line="240" w:lineRule="auto"/>
              <w:rPr>
                <w:rFonts w:eastAsia="Times New Roman" w:cs="Times New Roman"/>
                <w:color w:val="000000"/>
                <w:kern w:val="0"/>
                <w:sz w:val="16"/>
                <w:szCs w:val="16"/>
                <w:lang w:eastAsia="es-CO"/>
                <w14:ligatures w14:val="none"/>
              </w:rPr>
            </w:pPr>
            <w:r w:rsidRPr="00951AB1">
              <w:rPr>
                <w:rFonts w:eastAsia="Times New Roman" w:cs="Times New Roman"/>
                <w:color w:val="000000"/>
                <w:kern w:val="0"/>
                <w:sz w:val="16"/>
                <w:szCs w:val="16"/>
                <w:lang w:eastAsia="es-CO"/>
                <w14:ligatures w14:val="none"/>
              </w:rPr>
              <w:t>Costas procesales</w:t>
            </w:r>
          </w:p>
        </w:tc>
        <w:tc>
          <w:tcPr>
            <w:tcW w:w="976" w:type="dxa"/>
            <w:tcBorders>
              <w:top w:val="nil"/>
              <w:left w:val="nil"/>
              <w:bottom w:val="single" w:sz="8" w:space="0" w:color="D0D0D0"/>
              <w:right w:val="single" w:sz="8" w:space="0" w:color="D0D0D0"/>
            </w:tcBorders>
            <w:noWrap/>
            <w:vAlign w:val="center"/>
            <w:hideMark/>
          </w:tcPr>
          <w:p w14:paraId="6D97BBD7" w14:textId="77777777" w:rsidR="005E64D9" w:rsidRPr="00951AB1" w:rsidRDefault="005E64D9" w:rsidP="000A5389">
            <w:pPr>
              <w:spacing w:line="240" w:lineRule="auto"/>
              <w:jc w:val="center"/>
              <w:rPr>
                <w:rFonts w:eastAsia="Times New Roman" w:cs="Times New Roman"/>
                <w:color w:val="000000"/>
                <w:kern w:val="0"/>
                <w:sz w:val="16"/>
                <w:szCs w:val="16"/>
                <w:lang w:eastAsia="es-CO"/>
                <w14:ligatures w14:val="none"/>
              </w:rPr>
            </w:pPr>
            <w:r w:rsidRPr="00951AB1">
              <w:rPr>
                <w:rFonts w:eastAsia="Times New Roman" w:cs="Times New Roman"/>
                <w:color w:val="000000"/>
                <w:kern w:val="0"/>
                <w:sz w:val="16"/>
                <w:szCs w:val="16"/>
                <w:lang w:eastAsia="es-CO"/>
                <w14:ligatures w14:val="none"/>
              </w:rPr>
              <w:t>25/06/2021</w:t>
            </w:r>
          </w:p>
        </w:tc>
        <w:tc>
          <w:tcPr>
            <w:tcW w:w="2426" w:type="dxa"/>
            <w:tcBorders>
              <w:top w:val="nil"/>
              <w:left w:val="nil"/>
              <w:bottom w:val="single" w:sz="8" w:space="0" w:color="D0D0D0"/>
              <w:right w:val="single" w:sz="8" w:space="0" w:color="D0D0D0"/>
            </w:tcBorders>
            <w:noWrap/>
            <w:vAlign w:val="center"/>
            <w:hideMark/>
          </w:tcPr>
          <w:p w14:paraId="710E2774" w14:textId="6BB0F654" w:rsidR="005E64D9" w:rsidRPr="00951AB1" w:rsidRDefault="005E64D9" w:rsidP="000A5389">
            <w:pPr>
              <w:spacing w:line="240" w:lineRule="auto"/>
              <w:rPr>
                <w:rFonts w:eastAsia="Times New Roman" w:cs="Times New Roman"/>
                <w:color w:val="000000"/>
                <w:kern w:val="0"/>
                <w:sz w:val="16"/>
                <w:szCs w:val="16"/>
                <w:lang w:eastAsia="es-CO"/>
                <w14:ligatures w14:val="none"/>
              </w:rPr>
            </w:pPr>
            <w:r w:rsidRPr="00951AB1">
              <w:rPr>
                <w:rFonts w:eastAsia="Times New Roman" w:cs="Times New Roman"/>
                <w:color w:val="000000"/>
                <w:kern w:val="0"/>
                <w:sz w:val="16"/>
                <w:szCs w:val="16"/>
                <w:lang w:eastAsia="es-CO"/>
                <w14:ligatures w14:val="none"/>
              </w:rPr>
              <w:t xml:space="preserve">Nelvis Beatriz Amaya Robles </w:t>
            </w:r>
          </w:p>
        </w:tc>
        <w:tc>
          <w:tcPr>
            <w:tcW w:w="1276" w:type="dxa"/>
            <w:tcBorders>
              <w:top w:val="nil"/>
              <w:left w:val="nil"/>
              <w:bottom w:val="single" w:sz="8" w:space="0" w:color="D0D0D0"/>
              <w:right w:val="single" w:sz="8" w:space="0" w:color="D0D0D0"/>
            </w:tcBorders>
            <w:noWrap/>
            <w:vAlign w:val="center"/>
            <w:hideMark/>
          </w:tcPr>
          <w:p w14:paraId="470C9330" w14:textId="77777777" w:rsidR="005E64D9" w:rsidRPr="00951AB1" w:rsidRDefault="005E64D9" w:rsidP="000A5389">
            <w:pPr>
              <w:spacing w:line="240" w:lineRule="auto"/>
              <w:jc w:val="right"/>
              <w:rPr>
                <w:rFonts w:eastAsia="Times New Roman" w:cs="Times New Roman"/>
                <w:color w:val="000000"/>
                <w:kern w:val="0"/>
                <w:sz w:val="16"/>
                <w:szCs w:val="16"/>
                <w:lang w:eastAsia="es-CO"/>
                <w14:ligatures w14:val="none"/>
              </w:rPr>
            </w:pPr>
            <w:r w:rsidRPr="00951AB1">
              <w:rPr>
                <w:rFonts w:eastAsia="Times New Roman" w:cs="Times New Roman"/>
                <w:color w:val="000000"/>
                <w:kern w:val="0"/>
                <w:sz w:val="16"/>
                <w:szCs w:val="16"/>
                <w:lang w:eastAsia="es-CO"/>
                <w14:ligatures w14:val="none"/>
              </w:rPr>
              <w:t>908.526</w:t>
            </w:r>
          </w:p>
        </w:tc>
        <w:tc>
          <w:tcPr>
            <w:tcW w:w="709" w:type="dxa"/>
            <w:tcBorders>
              <w:top w:val="nil"/>
              <w:left w:val="nil"/>
              <w:bottom w:val="single" w:sz="8" w:space="0" w:color="D0D0D0"/>
              <w:right w:val="single" w:sz="8" w:space="0" w:color="D0D0D0"/>
            </w:tcBorders>
            <w:noWrap/>
            <w:vAlign w:val="center"/>
            <w:hideMark/>
          </w:tcPr>
          <w:p w14:paraId="487770A1" w14:textId="77777777" w:rsidR="005E64D9" w:rsidRPr="00951AB1" w:rsidRDefault="005E64D9" w:rsidP="000A5389">
            <w:pPr>
              <w:spacing w:line="240" w:lineRule="auto"/>
              <w:rPr>
                <w:rFonts w:eastAsia="Times New Roman" w:cs="Times New Roman"/>
                <w:color w:val="000000"/>
                <w:kern w:val="0"/>
                <w:sz w:val="16"/>
                <w:szCs w:val="16"/>
                <w:lang w:eastAsia="es-CO"/>
                <w14:ligatures w14:val="none"/>
              </w:rPr>
            </w:pPr>
            <w:r w:rsidRPr="00951AB1">
              <w:rPr>
                <w:rFonts w:eastAsia="Times New Roman" w:cs="Times New Roman"/>
                <w:color w:val="000000"/>
                <w:kern w:val="0"/>
                <w:sz w:val="16"/>
                <w:szCs w:val="16"/>
                <w:lang w:eastAsia="es-CO"/>
                <w14:ligatures w14:val="none"/>
              </w:rPr>
              <w:t> </w:t>
            </w:r>
          </w:p>
        </w:tc>
        <w:tc>
          <w:tcPr>
            <w:tcW w:w="1005" w:type="dxa"/>
            <w:tcBorders>
              <w:top w:val="nil"/>
              <w:left w:val="nil"/>
              <w:bottom w:val="single" w:sz="8" w:space="0" w:color="D0D0D0"/>
              <w:right w:val="single" w:sz="8" w:space="0" w:color="D0D0D0"/>
            </w:tcBorders>
            <w:noWrap/>
            <w:vAlign w:val="center"/>
            <w:hideMark/>
          </w:tcPr>
          <w:p w14:paraId="2928A250" w14:textId="77777777" w:rsidR="005E64D9" w:rsidRPr="00951AB1" w:rsidRDefault="005E64D9" w:rsidP="000A5389">
            <w:pPr>
              <w:spacing w:line="240" w:lineRule="auto"/>
              <w:jc w:val="right"/>
              <w:rPr>
                <w:rFonts w:eastAsia="Times New Roman" w:cs="Times New Roman"/>
                <w:color w:val="000000"/>
                <w:kern w:val="0"/>
                <w:sz w:val="16"/>
                <w:szCs w:val="16"/>
                <w:lang w:eastAsia="es-CO"/>
                <w14:ligatures w14:val="none"/>
              </w:rPr>
            </w:pPr>
            <w:r w:rsidRPr="00951AB1">
              <w:rPr>
                <w:rFonts w:eastAsia="Times New Roman" w:cs="Times New Roman"/>
                <w:color w:val="000000"/>
                <w:kern w:val="0"/>
                <w:sz w:val="16"/>
                <w:szCs w:val="16"/>
                <w:lang w:eastAsia="es-CO"/>
                <w14:ligatures w14:val="none"/>
              </w:rPr>
              <w:t> </w:t>
            </w:r>
          </w:p>
        </w:tc>
        <w:tc>
          <w:tcPr>
            <w:tcW w:w="1275" w:type="dxa"/>
            <w:tcBorders>
              <w:top w:val="nil"/>
              <w:left w:val="nil"/>
              <w:bottom w:val="single" w:sz="8" w:space="0" w:color="D0D0D0"/>
              <w:right w:val="single" w:sz="8" w:space="0" w:color="D0D0D0"/>
            </w:tcBorders>
            <w:noWrap/>
            <w:vAlign w:val="center"/>
            <w:hideMark/>
          </w:tcPr>
          <w:p w14:paraId="16E79807" w14:textId="77777777" w:rsidR="005E64D9" w:rsidRPr="00951AB1" w:rsidRDefault="005E64D9" w:rsidP="000A5389">
            <w:pPr>
              <w:spacing w:line="240" w:lineRule="auto"/>
              <w:jc w:val="right"/>
              <w:rPr>
                <w:rFonts w:eastAsia="Times New Roman" w:cs="Times New Roman"/>
                <w:color w:val="000000"/>
                <w:kern w:val="0"/>
                <w:sz w:val="16"/>
                <w:szCs w:val="16"/>
                <w:lang w:eastAsia="es-CO"/>
                <w14:ligatures w14:val="none"/>
              </w:rPr>
            </w:pPr>
            <w:r w:rsidRPr="00951AB1">
              <w:rPr>
                <w:rFonts w:eastAsia="Times New Roman" w:cs="Times New Roman"/>
                <w:color w:val="000000"/>
                <w:kern w:val="0"/>
                <w:sz w:val="16"/>
                <w:szCs w:val="16"/>
                <w:lang w:eastAsia="es-CO"/>
                <w14:ligatures w14:val="none"/>
              </w:rPr>
              <w:t>908.526</w:t>
            </w:r>
          </w:p>
        </w:tc>
      </w:tr>
      <w:tr w:rsidR="005E64D9" w:rsidRPr="00951AB1" w14:paraId="2368AFA2" w14:textId="77777777" w:rsidTr="2C9F3575">
        <w:trPr>
          <w:trHeight w:val="270"/>
        </w:trPr>
        <w:tc>
          <w:tcPr>
            <w:tcW w:w="1266" w:type="dxa"/>
            <w:tcBorders>
              <w:top w:val="nil"/>
              <w:left w:val="single" w:sz="8" w:space="0" w:color="D0D0D0"/>
              <w:bottom w:val="single" w:sz="8" w:space="0" w:color="D0D0D0"/>
              <w:right w:val="single" w:sz="8" w:space="0" w:color="D0D0D0"/>
            </w:tcBorders>
            <w:noWrap/>
            <w:vAlign w:val="center"/>
            <w:hideMark/>
          </w:tcPr>
          <w:p w14:paraId="5B60A98B" w14:textId="77777777" w:rsidR="005E64D9" w:rsidRPr="00951AB1" w:rsidRDefault="005E64D9" w:rsidP="000A5389">
            <w:pPr>
              <w:spacing w:line="240" w:lineRule="auto"/>
              <w:rPr>
                <w:rFonts w:eastAsia="Times New Roman" w:cs="Times New Roman"/>
                <w:color w:val="000000"/>
                <w:kern w:val="0"/>
                <w:sz w:val="16"/>
                <w:szCs w:val="16"/>
                <w:lang w:eastAsia="es-CO"/>
                <w14:ligatures w14:val="none"/>
              </w:rPr>
            </w:pPr>
            <w:r w:rsidRPr="00951AB1">
              <w:rPr>
                <w:rFonts w:eastAsia="Times New Roman" w:cs="Times New Roman"/>
                <w:color w:val="000000"/>
                <w:kern w:val="0"/>
                <w:sz w:val="16"/>
                <w:szCs w:val="16"/>
                <w:lang w:eastAsia="es-CO"/>
                <w14:ligatures w14:val="none"/>
              </w:rPr>
              <w:t>Costas procesales</w:t>
            </w:r>
          </w:p>
        </w:tc>
        <w:tc>
          <w:tcPr>
            <w:tcW w:w="976" w:type="dxa"/>
            <w:tcBorders>
              <w:top w:val="nil"/>
              <w:left w:val="nil"/>
              <w:bottom w:val="single" w:sz="8" w:space="0" w:color="D0D0D0"/>
              <w:right w:val="single" w:sz="8" w:space="0" w:color="D0D0D0"/>
            </w:tcBorders>
            <w:noWrap/>
            <w:vAlign w:val="center"/>
            <w:hideMark/>
          </w:tcPr>
          <w:p w14:paraId="265524CC" w14:textId="77777777" w:rsidR="005E64D9" w:rsidRPr="00951AB1" w:rsidRDefault="005E64D9" w:rsidP="000A5389">
            <w:pPr>
              <w:spacing w:line="240" w:lineRule="auto"/>
              <w:jc w:val="center"/>
              <w:rPr>
                <w:rFonts w:eastAsia="Times New Roman" w:cs="Times New Roman"/>
                <w:color w:val="000000"/>
                <w:kern w:val="0"/>
                <w:sz w:val="16"/>
                <w:szCs w:val="16"/>
                <w:lang w:eastAsia="es-CO"/>
                <w14:ligatures w14:val="none"/>
              </w:rPr>
            </w:pPr>
            <w:r w:rsidRPr="00951AB1">
              <w:rPr>
                <w:rFonts w:eastAsia="Times New Roman" w:cs="Times New Roman"/>
                <w:color w:val="000000"/>
                <w:kern w:val="0"/>
                <w:sz w:val="16"/>
                <w:szCs w:val="16"/>
                <w:lang w:eastAsia="es-CO"/>
                <w14:ligatures w14:val="none"/>
              </w:rPr>
              <w:t>11/07/2019</w:t>
            </w:r>
          </w:p>
        </w:tc>
        <w:tc>
          <w:tcPr>
            <w:tcW w:w="2426" w:type="dxa"/>
            <w:tcBorders>
              <w:top w:val="nil"/>
              <w:left w:val="nil"/>
              <w:bottom w:val="single" w:sz="8" w:space="0" w:color="D0D0D0"/>
              <w:right w:val="single" w:sz="8" w:space="0" w:color="D0D0D0"/>
            </w:tcBorders>
            <w:noWrap/>
            <w:vAlign w:val="center"/>
            <w:hideMark/>
          </w:tcPr>
          <w:p w14:paraId="2B715DC8" w14:textId="7D5E078D" w:rsidR="005E64D9" w:rsidRPr="00951AB1" w:rsidRDefault="005E64D9" w:rsidP="000A5389">
            <w:pPr>
              <w:spacing w:line="240" w:lineRule="auto"/>
              <w:rPr>
                <w:rFonts w:eastAsia="Times New Roman" w:cs="Times New Roman"/>
                <w:color w:val="000000"/>
                <w:kern w:val="0"/>
                <w:sz w:val="16"/>
                <w:szCs w:val="16"/>
                <w:lang w:eastAsia="es-CO"/>
                <w14:ligatures w14:val="none"/>
              </w:rPr>
            </w:pPr>
            <w:r w:rsidRPr="00951AB1">
              <w:rPr>
                <w:rFonts w:eastAsia="Times New Roman" w:cs="Times New Roman"/>
                <w:color w:val="000000"/>
                <w:kern w:val="0"/>
                <w:sz w:val="16"/>
                <w:szCs w:val="16"/>
                <w:lang w:eastAsia="es-CO"/>
                <w14:ligatures w14:val="none"/>
              </w:rPr>
              <w:t xml:space="preserve">Dumar Alexander Neira Aya </w:t>
            </w:r>
          </w:p>
        </w:tc>
        <w:tc>
          <w:tcPr>
            <w:tcW w:w="1276" w:type="dxa"/>
            <w:tcBorders>
              <w:top w:val="nil"/>
              <w:left w:val="nil"/>
              <w:bottom w:val="single" w:sz="8" w:space="0" w:color="D0D0D0"/>
              <w:right w:val="single" w:sz="8" w:space="0" w:color="D0D0D0"/>
            </w:tcBorders>
            <w:noWrap/>
            <w:vAlign w:val="center"/>
            <w:hideMark/>
          </w:tcPr>
          <w:p w14:paraId="372799EC" w14:textId="77777777" w:rsidR="005E64D9" w:rsidRPr="00951AB1" w:rsidRDefault="005E64D9" w:rsidP="000A5389">
            <w:pPr>
              <w:spacing w:line="240" w:lineRule="auto"/>
              <w:jc w:val="right"/>
              <w:rPr>
                <w:rFonts w:eastAsia="Times New Roman" w:cs="Times New Roman"/>
                <w:color w:val="000000"/>
                <w:kern w:val="0"/>
                <w:sz w:val="16"/>
                <w:szCs w:val="16"/>
                <w:lang w:eastAsia="es-CO"/>
                <w14:ligatures w14:val="none"/>
              </w:rPr>
            </w:pPr>
            <w:r w:rsidRPr="00951AB1">
              <w:rPr>
                <w:rFonts w:eastAsia="Times New Roman" w:cs="Times New Roman"/>
                <w:color w:val="000000"/>
                <w:kern w:val="0"/>
                <w:sz w:val="16"/>
                <w:szCs w:val="16"/>
                <w:lang w:eastAsia="es-CO"/>
                <w14:ligatures w14:val="none"/>
              </w:rPr>
              <w:t>828.116</w:t>
            </w:r>
          </w:p>
        </w:tc>
        <w:tc>
          <w:tcPr>
            <w:tcW w:w="709" w:type="dxa"/>
            <w:tcBorders>
              <w:top w:val="nil"/>
              <w:left w:val="nil"/>
              <w:bottom w:val="single" w:sz="8" w:space="0" w:color="D0D0D0"/>
              <w:right w:val="single" w:sz="8" w:space="0" w:color="D0D0D0"/>
            </w:tcBorders>
            <w:noWrap/>
            <w:vAlign w:val="center"/>
            <w:hideMark/>
          </w:tcPr>
          <w:p w14:paraId="0548CB87" w14:textId="77777777" w:rsidR="005E64D9" w:rsidRPr="00951AB1" w:rsidRDefault="005E64D9" w:rsidP="000A5389">
            <w:pPr>
              <w:spacing w:line="240" w:lineRule="auto"/>
              <w:jc w:val="right"/>
              <w:rPr>
                <w:rFonts w:eastAsia="Times New Roman" w:cs="Times New Roman"/>
                <w:color w:val="000000"/>
                <w:kern w:val="0"/>
                <w:sz w:val="16"/>
                <w:szCs w:val="16"/>
                <w:lang w:eastAsia="es-CO"/>
                <w14:ligatures w14:val="none"/>
              </w:rPr>
            </w:pPr>
            <w:r w:rsidRPr="00951AB1">
              <w:rPr>
                <w:rFonts w:eastAsia="Times New Roman" w:cs="Times New Roman"/>
                <w:color w:val="000000"/>
                <w:kern w:val="0"/>
                <w:sz w:val="16"/>
                <w:szCs w:val="16"/>
                <w:lang w:eastAsia="es-CO"/>
                <w14:ligatures w14:val="none"/>
              </w:rPr>
              <w:t> </w:t>
            </w:r>
          </w:p>
        </w:tc>
        <w:tc>
          <w:tcPr>
            <w:tcW w:w="1005" w:type="dxa"/>
            <w:tcBorders>
              <w:top w:val="nil"/>
              <w:left w:val="nil"/>
              <w:bottom w:val="single" w:sz="8" w:space="0" w:color="D0D0D0"/>
              <w:right w:val="single" w:sz="8" w:space="0" w:color="D0D0D0"/>
            </w:tcBorders>
            <w:noWrap/>
            <w:vAlign w:val="center"/>
            <w:hideMark/>
          </w:tcPr>
          <w:p w14:paraId="54B4B6E2" w14:textId="77777777" w:rsidR="005E64D9" w:rsidRPr="00951AB1" w:rsidRDefault="005E64D9" w:rsidP="000A5389">
            <w:pPr>
              <w:spacing w:line="240" w:lineRule="auto"/>
              <w:jc w:val="right"/>
              <w:rPr>
                <w:rFonts w:eastAsia="Times New Roman" w:cs="Times New Roman"/>
                <w:color w:val="000000"/>
                <w:kern w:val="0"/>
                <w:sz w:val="16"/>
                <w:szCs w:val="16"/>
                <w:lang w:eastAsia="es-CO"/>
                <w14:ligatures w14:val="none"/>
              </w:rPr>
            </w:pPr>
            <w:r w:rsidRPr="00951AB1">
              <w:rPr>
                <w:rFonts w:eastAsia="Times New Roman" w:cs="Times New Roman"/>
                <w:color w:val="000000"/>
                <w:kern w:val="0"/>
                <w:sz w:val="16"/>
                <w:szCs w:val="16"/>
                <w:lang w:eastAsia="es-CO"/>
                <w14:ligatures w14:val="none"/>
              </w:rPr>
              <w:t> </w:t>
            </w:r>
          </w:p>
        </w:tc>
        <w:tc>
          <w:tcPr>
            <w:tcW w:w="1275" w:type="dxa"/>
            <w:tcBorders>
              <w:top w:val="nil"/>
              <w:left w:val="nil"/>
              <w:bottom w:val="single" w:sz="8" w:space="0" w:color="D0D0D0"/>
              <w:right w:val="single" w:sz="8" w:space="0" w:color="D0D0D0"/>
            </w:tcBorders>
            <w:noWrap/>
            <w:vAlign w:val="center"/>
            <w:hideMark/>
          </w:tcPr>
          <w:p w14:paraId="33D8E8D3" w14:textId="77777777" w:rsidR="005E64D9" w:rsidRPr="00951AB1" w:rsidRDefault="005E64D9" w:rsidP="000A5389">
            <w:pPr>
              <w:spacing w:line="240" w:lineRule="auto"/>
              <w:jc w:val="right"/>
              <w:rPr>
                <w:rFonts w:eastAsia="Times New Roman" w:cs="Times New Roman"/>
                <w:color w:val="000000"/>
                <w:kern w:val="0"/>
                <w:sz w:val="16"/>
                <w:szCs w:val="16"/>
                <w:lang w:eastAsia="es-CO"/>
                <w14:ligatures w14:val="none"/>
              </w:rPr>
            </w:pPr>
            <w:r w:rsidRPr="00951AB1">
              <w:rPr>
                <w:rFonts w:eastAsia="Times New Roman" w:cs="Times New Roman"/>
                <w:color w:val="000000"/>
                <w:kern w:val="0"/>
                <w:sz w:val="16"/>
                <w:szCs w:val="16"/>
                <w:lang w:eastAsia="es-CO"/>
                <w14:ligatures w14:val="none"/>
              </w:rPr>
              <w:t>828.116</w:t>
            </w:r>
          </w:p>
        </w:tc>
      </w:tr>
      <w:tr w:rsidR="005E64D9" w:rsidRPr="00951AB1" w14:paraId="4C607170" w14:textId="77777777" w:rsidTr="2C9F3575">
        <w:trPr>
          <w:trHeight w:val="270"/>
        </w:trPr>
        <w:tc>
          <w:tcPr>
            <w:tcW w:w="1266" w:type="dxa"/>
            <w:tcBorders>
              <w:top w:val="nil"/>
              <w:left w:val="single" w:sz="8" w:space="0" w:color="D0D0D0"/>
              <w:bottom w:val="single" w:sz="8" w:space="0" w:color="D0D0D0"/>
              <w:right w:val="single" w:sz="8" w:space="0" w:color="D0D0D0"/>
            </w:tcBorders>
            <w:noWrap/>
            <w:vAlign w:val="center"/>
            <w:hideMark/>
          </w:tcPr>
          <w:p w14:paraId="0226B08C" w14:textId="77777777" w:rsidR="005E64D9" w:rsidRPr="00951AB1" w:rsidRDefault="005E64D9" w:rsidP="000A5389">
            <w:pPr>
              <w:spacing w:line="240" w:lineRule="auto"/>
              <w:rPr>
                <w:rFonts w:eastAsia="Times New Roman" w:cs="Times New Roman"/>
                <w:color w:val="000000"/>
                <w:kern w:val="0"/>
                <w:sz w:val="16"/>
                <w:szCs w:val="16"/>
                <w:lang w:eastAsia="es-CO"/>
                <w14:ligatures w14:val="none"/>
              </w:rPr>
            </w:pPr>
            <w:r w:rsidRPr="00951AB1">
              <w:rPr>
                <w:rFonts w:eastAsia="Times New Roman" w:cs="Times New Roman"/>
                <w:color w:val="000000"/>
                <w:kern w:val="0"/>
                <w:sz w:val="16"/>
                <w:szCs w:val="16"/>
                <w:lang w:eastAsia="es-CO"/>
                <w14:ligatures w14:val="none"/>
              </w:rPr>
              <w:t>Costas procesales</w:t>
            </w:r>
          </w:p>
        </w:tc>
        <w:tc>
          <w:tcPr>
            <w:tcW w:w="976" w:type="dxa"/>
            <w:tcBorders>
              <w:top w:val="nil"/>
              <w:left w:val="nil"/>
              <w:bottom w:val="single" w:sz="8" w:space="0" w:color="D0D0D0"/>
              <w:right w:val="single" w:sz="8" w:space="0" w:color="D0D0D0"/>
            </w:tcBorders>
            <w:noWrap/>
            <w:vAlign w:val="center"/>
            <w:hideMark/>
          </w:tcPr>
          <w:p w14:paraId="214FA468" w14:textId="77777777" w:rsidR="005E64D9" w:rsidRPr="00951AB1" w:rsidRDefault="005E64D9" w:rsidP="000A5389">
            <w:pPr>
              <w:spacing w:line="240" w:lineRule="auto"/>
              <w:jc w:val="center"/>
              <w:rPr>
                <w:rFonts w:eastAsia="Times New Roman" w:cs="Times New Roman"/>
                <w:color w:val="000000"/>
                <w:kern w:val="0"/>
                <w:sz w:val="16"/>
                <w:szCs w:val="16"/>
                <w:lang w:eastAsia="es-CO"/>
                <w14:ligatures w14:val="none"/>
              </w:rPr>
            </w:pPr>
            <w:r w:rsidRPr="00951AB1">
              <w:rPr>
                <w:rFonts w:eastAsia="Times New Roman" w:cs="Times New Roman"/>
                <w:color w:val="000000"/>
                <w:kern w:val="0"/>
                <w:sz w:val="16"/>
                <w:szCs w:val="16"/>
                <w:lang w:eastAsia="es-CO"/>
                <w14:ligatures w14:val="none"/>
              </w:rPr>
              <w:t>3/12/2020</w:t>
            </w:r>
          </w:p>
        </w:tc>
        <w:tc>
          <w:tcPr>
            <w:tcW w:w="2426" w:type="dxa"/>
            <w:tcBorders>
              <w:top w:val="nil"/>
              <w:left w:val="nil"/>
              <w:bottom w:val="single" w:sz="8" w:space="0" w:color="D0D0D0"/>
              <w:right w:val="single" w:sz="8" w:space="0" w:color="D0D0D0"/>
            </w:tcBorders>
            <w:noWrap/>
            <w:vAlign w:val="center"/>
            <w:hideMark/>
          </w:tcPr>
          <w:p w14:paraId="0762F072" w14:textId="1C338EA8" w:rsidR="005E64D9" w:rsidRPr="00951AB1" w:rsidRDefault="005E64D9" w:rsidP="000A5389">
            <w:pPr>
              <w:spacing w:line="240" w:lineRule="auto"/>
              <w:rPr>
                <w:rFonts w:eastAsia="Times New Roman" w:cs="Times New Roman"/>
                <w:color w:val="000000"/>
                <w:kern w:val="0"/>
                <w:sz w:val="16"/>
                <w:szCs w:val="16"/>
                <w:lang w:eastAsia="es-CO"/>
                <w14:ligatures w14:val="none"/>
              </w:rPr>
            </w:pPr>
            <w:r w:rsidRPr="00951AB1">
              <w:rPr>
                <w:rFonts w:eastAsia="Times New Roman" w:cs="Times New Roman"/>
                <w:color w:val="000000"/>
                <w:kern w:val="0"/>
                <w:sz w:val="16"/>
                <w:szCs w:val="16"/>
                <w:lang w:eastAsia="es-CO"/>
                <w14:ligatures w14:val="none"/>
              </w:rPr>
              <w:t xml:space="preserve">Jairo Mauricio Merchan Acosta </w:t>
            </w:r>
          </w:p>
        </w:tc>
        <w:tc>
          <w:tcPr>
            <w:tcW w:w="1276" w:type="dxa"/>
            <w:tcBorders>
              <w:top w:val="nil"/>
              <w:left w:val="nil"/>
              <w:bottom w:val="single" w:sz="8" w:space="0" w:color="D0D0D0"/>
              <w:right w:val="single" w:sz="8" w:space="0" w:color="D0D0D0"/>
            </w:tcBorders>
            <w:noWrap/>
            <w:vAlign w:val="center"/>
            <w:hideMark/>
          </w:tcPr>
          <w:p w14:paraId="79AEF48A" w14:textId="77777777" w:rsidR="005E64D9" w:rsidRPr="00951AB1" w:rsidRDefault="005E64D9" w:rsidP="000A5389">
            <w:pPr>
              <w:spacing w:line="240" w:lineRule="auto"/>
              <w:jc w:val="right"/>
              <w:rPr>
                <w:rFonts w:eastAsia="Times New Roman" w:cs="Times New Roman"/>
                <w:color w:val="000000"/>
                <w:kern w:val="0"/>
                <w:sz w:val="16"/>
                <w:szCs w:val="16"/>
                <w:lang w:eastAsia="es-CO"/>
                <w14:ligatures w14:val="none"/>
              </w:rPr>
            </w:pPr>
            <w:r w:rsidRPr="00951AB1">
              <w:rPr>
                <w:rFonts w:eastAsia="Times New Roman" w:cs="Times New Roman"/>
                <w:color w:val="000000"/>
                <w:kern w:val="0"/>
                <w:sz w:val="16"/>
                <w:szCs w:val="16"/>
                <w:lang w:eastAsia="es-CO"/>
                <w14:ligatures w14:val="none"/>
              </w:rPr>
              <w:t>826.116</w:t>
            </w:r>
          </w:p>
        </w:tc>
        <w:tc>
          <w:tcPr>
            <w:tcW w:w="709" w:type="dxa"/>
            <w:tcBorders>
              <w:top w:val="nil"/>
              <w:left w:val="nil"/>
              <w:bottom w:val="single" w:sz="8" w:space="0" w:color="D0D0D0"/>
              <w:right w:val="single" w:sz="8" w:space="0" w:color="D0D0D0"/>
            </w:tcBorders>
            <w:noWrap/>
            <w:vAlign w:val="center"/>
            <w:hideMark/>
          </w:tcPr>
          <w:p w14:paraId="47E85C00" w14:textId="77777777" w:rsidR="005E64D9" w:rsidRPr="00951AB1" w:rsidRDefault="005E64D9" w:rsidP="000A5389">
            <w:pPr>
              <w:spacing w:line="240" w:lineRule="auto"/>
              <w:jc w:val="right"/>
              <w:rPr>
                <w:rFonts w:eastAsia="Times New Roman" w:cs="Times New Roman"/>
                <w:color w:val="000000"/>
                <w:kern w:val="0"/>
                <w:sz w:val="16"/>
                <w:szCs w:val="16"/>
                <w:lang w:eastAsia="es-CO"/>
                <w14:ligatures w14:val="none"/>
              </w:rPr>
            </w:pPr>
            <w:r w:rsidRPr="00951AB1">
              <w:rPr>
                <w:rFonts w:eastAsia="Times New Roman" w:cs="Times New Roman"/>
                <w:color w:val="000000"/>
                <w:kern w:val="0"/>
                <w:sz w:val="16"/>
                <w:szCs w:val="16"/>
                <w:lang w:eastAsia="es-CO"/>
                <w14:ligatures w14:val="none"/>
              </w:rPr>
              <w:t> </w:t>
            </w:r>
          </w:p>
        </w:tc>
        <w:tc>
          <w:tcPr>
            <w:tcW w:w="1005" w:type="dxa"/>
            <w:tcBorders>
              <w:top w:val="nil"/>
              <w:left w:val="nil"/>
              <w:bottom w:val="single" w:sz="8" w:space="0" w:color="D0D0D0"/>
              <w:right w:val="single" w:sz="8" w:space="0" w:color="D0D0D0"/>
            </w:tcBorders>
            <w:noWrap/>
            <w:vAlign w:val="center"/>
            <w:hideMark/>
          </w:tcPr>
          <w:p w14:paraId="381E4E3B" w14:textId="77777777" w:rsidR="005E64D9" w:rsidRPr="00951AB1" w:rsidRDefault="005E64D9" w:rsidP="000A5389">
            <w:pPr>
              <w:spacing w:line="240" w:lineRule="auto"/>
              <w:jc w:val="right"/>
              <w:rPr>
                <w:rFonts w:eastAsia="Times New Roman" w:cs="Times New Roman"/>
                <w:color w:val="000000"/>
                <w:kern w:val="0"/>
                <w:sz w:val="16"/>
                <w:szCs w:val="16"/>
                <w:lang w:eastAsia="es-CO"/>
                <w14:ligatures w14:val="none"/>
              </w:rPr>
            </w:pPr>
            <w:r w:rsidRPr="00951AB1">
              <w:rPr>
                <w:rFonts w:eastAsia="Times New Roman" w:cs="Times New Roman"/>
                <w:color w:val="000000"/>
                <w:kern w:val="0"/>
                <w:sz w:val="16"/>
                <w:szCs w:val="16"/>
                <w:lang w:eastAsia="es-CO"/>
                <w14:ligatures w14:val="none"/>
              </w:rPr>
              <w:t> </w:t>
            </w:r>
          </w:p>
        </w:tc>
        <w:tc>
          <w:tcPr>
            <w:tcW w:w="1275" w:type="dxa"/>
            <w:tcBorders>
              <w:top w:val="nil"/>
              <w:left w:val="nil"/>
              <w:bottom w:val="single" w:sz="8" w:space="0" w:color="D0D0D0"/>
              <w:right w:val="single" w:sz="8" w:space="0" w:color="D0D0D0"/>
            </w:tcBorders>
            <w:noWrap/>
            <w:vAlign w:val="center"/>
            <w:hideMark/>
          </w:tcPr>
          <w:p w14:paraId="7DAC0C4A" w14:textId="77777777" w:rsidR="005E64D9" w:rsidRPr="00951AB1" w:rsidRDefault="005E64D9" w:rsidP="000A5389">
            <w:pPr>
              <w:spacing w:line="240" w:lineRule="auto"/>
              <w:jc w:val="right"/>
              <w:rPr>
                <w:rFonts w:eastAsia="Times New Roman" w:cs="Times New Roman"/>
                <w:color w:val="000000"/>
                <w:kern w:val="0"/>
                <w:sz w:val="16"/>
                <w:szCs w:val="16"/>
                <w:lang w:eastAsia="es-CO"/>
                <w14:ligatures w14:val="none"/>
              </w:rPr>
            </w:pPr>
            <w:r w:rsidRPr="00951AB1">
              <w:rPr>
                <w:rFonts w:eastAsia="Times New Roman" w:cs="Times New Roman"/>
                <w:color w:val="000000"/>
                <w:kern w:val="0"/>
                <w:sz w:val="16"/>
                <w:szCs w:val="16"/>
                <w:lang w:eastAsia="es-CO"/>
                <w14:ligatures w14:val="none"/>
              </w:rPr>
              <w:t>826.116</w:t>
            </w:r>
          </w:p>
        </w:tc>
      </w:tr>
      <w:tr w:rsidR="005E64D9" w:rsidRPr="00951AB1" w14:paraId="3787A2A2" w14:textId="77777777" w:rsidTr="2C9F3575">
        <w:trPr>
          <w:trHeight w:val="270"/>
        </w:trPr>
        <w:tc>
          <w:tcPr>
            <w:tcW w:w="1266" w:type="dxa"/>
            <w:tcBorders>
              <w:top w:val="nil"/>
              <w:left w:val="single" w:sz="8" w:space="0" w:color="D0D0D0"/>
              <w:bottom w:val="single" w:sz="8" w:space="0" w:color="D0D0D0"/>
              <w:right w:val="single" w:sz="8" w:space="0" w:color="D0D0D0"/>
            </w:tcBorders>
            <w:noWrap/>
            <w:vAlign w:val="center"/>
            <w:hideMark/>
          </w:tcPr>
          <w:p w14:paraId="2AECA796" w14:textId="77777777" w:rsidR="005E64D9" w:rsidRPr="00951AB1" w:rsidRDefault="005E64D9" w:rsidP="000A5389">
            <w:pPr>
              <w:spacing w:line="240" w:lineRule="auto"/>
              <w:rPr>
                <w:rFonts w:eastAsia="Times New Roman" w:cs="Times New Roman"/>
                <w:color w:val="000000"/>
                <w:kern w:val="0"/>
                <w:sz w:val="16"/>
                <w:szCs w:val="16"/>
                <w:lang w:eastAsia="es-CO"/>
                <w14:ligatures w14:val="none"/>
              </w:rPr>
            </w:pPr>
            <w:r w:rsidRPr="00951AB1">
              <w:rPr>
                <w:rFonts w:eastAsia="Times New Roman" w:cs="Times New Roman"/>
                <w:color w:val="000000"/>
                <w:kern w:val="0"/>
                <w:sz w:val="16"/>
                <w:szCs w:val="16"/>
                <w:lang w:eastAsia="es-CO"/>
                <w14:ligatures w14:val="none"/>
              </w:rPr>
              <w:t>Costas procesales</w:t>
            </w:r>
          </w:p>
        </w:tc>
        <w:tc>
          <w:tcPr>
            <w:tcW w:w="976" w:type="dxa"/>
            <w:tcBorders>
              <w:top w:val="nil"/>
              <w:left w:val="nil"/>
              <w:bottom w:val="single" w:sz="8" w:space="0" w:color="D0D0D0"/>
              <w:right w:val="single" w:sz="8" w:space="0" w:color="D0D0D0"/>
            </w:tcBorders>
            <w:noWrap/>
            <w:vAlign w:val="center"/>
            <w:hideMark/>
          </w:tcPr>
          <w:p w14:paraId="53E5ED6C" w14:textId="77777777" w:rsidR="005E64D9" w:rsidRPr="00951AB1" w:rsidRDefault="005E64D9" w:rsidP="000A5389">
            <w:pPr>
              <w:spacing w:line="240" w:lineRule="auto"/>
              <w:jc w:val="center"/>
              <w:rPr>
                <w:rFonts w:eastAsia="Times New Roman" w:cs="Times New Roman"/>
                <w:color w:val="000000"/>
                <w:kern w:val="0"/>
                <w:sz w:val="16"/>
                <w:szCs w:val="16"/>
                <w:lang w:eastAsia="es-CO"/>
                <w14:ligatures w14:val="none"/>
              </w:rPr>
            </w:pPr>
            <w:r w:rsidRPr="00951AB1">
              <w:rPr>
                <w:rFonts w:eastAsia="Times New Roman" w:cs="Times New Roman"/>
                <w:color w:val="000000"/>
                <w:kern w:val="0"/>
                <w:sz w:val="16"/>
                <w:szCs w:val="16"/>
                <w:lang w:eastAsia="es-CO"/>
                <w14:ligatures w14:val="none"/>
              </w:rPr>
              <w:t>21/09/2020</w:t>
            </w:r>
          </w:p>
        </w:tc>
        <w:tc>
          <w:tcPr>
            <w:tcW w:w="2426" w:type="dxa"/>
            <w:tcBorders>
              <w:top w:val="nil"/>
              <w:left w:val="nil"/>
              <w:bottom w:val="single" w:sz="8" w:space="0" w:color="D0D0D0"/>
              <w:right w:val="single" w:sz="8" w:space="0" w:color="D0D0D0"/>
            </w:tcBorders>
            <w:noWrap/>
            <w:vAlign w:val="center"/>
            <w:hideMark/>
          </w:tcPr>
          <w:p w14:paraId="36D23076" w14:textId="14506A67" w:rsidR="005E64D9" w:rsidRPr="00951AB1" w:rsidRDefault="003D6C30" w:rsidP="000A5389">
            <w:pPr>
              <w:spacing w:line="240" w:lineRule="auto"/>
              <w:rPr>
                <w:rFonts w:eastAsia="Times New Roman" w:cs="Times New Roman"/>
                <w:color w:val="000000"/>
                <w:kern w:val="0"/>
                <w:sz w:val="16"/>
                <w:szCs w:val="16"/>
                <w:lang w:eastAsia="es-CO"/>
                <w14:ligatures w14:val="none"/>
              </w:rPr>
            </w:pPr>
            <w:r w:rsidRPr="00951AB1">
              <w:rPr>
                <w:rFonts w:eastAsia="Times New Roman" w:cs="Times New Roman"/>
                <w:color w:val="000000"/>
                <w:kern w:val="0"/>
                <w:sz w:val="16"/>
                <w:szCs w:val="16"/>
                <w:lang w:eastAsia="es-CO"/>
                <w14:ligatures w14:val="none"/>
              </w:rPr>
              <w:t xml:space="preserve">Pedro Hernan Cruz Suarez </w:t>
            </w:r>
          </w:p>
        </w:tc>
        <w:tc>
          <w:tcPr>
            <w:tcW w:w="1276" w:type="dxa"/>
            <w:tcBorders>
              <w:top w:val="nil"/>
              <w:left w:val="nil"/>
              <w:bottom w:val="single" w:sz="8" w:space="0" w:color="D0D0D0"/>
              <w:right w:val="single" w:sz="8" w:space="0" w:color="D0D0D0"/>
            </w:tcBorders>
            <w:noWrap/>
            <w:vAlign w:val="center"/>
            <w:hideMark/>
          </w:tcPr>
          <w:p w14:paraId="3899EBBF" w14:textId="77777777" w:rsidR="005E64D9" w:rsidRPr="00951AB1" w:rsidRDefault="005E64D9" w:rsidP="000A5389">
            <w:pPr>
              <w:spacing w:line="240" w:lineRule="auto"/>
              <w:jc w:val="right"/>
              <w:rPr>
                <w:rFonts w:eastAsia="Times New Roman" w:cs="Times New Roman"/>
                <w:color w:val="000000"/>
                <w:kern w:val="0"/>
                <w:sz w:val="16"/>
                <w:szCs w:val="16"/>
                <w:lang w:eastAsia="es-CO"/>
                <w14:ligatures w14:val="none"/>
              </w:rPr>
            </w:pPr>
            <w:r w:rsidRPr="00951AB1">
              <w:rPr>
                <w:rFonts w:eastAsia="Times New Roman" w:cs="Times New Roman"/>
                <w:color w:val="000000"/>
                <w:kern w:val="0"/>
                <w:sz w:val="16"/>
                <w:szCs w:val="16"/>
                <w:lang w:eastAsia="es-CO"/>
                <w14:ligatures w14:val="none"/>
              </w:rPr>
              <w:t>643.335</w:t>
            </w:r>
          </w:p>
        </w:tc>
        <w:tc>
          <w:tcPr>
            <w:tcW w:w="709" w:type="dxa"/>
            <w:tcBorders>
              <w:top w:val="nil"/>
              <w:left w:val="nil"/>
              <w:bottom w:val="single" w:sz="8" w:space="0" w:color="D0D0D0"/>
              <w:right w:val="single" w:sz="8" w:space="0" w:color="D0D0D0"/>
            </w:tcBorders>
            <w:noWrap/>
            <w:vAlign w:val="center"/>
            <w:hideMark/>
          </w:tcPr>
          <w:p w14:paraId="03F5BFCE" w14:textId="77777777" w:rsidR="005E64D9" w:rsidRPr="00951AB1" w:rsidRDefault="005E64D9" w:rsidP="000A5389">
            <w:pPr>
              <w:spacing w:line="240" w:lineRule="auto"/>
              <w:jc w:val="right"/>
              <w:rPr>
                <w:rFonts w:eastAsia="Times New Roman" w:cs="Times New Roman"/>
                <w:color w:val="000000"/>
                <w:kern w:val="0"/>
                <w:sz w:val="16"/>
                <w:szCs w:val="16"/>
                <w:lang w:eastAsia="es-CO"/>
                <w14:ligatures w14:val="none"/>
              </w:rPr>
            </w:pPr>
            <w:r w:rsidRPr="00951AB1">
              <w:rPr>
                <w:rFonts w:eastAsia="Times New Roman" w:cs="Times New Roman"/>
                <w:color w:val="000000"/>
                <w:kern w:val="0"/>
                <w:sz w:val="16"/>
                <w:szCs w:val="16"/>
                <w:lang w:eastAsia="es-CO"/>
                <w14:ligatures w14:val="none"/>
              </w:rPr>
              <w:t> </w:t>
            </w:r>
          </w:p>
        </w:tc>
        <w:tc>
          <w:tcPr>
            <w:tcW w:w="1005" w:type="dxa"/>
            <w:tcBorders>
              <w:top w:val="nil"/>
              <w:left w:val="nil"/>
              <w:bottom w:val="single" w:sz="8" w:space="0" w:color="D0D0D0"/>
              <w:right w:val="single" w:sz="8" w:space="0" w:color="D0D0D0"/>
            </w:tcBorders>
            <w:noWrap/>
            <w:vAlign w:val="center"/>
            <w:hideMark/>
          </w:tcPr>
          <w:p w14:paraId="05CBE4E8" w14:textId="77777777" w:rsidR="005E64D9" w:rsidRPr="00951AB1" w:rsidRDefault="005E64D9" w:rsidP="000A5389">
            <w:pPr>
              <w:spacing w:line="240" w:lineRule="auto"/>
              <w:jc w:val="right"/>
              <w:rPr>
                <w:rFonts w:eastAsia="Times New Roman" w:cs="Times New Roman"/>
                <w:color w:val="000000"/>
                <w:kern w:val="0"/>
                <w:sz w:val="16"/>
                <w:szCs w:val="16"/>
                <w:lang w:eastAsia="es-CO"/>
                <w14:ligatures w14:val="none"/>
              </w:rPr>
            </w:pPr>
            <w:r w:rsidRPr="00951AB1">
              <w:rPr>
                <w:rFonts w:eastAsia="Times New Roman" w:cs="Times New Roman"/>
                <w:color w:val="000000"/>
                <w:kern w:val="0"/>
                <w:sz w:val="16"/>
                <w:szCs w:val="16"/>
                <w:lang w:eastAsia="es-CO"/>
                <w14:ligatures w14:val="none"/>
              </w:rPr>
              <w:t> </w:t>
            </w:r>
          </w:p>
        </w:tc>
        <w:tc>
          <w:tcPr>
            <w:tcW w:w="1275" w:type="dxa"/>
            <w:tcBorders>
              <w:top w:val="nil"/>
              <w:left w:val="nil"/>
              <w:bottom w:val="single" w:sz="8" w:space="0" w:color="D0D0D0"/>
              <w:right w:val="single" w:sz="8" w:space="0" w:color="D0D0D0"/>
            </w:tcBorders>
            <w:noWrap/>
            <w:vAlign w:val="center"/>
            <w:hideMark/>
          </w:tcPr>
          <w:p w14:paraId="7A194C0E" w14:textId="77777777" w:rsidR="005E64D9" w:rsidRPr="00951AB1" w:rsidRDefault="005E64D9" w:rsidP="000A5389">
            <w:pPr>
              <w:spacing w:line="240" w:lineRule="auto"/>
              <w:jc w:val="right"/>
              <w:rPr>
                <w:rFonts w:eastAsia="Times New Roman" w:cs="Times New Roman"/>
                <w:color w:val="000000"/>
                <w:kern w:val="0"/>
                <w:sz w:val="16"/>
                <w:szCs w:val="16"/>
                <w:lang w:eastAsia="es-CO"/>
                <w14:ligatures w14:val="none"/>
              </w:rPr>
            </w:pPr>
            <w:r w:rsidRPr="00951AB1">
              <w:rPr>
                <w:rFonts w:eastAsia="Times New Roman" w:cs="Times New Roman"/>
                <w:color w:val="000000"/>
                <w:kern w:val="0"/>
                <w:sz w:val="16"/>
                <w:szCs w:val="16"/>
                <w:lang w:eastAsia="es-CO"/>
                <w14:ligatures w14:val="none"/>
              </w:rPr>
              <w:t>643.335</w:t>
            </w:r>
          </w:p>
        </w:tc>
      </w:tr>
      <w:tr w:rsidR="005E64D9" w:rsidRPr="00951AB1" w14:paraId="3BD80E27" w14:textId="77777777" w:rsidTr="2C9F3575">
        <w:trPr>
          <w:trHeight w:val="270"/>
        </w:trPr>
        <w:tc>
          <w:tcPr>
            <w:tcW w:w="1266" w:type="dxa"/>
            <w:tcBorders>
              <w:top w:val="nil"/>
              <w:left w:val="single" w:sz="8" w:space="0" w:color="D0D0D0"/>
              <w:bottom w:val="single" w:sz="8" w:space="0" w:color="D0D0D0"/>
              <w:right w:val="single" w:sz="8" w:space="0" w:color="D0D0D0"/>
            </w:tcBorders>
            <w:noWrap/>
            <w:vAlign w:val="center"/>
            <w:hideMark/>
          </w:tcPr>
          <w:p w14:paraId="6976E9E8" w14:textId="77777777" w:rsidR="005E64D9" w:rsidRPr="00951AB1" w:rsidRDefault="005E64D9" w:rsidP="000A5389">
            <w:pPr>
              <w:spacing w:line="240" w:lineRule="auto"/>
              <w:rPr>
                <w:rFonts w:eastAsia="Times New Roman" w:cs="Times New Roman"/>
                <w:color w:val="000000"/>
                <w:kern w:val="0"/>
                <w:sz w:val="16"/>
                <w:szCs w:val="16"/>
                <w:lang w:eastAsia="es-CO"/>
                <w14:ligatures w14:val="none"/>
              </w:rPr>
            </w:pPr>
            <w:r w:rsidRPr="00951AB1">
              <w:rPr>
                <w:rFonts w:eastAsia="Times New Roman" w:cs="Times New Roman"/>
                <w:color w:val="000000"/>
                <w:kern w:val="0"/>
                <w:sz w:val="16"/>
                <w:szCs w:val="16"/>
                <w:lang w:eastAsia="es-CO"/>
                <w14:ligatures w14:val="none"/>
              </w:rPr>
              <w:t>Costas procesales</w:t>
            </w:r>
          </w:p>
        </w:tc>
        <w:tc>
          <w:tcPr>
            <w:tcW w:w="976" w:type="dxa"/>
            <w:tcBorders>
              <w:top w:val="nil"/>
              <w:left w:val="nil"/>
              <w:bottom w:val="single" w:sz="8" w:space="0" w:color="D0D0D0"/>
              <w:right w:val="single" w:sz="8" w:space="0" w:color="D0D0D0"/>
            </w:tcBorders>
            <w:noWrap/>
            <w:vAlign w:val="center"/>
            <w:hideMark/>
          </w:tcPr>
          <w:p w14:paraId="11F846F2" w14:textId="77777777" w:rsidR="005E64D9" w:rsidRPr="00951AB1" w:rsidRDefault="005E64D9" w:rsidP="000A5389">
            <w:pPr>
              <w:spacing w:line="240" w:lineRule="auto"/>
              <w:jc w:val="center"/>
              <w:rPr>
                <w:rFonts w:eastAsia="Times New Roman" w:cs="Times New Roman"/>
                <w:color w:val="000000"/>
                <w:kern w:val="0"/>
                <w:sz w:val="16"/>
                <w:szCs w:val="16"/>
                <w:lang w:eastAsia="es-CO"/>
                <w14:ligatures w14:val="none"/>
              </w:rPr>
            </w:pPr>
            <w:r w:rsidRPr="00951AB1">
              <w:rPr>
                <w:rFonts w:eastAsia="Times New Roman" w:cs="Times New Roman"/>
                <w:color w:val="000000"/>
                <w:kern w:val="0"/>
                <w:sz w:val="16"/>
                <w:szCs w:val="16"/>
                <w:lang w:eastAsia="es-CO"/>
                <w14:ligatures w14:val="none"/>
              </w:rPr>
              <w:t>7/06/2019</w:t>
            </w:r>
          </w:p>
        </w:tc>
        <w:tc>
          <w:tcPr>
            <w:tcW w:w="2426" w:type="dxa"/>
            <w:tcBorders>
              <w:top w:val="nil"/>
              <w:left w:val="nil"/>
              <w:bottom w:val="single" w:sz="8" w:space="0" w:color="D0D0D0"/>
              <w:right w:val="single" w:sz="8" w:space="0" w:color="D0D0D0"/>
            </w:tcBorders>
            <w:noWrap/>
            <w:vAlign w:val="center"/>
            <w:hideMark/>
          </w:tcPr>
          <w:p w14:paraId="7CC66756" w14:textId="0CCC8958" w:rsidR="005E64D9" w:rsidRPr="00951AB1" w:rsidRDefault="003D6C30" w:rsidP="000A5389">
            <w:pPr>
              <w:spacing w:line="240" w:lineRule="auto"/>
              <w:rPr>
                <w:rFonts w:eastAsia="Times New Roman" w:cs="Times New Roman"/>
                <w:color w:val="000000"/>
                <w:kern w:val="0"/>
                <w:sz w:val="16"/>
                <w:szCs w:val="16"/>
                <w:lang w:eastAsia="es-CO"/>
                <w14:ligatures w14:val="none"/>
              </w:rPr>
            </w:pPr>
            <w:r w:rsidRPr="00951AB1">
              <w:rPr>
                <w:rFonts w:eastAsia="Times New Roman" w:cs="Times New Roman"/>
                <w:color w:val="000000"/>
                <w:kern w:val="0"/>
                <w:sz w:val="16"/>
                <w:szCs w:val="16"/>
                <w:lang w:eastAsia="es-CO"/>
                <w14:ligatures w14:val="none"/>
              </w:rPr>
              <w:t xml:space="preserve">Luis Solarte </w:t>
            </w:r>
          </w:p>
        </w:tc>
        <w:tc>
          <w:tcPr>
            <w:tcW w:w="1276" w:type="dxa"/>
            <w:tcBorders>
              <w:top w:val="nil"/>
              <w:left w:val="nil"/>
              <w:bottom w:val="single" w:sz="8" w:space="0" w:color="D0D0D0"/>
              <w:right w:val="single" w:sz="8" w:space="0" w:color="D0D0D0"/>
            </w:tcBorders>
            <w:noWrap/>
            <w:vAlign w:val="center"/>
            <w:hideMark/>
          </w:tcPr>
          <w:p w14:paraId="62773BA3" w14:textId="77777777" w:rsidR="005E64D9" w:rsidRPr="00951AB1" w:rsidRDefault="005E64D9" w:rsidP="000A5389">
            <w:pPr>
              <w:spacing w:line="240" w:lineRule="auto"/>
              <w:jc w:val="right"/>
              <w:rPr>
                <w:rFonts w:eastAsia="Times New Roman" w:cs="Times New Roman"/>
                <w:color w:val="000000"/>
                <w:kern w:val="0"/>
                <w:sz w:val="16"/>
                <w:szCs w:val="16"/>
                <w:lang w:eastAsia="es-CO"/>
                <w14:ligatures w14:val="none"/>
              </w:rPr>
            </w:pPr>
            <w:r w:rsidRPr="00951AB1">
              <w:rPr>
                <w:rFonts w:eastAsia="Times New Roman" w:cs="Times New Roman"/>
                <w:color w:val="000000"/>
                <w:kern w:val="0"/>
                <w:sz w:val="16"/>
                <w:szCs w:val="16"/>
                <w:lang w:eastAsia="es-CO"/>
                <w14:ligatures w14:val="none"/>
              </w:rPr>
              <w:t>16.624.840</w:t>
            </w:r>
          </w:p>
        </w:tc>
        <w:tc>
          <w:tcPr>
            <w:tcW w:w="709" w:type="dxa"/>
            <w:tcBorders>
              <w:top w:val="nil"/>
              <w:left w:val="nil"/>
              <w:bottom w:val="single" w:sz="8" w:space="0" w:color="D0D0D0"/>
              <w:right w:val="single" w:sz="8" w:space="0" w:color="D0D0D0"/>
            </w:tcBorders>
            <w:noWrap/>
            <w:vAlign w:val="center"/>
            <w:hideMark/>
          </w:tcPr>
          <w:p w14:paraId="1337BD8D" w14:textId="77777777" w:rsidR="005E64D9" w:rsidRPr="00951AB1" w:rsidRDefault="005E64D9" w:rsidP="000A5389">
            <w:pPr>
              <w:spacing w:line="240" w:lineRule="auto"/>
              <w:jc w:val="right"/>
              <w:rPr>
                <w:rFonts w:eastAsia="Times New Roman" w:cs="Times New Roman"/>
                <w:color w:val="000000"/>
                <w:kern w:val="0"/>
                <w:sz w:val="16"/>
                <w:szCs w:val="16"/>
                <w:lang w:eastAsia="es-CO"/>
                <w14:ligatures w14:val="none"/>
              </w:rPr>
            </w:pPr>
            <w:r w:rsidRPr="00951AB1">
              <w:rPr>
                <w:rFonts w:eastAsia="Times New Roman" w:cs="Times New Roman"/>
                <w:color w:val="000000"/>
                <w:kern w:val="0"/>
                <w:sz w:val="16"/>
                <w:szCs w:val="16"/>
                <w:lang w:eastAsia="es-CO"/>
                <w14:ligatures w14:val="none"/>
              </w:rPr>
              <w:t> </w:t>
            </w:r>
          </w:p>
        </w:tc>
        <w:tc>
          <w:tcPr>
            <w:tcW w:w="1005" w:type="dxa"/>
            <w:tcBorders>
              <w:top w:val="nil"/>
              <w:left w:val="nil"/>
              <w:bottom w:val="single" w:sz="8" w:space="0" w:color="D0D0D0"/>
              <w:right w:val="single" w:sz="8" w:space="0" w:color="D0D0D0"/>
            </w:tcBorders>
            <w:noWrap/>
            <w:vAlign w:val="center"/>
            <w:hideMark/>
          </w:tcPr>
          <w:p w14:paraId="5C6F7BD3" w14:textId="77777777" w:rsidR="005E64D9" w:rsidRPr="00951AB1" w:rsidRDefault="005E64D9" w:rsidP="000A5389">
            <w:pPr>
              <w:spacing w:line="240" w:lineRule="auto"/>
              <w:jc w:val="right"/>
              <w:rPr>
                <w:rFonts w:eastAsia="Times New Roman" w:cs="Times New Roman"/>
                <w:color w:val="000000"/>
                <w:kern w:val="0"/>
                <w:sz w:val="16"/>
                <w:szCs w:val="16"/>
                <w:lang w:eastAsia="es-CO"/>
                <w14:ligatures w14:val="none"/>
              </w:rPr>
            </w:pPr>
            <w:r w:rsidRPr="00951AB1">
              <w:rPr>
                <w:rFonts w:eastAsia="Times New Roman" w:cs="Times New Roman"/>
                <w:color w:val="000000"/>
                <w:kern w:val="0"/>
                <w:sz w:val="16"/>
                <w:szCs w:val="16"/>
                <w:lang w:eastAsia="es-CO"/>
                <w14:ligatures w14:val="none"/>
              </w:rPr>
              <w:t> </w:t>
            </w:r>
          </w:p>
        </w:tc>
        <w:tc>
          <w:tcPr>
            <w:tcW w:w="1275" w:type="dxa"/>
            <w:tcBorders>
              <w:top w:val="nil"/>
              <w:left w:val="nil"/>
              <w:bottom w:val="single" w:sz="8" w:space="0" w:color="D0D0D0"/>
              <w:right w:val="single" w:sz="8" w:space="0" w:color="D0D0D0"/>
            </w:tcBorders>
            <w:noWrap/>
            <w:vAlign w:val="center"/>
            <w:hideMark/>
          </w:tcPr>
          <w:p w14:paraId="3BEE30EF" w14:textId="77777777" w:rsidR="005E64D9" w:rsidRPr="00951AB1" w:rsidRDefault="005E64D9" w:rsidP="000A5389">
            <w:pPr>
              <w:spacing w:line="240" w:lineRule="auto"/>
              <w:jc w:val="right"/>
              <w:rPr>
                <w:rFonts w:eastAsia="Times New Roman" w:cs="Times New Roman"/>
                <w:color w:val="000000"/>
                <w:kern w:val="0"/>
                <w:sz w:val="16"/>
                <w:szCs w:val="16"/>
                <w:lang w:eastAsia="es-CO"/>
                <w14:ligatures w14:val="none"/>
              </w:rPr>
            </w:pPr>
            <w:r w:rsidRPr="00951AB1">
              <w:rPr>
                <w:rFonts w:eastAsia="Times New Roman" w:cs="Times New Roman"/>
                <w:color w:val="000000"/>
                <w:kern w:val="0"/>
                <w:sz w:val="16"/>
                <w:szCs w:val="16"/>
                <w:lang w:eastAsia="es-CO"/>
                <w14:ligatures w14:val="none"/>
              </w:rPr>
              <w:t>16.624.840</w:t>
            </w:r>
          </w:p>
        </w:tc>
      </w:tr>
      <w:tr w:rsidR="005E64D9" w:rsidRPr="00951AB1" w14:paraId="5DF31119" w14:textId="77777777" w:rsidTr="2C9F3575">
        <w:trPr>
          <w:trHeight w:val="270"/>
        </w:trPr>
        <w:tc>
          <w:tcPr>
            <w:tcW w:w="1266" w:type="dxa"/>
            <w:tcBorders>
              <w:top w:val="nil"/>
              <w:left w:val="single" w:sz="8" w:space="0" w:color="D0D0D0"/>
              <w:bottom w:val="single" w:sz="8" w:space="0" w:color="D0D0D0"/>
              <w:right w:val="single" w:sz="8" w:space="0" w:color="D0D0D0"/>
            </w:tcBorders>
            <w:noWrap/>
            <w:vAlign w:val="center"/>
            <w:hideMark/>
          </w:tcPr>
          <w:p w14:paraId="6AA3B306" w14:textId="77777777" w:rsidR="005E64D9" w:rsidRPr="00951AB1" w:rsidRDefault="005E64D9" w:rsidP="000A5389">
            <w:pPr>
              <w:spacing w:line="240" w:lineRule="auto"/>
              <w:rPr>
                <w:rFonts w:eastAsia="Times New Roman" w:cs="Times New Roman"/>
                <w:color w:val="000000"/>
                <w:kern w:val="0"/>
                <w:sz w:val="16"/>
                <w:szCs w:val="16"/>
                <w:lang w:eastAsia="es-CO"/>
                <w14:ligatures w14:val="none"/>
              </w:rPr>
            </w:pPr>
            <w:r w:rsidRPr="00951AB1">
              <w:rPr>
                <w:rFonts w:eastAsia="Times New Roman" w:cs="Times New Roman"/>
                <w:color w:val="000000"/>
                <w:kern w:val="0"/>
                <w:sz w:val="16"/>
                <w:szCs w:val="16"/>
                <w:lang w:eastAsia="es-CO"/>
                <w14:ligatures w14:val="none"/>
              </w:rPr>
              <w:t>Costas procesales</w:t>
            </w:r>
          </w:p>
        </w:tc>
        <w:tc>
          <w:tcPr>
            <w:tcW w:w="976" w:type="dxa"/>
            <w:tcBorders>
              <w:top w:val="nil"/>
              <w:left w:val="nil"/>
              <w:bottom w:val="single" w:sz="8" w:space="0" w:color="D0D0D0"/>
              <w:right w:val="single" w:sz="8" w:space="0" w:color="D0D0D0"/>
            </w:tcBorders>
            <w:noWrap/>
            <w:vAlign w:val="center"/>
            <w:hideMark/>
          </w:tcPr>
          <w:p w14:paraId="2517EA9D" w14:textId="77777777" w:rsidR="005E64D9" w:rsidRPr="00951AB1" w:rsidRDefault="005E64D9" w:rsidP="000A5389">
            <w:pPr>
              <w:spacing w:line="240" w:lineRule="auto"/>
              <w:jc w:val="center"/>
              <w:rPr>
                <w:rFonts w:eastAsia="Times New Roman" w:cs="Times New Roman"/>
                <w:color w:val="000000"/>
                <w:kern w:val="0"/>
                <w:sz w:val="16"/>
                <w:szCs w:val="16"/>
                <w:lang w:eastAsia="es-CO"/>
                <w14:ligatures w14:val="none"/>
              </w:rPr>
            </w:pPr>
            <w:r w:rsidRPr="00951AB1">
              <w:rPr>
                <w:rFonts w:eastAsia="Times New Roman" w:cs="Times New Roman"/>
                <w:color w:val="000000"/>
                <w:kern w:val="0"/>
                <w:sz w:val="16"/>
                <w:szCs w:val="16"/>
                <w:lang w:eastAsia="es-CO"/>
                <w14:ligatures w14:val="none"/>
              </w:rPr>
              <w:t>28/11/2019</w:t>
            </w:r>
          </w:p>
        </w:tc>
        <w:tc>
          <w:tcPr>
            <w:tcW w:w="2426" w:type="dxa"/>
            <w:tcBorders>
              <w:top w:val="nil"/>
              <w:left w:val="nil"/>
              <w:bottom w:val="single" w:sz="8" w:space="0" w:color="D0D0D0"/>
              <w:right w:val="single" w:sz="8" w:space="0" w:color="D0D0D0"/>
            </w:tcBorders>
            <w:noWrap/>
            <w:vAlign w:val="center"/>
            <w:hideMark/>
          </w:tcPr>
          <w:p w14:paraId="21903F10" w14:textId="165F0B8D" w:rsidR="005E64D9" w:rsidRPr="00951AB1" w:rsidRDefault="003D6C30" w:rsidP="000A5389">
            <w:pPr>
              <w:spacing w:line="240" w:lineRule="auto"/>
              <w:rPr>
                <w:rFonts w:eastAsia="Times New Roman" w:cs="Times New Roman"/>
                <w:color w:val="000000"/>
                <w:kern w:val="0"/>
                <w:sz w:val="16"/>
                <w:szCs w:val="16"/>
                <w:lang w:eastAsia="es-CO"/>
                <w14:ligatures w14:val="none"/>
              </w:rPr>
            </w:pPr>
            <w:r w:rsidRPr="00951AB1">
              <w:rPr>
                <w:rFonts w:eastAsia="Times New Roman" w:cs="Times New Roman"/>
                <w:color w:val="000000"/>
                <w:kern w:val="0"/>
                <w:sz w:val="16"/>
                <w:szCs w:val="16"/>
                <w:lang w:eastAsia="es-CO"/>
                <w14:ligatures w14:val="none"/>
              </w:rPr>
              <w:t xml:space="preserve">Mauricio </w:t>
            </w:r>
            <w:r w:rsidR="003076E2" w:rsidRPr="00951AB1">
              <w:rPr>
                <w:rFonts w:eastAsia="Times New Roman" w:cs="Times New Roman"/>
                <w:color w:val="000000"/>
                <w:kern w:val="0"/>
                <w:sz w:val="16"/>
                <w:szCs w:val="16"/>
                <w:lang w:eastAsia="es-CO"/>
                <w14:ligatures w14:val="none"/>
              </w:rPr>
              <w:t>López</w:t>
            </w:r>
            <w:r w:rsidRPr="00951AB1">
              <w:rPr>
                <w:rFonts w:eastAsia="Times New Roman" w:cs="Times New Roman"/>
                <w:color w:val="000000"/>
                <w:kern w:val="0"/>
                <w:sz w:val="16"/>
                <w:szCs w:val="16"/>
                <w:lang w:eastAsia="es-CO"/>
                <w14:ligatures w14:val="none"/>
              </w:rPr>
              <w:t xml:space="preserve"> Galvis </w:t>
            </w:r>
          </w:p>
        </w:tc>
        <w:tc>
          <w:tcPr>
            <w:tcW w:w="1276" w:type="dxa"/>
            <w:tcBorders>
              <w:top w:val="nil"/>
              <w:left w:val="nil"/>
              <w:bottom w:val="single" w:sz="8" w:space="0" w:color="D0D0D0"/>
              <w:right w:val="single" w:sz="8" w:space="0" w:color="D0D0D0"/>
            </w:tcBorders>
            <w:noWrap/>
            <w:vAlign w:val="center"/>
            <w:hideMark/>
          </w:tcPr>
          <w:p w14:paraId="35CFFADE" w14:textId="77777777" w:rsidR="005E64D9" w:rsidRPr="00951AB1" w:rsidRDefault="005E64D9" w:rsidP="000A5389">
            <w:pPr>
              <w:spacing w:line="240" w:lineRule="auto"/>
              <w:jc w:val="right"/>
              <w:rPr>
                <w:rFonts w:eastAsia="Times New Roman" w:cs="Times New Roman"/>
                <w:color w:val="000000"/>
                <w:kern w:val="0"/>
                <w:sz w:val="16"/>
                <w:szCs w:val="16"/>
                <w:lang w:eastAsia="es-CO"/>
                <w14:ligatures w14:val="none"/>
              </w:rPr>
            </w:pPr>
            <w:r w:rsidRPr="00951AB1">
              <w:rPr>
                <w:rFonts w:eastAsia="Times New Roman" w:cs="Times New Roman"/>
                <w:color w:val="000000"/>
                <w:kern w:val="0"/>
                <w:sz w:val="16"/>
                <w:szCs w:val="16"/>
                <w:lang w:eastAsia="es-CO"/>
                <w14:ligatures w14:val="none"/>
              </w:rPr>
              <w:t>207.029</w:t>
            </w:r>
          </w:p>
        </w:tc>
        <w:tc>
          <w:tcPr>
            <w:tcW w:w="709" w:type="dxa"/>
            <w:tcBorders>
              <w:top w:val="nil"/>
              <w:left w:val="nil"/>
              <w:bottom w:val="single" w:sz="8" w:space="0" w:color="D0D0D0"/>
              <w:right w:val="single" w:sz="8" w:space="0" w:color="D0D0D0"/>
            </w:tcBorders>
            <w:noWrap/>
            <w:vAlign w:val="center"/>
            <w:hideMark/>
          </w:tcPr>
          <w:p w14:paraId="06D7D704" w14:textId="77777777" w:rsidR="005E64D9" w:rsidRPr="00951AB1" w:rsidRDefault="005E64D9" w:rsidP="000A5389">
            <w:pPr>
              <w:spacing w:line="240" w:lineRule="auto"/>
              <w:jc w:val="right"/>
              <w:rPr>
                <w:rFonts w:eastAsia="Times New Roman" w:cs="Times New Roman"/>
                <w:color w:val="000000"/>
                <w:kern w:val="0"/>
                <w:sz w:val="16"/>
                <w:szCs w:val="16"/>
                <w:lang w:eastAsia="es-CO"/>
                <w14:ligatures w14:val="none"/>
              </w:rPr>
            </w:pPr>
            <w:r w:rsidRPr="00951AB1">
              <w:rPr>
                <w:rFonts w:eastAsia="Times New Roman" w:cs="Times New Roman"/>
                <w:color w:val="000000"/>
                <w:kern w:val="0"/>
                <w:sz w:val="16"/>
                <w:szCs w:val="16"/>
                <w:lang w:eastAsia="es-CO"/>
                <w14:ligatures w14:val="none"/>
              </w:rPr>
              <w:t> </w:t>
            </w:r>
          </w:p>
        </w:tc>
        <w:tc>
          <w:tcPr>
            <w:tcW w:w="1005" w:type="dxa"/>
            <w:tcBorders>
              <w:top w:val="nil"/>
              <w:left w:val="nil"/>
              <w:bottom w:val="single" w:sz="8" w:space="0" w:color="D0D0D0"/>
              <w:right w:val="single" w:sz="8" w:space="0" w:color="D0D0D0"/>
            </w:tcBorders>
            <w:noWrap/>
            <w:vAlign w:val="center"/>
            <w:hideMark/>
          </w:tcPr>
          <w:p w14:paraId="2160690E" w14:textId="77777777" w:rsidR="005E64D9" w:rsidRPr="00951AB1" w:rsidRDefault="005E64D9" w:rsidP="000A5389">
            <w:pPr>
              <w:spacing w:line="240" w:lineRule="auto"/>
              <w:jc w:val="right"/>
              <w:rPr>
                <w:rFonts w:eastAsia="Times New Roman" w:cs="Times New Roman"/>
                <w:color w:val="000000"/>
                <w:kern w:val="0"/>
                <w:sz w:val="16"/>
                <w:szCs w:val="16"/>
                <w:lang w:eastAsia="es-CO"/>
                <w14:ligatures w14:val="none"/>
              </w:rPr>
            </w:pPr>
            <w:r w:rsidRPr="00951AB1">
              <w:rPr>
                <w:rFonts w:eastAsia="Times New Roman" w:cs="Times New Roman"/>
                <w:color w:val="000000"/>
                <w:kern w:val="0"/>
                <w:sz w:val="16"/>
                <w:szCs w:val="16"/>
                <w:lang w:eastAsia="es-CO"/>
                <w14:ligatures w14:val="none"/>
              </w:rPr>
              <w:t> </w:t>
            </w:r>
          </w:p>
        </w:tc>
        <w:tc>
          <w:tcPr>
            <w:tcW w:w="1275" w:type="dxa"/>
            <w:tcBorders>
              <w:top w:val="nil"/>
              <w:left w:val="nil"/>
              <w:bottom w:val="single" w:sz="8" w:space="0" w:color="D0D0D0"/>
              <w:right w:val="single" w:sz="8" w:space="0" w:color="D0D0D0"/>
            </w:tcBorders>
            <w:noWrap/>
            <w:vAlign w:val="center"/>
            <w:hideMark/>
          </w:tcPr>
          <w:p w14:paraId="0AAB0532" w14:textId="77777777" w:rsidR="005E64D9" w:rsidRPr="00951AB1" w:rsidRDefault="005E64D9" w:rsidP="000A5389">
            <w:pPr>
              <w:spacing w:line="240" w:lineRule="auto"/>
              <w:jc w:val="right"/>
              <w:rPr>
                <w:rFonts w:eastAsia="Times New Roman" w:cs="Times New Roman"/>
                <w:color w:val="000000"/>
                <w:kern w:val="0"/>
                <w:sz w:val="16"/>
                <w:szCs w:val="16"/>
                <w:lang w:eastAsia="es-CO"/>
                <w14:ligatures w14:val="none"/>
              </w:rPr>
            </w:pPr>
            <w:r w:rsidRPr="00951AB1">
              <w:rPr>
                <w:rFonts w:eastAsia="Times New Roman" w:cs="Times New Roman"/>
                <w:color w:val="000000"/>
                <w:kern w:val="0"/>
                <w:sz w:val="16"/>
                <w:szCs w:val="16"/>
                <w:lang w:eastAsia="es-CO"/>
                <w14:ligatures w14:val="none"/>
              </w:rPr>
              <w:t>207.029</w:t>
            </w:r>
          </w:p>
        </w:tc>
      </w:tr>
      <w:tr w:rsidR="005E64D9" w:rsidRPr="00951AB1" w14:paraId="33270C8C" w14:textId="77777777" w:rsidTr="2C9F3575">
        <w:trPr>
          <w:trHeight w:val="270"/>
        </w:trPr>
        <w:tc>
          <w:tcPr>
            <w:tcW w:w="1266" w:type="dxa"/>
            <w:tcBorders>
              <w:top w:val="nil"/>
              <w:left w:val="single" w:sz="8" w:space="0" w:color="D0D0D0"/>
              <w:bottom w:val="single" w:sz="8" w:space="0" w:color="D0D0D0"/>
              <w:right w:val="single" w:sz="8" w:space="0" w:color="D0D0D0"/>
            </w:tcBorders>
            <w:noWrap/>
            <w:vAlign w:val="center"/>
            <w:hideMark/>
          </w:tcPr>
          <w:p w14:paraId="50E3E64A" w14:textId="77777777" w:rsidR="005E64D9" w:rsidRPr="00951AB1" w:rsidRDefault="005E64D9" w:rsidP="000A5389">
            <w:pPr>
              <w:spacing w:line="240" w:lineRule="auto"/>
              <w:rPr>
                <w:rFonts w:eastAsia="Times New Roman" w:cs="Times New Roman"/>
                <w:color w:val="000000"/>
                <w:kern w:val="0"/>
                <w:sz w:val="16"/>
                <w:szCs w:val="16"/>
                <w:lang w:eastAsia="es-CO"/>
                <w14:ligatures w14:val="none"/>
              </w:rPr>
            </w:pPr>
            <w:r w:rsidRPr="00951AB1">
              <w:rPr>
                <w:rFonts w:eastAsia="Times New Roman" w:cs="Times New Roman"/>
                <w:color w:val="000000"/>
                <w:kern w:val="0"/>
                <w:sz w:val="16"/>
                <w:szCs w:val="16"/>
                <w:lang w:eastAsia="es-CO"/>
                <w14:ligatures w14:val="none"/>
              </w:rPr>
              <w:t>Costas procesales</w:t>
            </w:r>
          </w:p>
        </w:tc>
        <w:tc>
          <w:tcPr>
            <w:tcW w:w="976" w:type="dxa"/>
            <w:tcBorders>
              <w:top w:val="nil"/>
              <w:left w:val="nil"/>
              <w:bottom w:val="single" w:sz="8" w:space="0" w:color="D0D0D0"/>
              <w:right w:val="single" w:sz="8" w:space="0" w:color="D0D0D0"/>
            </w:tcBorders>
            <w:noWrap/>
            <w:vAlign w:val="center"/>
            <w:hideMark/>
          </w:tcPr>
          <w:p w14:paraId="52068889" w14:textId="77777777" w:rsidR="005E64D9" w:rsidRPr="00951AB1" w:rsidRDefault="005E64D9" w:rsidP="000A5389">
            <w:pPr>
              <w:spacing w:line="240" w:lineRule="auto"/>
              <w:jc w:val="center"/>
              <w:rPr>
                <w:rFonts w:eastAsia="Times New Roman" w:cs="Times New Roman"/>
                <w:color w:val="000000"/>
                <w:kern w:val="0"/>
                <w:sz w:val="16"/>
                <w:szCs w:val="16"/>
                <w:lang w:eastAsia="es-CO"/>
                <w14:ligatures w14:val="none"/>
              </w:rPr>
            </w:pPr>
            <w:r w:rsidRPr="00951AB1">
              <w:rPr>
                <w:rFonts w:eastAsia="Times New Roman" w:cs="Times New Roman"/>
                <w:color w:val="000000"/>
                <w:kern w:val="0"/>
                <w:sz w:val="16"/>
                <w:szCs w:val="16"/>
                <w:lang w:eastAsia="es-CO"/>
                <w14:ligatures w14:val="none"/>
              </w:rPr>
              <w:t>Sin T.E.</w:t>
            </w:r>
          </w:p>
        </w:tc>
        <w:tc>
          <w:tcPr>
            <w:tcW w:w="2426" w:type="dxa"/>
            <w:tcBorders>
              <w:top w:val="nil"/>
              <w:left w:val="nil"/>
              <w:bottom w:val="single" w:sz="8" w:space="0" w:color="D0D0D0"/>
              <w:right w:val="single" w:sz="8" w:space="0" w:color="D0D0D0"/>
            </w:tcBorders>
            <w:noWrap/>
            <w:vAlign w:val="center"/>
            <w:hideMark/>
          </w:tcPr>
          <w:p w14:paraId="5FB0DFF0" w14:textId="1E7169C4" w:rsidR="005E64D9" w:rsidRPr="00951AB1" w:rsidRDefault="003076E2" w:rsidP="000A5389">
            <w:pPr>
              <w:spacing w:line="240" w:lineRule="auto"/>
              <w:rPr>
                <w:rFonts w:eastAsia="Times New Roman" w:cs="Times New Roman"/>
                <w:color w:val="000000"/>
                <w:kern w:val="0"/>
                <w:sz w:val="16"/>
                <w:szCs w:val="16"/>
                <w:lang w:eastAsia="es-CO"/>
                <w14:ligatures w14:val="none"/>
              </w:rPr>
            </w:pPr>
            <w:r w:rsidRPr="00951AB1">
              <w:rPr>
                <w:rFonts w:eastAsia="Times New Roman" w:cs="Times New Roman"/>
                <w:color w:val="000000"/>
                <w:kern w:val="0"/>
                <w:sz w:val="16"/>
                <w:szCs w:val="16"/>
                <w:lang w:eastAsia="es-CO"/>
                <w14:ligatures w14:val="none"/>
              </w:rPr>
              <w:t>José</w:t>
            </w:r>
            <w:r w:rsidR="003D6C30" w:rsidRPr="00951AB1">
              <w:rPr>
                <w:rFonts w:eastAsia="Times New Roman" w:cs="Times New Roman"/>
                <w:color w:val="000000"/>
                <w:kern w:val="0"/>
                <w:sz w:val="16"/>
                <w:szCs w:val="16"/>
                <w:lang w:eastAsia="es-CO"/>
                <w14:ligatures w14:val="none"/>
              </w:rPr>
              <w:t xml:space="preserve"> </w:t>
            </w:r>
            <w:r w:rsidRPr="00951AB1">
              <w:rPr>
                <w:rFonts w:eastAsia="Times New Roman" w:cs="Times New Roman"/>
                <w:color w:val="000000"/>
                <w:kern w:val="0"/>
                <w:sz w:val="16"/>
                <w:szCs w:val="16"/>
                <w:lang w:eastAsia="es-CO"/>
                <w14:ligatures w14:val="none"/>
              </w:rPr>
              <w:t>María</w:t>
            </w:r>
            <w:r w:rsidR="003D6C30" w:rsidRPr="00951AB1">
              <w:rPr>
                <w:rFonts w:eastAsia="Times New Roman" w:cs="Times New Roman"/>
                <w:color w:val="000000"/>
                <w:kern w:val="0"/>
                <w:sz w:val="16"/>
                <w:szCs w:val="16"/>
                <w:lang w:eastAsia="es-CO"/>
                <w14:ligatures w14:val="none"/>
              </w:rPr>
              <w:t xml:space="preserve"> </w:t>
            </w:r>
            <w:r w:rsidRPr="00951AB1">
              <w:rPr>
                <w:rFonts w:eastAsia="Times New Roman" w:cs="Times New Roman"/>
                <w:color w:val="000000"/>
                <w:kern w:val="0"/>
                <w:sz w:val="16"/>
                <w:szCs w:val="16"/>
                <w:lang w:eastAsia="es-CO"/>
                <w14:ligatures w14:val="none"/>
              </w:rPr>
              <w:t>Hernández</w:t>
            </w:r>
            <w:r w:rsidR="003D6C30" w:rsidRPr="00951AB1">
              <w:rPr>
                <w:rFonts w:eastAsia="Times New Roman" w:cs="Times New Roman"/>
                <w:color w:val="000000"/>
                <w:kern w:val="0"/>
                <w:sz w:val="16"/>
                <w:szCs w:val="16"/>
                <w:lang w:eastAsia="es-CO"/>
                <w14:ligatures w14:val="none"/>
              </w:rPr>
              <w:t xml:space="preserve"> Solarte </w:t>
            </w:r>
          </w:p>
        </w:tc>
        <w:tc>
          <w:tcPr>
            <w:tcW w:w="1276" w:type="dxa"/>
            <w:tcBorders>
              <w:top w:val="nil"/>
              <w:left w:val="nil"/>
              <w:bottom w:val="single" w:sz="8" w:space="0" w:color="D0D0D0"/>
              <w:right w:val="single" w:sz="8" w:space="0" w:color="D0D0D0"/>
            </w:tcBorders>
            <w:noWrap/>
            <w:vAlign w:val="center"/>
            <w:hideMark/>
          </w:tcPr>
          <w:p w14:paraId="1F8BD0CF" w14:textId="77777777" w:rsidR="005E64D9" w:rsidRPr="00951AB1" w:rsidRDefault="005E64D9" w:rsidP="000A5389">
            <w:pPr>
              <w:spacing w:line="240" w:lineRule="auto"/>
              <w:jc w:val="right"/>
              <w:rPr>
                <w:rFonts w:eastAsia="Times New Roman" w:cs="Times New Roman"/>
                <w:color w:val="000000"/>
                <w:kern w:val="0"/>
                <w:sz w:val="16"/>
                <w:szCs w:val="16"/>
                <w:lang w:eastAsia="es-CO"/>
                <w14:ligatures w14:val="none"/>
              </w:rPr>
            </w:pPr>
            <w:r w:rsidRPr="00951AB1">
              <w:rPr>
                <w:rFonts w:eastAsia="Times New Roman" w:cs="Times New Roman"/>
                <w:color w:val="000000"/>
                <w:kern w:val="0"/>
                <w:sz w:val="16"/>
                <w:szCs w:val="16"/>
                <w:lang w:eastAsia="es-CO"/>
                <w14:ligatures w14:val="none"/>
              </w:rPr>
              <w:t>811.700</w:t>
            </w:r>
          </w:p>
        </w:tc>
        <w:tc>
          <w:tcPr>
            <w:tcW w:w="709" w:type="dxa"/>
            <w:tcBorders>
              <w:top w:val="nil"/>
              <w:left w:val="nil"/>
              <w:bottom w:val="single" w:sz="8" w:space="0" w:color="D0D0D0"/>
              <w:right w:val="single" w:sz="8" w:space="0" w:color="D0D0D0"/>
            </w:tcBorders>
            <w:noWrap/>
            <w:vAlign w:val="center"/>
            <w:hideMark/>
          </w:tcPr>
          <w:p w14:paraId="51D647C6" w14:textId="77777777" w:rsidR="005E64D9" w:rsidRPr="00951AB1" w:rsidRDefault="005E64D9" w:rsidP="000A5389">
            <w:pPr>
              <w:spacing w:line="240" w:lineRule="auto"/>
              <w:jc w:val="right"/>
              <w:rPr>
                <w:rFonts w:eastAsia="Times New Roman" w:cs="Times New Roman"/>
                <w:color w:val="000000"/>
                <w:kern w:val="0"/>
                <w:sz w:val="16"/>
                <w:szCs w:val="16"/>
                <w:lang w:eastAsia="es-CO"/>
                <w14:ligatures w14:val="none"/>
              </w:rPr>
            </w:pPr>
            <w:r w:rsidRPr="00951AB1">
              <w:rPr>
                <w:rFonts w:eastAsia="Times New Roman" w:cs="Times New Roman"/>
                <w:color w:val="000000"/>
                <w:kern w:val="0"/>
                <w:sz w:val="16"/>
                <w:szCs w:val="16"/>
                <w:lang w:eastAsia="es-CO"/>
                <w14:ligatures w14:val="none"/>
              </w:rPr>
              <w:t> </w:t>
            </w:r>
          </w:p>
        </w:tc>
        <w:tc>
          <w:tcPr>
            <w:tcW w:w="1005" w:type="dxa"/>
            <w:tcBorders>
              <w:top w:val="nil"/>
              <w:left w:val="nil"/>
              <w:bottom w:val="single" w:sz="8" w:space="0" w:color="D0D0D0"/>
              <w:right w:val="single" w:sz="8" w:space="0" w:color="D0D0D0"/>
            </w:tcBorders>
            <w:noWrap/>
            <w:vAlign w:val="center"/>
            <w:hideMark/>
          </w:tcPr>
          <w:p w14:paraId="248C6813" w14:textId="77777777" w:rsidR="005E64D9" w:rsidRPr="00951AB1" w:rsidRDefault="005E64D9" w:rsidP="000A5389">
            <w:pPr>
              <w:spacing w:line="240" w:lineRule="auto"/>
              <w:jc w:val="right"/>
              <w:rPr>
                <w:rFonts w:eastAsia="Times New Roman" w:cs="Times New Roman"/>
                <w:color w:val="000000"/>
                <w:kern w:val="0"/>
                <w:sz w:val="16"/>
                <w:szCs w:val="16"/>
                <w:lang w:eastAsia="es-CO"/>
                <w14:ligatures w14:val="none"/>
              </w:rPr>
            </w:pPr>
            <w:r w:rsidRPr="00951AB1">
              <w:rPr>
                <w:rFonts w:eastAsia="Times New Roman" w:cs="Times New Roman"/>
                <w:color w:val="000000"/>
                <w:kern w:val="0"/>
                <w:sz w:val="16"/>
                <w:szCs w:val="16"/>
                <w:lang w:eastAsia="es-CO"/>
                <w14:ligatures w14:val="none"/>
              </w:rPr>
              <w:t> </w:t>
            </w:r>
          </w:p>
        </w:tc>
        <w:tc>
          <w:tcPr>
            <w:tcW w:w="1275" w:type="dxa"/>
            <w:tcBorders>
              <w:top w:val="nil"/>
              <w:left w:val="nil"/>
              <w:bottom w:val="single" w:sz="8" w:space="0" w:color="D0D0D0"/>
              <w:right w:val="single" w:sz="8" w:space="0" w:color="D0D0D0"/>
            </w:tcBorders>
            <w:noWrap/>
            <w:vAlign w:val="center"/>
            <w:hideMark/>
          </w:tcPr>
          <w:p w14:paraId="39815F05" w14:textId="77777777" w:rsidR="005E64D9" w:rsidRPr="00951AB1" w:rsidRDefault="005E64D9" w:rsidP="000A5389">
            <w:pPr>
              <w:spacing w:line="240" w:lineRule="auto"/>
              <w:jc w:val="right"/>
              <w:rPr>
                <w:rFonts w:eastAsia="Times New Roman" w:cs="Times New Roman"/>
                <w:color w:val="000000"/>
                <w:kern w:val="0"/>
                <w:sz w:val="16"/>
                <w:szCs w:val="16"/>
                <w:lang w:eastAsia="es-CO"/>
                <w14:ligatures w14:val="none"/>
              </w:rPr>
            </w:pPr>
            <w:r w:rsidRPr="00951AB1">
              <w:rPr>
                <w:rFonts w:eastAsia="Times New Roman" w:cs="Times New Roman"/>
                <w:color w:val="000000"/>
                <w:kern w:val="0"/>
                <w:sz w:val="16"/>
                <w:szCs w:val="16"/>
                <w:lang w:eastAsia="es-CO"/>
                <w14:ligatures w14:val="none"/>
              </w:rPr>
              <w:t>811.700</w:t>
            </w:r>
          </w:p>
        </w:tc>
      </w:tr>
      <w:tr w:rsidR="005E64D9" w:rsidRPr="00951AB1" w14:paraId="09A1E8BC" w14:textId="77777777" w:rsidTr="2C9F3575">
        <w:trPr>
          <w:trHeight w:val="270"/>
        </w:trPr>
        <w:tc>
          <w:tcPr>
            <w:tcW w:w="1266" w:type="dxa"/>
            <w:tcBorders>
              <w:top w:val="nil"/>
              <w:left w:val="single" w:sz="8" w:space="0" w:color="D0D0D0"/>
              <w:bottom w:val="single" w:sz="8" w:space="0" w:color="D0D0D0"/>
              <w:right w:val="single" w:sz="8" w:space="0" w:color="D0D0D0"/>
            </w:tcBorders>
            <w:noWrap/>
            <w:vAlign w:val="center"/>
            <w:hideMark/>
          </w:tcPr>
          <w:p w14:paraId="7C192681" w14:textId="77777777" w:rsidR="005E64D9" w:rsidRPr="00951AB1" w:rsidRDefault="005E64D9" w:rsidP="000A5389">
            <w:pPr>
              <w:spacing w:line="240" w:lineRule="auto"/>
              <w:rPr>
                <w:rFonts w:eastAsia="Times New Roman" w:cs="Times New Roman"/>
                <w:color w:val="000000"/>
                <w:kern w:val="0"/>
                <w:sz w:val="16"/>
                <w:szCs w:val="16"/>
                <w:lang w:eastAsia="es-CO"/>
                <w14:ligatures w14:val="none"/>
              </w:rPr>
            </w:pPr>
            <w:r w:rsidRPr="00951AB1">
              <w:rPr>
                <w:rFonts w:eastAsia="Times New Roman" w:cs="Times New Roman"/>
                <w:color w:val="000000"/>
                <w:kern w:val="0"/>
                <w:sz w:val="16"/>
                <w:szCs w:val="16"/>
                <w:lang w:eastAsia="es-CO"/>
                <w14:ligatures w14:val="none"/>
              </w:rPr>
              <w:t>Costas procesales</w:t>
            </w:r>
          </w:p>
        </w:tc>
        <w:tc>
          <w:tcPr>
            <w:tcW w:w="976" w:type="dxa"/>
            <w:tcBorders>
              <w:top w:val="nil"/>
              <w:left w:val="nil"/>
              <w:bottom w:val="single" w:sz="8" w:space="0" w:color="D0D0D0"/>
              <w:right w:val="single" w:sz="8" w:space="0" w:color="D0D0D0"/>
            </w:tcBorders>
            <w:noWrap/>
            <w:vAlign w:val="center"/>
            <w:hideMark/>
          </w:tcPr>
          <w:p w14:paraId="6BE72649" w14:textId="77777777" w:rsidR="005E64D9" w:rsidRPr="00951AB1" w:rsidRDefault="005E64D9" w:rsidP="000A5389">
            <w:pPr>
              <w:spacing w:line="240" w:lineRule="auto"/>
              <w:jc w:val="center"/>
              <w:rPr>
                <w:rFonts w:eastAsia="Times New Roman" w:cs="Times New Roman"/>
                <w:color w:val="000000"/>
                <w:kern w:val="0"/>
                <w:sz w:val="16"/>
                <w:szCs w:val="16"/>
                <w:lang w:eastAsia="es-CO"/>
                <w14:ligatures w14:val="none"/>
              </w:rPr>
            </w:pPr>
            <w:r w:rsidRPr="00951AB1">
              <w:rPr>
                <w:rFonts w:eastAsia="Times New Roman" w:cs="Times New Roman"/>
                <w:color w:val="000000"/>
                <w:kern w:val="0"/>
                <w:sz w:val="16"/>
                <w:szCs w:val="16"/>
                <w:lang w:eastAsia="es-CO"/>
                <w14:ligatures w14:val="none"/>
              </w:rPr>
              <w:t>28/06/2019</w:t>
            </w:r>
          </w:p>
        </w:tc>
        <w:tc>
          <w:tcPr>
            <w:tcW w:w="2426" w:type="dxa"/>
            <w:tcBorders>
              <w:top w:val="nil"/>
              <w:left w:val="nil"/>
              <w:bottom w:val="single" w:sz="8" w:space="0" w:color="D0D0D0"/>
              <w:right w:val="single" w:sz="8" w:space="0" w:color="D0D0D0"/>
            </w:tcBorders>
            <w:noWrap/>
            <w:vAlign w:val="center"/>
            <w:hideMark/>
          </w:tcPr>
          <w:p w14:paraId="1DB4AF70" w14:textId="21E0AA03" w:rsidR="005E64D9" w:rsidRPr="00951AB1" w:rsidRDefault="003D6C30" w:rsidP="000A5389">
            <w:pPr>
              <w:spacing w:line="240" w:lineRule="auto"/>
              <w:rPr>
                <w:rFonts w:eastAsia="Times New Roman" w:cs="Times New Roman"/>
                <w:color w:val="000000"/>
                <w:kern w:val="0"/>
                <w:sz w:val="16"/>
                <w:szCs w:val="16"/>
                <w:lang w:eastAsia="es-CO"/>
                <w14:ligatures w14:val="none"/>
              </w:rPr>
            </w:pPr>
            <w:r w:rsidRPr="00951AB1">
              <w:rPr>
                <w:rFonts w:eastAsia="Times New Roman" w:cs="Times New Roman"/>
                <w:color w:val="000000"/>
                <w:kern w:val="0"/>
                <w:sz w:val="16"/>
                <w:szCs w:val="16"/>
                <w:lang w:eastAsia="es-CO"/>
                <w14:ligatures w14:val="none"/>
              </w:rPr>
              <w:t xml:space="preserve">Alvaro Montes Sevilla </w:t>
            </w:r>
          </w:p>
        </w:tc>
        <w:tc>
          <w:tcPr>
            <w:tcW w:w="1276" w:type="dxa"/>
            <w:tcBorders>
              <w:top w:val="nil"/>
              <w:left w:val="nil"/>
              <w:bottom w:val="single" w:sz="8" w:space="0" w:color="D0D0D0"/>
              <w:right w:val="single" w:sz="8" w:space="0" w:color="D0D0D0"/>
            </w:tcBorders>
            <w:noWrap/>
            <w:vAlign w:val="center"/>
            <w:hideMark/>
          </w:tcPr>
          <w:p w14:paraId="37BB2B56" w14:textId="77777777" w:rsidR="005E64D9" w:rsidRPr="00951AB1" w:rsidRDefault="005E64D9" w:rsidP="000A5389">
            <w:pPr>
              <w:spacing w:line="240" w:lineRule="auto"/>
              <w:jc w:val="right"/>
              <w:rPr>
                <w:rFonts w:eastAsia="Times New Roman" w:cs="Times New Roman"/>
                <w:color w:val="000000"/>
                <w:kern w:val="0"/>
                <w:sz w:val="16"/>
                <w:szCs w:val="16"/>
                <w:lang w:eastAsia="es-CO"/>
                <w14:ligatures w14:val="none"/>
              </w:rPr>
            </w:pPr>
            <w:r w:rsidRPr="00951AB1">
              <w:rPr>
                <w:rFonts w:eastAsia="Times New Roman" w:cs="Times New Roman"/>
                <w:color w:val="000000"/>
                <w:kern w:val="0"/>
                <w:sz w:val="16"/>
                <w:szCs w:val="16"/>
                <w:lang w:eastAsia="es-CO"/>
                <w14:ligatures w14:val="none"/>
              </w:rPr>
              <w:t>7.200.000</w:t>
            </w:r>
          </w:p>
        </w:tc>
        <w:tc>
          <w:tcPr>
            <w:tcW w:w="709" w:type="dxa"/>
            <w:tcBorders>
              <w:top w:val="nil"/>
              <w:left w:val="nil"/>
              <w:bottom w:val="single" w:sz="8" w:space="0" w:color="D0D0D0"/>
              <w:right w:val="single" w:sz="8" w:space="0" w:color="D0D0D0"/>
            </w:tcBorders>
            <w:noWrap/>
            <w:vAlign w:val="center"/>
            <w:hideMark/>
          </w:tcPr>
          <w:p w14:paraId="227A5F4E" w14:textId="77777777" w:rsidR="005E64D9" w:rsidRPr="00951AB1" w:rsidRDefault="005E64D9" w:rsidP="000A5389">
            <w:pPr>
              <w:spacing w:line="240" w:lineRule="auto"/>
              <w:jc w:val="right"/>
              <w:rPr>
                <w:rFonts w:eastAsia="Times New Roman" w:cs="Times New Roman"/>
                <w:color w:val="000000"/>
                <w:kern w:val="0"/>
                <w:sz w:val="16"/>
                <w:szCs w:val="16"/>
                <w:lang w:eastAsia="es-CO"/>
                <w14:ligatures w14:val="none"/>
              </w:rPr>
            </w:pPr>
            <w:r w:rsidRPr="00951AB1">
              <w:rPr>
                <w:rFonts w:eastAsia="Times New Roman" w:cs="Times New Roman"/>
                <w:color w:val="000000"/>
                <w:kern w:val="0"/>
                <w:sz w:val="16"/>
                <w:szCs w:val="16"/>
                <w:lang w:eastAsia="es-CO"/>
                <w14:ligatures w14:val="none"/>
              </w:rPr>
              <w:t> </w:t>
            </w:r>
          </w:p>
        </w:tc>
        <w:tc>
          <w:tcPr>
            <w:tcW w:w="1005" w:type="dxa"/>
            <w:tcBorders>
              <w:top w:val="nil"/>
              <w:left w:val="nil"/>
              <w:bottom w:val="single" w:sz="8" w:space="0" w:color="D0D0D0"/>
              <w:right w:val="single" w:sz="8" w:space="0" w:color="D0D0D0"/>
            </w:tcBorders>
            <w:noWrap/>
            <w:vAlign w:val="center"/>
            <w:hideMark/>
          </w:tcPr>
          <w:p w14:paraId="4BA6FDBD" w14:textId="77777777" w:rsidR="005E64D9" w:rsidRPr="00951AB1" w:rsidRDefault="005E64D9" w:rsidP="000A5389">
            <w:pPr>
              <w:spacing w:line="240" w:lineRule="auto"/>
              <w:jc w:val="right"/>
              <w:rPr>
                <w:rFonts w:eastAsia="Times New Roman" w:cs="Times New Roman"/>
                <w:color w:val="000000"/>
                <w:kern w:val="0"/>
                <w:sz w:val="16"/>
                <w:szCs w:val="16"/>
                <w:lang w:eastAsia="es-CO"/>
                <w14:ligatures w14:val="none"/>
              </w:rPr>
            </w:pPr>
            <w:r w:rsidRPr="00951AB1">
              <w:rPr>
                <w:rFonts w:eastAsia="Times New Roman" w:cs="Times New Roman"/>
                <w:color w:val="000000"/>
                <w:kern w:val="0"/>
                <w:sz w:val="16"/>
                <w:szCs w:val="16"/>
                <w:lang w:eastAsia="es-CO"/>
                <w14:ligatures w14:val="none"/>
              </w:rPr>
              <w:t> </w:t>
            </w:r>
          </w:p>
        </w:tc>
        <w:tc>
          <w:tcPr>
            <w:tcW w:w="1275" w:type="dxa"/>
            <w:tcBorders>
              <w:top w:val="nil"/>
              <w:left w:val="nil"/>
              <w:bottom w:val="single" w:sz="8" w:space="0" w:color="D0D0D0"/>
              <w:right w:val="single" w:sz="8" w:space="0" w:color="D0D0D0"/>
            </w:tcBorders>
            <w:noWrap/>
            <w:vAlign w:val="center"/>
            <w:hideMark/>
          </w:tcPr>
          <w:p w14:paraId="606123A9" w14:textId="77777777" w:rsidR="005E64D9" w:rsidRPr="00951AB1" w:rsidRDefault="005E64D9" w:rsidP="000A5389">
            <w:pPr>
              <w:spacing w:line="240" w:lineRule="auto"/>
              <w:jc w:val="right"/>
              <w:rPr>
                <w:rFonts w:eastAsia="Times New Roman" w:cs="Times New Roman"/>
                <w:color w:val="000000"/>
                <w:kern w:val="0"/>
                <w:sz w:val="16"/>
                <w:szCs w:val="16"/>
                <w:lang w:eastAsia="es-CO"/>
                <w14:ligatures w14:val="none"/>
              </w:rPr>
            </w:pPr>
            <w:r w:rsidRPr="00951AB1">
              <w:rPr>
                <w:rFonts w:eastAsia="Times New Roman" w:cs="Times New Roman"/>
                <w:color w:val="000000"/>
                <w:kern w:val="0"/>
                <w:sz w:val="16"/>
                <w:szCs w:val="16"/>
                <w:lang w:eastAsia="es-CO"/>
                <w14:ligatures w14:val="none"/>
              </w:rPr>
              <w:t>7.200.000</w:t>
            </w:r>
          </w:p>
        </w:tc>
      </w:tr>
      <w:tr w:rsidR="005E64D9" w:rsidRPr="00951AB1" w14:paraId="449CA946" w14:textId="77777777" w:rsidTr="2C9F3575">
        <w:trPr>
          <w:trHeight w:val="270"/>
        </w:trPr>
        <w:tc>
          <w:tcPr>
            <w:tcW w:w="1266" w:type="dxa"/>
            <w:tcBorders>
              <w:top w:val="nil"/>
              <w:left w:val="single" w:sz="8" w:space="0" w:color="D0D0D0"/>
              <w:bottom w:val="single" w:sz="8" w:space="0" w:color="D0D0D0"/>
              <w:right w:val="single" w:sz="8" w:space="0" w:color="D0D0D0"/>
            </w:tcBorders>
            <w:noWrap/>
            <w:vAlign w:val="center"/>
            <w:hideMark/>
          </w:tcPr>
          <w:p w14:paraId="236A1BB6" w14:textId="77777777" w:rsidR="005E64D9" w:rsidRPr="00951AB1" w:rsidRDefault="005E64D9" w:rsidP="000A5389">
            <w:pPr>
              <w:spacing w:line="240" w:lineRule="auto"/>
              <w:rPr>
                <w:rFonts w:eastAsia="Times New Roman" w:cs="Times New Roman"/>
                <w:color w:val="000000"/>
                <w:kern w:val="0"/>
                <w:sz w:val="16"/>
                <w:szCs w:val="16"/>
                <w:lang w:eastAsia="es-CO"/>
                <w14:ligatures w14:val="none"/>
              </w:rPr>
            </w:pPr>
            <w:r w:rsidRPr="00951AB1">
              <w:rPr>
                <w:rFonts w:eastAsia="Times New Roman" w:cs="Times New Roman"/>
                <w:color w:val="000000"/>
                <w:kern w:val="0"/>
                <w:sz w:val="16"/>
                <w:szCs w:val="16"/>
                <w:lang w:eastAsia="es-CO"/>
                <w14:ligatures w14:val="none"/>
              </w:rPr>
              <w:t>Costas procesales</w:t>
            </w:r>
          </w:p>
        </w:tc>
        <w:tc>
          <w:tcPr>
            <w:tcW w:w="976" w:type="dxa"/>
            <w:tcBorders>
              <w:top w:val="nil"/>
              <w:left w:val="nil"/>
              <w:bottom w:val="single" w:sz="8" w:space="0" w:color="D0D0D0"/>
              <w:right w:val="single" w:sz="8" w:space="0" w:color="D0D0D0"/>
            </w:tcBorders>
            <w:noWrap/>
            <w:vAlign w:val="center"/>
            <w:hideMark/>
          </w:tcPr>
          <w:p w14:paraId="38B5DD6C" w14:textId="77777777" w:rsidR="005E64D9" w:rsidRPr="00951AB1" w:rsidRDefault="005E64D9" w:rsidP="000A5389">
            <w:pPr>
              <w:spacing w:line="240" w:lineRule="auto"/>
              <w:jc w:val="center"/>
              <w:rPr>
                <w:rFonts w:eastAsia="Times New Roman" w:cs="Times New Roman"/>
                <w:color w:val="000000"/>
                <w:kern w:val="0"/>
                <w:sz w:val="16"/>
                <w:szCs w:val="16"/>
                <w:lang w:eastAsia="es-CO"/>
                <w14:ligatures w14:val="none"/>
              </w:rPr>
            </w:pPr>
            <w:r w:rsidRPr="00951AB1">
              <w:rPr>
                <w:rFonts w:eastAsia="Times New Roman" w:cs="Times New Roman"/>
                <w:color w:val="000000"/>
                <w:kern w:val="0"/>
                <w:sz w:val="16"/>
                <w:szCs w:val="16"/>
                <w:lang w:eastAsia="es-CO"/>
                <w14:ligatures w14:val="none"/>
              </w:rPr>
              <w:t>12/03/2021</w:t>
            </w:r>
          </w:p>
        </w:tc>
        <w:tc>
          <w:tcPr>
            <w:tcW w:w="2426" w:type="dxa"/>
            <w:tcBorders>
              <w:top w:val="nil"/>
              <w:left w:val="nil"/>
              <w:bottom w:val="single" w:sz="8" w:space="0" w:color="D0D0D0"/>
              <w:right w:val="single" w:sz="8" w:space="0" w:color="D0D0D0"/>
            </w:tcBorders>
            <w:noWrap/>
            <w:vAlign w:val="center"/>
            <w:hideMark/>
          </w:tcPr>
          <w:p w14:paraId="33FC5CF0" w14:textId="3462BB93" w:rsidR="005E64D9" w:rsidRPr="00951AB1" w:rsidRDefault="003D6C30" w:rsidP="000A5389">
            <w:pPr>
              <w:spacing w:line="240" w:lineRule="auto"/>
              <w:rPr>
                <w:rFonts w:eastAsia="Times New Roman" w:cs="Times New Roman"/>
                <w:color w:val="000000"/>
                <w:kern w:val="0"/>
                <w:sz w:val="16"/>
                <w:szCs w:val="16"/>
                <w:lang w:eastAsia="es-CO"/>
                <w14:ligatures w14:val="none"/>
              </w:rPr>
            </w:pPr>
            <w:r w:rsidRPr="00951AB1">
              <w:rPr>
                <w:rFonts w:eastAsia="Times New Roman" w:cs="Times New Roman"/>
                <w:color w:val="000000"/>
                <w:kern w:val="0"/>
                <w:sz w:val="16"/>
                <w:szCs w:val="16"/>
                <w:lang w:eastAsia="es-CO"/>
                <w14:ligatures w14:val="none"/>
              </w:rPr>
              <w:t xml:space="preserve">German Francisco Rojas Baquero </w:t>
            </w:r>
          </w:p>
        </w:tc>
        <w:tc>
          <w:tcPr>
            <w:tcW w:w="1276" w:type="dxa"/>
            <w:tcBorders>
              <w:top w:val="nil"/>
              <w:left w:val="nil"/>
              <w:bottom w:val="single" w:sz="8" w:space="0" w:color="D0D0D0"/>
              <w:right w:val="single" w:sz="8" w:space="0" w:color="D0D0D0"/>
            </w:tcBorders>
            <w:noWrap/>
            <w:vAlign w:val="center"/>
            <w:hideMark/>
          </w:tcPr>
          <w:p w14:paraId="738641D2" w14:textId="77777777" w:rsidR="005E64D9" w:rsidRPr="00951AB1" w:rsidRDefault="005E64D9" w:rsidP="000A5389">
            <w:pPr>
              <w:spacing w:line="240" w:lineRule="auto"/>
              <w:jc w:val="right"/>
              <w:rPr>
                <w:rFonts w:eastAsia="Times New Roman" w:cs="Times New Roman"/>
                <w:color w:val="000000"/>
                <w:kern w:val="0"/>
                <w:sz w:val="16"/>
                <w:szCs w:val="16"/>
                <w:lang w:eastAsia="es-CO"/>
                <w14:ligatures w14:val="none"/>
              </w:rPr>
            </w:pPr>
            <w:r w:rsidRPr="00951AB1">
              <w:rPr>
                <w:rFonts w:eastAsia="Times New Roman" w:cs="Times New Roman"/>
                <w:color w:val="000000"/>
                <w:kern w:val="0"/>
                <w:sz w:val="16"/>
                <w:szCs w:val="16"/>
                <w:lang w:eastAsia="es-CO"/>
                <w14:ligatures w14:val="none"/>
              </w:rPr>
              <w:t>300.000</w:t>
            </w:r>
          </w:p>
        </w:tc>
        <w:tc>
          <w:tcPr>
            <w:tcW w:w="709" w:type="dxa"/>
            <w:tcBorders>
              <w:top w:val="nil"/>
              <w:left w:val="nil"/>
              <w:bottom w:val="single" w:sz="8" w:space="0" w:color="D0D0D0"/>
              <w:right w:val="single" w:sz="8" w:space="0" w:color="D0D0D0"/>
            </w:tcBorders>
            <w:noWrap/>
            <w:vAlign w:val="center"/>
            <w:hideMark/>
          </w:tcPr>
          <w:p w14:paraId="0097FEF1" w14:textId="77777777" w:rsidR="005E64D9" w:rsidRPr="00951AB1" w:rsidRDefault="005E64D9" w:rsidP="000A5389">
            <w:pPr>
              <w:spacing w:line="240" w:lineRule="auto"/>
              <w:jc w:val="right"/>
              <w:rPr>
                <w:rFonts w:eastAsia="Times New Roman" w:cs="Times New Roman"/>
                <w:color w:val="000000"/>
                <w:kern w:val="0"/>
                <w:sz w:val="16"/>
                <w:szCs w:val="16"/>
                <w:lang w:eastAsia="es-CO"/>
                <w14:ligatures w14:val="none"/>
              </w:rPr>
            </w:pPr>
            <w:r w:rsidRPr="00951AB1">
              <w:rPr>
                <w:rFonts w:eastAsia="Times New Roman" w:cs="Times New Roman"/>
                <w:color w:val="000000"/>
                <w:kern w:val="0"/>
                <w:sz w:val="16"/>
                <w:szCs w:val="16"/>
                <w:lang w:eastAsia="es-CO"/>
                <w14:ligatures w14:val="none"/>
              </w:rPr>
              <w:t> </w:t>
            </w:r>
          </w:p>
        </w:tc>
        <w:tc>
          <w:tcPr>
            <w:tcW w:w="1005" w:type="dxa"/>
            <w:tcBorders>
              <w:top w:val="nil"/>
              <w:left w:val="nil"/>
              <w:bottom w:val="single" w:sz="8" w:space="0" w:color="D0D0D0"/>
              <w:right w:val="single" w:sz="8" w:space="0" w:color="D0D0D0"/>
            </w:tcBorders>
            <w:noWrap/>
            <w:vAlign w:val="center"/>
            <w:hideMark/>
          </w:tcPr>
          <w:p w14:paraId="621C1B85" w14:textId="77777777" w:rsidR="005E64D9" w:rsidRPr="00951AB1" w:rsidRDefault="005E64D9" w:rsidP="000A5389">
            <w:pPr>
              <w:spacing w:line="240" w:lineRule="auto"/>
              <w:jc w:val="right"/>
              <w:rPr>
                <w:rFonts w:eastAsia="Times New Roman" w:cs="Times New Roman"/>
                <w:color w:val="000000"/>
                <w:kern w:val="0"/>
                <w:sz w:val="16"/>
                <w:szCs w:val="16"/>
                <w:lang w:eastAsia="es-CO"/>
                <w14:ligatures w14:val="none"/>
              </w:rPr>
            </w:pPr>
            <w:r w:rsidRPr="00951AB1">
              <w:rPr>
                <w:rFonts w:eastAsia="Times New Roman" w:cs="Times New Roman"/>
                <w:color w:val="000000"/>
                <w:kern w:val="0"/>
                <w:sz w:val="16"/>
                <w:szCs w:val="16"/>
                <w:lang w:eastAsia="es-CO"/>
                <w14:ligatures w14:val="none"/>
              </w:rPr>
              <w:t> </w:t>
            </w:r>
          </w:p>
        </w:tc>
        <w:tc>
          <w:tcPr>
            <w:tcW w:w="1275" w:type="dxa"/>
            <w:tcBorders>
              <w:top w:val="nil"/>
              <w:left w:val="nil"/>
              <w:bottom w:val="single" w:sz="8" w:space="0" w:color="D0D0D0"/>
              <w:right w:val="single" w:sz="8" w:space="0" w:color="D0D0D0"/>
            </w:tcBorders>
            <w:noWrap/>
            <w:vAlign w:val="center"/>
            <w:hideMark/>
          </w:tcPr>
          <w:p w14:paraId="6B58B174" w14:textId="77777777" w:rsidR="005E64D9" w:rsidRPr="00951AB1" w:rsidRDefault="005E64D9" w:rsidP="000A5389">
            <w:pPr>
              <w:spacing w:line="240" w:lineRule="auto"/>
              <w:jc w:val="right"/>
              <w:rPr>
                <w:rFonts w:eastAsia="Times New Roman" w:cs="Times New Roman"/>
                <w:color w:val="000000"/>
                <w:kern w:val="0"/>
                <w:sz w:val="16"/>
                <w:szCs w:val="16"/>
                <w:lang w:eastAsia="es-CO"/>
                <w14:ligatures w14:val="none"/>
              </w:rPr>
            </w:pPr>
            <w:r w:rsidRPr="00951AB1">
              <w:rPr>
                <w:rFonts w:eastAsia="Times New Roman" w:cs="Times New Roman"/>
                <w:color w:val="000000"/>
                <w:kern w:val="0"/>
                <w:sz w:val="16"/>
                <w:szCs w:val="16"/>
                <w:lang w:eastAsia="es-CO"/>
                <w14:ligatures w14:val="none"/>
              </w:rPr>
              <w:t>300.000</w:t>
            </w:r>
          </w:p>
        </w:tc>
      </w:tr>
      <w:tr w:rsidR="005E64D9" w:rsidRPr="00951AB1" w14:paraId="352058E2" w14:textId="77777777" w:rsidTr="2C9F3575">
        <w:trPr>
          <w:trHeight w:val="270"/>
        </w:trPr>
        <w:tc>
          <w:tcPr>
            <w:tcW w:w="1266" w:type="dxa"/>
            <w:tcBorders>
              <w:top w:val="nil"/>
              <w:left w:val="single" w:sz="8" w:space="0" w:color="D0D0D0"/>
              <w:bottom w:val="single" w:sz="8" w:space="0" w:color="D0D0D0"/>
              <w:right w:val="single" w:sz="8" w:space="0" w:color="D0D0D0"/>
            </w:tcBorders>
            <w:noWrap/>
            <w:vAlign w:val="center"/>
            <w:hideMark/>
          </w:tcPr>
          <w:p w14:paraId="4916BF44" w14:textId="77777777" w:rsidR="005E64D9" w:rsidRPr="00951AB1" w:rsidRDefault="005E64D9" w:rsidP="000A5389">
            <w:pPr>
              <w:spacing w:line="240" w:lineRule="auto"/>
              <w:rPr>
                <w:rFonts w:eastAsia="Times New Roman" w:cs="Times New Roman"/>
                <w:color w:val="000000"/>
                <w:kern w:val="0"/>
                <w:sz w:val="16"/>
                <w:szCs w:val="16"/>
                <w:lang w:eastAsia="es-CO"/>
                <w14:ligatures w14:val="none"/>
              </w:rPr>
            </w:pPr>
            <w:r w:rsidRPr="00951AB1">
              <w:rPr>
                <w:rFonts w:eastAsia="Times New Roman" w:cs="Times New Roman"/>
                <w:color w:val="000000"/>
                <w:kern w:val="0"/>
                <w:sz w:val="16"/>
                <w:szCs w:val="16"/>
                <w:lang w:eastAsia="es-CO"/>
                <w14:ligatures w14:val="none"/>
              </w:rPr>
              <w:t>Costas procesales</w:t>
            </w:r>
          </w:p>
        </w:tc>
        <w:tc>
          <w:tcPr>
            <w:tcW w:w="976" w:type="dxa"/>
            <w:tcBorders>
              <w:top w:val="nil"/>
              <w:left w:val="nil"/>
              <w:bottom w:val="single" w:sz="8" w:space="0" w:color="D0D0D0"/>
              <w:right w:val="single" w:sz="8" w:space="0" w:color="D0D0D0"/>
            </w:tcBorders>
            <w:noWrap/>
            <w:vAlign w:val="center"/>
            <w:hideMark/>
          </w:tcPr>
          <w:p w14:paraId="08B46F92" w14:textId="77777777" w:rsidR="005E64D9" w:rsidRPr="00951AB1" w:rsidRDefault="005E64D9" w:rsidP="000A5389">
            <w:pPr>
              <w:spacing w:line="240" w:lineRule="auto"/>
              <w:jc w:val="center"/>
              <w:rPr>
                <w:rFonts w:eastAsia="Times New Roman" w:cs="Times New Roman"/>
                <w:color w:val="000000"/>
                <w:kern w:val="0"/>
                <w:sz w:val="16"/>
                <w:szCs w:val="16"/>
                <w:lang w:eastAsia="es-CO"/>
                <w14:ligatures w14:val="none"/>
              </w:rPr>
            </w:pPr>
            <w:r w:rsidRPr="00951AB1">
              <w:rPr>
                <w:rFonts w:eastAsia="Times New Roman" w:cs="Times New Roman"/>
                <w:color w:val="000000"/>
                <w:kern w:val="0"/>
                <w:sz w:val="16"/>
                <w:szCs w:val="16"/>
                <w:lang w:eastAsia="es-CO"/>
                <w14:ligatures w14:val="none"/>
              </w:rPr>
              <w:t>28/11/2019</w:t>
            </w:r>
          </w:p>
        </w:tc>
        <w:tc>
          <w:tcPr>
            <w:tcW w:w="2426" w:type="dxa"/>
            <w:tcBorders>
              <w:top w:val="nil"/>
              <w:left w:val="nil"/>
              <w:bottom w:val="single" w:sz="8" w:space="0" w:color="D0D0D0"/>
              <w:right w:val="single" w:sz="8" w:space="0" w:color="D0D0D0"/>
            </w:tcBorders>
            <w:noWrap/>
            <w:vAlign w:val="center"/>
            <w:hideMark/>
          </w:tcPr>
          <w:p w14:paraId="0D28DBAE" w14:textId="6CAE0B70" w:rsidR="005E64D9" w:rsidRPr="00951AB1" w:rsidRDefault="003D6C30" w:rsidP="000A5389">
            <w:pPr>
              <w:spacing w:line="240" w:lineRule="auto"/>
              <w:rPr>
                <w:rFonts w:eastAsia="Times New Roman" w:cs="Times New Roman"/>
                <w:color w:val="000000"/>
                <w:kern w:val="0"/>
                <w:sz w:val="16"/>
                <w:szCs w:val="16"/>
                <w:lang w:eastAsia="es-CO"/>
                <w14:ligatures w14:val="none"/>
              </w:rPr>
            </w:pPr>
            <w:r w:rsidRPr="00951AB1">
              <w:rPr>
                <w:rFonts w:eastAsia="Times New Roman" w:cs="Times New Roman"/>
                <w:color w:val="000000"/>
                <w:kern w:val="0"/>
                <w:sz w:val="16"/>
                <w:szCs w:val="16"/>
                <w:lang w:eastAsia="es-CO"/>
                <w14:ligatures w14:val="none"/>
              </w:rPr>
              <w:t xml:space="preserve">Mauricio </w:t>
            </w:r>
            <w:r w:rsidR="003076E2" w:rsidRPr="00951AB1">
              <w:rPr>
                <w:rFonts w:eastAsia="Times New Roman" w:cs="Times New Roman"/>
                <w:color w:val="000000"/>
                <w:kern w:val="0"/>
                <w:sz w:val="16"/>
                <w:szCs w:val="16"/>
                <w:lang w:eastAsia="es-CO"/>
                <w14:ligatures w14:val="none"/>
              </w:rPr>
              <w:t>López</w:t>
            </w:r>
            <w:r w:rsidRPr="00951AB1">
              <w:rPr>
                <w:rFonts w:eastAsia="Times New Roman" w:cs="Times New Roman"/>
                <w:color w:val="000000"/>
                <w:kern w:val="0"/>
                <w:sz w:val="16"/>
                <w:szCs w:val="16"/>
                <w:lang w:eastAsia="es-CO"/>
                <w14:ligatures w14:val="none"/>
              </w:rPr>
              <w:t xml:space="preserve"> Galvis </w:t>
            </w:r>
          </w:p>
        </w:tc>
        <w:tc>
          <w:tcPr>
            <w:tcW w:w="1276" w:type="dxa"/>
            <w:tcBorders>
              <w:top w:val="nil"/>
              <w:left w:val="nil"/>
              <w:bottom w:val="single" w:sz="8" w:space="0" w:color="D0D0D0"/>
              <w:right w:val="single" w:sz="8" w:space="0" w:color="D0D0D0"/>
            </w:tcBorders>
            <w:noWrap/>
            <w:vAlign w:val="center"/>
            <w:hideMark/>
          </w:tcPr>
          <w:p w14:paraId="7380590E" w14:textId="77777777" w:rsidR="005E64D9" w:rsidRPr="00951AB1" w:rsidRDefault="005E64D9" w:rsidP="000A5389">
            <w:pPr>
              <w:spacing w:line="240" w:lineRule="auto"/>
              <w:jc w:val="right"/>
              <w:rPr>
                <w:rFonts w:eastAsia="Times New Roman" w:cs="Times New Roman"/>
                <w:color w:val="000000"/>
                <w:kern w:val="0"/>
                <w:sz w:val="16"/>
                <w:szCs w:val="16"/>
                <w:lang w:eastAsia="es-CO"/>
                <w14:ligatures w14:val="none"/>
              </w:rPr>
            </w:pPr>
            <w:r w:rsidRPr="00951AB1">
              <w:rPr>
                <w:rFonts w:eastAsia="Times New Roman" w:cs="Times New Roman"/>
                <w:color w:val="000000"/>
                <w:kern w:val="0"/>
                <w:sz w:val="16"/>
                <w:szCs w:val="16"/>
                <w:lang w:eastAsia="es-CO"/>
                <w14:ligatures w14:val="none"/>
              </w:rPr>
              <w:t>207.029</w:t>
            </w:r>
          </w:p>
        </w:tc>
        <w:tc>
          <w:tcPr>
            <w:tcW w:w="709" w:type="dxa"/>
            <w:tcBorders>
              <w:top w:val="nil"/>
              <w:left w:val="nil"/>
              <w:bottom w:val="single" w:sz="8" w:space="0" w:color="D0D0D0"/>
              <w:right w:val="single" w:sz="8" w:space="0" w:color="D0D0D0"/>
            </w:tcBorders>
            <w:noWrap/>
            <w:vAlign w:val="center"/>
            <w:hideMark/>
          </w:tcPr>
          <w:p w14:paraId="1DE56CCB" w14:textId="77777777" w:rsidR="005E64D9" w:rsidRPr="00951AB1" w:rsidRDefault="005E64D9" w:rsidP="000A5389">
            <w:pPr>
              <w:spacing w:line="240" w:lineRule="auto"/>
              <w:rPr>
                <w:rFonts w:eastAsia="Times New Roman" w:cs="Times New Roman"/>
                <w:color w:val="000000"/>
                <w:kern w:val="0"/>
                <w:sz w:val="16"/>
                <w:szCs w:val="16"/>
                <w:lang w:eastAsia="es-CO"/>
                <w14:ligatures w14:val="none"/>
              </w:rPr>
            </w:pPr>
            <w:r w:rsidRPr="00951AB1">
              <w:rPr>
                <w:rFonts w:eastAsia="Times New Roman" w:cs="Times New Roman"/>
                <w:color w:val="000000"/>
                <w:kern w:val="0"/>
                <w:sz w:val="16"/>
                <w:szCs w:val="16"/>
                <w:lang w:eastAsia="es-CO"/>
                <w14:ligatures w14:val="none"/>
              </w:rPr>
              <w:t> </w:t>
            </w:r>
          </w:p>
        </w:tc>
        <w:tc>
          <w:tcPr>
            <w:tcW w:w="1005" w:type="dxa"/>
            <w:tcBorders>
              <w:top w:val="nil"/>
              <w:left w:val="nil"/>
              <w:bottom w:val="single" w:sz="8" w:space="0" w:color="D0D0D0"/>
              <w:right w:val="single" w:sz="8" w:space="0" w:color="D0D0D0"/>
            </w:tcBorders>
            <w:noWrap/>
            <w:vAlign w:val="center"/>
            <w:hideMark/>
          </w:tcPr>
          <w:p w14:paraId="058B6138" w14:textId="77777777" w:rsidR="005E64D9" w:rsidRPr="00951AB1" w:rsidRDefault="005E64D9" w:rsidP="000A5389">
            <w:pPr>
              <w:spacing w:line="240" w:lineRule="auto"/>
              <w:jc w:val="right"/>
              <w:rPr>
                <w:rFonts w:eastAsia="Times New Roman" w:cs="Times New Roman"/>
                <w:color w:val="000000"/>
                <w:kern w:val="0"/>
                <w:sz w:val="16"/>
                <w:szCs w:val="16"/>
                <w:lang w:eastAsia="es-CO"/>
                <w14:ligatures w14:val="none"/>
              </w:rPr>
            </w:pPr>
            <w:r w:rsidRPr="00951AB1">
              <w:rPr>
                <w:rFonts w:eastAsia="Times New Roman" w:cs="Times New Roman"/>
                <w:color w:val="000000"/>
                <w:kern w:val="0"/>
                <w:sz w:val="16"/>
                <w:szCs w:val="16"/>
                <w:lang w:eastAsia="es-CO"/>
                <w14:ligatures w14:val="none"/>
              </w:rPr>
              <w:t> </w:t>
            </w:r>
          </w:p>
        </w:tc>
        <w:tc>
          <w:tcPr>
            <w:tcW w:w="1275" w:type="dxa"/>
            <w:tcBorders>
              <w:top w:val="nil"/>
              <w:left w:val="nil"/>
              <w:bottom w:val="single" w:sz="8" w:space="0" w:color="D0D0D0"/>
              <w:right w:val="single" w:sz="8" w:space="0" w:color="D0D0D0"/>
            </w:tcBorders>
            <w:noWrap/>
            <w:vAlign w:val="center"/>
            <w:hideMark/>
          </w:tcPr>
          <w:p w14:paraId="4F1D6108" w14:textId="77777777" w:rsidR="005E64D9" w:rsidRPr="00951AB1" w:rsidRDefault="005E64D9" w:rsidP="000A5389">
            <w:pPr>
              <w:spacing w:line="240" w:lineRule="auto"/>
              <w:jc w:val="right"/>
              <w:rPr>
                <w:rFonts w:eastAsia="Times New Roman" w:cs="Times New Roman"/>
                <w:color w:val="000000"/>
                <w:kern w:val="0"/>
                <w:sz w:val="16"/>
                <w:szCs w:val="16"/>
                <w:lang w:eastAsia="es-CO"/>
                <w14:ligatures w14:val="none"/>
              </w:rPr>
            </w:pPr>
            <w:r w:rsidRPr="00951AB1">
              <w:rPr>
                <w:rFonts w:eastAsia="Times New Roman" w:cs="Times New Roman"/>
                <w:color w:val="000000"/>
                <w:kern w:val="0"/>
                <w:sz w:val="16"/>
                <w:szCs w:val="16"/>
                <w:lang w:eastAsia="es-CO"/>
                <w14:ligatures w14:val="none"/>
              </w:rPr>
              <w:t>207.029</w:t>
            </w:r>
          </w:p>
        </w:tc>
      </w:tr>
      <w:tr w:rsidR="005E64D9" w:rsidRPr="00951AB1" w14:paraId="169307EA" w14:textId="77777777" w:rsidTr="2C9F3575">
        <w:trPr>
          <w:trHeight w:val="270"/>
        </w:trPr>
        <w:tc>
          <w:tcPr>
            <w:tcW w:w="1266" w:type="dxa"/>
            <w:tcBorders>
              <w:top w:val="nil"/>
              <w:left w:val="single" w:sz="8" w:space="0" w:color="D0D0D0"/>
              <w:bottom w:val="single" w:sz="8" w:space="0" w:color="D0D0D0"/>
              <w:right w:val="single" w:sz="8" w:space="0" w:color="D0D0D0"/>
            </w:tcBorders>
            <w:noWrap/>
            <w:vAlign w:val="center"/>
            <w:hideMark/>
          </w:tcPr>
          <w:p w14:paraId="34FE9BF0" w14:textId="77777777" w:rsidR="005E64D9" w:rsidRPr="00951AB1" w:rsidRDefault="005E64D9" w:rsidP="000A5389">
            <w:pPr>
              <w:spacing w:line="240" w:lineRule="auto"/>
              <w:rPr>
                <w:rFonts w:eastAsia="Times New Roman" w:cs="Times New Roman"/>
                <w:color w:val="000000"/>
                <w:kern w:val="0"/>
                <w:sz w:val="16"/>
                <w:szCs w:val="16"/>
                <w:lang w:eastAsia="es-CO"/>
                <w14:ligatures w14:val="none"/>
              </w:rPr>
            </w:pPr>
            <w:r w:rsidRPr="00951AB1">
              <w:rPr>
                <w:rFonts w:eastAsia="Times New Roman" w:cs="Times New Roman"/>
                <w:color w:val="000000"/>
                <w:kern w:val="0"/>
                <w:sz w:val="16"/>
                <w:szCs w:val="16"/>
                <w:lang w:eastAsia="es-CO"/>
                <w14:ligatures w14:val="none"/>
              </w:rPr>
              <w:t>Otras cuentas por cobrar</w:t>
            </w:r>
          </w:p>
        </w:tc>
        <w:tc>
          <w:tcPr>
            <w:tcW w:w="976" w:type="dxa"/>
            <w:tcBorders>
              <w:top w:val="nil"/>
              <w:left w:val="nil"/>
              <w:bottom w:val="single" w:sz="8" w:space="0" w:color="D0D0D0"/>
              <w:right w:val="single" w:sz="8" w:space="0" w:color="D0D0D0"/>
            </w:tcBorders>
            <w:noWrap/>
            <w:vAlign w:val="center"/>
            <w:hideMark/>
          </w:tcPr>
          <w:p w14:paraId="26B104C1" w14:textId="77777777" w:rsidR="005E64D9" w:rsidRPr="00951AB1" w:rsidRDefault="005E64D9" w:rsidP="000A5389">
            <w:pPr>
              <w:spacing w:line="240" w:lineRule="auto"/>
              <w:jc w:val="center"/>
              <w:rPr>
                <w:rFonts w:eastAsia="Times New Roman" w:cs="Times New Roman"/>
                <w:color w:val="000000"/>
                <w:kern w:val="0"/>
                <w:sz w:val="16"/>
                <w:szCs w:val="16"/>
                <w:lang w:eastAsia="es-CO"/>
                <w14:ligatures w14:val="none"/>
              </w:rPr>
            </w:pPr>
            <w:r w:rsidRPr="00951AB1">
              <w:rPr>
                <w:rFonts w:eastAsia="Times New Roman" w:cs="Times New Roman"/>
                <w:color w:val="000000"/>
                <w:kern w:val="0"/>
                <w:sz w:val="16"/>
                <w:szCs w:val="16"/>
                <w:lang w:eastAsia="es-CO"/>
                <w14:ligatures w14:val="none"/>
              </w:rPr>
              <w:t>8/08/2018</w:t>
            </w:r>
          </w:p>
        </w:tc>
        <w:tc>
          <w:tcPr>
            <w:tcW w:w="2426" w:type="dxa"/>
            <w:tcBorders>
              <w:top w:val="nil"/>
              <w:left w:val="nil"/>
              <w:bottom w:val="single" w:sz="8" w:space="0" w:color="D0D0D0"/>
              <w:right w:val="single" w:sz="8" w:space="0" w:color="D0D0D0"/>
            </w:tcBorders>
            <w:noWrap/>
            <w:vAlign w:val="center"/>
            <w:hideMark/>
          </w:tcPr>
          <w:p w14:paraId="70102D49" w14:textId="6AD67B2B" w:rsidR="005E64D9" w:rsidRPr="00951AB1" w:rsidRDefault="003D6C30" w:rsidP="000A5389">
            <w:pPr>
              <w:spacing w:line="240" w:lineRule="auto"/>
              <w:rPr>
                <w:rFonts w:eastAsia="Times New Roman" w:cs="Times New Roman"/>
                <w:color w:val="000000"/>
                <w:kern w:val="0"/>
                <w:sz w:val="16"/>
                <w:szCs w:val="16"/>
                <w:lang w:eastAsia="es-CO"/>
                <w14:ligatures w14:val="none"/>
              </w:rPr>
            </w:pPr>
            <w:r w:rsidRPr="00951AB1">
              <w:rPr>
                <w:rFonts w:eastAsia="Times New Roman" w:cs="Times New Roman"/>
                <w:color w:val="000000"/>
                <w:kern w:val="0"/>
                <w:sz w:val="16"/>
                <w:szCs w:val="16"/>
                <w:lang w:eastAsia="es-CO"/>
                <w14:ligatures w14:val="none"/>
              </w:rPr>
              <w:t>Diego Orlando Bustos Forero</w:t>
            </w:r>
          </w:p>
        </w:tc>
        <w:tc>
          <w:tcPr>
            <w:tcW w:w="1276" w:type="dxa"/>
            <w:tcBorders>
              <w:top w:val="nil"/>
              <w:left w:val="nil"/>
              <w:bottom w:val="single" w:sz="8" w:space="0" w:color="D0D0D0"/>
              <w:right w:val="single" w:sz="8" w:space="0" w:color="D0D0D0"/>
            </w:tcBorders>
            <w:noWrap/>
            <w:vAlign w:val="center"/>
            <w:hideMark/>
          </w:tcPr>
          <w:p w14:paraId="37A64D2B" w14:textId="77777777" w:rsidR="005E64D9" w:rsidRPr="00951AB1" w:rsidRDefault="005E64D9" w:rsidP="000A5389">
            <w:pPr>
              <w:spacing w:line="240" w:lineRule="auto"/>
              <w:jc w:val="right"/>
              <w:rPr>
                <w:rFonts w:eastAsia="Times New Roman" w:cs="Times New Roman"/>
                <w:color w:val="000000"/>
                <w:kern w:val="0"/>
                <w:sz w:val="16"/>
                <w:szCs w:val="16"/>
                <w:lang w:eastAsia="es-CO"/>
                <w14:ligatures w14:val="none"/>
              </w:rPr>
            </w:pPr>
            <w:r w:rsidRPr="00951AB1">
              <w:rPr>
                <w:rFonts w:eastAsia="Times New Roman" w:cs="Times New Roman"/>
                <w:color w:val="000000"/>
                <w:kern w:val="0"/>
                <w:sz w:val="16"/>
                <w:szCs w:val="16"/>
                <w:lang w:eastAsia="es-CO"/>
                <w14:ligatures w14:val="none"/>
              </w:rPr>
              <w:t>6.923.000</w:t>
            </w:r>
          </w:p>
        </w:tc>
        <w:tc>
          <w:tcPr>
            <w:tcW w:w="709" w:type="dxa"/>
            <w:tcBorders>
              <w:top w:val="nil"/>
              <w:left w:val="nil"/>
              <w:bottom w:val="single" w:sz="8" w:space="0" w:color="D0D0D0"/>
              <w:right w:val="single" w:sz="8" w:space="0" w:color="D0D0D0"/>
            </w:tcBorders>
            <w:noWrap/>
            <w:vAlign w:val="center"/>
            <w:hideMark/>
          </w:tcPr>
          <w:p w14:paraId="01EB4A02" w14:textId="77777777" w:rsidR="005E64D9" w:rsidRPr="00951AB1" w:rsidRDefault="005E64D9" w:rsidP="000A5389">
            <w:pPr>
              <w:spacing w:line="240" w:lineRule="auto"/>
              <w:rPr>
                <w:rFonts w:eastAsia="Times New Roman" w:cs="Times New Roman"/>
                <w:color w:val="000000"/>
                <w:kern w:val="0"/>
                <w:sz w:val="16"/>
                <w:szCs w:val="16"/>
                <w:lang w:eastAsia="es-CO"/>
                <w14:ligatures w14:val="none"/>
              </w:rPr>
            </w:pPr>
            <w:r w:rsidRPr="00951AB1">
              <w:rPr>
                <w:rFonts w:eastAsia="Times New Roman" w:cs="Times New Roman"/>
                <w:color w:val="000000"/>
                <w:kern w:val="0"/>
                <w:sz w:val="16"/>
                <w:szCs w:val="16"/>
                <w:lang w:eastAsia="es-CO"/>
                <w14:ligatures w14:val="none"/>
              </w:rPr>
              <w:t> </w:t>
            </w:r>
          </w:p>
        </w:tc>
        <w:tc>
          <w:tcPr>
            <w:tcW w:w="1005" w:type="dxa"/>
            <w:tcBorders>
              <w:top w:val="nil"/>
              <w:left w:val="nil"/>
              <w:bottom w:val="single" w:sz="8" w:space="0" w:color="D0D0D0"/>
              <w:right w:val="single" w:sz="8" w:space="0" w:color="D0D0D0"/>
            </w:tcBorders>
            <w:noWrap/>
            <w:vAlign w:val="center"/>
            <w:hideMark/>
          </w:tcPr>
          <w:p w14:paraId="3A82EAF8" w14:textId="77777777" w:rsidR="005E64D9" w:rsidRPr="00951AB1" w:rsidRDefault="005E64D9" w:rsidP="000A5389">
            <w:pPr>
              <w:spacing w:line="240" w:lineRule="auto"/>
              <w:jc w:val="right"/>
              <w:rPr>
                <w:rFonts w:eastAsia="Times New Roman" w:cs="Times New Roman"/>
                <w:color w:val="000000"/>
                <w:kern w:val="0"/>
                <w:sz w:val="16"/>
                <w:szCs w:val="16"/>
                <w:lang w:eastAsia="es-CO"/>
                <w14:ligatures w14:val="none"/>
              </w:rPr>
            </w:pPr>
            <w:r w:rsidRPr="00951AB1">
              <w:rPr>
                <w:rFonts w:eastAsia="Times New Roman" w:cs="Times New Roman"/>
                <w:color w:val="000000"/>
                <w:kern w:val="0"/>
                <w:sz w:val="16"/>
                <w:szCs w:val="16"/>
                <w:lang w:eastAsia="es-CO"/>
                <w14:ligatures w14:val="none"/>
              </w:rPr>
              <w:t> </w:t>
            </w:r>
          </w:p>
        </w:tc>
        <w:tc>
          <w:tcPr>
            <w:tcW w:w="1275" w:type="dxa"/>
            <w:tcBorders>
              <w:top w:val="nil"/>
              <w:left w:val="nil"/>
              <w:bottom w:val="single" w:sz="8" w:space="0" w:color="D0D0D0"/>
              <w:right w:val="single" w:sz="8" w:space="0" w:color="D0D0D0"/>
            </w:tcBorders>
            <w:noWrap/>
            <w:vAlign w:val="center"/>
            <w:hideMark/>
          </w:tcPr>
          <w:p w14:paraId="4B7D076F" w14:textId="77777777" w:rsidR="005E64D9" w:rsidRPr="00951AB1" w:rsidRDefault="005E64D9" w:rsidP="000A5389">
            <w:pPr>
              <w:spacing w:line="240" w:lineRule="auto"/>
              <w:jc w:val="right"/>
              <w:rPr>
                <w:rFonts w:eastAsia="Times New Roman" w:cs="Times New Roman"/>
                <w:color w:val="000000"/>
                <w:kern w:val="0"/>
                <w:sz w:val="16"/>
                <w:szCs w:val="16"/>
                <w:lang w:eastAsia="es-CO"/>
                <w14:ligatures w14:val="none"/>
              </w:rPr>
            </w:pPr>
            <w:r w:rsidRPr="00951AB1">
              <w:rPr>
                <w:rFonts w:eastAsia="Times New Roman" w:cs="Times New Roman"/>
                <w:color w:val="000000"/>
                <w:kern w:val="0"/>
                <w:sz w:val="16"/>
                <w:szCs w:val="16"/>
                <w:lang w:eastAsia="es-CO"/>
                <w14:ligatures w14:val="none"/>
              </w:rPr>
              <w:t>6.923.000</w:t>
            </w:r>
          </w:p>
        </w:tc>
      </w:tr>
      <w:tr w:rsidR="005E64D9" w:rsidRPr="00951AB1" w14:paraId="35C8AFD1" w14:textId="77777777" w:rsidTr="2C9F3575">
        <w:trPr>
          <w:trHeight w:val="555"/>
        </w:trPr>
        <w:tc>
          <w:tcPr>
            <w:tcW w:w="1266" w:type="dxa"/>
            <w:tcBorders>
              <w:top w:val="nil"/>
              <w:left w:val="single" w:sz="8" w:space="0" w:color="D0D0D0"/>
              <w:bottom w:val="single" w:sz="8" w:space="0" w:color="D0D0D0"/>
              <w:right w:val="single" w:sz="8" w:space="0" w:color="D0D0D0"/>
            </w:tcBorders>
            <w:vAlign w:val="center"/>
            <w:hideMark/>
          </w:tcPr>
          <w:p w14:paraId="21A366A3" w14:textId="77777777" w:rsidR="005E64D9" w:rsidRPr="00951AB1" w:rsidRDefault="005E64D9" w:rsidP="000A5389">
            <w:pPr>
              <w:spacing w:line="240" w:lineRule="auto"/>
              <w:rPr>
                <w:rFonts w:eastAsia="Times New Roman" w:cs="Times New Roman"/>
                <w:color w:val="000000"/>
                <w:kern w:val="0"/>
                <w:sz w:val="16"/>
                <w:szCs w:val="16"/>
                <w:lang w:eastAsia="es-CO"/>
                <w14:ligatures w14:val="none"/>
              </w:rPr>
            </w:pPr>
            <w:r w:rsidRPr="00951AB1">
              <w:rPr>
                <w:rFonts w:eastAsia="Times New Roman" w:cs="Times New Roman"/>
                <w:color w:val="000000"/>
                <w:kern w:val="0"/>
                <w:sz w:val="16"/>
                <w:szCs w:val="16"/>
                <w:lang w:eastAsia="es-CO"/>
                <w14:ligatures w14:val="none"/>
              </w:rPr>
              <w:t>Sentencias, laudos arbitrales y conciliaciones extrajudiciales a favor</w:t>
            </w:r>
          </w:p>
        </w:tc>
        <w:tc>
          <w:tcPr>
            <w:tcW w:w="976" w:type="dxa"/>
            <w:tcBorders>
              <w:top w:val="nil"/>
              <w:left w:val="nil"/>
              <w:bottom w:val="single" w:sz="8" w:space="0" w:color="D0D0D0"/>
              <w:right w:val="single" w:sz="8" w:space="0" w:color="D0D0D0"/>
            </w:tcBorders>
            <w:noWrap/>
            <w:vAlign w:val="center"/>
            <w:hideMark/>
          </w:tcPr>
          <w:p w14:paraId="14A551C3" w14:textId="77777777" w:rsidR="005E64D9" w:rsidRPr="00951AB1" w:rsidRDefault="005E64D9" w:rsidP="000A5389">
            <w:pPr>
              <w:spacing w:line="240" w:lineRule="auto"/>
              <w:jc w:val="center"/>
              <w:rPr>
                <w:rFonts w:eastAsia="Times New Roman" w:cs="Times New Roman"/>
                <w:color w:val="000000"/>
                <w:kern w:val="0"/>
                <w:sz w:val="16"/>
                <w:szCs w:val="16"/>
                <w:lang w:eastAsia="es-CO"/>
                <w14:ligatures w14:val="none"/>
              </w:rPr>
            </w:pPr>
            <w:r w:rsidRPr="00951AB1">
              <w:rPr>
                <w:rFonts w:eastAsia="Times New Roman" w:cs="Times New Roman"/>
                <w:color w:val="000000"/>
                <w:kern w:val="0"/>
                <w:sz w:val="16"/>
                <w:szCs w:val="16"/>
                <w:lang w:eastAsia="es-CO"/>
                <w14:ligatures w14:val="none"/>
              </w:rPr>
              <w:t>31/05/2020</w:t>
            </w:r>
          </w:p>
        </w:tc>
        <w:tc>
          <w:tcPr>
            <w:tcW w:w="2426" w:type="dxa"/>
            <w:tcBorders>
              <w:top w:val="nil"/>
              <w:left w:val="nil"/>
              <w:bottom w:val="single" w:sz="8" w:space="0" w:color="D0D0D0"/>
              <w:right w:val="single" w:sz="8" w:space="0" w:color="D0D0D0"/>
            </w:tcBorders>
            <w:noWrap/>
            <w:vAlign w:val="center"/>
            <w:hideMark/>
          </w:tcPr>
          <w:p w14:paraId="253E5173" w14:textId="76D9354A" w:rsidR="005E64D9" w:rsidRPr="00951AB1" w:rsidRDefault="003076E2" w:rsidP="000A5389">
            <w:pPr>
              <w:spacing w:line="240" w:lineRule="auto"/>
              <w:rPr>
                <w:rFonts w:eastAsia="Times New Roman" w:cs="Times New Roman"/>
                <w:color w:val="000000"/>
                <w:kern w:val="0"/>
                <w:sz w:val="16"/>
                <w:szCs w:val="16"/>
                <w:lang w:eastAsia="es-CO"/>
                <w14:ligatures w14:val="none"/>
              </w:rPr>
            </w:pPr>
            <w:r w:rsidRPr="00951AB1">
              <w:rPr>
                <w:rFonts w:eastAsia="Times New Roman" w:cs="Times New Roman"/>
                <w:color w:val="000000"/>
                <w:kern w:val="0"/>
                <w:sz w:val="16"/>
                <w:szCs w:val="16"/>
                <w:lang w:eastAsia="es-CO"/>
                <w14:ligatures w14:val="none"/>
              </w:rPr>
              <w:t>Concesión</w:t>
            </w:r>
            <w:r w:rsidR="003D6C30" w:rsidRPr="00951AB1">
              <w:rPr>
                <w:rFonts w:eastAsia="Times New Roman" w:cs="Times New Roman"/>
                <w:color w:val="000000"/>
                <w:kern w:val="0"/>
                <w:sz w:val="16"/>
                <w:szCs w:val="16"/>
                <w:lang w:eastAsia="es-CO"/>
                <w14:ligatures w14:val="none"/>
              </w:rPr>
              <w:t xml:space="preserve"> Autopista </w:t>
            </w:r>
            <w:r w:rsidRPr="00951AB1">
              <w:rPr>
                <w:rFonts w:eastAsia="Times New Roman" w:cs="Times New Roman"/>
                <w:color w:val="000000"/>
                <w:kern w:val="0"/>
                <w:sz w:val="16"/>
                <w:szCs w:val="16"/>
                <w:lang w:eastAsia="es-CO"/>
                <w14:ligatures w14:val="none"/>
              </w:rPr>
              <w:t>Bogotá</w:t>
            </w:r>
            <w:r w:rsidR="003D6C30" w:rsidRPr="00951AB1">
              <w:rPr>
                <w:rFonts w:eastAsia="Times New Roman" w:cs="Times New Roman"/>
                <w:color w:val="000000"/>
                <w:kern w:val="0"/>
                <w:sz w:val="16"/>
                <w:szCs w:val="16"/>
                <w:lang w:eastAsia="es-CO"/>
                <w14:ligatures w14:val="none"/>
              </w:rPr>
              <w:t xml:space="preserve"> Girardot S.A.</w:t>
            </w:r>
          </w:p>
        </w:tc>
        <w:tc>
          <w:tcPr>
            <w:tcW w:w="1276" w:type="dxa"/>
            <w:tcBorders>
              <w:top w:val="nil"/>
              <w:left w:val="nil"/>
              <w:bottom w:val="single" w:sz="8" w:space="0" w:color="D0D0D0"/>
              <w:right w:val="single" w:sz="8" w:space="0" w:color="D0D0D0"/>
            </w:tcBorders>
            <w:noWrap/>
            <w:vAlign w:val="center"/>
            <w:hideMark/>
          </w:tcPr>
          <w:p w14:paraId="62C777AD" w14:textId="77777777" w:rsidR="005E64D9" w:rsidRPr="00951AB1" w:rsidRDefault="005E64D9" w:rsidP="000A5389">
            <w:pPr>
              <w:spacing w:line="240" w:lineRule="auto"/>
              <w:jc w:val="right"/>
              <w:rPr>
                <w:rFonts w:eastAsia="Times New Roman" w:cs="Times New Roman"/>
                <w:color w:val="000000"/>
                <w:kern w:val="0"/>
                <w:sz w:val="16"/>
                <w:szCs w:val="16"/>
                <w:lang w:eastAsia="es-CO"/>
                <w14:ligatures w14:val="none"/>
              </w:rPr>
            </w:pPr>
            <w:r w:rsidRPr="00951AB1">
              <w:rPr>
                <w:rFonts w:eastAsia="Times New Roman" w:cs="Times New Roman"/>
                <w:color w:val="000000"/>
                <w:kern w:val="0"/>
                <w:sz w:val="16"/>
                <w:szCs w:val="16"/>
                <w:lang w:eastAsia="es-CO"/>
                <w14:ligatures w14:val="none"/>
              </w:rPr>
              <w:t>384.588.158.996</w:t>
            </w:r>
          </w:p>
        </w:tc>
        <w:tc>
          <w:tcPr>
            <w:tcW w:w="709" w:type="dxa"/>
            <w:tcBorders>
              <w:top w:val="nil"/>
              <w:left w:val="nil"/>
              <w:bottom w:val="single" w:sz="8" w:space="0" w:color="D0D0D0"/>
              <w:right w:val="single" w:sz="8" w:space="0" w:color="D0D0D0"/>
            </w:tcBorders>
            <w:noWrap/>
            <w:vAlign w:val="center"/>
            <w:hideMark/>
          </w:tcPr>
          <w:p w14:paraId="19470BF4" w14:textId="77777777" w:rsidR="005E64D9" w:rsidRPr="00951AB1" w:rsidRDefault="005E64D9" w:rsidP="000A5389">
            <w:pPr>
              <w:spacing w:line="240" w:lineRule="auto"/>
              <w:rPr>
                <w:rFonts w:eastAsia="Times New Roman" w:cs="Times New Roman"/>
                <w:color w:val="000000"/>
                <w:kern w:val="0"/>
                <w:sz w:val="16"/>
                <w:szCs w:val="16"/>
                <w:lang w:eastAsia="es-CO"/>
                <w14:ligatures w14:val="none"/>
              </w:rPr>
            </w:pPr>
            <w:r w:rsidRPr="00951AB1">
              <w:rPr>
                <w:rFonts w:eastAsia="Times New Roman" w:cs="Times New Roman"/>
                <w:color w:val="000000"/>
                <w:kern w:val="0"/>
                <w:sz w:val="16"/>
                <w:szCs w:val="16"/>
                <w:lang w:eastAsia="es-CO"/>
                <w14:ligatures w14:val="none"/>
              </w:rPr>
              <w:t> </w:t>
            </w:r>
          </w:p>
        </w:tc>
        <w:tc>
          <w:tcPr>
            <w:tcW w:w="1005" w:type="dxa"/>
            <w:tcBorders>
              <w:top w:val="nil"/>
              <w:left w:val="nil"/>
              <w:bottom w:val="single" w:sz="8" w:space="0" w:color="D0D0D0"/>
              <w:right w:val="single" w:sz="8" w:space="0" w:color="D0D0D0"/>
            </w:tcBorders>
            <w:noWrap/>
            <w:vAlign w:val="center"/>
            <w:hideMark/>
          </w:tcPr>
          <w:p w14:paraId="55A25CE4" w14:textId="77777777" w:rsidR="005E64D9" w:rsidRPr="00951AB1" w:rsidRDefault="005E64D9" w:rsidP="000A5389">
            <w:pPr>
              <w:spacing w:line="240" w:lineRule="auto"/>
              <w:rPr>
                <w:rFonts w:eastAsia="Times New Roman" w:cs="Times New Roman"/>
                <w:color w:val="000000"/>
                <w:kern w:val="0"/>
                <w:sz w:val="16"/>
                <w:szCs w:val="16"/>
                <w:lang w:eastAsia="es-CO"/>
                <w14:ligatures w14:val="none"/>
              </w:rPr>
            </w:pPr>
            <w:r w:rsidRPr="00951AB1">
              <w:rPr>
                <w:rFonts w:eastAsia="Times New Roman" w:cs="Times New Roman"/>
                <w:color w:val="000000"/>
                <w:kern w:val="0"/>
                <w:sz w:val="16"/>
                <w:szCs w:val="16"/>
                <w:lang w:eastAsia="es-CO"/>
                <w14:ligatures w14:val="none"/>
              </w:rPr>
              <w:t> </w:t>
            </w:r>
          </w:p>
        </w:tc>
        <w:tc>
          <w:tcPr>
            <w:tcW w:w="1275" w:type="dxa"/>
            <w:tcBorders>
              <w:top w:val="nil"/>
              <w:left w:val="nil"/>
              <w:bottom w:val="single" w:sz="8" w:space="0" w:color="D0D0D0"/>
              <w:right w:val="single" w:sz="8" w:space="0" w:color="D0D0D0"/>
            </w:tcBorders>
            <w:noWrap/>
            <w:vAlign w:val="center"/>
            <w:hideMark/>
          </w:tcPr>
          <w:p w14:paraId="50D27B15" w14:textId="77777777" w:rsidR="005E64D9" w:rsidRPr="00951AB1" w:rsidRDefault="005E64D9" w:rsidP="000A5389">
            <w:pPr>
              <w:spacing w:line="240" w:lineRule="auto"/>
              <w:jc w:val="right"/>
              <w:rPr>
                <w:rFonts w:eastAsia="Times New Roman" w:cs="Times New Roman"/>
                <w:color w:val="000000"/>
                <w:kern w:val="0"/>
                <w:sz w:val="16"/>
                <w:szCs w:val="16"/>
                <w:lang w:eastAsia="es-CO"/>
                <w14:ligatures w14:val="none"/>
              </w:rPr>
            </w:pPr>
            <w:r w:rsidRPr="00951AB1">
              <w:rPr>
                <w:rFonts w:eastAsia="Times New Roman" w:cs="Times New Roman"/>
                <w:color w:val="000000"/>
                <w:kern w:val="0"/>
                <w:sz w:val="16"/>
                <w:szCs w:val="16"/>
                <w:lang w:eastAsia="es-CO"/>
                <w14:ligatures w14:val="none"/>
              </w:rPr>
              <w:t>384.588.158.996</w:t>
            </w:r>
          </w:p>
        </w:tc>
      </w:tr>
      <w:tr w:rsidR="005E64D9" w:rsidRPr="00951AB1" w14:paraId="49BD0087" w14:textId="77777777" w:rsidTr="2C9F3575">
        <w:trPr>
          <w:trHeight w:val="375"/>
        </w:trPr>
        <w:tc>
          <w:tcPr>
            <w:tcW w:w="1266" w:type="dxa"/>
            <w:tcBorders>
              <w:top w:val="nil"/>
              <w:left w:val="single" w:sz="8" w:space="0" w:color="D0D0D0"/>
              <w:bottom w:val="single" w:sz="8" w:space="0" w:color="D0D0D0"/>
              <w:right w:val="single" w:sz="8" w:space="0" w:color="D0D0D0"/>
            </w:tcBorders>
            <w:vAlign w:val="center"/>
            <w:hideMark/>
          </w:tcPr>
          <w:p w14:paraId="6F0DC0EF" w14:textId="77777777" w:rsidR="005E64D9" w:rsidRPr="00951AB1" w:rsidRDefault="005E64D9" w:rsidP="000A5389">
            <w:pPr>
              <w:spacing w:line="240" w:lineRule="auto"/>
              <w:rPr>
                <w:rFonts w:eastAsia="Times New Roman" w:cs="Times New Roman"/>
                <w:color w:val="000000"/>
                <w:kern w:val="0"/>
                <w:sz w:val="16"/>
                <w:szCs w:val="16"/>
                <w:lang w:eastAsia="es-CO"/>
                <w14:ligatures w14:val="none"/>
              </w:rPr>
            </w:pPr>
            <w:r w:rsidRPr="00951AB1">
              <w:rPr>
                <w:rFonts w:eastAsia="Times New Roman" w:cs="Times New Roman"/>
                <w:color w:val="000000"/>
                <w:kern w:val="0"/>
                <w:sz w:val="16"/>
                <w:szCs w:val="16"/>
                <w:lang w:eastAsia="es-CO"/>
                <w14:ligatures w14:val="none"/>
              </w:rPr>
              <w:t>Otras cuentas por cobrar de difícil recaudo</w:t>
            </w:r>
          </w:p>
        </w:tc>
        <w:tc>
          <w:tcPr>
            <w:tcW w:w="976" w:type="dxa"/>
            <w:tcBorders>
              <w:top w:val="nil"/>
              <w:left w:val="nil"/>
              <w:bottom w:val="single" w:sz="8" w:space="0" w:color="D0D0D0"/>
              <w:right w:val="single" w:sz="8" w:space="0" w:color="D0D0D0"/>
            </w:tcBorders>
            <w:noWrap/>
            <w:vAlign w:val="center"/>
            <w:hideMark/>
          </w:tcPr>
          <w:p w14:paraId="7DAF931F" w14:textId="77777777" w:rsidR="005E64D9" w:rsidRPr="00951AB1" w:rsidRDefault="005E64D9" w:rsidP="000A5389">
            <w:pPr>
              <w:spacing w:line="240" w:lineRule="auto"/>
              <w:jc w:val="center"/>
              <w:rPr>
                <w:rFonts w:eastAsia="Times New Roman" w:cs="Times New Roman"/>
                <w:color w:val="000000"/>
                <w:kern w:val="0"/>
                <w:sz w:val="16"/>
                <w:szCs w:val="16"/>
                <w:lang w:eastAsia="es-CO"/>
                <w14:ligatures w14:val="none"/>
              </w:rPr>
            </w:pPr>
            <w:r w:rsidRPr="00951AB1">
              <w:rPr>
                <w:rFonts w:eastAsia="Times New Roman" w:cs="Times New Roman"/>
                <w:color w:val="000000"/>
                <w:kern w:val="0"/>
                <w:sz w:val="16"/>
                <w:szCs w:val="16"/>
                <w:lang w:eastAsia="es-CO"/>
                <w14:ligatures w14:val="none"/>
              </w:rPr>
              <w:t>15/12/2015</w:t>
            </w:r>
          </w:p>
        </w:tc>
        <w:tc>
          <w:tcPr>
            <w:tcW w:w="2426" w:type="dxa"/>
            <w:tcBorders>
              <w:top w:val="nil"/>
              <w:left w:val="nil"/>
              <w:bottom w:val="single" w:sz="8" w:space="0" w:color="D0D0D0"/>
              <w:right w:val="single" w:sz="8" w:space="0" w:color="D0D0D0"/>
            </w:tcBorders>
            <w:noWrap/>
            <w:vAlign w:val="center"/>
            <w:hideMark/>
          </w:tcPr>
          <w:p w14:paraId="53AC07AB" w14:textId="166D5A47" w:rsidR="005E64D9" w:rsidRPr="00951AB1" w:rsidRDefault="003D6C30" w:rsidP="000A5389">
            <w:pPr>
              <w:spacing w:line="240" w:lineRule="auto"/>
              <w:rPr>
                <w:rFonts w:eastAsia="Times New Roman" w:cs="Times New Roman"/>
                <w:color w:val="000000"/>
                <w:kern w:val="0"/>
                <w:sz w:val="16"/>
                <w:szCs w:val="16"/>
                <w:lang w:eastAsia="es-CO"/>
                <w14:ligatures w14:val="none"/>
              </w:rPr>
            </w:pPr>
            <w:r w:rsidRPr="00951AB1">
              <w:rPr>
                <w:rFonts w:eastAsia="Times New Roman" w:cs="Times New Roman"/>
                <w:color w:val="000000"/>
                <w:kern w:val="0"/>
                <w:sz w:val="16"/>
                <w:szCs w:val="16"/>
                <w:lang w:eastAsia="es-CO"/>
                <w14:ligatures w14:val="none"/>
              </w:rPr>
              <w:t>Hospital Santa Catalina E.S.E.</w:t>
            </w:r>
          </w:p>
        </w:tc>
        <w:tc>
          <w:tcPr>
            <w:tcW w:w="1276" w:type="dxa"/>
            <w:tcBorders>
              <w:top w:val="nil"/>
              <w:left w:val="nil"/>
              <w:bottom w:val="single" w:sz="8" w:space="0" w:color="D0D0D0"/>
              <w:right w:val="single" w:sz="8" w:space="0" w:color="D0D0D0"/>
            </w:tcBorders>
            <w:noWrap/>
            <w:vAlign w:val="center"/>
            <w:hideMark/>
          </w:tcPr>
          <w:p w14:paraId="09AF0B42" w14:textId="77777777" w:rsidR="005E64D9" w:rsidRPr="00951AB1" w:rsidRDefault="005E64D9" w:rsidP="000A5389">
            <w:pPr>
              <w:spacing w:line="240" w:lineRule="auto"/>
              <w:jc w:val="right"/>
              <w:rPr>
                <w:rFonts w:eastAsia="Times New Roman" w:cs="Times New Roman"/>
                <w:color w:val="000000"/>
                <w:kern w:val="0"/>
                <w:sz w:val="16"/>
                <w:szCs w:val="16"/>
                <w:lang w:eastAsia="es-CO"/>
                <w14:ligatures w14:val="none"/>
              </w:rPr>
            </w:pPr>
            <w:r w:rsidRPr="00951AB1">
              <w:rPr>
                <w:rFonts w:eastAsia="Times New Roman" w:cs="Times New Roman"/>
                <w:color w:val="000000"/>
                <w:kern w:val="0"/>
                <w:sz w:val="16"/>
                <w:szCs w:val="16"/>
                <w:lang w:eastAsia="es-CO"/>
                <w14:ligatures w14:val="none"/>
              </w:rPr>
              <w:t>232.538.162</w:t>
            </w:r>
          </w:p>
        </w:tc>
        <w:tc>
          <w:tcPr>
            <w:tcW w:w="709" w:type="dxa"/>
            <w:tcBorders>
              <w:top w:val="nil"/>
              <w:left w:val="nil"/>
              <w:bottom w:val="single" w:sz="8" w:space="0" w:color="D0D0D0"/>
              <w:right w:val="single" w:sz="8" w:space="0" w:color="D0D0D0"/>
            </w:tcBorders>
            <w:noWrap/>
            <w:vAlign w:val="center"/>
            <w:hideMark/>
          </w:tcPr>
          <w:p w14:paraId="1B4F982E" w14:textId="77777777" w:rsidR="005E64D9" w:rsidRPr="00951AB1" w:rsidRDefault="005E64D9" w:rsidP="000A5389">
            <w:pPr>
              <w:spacing w:line="240" w:lineRule="auto"/>
              <w:jc w:val="right"/>
              <w:rPr>
                <w:rFonts w:eastAsia="Times New Roman" w:cs="Times New Roman"/>
                <w:color w:val="000000"/>
                <w:kern w:val="0"/>
                <w:sz w:val="16"/>
                <w:szCs w:val="16"/>
                <w:lang w:eastAsia="es-CO"/>
                <w14:ligatures w14:val="none"/>
              </w:rPr>
            </w:pPr>
            <w:r w:rsidRPr="00951AB1">
              <w:rPr>
                <w:rFonts w:eastAsia="Times New Roman" w:cs="Times New Roman"/>
                <w:color w:val="000000"/>
                <w:kern w:val="0"/>
                <w:sz w:val="16"/>
                <w:szCs w:val="16"/>
                <w:lang w:eastAsia="es-CO"/>
                <w14:ligatures w14:val="none"/>
              </w:rPr>
              <w:t> </w:t>
            </w:r>
          </w:p>
        </w:tc>
        <w:tc>
          <w:tcPr>
            <w:tcW w:w="1005" w:type="dxa"/>
            <w:tcBorders>
              <w:top w:val="nil"/>
              <w:left w:val="nil"/>
              <w:bottom w:val="single" w:sz="8" w:space="0" w:color="D0D0D0"/>
              <w:right w:val="single" w:sz="8" w:space="0" w:color="D0D0D0"/>
            </w:tcBorders>
            <w:noWrap/>
            <w:vAlign w:val="center"/>
            <w:hideMark/>
          </w:tcPr>
          <w:p w14:paraId="578DCED6" w14:textId="77777777" w:rsidR="005E64D9" w:rsidRPr="00951AB1" w:rsidRDefault="005E64D9" w:rsidP="000A5389">
            <w:pPr>
              <w:spacing w:line="240" w:lineRule="auto"/>
              <w:jc w:val="right"/>
              <w:rPr>
                <w:rFonts w:eastAsia="Times New Roman" w:cs="Times New Roman"/>
                <w:color w:val="000000"/>
                <w:kern w:val="0"/>
                <w:sz w:val="16"/>
                <w:szCs w:val="16"/>
                <w:lang w:eastAsia="es-CO"/>
                <w14:ligatures w14:val="none"/>
              </w:rPr>
            </w:pPr>
            <w:r w:rsidRPr="00951AB1">
              <w:rPr>
                <w:rFonts w:eastAsia="Times New Roman" w:cs="Times New Roman"/>
                <w:color w:val="000000"/>
                <w:kern w:val="0"/>
                <w:sz w:val="16"/>
                <w:szCs w:val="16"/>
                <w:lang w:eastAsia="es-CO"/>
                <w14:ligatures w14:val="none"/>
              </w:rPr>
              <w:t> </w:t>
            </w:r>
          </w:p>
        </w:tc>
        <w:tc>
          <w:tcPr>
            <w:tcW w:w="1275" w:type="dxa"/>
            <w:tcBorders>
              <w:top w:val="nil"/>
              <w:left w:val="nil"/>
              <w:bottom w:val="single" w:sz="8" w:space="0" w:color="D0D0D0"/>
              <w:right w:val="single" w:sz="8" w:space="0" w:color="D0D0D0"/>
            </w:tcBorders>
            <w:noWrap/>
            <w:vAlign w:val="center"/>
            <w:hideMark/>
          </w:tcPr>
          <w:p w14:paraId="7644D56F" w14:textId="77777777" w:rsidR="005E64D9" w:rsidRPr="00951AB1" w:rsidRDefault="005E64D9" w:rsidP="000A5389">
            <w:pPr>
              <w:spacing w:line="240" w:lineRule="auto"/>
              <w:jc w:val="right"/>
              <w:rPr>
                <w:rFonts w:eastAsia="Times New Roman" w:cs="Times New Roman"/>
                <w:color w:val="000000"/>
                <w:kern w:val="0"/>
                <w:sz w:val="16"/>
                <w:szCs w:val="16"/>
                <w:lang w:eastAsia="es-CO"/>
                <w14:ligatures w14:val="none"/>
              </w:rPr>
            </w:pPr>
            <w:r w:rsidRPr="00951AB1">
              <w:rPr>
                <w:rFonts w:eastAsia="Times New Roman" w:cs="Times New Roman"/>
                <w:color w:val="000000"/>
                <w:kern w:val="0"/>
                <w:sz w:val="16"/>
                <w:szCs w:val="16"/>
                <w:lang w:eastAsia="es-CO"/>
                <w14:ligatures w14:val="none"/>
              </w:rPr>
              <w:t>232.538.162</w:t>
            </w:r>
          </w:p>
        </w:tc>
      </w:tr>
      <w:tr w:rsidR="005E64D9" w:rsidRPr="00951AB1" w14:paraId="692B2F39" w14:textId="77777777" w:rsidTr="2C9F3575">
        <w:trPr>
          <w:trHeight w:val="375"/>
        </w:trPr>
        <w:tc>
          <w:tcPr>
            <w:tcW w:w="1266" w:type="dxa"/>
            <w:tcBorders>
              <w:top w:val="nil"/>
              <w:left w:val="single" w:sz="8" w:space="0" w:color="D0D0D0"/>
              <w:bottom w:val="single" w:sz="8" w:space="0" w:color="D0D0D0"/>
              <w:right w:val="single" w:sz="8" w:space="0" w:color="D0D0D0"/>
            </w:tcBorders>
            <w:vAlign w:val="center"/>
            <w:hideMark/>
          </w:tcPr>
          <w:p w14:paraId="72CA28F6" w14:textId="77777777" w:rsidR="005E64D9" w:rsidRPr="00951AB1" w:rsidRDefault="005E64D9" w:rsidP="000A5389">
            <w:pPr>
              <w:spacing w:line="240" w:lineRule="auto"/>
              <w:rPr>
                <w:rFonts w:eastAsia="Times New Roman" w:cs="Times New Roman"/>
                <w:color w:val="000000"/>
                <w:kern w:val="0"/>
                <w:sz w:val="16"/>
                <w:szCs w:val="16"/>
                <w:lang w:eastAsia="es-CO"/>
                <w14:ligatures w14:val="none"/>
              </w:rPr>
            </w:pPr>
            <w:r w:rsidRPr="00951AB1">
              <w:rPr>
                <w:rFonts w:eastAsia="Times New Roman" w:cs="Times New Roman"/>
                <w:color w:val="000000"/>
                <w:kern w:val="0"/>
                <w:sz w:val="16"/>
                <w:szCs w:val="16"/>
                <w:lang w:eastAsia="es-CO"/>
                <w14:ligatures w14:val="none"/>
              </w:rPr>
              <w:t>Otras cuentas por cobrar de difícil recaudo</w:t>
            </w:r>
          </w:p>
        </w:tc>
        <w:tc>
          <w:tcPr>
            <w:tcW w:w="976" w:type="dxa"/>
            <w:tcBorders>
              <w:top w:val="nil"/>
              <w:left w:val="nil"/>
              <w:bottom w:val="single" w:sz="8" w:space="0" w:color="D0D0D0"/>
              <w:right w:val="single" w:sz="8" w:space="0" w:color="D0D0D0"/>
            </w:tcBorders>
            <w:noWrap/>
            <w:vAlign w:val="center"/>
            <w:hideMark/>
          </w:tcPr>
          <w:p w14:paraId="5092511D" w14:textId="77777777" w:rsidR="005E64D9" w:rsidRPr="00951AB1" w:rsidRDefault="005E64D9" w:rsidP="000A5389">
            <w:pPr>
              <w:spacing w:line="240" w:lineRule="auto"/>
              <w:jc w:val="center"/>
              <w:rPr>
                <w:rFonts w:eastAsia="Times New Roman" w:cs="Times New Roman"/>
                <w:color w:val="000000"/>
                <w:kern w:val="0"/>
                <w:sz w:val="16"/>
                <w:szCs w:val="16"/>
                <w:lang w:eastAsia="es-CO"/>
                <w14:ligatures w14:val="none"/>
              </w:rPr>
            </w:pPr>
            <w:r w:rsidRPr="00951AB1">
              <w:rPr>
                <w:rFonts w:eastAsia="Times New Roman" w:cs="Times New Roman"/>
                <w:color w:val="000000"/>
                <w:kern w:val="0"/>
                <w:sz w:val="16"/>
                <w:szCs w:val="16"/>
                <w:lang w:eastAsia="es-CO"/>
                <w14:ligatures w14:val="none"/>
              </w:rPr>
              <w:t>13/05/2020</w:t>
            </w:r>
          </w:p>
        </w:tc>
        <w:tc>
          <w:tcPr>
            <w:tcW w:w="2426" w:type="dxa"/>
            <w:tcBorders>
              <w:top w:val="nil"/>
              <w:left w:val="nil"/>
              <w:bottom w:val="single" w:sz="8" w:space="0" w:color="D0D0D0"/>
              <w:right w:val="single" w:sz="8" w:space="0" w:color="D0D0D0"/>
            </w:tcBorders>
            <w:noWrap/>
            <w:vAlign w:val="center"/>
            <w:hideMark/>
          </w:tcPr>
          <w:p w14:paraId="183EA72B" w14:textId="3EF44995" w:rsidR="005E64D9" w:rsidRPr="00951AB1" w:rsidRDefault="003D6C30" w:rsidP="000A5389">
            <w:pPr>
              <w:spacing w:line="240" w:lineRule="auto"/>
              <w:rPr>
                <w:rFonts w:eastAsia="Times New Roman" w:cs="Times New Roman"/>
                <w:color w:val="000000"/>
                <w:kern w:val="0"/>
                <w:sz w:val="16"/>
                <w:szCs w:val="16"/>
                <w:lang w:eastAsia="es-CO"/>
                <w14:ligatures w14:val="none"/>
              </w:rPr>
            </w:pPr>
            <w:r w:rsidRPr="00951AB1">
              <w:rPr>
                <w:rFonts w:eastAsia="Times New Roman" w:cs="Times New Roman"/>
                <w:color w:val="000000"/>
                <w:kern w:val="0"/>
                <w:sz w:val="16"/>
                <w:szCs w:val="16"/>
                <w:lang w:eastAsia="es-CO"/>
                <w14:ligatures w14:val="none"/>
              </w:rPr>
              <w:t xml:space="preserve">Edgar </w:t>
            </w:r>
            <w:r w:rsidR="003076E2" w:rsidRPr="00951AB1">
              <w:rPr>
                <w:rFonts w:eastAsia="Times New Roman" w:cs="Times New Roman"/>
                <w:color w:val="000000"/>
                <w:kern w:val="0"/>
                <w:sz w:val="16"/>
                <w:szCs w:val="16"/>
                <w:lang w:eastAsia="es-CO"/>
                <w14:ligatures w14:val="none"/>
              </w:rPr>
              <w:t>Chacón</w:t>
            </w:r>
            <w:r w:rsidRPr="00951AB1">
              <w:rPr>
                <w:rFonts w:eastAsia="Times New Roman" w:cs="Times New Roman"/>
                <w:color w:val="000000"/>
                <w:kern w:val="0"/>
                <w:sz w:val="16"/>
                <w:szCs w:val="16"/>
                <w:lang w:eastAsia="es-CO"/>
                <w14:ligatures w14:val="none"/>
              </w:rPr>
              <w:t xml:space="preserve"> Hartmann</w:t>
            </w:r>
          </w:p>
        </w:tc>
        <w:tc>
          <w:tcPr>
            <w:tcW w:w="1276" w:type="dxa"/>
            <w:tcBorders>
              <w:top w:val="nil"/>
              <w:left w:val="nil"/>
              <w:bottom w:val="single" w:sz="8" w:space="0" w:color="D0D0D0"/>
              <w:right w:val="single" w:sz="8" w:space="0" w:color="D0D0D0"/>
            </w:tcBorders>
            <w:noWrap/>
            <w:vAlign w:val="center"/>
            <w:hideMark/>
          </w:tcPr>
          <w:p w14:paraId="369FEA19" w14:textId="77777777" w:rsidR="005E64D9" w:rsidRPr="00951AB1" w:rsidRDefault="005E64D9" w:rsidP="000A5389">
            <w:pPr>
              <w:spacing w:line="240" w:lineRule="auto"/>
              <w:jc w:val="right"/>
              <w:rPr>
                <w:rFonts w:eastAsia="Times New Roman" w:cs="Times New Roman"/>
                <w:color w:val="000000"/>
                <w:kern w:val="0"/>
                <w:sz w:val="16"/>
                <w:szCs w:val="16"/>
                <w:lang w:eastAsia="es-CO"/>
                <w14:ligatures w14:val="none"/>
              </w:rPr>
            </w:pPr>
            <w:r w:rsidRPr="00951AB1">
              <w:rPr>
                <w:rFonts w:eastAsia="Times New Roman" w:cs="Times New Roman"/>
                <w:color w:val="000000"/>
                <w:kern w:val="0"/>
                <w:sz w:val="16"/>
                <w:szCs w:val="16"/>
                <w:lang w:eastAsia="es-CO"/>
                <w14:ligatures w14:val="none"/>
              </w:rPr>
              <w:t>57.016.638</w:t>
            </w:r>
          </w:p>
        </w:tc>
        <w:tc>
          <w:tcPr>
            <w:tcW w:w="709" w:type="dxa"/>
            <w:tcBorders>
              <w:top w:val="nil"/>
              <w:left w:val="nil"/>
              <w:bottom w:val="single" w:sz="8" w:space="0" w:color="D0D0D0"/>
              <w:right w:val="single" w:sz="8" w:space="0" w:color="D0D0D0"/>
            </w:tcBorders>
            <w:noWrap/>
            <w:vAlign w:val="center"/>
            <w:hideMark/>
          </w:tcPr>
          <w:p w14:paraId="2FE493E1" w14:textId="77777777" w:rsidR="005E64D9" w:rsidRPr="00951AB1" w:rsidRDefault="005E64D9" w:rsidP="000A5389">
            <w:pPr>
              <w:spacing w:line="240" w:lineRule="auto"/>
              <w:jc w:val="right"/>
              <w:rPr>
                <w:rFonts w:eastAsia="Times New Roman" w:cs="Times New Roman"/>
                <w:color w:val="000000"/>
                <w:kern w:val="0"/>
                <w:sz w:val="16"/>
                <w:szCs w:val="16"/>
                <w:lang w:eastAsia="es-CO"/>
                <w14:ligatures w14:val="none"/>
              </w:rPr>
            </w:pPr>
            <w:r w:rsidRPr="00951AB1">
              <w:rPr>
                <w:rFonts w:eastAsia="Times New Roman" w:cs="Times New Roman"/>
                <w:color w:val="000000"/>
                <w:kern w:val="0"/>
                <w:sz w:val="16"/>
                <w:szCs w:val="16"/>
                <w:lang w:eastAsia="es-CO"/>
                <w14:ligatures w14:val="none"/>
              </w:rPr>
              <w:t> </w:t>
            </w:r>
          </w:p>
        </w:tc>
        <w:tc>
          <w:tcPr>
            <w:tcW w:w="1005" w:type="dxa"/>
            <w:tcBorders>
              <w:top w:val="nil"/>
              <w:left w:val="nil"/>
              <w:bottom w:val="single" w:sz="8" w:space="0" w:color="D0D0D0"/>
              <w:right w:val="single" w:sz="8" w:space="0" w:color="D0D0D0"/>
            </w:tcBorders>
            <w:noWrap/>
            <w:vAlign w:val="center"/>
            <w:hideMark/>
          </w:tcPr>
          <w:p w14:paraId="6F09ED8F" w14:textId="77777777" w:rsidR="005E64D9" w:rsidRPr="00951AB1" w:rsidRDefault="005E64D9" w:rsidP="000A5389">
            <w:pPr>
              <w:spacing w:line="240" w:lineRule="auto"/>
              <w:jc w:val="right"/>
              <w:rPr>
                <w:rFonts w:eastAsia="Times New Roman" w:cs="Times New Roman"/>
                <w:color w:val="000000"/>
                <w:kern w:val="0"/>
                <w:sz w:val="16"/>
                <w:szCs w:val="16"/>
                <w:lang w:eastAsia="es-CO"/>
                <w14:ligatures w14:val="none"/>
              </w:rPr>
            </w:pPr>
            <w:r w:rsidRPr="00951AB1">
              <w:rPr>
                <w:rFonts w:eastAsia="Times New Roman" w:cs="Times New Roman"/>
                <w:color w:val="000000"/>
                <w:kern w:val="0"/>
                <w:sz w:val="16"/>
                <w:szCs w:val="16"/>
                <w:lang w:eastAsia="es-CO"/>
                <w14:ligatures w14:val="none"/>
              </w:rPr>
              <w:t> </w:t>
            </w:r>
          </w:p>
        </w:tc>
        <w:tc>
          <w:tcPr>
            <w:tcW w:w="1275" w:type="dxa"/>
            <w:tcBorders>
              <w:top w:val="nil"/>
              <w:left w:val="nil"/>
              <w:bottom w:val="single" w:sz="8" w:space="0" w:color="D0D0D0"/>
              <w:right w:val="single" w:sz="8" w:space="0" w:color="D0D0D0"/>
            </w:tcBorders>
            <w:noWrap/>
            <w:vAlign w:val="center"/>
            <w:hideMark/>
          </w:tcPr>
          <w:p w14:paraId="6AEB8A72" w14:textId="77777777" w:rsidR="005E64D9" w:rsidRPr="00951AB1" w:rsidRDefault="005E64D9" w:rsidP="000A5389">
            <w:pPr>
              <w:spacing w:line="240" w:lineRule="auto"/>
              <w:jc w:val="right"/>
              <w:rPr>
                <w:rFonts w:eastAsia="Times New Roman" w:cs="Times New Roman"/>
                <w:color w:val="000000"/>
                <w:kern w:val="0"/>
                <w:sz w:val="16"/>
                <w:szCs w:val="16"/>
                <w:lang w:eastAsia="es-CO"/>
                <w14:ligatures w14:val="none"/>
              </w:rPr>
            </w:pPr>
            <w:r w:rsidRPr="00951AB1">
              <w:rPr>
                <w:rFonts w:eastAsia="Times New Roman" w:cs="Times New Roman"/>
                <w:color w:val="000000"/>
                <w:kern w:val="0"/>
                <w:sz w:val="16"/>
                <w:szCs w:val="16"/>
                <w:lang w:eastAsia="es-CO"/>
                <w14:ligatures w14:val="none"/>
              </w:rPr>
              <w:t>57.016.638</w:t>
            </w:r>
          </w:p>
        </w:tc>
      </w:tr>
      <w:tr w:rsidR="005E64D9" w:rsidRPr="00951AB1" w14:paraId="237F325C" w14:textId="77777777" w:rsidTr="2C9F3575">
        <w:trPr>
          <w:trHeight w:val="375"/>
        </w:trPr>
        <w:tc>
          <w:tcPr>
            <w:tcW w:w="1266" w:type="dxa"/>
            <w:tcBorders>
              <w:top w:val="nil"/>
              <w:left w:val="single" w:sz="8" w:space="0" w:color="D0D0D0"/>
              <w:bottom w:val="single" w:sz="8" w:space="0" w:color="D0D0D0"/>
              <w:right w:val="single" w:sz="8" w:space="0" w:color="D0D0D0"/>
            </w:tcBorders>
            <w:vAlign w:val="center"/>
            <w:hideMark/>
          </w:tcPr>
          <w:p w14:paraId="38BF88A1" w14:textId="77777777" w:rsidR="005E64D9" w:rsidRPr="00951AB1" w:rsidRDefault="005E64D9" w:rsidP="000A5389">
            <w:pPr>
              <w:spacing w:line="240" w:lineRule="auto"/>
              <w:rPr>
                <w:rFonts w:eastAsia="Times New Roman" w:cs="Times New Roman"/>
                <w:color w:val="000000"/>
                <w:kern w:val="0"/>
                <w:sz w:val="16"/>
                <w:szCs w:val="16"/>
                <w:lang w:eastAsia="es-CO"/>
                <w14:ligatures w14:val="none"/>
              </w:rPr>
            </w:pPr>
            <w:r w:rsidRPr="00951AB1">
              <w:rPr>
                <w:rFonts w:eastAsia="Times New Roman" w:cs="Times New Roman"/>
                <w:color w:val="000000"/>
                <w:kern w:val="0"/>
                <w:sz w:val="16"/>
                <w:szCs w:val="16"/>
                <w:lang w:eastAsia="es-CO"/>
                <w14:ligatures w14:val="none"/>
              </w:rPr>
              <w:t>Otras cuentas por cobrar de difícil recaudo</w:t>
            </w:r>
          </w:p>
        </w:tc>
        <w:tc>
          <w:tcPr>
            <w:tcW w:w="976" w:type="dxa"/>
            <w:tcBorders>
              <w:top w:val="nil"/>
              <w:left w:val="nil"/>
              <w:bottom w:val="single" w:sz="8" w:space="0" w:color="D0D0D0"/>
              <w:right w:val="single" w:sz="8" w:space="0" w:color="D0D0D0"/>
            </w:tcBorders>
            <w:noWrap/>
            <w:vAlign w:val="center"/>
            <w:hideMark/>
          </w:tcPr>
          <w:p w14:paraId="26E96A0C" w14:textId="77777777" w:rsidR="005E64D9" w:rsidRPr="00951AB1" w:rsidRDefault="005E64D9" w:rsidP="000A5389">
            <w:pPr>
              <w:spacing w:line="240" w:lineRule="auto"/>
              <w:jc w:val="center"/>
              <w:rPr>
                <w:rFonts w:eastAsia="Times New Roman" w:cs="Times New Roman"/>
                <w:color w:val="000000"/>
                <w:kern w:val="0"/>
                <w:sz w:val="16"/>
                <w:szCs w:val="16"/>
                <w:lang w:eastAsia="es-CO"/>
                <w14:ligatures w14:val="none"/>
              </w:rPr>
            </w:pPr>
            <w:r w:rsidRPr="00951AB1">
              <w:rPr>
                <w:rFonts w:eastAsia="Times New Roman" w:cs="Times New Roman"/>
                <w:color w:val="000000"/>
                <w:kern w:val="0"/>
                <w:sz w:val="16"/>
                <w:szCs w:val="16"/>
                <w:lang w:eastAsia="es-CO"/>
                <w14:ligatures w14:val="none"/>
              </w:rPr>
              <w:t>31/07/2021</w:t>
            </w:r>
          </w:p>
        </w:tc>
        <w:tc>
          <w:tcPr>
            <w:tcW w:w="2426" w:type="dxa"/>
            <w:tcBorders>
              <w:top w:val="nil"/>
              <w:left w:val="nil"/>
              <w:bottom w:val="single" w:sz="8" w:space="0" w:color="D0D0D0"/>
              <w:right w:val="single" w:sz="8" w:space="0" w:color="D0D0D0"/>
            </w:tcBorders>
            <w:noWrap/>
            <w:vAlign w:val="center"/>
            <w:hideMark/>
          </w:tcPr>
          <w:p w14:paraId="639614DD" w14:textId="4F59C0BB" w:rsidR="005E64D9" w:rsidRPr="00951AB1" w:rsidRDefault="003D6C30" w:rsidP="000A5389">
            <w:pPr>
              <w:spacing w:line="240" w:lineRule="auto"/>
              <w:rPr>
                <w:rFonts w:eastAsia="Times New Roman" w:cs="Times New Roman"/>
                <w:color w:val="000000"/>
                <w:kern w:val="0"/>
                <w:sz w:val="16"/>
                <w:szCs w:val="16"/>
                <w:lang w:eastAsia="es-CO"/>
                <w14:ligatures w14:val="none"/>
              </w:rPr>
            </w:pPr>
            <w:r w:rsidRPr="00951AB1">
              <w:rPr>
                <w:rFonts w:eastAsia="Times New Roman" w:cs="Times New Roman"/>
                <w:color w:val="000000"/>
                <w:kern w:val="0"/>
                <w:sz w:val="16"/>
                <w:szCs w:val="16"/>
                <w:lang w:eastAsia="es-CO"/>
                <w14:ligatures w14:val="none"/>
              </w:rPr>
              <w:t>Ivonne De La Caridad Prada Medina</w:t>
            </w:r>
          </w:p>
        </w:tc>
        <w:tc>
          <w:tcPr>
            <w:tcW w:w="1276" w:type="dxa"/>
            <w:tcBorders>
              <w:top w:val="nil"/>
              <w:left w:val="nil"/>
              <w:bottom w:val="single" w:sz="8" w:space="0" w:color="D0D0D0"/>
              <w:right w:val="single" w:sz="8" w:space="0" w:color="D0D0D0"/>
            </w:tcBorders>
            <w:noWrap/>
            <w:vAlign w:val="center"/>
            <w:hideMark/>
          </w:tcPr>
          <w:p w14:paraId="0FAB5F92" w14:textId="77777777" w:rsidR="005E64D9" w:rsidRPr="00951AB1" w:rsidRDefault="005E64D9" w:rsidP="000A5389">
            <w:pPr>
              <w:spacing w:line="240" w:lineRule="auto"/>
              <w:jc w:val="right"/>
              <w:rPr>
                <w:rFonts w:eastAsia="Times New Roman" w:cs="Times New Roman"/>
                <w:color w:val="000000"/>
                <w:kern w:val="0"/>
                <w:sz w:val="16"/>
                <w:szCs w:val="16"/>
                <w:lang w:eastAsia="es-CO"/>
                <w14:ligatures w14:val="none"/>
              </w:rPr>
            </w:pPr>
            <w:r w:rsidRPr="00951AB1">
              <w:rPr>
                <w:rFonts w:eastAsia="Times New Roman" w:cs="Times New Roman"/>
                <w:color w:val="000000"/>
                <w:kern w:val="0"/>
                <w:sz w:val="16"/>
                <w:szCs w:val="16"/>
                <w:lang w:eastAsia="es-CO"/>
                <w14:ligatures w14:val="none"/>
              </w:rPr>
              <w:t>32.797.248</w:t>
            </w:r>
          </w:p>
        </w:tc>
        <w:tc>
          <w:tcPr>
            <w:tcW w:w="709" w:type="dxa"/>
            <w:tcBorders>
              <w:top w:val="nil"/>
              <w:left w:val="nil"/>
              <w:bottom w:val="single" w:sz="8" w:space="0" w:color="D0D0D0"/>
              <w:right w:val="single" w:sz="8" w:space="0" w:color="D0D0D0"/>
            </w:tcBorders>
            <w:noWrap/>
            <w:vAlign w:val="center"/>
            <w:hideMark/>
          </w:tcPr>
          <w:p w14:paraId="3C7E0C20" w14:textId="77777777" w:rsidR="005E64D9" w:rsidRPr="00951AB1" w:rsidRDefault="005E64D9" w:rsidP="000A5389">
            <w:pPr>
              <w:spacing w:line="240" w:lineRule="auto"/>
              <w:jc w:val="right"/>
              <w:rPr>
                <w:rFonts w:eastAsia="Times New Roman" w:cs="Times New Roman"/>
                <w:color w:val="000000"/>
                <w:kern w:val="0"/>
                <w:sz w:val="16"/>
                <w:szCs w:val="16"/>
                <w:lang w:eastAsia="es-CO"/>
                <w14:ligatures w14:val="none"/>
              </w:rPr>
            </w:pPr>
            <w:r w:rsidRPr="00951AB1">
              <w:rPr>
                <w:rFonts w:eastAsia="Times New Roman" w:cs="Times New Roman"/>
                <w:color w:val="000000"/>
                <w:kern w:val="0"/>
                <w:sz w:val="16"/>
                <w:szCs w:val="16"/>
                <w:lang w:eastAsia="es-CO"/>
                <w14:ligatures w14:val="none"/>
              </w:rPr>
              <w:t> </w:t>
            </w:r>
          </w:p>
        </w:tc>
        <w:tc>
          <w:tcPr>
            <w:tcW w:w="1005" w:type="dxa"/>
            <w:tcBorders>
              <w:top w:val="nil"/>
              <w:left w:val="nil"/>
              <w:bottom w:val="single" w:sz="8" w:space="0" w:color="D0D0D0"/>
              <w:right w:val="single" w:sz="8" w:space="0" w:color="D0D0D0"/>
            </w:tcBorders>
            <w:noWrap/>
            <w:vAlign w:val="center"/>
            <w:hideMark/>
          </w:tcPr>
          <w:p w14:paraId="4AA40848" w14:textId="77777777" w:rsidR="005E64D9" w:rsidRPr="00951AB1" w:rsidRDefault="005E64D9" w:rsidP="000A5389">
            <w:pPr>
              <w:spacing w:line="240" w:lineRule="auto"/>
              <w:jc w:val="right"/>
              <w:rPr>
                <w:rFonts w:eastAsia="Times New Roman" w:cs="Times New Roman"/>
                <w:color w:val="000000"/>
                <w:kern w:val="0"/>
                <w:sz w:val="16"/>
                <w:szCs w:val="16"/>
                <w:lang w:eastAsia="es-CO"/>
                <w14:ligatures w14:val="none"/>
              </w:rPr>
            </w:pPr>
            <w:r w:rsidRPr="00951AB1">
              <w:rPr>
                <w:rFonts w:eastAsia="Times New Roman" w:cs="Times New Roman"/>
                <w:color w:val="000000"/>
                <w:kern w:val="0"/>
                <w:sz w:val="16"/>
                <w:szCs w:val="16"/>
                <w:lang w:eastAsia="es-CO"/>
                <w14:ligatures w14:val="none"/>
              </w:rPr>
              <w:t> </w:t>
            </w:r>
          </w:p>
        </w:tc>
        <w:tc>
          <w:tcPr>
            <w:tcW w:w="1275" w:type="dxa"/>
            <w:tcBorders>
              <w:top w:val="nil"/>
              <w:left w:val="nil"/>
              <w:bottom w:val="single" w:sz="8" w:space="0" w:color="D0D0D0"/>
              <w:right w:val="single" w:sz="8" w:space="0" w:color="D0D0D0"/>
            </w:tcBorders>
            <w:noWrap/>
            <w:vAlign w:val="center"/>
            <w:hideMark/>
          </w:tcPr>
          <w:p w14:paraId="11DE9823" w14:textId="77777777" w:rsidR="005E64D9" w:rsidRPr="00951AB1" w:rsidRDefault="005E64D9" w:rsidP="000A5389">
            <w:pPr>
              <w:spacing w:line="240" w:lineRule="auto"/>
              <w:jc w:val="right"/>
              <w:rPr>
                <w:rFonts w:eastAsia="Times New Roman" w:cs="Times New Roman"/>
                <w:color w:val="000000"/>
                <w:kern w:val="0"/>
                <w:sz w:val="16"/>
                <w:szCs w:val="16"/>
                <w:lang w:eastAsia="es-CO"/>
                <w14:ligatures w14:val="none"/>
              </w:rPr>
            </w:pPr>
            <w:r w:rsidRPr="00951AB1">
              <w:rPr>
                <w:rFonts w:eastAsia="Times New Roman" w:cs="Times New Roman"/>
                <w:color w:val="000000"/>
                <w:kern w:val="0"/>
                <w:sz w:val="16"/>
                <w:szCs w:val="16"/>
                <w:lang w:eastAsia="es-CO"/>
                <w14:ligatures w14:val="none"/>
              </w:rPr>
              <w:t>32.797.248</w:t>
            </w:r>
          </w:p>
        </w:tc>
      </w:tr>
    </w:tbl>
    <w:p w14:paraId="61BBBD60" w14:textId="77777777" w:rsidR="005E64D9" w:rsidRPr="00951AB1" w:rsidRDefault="005E64D9" w:rsidP="000A5389">
      <w:pPr>
        <w:spacing w:line="240" w:lineRule="auto"/>
        <w:rPr>
          <w:rFonts w:cs="Times New Roman"/>
        </w:rPr>
      </w:pPr>
      <w:r w:rsidRPr="00951AB1">
        <w:rPr>
          <w:rFonts w:cs="Times New Roman"/>
          <w:sz w:val="14"/>
          <w:szCs w:val="14"/>
        </w:rPr>
        <w:t>Cifras expresadas en pesos</w:t>
      </w:r>
    </w:p>
    <w:p w14:paraId="7A5CF06D" w14:textId="77777777" w:rsidR="005E64D9" w:rsidRPr="00951AB1" w:rsidRDefault="005E64D9" w:rsidP="000A5389">
      <w:pPr>
        <w:spacing w:line="240" w:lineRule="auto"/>
        <w:rPr>
          <w:rFonts w:cs="Times New Roman"/>
          <w:szCs w:val="24"/>
          <w:lang w:bidi="es-ES"/>
        </w:rPr>
      </w:pPr>
    </w:p>
    <w:p w14:paraId="5A807CA8" w14:textId="78F5D57D" w:rsidR="005E64D9" w:rsidRDefault="005E64D9" w:rsidP="000A5389">
      <w:pPr>
        <w:spacing w:line="240" w:lineRule="auto"/>
        <w:rPr>
          <w:rFonts w:cs="Times New Roman"/>
          <w:szCs w:val="24"/>
          <w:lang w:bidi="es-ES"/>
        </w:rPr>
      </w:pPr>
      <w:r w:rsidRPr="00951AB1">
        <w:rPr>
          <w:rFonts w:cs="Times New Roman"/>
          <w:szCs w:val="24"/>
          <w:lang w:bidi="es-ES"/>
        </w:rPr>
        <w:t>Los factores considerados para determinar el deterioro: Para el caso de la subcuenta otras cuentas por cobrar de difícil recaudo los factores considerados corresponden a los establecidos en el “</w:t>
      </w:r>
      <w:r w:rsidRPr="00951AB1">
        <w:rPr>
          <w:rFonts w:cs="Times New Roman"/>
          <w:i/>
          <w:iCs/>
          <w:szCs w:val="24"/>
          <w:lang w:bidi="es-ES"/>
        </w:rPr>
        <w:t xml:space="preserve">test” </w:t>
      </w:r>
      <w:r w:rsidRPr="00951AB1">
        <w:rPr>
          <w:rFonts w:cs="Times New Roman"/>
          <w:szCs w:val="24"/>
          <w:lang w:bidi="es-ES"/>
        </w:rPr>
        <w:t>como riesgo externo</w:t>
      </w:r>
      <w:r w:rsidRPr="00951AB1">
        <w:rPr>
          <w:rFonts w:cs="Times New Roman"/>
          <w:i/>
          <w:iCs/>
          <w:szCs w:val="24"/>
          <w:lang w:bidi="es-ES"/>
        </w:rPr>
        <w:t>,</w:t>
      </w:r>
      <w:r w:rsidRPr="00951AB1">
        <w:rPr>
          <w:rFonts w:cs="Times New Roman"/>
          <w:szCs w:val="24"/>
          <w:lang w:bidi="es-ES"/>
        </w:rPr>
        <w:t xml:space="preserve"> adicionalmente los deudores Edgar Chacón, </w:t>
      </w:r>
      <w:r w:rsidR="00DB2570" w:rsidRPr="00951AB1">
        <w:rPr>
          <w:rFonts w:cs="Times New Roman"/>
          <w:szCs w:val="24"/>
          <w:lang w:bidi="es-ES"/>
        </w:rPr>
        <w:t>José</w:t>
      </w:r>
      <w:r w:rsidRPr="00951AB1">
        <w:rPr>
          <w:rFonts w:cs="Times New Roman"/>
          <w:szCs w:val="24"/>
          <w:lang w:bidi="es-ES"/>
        </w:rPr>
        <w:t xml:space="preserve"> </w:t>
      </w:r>
      <w:r w:rsidR="00DB2570" w:rsidRPr="00951AB1">
        <w:rPr>
          <w:rFonts w:cs="Times New Roman"/>
          <w:szCs w:val="24"/>
          <w:lang w:bidi="es-ES"/>
        </w:rPr>
        <w:t>María</w:t>
      </w:r>
      <w:r w:rsidRPr="00951AB1">
        <w:rPr>
          <w:rFonts w:cs="Times New Roman"/>
          <w:szCs w:val="24"/>
          <w:lang w:bidi="es-ES"/>
        </w:rPr>
        <w:t xml:space="preserve"> </w:t>
      </w:r>
      <w:r w:rsidR="00DB2570" w:rsidRPr="00951AB1">
        <w:rPr>
          <w:rFonts w:cs="Times New Roman"/>
          <w:szCs w:val="24"/>
          <w:lang w:bidi="es-ES"/>
        </w:rPr>
        <w:t>Hernández</w:t>
      </w:r>
      <w:r w:rsidRPr="00951AB1">
        <w:rPr>
          <w:rFonts w:cs="Times New Roman"/>
          <w:szCs w:val="24"/>
          <w:lang w:bidi="es-ES"/>
        </w:rPr>
        <w:t xml:space="preserve"> Solarte, Ivonne Prada y Concesión Autopista Bogotá Girardot, se encuentran en proceso de la verificación del título ejecutivo y, dada la antigüedad y la falta de localización de los obligados, se catalogan como deudas de difícil cobro, factores particulares que conllevaron a realizar el deterioro.</w:t>
      </w:r>
    </w:p>
    <w:p w14:paraId="6EC400FA" w14:textId="77777777" w:rsidR="003076E2" w:rsidRPr="00951AB1" w:rsidRDefault="003076E2" w:rsidP="000A5389">
      <w:pPr>
        <w:spacing w:line="240" w:lineRule="auto"/>
        <w:rPr>
          <w:rFonts w:cs="Times New Roman"/>
          <w:szCs w:val="24"/>
          <w:lang w:bidi="es-ES"/>
        </w:rPr>
      </w:pPr>
    </w:p>
    <w:p w14:paraId="0EED5D0B" w14:textId="77777777" w:rsidR="005E64D9" w:rsidRPr="00951AB1" w:rsidRDefault="005E64D9" w:rsidP="000A5389">
      <w:pPr>
        <w:spacing w:line="240" w:lineRule="auto"/>
        <w:rPr>
          <w:rFonts w:cs="Times New Roman"/>
          <w:szCs w:val="24"/>
          <w:lang w:bidi="es-ES"/>
        </w:rPr>
      </w:pPr>
      <w:r w:rsidRPr="00951AB1">
        <w:rPr>
          <w:rFonts w:cs="Times New Roman"/>
          <w:szCs w:val="24"/>
          <w:lang w:bidi="es-ES"/>
        </w:rPr>
        <w:t>Para aplicar el deterioro a los deudores Concesionaria Vial De Los Andes S.A. Coviandes S.A, Sociedad Portuaria de la Península - Pensoport S.A y Diego Bustos, los factores considerados corresponden a los establecidos en el “</w:t>
      </w:r>
      <w:r w:rsidRPr="00951AB1">
        <w:rPr>
          <w:rFonts w:cs="Times New Roman"/>
          <w:i/>
          <w:iCs/>
          <w:szCs w:val="24"/>
          <w:lang w:bidi="es-ES"/>
        </w:rPr>
        <w:t xml:space="preserve">test” </w:t>
      </w:r>
      <w:r w:rsidRPr="00951AB1">
        <w:rPr>
          <w:rFonts w:cs="Times New Roman"/>
          <w:szCs w:val="24"/>
          <w:lang w:bidi="es-ES"/>
        </w:rPr>
        <w:t>como riesgo externo</w:t>
      </w:r>
      <w:r w:rsidRPr="00951AB1">
        <w:rPr>
          <w:rFonts w:cs="Times New Roman"/>
          <w:i/>
          <w:iCs/>
          <w:szCs w:val="24"/>
          <w:lang w:bidi="es-ES"/>
        </w:rPr>
        <w:t>,</w:t>
      </w:r>
      <w:r w:rsidRPr="00951AB1">
        <w:rPr>
          <w:rFonts w:cs="Times New Roman"/>
          <w:szCs w:val="24"/>
          <w:lang w:bidi="es-ES"/>
        </w:rPr>
        <w:t xml:space="preserve"> así como los siguientes factores individuales:  </w:t>
      </w:r>
    </w:p>
    <w:p w14:paraId="431731C2" w14:textId="77777777" w:rsidR="005E64D9" w:rsidRPr="00951AB1" w:rsidRDefault="005E64D9" w:rsidP="000A5389">
      <w:pPr>
        <w:spacing w:line="240" w:lineRule="auto"/>
        <w:rPr>
          <w:rFonts w:cs="Times New Roman"/>
          <w:szCs w:val="24"/>
          <w:lang w:bidi="es-ES"/>
        </w:rPr>
      </w:pPr>
    </w:p>
    <w:p w14:paraId="6BDCB33E" w14:textId="77777777" w:rsidR="005E64D9" w:rsidRPr="00951AB1" w:rsidRDefault="005E64D9" w:rsidP="000A5389">
      <w:pPr>
        <w:spacing w:line="240" w:lineRule="auto"/>
        <w:rPr>
          <w:rFonts w:cs="Times New Roman"/>
          <w:szCs w:val="24"/>
          <w:lang w:bidi="es-ES"/>
        </w:rPr>
      </w:pPr>
      <w:r w:rsidRPr="00951AB1">
        <w:rPr>
          <w:rFonts w:cs="Times New Roman"/>
          <w:szCs w:val="24"/>
          <w:lang w:bidi="es-ES"/>
        </w:rPr>
        <w:t>Para Coviandes: se tuvo en cuenta además de los factores de riesgo externo la siguiente información relevante:</w:t>
      </w:r>
    </w:p>
    <w:p w14:paraId="0CD55494" w14:textId="77777777" w:rsidR="005E64D9" w:rsidRPr="00951AB1" w:rsidRDefault="005E64D9" w:rsidP="000A5389">
      <w:pPr>
        <w:spacing w:line="240" w:lineRule="auto"/>
        <w:rPr>
          <w:rFonts w:cs="Times New Roman"/>
          <w:szCs w:val="24"/>
          <w:lang w:bidi="es-ES"/>
        </w:rPr>
      </w:pPr>
    </w:p>
    <w:p w14:paraId="6F1A5966" w14:textId="77777777" w:rsidR="005E64D9" w:rsidRPr="00951AB1" w:rsidRDefault="005E64D9" w:rsidP="000A5389">
      <w:pPr>
        <w:pStyle w:val="Prrafodelista"/>
        <w:spacing w:line="240" w:lineRule="auto"/>
        <w:ind w:left="142" w:right="190"/>
        <w:rPr>
          <w:rFonts w:cs="Times New Roman"/>
          <w:i/>
          <w:lang w:bidi="es-ES"/>
        </w:rPr>
      </w:pPr>
      <w:r w:rsidRPr="00951AB1">
        <w:rPr>
          <w:rFonts w:cs="Times New Roman"/>
          <w:i/>
          <w:lang w:bidi="es-ES"/>
        </w:rPr>
        <w:t>“Tiene demanda por parte de la aseguradora y Coviandes se encuentra como litisconsorte necesario. expediente 250002336000202X0025200, medio de control acción contractual. el 10 de noviembre de 202X se radicó la contestación de la demanda por parte de la ANI. se encuentra en tribunal de arbitramento no. 128517, convocado por Coviandes para la nulidad de las resoluciones que constituyen título ejecutivo. estado actual: continuación audiencia primera de trámite - decreto de pruebas / partes suspenden de común acuerdo proceso desde el 25 de enero a 14 de febrero de 2023”</w:t>
      </w:r>
    </w:p>
    <w:p w14:paraId="3E1975D4" w14:textId="77777777" w:rsidR="005E64D9" w:rsidRPr="00951AB1" w:rsidRDefault="005E64D9" w:rsidP="000A5389">
      <w:pPr>
        <w:spacing w:line="240" w:lineRule="auto"/>
        <w:rPr>
          <w:rFonts w:cs="Times New Roman"/>
          <w:szCs w:val="24"/>
          <w:lang w:bidi="es-ES"/>
        </w:rPr>
      </w:pPr>
      <w:r w:rsidRPr="00951AB1">
        <w:rPr>
          <w:rFonts w:cs="Times New Roman"/>
          <w:szCs w:val="24"/>
          <w:lang w:bidi="es-ES"/>
        </w:rPr>
        <w:t>Para Diego Bustos: el proceso se encuentra en verificación de título ejecutivo y la antigüedad de la obligación.</w:t>
      </w:r>
    </w:p>
    <w:p w14:paraId="7317FC03" w14:textId="77777777" w:rsidR="005E64D9" w:rsidRPr="00951AB1" w:rsidRDefault="005E64D9" w:rsidP="000A5389">
      <w:pPr>
        <w:spacing w:line="240" w:lineRule="auto"/>
        <w:rPr>
          <w:rFonts w:cs="Times New Roman"/>
          <w:szCs w:val="24"/>
          <w:lang w:bidi="es-ES"/>
        </w:rPr>
      </w:pPr>
      <w:r w:rsidRPr="00951AB1">
        <w:rPr>
          <w:rFonts w:cs="Times New Roman"/>
          <w:szCs w:val="24"/>
          <w:lang w:bidi="es-ES"/>
        </w:rPr>
        <w:t xml:space="preserve">Para la sociedad Portuaria de la Península - Pensoport S.A: se mantuvo la información relevante informada por Defensa Judicial: </w:t>
      </w:r>
    </w:p>
    <w:p w14:paraId="7A2BEC42" w14:textId="77777777" w:rsidR="005E64D9" w:rsidRPr="00951AB1" w:rsidRDefault="005E64D9" w:rsidP="000A5389">
      <w:pPr>
        <w:spacing w:line="240" w:lineRule="auto"/>
        <w:rPr>
          <w:rFonts w:cs="Times New Roman"/>
          <w:lang w:bidi="es-ES"/>
        </w:rPr>
      </w:pPr>
    </w:p>
    <w:p w14:paraId="021392D9" w14:textId="77777777" w:rsidR="005E64D9" w:rsidRPr="00951AB1" w:rsidRDefault="005E64D9" w:rsidP="000A5389">
      <w:pPr>
        <w:spacing w:line="240" w:lineRule="auto"/>
        <w:ind w:left="284" w:right="190"/>
        <w:rPr>
          <w:rFonts w:cs="Times New Roman"/>
          <w:i/>
          <w:lang w:bidi="es-ES"/>
        </w:rPr>
      </w:pPr>
      <w:r w:rsidRPr="00951AB1">
        <w:rPr>
          <w:rFonts w:cs="Times New Roman"/>
          <w:lang w:bidi="es-ES"/>
        </w:rPr>
        <w:t>“</w:t>
      </w:r>
      <w:r w:rsidRPr="00951AB1">
        <w:rPr>
          <w:rFonts w:cs="Times New Roman"/>
          <w:i/>
          <w:lang w:bidi="es-ES"/>
        </w:rPr>
        <w:t>El GIT de Defensa Judicial ante el incumplimiento del acuerdo de pago le envío a la sociedad portuaria deudora requerimiento de pago, hasta el día de hoy no se ha obtenido respuesta alguna.</w:t>
      </w:r>
    </w:p>
    <w:p w14:paraId="43F52D7A" w14:textId="77777777" w:rsidR="005E64D9" w:rsidRPr="00951AB1" w:rsidRDefault="005E64D9" w:rsidP="000A5389">
      <w:pPr>
        <w:spacing w:line="240" w:lineRule="auto"/>
        <w:ind w:left="284" w:right="190"/>
        <w:rPr>
          <w:rFonts w:cs="Times New Roman"/>
          <w:i/>
          <w:lang w:bidi="es-ES"/>
        </w:rPr>
      </w:pPr>
    </w:p>
    <w:p w14:paraId="2FDE8654" w14:textId="77777777" w:rsidR="005E64D9" w:rsidRPr="00951AB1" w:rsidRDefault="005E64D9" w:rsidP="000A5389">
      <w:pPr>
        <w:spacing w:line="240" w:lineRule="auto"/>
        <w:ind w:left="284" w:right="190"/>
        <w:rPr>
          <w:rFonts w:cs="Times New Roman"/>
          <w:i/>
          <w:lang w:bidi="es-ES"/>
        </w:rPr>
      </w:pPr>
      <w:r w:rsidRPr="00951AB1">
        <w:rPr>
          <w:rFonts w:cs="Times New Roman"/>
          <w:i/>
          <w:lang w:bidi="es-ES"/>
        </w:rPr>
        <w:t xml:space="preserve">Culminada la etapa persuasiva, sin que la deudora haya efectuado el pago, se inició la etapa de investigación de bienes, de conformidad con lo previsto en el artículo 825-1 del Estatuto Tributario, “(…) Dentro del procedimiento administrativo de cobro los funcionarios de cobranzas, para efectos de la investigación de bienes, tienen las mismas facultades de investigación que los funcionarios de fiscalización. (…)” Hoy se establece que la sociedad portuaria deudora carece de bienes muebles e inmuebles para embargar. </w:t>
      </w:r>
    </w:p>
    <w:p w14:paraId="06D4094E" w14:textId="77777777" w:rsidR="005E64D9" w:rsidRPr="00951AB1" w:rsidRDefault="005E64D9" w:rsidP="000A5389">
      <w:pPr>
        <w:spacing w:line="240" w:lineRule="auto"/>
        <w:ind w:left="284" w:right="190"/>
        <w:rPr>
          <w:rFonts w:cs="Times New Roman"/>
          <w:i/>
          <w:lang w:bidi="es-ES"/>
        </w:rPr>
      </w:pPr>
    </w:p>
    <w:p w14:paraId="0F759F13" w14:textId="77777777" w:rsidR="005E64D9" w:rsidRPr="00951AB1" w:rsidRDefault="005E64D9" w:rsidP="000A5389">
      <w:pPr>
        <w:spacing w:line="240" w:lineRule="auto"/>
        <w:ind w:left="284" w:right="190"/>
        <w:rPr>
          <w:rFonts w:cs="Times New Roman"/>
          <w:i/>
          <w:lang w:bidi="es-ES"/>
        </w:rPr>
      </w:pPr>
      <w:r w:rsidRPr="00951AB1">
        <w:rPr>
          <w:rFonts w:cs="Times New Roman"/>
          <w:i/>
          <w:lang w:bidi="es-ES"/>
        </w:rPr>
        <w:t xml:space="preserve">Luego, se aplicará la cláusula aceleratoria establecida en el acuerdo de pago suscrito y así dar inició formalmente la etapa de cobro coactivo, a efectos de obtener el recaudo </w:t>
      </w:r>
      <w:r w:rsidRPr="00951AB1">
        <w:rPr>
          <w:rFonts w:cs="Times New Roman"/>
          <w:i/>
          <w:lang w:bidi="es-ES"/>
        </w:rPr>
        <w:lastRenderedPageBreak/>
        <w:t>del total adeudado. A la fecha el título ejecutivo base de recaudo es exigible, por lo cual existe mérito para dar curso a la ejecución del título base de cobro.</w:t>
      </w:r>
    </w:p>
    <w:p w14:paraId="2E64560C" w14:textId="77777777" w:rsidR="005E64D9" w:rsidRPr="00951AB1" w:rsidRDefault="005E64D9" w:rsidP="000A5389">
      <w:pPr>
        <w:spacing w:line="240" w:lineRule="auto"/>
        <w:ind w:left="284" w:right="190"/>
        <w:rPr>
          <w:rFonts w:cs="Times New Roman"/>
          <w:i/>
          <w:lang w:bidi="es-ES"/>
        </w:rPr>
      </w:pPr>
    </w:p>
    <w:p w14:paraId="5A45E266" w14:textId="77777777" w:rsidR="005E64D9" w:rsidRPr="00951AB1" w:rsidRDefault="005E64D9" w:rsidP="000A5389">
      <w:pPr>
        <w:pStyle w:val="Prrafodelista"/>
        <w:spacing w:line="240" w:lineRule="auto"/>
        <w:ind w:left="284" w:right="190"/>
        <w:rPr>
          <w:rFonts w:cs="Times New Roman"/>
          <w:lang w:bidi="es-ES"/>
        </w:rPr>
      </w:pPr>
      <w:r w:rsidRPr="00951AB1">
        <w:rPr>
          <w:rFonts w:cs="Times New Roman"/>
          <w:i/>
          <w:lang w:bidi="es-ES"/>
        </w:rPr>
        <w:t>Que encontrándose en el presente caso una obligación clara, expresa y exigible, es procedente librar mandamiento de pago en contra de la sociedad deudora por la vía Coactiva Administrativa a favor de la</w:t>
      </w:r>
      <w:r w:rsidRPr="00951AB1">
        <w:rPr>
          <w:rFonts w:cs="Times New Roman"/>
          <w:i/>
          <w:iCs/>
          <w:sz w:val="20"/>
          <w:szCs w:val="20"/>
          <w:lang w:bidi="es-ES"/>
        </w:rPr>
        <w:t xml:space="preserve"> </w:t>
      </w:r>
      <w:r w:rsidRPr="00951AB1">
        <w:rPr>
          <w:rFonts w:cs="Times New Roman"/>
          <w:i/>
          <w:lang w:bidi="es-ES"/>
        </w:rPr>
        <w:t xml:space="preserve">Agencia Nacional de Infraestructura - ANI, y en contra de la Sociedad Portuaria de la Península PENSOPORT S.A., identificada con NIT. </w:t>
      </w:r>
      <w:r w:rsidRPr="00951AB1">
        <w:rPr>
          <w:rFonts w:cs="Times New Roman"/>
          <w:i/>
          <w:iCs/>
          <w:lang w:bidi="es-ES"/>
        </w:rPr>
        <w:t>839.000.348</w:t>
      </w:r>
      <w:r w:rsidRPr="00951AB1">
        <w:rPr>
          <w:rFonts w:cs="Times New Roman"/>
          <w:i/>
          <w:lang w:bidi="es-ES"/>
        </w:rPr>
        <w:t>, para que cancele en el término de quince (15) días contados a partir de la notificación de la providencia la suma de dinero.”</w:t>
      </w:r>
    </w:p>
    <w:p w14:paraId="460B4D4E" w14:textId="77777777" w:rsidR="005E64D9" w:rsidRPr="00951AB1" w:rsidRDefault="005E64D9" w:rsidP="000A5389">
      <w:pPr>
        <w:spacing w:line="240" w:lineRule="auto"/>
        <w:rPr>
          <w:rFonts w:cs="Times New Roman"/>
          <w:szCs w:val="24"/>
          <w:lang w:bidi="es-ES"/>
        </w:rPr>
      </w:pPr>
    </w:p>
    <w:p w14:paraId="3AA1728B" w14:textId="77777777" w:rsidR="005E64D9" w:rsidRPr="00951AB1" w:rsidRDefault="005E64D9" w:rsidP="000A5389">
      <w:pPr>
        <w:spacing w:line="240" w:lineRule="auto"/>
        <w:rPr>
          <w:rFonts w:cs="Times New Roman"/>
          <w:szCs w:val="24"/>
          <w:lang w:bidi="es-ES"/>
        </w:rPr>
      </w:pPr>
      <w:r w:rsidRPr="00951AB1">
        <w:rPr>
          <w:rFonts w:cs="Times New Roman"/>
          <w:szCs w:val="24"/>
          <w:lang w:bidi="es-ES"/>
        </w:rPr>
        <w:t>Para el caso del Hospital Santa Catalina E.S.E: se deterioró teniendo en cuenta los factores particulares de la antigüedad de la obligación y la respuesta del recurso de apelación en el Tribunal Administrativo del Valle del Cauca contra el auto que negó librar mandamiento de pago.</w:t>
      </w:r>
    </w:p>
    <w:p w14:paraId="5EB403BA" w14:textId="77777777" w:rsidR="005E64D9" w:rsidRPr="00951AB1" w:rsidRDefault="005E64D9" w:rsidP="000A5389">
      <w:pPr>
        <w:spacing w:line="240" w:lineRule="auto"/>
        <w:rPr>
          <w:rFonts w:cs="Times New Roman"/>
          <w:szCs w:val="24"/>
          <w:lang w:bidi="es-ES"/>
        </w:rPr>
      </w:pPr>
    </w:p>
    <w:p w14:paraId="7F7F933E" w14:textId="0A2B2AC6" w:rsidR="00014990" w:rsidRPr="00951AB1" w:rsidRDefault="005E64D9" w:rsidP="000A5389">
      <w:pPr>
        <w:spacing w:line="240" w:lineRule="auto"/>
        <w:rPr>
          <w:rFonts w:cs="Times New Roman"/>
          <w:i/>
          <w:iCs/>
          <w:szCs w:val="24"/>
          <w:lang w:bidi="es-ES"/>
        </w:rPr>
      </w:pPr>
      <w:r w:rsidRPr="00951AB1">
        <w:rPr>
          <w:rFonts w:cs="Times New Roman"/>
          <w:szCs w:val="24"/>
          <w:lang w:bidi="es-ES"/>
        </w:rPr>
        <w:t>Para los deudores clasificados en la subcuenta costas procesales: los factores considerados corresponden a los establecidos en el “</w:t>
      </w:r>
      <w:r w:rsidRPr="00951AB1">
        <w:rPr>
          <w:rFonts w:cs="Times New Roman"/>
          <w:i/>
          <w:iCs/>
          <w:szCs w:val="24"/>
          <w:lang w:bidi="es-ES"/>
        </w:rPr>
        <w:t xml:space="preserve">test” </w:t>
      </w:r>
      <w:r w:rsidRPr="00951AB1">
        <w:rPr>
          <w:rFonts w:cs="Times New Roman"/>
          <w:szCs w:val="24"/>
          <w:lang w:bidi="es-ES"/>
        </w:rPr>
        <w:t>como</w:t>
      </w:r>
      <w:r w:rsidRPr="00951AB1">
        <w:rPr>
          <w:rFonts w:cs="Times New Roman"/>
          <w:i/>
          <w:iCs/>
          <w:szCs w:val="24"/>
          <w:lang w:bidi="es-ES"/>
        </w:rPr>
        <w:t xml:space="preserve"> </w:t>
      </w:r>
      <w:r w:rsidRPr="00951AB1">
        <w:rPr>
          <w:rFonts w:cs="Times New Roman"/>
          <w:szCs w:val="24"/>
          <w:lang w:bidi="es-ES"/>
        </w:rPr>
        <w:t xml:space="preserve">riesgos externos además se informó: </w:t>
      </w:r>
      <w:r w:rsidRPr="00951AB1">
        <w:rPr>
          <w:rFonts w:cs="Times New Roman"/>
          <w:i/>
          <w:iCs/>
          <w:szCs w:val="24"/>
          <w:lang w:bidi="es-ES"/>
        </w:rPr>
        <w:t>“en proceso de verificación de título ejecutivo y dada la antigüedad de la obligación y la falta de localización de los obligados se requiere deterioro”.</w:t>
      </w:r>
      <w:bookmarkStart w:id="279" w:name="_Toc191369506"/>
      <w:bookmarkStart w:id="280" w:name="_Toc191456836"/>
      <w:bookmarkStart w:id="281" w:name="_Toc191456946"/>
      <w:bookmarkStart w:id="282" w:name="_Toc191457056"/>
      <w:bookmarkStart w:id="283" w:name="_Toc191475683"/>
      <w:bookmarkStart w:id="284" w:name="_Toc191475792"/>
      <w:bookmarkStart w:id="285" w:name="_Toc191475901"/>
      <w:bookmarkStart w:id="286" w:name="_Toc191475424"/>
      <w:bookmarkStart w:id="287" w:name="_Toc191505800"/>
    </w:p>
    <w:p w14:paraId="75808D6E" w14:textId="77777777" w:rsidR="00014990" w:rsidRPr="00951AB1" w:rsidRDefault="00014990" w:rsidP="000A5389">
      <w:pPr>
        <w:spacing w:line="240" w:lineRule="auto"/>
        <w:rPr>
          <w:rFonts w:cs="Times New Roman"/>
          <w:i/>
          <w:iCs/>
          <w:szCs w:val="24"/>
          <w:lang w:bidi="es-ES"/>
        </w:rPr>
      </w:pPr>
    </w:p>
    <w:p w14:paraId="0E1F6C70" w14:textId="08E3B417" w:rsidR="005E64D9" w:rsidRPr="00951AB1" w:rsidRDefault="00EA526D" w:rsidP="000A5389">
      <w:pPr>
        <w:pStyle w:val="Ttulo2"/>
        <w:numPr>
          <w:ilvl w:val="1"/>
          <w:numId w:val="110"/>
        </w:numPr>
        <w:spacing w:line="240" w:lineRule="auto"/>
        <w:rPr>
          <w:rFonts w:cs="Times New Roman"/>
          <w:szCs w:val="24"/>
        </w:rPr>
      </w:pPr>
      <w:r w:rsidRPr="00951AB1">
        <w:rPr>
          <w:rFonts w:cs="Times New Roman"/>
          <w:szCs w:val="24"/>
        </w:rPr>
        <w:t xml:space="preserve"> </w:t>
      </w:r>
      <w:r w:rsidRPr="00951AB1">
        <w:rPr>
          <w:rFonts w:cs="Times New Roman"/>
          <w:szCs w:val="24"/>
        </w:rPr>
        <w:tab/>
      </w:r>
      <w:bookmarkStart w:id="288" w:name="_Toc222955477"/>
      <w:r w:rsidR="005E64D9" w:rsidRPr="00951AB1">
        <w:rPr>
          <w:rFonts w:cs="Times New Roman"/>
          <w:szCs w:val="24"/>
        </w:rPr>
        <w:t>Cuentas por cobrar vencidas no deterioradas</w:t>
      </w:r>
      <w:bookmarkEnd w:id="279"/>
      <w:bookmarkEnd w:id="280"/>
      <w:bookmarkEnd w:id="281"/>
      <w:bookmarkEnd w:id="282"/>
      <w:bookmarkEnd w:id="283"/>
      <w:bookmarkEnd w:id="284"/>
      <w:bookmarkEnd w:id="285"/>
      <w:bookmarkEnd w:id="286"/>
      <w:bookmarkEnd w:id="287"/>
      <w:bookmarkEnd w:id="288"/>
    </w:p>
    <w:p w14:paraId="668FC559" w14:textId="77777777" w:rsidR="005E64D9" w:rsidRPr="00951AB1" w:rsidRDefault="005E64D9" w:rsidP="000A5389">
      <w:pPr>
        <w:spacing w:line="240" w:lineRule="auto"/>
        <w:rPr>
          <w:rFonts w:cs="Times New Roman"/>
          <w:szCs w:val="24"/>
        </w:rPr>
      </w:pPr>
    </w:p>
    <w:p w14:paraId="3492DE2B" w14:textId="77777777" w:rsidR="005E64D9" w:rsidRPr="00951AB1" w:rsidRDefault="005E64D9" w:rsidP="000A5389">
      <w:pPr>
        <w:spacing w:line="240" w:lineRule="auto"/>
        <w:rPr>
          <w:rFonts w:cs="Times New Roman"/>
          <w:szCs w:val="24"/>
          <w:lang w:bidi="es-ES"/>
        </w:rPr>
      </w:pPr>
      <w:r w:rsidRPr="00951AB1">
        <w:rPr>
          <w:rFonts w:cs="Times New Roman"/>
          <w:szCs w:val="24"/>
          <w:lang w:bidi="es-ES"/>
        </w:rPr>
        <w:t xml:space="preserve">Los terceros registrados en la subcuenta sanciones contractuales y otras cuentas por cobrar, reflejados en el siguiente cuadro, no fueron objeto de deterioro por la calificación suministrada por el GIT de Defensa Judicial, ya que el porcentaje de complejidad de recuperación de la cartera para cada tercero no se encuentra dentro del rango establecido en la guía correspondiente (75% al 100%). </w:t>
      </w:r>
    </w:p>
    <w:p w14:paraId="25F1C81C" w14:textId="77777777" w:rsidR="005E64D9" w:rsidRPr="00951AB1" w:rsidRDefault="005E64D9" w:rsidP="000A5389">
      <w:pPr>
        <w:spacing w:line="240" w:lineRule="auto"/>
        <w:rPr>
          <w:rFonts w:cs="Times New Roman"/>
          <w:szCs w:val="24"/>
          <w:lang w:bidi="es-ES"/>
        </w:rPr>
      </w:pPr>
      <w:r w:rsidRPr="00951AB1">
        <w:rPr>
          <w:rFonts w:cs="Times New Roman"/>
          <w:szCs w:val="24"/>
          <w:lang w:bidi="es-ES"/>
        </w:rPr>
        <w:t>De acuerdo con su origen y características, las cuentas por cobrar por concepto de derechos de tránsito (Contraprestaciones férreas) y derechos cobrados por terceros (Arrendamientos), no son objeto de deterioro; por cuanto los derechos reconocidos no tienen antecedentes de riesgo de no pago y con la gestión de cobro que realiza la entidad, se recuperan y recaudan en el corto plazo.</w:t>
      </w:r>
    </w:p>
    <w:p w14:paraId="47969FEE" w14:textId="77777777" w:rsidR="005E64D9" w:rsidRPr="00951AB1" w:rsidRDefault="005E64D9" w:rsidP="000A5389">
      <w:pPr>
        <w:spacing w:line="240" w:lineRule="auto"/>
        <w:rPr>
          <w:rFonts w:cs="Times New Roman"/>
          <w:szCs w:val="24"/>
          <w:lang w:bidi="es-ES"/>
        </w:rPr>
      </w:pPr>
    </w:p>
    <w:p w14:paraId="788256EB" w14:textId="77777777" w:rsidR="005E64D9" w:rsidRPr="00951AB1" w:rsidRDefault="005E64D9" w:rsidP="000A5389">
      <w:pPr>
        <w:spacing w:line="240" w:lineRule="auto"/>
        <w:rPr>
          <w:rFonts w:cs="Times New Roman"/>
          <w:szCs w:val="24"/>
          <w:lang w:bidi="es-ES"/>
        </w:rPr>
      </w:pPr>
      <w:r w:rsidRPr="00951AB1">
        <w:rPr>
          <w:rFonts w:cs="Times New Roman"/>
          <w:szCs w:val="24"/>
          <w:lang w:bidi="es-ES"/>
        </w:rPr>
        <w:t>Terceros que no fueron objeto de deterioro al cierre de la vigencia 2025:</w:t>
      </w:r>
    </w:p>
    <w:p w14:paraId="3B4D7BA5" w14:textId="77777777" w:rsidR="005E64D9" w:rsidRPr="00951AB1" w:rsidRDefault="005E64D9" w:rsidP="000A5389">
      <w:pPr>
        <w:spacing w:line="240" w:lineRule="auto"/>
        <w:rPr>
          <w:rFonts w:cs="Times New Roman"/>
          <w:szCs w:val="24"/>
          <w:lang w:bidi="es-ES"/>
        </w:rPr>
      </w:pPr>
    </w:p>
    <w:p w14:paraId="268D2F9A" w14:textId="77777777" w:rsidR="005E64D9" w:rsidRPr="00951AB1" w:rsidRDefault="005E64D9" w:rsidP="000A5389">
      <w:pPr>
        <w:spacing w:line="240" w:lineRule="auto"/>
        <w:rPr>
          <w:rFonts w:cs="Times New Roman"/>
          <w:sz w:val="14"/>
          <w:szCs w:val="14"/>
        </w:rPr>
      </w:pPr>
    </w:p>
    <w:tbl>
      <w:tblPr>
        <w:tblW w:w="0" w:type="auto"/>
        <w:tblLayout w:type="fixed"/>
        <w:tblCellMar>
          <w:left w:w="70" w:type="dxa"/>
          <w:right w:w="70" w:type="dxa"/>
        </w:tblCellMar>
        <w:tblLook w:val="04A0" w:firstRow="1" w:lastRow="0" w:firstColumn="1" w:lastColumn="0" w:noHBand="0" w:noVBand="1"/>
      </w:tblPr>
      <w:tblGrid>
        <w:gridCol w:w="1980"/>
        <w:gridCol w:w="992"/>
        <w:gridCol w:w="1843"/>
        <w:gridCol w:w="1134"/>
        <w:gridCol w:w="1134"/>
        <w:gridCol w:w="992"/>
        <w:gridCol w:w="753"/>
      </w:tblGrid>
      <w:tr w:rsidR="00DB2570" w:rsidRPr="00951AB1" w14:paraId="6FDCB7F5" w14:textId="77777777" w:rsidTr="003076E2">
        <w:trPr>
          <w:trHeight w:val="1195"/>
          <w:tblHeader/>
        </w:trPr>
        <w:tc>
          <w:tcPr>
            <w:tcW w:w="1980" w:type="dxa"/>
            <w:tcBorders>
              <w:top w:val="single" w:sz="4" w:space="0" w:color="auto"/>
              <w:left w:val="single" w:sz="4" w:space="0" w:color="auto"/>
              <w:bottom w:val="single" w:sz="4" w:space="0" w:color="auto"/>
              <w:right w:val="single" w:sz="4" w:space="0" w:color="auto"/>
            </w:tcBorders>
            <w:textDirection w:val="btLr"/>
            <w:vAlign w:val="center"/>
            <w:hideMark/>
          </w:tcPr>
          <w:p w14:paraId="1167E570" w14:textId="77777777" w:rsidR="005E64D9" w:rsidRPr="00951AB1" w:rsidRDefault="005E64D9" w:rsidP="000A5389">
            <w:pPr>
              <w:spacing w:line="240" w:lineRule="auto"/>
              <w:jc w:val="center"/>
              <w:rPr>
                <w:rFonts w:eastAsia="Times New Roman" w:cs="Times New Roman"/>
                <w:b/>
                <w:bCs/>
                <w:color w:val="000000"/>
                <w:kern w:val="0"/>
                <w:sz w:val="14"/>
                <w:szCs w:val="14"/>
                <w:lang w:eastAsia="es-CO"/>
                <w14:ligatures w14:val="none"/>
              </w:rPr>
            </w:pPr>
            <w:r w:rsidRPr="00951AB1">
              <w:rPr>
                <w:rFonts w:eastAsia="Times New Roman" w:cs="Times New Roman"/>
                <w:b/>
                <w:bCs/>
                <w:color w:val="000000"/>
                <w:kern w:val="0"/>
                <w:sz w:val="14"/>
                <w:szCs w:val="14"/>
                <w:lang w:eastAsia="es-CO"/>
                <w14:ligatures w14:val="none"/>
              </w:rPr>
              <w:t>CUENTA</w:t>
            </w:r>
          </w:p>
        </w:tc>
        <w:tc>
          <w:tcPr>
            <w:tcW w:w="992" w:type="dxa"/>
            <w:tcBorders>
              <w:top w:val="single" w:sz="4" w:space="0" w:color="auto"/>
              <w:left w:val="nil"/>
              <w:bottom w:val="single" w:sz="4" w:space="0" w:color="auto"/>
              <w:right w:val="single" w:sz="4" w:space="0" w:color="auto"/>
            </w:tcBorders>
            <w:textDirection w:val="btLr"/>
            <w:vAlign w:val="center"/>
            <w:hideMark/>
          </w:tcPr>
          <w:p w14:paraId="59D9BFE5" w14:textId="77777777" w:rsidR="005E64D9" w:rsidRPr="00951AB1" w:rsidRDefault="005E64D9" w:rsidP="000A5389">
            <w:pPr>
              <w:spacing w:line="240" w:lineRule="auto"/>
              <w:jc w:val="center"/>
              <w:rPr>
                <w:rFonts w:eastAsia="Times New Roman" w:cs="Times New Roman"/>
                <w:b/>
                <w:bCs/>
                <w:color w:val="000000"/>
                <w:kern w:val="0"/>
                <w:sz w:val="14"/>
                <w:szCs w:val="14"/>
                <w:lang w:eastAsia="es-CO"/>
                <w14:ligatures w14:val="none"/>
              </w:rPr>
            </w:pPr>
            <w:r w:rsidRPr="00951AB1">
              <w:rPr>
                <w:rFonts w:eastAsia="Times New Roman" w:cs="Times New Roman"/>
                <w:b/>
                <w:bCs/>
                <w:color w:val="000000"/>
                <w:kern w:val="0"/>
                <w:sz w:val="14"/>
                <w:szCs w:val="14"/>
                <w:lang w:eastAsia="es-CO"/>
                <w14:ligatures w14:val="none"/>
              </w:rPr>
              <w:t>Fecha de la Obligación</w:t>
            </w:r>
          </w:p>
        </w:tc>
        <w:tc>
          <w:tcPr>
            <w:tcW w:w="1843" w:type="dxa"/>
            <w:tcBorders>
              <w:top w:val="single" w:sz="4" w:space="0" w:color="auto"/>
              <w:left w:val="nil"/>
              <w:bottom w:val="single" w:sz="4" w:space="0" w:color="auto"/>
              <w:right w:val="single" w:sz="4" w:space="0" w:color="auto"/>
            </w:tcBorders>
            <w:noWrap/>
            <w:textDirection w:val="btLr"/>
            <w:vAlign w:val="center"/>
            <w:hideMark/>
          </w:tcPr>
          <w:p w14:paraId="11A3959A" w14:textId="77777777" w:rsidR="005E64D9" w:rsidRPr="00951AB1" w:rsidRDefault="005E64D9" w:rsidP="000A5389">
            <w:pPr>
              <w:spacing w:line="240" w:lineRule="auto"/>
              <w:jc w:val="center"/>
              <w:rPr>
                <w:rFonts w:eastAsia="Times New Roman" w:cs="Times New Roman"/>
                <w:b/>
                <w:bCs/>
                <w:color w:val="000000"/>
                <w:kern w:val="0"/>
                <w:sz w:val="14"/>
                <w:szCs w:val="14"/>
                <w:lang w:eastAsia="es-CO"/>
                <w14:ligatures w14:val="none"/>
              </w:rPr>
            </w:pPr>
            <w:r w:rsidRPr="00951AB1">
              <w:rPr>
                <w:rFonts w:eastAsia="Times New Roman" w:cs="Times New Roman"/>
                <w:b/>
                <w:bCs/>
                <w:color w:val="000000"/>
                <w:kern w:val="0"/>
                <w:sz w:val="14"/>
                <w:szCs w:val="14"/>
                <w:lang w:eastAsia="es-CO"/>
                <w14:ligatures w14:val="none"/>
              </w:rPr>
              <w:t>Tercero</w:t>
            </w:r>
          </w:p>
        </w:tc>
        <w:tc>
          <w:tcPr>
            <w:tcW w:w="1134" w:type="dxa"/>
            <w:tcBorders>
              <w:top w:val="single" w:sz="4" w:space="0" w:color="auto"/>
              <w:left w:val="nil"/>
              <w:bottom w:val="single" w:sz="4" w:space="0" w:color="auto"/>
              <w:right w:val="single" w:sz="4" w:space="0" w:color="auto"/>
            </w:tcBorders>
            <w:noWrap/>
            <w:textDirection w:val="btLr"/>
            <w:vAlign w:val="center"/>
            <w:hideMark/>
          </w:tcPr>
          <w:p w14:paraId="4BAEED84" w14:textId="77777777" w:rsidR="005E64D9" w:rsidRPr="00951AB1" w:rsidRDefault="005E64D9" w:rsidP="000A5389">
            <w:pPr>
              <w:spacing w:line="240" w:lineRule="auto"/>
              <w:jc w:val="center"/>
              <w:rPr>
                <w:rFonts w:eastAsia="Times New Roman" w:cs="Times New Roman"/>
                <w:b/>
                <w:bCs/>
                <w:color w:val="000000"/>
                <w:kern w:val="0"/>
                <w:sz w:val="14"/>
                <w:szCs w:val="14"/>
                <w:lang w:eastAsia="es-CO"/>
                <w14:ligatures w14:val="none"/>
              </w:rPr>
            </w:pPr>
            <w:r w:rsidRPr="00951AB1">
              <w:rPr>
                <w:rFonts w:eastAsia="Times New Roman" w:cs="Times New Roman"/>
                <w:b/>
                <w:bCs/>
                <w:color w:val="000000"/>
                <w:kern w:val="0"/>
                <w:sz w:val="14"/>
                <w:szCs w:val="14"/>
                <w:lang w:eastAsia="es-CO"/>
                <w14:ligatures w14:val="none"/>
              </w:rPr>
              <w:t>Valor</w:t>
            </w:r>
          </w:p>
        </w:tc>
        <w:tc>
          <w:tcPr>
            <w:tcW w:w="1134" w:type="dxa"/>
            <w:tcBorders>
              <w:top w:val="single" w:sz="4" w:space="0" w:color="auto"/>
              <w:left w:val="nil"/>
              <w:bottom w:val="single" w:sz="4" w:space="0" w:color="auto"/>
              <w:right w:val="single" w:sz="4" w:space="0" w:color="auto"/>
            </w:tcBorders>
            <w:textDirection w:val="btLr"/>
            <w:vAlign w:val="center"/>
            <w:hideMark/>
          </w:tcPr>
          <w:p w14:paraId="10DAC01E" w14:textId="77777777" w:rsidR="005E64D9" w:rsidRPr="00951AB1" w:rsidRDefault="005E64D9" w:rsidP="000A5389">
            <w:pPr>
              <w:spacing w:line="240" w:lineRule="auto"/>
              <w:jc w:val="center"/>
              <w:rPr>
                <w:rFonts w:eastAsia="Times New Roman" w:cs="Times New Roman"/>
                <w:b/>
                <w:bCs/>
                <w:color w:val="000000"/>
                <w:kern w:val="0"/>
                <w:sz w:val="14"/>
                <w:szCs w:val="14"/>
                <w:lang w:eastAsia="es-CO"/>
                <w14:ligatures w14:val="none"/>
              </w:rPr>
            </w:pPr>
            <w:r w:rsidRPr="00951AB1">
              <w:rPr>
                <w:rFonts w:eastAsia="Times New Roman" w:cs="Times New Roman"/>
                <w:b/>
                <w:bCs/>
                <w:color w:val="000000"/>
                <w:kern w:val="0"/>
                <w:sz w:val="14"/>
                <w:szCs w:val="14"/>
                <w:lang w:eastAsia="es-CO"/>
                <w14:ligatures w14:val="none"/>
              </w:rPr>
              <w:t>&gt; 3 MESES HASTA 12 MESES</w:t>
            </w:r>
          </w:p>
        </w:tc>
        <w:tc>
          <w:tcPr>
            <w:tcW w:w="992" w:type="dxa"/>
            <w:tcBorders>
              <w:top w:val="single" w:sz="4" w:space="0" w:color="auto"/>
              <w:left w:val="nil"/>
              <w:bottom w:val="single" w:sz="4" w:space="0" w:color="auto"/>
              <w:right w:val="single" w:sz="4" w:space="0" w:color="auto"/>
            </w:tcBorders>
            <w:textDirection w:val="btLr"/>
            <w:vAlign w:val="center"/>
            <w:hideMark/>
          </w:tcPr>
          <w:p w14:paraId="3308E63D" w14:textId="77777777" w:rsidR="005E64D9" w:rsidRPr="00951AB1" w:rsidRDefault="005E64D9" w:rsidP="000A5389">
            <w:pPr>
              <w:spacing w:line="240" w:lineRule="auto"/>
              <w:jc w:val="center"/>
              <w:rPr>
                <w:rFonts w:eastAsia="Times New Roman" w:cs="Times New Roman"/>
                <w:b/>
                <w:bCs/>
                <w:color w:val="000000"/>
                <w:kern w:val="0"/>
                <w:sz w:val="14"/>
                <w:szCs w:val="14"/>
                <w:lang w:eastAsia="es-CO"/>
                <w14:ligatures w14:val="none"/>
              </w:rPr>
            </w:pPr>
            <w:r w:rsidRPr="00951AB1">
              <w:rPr>
                <w:rFonts w:eastAsia="Times New Roman" w:cs="Times New Roman"/>
                <w:b/>
                <w:bCs/>
                <w:color w:val="000000"/>
                <w:kern w:val="0"/>
                <w:sz w:val="14"/>
                <w:szCs w:val="14"/>
                <w:lang w:eastAsia="es-CO"/>
                <w14:ligatures w14:val="none"/>
              </w:rPr>
              <w:t xml:space="preserve">&gt; 1 AÑO Y HASTA 3 AÑOS </w:t>
            </w:r>
          </w:p>
        </w:tc>
        <w:tc>
          <w:tcPr>
            <w:tcW w:w="753" w:type="dxa"/>
            <w:tcBorders>
              <w:top w:val="single" w:sz="4" w:space="0" w:color="auto"/>
              <w:left w:val="nil"/>
              <w:bottom w:val="single" w:sz="4" w:space="0" w:color="auto"/>
              <w:right w:val="single" w:sz="4" w:space="0" w:color="auto"/>
            </w:tcBorders>
            <w:textDirection w:val="btLr"/>
            <w:vAlign w:val="center"/>
            <w:hideMark/>
          </w:tcPr>
          <w:p w14:paraId="7775737F" w14:textId="77777777" w:rsidR="005E64D9" w:rsidRPr="00951AB1" w:rsidRDefault="005E64D9" w:rsidP="000A5389">
            <w:pPr>
              <w:spacing w:line="240" w:lineRule="auto"/>
              <w:jc w:val="center"/>
              <w:rPr>
                <w:rFonts w:eastAsia="Times New Roman" w:cs="Times New Roman"/>
                <w:b/>
                <w:bCs/>
                <w:color w:val="000000"/>
                <w:kern w:val="0"/>
                <w:sz w:val="14"/>
                <w:szCs w:val="14"/>
                <w:lang w:eastAsia="es-CO"/>
                <w14:ligatures w14:val="none"/>
              </w:rPr>
            </w:pPr>
            <w:r w:rsidRPr="00951AB1">
              <w:rPr>
                <w:rFonts w:eastAsia="Times New Roman" w:cs="Times New Roman"/>
                <w:b/>
                <w:bCs/>
                <w:color w:val="000000"/>
                <w:kern w:val="0"/>
                <w:sz w:val="14"/>
                <w:szCs w:val="14"/>
                <w:lang w:eastAsia="es-CO"/>
                <w14:ligatures w14:val="none"/>
              </w:rPr>
              <w:t xml:space="preserve">&gt; 3 AÑOS </w:t>
            </w:r>
          </w:p>
        </w:tc>
      </w:tr>
      <w:tr w:rsidR="00DB2570" w:rsidRPr="00951AB1" w14:paraId="051D39B1" w14:textId="77777777" w:rsidTr="003076E2">
        <w:trPr>
          <w:trHeight w:val="255"/>
        </w:trPr>
        <w:tc>
          <w:tcPr>
            <w:tcW w:w="1980" w:type="dxa"/>
            <w:tcBorders>
              <w:top w:val="nil"/>
              <w:left w:val="single" w:sz="4" w:space="0" w:color="auto"/>
              <w:bottom w:val="single" w:sz="4" w:space="0" w:color="auto"/>
              <w:right w:val="single" w:sz="4" w:space="0" w:color="auto"/>
            </w:tcBorders>
            <w:noWrap/>
            <w:vAlign w:val="center"/>
            <w:hideMark/>
          </w:tcPr>
          <w:p w14:paraId="018A36B5" w14:textId="77777777" w:rsidR="005E64D9" w:rsidRPr="00951AB1" w:rsidRDefault="005E64D9" w:rsidP="000A5389">
            <w:pPr>
              <w:spacing w:line="240" w:lineRule="auto"/>
              <w:rPr>
                <w:rFonts w:eastAsia="Times New Roman" w:cs="Times New Roman"/>
                <w:color w:val="000000"/>
                <w:kern w:val="0"/>
                <w:sz w:val="14"/>
                <w:szCs w:val="14"/>
                <w:lang w:eastAsia="es-CO"/>
                <w14:ligatures w14:val="none"/>
              </w:rPr>
            </w:pPr>
            <w:r w:rsidRPr="00951AB1">
              <w:rPr>
                <w:rFonts w:cs="Times New Roman"/>
                <w:color w:val="000000"/>
                <w:sz w:val="14"/>
                <w:szCs w:val="14"/>
              </w:rPr>
              <w:t>Derechos de explotación no relacionados con la infraestructura de transporte</w:t>
            </w:r>
          </w:p>
        </w:tc>
        <w:tc>
          <w:tcPr>
            <w:tcW w:w="992" w:type="dxa"/>
            <w:tcBorders>
              <w:top w:val="nil"/>
              <w:left w:val="nil"/>
              <w:bottom w:val="single" w:sz="4" w:space="0" w:color="auto"/>
              <w:right w:val="single" w:sz="4" w:space="0" w:color="auto"/>
            </w:tcBorders>
            <w:noWrap/>
            <w:vAlign w:val="center"/>
            <w:hideMark/>
          </w:tcPr>
          <w:p w14:paraId="2E61653E" w14:textId="77777777" w:rsidR="005E64D9" w:rsidRPr="00951AB1" w:rsidRDefault="005E64D9" w:rsidP="000A5389">
            <w:pPr>
              <w:spacing w:line="240" w:lineRule="auto"/>
              <w:jc w:val="center"/>
              <w:rPr>
                <w:rFonts w:eastAsia="Times New Roman" w:cs="Times New Roman"/>
                <w:color w:val="000000"/>
                <w:kern w:val="0"/>
                <w:sz w:val="14"/>
                <w:szCs w:val="14"/>
                <w:lang w:eastAsia="es-CO"/>
                <w14:ligatures w14:val="none"/>
              </w:rPr>
            </w:pPr>
            <w:r w:rsidRPr="00951AB1">
              <w:rPr>
                <w:rFonts w:cs="Times New Roman"/>
                <w:color w:val="000000"/>
                <w:sz w:val="14"/>
                <w:szCs w:val="14"/>
              </w:rPr>
              <w:t>30/12/2025</w:t>
            </w:r>
          </w:p>
        </w:tc>
        <w:tc>
          <w:tcPr>
            <w:tcW w:w="1843" w:type="dxa"/>
            <w:tcBorders>
              <w:top w:val="nil"/>
              <w:left w:val="nil"/>
              <w:bottom w:val="single" w:sz="4" w:space="0" w:color="auto"/>
              <w:right w:val="single" w:sz="4" w:space="0" w:color="auto"/>
            </w:tcBorders>
            <w:noWrap/>
            <w:vAlign w:val="center"/>
            <w:hideMark/>
          </w:tcPr>
          <w:p w14:paraId="6975CACC" w14:textId="07FC0289" w:rsidR="005E64D9" w:rsidRPr="00951AB1" w:rsidRDefault="00DB2570" w:rsidP="000A5389">
            <w:pPr>
              <w:spacing w:line="240" w:lineRule="auto"/>
              <w:rPr>
                <w:rFonts w:eastAsia="Times New Roman" w:cs="Times New Roman"/>
                <w:color w:val="000000"/>
                <w:kern w:val="0"/>
                <w:sz w:val="14"/>
                <w:szCs w:val="14"/>
                <w:lang w:eastAsia="es-CO"/>
                <w14:ligatures w14:val="none"/>
              </w:rPr>
            </w:pPr>
            <w:r w:rsidRPr="00951AB1">
              <w:rPr>
                <w:rFonts w:cs="Times New Roman"/>
                <w:color w:val="000000"/>
                <w:sz w:val="14"/>
                <w:szCs w:val="14"/>
              </w:rPr>
              <w:t>Sociedad Concesionaria Operadora Aeroportuaria Internacional S A</w:t>
            </w:r>
          </w:p>
        </w:tc>
        <w:tc>
          <w:tcPr>
            <w:tcW w:w="1134" w:type="dxa"/>
            <w:tcBorders>
              <w:top w:val="nil"/>
              <w:left w:val="nil"/>
              <w:bottom w:val="single" w:sz="4" w:space="0" w:color="auto"/>
              <w:right w:val="single" w:sz="4" w:space="0" w:color="auto"/>
            </w:tcBorders>
            <w:noWrap/>
            <w:vAlign w:val="center"/>
            <w:hideMark/>
          </w:tcPr>
          <w:p w14:paraId="66F1E031" w14:textId="77777777" w:rsidR="005E64D9" w:rsidRPr="00951AB1" w:rsidRDefault="005E64D9" w:rsidP="000A5389">
            <w:pPr>
              <w:spacing w:line="240" w:lineRule="auto"/>
              <w:jc w:val="right"/>
              <w:rPr>
                <w:rFonts w:eastAsia="Times New Roman" w:cs="Times New Roman"/>
                <w:color w:val="000000"/>
                <w:kern w:val="0"/>
                <w:sz w:val="14"/>
                <w:szCs w:val="14"/>
                <w:lang w:eastAsia="es-CO"/>
                <w14:ligatures w14:val="none"/>
              </w:rPr>
            </w:pPr>
            <w:r w:rsidRPr="00951AB1">
              <w:rPr>
                <w:rFonts w:cs="Times New Roman"/>
                <w:color w:val="000000"/>
                <w:sz w:val="14"/>
                <w:szCs w:val="14"/>
              </w:rPr>
              <w:t>19.703.628.956</w:t>
            </w:r>
          </w:p>
        </w:tc>
        <w:tc>
          <w:tcPr>
            <w:tcW w:w="1134" w:type="dxa"/>
            <w:tcBorders>
              <w:top w:val="nil"/>
              <w:left w:val="nil"/>
              <w:bottom w:val="single" w:sz="4" w:space="0" w:color="auto"/>
              <w:right w:val="single" w:sz="4" w:space="0" w:color="auto"/>
            </w:tcBorders>
            <w:noWrap/>
            <w:vAlign w:val="center"/>
            <w:hideMark/>
          </w:tcPr>
          <w:p w14:paraId="6832A57E" w14:textId="77777777" w:rsidR="005E64D9" w:rsidRPr="00951AB1" w:rsidRDefault="005E64D9" w:rsidP="000A5389">
            <w:pPr>
              <w:spacing w:line="240" w:lineRule="auto"/>
              <w:jc w:val="right"/>
              <w:rPr>
                <w:rFonts w:eastAsia="Times New Roman" w:cs="Times New Roman"/>
                <w:color w:val="000000"/>
                <w:kern w:val="0"/>
                <w:sz w:val="14"/>
                <w:szCs w:val="14"/>
                <w:lang w:eastAsia="es-CO"/>
                <w14:ligatures w14:val="none"/>
              </w:rPr>
            </w:pPr>
            <w:r w:rsidRPr="00951AB1">
              <w:rPr>
                <w:rFonts w:cs="Times New Roman"/>
                <w:color w:val="000000"/>
                <w:sz w:val="14"/>
                <w:szCs w:val="14"/>
              </w:rPr>
              <w:t>19.703.628.956</w:t>
            </w:r>
          </w:p>
        </w:tc>
        <w:tc>
          <w:tcPr>
            <w:tcW w:w="992" w:type="dxa"/>
            <w:tcBorders>
              <w:top w:val="nil"/>
              <w:left w:val="nil"/>
              <w:bottom w:val="single" w:sz="4" w:space="0" w:color="auto"/>
              <w:right w:val="single" w:sz="4" w:space="0" w:color="auto"/>
            </w:tcBorders>
            <w:noWrap/>
            <w:vAlign w:val="center"/>
            <w:hideMark/>
          </w:tcPr>
          <w:p w14:paraId="7A03CFFA" w14:textId="77777777" w:rsidR="005E64D9" w:rsidRPr="00951AB1" w:rsidRDefault="005E64D9" w:rsidP="000A5389">
            <w:pPr>
              <w:spacing w:line="240" w:lineRule="auto"/>
              <w:jc w:val="right"/>
              <w:rPr>
                <w:rFonts w:eastAsia="Times New Roman" w:cs="Times New Roman"/>
                <w:color w:val="000000"/>
                <w:kern w:val="0"/>
                <w:sz w:val="14"/>
                <w:szCs w:val="14"/>
                <w:lang w:eastAsia="es-CO"/>
                <w14:ligatures w14:val="none"/>
              </w:rPr>
            </w:pPr>
            <w:r w:rsidRPr="00951AB1">
              <w:rPr>
                <w:rFonts w:cs="Times New Roman"/>
                <w:color w:val="000000"/>
                <w:sz w:val="14"/>
                <w:szCs w:val="14"/>
              </w:rPr>
              <w:t> </w:t>
            </w:r>
          </w:p>
        </w:tc>
        <w:tc>
          <w:tcPr>
            <w:tcW w:w="753" w:type="dxa"/>
            <w:tcBorders>
              <w:top w:val="nil"/>
              <w:left w:val="nil"/>
              <w:bottom w:val="single" w:sz="4" w:space="0" w:color="auto"/>
              <w:right w:val="single" w:sz="4" w:space="0" w:color="auto"/>
            </w:tcBorders>
            <w:noWrap/>
            <w:vAlign w:val="center"/>
            <w:hideMark/>
          </w:tcPr>
          <w:p w14:paraId="7F4E97A9" w14:textId="77777777" w:rsidR="005E64D9" w:rsidRPr="00951AB1" w:rsidRDefault="005E64D9" w:rsidP="000A5389">
            <w:pPr>
              <w:spacing w:line="240" w:lineRule="auto"/>
              <w:jc w:val="right"/>
              <w:rPr>
                <w:rFonts w:eastAsia="Times New Roman" w:cs="Times New Roman"/>
                <w:color w:val="000000"/>
                <w:kern w:val="0"/>
                <w:sz w:val="14"/>
                <w:szCs w:val="14"/>
                <w:lang w:eastAsia="es-CO"/>
                <w14:ligatures w14:val="none"/>
              </w:rPr>
            </w:pPr>
            <w:r w:rsidRPr="00951AB1">
              <w:rPr>
                <w:rFonts w:cs="Times New Roman"/>
                <w:color w:val="000000"/>
                <w:sz w:val="14"/>
                <w:szCs w:val="14"/>
              </w:rPr>
              <w:t> </w:t>
            </w:r>
          </w:p>
        </w:tc>
      </w:tr>
      <w:tr w:rsidR="00DB2570" w:rsidRPr="00951AB1" w14:paraId="5FB17177" w14:textId="77777777" w:rsidTr="003076E2">
        <w:trPr>
          <w:trHeight w:val="255"/>
        </w:trPr>
        <w:tc>
          <w:tcPr>
            <w:tcW w:w="1980" w:type="dxa"/>
            <w:tcBorders>
              <w:top w:val="nil"/>
              <w:left w:val="single" w:sz="4" w:space="0" w:color="auto"/>
              <w:bottom w:val="single" w:sz="4" w:space="0" w:color="auto"/>
              <w:right w:val="single" w:sz="4" w:space="0" w:color="auto"/>
            </w:tcBorders>
            <w:noWrap/>
            <w:vAlign w:val="center"/>
            <w:hideMark/>
          </w:tcPr>
          <w:p w14:paraId="4D3AE230" w14:textId="77777777" w:rsidR="005E64D9" w:rsidRPr="00951AB1" w:rsidRDefault="005E64D9" w:rsidP="000A5389">
            <w:pPr>
              <w:spacing w:line="240" w:lineRule="auto"/>
              <w:rPr>
                <w:rFonts w:eastAsia="Times New Roman" w:cs="Times New Roman"/>
                <w:color w:val="000000"/>
                <w:kern w:val="0"/>
                <w:sz w:val="14"/>
                <w:szCs w:val="14"/>
                <w:lang w:eastAsia="es-CO"/>
                <w14:ligatures w14:val="none"/>
              </w:rPr>
            </w:pPr>
            <w:r w:rsidRPr="00951AB1">
              <w:rPr>
                <w:rFonts w:cs="Times New Roman"/>
                <w:color w:val="000000"/>
                <w:sz w:val="14"/>
                <w:szCs w:val="14"/>
              </w:rPr>
              <w:t>Derechos de tránsito</w:t>
            </w:r>
          </w:p>
        </w:tc>
        <w:tc>
          <w:tcPr>
            <w:tcW w:w="992" w:type="dxa"/>
            <w:tcBorders>
              <w:top w:val="nil"/>
              <w:left w:val="nil"/>
              <w:bottom w:val="single" w:sz="4" w:space="0" w:color="auto"/>
              <w:right w:val="single" w:sz="4" w:space="0" w:color="auto"/>
            </w:tcBorders>
            <w:noWrap/>
            <w:vAlign w:val="center"/>
            <w:hideMark/>
          </w:tcPr>
          <w:p w14:paraId="67042FB1" w14:textId="77777777" w:rsidR="005E64D9" w:rsidRPr="00951AB1" w:rsidRDefault="005E64D9" w:rsidP="000A5389">
            <w:pPr>
              <w:spacing w:line="240" w:lineRule="auto"/>
              <w:jc w:val="center"/>
              <w:rPr>
                <w:rFonts w:eastAsia="Times New Roman" w:cs="Times New Roman"/>
                <w:color w:val="000000"/>
                <w:kern w:val="0"/>
                <w:sz w:val="14"/>
                <w:szCs w:val="14"/>
                <w:lang w:eastAsia="es-CO"/>
                <w14:ligatures w14:val="none"/>
              </w:rPr>
            </w:pPr>
            <w:r w:rsidRPr="00951AB1">
              <w:rPr>
                <w:rFonts w:cs="Times New Roman"/>
                <w:color w:val="000000"/>
                <w:sz w:val="14"/>
                <w:szCs w:val="14"/>
              </w:rPr>
              <w:t>30/12/2025</w:t>
            </w:r>
          </w:p>
        </w:tc>
        <w:tc>
          <w:tcPr>
            <w:tcW w:w="1843" w:type="dxa"/>
            <w:tcBorders>
              <w:top w:val="nil"/>
              <w:left w:val="nil"/>
              <w:bottom w:val="single" w:sz="4" w:space="0" w:color="auto"/>
              <w:right w:val="single" w:sz="4" w:space="0" w:color="auto"/>
            </w:tcBorders>
            <w:noWrap/>
            <w:vAlign w:val="center"/>
            <w:hideMark/>
          </w:tcPr>
          <w:p w14:paraId="26A6747E" w14:textId="4D3C82D9" w:rsidR="005E64D9" w:rsidRPr="00951AB1" w:rsidRDefault="00DB2570" w:rsidP="000A5389">
            <w:pPr>
              <w:spacing w:line="240" w:lineRule="auto"/>
              <w:rPr>
                <w:rFonts w:eastAsia="Times New Roman" w:cs="Times New Roman"/>
                <w:color w:val="000000"/>
                <w:kern w:val="0"/>
                <w:sz w:val="14"/>
                <w:szCs w:val="14"/>
                <w:lang w:eastAsia="es-CO"/>
                <w14:ligatures w14:val="none"/>
              </w:rPr>
            </w:pPr>
            <w:r w:rsidRPr="00951AB1">
              <w:rPr>
                <w:rFonts w:cs="Times New Roman"/>
                <w:color w:val="000000"/>
                <w:sz w:val="14"/>
                <w:szCs w:val="14"/>
              </w:rPr>
              <w:t>Drummond LTD</w:t>
            </w:r>
          </w:p>
        </w:tc>
        <w:tc>
          <w:tcPr>
            <w:tcW w:w="1134" w:type="dxa"/>
            <w:tcBorders>
              <w:top w:val="nil"/>
              <w:left w:val="nil"/>
              <w:bottom w:val="single" w:sz="4" w:space="0" w:color="auto"/>
              <w:right w:val="single" w:sz="4" w:space="0" w:color="auto"/>
            </w:tcBorders>
            <w:noWrap/>
            <w:vAlign w:val="center"/>
            <w:hideMark/>
          </w:tcPr>
          <w:p w14:paraId="5ACFBB6C" w14:textId="77777777" w:rsidR="005E64D9" w:rsidRPr="00951AB1" w:rsidRDefault="005E64D9" w:rsidP="000A5389">
            <w:pPr>
              <w:spacing w:line="240" w:lineRule="auto"/>
              <w:jc w:val="right"/>
              <w:rPr>
                <w:rFonts w:eastAsia="Times New Roman" w:cs="Times New Roman"/>
                <w:color w:val="000000"/>
                <w:kern w:val="0"/>
                <w:sz w:val="14"/>
                <w:szCs w:val="14"/>
                <w:lang w:eastAsia="es-CO"/>
                <w14:ligatures w14:val="none"/>
              </w:rPr>
            </w:pPr>
            <w:r w:rsidRPr="00951AB1">
              <w:rPr>
                <w:rFonts w:cs="Times New Roman"/>
                <w:color w:val="000000"/>
                <w:sz w:val="14"/>
                <w:szCs w:val="14"/>
              </w:rPr>
              <w:t>13.873.722.086</w:t>
            </w:r>
          </w:p>
        </w:tc>
        <w:tc>
          <w:tcPr>
            <w:tcW w:w="1134" w:type="dxa"/>
            <w:tcBorders>
              <w:top w:val="nil"/>
              <w:left w:val="nil"/>
              <w:bottom w:val="single" w:sz="4" w:space="0" w:color="auto"/>
              <w:right w:val="single" w:sz="4" w:space="0" w:color="auto"/>
            </w:tcBorders>
            <w:noWrap/>
            <w:vAlign w:val="center"/>
            <w:hideMark/>
          </w:tcPr>
          <w:p w14:paraId="6E55FA2B" w14:textId="77777777" w:rsidR="005E64D9" w:rsidRPr="00951AB1" w:rsidRDefault="005E64D9" w:rsidP="000A5389">
            <w:pPr>
              <w:spacing w:line="240" w:lineRule="auto"/>
              <w:jc w:val="right"/>
              <w:rPr>
                <w:rFonts w:eastAsia="Times New Roman" w:cs="Times New Roman"/>
                <w:color w:val="000000"/>
                <w:kern w:val="0"/>
                <w:sz w:val="14"/>
                <w:szCs w:val="14"/>
                <w:lang w:eastAsia="es-CO"/>
                <w14:ligatures w14:val="none"/>
              </w:rPr>
            </w:pPr>
            <w:r w:rsidRPr="00951AB1">
              <w:rPr>
                <w:rFonts w:cs="Times New Roman"/>
                <w:color w:val="000000"/>
                <w:sz w:val="14"/>
                <w:szCs w:val="14"/>
              </w:rPr>
              <w:t>13.873.722.086</w:t>
            </w:r>
          </w:p>
        </w:tc>
        <w:tc>
          <w:tcPr>
            <w:tcW w:w="992" w:type="dxa"/>
            <w:tcBorders>
              <w:top w:val="nil"/>
              <w:left w:val="nil"/>
              <w:bottom w:val="single" w:sz="4" w:space="0" w:color="auto"/>
              <w:right w:val="single" w:sz="4" w:space="0" w:color="auto"/>
            </w:tcBorders>
            <w:noWrap/>
            <w:vAlign w:val="center"/>
            <w:hideMark/>
          </w:tcPr>
          <w:p w14:paraId="736B3EF3" w14:textId="77777777" w:rsidR="005E64D9" w:rsidRPr="00951AB1" w:rsidRDefault="005E64D9" w:rsidP="000A5389">
            <w:pPr>
              <w:spacing w:line="240" w:lineRule="auto"/>
              <w:jc w:val="right"/>
              <w:rPr>
                <w:rFonts w:eastAsia="Times New Roman" w:cs="Times New Roman"/>
                <w:color w:val="000000"/>
                <w:kern w:val="0"/>
                <w:sz w:val="14"/>
                <w:szCs w:val="14"/>
                <w:lang w:eastAsia="es-CO"/>
                <w14:ligatures w14:val="none"/>
              </w:rPr>
            </w:pPr>
            <w:r w:rsidRPr="00951AB1">
              <w:rPr>
                <w:rFonts w:cs="Times New Roman"/>
                <w:color w:val="000000"/>
                <w:sz w:val="14"/>
                <w:szCs w:val="14"/>
              </w:rPr>
              <w:t> </w:t>
            </w:r>
          </w:p>
        </w:tc>
        <w:tc>
          <w:tcPr>
            <w:tcW w:w="753" w:type="dxa"/>
            <w:tcBorders>
              <w:top w:val="nil"/>
              <w:left w:val="nil"/>
              <w:bottom w:val="single" w:sz="4" w:space="0" w:color="auto"/>
              <w:right w:val="single" w:sz="4" w:space="0" w:color="auto"/>
            </w:tcBorders>
            <w:noWrap/>
            <w:vAlign w:val="center"/>
            <w:hideMark/>
          </w:tcPr>
          <w:p w14:paraId="745AEFE1" w14:textId="77777777" w:rsidR="005E64D9" w:rsidRPr="00951AB1" w:rsidRDefault="005E64D9" w:rsidP="000A5389">
            <w:pPr>
              <w:spacing w:line="240" w:lineRule="auto"/>
              <w:jc w:val="right"/>
              <w:rPr>
                <w:rFonts w:eastAsia="Times New Roman" w:cs="Times New Roman"/>
                <w:color w:val="000000"/>
                <w:kern w:val="0"/>
                <w:sz w:val="14"/>
                <w:szCs w:val="14"/>
                <w:lang w:eastAsia="es-CO"/>
                <w14:ligatures w14:val="none"/>
              </w:rPr>
            </w:pPr>
            <w:r w:rsidRPr="00951AB1">
              <w:rPr>
                <w:rFonts w:cs="Times New Roman"/>
                <w:color w:val="000000"/>
                <w:sz w:val="14"/>
                <w:szCs w:val="14"/>
              </w:rPr>
              <w:t> </w:t>
            </w:r>
          </w:p>
        </w:tc>
      </w:tr>
      <w:tr w:rsidR="00DB2570" w:rsidRPr="00951AB1" w14:paraId="5D06CF05" w14:textId="77777777" w:rsidTr="003076E2">
        <w:trPr>
          <w:trHeight w:val="255"/>
        </w:trPr>
        <w:tc>
          <w:tcPr>
            <w:tcW w:w="1980" w:type="dxa"/>
            <w:tcBorders>
              <w:top w:val="nil"/>
              <w:left w:val="single" w:sz="4" w:space="0" w:color="auto"/>
              <w:bottom w:val="single" w:sz="4" w:space="0" w:color="auto"/>
              <w:right w:val="single" w:sz="4" w:space="0" w:color="auto"/>
            </w:tcBorders>
            <w:noWrap/>
            <w:vAlign w:val="center"/>
            <w:hideMark/>
          </w:tcPr>
          <w:p w14:paraId="355ABD45" w14:textId="77777777" w:rsidR="005E64D9" w:rsidRPr="00951AB1" w:rsidRDefault="005E64D9" w:rsidP="000A5389">
            <w:pPr>
              <w:spacing w:line="240" w:lineRule="auto"/>
              <w:rPr>
                <w:rFonts w:eastAsia="Times New Roman" w:cs="Times New Roman"/>
                <w:color w:val="000000"/>
                <w:kern w:val="0"/>
                <w:sz w:val="14"/>
                <w:szCs w:val="14"/>
                <w:lang w:eastAsia="es-CO"/>
                <w14:ligatures w14:val="none"/>
              </w:rPr>
            </w:pPr>
            <w:r w:rsidRPr="00951AB1">
              <w:rPr>
                <w:rFonts w:cs="Times New Roman"/>
                <w:color w:val="000000"/>
                <w:sz w:val="14"/>
                <w:szCs w:val="14"/>
              </w:rPr>
              <w:t>Sanciones contractuales</w:t>
            </w:r>
          </w:p>
        </w:tc>
        <w:tc>
          <w:tcPr>
            <w:tcW w:w="992" w:type="dxa"/>
            <w:tcBorders>
              <w:top w:val="nil"/>
              <w:left w:val="nil"/>
              <w:bottom w:val="single" w:sz="4" w:space="0" w:color="auto"/>
              <w:right w:val="single" w:sz="4" w:space="0" w:color="auto"/>
            </w:tcBorders>
            <w:noWrap/>
            <w:vAlign w:val="center"/>
            <w:hideMark/>
          </w:tcPr>
          <w:p w14:paraId="751BCE24" w14:textId="77777777" w:rsidR="005E64D9" w:rsidRPr="00951AB1" w:rsidRDefault="005E64D9" w:rsidP="000A5389">
            <w:pPr>
              <w:spacing w:line="240" w:lineRule="auto"/>
              <w:jc w:val="center"/>
              <w:rPr>
                <w:rFonts w:eastAsia="Times New Roman" w:cs="Times New Roman"/>
                <w:color w:val="000000"/>
                <w:kern w:val="0"/>
                <w:sz w:val="14"/>
                <w:szCs w:val="14"/>
                <w:lang w:eastAsia="es-CO"/>
                <w14:ligatures w14:val="none"/>
              </w:rPr>
            </w:pPr>
            <w:r w:rsidRPr="00951AB1">
              <w:rPr>
                <w:rFonts w:cs="Times New Roman"/>
                <w:color w:val="000000"/>
                <w:sz w:val="14"/>
                <w:szCs w:val="14"/>
              </w:rPr>
              <w:t>5/09/2025</w:t>
            </w:r>
          </w:p>
        </w:tc>
        <w:tc>
          <w:tcPr>
            <w:tcW w:w="1843" w:type="dxa"/>
            <w:tcBorders>
              <w:top w:val="nil"/>
              <w:left w:val="nil"/>
              <w:bottom w:val="single" w:sz="4" w:space="0" w:color="auto"/>
              <w:right w:val="single" w:sz="4" w:space="0" w:color="auto"/>
            </w:tcBorders>
            <w:noWrap/>
            <w:vAlign w:val="center"/>
            <w:hideMark/>
          </w:tcPr>
          <w:p w14:paraId="46C01F42" w14:textId="6F05689F" w:rsidR="005E64D9" w:rsidRPr="00951AB1" w:rsidRDefault="00DB2570" w:rsidP="000A5389">
            <w:pPr>
              <w:spacing w:line="240" w:lineRule="auto"/>
              <w:rPr>
                <w:rFonts w:eastAsia="Times New Roman" w:cs="Times New Roman"/>
                <w:color w:val="000000"/>
                <w:kern w:val="0"/>
                <w:sz w:val="14"/>
                <w:szCs w:val="14"/>
                <w:lang w:eastAsia="es-CO"/>
                <w14:ligatures w14:val="none"/>
              </w:rPr>
            </w:pPr>
            <w:r w:rsidRPr="00951AB1">
              <w:rPr>
                <w:rFonts w:cs="Times New Roman"/>
                <w:color w:val="000000"/>
                <w:sz w:val="14"/>
                <w:szCs w:val="14"/>
              </w:rPr>
              <w:t xml:space="preserve">Sociedad Portuaria Energética multipropósito Y </w:t>
            </w:r>
            <w:r w:rsidRPr="00951AB1">
              <w:rPr>
                <w:rFonts w:cs="Times New Roman"/>
                <w:color w:val="000000"/>
                <w:sz w:val="14"/>
                <w:szCs w:val="14"/>
              </w:rPr>
              <w:lastRenderedPageBreak/>
              <w:t>Contenedores Puerto Solo Buenaventura S. A</w:t>
            </w:r>
          </w:p>
        </w:tc>
        <w:tc>
          <w:tcPr>
            <w:tcW w:w="1134" w:type="dxa"/>
            <w:tcBorders>
              <w:top w:val="nil"/>
              <w:left w:val="nil"/>
              <w:bottom w:val="single" w:sz="4" w:space="0" w:color="auto"/>
              <w:right w:val="single" w:sz="4" w:space="0" w:color="auto"/>
            </w:tcBorders>
            <w:noWrap/>
            <w:vAlign w:val="center"/>
            <w:hideMark/>
          </w:tcPr>
          <w:p w14:paraId="537BFB45" w14:textId="77777777" w:rsidR="005E64D9" w:rsidRPr="00951AB1" w:rsidRDefault="005E64D9" w:rsidP="000A5389">
            <w:pPr>
              <w:spacing w:line="240" w:lineRule="auto"/>
              <w:jc w:val="right"/>
              <w:rPr>
                <w:rFonts w:eastAsia="Times New Roman" w:cs="Times New Roman"/>
                <w:color w:val="000000"/>
                <w:kern w:val="0"/>
                <w:sz w:val="14"/>
                <w:szCs w:val="14"/>
                <w:lang w:eastAsia="es-CO"/>
                <w14:ligatures w14:val="none"/>
              </w:rPr>
            </w:pPr>
            <w:r w:rsidRPr="00951AB1">
              <w:rPr>
                <w:rFonts w:cs="Times New Roman"/>
                <w:color w:val="000000"/>
                <w:sz w:val="14"/>
                <w:szCs w:val="14"/>
              </w:rPr>
              <w:lastRenderedPageBreak/>
              <w:t>2.388.950.503</w:t>
            </w:r>
          </w:p>
        </w:tc>
        <w:tc>
          <w:tcPr>
            <w:tcW w:w="1134" w:type="dxa"/>
            <w:tcBorders>
              <w:top w:val="nil"/>
              <w:left w:val="nil"/>
              <w:bottom w:val="single" w:sz="4" w:space="0" w:color="auto"/>
              <w:right w:val="single" w:sz="4" w:space="0" w:color="auto"/>
            </w:tcBorders>
            <w:noWrap/>
            <w:vAlign w:val="center"/>
            <w:hideMark/>
          </w:tcPr>
          <w:p w14:paraId="56636D2B" w14:textId="77777777" w:rsidR="005E64D9" w:rsidRPr="00951AB1" w:rsidRDefault="005E64D9" w:rsidP="000A5389">
            <w:pPr>
              <w:spacing w:line="240" w:lineRule="auto"/>
              <w:jc w:val="right"/>
              <w:rPr>
                <w:rFonts w:eastAsia="Times New Roman" w:cs="Times New Roman"/>
                <w:color w:val="000000"/>
                <w:kern w:val="0"/>
                <w:sz w:val="14"/>
                <w:szCs w:val="14"/>
                <w:lang w:eastAsia="es-CO"/>
                <w14:ligatures w14:val="none"/>
              </w:rPr>
            </w:pPr>
            <w:r w:rsidRPr="00951AB1">
              <w:rPr>
                <w:rFonts w:cs="Times New Roman"/>
                <w:color w:val="000000"/>
                <w:sz w:val="14"/>
                <w:szCs w:val="14"/>
              </w:rPr>
              <w:t>2.388.950.503</w:t>
            </w:r>
          </w:p>
        </w:tc>
        <w:tc>
          <w:tcPr>
            <w:tcW w:w="992" w:type="dxa"/>
            <w:tcBorders>
              <w:top w:val="nil"/>
              <w:left w:val="nil"/>
              <w:bottom w:val="single" w:sz="4" w:space="0" w:color="auto"/>
              <w:right w:val="single" w:sz="4" w:space="0" w:color="auto"/>
            </w:tcBorders>
            <w:noWrap/>
            <w:vAlign w:val="center"/>
            <w:hideMark/>
          </w:tcPr>
          <w:p w14:paraId="3F5FE210" w14:textId="77777777" w:rsidR="005E64D9" w:rsidRPr="00951AB1" w:rsidRDefault="005E64D9" w:rsidP="000A5389">
            <w:pPr>
              <w:spacing w:line="240" w:lineRule="auto"/>
              <w:jc w:val="right"/>
              <w:rPr>
                <w:rFonts w:eastAsia="Times New Roman" w:cs="Times New Roman"/>
                <w:color w:val="000000"/>
                <w:kern w:val="0"/>
                <w:sz w:val="14"/>
                <w:szCs w:val="14"/>
                <w:lang w:eastAsia="es-CO"/>
                <w14:ligatures w14:val="none"/>
              </w:rPr>
            </w:pPr>
            <w:r w:rsidRPr="00951AB1">
              <w:rPr>
                <w:rFonts w:cs="Times New Roman"/>
                <w:color w:val="000000"/>
                <w:sz w:val="14"/>
                <w:szCs w:val="14"/>
              </w:rPr>
              <w:t> </w:t>
            </w:r>
          </w:p>
        </w:tc>
        <w:tc>
          <w:tcPr>
            <w:tcW w:w="753" w:type="dxa"/>
            <w:tcBorders>
              <w:top w:val="nil"/>
              <w:left w:val="nil"/>
              <w:bottom w:val="single" w:sz="4" w:space="0" w:color="auto"/>
              <w:right w:val="single" w:sz="4" w:space="0" w:color="auto"/>
            </w:tcBorders>
            <w:noWrap/>
            <w:vAlign w:val="center"/>
            <w:hideMark/>
          </w:tcPr>
          <w:p w14:paraId="5C7058AD" w14:textId="77777777" w:rsidR="005E64D9" w:rsidRPr="00951AB1" w:rsidRDefault="005E64D9" w:rsidP="000A5389">
            <w:pPr>
              <w:spacing w:line="240" w:lineRule="auto"/>
              <w:jc w:val="right"/>
              <w:rPr>
                <w:rFonts w:eastAsia="Times New Roman" w:cs="Times New Roman"/>
                <w:color w:val="000000"/>
                <w:kern w:val="0"/>
                <w:sz w:val="14"/>
                <w:szCs w:val="14"/>
                <w:lang w:eastAsia="es-CO"/>
                <w14:ligatures w14:val="none"/>
              </w:rPr>
            </w:pPr>
            <w:r w:rsidRPr="00951AB1">
              <w:rPr>
                <w:rFonts w:cs="Times New Roman"/>
                <w:color w:val="000000"/>
                <w:sz w:val="14"/>
                <w:szCs w:val="14"/>
              </w:rPr>
              <w:t> </w:t>
            </w:r>
          </w:p>
        </w:tc>
      </w:tr>
      <w:tr w:rsidR="00DB2570" w:rsidRPr="00951AB1" w14:paraId="07BA8FC8" w14:textId="77777777" w:rsidTr="003076E2">
        <w:trPr>
          <w:trHeight w:val="255"/>
        </w:trPr>
        <w:tc>
          <w:tcPr>
            <w:tcW w:w="1980" w:type="dxa"/>
            <w:tcBorders>
              <w:top w:val="nil"/>
              <w:left w:val="single" w:sz="4" w:space="0" w:color="auto"/>
              <w:bottom w:val="single" w:sz="4" w:space="0" w:color="auto"/>
              <w:right w:val="single" w:sz="4" w:space="0" w:color="auto"/>
            </w:tcBorders>
            <w:noWrap/>
            <w:vAlign w:val="center"/>
            <w:hideMark/>
          </w:tcPr>
          <w:p w14:paraId="6940DB6A" w14:textId="77777777" w:rsidR="005E64D9" w:rsidRPr="00951AB1" w:rsidRDefault="005E64D9" w:rsidP="000A5389">
            <w:pPr>
              <w:spacing w:line="240" w:lineRule="auto"/>
              <w:rPr>
                <w:rFonts w:eastAsia="Times New Roman" w:cs="Times New Roman"/>
                <w:color w:val="000000"/>
                <w:kern w:val="0"/>
                <w:sz w:val="14"/>
                <w:szCs w:val="14"/>
                <w:lang w:eastAsia="es-CO"/>
                <w14:ligatures w14:val="none"/>
              </w:rPr>
            </w:pPr>
            <w:r w:rsidRPr="00951AB1">
              <w:rPr>
                <w:rFonts w:cs="Times New Roman"/>
                <w:color w:val="000000"/>
                <w:sz w:val="14"/>
                <w:szCs w:val="14"/>
              </w:rPr>
              <w:t>Sanciones contractuales</w:t>
            </w:r>
          </w:p>
        </w:tc>
        <w:tc>
          <w:tcPr>
            <w:tcW w:w="992" w:type="dxa"/>
            <w:tcBorders>
              <w:top w:val="nil"/>
              <w:left w:val="nil"/>
              <w:bottom w:val="single" w:sz="4" w:space="0" w:color="auto"/>
              <w:right w:val="single" w:sz="4" w:space="0" w:color="auto"/>
            </w:tcBorders>
            <w:noWrap/>
            <w:vAlign w:val="center"/>
            <w:hideMark/>
          </w:tcPr>
          <w:p w14:paraId="782E6139" w14:textId="77777777" w:rsidR="005E64D9" w:rsidRPr="00951AB1" w:rsidRDefault="005E64D9" w:rsidP="000A5389">
            <w:pPr>
              <w:spacing w:line="240" w:lineRule="auto"/>
              <w:jc w:val="center"/>
              <w:rPr>
                <w:rFonts w:eastAsia="Times New Roman" w:cs="Times New Roman"/>
                <w:color w:val="000000"/>
                <w:kern w:val="0"/>
                <w:sz w:val="14"/>
                <w:szCs w:val="14"/>
                <w:lang w:eastAsia="es-CO"/>
                <w14:ligatures w14:val="none"/>
              </w:rPr>
            </w:pPr>
            <w:r w:rsidRPr="00951AB1">
              <w:rPr>
                <w:rFonts w:cs="Times New Roman"/>
                <w:color w:val="000000"/>
                <w:sz w:val="14"/>
                <w:szCs w:val="14"/>
              </w:rPr>
              <w:t>9/09/2025</w:t>
            </w:r>
          </w:p>
        </w:tc>
        <w:tc>
          <w:tcPr>
            <w:tcW w:w="1843" w:type="dxa"/>
            <w:tcBorders>
              <w:top w:val="nil"/>
              <w:left w:val="nil"/>
              <w:bottom w:val="single" w:sz="4" w:space="0" w:color="auto"/>
              <w:right w:val="single" w:sz="4" w:space="0" w:color="auto"/>
            </w:tcBorders>
            <w:noWrap/>
            <w:vAlign w:val="center"/>
            <w:hideMark/>
          </w:tcPr>
          <w:p w14:paraId="2654C13E" w14:textId="3C046757" w:rsidR="005E64D9" w:rsidRPr="00951AB1" w:rsidRDefault="00DB2570" w:rsidP="000A5389">
            <w:pPr>
              <w:spacing w:line="240" w:lineRule="auto"/>
              <w:rPr>
                <w:rFonts w:eastAsia="Times New Roman" w:cs="Times New Roman"/>
                <w:color w:val="000000"/>
                <w:kern w:val="0"/>
                <w:sz w:val="14"/>
                <w:szCs w:val="14"/>
                <w:lang w:eastAsia="es-CO"/>
                <w14:ligatures w14:val="none"/>
              </w:rPr>
            </w:pPr>
            <w:r w:rsidRPr="00951AB1">
              <w:rPr>
                <w:rFonts w:cs="Times New Roman"/>
                <w:color w:val="000000"/>
                <w:sz w:val="14"/>
                <w:szCs w:val="14"/>
              </w:rPr>
              <w:t>Consorcio Velnec - GNG</w:t>
            </w:r>
          </w:p>
        </w:tc>
        <w:tc>
          <w:tcPr>
            <w:tcW w:w="1134" w:type="dxa"/>
            <w:tcBorders>
              <w:top w:val="nil"/>
              <w:left w:val="nil"/>
              <w:bottom w:val="single" w:sz="4" w:space="0" w:color="auto"/>
              <w:right w:val="single" w:sz="4" w:space="0" w:color="auto"/>
            </w:tcBorders>
            <w:noWrap/>
            <w:vAlign w:val="center"/>
            <w:hideMark/>
          </w:tcPr>
          <w:p w14:paraId="1C8632FB" w14:textId="77777777" w:rsidR="005E64D9" w:rsidRPr="00951AB1" w:rsidRDefault="005E64D9" w:rsidP="000A5389">
            <w:pPr>
              <w:spacing w:line="240" w:lineRule="auto"/>
              <w:jc w:val="right"/>
              <w:rPr>
                <w:rFonts w:eastAsia="Times New Roman" w:cs="Times New Roman"/>
                <w:color w:val="000000"/>
                <w:kern w:val="0"/>
                <w:sz w:val="14"/>
                <w:szCs w:val="14"/>
                <w:lang w:eastAsia="es-CO"/>
                <w14:ligatures w14:val="none"/>
              </w:rPr>
            </w:pPr>
            <w:r w:rsidRPr="00951AB1">
              <w:rPr>
                <w:rFonts w:cs="Times New Roman"/>
                <w:color w:val="000000"/>
                <w:sz w:val="14"/>
                <w:szCs w:val="14"/>
              </w:rPr>
              <w:t>2.176.129.175</w:t>
            </w:r>
          </w:p>
        </w:tc>
        <w:tc>
          <w:tcPr>
            <w:tcW w:w="1134" w:type="dxa"/>
            <w:tcBorders>
              <w:top w:val="nil"/>
              <w:left w:val="nil"/>
              <w:bottom w:val="single" w:sz="4" w:space="0" w:color="auto"/>
              <w:right w:val="single" w:sz="4" w:space="0" w:color="auto"/>
            </w:tcBorders>
            <w:noWrap/>
            <w:vAlign w:val="center"/>
            <w:hideMark/>
          </w:tcPr>
          <w:p w14:paraId="635E7749" w14:textId="77777777" w:rsidR="005E64D9" w:rsidRPr="00951AB1" w:rsidRDefault="005E64D9" w:rsidP="000A5389">
            <w:pPr>
              <w:spacing w:line="240" w:lineRule="auto"/>
              <w:jc w:val="right"/>
              <w:rPr>
                <w:rFonts w:eastAsia="Times New Roman" w:cs="Times New Roman"/>
                <w:color w:val="000000"/>
                <w:kern w:val="0"/>
                <w:sz w:val="14"/>
                <w:szCs w:val="14"/>
                <w:lang w:eastAsia="es-CO"/>
                <w14:ligatures w14:val="none"/>
              </w:rPr>
            </w:pPr>
            <w:r w:rsidRPr="00951AB1">
              <w:rPr>
                <w:rFonts w:cs="Times New Roman"/>
                <w:color w:val="000000"/>
                <w:sz w:val="14"/>
                <w:szCs w:val="14"/>
              </w:rPr>
              <w:t>2.176.129.175</w:t>
            </w:r>
          </w:p>
        </w:tc>
        <w:tc>
          <w:tcPr>
            <w:tcW w:w="992" w:type="dxa"/>
            <w:tcBorders>
              <w:top w:val="nil"/>
              <w:left w:val="nil"/>
              <w:bottom w:val="single" w:sz="4" w:space="0" w:color="auto"/>
              <w:right w:val="single" w:sz="4" w:space="0" w:color="auto"/>
            </w:tcBorders>
            <w:noWrap/>
            <w:vAlign w:val="center"/>
            <w:hideMark/>
          </w:tcPr>
          <w:p w14:paraId="3A131CE3" w14:textId="77777777" w:rsidR="005E64D9" w:rsidRPr="00951AB1" w:rsidRDefault="005E64D9" w:rsidP="000A5389">
            <w:pPr>
              <w:spacing w:line="240" w:lineRule="auto"/>
              <w:jc w:val="right"/>
              <w:rPr>
                <w:rFonts w:eastAsia="Times New Roman" w:cs="Times New Roman"/>
                <w:color w:val="000000"/>
                <w:kern w:val="0"/>
                <w:sz w:val="14"/>
                <w:szCs w:val="14"/>
                <w:lang w:eastAsia="es-CO"/>
                <w14:ligatures w14:val="none"/>
              </w:rPr>
            </w:pPr>
            <w:r w:rsidRPr="00951AB1">
              <w:rPr>
                <w:rFonts w:cs="Times New Roman"/>
                <w:color w:val="000000"/>
                <w:sz w:val="14"/>
                <w:szCs w:val="14"/>
              </w:rPr>
              <w:t> </w:t>
            </w:r>
          </w:p>
        </w:tc>
        <w:tc>
          <w:tcPr>
            <w:tcW w:w="753" w:type="dxa"/>
            <w:tcBorders>
              <w:top w:val="nil"/>
              <w:left w:val="nil"/>
              <w:bottom w:val="single" w:sz="4" w:space="0" w:color="auto"/>
              <w:right w:val="single" w:sz="4" w:space="0" w:color="auto"/>
            </w:tcBorders>
            <w:noWrap/>
            <w:vAlign w:val="center"/>
            <w:hideMark/>
          </w:tcPr>
          <w:p w14:paraId="0A48037D" w14:textId="77777777" w:rsidR="005E64D9" w:rsidRPr="00951AB1" w:rsidRDefault="005E64D9" w:rsidP="000A5389">
            <w:pPr>
              <w:spacing w:line="240" w:lineRule="auto"/>
              <w:jc w:val="right"/>
              <w:rPr>
                <w:rFonts w:eastAsia="Times New Roman" w:cs="Times New Roman"/>
                <w:color w:val="000000"/>
                <w:kern w:val="0"/>
                <w:sz w:val="14"/>
                <w:szCs w:val="14"/>
                <w:lang w:eastAsia="es-CO"/>
                <w14:ligatures w14:val="none"/>
              </w:rPr>
            </w:pPr>
            <w:r w:rsidRPr="00951AB1">
              <w:rPr>
                <w:rFonts w:cs="Times New Roman"/>
                <w:color w:val="000000"/>
                <w:sz w:val="14"/>
                <w:szCs w:val="14"/>
              </w:rPr>
              <w:t> </w:t>
            </w:r>
          </w:p>
        </w:tc>
      </w:tr>
      <w:tr w:rsidR="00DB2570" w:rsidRPr="00951AB1" w14:paraId="4424DD5F" w14:textId="77777777" w:rsidTr="003076E2">
        <w:trPr>
          <w:trHeight w:val="255"/>
        </w:trPr>
        <w:tc>
          <w:tcPr>
            <w:tcW w:w="1980" w:type="dxa"/>
            <w:tcBorders>
              <w:top w:val="nil"/>
              <w:left w:val="single" w:sz="4" w:space="0" w:color="auto"/>
              <w:bottom w:val="single" w:sz="4" w:space="0" w:color="auto"/>
              <w:right w:val="single" w:sz="4" w:space="0" w:color="auto"/>
            </w:tcBorders>
            <w:noWrap/>
            <w:vAlign w:val="center"/>
            <w:hideMark/>
          </w:tcPr>
          <w:p w14:paraId="1B2A9611" w14:textId="77777777" w:rsidR="005E64D9" w:rsidRPr="00951AB1" w:rsidRDefault="005E64D9" w:rsidP="000A5389">
            <w:pPr>
              <w:spacing w:line="240" w:lineRule="auto"/>
              <w:rPr>
                <w:rFonts w:eastAsia="Times New Roman" w:cs="Times New Roman"/>
                <w:color w:val="000000"/>
                <w:kern w:val="0"/>
                <w:sz w:val="14"/>
                <w:szCs w:val="14"/>
                <w:lang w:eastAsia="es-CO"/>
                <w14:ligatures w14:val="none"/>
              </w:rPr>
            </w:pPr>
            <w:r w:rsidRPr="00951AB1">
              <w:rPr>
                <w:rFonts w:cs="Times New Roman"/>
                <w:color w:val="000000"/>
                <w:sz w:val="14"/>
                <w:szCs w:val="14"/>
              </w:rPr>
              <w:t xml:space="preserve">Derechos cobrados por terceros </w:t>
            </w:r>
          </w:p>
        </w:tc>
        <w:tc>
          <w:tcPr>
            <w:tcW w:w="992" w:type="dxa"/>
            <w:tcBorders>
              <w:top w:val="nil"/>
              <w:left w:val="nil"/>
              <w:bottom w:val="single" w:sz="4" w:space="0" w:color="auto"/>
              <w:right w:val="single" w:sz="4" w:space="0" w:color="auto"/>
            </w:tcBorders>
            <w:noWrap/>
            <w:vAlign w:val="center"/>
            <w:hideMark/>
          </w:tcPr>
          <w:p w14:paraId="4BCBDCAC" w14:textId="77777777" w:rsidR="005E64D9" w:rsidRPr="00951AB1" w:rsidRDefault="005E64D9" w:rsidP="000A5389">
            <w:pPr>
              <w:spacing w:line="240" w:lineRule="auto"/>
              <w:jc w:val="center"/>
              <w:rPr>
                <w:rFonts w:eastAsia="Times New Roman" w:cs="Times New Roman"/>
                <w:color w:val="000000"/>
                <w:kern w:val="0"/>
                <w:sz w:val="14"/>
                <w:szCs w:val="14"/>
                <w:lang w:eastAsia="es-CO"/>
                <w14:ligatures w14:val="none"/>
              </w:rPr>
            </w:pPr>
            <w:r w:rsidRPr="00951AB1">
              <w:rPr>
                <w:rFonts w:cs="Times New Roman"/>
                <w:color w:val="000000"/>
                <w:sz w:val="14"/>
                <w:szCs w:val="14"/>
              </w:rPr>
              <w:t>30/12/2025</w:t>
            </w:r>
          </w:p>
        </w:tc>
        <w:tc>
          <w:tcPr>
            <w:tcW w:w="1843" w:type="dxa"/>
            <w:tcBorders>
              <w:top w:val="nil"/>
              <w:left w:val="nil"/>
              <w:bottom w:val="single" w:sz="4" w:space="0" w:color="auto"/>
              <w:right w:val="single" w:sz="4" w:space="0" w:color="auto"/>
            </w:tcBorders>
            <w:noWrap/>
            <w:vAlign w:val="center"/>
            <w:hideMark/>
          </w:tcPr>
          <w:p w14:paraId="66DD8BCC" w14:textId="03FC39FC" w:rsidR="005E64D9" w:rsidRPr="00951AB1" w:rsidRDefault="00DB2570" w:rsidP="000A5389">
            <w:pPr>
              <w:spacing w:line="240" w:lineRule="auto"/>
              <w:rPr>
                <w:rFonts w:eastAsia="Times New Roman" w:cs="Times New Roman"/>
                <w:color w:val="000000"/>
                <w:kern w:val="0"/>
                <w:sz w:val="14"/>
                <w:szCs w:val="14"/>
                <w:lang w:eastAsia="es-CO"/>
                <w14:ligatures w14:val="none"/>
              </w:rPr>
            </w:pPr>
            <w:r w:rsidRPr="00951AB1">
              <w:rPr>
                <w:rFonts w:cs="Times New Roman"/>
                <w:color w:val="000000"/>
                <w:sz w:val="14"/>
                <w:szCs w:val="14"/>
              </w:rPr>
              <w:t>Unidad Administrativa Especial De Aeronáutica Civil</w:t>
            </w:r>
          </w:p>
        </w:tc>
        <w:tc>
          <w:tcPr>
            <w:tcW w:w="1134" w:type="dxa"/>
            <w:tcBorders>
              <w:top w:val="nil"/>
              <w:left w:val="nil"/>
              <w:bottom w:val="single" w:sz="4" w:space="0" w:color="auto"/>
              <w:right w:val="single" w:sz="4" w:space="0" w:color="auto"/>
            </w:tcBorders>
            <w:noWrap/>
            <w:vAlign w:val="center"/>
            <w:hideMark/>
          </w:tcPr>
          <w:p w14:paraId="5C48FEBA" w14:textId="77777777" w:rsidR="005E64D9" w:rsidRPr="00951AB1" w:rsidRDefault="005E64D9" w:rsidP="000A5389">
            <w:pPr>
              <w:spacing w:line="240" w:lineRule="auto"/>
              <w:jc w:val="right"/>
              <w:rPr>
                <w:rFonts w:eastAsia="Times New Roman" w:cs="Times New Roman"/>
                <w:color w:val="000000"/>
                <w:kern w:val="0"/>
                <w:sz w:val="14"/>
                <w:szCs w:val="14"/>
                <w:lang w:eastAsia="es-CO"/>
                <w14:ligatures w14:val="none"/>
              </w:rPr>
            </w:pPr>
            <w:r w:rsidRPr="00951AB1">
              <w:rPr>
                <w:rFonts w:cs="Times New Roman"/>
                <w:color w:val="000000"/>
                <w:sz w:val="14"/>
                <w:szCs w:val="14"/>
              </w:rPr>
              <w:t>1.834.012.668</w:t>
            </w:r>
          </w:p>
        </w:tc>
        <w:tc>
          <w:tcPr>
            <w:tcW w:w="1134" w:type="dxa"/>
            <w:tcBorders>
              <w:top w:val="nil"/>
              <w:left w:val="nil"/>
              <w:bottom w:val="single" w:sz="4" w:space="0" w:color="auto"/>
              <w:right w:val="single" w:sz="4" w:space="0" w:color="auto"/>
            </w:tcBorders>
            <w:noWrap/>
            <w:vAlign w:val="center"/>
            <w:hideMark/>
          </w:tcPr>
          <w:p w14:paraId="77611BCE" w14:textId="77777777" w:rsidR="005E64D9" w:rsidRPr="00951AB1" w:rsidRDefault="005E64D9" w:rsidP="000A5389">
            <w:pPr>
              <w:spacing w:line="240" w:lineRule="auto"/>
              <w:jc w:val="right"/>
              <w:rPr>
                <w:rFonts w:eastAsia="Times New Roman" w:cs="Times New Roman"/>
                <w:color w:val="000000"/>
                <w:kern w:val="0"/>
                <w:sz w:val="14"/>
                <w:szCs w:val="14"/>
                <w:lang w:eastAsia="es-CO"/>
                <w14:ligatures w14:val="none"/>
              </w:rPr>
            </w:pPr>
            <w:r w:rsidRPr="00951AB1">
              <w:rPr>
                <w:rFonts w:cs="Times New Roman"/>
                <w:color w:val="000000"/>
                <w:sz w:val="14"/>
                <w:szCs w:val="14"/>
              </w:rPr>
              <w:t>1.834.012.668</w:t>
            </w:r>
          </w:p>
        </w:tc>
        <w:tc>
          <w:tcPr>
            <w:tcW w:w="992" w:type="dxa"/>
            <w:tcBorders>
              <w:top w:val="nil"/>
              <w:left w:val="nil"/>
              <w:bottom w:val="single" w:sz="4" w:space="0" w:color="auto"/>
              <w:right w:val="single" w:sz="4" w:space="0" w:color="auto"/>
            </w:tcBorders>
            <w:noWrap/>
            <w:vAlign w:val="center"/>
            <w:hideMark/>
          </w:tcPr>
          <w:p w14:paraId="63749FCD" w14:textId="77777777" w:rsidR="005E64D9" w:rsidRPr="00951AB1" w:rsidRDefault="005E64D9" w:rsidP="000A5389">
            <w:pPr>
              <w:spacing w:line="240" w:lineRule="auto"/>
              <w:jc w:val="right"/>
              <w:rPr>
                <w:rFonts w:eastAsia="Times New Roman" w:cs="Times New Roman"/>
                <w:color w:val="000000"/>
                <w:kern w:val="0"/>
                <w:sz w:val="14"/>
                <w:szCs w:val="14"/>
                <w:lang w:eastAsia="es-CO"/>
                <w14:ligatures w14:val="none"/>
              </w:rPr>
            </w:pPr>
            <w:r w:rsidRPr="00951AB1">
              <w:rPr>
                <w:rFonts w:cs="Times New Roman"/>
                <w:color w:val="000000"/>
                <w:sz w:val="14"/>
                <w:szCs w:val="14"/>
              </w:rPr>
              <w:t> </w:t>
            </w:r>
          </w:p>
        </w:tc>
        <w:tc>
          <w:tcPr>
            <w:tcW w:w="753" w:type="dxa"/>
            <w:tcBorders>
              <w:top w:val="nil"/>
              <w:left w:val="nil"/>
              <w:bottom w:val="single" w:sz="4" w:space="0" w:color="auto"/>
              <w:right w:val="single" w:sz="4" w:space="0" w:color="auto"/>
            </w:tcBorders>
            <w:noWrap/>
            <w:vAlign w:val="center"/>
            <w:hideMark/>
          </w:tcPr>
          <w:p w14:paraId="0C235FF4" w14:textId="77777777" w:rsidR="005E64D9" w:rsidRPr="00951AB1" w:rsidRDefault="005E64D9" w:rsidP="000A5389">
            <w:pPr>
              <w:spacing w:line="240" w:lineRule="auto"/>
              <w:jc w:val="right"/>
              <w:rPr>
                <w:rFonts w:eastAsia="Times New Roman" w:cs="Times New Roman"/>
                <w:color w:val="000000"/>
                <w:kern w:val="0"/>
                <w:sz w:val="14"/>
                <w:szCs w:val="14"/>
                <w:lang w:eastAsia="es-CO"/>
                <w14:ligatures w14:val="none"/>
              </w:rPr>
            </w:pPr>
            <w:r w:rsidRPr="00951AB1">
              <w:rPr>
                <w:rFonts w:cs="Times New Roman"/>
                <w:color w:val="000000"/>
                <w:sz w:val="14"/>
                <w:szCs w:val="14"/>
              </w:rPr>
              <w:t> </w:t>
            </w:r>
          </w:p>
        </w:tc>
      </w:tr>
      <w:tr w:rsidR="00DB2570" w:rsidRPr="00951AB1" w14:paraId="73D4608A" w14:textId="77777777" w:rsidTr="003076E2">
        <w:trPr>
          <w:trHeight w:val="255"/>
        </w:trPr>
        <w:tc>
          <w:tcPr>
            <w:tcW w:w="1980" w:type="dxa"/>
            <w:tcBorders>
              <w:top w:val="nil"/>
              <w:left w:val="single" w:sz="4" w:space="0" w:color="auto"/>
              <w:bottom w:val="single" w:sz="4" w:space="0" w:color="auto"/>
              <w:right w:val="single" w:sz="4" w:space="0" w:color="auto"/>
            </w:tcBorders>
            <w:noWrap/>
            <w:vAlign w:val="center"/>
            <w:hideMark/>
          </w:tcPr>
          <w:p w14:paraId="554D5529" w14:textId="77777777" w:rsidR="005E64D9" w:rsidRPr="00951AB1" w:rsidRDefault="005E64D9" w:rsidP="000A5389">
            <w:pPr>
              <w:spacing w:line="240" w:lineRule="auto"/>
              <w:rPr>
                <w:rFonts w:eastAsia="Times New Roman" w:cs="Times New Roman"/>
                <w:color w:val="000000"/>
                <w:kern w:val="0"/>
                <w:sz w:val="14"/>
                <w:szCs w:val="14"/>
                <w:lang w:eastAsia="es-CO"/>
                <w14:ligatures w14:val="none"/>
              </w:rPr>
            </w:pPr>
            <w:r w:rsidRPr="00951AB1">
              <w:rPr>
                <w:rFonts w:cs="Times New Roman"/>
                <w:color w:val="000000"/>
                <w:sz w:val="14"/>
                <w:szCs w:val="14"/>
              </w:rPr>
              <w:t>Derechos de tránsito</w:t>
            </w:r>
          </w:p>
        </w:tc>
        <w:tc>
          <w:tcPr>
            <w:tcW w:w="992" w:type="dxa"/>
            <w:tcBorders>
              <w:top w:val="nil"/>
              <w:left w:val="nil"/>
              <w:bottom w:val="single" w:sz="4" w:space="0" w:color="auto"/>
              <w:right w:val="single" w:sz="4" w:space="0" w:color="auto"/>
            </w:tcBorders>
            <w:noWrap/>
            <w:vAlign w:val="center"/>
            <w:hideMark/>
          </w:tcPr>
          <w:p w14:paraId="12C8E2F5" w14:textId="77777777" w:rsidR="005E64D9" w:rsidRPr="00951AB1" w:rsidRDefault="005E64D9" w:rsidP="000A5389">
            <w:pPr>
              <w:spacing w:line="240" w:lineRule="auto"/>
              <w:jc w:val="center"/>
              <w:rPr>
                <w:rFonts w:eastAsia="Times New Roman" w:cs="Times New Roman"/>
                <w:color w:val="000000"/>
                <w:kern w:val="0"/>
                <w:sz w:val="14"/>
                <w:szCs w:val="14"/>
                <w:lang w:eastAsia="es-CO"/>
                <w14:ligatures w14:val="none"/>
              </w:rPr>
            </w:pPr>
            <w:r w:rsidRPr="00951AB1">
              <w:rPr>
                <w:rFonts w:cs="Times New Roman"/>
                <w:color w:val="000000"/>
                <w:sz w:val="14"/>
                <w:szCs w:val="14"/>
              </w:rPr>
              <w:t>30/12/2025</w:t>
            </w:r>
          </w:p>
        </w:tc>
        <w:tc>
          <w:tcPr>
            <w:tcW w:w="1843" w:type="dxa"/>
            <w:tcBorders>
              <w:top w:val="nil"/>
              <w:left w:val="nil"/>
              <w:bottom w:val="single" w:sz="4" w:space="0" w:color="auto"/>
              <w:right w:val="single" w:sz="4" w:space="0" w:color="auto"/>
            </w:tcBorders>
            <w:noWrap/>
            <w:vAlign w:val="center"/>
            <w:hideMark/>
          </w:tcPr>
          <w:p w14:paraId="3FB79B68" w14:textId="7708EE68" w:rsidR="005E64D9" w:rsidRPr="00951AB1" w:rsidRDefault="00283B07" w:rsidP="000A5389">
            <w:pPr>
              <w:spacing w:line="240" w:lineRule="auto"/>
              <w:rPr>
                <w:rFonts w:eastAsia="Times New Roman" w:cs="Times New Roman"/>
                <w:color w:val="000000"/>
                <w:kern w:val="0"/>
                <w:sz w:val="14"/>
                <w:szCs w:val="14"/>
                <w:lang w:eastAsia="es-CO"/>
                <w14:ligatures w14:val="none"/>
              </w:rPr>
            </w:pPr>
            <w:r w:rsidRPr="00951AB1">
              <w:rPr>
                <w:rFonts w:cs="Times New Roman"/>
                <w:color w:val="000000"/>
                <w:sz w:val="14"/>
                <w:szCs w:val="14"/>
              </w:rPr>
              <w:t>Transporte Ferroportuario De Colombia - Transferport S.A.S</w:t>
            </w:r>
          </w:p>
        </w:tc>
        <w:tc>
          <w:tcPr>
            <w:tcW w:w="1134" w:type="dxa"/>
            <w:tcBorders>
              <w:top w:val="nil"/>
              <w:left w:val="nil"/>
              <w:bottom w:val="single" w:sz="4" w:space="0" w:color="auto"/>
              <w:right w:val="single" w:sz="4" w:space="0" w:color="auto"/>
            </w:tcBorders>
            <w:noWrap/>
            <w:vAlign w:val="center"/>
            <w:hideMark/>
          </w:tcPr>
          <w:p w14:paraId="01D1CCC9" w14:textId="77777777" w:rsidR="005E64D9" w:rsidRPr="00951AB1" w:rsidRDefault="005E64D9" w:rsidP="000A5389">
            <w:pPr>
              <w:spacing w:line="240" w:lineRule="auto"/>
              <w:jc w:val="right"/>
              <w:rPr>
                <w:rFonts w:eastAsia="Times New Roman" w:cs="Times New Roman"/>
                <w:color w:val="000000"/>
                <w:kern w:val="0"/>
                <w:sz w:val="14"/>
                <w:szCs w:val="14"/>
                <w:lang w:eastAsia="es-CO"/>
                <w14:ligatures w14:val="none"/>
              </w:rPr>
            </w:pPr>
            <w:r w:rsidRPr="00951AB1">
              <w:rPr>
                <w:rFonts w:cs="Times New Roman"/>
                <w:color w:val="000000"/>
                <w:sz w:val="14"/>
                <w:szCs w:val="14"/>
              </w:rPr>
              <w:t>1.075.314.172</w:t>
            </w:r>
          </w:p>
        </w:tc>
        <w:tc>
          <w:tcPr>
            <w:tcW w:w="1134" w:type="dxa"/>
            <w:tcBorders>
              <w:top w:val="nil"/>
              <w:left w:val="nil"/>
              <w:bottom w:val="single" w:sz="4" w:space="0" w:color="auto"/>
              <w:right w:val="single" w:sz="4" w:space="0" w:color="auto"/>
            </w:tcBorders>
            <w:noWrap/>
            <w:vAlign w:val="center"/>
            <w:hideMark/>
          </w:tcPr>
          <w:p w14:paraId="68A9F2FD" w14:textId="77777777" w:rsidR="005E64D9" w:rsidRPr="00951AB1" w:rsidRDefault="005E64D9" w:rsidP="000A5389">
            <w:pPr>
              <w:spacing w:line="240" w:lineRule="auto"/>
              <w:jc w:val="right"/>
              <w:rPr>
                <w:rFonts w:eastAsia="Times New Roman" w:cs="Times New Roman"/>
                <w:color w:val="000000"/>
                <w:kern w:val="0"/>
                <w:sz w:val="14"/>
                <w:szCs w:val="14"/>
                <w:lang w:eastAsia="es-CO"/>
                <w14:ligatures w14:val="none"/>
              </w:rPr>
            </w:pPr>
            <w:r w:rsidRPr="00951AB1">
              <w:rPr>
                <w:rFonts w:cs="Times New Roman"/>
                <w:color w:val="000000"/>
                <w:sz w:val="14"/>
                <w:szCs w:val="14"/>
              </w:rPr>
              <w:t>1.075.314.172</w:t>
            </w:r>
          </w:p>
        </w:tc>
        <w:tc>
          <w:tcPr>
            <w:tcW w:w="992" w:type="dxa"/>
            <w:tcBorders>
              <w:top w:val="nil"/>
              <w:left w:val="nil"/>
              <w:bottom w:val="single" w:sz="4" w:space="0" w:color="auto"/>
              <w:right w:val="single" w:sz="4" w:space="0" w:color="auto"/>
            </w:tcBorders>
            <w:noWrap/>
            <w:vAlign w:val="center"/>
            <w:hideMark/>
          </w:tcPr>
          <w:p w14:paraId="5ADBC80D" w14:textId="77777777" w:rsidR="005E64D9" w:rsidRPr="00951AB1" w:rsidRDefault="005E64D9" w:rsidP="000A5389">
            <w:pPr>
              <w:spacing w:line="240" w:lineRule="auto"/>
              <w:jc w:val="right"/>
              <w:rPr>
                <w:rFonts w:eastAsia="Times New Roman" w:cs="Times New Roman"/>
                <w:color w:val="000000"/>
                <w:kern w:val="0"/>
                <w:sz w:val="14"/>
                <w:szCs w:val="14"/>
                <w:lang w:eastAsia="es-CO"/>
                <w14:ligatures w14:val="none"/>
              </w:rPr>
            </w:pPr>
            <w:r w:rsidRPr="00951AB1">
              <w:rPr>
                <w:rFonts w:cs="Times New Roman"/>
                <w:color w:val="000000"/>
                <w:sz w:val="14"/>
                <w:szCs w:val="14"/>
              </w:rPr>
              <w:t> </w:t>
            </w:r>
          </w:p>
        </w:tc>
        <w:tc>
          <w:tcPr>
            <w:tcW w:w="753" w:type="dxa"/>
            <w:tcBorders>
              <w:top w:val="nil"/>
              <w:left w:val="nil"/>
              <w:bottom w:val="single" w:sz="4" w:space="0" w:color="auto"/>
              <w:right w:val="single" w:sz="4" w:space="0" w:color="auto"/>
            </w:tcBorders>
            <w:noWrap/>
            <w:vAlign w:val="center"/>
            <w:hideMark/>
          </w:tcPr>
          <w:p w14:paraId="3C967A08" w14:textId="77777777" w:rsidR="005E64D9" w:rsidRPr="00951AB1" w:rsidRDefault="005E64D9" w:rsidP="000A5389">
            <w:pPr>
              <w:spacing w:line="240" w:lineRule="auto"/>
              <w:jc w:val="right"/>
              <w:rPr>
                <w:rFonts w:eastAsia="Times New Roman" w:cs="Times New Roman"/>
                <w:color w:val="000000"/>
                <w:kern w:val="0"/>
                <w:sz w:val="14"/>
                <w:szCs w:val="14"/>
                <w:lang w:eastAsia="es-CO"/>
                <w14:ligatures w14:val="none"/>
              </w:rPr>
            </w:pPr>
            <w:r w:rsidRPr="00951AB1">
              <w:rPr>
                <w:rFonts w:cs="Times New Roman"/>
                <w:color w:val="000000"/>
                <w:sz w:val="14"/>
                <w:szCs w:val="14"/>
              </w:rPr>
              <w:t> </w:t>
            </w:r>
          </w:p>
        </w:tc>
      </w:tr>
      <w:tr w:rsidR="00DB2570" w:rsidRPr="00951AB1" w14:paraId="46D18E01" w14:textId="77777777" w:rsidTr="003076E2">
        <w:trPr>
          <w:trHeight w:val="255"/>
        </w:trPr>
        <w:tc>
          <w:tcPr>
            <w:tcW w:w="1980" w:type="dxa"/>
            <w:tcBorders>
              <w:top w:val="nil"/>
              <w:left w:val="single" w:sz="4" w:space="0" w:color="auto"/>
              <w:bottom w:val="single" w:sz="4" w:space="0" w:color="auto"/>
              <w:right w:val="single" w:sz="4" w:space="0" w:color="auto"/>
            </w:tcBorders>
            <w:noWrap/>
            <w:vAlign w:val="center"/>
            <w:hideMark/>
          </w:tcPr>
          <w:p w14:paraId="358893F5" w14:textId="77777777" w:rsidR="005E64D9" w:rsidRPr="00951AB1" w:rsidRDefault="005E64D9" w:rsidP="000A5389">
            <w:pPr>
              <w:spacing w:line="240" w:lineRule="auto"/>
              <w:rPr>
                <w:rFonts w:eastAsia="Times New Roman" w:cs="Times New Roman"/>
                <w:color w:val="000000"/>
                <w:kern w:val="0"/>
                <w:sz w:val="14"/>
                <w:szCs w:val="14"/>
                <w:lang w:eastAsia="es-CO"/>
                <w14:ligatures w14:val="none"/>
              </w:rPr>
            </w:pPr>
            <w:r w:rsidRPr="00951AB1">
              <w:rPr>
                <w:rFonts w:cs="Times New Roman"/>
                <w:color w:val="000000"/>
                <w:sz w:val="14"/>
                <w:szCs w:val="14"/>
              </w:rPr>
              <w:t>Derechos de explotación no relacionados con la infraestructura de transporte</w:t>
            </w:r>
          </w:p>
        </w:tc>
        <w:tc>
          <w:tcPr>
            <w:tcW w:w="992" w:type="dxa"/>
            <w:tcBorders>
              <w:top w:val="nil"/>
              <w:left w:val="nil"/>
              <w:bottom w:val="single" w:sz="4" w:space="0" w:color="auto"/>
              <w:right w:val="single" w:sz="4" w:space="0" w:color="auto"/>
            </w:tcBorders>
            <w:noWrap/>
            <w:vAlign w:val="center"/>
            <w:hideMark/>
          </w:tcPr>
          <w:p w14:paraId="53A0E15D" w14:textId="77777777" w:rsidR="005E64D9" w:rsidRPr="00951AB1" w:rsidRDefault="005E64D9" w:rsidP="000A5389">
            <w:pPr>
              <w:spacing w:line="240" w:lineRule="auto"/>
              <w:jc w:val="center"/>
              <w:rPr>
                <w:rFonts w:eastAsia="Times New Roman" w:cs="Times New Roman"/>
                <w:color w:val="000000"/>
                <w:kern w:val="0"/>
                <w:sz w:val="14"/>
                <w:szCs w:val="14"/>
                <w:lang w:eastAsia="es-CO"/>
                <w14:ligatures w14:val="none"/>
              </w:rPr>
            </w:pPr>
            <w:r w:rsidRPr="00951AB1">
              <w:rPr>
                <w:rFonts w:cs="Times New Roman"/>
                <w:color w:val="000000"/>
                <w:sz w:val="14"/>
                <w:szCs w:val="14"/>
              </w:rPr>
              <w:t>30/12/2025</w:t>
            </w:r>
          </w:p>
        </w:tc>
        <w:tc>
          <w:tcPr>
            <w:tcW w:w="1843" w:type="dxa"/>
            <w:tcBorders>
              <w:top w:val="nil"/>
              <w:left w:val="nil"/>
              <w:bottom w:val="single" w:sz="4" w:space="0" w:color="auto"/>
              <w:right w:val="single" w:sz="4" w:space="0" w:color="auto"/>
            </w:tcBorders>
            <w:noWrap/>
            <w:vAlign w:val="center"/>
            <w:hideMark/>
          </w:tcPr>
          <w:p w14:paraId="5DF291F0" w14:textId="4F85F5A9" w:rsidR="005E64D9" w:rsidRPr="00951AB1" w:rsidRDefault="00283B07" w:rsidP="000A5389">
            <w:pPr>
              <w:spacing w:line="240" w:lineRule="auto"/>
              <w:rPr>
                <w:rFonts w:eastAsia="Times New Roman" w:cs="Times New Roman"/>
                <w:color w:val="000000"/>
                <w:kern w:val="0"/>
                <w:sz w:val="14"/>
                <w:szCs w:val="14"/>
                <w:lang w:eastAsia="es-CO"/>
                <w14:ligatures w14:val="none"/>
              </w:rPr>
            </w:pPr>
            <w:r w:rsidRPr="00951AB1">
              <w:rPr>
                <w:rFonts w:cs="Times New Roman"/>
                <w:color w:val="000000"/>
                <w:sz w:val="14"/>
                <w:szCs w:val="14"/>
              </w:rPr>
              <w:t>Operadora Internacional Aeropuerto De Cartagena S.A.S</w:t>
            </w:r>
          </w:p>
        </w:tc>
        <w:tc>
          <w:tcPr>
            <w:tcW w:w="1134" w:type="dxa"/>
            <w:tcBorders>
              <w:top w:val="nil"/>
              <w:left w:val="nil"/>
              <w:bottom w:val="single" w:sz="4" w:space="0" w:color="auto"/>
              <w:right w:val="single" w:sz="4" w:space="0" w:color="auto"/>
            </w:tcBorders>
            <w:noWrap/>
            <w:vAlign w:val="center"/>
            <w:hideMark/>
          </w:tcPr>
          <w:p w14:paraId="3DD58645" w14:textId="77777777" w:rsidR="005E64D9" w:rsidRPr="00951AB1" w:rsidRDefault="005E64D9" w:rsidP="000A5389">
            <w:pPr>
              <w:spacing w:line="240" w:lineRule="auto"/>
              <w:jc w:val="right"/>
              <w:rPr>
                <w:rFonts w:eastAsia="Times New Roman" w:cs="Times New Roman"/>
                <w:color w:val="000000"/>
                <w:kern w:val="0"/>
                <w:sz w:val="14"/>
                <w:szCs w:val="14"/>
                <w:lang w:eastAsia="es-CO"/>
                <w14:ligatures w14:val="none"/>
              </w:rPr>
            </w:pPr>
            <w:r w:rsidRPr="00951AB1">
              <w:rPr>
                <w:rFonts w:cs="Times New Roman"/>
                <w:color w:val="000000"/>
                <w:sz w:val="14"/>
                <w:szCs w:val="14"/>
              </w:rPr>
              <w:t>1.015.359.187</w:t>
            </w:r>
          </w:p>
        </w:tc>
        <w:tc>
          <w:tcPr>
            <w:tcW w:w="1134" w:type="dxa"/>
            <w:tcBorders>
              <w:top w:val="nil"/>
              <w:left w:val="nil"/>
              <w:bottom w:val="single" w:sz="4" w:space="0" w:color="auto"/>
              <w:right w:val="single" w:sz="4" w:space="0" w:color="auto"/>
            </w:tcBorders>
            <w:noWrap/>
            <w:vAlign w:val="center"/>
            <w:hideMark/>
          </w:tcPr>
          <w:p w14:paraId="438CD5FD" w14:textId="77777777" w:rsidR="005E64D9" w:rsidRPr="00951AB1" w:rsidRDefault="005E64D9" w:rsidP="000A5389">
            <w:pPr>
              <w:spacing w:line="240" w:lineRule="auto"/>
              <w:jc w:val="right"/>
              <w:rPr>
                <w:rFonts w:eastAsia="Times New Roman" w:cs="Times New Roman"/>
                <w:color w:val="000000"/>
                <w:kern w:val="0"/>
                <w:sz w:val="14"/>
                <w:szCs w:val="14"/>
                <w:lang w:eastAsia="es-CO"/>
                <w14:ligatures w14:val="none"/>
              </w:rPr>
            </w:pPr>
            <w:r w:rsidRPr="00951AB1">
              <w:rPr>
                <w:rFonts w:cs="Times New Roman"/>
                <w:color w:val="000000"/>
                <w:sz w:val="14"/>
                <w:szCs w:val="14"/>
              </w:rPr>
              <w:t>1.015.359.187</w:t>
            </w:r>
          </w:p>
        </w:tc>
        <w:tc>
          <w:tcPr>
            <w:tcW w:w="992" w:type="dxa"/>
            <w:tcBorders>
              <w:top w:val="nil"/>
              <w:left w:val="nil"/>
              <w:bottom w:val="single" w:sz="4" w:space="0" w:color="auto"/>
              <w:right w:val="single" w:sz="4" w:space="0" w:color="auto"/>
            </w:tcBorders>
            <w:noWrap/>
            <w:vAlign w:val="center"/>
            <w:hideMark/>
          </w:tcPr>
          <w:p w14:paraId="0CFA2B59" w14:textId="77777777" w:rsidR="005E64D9" w:rsidRPr="00951AB1" w:rsidRDefault="005E64D9" w:rsidP="000A5389">
            <w:pPr>
              <w:spacing w:line="240" w:lineRule="auto"/>
              <w:jc w:val="right"/>
              <w:rPr>
                <w:rFonts w:eastAsia="Times New Roman" w:cs="Times New Roman"/>
                <w:color w:val="000000"/>
                <w:kern w:val="0"/>
                <w:sz w:val="14"/>
                <w:szCs w:val="14"/>
                <w:lang w:eastAsia="es-CO"/>
                <w14:ligatures w14:val="none"/>
              </w:rPr>
            </w:pPr>
            <w:r w:rsidRPr="00951AB1">
              <w:rPr>
                <w:rFonts w:cs="Times New Roman"/>
                <w:color w:val="000000"/>
                <w:sz w:val="14"/>
                <w:szCs w:val="14"/>
              </w:rPr>
              <w:t> </w:t>
            </w:r>
          </w:p>
        </w:tc>
        <w:tc>
          <w:tcPr>
            <w:tcW w:w="753" w:type="dxa"/>
            <w:tcBorders>
              <w:top w:val="nil"/>
              <w:left w:val="nil"/>
              <w:bottom w:val="single" w:sz="4" w:space="0" w:color="auto"/>
              <w:right w:val="single" w:sz="4" w:space="0" w:color="auto"/>
            </w:tcBorders>
            <w:noWrap/>
            <w:vAlign w:val="center"/>
            <w:hideMark/>
          </w:tcPr>
          <w:p w14:paraId="745DA00A" w14:textId="77777777" w:rsidR="005E64D9" w:rsidRPr="00951AB1" w:rsidRDefault="005E64D9" w:rsidP="000A5389">
            <w:pPr>
              <w:spacing w:line="240" w:lineRule="auto"/>
              <w:jc w:val="right"/>
              <w:rPr>
                <w:rFonts w:eastAsia="Times New Roman" w:cs="Times New Roman"/>
                <w:color w:val="000000"/>
                <w:kern w:val="0"/>
                <w:sz w:val="14"/>
                <w:szCs w:val="14"/>
                <w:lang w:eastAsia="es-CO"/>
                <w14:ligatures w14:val="none"/>
              </w:rPr>
            </w:pPr>
            <w:r w:rsidRPr="00951AB1">
              <w:rPr>
                <w:rFonts w:cs="Times New Roman"/>
                <w:color w:val="000000"/>
                <w:sz w:val="14"/>
                <w:szCs w:val="14"/>
              </w:rPr>
              <w:t> </w:t>
            </w:r>
          </w:p>
        </w:tc>
      </w:tr>
      <w:tr w:rsidR="00DB2570" w:rsidRPr="00951AB1" w14:paraId="76D4E30C" w14:textId="77777777" w:rsidTr="003076E2">
        <w:trPr>
          <w:trHeight w:val="255"/>
        </w:trPr>
        <w:tc>
          <w:tcPr>
            <w:tcW w:w="1980" w:type="dxa"/>
            <w:tcBorders>
              <w:top w:val="nil"/>
              <w:left w:val="single" w:sz="4" w:space="0" w:color="auto"/>
              <w:bottom w:val="single" w:sz="4" w:space="0" w:color="auto"/>
              <w:right w:val="single" w:sz="4" w:space="0" w:color="auto"/>
            </w:tcBorders>
            <w:noWrap/>
            <w:vAlign w:val="center"/>
            <w:hideMark/>
          </w:tcPr>
          <w:p w14:paraId="70418544" w14:textId="77777777" w:rsidR="005E64D9" w:rsidRPr="00951AB1" w:rsidRDefault="005E64D9" w:rsidP="000A5389">
            <w:pPr>
              <w:spacing w:line="240" w:lineRule="auto"/>
              <w:rPr>
                <w:rFonts w:eastAsia="Times New Roman" w:cs="Times New Roman"/>
                <w:color w:val="000000"/>
                <w:kern w:val="0"/>
                <w:sz w:val="14"/>
                <w:szCs w:val="14"/>
                <w:lang w:eastAsia="es-CO"/>
                <w14:ligatures w14:val="none"/>
              </w:rPr>
            </w:pPr>
            <w:r w:rsidRPr="00951AB1">
              <w:rPr>
                <w:rFonts w:cs="Times New Roman"/>
                <w:color w:val="000000"/>
                <w:sz w:val="14"/>
                <w:szCs w:val="14"/>
              </w:rPr>
              <w:t>Derechos de tránsito</w:t>
            </w:r>
          </w:p>
        </w:tc>
        <w:tc>
          <w:tcPr>
            <w:tcW w:w="992" w:type="dxa"/>
            <w:tcBorders>
              <w:top w:val="nil"/>
              <w:left w:val="nil"/>
              <w:bottom w:val="single" w:sz="4" w:space="0" w:color="auto"/>
              <w:right w:val="single" w:sz="4" w:space="0" w:color="auto"/>
            </w:tcBorders>
            <w:noWrap/>
            <w:vAlign w:val="center"/>
            <w:hideMark/>
          </w:tcPr>
          <w:p w14:paraId="1CA277CB" w14:textId="77777777" w:rsidR="005E64D9" w:rsidRPr="00951AB1" w:rsidRDefault="005E64D9" w:rsidP="000A5389">
            <w:pPr>
              <w:spacing w:line="240" w:lineRule="auto"/>
              <w:jc w:val="center"/>
              <w:rPr>
                <w:rFonts w:eastAsia="Times New Roman" w:cs="Times New Roman"/>
                <w:color w:val="000000"/>
                <w:kern w:val="0"/>
                <w:sz w:val="14"/>
                <w:szCs w:val="14"/>
                <w:lang w:eastAsia="es-CO"/>
                <w14:ligatures w14:val="none"/>
              </w:rPr>
            </w:pPr>
            <w:r w:rsidRPr="00951AB1">
              <w:rPr>
                <w:rFonts w:cs="Times New Roman"/>
                <w:color w:val="000000"/>
                <w:sz w:val="14"/>
                <w:szCs w:val="14"/>
              </w:rPr>
              <w:t>30/12/2025</w:t>
            </w:r>
          </w:p>
        </w:tc>
        <w:tc>
          <w:tcPr>
            <w:tcW w:w="1843" w:type="dxa"/>
            <w:tcBorders>
              <w:top w:val="nil"/>
              <w:left w:val="nil"/>
              <w:bottom w:val="single" w:sz="4" w:space="0" w:color="auto"/>
              <w:right w:val="single" w:sz="4" w:space="0" w:color="auto"/>
            </w:tcBorders>
            <w:noWrap/>
            <w:vAlign w:val="center"/>
            <w:hideMark/>
          </w:tcPr>
          <w:p w14:paraId="1FDA646A" w14:textId="4306ED19" w:rsidR="005E64D9" w:rsidRPr="00951AB1" w:rsidRDefault="00283B07" w:rsidP="000A5389">
            <w:pPr>
              <w:spacing w:line="240" w:lineRule="auto"/>
              <w:rPr>
                <w:rFonts w:eastAsia="Times New Roman" w:cs="Times New Roman"/>
                <w:color w:val="000000"/>
                <w:kern w:val="0"/>
                <w:sz w:val="14"/>
                <w:szCs w:val="14"/>
                <w:lang w:eastAsia="es-CO"/>
                <w14:ligatures w14:val="none"/>
              </w:rPr>
            </w:pPr>
            <w:r w:rsidRPr="00951AB1">
              <w:rPr>
                <w:rFonts w:cs="Times New Roman"/>
                <w:color w:val="000000"/>
                <w:sz w:val="14"/>
                <w:szCs w:val="14"/>
              </w:rPr>
              <w:t>C.I. Prodeco S.A.</w:t>
            </w:r>
          </w:p>
        </w:tc>
        <w:tc>
          <w:tcPr>
            <w:tcW w:w="1134" w:type="dxa"/>
            <w:tcBorders>
              <w:top w:val="nil"/>
              <w:left w:val="nil"/>
              <w:bottom w:val="single" w:sz="4" w:space="0" w:color="auto"/>
              <w:right w:val="single" w:sz="4" w:space="0" w:color="auto"/>
            </w:tcBorders>
            <w:noWrap/>
            <w:vAlign w:val="center"/>
            <w:hideMark/>
          </w:tcPr>
          <w:p w14:paraId="184AFCCB" w14:textId="77777777" w:rsidR="005E64D9" w:rsidRPr="00951AB1" w:rsidRDefault="005E64D9" w:rsidP="000A5389">
            <w:pPr>
              <w:spacing w:line="240" w:lineRule="auto"/>
              <w:jc w:val="right"/>
              <w:rPr>
                <w:rFonts w:eastAsia="Times New Roman" w:cs="Times New Roman"/>
                <w:color w:val="000000"/>
                <w:kern w:val="0"/>
                <w:sz w:val="14"/>
                <w:szCs w:val="14"/>
                <w:lang w:eastAsia="es-CO"/>
                <w14:ligatures w14:val="none"/>
              </w:rPr>
            </w:pPr>
            <w:r w:rsidRPr="00951AB1">
              <w:rPr>
                <w:rFonts w:cs="Times New Roman"/>
                <w:color w:val="000000"/>
                <w:sz w:val="14"/>
                <w:szCs w:val="14"/>
              </w:rPr>
              <w:t>926.099.782</w:t>
            </w:r>
          </w:p>
        </w:tc>
        <w:tc>
          <w:tcPr>
            <w:tcW w:w="1134" w:type="dxa"/>
            <w:tcBorders>
              <w:top w:val="nil"/>
              <w:left w:val="nil"/>
              <w:bottom w:val="single" w:sz="4" w:space="0" w:color="auto"/>
              <w:right w:val="single" w:sz="4" w:space="0" w:color="auto"/>
            </w:tcBorders>
            <w:noWrap/>
            <w:vAlign w:val="center"/>
            <w:hideMark/>
          </w:tcPr>
          <w:p w14:paraId="0FD0B9C3" w14:textId="77777777" w:rsidR="005E64D9" w:rsidRPr="00951AB1" w:rsidRDefault="005E64D9" w:rsidP="000A5389">
            <w:pPr>
              <w:spacing w:line="240" w:lineRule="auto"/>
              <w:jc w:val="right"/>
              <w:rPr>
                <w:rFonts w:eastAsia="Times New Roman" w:cs="Times New Roman"/>
                <w:color w:val="000000"/>
                <w:kern w:val="0"/>
                <w:sz w:val="14"/>
                <w:szCs w:val="14"/>
                <w:lang w:eastAsia="es-CO"/>
                <w14:ligatures w14:val="none"/>
              </w:rPr>
            </w:pPr>
            <w:r w:rsidRPr="00951AB1">
              <w:rPr>
                <w:rFonts w:cs="Times New Roman"/>
                <w:color w:val="000000"/>
                <w:sz w:val="14"/>
                <w:szCs w:val="14"/>
              </w:rPr>
              <w:t>926.099.782</w:t>
            </w:r>
          </w:p>
        </w:tc>
        <w:tc>
          <w:tcPr>
            <w:tcW w:w="992" w:type="dxa"/>
            <w:tcBorders>
              <w:top w:val="nil"/>
              <w:left w:val="nil"/>
              <w:bottom w:val="single" w:sz="4" w:space="0" w:color="auto"/>
              <w:right w:val="single" w:sz="4" w:space="0" w:color="auto"/>
            </w:tcBorders>
            <w:noWrap/>
            <w:vAlign w:val="center"/>
            <w:hideMark/>
          </w:tcPr>
          <w:p w14:paraId="5573224A" w14:textId="77777777" w:rsidR="005E64D9" w:rsidRPr="00951AB1" w:rsidRDefault="005E64D9" w:rsidP="000A5389">
            <w:pPr>
              <w:spacing w:line="240" w:lineRule="auto"/>
              <w:jc w:val="right"/>
              <w:rPr>
                <w:rFonts w:eastAsia="Times New Roman" w:cs="Times New Roman"/>
                <w:color w:val="000000"/>
                <w:kern w:val="0"/>
                <w:sz w:val="14"/>
                <w:szCs w:val="14"/>
                <w:lang w:eastAsia="es-CO"/>
                <w14:ligatures w14:val="none"/>
              </w:rPr>
            </w:pPr>
            <w:r w:rsidRPr="00951AB1">
              <w:rPr>
                <w:rFonts w:cs="Times New Roman"/>
                <w:color w:val="000000"/>
                <w:sz w:val="14"/>
                <w:szCs w:val="14"/>
              </w:rPr>
              <w:t> </w:t>
            </w:r>
          </w:p>
        </w:tc>
        <w:tc>
          <w:tcPr>
            <w:tcW w:w="753" w:type="dxa"/>
            <w:tcBorders>
              <w:top w:val="nil"/>
              <w:left w:val="nil"/>
              <w:bottom w:val="single" w:sz="4" w:space="0" w:color="auto"/>
              <w:right w:val="single" w:sz="4" w:space="0" w:color="auto"/>
            </w:tcBorders>
            <w:noWrap/>
            <w:vAlign w:val="center"/>
            <w:hideMark/>
          </w:tcPr>
          <w:p w14:paraId="3CF7506B" w14:textId="77777777" w:rsidR="005E64D9" w:rsidRPr="00951AB1" w:rsidRDefault="005E64D9" w:rsidP="000A5389">
            <w:pPr>
              <w:spacing w:line="240" w:lineRule="auto"/>
              <w:rPr>
                <w:rFonts w:eastAsia="Times New Roman" w:cs="Times New Roman"/>
                <w:color w:val="000000"/>
                <w:kern w:val="0"/>
                <w:sz w:val="14"/>
                <w:szCs w:val="14"/>
                <w:lang w:eastAsia="es-CO"/>
                <w14:ligatures w14:val="none"/>
              </w:rPr>
            </w:pPr>
            <w:r w:rsidRPr="00951AB1">
              <w:rPr>
                <w:rFonts w:cs="Times New Roman"/>
                <w:color w:val="000000"/>
                <w:sz w:val="14"/>
                <w:szCs w:val="14"/>
              </w:rPr>
              <w:t> </w:t>
            </w:r>
          </w:p>
        </w:tc>
      </w:tr>
      <w:tr w:rsidR="00DB2570" w:rsidRPr="00951AB1" w14:paraId="59441D4B" w14:textId="77777777" w:rsidTr="003076E2">
        <w:trPr>
          <w:trHeight w:val="255"/>
        </w:trPr>
        <w:tc>
          <w:tcPr>
            <w:tcW w:w="1980" w:type="dxa"/>
            <w:tcBorders>
              <w:top w:val="nil"/>
              <w:left w:val="single" w:sz="4" w:space="0" w:color="auto"/>
              <w:bottom w:val="single" w:sz="4" w:space="0" w:color="auto"/>
              <w:right w:val="single" w:sz="4" w:space="0" w:color="auto"/>
            </w:tcBorders>
            <w:noWrap/>
            <w:vAlign w:val="center"/>
            <w:hideMark/>
          </w:tcPr>
          <w:p w14:paraId="60173CD1" w14:textId="77777777" w:rsidR="005E64D9" w:rsidRPr="00951AB1" w:rsidRDefault="005E64D9" w:rsidP="000A5389">
            <w:pPr>
              <w:spacing w:line="240" w:lineRule="auto"/>
              <w:rPr>
                <w:rFonts w:eastAsia="Times New Roman" w:cs="Times New Roman"/>
                <w:color w:val="000000"/>
                <w:kern w:val="0"/>
                <w:sz w:val="14"/>
                <w:szCs w:val="14"/>
                <w:lang w:eastAsia="es-CO"/>
                <w14:ligatures w14:val="none"/>
              </w:rPr>
            </w:pPr>
            <w:r w:rsidRPr="00951AB1">
              <w:rPr>
                <w:rFonts w:cs="Times New Roman"/>
                <w:color w:val="000000"/>
                <w:sz w:val="14"/>
                <w:szCs w:val="14"/>
              </w:rPr>
              <w:t xml:space="preserve">Derechos cobrados por terceros </w:t>
            </w:r>
          </w:p>
        </w:tc>
        <w:tc>
          <w:tcPr>
            <w:tcW w:w="992" w:type="dxa"/>
            <w:tcBorders>
              <w:top w:val="nil"/>
              <w:left w:val="nil"/>
              <w:bottom w:val="single" w:sz="4" w:space="0" w:color="auto"/>
              <w:right w:val="single" w:sz="4" w:space="0" w:color="auto"/>
            </w:tcBorders>
            <w:noWrap/>
            <w:vAlign w:val="center"/>
            <w:hideMark/>
          </w:tcPr>
          <w:p w14:paraId="768508B2" w14:textId="77777777" w:rsidR="005E64D9" w:rsidRPr="00951AB1" w:rsidRDefault="005E64D9" w:rsidP="000A5389">
            <w:pPr>
              <w:spacing w:line="240" w:lineRule="auto"/>
              <w:jc w:val="center"/>
              <w:rPr>
                <w:rFonts w:eastAsia="Times New Roman" w:cs="Times New Roman"/>
                <w:color w:val="000000"/>
                <w:kern w:val="0"/>
                <w:sz w:val="14"/>
                <w:szCs w:val="14"/>
                <w:lang w:eastAsia="es-CO"/>
                <w14:ligatures w14:val="none"/>
              </w:rPr>
            </w:pPr>
            <w:r w:rsidRPr="00951AB1">
              <w:rPr>
                <w:rFonts w:cs="Times New Roman"/>
                <w:color w:val="000000"/>
                <w:sz w:val="14"/>
                <w:szCs w:val="14"/>
              </w:rPr>
              <w:t>30/12/2025</w:t>
            </w:r>
          </w:p>
        </w:tc>
        <w:tc>
          <w:tcPr>
            <w:tcW w:w="1843" w:type="dxa"/>
            <w:tcBorders>
              <w:top w:val="nil"/>
              <w:left w:val="nil"/>
              <w:bottom w:val="single" w:sz="4" w:space="0" w:color="auto"/>
              <w:right w:val="single" w:sz="4" w:space="0" w:color="auto"/>
            </w:tcBorders>
            <w:noWrap/>
            <w:vAlign w:val="center"/>
            <w:hideMark/>
          </w:tcPr>
          <w:p w14:paraId="68AB8EA5" w14:textId="791086CE" w:rsidR="005E64D9" w:rsidRPr="00951AB1" w:rsidRDefault="00283B07" w:rsidP="000A5389">
            <w:pPr>
              <w:spacing w:line="240" w:lineRule="auto"/>
              <w:rPr>
                <w:rFonts w:eastAsia="Times New Roman" w:cs="Times New Roman"/>
                <w:color w:val="000000"/>
                <w:kern w:val="0"/>
                <w:sz w:val="14"/>
                <w:szCs w:val="14"/>
                <w:lang w:eastAsia="es-CO"/>
                <w14:ligatures w14:val="none"/>
              </w:rPr>
            </w:pPr>
            <w:r w:rsidRPr="00951AB1">
              <w:rPr>
                <w:rFonts w:cs="Times New Roman"/>
                <w:color w:val="000000"/>
                <w:sz w:val="14"/>
                <w:szCs w:val="14"/>
              </w:rPr>
              <w:t>Aeropuerto Olaya Herrera</w:t>
            </w:r>
          </w:p>
        </w:tc>
        <w:tc>
          <w:tcPr>
            <w:tcW w:w="1134" w:type="dxa"/>
            <w:tcBorders>
              <w:top w:val="nil"/>
              <w:left w:val="nil"/>
              <w:bottom w:val="single" w:sz="4" w:space="0" w:color="auto"/>
              <w:right w:val="single" w:sz="4" w:space="0" w:color="auto"/>
            </w:tcBorders>
            <w:noWrap/>
            <w:vAlign w:val="center"/>
            <w:hideMark/>
          </w:tcPr>
          <w:p w14:paraId="188C450F" w14:textId="77777777" w:rsidR="005E64D9" w:rsidRPr="00951AB1" w:rsidRDefault="005E64D9" w:rsidP="000A5389">
            <w:pPr>
              <w:spacing w:line="240" w:lineRule="auto"/>
              <w:jc w:val="right"/>
              <w:rPr>
                <w:rFonts w:eastAsia="Times New Roman" w:cs="Times New Roman"/>
                <w:color w:val="000000"/>
                <w:kern w:val="0"/>
                <w:sz w:val="14"/>
                <w:szCs w:val="14"/>
                <w:lang w:eastAsia="es-CO"/>
                <w14:ligatures w14:val="none"/>
              </w:rPr>
            </w:pPr>
            <w:r w:rsidRPr="00951AB1">
              <w:rPr>
                <w:rFonts w:cs="Times New Roman"/>
                <w:color w:val="000000"/>
                <w:sz w:val="14"/>
                <w:szCs w:val="14"/>
              </w:rPr>
              <w:t>716.166.460</w:t>
            </w:r>
          </w:p>
        </w:tc>
        <w:tc>
          <w:tcPr>
            <w:tcW w:w="1134" w:type="dxa"/>
            <w:tcBorders>
              <w:top w:val="nil"/>
              <w:left w:val="nil"/>
              <w:bottom w:val="single" w:sz="4" w:space="0" w:color="auto"/>
              <w:right w:val="single" w:sz="4" w:space="0" w:color="auto"/>
            </w:tcBorders>
            <w:noWrap/>
            <w:vAlign w:val="center"/>
            <w:hideMark/>
          </w:tcPr>
          <w:p w14:paraId="58420041" w14:textId="77777777" w:rsidR="005E64D9" w:rsidRPr="00951AB1" w:rsidRDefault="005E64D9" w:rsidP="000A5389">
            <w:pPr>
              <w:spacing w:line="240" w:lineRule="auto"/>
              <w:jc w:val="right"/>
              <w:rPr>
                <w:rFonts w:eastAsia="Times New Roman" w:cs="Times New Roman"/>
                <w:color w:val="000000"/>
                <w:kern w:val="0"/>
                <w:sz w:val="14"/>
                <w:szCs w:val="14"/>
                <w:lang w:eastAsia="es-CO"/>
                <w14:ligatures w14:val="none"/>
              </w:rPr>
            </w:pPr>
            <w:r w:rsidRPr="00951AB1">
              <w:rPr>
                <w:rFonts w:cs="Times New Roman"/>
                <w:color w:val="000000"/>
                <w:sz w:val="14"/>
                <w:szCs w:val="14"/>
              </w:rPr>
              <w:t>716.166.460</w:t>
            </w:r>
          </w:p>
        </w:tc>
        <w:tc>
          <w:tcPr>
            <w:tcW w:w="992" w:type="dxa"/>
            <w:tcBorders>
              <w:top w:val="nil"/>
              <w:left w:val="nil"/>
              <w:bottom w:val="single" w:sz="4" w:space="0" w:color="auto"/>
              <w:right w:val="single" w:sz="4" w:space="0" w:color="auto"/>
            </w:tcBorders>
            <w:noWrap/>
            <w:vAlign w:val="center"/>
            <w:hideMark/>
          </w:tcPr>
          <w:p w14:paraId="7710931A" w14:textId="77777777" w:rsidR="005E64D9" w:rsidRPr="00951AB1" w:rsidRDefault="005E64D9" w:rsidP="000A5389">
            <w:pPr>
              <w:spacing w:line="240" w:lineRule="auto"/>
              <w:jc w:val="right"/>
              <w:rPr>
                <w:rFonts w:eastAsia="Times New Roman" w:cs="Times New Roman"/>
                <w:color w:val="000000"/>
                <w:kern w:val="0"/>
                <w:sz w:val="14"/>
                <w:szCs w:val="14"/>
                <w:lang w:eastAsia="es-CO"/>
                <w14:ligatures w14:val="none"/>
              </w:rPr>
            </w:pPr>
            <w:r w:rsidRPr="00951AB1">
              <w:rPr>
                <w:rFonts w:cs="Times New Roman"/>
                <w:color w:val="000000"/>
                <w:sz w:val="14"/>
                <w:szCs w:val="14"/>
              </w:rPr>
              <w:t> </w:t>
            </w:r>
          </w:p>
        </w:tc>
        <w:tc>
          <w:tcPr>
            <w:tcW w:w="753" w:type="dxa"/>
            <w:tcBorders>
              <w:top w:val="nil"/>
              <w:left w:val="nil"/>
              <w:bottom w:val="single" w:sz="4" w:space="0" w:color="auto"/>
              <w:right w:val="single" w:sz="4" w:space="0" w:color="auto"/>
            </w:tcBorders>
            <w:noWrap/>
            <w:vAlign w:val="center"/>
            <w:hideMark/>
          </w:tcPr>
          <w:p w14:paraId="51E85650" w14:textId="77777777" w:rsidR="005E64D9" w:rsidRPr="00951AB1" w:rsidRDefault="005E64D9" w:rsidP="000A5389">
            <w:pPr>
              <w:spacing w:line="240" w:lineRule="auto"/>
              <w:rPr>
                <w:rFonts w:eastAsia="Times New Roman" w:cs="Times New Roman"/>
                <w:color w:val="000000"/>
                <w:kern w:val="0"/>
                <w:sz w:val="14"/>
                <w:szCs w:val="14"/>
                <w:lang w:eastAsia="es-CO"/>
                <w14:ligatures w14:val="none"/>
              </w:rPr>
            </w:pPr>
            <w:r w:rsidRPr="00951AB1">
              <w:rPr>
                <w:rFonts w:cs="Times New Roman"/>
                <w:color w:val="000000"/>
                <w:sz w:val="14"/>
                <w:szCs w:val="14"/>
              </w:rPr>
              <w:t> </w:t>
            </w:r>
          </w:p>
        </w:tc>
      </w:tr>
      <w:tr w:rsidR="00DB2570" w:rsidRPr="00951AB1" w14:paraId="69725B0E" w14:textId="77777777" w:rsidTr="003076E2">
        <w:trPr>
          <w:trHeight w:val="660"/>
        </w:trPr>
        <w:tc>
          <w:tcPr>
            <w:tcW w:w="1980" w:type="dxa"/>
            <w:tcBorders>
              <w:top w:val="nil"/>
              <w:left w:val="single" w:sz="4" w:space="0" w:color="auto"/>
              <w:bottom w:val="single" w:sz="4" w:space="0" w:color="auto"/>
              <w:right w:val="single" w:sz="4" w:space="0" w:color="auto"/>
            </w:tcBorders>
            <w:noWrap/>
            <w:vAlign w:val="center"/>
            <w:hideMark/>
          </w:tcPr>
          <w:p w14:paraId="2524A51B" w14:textId="77777777" w:rsidR="005E64D9" w:rsidRPr="00951AB1" w:rsidRDefault="005E64D9" w:rsidP="000A5389">
            <w:pPr>
              <w:spacing w:line="240" w:lineRule="auto"/>
              <w:rPr>
                <w:rFonts w:eastAsia="Times New Roman" w:cs="Times New Roman"/>
                <w:color w:val="000000"/>
                <w:kern w:val="0"/>
                <w:sz w:val="14"/>
                <w:szCs w:val="14"/>
                <w:lang w:eastAsia="es-CO"/>
                <w14:ligatures w14:val="none"/>
              </w:rPr>
            </w:pPr>
            <w:r w:rsidRPr="00951AB1">
              <w:rPr>
                <w:rFonts w:cs="Times New Roman"/>
                <w:color w:val="000000"/>
                <w:sz w:val="14"/>
                <w:szCs w:val="14"/>
              </w:rPr>
              <w:t>Derechos de explotación no relacionados con la infraestructura de transporte</w:t>
            </w:r>
          </w:p>
        </w:tc>
        <w:tc>
          <w:tcPr>
            <w:tcW w:w="992" w:type="dxa"/>
            <w:tcBorders>
              <w:top w:val="nil"/>
              <w:left w:val="nil"/>
              <w:bottom w:val="single" w:sz="4" w:space="0" w:color="auto"/>
              <w:right w:val="single" w:sz="4" w:space="0" w:color="auto"/>
            </w:tcBorders>
            <w:noWrap/>
            <w:vAlign w:val="center"/>
            <w:hideMark/>
          </w:tcPr>
          <w:p w14:paraId="09DED501" w14:textId="77777777" w:rsidR="005E64D9" w:rsidRPr="00951AB1" w:rsidRDefault="005E64D9" w:rsidP="000A5389">
            <w:pPr>
              <w:spacing w:line="240" w:lineRule="auto"/>
              <w:jc w:val="center"/>
              <w:rPr>
                <w:rFonts w:eastAsia="Times New Roman" w:cs="Times New Roman"/>
                <w:color w:val="000000"/>
                <w:kern w:val="0"/>
                <w:sz w:val="14"/>
                <w:szCs w:val="14"/>
                <w:lang w:eastAsia="es-CO"/>
                <w14:ligatures w14:val="none"/>
              </w:rPr>
            </w:pPr>
            <w:r w:rsidRPr="00951AB1">
              <w:rPr>
                <w:rFonts w:cs="Times New Roman"/>
                <w:color w:val="000000"/>
                <w:sz w:val="14"/>
                <w:szCs w:val="14"/>
              </w:rPr>
              <w:t>30/12/2025</w:t>
            </w:r>
          </w:p>
        </w:tc>
        <w:tc>
          <w:tcPr>
            <w:tcW w:w="1843" w:type="dxa"/>
            <w:tcBorders>
              <w:top w:val="nil"/>
              <w:left w:val="nil"/>
              <w:bottom w:val="single" w:sz="4" w:space="0" w:color="auto"/>
              <w:right w:val="single" w:sz="4" w:space="0" w:color="auto"/>
            </w:tcBorders>
            <w:vAlign w:val="center"/>
            <w:hideMark/>
          </w:tcPr>
          <w:p w14:paraId="449E32D2" w14:textId="384A4705" w:rsidR="005E64D9" w:rsidRPr="00951AB1" w:rsidRDefault="00283B07" w:rsidP="000A5389">
            <w:pPr>
              <w:spacing w:line="240" w:lineRule="auto"/>
              <w:rPr>
                <w:rFonts w:eastAsia="Times New Roman" w:cs="Times New Roman"/>
                <w:color w:val="000000"/>
                <w:kern w:val="0"/>
                <w:sz w:val="14"/>
                <w:szCs w:val="14"/>
                <w:lang w:eastAsia="es-CO"/>
                <w14:ligatures w14:val="none"/>
              </w:rPr>
            </w:pPr>
            <w:r w:rsidRPr="00951AB1">
              <w:rPr>
                <w:rFonts w:cs="Times New Roman"/>
                <w:color w:val="000000"/>
                <w:sz w:val="14"/>
                <w:szCs w:val="14"/>
              </w:rPr>
              <w:t>Sociedad Operadora De Aeropuertos Centro Norte S.A.S</w:t>
            </w:r>
          </w:p>
        </w:tc>
        <w:tc>
          <w:tcPr>
            <w:tcW w:w="1134" w:type="dxa"/>
            <w:tcBorders>
              <w:top w:val="nil"/>
              <w:left w:val="nil"/>
              <w:bottom w:val="single" w:sz="4" w:space="0" w:color="auto"/>
              <w:right w:val="single" w:sz="4" w:space="0" w:color="auto"/>
            </w:tcBorders>
            <w:noWrap/>
            <w:vAlign w:val="center"/>
            <w:hideMark/>
          </w:tcPr>
          <w:p w14:paraId="0410899F" w14:textId="77777777" w:rsidR="005E64D9" w:rsidRPr="00951AB1" w:rsidRDefault="005E64D9" w:rsidP="000A5389">
            <w:pPr>
              <w:spacing w:line="240" w:lineRule="auto"/>
              <w:jc w:val="right"/>
              <w:rPr>
                <w:rFonts w:eastAsia="Times New Roman" w:cs="Times New Roman"/>
                <w:color w:val="000000"/>
                <w:kern w:val="0"/>
                <w:sz w:val="14"/>
                <w:szCs w:val="14"/>
                <w:lang w:eastAsia="es-CO"/>
                <w14:ligatures w14:val="none"/>
              </w:rPr>
            </w:pPr>
            <w:r w:rsidRPr="00951AB1">
              <w:rPr>
                <w:rFonts w:cs="Times New Roman"/>
                <w:color w:val="000000"/>
                <w:sz w:val="14"/>
                <w:szCs w:val="14"/>
              </w:rPr>
              <w:t>510.252.166</w:t>
            </w:r>
          </w:p>
        </w:tc>
        <w:tc>
          <w:tcPr>
            <w:tcW w:w="1134" w:type="dxa"/>
            <w:tcBorders>
              <w:top w:val="nil"/>
              <w:left w:val="nil"/>
              <w:bottom w:val="single" w:sz="4" w:space="0" w:color="auto"/>
              <w:right w:val="single" w:sz="4" w:space="0" w:color="auto"/>
            </w:tcBorders>
            <w:noWrap/>
            <w:vAlign w:val="center"/>
            <w:hideMark/>
          </w:tcPr>
          <w:p w14:paraId="097C3863" w14:textId="77777777" w:rsidR="005E64D9" w:rsidRPr="00951AB1" w:rsidRDefault="005E64D9" w:rsidP="000A5389">
            <w:pPr>
              <w:spacing w:line="240" w:lineRule="auto"/>
              <w:jc w:val="right"/>
              <w:rPr>
                <w:rFonts w:eastAsia="Times New Roman" w:cs="Times New Roman"/>
                <w:color w:val="000000"/>
                <w:kern w:val="0"/>
                <w:sz w:val="14"/>
                <w:szCs w:val="14"/>
                <w:lang w:eastAsia="es-CO"/>
                <w14:ligatures w14:val="none"/>
              </w:rPr>
            </w:pPr>
            <w:r w:rsidRPr="00951AB1">
              <w:rPr>
                <w:rFonts w:cs="Times New Roman"/>
                <w:color w:val="000000"/>
                <w:sz w:val="14"/>
                <w:szCs w:val="14"/>
              </w:rPr>
              <w:t>510.252.166</w:t>
            </w:r>
          </w:p>
        </w:tc>
        <w:tc>
          <w:tcPr>
            <w:tcW w:w="992" w:type="dxa"/>
            <w:tcBorders>
              <w:top w:val="nil"/>
              <w:left w:val="nil"/>
              <w:bottom w:val="single" w:sz="4" w:space="0" w:color="auto"/>
              <w:right w:val="single" w:sz="4" w:space="0" w:color="auto"/>
            </w:tcBorders>
            <w:noWrap/>
            <w:vAlign w:val="center"/>
            <w:hideMark/>
          </w:tcPr>
          <w:p w14:paraId="7D8BD41A" w14:textId="77777777" w:rsidR="005E64D9" w:rsidRPr="00951AB1" w:rsidRDefault="005E64D9" w:rsidP="000A5389">
            <w:pPr>
              <w:spacing w:line="240" w:lineRule="auto"/>
              <w:jc w:val="right"/>
              <w:rPr>
                <w:rFonts w:eastAsia="Times New Roman" w:cs="Times New Roman"/>
                <w:color w:val="000000"/>
                <w:kern w:val="0"/>
                <w:sz w:val="14"/>
                <w:szCs w:val="14"/>
                <w:lang w:eastAsia="es-CO"/>
                <w14:ligatures w14:val="none"/>
              </w:rPr>
            </w:pPr>
            <w:r w:rsidRPr="00951AB1">
              <w:rPr>
                <w:rFonts w:cs="Times New Roman"/>
                <w:color w:val="000000"/>
                <w:sz w:val="14"/>
                <w:szCs w:val="14"/>
              </w:rPr>
              <w:t> </w:t>
            </w:r>
          </w:p>
        </w:tc>
        <w:tc>
          <w:tcPr>
            <w:tcW w:w="753" w:type="dxa"/>
            <w:tcBorders>
              <w:top w:val="nil"/>
              <w:left w:val="nil"/>
              <w:bottom w:val="single" w:sz="4" w:space="0" w:color="auto"/>
              <w:right w:val="single" w:sz="4" w:space="0" w:color="auto"/>
            </w:tcBorders>
            <w:noWrap/>
            <w:vAlign w:val="center"/>
            <w:hideMark/>
          </w:tcPr>
          <w:p w14:paraId="7854D4BD" w14:textId="77777777" w:rsidR="005E64D9" w:rsidRPr="00951AB1" w:rsidRDefault="005E64D9" w:rsidP="000A5389">
            <w:pPr>
              <w:spacing w:line="240" w:lineRule="auto"/>
              <w:rPr>
                <w:rFonts w:eastAsia="Times New Roman" w:cs="Times New Roman"/>
                <w:color w:val="000000"/>
                <w:kern w:val="0"/>
                <w:sz w:val="14"/>
                <w:szCs w:val="14"/>
                <w:lang w:eastAsia="es-CO"/>
                <w14:ligatures w14:val="none"/>
              </w:rPr>
            </w:pPr>
            <w:r w:rsidRPr="00951AB1">
              <w:rPr>
                <w:rFonts w:cs="Times New Roman"/>
                <w:color w:val="000000"/>
                <w:sz w:val="14"/>
                <w:szCs w:val="14"/>
              </w:rPr>
              <w:t> </w:t>
            </w:r>
          </w:p>
        </w:tc>
      </w:tr>
      <w:tr w:rsidR="00DB2570" w:rsidRPr="00951AB1" w14:paraId="4D7A8EC1" w14:textId="77777777" w:rsidTr="003076E2">
        <w:trPr>
          <w:trHeight w:val="255"/>
        </w:trPr>
        <w:tc>
          <w:tcPr>
            <w:tcW w:w="1980" w:type="dxa"/>
            <w:tcBorders>
              <w:top w:val="nil"/>
              <w:left w:val="single" w:sz="4" w:space="0" w:color="auto"/>
              <w:bottom w:val="single" w:sz="4" w:space="0" w:color="auto"/>
              <w:right w:val="single" w:sz="4" w:space="0" w:color="auto"/>
            </w:tcBorders>
            <w:noWrap/>
            <w:vAlign w:val="center"/>
            <w:hideMark/>
          </w:tcPr>
          <w:p w14:paraId="631C26CA" w14:textId="77777777" w:rsidR="005E64D9" w:rsidRPr="00951AB1" w:rsidRDefault="005E64D9" w:rsidP="000A5389">
            <w:pPr>
              <w:spacing w:line="240" w:lineRule="auto"/>
              <w:rPr>
                <w:rFonts w:eastAsia="Times New Roman" w:cs="Times New Roman"/>
                <w:color w:val="000000"/>
                <w:kern w:val="0"/>
                <w:sz w:val="14"/>
                <w:szCs w:val="14"/>
                <w:lang w:eastAsia="es-CO"/>
                <w14:ligatures w14:val="none"/>
              </w:rPr>
            </w:pPr>
            <w:r w:rsidRPr="00951AB1">
              <w:rPr>
                <w:rFonts w:cs="Times New Roman"/>
                <w:color w:val="000000"/>
                <w:sz w:val="14"/>
                <w:szCs w:val="14"/>
              </w:rPr>
              <w:t>Reintegros</w:t>
            </w:r>
          </w:p>
        </w:tc>
        <w:tc>
          <w:tcPr>
            <w:tcW w:w="992" w:type="dxa"/>
            <w:tcBorders>
              <w:top w:val="nil"/>
              <w:left w:val="nil"/>
              <w:bottom w:val="single" w:sz="4" w:space="0" w:color="auto"/>
              <w:right w:val="single" w:sz="4" w:space="0" w:color="auto"/>
            </w:tcBorders>
            <w:noWrap/>
            <w:vAlign w:val="center"/>
            <w:hideMark/>
          </w:tcPr>
          <w:p w14:paraId="4A08F324" w14:textId="77777777" w:rsidR="005E64D9" w:rsidRPr="00951AB1" w:rsidRDefault="005E64D9" w:rsidP="000A5389">
            <w:pPr>
              <w:spacing w:line="240" w:lineRule="auto"/>
              <w:jc w:val="center"/>
              <w:rPr>
                <w:rFonts w:eastAsia="Times New Roman" w:cs="Times New Roman"/>
                <w:color w:val="000000"/>
                <w:kern w:val="0"/>
                <w:sz w:val="14"/>
                <w:szCs w:val="14"/>
                <w:lang w:eastAsia="es-CO"/>
                <w14:ligatures w14:val="none"/>
              </w:rPr>
            </w:pPr>
            <w:r w:rsidRPr="00951AB1">
              <w:rPr>
                <w:rFonts w:cs="Times New Roman"/>
                <w:color w:val="000000"/>
                <w:sz w:val="14"/>
                <w:szCs w:val="14"/>
              </w:rPr>
              <w:t>25/07/2025</w:t>
            </w:r>
          </w:p>
        </w:tc>
        <w:tc>
          <w:tcPr>
            <w:tcW w:w="1843" w:type="dxa"/>
            <w:tcBorders>
              <w:top w:val="nil"/>
              <w:left w:val="nil"/>
              <w:bottom w:val="single" w:sz="4" w:space="0" w:color="auto"/>
              <w:right w:val="single" w:sz="4" w:space="0" w:color="auto"/>
            </w:tcBorders>
            <w:noWrap/>
            <w:vAlign w:val="center"/>
            <w:hideMark/>
          </w:tcPr>
          <w:p w14:paraId="54648B29" w14:textId="1A559A52" w:rsidR="005E64D9" w:rsidRPr="00951AB1" w:rsidRDefault="00283B07" w:rsidP="000A5389">
            <w:pPr>
              <w:spacing w:line="240" w:lineRule="auto"/>
              <w:rPr>
                <w:rFonts w:eastAsia="Times New Roman" w:cs="Times New Roman"/>
                <w:color w:val="000000"/>
                <w:kern w:val="0"/>
                <w:sz w:val="14"/>
                <w:szCs w:val="14"/>
                <w:lang w:eastAsia="es-CO"/>
                <w14:ligatures w14:val="none"/>
              </w:rPr>
            </w:pPr>
            <w:r w:rsidRPr="00951AB1">
              <w:rPr>
                <w:rFonts w:cs="Times New Roman"/>
                <w:color w:val="000000"/>
                <w:sz w:val="14"/>
                <w:szCs w:val="14"/>
              </w:rPr>
              <w:t>Ministerio De Hacienda Y Crédito Publico</w:t>
            </w:r>
          </w:p>
        </w:tc>
        <w:tc>
          <w:tcPr>
            <w:tcW w:w="1134" w:type="dxa"/>
            <w:tcBorders>
              <w:top w:val="nil"/>
              <w:left w:val="nil"/>
              <w:bottom w:val="single" w:sz="4" w:space="0" w:color="auto"/>
              <w:right w:val="single" w:sz="4" w:space="0" w:color="auto"/>
            </w:tcBorders>
            <w:noWrap/>
            <w:vAlign w:val="center"/>
            <w:hideMark/>
          </w:tcPr>
          <w:p w14:paraId="303B90FE" w14:textId="77777777" w:rsidR="005E64D9" w:rsidRPr="00951AB1" w:rsidRDefault="005E64D9" w:rsidP="000A5389">
            <w:pPr>
              <w:spacing w:line="240" w:lineRule="auto"/>
              <w:jc w:val="right"/>
              <w:rPr>
                <w:rFonts w:eastAsia="Times New Roman" w:cs="Times New Roman"/>
                <w:color w:val="000000"/>
                <w:kern w:val="0"/>
                <w:sz w:val="14"/>
                <w:szCs w:val="14"/>
                <w:lang w:eastAsia="es-CO"/>
                <w14:ligatures w14:val="none"/>
              </w:rPr>
            </w:pPr>
            <w:r w:rsidRPr="00951AB1">
              <w:rPr>
                <w:rFonts w:cs="Times New Roman"/>
                <w:color w:val="000000"/>
                <w:sz w:val="14"/>
                <w:szCs w:val="14"/>
              </w:rPr>
              <w:t>406.560.657</w:t>
            </w:r>
          </w:p>
        </w:tc>
        <w:tc>
          <w:tcPr>
            <w:tcW w:w="1134" w:type="dxa"/>
            <w:tcBorders>
              <w:top w:val="nil"/>
              <w:left w:val="nil"/>
              <w:bottom w:val="single" w:sz="4" w:space="0" w:color="auto"/>
              <w:right w:val="single" w:sz="4" w:space="0" w:color="auto"/>
            </w:tcBorders>
            <w:noWrap/>
            <w:vAlign w:val="center"/>
            <w:hideMark/>
          </w:tcPr>
          <w:p w14:paraId="783625BB" w14:textId="77777777" w:rsidR="005E64D9" w:rsidRPr="00951AB1" w:rsidRDefault="005E64D9" w:rsidP="000A5389">
            <w:pPr>
              <w:spacing w:line="240" w:lineRule="auto"/>
              <w:jc w:val="right"/>
              <w:rPr>
                <w:rFonts w:eastAsia="Times New Roman" w:cs="Times New Roman"/>
                <w:color w:val="000000"/>
                <w:kern w:val="0"/>
                <w:sz w:val="14"/>
                <w:szCs w:val="14"/>
                <w:lang w:eastAsia="es-CO"/>
                <w14:ligatures w14:val="none"/>
              </w:rPr>
            </w:pPr>
            <w:r w:rsidRPr="00951AB1">
              <w:rPr>
                <w:rFonts w:cs="Times New Roman"/>
                <w:color w:val="000000"/>
                <w:sz w:val="14"/>
                <w:szCs w:val="14"/>
              </w:rPr>
              <w:t>406.560.657</w:t>
            </w:r>
          </w:p>
        </w:tc>
        <w:tc>
          <w:tcPr>
            <w:tcW w:w="992" w:type="dxa"/>
            <w:tcBorders>
              <w:top w:val="nil"/>
              <w:left w:val="nil"/>
              <w:bottom w:val="single" w:sz="4" w:space="0" w:color="auto"/>
              <w:right w:val="single" w:sz="4" w:space="0" w:color="auto"/>
            </w:tcBorders>
            <w:noWrap/>
            <w:vAlign w:val="center"/>
            <w:hideMark/>
          </w:tcPr>
          <w:p w14:paraId="50525F62" w14:textId="77777777" w:rsidR="005E64D9" w:rsidRPr="00951AB1" w:rsidRDefault="005E64D9" w:rsidP="000A5389">
            <w:pPr>
              <w:spacing w:line="240" w:lineRule="auto"/>
              <w:jc w:val="right"/>
              <w:rPr>
                <w:rFonts w:eastAsia="Times New Roman" w:cs="Times New Roman"/>
                <w:color w:val="000000"/>
                <w:kern w:val="0"/>
                <w:sz w:val="14"/>
                <w:szCs w:val="14"/>
                <w:lang w:eastAsia="es-CO"/>
                <w14:ligatures w14:val="none"/>
              </w:rPr>
            </w:pPr>
            <w:r w:rsidRPr="00951AB1">
              <w:rPr>
                <w:rFonts w:cs="Times New Roman"/>
                <w:color w:val="000000"/>
                <w:sz w:val="14"/>
                <w:szCs w:val="14"/>
              </w:rPr>
              <w:t> </w:t>
            </w:r>
          </w:p>
        </w:tc>
        <w:tc>
          <w:tcPr>
            <w:tcW w:w="753" w:type="dxa"/>
            <w:tcBorders>
              <w:top w:val="nil"/>
              <w:left w:val="nil"/>
              <w:bottom w:val="single" w:sz="4" w:space="0" w:color="auto"/>
              <w:right w:val="single" w:sz="4" w:space="0" w:color="auto"/>
            </w:tcBorders>
            <w:noWrap/>
            <w:vAlign w:val="center"/>
            <w:hideMark/>
          </w:tcPr>
          <w:p w14:paraId="03221489" w14:textId="77777777" w:rsidR="005E64D9" w:rsidRPr="00951AB1" w:rsidRDefault="005E64D9" w:rsidP="000A5389">
            <w:pPr>
              <w:spacing w:line="240" w:lineRule="auto"/>
              <w:rPr>
                <w:rFonts w:eastAsia="Times New Roman" w:cs="Times New Roman"/>
                <w:color w:val="000000"/>
                <w:kern w:val="0"/>
                <w:sz w:val="14"/>
                <w:szCs w:val="14"/>
                <w:lang w:eastAsia="es-CO"/>
                <w14:ligatures w14:val="none"/>
              </w:rPr>
            </w:pPr>
            <w:r w:rsidRPr="00951AB1">
              <w:rPr>
                <w:rFonts w:cs="Times New Roman"/>
                <w:color w:val="000000"/>
                <w:sz w:val="14"/>
                <w:szCs w:val="14"/>
              </w:rPr>
              <w:t> </w:t>
            </w:r>
          </w:p>
        </w:tc>
      </w:tr>
      <w:tr w:rsidR="00DB2570" w:rsidRPr="00951AB1" w14:paraId="7D632CD5" w14:textId="77777777" w:rsidTr="003076E2">
        <w:trPr>
          <w:trHeight w:val="255"/>
        </w:trPr>
        <w:tc>
          <w:tcPr>
            <w:tcW w:w="1980" w:type="dxa"/>
            <w:tcBorders>
              <w:top w:val="nil"/>
              <w:left w:val="single" w:sz="4" w:space="0" w:color="auto"/>
              <w:bottom w:val="single" w:sz="4" w:space="0" w:color="auto"/>
              <w:right w:val="single" w:sz="4" w:space="0" w:color="auto"/>
            </w:tcBorders>
            <w:noWrap/>
            <w:vAlign w:val="center"/>
            <w:hideMark/>
          </w:tcPr>
          <w:p w14:paraId="71C36ACA" w14:textId="77777777" w:rsidR="005E64D9" w:rsidRPr="00951AB1" w:rsidRDefault="005E64D9" w:rsidP="000A5389">
            <w:pPr>
              <w:spacing w:line="240" w:lineRule="auto"/>
              <w:rPr>
                <w:rFonts w:eastAsia="Times New Roman" w:cs="Times New Roman"/>
                <w:color w:val="000000"/>
                <w:kern w:val="0"/>
                <w:sz w:val="14"/>
                <w:szCs w:val="14"/>
                <w:lang w:eastAsia="es-CO"/>
                <w14:ligatures w14:val="none"/>
              </w:rPr>
            </w:pPr>
            <w:r w:rsidRPr="00951AB1">
              <w:rPr>
                <w:rFonts w:cs="Times New Roman"/>
                <w:color w:val="000000"/>
                <w:sz w:val="14"/>
                <w:szCs w:val="14"/>
              </w:rPr>
              <w:t>Derechos de explotación no relacionados con la infraestructura de transporte</w:t>
            </w:r>
          </w:p>
        </w:tc>
        <w:tc>
          <w:tcPr>
            <w:tcW w:w="992" w:type="dxa"/>
            <w:tcBorders>
              <w:top w:val="nil"/>
              <w:left w:val="nil"/>
              <w:bottom w:val="single" w:sz="4" w:space="0" w:color="auto"/>
              <w:right w:val="single" w:sz="4" w:space="0" w:color="auto"/>
            </w:tcBorders>
            <w:noWrap/>
            <w:vAlign w:val="center"/>
            <w:hideMark/>
          </w:tcPr>
          <w:p w14:paraId="70E4AEB5" w14:textId="77777777" w:rsidR="005E64D9" w:rsidRPr="00951AB1" w:rsidRDefault="005E64D9" w:rsidP="000A5389">
            <w:pPr>
              <w:spacing w:line="240" w:lineRule="auto"/>
              <w:jc w:val="center"/>
              <w:rPr>
                <w:rFonts w:eastAsia="Times New Roman" w:cs="Times New Roman"/>
                <w:color w:val="000000"/>
                <w:kern w:val="0"/>
                <w:sz w:val="14"/>
                <w:szCs w:val="14"/>
                <w:lang w:eastAsia="es-CO"/>
                <w14:ligatures w14:val="none"/>
              </w:rPr>
            </w:pPr>
            <w:r w:rsidRPr="00951AB1">
              <w:rPr>
                <w:rFonts w:cs="Times New Roman"/>
                <w:color w:val="000000"/>
                <w:sz w:val="14"/>
                <w:szCs w:val="14"/>
              </w:rPr>
              <w:t>30/12/2025</w:t>
            </w:r>
          </w:p>
        </w:tc>
        <w:tc>
          <w:tcPr>
            <w:tcW w:w="1843" w:type="dxa"/>
            <w:tcBorders>
              <w:top w:val="nil"/>
              <w:left w:val="nil"/>
              <w:bottom w:val="single" w:sz="4" w:space="0" w:color="auto"/>
              <w:right w:val="single" w:sz="4" w:space="0" w:color="auto"/>
            </w:tcBorders>
            <w:noWrap/>
            <w:vAlign w:val="center"/>
            <w:hideMark/>
          </w:tcPr>
          <w:p w14:paraId="100F422E" w14:textId="1E11825A" w:rsidR="005E64D9" w:rsidRPr="00951AB1" w:rsidRDefault="00283B07" w:rsidP="000A5389">
            <w:pPr>
              <w:spacing w:line="240" w:lineRule="auto"/>
              <w:rPr>
                <w:rFonts w:eastAsia="Times New Roman" w:cs="Times New Roman"/>
                <w:color w:val="000000"/>
                <w:kern w:val="0"/>
                <w:sz w:val="14"/>
                <w:szCs w:val="14"/>
                <w:lang w:eastAsia="es-CO"/>
                <w14:ligatures w14:val="none"/>
              </w:rPr>
            </w:pPr>
            <w:r w:rsidRPr="00951AB1">
              <w:rPr>
                <w:rFonts w:cs="Times New Roman"/>
                <w:color w:val="000000"/>
                <w:sz w:val="14"/>
                <w:szCs w:val="14"/>
              </w:rPr>
              <w:t>Transporte Ferroportuario De Colombia - Transferport S.A.S</w:t>
            </w:r>
          </w:p>
        </w:tc>
        <w:tc>
          <w:tcPr>
            <w:tcW w:w="1134" w:type="dxa"/>
            <w:tcBorders>
              <w:top w:val="nil"/>
              <w:left w:val="nil"/>
              <w:bottom w:val="single" w:sz="4" w:space="0" w:color="auto"/>
              <w:right w:val="single" w:sz="4" w:space="0" w:color="auto"/>
            </w:tcBorders>
            <w:noWrap/>
            <w:vAlign w:val="center"/>
            <w:hideMark/>
          </w:tcPr>
          <w:p w14:paraId="346A8BE5" w14:textId="77777777" w:rsidR="005E64D9" w:rsidRPr="00951AB1" w:rsidRDefault="005E64D9" w:rsidP="000A5389">
            <w:pPr>
              <w:spacing w:line="240" w:lineRule="auto"/>
              <w:jc w:val="right"/>
              <w:rPr>
                <w:rFonts w:eastAsia="Times New Roman" w:cs="Times New Roman"/>
                <w:color w:val="000000"/>
                <w:kern w:val="0"/>
                <w:sz w:val="14"/>
                <w:szCs w:val="14"/>
                <w:lang w:eastAsia="es-CO"/>
                <w14:ligatures w14:val="none"/>
              </w:rPr>
            </w:pPr>
            <w:r w:rsidRPr="00951AB1">
              <w:rPr>
                <w:rFonts w:cs="Times New Roman"/>
                <w:color w:val="000000"/>
                <w:sz w:val="14"/>
                <w:szCs w:val="14"/>
              </w:rPr>
              <w:t>280.566.104</w:t>
            </w:r>
          </w:p>
        </w:tc>
        <w:tc>
          <w:tcPr>
            <w:tcW w:w="1134" w:type="dxa"/>
            <w:tcBorders>
              <w:top w:val="nil"/>
              <w:left w:val="nil"/>
              <w:bottom w:val="single" w:sz="4" w:space="0" w:color="auto"/>
              <w:right w:val="single" w:sz="4" w:space="0" w:color="auto"/>
            </w:tcBorders>
            <w:noWrap/>
            <w:vAlign w:val="center"/>
            <w:hideMark/>
          </w:tcPr>
          <w:p w14:paraId="768597F8" w14:textId="77777777" w:rsidR="005E64D9" w:rsidRPr="00951AB1" w:rsidRDefault="005E64D9" w:rsidP="000A5389">
            <w:pPr>
              <w:spacing w:line="240" w:lineRule="auto"/>
              <w:jc w:val="right"/>
              <w:rPr>
                <w:rFonts w:eastAsia="Times New Roman" w:cs="Times New Roman"/>
                <w:color w:val="000000"/>
                <w:kern w:val="0"/>
                <w:sz w:val="14"/>
                <w:szCs w:val="14"/>
                <w:lang w:eastAsia="es-CO"/>
                <w14:ligatures w14:val="none"/>
              </w:rPr>
            </w:pPr>
            <w:r w:rsidRPr="00951AB1">
              <w:rPr>
                <w:rFonts w:cs="Times New Roman"/>
                <w:color w:val="000000"/>
                <w:sz w:val="14"/>
                <w:szCs w:val="14"/>
              </w:rPr>
              <w:t>280.566.104</w:t>
            </w:r>
          </w:p>
        </w:tc>
        <w:tc>
          <w:tcPr>
            <w:tcW w:w="992" w:type="dxa"/>
            <w:tcBorders>
              <w:top w:val="nil"/>
              <w:left w:val="nil"/>
              <w:bottom w:val="single" w:sz="4" w:space="0" w:color="auto"/>
              <w:right w:val="single" w:sz="4" w:space="0" w:color="auto"/>
            </w:tcBorders>
            <w:noWrap/>
            <w:vAlign w:val="center"/>
            <w:hideMark/>
          </w:tcPr>
          <w:p w14:paraId="7E2405BE" w14:textId="77777777" w:rsidR="005E64D9" w:rsidRPr="00951AB1" w:rsidRDefault="005E64D9" w:rsidP="000A5389">
            <w:pPr>
              <w:spacing w:line="240" w:lineRule="auto"/>
              <w:jc w:val="right"/>
              <w:rPr>
                <w:rFonts w:eastAsia="Times New Roman" w:cs="Times New Roman"/>
                <w:color w:val="000000"/>
                <w:kern w:val="0"/>
                <w:sz w:val="14"/>
                <w:szCs w:val="14"/>
                <w:lang w:eastAsia="es-CO"/>
                <w14:ligatures w14:val="none"/>
              </w:rPr>
            </w:pPr>
            <w:r w:rsidRPr="00951AB1">
              <w:rPr>
                <w:rFonts w:cs="Times New Roman"/>
                <w:color w:val="000000"/>
                <w:sz w:val="14"/>
                <w:szCs w:val="14"/>
              </w:rPr>
              <w:t> </w:t>
            </w:r>
          </w:p>
        </w:tc>
        <w:tc>
          <w:tcPr>
            <w:tcW w:w="753" w:type="dxa"/>
            <w:tcBorders>
              <w:top w:val="nil"/>
              <w:left w:val="nil"/>
              <w:bottom w:val="single" w:sz="4" w:space="0" w:color="auto"/>
              <w:right w:val="single" w:sz="4" w:space="0" w:color="auto"/>
            </w:tcBorders>
            <w:noWrap/>
            <w:vAlign w:val="center"/>
            <w:hideMark/>
          </w:tcPr>
          <w:p w14:paraId="46FD4595" w14:textId="77777777" w:rsidR="005E64D9" w:rsidRPr="00951AB1" w:rsidRDefault="005E64D9" w:rsidP="000A5389">
            <w:pPr>
              <w:spacing w:line="240" w:lineRule="auto"/>
              <w:rPr>
                <w:rFonts w:eastAsia="Times New Roman" w:cs="Times New Roman"/>
                <w:color w:val="000000"/>
                <w:kern w:val="0"/>
                <w:sz w:val="14"/>
                <w:szCs w:val="14"/>
                <w:lang w:eastAsia="es-CO"/>
                <w14:ligatures w14:val="none"/>
              </w:rPr>
            </w:pPr>
            <w:r w:rsidRPr="00951AB1">
              <w:rPr>
                <w:rFonts w:cs="Times New Roman"/>
                <w:color w:val="000000"/>
                <w:sz w:val="14"/>
                <w:szCs w:val="14"/>
              </w:rPr>
              <w:t> </w:t>
            </w:r>
          </w:p>
        </w:tc>
      </w:tr>
      <w:tr w:rsidR="00DB2570" w:rsidRPr="00951AB1" w14:paraId="6AFD6351" w14:textId="77777777" w:rsidTr="003076E2">
        <w:trPr>
          <w:trHeight w:val="255"/>
        </w:trPr>
        <w:tc>
          <w:tcPr>
            <w:tcW w:w="1980" w:type="dxa"/>
            <w:tcBorders>
              <w:top w:val="nil"/>
              <w:left w:val="single" w:sz="4" w:space="0" w:color="auto"/>
              <w:bottom w:val="single" w:sz="4" w:space="0" w:color="auto"/>
              <w:right w:val="single" w:sz="4" w:space="0" w:color="auto"/>
            </w:tcBorders>
            <w:noWrap/>
            <w:vAlign w:val="center"/>
            <w:hideMark/>
          </w:tcPr>
          <w:p w14:paraId="60BBE110" w14:textId="77777777" w:rsidR="005E64D9" w:rsidRPr="00951AB1" w:rsidRDefault="005E64D9" w:rsidP="000A5389">
            <w:pPr>
              <w:spacing w:line="240" w:lineRule="auto"/>
              <w:rPr>
                <w:rFonts w:eastAsia="Times New Roman" w:cs="Times New Roman"/>
                <w:color w:val="000000"/>
                <w:kern w:val="0"/>
                <w:sz w:val="14"/>
                <w:szCs w:val="14"/>
                <w:lang w:eastAsia="es-CO"/>
                <w14:ligatures w14:val="none"/>
              </w:rPr>
            </w:pPr>
            <w:r w:rsidRPr="00951AB1">
              <w:rPr>
                <w:rFonts w:cs="Times New Roman"/>
                <w:color w:val="000000"/>
                <w:sz w:val="14"/>
                <w:szCs w:val="14"/>
              </w:rPr>
              <w:t>Sanciones contractuales</w:t>
            </w:r>
          </w:p>
        </w:tc>
        <w:tc>
          <w:tcPr>
            <w:tcW w:w="992" w:type="dxa"/>
            <w:tcBorders>
              <w:top w:val="nil"/>
              <w:left w:val="nil"/>
              <w:bottom w:val="single" w:sz="4" w:space="0" w:color="auto"/>
              <w:right w:val="single" w:sz="4" w:space="0" w:color="auto"/>
            </w:tcBorders>
            <w:noWrap/>
            <w:vAlign w:val="center"/>
            <w:hideMark/>
          </w:tcPr>
          <w:p w14:paraId="22B5FC0E" w14:textId="77777777" w:rsidR="005E64D9" w:rsidRPr="00951AB1" w:rsidRDefault="005E64D9" w:rsidP="000A5389">
            <w:pPr>
              <w:spacing w:line="240" w:lineRule="auto"/>
              <w:jc w:val="center"/>
              <w:rPr>
                <w:rFonts w:eastAsia="Times New Roman" w:cs="Times New Roman"/>
                <w:color w:val="000000"/>
                <w:kern w:val="0"/>
                <w:sz w:val="14"/>
                <w:szCs w:val="14"/>
                <w:lang w:eastAsia="es-CO"/>
                <w14:ligatures w14:val="none"/>
              </w:rPr>
            </w:pPr>
            <w:r w:rsidRPr="00951AB1">
              <w:rPr>
                <w:rFonts w:cs="Times New Roman"/>
                <w:color w:val="000000"/>
                <w:sz w:val="14"/>
                <w:szCs w:val="14"/>
              </w:rPr>
              <w:t>2/03/2023</w:t>
            </w:r>
          </w:p>
        </w:tc>
        <w:tc>
          <w:tcPr>
            <w:tcW w:w="1843" w:type="dxa"/>
            <w:tcBorders>
              <w:top w:val="nil"/>
              <w:left w:val="nil"/>
              <w:bottom w:val="single" w:sz="4" w:space="0" w:color="auto"/>
              <w:right w:val="single" w:sz="4" w:space="0" w:color="auto"/>
            </w:tcBorders>
            <w:noWrap/>
            <w:vAlign w:val="center"/>
            <w:hideMark/>
          </w:tcPr>
          <w:p w14:paraId="3A936560" w14:textId="77777777" w:rsidR="005E64D9" w:rsidRPr="00951AB1" w:rsidRDefault="00283B07" w:rsidP="000A5389">
            <w:pPr>
              <w:spacing w:line="240" w:lineRule="auto"/>
              <w:rPr>
                <w:rFonts w:eastAsia="Times New Roman" w:cs="Times New Roman"/>
                <w:color w:val="000000"/>
                <w:kern w:val="0"/>
                <w:sz w:val="14"/>
                <w:szCs w:val="14"/>
                <w:lang w:eastAsia="es-CO"/>
                <w14:ligatures w14:val="none"/>
              </w:rPr>
            </w:pPr>
            <w:r w:rsidRPr="00951AB1">
              <w:rPr>
                <w:rFonts w:cs="Times New Roman"/>
                <w:color w:val="000000"/>
                <w:sz w:val="14"/>
                <w:szCs w:val="14"/>
              </w:rPr>
              <w:t>Digicom System Corporación Sa</w:t>
            </w:r>
          </w:p>
        </w:tc>
        <w:tc>
          <w:tcPr>
            <w:tcW w:w="1134" w:type="dxa"/>
            <w:tcBorders>
              <w:top w:val="nil"/>
              <w:left w:val="nil"/>
              <w:bottom w:val="single" w:sz="4" w:space="0" w:color="auto"/>
              <w:right w:val="single" w:sz="4" w:space="0" w:color="auto"/>
            </w:tcBorders>
            <w:noWrap/>
            <w:vAlign w:val="center"/>
            <w:hideMark/>
          </w:tcPr>
          <w:p w14:paraId="43A4E7DF" w14:textId="77777777" w:rsidR="005E64D9" w:rsidRPr="00951AB1" w:rsidRDefault="005E64D9" w:rsidP="000A5389">
            <w:pPr>
              <w:spacing w:line="240" w:lineRule="auto"/>
              <w:jc w:val="right"/>
              <w:rPr>
                <w:rFonts w:eastAsia="Times New Roman" w:cs="Times New Roman"/>
                <w:color w:val="000000"/>
                <w:kern w:val="0"/>
                <w:sz w:val="14"/>
                <w:szCs w:val="14"/>
                <w:lang w:eastAsia="es-CO"/>
                <w14:ligatures w14:val="none"/>
              </w:rPr>
            </w:pPr>
            <w:r w:rsidRPr="00951AB1">
              <w:rPr>
                <w:rFonts w:cs="Times New Roman"/>
                <w:color w:val="000000"/>
                <w:sz w:val="14"/>
                <w:szCs w:val="14"/>
              </w:rPr>
              <w:t>262.867.895</w:t>
            </w:r>
          </w:p>
        </w:tc>
        <w:tc>
          <w:tcPr>
            <w:tcW w:w="1134" w:type="dxa"/>
            <w:tcBorders>
              <w:top w:val="nil"/>
              <w:left w:val="nil"/>
              <w:bottom w:val="single" w:sz="4" w:space="0" w:color="auto"/>
              <w:right w:val="single" w:sz="4" w:space="0" w:color="auto"/>
            </w:tcBorders>
            <w:noWrap/>
            <w:vAlign w:val="center"/>
            <w:hideMark/>
          </w:tcPr>
          <w:p w14:paraId="2860213E" w14:textId="77777777" w:rsidR="005E64D9" w:rsidRPr="00951AB1" w:rsidRDefault="005E64D9" w:rsidP="000A5389">
            <w:pPr>
              <w:spacing w:line="240" w:lineRule="auto"/>
              <w:jc w:val="right"/>
              <w:rPr>
                <w:rFonts w:eastAsia="Times New Roman" w:cs="Times New Roman"/>
                <w:color w:val="000000"/>
                <w:kern w:val="0"/>
                <w:sz w:val="14"/>
                <w:szCs w:val="14"/>
                <w:lang w:eastAsia="es-CO"/>
                <w14:ligatures w14:val="none"/>
              </w:rPr>
            </w:pPr>
            <w:r w:rsidRPr="00951AB1">
              <w:rPr>
                <w:rFonts w:cs="Times New Roman"/>
                <w:color w:val="000000"/>
                <w:sz w:val="14"/>
                <w:szCs w:val="14"/>
              </w:rPr>
              <w:t> </w:t>
            </w:r>
          </w:p>
        </w:tc>
        <w:tc>
          <w:tcPr>
            <w:tcW w:w="992" w:type="dxa"/>
            <w:tcBorders>
              <w:top w:val="nil"/>
              <w:left w:val="nil"/>
              <w:bottom w:val="single" w:sz="4" w:space="0" w:color="auto"/>
              <w:right w:val="single" w:sz="4" w:space="0" w:color="auto"/>
            </w:tcBorders>
            <w:noWrap/>
            <w:vAlign w:val="center"/>
            <w:hideMark/>
          </w:tcPr>
          <w:p w14:paraId="0AE80917" w14:textId="77777777" w:rsidR="005E64D9" w:rsidRPr="00951AB1" w:rsidRDefault="005E64D9" w:rsidP="000A5389">
            <w:pPr>
              <w:spacing w:line="240" w:lineRule="auto"/>
              <w:jc w:val="right"/>
              <w:rPr>
                <w:rFonts w:eastAsia="Times New Roman" w:cs="Times New Roman"/>
                <w:color w:val="000000"/>
                <w:kern w:val="0"/>
                <w:sz w:val="14"/>
                <w:szCs w:val="14"/>
                <w:lang w:eastAsia="es-CO"/>
                <w14:ligatures w14:val="none"/>
              </w:rPr>
            </w:pPr>
            <w:r w:rsidRPr="00951AB1">
              <w:rPr>
                <w:rFonts w:cs="Times New Roman"/>
                <w:color w:val="000000"/>
                <w:sz w:val="14"/>
                <w:szCs w:val="14"/>
              </w:rPr>
              <w:t>262.867.895</w:t>
            </w:r>
          </w:p>
        </w:tc>
        <w:tc>
          <w:tcPr>
            <w:tcW w:w="753" w:type="dxa"/>
            <w:tcBorders>
              <w:top w:val="nil"/>
              <w:left w:val="nil"/>
              <w:bottom w:val="single" w:sz="4" w:space="0" w:color="auto"/>
              <w:right w:val="single" w:sz="4" w:space="0" w:color="auto"/>
            </w:tcBorders>
            <w:noWrap/>
            <w:vAlign w:val="center"/>
            <w:hideMark/>
          </w:tcPr>
          <w:p w14:paraId="02B1685D" w14:textId="77777777" w:rsidR="005E64D9" w:rsidRPr="00951AB1" w:rsidRDefault="005E64D9" w:rsidP="000A5389">
            <w:pPr>
              <w:spacing w:line="240" w:lineRule="auto"/>
              <w:rPr>
                <w:rFonts w:eastAsia="Times New Roman" w:cs="Times New Roman"/>
                <w:color w:val="000000"/>
                <w:kern w:val="0"/>
                <w:sz w:val="14"/>
                <w:szCs w:val="14"/>
                <w:lang w:eastAsia="es-CO"/>
                <w14:ligatures w14:val="none"/>
              </w:rPr>
            </w:pPr>
            <w:r w:rsidRPr="00951AB1">
              <w:rPr>
                <w:rFonts w:cs="Times New Roman"/>
                <w:color w:val="000000"/>
                <w:sz w:val="14"/>
                <w:szCs w:val="14"/>
              </w:rPr>
              <w:t> </w:t>
            </w:r>
          </w:p>
        </w:tc>
      </w:tr>
      <w:tr w:rsidR="00DB2570" w:rsidRPr="00951AB1" w14:paraId="6FB9AA6F" w14:textId="77777777" w:rsidTr="003076E2">
        <w:trPr>
          <w:trHeight w:val="255"/>
        </w:trPr>
        <w:tc>
          <w:tcPr>
            <w:tcW w:w="1980" w:type="dxa"/>
            <w:tcBorders>
              <w:top w:val="nil"/>
              <w:left w:val="single" w:sz="4" w:space="0" w:color="auto"/>
              <w:bottom w:val="single" w:sz="4" w:space="0" w:color="auto"/>
              <w:right w:val="single" w:sz="4" w:space="0" w:color="auto"/>
            </w:tcBorders>
            <w:noWrap/>
            <w:vAlign w:val="center"/>
            <w:hideMark/>
          </w:tcPr>
          <w:p w14:paraId="15D808BA" w14:textId="77777777" w:rsidR="005E64D9" w:rsidRPr="00951AB1" w:rsidRDefault="005E64D9" w:rsidP="000A5389">
            <w:pPr>
              <w:spacing w:line="240" w:lineRule="auto"/>
              <w:rPr>
                <w:rFonts w:eastAsia="Times New Roman" w:cs="Times New Roman"/>
                <w:color w:val="000000"/>
                <w:kern w:val="0"/>
                <w:sz w:val="14"/>
                <w:szCs w:val="14"/>
                <w:lang w:eastAsia="es-CO"/>
                <w14:ligatures w14:val="none"/>
              </w:rPr>
            </w:pPr>
            <w:r w:rsidRPr="00951AB1">
              <w:rPr>
                <w:rFonts w:cs="Times New Roman"/>
                <w:color w:val="000000"/>
                <w:sz w:val="14"/>
                <w:szCs w:val="14"/>
              </w:rPr>
              <w:t>Otras cuentas por cobrar</w:t>
            </w:r>
          </w:p>
        </w:tc>
        <w:tc>
          <w:tcPr>
            <w:tcW w:w="992" w:type="dxa"/>
            <w:tcBorders>
              <w:top w:val="nil"/>
              <w:left w:val="nil"/>
              <w:bottom w:val="single" w:sz="4" w:space="0" w:color="auto"/>
              <w:right w:val="single" w:sz="4" w:space="0" w:color="auto"/>
            </w:tcBorders>
            <w:noWrap/>
            <w:vAlign w:val="center"/>
            <w:hideMark/>
          </w:tcPr>
          <w:p w14:paraId="1BD37A26" w14:textId="77777777" w:rsidR="005E64D9" w:rsidRPr="00951AB1" w:rsidRDefault="005E64D9" w:rsidP="000A5389">
            <w:pPr>
              <w:spacing w:line="240" w:lineRule="auto"/>
              <w:jc w:val="center"/>
              <w:rPr>
                <w:rFonts w:eastAsia="Times New Roman" w:cs="Times New Roman"/>
                <w:color w:val="000000"/>
                <w:kern w:val="0"/>
                <w:sz w:val="14"/>
                <w:szCs w:val="14"/>
                <w:lang w:eastAsia="es-CO"/>
                <w14:ligatures w14:val="none"/>
              </w:rPr>
            </w:pPr>
            <w:r w:rsidRPr="00951AB1">
              <w:rPr>
                <w:rFonts w:cs="Times New Roman"/>
                <w:color w:val="000000"/>
                <w:sz w:val="14"/>
                <w:szCs w:val="14"/>
              </w:rPr>
              <w:t>30/12/2025</w:t>
            </w:r>
          </w:p>
        </w:tc>
        <w:tc>
          <w:tcPr>
            <w:tcW w:w="1843" w:type="dxa"/>
            <w:tcBorders>
              <w:top w:val="nil"/>
              <w:left w:val="nil"/>
              <w:bottom w:val="single" w:sz="4" w:space="0" w:color="auto"/>
              <w:right w:val="single" w:sz="4" w:space="0" w:color="auto"/>
            </w:tcBorders>
            <w:noWrap/>
            <w:vAlign w:val="center"/>
            <w:hideMark/>
          </w:tcPr>
          <w:p w14:paraId="1B01CE96" w14:textId="46D07B74" w:rsidR="005E64D9" w:rsidRPr="00951AB1" w:rsidRDefault="00283B07" w:rsidP="000A5389">
            <w:pPr>
              <w:spacing w:line="240" w:lineRule="auto"/>
              <w:rPr>
                <w:rFonts w:eastAsia="Times New Roman" w:cs="Times New Roman"/>
                <w:color w:val="000000"/>
                <w:kern w:val="0"/>
                <w:sz w:val="14"/>
                <w:szCs w:val="14"/>
                <w:lang w:eastAsia="es-CO"/>
                <w14:ligatures w14:val="none"/>
              </w:rPr>
            </w:pPr>
            <w:r w:rsidRPr="00951AB1">
              <w:rPr>
                <w:rFonts w:cs="Times New Roman"/>
                <w:color w:val="000000"/>
                <w:sz w:val="14"/>
                <w:szCs w:val="14"/>
              </w:rPr>
              <w:t>Fideicomisos Sociedad Fiduciaria De Occidente Sa</w:t>
            </w:r>
          </w:p>
        </w:tc>
        <w:tc>
          <w:tcPr>
            <w:tcW w:w="1134" w:type="dxa"/>
            <w:tcBorders>
              <w:top w:val="nil"/>
              <w:left w:val="nil"/>
              <w:bottom w:val="single" w:sz="4" w:space="0" w:color="auto"/>
              <w:right w:val="single" w:sz="4" w:space="0" w:color="auto"/>
            </w:tcBorders>
            <w:noWrap/>
            <w:vAlign w:val="center"/>
            <w:hideMark/>
          </w:tcPr>
          <w:p w14:paraId="2F5F0E9C" w14:textId="77777777" w:rsidR="005E64D9" w:rsidRPr="00951AB1" w:rsidRDefault="005E64D9" w:rsidP="000A5389">
            <w:pPr>
              <w:spacing w:line="240" w:lineRule="auto"/>
              <w:jc w:val="right"/>
              <w:rPr>
                <w:rFonts w:eastAsia="Times New Roman" w:cs="Times New Roman"/>
                <w:color w:val="000000"/>
                <w:kern w:val="0"/>
                <w:sz w:val="14"/>
                <w:szCs w:val="14"/>
                <w:lang w:eastAsia="es-CO"/>
                <w14:ligatures w14:val="none"/>
              </w:rPr>
            </w:pPr>
            <w:r w:rsidRPr="00951AB1">
              <w:rPr>
                <w:rFonts w:cs="Times New Roman"/>
                <w:color w:val="000000"/>
                <w:sz w:val="14"/>
                <w:szCs w:val="14"/>
              </w:rPr>
              <w:t>125.677.667</w:t>
            </w:r>
          </w:p>
        </w:tc>
        <w:tc>
          <w:tcPr>
            <w:tcW w:w="1134" w:type="dxa"/>
            <w:tcBorders>
              <w:top w:val="nil"/>
              <w:left w:val="nil"/>
              <w:bottom w:val="single" w:sz="4" w:space="0" w:color="auto"/>
              <w:right w:val="single" w:sz="4" w:space="0" w:color="auto"/>
            </w:tcBorders>
            <w:noWrap/>
            <w:vAlign w:val="center"/>
            <w:hideMark/>
          </w:tcPr>
          <w:p w14:paraId="6CC04066" w14:textId="77777777" w:rsidR="005E64D9" w:rsidRPr="00951AB1" w:rsidRDefault="005E64D9" w:rsidP="000A5389">
            <w:pPr>
              <w:spacing w:line="240" w:lineRule="auto"/>
              <w:jc w:val="right"/>
              <w:rPr>
                <w:rFonts w:eastAsia="Times New Roman" w:cs="Times New Roman"/>
                <w:color w:val="000000"/>
                <w:kern w:val="0"/>
                <w:sz w:val="14"/>
                <w:szCs w:val="14"/>
                <w:lang w:eastAsia="es-CO"/>
                <w14:ligatures w14:val="none"/>
              </w:rPr>
            </w:pPr>
            <w:r w:rsidRPr="00951AB1">
              <w:rPr>
                <w:rFonts w:cs="Times New Roman"/>
                <w:color w:val="000000"/>
                <w:sz w:val="14"/>
                <w:szCs w:val="14"/>
              </w:rPr>
              <w:t>125.677.667</w:t>
            </w:r>
          </w:p>
        </w:tc>
        <w:tc>
          <w:tcPr>
            <w:tcW w:w="992" w:type="dxa"/>
            <w:tcBorders>
              <w:top w:val="nil"/>
              <w:left w:val="nil"/>
              <w:bottom w:val="single" w:sz="4" w:space="0" w:color="auto"/>
              <w:right w:val="single" w:sz="4" w:space="0" w:color="auto"/>
            </w:tcBorders>
            <w:noWrap/>
            <w:vAlign w:val="center"/>
            <w:hideMark/>
          </w:tcPr>
          <w:p w14:paraId="26737F12" w14:textId="77777777" w:rsidR="005E64D9" w:rsidRPr="00951AB1" w:rsidRDefault="005E64D9" w:rsidP="000A5389">
            <w:pPr>
              <w:spacing w:line="240" w:lineRule="auto"/>
              <w:jc w:val="right"/>
              <w:rPr>
                <w:rFonts w:eastAsia="Times New Roman" w:cs="Times New Roman"/>
                <w:color w:val="000000"/>
                <w:kern w:val="0"/>
                <w:sz w:val="14"/>
                <w:szCs w:val="14"/>
                <w:lang w:eastAsia="es-CO"/>
                <w14:ligatures w14:val="none"/>
              </w:rPr>
            </w:pPr>
            <w:r w:rsidRPr="00951AB1">
              <w:rPr>
                <w:rFonts w:cs="Times New Roman"/>
                <w:color w:val="000000"/>
                <w:sz w:val="14"/>
                <w:szCs w:val="14"/>
              </w:rPr>
              <w:t> </w:t>
            </w:r>
          </w:p>
        </w:tc>
        <w:tc>
          <w:tcPr>
            <w:tcW w:w="753" w:type="dxa"/>
            <w:tcBorders>
              <w:top w:val="nil"/>
              <w:left w:val="nil"/>
              <w:bottom w:val="single" w:sz="4" w:space="0" w:color="auto"/>
              <w:right w:val="single" w:sz="4" w:space="0" w:color="auto"/>
            </w:tcBorders>
            <w:noWrap/>
            <w:vAlign w:val="center"/>
            <w:hideMark/>
          </w:tcPr>
          <w:p w14:paraId="37DE8C50" w14:textId="77777777" w:rsidR="005E64D9" w:rsidRPr="00951AB1" w:rsidRDefault="005E64D9" w:rsidP="000A5389">
            <w:pPr>
              <w:spacing w:line="240" w:lineRule="auto"/>
              <w:rPr>
                <w:rFonts w:eastAsia="Times New Roman" w:cs="Times New Roman"/>
                <w:color w:val="000000"/>
                <w:kern w:val="0"/>
                <w:sz w:val="14"/>
                <w:szCs w:val="14"/>
                <w:lang w:eastAsia="es-CO"/>
                <w14:ligatures w14:val="none"/>
              </w:rPr>
            </w:pPr>
            <w:r w:rsidRPr="00951AB1">
              <w:rPr>
                <w:rFonts w:cs="Times New Roman"/>
                <w:color w:val="000000"/>
                <w:sz w:val="14"/>
                <w:szCs w:val="14"/>
              </w:rPr>
              <w:t> </w:t>
            </w:r>
          </w:p>
        </w:tc>
      </w:tr>
      <w:tr w:rsidR="00DB2570" w:rsidRPr="00951AB1" w14:paraId="497B90A5" w14:textId="77777777" w:rsidTr="003076E2">
        <w:trPr>
          <w:trHeight w:val="255"/>
        </w:trPr>
        <w:tc>
          <w:tcPr>
            <w:tcW w:w="1980" w:type="dxa"/>
            <w:tcBorders>
              <w:top w:val="nil"/>
              <w:left w:val="single" w:sz="4" w:space="0" w:color="auto"/>
              <w:bottom w:val="single" w:sz="4" w:space="0" w:color="auto"/>
              <w:right w:val="single" w:sz="4" w:space="0" w:color="auto"/>
            </w:tcBorders>
            <w:noWrap/>
            <w:vAlign w:val="center"/>
            <w:hideMark/>
          </w:tcPr>
          <w:p w14:paraId="40CC4834" w14:textId="77777777" w:rsidR="005E64D9" w:rsidRPr="00951AB1" w:rsidRDefault="005E64D9" w:rsidP="000A5389">
            <w:pPr>
              <w:spacing w:line="240" w:lineRule="auto"/>
              <w:rPr>
                <w:rFonts w:eastAsia="Times New Roman" w:cs="Times New Roman"/>
                <w:color w:val="000000"/>
                <w:kern w:val="0"/>
                <w:sz w:val="14"/>
                <w:szCs w:val="14"/>
                <w:lang w:eastAsia="es-CO"/>
                <w14:ligatures w14:val="none"/>
              </w:rPr>
            </w:pPr>
            <w:r w:rsidRPr="00951AB1">
              <w:rPr>
                <w:rFonts w:cs="Times New Roman"/>
                <w:color w:val="000000"/>
                <w:sz w:val="14"/>
                <w:szCs w:val="14"/>
              </w:rPr>
              <w:t xml:space="preserve">Derechos cobrados por terceros </w:t>
            </w:r>
          </w:p>
        </w:tc>
        <w:tc>
          <w:tcPr>
            <w:tcW w:w="992" w:type="dxa"/>
            <w:tcBorders>
              <w:top w:val="nil"/>
              <w:left w:val="nil"/>
              <w:bottom w:val="single" w:sz="4" w:space="0" w:color="auto"/>
              <w:right w:val="single" w:sz="4" w:space="0" w:color="auto"/>
            </w:tcBorders>
            <w:noWrap/>
            <w:vAlign w:val="center"/>
            <w:hideMark/>
          </w:tcPr>
          <w:p w14:paraId="77FAD1AC" w14:textId="77777777" w:rsidR="005E64D9" w:rsidRPr="00951AB1" w:rsidRDefault="005E64D9" w:rsidP="000A5389">
            <w:pPr>
              <w:spacing w:line="240" w:lineRule="auto"/>
              <w:jc w:val="center"/>
              <w:rPr>
                <w:rFonts w:eastAsia="Times New Roman" w:cs="Times New Roman"/>
                <w:color w:val="000000"/>
                <w:kern w:val="0"/>
                <w:sz w:val="14"/>
                <w:szCs w:val="14"/>
                <w:lang w:eastAsia="es-CO"/>
                <w14:ligatures w14:val="none"/>
              </w:rPr>
            </w:pPr>
            <w:r w:rsidRPr="00951AB1">
              <w:rPr>
                <w:rFonts w:cs="Times New Roman"/>
                <w:color w:val="000000"/>
                <w:sz w:val="14"/>
                <w:szCs w:val="14"/>
              </w:rPr>
              <w:t>30/12/2025</w:t>
            </w:r>
          </w:p>
        </w:tc>
        <w:tc>
          <w:tcPr>
            <w:tcW w:w="1843" w:type="dxa"/>
            <w:tcBorders>
              <w:top w:val="nil"/>
              <w:left w:val="nil"/>
              <w:bottom w:val="single" w:sz="4" w:space="0" w:color="auto"/>
              <w:right w:val="single" w:sz="4" w:space="0" w:color="auto"/>
            </w:tcBorders>
            <w:noWrap/>
            <w:vAlign w:val="center"/>
            <w:hideMark/>
          </w:tcPr>
          <w:p w14:paraId="6C4AAB11" w14:textId="3E57EF5C" w:rsidR="005E64D9" w:rsidRPr="00951AB1" w:rsidRDefault="00283B07" w:rsidP="000A5389">
            <w:pPr>
              <w:spacing w:line="240" w:lineRule="auto"/>
              <w:rPr>
                <w:rFonts w:eastAsia="Times New Roman" w:cs="Times New Roman"/>
                <w:color w:val="000000"/>
                <w:kern w:val="0"/>
                <w:sz w:val="14"/>
                <w:szCs w:val="14"/>
                <w:lang w:eastAsia="es-CO"/>
                <w14:ligatures w14:val="none"/>
              </w:rPr>
            </w:pPr>
            <w:r w:rsidRPr="00951AB1">
              <w:rPr>
                <w:rFonts w:cs="Times New Roman"/>
                <w:color w:val="000000"/>
                <w:sz w:val="14"/>
                <w:szCs w:val="14"/>
              </w:rPr>
              <w:t>Consorcio Ferreobelen C&amp;E</w:t>
            </w:r>
          </w:p>
        </w:tc>
        <w:tc>
          <w:tcPr>
            <w:tcW w:w="1134" w:type="dxa"/>
            <w:tcBorders>
              <w:top w:val="nil"/>
              <w:left w:val="nil"/>
              <w:bottom w:val="single" w:sz="4" w:space="0" w:color="auto"/>
              <w:right w:val="single" w:sz="4" w:space="0" w:color="auto"/>
            </w:tcBorders>
            <w:noWrap/>
            <w:vAlign w:val="center"/>
            <w:hideMark/>
          </w:tcPr>
          <w:p w14:paraId="0791A77C" w14:textId="77777777" w:rsidR="005E64D9" w:rsidRPr="00951AB1" w:rsidRDefault="005E64D9" w:rsidP="000A5389">
            <w:pPr>
              <w:spacing w:line="240" w:lineRule="auto"/>
              <w:jc w:val="right"/>
              <w:rPr>
                <w:rFonts w:eastAsia="Times New Roman" w:cs="Times New Roman"/>
                <w:color w:val="000000"/>
                <w:kern w:val="0"/>
                <w:sz w:val="14"/>
                <w:szCs w:val="14"/>
                <w:lang w:eastAsia="es-CO"/>
                <w14:ligatures w14:val="none"/>
              </w:rPr>
            </w:pPr>
            <w:r w:rsidRPr="00951AB1">
              <w:rPr>
                <w:rFonts w:cs="Times New Roman"/>
                <w:color w:val="000000"/>
                <w:sz w:val="14"/>
                <w:szCs w:val="14"/>
              </w:rPr>
              <w:t>102.391.536</w:t>
            </w:r>
          </w:p>
        </w:tc>
        <w:tc>
          <w:tcPr>
            <w:tcW w:w="1134" w:type="dxa"/>
            <w:tcBorders>
              <w:top w:val="nil"/>
              <w:left w:val="nil"/>
              <w:bottom w:val="single" w:sz="4" w:space="0" w:color="auto"/>
              <w:right w:val="single" w:sz="4" w:space="0" w:color="auto"/>
            </w:tcBorders>
            <w:noWrap/>
            <w:vAlign w:val="center"/>
            <w:hideMark/>
          </w:tcPr>
          <w:p w14:paraId="79D300B5" w14:textId="77777777" w:rsidR="005E64D9" w:rsidRPr="00951AB1" w:rsidRDefault="005E64D9" w:rsidP="000A5389">
            <w:pPr>
              <w:spacing w:line="240" w:lineRule="auto"/>
              <w:jc w:val="right"/>
              <w:rPr>
                <w:rFonts w:eastAsia="Times New Roman" w:cs="Times New Roman"/>
                <w:color w:val="000000"/>
                <w:kern w:val="0"/>
                <w:sz w:val="14"/>
                <w:szCs w:val="14"/>
                <w:lang w:eastAsia="es-CO"/>
                <w14:ligatures w14:val="none"/>
              </w:rPr>
            </w:pPr>
            <w:r w:rsidRPr="00951AB1">
              <w:rPr>
                <w:rFonts w:cs="Times New Roman"/>
                <w:color w:val="000000"/>
                <w:sz w:val="14"/>
                <w:szCs w:val="14"/>
              </w:rPr>
              <w:t>102.391.536</w:t>
            </w:r>
          </w:p>
        </w:tc>
        <w:tc>
          <w:tcPr>
            <w:tcW w:w="992" w:type="dxa"/>
            <w:tcBorders>
              <w:top w:val="nil"/>
              <w:left w:val="nil"/>
              <w:bottom w:val="single" w:sz="4" w:space="0" w:color="auto"/>
              <w:right w:val="single" w:sz="4" w:space="0" w:color="auto"/>
            </w:tcBorders>
            <w:noWrap/>
            <w:vAlign w:val="center"/>
            <w:hideMark/>
          </w:tcPr>
          <w:p w14:paraId="2ECF1697" w14:textId="77777777" w:rsidR="005E64D9" w:rsidRPr="00951AB1" w:rsidRDefault="005E64D9" w:rsidP="000A5389">
            <w:pPr>
              <w:spacing w:line="240" w:lineRule="auto"/>
              <w:jc w:val="right"/>
              <w:rPr>
                <w:rFonts w:eastAsia="Times New Roman" w:cs="Times New Roman"/>
                <w:color w:val="000000"/>
                <w:kern w:val="0"/>
                <w:sz w:val="14"/>
                <w:szCs w:val="14"/>
                <w:lang w:eastAsia="es-CO"/>
                <w14:ligatures w14:val="none"/>
              </w:rPr>
            </w:pPr>
            <w:r w:rsidRPr="00951AB1">
              <w:rPr>
                <w:rFonts w:cs="Times New Roman"/>
                <w:color w:val="000000"/>
                <w:sz w:val="14"/>
                <w:szCs w:val="14"/>
              </w:rPr>
              <w:t> </w:t>
            </w:r>
          </w:p>
        </w:tc>
        <w:tc>
          <w:tcPr>
            <w:tcW w:w="753" w:type="dxa"/>
            <w:tcBorders>
              <w:top w:val="nil"/>
              <w:left w:val="nil"/>
              <w:bottom w:val="single" w:sz="4" w:space="0" w:color="auto"/>
              <w:right w:val="single" w:sz="4" w:space="0" w:color="auto"/>
            </w:tcBorders>
            <w:noWrap/>
            <w:vAlign w:val="center"/>
            <w:hideMark/>
          </w:tcPr>
          <w:p w14:paraId="59A27BFD" w14:textId="77777777" w:rsidR="005E64D9" w:rsidRPr="00951AB1" w:rsidRDefault="005E64D9" w:rsidP="000A5389">
            <w:pPr>
              <w:spacing w:line="240" w:lineRule="auto"/>
              <w:rPr>
                <w:rFonts w:eastAsia="Times New Roman" w:cs="Times New Roman"/>
                <w:color w:val="000000"/>
                <w:kern w:val="0"/>
                <w:sz w:val="14"/>
                <w:szCs w:val="14"/>
                <w:lang w:eastAsia="es-CO"/>
                <w14:ligatures w14:val="none"/>
              </w:rPr>
            </w:pPr>
            <w:r w:rsidRPr="00951AB1">
              <w:rPr>
                <w:rFonts w:cs="Times New Roman"/>
                <w:color w:val="000000"/>
                <w:sz w:val="14"/>
                <w:szCs w:val="14"/>
              </w:rPr>
              <w:t> </w:t>
            </w:r>
          </w:p>
        </w:tc>
      </w:tr>
      <w:tr w:rsidR="00DB2570" w:rsidRPr="00951AB1" w14:paraId="71A2B8E9" w14:textId="77777777" w:rsidTr="003076E2">
        <w:trPr>
          <w:trHeight w:val="255"/>
        </w:trPr>
        <w:tc>
          <w:tcPr>
            <w:tcW w:w="1980" w:type="dxa"/>
            <w:tcBorders>
              <w:top w:val="nil"/>
              <w:left w:val="single" w:sz="4" w:space="0" w:color="auto"/>
              <w:bottom w:val="single" w:sz="4" w:space="0" w:color="auto"/>
              <w:right w:val="single" w:sz="4" w:space="0" w:color="auto"/>
            </w:tcBorders>
            <w:noWrap/>
            <w:vAlign w:val="center"/>
            <w:hideMark/>
          </w:tcPr>
          <w:p w14:paraId="2468EDD3" w14:textId="77777777" w:rsidR="005E64D9" w:rsidRPr="00951AB1" w:rsidRDefault="005E64D9" w:rsidP="000A5389">
            <w:pPr>
              <w:spacing w:line="240" w:lineRule="auto"/>
              <w:rPr>
                <w:rFonts w:eastAsia="Times New Roman" w:cs="Times New Roman"/>
                <w:color w:val="000000"/>
                <w:kern w:val="0"/>
                <w:sz w:val="14"/>
                <w:szCs w:val="14"/>
                <w:lang w:eastAsia="es-CO"/>
                <w14:ligatures w14:val="none"/>
              </w:rPr>
            </w:pPr>
            <w:r w:rsidRPr="00951AB1">
              <w:rPr>
                <w:rFonts w:cs="Times New Roman"/>
                <w:color w:val="000000"/>
                <w:sz w:val="14"/>
                <w:szCs w:val="14"/>
              </w:rPr>
              <w:t>Sanciones disciplinarias</w:t>
            </w:r>
          </w:p>
        </w:tc>
        <w:tc>
          <w:tcPr>
            <w:tcW w:w="992" w:type="dxa"/>
            <w:tcBorders>
              <w:top w:val="nil"/>
              <w:left w:val="nil"/>
              <w:bottom w:val="single" w:sz="4" w:space="0" w:color="auto"/>
              <w:right w:val="single" w:sz="4" w:space="0" w:color="auto"/>
            </w:tcBorders>
            <w:noWrap/>
            <w:vAlign w:val="center"/>
            <w:hideMark/>
          </w:tcPr>
          <w:p w14:paraId="68786FFF" w14:textId="77777777" w:rsidR="005E64D9" w:rsidRPr="00951AB1" w:rsidRDefault="005E64D9" w:rsidP="000A5389">
            <w:pPr>
              <w:spacing w:line="240" w:lineRule="auto"/>
              <w:jc w:val="center"/>
              <w:rPr>
                <w:rFonts w:eastAsia="Times New Roman" w:cs="Times New Roman"/>
                <w:color w:val="000000"/>
                <w:kern w:val="0"/>
                <w:sz w:val="14"/>
                <w:szCs w:val="14"/>
                <w:lang w:eastAsia="es-CO"/>
                <w14:ligatures w14:val="none"/>
              </w:rPr>
            </w:pPr>
            <w:r w:rsidRPr="00951AB1">
              <w:rPr>
                <w:rFonts w:cs="Times New Roman"/>
                <w:color w:val="000000"/>
                <w:sz w:val="14"/>
                <w:szCs w:val="14"/>
              </w:rPr>
              <w:t>6/02/2024</w:t>
            </w:r>
          </w:p>
        </w:tc>
        <w:tc>
          <w:tcPr>
            <w:tcW w:w="1843" w:type="dxa"/>
            <w:tcBorders>
              <w:top w:val="nil"/>
              <w:left w:val="nil"/>
              <w:bottom w:val="single" w:sz="4" w:space="0" w:color="auto"/>
              <w:right w:val="single" w:sz="4" w:space="0" w:color="auto"/>
            </w:tcBorders>
            <w:noWrap/>
            <w:vAlign w:val="center"/>
            <w:hideMark/>
          </w:tcPr>
          <w:p w14:paraId="6F6D7A40" w14:textId="18680F06" w:rsidR="005E64D9" w:rsidRPr="00951AB1" w:rsidRDefault="00283B07" w:rsidP="000A5389">
            <w:pPr>
              <w:spacing w:line="240" w:lineRule="auto"/>
              <w:rPr>
                <w:rFonts w:eastAsia="Times New Roman" w:cs="Times New Roman"/>
                <w:color w:val="000000"/>
                <w:kern w:val="0"/>
                <w:sz w:val="14"/>
                <w:szCs w:val="14"/>
                <w:lang w:eastAsia="es-CO"/>
                <w14:ligatures w14:val="none"/>
              </w:rPr>
            </w:pPr>
            <w:r w:rsidRPr="00951AB1">
              <w:rPr>
                <w:rFonts w:cs="Times New Roman"/>
                <w:color w:val="000000"/>
                <w:sz w:val="14"/>
                <w:szCs w:val="14"/>
              </w:rPr>
              <w:t>Camilo Andres Jaramillo Berrocal</w:t>
            </w:r>
          </w:p>
        </w:tc>
        <w:tc>
          <w:tcPr>
            <w:tcW w:w="1134" w:type="dxa"/>
            <w:tcBorders>
              <w:top w:val="nil"/>
              <w:left w:val="nil"/>
              <w:bottom w:val="single" w:sz="4" w:space="0" w:color="auto"/>
              <w:right w:val="single" w:sz="4" w:space="0" w:color="auto"/>
            </w:tcBorders>
            <w:noWrap/>
            <w:vAlign w:val="center"/>
            <w:hideMark/>
          </w:tcPr>
          <w:p w14:paraId="55F7E9AD" w14:textId="77777777" w:rsidR="005E64D9" w:rsidRPr="00951AB1" w:rsidRDefault="005E64D9" w:rsidP="000A5389">
            <w:pPr>
              <w:spacing w:line="240" w:lineRule="auto"/>
              <w:jc w:val="right"/>
              <w:rPr>
                <w:rFonts w:eastAsia="Times New Roman" w:cs="Times New Roman"/>
                <w:color w:val="000000"/>
                <w:kern w:val="0"/>
                <w:sz w:val="14"/>
                <w:szCs w:val="14"/>
                <w:lang w:eastAsia="es-CO"/>
                <w14:ligatures w14:val="none"/>
              </w:rPr>
            </w:pPr>
            <w:r w:rsidRPr="00951AB1">
              <w:rPr>
                <w:rFonts w:cs="Times New Roman"/>
                <w:color w:val="000000"/>
                <w:sz w:val="14"/>
                <w:szCs w:val="14"/>
              </w:rPr>
              <w:t>85.220.640</w:t>
            </w:r>
          </w:p>
        </w:tc>
        <w:tc>
          <w:tcPr>
            <w:tcW w:w="1134" w:type="dxa"/>
            <w:tcBorders>
              <w:top w:val="nil"/>
              <w:left w:val="nil"/>
              <w:bottom w:val="single" w:sz="4" w:space="0" w:color="auto"/>
              <w:right w:val="single" w:sz="4" w:space="0" w:color="auto"/>
            </w:tcBorders>
            <w:noWrap/>
            <w:vAlign w:val="center"/>
            <w:hideMark/>
          </w:tcPr>
          <w:p w14:paraId="22CC7894" w14:textId="77777777" w:rsidR="005E64D9" w:rsidRPr="00951AB1" w:rsidRDefault="005E64D9" w:rsidP="000A5389">
            <w:pPr>
              <w:spacing w:line="240" w:lineRule="auto"/>
              <w:jc w:val="right"/>
              <w:rPr>
                <w:rFonts w:eastAsia="Times New Roman" w:cs="Times New Roman"/>
                <w:color w:val="000000"/>
                <w:kern w:val="0"/>
                <w:sz w:val="14"/>
                <w:szCs w:val="14"/>
                <w:lang w:eastAsia="es-CO"/>
                <w14:ligatures w14:val="none"/>
              </w:rPr>
            </w:pPr>
            <w:r w:rsidRPr="00951AB1">
              <w:rPr>
                <w:rFonts w:cs="Times New Roman"/>
                <w:color w:val="000000"/>
                <w:sz w:val="14"/>
                <w:szCs w:val="14"/>
              </w:rPr>
              <w:t> </w:t>
            </w:r>
          </w:p>
        </w:tc>
        <w:tc>
          <w:tcPr>
            <w:tcW w:w="992" w:type="dxa"/>
            <w:tcBorders>
              <w:top w:val="nil"/>
              <w:left w:val="nil"/>
              <w:bottom w:val="single" w:sz="4" w:space="0" w:color="auto"/>
              <w:right w:val="single" w:sz="4" w:space="0" w:color="auto"/>
            </w:tcBorders>
            <w:noWrap/>
            <w:vAlign w:val="center"/>
            <w:hideMark/>
          </w:tcPr>
          <w:p w14:paraId="193A7A5E" w14:textId="77777777" w:rsidR="005E64D9" w:rsidRPr="00951AB1" w:rsidRDefault="005E64D9" w:rsidP="000A5389">
            <w:pPr>
              <w:spacing w:line="240" w:lineRule="auto"/>
              <w:jc w:val="right"/>
              <w:rPr>
                <w:rFonts w:eastAsia="Times New Roman" w:cs="Times New Roman"/>
                <w:color w:val="000000"/>
                <w:kern w:val="0"/>
                <w:sz w:val="14"/>
                <w:szCs w:val="14"/>
                <w:lang w:eastAsia="es-CO"/>
                <w14:ligatures w14:val="none"/>
              </w:rPr>
            </w:pPr>
            <w:r w:rsidRPr="00951AB1">
              <w:rPr>
                <w:rFonts w:cs="Times New Roman"/>
                <w:color w:val="000000"/>
                <w:sz w:val="14"/>
                <w:szCs w:val="14"/>
              </w:rPr>
              <w:t>85.220.640</w:t>
            </w:r>
          </w:p>
        </w:tc>
        <w:tc>
          <w:tcPr>
            <w:tcW w:w="753" w:type="dxa"/>
            <w:tcBorders>
              <w:top w:val="nil"/>
              <w:left w:val="nil"/>
              <w:bottom w:val="single" w:sz="4" w:space="0" w:color="auto"/>
              <w:right w:val="single" w:sz="4" w:space="0" w:color="auto"/>
            </w:tcBorders>
            <w:noWrap/>
            <w:vAlign w:val="center"/>
            <w:hideMark/>
          </w:tcPr>
          <w:p w14:paraId="73752F41" w14:textId="77777777" w:rsidR="005E64D9" w:rsidRPr="00951AB1" w:rsidRDefault="005E64D9" w:rsidP="000A5389">
            <w:pPr>
              <w:spacing w:line="240" w:lineRule="auto"/>
              <w:rPr>
                <w:rFonts w:eastAsia="Times New Roman" w:cs="Times New Roman"/>
                <w:color w:val="000000"/>
                <w:kern w:val="0"/>
                <w:sz w:val="14"/>
                <w:szCs w:val="14"/>
                <w:lang w:eastAsia="es-CO"/>
                <w14:ligatures w14:val="none"/>
              </w:rPr>
            </w:pPr>
            <w:r w:rsidRPr="00951AB1">
              <w:rPr>
                <w:rFonts w:cs="Times New Roman"/>
                <w:color w:val="000000"/>
                <w:sz w:val="14"/>
                <w:szCs w:val="14"/>
              </w:rPr>
              <w:t> </w:t>
            </w:r>
          </w:p>
        </w:tc>
      </w:tr>
      <w:tr w:rsidR="00DB2570" w:rsidRPr="00951AB1" w14:paraId="4C9EB662" w14:textId="77777777" w:rsidTr="003076E2">
        <w:trPr>
          <w:trHeight w:val="255"/>
        </w:trPr>
        <w:tc>
          <w:tcPr>
            <w:tcW w:w="1980" w:type="dxa"/>
            <w:tcBorders>
              <w:top w:val="nil"/>
              <w:left w:val="single" w:sz="4" w:space="0" w:color="auto"/>
              <w:bottom w:val="single" w:sz="4" w:space="0" w:color="auto"/>
              <w:right w:val="single" w:sz="4" w:space="0" w:color="auto"/>
            </w:tcBorders>
            <w:noWrap/>
            <w:vAlign w:val="center"/>
            <w:hideMark/>
          </w:tcPr>
          <w:p w14:paraId="0A9CBCDB" w14:textId="77777777" w:rsidR="005E64D9" w:rsidRPr="00951AB1" w:rsidRDefault="005E64D9" w:rsidP="000A5389">
            <w:pPr>
              <w:spacing w:line="240" w:lineRule="auto"/>
              <w:rPr>
                <w:rFonts w:eastAsia="Times New Roman" w:cs="Times New Roman"/>
                <w:color w:val="000000"/>
                <w:kern w:val="0"/>
                <w:sz w:val="14"/>
                <w:szCs w:val="14"/>
                <w:lang w:eastAsia="es-CO"/>
                <w14:ligatures w14:val="none"/>
              </w:rPr>
            </w:pPr>
            <w:r w:rsidRPr="00951AB1">
              <w:rPr>
                <w:rFonts w:cs="Times New Roman"/>
                <w:color w:val="000000"/>
                <w:sz w:val="14"/>
                <w:szCs w:val="14"/>
              </w:rPr>
              <w:t>Sanciones disciplinarias</w:t>
            </w:r>
          </w:p>
        </w:tc>
        <w:tc>
          <w:tcPr>
            <w:tcW w:w="992" w:type="dxa"/>
            <w:tcBorders>
              <w:top w:val="nil"/>
              <w:left w:val="nil"/>
              <w:bottom w:val="single" w:sz="4" w:space="0" w:color="auto"/>
              <w:right w:val="single" w:sz="4" w:space="0" w:color="auto"/>
            </w:tcBorders>
            <w:noWrap/>
            <w:vAlign w:val="center"/>
            <w:hideMark/>
          </w:tcPr>
          <w:p w14:paraId="3A05DAED" w14:textId="77777777" w:rsidR="005E64D9" w:rsidRPr="00951AB1" w:rsidRDefault="005E64D9" w:rsidP="000A5389">
            <w:pPr>
              <w:spacing w:line="240" w:lineRule="auto"/>
              <w:jc w:val="center"/>
              <w:rPr>
                <w:rFonts w:eastAsia="Times New Roman" w:cs="Times New Roman"/>
                <w:color w:val="000000"/>
                <w:kern w:val="0"/>
                <w:sz w:val="14"/>
                <w:szCs w:val="14"/>
                <w:lang w:eastAsia="es-CO"/>
                <w14:ligatures w14:val="none"/>
              </w:rPr>
            </w:pPr>
            <w:r w:rsidRPr="00951AB1">
              <w:rPr>
                <w:rFonts w:cs="Times New Roman"/>
                <w:color w:val="000000"/>
                <w:sz w:val="14"/>
                <w:szCs w:val="14"/>
              </w:rPr>
              <w:t>6/02/2024</w:t>
            </w:r>
          </w:p>
        </w:tc>
        <w:tc>
          <w:tcPr>
            <w:tcW w:w="1843" w:type="dxa"/>
            <w:tcBorders>
              <w:top w:val="nil"/>
              <w:left w:val="nil"/>
              <w:bottom w:val="single" w:sz="4" w:space="0" w:color="auto"/>
              <w:right w:val="single" w:sz="4" w:space="0" w:color="auto"/>
            </w:tcBorders>
            <w:noWrap/>
            <w:vAlign w:val="center"/>
            <w:hideMark/>
          </w:tcPr>
          <w:p w14:paraId="0DAC86E0" w14:textId="20C18425" w:rsidR="005E64D9" w:rsidRPr="00951AB1" w:rsidRDefault="00283B07" w:rsidP="000A5389">
            <w:pPr>
              <w:spacing w:line="240" w:lineRule="auto"/>
              <w:rPr>
                <w:rFonts w:eastAsia="Times New Roman" w:cs="Times New Roman"/>
                <w:color w:val="000000"/>
                <w:kern w:val="0"/>
                <w:sz w:val="14"/>
                <w:szCs w:val="14"/>
                <w:lang w:eastAsia="es-CO"/>
                <w14:ligatures w14:val="none"/>
              </w:rPr>
            </w:pPr>
            <w:r w:rsidRPr="00951AB1">
              <w:rPr>
                <w:rFonts w:cs="Times New Roman"/>
                <w:color w:val="000000"/>
                <w:sz w:val="14"/>
                <w:szCs w:val="14"/>
              </w:rPr>
              <w:t xml:space="preserve">Beatriz Eugenia Morales Velez </w:t>
            </w:r>
          </w:p>
        </w:tc>
        <w:tc>
          <w:tcPr>
            <w:tcW w:w="1134" w:type="dxa"/>
            <w:tcBorders>
              <w:top w:val="nil"/>
              <w:left w:val="nil"/>
              <w:bottom w:val="single" w:sz="4" w:space="0" w:color="auto"/>
              <w:right w:val="single" w:sz="4" w:space="0" w:color="auto"/>
            </w:tcBorders>
            <w:noWrap/>
            <w:vAlign w:val="center"/>
            <w:hideMark/>
          </w:tcPr>
          <w:p w14:paraId="2EBEEB82" w14:textId="77777777" w:rsidR="005E64D9" w:rsidRPr="00951AB1" w:rsidRDefault="005E64D9" w:rsidP="000A5389">
            <w:pPr>
              <w:spacing w:line="240" w:lineRule="auto"/>
              <w:jc w:val="right"/>
              <w:rPr>
                <w:rFonts w:eastAsia="Times New Roman" w:cs="Times New Roman"/>
                <w:color w:val="000000"/>
                <w:kern w:val="0"/>
                <w:sz w:val="14"/>
                <w:szCs w:val="14"/>
                <w:lang w:eastAsia="es-CO"/>
                <w14:ligatures w14:val="none"/>
              </w:rPr>
            </w:pPr>
            <w:r w:rsidRPr="00951AB1">
              <w:rPr>
                <w:rFonts w:cs="Times New Roman"/>
                <w:color w:val="000000"/>
                <w:sz w:val="14"/>
                <w:szCs w:val="14"/>
              </w:rPr>
              <w:t>47.185.328</w:t>
            </w:r>
          </w:p>
        </w:tc>
        <w:tc>
          <w:tcPr>
            <w:tcW w:w="1134" w:type="dxa"/>
            <w:tcBorders>
              <w:top w:val="nil"/>
              <w:left w:val="nil"/>
              <w:bottom w:val="single" w:sz="4" w:space="0" w:color="auto"/>
              <w:right w:val="single" w:sz="4" w:space="0" w:color="auto"/>
            </w:tcBorders>
            <w:noWrap/>
            <w:vAlign w:val="center"/>
            <w:hideMark/>
          </w:tcPr>
          <w:p w14:paraId="6D5DB38A" w14:textId="77777777" w:rsidR="005E64D9" w:rsidRPr="00951AB1" w:rsidRDefault="005E64D9" w:rsidP="000A5389">
            <w:pPr>
              <w:spacing w:line="240" w:lineRule="auto"/>
              <w:jc w:val="right"/>
              <w:rPr>
                <w:rFonts w:eastAsia="Times New Roman" w:cs="Times New Roman"/>
                <w:color w:val="000000"/>
                <w:kern w:val="0"/>
                <w:sz w:val="14"/>
                <w:szCs w:val="14"/>
                <w:lang w:eastAsia="es-CO"/>
                <w14:ligatures w14:val="none"/>
              </w:rPr>
            </w:pPr>
            <w:r w:rsidRPr="00951AB1">
              <w:rPr>
                <w:rFonts w:cs="Times New Roman"/>
                <w:color w:val="000000"/>
                <w:sz w:val="14"/>
                <w:szCs w:val="14"/>
              </w:rPr>
              <w:t> </w:t>
            </w:r>
          </w:p>
        </w:tc>
        <w:tc>
          <w:tcPr>
            <w:tcW w:w="992" w:type="dxa"/>
            <w:tcBorders>
              <w:top w:val="nil"/>
              <w:left w:val="nil"/>
              <w:bottom w:val="single" w:sz="4" w:space="0" w:color="auto"/>
              <w:right w:val="single" w:sz="4" w:space="0" w:color="auto"/>
            </w:tcBorders>
            <w:noWrap/>
            <w:vAlign w:val="center"/>
            <w:hideMark/>
          </w:tcPr>
          <w:p w14:paraId="3EBDA2C1" w14:textId="77777777" w:rsidR="005E64D9" w:rsidRPr="00951AB1" w:rsidRDefault="005E64D9" w:rsidP="000A5389">
            <w:pPr>
              <w:spacing w:line="240" w:lineRule="auto"/>
              <w:jc w:val="right"/>
              <w:rPr>
                <w:rFonts w:eastAsia="Times New Roman" w:cs="Times New Roman"/>
                <w:color w:val="000000"/>
                <w:kern w:val="0"/>
                <w:sz w:val="14"/>
                <w:szCs w:val="14"/>
                <w:lang w:eastAsia="es-CO"/>
                <w14:ligatures w14:val="none"/>
              </w:rPr>
            </w:pPr>
            <w:r w:rsidRPr="00951AB1">
              <w:rPr>
                <w:rFonts w:cs="Times New Roman"/>
                <w:color w:val="000000"/>
                <w:sz w:val="14"/>
                <w:szCs w:val="14"/>
              </w:rPr>
              <w:t>47.185.328</w:t>
            </w:r>
          </w:p>
        </w:tc>
        <w:tc>
          <w:tcPr>
            <w:tcW w:w="753" w:type="dxa"/>
            <w:tcBorders>
              <w:top w:val="nil"/>
              <w:left w:val="nil"/>
              <w:bottom w:val="single" w:sz="4" w:space="0" w:color="auto"/>
              <w:right w:val="single" w:sz="4" w:space="0" w:color="auto"/>
            </w:tcBorders>
            <w:noWrap/>
            <w:vAlign w:val="center"/>
            <w:hideMark/>
          </w:tcPr>
          <w:p w14:paraId="0C199611" w14:textId="77777777" w:rsidR="005E64D9" w:rsidRPr="00951AB1" w:rsidRDefault="005E64D9" w:rsidP="000A5389">
            <w:pPr>
              <w:spacing w:line="240" w:lineRule="auto"/>
              <w:rPr>
                <w:rFonts w:eastAsia="Times New Roman" w:cs="Times New Roman"/>
                <w:color w:val="000000"/>
                <w:kern w:val="0"/>
                <w:sz w:val="14"/>
                <w:szCs w:val="14"/>
                <w:lang w:eastAsia="es-CO"/>
                <w14:ligatures w14:val="none"/>
              </w:rPr>
            </w:pPr>
            <w:r w:rsidRPr="00951AB1">
              <w:rPr>
                <w:rFonts w:cs="Times New Roman"/>
                <w:color w:val="000000"/>
                <w:sz w:val="14"/>
                <w:szCs w:val="14"/>
              </w:rPr>
              <w:t> </w:t>
            </w:r>
          </w:p>
        </w:tc>
      </w:tr>
      <w:tr w:rsidR="00DB2570" w:rsidRPr="00951AB1" w14:paraId="7AC0E00F" w14:textId="77777777" w:rsidTr="003076E2">
        <w:trPr>
          <w:trHeight w:val="255"/>
        </w:trPr>
        <w:tc>
          <w:tcPr>
            <w:tcW w:w="1980" w:type="dxa"/>
            <w:tcBorders>
              <w:top w:val="nil"/>
              <w:left w:val="single" w:sz="4" w:space="0" w:color="auto"/>
              <w:bottom w:val="single" w:sz="4" w:space="0" w:color="auto"/>
              <w:right w:val="single" w:sz="4" w:space="0" w:color="auto"/>
            </w:tcBorders>
            <w:noWrap/>
            <w:vAlign w:val="center"/>
            <w:hideMark/>
          </w:tcPr>
          <w:p w14:paraId="7FC7ADE1" w14:textId="77777777" w:rsidR="005E64D9" w:rsidRPr="00951AB1" w:rsidRDefault="005E64D9" w:rsidP="000A5389">
            <w:pPr>
              <w:spacing w:line="240" w:lineRule="auto"/>
              <w:rPr>
                <w:rFonts w:eastAsia="Times New Roman" w:cs="Times New Roman"/>
                <w:color w:val="000000"/>
                <w:kern w:val="0"/>
                <w:sz w:val="14"/>
                <w:szCs w:val="14"/>
                <w:lang w:eastAsia="es-CO"/>
                <w14:ligatures w14:val="none"/>
              </w:rPr>
            </w:pPr>
            <w:r w:rsidRPr="00951AB1">
              <w:rPr>
                <w:rFonts w:cs="Times New Roman"/>
                <w:color w:val="000000"/>
                <w:sz w:val="14"/>
                <w:szCs w:val="14"/>
              </w:rPr>
              <w:t>Sanciones disciplinarias</w:t>
            </w:r>
          </w:p>
        </w:tc>
        <w:tc>
          <w:tcPr>
            <w:tcW w:w="992" w:type="dxa"/>
            <w:tcBorders>
              <w:top w:val="nil"/>
              <w:left w:val="nil"/>
              <w:bottom w:val="single" w:sz="4" w:space="0" w:color="auto"/>
              <w:right w:val="single" w:sz="4" w:space="0" w:color="auto"/>
            </w:tcBorders>
            <w:noWrap/>
            <w:vAlign w:val="center"/>
            <w:hideMark/>
          </w:tcPr>
          <w:p w14:paraId="2A66A09A" w14:textId="77777777" w:rsidR="005E64D9" w:rsidRPr="00951AB1" w:rsidRDefault="005E64D9" w:rsidP="000A5389">
            <w:pPr>
              <w:spacing w:line="240" w:lineRule="auto"/>
              <w:jc w:val="center"/>
              <w:rPr>
                <w:rFonts w:eastAsia="Times New Roman" w:cs="Times New Roman"/>
                <w:color w:val="000000"/>
                <w:kern w:val="0"/>
                <w:sz w:val="14"/>
                <w:szCs w:val="14"/>
                <w:lang w:eastAsia="es-CO"/>
                <w14:ligatures w14:val="none"/>
              </w:rPr>
            </w:pPr>
            <w:r w:rsidRPr="00951AB1">
              <w:rPr>
                <w:rFonts w:cs="Times New Roman"/>
                <w:color w:val="000000"/>
                <w:sz w:val="14"/>
                <w:szCs w:val="14"/>
              </w:rPr>
              <w:t>6/02/2024</w:t>
            </w:r>
          </w:p>
        </w:tc>
        <w:tc>
          <w:tcPr>
            <w:tcW w:w="1843" w:type="dxa"/>
            <w:tcBorders>
              <w:top w:val="nil"/>
              <w:left w:val="nil"/>
              <w:bottom w:val="single" w:sz="4" w:space="0" w:color="auto"/>
              <w:right w:val="single" w:sz="4" w:space="0" w:color="auto"/>
            </w:tcBorders>
            <w:noWrap/>
            <w:vAlign w:val="center"/>
            <w:hideMark/>
          </w:tcPr>
          <w:p w14:paraId="3E2C0432" w14:textId="6B2E2B5C" w:rsidR="005E64D9" w:rsidRPr="00951AB1" w:rsidRDefault="00283B07" w:rsidP="000A5389">
            <w:pPr>
              <w:spacing w:line="240" w:lineRule="auto"/>
              <w:rPr>
                <w:rFonts w:eastAsia="Times New Roman" w:cs="Times New Roman"/>
                <w:color w:val="000000"/>
                <w:kern w:val="0"/>
                <w:sz w:val="14"/>
                <w:szCs w:val="14"/>
                <w:lang w:eastAsia="es-CO"/>
                <w14:ligatures w14:val="none"/>
              </w:rPr>
            </w:pPr>
            <w:r w:rsidRPr="00951AB1">
              <w:rPr>
                <w:rFonts w:cs="Times New Roman"/>
                <w:color w:val="000000"/>
                <w:sz w:val="14"/>
                <w:szCs w:val="14"/>
              </w:rPr>
              <w:t xml:space="preserve">Ivan Mauricio Fierro Sanchez </w:t>
            </w:r>
          </w:p>
        </w:tc>
        <w:tc>
          <w:tcPr>
            <w:tcW w:w="1134" w:type="dxa"/>
            <w:tcBorders>
              <w:top w:val="nil"/>
              <w:left w:val="nil"/>
              <w:bottom w:val="single" w:sz="4" w:space="0" w:color="auto"/>
              <w:right w:val="single" w:sz="4" w:space="0" w:color="auto"/>
            </w:tcBorders>
            <w:noWrap/>
            <w:vAlign w:val="center"/>
            <w:hideMark/>
          </w:tcPr>
          <w:p w14:paraId="39A9BA3F" w14:textId="77777777" w:rsidR="005E64D9" w:rsidRPr="00951AB1" w:rsidRDefault="005E64D9" w:rsidP="000A5389">
            <w:pPr>
              <w:spacing w:line="240" w:lineRule="auto"/>
              <w:jc w:val="right"/>
              <w:rPr>
                <w:rFonts w:eastAsia="Times New Roman" w:cs="Times New Roman"/>
                <w:color w:val="000000"/>
                <w:kern w:val="0"/>
                <w:sz w:val="14"/>
                <w:szCs w:val="14"/>
                <w:lang w:eastAsia="es-CO"/>
                <w14:ligatures w14:val="none"/>
              </w:rPr>
            </w:pPr>
            <w:r w:rsidRPr="00951AB1">
              <w:rPr>
                <w:rFonts w:cs="Times New Roman"/>
                <w:color w:val="000000"/>
                <w:sz w:val="14"/>
                <w:szCs w:val="14"/>
              </w:rPr>
              <w:t>34.782.740</w:t>
            </w:r>
          </w:p>
        </w:tc>
        <w:tc>
          <w:tcPr>
            <w:tcW w:w="1134" w:type="dxa"/>
            <w:tcBorders>
              <w:top w:val="nil"/>
              <w:left w:val="nil"/>
              <w:bottom w:val="single" w:sz="4" w:space="0" w:color="auto"/>
              <w:right w:val="single" w:sz="4" w:space="0" w:color="auto"/>
            </w:tcBorders>
            <w:noWrap/>
            <w:vAlign w:val="center"/>
            <w:hideMark/>
          </w:tcPr>
          <w:p w14:paraId="3F5AD2B0" w14:textId="77777777" w:rsidR="005E64D9" w:rsidRPr="00951AB1" w:rsidRDefault="005E64D9" w:rsidP="000A5389">
            <w:pPr>
              <w:spacing w:line="240" w:lineRule="auto"/>
              <w:jc w:val="right"/>
              <w:rPr>
                <w:rFonts w:eastAsia="Times New Roman" w:cs="Times New Roman"/>
                <w:color w:val="000000"/>
                <w:kern w:val="0"/>
                <w:sz w:val="14"/>
                <w:szCs w:val="14"/>
                <w:lang w:eastAsia="es-CO"/>
                <w14:ligatures w14:val="none"/>
              </w:rPr>
            </w:pPr>
            <w:r w:rsidRPr="00951AB1">
              <w:rPr>
                <w:rFonts w:cs="Times New Roman"/>
                <w:color w:val="000000"/>
                <w:sz w:val="14"/>
                <w:szCs w:val="14"/>
              </w:rPr>
              <w:t> </w:t>
            </w:r>
          </w:p>
        </w:tc>
        <w:tc>
          <w:tcPr>
            <w:tcW w:w="992" w:type="dxa"/>
            <w:tcBorders>
              <w:top w:val="nil"/>
              <w:left w:val="nil"/>
              <w:bottom w:val="single" w:sz="4" w:space="0" w:color="auto"/>
              <w:right w:val="single" w:sz="4" w:space="0" w:color="auto"/>
            </w:tcBorders>
            <w:noWrap/>
            <w:vAlign w:val="center"/>
            <w:hideMark/>
          </w:tcPr>
          <w:p w14:paraId="1A516E93" w14:textId="77777777" w:rsidR="005E64D9" w:rsidRPr="00951AB1" w:rsidRDefault="005E64D9" w:rsidP="000A5389">
            <w:pPr>
              <w:spacing w:line="240" w:lineRule="auto"/>
              <w:jc w:val="right"/>
              <w:rPr>
                <w:rFonts w:eastAsia="Times New Roman" w:cs="Times New Roman"/>
                <w:color w:val="000000"/>
                <w:kern w:val="0"/>
                <w:sz w:val="14"/>
                <w:szCs w:val="14"/>
                <w:lang w:eastAsia="es-CO"/>
                <w14:ligatures w14:val="none"/>
              </w:rPr>
            </w:pPr>
            <w:r w:rsidRPr="00951AB1">
              <w:rPr>
                <w:rFonts w:cs="Times New Roman"/>
                <w:color w:val="000000"/>
                <w:sz w:val="14"/>
                <w:szCs w:val="14"/>
              </w:rPr>
              <w:t>34.782.740</w:t>
            </w:r>
          </w:p>
        </w:tc>
        <w:tc>
          <w:tcPr>
            <w:tcW w:w="753" w:type="dxa"/>
            <w:tcBorders>
              <w:top w:val="nil"/>
              <w:left w:val="nil"/>
              <w:bottom w:val="single" w:sz="4" w:space="0" w:color="auto"/>
              <w:right w:val="single" w:sz="4" w:space="0" w:color="auto"/>
            </w:tcBorders>
            <w:noWrap/>
            <w:vAlign w:val="center"/>
            <w:hideMark/>
          </w:tcPr>
          <w:p w14:paraId="410BBF90" w14:textId="77777777" w:rsidR="005E64D9" w:rsidRPr="00951AB1" w:rsidRDefault="005E64D9" w:rsidP="000A5389">
            <w:pPr>
              <w:spacing w:line="240" w:lineRule="auto"/>
              <w:rPr>
                <w:rFonts w:eastAsia="Times New Roman" w:cs="Times New Roman"/>
                <w:color w:val="000000"/>
                <w:kern w:val="0"/>
                <w:sz w:val="14"/>
                <w:szCs w:val="14"/>
                <w:lang w:eastAsia="es-CO"/>
                <w14:ligatures w14:val="none"/>
              </w:rPr>
            </w:pPr>
            <w:r w:rsidRPr="00951AB1">
              <w:rPr>
                <w:rFonts w:cs="Times New Roman"/>
                <w:color w:val="000000"/>
                <w:sz w:val="14"/>
                <w:szCs w:val="14"/>
              </w:rPr>
              <w:t> </w:t>
            </w:r>
          </w:p>
        </w:tc>
      </w:tr>
      <w:tr w:rsidR="00DB2570" w:rsidRPr="00951AB1" w14:paraId="2CA477BF" w14:textId="77777777" w:rsidTr="003076E2">
        <w:trPr>
          <w:trHeight w:val="255"/>
        </w:trPr>
        <w:tc>
          <w:tcPr>
            <w:tcW w:w="1980" w:type="dxa"/>
            <w:tcBorders>
              <w:top w:val="nil"/>
              <w:left w:val="single" w:sz="4" w:space="0" w:color="auto"/>
              <w:bottom w:val="single" w:sz="4" w:space="0" w:color="auto"/>
              <w:right w:val="single" w:sz="4" w:space="0" w:color="auto"/>
            </w:tcBorders>
            <w:noWrap/>
            <w:vAlign w:val="center"/>
            <w:hideMark/>
          </w:tcPr>
          <w:p w14:paraId="54609D1A" w14:textId="77777777" w:rsidR="005E64D9" w:rsidRPr="00951AB1" w:rsidRDefault="005E64D9" w:rsidP="000A5389">
            <w:pPr>
              <w:spacing w:line="240" w:lineRule="auto"/>
              <w:rPr>
                <w:rFonts w:eastAsia="Times New Roman" w:cs="Times New Roman"/>
                <w:color w:val="000000"/>
                <w:kern w:val="0"/>
                <w:sz w:val="14"/>
                <w:szCs w:val="14"/>
                <w:lang w:eastAsia="es-CO"/>
                <w14:ligatures w14:val="none"/>
              </w:rPr>
            </w:pPr>
            <w:r w:rsidRPr="00951AB1">
              <w:rPr>
                <w:rFonts w:cs="Times New Roman"/>
                <w:color w:val="000000"/>
                <w:sz w:val="14"/>
                <w:szCs w:val="14"/>
              </w:rPr>
              <w:t>Derechos de tránsito</w:t>
            </w:r>
          </w:p>
        </w:tc>
        <w:tc>
          <w:tcPr>
            <w:tcW w:w="992" w:type="dxa"/>
            <w:tcBorders>
              <w:top w:val="nil"/>
              <w:left w:val="nil"/>
              <w:bottom w:val="single" w:sz="4" w:space="0" w:color="auto"/>
              <w:right w:val="single" w:sz="4" w:space="0" w:color="auto"/>
            </w:tcBorders>
            <w:noWrap/>
            <w:vAlign w:val="center"/>
            <w:hideMark/>
          </w:tcPr>
          <w:p w14:paraId="1977DFD1" w14:textId="77777777" w:rsidR="005E64D9" w:rsidRPr="00951AB1" w:rsidRDefault="005E64D9" w:rsidP="000A5389">
            <w:pPr>
              <w:spacing w:line="240" w:lineRule="auto"/>
              <w:jc w:val="center"/>
              <w:rPr>
                <w:rFonts w:eastAsia="Times New Roman" w:cs="Times New Roman"/>
                <w:color w:val="000000"/>
                <w:kern w:val="0"/>
                <w:sz w:val="14"/>
                <w:szCs w:val="14"/>
                <w:lang w:eastAsia="es-CO"/>
                <w14:ligatures w14:val="none"/>
              </w:rPr>
            </w:pPr>
            <w:r w:rsidRPr="00951AB1">
              <w:rPr>
                <w:rFonts w:cs="Times New Roman"/>
                <w:color w:val="000000"/>
                <w:sz w:val="14"/>
                <w:szCs w:val="14"/>
              </w:rPr>
              <w:t>30/12/2025</w:t>
            </w:r>
          </w:p>
        </w:tc>
        <w:tc>
          <w:tcPr>
            <w:tcW w:w="1843" w:type="dxa"/>
            <w:tcBorders>
              <w:top w:val="nil"/>
              <w:left w:val="nil"/>
              <w:bottom w:val="single" w:sz="4" w:space="0" w:color="auto"/>
              <w:right w:val="single" w:sz="4" w:space="0" w:color="auto"/>
            </w:tcBorders>
            <w:noWrap/>
            <w:vAlign w:val="center"/>
            <w:hideMark/>
          </w:tcPr>
          <w:p w14:paraId="26D20196" w14:textId="3E924102" w:rsidR="005E64D9" w:rsidRPr="00951AB1" w:rsidRDefault="00283B07" w:rsidP="000A5389">
            <w:pPr>
              <w:spacing w:line="240" w:lineRule="auto"/>
              <w:rPr>
                <w:rFonts w:eastAsia="Times New Roman" w:cs="Times New Roman"/>
                <w:color w:val="000000"/>
                <w:kern w:val="0"/>
                <w:sz w:val="14"/>
                <w:szCs w:val="14"/>
                <w:lang w:eastAsia="es-CO"/>
                <w14:ligatures w14:val="none"/>
              </w:rPr>
            </w:pPr>
            <w:r w:rsidRPr="00951AB1">
              <w:rPr>
                <w:rFonts w:cs="Times New Roman"/>
                <w:color w:val="000000"/>
                <w:sz w:val="14"/>
                <w:szCs w:val="14"/>
              </w:rPr>
              <w:t>Consorcio Ferreobelen C&amp;E</w:t>
            </w:r>
          </w:p>
        </w:tc>
        <w:tc>
          <w:tcPr>
            <w:tcW w:w="1134" w:type="dxa"/>
            <w:tcBorders>
              <w:top w:val="nil"/>
              <w:left w:val="nil"/>
              <w:bottom w:val="single" w:sz="4" w:space="0" w:color="auto"/>
              <w:right w:val="single" w:sz="4" w:space="0" w:color="auto"/>
            </w:tcBorders>
            <w:noWrap/>
            <w:vAlign w:val="center"/>
            <w:hideMark/>
          </w:tcPr>
          <w:p w14:paraId="619394DB" w14:textId="77777777" w:rsidR="005E64D9" w:rsidRPr="00951AB1" w:rsidRDefault="005E64D9" w:rsidP="000A5389">
            <w:pPr>
              <w:spacing w:line="240" w:lineRule="auto"/>
              <w:jc w:val="right"/>
              <w:rPr>
                <w:rFonts w:eastAsia="Times New Roman" w:cs="Times New Roman"/>
                <w:color w:val="000000"/>
                <w:kern w:val="0"/>
                <w:sz w:val="14"/>
                <w:szCs w:val="14"/>
                <w:lang w:eastAsia="es-CO"/>
                <w14:ligatures w14:val="none"/>
              </w:rPr>
            </w:pPr>
            <w:r w:rsidRPr="00951AB1">
              <w:rPr>
                <w:rFonts w:cs="Times New Roman"/>
                <w:color w:val="000000"/>
                <w:sz w:val="14"/>
                <w:szCs w:val="14"/>
              </w:rPr>
              <w:t>22.367.794</w:t>
            </w:r>
          </w:p>
        </w:tc>
        <w:tc>
          <w:tcPr>
            <w:tcW w:w="1134" w:type="dxa"/>
            <w:tcBorders>
              <w:top w:val="nil"/>
              <w:left w:val="nil"/>
              <w:bottom w:val="single" w:sz="4" w:space="0" w:color="auto"/>
              <w:right w:val="single" w:sz="4" w:space="0" w:color="auto"/>
            </w:tcBorders>
            <w:noWrap/>
            <w:vAlign w:val="center"/>
            <w:hideMark/>
          </w:tcPr>
          <w:p w14:paraId="75C28CB1" w14:textId="77777777" w:rsidR="005E64D9" w:rsidRPr="00951AB1" w:rsidRDefault="005E64D9" w:rsidP="000A5389">
            <w:pPr>
              <w:spacing w:line="240" w:lineRule="auto"/>
              <w:jc w:val="right"/>
              <w:rPr>
                <w:rFonts w:eastAsia="Times New Roman" w:cs="Times New Roman"/>
                <w:color w:val="000000"/>
                <w:kern w:val="0"/>
                <w:sz w:val="14"/>
                <w:szCs w:val="14"/>
                <w:lang w:eastAsia="es-CO"/>
                <w14:ligatures w14:val="none"/>
              </w:rPr>
            </w:pPr>
            <w:r w:rsidRPr="00951AB1">
              <w:rPr>
                <w:rFonts w:cs="Times New Roman"/>
                <w:color w:val="000000"/>
                <w:sz w:val="14"/>
                <w:szCs w:val="14"/>
              </w:rPr>
              <w:t>22.367.794</w:t>
            </w:r>
          </w:p>
        </w:tc>
        <w:tc>
          <w:tcPr>
            <w:tcW w:w="992" w:type="dxa"/>
            <w:tcBorders>
              <w:top w:val="nil"/>
              <w:left w:val="nil"/>
              <w:bottom w:val="single" w:sz="4" w:space="0" w:color="auto"/>
              <w:right w:val="single" w:sz="4" w:space="0" w:color="auto"/>
            </w:tcBorders>
            <w:noWrap/>
            <w:vAlign w:val="center"/>
            <w:hideMark/>
          </w:tcPr>
          <w:p w14:paraId="439C5B29" w14:textId="77777777" w:rsidR="005E64D9" w:rsidRPr="00951AB1" w:rsidRDefault="005E64D9" w:rsidP="000A5389">
            <w:pPr>
              <w:spacing w:line="240" w:lineRule="auto"/>
              <w:jc w:val="right"/>
              <w:rPr>
                <w:rFonts w:eastAsia="Times New Roman" w:cs="Times New Roman"/>
                <w:color w:val="000000"/>
                <w:kern w:val="0"/>
                <w:sz w:val="14"/>
                <w:szCs w:val="14"/>
                <w:lang w:eastAsia="es-CO"/>
                <w14:ligatures w14:val="none"/>
              </w:rPr>
            </w:pPr>
            <w:r w:rsidRPr="00951AB1">
              <w:rPr>
                <w:rFonts w:cs="Times New Roman"/>
                <w:color w:val="000000"/>
                <w:sz w:val="14"/>
                <w:szCs w:val="14"/>
              </w:rPr>
              <w:t> </w:t>
            </w:r>
          </w:p>
        </w:tc>
        <w:tc>
          <w:tcPr>
            <w:tcW w:w="753" w:type="dxa"/>
            <w:tcBorders>
              <w:top w:val="nil"/>
              <w:left w:val="nil"/>
              <w:bottom w:val="single" w:sz="4" w:space="0" w:color="auto"/>
              <w:right w:val="single" w:sz="4" w:space="0" w:color="auto"/>
            </w:tcBorders>
            <w:noWrap/>
            <w:vAlign w:val="center"/>
            <w:hideMark/>
          </w:tcPr>
          <w:p w14:paraId="60620D48" w14:textId="77777777" w:rsidR="005E64D9" w:rsidRPr="00951AB1" w:rsidRDefault="005E64D9" w:rsidP="000A5389">
            <w:pPr>
              <w:spacing w:line="240" w:lineRule="auto"/>
              <w:jc w:val="right"/>
              <w:rPr>
                <w:rFonts w:eastAsia="Times New Roman" w:cs="Times New Roman"/>
                <w:color w:val="000000"/>
                <w:kern w:val="0"/>
                <w:sz w:val="14"/>
                <w:szCs w:val="14"/>
                <w:lang w:eastAsia="es-CO"/>
                <w14:ligatures w14:val="none"/>
              </w:rPr>
            </w:pPr>
            <w:r w:rsidRPr="00951AB1">
              <w:rPr>
                <w:rFonts w:cs="Times New Roman"/>
                <w:color w:val="000000"/>
                <w:sz w:val="14"/>
                <w:szCs w:val="14"/>
              </w:rPr>
              <w:t> </w:t>
            </w:r>
          </w:p>
        </w:tc>
      </w:tr>
      <w:tr w:rsidR="00DB2570" w:rsidRPr="00951AB1" w14:paraId="4D5A4883" w14:textId="77777777" w:rsidTr="003076E2">
        <w:trPr>
          <w:trHeight w:val="255"/>
        </w:trPr>
        <w:tc>
          <w:tcPr>
            <w:tcW w:w="1980" w:type="dxa"/>
            <w:tcBorders>
              <w:top w:val="nil"/>
              <w:left w:val="single" w:sz="4" w:space="0" w:color="auto"/>
              <w:bottom w:val="single" w:sz="4" w:space="0" w:color="auto"/>
              <w:right w:val="single" w:sz="4" w:space="0" w:color="auto"/>
            </w:tcBorders>
            <w:noWrap/>
            <w:vAlign w:val="center"/>
            <w:hideMark/>
          </w:tcPr>
          <w:p w14:paraId="3C92A624" w14:textId="77777777" w:rsidR="005E64D9" w:rsidRPr="00951AB1" w:rsidRDefault="005E64D9" w:rsidP="000A5389">
            <w:pPr>
              <w:spacing w:line="240" w:lineRule="auto"/>
              <w:rPr>
                <w:rFonts w:eastAsia="Times New Roman" w:cs="Times New Roman"/>
                <w:color w:val="000000"/>
                <w:kern w:val="0"/>
                <w:sz w:val="14"/>
                <w:szCs w:val="14"/>
                <w:lang w:eastAsia="es-CO"/>
                <w14:ligatures w14:val="none"/>
              </w:rPr>
            </w:pPr>
            <w:r w:rsidRPr="00951AB1">
              <w:rPr>
                <w:rFonts w:cs="Times New Roman"/>
                <w:color w:val="000000"/>
                <w:sz w:val="14"/>
                <w:szCs w:val="14"/>
              </w:rPr>
              <w:t xml:space="preserve">Derechos cobrados por terceros </w:t>
            </w:r>
          </w:p>
        </w:tc>
        <w:tc>
          <w:tcPr>
            <w:tcW w:w="992" w:type="dxa"/>
            <w:tcBorders>
              <w:top w:val="nil"/>
              <w:left w:val="nil"/>
              <w:bottom w:val="single" w:sz="4" w:space="0" w:color="auto"/>
              <w:right w:val="single" w:sz="4" w:space="0" w:color="auto"/>
            </w:tcBorders>
            <w:noWrap/>
            <w:vAlign w:val="center"/>
            <w:hideMark/>
          </w:tcPr>
          <w:p w14:paraId="60FC7F0E" w14:textId="77777777" w:rsidR="005E64D9" w:rsidRPr="00951AB1" w:rsidRDefault="005E64D9" w:rsidP="000A5389">
            <w:pPr>
              <w:spacing w:line="240" w:lineRule="auto"/>
              <w:jc w:val="center"/>
              <w:rPr>
                <w:rFonts w:eastAsia="Times New Roman" w:cs="Times New Roman"/>
                <w:color w:val="000000"/>
                <w:kern w:val="0"/>
                <w:sz w:val="14"/>
                <w:szCs w:val="14"/>
                <w:lang w:eastAsia="es-CO"/>
                <w14:ligatures w14:val="none"/>
              </w:rPr>
            </w:pPr>
            <w:r w:rsidRPr="00951AB1">
              <w:rPr>
                <w:rFonts w:cs="Times New Roman"/>
                <w:color w:val="000000"/>
                <w:sz w:val="14"/>
                <w:szCs w:val="14"/>
              </w:rPr>
              <w:t>30/12/2025</w:t>
            </w:r>
          </w:p>
        </w:tc>
        <w:tc>
          <w:tcPr>
            <w:tcW w:w="1843" w:type="dxa"/>
            <w:tcBorders>
              <w:top w:val="nil"/>
              <w:left w:val="nil"/>
              <w:bottom w:val="single" w:sz="4" w:space="0" w:color="auto"/>
              <w:right w:val="single" w:sz="4" w:space="0" w:color="auto"/>
            </w:tcBorders>
            <w:noWrap/>
            <w:vAlign w:val="center"/>
            <w:hideMark/>
          </w:tcPr>
          <w:p w14:paraId="51A31CF8" w14:textId="7D877606" w:rsidR="005E64D9" w:rsidRPr="00951AB1" w:rsidRDefault="00283B07" w:rsidP="000A5389">
            <w:pPr>
              <w:spacing w:line="240" w:lineRule="auto"/>
              <w:rPr>
                <w:rFonts w:eastAsia="Times New Roman" w:cs="Times New Roman"/>
                <w:color w:val="000000"/>
                <w:kern w:val="0"/>
                <w:sz w:val="14"/>
                <w:szCs w:val="14"/>
                <w:lang w:eastAsia="es-CO"/>
                <w14:ligatures w14:val="none"/>
              </w:rPr>
            </w:pPr>
            <w:r w:rsidRPr="00951AB1">
              <w:rPr>
                <w:rFonts w:cs="Times New Roman"/>
                <w:color w:val="000000"/>
                <w:sz w:val="14"/>
                <w:szCs w:val="14"/>
              </w:rPr>
              <w:t>Consorcio Ctsa - Ingeral</w:t>
            </w:r>
          </w:p>
        </w:tc>
        <w:tc>
          <w:tcPr>
            <w:tcW w:w="1134" w:type="dxa"/>
            <w:tcBorders>
              <w:top w:val="nil"/>
              <w:left w:val="nil"/>
              <w:bottom w:val="single" w:sz="4" w:space="0" w:color="auto"/>
              <w:right w:val="single" w:sz="4" w:space="0" w:color="auto"/>
            </w:tcBorders>
            <w:noWrap/>
            <w:vAlign w:val="center"/>
            <w:hideMark/>
          </w:tcPr>
          <w:p w14:paraId="799B2A9C" w14:textId="77777777" w:rsidR="005E64D9" w:rsidRPr="00951AB1" w:rsidRDefault="005E64D9" w:rsidP="000A5389">
            <w:pPr>
              <w:spacing w:line="240" w:lineRule="auto"/>
              <w:jc w:val="right"/>
              <w:rPr>
                <w:rFonts w:eastAsia="Times New Roman" w:cs="Times New Roman"/>
                <w:color w:val="000000"/>
                <w:kern w:val="0"/>
                <w:sz w:val="14"/>
                <w:szCs w:val="14"/>
                <w:lang w:eastAsia="es-CO"/>
                <w14:ligatures w14:val="none"/>
              </w:rPr>
            </w:pPr>
            <w:r w:rsidRPr="00951AB1">
              <w:rPr>
                <w:rFonts w:cs="Times New Roman"/>
                <w:color w:val="000000"/>
                <w:sz w:val="14"/>
                <w:szCs w:val="14"/>
              </w:rPr>
              <w:t>11.896.711</w:t>
            </w:r>
          </w:p>
        </w:tc>
        <w:tc>
          <w:tcPr>
            <w:tcW w:w="1134" w:type="dxa"/>
            <w:tcBorders>
              <w:top w:val="nil"/>
              <w:left w:val="nil"/>
              <w:bottom w:val="single" w:sz="4" w:space="0" w:color="auto"/>
              <w:right w:val="single" w:sz="4" w:space="0" w:color="auto"/>
            </w:tcBorders>
            <w:noWrap/>
            <w:vAlign w:val="center"/>
            <w:hideMark/>
          </w:tcPr>
          <w:p w14:paraId="50BE9EAD" w14:textId="77777777" w:rsidR="005E64D9" w:rsidRPr="00951AB1" w:rsidRDefault="005E64D9" w:rsidP="000A5389">
            <w:pPr>
              <w:spacing w:line="240" w:lineRule="auto"/>
              <w:jc w:val="right"/>
              <w:rPr>
                <w:rFonts w:eastAsia="Times New Roman" w:cs="Times New Roman"/>
                <w:color w:val="000000"/>
                <w:kern w:val="0"/>
                <w:sz w:val="14"/>
                <w:szCs w:val="14"/>
                <w:lang w:eastAsia="es-CO"/>
                <w14:ligatures w14:val="none"/>
              </w:rPr>
            </w:pPr>
            <w:r w:rsidRPr="00951AB1">
              <w:rPr>
                <w:rFonts w:cs="Times New Roman"/>
                <w:color w:val="000000"/>
                <w:sz w:val="14"/>
                <w:szCs w:val="14"/>
              </w:rPr>
              <w:t>11.896.711</w:t>
            </w:r>
          </w:p>
        </w:tc>
        <w:tc>
          <w:tcPr>
            <w:tcW w:w="992" w:type="dxa"/>
            <w:tcBorders>
              <w:top w:val="nil"/>
              <w:left w:val="nil"/>
              <w:bottom w:val="single" w:sz="4" w:space="0" w:color="auto"/>
              <w:right w:val="single" w:sz="4" w:space="0" w:color="auto"/>
            </w:tcBorders>
            <w:noWrap/>
            <w:vAlign w:val="center"/>
            <w:hideMark/>
          </w:tcPr>
          <w:p w14:paraId="3BDA445D" w14:textId="77777777" w:rsidR="005E64D9" w:rsidRPr="00951AB1" w:rsidRDefault="005E64D9" w:rsidP="000A5389">
            <w:pPr>
              <w:spacing w:line="240" w:lineRule="auto"/>
              <w:jc w:val="right"/>
              <w:rPr>
                <w:rFonts w:eastAsia="Times New Roman" w:cs="Times New Roman"/>
                <w:color w:val="000000"/>
                <w:kern w:val="0"/>
                <w:sz w:val="14"/>
                <w:szCs w:val="14"/>
                <w:lang w:eastAsia="es-CO"/>
                <w14:ligatures w14:val="none"/>
              </w:rPr>
            </w:pPr>
            <w:r w:rsidRPr="00951AB1">
              <w:rPr>
                <w:rFonts w:cs="Times New Roman"/>
                <w:color w:val="000000"/>
                <w:sz w:val="14"/>
                <w:szCs w:val="14"/>
              </w:rPr>
              <w:t> </w:t>
            </w:r>
          </w:p>
        </w:tc>
        <w:tc>
          <w:tcPr>
            <w:tcW w:w="753" w:type="dxa"/>
            <w:tcBorders>
              <w:top w:val="nil"/>
              <w:left w:val="nil"/>
              <w:bottom w:val="single" w:sz="4" w:space="0" w:color="auto"/>
              <w:right w:val="single" w:sz="4" w:space="0" w:color="auto"/>
            </w:tcBorders>
            <w:noWrap/>
            <w:vAlign w:val="center"/>
            <w:hideMark/>
          </w:tcPr>
          <w:p w14:paraId="3F7D84BE" w14:textId="77777777" w:rsidR="005E64D9" w:rsidRPr="00951AB1" w:rsidRDefault="005E64D9" w:rsidP="000A5389">
            <w:pPr>
              <w:spacing w:line="240" w:lineRule="auto"/>
              <w:jc w:val="right"/>
              <w:rPr>
                <w:rFonts w:eastAsia="Times New Roman" w:cs="Times New Roman"/>
                <w:color w:val="000000"/>
                <w:kern w:val="0"/>
                <w:sz w:val="14"/>
                <w:szCs w:val="14"/>
                <w:lang w:eastAsia="es-CO"/>
                <w14:ligatures w14:val="none"/>
              </w:rPr>
            </w:pPr>
            <w:r w:rsidRPr="00951AB1">
              <w:rPr>
                <w:rFonts w:cs="Times New Roman"/>
                <w:color w:val="000000"/>
                <w:sz w:val="14"/>
                <w:szCs w:val="14"/>
              </w:rPr>
              <w:t> </w:t>
            </w:r>
          </w:p>
        </w:tc>
      </w:tr>
      <w:tr w:rsidR="00DB2570" w:rsidRPr="00951AB1" w14:paraId="40B8DD2B" w14:textId="77777777" w:rsidTr="003076E2">
        <w:trPr>
          <w:trHeight w:val="255"/>
        </w:trPr>
        <w:tc>
          <w:tcPr>
            <w:tcW w:w="1980" w:type="dxa"/>
            <w:tcBorders>
              <w:top w:val="nil"/>
              <w:left w:val="single" w:sz="4" w:space="0" w:color="auto"/>
              <w:bottom w:val="single" w:sz="4" w:space="0" w:color="auto"/>
              <w:right w:val="single" w:sz="4" w:space="0" w:color="auto"/>
            </w:tcBorders>
            <w:noWrap/>
            <w:vAlign w:val="center"/>
            <w:hideMark/>
          </w:tcPr>
          <w:p w14:paraId="1B9C9B1D" w14:textId="77777777" w:rsidR="005E64D9" w:rsidRPr="00951AB1" w:rsidRDefault="005E64D9" w:rsidP="000A5389">
            <w:pPr>
              <w:spacing w:line="240" w:lineRule="auto"/>
              <w:rPr>
                <w:rFonts w:eastAsia="Times New Roman" w:cs="Times New Roman"/>
                <w:color w:val="000000"/>
                <w:kern w:val="0"/>
                <w:sz w:val="14"/>
                <w:szCs w:val="14"/>
                <w:lang w:eastAsia="es-CO"/>
                <w14:ligatures w14:val="none"/>
              </w:rPr>
            </w:pPr>
            <w:r w:rsidRPr="00951AB1">
              <w:rPr>
                <w:rFonts w:cs="Times New Roman"/>
                <w:color w:val="000000"/>
                <w:sz w:val="14"/>
                <w:szCs w:val="14"/>
              </w:rPr>
              <w:t>Otras cuentas por cobrar</w:t>
            </w:r>
          </w:p>
        </w:tc>
        <w:tc>
          <w:tcPr>
            <w:tcW w:w="992" w:type="dxa"/>
            <w:tcBorders>
              <w:top w:val="nil"/>
              <w:left w:val="nil"/>
              <w:bottom w:val="single" w:sz="4" w:space="0" w:color="auto"/>
              <w:right w:val="single" w:sz="4" w:space="0" w:color="auto"/>
            </w:tcBorders>
            <w:noWrap/>
            <w:vAlign w:val="center"/>
            <w:hideMark/>
          </w:tcPr>
          <w:p w14:paraId="61F772FC" w14:textId="77777777" w:rsidR="005E64D9" w:rsidRPr="00951AB1" w:rsidRDefault="005E64D9" w:rsidP="000A5389">
            <w:pPr>
              <w:spacing w:line="240" w:lineRule="auto"/>
              <w:jc w:val="center"/>
              <w:rPr>
                <w:rFonts w:eastAsia="Times New Roman" w:cs="Times New Roman"/>
                <w:color w:val="000000"/>
                <w:kern w:val="0"/>
                <w:sz w:val="14"/>
                <w:szCs w:val="14"/>
                <w:lang w:eastAsia="es-CO"/>
                <w14:ligatures w14:val="none"/>
              </w:rPr>
            </w:pPr>
            <w:r w:rsidRPr="00951AB1">
              <w:rPr>
                <w:rFonts w:cs="Times New Roman"/>
                <w:color w:val="000000"/>
                <w:sz w:val="14"/>
                <w:szCs w:val="14"/>
              </w:rPr>
              <w:t>30/12/2025</w:t>
            </w:r>
          </w:p>
        </w:tc>
        <w:tc>
          <w:tcPr>
            <w:tcW w:w="1843" w:type="dxa"/>
            <w:tcBorders>
              <w:top w:val="nil"/>
              <w:left w:val="nil"/>
              <w:bottom w:val="single" w:sz="4" w:space="0" w:color="auto"/>
              <w:right w:val="single" w:sz="4" w:space="0" w:color="auto"/>
            </w:tcBorders>
            <w:noWrap/>
            <w:vAlign w:val="center"/>
            <w:hideMark/>
          </w:tcPr>
          <w:p w14:paraId="6D032A60" w14:textId="3D31BBF3" w:rsidR="005E64D9" w:rsidRPr="00951AB1" w:rsidRDefault="00283B07" w:rsidP="000A5389">
            <w:pPr>
              <w:spacing w:line="240" w:lineRule="auto"/>
              <w:rPr>
                <w:rFonts w:eastAsia="Times New Roman" w:cs="Times New Roman"/>
                <w:color w:val="000000"/>
                <w:kern w:val="0"/>
                <w:sz w:val="14"/>
                <w:szCs w:val="14"/>
                <w:lang w:eastAsia="es-CO"/>
                <w14:ligatures w14:val="none"/>
              </w:rPr>
            </w:pPr>
            <w:r w:rsidRPr="00951AB1">
              <w:rPr>
                <w:rFonts w:cs="Times New Roman"/>
                <w:color w:val="000000"/>
                <w:sz w:val="14"/>
                <w:szCs w:val="14"/>
              </w:rPr>
              <w:t>Aeropuerto Olaya Herrera</w:t>
            </w:r>
          </w:p>
        </w:tc>
        <w:tc>
          <w:tcPr>
            <w:tcW w:w="1134" w:type="dxa"/>
            <w:tcBorders>
              <w:top w:val="nil"/>
              <w:left w:val="nil"/>
              <w:bottom w:val="single" w:sz="4" w:space="0" w:color="auto"/>
              <w:right w:val="single" w:sz="4" w:space="0" w:color="auto"/>
            </w:tcBorders>
            <w:noWrap/>
            <w:vAlign w:val="center"/>
            <w:hideMark/>
          </w:tcPr>
          <w:p w14:paraId="2D7D963E" w14:textId="77777777" w:rsidR="005E64D9" w:rsidRPr="00951AB1" w:rsidRDefault="005E64D9" w:rsidP="000A5389">
            <w:pPr>
              <w:spacing w:line="240" w:lineRule="auto"/>
              <w:jc w:val="right"/>
              <w:rPr>
                <w:rFonts w:eastAsia="Times New Roman" w:cs="Times New Roman"/>
                <w:color w:val="000000"/>
                <w:kern w:val="0"/>
                <w:sz w:val="14"/>
                <w:szCs w:val="14"/>
                <w:lang w:eastAsia="es-CO"/>
                <w14:ligatures w14:val="none"/>
              </w:rPr>
            </w:pPr>
            <w:r w:rsidRPr="00951AB1">
              <w:rPr>
                <w:rFonts w:cs="Times New Roman"/>
                <w:color w:val="000000"/>
                <w:sz w:val="14"/>
                <w:szCs w:val="14"/>
              </w:rPr>
              <w:t>8.979.059</w:t>
            </w:r>
          </w:p>
        </w:tc>
        <w:tc>
          <w:tcPr>
            <w:tcW w:w="1134" w:type="dxa"/>
            <w:tcBorders>
              <w:top w:val="nil"/>
              <w:left w:val="nil"/>
              <w:bottom w:val="single" w:sz="4" w:space="0" w:color="auto"/>
              <w:right w:val="single" w:sz="4" w:space="0" w:color="auto"/>
            </w:tcBorders>
            <w:noWrap/>
            <w:vAlign w:val="center"/>
            <w:hideMark/>
          </w:tcPr>
          <w:p w14:paraId="45F99B9E" w14:textId="77777777" w:rsidR="005E64D9" w:rsidRPr="00951AB1" w:rsidRDefault="005E64D9" w:rsidP="000A5389">
            <w:pPr>
              <w:spacing w:line="240" w:lineRule="auto"/>
              <w:jc w:val="right"/>
              <w:rPr>
                <w:rFonts w:eastAsia="Times New Roman" w:cs="Times New Roman"/>
                <w:color w:val="000000"/>
                <w:kern w:val="0"/>
                <w:sz w:val="14"/>
                <w:szCs w:val="14"/>
                <w:lang w:eastAsia="es-CO"/>
                <w14:ligatures w14:val="none"/>
              </w:rPr>
            </w:pPr>
            <w:r w:rsidRPr="00951AB1">
              <w:rPr>
                <w:rFonts w:cs="Times New Roman"/>
                <w:color w:val="000000"/>
                <w:sz w:val="14"/>
                <w:szCs w:val="14"/>
              </w:rPr>
              <w:t>8.979.059</w:t>
            </w:r>
          </w:p>
        </w:tc>
        <w:tc>
          <w:tcPr>
            <w:tcW w:w="992" w:type="dxa"/>
            <w:tcBorders>
              <w:top w:val="nil"/>
              <w:left w:val="nil"/>
              <w:bottom w:val="single" w:sz="4" w:space="0" w:color="auto"/>
              <w:right w:val="single" w:sz="4" w:space="0" w:color="auto"/>
            </w:tcBorders>
            <w:noWrap/>
            <w:vAlign w:val="center"/>
            <w:hideMark/>
          </w:tcPr>
          <w:p w14:paraId="13D3E719" w14:textId="77777777" w:rsidR="005E64D9" w:rsidRPr="00951AB1" w:rsidRDefault="005E64D9" w:rsidP="000A5389">
            <w:pPr>
              <w:spacing w:line="240" w:lineRule="auto"/>
              <w:jc w:val="right"/>
              <w:rPr>
                <w:rFonts w:eastAsia="Times New Roman" w:cs="Times New Roman"/>
                <w:color w:val="000000"/>
                <w:kern w:val="0"/>
                <w:sz w:val="14"/>
                <w:szCs w:val="14"/>
                <w:lang w:eastAsia="es-CO"/>
                <w14:ligatures w14:val="none"/>
              </w:rPr>
            </w:pPr>
            <w:r w:rsidRPr="00951AB1">
              <w:rPr>
                <w:rFonts w:cs="Times New Roman"/>
                <w:color w:val="000000"/>
                <w:sz w:val="14"/>
                <w:szCs w:val="14"/>
              </w:rPr>
              <w:t> </w:t>
            </w:r>
          </w:p>
        </w:tc>
        <w:tc>
          <w:tcPr>
            <w:tcW w:w="753" w:type="dxa"/>
            <w:tcBorders>
              <w:top w:val="nil"/>
              <w:left w:val="nil"/>
              <w:bottom w:val="single" w:sz="4" w:space="0" w:color="auto"/>
              <w:right w:val="single" w:sz="4" w:space="0" w:color="auto"/>
            </w:tcBorders>
            <w:noWrap/>
            <w:vAlign w:val="center"/>
            <w:hideMark/>
          </w:tcPr>
          <w:p w14:paraId="435576BC" w14:textId="77777777" w:rsidR="005E64D9" w:rsidRPr="00951AB1" w:rsidRDefault="005E64D9" w:rsidP="000A5389">
            <w:pPr>
              <w:spacing w:line="240" w:lineRule="auto"/>
              <w:rPr>
                <w:rFonts w:eastAsia="Times New Roman" w:cs="Times New Roman"/>
                <w:color w:val="000000"/>
                <w:kern w:val="0"/>
                <w:sz w:val="14"/>
                <w:szCs w:val="14"/>
                <w:lang w:eastAsia="es-CO"/>
                <w14:ligatures w14:val="none"/>
              </w:rPr>
            </w:pPr>
            <w:r w:rsidRPr="00951AB1">
              <w:rPr>
                <w:rFonts w:cs="Times New Roman"/>
                <w:color w:val="000000"/>
                <w:sz w:val="14"/>
                <w:szCs w:val="14"/>
              </w:rPr>
              <w:t> </w:t>
            </w:r>
          </w:p>
        </w:tc>
      </w:tr>
      <w:tr w:rsidR="00DB2570" w:rsidRPr="00951AB1" w14:paraId="5CDC229B" w14:textId="77777777" w:rsidTr="003076E2">
        <w:trPr>
          <w:trHeight w:val="255"/>
        </w:trPr>
        <w:tc>
          <w:tcPr>
            <w:tcW w:w="1980" w:type="dxa"/>
            <w:tcBorders>
              <w:top w:val="nil"/>
              <w:left w:val="single" w:sz="4" w:space="0" w:color="auto"/>
              <w:bottom w:val="single" w:sz="4" w:space="0" w:color="auto"/>
              <w:right w:val="single" w:sz="4" w:space="0" w:color="auto"/>
            </w:tcBorders>
            <w:noWrap/>
            <w:vAlign w:val="center"/>
            <w:hideMark/>
          </w:tcPr>
          <w:p w14:paraId="0F09906B" w14:textId="77777777" w:rsidR="005E64D9" w:rsidRPr="00951AB1" w:rsidRDefault="005E64D9" w:rsidP="000A5389">
            <w:pPr>
              <w:spacing w:line="240" w:lineRule="auto"/>
              <w:rPr>
                <w:rFonts w:eastAsia="Times New Roman" w:cs="Times New Roman"/>
                <w:color w:val="000000"/>
                <w:kern w:val="0"/>
                <w:sz w:val="14"/>
                <w:szCs w:val="14"/>
                <w:lang w:eastAsia="es-CO"/>
                <w14:ligatures w14:val="none"/>
              </w:rPr>
            </w:pPr>
            <w:r w:rsidRPr="00951AB1">
              <w:rPr>
                <w:rFonts w:cs="Times New Roman"/>
                <w:color w:val="000000"/>
                <w:sz w:val="14"/>
                <w:szCs w:val="14"/>
              </w:rPr>
              <w:t>Derechos de tránsito</w:t>
            </w:r>
          </w:p>
        </w:tc>
        <w:tc>
          <w:tcPr>
            <w:tcW w:w="992" w:type="dxa"/>
            <w:tcBorders>
              <w:top w:val="nil"/>
              <w:left w:val="nil"/>
              <w:bottom w:val="single" w:sz="4" w:space="0" w:color="auto"/>
              <w:right w:val="single" w:sz="4" w:space="0" w:color="auto"/>
            </w:tcBorders>
            <w:noWrap/>
            <w:vAlign w:val="center"/>
            <w:hideMark/>
          </w:tcPr>
          <w:p w14:paraId="7CF60B85" w14:textId="77777777" w:rsidR="005E64D9" w:rsidRPr="00951AB1" w:rsidRDefault="005E64D9" w:rsidP="000A5389">
            <w:pPr>
              <w:spacing w:line="240" w:lineRule="auto"/>
              <w:jc w:val="center"/>
              <w:rPr>
                <w:rFonts w:eastAsia="Times New Roman" w:cs="Times New Roman"/>
                <w:color w:val="000000"/>
                <w:kern w:val="0"/>
                <w:sz w:val="14"/>
                <w:szCs w:val="14"/>
                <w:lang w:eastAsia="es-CO"/>
                <w14:ligatures w14:val="none"/>
              </w:rPr>
            </w:pPr>
            <w:r w:rsidRPr="00951AB1">
              <w:rPr>
                <w:rFonts w:cs="Times New Roman"/>
                <w:color w:val="000000"/>
                <w:sz w:val="14"/>
                <w:szCs w:val="14"/>
              </w:rPr>
              <w:t>30/12/2025</w:t>
            </w:r>
          </w:p>
        </w:tc>
        <w:tc>
          <w:tcPr>
            <w:tcW w:w="1843" w:type="dxa"/>
            <w:tcBorders>
              <w:top w:val="nil"/>
              <w:left w:val="nil"/>
              <w:bottom w:val="single" w:sz="4" w:space="0" w:color="auto"/>
              <w:right w:val="single" w:sz="4" w:space="0" w:color="auto"/>
            </w:tcBorders>
            <w:noWrap/>
            <w:vAlign w:val="center"/>
            <w:hideMark/>
          </w:tcPr>
          <w:p w14:paraId="0624E56E" w14:textId="05954D27" w:rsidR="005E64D9" w:rsidRPr="00951AB1" w:rsidRDefault="00283B07" w:rsidP="000A5389">
            <w:pPr>
              <w:spacing w:line="240" w:lineRule="auto"/>
              <w:rPr>
                <w:rFonts w:eastAsia="Times New Roman" w:cs="Times New Roman"/>
                <w:color w:val="000000"/>
                <w:kern w:val="0"/>
                <w:sz w:val="14"/>
                <w:szCs w:val="14"/>
                <w:lang w:eastAsia="es-CO"/>
                <w14:ligatures w14:val="none"/>
              </w:rPr>
            </w:pPr>
            <w:r w:rsidRPr="00951AB1">
              <w:rPr>
                <w:rFonts w:cs="Times New Roman"/>
                <w:color w:val="000000"/>
                <w:sz w:val="14"/>
                <w:szCs w:val="14"/>
              </w:rPr>
              <w:t xml:space="preserve">Consorcio Ctsa - </w:t>
            </w:r>
            <w:r w:rsidR="003076E2" w:rsidRPr="00951AB1">
              <w:rPr>
                <w:rFonts w:cs="Times New Roman"/>
                <w:color w:val="000000"/>
                <w:sz w:val="14"/>
                <w:szCs w:val="14"/>
              </w:rPr>
              <w:t>Integral</w:t>
            </w:r>
          </w:p>
        </w:tc>
        <w:tc>
          <w:tcPr>
            <w:tcW w:w="1134" w:type="dxa"/>
            <w:tcBorders>
              <w:top w:val="nil"/>
              <w:left w:val="nil"/>
              <w:bottom w:val="single" w:sz="4" w:space="0" w:color="auto"/>
              <w:right w:val="single" w:sz="4" w:space="0" w:color="auto"/>
            </w:tcBorders>
            <w:noWrap/>
            <w:vAlign w:val="center"/>
            <w:hideMark/>
          </w:tcPr>
          <w:p w14:paraId="50826708" w14:textId="77777777" w:rsidR="005E64D9" w:rsidRPr="00951AB1" w:rsidRDefault="005E64D9" w:rsidP="000A5389">
            <w:pPr>
              <w:spacing w:line="240" w:lineRule="auto"/>
              <w:jc w:val="right"/>
              <w:rPr>
                <w:rFonts w:eastAsia="Times New Roman" w:cs="Times New Roman"/>
                <w:color w:val="000000"/>
                <w:kern w:val="0"/>
                <w:sz w:val="14"/>
                <w:szCs w:val="14"/>
                <w:lang w:eastAsia="es-CO"/>
                <w14:ligatures w14:val="none"/>
              </w:rPr>
            </w:pPr>
            <w:r w:rsidRPr="00951AB1">
              <w:rPr>
                <w:rFonts w:cs="Times New Roman"/>
                <w:color w:val="000000"/>
                <w:sz w:val="14"/>
                <w:szCs w:val="14"/>
              </w:rPr>
              <w:t>5.754.669</w:t>
            </w:r>
          </w:p>
        </w:tc>
        <w:tc>
          <w:tcPr>
            <w:tcW w:w="1134" w:type="dxa"/>
            <w:tcBorders>
              <w:top w:val="nil"/>
              <w:left w:val="nil"/>
              <w:bottom w:val="single" w:sz="4" w:space="0" w:color="auto"/>
              <w:right w:val="single" w:sz="4" w:space="0" w:color="auto"/>
            </w:tcBorders>
            <w:noWrap/>
            <w:vAlign w:val="center"/>
            <w:hideMark/>
          </w:tcPr>
          <w:p w14:paraId="35B76EFB" w14:textId="77777777" w:rsidR="005E64D9" w:rsidRPr="00951AB1" w:rsidRDefault="005E64D9" w:rsidP="000A5389">
            <w:pPr>
              <w:spacing w:line="240" w:lineRule="auto"/>
              <w:jc w:val="right"/>
              <w:rPr>
                <w:rFonts w:eastAsia="Times New Roman" w:cs="Times New Roman"/>
                <w:color w:val="000000"/>
                <w:kern w:val="0"/>
                <w:sz w:val="14"/>
                <w:szCs w:val="14"/>
                <w:lang w:eastAsia="es-CO"/>
                <w14:ligatures w14:val="none"/>
              </w:rPr>
            </w:pPr>
            <w:r w:rsidRPr="00951AB1">
              <w:rPr>
                <w:rFonts w:cs="Times New Roman"/>
                <w:color w:val="000000"/>
                <w:sz w:val="14"/>
                <w:szCs w:val="14"/>
              </w:rPr>
              <w:t>5.754.669</w:t>
            </w:r>
          </w:p>
        </w:tc>
        <w:tc>
          <w:tcPr>
            <w:tcW w:w="992" w:type="dxa"/>
            <w:tcBorders>
              <w:top w:val="nil"/>
              <w:left w:val="nil"/>
              <w:bottom w:val="single" w:sz="4" w:space="0" w:color="auto"/>
              <w:right w:val="single" w:sz="4" w:space="0" w:color="auto"/>
            </w:tcBorders>
            <w:noWrap/>
            <w:vAlign w:val="center"/>
            <w:hideMark/>
          </w:tcPr>
          <w:p w14:paraId="59295B30" w14:textId="77777777" w:rsidR="005E64D9" w:rsidRPr="00951AB1" w:rsidRDefault="005E64D9" w:rsidP="000A5389">
            <w:pPr>
              <w:spacing w:line="240" w:lineRule="auto"/>
              <w:jc w:val="right"/>
              <w:rPr>
                <w:rFonts w:eastAsia="Times New Roman" w:cs="Times New Roman"/>
                <w:color w:val="000000"/>
                <w:kern w:val="0"/>
                <w:sz w:val="14"/>
                <w:szCs w:val="14"/>
                <w:lang w:eastAsia="es-CO"/>
                <w14:ligatures w14:val="none"/>
              </w:rPr>
            </w:pPr>
            <w:r w:rsidRPr="00951AB1">
              <w:rPr>
                <w:rFonts w:cs="Times New Roman"/>
                <w:color w:val="000000"/>
                <w:sz w:val="14"/>
                <w:szCs w:val="14"/>
              </w:rPr>
              <w:t> </w:t>
            </w:r>
          </w:p>
        </w:tc>
        <w:tc>
          <w:tcPr>
            <w:tcW w:w="753" w:type="dxa"/>
            <w:tcBorders>
              <w:top w:val="nil"/>
              <w:left w:val="nil"/>
              <w:bottom w:val="single" w:sz="4" w:space="0" w:color="auto"/>
              <w:right w:val="single" w:sz="4" w:space="0" w:color="auto"/>
            </w:tcBorders>
            <w:noWrap/>
            <w:vAlign w:val="center"/>
            <w:hideMark/>
          </w:tcPr>
          <w:p w14:paraId="229C2FA2" w14:textId="77777777" w:rsidR="005E64D9" w:rsidRPr="00951AB1" w:rsidRDefault="005E64D9" w:rsidP="000A5389">
            <w:pPr>
              <w:spacing w:line="240" w:lineRule="auto"/>
              <w:rPr>
                <w:rFonts w:eastAsia="Times New Roman" w:cs="Times New Roman"/>
                <w:color w:val="000000"/>
                <w:kern w:val="0"/>
                <w:sz w:val="14"/>
                <w:szCs w:val="14"/>
                <w:lang w:eastAsia="es-CO"/>
                <w14:ligatures w14:val="none"/>
              </w:rPr>
            </w:pPr>
            <w:r w:rsidRPr="00951AB1">
              <w:rPr>
                <w:rFonts w:cs="Times New Roman"/>
                <w:color w:val="000000"/>
                <w:sz w:val="14"/>
                <w:szCs w:val="14"/>
              </w:rPr>
              <w:t> </w:t>
            </w:r>
          </w:p>
        </w:tc>
      </w:tr>
      <w:tr w:rsidR="00DB2570" w:rsidRPr="00951AB1" w14:paraId="54F0F4D6" w14:textId="77777777" w:rsidTr="003076E2">
        <w:trPr>
          <w:trHeight w:val="255"/>
        </w:trPr>
        <w:tc>
          <w:tcPr>
            <w:tcW w:w="1980" w:type="dxa"/>
            <w:tcBorders>
              <w:top w:val="nil"/>
              <w:left w:val="single" w:sz="4" w:space="0" w:color="auto"/>
              <w:bottom w:val="single" w:sz="4" w:space="0" w:color="auto"/>
              <w:right w:val="single" w:sz="4" w:space="0" w:color="auto"/>
            </w:tcBorders>
            <w:noWrap/>
            <w:vAlign w:val="center"/>
            <w:hideMark/>
          </w:tcPr>
          <w:p w14:paraId="04287C77" w14:textId="77777777" w:rsidR="005E64D9" w:rsidRPr="00951AB1" w:rsidRDefault="005E64D9" w:rsidP="000A5389">
            <w:pPr>
              <w:spacing w:line="240" w:lineRule="auto"/>
              <w:rPr>
                <w:rFonts w:eastAsia="Times New Roman" w:cs="Times New Roman"/>
                <w:color w:val="000000"/>
                <w:kern w:val="0"/>
                <w:sz w:val="14"/>
                <w:szCs w:val="14"/>
                <w:lang w:eastAsia="es-CO"/>
                <w14:ligatures w14:val="none"/>
              </w:rPr>
            </w:pPr>
            <w:r w:rsidRPr="00951AB1">
              <w:rPr>
                <w:rFonts w:cs="Times New Roman"/>
                <w:color w:val="000000"/>
                <w:sz w:val="14"/>
                <w:szCs w:val="14"/>
              </w:rPr>
              <w:t>Derechos de explotación no relacionados con la infraestructura de transporte</w:t>
            </w:r>
          </w:p>
        </w:tc>
        <w:tc>
          <w:tcPr>
            <w:tcW w:w="992" w:type="dxa"/>
            <w:tcBorders>
              <w:top w:val="nil"/>
              <w:left w:val="nil"/>
              <w:bottom w:val="single" w:sz="4" w:space="0" w:color="auto"/>
              <w:right w:val="single" w:sz="4" w:space="0" w:color="auto"/>
            </w:tcBorders>
            <w:noWrap/>
            <w:vAlign w:val="center"/>
            <w:hideMark/>
          </w:tcPr>
          <w:p w14:paraId="203B80C7" w14:textId="77777777" w:rsidR="005E64D9" w:rsidRPr="00951AB1" w:rsidRDefault="005E64D9" w:rsidP="000A5389">
            <w:pPr>
              <w:spacing w:line="240" w:lineRule="auto"/>
              <w:jc w:val="center"/>
              <w:rPr>
                <w:rFonts w:eastAsia="Times New Roman" w:cs="Times New Roman"/>
                <w:color w:val="000000"/>
                <w:kern w:val="0"/>
                <w:sz w:val="14"/>
                <w:szCs w:val="14"/>
                <w:lang w:eastAsia="es-CO"/>
                <w14:ligatures w14:val="none"/>
              </w:rPr>
            </w:pPr>
            <w:r w:rsidRPr="00951AB1">
              <w:rPr>
                <w:rFonts w:cs="Times New Roman"/>
                <w:color w:val="000000"/>
                <w:sz w:val="14"/>
                <w:szCs w:val="14"/>
              </w:rPr>
              <w:t>30/12/2025</w:t>
            </w:r>
          </w:p>
        </w:tc>
        <w:tc>
          <w:tcPr>
            <w:tcW w:w="1843" w:type="dxa"/>
            <w:tcBorders>
              <w:top w:val="nil"/>
              <w:left w:val="nil"/>
              <w:bottom w:val="single" w:sz="4" w:space="0" w:color="auto"/>
              <w:right w:val="single" w:sz="4" w:space="0" w:color="auto"/>
            </w:tcBorders>
            <w:noWrap/>
            <w:vAlign w:val="center"/>
            <w:hideMark/>
          </w:tcPr>
          <w:p w14:paraId="25C817D4" w14:textId="6FA6699B" w:rsidR="005E64D9" w:rsidRPr="00951AB1" w:rsidRDefault="00283B07" w:rsidP="000A5389">
            <w:pPr>
              <w:spacing w:line="240" w:lineRule="auto"/>
              <w:rPr>
                <w:rFonts w:eastAsia="Times New Roman" w:cs="Times New Roman"/>
                <w:color w:val="000000"/>
                <w:kern w:val="0"/>
                <w:sz w:val="14"/>
                <w:szCs w:val="14"/>
                <w:lang w:eastAsia="es-CO"/>
                <w14:ligatures w14:val="none"/>
              </w:rPr>
            </w:pPr>
            <w:r w:rsidRPr="00951AB1">
              <w:rPr>
                <w:rFonts w:cs="Times New Roman"/>
                <w:color w:val="000000"/>
                <w:sz w:val="14"/>
                <w:szCs w:val="14"/>
              </w:rPr>
              <w:t>Cooperativa De Trabajo Asociado Y De Servicios múltiples De Colombia Limitada</w:t>
            </w:r>
          </w:p>
        </w:tc>
        <w:tc>
          <w:tcPr>
            <w:tcW w:w="1134" w:type="dxa"/>
            <w:tcBorders>
              <w:top w:val="nil"/>
              <w:left w:val="nil"/>
              <w:bottom w:val="single" w:sz="4" w:space="0" w:color="auto"/>
              <w:right w:val="single" w:sz="4" w:space="0" w:color="auto"/>
            </w:tcBorders>
            <w:noWrap/>
            <w:vAlign w:val="center"/>
            <w:hideMark/>
          </w:tcPr>
          <w:p w14:paraId="0846E913" w14:textId="77777777" w:rsidR="005E64D9" w:rsidRPr="00951AB1" w:rsidRDefault="005E64D9" w:rsidP="000A5389">
            <w:pPr>
              <w:spacing w:line="240" w:lineRule="auto"/>
              <w:jc w:val="right"/>
              <w:rPr>
                <w:rFonts w:eastAsia="Times New Roman" w:cs="Times New Roman"/>
                <w:color w:val="000000"/>
                <w:kern w:val="0"/>
                <w:sz w:val="14"/>
                <w:szCs w:val="14"/>
                <w:lang w:eastAsia="es-CO"/>
                <w14:ligatures w14:val="none"/>
              </w:rPr>
            </w:pPr>
            <w:r w:rsidRPr="00951AB1">
              <w:rPr>
                <w:rFonts w:cs="Times New Roman"/>
                <w:color w:val="000000"/>
                <w:sz w:val="14"/>
                <w:szCs w:val="14"/>
              </w:rPr>
              <w:t>5.634.957</w:t>
            </w:r>
          </w:p>
        </w:tc>
        <w:tc>
          <w:tcPr>
            <w:tcW w:w="1134" w:type="dxa"/>
            <w:tcBorders>
              <w:top w:val="nil"/>
              <w:left w:val="nil"/>
              <w:bottom w:val="single" w:sz="4" w:space="0" w:color="auto"/>
              <w:right w:val="single" w:sz="4" w:space="0" w:color="auto"/>
            </w:tcBorders>
            <w:noWrap/>
            <w:vAlign w:val="center"/>
            <w:hideMark/>
          </w:tcPr>
          <w:p w14:paraId="23683534" w14:textId="77777777" w:rsidR="005E64D9" w:rsidRPr="00951AB1" w:rsidRDefault="005E64D9" w:rsidP="000A5389">
            <w:pPr>
              <w:spacing w:line="240" w:lineRule="auto"/>
              <w:jc w:val="right"/>
              <w:rPr>
                <w:rFonts w:eastAsia="Times New Roman" w:cs="Times New Roman"/>
                <w:color w:val="000000"/>
                <w:kern w:val="0"/>
                <w:sz w:val="14"/>
                <w:szCs w:val="14"/>
                <w:lang w:eastAsia="es-CO"/>
                <w14:ligatures w14:val="none"/>
              </w:rPr>
            </w:pPr>
            <w:r w:rsidRPr="00951AB1">
              <w:rPr>
                <w:rFonts w:cs="Times New Roman"/>
                <w:color w:val="000000"/>
                <w:sz w:val="14"/>
                <w:szCs w:val="14"/>
              </w:rPr>
              <w:t>5.634.957</w:t>
            </w:r>
          </w:p>
        </w:tc>
        <w:tc>
          <w:tcPr>
            <w:tcW w:w="992" w:type="dxa"/>
            <w:tcBorders>
              <w:top w:val="nil"/>
              <w:left w:val="nil"/>
              <w:bottom w:val="single" w:sz="4" w:space="0" w:color="auto"/>
              <w:right w:val="single" w:sz="4" w:space="0" w:color="auto"/>
            </w:tcBorders>
            <w:noWrap/>
            <w:vAlign w:val="center"/>
            <w:hideMark/>
          </w:tcPr>
          <w:p w14:paraId="6FCDC150" w14:textId="77777777" w:rsidR="005E64D9" w:rsidRPr="00951AB1" w:rsidRDefault="005E64D9" w:rsidP="000A5389">
            <w:pPr>
              <w:spacing w:line="240" w:lineRule="auto"/>
              <w:jc w:val="right"/>
              <w:rPr>
                <w:rFonts w:eastAsia="Times New Roman" w:cs="Times New Roman"/>
                <w:color w:val="000000"/>
                <w:kern w:val="0"/>
                <w:sz w:val="14"/>
                <w:szCs w:val="14"/>
                <w:lang w:eastAsia="es-CO"/>
                <w14:ligatures w14:val="none"/>
              </w:rPr>
            </w:pPr>
            <w:r w:rsidRPr="00951AB1">
              <w:rPr>
                <w:rFonts w:cs="Times New Roman"/>
                <w:color w:val="000000"/>
                <w:sz w:val="14"/>
                <w:szCs w:val="14"/>
              </w:rPr>
              <w:t> </w:t>
            </w:r>
          </w:p>
        </w:tc>
        <w:tc>
          <w:tcPr>
            <w:tcW w:w="753" w:type="dxa"/>
            <w:tcBorders>
              <w:top w:val="nil"/>
              <w:left w:val="nil"/>
              <w:bottom w:val="single" w:sz="4" w:space="0" w:color="auto"/>
              <w:right w:val="single" w:sz="4" w:space="0" w:color="auto"/>
            </w:tcBorders>
            <w:noWrap/>
            <w:vAlign w:val="center"/>
            <w:hideMark/>
          </w:tcPr>
          <w:p w14:paraId="437E0775" w14:textId="77777777" w:rsidR="005E64D9" w:rsidRPr="00951AB1" w:rsidRDefault="005E64D9" w:rsidP="000A5389">
            <w:pPr>
              <w:spacing w:line="240" w:lineRule="auto"/>
              <w:rPr>
                <w:rFonts w:eastAsia="Times New Roman" w:cs="Times New Roman"/>
                <w:color w:val="000000"/>
                <w:kern w:val="0"/>
                <w:sz w:val="14"/>
                <w:szCs w:val="14"/>
                <w:lang w:eastAsia="es-CO"/>
                <w14:ligatures w14:val="none"/>
              </w:rPr>
            </w:pPr>
            <w:r w:rsidRPr="00951AB1">
              <w:rPr>
                <w:rFonts w:cs="Times New Roman"/>
                <w:color w:val="000000"/>
                <w:sz w:val="14"/>
                <w:szCs w:val="14"/>
              </w:rPr>
              <w:t> </w:t>
            </w:r>
          </w:p>
        </w:tc>
      </w:tr>
      <w:tr w:rsidR="00DB2570" w:rsidRPr="00951AB1" w14:paraId="51B40C8D" w14:textId="77777777" w:rsidTr="003076E2">
        <w:trPr>
          <w:trHeight w:val="255"/>
        </w:trPr>
        <w:tc>
          <w:tcPr>
            <w:tcW w:w="1980" w:type="dxa"/>
            <w:tcBorders>
              <w:top w:val="nil"/>
              <w:left w:val="single" w:sz="4" w:space="0" w:color="auto"/>
              <w:bottom w:val="single" w:sz="4" w:space="0" w:color="auto"/>
              <w:right w:val="single" w:sz="4" w:space="0" w:color="auto"/>
            </w:tcBorders>
            <w:noWrap/>
            <w:vAlign w:val="center"/>
            <w:hideMark/>
          </w:tcPr>
          <w:p w14:paraId="3AED8DB5" w14:textId="77777777" w:rsidR="005E64D9" w:rsidRPr="00951AB1" w:rsidRDefault="005E64D9" w:rsidP="000A5389">
            <w:pPr>
              <w:spacing w:line="240" w:lineRule="auto"/>
              <w:rPr>
                <w:rFonts w:eastAsia="Times New Roman" w:cs="Times New Roman"/>
                <w:color w:val="000000"/>
                <w:kern w:val="0"/>
                <w:sz w:val="14"/>
                <w:szCs w:val="14"/>
                <w:lang w:eastAsia="es-CO"/>
                <w14:ligatures w14:val="none"/>
              </w:rPr>
            </w:pPr>
            <w:r w:rsidRPr="00951AB1">
              <w:rPr>
                <w:rFonts w:cs="Times New Roman"/>
                <w:color w:val="000000"/>
                <w:sz w:val="14"/>
                <w:szCs w:val="14"/>
              </w:rPr>
              <w:t>Sanciones contractuales</w:t>
            </w:r>
          </w:p>
        </w:tc>
        <w:tc>
          <w:tcPr>
            <w:tcW w:w="992" w:type="dxa"/>
            <w:tcBorders>
              <w:top w:val="nil"/>
              <w:left w:val="nil"/>
              <w:bottom w:val="single" w:sz="4" w:space="0" w:color="auto"/>
              <w:right w:val="single" w:sz="4" w:space="0" w:color="auto"/>
            </w:tcBorders>
            <w:noWrap/>
            <w:vAlign w:val="center"/>
            <w:hideMark/>
          </w:tcPr>
          <w:p w14:paraId="46623C09" w14:textId="77777777" w:rsidR="005E64D9" w:rsidRPr="00951AB1" w:rsidRDefault="005E64D9" w:rsidP="000A5389">
            <w:pPr>
              <w:spacing w:line="240" w:lineRule="auto"/>
              <w:jc w:val="center"/>
              <w:rPr>
                <w:rFonts w:eastAsia="Times New Roman" w:cs="Times New Roman"/>
                <w:color w:val="000000"/>
                <w:kern w:val="0"/>
                <w:sz w:val="14"/>
                <w:szCs w:val="14"/>
                <w:lang w:eastAsia="es-CO"/>
                <w14:ligatures w14:val="none"/>
              </w:rPr>
            </w:pPr>
            <w:r w:rsidRPr="00951AB1">
              <w:rPr>
                <w:rFonts w:cs="Times New Roman"/>
                <w:color w:val="000000"/>
                <w:sz w:val="14"/>
                <w:szCs w:val="14"/>
              </w:rPr>
              <w:t>5/04/2023</w:t>
            </w:r>
          </w:p>
        </w:tc>
        <w:tc>
          <w:tcPr>
            <w:tcW w:w="1843" w:type="dxa"/>
            <w:tcBorders>
              <w:top w:val="nil"/>
              <w:left w:val="nil"/>
              <w:bottom w:val="single" w:sz="4" w:space="0" w:color="auto"/>
              <w:right w:val="single" w:sz="4" w:space="0" w:color="auto"/>
            </w:tcBorders>
            <w:noWrap/>
            <w:vAlign w:val="center"/>
            <w:hideMark/>
          </w:tcPr>
          <w:p w14:paraId="41A5F299" w14:textId="77777777" w:rsidR="005E64D9" w:rsidRPr="00951AB1" w:rsidRDefault="00283B07" w:rsidP="000A5389">
            <w:pPr>
              <w:spacing w:line="240" w:lineRule="auto"/>
              <w:rPr>
                <w:rFonts w:eastAsia="Times New Roman" w:cs="Times New Roman"/>
                <w:color w:val="000000"/>
                <w:kern w:val="0"/>
                <w:sz w:val="14"/>
                <w:szCs w:val="14"/>
                <w:lang w:eastAsia="es-CO"/>
                <w14:ligatures w14:val="none"/>
              </w:rPr>
            </w:pPr>
            <w:r w:rsidRPr="00951AB1">
              <w:rPr>
                <w:rFonts w:cs="Times New Roman"/>
                <w:color w:val="000000"/>
                <w:sz w:val="14"/>
                <w:szCs w:val="14"/>
              </w:rPr>
              <w:t>M P S Importaciones Y Exportaciones S.A.S</w:t>
            </w:r>
          </w:p>
        </w:tc>
        <w:tc>
          <w:tcPr>
            <w:tcW w:w="1134" w:type="dxa"/>
            <w:tcBorders>
              <w:top w:val="nil"/>
              <w:left w:val="nil"/>
              <w:bottom w:val="single" w:sz="4" w:space="0" w:color="auto"/>
              <w:right w:val="single" w:sz="4" w:space="0" w:color="auto"/>
            </w:tcBorders>
            <w:noWrap/>
            <w:vAlign w:val="center"/>
            <w:hideMark/>
          </w:tcPr>
          <w:p w14:paraId="16589C72" w14:textId="77777777" w:rsidR="005E64D9" w:rsidRPr="00951AB1" w:rsidRDefault="005E64D9" w:rsidP="000A5389">
            <w:pPr>
              <w:spacing w:line="240" w:lineRule="auto"/>
              <w:jc w:val="right"/>
              <w:rPr>
                <w:rFonts w:eastAsia="Times New Roman" w:cs="Times New Roman"/>
                <w:color w:val="000000"/>
                <w:kern w:val="0"/>
                <w:sz w:val="14"/>
                <w:szCs w:val="14"/>
                <w:lang w:eastAsia="es-CO"/>
                <w14:ligatures w14:val="none"/>
              </w:rPr>
            </w:pPr>
            <w:r w:rsidRPr="00951AB1">
              <w:rPr>
                <w:rFonts w:cs="Times New Roman"/>
                <w:color w:val="000000"/>
                <w:sz w:val="14"/>
                <w:szCs w:val="14"/>
              </w:rPr>
              <w:t>4.680.000</w:t>
            </w:r>
          </w:p>
        </w:tc>
        <w:tc>
          <w:tcPr>
            <w:tcW w:w="1134" w:type="dxa"/>
            <w:tcBorders>
              <w:top w:val="nil"/>
              <w:left w:val="nil"/>
              <w:bottom w:val="single" w:sz="4" w:space="0" w:color="auto"/>
              <w:right w:val="single" w:sz="4" w:space="0" w:color="auto"/>
            </w:tcBorders>
            <w:noWrap/>
            <w:vAlign w:val="center"/>
            <w:hideMark/>
          </w:tcPr>
          <w:p w14:paraId="6076721E" w14:textId="77777777" w:rsidR="005E64D9" w:rsidRPr="00951AB1" w:rsidRDefault="005E64D9" w:rsidP="000A5389">
            <w:pPr>
              <w:spacing w:line="240" w:lineRule="auto"/>
              <w:jc w:val="right"/>
              <w:rPr>
                <w:rFonts w:eastAsia="Times New Roman" w:cs="Times New Roman"/>
                <w:color w:val="000000"/>
                <w:kern w:val="0"/>
                <w:sz w:val="14"/>
                <w:szCs w:val="14"/>
                <w:lang w:eastAsia="es-CO"/>
                <w14:ligatures w14:val="none"/>
              </w:rPr>
            </w:pPr>
            <w:r w:rsidRPr="00951AB1">
              <w:rPr>
                <w:rFonts w:cs="Times New Roman"/>
                <w:color w:val="000000"/>
                <w:sz w:val="14"/>
                <w:szCs w:val="14"/>
              </w:rPr>
              <w:t> </w:t>
            </w:r>
          </w:p>
        </w:tc>
        <w:tc>
          <w:tcPr>
            <w:tcW w:w="992" w:type="dxa"/>
            <w:tcBorders>
              <w:top w:val="nil"/>
              <w:left w:val="nil"/>
              <w:bottom w:val="single" w:sz="4" w:space="0" w:color="auto"/>
              <w:right w:val="single" w:sz="4" w:space="0" w:color="auto"/>
            </w:tcBorders>
            <w:noWrap/>
            <w:vAlign w:val="center"/>
            <w:hideMark/>
          </w:tcPr>
          <w:p w14:paraId="3B04C549" w14:textId="77777777" w:rsidR="005E64D9" w:rsidRPr="00951AB1" w:rsidRDefault="005E64D9" w:rsidP="000A5389">
            <w:pPr>
              <w:spacing w:line="240" w:lineRule="auto"/>
              <w:jc w:val="right"/>
              <w:rPr>
                <w:rFonts w:eastAsia="Times New Roman" w:cs="Times New Roman"/>
                <w:color w:val="000000"/>
                <w:kern w:val="0"/>
                <w:sz w:val="14"/>
                <w:szCs w:val="14"/>
                <w:lang w:eastAsia="es-CO"/>
                <w14:ligatures w14:val="none"/>
              </w:rPr>
            </w:pPr>
            <w:r w:rsidRPr="00951AB1">
              <w:rPr>
                <w:rFonts w:cs="Times New Roman"/>
                <w:color w:val="000000"/>
                <w:sz w:val="14"/>
                <w:szCs w:val="14"/>
              </w:rPr>
              <w:t>4.680.000</w:t>
            </w:r>
          </w:p>
        </w:tc>
        <w:tc>
          <w:tcPr>
            <w:tcW w:w="753" w:type="dxa"/>
            <w:tcBorders>
              <w:top w:val="nil"/>
              <w:left w:val="nil"/>
              <w:bottom w:val="single" w:sz="4" w:space="0" w:color="auto"/>
              <w:right w:val="single" w:sz="4" w:space="0" w:color="auto"/>
            </w:tcBorders>
            <w:noWrap/>
            <w:vAlign w:val="center"/>
            <w:hideMark/>
          </w:tcPr>
          <w:p w14:paraId="411159EF" w14:textId="77777777" w:rsidR="005E64D9" w:rsidRPr="00951AB1" w:rsidRDefault="005E64D9" w:rsidP="000A5389">
            <w:pPr>
              <w:spacing w:line="240" w:lineRule="auto"/>
              <w:rPr>
                <w:rFonts w:eastAsia="Times New Roman" w:cs="Times New Roman"/>
                <w:color w:val="000000"/>
                <w:kern w:val="0"/>
                <w:sz w:val="14"/>
                <w:szCs w:val="14"/>
                <w:lang w:eastAsia="es-CO"/>
                <w14:ligatures w14:val="none"/>
              </w:rPr>
            </w:pPr>
            <w:r w:rsidRPr="00951AB1">
              <w:rPr>
                <w:rFonts w:cs="Times New Roman"/>
                <w:color w:val="000000"/>
                <w:sz w:val="14"/>
                <w:szCs w:val="14"/>
              </w:rPr>
              <w:t> </w:t>
            </w:r>
          </w:p>
        </w:tc>
      </w:tr>
      <w:tr w:rsidR="00DB2570" w:rsidRPr="00951AB1" w14:paraId="1C2AFB26" w14:textId="77777777" w:rsidTr="003076E2">
        <w:trPr>
          <w:trHeight w:val="255"/>
        </w:trPr>
        <w:tc>
          <w:tcPr>
            <w:tcW w:w="1980" w:type="dxa"/>
            <w:tcBorders>
              <w:top w:val="nil"/>
              <w:left w:val="single" w:sz="4" w:space="0" w:color="auto"/>
              <w:bottom w:val="single" w:sz="4" w:space="0" w:color="auto"/>
              <w:right w:val="single" w:sz="4" w:space="0" w:color="auto"/>
            </w:tcBorders>
            <w:noWrap/>
            <w:vAlign w:val="center"/>
            <w:hideMark/>
          </w:tcPr>
          <w:p w14:paraId="03525831" w14:textId="77777777" w:rsidR="005E64D9" w:rsidRPr="00951AB1" w:rsidRDefault="005E64D9" w:rsidP="000A5389">
            <w:pPr>
              <w:spacing w:line="240" w:lineRule="auto"/>
              <w:rPr>
                <w:rFonts w:eastAsia="Times New Roman" w:cs="Times New Roman"/>
                <w:color w:val="000000"/>
                <w:kern w:val="0"/>
                <w:sz w:val="14"/>
                <w:szCs w:val="14"/>
                <w:lang w:eastAsia="es-CO"/>
                <w14:ligatures w14:val="none"/>
              </w:rPr>
            </w:pPr>
            <w:r w:rsidRPr="00951AB1">
              <w:rPr>
                <w:rFonts w:cs="Times New Roman"/>
                <w:color w:val="000000"/>
                <w:sz w:val="14"/>
                <w:szCs w:val="14"/>
              </w:rPr>
              <w:t>Otras cuentas por cobrar</w:t>
            </w:r>
          </w:p>
        </w:tc>
        <w:tc>
          <w:tcPr>
            <w:tcW w:w="992" w:type="dxa"/>
            <w:tcBorders>
              <w:top w:val="nil"/>
              <w:left w:val="nil"/>
              <w:bottom w:val="single" w:sz="4" w:space="0" w:color="auto"/>
              <w:right w:val="single" w:sz="4" w:space="0" w:color="auto"/>
            </w:tcBorders>
            <w:noWrap/>
            <w:vAlign w:val="center"/>
            <w:hideMark/>
          </w:tcPr>
          <w:p w14:paraId="090DF08C" w14:textId="77777777" w:rsidR="005E64D9" w:rsidRPr="00951AB1" w:rsidRDefault="005E64D9" w:rsidP="000A5389">
            <w:pPr>
              <w:spacing w:line="240" w:lineRule="auto"/>
              <w:jc w:val="center"/>
              <w:rPr>
                <w:rFonts w:eastAsia="Times New Roman" w:cs="Times New Roman"/>
                <w:color w:val="000000"/>
                <w:kern w:val="0"/>
                <w:sz w:val="14"/>
                <w:szCs w:val="14"/>
                <w:lang w:eastAsia="es-CO"/>
                <w14:ligatures w14:val="none"/>
              </w:rPr>
            </w:pPr>
            <w:r w:rsidRPr="00951AB1">
              <w:rPr>
                <w:rFonts w:cs="Times New Roman"/>
                <w:color w:val="000000"/>
                <w:sz w:val="14"/>
                <w:szCs w:val="14"/>
              </w:rPr>
              <w:t>30/12/2025</w:t>
            </w:r>
          </w:p>
        </w:tc>
        <w:tc>
          <w:tcPr>
            <w:tcW w:w="1843" w:type="dxa"/>
            <w:tcBorders>
              <w:top w:val="nil"/>
              <w:left w:val="nil"/>
              <w:bottom w:val="single" w:sz="4" w:space="0" w:color="auto"/>
              <w:right w:val="single" w:sz="4" w:space="0" w:color="auto"/>
            </w:tcBorders>
            <w:noWrap/>
            <w:vAlign w:val="center"/>
            <w:hideMark/>
          </w:tcPr>
          <w:p w14:paraId="76D1ECCC" w14:textId="1E28FC06" w:rsidR="005E64D9" w:rsidRPr="00951AB1" w:rsidRDefault="00283B07" w:rsidP="000A5389">
            <w:pPr>
              <w:spacing w:line="240" w:lineRule="auto"/>
              <w:rPr>
                <w:rFonts w:eastAsia="Times New Roman" w:cs="Times New Roman"/>
                <w:color w:val="000000"/>
                <w:kern w:val="0"/>
                <w:sz w:val="14"/>
                <w:szCs w:val="14"/>
                <w:lang w:eastAsia="es-CO"/>
                <w14:ligatures w14:val="none"/>
              </w:rPr>
            </w:pPr>
            <w:r w:rsidRPr="00951AB1">
              <w:rPr>
                <w:rFonts w:cs="Times New Roman"/>
                <w:color w:val="000000"/>
                <w:sz w:val="14"/>
                <w:szCs w:val="14"/>
              </w:rPr>
              <w:t>Bancolombia S.A.</w:t>
            </w:r>
          </w:p>
        </w:tc>
        <w:tc>
          <w:tcPr>
            <w:tcW w:w="1134" w:type="dxa"/>
            <w:tcBorders>
              <w:top w:val="nil"/>
              <w:left w:val="nil"/>
              <w:bottom w:val="single" w:sz="4" w:space="0" w:color="auto"/>
              <w:right w:val="single" w:sz="4" w:space="0" w:color="auto"/>
            </w:tcBorders>
            <w:noWrap/>
            <w:vAlign w:val="center"/>
            <w:hideMark/>
          </w:tcPr>
          <w:p w14:paraId="6E7638F2" w14:textId="77777777" w:rsidR="005E64D9" w:rsidRPr="00951AB1" w:rsidRDefault="005E64D9" w:rsidP="000A5389">
            <w:pPr>
              <w:spacing w:line="240" w:lineRule="auto"/>
              <w:jc w:val="right"/>
              <w:rPr>
                <w:rFonts w:eastAsia="Times New Roman" w:cs="Times New Roman"/>
                <w:color w:val="000000"/>
                <w:kern w:val="0"/>
                <w:sz w:val="14"/>
                <w:szCs w:val="14"/>
                <w:lang w:eastAsia="es-CO"/>
                <w14:ligatures w14:val="none"/>
              </w:rPr>
            </w:pPr>
            <w:r w:rsidRPr="00951AB1">
              <w:rPr>
                <w:rFonts w:cs="Times New Roman"/>
                <w:color w:val="000000"/>
                <w:sz w:val="14"/>
                <w:szCs w:val="14"/>
              </w:rPr>
              <w:t>3.028.301</w:t>
            </w:r>
          </w:p>
        </w:tc>
        <w:tc>
          <w:tcPr>
            <w:tcW w:w="1134" w:type="dxa"/>
            <w:tcBorders>
              <w:top w:val="nil"/>
              <w:left w:val="nil"/>
              <w:bottom w:val="single" w:sz="4" w:space="0" w:color="auto"/>
              <w:right w:val="single" w:sz="4" w:space="0" w:color="auto"/>
            </w:tcBorders>
            <w:noWrap/>
            <w:vAlign w:val="center"/>
            <w:hideMark/>
          </w:tcPr>
          <w:p w14:paraId="48738DBB" w14:textId="77777777" w:rsidR="005E64D9" w:rsidRPr="00951AB1" w:rsidRDefault="005E64D9" w:rsidP="000A5389">
            <w:pPr>
              <w:spacing w:line="240" w:lineRule="auto"/>
              <w:jc w:val="right"/>
              <w:rPr>
                <w:rFonts w:eastAsia="Times New Roman" w:cs="Times New Roman"/>
                <w:color w:val="000000"/>
                <w:kern w:val="0"/>
                <w:sz w:val="14"/>
                <w:szCs w:val="14"/>
                <w:lang w:eastAsia="es-CO"/>
                <w14:ligatures w14:val="none"/>
              </w:rPr>
            </w:pPr>
            <w:r w:rsidRPr="00951AB1">
              <w:rPr>
                <w:rFonts w:cs="Times New Roman"/>
                <w:color w:val="000000"/>
                <w:sz w:val="14"/>
                <w:szCs w:val="14"/>
              </w:rPr>
              <w:t>3.028.301</w:t>
            </w:r>
          </w:p>
        </w:tc>
        <w:tc>
          <w:tcPr>
            <w:tcW w:w="992" w:type="dxa"/>
            <w:tcBorders>
              <w:top w:val="nil"/>
              <w:left w:val="nil"/>
              <w:bottom w:val="single" w:sz="4" w:space="0" w:color="auto"/>
              <w:right w:val="single" w:sz="4" w:space="0" w:color="auto"/>
            </w:tcBorders>
            <w:noWrap/>
            <w:vAlign w:val="center"/>
            <w:hideMark/>
          </w:tcPr>
          <w:p w14:paraId="1411157B" w14:textId="77777777" w:rsidR="005E64D9" w:rsidRPr="00951AB1" w:rsidRDefault="005E64D9" w:rsidP="000A5389">
            <w:pPr>
              <w:spacing w:line="240" w:lineRule="auto"/>
              <w:jc w:val="right"/>
              <w:rPr>
                <w:rFonts w:eastAsia="Times New Roman" w:cs="Times New Roman"/>
                <w:color w:val="000000"/>
                <w:kern w:val="0"/>
                <w:sz w:val="14"/>
                <w:szCs w:val="14"/>
                <w:lang w:eastAsia="es-CO"/>
                <w14:ligatures w14:val="none"/>
              </w:rPr>
            </w:pPr>
            <w:r w:rsidRPr="00951AB1">
              <w:rPr>
                <w:rFonts w:cs="Times New Roman"/>
                <w:color w:val="000000"/>
                <w:sz w:val="14"/>
                <w:szCs w:val="14"/>
              </w:rPr>
              <w:t> </w:t>
            </w:r>
          </w:p>
        </w:tc>
        <w:tc>
          <w:tcPr>
            <w:tcW w:w="753" w:type="dxa"/>
            <w:tcBorders>
              <w:top w:val="nil"/>
              <w:left w:val="nil"/>
              <w:bottom w:val="single" w:sz="4" w:space="0" w:color="auto"/>
              <w:right w:val="single" w:sz="4" w:space="0" w:color="auto"/>
            </w:tcBorders>
            <w:noWrap/>
            <w:vAlign w:val="center"/>
            <w:hideMark/>
          </w:tcPr>
          <w:p w14:paraId="6E71BB4A" w14:textId="77777777" w:rsidR="005E64D9" w:rsidRPr="00951AB1" w:rsidRDefault="005E64D9" w:rsidP="000A5389">
            <w:pPr>
              <w:spacing w:line="240" w:lineRule="auto"/>
              <w:jc w:val="right"/>
              <w:rPr>
                <w:rFonts w:eastAsia="Times New Roman" w:cs="Times New Roman"/>
                <w:color w:val="000000"/>
                <w:kern w:val="0"/>
                <w:sz w:val="14"/>
                <w:szCs w:val="14"/>
                <w:lang w:eastAsia="es-CO"/>
                <w14:ligatures w14:val="none"/>
              </w:rPr>
            </w:pPr>
            <w:r w:rsidRPr="00951AB1">
              <w:rPr>
                <w:rFonts w:cs="Times New Roman"/>
                <w:color w:val="000000"/>
                <w:sz w:val="14"/>
                <w:szCs w:val="14"/>
              </w:rPr>
              <w:t> </w:t>
            </w:r>
          </w:p>
        </w:tc>
      </w:tr>
    </w:tbl>
    <w:p w14:paraId="37F19E9F" w14:textId="77777777" w:rsidR="005E64D9" w:rsidRPr="00951AB1" w:rsidRDefault="005E64D9" w:rsidP="000A5389">
      <w:pPr>
        <w:spacing w:line="240" w:lineRule="auto"/>
        <w:rPr>
          <w:rFonts w:cs="Times New Roman"/>
          <w:lang w:bidi="es-ES"/>
        </w:rPr>
      </w:pPr>
      <w:r w:rsidRPr="00951AB1">
        <w:rPr>
          <w:rFonts w:cs="Times New Roman"/>
          <w:sz w:val="14"/>
          <w:szCs w:val="14"/>
        </w:rPr>
        <w:t>Cifras expresadas en pesos</w:t>
      </w:r>
    </w:p>
    <w:p w14:paraId="4B5F0DFB" w14:textId="77777777" w:rsidR="005E64D9" w:rsidRPr="00951AB1" w:rsidRDefault="005E64D9" w:rsidP="000A5389">
      <w:pPr>
        <w:spacing w:line="240" w:lineRule="auto"/>
        <w:rPr>
          <w:rFonts w:cs="Times New Roman"/>
          <w:szCs w:val="24"/>
        </w:rPr>
      </w:pPr>
    </w:p>
    <w:p w14:paraId="7EEB6E66" w14:textId="62EA07A0" w:rsidR="005E64D9" w:rsidRPr="00951AB1" w:rsidRDefault="005E64D9" w:rsidP="000A5389">
      <w:pPr>
        <w:spacing w:line="240" w:lineRule="auto"/>
        <w:rPr>
          <w:rFonts w:cs="Times New Roman"/>
        </w:rPr>
      </w:pPr>
      <w:r w:rsidRPr="00951AB1">
        <w:rPr>
          <w:rFonts w:cs="Times New Roman"/>
          <w:szCs w:val="24"/>
        </w:rPr>
        <w:t>De otra parte, las cuentas por cobrar por concepto de incapacidades no son objeto de deterioro, conforme lo estable el concepto con radicado CGN No 20202000001151 de fecha 23 de enero de 2020, el cual indica:</w:t>
      </w:r>
      <w:r w:rsidRPr="00951AB1">
        <w:rPr>
          <w:rFonts w:cs="Times New Roman"/>
        </w:rPr>
        <w:t xml:space="preserve"> ..., </w:t>
      </w:r>
      <w:r w:rsidRPr="00951AB1">
        <w:rPr>
          <w:rFonts w:cs="Times New Roman"/>
          <w:i/>
        </w:rPr>
        <w:t>“si el atraso por parte de la EPS obedece a circunstancias de insolvencia del deudor o desmejoramiento de las condiciones crediticias, procede el reconocimiento del deterioro, en caso contrario, no es viable”.</w:t>
      </w:r>
      <w:r w:rsidRPr="00951AB1">
        <w:rPr>
          <w:rFonts w:cs="Times New Roman"/>
        </w:rPr>
        <w:t xml:space="preserve"> </w:t>
      </w:r>
    </w:p>
    <w:p w14:paraId="28F72CC0" w14:textId="77777777" w:rsidR="005E64D9" w:rsidRPr="00951AB1" w:rsidRDefault="005E64D9" w:rsidP="000A5389">
      <w:pPr>
        <w:spacing w:line="240" w:lineRule="auto"/>
        <w:rPr>
          <w:rFonts w:cs="Times New Roman"/>
          <w:sz w:val="14"/>
          <w:szCs w:val="14"/>
        </w:rPr>
      </w:pPr>
    </w:p>
    <w:p w14:paraId="2D7C9898" w14:textId="77777777" w:rsidR="005E64D9" w:rsidRPr="00951AB1" w:rsidRDefault="005E64D9" w:rsidP="000A5389">
      <w:pPr>
        <w:spacing w:line="240" w:lineRule="auto"/>
        <w:rPr>
          <w:rFonts w:cs="Times New Roman"/>
          <w:sz w:val="14"/>
          <w:szCs w:val="14"/>
        </w:rPr>
      </w:pPr>
    </w:p>
    <w:tbl>
      <w:tblPr>
        <w:tblW w:w="8671"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CellMar>
          <w:left w:w="70" w:type="dxa"/>
          <w:right w:w="70" w:type="dxa"/>
        </w:tblCellMar>
        <w:tblLook w:val="04A0" w:firstRow="1" w:lastRow="0" w:firstColumn="1" w:lastColumn="0" w:noHBand="0" w:noVBand="1"/>
      </w:tblPr>
      <w:tblGrid>
        <w:gridCol w:w="954"/>
        <w:gridCol w:w="1730"/>
        <w:gridCol w:w="1984"/>
        <w:gridCol w:w="1127"/>
        <w:gridCol w:w="952"/>
        <w:gridCol w:w="918"/>
        <w:gridCol w:w="1006"/>
      </w:tblGrid>
      <w:tr w:rsidR="005E64D9" w:rsidRPr="003076E2" w14:paraId="3EAB1E7A" w14:textId="77777777" w:rsidTr="00FA4431">
        <w:trPr>
          <w:trHeight w:val="506"/>
          <w:tblHeader/>
        </w:trPr>
        <w:tc>
          <w:tcPr>
            <w:tcW w:w="954" w:type="dxa"/>
            <w:vAlign w:val="center"/>
            <w:hideMark/>
          </w:tcPr>
          <w:p w14:paraId="1FF6C6B4" w14:textId="77777777" w:rsidR="005E64D9" w:rsidRPr="003076E2" w:rsidRDefault="005E64D9" w:rsidP="000A5389">
            <w:pPr>
              <w:spacing w:line="240" w:lineRule="auto"/>
              <w:jc w:val="center"/>
              <w:rPr>
                <w:rFonts w:eastAsia="Times New Roman" w:cs="Times New Roman"/>
                <w:b/>
                <w:bCs/>
                <w:color w:val="000000"/>
                <w:kern w:val="0"/>
                <w:sz w:val="16"/>
                <w:szCs w:val="16"/>
                <w:lang w:eastAsia="es-CO"/>
                <w14:ligatures w14:val="none"/>
              </w:rPr>
            </w:pPr>
            <w:r w:rsidRPr="003076E2">
              <w:rPr>
                <w:rFonts w:eastAsia="Times New Roman" w:cs="Times New Roman"/>
                <w:b/>
                <w:bCs/>
                <w:color w:val="000000"/>
                <w:kern w:val="0"/>
                <w:sz w:val="16"/>
                <w:szCs w:val="16"/>
                <w:lang w:eastAsia="es-CO"/>
                <w14:ligatures w14:val="none"/>
              </w:rPr>
              <w:t>CUENTA</w:t>
            </w:r>
          </w:p>
        </w:tc>
        <w:tc>
          <w:tcPr>
            <w:tcW w:w="1730" w:type="dxa"/>
            <w:vAlign w:val="center"/>
            <w:hideMark/>
          </w:tcPr>
          <w:p w14:paraId="5931A5CE" w14:textId="77777777" w:rsidR="005E64D9" w:rsidRPr="003076E2" w:rsidRDefault="005E64D9" w:rsidP="000A5389">
            <w:pPr>
              <w:spacing w:line="240" w:lineRule="auto"/>
              <w:jc w:val="center"/>
              <w:rPr>
                <w:rFonts w:eastAsia="Times New Roman" w:cs="Times New Roman"/>
                <w:b/>
                <w:bCs/>
                <w:color w:val="000000"/>
                <w:kern w:val="0"/>
                <w:sz w:val="16"/>
                <w:szCs w:val="16"/>
                <w:lang w:eastAsia="es-CO"/>
                <w14:ligatures w14:val="none"/>
              </w:rPr>
            </w:pPr>
            <w:r w:rsidRPr="003076E2">
              <w:rPr>
                <w:rFonts w:eastAsia="Times New Roman" w:cs="Times New Roman"/>
                <w:b/>
                <w:bCs/>
                <w:color w:val="000000"/>
                <w:kern w:val="0"/>
                <w:sz w:val="16"/>
                <w:szCs w:val="16"/>
                <w:lang w:eastAsia="es-CO"/>
                <w14:ligatures w14:val="none"/>
              </w:rPr>
              <w:t>Fecha de la Obligación</w:t>
            </w:r>
          </w:p>
        </w:tc>
        <w:tc>
          <w:tcPr>
            <w:tcW w:w="1984" w:type="dxa"/>
            <w:vAlign w:val="center"/>
            <w:hideMark/>
          </w:tcPr>
          <w:p w14:paraId="60B2B570" w14:textId="77777777" w:rsidR="005E64D9" w:rsidRPr="003076E2" w:rsidRDefault="005E64D9" w:rsidP="000A5389">
            <w:pPr>
              <w:spacing w:line="240" w:lineRule="auto"/>
              <w:jc w:val="center"/>
              <w:rPr>
                <w:rFonts w:eastAsia="Times New Roman" w:cs="Times New Roman"/>
                <w:b/>
                <w:bCs/>
                <w:color w:val="000000"/>
                <w:kern w:val="0"/>
                <w:sz w:val="16"/>
                <w:szCs w:val="16"/>
                <w:lang w:eastAsia="es-CO"/>
                <w14:ligatures w14:val="none"/>
              </w:rPr>
            </w:pPr>
            <w:r w:rsidRPr="003076E2">
              <w:rPr>
                <w:rFonts w:eastAsia="Times New Roman" w:cs="Times New Roman"/>
                <w:b/>
                <w:bCs/>
                <w:color w:val="000000"/>
                <w:kern w:val="0"/>
                <w:sz w:val="16"/>
                <w:szCs w:val="16"/>
                <w:lang w:eastAsia="es-CO"/>
                <w14:ligatures w14:val="none"/>
              </w:rPr>
              <w:t>Tercero</w:t>
            </w:r>
          </w:p>
        </w:tc>
        <w:tc>
          <w:tcPr>
            <w:tcW w:w="1127" w:type="dxa"/>
            <w:vAlign w:val="center"/>
            <w:hideMark/>
          </w:tcPr>
          <w:p w14:paraId="42E76F37" w14:textId="77777777" w:rsidR="005E64D9" w:rsidRPr="003076E2" w:rsidRDefault="005E64D9" w:rsidP="000A5389">
            <w:pPr>
              <w:spacing w:line="240" w:lineRule="auto"/>
              <w:jc w:val="center"/>
              <w:rPr>
                <w:rFonts w:eastAsia="Times New Roman" w:cs="Times New Roman"/>
                <w:b/>
                <w:bCs/>
                <w:color w:val="000000"/>
                <w:kern w:val="0"/>
                <w:sz w:val="16"/>
                <w:szCs w:val="16"/>
                <w:lang w:eastAsia="es-CO"/>
                <w14:ligatures w14:val="none"/>
              </w:rPr>
            </w:pPr>
            <w:r w:rsidRPr="003076E2">
              <w:rPr>
                <w:rFonts w:eastAsia="Times New Roman" w:cs="Times New Roman"/>
                <w:b/>
                <w:bCs/>
                <w:color w:val="000000"/>
                <w:kern w:val="0"/>
                <w:sz w:val="16"/>
                <w:szCs w:val="16"/>
                <w:lang w:eastAsia="es-CO"/>
                <w14:ligatures w14:val="none"/>
              </w:rPr>
              <w:t>Valor</w:t>
            </w:r>
          </w:p>
        </w:tc>
        <w:tc>
          <w:tcPr>
            <w:tcW w:w="952" w:type="dxa"/>
            <w:vAlign w:val="center"/>
            <w:hideMark/>
          </w:tcPr>
          <w:p w14:paraId="43A26F8A" w14:textId="77777777" w:rsidR="005E64D9" w:rsidRPr="003076E2" w:rsidRDefault="005E64D9" w:rsidP="000A5389">
            <w:pPr>
              <w:spacing w:line="240" w:lineRule="auto"/>
              <w:jc w:val="center"/>
              <w:rPr>
                <w:rFonts w:eastAsia="Times New Roman" w:cs="Times New Roman"/>
                <w:b/>
                <w:bCs/>
                <w:color w:val="000000"/>
                <w:kern w:val="0"/>
                <w:sz w:val="16"/>
                <w:szCs w:val="16"/>
                <w:lang w:eastAsia="es-CO"/>
                <w14:ligatures w14:val="none"/>
              </w:rPr>
            </w:pPr>
            <w:r w:rsidRPr="003076E2">
              <w:rPr>
                <w:rFonts w:eastAsia="Times New Roman" w:cs="Times New Roman"/>
                <w:b/>
                <w:bCs/>
                <w:color w:val="000000"/>
                <w:kern w:val="0"/>
                <w:sz w:val="16"/>
                <w:szCs w:val="16"/>
                <w:lang w:eastAsia="es-CO"/>
                <w14:ligatures w14:val="none"/>
              </w:rPr>
              <w:t>&gt; 3 MESES HASTA 12 MESES</w:t>
            </w:r>
          </w:p>
        </w:tc>
        <w:tc>
          <w:tcPr>
            <w:tcW w:w="918" w:type="dxa"/>
            <w:vAlign w:val="center"/>
            <w:hideMark/>
          </w:tcPr>
          <w:p w14:paraId="499DE3D0" w14:textId="77777777" w:rsidR="005E64D9" w:rsidRPr="003076E2" w:rsidRDefault="005E64D9" w:rsidP="000A5389">
            <w:pPr>
              <w:spacing w:line="240" w:lineRule="auto"/>
              <w:jc w:val="center"/>
              <w:rPr>
                <w:rFonts w:eastAsia="Times New Roman" w:cs="Times New Roman"/>
                <w:b/>
                <w:bCs/>
                <w:color w:val="000000"/>
                <w:kern w:val="0"/>
                <w:sz w:val="16"/>
                <w:szCs w:val="16"/>
                <w:lang w:eastAsia="es-CO"/>
                <w14:ligatures w14:val="none"/>
              </w:rPr>
            </w:pPr>
            <w:r w:rsidRPr="003076E2">
              <w:rPr>
                <w:rFonts w:eastAsia="Times New Roman" w:cs="Times New Roman"/>
                <w:b/>
                <w:bCs/>
                <w:color w:val="000000"/>
                <w:kern w:val="0"/>
                <w:sz w:val="16"/>
                <w:szCs w:val="16"/>
                <w:lang w:eastAsia="es-CO"/>
                <w14:ligatures w14:val="none"/>
              </w:rPr>
              <w:t xml:space="preserve">&gt; 1 AÑO Y HASTA 3 AÑOS </w:t>
            </w:r>
          </w:p>
        </w:tc>
        <w:tc>
          <w:tcPr>
            <w:tcW w:w="1006" w:type="dxa"/>
            <w:vAlign w:val="center"/>
            <w:hideMark/>
          </w:tcPr>
          <w:p w14:paraId="493984DE" w14:textId="77777777" w:rsidR="005E64D9" w:rsidRPr="003076E2" w:rsidRDefault="005E64D9" w:rsidP="000A5389">
            <w:pPr>
              <w:spacing w:line="240" w:lineRule="auto"/>
              <w:jc w:val="center"/>
              <w:rPr>
                <w:rFonts w:eastAsia="Times New Roman" w:cs="Times New Roman"/>
                <w:b/>
                <w:bCs/>
                <w:color w:val="000000"/>
                <w:kern w:val="0"/>
                <w:sz w:val="16"/>
                <w:szCs w:val="16"/>
                <w:lang w:eastAsia="es-CO"/>
                <w14:ligatures w14:val="none"/>
              </w:rPr>
            </w:pPr>
            <w:r w:rsidRPr="003076E2">
              <w:rPr>
                <w:rFonts w:eastAsia="Times New Roman" w:cs="Times New Roman"/>
                <w:b/>
                <w:bCs/>
                <w:color w:val="000000"/>
                <w:kern w:val="0"/>
                <w:sz w:val="16"/>
                <w:szCs w:val="16"/>
                <w:lang w:eastAsia="es-CO"/>
                <w14:ligatures w14:val="none"/>
              </w:rPr>
              <w:t xml:space="preserve">&gt; 3 AÑOS </w:t>
            </w:r>
          </w:p>
        </w:tc>
      </w:tr>
      <w:tr w:rsidR="005E64D9" w:rsidRPr="003076E2" w14:paraId="75F9585A" w14:textId="77777777" w:rsidTr="00FA4431">
        <w:trPr>
          <w:trHeight w:val="273"/>
        </w:trPr>
        <w:tc>
          <w:tcPr>
            <w:tcW w:w="954" w:type="dxa"/>
            <w:vMerge w:val="restart"/>
            <w:vAlign w:val="center"/>
            <w:hideMark/>
          </w:tcPr>
          <w:p w14:paraId="45BD0264" w14:textId="77777777" w:rsidR="005E64D9" w:rsidRPr="003076E2" w:rsidRDefault="005E64D9" w:rsidP="000A5389">
            <w:pPr>
              <w:spacing w:line="240" w:lineRule="auto"/>
              <w:rPr>
                <w:rFonts w:eastAsia="Times New Roman" w:cs="Times New Roman"/>
                <w:color w:val="000000"/>
                <w:kern w:val="0"/>
                <w:sz w:val="16"/>
                <w:szCs w:val="16"/>
                <w:lang w:eastAsia="es-CO"/>
                <w14:ligatures w14:val="none"/>
              </w:rPr>
            </w:pPr>
            <w:r w:rsidRPr="003076E2">
              <w:rPr>
                <w:rFonts w:eastAsia="Times New Roman" w:cs="Times New Roman"/>
                <w:color w:val="000000"/>
                <w:kern w:val="0"/>
                <w:sz w:val="16"/>
                <w:szCs w:val="16"/>
                <w:lang w:eastAsia="es-CO"/>
                <w14:ligatures w14:val="none"/>
              </w:rPr>
              <w:t xml:space="preserve">Pago por cuenta de terceros </w:t>
            </w:r>
          </w:p>
        </w:tc>
        <w:tc>
          <w:tcPr>
            <w:tcW w:w="3714" w:type="dxa"/>
            <w:gridSpan w:val="2"/>
            <w:vAlign w:val="center"/>
            <w:hideMark/>
          </w:tcPr>
          <w:p w14:paraId="7F118885" w14:textId="77777777" w:rsidR="005E64D9" w:rsidRPr="003076E2" w:rsidRDefault="005E64D9" w:rsidP="000A5389">
            <w:pPr>
              <w:spacing w:line="240" w:lineRule="auto"/>
              <w:rPr>
                <w:rFonts w:eastAsia="Times New Roman" w:cs="Times New Roman"/>
                <w:b/>
                <w:bCs/>
                <w:color w:val="000000"/>
                <w:kern w:val="0"/>
                <w:sz w:val="16"/>
                <w:szCs w:val="16"/>
                <w:lang w:eastAsia="es-CO"/>
                <w14:ligatures w14:val="none"/>
              </w:rPr>
            </w:pPr>
            <w:r w:rsidRPr="003076E2">
              <w:rPr>
                <w:rFonts w:eastAsia="Times New Roman" w:cs="Times New Roman"/>
                <w:b/>
                <w:bCs/>
                <w:color w:val="000000"/>
                <w:kern w:val="0"/>
                <w:sz w:val="16"/>
                <w:szCs w:val="16"/>
                <w:lang w:eastAsia="es-CO"/>
                <w14:ligatures w14:val="none"/>
              </w:rPr>
              <w:t>Entidad Promotora De Salud Sanitas S A S</w:t>
            </w:r>
          </w:p>
        </w:tc>
        <w:tc>
          <w:tcPr>
            <w:tcW w:w="1127" w:type="dxa"/>
            <w:noWrap/>
            <w:vAlign w:val="center"/>
            <w:hideMark/>
          </w:tcPr>
          <w:p w14:paraId="5EAF607C" w14:textId="77777777" w:rsidR="005E64D9" w:rsidRPr="003076E2" w:rsidRDefault="005E64D9" w:rsidP="000A5389">
            <w:pPr>
              <w:spacing w:line="240" w:lineRule="auto"/>
              <w:jc w:val="right"/>
              <w:rPr>
                <w:rFonts w:eastAsia="Times New Roman" w:cs="Times New Roman"/>
                <w:b/>
                <w:bCs/>
                <w:color w:val="000000"/>
                <w:kern w:val="0"/>
                <w:sz w:val="16"/>
                <w:szCs w:val="16"/>
                <w:lang w:eastAsia="es-CO"/>
                <w14:ligatures w14:val="none"/>
              </w:rPr>
            </w:pPr>
            <w:r w:rsidRPr="003076E2">
              <w:rPr>
                <w:rFonts w:eastAsia="Times New Roman" w:cs="Times New Roman"/>
                <w:b/>
                <w:bCs/>
                <w:color w:val="000000"/>
                <w:kern w:val="0"/>
                <w:sz w:val="16"/>
                <w:szCs w:val="16"/>
                <w:lang w:eastAsia="es-CO"/>
                <w14:ligatures w14:val="none"/>
              </w:rPr>
              <w:t>39.443.235</w:t>
            </w:r>
          </w:p>
        </w:tc>
        <w:tc>
          <w:tcPr>
            <w:tcW w:w="952" w:type="dxa"/>
            <w:noWrap/>
            <w:vAlign w:val="center"/>
            <w:hideMark/>
          </w:tcPr>
          <w:p w14:paraId="09154CCB" w14:textId="77777777" w:rsidR="005E64D9" w:rsidRPr="003076E2" w:rsidRDefault="005E64D9" w:rsidP="000A5389">
            <w:pPr>
              <w:spacing w:line="240" w:lineRule="auto"/>
              <w:jc w:val="right"/>
              <w:rPr>
                <w:rFonts w:eastAsia="Times New Roman" w:cs="Times New Roman"/>
                <w:b/>
                <w:bCs/>
                <w:color w:val="000000"/>
                <w:kern w:val="0"/>
                <w:sz w:val="16"/>
                <w:szCs w:val="16"/>
                <w:lang w:eastAsia="es-CO"/>
                <w14:ligatures w14:val="none"/>
              </w:rPr>
            </w:pPr>
            <w:r w:rsidRPr="003076E2">
              <w:rPr>
                <w:rFonts w:eastAsia="Times New Roman" w:cs="Times New Roman"/>
                <w:b/>
                <w:bCs/>
                <w:color w:val="000000"/>
                <w:kern w:val="0"/>
                <w:sz w:val="16"/>
                <w:szCs w:val="16"/>
                <w:lang w:eastAsia="es-CO"/>
                <w14:ligatures w14:val="none"/>
              </w:rPr>
              <w:t>1.767.239</w:t>
            </w:r>
          </w:p>
        </w:tc>
        <w:tc>
          <w:tcPr>
            <w:tcW w:w="918" w:type="dxa"/>
            <w:noWrap/>
            <w:vAlign w:val="center"/>
            <w:hideMark/>
          </w:tcPr>
          <w:p w14:paraId="112FAFC3" w14:textId="77777777" w:rsidR="005E64D9" w:rsidRPr="003076E2" w:rsidRDefault="005E64D9" w:rsidP="000A5389">
            <w:pPr>
              <w:spacing w:line="240" w:lineRule="auto"/>
              <w:jc w:val="center"/>
              <w:rPr>
                <w:rFonts w:eastAsia="Times New Roman" w:cs="Times New Roman"/>
                <w:b/>
                <w:bCs/>
                <w:color w:val="000000"/>
                <w:kern w:val="0"/>
                <w:sz w:val="16"/>
                <w:szCs w:val="16"/>
                <w:lang w:eastAsia="es-CO"/>
                <w14:ligatures w14:val="none"/>
              </w:rPr>
            </w:pPr>
            <w:r w:rsidRPr="003076E2">
              <w:rPr>
                <w:rFonts w:eastAsia="Times New Roman" w:cs="Times New Roman"/>
                <w:b/>
                <w:bCs/>
                <w:color w:val="000000"/>
                <w:kern w:val="0"/>
                <w:sz w:val="16"/>
                <w:szCs w:val="16"/>
                <w:lang w:eastAsia="es-CO"/>
                <w14:ligatures w14:val="none"/>
              </w:rPr>
              <w:t>1</w:t>
            </w:r>
          </w:p>
        </w:tc>
        <w:tc>
          <w:tcPr>
            <w:tcW w:w="1006" w:type="dxa"/>
            <w:noWrap/>
            <w:vAlign w:val="center"/>
            <w:hideMark/>
          </w:tcPr>
          <w:p w14:paraId="6D767F2A" w14:textId="77777777" w:rsidR="005E64D9" w:rsidRPr="003076E2" w:rsidRDefault="005E64D9" w:rsidP="000A5389">
            <w:pPr>
              <w:spacing w:line="240" w:lineRule="auto"/>
              <w:jc w:val="right"/>
              <w:rPr>
                <w:rFonts w:eastAsia="Times New Roman" w:cs="Times New Roman"/>
                <w:b/>
                <w:bCs/>
                <w:color w:val="000000"/>
                <w:kern w:val="0"/>
                <w:sz w:val="16"/>
                <w:szCs w:val="16"/>
                <w:lang w:eastAsia="es-CO"/>
                <w14:ligatures w14:val="none"/>
              </w:rPr>
            </w:pPr>
            <w:r w:rsidRPr="003076E2">
              <w:rPr>
                <w:rFonts w:eastAsia="Times New Roman" w:cs="Times New Roman"/>
                <w:b/>
                <w:bCs/>
                <w:color w:val="000000"/>
                <w:kern w:val="0"/>
                <w:sz w:val="16"/>
                <w:szCs w:val="16"/>
                <w:lang w:eastAsia="es-CO"/>
                <w14:ligatures w14:val="none"/>
              </w:rPr>
              <w:t>28.405.900</w:t>
            </w:r>
          </w:p>
        </w:tc>
      </w:tr>
      <w:tr w:rsidR="005E64D9" w:rsidRPr="003076E2" w14:paraId="76910169" w14:textId="77777777" w:rsidTr="00FA4431">
        <w:trPr>
          <w:trHeight w:val="312"/>
        </w:trPr>
        <w:tc>
          <w:tcPr>
            <w:tcW w:w="954" w:type="dxa"/>
            <w:vMerge/>
            <w:vAlign w:val="center"/>
            <w:hideMark/>
          </w:tcPr>
          <w:p w14:paraId="79BF7CB0" w14:textId="77777777" w:rsidR="005E64D9" w:rsidRPr="003076E2" w:rsidRDefault="005E64D9" w:rsidP="000A5389">
            <w:pPr>
              <w:spacing w:line="240" w:lineRule="auto"/>
              <w:rPr>
                <w:rFonts w:eastAsia="Times New Roman" w:cs="Times New Roman"/>
                <w:color w:val="000000"/>
                <w:kern w:val="0"/>
                <w:sz w:val="16"/>
                <w:szCs w:val="16"/>
                <w:lang w:eastAsia="es-CO"/>
                <w14:ligatures w14:val="none"/>
              </w:rPr>
            </w:pPr>
          </w:p>
        </w:tc>
        <w:tc>
          <w:tcPr>
            <w:tcW w:w="1730" w:type="dxa"/>
            <w:noWrap/>
            <w:vAlign w:val="center"/>
            <w:hideMark/>
          </w:tcPr>
          <w:p w14:paraId="421F5FDA" w14:textId="77777777" w:rsidR="005E64D9" w:rsidRPr="003076E2" w:rsidRDefault="005E64D9" w:rsidP="000A5389">
            <w:pPr>
              <w:spacing w:line="240" w:lineRule="auto"/>
              <w:jc w:val="center"/>
              <w:rPr>
                <w:rFonts w:eastAsia="Times New Roman" w:cs="Times New Roman"/>
                <w:color w:val="000000"/>
                <w:kern w:val="0"/>
                <w:sz w:val="16"/>
                <w:szCs w:val="16"/>
                <w:lang w:eastAsia="es-CO"/>
                <w14:ligatures w14:val="none"/>
              </w:rPr>
            </w:pPr>
            <w:r w:rsidRPr="003076E2">
              <w:rPr>
                <w:rFonts w:eastAsia="Times New Roman" w:cs="Times New Roman"/>
                <w:color w:val="000000" w:themeColor="text1"/>
                <w:kern w:val="0"/>
                <w:sz w:val="16"/>
                <w:szCs w:val="16"/>
                <w:lang w:eastAsia="es-CO"/>
                <w14:ligatures w14:val="none"/>
              </w:rPr>
              <w:t>25/08/2015</w:t>
            </w:r>
          </w:p>
        </w:tc>
        <w:tc>
          <w:tcPr>
            <w:tcW w:w="1984" w:type="dxa"/>
            <w:noWrap/>
            <w:vAlign w:val="center"/>
            <w:hideMark/>
          </w:tcPr>
          <w:p w14:paraId="48AD0809" w14:textId="77777777" w:rsidR="005E64D9" w:rsidRPr="003076E2" w:rsidRDefault="005E64D9" w:rsidP="000A5389">
            <w:pPr>
              <w:spacing w:line="240" w:lineRule="auto"/>
              <w:rPr>
                <w:rFonts w:eastAsia="Times New Roman" w:cs="Times New Roman"/>
                <w:color w:val="000000"/>
                <w:kern w:val="0"/>
                <w:sz w:val="16"/>
                <w:szCs w:val="16"/>
                <w:lang w:eastAsia="es-CO"/>
                <w14:ligatures w14:val="none"/>
              </w:rPr>
            </w:pPr>
            <w:r w:rsidRPr="003076E2">
              <w:rPr>
                <w:rFonts w:eastAsia="Times New Roman" w:cs="Times New Roman"/>
                <w:color w:val="000000"/>
                <w:kern w:val="0"/>
                <w:sz w:val="16"/>
                <w:szCs w:val="16"/>
                <w:lang w:eastAsia="es-CO"/>
                <w14:ligatures w14:val="none"/>
              </w:rPr>
              <w:t>Erika Patricia Dulcey</w:t>
            </w:r>
          </w:p>
        </w:tc>
        <w:tc>
          <w:tcPr>
            <w:tcW w:w="1127" w:type="dxa"/>
            <w:noWrap/>
            <w:vAlign w:val="center"/>
            <w:hideMark/>
          </w:tcPr>
          <w:p w14:paraId="311A12F1" w14:textId="77777777" w:rsidR="005E64D9" w:rsidRPr="003076E2" w:rsidRDefault="005E64D9" w:rsidP="000A5389">
            <w:pPr>
              <w:spacing w:line="240" w:lineRule="auto"/>
              <w:jc w:val="right"/>
              <w:rPr>
                <w:rFonts w:eastAsia="Times New Roman" w:cs="Times New Roman"/>
                <w:color w:val="000000"/>
                <w:kern w:val="0"/>
                <w:sz w:val="16"/>
                <w:szCs w:val="16"/>
                <w:lang w:eastAsia="es-CO"/>
                <w14:ligatures w14:val="none"/>
              </w:rPr>
            </w:pPr>
            <w:r w:rsidRPr="003076E2">
              <w:rPr>
                <w:rFonts w:eastAsia="Times New Roman" w:cs="Times New Roman"/>
                <w:color w:val="000000" w:themeColor="text1"/>
                <w:kern w:val="0"/>
                <w:sz w:val="16"/>
                <w:szCs w:val="16"/>
                <w:lang w:eastAsia="es-CO"/>
                <w14:ligatures w14:val="none"/>
              </w:rPr>
              <w:t xml:space="preserve">      28.405.900 </w:t>
            </w:r>
          </w:p>
        </w:tc>
        <w:tc>
          <w:tcPr>
            <w:tcW w:w="952" w:type="dxa"/>
            <w:noWrap/>
            <w:vAlign w:val="center"/>
            <w:hideMark/>
          </w:tcPr>
          <w:p w14:paraId="505580F1" w14:textId="77777777" w:rsidR="005E64D9" w:rsidRPr="003076E2" w:rsidRDefault="005E64D9" w:rsidP="000A5389">
            <w:pPr>
              <w:spacing w:line="240" w:lineRule="auto"/>
              <w:jc w:val="right"/>
              <w:rPr>
                <w:rFonts w:eastAsia="Times New Roman" w:cs="Times New Roman"/>
                <w:color w:val="000000"/>
                <w:kern w:val="0"/>
                <w:sz w:val="16"/>
                <w:szCs w:val="16"/>
                <w:lang w:eastAsia="es-CO"/>
                <w14:ligatures w14:val="none"/>
              </w:rPr>
            </w:pPr>
            <w:r w:rsidRPr="003076E2">
              <w:rPr>
                <w:rFonts w:eastAsia="Times New Roman" w:cs="Times New Roman"/>
                <w:color w:val="000000"/>
                <w:kern w:val="0"/>
                <w:sz w:val="16"/>
                <w:szCs w:val="16"/>
                <w:lang w:eastAsia="es-CO"/>
                <w14:ligatures w14:val="none"/>
              </w:rPr>
              <w:t> </w:t>
            </w:r>
          </w:p>
        </w:tc>
        <w:tc>
          <w:tcPr>
            <w:tcW w:w="918" w:type="dxa"/>
            <w:noWrap/>
            <w:vAlign w:val="center"/>
            <w:hideMark/>
          </w:tcPr>
          <w:p w14:paraId="7B406BC6" w14:textId="78FBE6E5" w:rsidR="005E64D9" w:rsidRPr="003076E2" w:rsidRDefault="005E64D9" w:rsidP="000A5389">
            <w:pPr>
              <w:spacing w:line="240" w:lineRule="auto"/>
              <w:jc w:val="center"/>
              <w:rPr>
                <w:rFonts w:eastAsia="Times New Roman" w:cs="Times New Roman"/>
                <w:color w:val="000000"/>
                <w:kern w:val="0"/>
                <w:sz w:val="16"/>
                <w:szCs w:val="16"/>
                <w:lang w:eastAsia="es-CO"/>
                <w14:ligatures w14:val="none"/>
              </w:rPr>
            </w:pPr>
          </w:p>
        </w:tc>
        <w:tc>
          <w:tcPr>
            <w:tcW w:w="1006" w:type="dxa"/>
            <w:noWrap/>
            <w:vAlign w:val="center"/>
            <w:hideMark/>
          </w:tcPr>
          <w:p w14:paraId="71737D0B" w14:textId="77777777" w:rsidR="005E64D9" w:rsidRPr="003076E2" w:rsidRDefault="005E64D9" w:rsidP="000A5389">
            <w:pPr>
              <w:spacing w:line="240" w:lineRule="auto"/>
              <w:jc w:val="right"/>
              <w:rPr>
                <w:rFonts w:eastAsia="Times New Roman" w:cs="Times New Roman"/>
                <w:color w:val="000000"/>
                <w:kern w:val="0"/>
                <w:sz w:val="16"/>
                <w:szCs w:val="16"/>
                <w:lang w:eastAsia="es-CO"/>
                <w14:ligatures w14:val="none"/>
              </w:rPr>
            </w:pPr>
            <w:r w:rsidRPr="003076E2">
              <w:rPr>
                <w:rFonts w:eastAsia="Times New Roman" w:cs="Times New Roman"/>
                <w:color w:val="000000"/>
                <w:kern w:val="0"/>
                <w:sz w:val="16"/>
                <w:szCs w:val="16"/>
                <w:lang w:eastAsia="es-CO"/>
                <w14:ligatures w14:val="none"/>
              </w:rPr>
              <w:t>28.405.900</w:t>
            </w:r>
          </w:p>
        </w:tc>
      </w:tr>
      <w:tr w:rsidR="005E64D9" w:rsidRPr="003076E2" w14:paraId="207EEE0E" w14:textId="77777777" w:rsidTr="00FA4431">
        <w:trPr>
          <w:trHeight w:val="312"/>
        </w:trPr>
        <w:tc>
          <w:tcPr>
            <w:tcW w:w="954" w:type="dxa"/>
            <w:vMerge/>
            <w:vAlign w:val="center"/>
            <w:hideMark/>
          </w:tcPr>
          <w:p w14:paraId="33F00112" w14:textId="77777777" w:rsidR="005E64D9" w:rsidRPr="003076E2" w:rsidRDefault="005E64D9" w:rsidP="000A5389">
            <w:pPr>
              <w:spacing w:line="240" w:lineRule="auto"/>
              <w:rPr>
                <w:rFonts w:eastAsia="Times New Roman" w:cs="Times New Roman"/>
                <w:color w:val="000000"/>
                <w:kern w:val="0"/>
                <w:sz w:val="16"/>
                <w:szCs w:val="16"/>
                <w:lang w:eastAsia="es-CO"/>
                <w14:ligatures w14:val="none"/>
              </w:rPr>
            </w:pPr>
          </w:p>
        </w:tc>
        <w:tc>
          <w:tcPr>
            <w:tcW w:w="1730" w:type="dxa"/>
            <w:noWrap/>
            <w:vAlign w:val="center"/>
            <w:hideMark/>
          </w:tcPr>
          <w:p w14:paraId="1965E6FC" w14:textId="77777777" w:rsidR="005E64D9" w:rsidRPr="003076E2" w:rsidRDefault="005E64D9" w:rsidP="000A5389">
            <w:pPr>
              <w:spacing w:line="240" w:lineRule="auto"/>
              <w:jc w:val="center"/>
              <w:rPr>
                <w:rFonts w:eastAsia="Times New Roman" w:cs="Times New Roman"/>
                <w:color w:val="000000"/>
                <w:kern w:val="0"/>
                <w:sz w:val="16"/>
                <w:szCs w:val="16"/>
                <w:lang w:eastAsia="es-CO"/>
                <w14:ligatures w14:val="none"/>
              </w:rPr>
            </w:pPr>
            <w:r w:rsidRPr="003076E2">
              <w:rPr>
                <w:rFonts w:eastAsia="Times New Roman" w:cs="Times New Roman"/>
                <w:color w:val="000000" w:themeColor="text1"/>
                <w:kern w:val="0"/>
                <w:sz w:val="16"/>
                <w:szCs w:val="16"/>
                <w:lang w:eastAsia="es-CO"/>
                <w14:ligatures w14:val="none"/>
              </w:rPr>
              <w:t>17/10/2024</w:t>
            </w:r>
          </w:p>
        </w:tc>
        <w:tc>
          <w:tcPr>
            <w:tcW w:w="1984" w:type="dxa"/>
            <w:noWrap/>
            <w:vAlign w:val="center"/>
            <w:hideMark/>
          </w:tcPr>
          <w:p w14:paraId="755B040C" w14:textId="3FD8BDF3" w:rsidR="005E64D9" w:rsidRPr="003076E2" w:rsidRDefault="005E64D9" w:rsidP="000A5389">
            <w:pPr>
              <w:spacing w:line="240" w:lineRule="auto"/>
              <w:rPr>
                <w:rFonts w:eastAsia="Times New Roman" w:cs="Times New Roman"/>
                <w:color w:val="000000"/>
                <w:kern w:val="0"/>
                <w:sz w:val="16"/>
                <w:szCs w:val="16"/>
                <w:lang w:eastAsia="es-CO"/>
                <w14:ligatures w14:val="none"/>
              </w:rPr>
            </w:pPr>
            <w:r w:rsidRPr="003076E2">
              <w:rPr>
                <w:rFonts w:eastAsia="Times New Roman" w:cs="Times New Roman"/>
                <w:color w:val="000000"/>
                <w:kern w:val="0"/>
                <w:sz w:val="16"/>
                <w:szCs w:val="16"/>
                <w:lang w:eastAsia="es-CO"/>
                <w14:ligatures w14:val="none"/>
              </w:rPr>
              <w:t xml:space="preserve">Flabio </w:t>
            </w:r>
            <w:r w:rsidR="00DB2570" w:rsidRPr="003076E2">
              <w:rPr>
                <w:rFonts w:eastAsia="Times New Roman" w:cs="Times New Roman"/>
                <w:color w:val="000000"/>
                <w:kern w:val="0"/>
                <w:sz w:val="16"/>
                <w:szCs w:val="16"/>
                <w:lang w:eastAsia="es-CO"/>
                <w14:ligatures w14:val="none"/>
              </w:rPr>
              <w:t>Andrés</w:t>
            </w:r>
            <w:r w:rsidRPr="003076E2">
              <w:rPr>
                <w:rFonts w:eastAsia="Times New Roman" w:cs="Times New Roman"/>
                <w:color w:val="000000"/>
                <w:kern w:val="0"/>
                <w:sz w:val="16"/>
                <w:szCs w:val="16"/>
                <w:lang w:eastAsia="es-CO"/>
                <w14:ligatures w14:val="none"/>
              </w:rPr>
              <w:t xml:space="preserve"> Aguirre Otalora </w:t>
            </w:r>
          </w:p>
        </w:tc>
        <w:tc>
          <w:tcPr>
            <w:tcW w:w="1127" w:type="dxa"/>
            <w:noWrap/>
            <w:vAlign w:val="center"/>
            <w:hideMark/>
          </w:tcPr>
          <w:p w14:paraId="3FB72A88" w14:textId="77777777" w:rsidR="005E64D9" w:rsidRPr="003076E2" w:rsidRDefault="005E64D9" w:rsidP="000A5389">
            <w:pPr>
              <w:spacing w:line="240" w:lineRule="auto"/>
              <w:jc w:val="right"/>
              <w:rPr>
                <w:rFonts w:eastAsia="Times New Roman" w:cs="Times New Roman"/>
                <w:color w:val="000000"/>
                <w:kern w:val="0"/>
                <w:sz w:val="16"/>
                <w:szCs w:val="16"/>
                <w:lang w:eastAsia="es-CO"/>
                <w14:ligatures w14:val="none"/>
              </w:rPr>
            </w:pPr>
            <w:r w:rsidRPr="003076E2">
              <w:rPr>
                <w:rFonts w:eastAsia="Times New Roman" w:cs="Times New Roman"/>
                <w:color w:val="000000" w:themeColor="text1"/>
                <w:kern w:val="0"/>
                <w:sz w:val="16"/>
                <w:szCs w:val="16"/>
                <w:lang w:eastAsia="es-CO"/>
                <w14:ligatures w14:val="none"/>
              </w:rPr>
              <w:t xml:space="preserve">                          1 </w:t>
            </w:r>
          </w:p>
        </w:tc>
        <w:tc>
          <w:tcPr>
            <w:tcW w:w="952" w:type="dxa"/>
            <w:noWrap/>
            <w:vAlign w:val="center"/>
            <w:hideMark/>
          </w:tcPr>
          <w:p w14:paraId="70E78C14" w14:textId="77777777" w:rsidR="005E64D9" w:rsidRPr="003076E2" w:rsidRDefault="005E64D9" w:rsidP="000A5389">
            <w:pPr>
              <w:spacing w:line="240" w:lineRule="auto"/>
              <w:jc w:val="right"/>
              <w:rPr>
                <w:rFonts w:eastAsia="Times New Roman" w:cs="Times New Roman"/>
                <w:color w:val="000000"/>
                <w:kern w:val="0"/>
                <w:sz w:val="16"/>
                <w:szCs w:val="16"/>
                <w:lang w:eastAsia="es-CO"/>
                <w14:ligatures w14:val="none"/>
              </w:rPr>
            </w:pPr>
            <w:r w:rsidRPr="003076E2">
              <w:rPr>
                <w:rFonts w:eastAsia="Times New Roman" w:cs="Times New Roman"/>
                <w:color w:val="000000"/>
                <w:kern w:val="0"/>
                <w:sz w:val="16"/>
                <w:szCs w:val="16"/>
                <w:lang w:eastAsia="es-CO"/>
                <w14:ligatures w14:val="none"/>
              </w:rPr>
              <w:t> </w:t>
            </w:r>
          </w:p>
        </w:tc>
        <w:tc>
          <w:tcPr>
            <w:tcW w:w="918" w:type="dxa"/>
            <w:noWrap/>
            <w:vAlign w:val="center"/>
            <w:hideMark/>
          </w:tcPr>
          <w:p w14:paraId="7DF5D1F3" w14:textId="103E8A95" w:rsidR="005E64D9" w:rsidRPr="003076E2" w:rsidRDefault="005E64D9" w:rsidP="000A5389">
            <w:pPr>
              <w:spacing w:line="240" w:lineRule="auto"/>
              <w:jc w:val="center"/>
              <w:rPr>
                <w:rFonts w:eastAsia="Times New Roman" w:cs="Times New Roman"/>
                <w:color w:val="000000"/>
                <w:kern w:val="0"/>
                <w:sz w:val="16"/>
                <w:szCs w:val="16"/>
                <w:lang w:eastAsia="es-CO"/>
                <w14:ligatures w14:val="none"/>
              </w:rPr>
            </w:pPr>
            <w:r w:rsidRPr="003076E2">
              <w:rPr>
                <w:rFonts w:eastAsia="Times New Roman" w:cs="Times New Roman"/>
                <w:color w:val="000000"/>
                <w:kern w:val="0"/>
                <w:sz w:val="16"/>
                <w:szCs w:val="16"/>
                <w:lang w:eastAsia="es-CO"/>
                <w14:ligatures w14:val="none"/>
              </w:rPr>
              <w:t>1</w:t>
            </w:r>
          </w:p>
        </w:tc>
        <w:tc>
          <w:tcPr>
            <w:tcW w:w="1006" w:type="dxa"/>
            <w:noWrap/>
            <w:vAlign w:val="center"/>
            <w:hideMark/>
          </w:tcPr>
          <w:p w14:paraId="5A844CB0" w14:textId="77777777" w:rsidR="005E64D9" w:rsidRPr="003076E2" w:rsidRDefault="005E64D9" w:rsidP="000A5389">
            <w:pPr>
              <w:spacing w:line="240" w:lineRule="auto"/>
              <w:jc w:val="right"/>
              <w:rPr>
                <w:rFonts w:eastAsia="Times New Roman" w:cs="Times New Roman"/>
                <w:color w:val="000000"/>
                <w:kern w:val="0"/>
                <w:sz w:val="16"/>
                <w:szCs w:val="16"/>
                <w:lang w:eastAsia="es-CO"/>
                <w14:ligatures w14:val="none"/>
              </w:rPr>
            </w:pPr>
            <w:r w:rsidRPr="003076E2">
              <w:rPr>
                <w:rFonts w:eastAsia="Times New Roman" w:cs="Times New Roman"/>
                <w:color w:val="000000"/>
                <w:kern w:val="0"/>
                <w:sz w:val="16"/>
                <w:szCs w:val="16"/>
                <w:lang w:eastAsia="es-CO"/>
                <w14:ligatures w14:val="none"/>
              </w:rPr>
              <w:t> </w:t>
            </w:r>
          </w:p>
        </w:tc>
      </w:tr>
      <w:tr w:rsidR="005E64D9" w:rsidRPr="003076E2" w14:paraId="22F0F513" w14:textId="77777777" w:rsidTr="00FA4431">
        <w:trPr>
          <w:trHeight w:val="312"/>
        </w:trPr>
        <w:tc>
          <w:tcPr>
            <w:tcW w:w="954" w:type="dxa"/>
            <w:vMerge/>
            <w:vAlign w:val="center"/>
            <w:hideMark/>
          </w:tcPr>
          <w:p w14:paraId="407F5B10" w14:textId="77777777" w:rsidR="005E64D9" w:rsidRPr="003076E2" w:rsidRDefault="005E64D9" w:rsidP="000A5389">
            <w:pPr>
              <w:spacing w:line="240" w:lineRule="auto"/>
              <w:rPr>
                <w:rFonts w:eastAsia="Times New Roman" w:cs="Times New Roman"/>
                <w:color w:val="000000"/>
                <w:kern w:val="0"/>
                <w:sz w:val="16"/>
                <w:szCs w:val="16"/>
                <w:lang w:eastAsia="es-CO"/>
                <w14:ligatures w14:val="none"/>
              </w:rPr>
            </w:pPr>
          </w:p>
        </w:tc>
        <w:tc>
          <w:tcPr>
            <w:tcW w:w="1730" w:type="dxa"/>
            <w:noWrap/>
            <w:vAlign w:val="center"/>
            <w:hideMark/>
          </w:tcPr>
          <w:p w14:paraId="70D555B1" w14:textId="77777777" w:rsidR="005E64D9" w:rsidRPr="003076E2" w:rsidRDefault="005E64D9" w:rsidP="000A5389">
            <w:pPr>
              <w:spacing w:line="240" w:lineRule="auto"/>
              <w:jc w:val="center"/>
              <w:rPr>
                <w:rFonts w:eastAsia="Times New Roman" w:cs="Times New Roman"/>
                <w:color w:val="000000"/>
                <w:kern w:val="0"/>
                <w:sz w:val="16"/>
                <w:szCs w:val="16"/>
                <w:lang w:eastAsia="es-CO"/>
                <w14:ligatures w14:val="none"/>
              </w:rPr>
            </w:pPr>
            <w:r w:rsidRPr="003076E2">
              <w:rPr>
                <w:rFonts w:eastAsia="Times New Roman" w:cs="Times New Roman"/>
                <w:color w:val="000000" w:themeColor="text1"/>
                <w:kern w:val="0"/>
                <w:sz w:val="16"/>
                <w:szCs w:val="16"/>
                <w:lang w:eastAsia="es-CO"/>
                <w14:ligatures w14:val="none"/>
              </w:rPr>
              <w:t>15/04/2025</w:t>
            </w:r>
          </w:p>
        </w:tc>
        <w:tc>
          <w:tcPr>
            <w:tcW w:w="1984" w:type="dxa"/>
            <w:noWrap/>
            <w:vAlign w:val="center"/>
            <w:hideMark/>
          </w:tcPr>
          <w:p w14:paraId="4345622F" w14:textId="74E94070" w:rsidR="005E64D9" w:rsidRPr="003076E2" w:rsidRDefault="005E64D9" w:rsidP="000A5389">
            <w:pPr>
              <w:spacing w:line="240" w:lineRule="auto"/>
              <w:rPr>
                <w:rFonts w:eastAsia="Times New Roman" w:cs="Times New Roman"/>
                <w:color w:val="000000"/>
                <w:kern w:val="0"/>
                <w:sz w:val="16"/>
                <w:szCs w:val="16"/>
                <w:lang w:eastAsia="es-CO"/>
                <w14:ligatures w14:val="none"/>
              </w:rPr>
            </w:pPr>
            <w:r w:rsidRPr="003076E2">
              <w:rPr>
                <w:rFonts w:eastAsia="Times New Roman" w:cs="Times New Roman"/>
                <w:color w:val="000000"/>
                <w:kern w:val="0"/>
                <w:sz w:val="16"/>
                <w:szCs w:val="16"/>
                <w:lang w:eastAsia="es-CO"/>
                <w14:ligatures w14:val="none"/>
              </w:rPr>
              <w:t xml:space="preserve">Flabio </w:t>
            </w:r>
            <w:r w:rsidR="00DB2570" w:rsidRPr="003076E2">
              <w:rPr>
                <w:rFonts w:eastAsia="Times New Roman" w:cs="Times New Roman"/>
                <w:color w:val="000000"/>
                <w:kern w:val="0"/>
                <w:sz w:val="16"/>
                <w:szCs w:val="16"/>
                <w:lang w:eastAsia="es-CO"/>
                <w14:ligatures w14:val="none"/>
              </w:rPr>
              <w:t>Andrés</w:t>
            </w:r>
            <w:r w:rsidRPr="003076E2">
              <w:rPr>
                <w:rFonts w:eastAsia="Times New Roman" w:cs="Times New Roman"/>
                <w:color w:val="000000"/>
                <w:kern w:val="0"/>
                <w:sz w:val="16"/>
                <w:szCs w:val="16"/>
                <w:lang w:eastAsia="es-CO"/>
                <w14:ligatures w14:val="none"/>
              </w:rPr>
              <w:t xml:space="preserve"> Aguirre Otalora</w:t>
            </w:r>
          </w:p>
        </w:tc>
        <w:tc>
          <w:tcPr>
            <w:tcW w:w="1127" w:type="dxa"/>
            <w:noWrap/>
            <w:vAlign w:val="center"/>
            <w:hideMark/>
          </w:tcPr>
          <w:p w14:paraId="57D47AB7" w14:textId="34DD3BA3" w:rsidR="005E64D9" w:rsidRPr="003076E2" w:rsidRDefault="005E64D9" w:rsidP="000A5389">
            <w:pPr>
              <w:spacing w:line="240" w:lineRule="auto"/>
              <w:jc w:val="right"/>
              <w:rPr>
                <w:rFonts w:eastAsia="Times New Roman" w:cs="Times New Roman"/>
                <w:color w:val="000000"/>
                <w:kern w:val="0"/>
                <w:sz w:val="16"/>
                <w:szCs w:val="16"/>
                <w:lang w:eastAsia="es-CO"/>
                <w14:ligatures w14:val="none"/>
              </w:rPr>
            </w:pPr>
            <w:r w:rsidRPr="003076E2">
              <w:rPr>
                <w:rFonts w:eastAsia="Times New Roman" w:cs="Times New Roman"/>
                <w:color w:val="000000" w:themeColor="text1"/>
                <w:kern w:val="0"/>
                <w:sz w:val="16"/>
                <w:szCs w:val="16"/>
                <w:lang w:eastAsia="es-CO"/>
                <w14:ligatures w14:val="none"/>
              </w:rPr>
              <w:t>1.606.579</w:t>
            </w:r>
          </w:p>
        </w:tc>
        <w:tc>
          <w:tcPr>
            <w:tcW w:w="952" w:type="dxa"/>
            <w:noWrap/>
            <w:vAlign w:val="center"/>
            <w:hideMark/>
          </w:tcPr>
          <w:p w14:paraId="0D74AFED" w14:textId="7255B28E" w:rsidR="005E64D9" w:rsidRPr="003076E2" w:rsidRDefault="005E64D9" w:rsidP="000A5389">
            <w:pPr>
              <w:spacing w:line="240" w:lineRule="auto"/>
              <w:jc w:val="right"/>
              <w:rPr>
                <w:rFonts w:eastAsia="Times New Roman" w:cs="Times New Roman"/>
                <w:color w:val="000000"/>
                <w:kern w:val="0"/>
                <w:sz w:val="16"/>
                <w:szCs w:val="16"/>
                <w:lang w:eastAsia="es-CO"/>
                <w14:ligatures w14:val="none"/>
              </w:rPr>
            </w:pPr>
            <w:r w:rsidRPr="003076E2">
              <w:rPr>
                <w:rFonts w:eastAsia="Times New Roman" w:cs="Times New Roman"/>
                <w:color w:val="000000"/>
                <w:kern w:val="0"/>
                <w:sz w:val="16"/>
                <w:szCs w:val="16"/>
                <w:lang w:eastAsia="es-CO"/>
                <w14:ligatures w14:val="none"/>
              </w:rPr>
              <w:t>1.606.579</w:t>
            </w:r>
          </w:p>
        </w:tc>
        <w:tc>
          <w:tcPr>
            <w:tcW w:w="918" w:type="dxa"/>
            <w:noWrap/>
            <w:vAlign w:val="center"/>
            <w:hideMark/>
          </w:tcPr>
          <w:p w14:paraId="508DCAB9" w14:textId="77777777" w:rsidR="005E64D9" w:rsidRPr="003076E2" w:rsidRDefault="005E64D9" w:rsidP="000A5389">
            <w:pPr>
              <w:spacing w:line="240" w:lineRule="auto"/>
              <w:jc w:val="right"/>
              <w:rPr>
                <w:rFonts w:eastAsia="Times New Roman" w:cs="Times New Roman"/>
                <w:color w:val="000000"/>
                <w:kern w:val="0"/>
                <w:sz w:val="16"/>
                <w:szCs w:val="16"/>
                <w:lang w:eastAsia="es-CO"/>
                <w14:ligatures w14:val="none"/>
              </w:rPr>
            </w:pPr>
            <w:r w:rsidRPr="003076E2">
              <w:rPr>
                <w:rFonts w:eastAsia="Times New Roman" w:cs="Times New Roman"/>
                <w:color w:val="000000"/>
                <w:kern w:val="0"/>
                <w:sz w:val="16"/>
                <w:szCs w:val="16"/>
                <w:lang w:eastAsia="es-CO"/>
                <w14:ligatures w14:val="none"/>
              </w:rPr>
              <w:t> </w:t>
            </w:r>
          </w:p>
        </w:tc>
        <w:tc>
          <w:tcPr>
            <w:tcW w:w="1006" w:type="dxa"/>
            <w:noWrap/>
            <w:vAlign w:val="center"/>
            <w:hideMark/>
          </w:tcPr>
          <w:p w14:paraId="6AA6FAD0" w14:textId="77777777" w:rsidR="005E64D9" w:rsidRPr="003076E2" w:rsidRDefault="005E64D9" w:rsidP="000A5389">
            <w:pPr>
              <w:spacing w:line="240" w:lineRule="auto"/>
              <w:jc w:val="right"/>
              <w:rPr>
                <w:rFonts w:eastAsia="Times New Roman" w:cs="Times New Roman"/>
                <w:color w:val="000000"/>
                <w:kern w:val="0"/>
                <w:sz w:val="16"/>
                <w:szCs w:val="16"/>
                <w:lang w:eastAsia="es-CO"/>
                <w14:ligatures w14:val="none"/>
              </w:rPr>
            </w:pPr>
            <w:r w:rsidRPr="003076E2">
              <w:rPr>
                <w:rFonts w:eastAsia="Times New Roman" w:cs="Times New Roman"/>
                <w:color w:val="000000"/>
                <w:kern w:val="0"/>
                <w:sz w:val="16"/>
                <w:szCs w:val="16"/>
                <w:lang w:eastAsia="es-CO"/>
                <w14:ligatures w14:val="none"/>
              </w:rPr>
              <w:t> </w:t>
            </w:r>
          </w:p>
        </w:tc>
      </w:tr>
      <w:tr w:rsidR="005E64D9" w:rsidRPr="003076E2" w14:paraId="28C39C25" w14:textId="77777777" w:rsidTr="00FA4431">
        <w:trPr>
          <w:trHeight w:val="312"/>
        </w:trPr>
        <w:tc>
          <w:tcPr>
            <w:tcW w:w="954" w:type="dxa"/>
            <w:vMerge/>
            <w:vAlign w:val="center"/>
            <w:hideMark/>
          </w:tcPr>
          <w:p w14:paraId="10F6A8E1" w14:textId="77777777" w:rsidR="005E64D9" w:rsidRPr="003076E2" w:rsidRDefault="005E64D9" w:rsidP="000A5389">
            <w:pPr>
              <w:spacing w:line="240" w:lineRule="auto"/>
              <w:rPr>
                <w:rFonts w:eastAsia="Times New Roman" w:cs="Times New Roman"/>
                <w:color w:val="000000"/>
                <w:kern w:val="0"/>
                <w:sz w:val="16"/>
                <w:szCs w:val="16"/>
                <w:lang w:eastAsia="es-CO"/>
                <w14:ligatures w14:val="none"/>
              </w:rPr>
            </w:pPr>
          </w:p>
        </w:tc>
        <w:tc>
          <w:tcPr>
            <w:tcW w:w="1730" w:type="dxa"/>
            <w:noWrap/>
            <w:vAlign w:val="center"/>
            <w:hideMark/>
          </w:tcPr>
          <w:p w14:paraId="61B98472" w14:textId="77777777" w:rsidR="005E64D9" w:rsidRPr="003076E2" w:rsidRDefault="005E64D9" w:rsidP="000A5389">
            <w:pPr>
              <w:spacing w:line="240" w:lineRule="auto"/>
              <w:jc w:val="center"/>
              <w:rPr>
                <w:rFonts w:eastAsia="Times New Roman" w:cs="Times New Roman"/>
                <w:color w:val="000000"/>
                <w:kern w:val="0"/>
                <w:sz w:val="16"/>
                <w:szCs w:val="16"/>
                <w:lang w:eastAsia="es-CO"/>
                <w14:ligatures w14:val="none"/>
              </w:rPr>
            </w:pPr>
            <w:r w:rsidRPr="003076E2">
              <w:rPr>
                <w:rFonts w:eastAsia="Times New Roman" w:cs="Times New Roman"/>
                <w:color w:val="000000" w:themeColor="text1"/>
                <w:kern w:val="0"/>
                <w:sz w:val="16"/>
                <w:szCs w:val="16"/>
                <w:lang w:eastAsia="es-CO"/>
                <w14:ligatures w14:val="none"/>
              </w:rPr>
              <w:t>19/06/2025</w:t>
            </w:r>
          </w:p>
        </w:tc>
        <w:tc>
          <w:tcPr>
            <w:tcW w:w="1984" w:type="dxa"/>
            <w:noWrap/>
            <w:vAlign w:val="center"/>
            <w:hideMark/>
          </w:tcPr>
          <w:p w14:paraId="251AF8E9" w14:textId="20C05CD1" w:rsidR="005E64D9" w:rsidRPr="003076E2" w:rsidRDefault="005E64D9" w:rsidP="000A5389">
            <w:pPr>
              <w:spacing w:line="240" w:lineRule="auto"/>
              <w:rPr>
                <w:rFonts w:eastAsia="Times New Roman" w:cs="Times New Roman"/>
                <w:color w:val="000000"/>
                <w:kern w:val="0"/>
                <w:sz w:val="16"/>
                <w:szCs w:val="16"/>
                <w:lang w:eastAsia="es-CO"/>
                <w14:ligatures w14:val="none"/>
              </w:rPr>
            </w:pPr>
            <w:r w:rsidRPr="003076E2">
              <w:rPr>
                <w:rFonts w:eastAsia="Times New Roman" w:cs="Times New Roman"/>
                <w:color w:val="000000"/>
                <w:kern w:val="0"/>
                <w:sz w:val="16"/>
                <w:szCs w:val="16"/>
                <w:lang w:eastAsia="es-CO"/>
                <w14:ligatures w14:val="none"/>
              </w:rPr>
              <w:t xml:space="preserve">Flabio </w:t>
            </w:r>
            <w:r w:rsidR="00DB2570" w:rsidRPr="003076E2">
              <w:rPr>
                <w:rFonts w:eastAsia="Times New Roman" w:cs="Times New Roman"/>
                <w:color w:val="000000"/>
                <w:kern w:val="0"/>
                <w:sz w:val="16"/>
                <w:szCs w:val="16"/>
                <w:lang w:eastAsia="es-CO"/>
                <w14:ligatures w14:val="none"/>
              </w:rPr>
              <w:t>Andrés</w:t>
            </w:r>
            <w:r w:rsidRPr="003076E2">
              <w:rPr>
                <w:rFonts w:eastAsia="Times New Roman" w:cs="Times New Roman"/>
                <w:color w:val="000000"/>
                <w:kern w:val="0"/>
                <w:sz w:val="16"/>
                <w:szCs w:val="16"/>
                <w:lang w:eastAsia="es-CO"/>
                <w14:ligatures w14:val="none"/>
              </w:rPr>
              <w:t xml:space="preserve"> Aguirre Otalora</w:t>
            </w:r>
          </w:p>
        </w:tc>
        <w:tc>
          <w:tcPr>
            <w:tcW w:w="1127" w:type="dxa"/>
            <w:noWrap/>
            <w:vAlign w:val="center"/>
            <w:hideMark/>
          </w:tcPr>
          <w:p w14:paraId="16CBC0EA" w14:textId="4412ACAD" w:rsidR="005E64D9" w:rsidRPr="003076E2" w:rsidRDefault="005E64D9" w:rsidP="000A5389">
            <w:pPr>
              <w:spacing w:line="240" w:lineRule="auto"/>
              <w:jc w:val="right"/>
              <w:rPr>
                <w:rFonts w:eastAsia="Times New Roman" w:cs="Times New Roman"/>
                <w:color w:val="000000"/>
                <w:kern w:val="0"/>
                <w:sz w:val="16"/>
                <w:szCs w:val="16"/>
                <w:lang w:eastAsia="es-CO"/>
                <w14:ligatures w14:val="none"/>
              </w:rPr>
            </w:pPr>
            <w:r w:rsidRPr="003076E2">
              <w:rPr>
                <w:rFonts w:eastAsia="Times New Roman" w:cs="Times New Roman"/>
                <w:color w:val="000000" w:themeColor="text1"/>
                <w:kern w:val="0"/>
                <w:sz w:val="16"/>
                <w:szCs w:val="16"/>
                <w:lang w:eastAsia="es-CO"/>
                <w14:ligatures w14:val="none"/>
              </w:rPr>
              <w:t>160.659</w:t>
            </w:r>
          </w:p>
        </w:tc>
        <w:tc>
          <w:tcPr>
            <w:tcW w:w="952" w:type="dxa"/>
            <w:noWrap/>
            <w:vAlign w:val="center"/>
            <w:hideMark/>
          </w:tcPr>
          <w:p w14:paraId="21B48250" w14:textId="2EAE1EE3" w:rsidR="005E64D9" w:rsidRPr="003076E2" w:rsidRDefault="005E64D9" w:rsidP="000A5389">
            <w:pPr>
              <w:spacing w:line="240" w:lineRule="auto"/>
              <w:jc w:val="right"/>
              <w:rPr>
                <w:rFonts w:eastAsia="Times New Roman" w:cs="Times New Roman"/>
                <w:color w:val="000000"/>
                <w:kern w:val="0"/>
                <w:sz w:val="16"/>
                <w:szCs w:val="16"/>
                <w:lang w:eastAsia="es-CO"/>
                <w14:ligatures w14:val="none"/>
              </w:rPr>
            </w:pPr>
            <w:r w:rsidRPr="003076E2">
              <w:rPr>
                <w:rFonts w:eastAsia="Times New Roman" w:cs="Times New Roman"/>
                <w:color w:val="000000"/>
                <w:kern w:val="0"/>
                <w:sz w:val="16"/>
                <w:szCs w:val="16"/>
                <w:lang w:eastAsia="es-CO"/>
                <w14:ligatures w14:val="none"/>
              </w:rPr>
              <w:t>160.659</w:t>
            </w:r>
          </w:p>
        </w:tc>
        <w:tc>
          <w:tcPr>
            <w:tcW w:w="918" w:type="dxa"/>
            <w:noWrap/>
            <w:vAlign w:val="center"/>
            <w:hideMark/>
          </w:tcPr>
          <w:p w14:paraId="24F7FE79" w14:textId="77777777" w:rsidR="005E64D9" w:rsidRPr="003076E2" w:rsidRDefault="005E64D9" w:rsidP="000A5389">
            <w:pPr>
              <w:spacing w:line="240" w:lineRule="auto"/>
              <w:jc w:val="right"/>
              <w:rPr>
                <w:rFonts w:eastAsia="Times New Roman" w:cs="Times New Roman"/>
                <w:color w:val="000000"/>
                <w:kern w:val="0"/>
                <w:sz w:val="16"/>
                <w:szCs w:val="16"/>
                <w:lang w:eastAsia="es-CO"/>
                <w14:ligatures w14:val="none"/>
              </w:rPr>
            </w:pPr>
            <w:r w:rsidRPr="003076E2">
              <w:rPr>
                <w:rFonts w:eastAsia="Times New Roman" w:cs="Times New Roman"/>
                <w:color w:val="000000"/>
                <w:kern w:val="0"/>
                <w:sz w:val="16"/>
                <w:szCs w:val="16"/>
                <w:lang w:eastAsia="es-CO"/>
                <w14:ligatures w14:val="none"/>
              </w:rPr>
              <w:t> </w:t>
            </w:r>
          </w:p>
        </w:tc>
        <w:tc>
          <w:tcPr>
            <w:tcW w:w="1006" w:type="dxa"/>
            <w:noWrap/>
            <w:vAlign w:val="center"/>
            <w:hideMark/>
          </w:tcPr>
          <w:p w14:paraId="58EA1F67" w14:textId="77777777" w:rsidR="005E64D9" w:rsidRPr="003076E2" w:rsidRDefault="005E64D9" w:rsidP="000A5389">
            <w:pPr>
              <w:spacing w:line="240" w:lineRule="auto"/>
              <w:jc w:val="right"/>
              <w:rPr>
                <w:rFonts w:eastAsia="Times New Roman" w:cs="Times New Roman"/>
                <w:color w:val="000000"/>
                <w:kern w:val="0"/>
                <w:sz w:val="16"/>
                <w:szCs w:val="16"/>
                <w:lang w:eastAsia="es-CO"/>
                <w14:ligatures w14:val="none"/>
              </w:rPr>
            </w:pPr>
            <w:r w:rsidRPr="003076E2">
              <w:rPr>
                <w:rFonts w:eastAsia="Times New Roman" w:cs="Times New Roman"/>
                <w:color w:val="000000"/>
                <w:kern w:val="0"/>
                <w:sz w:val="16"/>
                <w:szCs w:val="16"/>
                <w:lang w:eastAsia="es-CO"/>
                <w14:ligatures w14:val="none"/>
              </w:rPr>
              <w:t> </w:t>
            </w:r>
          </w:p>
        </w:tc>
      </w:tr>
      <w:tr w:rsidR="005E64D9" w:rsidRPr="003076E2" w14:paraId="4C451159" w14:textId="77777777" w:rsidTr="00FA4431">
        <w:trPr>
          <w:trHeight w:val="300"/>
        </w:trPr>
        <w:tc>
          <w:tcPr>
            <w:tcW w:w="954" w:type="dxa"/>
            <w:vMerge/>
            <w:vAlign w:val="center"/>
            <w:hideMark/>
          </w:tcPr>
          <w:p w14:paraId="7349F63A" w14:textId="77777777" w:rsidR="005E64D9" w:rsidRPr="003076E2" w:rsidRDefault="005E64D9" w:rsidP="000A5389">
            <w:pPr>
              <w:spacing w:line="240" w:lineRule="auto"/>
              <w:rPr>
                <w:rFonts w:eastAsia="Times New Roman" w:cs="Times New Roman"/>
                <w:color w:val="000000"/>
                <w:kern w:val="0"/>
                <w:sz w:val="16"/>
                <w:szCs w:val="16"/>
                <w:lang w:eastAsia="es-CO"/>
                <w14:ligatures w14:val="none"/>
              </w:rPr>
            </w:pPr>
          </w:p>
        </w:tc>
        <w:tc>
          <w:tcPr>
            <w:tcW w:w="1730" w:type="dxa"/>
            <w:noWrap/>
            <w:vAlign w:val="center"/>
            <w:hideMark/>
          </w:tcPr>
          <w:p w14:paraId="77781783" w14:textId="77777777" w:rsidR="005E64D9" w:rsidRPr="003076E2" w:rsidRDefault="005E64D9" w:rsidP="000A5389">
            <w:pPr>
              <w:spacing w:line="240" w:lineRule="auto"/>
              <w:jc w:val="center"/>
              <w:rPr>
                <w:rFonts w:eastAsia="Times New Roman" w:cs="Times New Roman"/>
                <w:color w:val="000000"/>
                <w:kern w:val="0"/>
                <w:sz w:val="16"/>
                <w:szCs w:val="16"/>
                <w:lang w:eastAsia="es-CO"/>
                <w14:ligatures w14:val="none"/>
              </w:rPr>
            </w:pPr>
            <w:r w:rsidRPr="003076E2">
              <w:rPr>
                <w:rFonts w:eastAsia="Times New Roman" w:cs="Times New Roman"/>
                <w:color w:val="000000" w:themeColor="text1"/>
                <w:kern w:val="0"/>
                <w:sz w:val="16"/>
                <w:szCs w:val="16"/>
                <w:lang w:eastAsia="es-CO"/>
                <w14:ligatures w14:val="none"/>
              </w:rPr>
              <w:t>19/08/2025</w:t>
            </w:r>
          </w:p>
        </w:tc>
        <w:tc>
          <w:tcPr>
            <w:tcW w:w="1984" w:type="dxa"/>
            <w:noWrap/>
            <w:vAlign w:val="center"/>
            <w:hideMark/>
          </w:tcPr>
          <w:p w14:paraId="552AF3F3" w14:textId="77777777" w:rsidR="005E64D9" w:rsidRPr="003076E2" w:rsidRDefault="005E64D9" w:rsidP="000A5389">
            <w:pPr>
              <w:spacing w:line="240" w:lineRule="auto"/>
              <w:rPr>
                <w:rFonts w:eastAsia="Times New Roman" w:cs="Times New Roman"/>
                <w:color w:val="000000"/>
                <w:kern w:val="0"/>
                <w:sz w:val="16"/>
                <w:szCs w:val="16"/>
                <w:lang w:eastAsia="es-CO"/>
                <w14:ligatures w14:val="none"/>
              </w:rPr>
            </w:pPr>
            <w:r w:rsidRPr="003076E2">
              <w:rPr>
                <w:rFonts w:eastAsia="Times New Roman" w:cs="Times New Roman"/>
                <w:color w:val="000000"/>
                <w:kern w:val="0"/>
                <w:sz w:val="16"/>
                <w:szCs w:val="16"/>
                <w:lang w:eastAsia="es-CO"/>
                <w14:ligatures w14:val="none"/>
              </w:rPr>
              <w:t>Astrid Yerleny Botia Niño</w:t>
            </w:r>
          </w:p>
        </w:tc>
        <w:tc>
          <w:tcPr>
            <w:tcW w:w="1127" w:type="dxa"/>
            <w:noWrap/>
            <w:vAlign w:val="center"/>
            <w:hideMark/>
          </w:tcPr>
          <w:p w14:paraId="6BDD98C0" w14:textId="3FD7A754" w:rsidR="005E64D9" w:rsidRPr="003076E2" w:rsidRDefault="005E64D9" w:rsidP="000A5389">
            <w:pPr>
              <w:spacing w:line="240" w:lineRule="auto"/>
              <w:jc w:val="right"/>
              <w:rPr>
                <w:rFonts w:eastAsia="Times New Roman" w:cs="Times New Roman"/>
                <w:color w:val="000000"/>
                <w:kern w:val="0"/>
                <w:sz w:val="16"/>
                <w:szCs w:val="16"/>
                <w:lang w:eastAsia="es-CO"/>
                <w14:ligatures w14:val="none"/>
              </w:rPr>
            </w:pPr>
            <w:r w:rsidRPr="003076E2">
              <w:rPr>
                <w:rFonts w:eastAsia="Times New Roman" w:cs="Times New Roman"/>
                <w:color w:val="000000" w:themeColor="text1"/>
                <w:kern w:val="0"/>
                <w:sz w:val="16"/>
                <w:szCs w:val="16"/>
                <w:lang w:eastAsia="es-CO"/>
                <w14:ligatures w14:val="none"/>
              </w:rPr>
              <w:t>1</w:t>
            </w:r>
          </w:p>
        </w:tc>
        <w:tc>
          <w:tcPr>
            <w:tcW w:w="952" w:type="dxa"/>
            <w:noWrap/>
            <w:vAlign w:val="center"/>
            <w:hideMark/>
          </w:tcPr>
          <w:p w14:paraId="2F39F809" w14:textId="3F4793FC" w:rsidR="005E64D9" w:rsidRPr="003076E2" w:rsidRDefault="005E64D9" w:rsidP="000A5389">
            <w:pPr>
              <w:spacing w:line="240" w:lineRule="auto"/>
              <w:jc w:val="right"/>
              <w:rPr>
                <w:rFonts w:eastAsia="Times New Roman" w:cs="Times New Roman"/>
                <w:color w:val="000000"/>
                <w:kern w:val="0"/>
                <w:sz w:val="16"/>
                <w:szCs w:val="16"/>
                <w:lang w:eastAsia="es-CO"/>
                <w14:ligatures w14:val="none"/>
              </w:rPr>
            </w:pPr>
            <w:r w:rsidRPr="003076E2">
              <w:rPr>
                <w:rFonts w:eastAsia="Times New Roman" w:cs="Times New Roman"/>
                <w:color w:val="000000"/>
                <w:kern w:val="0"/>
                <w:sz w:val="16"/>
                <w:szCs w:val="16"/>
                <w:lang w:eastAsia="es-CO"/>
                <w14:ligatures w14:val="none"/>
              </w:rPr>
              <w:t>1</w:t>
            </w:r>
          </w:p>
        </w:tc>
        <w:tc>
          <w:tcPr>
            <w:tcW w:w="918" w:type="dxa"/>
            <w:noWrap/>
            <w:vAlign w:val="center"/>
            <w:hideMark/>
          </w:tcPr>
          <w:p w14:paraId="5DED3587" w14:textId="77777777" w:rsidR="005E64D9" w:rsidRPr="003076E2" w:rsidRDefault="005E64D9" w:rsidP="000A5389">
            <w:pPr>
              <w:spacing w:line="240" w:lineRule="auto"/>
              <w:jc w:val="right"/>
              <w:rPr>
                <w:rFonts w:eastAsia="Times New Roman" w:cs="Times New Roman"/>
                <w:color w:val="000000"/>
                <w:kern w:val="0"/>
                <w:sz w:val="16"/>
                <w:szCs w:val="16"/>
                <w:lang w:eastAsia="es-CO"/>
                <w14:ligatures w14:val="none"/>
              </w:rPr>
            </w:pPr>
            <w:r w:rsidRPr="003076E2">
              <w:rPr>
                <w:rFonts w:eastAsia="Times New Roman" w:cs="Times New Roman"/>
                <w:color w:val="000000"/>
                <w:kern w:val="0"/>
                <w:sz w:val="16"/>
                <w:szCs w:val="16"/>
                <w:lang w:eastAsia="es-CO"/>
                <w14:ligatures w14:val="none"/>
              </w:rPr>
              <w:t> </w:t>
            </w:r>
          </w:p>
        </w:tc>
        <w:tc>
          <w:tcPr>
            <w:tcW w:w="1006" w:type="dxa"/>
            <w:noWrap/>
            <w:vAlign w:val="center"/>
            <w:hideMark/>
          </w:tcPr>
          <w:p w14:paraId="702B6816" w14:textId="77777777" w:rsidR="005E64D9" w:rsidRPr="003076E2" w:rsidRDefault="005E64D9" w:rsidP="000A5389">
            <w:pPr>
              <w:spacing w:line="240" w:lineRule="auto"/>
              <w:jc w:val="right"/>
              <w:rPr>
                <w:rFonts w:eastAsia="Times New Roman" w:cs="Times New Roman"/>
                <w:color w:val="000000"/>
                <w:kern w:val="0"/>
                <w:sz w:val="16"/>
                <w:szCs w:val="16"/>
                <w:lang w:eastAsia="es-CO"/>
                <w14:ligatures w14:val="none"/>
              </w:rPr>
            </w:pPr>
            <w:r w:rsidRPr="003076E2">
              <w:rPr>
                <w:rFonts w:eastAsia="Times New Roman" w:cs="Times New Roman"/>
                <w:color w:val="000000"/>
                <w:kern w:val="0"/>
                <w:sz w:val="16"/>
                <w:szCs w:val="16"/>
                <w:lang w:eastAsia="es-CO"/>
                <w14:ligatures w14:val="none"/>
              </w:rPr>
              <w:t> </w:t>
            </w:r>
          </w:p>
        </w:tc>
      </w:tr>
      <w:tr w:rsidR="005E64D9" w:rsidRPr="003076E2" w14:paraId="6F2E3879" w14:textId="77777777" w:rsidTr="00FA4431">
        <w:trPr>
          <w:trHeight w:val="312"/>
        </w:trPr>
        <w:tc>
          <w:tcPr>
            <w:tcW w:w="954" w:type="dxa"/>
            <w:vMerge/>
            <w:vAlign w:val="center"/>
            <w:hideMark/>
          </w:tcPr>
          <w:p w14:paraId="10B758D4" w14:textId="77777777" w:rsidR="005E64D9" w:rsidRPr="003076E2" w:rsidRDefault="005E64D9" w:rsidP="000A5389">
            <w:pPr>
              <w:spacing w:line="240" w:lineRule="auto"/>
              <w:rPr>
                <w:rFonts w:eastAsia="Times New Roman" w:cs="Times New Roman"/>
                <w:color w:val="000000"/>
                <w:kern w:val="0"/>
                <w:sz w:val="16"/>
                <w:szCs w:val="16"/>
                <w:lang w:eastAsia="es-CO"/>
                <w14:ligatures w14:val="none"/>
              </w:rPr>
            </w:pPr>
          </w:p>
        </w:tc>
        <w:tc>
          <w:tcPr>
            <w:tcW w:w="1730" w:type="dxa"/>
            <w:noWrap/>
            <w:vAlign w:val="center"/>
            <w:hideMark/>
          </w:tcPr>
          <w:p w14:paraId="64D77A28" w14:textId="77777777" w:rsidR="005E64D9" w:rsidRPr="003076E2" w:rsidRDefault="005E64D9" w:rsidP="000A5389">
            <w:pPr>
              <w:spacing w:line="240" w:lineRule="auto"/>
              <w:jc w:val="center"/>
              <w:rPr>
                <w:rFonts w:eastAsia="Times New Roman" w:cs="Times New Roman"/>
                <w:color w:val="000000"/>
                <w:kern w:val="0"/>
                <w:sz w:val="16"/>
                <w:szCs w:val="16"/>
                <w:lang w:eastAsia="es-CO"/>
                <w14:ligatures w14:val="none"/>
              </w:rPr>
            </w:pPr>
            <w:r w:rsidRPr="003076E2">
              <w:rPr>
                <w:rFonts w:eastAsia="Times New Roman" w:cs="Times New Roman"/>
                <w:color w:val="000000" w:themeColor="text1"/>
                <w:kern w:val="0"/>
                <w:sz w:val="16"/>
                <w:szCs w:val="16"/>
                <w:lang w:eastAsia="es-CO"/>
                <w14:ligatures w14:val="none"/>
              </w:rPr>
              <w:t>22/10/2025</w:t>
            </w:r>
          </w:p>
        </w:tc>
        <w:tc>
          <w:tcPr>
            <w:tcW w:w="1984" w:type="dxa"/>
            <w:noWrap/>
            <w:vAlign w:val="center"/>
            <w:hideMark/>
          </w:tcPr>
          <w:p w14:paraId="397632C3" w14:textId="77777777" w:rsidR="005E64D9" w:rsidRPr="003076E2" w:rsidRDefault="005E64D9" w:rsidP="000A5389">
            <w:pPr>
              <w:spacing w:line="240" w:lineRule="auto"/>
              <w:rPr>
                <w:rFonts w:eastAsia="Times New Roman" w:cs="Times New Roman"/>
                <w:color w:val="000000"/>
                <w:kern w:val="0"/>
                <w:sz w:val="16"/>
                <w:szCs w:val="16"/>
                <w:lang w:eastAsia="es-CO"/>
                <w14:ligatures w14:val="none"/>
              </w:rPr>
            </w:pPr>
            <w:r w:rsidRPr="003076E2">
              <w:rPr>
                <w:rFonts w:eastAsia="Times New Roman" w:cs="Times New Roman"/>
                <w:color w:val="000000"/>
                <w:kern w:val="0"/>
                <w:sz w:val="16"/>
                <w:szCs w:val="16"/>
                <w:lang w:eastAsia="es-CO"/>
                <w14:ligatures w14:val="none"/>
              </w:rPr>
              <w:t>Astrid Yerleny Botia Niño</w:t>
            </w:r>
          </w:p>
        </w:tc>
        <w:tc>
          <w:tcPr>
            <w:tcW w:w="1127" w:type="dxa"/>
            <w:noWrap/>
            <w:vAlign w:val="center"/>
            <w:hideMark/>
          </w:tcPr>
          <w:p w14:paraId="068641B4" w14:textId="1B5F28B6" w:rsidR="005E64D9" w:rsidRPr="003076E2" w:rsidRDefault="005E64D9" w:rsidP="000A5389">
            <w:pPr>
              <w:spacing w:line="240" w:lineRule="auto"/>
              <w:jc w:val="right"/>
              <w:rPr>
                <w:rFonts w:eastAsia="Times New Roman" w:cs="Times New Roman"/>
                <w:color w:val="000000"/>
                <w:kern w:val="0"/>
                <w:sz w:val="16"/>
                <w:szCs w:val="16"/>
                <w:lang w:eastAsia="es-CO"/>
                <w14:ligatures w14:val="none"/>
              </w:rPr>
            </w:pPr>
            <w:r w:rsidRPr="003076E2">
              <w:rPr>
                <w:rFonts w:eastAsia="Times New Roman" w:cs="Times New Roman"/>
                <w:color w:val="000000" w:themeColor="text1"/>
                <w:kern w:val="0"/>
                <w:sz w:val="16"/>
                <w:szCs w:val="16"/>
                <w:lang w:eastAsia="es-CO"/>
                <w14:ligatures w14:val="none"/>
              </w:rPr>
              <w:t>1.714.200</w:t>
            </w:r>
          </w:p>
        </w:tc>
        <w:tc>
          <w:tcPr>
            <w:tcW w:w="952" w:type="dxa"/>
            <w:noWrap/>
            <w:vAlign w:val="center"/>
            <w:hideMark/>
          </w:tcPr>
          <w:p w14:paraId="67934837" w14:textId="2CA999F2" w:rsidR="005E64D9" w:rsidRPr="003076E2" w:rsidRDefault="005E64D9" w:rsidP="000A5389">
            <w:pPr>
              <w:spacing w:line="240" w:lineRule="auto"/>
              <w:jc w:val="right"/>
              <w:rPr>
                <w:rFonts w:eastAsia="Times New Roman" w:cs="Times New Roman"/>
                <w:color w:val="000000"/>
                <w:kern w:val="0"/>
                <w:sz w:val="16"/>
                <w:szCs w:val="16"/>
                <w:lang w:eastAsia="es-CO"/>
                <w14:ligatures w14:val="none"/>
              </w:rPr>
            </w:pPr>
          </w:p>
        </w:tc>
        <w:tc>
          <w:tcPr>
            <w:tcW w:w="918" w:type="dxa"/>
            <w:noWrap/>
            <w:vAlign w:val="center"/>
            <w:hideMark/>
          </w:tcPr>
          <w:p w14:paraId="18465E2B" w14:textId="77777777" w:rsidR="005E64D9" w:rsidRPr="003076E2" w:rsidRDefault="005E64D9" w:rsidP="000A5389">
            <w:pPr>
              <w:spacing w:line="240" w:lineRule="auto"/>
              <w:jc w:val="right"/>
              <w:rPr>
                <w:rFonts w:eastAsia="Times New Roman" w:cs="Times New Roman"/>
                <w:color w:val="000000"/>
                <w:kern w:val="0"/>
                <w:sz w:val="16"/>
                <w:szCs w:val="16"/>
                <w:lang w:eastAsia="es-CO"/>
                <w14:ligatures w14:val="none"/>
              </w:rPr>
            </w:pPr>
            <w:r w:rsidRPr="003076E2">
              <w:rPr>
                <w:rFonts w:eastAsia="Times New Roman" w:cs="Times New Roman"/>
                <w:color w:val="000000"/>
                <w:kern w:val="0"/>
                <w:sz w:val="16"/>
                <w:szCs w:val="16"/>
                <w:lang w:eastAsia="es-CO"/>
                <w14:ligatures w14:val="none"/>
              </w:rPr>
              <w:t> </w:t>
            </w:r>
          </w:p>
        </w:tc>
        <w:tc>
          <w:tcPr>
            <w:tcW w:w="1006" w:type="dxa"/>
            <w:noWrap/>
            <w:vAlign w:val="center"/>
            <w:hideMark/>
          </w:tcPr>
          <w:p w14:paraId="5E975895" w14:textId="77777777" w:rsidR="005E64D9" w:rsidRPr="003076E2" w:rsidRDefault="005E64D9" w:rsidP="000A5389">
            <w:pPr>
              <w:spacing w:line="240" w:lineRule="auto"/>
              <w:jc w:val="right"/>
              <w:rPr>
                <w:rFonts w:eastAsia="Times New Roman" w:cs="Times New Roman"/>
                <w:color w:val="000000"/>
                <w:kern w:val="0"/>
                <w:sz w:val="16"/>
                <w:szCs w:val="16"/>
                <w:lang w:eastAsia="es-CO"/>
                <w14:ligatures w14:val="none"/>
              </w:rPr>
            </w:pPr>
            <w:r w:rsidRPr="003076E2">
              <w:rPr>
                <w:rFonts w:eastAsia="Times New Roman" w:cs="Times New Roman"/>
                <w:color w:val="000000"/>
                <w:kern w:val="0"/>
                <w:sz w:val="16"/>
                <w:szCs w:val="16"/>
                <w:lang w:eastAsia="es-CO"/>
                <w14:ligatures w14:val="none"/>
              </w:rPr>
              <w:t> </w:t>
            </w:r>
          </w:p>
        </w:tc>
      </w:tr>
      <w:tr w:rsidR="005E64D9" w:rsidRPr="003076E2" w14:paraId="02085D9E" w14:textId="77777777" w:rsidTr="00FA4431">
        <w:trPr>
          <w:trHeight w:val="312"/>
        </w:trPr>
        <w:tc>
          <w:tcPr>
            <w:tcW w:w="954" w:type="dxa"/>
            <w:vMerge/>
            <w:vAlign w:val="center"/>
            <w:hideMark/>
          </w:tcPr>
          <w:p w14:paraId="5B396CD2" w14:textId="77777777" w:rsidR="005E64D9" w:rsidRPr="003076E2" w:rsidRDefault="005E64D9" w:rsidP="000A5389">
            <w:pPr>
              <w:spacing w:line="240" w:lineRule="auto"/>
              <w:rPr>
                <w:rFonts w:eastAsia="Times New Roman" w:cs="Times New Roman"/>
                <w:color w:val="000000"/>
                <w:kern w:val="0"/>
                <w:sz w:val="16"/>
                <w:szCs w:val="16"/>
                <w:lang w:eastAsia="es-CO"/>
                <w14:ligatures w14:val="none"/>
              </w:rPr>
            </w:pPr>
          </w:p>
        </w:tc>
        <w:tc>
          <w:tcPr>
            <w:tcW w:w="1730" w:type="dxa"/>
            <w:noWrap/>
            <w:vAlign w:val="center"/>
            <w:hideMark/>
          </w:tcPr>
          <w:p w14:paraId="45109FA9" w14:textId="77777777" w:rsidR="005E64D9" w:rsidRPr="003076E2" w:rsidRDefault="005E64D9" w:rsidP="000A5389">
            <w:pPr>
              <w:spacing w:line="240" w:lineRule="auto"/>
              <w:jc w:val="center"/>
              <w:rPr>
                <w:rFonts w:eastAsia="Times New Roman" w:cs="Times New Roman"/>
                <w:color w:val="000000"/>
                <w:kern w:val="0"/>
                <w:sz w:val="16"/>
                <w:szCs w:val="16"/>
                <w:lang w:eastAsia="es-CO"/>
                <w14:ligatures w14:val="none"/>
              </w:rPr>
            </w:pPr>
            <w:r w:rsidRPr="003076E2">
              <w:rPr>
                <w:rFonts w:eastAsia="Times New Roman" w:cs="Times New Roman"/>
                <w:color w:val="000000" w:themeColor="text1"/>
                <w:kern w:val="0"/>
                <w:sz w:val="16"/>
                <w:szCs w:val="16"/>
                <w:lang w:eastAsia="es-CO"/>
                <w14:ligatures w14:val="none"/>
              </w:rPr>
              <w:t>16/12/2025</w:t>
            </w:r>
          </w:p>
        </w:tc>
        <w:tc>
          <w:tcPr>
            <w:tcW w:w="1984" w:type="dxa"/>
            <w:noWrap/>
            <w:vAlign w:val="center"/>
            <w:hideMark/>
          </w:tcPr>
          <w:p w14:paraId="29C9FB66" w14:textId="65F6BE1C" w:rsidR="005E64D9" w:rsidRPr="003076E2" w:rsidRDefault="005E64D9" w:rsidP="000A5389">
            <w:pPr>
              <w:spacing w:line="240" w:lineRule="auto"/>
              <w:rPr>
                <w:rFonts w:eastAsia="Times New Roman" w:cs="Times New Roman"/>
                <w:color w:val="000000"/>
                <w:kern w:val="0"/>
                <w:sz w:val="16"/>
                <w:szCs w:val="16"/>
                <w:lang w:eastAsia="es-CO"/>
                <w14:ligatures w14:val="none"/>
              </w:rPr>
            </w:pPr>
            <w:r w:rsidRPr="003076E2">
              <w:rPr>
                <w:rFonts w:eastAsia="Times New Roman" w:cs="Times New Roman"/>
                <w:color w:val="000000"/>
                <w:kern w:val="0"/>
                <w:sz w:val="16"/>
                <w:szCs w:val="16"/>
                <w:lang w:eastAsia="es-CO"/>
                <w14:ligatures w14:val="none"/>
              </w:rPr>
              <w:t xml:space="preserve">Lady Katherin Sandoval </w:t>
            </w:r>
            <w:r w:rsidR="00DB2570" w:rsidRPr="003076E2">
              <w:rPr>
                <w:rFonts w:eastAsia="Times New Roman" w:cs="Times New Roman"/>
                <w:color w:val="000000"/>
                <w:kern w:val="0"/>
                <w:sz w:val="16"/>
                <w:szCs w:val="16"/>
                <w:lang w:eastAsia="es-CO"/>
                <w14:ligatures w14:val="none"/>
              </w:rPr>
              <w:t>Chacón</w:t>
            </w:r>
          </w:p>
        </w:tc>
        <w:tc>
          <w:tcPr>
            <w:tcW w:w="1127" w:type="dxa"/>
            <w:noWrap/>
            <w:vAlign w:val="center"/>
            <w:hideMark/>
          </w:tcPr>
          <w:p w14:paraId="44BE4C33" w14:textId="42F59F2B" w:rsidR="005E64D9" w:rsidRPr="003076E2" w:rsidRDefault="005E64D9" w:rsidP="000A5389">
            <w:pPr>
              <w:spacing w:line="240" w:lineRule="auto"/>
              <w:jc w:val="right"/>
              <w:rPr>
                <w:rFonts w:eastAsia="Times New Roman" w:cs="Times New Roman"/>
                <w:color w:val="000000"/>
                <w:kern w:val="0"/>
                <w:sz w:val="16"/>
                <w:szCs w:val="16"/>
                <w:lang w:eastAsia="es-CO"/>
                <w14:ligatures w14:val="none"/>
              </w:rPr>
            </w:pPr>
            <w:r w:rsidRPr="003076E2">
              <w:rPr>
                <w:rFonts w:eastAsia="Times New Roman" w:cs="Times New Roman"/>
                <w:color w:val="000000" w:themeColor="text1"/>
                <w:kern w:val="0"/>
                <w:sz w:val="16"/>
                <w:szCs w:val="16"/>
                <w:lang w:eastAsia="es-CO"/>
                <w14:ligatures w14:val="none"/>
              </w:rPr>
              <w:t>7.555.895</w:t>
            </w:r>
          </w:p>
        </w:tc>
        <w:tc>
          <w:tcPr>
            <w:tcW w:w="952" w:type="dxa"/>
            <w:noWrap/>
            <w:vAlign w:val="center"/>
            <w:hideMark/>
          </w:tcPr>
          <w:p w14:paraId="537E19B1" w14:textId="63E80A43" w:rsidR="005E64D9" w:rsidRPr="003076E2" w:rsidRDefault="005E64D9" w:rsidP="000A5389">
            <w:pPr>
              <w:spacing w:line="240" w:lineRule="auto"/>
              <w:jc w:val="right"/>
              <w:rPr>
                <w:rFonts w:eastAsia="Times New Roman" w:cs="Times New Roman"/>
                <w:color w:val="000000"/>
                <w:kern w:val="0"/>
                <w:sz w:val="16"/>
                <w:szCs w:val="16"/>
                <w:lang w:eastAsia="es-CO"/>
                <w14:ligatures w14:val="none"/>
              </w:rPr>
            </w:pPr>
          </w:p>
        </w:tc>
        <w:tc>
          <w:tcPr>
            <w:tcW w:w="918" w:type="dxa"/>
            <w:noWrap/>
            <w:vAlign w:val="center"/>
            <w:hideMark/>
          </w:tcPr>
          <w:p w14:paraId="27AC7AFC" w14:textId="77777777" w:rsidR="005E64D9" w:rsidRPr="003076E2" w:rsidRDefault="005E64D9" w:rsidP="000A5389">
            <w:pPr>
              <w:spacing w:line="240" w:lineRule="auto"/>
              <w:jc w:val="right"/>
              <w:rPr>
                <w:rFonts w:eastAsia="Times New Roman" w:cs="Times New Roman"/>
                <w:color w:val="000000"/>
                <w:kern w:val="0"/>
                <w:sz w:val="16"/>
                <w:szCs w:val="16"/>
                <w:lang w:eastAsia="es-CO"/>
                <w14:ligatures w14:val="none"/>
              </w:rPr>
            </w:pPr>
            <w:r w:rsidRPr="003076E2">
              <w:rPr>
                <w:rFonts w:eastAsia="Times New Roman" w:cs="Times New Roman"/>
                <w:color w:val="000000"/>
                <w:kern w:val="0"/>
                <w:sz w:val="16"/>
                <w:szCs w:val="16"/>
                <w:lang w:eastAsia="es-CO"/>
                <w14:ligatures w14:val="none"/>
              </w:rPr>
              <w:t> </w:t>
            </w:r>
          </w:p>
        </w:tc>
        <w:tc>
          <w:tcPr>
            <w:tcW w:w="1006" w:type="dxa"/>
            <w:noWrap/>
            <w:vAlign w:val="center"/>
            <w:hideMark/>
          </w:tcPr>
          <w:p w14:paraId="1EF6EDAA" w14:textId="77777777" w:rsidR="005E64D9" w:rsidRPr="003076E2" w:rsidRDefault="005E64D9" w:rsidP="000A5389">
            <w:pPr>
              <w:spacing w:line="240" w:lineRule="auto"/>
              <w:jc w:val="right"/>
              <w:rPr>
                <w:rFonts w:eastAsia="Times New Roman" w:cs="Times New Roman"/>
                <w:color w:val="000000"/>
                <w:kern w:val="0"/>
                <w:sz w:val="16"/>
                <w:szCs w:val="16"/>
                <w:lang w:eastAsia="es-CO"/>
                <w14:ligatures w14:val="none"/>
              </w:rPr>
            </w:pPr>
            <w:r w:rsidRPr="003076E2">
              <w:rPr>
                <w:rFonts w:eastAsia="Times New Roman" w:cs="Times New Roman"/>
                <w:color w:val="000000"/>
                <w:kern w:val="0"/>
                <w:sz w:val="16"/>
                <w:szCs w:val="16"/>
                <w:lang w:eastAsia="es-CO"/>
                <w14:ligatures w14:val="none"/>
              </w:rPr>
              <w:t> </w:t>
            </w:r>
          </w:p>
        </w:tc>
      </w:tr>
      <w:tr w:rsidR="005E64D9" w:rsidRPr="003076E2" w14:paraId="78B8770C" w14:textId="77777777" w:rsidTr="00FA4431">
        <w:trPr>
          <w:trHeight w:val="312"/>
        </w:trPr>
        <w:tc>
          <w:tcPr>
            <w:tcW w:w="954" w:type="dxa"/>
            <w:vMerge w:val="restart"/>
            <w:vAlign w:val="center"/>
            <w:hideMark/>
          </w:tcPr>
          <w:p w14:paraId="15FC151F" w14:textId="77777777" w:rsidR="005E64D9" w:rsidRPr="003076E2" w:rsidRDefault="005E64D9" w:rsidP="000A5389">
            <w:pPr>
              <w:spacing w:line="240" w:lineRule="auto"/>
              <w:jc w:val="center"/>
              <w:rPr>
                <w:rFonts w:eastAsia="Times New Roman" w:cs="Times New Roman"/>
                <w:color w:val="000000"/>
                <w:kern w:val="0"/>
                <w:sz w:val="16"/>
                <w:szCs w:val="16"/>
                <w:lang w:eastAsia="es-CO"/>
                <w14:ligatures w14:val="none"/>
              </w:rPr>
            </w:pPr>
            <w:r w:rsidRPr="003076E2">
              <w:rPr>
                <w:rFonts w:eastAsia="Times New Roman" w:cs="Times New Roman"/>
                <w:color w:val="000000"/>
                <w:kern w:val="0"/>
                <w:sz w:val="16"/>
                <w:szCs w:val="16"/>
                <w:lang w:eastAsia="es-CO"/>
                <w14:ligatures w14:val="none"/>
              </w:rPr>
              <w:t xml:space="preserve">Pago por cuenta de terceros </w:t>
            </w:r>
          </w:p>
        </w:tc>
        <w:tc>
          <w:tcPr>
            <w:tcW w:w="3714" w:type="dxa"/>
            <w:gridSpan w:val="2"/>
            <w:vAlign w:val="center"/>
            <w:hideMark/>
          </w:tcPr>
          <w:p w14:paraId="02C30BE0" w14:textId="487285D4" w:rsidR="005E64D9" w:rsidRPr="003076E2" w:rsidRDefault="005E64D9" w:rsidP="000A5389">
            <w:pPr>
              <w:spacing w:line="240" w:lineRule="auto"/>
              <w:rPr>
                <w:rFonts w:eastAsia="Times New Roman" w:cs="Times New Roman"/>
                <w:b/>
                <w:bCs/>
                <w:color w:val="000000"/>
                <w:kern w:val="0"/>
                <w:sz w:val="16"/>
                <w:szCs w:val="16"/>
                <w:lang w:eastAsia="es-CO"/>
                <w14:ligatures w14:val="none"/>
              </w:rPr>
            </w:pPr>
            <w:r w:rsidRPr="003076E2">
              <w:rPr>
                <w:rFonts w:eastAsia="Times New Roman" w:cs="Times New Roman"/>
                <w:b/>
                <w:bCs/>
                <w:color w:val="000000"/>
                <w:kern w:val="0"/>
                <w:sz w:val="16"/>
                <w:szCs w:val="16"/>
                <w:lang w:eastAsia="es-CO"/>
                <w14:ligatures w14:val="none"/>
              </w:rPr>
              <w:t xml:space="preserve">Nueva Empresa Promotora de Salud </w:t>
            </w:r>
            <w:r w:rsidR="00DB2570" w:rsidRPr="003076E2">
              <w:rPr>
                <w:rFonts w:eastAsia="Times New Roman" w:cs="Times New Roman"/>
                <w:b/>
                <w:bCs/>
                <w:color w:val="000000"/>
                <w:kern w:val="0"/>
                <w:sz w:val="16"/>
                <w:szCs w:val="16"/>
                <w:lang w:eastAsia="es-CO"/>
                <w14:ligatures w14:val="none"/>
              </w:rPr>
              <w:t>S. A</w:t>
            </w:r>
          </w:p>
        </w:tc>
        <w:tc>
          <w:tcPr>
            <w:tcW w:w="1127" w:type="dxa"/>
            <w:noWrap/>
            <w:vAlign w:val="center"/>
            <w:hideMark/>
          </w:tcPr>
          <w:p w14:paraId="0FAB510B" w14:textId="77777777" w:rsidR="005E64D9" w:rsidRPr="003076E2" w:rsidRDefault="005E64D9" w:rsidP="000A5389">
            <w:pPr>
              <w:spacing w:line="240" w:lineRule="auto"/>
              <w:jc w:val="right"/>
              <w:rPr>
                <w:rFonts w:eastAsia="Times New Roman" w:cs="Times New Roman"/>
                <w:b/>
                <w:bCs/>
                <w:color w:val="000000"/>
                <w:kern w:val="0"/>
                <w:sz w:val="16"/>
                <w:szCs w:val="16"/>
                <w:lang w:eastAsia="es-CO"/>
                <w14:ligatures w14:val="none"/>
              </w:rPr>
            </w:pPr>
            <w:r w:rsidRPr="003076E2">
              <w:rPr>
                <w:rFonts w:eastAsia="Times New Roman" w:cs="Times New Roman"/>
                <w:b/>
                <w:bCs/>
                <w:color w:val="000000"/>
                <w:kern w:val="0"/>
                <w:sz w:val="16"/>
                <w:szCs w:val="16"/>
                <w:lang w:eastAsia="es-CO"/>
                <w14:ligatures w14:val="none"/>
              </w:rPr>
              <w:t xml:space="preserve">  13.538.771 </w:t>
            </w:r>
          </w:p>
        </w:tc>
        <w:tc>
          <w:tcPr>
            <w:tcW w:w="952" w:type="dxa"/>
            <w:noWrap/>
            <w:vAlign w:val="center"/>
            <w:hideMark/>
          </w:tcPr>
          <w:p w14:paraId="3A50BD1C" w14:textId="15B0A75C" w:rsidR="005E64D9" w:rsidRPr="003076E2" w:rsidRDefault="005E64D9" w:rsidP="000A5389">
            <w:pPr>
              <w:spacing w:line="240" w:lineRule="auto"/>
              <w:jc w:val="right"/>
              <w:rPr>
                <w:rFonts w:eastAsia="Times New Roman" w:cs="Times New Roman"/>
                <w:b/>
                <w:bCs/>
                <w:color w:val="000000"/>
                <w:kern w:val="0"/>
                <w:sz w:val="16"/>
                <w:szCs w:val="16"/>
                <w:lang w:eastAsia="es-CO"/>
                <w14:ligatures w14:val="none"/>
              </w:rPr>
            </w:pPr>
            <w:r w:rsidRPr="003076E2">
              <w:rPr>
                <w:rFonts w:eastAsia="Times New Roman" w:cs="Times New Roman"/>
                <w:b/>
                <w:bCs/>
                <w:color w:val="000000"/>
                <w:kern w:val="0"/>
                <w:sz w:val="16"/>
                <w:szCs w:val="16"/>
                <w:lang w:eastAsia="es-CO"/>
                <w14:ligatures w14:val="none"/>
              </w:rPr>
              <w:t>-</w:t>
            </w:r>
          </w:p>
        </w:tc>
        <w:tc>
          <w:tcPr>
            <w:tcW w:w="918" w:type="dxa"/>
            <w:noWrap/>
            <w:vAlign w:val="center"/>
            <w:hideMark/>
          </w:tcPr>
          <w:p w14:paraId="4673A8CC" w14:textId="52A0FD4C" w:rsidR="005E64D9" w:rsidRPr="003076E2" w:rsidRDefault="005E64D9" w:rsidP="000A5389">
            <w:pPr>
              <w:spacing w:line="240" w:lineRule="auto"/>
              <w:jc w:val="right"/>
              <w:rPr>
                <w:rFonts w:eastAsia="Times New Roman" w:cs="Times New Roman"/>
                <w:b/>
                <w:bCs/>
                <w:color w:val="000000"/>
                <w:kern w:val="0"/>
                <w:sz w:val="16"/>
                <w:szCs w:val="16"/>
                <w:lang w:eastAsia="es-CO"/>
                <w14:ligatures w14:val="none"/>
              </w:rPr>
            </w:pPr>
            <w:r w:rsidRPr="003076E2">
              <w:rPr>
                <w:rFonts w:eastAsia="Times New Roman" w:cs="Times New Roman"/>
                <w:b/>
                <w:bCs/>
                <w:color w:val="000000"/>
                <w:kern w:val="0"/>
                <w:sz w:val="16"/>
                <w:szCs w:val="16"/>
                <w:lang w:eastAsia="es-CO"/>
                <w14:ligatures w14:val="none"/>
              </w:rPr>
              <w:t>620.817</w:t>
            </w:r>
          </w:p>
        </w:tc>
        <w:tc>
          <w:tcPr>
            <w:tcW w:w="1006" w:type="dxa"/>
            <w:noWrap/>
            <w:vAlign w:val="center"/>
            <w:hideMark/>
          </w:tcPr>
          <w:p w14:paraId="5E1F7AD7" w14:textId="77777777" w:rsidR="005E64D9" w:rsidRPr="003076E2" w:rsidRDefault="005E64D9" w:rsidP="000A5389">
            <w:pPr>
              <w:spacing w:line="240" w:lineRule="auto"/>
              <w:jc w:val="right"/>
              <w:rPr>
                <w:rFonts w:eastAsia="Times New Roman" w:cs="Times New Roman"/>
                <w:b/>
                <w:bCs/>
                <w:color w:val="000000"/>
                <w:kern w:val="0"/>
                <w:sz w:val="16"/>
                <w:szCs w:val="16"/>
                <w:lang w:eastAsia="es-CO"/>
                <w14:ligatures w14:val="none"/>
              </w:rPr>
            </w:pPr>
            <w:r w:rsidRPr="003076E2">
              <w:rPr>
                <w:rFonts w:eastAsia="Times New Roman" w:cs="Times New Roman"/>
                <w:b/>
                <w:bCs/>
                <w:color w:val="000000"/>
                <w:kern w:val="0"/>
                <w:sz w:val="16"/>
                <w:szCs w:val="16"/>
                <w:lang w:eastAsia="es-CO"/>
                <w14:ligatures w14:val="none"/>
              </w:rPr>
              <w:t xml:space="preserve">               -   </w:t>
            </w:r>
          </w:p>
        </w:tc>
      </w:tr>
      <w:tr w:rsidR="005E64D9" w:rsidRPr="003076E2" w14:paraId="3B157639" w14:textId="77777777" w:rsidTr="00FA4431">
        <w:trPr>
          <w:trHeight w:val="312"/>
        </w:trPr>
        <w:tc>
          <w:tcPr>
            <w:tcW w:w="954" w:type="dxa"/>
            <w:vMerge/>
            <w:vAlign w:val="center"/>
            <w:hideMark/>
          </w:tcPr>
          <w:p w14:paraId="57BC0B9B" w14:textId="77777777" w:rsidR="005E64D9" w:rsidRPr="003076E2" w:rsidRDefault="005E64D9" w:rsidP="000A5389">
            <w:pPr>
              <w:spacing w:line="240" w:lineRule="auto"/>
              <w:rPr>
                <w:rFonts w:eastAsia="Times New Roman" w:cs="Times New Roman"/>
                <w:color w:val="000000"/>
                <w:kern w:val="0"/>
                <w:sz w:val="16"/>
                <w:szCs w:val="16"/>
                <w:lang w:eastAsia="es-CO"/>
                <w14:ligatures w14:val="none"/>
              </w:rPr>
            </w:pPr>
          </w:p>
        </w:tc>
        <w:tc>
          <w:tcPr>
            <w:tcW w:w="1730" w:type="dxa"/>
            <w:noWrap/>
            <w:vAlign w:val="center"/>
            <w:hideMark/>
          </w:tcPr>
          <w:p w14:paraId="64162A13" w14:textId="77777777" w:rsidR="005E64D9" w:rsidRPr="003076E2" w:rsidRDefault="005E64D9" w:rsidP="000A5389">
            <w:pPr>
              <w:spacing w:line="240" w:lineRule="auto"/>
              <w:jc w:val="center"/>
              <w:rPr>
                <w:rFonts w:eastAsia="Times New Roman" w:cs="Times New Roman"/>
                <w:color w:val="000000"/>
                <w:kern w:val="0"/>
                <w:sz w:val="16"/>
                <w:szCs w:val="16"/>
                <w:lang w:eastAsia="es-CO"/>
                <w14:ligatures w14:val="none"/>
              </w:rPr>
            </w:pPr>
            <w:r w:rsidRPr="003076E2">
              <w:rPr>
                <w:rFonts w:eastAsia="Times New Roman" w:cs="Times New Roman"/>
                <w:color w:val="000000" w:themeColor="text1"/>
                <w:kern w:val="0"/>
                <w:sz w:val="16"/>
                <w:szCs w:val="16"/>
                <w:lang w:eastAsia="es-CO"/>
                <w14:ligatures w14:val="none"/>
              </w:rPr>
              <w:t>18/03/2024</w:t>
            </w:r>
          </w:p>
        </w:tc>
        <w:tc>
          <w:tcPr>
            <w:tcW w:w="1984" w:type="dxa"/>
            <w:noWrap/>
            <w:vAlign w:val="center"/>
            <w:hideMark/>
          </w:tcPr>
          <w:p w14:paraId="415902E7" w14:textId="73CE25D6" w:rsidR="005E64D9" w:rsidRPr="003076E2" w:rsidRDefault="005E64D9" w:rsidP="000A5389">
            <w:pPr>
              <w:spacing w:line="240" w:lineRule="auto"/>
              <w:rPr>
                <w:rFonts w:eastAsia="Times New Roman" w:cs="Times New Roman"/>
                <w:color w:val="000000"/>
                <w:kern w:val="0"/>
                <w:sz w:val="16"/>
                <w:szCs w:val="16"/>
                <w:lang w:eastAsia="es-CO"/>
                <w14:ligatures w14:val="none"/>
              </w:rPr>
            </w:pPr>
            <w:r w:rsidRPr="003076E2">
              <w:rPr>
                <w:rFonts w:eastAsia="Times New Roman" w:cs="Times New Roman"/>
                <w:color w:val="000000"/>
                <w:kern w:val="0"/>
                <w:sz w:val="16"/>
                <w:szCs w:val="16"/>
                <w:lang w:eastAsia="es-CO"/>
                <w14:ligatures w14:val="none"/>
              </w:rPr>
              <w:t xml:space="preserve">Adriana Eunice </w:t>
            </w:r>
            <w:r w:rsidR="00DB2570" w:rsidRPr="003076E2">
              <w:rPr>
                <w:rFonts w:eastAsia="Times New Roman" w:cs="Times New Roman"/>
                <w:color w:val="000000"/>
                <w:kern w:val="0"/>
                <w:sz w:val="16"/>
                <w:szCs w:val="16"/>
                <w:lang w:eastAsia="es-CO"/>
                <w14:ligatures w14:val="none"/>
              </w:rPr>
              <w:t>González</w:t>
            </w:r>
            <w:r w:rsidRPr="003076E2">
              <w:rPr>
                <w:rFonts w:eastAsia="Times New Roman" w:cs="Times New Roman"/>
                <w:color w:val="000000"/>
                <w:kern w:val="0"/>
                <w:sz w:val="16"/>
                <w:szCs w:val="16"/>
                <w:lang w:eastAsia="es-CO"/>
                <w14:ligatures w14:val="none"/>
              </w:rPr>
              <w:t xml:space="preserve"> Marin </w:t>
            </w:r>
          </w:p>
        </w:tc>
        <w:tc>
          <w:tcPr>
            <w:tcW w:w="1127" w:type="dxa"/>
            <w:noWrap/>
            <w:vAlign w:val="center"/>
            <w:hideMark/>
          </w:tcPr>
          <w:p w14:paraId="0ED13642" w14:textId="16E85447" w:rsidR="005E64D9" w:rsidRPr="003076E2" w:rsidRDefault="005E64D9" w:rsidP="000A5389">
            <w:pPr>
              <w:spacing w:line="240" w:lineRule="auto"/>
              <w:jc w:val="right"/>
              <w:rPr>
                <w:rFonts w:eastAsia="Times New Roman" w:cs="Times New Roman"/>
                <w:color w:val="000000"/>
                <w:kern w:val="0"/>
                <w:sz w:val="16"/>
                <w:szCs w:val="16"/>
                <w:lang w:eastAsia="es-CO"/>
                <w14:ligatures w14:val="none"/>
              </w:rPr>
            </w:pPr>
            <w:r w:rsidRPr="003076E2">
              <w:rPr>
                <w:rFonts w:eastAsia="Times New Roman" w:cs="Times New Roman"/>
                <w:color w:val="000000" w:themeColor="text1"/>
                <w:kern w:val="0"/>
                <w:sz w:val="16"/>
                <w:szCs w:val="16"/>
                <w:lang w:eastAsia="es-CO"/>
                <w14:ligatures w14:val="none"/>
              </w:rPr>
              <w:t>620.817</w:t>
            </w:r>
          </w:p>
        </w:tc>
        <w:tc>
          <w:tcPr>
            <w:tcW w:w="952" w:type="dxa"/>
            <w:noWrap/>
            <w:vAlign w:val="center"/>
            <w:hideMark/>
          </w:tcPr>
          <w:p w14:paraId="0B1B2964" w14:textId="69F5DD84" w:rsidR="005E64D9" w:rsidRPr="003076E2" w:rsidRDefault="005E64D9" w:rsidP="000A5389">
            <w:pPr>
              <w:spacing w:line="240" w:lineRule="auto"/>
              <w:jc w:val="right"/>
              <w:rPr>
                <w:rFonts w:eastAsia="Times New Roman" w:cs="Times New Roman"/>
                <w:color w:val="000000"/>
                <w:kern w:val="0"/>
                <w:sz w:val="16"/>
                <w:szCs w:val="16"/>
                <w:lang w:eastAsia="es-CO"/>
                <w14:ligatures w14:val="none"/>
              </w:rPr>
            </w:pPr>
          </w:p>
        </w:tc>
        <w:tc>
          <w:tcPr>
            <w:tcW w:w="918" w:type="dxa"/>
            <w:noWrap/>
            <w:vAlign w:val="center"/>
            <w:hideMark/>
          </w:tcPr>
          <w:p w14:paraId="2C0FA9A3" w14:textId="77777777" w:rsidR="005E64D9" w:rsidRPr="003076E2" w:rsidRDefault="005E64D9" w:rsidP="000A5389">
            <w:pPr>
              <w:spacing w:line="240" w:lineRule="auto"/>
              <w:jc w:val="right"/>
              <w:rPr>
                <w:rFonts w:eastAsia="Times New Roman" w:cs="Times New Roman"/>
                <w:color w:val="000000"/>
                <w:kern w:val="0"/>
                <w:sz w:val="16"/>
                <w:szCs w:val="16"/>
                <w:lang w:eastAsia="es-CO"/>
                <w14:ligatures w14:val="none"/>
              </w:rPr>
            </w:pPr>
            <w:r w:rsidRPr="003076E2">
              <w:rPr>
                <w:rFonts w:eastAsia="Times New Roman" w:cs="Times New Roman"/>
                <w:color w:val="000000"/>
                <w:kern w:val="0"/>
                <w:sz w:val="16"/>
                <w:szCs w:val="16"/>
                <w:lang w:eastAsia="es-CO"/>
                <w14:ligatures w14:val="none"/>
              </w:rPr>
              <w:t xml:space="preserve">          620.817 </w:t>
            </w:r>
          </w:p>
        </w:tc>
        <w:tc>
          <w:tcPr>
            <w:tcW w:w="1006" w:type="dxa"/>
            <w:noWrap/>
            <w:vAlign w:val="center"/>
            <w:hideMark/>
          </w:tcPr>
          <w:p w14:paraId="6FEB908D" w14:textId="77777777" w:rsidR="005E64D9" w:rsidRPr="003076E2" w:rsidRDefault="005E64D9" w:rsidP="000A5389">
            <w:pPr>
              <w:spacing w:line="240" w:lineRule="auto"/>
              <w:jc w:val="right"/>
              <w:rPr>
                <w:rFonts w:eastAsia="Times New Roman" w:cs="Times New Roman"/>
                <w:color w:val="000000"/>
                <w:kern w:val="0"/>
                <w:sz w:val="16"/>
                <w:szCs w:val="16"/>
                <w:lang w:eastAsia="es-CO"/>
                <w14:ligatures w14:val="none"/>
              </w:rPr>
            </w:pPr>
            <w:r w:rsidRPr="003076E2">
              <w:rPr>
                <w:rFonts w:eastAsia="Times New Roman" w:cs="Times New Roman"/>
                <w:color w:val="000000"/>
                <w:kern w:val="0"/>
                <w:sz w:val="16"/>
                <w:szCs w:val="16"/>
                <w:lang w:eastAsia="es-CO"/>
                <w14:ligatures w14:val="none"/>
              </w:rPr>
              <w:t> </w:t>
            </w:r>
          </w:p>
        </w:tc>
      </w:tr>
      <w:tr w:rsidR="005E64D9" w:rsidRPr="003076E2" w14:paraId="326931F6" w14:textId="77777777" w:rsidTr="00FA4431">
        <w:trPr>
          <w:trHeight w:val="312"/>
        </w:trPr>
        <w:tc>
          <w:tcPr>
            <w:tcW w:w="954" w:type="dxa"/>
            <w:vMerge/>
            <w:vAlign w:val="center"/>
            <w:hideMark/>
          </w:tcPr>
          <w:p w14:paraId="41652C11" w14:textId="77777777" w:rsidR="005E64D9" w:rsidRPr="003076E2" w:rsidRDefault="005E64D9" w:rsidP="000A5389">
            <w:pPr>
              <w:spacing w:line="240" w:lineRule="auto"/>
              <w:rPr>
                <w:rFonts w:eastAsia="Times New Roman" w:cs="Times New Roman"/>
                <w:color w:val="000000"/>
                <w:kern w:val="0"/>
                <w:sz w:val="16"/>
                <w:szCs w:val="16"/>
                <w:lang w:eastAsia="es-CO"/>
                <w14:ligatures w14:val="none"/>
              </w:rPr>
            </w:pPr>
          </w:p>
        </w:tc>
        <w:tc>
          <w:tcPr>
            <w:tcW w:w="1730" w:type="dxa"/>
            <w:noWrap/>
            <w:vAlign w:val="center"/>
            <w:hideMark/>
          </w:tcPr>
          <w:p w14:paraId="61586D54" w14:textId="77777777" w:rsidR="005E64D9" w:rsidRPr="003076E2" w:rsidRDefault="005E64D9" w:rsidP="000A5389">
            <w:pPr>
              <w:spacing w:line="240" w:lineRule="auto"/>
              <w:jc w:val="center"/>
              <w:rPr>
                <w:rFonts w:eastAsia="Times New Roman" w:cs="Times New Roman"/>
                <w:color w:val="000000"/>
                <w:kern w:val="0"/>
                <w:sz w:val="16"/>
                <w:szCs w:val="16"/>
                <w:lang w:eastAsia="es-CO"/>
                <w14:ligatures w14:val="none"/>
              </w:rPr>
            </w:pPr>
            <w:r w:rsidRPr="003076E2">
              <w:rPr>
                <w:rFonts w:eastAsia="Times New Roman" w:cs="Times New Roman"/>
                <w:color w:val="000000" w:themeColor="text1"/>
                <w:kern w:val="0"/>
                <w:sz w:val="16"/>
                <w:szCs w:val="16"/>
                <w:lang w:eastAsia="es-CO"/>
                <w14:ligatures w14:val="none"/>
              </w:rPr>
              <w:t>22/10/2025</w:t>
            </w:r>
          </w:p>
        </w:tc>
        <w:tc>
          <w:tcPr>
            <w:tcW w:w="1984" w:type="dxa"/>
            <w:noWrap/>
            <w:vAlign w:val="center"/>
            <w:hideMark/>
          </w:tcPr>
          <w:p w14:paraId="18671199" w14:textId="61D28BCC" w:rsidR="005E64D9" w:rsidRPr="003076E2" w:rsidRDefault="005E64D9" w:rsidP="000A5389">
            <w:pPr>
              <w:spacing w:line="240" w:lineRule="auto"/>
              <w:rPr>
                <w:rFonts w:eastAsia="Times New Roman" w:cs="Times New Roman"/>
                <w:color w:val="000000"/>
                <w:kern w:val="0"/>
                <w:sz w:val="16"/>
                <w:szCs w:val="16"/>
                <w:lang w:eastAsia="es-CO"/>
                <w14:ligatures w14:val="none"/>
              </w:rPr>
            </w:pPr>
            <w:r w:rsidRPr="003076E2">
              <w:rPr>
                <w:rFonts w:eastAsia="Times New Roman" w:cs="Times New Roman"/>
                <w:color w:val="000000"/>
                <w:kern w:val="0"/>
                <w:sz w:val="16"/>
                <w:szCs w:val="16"/>
                <w:lang w:eastAsia="es-CO"/>
                <w14:ligatures w14:val="none"/>
              </w:rPr>
              <w:t xml:space="preserve">John </w:t>
            </w:r>
            <w:r w:rsidR="00DB2570" w:rsidRPr="003076E2">
              <w:rPr>
                <w:rFonts w:eastAsia="Times New Roman" w:cs="Times New Roman"/>
                <w:color w:val="000000"/>
                <w:kern w:val="0"/>
                <w:sz w:val="16"/>
                <w:szCs w:val="16"/>
                <w:lang w:eastAsia="es-CO"/>
                <w14:ligatures w14:val="none"/>
              </w:rPr>
              <w:t>Ángel</w:t>
            </w:r>
            <w:r w:rsidRPr="003076E2">
              <w:rPr>
                <w:rFonts w:eastAsia="Times New Roman" w:cs="Times New Roman"/>
                <w:color w:val="000000"/>
                <w:kern w:val="0"/>
                <w:sz w:val="16"/>
                <w:szCs w:val="16"/>
                <w:lang w:eastAsia="es-CO"/>
                <w14:ligatures w14:val="none"/>
              </w:rPr>
              <w:t xml:space="preserve"> Gonzalez Diaz</w:t>
            </w:r>
          </w:p>
        </w:tc>
        <w:tc>
          <w:tcPr>
            <w:tcW w:w="1127" w:type="dxa"/>
            <w:noWrap/>
            <w:vAlign w:val="center"/>
            <w:hideMark/>
          </w:tcPr>
          <w:p w14:paraId="451AEB81" w14:textId="5D849DCB" w:rsidR="005E64D9" w:rsidRPr="003076E2" w:rsidRDefault="005E64D9" w:rsidP="000A5389">
            <w:pPr>
              <w:spacing w:line="240" w:lineRule="auto"/>
              <w:jc w:val="right"/>
              <w:rPr>
                <w:rFonts w:eastAsia="Times New Roman" w:cs="Times New Roman"/>
                <w:color w:val="000000"/>
                <w:kern w:val="0"/>
                <w:sz w:val="16"/>
                <w:szCs w:val="16"/>
                <w:lang w:eastAsia="es-CO"/>
                <w14:ligatures w14:val="none"/>
              </w:rPr>
            </w:pPr>
            <w:r w:rsidRPr="003076E2">
              <w:rPr>
                <w:rFonts w:eastAsia="Times New Roman" w:cs="Times New Roman"/>
                <w:color w:val="000000" w:themeColor="text1"/>
                <w:kern w:val="0"/>
                <w:sz w:val="16"/>
                <w:szCs w:val="16"/>
                <w:lang w:eastAsia="es-CO"/>
                <w14:ligatures w14:val="none"/>
              </w:rPr>
              <w:t>351.243</w:t>
            </w:r>
          </w:p>
        </w:tc>
        <w:tc>
          <w:tcPr>
            <w:tcW w:w="952" w:type="dxa"/>
            <w:noWrap/>
            <w:vAlign w:val="center"/>
            <w:hideMark/>
          </w:tcPr>
          <w:p w14:paraId="34C9944C" w14:textId="43A6685C" w:rsidR="005E64D9" w:rsidRPr="003076E2" w:rsidRDefault="005E64D9" w:rsidP="000A5389">
            <w:pPr>
              <w:spacing w:line="240" w:lineRule="auto"/>
              <w:jc w:val="right"/>
              <w:rPr>
                <w:rFonts w:eastAsia="Times New Roman" w:cs="Times New Roman"/>
                <w:color w:val="000000"/>
                <w:kern w:val="0"/>
                <w:sz w:val="16"/>
                <w:szCs w:val="16"/>
                <w:lang w:eastAsia="es-CO"/>
                <w14:ligatures w14:val="none"/>
              </w:rPr>
            </w:pPr>
          </w:p>
        </w:tc>
        <w:tc>
          <w:tcPr>
            <w:tcW w:w="918" w:type="dxa"/>
            <w:noWrap/>
            <w:vAlign w:val="center"/>
            <w:hideMark/>
          </w:tcPr>
          <w:p w14:paraId="344AF8AF" w14:textId="77777777" w:rsidR="005E64D9" w:rsidRPr="003076E2" w:rsidRDefault="005E64D9" w:rsidP="000A5389">
            <w:pPr>
              <w:spacing w:line="240" w:lineRule="auto"/>
              <w:jc w:val="right"/>
              <w:rPr>
                <w:rFonts w:eastAsia="Times New Roman" w:cs="Times New Roman"/>
                <w:color w:val="000000"/>
                <w:kern w:val="0"/>
                <w:sz w:val="16"/>
                <w:szCs w:val="16"/>
                <w:lang w:eastAsia="es-CO"/>
                <w14:ligatures w14:val="none"/>
              </w:rPr>
            </w:pPr>
            <w:r w:rsidRPr="003076E2">
              <w:rPr>
                <w:rFonts w:eastAsia="Times New Roman" w:cs="Times New Roman"/>
                <w:color w:val="000000"/>
                <w:kern w:val="0"/>
                <w:sz w:val="16"/>
                <w:szCs w:val="16"/>
                <w:lang w:eastAsia="es-CO"/>
                <w14:ligatures w14:val="none"/>
              </w:rPr>
              <w:t> </w:t>
            </w:r>
          </w:p>
        </w:tc>
        <w:tc>
          <w:tcPr>
            <w:tcW w:w="1006" w:type="dxa"/>
            <w:noWrap/>
            <w:vAlign w:val="center"/>
            <w:hideMark/>
          </w:tcPr>
          <w:p w14:paraId="3B331995" w14:textId="77777777" w:rsidR="005E64D9" w:rsidRPr="003076E2" w:rsidRDefault="005E64D9" w:rsidP="000A5389">
            <w:pPr>
              <w:spacing w:line="240" w:lineRule="auto"/>
              <w:jc w:val="right"/>
              <w:rPr>
                <w:rFonts w:eastAsia="Times New Roman" w:cs="Times New Roman"/>
                <w:color w:val="000000"/>
                <w:kern w:val="0"/>
                <w:sz w:val="16"/>
                <w:szCs w:val="16"/>
                <w:lang w:eastAsia="es-CO"/>
                <w14:ligatures w14:val="none"/>
              </w:rPr>
            </w:pPr>
            <w:r w:rsidRPr="003076E2">
              <w:rPr>
                <w:rFonts w:eastAsia="Times New Roman" w:cs="Times New Roman"/>
                <w:color w:val="000000"/>
                <w:kern w:val="0"/>
                <w:sz w:val="16"/>
                <w:szCs w:val="16"/>
                <w:lang w:eastAsia="es-CO"/>
                <w14:ligatures w14:val="none"/>
              </w:rPr>
              <w:t> </w:t>
            </w:r>
          </w:p>
        </w:tc>
      </w:tr>
      <w:tr w:rsidR="005E64D9" w:rsidRPr="003076E2" w14:paraId="28975E4A" w14:textId="77777777" w:rsidTr="00FA4431">
        <w:trPr>
          <w:trHeight w:val="312"/>
        </w:trPr>
        <w:tc>
          <w:tcPr>
            <w:tcW w:w="954" w:type="dxa"/>
            <w:vMerge/>
            <w:vAlign w:val="center"/>
            <w:hideMark/>
          </w:tcPr>
          <w:p w14:paraId="08AE7320" w14:textId="77777777" w:rsidR="005E64D9" w:rsidRPr="003076E2" w:rsidRDefault="005E64D9" w:rsidP="000A5389">
            <w:pPr>
              <w:spacing w:line="240" w:lineRule="auto"/>
              <w:rPr>
                <w:rFonts w:eastAsia="Times New Roman" w:cs="Times New Roman"/>
                <w:color w:val="000000"/>
                <w:kern w:val="0"/>
                <w:sz w:val="16"/>
                <w:szCs w:val="16"/>
                <w:lang w:eastAsia="es-CO"/>
                <w14:ligatures w14:val="none"/>
              </w:rPr>
            </w:pPr>
          </w:p>
        </w:tc>
        <w:tc>
          <w:tcPr>
            <w:tcW w:w="1730" w:type="dxa"/>
            <w:noWrap/>
            <w:vAlign w:val="center"/>
            <w:hideMark/>
          </w:tcPr>
          <w:p w14:paraId="2783546A" w14:textId="77777777" w:rsidR="005E64D9" w:rsidRPr="003076E2" w:rsidRDefault="005E64D9" w:rsidP="000A5389">
            <w:pPr>
              <w:spacing w:line="240" w:lineRule="auto"/>
              <w:jc w:val="center"/>
              <w:rPr>
                <w:rFonts w:eastAsia="Times New Roman" w:cs="Times New Roman"/>
                <w:color w:val="000000"/>
                <w:kern w:val="0"/>
                <w:sz w:val="16"/>
                <w:szCs w:val="16"/>
                <w:lang w:eastAsia="es-CO"/>
                <w14:ligatures w14:val="none"/>
              </w:rPr>
            </w:pPr>
            <w:r w:rsidRPr="003076E2">
              <w:rPr>
                <w:rFonts w:eastAsia="Times New Roman" w:cs="Times New Roman"/>
                <w:color w:val="000000" w:themeColor="text1"/>
                <w:kern w:val="0"/>
                <w:sz w:val="16"/>
                <w:szCs w:val="16"/>
                <w:lang w:eastAsia="es-CO"/>
                <w14:ligatures w14:val="none"/>
              </w:rPr>
              <w:t>21/11/2025</w:t>
            </w:r>
          </w:p>
        </w:tc>
        <w:tc>
          <w:tcPr>
            <w:tcW w:w="1984" w:type="dxa"/>
            <w:noWrap/>
            <w:vAlign w:val="center"/>
            <w:hideMark/>
          </w:tcPr>
          <w:p w14:paraId="744A2C6A" w14:textId="6395B21B" w:rsidR="005E64D9" w:rsidRPr="003076E2" w:rsidRDefault="005E64D9" w:rsidP="000A5389">
            <w:pPr>
              <w:spacing w:line="240" w:lineRule="auto"/>
              <w:rPr>
                <w:rFonts w:eastAsia="Times New Roman" w:cs="Times New Roman"/>
                <w:color w:val="000000"/>
                <w:kern w:val="0"/>
                <w:sz w:val="16"/>
                <w:szCs w:val="16"/>
                <w:lang w:eastAsia="es-CO"/>
                <w14:ligatures w14:val="none"/>
              </w:rPr>
            </w:pPr>
            <w:r w:rsidRPr="003076E2">
              <w:rPr>
                <w:rFonts w:eastAsia="Times New Roman" w:cs="Times New Roman"/>
                <w:color w:val="000000"/>
                <w:kern w:val="0"/>
                <w:sz w:val="16"/>
                <w:szCs w:val="16"/>
                <w:lang w:eastAsia="es-CO"/>
                <w14:ligatures w14:val="none"/>
              </w:rPr>
              <w:t xml:space="preserve">John </w:t>
            </w:r>
            <w:r w:rsidR="00DB2570" w:rsidRPr="003076E2">
              <w:rPr>
                <w:rFonts w:eastAsia="Times New Roman" w:cs="Times New Roman"/>
                <w:color w:val="000000"/>
                <w:kern w:val="0"/>
                <w:sz w:val="16"/>
                <w:szCs w:val="16"/>
                <w:lang w:eastAsia="es-CO"/>
                <w14:ligatures w14:val="none"/>
              </w:rPr>
              <w:t>Ángel</w:t>
            </w:r>
            <w:r w:rsidRPr="003076E2">
              <w:rPr>
                <w:rFonts w:eastAsia="Times New Roman" w:cs="Times New Roman"/>
                <w:color w:val="000000"/>
                <w:kern w:val="0"/>
                <w:sz w:val="16"/>
                <w:szCs w:val="16"/>
                <w:lang w:eastAsia="es-CO"/>
                <w14:ligatures w14:val="none"/>
              </w:rPr>
              <w:t xml:space="preserve"> Gonzalez Diaz</w:t>
            </w:r>
          </w:p>
        </w:tc>
        <w:tc>
          <w:tcPr>
            <w:tcW w:w="1127" w:type="dxa"/>
            <w:noWrap/>
            <w:vAlign w:val="center"/>
            <w:hideMark/>
          </w:tcPr>
          <w:p w14:paraId="5C96CA67" w14:textId="6B77362B" w:rsidR="005E64D9" w:rsidRPr="003076E2" w:rsidRDefault="005E64D9" w:rsidP="000A5389">
            <w:pPr>
              <w:spacing w:line="240" w:lineRule="auto"/>
              <w:jc w:val="right"/>
              <w:rPr>
                <w:rFonts w:eastAsia="Times New Roman" w:cs="Times New Roman"/>
                <w:color w:val="000000"/>
                <w:kern w:val="0"/>
                <w:sz w:val="16"/>
                <w:szCs w:val="16"/>
                <w:lang w:eastAsia="es-CO"/>
                <w14:ligatures w14:val="none"/>
              </w:rPr>
            </w:pPr>
            <w:r w:rsidRPr="003076E2">
              <w:rPr>
                <w:rFonts w:eastAsia="Times New Roman" w:cs="Times New Roman"/>
                <w:color w:val="000000" w:themeColor="text1"/>
                <w:kern w:val="0"/>
                <w:sz w:val="16"/>
                <w:szCs w:val="16"/>
                <w:lang w:eastAsia="es-CO"/>
                <w14:ligatures w14:val="none"/>
              </w:rPr>
              <w:t>9.873.921</w:t>
            </w:r>
          </w:p>
        </w:tc>
        <w:tc>
          <w:tcPr>
            <w:tcW w:w="952" w:type="dxa"/>
            <w:noWrap/>
            <w:vAlign w:val="center"/>
            <w:hideMark/>
          </w:tcPr>
          <w:p w14:paraId="1FDFC0D7" w14:textId="57660422" w:rsidR="005E64D9" w:rsidRPr="003076E2" w:rsidRDefault="005E64D9" w:rsidP="000A5389">
            <w:pPr>
              <w:spacing w:line="240" w:lineRule="auto"/>
              <w:jc w:val="right"/>
              <w:rPr>
                <w:rFonts w:eastAsia="Times New Roman" w:cs="Times New Roman"/>
                <w:color w:val="000000"/>
                <w:kern w:val="0"/>
                <w:sz w:val="16"/>
                <w:szCs w:val="16"/>
                <w:lang w:eastAsia="es-CO"/>
                <w14:ligatures w14:val="none"/>
              </w:rPr>
            </w:pPr>
          </w:p>
        </w:tc>
        <w:tc>
          <w:tcPr>
            <w:tcW w:w="918" w:type="dxa"/>
            <w:noWrap/>
            <w:vAlign w:val="center"/>
            <w:hideMark/>
          </w:tcPr>
          <w:p w14:paraId="65F5AF67" w14:textId="77777777" w:rsidR="005E64D9" w:rsidRPr="003076E2" w:rsidRDefault="005E64D9" w:rsidP="000A5389">
            <w:pPr>
              <w:spacing w:line="240" w:lineRule="auto"/>
              <w:jc w:val="right"/>
              <w:rPr>
                <w:rFonts w:eastAsia="Times New Roman" w:cs="Times New Roman"/>
                <w:color w:val="000000"/>
                <w:kern w:val="0"/>
                <w:sz w:val="16"/>
                <w:szCs w:val="16"/>
                <w:lang w:eastAsia="es-CO"/>
                <w14:ligatures w14:val="none"/>
              </w:rPr>
            </w:pPr>
            <w:r w:rsidRPr="003076E2">
              <w:rPr>
                <w:rFonts w:eastAsia="Times New Roman" w:cs="Times New Roman"/>
                <w:color w:val="000000"/>
                <w:kern w:val="0"/>
                <w:sz w:val="16"/>
                <w:szCs w:val="16"/>
                <w:lang w:eastAsia="es-CO"/>
                <w14:ligatures w14:val="none"/>
              </w:rPr>
              <w:t> </w:t>
            </w:r>
          </w:p>
        </w:tc>
        <w:tc>
          <w:tcPr>
            <w:tcW w:w="1006" w:type="dxa"/>
            <w:noWrap/>
            <w:vAlign w:val="center"/>
            <w:hideMark/>
          </w:tcPr>
          <w:p w14:paraId="1D56DE35" w14:textId="77777777" w:rsidR="005E64D9" w:rsidRPr="003076E2" w:rsidRDefault="005E64D9" w:rsidP="000A5389">
            <w:pPr>
              <w:spacing w:line="240" w:lineRule="auto"/>
              <w:jc w:val="right"/>
              <w:rPr>
                <w:rFonts w:eastAsia="Times New Roman" w:cs="Times New Roman"/>
                <w:color w:val="000000"/>
                <w:kern w:val="0"/>
                <w:sz w:val="16"/>
                <w:szCs w:val="16"/>
                <w:lang w:eastAsia="es-CO"/>
                <w14:ligatures w14:val="none"/>
              </w:rPr>
            </w:pPr>
            <w:r w:rsidRPr="003076E2">
              <w:rPr>
                <w:rFonts w:eastAsia="Times New Roman" w:cs="Times New Roman"/>
                <w:color w:val="000000"/>
                <w:kern w:val="0"/>
                <w:sz w:val="16"/>
                <w:szCs w:val="16"/>
                <w:lang w:eastAsia="es-CO"/>
                <w14:ligatures w14:val="none"/>
              </w:rPr>
              <w:t> </w:t>
            </w:r>
          </w:p>
        </w:tc>
      </w:tr>
      <w:tr w:rsidR="005E64D9" w:rsidRPr="003076E2" w14:paraId="12F7D544" w14:textId="77777777" w:rsidTr="00FA4431">
        <w:trPr>
          <w:trHeight w:val="312"/>
        </w:trPr>
        <w:tc>
          <w:tcPr>
            <w:tcW w:w="954" w:type="dxa"/>
            <w:vMerge/>
            <w:vAlign w:val="center"/>
            <w:hideMark/>
          </w:tcPr>
          <w:p w14:paraId="5208F7DA" w14:textId="77777777" w:rsidR="005E64D9" w:rsidRPr="003076E2" w:rsidRDefault="005E64D9" w:rsidP="000A5389">
            <w:pPr>
              <w:spacing w:line="240" w:lineRule="auto"/>
              <w:rPr>
                <w:rFonts w:eastAsia="Times New Roman" w:cs="Times New Roman"/>
                <w:color w:val="000000"/>
                <w:kern w:val="0"/>
                <w:sz w:val="16"/>
                <w:szCs w:val="16"/>
                <w:lang w:eastAsia="es-CO"/>
                <w14:ligatures w14:val="none"/>
              </w:rPr>
            </w:pPr>
          </w:p>
        </w:tc>
        <w:tc>
          <w:tcPr>
            <w:tcW w:w="1730" w:type="dxa"/>
            <w:noWrap/>
            <w:vAlign w:val="center"/>
            <w:hideMark/>
          </w:tcPr>
          <w:p w14:paraId="3D193E29" w14:textId="77777777" w:rsidR="005E64D9" w:rsidRPr="003076E2" w:rsidRDefault="005E64D9" w:rsidP="000A5389">
            <w:pPr>
              <w:spacing w:line="240" w:lineRule="auto"/>
              <w:jc w:val="center"/>
              <w:rPr>
                <w:rFonts w:eastAsia="Times New Roman" w:cs="Times New Roman"/>
                <w:color w:val="000000"/>
                <w:kern w:val="0"/>
                <w:sz w:val="16"/>
                <w:szCs w:val="16"/>
                <w:lang w:eastAsia="es-CO"/>
                <w14:ligatures w14:val="none"/>
              </w:rPr>
            </w:pPr>
            <w:r w:rsidRPr="003076E2">
              <w:rPr>
                <w:rFonts w:eastAsia="Times New Roman" w:cs="Times New Roman"/>
                <w:color w:val="000000" w:themeColor="text1"/>
                <w:kern w:val="0"/>
                <w:sz w:val="16"/>
                <w:szCs w:val="16"/>
                <w:lang w:eastAsia="es-CO"/>
                <w14:ligatures w14:val="none"/>
              </w:rPr>
              <w:t>17/12/2025</w:t>
            </w:r>
          </w:p>
        </w:tc>
        <w:tc>
          <w:tcPr>
            <w:tcW w:w="1984" w:type="dxa"/>
            <w:noWrap/>
            <w:vAlign w:val="center"/>
            <w:hideMark/>
          </w:tcPr>
          <w:p w14:paraId="0C728E2E" w14:textId="2EE990CB" w:rsidR="005E64D9" w:rsidRPr="003076E2" w:rsidRDefault="005E64D9" w:rsidP="000A5389">
            <w:pPr>
              <w:spacing w:line="240" w:lineRule="auto"/>
              <w:rPr>
                <w:rFonts w:eastAsia="Times New Roman" w:cs="Times New Roman"/>
                <w:color w:val="000000"/>
                <w:kern w:val="0"/>
                <w:sz w:val="16"/>
                <w:szCs w:val="16"/>
                <w:lang w:eastAsia="es-CO"/>
                <w14:ligatures w14:val="none"/>
              </w:rPr>
            </w:pPr>
            <w:r w:rsidRPr="003076E2">
              <w:rPr>
                <w:rFonts w:eastAsia="Times New Roman" w:cs="Times New Roman"/>
                <w:color w:val="000000"/>
                <w:kern w:val="0"/>
                <w:sz w:val="16"/>
                <w:szCs w:val="16"/>
                <w:lang w:eastAsia="es-CO"/>
                <w14:ligatures w14:val="none"/>
              </w:rPr>
              <w:t xml:space="preserve">John </w:t>
            </w:r>
            <w:r w:rsidR="00DB2570" w:rsidRPr="003076E2">
              <w:rPr>
                <w:rFonts w:eastAsia="Times New Roman" w:cs="Times New Roman"/>
                <w:color w:val="000000"/>
                <w:kern w:val="0"/>
                <w:sz w:val="16"/>
                <w:szCs w:val="16"/>
                <w:lang w:eastAsia="es-CO"/>
                <w14:ligatures w14:val="none"/>
              </w:rPr>
              <w:t>Ángel</w:t>
            </w:r>
            <w:r w:rsidRPr="003076E2">
              <w:rPr>
                <w:rFonts w:eastAsia="Times New Roman" w:cs="Times New Roman"/>
                <w:color w:val="000000"/>
                <w:kern w:val="0"/>
                <w:sz w:val="16"/>
                <w:szCs w:val="16"/>
                <w:lang w:eastAsia="es-CO"/>
                <w14:ligatures w14:val="none"/>
              </w:rPr>
              <w:t xml:space="preserve"> </w:t>
            </w:r>
            <w:r w:rsidR="00DB2570" w:rsidRPr="003076E2">
              <w:rPr>
                <w:rFonts w:eastAsia="Times New Roman" w:cs="Times New Roman"/>
                <w:color w:val="000000"/>
                <w:kern w:val="0"/>
                <w:sz w:val="16"/>
                <w:szCs w:val="16"/>
                <w:lang w:eastAsia="es-CO"/>
                <w14:ligatures w14:val="none"/>
              </w:rPr>
              <w:t>González</w:t>
            </w:r>
            <w:r w:rsidRPr="003076E2">
              <w:rPr>
                <w:rFonts w:eastAsia="Times New Roman" w:cs="Times New Roman"/>
                <w:color w:val="000000"/>
                <w:kern w:val="0"/>
                <w:sz w:val="16"/>
                <w:szCs w:val="16"/>
                <w:lang w:eastAsia="es-CO"/>
                <w14:ligatures w14:val="none"/>
              </w:rPr>
              <w:t xml:space="preserve"> Diaz</w:t>
            </w:r>
          </w:p>
        </w:tc>
        <w:tc>
          <w:tcPr>
            <w:tcW w:w="1127" w:type="dxa"/>
            <w:noWrap/>
            <w:vAlign w:val="center"/>
            <w:hideMark/>
          </w:tcPr>
          <w:p w14:paraId="21C521AD" w14:textId="277DFABF" w:rsidR="005E64D9" w:rsidRPr="003076E2" w:rsidRDefault="005E64D9" w:rsidP="000A5389">
            <w:pPr>
              <w:spacing w:line="240" w:lineRule="auto"/>
              <w:jc w:val="right"/>
              <w:rPr>
                <w:rFonts w:eastAsia="Times New Roman" w:cs="Times New Roman"/>
                <w:color w:val="000000"/>
                <w:kern w:val="0"/>
                <w:sz w:val="16"/>
                <w:szCs w:val="16"/>
                <w:lang w:eastAsia="es-CO"/>
                <w14:ligatures w14:val="none"/>
              </w:rPr>
            </w:pPr>
            <w:r w:rsidRPr="003076E2">
              <w:rPr>
                <w:rFonts w:eastAsia="Times New Roman" w:cs="Times New Roman"/>
                <w:color w:val="000000" w:themeColor="text1"/>
                <w:kern w:val="0"/>
                <w:sz w:val="16"/>
                <w:szCs w:val="16"/>
                <w:lang w:eastAsia="es-CO"/>
                <w14:ligatures w14:val="none"/>
              </w:rPr>
              <w:t>2.692.790</w:t>
            </w:r>
          </w:p>
        </w:tc>
        <w:tc>
          <w:tcPr>
            <w:tcW w:w="952" w:type="dxa"/>
            <w:noWrap/>
            <w:vAlign w:val="center"/>
            <w:hideMark/>
          </w:tcPr>
          <w:p w14:paraId="22A9AEB5" w14:textId="27092CF5" w:rsidR="005E64D9" w:rsidRPr="003076E2" w:rsidRDefault="005E64D9" w:rsidP="000A5389">
            <w:pPr>
              <w:spacing w:line="240" w:lineRule="auto"/>
              <w:jc w:val="right"/>
              <w:rPr>
                <w:rFonts w:eastAsia="Times New Roman" w:cs="Times New Roman"/>
                <w:color w:val="000000"/>
                <w:kern w:val="0"/>
                <w:sz w:val="16"/>
                <w:szCs w:val="16"/>
                <w:lang w:eastAsia="es-CO"/>
                <w14:ligatures w14:val="none"/>
              </w:rPr>
            </w:pPr>
          </w:p>
        </w:tc>
        <w:tc>
          <w:tcPr>
            <w:tcW w:w="918" w:type="dxa"/>
            <w:noWrap/>
            <w:vAlign w:val="center"/>
            <w:hideMark/>
          </w:tcPr>
          <w:p w14:paraId="62A02CD2" w14:textId="77777777" w:rsidR="005E64D9" w:rsidRPr="003076E2" w:rsidRDefault="005E64D9" w:rsidP="000A5389">
            <w:pPr>
              <w:spacing w:line="240" w:lineRule="auto"/>
              <w:jc w:val="right"/>
              <w:rPr>
                <w:rFonts w:eastAsia="Times New Roman" w:cs="Times New Roman"/>
                <w:color w:val="000000"/>
                <w:kern w:val="0"/>
                <w:sz w:val="16"/>
                <w:szCs w:val="16"/>
                <w:lang w:eastAsia="es-CO"/>
                <w14:ligatures w14:val="none"/>
              </w:rPr>
            </w:pPr>
            <w:r w:rsidRPr="003076E2">
              <w:rPr>
                <w:rFonts w:eastAsia="Times New Roman" w:cs="Times New Roman"/>
                <w:color w:val="000000"/>
                <w:kern w:val="0"/>
                <w:sz w:val="16"/>
                <w:szCs w:val="16"/>
                <w:lang w:eastAsia="es-CO"/>
                <w14:ligatures w14:val="none"/>
              </w:rPr>
              <w:t> </w:t>
            </w:r>
          </w:p>
        </w:tc>
        <w:tc>
          <w:tcPr>
            <w:tcW w:w="1006" w:type="dxa"/>
            <w:noWrap/>
            <w:vAlign w:val="center"/>
            <w:hideMark/>
          </w:tcPr>
          <w:p w14:paraId="35E450AD" w14:textId="77777777" w:rsidR="005E64D9" w:rsidRPr="003076E2" w:rsidRDefault="005E64D9" w:rsidP="000A5389">
            <w:pPr>
              <w:spacing w:line="240" w:lineRule="auto"/>
              <w:jc w:val="right"/>
              <w:rPr>
                <w:rFonts w:eastAsia="Times New Roman" w:cs="Times New Roman"/>
                <w:color w:val="000000"/>
                <w:kern w:val="0"/>
                <w:sz w:val="16"/>
                <w:szCs w:val="16"/>
                <w:lang w:eastAsia="es-CO"/>
                <w14:ligatures w14:val="none"/>
              </w:rPr>
            </w:pPr>
            <w:r w:rsidRPr="003076E2">
              <w:rPr>
                <w:rFonts w:eastAsia="Times New Roman" w:cs="Times New Roman"/>
                <w:color w:val="000000"/>
                <w:kern w:val="0"/>
                <w:sz w:val="16"/>
                <w:szCs w:val="16"/>
                <w:lang w:eastAsia="es-CO"/>
                <w14:ligatures w14:val="none"/>
              </w:rPr>
              <w:t> </w:t>
            </w:r>
          </w:p>
        </w:tc>
      </w:tr>
      <w:tr w:rsidR="005E64D9" w:rsidRPr="003076E2" w14:paraId="595B444E" w14:textId="77777777" w:rsidTr="00FA4431">
        <w:trPr>
          <w:trHeight w:val="670"/>
        </w:trPr>
        <w:tc>
          <w:tcPr>
            <w:tcW w:w="954" w:type="dxa"/>
            <w:vMerge w:val="restart"/>
            <w:vAlign w:val="center"/>
            <w:hideMark/>
          </w:tcPr>
          <w:p w14:paraId="48BD5211" w14:textId="77777777" w:rsidR="005E64D9" w:rsidRPr="003076E2" w:rsidRDefault="005E64D9" w:rsidP="000A5389">
            <w:pPr>
              <w:spacing w:line="240" w:lineRule="auto"/>
              <w:jc w:val="center"/>
              <w:rPr>
                <w:rFonts w:eastAsia="Times New Roman" w:cs="Times New Roman"/>
                <w:color w:val="000000"/>
                <w:kern w:val="0"/>
                <w:sz w:val="16"/>
                <w:szCs w:val="16"/>
                <w:lang w:eastAsia="es-CO"/>
                <w14:ligatures w14:val="none"/>
              </w:rPr>
            </w:pPr>
            <w:r w:rsidRPr="003076E2">
              <w:rPr>
                <w:rFonts w:eastAsia="Times New Roman" w:cs="Times New Roman"/>
                <w:color w:val="000000"/>
                <w:kern w:val="0"/>
                <w:sz w:val="16"/>
                <w:szCs w:val="16"/>
                <w:lang w:eastAsia="es-CO"/>
                <w14:ligatures w14:val="none"/>
              </w:rPr>
              <w:t xml:space="preserve">Pago por cuenta de terceros </w:t>
            </w:r>
          </w:p>
        </w:tc>
        <w:tc>
          <w:tcPr>
            <w:tcW w:w="3714" w:type="dxa"/>
            <w:gridSpan w:val="2"/>
            <w:vAlign w:val="center"/>
            <w:hideMark/>
          </w:tcPr>
          <w:p w14:paraId="22023124" w14:textId="77777777" w:rsidR="005E64D9" w:rsidRPr="003076E2" w:rsidRDefault="005E64D9" w:rsidP="000A5389">
            <w:pPr>
              <w:spacing w:line="240" w:lineRule="auto"/>
              <w:rPr>
                <w:rFonts w:eastAsia="Times New Roman" w:cs="Times New Roman"/>
                <w:b/>
                <w:bCs/>
                <w:color w:val="000000"/>
                <w:kern w:val="0"/>
                <w:sz w:val="16"/>
                <w:szCs w:val="16"/>
                <w:lang w:eastAsia="es-CO"/>
                <w14:ligatures w14:val="none"/>
              </w:rPr>
            </w:pPr>
            <w:r w:rsidRPr="003076E2">
              <w:rPr>
                <w:rFonts w:eastAsia="Times New Roman" w:cs="Times New Roman"/>
                <w:b/>
                <w:bCs/>
                <w:color w:val="000000"/>
                <w:kern w:val="0"/>
                <w:sz w:val="16"/>
                <w:szCs w:val="16"/>
                <w:lang w:eastAsia="es-CO"/>
                <w14:ligatures w14:val="none"/>
              </w:rPr>
              <w:t>Aliansalud Entidad Promotora De Salud S.A.</w:t>
            </w:r>
          </w:p>
        </w:tc>
        <w:tc>
          <w:tcPr>
            <w:tcW w:w="1127" w:type="dxa"/>
            <w:noWrap/>
            <w:vAlign w:val="center"/>
            <w:hideMark/>
          </w:tcPr>
          <w:p w14:paraId="4923F92F" w14:textId="77777777" w:rsidR="005E64D9" w:rsidRPr="003076E2" w:rsidRDefault="005E64D9" w:rsidP="000A5389">
            <w:pPr>
              <w:spacing w:line="240" w:lineRule="auto"/>
              <w:jc w:val="right"/>
              <w:rPr>
                <w:rFonts w:eastAsia="Times New Roman" w:cs="Times New Roman"/>
                <w:b/>
                <w:bCs/>
                <w:color w:val="000000"/>
                <w:kern w:val="0"/>
                <w:sz w:val="16"/>
                <w:szCs w:val="16"/>
                <w:lang w:eastAsia="es-CO"/>
                <w14:ligatures w14:val="none"/>
              </w:rPr>
            </w:pPr>
            <w:r w:rsidRPr="003076E2">
              <w:rPr>
                <w:rFonts w:eastAsia="Times New Roman" w:cs="Times New Roman"/>
                <w:b/>
                <w:bCs/>
                <w:color w:val="000000"/>
                <w:kern w:val="0"/>
                <w:sz w:val="16"/>
                <w:szCs w:val="16"/>
                <w:lang w:eastAsia="es-CO"/>
                <w14:ligatures w14:val="none"/>
              </w:rPr>
              <w:t>10.700.659</w:t>
            </w:r>
          </w:p>
        </w:tc>
        <w:tc>
          <w:tcPr>
            <w:tcW w:w="952" w:type="dxa"/>
            <w:noWrap/>
            <w:vAlign w:val="center"/>
            <w:hideMark/>
          </w:tcPr>
          <w:p w14:paraId="041B6861" w14:textId="77777777" w:rsidR="005E64D9" w:rsidRPr="003076E2" w:rsidRDefault="005E64D9" w:rsidP="000A5389">
            <w:pPr>
              <w:spacing w:line="240" w:lineRule="auto"/>
              <w:jc w:val="right"/>
              <w:rPr>
                <w:rFonts w:eastAsia="Times New Roman" w:cs="Times New Roman"/>
                <w:b/>
                <w:bCs/>
                <w:color w:val="000000"/>
                <w:kern w:val="0"/>
                <w:sz w:val="16"/>
                <w:szCs w:val="16"/>
                <w:lang w:eastAsia="es-CO"/>
                <w14:ligatures w14:val="none"/>
              </w:rPr>
            </w:pPr>
            <w:r w:rsidRPr="003076E2">
              <w:rPr>
                <w:rFonts w:eastAsia="Times New Roman" w:cs="Times New Roman"/>
                <w:b/>
                <w:bCs/>
                <w:color w:val="000000"/>
                <w:kern w:val="0"/>
                <w:sz w:val="16"/>
                <w:szCs w:val="16"/>
                <w:lang w:eastAsia="es-CO"/>
                <w14:ligatures w14:val="none"/>
              </w:rPr>
              <w:t>0</w:t>
            </w:r>
          </w:p>
        </w:tc>
        <w:tc>
          <w:tcPr>
            <w:tcW w:w="918" w:type="dxa"/>
            <w:noWrap/>
            <w:vAlign w:val="center"/>
            <w:hideMark/>
          </w:tcPr>
          <w:p w14:paraId="2A7FFEB9" w14:textId="77777777" w:rsidR="005E64D9" w:rsidRPr="003076E2" w:rsidRDefault="005E64D9" w:rsidP="000A5389">
            <w:pPr>
              <w:spacing w:line="240" w:lineRule="auto"/>
              <w:jc w:val="right"/>
              <w:rPr>
                <w:rFonts w:eastAsia="Times New Roman" w:cs="Times New Roman"/>
                <w:b/>
                <w:bCs/>
                <w:color w:val="000000"/>
                <w:kern w:val="0"/>
                <w:sz w:val="16"/>
                <w:szCs w:val="16"/>
                <w:lang w:eastAsia="es-CO"/>
                <w14:ligatures w14:val="none"/>
              </w:rPr>
            </w:pPr>
            <w:r w:rsidRPr="003076E2">
              <w:rPr>
                <w:rFonts w:eastAsia="Times New Roman" w:cs="Times New Roman"/>
                <w:b/>
                <w:bCs/>
                <w:color w:val="000000"/>
                <w:kern w:val="0"/>
                <w:sz w:val="16"/>
                <w:szCs w:val="16"/>
                <w:lang w:eastAsia="es-CO"/>
                <w14:ligatures w14:val="none"/>
              </w:rPr>
              <w:t>0</w:t>
            </w:r>
          </w:p>
        </w:tc>
        <w:tc>
          <w:tcPr>
            <w:tcW w:w="1006" w:type="dxa"/>
            <w:noWrap/>
            <w:vAlign w:val="center"/>
            <w:hideMark/>
          </w:tcPr>
          <w:p w14:paraId="0B5BBC80" w14:textId="77777777" w:rsidR="005E64D9" w:rsidRPr="003076E2" w:rsidRDefault="005E64D9" w:rsidP="000A5389">
            <w:pPr>
              <w:spacing w:line="240" w:lineRule="auto"/>
              <w:jc w:val="right"/>
              <w:rPr>
                <w:rFonts w:eastAsia="Times New Roman" w:cs="Times New Roman"/>
                <w:b/>
                <w:bCs/>
                <w:color w:val="000000"/>
                <w:kern w:val="0"/>
                <w:sz w:val="16"/>
                <w:szCs w:val="16"/>
                <w:lang w:eastAsia="es-CO"/>
                <w14:ligatures w14:val="none"/>
              </w:rPr>
            </w:pPr>
            <w:r w:rsidRPr="003076E2">
              <w:rPr>
                <w:rFonts w:eastAsia="Times New Roman" w:cs="Times New Roman"/>
                <w:b/>
                <w:bCs/>
                <w:color w:val="000000"/>
                <w:kern w:val="0"/>
                <w:sz w:val="16"/>
                <w:szCs w:val="16"/>
                <w:lang w:eastAsia="es-CO"/>
                <w14:ligatures w14:val="none"/>
              </w:rPr>
              <w:t>10.700.659</w:t>
            </w:r>
          </w:p>
        </w:tc>
      </w:tr>
      <w:tr w:rsidR="005E64D9" w:rsidRPr="003076E2" w14:paraId="2D3B1E68" w14:textId="77777777" w:rsidTr="00FA4431">
        <w:trPr>
          <w:trHeight w:val="312"/>
        </w:trPr>
        <w:tc>
          <w:tcPr>
            <w:tcW w:w="954" w:type="dxa"/>
            <w:vMerge/>
            <w:vAlign w:val="center"/>
            <w:hideMark/>
          </w:tcPr>
          <w:p w14:paraId="1D583AF5" w14:textId="77777777" w:rsidR="005E64D9" w:rsidRPr="003076E2" w:rsidRDefault="005E64D9" w:rsidP="000A5389">
            <w:pPr>
              <w:spacing w:line="240" w:lineRule="auto"/>
              <w:rPr>
                <w:rFonts w:eastAsia="Times New Roman" w:cs="Times New Roman"/>
                <w:color w:val="000000"/>
                <w:kern w:val="0"/>
                <w:sz w:val="16"/>
                <w:szCs w:val="16"/>
                <w:lang w:eastAsia="es-CO"/>
                <w14:ligatures w14:val="none"/>
              </w:rPr>
            </w:pPr>
          </w:p>
        </w:tc>
        <w:tc>
          <w:tcPr>
            <w:tcW w:w="1730" w:type="dxa"/>
            <w:noWrap/>
            <w:vAlign w:val="center"/>
            <w:hideMark/>
          </w:tcPr>
          <w:p w14:paraId="5CDA7B94" w14:textId="77777777" w:rsidR="005E64D9" w:rsidRPr="003076E2" w:rsidRDefault="005E64D9" w:rsidP="000A5389">
            <w:pPr>
              <w:spacing w:line="240" w:lineRule="auto"/>
              <w:jc w:val="center"/>
              <w:rPr>
                <w:rFonts w:eastAsia="Times New Roman" w:cs="Times New Roman"/>
                <w:color w:val="000000"/>
                <w:kern w:val="0"/>
                <w:sz w:val="16"/>
                <w:szCs w:val="16"/>
                <w:lang w:eastAsia="es-CO"/>
                <w14:ligatures w14:val="none"/>
              </w:rPr>
            </w:pPr>
            <w:r w:rsidRPr="003076E2">
              <w:rPr>
                <w:rFonts w:eastAsia="Times New Roman" w:cs="Times New Roman"/>
                <w:color w:val="000000"/>
                <w:kern w:val="0"/>
                <w:sz w:val="16"/>
                <w:szCs w:val="16"/>
                <w:lang w:eastAsia="es-CO"/>
                <w14:ligatures w14:val="none"/>
              </w:rPr>
              <w:t>29/05/2018</w:t>
            </w:r>
          </w:p>
        </w:tc>
        <w:tc>
          <w:tcPr>
            <w:tcW w:w="1984" w:type="dxa"/>
            <w:noWrap/>
            <w:vAlign w:val="center"/>
            <w:hideMark/>
          </w:tcPr>
          <w:p w14:paraId="44C3CDE8" w14:textId="6F214CE7" w:rsidR="005E64D9" w:rsidRPr="003076E2" w:rsidRDefault="005E64D9" w:rsidP="000A5389">
            <w:pPr>
              <w:spacing w:line="240" w:lineRule="auto"/>
              <w:rPr>
                <w:rFonts w:eastAsia="Times New Roman" w:cs="Times New Roman"/>
                <w:color w:val="000000"/>
                <w:kern w:val="0"/>
                <w:sz w:val="16"/>
                <w:szCs w:val="16"/>
                <w:lang w:eastAsia="es-CO"/>
                <w14:ligatures w14:val="none"/>
              </w:rPr>
            </w:pPr>
            <w:r w:rsidRPr="003076E2">
              <w:rPr>
                <w:rFonts w:eastAsia="Times New Roman" w:cs="Times New Roman"/>
                <w:color w:val="000000"/>
                <w:kern w:val="0"/>
                <w:sz w:val="16"/>
                <w:szCs w:val="16"/>
                <w:lang w:eastAsia="es-CO"/>
                <w14:ligatures w14:val="none"/>
              </w:rPr>
              <w:t xml:space="preserve">Cesar Augusto </w:t>
            </w:r>
            <w:r w:rsidR="00DB2570" w:rsidRPr="003076E2">
              <w:rPr>
                <w:rFonts w:eastAsia="Times New Roman" w:cs="Times New Roman"/>
                <w:color w:val="000000"/>
                <w:kern w:val="0"/>
                <w:sz w:val="16"/>
                <w:szCs w:val="16"/>
                <w:lang w:eastAsia="es-CO"/>
                <w14:ligatures w14:val="none"/>
              </w:rPr>
              <w:t>García</w:t>
            </w:r>
            <w:r w:rsidRPr="003076E2">
              <w:rPr>
                <w:rFonts w:eastAsia="Times New Roman" w:cs="Times New Roman"/>
                <w:color w:val="000000"/>
                <w:kern w:val="0"/>
                <w:sz w:val="16"/>
                <w:szCs w:val="16"/>
                <w:lang w:eastAsia="es-CO"/>
                <w14:ligatures w14:val="none"/>
              </w:rPr>
              <w:t xml:space="preserve"> Montoya</w:t>
            </w:r>
          </w:p>
        </w:tc>
        <w:tc>
          <w:tcPr>
            <w:tcW w:w="1127" w:type="dxa"/>
            <w:noWrap/>
            <w:vAlign w:val="center"/>
            <w:hideMark/>
          </w:tcPr>
          <w:p w14:paraId="26BF21C3" w14:textId="77777777" w:rsidR="005E64D9" w:rsidRPr="003076E2" w:rsidRDefault="005E64D9" w:rsidP="000A5389">
            <w:pPr>
              <w:spacing w:line="240" w:lineRule="auto"/>
              <w:jc w:val="right"/>
              <w:rPr>
                <w:rFonts w:eastAsia="Times New Roman" w:cs="Times New Roman"/>
                <w:color w:val="000000"/>
                <w:kern w:val="0"/>
                <w:sz w:val="16"/>
                <w:szCs w:val="16"/>
                <w:lang w:eastAsia="es-CO"/>
                <w14:ligatures w14:val="none"/>
              </w:rPr>
            </w:pPr>
            <w:r w:rsidRPr="003076E2">
              <w:rPr>
                <w:rFonts w:eastAsia="Times New Roman" w:cs="Times New Roman"/>
                <w:color w:val="000000"/>
                <w:kern w:val="0"/>
                <w:sz w:val="16"/>
                <w:szCs w:val="16"/>
                <w:lang w:eastAsia="es-CO"/>
                <w14:ligatures w14:val="none"/>
              </w:rPr>
              <w:t>10.700.659</w:t>
            </w:r>
          </w:p>
        </w:tc>
        <w:tc>
          <w:tcPr>
            <w:tcW w:w="952" w:type="dxa"/>
            <w:noWrap/>
            <w:vAlign w:val="center"/>
            <w:hideMark/>
          </w:tcPr>
          <w:p w14:paraId="0D7EFF93" w14:textId="260E75FE" w:rsidR="005E64D9" w:rsidRPr="003076E2" w:rsidRDefault="005E64D9" w:rsidP="000A5389">
            <w:pPr>
              <w:spacing w:line="240" w:lineRule="auto"/>
              <w:jc w:val="right"/>
              <w:rPr>
                <w:rFonts w:eastAsia="Times New Roman" w:cs="Times New Roman"/>
                <w:color w:val="000000"/>
                <w:kern w:val="0"/>
                <w:sz w:val="16"/>
                <w:szCs w:val="16"/>
                <w:lang w:eastAsia="es-CO"/>
                <w14:ligatures w14:val="none"/>
              </w:rPr>
            </w:pPr>
          </w:p>
        </w:tc>
        <w:tc>
          <w:tcPr>
            <w:tcW w:w="918" w:type="dxa"/>
            <w:noWrap/>
            <w:vAlign w:val="center"/>
            <w:hideMark/>
          </w:tcPr>
          <w:p w14:paraId="5C1F53B0" w14:textId="77777777" w:rsidR="005E64D9" w:rsidRPr="003076E2" w:rsidRDefault="005E64D9" w:rsidP="000A5389">
            <w:pPr>
              <w:spacing w:line="240" w:lineRule="auto"/>
              <w:jc w:val="right"/>
              <w:rPr>
                <w:rFonts w:eastAsia="Times New Roman" w:cs="Times New Roman"/>
                <w:color w:val="000000"/>
                <w:kern w:val="0"/>
                <w:sz w:val="16"/>
                <w:szCs w:val="16"/>
                <w:lang w:eastAsia="es-CO"/>
                <w14:ligatures w14:val="none"/>
              </w:rPr>
            </w:pPr>
            <w:r w:rsidRPr="003076E2">
              <w:rPr>
                <w:rFonts w:eastAsia="Times New Roman" w:cs="Times New Roman"/>
                <w:color w:val="000000"/>
                <w:kern w:val="0"/>
                <w:sz w:val="16"/>
                <w:szCs w:val="16"/>
                <w:lang w:eastAsia="es-CO"/>
                <w14:ligatures w14:val="none"/>
              </w:rPr>
              <w:t> </w:t>
            </w:r>
          </w:p>
        </w:tc>
        <w:tc>
          <w:tcPr>
            <w:tcW w:w="1006" w:type="dxa"/>
            <w:noWrap/>
            <w:vAlign w:val="center"/>
            <w:hideMark/>
          </w:tcPr>
          <w:p w14:paraId="38DA6400" w14:textId="77777777" w:rsidR="005E64D9" w:rsidRPr="003076E2" w:rsidRDefault="005E64D9" w:rsidP="000A5389">
            <w:pPr>
              <w:spacing w:line="240" w:lineRule="auto"/>
              <w:jc w:val="right"/>
              <w:rPr>
                <w:rFonts w:eastAsia="Times New Roman" w:cs="Times New Roman"/>
                <w:color w:val="000000"/>
                <w:kern w:val="0"/>
                <w:sz w:val="16"/>
                <w:szCs w:val="16"/>
                <w:lang w:eastAsia="es-CO"/>
                <w14:ligatures w14:val="none"/>
              </w:rPr>
            </w:pPr>
            <w:r w:rsidRPr="003076E2">
              <w:rPr>
                <w:rFonts w:eastAsia="Times New Roman" w:cs="Times New Roman"/>
                <w:color w:val="000000"/>
                <w:kern w:val="0"/>
                <w:sz w:val="16"/>
                <w:szCs w:val="16"/>
                <w:lang w:eastAsia="es-CO"/>
                <w14:ligatures w14:val="none"/>
              </w:rPr>
              <w:t>10.700.659</w:t>
            </w:r>
          </w:p>
        </w:tc>
      </w:tr>
      <w:tr w:rsidR="005E64D9" w:rsidRPr="003076E2" w14:paraId="46D322E2" w14:textId="77777777" w:rsidTr="00FA4431">
        <w:trPr>
          <w:trHeight w:val="580"/>
        </w:trPr>
        <w:tc>
          <w:tcPr>
            <w:tcW w:w="954" w:type="dxa"/>
            <w:vMerge w:val="restart"/>
            <w:vAlign w:val="center"/>
            <w:hideMark/>
          </w:tcPr>
          <w:p w14:paraId="500A3D6B" w14:textId="77777777" w:rsidR="005E64D9" w:rsidRPr="003076E2" w:rsidRDefault="005E64D9" w:rsidP="000A5389">
            <w:pPr>
              <w:spacing w:line="240" w:lineRule="auto"/>
              <w:rPr>
                <w:rFonts w:eastAsia="Times New Roman" w:cs="Times New Roman"/>
                <w:color w:val="000000"/>
                <w:kern w:val="0"/>
                <w:sz w:val="16"/>
                <w:szCs w:val="16"/>
                <w:lang w:eastAsia="es-CO"/>
                <w14:ligatures w14:val="none"/>
              </w:rPr>
            </w:pPr>
            <w:r w:rsidRPr="003076E2">
              <w:rPr>
                <w:rFonts w:eastAsia="Times New Roman" w:cs="Times New Roman"/>
                <w:color w:val="000000"/>
                <w:kern w:val="0"/>
                <w:sz w:val="16"/>
                <w:szCs w:val="16"/>
                <w:lang w:eastAsia="es-CO"/>
                <w14:ligatures w14:val="none"/>
              </w:rPr>
              <w:t xml:space="preserve">Pago por cuenta de terceros </w:t>
            </w:r>
          </w:p>
        </w:tc>
        <w:tc>
          <w:tcPr>
            <w:tcW w:w="3714" w:type="dxa"/>
            <w:gridSpan w:val="2"/>
            <w:vAlign w:val="center"/>
            <w:hideMark/>
          </w:tcPr>
          <w:p w14:paraId="33E31035" w14:textId="77777777" w:rsidR="005E64D9" w:rsidRPr="003076E2" w:rsidRDefault="005E64D9" w:rsidP="000A5389">
            <w:pPr>
              <w:spacing w:line="240" w:lineRule="auto"/>
              <w:rPr>
                <w:rFonts w:eastAsia="Times New Roman" w:cs="Times New Roman"/>
                <w:b/>
                <w:bCs/>
                <w:color w:val="000000"/>
                <w:kern w:val="0"/>
                <w:sz w:val="16"/>
                <w:szCs w:val="16"/>
                <w:lang w:eastAsia="es-CO"/>
                <w14:ligatures w14:val="none"/>
              </w:rPr>
            </w:pPr>
            <w:r w:rsidRPr="003076E2">
              <w:rPr>
                <w:rFonts w:eastAsia="Times New Roman" w:cs="Times New Roman"/>
                <w:b/>
                <w:bCs/>
                <w:color w:val="000000"/>
                <w:kern w:val="0"/>
                <w:sz w:val="16"/>
                <w:szCs w:val="16"/>
                <w:lang w:eastAsia="es-CO"/>
                <w14:ligatures w14:val="none"/>
              </w:rPr>
              <w:t>Caja De Compensación Familiar Compensar</w:t>
            </w:r>
          </w:p>
        </w:tc>
        <w:tc>
          <w:tcPr>
            <w:tcW w:w="1127" w:type="dxa"/>
            <w:noWrap/>
            <w:vAlign w:val="center"/>
            <w:hideMark/>
          </w:tcPr>
          <w:p w14:paraId="28F18F08" w14:textId="77777777" w:rsidR="005E64D9" w:rsidRPr="003076E2" w:rsidRDefault="005E64D9" w:rsidP="000A5389">
            <w:pPr>
              <w:spacing w:line="240" w:lineRule="auto"/>
              <w:jc w:val="right"/>
              <w:rPr>
                <w:rFonts w:eastAsia="Times New Roman" w:cs="Times New Roman"/>
                <w:b/>
                <w:bCs/>
                <w:color w:val="000000"/>
                <w:kern w:val="0"/>
                <w:sz w:val="16"/>
                <w:szCs w:val="16"/>
                <w:lang w:eastAsia="es-CO"/>
                <w14:ligatures w14:val="none"/>
              </w:rPr>
            </w:pPr>
            <w:r w:rsidRPr="003076E2">
              <w:rPr>
                <w:rFonts w:eastAsia="Times New Roman" w:cs="Times New Roman"/>
                <w:b/>
                <w:bCs/>
                <w:color w:val="000000"/>
                <w:kern w:val="0"/>
                <w:sz w:val="16"/>
                <w:szCs w:val="16"/>
                <w:lang w:eastAsia="es-CO"/>
                <w14:ligatures w14:val="none"/>
              </w:rPr>
              <w:t>4.904.617</w:t>
            </w:r>
          </w:p>
        </w:tc>
        <w:tc>
          <w:tcPr>
            <w:tcW w:w="952" w:type="dxa"/>
            <w:noWrap/>
            <w:vAlign w:val="center"/>
            <w:hideMark/>
          </w:tcPr>
          <w:p w14:paraId="5608EE36" w14:textId="77777777" w:rsidR="005E64D9" w:rsidRPr="003076E2" w:rsidRDefault="005E64D9" w:rsidP="000A5389">
            <w:pPr>
              <w:spacing w:line="240" w:lineRule="auto"/>
              <w:jc w:val="right"/>
              <w:rPr>
                <w:rFonts w:eastAsia="Times New Roman" w:cs="Times New Roman"/>
                <w:b/>
                <w:bCs/>
                <w:color w:val="000000"/>
                <w:kern w:val="0"/>
                <w:sz w:val="16"/>
                <w:szCs w:val="16"/>
                <w:lang w:eastAsia="es-CO"/>
                <w14:ligatures w14:val="none"/>
              </w:rPr>
            </w:pPr>
            <w:r w:rsidRPr="003076E2">
              <w:rPr>
                <w:rFonts w:eastAsia="Times New Roman" w:cs="Times New Roman"/>
                <w:b/>
                <w:bCs/>
                <w:color w:val="000000"/>
                <w:kern w:val="0"/>
                <w:sz w:val="16"/>
                <w:szCs w:val="16"/>
                <w:lang w:eastAsia="es-CO"/>
                <w14:ligatures w14:val="none"/>
              </w:rPr>
              <w:t>4.194.075</w:t>
            </w:r>
          </w:p>
        </w:tc>
        <w:tc>
          <w:tcPr>
            <w:tcW w:w="918" w:type="dxa"/>
            <w:noWrap/>
            <w:vAlign w:val="center"/>
            <w:hideMark/>
          </w:tcPr>
          <w:p w14:paraId="2FA77252" w14:textId="77777777" w:rsidR="005E64D9" w:rsidRPr="003076E2" w:rsidRDefault="005E64D9" w:rsidP="000A5389">
            <w:pPr>
              <w:spacing w:line="240" w:lineRule="auto"/>
              <w:jc w:val="right"/>
              <w:rPr>
                <w:rFonts w:eastAsia="Times New Roman" w:cs="Times New Roman"/>
                <w:b/>
                <w:bCs/>
                <w:color w:val="000000"/>
                <w:kern w:val="0"/>
                <w:sz w:val="16"/>
                <w:szCs w:val="16"/>
                <w:lang w:eastAsia="es-CO"/>
                <w14:ligatures w14:val="none"/>
              </w:rPr>
            </w:pPr>
            <w:r w:rsidRPr="003076E2">
              <w:rPr>
                <w:rFonts w:eastAsia="Times New Roman" w:cs="Times New Roman"/>
                <w:b/>
                <w:bCs/>
                <w:color w:val="000000"/>
                <w:kern w:val="0"/>
                <w:sz w:val="16"/>
                <w:szCs w:val="16"/>
                <w:lang w:eastAsia="es-CO"/>
                <w14:ligatures w14:val="none"/>
              </w:rPr>
              <w:t>0</w:t>
            </w:r>
          </w:p>
        </w:tc>
        <w:tc>
          <w:tcPr>
            <w:tcW w:w="1006" w:type="dxa"/>
            <w:noWrap/>
            <w:vAlign w:val="center"/>
            <w:hideMark/>
          </w:tcPr>
          <w:p w14:paraId="45D9926C" w14:textId="77777777" w:rsidR="005E64D9" w:rsidRPr="003076E2" w:rsidRDefault="005E64D9" w:rsidP="000A5389">
            <w:pPr>
              <w:spacing w:line="240" w:lineRule="auto"/>
              <w:jc w:val="right"/>
              <w:rPr>
                <w:rFonts w:eastAsia="Times New Roman" w:cs="Times New Roman"/>
                <w:b/>
                <w:bCs/>
                <w:color w:val="000000"/>
                <w:kern w:val="0"/>
                <w:sz w:val="16"/>
                <w:szCs w:val="16"/>
                <w:lang w:eastAsia="es-CO"/>
                <w14:ligatures w14:val="none"/>
              </w:rPr>
            </w:pPr>
            <w:r w:rsidRPr="003076E2">
              <w:rPr>
                <w:rFonts w:eastAsia="Times New Roman" w:cs="Times New Roman"/>
                <w:b/>
                <w:bCs/>
                <w:color w:val="000000"/>
                <w:kern w:val="0"/>
                <w:sz w:val="16"/>
                <w:szCs w:val="16"/>
                <w:lang w:eastAsia="es-CO"/>
                <w14:ligatures w14:val="none"/>
              </w:rPr>
              <w:t>710.542</w:t>
            </w:r>
          </w:p>
        </w:tc>
      </w:tr>
      <w:tr w:rsidR="005E64D9" w:rsidRPr="003076E2" w14:paraId="1AA6D320" w14:textId="77777777" w:rsidTr="00FA4431">
        <w:trPr>
          <w:trHeight w:val="312"/>
        </w:trPr>
        <w:tc>
          <w:tcPr>
            <w:tcW w:w="954" w:type="dxa"/>
            <w:vMerge/>
            <w:vAlign w:val="center"/>
            <w:hideMark/>
          </w:tcPr>
          <w:p w14:paraId="2CEE164A" w14:textId="77777777" w:rsidR="005E64D9" w:rsidRPr="003076E2" w:rsidRDefault="005E64D9" w:rsidP="000A5389">
            <w:pPr>
              <w:spacing w:line="240" w:lineRule="auto"/>
              <w:rPr>
                <w:rFonts w:eastAsia="Times New Roman" w:cs="Times New Roman"/>
                <w:color w:val="000000"/>
                <w:kern w:val="0"/>
                <w:sz w:val="16"/>
                <w:szCs w:val="16"/>
                <w:lang w:eastAsia="es-CO"/>
                <w14:ligatures w14:val="none"/>
              </w:rPr>
            </w:pPr>
          </w:p>
        </w:tc>
        <w:tc>
          <w:tcPr>
            <w:tcW w:w="1730" w:type="dxa"/>
            <w:noWrap/>
            <w:vAlign w:val="center"/>
            <w:hideMark/>
          </w:tcPr>
          <w:p w14:paraId="44D9D4B9" w14:textId="77777777" w:rsidR="005E64D9" w:rsidRPr="003076E2" w:rsidRDefault="005E64D9" w:rsidP="000A5389">
            <w:pPr>
              <w:spacing w:line="240" w:lineRule="auto"/>
              <w:jc w:val="center"/>
              <w:rPr>
                <w:rFonts w:eastAsia="Times New Roman" w:cs="Times New Roman"/>
                <w:color w:val="000000"/>
                <w:kern w:val="0"/>
                <w:sz w:val="16"/>
                <w:szCs w:val="16"/>
                <w:lang w:eastAsia="es-CO"/>
                <w14:ligatures w14:val="none"/>
              </w:rPr>
            </w:pPr>
            <w:r w:rsidRPr="003076E2">
              <w:rPr>
                <w:rFonts w:eastAsia="Times New Roman" w:cs="Times New Roman"/>
                <w:color w:val="000000" w:themeColor="text1"/>
                <w:kern w:val="0"/>
                <w:sz w:val="16"/>
                <w:szCs w:val="16"/>
                <w:lang w:eastAsia="es-CO"/>
                <w14:ligatures w14:val="none"/>
              </w:rPr>
              <w:t>29/06/2022</w:t>
            </w:r>
          </w:p>
        </w:tc>
        <w:tc>
          <w:tcPr>
            <w:tcW w:w="1984" w:type="dxa"/>
            <w:noWrap/>
            <w:vAlign w:val="center"/>
            <w:hideMark/>
          </w:tcPr>
          <w:p w14:paraId="73C28DC1" w14:textId="77777777" w:rsidR="005E64D9" w:rsidRPr="003076E2" w:rsidRDefault="005E64D9" w:rsidP="000A5389">
            <w:pPr>
              <w:spacing w:line="240" w:lineRule="auto"/>
              <w:rPr>
                <w:rFonts w:eastAsia="Times New Roman" w:cs="Times New Roman"/>
                <w:color w:val="000000"/>
                <w:kern w:val="0"/>
                <w:sz w:val="16"/>
                <w:szCs w:val="16"/>
                <w:lang w:eastAsia="es-CO"/>
                <w14:ligatures w14:val="none"/>
              </w:rPr>
            </w:pPr>
            <w:r w:rsidRPr="003076E2">
              <w:rPr>
                <w:rFonts w:eastAsia="Times New Roman" w:cs="Times New Roman"/>
                <w:color w:val="000000"/>
                <w:kern w:val="0"/>
                <w:sz w:val="16"/>
                <w:szCs w:val="16"/>
                <w:lang w:eastAsia="es-CO"/>
                <w14:ligatures w14:val="none"/>
              </w:rPr>
              <w:t>Luis Ariel Romero Palacio</w:t>
            </w:r>
          </w:p>
        </w:tc>
        <w:tc>
          <w:tcPr>
            <w:tcW w:w="1127" w:type="dxa"/>
            <w:noWrap/>
            <w:vAlign w:val="center"/>
            <w:hideMark/>
          </w:tcPr>
          <w:p w14:paraId="09C50912" w14:textId="77777777" w:rsidR="005E64D9" w:rsidRPr="003076E2" w:rsidRDefault="005E64D9" w:rsidP="000A5389">
            <w:pPr>
              <w:spacing w:line="240" w:lineRule="auto"/>
              <w:jc w:val="right"/>
              <w:rPr>
                <w:rFonts w:eastAsia="Times New Roman" w:cs="Times New Roman"/>
                <w:color w:val="000000"/>
                <w:kern w:val="0"/>
                <w:sz w:val="16"/>
                <w:szCs w:val="16"/>
                <w:lang w:eastAsia="es-CO"/>
                <w14:ligatures w14:val="none"/>
              </w:rPr>
            </w:pPr>
            <w:r w:rsidRPr="003076E2">
              <w:rPr>
                <w:rFonts w:eastAsia="Times New Roman" w:cs="Times New Roman"/>
                <w:color w:val="000000" w:themeColor="text1"/>
                <w:kern w:val="0"/>
                <w:sz w:val="16"/>
                <w:szCs w:val="16"/>
                <w:lang w:eastAsia="es-CO"/>
                <w14:ligatures w14:val="none"/>
              </w:rPr>
              <w:t>710.542</w:t>
            </w:r>
          </w:p>
        </w:tc>
        <w:tc>
          <w:tcPr>
            <w:tcW w:w="952" w:type="dxa"/>
            <w:noWrap/>
            <w:vAlign w:val="center"/>
            <w:hideMark/>
          </w:tcPr>
          <w:p w14:paraId="66F9B700" w14:textId="13D15397" w:rsidR="005E64D9" w:rsidRPr="003076E2" w:rsidRDefault="005E64D9" w:rsidP="000A5389">
            <w:pPr>
              <w:spacing w:line="240" w:lineRule="auto"/>
              <w:jc w:val="right"/>
              <w:rPr>
                <w:rFonts w:eastAsia="Times New Roman" w:cs="Times New Roman"/>
                <w:color w:val="000000"/>
                <w:kern w:val="0"/>
                <w:sz w:val="16"/>
                <w:szCs w:val="16"/>
                <w:lang w:eastAsia="es-CO"/>
                <w14:ligatures w14:val="none"/>
              </w:rPr>
            </w:pPr>
          </w:p>
        </w:tc>
        <w:tc>
          <w:tcPr>
            <w:tcW w:w="918" w:type="dxa"/>
            <w:noWrap/>
            <w:vAlign w:val="center"/>
            <w:hideMark/>
          </w:tcPr>
          <w:p w14:paraId="14EE7570" w14:textId="77777777" w:rsidR="005E64D9" w:rsidRPr="003076E2" w:rsidRDefault="005E64D9" w:rsidP="000A5389">
            <w:pPr>
              <w:spacing w:line="240" w:lineRule="auto"/>
              <w:jc w:val="right"/>
              <w:rPr>
                <w:rFonts w:eastAsia="Times New Roman" w:cs="Times New Roman"/>
                <w:color w:val="000000"/>
                <w:kern w:val="0"/>
                <w:sz w:val="16"/>
                <w:szCs w:val="16"/>
                <w:lang w:eastAsia="es-CO"/>
                <w14:ligatures w14:val="none"/>
              </w:rPr>
            </w:pPr>
            <w:r w:rsidRPr="003076E2">
              <w:rPr>
                <w:rFonts w:eastAsia="Times New Roman" w:cs="Times New Roman"/>
                <w:color w:val="000000"/>
                <w:kern w:val="0"/>
                <w:sz w:val="16"/>
                <w:szCs w:val="16"/>
                <w:lang w:eastAsia="es-CO"/>
                <w14:ligatures w14:val="none"/>
              </w:rPr>
              <w:t> </w:t>
            </w:r>
          </w:p>
        </w:tc>
        <w:tc>
          <w:tcPr>
            <w:tcW w:w="1006" w:type="dxa"/>
            <w:noWrap/>
            <w:vAlign w:val="center"/>
            <w:hideMark/>
          </w:tcPr>
          <w:p w14:paraId="1B1BF586" w14:textId="77777777" w:rsidR="005E64D9" w:rsidRPr="003076E2" w:rsidRDefault="005E64D9" w:rsidP="000A5389">
            <w:pPr>
              <w:spacing w:line="240" w:lineRule="auto"/>
              <w:jc w:val="right"/>
              <w:rPr>
                <w:rFonts w:eastAsia="Times New Roman" w:cs="Times New Roman"/>
                <w:color w:val="000000"/>
                <w:kern w:val="0"/>
                <w:sz w:val="16"/>
                <w:szCs w:val="16"/>
                <w:lang w:eastAsia="es-CO"/>
                <w14:ligatures w14:val="none"/>
              </w:rPr>
            </w:pPr>
            <w:r w:rsidRPr="003076E2">
              <w:rPr>
                <w:rFonts w:eastAsia="Times New Roman" w:cs="Times New Roman"/>
                <w:color w:val="000000"/>
                <w:kern w:val="0"/>
                <w:sz w:val="16"/>
                <w:szCs w:val="16"/>
                <w:lang w:eastAsia="es-CO"/>
                <w14:ligatures w14:val="none"/>
              </w:rPr>
              <w:t>710.542</w:t>
            </w:r>
          </w:p>
        </w:tc>
      </w:tr>
      <w:tr w:rsidR="005E64D9" w:rsidRPr="003076E2" w14:paraId="59D469B1" w14:textId="77777777" w:rsidTr="00FA4431">
        <w:trPr>
          <w:trHeight w:val="342"/>
        </w:trPr>
        <w:tc>
          <w:tcPr>
            <w:tcW w:w="954" w:type="dxa"/>
            <w:vMerge/>
            <w:vAlign w:val="center"/>
            <w:hideMark/>
          </w:tcPr>
          <w:p w14:paraId="0CFE2402" w14:textId="77777777" w:rsidR="005E64D9" w:rsidRPr="003076E2" w:rsidRDefault="005E64D9" w:rsidP="000A5389">
            <w:pPr>
              <w:spacing w:line="240" w:lineRule="auto"/>
              <w:rPr>
                <w:rFonts w:eastAsia="Times New Roman" w:cs="Times New Roman"/>
                <w:color w:val="000000"/>
                <w:kern w:val="0"/>
                <w:sz w:val="16"/>
                <w:szCs w:val="16"/>
                <w:lang w:eastAsia="es-CO"/>
                <w14:ligatures w14:val="none"/>
              </w:rPr>
            </w:pPr>
          </w:p>
        </w:tc>
        <w:tc>
          <w:tcPr>
            <w:tcW w:w="1730" w:type="dxa"/>
            <w:noWrap/>
            <w:vAlign w:val="center"/>
            <w:hideMark/>
          </w:tcPr>
          <w:p w14:paraId="0CB808BE" w14:textId="77777777" w:rsidR="005E64D9" w:rsidRPr="003076E2" w:rsidRDefault="005E64D9" w:rsidP="000A5389">
            <w:pPr>
              <w:spacing w:line="240" w:lineRule="auto"/>
              <w:jc w:val="center"/>
              <w:rPr>
                <w:rFonts w:eastAsia="Times New Roman" w:cs="Times New Roman"/>
                <w:color w:val="000000"/>
                <w:kern w:val="0"/>
                <w:sz w:val="16"/>
                <w:szCs w:val="16"/>
                <w:lang w:eastAsia="es-CO"/>
                <w14:ligatures w14:val="none"/>
              </w:rPr>
            </w:pPr>
            <w:r w:rsidRPr="003076E2">
              <w:rPr>
                <w:rFonts w:eastAsia="Times New Roman" w:cs="Times New Roman"/>
                <w:color w:val="000000" w:themeColor="text1"/>
                <w:kern w:val="0"/>
                <w:sz w:val="16"/>
                <w:szCs w:val="16"/>
                <w:lang w:eastAsia="es-CO"/>
                <w14:ligatures w14:val="none"/>
              </w:rPr>
              <w:t>19/06/2025</w:t>
            </w:r>
          </w:p>
        </w:tc>
        <w:tc>
          <w:tcPr>
            <w:tcW w:w="1984" w:type="dxa"/>
            <w:vAlign w:val="center"/>
            <w:hideMark/>
          </w:tcPr>
          <w:p w14:paraId="0B34145A" w14:textId="77777777" w:rsidR="005E64D9" w:rsidRPr="003076E2" w:rsidRDefault="005E64D9" w:rsidP="000A5389">
            <w:pPr>
              <w:spacing w:line="240" w:lineRule="auto"/>
              <w:rPr>
                <w:rFonts w:eastAsia="Times New Roman" w:cs="Times New Roman"/>
                <w:color w:val="000000"/>
                <w:kern w:val="0"/>
                <w:sz w:val="16"/>
                <w:szCs w:val="16"/>
                <w:lang w:eastAsia="es-CO"/>
                <w14:ligatures w14:val="none"/>
              </w:rPr>
            </w:pPr>
            <w:r w:rsidRPr="003076E2">
              <w:rPr>
                <w:rFonts w:eastAsia="Times New Roman" w:cs="Times New Roman"/>
                <w:color w:val="000000"/>
                <w:kern w:val="0"/>
                <w:sz w:val="16"/>
                <w:szCs w:val="16"/>
                <w:lang w:eastAsia="es-CO"/>
                <w14:ligatures w14:val="none"/>
              </w:rPr>
              <w:t>Sonia Rocio Oliveros Boada</w:t>
            </w:r>
          </w:p>
        </w:tc>
        <w:tc>
          <w:tcPr>
            <w:tcW w:w="1127" w:type="dxa"/>
            <w:noWrap/>
            <w:vAlign w:val="center"/>
            <w:hideMark/>
          </w:tcPr>
          <w:p w14:paraId="67FD846E" w14:textId="77777777" w:rsidR="005E64D9" w:rsidRPr="003076E2" w:rsidRDefault="005E64D9" w:rsidP="000A5389">
            <w:pPr>
              <w:spacing w:line="240" w:lineRule="auto"/>
              <w:jc w:val="right"/>
              <w:rPr>
                <w:rFonts w:eastAsia="Times New Roman" w:cs="Times New Roman"/>
                <w:color w:val="000000"/>
                <w:kern w:val="0"/>
                <w:sz w:val="16"/>
                <w:szCs w:val="16"/>
                <w:lang w:eastAsia="es-CO"/>
                <w14:ligatures w14:val="none"/>
              </w:rPr>
            </w:pPr>
            <w:r w:rsidRPr="003076E2">
              <w:rPr>
                <w:rFonts w:eastAsia="Times New Roman" w:cs="Times New Roman"/>
                <w:color w:val="000000" w:themeColor="text1"/>
                <w:kern w:val="0"/>
                <w:sz w:val="16"/>
                <w:szCs w:val="16"/>
                <w:lang w:eastAsia="es-CO"/>
                <w14:ligatures w14:val="none"/>
              </w:rPr>
              <w:t>4.194.075</w:t>
            </w:r>
          </w:p>
        </w:tc>
        <w:tc>
          <w:tcPr>
            <w:tcW w:w="952" w:type="dxa"/>
            <w:noWrap/>
            <w:vAlign w:val="center"/>
            <w:hideMark/>
          </w:tcPr>
          <w:p w14:paraId="03CE5199" w14:textId="77777777" w:rsidR="005E64D9" w:rsidRPr="003076E2" w:rsidRDefault="005E64D9" w:rsidP="000A5389">
            <w:pPr>
              <w:spacing w:line="240" w:lineRule="auto"/>
              <w:jc w:val="right"/>
              <w:rPr>
                <w:rFonts w:eastAsia="Times New Roman" w:cs="Times New Roman"/>
                <w:color w:val="000000"/>
                <w:kern w:val="0"/>
                <w:sz w:val="16"/>
                <w:szCs w:val="16"/>
                <w:lang w:eastAsia="es-CO"/>
                <w14:ligatures w14:val="none"/>
              </w:rPr>
            </w:pPr>
            <w:r w:rsidRPr="003076E2">
              <w:rPr>
                <w:rFonts w:eastAsia="Times New Roman" w:cs="Times New Roman"/>
                <w:color w:val="000000"/>
                <w:kern w:val="0"/>
                <w:sz w:val="16"/>
                <w:szCs w:val="16"/>
                <w:lang w:eastAsia="es-CO"/>
                <w14:ligatures w14:val="none"/>
              </w:rPr>
              <w:t>4.194.075</w:t>
            </w:r>
          </w:p>
        </w:tc>
        <w:tc>
          <w:tcPr>
            <w:tcW w:w="918" w:type="dxa"/>
            <w:noWrap/>
            <w:vAlign w:val="center"/>
            <w:hideMark/>
          </w:tcPr>
          <w:p w14:paraId="1D1D01B2" w14:textId="77777777" w:rsidR="005E64D9" w:rsidRPr="003076E2" w:rsidRDefault="005E64D9" w:rsidP="000A5389">
            <w:pPr>
              <w:spacing w:line="240" w:lineRule="auto"/>
              <w:jc w:val="right"/>
              <w:rPr>
                <w:rFonts w:eastAsia="Times New Roman" w:cs="Times New Roman"/>
                <w:color w:val="000000"/>
                <w:kern w:val="0"/>
                <w:sz w:val="16"/>
                <w:szCs w:val="16"/>
                <w:lang w:eastAsia="es-CO"/>
                <w14:ligatures w14:val="none"/>
              </w:rPr>
            </w:pPr>
            <w:r w:rsidRPr="003076E2">
              <w:rPr>
                <w:rFonts w:eastAsia="Times New Roman" w:cs="Times New Roman"/>
                <w:color w:val="000000"/>
                <w:kern w:val="0"/>
                <w:sz w:val="16"/>
                <w:szCs w:val="16"/>
                <w:lang w:eastAsia="es-CO"/>
                <w14:ligatures w14:val="none"/>
              </w:rPr>
              <w:t> </w:t>
            </w:r>
          </w:p>
        </w:tc>
        <w:tc>
          <w:tcPr>
            <w:tcW w:w="1006" w:type="dxa"/>
            <w:noWrap/>
            <w:vAlign w:val="center"/>
            <w:hideMark/>
          </w:tcPr>
          <w:p w14:paraId="7CD6DC75" w14:textId="77777777" w:rsidR="005E64D9" w:rsidRPr="003076E2" w:rsidRDefault="005E64D9" w:rsidP="000A5389">
            <w:pPr>
              <w:spacing w:line="240" w:lineRule="auto"/>
              <w:jc w:val="right"/>
              <w:rPr>
                <w:rFonts w:eastAsia="Times New Roman" w:cs="Times New Roman"/>
                <w:color w:val="000000"/>
                <w:kern w:val="0"/>
                <w:sz w:val="16"/>
                <w:szCs w:val="16"/>
                <w:lang w:eastAsia="es-CO"/>
                <w14:ligatures w14:val="none"/>
              </w:rPr>
            </w:pPr>
            <w:r w:rsidRPr="003076E2">
              <w:rPr>
                <w:rFonts w:eastAsia="Times New Roman" w:cs="Times New Roman"/>
                <w:color w:val="000000"/>
                <w:kern w:val="0"/>
                <w:sz w:val="16"/>
                <w:szCs w:val="16"/>
                <w:lang w:eastAsia="es-CO"/>
                <w14:ligatures w14:val="none"/>
              </w:rPr>
              <w:t> </w:t>
            </w:r>
          </w:p>
        </w:tc>
      </w:tr>
      <w:tr w:rsidR="005E64D9" w:rsidRPr="003076E2" w14:paraId="6DF698D4" w14:textId="77777777" w:rsidTr="00FA4431">
        <w:trPr>
          <w:trHeight w:val="416"/>
        </w:trPr>
        <w:tc>
          <w:tcPr>
            <w:tcW w:w="954" w:type="dxa"/>
            <w:vMerge w:val="restart"/>
            <w:vAlign w:val="center"/>
            <w:hideMark/>
          </w:tcPr>
          <w:p w14:paraId="44E78870" w14:textId="77777777" w:rsidR="005E64D9" w:rsidRPr="003076E2" w:rsidRDefault="005E64D9" w:rsidP="000A5389">
            <w:pPr>
              <w:spacing w:line="240" w:lineRule="auto"/>
              <w:jc w:val="center"/>
              <w:rPr>
                <w:rFonts w:eastAsia="Times New Roman" w:cs="Times New Roman"/>
                <w:color w:val="000000"/>
                <w:kern w:val="0"/>
                <w:sz w:val="16"/>
                <w:szCs w:val="16"/>
                <w:lang w:eastAsia="es-CO"/>
                <w14:ligatures w14:val="none"/>
              </w:rPr>
            </w:pPr>
            <w:r w:rsidRPr="003076E2">
              <w:rPr>
                <w:rFonts w:eastAsia="Times New Roman" w:cs="Times New Roman"/>
                <w:color w:val="000000"/>
                <w:kern w:val="0"/>
                <w:sz w:val="16"/>
                <w:szCs w:val="16"/>
                <w:lang w:eastAsia="es-CO"/>
                <w14:ligatures w14:val="none"/>
              </w:rPr>
              <w:t xml:space="preserve">Pago por cuenta de terceros </w:t>
            </w:r>
          </w:p>
        </w:tc>
        <w:tc>
          <w:tcPr>
            <w:tcW w:w="3714" w:type="dxa"/>
            <w:gridSpan w:val="2"/>
            <w:vAlign w:val="center"/>
            <w:hideMark/>
          </w:tcPr>
          <w:p w14:paraId="016A0210" w14:textId="77777777" w:rsidR="005E64D9" w:rsidRPr="003076E2" w:rsidRDefault="005E64D9" w:rsidP="000A5389">
            <w:pPr>
              <w:spacing w:line="240" w:lineRule="auto"/>
              <w:rPr>
                <w:rFonts w:eastAsia="Times New Roman" w:cs="Times New Roman"/>
                <w:b/>
                <w:bCs/>
                <w:color w:val="000000"/>
                <w:kern w:val="0"/>
                <w:sz w:val="16"/>
                <w:szCs w:val="16"/>
                <w:lang w:eastAsia="es-CO"/>
                <w14:ligatures w14:val="none"/>
              </w:rPr>
            </w:pPr>
            <w:r w:rsidRPr="003076E2">
              <w:rPr>
                <w:rFonts w:eastAsia="Times New Roman" w:cs="Times New Roman"/>
                <w:b/>
                <w:bCs/>
                <w:color w:val="000000"/>
                <w:kern w:val="0"/>
                <w:sz w:val="16"/>
                <w:szCs w:val="16"/>
                <w:lang w:eastAsia="es-CO"/>
                <w14:ligatures w14:val="none"/>
              </w:rPr>
              <w:t xml:space="preserve">Entidad Promotora De Salud Famisanar S A S </w:t>
            </w:r>
          </w:p>
        </w:tc>
        <w:tc>
          <w:tcPr>
            <w:tcW w:w="1127" w:type="dxa"/>
            <w:noWrap/>
            <w:vAlign w:val="center"/>
            <w:hideMark/>
          </w:tcPr>
          <w:p w14:paraId="5ADDDD54" w14:textId="77777777" w:rsidR="005E64D9" w:rsidRPr="003076E2" w:rsidRDefault="005E64D9" w:rsidP="000A5389">
            <w:pPr>
              <w:spacing w:line="240" w:lineRule="auto"/>
              <w:jc w:val="right"/>
              <w:rPr>
                <w:rFonts w:eastAsia="Times New Roman" w:cs="Times New Roman"/>
                <w:b/>
                <w:bCs/>
                <w:color w:val="000000"/>
                <w:kern w:val="0"/>
                <w:sz w:val="16"/>
                <w:szCs w:val="16"/>
                <w:lang w:eastAsia="es-CO"/>
                <w14:ligatures w14:val="none"/>
              </w:rPr>
            </w:pPr>
            <w:r w:rsidRPr="003076E2">
              <w:rPr>
                <w:rFonts w:eastAsia="Times New Roman" w:cs="Times New Roman"/>
                <w:b/>
                <w:bCs/>
                <w:color w:val="000000"/>
                <w:kern w:val="0"/>
                <w:sz w:val="16"/>
                <w:szCs w:val="16"/>
                <w:lang w:eastAsia="es-CO"/>
                <w14:ligatures w14:val="none"/>
              </w:rPr>
              <w:t>1.051.389</w:t>
            </w:r>
          </w:p>
        </w:tc>
        <w:tc>
          <w:tcPr>
            <w:tcW w:w="952" w:type="dxa"/>
            <w:noWrap/>
            <w:vAlign w:val="center"/>
            <w:hideMark/>
          </w:tcPr>
          <w:p w14:paraId="0C80BE3B" w14:textId="77777777" w:rsidR="005E64D9" w:rsidRPr="003076E2" w:rsidRDefault="005E64D9" w:rsidP="000A5389">
            <w:pPr>
              <w:spacing w:line="240" w:lineRule="auto"/>
              <w:jc w:val="right"/>
              <w:rPr>
                <w:rFonts w:eastAsia="Times New Roman" w:cs="Times New Roman"/>
                <w:b/>
                <w:bCs/>
                <w:color w:val="000000"/>
                <w:kern w:val="0"/>
                <w:sz w:val="16"/>
                <w:szCs w:val="16"/>
                <w:lang w:eastAsia="es-CO"/>
                <w14:ligatures w14:val="none"/>
              </w:rPr>
            </w:pPr>
            <w:r w:rsidRPr="003076E2">
              <w:rPr>
                <w:rFonts w:eastAsia="Times New Roman" w:cs="Times New Roman"/>
                <w:b/>
                <w:bCs/>
                <w:color w:val="000000"/>
                <w:kern w:val="0"/>
                <w:sz w:val="16"/>
                <w:szCs w:val="16"/>
                <w:lang w:eastAsia="es-CO"/>
                <w14:ligatures w14:val="none"/>
              </w:rPr>
              <w:t>250.424</w:t>
            </w:r>
          </w:p>
        </w:tc>
        <w:tc>
          <w:tcPr>
            <w:tcW w:w="918" w:type="dxa"/>
            <w:noWrap/>
            <w:vAlign w:val="center"/>
            <w:hideMark/>
          </w:tcPr>
          <w:p w14:paraId="420E8CCA" w14:textId="77777777" w:rsidR="005E64D9" w:rsidRPr="003076E2" w:rsidRDefault="005E64D9" w:rsidP="000A5389">
            <w:pPr>
              <w:spacing w:line="240" w:lineRule="auto"/>
              <w:jc w:val="right"/>
              <w:rPr>
                <w:rFonts w:eastAsia="Times New Roman" w:cs="Times New Roman"/>
                <w:b/>
                <w:bCs/>
                <w:color w:val="000000"/>
                <w:kern w:val="0"/>
                <w:sz w:val="16"/>
                <w:szCs w:val="16"/>
                <w:lang w:eastAsia="es-CO"/>
                <w14:ligatures w14:val="none"/>
              </w:rPr>
            </w:pPr>
            <w:r w:rsidRPr="003076E2">
              <w:rPr>
                <w:rFonts w:eastAsia="Times New Roman" w:cs="Times New Roman"/>
                <w:b/>
                <w:bCs/>
                <w:color w:val="000000"/>
                <w:kern w:val="0"/>
                <w:sz w:val="16"/>
                <w:szCs w:val="16"/>
                <w:lang w:eastAsia="es-CO"/>
                <w14:ligatures w14:val="none"/>
              </w:rPr>
              <w:t>12.054</w:t>
            </w:r>
          </w:p>
        </w:tc>
        <w:tc>
          <w:tcPr>
            <w:tcW w:w="1006" w:type="dxa"/>
            <w:noWrap/>
            <w:vAlign w:val="center"/>
            <w:hideMark/>
          </w:tcPr>
          <w:p w14:paraId="433BF36E" w14:textId="77777777" w:rsidR="005E64D9" w:rsidRPr="003076E2" w:rsidRDefault="005E64D9" w:rsidP="000A5389">
            <w:pPr>
              <w:spacing w:line="240" w:lineRule="auto"/>
              <w:jc w:val="right"/>
              <w:rPr>
                <w:rFonts w:eastAsia="Times New Roman" w:cs="Times New Roman"/>
                <w:b/>
                <w:bCs/>
                <w:color w:val="000000"/>
                <w:kern w:val="0"/>
                <w:sz w:val="16"/>
                <w:szCs w:val="16"/>
                <w:lang w:eastAsia="es-CO"/>
                <w14:ligatures w14:val="none"/>
              </w:rPr>
            </w:pPr>
            <w:r w:rsidRPr="003076E2">
              <w:rPr>
                <w:rFonts w:eastAsia="Times New Roman" w:cs="Times New Roman"/>
                <w:b/>
                <w:bCs/>
                <w:color w:val="000000"/>
                <w:kern w:val="0"/>
                <w:sz w:val="16"/>
                <w:szCs w:val="16"/>
                <w:lang w:eastAsia="es-CO"/>
                <w14:ligatures w14:val="none"/>
              </w:rPr>
              <w:t>788.911</w:t>
            </w:r>
          </w:p>
        </w:tc>
      </w:tr>
      <w:tr w:rsidR="005E64D9" w:rsidRPr="003076E2" w14:paraId="70916616" w14:textId="77777777" w:rsidTr="00FA4431">
        <w:trPr>
          <w:trHeight w:val="312"/>
        </w:trPr>
        <w:tc>
          <w:tcPr>
            <w:tcW w:w="954" w:type="dxa"/>
            <w:vMerge/>
            <w:vAlign w:val="center"/>
            <w:hideMark/>
          </w:tcPr>
          <w:p w14:paraId="2851DD00" w14:textId="77777777" w:rsidR="005E64D9" w:rsidRPr="003076E2" w:rsidRDefault="005E64D9" w:rsidP="000A5389">
            <w:pPr>
              <w:spacing w:line="240" w:lineRule="auto"/>
              <w:rPr>
                <w:rFonts w:eastAsia="Times New Roman" w:cs="Times New Roman"/>
                <w:color w:val="000000"/>
                <w:kern w:val="0"/>
                <w:sz w:val="16"/>
                <w:szCs w:val="16"/>
                <w:lang w:eastAsia="es-CO"/>
                <w14:ligatures w14:val="none"/>
              </w:rPr>
            </w:pPr>
          </w:p>
        </w:tc>
        <w:tc>
          <w:tcPr>
            <w:tcW w:w="1730" w:type="dxa"/>
            <w:noWrap/>
            <w:vAlign w:val="center"/>
            <w:hideMark/>
          </w:tcPr>
          <w:p w14:paraId="679816B3" w14:textId="77777777" w:rsidR="005E64D9" w:rsidRPr="003076E2" w:rsidRDefault="005E64D9" w:rsidP="000A5389">
            <w:pPr>
              <w:spacing w:line="240" w:lineRule="auto"/>
              <w:jc w:val="center"/>
              <w:rPr>
                <w:rFonts w:eastAsia="Times New Roman" w:cs="Times New Roman"/>
                <w:color w:val="000000"/>
                <w:kern w:val="0"/>
                <w:sz w:val="16"/>
                <w:szCs w:val="16"/>
                <w:lang w:eastAsia="es-CO"/>
                <w14:ligatures w14:val="none"/>
              </w:rPr>
            </w:pPr>
            <w:r w:rsidRPr="003076E2">
              <w:rPr>
                <w:rFonts w:eastAsia="Times New Roman" w:cs="Times New Roman"/>
                <w:color w:val="000000" w:themeColor="text1"/>
                <w:kern w:val="0"/>
                <w:sz w:val="16"/>
                <w:szCs w:val="16"/>
                <w:lang w:eastAsia="es-CO"/>
                <w14:ligatures w14:val="none"/>
              </w:rPr>
              <w:t>18/05/2022</w:t>
            </w:r>
          </w:p>
        </w:tc>
        <w:tc>
          <w:tcPr>
            <w:tcW w:w="1984" w:type="dxa"/>
            <w:noWrap/>
            <w:vAlign w:val="center"/>
            <w:hideMark/>
          </w:tcPr>
          <w:p w14:paraId="50ABB8BA" w14:textId="4465458C" w:rsidR="005E64D9" w:rsidRPr="003076E2" w:rsidRDefault="005E64D9" w:rsidP="000A5389">
            <w:pPr>
              <w:spacing w:line="240" w:lineRule="auto"/>
              <w:rPr>
                <w:rFonts w:eastAsia="Times New Roman" w:cs="Times New Roman"/>
                <w:color w:val="000000"/>
                <w:kern w:val="0"/>
                <w:sz w:val="16"/>
                <w:szCs w:val="16"/>
                <w:lang w:eastAsia="es-CO"/>
                <w14:ligatures w14:val="none"/>
              </w:rPr>
            </w:pPr>
            <w:r w:rsidRPr="003076E2">
              <w:rPr>
                <w:rFonts w:eastAsia="Times New Roman" w:cs="Times New Roman"/>
                <w:color w:val="000000"/>
                <w:kern w:val="0"/>
                <w:sz w:val="16"/>
                <w:szCs w:val="16"/>
                <w:lang w:eastAsia="es-CO"/>
                <w14:ligatures w14:val="none"/>
              </w:rPr>
              <w:t xml:space="preserve">Andrea Patiño </w:t>
            </w:r>
            <w:r w:rsidR="00DB2570" w:rsidRPr="003076E2">
              <w:rPr>
                <w:rFonts w:eastAsia="Times New Roman" w:cs="Times New Roman"/>
                <w:color w:val="000000"/>
                <w:kern w:val="0"/>
                <w:sz w:val="16"/>
                <w:szCs w:val="16"/>
                <w:lang w:eastAsia="es-CO"/>
                <w14:ligatures w14:val="none"/>
              </w:rPr>
              <w:t>chacón</w:t>
            </w:r>
            <w:r w:rsidRPr="003076E2">
              <w:rPr>
                <w:rFonts w:eastAsia="Times New Roman" w:cs="Times New Roman"/>
                <w:color w:val="000000"/>
                <w:kern w:val="0"/>
                <w:sz w:val="16"/>
                <w:szCs w:val="16"/>
                <w:lang w:eastAsia="es-CO"/>
                <w14:ligatures w14:val="none"/>
              </w:rPr>
              <w:t xml:space="preserve"> </w:t>
            </w:r>
          </w:p>
        </w:tc>
        <w:tc>
          <w:tcPr>
            <w:tcW w:w="1127" w:type="dxa"/>
            <w:noWrap/>
            <w:vAlign w:val="center"/>
            <w:hideMark/>
          </w:tcPr>
          <w:p w14:paraId="66DAA065" w14:textId="77777777" w:rsidR="005E64D9" w:rsidRPr="003076E2" w:rsidRDefault="005E64D9" w:rsidP="000A5389">
            <w:pPr>
              <w:spacing w:line="240" w:lineRule="auto"/>
              <w:jc w:val="right"/>
              <w:rPr>
                <w:rFonts w:eastAsia="Times New Roman" w:cs="Times New Roman"/>
                <w:color w:val="000000"/>
                <w:kern w:val="0"/>
                <w:sz w:val="16"/>
                <w:szCs w:val="16"/>
                <w:lang w:eastAsia="es-CO"/>
                <w14:ligatures w14:val="none"/>
              </w:rPr>
            </w:pPr>
            <w:r w:rsidRPr="003076E2">
              <w:rPr>
                <w:rFonts w:eastAsia="Times New Roman" w:cs="Times New Roman"/>
                <w:color w:val="000000" w:themeColor="text1"/>
                <w:kern w:val="0"/>
                <w:sz w:val="16"/>
                <w:szCs w:val="16"/>
                <w:lang w:eastAsia="es-CO"/>
                <w14:ligatures w14:val="none"/>
              </w:rPr>
              <w:t>788.911</w:t>
            </w:r>
          </w:p>
        </w:tc>
        <w:tc>
          <w:tcPr>
            <w:tcW w:w="952" w:type="dxa"/>
            <w:noWrap/>
            <w:vAlign w:val="center"/>
            <w:hideMark/>
          </w:tcPr>
          <w:p w14:paraId="6C4820F3" w14:textId="608071D0" w:rsidR="005E64D9" w:rsidRPr="003076E2" w:rsidRDefault="005E64D9" w:rsidP="000A5389">
            <w:pPr>
              <w:spacing w:line="240" w:lineRule="auto"/>
              <w:jc w:val="right"/>
              <w:rPr>
                <w:rFonts w:eastAsia="Times New Roman" w:cs="Times New Roman"/>
                <w:color w:val="000000"/>
                <w:kern w:val="0"/>
                <w:sz w:val="16"/>
                <w:szCs w:val="16"/>
                <w:lang w:eastAsia="es-CO"/>
                <w14:ligatures w14:val="none"/>
              </w:rPr>
            </w:pPr>
          </w:p>
        </w:tc>
        <w:tc>
          <w:tcPr>
            <w:tcW w:w="918" w:type="dxa"/>
            <w:noWrap/>
            <w:vAlign w:val="center"/>
            <w:hideMark/>
          </w:tcPr>
          <w:p w14:paraId="2624F773" w14:textId="77777777" w:rsidR="005E64D9" w:rsidRPr="003076E2" w:rsidRDefault="005E64D9" w:rsidP="000A5389">
            <w:pPr>
              <w:spacing w:line="240" w:lineRule="auto"/>
              <w:jc w:val="right"/>
              <w:rPr>
                <w:rFonts w:eastAsia="Times New Roman" w:cs="Times New Roman"/>
                <w:color w:val="000000"/>
                <w:kern w:val="0"/>
                <w:sz w:val="16"/>
                <w:szCs w:val="16"/>
                <w:lang w:eastAsia="es-CO"/>
                <w14:ligatures w14:val="none"/>
              </w:rPr>
            </w:pPr>
            <w:r w:rsidRPr="003076E2">
              <w:rPr>
                <w:rFonts w:eastAsia="Times New Roman" w:cs="Times New Roman"/>
                <w:color w:val="000000"/>
                <w:kern w:val="0"/>
                <w:sz w:val="16"/>
                <w:szCs w:val="16"/>
                <w:lang w:eastAsia="es-CO"/>
                <w14:ligatures w14:val="none"/>
              </w:rPr>
              <w:t> </w:t>
            </w:r>
          </w:p>
        </w:tc>
        <w:tc>
          <w:tcPr>
            <w:tcW w:w="1006" w:type="dxa"/>
            <w:noWrap/>
            <w:vAlign w:val="center"/>
            <w:hideMark/>
          </w:tcPr>
          <w:p w14:paraId="7335C347" w14:textId="77777777" w:rsidR="005E64D9" w:rsidRPr="003076E2" w:rsidRDefault="005E64D9" w:rsidP="000A5389">
            <w:pPr>
              <w:spacing w:line="240" w:lineRule="auto"/>
              <w:jc w:val="right"/>
              <w:rPr>
                <w:rFonts w:eastAsia="Times New Roman" w:cs="Times New Roman"/>
                <w:color w:val="000000"/>
                <w:kern w:val="0"/>
                <w:sz w:val="16"/>
                <w:szCs w:val="16"/>
                <w:lang w:eastAsia="es-CO"/>
                <w14:ligatures w14:val="none"/>
              </w:rPr>
            </w:pPr>
            <w:r w:rsidRPr="003076E2">
              <w:rPr>
                <w:rFonts w:eastAsia="Times New Roman" w:cs="Times New Roman"/>
                <w:color w:val="000000"/>
                <w:kern w:val="0"/>
                <w:sz w:val="16"/>
                <w:szCs w:val="16"/>
                <w:lang w:eastAsia="es-CO"/>
                <w14:ligatures w14:val="none"/>
              </w:rPr>
              <w:t>788.911</w:t>
            </w:r>
          </w:p>
        </w:tc>
      </w:tr>
      <w:tr w:rsidR="005E64D9" w:rsidRPr="003076E2" w14:paraId="0E19E590" w14:textId="77777777" w:rsidTr="00FA4431">
        <w:trPr>
          <w:trHeight w:val="312"/>
        </w:trPr>
        <w:tc>
          <w:tcPr>
            <w:tcW w:w="954" w:type="dxa"/>
            <w:vMerge/>
            <w:vAlign w:val="center"/>
            <w:hideMark/>
          </w:tcPr>
          <w:p w14:paraId="15065E65" w14:textId="77777777" w:rsidR="005E64D9" w:rsidRPr="003076E2" w:rsidRDefault="005E64D9" w:rsidP="000A5389">
            <w:pPr>
              <w:spacing w:line="240" w:lineRule="auto"/>
              <w:rPr>
                <w:rFonts w:eastAsia="Times New Roman" w:cs="Times New Roman"/>
                <w:color w:val="000000"/>
                <w:kern w:val="0"/>
                <w:sz w:val="16"/>
                <w:szCs w:val="16"/>
                <w:lang w:eastAsia="es-CO"/>
                <w14:ligatures w14:val="none"/>
              </w:rPr>
            </w:pPr>
          </w:p>
        </w:tc>
        <w:tc>
          <w:tcPr>
            <w:tcW w:w="1730" w:type="dxa"/>
            <w:noWrap/>
            <w:vAlign w:val="center"/>
            <w:hideMark/>
          </w:tcPr>
          <w:p w14:paraId="305FFAAB" w14:textId="77777777" w:rsidR="005E64D9" w:rsidRPr="003076E2" w:rsidRDefault="005E64D9" w:rsidP="000A5389">
            <w:pPr>
              <w:spacing w:line="240" w:lineRule="auto"/>
              <w:jc w:val="center"/>
              <w:rPr>
                <w:rFonts w:eastAsia="Times New Roman" w:cs="Times New Roman"/>
                <w:color w:val="000000"/>
                <w:kern w:val="0"/>
                <w:sz w:val="16"/>
                <w:szCs w:val="16"/>
                <w:lang w:eastAsia="es-CO"/>
                <w14:ligatures w14:val="none"/>
              </w:rPr>
            </w:pPr>
            <w:r w:rsidRPr="003076E2">
              <w:rPr>
                <w:rFonts w:eastAsia="Times New Roman" w:cs="Times New Roman"/>
                <w:color w:val="000000" w:themeColor="text1"/>
                <w:kern w:val="0"/>
                <w:sz w:val="16"/>
                <w:szCs w:val="16"/>
                <w:lang w:eastAsia="es-CO"/>
                <w14:ligatures w14:val="none"/>
              </w:rPr>
              <w:t>24/04/2024</w:t>
            </w:r>
          </w:p>
        </w:tc>
        <w:tc>
          <w:tcPr>
            <w:tcW w:w="1984" w:type="dxa"/>
            <w:noWrap/>
            <w:vAlign w:val="center"/>
            <w:hideMark/>
          </w:tcPr>
          <w:p w14:paraId="6D2051E1" w14:textId="77777777" w:rsidR="005E64D9" w:rsidRPr="003076E2" w:rsidRDefault="005E64D9" w:rsidP="000A5389">
            <w:pPr>
              <w:spacing w:line="240" w:lineRule="auto"/>
              <w:rPr>
                <w:rFonts w:eastAsia="Times New Roman" w:cs="Times New Roman"/>
                <w:color w:val="000000"/>
                <w:kern w:val="0"/>
                <w:sz w:val="16"/>
                <w:szCs w:val="16"/>
                <w:lang w:eastAsia="es-CO"/>
                <w14:ligatures w14:val="none"/>
              </w:rPr>
            </w:pPr>
            <w:r w:rsidRPr="003076E2">
              <w:rPr>
                <w:rFonts w:eastAsia="Times New Roman" w:cs="Times New Roman"/>
                <w:color w:val="000000"/>
                <w:kern w:val="0"/>
                <w:sz w:val="16"/>
                <w:szCs w:val="16"/>
                <w:lang w:eastAsia="es-CO"/>
                <w14:ligatures w14:val="none"/>
              </w:rPr>
              <w:t xml:space="preserve">Oscar Gustavo Calderon Medina </w:t>
            </w:r>
          </w:p>
        </w:tc>
        <w:tc>
          <w:tcPr>
            <w:tcW w:w="1127" w:type="dxa"/>
            <w:noWrap/>
            <w:vAlign w:val="center"/>
            <w:hideMark/>
          </w:tcPr>
          <w:p w14:paraId="0BF203D3" w14:textId="77777777" w:rsidR="005E64D9" w:rsidRPr="003076E2" w:rsidRDefault="005E64D9" w:rsidP="000A5389">
            <w:pPr>
              <w:spacing w:line="240" w:lineRule="auto"/>
              <w:jc w:val="right"/>
              <w:rPr>
                <w:rFonts w:eastAsia="Times New Roman" w:cs="Times New Roman"/>
                <w:color w:val="000000"/>
                <w:kern w:val="0"/>
                <w:sz w:val="16"/>
                <w:szCs w:val="16"/>
                <w:lang w:eastAsia="es-CO"/>
                <w14:ligatures w14:val="none"/>
              </w:rPr>
            </w:pPr>
            <w:r w:rsidRPr="003076E2">
              <w:rPr>
                <w:rFonts w:eastAsia="Times New Roman" w:cs="Times New Roman"/>
                <w:color w:val="000000"/>
                <w:kern w:val="0"/>
                <w:sz w:val="16"/>
                <w:szCs w:val="16"/>
                <w:lang w:eastAsia="es-CO"/>
                <w14:ligatures w14:val="none"/>
              </w:rPr>
              <w:t>12.054</w:t>
            </w:r>
          </w:p>
        </w:tc>
        <w:tc>
          <w:tcPr>
            <w:tcW w:w="952" w:type="dxa"/>
            <w:noWrap/>
            <w:vAlign w:val="center"/>
            <w:hideMark/>
          </w:tcPr>
          <w:p w14:paraId="5E897C75" w14:textId="3A9B2DFA" w:rsidR="005E64D9" w:rsidRPr="003076E2" w:rsidRDefault="005E64D9" w:rsidP="000A5389">
            <w:pPr>
              <w:spacing w:line="240" w:lineRule="auto"/>
              <w:jc w:val="right"/>
              <w:rPr>
                <w:rFonts w:eastAsia="Times New Roman" w:cs="Times New Roman"/>
                <w:color w:val="000000"/>
                <w:kern w:val="0"/>
                <w:sz w:val="16"/>
                <w:szCs w:val="16"/>
                <w:lang w:eastAsia="es-CO"/>
                <w14:ligatures w14:val="none"/>
              </w:rPr>
            </w:pPr>
          </w:p>
        </w:tc>
        <w:tc>
          <w:tcPr>
            <w:tcW w:w="918" w:type="dxa"/>
            <w:noWrap/>
            <w:vAlign w:val="center"/>
            <w:hideMark/>
          </w:tcPr>
          <w:p w14:paraId="5B78874B" w14:textId="77777777" w:rsidR="005E64D9" w:rsidRPr="003076E2" w:rsidRDefault="005E64D9" w:rsidP="000A5389">
            <w:pPr>
              <w:spacing w:line="240" w:lineRule="auto"/>
              <w:jc w:val="right"/>
              <w:rPr>
                <w:rFonts w:eastAsia="Times New Roman" w:cs="Times New Roman"/>
                <w:color w:val="000000"/>
                <w:kern w:val="0"/>
                <w:sz w:val="16"/>
                <w:szCs w:val="16"/>
                <w:lang w:eastAsia="es-CO"/>
                <w14:ligatures w14:val="none"/>
              </w:rPr>
            </w:pPr>
            <w:r w:rsidRPr="003076E2">
              <w:rPr>
                <w:rFonts w:eastAsia="Times New Roman" w:cs="Times New Roman"/>
                <w:color w:val="000000"/>
                <w:kern w:val="0"/>
                <w:sz w:val="16"/>
                <w:szCs w:val="16"/>
                <w:lang w:eastAsia="es-CO"/>
                <w14:ligatures w14:val="none"/>
              </w:rPr>
              <w:t>12.054</w:t>
            </w:r>
          </w:p>
        </w:tc>
        <w:tc>
          <w:tcPr>
            <w:tcW w:w="1006" w:type="dxa"/>
            <w:noWrap/>
            <w:vAlign w:val="center"/>
            <w:hideMark/>
          </w:tcPr>
          <w:p w14:paraId="39EB2C93" w14:textId="77777777" w:rsidR="005E64D9" w:rsidRPr="003076E2" w:rsidRDefault="005E64D9" w:rsidP="000A5389">
            <w:pPr>
              <w:spacing w:line="240" w:lineRule="auto"/>
              <w:jc w:val="right"/>
              <w:rPr>
                <w:rFonts w:eastAsia="Times New Roman" w:cs="Times New Roman"/>
                <w:color w:val="000000"/>
                <w:kern w:val="0"/>
                <w:sz w:val="16"/>
                <w:szCs w:val="16"/>
                <w:lang w:eastAsia="es-CO"/>
                <w14:ligatures w14:val="none"/>
              </w:rPr>
            </w:pPr>
            <w:r w:rsidRPr="003076E2">
              <w:rPr>
                <w:rFonts w:eastAsia="Times New Roman" w:cs="Times New Roman"/>
                <w:color w:val="000000"/>
                <w:kern w:val="0"/>
                <w:sz w:val="16"/>
                <w:szCs w:val="16"/>
                <w:lang w:eastAsia="es-CO"/>
                <w14:ligatures w14:val="none"/>
              </w:rPr>
              <w:t> </w:t>
            </w:r>
          </w:p>
        </w:tc>
      </w:tr>
      <w:tr w:rsidR="005E64D9" w:rsidRPr="003076E2" w14:paraId="535FC7AF" w14:textId="77777777" w:rsidTr="00FA4431">
        <w:trPr>
          <w:trHeight w:val="312"/>
        </w:trPr>
        <w:tc>
          <w:tcPr>
            <w:tcW w:w="954" w:type="dxa"/>
            <w:vMerge/>
            <w:vAlign w:val="center"/>
            <w:hideMark/>
          </w:tcPr>
          <w:p w14:paraId="128876D8" w14:textId="77777777" w:rsidR="005E64D9" w:rsidRPr="003076E2" w:rsidRDefault="005E64D9" w:rsidP="000A5389">
            <w:pPr>
              <w:spacing w:line="240" w:lineRule="auto"/>
              <w:rPr>
                <w:rFonts w:eastAsia="Times New Roman" w:cs="Times New Roman"/>
                <w:color w:val="000000"/>
                <w:kern w:val="0"/>
                <w:sz w:val="16"/>
                <w:szCs w:val="16"/>
                <w:lang w:eastAsia="es-CO"/>
                <w14:ligatures w14:val="none"/>
              </w:rPr>
            </w:pPr>
          </w:p>
        </w:tc>
        <w:tc>
          <w:tcPr>
            <w:tcW w:w="1730" w:type="dxa"/>
            <w:noWrap/>
            <w:vAlign w:val="center"/>
            <w:hideMark/>
          </w:tcPr>
          <w:p w14:paraId="1843F26B" w14:textId="77777777" w:rsidR="005E64D9" w:rsidRPr="003076E2" w:rsidRDefault="005E64D9" w:rsidP="000A5389">
            <w:pPr>
              <w:spacing w:line="240" w:lineRule="auto"/>
              <w:jc w:val="center"/>
              <w:rPr>
                <w:rFonts w:eastAsia="Times New Roman" w:cs="Times New Roman"/>
                <w:color w:val="000000"/>
                <w:kern w:val="0"/>
                <w:sz w:val="16"/>
                <w:szCs w:val="16"/>
                <w:lang w:eastAsia="es-CO"/>
                <w14:ligatures w14:val="none"/>
              </w:rPr>
            </w:pPr>
            <w:r w:rsidRPr="003076E2">
              <w:rPr>
                <w:rFonts w:eastAsia="Times New Roman" w:cs="Times New Roman"/>
                <w:color w:val="000000" w:themeColor="text1"/>
                <w:kern w:val="0"/>
                <w:sz w:val="16"/>
                <w:szCs w:val="16"/>
                <w:lang w:eastAsia="es-CO"/>
                <w14:ligatures w14:val="none"/>
              </w:rPr>
              <w:t>12/08/2025</w:t>
            </w:r>
          </w:p>
        </w:tc>
        <w:tc>
          <w:tcPr>
            <w:tcW w:w="1984" w:type="dxa"/>
            <w:noWrap/>
            <w:vAlign w:val="center"/>
            <w:hideMark/>
          </w:tcPr>
          <w:p w14:paraId="01B7C453" w14:textId="77777777" w:rsidR="005E64D9" w:rsidRPr="003076E2" w:rsidRDefault="005E64D9" w:rsidP="000A5389">
            <w:pPr>
              <w:spacing w:line="240" w:lineRule="auto"/>
              <w:rPr>
                <w:rFonts w:eastAsia="Times New Roman" w:cs="Times New Roman"/>
                <w:color w:val="000000"/>
                <w:kern w:val="0"/>
                <w:sz w:val="16"/>
                <w:szCs w:val="16"/>
                <w:lang w:eastAsia="es-CO"/>
                <w14:ligatures w14:val="none"/>
              </w:rPr>
            </w:pPr>
            <w:r w:rsidRPr="003076E2">
              <w:rPr>
                <w:rFonts w:eastAsia="Times New Roman" w:cs="Times New Roman"/>
                <w:color w:val="000000"/>
                <w:kern w:val="0"/>
                <w:sz w:val="16"/>
                <w:szCs w:val="16"/>
                <w:lang w:eastAsia="es-CO"/>
                <w14:ligatures w14:val="none"/>
              </w:rPr>
              <w:t xml:space="preserve">Edward Norvey Verano Bohorquez </w:t>
            </w:r>
          </w:p>
        </w:tc>
        <w:tc>
          <w:tcPr>
            <w:tcW w:w="1127" w:type="dxa"/>
            <w:noWrap/>
            <w:vAlign w:val="center"/>
            <w:hideMark/>
          </w:tcPr>
          <w:p w14:paraId="01F34247" w14:textId="77777777" w:rsidR="005E64D9" w:rsidRPr="003076E2" w:rsidRDefault="005E64D9" w:rsidP="000A5389">
            <w:pPr>
              <w:spacing w:line="240" w:lineRule="auto"/>
              <w:jc w:val="right"/>
              <w:rPr>
                <w:rFonts w:eastAsia="Times New Roman" w:cs="Times New Roman"/>
                <w:color w:val="000000"/>
                <w:kern w:val="0"/>
                <w:sz w:val="16"/>
                <w:szCs w:val="16"/>
                <w:lang w:eastAsia="es-CO"/>
                <w14:ligatures w14:val="none"/>
              </w:rPr>
            </w:pPr>
            <w:r w:rsidRPr="003076E2">
              <w:rPr>
                <w:rFonts w:eastAsia="Times New Roman" w:cs="Times New Roman"/>
                <w:color w:val="000000" w:themeColor="text1"/>
                <w:kern w:val="0"/>
                <w:sz w:val="16"/>
                <w:szCs w:val="16"/>
                <w:lang w:eastAsia="es-CO"/>
                <w14:ligatures w14:val="none"/>
              </w:rPr>
              <w:t>250.424</w:t>
            </w:r>
          </w:p>
        </w:tc>
        <w:tc>
          <w:tcPr>
            <w:tcW w:w="952" w:type="dxa"/>
            <w:noWrap/>
            <w:vAlign w:val="center"/>
            <w:hideMark/>
          </w:tcPr>
          <w:p w14:paraId="6C425205" w14:textId="77777777" w:rsidR="005E64D9" w:rsidRPr="003076E2" w:rsidRDefault="005E64D9" w:rsidP="000A5389">
            <w:pPr>
              <w:spacing w:line="240" w:lineRule="auto"/>
              <w:jc w:val="right"/>
              <w:rPr>
                <w:rFonts w:eastAsia="Times New Roman" w:cs="Times New Roman"/>
                <w:color w:val="000000"/>
                <w:kern w:val="0"/>
                <w:sz w:val="16"/>
                <w:szCs w:val="16"/>
                <w:lang w:eastAsia="es-CO"/>
                <w14:ligatures w14:val="none"/>
              </w:rPr>
            </w:pPr>
            <w:r w:rsidRPr="003076E2">
              <w:rPr>
                <w:rFonts w:eastAsia="Times New Roman" w:cs="Times New Roman"/>
                <w:color w:val="000000"/>
                <w:kern w:val="0"/>
                <w:sz w:val="16"/>
                <w:szCs w:val="16"/>
                <w:lang w:eastAsia="es-CO"/>
                <w14:ligatures w14:val="none"/>
              </w:rPr>
              <w:t>250.424</w:t>
            </w:r>
          </w:p>
        </w:tc>
        <w:tc>
          <w:tcPr>
            <w:tcW w:w="918" w:type="dxa"/>
            <w:noWrap/>
            <w:vAlign w:val="center"/>
            <w:hideMark/>
          </w:tcPr>
          <w:p w14:paraId="47516B71" w14:textId="77777777" w:rsidR="005E64D9" w:rsidRPr="003076E2" w:rsidRDefault="005E64D9" w:rsidP="000A5389">
            <w:pPr>
              <w:spacing w:line="240" w:lineRule="auto"/>
              <w:jc w:val="right"/>
              <w:rPr>
                <w:rFonts w:eastAsia="Times New Roman" w:cs="Times New Roman"/>
                <w:color w:val="000000"/>
                <w:kern w:val="0"/>
                <w:sz w:val="16"/>
                <w:szCs w:val="16"/>
                <w:lang w:eastAsia="es-CO"/>
                <w14:ligatures w14:val="none"/>
              </w:rPr>
            </w:pPr>
            <w:r w:rsidRPr="003076E2">
              <w:rPr>
                <w:rFonts w:eastAsia="Times New Roman" w:cs="Times New Roman"/>
                <w:color w:val="000000"/>
                <w:kern w:val="0"/>
                <w:sz w:val="16"/>
                <w:szCs w:val="16"/>
                <w:lang w:eastAsia="es-CO"/>
                <w14:ligatures w14:val="none"/>
              </w:rPr>
              <w:t> </w:t>
            </w:r>
          </w:p>
        </w:tc>
        <w:tc>
          <w:tcPr>
            <w:tcW w:w="1006" w:type="dxa"/>
            <w:noWrap/>
            <w:vAlign w:val="center"/>
            <w:hideMark/>
          </w:tcPr>
          <w:p w14:paraId="1993BA53" w14:textId="77777777" w:rsidR="005E64D9" w:rsidRPr="003076E2" w:rsidRDefault="005E64D9" w:rsidP="000A5389">
            <w:pPr>
              <w:spacing w:line="240" w:lineRule="auto"/>
              <w:jc w:val="right"/>
              <w:rPr>
                <w:rFonts w:eastAsia="Times New Roman" w:cs="Times New Roman"/>
                <w:color w:val="000000"/>
                <w:kern w:val="0"/>
                <w:sz w:val="16"/>
                <w:szCs w:val="16"/>
                <w:lang w:eastAsia="es-CO"/>
                <w14:ligatures w14:val="none"/>
              </w:rPr>
            </w:pPr>
            <w:r w:rsidRPr="003076E2">
              <w:rPr>
                <w:rFonts w:eastAsia="Times New Roman" w:cs="Times New Roman"/>
                <w:color w:val="000000"/>
                <w:kern w:val="0"/>
                <w:sz w:val="16"/>
                <w:szCs w:val="16"/>
                <w:lang w:eastAsia="es-CO"/>
                <w14:ligatures w14:val="none"/>
              </w:rPr>
              <w:t> </w:t>
            </w:r>
          </w:p>
        </w:tc>
      </w:tr>
      <w:tr w:rsidR="005E64D9" w:rsidRPr="003076E2" w14:paraId="0932E416" w14:textId="77777777" w:rsidTr="00FA4431">
        <w:trPr>
          <w:trHeight w:val="312"/>
        </w:trPr>
        <w:tc>
          <w:tcPr>
            <w:tcW w:w="4668" w:type="dxa"/>
            <w:gridSpan w:val="3"/>
            <w:noWrap/>
            <w:vAlign w:val="center"/>
            <w:hideMark/>
          </w:tcPr>
          <w:p w14:paraId="1C7C73FF" w14:textId="77777777" w:rsidR="005E64D9" w:rsidRPr="003076E2" w:rsidRDefault="005E64D9" w:rsidP="000A5389">
            <w:pPr>
              <w:spacing w:line="240" w:lineRule="auto"/>
              <w:jc w:val="center"/>
              <w:rPr>
                <w:rFonts w:eastAsia="Times New Roman" w:cs="Times New Roman"/>
                <w:b/>
                <w:bCs/>
                <w:color w:val="000000"/>
                <w:kern w:val="0"/>
                <w:sz w:val="16"/>
                <w:szCs w:val="16"/>
                <w:lang w:eastAsia="es-CO"/>
                <w14:ligatures w14:val="none"/>
              </w:rPr>
            </w:pPr>
            <w:r w:rsidRPr="003076E2">
              <w:rPr>
                <w:rFonts w:eastAsia="Times New Roman" w:cs="Times New Roman"/>
                <w:b/>
                <w:bCs/>
                <w:color w:val="000000"/>
                <w:kern w:val="0"/>
                <w:sz w:val="16"/>
                <w:szCs w:val="16"/>
                <w:lang w:eastAsia="es-CO"/>
                <w14:ligatures w14:val="none"/>
              </w:rPr>
              <w:t>Totales</w:t>
            </w:r>
          </w:p>
        </w:tc>
        <w:tc>
          <w:tcPr>
            <w:tcW w:w="1127" w:type="dxa"/>
            <w:noWrap/>
            <w:vAlign w:val="center"/>
            <w:hideMark/>
          </w:tcPr>
          <w:p w14:paraId="6D7AB4EE" w14:textId="77777777" w:rsidR="005E64D9" w:rsidRPr="003076E2" w:rsidRDefault="005E64D9" w:rsidP="000A5389">
            <w:pPr>
              <w:spacing w:line="240" w:lineRule="auto"/>
              <w:jc w:val="right"/>
              <w:rPr>
                <w:rFonts w:eastAsia="Times New Roman" w:cs="Times New Roman"/>
                <w:b/>
                <w:bCs/>
                <w:color w:val="000000"/>
                <w:kern w:val="0"/>
                <w:sz w:val="16"/>
                <w:szCs w:val="16"/>
                <w:lang w:eastAsia="es-CO"/>
                <w14:ligatures w14:val="none"/>
              </w:rPr>
            </w:pPr>
            <w:r w:rsidRPr="003076E2">
              <w:rPr>
                <w:rFonts w:eastAsia="Times New Roman" w:cs="Times New Roman"/>
                <w:b/>
                <w:bCs/>
                <w:color w:val="000000"/>
                <w:kern w:val="0"/>
                <w:sz w:val="16"/>
                <w:szCs w:val="16"/>
                <w:lang w:eastAsia="es-CO"/>
                <w14:ligatures w14:val="none"/>
              </w:rPr>
              <w:t>69.638.671</w:t>
            </w:r>
          </w:p>
        </w:tc>
        <w:tc>
          <w:tcPr>
            <w:tcW w:w="952" w:type="dxa"/>
            <w:noWrap/>
            <w:vAlign w:val="center"/>
            <w:hideMark/>
          </w:tcPr>
          <w:p w14:paraId="177C109D" w14:textId="77777777" w:rsidR="005E64D9" w:rsidRPr="003076E2" w:rsidRDefault="005E64D9" w:rsidP="000A5389">
            <w:pPr>
              <w:spacing w:line="240" w:lineRule="auto"/>
              <w:jc w:val="right"/>
              <w:rPr>
                <w:rFonts w:eastAsia="Times New Roman" w:cs="Times New Roman"/>
                <w:b/>
                <w:bCs/>
                <w:color w:val="000000"/>
                <w:kern w:val="0"/>
                <w:sz w:val="16"/>
                <w:szCs w:val="16"/>
                <w:lang w:eastAsia="es-CO"/>
                <w14:ligatures w14:val="none"/>
              </w:rPr>
            </w:pPr>
            <w:r w:rsidRPr="003076E2">
              <w:rPr>
                <w:rFonts w:eastAsia="Times New Roman" w:cs="Times New Roman"/>
                <w:b/>
                <w:bCs/>
                <w:color w:val="000000"/>
                <w:kern w:val="0"/>
                <w:sz w:val="16"/>
                <w:szCs w:val="16"/>
                <w:lang w:eastAsia="es-CO"/>
                <w14:ligatures w14:val="none"/>
              </w:rPr>
              <w:t>6.211.738</w:t>
            </w:r>
          </w:p>
        </w:tc>
        <w:tc>
          <w:tcPr>
            <w:tcW w:w="918" w:type="dxa"/>
            <w:noWrap/>
            <w:vAlign w:val="center"/>
            <w:hideMark/>
          </w:tcPr>
          <w:p w14:paraId="0D961E25" w14:textId="77777777" w:rsidR="005E64D9" w:rsidRPr="003076E2" w:rsidRDefault="005E64D9" w:rsidP="000A5389">
            <w:pPr>
              <w:spacing w:line="240" w:lineRule="auto"/>
              <w:jc w:val="right"/>
              <w:rPr>
                <w:rFonts w:eastAsia="Times New Roman" w:cs="Times New Roman"/>
                <w:b/>
                <w:bCs/>
                <w:color w:val="000000"/>
                <w:kern w:val="0"/>
                <w:sz w:val="16"/>
                <w:szCs w:val="16"/>
                <w:lang w:eastAsia="es-CO"/>
                <w14:ligatures w14:val="none"/>
              </w:rPr>
            </w:pPr>
            <w:r w:rsidRPr="003076E2">
              <w:rPr>
                <w:rFonts w:eastAsia="Times New Roman" w:cs="Times New Roman"/>
                <w:b/>
                <w:bCs/>
                <w:color w:val="000000"/>
                <w:kern w:val="0"/>
                <w:sz w:val="16"/>
                <w:szCs w:val="16"/>
                <w:lang w:eastAsia="es-CO"/>
                <w14:ligatures w14:val="none"/>
              </w:rPr>
              <w:t>632.872</w:t>
            </w:r>
          </w:p>
        </w:tc>
        <w:tc>
          <w:tcPr>
            <w:tcW w:w="1006" w:type="dxa"/>
            <w:noWrap/>
            <w:vAlign w:val="center"/>
            <w:hideMark/>
          </w:tcPr>
          <w:p w14:paraId="530F3361" w14:textId="77777777" w:rsidR="005E64D9" w:rsidRPr="003076E2" w:rsidRDefault="005E64D9" w:rsidP="000A5389">
            <w:pPr>
              <w:spacing w:line="240" w:lineRule="auto"/>
              <w:jc w:val="right"/>
              <w:rPr>
                <w:rFonts w:eastAsia="Times New Roman" w:cs="Times New Roman"/>
                <w:b/>
                <w:bCs/>
                <w:color w:val="000000"/>
                <w:kern w:val="0"/>
                <w:sz w:val="16"/>
                <w:szCs w:val="16"/>
                <w:lang w:eastAsia="es-CO"/>
                <w14:ligatures w14:val="none"/>
              </w:rPr>
            </w:pPr>
            <w:r w:rsidRPr="003076E2">
              <w:rPr>
                <w:rFonts w:eastAsia="Times New Roman" w:cs="Times New Roman"/>
                <w:b/>
                <w:bCs/>
                <w:color w:val="000000"/>
                <w:kern w:val="0"/>
                <w:sz w:val="16"/>
                <w:szCs w:val="16"/>
                <w:lang w:eastAsia="es-CO"/>
                <w14:ligatures w14:val="none"/>
              </w:rPr>
              <w:t>40.606.012</w:t>
            </w:r>
          </w:p>
        </w:tc>
      </w:tr>
    </w:tbl>
    <w:p w14:paraId="0064DD4A" w14:textId="77777777" w:rsidR="005E64D9" w:rsidRPr="00951AB1" w:rsidRDefault="005E64D9" w:rsidP="000A5389">
      <w:pPr>
        <w:spacing w:line="240" w:lineRule="auto"/>
        <w:rPr>
          <w:rFonts w:cs="Times New Roman"/>
        </w:rPr>
      </w:pPr>
      <w:r w:rsidRPr="00951AB1">
        <w:rPr>
          <w:rFonts w:cs="Times New Roman"/>
          <w:sz w:val="14"/>
          <w:szCs w:val="14"/>
        </w:rPr>
        <w:t>Cifras expresadas en pesos</w:t>
      </w:r>
    </w:p>
    <w:p w14:paraId="388A0353" w14:textId="77777777" w:rsidR="005E64D9" w:rsidRPr="00951AB1" w:rsidRDefault="005E64D9" w:rsidP="000A5389">
      <w:pPr>
        <w:autoSpaceDE w:val="0"/>
        <w:autoSpaceDN w:val="0"/>
        <w:adjustRightInd w:val="0"/>
        <w:spacing w:line="240" w:lineRule="auto"/>
        <w:rPr>
          <w:rFonts w:cs="Times New Roman"/>
          <w:color w:val="000000"/>
          <w:szCs w:val="24"/>
        </w:rPr>
      </w:pPr>
    </w:p>
    <w:p w14:paraId="21AE5DC6" w14:textId="77777777" w:rsidR="005E64D9" w:rsidRPr="00951AB1" w:rsidRDefault="005E64D9" w:rsidP="000A5389">
      <w:pPr>
        <w:autoSpaceDE w:val="0"/>
        <w:autoSpaceDN w:val="0"/>
        <w:adjustRightInd w:val="0"/>
        <w:spacing w:line="240" w:lineRule="auto"/>
        <w:rPr>
          <w:rFonts w:cs="Times New Roman"/>
          <w:color w:val="000000"/>
          <w:szCs w:val="24"/>
        </w:rPr>
      </w:pPr>
      <w:r w:rsidRPr="00951AB1">
        <w:rPr>
          <w:rFonts w:cs="Times New Roman"/>
          <w:color w:val="000000"/>
          <w:szCs w:val="24"/>
        </w:rPr>
        <w:t xml:space="preserve">Finalmente, se informa que la entidad no pignoró cuentas por cobrar como garantía por pasivos o pasivos contingentes, no ha transferido cuentas por cobrar a terceros en transacciones que no cumplan las condiciones para la baja en cuentas y tampoco realizó baja en cuentas de cuentas por cobrar durante el período. </w:t>
      </w:r>
    </w:p>
    <w:p w14:paraId="317566CD" w14:textId="77777777" w:rsidR="00014990" w:rsidRPr="00951AB1" w:rsidRDefault="00014990" w:rsidP="000A5389">
      <w:pPr>
        <w:autoSpaceDE w:val="0"/>
        <w:autoSpaceDN w:val="0"/>
        <w:adjustRightInd w:val="0"/>
        <w:spacing w:line="240" w:lineRule="auto"/>
        <w:rPr>
          <w:rFonts w:cs="Times New Roman"/>
          <w:color w:val="000000"/>
          <w:szCs w:val="24"/>
        </w:rPr>
      </w:pPr>
    </w:p>
    <w:p w14:paraId="76EEBDDD" w14:textId="77777777" w:rsidR="00C80071" w:rsidRPr="00951AB1" w:rsidRDefault="00C80071" w:rsidP="000A5389">
      <w:pPr>
        <w:autoSpaceDE w:val="0"/>
        <w:autoSpaceDN w:val="0"/>
        <w:adjustRightInd w:val="0"/>
        <w:spacing w:line="240" w:lineRule="auto"/>
        <w:rPr>
          <w:rFonts w:cs="Times New Roman"/>
          <w:color w:val="000000"/>
          <w:szCs w:val="24"/>
        </w:rPr>
      </w:pPr>
    </w:p>
    <w:p w14:paraId="3FF6B1FC" w14:textId="77777777" w:rsidR="00C80071" w:rsidRPr="00951AB1" w:rsidRDefault="00C80071" w:rsidP="000A5389">
      <w:pPr>
        <w:pStyle w:val="Ttulo1"/>
        <w:spacing w:line="240" w:lineRule="auto"/>
        <w:rPr>
          <w:rFonts w:cs="Times New Roman"/>
        </w:rPr>
      </w:pPr>
      <w:bookmarkStart w:id="289" w:name="_Toc191369507"/>
      <w:bookmarkStart w:id="290" w:name="_Toc191456837"/>
      <w:bookmarkStart w:id="291" w:name="_Toc191456947"/>
      <w:bookmarkStart w:id="292" w:name="_Toc191457057"/>
      <w:bookmarkStart w:id="293" w:name="_Toc191475684"/>
      <w:bookmarkStart w:id="294" w:name="_Toc191475793"/>
      <w:bookmarkStart w:id="295" w:name="_Toc191475902"/>
      <w:bookmarkStart w:id="296" w:name="_Toc191475425"/>
      <w:bookmarkStart w:id="297" w:name="_Toc191505801"/>
      <w:bookmarkStart w:id="298" w:name="_Toc222824113"/>
      <w:bookmarkStart w:id="299" w:name="_Toc222955478"/>
      <w:r w:rsidRPr="00951AB1">
        <w:rPr>
          <w:rFonts w:cs="Times New Roman"/>
        </w:rPr>
        <w:t>NOTA 10. PROPIEDADES, PLANTA Y EQUIPO</w:t>
      </w:r>
      <w:bookmarkEnd w:id="289"/>
      <w:bookmarkEnd w:id="290"/>
      <w:bookmarkEnd w:id="291"/>
      <w:bookmarkEnd w:id="292"/>
      <w:bookmarkEnd w:id="293"/>
      <w:bookmarkEnd w:id="294"/>
      <w:bookmarkEnd w:id="295"/>
      <w:bookmarkEnd w:id="296"/>
      <w:bookmarkEnd w:id="297"/>
      <w:bookmarkEnd w:id="298"/>
      <w:bookmarkEnd w:id="299"/>
    </w:p>
    <w:p w14:paraId="7616DD32" w14:textId="77777777" w:rsidR="00C80071" w:rsidRPr="00951AB1" w:rsidRDefault="00C80071" w:rsidP="000A5389">
      <w:pPr>
        <w:spacing w:line="240" w:lineRule="auto"/>
        <w:rPr>
          <w:rFonts w:cs="Times New Roman"/>
          <w:b/>
          <w:szCs w:val="24"/>
        </w:rPr>
      </w:pPr>
    </w:p>
    <w:p w14:paraId="57D811EB" w14:textId="09492B35" w:rsidR="5EB25364" w:rsidRDefault="5EB25364" w:rsidP="000A5389">
      <w:pPr>
        <w:spacing w:line="240" w:lineRule="auto"/>
        <w:rPr>
          <w:rFonts w:eastAsia="Times New Roman" w:cs="Times New Roman"/>
          <w:szCs w:val="24"/>
        </w:rPr>
      </w:pPr>
      <w:r w:rsidRPr="2A085367">
        <w:rPr>
          <w:rFonts w:eastAsia="Times New Roman" w:cs="Times New Roman"/>
          <w:szCs w:val="24"/>
        </w:rPr>
        <w:lastRenderedPageBreak/>
        <w:t xml:space="preserve">La Propiedad Planta y Equipo, </w:t>
      </w:r>
      <w:r w:rsidR="3D35309A" w:rsidRPr="531C1F48">
        <w:rPr>
          <w:rFonts w:eastAsia="Times New Roman" w:cs="Times New Roman"/>
          <w:szCs w:val="24"/>
        </w:rPr>
        <w:t>corresponde</w:t>
      </w:r>
      <w:r w:rsidR="664982B1" w:rsidRPr="17C36E50">
        <w:rPr>
          <w:rFonts w:eastAsia="Times New Roman" w:cs="Times New Roman"/>
          <w:szCs w:val="24"/>
        </w:rPr>
        <w:t xml:space="preserve"> a</w:t>
      </w:r>
      <w:r w:rsidRPr="2A085367">
        <w:rPr>
          <w:rFonts w:eastAsia="Times New Roman" w:cs="Times New Roman"/>
          <w:szCs w:val="24"/>
        </w:rPr>
        <w:t xml:space="preserve"> los activos tangibles con los que cuenta la Agencia, con el fin de cumplir con su misionalidad tanto administrativa como operativa, no se espera venderlos, y son para el uso en las actividades diarias de la entidad.</w:t>
      </w:r>
    </w:p>
    <w:p w14:paraId="57BB2A44" w14:textId="77777777" w:rsidR="005854F1" w:rsidRPr="00951AB1" w:rsidRDefault="005854F1" w:rsidP="000A5389">
      <w:pPr>
        <w:spacing w:line="240" w:lineRule="auto"/>
        <w:rPr>
          <w:rFonts w:cs="Times New Roman"/>
          <w:szCs w:val="24"/>
        </w:rPr>
      </w:pPr>
    </w:p>
    <w:p w14:paraId="425168A4" w14:textId="77777777" w:rsidR="00C80071" w:rsidRPr="00951AB1" w:rsidRDefault="005854F1" w:rsidP="000A5389">
      <w:pPr>
        <w:spacing w:line="240" w:lineRule="auto"/>
        <w:rPr>
          <w:rFonts w:cs="Times New Roman"/>
          <w:szCs w:val="24"/>
        </w:rPr>
      </w:pPr>
      <w:r w:rsidRPr="00951AB1">
        <w:rPr>
          <w:rFonts w:cs="Times New Roman"/>
          <w:szCs w:val="24"/>
        </w:rPr>
        <w:t>El</w:t>
      </w:r>
      <w:r w:rsidR="00C80071" w:rsidRPr="00951AB1">
        <w:rPr>
          <w:rFonts w:cs="Times New Roman"/>
          <w:szCs w:val="24"/>
        </w:rPr>
        <w:t xml:space="preserve"> SIIF- Nación</w:t>
      </w:r>
      <w:r w:rsidRPr="00951AB1">
        <w:rPr>
          <w:rFonts w:cs="Times New Roman"/>
          <w:szCs w:val="24"/>
        </w:rPr>
        <w:t>, no cuenta con el módulo de activos fijos</w:t>
      </w:r>
      <w:r w:rsidR="00C80071" w:rsidRPr="00951AB1">
        <w:rPr>
          <w:rFonts w:cs="Times New Roman"/>
          <w:szCs w:val="24"/>
        </w:rPr>
        <w:t xml:space="preserve"> para el cálculo de las depreciaciones, amortizaciones y o provisiones, control de los activos e inventario de bienes de consumo y devolutivos, </w:t>
      </w:r>
      <w:r w:rsidRPr="00951AB1">
        <w:rPr>
          <w:rFonts w:cs="Times New Roman"/>
          <w:szCs w:val="24"/>
        </w:rPr>
        <w:t xml:space="preserve">por tal razón </w:t>
      </w:r>
      <w:r w:rsidR="00C80071" w:rsidRPr="00951AB1">
        <w:rPr>
          <w:rFonts w:cs="Times New Roman"/>
          <w:szCs w:val="24"/>
        </w:rPr>
        <w:t xml:space="preserve">la Agencia Nacional de Infraestructura cuenta con un aplicativo complementario SINFAD (Sistema Integrado de Información Financiera y Administrativa) para el manejo y control de </w:t>
      </w:r>
      <w:r w:rsidRPr="00951AB1">
        <w:rPr>
          <w:rFonts w:cs="Times New Roman"/>
          <w:szCs w:val="24"/>
        </w:rPr>
        <w:t>estos.</w:t>
      </w:r>
      <w:r w:rsidR="00C80071" w:rsidRPr="00951AB1">
        <w:rPr>
          <w:rFonts w:cs="Times New Roman"/>
          <w:szCs w:val="24"/>
        </w:rPr>
        <w:t xml:space="preserve"> </w:t>
      </w:r>
    </w:p>
    <w:p w14:paraId="482831AC" w14:textId="77777777" w:rsidR="00C80071" w:rsidRPr="00951AB1" w:rsidRDefault="00C80071" w:rsidP="000A5389">
      <w:pPr>
        <w:spacing w:line="240" w:lineRule="auto"/>
        <w:rPr>
          <w:rFonts w:cs="Times New Roman"/>
          <w:szCs w:val="24"/>
        </w:rPr>
      </w:pPr>
    </w:p>
    <w:p w14:paraId="49066202" w14:textId="77777777" w:rsidR="00C80071" w:rsidRPr="00951AB1" w:rsidRDefault="00C80071" w:rsidP="000A5389">
      <w:pPr>
        <w:spacing w:line="240" w:lineRule="auto"/>
        <w:rPr>
          <w:rFonts w:cs="Times New Roman"/>
          <w:szCs w:val="24"/>
        </w:rPr>
      </w:pPr>
      <w:r w:rsidRPr="00951AB1">
        <w:rPr>
          <w:rFonts w:cs="Times New Roman"/>
          <w:szCs w:val="24"/>
        </w:rPr>
        <w:t>Hacen parte de las propiedades, planta y equipo los activos adquiridos en virtud de los contratos de concesión de los modos carretero, férreo, y marítimos, lo anterior en cumplimiento a la norma de concesiones desde la perspectiva de la entidad concedente.</w:t>
      </w:r>
    </w:p>
    <w:p w14:paraId="14EACE5B" w14:textId="77777777" w:rsidR="00C80071" w:rsidRPr="00951AB1" w:rsidRDefault="00C80071" w:rsidP="000A5389">
      <w:pPr>
        <w:spacing w:line="240" w:lineRule="auto"/>
        <w:rPr>
          <w:rFonts w:cs="Times New Roman"/>
          <w:szCs w:val="24"/>
        </w:rPr>
      </w:pPr>
    </w:p>
    <w:p w14:paraId="374E0745" w14:textId="77777777" w:rsidR="00C80071" w:rsidRPr="00951AB1" w:rsidRDefault="00C80071" w:rsidP="000A5389">
      <w:pPr>
        <w:pStyle w:val="Ttulo2"/>
        <w:numPr>
          <w:ilvl w:val="0"/>
          <w:numId w:val="0"/>
        </w:numPr>
        <w:spacing w:line="240" w:lineRule="auto"/>
        <w:rPr>
          <w:rFonts w:cs="Times New Roman"/>
        </w:rPr>
      </w:pPr>
      <w:bookmarkStart w:id="300" w:name="_Toc191369508"/>
      <w:bookmarkStart w:id="301" w:name="_Toc191456838"/>
      <w:bookmarkStart w:id="302" w:name="_Toc191456948"/>
      <w:bookmarkStart w:id="303" w:name="_Toc191457058"/>
      <w:bookmarkStart w:id="304" w:name="_Toc191475685"/>
      <w:bookmarkStart w:id="305" w:name="_Toc191475794"/>
      <w:bookmarkStart w:id="306" w:name="_Toc191475903"/>
      <w:bookmarkStart w:id="307" w:name="_Toc191475426"/>
      <w:bookmarkStart w:id="308" w:name="_Toc191505802"/>
      <w:bookmarkStart w:id="309" w:name="_Toc222824114"/>
      <w:bookmarkStart w:id="310" w:name="_Toc222955479"/>
      <w:r w:rsidRPr="00951AB1">
        <w:rPr>
          <w:rFonts w:cs="Times New Roman"/>
        </w:rPr>
        <w:t>Composición</w:t>
      </w:r>
      <w:bookmarkEnd w:id="300"/>
      <w:bookmarkEnd w:id="301"/>
      <w:bookmarkEnd w:id="302"/>
      <w:bookmarkEnd w:id="303"/>
      <w:bookmarkEnd w:id="304"/>
      <w:bookmarkEnd w:id="305"/>
      <w:bookmarkEnd w:id="306"/>
      <w:bookmarkEnd w:id="307"/>
      <w:bookmarkEnd w:id="308"/>
      <w:bookmarkEnd w:id="309"/>
      <w:bookmarkEnd w:id="310"/>
      <w:r w:rsidRPr="00951AB1">
        <w:rPr>
          <w:rFonts w:cs="Times New Roman"/>
        </w:rPr>
        <w:tab/>
      </w:r>
    </w:p>
    <w:p w14:paraId="4779C340" w14:textId="77777777" w:rsidR="00C80071" w:rsidRPr="00951AB1" w:rsidRDefault="00C80071" w:rsidP="000A5389">
      <w:pPr>
        <w:spacing w:line="240" w:lineRule="auto"/>
        <w:rPr>
          <w:rFonts w:cs="Times New Roman"/>
          <w:szCs w:val="24"/>
        </w:rPr>
      </w:pPr>
    </w:p>
    <w:tbl>
      <w:tblPr>
        <w:tblW w:w="9208"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CellMar>
          <w:left w:w="70" w:type="dxa"/>
          <w:right w:w="70" w:type="dxa"/>
        </w:tblCellMar>
        <w:tblLook w:val="04A0" w:firstRow="1" w:lastRow="0" w:firstColumn="1" w:lastColumn="0" w:noHBand="0" w:noVBand="1"/>
      </w:tblPr>
      <w:tblGrid>
        <w:gridCol w:w="590"/>
        <w:gridCol w:w="403"/>
        <w:gridCol w:w="3260"/>
        <w:gridCol w:w="1559"/>
        <w:gridCol w:w="1559"/>
        <w:gridCol w:w="1837"/>
      </w:tblGrid>
      <w:tr w:rsidR="00F04487" w:rsidRPr="00951AB1" w14:paraId="047E1B69" w14:textId="77777777" w:rsidTr="003076E2">
        <w:trPr>
          <w:trHeight w:val="560"/>
          <w:tblHeader/>
        </w:trPr>
        <w:tc>
          <w:tcPr>
            <w:tcW w:w="4253" w:type="dxa"/>
            <w:gridSpan w:val="3"/>
            <w:noWrap/>
            <w:vAlign w:val="center"/>
            <w:hideMark/>
          </w:tcPr>
          <w:p w14:paraId="6C48BC0A" w14:textId="77777777" w:rsidR="00F04487" w:rsidRPr="00951AB1" w:rsidRDefault="00F04487" w:rsidP="000A5389">
            <w:pPr>
              <w:spacing w:line="240" w:lineRule="auto"/>
              <w:jc w:val="center"/>
              <w:rPr>
                <w:rFonts w:eastAsia="Times New Roman" w:cs="Times New Roman"/>
                <w:b/>
                <w:bCs/>
                <w:sz w:val="18"/>
                <w:szCs w:val="18"/>
                <w:lang w:val="es-419" w:eastAsia="es-419"/>
              </w:rPr>
            </w:pPr>
            <w:r w:rsidRPr="00951AB1">
              <w:rPr>
                <w:rFonts w:eastAsia="Times New Roman" w:cs="Times New Roman"/>
                <w:b/>
                <w:bCs/>
                <w:sz w:val="18"/>
                <w:szCs w:val="18"/>
                <w:lang w:val="es-419" w:eastAsia="es-419"/>
              </w:rPr>
              <w:t>CONCEPTO</w:t>
            </w:r>
          </w:p>
        </w:tc>
        <w:tc>
          <w:tcPr>
            <w:tcW w:w="1559" w:type="dxa"/>
            <w:vAlign w:val="center"/>
            <w:hideMark/>
          </w:tcPr>
          <w:p w14:paraId="3D62C1B8" w14:textId="77777777" w:rsidR="00F04487" w:rsidRPr="00951AB1" w:rsidRDefault="00F04487" w:rsidP="000A5389">
            <w:pPr>
              <w:spacing w:line="240" w:lineRule="auto"/>
              <w:jc w:val="center"/>
              <w:rPr>
                <w:rFonts w:eastAsia="Times New Roman" w:cs="Times New Roman"/>
                <w:b/>
                <w:bCs/>
                <w:sz w:val="18"/>
                <w:szCs w:val="18"/>
                <w:lang w:val="es-419" w:eastAsia="es-419"/>
              </w:rPr>
            </w:pPr>
            <w:r w:rsidRPr="00951AB1">
              <w:rPr>
                <w:rFonts w:eastAsia="Times New Roman" w:cs="Times New Roman"/>
                <w:b/>
                <w:bCs/>
                <w:sz w:val="18"/>
                <w:szCs w:val="18"/>
                <w:lang w:val="es-419" w:eastAsia="es-419"/>
              </w:rPr>
              <w:t xml:space="preserve">2025 </w:t>
            </w:r>
          </w:p>
        </w:tc>
        <w:tc>
          <w:tcPr>
            <w:tcW w:w="1559" w:type="dxa"/>
            <w:vAlign w:val="center"/>
            <w:hideMark/>
          </w:tcPr>
          <w:p w14:paraId="10AE93E0" w14:textId="77777777" w:rsidR="00F04487" w:rsidRPr="00951AB1" w:rsidRDefault="00F04487" w:rsidP="000A5389">
            <w:pPr>
              <w:spacing w:line="240" w:lineRule="auto"/>
              <w:jc w:val="center"/>
              <w:rPr>
                <w:rFonts w:eastAsia="Times New Roman" w:cs="Times New Roman"/>
                <w:b/>
                <w:bCs/>
                <w:sz w:val="18"/>
                <w:szCs w:val="18"/>
                <w:lang w:val="es-419" w:eastAsia="es-419"/>
              </w:rPr>
            </w:pPr>
            <w:r w:rsidRPr="00951AB1">
              <w:rPr>
                <w:rFonts w:eastAsia="Times New Roman" w:cs="Times New Roman"/>
                <w:b/>
                <w:bCs/>
                <w:sz w:val="18"/>
                <w:szCs w:val="18"/>
                <w:lang w:val="es-419" w:eastAsia="es-419"/>
              </w:rPr>
              <w:t xml:space="preserve">2024 </w:t>
            </w:r>
          </w:p>
        </w:tc>
        <w:tc>
          <w:tcPr>
            <w:tcW w:w="1837" w:type="dxa"/>
            <w:vAlign w:val="center"/>
            <w:hideMark/>
          </w:tcPr>
          <w:p w14:paraId="146BBEA9" w14:textId="71E975AF" w:rsidR="00F04487" w:rsidRPr="00951AB1" w:rsidRDefault="00F04487" w:rsidP="000A5389">
            <w:pPr>
              <w:spacing w:line="240" w:lineRule="auto"/>
              <w:jc w:val="center"/>
              <w:rPr>
                <w:rFonts w:eastAsia="Times New Roman" w:cs="Times New Roman"/>
                <w:b/>
                <w:bCs/>
                <w:sz w:val="18"/>
                <w:szCs w:val="18"/>
                <w:lang w:val="es-419" w:eastAsia="es-419"/>
              </w:rPr>
            </w:pPr>
            <w:r w:rsidRPr="00951AB1">
              <w:rPr>
                <w:rFonts w:eastAsia="Times New Roman" w:cs="Times New Roman"/>
                <w:b/>
                <w:bCs/>
                <w:sz w:val="18"/>
                <w:szCs w:val="18"/>
                <w:lang w:val="es-419" w:eastAsia="es-419"/>
              </w:rPr>
              <w:t>VARIACIÓN</w:t>
            </w:r>
          </w:p>
        </w:tc>
      </w:tr>
      <w:tr w:rsidR="00F04487" w:rsidRPr="00951AB1" w14:paraId="1ED7891E" w14:textId="77777777" w:rsidTr="00D127A8">
        <w:trPr>
          <w:trHeight w:val="280"/>
        </w:trPr>
        <w:tc>
          <w:tcPr>
            <w:tcW w:w="590" w:type="dxa"/>
            <w:noWrap/>
            <w:vAlign w:val="center"/>
            <w:hideMark/>
          </w:tcPr>
          <w:p w14:paraId="74EE3F97" w14:textId="77777777" w:rsidR="00F04487" w:rsidRPr="00951AB1" w:rsidRDefault="00F04487" w:rsidP="000A5389">
            <w:pPr>
              <w:spacing w:line="240" w:lineRule="auto"/>
              <w:rPr>
                <w:rFonts w:eastAsia="Times New Roman" w:cs="Times New Roman"/>
                <w:b/>
                <w:bCs/>
                <w:color w:val="000000"/>
                <w:sz w:val="18"/>
                <w:szCs w:val="18"/>
                <w:lang w:val="es-419" w:eastAsia="es-419"/>
              </w:rPr>
            </w:pPr>
            <w:r w:rsidRPr="00951AB1">
              <w:rPr>
                <w:rFonts w:eastAsia="Times New Roman" w:cs="Times New Roman"/>
                <w:b/>
                <w:bCs/>
                <w:color w:val="000000"/>
                <w:sz w:val="18"/>
                <w:szCs w:val="18"/>
                <w:lang w:val="es-419" w:eastAsia="es-419"/>
              </w:rPr>
              <w:t>1.6</w:t>
            </w:r>
          </w:p>
        </w:tc>
        <w:tc>
          <w:tcPr>
            <w:tcW w:w="3663" w:type="dxa"/>
            <w:gridSpan w:val="2"/>
            <w:noWrap/>
            <w:vAlign w:val="center"/>
            <w:hideMark/>
          </w:tcPr>
          <w:p w14:paraId="76537B5D" w14:textId="5668148E" w:rsidR="00F04487" w:rsidRPr="00951AB1" w:rsidRDefault="00F04487" w:rsidP="000A5389">
            <w:pPr>
              <w:spacing w:line="240" w:lineRule="auto"/>
              <w:rPr>
                <w:rFonts w:eastAsia="Times New Roman" w:cs="Times New Roman"/>
                <w:b/>
                <w:bCs/>
                <w:color w:val="000000"/>
                <w:sz w:val="18"/>
                <w:szCs w:val="18"/>
                <w:lang w:val="es-419" w:eastAsia="es-419"/>
              </w:rPr>
            </w:pPr>
            <w:r w:rsidRPr="00951AB1">
              <w:rPr>
                <w:rFonts w:eastAsia="Times New Roman" w:cs="Times New Roman"/>
                <w:b/>
                <w:bCs/>
                <w:color w:val="000000"/>
                <w:sz w:val="18"/>
                <w:szCs w:val="18"/>
                <w:lang w:val="es-419" w:eastAsia="es-419"/>
              </w:rPr>
              <w:t>PROPIEDADES, PLANTA Y EQUIPO</w:t>
            </w:r>
          </w:p>
        </w:tc>
        <w:tc>
          <w:tcPr>
            <w:tcW w:w="1559" w:type="dxa"/>
            <w:noWrap/>
            <w:vAlign w:val="center"/>
            <w:hideMark/>
          </w:tcPr>
          <w:p w14:paraId="7BB09F49" w14:textId="77777777" w:rsidR="00F04487" w:rsidRPr="00951AB1" w:rsidRDefault="00F04487" w:rsidP="000A5389">
            <w:pPr>
              <w:spacing w:line="240" w:lineRule="auto"/>
              <w:jc w:val="right"/>
              <w:rPr>
                <w:rFonts w:eastAsia="Times New Roman" w:cs="Times New Roman"/>
                <w:b/>
                <w:bCs/>
                <w:color w:val="000000"/>
                <w:sz w:val="18"/>
                <w:szCs w:val="18"/>
                <w:lang w:val="es-419" w:eastAsia="es-419"/>
              </w:rPr>
            </w:pPr>
            <w:r w:rsidRPr="00951AB1">
              <w:rPr>
                <w:rFonts w:eastAsia="Times New Roman" w:cs="Times New Roman"/>
                <w:b/>
                <w:bCs/>
                <w:color w:val="000000"/>
                <w:sz w:val="18"/>
                <w:szCs w:val="18"/>
                <w:lang w:val="es-419" w:eastAsia="es-419"/>
              </w:rPr>
              <w:t>3.479.117.839.527</w:t>
            </w:r>
          </w:p>
        </w:tc>
        <w:tc>
          <w:tcPr>
            <w:tcW w:w="1559" w:type="dxa"/>
            <w:noWrap/>
            <w:vAlign w:val="center"/>
            <w:hideMark/>
          </w:tcPr>
          <w:p w14:paraId="41DBA124" w14:textId="77777777" w:rsidR="00F04487" w:rsidRPr="00951AB1" w:rsidRDefault="00F04487" w:rsidP="000A5389">
            <w:pPr>
              <w:spacing w:line="240" w:lineRule="auto"/>
              <w:jc w:val="right"/>
              <w:rPr>
                <w:rFonts w:eastAsia="Times New Roman" w:cs="Times New Roman"/>
                <w:b/>
                <w:bCs/>
                <w:color w:val="000000"/>
                <w:sz w:val="18"/>
                <w:szCs w:val="18"/>
                <w:lang w:val="es-419" w:eastAsia="es-419"/>
              </w:rPr>
            </w:pPr>
            <w:r w:rsidRPr="00951AB1">
              <w:rPr>
                <w:rFonts w:eastAsia="Times New Roman" w:cs="Times New Roman"/>
                <w:b/>
                <w:bCs/>
                <w:color w:val="000000"/>
                <w:sz w:val="18"/>
                <w:szCs w:val="18"/>
                <w:lang w:val="es-419" w:eastAsia="es-419"/>
              </w:rPr>
              <w:t>2.980.533.547.993</w:t>
            </w:r>
          </w:p>
        </w:tc>
        <w:tc>
          <w:tcPr>
            <w:tcW w:w="1837" w:type="dxa"/>
            <w:noWrap/>
            <w:vAlign w:val="center"/>
            <w:hideMark/>
          </w:tcPr>
          <w:p w14:paraId="21C1B207" w14:textId="77777777" w:rsidR="00F04487" w:rsidRPr="00951AB1" w:rsidRDefault="00F04487" w:rsidP="000A5389">
            <w:pPr>
              <w:spacing w:line="240" w:lineRule="auto"/>
              <w:jc w:val="right"/>
              <w:rPr>
                <w:rFonts w:eastAsia="Times New Roman" w:cs="Times New Roman"/>
                <w:b/>
                <w:bCs/>
                <w:color w:val="000000"/>
                <w:sz w:val="18"/>
                <w:szCs w:val="18"/>
                <w:lang w:val="es-419" w:eastAsia="es-419"/>
              </w:rPr>
            </w:pPr>
            <w:r w:rsidRPr="00951AB1">
              <w:rPr>
                <w:rFonts w:eastAsia="Times New Roman" w:cs="Times New Roman"/>
                <w:b/>
                <w:bCs/>
                <w:color w:val="000000"/>
                <w:sz w:val="18"/>
                <w:szCs w:val="18"/>
                <w:lang w:val="es-419" w:eastAsia="es-419"/>
              </w:rPr>
              <w:t>498.584.291.534</w:t>
            </w:r>
          </w:p>
        </w:tc>
      </w:tr>
      <w:tr w:rsidR="00F04487" w:rsidRPr="00951AB1" w14:paraId="593F9DC6" w14:textId="77777777" w:rsidTr="00F04487">
        <w:trPr>
          <w:trHeight w:val="280"/>
        </w:trPr>
        <w:tc>
          <w:tcPr>
            <w:tcW w:w="590" w:type="dxa"/>
            <w:noWrap/>
            <w:vAlign w:val="center"/>
            <w:hideMark/>
          </w:tcPr>
          <w:p w14:paraId="4DB3FDD1" w14:textId="77777777" w:rsidR="00F04487" w:rsidRPr="00951AB1" w:rsidRDefault="00F04487" w:rsidP="000A5389">
            <w:pPr>
              <w:spacing w:line="240" w:lineRule="auto"/>
              <w:rPr>
                <w:rFonts w:eastAsia="Times New Roman" w:cs="Times New Roman"/>
                <w:color w:val="000000"/>
                <w:sz w:val="18"/>
                <w:szCs w:val="18"/>
                <w:lang w:val="es-419" w:eastAsia="es-419"/>
              </w:rPr>
            </w:pPr>
            <w:r w:rsidRPr="00951AB1">
              <w:rPr>
                <w:rFonts w:eastAsia="Times New Roman" w:cs="Times New Roman"/>
                <w:color w:val="000000"/>
                <w:sz w:val="18"/>
                <w:szCs w:val="18"/>
                <w:lang w:val="es-419" w:eastAsia="es-419"/>
              </w:rPr>
              <w:t>1.6.83</w:t>
            </w:r>
          </w:p>
        </w:tc>
        <w:tc>
          <w:tcPr>
            <w:tcW w:w="403" w:type="dxa"/>
            <w:noWrap/>
            <w:vAlign w:val="center"/>
            <w:hideMark/>
          </w:tcPr>
          <w:p w14:paraId="0D1D246E" w14:textId="77777777" w:rsidR="00F04487" w:rsidRPr="00951AB1" w:rsidRDefault="00F04487" w:rsidP="000A5389">
            <w:pPr>
              <w:spacing w:line="240" w:lineRule="auto"/>
              <w:jc w:val="center"/>
              <w:rPr>
                <w:rFonts w:eastAsia="Times New Roman" w:cs="Times New Roman"/>
                <w:color w:val="000000"/>
                <w:sz w:val="18"/>
                <w:szCs w:val="18"/>
                <w:lang w:val="es-419" w:eastAsia="es-419"/>
              </w:rPr>
            </w:pPr>
            <w:r w:rsidRPr="00951AB1">
              <w:rPr>
                <w:rFonts w:eastAsia="Times New Roman" w:cs="Times New Roman"/>
                <w:color w:val="000000"/>
                <w:sz w:val="18"/>
                <w:szCs w:val="18"/>
                <w:lang w:val="es-419" w:eastAsia="es-419"/>
              </w:rPr>
              <w:t>Db</w:t>
            </w:r>
          </w:p>
        </w:tc>
        <w:tc>
          <w:tcPr>
            <w:tcW w:w="3260" w:type="dxa"/>
            <w:vAlign w:val="center"/>
            <w:hideMark/>
          </w:tcPr>
          <w:p w14:paraId="320B39D9" w14:textId="77777777" w:rsidR="00F04487" w:rsidRPr="00951AB1" w:rsidRDefault="00F04487" w:rsidP="000A5389">
            <w:pPr>
              <w:spacing w:line="240" w:lineRule="auto"/>
              <w:rPr>
                <w:rFonts w:eastAsia="Times New Roman" w:cs="Times New Roman"/>
                <w:color w:val="000000"/>
                <w:sz w:val="18"/>
                <w:szCs w:val="18"/>
                <w:lang w:val="es-419" w:eastAsia="es-419"/>
              </w:rPr>
            </w:pPr>
            <w:r w:rsidRPr="00951AB1">
              <w:rPr>
                <w:rFonts w:eastAsia="Times New Roman" w:cs="Times New Roman"/>
                <w:color w:val="000000"/>
                <w:sz w:val="18"/>
                <w:szCs w:val="18"/>
                <w:lang w:val="es-419" w:eastAsia="es-419"/>
              </w:rPr>
              <w:t>Propiedades, planta y equipo en concesión</w:t>
            </w:r>
          </w:p>
        </w:tc>
        <w:tc>
          <w:tcPr>
            <w:tcW w:w="1559" w:type="dxa"/>
            <w:noWrap/>
            <w:vAlign w:val="center"/>
            <w:hideMark/>
          </w:tcPr>
          <w:p w14:paraId="73B701E9" w14:textId="77777777" w:rsidR="00F04487" w:rsidRPr="00951AB1" w:rsidRDefault="00F04487" w:rsidP="000A5389">
            <w:pPr>
              <w:spacing w:line="240" w:lineRule="auto"/>
              <w:jc w:val="right"/>
              <w:rPr>
                <w:rFonts w:eastAsia="Times New Roman" w:cs="Times New Roman"/>
                <w:color w:val="000000"/>
                <w:sz w:val="18"/>
                <w:szCs w:val="18"/>
                <w:lang w:val="es-419" w:eastAsia="es-419"/>
              </w:rPr>
            </w:pPr>
            <w:r w:rsidRPr="00951AB1">
              <w:rPr>
                <w:rFonts w:eastAsia="Times New Roman" w:cs="Times New Roman"/>
                <w:color w:val="000000"/>
                <w:sz w:val="18"/>
                <w:szCs w:val="18"/>
                <w:lang w:val="es-419" w:eastAsia="es-419"/>
              </w:rPr>
              <w:t>3.471.766.511.384</w:t>
            </w:r>
          </w:p>
        </w:tc>
        <w:tc>
          <w:tcPr>
            <w:tcW w:w="1559" w:type="dxa"/>
            <w:noWrap/>
            <w:vAlign w:val="center"/>
            <w:hideMark/>
          </w:tcPr>
          <w:p w14:paraId="4ED13DCE" w14:textId="77777777" w:rsidR="00F04487" w:rsidRPr="00951AB1" w:rsidRDefault="00F04487" w:rsidP="000A5389">
            <w:pPr>
              <w:spacing w:line="240" w:lineRule="auto"/>
              <w:jc w:val="right"/>
              <w:rPr>
                <w:rFonts w:eastAsia="Times New Roman" w:cs="Times New Roman"/>
                <w:color w:val="000000"/>
                <w:sz w:val="18"/>
                <w:szCs w:val="18"/>
                <w:lang w:val="es-419" w:eastAsia="es-419"/>
              </w:rPr>
            </w:pPr>
            <w:r w:rsidRPr="00951AB1">
              <w:rPr>
                <w:rFonts w:eastAsia="Times New Roman" w:cs="Times New Roman"/>
                <w:color w:val="000000"/>
                <w:sz w:val="18"/>
                <w:szCs w:val="18"/>
                <w:lang w:val="es-419" w:eastAsia="es-419"/>
              </w:rPr>
              <w:t>2.985.955.218.140</w:t>
            </w:r>
          </w:p>
        </w:tc>
        <w:tc>
          <w:tcPr>
            <w:tcW w:w="1837" w:type="dxa"/>
            <w:noWrap/>
            <w:vAlign w:val="center"/>
            <w:hideMark/>
          </w:tcPr>
          <w:p w14:paraId="4C3CF2E8" w14:textId="77777777" w:rsidR="00F04487" w:rsidRPr="00951AB1" w:rsidRDefault="00F04487" w:rsidP="000A5389">
            <w:pPr>
              <w:spacing w:line="240" w:lineRule="auto"/>
              <w:jc w:val="right"/>
              <w:rPr>
                <w:rFonts w:eastAsia="Times New Roman" w:cs="Times New Roman"/>
                <w:color w:val="000000"/>
                <w:sz w:val="18"/>
                <w:szCs w:val="18"/>
                <w:lang w:val="es-419" w:eastAsia="es-419"/>
              </w:rPr>
            </w:pPr>
            <w:r w:rsidRPr="00951AB1">
              <w:rPr>
                <w:rFonts w:eastAsia="Times New Roman" w:cs="Times New Roman"/>
                <w:color w:val="000000"/>
                <w:sz w:val="18"/>
                <w:szCs w:val="18"/>
                <w:lang w:val="es-419" w:eastAsia="es-419"/>
              </w:rPr>
              <w:t>485.811.293.244</w:t>
            </w:r>
          </w:p>
        </w:tc>
      </w:tr>
      <w:tr w:rsidR="00F04487" w:rsidRPr="00951AB1" w14:paraId="1AE81EAB" w14:textId="77777777" w:rsidTr="00F04487">
        <w:trPr>
          <w:trHeight w:val="280"/>
        </w:trPr>
        <w:tc>
          <w:tcPr>
            <w:tcW w:w="590" w:type="dxa"/>
            <w:noWrap/>
            <w:vAlign w:val="center"/>
            <w:hideMark/>
          </w:tcPr>
          <w:p w14:paraId="7894998E" w14:textId="77777777" w:rsidR="00F04487" w:rsidRPr="00951AB1" w:rsidRDefault="00F04487" w:rsidP="000A5389">
            <w:pPr>
              <w:spacing w:line="240" w:lineRule="auto"/>
              <w:rPr>
                <w:rFonts w:eastAsia="Times New Roman" w:cs="Times New Roman"/>
                <w:color w:val="000000"/>
                <w:sz w:val="18"/>
                <w:szCs w:val="18"/>
                <w:lang w:val="es-419" w:eastAsia="es-419"/>
              </w:rPr>
            </w:pPr>
            <w:r w:rsidRPr="00951AB1">
              <w:rPr>
                <w:rFonts w:eastAsia="Times New Roman" w:cs="Times New Roman"/>
                <w:color w:val="000000"/>
                <w:sz w:val="18"/>
                <w:szCs w:val="18"/>
                <w:lang w:val="es-419" w:eastAsia="es-419"/>
              </w:rPr>
              <w:t>1.6.70</w:t>
            </w:r>
          </w:p>
        </w:tc>
        <w:tc>
          <w:tcPr>
            <w:tcW w:w="403" w:type="dxa"/>
            <w:noWrap/>
            <w:vAlign w:val="center"/>
            <w:hideMark/>
          </w:tcPr>
          <w:p w14:paraId="77D3DA9D" w14:textId="77777777" w:rsidR="00F04487" w:rsidRPr="00951AB1" w:rsidRDefault="00F04487" w:rsidP="000A5389">
            <w:pPr>
              <w:spacing w:line="240" w:lineRule="auto"/>
              <w:jc w:val="center"/>
              <w:rPr>
                <w:rFonts w:eastAsia="Times New Roman" w:cs="Times New Roman"/>
                <w:color w:val="000000"/>
                <w:sz w:val="18"/>
                <w:szCs w:val="18"/>
                <w:lang w:val="es-419" w:eastAsia="es-419"/>
              </w:rPr>
            </w:pPr>
            <w:r w:rsidRPr="00951AB1">
              <w:rPr>
                <w:rFonts w:eastAsia="Times New Roman" w:cs="Times New Roman"/>
                <w:color w:val="000000"/>
                <w:sz w:val="18"/>
                <w:szCs w:val="18"/>
                <w:lang w:val="es-419" w:eastAsia="es-419"/>
              </w:rPr>
              <w:t>Db</w:t>
            </w:r>
          </w:p>
        </w:tc>
        <w:tc>
          <w:tcPr>
            <w:tcW w:w="3260" w:type="dxa"/>
            <w:vAlign w:val="center"/>
            <w:hideMark/>
          </w:tcPr>
          <w:p w14:paraId="1576A6F5" w14:textId="77777777" w:rsidR="00F04487" w:rsidRPr="00951AB1" w:rsidRDefault="00F04487" w:rsidP="000A5389">
            <w:pPr>
              <w:spacing w:line="240" w:lineRule="auto"/>
              <w:rPr>
                <w:rFonts w:eastAsia="Times New Roman" w:cs="Times New Roman"/>
                <w:color w:val="000000"/>
                <w:sz w:val="18"/>
                <w:szCs w:val="18"/>
                <w:lang w:val="es-419" w:eastAsia="es-419"/>
              </w:rPr>
            </w:pPr>
            <w:r w:rsidRPr="00951AB1">
              <w:rPr>
                <w:rFonts w:eastAsia="Times New Roman" w:cs="Times New Roman"/>
                <w:color w:val="000000"/>
                <w:sz w:val="18"/>
                <w:szCs w:val="18"/>
                <w:lang w:val="es-419" w:eastAsia="es-419"/>
              </w:rPr>
              <w:t>Equipos de comunicación y computación</w:t>
            </w:r>
          </w:p>
        </w:tc>
        <w:tc>
          <w:tcPr>
            <w:tcW w:w="1559" w:type="dxa"/>
            <w:noWrap/>
            <w:vAlign w:val="center"/>
            <w:hideMark/>
          </w:tcPr>
          <w:p w14:paraId="03EFCA77" w14:textId="77777777" w:rsidR="00F04487" w:rsidRPr="00951AB1" w:rsidRDefault="00F04487" w:rsidP="000A5389">
            <w:pPr>
              <w:spacing w:line="240" w:lineRule="auto"/>
              <w:jc w:val="right"/>
              <w:rPr>
                <w:rFonts w:eastAsia="Times New Roman" w:cs="Times New Roman"/>
                <w:color w:val="000000"/>
                <w:sz w:val="18"/>
                <w:szCs w:val="18"/>
                <w:lang w:val="es-419" w:eastAsia="es-419"/>
              </w:rPr>
            </w:pPr>
            <w:r w:rsidRPr="00951AB1">
              <w:rPr>
                <w:rFonts w:eastAsia="Times New Roman" w:cs="Times New Roman"/>
                <w:color w:val="000000"/>
                <w:sz w:val="18"/>
                <w:szCs w:val="18"/>
                <w:lang w:val="es-419" w:eastAsia="es-419"/>
              </w:rPr>
              <w:t>19.784.920.907</w:t>
            </w:r>
          </w:p>
        </w:tc>
        <w:tc>
          <w:tcPr>
            <w:tcW w:w="1559" w:type="dxa"/>
            <w:noWrap/>
            <w:vAlign w:val="center"/>
            <w:hideMark/>
          </w:tcPr>
          <w:p w14:paraId="2136F952" w14:textId="77777777" w:rsidR="00F04487" w:rsidRPr="00951AB1" w:rsidRDefault="00F04487" w:rsidP="000A5389">
            <w:pPr>
              <w:spacing w:line="240" w:lineRule="auto"/>
              <w:jc w:val="right"/>
              <w:rPr>
                <w:rFonts w:eastAsia="Times New Roman" w:cs="Times New Roman"/>
                <w:color w:val="000000"/>
                <w:sz w:val="18"/>
                <w:szCs w:val="18"/>
                <w:lang w:val="es-419" w:eastAsia="es-419"/>
              </w:rPr>
            </w:pPr>
            <w:r w:rsidRPr="00951AB1">
              <w:rPr>
                <w:rFonts w:eastAsia="Times New Roman" w:cs="Times New Roman"/>
                <w:color w:val="000000"/>
                <w:sz w:val="18"/>
                <w:szCs w:val="18"/>
                <w:lang w:val="es-419" w:eastAsia="es-419"/>
              </w:rPr>
              <w:t>5.447.929.410</w:t>
            </w:r>
          </w:p>
        </w:tc>
        <w:tc>
          <w:tcPr>
            <w:tcW w:w="1837" w:type="dxa"/>
            <w:noWrap/>
            <w:vAlign w:val="center"/>
            <w:hideMark/>
          </w:tcPr>
          <w:p w14:paraId="55077A35" w14:textId="77777777" w:rsidR="00F04487" w:rsidRPr="00951AB1" w:rsidRDefault="00F04487" w:rsidP="000A5389">
            <w:pPr>
              <w:spacing w:line="240" w:lineRule="auto"/>
              <w:jc w:val="right"/>
              <w:rPr>
                <w:rFonts w:eastAsia="Times New Roman" w:cs="Times New Roman"/>
                <w:color w:val="000000"/>
                <w:sz w:val="18"/>
                <w:szCs w:val="18"/>
                <w:lang w:val="es-419" w:eastAsia="es-419"/>
              </w:rPr>
            </w:pPr>
            <w:r w:rsidRPr="00951AB1">
              <w:rPr>
                <w:rFonts w:eastAsia="Times New Roman" w:cs="Times New Roman"/>
                <w:color w:val="000000"/>
                <w:sz w:val="18"/>
                <w:szCs w:val="18"/>
                <w:lang w:val="es-419" w:eastAsia="es-419"/>
              </w:rPr>
              <w:t>14.336.991.497</w:t>
            </w:r>
          </w:p>
        </w:tc>
      </w:tr>
      <w:tr w:rsidR="00F04487" w:rsidRPr="00951AB1" w14:paraId="3C4107A2" w14:textId="77777777" w:rsidTr="00F04487">
        <w:trPr>
          <w:trHeight w:val="280"/>
        </w:trPr>
        <w:tc>
          <w:tcPr>
            <w:tcW w:w="590" w:type="dxa"/>
            <w:noWrap/>
            <w:vAlign w:val="center"/>
            <w:hideMark/>
          </w:tcPr>
          <w:p w14:paraId="55ED50AC" w14:textId="77777777" w:rsidR="00F04487" w:rsidRPr="00951AB1" w:rsidRDefault="00F04487" w:rsidP="000A5389">
            <w:pPr>
              <w:spacing w:line="240" w:lineRule="auto"/>
              <w:rPr>
                <w:rFonts w:eastAsia="Times New Roman" w:cs="Times New Roman"/>
                <w:color w:val="000000"/>
                <w:sz w:val="18"/>
                <w:szCs w:val="18"/>
                <w:lang w:val="es-419" w:eastAsia="es-419"/>
              </w:rPr>
            </w:pPr>
            <w:r w:rsidRPr="00951AB1">
              <w:rPr>
                <w:rFonts w:eastAsia="Times New Roman" w:cs="Times New Roman"/>
                <w:color w:val="000000"/>
                <w:sz w:val="18"/>
                <w:szCs w:val="18"/>
                <w:lang w:val="es-419" w:eastAsia="es-419"/>
              </w:rPr>
              <w:t>1.6.65</w:t>
            </w:r>
          </w:p>
        </w:tc>
        <w:tc>
          <w:tcPr>
            <w:tcW w:w="403" w:type="dxa"/>
            <w:noWrap/>
            <w:vAlign w:val="center"/>
            <w:hideMark/>
          </w:tcPr>
          <w:p w14:paraId="0C3CCC6D" w14:textId="77777777" w:rsidR="00F04487" w:rsidRPr="00951AB1" w:rsidRDefault="00F04487" w:rsidP="000A5389">
            <w:pPr>
              <w:spacing w:line="240" w:lineRule="auto"/>
              <w:jc w:val="center"/>
              <w:rPr>
                <w:rFonts w:eastAsia="Times New Roman" w:cs="Times New Roman"/>
                <w:color w:val="000000"/>
                <w:sz w:val="18"/>
                <w:szCs w:val="18"/>
                <w:lang w:val="es-419" w:eastAsia="es-419"/>
              </w:rPr>
            </w:pPr>
            <w:r w:rsidRPr="00951AB1">
              <w:rPr>
                <w:rFonts w:eastAsia="Times New Roman" w:cs="Times New Roman"/>
                <w:color w:val="000000"/>
                <w:sz w:val="18"/>
                <w:szCs w:val="18"/>
                <w:lang w:val="es-419" w:eastAsia="es-419"/>
              </w:rPr>
              <w:t>Db</w:t>
            </w:r>
          </w:p>
        </w:tc>
        <w:tc>
          <w:tcPr>
            <w:tcW w:w="3260" w:type="dxa"/>
            <w:vAlign w:val="center"/>
            <w:hideMark/>
          </w:tcPr>
          <w:p w14:paraId="137B2154" w14:textId="77777777" w:rsidR="00F04487" w:rsidRPr="00951AB1" w:rsidRDefault="00F04487" w:rsidP="000A5389">
            <w:pPr>
              <w:spacing w:line="240" w:lineRule="auto"/>
              <w:rPr>
                <w:rFonts w:eastAsia="Times New Roman" w:cs="Times New Roman"/>
                <w:color w:val="000000"/>
                <w:sz w:val="18"/>
                <w:szCs w:val="18"/>
                <w:lang w:val="es-419" w:eastAsia="es-419"/>
              </w:rPr>
            </w:pPr>
            <w:r w:rsidRPr="00951AB1">
              <w:rPr>
                <w:rFonts w:eastAsia="Times New Roman" w:cs="Times New Roman"/>
                <w:color w:val="000000"/>
                <w:sz w:val="18"/>
                <w:szCs w:val="18"/>
                <w:lang w:val="es-419" w:eastAsia="es-419"/>
              </w:rPr>
              <w:t>Muebles, enseres y equipo de oficina</w:t>
            </w:r>
          </w:p>
        </w:tc>
        <w:tc>
          <w:tcPr>
            <w:tcW w:w="1559" w:type="dxa"/>
            <w:noWrap/>
            <w:vAlign w:val="center"/>
            <w:hideMark/>
          </w:tcPr>
          <w:p w14:paraId="75BA620A" w14:textId="77777777" w:rsidR="00F04487" w:rsidRPr="00951AB1" w:rsidRDefault="00F04487" w:rsidP="000A5389">
            <w:pPr>
              <w:spacing w:line="240" w:lineRule="auto"/>
              <w:jc w:val="right"/>
              <w:rPr>
                <w:rFonts w:eastAsia="Times New Roman" w:cs="Times New Roman"/>
                <w:color w:val="000000"/>
                <w:sz w:val="18"/>
                <w:szCs w:val="18"/>
                <w:lang w:val="es-419" w:eastAsia="es-419"/>
              </w:rPr>
            </w:pPr>
            <w:r w:rsidRPr="00951AB1">
              <w:rPr>
                <w:rFonts w:eastAsia="Times New Roman" w:cs="Times New Roman"/>
                <w:color w:val="000000"/>
                <w:sz w:val="18"/>
                <w:szCs w:val="18"/>
                <w:lang w:val="es-419" w:eastAsia="es-419"/>
              </w:rPr>
              <w:t>6.662.303.235</w:t>
            </w:r>
          </w:p>
        </w:tc>
        <w:tc>
          <w:tcPr>
            <w:tcW w:w="1559" w:type="dxa"/>
            <w:noWrap/>
            <w:vAlign w:val="center"/>
            <w:hideMark/>
          </w:tcPr>
          <w:p w14:paraId="0A500143" w14:textId="77777777" w:rsidR="00F04487" w:rsidRPr="00951AB1" w:rsidRDefault="00F04487" w:rsidP="000A5389">
            <w:pPr>
              <w:spacing w:line="240" w:lineRule="auto"/>
              <w:jc w:val="right"/>
              <w:rPr>
                <w:rFonts w:eastAsia="Times New Roman" w:cs="Times New Roman"/>
                <w:color w:val="000000"/>
                <w:sz w:val="18"/>
                <w:szCs w:val="18"/>
                <w:lang w:val="es-419" w:eastAsia="es-419"/>
              </w:rPr>
            </w:pPr>
            <w:r w:rsidRPr="00951AB1">
              <w:rPr>
                <w:rFonts w:eastAsia="Times New Roman" w:cs="Times New Roman"/>
                <w:color w:val="000000"/>
                <w:sz w:val="18"/>
                <w:szCs w:val="18"/>
                <w:lang w:val="es-419" w:eastAsia="es-419"/>
              </w:rPr>
              <w:t>6.366.184.854</w:t>
            </w:r>
          </w:p>
        </w:tc>
        <w:tc>
          <w:tcPr>
            <w:tcW w:w="1837" w:type="dxa"/>
            <w:noWrap/>
            <w:vAlign w:val="center"/>
            <w:hideMark/>
          </w:tcPr>
          <w:p w14:paraId="3A4D22E9" w14:textId="77777777" w:rsidR="00F04487" w:rsidRPr="00951AB1" w:rsidRDefault="00F04487" w:rsidP="000A5389">
            <w:pPr>
              <w:spacing w:line="240" w:lineRule="auto"/>
              <w:jc w:val="right"/>
              <w:rPr>
                <w:rFonts w:eastAsia="Times New Roman" w:cs="Times New Roman"/>
                <w:color w:val="000000"/>
                <w:sz w:val="18"/>
                <w:szCs w:val="18"/>
                <w:lang w:val="es-419" w:eastAsia="es-419"/>
              </w:rPr>
            </w:pPr>
            <w:r w:rsidRPr="00951AB1">
              <w:rPr>
                <w:rFonts w:eastAsia="Times New Roman" w:cs="Times New Roman"/>
                <w:color w:val="000000"/>
                <w:sz w:val="18"/>
                <w:szCs w:val="18"/>
                <w:lang w:val="es-419" w:eastAsia="es-419"/>
              </w:rPr>
              <w:t>296.118.381</w:t>
            </w:r>
          </w:p>
        </w:tc>
      </w:tr>
      <w:tr w:rsidR="00F04487" w:rsidRPr="00951AB1" w14:paraId="7818354D" w14:textId="77777777" w:rsidTr="00F04487">
        <w:trPr>
          <w:trHeight w:val="280"/>
        </w:trPr>
        <w:tc>
          <w:tcPr>
            <w:tcW w:w="590" w:type="dxa"/>
            <w:noWrap/>
            <w:vAlign w:val="center"/>
            <w:hideMark/>
          </w:tcPr>
          <w:p w14:paraId="25CE942A" w14:textId="77777777" w:rsidR="00F04487" w:rsidRPr="00951AB1" w:rsidRDefault="00F04487" w:rsidP="000A5389">
            <w:pPr>
              <w:spacing w:line="240" w:lineRule="auto"/>
              <w:rPr>
                <w:rFonts w:eastAsia="Times New Roman" w:cs="Times New Roman"/>
                <w:color w:val="000000"/>
                <w:sz w:val="18"/>
                <w:szCs w:val="18"/>
                <w:lang w:val="es-419" w:eastAsia="es-419"/>
              </w:rPr>
            </w:pPr>
            <w:r w:rsidRPr="00951AB1">
              <w:rPr>
                <w:rFonts w:eastAsia="Times New Roman" w:cs="Times New Roman"/>
                <w:color w:val="000000"/>
                <w:sz w:val="18"/>
                <w:szCs w:val="18"/>
                <w:lang w:val="es-419" w:eastAsia="es-419"/>
              </w:rPr>
              <w:t>1.6.55</w:t>
            </w:r>
          </w:p>
        </w:tc>
        <w:tc>
          <w:tcPr>
            <w:tcW w:w="403" w:type="dxa"/>
            <w:noWrap/>
            <w:vAlign w:val="center"/>
            <w:hideMark/>
          </w:tcPr>
          <w:p w14:paraId="0116DF96" w14:textId="77777777" w:rsidR="00F04487" w:rsidRPr="00951AB1" w:rsidRDefault="00F04487" w:rsidP="000A5389">
            <w:pPr>
              <w:spacing w:line="240" w:lineRule="auto"/>
              <w:jc w:val="center"/>
              <w:rPr>
                <w:rFonts w:eastAsia="Times New Roman" w:cs="Times New Roman"/>
                <w:color w:val="000000"/>
                <w:sz w:val="18"/>
                <w:szCs w:val="18"/>
                <w:lang w:val="es-419" w:eastAsia="es-419"/>
              </w:rPr>
            </w:pPr>
            <w:r w:rsidRPr="00951AB1">
              <w:rPr>
                <w:rFonts w:eastAsia="Times New Roman" w:cs="Times New Roman"/>
                <w:color w:val="000000"/>
                <w:sz w:val="18"/>
                <w:szCs w:val="18"/>
                <w:lang w:val="es-419" w:eastAsia="es-419"/>
              </w:rPr>
              <w:t>Db</w:t>
            </w:r>
          </w:p>
        </w:tc>
        <w:tc>
          <w:tcPr>
            <w:tcW w:w="3260" w:type="dxa"/>
            <w:vAlign w:val="center"/>
            <w:hideMark/>
          </w:tcPr>
          <w:p w14:paraId="658C262D" w14:textId="77777777" w:rsidR="00F04487" w:rsidRPr="00951AB1" w:rsidRDefault="00F04487" w:rsidP="000A5389">
            <w:pPr>
              <w:spacing w:line="240" w:lineRule="auto"/>
              <w:rPr>
                <w:rFonts w:eastAsia="Times New Roman" w:cs="Times New Roman"/>
                <w:color w:val="000000"/>
                <w:sz w:val="18"/>
                <w:szCs w:val="18"/>
                <w:lang w:val="es-419" w:eastAsia="es-419"/>
              </w:rPr>
            </w:pPr>
            <w:r w:rsidRPr="00951AB1">
              <w:rPr>
                <w:rFonts w:eastAsia="Times New Roman" w:cs="Times New Roman"/>
                <w:color w:val="000000"/>
                <w:sz w:val="18"/>
                <w:szCs w:val="18"/>
                <w:lang w:val="es-419" w:eastAsia="es-419"/>
              </w:rPr>
              <w:t>Maquinaria y equipo</w:t>
            </w:r>
          </w:p>
        </w:tc>
        <w:tc>
          <w:tcPr>
            <w:tcW w:w="1559" w:type="dxa"/>
            <w:noWrap/>
            <w:vAlign w:val="center"/>
            <w:hideMark/>
          </w:tcPr>
          <w:p w14:paraId="4CA17E64" w14:textId="77777777" w:rsidR="00F04487" w:rsidRPr="00951AB1" w:rsidRDefault="00F04487" w:rsidP="000A5389">
            <w:pPr>
              <w:spacing w:line="240" w:lineRule="auto"/>
              <w:jc w:val="right"/>
              <w:rPr>
                <w:rFonts w:eastAsia="Times New Roman" w:cs="Times New Roman"/>
                <w:color w:val="000000"/>
                <w:sz w:val="18"/>
                <w:szCs w:val="18"/>
                <w:lang w:val="es-419" w:eastAsia="es-419"/>
              </w:rPr>
            </w:pPr>
            <w:r w:rsidRPr="00951AB1">
              <w:rPr>
                <w:rFonts w:eastAsia="Times New Roman" w:cs="Times New Roman"/>
                <w:color w:val="000000"/>
                <w:sz w:val="18"/>
                <w:szCs w:val="18"/>
                <w:lang w:val="es-419" w:eastAsia="es-419"/>
              </w:rPr>
              <w:t>2.237.980.783</w:t>
            </w:r>
          </w:p>
        </w:tc>
        <w:tc>
          <w:tcPr>
            <w:tcW w:w="1559" w:type="dxa"/>
            <w:noWrap/>
            <w:vAlign w:val="center"/>
            <w:hideMark/>
          </w:tcPr>
          <w:p w14:paraId="6A7A92CD" w14:textId="77777777" w:rsidR="00F04487" w:rsidRPr="00951AB1" w:rsidRDefault="00F04487" w:rsidP="000A5389">
            <w:pPr>
              <w:spacing w:line="240" w:lineRule="auto"/>
              <w:jc w:val="right"/>
              <w:rPr>
                <w:rFonts w:eastAsia="Times New Roman" w:cs="Times New Roman"/>
                <w:color w:val="000000"/>
                <w:sz w:val="18"/>
                <w:szCs w:val="18"/>
                <w:lang w:val="es-419" w:eastAsia="es-419"/>
              </w:rPr>
            </w:pPr>
            <w:r w:rsidRPr="00951AB1">
              <w:rPr>
                <w:rFonts w:eastAsia="Times New Roman" w:cs="Times New Roman"/>
                <w:color w:val="000000"/>
                <w:sz w:val="18"/>
                <w:szCs w:val="18"/>
                <w:lang w:val="es-419" w:eastAsia="es-419"/>
              </w:rPr>
              <w:t>562.198.963</w:t>
            </w:r>
          </w:p>
        </w:tc>
        <w:tc>
          <w:tcPr>
            <w:tcW w:w="1837" w:type="dxa"/>
            <w:noWrap/>
            <w:vAlign w:val="center"/>
            <w:hideMark/>
          </w:tcPr>
          <w:p w14:paraId="7B5E9F75" w14:textId="77777777" w:rsidR="00F04487" w:rsidRPr="00951AB1" w:rsidRDefault="00F04487" w:rsidP="000A5389">
            <w:pPr>
              <w:spacing w:line="240" w:lineRule="auto"/>
              <w:jc w:val="right"/>
              <w:rPr>
                <w:rFonts w:eastAsia="Times New Roman" w:cs="Times New Roman"/>
                <w:color w:val="000000"/>
                <w:sz w:val="18"/>
                <w:szCs w:val="18"/>
                <w:lang w:val="es-419" w:eastAsia="es-419"/>
              </w:rPr>
            </w:pPr>
            <w:r w:rsidRPr="00951AB1">
              <w:rPr>
                <w:rFonts w:eastAsia="Times New Roman" w:cs="Times New Roman"/>
                <w:color w:val="000000"/>
                <w:sz w:val="18"/>
                <w:szCs w:val="18"/>
                <w:lang w:val="es-419" w:eastAsia="es-419"/>
              </w:rPr>
              <w:t>1.675.781.820</w:t>
            </w:r>
          </w:p>
        </w:tc>
      </w:tr>
      <w:tr w:rsidR="00F04487" w:rsidRPr="00951AB1" w14:paraId="27E28927" w14:textId="77777777" w:rsidTr="00F04487">
        <w:trPr>
          <w:trHeight w:val="280"/>
        </w:trPr>
        <w:tc>
          <w:tcPr>
            <w:tcW w:w="590" w:type="dxa"/>
            <w:noWrap/>
            <w:vAlign w:val="center"/>
            <w:hideMark/>
          </w:tcPr>
          <w:p w14:paraId="53C1B718" w14:textId="77777777" w:rsidR="00F04487" w:rsidRPr="00951AB1" w:rsidRDefault="00F04487" w:rsidP="000A5389">
            <w:pPr>
              <w:spacing w:line="240" w:lineRule="auto"/>
              <w:rPr>
                <w:rFonts w:eastAsia="Times New Roman" w:cs="Times New Roman"/>
                <w:color w:val="000000"/>
                <w:sz w:val="18"/>
                <w:szCs w:val="18"/>
                <w:lang w:val="es-419" w:eastAsia="es-419"/>
              </w:rPr>
            </w:pPr>
            <w:r w:rsidRPr="00951AB1">
              <w:rPr>
                <w:rFonts w:eastAsia="Times New Roman" w:cs="Times New Roman"/>
                <w:color w:val="000000"/>
                <w:sz w:val="18"/>
                <w:szCs w:val="18"/>
                <w:lang w:val="es-419" w:eastAsia="es-419"/>
              </w:rPr>
              <w:t>1.6.75</w:t>
            </w:r>
          </w:p>
        </w:tc>
        <w:tc>
          <w:tcPr>
            <w:tcW w:w="403" w:type="dxa"/>
            <w:noWrap/>
            <w:vAlign w:val="center"/>
            <w:hideMark/>
          </w:tcPr>
          <w:p w14:paraId="4999F1C1" w14:textId="77777777" w:rsidR="00F04487" w:rsidRPr="00951AB1" w:rsidRDefault="00F04487" w:rsidP="000A5389">
            <w:pPr>
              <w:spacing w:line="240" w:lineRule="auto"/>
              <w:jc w:val="center"/>
              <w:rPr>
                <w:rFonts w:eastAsia="Times New Roman" w:cs="Times New Roman"/>
                <w:color w:val="000000"/>
                <w:sz w:val="18"/>
                <w:szCs w:val="18"/>
                <w:lang w:val="es-419" w:eastAsia="es-419"/>
              </w:rPr>
            </w:pPr>
            <w:r w:rsidRPr="00951AB1">
              <w:rPr>
                <w:rFonts w:eastAsia="Times New Roman" w:cs="Times New Roman"/>
                <w:color w:val="000000"/>
                <w:sz w:val="18"/>
                <w:szCs w:val="18"/>
                <w:lang w:val="es-419" w:eastAsia="es-419"/>
              </w:rPr>
              <w:t>Db</w:t>
            </w:r>
          </w:p>
        </w:tc>
        <w:tc>
          <w:tcPr>
            <w:tcW w:w="3260" w:type="dxa"/>
            <w:vAlign w:val="center"/>
            <w:hideMark/>
          </w:tcPr>
          <w:p w14:paraId="31DC5161" w14:textId="77777777" w:rsidR="00F04487" w:rsidRPr="00951AB1" w:rsidRDefault="00F04487" w:rsidP="000A5389">
            <w:pPr>
              <w:spacing w:line="240" w:lineRule="auto"/>
              <w:rPr>
                <w:rFonts w:eastAsia="Times New Roman" w:cs="Times New Roman"/>
                <w:color w:val="000000"/>
                <w:sz w:val="18"/>
                <w:szCs w:val="18"/>
                <w:lang w:val="es-419" w:eastAsia="es-419"/>
              </w:rPr>
            </w:pPr>
            <w:r w:rsidRPr="00951AB1">
              <w:rPr>
                <w:rFonts w:eastAsia="Times New Roman" w:cs="Times New Roman"/>
                <w:color w:val="000000"/>
                <w:sz w:val="18"/>
                <w:szCs w:val="18"/>
                <w:lang w:val="es-419" w:eastAsia="es-419"/>
              </w:rPr>
              <w:t>Equipos de transporte, tracción y elevación</w:t>
            </w:r>
          </w:p>
        </w:tc>
        <w:tc>
          <w:tcPr>
            <w:tcW w:w="1559" w:type="dxa"/>
            <w:noWrap/>
            <w:vAlign w:val="center"/>
            <w:hideMark/>
          </w:tcPr>
          <w:p w14:paraId="6C2ACF07" w14:textId="77777777" w:rsidR="00F04487" w:rsidRPr="00951AB1" w:rsidRDefault="00F04487" w:rsidP="000A5389">
            <w:pPr>
              <w:spacing w:line="240" w:lineRule="auto"/>
              <w:jc w:val="right"/>
              <w:rPr>
                <w:rFonts w:eastAsia="Times New Roman" w:cs="Times New Roman"/>
                <w:color w:val="000000"/>
                <w:sz w:val="18"/>
                <w:szCs w:val="18"/>
                <w:lang w:val="es-419" w:eastAsia="es-419"/>
              </w:rPr>
            </w:pPr>
            <w:r w:rsidRPr="00951AB1">
              <w:rPr>
                <w:rFonts w:eastAsia="Times New Roman" w:cs="Times New Roman"/>
                <w:color w:val="000000"/>
                <w:sz w:val="18"/>
                <w:szCs w:val="18"/>
                <w:lang w:val="es-419" w:eastAsia="es-419"/>
              </w:rPr>
              <w:t>826.082.828</w:t>
            </w:r>
          </w:p>
        </w:tc>
        <w:tc>
          <w:tcPr>
            <w:tcW w:w="1559" w:type="dxa"/>
            <w:noWrap/>
            <w:vAlign w:val="center"/>
            <w:hideMark/>
          </w:tcPr>
          <w:p w14:paraId="415522C0" w14:textId="77777777" w:rsidR="00F04487" w:rsidRPr="00951AB1" w:rsidRDefault="00F04487" w:rsidP="000A5389">
            <w:pPr>
              <w:spacing w:line="240" w:lineRule="auto"/>
              <w:jc w:val="right"/>
              <w:rPr>
                <w:rFonts w:eastAsia="Times New Roman" w:cs="Times New Roman"/>
                <w:color w:val="000000"/>
                <w:sz w:val="18"/>
                <w:szCs w:val="18"/>
                <w:lang w:val="es-419" w:eastAsia="es-419"/>
              </w:rPr>
            </w:pPr>
            <w:r w:rsidRPr="00951AB1">
              <w:rPr>
                <w:rFonts w:eastAsia="Times New Roman" w:cs="Times New Roman"/>
                <w:color w:val="000000"/>
                <w:sz w:val="18"/>
                <w:szCs w:val="18"/>
                <w:lang w:val="es-419" w:eastAsia="es-419"/>
              </w:rPr>
              <w:t>826.082.828</w:t>
            </w:r>
          </w:p>
        </w:tc>
        <w:tc>
          <w:tcPr>
            <w:tcW w:w="1837" w:type="dxa"/>
            <w:noWrap/>
            <w:vAlign w:val="center"/>
            <w:hideMark/>
          </w:tcPr>
          <w:p w14:paraId="7A22E61B" w14:textId="77777777" w:rsidR="00F04487" w:rsidRPr="00951AB1" w:rsidRDefault="00F04487" w:rsidP="000A5389">
            <w:pPr>
              <w:spacing w:line="240" w:lineRule="auto"/>
              <w:jc w:val="right"/>
              <w:rPr>
                <w:rFonts w:eastAsia="Times New Roman" w:cs="Times New Roman"/>
                <w:color w:val="000000"/>
                <w:sz w:val="18"/>
                <w:szCs w:val="18"/>
                <w:lang w:val="es-419" w:eastAsia="es-419"/>
              </w:rPr>
            </w:pPr>
            <w:r w:rsidRPr="00951AB1">
              <w:rPr>
                <w:rFonts w:eastAsia="Times New Roman" w:cs="Times New Roman"/>
                <w:color w:val="000000"/>
                <w:sz w:val="18"/>
                <w:szCs w:val="18"/>
                <w:lang w:val="es-419" w:eastAsia="es-419"/>
              </w:rPr>
              <w:t>0</w:t>
            </w:r>
          </w:p>
        </w:tc>
      </w:tr>
      <w:tr w:rsidR="00F04487" w:rsidRPr="00951AB1" w14:paraId="0A3C9178" w14:textId="77777777" w:rsidTr="00F04487">
        <w:trPr>
          <w:trHeight w:val="280"/>
        </w:trPr>
        <w:tc>
          <w:tcPr>
            <w:tcW w:w="590" w:type="dxa"/>
            <w:noWrap/>
            <w:vAlign w:val="center"/>
            <w:hideMark/>
          </w:tcPr>
          <w:p w14:paraId="38B47403" w14:textId="77777777" w:rsidR="00F04487" w:rsidRPr="00951AB1" w:rsidRDefault="00F04487" w:rsidP="000A5389">
            <w:pPr>
              <w:spacing w:line="240" w:lineRule="auto"/>
              <w:rPr>
                <w:rFonts w:eastAsia="Times New Roman" w:cs="Times New Roman"/>
                <w:color w:val="000000"/>
                <w:sz w:val="18"/>
                <w:szCs w:val="18"/>
                <w:lang w:val="es-419" w:eastAsia="es-419"/>
              </w:rPr>
            </w:pPr>
            <w:r w:rsidRPr="00951AB1">
              <w:rPr>
                <w:rFonts w:eastAsia="Times New Roman" w:cs="Times New Roman"/>
                <w:color w:val="000000"/>
                <w:sz w:val="18"/>
                <w:szCs w:val="18"/>
                <w:lang w:val="es-419" w:eastAsia="es-419"/>
              </w:rPr>
              <w:t>1.6.37</w:t>
            </w:r>
          </w:p>
        </w:tc>
        <w:tc>
          <w:tcPr>
            <w:tcW w:w="403" w:type="dxa"/>
            <w:noWrap/>
            <w:vAlign w:val="center"/>
            <w:hideMark/>
          </w:tcPr>
          <w:p w14:paraId="7DD35E91" w14:textId="77777777" w:rsidR="00F04487" w:rsidRPr="00951AB1" w:rsidRDefault="00F04487" w:rsidP="000A5389">
            <w:pPr>
              <w:spacing w:line="240" w:lineRule="auto"/>
              <w:jc w:val="center"/>
              <w:rPr>
                <w:rFonts w:eastAsia="Times New Roman" w:cs="Times New Roman"/>
                <w:color w:val="000000"/>
                <w:sz w:val="18"/>
                <w:szCs w:val="18"/>
                <w:lang w:val="es-419" w:eastAsia="es-419"/>
              </w:rPr>
            </w:pPr>
            <w:r w:rsidRPr="00951AB1">
              <w:rPr>
                <w:rFonts w:eastAsia="Times New Roman" w:cs="Times New Roman"/>
                <w:color w:val="000000"/>
                <w:sz w:val="18"/>
                <w:szCs w:val="18"/>
                <w:lang w:val="es-419" w:eastAsia="es-419"/>
              </w:rPr>
              <w:t>Db</w:t>
            </w:r>
          </w:p>
        </w:tc>
        <w:tc>
          <w:tcPr>
            <w:tcW w:w="3260" w:type="dxa"/>
            <w:vAlign w:val="center"/>
            <w:hideMark/>
          </w:tcPr>
          <w:p w14:paraId="30DFEBD2" w14:textId="77777777" w:rsidR="00F04487" w:rsidRPr="00951AB1" w:rsidRDefault="00F04487" w:rsidP="000A5389">
            <w:pPr>
              <w:spacing w:line="240" w:lineRule="auto"/>
              <w:rPr>
                <w:rFonts w:eastAsia="Times New Roman" w:cs="Times New Roman"/>
                <w:color w:val="000000"/>
                <w:sz w:val="18"/>
                <w:szCs w:val="18"/>
                <w:lang w:val="es-419" w:eastAsia="es-419"/>
              </w:rPr>
            </w:pPr>
            <w:r w:rsidRPr="00951AB1">
              <w:rPr>
                <w:rFonts w:eastAsia="Times New Roman" w:cs="Times New Roman"/>
                <w:color w:val="000000"/>
                <w:sz w:val="18"/>
                <w:szCs w:val="18"/>
                <w:lang w:val="es-419" w:eastAsia="es-419"/>
              </w:rPr>
              <w:t>Propiedades, planta y equipo no explotados</w:t>
            </w:r>
          </w:p>
        </w:tc>
        <w:tc>
          <w:tcPr>
            <w:tcW w:w="1559" w:type="dxa"/>
            <w:noWrap/>
            <w:vAlign w:val="center"/>
            <w:hideMark/>
          </w:tcPr>
          <w:p w14:paraId="1966969B" w14:textId="77777777" w:rsidR="00F04487" w:rsidRPr="00951AB1" w:rsidRDefault="00F04487" w:rsidP="000A5389">
            <w:pPr>
              <w:spacing w:line="240" w:lineRule="auto"/>
              <w:jc w:val="right"/>
              <w:rPr>
                <w:rFonts w:eastAsia="Times New Roman" w:cs="Times New Roman"/>
                <w:color w:val="000000"/>
                <w:sz w:val="18"/>
                <w:szCs w:val="18"/>
                <w:lang w:val="es-419" w:eastAsia="es-419"/>
              </w:rPr>
            </w:pPr>
            <w:r w:rsidRPr="00951AB1">
              <w:rPr>
                <w:rFonts w:eastAsia="Times New Roman" w:cs="Times New Roman"/>
                <w:color w:val="000000"/>
                <w:sz w:val="18"/>
                <w:szCs w:val="18"/>
                <w:lang w:val="es-419" w:eastAsia="es-419"/>
              </w:rPr>
              <w:t>337.094.915</w:t>
            </w:r>
          </w:p>
        </w:tc>
        <w:tc>
          <w:tcPr>
            <w:tcW w:w="1559" w:type="dxa"/>
            <w:noWrap/>
            <w:vAlign w:val="center"/>
            <w:hideMark/>
          </w:tcPr>
          <w:p w14:paraId="0FAC7E72" w14:textId="77777777" w:rsidR="00F04487" w:rsidRPr="00951AB1" w:rsidRDefault="00F04487" w:rsidP="000A5389">
            <w:pPr>
              <w:spacing w:line="240" w:lineRule="auto"/>
              <w:jc w:val="right"/>
              <w:rPr>
                <w:rFonts w:eastAsia="Times New Roman" w:cs="Times New Roman"/>
                <w:color w:val="000000"/>
                <w:sz w:val="18"/>
                <w:szCs w:val="18"/>
                <w:lang w:val="es-419" w:eastAsia="es-419"/>
              </w:rPr>
            </w:pPr>
            <w:r w:rsidRPr="00951AB1">
              <w:rPr>
                <w:rFonts w:eastAsia="Times New Roman" w:cs="Times New Roman"/>
                <w:color w:val="000000"/>
                <w:sz w:val="18"/>
                <w:szCs w:val="18"/>
                <w:lang w:val="es-419" w:eastAsia="es-419"/>
              </w:rPr>
              <w:t>337.094.915</w:t>
            </w:r>
          </w:p>
        </w:tc>
        <w:tc>
          <w:tcPr>
            <w:tcW w:w="1837" w:type="dxa"/>
            <w:noWrap/>
            <w:vAlign w:val="center"/>
            <w:hideMark/>
          </w:tcPr>
          <w:p w14:paraId="677B8F7D" w14:textId="77777777" w:rsidR="00F04487" w:rsidRPr="00951AB1" w:rsidRDefault="00F04487" w:rsidP="000A5389">
            <w:pPr>
              <w:spacing w:line="240" w:lineRule="auto"/>
              <w:jc w:val="right"/>
              <w:rPr>
                <w:rFonts w:eastAsia="Times New Roman" w:cs="Times New Roman"/>
                <w:color w:val="000000"/>
                <w:sz w:val="18"/>
                <w:szCs w:val="18"/>
                <w:lang w:val="es-419" w:eastAsia="es-419"/>
              </w:rPr>
            </w:pPr>
            <w:r w:rsidRPr="00951AB1">
              <w:rPr>
                <w:rFonts w:eastAsia="Times New Roman" w:cs="Times New Roman"/>
                <w:color w:val="000000"/>
                <w:sz w:val="18"/>
                <w:szCs w:val="18"/>
                <w:lang w:val="es-419" w:eastAsia="es-419"/>
              </w:rPr>
              <w:t>0</w:t>
            </w:r>
          </w:p>
        </w:tc>
      </w:tr>
      <w:tr w:rsidR="00F04487" w:rsidRPr="00951AB1" w14:paraId="52C78079" w14:textId="77777777" w:rsidTr="00F04487">
        <w:trPr>
          <w:trHeight w:val="280"/>
        </w:trPr>
        <w:tc>
          <w:tcPr>
            <w:tcW w:w="590" w:type="dxa"/>
            <w:noWrap/>
            <w:vAlign w:val="center"/>
            <w:hideMark/>
          </w:tcPr>
          <w:p w14:paraId="50A56104" w14:textId="77777777" w:rsidR="00F04487" w:rsidRPr="00951AB1" w:rsidRDefault="00F04487" w:rsidP="000A5389">
            <w:pPr>
              <w:spacing w:line="240" w:lineRule="auto"/>
              <w:rPr>
                <w:rFonts w:eastAsia="Times New Roman" w:cs="Times New Roman"/>
                <w:color w:val="000000"/>
                <w:sz w:val="18"/>
                <w:szCs w:val="18"/>
                <w:lang w:val="es-419" w:eastAsia="es-419"/>
              </w:rPr>
            </w:pPr>
            <w:r w:rsidRPr="00951AB1">
              <w:rPr>
                <w:rFonts w:eastAsia="Times New Roman" w:cs="Times New Roman"/>
                <w:color w:val="000000"/>
                <w:sz w:val="18"/>
                <w:szCs w:val="18"/>
                <w:lang w:val="es-419" w:eastAsia="es-419"/>
              </w:rPr>
              <w:t>1.6.80</w:t>
            </w:r>
          </w:p>
        </w:tc>
        <w:tc>
          <w:tcPr>
            <w:tcW w:w="403" w:type="dxa"/>
            <w:noWrap/>
            <w:vAlign w:val="center"/>
            <w:hideMark/>
          </w:tcPr>
          <w:p w14:paraId="7387A7AC" w14:textId="77777777" w:rsidR="00F04487" w:rsidRPr="00951AB1" w:rsidRDefault="00F04487" w:rsidP="000A5389">
            <w:pPr>
              <w:spacing w:line="240" w:lineRule="auto"/>
              <w:jc w:val="center"/>
              <w:rPr>
                <w:rFonts w:eastAsia="Times New Roman" w:cs="Times New Roman"/>
                <w:color w:val="000000"/>
                <w:sz w:val="18"/>
                <w:szCs w:val="18"/>
                <w:lang w:val="es-419" w:eastAsia="es-419"/>
              </w:rPr>
            </w:pPr>
            <w:r w:rsidRPr="00951AB1">
              <w:rPr>
                <w:rFonts w:eastAsia="Times New Roman" w:cs="Times New Roman"/>
                <w:color w:val="000000"/>
                <w:sz w:val="18"/>
                <w:szCs w:val="18"/>
                <w:lang w:val="es-419" w:eastAsia="es-419"/>
              </w:rPr>
              <w:t>Db</w:t>
            </w:r>
          </w:p>
        </w:tc>
        <w:tc>
          <w:tcPr>
            <w:tcW w:w="3260" w:type="dxa"/>
            <w:vAlign w:val="center"/>
            <w:hideMark/>
          </w:tcPr>
          <w:p w14:paraId="36386DCB" w14:textId="77777777" w:rsidR="00F04487" w:rsidRPr="00951AB1" w:rsidRDefault="00F04487" w:rsidP="000A5389">
            <w:pPr>
              <w:spacing w:line="240" w:lineRule="auto"/>
              <w:rPr>
                <w:rFonts w:eastAsia="Times New Roman" w:cs="Times New Roman"/>
                <w:color w:val="000000"/>
                <w:sz w:val="18"/>
                <w:szCs w:val="18"/>
                <w:lang w:val="es-419" w:eastAsia="es-419"/>
              </w:rPr>
            </w:pPr>
            <w:r w:rsidRPr="00951AB1">
              <w:rPr>
                <w:rFonts w:eastAsia="Times New Roman" w:cs="Times New Roman"/>
                <w:color w:val="000000"/>
                <w:sz w:val="18"/>
                <w:szCs w:val="18"/>
                <w:lang w:val="es-419" w:eastAsia="es-419"/>
              </w:rPr>
              <w:t>Equipos de comedor, cocina, despensa y hotelería</w:t>
            </w:r>
          </w:p>
        </w:tc>
        <w:tc>
          <w:tcPr>
            <w:tcW w:w="1559" w:type="dxa"/>
            <w:noWrap/>
            <w:vAlign w:val="center"/>
            <w:hideMark/>
          </w:tcPr>
          <w:p w14:paraId="2DD8C569" w14:textId="77777777" w:rsidR="00F04487" w:rsidRPr="00951AB1" w:rsidRDefault="00F04487" w:rsidP="000A5389">
            <w:pPr>
              <w:spacing w:line="240" w:lineRule="auto"/>
              <w:jc w:val="right"/>
              <w:rPr>
                <w:rFonts w:eastAsia="Times New Roman" w:cs="Times New Roman"/>
                <w:color w:val="000000"/>
                <w:sz w:val="18"/>
                <w:szCs w:val="18"/>
                <w:lang w:val="es-419" w:eastAsia="es-419"/>
              </w:rPr>
            </w:pPr>
            <w:r w:rsidRPr="00951AB1">
              <w:rPr>
                <w:rFonts w:eastAsia="Times New Roman" w:cs="Times New Roman"/>
                <w:color w:val="000000"/>
                <w:sz w:val="18"/>
                <w:szCs w:val="18"/>
                <w:lang w:val="es-419" w:eastAsia="es-419"/>
              </w:rPr>
              <w:t>7.947.920</w:t>
            </w:r>
          </w:p>
        </w:tc>
        <w:tc>
          <w:tcPr>
            <w:tcW w:w="1559" w:type="dxa"/>
            <w:noWrap/>
            <w:vAlign w:val="center"/>
            <w:hideMark/>
          </w:tcPr>
          <w:p w14:paraId="701A1D9D" w14:textId="77777777" w:rsidR="00F04487" w:rsidRPr="00951AB1" w:rsidRDefault="00F04487" w:rsidP="000A5389">
            <w:pPr>
              <w:spacing w:line="240" w:lineRule="auto"/>
              <w:jc w:val="right"/>
              <w:rPr>
                <w:rFonts w:eastAsia="Times New Roman" w:cs="Times New Roman"/>
                <w:color w:val="000000"/>
                <w:sz w:val="18"/>
                <w:szCs w:val="18"/>
                <w:lang w:val="es-419" w:eastAsia="es-419"/>
              </w:rPr>
            </w:pPr>
            <w:r w:rsidRPr="00951AB1">
              <w:rPr>
                <w:rFonts w:eastAsia="Times New Roman" w:cs="Times New Roman"/>
                <w:color w:val="000000"/>
                <w:sz w:val="18"/>
                <w:szCs w:val="18"/>
                <w:lang w:val="es-419" w:eastAsia="es-419"/>
              </w:rPr>
              <w:t>7.947.920</w:t>
            </w:r>
          </w:p>
        </w:tc>
        <w:tc>
          <w:tcPr>
            <w:tcW w:w="1837" w:type="dxa"/>
            <w:noWrap/>
            <w:vAlign w:val="center"/>
            <w:hideMark/>
          </w:tcPr>
          <w:p w14:paraId="34EF1363" w14:textId="77777777" w:rsidR="00F04487" w:rsidRPr="00951AB1" w:rsidRDefault="00F04487" w:rsidP="000A5389">
            <w:pPr>
              <w:spacing w:line="240" w:lineRule="auto"/>
              <w:jc w:val="right"/>
              <w:rPr>
                <w:rFonts w:eastAsia="Times New Roman" w:cs="Times New Roman"/>
                <w:color w:val="000000"/>
                <w:sz w:val="18"/>
                <w:szCs w:val="18"/>
                <w:lang w:val="es-419" w:eastAsia="es-419"/>
              </w:rPr>
            </w:pPr>
            <w:r w:rsidRPr="00951AB1">
              <w:rPr>
                <w:rFonts w:eastAsia="Times New Roman" w:cs="Times New Roman"/>
                <w:color w:val="000000"/>
                <w:sz w:val="18"/>
                <w:szCs w:val="18"/>
                <w:lang w:val="es-419" w:eastAsia="es-419"/>
              </w:rPr>
              <w:t>0</w:t>
            </w:r>
          </w:p>
        </w:tc>
      </w:tr>
      <w:tr w:rsidR="00F04487" w:rsidRPr="00951AB1" w14:paraId="2EE03D1D" w14:textId="77777777" w:rsidTr="00F04487">
        <w:trPr>
          <w:trHeight w:val="280"/>
        </w:trPr>
        <w:tc>
          <w:tcPr>
            <w:tcW w:w="590" w:type="dxa"/>
            <w:noWrap/>
            <w:vAlign w:val="center"/>
            <w:hideMark/>
          </w:tcPr>
          <w:p w14:paraId="4A98950C" w14:textId="77777777" w:rsidR="00F04487" w:rsidRPr="00951AB1" w:rsidRDefault="00F04487" w:rsidP="000A5389">
            <w:pPr>
              <w:spacing w:line="240" w:lineRule="auto"/>
              <w:rPr>
                <w:rFonts w:eastAsia="Times New Roman" w:cs="Times New Roman"/>
                <w:color w:val="000000"/>
                <w:sz w:val="18"/>
                <w:szCs w:val="18"/>
                <w:lang w:val="es-419" w:eastAsia="es-419"/>
              </w:rPr>
            </w:pPr>
            <w:r w:rsidRPr="00951AB1">
              <w:rPr>
                <w:rFonts w:eastAsia="Times New Roman" w:cs="Times New Roman"/>
                <w:color w:val="000000"/>
                <w:sz w:val="18"/>
                <w:szCs w:val="18"/>
                <w:lang w:val="es-419" w:eastAsia="es-419"/>
              </w:rPr>
              <w:t>1.6.60</w:t>
            </w:r>
          </w:p>
        </w:tc>
        <w:tc>
          <w:tcPr>
            <w:tcW w:w="403" w:type="dxa"/>
            <w:noWrap/>
            <w:vAlign w:val="center"/>
            <w:hideMark/>
          </w:tcPr>
          <w:p w14:paraId="5A9AC732" w14:textId="77777777" w:rsidR="00F04487" w:rsidRPr="00951AB1" w:rsidRDefault="00F04487" w:rsidP="000A5389">
            <w:pPr>
              <w:spacing w:line="240" w:lineRule="auto"/>
              <w:jc w:val="center"/>
              <w:rPr>
                <w:rFonts w:eastAsia="Times New Roman" w:cs="Times New Roman"/>
                <w:color w:val="000000"/>
                <w:sz w:val="18"/>
                <w:szCs w:val="18"/>
                <w:lang w:val="es-419" w:eastAsia="es-419"/>
              </w:rPr>
            </w:pPr>
            <w:r w:rsidRPr="00951AB1">
              <w:rPr>
                <w:rFonts w:eastAsia="Times New Roman" w:cs="Times New Roman"/>
                <w:color w:val="000000"/>
                <w:sz w:val="18"/>
                <w:szCs w:val="18"/>
                <w:lang w:val="es-419" w:eastAsia="es-419"/>
              </w:rPr>
              <w:t>Db</w:t>
            </w:r>
          </w:p>
        </w:tc>
        <w:tc>
          <w:tcPr>
            <w:tcW w:w="3260" w:type="dxa"/>
            <w:vAlign w:val="center"/>
            <w:hideMark/>
          </w:tcPr>
          <w:p w14:paraId="7ED8C132" w14:textId="77777777" w:rsidR="00F04487" w:rsidRPr="00951AB1" w:rsidRDefault="00F04487" w:rsidP="000A5389">
            <w:pPr>
              <w:spacing w:line="240" w:lineRule="auto"/>
              <w:rPr>
                <w:rFonts w:eastAsia="Times New Roman" w:cs="Times New Roman"/>
                <w:color w:val="000000"/>
                <w:sz w:val="18"/>
                <w:szCs w:val="18"/>
                <w:lang w:val="es-419" w:eastAsia="es-419"/>
              </w:rPr>
            </w:pPr>
            <w:r w:rsidRPr="00951AB1">
              <w:rPr>
                <w:rFonts w:eastAsia="Times New Roman" w:cs="Times New Roman"/>
                <w:color w:val="000000"/>
                <w:sz w:val="18"/>
                <w:szCs w:val="18"/>
                <w:lang w:val="es-419" w:eastAsia="es-419"/>
              </w:rPr>
              <w:t>Equipo médico y científico</w:t>
            </w:r>
          </w:p>
        </w:tc>
        <w:tc>
          <w:tcPr>
            <w:tcW w:w="1559" w:type="dxa"/>
            <w:noWrap/>
            <w:vAlign w:val="center"/>
            <w:hideMark/>
          </w:tcPr>
          <w:p w14:paraId="5C789AEA" w14:textId="77777777" w:rsidR="00F04487" w:rsidRPr="00951AB1" w:rsidRDefault="00F04487" w:rsidP="000A5389">
            <w:pPr>
              <w:spacing w:line="240" w:lineRule="auto"/>
              <w:jc w:val="right"/>
              <w:rPr>
                <w:rFonts w:eastAsia="Times New Roman" w:cs="Times New Roman"/>
                <w:color w:val="000000"/>
                <w:sz w:val="18"/>
                <w:szCs w:val="18"/>
                <w:lang w:val="es-419" w:eastAsia="es-419"/>
              </w:rPr>
            </w:pPr>
            <w:r w:rsidRPr="00951AB1">
              <w:rPr>
                <w:rFonts w:eastAsia="Times New Roman" w:cs="Times New Roman"/>
                <w:color w:val="000000"/>
                <w:sz w:val="18"/>
                <w:szCs w:val="18"/>
                <w:lang w:val="es-419" w:eastAsia="es-419"/>
              </w:rPr>
              <w:t>843.400</w:t>
            </w:r>
          </w:p>
        </w:tc>
        <w:tc>
          <w:tcPr>
            <w:tcW w:w="1559" w:type="dxa"/>
            <w:noWrap/>
            <w:vAlign w:val="center"/>
            <w:hideMark/>
          </w:tcPr>
          <w:p w14:paraId="19DBF7AC" w14:textId="77777777" w:rsidR="00F04487" w:rsidRPr="00951AB1" w:rsidRDefault="00F04487" w:rsidP="000A5389">
            <w:pPr>
              <w:spacing w:line="240" w:lineRule="auto"/>
              <w:jc w:val="right"/>
              <w:rPr>
                <w:rFonts w:eastAsia="Times New Roman" w:cs="Times New Roman"/>
                <w:color w:val="000000"/>
                <w:sz w:val="18"/>
                <w:szCs w:val="18"/>
                <w:lang w:val="es-419" w:eastAsia="es-419"/>
              </w:rPr>
            </w:pPr>
            <w:r w:rsidRPr="00951AB1">
              <w:rPr>
                <w:rFonts w:eastAsia="Times New Roman" w:cs="Times New Roman"/>
                <w:color w:val="000000"/>
                <w:sz w:val="18"/>
                <w:szCs w:val="18"/>
                <w:lang w:val="es-419" w:eastAsia="es-419"/>
              </w:rPr>
              <w:t>843.400</w:t>
            </w:r>
          </w:p>
        </w:tc>
        <w:tc>
          <w:tcPr>
            <w:tcW w:w="1837" w:type="dxa"/>
            <w:noWrap/>
            <w:vAlign w:val="center"/>
            <w:hideMark/>
          </w:tcPr>
          <w:p w14:paraId="26B95435" w14:textId="77777777" w:rsidR="00F04487" w:rsidRPr="00951AB1" w:rsidRDefault="00F04487" w:rsidP="000A5389">
            <w:pPr>
              <w:spacing w:line="240" w:lineRule="auto"/>
              <w:jc w:val="right"/>
              <w:rPr>
                <w:rFonts w:eastAsia="Times New Roman" w:cs="Times New Roman"/>
                <w:color w:val="000000"/>
                <w:sz w:val="18"/>
                <w:szCs w:val="18"/>
                <w:lang w:val="es-419" w:eastAsia="es-419"/>
              </w:rPr>
            </w:pPr>
            <w:r w:rsidRPr="00951AB1">
              <w:rPr>
                <w:rFonts w:eastAsia="Times New Roman" w:cs="Times New Roman"/>
                <w:color w:val="000000"/>
                <w:sz w:val="18"/>
                <w:szCs w:val="18"/>
                <w:lang w:val="es-419" w:eastAsia="es-419"/>
              </w:rPr>
              <w:t>0</w:t>
            </w:r>
          </w:p>
        </w:tc>
      </w:tr>
      <w:tr w:rsidR="00F04487" w:rsidRPr="00951AB1" w14:paraId="76ADCC32" w14:textId="77777777" w:rsidTr="00F04487">
        <w:trPr>
          <w:trHeight w:val="280"/>
        </w:trPr>
        <w:tc>
          <w:tcPr>
            <w:tcW w:w="590" w:type="dxa"/>
            <w:noWrap/>
            <w:vAlign w:val="center"/>
            <w:hideMark/>
          </w:tcPr>
          <w:p w14:paraId="6B953C6D" w14:textId="77777777" w:rsidR="00F04487" w:rsidRPr="00951AB1" w:rsidRDefault="00F04487" w:rsidP="000A5389">
            <w:pPr>
              <w:spacing w:line="240" w:lineRule="auto"/>
              <w:rPr>
                <w:rFonts w:eastAsia="Times New Roman" w:cs="Times New Roman"/>
                <w:color w:val="000000"/>
                <w:sz w:val="18"/>
                <w:szCs w:val="18"/>
                <w:lang w:val="es-419" w:eastAsia="es-419"/>
              </w:rPr>
            </w:pPr>
            <w:r w:rsidRPr="00951AB1">
              <w:rPr>
                <w:rFonts w:eastAsia="Times New Roman" w:cs="Times New Roman"/>
                <w:color w:val="000000"/>
                <w:sz w:val="18"/>
                <w:szCs w:val="18"/>
                <w:lang w:val="es-419" w:eastAsia="es-419"/>
              </w:rPr>
              <w:t>1.6.35</w:t>
            </w:r>
          </w:p>
        </w:tc>
        <w:tc>
          <w:tcPr>
            <w:tcW w:w="403" w:type="dxa"/>
            <w:noWrap/>
            <w:vAlign w:val="center"/>
            <w:hideMark/>
          </w:tcPr>
          <w:p w14:paraId="573C18F5" w14:textId="77777777" w:rsidR="00F04487" w:rsidRPr="00951AB1" w:rsidRDefault="00F04487" w:rsidP="000A5389">
            <w:pPr>
              <w:spacing w:line="240" w:lineRule="auto"/>
              <w:jc w:val="center"/>
              <w:rPr>
                <w:rFonts w:eastAsia="Times New Roman" w:cs="Times New Roman"/>
                <w:color w:val="000000"/>
                <w:sz w:val="18"/>
                <w:szCs w:val="18"/>
                <w:lang w:val="es-419" w:eastAsia="es-419"/>
              </w:rPr>
            </w:pPr>
            <w:r w:rsidRPr="00951AB1">
              <w:rPr>
                <w:rFonts w:eastAsia="Times New Roman" w:cs="Times New Roman"/>
                <w:color w:val="000000"/>
                <w:sz w:val="18"/>
                <w:szCs w:val="18"/>
                <w:lang w:val="es-419" w:eastAsia="es-419"/>
              </w:rPr>
              <w:t>Db</w:t>
            </w:r>
          </w:p>
        </w:tc>
        <w:tc>
          <w:tcPr>
            <w:tcW w:w="3260" w:type="dxa"/>
            <w:vAlign w:val="center"/>
            <w:hideMark/>
          </w:tcPr>
          <w:p w14:paraId="3796567B" w14:textId="77777777" w:rsidR="00F04487" w:rsidRPr="00951AB1" w:rsidRDefault="00F04487" w:rsidP="000A5389">
            <w:pPr>
              <w:spacing w:line="240" w:lineRule="auto"/>
              <w:rPr>
                <w:rFonts w:eastAsia="Times New Roman" w:cs="Times New Roman"/>
                <w:color w:val="000000"/>
                <w:sz w:val="18"/>
                <w:szCs w:val="18"/>
                <w:lang w:val="es-419" w:eastAsia="es-419"/>
              </w:rPr>
            </w:pPr>
            <w:r w:rsidRPr="00951AB1">
              <w:rPr>
                <w:rFonts w:eastAsia="Times New Roman" w:cs="Times New Roman"/>
                <w:color w:val="000000"/>
                <w:sz w:val="18"/>
                <w:szCs w:val="18"/>
                <w:lang w:val="es-419" w:eastAsia="es-419"/>
              </w:rPr>
              <w:t>Bienes muebles en bodega</w:t>
            </w:r>
          </w:p>
        </w:tc>
        <w:tc>
          <w:tcPr>
            <w:tcW w:w="1559" w:type="dxa"/>
            <w:noWrap/>
            <w:vAlign w:val="center"/>
            <w:hideMark/>
          </w:tcPr>
          <w:p w14:paraId="1D80809B" w14:textId="77777777" w:rsidR="00F04487" w:rsidRPr="00951AB1" w:rsidRDefault="00F04487" w:rsidP="000A5389">
            <w:pPr>
              <w:spacing w:line="240" w:lineRule="auto"/>
              <w:jc w:val="right"/>
              <w:rPr>
                <w:rFonts w:eastAsia="Times New Roman" w:cs="Times New Roman"/>
                <w:color w:val="000000"/>
                <w:sz w:val="18"/>
                <w:szCs w:val="18"/>
                <w:lang w:val="es-419" w:eastAsia="es-419"/>
              </w:rPr>
            </w:pPr>
            <w:r w:rsidRPr="00951AB1">
              <w:rPr>
                <w:rFonts w:eastAsia="Times New Roman" w:cs="Times New Roman"/>
                <w:color w:val="000000"/>
                <w:sz w:val="18"/>
                <w:szCs w:val="18"/>
                <w:lang w:val="es-419" w:eastAsia="es-419"/>
              </w:rPr>
              <w:t>0</w:t>
            </w:r>
          </w:p>
        </w:tc>
        <w:tc>
          <w:tcPr>
            <w:tcW w:w="1559" w:type="dxa"/>
            <w:noWrap/>
            <w:vAlign w:val="center"/>
            <w:hideMark/>
          </w:tcPr>
          <w:p w14:paraId="65D27E91" w14:textId="77777777" w:rsidR="00F04487" w:rsidRPr="00951AB1" w:rsidRDefault="00F04487" w:rsidP="000A5389">
            <w:pPr>
              <w:spacing w:line="240" w:lineRule="auto"/>
              <w:jc w:val="right"/>
              <w:rPr>
                <w:rFonts w:eastAsia="Times New Roman" w:cs="Times New Roman"/>
                <w:color w:val="000000"/>
                <w:sz w:val="18"/>
                <w:szCs w:val="18"/>
                <w:lang w:val="es-419" w:eastAsia="es-419"/>
              </w:rPr>
            </w:pPr>
            <w:r w:rsidRPr="00951AB1">
              <w:rPr>
                <w:rFonts w:eastAsia="Times New Roman" w:cs="Times New Roman"/>
                <w:color w:val="000000"/>
                <w:sz w:val="18"/>
                <w:szCs w:val="18"/>
                <w:lang w:val="es-419" w:eastAsia="es-419"/>
              </w:rPr>
              <w:t>184.654.204</w:t>
            </w:r>
          </w:p>
        </w:tc>
        <w:tc>
          <w:tcPr>
            <w:tcW w:w="1837" w:type="dxa"/>
            <w:noWrap/>
            <w:vAlign w:val="center"/>
            <w:hideMark/>
          </w:tcPr>
          <w:p w14:paraId="574E6CB9" w14:textId="77777777" w:rsidR="00F04487" w:rsidRPr="00951AB1" w:rsidRDefault="00F04487" w:rsidP="000A5389">
            <w:pPr>
              <w:spacing w:line="240" w:lineRule="auto"/>
              <w:jc w:val="right"/>
              <w:rPr>
                <w:rFonts w:eastAsia="Times New Roman" w:cs="Times New Roman"/>
                <w:color w:val="000000"/>
                <w:sz w:val="18"/>
                <w:szCs w:val="18"/>
                <w:lang w:val="es-419" w:eastAsia="es-419"/>
              </w:rPr>
            </w:pPr>
            <w:r w:rsidRPr="00951AB1">
              <w:rPr>
                <w:rFonts w:eastAsia="Times New Roman" w:cs="Times New Roman"/>
                <w:color w:val="000000"/>
                <w:sz w:val="18"/>
                <w:szCs w:val="18"/>
                <w:lang w:val="es-419" w:eastAsia="es-419"/>
              </w:rPr>
              <w:t>-184.654.204</w:t>
            </w:r>
          </w:p>
        </w:tc>
      </w:tr>
      <w:tr w:rsidR="00F04487" w:rsidRPr="00951AB1" w14:paraId="06C33251" w14:textId="77777777" w:rsidTr="00F04487">
        <w:trPr>
          <w:trHeight w:val="280"/>
        </w:trPr>
        <w:tc>
          <w:tcPr>
            <w:tcW w:w="590" w:type="dxa"/>
            <w:noWrap/>
            <w:vAlign w:val="center"/>
            <w:hideMark/>
          </w:tcPr>
          <w:p w14:paraId="047F95F3" w14:textId="77777777" w:rsidR="00F04487" w:rsidRPr="00951AB1" w:rsidRDefault="00F04487" w:rsidP="000A5389">
            <w:pPr>
              <w:spacing w:line="240" w:lineRule="auto"/>
              <w:rPr>
                <w:rFonts w:eastAsia="Times New Roman" w:cs="Times New Roman"/>
                <w:color w:val="000000"/>
                <w:sz w:val="18"/>
                <w:szCs w:val="18"/>
                <w:lang w:val="es-419" w:eastAsia="es-419"/>
              </w:rPr>
            </w:pPr>
            <w:r w:rsidRPr="00951AB1">
              <w:rPr>
                <w:rFonts w:eastAsia="Times New Roman" w:cs="Times New Roman"/>
                <w:color w:val="000000"/>
                <w:sz w:val="18"/>
                <w:szCs w:val="18"/>
                <w:lang w:val="es-419" w:eastAsia="es-419"/>
              </w:rPr>
              <w:t>1.6.85</w:t>
            </w:r>
          </w:p>
        </w:tc>
        <w:tc>
          <w:tcPr>
            <w:tcW w:w="403" w:type="dxa"/>
            <w:noWrap/>
            <w:vAlign w:val="center"/>
            <w:hideMark/>
          </w:tcPr>
          <w:p w14:paraId="2DA84174" w14:textId="77777777" w:rsidR="00F04487" w:rsidRPr="00951AB1" w:rsidRDefault="00F04487" w:rsidP="000A5389">
            <w:pPr>
              <w:spacing w:line="240" w:lineRule="auto"/>
              <w:jc w:val="center"/>
              <w:rPr>
                <w:rFonts w:eastAsia="Times New Roman" w:cs="Times New Roman"/>
                <w:color w:val="000000"/>
                <w:sz w:val="18"/>
                <w:szCs w:val="18"/>
                <w:lang w:val="es-419" w:eastAsia="es-419"/>
              </w:rPr>
            </w:pPr>
            <w:r w:rsidRPr="00951AB1">
              <w:rPr>
                <w:rFonts w:eastAsia="Times New Roman" w:cs="Times New Roman"/>
                <w:color w:val="000000"/>
                <w:sz w:val="18"/>
                <w:szCs w:val="18"/>
                <w:lang w:val="es-419" w:eastAsia="es-419"/>
              </w:rPr>
              <w:t>Cr</w:t>
            </w:r>
          </w:p>
        </w:tc>
        <w:tc>
          <w:tcPr>
            <w:tcW w:w="3260" w:type="dxa"/>
            <w:vAlign w:val="center"/>
            <w:hideMark/>
          </w:tcPr>
          <w:p w14:paraId="2AE3BF22" w14:textId="77777777" w:rsidR="00F04487" w:rsidRPr="00951AB1" w:rsidRDefault="00F04487" w:rsidP="000A5389">
            <w:pPr>
              <w:spacing w:line="240" w:lineRule="auto"/>
              <w:rPr>
                <w:rFonts w:eastAsia="Times New Roman" w:cs="Times New Roman"/>
                <w:color w:val="000000"/>
                <w:sz w:val="18"/>
                <w:szCs w:val="18"/>
                <w:lang w:val="es-419" w:eastAsia="es-419"/>
              </w:rPr>
            </w:pPr>
            <w:r w:rsidRPr="00951AB1">
              <w:rPr>
                <w:rFonts w:eastAsia="Times New Roman" w:cs="Times New Roman"/>
                <w:color w:val="000000"/>
                <w:sz w:val="18"/>
                <w:szCs w:val="18"/>
                <w:lang w:val="es-419" w:eastAsia="es-419"/>
              </w:rPr>
              <w:t>Depreciación acumulada de PPE (cr)</w:t>
            </w:r>
          </w:p>
        </w:tc>
        <w:tc>
          <w:tcPr>
            <w:tcW w:w="1559" w:type="dxa"/>
            <w:noWrap/>
            <w:vAlign w:val="center"/>
            <w:hideMark/>
          </w:tcPr>
          <w:p w14:paraId="7E283378" w14:textId="77777777" w:rsidR="00F04487" w:rsidRPr="00951AB1" w:rsidRDefault="00F04487" w:rsidP="000A5389">
            <w:pPr>
              <w:spacing w:line="240" w:lineRule="auto"/>
              <w:jc w:val="right"/>
              <w:rPr>
                <w:rFonts w:eastAsia="Times New Roman" w:cs="Times New Roman"/>
                <w:color w:val="000000"/>
                <w:sz w:val="18"/>
                <w:szCs w:val="18"/>
                <w:lang w:val="es-419" w:eastAsia="es-419"/>
              </w:rPr>
            </w:pPr>
            <w:r w:rsidRPr="00951AB1">
              <w:rPr>
                <w:rFonts w:eastAsia="Times New Roman" w:cs="Times New Roman"/>
                <w:color w:val="000000"/>
                <w:sz w:val="18"/>
                <w:szCs w:val="18"/>
                <w:lang w:val="es-419" w:eastAsia="es-419"/>
              </w:rPr>
              <w:t>-22.505.845.846</w:t>
            </w:r>
          </w:p>
        </w:tc>
        <w:tc>
          <w:tcPr>
            <w:tcW w:w="1559" w:type="dxa"/>
            <w:noWrap/>
            <w:vAlign w:val="center"/>
            <w:hideMark/>
          </w:tcPr>
          <w:p w14:paraId="674B84AB" w14:textId="77777777" w:rsidR="00F04487" w:rsidRPr="00951AB1" w:rsidRDefault="00F04487" w:rsidP="000A5389">
            <w:pPr>
              <w:spacing w:line="240" w:lineRule="auto"/>
              <w:jc w:val="right"/>
              <w:rPr>
                <w:rFonts w:eastAsia="Times New Roman" w:cs="Times New Roman"/>
                <w:color w:val="000000"/>
                <w:sz w:val="18"/>
                <w:szCs w:val="18"/>
                <w:lang w:val="es-419" w:eastAsia="es-419"/>
              </w:rPr>
            </w:pPr>
            <w:r w:rsidRPr="00951AB1">
              <w:rPr>
                <w:rFonts w:eastAsia="Times New Roman" w:cs="Times New Roman"/>
                <w:color w:val="000000"/>
                <w:sz w:val="18"/>
                <w:szCs w:val="18"/>
                <w:lang w:val="es-419" w:eastAsia="es-419"/>
              </w:rPr>
              <w:t>-19.154.606.641</w:t>
            </w:r>
          </w:p>
        </w:tc>
        <w:tc>
          <w:tcPr>
            <w:tcW w:w="1837" w:type="dxa"/>
            <w:noWrap/>
            <w:vAlign w:val="center"/>
            <w:hideMark/>
          </w:tcPr>
          <w:p w14:paraId="572D7A8C" w14:textId="77777777" w:rsidR="00F04487" w:rsidRPr="00951AB1" w:rsidRDefault="00F04487" w:rsidP="000A5389">
            <w:pPr>
              <w:spacing w:line="240" w:lineRule="auto"/>
              <w:jc w:val="right"/>
              <w:rPr>
                <w:rFonts w:eastAsia="Times New Roman" w:cs="Times New Roman"/>
                <w:color w:val="000000"/>
                <w:sz w:val="18"/>
                <w:szCs w:val="18"/>
                <w:lang w:val="es-419" w:eastAsia="es-419"/>
              </w:rPr>
            </w:pPr>
            <w:r w:rsidRPr="00951AB1">
              <w:rPr>
                <w:rFonts w:eastAsia="Times New Roman" w:cs="Times New Roman"/>
                <w:color w:val="000000"/>
                <w:sz w:val="18"/>
                <w:szCs w:val="18"/>
                <w:lang w:val="es-419" w:eastAsia="es-419"/>
              </w:rPr>
              <w:t>-3.351.239.205</w:t>
            </w:r>
          </w:p>
        </w:tc>
      </w:tr>
    </w:tbl>
    <w:p w14:paraId="4F52AAD7" w14:textId="77777777" w:rsidR="005B34BA" w:rsidRPr="00951AB1" w:rsidRDefault="005B34BA" w:rsidP="000A5389">
      <w:pPr>
        <w:spacing w:line="240" w:lineRule="auto"/>
        <w:rPr>
          <w:rFonts w:cs="Times New Roman"/>
          <w:sz w:val="14"/>
          <w:szCs w:val="14"/>
        </w:rPr>
      </w:pPr>
      <w:r w:rsidRPr="00951AB1">
        <w:rPr>
          <w:rFonts w:cs="Times New Roman"/>
          <w:sz w:val="14"/>
          <w:szCs w:val="14"/>
        </w:rPr>
        <w:t>Cifras expresadas en pesos</w:t>
      </w:r>
    </w:p>
    <w:p w14:paraId="33024BB2" w14:textId="77777777" w:rsidR="00C80071" w:rsidRPr="00951AB1" w:rsidRDefault="00C80071" w:rsidP="000A5389">
      <w:pPr>
        <w:spacing w:line="240" w:lineRule="auto"/>
        <w:rPr>
          <w:rFonts w:cs="Times New Roman"/>
          <w:szCs w:val="24"/>
        </w:rPr>
      </w:pPr>
    </w:p>
    <w:p w14:paraId="39358F34" w14:textId="77777777" w:rsidR="008525FD" w:rsidRPr="00951AB1" w:rsidRDefault="00443F28" w:rsidP="000A5389">
      <w:pPr>
        <w:spacing w:line="240" w:lineRule="auto"/>
        <w:rPr>
          <w:rFonts w:cs="Times New Roman"/>
          <w:szCs w:val="24"/>
        </w:rPr>
      </w:pPr>
      <w:r w:rsidRPr="00951AB1">
        <w:rPr>
          <w:rFonts w:cs="Times New Roman"/>
          <w:szCs w:val="24"/>
        </w:rPr>
        <w:t xml:space="preserve">A 31 de diciembre de 2025, las propiedades, planta y equipo, están conformadas por: i) </w:t>
      </w:r>
      <w:r w:rsidR="008525FD" w:rsidRPr="00951AB1">
        <w:rPr>
          <w:rFonts w:cs="Times New Roman"/>
          <w:szCs w:val="24"/>
        </w:rPr>
        <w:t>Propiedades, planta y equipo en concesión y ii). Para</w:t>
      </w:r>
      <w:r w:rsidRPr="00951AB1">
        <w:rPr>
          <w:rFonts w:cs="Times New Roman"/>
          <w:szCs w:val="24"/>
        </w:rPr>
        <w:t xml:space="preserve"> uso administrativo</w:t>
      </w:r>
      <w:r w:rsidR="008525FD" w:rsidRPr="00951AB1">
        <w:rPr>
          <w:rFonts w:cs="Times New Roman"/>
          <w:szCs w:val="24"/>
        </w:rPr>
        <w:t>.</w:t>
      </w:r>
      <w:r w:rsidRPr="00951AB1">
        <w:rPr>
          <w:rFonts w:cs="Times New Roman"/>
          <w:szCs w:val="24"/>
        </w:rPr>
        <w:t xml:space="preserve"> Estos bienes no presentan restricciones de dominio, ni son garantía para el cumplimiento de pasivos del Sector Nación. </w:t>
      </w:r>
    </w:p>
    <w:p w14:paraId="56C37D94" w14:textId="77777777" w:rsidR="008525FD" w:rsidRPr="00951AB1" w:rsidRDefault="008525FD" w:rsidP="000A5389">
      <w:pPr>
        <w:spacing w:line="240" w:lineRule="auto"/>
        <w:rPr>
          <w:rFonts w:cs="Times New Roman"/>
          <w:sz w:val="16"/>
          <w:szCs w:val="16"/>
        </w:rPr>
      </w:pPr>
    </w:p>
    <w:p w14:paraId="21AEDFC5" w14:textId="5011EC88" w:rsidR="00443F28" w:rsidRPr="00951AB1" w:rsidRDefault="00443F28" w:rsidP="000A5389">
      <w:pPr>
        <w:spacing w:line="240" w:lineRule="auto"/>
        <w:rPr>
          <w:rFonts w:cs="Times New Roman"/>
          <w:szCs w:val="24"/>
        </w:rPr>
      </w:pPr>
      <w:r w:rsidRPr="00951AB1">
        <w:rPr>
          <w:rFonts w:cs="Times New Roman"/>
          <w:szCs w:val="24"/>
        </w:rPr>
        <w:t xml:space="preserve">Es de indicar que los bienes de propiedad y para uso administrativo se encuentran debidamente amparados bajo pólizas de garantía. </w:t>
      </w:r>
    </w:p>
    <w:p w14:paraId="4CCB55D1" w14:textId="77777777" w:rsidR="00443F28" w:rsidRPr="00951AB1" w:rsidRDefault="00443F28" w:rsidP="000A5389">
      <w:pPr>
        <w:spacing w:line="240" w:lineRule="auto"/>
        <w:rPr>
          <w:rFonts w:cs="Times New Roman"/>
          <w:sz w:val="16"/>
          <w:szCs w:val="16"/>
        </w:rPr>
      </w:pPr>
    </w:p>
    <w:p w14:paraId="2FA8172E" w14:textId="77777777" w:rsidR="00443F28" w:rsidRPr="00951AB1" w:rsidRDefault="00443F28" w:rsidP="000A5389">
      <w:pPr>
        <w:spacing w:line="240" w:lineRule="auto"/>
        <w:rPr>
          <w:rFonts w:cs="Times New Roman"/>
          <w:szCs w:val="24"/>
        </w:rPr>
      </w:pPr>
      <w:r w:rsidRPr="00951AB1">
        <w:rPr>
          <w:rFonts w:cs="Times New Roman"/>
          <w:szCs w:val="24"/>
        </w:rPr>
        <w:t xml:space="preserve">De igual forma se incluyen los bienes que hacen parte en la ejecución de los proyectos de concesión de los modos carretero, férreo y portuario. </w:t>
      </w:r>
    </w:p>
    <w:p w14:paraId="5E8E1AE6" w14:textId="77777777" w:rsidR="00443F28" w:rsidRPr="00951AB1" w:rsidRDefault="00443F28" w:rsidP="000A5389">
      <w:pPr>
        <w:spacing w:line="240" w:lineRule="auto"/>
        <w:rPr>
          <w:rFonts w:cs="Times New Roman"/>
          <w:szCs w:val="24"/>
        </w:rPr>
      </w:pPr>
    </w:p>
    <w:p w14:paraId="3C8D8AC7" w14:textId="176CF5E9" w:rsidR="008525FD" w:rsidRPr="00951AB1" w:rsidRDefault="00774AB2" w:rsidP="000A5389">
      <w:pPr>
        <w:pStyle w:val="Ttulo2"/>
        <w:numPr>
          <w:ilvl w:val="1"/>
          <w:numId w:val="67"/>
        </w:numPr>
        <w:spacing w:line="240" w:lineRule="auto"/>
        <w:rPr>
          <w:rFonts w:cs="Times New Roman"/>
          <w:szCs w:val="22"/>
        </w:rPr>
      </w:pPr>
      <w:bookmarkStart w:id="311" w:name="_Toc191562516"/>
      <w:bookmarkStart w:id="312" w:name="_Toc191369509"/>
      <w:bookmarkStart w:id="313" w:name="_Toc191456839"/>
      <w:bookmarkStart w:id="314" w:name="_Toc191456949"/>
      <w:bookmarkStart w:id="315" w:name="_Toc191457059"/>
      <w:bookmarkStart w:id="316" w:name="_Toc191475686"/>
      <w:bookmarkStart w:id="317" w:name="_Toc191475795"/>
      <w:bookmarkStart w:id="318" w:name="_Toc191475904"/>
      <w:bookmarkStart w:id="319" w:name="_Toc191475427"/>
      <w:r w:rsidRPr="00951AB1">
        <w:rPr>
          <w:rFonts w:cs="Times New Roman"/>
          <w:szCs w:val="22"/>
        </w:rPr>
        <w:t xml:space="preserve">  </w:t>
      </w:r>
      <w:r w:rsidRPr="00951AB1">
        <w:rPr>
          <w:rFonts w:cs="Times New Roman"/>
          <w:szCs w:val="22"/>
        </w:rPr>
        <w:tab/>
      </w:r>
      <w:bookmarkStart w:id="320" w:name="_Toc222955480"/>
      <w:r w:rsidR="008525FD" w:rsidRPr="00951AB1">
        <w:rPr>
          <w:rFonts w:cs="Times New Roman"/>
          <w:szCs w:val="22"/>
        </w:rPr>
        <w:t>Detalle saldos y movimientos PPE – Muebles</w:t>
      </w:r>
      <w:bookmarkEnd w:id="311"/>
      <w:bookmarkEnd w:id="320"/>
    </w:p>
    <w:p w14:paraId="1D11D3AE" w14:textId="77777777" w:rsidR="008525FD" w:rsidRPr="00951AB1" w:rsidRDefault="008525FD" w:rsidP="000A5389">
      <w:pPr>
        <w:spacing w:line="240" w:lineRule="auto"/>
        <w:rPr>
          <w:rFonts w:cs="Times New Roman"/>
        </w:rPr>
      </w:pPr>
    </w:p>
    <w:p w14:paraId="4FF27674" w14:textId="77777777" w:rsidR="008525FD" w:rsidRPr="00951AB1" w:rsidRDefault="008525FD" w:rsidP="000A5389">
      <w:pPr>
        <w:autoSpaceDE w:val="0"/>
        <w:autoSpaceDN w:val="0"/>
        <w:adjustRightInd w:val="0"/>
        <w:spacing w:line="240" w:lineRule="auto"/>
        <w:rPr>
          <w:rFonts w:cs="Times New Roman"/>
          <w:szCs w:val="24"/>
          <w:lang w:eastAsia="es-CO"/>
        </w:rPr>
      </w:pPr>
      <w:r w:rsidRPr="00951AB1">
        <w:rPr>
          <w:rFonts w:cs="Times New Roman"/>
          <w:szCs w:val="24"/>
          <w:lang w:eastAsia="es-CO"/>
        </w:rPr>
        <w:lastRenderedPageBreak/>
        <w:t>Para la vigencia 2025, las propiedades, planta y equipo – muebles se encuentran en servicio y destinadas tanto al uso administrativo como al apoyo de los proyectos de concesión.</w:t>
      </w:r>
    </w:p>
    <w:p w14:paraId="23B71B7B" w14:textId="77777777" w:rsidR="008525FD" w:rsidRPr="00951AB1" w:rsidRDefault="008525FD" w:rsidP="000A5389">
      <w:pPr>
        <w:autoSpaceDE w:val="0"/>
        <w:autoSpaceDN w:val="0"/>
        <w:adjustRightInd w:val="0"/>
        <w:spacing w:line="240" w:lineRule="auto"/>
        <w:rPr>
          <w:rFonts w:cs="Times New Roman"/>
          <w:szCs w:val="24"/>
          <w:lang w:eastAsia="es-CO"/>
        </w:rPr>
      </w:pPr>
    </w:p>
    <w:bookmarkEnd w:id="312"/>
    <w:bookmarkEnd w:id="313"/>
    <w:bookmarkEnd w:id="314"/>
    <w:bookmarkEnd w:id="315"/>
    <w:bookmarkEnd w:id="316"/>
    <w:bookmarkEnd w:id="317"/>
    <w:bookmarkEnd w:id="318"/>
    <w:bookmarkEnd w:id="319"/>
    <w:p w14:paraId="42A60145" w14:textId="77777777" w:rsidR="008525FD" w:rsidRPr="00951AB1" w:rsidRDefault="008525FD" w:rsidP="000A5389">
      <w:pPr>
        <w:autoSpaceDE w:val="0"/>
        <w:autoSpaceDN w:val="0"/>
        <w:adjustRightInd w:val="0"/>
        <w:spacing w:line="240" w:lineRule="auto"/>
        <w:rPr>
          <w:rFonts w:cs="Times New Roman"/>
          <w:szCs w:val="24"/>
          <w:lang w:eastAsia="es-CO"/>
        </w:rPr>
      </w:pPr>
      <w:r w:rsidRPr="00951AB1">
        <w:rPr>
          <w:rFonts w:cs="Times New Roman"/>
          <w:szCs w:val="24"/>
          <w:lang w:eastAsia="es-CO"/>
        </w:rPr>
        <w:t>A continuación, se presentan los saldos y movimientos registrados durante el periodo en las cuentas correspondientes, detallando las principales operaciones que afectaron su valor contable.</w:t>
      </w:r>
    </w:p>
    <w:p w14:paraId="7684F675" w14:textId="77777777" w:rsidR="00443F28" w:rsidRPr="00951AB1" w:rsidRDefault="00443F28" w:rsidP="000A5389">
      <w:pPr>
        <w:spacing w:line="240" w:lineRule="auto"/>
        <w:rPr>
          <w:rFonts w:cs="Times New Roman"/>
          <w:szCs w:val="24"/>
        </w:rPr>
      </w:pPr>
    </w:p>
    <w:p w14:paraId="16F21FCC" w14:textId="77777777" w:rsidR="008525FD" w:rsidRPr="00951AB1" w:rsidRDefault="008525FD" w:rsidP="000A5389">
      <w:pPr>
        <w:spacing w:line="240" w:lineRule="auto"/>
        <w:rPr>
          <w:rFonts w:cs="Times New Roman"/>
          <w:szCs w:val="24"/>
        </w:rPr>
      </w:pPr>
    </w:p>
    <w:p w14:paraId="4CF135D6" w14:textId="66D3703D" w:rsidR="00274875" w:rsidRPr="00951AB1" w:rsidRDefault="003014BC" w:rsidP="000A5389">
      <w:pPr>
        <w:spacing w:line="240" w:lineRule="auto"/>
        <w:rPr>
          <w:rFonts w:cs="Times New Roman"/>
          <w:szCs w:val="24"/>
        </w:rPr>
      </w:pPr>
      <w:r w:rsidRPr="00951AB1">
        <w:rPr>
          <w:rFonts w:cs="Times New Roman"/>
          <w:noProof/>
        </w:rPr>
        <w:drawing>
          <wp:inline distT="0" distB="0" distL="0" distR="0" wp14:anchorId="5885C719" wp14:editId="509909FC">
            <wp:extent cx="5829300" cy="5322067"/>
            <wp:effectExtent l="0" t="0" r="0" b="0"/>
            <wp:docPr id="46686449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842255" cy="5333894"/>
                    </a:xfrm>
                    <a:prstGeom prst="rect">
                      <a:avLst/>
                    </a:prstGeom>
                    <a:noFill/>
                    <a:ln>
                      <a:noFill/>
                    </a:ln>
                  </pic:spPr>
                </pic:pic>
              </a:graphicData>
            </a:graphic>
          </wp:inline>
        </w:drawing>
      </w:r>
    </w:p>
    <w:p w14:paraId="2F07F439" w14:textId="77777777" w:rsidR="00274875" w:rsidRPr="00951AB1" w:rsidRDefault="00274875" w:rsidP="000A5389">
      <w:pPr>
        <w:spacing w:line="240" w:lineRule="auto"/>
        <w:rPr>
          <w:rFonts w:cs="Times New Roman"/>
          <w:szCs w:val="24"/>
        </w:rPr>
      </w:pPr>
    </w:p>
    <w:p w14:paraId="39DAE935" w14:textId="77777777" w:rsidR="00274875" w:rsidRPr="00951AB1" w:rsidRDefault="00274875" w:rsidP="000A5389">
      <w:pPr>
        <w:pStyle w:val="Textoindependiente"/>
        <w:spacing w:line="240" w:lineRule="auto"/>
        <w:rPr>
          <w:bCs/>
          <w:i/>
          <w:iCs/>
          <w:color w:val="1F3864" w:themeColor="accent1" w:themeShade="80"/>
        </w:rPr>
      </w:pPr>
      <w:r w:rsidRPr="00951AB1">
        <w:rPr>
          <w:bCs/>
          <w:i/>
          <w:iCs/>
          <w:color w:val="44546A" w:themeColor="text2"/>
        </w:rPr>
        <w:t>Propiedades, planta y equipo en concesión</w:t>
      </w:r>
    </w:p>
    <w:p w14:paraId="1E317005" w14:textId="77777777" w:rsidR="00274875" w:rsidRPr="00951AB1" w:rsidRDefault="00274875" w:rsidP="000A5389">
      <w:pPr>
        <w:pStyle w:val="Textoindependiente"/>
        <w:spacing w:line="240" w:lineRule="auto"/>
        <w:rPr>
          <w:sz w:val="16"/>
          <w:szCs w:val="16"/>
        </w:rPr>
      </w:pPr>
    </w:p>
    <w:p w14:paraId="5DC31850" w14:textId="77777777" w:rsidR="00D81C95" w:rsidRPr="00951AB1" w:rsidRDefault="00D81C95" w:rsidP="000A5389">
      <w:pPr>
        <w:pStyle w:val="Ttulo2"/>
        <w:numPr>
          <w:ilvl w:val="0"/>
          <w:numId w:val="0"/>
        </w:numPr>
        <w:spacing w:line="240" w:lineRule="auto"/>
        <w:rPr>
          <w:rFonts w:cs="Times New Roman"/>
          <w:szCs w:val="24"/>
        </w:rPr>
      </w:pPr>
      <w:bookmarkStart w:id="321" w:name="_Toc222955481"/>
      <w:r w:rsidRPr="00951AB1">
        <w:rPr>
          <w:rFonts w:cs="Times New Roman"/>
        </w:rPr>
        <w:t>Composición</w:t>
      </w:r>
      <w:bookmarkEnd w:id="321"/>
      <w:r w:rsidRPr="00951AB1">
        <w:rPr>
          <w:rFonts w:cs="Times New Roman"/>
        </w:rPr>
        <w:tab/>
      </w:r>
    </w:p>
    <w:p w14:paraId="20889E30" w14:textId="77777777" w:rsidR="00D81C95" w:rsidRPr="00951AB1" w:rsidRDefault="00D81C95" w:rsidP="000A5389">
      <w:pPr>
        <w:pStyle w:val="Textoindependiente"/>
        <w:spacing w:line="240" w:lineRule="auto"/>
        <w:rPr>
          <w:rFonts w:eastAsia="Calibri"/>
          <w:color w:val="FFFFFF" w:themeColor="background1"/>
          <w:sz w:val="16"/>
          <w:szCs w:val="16"/>
          <w:lang w:val="es-CO" w:eastAsia="es-CO" w:bidi="ar-SA"/>
        </w:rPr>
      </w:pPr>
      <w:r w:rsidRPr="00951AB1">
        <w:rPr>
          <w:bCs/>
        </w:rPr>
        <w:fldChar w:fldCharType="begin"/>
      </w:r>
      <w:r w:rsidRPr="00951AB1">
        <w:rPr>
          <w:bCs/>
        </w:rPr>
        <w:instrText xml:space="preserve"> LINK Excel.Sheet.12 "C:\\Users\\wolarte\\Documents\\0-Ani2025\\0_Cierre2025\\Nota_10\\Anexo N_10 - Propiedades, planta y equipo.XLSX" "Composición!F47C1:F57C6" \a \f 4 \h  \* MERGEFORMAT </w:instrText>
      </w:r>
      <w:r w:rsidRPr="00951AB1">
        <w:rPr>
          <w:bCs/>
        </w:rPr>
        <w:fldChar w:fldCharType="separate"/>
      </w:r>
    </w:p>
    <w:tbl>
      <w:tblPr>
        <w:tblW w:w="90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815"/>
        <w:gridCol w:w="480"/>
        <w:gridCol w:w="3383"/>
        <w:gridCol w:w="1490"/>
        <w:gridCol w:w="1490"/>
        <w:gridCol w:w="1418"/>
      </w:tblGrid>
      <w:tr w:rsidR="00CC596B" w:rsidRPr="00951AB1" w14:paraId="6C3AFBAA" w14:textId="77777777" w:rsidTr="00DE2EC7">
        <w:trPr>
          <w:trHeight w:val="560"/>
          <w:tblHeader/>
        </w:trPr>
        <w:tc>
          <w:tcPr>
            <w:tcW w:w="4678" w:type="dxa"/>
            <w:gridSpan w:val="3"/>
            <w:noWrap/>
            <w:vAlign w:val="center"/>
            <w:hideMark/>
          </w:tcPr>
          <w:p w14:paraId="65B16779" w14:textId="3F80D1E0" w:rsidR="00CC596B" w:rsidRPr="00951AB1" w:rsidRDefault="00CC596B" w:rsidP="000A5389">
            <w:pPr>
              <w:spacing w:line="240" w:lineRule="auto"/>
              <w:jc w:val="center"/>
              <w:rPr>
                <w:rFonts w:eastAsia="Times New Roman" w:cs="Times New Roman"/>
                <w:b/>
                <w:color w:val="FFFFFF" w:themeColor="background1"/>
                <w:sz w:val="18"/>
                <w:szCs w:val="18"/>
                <w:lang w:val="es-419" w:eastAsia="es-419"/>
              </w:rPr>
            </w:pPr>
            <w:r w:rsidRPr="00951AB1">
              <w:rPr>
                <w:rFonts w:eastAsia="Times New Roman" w:cs="Times New Roman"/>
                <w:b/>
                <w:bCs/>
                <w:sz w:val="18"/>
                <w:szCs w:val="18"/>
                <w:lang w:val="es-419" w:eastAsia="es-419"/>
              </w:rPr>
              <w:lastRenderedPageBreak/>
              <w:t>CONCEPTO</w:t>
            </w:r>
          </w:p>
        </w:tc>
        <w:tc>
          <w:tcPr>
            <w:tcW w:w="1490" w:type="dxa"/>
            <w:vAlign w:val="center"/>
            <w:hideMark/>
          </w:tcPr>
          <w:p w14:paraId="61DB8990" w14:textId="12379C70" w:rsidR="00CC596B" w:rsidRPr="00951AB1" w:rsidRDefault="00CC596B" w:rsidP="000A5389">
            <w:pPr>
              <w:spacing w:line="240" w:lineRule="auto"/>
              <w:jc w:val="center"/>
              <w:rPr>
                <w:rFonts w:eastAsia="Times New Roman" w:cs="Times New Roman"/>
                <w:b/>
                <w:color w:val="FFFFFF" w:themeColor="background1"/>
                <w:sz w:val="18"/>
                <w:szCs w:val="18"/>
                <w:lang w:val="es-419" w:eastAsia="es-419"/>
              </w:rPr>
            </w:pPr>
            <w:r w:rsidRPr="00951AB1">
              <w:rPr>
                <w:rFonts w:eastAsia="Times New Roman" w:cs="Times New Roman"/>
                <w:b/>
                <w:bCs/>
                <w:sz w:val="18"/>
                <w:szCs w:val="18"/>
                <w:lang w:val="es-419" w:eastAsia="es-419"/>
              </w:rPr>
              <w:t xml:space="preserve">2025 </w:t>
            </w:r>
          </w:p>
        </w:tc>
        <w:tc>
          <w:tcPr>
            <w:tcW w:w="1490" w:type="dxa"/>
            <w:vAlign w:val="center"/>
            <w:hideMark/>
          </w:tcPr>
          <w:p w14:paraId="3E3935C6" w14:textId="7149A786" w:rsidR="00CC596B" w:rsidRPr="00951AB1" w:rsidRDefault="00CC596B" w:rsidP="000A5389">
            <w:pPr>
              <w:spacing w:line="240" w:lineRule="auto"/>
              <w:jc w:val="center"/>
              <w:rPr>
                <w:rFonts w:eastAsia="Times New Roman" w:cs="Times New Roman"/>
                <w:b/>
                <w:color w:val="FFFFFF" w:themeColor="background1"/>
                <w:sz w:val="18"/>
                <w:szCs w:val="18"/>
                <w:lang w:val="es-419" w:eastAsia="es-419"/>
              </w:rPr>
            </w:pPr>
            <w:r w:rsidRPr="00951AB1">
              <w:rPr>
                <w:rFonts w:eastAsia="Times New Roman" w:cs="Times New Roman"/>
                <w:b/>
                <w:bCs/>
                <w:sz w:val="18"/>
                <w:szCs w:val="18"/>
                <w:lang w:val="es-419" w:eastAsia="es-419"/>
              </w:rPr>
              <w:t xml:space="preserve">2024 </w:t>
            </w:r>
          </w:p>
        </w:tc>
        <w:tc>
          <w:tcPr>
            <w:tcW w:w="1418" w:type="dxa"/>
            <w:vAlign w:val="center"/>
            <w:hideMark/>
          </w:tcPr>
          <w:p w14:paraId="33D0CC51" w14:textId="0EC320FE" w:rsidR="00CC596B" w:rsidRPr="00951AB1" w:rsidRDefault="00CC596B" w:rsidP="000A5389">
            <w:pPr>
              <w:spacing w:line="240" w:lineRule="auto"/>
              <w:jc w:val="center"/>
              <w:rPr>
                <w:rFonts w:eastAsia="Times New Roman" w:cs="Times New Roman"/>
                <w:b/>
                <w:color w:val="FFFFFF" w:themeColor="background1"/>
                <w:sz w:val="18"/>
                <w:szCs w:val="18"/>
                <w:lang w:val="es-419" w:eastAsia="es-419"/>
              </w:rPr>
            </w:pPr>
            <w:r w:rsidRPr="00951AB1">
              <w:rPr>
                <w:rFonts w:eastAsia="Times New Roman" w:cs="Times New Roman"/>
                <w:b/>
                <w:bCs/>
                <w:sz w:val="18"/>
                <w:szCs w:val="18"/>
                <w:lang w:val="es-419" w:eastAsia="es-419"/>
              </w:rPr>
              <w:t>VALOR VARIACIÓN</w:t>
            </w:r>
          </w:p>
        </w:tc>
      </w:tr>
      <w:tr w:rsidR="00D81C95" w:rsidRPr="00951AB1" w14:paraId="7B644EAB" w14:textId="77777777" w:rsidTr="31D9A470">
        <w:trPr>
          <w:trHeight w:val="560"/>
        </w:trPr>
        <w:tc>
          <w:tcPr>
            <w:tcW w:w="815" w:type="dxa"/>
            <w:noWrap/>
            <w:vAlign w:val="center"/>
            <w:hideMark/>
          </w:tcPr>
          <w:p w14:paraId="2DD5AA76" w14:textId="77777777" w:rsidR="00D81C95" w:rsidRPr="00951AB1" w:rsidRDefault="00D81C95" w:rsidP="000A5389">
            <w:pPr>
              <w:spacing w:line="240" w:lineRule="auto"/>
              <w:rPr>
                <w:rFonts w:eastAsia="Times New Roman" w:cs="Times New Roman"/>
                <w:b/>
                <w:color w:val="FFFFFF" w:themeColor="background1"/>
                <w:sz w:val="18"/>
                <w:szCs w:val="18"/>
                <w:lang w:val="es-419" w:eastAsia="es-419"/>
              </w:rPr>
            </w:pPr>
            <w:r w:rsidRPr="399A6F83">
              <w:rPr>
                <w:rFonts w:eastAsia="Times New Roman" w:cs="Times New Roman"/>
                <w:b/>
                <w:color w:val="000000" w:themeColor="text1"/>
                <w:sz w:val="18"/>
                <w:szCs w:val="18"/>
                <w:lang w:val="es-419" w:eastAsia="es-419"/>
              </w:rPr>
              <w:t>1.6</w:t>
            </w:r>
          </w:p>
        </w:tc>
        <w:tc>
          <w:tcPr>
            <w:tcW w:w="480" w:type="dxa"/>
            <w:noWrap/>
            <w:vAlign w:val="center"/>
            <w:hideMark/>
          </w:tcPr>
          <w:p w14:paraId="78F93486" w14:textId="77777777" w:rsidR="00D81C95" w:rsidRPr="00951AB1" w:rsidRDefault="00D81C95" w:rsidP="000A5389">
            <w:pPr>
              <w:spacing w:line="240" w:lineRule="auto"/>
              <w:jc w:val="center"/>
              <w:rPr>
                <w:rFonts w:eastAsia="Times New Roman" w:cs="Times New Roman"/>
                <w:b/>
                <w:color w:val="FFFFFF" w:themeColor="background1"/>
                <w:sz w:val="18"/>
                <w:szCs w:val="18"/>
                <w:lang w:val="es-419" w:eastAsia="es-419"/>
              </w:rPr>
            </w:pPr>
            <w:r w:rsidRPr="399A6F83">
              <w:rPr>
                <w:rFonts w:eastAsia="Times New Roman" w:cs="Times New Roman"/>
                <w:b/>
                <w:color w:val="000000" w:themeColor="text1"/>
                <w:sz w:val="18"/>
                <w:szCs w:val="18"/>
                <w:lang w:val="es-419" w:eastAsia="es-419"/>
              </w:rPr>
              <w:t>Db</w:t>
            </w:r>
          </w:p>
        </w:tc>
        <w:tc>
          <w:tcPr>
            <w:tcW w:w="3383" w:type="dxa"/>
            <w:vAlign w:val="center"/>
            <w:hideMark/>
          </w:tcPr>
          <w:p w14:paraId="0B60F9B6" w14:textId="77777777" w:rsidR="00D81C95" w:rsidRPr="00951AB1" w:rsidRDefault="00D81C95" w:rsidP="000A5389">
            <w:pPr>
              <w:spacing w:line="240" w:lineRule="auto"/>
              <w:jc w:val="center"/>
              <w:rPr>
                <w:rFonts w:eastAsia="Times New Roman" w:cs="Times New Roman"/>
                <w:b/>
                <w:color w:val="FFFFFF" w:themeColor="background1"/>
                <w:sz w:val="18"/>
                <w:szCs w:val="18"/>
                <w:lang w:val="es-419" w:eastAsia="es-419"/>
              </w:rPr>
            </w:pPr>
            <w:r w:rsidRPr="399A6F83">
              <w:rPr>
                <w:rFonts w:eastAsia="Times New Roman" w:cs="Times New Roman"/>
                <w:b/>
                <w:color w:val="000000" w:themeColor="text1"/>
                <w:sz w:val="18"/>
                <w:szCs w:val="18"/>
                <w:lang w:val="es-419" w:eastAsia="es-419"/>
              </w:rPr>
              <w:t>PROPIEDADES, PLANTA Y EQUIPO EN CONCESIÓN</w:t>
            </w:r>
          </w:p>
        </w:tc>
        <w:tc>
          <w:tcPr>
            <w:tcW w:w="1490" w:type="dxa"/>
            <w:noWrap/>
            <w:vAlign w:val="center"/>
            <w:hideMark/>
          </w:tcPr>
          <w:p w14:paraId="22586681" w14:textId="77777777" w:rsidR="00D81C95" w:rsidRPr="00951AB1" w:rsidRDefault="00D81C95" w:rsidP="000A5389">
            <w:pPr>
              <w:spacing w:line="240" w:lineRule="auto"/>
              <w:jc w:val="right"/>
              <w:rPr>
                <w:rFonts w:eastAsia="Times New Roman" w:cs="Times New Roman"/>
                <w:b/>
                <w:color w:val="FFFFFF" w:themeColor="background1"/>
                <w:sz w:val="18"/>
                <w:szCs w:val="18"/>
                <w:lang w:val="es-419" w:eastAsia="es-419"/>
              </w:rPr>
            </w:pPr>
            <w:r w:rsidRPr="399A6F83">
              <w:rPr>
                <w:rFonts w:eastAsia="Times New Roman" w:cs="Times New Roman"/>
                <w:b/>
                <w:color w:val="000000" w:themeColor="text1"/>
                <w:sz w:val="18"/>
                <w:szCs w:val="18"/>
                <w:lang w:val="es-419" w:eastAsia="es-419"/>
              </w:rPr>
              <w:t>3.471.766.511.384</w:t>
            </w:r>
          </w:p>
        </w:tc>
        <w:tc>
          <w:tcPr>
            <w:tcW w:w="1490" w:type="dxa"/>
            <w:noWrap/>
            <w:vAlign w:val="center"/>
            <w:hideMark/>
          </w:tcPr>
          <w:p w14:paraId="34611CDC" w14:textId="77777777" w:rsidR="00D81C95" w:rsidRPr="00951AB1" w:rsidRDefault="00D81C95" w:rsidP="000A5389">
            <w:pPr>
              <w:spacing w:line="240" w:lineRule="auto"/>
              <w:jc w:val="right"/>
              <w:rPr>
                <w:rFonts w:eastAsia="Times New Roman" w:cs="Times New Roman"/>
                <w:b/>
                <w:color w:val="FFFFFF" w:themeColor="background1"/>
                <w:sz w:val="18"/>
                <w:szCs w:val="18"/>
                <w:lang w:val="es-419" w:eastAsia="es-419"/>
              </w:rPr>
            </w:pPr>
            <w:r w:rsidRPr="399A6F83">
              <w:rPr>
                <w:rFonts w:eastAsia="Times New Roman" w:cs="Times New Roman"/>
                <w:b/>
                <w:color w:val="000000" w:themeColor="text1"/>
                <w:sz w:val="18"/>
                <w:szCs w:val="18"/>
                <w:lang w:val="es-419" w:eastAsia="es-419"/>
              </w:rPr>
              <w:t>2.985.955.218.140</w:t>
            </w:r>
          </w:p>
        </w:tc>
        <w:tc>
          <w:tcPr>
            <w:tcW w:w="1418" w:type="dxa"/>
            <w:noWrap/>
            <w:vAlign w:val="center"/>
            <w:hideMark/>
          </w:tcPr>
          <w:p w14:paraId="0C9CEE08" w14:textId="77777777" w:rsidR="00D81C95" w:rsidRPr="00951AB1" w:rsidRDefault="00D81C95" w:rsidP="000A5389">
            <w:pPr>
              <w:spacing w:line="240" w:lineRule="auto"/>
              <w:jc w:val="right"/>
              <w:rPr>
                <w:rFonts w:eastAsia="Times New Roman" w:cs="Times New Roman"/>
                <w:b/>
                <w:color w:val="FFFFFF" w:themeColor="background1"/>
                <w:sz w:val="18"/>
                <w:szCs w:val="18"/>
                <w:lang w:val="es-419" w:eastAsia="es-419"/>
              </w:rPr>
            </w:pPr>
            <w:r w:rsidRPr="399A6F83">
              <w:rPr>
                <w:rFonts w:eastAsia="Times New Roman" w:cs="Times New Roman"/>
                <w:b/>
                <w:color w:val="000000" w:themeColor="text1"/>
                <w:sz w:val="18"/>
                <w:szCs w:val="18"/>
                <w:lang w:val="es-419" w:eastAsia="es-419"/>
              </w:rPr>
              <w:t>485.811.293.244</w:t>
            </w:r>
          </w:p>
        </w:tc>
      </w:tr>
      <w:tr w:rsidR="00D81C95" w:rsidRPr="00951AB1" w14:paraId="74DFA56C" w14:textId="77777777" w:rsidTr="31D9A470">
        <w:trPr>
          <w:trHeight w:val="280"/>
        </w:trPr>
        <w:tc>
          <w:tcPr>
            <w:tcW w:w="815" w:type="dxa"/>
            <w:noWrap/>
            <w:vAlign w:val="center"/>
            <w:hideMark/>
          </w:tcPr>
          <w:p w14:paraId="522AE4F0" w14:textId="77777777" w:rsidR="00D81C95" w:rsidRPr="00951AB1" w:rsidRDefault="00D81C95" w:rsidP="000A5389">
            <w:pPr>
              <w:spacing w:line="240" w:lineRule="auto"/>
              <w:rPr>
                <w:rFonts w:eastAsia="Times New Roman" w:cs="Times New Roman"/>
                <w:color w:val="FFFFFF" w:themeColor="background1"/>
                <w:sz w:val="18"/>
                <w:szCs w:val="18"/>
                <w:lang w:val="es-419" w:eastAsia="es-419"/>
              </w:rPr>
            </w:pPr>
            <w:r w:rsidRPr="399A6F83">
              <w:rPr>
                <w:rFonts w:eastAsia="Times New Roman" w:cs="Times New Roman"/>
                <w:color w:val="000000" w:themeColor="text1"/>
                <w:sz w:val="18"/>
                <w:szCs w:val="18"/>
                <w:lang w:val="es-419" w:eastAsia="es-419"/>
              </w:rPr>
              <w:t>1.6.83.09</w:t>
            </w:r>
          </w:p>
        </w:tc>
        <w:tc>
          <w:tcPr>
            <w:tcW w:w="480" w:type="dxa"/>
            <w:noWrap/>
            <w:vAlign w:val="center"/>
            <w:hideMark/>
          </w:tcPr>
          <w:p w14:paraId="529DBDE7" w14:textId="77777777" w:rsidR="00D81C95" w:rsidRPr="00951AB1" w:rsidRDefault="00D81C95" w:rsidP="000A5389">
            <w:pPr>
              <w:spacing w:line="240" w:lineRule="auto"/>
              <w:jc w:val="center"/>
              <w:rPr>
                <w:rFonts w:eastAsia="Times New Roman" w:cs="Times New Roman"/>
                <w:color w:val="FFFFFF" w:themeColor="background1"/>
                <w:sz w:val="18"/>
                <w:szCs w:val="18"/>
                <w:lang w:val="es-419" w:eastAsia="es-419"/>
              </w:rPr>
            </w:pPr>
            <w:r w:rsidRPr="399A6F83">
              <w:rPr>
                <w:rFonts w:eastAsia="Times New Roman" w:cs="Times New Roman"/>
                <w:color w:val="000000" w:themeColor="text1"/>
                <w:sz w:val="18"/>
                <w:szCs w:val="18"/>
                <w:lang w:val="es-419" w:eastAsia="es-419"/>
              </w:rPr>
              <w:t>Db</w:t>
            </w:r>
          </w:p>
        </w:tc>
        <w:tc>
          <w:tcPr>
            <w:tcW w:w="3383" w:type="dxa"/>
            <w:vAlign w:val="center"/>
            <w:hideMark/>
          </w:tcPr>
          <w:p w14:paraId="088B2448" w14:textId="77777777" w:rsidR="00D81C95" w:rsidRPr="00951AB1" w:rsidRDefault="00D81C95" w:rsidP="000A5389">
            <w:pPr>
              <w:spacing w:line="240" w:lineRule="auto"/>
              <w:rPr>
                <w:rFonts w:eastAsia="Times New Roman" w:cs="Times New Roman"/>
                <w:color w:val="FFFFFF" w:themeColor="background1"/>
                <w:sz w:val="18"/>
                <w:szCs w:val="18"/>
                <w:lang w:val="es-419" w:eastAsia="es-419"/>
              </w:rPr>
            </w:pPr>
            <w:r w:rsidRPr="399A6F83">
              <w:rPr>
                <w:rFonts w:eastAsia="Times New Roman" w:cs="Times New Roman"/>
                <w:color w:val="000000" w:themeColor="text1"/>
                <w:sz w:val="18"/>
                <w:szCs w:val="18"/>
                <w:lang w:val="es-419" w:eastAsia="es-419"/>
              </w:rPr>
              <w:t>Equipos de transporte, tracción y elevación</w:t>
            </w:r>
          </w:p>
        </w:tc>
        <w:tc>
          <w:tcPr>
            <w:tcW w:w="1490" w:type="dxa"/>
            <w:noWrap/>
            <w:vAlign w:val="center"/>
            <w:hideMark/>
          </w:tcPr>
          <w:p w14:paraId="5CFB9E12" w14:textId="77777777" w:rsidR="00D81C95" w:rsidRPr="00951AB1" w:rsidRDefault="00D81C95" w:rsidP="000A5389">
            <w:pPr>
              <w:spacing w:line="240" w:lineRule="auto"/>
              <w:jc w:val="right"/>
              <w:rPr>
                <w:rFonts w:eastAsia="Times New Roman" w:cs="Times New Roman"/>
                <w:color w:val="FFFFFF" w:themeColor="background1"/>
                <w:sz w:val="18"/>
                <w:szCs w:val="18"/>
                <w:lang w:val="es-419" w:eastAsia="es-419"/>
              </w:rPr>
            </w:pPr>
            <w:r w:rsidRPr="399A6F83">
              <w:rPr>
                <w:rFonts w:eastAsia="Times New Roman" w:cs="Times New Roman"/>
                <w:color w:val="000000" w:themeColor="text1"/>
                <w:sz w:val="18"/>
                <w:szCs w:val="18"/>
                <w:lang w:val="es-419" w:eastAsia="es-419"/>
              </w:rPr>
              <w:t>2.053.486.095.457</w:t>
            </w:r>
          </w:p>
        </w:tc>
        <w:tc>
          <w:tcPr>
            <w:tcW w:w="1490" w:type="dxa"/>
            <w:noWrap/>
            <w:vAlign w:val="center"/>
            <w:hideMark/>
          </w:tcPr>
          <w:p w14:paraId="3BEBF00E" w14:textId="77777777" w:rsidR="00D81C95" w:rsidRPr="00951AB1" w:rsidRDefault="00D81C95" w:rsidP="000A5389">
            <w:pPr>
              <w:spacing w:line="240" w:lineRule="auto"/>
              <w:jc w:val="right"/>
              <w:rPr>
                <w:rFonts w:eastAsia="Times New Roman" w:cs="Times New Roman"/>
                <w:color w:val="FFFFFF" w:themeColor="background1"/>
                <w:sz w:val="18"/>
                <w:szCs w:val="18"/>
                <w:lang w:val="es-419" w:eastAsia="es-419"/>
              </w:rPr>
            </w:pPr>
            <w:r w:rsidRPr="399A6F83">
              <w:rPr>
                <w:rFonts w:eastAsia="Times New Roman" w:cs="Times New Roman"/>
                <w:color w:val="000000" w:themeColor="text1"/>
                <w:sz w:val="18"/>
                <w:szCs w:val="18"/>
                <w:lang w:val="es-419" w:eastAsia="es-419"/>
              </w:rPr>
              <w:t>1.705.417.841.108</w:t>
            </w:r>
          </w:p>
        </w:tc>
        <w:tc>
          <w:tcPr>
            <w:tcW w:w="1418" w:type="dxa"/>
            <w:noWrap/>
            <w:vAlign w:val="center"/>
            <w:hideMark/>
          </w:tcPr>
          <w:p w14:paraId="656528EB" w14:textId="77777777" w:rsidR="00D81C95" w:rsidRPr="00951AB1" w:rsidRDefault="00D81C95" w:rsidP="000A5389">
            <w:pPr>
              <w:spacing w:line="240" w:lineRule="auto"/>
              <w:jc w:val="right"/>
              <w:rPr>
                <w:rFonts w:eastAsia="Times New Roman" w:cs="Times New Roman"/>
                <w:color w:val="FFFFFF" w:themeColor="background1"/>
                <w:sz w:val="18"/>
                <w:szCs w:val="18"/>
                <w:lang w:val="es-419" w:eastAsia="es-419"/>
              </w:rPr>
            </w:pPr>
            <w:r w:rsidRPr="399A6F83">
              <w:rPr>
                <w:rFonts w:eastAsia="Times New Roman" w:cs="Times New Roman"/>
                <w:color w:val="000000" w:themeColor="text1"/>
                <w:sz w:val="18"/>
                <w:szCs w:val="18"/>
                <w:lang w:val="es-419" w:eastAsia="es-419"/>
              </w:rPr>
              <w:t>348.068.254.349</w:t>
            </w:r>
          </w:p>
        </w:tc>
      </w:tr>
      <w:tr w:rsidR="00D81C95" w:rsidRPr="00951AB1" w14:paraId="44F685F3" w14:textId="77777777" w:rsidTr="31D9A470">
        <w:trPr>
          <w:trHeight w:val="280"/>
        </w:trPr>
        <w:tc>
          <w:tcPr>
            <w:tcW w:w="815" w:type="dxa"/>
            <w:noWrap/>
            <w:vAlign w:val="center"/>
            <w:hideMark/>
          </w:tcPr>
          <w:p w14:paraId="42DA0936" w14:textId="77777777" w:rsidR="00D81C95" w:rsidRPr="00951AB1" w:rsidRDefault="00D81C95" w:rsidP="000A5389">
            <w:pPr>
              <w:spacing w:line="240" w:lineRule="auto"/>
              <w:rPr>
                <w:rFonts w:eastAsia="Times New Roman" w:cs="Times New Roman"/>
                <w:color w:val="FFFFFF" w:themeColor="background1"/>
                <w:sz w:val="18"/>
                <w:szCs w:val="18"/>
                <w:lang w:val="es-419" w:eastAsia="es-419"/>
              </w:rPr>
            </w:pPr>
            <w:r w:rsidRPr="399A6F83">
              <w:rPr>
                <w:rFonts w:eastAsia="Times New Roman" w:cs="Times New Roman"/>
                <w:color w:val="000000" w:themeColor="text1"/>
                <w:sz w:val="18"/>
                <w:szCs w:val="18"/>
                <w:lang w:val="es-419" w:eastAsia="es-419"/>
              </w:rPr>
              <w:t>1.6.83.05</w:t>
            </w:r>
          </w:p>
        </w:tc>
        <w:tc>
          <w:tcPr>
            <w:tcW w:w="480" w:type="dxa"/>
            <w:noWrap/>
            <w:vAlign w:val="center"/>
            <w:hideMark/>
          </w:tcPr>
          <w:p w14:paraId="41A02287" w14:textId="77777777" w:rsidR="00D81C95" w:rsidRPr="00951AB1" w:rsidRDefault="00D81C95" w:rsidP="000A5389">
            <w:pPr>
              <w:spacing w:line="240" w:lineRule="auto"/>
              <w:jc w:val="center"/>
              <w:rPr>
                <w:rFonts w:eastAsia="Times New Roman" w:cs="Times New Roman"/>
                <w:color w:val="FFFFFF" w:themeColor="background1"/>
                <w:sz w:val="18"/>
                <w:szCs w:val="18"/>
                <w:lang w:val="es-419" w:eastAsia="es-419"/>
              </w:rPr>
            </w:pPr>
            <w:r w:rsidRPr="399A6F83">
              <w:rPr>
                <w:rFonts w:eastAsia="Times New Roman" w:cs="Times New Roman"/>
                <w:color w:val="000000" w:themeColor="text1"/>
                <w:sz w:val="18"/>
                <w:szCs w:val="18"/>
                <w:lang w:val="es-419" w:eastAsia="es-419"/>
              </w:rPr>
              <w:t>Db</w:t>
            </w:r>
          </w:p>
        </w:tc>
        <w:tc>
          <w:tcPr>
            <w:tcW w:w="3383" w:type="dxa"/>
            <w:vAlign w:val="center"/>
            <w:hideMark/>
          </w:tcPr>
          <w:p w14:paraId="37595A94" w14:textId="77777777" w:rsidR="00D81C95" w:rsidRPr="00951AB1" w:rsidRDefault="00D81C95" w:rsidP="000A5389">
            <w:pPr>
              <w:spacing w:line="240" w:lineRule="auto"/>
              <w:rPr>
                <w:rFonts w:eastAsia="Times New Roman" w:cs="Times New Roman"/>
                <w:color w:val="FFFFFF" w:themeColor="background1"/>
                <w:sz w:val="18"/>
                <w:szCs w:val="18"/>
                <w:lang w:val="es-419" w:eastAsia="es-419"/>
              </w:rPr>
            </w:pPr>
            <w:r w:rsidRPr="399A6F83">
              <w:rPr>
                <w:rFonts w:eastAsia="Times New Roman" w:cs="Times New Roman"/>
                <w:color w:val="000000" w:themeColor="text1"/>
                <w:sz w:val="18"/>
                <w:szCs w:val="18"/>
                <w:lang w:val="es-419" w:eastAsia="es-419"/>
              </w:rPr>
              <w:t>Maquinaria y equipo</w:t>
            </w:r>
          </w:p>
        </w:tc>
        <w:tc>
          <w:tcPr>
            <w:tcW w:w="1490" w:type="dxa"/>
            <w:noWrap/>
            <w:vAlign w:val="center"/>
            <w:hideMark/>
          </w:tcPr>
          <w:p w14:paraId="79F4A8D1" w14:textId="77777777" w:rsidR="00D81C95" w:rsidRPr="00951AB1" w:rsidRDefault="00D81C95" w:rsidP="000A5389">
            <w:pPr>
              <w:spacing w:line="240" w:lineRule="auto"/>
              <w:jc w:val="right"/>
              <w:rPr>
                <w:rFonts w:eastAsia="Times New Roman" w:cs="Times New Roman"/>
                <w:color w:val="FFFFFF" w:themeColor="background1"/>
                <w:sz w:val="18"/>
                <w:szCs w:val="18"/>
                <w:lang w:val="es-419" w:eastAsia="es-419"/>
              </w:rPr>
            </w:pPr>
            <w:r w:rsidRPr="399A6F83">
              <w:rPr>
                <w:rFonts w:eastAsia="Times New Roman" w:cs="Times New Roman"/>
                <w:color w:val="000000" w:themeColor="text1"/>
                <w:sz w:val="18"/>
                <w:szCs w:val="18"/>
                <w:lang w:val="es-419" w:eastAsia="es-419"/>
              </w:rPr>
              <w:t>1.053.523.208.973</w:t>
            </w:r>
          </w:p>
        </w:tc>
        <w:tc>
          <w:tcPr>
            <w:tcW w:w="1490" w:type="dxa"/>
            <w:noWrap/>
            <w:vAlign w:val="center"/>
            <w:hideMark/>
          </w:tcPr>
          <w:p w14:paraId="39FD5DF3" w14:textId="77777777" w:rsidR="00D81C95" w:rsidRPr="00951AB1" w:rsidRDefault="00D81C95" w:rsidP="000A5389">
            <w:pPr>
              <w:spacing w:line="240" w:lineRule="auto"/>
              <w:jc w:val="right"/>
              <w:rPr>
                <w:rFonts w:eastAsia="Times New Roman" w:cs="Times New Roman"/>
                <w:color w:val="FFFFFF" w:themeColor="background1"/>
                <w:sz w:val="18"/>
                <w:szCs w:val="18"/>
                <w:lang w:val="es-419" w:eastAsia="es-419"/>
              </w:rPr>
            </w:pPr>
            <w:r w:rsidRPr="399A6F83">
              <w:rPr>
                <w:rFonts w:eastAsia="Times New Roman" w:cs="Times New Roman"/>
                <w:color w:val="000000" w:themeColor="text1"/>
                <w:sz w:val="18"/>
                <w:szCs w:val="18"/>
                <w:lang w:val="es-419" w:eastAsia="es-419"/>
              </w:rPr>
              <w:t>990.742.647.354</w:t>
            </w:r>
          </w:p>
        </w:tc>
        <w:tc>
          <w:tcPr>
            <w:tcW w:w="1418" w:type="dxa"/>
            <w:noWrap/>
            <w:vAlign w:val="center"/>
            <w:hideMark/>
          </w:tcPr>
          <w:p w14:paraId="480A0F37" w14:textId="77777777" w:rsidR="00D81C95" w:rsidRPr="00951AB1" w:rsidRDefault="00D81C95" w:rsidP="000A5389">
            <w:pPr>
              <w:spacing w:line="240" w:lineRule="auto"/>
              <w:jc w:val="right"/>
              <w:rPr>
                <w:rFonts w:eastAsia="Times New Roman" w:cs="Times New Roman"/>
                <w:color w:val="FFFFFF" w:themeColor="background1"/>
                <w:sz w:val="18"/>
                <w:szCs w:val="18"/>
                <w:lang w:val="es-419" w:eastAsia="es-419"/>
              </w:rPr>
            </w:pPr>
            <w:r w:rsidRPr="399A6F83">
              <w:rPr>
                <w:rFonts w:eastAsia="Times New Roman" w:cs="Times New Roman"/>
                <w:color w:val="000000" w:themeColor="text1"/>
                <w:sz w:val="18"/>
                <w:szCs w:val="18"/>
                <w:lang w:val="es-419" w:eastAsia="es-419"/>
              </w:rPr>
              <w:t>62.780.561.619</w:t>
            </w:r>
          </w:p>
        </w:tc>
      </w:tr>
      <w:tr w:rsidR="00D81C95" w:rsidRPr="00951AB1" w14:paraId="130576A2" w14:textId="77777777" w:rsidTr="31D9A470">
        <w:trPr>
          <w:trHeight w:val="280"/>
        </w:trPr>
        <w:tc>
          <w:tcPr>
            <w:tcW w:w="815" w:type="dxa"/>
            <w:noWrap/>
            <w:vAlign w:val="center"/>
            <w:hideMark/>
          </w:tcPr>
          <w:p w14:paraId="407D945E" w14:textId="77777777" w:rsidR="00D81C95" w:rsidRPr="00951AB1" w:rsidRDefault="00D81C95" w:rsidP="000A5389">
            <w:pPr>
              <w:spacing w:line="240" w:lineRule="auto"/>
              <w:rPr>
                <w:rFonts w:eastAsia="Times New Roman" w:cs="Times New Roman"/>
                <w:color w:val="FFFFFF" w:themeColor="background1"/>
                <w:sz w:val="18"/>
                <w:szCs w:val="18"/>
                <w:lang w:val="es-419" w:eastAsia="es-419"/>
              </w:rPr>
            </w:pPr>
            <w:r w:rsidRPr="399A6F83">
              <w:rPr>
                <w:rFonts w:eastAsia="Times New Roman" w:cs="Times New Roman"/>
                <w:color w:val="000000" w:themeColor="text1"/>
                <w:sz w:val="18"/>
                <w:szCs w:val="18"/>
                <w:lang w:val="es-419" w:eastAsia="es-419"/>
              </w:rPr>
              <w:t>1.6.83.02</w:t>
            </w:r>
          </w:p>
        </w:tc>
        <w:tc>
          <w:tcPr>
            <w:tcW w:w="480" w:type="dxa"/>
            <w:noWrap/>
            <w:vAlign w:val="center"/>
            <w:hideMark/>
          </w:tcPr>
          <w:p w14:paraId="2CB1B2DD" w14:textId="77777777" w:rsidR="00D81C95" w:rsidRPr="00951AB1" w:rsidRDefault="00D81C95" w:rsidP="000A5389">
            <w:pPr>
              <w:spacing w:line="240" w:lineRule="auto"/>
              <w:jc w:val="center"/>
              <w:rPr>
                <w:rFonts w:eastAsia="Times New Roman" w:cs="Times New Roman"/>
                <w:color w:val="FFFFFF" w:themeColor="background1"/>
                <w:sz w:val="18"/>
                <w:szCs w:val="18"/>
                <w:lang w:val="es-419" w:eastAsia="es-419"/>
              </w:rPr>
            </w:pPr>
            <w:r w:rsidRPr="399A6F83">
              <w:rPr>
                <w:rFonts w:eastAsia="Times New Roman" w:cs="Times New Roman"/>
                <w:color w:val="000000" w:themeColor="text1"/>
                <w:sz w:val="18"/>
                <w:szCs w:val="18"/>
                <w:lang w:val="es-419" w:eastAsia="es-419"/>
              </w:rPr>
              <w:t>Db</w:t>
            </w:r>
          </w:p>
        </w:tc>
        <w:tc>
          <w:tcPr>
            <w:tcW w:w="3383" w:type="dxa"/>
            <w:vAlign w:val="center"/>
            <w:hideMark/>
          </w:tcPr>
          <w:p w14:paraId="3827A486" w14:textId="77777777" w:rsidR="00D81C95" w:rsidRPr="00951AB1" w:rsidRDefault="00D81C95" w:rsidP="000A5389">
            <w:pPr>
              <w:spacing w:line="240" w:lineRule="auto"/>
              <w:rPr>
                <w:rFonts w:eastAsia="Times New Roman" w:cs="Times New Roman"/>
                <w:color w:val="FFFFFF" w:themeColor="background1"/>
                <w:sz w:val="18"/>
                <w:szCs w:val="18"/>
                <w:lang w:val="es-419" w:eastAsia="es-419"/>
              </w:rPr>
            </w:pPr>
            <w:r w:rsidRPr="399A6F83">
              <w:rPr>
                <w:rFonts w:eastAsia="Times New Roman" w:cs="Times New Roman"/>
                <w:color w:val="000000" w:themeColor="text1"/>
                <w:sz w:val="18"/>
                <w:szCs w:val="18"/>
                <w:lang w:val="es-419" w:eastAsia="es-419"/>
              </w:rPr>
              <w:t>Edificaciones</w:t>
            </w:r>
          </w:p>
        </w:tc>
        <w:tc>
          <w:tcPr>
            <w:tcW w:w="1490" w:type="dxa"/>
            <w:noWrap/>
            <w:vAlign w:val="center"/>
            <w:hideMark/>
          </w:tcPr>
          <w:p w14:paraId="63DF7328" w14:textId="77777777" w:rsidR="00D81C95" w:rsidRPr="00951AB1" w:rsidRDefault="00D81C95" w:rsidP="000A5389">
            <w:pPr>
              <w:spacing w:line="240" w:lineRule="auto"/>
              <w:jc w:val="right"/>
              <w:rPr>
                <w:rFonts w:eastAsia="Times New Roman" w:cs="Times New Roman"/>
                <w:color w:val="FFFFFF" w:themeColor="background1"/>
                <w:sz w:val="18"/>
                <w:szCs w:val="18"/>
                <w:lang w:val="es-419" w:eastAsia="es-419"/>
              </w:rPr>
            </w:pPr>
            <w:r w:rsidRPr="399A6F83">
              <w:rPr>
                <w:rFonts w:eastAsia="Times New Roman" w:cs="Times New Roman"/>
                <w:color w:val="000000" w:themeColor="text1"/>
                <w:sz w:val="18"/>
                <w:szCs w:val="18"/>
                <w:lang w:val="es-419" w:eastAsia="es-419"/>
              </w:rPr>
              <w:t>138.627.567.679</w:t>
            </w:r>
          </w:p>
        </w:tc>
        <w:tc>
          <w:tcPr>
            <w:tcW w:w="1490" w:type="dxa"/>
            <w:noWrap/>
            <w:vAlign w:val="center"/>
            <w:hideMark/>
          </w:tcPr>
          <w:p w14:paraId="0E51B481" w14:textId="77777777" w:rsidR="00D81C95" w:rsidRPr="00951AB1" w:rsidRDefault="00D81C95" w:rsidP="000A5389">
            <w:pPr>
              <w:spacing w:line="240" w:lineRule="auto"/>
              <w:jc w:val="right"/>
              <w:rPr>
                <w:rFonts w:eastAsia="Times New Roman" w:cs="Times New Roman"/>
                <w:color w:val="FFFFFF" w:themeColor="background1"/>
                <w:sz w:val="18"/>
                <w:szCs w:val="18"/>
                <w:lang w:val="es-419" w:eastAsia="es-419"/>
              </w:rPr>
            </w:pPr>
            <w:r w:rsidRPr="399A6F83">
              <w:rPr>
                <w:rFonts w:eastAsia="Times New Roman" w:cs="Times New Roman"/>
                <w:color w:val="000000" w:themeColor="text1"/>
                <w:sz w:val="18"/>
                <w:szCs w:val="18"/>
                <w:lang w:val="es-419" w:eastAsia="es-419"/>
              </w:rPr>
              <w:t>85.406.841.981</w:t>
            </w:r>
          </w:p>
        </w:tc>
        <w:tc>
          <w:tcPr>
            <w:tcW w:w="1418" w:type="dxa"/>
            <w:noWrap/>
            <w:vAlign w:val="center"/>
            <w:hideMark/>
          </w:tcPr>
          <w:p w14:paraId="6F866CB6" w14:textId="77777777" w:rsidR="00D81C95" w:rsidRPr="00951AB1" w:rsidRDefault="00D81C95" w:rsidP="000A5389">
            <w:pPr>
              <w:spacing w:line="240" w:lineRule="auto"/>
              <w:jc w:val="right"/>
              <w:rPr>
                <w:rFonts w:eastAsia="Times New Roman" w:cs="Times New Roman"/>
                <w:color w:val="FFFFFF" w:themeColor="background1"/>
                <w:sz w:val="18"/>
                <w:szCs w:val="18"/>
                <w:lang w:val="es-419" w:eastAsia="es-419"/>
              </w:rPr>
            </w:pPr>
            <w:r w:rsidRPr="399A6F83">
              <w:rPr>
                <w:rFonts w:eastAsia="Times New Roman" w:cs="Times New Roman"/>
                <w:color w:val="000000" w:themeColor="text1"/>
                <w:sz w:val="18"/>
                <w:szCs w:val="18"/>
                <w:lang w:val="es-419" w:eastAsia="es-419"/>
              </w:rPr>
              <w:t>53.220.725.698</w:t>
            </w:r>
          </w:p>
        </w:tc>
      </w:tr>
      <w:tr w:rsidR="00D81C95" w:rsidRPr="00951AB1" w14:paraId="286EDC7D" w14:textId="77777777" w:rsidTr="31D9A470">
        <w:trPr>
          <w:trHeight w:val="280"/>
        </w:trPr>
        <w:tc>
          <w:tcPr>
            <w:tcW w:w="815" w:type="dxa"/>
            <w:noWrap/>
            <w:vAlign w:val="center"/>
            <w:hideMark/>
          </w:tcPr>
          <w:p w14:paraId="53A4E9B6" w14:textId="77777777" w:rsidR="00D81C95" w:rsidRPr="00951AB1" w:rsidRDefault="00D81C95" w:rsidP="000A5389">
            <w:pPr>
              <w:spacing w:line="240" w:lineRule="auto"/>
              <w:rPr>
                <w:rFonts w:eastAsia="Times New Roman" w:cs="Times New Roman"/>
                <w:color w:val="FFFFFF" w:themeColor="background1"/>
                <w:sz w:val="18"/>
                <w:szCs w:val="18"/>
                <w:lang w:val="es-419" w:eastAsia="es-419"/>
              </w:rPr>
            </w:pPr>
            <w:r w:rsidRPr="399A6F83">
              <w:rPr>
                <w:rFonts w:eastAsia="Times New Roman" w:cs="Times New Roman"/>
                <w:color w:val="000000" w:themeColor="text1"/>
                <w:sz w:val="18"/>
                <w:szCs w:val="18"/>
                <w:lang w:val="es-419" w:eastAsia="es-419"/>
              </w:rPr>
              <w:t>1.6.83.08</w:t>
            </w:r>
          </w:p>
        </w:tc>
        <w:tc>
          <w:tcPr>
            <w:tcW w:w="480" w:type="dxa"/>
            <w:noWrap/>
            <w:vAlign w:val="center"/>
            <w:hideMark/>
          </w:tcPr>
          <w:p w14:paraId="78A6C22E" w14:textId="77777777" w:rsidR="00D81C95" w:rsidRPr="00951AB1" w:rsidRDefault="00D81C95" w:rsidP="000A5389">
            <w:pPr>
              <w:spacing w:line="240" w:lineRule="auto"/>
              <w:jc w:val="center"/>
              <w:rPr>
                <w:rFonts w:eastAsia="Times New Roman" w:cs="Times New Roman"/>
                <w:color w:val="FFFFFF" w:themeColor="background1"/>
                <w:sz w:val="18"/>
                <w:szCs w:val="18"/>
                <w:lang w:val="es-419" w:eastAsia="es-419"/>
              </w:rPr>
            </w:pPr>
            <w:r w:rsidRPr="399A6F83">
              <w:rPr>
                <w:rFonts w:eastAsia="Times New Roman" w:cs="Times New Roman"/>
                <w:color w:val="000000" w:themeColor="text1"/>
                <w:sz w:val="18"/>
                <w:szCs w:val="18"/>
                <w:lang w:val="es-419" w:eastAsia="es-419"/>
              </w:rPr>
              <w:t>Db</w:t>
            </w:r>
          </w:p>
        </w:tc>
        <w:tc>
          <w:tcPr>
            <w:tcW w:w="3383" w:type="dxa"/>
            <w:vAlign w:val="center"/>
            <w:hideMark/>
          </w:tcPr>
          <w:p w14:paraId="30746176" w14:textId="77777777" w:rsidR="00D81C95" w:rsidRPr="00951AB1" w:rsidRDefault="00D81C95" w:rsidP="000A5389">
            <w:pPr>
              <w:spacing w:line="240" w:lineRule="auto"/>
              <w:rPr>
                <w:rFonts w:eastAsia="Times New Roman" w:cs="Times New Roman"/>
                <w:color w:val="FFFFFF" w:themeColor="background1"/>
                <w:sz w:val="18"/>
                <w:szCs w:val="18"/>
                <w:lang w:val="es-419" w:eastAsia="es-419"/>
              </w:rPr>
            </w:pPr>
            <w:r w:rsidRPr="399A6F83">
              <w:rPr>
                <w:rFonts w:eastAsia="Times New Roman" w:cs="Times New Roman"/>
                <w:color w:val="000000" w:themeColor="text1"/>
                <w:sz w:val="18"/>
                <w:szCs w:val="18"/>
                <w:lang w:val="es-419" w:eastAsia="es-419"/>
              </w:rPr>
              <w:t>Equipos de comunicación y computación</w:t>
            </w:r>
          </w:p>
        </w:tc>
        <w:tc>
          <w:tcPr>
            <w:tcW w:w="1490" w:type="dxa"/>
            <w:noWrap/>
            <w:vAlign w:val="center"/>
            <w:hideMark/>
          </w:tcPr>
          <w:p w14:paraId="7BCBC45B" w14:textId="77777777" w:rsidR="00D81C95" w:rsidRPr="00951AB1" w:rsidRDefault="00D81C95" w:rsidP="000A5389">
            <w:pPr>
              <w:spacing w:line="240" w:lineRule="auto"/>
              <w:jc w:val="right"/>
              <w:rPr>
                <w:rFonts w:eastAsia="Times New Roman" w:cs="Times New Roman"/>
                <w:color w:val="FFFFFF" w:themeColor="background1"/>
                <w:sz w:val="18"/>
                <w:szCs w:val="18"/>
                <w:lang w:val="es-419" w:eastAsia="es-419"/>
              </w:rPr>
            </w:pPr>
            <w:r w:rsidRPr="399A6F83">
              <w:rPr>
                <w:rFonts w:eastAsia="Times New Roman" w:cs="Times New Roman"/>
                <w:color w:val="000000" w:themeColor="text1"/>
                <w:sz w:val="18"/>
                <w:szCs w:val="18"/>
                <w:lang w:val="es-419" w:eastAsia="es-419"/>
              </w:rPr>
              <w:t>117.553.076.843</w:t>
            </w:r>
          </w:p>
        </w:tc>
        <w:tc>
          <w:tcPr>
            <w:tcW w:w="1490" w:type="dxa"/>
            <w:noWrap/>
            <w:vAlign w:val="center"/>
            <w:hideMark/>
          </w:tcPr>
          <w:p w14:paraId="5338C4C1" w14:textId="77777777" w:rsidR="00D81C95" w:rsidRPr="00951AB1" w:rsidRDefault="00D81C95" w:rsidP="000A5389">
            <w:pPr>
              <w:spacing w:line="240" w:lineRule="auto"/>
              <w:jc w:val="right"/>
              <w:rPr>
                <w:rFonts w:eastAsia="Times New Roman" w:cs="Times New Roman"/>
                <w:color w:val="FFFFFF" w:themeColor="background1"/>
                <w:sz w:val="18"/>
                <w:szCs w:val="18"/>
                <w:lang w:val="es-419" w:eastAsia="es-419"/>
              </w:rPr>
            </w:pPr>
            <w:r w:rsidRPr="399A6F83">
              <w:rPr>
                <w:rFonts w:eastAsia="Times New Roman" w:cs="Times New Roman"/>
                <w:color w:val="000000" w:themeColor="text1"/>
                <w:sz w:val="18"/>
                <w:szCs w:val="18"/>
                <w:lang w:val="es-419" w:eastAsia="es-419"/>
              </w:rPr>
              <w:t>97.962.417.541</w:t>
            </w:r>
          </w:p>
        </w:tc>
        <w:tc>
          <w:tcPr>
            <w:tcW w:w="1418" w:type="dxa"/>
            <w:noWrap/>
            <w:vAlign w:val="center"/>
            <w:hideMark/>
          </w:tcPr>
          <w:p w14:paraId="43E0F6F5" w14:textId="77777777" w:rsidR="00D81C95" w:rsidRPr="00951AB1" w:rsidRDefault="00D81C95" w:rsidP="000A5389">
            <w:pPr>
              <w:spacing w:line="240" w:lineRule="auto"/>
              <w:jc w:val="right"/>
              <w:rPr>
                <w:rFonts w:eastAsia="Times New Roman" w:cs="Times New Roman"/>
                <w:color w:val="FFFFFF" w:themeColor="background1"/>
                <w:sz w:val="18"/>
                <w:szCs w:val="18"/>
                <w:lang w:val="es-419" w:eastAsia="es-419"/>
              </w:rPr>
            </w:pPr>
            <w:r w:rsidRPr="399A6F83">
              <w:rPr>
                <w:rFonts w:eastAsia="Times New Roman" w:cs="Times New Roman"/>
                <w:color w:val="000000" w:themeColor="text1"/>
                <w:sz w:val="18"/>
                <w:szCs w:val="18"/>
                <w:lang w:val="es-419" w:eastAsia="es-419"/>
              </w:rPr>
              <w:t>19.590.659.302</w:t>
            </w:r>
          </w:p>
        </w:tc>
      </w:tr>
      <w:tr w:rsidR="00D81C95" w:rsidRPr="00951AB1" w14:paraId="14C0CED7" w14:textId="77777777" w:rsidTr="31D9A470">
        <w:trPr>
          <w:trHeight w:val="280"/>
        </w:trPr>
        <w:tc>
          <w:tcPr>
            <w:tcW w:w="815" w:type="dxa"/>
            <w:noWrap/>
            <w:vAlign w:val="center"/>
            <w:hideMark/>
          </w:tcPr>
          <w:p w14:paraId="400D65D3" w14:textId="77777777" w:rsidR="00D81C95" w:rsidRPr="00951AB1" w:rsidRDefault="00D81C95" w:rsidP="000A5389">
            <w:pPr>
              <w:spacing w:line="240" w:lineRule="auto"/>
              <w:rPr>
                <w:rFonts w:eastAsia="Times New Roman" w:cs="Times New Roman"/>
                <w:color w:val="FFFFFF" w:themeColor="background1"/>
                <w:sz w:val="18"/>
                <w:szCs w:val="18"/>
                <w:lang w:val="es-419" w:eastAsia="es-419"/>
              </w:rPr>
            </w:pPr>
            <w:r w:rsidRPr="399A6F83">
              <w:rPr>
                <w:rFonts w:eastAsia="Times New Roman" w:cs="Times New Roman"/>
                <w:color w:val="000000" w:themeColor="text1"/>
                <w:sz w:val="18"/>
                <w:szCs w:val="18"/>
                <w:lang w:val="es-419" w:eastAsia="es-419"/>
              </w:rPr>
              <w:t>1.6.83.01</w:t>
            </w:r>
          </w:p>
        </w:tc>
        <w:tc>
          <w:tcPr>
            <w:tcW w:w="480" w:type="dxa"/>
            <w:noWrap/>
            <w:vAlign w:val="center"/>
            <w:hideMark/>
          </w:tcPr>
          <w:p w14:paraId="5D083541" w14:textId="77777777" w:rsidR="00D81C95" w:rsidRPr="00951AB1" w:rsidRDefault="00D81C95" w:rsidP="000A5389">
            <w:pPr>
              <w:spacing w:line="240" w:lineRule="auto"/>
              <w:jc w:val="center"/>
              <w:rPr>
                <w:rFonts w:eastAsia="Times New Roman" w:cs="Times New Roman"/>
                <w:color w:val="FFFFFF" w:themeColor="background1"/>
                <w:sz w:val="18"/>
                <w:szCs w:val="18"/>
                <w:lang w:val="es-419" w:eastAsia="es-419"/>
              </w:rPr>
            </w:pPr>
            <w:r w:rsidRPr="399A6F83">
              <w:rPr>
                <w:rFonts w:eastAsia="Times New Roman" w:cs="Times New Roman"/>
                <w:color w:val="000000" w:themeColor="text1"/>
                <w:sz w:val="18"/>
                <w:szCs w:val="18"/>
                <w:lang w:val="es-419" w:eastAsia="es-419"/>
              </w:rPr>
              <w:t>Db</w:t>
            </w:r>
          </w:p>
        </w:tc>
        <w:tc>
          <w:tcPr>
            <w:tcW w:w="3383" w:type="dxa"/>
            <w:vAlign w:val="center"/>
            <w:hideMark/>
          </w:tcPr>
          <w:p w14:paraId="1EEFE425" w14:textId="77777777" w:rsidR="00D81C95" w:rsidRPr="00951AB1" w:rsidRDefault="00D81C95" w:rsidP="000A5389">
            <w:pPr>
              <w:spacing w:line="240" w:lineRule="auto"/>
              <w:rPr>
                <w:rFonts w:eastAsia="Times New Roman" w:cs="Times New Roman"/>
                <w:color w:val="FFFFFF" w:themeColor="background1"/>
                <w:sz w:val="18"/>
                <w:szCs w:val="18"/>
                <w:lang w:val="es-419" w:eastAsia="es-419"/>
              </w:rPr>
            </w:pPr>
            <w:r w:rsidRPr="399A6F83">
              <w:rPr>
                <w:rFonts w:eastAsia="Times New Roman" w:cs="Times New Roman"/>
                <w:color w:val="000000" w:themeColor="text1"/>
                <w:sz w:val="18"/>
                <w:szCs w:val="18"/>
                <w:lang w:val="es-419" w:eastAsia="es-419"/>
              </w:rPr>
              <w:t>Terrenos</w:t>
            </w:r>
          </w:p>
        </w:tc>
        <w:tc>
          <w:tcPr>
            <w:tcW w:w="1490" w:type="dxa"/>
            <w:noWrap/>
            <w:vAlign w:val="center"/>
            <w:hideMark/>
          </w:tcPr>
          <w:p w14:paraId="741017A3" w14:textId="77777777" w:rsidR="00D81C95" w:rsidRPr="00951AB1" w:rsidRDefault="00D81C95" w:rsidP="000A5389">
            <w:pPr>
              <w:spacing w:line="240" w:lineRule="auto"/>
              <w:jc w:val="right"/>
              <w:rPr>
                <w:rFonts w:eastAsia="Times New Roman" w:cs="Times New Roman"/>
                <w:color w:val="FFFFFF" w:themeColor="background1"/>
                <w:sz w:val="18"/>
                <w:szCs w:val="18"/>
                <w:lang w:val="es-419" w:eastAsia="es-419"/>
              </w:rPr>
            </w:pPr>
            <w:r w:rsidRPr="399A6F83">
              <w:rPr>
                <w:rFonts w:eastAsia="Times New Roman" w:cs="Times New Roman"/>
                <w:color w:val="000000" w:themeColor="text1"/>
                <w:sz w:val="18"/>
                <w:szCs w:val="18"/>
                <w:lang w:val="es-419" w:eastAsia="es-419"/>
              </w:rPr>
              <w:t>52.513.513.120</w:t>
            </w:r>
          </w:p>
        </w:tc>
        <w:tc>
          <w:tcPr>
            <w:tcW w:w="1490" w:type="dxa"/>
            <w:noWrap/>
            <w:vAlign w:val="center"/>
            <w:hideMark/>
          </w:tcPr>
          <w:p w14:paraId="2867AAE6" w14:textId="77777777" w:rsidR="00D81C95" w:rsidRPr="00951AB1" w:rsidRDefault="00D81C95" w:rsidP="000A5389">
            <w:pPr>
              <w:spacing w:line="240" w:lineRule="auto"/>
              <w:jc w:val="right"/>
              <w:rPr>
                <w:rFonts w:eastAsia="Times New Roman" w:cs="Times New Roman"/>
                <w:color w:val="FFFFFF" w:themeColor="background1"/>
                <w:sz w:val="18"/>
                <w:szCs w:val="18"/>
                <w:lang w:val="es-419" w:eastAsia="es-419"/>
              </w:rPr>
            </w:pPr>
            <w:r w:rsidRPr="399A6F83">
              <w:rPr>
                <w:rFonts w:eastAsia="Times New Roman" w:cs="Times New Roman"/>
                <w:color w:val="000000" w:themeColor="text1"/>
                <w:sz w:val="18"/>
                <w:szCs w:val="18"/>
                <w:lang w:val="es-419" w:eastAsia="es-419"/>
              </w:rPr>
              <w:t>52.513.513.120</w:t>
            </w:r>
          </w:p>
        </w:tc>
        <w:tc>
          <w:tcPr>
            <w:tcW w:w="1418" w:type="dxa"/>
            <w:noWrap/>
            <w:vAlign w:val="center"/>
            <w:hideMark/>
          </w:tcPr>
          <w:p w14:paraId="2C13F593" w14:textId="77777777" w:rsidR="00D81C95" w:rsidRPr="00951AB1" w:rsidRDefault="00D81C95" w:rsidP="000A5389">
            <w:pPr>
              <w:spacing w:line="240" w:lineRule="auto"/>
              <w:jc w:val="right"/>
              <w:rPr>
                <w:rFonts w:eastAsia="Times New Roman" w:cs="Times New Roman"/>
                <w:color w:val="FFFFFF" w:themeColor="background1"/>
                <w:sz w:val="18"/>
                <w:szCs w:val="18"/>
                <w:lang w:val="es-419" w:eastAsia="es-419"/>
              </w:rPr>
            </w:pPr>
            <w:r w:rsidRPr="399A6F83">
              <w:rPr>
                <w:rFonts w:eastAsia="Times New Roman" w:cs="Times New Roman"/>
                <w:color w:val="000000" w:themeColor="text1"/>
                <w:sz w:val="18"/>
                <w:szCs w:val="18"/>
                <w:lang w:val="es-419" w:eastAsia="es-419"/>
              </w:rPr>
              <w:t>0</w:t>
            </w:r>
          </w:p>
        </w:tc>
      </w:tr>
      <w:tr w:rsidR="00D81C95" w:rsidRPr="00951AB1" w14:paraId="214AA581" w14:textId="77777777" w:rsidTr="31D9A470">
        <w:trPr>
          <w:trHeight w:val="280"/>
        </w:trPr>
        <w:tc>
          <w:tcPr>
            <w:tcW w:w="815" w:type="dxa"/>
            <w:noWrap/>
            <w:vAlign w:val="center"/>
            <w:hideMark/>
          </w:tcPr>
          <w:p w14:paraId="43CBB7B1" w14:textId="77777777" w:rsidR="00D81C95" w:rsidRPr="00951AB1" w:rsidRDefault="00D81C95" w:rsidP="000A5389">
            <w:pPr>
              <w:spacing w:line="240" w:lineRule="auto"/>
              <w:rPr>
                <w:rFonts w:eastAsia="Times New Roman" w:cs="Times New Roman"/>
                <w:color w:val="FFFFFF" w:themeColor="background1"/>
                <w:sz w:val="18"/>
                <w:szCs w:val="18"/>
                <w:lang w:val="es-419" w:eastAsia="es-419"/>
              </w:rPr>
            </w:pPr>
            <w:r w:rsidRPr="399A6F83">
              <w:rPr>
                <w:rFonts w:eastAsia="Times New Roman" w:cs="Times New Roman"/>
                <w:color w:val="000000" w:themeColor="text1"/>
                <w:sz w:val="18"/>
                <w:szCs w:val="18"/>
                <w:lang w:val="es-419" w:eastAsia="es-419"/>
              </w:rPr>
              <w:t>1.6.83.04</w:t>
            </w:r>
          </w:p>
        </w:tc>
        <w:tc>
          <w:tcPr>
            <w:tcW w:w="480" w:type="dxa"/>
            <w:noWrap/>
            <w:vAlign w:val="center"/>
            <w:hideMark/>
          </w:tcPr>
          <w:p w14:paraId="7952D3DE" w14:textId="77777777" w:rsidR="00D81C95" w:rsidRPr="00951AB1" w:rsidRDefault="00D81C95" w:rsidP="000A5389">
            <w:pPr>
              <w:spacing w:line="240" w:lineRule="auto"/>
              <w:jc w:val="center"/>
              <w:rPr>
                <w:rFonts w:eastAsia="Times New Roman" w:cs="Times New Roman"/>
                <w:color w:val="FFFFFF" w:themeColor="background1"/>
                <w:sz w:val="18"/>
                <w:szCs w:val="18"/>
                <w:lang w:val="es-419" w:eastAsia="es-419"/>
              </w:rPr>
            </w:pPr>
            <w:r w:rsidRPr="399A6F83">
              <w:rPr>
                <w:rFonts w:eastAsia="Times New Roman" w:cs="Times New Roman"/>
                <w:color w:val="000000" w:themeColor="text1"/>
                <w:sz w:val="18"/>
                <w:szCs w:val="18"/>
                <w:lang w:val="es-419" w:eastAsia="es-419"/>
              </w:rPr>
              <w:t>Db</w:t>
            </w:r>
          </w:p>
        </w:tc>
        <w:tc>
          <w:tcPr>
            <w:tcW w:w="3383" w:type="dxa"/>
            <w:vAlign w:val="center"/>
            <w:hideMark/>
          </w:tcPr>
          <w:p w14:paraId="7996F24B" w14:textId="77777777" w:rsidR="00D81C95" w:rsidRPr="00951AB1" w:rsidRDefault="00D81C95" w:rsidP="000A5389">
            <w:pPr>
              <w:spacing w:line="240" w:lineRule="auto"/>
              <w:rPr>
                <w:rFonts w:eastAsia="Times New Roman" w:cs="Times New Roman"/>
                <w:color w:val="FFFFFF" w:themeColor="background1"/>
                <w:sz w:val="18"/>
                <w:szCs w:val="18"/>
                <w:lang w:val="es-419" w:eastAsia="es-419"/>
              </w:rPr>
            </w:pPr>
            <w:r w:rsidRPr="399A6F83">
              <w:rPr>
                <w:rFonts w:eastAsia="Times New Roman" w:cs="Times New Roman"/>
                <w:color w:val="000000" w:themeColor="text1"/>
                <w:sz w:val="18"/>
                <w:szCs w:val="18"/>
                <w:lang w:val="es-419" w:eastAsia="es-419"/>
              </w:rPr>
              <w:t>Redes, líneas y cables</w:t>
            </w:r>
          </w:p>
        </w:tc>
        <w:tc>
          <w:tcPr>
            <w:tcW w:w="1490" w:type="dxa"/>
            <w:noWrap/>
            <w:vAlign w:val="center"/>
            <w:hideMark/>
          </w:tcPr>
          <w:p w14:paraId="2EDA10D2" w14:textId="77777777" w:rsidR="00D81C95" w:rsidRPr="00951AB1" w:rsidRDefault="00D81C95" w:rsidP="000A5389">
            <w:pPr>
              <w:spacing w:line="240" w:lineRule="auto"/>
              <w:jc w:val="right"/>
              <w:rPr>
                <w:rFonts w:eastAsia="Times New Roman" w:cs="Times New Roman"/>
                <w:color w:val="FFFFFF" w:themeColor="background1"/>
                <w:sz w:val="18"/>
                <w:szCs w:val="18"/>
                <w:lang w:val="es-419" w:eastAsia="es-419"/>
              </w:rPr>
            </w:pPr>
            <w:r w:rsidRPr="399A6F83">
              <w:rPr>
                <w:rFonts w:eastAsia="Times New Roman" w:cs="Times New Roman"/>
                <w:color w:val="000000" w:themeColor="text1"/>
                <w:sz w:val="18"/>
                <w:szCs w:val="18"/>
                <w:lang w:val="es-419" w:eastAsia="es-419"/>
              </w:rPr>
              <w:t>29.959.698.927</w:t>
            </w:r>
          </w:p>
        </w:tc>
        <w:tc>
          <w:tcPr>
            <w:tcW w:w="1490" w:type="dxa"/>
            <w:noWrap/>
            <w:vAlign w:val="center"/>
            <w:hideMark/>
          </w:tcPr>
          <w:p w14:paraId="7EC41F94" w14:textId="77777777" w:rsidR="00D81C95" w:rsidRPr="00951AB1" w:rsidRDefault="00D81C95" w:rsidP="000A5389">
            <w:pPr>
              <w:spacing w:line="240" w:lineRule="auto"/>
              <w:jc w:val="right"/>
              <w:rPr>
                <w:rFonts w:eastAsia="Times New Roman" w:cs="Times New Roman"/>
                <w:color w:val="FFFFFF" w:themeColor="background1"/>
                <w:sz w:val="18"/>
                <w:szCs w:val="18"/>
                <w:lang w:val="es-419" w:eastAsia="es-419"/>
              </w:rPr>
            </w:pPr>
            <w:r w:rsidRPr="399A6F83">
              <w:rPr>
                <w:rFonts w:eastAsia="Times New Roman" w:cs="Times New Roman"/>
                <w:color w:val="000000" w:themeColor="text1"/>
                <w:sz w:val="18"/>
                <w:szCs w:val="18"/>
                <w:lang w:val="es-419" w:eastAsia="es-419"/>
              </w:rPr>
              <w:t>25.961.381.793</w:t>
            </w:r>
          </w:p>
        </w:tc>
        <w:tc>
          <w:tcPr>
            <w:tcW w:w="1418" w:type="dxa"/>
            <w:noWrap/>
            <w:vAlign w:val="center"/>
            <w:hideMark/>
          </w:tcPr>
          <w:p w14:paraId="44FC620F" w14:textId="77777777" w:rsidR="00D81C95" w:rsidRPr="00951AB1" w:rsidRDefault="00D81C95" w:rsidP="000A5389">
            <w:pPr>
              <w:spacing w:line="240" w:lineRule="auto"/>
              <w:jc w:val="right"/>
              <w:rPr>
                <w:rFonts w:eastAsia="Times New Roman" w:cs="Times New Roman"/>
                <w:color w:val="FFFFFF" w:themeColor="background1"/>
                <w:sz w:val="18"/>
                <w:szCs w:val="18"/>
                <w:lang w:val="es-419" w:eastAsia="es-419"/>
              </w:rPr>
            </w:pPr>
            <w:r w:rsidRPr="399A6F83">
              <w:rPr>
                <w:rFonts w:eastAsia="Times New Roman" w:cs="Times New Roman"/>
                <w:color w:val="000000" w:themeColor="text1"/>
                <w:sz w:val="18"/>
                <w:szCs w:val="18"/>
                <w:lang w:val="es-419" w:eastAsia="es-419"/>
              </w:rPr>
              <w:t>3.998.317.133</w:t>
            </w:r>
          </w:p>
        </w:tc>
      </w:tr>
      <w:tr w:rsidR="00D81C95" w:rsidRPr="00951AB1" w14:paraId="2E206EA0" w14:textId="77777777" w:rsidTr="31D9A470">
        <w:trPr>
          <w:trHeight w:val="280"/>
        </w:trPr>
        <w:tc>
          <w:tcPr>
            <w:tcW w:w="815" w:type="dxa"/>
            <w:noWrap/>
            <w:vAlign w:val="center"/>
            <w:hideMark/>
          </w:tcPr>
          <w:p w14:paraId="47BC075A" w14:textId="77777777" w:rsidR="00D81C95" w:rsidRPr="00951AB1" w:rsidRDefault="00D81C95" w:rsidP="000A5389">
            <w:pPr>
              <w:spacing w:line="240" w:lineRule="auto"/>
              <w:rPr>
                <w:rFonts w:eastAsia="Times New Roman" w:cs="Times New Roman"/>
                <w:color w:val="FFFFFF" w:themeColor="background1"/>
                <w:sz w:val="18"/>
                <w:szCs w:val="18"/>
                <w:lang w:val="es-419" w:eastAsia="es-419"/>
              </w:rPr>
            </w:pPr>
            <w:r w:rsidRPr="399A6F83">
              <w:rPr>
                <w:rFonts w:eastAsia="Times New Roman" w:cs="Times New Roman"/>
                <w:color w:val="000000" w:themeColor="text1"/>
                <w:sz w:val="18"/>
                <w:szCs w:val="18"/>
                <w:lang w:val="es-419" w:eastAsia="es-419"/>
              </w:rPr>
              <w:t>1.6.83.07</w:t>
            </w:r>
          </w:p>
        </w:tc>
        <w:tc>
          <w:tcPr>
            <w:tcW w:w="480" w:type="dxa"/>
            <w:noWrap/>
            <w:vAlign w:val="center"/>
            <w:hideMark/>
          </w:tcPr>
          <w:p w14:paraId="1372D819" w14:textId="77777777" w:rsidR="00D81C95" w:rsidRPr="00951AB1" w:rsidRDefault="00D81C95" w:rsidP="000A5389">
            <w:pPr>
              <w:spacing w:line="240" w:lineRule="auto"/>
              <w:jc w:val="center"/>
              <w:rPr>
                <w:rFonts w:eastAsia="Times New Roman" w:cs="Times New Roman"/>
                <w:color w:val="FFFFFF" w:themeColor="background1"/>
                <w:sz w:val="18"/>
                <w:szCs w:val="18"/>
                <w:lang w:val="es-419" w:eastAsia="es-419"/>
              </w:rPr>
            </w:pPr>
            <w:r w:rsidRPr="399A6F83">
              <w:rPr>
                <w:rFonts w:eastAsia="Times New Roman" w:cs="Times New Roman"/>
                <w:color w:val="000000" w:themeColor="text1"/>
                <w:sz w:val="18"/>
                <w:szCs w:val="18"/>
                <w:lang w:val="es-419" w:eastAsia="es-419"/>
              </w:rPr>
              <w:t>Db</w:t>
            </w:r>
          </w:p>
        </w:tc>
        <w:tc>
          <w:tcPr>
            <w:tcW w:w="3383" w:type="dxa"/>
            <w:vAlign w:val="center"/>
            <w:hideMark/>
          </w:tcPr>
          <w:p w14:paraId="37D8E6BD" w14:textId="77777777" w:rsidR="00D81C95" w:rsidRPr="00951AB1" w:rsidRDefault="00D81C95" w:rsidP="000A5389">
            <w:pPr>
              <w:spacing w:line="240" w:lineRule="auto"/>
              <w:rPr>
                <w:rFonts w:eastAsia="Times New Roman" w:cs="Times New Roman"/>
                <w:color w:val="FFFFFF" w:themeColor="background1"/>
                <w:sz w:val="18"/>
                <w:szCs w:val="18"/>
                <w:lang w:val="es-419" w:eastAsia="es-419"/>
              </w:rPr>
            </w:pPr>
            <w:r w:rsidRPr="399A6F83">
              <w:rPr>
                <w:rFonts w:eastAsia="Times New Roman" w:cs="Times New Roman"/>
                <w:color w:val="000000" w:themeColor="text1"/>
                <w:sz w:val="18"/>
                <w:szCs w:val="18"/>
                <w:lang w:val="es-419" w:eastAsia="es-419"/>
              </w:rPr>
              <w:t>Muebles, enseres y equipo de oficina</w:t>
            </w:r>
          </w:p>
        </w:tc>
        <w:tc>
          <w:tcPr>
            <w:tcW w:w="1490" w:type="dxa"/>
            <w:noWrap/>
            <w:vAlign w:val="center"/>
            <w:hideMark/>
          </w:tcPr>
          <w:p w14:paraId="1718A838" w14:textId="77777777" w:rsidR="00D81C95" w:rsidRPr="00951AB1" w:rsidRDefault="00D81C95" w:rsidP="000A5389">
            <w:pPr>
              <w:spacing w:line="240" w:lineRule="auto"/>
              <w:jc w:val="right"/>
              <w:rPr>
                <w:rFonts w:eastAsia="Times New Roman" w:cs="Times New Roman"/>
                <w:color w:val="FFFFFF" w:themeColor="background1"/>
                <w:sz w:val="18"/>
                <w:szCs w:val="18"/>
                <w:lang w:val="es-419" w:eastAsia="es-419"/>
              </w:rPr>
            </w:pPr>
            <w:r w:rsidRPr="399A6F83">
              <w:rPr>
                <w:rFonts w:eastAsia="Times New Roman" w:cs="Times New Roman"/>
                <w:color w:val="000000" w:themeColor="text1"/>
                <w:sz w:val="18"/>
                <w:szCs w:val="18"/>
                <w:lang w:val="es-419" w:eastAsia="es-419"/>
              </w:rPr>
              <w:t>17.343.230.952</w:t>
            </w:r>
          </w:p>
        </w:tc>
        <w:tc>
          <w:tcPr>
            <w:tcW w:w="1490" w:type="dxa"/>
            <w:noWrap/>
            <w:vAlign w:val="center"/>
            <w:hideMark/>
          </w:tcPr>
          <w:p w14:paraId="27FA31BB" w14:textId="77777777" w:rsidR="00D81C95" w:rsidRPr="00951AB1" w:rsidRDefault="00D81C95" w:rsidP="000A5389">
            <w:pPr>
              <w:spacing w:line="240" w:lineRule="auto"/>
              <w:jc w:val="right"/>
              <w:rPr>
                <w:rFonts w:eastAsia="Times New Roman" w:cs="Times New Roman"/>
                <w:color w:val="FFFFFF" w:themeColor="background1"/>
                <w:sz w:val="18"/>
                <w:szCs w:val="18"/>
                <w:lang w:val="es-419" w:eastAsia="es-419"/>
              </w:rPr>
            </w:pPr>
            <w:r w:rsidRPr="399A6F83">
              <w:rPr>
                <w:rFonts w:eastAsia="Times New Roman" w:cs="Times New Roman"/>
                <w:color w:val="000000" w:themeColor="text1"/>
                <w:sz w:val="18"/>
                <w:szCs w:val="18"/>
                <w:lang w:val="es-419" w:eastAsia="es-419"/>
              </w:rPr>
              <w:t>19.296.410.440</w:t>
            </w:r>
          </w:p>
        </w:tc>
        <w:tc>
          <w:tcPr>
            <w:tcW w:w="1418" w:type="dxa"/>
            <w:noWrap/>
            <w:vAlign w:val="center"/>
            <w:hideMark/>
          </w:tcPr>
          <w:p w14:paraId="44528E0D" w14:textId="77777777" w:rsidR="00D81C95" w:rsidRPr="00951AB1" w:rsidRDefault="00D81C95" w:rsidP="000A5389">
            <w:pPr>
              <w:spacing w:line="240" w:lineRule="auto"/>
              <w:jc w:val="right"/>
              <w:rPr>
                <w:rFonts w:eastAsia="Times New Roman" w:cs="Times New Roman"/>
                <w:color w:val="FFFFFF" w:themeColor="background1"/>
                <w:sz w:val="18"/>
                <w:szCs w:val="18"/>
                <w:lang w:val="es-419" w:eastAsia="es-419"/>
              </w:rPr>
            </w:pPr>
            <w:r w:rsidRPr="399A6F83">
              <w:rPr>
                <w:rFonts w:eastAsia="Times New Roman" w:cs="Times New Roman"/>
                <w:color w:val="000000" w:themeColor="text1"/>
                <w:sz w:val="18"/>
                <w:szCs w:val="18"/>
                <w:lang w:val="es-419" w:eastAsia="es-419"/>
              </w:rPr>
              <w:t>-1.953.179.488</w:t>
            </w:r>
          </w:p>
        </w:tc>
      </w:tr>
      <w:tr w:rsidR="00D81C95" w:rsidRPr="00951AB1" w14:paraId="2DDE73FD" w14:textId="77777777" w:rsidTr="31D9A470">
        <w:trPr>
          <w:trHeight w:val="280"/>
        </w:trPr>
        <w:tc>
          <w:tcPr>
            <w:tcW w:w="815" w:type="dxa"/>
            <w:noWrap/>
            <w:vAlign w:val="center"/>
            <w:hideMark/>
          </w:tcPr>
          <w:p w14:paraId="2D40CB2A" w14:textId="77777777" w:rsidR="00D81C95" w:rsidRPr="00951AB1" w:rsidRDefault="00D81C95" w:rsidP="000A5389">
            <w:pPr>
              <w:spacing w:line="240" w:lineRule="auto"/>
              <w:rPr>
                <w:rFonts w:eastAsia="Times New Roman" w:cs="Times New Roman"/>
                <w:color w:val="FFFFFF" w:themeColor="background1"/>
                <w:sz w:val="18"/>
                <w:szCs w:val="18"/>
                <w:lang w:val="es-419" w:eastAsia="es-419"/>
              </w:rPr>
            </w:pPr>
            <w:r w:rsidRPr="399A6F83">
              <w:rPr>
                <w:rFonts w:eastAsia="Times New Roman" w:cs="Times New Roman"/>
                <w:color w:val="000000" w:themeColor="text1"/>
                <w:sz w:val="18"/>
                <w:szCs w:val="18"/>
                <w:lang w:val="es-419" w:eastAsia="es-419"/>
              </w:rPr>
              <w:t>1.6.83.03</w:t>
            </w:r>
          </w:p>
        </w:tc>
        <w:tc>
          <w:tcPr>
            <w:tcW w:w="480" w:type="dxa"/>
            <w:noWrap/>
            <w:vAlign w:val="center"/>
            <w:hideMark/>
          </w:tcPr>
          <w:p w14:paraId="29BED856" w14:textId="77777777" w:rsidR="00D81C95" w:rsidRPr="00951AB1" w:rsidRDefault="00D81C95" w:rsidP="000A5389">
            <w:pPr>
              <w:spacing w:line="240" w:lineRule="auto"/>
              <w:jc w:val="center"/>
              <w:rPr>
                <w:rFonts w:eastAsia="Times New Roman" w:cs="Times New Roman"/>
                <w:color w:val="FFFFFF" w:themeColor="background1"/>
                <w:sz w:val="18"/>
                <w:szCs w:val="18"/>
                <w:lang w:val="es-419" w:eastAsia="es-419"/>
              </w:rPr>
            </w:pPr>
            <w:r w:rsidRPr="399A6F83">
              <w:rPr>
                <w:rFonts w:eastAsia="Times New Roman" w:cs="Times New Roman"/>
                <w:color w:val="000000" w:themeColor="text1"/>
                <w:sz w:val="18"/>
                <w:szCs w:val="18"/>
                <w:lang w:val="es-419" w:eastAsia="es-419"/>
              </w:rPr>
              <w:t>Db</w:t>
            </w:r>
          </w:p>
        </w:tc>
        <w:tc>
          <w:tcPr>
            <w:tcW w:w="3383" w:type="dxa"/>
            <w:vAlign w:val="center"/>
            <w:hideMark/>
          </w:tcPr>
          <w:p w14:paraId="197E1910" w14:textId="77777777" w:rsidR="00D81C95" w:rsidRPr="00951AB1" w:rsidRDefault="00D81C95" w:rsidP="000A5389">
            <w:pPr>
              <w:spacing w:line="240" w:lineRule="auto"/>
              <w:rPr>
                <w:rFonts w:eastAsia="Times New Roman" w:cs="Times New Roman"/>
                <w:color w:val="FFFFFF" w:themeColor="background1"/>
                <w:sz w:val="18"/>
                <w:szCs w:val="18"/>
                <w:lang w:val="es-419" w:eastAsia="es-419"/>
              </w:rPr>
            </w:pPr>
            <w:r w:rsidRPr="399A6F83">
              <w:rPr>
                <w:rFonts w:eastAsia="Times New Roman" w:cs="Times New Roman"/>
                <w:color w:val="000000" w:themeColor="text1"/>
                <w:sz w:val="18"/>
                <w:szCs w:val="18"/>
                <w:lang w:val="es-419" w:eastAsia="es-419"/>
              </w:rPr>
              <w:t>Plantas, ductos y túneles</w:t>
            </w:r>
          </w:p>
        </w:tc>
        <w:tc>
          <w:tcPr>
            <w:tcW w:w="1490" w:type="dxa"/>
            <w:noWrap/>
            <w:vAlign w:val="center"/>
            <w:hideMark/>
          </w:tcPr>
          <w:p w14:paraId="159428AC" w14:textId="77777777" w:rsidR="00D81C95" w:rsidRPr="00951AB1" w:rsidRDefault="00D81C95" w:rsidP="000A5389">
            <w:pPr>
              <w:spacing w:line="240" w:lineRule="auto"/>
              <w:jc w:val="right"/>
              <w:rPr>
                <w:rFonts w:eastAsia="Times New Roman" w:cs="Times New Roman"/>
                <w:color w:val="FFFFFF" w:themeColor="background1"/>
                <w:sz w:val="18"/>
                <w:szCs w:val="18"/>
                <w:lang w:val="es-419" w:eastAsia="es-419"/>
              </w:rPr>
            </w:pPr>
            <w:r w:rsidRPr="399A6F83">
              <w:rPr>
                <w:rFonts w:eastAsia="Times New Roman" w:cs="Times New Roman"/>
                <w:color w:val="000000" w:themeColor="text1"/>
                <w:sz w:val="18"/>
                <w:szCs w:val="18"/>
                <w:lang w:val="es-419" w:eastAsia="es-419"/>
              </w:rPr>
              <w:t>8.760.119.433</w:t>
            </w:r>
          </w:p>
        </w:tc>
        <w:tc>
          <w:tcPr>
            <w:tcW w:w="1490" w:type="dxa"/>
            <w:noWrap/>
            <w:vAlign w:val="center"/>
            <w:hideMark/>
          </w:tcPr>
          <w:p w14:paraId="6FE90840" w14:textId="77777777" w:rsidR="00D81C95" w:rsidRPr="00951AB1" w:rsidRDefault="00D81C95" w:rsidP="000A5389">
            <w:pPr>
              <w:spacing w:line="240" w:lineRule="auto"/>
              <w:jc w:val="right"/>
              <w:rPr>
                <w:rFonts w:eastAsia="Times New Roman" w:cs="Times New Roman"/>
                <w:color w:val="FFFFFF" w:themeColor="background1"/>
                <w:sz w:val="18"/>
                <w:szCs w:val="18"/>
                <w:lang w:val="es-419" w:eastAsia="es-419"/>
              </w:rPr>
            </w:pPr>
            <w:r w:rsidRPr="399A6F83">
              <w:rPr>
                <w:rFonts w:eastAsia="Times New Roman" w:cs="Times New Roman"/>
                <w:color w:val="000000" w:themeColor="text1"/>
                <w:sz w:val="18"/>
                <w:szCs w:val="18"/>
                <w:lang w:val="es-419" w:eastAsia="es-419"/>
              </w:rPr>
              <w:t>8.493.824.802</w:t>
            </w:r>
          </w:p>
        </w:tc>
        <w:tc>
          <w:tcPr>
            <w:tcW w:w="1418" w:type="dxa"/>
            <w:noWrap/>
            <w:vAlign w:val="center"/>
            <w:hideMark/>
          </w:tcPr>
          <w:p w14:paraId="59EE812D" w14:textId="77777777" w:rsidR="00D81C95" w:rsidRPr="00951AB1" w:rsidRDefault="00D81C95" w:rsidP="000A5389">
            <w:pPr>
              <w:spacing w:line="240" w:lineRule="auto"/>
              <w:jc w:val="right"/>
              <w:rPr>
                <w:rFonts w:eastAsia="Times New Roman" w:cs="Times New Roman"/>
                <w:color w:val="FFFFFF" w:themeColor="background1"/>
                <w:sz w:val="18"/>
                <w:szCs w:val="18"/>
                <w:lang w:val="es-419" w:eastAsia="es-419"/>
              </w:rPr>
            </w:pPr>
            <w:r w:rsidRPr="399A6F83">
              <w:rPr>
                <w:rFonts w:eastAsia="Times New Roman" w:cs="Times New Roman"/>
                <w:color w:val="000000" w:themeColor="text1"/>
                <w:sz w:val="18"/>
                <w:szCs w:val="18"/>
                <w:lang w:val="es-419" w:eastAsia="es-419"/>
              </w:rPr>
              <w:t>266.294.631</w:t>
            </w:r>
          </w:p>
        </w:tc>
      </w:tr>
      <w:tr w:rsidR="00D81C95" w:rsidRPr="00951AB1" w14:paraId="5A5ECB93" w14:textId="77777777" w:rsidTr="31D9A470">
        <w:trPr>
          <w:trHeight w:val="280"/>
        </w:trPr>
        <w:tc>
          <w:tcPr>
            <w:tcW w:w="815" w:type="dxa"/>
            <w:noWrap/>
            <w:vAlign w:val="center"/>
            <w:hideMark/>
          </w:tcPr>
          <w:p w14:paraId="4A14862E" w14:textId="77777777" w:rsidR="00D81C95" w:rsidRPr="00951AB1" w:rsidRDefault="00D81C95" w:rsidP="000A5389">
            <w:pPr>
              <w:spacing w:line="240" w:lineRule="auto"/>
              <w:rPr>
                <w:rFonts w:eastAsia="Times New Roman" w:cs="Times New Roman"/>
                <w:color w:val="FFFFFF" w:themeColor="background1"/>
                <w:sz w:val="18"/>
                <w:szCs w:val="18"/>
                <w:lang w:val="es-419" w:eastAsia="es-419"/>
              </w:rPr>
            </w:pPr>
            <w:r w:rsidRPr="399A6F83">
              <w:rPr>
                <w:rFonts w:eastAsia="Times New Roman" w:cs="Times New Roman"/>
                <w:color w:val="000000" w:themeColor="text1"/>
                <w:sz w:val="18"/>
                <w:szCs w:val="18"/>
                <w:lang w:val="es-419" w:eastAsia="es-419"/>
              </w:rPr>
              <w:t>1.6.83.06</w:t>
            </w:r>
          </w:p>
        </w:tc>
        <w:tc>
          <w:tcPr>
            <w:tcW w:w="480" w:type="dxa"/>
            <w:noWrap/>
            <w:vAlign w:val="center"/>
            <w:hideMark/>
          </w:tcPr>
          <w:p w14:paraId="106C6150" w14:textId="77777777" w:rsidR="00D81C95" w:rsidRPr="00951AB1" w:rsidRDefault="00D81C95" w:rsidP="000A5389">
            <w:pPr>
              <w:spacing w:line="240" w:lineRule="auto"/>
              <w:jc w:val="center"/>
              <w:rPr>
                <w:rFonts w:eastAsia="Times New Roman" w:cs="Times New Roman"/>
                <w:color w:val="FFFFFF" w:themeColor="background1"/>
                <w:sz w:val="18"/>
                <w:szCs w:val="18"/>
                <w:lang w:val="es-419" w:eastAsia="es-419"/>
              </w:rPr>
            </w:pPr>
            <w:r w:rsidRPr="399A6F83">
              <w:rPr>
                <w:rFonts w:eastAsia="Times New Roman" w:cs="Times New Roman"/>
                <w:color w:val="000000" w:themeColor="text1"/>
                <w:sz w:val="18"/>
                <w:szCs w:val="18"/>
                <w:lang w:val="es-419" w:eastAsia="es-419"/>
              </w:rPr>
              <w:t>Db</w:t>
            </w:r>
          </w:p>
        </w:tc>
        <w:tc>
          <w:tcPr>
            <w:tcW w:w="3383" w:type="dxa"/>
            <w:vAlign w:val="center"/>
            <w:hideMark/>
          </w:tcPr>
          <w:p w14:paraId="28DE024C" w14:textId="77777777" w:rsidR="00D81C95" w:rsidRPr="00951AB1" w:rsidRDefault="00D81C95" w:rsidP="000A5389">
            <w:pPr>
              <w:spacing w:line="240" w:lineRule="auto"/>
              <w:rPr>
                <w:rFonts w:eastAsia="Times New Roman" w:cs="Times New Roman"/>
                <w:color w:val="FFFFFF" w:themeColor="background1"/>
                <w:sz w:val="18"/>
                <w:szCs w:val="18"/>
                <w:lang w:val="es-419" w:eastAsia="es-419"/>
              </w:rPr>
            </w:pPr>
            <w:r w:rsidRPr="399A6F83">
              <w:rPr>
                <w:rFonts w:eastAsia="Times New Roman" w:cs="Times New Roman"/>
                <w:color w:val="000000" w:themeColor="text1"/>
                <w:sz w:val="18"/>
                <w:szCs w:val="18"/>
                <w:lang w:val="es-419" w:eastAsia="es-419"/>
              </w:rPr>
              <w:t>Equipo médico y científico</w:t>
            </w:r>
          </w:p>
        </w:tc>
        <w:tc>
          <w:tcPr>
            <w:tcW w:w="1490" w:type="dxa"/>
            <w:noWrap/>
            <w:vAlign w:val="center"/>
            <w:hideMark/>
          </w:tcPr>
          <w:p w14:paraId="680AD4FB" w14:textId="77777777" w:rsidR="00D81C95" w:rsidRPr="00951AB1" w:rsidRDefault="00D81C95" w:rsidP="000A5389">
            <w:pPr>
              <w:spacing w:line="240" w:lineRule="auto"/>
              <w:jc w:val="right"/>
              <w:rPr>
                <w:rFonts w:eastAsia="Times New Roman" w:cs="Times New Roman"/>
                <w:color w:val="FFFFFF" w:themeColor="background1"/>
                <w:sz w:val="18"/>
                <w:szCs w:val="18"/>
                <w:lang w:val="es-419" w:eastAsia="es-419"/>
              </w:rPr>
            </w:pPr>
            <w:r w:rsidRPr="399A6F83">
              <w:rPr>
                <w:rFonts w:eastAsia="Times New Roman" w:cs="Times New Roman"/>
                <w:color w:val="000000" w:themeColor="text1"/>
                <w:sz w:val="18"/>
                <w:szCs w:val="18"/>
                <w:lang w:val="es-419" w:eastAsia="es-419"/>
              </w:rPr>
              <w:t>0</w:t>
            </w:r>
          </w:p>
        </w:tc>
        <w:tc>
          <w:tcPr>
            <w:tcW w:w="1490" w:type="dxa"/>
            <w:noWrap/>
            <w:vAlign w:val="center"/>
            <w:hideMark/>
          </w:tcPr>
          <w:p w14:paraId="029983F1" w14:textId="77777777" w:rsidR="00D81C95" w:rsidRPr="00951AB1" w:rsidRDefault="00D81C95" w:rsidP="000A5389">
            <w:pPr>
              <w:spacing w:line="240" w:lineRule="auto"/>
              <w:jc w:val="right"/>
              <w:rPr>
                <w:rFonts w:eastAsia="Times New Roman" w:cs="Times New Roman"/>
                <w:color w:val="FFFFFF" w:themeColor="background1"/>
                <w:sz w:val="18"/>
                <w:szCs w:val="18"/>
                <w:lang w:val="es-419" w:eastAsia="es-419"/>
              </w:rPr>
            </w:pPr>
            <w:r w:rsidRPr="399A6F83">
              <w:rPr>
                <w:rFonts w:eastAsia="Times New Roman" w:cs="Times New Roman"/>
                <w:color w:val="000000" w:themeColor="text1"/>
                <w:sz w:val="18"/>
                <w:szCs w:val="18"/>
                <w:lang w:val="es-419" w:eastAsia="es-419"/>
              </w:rPr>
              <w:t>160.340.000</w:t>
            </w:r>
          </w:p>
        </w:tc>
        <w:tc>
          <w:tcPr>
            <w:tcW w:w="1418" w:type="dxa"/>
            <w:noWrap/>
            <w:vAlign w:val="center"/>
            <w:hideMark/>
          </w:tcPr>
          <w:p w14:paraId="56677776" w14:textId="77777777" w:rsidR="00D81C95" w:rsidRPr="00951AB1" w:rsidRDefault="00D81C95" w:rsidP="000A5389">
            <w:pPr>
              <w:spacing w:line="240" w:lineRule="auto"/>
              <w:jc w:val="right"/>
              <w:rPr>
                <w:rFonts w:eastAsia="Times New Roman" w:cs="Times New Roman"/>
                <w:color w:val="FFFFFF" w:themeColor="background1"/>
                <w:sz w:val="18"/>
                <w:szCs w:val="18"/>
                <w:lang w:val="es-419" w:eastAsia="es-419"/>
              </w:rPr>
            </w:pPr>
            <w:r w:rsidRPr="399A6F83">
              <w:rPr>
                <w:rFonts w:eastAsia="Times New Roman" w:cs="Times New Roman"/>
                <w:color w:val="000000" w:themeColor="text1"/>
                <w:sz w:val="18"/>
                <w:szCs w:val="18"/>
                <w:lang w:val="es-419" w:eastAsia="es-419"/>
              </w:rPr>
              <w:t>-160.340.000</w:t>
            </w:r>
          </w:p>
        </w:tc>
      </w:tr>
    </w:tbl>
    <w:p w14:paraId="46A226D4" w14:textId="40CDCE26" w:rsidR="00D81C95" w:rsidRPr="00951AB1" w:rsidRDefault="38193636" w:rsidP="000A5389">
      <w:pPr>
        <w:spacing w:line="240" w:lineRule="auto"/>
        <w:rPr>
          <w:rFonts w:cs="Times New Roman"/>
          <w:color w:val="FFFFFF" w:themeColor="background1"/>
          <w:szCs w:val="24"/>
        </w:rPr>
      </w:pPr>
      <w:r w:rsidRPr="31D9A470">
        <w:rPr>
          <w:rFonts w:cs="Times New Roman"/>
          <w:sz w:val="14"/>
          <w:szCs w:val="14"/>
        </w:rPr>
        <w:t>Cifras expresadas en pesos</w:t>
      </w:r>
    </w:p>
    <w:p w14:paraId="01B4B1DB" w14:textId="77777777" w:rsidR="00D81C95" w:rsidRPr="00951AB1" w:rsidRDefault="00D81C95" w:rsidP="000A5389">
      <w:pPr>
        <w:spacing w:line="240" w:lineRule="auto"/>
        <w:rPr>
          <w:rFonts w:cs="Times New Roman"/>
          <w:color w:val="FFFFFF" w:themeColor="background1"/>
        </w:rPr>
      </w:pPr>
      <w:r w:rsidRPr="00951AB1">
        <w:rPr>
          <w:rFonts w:cs="Times New Roman"/>
          <w:bCs/>
        </w:rPr>
        <w:fldChar w:fldCharType="end"/>
      </w:r>
    </w:p>
    <w:p w14:paraId="0C17BDCF" w14:textId="77777777" w:rsidR="00D81C95" w:rsidRPr="00951AB1" w:rsidRDefault="00D81C95" w:rsidP="000A5389">
      <w:pPr>
        <w:spacing w:line="240" w:lineRule="auto"/>
        <w:rPr>
          <w:rFonts w:cs="Times New Roman"/>
          <w:szCs w:val="24"/>
        </w:rPr>
      </w:pPr>
      <w:r w:rsidRPr="00951AB1">
        <w:rPr>
          <w:rFonts w:cs="Times New Roman"/>
          <w:szCs w:val="24"/>
          <w:lang w:val="es-ES_tradnl"/>
        </w:rPr>
        <w:t xml:space="preserve">Las </w:t>
      </w:r>
      <w:r w:rsidRPr="00951AB1">
        <w:rPr>
          <w:rFonts w:cs="Times New Roman"/>
          <w:szCs w:val="24"/>
        </w:rPr>
        <w:t>propiedades, planta y equipo en concesión, comprenden los bienes asociados a la ejecución de los proyectos de acuerdo con la información suministrada por los concesionarios y avalada por las interventorías, en los modos férreo, portuario y a la técnica de estimación establecida para el modo carretero. Estos bienes se encuentran a cargo de los concesionarios y serán entregados a la Nación, una vez se culmine el acuerdo de concesión.</w:t>
      </w:r>
    </w:p>
    <w:p w14:paraId="05D957DE" w14:textId="77777777" w:rsidR="00D81C95" w:rsidRPr="00951AB1" w:rsidRDefault="00D81C95" w:rsidP="000A5389">
      <w:pPr>
        <w:pStyle w:val="Textoindependiente"/>
        <w:spacing w:line="240" w:lineRule="auto"/>
        <w:rPr>
          <w:bCs/>
        </w:rPr>
      </w:pPr>
    </w:p>
    <w:p w14:paraId="7E0C8374" w14:textId="77777777" w:rsidR="00D81C95" w:rsidRPr="00951AB1" w:rsidRDefault="00D81C95" w:rsidP="000A5389">
      <w:pPr>
        <w:pStyle w:val="Textoindependiente"/>
        <w:spacing w:line="240" w:lineRule="auto"/>
        <w:rPr>
          <w:bCs/>
        </w:rPr>
      </w:pPr>
      <w:r w:rsidRPr="00951AB1">
        <w:rPr>
          <w:bCs/>
        </w:rPr>
        <w:t>En la vigencia 2025, el valor en cuentas de las propiedades, planta y equipo en concesión cerraron con un valor de $3.471.766.511.384, incluyendo la información de edificaciones y terreno la cual se detallará en el numeral 10.2 -Detalle saldos y movimientos PPE -Inmuebles de la presente sección.</w:t>
      </w:r>
    </w:p>
    <w:p w14:paraId="411BE358" w14:textId="77777777" w:rsidR="00D81C95" w:rsidRPr="00951AB1" w:rsidRDefault="00D81C95" w:rsidP="000A5389">
      <w:pPr>
        <w:pStyle w:val="Textoindependiente"/>
        <w:spacing w:line="240" w:lineRule="auto"/>
        <w:rPr>
          <w:bCs/>
        </w:rPr>
      </w:pPr>
    </w:p>
    <w:p w14:paraId="65ED709F" w14:textId="77777777" w:rsidR="00D81C95" w:rsidRPr="00951AB1" w:rsidRDefault="00D81C95" w:rsidP="000A5389">
      <w:pPr>
        <w:pStyle w:val="Textoindependiente"/>
        <w:spacing w:line="240" w:lineRule="auto"/>
        <w:rPr>
          <w:bCs/>
        </w:rPr>
      </w:pPr>
      <w:r w:rsidRPr="00951AB1">
        <w:rPr>
          <w:bCs/>
        </w:rPr>
        <w:t>Los bienes muebles en concesión, presenta la siguiente composición a 31 de diciembre de 2025:</w:t>
      </w:r>
    </w:p>
    <w:p w14:paraId="610672CE" w14:textId="77777777" w:rsidR="00D81C95" w:rsidRPr="00951AB1" w:rsidRDefault="00D81C95" w:rsidP="000A5389">
      <w:pPr>
        <w:pStyle w:val="Textoindependiente"/>
        <w:spacing w:line="240" w:lineRule="auto"/>
        <w:rPr>
          <w:rFonts w:eastAsia="Calibri"/>
          <w:sz w:val="20"/>
          <w:szCs w:val="20"/>
          <w:lang w:val="es-CO" w:eastAsia="es-CO" w:bidi="ar-SA"/>
        </w:rPr>
      </w:pPr>
      <w:r w:rsidRPr="00951AB1">
        <w:fldChar w:fldCharType="begin"/>
      </w:r>
      <w:r w:rsidRPr="00951AB1">
        <w:instrText xml:space="preserve"> LINK Excel.Sheet.12 "C:\\Users\\wolarte\\Documents\\0-Ani2025\\0_Cierre2025\\Nota_10\\Anexo N_10 - Propiedades, planta y equipo.XLSX" "Composición!F61C1:F69C6" \a \f 4 \h  \* MERGEFORMAT </w:instrText>
      </w:r>
      <w:r w:rsidRPr="00951AB1">
        <w:fldChar w:fldCharType="separate"/>
      </w:r>
    </w:p>
    <w:tbl>
      <w:tblP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851"/>
        <w:gridCol w:w="371"/>
        <w:gridCol w:w="3314"/>
        <w:gridCol w:w="1560"/>
        <w:gridCol w:w="1559"/>
        <w:gridCol w:w="1417"/>
      </w:tblGrid>
      <w:tr w:rsidR="00CC596B" w:rsidRPr="00951AB1" w14:paraId="3AF8DA7B" w14:textId="77777777" w:rsidTr="00DE2EC7">
        <w:trPr>
          <w:trHeight w:val="560"/>
        </w:trPr>
        <w:tc>
          <w:tcPr>
            <w:tcW w:w="4536" w:type="dxa"/>
            <w:gridSpan w:val="3"/>
            <w:noWrap/>
            <w:vAlign w:val="center"/>
            <w:hideMark/>
          </w:tcPr>
          <w:p w14:paraId="37B808FE" w14:textId="77777777" w:rsidR="00CC596B" w:rsidRPr="00951AB1" w:rsidRDefault="00CC596B" w:rsidP="000A5389">
            <w:pPr>
              <w:spacing w:line="240" w:lineRule="auto"/>
              <w:jc w:val="center"/>
              <w:rPr>
                <w:rFonts w:eastAsia="Times New Roman" w:cs="Times New Roman"/>
                <w:b/>
                <w:bCs/>
                <w:sz w:val="16"/>
                <w:szCs w:val="16"/>
                <w:lang w:val="es-419" w:eastAsia="es-419"/>
              </w:rPr>
            </w:pPr>
            <w:r w:rsidRPr="00951AB1">
              <w:rPr>
                <w:rFonts w:eastAsia="Times New Roman" w:cs="Times New Roman"/>
                <w:b/>
                <w:bCs/>
                <w:sz w:val="16"/>
                <w:szCs w:val="16"/>
                <w:lang w:val="es-419" w:eastAsia="es-419"/>
              </w:rPr>
              <w:t>CONCEPTO</w:t>
            </w:r>
          </w:p>
        </w:tc>
        <w:tc>
          <w:tcPr>
            <w:tcW w:w="1560" w:type="dxa"/>
            <w:vAlign w:val="center"/>
            <w:hideMark/>
          </w:tcPr>
          <w:p w14:paraId="2A3DC4ED" w14:textId="77777777" w:rsidR="00CC596B" w:rsidRPr="00951AB1" w:rsidRDefault="00CC596B" w:rsidP="000A5389">
            <w:pPr>
              <w:spacing w:line="240" w:lineRule="auto"/>
              <w:jc w:val="center"/>
              <w:rPr>
                <w:rFonts w:eastAsia="Times New Roman" w:cs="Times New Roman"/>
                <w:b/>
                <w:bCs/>
                <w:sz w:val="16"/>
                <w:szCs w:val="16"/>
                <w:lang w:val="es-419" w:eastAsia="es-419"/>
              </w:rPr>
            </w:pPr>
            <w:r w:rsidRPr="00951AB1">
              <w:rPr>
                <w:rFonts w:eastAsia="Times New Roman" w:cs="Times New Roman"/>
                <w:b/>
                <w:bCs/>
                <w:sz w:val="16"/>
                <w:szCs w:val="16"/>
                <w:lang w:val="es-419" w:eastAsia="es-419"/>
              </w:rPr>
              <w:t xml:space="preserve">2025 </w:t>
            </w:r>
          </w:p>
        </w:tc>
        <w:tc>
          <w:tcPr>
            <w:tcW w:w="1559" w:type="dxa"/>
            <w:vAlign w:val="center"/>
            <w:hideMark/>
          </w:tcPr>
          <w:p w14:paraId="1EB88AF9" w14:textId="77777777" w:rsidR="00CC596B" w:rsidRPr="00951AB1" w:rsidRDefault="00CC596B" w:rsidP="000A5389">
            <w:pPr>
              <w:spacing w:line="240" w:lineRule="auto"/>
              <w:jc w:val="center"/>
              <w:rPr>
                <w:rFonts w:eastAsia="Times New Roman" w:cs="Times New Roman"/>
                <w:b/>
                <w:bCs/>
                <w:sz w:val="16"/>
                <w:szCs w:val="16"/>
                <w:lang w:val="es-419" w:eastAsia="es-419"/>
              </w:rPr>
            </w:pPr>
            <w:r w:rsidRPr="00951AB1">
              <w:rPr>
                <w:rFonts w:eastAsia="Times New Roman" w:cs="Times New Roman"/>
                <w:b/>
                <w:bCs/>
                <w:sz w:val="16"/>
                <w:szCs w:val="16"/>
                <w:lang w:val="es-419" w:eastAsia="es-419"/>
              </w:rPr>
              <w:t xml:space="preserve">2024 </w:t>
            </w:r>
          </w:p>
        </w:tc>
        <w:tc>
          <w:tcPr>
            <w:tcW w:w="1417" w:type="dxa"/>
            <w:vAlign w:val="center"/>
            <w:hideMark/>
          </w:tcPr>
          <w:p w14:paraId="28B821E3" w14:textId="77777777" w:rsidR="00CC596B" w:rsidRPr="00951AB1" w:rsidRDefault="00CC596B" w:rsidP="000A5389">
            <w:pPr>
              <w:spacing w:line="240" w:lineRule="auto"/>
              <w:jc w:val="center"/>
              <w:rPr>
                <w:rFonts w:eastAsia="Times New Roman" w:cs="Times New Roman"/>
                <w:b/>
                <w:bCs/>
                <w:sz w:val="16"/>
                <w:szCs w:val="16"/>
                <w:lang w:val="es-419" w:eastAsia="es-419"/>
              </w:rPr>
            </w:pPr>
            <w:r w:rsidRPr="00951AB1">
              <w:rPr>
                <w:rFonts w:eastAsia="Times New Roman" w:cs="Times New Roman"/>
                <w:b/>
                <w:bCs/>
                <w:sz w:val="16"/>
                <w:szCs w:val="16"/>
                <w:lang w:val="es-419" w:eastAsia="es-419"/>
              </w:rPr>
              <w:t>VALOR VARIACIÓN</w:t>
            </w:r>
          </w:p>
        </w:tc>
      </w:tr>
      <w:tr w:rsidR="00D81C95" w:rsidRPr="00951AB1" w14:paraId="749F5D42" w14:textId="77777777" w:rsidTr="00CC596B">
        <w:trPr>
          <w:trHeight w:val="560"/>
        </w:trPr>
        <w:tc>
          <w:tcPr>
            <w:tcW w:w="851" w:type="dxa"/>
            <w:noWrap/>
            <w:vAlign w:val="center"/>
            <w:hideMark/>
          </w:tcPr>
          <w:p w14:paraId="77E2726D" w14:textId="77777777" w:rsidR="00D81C95" w:rsidRPr="00951AB1" w:rsidRDefault="00D81C95" w:rsidP="000A5389">
            <w:pPr>
              <w:spacing w:line="240" w:lineRule="auto"/>
              <w:rPr>
                <w:rFonts w:eastAsia="Times New Roman" w:cs="Times New Roman"/>
                <w:b/>
                <w:bCs/>
                <w:color w:val="000000"/>
                <w:sz w:val="16"/>
                <w:szCs w:val="16"/>
                <w:lang w:val="es-419" w:eastAsia="es-419"/>
              </w:rPr>
            </w:pPr>
            <w:r w:rsidRPr="00951AB1">
              <w:rPr>
                <w:rFonts w:eastAsia="Times New Roman" w:cs="Times New Roman"/>
                <w:b/>
                <w:bCs/>
                <w:color w:val="000000"/>
                <w:sz w:val="16"/>
                <w:szCs w:val="16"/>
                <w:lang w:val="es-419" w:eastAsia="es-419"/>
              </w:rPr>
              <w:t>1.6</w:t>
            </w:r>
          </w:p>
        </w:tc>
        <w:tc>
          <w:tcPr>
            <w:tcW w:w="371" w:type="dxa"/>
            <w:noWrap/>
            <w:vAlign w:val="center"/>
            <w:hideMark/>
          </w:tcPr>
          <w:p w14:paraId="454CC652" w14:textId="77777777" w:rsidR="00D81C95" w:rsidRPr="00951AB1" w:rsidRDefault="00D81C95" w:rsidP="000A5389">
            <w:pPr>
              <w:spacing w:line="240" w:lineRule="auto"/>
              <w:jc w:val="center"/>
              <w:rPr>
                <w:rFonts w:eastAsia="Times New Roman" w:cs="Times New Roman"/>
                <w:b/>
                <w:bCs/>
                <w:color w:val="000000"/>
                <w:sz w:val="16"/>
                <w:szCs w:val="16"/>
                <w:lang w:val="es-419" w:eastAsia="es-419"/>
              </w:rPr>
            </w:pPr>
            <w:r w:rsidRPr="00951AB1">
              <w:rPr>
                <w:rFonts w:eastAsia="Times New Roman" w:cs="Times New Roman"/>
                <w:b/>
                <w:bCs/>
                <w:color w:val="000000"/>
                <w:sz w:val="16"/>
                <w:szCs w:val="16"/>
                <w:lang w:val="es-419" w:eastAsia="es-419"/>
              </w:rPr>
              <w:t>Db</w:t>
            </w:r>
          </w:p>
        </w:tc>
        <w:tc>
          <w:tcPr>
            <w:tcW w:w="3314" w:type="dxa"/>
            <w:vAlign w:val="center"/>
            <w:hideMark/>
          </w:tcPr>
          <w:p w14:paraId="2D61020B" w14:textId="77777777" w:rsidR="00D81C95" w:rsidRPr="00951AB1" w:rsidRDefault="00D81C95" w:rsidP="000A5389">
            <w:pPr>
              <w:spacing w:line="240" w:lineRule="auto"/>
              <w:jc w:val="center"/>
              <w:rPr>
                <w:rFonts w:eastAsia="Times New Roman" w:cs="Times New Roman"/>
                <w:b/>
                <w:bCs/>
                <w:color w:val="000000"/>
                <w:sz w:val="16"/>
                <w:szCs w:val="16"/>
                <w:lang w:val="es-419" w:eastAsia="es-419"/>
              </w:rPr>
            </w:pPr>
            <w:r w:rsidRPr="00951AB1">
              <w:rPr>
                <w:rFonts w:eastAsia="Times New Roman" w:cs="Times New Roman"/>
                <w:b/>
                <w:bCs/>
                <w:color w:val="000000"/>
                <w:sz w:val="16"/>
                <w:szCs w:val="16"/>
                <w:lang w:val="es-419" w:eastAsia="es-419"/>
              </w:rPr>
              <w:t>PROPIEDADES, PLANTA Y EQUIPO EN CONCESIÓN</w:t>
            </w:r>
          </w:p>
        </w:tc>
        <w:tc>
          <w:tcPr>
            <w:tcW w:w="1560" w:type="dxa"/>
            <w:noWrap/>
            <w:vAlign w:val="center"/>
            <w:hideMark/>
          </w:tcPr>
          <w:p w14:paraId="7D983A0E" w14:textId="77777777" w:rsidR="00D81C95" w:rsidRPr="00951AB1" w:rsidRDefault="00D81C95" w:rsidP="000A5389">
            <w:pPr>
              <w:spacing w:line="240" w:lineRule="auto"/>
              <w:jc w:val="right"/>
              <w:rPr>
                <w:rFonts w:eastAsia="Times New Roman" w:cs="Times New Roman"/>
                <w:b/>
                <w:bCs/>
                <w:color w:val="000000"/>
                <w:sz w:val="16"/>
                <w:szCs w:val="16"/>
                <w:lang w:val="es-419" w:eastAsia="es-419"/>
              </w:rPr>
            </w:pPr>
            <w:r w:rsidRPr="00951AB1">
              <w:rPr>
                <w:rFonts w:eastAsia="Times New Roman" w:cs="Times New Roman"/>
                <w:b/>
                <w:bCs/>
                <w:color w:val="000000"/>
                <w:sz w:val="16"/>
                <w:szCs w:val="16"/>
                <w:lang w:val="es-419" w:eastAsia="es-419"/>
              </w:rPr>
              <w:t>3.280.625.430.585</w:t>
            </w:r>
          </w:p>
        </w:tc>
        <w:tc>
          <w:tcPr>
            <w:tcW w:w="1559" w:type="dxa"/>
            <w:noWrap/>
            <w:vAlign w:val="center"/>
            <w:hideMark/>
          </w:tcPr>
          <w:p w14:paraId="53F83806" w14:textId="77777777" w:rsidR="00D81C95" w:rsidRPr="00951AB1" w:rsidRDefault="00D81C95" w:rsidP="000A5389">
            <w:pPr>
              <w:spacing w:line="240" w:lineRule="auto"/>
              <w:jc w:val="right"/>
              <w:rPr>
                <w:rFonts w:eastAsia="Times New Roman" w:cs="Times New Roman"/>
                <w:b/>
                <w:bCs/>
                <w:color w:val="000000"/>
                <w:sz w:val="16"/>
                <w:szCs w:val="16"/>
                <w:lang w:val="es-419" w:eastAsia="es-419"/>
              </w:rPr>
            </w:pPr>
            <w:r w:rsidRPr="00951AB1">
              <w:rPr>
                <w:rFonts w:eastAsia="Times New Roman" w:cs="Times New Roman"/>
                <w:b/>
                <w:bCs/>
                <w:color w:val="000000"/>
                <w:sz w:val="16"/>
                <w:szCs w:val="16"/>
                <w:lang w:val="es-419" w:eastAsia="es-419"/>
              </w:rPr>
              <w:t>2.848.034.863.039</w:t>
            </w:r>
          </w:p>
        </w:tc>
        <w:tc>
          <w:tcPr>
            <w:tcW w:w="1417" w:type="dxa"/>
            <w:noWrap/>
            <w:vAlign w:val="center"/>
            <w:hideMark/>
          </w:tcPr>
          <w:p w14:paraId="748A31A4" w14:textId="77777777" w:rsidR="00D81C95" w:rsidRPr="00951AB1" w:rsidRDefault="00D81C95" w:rsidP="000A5389">
            <w:pPr>
              <w:spacing w:line="240" w:lineRule="auto"/>
              <w:jc w:val="right"/>
              <w:rPr>
                <w:rFonts w:eastAsia="Times New Roman" w:cs="Times New Roman"/>
                <w:b/>
                <w:bCs/>
                <w:color w:val="000000"/>
                <w:sz w:val="16"/>
                <w:szCs w:val="16"/>
                <w:lang w:val="es-419" w:eastAsia="es-419"/>
              </w:rPr>
            </w:pPr>
            <w:r w:rsidRPr="00951AB1">
              <w:rPr>
                <w:rFonts w:eastAsia="Times New Roman" w:cs="Times New Roman"/>
                <w:b/>
                <w:bCs/>
                <w:color w:val="000000"/>
                <w:sz w:val="16"/>
                <w:szCs w:val="16"/>
                <w:lang w:val="es-419" w:eastAsia="es-419"/>
              </w:rPr>
              <w:t>432.590.567.547</w:t>
            </w:r>
          </w:p>
        </w:tc>
      </w:tr>
      <w:tr w:rsidR="00D81C95" w:rsidRPr="00951AB1" w14:paraId="0CFEF9BE" w14:textId="77777777" w:rsidTr="00CC596B">
        <w:trPr>
          <w:trHeight w:val="280"/>
        </w:trPr>
        <w:tc>
          <w:tcPr>
            <w:tcW w:w="851" w:type="dxa"/>
            <w:noWrap/>
            <w:vAlign w:val="center"/>
            <w:hideMark/>
          </w:tcPr>
          <w:p w14:paraId="20C99069" w14:textId="77777777" w:rsidR="00D81C95" w:rsidRPr="00951AB1" w:rsidRDefault="00D81C95" w:rsidP="000A5389">
            <w:pPr>
              <w:spacing w:line="240" w:lineRule="auto"/>
              <w:rPr>
                <w:rFonts w:eastAsia="Times New Roman" w:cs="Times New Roman"/>
                <w:color w:val="000000"/>
                <w:sz w:val="16"/>
                <w:szCs w:val="16"/>
                <w:lang w:val="es-419" w:eastAsia="es-419"/>
              </w:rPr>
            </w:pPr>
            <w:r w:rsidRPr="00951AB1">
              <w:rPr>
                <w:rFonts w:eastAsia="Times New Roman" w:cs="Times New Roman"/>
                <w:color w:val="000000"/>
                <w:sz w:val="16"/>
                <w:szCs w:val="16"/>
                <w:lang w:val="es-419" w:eastAsia="es-419"/>
              </w:rPr>
              <w:t>1.6.83.09</w:t>
            </w:r>
          </w:p>
        </w:tc>
        <w:tc>
          <w:tcPr>
            <w:tcW w:w="371" w:type="dxa"/>
            <w:noWrap/>
            <w:vAlign w:val="center"/>
            <w:hideMark/>
          </w:tcPr>
          <w:p w14:paraId="6FB5C11E" w14:textId="77777777" w:rsidR="00D81C95" w:rsidRPr="00951AB1" w:rsidRDefault="00D81C95" w:rsidP="000A5389">
            <w:pPr>
              <w:spacing w:line="240" w:lineRule="auto"/>
              <w:jc w:val="center"/>
              <w:rPr>
                <w:rFonts w:eastAsia="Times New Roman" w:cs="Times New Roman"/>
                <w:color w:val="000000"/>
                <w:sz w:val="16"/>
                <w:szCs w:val="16"/>
                <w:lang w:val="es-419" w:eastAsia="es-419"/>
              </w:rPr>
            </w:pPr>
            <w:r w:rsidRPr="00951AB1">
              <w:rPr>
                <w:rFonts w:eastAsia="Times New Roman" w:cs="Times New Roman"/>
                <w:color w:val="000000"/>
                <w:sz w:val="16"/>
                <w:szCs w:val="16"/>
                <w:lang w:val="es-419" w:eastAsia="es-419"/>
              </w:rPr>
              <w:t>Db</w:t>
            </w:r>
          </w:p>
        </w:tc>
        <w:tc>
          <w:tcPr>
            <w:tcW w:w="3314" w:type="dxa"/>
            <w:vAlign w:val="center"/>
            <w:hideMark/>
          </w:tcPr>
          <w:p w14:paraId="2ABE85D9" w14:textId="77777777" w:rsidR="00D81C95" w:rsidRPr="00951AB1" w:rsidRDefault="00D81C95" w:rsidP="000A5389">
            <w:pPr>
              <w:spacing w:line="240" w:lineRule="auto"/>
              <w:rPr>
                <w:rFonts w:eastAsia="Times New Roman" w:cs="Times New Roman"/>
                <w:color w:val="000000"/>
                <w:sz w:val="16"/>
                <w:szCs w:val="16"/>
                <w:lang w:val="es-419" w:eastAsia="es-419"/>
              </w:rPr>
            </w:pPr>
            <w:r w:rsidRPr="00951AB1">
              <w:rPr>
                <w:rFonts w:eastAsia="Times New Roman" w:cs="Times New Roman"/>
                <w:color w:val="000000"/>
                <w:sz w:val="16"/>
                <w:szCs w:val="16"/>
                <w:lang w:val="es-419" w:eastAsia="es-419"/>
              </w:rPr>
              <w:t>Equipos de transporte, tracción y elevación</w:t>
            </w:r>
          </w:p>
        </w:tc>
        <w:tc>
          <w:tcPr>
            <w:tcW w:w="1560" w:type="dxa"/>
            <w:noWrap/>
            <w:vAlign w:val="center"/>
            <w:hideMark/>
          </w:tcPr>
          <w:p w14:paraId="6A21A9AD" w14:textId="77777777" w:rsidR="00D81C95" w:rsidRPr="00951AB1" w:rsidRDefault="00D81C95" w:rsidP="000A5389">
            <w:pPr>
              <w:spacing w:line="240" w:lineRule="auto"/>
              <w:jc w:val="right"/>
              <w:rPr>
                <w:rFonts w:eastAsia="Times New Roman" w:cs="Times New Roman"/>
                <w:color w:val="000000"/>
                <w:sz w:val="16"/>
                <w:szCs w:val="16"/>
                <w:lang w:val="es-419" w:eastAsia="es-419"/>
              </w:rPr>
            </w:pPr>
            <w:r w:rsidRPr="00951AB1">
              <w:rPr>
                <w:rFonts w:eastAsia="Times New Roman" w:cs="Times New Roman"/>
                <w:color w:val="000000"/>
                <w:sz w:val="16"/>
                <w:szCs w:val="16"/>
                <w:lang w:val="es-419" w:eastAsia="es-419"/>
              </w:rPr>
              <w:t>2.053.486.095.457</w:t>
            </w:r>
          </w:p>
        </w:tc>
        <w:tc>
          <w:tcPr>
            <w:tcW w:w="1559" w:type="dxa"/>
            <w:noWrap/>
            <w:vAlign w:val="center"/>
            <w:hideMark/>
          </w:tcPr>
          <w:p w14:paraId="28773581" w14:textId="77777777" w:rsidR="00D81C95" w:rsidRPr="00951AB1" w:rsidRDefault="00D81C95" w:rsidP="000A5389">
            <w:pPr>
              <w:spacing w:line="240" w:lineRule="auto"/>
              <w:jc w:val="right"/>
              <w:rPr>
                <w:rFonts w:eastAsia="Times New Roman" w:cs="Times New Roman"/>
                <w:color w:val="000000"/>
                <w:sz w:val="16"/>
                <w:szCs w:val="16"/>
                <w:lang w:val="es-419" w:eastAsia="es-419"/>
              </w:rPr>
            </w:pPr>
            <w:r w:rsidRPr="00951AB1">
              <w:rPr>
                <w:rFonts w:eastAsia="Times New Roman" w:cs="Times New Roman"/>
                <w:color w:val="000000"/>
                <w:sz w:val="16"/>
                <w:szCs w:val="16"/>
                <w:lang w:val="es-419" w:eastAsia="es-419"/>
              </w:rPr>
              <w:t>1.705.417.841.108</w:t>
            </w:r>
          </w:p>
        </w:tc>
        <w:tc>
          <w:tcPr>
            <w:tcW w:w="1417" w:type="dxa"/>
            <w:noWrap/>
            <w:vAlign w:val="center"/>
            <w:hideMark/>
          </w:tcPr>
          <w:p w14:paraId="004C5FAC" w14:textId="77777777" w:rsidR="00D81C95" w:rsidRPr="00951AB1" w:rsidRDefault="00D81C95" w:rsidP="000A5389">
            <w:pPr>
              <w:spacing w:line="240" w:lineRule="auto"/>
              <w:jc w:val="right"/>
              <w:rPr>
                <w:rFonts w:eastAsia="Times New Roman" w:cs="Times New Roman"/>
                <w:color w:val="000000"/>
                <w:sz w:val="16"/>
                <w:szCs w:val="16"/>
                <w:lang w:val="es-419" w:eastAsia="es-419"/>
              </w:rPr>
            </w:pPr>
            <w:r w:rsidRPr="00951AB1">
              <w:rPr>
                <w:rFonts w:eastAsia="Times New Roman" w:cs="Times New Roman"/>
                <w:color w:val="000000"/>
                <w:sz w:val="16"/>
                <w:szCs w:val="16"/>
                <w:lang w:val="es-419" w:eastAsia="es-419"/>
              </w:rPr>
              <w:t>348.068.254.349</w:t>
            </w:r>
          </w:p>
        </w:tc>
      </w:tr>
      <w:tr w:rsidR="00D81C95" w:rsidRPr="00951AB1" w14:paraId="231C2463" w14:textId="77777777" w:rsidTr="00CC596B">
        <w:trPr>
          <w:trHeight w:val="280"/>
        </w:trPr>
        <w:tc>
          <w:tcPr>
            <w:tcW w:w="851" w:type="dxa"/>
            <w:noWrap/>
            <w:vAlign w:val="center"/>
            <w:hideMark/>
          </w:tcPr>
          <w:p w14:paraId="2CBFA09A" w14:textId="77777777" w:rsidR="00D81C95" w:rsidRPr="00951AB1" w:rsidRDefault="00D81C95" w:rsidP="000A5389">
            <w:pPr>
              <w:spacing w:line="240" w:lineRule="auto"/>
              <w:rPr>
                <w:rFonts w:eastAsia="Times New Roman" w:cs="Times New Roman"/>
                <w:color w:val="000000"/>
                <w:sz w:val="16"/>
                <w:szCs w:val="16"/>
                <w:lang w:val="es-419" w:eastAsia="es-419"/>
              </w:rPr>
            </w:pPr>
            <w:r w:rsidRPr="00951AB1">
              <w:rPr>
                <w:rFonts w:eastAsia="Times New Roman" w:cs="Times New Roman"/>
                <w:color w:val="000000"/>
                <w:sz w:val="16"/>
                <w:szCs w:val="16"/>
                <w:lang w:val="es-419" w:eastAsia="es-419"/>
              </w:rPr>
              <w:t>1.6.83.05</w:t>
            </w:r>
          </w:p>
        </w:tc>
        <w:tc>
          <w:tcPr>
            <w:tcW w:w="371" w:type="dxa"/>
            <w:noWrap/>
            <w:vAlign w:val="center"/>
            <w:hideMark/>
          </w:tcPr>
          <w:p w14:paraId="4E810D1A" w14:textId="77777777" w:rsidR="00D81C95" w:rsidRPr="00951AB1" w:rsidRDefault="00D81C95" w:rsidP="000A5389">
            <w:pPr>
              <w:spacing w:line="240" w:lineRule="auto"/>
              <w:jc w:val="center"/>
              <w:rPr>
                <w:rFonts w:eastAsia="Times New Roman" w:cs="Times New Roman"/>
                <w:color w:val="000000"/>
                <w:sz w:val="16"/>
                <w:szCs w:val="16"/>
                <w:lang w:val="es-419" w:eastAsia="es-419"/>
              </w:rPr>
            </w:pPr>
            <w:r w:rsidRPr="00951AB1">
              <w:rPr>
                <w:rFonts w:eastAsia="Times New Roman" w:cs="Times New Roman"/>
                <w:color w:val="000000"/>
                <w:sz w:val="16"/>
                <w:szCs w:val="16"/>
                <w:lang w:val="es-419" w:eastAsia="es-419"/>
              </w:rPr>
              <w:t>Db</w:t>
            </w:r>
          </w:p>
        </w:tc>
        <w:tc>
          <w:tcPr>
            <w:tcW w:w="3314" w:type="dxa"/>
            <w:vAlign w:val="center"/>
            <w:hideMark/>
          </w:tcPr>
          <w:p w14:paraId="47E06EE1" w14:textId="77777777" w:rsidR="00D81C95" w:rsidRPr="00951AB1" w:rsidRDefault="00D81C95" w:rsidP="000A5389">
            <w:pPr>
              <w:spacing w:line="240" w:lineRule="auto"/>
              <w:rPr>
                <w:rFonts w:eastAsia="Times New Roman" w:cs="Times New Roman"/>
                <w:color w:val="000000"/>
                <w:sz w:val="16"/>
                <w:szCs w:val="16"/>
                <w:lang w:val="es-419" w:eastAsia="es-419"/>
              </w:rPr>
            </w:pPr>
            <w:r w:rsidRPr="00951AB1">
              <w:rPr>
                <w:rFonts w:eastAsia="Times New Roman" w:cs="Times New Roman"/>
                <w:color w:val="000000"/>
                <w:sz w:val="16"/>
                <w:szCs w:val="16"/>
                <w:lang w:val="es-419" w:eastAsia="es-419"/>
              </w:rPr>
              <w:t>Maquinaria y equipo</w:t>
            </w:r>
          </w:p>
        </w:tc>
        <w:tc>
          <w:tcPr>
            <w:tcW w:w="1560" w:type="dxa"/>
            <w:noWrap/>
            <w:vAlign w:val="center"/>
            <w:hideMark/>
          </w:tcPr>
          <w:p w14:paraId="080A9A63" w14:textId="77777777" w:rsidR="00D81C95" w:rsidRPr="00951AB1" w:rsidRDefault="00D81C95" w:rsidP="000A5389">
            <w:pPr>
              <w:spacing w:line="240" w:lineRule="auto"/>
              <w:jc w:val="right"/>
              <w:rPr>
                <w:rFonts w:eastAsia="Times New Roman" w:cs="Times New Roman"/>
                <w:color w:val="000000"/>
                <w:sz w:val="16"/>
                <w:szCs w:val="16"/>
                <w:lang w:val="es-419" w:eastAsia="es-419"/>
              </w:rPr>
            </w:pPr>
            <w:r w:rsidRPr="00951AB1">
              <w:rPr>
                <w:rFonts w:eastAsia="Times New Roman" w:cs="Times New Roman"/>
                <w:color w:val="000000"/>
                <w:sz w:val="16"/>
                <w:szCs w:val="16"/>
                <w:lang w:val="es-419" w:eastAsia="es-419"/>
              </w:rPr>
              <w:t>1.053.523.208.973</w:t>
            </w:r>
          </w:p>
        </w:tc>
        <w:tc>
          <w:tcPr>
            <w:tcW w:w="1559" w:type="dxa"/>
            <w:noWrap/>
            <w:vAlign w:val="center"/>
            <w:hideMark/>
          </w:tcPr>
          <w:p w14:paraId="19D189FB" w14:textId="77777777" w:rsidR="00D81C95" w:rsidRPr="00951AB1" w:rsidRDefault="00D81C95" w:rsidP="000A5389">
            <w:pPr>
              <w:spacing w:line="240" w:lineRule="auto"/>
              <w:jc w:val="right"/>
              <w:rPr>
                <w:rFonts w:eastAsia="Times New Roman" w:cs="Times New Roman"/>
                <w:color w:val="000000"/>
                <w:sz w:val="16"/>
                <w:szCs w:val="16"/>
                <w:lang w:val="es-419" w:eastAsia="es-419"/>
              </w:rPr>
            </w:pPr>
            <w:r w:rsidRPr="00951AB1">
              <w:rPr>
                <w:rFonts w:eastAsia="Times New Roman" w:cs="Times New Roman"/>
                <w:color w:val="000000"/>
                <w:sz w:val="16"/>
                <w:szCs w:val="16"/>
                <w:lang w:val="es-419" w:eastAsia="es-419"/>
              </w:rPr>
              <w:t>990.742.647.354</w:t>
            </w:r>
          </w:p>
        </w:tc>
        <w:tc>
          <w:tcPr>
            <w:tcW w:w="1417" w:type="dxa"/>
            <w:noWrap/>
            <w:vAlign w:val="center"/>
            <w:hideMark/>
          </w:tcPr>
          <w:p w14:paraId="16A716A3" w14:textId="77777777" w:rsidR="00D81C95" w:rsidRPr="00951AB1" w:rsidRDefault="00D81C95" w:rsidP="000A5389">
            <w:pPr>
              <w:spacing w:line="240" w:lineRule="auto"/>
              <w:jc w:val="right"/>
              <w:rPr>
                <w:rFonts w:eastAsia="Times New Roman" w:cs="Times New Roman"/>
                <w:color w:val="000000"/>
                <w:sz w:val="16"/>
                <w:szCs w:val="16"/>
                <w:lang w:val="es-419" w:eastAsia="es-419"/>
              </w:rPr>
            </w:pPr>
            <w:r w:rsidRPr="00951AB1">
              <w:rPr>
                <w:rFonts w:eastAsia="Times New Roman" w:cs="Times New Roman"/>
                <w:color w:val="000000"/>
                <w:sz w:val="16"/>
                <w:szCs w:val="16"/>
                <w:lang w:val="es-419" w:eastAsia="es-419"/>
              </w:rPr>
              <w:t>62.780.561.619</w:t>
            </w:r>
          </w:p>
        </w:tc>
      </w:tr>
      <w:tr w:rsidR="00D81C95" w:rsidRPr="00951AB1" w14:paraId="62DEA714" w14:textId="77777777" w:rsidTr="00CC596B">
        <w:trPr>
          <w:trHeight w:val="280"/>
        </w:trPr>
        <w:tc>
          <w:tcPr>
            <w:tcW w:w="851" w:type="dxa"/>
            <w:noWrap/>
            <w:vAlign w:val="center"/>
            <w:hideMark/>
          </w:tcPr>
          <w:p w14:paraId="09ACB426" w14:textId="77777777" w:rsidR="00D81C95" w:rsidRPr="00951AB1" w:rsidRDefault="00D81C95" w:rsidP="000A5389">
            <w:pPr>
              <w:spacing w:line="240" w:lineRule="auto"/>
              <w:rPr>
                <w:rFonts w:eastAsia="Times New Roman" w:cs="Times New Roman"/>
                <w:color w:val="000000"/>
                <w:sz w:val="16"/>
                <w:szCs w:val="16"/>
                <w:lang w:val="es-419" w:eastAsia="es-419"/>
              </w:rPr>
            </w:pPr>
            <w:r w:rsidRPr="00951AB1">
              <w:rPr>
                <w:rFonts w:eastAsia="Times New Roman" w:cs="Times New Roman"/>
                <w:color w:val="000000"/>
                <w:sz w:val="16"/>
                <w:szCs w:val="16"/>
                <w:lang w:val="es-419" w:eastAsia="es-419"/>
              </w:rPr>
              <w:t>1.6.83.08</w:t>
            </w:r>
          </w:p>
        </w:tc>
        <w:tc>
          <w:tcPr>
            <w:tcW w:w="371" w:type="dxa"/>
            <w:noWrap/>
            <w:vAlign w:val="center"/>
            <w:hideMark/>
          </w:tcPr>
          <w:p w14:paraId="4187C28A" w14:textId="77777777" w:rsidR="00D81C95" w:rsidRPr="00951AB1" w:rsidRDefault="00D81C95" w:rsidP="000A5389">
            <w:pPr>
              <w:spacing w:line="240" w:lineRule="auto"/>
              <w:jc w:val="center"/>
              <w:rPr>
                <w:rFonts w:eastAsia="Times New Roman" w:cs="Times New Roman"/>
                <w:color w:val="000000"/>
                <w:sz w:val="16"/>
                <w:szCs w:val="16"/>
                <w:lang w:val="es-419" w:eastAsia="es-419"/>
              </w:rPr>
            </w:pPr>
            <w:r w:rsidRPr="00951AB1">
              <w:rPr>
                <w:rFonts w:eastAsia="Times New Roman" w:cs="Times New Roman"/>
                <w:color w:val="000000"/>
                <w:sz w:val="16"/>
                <w:szCs w:val="16"/>
                <w:lang w:val="es-419" w:eastAsia="es-419"/>
              </w:rPr>
              <w:t>Db</w:t>
            </w:r>
          </w:p>
        </w:tc>
        <w:tc>
          <w:tcPr>
            <w:tcW w:w="3314" w:type="dxa"/>
            <w:vAlign w:val="center"/>
            <w:hideMark/>
          </w:tcPr>
          <w:p w14:paraId="103EEC78" w14:textId="77777777" w:rsidR="00D81C95" w:rsidRPr="00951AB1" w:rsidRDefault="00D81C95" w:rsidP="000A5389">
            <w:pPr>
              <w:spacing w:line="240" w:lineRule="auto"/>
              <w:rPr>
                <w:rFonts w:eastAsia="Times New Roman" w:cs="Times New Roman"/>
                <w:color w:val="000000"/>
                <w:sz w:val="16"/>
                <w:szCs w:val="16"/>
                <w:lang w:val="es-419" w:eastAsia="es-419"/>
              </w:rPr>
            </w:pPr>
            <w:r w:rsidRPr="00951AB1">
              <w:rPr>
                <w:rFonts w:eastAsia="Times New Roman" w:cs="Times New Roman"/>
                <w:color w:val="000000"/>
                <w:sz w:val="16"/>
                <w:szCs w:val="16"/>
                <w:lang w:val="es-419" w:eastAsia="es-419"/>
              </w:rPr>
              <w:t>Equipos de comunicación y computación</w:t>
            </w:r>
          </w:p>
        </w:tc>
        <w:tc>
          <w:tcPr>
            <w:tcW w:w="1560" w:type="dxa"/>
            <w:noWrap/>
            <w:vAlign w:val="center"/>
            <w:hideMark/>
          </w:tcPr>
          <w:p w14:paraId="5902843F" w14:textId="77777777" w:rsidR="00D81C95" w:rsidRPr="00951AB1" w:rsidRDefault="00D81C95" w:rsidP="000A5389">
            <w:pPr>
              <w:spacing w:line="240" w:lineRule="auto"/>
              <w:jc w:val="right"/>
              <w:rPr>
                <w:rFonts w:eastAsia="Times New Roman" w:cs="Times New Roman"/>
                <w:color w:val="000000"/>
                <w:sz w:val="16"/>
                <w:szCs w:val="16"/>
                <w:lang w:val="es-419" w:eastAsia="es-419"/>
              </w:rPr>
            </w:pPr>
            <w:r w:rsidRPr="00951AB1">
              <w:rPr>
                <w:rFonts w:eastAsia="Times New Roman" w:cs="Times New Roman"/>
                <w:color w:val="000000"/>
                <w:sz w:val="16"/>
                <w:szCs w:val="16"/>
                <w:lang w:val="es-419" w:eastAsia="es-419"/>
              </w:rPr>
              <w:t>117.553.076.843</w:t>
            </w:r>
          </w:p>
        </w:tc>
        <w:tc>
          <w:tcPr>
            <w:tcW w:w="1559" w:type="dxa"/>
            <w:noWrap/>
            <w:vAlign w:val="center"/>
            <w:hideMark/>
          </w:tcPr>
          <w:p w14:paraId="509837C2" w14:textId="77777777" w:rsidR="00D81C95" w:rsidRPr="00951AB1" w:rsidRDefault="00D81C95" w:rsidP="000A5389">
            <w:pPr>
              <w:spacing w:line="240" w:lineRule="auto"/>
              <w:jc w:val="right"/>
              <w:rPr>
                <w:rFonts w:eastAsia="Times New Roman" w:cs="Times New Roman"/>
                <w:color w:val="000000"/>
                <w:sz w:val="16"/>
                <w:szCs w:val="16"/>
                <w:lang w:val="es-419" w:eastAsia="es-419"/>
              </w:rPr>
            </w:pPr>
            <w:r w:rsidRPr="00951AB1">
              <w:rPr>
                <w:rFonts w:eastAsia="Times New Roman" w:cs="Times New Roman"/>
                <w:color w:val="000000"/>
                <w:sz w:val="16"/>
                <w:szCs w:val="16"/>
                <w:lang w:val="es-419" w:eastAsia="es-419"/>
              </w:rPr>
              <w:t>97.962.417.541</w:t>
            </w:r>
          </w:p>
        </w:tc>
        <w:tc>
          <w:tcPr>
            <w:tcW w:w="1417" w:type="dxa"/>
            <w:noWrap/>
            <w:vAlign w:val="center"/>
            <w:hideMark/>
          </w:tcPr>
          <w:p w14:paraId="7A9FE344" w14:textId="77777777" w:rsidR="00D81C95" w:rsidRPr="00951AB1" w:rsidRDefault="00D81C95" w:rsidP="000A5389">
            <w:pPr>
              <w:spacing w:line="240" w:lineRule="auto"/>
              <w:jc w:val="right"/>
              <w:rPr>
                <w:rFonts w:eastAsia="Times New Roman" w:cs="Times New Roman"/>
                <w:color w:val="000000"/>
                <w:sz w:val="16"/>
                <w:szCs w:val="16"/>
                <w:lang w:val="es-419" w:eastAsia="es-419"/>
              </w:rPr>
            </w:pPr>
            <w:r w:rsidRPr="00951AB1">
              <w:rPr>
                <w:rFonts w:eastAsia="Times New Roman" w:cs="Times New Roman"/>
                <w:color w:val="000000"/>
                <w:sz w:val="16"/>
                <w:szCs w:val="16"/>
                <w:lang w:val="es-419" w:eastAsia="es-419"/>
              </w:rPr>
              <w:t>19.590.659.302</w:t>
            </w:r>
          </w:p>
        </w:tc>
      </w:tr>
      <w:tr w:rsidR="00D81C95" w:rsidRPr="00951AB1" w14:paraId="0E581D49" w14:textId="77777777" w:rsidTr="00CC596B">
        <w:trPr>
          <w:trHeight w:val="280"/>
        </w:trPr>
        <w:tc>
          <w:tcPr>
            <w:tcW w:w="851" w:type="dxa"/>
            <w:noWrap/>
            <w:vAlign w:val="center"/>
            <w:hideMark/>
          </w:tcPr>
          <w:p w14:paraId="12BCA261" w14:textId="77777777" w:rsidR="00D81C95" w:rsidRPr="00951AB1" w:rsidRDefault="00D81C95" w:rsidP="000A5389">
            <w:pPr>
              <w:spacing w:line="240" w:lineRule="auto"/>
              <w:rPr>
                <w:rFonts w:eastAsia="Times New Roman" w:cs="Times New Roman"/>
                <w:color w:val="000000"/>
                <w:sz w:val="16"/>
                <w:szCs w:val="16"/>
                <w:lang w:val="es-419" w:eastAsia="es-419"/>
              </w:rPr>
            </w:pPr>
            <w:r w:rsidRPr="00951AB1">
              <w:rPr>
                <w:rFonts w:eastAsia="Times New Roman" w:cs="Times New Roman"/>
                <w:color w:val="000000"/>
                <w:sz w:val="16"/>
                <w:szCs w:val="16"/>
                <w:lang w:val="es-419" w:eastAsia="es-419"/>
              </w:rPr>
              <w:t>1.6.83.04</w:t>
            </w:r>
          </w:p>
        </w:tc>
        <w:tc>
          <w:tcPr>
            <w:tcW w:w="371" w:type="dxa"/>
            <w:noWrap/>
            <w:vAlign w:val="center"/>
            <w:hideMark/>
          </w:tcPr>
          <w:p w14:paraId="69AE1D3B" w14:textId="77777777" w:rsidR="00D81C95" w:rsidRPr="00951AB1" w:rsidRDefault="00D81C95" w:rsidP="000A5389">
            <w:pPr>
              <w:spacing w:line="240" w:lineRule="auto"/>
              <w:jc w:val="center"/>
              <w:rPr>
                <w:rFonts w:eastAsia="Times New Roman" w:cs="Times New Roman"/>
                <w:color w:val="000000"/>
                <w:sz w:val="16"/>
                <w:szCs w:val="16"/>
                <w:lang w:val="es-419" w:eastAsia="es-419"/>
              </w:rPr>
            </w:pPr>
            <w:r w:rsidRPr="00951AB1">
              <w:rPr>
                <w:rFonts w:eastAsia="Times New Roman" w:cs="Times New Roman"/>
                <w:color w:val="000000"/>
                <w:sz w:val="16"/>
                <w:szCs w:val="16"/>
                <w:lang w:val="es-419" w:eastAsia="es-419"/>
              </w:rPr>
              <w:t>Db</w:t>
            </w:r>
          </w:p>
        </w:tc>
        <w:tc>
          <w:tcPr>
            <w:tcW w:w="3314" w:type="dxa"/>
            <w:vAlign w:val="center"/>
            <w:hideMark/>
          </w:tcPr>
          <w:p w14:paraId="57A450E6" w14:textId="77777777" w:rsidR="00D81C95" w:rsidRPr="00951AB1" w:rsidRDefault="00D81C95" w:rsidP="000A5389">
            <w:pPr>
              <w:spacing w:line="240" w:lineRule="auto"/>
              <w:rPr>
                <w:rFonts w:eastAsia="Times New Roman" w:cs="Times New Roman"/>
                <w:color w:val="000000"/>
                <w:sz w:val="16"/>
                <w:szCs w:val="16"/>
                <w:lang w:val="es-419" w:eastAsia="es-419"/>
              </w:rPr>
            </w:pPr>
            <w:r w:rsidRPr="00951AB1">
              <w:rPr>
                <w:rFonts w:eastAsia="Times New Roman" w:cs="Times New Roman"/>
                <w:color w:val="000000"/>
                <w:sz w:val="16"/>
                <w:szCs w:val="16"/>
                <w:lang w:val="es-419" w:eastAsia="es-419"/>
              </w:rPr>
              <w:t>Redes, líneas y cables</w:t>
            </w:r>
          </w:p>
        </w:tc>
        <w:tc>
          <w:tcPr>
            <w:tcW w:w="1560" w:type="dxa"/>
            <w:noWrap/>
            <w:vAlign w:val="center"/>
            <w:hideMark/>
          </w:tcPr>
          <w:p w14:paraId="55C07A0B" w14:textId="77777777" w:rsidR="00D81C95" w:rsidRPr="00951AB1" w:rsidRDefault="00D81C95" w:rsidP="000A5389">
            <w:pPr>
              <w:spacing w:line="240" w:lineRule="auto"/>
              <w:jc w:val="right"/>
              <w:rPr>
                <w:rFonts w:eastAsia="Times New Roman" w:cs="Times New Roman"/>
                <w:color w:val="000000"/>
                <w:sz w:val="16"/>
                <w:szCs w:val="16"/>
                <w:lang w:val="es-419" w:eastAsia="es-419"/>
              </w:rPr>
            </w:pPr>
            <w:r w:rsidRPr="00951AB1">
              <w:rPr>
                <w:rFonts w:eastAsia="Times New Roman" w:cs="Times New Roman"/>
                <w:color w:val="000000"/>
                <w:sz w:val="16"/>
                <w:szCs w:val="16"/>
                <w:lang w:val="es-419" w:eastAsia="es-419"/>
              </w:rPr>
              <w:t>29.959.698.927</w:t>
            </w:r>
          </w:p>
        </w:tc>
        <w:tc>
          <w:tcPr>
            <w:tcW w:w="1559" w:type="dxa"/>
            <w:noWrap/>
            <w:vAlign w:val="center"/>
            <w:hideMark/>
          </w:tcPr>
          <w:p w14:paraId="5416E6D0" w14:textId="77777777" w:rsidR="00D81C95" w:rsidRPr="00951AB1" w:rsidRDefault="00D81C95" w:rsidP="000A5389">
            <w:pPr>
              <w:spacing w:line="240" w:lineRule="auto"/>
              <w:jc w:val="right"/>
              <w:rPr>
                <w:rFonts w:eastAsia="Times New Roman" w:cs="Times New Roman"/>
                <w:color w:val="000000"/>
                <w:sz w:val="16"/>
                <w:szCs w:val="16"/>
                <w:lang w:val="es-419" w:eastAsia="es-419"/>
              </w:rPr>
            </w:pPr>
            <w:r w:rsidRPr="00951AB1">
              <w:rPr>
                <w:rFonts w:eastAsia="Times New Roman" w:cs="Times New Roman"/>
                <w:color w:val="000000"/>
                <w:sz w:val="16"/>
                <w:szCs w:val="16"/>
                <w:lang w:val="es-419" w:eastAsia="es-419"/>
              </w:rPr>
              <w:t>25.961.381.793</w:t>
            </w:r>
          </w:p>
        </w:tc>
        <w:tc>
          <w:tcPr>
            <w:tcW w:w="1417" w:type="dxa"/>
            <w:noWrap/>
            <w:vAlign w:val="center"/>
            <w:hideMark/>
          </w:tcPr>
          <w:p w14:paraId="0DA1AC35" w14:textId="77777777" w:rsidR="00D81C95" w:rsidRPr="00951AB1" w:rsidRDefault="00D81C95" w:rsidP="000A5389">
            <w:pPr>
              <w:spacing w:line="240" w:lineRule="auto"/>
              <w:jc w:val="right"/>
              <w:rPr>
                <w:rFonts w:eastAsia="Times New Roman" w:cs="Times New Roman"/>
                <w:color w:val="000000"/>
                <w:sz w:val="16"/>
                <w:szCs w:val="16"/>
                <w:lang w:val="es-419" w:eastAsia="es-419"/>
              </w:rPr>
            </w:pPr>
            <w:r w:rsidRPr="00951AB1">
              <w:rPr>
                <w:rFonts w:eastAsia="Times New Roman" w:cs="Times New Roman"/>
                <w:color w:val="000000"/>
                <w:sz w:val="16"/>
                <w:szCs w:val="16"/>
                <w:lang w:val="es-419" w:eastAsia="es-419"/>
              </w:rPr>
              <w:t>3.998.317.133</w:t>
            </w:r>
          </w:p>
        </w:tc>
      </w:tr>
      <w:tr w:rsidR="00D81C95" w:rsidRPr="00951AB1" w14:paraId="138C1FB1" w14:textId="77777777" w:rsidTr="00CC596B">
        <w:trPr>
          <w:trHeight w:val="280"/>
        </w:trPr>
        <w:tc>
          <w:tcPr>
            <w:tcW w:w="851" w:type="dxa"/>
            <w:noWrap/>
            <w:vAlign w:val="center"/>
            <w:hideMark/>
          </w:tcPr>
          <w:p w14:paraId="65683D8D" w14:textId="77777777" w:rsidR="00D81C95" w:rsidRPr="00951AB1" w:rsidRDefault="00D81C95" w:rsidP="000A5389">
            <w:pPr>
              <w:spacing w:line="240" w:lineRule="auto"/>
              <w:rPr>
                <w:rFonts w:eastAsia="Times New Roman" w:cs="Times New Roman"/>
                <w:color w:val="000000"/>
                <w:sz w:val="16"/>
                <w:szCs w:val="16"/>
                <w:lang w:val="es-419" w:eastAsia="es-419"/>
              </w:rPr>
            </w:pPr>
            <w:r w:rsidRPr="00951AB1">
              <w:rPr>
                <w:rFonts w:eastAsia="Times New Roman" w:cs="Times New Roman"/>
                <w:color w:val="000000"/>
                <w:sz w:val="16"/>
                <w:szCs w:val="16"/>
                <w:lang w:val="es-419" w:eastAsia="es-419"/>
              </w:rPr>
              <w:t>1.6.83.07</w:t>
            </w:r>
          </w:p>
        </w:tc>
        <w:tc>
          <w:tcPr>
            <w:tcW w:w="371" w:type="dxa"/>
            <w:noWrap/>
            <w:vAlign w:val="center"/>
            <w:hideMark/>
          </w:tcPr>
          <w:p w14:paraId="6B0E47BA" w14:textId="77777777" w:rsidR="00D81C95" w:rsidRPr="00951AB1" w:rsidRDefault="00D81C95" w:rsidP="000A5389">
            <w:pPr>
              <w:spacing w:line="240" w:lineRule="auto"/>
              <w:jc w:val="center"/>
              <w:rPr>
                <w:rFonts w:eastAsia="Times New Roman" w:cs="Times New Roman"/>
                <w:color w:val="000000"/>
                <w:sz w:val="16"/>
                <w:szCs w:val="16"/>
                <w:lang w:val="es-419" w:eastAsia="es-419"/>
              </w:rPr>
            </w:pPr>
            <w:r w:rsidRPr="00951AB1">
              <w:rPr>
                <w:rFonts w:eastAsia="Times New Roman" w:cs="Times New Roman"/>
                <w:color w:val="000000"/>
                <w:sz w:val="16"/>
                <w:szCs w:val="16"/>
                <w:lang w:val="es-419" w:eastAsia="es-419"/>
              </w:rPr>
              <w:t>Db</w:t>
            </w:r>
          </w:p>
        </w:tc>
        <w:tc>
          <w:tcPr>
            <w:tcW w:w="3314" w:type="dxa"/>
            <w:vAlign w:val="center"/>
            <w:hideMark/>
          </w:tcPr>
          <w:p w14:paraId="1DE28DED" w14:textId="77777777" w:rsidR="00D81C95" w:rsidRPr="00951AB1" w:rsidRDefault="00D81C95" w:rsidP="000A5389">
            <w:pPr>
              <w:spacing w:line="240" w:lineRule="auto"/>
              <w:rPr>
                <w:rFonts w:eastAsia="Times New Roman" w:cs="Times New Roman"/>
                <w:color w:val="000000"/>
                <w:sz w:val="16"/>
                <w:szCs w:val="16"/>
                <w:lang w:val="es-419" w:eastAsia="es-419"/>
              </w:rPr>
            </w:pPr>
            <w:r w:rsidRPr="00951AB1">
              <w:rPr>
                <w:rFonts w:eastAsia="Times New Roman" w:cs="Times New Roman"/>
                <w:color w:val="000000"/>
                <w:sz w:val="16"/>
                <w:szCs w:val="16"/>
                <w:lang w:val="es-419" w:eastAsia="es-419"/>
              </w:rPr>
              <w:t>Muebles, enseres y equipo de oficina</w:t>
            </w:r>
          </w:p>
        </w:tc>
        <w:tc>
          <w:tcPr>
            <w:tcW w:w="1560" w:type="dxa"/>
            <w:noWrap/>
            <w:vAlign w:val="center"/>
            <w:hideMark/>
          </w:tcPr>
          <w:p w14:paraId="176B918B" w14:textId="77777777" w:rsidR="00D81C95" w:rsidRPr="00951AB1" w:rsidRDefault="00D81C95" w:rsidP="000A5389">
            <w:pPr>
              <w:spacing w:line="240" w:lineRule="auto"/>
              <w:jc w:val="right"/>
              <w:rPr>
                <w:rFonts w:eastAsia="Times New Roman" w:cs="Times New Roman"/>
                <w:color w:val="000000"/>
                <w:sz w:val="16"/>
                <w:szCs w:val="16"/>
                <w:lang w:val="es-419" w:eastAsia="es-419"/>
              </w:rPr>
            </w:pPr>
            <w:r w:rsidRPr="00951AB1">
              <w:rPr>
                <w:rFonts w:eastAsia="Times New Roman" w:cs="Times New Roman"/>
                <w:color w:val="000000"/>
                <w:sz w:val="16"/>
                <w:szCs w:val="16"/>
                <w:lang w:val="es-419" w:eastAsia="es-419"/>
              </w:rPr>
              <w:t>17.343.230.952</w:t>
            </w:r>
          </w:p>
        </w:tc>
        <w:tc>
          <w:tcPr>
            <w:tcW w:w="1559" w:type="dxa"/>
            <w:noWrap/>
            <w:vAlign w:val="center"/>
            <w:hideMark/>
          </w:tcPr>
          <w:p w14:paraId="14BB502C" w14:textId="77777777" w:rsidR="00D81C95" w:rsidRPr="00951AB1" w:rsidRDefault="00D81C95" w:rsidP="000A5389">
            <w:pPr>
              <w:spacing w:line="240" w:lineRule="auto"/>
              <w:jc w:val="right"/>
              <w:rPr>
                <w:rFonts w:eastAsia="Times New Roman" w:cs="Times New Roman"/>
                <w:color w:val="000000"/>
                <w:sz w:val="16"/>
                <w:szCs w:val="16"/>
                <w:lang w:val="es-419" w:eastAsia="es-419"/>
              </w:rPr>
            </w:pPr>
            <w:r w:rsidRPr="00951AB1">
              <w:rPr>
                <w:rFonts w:eastAsia="Times New Roman" w:cs="Times New Roman"/>
                <w:color w:val="000000"/>
                <w:sz w:val="16"/>
                <w:szCs w:val="16"/>
                <w:lang w:val="es-419" w:eastAsia="es-419"/>
              </w:rPr>
              <w:t>19.296.410.440</w:t>
            </w:r>
          </w:p>
        </w:tc>
        <w:tc>
          <w:tcPr>
            <w:tcW w:w="1417" w:type="dxa"/>
            <w:noWrap/>
            <w:vAlign w:val="center"/>
            <w:hideMark/>
          </w:tcPr>
          <w:p w14:paraId="70FF772E" w14:textId="77777777" w:rsidR="00D81C95" w:rsidRPr="00951AB1" w:rsidRDefault="00D81C95" w:rsidP="000A5389">
            <w:pPr>
              <w:spacing w:line="240" w:lineRule="auto"/>
              <w:jc w:val="right"/>
              <w:rPr>
                <w:rFonts w:eastAsia="Times New Roman" w:cs="Times New Roman"/>
                <w:color w:val="000000"/>
                <w:sz w:val="16"/>
                <w:szCs w:val="16"/>
                <w:lang w:val="es-419" w:eastAsia="es-419"/>
              </w:rPr>
            </w:pPr>
            <w:r w:rsidRPr="00951AB1">
              <w:rPr>
                <w:rFonts w:eastAsia="Times New Roman" w:cs="Times New Roman"/>
                <w:color w:val="000000"/>
                <w:sz w:val="16"/>
                <w:szCs w:val="16"/>
                <w:lang w:val="es-419" w:eastAsia="es-419"/>
              </w:rPr>
              <w:t>-1.953.179.488</w:t>
            </w:r>
          </w:p>
        </w:tc>
      </w:tr>
      <w:tr w:rsidR="00D81C95" w:rsidRPr="00951AB1" w14:paraId="26FB53BF" w14:textId="77777777" w:rsidTr="00CC596B">
        <w:trPr>
          <w:trHeight w:val="280"/>
        </w:trPr>
        <w:tc>
          <w:tcPr>
            <w:tcW w:w="851" w:type="dxa"/>
            <w:noWrap/>
            <w:vAlign w:val="center"/>
            <w:hideMark/>
          </w:tcPr>
          <w:p w14:paraId="01A88612" w14:textId="77777777" w:rsidR="00D81C95" w:rsidRPr="00951AB1" w:rsidRDefault="00D81C95" w:rsidP="000A5389">
            <w:pPr>
              <w:spacing w:line="240" w:lineRule="auto"/>
              <w:rPr>
                <w:rFonts w:eastAsia="Times New Roman" w:cs="Times New Roman"/>
                <w:color w:val="000000"/>
                <w:sz w:val="16"/>
                <w:szCs w:val="16"/>
                <w:lang w:val="es-419" w:eastAsia="es-419"/>
              </w:rPr>
            </w:pPr>
            <w:r w:rsidRPr="00951AB1">
              <w:rPr>
                <w:rFonts w:eastAsia="Times New Roman" w:cs="Times New Roman"/>
                <w:color w:val="000000"/>
                <w:sz w:val="16"/>
                <w:szCs w:val="16"/>
                <w:lang w:val="es-419" w:eastAsia="es-419"/>
              </w:rPr>
              <w:t>1.6.83.03</w:t>
            </w:r>
          </w:p>
        </w:tc>
        <w:tc>
          <w:tcPr>
            <w:tcW w:w="371" w:type="dxa"/>
            <w:noWrap/>
            <w:vAlign w:val="center"/>
            <w:hideMark/>
          </w:tcPr>
          <w:p w14:paraId="392C1FEE" w14:textId="77777777" w:rsidR="00D81C95" w:rsidRPr="00951AB1" w:rsidRDefault="00D81C95" w:rsidP="000A5389">
            <w:pPr>
              <w:spacing w:line="240" w:lineRule="auto"/>
              <w:jc w:val="center"/>
              <w:rPr>
                <w:rFonts w:eastAsia="Times New Roman" w:cs="Times New Roman"/>
                <w:color w:val="000000"/>
                <w:sz w:val="16"/>
                <w:szCs w:val="16"/>
                <w:lang w:val="es-419" w:eastAsia="es-419"/>
              </w:rPr>
            </w:pPr>
            <w:r w:rsidRPr="00951AB1">
              <w:rPr>
                <w:rFonts w:eastAsia="Times New Roman" w:cs="Times New Roman"/>
                <w:color w:val="000000"/>
                <w:sz w:val="16"/>
                <w:szCs w:val="16"/>
                <w:lang w:val="es-419" w:eastAsia="es-419"/>
              </w:rPr>
              <w:t>Db</w:t>
            </w:r>
          </w:p>
        </w:tc>
        <w:tc>
          <w:tcPr>
            <w:tcW w:w="3314" w:type="dxa"/>
            <w:vAlign w:val="center"/>
            <w:hideMark/>
          </w:tcPr>
          <w:p w14:paraId="6CD1BA90" w14:textId="77777777" w:rsidR="00D81C95" w:rsidRPr="00951AB1" w:rsidRDefault="00D81C95" w:rsidP="000A5389">
            <w:pPr>
              <w:spacing w:line="240" w:lineRule="auto"/>
              <w:rPr>
                <w:rFonts w:eastAsia="Times New Roman" w:cs="Times New Roman"/>
                <w:color w:val="000000"/>
                <w:sz w:val="16"/>
                <w:szCs w:val="16"/>
                <w:lang w:val="es-419" w:eastAsia="es-419"/>
              </w:rPr>
            </w:pPr>
            <w:r w:rsidRPr="00951AB1">
              <w:rPr>
                <w:rFonts w:eastAsia="Times New Roman" w:cs="Times New Roman"/>
                <w:color w:val="000000"/>
                <w:sz w:val="16"/>
                <w:szCs w:val="16"/>
                <w:lang w:val="es-419" w:eastAsia="es-419"/>
              </w:rPr>
              <w:t>Plantas, ductos y túneles</w:t>
            </w:r>
          </w:p>
        </w:tc>
        <w:tc>
          <w:tcPr>
            <w:tcW w:w="1560" w:type="dxa"/>
            <w:noWrap/>
            <w:vAlign w:val="center"/>
            <w:hideMark/>
          </w:tcPr>
          <w:p w14:paraId="44EF0818" w14:textId="77777777" w:rsidR="00D81C95" w:rsidRPr="00951AB1" w:rsidRDefault="00D81C95" w:rsidP="000A5389">
            <w:pPr>
              <w:spacing w:line="240" w:lineRule="auto"/>
              <w:jc w:val="right"/>
              <w:rPr>
                <w:rFonts w:eastAsia="Times New Roman" w:cs="Times New Roman"/>
                <w:color w:val="000000"/>
                <w:sz w:val="16"/>
                <w:szCs w:val="16"/>
                <w:lang w:val="es-419" w:eastAsia="es-419"/>
              </w:rPr>
            </w:pPr>
            <w:r w:rsidRPr="00951AB1">
              <w:rPr>
                <w:rFonts w:eastAsia="Times New Roman" w:cs="Times New Roman"/>
                <w:color w:val="000000"/>
                <w:sz w:val="16"/>
                <w:szCs w:val="16"/>
                <w:lang w:val="es-419" w:eastAsia="es-419"/>
              </w:rPr>
              <w:t>8.760.119.433</w:t>
            </w:r>
          </w:p>
        </w:tc>
        <w:tc>
          <w:tcPr>
            <w:tcW w:w="1559" w:type="dxa"/>
            <w:noWrap/>
            <w:vAlign w:val="center"/>
            <w:hideMark/>
          </w:tcPr>
          <w:p w14:paraId="21165C35" w14:textId="77777777" w:rsidR="00D81C95" w:rsidRPr="00951AB1" w:rsidRDefault="00D81C95" w:rsidP="000A5389">
            <w:pPr>
              <w:spacing w:line="240" w:lineRule="auto"/>
              <w:jc w:val="right"/>
              <w:rPr>
                <w:rFonts w:eastAsia="Times New Roman" w:cs="Times New Roman"/>
                <w:color w:val="000000"/>
                <w:sz w:val="16"/>
                <w:szCs w:val="16"/>
                <w:lang w:val="es-419" w:eastAsia="es-419"/>
              </w:rPr>
            </w:pPr>
            <w:r w:rsidRPr="00951AB1">
              <w:rPr>
                <w:rFonts w:eastAsia="Times New Roman" w:cs="Times New Roman"/>
                <w:color w:val="000000"/>
                <w:sz w:val="16"/>
                <w:szCs w:val="16"/>
                <w:lang w:val="es-419" w:eastAsia="es-419"/>
              </w:rPr>
              <w:t>8.493.824.802</w:t>
            </w:r>
          </w:p>
        </w:tc>
        <w:tc>
          <w:tcPr>
            <w:tcW w:w="1417" w:type="dxa"/>
            <w:noWrap/>
            <w:vAlign w:val="center"/>
            <w:hideMark/>
          </w:tcPr>
          <w:p w14:paraId="71DC2EC6" w14:textId="77777777" w:rsidR="00D81C95" w:rsidRPr="00951AB1" w:rsidRDefault="00D81C95" w:rsidP="000A5389">
            <w:pPr>
              <w:spacing w:line="240" w:lineRule="auto"/>
              <w:jc w:val="right"/>
              <w:rPr>
                <w:rFonts w:eastAsia="Times New Roman" w:cs="Times New Roman"/>
                <w:color w:val="000000"/>
                <w:sz w:val="16"/>
                <w:szCs w:val="16"/>
                <w:lang w:val="es-419" w:eastAsia="es-419"/>
              </w:rPr>
            </w:pPr>
            <w:r w:rsidRPr="00951AB1">
              <w:rPr>
                <w:rFonts w:eastAsia="Times New Roman" w:cs="Times New Roman"/>
                <w:color w:val="000000"/>
                <w:sz w:val="16"/>
                <w:szCs w:val="16"/>
                <w:lang w:val="es-419" w:eastAsia="es-419"/>
              </w:rPr>
              <w:t>266.294.631</w:t>
            </w:r>
          </w:p>
        </w:tc>
      </w:tr>
      <w:tr w:rsidR="00D81C95" w:rsidRPr="00951AB1" w14:paraId="522AC71D" w14:textId="77777777" w:rsidTr="00CC596B">
        <w:trPr>
          <w:trHeight w:val="280"/>
        </w:trPr>
        <w:tc>
          <w:tcPr>
            <w:tcW w:w="851" w:type="dxa"/>
            <w:noWrap/>
            <w:vAlign w:val="center"/>
            <w:hideMark/>
          </w:tcPr>
          <w:p w14:paraId="12C89CEF" w14:textId="77777777" w:rsidR="00D81C95" w:rsidRPr="00951AB1" w:rsidRDefault="00D81C95" w:rsidP="000A5389">
            <w:pPr>
              <w:spacing w:line="240" w:lineRule="auto"/>
              <w:rPr>
                <w:rFonts w:eastAsia="Times New Roman" w:cs="Times New Roman"/>
                <w:color w:val="000000"/>
                <w:sz w:val="16"/>
                <w:szCs w:val="16"/>
                <w:lang w:val="es-419" w:eastAsia="es-419"/>
              </w:rPr>
            </w:pPr>
            <w:r w:rsidRPr="00951AB1">
              <w:rPr>
                <w:rFonts w:eastAsia="Times New Roman" w:cs="Times New Roman"/>
                <w:color w:val="000000"/>
                <w:sz w:val="16"/>
                <w:szCs w:val="16"/>
                <w:lang w:val="es-419" w:eastAsia="es-419"/>
              </w:rPr>
              <w:t>1.6.83.06</w:t>
            </w:r>
          </w:p>
        </w:tc>
        <w:tc>
          <w:tcPr>
            <w:tcW w:w="371" w:type="dxa"/>
            <w:noWrap/>
            <w:vAlign w:val="center"/>
            <w:hideMark/>
          </w:tcPr>
          <w:p w14:paraId="3539286F" w14:textId="77777777" w:rsidR="00D81C95" w:rsidRPr="00951AB1" w:rsidRDefault="00D81C95" w:rsidP="000A5389">
            <w:pPr>
              <w:spacing w:line="240" w:lineRule="auto"/>
              <w:jc w:val="center"/>
              <w:rPr>
                <w:rFonts w:eastAsia="Times New Roman" w:cs="Times New Roman"/>
                <w:color w:val="000000"/>
                <w:sz w:val="16"/>
                <w:szCs w:val="16"/>
                <w:lang w:val="es-419" w:eastAsia="es-419"/>
              </w:rPr>
            </w:pPr>
            <w:r w:rsidRPr="00951AB1">
              <w:rPr>
                <w:rFonts w:eastAsia="Times New Roman" w:cs="Times New Roman"/>
                <w:color w:val="000000"/>
                <w:sz w:val="16"/>
                <w:szCs w:val="16"/>
                <w:lang w:val="es-419" w:eastAsia="es-419"/>
              </w:rPr>
              <w:t>Db</w:t>
            </w:r>
          </w:p>
        </w:tc>
        <w:tc>
          <w:tcPr>
            <w:tcW w:w="3314" w:type="dxa"/>
            <w:vAlign w:val="center"/>
            <w:hideMark/>
          </w:tcPr>
          <w:p w14:paraId="6CD0F939" w14:textId="77777777" w:rsidR="00D81C95" w:rsidRPr="00951AB1" w:rsidRDefault="00D81C95" w:rsidP="000A5389">
            <w:pPr>
              <w:spacing w:line="240" w:lineRule="auto"/>
              <w:rPr>
                <w:rFonts w:eastAsia="Times New Roman" w:cs="Times New Roman"/>
                <w:color w:val="000000"/>
                <w:sz w:val="16"/>
                <w:szCs w:val="16"/>
                <w:lang w:val="es-419" w:eastAsia="es-419"/>
              </w:rPr>
            </w:pPr>
            <w:r w:rsidRPr="00951AB1">
              <w:rPr>
                <w:rFonts w:eastAsia="Times New Roman" w:cs="Times New Roman"/>
                <w:color w:val="000000"/>
                <w:sz w:val="16"/>
                <w:szCs w:val="16"/>
                <w:lang w:val="es-419" w:eastAsia="es-419"/>
              </w:rPr>
              <w:t>Equipo médico y científico</w:t>
            </w:r>
          </w:p>
        </w:tc>
        <w:tc>
          <w:tcPr>
            <w:tcW w:w="1560" w:type="dxa"/>
            <w:noWrap/>
            <w:vAlign w:val="center"/>
            <w:hideMark/>
          </w:tcPr>
          <w:p w14:paraId="27F5E3D0" w14:textId="77777777" w:rsidR="00D81C95" w:rsidRPr="00951AB1" w:rsidRDefault="00D81C95" w:rsidP="000A5389">
            <w:pPr>
              <w:spacing w:line="240" w:lineRule="auto"/>
              <w:jc w:val="right"/>
              <w:rPr>
                <w:rFonts w:eastAsia="Times New Roman" w:cs="Times New Roman"/>
                <w:color w:val="000000"/>
                <w:sz w:val="16"/>
                <w:szCs w:val="16"/>
                <w:lang w:val="es-419" w:eastAsia="es-419"/>
              </w:rPr>
            </w:pPr>
            <w:r w:rsidRPr="00951AB1">
              <w:rPr>
                <w:rFonts w:eastAsia="Times New Roman" w:cs="Times New Roman"/>
                <w:color w:val="000000"/>
                <w:sz w:val="16"/>
                <w:szCs w:val="16"/>
                <w:lang w:val="es-419" w:eastAsia="es-419"/>
              </w:rPr>
              <w:t>0</w:t>
            </w:r>
          </w:p>
        </w:tc>
        <w:tc>
          <w:tcPr>
            <w:tcW w:w="1559" w:type="dxa"/>
            <w:noWrap/>
            <w:vAlign w:val="center"/>
            <w:hideMark/>
          </w:tcPr>
          <w:p w14:paraId="1F316FD1" w14:textId="77777777" w:rsidR="00D81C95" w:rsidRPr="00951AB1" w:rsidRDefault="00D81C95" w:rsidP="000A5389">
            <w:pPr>
              <w:spacing w:line="240" w:lineRule="auto"/>
              <w:jc w:val="right"/>
              <w:rPr>
                <w:rFonts w:eastAsia="Times New Roman" w:cs="Times New Roman"/>
                <w:color w:val="000000"/>
                <w:sz w:val="16"/>
                <w:szCs w:val="16"/>
                <w:lang w:val="es-419" w:eastAsia="es-419"/>
              </w:rPr>
            </w:pPr>
            <w:r w:rsidRPr="00951AB1">
              <w:rPr>
                <w:rFonts w:eastAsia="Times New Roman" w:cs="Times New Roman"/>
                <w:color w:val="000000"/>
                <w:sz w:val="16"/>
                <w:szCs w:val="16"/>
                <w:lang w:val="es-419" w:eastAsia="es-419"/>
              </w:rPr>
              <w:t>160.340.000</w:t>
            </w:r>
          </w:p>
        </w:tc>
        <w:tc>
          <w:tcPr>
            <w:tcW w:w="1417" w:type="dxa"/>
            <w:noWrap/>
            <w:vAlign w:val="center"/>
            <w:hideMark/>
          </w:tcPr>
          <w:p w14:paraId="469B62D1" w14:textId="77777777" w:rsidR="00D81C95" w:rsidRPr="00951AB1" w:rsidRDefault="00D81C95" w:rsidP="000A5389">
            <w:pPr>
              <w:spacing w:line="240" w:lineRule="auto"/>
              <w:jc w:val="right"/>
              <w:rPr>
                <w:rFonts w:eastAsia="Times New Roman" w:cs="Times New Roman"/>
                <w:color w:val="000000"/>
                <w:sz w:val="16"/>
                <w:szCs w:val="16"/>
                <w:lang w:val="es-419" w:eastAsia="es-419"/>
              </w:rPr>
            </w:pPr>
            <w:r w:rsidRPr="00951AB1">
              <w:rPr>
                <w:rFonts w:eastAsia="Times New Roman" w:cs="Times New Roman"/>
                <w:color w:val="000000"/>
                <w:sz w:val="16"/>
                <w:szCs w:val="16"/>
                <w:lang w:val="es-419" w:eastAsia="es-419"/>
              </w:rPr>
              <w:t>-160.340.000</w:t>
            </w:r>
          </w:p>
        </w:tc>
      </w:tr>
    </w:tbl>
    <w:p w14:paraId="1D3483C3" w14:textId="40CDCE26" w:rsidR="00D81C95" w:rsidRPr="00951AB1" w:rsidRDefault="6215854E" w:rsidP="000A5389">
      <w:pPr>
        <w:spacing w:line="240" w:lineRule="auto"/>
        <w:rPr>
          <w:rFonts w:cs="Times New Roman"/>
          <w:color w:val="FFFFFF" w:themeColor="background1"/>
          <w:szCs w:val="24"/>
        </w:rPr>
      </w:pPr>
      <w:r w:rsidRPr="25F5D00C">
        <w:rPr>
          <w:rFonts w:cs="Times New Roman"/>
          <w:sz w:val="14"/>
          <w:szCs w:val="14"/>
        </w:rPr>
        <w:t>Cifras expresadas en pesos</w:t>
      </w:r>
    </w:p>
    <w:p w14:paraId="4E257F8C" w14:textId="77777777" w:rsidR="00D81C95" w:rsidRPr="00951AB1" w:rsidRDefault="00D81C95" w:rsidP="000A5389">
      <w:pPr>
        <w:pStyle w:val="Textoindependiente"/>
        <w:spacing w:line="240" w:lineRule="auto"/>
        <w:rPr>
          <w:bCs/>
        </w:rPr>
      </w:pPr>
      <w:r w:rsidRPr="00951AB1">
        <w:rPr>
          <w:bCs/>
        </w:rPr>
        <w:fldChar w:fldCharType="end"/>
      </w:r>
    </w:p>
    <w:p w14:paraId="0F9AF9CD" w14:textId="77777777" w:rsidR="00D81C95" w:rsidRPr="00951AB1" w:rsidRDefault="00D81C95" w:rsidP="000A5389">
      <w:pPr>
        <w:autoSpaceDE w:val="0"/>
        <w:autoSpaceDN w:val="0"/>
        <w:adjustRightInd w:val="0"/>
        <w:spacing w:line="240" w:lineRule="auto"/>
        <w:rPr>
          <w:rFonts w:cs="Times New Roman"/>
          <w:szCs w:val="24"/>
          <w:lang w:eastAsia="es-CO"/>
        </w:rPr>
      </w:pPr>
      <w:r w:rsidRPr="00951AB1">
        <w:rPr>
          <w:rFonts w:cs="Times New Roman"/>
          <w:szCs w:val="24"/>
          <w:lang w:eastAsia="es-CO"/>
        </w:rPr>
        <w:t>A continuación, se presentan los saldos y movimientos registrados durante el periodo en las cuentas de propiedades, planta y equipo en concesión.</w:t>
      </w:r>
    </w:p>
    <w:p w14:paraId="5CA0C45B" w14:textId="77777777" w:rsidR="00D81C95" w:rsidRPr="00951AB1" w:rsidRDefault="00D81C95" w:rsidP="000A5389">
      <w:pPr>
        <w:autoSpaceDE w:val="0"/>
        <w:autoSpaceDN w:val="0"/>
        <w:adjustRightInd w:val="0"/>
        <w:spacing w:line="240" w:lineRule="auto"/>
        <w:rPr>
          <w:rFonts w:cs="Times New Roman"/>
          <w:szCs w:val="24"/>
          <w:lang w:eastAsia="es-CO"/>
        </w:rPr>
      </w:pPr>
      <w:r w:rsidRPr="00951AB1">
        <w:rPr>
          <w:rFonts w:cs="Times New Roman"/>
          <w:noProof/>
        </w:rPr>
        <w:lastRenderedPageBreak/>
        <w:drawing>
          <wp:inline distT="0" distB="0" distL="0" distR="0" wp14:anchorId="749A4906" wp14:editId="63BFFD85">
            <wp:extent cx="5842475" cy="4476750"/>
            <wp:effectExtent l="0" t="0" r="6350" b="0"/>
            <wp:docPr id="647310627"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869241" cy="4497259"/>
                    </a:xfrm>
                    <a:prstGeom prst="rect">
                      <a:avLst/>
                    </a:prstGeom>
                    <a:noFill/>
                    <a:ln>
                      <a:noFill/>
                    </a:ln>
                  </pic:spPr>
                </pic:pic>
              </a:graphicData>
            </a:graphic>
          </wp:inline>
        </w:drawing>
      </w:r>
    </w:p>
    <w:p w14:paraId="14E871E2" w14:textId="77777777" w:rsidR="00B74D04" w:rsidRPr="00951AB1" w:rsidRDefault="00B74D04" w:rsidP="000A5389">
      <w:pPr>
        <w:pStyle w:val="Textoindependiente"/>
        <w:spacing w:line="240" w:lineRule="auto"/>
        <w:rPr>
          <w:bCs/>
          <w:sz w:val="14"/>
          <w:szCs w:val="14"/>
        </w:rPr>
      </w:pPr>
      <w:r w:rsidRPr="00951AB1">
        <w:rPr>
          <w:bCs/>
          <w:sz w:val="14"/>
          <w:szCs w:val="14"/>
        </w:rPr>
        <w:t>Cifras expresadas en pesos</w:t>
      </w:r>
    </w:p>
    <w:p w14:paraId="1E99AFC7" w14:textId="77777777" w:rsidR="00D81C95" w:rsidRPr="00951AB1" w:rsidRDefault="00D81C95" w:rsidP="000A5389">
      <w:pPr>
        <w:pStyle w:val="Textoindependiente"/>
        <w:spacing w:line="240" w:lineRule="auto"/>
        <w:rPr>
          <w:bCs/>
        </w:rPr>
      </w:pPr>
    </w:p>
    <w:p w14:paraId="57940B19" w14:textId="3D9112AC" w:rsidR="00D81C95" w:rsidRPr="00951AB1" w:rsidRDefault="00D81C95" w:rsidP="000A5389">
      <w:pPr>
        <w:pStyle w:val="Textoindependiente"/>
        <w:spacing w:line="240" w:lineRule="auto"/>
        <w:rPr>
          <w:bCs/>
        </w:rPr>
      </w:pPr>
      <w:r w:rsidRPr="00951AB1">
        <w:rPr>
          <w:bCs/>
        </w:rPr>
        <w:t>Para la vigencia 2025, las propiedades, planta y equipo en concesión presentaron un incremento por valor de $</w:t>
      </w:r>
      <w:r w:rsidRPr="00951AB1">
        <w:t xml:space="preserve"> </w:t>
      </w:r>
      <w:r w:rsidRPr="00951AB1">
        <w:rPr>
          <w:bCs/>
        </w:rPr>
        <w:t>479.093.561.990 principalmente por:</w:t>
      </w:r>
    </w:p>
    <w:p w14:paraId="131283D4" w14:textId="77777777" w:rsidR="004B7C2F" w:rsidRPr="00951AB1" w:rsidRDefault="004B7C2F" w:rsidP="000A5389">
      <w:pPr>
        <w:pStyle w:val="Textoindependiente"/>
        <w:spacing w:line="240" w:lineRule="auto"/>
        <w:rPr>
          <w:bCs/>
        </w:rPr>
      </w:pPr>
    </w:p>
    <w:p w14:paraId="657AAD0D" w14:textId="77777777" w:rsidR="00D81C95" w:rsidRPr="00951AB1" w:rsidRDefault="00D81C95" w:rsidP="000A5389">
      <w:pPr>
        <w:pStyle w:val="Textoindependiente"/>
        <w:numPr>
          <w:ilvl w:val="0"/>
          <w:numId w:val="62"/>
        </w:numPr>
        <w:spacing w:line="240" w:lineRule="auto"/>
        <w:rPr>
          <w:bCs/>
        </w:rPr>
      </w:pPr>
      <w:r w:rsidRPr="00951AB1">
        <w:rPr>
          <w:bCs/>
        </w:rPr>
        <w:t>Actualización de los bienes del modo carretero en atención a la información reportada en el formato establecido por valor de $82.660.487.151.</w:t>
      </w:r>
    </w:p>
    <w:p w14:paraId="2E4DA5F0" w14:textId="77777777" w:rsidR="00D81C95" w:rsidRPr="00951AB1" w:rsidRDefault="00D81C95" w:rsidP="000A5389">
      <w:pPr>
        <w:pStyle w:val="Textoindependiente"/>
        <w:numPr>
          <w:ilvl w:val="0"/>
          <w:numId w:val="62"/>
        </w:numPr>
        <w:spacing w:line="240" w:lineRule="auto"/>
        <w:rPr>
          <w:bCs/>
        </w:rPr>
      </w:pPr>
      <w:r w:rsidRPr="00951AB1">
        <w:rPr>
          <w:bCs/>
        </w:rPr>
        <w:t>Actualización de los bienes asociados al modo portuario por valor de $</w:t>
      </w:r>
      <w:r w:rsidRPr="00951AB1">
        <w:t xml:space="preserve"> </w:t>
      </w:r>
      <w:r w:rsidRPr="00951AB1">
        <w:rPr>
          <w:bCs/>
        </w:rPr>
        <w:t>396.433.074.839.</w:t>
      </w:r>
    </w:p>
    <w:p w14:paraId="73E3B656" w14:textId="77777777" w:rsidR="00D81C95" w:rsidRPr="00951AB1" w:rsidRDefault="00D81C95" w:rsidP="000A5389">
      <w:pPr>
        <w:pStyle w:val="Textoindependiente"/>
        <w:spacing w:line="240" w:lineRule="auto"/>
        <w:rPr>
          <w:bCs/>
        </w:rPr>
      </w:pPr>
    </w:p>
    <w:p w14:paraId="01D6EC65" w14:textId="77777777" w:rsidR="00D81C95" w:rsidRPr="00951AB1" w:rsidRDefault="00D81C95" w:rsidP="000A5389">
      <w:pPr>
        <w:pStyle w:val="Textoindependiente"/>
        <w:spacing w:line="240" w:lineRule="auto"/>
        <w:rPr>
          <w:bCs/>
        </w:rPr>
      </w:pPr>
      <w:r w:rsidRPr="00951AB1">
        <w:rPr>
          <w:bCs/>
        </w:rPr>
        <w:t>Por otra parte, presentó una disminución en la vigencia de $14.502.573.755, producto de las desincorporaciones por concepto de reversiones realizadas a la entidad titular de los bienes, a continuación, se detallan los proyectos revertidos.</w:t>
      </w:r>
    </w:p>
    <w:p w14:paraId="132804F0" w14:textId="77777777" w:rsidR="00682E3D" w:rsidRPr="00951AB1" w:rsidRDefault="00682E3D" w:rsidP="000A5389">
      <w:pPr>
        <w:pStyle w:val="Textoindependiente"/>
        <w:spacing w:line="240" w:lineRule="auto"/>
        <w:rPr>
          <w:bCs/>
        </w:rPr>
      </w:pPr>
    </w:p>
    <w:p w14:paraId="08EC485B" w14:textId="77777777" w:rsidR="001D0619" w:rsidRDefault="00D81C95" w:rsidP="000A5389">
      <w:pPr>
        <w:pStyle w:val="Textoindependiente"/>
        <w:spacing w:line="240" w:lineRule="auto"/>
        <w:rPr>
          <w:bCs/>
        </w:rPr>
      </w:pPr>
      <w:r w:rsidRPr="00951AB1">
        <w:rPr>
          <w:bCs/>
          <w:i/>
          <w:iCs/>
        </w:rPr>
        <w:t>Modo carretero</w:t>
      </w:r>
      <w:r w:rsidR="00682E3D" w:rsidRPr="00951AB1">
        <w:rPr>
          <w:bCs/>
          <w:i/>
          <w:iCs/>
        </w:rPr>
        <w:t xml:space="preserve">: </w:t>
      </w:r>
      <w:r w:rsidRPr="00951AB1">
        <w:rPr>
          <w:bCs/>
        </w:rPr>
        <w:t>Las reversiones realizadas a la entidad titular del modo carretero ascienden a la suma de $</w:t>
      </w:r>
      <w:r w:rsidRPr="00951AB1">
        <w:t xml:space="preserve"> </w:t>
      </w:r>
      <w:r w:rsidRPr="00951AB1">
        <w:rPr>
          <w:bCs/>
        </w:rPr>
        <w:t>14.403.221.564 correspondiente a los siguientes proyectos:</w:t>
      </w:r>
    </w:p>
    <w:p w14:paraId="37673E02" w14:textId="3C9706CA" w:rsidR="00D81C95" w:rsidRPr="00951AB1" w:rsidRDefault="00D81C95" w:rsidP="000A5389">
      <w:pPr>
        <w:pStyle w:val="Textoindependiente"/>
        <w:spacing w:line="240" w:lineRule="auto"/>
        <w:rPr>
          <w:rFonts w:eastAsia="Calibri"/>
          <w:sz w:val="20"/>
          <w:szCs w:val="20"/>
          <w:lang w:val="es-CO" w:eastAsia="es-CO" w:bidi="ar-SA"/>
        </w:rPr>
      </w:pPr>
      <w:r w:rsidRPr="00951AB1">
        <w:fldChar w:fldCharType="begin"/>
      </w:r>
      <w:r w:rsidRPr="00951AB1">
        <w:instrText xml:space="preserve"> LINK Excel.Sheet.12 C:\\Users\\wolarte\\Documents\\0-Ani2025\\0_Cierre2025\\Nota_10\\reversiones.xlsx Muebles!F2C3:F12C6 \a \f 4 \h  \* MERGEFORMAT </w:instrText>
      </w:r>
      <w:r w:rsidRPr="00951AB1">
        <w:fldChar w:fldCharType="separate"/>
      </w:r>
    </w:p>
    <w:p w14:paraId="6FE62DC1" w14:textId="77777777" w:rsidR="00682E3D" w:rsidRPr="00951AB1" w:rsidRDefault="00D81C95" w:rsidP="000A5389">
      <w:pPr>
        <w:pStyle w:val="Textoindependiente"/>
        <w:spacing w:line="240" w:lineRule="auto"/>
        <w:rPr>
          <w:bCs/>
        </w:rPr>
      </w:pPr>
      <w:r w:rsidRPr="00951AB1">
        <w:rPr>
          <w:bCs/>
        </w:rPr>
        <w:fldChar w:fldCharType="end"/>
      </w:r>
    </w:p>
    <w:tbl>
      <w:tblPr>
        <w:tblW w:w="5000" w:type="pct"/>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CellMar>
          <w:left w:w="70" w:type="dxa"/>
          <w:right w:w="70" w:type="dxa"/>
        </w:tblCellMar>
        <w:tblLook w:val="04A0" w:firstRow="1" w:lastRow="0" w:firstColumn="1" w:lastColumn="0" w:noHBand="0" w:noVBand="1"/>
      </w:tblPr>
      <w:tblGrid>
        <w:gridCol w:w="4320"/>
        <w:gridCol w:w="1623"/>
        <w:gridCol w:w="1623"/>
        <w:gridCol w:w="1262"/>
      </w:tblGrid>
      <w:tr w:rsidR="00682E3D" w:rsidRPr="00951AB1" w14:paraId="448A4A20" w14:textId="77777777" w:rsidTr="00682E3D">
        <w:trPr>
          <w:trHeight w:val="283"/>
          <w:tblHeader/>
        </w:trPr>
        <w:tc>
          <w:tcPr>
            <w:tcW w:w="2447" w:type="pct"/>
            <w:noWrap/>
            <w:vAlign w:val="center"/>
            <w:hideMark/>
          </w:tcPr>
          <w:p w14:paraId="6C763009" w14:textId="77777777" w:rsidR="00682E3D" w:rsidRPr="00951AB1" w:rsidRDefault="00682E3D" w:rsidP="000A5389">
            <w:pPr>
              <w:spacing w:line="240" w:lineRule="auto"/>
              <w:jc w:val="center"/>
              <w:rPr>
                <w:rFonts w:eastAsia="Times New Roman" w:cs="Times New Roman"/>
                <w:b/>
                <w:bCs/>
                <w:color w:val="000000"/>
                <w:sz w:val="16"/>
                <w:szCs w:val="16"/>
                <w:lang w:val="es-419" w:eastAsia="es-419"/>
              </w:rPr>
            </w:pPr>
            <w:r w:rsidRPr="00951AB1">
              <w:rPr>
                <w:rFonts w:eastAsia="Times New Roman" w:cs="Times New Roman"/>
                <w:b/>
                <w:bCs/>
                <w:color w:val="000000"/>
                <w:sz w:val="16"/>
                <w:szCs w:val="16"/>
                <w:lang w:val="es-419" w:eastAsia="es-419"/>
              </w:rPr>
              <w:lastRenderedPageBreak/>
              <w:t xml:space="preserve">PROPIEDADES, PLANTA Y EQUIPO </w:t>
            </w:r>
          </w:p>
        </w:tc>
        <w:tc>
          <w:tcPr>
            <w:tcW w:w="919" w:type="pct"/>
            <w:vAlign w:val="center"/>
            <w:hideMark/>
          </w:tcPr>
          <w:p w14:paraId="0D1DAAE8" w14:textId="77777777" w:rsidR="00682E3D" w:rsidRPr="00951AB1" w:rsidRDefault="00682E3D" w:rsidP="000A5389">
            <w:pPr>
              <w:spacing w:line="240" w:lineRule="auto"/>
              <w:jc w:val="center"/>
              <w:rPr>
                <w:rFonts w:eastAsia="Times New Roman" w:cs="Times New Roman"/>
                <w:b/>
                <w:bCs/>
                <w:color w:val="000000"/>
                <w:sz w:val="16"/>
                <w:szCs w:val="16"/>
                <w:lang w:val="es-419" w:eastAsia="es-419"/>
              </w:rPr>
            </w:pPr>
            <w:r w:rsidRPr="00951AB1">
              <w:rPr>
                <w:rFonts w:eastAsia="Times New Roman" w:cs="Times New Roman"/>
                <w:b/>
                <w:bCs/>
                <w:color w:val="000000"/>
                <w:sz w:val="16"/>
                <w:szCs w:val="16"/>
                <w:lang w:val="es-419" w:eastAsia="es-419"/>
              </w:rPr>
              <w:t>CORDOBA SUCRE</w:t>
            </w:r>
          </w:p>
        </w:tc>
        <w:tc>
          <w:tcPr>
            <w:tcW w:w="919" w:type="pct"/>
            <w:vAlign w:val="center"/>
            <w:hideMark/>
          </w:tcPr>
          <w:p w14:paraId="46322D78" w14:textId="77777777" w:rsidR="00682E3D" w:rsidRPr="00951AB1" w:rsidRDefault="00682E3D" w:rsidP="000A5389">
            <w:pPr>
              <w:spacing w:line="240" w:lineRule="auto"/>
              <w:jc w:val="center"/>
              <w:rPr>
                <w:rFonts w:eastAsia="Times New Roman" w:cs="Times New Roman"/>
                <w:b/>
                <w:bCs/>
                <w:color w:val="000000"/>
                <w:sz w:val="16"/>
                <w:szCs w:val="16"/>
                <w:lang w:val="es-419" w:eastAsia="es-419"/>
              </w:rPr>
            </w:pPr>
            <w:r w:rsidRPr="00951AB1">
              <w:rPr>
                <w:rFonts w:eastAsia="Times New Roman" w:cs="Times New Roman"/>
                <w:b/>
                <w:bCs/>
                <w:color w:val="000000"/>
                <w:sz w:val="16"/>
                <w:szCs w:val="16"/>
                <w:lang w:val="es-419" w:eastAsia="es-419"/>
              </w:rPr>
              <w:t>BUCARAMANGA PAMPLONA</w:t>
            </w:r>
          </w:p>
        </w:tc>
        <w:tc>
          <w:tcPr>
            <w:tcW w:w="715" w:type="pct"/>
            <w:noWrap/>
            <w:vAlign w:val="center"/>
            <w:hideMark/>
          </w:tcPr>
          <w:p w14:paraId="0E072E5C" w14:textId="77777777" w:rsidR="00682E3D" w:rsidRPr="00951AB1" w:rsidRDefault="00682E3D" w:rsidP="000A5389">
            <w:pPr>
              <w:spacing w:line="240" w:lineRule="auto"/>
              <w:jc w:val="center"/>
              <w:rPr>
                <w:rFonts w:eastAsia="Times New Roman" w:cs="Times New Roman"/>
                <w:b/>
                <w:bCs/>
                <w:color w:val="000000"/>
                <w:sz w:val="16"/>
                <w:szCs w:val="16"/>
                <w:lang w:val="es-419" w:eastAsia="es-419"/>
              </w:rPr>
            </w:pPr>
            <w:r w:rsidRPr="00951AB1">
              <w:rPr>
                <w:rFonts w:eastAsia="Times New Roman" w:cs="Times New Roman"/>
                <w:b/>
                <w:bCs/>
                <w:color w:val="000000"/>
                <w:sz w:val="16"/>
                <w:szCs w:val="16"/>
                <w:lang w:val="es-419" w:eastAsia="es-419"/>
              </w:rPr>
              <w:t>GICA</w:t>
            </w:r>
          </w:p>
        </w:tc>
      </w:tr>
      <w:tr w:rsidR="00682E3D" w:rsidRPr="00951AB1" w14:paraId="78D700EE" w14:textId="77777777" w:rsidTr="00682E3D">
        <w:trPr>
          <w:trHeight w:val="69"/>
        </w:trPr>
        <w:tc>
          <w:tcPr>
            <w:tcW w:w="2447" w:type="pct"/>
            <w:noWrap/>
            <w:vAlign w:val="bottom"/>
            <w:hideMark/>
          </w:tcPr>
          <w:p w14:paraId="084A8B24" w14:textId="77777777" w:rsidR="00682E3D" w:rsidRPr="00951AB1" w:rsidRDefault="00682E3D" w:rsidP="000A5389">
            <w:pPr>
              <w:spacing w:line="240" w:lineRule="auto"/>
              <w:jc w:val="center"/>
              <w:rPr>
                <w:rFonts w:eastAsia="Times New Roman" w:cs="Times New Roman"/>
                <w:b/>
                <w:bCs/>
                <w:color w:val="000000"/>
                <w:sz w:val="16"/>
                <w:szCs w:val="16"/>
                <w:lang w:val="es-419" w:eastAsia="es-419"/>
              </w:rPr>
            </w:pPr>
          </w:p>
        </w:tc>
        <w:tc>
          <w:tcPr>
            <w:tcW w:w="919" w:type="pct"/>
            <w:noWrap/>
            <w:vAlign w:val="bottom"/>
            <w:hideMark/>
          </w:tcPr>
          <w:p w14:paraId="2EC88B91" w14:textId="77777777" w:rsidR="00682E3D" w:rsidRPr="00951AB1" w:rsidRDefault="00682E3D" w:rsidP="000A5389">
            <w:pPr>
              <w:spacing w:line="240" w:lineRule="auto"/>
              <w:rPr>
                <w:rFonts w:eastAsia="Times New Roman" w:cs="Times New Roman"/>
                <w:b/>
                <w:bCs/>
                <w:sz w:val="16"/>
                <w:szCs w:val="16"/>
                <w:lang w:val="es-419" w:eastAsia="es-419"/>
              </w:rPr>
            </w:pPr>
          </w:p>
        </w:tc>
        <w:tc>
          <w:tcPr>
            <w:tcW w:w="919" w:type="pct"/>
            <w:noWrap/>
            <w:vAlign w:val="bottom"/>
            <w:hideMark/>
          </w:tcPr>
          <w:p w14:paraId="5E9F08F3" w14:textId="77777777" w:rsidR="00682E3D" w:rsidRPr="00951AB1" w:rsidRDefault="00682E3D" w:rsidP="000A5389">
            <w:pPr>
              <w:spacing w:line="240" w:lineRule="auto"/>
              <w:rPr>
                <w:rFonts w:eastAsia="Times New Roman" w:cs="Times New Roman"/>
                <w:b/>
                <w:bCs/>
                <w:sz w:val="16"/>
                <w:szCs w:val="16"/>
                <w:lang w:val="es-419" w:eastAsia="es-419"/>
              </w:rPr>
            </w:pPr>
          </w:p>
        </w:tc>
        <w:tc>
          <w:tcPr>
            <w:tcW w:w="715" w:type="pct"/>
            <w:noWrap/>
            <w:vAlign w:val="bottom"/>
            <w:hideMark/>
          </w:tcPr>
          <w:p w14:paraId="162732DD" w14:textId="77777777" w:rsidR="00682E3D" w:rsidRPr="00951AB1" w:rsidRDefault="00682E3D" w:rsidP="000A5389">
            <w:pPr>
              <w:spacing w:line="240" w:lineRule="auto"/>
              <w:rPr>
                <w:rFonts w:eastAsia="Times New Roman" w:cs="Times New Roman"/>
                <w:b/>
                <w:bCs/>
                <w:sz w:val="16"/>
                <w:szCs w:val="16"/>
                <w:lang w:val="es-419" w:eastAsia="es-419"/>
              </w:rPr>
            </w:pPr>
          </w:p>
        </w:tc>
      </w:tr>
      <w:tr w:rsidR="00682E3D" w:rsidRPr="00951AB1" w14:paraId="33F2FF2C" w14:textId="77777777" w:rsidTr="00682E3D">
        <w:trPr>
          <w:trHeight w:val="283"/>
        </w:trPr>
        <w:tc>
          <w:tcPr>
            <w:tcW w:w="2447" w:type="pct"/>
            <w:noWrap/>
            <w:vAlign w:val="bottom"/>
            <w:hideMark/>
          </w:tcPr>
          <w:p w14:paraId="6B4B9096" w14:textId="77777777" w:rsidR="00682E3D" w:rsidRPr="00951AB1" w:rsidRDefault="00682E3D" w:rsidP="000A5389">
            <w:pPr>
              <w:spacing w:line="240" w:lineRule="auto"/>
              <w:rPr>
                <w:rFonts w:eastAsia="Times New Roman" w:cs="Times New Roman"/>
                <w:color w:val="000000"/>
                <w:sz w:val="16"/>
                <w:szCs w:val="16"/>
                <w:lang w:val="es-419" w:eastAsia="es-419"/>
              </w:rPr>
            </w:pPr>
            <w:r w:rsidRPr="00951AB1">
              <w:rPr>
                <w:rFonts w:eastAsia="Times New Roman" w:cs="Times New Roman"/>
                <w:color w:val="000000"/>
                <w:sz w:val="16"/>
                <w:szCs w:val="16"/>
                <w:lang w:val="es-419" w:eastAsia="es-419"/>
              </w:rPr>
              <w:t>PLANTA DUCTOS Y TUNELES</w:t>
            </w:r>
          </w:p>
        </w:tc>
        <w:tc>
          <w:tcPr>
            <w:tcW w:w="919" w:type="pct"/>
            <w:noWrap/>
            <w:vAlign w:val="bottom"/>
            <w:hideMark/>
          </w:tcPr>
          <w:p w14:paraId="4CF6BA82" w14:textId="76120511" w:rsidR="00682E3D" w:rsidRPr="00951AB1" w:rsidRDefault="00682E3D" w:rsidP="000A5389">
            <w:pPr>
              <w:spacing w:line="240" w:lineRule="auto"/>
              <w:jc w:val="right"/>
              <w:rPr>
                <w:rFonts w:eastAsia="Times New Roman" w:cs="Times New Roman"/>
                <w:color w:val="000000"/>
                <w:sz w:val="16"/>
                <w:szCs w:val="16"/>
                <w:lang w:val="es-419" w:eastAsia="es-419"/>
              </w:rPr>
            </w:pPr>
            <w:r w:rsidRPr="00951AB1">
              <w:rPr>
                <w:rFonts w:eastAsia="Times New Roman" w:cs="Times New Roman"/>
                <w:color w:val="000000"/>
                <w:sz w:val="16"/>
                <w:szCs w:val="16"/>
                <w:lang w:val="es-419" w:eastAsia="es-419"/>
              </w:rPr>
              <w:t>-</w:t>
            </w:r>
          </w:p>
        </w:tc>
        <w:tc>
          <w:tcPr>
            <w:tcW w:w="919" w:type="pct"/>
            <w:noWrap/>
            <w:vAlign w:val="bottom"/>
            <w:hideMark/>
          </w:tcPr>
          <w:p w14:paraId="305DFC59" w14:textId="7D8FD832" w:rsidR="00682E3D" w:rsidRPr="00951AB1" w:rsidRDefault="00682E3D" w:rsidP="000A5389">
            <w:pPr>
              <w:spacing w:line="240" w:lineRule="auto"/>
              <w:jc w:val="right"/>
              <w:rPr>
                <w:rFonts w:eastAsia="Times New Roman" w:cs="Times New Roman"/>
                <w:color w:val="000000"/>
                <w:sz w:val="16"/>
                <w:szCs w:val="16"/>
                <w:lang w:val="es-419" w:eastAsia="es-419"/>
              </w:rPr>
            </w:pPr>
            <w:r w:rsidRPr="00951AB1">
              <w:rPr>
                <w:rFonts w:eastAsia="Times New Roman" w:cs="Times New Roman"/>
                <w:color w:val="000000"/>
                <w:sz w:val="16"/>
                <w:szCs w:val="16"/>
                <w:lang w:val="es-419" w:eastAsia="es-419"/>
              </w:rPr>
              <w:t>75.270.594</w:t>
            </w:r>
          </w:p>
        </w:tc>
        <w:tc>
          <w:tcPr>
            <w:tcW w:w="715" w:type="pct"/>
            <w:noWrap/>
            <w:vAlign w:val="bottom"/>
            <w:hideMark/>
          </w:tcPr>
          <w:p w14:paraId="20A6A41F" w14:textId="563B145B" w:rsidR="00682E3D" w:rsidRPr="00951AB1" w:rsidRDefault="00682E3D" w:rsidP="000A5389">
            <w:pPr>
              <w:spacing w:line="240" w:lineRule="auto"/>
              <w:jc w:val="right"/>
              <w:rPr>
                <w:rFonts w:eastAsia="Times New Roman" w:cs="Times New Roman"/>
                <w:color w:val="000000"/>
                <w:sz w:val="16"/>
                <w:szCs w:val="16"/>
                <w:lang w:val="es-419" w:eastAsia="es-419"/>
              </w:rPr>
            </w:pPr>
            <w:r w:rsidRPr="00951AB1">
              <w:rPr>
                <w:rFonts w:eastAsia="Times New Roman" w:cs="Times New Roman"/>
                <w:color w:val="000000"/>
                <w:sz w:val="16"/>
                <w:szCs w:val="16"/>
                <w:lang w:val="es-419" w:eastAsia="es-419"/>
              </w:rPr>
              <w:t>-</w:t>
            </w:r>
          </w:p>
        </w:tc>
      </w:tr>
      <w:tr w:rsidR="00682E3D" w:rsidRPr="00951AB1" w14:paraId="52D636F6" w14:textId="77777777" w:rsidTr="00682E3D">
        <w:trPr>
          <w:trHeight w:val="283"/>
        </w:trPr>
        <w:tc>
          <w:tcPr>
            <w:tcW w:w="2447" w:type="pct"/>
            <w:noWrap/>
            <w:vAlign w:val="center"/>
            <w:hideMark/>
          </w:tcPr>
          <w:p w14:paraId="0C340085" w14:textId="77777777" w:rsidR="00682E3D" w:rsidRPr="00951AB1" w:rsidRDefault="00682E3D" w:rsidP="000A5389">
            <w:pPr>
              <w:spacing w:line="240" w:lineRule="auto"/>
              <w:rPr>
                <w:rFonts w:eastAsia="Times New Roman" w:cs="Times New Roman"/>
                <w:color w:val="000000"/>
                <w:sz w:val="16"/>
                <w:szCs w:val="16"/>
                <w:lang w:val="es-419" w:eastAsia="es-419"/>
              </w:rPr>
            </w:pPr>
            <w:r w:rsidRPr="00951AB1">
              <w:rPr>
                <w:rFonts w:eastAsia="Times New Roman" w:cs="Times New Roman"/>
                <w:color w:val="000000"/>
                <w:sz w:val="16"/>
                <w:szCs w:val="16"/>
                <w:lang w:val="es-419" w:eastAsia="es-419"/>
              </w:rPr>
              <w:t>MAQUINARIA Y EQUIPO</w:t>
            </w:r>
          </w:p>
        </w:tc>
        <w:tc>
          <w:tcPr>
            <w:tcW w:w="919" w:type="pct"/>
            <w:noWrap/>
            <w:vAlign w:val="bottom"/>
            <w:hideMark/>
          </w:tcPr>
          <w:p w14:paraId="4204B75F" w14:textId="6A60EAB8" w:rsidR="00682E3D" w:rsidRPr="00951AB1" w:rsidRDefault="00682E3D" w:rsidP="000A5389">
            <w:pPr>
              <w:spacing w:line="240" w:lineRule="auto"/>
              <w:jc w:val="right"/>
              <w:rPr>
                <w:rFonts w:eastAsia="Times New Roman" w:cs="Times New Roman"/>
                <w:color w:val="000000"/>
                <w:sz w:val="16"/>
                <w:szCs w:val="16"/>
                <w:lang w:val="es-419" w:eastAsia="es-419"/>
              </w:rPr>
            </w:pPr>
            <w:r w:rsidRPr="00951AB1">
              <w:rPr>
                <w:rFonts w:eastAsia="Times New Roman" w:cs="Times New Roman"/>
                <w:color w:val="000000"/>
                <w:sz w:val="16"/>
                <w:szCs w:val="16"/>
                <w:lang w:val="es-419" w:eastAsia="es-419"/>
              </w:rPr>
              <w:t>5.078.060.203</w:t>
            </w:r>
          </w:p>
        </w:tc>
        <w:tc>
          <w:tcPr>
            <w:tcW w:w="919" w:type="pct"/>
            <w:noWrap/>
            <w:vAlign w:val="bottom"/>
            <w:hideMark/>
          </w:tcPr>
          <w:p w14:paraId="49FB952C" w14:textId="113B4C49" w:rsidR="00682E3D" w:rsidRPr="00951AB1" w:rsidRDefault="00682E3D" w:rsidP="000A5389">
            <w:pPr>
              <w:spacing w:line="240" w:lineRule="auto"/>
              <w:jc w:val="right"/>
              <w:rPr>
                <w:rFonts w:eastAsia="Times New Roman" w:cs="Times New Roman"/>
                <w:color w:val="000000"/>
                <w:sz w:val="16"/>
                <w:szCs w:val="16"/>
                <w:lang w:val="es-419" w:eastAsia="es-419"/>
              </w:rPr>
            </w:pPr>
            <w:r w:rsidRPr="00951AB1">
              <w:rPr>
                <w:rFonts w:eastAsia="Times New Roman" w:cs="Times New Roman"/>
                <w:color w:val="000000"/>
                <w:sz w:val="16"/>
                <w:szCs w:val="16"/>
                <w:lang w:val="es-419" w:eastAsia="es-419"/>
              </w:rPr>
              <w:t>974.702.646</w:t>
            </w:r>
          </w:p>
        </w:tc>
        <w:tc>
          <w:tcPr>
            <w:tcW w:w="715" w:type="pct"/>
            <w:noWrap/>
            <w:vAlign w:val="bottom"/>
            <w:hideMark/>
          </w:tcPr>
          <w:p w14:paraId="539694C5" w14:textId="4F4327E8" w:rsidR="00682E3D" w:rsidRPr="00951AB1" w:rsidRDefault="00682E3D" w:rsidP="000A5389">
            <w:pPr>
              <w:spacing w:line="240" w:lineRule="auto"/>
              <w:jc w:val="right"/>
              <w:rPr>
                <w:rFonts w:eastAsia="Times New Roman" w:cs="Times New Roman"/>
                <w:color w:val="000000"/>
                <w:sz w:val="16"/>
                <w:szCs w:val="16"/>
                <w:lang w:val="es-419" w:eastAsia="es-419"/>
              </w:rPr>
            </w:pPr>
            <w:r w:rsidRPr="00951AB1">
              <w:rPr>
                <w:rFonts w:eastAsia="Times New Roman" w:cs="Times New Roman"/>
                <w:color w:val="000000"/>
                <w:sz w:val="16"/>
                <w:szCs w:val="16"/>
                <w:lang w:val="es-419" w:eastAsia="es-419"/>
              </w:rPr>
              <w:t>-</w:t>
            </w:r>
          </w:p>
        </w:tc>
      </w:tr>
      <w:tr w:rsidR="00682E3D" w:rsidRPr="00951AB1" w14:paraId="751A26A5" w14:textId="77777777" w:rsidTr="00682E3D">
        <w:trPr>
          <w:trHeight w:val="283"/>
        </w:trPr>
        <w:tc>
          <w:tcPr>
            <w:tcW w:w="2447" w:type="pct"/>
            <w:noWrap/>
            <w:vAlign w:val="bottom"/>
            <w:hideMark/>
          </w:tcPr>
          <w:p w14:paraId="7F075CB2" w14:textId="77777777" w:rsidR="00682E3D" w:rsidRPr="00951AB1" w:rsidRDefault="00682E3D" w:rsidP="000A5389">
            <w:pPr>
              <w:spacing w:line="240" w:lineRule="auto"/>
              <w:rPr>
                <w:rFonts w:eastAsia="Times New Roman" w:cs="Times New Roman"/>
                <w:color w:val="000000"/>
                <w:sz w:val="16"/>
                <w:szCs w:val="16"/>
                <w:lang w:val="es-419" w:eastAsia="es-419"/>
              </w:rPr>
            </w:pPr>
            <w:r w:rsidRPr="00951AB1">
              <w:rPr>
                <w:rFonts w:eastAsia="Times New Roman" w:cs="Times New Roman"/>
                <w:color w:val="000000"/>
                <w:sz w:val="16"/>
                <w:szCs w:val="16"/>
                <w:lang w:val="es-419" w:eastAsia="es-419"/>
              </w:rPr>
              <w:t>EQUIPO MEDICO Y CIENTIFICO</w:t>
            </w:r>
          </w:p>
        </w:tc>
        <w:tc>
          <w:tcPr>
            <w:tcW w:w="919" w:type="pct"/>
            <w:noWrap/>
            <w:vAlign w:val="bottom"/>
            <w:hideMark/>
          </w:tcPr>
          <w:p w14:paraId="587C16FE" w14:textId="70BFB67C" w:rsidR="00682E3D" w:rsidRPr="00951AB1" w:rsidRDefault="00682E3D" w:rsidP="000A5389">
            <w:pPr>
              <w:spacing w:line="240" w:lineRule="auto"/>
              <w:jc w:val="right"/>
              <w:rPr>
                <w:rFonts w:eastAsia="Times New Roman" w:cs="Times New Roman"/>
                <w:color w:val="000000"/>
                <w:sz w:val="16"/>
                <w:szCs w:val="16"/>
                <w:lang w:val="es-419" w:eastAsia="es-419"/>
              </w:rPr>
            </w:pPr>
            <w:r w:rsidRPr="00951AB1">
              <w:rPr>
                <w:rFonts w:eastAsia="Times New Roman" w:cs="Times New Roman"/>
                <w:color w:val="000000"/>
                <w:sz w:val="16"/>
                <w:szCs w:val="16"/>
                <w:lang w:val="es-419" w:eastAsia="es-419"/>
              </w:rPr>
              <w:t>160.340.000</w:t>
            </w:r>
          </w:p>
        </w:tc>
        <w:tc>
          <w:tcPr>
            <w:tcW w:w="919" w:type="pct"/>
            <w:noWrap/>
            <w:vAlign w:val="bottom"/>
            <w:hideMark/>
          </w:tcPr>
          <w:p w14:paraId="2B8AF1B4" w14:textId="4551E76C" w:rsidR="00682E3D" w:rsidRPr="00951AB1" w:rsidRDefault="00682E3D" w:rsidP="000A5389">
            <w:pPr>
              <w:spacing w:line="240" w:lineRule="auto"/>
              <w:jc w:val="right"/>
              <w:rPr>
                <w:rFonts w:eastAsia="Times New Roman" w:cs="Times New Roman"/>
                <w:color w:val="000000"/>
                <w:sz w:val="16"/>
                <w:szCs w:val="16"/>
                <w:lang w:val="es-419" w:eastAsia="es-419"/>
              </w:rPr>
            </w:pPr>
            <w:r w:rsidRPr="00951AB1">
              <w:rPr>
                <w:rFonts w:eastAsia="Times New Roman" w:cs="Times New Roman"/>
                <w:color w:val="000000"/>
                <w:sz w:val="16"/>
                <w:szCs w:val="16"/>
                <w:lang w:val="es-419" w:eastAsia="es-419"/>
              </w:rPr>
              <w:t>-</w:t>
            </w:r>
          </w:p>
        </w:tc>
        <w:tc>
          <w:tcPr>
            <w:tcW w:w="715" w:type="pct"/>
            <w:noWrap/>
            <w:vAlign w:val="bottom"/>
            <w:hideMark/>
          </w:tcPr>
          <w:p w14:paraId="0C6761A8" w14:textId="2CA85EC7" w:rsidR="00682E3D" w:rsidRPr="00951AB1" w:rsidRDefault="00682E3D" w:rsidP="000A5389">
            <w:pPr>
              <w:spacing w:line="240" w:lineRule="auto"/>
              <w:jc w:val="right"/>
              <w:rPr>
                <w:rFonts w:eastAsia="Times New Roman" w:cs="Times New Roman"/>
                <w:color w:val="000000"/>
                <w:sz w:val="16"/>
                <w:szCs w:val="16"/>
                <w:lang w:val="es-419" w:eastAsia="es-419"/>
              </w:rPr>
            </w:pPr>
            <w:r w:rsidRPr="00951AB1">
              <w:rPr>
                <w:rFonts w:eastAsia="Times New Roman" w:cs="Times New Roman"/>
                <w:color w:val="000000"/>
                <w:sz w:val="16"/>
                <w:szCs w:val="16"/>
                <w:lang w:val="es-419" w:eastAsia="es-419"/>
              </w:rPr>
              <w:t>-</w:t>
            </w:r>
          </w:p>
        </w:tc>
      </w:tr>
      <w:tr w:rsidR="00682E3D" w:rsidRPr="00951AB1" w14:paraId="054CA0F3" w14:textId="77777777" w:rsidTr="00682E3D">
        <w:trPr>
          <w:trHeight w:val="283"/>
        </w:trPr>
        <w:tc>
          <w:tcPr>
            <w:tcW w:w="2447" w:type="pct"/>
            <w:noWrap/>
            <w:vAlign w:val="bottom"/>
            <w:hideMark/>
          </w:tcPr>
          <w:p w14:paraId="07498620" w14:textId="77777777" w:rsidR="00682E3D" w:rsidRPr="00951AB1" w:rsidRDefault="00682E3D" w:rsidP="000A5389">
            <w:pPr>
              <w:spacing w:line="240" w:lineRule="auto"/>
              <w:rPr>
                <w:rFonts w:eastAsia="Times New Roman" w:cs="Times New Roman"/>
                <w:color w:val="000000"/>
                <w:sz w:val="16"/>
                <w:szCs w:val="16"/>
                <w:lang w:val="es-419" w:eastAsia="es-419"/>
              </w:rPr>
            </w:pPr>
            <w:r w:rsidRPr="00951AB1">
              <w:rPr>
                <w:rFonts w:eastAsia="Times New Roman" w:cs="Times New Roman"/>
                <w:color w:val="000000"/>
                <w:sz w:val="16"/>
                <w:szCs w:val="16"/>
                <w:lang w:val="es-419" w:eastAsia="es-419"/>
              </w:rPr>
              <w:t>MUEBLES, ENSERES Y EQUIPO DE OFICINA</w:t>
            </w:r>
          </w:p>
        </w:tc>
        <w:tc>
          <w:tcPr>
            <w:tcW w:w="919" w:type="pct"/>
            <w:noWrap/>
            <w:vAlign w:val="bottom"/>
            <w:hideMark/>
          </w:tcPr>
          <w:p w14:paraId="2AAB289B" w14:textId="40A627D1" w:rsidR="00682E3D" w:rsidRPr="00951AB1" w:rsidRDefault="00682E3D" w:rsidP="000A5389">
            <w:pPr>
              <w:spacing w:line="240" w:lineRule="auto"/>
              <w:jc w:val="right"/>
              <w:rPr>
                <w:rFonts w:eastAsia="Times New Roman" w:cs="Times New Roman"/>
                <w:color w:val="000000"/>
                <w:sz w:val="16"/>
                <w:szCs w:val="16"/>
                <w:lang w:val="es-419" w:eastAsia="es-419"/>
              </w:rPr>
            </w:pPr>
            <w:r w:rsidRPr="00951AB1">
              <w:rPr>
                <w:rFonts w:eastAsia="Times New Roman" w:cs="Times New Roman"/>
                <w:color w:val="000000"/>
                <w:sz w:val="16"/>
                <w:szCs w:val="16"/>
                <w:lang w:val="es-419" w:eastAsia="es-419"/>
              </w:rPr>
              <w:t>8.973.734</w:t>
            </w:r>
          </w:p>
        </w:tc>
        <w:tc>
          <w:tcPr>
            <w:tcW w:w="919" w:type="pct"/>
            <w:noWrap/>
            <w:vAlign w:val="bottom"/>
            <w:hideMark/>
          </w:tcPr>
          <w:p w14:paraId="034197E1" w14:textId="3B972B2A" w:rsidR="00682E3D" w:rsidRPr="00951AB1" w:rsidRDefault="00682E3D" w:rsidP="000A5389">
            <w:pPr>
              <w:spacing w:line="240" w:lineRule="auto"/>
              <w:jc w:val="right"/>
              <w:rPr>
                <w:rFonts w:eastAsia="Times New Roman" w:cs="Times New Roman"/>
                <w:color w:val="000000"/>
                <w:sz w:val="16"/>
                <w:szCs w:val="16"/>
                <w:lang w:val="es-419" w:eastAsia="es-419"/>
              </w:rPr>
            </w:pPr>
            <w:r w:rsidRPr="00951AB1">
              <w:rPr>
                <w:rFonts w:eastAsia="Times New Roman" w:cs="Times New Roman"/>
                <w:color w:val="000000"/>
                <w:sz w:val="16"/>
                <w:szCs w:val="16"/>
                <w:lang w:val="es-419" w:eastAsia="es-419"/>
              </w:rPr>
              <w:t>203.169.367</w:t>
            </w:r>
          </w:p>
        </w:tc>
        <w:tc>
          <w:tcPr>
            <w:tcW w:w="715" w:type="pct"/>
            <w:noWrap/>
            <w:vAlign w:val="bottom"/>
            <w:hideMark/>
          </w:tcPr>
          <w:p w14:paraId="066C56DA" w14:textId="6A17010E" w:rsidR="00682E3D" w:rsidRPr="00951AB1" w:rsidRDefault="00682E3D" w:rsidP="000A5389">
            <w:pPr>
              <w:spacing w:line="240" w:lineRule="auto"/>
              <w:jc w:val="right"/>
              <w:rPr>
                <w:rFonts w:eastAsia="Times New Roman" w:cs="Times New Roman"/>
                <w:color w:val="000000"/>
                <w:sz w:val="16"/>
                <w:szCs w:val="16"/>
                <w:lang w:val="es-419" w:eastAsia="es-419"/>
              </w:rPr>
            </w:pPr>
            <w:r w:rsidRPr="00951AB1">
              <w:rPr>
                <w:rFonts w:eastAsia="Times New Roman" w:cs="Times New Roman"/>
                <w:color w:val="000000"/>
                <w:sz w:val="16"/>
                <w:szCs w:val="16"/>
                <w:lang w:val="es-419" w:eastAsia="es-419"/>
              </w:rPr>
              <w:t>-</w:t>
            </w:r>
          </w:p>
        </w:tc>
      </w:tr>
      <w:tr w:rsidR="00682E3D" w:rsidRPr="00951AB1" w14:paraId="6FDB2E80" w14:textId="77777777" w:rsidTr="00682E3D">
        <w:trPr>
          <w:trHeight w:val="283"/>
        </w:trPr>
        <w:tc>
          <w:tcPr>
            <w:tcW w:w="2447" w:type="pct"/>
            <w:noWrap/>
            <w:vAlign w:val="bottom"/>
            <w:hideMark/>
          </w:tcPr>
          <w:p w14:paraId="67C733C7" w14:textId="77777777" w:rsidR="00682E3D" w:rsidRPr="00951AB1" w:rsidRDefault="00682E3D" w:rsidP="000A5389">
            <w:pPr>
              <w:spacing w:line="240" w:lineRule="auto"/>
              <w:rPr>
                <w:rFonts w:eastAsia="Times New Roman" w:cs="Times New Roman"/>
                <w:color w:val="000000"/>
                <w:sz w:val="16"/>
                <w:szCs w:val="16"/>
                <w:lang w:val="es-419" w:eastAsia="es-419"/>
              </w:rPr>
            </w:pPr>
            <w:r w:rsidRPr="00951AB1">
              <w:rPr>
                <w:rFonts w:eastAsia="Times New Roman" w:cs="Times New Roman"/>
                <w:color w:val="000000"/>
                <w:sz w:val="16"/>
                <w:szCs w:val="16"/>
                <w:lang w:val="es-419" w:eastAsia="es-419"/>
              </w:rPr>
              <w:t>EQUIPOS DE COMUNIC. Y COMPUTAC.</w:t>
            </w:r>
          </w:p>
        </w:tc>
        <w:tc>
          <w:tcPr>
            <w:tcW w:w="919" w:type="pct"/>
            <w:noWrap/>
            <w:vAlign w:val="bottom"/>
            <w:hideMark/>
          </w:tcPr>
          <w:p w14:paraId="601A3C00" w14:textId="411478F6" w:rsidR="00682E3D" w:rsidRPr="00951AB1" w:rsidRDefault="00682E3D" w:rsidP="000A5389">
            <w:pPr>
              <w:spacing w:line="240" w:lineRule="auto"/>
              <w:jc w:val="right"/>
              <w:rPr>
                <w:rFonts w:eastAsia="Times New Roman" w:cs="Times New Roman"/>
                <w:color w:val="000000"/>
                <w:sz w:val="16"/>
                <w:szCs w:val="16"/>
                <w:lang w:val="es-419" w:eastAsia="es-419"/>
              </w:rPr>
            </w:pPr>
            <w:r w:rsidRPr="00951AB1">
              <w:rPr>
                <w:rFonts w:eastAsia="Times New Roman" w:cs="Times New Roman"/>
                <w:color w:val="000000"/>
                <w:sz w:val="16"/>
                <w:szCs w:val="16"/>
                <w:lang w:val="es-419" w:eastAsia="es-419"/>
              </w:rPr>
              <w:t>721.534.793</w:t>
            </w:r>
          </w:p>
        </w:tc>
        <w:tc>
          <w:tcPr>
            <w:tcW w:w="919" w:type="pct"/>
            <w:noWrap/>
            <w:vAlign w:val="bottom"/>
            <w:hideMark/>
          </w:tcPr>
          <w:p w14:paraId="697CB5B9" w14:textId="7A9FF0C6" w:rsidR="00682E3D" w:rsidRPr="00951AB1" w:rsidRDefault="00682E3D" w:rsidP="000A5389">
            <w:pPr>
              <w:spacing w:line="240" w:lineRule="auto"/>
              <w:jc w:val="right"/>
              <w:rPr>
                <w:rFonts w:eastAsia="Times New Roman" w:cs="Times New Roman"/>
                <w:color w:val="000000"/>
                <w:sz w:val="16"/>
                <w:szCs w:val="16"/>
                <w:lang w:val="es-419" w:eastAsia="es-419"/>
              </w:rPr>
            </w:pPr>
            <w:r w:rsidRPr="00951AB1">
              <w:rPr>
                <w:rFonts w:eastAsia="Times New Roman" w:cs="Times New Roman"/>
                <w:color w:val="000000"/>
                <w:sz w:val="16"/>
                <w:szCs w:val="16"/>
                <w:lang w:val="es-419" w:eastAsia="es-419"/>
              </w:rPr>
              <w:t>704.797.371</w:t>
            </w:r>
          </w:p>
        </w:tc>
        <w:tc>
          <w:tcPr>
            <w:tcW w:w="715" w:type="pct"/>
            <w:noWrap/>
            <w:vAlign w:val="bottom"/>
            <w:hideMark/>
          </w:tcPr>
          <w:p w14:paraId="70545F5C" w14:textId="5C37E24C" w:rsidR="00682E3D" w:rsidRPr="00951AB1" w:rsidRDefault="00682E3D" w:rsidP="000A5389">
            <w:pPr>
              <w:spacing w:line="240" w:lineRule="auto"/>
              <w:jc w:val="right"/>
              <w:rPr>
                <w:rFonts w:eastAsia="Times New Roman" w:cs="Times New Roman"/>
                <w:color w:val="000000"/>
                <w:sz w:val="16"/>
                <w:szCs w:val="16"/>
                <w:lang w:val="es-419" w:eastAsia="es-419"/>
              </w:rPr>
            </w:pPr>
            <w:r w:rsidRPr="00951AB1">
              <w:rPr>
                <w:rFonts w:eastAsia="Times New Roman" w:cs="Times New Roman"/>
                <w:color w:val="000000"/>
                <w:sz w:val="16"/>
                <w:szCs w:val="16"/>
                <w:lang w:val="es-419" w:eastAsia="es-419"/>
              </w:rPr>
              <w:t>-</w:t>
            </w:r>
          </w:p>
        </w:tc>
      </w:tr>
      <w:tr w:rsidR="00682E3D" w:rsidRPr="00951AB1" w14:paraId="05BF7C51" w14:textId="77777777" w:rsidTr="00682E3D">
        <w:trPr>
          <w:trHeight w:val="283"/>
        </w:trPr>
        <w:tc>
          <w:tcPr>
            <w:tcW w:w="2447" w:type="pct"/>
            <w:noWrap/>
            <w:vAlign w:val="bottom"/>
            <w:hideMark/>
          </w:tcPr>
          <w:p w14:paraId="4693DBDC" w14:textId="77777777" w:rsidR="00682E3D" w:rsidRPr="00951AB1" w:rsidRDefault="00682E3D" w:rsidP="000A5389">
            <w:pPr>
              <w:spacing w:line="240" w:lineRule="auto"/>
              <w:rPr>
                <w:rFonts w:eastAsia="Times New Roman" w:cs="Times New Roman"/>
                <w:color w:val="000000"/>
                <w:sz w:val="16"/>
                <w:szCs w:val="16"/>
                <w:lang w:val="es-419" w:eastAsia="es-419"/>
              </w:rPr>
            </w:pPr>
            <w:r w:rsidRPr="00951AB1">
              <w:rPr>
                <w:rFonts w:eastAsia="Times New Roman" w:cs="Times New Roman"/>
                <w:color w:val="000000"/>
                <w:sz w:val="16"/>
                <w:szCs w:val="16"/>
                <w:lang w:val="es-419" w:eastAsia="es-419"/>
              </w:rPr>
              <w:t>EQUIPOS DE TRANSPORTE, TRACCIÓN Y ELEVACIÓN</w:t>
            </w:r>
          </w:p>
        </w:tc>
        <w:tc>
          <w:tcPr>
            <w:tcW w:w="919" w:type="pct"/>
            <w:noWrap/>
            <w:vAlign w:val="bottom"/>
            <w:hideMark/>
          </w:tcPr>
          <w:p w14:paraId="31666E66" w14:textId="06B45C06" w:rsidR="00682E3D" w:rsidRPr="00951AB1" w:rsidRDefault="00682E3D" w:rsidP="000A5389">
            <w:pPr>
              <w:spacing w:line="240" w:lineRule="auto"/>
              <w:jc w:val="right"/>
              <w:rPr>
                <w:rFonts w:eastAsia="Times New Roman" w:cs="Times New Roman"/>
                <w:color w:val="000000"/>
                <w:sz w:val="16"/>
                <w:szCs w:val="16"/>
                <w:lang w:val="es-419" w:eastAsia="es-419"/>
              </w:rPr>
            </w:pPr>
            <w:r w:rsidRPr="00951AB1">
              <w:rPr>
                <w:rFonts w:eastAsia="Times New Roman" w:cs="Times New Roman"/>
                <w:color w:val="000000"/>
                <w:sz w:val="16"/>
                <w:szCs w:val="16"/>
                <w:lang w:val="es-419" w:eastAsia="es-419"/>
              </w:rPr>
              <w:t>3.152.408.932</w:t>
            </w:r>
          </w:p>
        </w:tc>
        <w:tc>
          <w:tcPr>
            <w:tcW w:w="919" w:type="pct"/>
            <w:noWrap/>
            <w:vAlign w:val="bottom"/>
            <w:hideMark/>
          </w:tcPr>
          <w:p w14:paraId="41A612F9" w14:textId="3D279D37" w:rsidR="00682E3D" w:rsidRPr="00951AB1" w:rsidRDefault="00682E3D" w:rsidP="000A5389">
            <w:pPr>
              <w:spacing w:line="240" w:lineRule="auto"/>
              <w:jc w:val="right"/>
              <w:rPr>
                <w:rFonts w:eastAsia="Times New Roman" w:cs="Times New Roman"/>
                <w:color w:val="000000"/>
                <w:sz w:val="16"/>
                <w:szCs w:val="16"/>
                <w:lang w:val="es-419" w:eastAsia="es-419"/>
              </w:rPr>
            </w:pPr>
            <w:r w:rsidRPr="00951AB1">
              <w:rPr>
                <w:rFonts w:eastAsia="Times New Roman" w:cs="Times New Roman"/>
                <w:color w:val="000000"/>
                <w:sz w:val="16"/>
                <w:szCs w:val="16"/>
                <w:lang w:val="es-419" w:eastAsia="es-419"/>
              </w:rPr>
              <w:t>2.969.152.456</w:t>
            </w:r>
          </w:p>
        </w:tc>
        <w:tc>
          <w:tcPr>
            <w:tcW w:w="715" w:type="pct"/>
            <w:noWrap/>
            <w:vAlign w:val="bottom"/>
            <w:hideMark/>
          </w:tcPr>
          <w:p w14:paraId="1B32C515" w14:textId="6CFB135A" w:rsidR="00682E3D" w:rsidRPr="00951AB1" w:rsidRDefault="00682E3D" w:rsidP="000A5389">
            <w:pPr>
              <w:spacing w:line="240" w:lineRule="auto"/>
              <w:jc w:val="right"/>
              <w:rPr>
                <w:rFonts w:eastAsia="Times New Roman" w:cs="Times New Roman"/>
                <w:color w:val="000000"/>
                <w:sz w:val="16"/>
                <w:szCs w:val="16"/>
                <w:lang w:val="es-419" w:eastAsia="es-419"/>
              </w:rPr>
            </w:pPr>
            <w:r w:rsidRPr="00951AB1">
              <w:rPr>
                <w:rFonts w:eastAsia="Times New Roman" w:cs="Times New Roman"/>
                <w:color w:val="000000"/>
                <w:sz w:val="16"/>
                <w:szCs w:val="16"/>
                <w:lang w:val="es-419" w:eastAsia="es-419"/>
              </w:rPr>
              <w:t>354.811.468</w:t>
            </w:r>
          </w:p>
        </w:tc>
      </w:tr>
      <w:tr w:rsidR="00682E3D" w:rsidRPr="00951AB1" w14:paraId="73E88643" w14:textId="77777777" w:rsidTr="00682E3D">
        <w:trPr>
          <w:trHeight w:val="134"/>
        </w:trPr>
        <w:tc>
          <w:tcPr>
            <w:tcW w:w="2447" w:type="pct"/>
            <w:noWrap/>
            <w:vAlign w:val="bottom"/>
            <w:hideMark/>
          </w:tcPr>
          <w:p w14:paraId="1E10E00F" w14:textId="77777777" w:rsidR="00682E3D" w:rsidRPr="00951AB1" w:rsidRDefault="00682E3D" w:rsidP="000A5389">
            <w:pPr>
              <w:spacing w:line="240" w:lineRule="auto"/>
              <w:rPr>
                <w:rFonts w:eastAsia="Times New Roman" w:cs="Times New Roman"/>
                <w:color w:val="000000"/>
                <w:sz w:val="16"/>
                <w:szCs w:val="16"/>
                <w:lang w:val="es-419" w:eastAsia="es-419"/>
              </w:rPr>
            </w:pPr>
          </w:p>
        </w:tc>
        <w:tc>
          <w:tcPr>
            <w:tcW w:w="919" w:type="pct"/>
            <w:noWrap/>
            <w:vAlign w:val="bottom"/>
            <w:hideMark/>
          </w:tcPr>
          <w:p w14:paraId="08704E82" w14:textId="77777777" w:rsidR="00682E3D" w:rsidRPr="00951AB1" w:rsidRDefault="00682E3D" w:rsidP="000A5389">
            <w:pPr>
              <w:spacing w:line="240" w:lineRule="auto"/>
              <w:jc w:val="right"/>
              <w:rPr>
                <w:rFonts w:eastAsia="Times New Roman" w:cs="Times New Roman"/>
                <w:sz w:val="16"/>
                <w:szCs w:val="16"/>
                <w:lang w:val="es-419" w:eastAsia="es-419"/>
              </w:rPr>
            </w:pPr>
          </w:p>
        </w:tc>
        <w:tc>
          <w:tcPr>
            <w:tcW w:w="919" w:type="pct"/>
            <w:noWrap/>
            <w:vAlign w:val="bottom"/>
            <w:hideMark/>
          </w:tcPr>
          <w:p w14:paraId="57808766" w14:textId="77777777" w:rsidR="00682E3D" w:rsidRPr="00951AB1" w:rsidRDefault="00682E3D" w:rsidP="000A5389">
            <w:pPr>
              <w:spacing w:line="240" w:lineRule="auto"/>
              <w:jc w:val="right"/>
              <w:rPr>
                <w:rFonts w:eastAsia="Times New Roman" w:cs="Times New Roman"/>
                <w:sz w:val="16"/>
                <w:szCs w:val="16"/>
                <w:lang w:val="es-419" w:eastAsia="es-419"/>
              </w:rPr>
            </w:pPr>
          </w:p>
        </w:tc>
        <w:tc>
          <w:tcPr>
            <w:tcW w:w="715" w:type="pct"/>
            <w:noWrap/>
            <w:vAlign w:val="bottom"/>
            <w:hideMark/>
          </w:tcPr>
          <w:p w14:paraId="78D73A67" w14:textId="77777777" w:rsidR="00682E3D" w:rsidRPr="00951AB1" w:rsidRDefault="00682E3D" w:rsidP="000A5389">
            <w:pPr>
              <w:spacing w:line="240" w:lineRule="auto"/>
              <w:jc w:val="right"/>
              <w:rPr>
                <w:rFonts w:eastAsia="Times New Roman" w:cs="Times New Roman"/>
                <w:sz w:val="16"/>
                <w:szCs w:val="16"/>
                <w:lang w:val="es-419" w:eastAsia="es-419"/>
              </w:rPr>
            </w:pPr>
          </w:p>
        </w:tc>
      </w:tr>
      <w:tr w:rsidR="00682E3D" w:rsidRPr="00951AB1" w14:paraId="769014F9" w14:textId="77777777" w:rsidTr="00682E3D">
        <w:trPr>
          <w:trHeight w:val="283"/>
        </w:trPr>
        <w:tc>
          <w:tcPr>
            <w:tcW w:w="2447" w:type="pct"/>
            <w:noWrap/>
            <w:vAlign w:val="bottom"/>
            <w:hideMark/>
          </w:tcPr>
          <w:p w14:paraId="3A73BA7E" w14:textId="77777777" w:rsidR="00682E3D" w:rsidRPr="00951AB1" w:rsidRDefault="00682E3D" w:rsidP="000A5389">
            <w:pPr>
              <w:spacing w:line="240" w:lineRule="auto"/>
              <w:rPr>
                <w:rFonts w:eastAsia="Times New Roman" w:cs="Times New Roman"/>
                <w:color w:val="000000"/>
                <w:sz w:val="16"/>
                <w:szCs w:val="16"/>
                <w:lang w:val="es-419" w:eastAsia="es-419"/>
              </w:rPr>
            </w:pPr>
            <w:r w:rsidRPr="00951AB1">
              <w:rPr>
                <w:rFonts w:eastAsia="Times New Roman" w:cs="Times New Roman"/>
                <w:color w:val="000000"/>
                <w:sz w:val="16"/>
                <w:szCs w:val="16"/>
                <w:lang w:val="es-419" w:eastAsia="es-419"/>
              </w:rPr>
              <w:t>SUBTOTAL</w:t>
            </w:r>
          </w:p>
        </w:tc>
        <w:tc>
          <w:tcPr>
            <w:tcW w:w="919" w:type="pct"/>
            <w:noWrap/>
            <w:vAlign w:val="bottom"/>
            <w:hideMark/>
          </w:tcPr>
          <w:p w14:paraId="04C63AE2" w14:textId="4D286C46" w:rsidR="00682E3D" w:rsidRPr="00951AB1" w:rsidRDefault="00682E3D" w:rsidP="000A5389">
            <w:pPr>
              <w:spacing w:line="240" w:lineRule="auto"/>
              <w:jc w:val="right"/>
              <w:rPr>
                <w:rFonts w:eastAsia="Times New Roman" w:cs="Times New Roman"/>
                <w:color w:val="000000"/>
                <w:sz w:val="16"/>
                <w:szCs w:val="16"/>
                <w:lang w:val="es-419" w:eastAsia="es-419"/>
              </w:rPr>
            </w:pPr>
            <w:r w:rsidRPr="00951AB1">
              <w:rPr>
                <w:rFonts w:eastAsia="Times New Roman" w:cs="Times New Roman"/>
                <w:color w:val="000000"/>
                <w:sz w:val="16"/>
                <w:szCs w:val="16"/>
                <w:lang w:val="es-419" w:eastAsia="es-419"/>
              </w:rPr>
              <w:t>9.121.317.662</w:t>
            </w:r>
          </w:p>
        </w:tc>
        <w:tc>
          <w:tcPr>
            <w:tcW w:w="919" w:type="pct"/>
            <w:noWrap/>
            <w:vAlign w:val="bottom"/>
            <w:hideMark/>
          </w:tcPr>
          <w:p w14:paraId="43CDB20A" w14:textId="00054C5A" w:rsidR="00682E3D" w:rsidRPr="00951AB1" w:rsidRDefault="00682E3D" w:rsidP="000A5389">
            <w:pPr>
              <w:spacing w:line="240" w:lineRule="auto"/>
              <w:jc w:val="right"/>
              <w:rPr>
                <w:rFonts w:eastAsia="Times New Roman" w:cs="Times New Roman"/>
                <w:color w:val="000000"/>
                <w:sz w:val="16"/>
                <w:szCs w:val="16"/>
                <w:lang w:val="es-419" w:eastAsia="es-419"/>
              </w:rPr>
            </w:pPr>
            <w:r w:rsidRPr="00951AB1">
              <w:rPr>
                <w:rFonts w:eastAsia="Times New Roman" w:cs="Times New Roman"/>
                <w:color w:val="000000"/>
                <w:sz w:val="16"/>
                <w:szCs w:val="16"/>
                <w:lang w:val="es-419" w:eastAsia="es-419"/>
              </w:rPr>
              <w:t>4.927.092.434</w:t>
            </w:r>
          </w:p>
        </w:tc>
        <w:tc>
          <w:tcPr>
            <w:tcW w:w="715" w:type="pct"/>
            <w:noWrap/>
            <w:vAlign w:val="bottom"/>
            <w:hideMark/>
          </w:tcPr>
          <w:p w14:paraId="4533FD7A" w14:textId="46477ECB" w:rsidR="00682E3D" w:rsidRPr="00951AB1" w:rsidRDefault="00682E3D" w:rsidP="000A5389">
            <w:pPr>
              <w:spacing w:line="240" w:lineRule="auto"/>
              <w:jc w:val="right"/>
              <w:rPr>
                <w:rFonts w:eastAsia="Times New Roman" w:cs="Times New Roman"/>
                <w:color w:val="000000"/>
                <w:sz w:val="16"/>
                <w:szCs w:val="16"/>
                <w:lang w:val="es-419" w:eastAsia="es-419"/>
              </w:rPr>
            </w:pPr>
            <w:r w:rsidRPr="00951AB1">
              <w:rPr>
                <w:rFonts w:eastAsia="Times New Roman" w:cs="Times New Roman"/>
                <w:color w:val="000000"/>
                <w:sz w:val="16"/>
                <w:szCs w:val="16"/>
                <w:lang w:val="es-419" w:eastAsia="es-419"/>
              </w:rPr>
              <w:t>354.811.468</w:t>
            </w:r>
          </w:p>
        </w:tc>
      </w:tr>
      <w:tr w:rsidR="00682E3D" w:rsidRPr="00951AB1" w14:paraId="7766F2FB" w14:textId="77777777" w:rsidTr="00682E3D">
        <w:trPr>
          <w:trHeight w:val="283"/>
        </w:trPr>
        <w:tc>
          <w:tcPr>
            <w:tcW w:w="2447" w:type="pct"/>
            <w:noWrap/>
            <w:vAlign w:val="bottom"/>
            <w:hideMark/>
          </w:tcPr>
          <w:p w14:paraId="108184A1" w14:textId="77777777" w:rsidR="00682E3D" w:rsidRPr="00951AB1" w:rsidRDefault="00682E3D" w:rsidP="000A5389">
            <w:pPr>
              <w:spacing w:line="240" w:lineRule="auto"/>
              <w:rPr>
                <w:rFonts w:eastAsia="Times New Roman" w:cs="Times New Roman"/>
                <w:color w:val="000000"/>
                <w:sz w:val="16"/>
                <w:szCs w:val="16"/>
                <w:lang w:val="es-419" w:eastAsia="es-419"/>
              </w:rPr>
            </w:pPr>
            <w:r w:rsidRPr="00951AB1">
              <w:rPr>
                <w:rFonts w:eastAsia="Times New Roman" w:cs="Times New Roman"/>
                <w:color w:val="000000"/>
                <w:sz w:val="16"/>
                <w:szCs w:val="16"/>
                <w:lang w:val="es-419" w:eastAsia="es-419"/>
              </w:rPr>
              <w:t>TOTAL</w:t>
            </w:r>
          </w:p>
        </w:tc>
        <w:tc>
          <w:tcPr>
            <w:tcW w:w="919" w:type="pct"/>
            <w:noWrap/>
            <w:vAlign w:val="bottom"/>
            <w:hideMark/>
          </w:tcPr>
          <w:p w14:paraId="53C9C4D1" w14:textId="40C50625" w:rsidR="00682E3D" w:rsidRPr="00951AB1" w:rsidRDefault="00682E3D" w:rsidP="000A5389">
            <w:pPr>
              <w:spacing w:line="240" w:lineRule="auto"/>
              <w:jc w:val="right"/>
              <w:rPr>
                <w:rFonts w:eastAsia="Times New Roman" w:cs="Times New Roman"/>
                <w:color w:val="000000"/>
                <w:sz w:val="16"/>
                <w:szCs w:val="16"/>
                <w:lang w:val="es-419" w:eastAsia="es-419"/>
              </w:rPr>
            </w:pPr>
            <w:r w:rsidRPr="00951AB1">
              <w:rPr>
                <w:rFonts w:eastAsia="Times New Roman" w:cs="Times New Roman"/>
                <w:color w:val="000000"/>
                <w:sz w:val="16"/>
                <w:szCs w:val="16"/>
                <w:lang w:val="es-419" w:eastAsia="es-419"/>
              </w:rPr>
              <w:t>14.403.221.564</w:t>
            </w:r>
          </w:p>
        </w:tc>
        <w:tc>
          <w:tcPr>
            <w:tcW w:w="919" w:type="pct"/>
            <w:noWrap/>
            <w:vAlign w:val="bottom"/>
            <w:hideMark/>
          </w:tcPr>
          <w:p w14:paraId="7E9065D5" w14:textId="77777777" w:rsidR="00682E3D" w:rsidRPr="00951AB1" w:rsidRDefault="00682E3D" w:rsidP="000A5389">
            <w:pPr>
              <w:spacing w:line="240" w:lineRule="auto"/>
              <w:jc w:val="right"/>
              <w:rPr>
                <w:rFonts w:eastAsia="Times New Roman" w:cs="Times New Roman"/>
                <w:color w:val="000000"/>
                <w:sz w:val="16"/>
                <w:szCs w:val="16"/>
                <w:lang w:val="es-419" w:eastAsia="es-419"/>
              </w:rPr>
            </w:pPr>
          </w:p>
        </w:tc>
        <w:tc>
          <w:tcPr>
            <w:tcW w:w="715" w:type="pct"/>
            <w:noWrap/>
            <w:vAlign w:val="bottom"/>
            <w:hideMark/>
          </w:tcPr>
          <w:p w14:paraId="049F8967" w14:textId="77777777" w:rsidR="00682E3D" w:rsidRPr="00951AB1" w:rsidRDefault="00682E3D" w:rsidP="000A5389">
            <w:pPr>
              <w:spacing w:line="240" w:lineRule="auto"/>
              <w:jc w:val="right"/>
              <w:rPr>
                <w:rFonts w:eastAsia="Times New Roman" w:cs="Times New Roman"/>
                <w:sz w:val="16"/>
                <w:szCs w:val="16"/>
                <w:lang w:val="es-419" w:eastAsia="es-419"/>
              </w:rPr>
            </w:pPr>
          </w:p>
        </w:tc>
      </w:tr>
    </w:tbl>
    <w:p w14:paraId="4BABB0A1" w14:textId="49B08B9A" w:rsidR="00B74D04" w:rsidRPr="00951AB1" w:rsidRDefault="00B74D04" w:rsidP="000A5389">
      <w:pPr>
        <w:pStyle w:val="Textoindependiente"/>
        <w:spacing w:line="240" w:lineRule="auto"/>
        <w:rPr>
          <w:bCs/>
          <w:sz w:val="14"/>
          <w:szCs w:val="14"/>
        </w:rPr>
      </w:pPr>
      <w:r w:rsidRPr="00951AB1">
        <w:rPr>
          <w:bCs/>
          <w:sz w:val="14"/>
          <w:szCs w:val="14"/>
        </w:rPr>
        <w:t>Cifras expresadas en pesos</w:t>
      </w:r>
    </w:p>
    <w:p w14:paraId="4D6F1A3D" w14:textId="14A3FCFD" w:rsidR="00682E3D" w:rsidRPr="00951AB1" w:rsidRDefault="00682E3D" w:rsidP="000A5389">
      <w:pPr>
        <w:pStyle w:val="Textoindependiente"/>
        <w:spacing w:line="240" w:lineRule="auto"/>
        <w:rPr>
          <w:bCs/>
        </w:rPr>
      </w:pPr>
    </w:p>
    <w:p w14:paraId="2768C806" w14:textId="7AF14D22" w:rsidR="00D81C95" w:rsidRPr="00951AB1" w:rsidRDefault="00D81C95" w:rsidP="000A5389">
      <w:pPr>
        <w:pStyle w:val="Textoindependiente"/>
        <w:spacing w:line="240" w:lineRule="auto"/>
        <w:rPr>
          <w:bCs/>
        </w:rPr>
      </w:pPr>
      <w:r w:rsidRPr="00951AB1">
        <w:rPr>
          <w:bCs/>
          <w:i/>
          <w:iCs/>
        </w:rPr>
        <w:t>Modo portuario</w:t>
      </w:r>
      <w:r w:rsidR="00DD4FEC" w:rsidRPr="00951AB1">
        <w:rPr>
          <w:bCs/>
          <w:i/>
          <w:iCs/>
        </w:rPr>
        <w:t xml:space="preserve">: </w:t>
      </w:r>
      <w:r w:rsidRPr="00951AB1">
        <w:rPr>
          <w:bCs/>
        </w:rPr>
        <w:t>Para el año 2025, en el modo portuario se desincorporó los activos en las Zonas de U Público y construcción que se encuentren instaladas en el Muelle ubicado en la Bahía interior de Buen/tura contiguo al parque Néstor Urbano, correspondiente a Maquinaria y Equipo por valor de $99.352.191.</w:t>
      </w:r>
    </w:p>
    <w:p w14:paraId="79CE50DD" w14:textId="77777777" w:rsidR="00D81C95" w:rsidRPr="00951AB1" w:rsidRDefault="00D81C95" w:rsidP="000A5389">
      <w:pPr>
        <w:pStyle w:val="Textoindependiente"/>
        <w:spacing w:line="240" w:lineRule="auto"/>
        <w:rPr>
          <w:bCs/>
        </w:rPr>
      </w:pPr>
    </w:p>
    <w:p w14:paraId="7B012172" w14:textId="77777777" w:rsidR="00D81C95" w:rsidRPr="00951AB1" w:rsidRDefault="00D81C95" w:rsidP="000A5389">
      <w:pPr>
        <w:spacing w:line="240" w:lineRule="auto"/>
        <w:rPr>
          <w:rFonts w:cs="Times New Roman"/>
          <w:szCs w:val="24"/>
        </w:rPr>
      </w:pPr>
      <w:r w:rsidRPr="00951AB1">
        <w:rPr>
          <w:rFonts w:cs="Times New Roman"/>
          <w:szCs w:val="24"/>
        </w:rPr>
        <w:t>Estas bajas generaron un impacto por valor de $14.403.221.564 en el resultado del ejercicio, reflejándose una pérdida la cual fue reconocida en el estado de resultados de la Agencia, de acuerdo con las normas contables aplicables, los Proyectos revertidos en la vigencia 2025 así:</w:t>
      </w:r>
    </w:p>
    <w:p w14:paraId="757E3CFC" w14:textId="77777777" w:rsidR="00D81C95" w:rsidRPr="00951AB1" w:rsidRDefault="00D81C95" w:rsidP="000A5389">
      <w:pPr>
        <w:pStyle w:val="Prrafodelista"/>
        <w:numPr>
          <w:ilvl w:val="0"/>
          <w:numId w:val="63"/>
        </w:numPr>
        <w:spacing w:line="240" w:lineRule="auto"/>
        <w:rPr>
          <w:rFonts w:cs="Times New Roman"/>
          <w:szCs w:val="24"/>
        </w:rPr>
      </w:pPr>
      <w:r w:rsidRPr="00951AB1">
        <w:rPr>
          <w:rFonts w:cs="Times New Roman"/>
          <w:szCs w:val="24"/>
        </w:rPr>
        <w:t>Proyecto Cordoba – Sucre por valor de $9.121.317.662.</w:t>
      </w:r>
    </w:p>
    <w:p w14:paraId="06F6929A" w14:textId="77777777" w:rsidR="00D81C95" w:rsidRPr="00951AB1" w:rsidRDefault="00D81C95" w:rsidP="000A5389">
      <w:pPr>
        <w:pStyle w:val="Prrafodelista"/>
        <w:numPr>
          <w:ilvl w:val="0"/>
          <w:numId w:val="63"/>
        </w:numPr>
        <w:spacing w:line="240" w:lineRule="auto"/>
        <w:rPr>
          <w:rFonts w:cs="Times New Roman"/>
          <w:szCs w:val="24"/>
        </w:rPr>
      </w:pPr>
      <w:r w:rsidRPr="00951AB1">
        <w:rPr>
          <w:rFonts w:cs="Times New Roman"/>
          <w:szCs w:val="24"/>
        </w:rPr>
        <w:t>Proyecto Bucaramanga – Pamplona por valor de $4.927.092.434.</w:t>
      </w:r>
    </w:p>
    <w:p w14:paraId="3C62C595" w14:textId="77777777" w:rsidR="00D81C95" w:rsidRPr="00951AB1" w:rsidRDefault="00D81C95" w:rsidP="000A5389">
      <w:pPr>
        <w:pStyle w:val="Prrafodelista"/>
        <w:numPr>
          <w:ilvl w:val="0"/>
          <w:numId w:val="63"/>
        </w:numPr>
        <w:spacing w:line="240" w:lineRule="auto"/>
        <w:rPr>
          <w:rFonts w:cs="Times New Roman"/>
          <w:szCs w:val="24"/>
        </w:rPr>
      </w:pPr>
      <w:r w:rsidRPr="00951AB1">
        <w:rPr>
          <w:rFonts w:cs="Times New Roman"/>
          <w:szCs w:val="24"/>
        </w:rPr>
        <w:t>Proyecto GICA por valor de $ 354.811.468.</w:t>
      </w:r>
    </w:p>
    <w:p w14:paraId="3442C257" w14:textId="77777777" w:rsidR="00D81C95" w:rsidRPr="00951AB1" w:rsidRDefault="00D81C95" w:rsidP="000A5389">
      <w:pPr>
        <w:pStyle w:val="Textoindependiente"/>
        <w:spacing w:line="240" w:lineRule="auto"/>
        <w:rPr>
          <w:bCs/>
        </w:rPr>
      </w:pPr>
    </w:p>
    <w:p w14:paraId="1B7ECF93" w14:textId="398E9DA5" w:rsidR="00D81C95" w:rsidRPr="00951AB1" w:rsidRDefault="00D81C95" w:rsidP="000A5389">
      <w:pPr>
        <w:spacing w:line="240" w:lineRule="auto"/>
        <w:rPr>
          <w:rFonts w:cs="Times New Roman"/>
          <w:szCs w:val="24"/>
        </w:rPr>
      </w:pPr>
      <w:r w:rsidRPr="00951AB1">
        <w:rPr>
          <w:rFonts w:cs="Times New Roman"/>
          <w:b/>
          <w:bCs/>
          <w:i/>
          <w:iCs/>
          <w:szCs w:val="24"/>
        </w:rPr>
        <w:t>Cambios y mediciones año 2025:</w:t>
      </w:r>
      <w:r w:rsidR="001E3E8D" w:rsidRPr="00951AB1">
        <w:rPr>
          <w:rFonts w:cs="Times New Roman"/>
          <w:b/>
          <w:bCs/>
          <w:i/>
          <w:iCs/>
          <w:szCs w:val="24"/>
        </w:rPr>
        <w:t xml:space="preserve"> </w:t>
      </w:r>
      <w:r w:rsidRPr="00951AB1">
        <w:rPr>
          <w:rFonts w:cs="Times New Roman"/>
          <w:szCs w:val="24"/>
        </w:rPr>
        <w:t>Durante la vigencia se registraron movimientos en los bienes de uso público en servicio, los cuales se detallan a continuación:</w:t>
      </w:r>
    </w:p>
    <w:p w14:paraId="6AEDE928" w14:textId="77777777" w:rsidR="00D81C95" w:rsidRPr="00951AB1" w:rsidRDefault="00D81C95" w:rsidP="000A5389">
      <w:pPr>
        <w:spacing w:line="240" w:lineRule="auto"/>
        <w:rPr>
          <w:rFonts w:cs="Times New Roman"/>
          <w:b/>
          <w:bCs/>
          <w:szCs w:val="24"/>
        </w:rPr>
      </w:pPr>
    </w:p>
    <w:p w14:paraId="2FCE6080" w14:textId="5361E794" w:rsidR="00D81C95" w:rsidRPr="00951AB1" w:rsidRDefault="00D81C95" w:rsidP="000A5389">
      <w:pPr>
        <w:spacing w:line="240" w:lineRule="auto"/>
        <w:rPr>
          <w:rFonts w:cs="Times New Roman"/>
          <w:szCs w:val="24"/>
        </w:rPr>
      </w:pPr>
      <w:r w:rsidRPr="00951AB1">
        <w:rPr>
          <w:rFonts w:cs="Times New Roman"/>
          <w:szCs w:val="24"/>
        </w:rPr>
        <w:t>Adiciones por valor de $</w:t>
      </w:r>
      <w:r w:rsidRPr="00951AB1">
        <w:rPr>
          <w:rFonts w:cs="Times New Roman"/>
        </w:rPr>
        <w:t xml:space="preserve"> </w:t>
      </w:r>
      <w:r w:rsidRPr="00951AB1">
        <w:rPr>
          <w:rFonts w:cs="Times New Roman"/>
          <w:szCs w:val="24"/>
        </w:rPr>
        <w:t>41.124.656.979 que a continuación se detallan:</w:t>
      </w:r>
    </w:p>
    <w:p w14:paraId="1B58CC18" w14:textId="77777777" w:rsidR="00D81C95" w:rsidRPr="00951AB1" w:rsidRDefault="00D81C95" w:rsidP="000A5389">
      <w:pPr>
        <w:pStyle w:val="Prrafodelista"/>
        <w:numPr>
          <w:ilvl w:val="0"/>
          <w:numId w:val="64"/>
        </w:numPr>
        <w:spacing w:line="240" w:lineRule="auto"/>
        <w:rPr>
          <w:rFonts w:cs="Times New Roman"/>
          <w:szCs w:val="24"/>
        </w:rPr>
      </w:pPr>
      <w:r w:rsidRPr="00951AB1">
        <w:rPr>
          <w:rFonts w:cs="Times New Roman"/>
          <w:szCs w:val="24"/>
        </w:rPr>
        <w:t>Se reclasifico bienes del modo carretero por valor de $</w:t>
      </w:r>
      <w:r w:rsidRPr="00951AB1">
        <w:rPr>
          <w:rFonts w:cs="Times New Roman"/>
        </w:rPr>
        <w:t xml:space="preserve"> </w:t>
      </w:r>
      <w:r w:rsidRPr="00951AB1">
        <w:rPr>
          <w:rFonts w:cs="Times New Roman"/>
          <w:szCs w:val="24"/>
        </w:rPr>
        <w:t>199.400.004.</w:t>
      </w:r>
    </w:p>
    <w:p w14:paraId="389A7409" w14:textId="77777777" w:rsidR="00D81C95" w:rsidRPr="00951AB1" w:rsidRDefault="00D81C95" w:rsidP="000A5389">
      <w:pPr>
        <w:pStyle w:val="Prrafodelista"/>
        <w:numPr>
          <w:ilvl w:val="0"/>
          <w:numId w:val="64"/>
        </w:numPr>
        <w:spacing w:line="240" w:lineRule="auto"/>
        <w:rPr>
          <w:rFonts w:cs="Times New Roman"/>
          <w:szCs w:val="24"/>
        </w:rPr>
      </w:pPr>
      <w:r w:rsidRPr="00951AB1">
        <w:rPr>
          <w:rFonts w:cs="Times New Roman"/>
          <w:szCs w:val="24"/>
        </w:rPr>
        <w:t>Entrega de la infraestructura asociada al proyecto de concesión APP 001-2025, Corredor Férreo la Dorada Chiriguana de acuerdo con lo informado en el formato establecido por valor de $</w:t>
      </w:r>
      <w:r w:rsidRPr="00951AB1">
        <w:rPr>
          <w:rFonts w:cs="Times New Roman"/>
        </w:rPr>
        <w:t xml:space="preserve"> </w:t>
      </w:r>
      <w:r w:rsidRPr="00951AB1">
        <w:rPr>
          <w:rFonts w:cs="Times New Roman"/>
          <w:szCs w:val="24"/>
        </w:rPr>
        <w:t>40.925.256.975.</w:t>
      </w:r>
    </w:p>
    <w:p w14:paraId="18624368" w14:textId="77777777" w:rsidR="00D81C95" w:rsidRPr="00951AB1" w:rsidRDefault="00D81C95" w:rsidP="000A5389">
      <w:pPr>
        <w:spacing w:line="240" w:lineRule="auto"/>
        <w:rPr>
          <w:rFonts w:cs="Times New Roman"/>
          <w:szCs w:val="24"/>
        </w:rPr>
      </w:pPr>
    </w:p>
    <w:p w14:paraId="0CC0A0DC" w14:textId="77777777" w:rsidR="00D81C95" w:rsidRPr="00951AB1" w:rsidRDefault="00D81C95" w:rsidP="000A5389">
      <w:pPr>
        <w:spacing w:line="240" w:lineRule="auto"/>
        <w:rPr>
          <w:rFonts w:cs="Times New Roman"/>
          <w:szCs w:val="24"/>
          <w:lang w:val="es-419"/>
        </w:rPr>
      </w:pPr>
      <w:r w:rsidRPr="00951AB1">
        <w:rPr>
          <w:rFonts w:cs="Times New Roman"/>
          <w:szCs w:val="24"/>
          <w:lang w:val="es-419"/>
        </w:rPr>
        <w:t>Las disminuciones presentadas por valor de $73.125.077.667 corresponden a:</w:t>
      </w:r>
    </w:p>
    <w:p w14:paraId="54E7D49D" w14:textId="77777777" w:rsidR="00D81C95" w:rsidRPr="00951AB1" w:rsidRDefault="00D81C95" w:rsidP="000A5389">
      <w:pPr>
        <w:spacing w:line="240" w:lineRule="auto"/>
        <w:rPr>
          <w:rFonts w:cs="Times New Roman"/>
          <w:szCs w:val="24"/>
          <w:lang w:val="es-419"/>
        </w:rPr>
      </w:pPr>
    </w:p>
    <w:p w14:paraId="5CD469D1" w14:textId="77777777" w:rsidR="00D81C95" w:rsidRPr="00951AB1" w:rsidRDefault="00D81C95" w:rsidP="000A5389">
      <w:pPr>
        <w:pStyle w:val="Prrafodelista"/>
        <w:numPr>
          <w:ilvl w:val="0"/>
          <w:numId w:val="65"/>
        </w:numPr>
        <w:spacing w:line="240" w:lineRule="auto"/>
        <w:rPr>
          <w:rFonts w:cs="Times New Roman"/>
          <w:szCs w:val="24"/>
        </w:rPr>
      </w:pPr>
      <w:r w:rsidRPr="00951AB1">
        <w:rPr>
          <w:rFonts w:cs="Times New Roman"/>
          <w:szCs w:val="24"/>
        </w:rPr>
        <w:t>Traslados a propiedades, planta y equipo en concesión del modo carretero por valor de $</w:t>
      </w:r>
      <w:r w:rsidRPr="00951AB1">
        <w:rPr>
          <w:rFonts w:cs="Times New Roman"/>
        </w:rPr>
        <w:t xml:space="preserve"> </w:t>
      </w:r>
      <w:r w:rsidRPr="00951AB1">
        <w:rPr>
          <w:rFonts w:cs="Times New Roman"/>
          <w:szCs w:val="24"/>
        </w:rPr>
        <w:t>18.356.180.109.</w:t>
      </w:r>
    </w:p>
    <w:p w14:paraId="5BEC6E83" w14:textId="77777777" w:rsidR="00D81C95" w:rsidRPr="00951AB1" w:rsidRDefault="00D81C95" w:rsidP="000A5389">
      <w:pPr>
        <w:pStyle w:val="Prrafodelista"/>
        <w:numPr>
          <w:ilvl w:val="0"/>
          <w:numId w:val="65"/>
        </w:numPr>
        <w:spacing w:line="240" w:lineRule="auto"/>
        <w:rPr>
          <w:rFonts w:cs="Times New Roman"/>
          <w:szCs w:val="24"/>
        </w:rPr>
      </w:pPr>
      <w:r w:rsidRPr="00951AB1">
        <w:rPr>
          <w:rFonts w:cs="Times New Roman"/>
          <w:szCs w:val="24"/>
        </w:rPr>
        <w:t>Traslado de los bienes en servicio a bienes en concesión asociados al corredor Férreo la Dorada Chiriguana por valor de $35.163.333.714.</w:t>
      </w:r>
    </w:p>
    <w:p w14:paraId="18586D89" w14:textId="77777777" w:rsidR="00D81C95" w:rsidRPr="00951AB1" w:rsidRDefault="00D81C95" w:rsidP="000A5389">
      <w:pPr>
        <w:pStyle w:val="Prrafodelista"/>
        <w:numPr>
          <w:ilvl w:val="0"/>
          <w:numId w:val="65"/>
        </w:numPr>
        <w:spacing w:line="240" w:lineRule="auto"/>
        <w:rPr>
          <w:rFonts w:cs="Times New Roman"/>
          <w:szCs w:val="24"/>
        </w:rPr>
      </w:pPr>
      <w:r w:rsidRPr="00951AB1">
        <w:rPr>
          <w:rFonts w:cs="Times New Roman"/>
          <w:szCs w:val="24"/>
        </w:rPr>
        <w:t>Retiro de bienes del modo portuario de acuerdo con lo informado por valor de $</w:t>
      </w:r>
      <w:r w:rsidRPr="00951AB1">
        <w:rPr>
          <w:rFonts w:cs="Times New Roman"/>
        </w:rPr>
        <w:t xml:space="preserve"> </w:t>
      </w:r>
      <w:r w:rsidRPr="00951AB1">
        <w:rPr>
          <w:rFonts w:cs="Times New Roman"/>
          <w:szCs w:val="24"/>
        </w:rPr>
        <w:t>19.605.563.844.</w:t>
      </w:r>
    </w:p>
    <w:p w14:paraId="72406C50" w14:textId="1EE46E78" w:rsidR="00D81C95" w:rsidRDefault="00D81C95" w:rsidP="000A5389">
      <w:pPr>
        <w:spacing w:line="240" w:lineRule="auto"/>
        <w:rPr>
          <w:rFonts w:cs="Times New Roman"/>
          <w:szCs w:val="24"/>
        </w:rPr>
      </w:pPr>
      <w:r w:rsidRPr="00951AB1">
        <w:rPr>
          <w:rFonts w:cs="Times New Roman"/>
          <w:b/>
          <w:bCs/>
          <w:i/>
          <w:iCs/>
          <w:szCs w:val="24"/>
        </w:rPr>
        <w:lastRenderedPageBreak/>
        <w:t>Depreciaciones Propiedades, planta y equipo - Concesión:</w:t>
      </w:r>
      <w:r w:rsidR="00B74D04" w:rsidRPr="00951AB1">
        <w:rPr>
          <w:rFonts w:cs="Times New Roman"/>
          <w:b/>
          <w:bCs/>
          <w:i/>
          <w:iCs/>
          <w:szCs w:val="24"/>
        </w:rPr>
        <w:t xml:space="preserve"> </w:t>
      </w:r>
      <w:r w:rsidRPr="00951AB1">
        <w:rPr>
          <w:rFonts w:cs="Times New Roman"/>
          <w:szCs w:val="24"/>
        </w:rPr>
        <w:t>El saldo de la depreciación acumulada (DA) para las propiedades, planta y equipo por valor de $</w:t>
      </w:r>
      <w:r w:rsidRPr="00951AB1">
        <w:rPr>
          <w:rFonts w:cs="Times New Roman"/>
        </w:rPr>
        <w:t xml:space="preserve"> </w:t>
      </w:r>
      <w:r w:rsidRPr="00951AB1">
        <w:rPr>
          <w:rFonts w:cs="Times New Roman"/>
          <w:szCs w:val="24"/>
        </w:rPr>
        <w:t>5.961.431.383 corresponde a las actualizaciones realizadas a la red férrea concesionada y su correspondiente depreciación, para la vigencia actual de registro un valor de $239.056.463 de maquinaria y equipo y muebles y enseres.</w:t>
      </w:r>
    </w:p>
    <w:p w14:paraId="69E96483" w14:textId="77777777" w:rsidR="003076E2" w:rsidRPr="00951AB1" w:rsidRDefault="003076E2" w:rsidP="000A5389">
      <w:pPr>
        <w:spacing w:line="240" w:lineRule="auto"/>
        <w:rPr>
          <w:rFonts w:cs="Times New Roman"/>
          <w:szCs w:val="24"/>
        </w:rPr>
      </w:pPr>
    </w:p>
    <w:p w14:paraId="7E8E741A" w14:textId="77777777" w:rsidR="00D81C95" w:rsidRPr="00951AB1" w:rsidRDefault="00D81C95" w:rsidP="000A5389">
      <w:pPr>
        <w:autoSpaceDE w:val="0"/>
        <w:autoSpaceDN w:val="0"/>
        <w:adjustRightInd w:val="0"/>
        <w:spacing w:line="240" w:lineRule="auto"/>
        <w:rPr>
          <w:rFonts w:cs="Times New Roman"/>
          <w:szCs w:val="24"/>
        </w:rPr>
      </w:pPr>
      <w:r w:rsidRPr="00951AB1">
        <w:rPr>
          <w:rFonts w:cs="Times New Roman"/>
          <w:szCs w:val="24"/>
        </w:rPr>
        <w:t>La depreciación se deduce en función del uso que se le dé al activo y el tiempo de la vida útil del mismo, se tiene como supuesto para el cálculo un valor residual (valor de salvamento) de la infraestructura y superestructura del 90%, es decir que se presenta depreciación sobre el 10% del valor de la vía, teniendo en cuenta que es un activo que revierte a la Nación en condiciones de funcionalidad.</w:t>
      </w:r>
    </w:p>
    <w:p w14:paraId="3A090D2C" w14:textId="77777777" w:rsidR="00D81C95" w:rsidRPr="00951AB1" w:rsidRDefault="00D81C95" w:rsidP="000A5389">
      <w:pPr>
        <w:autoSpaceDE w:val="0"/>
        <w:autoSpaceDN w:val="0"/>
        <w:adjustRightInd w:val="0"/>
        <w:spacing w:line="240" w:lineRule="auto"/>
        <w:rPr>
          <w:rFonts w:cs="Times New Roman"/>
          <w:sz w:val="20"/>
          <w:szCs w:val="20"/>
        </w:rPr>
      </w:pPr>
    </w:p>
    <w:p w14:paraId="084B110D" w14:textId="77777777" w:rsidR="00D81C95" w:rsidRPr="00951AB1" w:rsidRDefault="00D81C95" w:rsidP="000A5389">
      <w:pPr>
        <w:spacing w:line="240" w:lineRule="auto"/>
        <w:ind w:right="-20"/>
        <w:jc w:val="center"/>
        <w:rPr>
          <w:rFonts w:cs="Times New Roman"/>
        </w:rPr>
      </w:pPr>
      <w:r w:rsidRPr="00951AB1">
        <w:rPr>
          <w:rFonts w:eastAsia="Times New Roman" w:cs="Times New Roman"/>
          <w:szCs w:val="24"/>
        </w:rPr>
        <w:t>Valor depreciable = 10% del valor de la infraestructura</w:t>
      </w:r>
    </w:p>
    <w:p w14:paraId="42D9DED0" w14:textId="77777777" w:rsidR="00D81C95" w:rsidRPr="00951AB1" w:rsidRDefault="00D81C95" w:rsidP="000A5389">
      <w:pPr>
        <w:spacing w:line="240" w:lineRule="auto"/>
        <w:ind w:left="-20" w:right="-20"/>
        <w:jc w:val="center"/>
        <w:rPr>
          <w:rFonts w:cs="Times New Roman"/>
        </w:rPr>
      </w:pPr>
      <w:r w:rsidRPr="00951AB1">
        <w:rPr>
          <w:rFonts w:eastAsia="Times New Roman" w:cs="Times New Roman"/>
          <w:szCs w:val="24"/>
        </w:rPr>
        <w:t>Valor Depreciación Anual= Valor depreciable/Vida Útil</w:t>
      </w:r>
    </w:p>
    <w:p w14:paraId="3B45A927" w14:textId="77777777" w:rsidR="00D81C95" w:rsidRPr="00951AB1" w:rsidRDefault="00D81C95" w:rsidP="000A5389">
      <w:pPr>
        <w:spacing w:line="240" w:lineRule="auto"/>
        <w:ind w:left="-20" w:right="-20"/>
        <w:jc w:val="center"/>
        <w:rPr>
          <w:rFonts w:cs="Times New Roman"/>
        </w:rPr>
      </w:pPr>
      <w:r w:rsidRPr="00951AB1">
        <w:rPr>
          <w:rFonts w:eastAsia="Times New Roman" w:cs="Times New Roman"/>
          <w:szCs w:val="24"/>
        </w:rPr>
        <w:t>Depreciación Acumulada a Dic-2025 = Valor depreciable / Vida Útil* años de operación hasta dic 2025</w:t>
      </w:r>
    </w:p>
    <w:p w14:paraId="7A7723F7" w14:textId="77777777" w:rsidR="00D81C95" w:rsidRPr="00951AB1" w:rsidRDefault="00D81C95" w:rsidP="000A5389">
      <w:pPr>
        <w:spacing w:line="240" w:lineRule="auto"/>
        <w:ind w:left="-20" w:right="-20"/>
        <w:jc w:val="center"/>
        <w:rPr>
          <w:rFonts w:cs="Times New Roman"/>
        </w:rPr>
      </w:pPr>
      <w:r w:rsidRPr="00951AB1">
        <w:rPr>
          <w:rFonts w:eastAsia="Times New Roman" w:cs="Times New Roman"/>
          <w:szCs w:val="24"/>
        </w:rPr>
        <w:t>Años de operación: Fecha de corte- Fecha Inicio del Contrato (Expresada en años)</w:t>
      </w:r>
    </w:p>
    <w:p w14:paraId="47ABC306" w14:textId="77777777" w:rsidR="00D81C95" w:rsidRPr="00951AB1" w:rsidRDefault="00D81C95" w:rsidP="000A5389">
      <w:pPr>
        <w:spacing w:line="240" w:lineRule="auto"/>
        <w:ind w:left="-20" w:right="-20"/>
        <w:jc w:val="center"/>
        <w:rPr>
          <w:rFonts w:eastAsia="Times New Roman" w:cs="Times New Roman"/>
          <w:szCs w:val="24"/>
        </w:rPr>
      </w:pPr>
      <w:r w:rsidRPr="00951AB1">
        <w:rPr>
          <w:rFonts w:eastAsia="Times New Roman" w:cs="Times New Roman"/>
          <w:szCs w:val="24"/>
        </w:rPr>
        <w:t>Fecha de acta de Inicio: 3- mar- 00</w:t>
      </w:r>
    </w:p>
    <w:p w14:paraId="2365A69B" w14:textId="77777777" w:rsidR="00D81C95" w:rsidRPr="00951AB1" w:rsidRDefault="00D81C95" w:rsidP="000A5389">
      <w:pPr>
        <w:spacing w:line="240" w:lineRule="auto"/>
        <w:ind w:left="-20" w:right="-20"/>
        <w:jc w:val="center"/>
        <w:rPr>
          <w:rFonts w:eastAsia="Times New Roman" w:cs="Times New Roman"/>
          <w:szCs w:val="24"/>
        </w:rPr>
      </w:pPr>
      <w:r w:rsidRPr="00951AB1">
        <w:rPr>
          <w:rFonts w:eastAsia="Times New Roman" w:cs="Times New Roman"/>
          <w:szCs w:val="24"/>
        </w:rPr>
        <w:t>Fecha de corte: 31 – Dic-25</w:t>
      </w:r>
    </w:p>
    <w:p w14:paraId="0DB55198" w14:textId="77777777" w:rsidR="00D81C95" w:rsidRPr="00951AB1" w:rsidRDefault="00D81C95" w:rsidP="000A5389">
      <w:pPr>
        <w:spacing w:line="240" w:lineRule="auto"/>
        <w:ind w:left="-20" w:right="-20"/>
        <w:jc w:val="center"/>
        <w:rPr>
          <w:rFonts w:eastAsia="Times New Roman" w:cs="Times New Roman"/>
          <w:szCs w:val="24"/>
        </w:rPr>
      </w:pPr>
      <w:r w:rsidRPr="00951AB1">
        <w:rPr>
          <w:rFonts w:eastAsia="Times New Roman" w:cs="Times New Roman"/>
          <w:szCs w:val="24"/>
        </w:rPr>
        <w:t>Años de Operación a diciembre de 2025 = 25.83 Años (Calculo base 360 días).</w:t>
      </w:r>
    </w:p>
    <w:p w14:paraId="0007DA10" w14:textId="77777777" w:rsidR="00D81C95" w:rsidRPr="00951AB1" w:rsidRDefault="00D81C95" w:rsidP="000A5389">
      <w:pPr>
        <w:spacing w:line="240" w:lineRule="auto"/>
        <w:ind w:left="-20" w:right="-20"/>
        <w:jc w:val="center"/>
        <w:rPr>
          <w:rFonts w:eastAsia="Times New Roman" w:cs="Times New Roman"/>
          <w:sz w:val="16"/>
          <w:szCs w:val="16"/>
        </w:rPr>
      </w:pPr>
    </w:p>
    <w:p w14:paraId="484540DF" w14:textId="77777777" w:rsidR="00D81C95" w:rsidRPr="00951AB1" w:rsidRDefault="00D81C95" w:rsidP="000A5389">
      <w:pPr>
        <w:spacing w:line="240" w:lineRule="auto"/>
        <w:ind w:left="-20" w:right="-20"/>
        <w:jc w:val="center"/>
        <w:rPr>
          <w:rFonts w:eastAsia="Times New Roman" w:cs="Times New Roman"/>
          <w:sz w:val="16"/>
          <w:szCs w:val="16"/>
        </w:rPr>
      </w:pPr>
      <w:r w:rsidRPr="00951AB1">
        <w:rPr>
          <w:rFonts w:eastAsia="Times New Roman" w:cs="Times New Roman"/>
          <w:sz w:val="16"/>
          <w:szCs w:val="16"/>
        </w:rPr>
        <w:t>(Fuente: Formato GCSP-F-289 -Informe de la metodología para la obtención de información de bienes de uso público y propiedad, planta y equipo en el modo Férreo)</w:t>
      </w:r>
    </w:p>
    <w:p w14:paraId="23D69989" w14:textId="77777777" w:rsidR="00D81C95" w:rsidRPr="00951AB1" w:rsidRDefault="00D81C95" w:rsidP="000A5389">
      <w:pPr>
        <w:spacing w:line="240" w:lineRule="auto"/>
        <w:rPr>
          <w:rFonts w:cs="Times New Roman"/>
          <w:szCs w:val="24"/>
        </w:rPr>
      </w:pPr>
    </w:p>
    <w:p w14:paraId="7ACCDACF" w14:textId="77777777" w:rsidR="00D81C95" w:rsidRPr="00951AB1" w:rsidRDefault="00D81C95" w:rsidP="000A5389">
      <w:pPr>
        <w:spacing w:line="240" w:lineRule="auto"/>
        <w:rPr>
          <w:rFonts w:cs="Times New Roman"/>
          <w:szCs w:val="24"/>
        </w:rPr>
      </w:pPr>
      <w:r w:rsidRPr="00951AB1">
        <w:rPr>
          <w:rFonts w:cs="Times New Roman"/>
          <w:szCs w:val="24"/>
        </w:rPr>
        <w:t>Para la vigencia 2025, la depreciación acumulada (DA), presentó una disminución por valor de $ 30.307.978, debido al ajustes depreciación vigencia 2024 de acuerdo con Formato establecido de los bienes de la Concesión Red Férrea del Atlántico.</w:t>
      </w:r>
    </w:p>
    <w:p w14:paraId="1FF32053" w14:textId="77777777" w:rsidR="00D81C95" w:rsidRPr="00951AB1" w:rsidRDefault="00D81C95" w:rsidP="000A5389">
      <w:pPr>
        <w:pStyle w:val="Textoindependiente"/>
        <w:spacing w:line="240" w:lineRule="auto"/>
        <w:rPr>
          <w:bCs/>
        </w:rPr>
      </w:pPr>
    </w:p>
    <w:p w14:paraId="4D2BE3FF" w14:textId="77777777" w:rsidR="00D81C95" w:rsidRPr="00951AB1" w:rsidRDefault="00D81C95" w:rsidP="000A5389">
      <w:pPr>
        <w:autoSpaceDE w:val="0"/>
        <w:autoSpaceDN w:val="0"/>
        <w:adjustRightInd w:val="0"/>
        <w:spacing w:line="240" w:lineRule="auto"/>
        <w:rPr>
          <w:rFonts w:cs="Times New Roman"/>
          <w:szCs w:val="24"/>
        </w:rPr>
      </w:pPr>
      <w:r w:rsidRPr="00951AB1">
        <w:rPr>
          <w:rFonts w:cs="Times New Roman"/>
          <w:szCs w:val="24"/>
        </w:rPr>
        <w:t>Nota: En cuanto al reconocimiento de la depreciación de los activos derivados de la ejecución de los proyectos de concesión, la Agencia está llevando a cabo estudios de reconocido valor técnico para determinar la vida útil de estos activos. En este sentido, la Contaduría General de la Nación, mediante la Resolución 443 del 6 de diciembre de 2024, modificó el artículo 7, de la Resolución 602 de 2018, extendiendo el plazo para esta determinación hasta el 31 de diciembre de 2028.</w:t>
      </w:r>
    </w:p>
    <w:p w14:paraId="27D6914B" w14:textId="77777777" w:rsidR="00D81C95" w:rsidRPr="00951AB1" w:rsidRDefault="00D81C95" w:rsidP="000A5389">
      <w:pPr>
        <w:autoSpaceDE w:val="0"/>
        <w:autoSpaceDN w:val="0"/>
        <w:adjustRightInd w:val="0"/>
        <w:spacing w:line="240" w:lineRule="auto"/>
        <w:rPr>
          <w:rFonts w:cs="Times New Roman"/>
          <w:i/>
          <w:iCs/>
          <w:szCs w:val="24"/>
        </w:rPr>
      </w:pPr>
    </w:p>
    <w:p w14:paraId="48D03B8C" w14:textId="230B9266" w:rsidR="00D81C95" w:rsidRPr="00951AB1" w:rsidRDefault="00D81C95" w:rsidP="000A5389">
      <w:pPr>
        <w:pStyle w:val="Textoindependiente"/>
        <w:spacing w:line="240" w:lineRule="auto"/>
        <w:rPr>
          <w:bCs/>
        </w:rPr>
      </w:pPr>
      <w:r w:rsidRPr="00951AB1">
        <w:rPr>
          <w:b/>
          <w:i/>
          <w:iCs/>
        </w:rPr>
        <w:t>Bienes muebles para uso administrativo</w:t>
      </w:r>
      <w:r w:rsidR="00B74D04" w:rsidRPr="00951AB1">
        <w:rPr>
          <w:b/>
        </w:rPr>
        <w:t xml:space="preserve">: </w:t>
      </w:r>
      <w:r w:rsidRPr="00951AB1">
        <w:rPr>
          <w:bCs/>
        </w:rPr>
        <w:t>A continuación, se detallan los hechos y operaciones realizadas a 31 de diciembre, para los bienes de uso administrativo de la Agencia, el saldo total de los bienes muebles, una vez descontada la depreciación acumulada. Durante la vigencia no se reconocieron pérdidas por deterioro ni bajas en cuentas con efecto en resultados.</w:t>
      </w:r>
    </w:p>
    <w:p w14:paraId="778934A2" w14:textId="77777777" w:rsidR="00D81C95" w:rsidRPr="00951AB1" w:rsidRDefault="00D81C95" w:rsidP="000A5389">
      <w:pPr>
        <w:pStyle w:val="Textoindependiente"/>
        <w:spacing w:line="240" w:lineRule="auto"/>
        <w:rPr>
          <w:bCs/>
        </w:rPr>
      </w:pPr>
    </w:p>
    <w:p w14:paraId="65B535B1" w14:textId="77777777" w:rsidR="00D81C95" w:rsidRPr="00951AB1" w:rsidRDefault="00D81C95" w:rsidP="000A5389">
      <w:pPr>
        <w:pStyle w:val="Textoindependiente"/>
        <w:spacing w:line="240" w:lineRule="auto"/>
        <w:rPr>
          <w:bCs/>
        </w:rPr>
      </w:pPr>
      <w:r w:rsidRPr="00951AB1">
        <w:rPr>
          <w:bCs/>
        </w:rPr>
        <w:t>Los bienes muebles, presenta la siguiente composición a 31 de diciembre de 2025:</w:t>
      </w:r>
    </w:p>
    <w:p w14:paraId="73D9B777" w14:textId="77777777" w:rsidR="00D81C95" w:rsidRPr="00951AB1" w:rsidRDefault="00D81C95" w:rsidP="000A5389">
      <w:pPr>
        <w:pStyle w:val="Textoindependiente"/>
        <w:spacing w:line="240" w:lineRule="auto"/>
        <w:rPr>
          <w:rFonts w:eastAsia="Calibri"/>
          <w:sz w:val="20"/>
          <w:szCs w:val="20"/>
          <w:lang w:val="es-CO" w:eastAsia="es-CO" w:bidi="ar-SA"/>
        </w:rPr>
      </w:pPr>
      <w:r w:rsidRPr="00951AB1">
        <w:fldChar w:fldCharType="begin"/>
      </w:r>
      <w:r w:rsidRPr="00951AB1">
        <w:instrText xml:space="preserve"> LINK Excel.Sheet.12 "C:\\Users\\wolarte\\Documents\\0-Ani2025\\0_Cierre2025\\Nota_10\\Anexo N_10 - Propiedades, planta y equipo.XLSX" "Composición!F81C1:F91C6" \a \f 4 \h  \* MERGEFORMAT </w:instrText>
      </w:r>
      <w:r w:rsidRPr="00951AB1">
        <w:fldChar w:fldCharType="separate"/>
      </w:r>
    </w:p>
    <w:tbl>
      <w:tblPr>
        <w:tblW w:w="9240"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CellMar>
          <w:left w:w="70" w:type="dxa"/>
          <w:right w:w="70" w:type="dxa"/>
        </w:tblCellMar>
        <w:tblLook w:val="04A0" w:firstRow="1" w:lastRow="0" w:firstColumn="1" w:lastColumn="0" w:noHBand="0" w:noVBand="1"/>
      </w:tblPr>
      <w:tblGrid>
        <w:gridCol w:w="590"/>
        <w:gridCol w:w="371"/>
        <w:gridCol w:w="4334"/>
        <w:gridCol w:w="1395"/>
        <w:gridCol w:w="1350"/>
        <w:gridCol w:w="1265"/>
      </w:tblGrid>
      <w:tr w:rsidR="00B74D04" w:rsidRPr="00951AB1" w14:paraId="2E47FAB2" w14:textId="77777777" w:rsidTr="2C9F3575">
        <w:trPr>
          <w:trHeight w:val="414"/>
          <w:tblHeader/>
        </w:trPr>
        <w:tc>
          <w:tcPr>
            <w:tcW w:w="5295" w:type="dxa"/>
            <w:gridSpan w:val="3"/>
            <w:noWrap/>
            <w:vAlign w:val="center"/>
            <w:hideMark/>
          </w:tcPr>
          <w:p w14:paraId="76D2DDBA" w14:textId="77777777" w:rsidR="00B74D04" w:rsidRPr="00951AB1" w:rsidRDefault="00B74D04" w:rsidP="000A5389">
            <w:pPr>
              <w:spacing w:line="240" w:lineRule="auto"/>
              <w:jc w:val="center"/>
              <w:rPr>
                <w:rFonts w:eastAsia="Times New Roman" w:cs="Times New Roman"/>
                <w:b/>
                <w:bCs/>
                <w:sz w:val="18"/>
                <w:szCs w:val="18"/>
                <w:lang w:val="es-419" w:eastAsia="es-419"/>
              </w:rPr>
            </w:pPr>
            <w:r w:rsidRPr="00951AB1">
              <w:rPr>
                <w:rFonts w:eastAsia="Times New Roman" w:cs="Times New Roman"/>
                <w:b/>
                <w:bCs/>
                <w:sz w:val="18"/>
                <w:szCs w:val="18"/>
                <w:lang w:val="es-419" w:eastAsia="es-419"/>
              </w:rPr>
              <w:lastRenderedPageBreak/>
              <w:t>CONCEPTO</w:t>
            </w:r>
          </w:p>
        </w:tc>
        <w:tc>
          <w:tcPr>
            <w:tcW w:w="1395" w:type="dxa"/>
            <w:vAlign w:val="center"/>
            <w:hideMark/>
          </w:tcPr>
          <w:p w14:paraId="1291240E" w14:textId="77777777" w:rsidR="00B74D04" w:rsidRPr="00951AB1" w:rsidRDefault="00B74D04" w:rsidP="000A5389">
            <w:pPr>
              <w:spacing w:line="240" w:lineRule="auto"/>
              <w:jc w:val="center"/>
              <w:rPr>
                <w:rFonts w:eastAsia="Times New Roman" w:cs="Times New Roman"/>
                <w:b/>
                <w:bCs/>
                <w:sz w:val="18"/>
                <w:szCs w:val="18"/>
                <w:lang w:val="es-419" w:eastAsia="es-419"/>
              </w:rPr>
            </w:pPr>
            <w:r w:rsidRPr="00951AB1">
              <w:rPr>
                <w:rFonts w:eastAsia="Times New Roman" w:cs="Times New Roman"/>
                <w:b/>
                <w:bCs/>
                <w:sz w:val="18"/>
                <w:szCs w:val="18"/>
                <w:lang w:val="es-419" w:eastAsia="es-419"/>
              </w:rPr>
              <w:t xml:space="preserve">2025 </w:t>
            </w:r>
          </w:p>
        </w:tc>
        <w:tc>
          <w:tcPr>
            <w:tcW w:w="1350" w:type="dxa"/>
            <w:vAlign w:val="center"/>
            <w:hideMark/>
          </w:tcPr>
          <w:p w14:paraId="6520EDBF" w14:textId="77777777" w:rsidR="00B74D04" w:rsidRPr="00951AB1" w:rsidRDefault="00B74D04" w:rsidP="000A5389">
            <w:pPr>
              <w:spacing w:line="240" w:lineRule="auto"/>
              <w:jc w:val="center"/>
              <w:rPr>
                <w:rFonts w:eastAsia="Times New Roman" w:cs="Times New Roman"/>
                <w:b/>
                <w:bCs/>
                <w:sz w:val="18"/>
                <w:szCs w:val="18"/>
                <w:lang w:val="es-419" w:eastAsia="es-419"/>
              </w:rPr>
            </w:pPr>
            <w:r w:rsidRPr="00951AB1">
              <w:rPr>
                <w:rFonts w:eastAsia="Times New Roman" w:cs="Times New Roman"/>
                <w:b/>
                <w:bCs/>
                <w:sz w:val="18"/>
                <w:szCs w:val="18"/>
                <w:lang w:val="es-419" w:eastAsia="es-419"/>
              </w:rPr>
              <w:t xml:space="preserve">2024 </w:t>
            </w:r>
          </w:p>
        </w:tc>
        <w:tc>
          <w:tcPr>
            <w:tcW w:w="1200" w:type="dxa"/>
            <w:vAlign w:val="center"/>
            <w:hideMark/>
          </w:tcPr>
          <w:p w14:paraId="3B4DAF39" w14:textId="0349F264" w:rsidR="00B74D04" w:rsidRPr="00951AB1" w:rsidRDefault="00B74D04" w:rsidP="000A5389">
            <w:pPr>
              <w:spacing w:line="240" w:lineRule="auto"/>
              <w:jc w:val="center"/>
              <w:rPr>
                <w:rFonts w:eastAsia="Times New Roman" w:cs="Times New Roman"/>
                <w:b/>
                <w:bCs/>
                <w:sz w:val="18"/>
                <w:szCs w:val="18"/>
                <w:lang w:val="es-419" w:eastAsia="es-419"/>
              </w:rPr>
            </w:pPr>
            <w:r w:rsidRPr="00951AB1">
              <w:rPr>
                <w:rFonts w:eastAsia="Times New Roman" w:cs="Times New Roman"/>
                <w:b/>
                <w:bCs/>
                <w:sz w:val="18"/>
                <w:szCs w:val="18"/>
                <w:lang w:val="es-419" w:eastAsia="es-419"/>
              </w:rPr>
              <w:t>VARIACIÓN</w:t>
            </w:r>
          </w:p>
        </w:tc>
      </w:tr>
      <w:tr w:rsidR="00B74D04" w:rsidRPr="00951AB1" w14:paraId="5DCE0EA9" w14:textId="77777777" w:rsidTr="2C9F3575">
        <w:trPr>
          <w:trHeight w:val="280"/>
          <w:tblHeader/>
        </w:trPr>
        <w:tc>
          <w:tcPr>
            <w:tcW w:w="590" w:type="dxa"/>
            <w:noWrap/>
            <w:vAlign w:val="center"/>
            <w:hideMark/>
          </w:tcPr>
          <w:p w14:paraId="1A69421A" w14:textId="77777777" w:rsidR="00B74D04" w:rsidRPr="00951AB1" w:rsidRDefault="00B74D04" w:rsidP="000A5389">
            <w:pPr>
              <w:spacing w:line="240" w:lineRule="auto"/>
              <w:rPr>
                <w:rFonts w:eastAsia="Times New Roman" w:cs="Times New Roman"/>
                <w:b/>
                <w:bCs/>
                <w:color w:val="000000"/>
                <w:sz w:val="18"/>
                <w:szCs w:val="18"/>
                <w:lang w:val="es-419" w:eastAsia="es-419"/>
              </w:rPr>
            </w:pPr>
            <w:r w:rsidRPr="00951AB1">
              <w:rPr>
                <w:rFonts w:eastAsia="Times New Roman" w:cs="Times New Roman"/>
                <w:b/>
                <w:bCs/>
                <w:color w:val="000000"/>
                <w:sz w:val="18"/>
                <w:szCs w:val="18"/>
                <w:lang w:val="es-419" w:eastAsia="es-419"/>
              </w:rPr>
              <w:t>1.6</w:t>
            </w:r>
          </w:p>
        </w:tc>
        <w:tc>
          <w:tcPr>
            <w:tcW w:w="4705" w:type="dxa"/>
            <w:gridSpan w:val="2"/>
            <w:noWrap/>
            <w:vAlign w:val="center"/>
            <w:hideMark/>
          </w:tcPr>
          <w:p w14:paraId="19E399DA" w14:textId="77777777" w:rsidR="00B74D04" w:rsidRPr="00951AB1" w:rsidRDefault="00B74D04" w:rsidP="000A5389">
            <w:pPr>
              <w:spacing w:line="240" w:lineRule="auto"/>
              <w:rPr>
                <w:rFonts w:eastAsia="Times New Roman" w:cs="Times New Roman"/>
                <w:b/>
                <w:bCs/>
                <w:color w:val="000000"/>
                <w:sz w:val="18"/>
                <w:szCs w:val="18"/>
                <w:lang w:val="es-419" w:eastAsia="es-419"/>
              </w:rPr>
            </w:pPr>
            <w:r w:rsidRPr="00951AB1">
              <w:rPr>
                <w:rFonts w:eastAsia="Times New Roman" w:cs="Times New Roman"/>
                <w:b/>
                <w:bCs/>
                <w:color w:val="000000"/>
                <w:sz w:val="18"/>
                <w:szCs w:val="18"/>
                <w:lang w:val="es-419" w:eastAsia="es-419"/>
              </w:rPr>
              <w:t>PROPIEDADES, PLANTA Y EQUIPO</w:t>
            </w:r>
          </w:p>
        </w:tc>
        <w:tc>
          <w:tcPr>
            <w:tcW w:w="1395" w:type="dxa"/>
            <w:noWrap/>
            <w:vAlign w:val="center"/>
            <w:hideMark/>
          </w:tcPr>
          <w:p w14:paraId="4B92117E" w14:textId="77777777" w:rsidR="00B74D04" w:rsidRPr="00951AB1" w:rsidRDefault="00B74D04" w:rsidP="000A5389">
            <w:pPr>
              <w:spacing w:line="240" w:lineRule="auto"/>
              <w:jc w:val="right"/>
              <w:rPr>
                <w:rFonts w:eastAsia="Times New Roman" w:cs="Times New Roman"/>
                <w:b/>
                <w:bCs/>
                <w:color w:val="000000"/>
                <w:sz w:val="18"/>
                <w:szCs w:val="18"/>
                <w:lang w:val="es-419" w:eastAsia="es-419"/>
              </w:rPr>
            </w:pPr>
            <w:r w:rsidRPr="00951AB1">
              <w:rPr>
                <w:rFonts w:eastAsia="Times New Roman" w:cs="Times New Roman"/>
                <w:b/>
                <w:bCs/>
                <w:color w:val="000000"/>
                <w:sz w:val="18"/>
                <w:szCs w:val="18"/>
                <w:lang w:val="es-419" w:eastAsia="es-419"/>
              </w:rPr>
              <w:t>14.537.640.379</w:t>
            </w:r>
          </w:p>
        </w:tc>
        <w:tc>
          <w:tcPr>
            <w:tcW w:w="1350" w:type="dxa"/>
            <w:noWrap/>
            <w:vAlign w:val="center"/>
            <w:hideMark/>
          </w:tcPr>
          <w:p w14:paraId="3DB5EBAF" w14:textId="77777777" w:rsidR="00B74D04" w:rsidRPr="00951AB1" w:rsidRDefault="00B74D04" w:rsidP="000A5389">
            <w:pPr>
              <w:spacing w:line="240" w:lineRule="auto"/>
              <w:jc w:val="right"/>
              <w:rPr>
                <w:rFonts w:eastAsia="Times New Roman" w:cs="Times New Roman"/>
                <w:b/>
                <w:bCs/>
                <w:color w:val="000000"/>
                <w:sz w:val="18"/>
                <w:szCs w:val="18"/>
                <w:lang w:val="es-419" w:eastAsia="es-419"/>
              </w:rPr>
            </w:pPr>
            <w:r w:rsidRPr="00951AB1">
              <w:rPr>
                <w:rFonts w:eastAsia="Times New Roman" w:cs="Times New Roman"/>
                <w:b/>
                <w:bCs/>
                <w:color w:val="000000"/>
                <w:sz w:val="18"/>
                <w:szCs w:val="18"/>
                <w:lang w:val="es-419" w:eastAsia="es-419"/>
              </w:rPr>
              <w:t>-5.421.670.147</w:t>
            </w:r>
          </w:p>
        </w:tc>
        <w:tc>
          <w:tcPr>
            <w:tcW w:w="1200" w:type="dxa"/>
            <w:noWrap/>
            <w:vAlign w:val="center"/>
            <w:hideMark/>
          </w:tcPr>
          <w:p w14:paraId="071F7B69" w14:textId="77777777" w:rsidR="00B74D04" w:rsidRPr="00951AB1" w:rsidRDefault="00B74D04" w:rsidP="000A5389">
            <w:pPr>
              <w:spacing w:line="240" w:lineRule="auto"/>
              <w:jc w:val="right"/>
              <w:rPr>
                <w:rFonts w:eastAsia="Times New Roman" w:cs="Times New Roman"/>
                <w:b/>
                <w:bCs/>
                <w:color w:val="000000"/>
                <w:sz w:val="18"/>
                <w:szCs w:val="18"/>
                <w:lang w:val="es-419" w:eastAsia="es-419"/>
              </w:rPr>
            </w:pPr>
            <w:r w:rsidRPr="00951AB1">
              <w:rPr>
                <w:rFonts w:eastAsia="Times New Roman" w:cs="Times New Roman"/>
                <w:b/>
                <w:bCs/>
                <w:color w:val="000000"/>
                <w:sz w:val="18"/>
                <w:szCs w:val="18"/>
                <w:lang w:val="es-419" w:eastAsia="es-419"/>
              </w:rPr>
              <w:t>19.959.310.526</w:t>
            </w:r>
          </w:p>
        </w:tc>
      </w:tr>
      <w:tr w:rsidR="00D81C95" w:rsidRPr="00951AB1" w14:paraId="79C0E0D3" w14:textId="77777777" w:rsidTr="2C9F3575">
        <w:trPr>
          <w:trHeight w:val="280"/>
        </w:trPr>
        <w:tc>
          <w:tcPr>
            <w:tcW w:w="590" w:type="dxa"/>
            <w:noWrap/>
            <w:vAlign w:val="center"/>
            <w:hideMark/>
          </w:tcPr>
          <w:p w14:paraId="451546FB" w14:textId="77777777" w:rsidR="00D81C95" w:rsidRPr="00951AB1" w:rsidRDefault="00D81C95" w:rsidP="000A5389">
            <w:pPr>
              <w:spacing w:line="240" w:lineRule="auto"/>
              <w:rPr>
                <w:rFonts w:eastAsia="Times New Roman" w:cs="Times New Roman"/>
                <w:color w:val="000000"/>
                <w:sz w:val="18"/>
                <w:szCs w:val="18"/>
                <w:lang w:val="es-419" w:eastAsia="es-419"/>
              </w:rPr>
            </w:pPr>
            <w:r w:rsidRPr="00951AB1">
              <w:rPr>
                <w:rFonts w:eastAsia="Times New Roman" w:cs="Times New Roman"/>
                <w:color w:val="000000"/>
                <w:sz w:val="18"/>
                <w:szCs w:val="18"/>
                <w:lang w:val="es-419" w:eastAsia="es-419"/>
              </w:rPr>
              <w:t>1.6.70</w:t>
            </w:r>
          </w:p>
        </w:tc>
        <w:tc>
          <w:tcPr>
            <w:tcW w:w="371" w:type="dxa"/>
            <w:noWrap/>
            <w:vAlign w:val="center"/>
            <w:hideMark/>
          </w:tcPr>
          <w:p w14:paraId="5C50E000" w14:textId="77777777" w:rsidR="00D81C95" w:rsidRPr="00951AB1" w:rsidRDefault="00D81C95" w:rsidP="000A5389">
            <w:pPr>
              <w:spacing w:line="240" w:lineRule="auto"/>
              <w:jc w:val="center"/>
              <w:rPr>
                <w:rFonts w:eastAsia="Times New Roman" w:cs="Times New Roman"/>
                <w:color w:val="000000"/>
                <w:sz w:val="18"/>
                <w:szCs w:val="18"/>
                <w:lang w:val="es-419" w:eastAsia="es-419"/>
              </w:rPr>
            </w:pPr>
            <w:r w:rsidRPr="00951AB1">
              <w:rPr>
                <w:rFonts w:eastAsia="Times New Roman" w:cs="Times New Roman"/>
                <w:color w:val="000000"/>
                <w:sz w:val="18"/>
                <w:szCs w:val="18"/>
                <w:lang w:val="es-419" w:eastAsia="es-419"/>
              </w:rPr>
              <w:t>Db</w:t>
            </w:r>
          </w:p>
        </w:tc>
        <w:tc>
          <w:tcPr>
            <w:tcW w:w="4334" w:type="dxa"/>
            <w:vAlign w:val="center"/>
            <w:hideMark/>
          </w:tcPr>
          <w:p w14:paraId="25AE5185" w14:textId="77777777" w:rsidR="00D81C95" w:rsidRPr="00951AB1" w:rsidRDefault="00D81C95" w:rsidP="000A5389">
            <w:pPr>
              <w:spacing w:line="240" w:lineRule="auto"/>
              <w:rPr>
                <w:rFonts w:eastAsia="Times New Roman" w:cs="Times New Roman"/>
                <w:color w:val="000000"/>
                <w:sz w:val="18"/>
                <w:szCs w:val="18"/>
                <w:lang w:val="es-419" w:eastAsia="es-419"/>
              </w:rPr>
            </w:pPr>
            <w:r w:rsidRPr="00951AB1">
              <w:rPr>
                <w:rFonts w:eastAsia="Times New Roman" w:cs="Times New Roman"/>
                <w:color w:val="000000"/>
                <w:sz w:val="18"/>
                <w:szCs w:val="18"/>
                <w:lang w:val="es-419" w:eastAsia="es-419"/>
              </w:rPr>
              <w:t>Equipos de comunicación y computación</w:t>
            </w:r>
          </w:p>
        </w:tc>
        <w:tc>
          <w:tcPr>
            <w:tcW w:w="1395" w:type="dxa"/>
            <w:noWrap/>
            <w:vAlign w:val="center"/>
            <w:hideMark/>
          </w:tcPr>
          <w:p w14:paraId="2B7A15E9" w14:textId="77777777" w:rsidR="00D81C95" w:rsidRPr="00951AB1" w:rsidRDefault="00D81C95" w:rsidP="000A5389">
            <w:pPr>
              <w:spacing w:line="240" w:lineRule="auto"/>
              <w:jc w:val="right"/>
              <w:rPr>
                <w:rFonts w:eastAsia="Times New Roman" w:cs="Times New Roman"/>
                <w:color w:val="000000"/>
                <w:sz w:val="18"/>
                <w:szCs w:val="18"/>
                <w:lang w:val="es-419" w:eastAsia="es-419"/>
              </w:rPr>
            </w:pPr>
            <w:r w:rsidRPr="00951AB1">
              <w:rPr>
                <w:rFonts w:eastAsia="Times New Roman" w:cs="Times New Roman"/>
                <w:color w:val="000000"/>
                <w:sz w:val="18"/>
                <w:szCs w:val="18"/>
                <w:lang w:val="es-419" w:eastAsia="es-419"/>
              </w:rPr>
              <w:t>19.784.920.907</w:t>
            </w:r>
          </w:p>
        </w:tc>
        <w:tc>
          <w:tcPr>
            <w:tcW w:w="1350" w:type="dxa"/>
            <w:noWrap/>
            <w:vAlign w:val="center"/>
            <w:hideMark/>
          </w:tcPr>
          <w:p w14:paraId="05A76723" w14:textId="77777777" w:rsidR="00D81C95" w:rsidRPr="00951AB1" w:rsidRDefault="00D81C95" w:rsidP="000A5389">
            <w:pPr>
              <w:spacing w:line="240" w:lineRule="auto"/>
              <w:jc w:val="right"/>
              <w:rPr>
                <w:rFonts w:eastAsia="Times New Roman" w:cs="Times New Roman"/>
                <w:color w:val="000000"/>
                <w:sz w:val="18"/>
                <w:szCs w:val="18"/>
                <w:lang w:val="es-419" w:eastAsia="es-419"/>
              </w:rPr>
            </w:pPr>
            <w:r w:rsidRPr="00951AB1">
              <w:rPr>
                <w:rFonts w:eastAsia="Times New Roman" w:cs="Times New Roman"/>
                <w:color w:val="000000"/>
                <w:sz w:val="18"/>
                <w:szCs w:val="18"/>
                <w:lang w:val="es-419" w:eastAsia="es-419"/>
              </w:rPr>
              <w:t>5.447.929.410</w:t>
            </w:r>
          </w:p>
        </w:tc>
        <w:tc>
          <w:tcPr>
            <w:tcW w:w="1200" w:type="dxa"/>
            <w:noWrap/>
            <w:vAlign w:val="center"/>
            <w:hideMark/>
          </w:tcPr>
          <w:p w14:paraId="022C54E1" w14:textId="77777777" w:rsidR="00D81C95" w:rsidRPr="00951AB1" w:rsidRDefault="00D81C95" w:rsidP="000A5389">
            <w:pPr>
              <w:spacing w:line="240" w:lineRule="auto"/>
              <w:jc w:val="right"/>
              <w:rPr>
                <w:rFonts w:eastAsia="Times New Roman" w:cs="Times New Roman"/>
                <w:color w:val="000000"/>
                <w:sz w:val="18"/>
                <w:szCs w:val="18"/>
                <w:lang w:val="es-419" w:eastAsia="es-419"/>
              </w:rPr>
            </w:pPr>
            <w:r w:rsidRPr="00951AB1">
              <w:rPr>
                <w:rFonts w:eastAsia="Times New Roman" w:cs="Times New Roman"/>
                <w:color w:val="000000"/>
                <w:sz w:val="18"/>
                <w:szCs w:val="18"/>
                <w:lang w:val="es-419" w:eastAsia="es-419"/>
              </w:rPr>
              <w:t>14.336.991.497</w:t>
            </w:r>
          </w:p>
        </w:tc>
      </w:tr>
      <w:tr w:rsidR="00D81C95" w:rsidRPr="00951AB1" w14:paraId="20FD6B63" w14:textId="77777777" w:rsidTr="2C9F3575">
        <w:trPr>
          <w:trHeight w:val="280"/>
        </w:trPr>
        <w:tc>
          <w:tcPr>
            <w:tcW w:w="590" w:type="dxa"/>
            <w:noWrap/>
            <w:vAlign w:val="center"/>
            <w:hideMark/>
          </w:tcPr>
          <w:p w14:paraId="777DFB7B" w14:textId="77777777" w:rsidR="00D81C95" w:rsidRPr="00951AB1" w:rsidRDefault="00D81C95" w:rsidP="000A5389">
            <w:pPr>
              <w:spacing w:line="240" w:lineRule="auto"/>
              <w:rPr>
                <w:rFonts w:eastAsia="Times New Roman" w:cs="Times New Roman"/>
                <w:color w:val="000000"/>
                <w:sz w:val="18"/>
                <w:szCs w:val="18"/>
                <w:lang w:val="es-419" w:eastAsia="es-419"/>
              </w:rPr>
            </w:pPr>
            <w:r w:rsidRPr="00951AB1">
              <w:rPr>
                <w:rFonts w:eastAsia="Times New Roman" w:cs="Times New Roman"/>
                <w:color w:val="000000"/>
                <w:sz w:val="18"/>
                <w:szCs w:val="18"/>
                <w:lang w:val="es-419" w:eastAsia="es-419"/>
              </w:rPr>
              <w:t>1.6.65</w:t>
            </w:r>
          </w:p>
        </w:tc>
        <w:tc>
          <w:tcPr>
            <w:tcW w:w="371" w:type="dxa"/>
            <w:noWrap/>
            <w:vAlign w:val="center"/>
            <w:hideMark/>
          </w:tcPr>
          <w:p w14:paraId="3725A621" w14:textId="77777777" w:rsidR="00D81C95" w:rsidRPr="00951AB1" w:rsidRDefault="00D81C95" w:rsidP="000A5389">
            <w:pPr>
              <w:spacing w:line="240" w:lineRule="auto"/>
              <w:jc w:val="center"/>
              <w:rPr>
                <w:rFonts w:eastAsia="Times New Roman" w:cs="Times New Roman"/>
                <w:color w:val="000000"/>
                <w:sz w:val="18"/>
                <w:szCs w:val="18"/>
                <w:lang w:val="es-419" w:eastAsia="es-419"/>
              </w:rPr>
            </w:pPr>
            <w:r w:rsidRPr="00951AB1">
              <w:rPr>
                <w:rFonts w:eastAsia="Times New Roman" w:cs="Times New Roman"/>
                <w:color w:val="000000"/>
                <w:sz w:val="18"/>
                <w:szCs w:val="18"/>
                <w:lang w:val="es-419" w:eastAsia="es-419"/>
              </w:rPr>
              <w:t>Db</w:t>
            </w:r>
          </w:p>
        </w:tc>
        <w:tc>
          <w:tcPr>
            <w:tcW w:w="4334" w:type="dxa"/>
            <w:vAlign w:val="center"/>
            <w:hideMark/>
          </w:tcPr>
          <w:p w14:paraId="3A6310FD" w14:textId="77777777" w:rsidR="00D81C95" w:rsidRPr="00951AB1" w:rsidRDefault="00D81C95" w:rsidP="000A5389">
            <w:pPr>
              <w:spacing w:line="240" w:lineRule="auto"/>
              <w:rPr>
                <w:rFonts w:eastAsia="Times New Roman" w:cs="Times New Roman"/>
                <w:color w:val="000000"/>
                <w:sz w:val="18"/>
                <w:szCs w:val="18"/>
                <w:lang w:val="es-419" w:eastAsia="es-419"/>
              </w:rPr>
            </w:pPr>
            <w:r w:rsidRPr="00951AB1">
              <w:rPr>
                <w:rFonts w:eastAsia="Times New Roman" w:cs="Times New Roman"/>
                <w:color w:val="000000"/>
                <w:sz w:val="18"/>
                <w:szCs w:val="18"/>
                <w:lang w:val="es-419" w:eastAsia="es-419"/>
              </w:rPr>
              <w:t>Muebles, enseres y equipo de oficina</w:t>
            </w:r>
          </w:p>
        </w:tc>
        <w:tc>
          <w:tcPr>
            <w:tcW w:w="1395" w:type="dxa"/>
            <w:noWrap/>
            <w:vAlign w:val="center"/>
            <w:hideMark/>
          </w:tcPr>
          <w:p w14:paraId="058F7AF4" w14:textId="77777777" w:rsidR="00D81C95" w:rsidRPr="00951AB1" w:rsidRDefault="00D81C95" w:rsidP="000A5389">
            <w:pPr>
              <w:spacing w:line="240" w:lineRule="auto"/>
              <w:jc w:val="right"/>
              <w:rPr>
                <w:rFonts w:eastAsia="Times New Roman" w:cs="Times New Roman"/>
                <w:color w:val="000000"/>
                <w:sz w:val="18"/>
                <w:szCs w:val="18"/>
                <w:lang w:val="es-419" w:eastAsia="es-419"/>
              </w:rPr>
            </w:pPr>
            <w:r w:rsidRPr="00951AB1">
              <w:rPr>
                <w:rFonts w:eastAsia="Times New Roman" w:cs="Times New Roman"/>
                <w:color w:val="000000"/>
                <w:sz w:val="18"/>
                <w:szCs w:val="18"/>
                <w:lang w:val="es-419" w:eastAsia="es-419"/>
              </w:rPr>
              <w:t>6.662.303.235</w:t>
            </w:r>
          </w:p>
        </w:tc>
        <w:tc>
          <w:tcPr>
            <w:tcW w:w="1350" w:type="dxa"/>
            <w:noWrap/>
            <w:vAlign w:val="center"/>
            <w:hideMark/>
          </w:tcPr>
          <w:p w14:paraId="6C6C893A" w14:textId="77777777" w:rsidR="00D81C95" w:rsidRPr="00951AB1" w:rsidRDefault="00D81C95" w:rsidP="000A5389">
            <w:pPr>
              <w:spacing w:line="240" w:lineRule="auto"/>
              <w:jc w:val="right"/>
              <w:rPr>
                <w:rFonts w:eastAsia="Times New Roman" w:cs="Times New Roman"/>
                <w:color w:val="000000"/>
                <w:sz w:val="18"/>
                <w:szCs w:val="18"/>
                <w:lang w:val="es-419" w:eastAsia="es-419"/>
              </w:rPr>
            </w:pPr>
            <w:r w:rsidRPr="00951AB1">
              <w:rPr>
                <w:rFonts w:eastAsia="Times New Roman" w:cs="Times New Roman"/>
                <w:color w:val="000000"/>
                <w:sz w:val="18"/>
                <w:szCs w:val="18"/>
                <w:lang w:val="es-419" w:eastAsia="es-419"/>
              </w:rPr>
              <w:t>6.366.184.854</w:t>
            </w:r>
          </w:p>
        </w:tc>
        <w:tc>
          <w:tcPr>
            <w:tcW w:w="1200" w:type="dxa"/>
            <w:noWrap/>
            <w:vAlign w:val="center"/>
            <w:hideMark/>
          </w:tcPr>
          <w:p w14:paraId="1AD964D1" w14:textId="77777777" w:rsidR="00D81C95" w:rsidRPr="00951AB1" w:rsidRDefault="00D81C95" w:rsidP="000A5389">
            <w:pPr>
              <w:spacing w:line="240" w:lineRule="auto"/>
              <w:jc w:val="right"/>
              <w:rPr>
                <w:rFonts w:eastAsia="Times New Roman" w:cs="Times New Roman"/>
                <w:color w:val="000000"/>
                <w:sz w:val="18"/>
                <w:szCs w:val="18"/>
                <w:lang w:val="es-419" w:eastAsia="es-419"/>
              </w:rPr>
            </w:pPr>
            <w:r w:rsidRPr="00951AB1">
              <w:rPr>
                <w:rFonts w:eastAsia="Times New Roman" w:cs="Times New Roman"/>
                <w:color w:val="000000"/>
                <w:sz w:val="18"/>
                <w:szCs w:val="18"/>
                <w:lang w:val="es-419" w:eastAsia="es-419"/>
              </w:rPr>
              <w:t>296.118.381</w:t>
            </w:r>
          </w:p>
        </w:tc>
      </w:tr>
      <w:tr w:rsidR="00D81C95" w:rsidRPr="00951AB1" w14:paraId="4E816966" w14:textId="77777777" w:rsidTr="2C9F3575">
        <w:trPr>
          <w:trHeight w:val="280"/>
        </w:trPr>
        <w:tc>
          <w:tcPr>
            <w:tcW w:w="590" w:type="dxa"/>
            <w:noWrap/>
            <w:vAlign w:val="center"/>
            <w:hideMark/>
          </w:tcPr>
          <w:p w14:paraId="350D770D" w14:textId="77777777" w:rsidR="00D81C95" w:rsidRPr="00951AB1" w:rsidRDefault="00D81C95" w:rsidP="000A5389">
            <w:pPr>
              <w:spacing w:line="240" w:lineRule="auto"/>
              <w:rPr>
                <w:rFonts w:eastAsia="Times New Roman" w:cs="Times New Roman"/>
                <w:color w:val="000000"/>
                <w:sz w:val="18"/>
                <w:szCs w:val="18"/>
                <w:lang w:val="es-419" w:eastAsia="es-419"/>
              </w:rPr>
            </w:pPr>
            <w:r w:rsidRPr="00951AB1">
              <w:rPr>
                <w:rFonts w:eastAsia="Times New Roman" w:cs="Times New Roman"/>
                <w:color w:val="000000"/>
                <w:sz w:val="18"/>
                <w:szCs w:val="18"/>
                <w:lang w:val="es-419" w:eastAsia="es-419"/>
              </w:rPr>
              <w:t>1.6.55</w:t>
            </w:r>
          </w:p>
        </w:tc>
        <w:tc>
          <w:tcPr>
            <w:tcW w:w="371" w:type="dxa"/>
            <w:noWrap/>
            <w:vAlign w:val="center"/>
            <w:hideMark/>
          </w:tcPr>
          <w:p w14:paraId="609D0F81" w14:textId="77777777" w:rsidR="00D81C95" w:rsidRPr="00951AB1" w:rsidRDefault="00D81C95" w:rsidP="000A5389">
            <w:pPr>
              <w:spacing w:line="240" w:lineRule="auto"/>
              <w:jc w:val="center"/>
              <w:rPr>
                <w:rFonts w:eastAsia="Times New Roman" w:cs="Times New Roman"/>
                <w:color w:val="000000"/>
                <w:sz w:val="18"/>
                <w:szCs w:val="18"/>
                <w:lang w:val="es-419" w:eastAsia="es-419"/>
              </w:rPr>
            </w:pPr>
            <w:r w:rsidRPr="00951AB1">
              <w:rPr>
                <w:rFonts w:eastAsia="Times New Roman" w:cs="Times New Roman"/>
                <w:color w:val="000000"/>
                <w:sz w:val="18"/>
                <w:szCs w:val="18"/>
                <w:lang w:val="es-419" w:eastAsia="es-419"/>
              </w:rPr>
              <w:t>Db</w:t>
            </w:r>
          </w:p>
        </w:tc>
        <w:tc>
          <w:tcPr>
            <w:tcW w:w="4334" w:type="dxa"/>
            <w:vAlign w:val="center"/>
            <w:hideMark/>
          </w:tcPr>
          <w:p w14:paraId="0468A348" w14:textId="77777777" w:rsidR="00D81C95" w:rsidRPr="00951AB1" w:rsidRDefault="00D81C95" w:rsidP="000A5389">
            <w:pPr>
              <w:spacing w:line="240" w:lineRule="auto"/>
              <w:rPr>
                <w:rFonts w:eastAsia="Times New Roman" w:cs="Times New Roman"/>
                <w:color w:val="000000"/>
                <w:sz w:val="18"/>
                <w:szCs w:val="18"/>
                <w:lang w:val="es-419" w:eastAsia="es-419"/>
              </w:rPr>
            </w:pPr>
            <w:r w:rsidRPr="00951AB1">
              <w:rPr>
                <w:rFonts w:eastAsia="Times New Roman" w:cs="Times New Roman"/>
                <w:color w:val="000000"/>
                <w:sz w:val="18"/>
                <w:szCs w:val="18"/>
                <w:lang w:val="es-419" w:eastAsia="es-419"/>
              </w:rPr>
              <w:t>Maquinaria y equipo</w:t>
            </w:r>
          </w:p>
        </w:tc>
        <w:tc>
          <w:tcPr>
            <w:tcW w:w="1395" w:type="dxa"/>
            <w:noWrap/>
            <w:vAlign w:val="center"/>
            <w:hideMark/>
          </w:tcPr>
          <w:p w14:paraId="3D4CA559" w14:textId="77777777" w:rsidR="00D81C95" w:rsidRPr="00951AB1" w:rsidRDefault="00D81C95" w:rsidP="000A5389">
            <w:pPr>
              <w:spacing w:line="240" w:lineRule="auto"/>
              <w:jc w:val="right"/>
              <w:rPr>
                <w:rFonts w:eastAsia="Times New Roman" w:cs="Times New Roman"/>
                <w:color w:val="000000"/>
                <w:sz w:val="18"/>
                <w:szCs w:val="18"/>
                <w:lang w:val="es-419" w:eastAsia="es-419"/>
              </w:rPr>
            </w:pPr>
            <w:r w:rsidRPr="00951AB1">
              <w:rPr>
                <w:rFonts w:eastAsia="Times New Roman" w:cs="Times New Roman"/>
                <w:color w:val="000000"/>
                <w:sz w:val="18"/>
                <w:szCs w:val="18"/>
                <w:lang w:val="es-419" w:eastAsia="es-419"/>
              </w:rPr>
              <w:t>2.237.980.783</w:t>
            </w:r>
          </w:p>
        </w:tc>
        <w:tc>
          <w:tcPr>
            <w:tcW w:w="1350" w:type="dxa"/>
            <w:noWrap/>
            <w:vAlign w:val="center"/>
            <w:hideMark/>
          </w:tcPr>
          <w:p w14:paraId="407016E8" w14:textId="77777777" w:rsidR="00D81C95" w:rsidRPr="00951AB1" w:rsidRDefault="00D81C95" w:rsidP="000A5389">
            <w:pPr>
              <w:spacing w:line="240" w:lineRule="auto"/>
              <w:jc w:val="right"/>
              <w:rPr>
                <w:rFonts w:eastAsia="Times New Roman" w:cs="Times New Roman"/>
                <w:color w:val="000000"/>
                <w:sz w:val="18"/>
                <w:szCs w:val="18"/>
                <w:lang w:val="es-419" w:eastAsia="es-419"/>
              </w:rPr>
            </w:pPr>
            <w:r w:rsidRPr="00951AB1">
              <w:rPr>
                <w:rFonts w:eastAsia="Times New Roman" w:cs="Times New Roman"/>
                <w:color w:val="000000"/>
                <w:sz w:val="18"/>
                <w:szCs w:val="18"/>
                <w:lang w:val="es-419" w:eastAsia="es-419"/>
              </w:rPr>
              <w:t>562.198.963</w:t>
            </w:r>
          </w:p>
        </w:tc>
        <w:tc>
          <w:tcPr>
            <w:tcW w:w="1200" w:type="dxa"/>
            <w:noWrap/>
            <w:vAlign w:val="center"/>
            <w:hideMark/>
          </w:tcPr>
          <w:p w14:paraId="272B9860" w14:textId="77777777" w:rsidR="00D81C95" w:rsidRPr="00951AB1" w:rsidRDefault="00D81C95" w:rsidP="000A5389">
            <w:pPr>
              <w:spacing w:line="240" w:lineRule="auto"/>
              <w:jc w:val="right"/>
              <w:rPr>
                <w:rFonts w:eastAsia="Times New Roman" w:cs="Times New Roman"/>
                <w:color w:val="000000"/>
                <w:sz w:val="18"/>
                <w:szCs w:val="18"/>
                <w:lang w:val="es-419" w:eastAsia="es-419"/>
              </w:rPr>
            </w:pPr>
            <w:r w:rsidRPr="00951AB1">
              <w:rPr>
                <w:rFonts w:eastAsia="Times New Roman" w:cs="Times New Roman"/>
                <w:color w:val="000000"/>
                <w:sz w:val="18"/>
                <w:szCs w:val="18"/>
                <w:lang w:val="es-419" w:eastAsia="es-419"/>
              </w:rPr>
              <w:t>1.675.781.820</w:t>
            </w:r>
          </w:p>
        </w:tc>
      </w:tr>
      <w:tr w:rsidR="00D81C95" w:rsidRPr="00951AB1" w14:paraId="21D719E7" w14:textId="77777777" w:rsidTr="2C9F3575">
        <w:trPr>
          <w:trHeight w:val="280"/>
        </w:trPr>
        <w:tc>
          <w:tcPr>
            <w:tcW w:w="590" w:type="dxa"/>
            <w:noWrap/>
            <w:vAlign w:val="center"/>
            <w:hideMark/>
          </w:tcPr>
          <w:p w14:paraId="55B555AE" w14:textId="77777777" w:rsidR="00D81C95" w:rsidRPr="00951AB1" w:rsidRDefault="00D81C95" w:rsidP="000A5389">
            <w:pPr>
              <w:spacing w:line="240" w:lineRule="auto"/>
              <w:rPr>
                <w:rFonts w:eastAsia="Times New Roman" w:cs="Times New Roman"/>
                <w:color w:val="000000"/>
                <w:sz w:val="18"/>
                <w:szCs w:val="18"/>
                <w:lang w:val="es-419" w:eastAsia="es-419"/>
              </w:rPr>
            </w:pPr>
            <w:r w:rsidRPr="00951AB1">
              <w:rPr>
                <w:rFonts w:eastAsia="Times New Roman" w:cs="Times New Roman"/>
                <w:color w:val="000000"/>
                <w:sz w:val="18"/>
                <w:szCs w:val="18"/>
                <w:lang w:val="es-419" w:eastAsia="es-419"/>
              </w:rPr>
              <w:t>1.6.75</w:t>
            </w:r>
          </w:p>
        </w:tc>
        <w:tc>
          <w:tcPr>
            <w:tcW w:w="371" w:type="dxa"/>
            <w:noWrap/>
            <w:vAlign w:val="center"/>
            <w:hideMark/>
          </w:tcPr>
          <w:p w14:paraId="28A4D612" w14:textId="77777777" w:rsidR="00D81C95" w:rsidRPr="00951AB1" w:rsidRDefault="00D81C95" w:rsidP="000A5389">
            <w:pPr>
              <w:spacing w:line="240" w:lineRule="auto"/>
              <w:jc w:val="center"/>
              <w:rPr>
                <w:rFonts w:eastAsia="Times New Roman" w:cs="Times New Roman"/>
                <w:color w:val="000000"/>
                <w:sz w:val="18"/>
                <w:szCs w:val="18"/>
                <w:lang w:val="es-419" w:eastAsia="es-419"/>
              </w:rPr>
            </w:pPr>
            <w:r w:rsidRPr="00951AB1">
              <w:rPr>
                <w:rFonts w:eastAsia="Times New Roman" w:cs="Times New Roman"/>
                <w:color w:val="000000"/>
                <w:sz w:val="18"/>
                <w:szCs w:val="18"/>
                <w:lang w:val="es-419" w:eastAsia="es-419"/>
              </w:rPr>
              <w:t>Db</w:t>
            </w:r>
          </w:p>
        </w:tc>
        <w:tc>
          <w:tcPr>
            <w:tcW w:w="4334" w:type="dxa"/>
            <w:vAlign w:val="center"/>
            <w:hideMark/>
          </w:tcPr>
          <w:p w14:paraId="56B52C8E" w14:textId="77777777" w:rsidR="00D81C95" w:rsidRPr="00951AB1" w:rsidRDefault="00D81C95" w:rsidP="000A5389">
            <w:pPr>
              <w:spacing w:line="240" w:lineRule="auto"/>
              <w:rPr>
                <w:rFonts w:eastAsia="Times New Roman" w:cs="Times New Roman"/>
                <w:color w:val="000000"/>
                <w:sz w:val="18"/>
                <w:szCs w:val="18"/>
                <w:lang w:val="es-419" w:eastAsia="es-419"/>
              </w:rPr>
            </w:pPr>
            <w:r w:rsidRPr="00951AB1">
              <w:rPr>
                <w:rFonts w:eastAsia="Times New Roman" w:cs="Times New Roman"/>
                <w:color w:val="000000"/>
                <w:sz w:val="18"/>
                <w:szCs w:val="18"/>
                <w:lang w:val="es-419" w:eastAsia="es-419"/>
              </w:rPr>
              <w:t>Equipos de transporte, tracción y elevación</w:t>
            </w:r>
          </w:p>
        </w:tc>
        <w:tc>
          <w:tcPr>
            <w:tcW w:w="1395" w:type="dxa"/>
            <w:noWrap/>
            <w:vAlign w:val="center"/>
            <w:hideMark/>
          </w:tcPr>
          <w:p w14:paraId="7F7B3061" w14:textId="77777777" w:rsidR="00D81C95" w:rsidRPr="00951AB1" w:rsidRDefault="00D81C95" w:rsidP="000A5389">
            <w:pPr>
              <w:spacing w:line="240" w:lineRule="auto"/>
              <w:jc w:val="right"/>
              <w:rPr>
                <w:rFonts w:eastAsia="Times New Roman" w:cs="Times New Roman"/>
                <w:color w:val="000000"/>
                <w:sz w:val="18"/>
                <w:szCs w:val="18"/>
                <w:lang w:val="es-419" w:eastAsia="es-419"/>
              </w:rPr>
            </w:pPr>
            <w:r w:rsidRPr="00951AB1">
              <w:rPr>
                <w:rFonts w:eastAsia="Times New Roman" w:cs="Times New Roman"/>
                <w:color w:val="000000"/>
                <w:sz w:val="18"/>
                <w:szCs w:val="18"/>
                <w:lang w:val="es-419" w:eastAsia="es-419"/>
              </w:rPr>
              <w:t>826.082.828</w:t>
            </w:r>
          </w:p>
        </w:tc>
        <w:tc>
          <w:tcPr>
            <w:tcW w:w="1350" w:type="dxa"/>
            <w:noWrap/>
            <w:vAlign w:val="center"/>
            <w:hideMark/>
          </w:tcPr>
          <w:p w14:paraId="33FBEF8D" w14:textId="77777777" w:rsidR="00D81C95" w:rsidRPr="00951AB1" w:rsidRDefault="00D81C95" w:rsidP="000A5389">
            <w:pPr>
              <w:spacing w:line="240" w:lineRule="auto"/>
              <w:jc w:val="right"/>
              <w:rPr>
                <w:rFonts w:eastAsia="Times New Roman" w:cs="Times New Roman"/>
                <w:color w:val="000000"/>
                <w:sz w:val="18"/>
                <w:szCs w:val="18"/>
                <w:lang w:val="es-419" w:eastAsia="es-419"/>
              </w:rPr>
            </w:pPr>
            <w:r w:rsidRPr="00951AB1">
              <w:rPr>
                <w:rFonts w:eastAsia="Times New Roman" w:cs="Times New Roman"/>
                <w:color w:val="000000"/>
                <w:sz w:val="18"/>
                <w:szCs w:val="18"/>
                <w:lang w:val="es-419" w:eastAsia="es-419"/>
              </w:rPr>
              <w:t>826.082.828</w:t>
            </w:r>
          </w:p>
        </w:tc>
        <w:tc>
          <w:tcPr>
            <w:tcW w:w="1200" w:type="dxa"/>
            <w:noWrap/>
            <w:vAlign w:val="center"/>
            <w:hideMark/>
          </w:tcPr>
          <w:p w14:paraId="6321C6DE" w14:textId="77777777" w:rsidR="00D81C95" w:rsidRPr="00951AB1" w:rsidRDefault="00D81C95" w:rsidP="000A5389">
            <w:pPr>
              <w:spacing w:line="240" w:lineRule="auto"/>
              <w:jc w:val="right"/>
              <w:rPr>
                <w:rFonts w:eastAsia="Times New Roman" w:cs="Times New Roman"/>
                <w:color w:val="000000"/>
                <w:sz w:val="18"/>
                <w:szCs w:val="18"/>
                <w:lang w:val="es-419" w:eastAsia="es-419"/>
              </w:rPr>
            </w:pPr>
            <w:r w:rsidRPr="00951AB1">
              <w:rPr>
                <w:rFonts w:eastAsia="Times New Roman" w:cs="Times New Roman"/>
                <w:color w:val="000000"/>
                <w:sz w:val="18"/>
                <w:szCs w:val="18"/>
                <w:lang w:val="es-419" w:eastAsia="es-419"/>
              </w:rPr>
              <w:t>0</w:t>
            </w:r>
          </w:p>
        </w:tc>
      </w:tr>
      <w:tr w:rsidR="00D81C95" w:rsidRPr="00951AB1" w14:paraId="197463A0" w14:textId="77777777" w:rsidTr="2C9F3575">
        <w:trPr>
          <w:trHeight w:val="280"/>
        </w:trPr>
        <w:tc>
          <w:tcPr>
            <w:tcW w:w="590" w:type="dxa"/>
            <w:noWrap/>
            <w:vAlign w:val="center"/>
            <w:hideMark/>
          </w:tcPr>
          <w:p w14:paraId="540971EF" w14:textId="77777777" w:rsidR="00D81C95" w:rsidRPr="00951AB1" w:rsidRDefault="00D81C95" w:rsidP="000A5389">
            <w:pPr>
              <w:spacing w:line="240" w:lineRule="auto"/>
              <w:rPr>
                <w:rFonts w:eastAsia="Times New Roman" w:cs="Times New Roman"/>
                <w:color w:val="000000"/>
                <w:sz w:val="18"/>
                <w:szCs w:val="18"/>
                <w:lang w:val="es-419" w:eastAsia="es-419"/>
              </w:rPr>
            </w:pPr>
            <w:r w:rsidRPr="00951AB1">
              <w:rPr>
                <w:rFonts w:eastAsia="Times New Roman" w:cs="Times New Roman"/>
                <w:color w:val="000000"/>
                <w:sz w:val="18"/>
                <w:szCs w:val="18"/>
                <w:lang w:val="es-419" w:eastAsia="es-419"/>
              </w:rPr>
              <w:t>1.6.37</w:t>
            </w:r>
          </w:p>
        </w:tc>
        <w:tc>
          <w:tcPr>
            <w:tcW w:w="371" w:type="dxa"/>
            <w:noWrap/>
            <w:vAlign w:val="center"/>
            <w:hideMark/>
          </w:tcPr>
          <w:p w14:paraId="0964AE73" w14:textId="77777777" w:rsidR="00D81C95" w:rsidRPr="00951AB1" w:rsidRDefault="00D81C95" w:rsidP="000A5389">
            <w:pPr>
              <w:spacing w:line="240" w:lineRule="auto"/>
              <w:jc w:val="center"/>
              <w:rPr>
                <w:rFonts w:eastAsia="Times New Roman" w:cs="Times New Roman"/>
                <w:color w:val="000000"/>
                <w:sz w:val="18"/>
                <w:szCs w:val="18"/>
                <w:lang w:val="es-419" w:eastAsia="es-419"/>
              </w:rPr>
            </w:pPr>
            <w:r w:rsidRPr="00951AB1">
              <w:rPr>
                <w:rFonts w:eastAsia="Times New Roman" w:cs="Times New Roman"/>
                <w:color w:val="000000"/>
                <w:sz w:val="18"/>
                <w:szCs w:val="18"/>
                <w:lang w:val="es-419" w:eastAsia="es-419"/>
              </w:rPr>
              <w:t>Db</w:t>
            </w:r>
          </w:p>
        </w:tc>
        <w:tc>
          <w:tcPr>
            <w:tcW w:w="4334" w:type="dxa"/>
            <w:vAlign w:val="center"/>
            <w:hideMark/>
          </w:tcPr>
          <w:p w14:paraId="76853655" w14:textId="77777777" w:rsidR="00D81C95" w:rsidRPr="00951AB1" w:rsidRDefault="00D81C95" w:rsidP="000A5389">
            <w:pPr>
              <w:spacing w:line="240" w:lineRule="auto"/>
              <w:rPr>
                <w:rFonts w:eastAsia="Times New Roman" w:cs="Times New Roman"/>
                <w:color w:val="000000"/>
                <w:sz w:val="18"/>
                <w:szCs w:val="18"/>
                <w:lang w:val="es-419" w:eastAsia="es-419"/>
              </w:rPr>
            </w:pPr>
            <w:r w:rsidRPr="00951AB1">
              <w:rPr>
                <w:rFonts w:eastAsia="Times New Roman" w:cs="Times New Roman"/>
                <w:color w:val="000000"/>
                <w:sz w:val="18"/>
                <w:szCs w:val="18"/>
                <w:lang w:val="es-419" w:eastAsia="es-419"/>
              </w:rPr>
              <w:t>Propiedades, planta y equipo no explotados</w:t>
            </w:r>
          </w:p>
        </w:tc>
        <w:tc>
          <w:tcPr>
            <w:tcW w:w="1395" w:type="dxa"/>
            <w:noWrap/>
            <w:vAlign w:val="center"/>
            <w:hideMark/>
          </w:tcPr>
          <w:p w14:paraId="6F8262CC" w14:textId="77777777" w:rsidR="00D81C95" w:rsidRPr="00951AB1" w:rsidRDefault="00D81C95" w:rsidP="000A5389">
            <w:pPr>
              <w:spacing w:line="240" w:lineRule="auto"/>
              <w:jc w:val="right"/>
              <w:rPr>
                <w:rFonts w:eastAsia="Times New Roman" w:cs="Times New Roman"/>
                <w:color w:val="000000"/>
                <w:sz w:val="18"/>
                <w:szCs w:val="18"/>
                <w:lang w:val="es-419" w:eastAsia="es-419"/>
              </w:rPr>
            </w:pPr>
            <w:r w:rsidRPr="00951AB1">
              <w:rPr>
                <w:rFonts w:eastAsia="Times New Roman" w:cs="Times New Roman"/>
                <w:color w:val="000000"/>
                <w:sz w:val="18"/>
                <w:szCs w:val="18"/>
                <w:lang w:val="es-419" w:eastAsia="es-419"/>
              </w:rPr>
              <w:t>337.094.915</w:t>
            </w:r>
          </w:p>
        </w:tc>
        <w:tc>
          <w:tcPr>
            <w:tcW w:w="1350" w:type="dxa"/>
            <w:noWrap/>
            <w:vAlign w:val="center"/>
            <w:hideMark/>
          </w:tcPr>
          <w:p w14:paraId="78151920" w14:textId="77777777" w:rsidR="00D81C95" w:rsidRPr="00951AB1" w:rsidRDefault="00D81C95" w:rsidP="000A5389">
            <w:pPr>
              <w:spacing w:line="240" w:lineRule="auto"/>
              <w:jc w:val="right"/>
              <w:rPr>
                <w:rFonts w:eastAsia="Times New Roman" w:cs="Times New Roman"/>
                <w:color w:val="000000"/>
                <w:sz w:val="18"/>
                <w:szCs w:val="18"/>
                <w:lang w:val="es-419" w:eastAsia="es-419"/>
              </w:rPr>
            </w:pPr>
            <w:r w:rsidRPr="00951AB1">
              <w:rPr>
                <w:rFonts w:eastAsia="Times New Roman" w:cs="Times New Roman"/>
                <w:color w:val="000000"/>
                <w:sz w:val="18"/>
                <w:szCs w:val="18"/>
                <w:lang w:val="es-419" w:eastAsia="es-419"/>
              </w:rPr>
              <w:t>337.094.915</w:t>
            </w:r>
          </w:p>
        </w:tc>
        <w:tc>
          <w:tcPr>
            <w:tcW w:w="1200" w:type="dxa"/>
            <w:noWrap/>
            <w:vAlign w:val="center"/>
            <w:hideMark/>
          </w:tcPr>
          <w:p w14:paraId="5C71EBEA" w14:textId="77777777" w:rsidR="00D81C95" w:rsidRPr="00951AB1" w:rsidRDefault="00D81C95" w:rsidP="000A5389">
            <w:pPr>
              <w:spacing w:line="240" w:lineRule="auto"/>
              <w:jc w:val="right"/>
              <w:rPr>
                <w:rFonts w:eastAsia="Times New Roman" w:cs="Times New Roman"/>
                <w:color w:val="000000"/>
                <w:sz w:val="18"/>
                <w:szCs w:val="18"/>
                <w:lang w:val="es-419" w:eastAsia="es-419"/>
              </w:rPr>
            </w:pPr>
            <w:r w:rsidRPr="00951AB1">
              <w:rPr>
                <w:rFonts w:eastAsia="Times New Roman" w:cs="Times New Roman"/>
                <w:color w:val="000000"/>
                <w:sz w:val="18"/>
                <w:szCs w:val="18"/>
                <w:lang w:val="es-419" w:eastAsia="es-419"/>
              </w:rPr>
              <w:t>0</w:t>
            </w:r>
          </w:p>
        </w:tc>
      </w:tr>
      <w:tr w:rsidR="00D81C95" w:rsidRPr="00951AB1" w14:paraId="5DD490C1" w14:textId="77777777" w:rsidTr="2C9F3575">
        <w:trPr>
          <w:trHeight w:val="280"/>
        </w:trPr>
        <w:tc>
          <w:tcPr>
            <w:tcW w:w="590" w:type="dxa"/>
            <w:noWrap/>
            <w:vAlign w:val="center"/>
            <w:hideMark/>
          </w:tcPr>
          <w:p w14:paraId="211EAF05" w14:textId="77777777" w:rsidR="00D81C95" w:rsidRPr="00951AB1" w:rsidRDefault="00D81C95" w:rsidP="000A5389">
            <w:pPr>
              <w:spacing w:line="240" w:lineRule="auto"/>
              <w:rPr>
                <w:rFonts w:eastAsia="Times New Roman" w:cs="Times New Roman"/>
                <w:color w:val="000000"/>
                <w:sz w:val="18"/>
                <w:szCs w:val="18"/>
                <w:lang w:val="es-419" w:eastAsia="es-419"/>
              </w:rPr>
            </w:pPr>
            <w:r w:rsidRPr="00951AB1">
              <w:rPr>
                <w:rFonts w:eastAsia="Times New Roman" w:cs="Times New Roman"/>
                <w:color w:val="000000"/>
                <w:sz w:val="18"/>
                <w:szCs w:val="18"/>
                <w:lang w:val="es-419" w:eastAsia="es-419"/>
              </w:rPr>
              <w:t>1.6.80</w:t>
            </w:r>
          </w:p>
        </w:tc>
        <w:tc>
          <w:tcPr>
            <w:tcW w:w="371" w:type="dxa"/>
            <w:noWrap/>
            <w:vAlign w:val="center"/>
            <w:hideMark/>
          </w:tcPr>
          <w:p w14:paraId="312D07A4" w14:textId="77777777" w:rsidR="00D81C95" w:rsidRPr="00951AB1" w:rsidRDefault="00D81C95" w:rsidP="000A5389">
            <w:pPr>
              <w:spacing w:line="240" w:lineRule="auto"/>
              <w:jc w:val="center"/>
              <w:rPr>
                <w:rFonts w:eastAsia="Times New Roman" w:cs="Times New Roman"/>
                <w:color w:val="000000"/>
                <w:sz w:val="18"/>
                <w:szCs w:val="18"/>
                <w:lang w:val="es-419" w:eastAsia="es-419"/>
              </w:rPr>
            </w:pPr>
            <w:r w:rsidRPr="00951AB1">
              <w:rPr>
                <w:rFonts w:eastAsia="Times New Roman" w:cs="Times New Roman"/>
                <w:color w:val="000000"/>
                <w:sz w:val="18"/>
                <w:szCs w:val="18"/>
                <w:lang w:val="es-419" w:eastAsia="es-419"/>
              </w:rPr>
              <w:t>Db</w:t>
            </w:r>
          </w:p>
        </w:tc>
        <w:tc>
          <w:tcPr>
            <w:tcW w:w="4334" w:type="dxa"/>
            <w:vAlign w:val="center"/>
            <w:hideMark/>
          </w:tcPr>
          <w:p w14:paraId="278AFA98" w14:textId="77777777" w:rsidR="00D81C95" w:rsidRPr="00951AB1" w:rsidRDefault="00D81C95" w:rsidP="000A5389">
            <w:pPr>
              <w:spacing w:line="240" w:lineRule="auto"/>
              <w:rPr>
                <w:rFonts w:eastAsia="Times New Roman" w:cs="Times New Roman"/>
                <w:color w:val="000000"/>
                <w:sz w:val="18"/>
                <w:szCs w:val="18"/>
                <w:lang w:val="es-419" w:eastAsia="es-419"/>
              </w:rPr>
            </w:pPr>
            <w:r w:rsidRPr="00951AB1">
              <w:rPr>
                <w:rFonts w:eastAsia="Times New Roman" w:cs="Times New Roman"/>
                <w:color w:val="000000"/>
                <w:sz w:val="18"/>
                <w:szCs w:val="18"/>
                <w:lang w:val="es-419" w:eastAsia="es-419"/>
              </w:rPr>
              <w:t>Equipos de comedor, cocina, despensa y hotelería</w:t>
            </w:r>
          </w:p>
        </w:tc>
        <w:tc>
          <w:tcPr>
            <w:tcW w:w="1395" w:type="dxa"/>
            <w:noWrap/>
            <w:vAlign w:val="center"/>
            <w:hideMark/>
          </w:tcPr>
          <w:p w14:paraId="19BC4ECC" w14:textId="77777777" w:rsidR="00D81C95" w:rsidRPr="00951AB1" w:rsidRDefault="00D81C95" w:rsidP="000A5389">
            <w:pPr>
              <w:spacing w:line="240" w:lineRule="auto"/>
              <w:jc w:val="right"/>
              <w:rPr>
                <w:rFonts w:eastAsia="Times New Roman" w:cs="Times New Roman"/>
                <w:color w:val="000000"/>
                <w:sz w:val="18"/>
                <w:szCs w:val="18"/>
                <w:lang w:val="es-419" w:eastAsia="es-419"/>
              </w:rPr>
            </w:pPr>
            <w:r w:rsidRPr="00951AB1">
              <w:rPr>
                <w:rFonts w:eastAsia="Times New Roman" w:cs="Times New Roman"/>
                <w:color w:val="000000"/>
                <w:sz w:val="18"/>
                <w:szCs w:val="18"/>
                <w:lang w:val="es-419" w:eastAsia="es-419"/>
              </w:rPr>
              <w:t>7.947.920</w:t>
            </w:r>
          </w:p>
        </w:tc>
        <w:tc>
          <w:tcPr>
            <w:tcW w:w="1350" w:type="dxa"/>
            <w:noWrap/>
            <w:vAlign w:val="center"/>
            <w:hideMark/>
          </w:tcPr>
          <w:p w14:paraId="682796B6" w14:textId="77777777" w:rsidR="00D81C95" w:rsidRPr="00951AB1" w:rsidRDefault="00D81C95" w:rsidP="000A5389">
            <w:pPr>
              <w:spacing w:line="240" w:lineRule="auto"/>
              <w:jc w:val="right"/>
              <w:rPr>
                <w:rFonts w:eastAsia="Times New Roman" w:cs="Times New Roman"/>
                <w:color w:val="000000"/>
                <w:sz w:val="18"/>
                <w:szCs w:val="18"/>
                <w:lang w:val="es-419" w:eastAsia="es-419"/>
              </w:rPr>
            </w:pPr>
            <w:r w:rsidRPr="00951AB1">
              <w:rPr>
                <w:rFonts w:eastAsia="Times New Roman" w:cs="Times New Roman"/>
                <w:color w:val="000000"/>
                <w:sz w:val="18"/>
                <w:szCs w:val="18"/>
                <w:lang w:val="es-419" w:eastAsia="es-419"/>
              </w:rPr>
              <w:t>7.947.920</w:t>
            </w:r>
          </w:p>
        </w:tc>
        <w:tc>
          <w:tcPr>
            <w:tcW w:w="1200" w:type="dxa"/>
            <w:noWrap/>
            <w:vAlign w:val="center"/>
            <w:hideMark/>
          </w:tcPr>
          <w:p w14:paraId="51CDC392" w14:textId="77777777" w:rsidR="00D81C95" w:rsidRPr="00951AB1" w:rsidRDefault="00D81C95" w:rsidP="000A5389">
            <w:pPr>
              <w:spacing w:line="240" w:lineRule="auto"/>
              <w:jc w:val="right"/>
              <w:rPr>
                <w:rFonts w:eastAsia="Times New Roman" w:cs="Times New Roman"/>
                <w:color w:val="000000"/>
                <w:sz w:val="18"/>
                <w:szCs w:val="18"/>
                <w:lang w:val="es-419" w:eastAsia="es-419"/>
              </w:rPr>
            </w:pPr>
            <w:r w:rsidRPr="00951AB1">
              <w:rPr>
                <w:rFonts w:eastAsia="Times New Roman" w:cs="Times New Roman"/>
                <w:color w:val="000000"/>
                <w:sz w:val="18"/>
                <w:szCs w:val="18"/>
                <w:lang w:val="es-419" w:eastAsia="es-419"/>
              </w:rPr>
              <w:t>0</w:t>
            </w:r>
          </w:p>
        </w:tc>
      </w:tr>
      <w:tr w:rsidR="00D81C95" w:rsidRPr="00951AB1" w14:paraId="38F97204" w14:textId="77777777" w:rsidTr="2C9F3575">
        <w:trPr>
          <w:trHeight w:val="280"/>
        </w:trPr>
        <w:tc>
          <w:tcPr>
            <w:tcW w:w="590" w:type="dxa"/>
            <w:noWrap/>
            <w:vAlign w:val="center"/>
            <w:hideMark/>
          </w:tcPr>
          <w:p w14:paraId="3EC2185A" w14:textId="77777777" w:rsidR="00D81C95" w:rsidRPr="00951AB1" w:rsidRDefault="00D81C95" w:rsidP="000A5389">
            <w:pPr>
              <w:spacing w:line="240" w:lineRule="auto"/>
              <w:rPr>
                <w:rFonts w:eastAsia="Times New Roman" w:cs="Times New Roman"/>
                <w:color w:val="000000"/>
                <w:sz w:val="18"/>
                <w:szCs w:val="18"/>
                <w:lang w:val="es-419" w:eastAsia="es-419"/>
              </w:rPr>
            </w:pPr>
            <w:r w:rsidRPr="00951AB1">
              <w:rPr>
                <w:rFonts w:eastAsia="Times New Roman" w:cs="Times New Roman"/>
                <w:color w:val="000000"/>
                <w:sz w:val="18"/>
                <w:szCs w:val="18"/>
                <w:lang w:val="es-419" w:eastAsia="es-419"/>
              </w:rPr>
              <w:t>1.6.60</w:t>
            </w:r>
          </w:p>
        </w:tc>
        <w:tc>
          <w:tcPr>
            <w:tcW w:w="371" w:type="dxa"/>
            <w:noWrap/>
            <w:vAlign w:val="center"/>
            <w:hideMark/>
          </w:tcPr>
          <w:p w14:paraId="372CFF2D" w14:textId="77777777" w:rsidR="00D81C95" w:rsidRPr="00951AB1" w:rsidRDefault="00D81C95" w:rsidP="000A5389">
            <w:pPr>
              <w:spacing w:line="240" w:lineRule="auto"/>
              <w:jc w:val="center"/>
              <w:rPr>
                <w:rFonts w:eastAsia="Times New Roman" w:cs="Times New Roman"/>
                <w:color w:val="000000"/>
                <w:sz w:val="18"/>
                <w:szCs w:val="18"/>
                <w:lang w:val="es-419" w:eastAsia="es-419"/>
              </w:rPr>
            </w:pPr>
            <w:r w:rsidRPr="00951AB1">
              <w:rPr>
                <w:rFonts w:eastAsia="Times New Roman" w:cs="Times New Roman"/>
                <w:color w:val="000000"/>
                <w:sz w:val="18"/>
                <w:szCs w:val="18"/>
                <w:lang w:val="es-419" w:eastAsia="es-419"/>
              </w:rPr>
              <w:t>Db</w:t>
            </w:r>
          </w:p>
        </w:tc>
        <w:tc>
          <w:tcPr>
            <w:tcW w:w="4334" w:type="dxa"/>
            <w:vAlign w:val="center"/>
            <w:hideMark/>
          </w:tcPr>
          <w:p w14:paraId="544629F4" w14:textId="77777777" w:rsidR="00D81C95" w:rsidRPr="00951AB1" w:rsidRDefault="00D81C95" w:rsidP="000A5389">
            <w:pPr>
              <w:spacing w:line="240" w:lineRule="auto"/>
              <w:rPr>
                <w:rFonts w:eastAsia="Times New Roman" w:cs="Times New Roman"/>
                <w:color w:val="000000"/>
                <w:sz w:val="18"/>
                <w:szCs w:val="18"/>
                <w:lang w:val="es-419" w:eastAsia="es-419"/>
              </w:rPr>
            </w:pPr>
            <w:r w:rsidRPr="00951AB1">
              <w:rPr>
                <w:rFonts w:eastAsia="Times New Roman" w:cs="Times New Roman"/>
                <w:color w:val="000000"/>
                <w:sz w:val="18"/>
                <w:szCs w:val="18"/>
                <w:lang w:val="es-419" w:eastAsia="es-419"/>
              </w:rPr>
              <w:t>Equipo médico y científico</w:t>
            </w:r>
          </w:p>
        </w:tc>
        <w:tc>
          <w:tcPr>
            <w:tcW w:w="1395" w:type="dxa"/>
            <w:noWrap/>
            <w:vAlign w:val="center"/>
            <w:hideMark/>
          </w:tcPr>
          <w:p w14:paraId="22C44FDB" w14:textId="77777777" w:rsidR="00D81C95" w:rsidRPr="00951AB1" w:rsidRDefault="00D81C95" w:rsidP="000A5389">
            <w:pPr>
              <w:spacing w:line="240" w:lineRule="auto"/>
              <w:jc w:val="right"/>
              <w:rPr>
                <w:rFonts w:eastAsia="Times New Roman" w:cs="Times New Roman"/>
                <w:color w:val="000000"/>
                <w:sz w:val="18"/>
                <w:szCs w:val="18"/>
                <w:lang w:val="es-419" w:eastAsia="es-419"/>
              </w:rPr>
            </w:pPr>
            <w:r w:rsidRPr="00951AB1">
              <w:rPr>
                <w:rFonts w:eastAsia="Times New Roman" w:cs="Times New Roman"/>
                <w:color w:val="000000"/>
                <w:sz w:val="18"/>
                <w:szCs w:val="18"/>
                <w:lang w:val="es-419" w:eastAsia="es-419"/>
              </w:rPr>
              <w:t>843.400</w:t>
            </w:r>
          </w:p>
        </w:tc>
        <w:tc>
          <w:tcPr>
            <w:tcW w:w="1350" w:type="dxa"/>
            <w:noWrap/>
            <w:vAlign w:val="center"/>
            <w:hideMark/>
          </w:tcPr>
          <w:p w14:paraId="603852B5" w14:textId="77777777" w:rsidR="00D81C95" w:rsidRPr="00951AB1" w:rsidRDefault="00D81C95" w:rsidP="000A5389">
            <w:pPr>
              <w:spacing w:line="240" w:lineRule="auto"/>
              <w:jc w:val="right"/>
              <w:rPr>
                <w:rFonts w:eastAsia="Times New Roman" w:cs="Times New Roman"/>
                <w:color w:val="000000"/>
                <w:sz w:val="18"/>
                <w:szCs w:val="18"/>
                <w:lang w:val="es-419" w:eastAsia="es-419"/>
              </w:rPr>
            </w:pPr>
            <w:r w:rsidRPr="00951AB1">
              <w:rPr>
                <w:rFonts w:eastAsia="Times New Roman" w:cs="Times New Roman"/>
                <w:color w:val="000000"/>
                <w:sz w:val="18"/>
                <w:szCs w:val="18"/>
                <w:lang w:val="es-419" w:eastAsia="es-419"/>
              </w:rPr>
              <w:t>843.400</w:t>
            </w:r>
          </w:p>
        </w:tc>
        <w:tc>
          <w:tcPr>
            <w:tcW w:w="1200" w:type="dxa"/>
            <w:noWrap/>
            <w:vAlign w:val="center"/>
            <w:hideMark/>
          </w:tcPr>
          <w:p w14:paraId="6BC9D4E6" w14:textId="77777777" w:rsidR="00D81C95" w:rsidRPr="00951AB1" w:rsidRDefault="00D81C95" w:rsidP="000A5389">
            <w:pPr>
              <w:spacing w:line="240" w:lineRule="auto"/>
              <w:jc w:val="right"/>
              <w:rPr>
                <w:rFonts w:eastAsia="Times New Roman" w:cs="Times New Roman"/>
                <w:color w:val="000000"/>
                <w:sz w:val="18"/>
                <w:szCs w:val="18"/>
                <w:lang w:val="es-419" w:eastAsia="es-419"/>
              </w:rPr>
            </w:pPr>
            <w:r w:rsidRPr="00951AB1">
              <w:rPr>
                <w:rFonts w:eastAsia="Times New Roman" w:cs="Times New Roman"/>
                <w:color w:val="000000"/>
                <w:sz w:val="18"/>
                <w:szCs w:val="18"/>
                <w:lang w:val="es-419" w:eastAsia="es-419"/>
              </w:rPr>
              <w:t>0</w:t>
            </w:r>
          </w:p>
        </w:tc>
      </w:tr>
      <w:tr w:rsidR="00D81C95" w:rsidRPr="00951AB1" w14:paraId="53B72278" w14:textId="77777777" w:rsidTr="2C9F3575">
        <w:trPr>
          <w:trHeight w:val="280"/>
        </w:trPr>
        <w:tc>
          <w:tcPr>
            <w:tcW w:w="590" w:type="dxa"/>
            <w:noWrap/>
            <w:vAlign w:val="center"/>
            <w:hideMark/>
          </w:tcPr>
          <w:p w14:paraId="5497E409" w14:textId="77777777" w:rsidR="00D81C95" w:rsidRPr="00951AB1" w:rsidRDefault="00D81C95" w:rsidP="000A5389">
            <w:pPr>
              <w:spacing w:line="240" w:lineRule="auto"/>
              <w:rPr>
                <w:rFonts w:eastAsia="Times New Roman" w:cs="Times New Roman"/>
                <w:color w:val="000000"/>
                <w:sz w:val="18"/>
                <w:szCs w:val="18"/>
                <w:lang w:val="es-419" w:eastAsia="es-419"/>
              </w:rPr>
            </w:pPr>
            <w:r w:rsidRPr="00951AB1">
              <w:rPr>
                <w:rFonts w:eastAsia="Times New Roman" w:cs="Times New Roman"/>
                <w:color w:val="000000"/>
                <w:sz w:val="18"/>
                <w:szCs w:val="18"/>
                <w:lang w:val="es-419" w:eastAsia="es-419"/>
              </w:rPr>
              <w:t>1.6.35</w:t>
            </w:r>
          </w:p>
        </w:tc>
        <w:tc>
          <w:tcPr>
            <w:tcW w:w="371" w:type="dxa"/>
            <w:noWrap/>
            <w:vAlign w:val="center"/>
            <w:hideMark/>
          </w:tcPr>
          <w:p w14:paraId="62140C47" w14:textId="77777777" w:rsidR="00D81C95" w:rsidRPr="00951AB1" w:rsidRDefault="00D81C95" w:rsidP="000A5389">
            <w:pPr>
              <w:spacing w:line="240" w:lineRule="auto"/>
              <w:jc w:val="center"/>
              <w:rPr>
                <w:rFonts w:eastAsia="Times New Roman" w:cs="Times New Roman"/>
                <w:color w:val="000000"/>
                <w:sz w:val="18"/>
                <w:szCs w:val="18"/>
                <w:lang w:val="es-419" w:eastAsia="es-419"/>
              </w:rPr>
            </w:pPr>
            <w:r w:rsidRPr="00951AB1">
              <w:rPr>
                <w:rFonts w:eastAsia="Times New Roman" w:cs="Times New Roman"/>
                <w:color w:val="000000"/>
                <w:sz w:val="18"/>
                <w:szCs w:val="18"/>
                <w:lang w:val="es-419" w:eastAsia="es-419"/>
              </w:rPr>
              <w:t>Db</w:t>
            </w:r>
          </w:p>
        </w:tc>
        <w:tc>
          <w:tcPr>
            <w:tcW w:w="4334" w:type="dxa"/>
            <w:vAlign w:val="center"/>
            <w:hideMark/>
          </w:tcPr>
          <w:p w14:paraId="3627E5EC" w14:textId="77777777" w:rsidR="00D81C95" w:rsidRPr="00951AB1" w:rsidRDefault="00D81C95" w:rsidP="000A5389">
            <w:pPr>
              <w:spacing w:line="240" w:lineRule="auto"/>
              <w:rPr>
                <w:rFonts w:eastAsia="Times New Roman" w:cs="Times New Roman"/>
                <w:color w:val="000000"/>
                <w:sz w:val="18"/>
                <w:szCs w:val="18"/>
                <w:lang w:val="es-419" w:eastAsia="es-419"/>
              </w:rPr>
            </w:pPr>
            <w:r w:rsidRPr="00951AB1">
              <w:rPr>
                <w:rFonts w:eastAsia="Times New Roman" w:cs="Times New Roman"/>
                <w:color w:val="000000"/>
                <w:sz w:val="18"/>
                <w:szCs w:val="18"/>
                <w:lang w:val="es-419" w:eastAsia="es-419"/>
              </w:rPr>
              <w:t>Bienes muebles en bodega</w:t>
            </w:r>
          </w:p>
        </w:tc>
        <w:tc>
          <w:tcPr>
            <w:tcW w:w="1395" w:type="dxa"/>
            <w:noWrap/>
            <w:vAlign w:val="center"/>
            <w:hideMark/>
          </w:tcPr>
          <w:p w14:paraId="33AC5851" w14:textId="77777777" w:rsidR="00D81C95" w:rsidRPr="00951AB1" w:rsidRDefault="00D81C95" w:rsidP="000A5389">
            <w:pPr>
              <w:spacing w:line="240" w:lineRule="auto"/>
              <w:jc w:val="right"/>
              <w:rPr>
                <w:rFonts w:eastAsia="Times New Roman" w:cs="Times New Roman"/>
                <w:color w:val="000000"/>
                <w:sz w:val="18"/>
                <w:szCs w:val="18"/>
                <w:lang w:val="es-419" w:eastAsia="es-419"/>
              </w:rPr>
            </w:pPr>
            <w:r w:rsidRPr="00951AB1">
              <w:rPr>
                <w:rFonts w:eastAsia="Times New Roman" w:cs="Times New Roman"/>
                <w:color w:val="000000"/>
                <w:sz w:val="18"/>
                <w:szCs w:val="18"/>
                <w:lang w:val="es-419" w:eastAsia="es-419"/>
              </w:rPr>
              <w:t>0</w:t>
            </w:r>
          </w:p>
        </w:tc>
        <w:tc>
          <w:tcPr>
            <w:tcW w:w="1350" w:type="dxa"/>
            <w:noWrap/>
            <w:vAlign w:val="center"/>
            <w:hideMark/>
          </w:tcPr>
          <w:p w14:paraId="75C4DD23" w14:textId="77777777" w:rsidR="00D81C95" w:rsidRPr="00951AB1" w:rsidRDefault="00D81C95" w:rsidP="000A5389">
            <w:pPr>
              <w:spacing w:line="240" w:lineRule="auto"/>
              <w:jc w:val="right"/>
              <w:rPr>
                <w:rFonts w:eastAsia="Times New Roman" w:cs="Times New Roman"/>
                <w:color w:val="000000"/>
                <w:sz w:val="18"/>
                <w:szCs w:val="18"/>
                <w:lang w:val="es-419" w:eastAsia="es-419"/>
              </w:rPr>
            </w:pPr>
            <w:r w:rsidRPr="00951AB1">
              <w:rPr>
                <w:rFonts w:eastAsia="Times New Roman" w:cs="Times New Roman"/>
                <w:color w:val="000000"/>
                <w:sz w:val="18"/>
                <w:szCs w:val="18"/>
                <w:lang w:val="es-419" w:eastAsia="es-419"/>
              </w:rPr>
              <w:t>184.654.204</w:t>
            </w:r>
          </w:p>
        </w:tc>
        <w:tc>
          <w:tcPr>
            <w:tcW w:w="1200" w:type="dxa"/>
            <w:noWrap/>
            <w:vAlign w:val="center"/>
            <w:hideMark/>
          </w:tcPr>
          <w:p w14:paraId="1C646D05" w14:textId="77777777" w:rsidR="00D81C95" w:rsidRPr="00951AB1" w:rsidRDefault="00D81C95" w:rsidP="000A5389">
            <w:pPr>
              <w:spacing w:line="240" w:lineRule="auto"/>
              <w:jc w:val="right"/>
              <w:rPr>
                <w:rFonts w:eastAsia="Times New Roman" w:cs="Times New Roman"/>
                <w:color w:val="000000"/>
                <w:sz w:val="18"/>
                <w:szCs w:val="18"/>
                <w:lang w:val="es-419" w:eastAsia="es-419"/>
              </w:rPr>
            </w:pPr>
            <w:r w:rsidRPr="00951AB1">
              <w:rPr>
                <w:rFonts w:eastAsia="Times New Roman" w:cs="Times New Roman"/>
                <w:color w:val="000000"/>
                <w:sz w:val="18"/>
                <w:szCs w:val="18"/>
                <w:lang w:val="es-419" w:eastAsia="es-419"/>
              </w:rPr>
              <w:t>-184.654.204</w:t>
            </w:r>
          </w:p>
        </w:tc>
      </w:tr>
      <w:tr w:rsidR="00D81C95" w:rsidRPr="00951AB1" w14:paraId="15A88F90" w14:textId="77777777" w:rsidTr="2C9F3575">
        <w:trPr>
          <w:trHeight w:val="280"/>
        </w:trPr>
        <w:tc>
          <w:tcPr>
            <w:tcW w:w="590" w:type="dxa"/>
            <w:noWrap/>
            <w:vAlign w:val="center"/>
            <w:hideMark/>
          </w:tcPr>
          <w:p w14:paraId="33B244A3" w14:textId="77777777" w:rsidR="00D81C95" w:rsidRPr="00951AB1" w:rsidRDefault="00D81C95" w:rsidP="000A5389">
            <w:pPr>
              <w:spacing w:line="240" w:lineRule="auto"/>
              <w:rPr>
                <w:rFonts w:eastAsia="Times New Roman" w:cs="Times New Roman"/>
                <w:color w:val="000000"/>
                <w:sz w:val="18"/>
                <w:szCs w:val="18"/>
                <w:lang w:val="es-419" w:eastAsia="es-419"/>
              </w:rPr>
            </w:pPr>
            <w:r w:rsidRPr="00951AB1">
              <w:rPr>
                <w:rFonts w:eastAsia="Times New Roman" w:cs="Times New Roman"/>
                <w:color w:val="000000"/>
                <w:sz w:val="18"/>
                <w:szCs w:val="18"/>
                <w:lang w:val="es-419" w:eastAsia="es-419"/>
              </w:rPr>
              <w:t>1.6.85</w:t>
            </w:r>
          </w:p>
        </w:tc>
        <w:tc>
          <w:tcPr>
            <w:tcW w:w="371" w:type="dxa"/>
            <w:noWrap/>
            <w:vAlign w:val="center"/>
            <w:hideMark/>
          </w:tcPr>
          <w:p w14:paraId="59000265" w14:textId="77777777" w:rsidR="00D81C95" w:rsidRPr="00951AB1" w:rsidRDefault="00D81C95" w:rsidP="000A5389">
            <w:pPr>
              <w:spacing w:line="240" w:lineRule="auto"/>
              <w:jc w:val="center"/>
              <w:rPr>
                <w:rFonts w:eastAsia="Times New Roman" w:cs="Times New Roman"/>
                <w:color w:val="000000"/>
                <w:sz w:val="18"/>
                <w:szCs w:val="18"/>
                <w:lang w:val="es-419" w:eastAsia="es-419"/>
              </w:rPr>
            </w:pPr>
            <w:r w:rsidRPr="00951AB1">
              <w:rPr>
                <w:rFonts w:eastAsia="Times New Roman" w:cs="Times New Roman"/>
                <w:color w:val="000000"/>
                <w:sz w:val="18"/>
                <w:szCs w:val="18"/>
                <w:lang w:val="es-419" w:eastAsia="es-419"/>
              </w:rPr>
              <w:t>Cr</w:t>
            </w:r>
          </w:p>
        </w:tc>
        <w:tc>
          <w:tcPr>
            <w:tcW w:w="4334" w:type="dxa"/>
            <w:vAlign w:val="center"/>
            <w:hideMark/>
          </w:tcPr>
          <w:p w14:paraId="7068CD15" w14:textId="77777777" w:rsidR="00D81C95" w:rsidRPr="00951AB1" w:rsidRDefault="00D81C95" w:rsidP="000A5389">
            <w:pPr>
              <w:spacing w:line="240" w:lineRule="auto"/>
              <w:rPr>
                <w:rFonts w:eastAsia="Times New Roman" w:cs="Times New Roman"/>
                <w:color w:val="000000"/>
                <w:sz w:val="18"/>
                <w:szCs w:val="18"/>
                <w:lang w:val="es-419" w:eastAsia="es-419"/>
              </w:rPr>
            </w:pPr>
            <w:r w:rsidRPr="00951AB1">
              <w:rPr>
                <w:rFonts w:eastAsia="Times New Roman" w:cs="Times New Roman"/>
                <w:color w:val="000000"/>
                <w:sz w:val="18"/>
                <w:szCs w:val="18"/>
                <w:lang w:val="es-419" w:eastAsia="es-419"/>
              </w:rPr>
              <w:t>Depreciación acumulada de PPE (cr)</w:t>
            </w:r>
          </w:p>
        </w:tc>
        <w:tc>
          <w:tcPr>
            <w:tcW w:w="1395" w:type="dxa"/>
            <w:noWrap/>
            <w:vAlign w:val="center"/>
            <w:hideMark/>
          </w:tcPr>
          <w:p w14:paraId="7F908A26" w14:textId="77777777" w:rsidR="00D81C95" w:rsidRPr="00951AB1" w:rsidRDefault="00D81C95" w:rsidP="000A5389">
            <w:pPr>
              <w:spacing w:line="240" w:lineRule="auto"/>
              <w:jc w:val="right"/>
              <w:rPr>
                <w:rFonts w:eastAsia="Times New Roman" w:cs="Times New Roman"/>
                <w:color w:val="000000"/>
                <w:sz w:val="18"/>
                <w:szCs w:val="18"/>
                <w:lang w:val="es-419" w:eastAsia="es-419"/>
              </w:rPr>
            </w:pPr>
            <w:r w:rsidRPr="00951AB1">
              <w:rPr>
                <w:rFonts w:eastAsia="Times New Roman" w:cs="Times New Roman"/>
                <w:color w:val="000000"/>
                <w:sz w:val="18"/>
                <w:szCs w:val="18"/>
                <w:lang w:val="es-419" w:eastAsia="es-419"/>
              </w:rPr>
              <w:t>-15.319.533.609</w:t>
            </w:r>
          </w:p>
        </w:tc>
        <w:tc>
          <w:tcPr>
            <w:tcW w:w="1350" w:type="dxa"/>
            <w:noWrap/>
            <w:vAlign w:val="center"/>
            <w:hideMark/>
          </w:tcPr>
          <w:p w14:paraId="6710C6D1" w14:textId="77777777" w:rsidR="00D81C95" w:rsidRPr="00951AB1" w:rsidRDefault="00D81C95" w:rsidP="000A5389">
            <w:pPr>
              <w:spacing w:line="240" w:lineRule="auto"/>
              <w:jc w:val="right"/>
              <w:rPr>
                <w:rFonts w:eastAsia="Times New Roman" w:cs="Times New Roman"/>
                <w:color w:val="000000"/>
                <w:sz w:val="18"/>
                <w:szCs w:val="18"/>
                <w:lang w:val="es-419" w:eastAsia="es-419"/>
              </w:rPr>
            </w:pPr>
            <w:r w:rsidRPr="00951AB1">
              <w:rPr>
                <w:rFonts w:eastAsia="Times New Roman" w:cs="Times New Roman"/>
                <w:color w:val="000000"/>
                <w:sz w:val="18"/>
                <w:szCs w:val="18"/>
                <w:lang w:val="es-419" w:eastAsia="es-419"/>
              </w:rPr>
              <w:t>-19.154.606.641</w:t>
            </w:r>
          </w:p>
        </w:tc>
        <w:tc>
          <w:tcPr>
            <w:tcW w:w="1200" w:type="dxa"/>
            <w:noWrap/>
            <w:vAlign w:val="center"/>
            <w:hideMark/>
          </w:tcPr>
          <w:p w14:paraId="09A8393D" w14:textId="77777777" w:rsidR="00D81C95" w:rsidRPr="00951AB1" w:rsidRDefault="00D81C95" w:rsidP="000A5389">
            <w:pPr>
              <w:spacing w:line="240" w:lineRule="auto"/>
              <w:jc w:val="right"/>
              <w:rPr>
                <w:rFonts w:eastAsia="Times New Roman" w:cs="Times New Roman"/>
                <w:color w:val="000000"/>
                <w:sz w:val="18"/>
                <w:szCs w:val="18"/>
                <w:lang w:val="es-419" w:eastAsia="es-419"/>
              </w:rPr>
            </w:pPr>
            <w:r w:rsidRPr="00951AB1">
              <w:rPr>
                <w:rFonts w:eastAsia="Times New Roman" w:cs="Times New Roman"/>
                <w:color w:val="000000"/>
                <w:sz w:val="18"/>
                <w:szCs w:val="18"/>
                <w:lang w:val="es-419" w:eastAsia="es-419"/>
              </w:rPr>
              <w:t>3.835.073.032</w:t>
            </w:r>
          </w:p>
        </w:tc>
      </w:tr>
    </w:tbl>
    <w:p w14:paraId="775BDC60" w14:textId="2D5B10D1" w:rsidR="00B74D04" w:rsidRPr="00951AB1" w:rsidRDefault="00D81C95" w:rsidP="000A5389">
      <w:pPr>
        <w:pStyle w:val="Textoindependiente"/>
        <w:spacing w:line="240" w:lineRule="auto"/>
        <w:rPr>
          <w:bCs/>
          <w:sz w:val="14"/>
          <w:szCs w:val="14"/>
        </w:rPr>
      </w:pPr>
      <w:r w:rsidRPr="00951AB1">
        <w:rPr>
          <w:bCs/>
        </w:rPr>
        <w:fldChar w:fldCharType="end"/>
      </w:r>
      <w:r w:rsidR="00B74D04" w:rsidRPr="00951AB1">
        <w:rPr>
          <w:bCs/>
          <w:sz w:val="14"/>
          <w:szCs w:val="14"/>
        </w:rPr>
        <w:t xml:space="preserve"> Cifras expresadas en pesos</w:t>
      </w:r>
    </w:p>
    <w:p w14:paraId="7E9835D7" w14:textId="1A223514" w:rsidR="00D81C95" w:rsidRPr="00951AB1" w:rsidRDefault="00D81C95" w:rsidP="000A5389">
      <w:pPr>
        <w:pStyle w:val="Textoindependiente"/>
        <w:spacing w:line="240" w:lineRule="auto"/>
        <w:rPr>
          <w:bCs/>
        </w:rPr>
      </w:pPr>
    </w:p>
    <w:p w14:paraId="4FE5842A" w14:textId="0F7D559A" w:rsidR="00D81C95" w:rsidRPr="00951AB1" w:rsidRDefault="00D81C95" w:rsidP="000A5389">
      <w:pPr>
        <w:autoSpaceDE w:val="0"/>
        <w:autoSpaceDN w:val="0"/>
        <w:adjustRightInd w:val="0"/>
        <w:spacing w:line="240" w:lineRule="auto"/>
        <w:rPr>
          <w:rFonts w:cs="Times New Roman"/>
          <w:szCs w:val="24"/>
          <w:lang w:eastAsia="es-CO"/>
        </w:rPr>
      </w:pPr>
      <w:r w:rsidRPr="00951AB1">
        <w:rPr>
          <w:rFonts w:cs="Times New Roman"/>
          <w:i/>
          <w:iCs/>
          <w:szCs w:val="24"/>
          <w:lang w:eastAsia="es-CO"/>
        </w:rPr>
        <w:t>Equipos de comunicación y computación</w:t>
      </w:r>
      <w:r w:rsidR="00B74D04" w:rsidRPr="00951AB1">
        <w:rPr>
          <w:rFonts w:cs="Times New Roman"/>
          <w:szCs w:val="24"/>
          <w:lang w:eastAsia="es-CO"/>
        </w:rPr>
        <w:t xml:space="preserve">: </w:t>
      </w:r>
      <w:r w:rsidRPr="00951AB1">
        <w:rPr>
          <w:rFonts w:cs="Times New Roman"/>
          <w:szCs w:val="24"/>
          <w:lang w:eastAsia="es-CO"/>
        </w:rPr>
        <w:t>Presentaron un saldo inicial de $5.447.929.410. Durante la vigencia se registraron reclasificaciones por $14.336.991.497, principalmente por la asignación de bienes administrativos a servicio, así como traslados internos entre cuentas. El saldo final fue de $19.784.920.907.</w:t>
      </w:r>
    </w:p>
    <w:p w14:paraId="330C0D69" w14:textId="77777777" w:rsidR="00D81C95" w:rsidRPr="00951AB1" w:rsidRDefault="00D81C95" w:rsidP="000A5389">
      <w:pPr>
        <w:autoSpaceDE w:val="0"/>
        <w:autoSpaceDN w:val="0"/>
        <w:adjustRightInd w:val="0"/>
        <w:spacing w:line="240" w:lineRule="auto"/>
        <w:rPr>
          <w:rFonts w:cs="Times New Roman"/>
          <w:szCs w:val="24"/>
          <w:lang w:eastAsia="es-CO"/>
        </w:rPr>
      </w:pPr>
    </w:p>
    <w:p w14:paraId="706B39ED" w14:textId="77777777" w:rsidR="00D81C95" w:rsidRPr="00951AB1" w:rsidRDefault="00D81C95" w:rsidP="000A5389">
      <w:pPr>
        <w:autoSpaceDE w:val="0"/>
        <w:autoSpaceDN w:val="0"/>
        <w:adjustRightInd w:val="0"/>
        <w:spacing w:line="240" w:lineRule="auto"/>
        <w:rPr>
          <w:rFonts w:cs="Times New Roman"/>
          <w:szCs w:val="24"/>
          <w:lang w:eastAsia="es-CO"/>
        </w:rPr>
      </w:pPr>
      <w:r w:rsidRPr="00951AB1">
        <w:rPr>
          <w:rFonts w:cs="Times New Roman"/>
          <w:szCs w:val="24"/>
          <w:lang w:eastAsia="es-CO"/>
        </w:rPr>
        <w:t>La depreciación acumulada cerró en $7.478.469.171, incluyendo una depreciación del período de $1.970.165.813 y ajustes derivados de traslados. El valor en libros asciende a $12.306.451.736, con un nivel de depreciación acumulada del 38%, evidenciando una vida útil remanente significativa.</w:t>
      </w:r>
    </w:p>
    <w:p w14:paraId="5C9A2F8F" w14:textId="77777777" w:rsidR="00D81C95" w:rsidRPr="00951AB1" w:rsidRDefault="00D81C95" w:rsidP="000A5389">
      <w:pPr>
        <w:autoSpaceDE w:val="0"/>
        <w:autoSpaceDN w:val="0"/>
        <w:adjustRightInd w:val="0"/>
        <w:spacing w:line="240" w:lineRule="auto"/>
        <w:rPr>
          <w:rFonts w:cs="Times New Roman"/>
          <w:szCs w:val="24"/>
          <w:lang w:eastAsia="es-CO"/>
        </w:rPr>
      </w:pPr>
    </w:p>
    <w:p w14:paraId="39F131A3" w14:textId="2018A959" w:rsidR="00D81C95" w:rsidRPr="00951AB1" w:rsidRDefault="00D81C95" w:rsidP="000A5389">
      <w:pPr>
        <w:autoSpaceDE w:val="0"/>
        <w:autoSpaceDN w:val="0"/>
        <w:adjustRightInd w:val="0"/>
        <w:spacing w:line="240" w:lineRule="auto"/>
        <w:rPr>
          <w:rFonts w:cs="Times New Roman"/>
          <w:szCs w:val="24"/>
          <w:lang w:eastAsia="es-CO"/>
        </w:rPr>
      </w:pPr>
      <w:r w:rsidRPr="00951AB1">
        <w:rPr>
          <w:rFonts w:cs="Times New Roman"/>
          <w:i/>
          <w:iCs/>
          <w:szCs w:val="24"/>
          <w:lang w:eastAsia="es-CO"/>
        </w:rPr>
        <w:t>Muebles y enseres y equipos de oficina</w:t>
      </w:r>
      <w:r w:rsidR="00B74D04" w:rsidRPr="00951AB1">
        <w:rPr>
          <w:rFonts w:cs="Times New Roman"/>
          <w:i/>
          <w:iCs/>
          <w:szCs w:val="24"/>
          <w:lang w:eastAsia="es-CO"/>
        </w:rPr>
        <w:t xml:space="preserve">: </w:t>
      </w:r>
      <w:r w:rsidRPr="00951AB1">
        <w:rPr>
          <w:rFonts w:cs="Times New Roman"/>
          <w:szCs w:val="24"/>
          <w:lang w:eastAsia="es-CO"/>
        </w:rPr>
        <w:t>El saldo inicial: $6.366.184.854, se registraron reclasificaciones por $296.118.381, saldo final: $6.662.303.235.</w:t>
      </w:r>
    </w:p>
    <w:p w14:paraId="750A03CB" w14:textId="77777777" w:rsidR="00D81C95" w:rsidRPr="00951AB1" w:rsidRDefault="00D81C95" w:rsidP="000A5389">
      <w:pPr>
        <w:autoSpaceDE w:val="0"/>
        <w:autoSpaceDN w:val="0"/>
        <w:adjustRightInd w:val="0"/>
        <w:spacing w:line="240" w:lineRule="auto"/>
        <w:rPr>
          <w:rFonts w:cs="Times New Roman"/>
          <w:szCs w:val="24"/>
          <w:lang w:eastAsia="es-CO"/>
        </w:rPr>
      </w:pPr>
    </w:p>
    <w:p w14:paraId="1C406AD3" w14:textId="77777777" w:rsidR="00D81C95" w:rsidRPr="00951AB1" w:rsidRDefault="00D81C95" w:rsidP="000A5389">
      <w:pPr>
        <w:autoSpaceDE w:val="0"/>
        <w:autoSpaceDN w:val="0"/>
        <w:adjustRightInd w:val="0"/>
        <w:spacing w:line="240" w:lineRule="auto"/>
        <w:rPr>
          <w:rFonts w:cs="Times New Roman"/>
          <w:szCs w:val="24"/>
          <w:lang w:eastAsia="es-CO"/>
        </w:rPr>
      </w:pPr>
      <w:r w:rsidRPr="00951AB1">
        <w:rPr>
          <w:rFonts w:cs="Times New Roman"/>
          <w:szCs w:val="24"/>
          <w:lang w:eastAsia="es-CO"/>
        </w:rPr>
        <w:t>Depreciación acumulada: $6.078.101.119, equivalente al 91% del costo histórico. El valor en libros es de $584.202.117, reflejando que la mayoría de estos bienes se encuentran cercanos al final de su vida útil.</w:t>
      </w:r>
    </w:p>
    <w:p w14:paraId="6E4EDFAA" w14:textId="77777777" w:rsidR="00D81C95" w:rsidRPr="00951AB1" w:rsidRDefault="00D81C95" w:rsidP="000A5389">
      <w:pPr>
        <w:autoSpaceDE w:val="0"/>
        <w:autoSpaceDN w:val="0"/>
        <w:adjustRightInd w:val="0"/>
        <w:spacing w:line="240" w:lineRule="auto"/>
        <w:rPr>
          <w:rFonts w:cs="Times New Roman"/>
          <w:szCs w:val="24"/>
          <w:lang w:eastAsia="es-CO"/>
        </w:rPr>
      </w:pPr>
    </w:p>
    <w:p w14:paraId="728C6778" w14:textId="582F0D28" w:rsidR="00D81C95" w:rsidRPr="00951AB1" w:rsidRDefault="00D81C95" w:rsidP="000A5389">
      <w:pPr>
        <w:autoSpaceDE w:val="0"/>
        <w:autoSpaceDN w:val="0"/>
        <w:adjustRightInd w:val="0"/>
        <w:spacing w:line="240" w:lineRule="auto"/>
        <w:rPr>
          <w:rFonts w:cs="Times New Roman"/>
          <w:szCs w:val="24"/>
          <w:lang w:eastAsia="es-CO"/>
        </w:rPr>
      </w:pPr>
      <w:r w:rsidRPr="00951AB1">
        <w:rPr>
          <w:rFonts w:cs="Times New Roman"/>
          <w:i/>
          <w:iCs/>
          <w:szCs w:val="24"/>
          <w:lang w:eastAsia="es-CO"/>
        </w:rPr>
        <w:t>Maquinaria y equipo</w:t>
      </w:r>
      <w:r w:rsidR="00B74D04" w:rsidRPr="00951AB1">
        <w:rPr>
          <w:rFonts w:cs="Times New Roman"/>
          <w:i/>
          <w:iCs/>
          <w:szCs w:val="24"/>
          <w:lang w:eastAsia="es-CO"/>
        </w:rPr>
        <w:t xml:space="preserve">: </w:t>
      </w:r>
      <w:r w:rsidRPr="00951AB1">
        <w:rPr>
          <w:rFonts w:cs="Times New Roman"/>
          <w:szCs w:val="24"/>
          <w:lang w:eastAsia="es-CO"/>
        </w:rPr>
        <w:t>El saldo inicial de $562.198.963, presento unos incrementos por reclasificaciones $1.675.781.820 presentando un saldo final: $2.237.980.783.</w:t>
      </w:r>
    </w:p>
    <w:p w14:paraId="0F6A5378" w14:textId="77777777" w:rsidR="00D81C95" w:rsidRPr="00951AB1" w:rsidRDefault="00D81C95" w:rsidP="000A5389">
      <w:pPr>
        <w:autoSpaceDE w:val="0"/>
        <w:autoSpaceDN w:val="0"/>
        <w:adjustRightInd w:val="0"/>
        <w:spacing w:line="240" w:lineRule="auto"/>
        <w:rPr>
          <w:rFonts w:cs="Times New Roman"/>
          <w:szCs w:val="24"/>
          <w:lang w:eastAsia="es-CO"/>
        </w:rPr>
      </w:pPr>
    </w:p>
    <w:p w14:paraId="7D10D338" w14:textId="77777777" w:rsidR="00D81C95" w:rsidRPr="00951AB1" w:rsidRDefault="00D81C95" w:rsidP="000A5389">
      <w:pPr>
        <w:autoSpaceDE w:val="0"/>
        <w:autoSpaceDN w:val="0"/>
        <w:adjustRightInd w:val="0"/>
        <w:spacing w:line="240" w:lineRule="auto"/>
        <w:rPr>
          <w:rFonts w:cs="Times New Roman"/>
          <w:szCs w:val="24"/>
          <w:lang w:eastAsia="es-CO"/>
        </w:rPr>
      </w:pPr>
      <w:r w:rsidRPr="00951AB1">
        <w:rPr>
          <w:rFonts w:cs="Times New Roman"/>
          <w:szCs w:val="24"/>
          <w:lang w:eastAsia="es-CO"/>
        </w:rPr>
        <w:t>Depreciación acumulada: $591.810.286 (26%), Valor en libros: $1.646.170.498, lo que indica incorporación reciente de activos con menor grado de desgaste.</w:t>
      </w:r>
    </w:p>
    <w:p w14:paraId="09840721" w14:textId="77777777" w:rsidR="00D81C95" w:rsidRPr="00951AB1" w:rsidRDefault="00D81C95" w:rsidP="000A5389">
      <w:pPr>
        <w:autoSpaceDE w:val="0"/>
        <w:autoSpaceDN w:val="0"/>
        <w:adjustRightInd w:val="0"/>
        <w:spacing w:line="240" w:lineRule="auto"/>
        <w:rPr>
          <w:rFonts w:cs="Times New Roman"/>
          <w:szCs w:val="24"/>
          <w:lang w:eastAsia="es-CO"/>
        </w:rPr>
      </w:pPr>
    </w:p>
    <w:p w14:paraId="00945960" w14:textId="07960AE4" w:rsidR="00D81C95" w:rsidRPr="00951AB1" w:rsidRDefault="00D81C95" w:rsidP="000A5389">
      <w:pPr>
        <w:autoSpaceDE w:val="0"/>
        <w:autoSpaceDN w:val="0"/>
        <w:adjustRightInd w:val="0"/>
        <w:spacing w:line="240" w:lineRule="auto"/>
        <w:rPr>
          <w:rFonts w:cs="Times New Roman"/>
          <w:szCs w:val="24"/>
          <w:lang w:eastAsia="es-CO"/>
        </w:rPr>
      </w:pPr>
      <w:r w:rsidRPr="00951AB1">
        <w:rPr>
          <w:rFonts w:cs="Times New Roman"/>
          <w:i/>
          <w:iCs/>
          <w:szCs w:val="24"/>
          <w:lang w:eastAsia="es-CO"/>
        </w:rPr>
        <w:t>Equipo de transporte tracción y elevación</w:t>
      </w:r>
      <w:r w:rsidR="00B74D04" w:rsidRPr="00951AB1">
        <w:rPr>
          <w:rFonts w:cs="Times New Roman"/>
          <w:szCs w:val="24"/>
          <w:lang w:eastAsia="es-CO"/>
        </w:rPr>
        <w:t xml:space="preserve">: </w:t>
      </w:r>
      <w:r w:rsidRPr="00951AB1">
        <w:rPr>
          <w:rFonts w:cs="Times New Roman"/>
          <w:szCs w:val="24"/>
          <w:lang w:eastAsia="es-CO"/>
        </w:rPr>
        <w:t>El saldo final $826.082.828 con una depreciación acumulada: $825.558.230.</w:t>
      </w:r>
    </w:p>
    <w:p w14:paraId="56356D39" w14:textId="77777777" w:rsidR="00D81C95" w:rsidRPr="00951AB1" w:rsidRDefault="00D81C95" w:rsidP="000A5389">
      <w:pPr>
        <w:autoSpaceDE w:val="0"/>
        <w:autoSpaceDN w:val="0"/>
        <w:adjustRightInd w:val="0"/>
        <w:spacing w:line="240" w:lineRule="auto"/>
        <w:rPr>
          <w:rFonts w:cs="Times New Roman"/>
          <w:i/>
          <w:iCs/>
          <w:szCs w:val="24"/>
          <w:lang w:eastAsia="es-CO"/>
        </w:rPr>
      </w:pPr>
    </w:p>
    <w:p w14:paraId="487045A4" w14:textId="72122B99" w:rsidR="00D81C95" w:rsidRPr="00951AB1" w:rsidRDefault="00D81C95" w:rsidP="000A5389">
      <w:pPr>
        <w:autoSpaceDE w:val="0"/>
        <w:autoSpaceDN w:val="0"/>
        <w:adjustRightInd w:val="0"/>
        <w:spacing w:line="240" w:lineRule="auto"/>
        <w:rPr>
          <w:rFonts w:cs="Times New Roman"/>
          <w:szCs w:val="24"/>
        </w:rPr>
      </w:pPr>
      <w:r w:rsidRPr="00951AB1">
        <w:rPr>
          <w:rFonts w:cs="Times New Roman"/>
          <w:i/>
          <w:iCs/>
          <w:szCs w:val="24"/>
          <w:lang w:eastAsia="es-CO"/>
        </w:rPr>
        <w:t>Propiedades, planta y equipo no explotados</w:t>
      </w:r>
      <w:r w:rsidR="00B74D04" w:rsidRPr="00951AB1">
        <w:rPr>
          <w:rFonts w:cs="Times New Roman"/>
          <w:i/>
          <w:iCs/>
          <w:szCs w:val="24"/>
          <w:lang w:eastAsia="es-CO"/>
        </w:rPr>
        <w:t xml:space="preserve">: </w:t>
      </w:r>
      <w:r w:rsidRPr="00951AB1">
        <w:rPr>
          <w:rFonts w:cs="Times New Roman"/>
          <w:szCs w:val="24"/>
        </w:rPr>
        <w:t>El valor en libros de los elementos, que se encuentran temporalmente fuera de servicio, corresponde a las Propiedades, planta y equipo no explotados, y cuyo valor al cierre del periodo 2025 ascendía a la suma de $337.094.915, bienes que a esa fecha se encuentran pendientes de baja definitiva.</w:t>
      </w:r>
    </w:p>
    <w:p w14:paraId="162C7AAC" w14:textId="77777777" w:rsidR="00D81C95" w:rsidRPr="00951AB1" w:rsidRDefault="00D81C95" w:rsidP="000A5389">
      <w:pPr>
        <w:spacing w:line="240" w:lineRule="auto"/>
        <w:ind w:left="426"/>
        <w:rPr>
          <w:rFonts w:cs="Times New Roman"/>
          <w:szCs w:val="24"/>
        </w:rPr>
      </w:pPr>
    </w:p>
    <w:tbl>
      <w:tblPr>
        <w:tblW w:w="5000" w:type="pct"/>
        <w:tblCellMar>
          <w:left w:w="70" w:type="dxa"/>
          <w:right w:w="70" w:type="dxa"/>
        </w:tblCellMar>
        <w:tblLook w:val="04A0" w:firstRow="1" w:lastRow="0" w:firstColumn="1" w:lastColumn="0" w:noHBand="0" w:noVBand="1"/>
      </w:tblPr>
      <w:tblGrid>
        <w:gridCol w:w="707"/>
        <w:gridCol w:w="6257"/>
        <w:gridCol w:w="1864"/>
      </w:tblGrid>
      <w:tr w:rsidR="00D81C95" w:rsidRPr="00951AB1" w14:paraId="60FA80C0" w14:textId="77777777" w:rsidTr="2A085367">
        <w:trPr>
          <w:trHeight w:val="288"/>
          <w:tblHeader/>
        </w:trPr>
        <w:tc>
          <w:tcPr>
            <w:tcW w:w="374"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hideMark/>
          </w:tcPr>
          <w:p w14:paraId="436AE702" w14:textId="77777777" w:rsidR="00D81C95" w:rsidRPr="00951AB1" w:rsidRDefault="00D81C95" w:rsidP="000A5389">
            <w:pPr>
              <w:spacing w:line="240" w:lineRule="auto"/>
              <w:jc w:val="center"/>
              <w:rPr>
                <w:rFonts w:eastAsia="Times New Roman" w:cs="Times New Roman"/>
                <w:b/>
                <w:bCs/>
                <w:lang w:val="es-419" w:eastAsia="es-419"/>
              </w:rPr>
            </w:pPr>
            <w:r w:rsidRPr="00951AB1">
              <w:rPr>
                <w:rFonts w:eastAsia="Times New Roman" w:cs="Times New Roman"/>
                <w:b/>
                <w:bCs/>
                <w:lang w:val="es-419" w:eastAsia="es-419"/>
              </w:rPr>
              <w:t>Cant.</w:t>
            </w:r>
          </w:p>
        </w:tc>
        <w:tc>
          <w:tcPr>
            <w:tcW w:w="3557" w:type="pct"/>
            <w:tcBorders>
              <w:top w:val="single" w:sz="4" w:space="0" w:color="A6A6A6" w:themeColor="background1" w:themeShade="A6"/>
              <w:left w:val="nil"/>
              <w:bottom w:val="single" w:sz="4" w:space="0" w:color="A6A6A6" w:themeColor="background1" w:themeShade="A6"/>
              <w:right w:val="single" w:sz="4" w:space="0" w:color="A6A6A6" w:themeColor="background1" w:themeShade="A6"/>
            </w:tcBorders>
            <w:vAlign w:val="center"/>
            <w:hideMark/>
          </w:tcPr>
          <w:p w14:paraId="772D1F59" w14:textId="77777777" w:rsidR="00D81C95" w:rsidRPr="00951AB1" w:rsidRDefault="00D81C95" w:rsidP="000A5389">
            <w:pPr>
              <w:spacing w:line="240" w:lineRule="auto"/>
              <w:jc w:val="center"/>
              <w:rPr>
                <w:rFonts w:eastAsia="Times New Roman" w:cs="Times New Roman"/>
                <w:b/>
                <w:bCs/>
                <w:lang w:val="es-419" w:eastAsia="es-419"/>
              </w:rPr>
            </w:pPr>
            <w:r w:rsidRPr="00951AB1">
              <w:rPr>
                <w:rFonts w:eastAsia="Times New Roman" w:cs="Times New Roman"/>
                <w:b/>
                <w:bCs/>
                <w:lang w:val="es-419" w:eastAsia="es-419"/>
              </w:rPr>
              <w:t>Concepto</w:t>
            </w:r>
          </w:p>
        </w:tc>
        <w:tc>
          <w:tcPr>
            <w:tcW w:w="1069" w:type="pct"/>
            <w:tcBorders>
              <w:top w:val="single" w:sz="4" w:space="0" w:color="A6A6A6" w:themeColor="background1" w:themeShade="A6"/>
              <w:left w:val="nil"/>
              <w:bottom w:val="single" w:sz="4" w:space="0" w:color="A6A6A6" w:themeColor="background1" w:themeShade="A6"/>
              <w:right w:val="single" w:sz="4" w:space="0" w:color="A6A6A6" w:themeColor="background1" w:themeShade="A6"/>
            </w:tcBorders>
            <w:vAlign w:val="center"/>
            <w:hideMark/>
          </w:tcPr>
          <w:p w14:paraId="1918A18E" w14:textId="77777777" w:rsidR="00D81C95" w:rsidRPr="00951AB1" w:rsidRDefault="00D81C95" w:rsidP="000A5389">
            <w:pPr>
              <w:spacing w:line="240" w:lineRule="auto"/>
              <w:jc w:val="center"/>
              <w:rPr>
                <w:rFonts w:eastAsia="Times New Roman" w:cs="Times New Roman"/>
                <w:b/>
                <w:bCs/>
                <w:lang w:val="es-419" w:eastAsia="es-419"/>
              </w:rPr>
            </w:pPr>
            <w:r w:rsidRPr="00951AB1">
              <w:rPr>
                <w:rFonts w:eastAsia="Times New Roman" w:cs="Times New Roman"/>
                <w:b/>
                <w:bCs/>
                <w:lang w:val="es-419" w:eastAsia="es-419"/>
              </w:rPr>
              <w:t>Valor a 31 dic2025</w:t>
            </w:r>
          </w:p>
        </w:tc>
      </w:tr>
      <w:tr w:rsidR="00D81C95" w:rsidRPr="00951AB1" w14:paraId="1E005A91" w14:textId="77777777" w:rsidTr="2A085367">
        <w:trPr>
          <w:trHeight w:val="480"/>
        </w:trPr>
        <w:tc>
          <w:tcPr>
            <w:tcW w:w="374" w:type="pct"/>
            <w:tcBorders>
              <w:top w:val="nil"/>
              <w:left w:val="single" w:sz="4" w:space="0" w:color="A6A6A6" w:themeColor="background1" w:themeShade="A6"/>
              <w:bottom w:val="single" w:sz="4" w:space="0" w:color="A6A6A6" w:themeColor="background1" w:themeShade="A6"/>
              <w:right w:val="single" w:sz="4" w:space="0" w:color="A6A6A6" w:themeColor="background1" w:themeShade="A6"/>
            </w:tcBorders>
            <w:vAlign w:val="center"/>
            <w:hideMark/>
          </w:tcPr>
          <w:p w14:paraId="052A407D" w14:textId="77777777" w:rsidR="00D81C95" w:rsidRPr="00951AB1" w:rsidRDefault="00D81C95" w:rsidP="000A5389">
            <w:pPr>
              <w:spacing w:line="240" w:lineRule="auto"/>
              <w:jc w:val="center"/>
              <w:rPr>
                <w:rFonts w:eastAsia="Times New Roman" w:cs="Times New Roman"/>
                <w:lang w:val="es-419" w:eastAsia="es-419"/>
              </w:rPr>
            </w:pPr>
            <w:r w:rsidRPr="00951AB1">
              <w:rPr>
                <w:rFonts w:eastAsia="Times New Roman" w:cs="Times New Roman"/>
                <w:lang w:val="es-419" w:eastAsia="es-419"/>
              </w:rPr>
              <w:t xml:space="preserve">1 </w:t>
            </w:r>
          </w:p>
        </w:tc>
        <w:tc>
          <w:tcPr>
            <w:tcW w:w="3557" w:type="pct"/>
            <w:tcBorders>
              <w:top w:val="nil"/>
              <w:left w:val="nil"/>
              <w:bottom w:val="single" w:sz="4" w:space="0" w:color="A6A6A6" w:themeColor="background1" w:themeShade="A6"/>
              <w:right w:val="single" w:sz="4" w:space="0" w:color="A6A6A6" w:themeColor="background1" w:themeShade="A6"/>
            </w:tcBorders>
            <w:vAlign w:val="center"/>
            <w:hideMark/>
          </w:tcPr>
          <w:p w14:paraId="40F89CC1" w14:textId="77777777" w:rsidR="00D81C95" w:rsidRPr="00951AB1" w:rsidRDefault="00D81C95" w:rsidP="000A5389">
            <w:pPr>
              <w:spacing w:line="240" w:lineRule="auto"/>
              <w:rPr>
                <w:rFonts w:eastAsia="Times New Roman" w:cs="Times New Roman"/>
                <w:lang w:val="es-419" w:eastAsia="es-419"/>
              </w:rPr>
            </w:pPr>
            <w:r w:rsidRPr="00951AB1">
              <w:rPr>
                <w:rFonts w:eastAsia="Times New Roman" w:cs="Times New Roman"/>
                <w:lang w:val="es-419" w:eastAsia="es-419"/>
              </w:rPr>
              <w:t>Administrador banda ancha - ssg-400/ac monitorinng serie cz3740wy sg</w:t>
            </w:r>
          </w:p>
        </w:tc>
        <w:tc>
          <w:tcPr>
            <w:tcW w:w="1069" w:type="pct"/>
            <w:tcBorders>
              <w:top w:val="nil"/>
              <w:left w:val="nil"/>
              <w:bottom w:val="single" w:sz="4" w:space="0" w:color="A6A6A6" w:themeColor="background1" w:themeShade="A6"/>
              <w:right w:val="single" w:sz="4" w:space="0" w:color="A6A6A6" w:themeColor="background1" w:themeShade="A6"/>
            </w:tcBorders>
            <w:vAlign w:val="center"/>
            <w:hideMark/>
          </w:tcPr>
          <w:p w14:paraId="1CA26B70" w14:textId="77777777" w:rsidR="00D81C95" w:rsidRPr="00951AB1" w:rsidRDefault="00D81C95" w:rsidP="000A5389">
            <w:pPr>
              <w:spacing w:line="240" w:lineRule="auto"/>
              <w:jc w:val="right"/>
              <w:rPr>
                <w:rFonts w:eastAsia="Times New Roman" w:cs="Times New Roman"/>
                <w:lang w:val="es-419" w:eastAsia="es-419"/>
              </w:rPr>
            </w:pPr>
            <w:r w:rsidRPr="00951AB1">
              <w:rPr>
                <w:rFonts w:eastAsia="Times New Roman" w:cs="Times New Roman"/>
                <w:lang w:val="es-419" w:eastAsia="es-419"/>
              </w:rPr>
              <w:t xml:space="preserve">174.424.052 </w:t>
            </w:r>
          </w:p>
        </w:tc>
      </w:tr>
      <w:tr w:rsidR="00D81C95" w:rsidRPr="00951AB1" w14:paraId="7885E708" w14:textId="77777777" w:rsidTr="2A085367">
        <w:trPr>
          <w:trHeight w:val="288"/>
        </w:trPr>
        <w:tc>
          <w:tcPr>
            <w:tcW w:w="374" w:type="pct"/>
            <w:tcBorders>
              <w:top w:val="nil"/>
              <w:left w:val="single" w:sz="4" w:space="0" w:color="A6A6A6" w:themeColor="background1" w:themeShade="A6"/>
              <w:bottom w:val="single" w:sz="4" w:space="0" w:color="A6A6A6" w:themeColor="background1" w:themeShade="A6"/>
              <w:right w:val="single" w:sz="4" w:space="0" w:color="A6A6A6" w:themeColor="background1" w:themeShade="A6"/>
            </w:tcBorders>
            <w:vAlign w:val="center"/>
            <w:hideMark/>
          </w:tcPr>
          <w:p w14:paraId="0E9F2CF8" w14:textId="77777777" w:rsidR="00D81C95" w:rsidRPr="00951AB1" w:rsidRDefault="00D81C95" w:rsidP="000A5389">
            <w:pPr>
              <w:spacing w:line="240" w:lineRule="auto"/>
              <w:jc w:val="center"/>
              <w:rPr>
                <w:rFonts w:eastAsia="Times New Roman" w:cs="Times New Roman"/>
                <w:lang w:val="es-419" w:eastAsia="es-419"/>
              </w:rPr>
            </w:pPr>
            <w:r w:rsidRPr="00951AB1">
              <w:rPr>
                <w:rFonts w:eastAsia="Times New Roman" w:cs="Times New Roman"/>
                <w:lang w:val="es-419" w:eastAsia="es-419"/>
              </w:rPr>
              <w:t xml:space="preserve">2 </w:t>
            </w:r>
          </w:p>
        </w:tc>
        <w:tc>
          <w:tcPr>
            <w:tcW w:w="3557" w:type="pct"/>
            <w:tcBorders>
              <w:top w:val="nil"/>
              <w:left w:val="nil"/>
              <w:bottom w:val="single" w:sz="4" w:space="0" w:color="A6A6A6" w:themeColor="background1" w:themeShade="A6"/>
              <w:right w:val="single" w:sz="4" w:space="0" w:color="A6A6A6" w:themeColor="background1" w:themeShade="A6"/>
            </w:tcBorders>
            <w:vAlign w:val="center"/>
            <w:hideMark/>
          </w:tcPr>
          <w:p w14:paraId="0B8CD3BB" w14:textId="77777777" w:rsidR="00D81C95" w:rsidRPr="00951AB1" w:rsidRDefault="00D81C95" w:rsidP="000A5389">
            <w:pPr>
              <w:spacing w:line="240" w:lineRule="auto"/>
              <w:rPr>
                <w:rFonts w:eastAsia="Times New Roman" w:cs="Times New Roman"/>
                <w:lang w:val="es-419" w:eastAsia="es-419"/>
              </w:rPr>
            </w:pPr>
            <w:r w:rsidRPr="00951AB1">
              <w:rPr>
                <w:rFonts w:eastAsia="Times New Roman" w:cs="Times New Roman"/>
                <w:lang w:val="es-419" w:eastAsia="es-419"/>
              </w:rPr>
              <w:t xml:space="preserve">Computador hp 8000 elite c2d 4gb 160 GB  </w:t>
            </w:r>
          </w:p>
        </w:tc>
        <w:tc>
          <w:tcPr>
            <w:tcW w:w="1069" w:type="pct"/>
            <w:tcBorders>
              <w:top w:val="nil"/>
              <w:left w:val="nil"/>
              <w:bottom w:val="single" w:sz="4" w:space="0" w:color="A6A6A6" w:themeColor="background1" w:themeShade="A6"/>
              <w:right w:val="single" w:sz="4" w:space="0" w:color="A6A6A6" w:themeColor="background1" w:themeShade="A6"/>
            </w:tcBorders>
            <w:vAlign w:val="center"/>
            <w:hideMark/>
          </w:tcPr>
          <w:p w14:paraId="34A351CD" w14:textId="77777777" w:rsidR="00D81C95" w:rsidRPr="00951AB1" w:rsidRDefault="00D81C95" w:rsidP="000A5389">
            <w:pPr>
              <w:spacing w:line="240" w:lineRule="auto"/>
              <w:jc w:val="right"/>
              <w:rPr>
                <w:rFonts w:eastAsia="Times New Roman" w:cs="Times New Roman"/>
                <w:lang w:val="es-419" w:eastAsia="es-419"/>
              </w:rPr>
            </w:pPr>
            <w:r w:rsidRPr="00951AB1">
              <w:rPr>
                <w:rFonts w:eastAsia="Times New Roman" w:cs="Times New Roman"/>
                <w:lang w:val="es-419" w:eastAsia="es-419"/>
              </w:rPr>
              <w:t xml:space="preserve">3.625.338 </w:t>
            </w:r>
          </w:p>
        </w:tc>
      </w:tr>
      <w:tr w:rsidR="00D81C95" w:rsidRPr="00951AB1" w14:paraId="7A6F2F3C" w14:textId="77777777" w:rsidTr="2A085367">
        <w:trPr>
          <w:trHeight w:val="288"/>
        </w:trPr>
        <w:tc>
          <w:tcPr>
            <w:tcW w:w="374" w:type="pct"/>
            <w:tcBorders>
              <w:top w:val="nil"/>
              <w:left w:val="single" w:sz="4" w:space="0" w:color="A6A6A6" w:themeColor="background1" w:themeShade="A6"/>
              <w:bottom w:val="single" w:sz="4" w:space="0" w:color="A6A6A6" w:themeColor="background1" w:themeShade="A6"/>
              <w:right w:val="single" w:sz="4" w:space="0" w:color="A6A6A6" w:themeColor="background1" w:themeShade="A6"/>
            </w:tcBorders>
            <w:vAlign w:val="center"/>
            <w:hideMark/>
          </w:tcPr>
          <w:p w14:paraId="43FD1BA3" w14:textId="77777777" w:rsidR="00D81C95" w:rsidRPr="00951AB1" w:rsidRDefault="00D81C95" w:rsidP="000A5389">
            <w:pPr>
              <w:spacing w:line="240" w:lineRule="auto"/>
              <w:jc w:val="center"/>
              <w:rPr>
                <w:rFonts w:eastAsia="Times New Roman" w:cs="Times New Roman"/>
                <w:lang w:val="es-419" w:eastAsia="es-419"/>
              </w:rPr>
            </w:pPr>
            <w:r w:rsidRPr="00951AB1">
              <w:rPr>
                <w:rFonts w:eastAsia="Times New Roman" w:cs="Times New Roman"/>
                <w:lang w:val="es-419" w:eastAsia="es-419"/>
              </w:rPr>
              <w:t xml:space="preserve">1 </w:t>
            </w:r>
          </w:p>
        </w:tc>
        <w:tc>
          <w:tcPr>
            <w:tcW w:w="3557" w:type="pct"/>
            <w:tcBorders>
              <w:top w:val="nil"/>
              <w:left w:val="nil"/>
              <w:bottom w:val="single" w:sz="4" w:space="0" w:color="A6A6A6" w:themeColor="background1" w:themeShade="A6"/>
              <w:right w:val="single" w:sz="4" w:space="0" w:color="A6A6A6" w:themeColor="background1" w:themeShade="A6"/>
            </w:tcBorders>
            <w:vAlign w:val="center"/>
            <w:hideMark/>
          </w:tcPr>
          <w:p w14:paraId="601A0E42" w14:textId="77777777" w:rsidR="00D81C95" w:rsidRPr="00951AB1" w:rsidRDefault="00D81C95" w:rsidP="000A5389">
            <w:pPr>
              <w:spacing w:line="240" w:lineRule="auto"/>
              <w:rPr>
                <w:rFonts w:eastAsia="Times New Roman" w:cs="Times New Roman"/>
                <w:lang w:val="es-419" w:eastAsia="es-419"/>
              </w:rPr>
            </w:pPr>
            <w:r w:rsidRPr="00951AB1">
              <w:rPr>
                <w:rFonts w:eastAsia="Times New Roman" w:cs="Times New Roman"/>
                <w:lang w:val="es-419" w:eastAsia="es-419"/>
              </w:rPr>
              <w:t xml:space="preserve">Equipo y solución de seguridad perimetral </w:t>
            </w:r>
          </w:p>
        </w:tc>
        <w:tc>
          <w:tcPr>
            <w:tcW w:w="1069" w:type="pct"/>
            <w:tcBorders>
              <w:top w:val="nil"/>
              <w:left w:val="nil"/>
              <w:bottom w:val="single" w:sz="4" w:space="0" w:color="A6A6A6" w:themeColor="background1" w:themeShade="A6"/>
              <w:right w:val="single" w:sz="4" w:space="0" w:color="A6A6A6" w:themeColor="background1" w:themeShade="A6"/>
            </w:tcBorders>
            <w:vAlign w:val="center"/>
            <w:hideMark/>
          </w:tcPr>
          <w:p w14:paraId="62A1F635" w14:textId="77777777" w:rsidR="00D81C95" w:rsidRPr="00951AB1" w:rsidRDefault="00D81C95" w:rsidP="000A5389">
            <w:pPr>
              <w:spacing w:line="240" w:lineRule="auto"/>
              <w:jc w:val="right"/>
              <w:rPr>
                <w:rFonts w:eastAsia="Times New Roman" w:cs="Times New Roman"/>
                <w:lang w:val="es-419" w:eastAsia="es-419"/>
              </w:rPr>
            </w:pPr>
            <w:r w:rsidRPr="00951AB1">
              <w:rPr>
                <w:rFonts w:eastAsia="Times New Roman" w:cs="Times New Roman"/>
                <w:lang w:val="es-419" w:eastAsia="es-419"/>
              </w:rPr>
              <w:t xml:space="preserve">47.295.834 </w:t>
            </w:r>
          </w:p>
        </w:tc>
      </w:tr>
      <w:tr w:rsidR="00D81C95" w:rsidRPr="00951AB1" w14:paraId="5D227FB3" w14:textId="77777777" w:rsidTr="2A085367">
        <w:trPr>
          <w:trHeight w:val="288"/>
        </w:trPr>
        <w:tc>
          <w:tcPr>
            <w:tcW w:w="374" w:type="pct"/>
            <w:tcBorders>
              <w:top w:val="nil"/>
              <w:left w:val="single" w:sz="4" w:space="0" w:color="A6A6A6" w:themeColor="background1" w:themeShade="A6"/>
              <w:bottom w:val="single" w:sz="4" w:space="0" w:color="A6A6A6" w:themeColor="background1" w:themeShade="A6"/>
              <w:right w:val="single" w:sz="4" w:space="0" w:color="A6A6A6" w:themeColor="background1" w:themeShade="A6"/>
            </w:tcBorders>
            <w:vAlign w:val="center"/>
            <w:hideMark/>
          </w:tcPr>
          <w:p w14:paraId="167404CA" w14:textId="77777777" w:rsidR="00D81C95" w:rsidRPr="00951AB1" w:rsidRDefault="00D81C95" w:rsidP="000A5389">
            <w:pPr>
              <w:spacing w:line="240" w:lineRule="auto"/>
              <w:jc w:val="center"/>
              <w:rPr>
                <w:rFonts w:eastAsia="Times New Roman" w:cs="Times New Roman"/>
                <w:lang w:val="es-419" w:eastAsia="es-419"/>
              </w:rPr>
            </w:pPr>
            <w:r w:rsidRPr="00951AB1">
              <w:rPr>
                <w:rFonts w:eastAsia="Times New Roman" w:cs="Times New Roman"/>
                <w:lang w:val="es-419" w:eastAsia="es-419"/>
              </w:rPr>
              <w:t xml:space="preserve">1 </w:t>
            </w:r>
          </w:p>
        </w:tc>
        <w:tc>
          <w:tcPr>
            <w:tcW w:w="3557" w:type="pct"/>
            <w:tcBorders>
              <w:top w:val="nil"/>
              <w:left w:val="nil"/>
              <w:bottom w:val="single" w:sz="4" w:space="0" w:color="A6A6A6" w:themeColor="background1" w:themeShade="A6"/>
              <w:right w:val="single" w:sz="4" w:space="0" w:color="A6A6A6" w:themeColor="background1" w:themeShade="A6"/>
            </w:tcBorders>
            <w:vAlign w:val="center"/>
            <w:hideMark/>
          </w:tcPr>
          <w:p w14:paraId="7BE873C0" w14:textId="77777777" w:rsidR="00D81C95" w:rsidRPr="00951AB1" w:rsidRDefault="00D81C95" w:rsidP="000A5389">
            <w:pPr>
              <w:spacing w:line="240" w:lineRule="auto"/>
              <w:rPr>
                <w:rFonts w:eastAsia="Times New Roman" w:cs="Times New Roman"/>
                <w:lang w:val="en-US" w:eastAsia="es-419"/>
              </w:rPr>
            </w:pPr>
            <w:r w:rsidRPr="00951AB1">
              <w:rPr>
                <w:rFonts w:eastAsia="Times New Roman" w:cs="Times New Roman"/>
                <w:lang w:val="en-US" w:eastAsia="es-419"/>
              </w:rPr>
              <w:t xml:space="preserve">Memory 2048mb pc1600 ecc SDRAM hp protector </w:t>
            </w:r>
          </w:p>
        </w:tc>
        <w:tc>
          <w:tcPr>
            <w:tcW w:w="1069" w:type="pct"/>
            <w:tcBorders>
              <w:top w:val="nil"/>
              <w:left w:val="nil"/>
              <w:bottom w:val="single" w:sz="4" w:space="0" w:color="A6A6A6" w:themeColor="background1" w:themeShade="A6"/>
              <w:right w:val="single" w:sz="4" w:space="0" w:color="A6A6A6" w:themeColor="background1" w:themeShade="A6"/>
            </w:tcBorders>
            <w:vAlign w:val="center"/>
            <w:hideMark/>
          </w:tcPr>
          <w:p w14:paraId="1FAD79B3" w14:textId="77777777" w:rsidR="00D81C95" w:rsidRPr="00951AB1" w:rsidRDefault="00D81C95" w:rsidP="000A5389">
            <w:pPr>
              <w:spacing w:line="240" w:lineRule="auto"/>
              <w:jc w:val="right"/>
              <w:rPr>
                <w:rFonts w:eastAsia="Times New Roman" w:cs="Times New Roman"/>
                <w:lang w:val="es-419" w:eastAsia="es-419"/>
              </w:rPr>
            </w:pPr>
            <w:r w:rsidRPr="00951AB1">
              <w:rPr>
                <w:rFonts w:eastAsia="Times New Roman" w:cs="Times New Roman"/>
                <w:lang w:val="es-419" w:eastAsia="es-419"/>
              </w:rPr>
              <w:t xml:space="preserve">3.205.776 </w:t>
            </w:r>
          </w:p>
        </w:tc>
      </w:tr>
      <w:tr w:rsidR="00D81C95" w:rsidRPr="00951AB1" w14:paraId="44FB26AE" w14:textId="77777777" w:rsidTr="2A085367">
        <w:trPr>
          <w:trHeight w:val="288"/>
        </w:trPr>
        <w:tc>
          <w:tcPr>
            <w:tcW w:w="374" w:type="pct"/>
            <w:tcBorders>
              <w:top w:val="nil"/>
              <w:left w:val="single" w:sz="4" w:space="0" w:color="A6A6A6" w:themeColor="background1" w:themeShade="A6"/>
              <w:bottom w:val="single" w:sz="4" w:space="0" w:color="A6A6A6" w:themeColor="background1" w:themeShade="A6"/>
              <w:right w:val="single" w:sz="4" w:space="0" w:color="A6A6A6" w:themeColor="background1" w:themeShade="A6"/>
            </w:tcBorders>
            <w:vAlign w:val="center"/>
            <w:hideMark/>
          </w:tcPr>
          <w:p w14:paraId="0F89CE4C" w14:textId="77777777" w:rsidR="00D81C95" w:rsidRPr="00951AB1" w:rsidRDefault="00D81C95" w:rsidP="000A5389">
            <w:pPr>
              <w:spacing w:line="240" w:lineRule="auto"/>
              <w:jc w:val="center"/>
              <w:rPr>
                <w:rFonts w:eastAsia="Times New Roman" w:cs="Times New Roman"/>
                <w:lang w:val="es-419" w:eastAsia="es-419"/>
              </w:rPr>
            </w:pPr>
            <w:r w:rsidRPr="00951AB1">
              <w:rPr>
                <w:rFonts w:eastAsia="Times New Roman" w:cs="Times New Roman"/>
                <w:lang w:val="es-419" w:eastAsia="es-419"/>
              </w:rPr>
              <w:t xml:space="preserve">1 </w:t>
            </w:r>
          </w:p>
        </w:tc>
        <w:tc>
          <w:tcPr>
            <w:tcW w:w="3557" w:type="pct"/>
            <w:tcBorders>
              <w:top w:val="nil"/>
              <w:left w:val="nil"/>
              <w:bottom w:val="single" w:sz="4" w:space="0" w:color="A6A6A6" w:themeColor="background1" w:themeShade="A6"/>
              <w:right w:val="single" w:sz="4" w:space="0" w:color="A6A6A6" w:themeColor="background1" w:themeShade="A6"/>
            </w:tcBorders>
            <w:vAlign w:val="center"/>
            <w:hideMark/>
          </w:tcPr>
          <w:p w14:paraId="34BBEC0A" w14:textId="77777777" w:rsidR="00D81C95" w:rsidRPr="00951AB1" w:rsidRDefault="00D81C95" w:rsidP="000A5389">
            <w:pPr>
              <w:spacing w:line="240" w:lineRule="auto"/>
              <w:rPr>
                <w:rFonts w:eastAsia="Times New Roman" w:cs="Times New Roman"/>
                <w:lang w:val="es-419" w:eastAsia="es-419"/>
              </w:rPr>
            </w:pPr>
            <w:r w:rsidRPr="00951AB1">
              <w:rPr>
                <w:rFonts w:eastAsia="Times New Roman" w:cs="Times New Roman"/>
                <w:lang w:val="es-419" w:eastAsia="es-419"/>
              </w:rPr>
              <w:t>Procesador Intel Xeon MP x2.70 ghz-2mb</w:t>
            </w:r>
          </w:p>
        </w:tc>
        <w:tc>
          <w:tcPr>
            <w:tcW w:w="1069" w:type="pct"/>
            <w:tcBorders>
              <w:top w:val="nil"/>
              <w:left w:val="nil"/>
              <w:bottom w:val="single" w:sz="4" w:space="0" w:color="A6A6A6" w:themeColor="background1" w:themeShade="A6"/>
              <w:right w:val="single" w:sz="4" w:space="0" w:color="A6A6A6" w:themeColor="background1" w:themeShade="A6"/>
            </w:tcBorders>
            <w:vAlign w:val="center"/>
            <w:hideMark/>
          </w:tcPr>
          <w:p w14:paraId="285AF87A" w14:textId="77777777" w:rsidR="00D81C95" w:rsidRPr="00951AB1" w:rsidRDefault="00D81C95" w:rsidP="000A5389">
            <w:pPr>
              <w:spacing w:line="240" w:lineRule="auto"/>
              <w:jc w:val="right"/>
              <w:rPr>
                <w:rFonts w:eastAsia="Times New Roman" w:cs="Times New Roman"/>
                <w:lang w:val="es-419" w:eastAsia="es-419"/>
              </w:rPr>
            </w:pPr>
            <w:r w:rsidRPr="00951AB1">
              <w:rPr>
                <w:rFonts w:eastAsia="Times New Roman" w:cs="Times New Roman"/>
                <w:lang w:val="es-419" w:eastAsia="es-419"/>
              </w:rPr>
              <w:t xml:space="preserve">8.005.914 </w:t>
            </w:r>
          </w:p>
        </w:tc>
      </w:tr>
      <w:tr w:rsidR="00D81C95" w:rsidRPr="00951AB1" w14:paraId="7C1D6D19" w14:textId="77777777" w:rsidTr="2A085367">
        <w:trPr>
          <w:trHeight w:val="288"/>
        </w:trPr>
        <w:tc>
          <w:tcPr>
            <w:tcW w:w="374" w:type="pct"/>
            <w:tcBorders>
              <w:top w:val="nil"/>
              <w:left w:val="single" w:sz="4" w:space="0" w:color="A6A6A6" w:themeColor="background1" w:themeShade="A6"/>
              <w:bottom w:val="single" w:sz="4" w:space="0" w:color="A6A6A6" w:themeColor="background1" w:themeShade="A6"/>
              <w:right w:val="single" w:sz="4" w:space="0" w:color="A6A6A6" w:themeColor="background1" w:themeShade="A6"/>
            </w:tcBorders>
            <w:vAlign w:val="center"/>
            <w:hideMark/>
          </w:tcPr>
          <w:p w14:paraId="7207AA30" w14:textId="77777777" w:rsidR="00D81C95" w:rsidRPr="00951AB1" w:rsidRDefault="00D81C95" w:rsidP="000A5389">
            <w:pPr>
              <w:spacing w:line="240" w:lineRule="auto"/>
              <w:jc w:val="center"/>
              <w:rPr>
                <w:rFonts w:eastAsia="Times New Roman" w:cs="Times New Roman"/>
                <w:lang w:val="es-419" w:eastAsia="es-419"/>
              </w:rPr>
            </w:pPr>
            <w:r w:rsidRPr="00951AB1">
              <w:rPr>
                <w:rFonts w:eastAsia="Times New Roman" w:cs="Times New Roman"/>
                <w:lang w:val="es-419" w:eastAsia="es-419"/>
              </w:rPr>
              <w:t xml:space="preserve">6 </w:t>
            </w:r>
          </w:p>
        </w:tc>
        <w:tc>
          <w:tcPr>
            <w:tcW w:w="3557" w:type="pct"/>
            <w:tcBorders>
              <w:top w:val="nil"/>
              <w:left w:val="nil"/>
              <w:bottom w:val="single" w:sz="4" w:space="0" w:color="A6A6A6" w:themeColor="background1" w:themeShade="A6"/>
              <w:right w:val="single" w:sz="4" w:space="0" w:color="A6A6A6" w:themeColor="background1" w:themeShade="A6"/>
            </w:tcBorders>
            <w:vAlign w:val="center"/>
            <w:hideMark/>
          </w:tcPr>
          <w:p w14:paraId="2B18F07F" w14:textId="77777777" w:rsidR="00D81C95" w:rsidRPr="00951AB1" w:rsidRDefault="00D81C95" w:rsidP="000A5389">
            <w:pPr>
              <w:spacing w:line="240" w:lineRule="auto"/>
              <w:rPr>
                <w:rFonts w:eastAsia="Times New Roman" w:cs="Times New Roman"/>
                <w:lang w:val="es-419" w:eastAsia="es-419"/>
              </w:rPr>
            </w:pPr>
            <w:r w:rsidRPr="00951AB1">
              <w:rPr>
                <w:rFonts w:eastAsia="Times New Roman" w:cs="Times New Roman"/>
                <w:lang w:val="es-419" w:eastAsia="es-419"/>
              </w:rPr>
              <w:t xml:space="preserve">Servidor procesador type (1) quad Core y servidor Blade hp 460 </w:t>
            </w:r>
          </w:p>
        </w:tc>
        <w:tc>
          <w:tcPr>
            <w:tcW w:w="1069" w:type="pct"/>
            <w:tcBorders>
              <w:top w:val="nil"/>
              <w:left w:val="nil"/>
              <w:bottom w:val="single" w:sz="4" w:space="0" w:color="A6A6A6" w:themeColor="background1" w:themeShade="A6"/>
              <w:right w:val="single" w:sz="4" w:space="0" w:color="A6A6A6" w:themeColor="background1" w:themeShade="A6"/>
            </w:tcBorders>
            <w:vAlign w:val="center"/>
            <w:hideMark/>
          </w:tcPr>
          <w:p w14:paraId="76CEF1C1" w14:textId="77777777" w:rsidR="00D81C95" w:rsidRPr="00951AB1" w:rsidRDefault="00D81C95" w:rsidP="000A5389">
            <w:pPr>
              <w:spacing w:line="240" w:lineRule="auto"/>
              <w:jc w:val="right"/>
              <w:rPr>
                <w:rFonts w:eastAsia="Times New Roman" w:cs="Times New Roman"/>
                <w:lang w:val="es-419" w:eastAsia="es-419"/>
              </w:rPr>
            </w:pPr>
            <w:r w:rsidRPr="00951AB1">
              <w:rPr>
                <w:rFonts w:eastAsia="Times New Roman" w:cs="Times New Roman"/>
                <w:lang w:val="es-419" w:eastAsia="es-419"/>
              </w:rPr>
              <w:t xml:space="preserve">95.318.000 </w:t>
            </w:r>
          </w:p>
        </w:tc>
      </w:tr>
      <w:tr w:rsidR="00D81C95" w:rsidRPr="00951AB1" w14:paraId="70B139B8" w14:textId="77777777" w:rsidTr="2A085367">
        <w:trPr>
          <w:trHeight w:val="288"/>
        </w:trPr>
        <w:tc>
          <w:tcPr>
            <w:tcW w:w="374" w:type="pct"/>
            <w:tcBorders>
              <w:top w:val="nil"/>
              <w:left w:val="single" w:sz="4" w:space="0" w:color="A6A6A6" w:themeColor="background1" w:themeShade="A6"/>
              <w:bottom w:val="single" w:sz="4" w:space="0" w:color="A6A6A6" w:themeColor="background1" w:themeShade="A6"/>
              <w:right w:val="single" w:sz="4" w:space="0" w:color="A6A6A6" w:themeColor="background1" w:themeShade="A6"/>
            </w:tcBorders>
            <w:vAlign w:val="center"/>
            <w:hideMark/>
          </w:tcPr>
          <w:p w14:paraId="0FEF5F2E" w14:textId="77777777" w:rsidR="00D81C95" w:rsidRPr="00951AB1" w:rsidRDefault="00D81C95" w:rsidP="000A5389">
            <w:pPr>
              <w:spacing w:line="240" w:lineRule="auto"/>
              <w:jc w:val="center"/>
              <w:rPr>
                <w:rFonts w:eastAsia="Times New Roman" w:cs="Times New Roman"/>
                <w:lang w:val="es-419" w:eastAsia="es-419"/>
              </w:rPr>
            </w:pPr>
            <w:r w:rsidRPr="00951AB1">
              <w:rPr>
                <w:rFonts w:eastAsia="Times New Roman" w:cs="Times New Roman"/>
                <w:lang w:val="es-419" w:eastAsia="es-419"/>
              </w:rPr>
              <w:t xml:space="preserve">1 </w:t>
            </w:r>
          </w:p>
        </w:tc>
        <w:tc>
          <w:tcPr>
            <w:tcW w:w="3557" w:type="pct"/>
            <w:tcBorders>
              <w:top w:val="nil"/>
              <w:left w:val="nil"/>
              <w:bottom w:val="single" w:sz="4" w:space="0" w:color="A6A6A6" w:themeColor="background1" w:themeShade="A6"/>
              <w:right w:val="single" w:sz="4" w:space="0" w:color="A6A6A6" w:themeColor="background1" w:themeShade="A6"/>
            </w:tcBorders>
            <w:vAlign w:val="center"/>
            <w:hideMark/>
          </w:tcPr>
          <w:p w14:paraId="6D232E5E" w14:textId="77777777" w:rsidR="00D81C95" w:rsidRPr="00951AB1" w:rsidRDefault="00D81C95" w:rsidP="000A5389">
            <w:pPr>
              <w:spacing w:line="240" w:lineRule="auto"/>
              <w:rPr>
                <w:rFonts w:eastAsia="Times New Roman" w:cs="Times New Roman"/>
                <w:lang w:val="es-419" w:eastAsia="es-419"/>
              </w:rPr>
            </w:pPr>
            <w:r w:rsidRPr="00951AB1">
              <w:rPr>
                <w:rFonts w:eastAsia="Times New Roman" w:cs="Times New Roman"/>
                <w:lang w:val="es-419" w:eastAsia="es-419"/>
              </w:rPr>
              <w:t>Switch 24 capa 2.3.4 giga 2 a 4</w:t>
            </w:r>
          </w:p>
        </w:tc>
        <w:tc>
          <w:tcPr>
            <w:tcW w:w="1069" w:type="pct"/>
            <w:tcBorders>
              <w:top w:val="nil"/>
              <w:left w:val="nil"/>
              <w:bottom w:val="single" w:sz="4" w:space="0" w:color="A6A6A6" w:themeColor="background1" w:themeShade="A6"/>
              <w:right w:val="single" w:sz="4" w:space="0" w:color="A6A6A6" w:themeColor="background1" w:themeShade="A6"/>
            </w:tcBorders>
            <w:vAlign w:val="center"/>
            <w:hideMark/>
          </w:tcPr>
          <w:p w14:paraId="79B6B100" w14:textId="77777777" w:rsidR="00D81C95" w:rsidRPr="00951AB1" w:rsidRDefault="00D81C95" w:rsidP="000A5389">
            <w:pPr>
              <w:spacing w:line="240" w:lineRule="auto"/>
              <w:jc w:val="right"/>
              <w:rPr>
                <w:rFonts w:eastAsia="Times New Roman" w:cs="Times New Roman"/>
                <w:lang w:val="es-419" w:eastAsia="es-419"/>
              </w:rPr>
            </w:pPr>
            <w:r w:rsidRPr="00951AB1">
              <w:rPr>
                <w:rFonts w:eastAsia="Times New Roman" w:cs="Times New Roman"/>
                <w:lang w:val="es-419" w:eastAsia="es-419"/>
              </w:rPr>
              <w:t xml:space="preserve">5.220.000 </w:t>
            </w:r>
          </w:p>
        </w:tc>
      </w:tr>
      <w:tr w:rsidR="00D81C95" w:rsidRPr="00951AB1" w14:paraId="4DDC404E" w14:textId="77777777" w:rsidTr="2A085367">
        <w:trPr>
          <w:trHeight w:val="300"/>
        </w:trPr>
        <w:tc>
          <w:tcPr>
            <w:tcW w:w="374" w:type="pct"/>
            <w:tcBorders>
              <w:top w:val="nil"/>
              <w:left w:val="nil"/>
              <w:bottom w:val="single" w:sz="4" w:space="0" w:color="A6A6A6" w:themeColor="background1" w:themeShade="A6"/>
              <w:right w:val="nil"/>
            </w:tcBorders>
            <w:noWrap/>
            <w:vAlign w:val="bottom"/>
            <w:hideMark/>
          </w:tcPr>
          <w:p w14:paraId="5A003743" w14:textId="77777777" w:rsidR="00D81C95" w:rsidRPr="00951AB1" w:rsidRDefault="00D81C95" w:rsidP="000A5389">
            <w:pPr>
              <w:spacing w:line="240" w:lineRule="auto"/>
              <w:jc w:val="right"/>
              <w:rPr>
                <w:rFonts w:eastAsia="Times New Roman" w:cs="Times New Roman"/>
                <w:lang w:val="es-419" w:eastAsia="es-419"/>
              </w:rPr>
            </w:pPr>
          </w:p>
        </w:tc>
        <w:tc>
          <w:tcPr>
            <w:tcW w:w="3557" w:type="pct"/>
            <w:tcBorders>
              <w:top w:val="nil"/>
              <w:left w:val="nil"/>
              <w:bottom w:val="single" w:sz="4" w:space="0" w:color="A6A6A6" w:themeColor="background1" w:themeShade="A6"/>
              <w:right w:val="nil"/>
            </w:tcBorders>
            <w:noWrap/>
            <w:vAlign w:val="bottom"/>
            <w:hideMark/>
          </w:tcPr>
          <w:p w14:paraId="5554E313" w14:textId="77777777" w:rsidR="00D81C95" w:rsidRPr="00951AB1" w:rsidRDefault="00D81C95" w:rsidP="000A5389">
            <w:pPr>
              <w:spacing w:line="240" w:lineRule="auto"/>
              <w:rPr>
                <w:rFonts w:eastAsia="Times New Roman" w:cs="Times New Roman"/>
                <w:lang w:val="es-419" w:eastAsia="es-419"/>
              </w:rPr>
            </w:pPr>
          </w:p>
        </w:tc>
        <w:tc>
          <w:tcPr>
            <w:tcW w:w="1069" w:type="pct"/>
            <w:tcBorders>
              <w:top w:val="nil"/>
              <w:left w:val="nil"/>
              <w:bottom w:val="single" w:sz="4" w:space="0" w:color="A6A6A6" w:themeColor="background1" w:themeShade="A6"/>
              <w:right w:val="nil"/>
            </w:tcBorders>
            <w:noWrap/>
            <w:vAlign w:val="bottom"/>
            <w:hideMark/>
          </w:tcPr>
          <w:p w14:paraId="349832A9" w14:textId="77777777" w:rsidR="00D81C95" w:rsidRPr="00951AB1" w:rsidRDefault="00D81C95" w:rsidP="000A5389">
            <w:pPr>
              <w:spacing w:line="240" w:lineRule="auto"/>
              <w:rPr>
                <w:rFonts w:eastAsia="Times New Roman" w:cs="Times New Roman"/>
                <w:lang w:val="es-419" w:eastAsia="es-419"/>
              </w:rPr>
            </w:pPr>
          </w:p>
        </w:tc>
      </w:tr>
      <w:tr w:rsidR="00D81C95" w:rsidRPr="00951AB1" w14:paraId="118F3BC6" w14:textId="77777777" w:rsidTr="2A085367">
        <w:trPr>
          <w:trHeight w:val="288"/>
        </w:trPr>
        <w:tc>
          <w:tcPr>
            <w:tcW w:w="374"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vAlign w:val="bottom"/>
            <w:hideMark/>
          </w:tcPr>
          <w:p w14:paraId="159BD20C" w14:textId="77777777" w:rsidR="00D81C95" w:rsidRPr="00951AB1" w:rsidRDefault="00D81C95" w:rsidP="000A5389">
            <w:pPr>
              <w:spacing w:line="240" w:lineRule="auto"/>
              <w:rPr>
                <w:rFonts w:eastAsia="Times New Roman" w:cs="Times New Roman"/>
                <w:lang w:val="es-419" w:eastAsia="es-419"/>
              </w:rPr>
            </w:pPr>
          </w:p>
        </w:tc>
        <w:tc>
          <w:tcPr>
            <w:tcW w:w="3557"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hideMark/>
          </w:tcPr>
          <w:p w14:paraId="15D5C471" w14:textId="77777777" w:rsidR="00D81C95" w:rsidRPr="00951AB1" w:rsidRDefault="00D81C95" w:rsidP="000A5389">
            <w:pPr>
              <w:spacing w:line="240" w:lineRule="auto"/>
              <w:rPr>
                <w:rFonts w:eastAsia="Times New Roman" w:cs="Times New Roman"/>
                <w:b/>
                <w:bCs/>
                <w:lang w:val="es-419" w:eastAsia="es-419"/>
              </w:rPr>
            </w:pPr>
            <w:r w:rsidRPr="00951AB1">
              <w:rPr>
                <w:rFonts w:eastAsia="Times New Roman" w:cs="Times New Roman"/>
                <w:b/>
                <w:bCs/>
                <w:lang w:val="es-419" w:eastAsia="es-419"/>
              </w:rPr>
              <w:t>Valor Propiedades, planta y equipo no explotados</w:t>
            </w:r>
          </w:p>
        </w:tc>
        <w:tc>
          <w:tcPr>
            <w:tcW w:w="1069" w:type="pc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hideMark/>
          </w:tcPr>
          <w:p w14:paraId="44DDF1BA" w14:textId="77777777" w:rsidR="00D81C95" w:rsidRPr="00951AB1" w:rsidRDefault="00D81C95" w:rsidP="000A5389">
            <w:pPr>
              <w:spacing w:line="240" w:lineRule="auto"/>
              <w:jc w:val="right"/>
              <w:rPr>
                <w:rFonts w:eastAsia="Times New Roman" w:cs="Times New Roman"/>
                <w:b/>
                <w:bCs/>
                <w:lang w:val="es-419" w:eastAsia="es-419"/>
              </w:rPr>
            </w:pPr>
            <w:r w:rsidRPr="00951AB1">
              <w:rPr>
                <w:rFonts w:eastAsia="Times New Roman" w:cs="Times New Roman"/>
                <w:b/>
                <w:bCs/>
                <w:lang w:val="es-419" w:eastAsia="es-419"/>
              </w:rPr>
              <w:t xml:space="preserve">337.094.915 </w:t>
            </w:r>
          </w:p>
        </w:tc>
      </w:tr>
    </w:tbl>
    <w:p w14:paraId="3EF4CE2E" w14:textId="77777777" w:rsidR="00D81C95" w:rsidRPr="00951AB1" w:rsidRDefault="00D81C95" w:rsidP="000A5389">
      <w:pPr>
        <w:pStyle w:val="Textoindependiente"/>
        <w:spacing w:line="240" w:lineRule="auto"/>
        <w:rPr>
          <w:bCs/>
          <w:sz w:val="14"/>
          <w:szCs w:val="14"/>
        </w:rPr>
      </w:pPr>
      <w:r w:rsidRPr="00951AB1">
        <w:rPr>
          <w:bCs/>
          <w:sz w:val="14"/>
          <w:szCs w:val="14"/>
        </w:rPr>
        <w:t>Cifras expresadas en pesos</w:t>
      </w:r>
    </w:p>
    <w:p w14:paraId="50969DD7" w14:textId="77777777" w:rsidR="00D81C95" w:rsidRPr="00951AB1" w:rsidRDefault="00D81C95" w:rsidP="000A5389">
      <w:pPr>
        <w:autoSpaceDE w:val="0"/>
        <w:autoSpaceDN w:val="0"/>
        <w:adjustRightInd w:val="0"/>
        <w:spacing w:line="240" w:lineRule="auto"/>
        <w:rPr>
          <w:rFonts w:cs="Times New Roman"/>
          <w:i/>
          <w:iCs/>
          <w:szCs w:val="24"/>
          <w:lang w:eastAsia="es-CO"/>
        </w:rPr>
      </w:pPr>
    </w:p>
    <w:p w14:paraId="325A2380" w14:textId="5BB2545F" w:rsidR="00D81C95" w:rsidRPr="00951AB1" w:rsidRDefault="00D81C95" w:rsidP="000A5389">
      <w:pPr>
        <w:autoSpaceDE w:val="0"/>
        <w:autoSpaceDN w:val="0"/>
        <w:adjustRightInd w:val="0"/>
        <w:spacing w:line="240" w:lineRule="auto"/>
        <w:rPr>
          <w:rFonts w:cs="Times New Roman"/>
          <w:szCs w:val="24"/>
          <w:lang w:eastAsia="es-CO"/>
        </w:rPr>
      </w:pPr>
      <w:r w:rsidRPr="00951AB1">
        <w:rPr>
          <w:rFonts w:cs="Times New Roman"/>
          <w:i/>
          <w:iCs/>
          <w:szCs w:val="24"/>
          <w:lang w:eastAsia="es-CO"/>
        </w:rPr>
        <w:t>Equipo de comedor, cocina despensa y hotelería</w:t>
      </w:r>
      <w:r w:rsidR="00B74D04" w:rsidRPr="00951AB1">
        <w:rPr>
          <w:rFonts w:cs="Times New Roman"/>
          <w:i/>
          <w:iCs/>
          <w:szCs w:val="24"/>
          <w:lang w:eastAsia="es-CO"/>
        </w:rPr>
        <w:t xml:space="preserve">: </w:t>
      </w:r>
      <w:r w:rsidRPr="00951AB1">
        <w:rPr>
          <w:rFonts w:cs="Times New Roman"/>
          <w:szCs w:val="24"/>
          <w:lang w:eastAsia="es-CO"/>
        </w:rPr>
        <w:t>El saldo final de esta cuenta es de $7.947.920 con una depreciación acumulada: $7.656.489 (96%), con un valor en libros: $291.431, activos próximos a agotarse contablemente.</w:t>
      </w:r>
    </w:p>
    <w:p w14:paraId="4710A291" w14:textId="77777777" w:rsidR="00D81C95" w:rsidRPr="00951AB1" w:rsidRDefault="00D81C95" w:rsidP="000A5389">
      <w:pPr>
        <w:autoSpaceDE w:val="0"/>
        <w:autoSpaceDN w:val="0"/>
        <w:adjustRightInd w:val="0"/>
        <w:spacing w:line="240" w:lineRule="auto"/>
        <w:rPr>
          <w:rFonts w:cs="Times New Roman"/>
          <w:szCs w:val="24"/>
          <w:lang w:eastAsia="es-CO"/>
        </w:rPr>
      </w:pPr>
    </w:p>
    <w:p w14:paraId="2539A270" w14:textId="2BE5E2DA" w:rsidR="00D81C95" w:rsidRPr="00951AB1" w:rsidRDefault="00D81C95" w:rsidP="000A5389">
      <w:pPr>
        <w:autoSpaceDE w:val="0"/>
        <w:autoSpaceDN w:val="0"/>
        <w:adjustRightInd w:val="0"/>
        <w:spacing w:line="240" w:lineRule="auto"/>
        <w:rPr>
          <w:rFonts w:cs="Times New Roman"/>
          <w:szCs w:val="24"/>
          <w:lang w:eastAsia="es-CO"/>
        </w:rPr>
      </w:pPr>
      <w:r w:rsidRPr="00951AB1">
        <w:rPr>
          <w:rFonts w:cs="Times New Roman"/>
          <w:i/>
          <w:iCs/>
          <w:szCs w:val="24"/>
          <w:lang w:eastAsia="es-CO"/>
        </w:rPr>
        <w:t>Equipo médico y científico</w:t>
      </w:r>
      <w:r w:rsidR="00B74D04" w:rsidRPr="00951AB1">
        <w:rPr>
          <w:rFonts w:cs="Times New Roman"/>
          <w:i/>
          <w:iCs/>
          <w:szCs w:val="24"/>
          <w:lang w:eastAsia="es-CO"/>
        </w:rPr>
        <w:t xml:space="preserve">: </w:t>
      </w:r>
      <w:r w:rsidRPr="00951AB1">
        <w:rPr>
          <w:rFonts w:cs="Times New Roman"/>
          <w:szCs w:val="24"/>
          <w:lang w:eastAsia="es-CO"/>
        </w:rPr>
        <w:t>El saldo final del equipo médico y científico presenta un valor de $843.400 y su depreciación acumulada: $843.400 (100%). No presentan valor en libros al cierre.</w:t>
      </w:r>
    </w:p>
    <w:p w14:paraId="2F197808" w14:textId="77777777" w:rsidR="00D81C95" w:rsidRPr="00951AB1" w:rsidRDefault="00D81C95" w:rsidP="000A5389">
      <w:pPr>
        <w:autoSpaceDE w:val="0"/>
        <w:autoSpaceDN w:val="0"/>
        <w:adjustRightInd w:val="0"/>
        <w:spacing w:line="240" w:lineRule="auto"/>
        <w:rPr>
          <w:rFonts w:cs="Times New Roman"/>
          <w:szCs w:val="24"/>
          <w:lang w:eastAsia="es-CO"/>
        </w:rPr>
      </w:pPr>
    </w:p>
    <w:p w14:paraId="5C585625" w14:textId="2F4FF41A" w:rsidR="00D81C95" w:rsidRPr="00951AB1" w:rsidRDefault="00D81C95" w:rsidP="000A5389">
      <w:pPr>
        <w:autoSpaceDE w:val="0"/>
        <w:autoSpaceDN w:val="0"/>
        <w:adjustRightInd w:val="0"/>
        <w:spacing w:line="240" w:lineRule="auto"/>
        <w:rPr>
          <w:rFonts w:cs="Times New Roman"/>
          <w:bCs/>
        </w:rPr>
      </w:pPr>
      <w:r w:rsidRPr="00951AB1">
        <w:rPr>
          <w:rFonts w:cs="Times New Roman"/>
          <w:i/>
          <w:iCs/>
          <w:szCs w:val="24"/>
          <w:lang w:eastAsia="es-CO"/>
        </w:rPr>
        <w:t>Bienes muebles en bodega</w:t>
      </w:r>
      <w:r w:rsidR="00B74D04" w:rsidRPr="00951AB1">
        <w:rPr>
          <w:rFonts w:cs="Times New Roman"/>
          <w:i/>
          <w:iCs/>
          <w:szCs w:val="24"/>
          <w:lang w:eastAsia="es-CO"/>
        </w:rPr>
        <w:t xml:space="preserve">: </w:t>
      </w:r>
      <w:r w:rsidRPr="00951AB1">
        <w:rPr>
          <w:rFonts w:cs="Times New Roman"/>
          <w:bCs/>
        </w:rPr>
        <w:t>El saldo inicial de los bienes muebles en bodega presentó el valor de $184.654.204, durante la vigencia se registraron adquisiciones por $16.718.977.150, reconocidas inicialmente en esta cuenta. Posteriormente, mediante traslados internos, los bienes fueron reclasificados a las cuentas definitivas de PPE en servicio por $16.903.631.354, quedando la cuenta en $0 al cierre.</w:t>
      </w:r>
    </w:p>
    <w:p w14:paraId="43EDAFA5" w14:textId="77777777" w:rsidR="00D81C95" w:rsidRPr="00951AB1" w:rsidRDefault="00D81C95" w:rsidP="000A5389">
      <w:pPr>
        <w:pStyle w:val="Textoindependiente"/>
        <w:spacing w:line="240" w:lineRule="auto"/>
        <w:rPr>
          <w:bCs/>
        </w:rPr>
      </w:pPr>
    </w:p>
    <w:p w14:paraId="10781D7E" w14:textId="77777777" w:rsidR="00D81C95" w:rsidRPr="00951AB1" w:rsidRDefault="00D81C95" w:rsidP="000A5389">
      <w:pPr>
        <w:pStyle w:val="Textoindependiente"/>
        <w:spacing w:line="240" w:lineRule="auto"/>
        <w:rPr>
          <w:bCs/>
        </w:rPr>
      </w:pPr>
      <w:r w:rsidRPr="00951AB1">
        <w:rPr>
          <w:bCs/>
        </w:rPr>
        <w:t>A continuación, se detallan las adquisiciones realizadas por la Agencia para la vigencia 2025.</w:t>
      </w:r>
    </w:p>
    <w:p w14:paraId="6B10285D" w14:textId="77777777" w:rsidR="00D81C95" w:rsidRPr="00951AB1" w:rsidRDefault="00D81C95" w:rsidP="000A5389">
      <w:pPr>
        <w:pStyle w:val="Textoindependiente"/>
        <w:spacing w:line="240" w:lineRule="auto"/>
        <w:rPr>
          <w:bCs/>
        </w:rPr>
      </w:pPr>
    </w:p>
    <w:tbl>
      <w:tblPr>
        <w:tblStyle w:val="Tablaconcuadrcula"/>
        <w:tblW w:w="5000" w:type="pct"/>
        <w:tblLayout w:type="fixed"/>
        <w:tblLook w:val="04A0" w:firstRow="1" w:lastRow="0" w:firstColumn="1" w:lastColumn="0" w:noHBand="0" w:noVBand="1"/>
      </w:tblPr>
      <w:tblGrid>
        <w:gridCol w:w="1412"/>
        <w:gridCol w:w="1985"/>
        <w:gridCol w:w="2701"/>
        <w:gridCol w:w="2730"/>
      </w:tblGrid>
      <w:tr w:rsidR="00D81C95" w:rsidRPr="005B4989" w14:paraId="52388ED3" w14:textId="77777777" w:rsidTr="005B4989">
        <w:trPr>
          <w:trHeight w:val="290"/>
          <w:tblHeader/>
        </w:trPr>
        <w:tc>
          <w:tcPr>
            <w:tcW w:w="800" w:type="pct"/>
            <w:noWrap/>
            <w:vAlign w:val="center"/>
            <w:hideMark/>
          </w:tcPr>
          <w:p w14:paraId="65E95D76" w14:textId="77777777" w:rsidR="00D81C95" w:rsidRPr="005B4989" w:rsidRDefault="00D81C95" w:rsidP="000A5389">
            <w:pPr>
              <w:pStyle w:val="Textoindependiente"/>
              <w:spacing w:line="240" w:lineRule="auto"/>
              <w:jc w:val="center"/>
              <w:rPr>
                <w:b/>
                <w:bCs/>
                <w:sz w:val="20"/>
                <w:szCs w:val="20"/>
                <w:lang w:val="es-CO"/>
              </w:rPr>
            </w:pPr>
            <w:r w:rsidRPr="005B4989">
              <w:rPr>
                <w:b/>
                <w:bCs/>
                <w:sz w:val="20"/>
                <w:szCs w:val="20"/>
                <w:lang w:val="es-CO"/>
              </w:rPr>
              <w:t>Fecha</w:t>
            </w:r>
          </w:p>
        </w:tc>
        <w:tc>
          <w:tcPr>
            <w:tcW w:w="1124" w:type="pct"/>
            <w:noWrap/>
            <w:vAlign w:val="center"/>
            <w:hideMark/>
          </w:tcPr>
          <w:p w14:paraId="44B36470" w14:textId="77777777" w:rsidR="00D81C95" w:rsidRPr="005B4989" w:rsidRDefault="00D81C95" w:rsidP="000A5389">
            <w:pPr>
              <w:pStyle w:val="Textoindependiente"/>
              <w:spacing w:line="240" w:lineRule="auto"/>
              <w:jc w:val="center"/>
              <w:rPr>
                <w:b/>
                <w:bCs/>
                <w:sz w:val="20"/>
                <w:szCs w:val="20"/>
                <w:lang w:val="es-CO"/>
              </w:rPr>
            </w:pPr>
            <w:r w:rsidRPr="005B4989">
              <w:rPr>
                <w:b/>
                <w:bCs/>
                <w:sz w:val="20"/>
                <w:szCs w:val="20"/>
                <w:lang w:val="es-CO"/>
              </w:rPr>
              <w:t>Valor adquisición</w:t>
            </w:r>
          </w:p>
        </w:tc>
        <w:tc>
          <w:tcPr>
            <w:tcW w:w="1530" w:type="pct"/>
            <w:noWrap/>
            <w:vAlign w:val="center"/>
            <w:hideMark/>
          </w:tcPr>
          <w:p w14:paraId="3120FE18" w14:textId="77777777" w:rsidR="00D81C95" w:rsidRPr="005B4989" w:rsidRDefault="00D81C95" w:rsidP="000A5389">
            <w:pPr>
              <w:pStyle w:val="Textoindependiente"/>
              <w:spacing w:line="240" w:lineRule="auto"/>
              <w:jc w:val="center"/>
              <w:rPr>
                <w:b/>
                <w:bCs/>
                <w:sz w:val="20"/>
                <w:szCs w:val="20"/>
                <w:lang w:val="es-CO"/>
              </w:rPr>
            </w:pPr>
            <w:r w:rsidRPr="005B4989">
              <w:rPr>
                <w:b/>
                <w:bCs/>
                <w:sz w:val="20"/>
                <w:szCs w:val="20"/>
                <w:lang w:val="es-CO"/>
              </w:rPr>
              <w:t>Cuenta</w:t>
            </w:r>
          </w:p>
        </w:tc>
        <w:tc>
          <w:tcPr>
            <w:tcW w:w="1546" w:type="pct"/>
            <w:noWrap/>
            <w:vAlign w:val="center"/>
            <w:hideMark/>
          </w:tcPr>
          <w:p w14:paraId="59C0BDA7" w14:textId="77777777" w:rsidR="00D81C95" w:rsidRPr="005B4989" w:rsidRDefault="00D81C95" w:rsidP="000A5389">
            <w:pPr>
              <w:pStyle w:val="Textoindependiente"/>
              <w:spacing w:line="240" w:lineRule="auto"/>
              <w:jc w:val="center"/>
              <w:rPr>
                <w:b/>
                <w:bCs/>
                <w:sz w:val="20"/>
                <w:szCs w:val="20"/>
                <w:lang w:val="es-CO"/>
              </w:rPr>
            </w:pPr>
            <w:r w:rsidRPr="005B4989">
              <w:rPr>
                <w:b/>
                <w:bCs/>
                <w:sz w:val="20"/>
                <w:szCs w:val="20"/>
                <w:lang w:val="es-CO"/>
              </w:rPr>
              <w:t>Proveedor</w:t>
            </w:r>
          </w:p>
        </w:tc>
      </w:tr>
      <w:tr w:rsidR="00D81C95" w:rsidRPr="005B4989" w14:paraId="0D6748DE" w14:textId="77777777" w:rsidTr="005B4989">
        <w:trPr>
          <w:trHeight w:val="75"/>
        </w:trPr>
        <w:tc>
          <w:tcPr>
            <w:tcW w:w="800" w:type="pct"/>
            <w:noWrap/>
            <w:vAlign w:val="center"/>
            <w:hideMark/>
          </w:tcPr>
          <w:p w14:paraId="5ECC28B7" w14:textId="77777777" w:rsidR="00D81C95" w:rsidRPr="005B4989" w:rsidRDefault="00D81C95" w:rsidP="000A5389">
            <w:pPr>
              <w:pStyle w:val="Textoindependiente"/>
              <w:spacing w:line="240" w:lineRule="auto"/>
              <w:rPr>
                <w:bCs/>
                <w:sz w:val="20"/>
                <w:szCs w:val="20"/>
                <w:lang w:val="es-CO"/>
              </w:rPr>
            </w:pPr>
            <w:r w:rsidRPr="005B4989">
              <w:rPr>
                <w:bCs/>
                <w:sz w:val="20"/>
                <w:szCs w:val="20"/>
                <w:lang w:val="es-CO"/>
              </w:rPr>
              <w:t>2025-04-30</w:t>
            </w:r>
          </w:p>
        </w:tc>
        <w:tc>
          <w:tcPr>
            <w:tcW w:w="1124" w:type="pct"/>
            <w:noWrap/>
            <w:vAlign w:val="center"/>
            <w:hideMark/>
          </w:tcPr>
          <w:p w14:paraId="5942DC2E" w14:textId="77777777" w:rsidR="00D81C95" w:rsidRPr="005B4989" w:rsidRDefault="00D81C95" w:rsidP="000A5389">
            <w:pPr>
              <w:pStyle w:val="Textoindependiente"/>
              <w:spacing w:line="240" w:lineRule="auto"/>
              <w:jc w:val="right"/>
              <w:rPr>
                <w:bCs/>
                <w:sz w:val="20"/>
                <w:szCs w:val="20"/>
                <w:lang w:val="es-CO"/>
              </w:rPr>
            </w:pPr>
            <w:r w:rsidRPr="005B4989">
              <w:rPr>
                <w:bCs/>
                <w:sz w:val="20"/>
                <w:szCs w:val="20"/>
                <w:lang w:val="es-CO"/>
              </w:rPr>
              <w:t>50.000.000</w:t>
            </w:r>
          </w:p>
        </w:tc>
        <w:tc>
          <w:tcPr>
            <w:tcW w:w="1530" w:type="pct"/>
            <w:noWrap/>
            <w:vAlign w:val="center"/>
            <w:hideMark/>
          </w:tcPr>
          <w:p w14:paraId="7505B988" w14:textId="77777777" w:rsidR="00D81C95" w:rsidRPr="005B4989" w:rsidRDefault="00D81C95" w:rsidP="000A5389">
            <w:pPr>
              <w:pStyle w:val="Textoindependiente"/>
              <w:spacing w:line="240" w:lineRule="auto"/>
              <w:rPr>
                <w:bCs/>
                <w:sz w:val="20"/>
                <w:szCs w:val="20"/>
                <w:lang w:val="es-CO"/>
              </w:rPr>
            </w:pPr>
            <w:r w:rsidRPr="005B4989">
              <w:rPr>
                <w:bCs/>
                <w:sz w:val="20"/>
                <w:szCs w:val="20"/>
                <w:lang w:val="es-CO"/>
              </w:rPr>
              <w:t xml:space="preserve"> Maquinaria Industrial </w:t>
            </w:r>
          </w:p>
        </w:tc>
        <w:tc>
          <w:tcPr>
            <w:tcW w:w="1546" w:type="pct"/>
            <w:noWrap/>
            <w:vAlign w:val="center"/>
            <w:hideMark/>
          </w:tcPr>
          <w:p w14:paraId="77AB9B07" w14:textId="77777777" w:rsidR="00D81C95" w:rsidRPr="005B4989" w:rsidRDefault="00D81C95" w:rsidP="000A5389">
            <w:pPr>
              <w:pStyle w:val="Textoindependiente"/>
              <w:spacing w:line="240" w:lineRule="auto"/>
              <w:jc w:val="center"/>
              <w:rPr>
                <w:bCs/>
                <w:sz w:val="20"/>
                <w:szCs w:val="20"/>
                <w:lang w:val="es-CO"/>
              </w:rPr>
            </w:pPr>
            <w:r w:rsidRPr="005B4989">
              <w:rPr>
                <w:bCs/>
                <w:sz w:val="20"/>
                <w:szCs w:val="20"/>
                <w:lang w:val="es-CO"/>
              </w:rPr>
              <w:t>Agencia Nacional Digital</w:t>
            </w:r>
          </w:p>
        </w:tc>
      </w:tr>
      <w:tr w:rsidR="00D81C95" w:rsidRPr="005B4989" w14:paraId="4A3523C6" w14:textId="77777777" w:rsidTr="005B4989">
        <w:trPr>
          <w:trHeight w:val="135"/>
        </w:trPr>
        <w:tc>
          <w:tcPr>
            <w:tcW w:w="800" w:type="pct"/>
            <w:noWrap/>
            <w:vAlign w:val="center"/>
            <w:hideMark/>
          </w:tcPr>
          <w:p w14:paraId="4E6320B9" w14:textId="77777777" w:rsidR="00D81C95" w:rsidRPr="005B4989" w:rsidRDefault="00D81C95" w:rsidP="000A5389">
            <w:pPr>
              <w:pStyle w:val="Textoindependiente"/>
              <w:spacing w:line="240" w:lineRule="auto"/>
              <w:rPr>
                <w:bCs/>
                <w:sz w:val="20"/>
                <w:szCs w:val="20"/>
                <w:lang w:val="es-CO"/>
              </w:rPr>
            </w:pPr>
            <w:r w:rsidRPr="005B4989">
              <w:rPr>
                <w:bCs/>
                <w:sz w:val="20"/>
                <w:szCs w:val="20"/>
                <w:lang w:val="es-CO"/>
              </w:rPr>
              <w:t>2025-04-30</w:t>
            </w:r>
          </w:p>
        </w:tc>
        <w:tc>
          <w:tcPr>
            <w:tcW w:w="1124" w:type="pct"/>
            <w:noWrap/>
            <w:vAlign w:val="center"/>
            <w:hideMark/>
          </w:tcPr>
          <w:p w14:paraId="4BEB3C43" w14:textId="77777777" w:rsidR="00D81C95" w:rsidRPr="005B4989" w:rsidRDefault="00D81C95" w:rsidP="000A5389">
            <w:pPr>
              <w:pStyle w:val="Textoindependiente"/>
              <w:spacing w:line="240" w:lineRule="auto"/>
              <w:jc w:val="right"/>
              <w:rPr>
                <w:bCs/>
                <w:sz w:val="20"/>
                <w:szCs w:val="20"/>
                <w:lang w:val="es-CO"/>
              </w:rPr>
            </w:pPr>
            <w:r w:rsidRPr="005B4989">
              <w:rPr>
                <w:bCs/>
                <w:sz w:val="20"/>
                <w:szCs w:val="20"/>
                <w:lang w:val="es-CO"/>
              </w:rPr>
              <w:t xml:space="preserve">   1.625.781.820 </w:t>
            </w:r>
          </w:p>
        </w:tc>
        <w:tc>
          <w:tcPr>
            <w:tcW w:w="1530" w:type="pct"/>
            <w:noWrap/>
            <w:vAlign w:val="center"/>
            <w:hideMark/>
          </w:tcPr>
          <w:p w14:paraId="1A73B520" w14:textId="77777777" w:rsidR="00D81C95" w:rsidRPr="005B4989" w:rsidRDefault="00D81C95" w:rsidP="000A5389">
            <w:pPr>
              <w:pStyle w:val="Textoindependiente"/>
              <w:spacing w:line="240" w:lineRule="auto"/>
              <w:rPr>
                <w:bCs/>
                <w:sz w:val="20"/>
                <w:szCs w:val="20"/>
                <w:lang w:val="es-CO"/>
              </w:rPr>
            </w:pPr>
            <w:r w:rsidRPr="005B4989">
              <w:rPr>
                <w:bCs/>
                <w:sz w:val="20"/>
                <w:szCs w:val="20"/>
                <w:lang w:val="es-CO"/>
              </w:rPr>
              <w:t xml:space="preserve"> Otra maquinaria y Equipo </w:t>
            </w:r>
          </w:p>
        </w:tc>
        <w:tc>
          <w:tcPr>
            <w:tcW w:w="1546" w:type="pct"/>
            <w:noWrap/>
            <w:vAlign w:val="center"/>
            <w:hideMark/>
          </w:tcPr>
          <w:p w14:paraId="63F85DD8" w14:textId="77777777" w:rsidR="00D81C95" w:rsidRPr="005B4989" w:rsidRDefault="00D81C95" w:rsidP="000A5389">
            <w:pPr>
              <w:pStyle w:val="Textoindependiente"/>
              <w:spacing w:line="240" w:lineRule="auto"/>
              <w:jc w:val="center"/>
              <w:rPr>
                <w:bCs/>
                <w:sz w:val="20"/>
                <w:szCs w:val="20"/>
                <w:lang w:val="es-CO"/>
              </w:rPr>
            </w:pPr>
            <w:r w:rsidRPr="005B4989">
              <w:rPr>
                <w:bCs/>
                <w:sz w:val="20"/>
                <w:szCs w:val="20"/>
                <w:lang w:val="es-CO"/>
              </w:rPr>
              <w:t>Agencia Nacional Digital</w:t>
            </w:r>
          </w:p>
        </w:tc>
      </w:tr>
      <w:tr w:rsidR="00D81C95" w:rsidRPr="005B4989" w14:paraId="761CD1FE" w14:textId="77777777" w:rsidTr="005B4989">
        <w:trPr>
          <w:trHeight w:val="124"/>
        </w:trPr>
        <w:tc>
          <w:tcPr>
            <w:tcW w:w="800" w:type="pct"/>
            <w:noWrap/>
            <w:vAlign w:val="center"/>
            <w:hideMark/>
          </w:tcPr>
          <w:p w14:paraId="73AA49E1" w14:textId="77777777" w:rsidR="00D81C95" w:rsidRPr="005B4989" w:rsidRDefault="00D81C95" w:rsidP="000A5389">
            <w:pPr>
              <w:pStyle w:val="Textoindependiente"/>
              <w:spacing w:line="240" w:lineRule="auto"/>
              <w:rPr>
                <w:bCs/>
                <w:sz w:val="20"/>
                <w:szCs w:val="20"/>
                <w:lang w:val="es-CO"/>
              </w:rPr>
            </w:pPr>
            <w:r w:rsidRPr="005B4989">
              <w:rPr>
                <w:bCs/>
                <w:sz w:val="20"/>
                <w:szCs w:val="20"/>
                <w:lang w:val="es-CO"/>
              </w:rPr>
              <w:t>2025-04-30</w:t>
            </w:r>
          </w:p>
        </w:tc>
        <w:tc>
          <w:tcPr>
            <w:tcW w:w="1124" w:type="pct"/>
            <w:noWrap/>
            <w:vAlign w:val="center"/>
            <w:hideMark/>
          </w:tcPr>
          <w:p w14:paraId="66E12C9B" w14:textId="77777777" w:rsidR="00D81C95" w:rsidRPr="005B4989" w:rsidRDefault="00D81C95" w:rsidP="000A5389">
            <w:pPr>
              <w:pStyle w:val="Textoindependiente"/>
              <w:spacing w:line="240" w:lineRule="auto"/>
              <w:jc w:val="right"/>
              <w:rPr>
                <w:bCs/>
                <w:sz w:val="20"/>
                <w:szCs w:val="20"/>
                <w:lang w:val="es-CO"/>
              </w:rPr>
            </w:pPr>
            <w:r w:rsidRPr="005B4989">
              <w:rPr>
                <w:bCs/>
                <w:sz w:val="20"/>
                <w:szCs w:val="20"/>
                <w:lang w:val="es-CO"/>
              </w:rPr>
              <w:t xml:space="preserve">           32.000.000 </w:t>
            </w:r>
          </w:p>
        </w:tc>
        <w:tc>
          <w:tcPr>
            <w:tcW w:w="1530" w:type="pct"/>
            <w:noWrap/>
            <w:vAlign w:val="center"/>
            <w:hideMark/>
          </w:tcPr>
          <w:p w14:paraId="6779177D" w14:textId="77777777" w:rsidR="00D81C95" w:rsidRPr="005B4989" w:rsidRDefault="00D81C95" w:rsidP="000A5389">
            <w:pPr>
              <w:pStyle w:val="Textoindependiente"/>
              <w:spacing w:line="240" w:lineRule="auto"/>
              <w:rPr>
                <w:bCs/>
                <w:sz w:val="20"/>
                <w:szCs w:val="20"/>
                <w:lang w:val="es-CO"/>
              </w:rPr>
            </w:pPr>
            <w:r w:rsidRPr="005B4989">
              <w:rPr>
                <w:bCs/>
                <w:sz w:val="20"/>
                <w:szCs w:val="20"/>
                <w:lang w:val="es-CO"/>
              </w:rPr>
              <w:t xml:space="preserve"> Muebles y Enseres </w:t>
            </w:r>
          </w:p>
        </w:tc>
        <w:tc>
          <w:tcPr>
            <w:tcW w:w="1546" w:type="pct"/>
            <w:noWrap/>
            <w:vAlign w:val="center"/>
            <w:hideMark/>
          </w:tcPr>
          <w:p w14:paraId="2B8706CE" w14:textId="77777777" w:rsidR="00D81C95" w:rsidRPr="005B4989" w:rsidRDefault="00D81C95" w:rsidP="000A5389">
            <w:pPr>
              <w:pStyle w:val="Textoindependiente"/>
              <w:spacing w:line="240" w:lineRule="auto"/>
              <w:jc w:val="center"/>
              <w:rPr>
                <w:bCs/>
                <w:sz w:val="20"/>
                <w:szCs w:val="20"/>
                <w:lang w:val="es-CO"/>
              </w:rPr>
            </w:pPr>
            <w:r w:rsidRPr="005B4989">
              <w:rPr>
                <w:bCs/>
                <w:sz w:val="20"/>
                <w:szCs w:val="20"/>
                <w:lang w:val="es-CO"/>
              </w:rPr>
              <w:t>Agencia Nacional Digital</w:t>
            </w:r>
          </w:p>
        </w:tc>
      </w:tr>
      <w:tr w:rsidR="00D81C95" w:rsidRPr="005B4989" w14:paraId="1E7318DC" w14:textId="77777777" w:rsidTr="005B4989">
        <w:trPr>
          <w:trHeight w:val="211"/>
        </w:trPr>
        <w:tc>
          <w:tcPr>
            <w:tcW w:w="800" w:type="pct"/>
            <w:noWrap/>
            <w:vAlign w:val="center"/>
            <w:hideMark/>
          </w:tcPr>
          <w:p w14:paraId="4AB0F037" w14:textId="77777777" w:rsidR="00D81C95" w:rsidRPr="005B4989" w:rsidRDefault="00D81C95" w:rsidP="000A5389">
            <w:pPr>
              <w:pStyle w:val="Textoindependiente"/>
              <w:spacing w:line="240" w:lineRule="auto"/>
              <w:rPr>
                <w:bCs/>
                <w:sz w:val="20"/>
                <w:szCs w:val="20"/>
                <w:lang w:val="es-CO"/>
              </w:rPr>
            </w:pPr>
            <w:r w:rsidRPr="005B4989">
              <w:rPr>
                <w:bCs/>
                <w:sz w:val="20"/>
                <w:szCs w:val="20"/>
                <w:lang w:val="es-CO"/>
              </w:rPr>
              <w:t>2025-04-30</w:t>
            </w:r>
          </w:p>
        </w:tc>
        <w:tc>
          <w:tcPr>
            <w:tcW w:w="1124" w:type="pct"/>
            <w:noWrap/>
            <w:vAlign w:val="center"/>
            <w:hideMark/>
          </w:tcPr>
          <w:p w14:paraId="00FC3A09" w14:textId="77777777" w:rsidR="00D81C95" w:rsidRPr="005B4989" w:rsidRDefault="00D81C95" w:rsidP="000A5389">
            <w:pPr>
              <w:pStyle w:val="Textoindependiente"/>
              <w:spacing w:line="240" w:lineRule="auto"/>
              <w:jc w:val="right"/>
              <w:rPr>
                <w:bCs/>
                <w:sz w:val="20"/>
                <w:szCs w:val="20"/>
                <w:lang w:val="es-CO"/>
              </w:rPr>
            </w:pPr>
            <w:r w:rsidRPr="005B4989">
              <w:rPr>
                <w:bCs/>
                <w:sz w:val="20"/>
                <w:szCs w:val="20"/>
                <w:lang w:val="es-CO"/>
              </w:rPr>
              <w:t xml:space="preserve">            33.600.000 </w:t>
            </w:r>
          </w:p>
        </w:tc>
        <w:tc>
          <w:tcPr>
            <w:tcW w:w="1530" w:type="pct"/>
            <w:noWrap/>
            <w:vAlign w:val="center"/>
            <w:hideMark/>
          </w:tcPr>
          <w:p w14:paraId="674B2CC1" w14:textId="77777777" w:rsidR="00D81C95" w:rsidRPr="005B4989" w:rsidRDefault="00D81C95" w:rsidP="000A5389">
            <w:pPr>
              <w:pStyle w:val="Textoindependiente"/>
              <w:spacing w:line="240" w:lineRule="auto"/>
              <w:rPr>
                <w:bCs/>
                <w:sz w:val="20"/>
                <w:szCs w:val="20"/>
                <w:lang w:val="es-CO"/>
              </w:rPr>
            </w:pPr>
            <w:r w:rsidRPr="005B4989">
              <w:rPr>
                <w:bCs/>
                <w:sz w:val="20"/>
                <w:szCs w:val="20"/>
                <w:lang w:val="es-CO"/>
              </w:rPr>
              <w:t xml:space="preserve"> Equipos y máquinas de oficina </w:t>
            </w:r>
          </w:p>
        </w:tc>
        <w:tc>
          <w:tcPr>
            <w:tcW w:w="1546" w:type="pct"/>
            <w:noWrap/>
            <w:vAlign w:val="center"/>
            <w:hideMark/>
          </w:tcPr>
          <w:p w14:paraId="4A00DEE0" w14:textId="77777777" w:rsidR="00D81C95" w:rsidRPr="005B4989" w:rsidRDefault="00D81C95" w:rsidP="000A5389">
            <w:pPr>
              <w:pStyle w:val="Textoindependiente"/>
              <w:spacing w:line="240" w:lineRule="auto"/>
              <w:jc w:val="center"/>
              <w:rPr>
                <w:bCs/>
                <w:sz w:val="20"/>
                <w:szCs w:val="20"/>
                <w:lang w:val="es-CO"/>
              </w:rPr>
            </w:pPr>
            <w:r w:rsidRPr="005B4989">
              <w:rPr>
                <w:bCs/>
                <w:sz w:val="20"/>
                <w:szCs w:val="20"/>
                <w:lang w:val="es-CO"/>
              </w:rPr>
              <w:t>Agencia Nacional Digital</w:t>
            </w:r>
          </w:p>
        </w:tc>
      </w:tr>
      <w:tr w:rsidR="00D81C95" w:rsidRPr="005B4989" w14:paraId="11A7F162" w14:textId="77777777" w:rsidTr="005B4989">
        <w:trPr>
          <w:trHeight w:val="129"/>
        </w:trPr>
        <w:tc>
          <w:tcPr>
            <w:tcW w:w="800" w:type="pct"/>
            <w:noWrap/>
            <w:vAlign w:val="center"/>
            <w:hideMark/>
          </w:tcPr>
          <w:p w14:paraId="408D6F76" w14:textId="77777777" w:rsidR="00D81C95" w:rsidRPr="005B4989" w:rsidRDefault="00D81C95" w:rsidP="000A5389">
            <w:pPr>
              <w:pStyle w:val="Textoindependiente"/>
              <w:spacing w:line="240" w:lineRule="auto"/>
              <w:rPr>
                <w:bCs/>
                <w:sz w:val="20"/>
                <w:szCs w:val="20"/>
                <w:lang w:val="es-CO"/>
              </w:rPr>
            </w:pPr>
            <w:r w:rsidRPr="005B4989">
              <w:rPr>
                <w:bCs/>
                <w:sz w:val="20"/>
                <w:szCs w:val="20"/>
                <w:lang w:val="es-CO"/>
              </w:rPr>
              <w:t>2025-04-30</w:t>
            </w:r>
          </w:p>
        </w:tc>
        <w:tc>
          <w:tcPr>
            <w:tcW w:w="1124" w:type="pct"/>
            <w:noWrap/>
            <w:vAlign w:val="center"/>
            <w:hideMark/>
          </w:tcPr>
          <w:p w14:paraId="0CF9DCE9" w14:textId="77777777" w:rsidR="00D81C95" w:rsidRPr="005B4989" w:rsidRDefault="00D81C95" w:rsidP="000A5389">
            <w:pPr>
              <w:pStyle w:val="Textoindependiente"/>
              <w:spacing w:line="240" w:lineRule="auto"/>
              <w:jc w:val="right"/>
              <w:rPr>
                <w:bCs/>
                <w:sz w:val="20"/>
                <w:szCs w:val="20"/>
                <w:lang w:val="es-CO"/>
              </w:rPr>
            </w:pPr>
            <w:r w:rsidRPr="005B4989">
              <w:rPr>
                <w:bCs/>
                <w:sz w:val="20"/>
                <w:szCs w:val="20"/>
                <w:lang w:val="es-CO"/>
              </w:rPr>
              <w:t xml:space="preserve">       7.685.684.528 </w:t>
            </w:r>
          </w:p>
        </w:tc>
        <w:tc>
          <w:tcPr>
            <w:tcW w:w="1530" w:type="pct"/>
            <w:noWrap/>
            <w:vAlign w:val="center"/>
            <w:hideMark/>
          </w:tcPr>
          <w:p w14:paraId="689C7E5B" w14:textId="77777777" w:rsidR="00D81C95" w:rsidRPr="005B4989" w:rsidRDefault="00D81C95" w:rsidP="000A5389">
            <w:pPr>
              <w:pStyle w:val="Textoindependiente"/>
              <w:spacing w:line="240" w:lineRule="auto"/>
              <w:rPr>
                <w:bCs/>
                <w:sz w:val="20"/>
                <w:szCs w:val="20"/>
                <w:lang w:val="es-CO"/>
              </w:rPr>
            </w:pPr>
            <w:r w:rsidRPr="005B4989">
              <w:rPr>
                <w:bCs/>
                <w:sz w:val="20"/>
                <w:szCs w:val="20"/>
                <w:lang w:val="es-CO"/>
              </w:rPr>
              <w:t xml:space="preserve"> Equipo de comunicación </w:t>
            </w:r>
          </w:p>
        </w:tc>
        <w:tc>
          <w:tcPr>
            <w:tcW w:w="1546" w:type="pct"/>
            <w:noWrap/>
            <w:vAlign w:val="center"/>
            <w:hideMark/>
          </w:tcPr>
          <w:p w14:paraId="56A84D3D" w14:textId="77777777" w:rsidR="00D81C95" w:rsidRPr="005B4989" w:rsidRDefault="00D81C95" w:rsidP="000A5389">
            <w:pPr>
              <w:pStyle w:val="Textoindependiente"/>
              <w:spacing w:line="240" w:lineRule="auto"/>
              <w:jc w:val="center"/>
              <w:rPr>
                <w:bCs/>
                <w:sz w:val="20"/>
                <w:szCs w:val="20"/>
                <w:lang w:val="es-CO"/>
              </w:rPr>
            </w:pPr>
            <w:r w:rsidRPr="005B4989">
              <w:rPr>
                <w:bCs/>
                <w:sz w:val="20"/>
                <w:szCs w:val="20"/>
                <w:lang w:val="es-CO"/>
              </w:rPr>
              <w:t>Agencia Nacional Digital</w:t>
            </w:r>
          </w:p>
        </w:tc>
      </w:tr>
      <w:tr w:rsidR="00D81C95" w:rsidRPr="005B4989" w14:paraId="17D6D9CE" w14:textId="77777777" w:rsidTr="005B4989">
        <w:trPr>
          <w:trHeight w:val="76"/>
        </w:trPr>
        <w:tc>
          <w:tcPr>
            <w:tcW w:w="800" w:type="pct"/>
            <w:noWrap/>
            <w:vAlign w:val="center"/>
            <w:hideMark/>
          </w:tcPr>
          <w:p w14:paraId="72E3F65E" w14:textId="77777777" w:rsidR="00D81C95" w:rsidRPr="005B4989" w:rsidRDefault="00D81C95" w:rsidP="000A5389">
            <w:pPr>
              <w:pStyle w:val="Textoindependiente"/>
              <w:spacing w:line="240" w:lineRule="auto"/>
              <w:rPr>
                <w:bCs/>
                <w:sz w:val="20"/>
                <w:szCs w:val="20"/>
                <w:lang w:val="es-CO"/>
              </w:rPr>
            </w:pPr>
            <w:r w:rsidRPr="005B4989">
              <w:rPr>
                <w:bCs/>
                <w:sz w:val="20"/>
                <w:szCs w:val="20"/>
                <w:lang w:val="es-CO"/>
              </w:rPr>
              <w:t>2025-04-30</w:t>
            </w:r>
          </w:p>
        </w:tc>
        <w:tc>
          <w:tcPr>
            <w:tcW w:w="1124" w:type="pct"/>
            <w:noWrap/>
            <w:vAlign w:val="center"/>
            <w:hideMark/>
          </w:tcPr>
          <w:p w14:paraId="2E6F7613" w14:textId="77777777" w:rsidR="00D81C95" w:rsidRPr="005B4989" w:rsidRDefault="00D81C95" w:rsidP="000A5389">
            <w:pPr>
              <w:pStyle w:val="Textoindependiente"/>
              <w:spacing w:line="240" w:lineRule="auto"/>
              <w:jc w:val="right"/>
              <w:rPr>
                <w:bCs/>
                <w:sz w:val="20"/>
                <w:szCs w:val="20"/>
                <w:lang w:val="es-CO"/>
              </w:rPr>
            </w:pPr>
            <w:r w:rsidRPr="005B4989">
              <w:rPr>
                <w:bCs/>
                <w:sz w:val="20"/>
                <w:szCs w:val="20"/>
                <w:lang w:val="es-CO"/>
              </w:rPr>
              <w:t xml:space="preserve">       6.557.727.702 </w:t>
            </w:r>
          </w:p>
        </w:tc>
        <w:tc>
          <w:tcPr>
            <w:tcW w:w="1530" w:type="pct"/>
            <w:noWrap/>
            <w:vAlign w:val="center"/>
            <w:hideMark/>
          </w:tcPr>
          <w:p w14:paraId="05118F8C" w14:textId="77777777" w:rsidR="00D81C95" w:rsidRPr="005B4989" w:rsidRDefault="00D81C95" w:rsidP="000A5389">
            <w:pPr>
              <w:pStyle w:val="Textoindependiente"/>
              <w:spacing w:line="240" w:lineRule="auto"/>
              <w:rPr>
                <w:bCs/>
                <w:sz w:val="20"/>
                <w:szCs w:val="20"/>
                <w:lang w:val="es-CO"/>
              </w:rPr>
            </w:pPr>
            <w:r w:rsidRPr="005B4989">
              <w:rPr>
                <w:bCs/>
                <w:sz w:val="20"/>
                <w:szCs w:val="20"/>
                <w:lang w:val="es-CO"/>
              </w:rPr>
              <w:t xml:space="preserve"> Equipo de computación </w:t>
            </w:r>
          </w:p>
        </w:tc>
        <w:tc>
          <w:tcPr>
            <w:tcW w:w="1546" w:type="pct"/>
            <w:noWrap/>
            <w:vAlign w:val="center"/>
            <w:hideMark/>
          </w:tcPr>
          <w:p w14:paraId="0DBC9CC5" w14:textId="77777777" w:rsidR="00D81C95" w:rsidRPr="005B4989" w:rsidRDefault="00D81C95" w:rsidP="000A5389">
            <w:pPr>
              <w:pStyle w:val="Textoindependiente"/>
              <w:spacing w:line="240" w:lineRule="auto"/>
              <w:jc w:val="center"/>
              <w:rPr>
                <w:bCs/>
                <w:sz w:val="20"/>
                <w:szCs w:val="20"/>
                <w:lang w:val="es-CO"/>
              </w:rPr>
            </w:pPr>
            <w:r w:rsidRPr="005B4989">
              <w:rPr>
                <w:bCs/>
                <w:sz w:val="20"/>
                <w:szCs w:val="20"/>
                <w:lang w:val="es-CO"/>
              </w:rPr>
              <w:t>Agencia Nacional Digital</w:t>
            </w:r>
          </w:p>
        </w:tc>
      </w:tr>
      <w:tr w:rsidR="00D81C95" w:rsidRPr="005B4989" w14:paraId="4C10E039" w14:textId="77777777" w:rsidTr="005B4989">
        <w:trPr>
          <w:trHeight w:val="163"/>
        </w:trPr>
        <w:tc>
          <w:tcPr>
            <w:tcW w:w="800" w:type="pct"/>
            <w:noWrap/>
            <w:vAlign w:val="center"/>
            <w:hideMark/>
          </w:tcPr>
          <w:p w14:paraId="286E7C12" w14:textId="77777777" w:rsidR="00D81C95" w:rsidRPr="005B4989" w:rsidRDefault="00D81C95" w:rsidP="000A5389">
            <w:pPr>
              <w:pStyle w:val="Textoindependiente"/>
              <w:spacing w:line="240" w:lineRule="auto"/>
              <w:rPr>
                <w:b/>
                <w:bCs/>
                <w:sz w:val="20"/>
                <w:szCs w:val="20"/>
                <w:lang w:val="es-CO"/>
              </w:rPr>
            </w:pPr>
            <w:r w:rsidRPr="005B4989">
              <w:rPr>
                <w:b/>
                <w:bCs/>
                <w:sz w:val="20"/>
                <w:szCs w:val="20"/>
                <w:lang w:val="es-CO"/>
              </w:rPr>
              <w:t>Subtotal</w:t>
            </w:r>
          </w:p>
        </w:tc>
        <w:tc>
          <w:tcPr>
            <w:tcW w:w="1124" w:type="pct"/>
            <w:noWrap/>
            <w:vAlign w:val="center"/>
            <w:hideMark/>
          </w:tcPr>
          <w:p w14:paraId="319A75EA" w14:textId="77777777" w:rsidR="00D81C95" w:rsidRPr="005B4989" w:rsidRDefault="00D81C95" w:rsidP="000A5389">
            <w:pPr>
              <w:pStyle w:val="Textoindependiente"/>
              <w:spacing w:line="240" w:lineRule="auto"/>
              <w:jc w:val="right"/>
              <w:rPr>
                <w:b/>
                <w:bCs/>
                <w:sz w:val="20"/>
                <w:szCs w:val="20"/>
                <w:lang w:val="es-CO"/>
              </w:rPr>
            </w:pPr>
            <w:r w:rsidRPr="005B4989">
              <w:rPr>
                <w:b/>
                <w:bCs/>
                <w:sz w:val="20"/>
                <w:szCs w:val="20"/>
                <w:lang w:val="es-CO"/>
              </w:rPr>
              <w:t xml:space="preserve">     16.573.794.050 </w:t>
            </w:r>
          </w:p>
        </w:tc>
        <w:tc>
          <w:tcPr>
            <w:tcW w:w="1530" w:type="pct"/>
            <w:noWrap/>
            <w:vAlign w:val="center"/>
            <w:hideMark/>
          </w:tcPr>
          <w:p w14:paraId="0DAA4E67" w14:textId="77777777" w:rsidR="00D81C95" w:rsidRPr="005B4989" w:rsidRDefault="00D81C95" w:rsidP="000A5389">
            <w:pPr>
              <w:pStyle w:val="Textoindependiente"/>
              <w:spacing w:line="240" w:lineRule="auto"/>
              <w:rPr>
                <w:b/>
                <w:bCs/>
                <w:sz w:val="20"/>
                <w:szCs w:val="20"/>
                <w:lang w:val="es-CO"/>
              </w:rPr>
            </w:pPr>
            <w:r w:rsidRPr="005B4989">
              <w:rPr>
                <w:b/>
                <w:bCs/>
                <w:sz w:val="20"/>
                <w:szCs w:val="20"/>
                <w:lang w:val="es-CO"/>
              </w:rPr>
              <w:t xml:space="preserve"> Entrada almacén 00994 del 31-03-2025 </w:t>
            </w:r>
          </w:p>
        </w:tc>
        <w:tc>
          <w:tcPr>
            <w:tcW w:w="1546" w:type="pct"/>
            <w:noWrap/>
            <w:vAlign w:val="center"/>
            <w:hideMark/>
          </w:tcPr>
          <w:p w14:paraId="598E8854" w14:textId="342BDC7B" w:rsidR="00D81C95" w:rsidRPr="005B4989" w:rsidRDefault="00D81C95" w:rsidP="000A5389">
            <w:pPr>
              <w:pStyle w:val="Textoindependiente"/>
              <w:spacing w:line="240" w:lineRule="auto"/>
              <w:jc w:val="center"/>
              <w:rPr>
                <w:bCs/>
                <w:sz w:val="20"/>
                <w:szCs w:val="20"/>
                <w:lang w:val="es-CO"/>
              </w:rPr>
            </w:pPr>
          </w:p>
        </w:tc>
      </w:tr>
      <w:tr w:rsidR="00D81C95" w:rsidRPr="005B4989" w14:paraId="02A56660" w14:textId="77777777" w:rsidTr="005B4989">
        <w:trPr>
          <w:trHeight w:val="109"/>
        </w:trPr>
        <w:tc>
          <w:tcPr>
            <w:tcW w:w="800" w:type="pct"/>
            <w:noWrap/>
            <w:vAlign w:val="center"/>
            <w:hideMark/>
          </w:tcPr>
          <w:p w14:paraId="3E76BF27" w14:textId="77777777" w:rsidR="00D81C95" w:rsidRPr="005B4989" w:rsidRDefault="00D81C95" w:rsidP="000A5389">
            <w:pPr>
              <w:pStyle w:val="Textoindependiente"/>
              <w:spacing w:line="240" w:lineRule="auto"/>
              <w:rPr>
                <w:bCs/>
                <w:sz w:val="20"/>
                <w:szCs w:val="20"/>
                <w:lang w:val="es-CO"/>
              </w:rPr>
            </w:pPr>
            <w:r w:rsidRPr="005B4989">
              <w:rPr>
                <w:bCs/>
                <w:sz w:val="20"/>
                <w:szCs w:val="20"/>
                <w:lang w:val="es-CO"/>
              </w:rPr>
              <w:t>2025-12-31</w:t>
            </w:r>
          </w:p>
        </w:tc>
        <w:tc>
          <w:tcPr>
            <w:tcW w:w="1124" w:type="pct"/>
            <w:noWrap/>
            <w:vAlign w:val="center"/>
            <w:hideMark/>
          </w:tcPr>
          <w:p w14:paraId="6C9009D7" w14:textId="77777777" w:rsidR="00D81C95" w:rsidRPr="005B4989" w:rsidRDefault="00D81C95" w:rsidP="000A5389">
            <w:pPr>
              <w:pStyle w:val="Textoindependiente"/>
              <w:spacing w:line="240" w:lineRule="auto"/>
              <w:jc w:val="right"/>
              <w:rPr>
                <w:bCs/>
                <w:sz w:val="20"/>
                <w:szCs w:val="20"/>
                <w:lang w:val="es-CO"/>
              </w:rPr>
            </w:pPr>
            <w:r w:rsidRPr="005B4989">
              <w:rPr>
                <w:bCs/>
                <w:sz w:val="20"/>
                <w:szCs w:val="20"/>
                <w:lang w:val="es-CO"/>
              </w:rPr>
              <w:t xml:space="preserve">            45.864.177 </w:t>
            </w:r>
          </w:p>
        </w:tc>
        <w:tc>
          <w:tcPr>
            <w:tcW w:w="1530" w:type="pct"/>
            <w:noWrap/>
            <w:vAlign w:val="center"/>
            <w:hideMark/>
          </w:tcPr>
          <w:p w14:paraId="6CD672AA" w14:textId="77777777" w:rsidR="00D81C95" w:rsidRPr="005B4989" w:rsidRDefault="00D81C95" w:rsidP="000A5389">
            <w:pPr>
              <w:pStyle w:val="Textoindependiente"/>
              <w:spacing w:line="240" w:lineRule="auto"/>
              <w:rPr>
                <w:bCs/>
                <w:sz w:val="20"/>
                <w:szCs w:val="20"/>
                <w:lang w:val="es-CO"/>
              </w:rPr>
            </w:pPr>
            <w:r w:rsidRPr="005B4989">
              <w:rPr>
                <w:bCs/>
                <w:sz w:val="20"/>
                <w:szCs w:val="20"/>
                <w:lang w:val="es-CO"/>
              </w:rPr>
              <w:t xml:space="preserve"> Equipos y máquinas de oficina </w:t>
            </w:r>
          </w:p>
        </w:tc>
        <w:tc>
          <w:tcPr>
            <w:tcW w:w="1546" w:type="pct"/>
            <w:noWrap/>
            <w:vAlign w:val="center"/>
            <w:hideMark/>
          </w:tcPr>
          <w:p w14:paraId="79F9E3CF" w14:textId="77777777" w:rsidR="00D81C95" w:rsidRPr="005B4989" w:rsidRDefault="00D81C95" w:rsidP="000A5389">
            <w:pPr>
              <w:pStyle w:val="Textoindependiente"/>
              <w:spacing w:line="240" w:lineRule="auto"/>
              <w:jc w:val="center"/>
              <w:rPr>
                <w:bCs/>
                <w:sz w:val="20"/>
                <w:szCs w:val="20"/>
                <w:lang w:val="es-CO"/>
              </w:rPr>
            </w:pPr>
            <w:r w:rsidRPr="005B4989">
              <w:rPr>
                <w:bCs/>
                <w:sz w:val="20"/>
                <w:szCs w:val="20"/>
                <w:lang w:val="es-CO"/>
              </w:rPr>
              <w:t>Proveer Institucional SAS</w:t>
            </w:r>
          </w:p>
        </w:tc>
      </w:tr>
      <w:tr w:rsidR="00D81C95" w:rsidRPr="005B4989" w14:paraId="2C8EC1AC" w14:textId="77777777" w:rsidTr="005B4989">
        <w:trPr>
          <w:trHeight w:val="211"/>
        </w:trPr>
        <w:tc>
          <w:tcPr>
            <w:tcW w:w="800" w:type="pct"/>
            <w:noWrap/>
            <w:vAlign w:val="center"/>
            <w:hideMark/>
          </w:tcPr>
          <w:p w14:paraId="1E553330" w14:textId="77777777" w:rsidR="00D81C95" w:rsidRPr="005B4989" w:rsidRDefault="00D81C95" w:rsidP="000A5389">
            <w:pPr>
              <w:pStyle w:val="Textoindependiente"/>
              <w:spacing w:line="240" w:lineRule="auto"/>
              <w:rPr>
                <w:bCs/>
                <w:sz w:val="20"/>
                <w:szCs w:val="20"/>
                <w:lang w:val="es-CO"/>
              </w:rPr>
            </w:pPr>
            <w:r w:rsidRPr="005B4989">
              <w:rPr>
                <w:bCs/>
                <w:sz w:val="20"/>
                <w:szCs w:val="20"/>
                <w:lang w:val="es-CO"/>
              </w:rPr>
              <w:t>2025-12-31</w:t>
            </w:r>
          </w:p>
        </w:tc>
        <w:tc>
          <w:tcPr>
            <w:tcW w:w="1124" w:type="pct"/>
            <w:noWrap/>
            <w:vAlign w:val="center"/>
            <w:hideMark/>
          </w:tcPr>
          <w:p w14:paraId="459988C3" w14:textId="77777777" w:rsidR="00D81C95" w:rsidRPr="005B4989" w:rsidRDefault="00D81C95" w:rsidP="000A5389">
            <w:pPr>
              <w:pStyle w:val="Textoindependiente"/>
              <w:spacing w:line="240" w:lineRule="auto"/>
              <w:jc w:val="right"/>
              <w:rPr>
                <w:bCs/>
                <w:sz w:val="20"/>
                <w:szCs w:val="20"/>
                <w:lang w:val="es-CO"/>
              </w:rPr>
            </w:pPr>
            <w:r w:rsidRPr="005B4989">
              <w:rPr>
                <w:bCs/>
                <w:sz w:val="20"/>
                <w:szCs w:val="20"/>
                <w:lang w:val="es-CO"/>
              </w:rPr>
              <w:t xml:space="preserve">            65.915.372 </w:t>
            </w:r>
          </w:p>
        </w:tc>
        <w:tc>
          <w:tcPr>
            <w:tcW w:w="1530" w:type="pct"/>
            <w:noWrap/>
            <w:vAlign w:val="center"/>
            <w:hideMark/>
          </w:tcPr>
          <w:p w14:paraId="2E2086E5" w14:textId="77777777" w:rsidR="00D81C95" w:rsidRPr="005B4989" w:rsidRDefault="00D81C95" w:rsidP="000A5389">
            <w:pPr>
              <w:pStyle w:val="Textoindependiente"/>
              <w:spacing w:line="240" w:lineRule="auto"/>
              <w:rPr>
                <w:bCs/>
                <w:sz w:val="20"/>
                <w:szCs w:val="20"/>
                <w:lang w:val="es-CO"/>
              </w:rPr>
            </w:pPr>
            <w:r w:rsidRPr="005B4989">
              <w:rPr>
                <w:bCs/>
                <w:sz w:val="20"/>
                <w:szCs w:val="20"/>
                <w:lang w:val="es-CO"/>
              </w:rPr>
              <w:t xml:space="preserve"> Equipo de comunicación </w:t>
            </w:r>
          </w:p>
        </w:tc>
        <w:tc>
          <w:tcPr>
            <w:tcW w:w="1546" w:type="pct"/>
            <w:noWrap/>
            <w:vAlign w:val="center"/>
            <w:hideMark/>
          </w:tcPr>
          <w:p w14:paraId="30E3C1CE" w14:textId="77777777" w:rsidR="00D81C95" w:rsidRPr="005B4989" w:rsidRDefault="00D81C95" w:rsidP="000A5389">
            <w:pPr>
              <w:pStyle w:val="Textoindependiente"/>
              <w:spacing w:line="240" w:lineRule="auto"/>
              <w:jc w:val="center"/>
              <w:rPr>
                <w:bCs/>
                <w:sz w:val="20"/>
                <w:szCs w:val="20"/>
                <w:lang w:val="es-CO"/>
              </w:rPr>
            </w:pPr>
            <w:r w:rsidRPr="005B4989">
              <w:rPr>
                <w:bCs/>
                <w:sz w:val="20"/>
                <w:szCs w:val="20"/>
                <w:lang w:val="es-CO"/>
              </w:rPr>
              <w:t>Proveer Institucional SAS</w:t>
            </w:r>
          </w:p>
        </w:tc>
      </w:tr>
      <w:tr w:rsidR="00D81C95" w:rsidRPr="005B4989" w14:paraId="04FDDDEE" w14:textId="77777777" w:rsidTr="005B4989">
        <w:trPr>
          <w:trHeight w:val="129"/>
        </w:trPr>
        <w:tc>
          <w:tcPr>
            <w:tcW w:w="800" w:type="pct"/>
            <w:noWrap/>
            <w:vAlign w:val="center"/>
            <w:hideMark/>
          </w:tcPr>
          <w:p w14:paraId="7BA8A20C" w14:textId="77777777" w:rsidR="00D81C95" w:rsidRPr="005B4989" w:rsidRDefault="00D81C95" w:rsidP="000A5389">
            <w:pPr>
              <w:pStyle w:val="Textoindependiente"/>
              <w:spacing w:line="240" w:lineRule="auto"/>
              <w:rPr>
                <w:bCs/>
                <w:sz w:val="20"/>
                <w:szCs w:val="20"/>
                <w:lang w:val="es-CO"/>
              </w:rPr>
            </w:pPr>
            <w:r w:rsidRPr="005B4989">
              <w:rPr>
                <w:bCs/>
                <w:sz w:val="20"/>
                <w:szCs w:val="20"/>
                <w:lang w:val="es-CO"/>
              </w:rPr>
              <w:t>2025-12-31</w:t>
            </w:r>
          </w:p>
        </w:tc>
        <w:tc>
          <w:tcPr>
            <w:tcW w:w="1124" w:type="pct"/>
            <w:noWrap/>
            <w:vAlign w:val="center"/>
            <w:hideMark/>
          </w:tcPr>
          <w:p w14:paraId="0F5D99E7" w14:textId="77777777" w:rsidR="00D81C95" w:rsidRPr="005B4989" w:rsidRDefault="00D81C95" w:rsidP="000A5389">
            <w:pPr>
              <w:pStyle w:val="Textoindependiente"/>
              <w:spacing w:line="240" w:lineRule="auto"/>
              <w:jc w:val="right"/>
              <w:rPr>
                <w:bCs/>
                <w:sz w:val="20"/>
                <w:szCs w:val="20"/>
                <w:lang w:val="es-CO"/>
              </w:rPr>
            </w:pPr>
            <w:r w:rsidRPr="005B4989">
              <w:rPr>
                <w:bCs/>
                <w:sz w:val="20"/>
                <w:szCs w:val="20"/>
                <w:lang w:val="es-CO"/>
              </w:rPr>
              <w:t xml:space="preserve">            10.733.823 </w:t>
            </w:r>
          </w:p>
        </w:tc>
        <w:tc>
          <w:tcPr>
            <w:tcW w:w="1530" w:type="pct"/>
            <w:noWrap/>
            <w:vAlign w:val="center"/>
            <w:hideMark/>
          </w:tcPr>
          <w:p w14:paraId="14E5E9FE" w14:textId="77777777" w:rsidR="00D81C95" w:rsidRPr="005B4989" w:rsidRDefault="00D81C95" w:rsidP="000A5389">
            <w:pPr>
              <w:pStyle w:val="Textoindependiente"/>
              <w:spacing w:line="240" w:lineRule="auto"/>
              <w:rPr>
                <w:bCs/>
                <w:sz w:val="20"/>
                <w:szCs w:val="20"/>
                <w:lang w:val="es-CO"/>
              </w:rPr>
            </w:pPr>
            <w:r w:rsidRPr="005B4989">
              <w:rPr>
                <w:bCs/>
                <w:sz w:val="20"/>
                <w:szCs w:val="20"/>
                <w:lang w:val="es-CO"/>
              </w:rPr>
              <w:t xml:space="preserve"> Equipo de computación </w:t>
            </w:r>
          </w:p>
        </w:tc>
        <w:tc>
          <w:tcPr>
            <w:tcW w:w="1546" w:type="pct"/>
            <w:noWrap/>
            <w:vAlign w:val="center"/>
            <w:hideMark/>
          </w:tcPr>
          <w:p w14:paraId="534E7C28" w14:textId="77777777" w:rsidR="00D81C95" w:rsidRPr="005B4989" w:rsidRDefault="00D81C95" w:rsidP="000A5389">
            <w:pPr>
              <w:pStyle w:val="Textoindependiente"/>
              <w:spacing w:line="240" w:lineRule="auto"/>
              <w:jc w:val="center"/>
              <w:rPr>
                <w:bCs/>
                <w:sz w:val="20"/>
                <w:szCs w:val="20"/>
                <w:lang w:val="es-CO"/>
              </w:rPr>
            </w:pPr>
            <w:r w:rsidRPr="005B4989">
              <w:rPr>
                <w:bCs/>
                <w:sz w:val="20"/>
                <w:szCs w:val="20"/>
                <w:lang w:val="es-CO"/>
              </w:rPr>
              <w:t>Proveer Institucional SAS</w:t>
            </w:r>
          </w:p>
        </w:tc>
      </w:tr>
      <w:tr w:rsidR="00D81C95" w:rsidRPr="005B4989" w14:paraId="7555AAFF" w14:textId="77777777" w:rsidTr="005B4989">
        <w:trPr>
          <w:trHeight w:val="217"/>
        </w:trPr>
        <w:tc>
          <w:tcPr>
            <w:tcW w:w="800" w:type="pct"/>
            <w:noWrap/>
            <w:vAlign w:val="center"/>
            <w:hideMark/>
          </w:tcPr>
          <w:p w14:paraId="1A37AD4F" w14:textId="77777777" w:rsidR="00D81C95" w:rsidRPr="005B4989" w:rsidRDefault="00D81C95" w:rsidP="000A5389">
            <w:pPr>
              <w:pStyle w:val="Textoindependiente"/>
              <w:spacing w:line="240" w:lineRule="auto"/>
              <w:rPr>
                <w:b/>
                <w:bCs/>
                <w:sz w:val="20"/>
                <w:szCs w:val="20"/>
                <w:lang w:val="es-CO"/>
              </w:rPr>
            </w:pPr>
            <w:r w:rsidRPr="005B4989">
              <w:rPr>
                <w:b/>
                <w:bCs/>
                <w:sz w:val="20"/>
                <w:szCs w:val="20"/>
                <w:lang w:val="es-CO"/>
              </w:rPr>
              <w:t>Subtotal</w:t>
            </w:r>
          </w:p>
        </w:tc>
        <w:tc>
          <w:tcPr>
            <w:tcW w:w="1124" w:type="pct"/>
            <w:noWrap/>
            <w:vAlign w:val="center"/>
            <w:hideMark/>
          </w:tcPr>
          <w:p w14:paraId="65006BDD" w14:textId="77777777" w:rsidR="00D81C95" w:rsidRPr="005B4989" w:rsidRDefault="00D81C95" w:rsidP="000A5389">
            <w:pPr>
              <w:pStyle w:val="Textoindependiente"/>
              <w:spacing w:line="240" w:lineRule="auto"/>
              <w:jc w:val="right"/>
              <w:rPr>
                <w:b/>
                <w:bCs/>
                <w:sz w:val="20"/>
                <w:szCs w:val="20"/>
                <w:lang w:val="es-CO"/>
              </w:rPr>
            </w:pPr>
            <w:r w:rsidRPr="005B4989">
              <w:rPr>
                <w:b/>
                <w:bCs/>
                <w:sz w:val="20"/>
                <w:szCs w:val="20"/>
                <w:lang w:val="es-CO"/>
              </w:rPr>
              <w:t xml:space="preserve">          122.513.372 </w:t>
            </w:r>
          </w:p>
        </w:tc>
        <w:tc>
          <w:tcPr>
            <w:tcW w:w="1530" w:type="pct"/>
            <w:noWrap/>
            <w:vAlign w:val="center"/>
            <w:hideMark/>
          </w:tcPr>
          <w:p w14:paraId="5C36F804" w14:textId="77777777" w:rsidR="00D81C95" w:rsidRPr="005B4989" w:rsidRDefault="00D81C95" w:rsidP="000A5389">
            <w:pPr>
              <w:pStyle w:val="Textoindependiente"/>
              <w:spacing w:line="240" w:lineRule="auto"/>
              <w:rPr>
                <w:b/>
                <w:bCs/>
                <w:sz w:val="20"/>
                <w:szCs w:val="20"/>
                <w:lang w:val="es-CO"/>
              </w:rPr>
            </w:pPr>
            <w:r w:rsidRPr="005B4989">
              <w:rPr>
                <w:b/>
                <w:bCs/>
                <w:sz w:val="20"/>
                <w:szCs w:val="20"/>
                <w:lang w:val="es-CO"/>
              </w:rPr>
              <w:t xml:space="preserve"> Entrada almacén 01001 del 26-12-2025 </w:t>
            </w:r>
          </w:p>
        </w:tc>
        <w:tc>
          <w:tcPr>
            <w:tcW w:w="1546" w:type="pct"/>
            <w:noWrap/>
            <w:vAlign w:val="center"/>
            <w:hideMark/>
          </w:tcPr>
          <w:p w14:paraId="43D59F86" w14:textId="11B61B5A" w:rsidR="00D81C95" w:rsidRPr="005B4989" w:rsidRDefault="00D81C95" w:rsidP="000A5389">
            <w:pPr>
              <w:pStyle w:val="Textoindependiente"/>
              <w:spacing w:line="240" w:lineRule="auto"/>
              <w:jc w:val="center"/>
              <w:rPr>
                <w:bCs/>
                <w:sz w:val="20"/>
                <w:szCs w:val="20"/>
                <w:lang w:val="es-CO"/>
              </w:rPr>
            </w:pPr>
          </w:p>
        </w:tc>
      </w:tr>
      <w:tr w:rsidR="00D81C95" w:rsidRPr="005B4989" w14:paraId="3046F65E" w14:textId="77777777" w:rsidTr="005B4989">
        <w:trPr>
          <w:trHeight w:val="135"/>
        </w:trPr>
        <w:tc>
          <w:tcPr>
            <w:tcW w:w="800" w:type="pct"/>
            <w:noWrap/>
            <w:vAlign w:val="center"/>
            <w:hideMark/>
          </w:tcPr>
          <w:p w14:paraId="728DF83D" w14:textId="77777777" w:rsidR="00D81C95" w:rsidRPr="005B4989" w:rsidRDefault="00D81C95" w:rsidP="000A5389">
            <w:pPr>
              <w:pStyle w:val="Textoindependiente"/>
              <w:spacing w:line="240" w:lineRule="auto"/>
              <w:rPr>
                <w:bCs/>
                <w:sz w:val="20"/>
                <w:szCs w:val="20"/>
                <w:lang w:val="es-CO"/>
              </w:rPr>
            </w:pPr>
            <w:r w:rsidRPr="005B4989">
              <w:rPr>
                <w:bCs/>
                <w:sz w:val="20"/>
                <w:szCs w:val="20"/>
                <w:lang w:val="es-CO"/>
              </w:rPr>
              <w:lastRenderedPageBreak/>
              <w:t>2025-06-30</w:t>
            </w:r>
          </w:p>
        </w:tc>
        <w:tc>
          <w:tcPr>
            <w:tcW w:w="1124" w:type="pct"/>
            <w:noWrap/>
            <w:vAlign w:val="center"/>
            <w:hideMark/>
          </w:tcPr>
          <w:p w14:paraId="4B7922E3" w14:textId="77777777" w:rsidR="00D81C95" w:rsidRPr="005B4989" w:rsidRDefault="00D81C95" w:rsidP="000A5389">
            <w:pPr>
              <w:pStyle w:val="Textoindependiente"/>
              <w:spacing w:line="240" w:lineRule="auto"/>
              <w:jc w:val="right"/>
              <w:rPr>
                <w:bCs/>
                <w:sz w:val="20"/>
                <w:szCs w:val="20"/>
                <w:lang w:val="es-CO"/>
              </w:rPr>
            </w:pPr>
            <w:r w:rsidRPr="005B4989">
              <w:rPr>
                <w:bCs/>
                <w:sz w:val="20"/>
                <w:szCs w:val="20"/>
                <w:lang w:val="es-CO"/>
              </w:rPr>
              <w:t xml:space="preserve">            14.500.000 </w:t>
            </w:r>
          </w:p>
        </w:tc>
        <w:tc>
          <w:tcPr>
            <w:tcW w:w="1530" w:type="pct"/>
            <w:noWrap/>
            <w:vAlign w:val="center"/>
            <w:hideMark/>
          </w:tcPr>
          <w:p w14:paraId="013C3982" w14:textId="77777777" w:rsidR="00D81C95" w:rsidRPr="005B4989" w:rsidRDefault="00D81C95" w:rsidP="000A5389">
            <w:pPr>
              <w:pStyle w:val="Textoindependiente"/>
              <w:spacing w:line="240" w:lineRule="auto"/>
              <w:rPr>
                <w:bCs/>
                <w:sz w:val="20"/>
                <w:szCs w:val="20"/>
                <w:lang w:val="es-CO"/>
              </w:rPr>
            </w:pPr>
            <w:r w:rsidRPr="005B4989">
              <w:rPr>
                <w:bCs/>
                <w:sz w:val="20"/>
                <w:szCs w:val="20"/>
                <w:lang w:val="es-CO"/>
              </w:rPr>
              <w:t xml:space="preserve"> Equipo de computación </w:t>
            </w:r>
          </w:p>
        </w:tc>
        <w:tc>
          <w:tcPr>
            <w:tcW w:w="1546" w:type="pct"/>
            <w:noWrap/>
            <w:vAlign w:val="center"/>
            <w:hideMark/>
          </w:tcPr>
          <w:p w14:paraId="7E76D7EF" w14:textId="77777777" w:rsidR="00D81C95" w:rsidRPr="005B4989" w:rsidRDefault="00D81C95" w:rsidP="000A5389">
            <w:pPr>
              <w:pStyle w:val="Textoindependiente"/>
              <w:spacing w:line="240" w:lineRule="auto"/>
              <w:jc w:val="center"/>
              <w:rPr>
                <w:bCs/>
                <w:sz w:val="20"/>
                <w:szCs w:val="20"/>
                <w:lang w:val="es-CO"/>
              </w:rPr>
            </w:pPr>
            <w:r w:rsidRPr="005B4989">
              <w:rPr>
                <w:bCs/>
                <w:sz w:val="20"/>
                <w:szCs w:val="20"/>
                <w:lang w:val="es-CO"/>
              </w:rPr>
              <w:t>Hardware Asesorías Software Ltda.</w:t>
            </w:r>
          </w:p>
        </w:tc>
      </w:tr>
      <w:tr w:rsidR="00D81C95" w:rsidRPr="005B4989" w14:paraId="629E12C4" w14:textId="77777777" w:rsidTr="005B4989">
        <w:trPr>
          <w:trHeight w:val="209"/>
        </w:trPr>
        <w:tc>
          <w:tcPr>
            <w:tcW w:w="800" w:type="pct"/>
            <w:noWrap/>
            <w:vAlign w:val="center"/>
            <w:hideMark/>
          </w:tcPr>
          <w:p w14:paraId="2D6653FC" w14:textId="77777777" w:rsidR="00D81C95" w:rsidRPr="005B4989" w:rsidRDefault="00D81C95" w:rsidP="000A5389">
            <w:pPr>
              <w:pStyle w:val="Textoindependiente"/>
              <w:spacing w:line="240" w:lineRule="auto"/>
              <w:rPr>
                <w:bCs/>
                <w:sz w:val="20"/>
                <w:szCs w:val="20"/>
                <w:lang w:val="es-CO"/>
              </w:rPr>
            </w:pPr>
            <w:r w:rsidRPr="005B4989">
              <w:rPr>
                <w:bCs/>
                <w:sz w:val="20"/>
                <w:szCs w:val="20"/>
                <w:lang w:val="es-CO"/>
              </w:rPr>
              <w:t>2025-08-30</w:t>
            </w:r>
          </w:p>
        </w:tc>
        <w:tc>
          <w:tcPr>
            <w:tcW w:w="1124" w:type="pct"/>
            <w:noWrap/>
            <w:vAlign w:val="center"/>
            <w:hideMark/>
          </w:tcPr>
          <w:p w14:paraId="49B0AA3C" w14:textId="77777777" w:rsidR="00D81C95" w:rsidRPr="005B4989" w:rsidRDefault="00D81C95" w:rsidP="000A5389">
            <w:pPr>
              <w:pStyle w:val="Textoindependiente"/>
              <w:spacing w:line="240" w:lineRule="auto"/>
              <w:jc w:val="right"/>
              <w:rPr>
                <w:bCs/>
                <w:sz w:val="20"/>
                <w:szCs w:val="20"/>
                <w:lang w:val="es-CO"/>
              </w:rPr>
            </w:pPr>
            <w:r w:rsidRPr="005B4989">
              <w:rPr>
                <w:bCs/>
                <w:sz w:val="20"/>
                <w:szCs w:val="20"/>
                <w:lang w:val="es-CO"/>
              </w:rPr>
              <w:t xml:space="preserve">              2.869.828 </w:t>
            </w:r>
          </w:p>
        </w:tc>
        <w:tc>
          <w:tcPr>
            <w:tcW w:w="1530" w:type="pct"/>
            <w:noWrap/>
            <w:vAlign w:val="center"/>
            <w:hideMark/>
          </w:tcPr>
          <w:p w14:paraId="197FA8C6" w14:textId="77777777" w:rsidR="00D81C95" w:rsidRPr="005B4989" w:rsidRDefault="00D81C95" w:rsidP="000A5389">
            <w:pPr>
              <w:pStyle w:val="Textoindependiente"/>
              <w:spacing w:line="240" w:lineRule="auto"/>
              <w:rPr>
                <w:bCs/>
                <w:sz w:val="20"/>
                <w:szCs w:val="20"/>
                <w:lang w:val="es-CO"/>
              </w:rPr>
            </w:pPr>
            <w:r w:rsidRPr="005B4989">
              <w:rPr>
                <w:bCs/>
                <w:sz w:val="20"/>
                <w:szCs w:val="20"/>
                <w:lang w:val="es-CO"/>
              </w:rPr>
              <w:t xml:space="preserve"> Equipo de computación </w:t>
            </w:r>
          </w:p>
        </w:tc>
        <w:tc>
          <w:tcPr>
            <w:tcW w:w="1546" w:type="pct"/>
            <w:noWrap/>
            <w:vAlign w:val="center"/>
            <w:hideMark/>
          </w:tcPr>
          <w:p w14:paraId="517A79C3" w14:textId="77777777" w:rsidR="00D81C95" w:rsidRPr="005B4989" w:rsidRDefault="00D81C95" w:rsidP="000A5389">
            <w:pPr>
              <w:pStyle w:val="Textoindependiente"/>
              <w:spacing w:line="240" w:lineRule="auto"/>
              <w:jc w:val="center"/>
              <w:rPr>
                <w:bCs/>
                <w:sz w:val="20"/>
                <w:szCs w:val="20"/>
                <w:lang w:val="es-CO"/>
              </w:rPr>
            </w:pPr>
            <w:r w:rsidRPr="005B4989">
              <w:rPr>
                <w:bCs/>
                <w:sz w:val="20"/>
                <w:szCs w:val="20"/>
                <w:lang w:val="es-CO"/>
              </w:rPr>
              <w:t>Gutiérrez Casas Hernan Dario</w:t>
            </w:r>
          </w:p>
        </w:tc>
      </w:tr>
      <w:tr w:rsidR="00D81C95" w:rsidRPr="005B4989" w14:paraId="78AF873E" w14:textId="77777777" w:rsidTr="005B4989">
        <w:trPr>
          <w:trHeight w:val="141"/>
        </w:trPr>
        <w:tc>
          <w:tcPr>
            <w:tcW w:w="800" w:type="pct"/>
            <w:noWrap/>
            <w:vAlign w:val="center"/>
            <w:hideMark/>
          </w:tcPr>
          <w:p w14:paraId="6542DCBE" w14:textId="77777777" w:rsidR="00D81C95" w:rsidRPr="005B4989" w:rsidRDefault="00D81C95" w:rsidP="000A5389">
            <w:pPr>
              <w:pStyle w:val="Textoindependiente"/>
              <w:spacing w:line="240" w:lineRule="auto"/>
              <w:rPr>
                <w:b/>
                <w:bCs/>
                <w:sz w:val="20"/>
                <w:szCs w:val="20"/>
                <w:lang w:val="es-CO"/>
              </w:rPr>
            </w:pPr>
            <w:r w:rsidRPr="005B4989">
              <w:rPr>
                <w:b/>
                <w:bCs/>
                <w:sz w:val="20"/>
                <w:szCs w:val="20"/>
                <w:lang w:val="es-CO"/>
              </w:rPr>
              <w:t>Subtotal</w:t>
            </w:r>
          </w:p>
        </w:tc>
        <w:tc>
          <w:tcPr>
            <w:tcW w:w="1124" w:type="pct"/>
            <w:noWrap/>
            <w:vAlign w:val="center"/>
            <w:hideMark/>
          </w:tcPr>
          <w:p w14:paraId="511B424F" w14:textId="77777777" w:rsidR="00D81C95" w:rsidRPr="005B4989" w:rsidRDefault="00D81C95" w:rsidP="000A5389">
            <w:pPr>
              <w:pStyle w:val="Textoindependiente"/>
              <w:spacing w:line="240" w:lineRule="auto"/>
              <w:jc w:val="right"/>
              <w:rPr>
                <w:b/>
                <w:bCs/>
                <w:sz w:val="20"/>
                <w:szCs w:val="20"/>
                <w:lang w:val="es-CO"/>
              </w:rPr>
            </w:pPr>
            <w:r w:rsidRPr="005B4989">
              <w:rPr>
                <w:b/>
                <w:bCs/>
                <w:sz w:val="20"/>
                <w:szCs w:val="20"/>
                <w:lang w:val="es-CO"/>
              </w:rPr>
              <w:t xml:space="preserve">           17.369.828 </w:t>
            </w:r>
          </w:p>
        </w:tc>
        <w:tc>
          <w:tcPr>
            <w:tcW w:w="1530" w:type="pct"/>
            <w:noWrap/>
            <w:vAlign w:val="center"/>
            <w:hideMark/>
          </w:tcPr>
          <w:p w14:paraId="1DCBB003" w14:textId="77777777" w:rsidR="00D81C95" w:rsidRPr="005B4989" w:rsidRDefault="00D81C95" w:rsidP="000A5389">
            <w:pPr>
              <w:pStyle w:val="Textoindependiente"/>
              <w:spacing w:line="240" w:lineRule="auto"/>
              <w:rPr>
                <w:b/>
                <w:bCs/>
                <w:sz w:val="20"/>
                <w:szCs w:val="20"/>
                <w:lang w:val="es-CO"/>
              </w:rPr>
            </w:pPr>
            <w:r w:rsidRPr="005B4989">
              <w:rPr>
                <w:b/>
                <w:bCs/>
                <w:sz w:val="20"/>
                <w:szCs w:val="20"/>
                <w:lang w:val="es-CO"/>
              </w:rPr>
              <w:t xml:space="preserve"> Entrada almacén 00995 y 00997 de 06-2025 </w:t>
            </w:r>
          </w:p>
        </w:tc>
        <w:tc>
          <w:tcPr>
            <w:tcW w:w="1546" w:type="pct"/>
            <w:noWrap/>
            <w:vAlign w:val="center"/>
            <w:hideMark/>
          </w:tcPr>
          <w:p w14:paraId="2A2C185E" w14:textId="1243F5CF" w:rsidR="00D81C95" w:rsidRPr="005B4989" w:rsidRDefault="00D81C95" w:rsidP="000A5389">
            <w:pPr>
              <w:pStyle w:val="Textoindependiente"/>
              <w:spacing w:line="240" w:lineRule="auto"/>
              <w:jc w:val="center"/>
              <w:rPr>
                <w:bCs/>
                <w:sz w:val="20"/>
                <w:szCs w:val="20"/>
                <w:lang w:val="es-CO"/>
              </w:rPr>
            </w:pPr>
          </w:p>
        </w:tc>
      </w:tr>
      <w:tr w:rsidR="00D81C95" w:rsidRPr="005B4989" w14:paraId="70C22C87" w14:textId="77777777" w:rsidTr="005B4989">
        <w:trPr>
          <w:trHeight w:val="87"/>
        </w:trPr>
        <w:tc>
          <w:tcPr>
            <w:tcW w:w="800" w:type="pct"/>
            <w:noWrap/>
            <w:vAlign w:val="center"/>
            <w:hideMark/>
          </w:tcPr>
          <w:p w14:paraId="00E43F1A" w14:textId="77777777" w:rsidR="00D81C95" w:rsidRPr="005B4989" w:rsidRDefault="00D81C95" w:rsidP="000A5389">
            <w:pPr>
              <w:pStyle w:val="Textoindependiente"/>
              <w:spacing w:line="240" w:lineRule="auto"/>
              <w:rPr>
                <w:bCs/>
                <w:sz w:val="20"/>
                <w:szCs w:val="20"/>
                <w:lang w:val="es-CO"/>
              </w:rPr>
            </w:pPr>
            <w:r w:rsidRPr="005B4989">
              <w:rPr>
                <w:bCs/>
                <w:sz w:val="20"/>
                <w:szCs w:val="20"/>
                <w:lang w:val="es-CO"/>
              </w:rPr>
              <w:t>2025-08-30</w:t>
            </w:r>
          </w:p>
        </w:tc>
        <w:tc>
          <w:tcPr>
            <w:tcW w:w="1124" w:type="pct"/>
            <w:noWrap/>
            <w:vAlign w:val="center"/>
            <w:hideMark/>
          </w:tcPr>
          <w:p w14:paraId="4F55795F" w14:textId="77777777" w:rsidR="00D81C95" w:rsidRPr="005B4989" w:rsidRDefault="00D81C95" w:rsidP="000A5389">
            <w:pPr>
              <w:pStyle w:val="Textoindependiente"/>
              <w:spacing w:line="240" w:lineRule="auto"/>
              <w:jc w:val="right"/>
              <w:rPr>
                <w:bCs/>
                <w:sz w:val="20"/>
                <w:szCs w:val="20"/>
                <w:lang w:val="es-CO"/>
              </w:rPr>
            </w:pPr>
            <w:r w:rsidRPr="005B4989">
              <w:rPr>
                <w:bCs/>
                <w:sz w:val="20"/>
                <w:szCs w:val="20"/>
                <w:lang w:val="es-CO"/>
              </w:rPr>
              <w:t xml:space="preserve">             5.299.900 </w:t>
            </w:r>
          </w:p>
        </w:tc>
        <w:tc>
          <w:tcPr>
            <w:tcW w:w="1530" w:type="pct"/>
            <w:noWrap/>
            <w:vAlign w:val="center"/>
            <w:hideMark/>
          </w:tcPr>
          <w:p w14:paraId="1D1E22CF" w14:textId="77777777" w:rsidR="00D81C95" w:rsidRPr="005B4989" w:rsidRDefault="00D81C95" w:rsidP="000A5389">
            <w:pPr>
              <w:pStyle w:val="Textoindependiente"/>
              <w:spacing w:line="240" w:lineRule="auto"/>
              <w:rPr>
                <w:bCs/>
                <w:sz w:val="20"/>
                <w:szCs w:val="20"/>
                <w:lang w:val="es-CO"/>
              </w:rPr>
            </w:pPr>
            <w:r w:rsidRPr="005B4989">
              <w:rPr>
                <w:bCs/>
                <w:sz w:val="20"/>
                <w:szCs w:val="20"/>
                <w:lang w:val="es-CO"/>
              </w:rPr>
              <w:t xml:space="preserve"> Equipo de computación </w:t>
            </w:r>
          </w:p>
        </w:tc>
        <w:tc>
          <w:tcPr>
            <w:tcW w:w="1546" w:type="pct"/>
            <w:noWrap/>
            <w:vAlign w:val="center"/>
            <w:hideMark/>
          </w:tcPr>
          <w:p w14:paraId="282A105B" w14:textId="77777777" w:rsidR="00D81C95" w:rsidRPr="005B4989" w:rsidRDefault="00D81C95" w:rsidP="000A5389">
            <w:pPr>
              <w:pStyle w:val="Textoindependiente"/>
              <w:spacing w:line="240" w:lineRule="auto"/>
              <w:jc w:val="center"/>
              <w:rPr>
                <w:bCs/>
                <w:sz w:val="20"/>
                <w:szCs w:val="20"/>
                <w:lang w:val="es-CO"/>
              </w:rPr>
            </w:pPr>
            <w:r w:rsidRPr="005B4989">
              <w:rPr>
                <w:bCs/>
                <w:sz w:val="20"/>
                <w:szCs w:val="20"/>
                <w:lang w:val="es-CO"/>
              </w:rPr>
              <w:t>Gutiérrez Casas Hernan Dario</w:t>
            </w:r>
          </w:p>
        </w:tc>
      </w:tr>
      <w:tr w:rsidR="00D81C95" w:rsidRPr="005B4989" w14:paraId="7611C6D4" w14:textId="77777777" w:rsidTr="005B4989">
        <w:trPr>
          <w:trHeight w:val="175"/>
        </w:trPr>
        <w:tc>
          <w:tcPr>
            <w:tcW w:w="800" w:type="pct"/>
            <w:noWrap/>
            <w:vAlign w:val="center"/>
            <w:hideMark/>
          </w:tcPr>
          <w:p w14:paraId="64331D18" w14:textId="77777777" w:rsidR="00D81C95" w:rsidRPr="005B4989" w:rsidRDefault="00D81C95" w:rsidP="000A5389">
            <w:pPr>
              <w:pStyle w:val="Textoindependiente"/>
              <w:spacing w:line="240" w:lineRule="auto"/>
              <w:rPr>
                <w:b/>
                <w:bCs/>
                <w:sz w:val="20"/>
                <w:szCs w:val="20"/>
                <w:lang w:val="es-CO"/>
              </w:rPr>
            </w:pPr>
            <w:r w:rsidRPr="005B4989">
              <w:rPr>
                <w:b/>
                <w:bCs/>
                <w:sz w:val="20"/>
                <w:szCs w:val="20"/>
                <w:lang w:val="es-CO"/>
              </w:rPr>
              <w:t>Subtotal</w:t>
            </w:r>
          </w:p>
        </w:tc>
        <w:tc>
          <w:tcPr>
            <w:tcW w:w="1124" w:type="pct"/>
            <w:noWrap/>
            <w:vAlign w:val="center"/>
            <w:hideMark/>
          </w:tcPr>
          <w:p w14:paraId="17F00AD9" w14:textId="77777777" w:rsidR="00D81C95" w:rsidRPr="005B4989" w:rsidRDefault="00D81C95" w:rsidP="000A5389">
            <w:pPr>
              <w:pStyle w:val="Textoindependiente"/>
              <w:spacing w:line="240" w:lineRule="auto"/>
              <w:jc w:val="right"/>
              <w:rPr>
                <w:b/>
                <w:bCs/>
                <w:sz w:val="20"/>
                <w:szCs w:val="20"/>
                <w:lang w:val="es-CO"/>
              </w:rPr>
            </w:pPr>
            <w:r w:rsidRPr="005B4989">
              <w:rPr>
                <w:b/>
                <w:bCs/>
                <w:sz w:val="20"/>
                <w:szCs w:val="20"/>
                <w:lang w:val="es-CO"/>
              </w:rPr>
              <w:t xml:space="preserve">              5.299.900 </w:t>
            </w:r>
          </w:p>
        </w:tc>
        <w:tc>
          <w:tcPr>
            <w:tcW w:w="1530" w:type="pct"/>
            <w:noWrap/>
            <w:vAlign w:val="center"/>
            <w:hideMark/>
          </w:tcPr>
          <w:p w14:paraId="6EDCD43C" w14:textId="77777777" w:rsidR="00D81C95" w:rsidRPr="005B4989" w:rsidRDefault="00D81C95" w:rsidP="000A5389">
            <w:pPr>
              <w:pStyle w:val="Textoindependiente"/>
              <w:spacing w:line="240" w:lineRule="auto"/>
              <w:rPr>
                <w:b/>
                <w:bCs/>
                <w:sz w:val="20"/>
                <w:szCs w:val="20"/>
                <w:lang w:val="es-CO"/>
              </w:rPr>
            </w:pPr>
            <w:r w:rsidRPr="005B4989">
              <w:rPr>
                <w:b/>
                <w:bCs/>
                <w:sz w:val="20"/>
                <w:szCs w:val="20"/>
                <w:lang w:val="es-CO"/>
              </w:rPr>
              <w:t xml:space="preserve"> Entrada almacén 00999 14-08-2025 </w:t>
            </w:r>
          </w:p>
        </w:tc>
        <w:tc>
          <w:tcPr>
            <w:tcW w:w="1546" w:type="pct"/>
            <w:noWrap/>
            <w:vAlign w:val="center"/>
            <w:hideMark/>
          </w:tcPr>
          <w:p w14:paraId="28C704D9" w14:textId="5439BCD2" w:rsidR="00D81C95" w:rsidRPr="005B4989" w:rsidRDefault="00D81C95" w:rsidP="000A5389">
            <w:pPr>
              <w:pStyle w:val="Textoindependiente"/>
              <w:spacing w:line="240" w:lineRule="auto"/>
              <w:jc w:val="center"/>
              <w:rPr>
                <w:bCs/>
                <w:sz w:val="20"/>
                <w:szCs w:val="20"/>
                <w:lang w:val="es-CO"/>
              </w:rPr>
            </w:pPr>
          </w:p>
        </w:tc>
      </w:tr>
      <w:tr w:rsidR="00D81C95" w:rsidRPr="005B4989" w14:paraId="705D0305" w14:textId="77777777" w:rsidTr="005B4989">
        <w:trPr>
          <w:trHeight w:val="122"/>
        </w:trPr>
        <w:tc>
          <w:tcPr>
            <w:tcW w:w="800" w:type="pct"/>
            <w:noWrap/>
            <w:vAlign w:val="center"/>
            <w:hideMark/>
          </w:tcPr>
          <w:p w14:paraId="2305B697" w14:textId="77777777" w:rsidR="00D81C95" w:rsidRPr="005B4989" w:rsidRDefault="00D81C95" w:rsidP="000A5389">
            <w:pPr>
              <w:pStyle w:val="Textoindependiente"/>
              <w:spacing w:line="240" w:lineRule="auto"/>
              <w:rPr>
                <w:b/>
                <w:bCs/>
                <w:sz w:val="20"/>
                <w:szCs w:val="20"/>
                <w:lang w:val="es-CO"/>
              </w:rPr>
            </w:pPr>
            <w:r w:rsidRPr="005B4989">
              <w:rPr>
                <w:b/>
                <w:bCs/>
                <w:sz w:val="20"/>
                <w:szCs w:val="20"/>
                <w:lang w:val="es-CO"/>
              </w:rPr>
              <w:t>Total</w:t>
            </w:r>
          </w:p>
        </w:tc>
        <w:tc>
          <w:tcPr>
            <w:tcW w:w="1124" w:type="pct"/>
            <w:noWrap/>
            <w:vAlign w:val="center"/>
            <w:hideMark/>
          </w:tcPr>
          <w:p w14:paraId="2D3A9733" w14:textId="77777777" w:rsidR="00D81C95" w:rsidRPr="005B4989" w:rsidRDefault="00D81C95" w:rsidP="000A5389">
            <w:pPr>
              <w:pStyle w:val="Textoindependiente"/>
              <w:spacing w:line="240" w:lineRule="auto"/>
              <w:jc w:val="right"/>
              <w:rPr>
                <w:b/>
                <w:bCs/>
                <w:sz w:val="20"/>
                <w:szCs w:val="20"/>
                <w:lang w:val="es-CO"/>
              </w:rPr>
            </w:pPr>
            <w:r w:rsidRPr="005B4989">
              <w:rPr>
                <w:b/>
                <w:bCs/>
                <w:sz w:val="20"/>
                <w:szCs w:val="20"/>
                <w:lang w:val="es-CO"/>
              </w:rPr>
              <w:t xml:space="preserve">     16.718.977.150 </w:t>
            </w:r>
          </w:p>
        </w:tc>
        <w:tc>
          <w:tcPr>
            <w:tcW w:w="1530" w:type="pct"/>
            <w:noWrap/>
            <w:vAlign w:val="center"/>
            <w:hideMark/>
          </w:tcPr>
          <w:p w14:paraId="3BC738EC" w14:textId="77777777" w:rsidR="00D81C95" w:rsidRPr="005B4989" w:rsidRDefault="00D81C95" w:rsidP="000A5389">
            <w:pPr>
              <w:pStyle w:val="Textoindependiente"/>
              <w:spacing w:line="240" w:lineRule="auto"/>
              <w:rPr>
                <w:b/>
                <w:bCs/>
                <w:sz w:val="20"/>
                <w:szCs w:val="20"/>
                <w:lang w:val="es-CO"/>
              </w:rPr>
            </w:pPr>
          </w:p>
        </w:tc>
        <w:tc>
          <w:tcPr>
            <w:tcW w:w="1546" w:type="pct"/>
            <w:noWrap/>
            <w:vAlign w:val="center"/>
            <w:hideMark/>
          </w:tcPr>
          <w:p w14:paraId="64DF94D1" w14:textId="77777777" w:rsidR="00D81C95" w:rsidRPr="005B4989" w:rsidRDefault="00D81C95" w:rsidP="000A5389">
            <w:pPr>
              <w:pStyle w:val="Textoindependiente"/>
              <w:spacing w:line="240" w:lineRule="auto"/>
              <w:jc w:val="center"/>
              <w:rPr>
                <w:bCs/>
                <w:sz w:val="20"/>
                <w:szCs w:val="20"/>
                <w:lang w:val="es-CO"/>
              </w:rPr>
            </w:pPr>
          </w:p>
        </w:tc>
      </w:tr>
    </w:tbl>
    <w:p w14:paraId="57F6B033" w14:textId="77777777" w:rsidR="006A2E2B" w:rsidRPr="00951AB1" w:rsidRDefault="006A2E2B" w:rsidP="000A5389">
      <w:pPr>
        <w:pStyle w:val="Textoindependiente"/>
        <w:spacing w:line="240" w:lineRule="auto"/>
        <w:rPr>
          <w:bCs/>
          <w:sz w:val="14"/>
          <w:szCs w:val="14"/>
        </w:rPr>
      </w:pPr>
      <w:r w:rsidRPr="00951AB1">
        <w:rPr>
          <w:bCs/>
          <w:sz w:val="14"/>
          <w:szCs w:val="14"/>
        </w:rPr>
        <w:t>Cifras expresadas en pesos</w:t>
      </w:r>
    </w:p>
    <w:p w14:paraId="3B49C2A4" w14:textId="77777777" w:rsidR="00D81C95" w:rsidRPr="00951AB1" w:rsidRDefault="00D81C95" w:rsidP="000A5389">
      <w:pPr>
        <w:pStyle w:val="Textoindependiente"/>
        <w:spacing w:line="240" w:lineRule="auto"/>
        <w:rPr>
          <w:bCs/>
        </w:rPr>
      </w:pPr>
    </w:p>
    <w:p w14:paraId="17BCCFBE" w14:textId="77777777" w:rsidR="00D81C95" w:rsidRPr="00951AB1" w:rsidRDefault="00D81C95" w:rsidP="000A5389">
      <w:pPr>
        <w:pStyle w:val="Textoindependiente"/>
        <w:spacing w:line="240" w:lineRule="auto"/>
        <w:rPr>
          <w:bCs/>
        </w:rPr>
      </w:pPr>
      <w:r w:rsidRPr="00951AB1">
        <w:rPr>
          <w:bCs/>
        </w:rPr>
        <w:t>Es importante indicar que los bienes adquiridos fueron asignados a servicio al cierre de la vigencia 2025.</w:t>
      </w:r>
    </w:p>
    <w:p w14:paraId="417A6E69" w14:textId="77777777" w:rsidR="00D81C95" w:rsidRPr="00951AB1" w:rsidRDefault="00D81C95" w:rsidP="000A5389">
      <w:pPr>
        <w:pStyle w:val="Textoindependiente"/>
        <w:spacing w:line="240" w:lineRule="auto"/>
        <w:rPr>
          <w:color w:val="EE0000"/>
          <w:lang w:eastAsia="en-US"/>
        </w:rPr>
      </w:pPr>
    </w:p>
    <w:p w14:paraId="7EFF7172" w14:textId="54DDF6C3" w:rsidR="00D81C95" w:rsidRPr="00951AB1" w:rsidRDefault="00D81C95" w:rsidP="000A5389">
      <w:pPr>
        <w:spacing w:line="240" w:lineRule="auto"/>
        <w:ind w:right="-20"/>
        <w:rPr>
          <w:rFonts w:cs="Times New Roman"/>
          <w:szCs w:val="24"/>
        </w:rPr>
      </w:pPr>
      <w:r w:rsidRPr="00951AB1">
        <w:rPr>
          <w:rFonts w:cs="Times New Roman"/>
          <w:b/>
          <w:i/>
          <w:iCs/>
          <w:szCs w:val="24"/>
        </w:rPr>
        <w:t>Bienes entregados a Terceros</w:t>
      </w:r>
      <w:r w:rsidR="004B7C2F" w:rsidRPr="00951AB1">
        <w:rPr>
          <w:rFonts w:cs="Times New Roman"/>
          <w:b/>
          <w:i/>
          <w:iCs/>
          <w:szCs w:val="24"/>
        </w:rPr>
        <w:t xml:space="preserve">: </w:t>
      </w:r>
      <w:r w:rsidRPr="00951AB1">
        <w:rPr>
          <w:rFonts w:cs="Times New Roman"/>
          <w:szCs w:val="24"/>
        </w:rPr>
        <w:t>Para el año 2025, la Agencia Nacional de Infraestructura continúa con el Contrato Interadministrativo de Comodato No. CI-017 de 2019, celebrado con el Ministerio de Transporte, para el uso del vehículo Toyota Prado 3.0 Diesel blindado, con número de motor IKD2314236 y chasis JTEBH9FJOEK112729, por un valor de $7.602.740.</w:t>
      </w:r>
    </w:p>
    <w:p w14:paraId="28B030A1" w14:textId="77777777" w:rsidR="00D81C95" w:rsidRPr="00951AB1" w:rsidRDefault="00D81C95" w:rsidP="000A5389">
      <w:pPr>
        <w:spacing w:line="240" w:lineRule="auto"/>
        <w:ind w:right="-20"/>
        <w:rPr>
          <w:rFonts w:cs="Times New Roman"/>
          <w:szCs w:val="24"/>
        </w:rPr>
      </w:pPr>
    </w:p>
    <w:p w14:paraId="0A46610A" w14:textId="77777777" w:rsidR="00D81C95" w:rsidRPr="00951AB1" w:rsidRDefault="00D81C95" w:rsidP="000A5389">
      <w:pPr>
        <w:spacing w:line="240" w:lineRule="auto"/>
        <w:ind w:right="-20"/>
        <w:rPr>
          <w:rFonts w:cs="Times New Roman"/>
          <w:szCs w:val="24"/>
        </w:rPr>
      </w:pPr>
      <w:r w:rsidRPr="00951AB1">
        <w:rPr>
          <w:rFonts w:cs="Times New Roman"/>
          <w:szCs w:val="24"/>
        </w:rPr>
        <w:t>Igualmente, continua vigente el Acta de Inicio del 7 de junio de 2023, mediante la cual se formalizó el Contrato Interadministrativo No. VGCOR-552-2023, suscrito con el Ministerio de Transporte por un período de dos años, con un valor de $454.500.000. Este contrato contempla la transferencia de dos vehículos sin contraprestación para el uso del Ministerio, cuyas especificaciones son:</w:t>
      </w:r>
    </w:p>
    <w:p w14:paraId="49057A39" w14:textId="77777777" w:rsidR="00D81C95" w:rsidRPr="00951AB1" w:rsidRDefault="00D81C95" w:rsidP="000A5389">
      <w:pPr>
        <w:spacing w:line="240" w:lineRule="auto"/>
        <w:ind w:right="-20"/>
        <w:rPr>
          <w:rFonts w:cs="Times New Roman"/>
          <w:szCs w:val="24"/>
        </w:rPr>
      </w:pPr>
    </w:p>
    <w:p w14:paraId="722EC262" w14:textId="77777777" w:rsidR="00D81C95" w:rsidRPr="00951AB1" w:rsidRDefault="00D81C95" w:rsidP="000A5389">
      <w:pPr>
        <w:pStyle w:val="Prrafodelista"/>
        <w:numPr>
          <w:ilvl w:val="0"/>
          <w:numId w:val="66"/>
        </w:numPr>
        <w:spacing w:line="240" w:lineRule="auto"/>
        <w:ind w:right="-20"/>
        <w:rPr>
          <w:rFonts w:cs="Times New Roman"/>
          <w:szCs w:val="24"/>
        </w:rPr>
      </w:pPr>
      <w:r w:rsidRPr="00951AB1">
        <w:rPr>
          <w:rFonts w:cs="Times New Roman"/>
          <w:szCs w:val="24"/>
        </w:rPr>
        <w:t>Camioneta Toyota Fortuner 3.0 4x4 A/T Campero Wagon Mecánica Diesel, placa YBK-051, con un valor de $162.600.000.</w:t>
      </w:r>
    </w:p>
    <w:p w14:paraId="06E4161A" w14:textId="77777777" w:rsidR="00D81C95" w:rsidRPr="00951AB1" w:rsidRDefault="00D81C95" w:rsidP="000A5389">
      <w:pPr>
        <w:pStyle w:val="Prrafodelista"/>
        <w:numPr>
          <w:ilvl w:val="0"/>
          <w:numId w:val="66"/>
        </w:numPr>
        <w:spacing w:line="240" w:lineRule="auto"/>
        <w:ind w:right="-20"/>
        <w:rPr>
          <w:rFonts w:cs="Times New Roman"/>
          <w:szCs w:val="24"/>
        </w:rPr>
      </w:pPr>
      <w:r w:rsidRPr="00951AB1">
        <w:rPr>
          <w:rFonts w:cs="Times New Roman"/>
          <w:szCs w:val="24"/>
        </w:rPr>
        <w:t>Camioneta Toyota Fortuner 3.0 4x4 A/T Campero Wagon Mecánica Diesel Blindada, placa YBK-054, con un valor de $291.900.000.</w:t>
      </w:r>
    </w:p>
    <w:p w14:paraId="77309784" w14:textId="77777777" w:rsidR="00D81C95" w:rsidRPr="00951AB1" w:rsidRDefault="00D81C95" w:rsidP="000A5389">
      <w:pPr>
        <w:spacing w:line="240" w:lineRule="auto"/>
        <w:rPr>
          <w:rFonts w:cs="Times New Roman"/>
          <w:szCs w:val="24"/>
        </w:rPr>
      </w:pPr>
    </w:p>
    <w:p w14:paraId="1E31AC60" w14:textId="77777777" w:rsidR="00D81C95" w:rsidRPr="00951AB1" w:rsidRDefault="00D81C95" w:rsidP="000A5389">
      <w:pPr>
        <w:spacing w:line="240" w:lineRule="auto"/>
        <w:ind w:right="-93"/>
        <w:rPr>
          <w:rFonts w:cs="Times New Roman"/>
          <w:szCs w:val="24"/>
        </w:rPr>
      </w:pPr>
      <w:r w:rsidRPr="00951AB1">
        <w:rPr>
          <w:rFonts w:cs="Times New Roman"/>
          <w:szCs w:val="24"/>
        </w:rPr>
        <w:t>Se informa que, al cierre de la vigencia, no se registró deterioro acumulado durante la</w:t>
      </w:r>
      <w:r w:rsidR="004F4847" w:rsidRPr="00951AB1">
        <w:rPr>
          <w:rFonts w:cs="Times New Roman"/>
          <w:szCs w:val="24"/>
        </w:rPr>
        <w:t xml:space="preserve"> </w:t>
      </w:r>
      <w:r w:rsidRPr="00951AB1">
        <w:rPr>
          <w:rFonts w:cs="Times New Roman"/>
          <w:szCs w:val="24"/>
        </w:rPr>
        <w:t>vigencia.</w:t>
      </w:r>
    </w:p>
    <w:p w14:paraId="55DA1CE2" w14:textId="77777777" w:rsidR="00961F1F" w:rsidRPr="00951AB1" w:rsidRDefault="00961F1F" w:rsidP="000A5389">
      <w:pPr>
        <w:spacing w:line="240" w:lineRule="auto"/>
        <w:rPr>
          <w:rFonts w:cs="Times New Roman"/>
        </w:rPr>
      </w:pPr>
      <w:bookmarkStart w:id="322" w:name="_Toc191562517"/>
    </w:p>
    <w:p w14:paraId="49E830EA" w14:textId="28DF36CC" w:rsidR="00961F1F" w:rsidRPr="00951AB1" w:rsidRDefault="00774AB2" w:rsidP="000A5389">
      <w:pPr>
        <w:pStyle w:val="Ttulo2"/>
        <w:numPr>
          <w:ilvl w:val="1"/>
          <w:numId w:val="67"/>
        </w:numPr>
        <w:spacing w:line="240" w:lineRule="auto"/>
        <w:rPr>
          <w:rFonts w:cs="Times New Roman"/>
        </w:rPr>
      </w:pPr>
      <w:bookmarkStart w:id="323" w:name="_Toc191369510"/>
      <w:bookmarkStart w:id="324" w:name="_Toc191456840"/>
      <w:bookmarkStart w:id="325" w:name="_Toc191456950"/>
      <w:bookmarkStart w:id="326" w:name="_Toc191457060"/>
      <w:bookmarkStart w:id="327" w:name="_Toc191475687"/>
      <w:bookmarkStart w:id="328" w:name="_Toc191475796"/>
      <w:bookmarkStart w:id="329" w:name="_Toc191475905"/>
      <w:bookmarkStart w:id="330" w:name="_Toc191475428"/>
      <w:r w:rsidRPr="00951AB1">
        <w:rPr>
          <w:rFonts w:cs="Times New Roman"/>
        </w:rPr>
        <w:t xml:space="preserve">  </w:t>
      </w:r>
      <w:r w:rsidRPr="00951AB1">
        <w:rPr>
          <w:rFonts w:cs="Times New Roman"/>
        </w:rPr>
        <w:tab/>
      </w:r>
      <w:bookmarkStart w:id="331" w:name="_Toc222955482"/>
      <w:r w:rsidR="00961F1F" w:rsidRPr="00951AB1">
        <w:rPr>
          <w:rFonts w:cs="Times New Roman"/>
        </w:rPr>
        <w:t>Detalle saldos y movimientos PPE - Inmuebles</w:t>
      </w:r>
      <w:bookmarkEnd w:id="322"/>
      <w:bookmarkEnd w:id="323"/>
      <w:bookmarkEnd w:id="324"/>
      <w:bookmarkEnd w:id="325"/>
      <w:bookmarkEnd w:id="326"/>
      <w:bookmarkEnd w:id="327"/>
      <w:bookmarkEnd w:id="328"/>
      <w:bookmarkEnd w:id="329"/>
      <w:bookmarkEnd w:id="330"/>
      <w:bookmarkEnd w:id="331"/>
    </w:p>
    <w:p w14:paraId="6BA9554D" w14:textId="77777777" w:rsidR="00961F1F" w:rsidRPr="00951AB1" w:rsidRDefault="00961F1F" w:rsidP="000A5389">
      <w:pPr>
        <w:spacing w:line="240" w:lineRule="auto"/>
        <w:rPr>
          <w:rFonts w:cs="Times New Roman"/>
          <w:szCs w:val="24"/>
        </w:rPr>
      </w:pPr>
    </w:p>
    <w:p w14:paraId="5A3A5213" w14:textId="77777777" w:rsidR="00961F1F" w:rsidRPr="00951AB1" w:rsidRDefault="00961F1F" w:rsidP="000A5389">
      <w:pPr>
        <w:spacing w:line="240" w:lineRule="auto"/>
        <w:rPr>
          <w:rFonts w:cs="Times New Roman"/>
          <w:szCs w:val="24"/>
        </w:rPr>
      </w:pPr>
      <w:r w:rsidRPr="00951AB1">
        <w:rPr>
          <w:rFonts w:cs="Times New Roman"/>
          <w:szCs w:val="24"/>
        </w:rPr>
        <w:t>Los bienes inmuebles que se presentan en las propiedades, planta y equipo corresponden a bienes informados en virtud de la ejecución de los contratos de concesión. Para uso administrativo, se indica que la Agencia no posee inmuebles.</w:t>
      </w:r>
    </w:p>
    <w:p w14:paraId="0A6B7A59" w14:textId="77777777" w:rsidR="00961F1F" w:rsidRPr="00951AB1" w:rsidRDefault="00961F1F" w:rsidP="000A5389">
      <w:pPr>
        <w:spacing w:line="240" w:lineRule="auto"/>
        <w:rPr>
          <w:rFonts w:cs="Times New Roman"/>
          <w:szCs w:val="24"/>
        </w:rPr>
      </w:pPr>
    </w:p>
    <w:p w14:paraId="58415AD5" w14:textId="77777777" w:rsidR="00961F1F" w:rsidRPr="00951AB1" w:rsidRDefault="00961F1F" w:rsidP="000A5389">
      <w:pPr>
        <w:spacing w:line="240" w:lineRule="auto"/>
        <w:rPr>
          <w:rFonts w:cs="Times New Roman"/>
          <w:szCs w:val="24"/>
        </w:rPr>
      </w:pPr>
      <w:r w:rsidRPr="00951AB1">
        <w:rPr>
          <w:rFonts w:cs="Times New Roman"/>
          <w:szCs w:val="24"/>
        </w:rPr>
        <w:t>Detalle de los bienes inmuebles en concesión:</w:t>
      </w:r>
    </w:p>
    <w:p w14:paraId="26374CFE" w14:textId="13C873F2" w:rsidR="2C9F3575" w:rsidRPr="00951AB1" w:rsidRDefault="2C9F3575" w:rsidP="000A5389">
      <w:pPr>
        <w:spacing w:line="240" w:lineRule="auto"/>
        <w:rPr>
          <w:rFonts w:cs="Times New Roman"/>
          <w:szCs w:val="24"/>
        </w:rPr>
      </w:pPr>
    </w:p>
    <w:p w14:paraId="589AE7A0" w14:textId="77777777" w:rsidR="00D81C95" w:rsidRPr="00951AB1" w:rsidRDefault="00D81C95" w:rsidP="000A5389">
      <w:pPr>
        <w:spacing w:line="240" w:lineRule="auto"/>
        <w:jc w:val="center"/>
        <w:rPr>
          <w:rFonts w:cs="Times New Roman"/>
          <w:sz w:val="20"/>
          <w:szCs w:val="20"/>
          <w:lang w:eastAsia="es-CO"/>
        </w:rPr>
      </w:pPr>
      <w:r w:rsidRPr="00951AB1">
        <w:rPr>
          <w:rFonts w:cs="Times New Roman"/>
          <w:noProof/>
        </w:rPr>
        <w:fldChar w:fldCharType="begin"/>
      </w:r>
      <w:r w:rsidRPr="00951AB1">
        <w:rPr>
          <w:rFonts w:cs="Times New Roman"/>
          <w:noProof/>
        </w:rPr>
        <w:instrText xml:space="preserve"> LINK Excel.Sheet.12 "C:\\Users\\wolarte\\Documents\\0-Ani2025\\0_Cierre2025\\Nota_10\\Anexo N_10 - Propiedades, planta y equipo.XLSX" "10.2_conc!F4C2:F65C12" \a \f 4 \h  \* MERGEFORMAT </w:instrText>
      </w:r>
      <w:r w:rsidRPr="00951AB1">
        <w:rPr>
          <w:rFonts w:cs="Times New Roman"/>
          <w:noProof/>
        </w:rPr>
        <w:fldChar w:fldCharType="separate"/>
      </w:r>
    </w:p>
    <w:tbl>
      <w:tblPr>
        <w:tblW w:w="8925"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CellMar>
          <w:left w:w="70" w:type="dxa"/>
          <w:right w:w="70" w:type="dxa"/>
        </w:tblCellMar>
        <w:tblLook w:val="04A0" w:firstRow="1" w:lastRow="0" w:firstColumn="1" w:lastColumn="0" w:noHBand="0" w:noVBand="1"/>
      </w:tblPr>
      <w:tblGrid>
        <w:gridCol w:w="254"/>
        <w:gridCol w:w="253"/>
        <w:gridCol w:w="253"/>
        <w:gridCol w:w="4013"/>
        <w:gridCol w:w="1417"/>
        <w:gridCol w:w="1752"/>
        <w:gridCol w:w="1490"/>
      </w:tblGrid>
      <w:tr w:rsidR="00D81C95" w:rsidRPr="00951AB1" w14:paraId="2460226F" w14:textId="77777777" w:rsidTr="00014990">
        <w:trPr>
          <w:trHeight w:val="375"/>
          <w:tblHeader/>
        </w:trPr>
        <w:tc>
          <w:tcPr>
            <w:tcW w:w="4673" w:type="dxa"/>
            <w:gridSpan w:val="4"/>
            <w:vAlign w:val="center"/>
            <w:hideMark/>
          </w:tcPr>
          <w:p w14:paraId="49B4D0A6" w14:textId="77777777" w:rsidR="00D81C95" w:rsidRPr="00951AB1" w:rsidRDefault="00D81C95" w:rsidP="000A5389">
            <w:pPr>
              <w:spacing w:line="240" w:lineRule="auto"/>
              <w:jc w:val="center"/>
              <w:rPr>
                <w:rFonts w:eastAsia="Times New Roman" w:cs="Times New Roman"/>
                <w:b/>
                <w:bCs/>
                <w:sz w:val="20"/>
                <w:szCs w:val="20"/>
                <w:lang w:val="es-419" w:eastAsia="es-419"/>
              </w:rPr>
            </w:pPr>
            <w:r w:rsidRPr="00951AB1">
              <w:rPr>
                <w:rFonts w:eastAsia="Times New Roman" w:cs="Times New Roman"/>
                <w:b/>
                <w:bCs/>
                <w:sz w:val="20"/>
                <w:szCs w:val="20"/>
                <w:lang w:val="es-419" w:eastAsia="es-419"/>
              </w:rPr>
              <w:lastRenderedPageBreak/>
              <w:t>CONCEPTOS Y TRANSACCIONES</w:t>
            </w:r>
          </w:p>
        </w:tc>
        <w:tc>
          <w:tcPr>
            <w:tcW w:w="1417" w:type="dxa"/>
            <w:vAlign w:val="center"/>
            <w:hideMark/>
          </w:tcPr>
          <w:p w14:paraId="38B53CE2" w14:textId="77777777" w:rsidR="00D81C95" w:rsidRPr="00951AB1" w:rsidRDefault="00D81C95" w:rsidP="000A5389">
            <w:pPr>
              <w:spacing w:line="240" w:lineRule="auto"/>
              <w:jc w:val="center"/>
              <w:rPr>
                <w:rFonts w:eastAsia="Times New Roman" w:cs="Times New Roman"/>
                <w:b/>
                <w:bCs/>
                <w:sz w:val="20"/>
                <w:szCs w:val="20"/>
                <w:lang w:val="es-419" w:eastAsia="es-419"/>
              </w:rPr>
            </w:pPr>
            <w:r w:rsidRPr="00951AB1">
              <w:rPr>
                <w:rFonts w:eastAsia="Times New Roman" w:cs="Times New Roman"/>
                <w:b/>
                <w:bCs/>
                <w:sz w:val="20"/>
                <w:szCs w:val="20"/>
                <w:lang w:val="es-419" w:eastAsia="es-419"/>
              </w:rPr>
              <w:t>TERRENOS</w:t>
            </w:r>
          </w:p>
        </w:tc>
        <w:tc>
          <w:tcPr>
            <w:tcW w:w="1430" w:type="dxa"/>
            <w:vAlign w:val="center"/>
            <w:hideMark/>
          </w:tcPr>
          <w:p w14:paraId="1BED7602" w14:textId="77777777" w:rsidR="00D81C95" w:rsidRPr="00951AB1" w:rsidRDefault="00D81C95" w:rsidP="000A5389">
            <w:pPr>
              <w:spacing w:line="240" w:lineRule="auto"/>
              <w:jc w:val="center"/>
              <w:rPr>
                <w:rFonts w:eastAsia="Times New Roman" w:cs="Times New Roman"/>
                <w:b/>
                <w:bCs/>
                <w:sz w:val="20"/>
                <w:szCs w:val="20"/>
                <w:lang w:val="es-419" w:eastAsia="es-419"/>
              </w:rPr>
            </w:pPr>
            <w:r w:rsidRPr="00951AB1">
              <w:rPr>
                <w:rFonts w:eastAsia="Times New Roman" w:cs="Times New Roman"/>
                <w:b/>
                <w:bCs/>
                <w:sz w:val="20"/>
                <w:szCs w:val="20"/>
                <w:lang w:val="es-419" w:eastAsia="es-419"/>
              </w:rPr>
              <w:t>EDIFICACIONES</w:t>
            </w:r>
          </w:p>
        </w:tc>
        <w:tc>
          <w:tcPr>
            <w:tcW w:w="1405" w:type="dxa"/>
            <w:vAlign w:val="center"/>
            <w:hideMark/>
          </w:tcPr>
          <w:p w14:paraId="7FD4DE46" w14:textId="77777777" w:rsidR="00D81C95" w:rsidRPr="00951AB1" w:rsidRDefault="00D81C95" w:rsidP="000A5389">
            <w:pPr>
              <w:spacing w:line="240" w:lineRule="auto"/>
              <w:jc w:val="center"/>
              <w:rPr>
                <w:rFonts w:eastAsia="Times New Roman" w:cs="Times New Roman"/>
                <w:b/>
                <w:bCs/>
                <w:sz w:val="20"/>
                <w:szCs w:val="20"/>
                <w:lang w:val="es-419" w:eastAsia="es-419"/>
              </w:rPr>
            </w:pPr>
            <w:r w:rsidRPr="00951AB1">
              <w:rPr>
                <w:rFonts w:eastAsia="Times New Roman" w:cs="Times New Roman"/>
                <w:b/>
                <w:bCs/>
                <w:sz w:val="20"/>
                <w:szCs w:val="20"/>
                <w:lang w:val="es-419" w:eastAsia="es-419"/>
              </w:rPr>
              <w:t>TOTAL</w:t>
            </w:r>
          </w:p>
        </w:tc>
      </w:tr>
      <w:tr w:rsidR="00D81C95" w:rsidRPr="00951AB1" w14:paraId="7EE092D8" w14:textId="77777777" w:rsidTr="00774AB2">
        <w:trPr>
          <w:trHeight w:val="290"/>
        </w:trPr>
        <w:tc>
          <w:tcPr>
            <w:tcW w:w="4673" w:type="dxa"/>
            <w:gridSpan w:val="4"/>
            <w:vAlign w:val="center"/>
            <w:hideMark/>
          </w:tcPr>
          <w:p w14:paraId="1715D1AC" w14:textId="77777777" w:rsidR="00D81C95" w:rsidRPr="00951AB1" w:rsidRDefault="00D81C95" w:rsidP="000A5389">
            <w:pPr>
              <w:spacing w:line="240" w:lineRule="auto"/>
              <w:rPr>
                <w:rFonts w:eastAsia="Times New Roman" w:cs="Times New Roman"/>
                <w:b/>
                <w:bCs/>
                <w:color w:val="000000"/>
                <w:sz w:val="20"/>
                <w:szCs w:val="20"/>
                <w:lang w:val="es-419" w:eastAsia="es-419"/>
              </w:rPr>
            </w:pPr>
            <w:r w:rsidRPr="00951AB1">
              <w:rPr>
                <w:rFonts w:eastAsia="Times New Roman" w:cs="Times New Roman"/>
                <w:b/>
                <w:bCs/>
                <w:color w:val="000000"/>
                <w:sz w:val="20"/>
                <w:szCs w:val="20"/>
                <w:lang w:val="es-419" w:eastAsia="es-419"/>
              </w:rPr>
              <w:t>SALDO INICIAL (01-ene)</w:t>
            </w:r>
          </w:p>
        </w:tc>
        <w:tc>
          <w:tcPr>
            <w:tcW w:w="1417" w:type="dxa"/>
            <w:noWrap/>
            <w:vAlign w:val="center"/>
            <w:hideMark/>
          </w:tcPr>
          <w:p w14:paraId="3B1962B1" w14:textId="77777777" w:rsidR="00D81C95" w:rsidRPr="00951AB1" w:rsidRDefault="00D81C95" w:rsidP="000A5389">
            <w:pPr>
              <w:spacing w:line="240" w:lineRule="auto"/>
              <w:jc w:val="right"/>
              <w:rPr>
                <w:rFonts w:eastAsia="Times New Roman" w:cs="Times New Roman"/>
                <w:b/>
                <w:bCs/>
                <w:color w:val="000000"/>
                <w:sz w:val="20"/>
                <w:szCs w:val="20"/>
                <w:lang w:val="es-419" w:eastAsia="es-419"/>
              </w:rPr>
            </w:pPr>
            <w:r w:rsidRPr="00951AB1">
              <w:rPr>
                <w:rFonts w:eastAsia="Times New Roman" w:cs="Times New Roman"/>
                <w:b/>
                <w:bCs/>
                <w:color w:val="000000"/>
                <w:sz w:val="20"/>
                <w:szCs w:val="20"/>
                <w:lang w:val="es-419" w:eastAsia="es-419"/>
              </w:rPr>
              <w:t xml:space="preserve">52.513.513.120 </w:t>
            </w:r>
          </w:p>
        </w:tc>
        <w:tc>
          <w:tcPr>
            <w:tcW w:w="1430" w:type="dxa"/>
            <w:noWrap/>
            <w:vAlign w:val="center"/>
            <w:hideMark/>
          </w:tcPr>
          <w:p w14:paraId="57EBE469" w14:textId="77777777" w:rsidR="00D81C95" w:rsidRPr="00951AB1" w:rsidRDefault="00D81C95" w:rsidP="000A5389">
            <w:pPr>
              <w:spacing w:line="240" w:lineRule="auto"/>
              <w:jc w:val="right"/>
              <w:rPr>
                <w:rFonts w:eastAsia="Times New Roman" w:cs="Times New Roman"/>
                <w:b/>
                <w:bCs/>
                <w:color w:val="000000"/>
                <w:sz w:val="20"/>
                <w:szCs w:val="20"/>
                <w:lang w:val="es-419" w:eastAsia="es-419"/>
              </w:rPr>
            </w:pPr>
            <w:r w:rsidRPr="00951AB1">
              <w:rPr>
                <w:rFonts w:eastAsia="Times New Roman" w:cs="Times New Roman"/>
                <w:b/>
                <w:bCs/>
                <w:color w:val="000000"/>
                <w:sz w:val="20"/>
                <w:szCs w:val="20"/>
                <w:lang w:val="es-419" w:eastAsia="es-419"/>
              </w:rPr>
              <w:t xml:space="preserve">85.406.841.981 </w:t>
            </w:r>
          </w:p>
        </w:tc>
        <w:tc>
          <w:tcPr>
            <w:tcW w:w="1405" w:type="dxa"/>
            <w:noWrap/>
            <w:vAlign w:val="center"/>
            <w:hideMark/>
          </w:tcPr>
          <w:p w14:paraId="0FA66E42" w14:textId="77777777" w:rsidR="00D81C95" w:rsidRPr="00951AB1" w:rsidRDefault="00D81C95" w:rsidP="000A5389">
            <w:pPr>
              <w:spacing w:line="240" w:lineRule="auto"/>
              <w:jc w:val="right"/>
              <w:rPr>
                <w:rFonts w:eastAsia="Times New Roman" w:cs="Times New Roman"/>
                <w:b/>
                <w:bCs/>
                <w:color w:val="000000"/>
                <w:sz w:val="20"/>
                <w:szCs w:val="20"/>
                <w:lang w:val="es-419" w:eastAsia="es-419"/>
              </w:rPr>
            </w:pPr>
            <w:r w:rsidRPr="00951AB1">
              <w:rPr>
                <w:rFonts w:eastAsia="Times New Roman" w:cs="Times New Roman"/>
                <w:b/>
                <w:bCs/>
                <w:color w:val="000000"/>
                <w:sz w:val="20"/>
                <w:szCs w:val="20"/>
                <w:lang w:val="es-419" w:eastAsia="es-419"/>
              </w:rPr>
              <w:t xml:space="preserve">137.920.355.101 </w:t>
            </w:r>
          </w:p>
        </w:tc>
      </w:tr>
      <w:tr w:rsidR="00D81C95" w:rsidRPr="00951AB1" w14:paraId="1B0AD26F" w14:textId="77777777" w:rsidTr="00774AB2">
        <w:trPr>
          <w:trHeight w:val="290"/>
        </w:trPr>
        <w:tc>
          <w:tcPr>
            <w:tcW w:w="220" w:type="dxa"/>
            <w:noWrap/>
            <w:vAlign w:val="center"/>
            <w:hideMark/>
          </w:tcPr>
          <w:p w14:paraId="086E6381" w14:textId="77777777" w:rsidR="00D81C95" w:rsidRPr="00951AB1" w:rsidRDefault="00D81C95" w:rsidP="000A5389">
            <w:pPr>
              <w:spacing w:line="240" w:lineRule="auto"/>
              <w:jc w:val="center"/>
              <w:rPr>
                <w:rFonts w:eastAsia="Times New Roman" w:cs="Times New Roman"/>
                <w:b/>
                <w:bCs/>
                <w:color w:val="000000"/>
                <w:sz w:val="20"/>
                <w:szCs w:val="20"/>
                <w:lang w:val="es-419" w:eastAsia="es-419"/>
              </w:rPr>
            </w:pPr>
            <w:r w:rsidRPr="00951AB1">
              <w:rPr>
                <w:rFonts w:eastAsia="Times New Roman" w:cs="Times New Roman"/>
                <w:b/>
                <w:bCs/>
                <w:color w:val="000000"/>
                <w:sz w:val="20"/>
                <w:szCs w:val="20"/>
                <w:lang w:val="es-419" w:eastAsia="es-419"/>
              </w:rPr>
              <w:t>-</w:t>
            </w:r>
          </w:p>
        </w:tc>
        <w:tc>
          <w:tcPr>
            <w:tcW w:w="4453" w:type="dxa"/>
            <w:gridSpan w:val="3"/>
            <w:vAlign w:val="center"/>
            <w:hideMark/>
          </w:tcPr>
          <w:p w14:paraId="0DEC093C" w14:textId="77777777" w:rsidR="00D81C95" w:rsidRPr="00951AB1" w:rsidRDefault="00D81C95" w:rsidP="000A5389">
            <w:pPr>
              <w:spacing w:line="240" w:lineRule="auto"/>
              <w:rPr>
                <w:rFonts w:eastAsia="Times New Roman" w:cs="Times New Roman"/>
                <w:b/>
                <w:bCs/>
                <w:color w:val="000000"/>
                <w:sz w:val="20"/>
                <w:szCs w:val="20"/>
                <w:lang w:val="es-419" w:eastAsia="es-419"/>
              </w:rPr>
            </w:pPr>
            <w:r w:rsidRPr="00951AB1">
              <w:rPr>
                <w:rFonts w:eastAsia="Times New Roman" w:cs="Times New Roman"/>
                <w:b/>
                <w:bCs/>
                <w:color w:val="000000"/>
                <w:sz w:val="20"/>
                <w:szCs w:val="20"/>
                <w:lang w:val="es-419" w:eastAsia="es-419"/>
              </w:rPr>
              <w:t>SALIDAS (CR):</w:t>
            </w:r>
          </w:p>
        </w:tc>
        <w:tc>
          <w:tcPr>
            <w:tcW w:w="1417" w:type="dxa"/>
            <w:noWrap/>
            <w:vAlign w:val="center"/>
            <w:hideMark/>
          </w:tcPr>
          <w:p w14:paraId="332AED35" w14:textId="77777777" w:rsidR="00D81C95" w:rsidRPr="00951AB1" w:rsidRDefault="00D81C95" w:rsidP="000A5389">
            <w:pPr>
              <w:spacing w:line="240" w:lineRule="auto"/>
              <w:jc w:val="right"/>
              <w:rPr>
                <w:rFonts w:eastAsia="Times New Roman" w:cs="Times New Roman"/>
                <w:b/>
                <w:bCs/>
                <w:color w:val="000000"/>
                <w:sz w:val="20"/>
                <w:szCs w:val="20"/>
                <w:lang w:val="es-419" w:eastAsia="es-419"/>
              </w:rPr>
            </w:pPr>
            <w:r w:rsidRPr="00951AB1">
              <w:rPr>
                <w:rFonts w:eastAsia="Times New Roman" w:cs="Times New Roman"/>
                <w:b/>
                <w:bCs/>
                <w:color w:val="000000"/>
                <w:sz w:val="20"/>
                <w:szCs w:val="20"/>
                <w:lang w:val="es-419" w:eastAsia="es-419"/>
              </w:rPr>
              <w:t xml:space="preserve">0 </w:t>
            </w:r>
          </w:p>
        </w:tc>
        <w:tc>
          <w:tcPr>
            <w:tcW w:w="1430" w:type="dxa"/>
            <w:noWrap/>
            <w:vAlign w:val="center"/>
            <w:hideMark/>
          </w:tcPr>
          <w:p w14:paraId="10DADCC1" w14:textId="77777777" w:rsidR="00D81C95" w:rsidRPr="00951AB1" w:rsidRDefault="00D81C95" w:rsidP="000A5389">
            <w:pPr>
              <w:spacing w:line="240" w:lineRule="auto"/>
              <w:jc w:val="right"/>
              <w:rPr>
                <w:rFonts w:eastAsia="Times New Roman" w:cs="Times New Roman"/>
                <w:b/>
                <w:bCs/>
                <w:color w:val="000000"/>
                <w:sz w:val="20"/>
                <w:szCs w:val="20"/>
                <w:lang w:val="es-419" w:eastAsia="es-419"/>
              </w:rPr>
            </w:pPr>
            <w:r w:rsidRPr="00951AB1">
              <w:rPr>
                <w:rFonts w:eastAsia="Times New Roman" w:cs="Times New Roman"/>
                <w:b/>
                <w:bCs/>
                <w:color w:val="000000"/>
                <w:sz w:val="20"/>
                <w:szCs w:val="20"/>
                <w:lang w:val="es-419" w:eastAsia="es-419"/>
              </w:rPr>
              <w:t xml:space="preserve">607.989.357 </w:t>
            </w:r>
          </w:p>
        </w:tc>
        <w:tc>
          <w:tcPr>
            <w:tcW w:w="1405" w:type="dxa"/>
            <w:noWrap/>
            <w:vAlign w:val="center"/>
            <w:hideMark/>
          </w:tcPr>
          <w:p w14:paraId="37538B11" w14:textId="77777777" w:rsidR="00D81C95" w:rsidRPr="00951AB1" w:rsidRDefault="00D81C95" w:rsidP="000A5389">
            <w:pPr>
              <w:spacing w:line="240" w:lineRule="auto"/>
              <w:jc w:val="right"/>
              <w:rPr>
                <w:rFonts w:eastAsia="Times New Roman" w:cs="Times New Roman"/>
                <w:b/>
                <w:bCs/>
                <w:color w:val="000000"/>
                <w:sz w:val="20"/>
                <w:szCs w:val="20"/>
                <w:lang w:val="es-419" w:eastAsia="es-419"/>
              </w:rPr>
            </w:pPr>
            <w:r w:rsidRPr="00951AB1">
              <w:rPr>
                <w:rFonts w:eastAsia="Times New Roman" w:cs="Times New Roman"/>
                <w:b/>
                <w:bCs/>
                <w:color w:val="000000"/>
                <w:sz w:val="20"/>
                <w:szCs w:val="20"/>
                <w:lang w:val="es-419" w:eastAsia="es-419"/>
              </w:rPr>
              <w:t xml:space="preserve">607.989.357 </w:t>
            </w:r>
          </w:p>
        </w:tc>
      </w:tr>
      <w:tr w:rsidR="00D81C95" w:rsidRPr="00951AB1" w14:paraId="5D51ADE1" w14:textId="77777777" w:rsidTr="00774AB2">
        <w:trPr>
          <w:trHeight w:val="290"/>
        </w:trPr>
        <w:tc>
          <w:tcPr>
            <w:tcW w:w="220" w:type="dxa"/>
            <w:noWrap/>
            <w:vAlign w:val="center"/>
            <w:hideMark/>
          </w:tcPr>
          <w:p w14:paraId="0937BC34" w14:textId="77777777" w:rsidR="00D81C95" w:rsidRPr="00951AB1" w:rsidRDefault="00D81C95" w:rsidP="000A5389">
            <w:pPr>
              <w:spacing w:line="240" w:lineRule="auto"/>
              <w:rPr>
                <w:rFonts w:eastAsia="Times New Roman" w:cs="Times New Roman"/>
                <w:color w:val="000000"/>
                <w:sz w:val="20"/>
                <w:szCs w:val="20"/>
                <w:lang w:val="es-419" w:eastAsia="es-419"/>
              </w:rPr>
            </w:pPr>
            <w:r w:rsidRPr="00951AB1">
              <w:rPr>
                <w:rFonts w:eastAsia="Times New Roman" w:cs="Times New Roman"/>
                <w:color w:val="000000"/>
                <w:sz w:val="20"/>
                <w:szCs w:val="20"/>
                <w:lang w:val="es-419" w:eastAsia="es-419"/>
              </w:rPr>
              <w:t> </w:t>
            </w:r>
          </w:p>
        </w:tc>
        <w:tc>
          <w:tcPr>
            <w:tcW w:w="220" w:type="dxa"/>
            <w:noWrap/>
            <w:vAlign w:val="center"/>
            <w:hideMark/>
          </w:tcPr>
          <w:p w14:paraId="3A3BBC21" w14:textId="77777777" w:rsidR="00D81C95" w:rsidRPr="00951AB1" w:rsidRDefault="00D81C95" w:rsidP="000A5389">
            <w:pPr>
              <w:spacing w:line="240" w:lineRule="auto"/>
              <w:rPr>
                <w:rFonts w:eastAsia="Times New Roman" w:cs="Times New Roman"/>
                <w:color w:val="000000"/>
                <w:sz w:val="20"/>
                <w:szCs w:val="20"/>
                <w:lang w:val="es-419" w:eastAsia="es-419"/>
              </w:rPr>
            </w:pPr>
            <w:r w:rsidRPr="00951AB1">
              <w:rPr>
                <w:rFonts w:eastAsia="Times New Roman" w:cs="Times New Roman"/>
                <w:color w:val="000000"/>
                <w:sz w:val="20"/>
                <w:szCs w:val="20"/>
                <w:lang w:val="es-419" w:eastAsia="es-419"/>
              </w:rPr>
              <w:t> </w:t>
            </w:r>
          </w:p>
        </w:tc>
        <w:tc>
          <w:tcPr>
            <w:tcW w:w="4233" w:type="dxa"/>
            <w:gridSpan w:val="2"/>
            <w:noWrap/>
            <w:vAlign w:val="center"/>
            <w:hideMark/>
          </w:tcPr>
          <w:p w14:paraId="20AD2265" w14:textId="77777777" w:rsidR="00D81C95" w:rsidRPr="00951AB1" w:rsidRDefault="00D81C95" w:rsidP="000A5389">
            <w:pPr>
              <w:spacing w:line="240" w:lineRule="auto"/>
              <w:rPr>
                <w:rFonts w:eastAsia="Times New Roman" w:cs="Times New Roman"/>
                <w:color w:val="000000"/>
                <w:sz w:val="20"/>
                <w:szCs w:val="20"/>
                <w:lang w:val="es-419" w:eastAsia="es-419"/>
              </w:rPr>
            </w:pPr>
            <w:r w:rsidRPr="00951AB1">
              <w:rPr>
                <w:rFonts w:eastAsia="Times New Roman" w:cs="Times New Roman"/>
                <w:color w:val="000000"/>
                <w:sz w:val="20"/>
                <w:szCs w:val="20"/>
                <w:lang w:val="es-419" w:eastAsia="es-419"/>
              </w:rPr>
              <w:t>Otras salidas de bienes muebles</w:t>
            </w:r>
          </w:p>
        </w:tc>
        <w:tc>
          <w:tcPr>
            <w:tcW w:w="1417" w:type="dxa"/>
            <w:noWrap/>
            <w:vAlign w:val="center"/>
            <w:hideMark/>
          </w:tcPr>
          <w:p w14:paraId="2D0D3F74" w14:textId="77777777" w:rsidR="00D81C95" w:rsidRPr="00951AB1" w:rsidRDefault="00D81C95" w:rsidP="000A5389">
            <w:pPr>
              <w:spacing w:line="240" w:lineRule="auto"/>
              <w:jc w:val="right"/>
              <w:rPr>
                <w:rFonts w:eastAsia="Times New Roman" w:cs="Times New Roman"/>
                <w:color w:val="000000"/>
                <w:sz w:val="20"/>
                <w:szCs w:val="20"/>
                <w:lang w:val="es-419" w:eastAsia="es-419"/>
              </w:rPr>
            </w:pPr>
            <w:r w:rsidRPr="00951AB1">
              <w:rPr>
                <w:rFonts w:eastAsia="Times New Roman" w:cs="Times New Roman"/>
                <w:color w:val="000000"/>
                <w:sz w:val="20"/>
                <w:szCs w:val="20"/>
                <w:lang w:val="es-419" w:eastAsia="es-419"/>
              </w:rPr>
              <w:t xml:space="preserve">0 </w:t>
            </w:r>
          </w:p>
        </w:tc>
        <w:tc>
          <w:tcPr>
            <w:tcW w:w="1430" w:type="dxa"/>
            <w:noWrap/>
            <w:vAlign w:val="center"/>
            <w:hideMark/>
          </w:tcPr>
          <w:p w14:paraId="704818E8" w14:textId="77777777" w:rsidR="00D81C95" w:rsidRPr="00951AB1" w:rsidRDefault="00D81C95" w:rsidP="000A5389">
            <w:pPr>
              <w:spacing w:line="240" w:lineRule="auto"/>
              <w:jc w:val="right"/>
              <w:rPr>
                <w:rFonts w:eastAsia="Times New Roman" w:cs="Times New Roman"/>
                <w:color w:val="000000"/>
                <w:sz w:val="20"/>
                <w:szCs w:val="20"/>
                <w:lang w:val="es-419" w:eastAsia="es-419"/>
              </w:rPr>
            </w:pPr>
            <w:r w:rsidRPr="00951AB1">
              <w:rPr>
                <w:rFonts w:eastAsia="Times New Roman" w:cs="Times New Roman"/>
                <w:color w:val="000000"/>
                <w:sz w:val="20"/>
                <w:szCs w:val="20"/>
                <w:lang w:val="es-419" w:eastAsia="es-419"/>
              </w:rPr>
              <w:t xml:space="preserve">607.989.357 </w:t>
            </w:r>
          </w:p>
        </w:tc>
        <w:tc>
          <w:tcPr>
            <w:tcW w:w="1405" w:type="dxa"/>
            <w:noWrap/>
            <w:vAlign w:val="center"/>
            <w:hideMark/>
          </w:tcPr>
          <w:p w14:paraId="18F07F55" w14:textId="77777777" w:rsidR="00D81C95" w:rsidRPr="00951AB1" w:rsidRDefault="00D81C95" w:rsidP="000A5389">
            <w:pPr>
              <w:spacing w:line="240" w:lineRule="auto"/>
              <w:jc w:val="right"/>
              <w:rPr>
                <w:rFonts w:eastAsia="Times New Roman" w:cs="Times New Roman"/>
                <w:color w:val="000000"/>
                <w:sz w:val="20"/>
                <w:szCs w:val="20"/>
                <w:lang w:val="es-419" w:eastAsia="es-419"/>
              </w:rPr>
            </w:pPr>
            <w:r w:rsidRPr="00951AB1">
              <w:rPr>
                <w:rFonts w:eastAsia="Times New Roman" w:cs="Times New Roman"/>
                <w:color w:val="000000"/>
                <w:sz w:val="20"/>
                <w:szCs w:val="20"/>
                <w:lang w:val="es-419" w:eastAsia="es-419"/>
              </w:rPr>
              <w:t xml:space="preserve">607.989.357 </w:t>
            </w:r>
          </w:p>
        </w:tc>
      </w:tr>
      <w:tr w:rsidR="00D81C95" w:rsidRPr="00951AB1" w14:paraId="62C5FD16" w14:textId="77777777" w:rsidTr="00774AB2">
        <w:trPr>
          <w:trHeight w:val="290"/>
        </w:trPr>
        <w:tc>
          <w:tcPr>
            <w:tcW w:w="220" w:type="dxa"/>
            <w:noWrap/>
            <w:vAlign w:val="center"/>
            <w:hideMark/>
          </w:tcPr>
          <w:p w14:paraId="21886DF4" w14:textId="77777777" w:rsidR="00D81C95" w:rsidRPr="00951AB1" w:rsidRDefault="00D81C95" w:rsidP="000A5389">
            <w:pPr>
              <w:spacing w:line="240" w:lineRule="auto"/>
              <w:rPr>
                <w:rFonts w:eastAsia="Times New Roman" w:cs="Times New Roman"/>
                <w:color w:val="000000"/>
                <w:sz w:val="20"/>
                <w:szCs w:val="20"/>
                <w:lang w:val="es-419" w:eastAsia="es-419"/>
              </w:rPr>
            </w:pPr>
            <w:r w:rsidRPr="00951AB1">
              <w:rPr>
                <w:rFonts w:eastAsia="Times New Roman" w:cs="Times New Roman"/>
                <w:color w:val="000000"/>
                <w:sz w:val="20"/>
                <w:szCs w:val="20"/>
                <w:lang w:val="es-419" w:eastAsia="es-419"/>
              </w:rPr>
              <w:t> </w:t>
            </w:r>
          </w:p>
        </w:tc>
        <w:tc>
          <w:tcPr>
            <w:tcW w:w="220" w:type="dxa"/>
            <w:noWrap/>
            <w:vAlign w:val="center"/>
            <w:hideMark/>
          </w:tcPr>
          <w:p w14:paraId="09EEDB9F" w14:textId="77777777" w:rsidR="00D81C95" w:rsidRPr="00951AB1" w:rsidRDefault="00D81C95" w:rsidP="000A5389">
            <w:pPr>
              <w:spacing w:line="240" w:lineRule="auto"/>
              <w:rPr>
                <w:rFonts w:eastAsia="Times New Roman" w:cs="Times New Roman"/>
                <w:color w:val="000000"/>
                <w:sz w:val="20"/>
                <w:szCs w:val="20"/>
                <w:lang w:val="es-419" w:eastAsia="es-419"/>
              </w:rPr>
            </w:pPr>
            <w:r w:rsidRPr="00951AB1">
              <w:rPr>
                <w:rFonts w:eastAsia="Times New Roman" w:cs="Times New Roman"/>
                <w:color w:val="000000"/>
                <w:sz w:val="20"/>
                <w:szCs w:val="20"/>
                <w:lang w:val="es-419" w:eastAsia="es-419"/>
              </w:rPr>
              <w:t> </w:t>
            </w:r>
          </w:p>
        </w:tc>
        <w:tc>
          <w:tcPr>
            <w:tcW w:w="220" w:type="dxa"/>
            <w:noWrap/>
            <w:vAlign w:val="center"/>
            <w:hideMark/>
          </w:tcPr>
          <w:p w14:paraId="2B6C1C29" w14:textId="77777777" w:rsidR="00D81C95" w:rsidRPr="00951AB1" w:rsidRDefault="00D81C95" w:rsidP="000A5389">
            <w:pPr>
              <w:spacing w:line="240" w:lineRule="auto"/>
              <w:rPr>
                <w:rFonts w:eastAsia="Times New Roman" w:cs="Times New Roman"/>
                <w:color w:val="000000"/>
                <w:sz w:val="20"/>
                <w:szCs w:val="20"/>
                <w:lang w:val="es-419" w:eastAsia="es-419"/>
              </w:rPr>
            </w:pPr>
            <w:r w:rsidRPr="00951AB1">
              <w:rPr>
                <w:rFonts w:eastAsia="Times New Roman" w:cs="Times New Roman"/>
                <w:color w:val="000000"/>
                <w:sz w:val="20"/>
                <w:szCs w:val="20"/>
                <w:lang w:val="es-419" w:eastAsia="es-419"/>
              </w:rPr>
              <w:t> </w:t>
            </w:r>
          </w:p>
        </w:tc>
        <w:tc>
          <w:tcPr>
            <w:tcW w:w="4013" w:type="dxa"/>
            <w:vAlign w:val="center"/>
            <w:hideMark/>
          </w:tcPr>
          <w:p w14:paraId="6D81099D" w14:textId="77777777" w:rsidR="00D81C95" w:rsidRPr="00951AB1" w:rsidRDefault="00D81C95" w:rsidP="000A5389">
            <w:pPr>
              <w:spacing w:line="240" w:lineRule="auto"/>
              <w:rPr>
                <w:rFonts w:eastAsia="Times New Roman" w:cs="Times New Roman"/>
                <w:color w:val="000000"/>
                <w:sz w:val="20"/>
                <w:szCs w:val="20"/>
                <w:lang w:val="es-419" w:eastAsia="es-419"/>
              </w:rPr>
            </w:pPr>
            <w:r w:rsidRPr="00951AB1">
              <w:rPr>
                <w:rFonts w:eastAsia="Times New Roman" w:cs="Times New Roman"/>
                <w:color w:val="000000"/>
                <w:sz w:val="20"/>
                <w:szCs w:val="20"/>
                <w:lang w:val="es-419" w:eastAsia="es-419"/>
              </w:rPr>
              <w:t>* Modo Carretero (Reversiones)</w:t>
            </w:r>
          </w:p>
        </w:tc>
        <w:tc>
          <w:tcPr>
            <w:tcW w:w="1417" w:type="dxa"/>
            <w:noWrap/>
            <w:vAlign w:val="center"/>
            <w:hideMark/>
          </w:tcPr>
          <w:p w14:paraId="0A5AB922" w14:textId="77777777" w:rsidR="00D81C95" w:rsidRPr="00951AB1" w:rsidRDefault="00D81C95" w:rsidP="000A5389">
            <w:pPr>
              <w:spacing w:line="240" w:lineRule="auto"/>
              <w:jc w:val="right"/>
              <w:rPr>
                <w:rFonts w:eastAsia="Times New Roman" w:cs="Times New Roman"/>
                <w:color w:val="000000"/>
                <w:sz w:val="20"/>
                <w:szCs w:val="20"/>
                <w:lang w:val="es-419" w:eastAsia="es-419"/>
              </w:rPr>
            </w:pPr>
            <w:r w:rsidRPr="00951AB1">
              <w:rPr>
                <w:rFonts w:eastAsia="Times New Roman" w:cs="Times New Roman"/>
                <w:color w:val="000000"/>
                <w:sz w:val="20"/>
                <w:szCs w:val="20"/>
                <w:lang w:val="es-419" w:eastAsia="es-419"/>
              </w:rPr>
              <w:t xml:space="preserve">0 </w:t>
            </w:r>
          </w:p>
        </w:tc>
        <w:tc>
          <w:tcPr>
            <w:tcW w:w="1430" w:type="dxa"/>
            <w:noWrap/>
            <w:vAlign w:val="center"/>
            <w:hideMark/>
          </w:tcPr>
          <w:p w14:paraId="557D12CF" w14:textId="77777777" w:rsidR="00D81C95" w:rsidRPr="00951AB1" w:rsidRDefault="00D81C95" w:rsidP="000A5389">
            <w:pPr>
              <w:spacing w:line="240" w:lineRule="auto"/>
              <w:jc w:val="right"/>
              <w:rPr>
                <w:rFonts w:eastAsia="Times New Roman" w:cs="Times New Roman"/>
                <w:color w:val="000000"/>
                <w:sz w:val="20"/>
                <w:szCs w:val="20"/>
                <w:lang w:val="es-419" w:eastAsia="es-419"/>
              </w:rPr>
            </w:pPr>
            <w:r w:rsidRPr="00951AB1">
              <w:rPr>
                <w:rFonts w:eastAsia="Times New Roman" w:cs="Times New Roman"/>
                <w:color w:val="000000"/>
                <w:sz w:val="20"/>
                <w:szCs w:val="20"/>
                <w:lang w:val="es-419" w:eastAsia="es-419"/>
              </w:rPr>
              <w:t xml:space="preserve">607.989.357 </w:t>
            </w:r>
          </w:p>
        </w:tc>
        <w:tc>
          <w:tcPr>
            <w:tcW w:w="1405" w:type="dxa"/>
            <w:noWrap/>
            <w:vAlign w:val="center"/>
            <w:hideMark/>
          </w:tcPr>
          <w:p w14:paraId="3A4777A6" w14:textId="77777777" w:rsidR="00D81C95" w:rsidRPr="00951AB1" w:rsidRDefault="00D81C95" w:rsidP="000A5389">
            <w:pPr>
              <w:spacing w:line="240" w:lineRule="auto"/>
              <w:jc w:val="right"/>
              <w:rPr>
                <w:rFonts w:eastAsia="Times New Roman" w:cs="Times New Roman"/>
                <w:color w:val="000000"/>
                <w:sz w:val="20"/>
                <w:szCs w:val="20"/>
                <w:lang w:val="es-419" w:eastAsia="es-419"/>
              </w:rPr>
            </w:pPr>
            <w:r w:rsidRPr="00951AB1">
              <w:rPr>
                <w:rFonts w:eastAsia="Times New Roman" w:cs="Times New Roman"/>
                <w:color w:val="000000"/>
                <w:sz w:val="20"/>
                <w:szCs w:val="20"/>
                <w:lang w:val="es-419" w:eastAsia="es-419"/>
              </w:rPr>
              <w:t xml:space="preserve">607.989.357 </w:t>
            </w:r>
          </w:p>
        </w:tc>
      </w:tr>
      <w:tr w:rsidR="00D81C95" w:rsidRPr="00951AB1" w14:paraId="7726993A" w14:textId="77777777" w:rsidTr="00774AB2">
        <w:trPr>
          <w:trHeight w:val="600"/>
        </w:trPr>
        <w:tc>
          <w:tcPr>
            <w:tcW w:w="220" w:type="dxa"/>
            <w:noWrap/>
            <w:vAlign w:val="center"/>
            <w:hideMark/>
          </w:tcPr>
          <w:p w14:paraId="608B1067" w14:textId="77777777" w:rsidR="00D81C95" w:rsidRPr="00951AB1" w:rsidRDefault="00D81C95" w:rsidP="000A5389">
            <w:pPr>
              <w:spacing w:line="240" w:lineRule="auto"/>
              <w:jc w:val="center"/>
              <w:rPr>
                <w:rFonts w:eastAsia="Times New Roman" w:cs="Times New Roman"/>
                <w:b/>
                <w:bCs/>
                <w:color w:val="000000"/>
                <w:sz w:val="20"/>
                <w:szCs w:val="20"/>
                <w:lang w:val="es-419" w:eastAsia="es-419"/>
              </w:rPr>
            </w:pPr>
            <w:r w:rsidRPr="00951AB1">
              <w:rPr>
                <w:rFonts w:eastAsia="Times New Roman" w:cs="Times New Roman"/>
                <w:b/>
                <w:bCs/>
                <w:color w:val="000000"/>
                <w:sz w:val="20"/>
                <w:szCs w:val="20"/>
                <w:lang w:val="es-419" w:eastAsia="es-419"/>
              </w:rPr>
              <w:t>=</w:t>
            </w:r>
          </w:p>
        </w:tc>
        <w:tc>
          <w:tcPr>
            <w:tcW w:w="4453" w:type="dxa"/>
            <w:gridSpan w:val="3"/>
            <w:vAlign w:val="center"/>
            <w:hideMark/>
          </w:tcPr>
          <w:p w14:paraId="52013056" w14:textId="77777777" w:rsidR="00D81C95" w:rsidRPr="00951AB1" w:rsidRDefault="00D81C95" w:rsidP="000A5389">
            <w:pPr>
              <w:spacing w:line="240" w:lineRule="auto"/>
              <w:rPr>
                <w:rFonts w:eastAsia="Times New Roman" w:cs="Times New Roman"/>
                <w:b/>
                <w:bCs/>
                <w:color w:val="000000"/>
                <w:sz w:val="20"/>
                <w:szCs w:val="20"/>
                <w:lang w:val="es-419" w:eastAsia="es-419"/>
              </w:rPr>
            </w:pPr>
            <w:r w:rsidRPr="00951AB1">
              <w:rPr>
                <w:rFonts w:eastAsia="Times New Roman" w:cs="Times New Roman"/>
                <w:b/>
                <w:bCs/>
                <w:color w:val="000000"/>
                <w:sz w:val="20"/>
                <w:szCs w:val="20"/>
                <w:lang w:val="es-419" w:eastAsia="es-419"/>
              </w:rPr>
              <w:t>SUBTOTAL</w:t>
            </w:r>
            <w:r w:rsidRPr="00951AB1">
              <w:rPr>
                <w:rFonts w:eastAsia="Times New Roman" w:cs="Times New Roman"/>
                <w:b/>
                <w:bCs/>
                <w:color w:val="000000"/>
                <w:sz w:val="20"/>
                <w:szCs w:val="20"/>
                <w:lang w:val="es-419" w:eastAsia="es-419"/>
              </w:rPr>
              <w:br/>
              <w:t>(Saldo inicial + Entradas - Salidas)</w:t>
            </w:r>
          </w:p>
        </w:tc>
        <w:tc>
          <w:tcPr>
            <w:tcW w:w="1417" w:type="dxa"/>
            <w:noWrap/>
            <w:vAlign w:val="center"/>
            <w:hideMark/>
          </w:tcPr>
          <w:p w14:paraId="12A822D2" w14:textId="77777777" w:rsidR="00D81C95" w:rsidRPr="00951AB1" w:rsidRDefault="00D81C95" w:rsidP="000A5389">
            <w:pPr>
              <w:spacing w:line="240" w:lineRule="auto"/>
              <w:jc w:val="right"/>
              <w:rPr>
                <w:rFonts w:eastAsia="Times New Roman" w:cs="Times New Roman"/>
                <w:b/>
                <w:bCs/>
                <w:color w:val="000000"/>
                <w:sz w:val="20"/>
                <w:szCs w:val="20"/>
                <w:lang w:val="es-419" w:eastAsia="es-419"/>
              </w:rPr>
            </w:pPr>
            <w:r w:rsidRPr="00951AB1">
              <w:rPr>
                <w:rFonts w:eastAsia="Times New Roman" w:cs="Times New Roman"/>
                <w:b/>
                <w:bCs/>
                <w:color w:val="000000"/>
                <w:sz w:val="20"/>
                <w:szCs w:val="20"/>
                <w:lang w:val="es-419" w:eastAsia="es-419"/>
              </w:rPr>
              <w:t xml:space="preserve">52.513.513.120 </w:t>
            </w:r>
          </w:p>
        </w:tc>
        <w:tc>
          <w:tcPr>
            <w:tcW w:w="1430" w:type="dxa"/>
            <w:noWrap/>
            <w:vAlign w:val="center"/>
            <w:hideMark/>
          </w:tcPr>
          <w:p w14:paraId="574C8204" w14:textId="77777777" w:rsidR="00D81C95" w:rsidRPr="00951AB1" w:rsidRDefault="00D81C95" w:rsidP="000A5389">
            <w:pPr>
              <w:spacing w:line="240" w:lineRule="auto"/>
              <w:jc w:val="right"/>
              <w:rPr>
                <w:rFonts w:eastAsia="Times New Roman" w:cs="Times New Roman"/>
                <w:b/>
                <w:bCs/>
                <w:color w:val="000000"/>
                <w:sz w:val="20"/>
                <w:szCs w:val="20"/>
                <w:lang w:val="es-419" w:eastAsia="es-419"/>
              </w:rPr>
            </w:pPr>
            <w:r w:rsidRPr="00951AB1">
              <w:rPr>
                <w:rFonts w:eastAsia="Times New Roman" w:cs="Times New Roman"/>
                <w:b/>
                <w:bCs/>
                <w:color w:val="000000"/>
                <w:sz w:val="20"/>
                <w:szCs w:val="20"/>
                <w:lang w:val="es-419" w:eastAsia="es-419"/>
              </w:rPr>
              <w:t xml:space="preserve">84.798.852.624 </w:t>
            </w:r>
          </w:p>
        </w:tc>
        <w:tc>
          <w:tcPr>
            <w:tcW w:w="1405" w:type="dxa"/>
            <w:noWrap/>
            <w:vAlign w:val="center"/>
            <w:hideMark/>
          </w:tcPr>
          <w:p w14:paraId="2D24C858" w14:textId="77777777" w:rsidR="00D81C95" w:rsidRPr="00951AB1" w:rsidRDefault="00D81C95" w:rsidP="000A5389">
            <w:pPr>
              <w:spacing w:line="240" w:lineRule="auto"/>
              <w:jc w:val="right"/>
              <w:rPr>
                <w:rFonts w:eastAsia="Times New Roman" w:cs="Times New Roman"/>
                <w:b/>
                <w:bCs/>
                <w:color w:val="000000"/>
                <w:sz w:val="20"/>
                <w:szCs w:val="20"/>
                <w:lang w:val="es-419" w:eastAsia="es-419"/>
              </w:rPr>
            </w:pPr>
            <w:r w:rsidRPr="00951AB1">
              <w:rPr>
                <w:rFonts w:eastAsia="Times New Roman" w:cs="Times New Roman"/>
                <w:b/>
                <w:bCs/>
                <w:color w:val="000000"/>
                <w:sz w:val="20"/>
                <w:szCs w:val="20"/>
                <w:lang w:val="es-419" w:eastAsia="es-419"/>
              </w:rPr>
              <w:t xml:space="preserve">137.312.365.744 </w:t>
            </w:r>
          </w:p>
        </w:tc>
      </w:tr>
      <w:tr w:rsidR="00D81C95" w:rsidRPr="00951AB1" w14:paraId="6E4BF168" w14:textId="77777777" w:rsidTr="00774AB2">
        <w:trPr>
          <w:trHeight w:val="290"/>
        </w:trPr>
        <w:tc>
          <w:tcPr>
            <w:tcW w:w="220" w:type="dxa"/>
            <w:noWrap/>
            <w:vAlign w:val="center"/>
            <w:hideMark/>
          </w:tcPr>
          <w:p w14:paraId="1ED14E4B" w14:textId="77777777" w:rsidR="00D81C95" w:rsidRPr="00951AB1" w:rsidRDefault="00D81C95" w:rsidP="000A5389">
            <w:pPr>
              <w:spacing w:line="240" w:lineRule="auto"/>
              <w:jc w:val="center"/>
              <w:rPr>
                <w:rFonts w:eastAsia="Times New Roman" w:cs="Times New Roman"/>
                <w:b/>
                <w:bCs/>
                <w:color w:val="000000"/>
                <w:sz w:val="20"/>
                <w:szCs w:val="20"/>
                <w:lang w:val="es-419" w:eastAsia="es-419"/>
              </w:rPr>
            </w:pPr>
            <w:r w:rsidRPr="00951AB1">
              <w:rPr>
                <w:rFonts w:eastAsia="Times New Roman" w:cs="Times New Roman"/>
                <w:b/>
                <w:bCs/>
                <w:color w:val="000000"/>
                <w:sz w:val="20"/>
                <w:szCs w:val="20"/>
                <w:lang w:val="es-419" w:eastAsia="es-419"/>
              </w:rPr>
              <w:t>+</w:t>
            </w:r>
          </w:p>
        </w:tc>
        <w:tc>
          <w:tcPr>
            <w:tcW w:w="4453" w:type="dxa"/>
            <w:gridSpan w:val="3"/>
            <w:vAlign w:val="center"/>
            <w:hideMark/>
          </w:tcPr>
          <w:p w14:paraId="5EB54F69" w14:textId="77777777" w:rsidR="00D81C95" w:rsidRPr="00951AB1" w:rsidRDefault="00D81C95" w:rsidP="000A5389">
            <w:pPr>
              <w:spacing w:line="240" w:lineRule="auto"/>
              <w:rPr>
                <w:rFonts w:eastAsia="Times New Roman" w:cs="Times New Roman"/>
                <w:b/>
                <w:bCs/>
                <w:color w:val="000000"/>
                <w:sz w:val="20"/>
                <w:szCs w:val="20"/>
                <w:lang w:val="es-419" w:eastAsia="es-419"/>
              </w:rPr>
            </w:pPr>
            <w:r w:rsidRPr="00951AB1">
              <w:rPr>
                <w:rFonts w:eastAsia="Times New Roman" w:cs="Times New Roman"/>
                <w:b/>
                <w:bCs/>
                <w:color w:val="000000"/>
                <w:sz w:val="20"/>
                <w:szCs w:val="20"/>
                <w:lang w:val="es-419" w:eastAsia="es-419"/>
              </w:rPr>
              <w:t>CAMBIOS Y MEDICIÓN POSTERIOR</w:t>
            </w:r>
          </w:p>
        </w:tc>
        <w:tc>
          <w:tcPr>
            <w:tcW w:w="1417" w:type="dxa"/>
            <w:noWrap/>
            <w:vAlign w:val="center"/>
            <w:hideMark/>
          </w:tcPr>
          <w:p w14:paraId="6CB469E0" w14:textId="77777777" w:rsidR="00D81C95" w:rsidRPr="00951AB1" w:rsidRDefault="00D81C95" w:rsidP="000A5389">
            <w:pPr>
              <w:spacing w:line="240" w:lineRule="auto"/>
              <w:jc w:val="right"/>
              <w:rPr>
                <w:rFonts w:eastAsia="Times New Roman" w:cs="Times New Roman"/>
                <w:b/>
                <w:bCs/>
                <w:color w:val="000000"/>
                <w:sz w:val="20"/>
                <w:szCs w:val="20"/>
                <w:lang w:val="es-419" w:eastAsia="es-419"/>
              </w:rPr>
            </w:pPr>
            <w:r w:rsidRPr="00951AB1">
              <w:rPr>
                <w:rFonts w:eastAsia="Times New Roman" w:cs="Times New Roman"/>
                <w:b/>
                <w:bCs/>
                <w:color w:val="000000"/>
                <w:sz w:val="20"/>
                <w:szCs w:val="20"/>
                <w:lang w:val="es-419" w:eastAsia="es-419"/>
              </w:rPr>
              <w:t xml:space="preserve">0 </w:t>
            </w:r>
          </w:p>
        </w:tc>
        <w:tc>
          <w:tcPr>
            <w:tcW w:w="1430" w:type="dxa"/>
            <w:noWrap/>
            <w:vAlign w:val="center"/>
            <w:hideMark/>
          </w:tcPr>
          <w:p w14:paraId="604EA471" w14:textId="77777777" w:rsidR="00D81C95" w:rsidRPr="00951AB1" w:rsidRDefault="00D81C95" w:rsidP="000A5389">
            <w:pPr>
              <w:spacing w:line="240" w:lineRule="auto"/>
              <w:jc w:val="right"/>
              <w:rPr>
                <w:rFonts w:eastAsia="Times New Roman" w:cs="Times New Roman"/>
                <w:b/>
                <w:bCs/>
                <w:color w:val="000000"/>
                <w:sz w:val="20"/>
                <w:szCs w:val="20"/>
                <w:lang w:val="es-419" w:eastAsia="es-419"/>
              </w:rPr>
            </w:pPr>
            <w:r w:rsidRPr="00951AB1">
              <w:rPr>
                <w:rFonts w:eastAsia="Times New Roman" w:cs="Times New Roman"/>
                <w:b/>
                <w:bCs/>
                <w:color w:val="000000"/>
                <w:sz w:val="20"/>
                <w:szCs w:val="20"/>
                <w:lang w:val="es-419" w:eastAsia="es-419"/>
              </w:rPr>
              <w:t xml:space="preserve">53.828.715.055 </w:t>
            </w:r>
          </w:p>
        </w:tc>
        <w:tc>
          <w:tcPr>
            <w:tcW w:w="1405" w:type="dxa"/>
            <w:noWrap/>
            <w:vAlign w:val="center"/>
            <w:hideMark/>
          </w:tcPr>
          <w:p w14:paraId="44077CCF" w14:textId="77777777" w:rsidR="00D81C95" w:rsidRPr="00951AB1" w:rsidRDefault="00D81C95" w:rsidP="000A5389">
            <w:pPr>
              <w:spacing w:line="240" w:lineRule="auto"/>
              <w:jc w:val="right"/>
              <w:rPr>
                <w:rFonts w:eastAsia="Times New Roman" w:cs="Times New Roman"/>
                <w:b/>
                <w:bCs/>
                <w:color w:val="000000"/>
                <w:sz w:val="20"/>
                <w:szCs w:val="20"/>
                <w:lang w:val="es-419" w:eastAsia="es-419"/>
              </w:rPr>
            </w:pPr>
            <w:r w:rsidRPr="00951AB1">
              <w:rPr>
                <w:rFonts w:eastAsia="Times New Roman" w:cs="Times New Roman"/>
                <w:b/>
                <w:bCs/>
                <w:color w:val="000000"/>
                <w:sz w:val="20"/>
                <w:szCs w:val="20"/>
                <w:lang w:val="es-419" w:eastAsia="es-419"/>
              </w:rPr>
              <w:t xml:space="preserve">53.828.715.055 </w:t>
            </w:r>
          </w:p>
        </w:tc>
      </w:tr>
      <w:tr w:rsidR="00D81C95" w:rsidRPr="00951AB1" w14:paraId="20E76118" w14:textId="77777777" w:rsidTr="00774AB2">
        <w:trPr>
          <w:trHeight w:val="290"/>
        </w:trPr>
        <w:tc>
          <w:tcPr>
            <w:tcW w:w="220" w:type="dxa"/>
            <w:noWrap/>
            <w:vAlign w:val="center"/>
            <w:hideMark/>
          </w:tcPr>
          <w:p w14:paraId="7279054F" w14:textId="77777777" w:rsidR="00D81C95" w:rsidRPr="00951AB1" w:rsidRDefault="00D81C95" w:rsidP="000A5389">
            <w:pPr>
              <w:spacing w:line="240" w:lineRule="auto"/>
              <w:jc w:val="center"/>
              <w:rPr>
                <w:rFonts w:eastAsia="Times New Roman" w:cs="Times New Roman"/>
                <w:color w:val="000000"/>
                <w:sz w:val="20"/>
                <w:szCs w:val="20"/>
                <w:lang w:val="es-419" w:eastAsia="es-419"/>
              </w:rPr>
            </w:pPr>
            <w:r w:rsidRPr="00951AB1">
              <w:rPr>
                <w:rFonts w:eastAsia="Times New Roman" w:cs="Times New Roman"/>
                <w:color w:val="000000"/>
                <w:sz w:val="20"/>
                <w:szCs w:val="20"/>
                <w:lang w:val="es-419" w:eastAsia="es-419"/>
              </w:rPr>
              <w:t> </w:t>
            </w:r>
          </w:p>
        </w:tc>
        <w:tc>
          <w:tcPr>
            <w:tcW w:w="220" w:type="dxa"/>
            <w:noWrap/>
            <w:vAlign w:val="center"/>
            <w:hideMark/>
          </w:tcPr>
          <w:p w14:paraId="27CDA282" w14:textId="77777777" w:rsidR="00D81C95" w:rsidRPr="00951AB1" w:rsidRDefault="00D81C95" w:rsidP="000A5389">
            <w:pPr>
              <w:spacing w:line="240" w:lineRule="auto"/>
              <w:rPr>
                <w:rFonts w:eastAsia="Times New Roman" w:cs="Times New Roman"/>
                <w:color w:val="000000"/>
                <w:sz w:val="20"/>
                <w:szCs w:val="20"/>
                <w:lang w:val="es-419" w:eastAsia="es-419"/>
              </w:rPr>
            </w:pPr>
            <w:r w:rsidRPr="00951AB1">
              <w:rPr>
                <w:rFonts w:eastAsia="Times New Roman" w:cs="Times New Roman"/>
                <w:color w:val="000000"/>
                <w:sz w:val="20"/>
                <w:szCs w:val="20"/>
                <w:lang w:val="es-419" w:eastAsia="es-419"/>
              </w:rPr>
              <w:t> </w:t>
            </w:r>
          </w:p>
        </w:tc>
        <w:tc>
          <w:tcPr>
            <w:tcW w:w="220" w:type="dxa"/>
            <w:noWrap/>
            <w:vAlign w:val="center"/>
            <w:hideMark/>
          </w:tcPr>
          <w:p w14:paraId="16E023FB" w14:textId="77777777" w:rsidR="00D81C95" w:rsidRPr="00951AB1" w:rsidRDefault="00D81C95" w:rsidP="000A5389">
            <w:pPr>
              <w:spacing w:line="240" w:lineRule="auto"/>
              <w:jc w:val="center"/>
              <w:rPr>
                <w:rFonts w:eastAsia="Times New Roman" w:cs="Times New Roman"/>
                <w:color w:val="000000"/>
                <w:sz w:val="20"/>
                <w:szCs w:val="20"/>
                <w:lang w:val="es-419" w:eastAsia="es-419"/>
              </w:rPr>
            </w:pPr>
            <w:r w:rsidRPr="00951AB1">
              <w:rPr>
                <w:rFonts w:eastAsia="Times New Roman" w:cs="Times New Roman"/>
                <w:color w:val="000000"/>
                <w:sz w:val="20"/>
                <w:szCs w:val="20"/>
                <w:lang w:val="es-419" w:eastAsia="es-419"/>
              </w:rPr>
              <w:t>+</w:t>
            </w:r>
          </w:p>
        </w:tc>
        <w:tc>
          <w:tcPr>
            <w:tcW w:w="4013" w:type="dxa"/>
            <w:vAlign w:val="center"/>
            <w:hideMark/>
          </w:tcPr>
          <w:p w14:paraId="2FD103FD" w14:textId="77777777" w:rsidR="00D81C95" w:rsidRPr="00951AB1" w:rsidRDefault="00D81C95" w:rsidP="000A5389">
            <w:pPr>
              <w:spacing w:line="240" w:lineRule="auto"/>
              <w:rPr>
                <w:rFonts w:eastAsia="Times New Roman" w:cs="Times New Roman"/>
                <w:color w:val="000000"/>
                <w:sz w:val="20"/>
                <w:szCs w:val="20"/>
                <w:lang w:val="es-419" w:eastAsia="es-419"/>
              </w:rPr>
            </w:pPr>
            <w:r w:rsidRPr="00951AB1">
              <w:rPr>
                <w:rFonts w:eastAsia="Times New Roman" w:cs="Times New Roman"/>
                <w:color w:val="000000"/>
                <w:sz w:val="20"/>
                <w:szCs w:val="20"/>
                <w:lang w:val="es-419" w:eastAsia="es-419"/>
              </w:rPr>
              <w:t>Entrada por traslado de cuentas (DB)</w:t>
            </w:r>
          </w:p>
        </w:tc>
        <w:tc>
          <w:tcPr>
            <w:tcW w:w="1417" w:type="dxa"/>
            <w:noWrap/>
            <w:vAlign w:val="center"/>
            <w:hideMark/>
          </w:tcPr>
          <w:p w14:paraId="0092D668" w14:textId="77777777" w:rsidR="00D81C95" w:rsidRPr="00951AB1" w:rsidRDefault="00D81C95" w:rsidP="000A5389">
            <w:pPr>
              <w:spacing w:line="240" w:lineRule="auto"/>
              <w:jc w:val="right"/>
              <w:rPr>
                <w:rFonts w:eastAsia="Times New Roman" w:cs="Times New Roman"/>
                <w:color w:val="000000"/>
                <w:sz w:val="20"/>
                <w:szCs w:val="20"/>
                <w:lang w:val="es-419" w:eastAsia="es-419"/>
              </w:rPr>
            </w:pPr>
            <w:r w:rsidRPr="00951AB1">
              <w:rPr>
                <w:rFonts w:eastAsia="Times New Roman" w:cs="Times New Roman"/>
                <w:color w:val="000000"/>
                <w:sz w:val="20"/>
                <w:szCs w:val="20"/>
                <w:lang w:val="es-419" w:eastAsia="es-419"/>
              </w:rPr>
              <w:t xml:space="preserve">0 </w:t>
            </w:r>
          </w:p>
        </w:tc>
        <w:tc>
          <w:tcPr>
            <w:tcW w:w="1430" w:type="dxa"/>
            <w:noWrap/>
            <w:vAlign w:val="center"/>
            <w:hideMark/>
          </w:tcPr>
          <w:p w14:paraId="1C3810ED" w14:textId="77777777" w:rsidR="00D81C95" w:rsidRPr="00951AB1" w:rsidRDefault="00D81C95" w:rsidP="000A5389">
            <w:pPr>
              <w:spacing w:line="240" w:lineRule="auto"/>
              <w:jc w:val="right"/>
              <w:rPr>
                <w:rFonts w:eastAsia="Times New Roman" w:cs="Times New Roman"/>
                <w:color w:val="000000"/>
                <w:sz w:val="20"/>
                <w:szCs w:val="20"/>
                <w:lang w:val="es-419" w:eastAsia="es-419"/>
              </w:rPr>
            </w:pPr>
            <w:r w:rsidRPr="00951AB1">
              <w:rPr>
                <w:rFonts w:eastAsia="Times New Roman" w:cs="Times New Roman"/>
                <w:color w:val="000000"/>
                <w:sz w:val="20"/>
                <w:szCs w:val="20"/>
                <w:lang w:val="es-419" w:eastAsia="es-419"/>
              </w:rPr>
              <w:t xml:space="preserve">79.902.392.210 </w:t>
            </w:r>
          </w:p>
        </w:tc>
        <w:tc>
          <w:tcPr>
            <w:tcW w:w="1405" w:type="dxa"/>
            <w:noWrap/>
            <w:vAlign w:val="center"/>
            <w:hideMark/>
          </w:tcPr>
          <w:p w14:paraId="2DEE0FF8" w14:textId="77777777" w:rsidR="00D81C95" w:rsidRPr="00951AB1" w:rsidRDefault="00D81C95" w:rsidP="000A5389">
            <w:pPr>
              <w:spacing w:line="240" w:lineRule="auto"/>
              <w:jc w:val="right"/>
              <w:rPr>
                <w:rFonts w:eastAsia="Times New Roman" w:cs="Times New Roman"/>
                <w:b/>
                <w:bCs/>
                <w:color w:val="000000"/>
                <w:sz w:val="20"/>
                <w:szCs w:val="20"/>
                <w:lang w:val="es-419" w:eastAsia="es-419"/>
              </w:rPr>
            </w:pPr>
            <w:r w:rsidRPr="00951AB1">
              <w:rPr>
                <w:rFonts w:eastAsia="Times New Roman" w:cs="Times New Roman"/>
                <w:b/>
                <w:bCs/>
                <w:color w:val="000000"/>
                <w:sz w:val="20"/>
                <w:szCs w:val="20"/>
                <w:lang w:val="es-419" w:eastAsia="es-419"/>
              </w:rPr>
              <w:t xml:space="preserve">79.902.392.210 </w:t>
            </w:r>
          </w:p>
        </w:tc>
      </w:tr>
      <w:tr w:rsidR="00D81C95" w:rsidRPr="00951AB1" w14:paraId="54126D36" w14:textId="77777777" w:rsidTr="00774AB2">
        <w:trPr>
          <w:trHeight w:val="290"/>
        </w:trPr>
        <w:tc>
          <w:tcPr>
            <w:tcW w:w="220" w:type="dxa"/>
            <w:noWrap/>
            <w:vAlign w:val="center"/>
            <w:hideMark/>
          </w:tcPr>
          <w:p w14:paraId="67849631" w14:textId="77777777" w:rsidR="00D81C95" w:rsidRPr="00951AB1" w:rsidRDefault="00D81C95" w:rsidP="000A5389">
            <w:pPr>
              <w:spacing w:line="240" w:lineRule="auto"/>
              <w:jc w:val="center"/>
              <w:rPr>
                <w:rFonts w:eastAsia="Times New Roman" w:cs="Times New Roman"/>
                <w:color w:val="000000"/>
                <w:sz w:val="20"/>
                <w:szCs w:val="20"/>
                <w:lang w:val="es-419" w:eastAsia="es-419"/>
              </w:rPr>
            </w:pPr>
            <w:r w:rsidRPr="00951AB1">
              <w:rPr>
                <w:rFonts w:eastAsia="Times New Roman" w:cs="Times New Roman"/>
                <w:color w:val="000000"/>
                <w:sz w:val="20"/>
                <w:szCs w:val="20"/>
                <w:lang w:val="es-419" w:eastAsia="es-419"/>
              </w:rPr>
              <w:t> </w:t>
            </w:r>
          </w:p>
        </w:tc>
        <w:tc>
          <w:tcPr>
            <w:tcW w:w="220" w:type="dxa"/>
            <w:noWrap/>
            <w:vAlign w:val="center"/>
            <w:hideMark/>
          </w:tcPr>
          <w:p w14:paraId="6482CE65" w14:textId="77777777" w:rsidR="00D81C95" w:rsidRPr="00951AB1" w:rsidRDefault="00D81C95" w:rsidP="000A5389">
            <w:pPr>
              <w:spacing w:line="240" w:lineRule="auto"/>
              <w:rPr>
                <w:rFonts w:eastAsia="Times New Roman" w:cs="Times New Roman"/>
                <w:color w:val="000000"/>
                <w:sz w:val="20"/>
                <w:szCs w:val="20"/>
                <w:lang w:val="es-419" w:eastAsia="es-419"/>
              </w:rPr>
            </w:pPr>
            <w:r w:rsidRPr="00951AB1">
              <w:rPr>
                <w:rFonts w:eastAsia="Times New Roman" w:cs="Times New Roman"/>
                <w:color w:val="000000"/>
                <w:sz w:val="20"/>
                <w:szCs w:val="20"/>
                <w:lang w:val="es-419" w:eastAsia="es-419"/>
              </w:rPr>
              <w:t> </w:t>
            </w:r>
          </w:p>
        </w:tc>
        <w:tc>
          <w:tcPr>
            <w:tcW w:w="220" w:type="dxa"/>
            <w:noWrap/>
            <w:vAlign w:val="center"/>
            <w:hideMark/>
          </w:tcPr>
          <w:p w14:paraId="0934F321" w14:textId="77777777" w:rsidR="00D81C95" w:rsidRPr="00951AB1" w:rsidRDefault="00D81C95" w:rsidP="000A5389">
            <w:pPr>
              <w:spacing w:line="240" w:lineRule="auto"/>
              <w:jc w:val="center"/>
              <w:rPr>
                <w:rFonts w:eastAsia="Times New Roman" w:cs="Times New Roman"/>
                <w:color w:val="000000"/>
                <w:sz w:val="20"/>
                <w:szCs w:val="20"/>
                <w:lang w:val="es-419" w:eastAsia="es-419"/>
              </w:rPr>
            </w:pPr>
            <w:r w:rsidRPr="00951AB1">
              <w:rPr>
                <w:rFonts w:eastAsia="Times New Roman" w:cs="Times New Roman"/>
                <w:color w:val="000000"/>
                <w:sz w:val="20"/>
                <w:szCs w:val="20"/>
                <w:lang w:val="es-419" w:eastAsia="es-419"/>
              </w:rPr>
              <w:t> </w:t>
            </w:r>
          </w:p>
        </w:tc>
        <w:tc>
          <w:tcPr>
            <w:tcW w:w="4013" w:type="dxa"/>
            <w:vAlign w:val="center"/>
            <w:hideMark/>
          </w:tcPr>
          <w:p w14:paraId="4F5FE4D2" w14:textId="77777777" w:rsidR="00D81C95" w:rsidRPr="00951AB1" w:rsidRDefault="00D81C95" w:rsidP="000A5389">
            <w:pPr>
              <w:spacing w:line="240" w:lineRule="auto"/>
              <w:rPr>
                <w:rFonts w:eastAsia="Times New Roman" w:cs="Times New Roman"/>
                <w:color w:val="000000"/>
                <w:sz w:val="20"/>
                <w:szCs w:val="20"/>
                <w:lang w:val="es-419" w:eastAsia="es-419"/>
              </w:rPr>
            </w:pPr>
            <w:r w:rsidRPr="00951AB1">
              <w:rPr>
                <w:rFonts w:eastAsia="Times New Roman" w:cs="Times New Roman"/>
                <w:color w:val="000000"/>
                <w:sz w:val="20"/>
                <w:szCs w:val="20"/>
                <w:lang w:val="es-419" w:eastAsia="es-419"/>
              </w:rPr>
              <w:t>* Modo Férreo</w:t>
            </w:r>
          </w:p>
        </w:tc>
        <w:tc>
          <w:tcPr>
            <w:tcW w:w="1417" w:type="dxa"/>
            <w:noWrap/>
            <w:vAlign w:val="center"/>
            <w:hideMark/>
          </w:tcPr>
          <w:p w14:paraId="2CDA3018" w14:textId="77777777" w:rsidR="00D81C95" w:rsidRPr="00951AB1" w:rsidRDefault="00D81C95" w:rsidP="000A5389">
            <w:pPr>
              <w:spacing w:line="240" w:lineRule="auto"/>
              <w:jc w:val="right"/>
              <w:rPr>
                <w:rFonts w:eastAsia="Times New Roman" w:cs="Times New Roman"/>
                <w:color w:val="000000"/>
                <w:sz w:val="20"/>
                <w:szCs w:val="20"/>
                <w:lang w:val="es-419" w:eastAsia="es-419"/>
              </w:rPr>
            </w:pPr>
            <w:r w:rsidRPr="00951AB1">
              <w:rPr>
                <w:rFonts w:eastAsia="Times New Roman" w:cs="Times New Roman"/>
                <w:color w:val="000000"/>
                <w:sz w:val="20"/>
                <w:szCs w:val="20"/>
                <w:lang w:val="es-419" w:eastAsia="es-419"/>
              </w:rPr>
              <w:t xml:space="preserve">0 </w:t>
            </w:r>
          </w:p>
        </w:tc>
        <w:tc>
          <w:tcPr>
            <w:tcW w:w="1430" w:type="dxa"/>
            <w:noWrap/>
            <w:vAlign w:val="center"/>
            <w:hideMark/>
          </w:tcPr>
          <w:p w14:paraId="4973E076" w14:textId="77777777" w:rsidR="00D81C95" w:rsidRPr="00951AB1" w:rsidRDefault="00D81C95" w:rsidP="000A5389">
            <w:pPr>
              <w:spacing w:line="240" w:lineRule="auto"/>
              <w:jc w:val="right"/>
              <w:rPr>
                <w:rFonts w:eastAsia="Times New Roman" w:cs="Times New Roman"/>
                <w:color w:val="000000"/>
                <w:sz w:val="20"/>
                <w:szCs w:val="20"/>
                <w:lang w:val="es-419" w:eastAsia="es-419"/>
              </w:rPr>
            </w:pPr>
            <w:r w:rsidRPr="00951AB1">
              <w:rPr>
                <w:rFonts w:eastAsia="Times New Roman" w:cs="Times New Roman"/>
                <w:color w:val="000000"/>
                <w:sz w:val="20"/>
                <w:szCs w:val="20"/>
                <w:lang w:val="es-419" w:eastAsia="es-419"/>
              </w:rPr>
              <w:t xml:space="preserve">79.902.392.210 </w:t>
            </w:r>
          </w:p>
        </w:tc>
        <w:tc>
          <w:tcPr>
            <w:tcW w:w="1405" w:type="dxa"/>
            <w:noWrap/>
            <w:vAlign w:val="center"/>
            <w:hideMark/>
          </w:tcPr>
          <w:p w14:paraId="7D76DD3D" w14:textId="77777777" w:rsidR="00D81C95" w:rsidRPr="00951AB1" w:rsidRDefault="00D81C95" w:rsidP="000A5389">
            <w:pPr>
              <w:spacing w:line="240" w:lineRule="auto"/>
              <w:rPr>
                <w:rFonts w:eastAsia="Times New Roman" w:cs="Times New Roman"/>
                <w:b/>
                <w:bCs/>
                <w:color w:val="000000"/>
                <w:sz w:val="20"/>
                <w:szCs w:val="20"/>
                <w:lang w:val="es-419" w:eastAsia="es-419"/>
              </w:rPr>
            </w:pPr>
            <w:r w:rsidRPr="00951AB1">
              <w:rPr>
                <w:rFonts w:eastAsia="Times New Roman" w:cs="Times New Roman"/>
                <w:b/>
                <w:bCs/>
                <w:color w:val="000000"/>
                <w:sz w:val="20"/>
                <w:szCs w:val="20"/>
                <w:lang w:val="es-419" w:eastAsia="es-419"/>
              </w:rPr>
              <w:t> </w:t>
            </w:r>
          </w:p>
        </w:tc>
      </w:tr>
      <w:tr w:rsidR="00D81C95" w:rsidRPr="00951AB1" w14:paraId="4333BC9C" w14:textId="77777777" w:rsidTr="00774AB2">
        <w:trPr>
          <w:trHeight w:val="290"/>
        </w:trPr>
        <w:tc>
          <w:tcPr>
            <w:tcW w:w="220" w:type="dxa"/>
            <w:noWrap/>
            <w:vAlign w:val="center"/>
            <w:hideMark/>
          </w:tcPr>
          <w:p w14:paraId="61F49ACA" w14:textId="77777777" w:rsidR="00D81C95" w:rsidRPr="00951AB1" w:rsidRDefault="00D81C95" w:rsidP="000A5389">
            <w:pPr>
              <w:spacing w:line="240" w:lineRule="auto"/>
              <w:jc w:val="center"/>
              <w:rPr>
                <w:rFonts w:eastAsia="Times New Roman" w:cs="Times New Roman"/>
                <w:color w:val="000000"/>
                <w:sz w:val="20"/>
                <w:szCs w:val="20"/>
                <w:lang w:val="es-419" w:eastAsia="es-419"/>
              </w:rPr>
            </w:pPr>
            <w:r w:rsidRPr="00951AB1">
              <w:rPr>
                <w:rFonts w:eastAsia="Times New Roman" w:cs="Times New Roman"/>
                <w:color w:val="000000"/>
                <w:sz w:val="20"/>
                <w:szCs w:val="20"/>
                <w:lang w:val="es-419" w:eastAsia="es-419"/>
              </w:rPr>
              <w:t> </w:t>
            </w:r>
          </w:p>
        </w:tc>
        <w:tc>
          <w:tcPr>
            <w:tcW w:w="220" w:type="dxa"/>
            <w:noWrap/>
            <w:vAlign w:val="center"/>
            <w:hideMark/>
          </w:tcPr>
          <w:p w14:paraId="7FE31FFB" w14:textId="77777777" w:rsidR="00D81C95" w:rsidRPr="00951AB1" w:rsidRDefault="00D81C95" w:rsidP="000A5389">
            <w:pPr>
              <w:spacing w:line="240" w:lineRule="auto"/>
              <w:rPr>
                <w:rFonts w:eastAsia="Times New Roman" w:cs="Times New Roman"/>
                <w:color w:val="000000"/>
                <w:sz w:val="20"/>
                <w:szCs w:val="20"/>
                <w:lang w:val="es-419" w:eastAsia="es-419"/>
              </w:rPr>
            </w:pPr>
            <w:r w:rsidRPr="00951AB1">
              <w:rPr>
                <w:rFonts w:eastAsia="Times New Roman" w:cs="Times New Roman"/>
                <w:color w:val="000000"/>
                <w:sz w:val="20"/>
                <w:szCs w:val="20"/>
                <w:lang w:val="es-419" w:eastAsia="es-419"/>
              </w:rPr>
              <w:t> </w:t>
            </w:r>
          </w:p>
        </w:tc>
        <w:tc>
          <w:tcPr>
            <w:tcW w:w="220" w:type="dxa"/>
            <w:noWrap/>
            <w:vAlign w:val="center"/>
            <w:hideMark/>
          </w:tcPr>
          <w:p w14:paraId="474ECFE7" w14:textId="77777777" w:rsidR="00D81C95" w:rsidRPr="00951AB1" w:rsidRDefault="00D81C95" w:rsidP="000A5389">
            <w:pPr>
              <w:spacing w:line="240" w:lineRule="auto"/>
              <w:jc w:val="center"/>
              <w:rPr>
                <w:rFonts w:eastAsia="Times New Roman" w:cs="Times New Roman"/>
                <w:color w:val="000000"/>
                <w:sz w:val="20"/>
                <w:szCs w:val="20"/>
                <w:lang w:val="es-419" w:eastAsia="es-419"/>
              </w:rPr>
            </w:pPr>
            <w:r w:rsidRPr="00951AB1">
              <w:rPr>
                <w:rFonts w:eastAsia="Times New Roman" w:cs="Times New Roman"/>
                <w:color w:val="000000"/>
                <w:sz w:val="20"/>
                <w:szCs w:val="20"/>
                <w:lang w:val="es-419" w:eastAsia="es-419"/>
              </w:rPr>
              <w:t>-</w:t>
            </w:r>
          </w:p>
        </w:tc>
        <w:tc>
          <w:tcPr>
            <w:tcW w:w="4013" w:type="dxa"/>
            <w:vAlign w:val="center"/>
            <w:hideMark/>
          </w:tcPr>
          <w:p w14:paraId="358AA42A" w14:textId="77777777" w:rsidR="00D81C95" w:rsidRPr="00951AB1" w:rsidRDefault="00D81C95" w:rsidP="000A5389">
            <w:pPr>
              <w:spacing w:line="240" w:lineRule="auto"/>
              <w:rPr>
                <w:rFonts w:eastAsia="Times New Roman" w:cs="Times New Roman"/>
                <w:color w:val="000000"/>
                <w:sz w:val="20"/>
                <w:szCs w:val="20"/>
                <w:lang w:val="es-419" w:eastAsia="es-419"/>
              </w:rPr>
            </w:pPr>
            <w:r w:rsidRPr="00951AB1">
              <w:rPr>
                <w:rFonts w:eastAsia="Times New Roman" w:cs="Times New Roman"/>
                <w:color w:val="000000"/>
                <w:sz w:val="20"/>
                <w:szCs w:val="20"/>
                <w:lang w:val="es-419" w:eastAsia="es-419"/>
              </w:rPr>
              <w:t>Salida por traslado de cuentas (CR)</w:t>
            </w:r>
          </w:p>
        </w:tc>
        <w:tc>
          <w:tcPr>
            <w:tcW w:w="1417" w:type="dxa"/>
            <w:noWrap/>
            <w:vAlign w:val="center"/>
            <w:hideMark/>
          </w:tcPr>
          <w:p w14:paraId="22C8B188" w14:textId="77777777" w:rsidR="00D81C95" w:rsidRPr="00951AB1" w:rsidRDefault="00D81C95" w:rsidP="000A5389">
            <w:pPr>
              <w:spacing w:line="240" w:lineRule="auto"/>
              <w:jc w:val="right"/>
              <w:rPr>
                <w:rFonts w:eastAsia="Times New Roman" w:cs="Times New Roman"/>
                <w:color w:val="000000"/>
                <w:sz w:val="20"/>
                <w:szCs w:val="20"/>
                <w:lang w:val="es-419" w:eastAsia="es-419"/>
              </w:rPr>
            </w:pPr>
            <w:r w:rsidRPr="00951AB1">
              <w:rPr>
                <w:rFonts w:eastAsia="Times New Roman" w:cs="Times New Roman"/>
                <w:color w:val="000000"/>
                <w:sz w:val="20"/>
                <w:szCs w:val="20"/>
                <w:lang w:val="es-419" w:eastAsia="es-419"/>
              </w:rPr>
              <w:t xml:space="preserve">0 </w:t>
            </w:r>
          </w:p>
        </w:tc>
        <w:tc>
          <w:tcPr>
            <w:tcW w:w="1430" w:type="dxa"/>
            <w:noWrap/>
            <w:vAlign w:val="center"/>
            <w:hideMark/>
          </w:tcPr>
          <w:p w14:paraId="084F72D2" w14:textId="77777777" w:rsidR="00D81C95" w:rsidRPr="00951AB1" w:rsidRDefault="00D81C95" w:rsidP="000A5389">
            <w:pPr>
              <w:spacing w:line="240" w:lineRule="auto"/>
              <w:jc w:val="right"/>
              <w:rPr>
                <w:rFonts w:eastAsia="Times New Roman" w:cs="Times New Roman"/>
                <w:color w:val="000000"/>
                <w:sz w:val="20"/>
                <w:szCs w:val="20"/>
                <w:lang w:val="es-419" w:eastAsia="es-419"/>
              </w:rPr>
            </w:pPr>
            <w:r w:rsidRPr="00951AB1">
              <w:rPr>
                <w:rFonts w:eastAsia="Times New Roman" w:cs="Times New Roman"/>
                <w:color w:val="000000"/>
                <w:sz w:val="20"/>
                <w:szCs w:val="20"/>
                <w:lang w:val="es-419" w:eastAsia="es-419"/>
              </w:rPr>
              <w:t xml:space="preserve">26.073.677.155 </w:t>
            </w:r>
          </w:p>
        </w:tc>
        <w:tc>
          <w:tcPr>
            <w:tcW w:w="1405" w:type="dxa"/>
            <w:noWrap/>
            <w:vAlign w:val="center"/>
            <w:hideMark/>
          </w:tcPr>
          <w:p w14:paraId="6AF48F8B" w14:textId="77777777" w:rsidR="00D81C95" w:rsidRPr="00951AB1" w:rsidRDefault="00D81C95" w:rsidP="000A5389">
            <w:pPr>
              <w:spacing w:line="240" w:lineRule="auto"/>
              <w:jc w:val="right"/>
              <w:rPr>
                <w:rFonts w:eastAsia="Times New Roman" w:cs="Times New Roman"/>
                <w:b/>
                <w:bCs/>
                <w:color w:val="000000"/>
                <w:sz w:val="20"/>
                <w:szCs w:val="20"/>
                <w:lang w:val="es-419" w:eastAsia="es-419"/>
              </w:rPr>
            </w:pPr>
            <w:r w:rsidRPr="00951AB1">
              <w:rPr>
                <w:rFonts w:eastAsia="Times New Roman" w:cs="Times New Roman"/>
                <w:b/>
                <w:bCs/>
                <w:color w:val="000000"/>
                <w:sz w:val="20"/>
                <w:szCs w:val="20"/>
                <w:lang w:val="es-419" w:eastAsia="es-419"/>
              </w:rPr>
              <w:t xml:space="preserve">26.073.677.155 </w:t>
            </w:r>
          </w:p>
        </w:tc>
      </w:tr>
      <w:tr w:rsidR="00D81C95" w:rsidRPr="00951AB1" w14:paraId="31B5F696" w14:textId="77777777" w:rsidTr="00774AB2">
        <w:trPr>
          <w:trHeight w:val="290"/>
        </w:trPr>
        <w:tc>
          <w:tcPr>
            <w:tcW w:w="220" w:type="dxa"/>
            <w:noWrap/>
            <w:vAlign w:val="center"/>
            <w:hideMark/>
          </w:tcPr>
          <w:p w14:paraId="32D782EA" w14:textId="77777777" w:rsidR="00D81C95" w:rsidRPr="00951AB1" w:rsidRDefault="00D81C95" w:rsidP="000A5389">
            <w:pPr>
              <w:spacing w:line="240" w:lineRule="auto"/>
              <w:jc w:val="center"/>
              <w:rPr>
                <w:rFonts w:eastAsia="Times New Roman" w:cs="Times New Roman"/>
                <w:color w:val="000000"/>
                <w:sz w:val="20"/>
                <w:szCs w:val="20"/>
                <w:lang w:val="es-419" w:eastAsia="es-419"/>
              </w:rPr>
            </w:pPr>
            <w:r w:rsidRPr="00951AB1">
              <w:rPr>
                <w:rFonts w:eastAsia="Times New Roman" w:cs="Times New Roman"/>
                <w:color w:val="000000"/>
                <w:sz w:val="20"/>
                <w:szCs w:val="20"/>
                <w:lang w:val="es-419" w:eastAsia="es-419"/>
              </w:rPr>
              <w:t> </w:t>
            </w:r>
          </w:p>
        </w:tc>
        <w:tc>
          <w:tcPr>
            <w:tcW w:w="220" w:type="dxa"/>
            <w:noWrap/>
            <w:vAlign w:val="center"/>
            <w:hideMark/>
          </w:tcPr>
          <w:p w14:paraId="10C62779" w14:textId="77777777" w:rsidR="00D81C95" w:rsidRPr="00951AB1" w:rsidRDefault="00D81C95" w:rsidP="000A5389">
            <w:pPr>
              <w:spacing w:line="240" w:lineRule="auto"/>
              <w:rPr>
                <w:rFonts w:eastAsia="Times New Roman" w:cs="Times New Roman"/>
                <w:color w:val="000000"/>
                <w:sz w:val="20"/>
                <w:szCs w:val="20"/>
                <w:lang w:val="es-419" w:eastAsia="es-419"/>
              </w:rPr>
            </w:pPr>
            <w:r w:rsidRPr="00951AB1">
              <w:rPr>
                <w:rFonts w:eastAsia="Times New Roman" w:cs="Times New Roman"/>
                <w:color w:val="000000"/>
                <w:sz w:val="20"/>
                <w:szCs w:val="20"/>
                <w:lang w:val="es-419" w:eastAsia="es-419"/>
              </w:rPr>
              <w:t> </w:t>
            </w:r>
          </w:p>
        </w:tc>
        <w:tc>
          <w:tcPr>
            <w:tcW w:w="220" w:type="dxa"/>
            <w:noWrap/>
            <w:vAlign w:val="center"/>
            <w:hideMark/>
          </w:tcPr>
          <w:p w14:paraId="1CE505FB" w14:textId="77777777" w:rsidR="00D81C95" w:rsidRPr="00951AB1" w:rsidRDefault="00D81C95" w:rsidP="000A5389">
            <w:pPr>
              <w:spacing w:line="240" w:lineRule="auto"/>
              <w:jc w:val="center"/>
              <w:rPr>
                <w:rFonts w:eastAsia="Times New Roman" w:cs="Times New Roman"/>
                <w:color w:val="000000"/>
                <w:sz w:val="20"/>
                <w:szCs w:val="20"/>
                <w:lang w:val="es-419" w:eastAsia="es-419"/>
              </w:rPr>
            </w:pPr>
            <w:r w:rsidRPr="00951AB1">
              <w:rPr>
                <w:rFonts w:eastAsia="Times New Roman" w:cs="Times New Roman"/>
                <w:color w:val="000000"/>
                <w:sz w:val="20"/>
                <w:szCs w:val="20"/>
                <w:lang w:val="es-419" w:eastAsia="es-419"/>
              </w:rPr>
              <w:t> </w:t>
            </w:r>
          </w:p>
        </w:tc>
        <w:tc>
          <w:tcPr>
            <w:tcW w:w="4013" w:type="dxa"/>
            <w:vAlign w:val="center"/>
            <w:hideMark/>
          </w:tcPr>
          <w:p w14:paraId="19232A6E" w14:textId="77777777" w:rsidR="00D81C95" w:rsidRPr="00951AB1" w:rsidRDefault="00D81C95" w:rsidP="000A5389">
            <w:pPr>
              <w:spacing w:line="240" w:lineRule="auto"/>
              <w:rPr>
                <w:rFonts w:eastAsia="Times New Roman" w:cs="Times New Roman"/>
                <w:color w:val="000000"/>
                <w:sz w:val="20"/>
                <w:szCs w:val="20"/>
                <w:lang w:val="es-419" w:eastAsia="es-419"/>
              </w:rPr>
            </w:pPr>
            <w:r w:rsidRPr="00951AB1">
              <w:rPr>
                <w:rFonts w:eastAsia="Times New Roman" w:cs="Times New Roman"/>
                <w:color w:val="000000"/>
                <w:sz w:val="20"/>
                <w:szCs w:val="20"/>
                <w:lang w:val="es-419" w:eastAsia="es-419"/>
              </w:rPr>
              <w:t>* Modo Carretero</w:t>
            </w:r>
          </w:p>
        </w:tc>
        <w:tc>
          <w:tcPr>
            <w:tcW w:w="1417" w:type="dxa"/>
            <w:noWrap/>
            <w:vAlign w:val="center"/>
            <w:hideMark/>
          </w:tcPr>
          <w:p w14:paraId="751F72EF" w14:textId="77777777" w:rsidR="00D81C95" w:rsidRPr="00951AB1" w:rsidRDefault="00D81C95" w:rsidP="000A5389">
            <w:pPr>
              <w:spacing w:line="240" w:lineRule="auto"/>
              <w:jc w:val="right"/>
              <w:rPr>
                <w:rFonts w:eastAsia="Times New Roman" w:cs="Times New Roman"/>
                <w:color w:val="000000"/>
                <w:sz w:val="20"/>
                <w:szCs w:val="20"/>
                <w:lang w:val="es-419" w:eastAsia="es-419"/>
              </w:rPr>
            </w:pPr>
            <w:r w:rsidRPr="00951AB1">
              <w:rPr>
                <w:rFonts w:eastAsia="Times New Roman" w:cs="Times New Roman"/>
                <w:color w:val="000000"/>
                <w:sz w:val="20"/>
                <w:szCs w:val="20"/>
                <w:lang w:val="es-419" w:eastAsia="es-419"/>
              </w:rPr>
              <w:t xml:space="preserve">0 </w:t>
            </w:r>
          </w:p>
        </w:tc>
        <w:tc>
          <w:tcPr>
            <w:tcW w:w="1430" w:type="dxa"/>
            <w:noWrap/>
            <w:vAlign w:val="center"/>
            <w:hideMark/>
          </w:tcPr>
          <w:p w14:paraId="528924C6" w14:textId="77777777" w:rsidR="00D81C95" w:rsidRPr="00951AB1" w:rsidRDefault="00D81C95" w:rsidP="000A5389">
            <w:pPr>
              <w:spacing w:line="240" w:lineRule="auto"/>
              <w:jc w:val="right"/>
              <w:rPr>
                <w:rFonts w:eastAsia="Times New Roman" w:cs="Times New Roman"/>
                <w:color w:val="000000"/>
                <w:sz w:val="20"/>
                <w:szCs w:val="20"/>
                <w:lang w:val="es-419" w:eastAsia="es-419"/>
              </w:rPr>
            </w:pPr>
            <w:r w:rsidRPr="00951AB1">
              <w:rPr>
                <w:rFonts w:eastAsia="Times New Roman" w:cs="Times New Roman"/>
                <w:color w:val="000000"/>
                <w:sz w:val="20"/>
                <w:szCs w:val="20"/>
                <w:lang w:val="es-419" w:eastAsia="es-419"/>
              </w:rPr>
              <w:t xml:space="preserve">77.014.707 </w:t>
            </w:r>
          </w:p>
        </w:tc>
        <w:tc>
          <w:tcPr>
            <w:tcW w:w="1405" w:type="dxa"/>
            <w:noWrap/>
            <w:vAlign w:val="center"/>
            <w:hideMark/>
          </w:tcPr>
          <w:p w14:paraId="725493C6" w14:textId="77777777" w:rsidR="00D81C95" w:rsidRPr="00951AB1" w:rsidRDefault="00D81C95" w:rsidP="000A5389">
            <w:pPr>
              <w:spacing w:line="240" w:lineRule="auto"/>
              <w:rPr>
                <w:rFonts w:eastAsia="Times New Roman" w:cs="Times New Roman"/>
                <w:b/>
                <w:bCs/>
                <w:color w:val="000000"/>
                <w:sz w:val="20"/>
                <w:szCs w:val="20"/>
                <w:lang w:val="es-419" w:eastAsia="es-419"/>
              </w:rPr>
            </w:pPr>
            <w:r w:rsidRPr="00951AB1">
              <w:rPr>
                <w:rFonts w:eastAsia="Times New Roman" w:cs="Times New Roman"/>
                <w:b/>
                <w:bCs/>
                <w:color w:val="000000"/>
                <w:sz w:val="20"/>
                <w:szCs w:val="20"/>
                <w:lang w:val="es-419" w:eastAsia="es-419"/>
              </w:rPr>
              <w:t> </w:t>
            </w:r>
          </w:p>
        </w:tc>
      </w:tr>
      <w:tr w:rsidR="00D81C95" w:rsidRPr="00951AB1" w14:paraId="6A60D5AE" w14:textId="77777777" w:rsidTr="00774AB2">
        <w:trPr>
          <w:trHeight w:val="290"/>
        </w:trPr>
        <w:tc>
          <w:tcPr>
            <w:tcW w:w="220" w:type="dxa"/>
            <w:noWrap/>
            <w:vAlign w:val="center"/>
            <w:hideMark/>
          </w:tcPr>
          <w:p w14:paraId="2CC1A273" w14:textId="77777777" w:rsidR="00D81C95" w:rsidRPr="00951AB1" w:rsidRDefault="00D81C95" w:rsidP="000A5389">
            <w:pPr>
              <w:spacing w:line="240" w:lineRule="auto"/>
              <w:jc w:val="center"/>
              <w:rPr>
                <w:rFonts w:eastAsia="Times New Roman" w:cs="Times New Roman"/>
                <w:color w:val="000000"/>
                <w:sz w:val="20"/>
                <w:szCs w:val="20"/>
                <w:lang w:val="es-419" w:eastAsia="es-419"/>
              </w:rPr>
            </w:pPr>
            <w:r w:rsidRPr="00951AB1">
              <w:rPr>
                <w:rFonts w:eastAsia="Times New Roman" w:cs="Times New Roman"/>
                <w:color w:val="000000"/>
                <w:sz w:val="20"/>
                <w:szCs w:val="20"/>
                <w:lang w:val="es-419" w:eastAsia="es-419"/>
              </w:rPr>
              <w:t> </w:t>
            </w:r>
          </w:p>
        </w:tc>
        <w:tc>
          <w:tcPr>
            <w:tcW w:w="220" w:type="dxa"/>
            <w:noWrap/>
            <w:vAlign w:val="center"/>
            <w:hideMark/>
          </w:tcPr>
          <w:p w14:paraId="1B81D3F8" w14:textId="77777777" w:rsidR="00D81C95" w:rsidRPr="00951AB1" w:rsidRDefault="00D81C95" w:rsidP="000A5389">
            <w:pPr>
              <w:spacing w:line="240" w:lineRule="auto"/>
              <w:rPr>
                <w:rFonts w:eastAsia="Times New Roman" w:cs="Times New Roman"/>
                <w:color w:val="000000"/>
                <w:sz w:val="20"/>
                <w:szCs w:val="20"/>
                <w:lang w:val="es-419" w:eastAsia="es-419"/>
              </w:rPr>
            </w:pPr>
            <w:r w:rsidRPr="00951AB1">
              <w:rPr>
                <w:rFonts w:eastAsia="Times New Roman" w:cs="Times New Roman"/>
                <w:color w:val="000000"/>
                <w:sz w:val="20"/>
                <w:szCs w:val="20"/>
                <w:lang w:val="es-419" w:eastAsia="es-419"/>
              </w:rPr>
              <w:t> </w:t>
            </w:r>
          </w:p>
        </w:tc>
        <w:tc>
          <w:tcPr>
            <w:tcW w:w="220" w:type="dxa"/>
            <w:noWrap/>
            <w:vAlign w:val="center"/>
            <w:hideMark/>
          </w:tcPr>
          <w:p w14:paraId="5EADA1CA" w14:textId="77777777" w:rsidR="00D81C95" w:rsidRPr="00951AB1" w:rsidRDefault="00D81C95" w:rsidP="000A5389">
            <w:pPr>
              <w:spacing w:line="240" w:lineRule="auto"/>
              <w:jc w:val="center"/>
              <w:rPr>
                <w:rFonts w:eastAsia="Times New Roman" w:cs="Times New Roman"/>
                <w:color w:val="000000"/>
                <w:sz w:val="20"/>
                <w:szCs w:val="20"/>
                <w:lang w:val="es-419" w:eastAsia="es-419"/>
              </w:rPr>
            </w:pPr>
            <w:r w:rsidRPr="00951AB1">
              <w:rPr>
                <w:rFonts w:eastAsia="Times New Roman" w:cs="Times New Roman"/>
                <w:color w:val="000000"/>
                <w:sz w:val="20"/>
                <w:szCs w:val="20"/>
                <w:lang w:val="es-419" w:eastAsia="es-419"/>
              </w:rPr>
              <w:t> </w:t>
            </w:r>
          </w:p>
        </w:tc>
        <w:tc>
          <w:tcPr>
            <w:tcW w:w="4013" w:type="dxa"/>
            <w:vAlign w:val="center"/>
            <w:hideMark/>
          </w:tcPr>
          <w:p w14:paraId="4624B446" w14:textId="77777777" w:rsidR="00D81C95" w:rsidRPr="00951AB1" w:rsidRDefault="00D81C95" w:rsidP="000A5389">
            <w:pPr>
              <w:spacing w:line="240" w:lineRule="auto"/>
              <w:rPr>
                <w:rFonts w:eastAsia="Times New Roman" w:cs="Times New Roman"/>
                <w:color w:val="000000"/>
                <w:sz w:val="20"/>
                <w:szCs w:val="20"/>
                <w:lang w:val="es-419" w:eastAsia="es-419"/>
              </w:rPr>
            </w:pPr>
            <w:r w:rsidRPr="00951AB1">
              <w:rPr>
                <w:rFonts w:eastAsia="Times New Roman" w:cs="Times New Roman"/>
                <w:color w:val="000000"/>
                <w:sz w:val="20"/>
                <w:szCs w:val="20"/>
                <w:lang w:val="es-419" w:eastAsia="es-419"/>
              </w:rPr>
              <w:t>* Modo Férreo</w:t>
            </w:r>
          </w:p>
        </w:tc>
        <w:tc>
          <w:tcPr>
            <w:tcW w:w="1417" w:type="dxa"/>
            <w:noWrap/>
            <w:vAlign w:val="center"/>
            <w:hideMark/>
          </w:tcPr>
          <w:p w14:paraId="0924BEDE" w14:textId="77777777" w:rsidR="00D81C95" w:rsidRPr="00951AB1" w:rsidRDefault="00D81C95" w:rsidP="000A5389">
            <w:pPr>
              <w:spacing w:line="240" w:lineRule="auto"/>
              <w:jc w:val="right"/>
              <w:rPr>
                <w:rFonts w:eastAsia="Times New Roman" w:cs="Times New Roman"/>
                <w:color w:val="000000"/>
                <w:sz w:val="20"/>
                <w:szCs w:val="20"/>
                <w:lang w:val="es-419" w:eastAsia="es-419"/>
              </w:rPr>
            </w:pPr>
            <w:r w:rsidRPr="00951AB1">
              <w:rPr>
                <w:rFonts w:eastAsia="Times New Roman" w:cs="Times New Roman"/>
                <w:color w:val="000000"/>
                <w:sz w:val="20"/>
                <w:szCs w:val="20"/>
                <w:lang w:val="es-419" w:eastAsia="es-419"/>
              </w:rPr>
              <w:t xml:space="preserve">0 </w:t>
            </w:r>
          </w:p>
        </w:tc>
        <w:tc>
          <w:tcPr>
            <w:tcW w:w="1430" w:type="dxa"/>
            <w:noWrap/>
            <w:vAlign w:val="center"/>
            <w:hideMark/>
          </w:tcPr>
          <w:p w14:paraId="61BB1187" w14:textId="77777777" w:rsidR="00D81C95" w:rsidRPr="00951AB1" w:rsidRDefault="00D81C95" w:rsidP="000A5389">
            <w:pPr>
              <w:spacing w:line="240" w:lineRule="auto"/>
              <w:jc w:val="right"/>
              <w:rPr>
                <w:rFonts w:eastAsia="Times New Roman" w:cs="Times New Roman"/>
                <w:color w:val="000000"/>
                <w:sz w:val="20"/>
                <w:szCs w:val="20"/>
                <w:lang w:val="es-419" w:eastAsia="es-419"/>
              </w:rPr>
            </w:pPr>
            <w:r w:rsidRPr="00951AB1">
              <w:rPr>
                <w:rFonts w:eastAsia="Times New Roman" w:cs="Times New Roman"/>
                <w:color w:val="000000"/>
                <w:sz w:val="20"/>
                <w:szCs w:val="20"/>
                <w:lang w:val="es-419" w:eastAsia="es-419"/>
              </w:rPr>
              <w:t xml:space="preserve">25.996.662.448 </w:t>
            </w:r>
          </w:p>
        </w:tc>
        <w:tc>
          <w:tcPr>
            <w:tcW w:w="1405" w:type="dxa"/>
            <w:noWrap/>
            <w:vAlign w:val="center"/>
            <w:hideMark/>
          </w:tcPr>
          <w:p w14:paraId="609C61CD" w14:textId="77777777" w:rsidR="00D81C95" w:rsidRPr="00951AB1" w:rsidRDefault="00D81C95" w:rsidP="000A5389">
            <w:pPr>
              <w:spacing w:line="240" w:lineRule="auto"/>
              <w:rPr>
                <w:rFonts w:eastAsia="Times New Roman" w:cs="Times New Roman"/>
                <w:b/>
                <w:bCs/>
                <w:color w:val="000000"/>
                <w:sz w:val="20"/>
                <w:szCs w:val="20"/>
                <w:lang w:val="es-419" w:eastAsia="es-419"/>
              </w:rPr>
            </w:pPr>
            <w:r w:rsidRPr="00951AB1">
              <w:rPr>
                <w:rFonts w:eastAsia="Times New Roman" w:cs="Times New Roman"/>
                <w:b/>
                <w:bCs/>
                <w:color w:val="000000"/>
                <w:sz w:val="20"/>
                <w:szCs w:val="20"/>
                <w:lang w:val="es-419" w:eastAsia="es-419"/>
              </w:rPr>
              <w:t> </w:t>
            </w:r>
          </w:p>
        </w:tc>
      </w:tr>
      <w:tr w:rsidR="00D81C95" w:rsidRPr="00951AB1" w14:paraId="0A2C1431" w14:textId="77777777" w:rsidTr="00774AB2">
        <w:trPr>
          <w:trHeight w:val="600"/>
        </w:trPr>
        <w:tc>
          <w:tcPr>
            <w:tcW w:w="220" w:type="dxa"/>
            <w:noWrap/>
            <w:vAlign w:val="center"/>
            <w:hideMark/>
          </w:tcPr>
          <w:p w14:paraId="1FF256BE" w14:textId="77777777" w:rsidR="00D81C95" w:rsidRPr="00951AB1" w:rsidRDefault="00D81C95" w:rsidP="000A5389">
            <w:pPr>
              <w:spacing w:line="240" w:lineRule="auto"/>
              <w:jc w:val="center"/>
              <w:rPr>
                <w:rFonts w:eastAsia="Times New Roman" w:cs="Times New Roman"/>
                <w:b/>
                <w:bCs/>
                <w:color w:val="000000"/>
                <w:sz w:val="20"/>
                <w:szCs w:val="20"/>
                <w:lang w:val="es-419" w:eastAsia="es-419"/>
              </w:rPr>
            </w:pPr>
            <w:r w:rsidRPr="00951AB1">
              <w:rPr>
                <w:rFonts w:eastAsia="Times New Roman" w:cs="Times New Roman"/>
                <w:b/>
                <w:bCs/>
                <w:color w:val="000000"/>
                <w:sz w:val="20"/>
                <w:szCs w:val="20"/>
                <w:lang w:val="es-419" w:eastAsia="es-419"/>
              </w:rPr>
              <w:t>=</w:t>
            </w:r>
          </w:p>
        </w:tc>
        <w:tc>
          <w:tcPr>
            <w:tcW w:w="4453" w:type="dxa"/>
            <w:gridSpan w:val="3"/>
            <w:vAlign w:val="center"/>
            <w:hideMark/>
          </w:tcPr>
          <w:p w14:paraId="2EF68B65" w14:textId="77777777" w:rsidR="00D81C95" w:rsidRPr="00951AB1" w:rsidRDefault="00D81C95" w:rsidP="000A5389">
            <w:pPr>
              <w:spacing w:line="240" w:lineRule="auto"/>
              <w:rPr>
                <w:rFonts w:eastAsia="Times New Roman" w:cs="Times New Roman"/>
                <w:b/>
                <w:bCs/>
                <w:color w:val="000000"/>
                <w:sz w:val="20"/>
                <w:szCs w:val="20"/>
                <w:lang w:val="es-419" w:eastAsia="es-419"/>
              </w:rPr>
            </w:pPr>
            <w:r w:rsidRPr="00951AB1">
              <w:rPr>
                <w:rFonts w:eastAsia="Times New Roman" w:cs="Times New Roman"/>
                <w:b/>
                <w:bCs/>
                <w:color w:val="000000"/>
                <w:sz w:val="20"/>
                <w:szCs w:val="20"/>
                <w:lang w:val="es-419" w:eastAsia="es-419"/>
              </w:rPr>
              <w:t>SALDO FINAL (31-dic)</w:t>
            </w:r>
            <w:r w:rsidRPr="00951AB1">
              <w:rPr>
                <w:rFonts w:eastAsia="Times New Roman" w:cs="Times New Roman"/>
                <w:b/>
                <w:bCs/>
                <w:color w:val="000000"/>
                <w:sz w:val="20"/>
                <w:szCs w:val="20"/>
                <w:lang w:val="es-419" w:eastAsia="es-419"/>
              </w:rPr>
              <w:br/>
              <w:t>(Subtotal + Cambios)</w:t>
            </w:r>
          </w:p>
        </w:tc>
        <w:tc>
          <w:tcPr>
            <w:tcW w:w="1417" w:type="dxa"/>
            <w:noWrap/>
            <w:vAlign w:val="center"/>
            <w:hideMark/>
          </w:tcPr>
          <w:p w14:paraId="434E6966" w14:textId="77777777" w:rsidR="00D81C95" w:rsidRPr="00951AB1" w:rsidRDefault="00D81C95" w:rsidP="000A5389">
            <w:pPr>
              <w:spacing w:line="240" w:lineRule="auto"/>
              <w:jc w:val="right"/>
              <w:rPr>
                <w:rFonts w:eastAsia="Times New Roman" w:cs="Times New Roman"/>
                <w:b/>
                <w:bCs/>
                <w:color w:val="000000"/>
                <w:sz w:val="20"/>
                <w:szCs w:val="20"/>
                <w:lang w:val="es-419" w:eastAsia="es-419"/>
              </w:rPr>
            </w:pPr>
            <w:r w:rsidRPr="00951AB1">
              <w:rPr>
                <w:rFonts w:eastAsia="Times New Roman" w:cs="Times New Roman"/>
                <w:b/>
                <w:bCs/>
                <w:color w:val="000000"/>
                <w:sz w:val="20"/>
                <w:szCs w:val="20"/>
                <w:lang w:val="es-419" w:eastAsia="es-419"/>
              </w:rPr>
              <w:t xml:space="preserve">52.513.513.120 </w:t>
            </w:r>
          </w:p>
        </w:tc>
        <w:tc>
          <w:tcPr>
            <w:tcW w:w="1430" w:type="dxa"/>
            <w:noWrap/>
            <w:vAlign w:val="center"/>
            <w:hideMark/>
          </w:tcPr>
          <w:p w14:paraId="322E4160" w14:textId="77777777" w:rsidR="00D81C95" w:rsidRPr="00951AB1" w:rsidRDefault="00D81C95" w:rsidP="000A5389">
            <w:pPr>
              <w:spacing w:line="240" w:lineRule="auto"/>
              <w:jc w:val="right"/>
              <w:rPr>
                <w:rFonts w:eastAsia="Times New Roman" w:cs="Times New Roman"/>
                <w:b/>
                <w:bCs/>
                <w:color w:val="000000"/>
                <w:sz w:val="20"/>
                <w:szCs w:val="20"/>
                <w:lang w:val="es-419" w:eastAsia="es-419"/>
              </w:rPr>
            </w:pPr>
            <w:r w:rsidRPr="00951AB1">
              <w:rPr>
                <w:rFonts w:eastAsia="Times New Roman" w:cs="Times New Roman"/>
                <w:b/>
                <w:bCs/>
                <w:color w:val="000000"/>
                <w:sz w:val="20"/>
                <w:szCs w:val="20"/>
                <w:lang w:val="es-419" w:eastAsia="es-419"/>
              </w:rPr>
              <w:t xml:space="preserve">138.627.567.679 </w:t>
            </w:r>
          </w:p>
        </w:tc>
        <w:tc>
          <w:tcPr>
            <w:tcW w:w="1405" w:type="dxa"/>
            <w:noWrap/>
            <w:vAlign w:val="center"/>
            <w:hideMark/>
          </w:tcPr>
          <w:p w14:paraId="338ED91E" w14:textId="77777777" w:rsidR="00D81C95" w:rsidRPr="00951AB1" w:rsidRDefault="00D81C95" w:rsidP="000A5389">
            <w:pPr>
              <w:spacing w:line="240" w:lineRule="auto"/>
              <w:jc w:val="right"/>
              <w:rPr>
                <w:rFonts w:eastAsia="Times New Roman" w:cs="Times New Roman"/>
                <w:b/>
                <w:bCs/>
                <w:color w:val="000000"/>
                <w:sz w:val="20"/>
                <w:szCs w:val="20"/>
                <w:lang w:val="es-419" w:eastAsia="es-419"/>
              </w:rPr>
            </w:pPr>
            <w:r w:rsidRPr="00951AB1">
              <w:rPr>
                <w:rFonts w:eastAsia="Times New Roman" w:cs="Times New Roman"/>
                <w:b/>
                <w:bCs/>
                <w:color w:val="000000"/>
                <w:sz w:val="20"/>
                <w:szCs w:val="20"/>
                <w:lang w:val="es-419" w:eastAsia="es-419"/>
              </w:rPr>
              <w:t xml:space="preserve">191.141.080.799 </w:t>
            </w:r>
          </w:p>
        </w:tc>
      </w:tr>
      <w:tr w:rsidR="00D81C95" w:rsidRPr="00951AB1" w14:paraId="7BDA1B08" w14:textId="77777777" w:rsidTr="00774AB2">
        <w:trPr>
          <w:trHeight w:val="290"/>
        </w:trPr>
        <w:tc>
          <w:tcPr>
            <w:tcW w:w="220" w:type="dxa"/>
            <w:noWrap/>
            <w:vAlign w:val="center"/>
            <w:hideMark/>
          </w:tcPr>
          <w:p w14:paraId="580F496E" w14:textId="77777777" w:rsidR="00D81C95" w:rsidRPr="00951AB1" w:rsidRDefault="00D81C95" w:rsidP="000A5389">
            <w:pPr>
              <w:spacing w:line="240" w:lineRule="auto"/>
              <w:jc w:val="center"/>
              <w:rPr>
                <w:rFonts w:eastAsia="Times New Roman" w:cs="Times New Roman"/>
                <w:b/>
                <w:bCs/>
                <w:color w:val="000000"/>
                <w:sz w:val="20"/>
                <w:szCs w:val="20"/>
                <w:lang w:val="es-419" w:eastAsia="es-419"/>
              </w:rPr>
            </w:pPr>
            <w:r w:rsidRPr="00951AB1">
              <w:rPr>
                <w:rFonts w:eastAsia="Times New Roman" w:cs="Times New Roman"/>
                <w:b/>
                <w:bCs/>
                <w:color w:val="000000"/>
                <w:sz w:val="20"/>
                <w:szCs w:val="20"/>
                <w:lang w:val="es-419" w:eastAsia="es-419"/>
              </w:rPr>
              <w:t>-</w:t>
            </w:r>
          </w:p>
        </w:tc>
        <w:tc>
          <w:tcPr>
            <w:tcW w:w="4453" w:type="dxa"/>
            <w:gridSpan w:val="3"/>
            <w:vAlign w:val="center"/>
            <w:hideMark/>
          </w:tcPr>
          <w:p w14:paraId="5D80F28D" w14:textId="77777777" w:rsidR="00D81C95" w:rsidRPr="00951AB1" w:rsidRDefault="00D81C95" w:rsidP="000A5389">
            <w:pPr>
              <w:spacing w:line="240" w:lineRule="auto"/>
              <w:rPr>
                <w:rFonts w:eastAsia="Times New Roman" w:cs="Times New Roman"/>
                <w:b/>
                <w:bCs/>
                <w:color w:val="000000"/>
                <w:sz w:val="20"/>
                <w:szCs w:val="20"/>
                <w:lang w:val="es-419" w:eastAsia="es-419"/>
              </w:rPr>
            </w:pPr>
            <w:r w:rsidRPr="00951AB1">
              <w:rPr>
                <w:rFonts w:eastAsia="Times New Roman" w:cs="Times New Roman"/>
                <w:b/>
                <w:bCs/>
                <w:color w:val="000000"/>
                <w:sz w:val="20"/>
                <w:szCs w:val="20"/>
                <w:lang w:val="es-419" w:eastAsia="es-419"/>
              </w:rPr>
              <w:t>DEPRECIACIÓN ACUMULADA (DA)</w:t>
            </w:r>
          </w:p>
        </w:tc>
        <w:tc>
          <w:tcPr>
            <w:tcW w:w="1417" w:type="dxa"/>
            <w:noWrap/>
            <w:vAlign w:val="center"/>
            <w:hideMark/>
          </w:tcPr>
          <w:p w14:paraId="36E5F326" w14:textId="77777777" w:rsidR="00D81C95" w:rsidRPr="00951AB1" w:rsidRDefault="00D81C95" w:rsidP="000A5389">
            <w:pPr>
              <w:spacing w:line="240" w:lineRule="auto"/>
              <w:jc w:val="right"/>
              <w:rPr>
                <w:rFonts w:eastAsia="Times New Roman" w:cs="Times New Roman"/>
                <w:b/>
                <w:bCs/>
                <w:color w:val="000000"/>
                <w:sz w:val="20"/>
                <w:szCs w:val="20"/>
                <w:lang w:val="es-419" w:eastAsia="es-419"/>
              </w:rPr>
            </w:pPr>
            <w:r w:rsidRPr="00951AB1">
              <w:rPr>
                <w:rFonts w:eastAsia="Times New Roman" w:cs="Times New Roman"/>
                <w:b/>
                <w:bCs/>
                <w:color w:val="000000"/>
                <w:sz w:val="20"/>
                <w:szCs w:val="20"/>
                <w:lang w:val="es-419" w:eastAsia="es-419"/>
              </w:rPr>
              <w:t xml:space="preserve">0 </w:t>
            </w:r>
          </w:p>
        </w:tc>
        <w:tc>
          <w:tcPr>
            <w:tcW w:w="1430" w:type="dxa"/>
            <w:noWrap/>
            <w:vAlign w:val="center"/>
            <w:hideMark/>
          </w:tcPr>
          <w:p w14:paraId="2EADD02C" w14:textId="77777777" w:rsidR="00D81C95" w:rsidRPr="00951AB1" w:rsidRDefault="00D81C95" w:rsidP="000A5389">
            <w:pPr>
              <w:spacing w:line="240" w:lineRule="auto"/>
              <w:jc w:val="right"/>
              <w:rPr>
                <w:rFonts w:eastAsia="Times New Roman" w:cs="Times New Roman"/>
                <w:b/>
                <w:bCs/>
                <w:color w:val="000000"/>
                <w:sz w:val="20"/>
                <w:szCs w:val="20"/>
                <w:lang w:val="es-419" w:eastAsia="es-419"/>
              </w:rPr>
            </w:pPr>
            <w:r w:rsidRPr="00951AB1">
              <w:rPr>
                <w:rFonts w:eastAsia="Times New Roman" w:cs="Times New Roman"/>
                <w:b/>
                <w:bCs/>
                <w:color w:val="000000"/>
                <w:sz w:val="20"/>
                <w:szCs w:val="20"/>
                <w:lang w:val="es-419" w:eastAsia="es-419"/>
              </w:rPr>
              <w:t xml:space="preserve">1.224.880.853 </w:t>
            </w:r>
          </w:p>
        </w:tc>
        <w:tc>
          <w:tcPr>
            <w:tcW w:w="1405" w:type="dxa"/>
            <w:noWrap/>
            <w:vAlign w:val="center"/>
            <w:hideMark/>
          </w:tcPr>
          <w:p w14:paraId="5D17F9E1" w14:textId="77777777" w:rsidR="00D81C95" w:rsidRPr="00951AB1" w:rsidRDefault="00D81C95" w:rsidP="000A5389">
            <w:pPr>
              <w:spacing w:line="240" w:lineRule="auto"/>
              <w:jc w:val="right"/>
              <w:rPr>
                <w:rFonts w:eastAsia="Times New Roman" w:cs="Times New Roman"/>
                <w:b/>
                <w:bCs/>
                <w:color w:val="000000"/>
                <w:sz w:val="20"/>
                <w:szCs w:val="20"/>
                <w:lang w:val="es-419" w:eastAsia="es-419"/>
              </w:rPr>
            </w:pPr>
            <w:r w:rsidRPr="00951AB1">
              <w:rPr>
                <w:rFonts w:eastAsia="Times New Roman" w:cs="Times New Roman"/>
                <w:b/>
                <w:bCs/>
                <w:color w:val="000000"/>
                <w:sz w:val="20"/>
                <w:szCs w:val="20"/>
                <w:lang w:val="es-419" w:eastAsia="es-419"/>
              </w:rPr>
              <w:t xml:space="preserve">1.224.880.853 </w:t>
            </w:r>
          </w:p>
        </w:tc>
      </w:tr>
      <w:tr w:rsidR="00D81C95" w:rsidRPr="00951AB1" w14:paraId="33E96AFC" w14:textId="77777777" w:rsidTr="00774AB2">
        <w:trPr>
          <w:trHeight w:val="290"/>
        </w:trPr>
        <w:tc>
          <w:tcPr>
            <w:tcW w:w="220" w:type="dxa"/>
            <w:noWrap/>
            <w:vAlign w:val="center"/>
            <w:hideMark/>
          </w:tcPr>
          <w:p w14:paraId="794BEA21" w14:textId="77777777" w:rsidR="00D81C95" w:rsidRPr="00951AB1" w:rsidRDefault="00D81C95" w:rsidP="000A5389">
            <w:pPr>
              <w:spacing w:line="240" w:lineRule="auto"/>
              <w:jc w:val="center"/>
              <w:rPr>
                <w:rFonts w:eastAsia="Times New Roman" w:cs="Times New Roman"/>
                <w:color w:val="000000"/>
                <w:sz w:val="20"/>
                <w:szCs w:val="20"/>
                <w:lang w:val="es-419" w:eastAsia="es-419"/>
              </w:rPr>
            </w:pPr>
            <w:r w:rsidRPr="00951AB1">
              <w:rPr>
                <w:rFonts w:eastAsia="Times New Roman" w:cs="Times New Roman"/>
                <w:color w:val="000000"/>
                <w:sz w:val="20"/>
                <w:szCs w:val="20"/>
                <w:lang w:val="es-419" w:eastAsia="es-419"/>
              </w:rPr>
              <w:t> </w:t>
            </w:r>
          </w:p>
        </w:tc>
        <w:tc>
          <w:tcPr>
            <w:tcW w:w="220" w:type="dxa"/>
            <w:noWrap/>
            <w:vAlign w:val="center"/>
            <w:hideMark/>
          </w:tcPr>
          <w:p w14:paraId="7061E74D" w14:textId="77777777" w:rsidR="00D81C95" w:rsidRPr="00951AB1" w:rsidRDefault="00D81C95" w:rsidP="000A5389">
            <w:pPr>
              <w:spacing w:line="240" w:lineRule="auto"/>
              <w:rPr>
                <w:rFonts w:eastAsia="Times New Roman" w:cs="Times New Roman"/>
                <w:color w:val="000000"/>
                <w:sz w:val="20"/>
                <w:szCs w:val="20"/>
                <w:lang w:val="es-419" w:eastAsia="es-419"/>
              </w:rPr>
            </w:pPr>
            <w:r w:rsidRPr="00951AB1">
              <w:rPr>
                <w:rFonts w:eastAsia="Times New Roman" w:cs="Times New Roman"/>
                <w:color w:val="000000"/>
                <w:sz w:val="20"/>
                <w:szCs w:val="20"/>
                <w:lang w:val="es-419" w:eastAsia="es-419"/>
              </w:rPr>
              <w:t> </w:t>
            </w:r>
          </w:p>
        </w:tc>
        <w:tc>
          <w:tcPr>
            <w:tcW w:w="220" w:type="dxa"/>
            <w:noWrap/>
            <w:vAlign w:val="center"/>
            <w:hideMark/>
          </w:tcPr>
          <w:p w14:paraId="76F363CA" w14:textId="77777777" w:rsidR="00D81C95" w:rsidRPr="00951AB1" w:rsidRDefault="00D81C95" w:rsidP="000A5389">
            <w:pPr>
              <w:spacing w:line="240" w:lineRule="auto"/>
              <w:rPr>
                <w:rFonts w:eastAsia="Times New Roman" w:cs="Times New Roman"/>
                <w:color w:val="000000"/>
                <w:sz w:val="20"/>
                <w:szCs w:val="20"/>
                <w:lang w:val="es-419" w:eastAsia="es-419"/>
              </w:rPr>
            </w:pPr>
            <w:r w:rsidRPr="00951AB1">
              <w:rPr>
                <w:rFonts w:eastAsia="Times New Roman" w:cs="Times New Roman"/>
                <w:color w:val="000000"/>
                <w:sz w:val="20"/>
                <w:szCs w:val="20"/>
                <w:lang w:val="es-419" w:eastAsia="es-419"/>
              </w:rPr>
              <w:t> </w:t>
            </w:r>
          </w:p>
        </w:tc>
        <w:tc>
          <w:tcPr>
            <w:tcW w:w="4013" w:type="dxa"/>
            <w:vAlign w:val="center"/>
            <w:hideMark/>
          </w:tcPr>
          <w:p w14:paraId="72482F18" w14:textId="77777777" w:rsidR="00D81C95" w:rsidRPr="00951AB1" w:rsidRDefault="00D81C95" w:rsidP="000A5389">
            <w:pPr>
              <w:spacing w:line="240" w:lineRule="auto"/>
              <w:rPr>
                <w:rFonts w:eastAsia="Times New Roman" w:cs="Times New Roman"/>
                <w:color w:val="000000"/>
                <w:sz w:val="20"/>
                <w:szCs w:val="20"/>
                <w:lang w:val="es-419" w:eastAsia="es-419"/>
              </w:rPr>
            </w:pPr>
            <w:r w:rsidRPr="00951AB1">
              <w:rPr>
                <w:rFonts w:eastAsia="Times New Roman" w:cs="Times New Roman"/>
                <w:color w:val="000000"/>
                <w:sz w:val="20"/>
                <w:szCs w:val="20"/>
                <w:lang w:val="es-419" w:eastAsia="es-419"/>
              </w:rPr>
              <w:t>Saldo inicial de la Depreciación acumulada</w:t>
            </w:r>
          </w:p>
        </w:tc>
        <w:tc>
          <w:tcPr>
            <w:tcW w:w="1417" w:type="dxa"/>
            <w:noWrap/>
            <w:vAlign w:val="center"/>
            <w:hideMark/>
          </w:tcPr>
          <w:p w14:paraId="5643AF84" w14:textId="77777777" w:rsidR="00D81C95" w:rsidRPr="00951AB1" w:rsidRDefault="00D81C95" w:rsidP="000A5389">
            <w:pPr>
              <w:spacing w:line="240" w:lineRule="auto"/>
              <w:jc w:val="right"/>
              <w:rPr>
                <w:rFonts w:eastAsia="Times New Roman" w:cs="Times New Roman"/>
                <w:color w:val="000000"/>
                <w:sz w:val="20"/>
                <w:szCs w:val="20"/>
                <w:lang w:val="es-419" w:eastAsia="es-419"/>
              </w:rPr>
            </w:pPr>
            <w:r w:rsidRPr="00951AB1">
              <w:rPr>
                <w:rFonts w:eastAsia="Times New Roman" w:cs="Times New Roman"/>
                <w:color w:val="000000"/>
                <w:sz w:val="20"/>
                <w:szCs w:val="20"/>
                <w:lang w:val="es-419" w:eastAsia="es-419"/>
              </w:rPr>
              <w:t xml:space="preserve">0 </w:t>
            </w:r>
          </w:p>
        </w:tc>
        <w:tc>
          <w:tcPr>
            <w:tcW w:w="1430" w:type="dxa"/>
            <w:noWrap/>
            <w:vAlign w:val="center"/>
            <w:hideMark/>
          </w:tcPr>
          <w:p w14:paraId="7DB14845" w14:textId="77777777" w:rsidR="00D81C95" w:rsidRPr="00951AB1" w:rsidRDefault="00D81C95" w:rsidP="000A5389">
            <w:pPr>
              <w:spacing w:line="240" w:lineRule="auto"/>
              <w:jc w:val="right"/>
              <w:rPr>
                <w:rFonts w:eastAsia="Times New Roman" w:cs="Times New Roman"/>
                <w:color w:val="000000"/>
                <w:sz w:val="20"/>
                <w:szCs w:val="20"/>
                <w:lang w:val="es-419" w:eastAsia="es-419"/>
              </w:rPr>
            </w:pPr>
            <w:r w:rsidRPr="00951AB1">
              <w:rPr>
                <w:rFonts w:eastAsia="Times New Roman" w:cs="Times New Roman"/>
                <w:color w:val="000000"/>
                <w:sz w:val="20"/>
                <w:szCs w:val="20"/>
                <w:lang w:val="es-419" w:eastAsia="es-419"/>
              </w:rPr>
              <w:t xml:space="preserve">1.194.935.027 </w:t>
            </w:r>
          </w:p>
        </w:tc>
        <w:tc>
          <w:tcPr>
            <w:tcW w:w="1405" w:type="dxa"/>
            <w:noWrap/>
            <w:vAlign w:val="center"/>
            <w:hideMark/>
          </w:tcPr>
          <w:p w14:paraId="152E7FCC" w14:textId="77777777" w:rsidR="00D81C95" w:rsidRPr="00951AB1" w:rsidRDefault="00D81C95" w:rsidP="000A5389">
            <w:pPr>
              <w:spacing w:line="240" w:lineRule="auto"/>
              <w:jc w:val="right"/>
              <w:rPr>
                <w:rFonts w:eastAsia="Times New Roman" w:cs="Times New Roman"/>
                <w:b/>
                <w:bCs/>
                <w:color w:val="000000"/>
                <w:sz w:val="20"/>
                <w:szCs w:val="20"/>
                <w:lang w:val="es-419" w:eastAsia="es-419"/>
              </w:rPr>
            </w:pPr>
            <w:r w:rsidRPr="00951AB1">
              <w:rPr>
                <w:rFonts w:eastAsia="Times New Roman" w:cs="Times New Roman"/>
                <w:b/>
                <w:bCs/>
                <w:color w:val="000000"/>
                <w:sz w:val="20"/>
                <w:szCs w:val="20"/>
                <w:lang w:val="es-419" w:eastAsia="es-419"/>
              </w:rPr>
              <w:t xml:space="preserve">1.194.935.027 </w:t>
            </w:r>
          </w:p>
        </w:tc>
      </w:tr>
      <w:tr w:rsidR="00D81C95" w:rsidRPr="00951AB1" w14:paraId="15D6D44B" w14:textId="77777777" w:rsidTr="00774AB2">
        <w:trPr>
          <w:trHeight w:val="290"/>
        </w:trPr>
        <w:tc>
          <w:tcPr>
            <w:tcW w:w="220" w:type="dxa"/>
            <w:noWrap/>
            <w:vAlign w:val="center"/>
            <w:hideMark/>
          </w:tcPr>
          <w:p w14:paraId="1CBA1007" w14:textId="77777777" w:rsidR="00D81C95" w:rsidRPr="00951AB1" w:rsidRDefault="00D81C95" w:rsidP="000A5389">
            <w:pPr>
              <w:spacing w:line="240" w:lineRule="auto"/>
              <w:jc w:val="center"/>
              <w:rPr>
                <w:rFonts w:eastAsia="Times New Roman" w:cs="Times New Roman"/>
                <w:color w:val="000000"/>
                <w:sz w:val="20"/>
                <w:szCs w:val="20"/>
                <w:lang w:val="es-419" w:eastAsia="es-419"/>
              </w:rPr>
            </w:pPr>
            <w:r w:rsidRPr="00951AB1">
              <w:rPr>
                <w:rFonts w:eastAsia="Times New Roman" w:cs="Times New Roman"/>
                <w:color w:val="000000"/>
                <w:sz w:val="20"/>
                <w:szCs w:val="20"/>
                <w:lang w:val="es-419" w:eastAsia="es-419"/>
              </w:rPr>
              <w:t> </w:t>
            </w:r>
          </w:p>
        </w:tc>
        <w:tc>
          <w:tcPr>
            <w:tcW w:w="220" w:type="dxa"/>
            <w:noWrap/>
            <w:vAlign w:val="center"/>
            <w:hideMark/>
          </w:tcPr>
          <w:p w14:paraId="2905A526" w14:textId="77777777" w:rsidR="00D81C95" w:rsidRPr="00951AB1" w:rsidRDefault="00D81C95" w:rsidP="000A5389">
            <w:pPr>
              <w:spacing w:line="240" w:lineRule="auto"/>
              <w:rPr>
                <w:rFonts w:eastAsia="Times New Roman" w:cs="Times New Roman"/>
                <w:color w:val="000000"/>
                <w:sz w:val="20"/>
                <w:szCs w:val="20"/>
                <w:lang w:val="es-419" w:eastAsia="es-419"/>
              </w:rPr>
            </w:pPr>
            <w:r w:rsidRPr="00951AB1">
              <w:rPr>
                <w:rFonts w:eastAsia="Times New Roman" w:cs="Times New Roman"/>
                <w:color w:val="000000"/>
                <w:sz w:val="20"/>
                <w:szCs w:val="20"/>
                <w:lang w:val="es-419" w:eastAsia="es-419"/>
              </w:rPr>
              <w:t> </w:t>
            </w:r>
          </w:p>
        </w:tc>
        <w:tc>
          <w:tcPr>
            <w:tcW w:w="220" w:type="dxa"/>
            <w:noWrap/>
            <w:vAlign w:val="center"/>
            <w:hideMark/>
          </w:tcPr>
          <w:p w14:paraId="589D7D04" w14:textId="77777777" w:rsidR="00D81C95" w:rsidRPr="00951AB1" w:rsidRDefault="00D81C95" w:rsidP="000A5389">
            <w:pPr>
              <w:spacing w:line="240" w:lineRule="auto"/>
              <w:jc w:val="center"/>
              <w:rPr>
                <w:rFonts w:eastAsia="Times New Roman" w:cs="Times New Roman"/>
                <w:color w:val="000000"/>
                <w:sz w:val="20"/>
                <w:szCs w:val="20"/>
                <w:lang w:val="es-419" w:eastAsia="es-419"/>
              </w:rPr>
            </w:pPr>
            <w:r w:rsidRPr="00951AB1">
              <w:rPr>
                <w:rFonts w:eastAsia="Times New Roman" w:cs="Times New Roman"/>
                <w:color w:val="000000"/>
                <w:sz w:val="20"/>
                <w:szCs w:val="20"/>
                <w:lang w:val="es-419" w:eastAsia="es-419"/>
              </w:rPr>
              <w:t>+</w:t>
            </w:r>
          </w:p>
        </w:tc>
        <w:tc>
          <w:tcPr>
            <w:tcW w:w="4013" w:type="dxa"/>
            <w:vAlign w:val="center"/>
            <w:hideMark/>
          </w:tcPr>
          <w:p w14:paraId="2CD1F6F8" w14:textId="77777777" w:rsidR="00D81C95" w:rsidRPr="00951AB1" w:rsidRDefault="00D81C95" w:rsidP="000A5389">
            <w:pPr>
              <w:spacing w:line="240" w:lineRule="auto"/>
              <w:rPr>
                <w:rFonts w:eastAsia="Times New Roman" w:cs="Times New Roman"/>
                <w:color w:val="000000"/>
                <w:sz w:val="20"/>
                <w:szCs w:val="20"/>
                <w:lang w:val="es-419" w:eastAsia="es-419"/>
              </w:rPr>
            </w:pPr>
            <w:r w:rsidRPr="00951AB1">
              <w:rPr>
                <w:rFonts w:eastAsia="Times New Roman" w:cs="Times New Roman"/>
                <w:color w:val="000000"/>
                <w:sz w:val="20"/>
                <w:szCs w:val="20"/>
                <w:lang w:val="es-419" w:eastAsia="es-419"/>
              </w:rPr>
              <w:t>Depreciación registrada - vigencia actual</w:t>
            </w:r>
          </w:p>
        </w:tc>
        <w:tc>
          <w:tcPr>
            <w:tcW w:w="1417" w:type="dxa"/>
            <w:noWrap/>
            <w:vAlign w:val="center"/>
            <w:hideMark/>
          </w:tcPr>
          <w:p w14:paraId="0DFC4CE2" w14:textId="77777777" w:rsidR="00D81C95" w:rsidRPr="00951AB1" w:rsidRDefault="00D81C95" w:rsidP="000A5389">
            <w:pPr>
              <w:spacing w:line="240" w:lineRule="auto"/>
              <w:jc w:val="right"/>
              <w:rPr>
                <w:rFonts w:eastAsia="Times New Roman" w:cs="Times New Roman"/>
                <w:color w:val="000000"/>
                <w:sz w:val="20"/>
                <w:szCs w:val="20"/>
                <w:lang w:val="es-419" w:eastAsia="es-419"/>
              </w:rPr>
            </w:pPr>
            <w:r w:rsidRPr="00951AB1">
              <w:rPr>
                <w:rFonts w:eastAsia="Times New Roman" w:cs="Times New Roman"/>
                <w:color w:val="000000"/>
                <w:sz w:val="20"/>
                <w:szCs w:val="20"/>
                <w:lang w:val="es-419" w:eastAsia="es-419"/>
              </w:rPr>
              <w:t xml:space="preserve">0 </w:t>
            </w:r>
          </w:p>
        </w:tc>
        <w:tc>
          <w:tcPr>
            <w:tcW w:w="1430" w:type="dxa"/>
            <w:noWrap/>
            <w:vAlign w:val="center"/>
            <w:hideMark/>
          </w:tcPr>
          <w:p w14:paraId="231E23D7" w14:textId="77777777" w:rsidR="00D81C95" w:rsidRPr="00951AB1" w:rsidRDefault="00D81C95" w:rsidP="000A5389">
            <w:pPr>
              <w:spacing w:line="240" w:lineRule="auto"/>
              <w:jc w:val="right"/>
              <w:rPr>
                <w:rFonts w:eastAsia="Times New Roman" w:cs="Times New Roman"/>
                <w:color w:val="000000"/>
                <w:sz w:val="20"/>
                <w:szCs w:val="20"/>
                <w:lang w:val="es-419" w:eastAsia="es-419"/>
              </w:rPr>
            </w:pPr>
            <w:r w:rsidRPr="00951AB1">
              <w:rPr>
                <w:rFonts w:eastAsia="Times New Roman" w:cs="Times New Roman"/>
                <w:color w:val="000000"/>
                <w:sz w:val="20"/>
                <w:szCs w:val="20"/>
                <w:lang w:val="es-419" w:eastAsia="es-419"/>
              </w:rPr>
              <w:t xml:space="preserve">29.945.827 </w:t>
            </w:r>
          </w:p>
        </w:tc>
        <w:tc>
          <w:tcPr>
            <w:tcW w:w="1405" w:type="dxa"/>
            <w:noWrap/>
            <w:vAlign w:val="center"/>
            <w:hideMark/>
          </w:tcPr>
          <w:p w14:paraId="5651A940" w14:textId="77777777" w:rsidR="00D81C95" w:rsidRPr="00951AB1" w:rsidRDefault="00D81C95" w:rsidP="000A5389">
            <w:pPr>
              <w:spacing w:line="240" w:lineRule="auto"/>
              <w:jc w:val="right"/>
              <w:rPr>
                <w:rFonts w:eastAsia="Times New Roman" w:cs="Times New Roman"/>
                <w:b/>
                <w:bCs/>
                <w:color w:val="000000"/>
                <w:sz w:val="20"/>
                <w:szCs w:val="20"/>
                <w:lang w:val="es-419" w:eastAsia="es-419"/>
              </w:rPr>
            </w:pPr>
            <w:r w:rsidRPr="00951AB1">
              <w:rPr>
                <w:rFonts w:eastAsia="Times New Roman" w:cs="Times New Roman"/>
                <w:b/>
                <w:bCs/>
                <w:color w:val="000000"/>
                <w:sz w:val="20"/>
                <w:szCs w:val="20"/>
                <w:lang w:val="es-419" w:eastAsia="es-419"/>
              </w:rPr>
              <w:t xml:space="preserve">29.945.827 </w:t>
            </w:r>
          </w:p>
        </w:tc>
      </w:tr>
      <w:tr w:rsidR="00D81C95" w:rsidRPr="00951AB1" w14:paraId="515456E1" w14:textId="77777777" w:rsidTr="00774AB2">
        <w:trPr>
          <w:trHeight w:val="290"/>
        </w:trPr>
        <w:tc>
          <w:tcPr>
            <w:tcW w:w="220" w:type="dxa"/>
            <w:noWrap/>
            <w:vAlign w:val="center"/>
            <w:hideMark/>
          </w:tcPr>
          <w:p w14:paraId="6D9B0521" w14:textId="77777777" w:rsidR="00D81C95" w:rsidRPr="00951AB1" w:rsidRDefault="00D81C95" w:rsidP="000A5389">
            <w:pPr>
              <w:spacing w:line="240" w:lineRule="auto"/>
              <w:jc w:val="center"/>
              <w:rPr>
                <w:rFonts w:eastAsia="Times New Roman" w:cs="Times New Roman"/>
                <w:b/>
                <w:bCs/>
                <w:color w:val="000000"/>
                <w:sz w:val="20"/>
                <w:szCs w:val="20"/>
                <w:lang w:val="es-419" w:eastAsia="es-419"/>
              </w:rPr>
            </w:pPr>
            <w:r w:rsidRPr="00951AB1">
              <w:rPr>
                <w:rFonts w:eastAsia="Times New Roman" w:cs="Times New Roman"/>
                <w:b/>
                <w:bCs/>
                <w:color w:val="000000"/>
                <w:sz w:val="20"/>
                <w:szCs w:val="20"/>
                <w:lang w:val="es-419" w:eastAsia="es-419"/>
              </w:rPr>
              <w:t>-</w:t>
            </w:r>
          </w:p>
        </w:tc>
        <w:tc>
          <w:tcPr>
            <w:tcW w:w="4453" w:type="dxa"/>
            <w:gridSpan w:val="3"/>
            <w:vAlign w:val="center"/>
            <w:hideMark/>
          </w:tcPr>
          <w:p w14:paraId="6F20B28E" w14:textId="77777777" w:rsidR="00D81C95" w:rsidRPr="00951AB1" w:rsidRDefault="00D81C95" w:rsidP="000A5389">
            <w:pPr>
              <w:spacing w:line="240" w:lineRule="auto"/>
              <w:rPr>
                <w:rFonts w:eastAsia="Times New Roman" w:cs="Times New Roman"/>
                <w:b/>
                <w:bCs/>
                <w:color w:val="000000"/>
                <w:sz w:val="20"/>
                <w:szCs w:val="20"/>
                <w:lang w:val="es-419" w:eastAsia="es-419"/>
              </w:rPr>
            </w:pPr>
            <w:r w:rsidRPr="00951AB1">
              <w:rPr>
                <w:rFonts w:eastAsia="Times New Roman" w:cs="Times New Roman"/>
                <w:b/>
                <w:bCs/>
                <w:color w:val="000000"/>
                <w:sz w:val="20"/>
                <w:szCs w:val="20"/>
                <w:lang w:val="es-419" w:eastAsia="es-419"/>
              </w:rPr>
              <w:t>DETERIORO ACUMULADO DE PPE (DE)</w:t>
            </w:r>
          </w:p>
        </w:tc>
        <w:tc>
          <w:tcPr>
            <w:tcW w:w="1417" w:type="dxa"/>
            <w:noWrap/>
            <w:vAlign w:val="center"/>
            <w:hideMark/>
          </w:tcPr>
          <w:p w14:paraId="546EDD42" w14:textId="77777777" w:rsidR="00D81C95" w:rsidRPr="00951AB1" w:rsidRDefault="00D81C95" w:rsidP="000A5389">
            <w:pPr>
              <w:spacing w:line="240" w:lineRule="auto"/>
              <w:jc w:val="right"/>
              <w:rPr>
                <w:rFonts w:eastAsia="Times New Roman" w:cs="Times New Roman"/>
                <w:b/>
                <w:bCs/>
                <w:color w:val="000000"/>
                <w:sz w:val="20"/>
                <w:szCs w:val="20"/>
                <w:lang w:val="es-419" w:eastAsia="es-419"/>
              </w:rPr>
            </w:pPr>
            <w:r w:rsidRPr="00951AB1">
              <w:rPr>
                <w:rFonts w:eastAsia="Times New Roman" w:cs="Times New Roman"/>
                <w:b/>
                <w:bCs/>
                <w:color w:val="000000"/>
                <w:sz w:val="20"/>
                <w:szCs w:val="20"/>
                <w:lang w:val="es-419" w:eastAsia="es-419"/>
              </w:rPr>
              <w:t xml:space="preserve">0 </w:t>
            </w:r>
          </w:p>
        </w:tc>
        <w:tc>
          <w:tcPr>
            <w:tcW w:w="1430" w:type="dxa"/>
            <w:noWrap/>
            <w:vAlign w:val="center"/>
            <w:hideMark/>
          </w:tcPr>
          <w:p w14:paraId="3C2B0791" w14:textId="77777777" w:rsidR="00D81C95" w:rsidRPr="00951AB1" w:rsidRDefault="00D81C95" w:rsidP="000A5389">
            <w:pPr>
              <w:spacing w:line="240" w:lineRule="auto"/>
              <w:jc w:val="right"/>
              <w:rPr>
                <w:rFonts w:eastAsia="Times New Roman" w:cs="Times New Roman"/>
                <w:b/>
                <w:bCs/>
                <w:color w:val="000000"/>
                <w:sz w:val="20"/>
                <w:szCs w:val="20"/>
                <w:lang w:val="es-419" w:eastAsia="es-419"/>
              </w:rPr>
            </w:pPr>
            <w:r w:rsidRPr="00951AB1">
              <w:rPr>
                <w:rFonts w:eastAsia="Times New Roman" w:cs="Times New Roman"/>
                <w:b/>
                <w:bCs/>
                <w:color w:val="000000"/>
                <w:sz w:val="20"/>
                <w:szCs w:val="20"/>
                <w:lang w:val="es-419" w:eastAsia="es-419"/>
              </w:rPr>
              <w:t xml:space="preserve">0 </w:t>
            </w:r>
          </w:p>
        </w:tc>
        <w:tc>
          <w:tcPr>
            <w:tcW w:w="1405" w:type="dxa"/>
            <w:noWrap/>
            <w:vAlign w:val="center"/>
            <w:hideMark/>
          </w:tcPr>
          <w:p w14:paraId="59CE104E" w14:textId="77777777" w:rsidR="00D81C95" w:rsidRPr="00951AB1" w:rsidRDefault="00D81C95" w:rsidP="000A5389">
            <w:pPr>
              <w:spacing w:line="240" w:lineRule="auto"/>
              <w:jc w:val="right"/>
              <w:rPr>
                <w:rFonts w:eastAsia="Times New Roman" w:cs="Times New Roman"/>
                <w:b/>
                <w:bCs/>
                <w:color w:val="000000"/>
                <w:sz w:val="20"/>
                <w:szCs w:val="20"/>
                <w:lang w:val="es-419" w:eastAsia="es-419"/>
              </w:rPr>
            </w:pPr>
            <w:r w:rsidRPr="00951AB1">
              <w:rPr>
                <w:rFonts w:eastAsia="Times New Roman" w:cs="Times New Roman"/>
                <w:b/>
                <w:bCs/>
                <w:color w:val="000000"/>
                <w:sz w:val="20"/>
                <w:szCs w:val="20"/>
                <w:lang w:val="es-419" w:eastAsia="es-419"/>
              </w:rPr>
              <w:t xml:space="preserve">0 </w:t>
            </w:r>
          </w:p>
        </w:tc>
      </w:tr>
      <w:tr w:rsidR="00D81C95" w:rsidRPr="00951AB1" w14:paraId="34245FD8" w14:textId="77777777" w:rsidTr="00774AB2">
        <w:trPr>
          <w:trHeight w:val="600"/>
        </w:trPr>
        <w:tc>
          <w:tcPr>
            <w:tcW w:w="220" w:type="dxa"/>
            <w:noWrap/>
            <w:vAlign w:val="center"/>
            <w:hideMark/>
          </w:tcPr>
          <w:p w14:paraId="2B95C7B6" w14:textId="77777777" w:rsidR="00D81C95" w:rsidRPr="00951AB1" w:rsidRDefault="00D81C95" w:rsidP="000A5389">
            <w:pPr>
              <w:spacing w:line="240" w:lineRule="auto"/>
              <w:jc w:val="center"/>
              <w:rPr>
                <w:rFonts w:eastAsia="Times New Roman" w:cs="Times New Roman"/>
                <w:b/>
                <w:bCs/>
                <w:color w:val="000000"/>
                <w:sz w:val="20"/>
                <w:szCs w:val="20"/>
                <w:lang w:val="es-419" w:eastAsia="es-419"/>
              </w:rPr>
            </w:pPr>
            <w:r w:rsidRPr="00951AB1">
              <w:rPr>
                <w:rFonts w:eastAsia="Times New Roman" w:cs="Times New Roman"/>
                <w:b/>
                <w:bCs/>
                <w:color w:val="000000"/>
                <w:sz w:val="20"/>
                <w:szCs w:val="20"/>
                <w:lang w:val="es-419" w:eastAsia="es-419"/>
              </w:rPr>
              <w:t>=</w:t>
            </w:r>
          </w:p>
        </w:tc>
        <w:tc>
          <w:tcPr>
            <w:tcW w:w="4453" w:type="dxa"/>
            <w:gridSpan w:val="3"/>
            <w:vAlign w:val="center"/>
            <w:hideMark/>
          </w:tcPr>
          <w:p w14:paraId="2C1B6005" w14:textId="77777777" w:rsidR="00D81C95" w:rsidRPr="00951AB1" w:rsidRDefault="00D81C95" w:rsidP="000A5389">
            <w:pPr>
              <w:spacing w:line="240" w:lineRule="auto"/>
              <w:rPr>
                <w:rFonts w:eastAsia="Times New Roman" w:cs="Times New Roman"/>
                <w:b/>
                <w:bCs/>
                <w:color w:val="000000"/>
                <w:sz w:val="20"/>
                <w:szCs w:val="20"/>
                <w:lang w:val="es-419" w:eastAsia="es-419"/>
              </w:rPr>
            </w:pPr>
            <w:r w:rsidRPr="00951AB1">
              <w:rPr>
                <w:rFonts w:eastAsia="Times New Roman" w:cs="Times New Roman"/>
                <w:b/>
                <w:bCs/>
                <w:color w:val="000000"/>
                <w:sz w:val="20"/>
                <w:szCs w:val="20"/>
                <w:lang w:val="es-419" w:eastAsia="es-419"/>
              </w:rPr>
              <w:t>VALOR EN LIBROS</w:t>
            </w:r>
            <w:r w:rsidRPr="00951AB1">
              <w:rPr>
                <w:rFonts w:eastAsia="Times New Roman" w:cs="Times New Roman"/>
                <w:b/>
                <w:bCs/>
                <w:color w:val="000000"/>
                <w:sz w:val="20"/>
                <w:szCs w:val="20"/>
                <w:lang w:val="es-419" w:eastAsia="es-419"/>
              </w:rPr>
              <w:br/>
              <w:t>(Saldo final - DA - DE)</w:t>
            </w:r>
          </w:p>
        </w:tc>
        <w:tc>
          <w:tcPr>
            <w:tcW w:w="1417" w:type="dxa"/>
            <w:noWrap/>
            <w:vAlign w:val="center"/>
            <w:hideMark/>
          </w:tcPr>
          <w:p w14:paraId="313F5D8F" w14:textId="77777777" w:rsidR="00D81C95" w:rsidRPr="00951AB1" w:rsidRDefault="00D81C95" w:rsidP="000A5389">
            <w:pPr>
              <w:spacing w:line="240" w:lineRule="auto"/>
              <w:jc w:val="right"/>
              <w:rPr>
                <w:rFonts w:eastAsia="Times New Roman" w:cs="Times New Roman"/>
                <w:b/>
                <w:bCs/>
                <w:color w:val="000000"/>
                <w:sz w:val="20"/>
                <w:szCs w:val="20"/>
                <w:lang w:val="es-419" w:eastAsia="es-419"/>
              </w:rPr>
            </w:pPr>
            <w:r w:rsidRPr="00951AB1">
              <w:rPr>
                <w:rFonts w:eastAsia="Times New Roman" w:cs="Times New Roman"/>
                <w:b/>
                <w:bCs/>
                <w:color w:val="000000"/>
                <w:sz w:val="20"/>
                <w:szCs w:val="20"/>
                <w:lang w:val="es-419" w:eastAsia="es-419"/>
              </w:rPr>
              <w:t xml:space="preserve">52.513.513.120 </w:t>
            </w:r>
          </w:p>
        </w:tc>
        <w:tc>
          <w:tcPr>
            <w:tcW w:w="1430" w:type="dxa"/>
            <w:noWrap/>
            <w:vAlign w:val="center"/>
            <w:hideMark/>
          </w:tcPr>
          <w:p w14:paraId="66F50433" w14:textId="77777777" w:rsidR="00D81C95" w:rsidRPr="00951AB1" w:rsidRDefault="00D81C95" w:rsidP="000A5389">
            <w:pPr>
              <w:spacing w:line="240" w:lineRule="auto"/>
              <w:jc w:val="right"/>
              <w:rPr>
                <w:rFonts w:eastAsia="Times New Roman" w:cs="Times New Roman"/>
                <w:b/>
                <w:bCs/>
                <w:color w:val="000000"/>
                <w:sz w:val="20"/>
                <w:szCs w:val="20"/>
                <w:lang w:val="es-419" w:eastAsia="es-419"/>
              </w:rPr>
            </w:pPr>
            <w:r w:rsidRPr="00951AB1">
              <w:rPr>
                <w:rFonts w:eastAsia="Times New Roman" w:cs="Times New Roman"/>
                <w:b/>
                <w:bCs/>
                <w:color w:val="000000"/>
                <w:sz w:val="20"/>
                <w:szCs w:val="20"/>
                <w:lang w:val="es-419" w:eastAsia="es-419"/>
              </w:rPr>
              <w:t xml:space="preserve">137.402.686.826 </w:t>
            </w:r>
          </w:p>
        </w:tc>
        <w:tc>
          <w:tcPr>
            <w:tcW w:w="1405" w:type="dxa"/>
            <w:noWrap/>
            <w:vAlign w:val="center"/>
            <w:hideMark/>
          </w:tcPr>
          <w:p w14:paraId="60AEFCC8" w14:textId="77777777" w:rsidR="00D81C95" w:rsidRPr="00951AB1" w:rsidRDefault="00D81C95" w:rsidP="000A5389">
            <w:pPr>
              <w:spacing w:line="240" w:lineRule="auto"/>
              <w:jc w:val="right"/>
              <w:rPr>
                <w:rFonts w:eastAsia="Times New Roman" w:cs="Times New Roman"/>
                <w:b/>
                <w:bCs/>
                <w:color w:val="000000"/>
                <w:sz w:val="20"/>
                <w:szCs w:val="20"/>
                <w:lang w:val="es-419" w:eastAsia="es-419"/>
              </w:rPr>
            </w:pPr>
            <w:r w:rsidRPr="00951AB1">
              <w:rPr>
                <w:rFonts w:eastAsia="Times New Roman" w:cs="Times New Roman"/>
                <w:b/>
                <w:bCs/>
                <w:color w:val="000000"/>
                <w:sz w:val="20"/>
                <w:szCs w:val="20"/>
                <w:lang w:val="es-419" w:eastAsia="es-419"/>
              </w:rPr>
              <w:t xml:space="preserve">189.916.199.946 </w:t>
            </w:r>
          </w:p>
        </w:tc>
      </w:tr>
      <w:tr w:rsidR="00D81C95" w:rsidRPr="00951AB1" w14:paraId="22BAC591" w14:textId="77777777" w:rsidTr="00774AB2">
        <w:trPr>
          <w:trHeight w:val="103"/>
        </w:trPr>
        <w:tc>
          <w:tcPr>
            <w:tcW w:w="220" w:type="dxa"/>
            <w:noWrap/>
            <w:vAlign w:val="center"/>
            <w:hideMark/>
          </w:tcPr>
          <w:p w14:paraId="727DBD7A" w14:textId="77777777" w:rsidR="00D81C95" w:rsidRPr="00951AB1" w:rsidRDefault="00D81C95" w:rsidP="000A5389">
            <w:pPr>
              <w:spacing w:line="240" w:lineRule="auto"/>
              <w:jc w:val="center"/>
              <w:rPr>
                <w:rFonts w:eastAsia="Times New Roman" w:cs="Times New Roman"/>
                <w:b/>
                <w:bCs/>
                <w:color w:val="000000"/>
                <w:sz w:val="20"/>
                <w:szCs w:val="20"/>
                <w:lang w:val="es-419" w:eastAsia="es-419"/>
              </w:rPr>
            </w:pPr>
            <w:r w:rsidRPr="00951AB1">
              <w:rPr>
                <w:rFonts w:eastAsia="Times New Roman" w:cs="Times New Roman"/>
                <w:b/>
                <w:bCs/>
                <w:color w:val="000000"/>
                <w:sz w:val="20"/>
                <w:szCs w:val="20"/>
                <w:lang w:val="es-419" w:eastAsia="es-419"/>
              </w:rPr>
              <w:t>-</w:t>
            </w:r>
          </w:p>
        </w:tc>
        <w:tc>
          <w:tcPr>
            <w:tcW w:w="220" w:type="dxa"/>
            <w:noWrap/>
            <w:vAlign w:val="center"/>
            <w:hideMark/>
          </w:tcPr>
          <w:p w14:paraId="5CDAF39F" w14:textId="77777777" w:rsidR="00D81C95" w:rsidRPr="00951AB1" w:rsidRDefault="00D81C95" w:rsidP="000A5389">
            <w:pPr>
              <w:spacing w:line="240" w:lineRule="auto"/>
              <w:jc w:val="center"/>
              <w:rPr>
                <w:rFonts w:eastAsia="Times New Roman" w:cs="Times New Roman"/>
                <w:b/>
                <w:bCs/>
                <w:color w:val="000000"/>
                <w:sz w:val="20"/>
                <w:szCs w:val="20"/>
                <w:lang w:val="es-419" w:eastAsia="es-419"/>
              </w:rPr>
            </w:pPr>
            <w:r w:rsidRPr="00951AB1">
              <w:rPr>
                <w:rFonts w:eastAsia="Times New Roman" w:cs="Times New Roman"/>
                <w:b/>
                <w:bCs/>
                <w:color w:val="000000"/>
                <w:sz w:val="20"/>
                <w:szCs w:val="20"/>
                <w:lang w:val="es-419" w:eastAsia="es-419"/>
              </w:rPr>
              <w:t>-</w:t>
            </w:r>
          </w:p>
        </w:tc>
        <w:tc>
          <w:tcPr>
            <w:tcW w:w="220" w:type="dxa"/>
            <w:noWrap/>
            <w:vAlign w:val="center"/>
            <w:hideMark/>
          </w:tcPr>
          <w:p w14:paraId="56C0EFCE" w14:textId="77777777" w:rsidR="00D81C95" w:rsidRPr="00951AB1" w:rsidRDefault="00D81C95" w:rsidP="000A5389">
            <w:pPr>
              <w:spacing w:line="240" w:lineRule="auto"/>
              <w:jc w:val="center"/>
              <w:rPr>
                <w:rFonts w:eastAsia="Times New Roman" w:cs="Times New Roman"/>
                <w:b/>
                <w:bCs/>
                <w:color w:val="000000"/>
                <w:sz w:val="20"/>
                <w:szCs w:val="20"/>
                <w:lang w:val="es-419" w:eastAsia="es-419"/>
              </w:rPr>
            </w:pPr>
            <w:r w:rsidRPr="00951AB1">
              <w:rPr>
                <w:rFonts w:eastAsia="Times New Roman" w:cs="Times New Roman"/>
                <w:b/>
                <w:bCs/>
                <w:color w:val="000000"/>
                <w:sz w:val="20"/>
                <w:szCs w:val="20"/>
                <w:lang w:val="es-419" w:eastAsia="es-419"/>
              </w:rPr>
              <w:t>-</w:t>
            </w:r>
          </w:p>
        </w:tc>
        <w:tc>
          <w:tcPr>
            <w:tcW w:w="4013" w:type="dxa"/>
            <w:noWrap/>
            <w:vAlign w:val="center"/>
            <w:hideMark/>
          </w:tcPr>
          <w:p w14:paraId="42BC91E5" w14:textId="77777777" w:rsidR="00D81C95" w:rsidRPr="00951AB1" w:rsidRDefault="00D81C95" w:rsidP="000A5389">
            <w:pPr>
              <w:spacing w:line="240" w:lineRule="auto"/>
              <w:jc w:val="center"/>
              <w:rPr>
                <w:rFonts w:eastAsia="Times New Roman" w:cs="Times New Roman"/>
                <w:b/>
                <w:bCs/>
                <w:color w:val="000000"/>
                <w:sz w:val="20"/>
                <w:szCs w:val="20"/>
                <w:lang w:val="es-419" w:eastAsia="es-419"/>
              </w:rPr>
            </w:pPr>
            <w:r w:rsidRPr="00951AB1">
              <w:rPr>
                <w:rFonts w:eastAsia="Times New Roman" w:cs="Times New Roman"/>
                <w:b/>
                <w:bCs/>
                <w:color w:val="000000"/>
                <w:sz w:val="20"/>
                <w:szCs w:val="20"/>
                <w:lang w:val="es-419" w:eastAsia="es-419"/>
              </w:rPr>
              <w:t>-</w:t>
            </w:r>
          </w:p>
        </w:tc>
        <w:tc>
          <w:tcPr>
            <w:tcW w:w="1417" w:type="dxa"/>
            <w:noWrap/>
            <w:vAlign w:val="center"/>
            <w:hideMark/>
          </w:tcPr>
          <w:p w14:paraId="5735D2C9" w14:textId="77777777" w:rsidR="00D81C95" w:rsidRPr="00951AB1" w:rsidRDefault="00D81C95" w:rsidP="000A5389">
            <w:pPr>
              <w:spacing w:line="240" w:lineRule="auto"/>
              <w:jc w:val="center"/>
              <w:rPr>
                <w:rFonts w:eastAsia="Times New Roman" w:cs="Times New Roman"/>
                <w:b/>
                <w:bCs/>
                <w:color w:val="000000"/>
                <w:sz w:val="20"/>
                <w:szCs w:val="20"/>
                <w:lang w:val="es-419" w:eastAsia="es-419"/>
              </w:rPr>
            </w:pPr>
            <w:r w:rsidRPr="00951AB1">
              <w:rPr>
                <w:rFonts w:eastAsia="Times New Roman" w:cs="Times New Roman"/>
                <w:b/>
                <w:bCs/>
                <w:color w:val="000000"/>
                <w:sz w:val="20"/>
                <w:szCs w:val="20"/>
                <w:lang w:val="es-419" w:eastAsia="es-419"/>
              </w:rPr>
              <w:t>-</w:t>
            </w:r>
          </w:p>
        </w:tc>
        <w:tc>
          <w:tcPr>
            <w:tcW w:w="1430" w:type="dxa"/>
            <w:noWrap/>
            <w:vAlign w:val="center"/>
            <w:hideMark/>
          </w:tcPr>
          <w:p w14:paraId="46E445A1" w14:textId="77777777" w:rsidR="00D81C95" w:rsidRPr="00951AB1" w:rsidRDefault="00D81C95" w:rsidP="000A5389">
            <w:pPr>
              <w:spacing w:line="240" w:lineRule="auto"/>
              <w:jc w:val="center"/>
              <w:rPr>
                <w:rFonts w:eastAsia="Times New Roman" w:cs="Times New Roman"/>
                <w:b/>
                <w:bCs/>
                <w:color w:val="000000"/>
                <w:sz w:val="20"/>
                <w:szCs w:val="20"/>
                <w:lang w:val="es-419" w:eastAsia="es-419"/>
              </w:rPr>
            </w:pPr>
            <w:r w:rsidRPr="00951AB1">
              <w:rPr>
                <w:rFonts w:eastAsia="Times New Roman" w:cs="Times New Roman"/>
                <w:b/>
                <w:bCs/>
                <w:color w:val="000000"/>
                <w:sz w:val="20"/>
                <w:szCs w:val="20"/>
                <w:lang w:val="es-419" w:eastAsia="es-419"/>
              </w:rPr>
              <w:t>-</w:t>
            </w:r>
          </w:p>
        </w:tc>
        <w:tc>
          <w:tcPr>
            <w:tcW w:w="1405" w:type="dxa"/>
            <w:noWrap/>
            <w:vAlign w:val="center"/>
            <w:hideMark/>
          </w:tcPr>
          <w:p w14:paraId="3E501ECF" w14:textId="77777777" w:rsidR="00D81C95" w:rsidRPr="00951AB1" w:rsidRDefault="00D81C95" w:rsidP="000A5389">
            <w:pPr>
              <w:spacing w:line="240" w:lineRule="auto"/>
              <w:jc w:val="center"/>
              <w:rPr>
                <w:rFonts w:eastAsia="Times New Roman" w:cs="Times New Roman"/>
                <w:b/>
                <w:bCs/>
                <w:color w:val="000000"/>
                <w:sz w:val="20"/>
                <w:szCs w:val="20"/>
                <w:lang w:val="es-419" w:eastAsia="es-419"/>
              </w:rPr>
            </w:pPr>
            <w:r w:rsidRPr="00951AB1">
              <w:rPr>
                <w:rFonts w:eastAsia="Times New Roman" w:cs="Times New Roman"/>
                <w:b/>
                <w:bCs/>
                <w:color w:val="000000"/>
                <w:sz w:val="20"/>
                <w:szCs w:val="20"/>
                <w:lang w:val="es-419" w:eastAsia="es-419"/>
              </w:rPr>
              <w:t>-</w:t>
            </w:r>
          </w:p>
        </w:tc>
      </w:tr>
      <w:tr w:rsidR="00D81C95" w:rsidRPr="00951AB1" w14:paraId="03EBA74F" w14:textId="77777777" w:rsidTr="00774AB2">
        <w:trPr>
          <w:trHeight w:val="290"/>
        </w:trPr>
        <w:tc>
          <w:tcPr>
            <w:tcW w:w="220" w:type="dxa"/>
            <w:noWrap/>
            <w:vAlign w:val="center"/>
            <w:hideMark/>
          </w:tcPr>
          <w:p w14:paraId="723A0166" w14:textId="77777777" w:rsidR="00D81C95" w:rsidRPr="00951AB1" w:rsidRDefault="00D81C95" w:rsidP="000A5389">
            <w:pPr>
              <w:spacing w:line="240" w:lineRule="auto"/>
              <w:jc w:val="center"/>
              <w:rPr>
                <w:rFonts w:eastAsia="Times New Roman" w:cs="Times New Roman"/>
                <w:b/>
                <w:bCs/>
                <w:color w:val="000000"/>
                <w:sz w:val="20"/>
                <w:szCs w:val="20"/>
                <w:lang w:val="es-419" w:eastAsia="es-419"/>
              </w:rPr>
            </w:pPr>
            <w:r w:rsidRPr="00951AB1">
              <w:rPr>
                <w:rFonts w:eastAsia="Times New Roman" w:cs="Times New Roman"/>
                <w:b/>
                <w:bCs/>
                <w:color w:val="000000"/>
                <w:sz w:val="20"/>
                <w:szCs w:val="20"/>
                <w:lang w:val="es-419" w:eastAsia="es-419"/>
              </w:rPr>
              <w:t> </w:t>
            </w:r>
          </w:p>
        </w:tc>
        <w:tc>
          <w:tcPr>
            <w:tcW w:w="4453" w:type="dxa"/>
            <w:gridSpan w:val="3"/>
            <w:vAlign w:val="center"/>
            <w:hideMark/>
          </w:tcPr>
          <w:p w14:paraId="365488F6" w14:textId="77777777" w:rsidR="00D81C95" w:rsidRPr="00951AB1" w:rsidRDefault="00D81C95" w:rsidP="000A5389">
            <w:pPr>
              <w:spacing w:line="240" w:lineRule="auto"/>
              <w:rPr>
                <w:rFonts w:eastAsia="Times New Roman" w:cs="Times New Roman"/>
                <w:b/>
                <w:bCs/>
                <w:color w:val="000000"/>
                <w:sz w:val="20"/>
                <w:szCs w:val="20"/>
                <w:lang w:val="es-419" w:eastAsia="es-419"/>
              </w:rPr>
            </w:pPr>
            <w:r w:rsidRPr="00951AB1">
              <w:rPr>
                <w:rFonts w:eastAsia="Times New Roman" w:cs="Times New Roman"/>
                <w:b/>
                <w:bCs/>
                <w:color w:val="000000"/>
                <w:sz w:val="20"/>
                <w:szCs w:val="20"/>
                <w:lang w:val="es-419" w:eastAsia="es-419"/>
              </w:rPr>
              <w:t>% DEPRECIACIÓN ACUMULADA (seguimiento)</w:t>
            </w:r>
          </w:p>
        </w:tc>
        <w:tc>
          <w:tcPr>
            <w:tcW w:w="1417" w:type="dxa"/>
            <w:noWrap/>
            <w:vAlign w:val="center"/>
            <w:hideMark/>
          </w:tcPr>
          <w:p w14:paraId="64171637" w14:textId="77777777" w:rsidR="00D81C95" w:rsidRPr="00951AB1" w:rsidRDefault="00D81C95" w:rsidP="000A5389">
            <w:pPr>
              <w:spacing w:line="240" w:lineRule="auto"/>
              <w:jc w:val="center"/>
              <w:rPr>
                <w:rFonts w:eastAsia="Times New Roman" w:cs="Times New Roman"/>
                <w:b/>
                <w:bCs/>
                <w:color w:val="000000"/>
                <w:sz w:val="20"/>
                <w:szCs w:val="20"/>
                <w:lang w:val="es-419" w:eastAsia="es-419"/>
              </w:rPr>
            </w:pPr>
            <w:r w:rsidRPr="00951AB1">
              <w:rPr>
                <w:rFonts w:eastAsia="Times New Roman" w:cs="Times New Roman"/>
                <w:b/>
                <w:bCs/>
                <w:color w:val="000000"/>
                <w:sz w:val="20"/>
                <w:szCs w:val="20"/>
                <w:lang w:val="es-419" w:eastAsia="es-419"/>
              </w:rPr>
              <w:t xml:space="preserve">0 </w:t>
            </w:r>
          </w:p>
        </w:tc>
        <w:tc>
          <w:tcPr>
            <w:tcW w:w="1430" w:type="dxa"/>
            <w:noWrap/>
            <w:vAlign w:val="center"/>
            <w:hideMark/>
          </w:tcPr>
          <w:p w14:paraId="64BC1571" w14:textId="77777777" w:rsidR="00D81C95" w:rsidRPr="00951AB1" w:rsidRDefault="00D81C95" w:rsidP="000A5389">
            <w:pPr>
              <w:spacing w:line="240" w:lineRule="auto"/>
              <w:jc w:val="center"/>
              <w:rPr>
                <w:rFonts w:eastAsia="Times New Roman" w:cs="Times New Roman"/>
                <w:b/>
                <w:bCs/>
                <w:color w:val="000000"/>
                <w:sz w:val="20"/>
                <w:szCs w:val="20"/>
                <w:lang w:val="es-419" w:eastAsia="es-419"/>
              </w:rPr>
            </w:pPr>
            <w:r w:rsidRPr="00951AB1">
              <w:rPr>
                <w:rFonts w:eastAsia="Times New Roman" w:cs="Times New Roman"/>
                <w:b/>
                <w:bCs/>
                <w:color w:val="000000"/>
                <w:sz w:val="20"/>
                <w:szCs w:val="20"/>
                <w:lang w:val="es-419" w:eastAsia="es-419"/>
              </w:rPr>
              <w:t xml:space="preserve">1 </w:t>
            </w:r>
          </w:p>
        </w:tc>
        <w:tc>
          <w:tcPr>
            <w:tcW w:w="1405" w:type="dxa"/>
            <w:noWrap/>
            <w:vAlign w:val="center"/>
            <w:hideMark/>
          </w:tcPr>
          <w:p w14:paraId="1E8F8B9C" w14:textId="77777777" w:rsidR="00D81C95" w:rsidRPr="00951AB1" w:rsidRDefault="00D81C95" w:rsidP="000A5389">
            <w:pPr>
              <w:spacing w:line="240" w:lineRule="auto"/>
              <w:jc w:val="center"/>
              <w:rPr>
                <w:rFonts w:eastAsia="Times New Roman" w:cs="Times New Roman"/>
                <w:b/>
                <w:bCs/>
                <w:color w:val="000000"/>
                <w:sz w:val="20"/>
                <w:szCs w:val="20"/>
                <w:lang w:val="es-419" w:eastAsia="es-419"/>
              </w:rPr>
            </w:pPr>
            <w:r w:rsidRPr="00951AB1">
              <w:rPr>
                <w:rFonts w:eastAsia="Times New Roman" w:cs="Times New Roman"/>
                <w:b/>
                <w:bCs/>
                <w:color w:val="000000"/>
                <w:sz w:val="20"/>
                <w:szCs w:val="20"/>
                <w:lang w:val="es-419" w:eastAsia="es-419"/>
              </w:rPr>
              <w:t xml:space="preserve">1 </w:t>
            </w:r>
          </w:p>
        </w:tc>
      </w:tr>
      <w:tr w:rsidR="00D81C95" w:rsidRPr="00951AB1" w14:paraId="43630CCF" w14:textId="77777777" w:rsidTr="00774AB2">
        <w:trPr>
          <w:trHeight w:val="290"/>
        </w:trPr>
        <w:tc>
          <w:tcPr>
            <w:tcW w:w="220" w:type="dxa"/>
            <w:noWrap/>
            <w:vAlign w:val="center"/>
            <w:hideMark/>
          </w:tcPr>
          <w:p w14:paraId="027E27B1" w14:textId="77777777" w:rsidR="00D81C95" w:rsidRPr="00951AB1" w:rsidRDefault="00D81C95" w:rsidP="000A5389">
            <w:pPr>
              <w:spacing w:line="240" w:lineRule="auto"/>
              <w:jc w:val="center"/>
              <w:rPr>
                <w:rFonts w:eastAsia="Times New Roman" w:cs="Times New Roman"/>
                <w:b/>
                <w:bCs/>
                <w:color w:val="000000"/>
                <w:sz w:val="20"/>
                <w:szCs w:val="20"/>
                <w:lang w:val="es-419" w:eastAsia="es-419"/>
              </w:rPr>
            </w:pPr>
            <w:r w:rsidRPr="00951AB1">
              <w:rPr>
                <w:rFonts w:eastAsia="Times New Roman" w:cs="Times New Roman"/>
                <w:b/>
                <w:bCs/>
                <w:color w:val="000000"/>
                <w:sz w:val="20"/>
                <w:szCs w:val="20"/>
                <w:lang w:val="es-419" w:eastAsia="es-419"/>
              </w:rPr>
              <w:t> </w:t>
            </w:r>
          </w:p>
        </w:tc>
        <w:tc>
          <w:tcPr>
            <w:tcW w:w="4453" w:type="dxa"/>
            <w:gridSpan w:val="3"/>
            <w:vAlign w:val="center"/>
            <w:hideMark/>
          </w:tcPr>
          <w:p w14:paraId="3CC5684C" w14:textId="77777777" w:rsidR="00D81C95" w:rsidRPr="00951AB1" w:rsidRDefault="00D81C95" w:rsidP="000A5389">
            <w:pPr>
              <w:spacing w:line="240" w:lineRule="auto"/>
              <w:rPr>
                <w:rFonts w:eastAsia="Times New Roman" w:cs="Times New Roman"/>
                <w:b/>
                <w:bCs/>
                <w:color w:val="000000"/>
                <w:sz w:val="20"/>
                <w:szCs w:val="20"/>
                <w:lang w:val="es-419" w:eastAsia="es-419"/>
              </w:rPr>
            </w:pPr>
            <w:r w:rsidRPr="00951AB1">
              <w:rPr>
                <w:rFonts w:eastAsia="Times New Roman" w:cs="Times New Roman"/>
                <w:b/>
                <w:bCs/>
                <w:color w:val="000000"/>
                <w:sz w:val="20"/>
                <w:szCs w:val="20"/>
                <w:lang w:val="es-419" w:eastAsia="es-419"/>
              </w:rPr>
              <w:t>% DETERIORO ACUMULADO (seguimiento)</w:t>
            </w:r>
          </w:p>
        </w:tc>
        <w:tc>
          <w:tcPr>
            <w:tcW w:w="1417" w:type="dxa"/>
            <w:noWrap/>
            <w:vAlign w:val="center"/>
            <w:hideMark/>
          </w:tcPr>
          <w:p w14:paraId="7C3F11E3" w14:textId="77777777" w:rsidR="00D81C95" w:rsidRPr="00951AB1" w:rsidRDefault="00D81C95" w:rsidP="000A5389">
            <w:pPr>
              <w:spacing w:line="240" w:lineRule="auto"/>
              <w:jc w:val="center"/>
              <w:rPr>
                <w:rFonts w:eastAsia="Times New Roman" w:cs="Times New Roman"/>
                <w:b/>
                <w:bCs/>
                <w:color w:val="000000"/>
                <w:sz w:val="20"/>
                <w:szCs w:val="20"/>
                <w:lang w:val="es-419" w:eastAsia="es-419"/>
              </w:rPr>
            </w:pPr>
            <w:r w:rsidRPr="00951AB1">
              <w:rPr>
                <w:rFonts w:eastAsia="Times New Roman" w:cs="Times New Roman"/>
                <w:b/>
                <w:bCs/>
                <w:color w:val="000000"/>
                <w:sz w:val="20"/>
                <w:szCs w:val="20"/>
                <w:lang w:val="es-419" w:eastAsia="es-419"/>
              </w:rPr>
              <w:t xml:space="preserve">0 </w:t>
            </w:r>
          </w:p>
        </w:tc>
        <w:tc>
          <w:tcPr>
            <w:tcW w:w="1430" w:type="dxa"/>
            <w:noWrap/>
            <w:vAlign w:val="center"/>
            <w:hideMark/>
          </w:tcPr>
          <w:p w14:paraId="1A9E1FFD" w14:textId="77777777" w:rsidR="00D81C95" w:rsidRPr="00951AB1" w:rsidRDefault="00D81C95" w:rsidP="000A5389">
            <w:pPr>
              <w:spacing w:line="240" w:lineRule="auto"/>
              <w:jc w:val="center"/>
              <w:rPr>
                <w:rFonts w:eastAsia="Times New Roman" w:cs="Times New Roman"/>
                <w:b/>
                <w:bCs/>
                <w:color w:val="000000"/>
                <w:sz w:val="20"/>
                <w:szCs w:val="20"/>
                <w:lang w:val="es-419" w:eastAsia="es-419"/>
              </w:rPr>
            </w:pPr>
            <w:r w:rsidRPr="00951AB1">
              <w:rPr>
                <w:rFonts w:eastAsia="Times New Roman" w:cs="Times New Roman"/>
                <w:b/>
                <w:bCs/>
                <w:color w:val="000000"/>
                <w:sz w:val="20"/>
                <w:szCs w:val="20"/>
                <w:lang w:val="es-419" w:eastAsia="es-419"/>
              </w:rPr>
              <w:t xml:space="preserve">0 </w:t>
            </w:r>
          </w:p>
        </w:tc>
        <w:tc>
          <w:tcPr>
            <w:tcW w:w="1405" w:type="dxa"/>
            <w:noWrap/>
            <w:vAlign w:val="center"/>
            <w:hideMark/>
          </w:tcPr>
          <w:p w14:paraId="3F3DDD64" w14:textId="77777777" w:rsidR="00D81C95" w:rsidRPr="00951AB1" w:rsidRDefault="00D81C95" w:rsidP="000A5389">
            <w:pPr>
              <w:spacing w:line="240" w:lineRule="auto"/>
              <w:jc w:val="center"/>
              <w:rPr>
                <w:rFonts w:eastAsia="Times New Roman" w:cs="Times New Roman"/>
                <w:b/>
                <w:bCs/>
                <w:color w:val="000000"/>
                <w:sz w:val="20"/>
                <w:szCs w:val="20"/>
                <w:lang w:val="es-419" w:eastAsia="es-419"/>
              </w:rPr>
            </w:pPr>
            <w:r w:rsidRPr="00951AB1">
              <w:rPr>
                <w:rFonts w:eastAsia="Times New Roman" w:cs="Times New Roman"/>
                <w:b/>
                <w:bCs/>
                <w:color w:val="000000"/>
                <w:sz w:val="20"/>
                <w:szCs w:val="20"/>
                <w:lang w:val="es-419" w:eastAsia="es-419"/>
              </w:rPr>
              <w:t xml:space="preserve">0 </w:t>
            </w:r>
          </w:p>
        </w:tc>
      </w:tr>
      <w:tr w:rsidR="00D81C95" w:rsidRPr="00951AB1" w14:paraId="3259915F" w14:textId="77777777" w:rsidTr="00774AB2">
        <w:trPr>
          <w:trHeight w:val="103"/>
        </w:trPr>
        <w:tc>
          <w:tcPr>
            <w:tcW w:w="220" w:type="dxa"/>
            <w:noWrap/>
            <w:vAlign w:val="center"/>
            <w:hideMark/>
          </w:tcPr>
          <w:p w14:paraId="49EF45FA" w14:textId="77777777" w:rsidR="00D81C95" w:rsidRPr="00951AB1" w:rsidRDefault="00D81C95" w:rsidP="000A5389">
            <w:pPr>
              <w:spacing w:line="240" w:lineRule="auto"/>
              <w:jc w:val="center"/>
              <w:rPr>
                <w:rFonts w:eastAsia="Times New Roman" w:cs="Times New Roman"/>
                <w:b/>
                <w:bCs/>
                <w:color w:val="000000"/>
                <w:sz w:val="20"/>
                <w:szCs w:val="20"/>
                <w:lang w:val="es-419" w:eastAsia="es-419"/>
              </w:rPr>
            </w:pPr>
            <w:r w:rsidRPr="00951AB1">
              <w:rPr>
                <w:rFonts w:eastAsia="Times New Roman" w:cs="Times New Roman"/>
                <w:b/>
                <w:bCs/>
                <w:color w:val="000000"/>
                <w:sz w:val="20"/>
                <w:szCs w:val="20"/>
                <w:lang w:val="es-419" w:eastAsia="es-419"/>
              </w:rPr>
              <w:t>-</w:t>
            </w:r>
          </w:p>
        </w:tc>
        <w:tc>
          <w:tcPr>
            <w:tcW w:w="220" w:type="dxa"/>
            <w:noWrap/>
            <w:vAlign w:val="center"/>
            <w:hideMark/>
          </w:tcPr>
          <w:p w14:paraId="7B5C6D6B" w14:textId="77777777" w:rsidR="00D81C95" w:rsidRPr="00951AB1" w:rsidRDefault="00D81C95" w:rsidP="000A5389">
            <w:pPr>
              <w:spacing w:line="240" w:lineRule="auto"/>
              <w:jc w:val="center"/>
              <w:rPr>
                <w:rFonts w:eastAsia="Times New Roman" w:cs="Times New Roman"/>
                <w:b/>
                <w:bCs/>
                <w:color w:val="000000"/>
                <w:sz w:val="20"/>
                <w:szCs w:val="20"/>
                <w:lang w:val="es-419" w:eastAsia="es-419"/>
              </w:rPr>
            </w:pPr>
            <w:r w:rsidRPr="00951AB1">
              <w:rPr>
                <w:rFonts w:eastAsia="Times New Roman" w:cs="Times New Roman"/>
                <w:b/>
                <w:bCs/>
                <w:color w:val="000000"/>
                <w:sz w:val="20"/>
                <w:szCs w:val="20"/>
                <w:lang w:val="es-419" w:eastAsia="es-419"/>
              </w:rPr>
              <w:t>-</w:t>
            </w:r>
          </w:p>
        </w:tc>
        <w:tc>
          <w:tcPr>
            <w:tcW w:w="220" w:type="dxa"/>
            <w:noWrap/>
            <w:vAlign w:val="center"/>
            <w:hideMark/>
          </w:tcPr>
          <w:p w14:paraId="23DEADC4" w14:textId="77777777" w:rsidR="00D81C95" w:rsidRPr="00951AB1" w:rsidRDefault="00D81C95" w:rsidP="000A5389">
            <w:pPr>
              <w:spacing w:line="240" w:lineRule="auto"/>
              <w:jc w:val="center"/>
              <w:rPr>
                <w:rFonts w:eastAsia="Times New Roman" w:cs="Times New Roman"/>
                <w:b/>
                <w:bCs/>
                <w:color w:val="000000"/>
                <w:sz w:val="20"/>
                <w:szCs w:val="20"/>
                <w:lang w:val="es-419" w:eastAsia="es-419"/>
              </w:rPr>
            </w:pPr>
            <w:r w:rsidRPr="00951AB1">
              <w:rPr>
                <w:rFonts w:eastAsia="Times New Roman" w:cs="Times New Roman"/>
                <w:b/>
                <w:bCs/>
                <w:color w:val="000000"/>
                <w:sz w:val="20"/>
                <w:szCs w:val="20"/>
                <w:lang w:val="es-419" w:eastAsia="es-419"/>
              </w:rPr>
              <w:t>-</w:t>
            </w:r>
          </w:p>
        </w:tc>
        <w:tc>
          <w:tcPr>
            <w:tcW w:w="4013" w:type="dxa"/>
            <w:noWrap/>
            <w:vAlign w:val="center"/>
            <w:hideMark/>
          </w:tcPr>
          <w:p w14:paraId="30BCF07A" w14:textId="77777777" w:rsidR="00D81C95" w:rsidRPr="00951AB1" w:rsidRDefault="00D81C95" w:rsidP="000A5389">
            <w:pPr>
              <w:spacing w:line="240" w:lineRule="auto"/>
              <w:jc w:val="center"/>
              <w:rPr>
                <w:rFonts w:eastAsia="Times New Roman" w:cs="Times New Roman"/>
                <w:b/>
                <w:bCs/>
                <w:color w:val="000000"/>
                <w:sz w:val="20"/>
                <w:szCs w:val="20"/>
                <w:lang w:val="es-419" w:eastAsia="es-419"/>
              </w:rPr>
            </w:pPr>
            <w:r w:rsidRPr="00951AB1">
              <w:rPr>
                <w:rFonts w:eastAsia="Times New Roman" w:cs="Times New Roman"/>
                <w:b/>
                <w:bCs/>
                <w:color w:val="000000"/>
                <w:sz w:val="20"/>
                <w:szCs w:val="20"/>
                <w:lang w:val="es-419" w:eastAsia="es-419"/>
              </w:rPr>
              <w:t>-</w:t>
            </w:r>
          </w:p>
        </w:tc>
        <w:tc>
          <w:tcPr>
            <w:tcW w:w="1417" w:type="dxa"/>
            <w:noWrap/>
            <w:vAlign w:val="center"/>
            <w:hideMark/>
          </w:tcPr>
          <w:p w14:paraId="5B623B9B" w14:textId="77777777" w:rsidR="00D81C95" w:rsidRPr="00951AB1" w:rsidRDefault="00D81C95" w:rsidP="000A5389">
            <w:pPr>
              <w:spacing w:line="240" w:lineRule="auto"/>
              <w:jc w:val="center"/>
              <w:rPr>
                <w:rFonts w:eastAsia="Times New Roman" w:cs="Times New Roman"/>
                <w:b/>
                <w:bCs/>
                <w:color w:val="000000"/>
                <w:sz w:val="20"/>
                <w:szCs w:val="20"/>
                <w:lang w:val="es-419" w:eastAsia="es-419"/>
              </w:rPr>
            </w:pPr>
            <w:r w:rsidRPr="00951AB1">
              <w:rPr>
                <w:rFonts w:eastAsia="Times New Roman" w:cs="Times New Roman"/>
                <w:b/>
                <w:bCs/>
                <w:color w:val="000000"/>
                <w:sz w:val="20"/>
                <w:szCs w:val="20"/>
                <w:lang w:val="es-419" w:eastAsia="es-419"/>
              </w:rPr>
              <w:t>-</w:t>
            </w:r>
          </w:p>
        </w:tc>
        <w:tc>
          <w:tcPr>
            <w:tcW w:w="1430" w:type="dxa"/>
            <w:noWrap/>
            <w:vAlign w:val="center"/>
            <w:hideMark/>
          </w:tcPr>
          <w:p w14:paraId="6295877E" w14:textId="77777777" w:rsidR="00D81C95" w:rsidRPr="00951AB1" w:rsidRDefault="00D81C95" w:rsidP="000A5389">
            <w:pPr>
              <w:spacing w:line="240" w:lineRule="auto"/>
              <w:jc w:val="center"/>
              <w:rPr>
                <w:rFonts w:eastAsia="Times New Roman" w:cs="Times New Roman"/>
                <w:b/>
                <w:bCs/>
                <w:color w:val="000000"/>
                <w:sz w:val="20"/>
                <w:szCs w:val="20"/>
                <w:lang w:val="es-419" w:eastAsia="es-419"/>
              </w:rPr>
            </w:pPr>
            <w:r w:rsidRPr="00951AB1">
              <w:rPr>
                <w:rFonts w:eastAsia="Times New Roman" w:cs="Times New Roman"/>
                <w:b/>
                <w:bCs/>
                <w:color w:val="000000"/>
                <w:sz w:val="20"/>
                <w:szCs w:val="20"/>
                <w:lang w:val="es-419" w:eastAsia="es-419"/>
              </w:rPr>
              <w:t>-</w:t>
            </w:r>
          </w:p>
        </w:tc>
        <w:tc>
          <w:tcPr>
            <w:tcW w:w="1405" w:type="dxa"/>
            <w:noWrap/>
            <w:vAlign w:val="center"/>
            <w:hideMark/>
          </w:tcPr>
          <w:p w14:paraId="1D7BD2FA" w14:textId="77777777" w:rsidR="00D81C95" w:rsidRPr="00951AB1" w:rsidRDefault="00D81C95" w:rsidP="000A5389">
            <w:pPr>
              <w:spacing w:line="240" w:lineRule="auto"/>
              <w:jc w:val="center"/>
              <w:rPr>
                <w:rFonts w:eastAsia="Times New Roman" w:cs="Times New Roman"/>
                <w:b/>
                <w:bCs/>
                <w:color w:val="000000"/>
                <w:sz w:val="20"/>
                <w:szCs w:val="20"/>
                <w:lang w:val="es-419" w:eastAsia="es-419"/>
              </w:rPr>
            </w:pPr>
            <w:r w:rsidRPr="00951AB1">
              <w:rPr>
                <w:rFonts w:eastAsia="Times New Roman" w:cs="Times New Roman"/>
                <w:b/>
                <w:bCs/>
                <w:color w:val="000000"/>
                <w:sz w:val="20"/>
                <w:szCs w:val="20"/>
                <w:lang w:val="es-419" w:eastAsia="es-419"/>
              </w:rPr>
              <w:t>-</w:t>
            </w:r>
          </w:p>
        </w:tc>
      </w:tr>
      <w:tr w:rsidR="00D81C95" w:rsidRPr="00951AB1" w14:paraId="3E39D710" w14:textId="77777777" w:rsidTr="00774AB2">
        <w:trPr>
          <w:trHeight w:val="290"/>
        </w:trPr>
        <w:tc>
          <w:tcPr>
            <w:tcW w:w="4673" w:type="dxa"/>
            <w:gridSpan w:val="4"/>
            <w:noWrap/>
            <w:vAlign w:val="center"/>
            <w:hideMark/>
          </w:tcPr>
          <w:p w14:paraId="312AA71B" w14:textId="77777777" w:rsidR="00D81C95" w:rsidRPr="00951AB1" w:rsidRDefault="00D81C95" w:rsidP="000A5389">
            <w:pPr>
              <w:spacing w:line="240" w:lineRule="auto"/>
              <w:rPr>
                <w:rFonts w:eastAsia="Times New Roman" w:cs="Times New Roman"/>
                <w:b/>
                <w:bCs/>
                <w:color w:val="000000"/>
                <w:sz w:val="20"/>
                <w:szCs w:val="20"/>
                <w:lang w:val="es-419" w:eastAsia="es-419"/>
              </w:rPr>
            </w:pPr>
            <w:r w:rsidRPr="00951AB1">
              <w:rPr>
                <w:rFonts w:eastAsia="Times New Roman" w:cs="Times New Roman"/>
                <w:b/>
                <w:bCs/>
                <w:color w:val="000000"/>
                <w:sz w:val="20"/>
                <w:szCs w:val="20"/>
                <w:lang w:val="es-419" w:eastAsia="es-419"/>
              </w:rPr>
              <w:t>CLASIFICACIONES DE PPE -INMUEBLES</w:t>
            </w:r>
          </w:p>
        </w:tc>
        <w:tc>
          <w:tcPr>
            <w:tcW w:w="1417" w:type="dxa"/>
            <w:noWrap/>
            <w:vAlign w:val="center"/>
            <w:hideMark/>
          </w:tcPr>
          <w:p w14:paraId="4C59761F" w14:textId="77777777" w:rsidR="00D81C95" w:rsidRPr="00951AB1" w:rsidRDefault="00D81C95" w:rsidP="000A5389">
            <w:pPr>
              <w:spacing w:line="240" w:lineRule="auto"/>
              <w:rPr>
                <w:rFonts w:eastAsia="Times New Roman" w:cs="Times New Roman"/>
                <w:b/>
                <w:bCs/>
                <w:color w:val="000000"/>
                <w:sz w:val="20"/>
                <w:szCs w:val="20"/>
                <w:lang w:val="es-419" w:eastAsia="es-419"/>
              </w:rPr>
            </w:pPr>
            <w:r w:rsidRPr="00951AB1">
              <w:rPr>
                <w:rFonts w:eastAsia="Times New Roman" w:cs="Times New Roman"/>
                <w:b/>
                <w:bCs/>
                <w:color w:val="000000"/>
                <w:sz w:val="20"/>
                <w:szCs w:val="20"/>
                <w:lang w:val="es-419" w:eastAsia="es-419"/>
              </w:rPr>
              <w:t> </w:t>
            </w:r>
          </w:p>
        </w:tc>
        <w:tc>
          <w:tcPr>
            <w:tcW w:w="1430" w:type="dxa"/>
            <w:noWrap/>
            <w:vAlign w:val="center"/>
            <w:hideMark/>
          </w:tcPr>
          <w:p w14:paraId="1F156FC3" w14:textId="77777777" w:rsidR="00D81C95" w:rsidRPr="00951AB1" w:rsidRDefault="00D81C95" w:rsidP="000A5389">
            <w:pPr>
              <w:spacing w:line="240" w:lineRule="auto"/>
              <w:rPr>
                <w:rFonts w:eastAsia="Times New Roman" w:cs="Times New Roman"/>
                <w:b/>
                <w:bCs/>
                <w:color w:val="000000"/>
                <w:sz w:val="20"/>
                <w:szCs w:val="20"/>
                <w:lang w:val="es-419" w:eastAsia="es-419"/>
              </w:rPr>
            </w:pPr>
            <w:r w:rsidRPr="00951AB1">
              <w:rPr>
                <w:rFonts w:eastAsia="Times New Roman" w:cs="Times New Roman"/>
                <w:b/>
                <w:bCs/>
                <w:color w:val="000000"/>
                <w:sz w:val="20"/>
                <w:szCs w:val="20"/>
                <w:lang w:val="es-419" w:eastAsia="es-419"/>
              </w:rPr>
              <w:t> </w:t>
            </w:r>
          </w:p>
        </w:tc>
        <w:tc>
          <w:tcPr>
            <w:tcW w:w="1405" w:type="dxa"/>
            <w:noWrap/>
            <w:vAlign w:val="center"/>
            <w:hideMark/>
          </w:tcPr>
          <w:p w14:paraId="146D3FEB" w14:textId="77777777" w:rsidR="00D81C95" w:rsidRPr="00951AB1" w:rsidRDefault="00D81C95" w:rsidP="000A5389">
            <w:pPr>
              <w:spacing w:line="240" w:lineRule="auto"/>
              <w:rPr>
                <w:rFonts w:eastAsia="Times New Roman" w:cs="Times New Roman"/>
                <w:b/>
                <w:bCs/>
                <w:color w:val="000000"/>
                <w:sz w:val="20"/>
                <w:szCs w:val="20"/>
                <w:lang w:val="es-419" w:eastAsia="es-419"/>
              </w:rPr>
            </w:pPr>
            <w:r w:rsidRPr="00951AB1">
              <w:rPr>
                <w:rFonts w:eastAsia="Times New Roman" w:cs="Times New Roman"/>
                <w:b/>
                <w:bCs/>
                <w:color w:val="000000"/>
                <w:sz w:val="20"/>
                <w:szCs w:val="20"/>
                <w:lang w:val="es-419" w:eastAsia="es-419"/>
              </w:rPr>
              <w:t> </w:t>
            </w:r>
          </w:p>
        </w:tc>
      </w:tr>
      <w:tr w:rsidR="00D81C95" w:rsidRPr="00951AB1" w14:paraId="376DC570" w14:textId="77777777" w:rsidTr="00774AB2">
        <w:trPr>
          <w:trHeight w:val="290"/>
        </w:trPr>
        <w:tc>
          <w:tcPr>
            <w:tcW w:w="220" w:type="dxa"/>
            <w:noWrap/>
            <w:vAlign w:val="center"/>
            <w:hideMark/>
          </w:tcPr>
          <w:p w14:paraId="4BFC5F99" w14:textId="77777777" w:rsidR="00D81C95" w:rsidRPr="00951AB1" w:rsidRDefault="00D81C95" w:rsidP="000A5389">
            <w:pPr>
              <w:spacing w:line="240" w:lineRule="auto"/>
              <w:jc w:val="center"/>
              <w:rPr>
                <w:rFonts w:eastAsia="Times New Roman" w:cs="Times New Roman"/>
                <w:b/>
                <w:bCs/>
                <w:color w:val="000000"/>
                <w:sz w:val="20"/>
                <w:szCs w:val="20"/>
                <w:lang w:val="es-419" w:eastAsia="es-419"/>
              </w:rPr>
            </w:pPr>
            <w:r w:rsidRPr="00951AB1">
              <w:rPr>
                <w:rFonts w:eastAsia="Times New Roman" w:cs="Times New Roman"/>
                <w:b/>
                <w:bCs/>
                <w:color w:val="000000"/>
                <w:sz w:val="20"/>
                <w:szCs w:val="20"/>
                <w:lang w:val="es-419" w:eastAsia="es-419"/>
              </w:rPr>
              <w:t> </w:t>
            </w:r>
          </w:p>
        </w:tc>
        <w:tc>
          <w:tcPr>
            <w:tcW w:w="4453" w:type="dxa"/>
            <w:gridSpan w:val="3"/>
            <w:noWrap/>
            <w:vAlign w:val="center"/>
            <w:hideMark/>
          </w:tcPr>
          <w:p w14:paraId="2BEC41CE" w14:textId="77777777" w:rsidR="00D81C95" w:rsidRPr="00951AB1" w:rsidRDefault="00D81C95" w:rsidP="000A5389">
            <w:pPr>
              <w:spacing w:line="240" w:lineRule="auto"/>
              <w:rPr>
                <w:rFonts w:eastAsia="Times New Roman" w:cs="Times New Roman"/>
                <w:b/>
                <w:bCs/>
                <w:color w:val="000000"/>
                <w:sz w:val="20"/>
                <w:szCs w:val="20"/>
                <w:lang w:val="es-419" w:eastAsia="es-419"/>
              </w:rPr>
            </w:pPr>
            <w:r w:rsidRPr="00951AB1">
              <w:rPr>
                <w:rFonts w:eastAsia="Times New Roman" w:cs="Times New Roman"/>
                <w:b/>
                <w:bCs/>
                <w:color w:val="000000"/>
                <w:sz w:val="20"/>
                <w:szCs w:val="20"/>
                <w:lang w:val="es-419" w:eastAsia="es-419"/>
              </w:rPr>
              <w:t>USO O DESTINACIÓN</w:t>
            </w:r>
          </w:p>
        </w:tc>
        <w:tc>
          <w:tcPr>
            <w:tcW w:w="1417" w:type="dxa"/>
            <w:noWrap/>
            <w:vAlign w:val="center"/>
            <w:hideMark/>
          </w:tcPr>
          <w:p w14:paraId="21A551C8" w14:textId="77777777" w:rsidR="00D81C95" w:rsidRPr="00951AB1" w:rsidRDefault="00D81C95" w:rsidP="000A5389">
            <w:pPr>
              <w:spacing w:line="240" w:lineRule="auto"/>
              <w:jc w:val="right"/>
              <w:rPr>
                <w:rFonts w:eastAsia="Times New Roman" w:cs="Times New Roman"/>
                <w:b/>
                <w:bCs/>
                <w:color w:val="000000"/>
                <w:sz w:val="20"/>
                <w:szCs w:val="20"/>
                <w:lang w:val="es-419" w:eastAsia="es-419"/>
              </w:rPr>
            </w:pPr>
            <w:r w:rsidRPr="00951AB1">
              <w:rPr>
                <w:rFonts w:eastAsia="Times New Roman" w:cs="Times New Roman"/>
                <w:b/>
                <w:bCs/>
                <w:color w:val="000000"/>
                <w:sz w:val="20"/>
                <w:szCs w:val="20"/>
                <w:lang w:val="es-419" w:eastAsia="es-419"/>
              </w:rPr>
              <w:t xml:space="preserve">52.513.513.120 </w:t>
            </w:r>
          </w:p>
        </w:tc>
        <w:tc>
          <w:tcPr>
            <w:tcW w:w="1430" w:type="dxa"/>
            <w:noWrap/>
            <w:vAlign w:val="center"/>
            <w:hideMark/>
          </w:tcPr>
          <w:p w14:paraId="5E3F263E" w14:textId="77777777" w:rsidR="00D81C95" w:rsidRPr="00951AB1" w:rsidRDefault="00D81C95" w:rsidP="000A5389">
            <w:pPr>
              <w:spacing w:line="240" w:lineRule="auto"/>
              <w:jc w:val="right"/>
              <w:rPr>
                <w:rFonts w:eastAsia="Times New Roman" w:cs="Times New Roman"/>
                <w:b/>
                <w:bCs/>
                <w:color w:val="000000"/>
                <w:sz w:val="20"/>
                <w:szCs w:val="20"/>
                <w:lang w:val="es-419" w:eastAsia="es-419"/>
              </w:rPr>
            </w:pPr>
            <w:r w:rsidRPr="00951AB1">
              <w:rPr>
                <w:rFonts w:eastAsia="Times New Roman" w:cs="Times New Roman"/>
                <w:b/>
                <w:bCs/>
                <w:color w:val="000000"/>
                <w:sz w:val="20"/>
                <w:szCs w:val="20"/>
                <w:lang w:val="es-419" w:eastAsia="es-419"/>
              </w:rPr>
              <w:t xml:space="preserve">138.627.567.679 </w:t>
            </w:r>
          </w:p>
        </w:tc>
        <w:tc>
          <w:tcPr>
            <w:tcW w:w="1405" w:type="dxa"/>
            <w:noWrap/>
            <w:vAlign w:val="center"/>
            <w:hideMark/>
          </w:tcPr>
          <w:p w14:paraId="37AB0864" w14:textId="77777777" w:rsidR="00D81C95" w:rsidRPr="00951AB1" w:rsidRDefault="00D81C95" w:rsidP="000A5389">
            <w:pPr>
              <w:spacing w:line="240" w:lineRule="auto"/>
              <w:jc w:val="right"/>
              <w:rPr>
                <w:rFonts w:eastAsia="Times New Roman" w:cs="Times New Roman"/>
                <w:b/>
                <w:bCs/>
                <w:color w:val="000000"/>
                <w:sz w:val="20"/>
                <w:szCs w:val="20"/>
                <w:lang w:val="es-419" w:eastAsia="es-419"/>
              </w:rPr>
            </w:pPr>
            <w:r w:rsidRPr="00951AB1">
              <w:rPr>
                <w:rFonts w:eastAsia="Times New Roman" w:cs="Times New Roman"/>
                <w:b/>
                <w:bCs/>
                <w:color w:val="000000"/>
                <w:sz w:val="20"/>
                <w:szCs w:val="20"/>
                <w:lang w:val="es-419" w:eastAsia="es-419"/>
              </w:rPr>
              <w:t xml:space="preserve">191.141.080.799 </w:t>
            </w:r>
          </w:p>
        </w:tc>
      </w:tr>
      <w:tr w:rsidR="00D81C95" w:rsidRPr="00951AB1" w14:paraId="2D137159" w14:textId="77777777" w:rsidTr="00774AB2">
        <w:trPr>
          <w:trHeight w:val="290"/>
        </w:trPr>
        <w:tc>
          <w:tcPr>
            <w:tcW w:w="220" w:type="dxa"/>
            <w:noWrap/>
            <w:vAlign w:val="center"/>
            <w:hideMark/>
          </w:tcPr>
          <w:p w14:paraId="093C1CC1" w14:textId="77777777" w:rsidR="00D81C95" w:rsidRPr="00951AB1" w:rsidRDefault="00D81C95" w:rsidP="000A5389">
            <w:pPr>
              <w:spacing w:line="240" w:lineRule="auto"/>
              <w:jc w:val="center"/>
              <w:rPr>
                <w:rFonts w:eastAsia="Times New Roman" w:cs="Times New Roman"/>
                <w:color w:val="000000"/>
                <w:sz w:val="20"/>
                <w:szCs w:val="20"/>
                <w:lang w:val="es-419" w:eastAsia="es-419"/>
              </w:rPr>
            </w:pPr>
            <w:r w:rsidRPr="00951AB1">
              <w:rPr>
                <w:rFonts w:eastAsia="Times New Roman" w:cs="Times New Roman"/>
                <w:color w:val="000000"/>
                <w:sz w:val="20"/>
                <w:szCs w:val="20"/>
                <w:lang w:val="es-419" w:eastAsia="es-419"/>
              </w:rPr>
              <w:t> </w:t>
            </w:r>
          </w:p>
        </w:tc>
        <w:tc>
          <w:tcPr>
            <w:tcW w:w="220" w:type="dxa"/>
            <w:noWrap/>
            <w:vAlign w:val="center"/>
            <w:hideMark/>
          </w:tcPr>
          <w:p w14:paraId="6227BB07" w14:textId="77777777" w:rsidR="00D81C95" w:rsidRPr="00951AB1" w:rsidRDefault="00D81C95" w:rsidP="000A5389">
            <w:pPr>
              <w:spacing w:line="240" w:lineRule="auto"/>
              <w:jc w:val="center"/>
              <w:rPr>
                <w:rFonts w:eastAsia="Times New Roman" w:cs="Times New Roman"/>
                <w:color w:val="000000"/>
                <w:sz w:val="20"/>
                <w:szCs w:val="20"/>
                <w:lang w:val="es-419" w:eastAsia="es-419"/>
              </w:rPr>
            </w:pPr>
            <w:r w:rsidRPr="00951AB1">
              <w:rPr>
                <w:rFonts w:eastAsia="Times New Roman" w:cs="Times New Roman"/>
                <w:color w:val="000000"/>
                <w:sz w:val="20"/>
                <w:szCs w:val="20"/>
                <w:lang w:val="es-419" w:eastAsia="es-419"/>
              </w:rPr>
              <w:t>+</w:t>
            </w:r>
          </w:p>
        </w:tc>
        <w:tc>
          <w:tcPr>
            <w:tcW w:w="4233" w:type="dxa"/>
            <w:gridSpan w:val="2"/>
            <w:noWrap/>
            <w:vAlign w:val="center"/>
            <w:hideMark/>
          </w:tcPr>
          <w:p w14:paraId="293EEE1C" w14:textId="77777777" w:rsidR="00D81C95" w:rsidRPr="00951AB1" w:rsidRDefault="00D81C95" w:rsidP="000A5389">
            <w:pPr>
              <w:spacing w:line="240" w:lineRule="auto"/>
              <w:rPr>
                <w:rFonts w:eastAsia="Times New Roman" w:cs="Times New Roman"/>
                <w:color w:val="000000"/>
                <w:sz w:val="20"/>
                <w:szCs w:val="20"/>
                <w:lang w:val="es-419" w:eastAsia="es-419"/>
              </w:rPr>
            </w:pPr>
            <w:r w:rsidRPr="00951AB1">
              <w:rPr>
                <w:rFonts w:eastAsia="Times New Roman" w:cs="Times New Roman"/>
                <w:color w:val="000000"/>
                <w:sz w:val="20"/>
                <w:szCs w:val="20"/>
                <w:lang w:val="es-419" w:eastAsia="es-419"/>
              </w:rPr>
              <w:t>En servicio</w:t>
            </w:r>
          </w:p>
        </w:tc>
        <w:tc>
          <w:tcPr>
            <w:tcW w:w="1417" w:type="dxa"/>
            <w:noWrap/>
            <w:vAlign w:val="center"/>
            <w:hideMark/>
          </w:tcPr>
          <w:p w14:paraId="6E417798" w14:textId="77777777" w:rsidR="00D81C95" w:rsidRPr="00951AB1" w:rsidRDefault="00D81C95" w:rsidP="000A5389">
            <w:pPr>
              <w:spacing w:line="240" w:lineRule="auto"/>
              <w:rPr>
                <w:rFonts w:eastAsia="Times New Roman" w:cs="Times New Roman"/>
                <w:color w:val="000000"/>
                <w:sz w:val="20"/>
                <w:szCs w:val="20"/>
                <w:lang w:val="es-419" w:eastAsia="es-419"/>
              </w:rPr>
            </w:pPr>
            <w:r w:rsidRPr="00951AB1">
              <w:rPr>
                <w:rFonts w:eastAsia="Times New Roman" w:cs="Times New Roman"/>
                <w:color w:val="000000"/>
                <w:sz w:val="20"/>
                <w:szCs w:val="20"/>
                <w:lang w:val="es-419" w:eastAsia="es-419"/>
              </w:rPr>
              <w:t> </w:t>
            </w:r>
          </w:p>
        </w:tc>
        <w:tc>
          <w:tcPr>
            <w:tcW w:w="1430" w:type="dxa"/>
            <w:noWrap/>
            <w:vAlign w:val="center"/>
            <w:hideMark/>
          </w:tcPr>
          <w:p w14:paraId="6095F0BC" w14:textId="77777777" w:rsidR="00D81C95" w:rsidRPr="00951AB1" w:rsidRDefault="00D81C95" w:rsidP="000A5389">
            <w:pPr>
              <w:spacing w:line="240" w:lineRule="auto"/>
              <w:rPr>
                <w:rFonts w:eastAsia="Times New Roman" w:cs="Times New Roman"/>
                <w:color w:val="000000"/>
                <w:sz w:val="20"/>
                <w:szCs w:val="20"/>
                <w:lang w:val="es-419" w:eastAsia="es-419"/>
              </w:rPr>
            </w:pPr>
            <w:r w:rsidRPr="00951AB1">
              <w:rPr>
                <w:rFonts w:eastAsia="Times New Roman" w:cs="Times New Roman"/>
                <w:color w:val="000000"/>
                <w:sz w:val="20"/>
                <w:szCs w:val="20"/>
                <w:lang w:val="es-419" w:eastAsia="es-419"/>
              </w:rPr>
              <w:t> </w:t>
            </w:r>
          </w:p>
        </w:tc>
        <w:tc>
          <w:tcPr>
            <w:tcW w:w="1405" w:type="dxa"/>
            <w:noWrap/>
            <w:vAlign w:val="center"/>
            <w:hideMark/>
          </w:tcPr>
          <w:p w14:paraId="73415980" w14:textId="77777777" w:rsidR="00D81C95" w:rsidRPr="00951AB1" w:rsidRDefault="00D81C95" w:rsidP="000A5389">
            <w:pPr>
              <w:spacing w:line="240" w:lineRule="auto"/>
              <w:jc w:val="right"/>
              <w:rPr>
                <w:rFonts w:eastAsia="Times New Roman" w:cs="Times New Roman"/>
                <w:b/>
                <w:bCs/>
                <w:color w:val="000000"/>
                <w:sz w:val="20"/>
                <w:szCs w:val="20"/>
                <w:lang w:val="es-419" w:eastAsia="es-419"/>
              </w:rPr>
            </w:pPr>
            <w:r w:rsidRPr="00951AB1">
              <w:rPr>
                <w:rFonts w:eastAsia="Times New Roman" w:cs="Times New Roman"/>
                <w:b/>
                <w:bCs/>
                <w:color w:val="000000"/>
                <w:sz w:val="20"/>
                <w:szCs w:val="20"/>
                <w:lang w:val="es-419" w:eastAsia="es-419"/>
              </w:rPr>
              <w:t xml:space="preserve">0 </w:t>
            </w:r>
          </w:p>
        </w:tc>
      </w:tr>
      <w:tr w:rsidR="00D81C95" w:rsidRPr="00951AB1" w14:paraId="60578952" w14:textId="77777777" w:rsidTr="00774AB2">
        <w:trPr>
          <w:trHeight w:val="290"/>
        </w:trPr>
        <w:tc>
          <w:tcPr>
            <w:tcW w:w="220" w:type="dxa"/>
            <w:noWrap/>
            <w:vAlign w:val="center"/>
            <w:hideMark/>
          </w:tcPr>
          <w:p w14:paraId="5DF021E5" w14:textId="77777777" w:rsidR="00D81C95" w:rsidRPr="00951AB1" w:rsidRDefault="00D81C95" w:rsidP="000A5389">
            <w:pPr>
              <w:spacing w:line="240" w:lineRule="auto"/>
              <w:jc w:val="center"/>
              <w:rPr>
                <w:rFonts w:eastAsia="Times New Roman" w:cs="Times New Roman"/>
                <w:color w:val="000000"/>
                <w:sz w:val="20"/>
                <w:szCs w:val="20"/>
                <w:lang w:val="es-419" w:eastAsia="es-419"/>
              </w:rPr>
            </w:pPr>
            <w:r w:rsidRPr="00951AB1">
              <w:rPr>
                <w:rFonts w:eastAsia="Times New Roman" w:cs="Times New Roman"/>
                <w:color w:val="000000"/>
                <w:sz w:val="20"/>
                <w:szCs w:val="20"/>
                <w:lang w:val="es-419" w:eastAsia="es-419"/>
              </w:rPr>
              <w:t> </w:t>
            </w:r>
          </w:p>
        </w:tc>
        <w:tc>
          <w:tcPr>
            <w:tcW w:w="220" w:type="dxa"/>
            <w:noWrap/>
            <w:vAlign w:val="center"/>
            <w:hideMark/>
          </w:tcPr>
          <w:p w14:paraId="605141BB" w14:textId="77777777" w:rsidR="00D81C95" w:rsidRPr="00951AB1" w:rsidRDefault="00D81C95" w:rsidP="000A5389">
            <w:pPr>
              <w:spacing w:line="240" w:lineRule="auto"/>
              <w:jc w:val="center"/>
              <w:rPr>
                <w:rFonts w:eastAsia="Times New Roman" w:cs="Times New Roman"/>
                <w:color w:val="000000"/>
                <w:sz w:val="20"/>
                <w:szCs w:val="20"/>
                <w:lang w:val="es-419" w:eastAsia="es-419"/>
              </w:rPr>
            </w:pPr>
            <w:r w:rsidRPr="00951AB1">
              <w:rPr>
                <w:rFonts w:eastAsia="Times New Roman" w:cs="Times New Roman"/>
                <w:color w:val="000000"/>
                <w:sz w:val="20"/>
                <w:szCs w:val="20"/>
                <w:lang w:val="es-419" w:eastAsia="es-419"/>
              </w:rPr>
              <w:t>+</w:t>
            </w:r>
          </w:p>
        </w:tc>
        <w:tc>
          <w:tcPr>
            <w:tcW w:w="4233" w:type="dxa"/>
            <w:gridSpan w:val="2"/>
            <w:noWrap/>
            <w:vAlign w:val="center"/>
            <w:hideMark/>
          </w:tcPr>
          <w:p w14:paraId="28538039" w14:textId="77777777" w:rsidR="00D81C95" w:rsidRPr="00951AB1" w:rsidRDefault="00D81C95" w:rsidP="000A5389">
            <w:pPr>
              <w:spacing w:line="240" w:lineRule="auto"/>
              <w:rPr>
                <w:rFonts w:eastAsia="Times New Roman" w:cs="Times New Roman"/>
                <w:color w:val="000000"/>
                <w:sz w:val="20"/>
                <w:szCs w:val="20"/>
                <w:lang w:val="es-419" w:eastAsia="es-419"/>
              </w:rPr>
            </w:pPr>
            <w:r w:rsidRPr="00951AB1">
              <w:rPr>
                <w:rFonts w:eastAsia="Times New Roman" w:cs="Times New Roman"/>
                <w:color w:val="000000"/>
                <w:sz w:val="20"/>
                <w:szCs w:val="20"/>
                <w:lang w:val="es-419" w:eastAsia="es-419"/>
              </w:rPr>
              <w:t>En concesión</w:t>
            </w:r>
          </w:p>
        </w:tc>
        <w:tc>
          <w:tcPr>
            <w:tcW w:w="1417" w:type="dxa"/>
            <w:noWrap/>
            <w:vAlign w:val="center"/>
            <w:hideMark/>
          </w:tcPr>
          <w:p w14:paraId="266AC3A8" w14:textId="77777777" w:rsidR="00D81C95" w:rsidRPr="00951AB1" w:rsidRDefault="00D81C95" w:rsidP="000A5389">
            <w:pPr>
              <w:spacing w:line="240" w:lineRule="auto"/>
              <w:jc w:val="right"/>
              <w:rPr>
                <w:rFonts w:eastAsia="Times New Roman" w:cs="Times New Roman"/>
                <w:color w:val="000000"/>
                <w:sz w:val="20"/>
                <w:szCs w:val="20"/>
                <w:lang w:val="es-419" w:eastAsia="es-419"/>
              </w:rPr>
            </w:pPr>
            <w:r w:rsidRPr="00951AB1">
              <w:rPr>
                <w:rFonts w:eastAsia="Times New Roman" w:cs="Times New Roman"/>
                <w:color w:val="000000"/>
                <w:sz w:val="20"/>
                <w:szCs w:val="20"/>
                <w:lang w:val="es-419" w:eastAsia="es-419"/>
              </w:rPr>
              <w:t xml:space="preserve">52.513.513.120 </w:t>
            </w:r>
          </w:p>
        </w:tc>
        <w:tc>
          <w:tcPr>
            <w:tcW w:w="1430" w:type="dxa"/>
            <w:noWrap/>
            <w:vAlign w:val="center"/>
            <w:hideMark/>
          </w:tcPr>
          <w:p w14:paraId="68E0B94E" w14:textId="77777777" w:rsidR="00D81C95" w:rsidRPr="00951AB1" w:rsidRDefault="00D81C95" w:rsidP="000A5389">
            <w:pPr>
              <w:spacing w:line="240" w:lineRule="auto"/>
              <w:jc w:val="right"/>
              <w:rPr>
                <w:rFonts w:eastAsia="Times New Roman" w:cs="Times New Roman"/>
                <w:color w:val="000000"/>
                <w:sz w:val="20"/>
                <w:szCs w:val="20"/>
                <w:lang w:val="es-419" w:eastAsia="es-419"/>
              </w:rPr>
            </w:pPr>
            <w:r w:rsidRPr="00951AB1">
              <w:rPr>
                <w:rFonts w:eastAsia="Times New Roman" w:cs="Times New Roman"/>
                <w:color w:val="000000"/>
                <w:sz w:val="20"/>
                <w:szCs w:val="20"/>
                <w:lang w:val="es-419" w:eastAsia="es-419"/>
              </w:rPr>
              <w:t xml:space="preserve">138.627.567.679 </w:t>
            </w:r>
          </w:p>
        </w:tc>
        <w:tc>
          <w:tcPr>
            <w:tcW w:w="1405" w:type="dxa"/>
            <w:noWrap/>
            <w:vAlign w:val="center"/>
            <w:hideMark/>
          </w:tcPr>
          <w:p w14:paraId="1031C4CC" w14:textId="77777777" w:rsidR="00D81C95" w:rsidRPr="00951AB1" w:rsidRDefault="00D81C95" w:rsidP="000A5389">
            <w:pPr>
              <w:spacing w:line="240" w:lineRule="auto"/>
              <w:jc w:val="right"/>
              <w:rPr>
                <w:rFonts w:eastAsia="Times New Roman" w:cs="Times New Roman"/>
                <w:b/>
                <w:bCs/>
                <w:color w:val="000000"/>
                <w:sz w:val="20"/>
                <w:szCs w:val="20"/>
                <w:lang w:val="es-419" w:eastAsia="es-419"/>
              </w:rPr>
            </w:pPr>
            <w:r w:rsidRPr="00951AB1">
              <w:rPr>
                <w:rFonts w:eastAsia="Times New Roman" w:cs="Times New Roman"/>
                <w:b/>
                <w:bCs/>
                <w:color w:val="000000"/>
                <w:sz w:val="20"/>
                <w:szCs w:val="20"/>
                <w:lang w:val="es-419" w:eastAsia="es-419"/>
              </w:rPr>
              <w:t xml:space="preserve">191.141.080.799 </w:t>
            </w:r>
          </w:p>
        </w:tc>
      </w:tr>
      <w:tr w:rsidR="00D81C95" w:rsidRPr="00951AB1" w14:paraId="511B7F68" w14:textId="77777777" w:rsidTr="00774AB2">
        <w:trPr>
          <w:trHeight w:val="290"/>
        </w:trPr>
        <w:tc>
          <w:tcPr>
            <w:tcW w:w="220" w:type="dxa"/>
            <w:noWrap/>
            <w:vAlign w:val="center"/>
            <w:hideMark/>
          </w:tcPr>
          <w:p w14:paraId="193BE602" w14:textId="77777777" w:rsidR="00D81C95" w:rsidRPr="00951AB1" w:rsidRDefault="00D81C95" w:rsidP="000A5389">
            <w:pPr>
              <w:spacing w:line="240" w:lineRule="auto"/>
              <w:jc w:val="center"/>
              <w:rPr>
                <w:rFonts w:eastAsia="Times New Roman" w:cs="Times New Roman"/>
                <w:b/>
                <w:bCs/>
                <w:color w:val="000000"/>
                <w:sz w:val="20"/>
                <w:szCs w:val="20"/>
                <w:lang w:val="es-419" w:eastAsia="es-419"/>
              </w:rPr>
            </w:pPr>
            <w:r w:rsidRPr="00951AB1">
              <w:rPr>
                <w:rFonts w:eastAsia="Times New Roman" w:cs="Times New Roman"/>
                <w:b/>
                <w:bCs/>
                <w:color w:val="000000"/>
                <w:sz w:val="20"/>
                <w:szCs w:val="20"/>
                <w:lang w:val="es-419" w:eastAsia="es-419"/>
              </w:rPr>
              <w:t> </w:t>
            </w:r>
          </w:p>
        </w:tc>
        <w:tc>
          <w:tcPr>
            <w:tcW w:w="4453" w:type="dxa"/>
            <w:gridSpan w:val="3"/>
            <w:noWrap/>
            <w:vAlign w:val="center"/>
            <w:hideMark/>
          </w:tcPr>
          <w:p w14:paraId="29F39EB0" w14:textId="77777777" w:rsidR="00D81C95" w:rsidRPr="00951AB1" w:rsidRDefault="00D81C95" w:rsidP="000A5389">
            <w:pPr>
              <w:spacing w:line="240" w:lineRule="auto"/>
              <w:rPr>
                <w:rFonts w:eastAsia="Times New Roman" w:cs="Times New Roman"/>
                <w:b/>
                <w:bCs/>
                <w:color w:val="000000"/>
                <w:sz w:val="20"/>
                <w:szCs w:val="20"/>
                <w:lang w:val="es-419" w:eastAsia="es-419"/>
              </w:rPr>
            </w:pPr>
            <w:r w:rsidRPr="00951AB1">
              <w:rPr>
                <w:rFonts w:eastAsia="Times New Roman" w:cs="Times New Roman"/>
                <w:b/>
                <w:bCs/>
                <w:color w:val="000000"/>
                <w:sz w:val="20"/>
                <w:szCs w:val="20"/>
                <w:lang w:val="es-419" w:eastAsia="es-419"/>
              </w:rPr>
              <w:t>BAJA EN CUENTAS - EFECTO EN EL RESULTADO</w:t>
            </w:r>
          </w:p>
        </w:tc>
        <w:tc>
          <w:tcPr>
            <w:tcW w:w="1417" w:type="dxa"/>
            <w:noWrap/>
            <w:vAlign w:val="center"/>
            <w:hideMark/>
          </w:tcPr>
          <w:p w14:paraId="021B961D" w14:textId="77777777" w:rsidR="00D81C95" w:rsidRPr="00951AB1" w:rsidRDefault="00D81C95" w:rsidP="000A5389">
            <w:pPr>
              <w:spacing w:line="240" w:lineRule="auto"/>
              <w:jc w:val="right"/>
              <w:rPr>
                <w:rFonts w:eastAsia="Times New Roman" w:cs="Times New Roman"/>
                <w:b/>
                <w:bCs/>
                <w:color w:val="000000"/>
                <w:sz w:val="20"/>
                <w:szCs w:val="20"/>
                <w:lang w:val="es-419" w:eastAsia="es-419"/>
              </w:rPr>
            </w:pPr>
            <w:r w:rsidRPr="00951AB1">
              <w:rPr>
                <w:rFonts w:eastAsia="Times New Roman" w:cs="Times New Roman"/>
                <w:b/>
                <w:bCs/>
                <w:color w:val="000000"/>
                <w:sz w:val="20"/>
                <w:szCs w:val="20"/>
                <w:lang w:val="es-419" w:eastAsia="es-419"/>
              </w:rPr>
              <w:t xml:space="preserve">0 </w:t>
            </w:r>
          </w:p>
        </w:tc>
        <w:tc>
          <w:tcPr>
            <w:tcW w:w="1430" w:type="dxa"/>
            <w:noWrap/>
            <w:vAlign w:val="center"/>
            <w:hideMark/>
          </w:tcPr>
          <w:p w14:paraId="775A97A5" w14:textId="77777777" w:rsidR="00D81C95" w:rsidRPr="00951AB1" w:rsidRDefault="00D81C95" w:rsidP="000A5389">
            <w:pPr>
              <w:spacing w:line="240" w:lineRule="auto"/>
              <w:jc w:val="right"/>
              <w:rPr>
                <w:rFonts w:eastAsia="Times New Roman" w:cs="Times New Roman"/>
                <w:b/>
                <w:bCs/>
                <w:color w:val="000000"/>
                <w:sz w:val="20"/>
                <w:szCs w:val="20"/>
                <w:lang w:val="es-419" w:eastAsia="es-419"/>
              </w:rPr>
            </w:pPr>
            <w:r w:rsidRPr="00951AB1">
              <w:rPr>
                <w:rFonts w:eastAsia="Times New Roman" w:cs="Times New Roman"/>
                <w:b/>
                <w:bCs/>
                <w:color w:val="000000"/>
                <w:sz w:val="20"/>
                <w:szCs w:val="20"/>
                <w:lang w:val="es-419" w:eastAsia="es-419"/>
              </w:rPr>
              <w:t>(607.989.357)</w:t>
            </w:r>
          </w:p>
        </w:tc>
        <w:tc>
          <w:tcPr>
            <w:tcW w:w="1405" w:type="dxa"/>
            <w:noWrap/>
            <w:vAlign w:val="center"/>
            <w:hideMark/>
          </w:tcPr>
          <w:p w14:paraId="69788F39" w14:textId="77777777" w:rsidR="00D81C95" w:rsidRPr="00951AB1" w:rsidRDefault="00D81C95" w:rsidP="000A5389">
            <w:pPr>
              <w:spacing w:line="240" w:lineRule="auto"/>
              <w:jc w:val="right"/>
              <w:rPr>
                <w:rFonts w:eastAsia="Times New Roman" w:cs="Times New Roman"/>
                <w:b/>
                <w:bCs/>
                <w:color w:val="000000"/>
                <w:sz w:val="20"/>
                <w:szCs w:val="20"/>
                <w:lang w:val="es-419" w:eastAsia="es-419"/>
              </w:rPr>
            </w:pPr>
            <w:r w:rsidRPr="00951AB1">
              <w:rPr>
                <w:rFonts w:eastAsia="Times New Roman" w:cs="Times New Roman"/>
                <w:b/>
                <w:bCs/>
                <w:color w:val="000000"/>
                <w:sz w:val="20"/>
                <w:szCs w:val="20"/>
                <w:lang w:val="es-419" w:eastAsia="es-419"/>
              </w:rPr>
              <w:t>(607.989.357)</w:t>
            </w:r>
          </w:p>
        </w:tc>
      </w:tr>
      <w:tr w:rsidR="00D81C95" w:rsidRPr="00951AB1" w14:paraId="1FCBAABA" w14:textId="77777777" w:rsidTr="00774AB2">
        <w:trPr>
          <w:trHeight w:val="290"/>
        </w:trPr>
        <w:tc>
          <w:tcPr>
            <w:tcW w:w="220" w:type="dxa"/>
            <w:noWrap/>
            <w:vAlign w:val="center"/>
            <w:hideMark/>
          </w:tcPr>
          <w:p w14:paraId="26F3A2BB" w14:textId="77777777" w:rsidR="00D81C95" w:rsidRPr="00951AB1" w:rsidRDefault="00D81C95" w:rsidP="000A5389">
            <w:pPr>
              <w:spacing w:line="240" w:lineRule="auto"/>
              <w:jc w:val="center"/>
              <w:rPr>
                <w:rFonts w:eastAsia="Times New Roman" w:cs="Times New Roman"/>
                <w:color w:val="000000"/>
                <w:sz w:val="20"/>
                <w:szCs w:val="20"/>
                <w:lang w:val="es-419" w:eastAsia="es-419"/>
              </w:rPr>
            </w:pPr>
            <w:r w:rsidRPr="00951AB1">
              <w:rPr>
                <w:rFonts w:eastAsia="Times New Roman" w:cs="Times New Roman"/>
                <w:color w:val="000000"/>
                <w:sz w:val="20"/>
                <w:szCs w:val="20"/>
                <w:lang w:val="es-419" w:eastAsia="es-419"/>
              </w:rPr>
              <w:t> </w:t>
            </w:r>
          </w:p>
        </w:tc>
        <w:tc>
          <w:tcPr>
            <w:tcW w:w="220" w:type="dxa"/>
            <w:noWrap/>
            <w:vAlign w:val="center"/>
            <w:hideMark/>
          </w:tcPr>
          <w:p w14:paraId="6BB6B3A0" w14:textId="77777777" w:rsidR="00D81C95" w:rsidRPr="00951AB1" w:rsidRDefault="00D81C95" w:rsidP="000A5389">
            <w:pPr>
              <w:spacing w:line="240" w:lineRule="auto"/>
              <w:jc w:val="center"/>
              <w:rPr>
                <w:rFonts w:eastAsia="Times New Roman" w:cs="Times New Roman"/>
                <w:color w:val="000000"/>
                <w:sz w:val="20"/>
                <w:szCs w:val="20"/>
                <w:lang w:val="es-419" w:eastAsia="es-419"/>
              </w:rPr>
            </w:pPr>
            <w:r w:rsidRPr="00951AB1">
              <w:rPr>
                <w:rFonts w:eastAsia="Times New Roman" w:cs="Times New Roman"/>
                <w:color w:val="000000"/>
                <w:sz w:val="20"/>
                <w:szCs w:val="20"/>
                <w:lang w:val="es-419" w:eastAsia="es-419"/>
              </w:rPr>
              <w:t>+</w:t>
            </w:r>
          </w:p>
        </w:tc>
        <w:tc>
          <w:tcPr>
            <w:tcW w:w="4233" w:type="dxa"/>
            <w:gridSpan w:val="2"/>
            <w:noWrap/>
            <w:vAlign w:val="center"/>
            <w:hideMark/>
          </w:tcPr>
          <w:p w14:paraId="5B15FD34" w14:textId="77777777" w:rsidR="00D81C95" w:rsidRPr="00951AB1" w:rsidRDefault="00D81C95" w:rsidP="000A5389">
            <w:pPr>
              <w:spacing w:line="240" w:lineRule="auto"/>
              <w:rPr>
                <w:rFonts w:eastAsia="Times New Roman" w:cs="Times New Roman"/>
                <w:color w:val="000000"/>
                <w:sz w:val="20"/>
                <w:szCs w:val="20"/>
                <w:lang w:val="es-419" w:eastAsia="es-419"/>
              </w:rPr>
            </w:pPr>
            <w:r w:rsidRPr="00951AB1">
              <w:rPr>
                <w:rFonts w:eastAsia="Times New Roman" w:cs="Times New Roman"/>
                <w:color w:val="000000"/>
                <w:sz w:val="20"/>
                <w:szCs w:val="20"/>
                <w:lang w:val="es-419" w:eastAsia="es-419"/>
              </w:rPr>
              <w:t>Ingresos (utilidad)</w:t>
            </w:r>
          </w:p>
        </w:tc>
        <w:tc>
          <w:tcPr>
            <w:tcW w:w="1417" w:type="dxa"/>
            <w:noWrap/>
            <w:vAlign w:val="center"/>
            <w:hideMark/>
          </w:tcPr>
          <w:p w14:paraId="759FAC4C" w14:textId="77777777" w:rsidR="00D81C95" w:rsidRPr="00951AB1" w:rsidRDefault="00D81C95" w:rsidP="000A5389">
            <w:pPr>
              <w:spacing w:line="240" w:lineRule="auto"/>
              <w:jc w:val="right"/>
              <w:rPr>
                <w:rFonts w:eastAsia="Times New Roman" w:cs="Times New Roman"/>
                <w:color w:val="000000"/>
                <w:sz w:val="20"/>
                <w:szCs w:val="20"/>
                <w:lang w:val="es-419" w:eastAsia="es-419"/>
              </w:rPr>
            </w:pPr>
            <w:r w:rsidRPr="00951AB1">
              <w:rPr>
                <w:rFonts w:eastAsia="Times New Roman" w:cs="Times New Roman"/>
                <w:color w:val="000000"/>
                <w:sz w:val="20"/>
                <w:szCs w:val="20"/>
                <w:lang w:val="es-419" w:eastAsia="es-419"/>
              </w:rPr>
              <w:t xml:space="preserve">0 </w:t>
            </w:r>
          </w:p>
        </w:tc>
        <w:tc>
          <w:tcPr>
            <w:tcW w:w="1430" w:type="dxa"/>
            <w:noWrap/>
            <w:vAlign w:val="center"/>
            <w:hideMark/>
          </w:tcPr>
          <w:p w14:paraId="09A1DBD8" w14:textId="77777777" w:rsidR="00D81C95" w:rsidRPr="00951AB1" w:rsidRDefault="00D81C95" w:rsidP="000A5389">
            <w:pPr>
              <w:spacing w:line="240" w:lineRule="auto"/>
              <w:jc w:val="right"/>
              <w:rPr>
                <w:rFonts w:eastAsia="Times New Roman" w:cs="Times New Roman"/>
                <w:color w:val="000000"/>
                <w:sz w:val="20"/>
                <w:szCs w:val="20"/>
                <w:lang w:val="es-419" w:eastAsia="es-419"/>
              </w:rPr>
            </w:pPr>
            <w:r w:rsidRPr="00951AB1">
              <w:rPr>
                <w:rFonts w:eastAsia="Times New Roman" w:cs="Times New Roman"/>
                <w:color w:val="000000"/>
                <w:sz w:val="20"/>
                <w:szCs w:val="20"/>
                <w:lang w:val="es-419" w:eastAsia="es-419"/>
              </w:rPr>
              <w:t xml:space="preserve">0 </w:t>
            </w:r>
          </w:p>
        </w:tc>
        <w:tc>
          <w:tcPr>
            <w:tcW w:w="1405" w:type="dxa"/>
            <w:noWrap/>
            <w:vAlign w:val="center"/>
            <w:hideMark/>
          </w:tcPr>
          <w:p w14:paraId="217BA73E" w14:textId="77777777" w:rsidR="00D81C95" w:rsidRPr="00951AB1" w:rsidRDefault="00D81C95" w:rsidP="000A5389">
            <w:pPr>
              <w:spacing w:line="240" w:lineRule="auto"/>
              <w:jc w:val="right"/>
              <w:rPr>
                <w:rFonts w:eastAsia="Times New Roman" w:cs="Times New Roman"/>
                <w:b/>
                <w:bCs/>
                <w:color w:val="000000"/>
                <w:sz w:val="20"/>
                <w:szCs w:val="20"/>
                <w:lang w:val="es-419" w:eastAsia="es-419"/>
              </w:rPr>
            </w:pPr>
            <w:r w:rsidRPr="00951AB1">
              <w:rPr>
                <w:rFonts w:eastAsia="Times New Roman" w:cs="Times New Roman"/>
                <w:b/>
                <w:bCs/>
                <w:color w:val="000000"/>
                <w:sz w:val="20"/>
                <w:szCs w:val="20"/>
                <w:lang w:val="es-419" w:eastAsia="es-419"/>
              </w:rPr>
              <w:t xml:space="preserve">0 </w:t>
            </w:r>
          </w:p>
        </w:tc>
      </w:tr>
      <w:tr w:rsidR="00D81C95" w:rsidRPr="00951AB1" w14:paraId="0D3493A4" w14:textId="77777777" w:rsidTr="00774AB2">
        <w:trPr>
          <w:trHeight w:val="290"/>
        </w:trPr>
        <w:tc>
          <w:tcPr>
            <w:tcW w:w="220" w:type="dxa"/>
            <w:noWrap/>
            <w:vAlign w:val="center"/>
            <w:hideMark/>
          </w:tcPr>
          <w:p w14:paraId="636153B2" w14:textId="77777777" w:rsidR="00D81C95" w:rsidRPr="00951AB1" w:rsidRDefault="00D81C95" w:rsidP="000A5389">
            <w:pPr>
              <w:spacing w:line="240" w:lineRule="auto"/>
              <w:jc w:val="center"/>
              <w:rPr>
                <w:rFonts w:eastAsia="Times New Roman" w:cs="Times New Roman"/>
                <w:color w:val="000000"/>
                <w:sz w:val="20"/>
                <w:szCs w:val="20"/>
                <w:lang w:val="es-419" w:eastAsia="es-419"/>
              </w:rPr>
            </w:pPr>
            <w:r w:rsidRPr="00951AB1">
              <w:rPr>
                <w:rFonts w:eastAsia="Times New Roman" w:cs="Times New Roman"/>
                <w:color w:val="000000"/>
                <w:sz w:val="20"/>
                <w:szCs w:val="20"/>
                <w:lang w:val="es-419" w:eastAsia="es-419"/>
              </w:rPr>
              <w:t> </w:t>
            </w:r>
          </w:p>
        </w:tc>
        <w:tc>
          <w:tcPr>
            <w:tcW w:w="220" w:type="dxa"/>
            <w:noWrap/>
            <w:vAlign w:val="center"/>
            <w:hideMark/>
          </w:tcPr>
          <w:p w14:paraId="27D4C15C" w14:textId="77777777" w:rsidR="00D81C95" w:rsidRPr="00951AB1" w:rsidRDefault="00D81C95" w:rsidP="000A5389">
            <w:pPr>
              <w:spacing w:line="240" w:lineRule="auto"/>
              <w:jc w:val="center"/>
              <w:rPr>
                <w:rFonts w:eastAsia="Times New Roman" w:cs="Times New Roman"/>
                <w:color w:val="000000"/>
                <w:sz w:val="20"/>
                <w:szCs w:val="20"/>
                <w:lang w:val="es-419" w:eastAsia="es-419"/>
              </w:rPr>
            </w:pPr>
            <w:r w:rsidRPr="00951AB1">
              <w:rPr>
                <w:rFonts w:eastAsia="Times New Roman" w:cs="Times New Roman"/>
                <w:color w:val="000000"/>
                <w:sz w:val="20"/>
                <w:szCs w:val="20"/>
                <w:lang w:val="es-419" w:eastAsia="es-419"/>
              </w:rPr>
              <w:t>-</w:t>
            </w:r>
          </w:p>
        </w:tc>
        <w:tc>
          <w:tcPr>
            <w:tcW w:w="4233" w:type="dxa"/>
            <w:gridSpan w:val="2"/>
            <w:noWrap/>
            <w:vAlign w:val="center"/>
            <w:hideMark/>
          </w:tcPr>
          <w:p w14:paraId="280ABD44" w14:textId="77777777" w:rsidR="00D81C95" w:rsidRPr="00951AB1" w:rsidRDefault="00D81C95" w:rsidP="000A5389">
            <w:pPr>
              <w:spacing w:line="240" w:lineRule="auto"/>
              <w:rPr>
                <w:rFonts w:eastAsia="Times New Roman" w:cs="Times New Roman"/>
                <w:color w:val="000000"/>
                <w:sz w:val="20"/>
                <w:szCs w:val="20"/>
                <w:lang w:val="es-419" w:eastAsia="es-419"/>
              </w:rPr>
            </w:pPr>
            <w:r w:rsidRPr="00951AB1">
              <w:rPr>
                <w:rFonts w:eastAsia="Times New Roman" w:cs="Times New Roman"/>
                <w:color w:val="000000"/>
                <w:sz w:val="20"/>
                <w:szCs w:val="20"/>
                <w:lang w:val="es-419" w:eastAsia="es-419"/>
              </w:rPr>
              <w:t>Gastos (pérdida)</w:t>
            </w:r>
          </w:p>
        </w:tc>
        <w:tc>
          <w:tcPr>
            <w:tcW w:w="1417" w:type="dxa"/>
            <w:noWrap/>
            <w:vAlign w:val="center"/>
            <w:hideMark/>
          </w:tcPr>
          <w:p w14:paraId="3F0BA12F" w14:textId="77777777" w:rsidR="00D81C95" w:rsidRPr="00951AB1" w:rsidRDefault="00D81C95" w:rsidP="000A5389">
            <w:pPr>
              <w:spacing w:line="240" w:lineRule="auto"/>
              <w:jc w:val="right"/>
              <w:rPr>
                <w:rFonts w:eastAsia="Times New Roman" w:cs="Times New Roman"/>
                <w:color w:val="000000"/>
                <w:sz w:val="20"/>
                <w:szCs w:val="20"/>
                <w:lang w:val="es-419" w:eastAsia="es-419"/>
              </w:rPr>
            </w:pPr>
            <w:r w:rsidRPr="00951AB1">
              <w:rPr>
                <w:rFonts w:eastAsia="Times New Roman" w:cs="Times New Roman"/>
                <w:color w:val="000000"/>
                <w:sz w:val="20"/>
                <w:szCs w:val="20"/>
                <w:lang w:val="es-419" w:eastAsia="es-419"/>
              </w:rPr>
              <w:t xml:space="preserve">0 </w:t>
            </w:r>
          </w:p>
        </w:tc>
        <w:tc>
          <w:tcPr>
            <w:tcW w:w="1430" w:type="dxa"/>
            <w:noWrap/>
            <w:vAlign w:val="center"/>
            <w:hideMark/>
          </w:tcPr>
          <w:p w14:paraId="3C336CDA" w14:textId="77777777" w:rsidR="00D81C95" w:rsidRPr="00951AB1" w:rsidRDefault="00D81C95" w:rsidP="000A5389">
            <w:pPr>
              <w:spacing w:line="240" w:lineRule="auto"/>
              <w:jc w:val="right"/>
              <w:rPr>
                <w:rFonts w:eastAsia="Times New Roman" w:cs="Times New Roman"/>
                <w:color w:val="000000"/>
                <w:sz w:val="20"/>
                <w:szCs w:val="20"/>
                <w:lang w:val="es-419" w:eastAsia="es-419"/>
              </w:rPr>
            </w:pPr>
            <w:r w:rsidRPr="00951AB1">
              <w:rPr>
                <w:rFonts w:eastAsia="Times New Roman" w:cs="Times New Roman"/>
                <w:color w:val="000000"/>
                <w:sz w:val="20"/>
                <w:szCs w:val="20"/>
                <w:lang w:val="es-419" w:eastAsia="es-419"/>
              </w:rPr>
              <w:t xml:space="preserve">607.989.357 </w:t>
            </w:r>
          </w:p>
        </w:tc>
        <w:tc>
          <w:tcPr>
            <w:tcW w:w="1405" w:type="dxa"/>
            <w:noWrap/>
            <w:vAlign w:val="center"/>
            <w:hideMark/>
          </w:tcPr>
          <w:p w14:paraId="1BE3CCCD" w14:textId="77777777" w:rsidR="00D81C95" w:rsidRPr="00951AB1" w:rsidRDefault="00D81C95" w:rsidP="000A5389">
            <w:pPr>
              <w:spacing w:line="240" w:lineRule="auto"/>
              <w:jc w:val="right"/>
              <w:rPr>
                <w:rFonts w:eastAsia="Times New Roman" w:cs="Times New Roman"/>
                <w:b/>
                <w:bCs/>
                <w:color w:val="000000"/>
                <w:sz w:val="20"/>
                <w:szCs w:val="20"/>
                <w:lang w:val="es-419" w:eastAsia="es-419"/>
              </w:rPr>
            </w:pPr>
            <w:r w:rsidRPr="00951AB1">
              <w:rPr>
                <w:rFonts w:eastAsia="Times New Roman" w:cs="Times New Roman"/>
                <w:b/>
                <w:bCs/>
                <w:color w:val="000000"/>
                <w:sz w:val="20"/>
                <w:szCs w:val="20"/>
                <w:lang w:val="es-419" w:eastAsia="es-419"/>
              </w:rPr>
              <w:t xml:space="preserve">607.989.357 </w:t>
            </w:r>
          </w:p>
        </w:tc>
      </w:tr>
    </w:tbl>
    <w:p w14:paraId="3510B2C6" w14:textId="77777777" w:rsidR="00D81C95" w:rsidRPr="00951AB1" w:rsidRDefault="00D81C95" w:rsidP="000A5389">
      <w:pPr>
        <w:spacing w:line="240" w:lineRule="auto"/>
        <w:rPr>
          <w:rFonts w:cs="Times New Roman"/>
          <w:bCs/>
          <w:color w:val="EE0000"/>
          <w:sz w:val="14"/>
          <w:szCs w:val="14"/>
        </w:rPr>
      </w:pPr>
      <w:r w:rsidRPr="00951AB1">
        <w:rPr>
          <w:rFonts w:cs="Times New Roman"/>
          <w:noProof/>
        </w:rPr>
        <w:fldChar w:fldCharType="end"/>
      </w:r>
      <w:r w:rsidRPr="00951AB1">
        <w:rPr>
          <w:rFonts w:cs="Times New Roman"/>
          <w:bCs/>
          <w:color w:val="EE0000"/>
          <w:sz w:val="14"/>
          <w:szCs w:val="14"/>
        </w:rPr>
        <w:t xml:space="preserve"> </w:t>
      </w:r>
      <w:r w:rsidRPr="00951AB1">
        <w:rPr>
          <w:rFonts w:cs="Times New Roman"/>
          <w:bCs/>
          <w:sz w:val="14"/>
          <w:szCs w:val="14"/>
        </w:rPr>
        <w:t>Cifras expresadas en pesos</w:t>
      </w:r>
    </w:p>
    <w:p w14:paraId="5CA7389C" w14:textId="77777777" w:rsidR="00D81C95" w:rsidRPr="00951AB1" w:rsidRDefault="00D81C95" w:rsidP="000A5389">
      <w:pPr>
        <w:spacing w:line="240" w:lineRule="auto"/>
        <w:rPr>
          <w:rFonts w:cs="Times New Roman"/>
          <w:szCs w:val="24"/>
        </w:rPr>
      </w:pPr>
    </w:p>
    <w:p w14:paraId="16339AFB" w14:textId="77777777" w:rsidR="00D81C95" w:rsidRPr="00951AB1" w:rsidRDefault="00D81C95" w:rsidP="000A5389">
      <w:pPr>
        <w:spacing w:line="240" w:lineRule="auto"/>
        <w:rPr>
          <w:rFonts w:cs="Times New Roman"/>
          <w:szCs w:val="24"/>
        </w:rPr>
      </w:pPr>
      <w:r w:rsidRPr="00951AB1">
        <w:rPr>
          <w:rFonts w:cs="Times New Roman"/>
          <w:szCs w:val="24"/>
        </w:rPr>
        <w:t>Para la vigencia 2025, en terrenos no se presentaron novedades, en lo referente a Edificaciones las operaciones realizadas fueron las siguientes:</w:t>
      </w:r>
    </w:p>
    <w:p w14:paraId="54CD4EA6" w14:textId="77777777" w:rsidR="00D81C95" w:rsidRPr="00951AB1" w:rsidRDefault="00D81C95" w:rsidP="000A5389">
      <w:pPr>
        <w:spacing w:line="240" w:lineRule="auto"/>
        <w:rPr>
          <w:rFonts w:cs="Times New Roman"/>
          <w:szCs w:val="24"/>
        </w:rPr>
      </w:pPr>
    </w:p>
    <w:p w14:paraId="634F0A5F" w14:textId="77777777" w:rsidR="00D81C95" w:rsidRPr="00951AB1" w:rsidRDefault="00D81C95" w:rsidP="000A5389">
      <w:pPr>
        <w:pStyle w:val="Prrafodelista"/>
        <w:numPr>
          <w:ilvl w:val="0"/>
          <w:numId w:val="68"/>
        </w:numPr>
        <w:spacing w:line="240" w:lineRule="auto"/>
        <w:rPr>
          <w:rFonts w:cs="Times New Roman"/>
          <w:szCs w:val="24"/>
        </w:rPr>
      </w:pPr>
      <w:r w:rsidRPr="00951AB1">
        <w:rPr>
          <w:rFonts w:cs="Times New Roman"/>
          <w:szCs w:val="24"/>
        </w:rPr>
        <w:t>Reversión del proyecto Cordoba – Sucre a la entidad titular por valor de $ 607.989.357.</w:t>
      </w:r>
    </w:p>
    <w:p w14:paraId="6A4DD712" w14:textId="77777777" w:rsidR="00D81C95" w:rsidRPr="00951AB1" w:rsidRDefault="00D81C95" w:rsidP="000A5389">
      <w:pPr>
        <w:pStyle w:val="Prrafodelista"/>
        <w:numPr>
          <w:ilvl w:val="0"/>
          <w:numId w:val="68"/>
        </w:numPr>
        <w:spacing w:line="240" w:lineRule="auto"/>
        <w:rPr>
          <w:rFonts w:cs="Times New Roman"/>
          <w:szCs w:val="24"/>
        </w:rPr>
      </w:pPr>
      <w:r w:rsidRPr="00951AB1">
        <w:rPr>
          <w:rFonts w:cs="Times New Roman"/>
          <w:szCs w:val="24"/>
        </w:rPr>
        <w:t>Bienes entregados de la infraestructura al proyecto de concesión APP 001-2025, Corredor Férreo la Dorada Chiriguana por valor de $ 79.902.392.210.</w:t>
      </w:r>
    </w:p>
    <w:p w14:paraId="4740B158" w14:textId="77777777" w:rsidR="00D81C95" w:rsidRPr="00951AB1" w:rsidRDefault="00D81C95" w:rsidP="000A5389">
      <w:pPr>
        <w:pStyle w:val="Prrafodelista"/>
        <w:numPr>
          <w:ilvl w:val="0"/>
          <w:numId w:val="68"/>
        </w:numPr>
        <w:spacing w:line="240" w:lineRule="auto"/>
        <w:rPr>
          <w:rFonts w:cs="Times New Roman"/>
          <w:szCs w:val="24"/>
        </w:rPr>
      </w:pPr>
      <w:r w:rsidRPr="00951AB1">
        <w:rPr>
          <w:rFonts w:cs="Times New Roman"/>
          <w:szCs w:val="24"/>
        </w:rPr>
        <w:lastRenderedPageBreak/>
        <w:t>Salida por reclasificación de bienes en servicio del corredor férreo La Dorada – Chiriguana al contrato de concesión No. 001-2025, por valor de $25.996.662.448.</w:t>
      </w:r>
    </w:p>
    <w:p w14:paraId="17E054B6" w14:textId="77777777" w:rsidR="00D81C95" w:rsidRPr="00951AB1" w:rsidRDefault="00D81C95" w:rsidP="000A5389">
      <w:pPr>
        <w:pStyle w:val="Prrafodelista"/>
        <w:numPr>
          <w:ilvl w:val="0"/>
          <w:numId w:val="68"/>
        </w:numPr>
        <w:spacing w:line="240" w:lineRule="auto"/>
        <w:rPr>
          <w:rFonts w:cs="Times New Roman"/>
          <w:szCs w:val="24"/>
        </w:rPr>
      </w:pPr>
      <w:r w:rsidRPr="00951AB1">
        <w:rPr>
          <w:rFonts w:cs="Times New Roman"/>
          <w:szCs w:val="24"/>
        </w:rPr>
        <w:t>Traslado entre cuentas por valor de $ 77.014.707 proyecto Santa Marta-Riohacha-Paraguachón.</w:t>
      </w:r>
    </w:p>
    <w:p w14:paraId="2B080D30" w14:textId="77777777" w:rsidR="00AE64F5" w:rsidRPr="00951AB1" w:rsidRDefault="00AE64F5" w:rsidP="000A5389">
      <w:pPr>
        <w:spacing w:line="240" w:lineRule="auto"/>
        <w:rPr>
          <w:rFonts w:cs="Times New Roman"/>
          <w:szCs w:val="24"/>
        </w:rPr>
      </w:pPr>
    </w:p>
    <w:p w14:paraId="249FA688" w14:textId="0AF9261B" w:rsidR="00C65ABC" w:rsidRPr="00951AB1" w:rsidRDefault="00C65ABC" w:rsidP="000A5389">
      <w:pPr>
        <w:pStyle w:val="Ttulo2"/>
        <w:numPr>
          <w:ilvl w:val="1"/>
          <w:numId w:val="67"/>
        </w:numPr>
        <w:spacing w:line="240" w:lineRule="auto"/>
        <w:rPr>
          <w:rFonts w:cs="Times New Roman"/>
        </w:rPr>
      </w:pPr>
      <w:bookmarkStart w:id="332" w:name="_Toc191562518"/>
      <w:bookmarkStart w:id="333" w:name="_Toc191369511"/>
      <w:bookmarkStart w:id="334" w:name="_Toc191456841"/>
      <w:bookmarkStart w:id="335" w:name="_Toc191456951"/>
      <w:bookmarkStart w:id="336" w:name="_Toc191457061"/>
      <w:bookmarkStart w:id="337" w:name="_Toc191475688"/>
      <w:bookmarkStart w:id="338" w:name="_Toc191475797"/>
      <w:bookmarkStart w:id="339" w:name="_Toc191475906"/>
      <w:bookmarkStart w:id="340" w:name="_Toc191475429"/>
      <w:r w:rsidRPr="00951AB1">
        <w:rPr>
          <w:rFonts w:cs="Times New Roman"/>
        </w:rPr>
        <w:t xml:space="preserve">  </w:t>
      </w:r>
      <w:r w:rsidRPr="00951AB1">
        <w:rPr>
          <w:rFonts w:cs="Times New Roman"/>
        </w:rPr>
        <w:tab/>
      </w:r>
      <w:bookmarkStart w:id="341" w:name="_Toc222955483"/>
      <w:r w:rsidR="00D81C95" w:rsidRPr="00951AB1">
        <w:rPr>
          <w:rFonts w:cs="Times New Roman"/>
        </w:rPr>
        <w:t>Construcciones en curso</w:t>
      </w:r>
      <w:bookmarkEnd w:id="332"/>
      <w:bookmarkEnd w:id="341"/>
    </w:p>
    <w:p w14:paraId="64BE56CB" w14:textId="77777777" w:rsidR="00A03166" w:rsidRPr="00951AB1" w:rsidRDefault="00A03166" w:rsidP="000A5389">
      <w:pPr>
        <w:spacing w:line="240" w:lineRule="auto"/>
        <w:rPr>
          <w:rFonts w:cs="Times New Roman"/>
        </w:rPr>
      </w:pPr>
    </w:p>
    <w:p w14:paraId="5130E85C" w14:textId="6E21E01D" w:rsidR="00D81C95" w:rsidRDefault="00D81C95" w:rsidP="000A5389">
      <w:pPr>
        <w:spacing w:line="240" w:lineRule="auto"/>
        <w:rPr>
          <w:rFonts w:cs="Times New Roman"/>
          <w:szCs w:val="24"/>
        </w:rPr>
      </w:pPr>
      <w:r w:rsidRPr="00951AB1">
        <w:rPr>
          <w:rFonts w:cs="Times New Roman"/>
          <w:szCs w:val="24"/>
        </w:rPr>
        <w:t>Al cierre de la vigencia 2025, la ANI no cuenta con construcciones en curso.</w:t>
      </w:r>
    </w:p>
    <w:p w14:paraId="18801705" w14:textId="77777777" w:rsidR="00BD137E" w:rsidRPr="00951AB1" w:rsidRDefault="00BD137E" w:rsidP="000A5389">
      <w:pPr>
        <w:spacing w:line="240" w:lineRule="auto"/>
        <w:rPr>
          <w:rFonts w:cs="Times New Roman"/>
          <w:szCs w:val="24"/>
        </w:rPr>
      </w:pPr>
    </w:p>
    <w:p w14:paraId="0B73B8B2" w14:textId="5CC742DF" w:rsidR="00C65ABC" w:rsidRPr="00951AB1" w:rsidRDefault="000270BA" w:rsidP="000A5389">
      <w:pPr>
        <w:pStyle w:val="Ttulo2"/>
        <w:numPr>
          <w:ilvl w:val="1"/>
          <w:numId w:val="67"/>
        </w:numPr>
        <w:spacing w:line="240" w:lineRule="auto"/>
        <w:rPr>
          <w:rFonts w:cs="Times New Roman"/>
        </w:rPr>
      </w:pPr>
      <w:bookmarkStart w:id="342" w:name="_Toc191562519"/>
      <w:bookmarkEnd w:id="333"/>
      <w:bookmarkEnd w:id="334"/>
      <w:bookmarkEnd w:id="335"/>
      <w:bookmarkEnd w:id="336"/>
      <w:bookmarkEnd w:id="337"/>
      <w:bookmarkEnd w:id="338"/>
      <w:bookmarkEnd w:id="339"/>
      <w:bookmarkEnd w:id="340"/>
      <w:r w:rsidRPr="00951AB1">
        <w:rPr>
          <w:rFonts w:cs="Times New Roman"/>
        </w:rPr>
        <w:t xml:space="preserve"> </w:t>
      </w:r>
      <w:r w:rsidRPr="00951AB1">
        <w:rPr>
          <w:rFonts w:cs="Times New Roman"/>
        </w:rPr>
        <w:tab/>
      </w:r>
      <w:bookmarkStart w:id="343" w:name="_Toc222955484"/>
      <w:r w:rsidR="00D81C95" w:rsidRPr="00951AB1">
        <w:rPr>
          <w:rFonts w:cs="Times New Roman"/>
        </w:rPr>
        <w:t>Estimaciones</w:t>
      </w:r>
      <w:bookmarkEnd w:id="342"/>
      <w:bookmarkEnd w:id="343"/>
    </w:p>
    <w:p w14:paraId="06B7FEB8" w14:textId="77777777" w:rsidR="00A64AE8" w:rsidRPr="00951AB1" w:rsidRDefault="00A64AE8" w:rsidP="000A5389">
      <w:pPr>
        <w:spacing w:line="240" w:lineRule="auto"/>
        <w:rPr>
          <w:rFonts w:cs="Times New Roman"/>
        </w:rPr>
      </w:pPr>
    </w:p>
    <w:p w14:paraId="42C58003" w14:textId="7181416E" w:rsidR="00A64AE8" w:rsidRPr="00951AB1" w:rsidRDefault="00A64AE8" w:rsidP="000A5389">
      <w:pPr>
        <w:spacing w:line="240" w:lineRule="auto"/>
        <w:rPr>
          <w:rFonts w:cs="Times New Roman"/>
          <w:szCs w:val="24"/>
        </w:rPr>
      </w:pPr>
      <w:r w:rsidRPr="00951AB1">
        <w:rPr>
          <w:rFonts w:cs="Times New Roman"/>
          <w:szCs w:val="24"/>
        </w:rPr>
        <w:t>Respecto de las depreciaciones, el método empleado por la Agencia es el de línea recta para los bienes de uso administrativo y el cálculo individualizado teniendo en cuenta la vida útil de los elementos.</w:t>
      </w:r>
      <w:bookmarkStart w:id="344" w:name="_Hlk96492833"/>
      <w:r w:rsidRPr="00951AB1">
        <w:rPr>
          <w:rFonts w:cs="Times New Roman"/>
          <w:szCs w:val="24"/>
        </w:rPr>
        <w:t xml:space="preserve"> La estimación de las vidas útiles de los bienes muebles ha sido determinada de acuerdo con las características de los elementos y la intensión de uso de estos, teniendo en cuenta los factores de la utilización prevista del activo, el desgaste físico esperado.</w:t>
      </w:r>
    </w:p>
    <w:bookmarkEnd w:id="344"/>
    <w:p w14:paraId="1141E0A2" w14:textId="77777777" w:rsidR="00AE64F5" w:rsidRPr="00951AB1" w:rsidRDefault="00AE64F5" w:rsidP="000A5389">
      <w:pPr>
        <w:spacing w:line="240" w:lineRule="auto"/>
        <w:rPr>
          <w:rFonts w:cs="Times New Roman"/>
          <w:szCs w:val="24"/>
        </w:rPr>
      </w:pPr>
    </w:p>
    <w:tbl>
      <w:tblPr>
        <w:tblW w:w="5000" w:type="pct"/>
        <w:jc w:val="center"/>
        <w:tblBorders>
          <w:top w:val="single" w:sz="4" w:space="0" w:color="A6A6A6"/>
          <w:left w:val="single" w:sz="4" w:space="0" w:color="A6A6A6"/>
          <w:bottom w:val="single" w:sz="4" w:space="0" w:color="A6A6A6"/>
          <w:right w:val="single" w:sz="4" w:space="0" w:color="A6A6A6"/>
          <w:insideH w:val="single" w:sz="6" w:space="0" w:color="A6A6A6"/>
          <w:insideV w:val="single" w:sz="6" w:space="0" w:color="A6A6A6"/>
        </w:tblBorders>
        <w:tblCellMar>
          <w:left w:w="70" w:type="dxa"/>
          <w:right w:w="70" w:type="dxa"/>
        </w:tblCellMar>
        <w:tblLook w:val="04A0" w:firstRow="1" w:lastRow="0" w:firstColumn="1" w:lastColumn="0" w:noHBand="0" w:noVBand="1"/>
      </w:tblPr>
      <w:tblGrid>
        <w:gridCol w:w="857"/>
        <w:gridCol w:w="4765"/>
        <w:gridCol w:w="1605"/>
        <w:gridCol w:w="1601"/>
      </w:tblGrid>
      <w:tr w:rsidR="00D81C95" w:rsidRPr="00951AB1" w14:paraId="2CD23825" w14:textId="77777777" w:rsidTr="000270BA">
        <w:trPr>
          <w:trHeight w:val="336"/>
          <w:tblHeader/>
          <w:jc w:val="center"/>
        </w:trPr>
        <w:tc>
          <w:tcPr>
            <w:tcW w:w="3184" w:type="pct"/>
            <w:gridSpan w:val="2"/>
            <w:noWrap/>
            <w:vAlign w:val="center"/>
            <w:hideMark/>
          </w:tcPr>
          <w:p w14:paraId="1CBDE97A" w14:textId="77777777" w:rsidR="00D81C95" w:rsidRPr="00951AB1" w:rsidRDefault="00D81C95" w:rsidP="000A5389">
            <w:pPr>
              <w:spacing w:line="240" w:lineRule="auto"/>
              <w:jc w:val="center"/>
              <w:rPr>
                <w:rFonts w:eastAsia="Times New Roman" w:cs="Times New Roman"/>
                <w:b/>
                <w:bCs/>
                <w:sz w:val="18"/>
                <w:szCs w:val="18"/>
                <w:lang w:eastAsia="es-CO"/>
              </w:rPr>
            </w:pPr>
            <w:r w:rsidRPr="00951AB1">
              <w:rPr>
                <w:rFonts w:eastAsia="Times New Roman" w:cs="Times New Roman"/>
                <w:b/>
                <w:bCs/>
                <w:sz w:val="18"/>
                <w:szCs w:val="18"/>
                <w:lang w:eastAsia="es-CO"/>
              </w:rPr>
              <w:t>DESCRIPCIÓN DE LOS BIENES DE PPE</w:t>
            </w:r>
          </w:p>
        </w:tc>
        <w:tc>
          <w:tcPr>
            <w:tcW w:w="1816" w:type="pct"/>
            <w:gridSpan w:val="2"/>
            <w:vAlign w:val="center"/>
            <w:hideMark/>
          </w:tcPr>
          <w:p w14:paraId="3CB2A78A" w14:textId="77777777" w:rsidR="00D81C95" w:rsidRPr="00951AB1" w:rsidRDefault="00D81C95" w:rsidP="000A5389">
            <w:pPr>
              <w:spacing w:line="240" w:lineRule="auto"/>
              <w:jc w:val="center"/>
              <w:rPr>
                <w:rFonts w:eastAsia="Times New Roman" w:cs="Times New Roman"/>
                <w:b/>
                <w:bCs/>
                <w:sz w:val="18"/>
                <w:szCs w:val="18"/>
                <w:lang w:eastAsia="es-CO"/>
              </w:rPr>
            </w:pPr>
            <w:r w:rsidRPr="00951AB1">
              <w:rPr>
                <w:rFonts w:eastAsia="Times New Roman" w:cs="Times New Roman"/>
                <w:b/>
                <w:bCs/>
                <w:sz w:val="18"/>
                <w:szCs w:val="18"/>
                <w:lang w:eastAsia="es-CO"/>
              </w:rPr>
              <w:t xml:space="preserve"> AÑOS DE VIDA ÚTIL</w:t>
            </w:r>
            <w:r w:rsidRPr="00951AB1">
              <w:rPr>
                <w:rFonts w:eastAsia="Times New Roman" w:cs="Times New Roman"/>
                <w:b/>
                <w:bCs/>
                <w:sz w:val="18"/>
                <w:szCs w:val="18"/>
                <w:lang w:eastAsia="es-CO"/>
              </w:rPr>
              <w:br/>
              <w:t xml:space="preserve">(Depreciación línea recta) </w:t>
            </w:r>
          </w:p>
        </w:tc>
      </w:tr>
      <w:tr w:rsidR="00D81C95" w:rsidRPr="00951AB1" w14:paraId="1B320A13" w14:textId="77777777" w:rsidTr="000270BA">
        <w:trPr>
          <w:trHeight w:val="282"/>
          <w:tblHeader/>
          <w:jc w:val="center"/>
        </w:trPr>
        <w:tc>
          <w:tcPr>
            <w:tcW w:w="485" w:type="pct"/>
            <w:noWrap/>
            <w:vAlign w:val="center"/>
            <w:hideMark/>
          </w:tcPr>
          <w:p w14:paraId="17C0A335" w14:textId="77777777" w:rsidR="00D81C95" w:rsidRPr="00951AB1" w:rsidRDefault="00D81C95" w:rsidP="000A5389">
            <w:pPr>
              <w:spacing w:line="240" w:lineRule="auto"/>
              <w:jc w:val="center"/>
              <w:rPr>
                <w:rFonts w:eastAsia="Times New Roman" w:cs="Times New Roman"/>
                <w:b/>
                <w:bCs/>
                <w:sz w:val="18"/>
                <w:szCs w:val="18"/>
                <w:lang w:eastAsia="es-CO"/>
              </w:rPr>
            </w:pPr>
            <w:r w:rsidRPr="00951AB1">
              <w:rPr>
                <w:rFonts w:eastAsia="Times New Roman" w:cs="Times New Roman"/>
                <w:b/>
                <w:bCs/>
                <w:sz w:val="18"/>
                <w:szCs w:val="18"/>
                <w:lang w:eastAsia="es-CO"/>
              </w:rPr>
              <w:t>TIPO</w:t>
            </w:r>
          </w:p>
        </w:tc>
        <w:tc>
          <w:tcPr>
            <w:tcW w:w="2699" w:type="pct"/>
            <w:vAlign w:val="center"/>
            <w:hideMark/>
          </w:tcPr>
          <w:p w14:paraId="5441F1D5" w14:textId="77777777" w:rsidR="00D81C95" w:rsidRPr="00951AB1" w:rsidRDefault="00D81C95" w:rsidP="000A5389">
            <w:pPr>
              <w:spacing w:line="240" w:lineRule="auto"/>
              <w:jc w:val="center"/>
              <w:rPr>
                <w:rFonts w:eastAsia="Times New Roman" w:cs="Times New Roman"/>
                <w:b/>
                <w:bCs/>
                <w:sz w:val="18"/>
                <w:szCs w:val="18"/>
                <w:lang w:eastAsia="es-CO"/>
              </w:rPr>
            </w:pPr>
            <w:r w:rsidRPr="00951AB1">
              <w:rPr>
                <w:rFonts w:eastAsia="Times New Roman" w:cs="Times New Roman"/>
                <w:b/>
                <w:bCs/>
                <w:sz w:val="18"/>
                <w:szCs w:val="18"/>
                <w:lang w:eastAsia="es-CO"/>
              </w:rPr>
              <w:t>CONCEPTOS</w:t>
            </w:r>
          </w:p>
        </w:tc>
        <w:tc>
          <w:tcPr>
            <w:tcW w:w="909" w:type="pct"/>
            <w:vAlign w:val="center"/>
            <w:hideMark/>
          </w:tcPr>
          <w:p w14:paraId="00E76075" w14:textId="77777777" w:rsidR="00D81C95" w:rsidRPr="00951AB1" w:rsidRDefault="00D81C95" w:rsidP="000A5389">
            <w:pPr>
              <w:spacing w:line="240" w:lineRule="auto"/>
              <w:jc w:val="center"/>
              <w:rPr>
                <w:rFonts w:eastAsia="Times New Roman" w:cs="Times New Roman"/>
                <w:b/>
                <w:bCs/>
                <w:sz w:val="18"/>
                <w:szCs w:val="18"/>
                <w:lang w:eastAsia="es-CO"/>
              </w:rPr>
            </w:pPr>
            <w:r w:rsidRPr="00951AB1">
              <w:rPr>
                <w:rFonts w:eastAsia="Times New Roman" w:cs="Times New Roman"/>
                <w:b/>
                <w:bCs/>
                <w:sz w:val="18"/>
                <w:szCs w:val="18"/>
                <w:lang w:eastAsia="es-CO"/>
              </w:rPr>
              <w:t xml:space="preserve"> MÍNIMO </w:t>
            </w:r>
          </w:p>
        </w:tc>
        <w:tc>
          <w:tcPr>
            <w:tcW w:w="907" w:type="pct"/>
            <w:vAlign w:val="center"/>
            <w:hideMark/>
          </w:tcPr>
          <w:p w14:paraId="476C2772" w14:textId="77777777" w:rsidR="00D81C95" w:rsidRPr="00951AB1" w:rsidRDefault="00D81C95" w:rsidP="000A5389">
            <w:pPr>
              <w:spacing w:line="240" w:lineRule="auto"/>
              <w:jc w:val="center"/>
              <w:rPr>
                <w:rFonts w:eastAsia="Times New Roman" w:cs="Times New Roman"/>
                <w:b/>
                <w:bCs/>
                <w:sz w:val="18"/>
                <w:szCs w:val="18"/>
                <w:lang w:eastAsia="es-CO"/>
              </w:rPr>
            </w:pPr>
            <w:r w:rsidRPr="00951AB1">
              <w:rPr>
                <w:rFonts w:eastAsia="Times New Roman" w:cs="Times New Roman"/>
                <w:b/>
                <w:bCs/>
                <w:sz w:val="18"/>
                <w:szCs w:val="18"/>
                <w:lang w:eastAsia="es-CO"/>
              </w:rPr>
              <w:t xml:space="preserve"> MÁXIMO </w:t>
            </w:r>
          </w:p>
        </w:tc>
      </w:tr>
      <w:tr w:rsidR="00D81C95" w:rsidRPr="00951AB1" w14:paraId="0F0F22B8" w14:textId="77777777" w:rsidTr="000270BA">
        <w:trPr>
          <w:trHeight w:val="282"/>
          <w:jc w:val="center"/>
        </w:trPr>
        <w:tc>
          <w:tcPr>
            <w:tcW w:w="485" w:type="pct"/>
            <w:vMerge w:val="restart"/>
            <w:noWrap/>
            <w:textDirection w:val="btLr"/>
            <w:vAlign w:val="center"/>
            <w:hideMark/>
          </w:tcPr>
          <w:p w14:paraId="69B928AE" w14:textId="77777777" w:rsidR="00D81C95" w:rsidRPr="00951AB1" w:rsidRDefault="00D81C95" w:rsidP="000A5389">
            <w:pPr>
              <w:spacing w:line="240" w:lineRule="auto"/>
              <w:jc w:val="center"/>
              <w:rPr>
                <w:rFonts w:eastAsia="Times New Roman" w:cs="Times New Roman"/>
                <w:b/>
                <w:bCs/>
                <w:sz w:val="18"/>
                <w:szCs w:val="18"/>
                <w:lang w:eastAsia="es-CO"/>
              </w:rPr>
            </w:pPr>
            <w:r w:rsidRPr="00951AB1">
              <w:rPr>
                <w:rFonts w:eastAsia="Times New Roman" w:cs="Times New Roman"/>
                <w:b/>
                <w:bCs/>
                <w:sz w:val="18"/>
                <w:szCs w:val="18"/>
                <w:lang w:eastAsia="es-CO"/>
              </w:rPr>
              <w:t>MUEBLES</w:t>
            </w:r>
          </w:p>
        </w:tc>
        <w:tc>
          <w:tcPr>
            <w:tcW w:w="2699" w:type="pct"/>
            <w:vAlign w:val="center"/>
            <w:hideMark/>
          </w:tcPr>
          <w:p w14:paraId="7F5A9ABC" w14:textId="77777777" w:rsidR="00D81C95" w:rsidRPr="00951AB1" w:rsidRDefault="00D81C95" w:rsidP="000A5389">
            <w:pPr>
              <w:spacing w:line="240" w:lineRule="auto"/>
              <w:rPr>
                <w:rFonts w:eastAsia="Times New Roman" w:cs="Times New Roman"/>
                <w:sz w:val="18"/>
                <w:szCs w:val="18"/>
                <w:lang w:eastAsia="es-CO"/>
              </w:rPr>
            </w:pPr>
            <w:r w:rsidRPr="00951AB1">
              <w:rPr>
                <w:rFonts w:eastAsia="Times New Roman" w:cs="Times New Roman"/>
                <w:sz w:val="18"/>
                <w:szCs w:val="18"/>
                <w:lang w:eastAsia="es-CO"/>
              </w:rPr>
              <w:t>Maquinaria y equipo</w:t>
            </w:r>
          </w:p>
        </w:tc>
        <w:tc>
          <w:tcPr>
            <w:tcW w:w="909" w:type="pct"/>
            <w:noWrap/>
            <w:vAlign w:val="center"/>
            <w:hideMark/>
          </w:tcPr>
          <w:p w14:paraId="51EF2458" w14:textId="77777777" w:rsidR="00D81C95" w:rsidRPr="00951AB1" w:rsidRDefault="00D81C95" w:rsidP="000A5389">
            <w:pPr>
              <w:spacing w:line="240" w:lineRule="auto"/>
              <w:jc w:val="center"/>
              <w:rPr>
                <w:rFonts w:eastAsia="Times New Roman" w:cs="Times New Roman"/>
                <w:sz w:val="18"/>
                <w:szCs w:val="18"/>
                <w:lang w:eastAsia="es-CO"/>
              </w:rPr>
            </w:pPr>
            <w:r w:rsidRPr="00951AB1">
              <w:rPr>
                <w:rFonts w:eastAsia="Times New Roman" w:cs="Times New Roman"/>
                <w:sz w:val="18"/>
                <w:szCs w:val="18"/>
                <w:lang w:eastAsia="es-CO"/>
              </w:rPr>
              <w:t>10</w:t>
            </w:r>
          </w:p>
        </w:tc>
        <w:tc>
          <w:tcPr>
            <w:tcW w:w="907" w:type="pct"/>
            <w:noWrap/>
            <w:vAlign w:val="center"/>
            <w:hideMark/>
          </w:tcPr>
          <w:p w14:paraId="5E521C28" w14:textId="77777777" w:rsidR="00D81C95" w:rsidRPr="00951AB1" w:rsidRDefault="00D81C95" w:rsidP="000A5389">
            <w:pPr>
              <w:spacing w:line="240" w:lineRule="auto"/>
              <w:jc w:val="center"/>
              <w:rPr>
                <w:rFonts w:eastAsia="Times New Roman" w:cs="Times New Roman"/>
                <w:sz w:val="18"/>
                <w:szCs w:val="18"/>
                <w:lang w:eastAsia="es-CO"/>
              </w:rPr>
            </w:pPr>
            <w:r w:rsidRPr="00951AB1">
              <w:rPr>
                <w:rFonts w:eastAsia="Times New Roman" w:cs="Times New Roman"/>
                <w:sz w:val="18"/>
                <w:szCs w:val="18"/>
                <w:lang w:eastAsia="es-CO"/>
              </w:rPr>
              <w:t>40</w:t>
            </w:r>
          </w:p>
        </w:tc>
      </w:tr>
      <w:tr w:rsidR="00D81C95" w:rsidRPr="00951AB1" w14:paraId="76D29E0F" w14:textId="77777777" w:rsidTr="000270BA">
        <w:trPr>
          <w:trHeight w:val="282"/>
          <w:jc w:val="center"/>
        </w:trPr>
        <w:tc>
          <w:tcPr>
            <w:tcW w:w="485" w:type="pct"/>
            <w:vMerge/>
            <w:vAlign w:val="center"/>
            <w:hideMark/>
          </w:tcPr>
          <w:p w14:paraId="52B3ADCE" w14:textId="77777777" w:rsidR="00D81C95" w:rsidRPr="00951AB1" w:rsidRDefault="00D81C95" w:rsidP="000A5389">
            <w:pPr>
              <w:spacing w:line="240" w:lineRule="auto"/>
              <w:rPr>
                <w:rFonts w:eastAsia="Times New Roman" w:cs="Times New Roman"/>
                <w:b/>
                <w:bCs/>
                <w:sz w:val="18"/>
                <w:szCs w:val="18"/>
                <w:lang w:eastAsia="es-CO"/>
              </w:rPr>
            </w:pPr>
          </w:p>
        </w:tc>
        <w:tc>
          <w:tcPr>
            <w:tcW w:w="2699" w:type="pct"/>
            <w:vAlign w:val="center"/>
            <w:hideMark/>
          </w:tcPr>
          <w:p w14:paraId="521FA42E" w14:textId="77777777" w:rsidR="00D81C95" w:rsidRPr="00951AB1" w:rsidRDefault="00D81C95" w:rsidP="000A5389">
            <w:pPr>
              <w:spacing w:line="240" w:lineRule="auto"/>
              <w:rPr>
                <w:rFonts w:eastAsia="Times New Roman" w:cs="Times New Roman"/>
                <w:sz w:val="18"/>
                <w:szCs w:val="18"/>
                <w:lang w:eastAsia="es-CO"/>
              </w:rPr>
            </w:pPr>
            <w:r w:rsidRPr="00951AB1">
              <w:rPr>
                <w:rFonts w:eastAsia="Times New Roman" w:cs="Times New Roman"/>
                <w:sz w:val="18"/>
                <w:szCs w:val="18"/>
                <w:lang w:eastAsia="es-CO"/>
              </w:rPr>
              <w:t>Equipos de comunicación y computación</w:t>
            </w:r>
          </w:p>
        </w:tc>
        <w:tc>
          <w:tcPr>
            <w:tcW w:w="909" w:type="pct"/>
            <w:noWrap/>
            <w:vAlign w:val="center"/>
            <w:hideMark/>
          </w:tcPr>
          <w:p w14:paraId="22EA6B94" w14:textId="77777777" w:rsidR="00D81C95" w:rsidRPr="00951AB1" w:rsidRDefault="00D81C95" w:rsidP="000A5389">
            <w:pPr>
              <w:spacing w:line="240" w:lineRule="auto"/>
              <w:jc w:val="center"/>
              <w:rPr>
                <w:rFonts w:eastAsia="Times New Roman" w:cs="Times New Roman"/>
                <w:sz w:val="18"/>
                <w:szCs w:val="18"/>
                <w:lang w:eastAsia="es-CO"/>
              </w:rPr>
            </w:pPr>
            <w:r w:rsidRPr="00951AB1">
              <w:rPr>
                <w:rFonts w:eastAsia="Times New Roman" w:cs="Times New Roman"/>
                <w:sz w:val="18"/>
                <w:szCs w:val="18"/>
                <w:lang w:eastAsia="es-CO"/>
              </w:rPr>
              <w:t>3</w:t>
            </w:r>
          </w:p>
        </w:tc>
        <w:tc>
          <w:tcPr>
            <w:tcW w:w="907" w:type="pct"/>
            <w:noWrap/>
            <w:vAlign w:val="center"/>
            <w:hideMark/>
          </w:tcPr>
          <w:p w14:paraId="162DD1B4" w14:textId="77777777" w:rsidR="00D81C95" w:rsidRPr="00951AB1" w:rsidRDefault="00D81C95" w:rsidP="000A5389">
            <w:pPr>
              <w:spacing w:line="240" w:lineRule="auto"/>
              <w:jc w:val="center"/>
              <w:rPr>
                <w:rFonts w:eastAsia="Times New Roman" w:cs="Times New Roman"/>
                <w:sz w:val="18"/>
                <w:szCs w:val="18"/>
                <w:lang w:eastAsia="es-CO"/>
              </w:rPr>
            </w:pPr>
            <w:r w:rsidRPr="00951AB1">
              <w:rPr>
                <w:rFonts w:eastAsia="Times New Roman" w:cs="Times New Roman"/>
                <w:sz w:val="18"/>
                <w:szCs w:val="18"/>
                <w:lang w:eastAsia="es-CO"/>
              </w:rPr>
              <w:t>8</w:t>
            </w:r>
          </w:p>
        </w:tc>
      </w:tr>
      <w:tr w:rsidR="00D81C95" w:rsidRPr="00951AB1" w14:paraId="572EB2B1" w14:textId="77777777" w:rsidTr="000270BA">
        <w:trPr>
          <w:trHeight w:val="282"/>
          <w:jc w:val="center"/>
        </w:trPr>
        <w:tc>
          <w:tcPr>
            <w:tcW w:w="485" w:type="pct"/>
            <w:vMerge/>
            <w:vAlign w:val="center"/>
            <w:hideMark/>
          </w:tcPr>
          <w:p w14:paraId="0906A415" w14:textId="77777777" w:rsidR="00D81C95" w:rsidRPr="00951AB1" w:rsidRDefault="00D81C95" w:rsidP="000A5389">
            <w:pPr>
              <w:spacing w:line="240" w:lineRule="auto"/>
              <w:rPr>
                <w:rFonts w:eastAsia="Times New Roman" w:cs="Times New Roman"/>
                <w:b/>
                <w:bCs/>
                <w:sz w:val="18"/>
                <w:szCs w:val="18"/>
                <w:lang w:eastAsia="es-CO"/>
              </w:rPr>
            </w:pPr>
          </w:p>
        </w:tc>
        <w:tc>
          <w:tcPr>
            <w:tcW w:w="2699" w:type="pct"/>
            <w:vAlign w:val="center"/>
            <w:hideMark/>
          </w:tcPr>
          <w:p w14:paraId="5ED16C34" w14:textId="77777777" w:rsidR="00D81C95" w:rsidRPr="00951AB1" w:rsidRDefault="00D81C95" w:rsidP="000A5389">
            <w:pPr>
              <w:spacing w:line="240" w:lineRule="auto"/>
              <w:rPr>
                <w:rFonts w:eastAsia="Times New Roman" w:cs="Times New Roman"/>
                <w:sz w:val="18"/>
                <w:szCs w:val="18"/>
                <w:lang w:eastAsia="es-CO"/>
              </w:rPr>
            </w:pPr>
            <w:r w:rsidRPr="00951AB1">
              <w:rPr>
                <w:rFonts w:eastAsia="Times New Roman" w:cs="Times New Roman"/>
                <w:sz w:val="18"/>
                <w:szCs w:val="18"/>
                <w:lang w:eastAsia="es-CO"/>
              </w:rPr>
              <w:t>Equipos de transporte, tracción y elevación</w:t>
            </w:r>
          </w:p>
        </w:tc>
        <w:tc>
          <w:tcPr>
            <w:tcW w:w="909" w:type="pct"/>
            <w:noWrap/>
            <w:vAlign w:val="center"/>
            <w:hideMark/>
          </w:tcPr>
          <w:p w14:paraId="2330F809" w14:textId="77777777" w:rsidR="00D81C95" w:rsidRPr="00951AB1" w:rsidRDefault="00D81C95" w:rsidP="000A5389">
            <w:pPr>
              <w:spacing w:line="240" w:lineRule="auto"/>
              <w:jc w:val="center"/>
              <w:rPr>
                <w:rFonts w:eastAsia="Times New Roman" w:cs="Times New Roman"/>
                <w:sz w:val="18"/>
                <w:szCs w:val="18"/>
                <w:lang w:eastAsia="es-CO"/>
              </w:rPr>
            </w:pPr>
            <w:r w:rsidRPr="00951AB1">
              <w:rPr>
                <w:rFonts w:eastAsia="Times New Roman" w:cs="Times New Roman"/>
                <w:sz w:val="18"/>
                <w:szCs w:val="18"/>
                <w:lang w:eastAsia="es-CO"/>
              </w:rPr>
              <w:t>10</w:t>
            </w:r>
          </w:p>
        </w:tc>
        <w:tc>
          <w:tcPr>
            <w:tcW w:w="907" w:type="pct"/>
            <w:noWrap/>
            <w:vAlign w:val="center"/>
            <w:hideMark/>
          </w:tcPr>
          <w:p w14:paraId="28A82F63" w14:textId="77777777" w:rsidR="00D81C95" w:rsidRPr="00951AB1" w:rsidRDefault="00D81C95" w:rsidP="000A5389">
            <w:pPr>
              <w:spacing w:line="240" w:lineRule="auto"/>
              <w:jc w:val="center"/>
              <w:rPr>
                <w:rFonts w:eastAsia="Times New Roman" w:cs="Times New Roman"/>
                <w:sz w:val="18"/>
                <w:szCs w:val="18"/>
                <w:lang w:eastAsia="es-CO"/>
              </w:rPr>
            </w:pPr>
            <w:r w:rsidRPr="00951AB1">
              <w:rPr>
                <w:rFonts w:eastAsia="Times New Roman" w:cs="Times New Roman"/>
                <w:sz w:val="18"/>
                <w:szCs w:val="18"/>
                <w:lang w:eastAsia="es-CO"/>
              </w:rPr>
              <w:t>20</w:t>
            </w:r>
          </w:p>
        </w:tc>
      </w:tr>
      <w:tr w:rsidR="00D81C95" w:rsidRPr="00951AB1" w14:paraId="52D764D4" w14:textId="77777777" w:rsidTr="000270BA">
        <w:trPr>
          <w:trHeight w:val="282"/>
          <w:jc w:val="center"/>
        </w:trPr>
        <w:tc>
          <w:tcPr>
            <w:tcW w:w="485" w:type="pct"/>
            <w:vMerge/>
            <w:vAlign w:val="center"/>
            <w:hideMark/>
          </w:tcPr>
          <w:p w14:paraId="358A2650" w14:textId="77777777" w:rsidR="00D81C95" w:rsidRPr="00951AB1" w:rsidRDefault="00D81C95" w:rsidP="000A5389">
            <w:pPr>
              <w:spacing w:line="240" w:lineRule="auto"/>
              <w:rPr>
                <w:rFonts w:eastAsia="Times New Roman" w:cs="Times New Roman"/>
                <w:b/>
                <w:bCs/>
                <w:sz w:val="18"/>
                <w:szCs w:val="18"/>
                <w:lang w:eastAsia="es-CO"/>
              </w:rPr>
            </w:pPr>
          </w:p>
        </w:tc>
        <w:tc>
          <w:tcPr>
            <w:tcW w:w="2699" w:type="pct"/>
            <w:vAlign w:val="center"/>
            <w:hideMark/>
          </w:tcPr>
          <w:p w14:paraId="0FECA820" w14:textId="77777777" w:rsidR="00D81C95" w:rsidRPr="00951AB1" w:rsidRDefault="00D81C95" w:rsidP="000A5389">
            <w:pPr>
              <w:spacing w:line="240" w:lineRule="auto"/>
              <w:rPr>
                <w:rFonts w:eastAsia="Times New Roman" w:cs="Times New Roman"/>
                <w:sz w:val="18"/>
                <w:szCs w:val="18"/>
                <w:lang w:eastAsia="es-CO"/>
              </w:rPr>
            </w:pPr>
            <w:r w:rsidRPr="00951AB1">
              <w:rPr>
                <w:rFonts w:eastAsia="Times New Roman" w:cs="Times New Roman"/>
                <w:sz w:val="18"/>
                <w:szCs w:val="18"/>
                <w:lang w:eastAsia="es-CO"/>
              </w:rPr>
              <w:t>Equipo médico y científico</w:t>
            </w:r>
          </w:p>
        </w:tc>
        <w:tc>
          <w:tcPr>
            <w:tcW w:w="909" w:type="pct"/>
            <w:noWrap/>
            <w:vAlign w:val="center"/>
            <w:hideMark/>
          </w:tcPr>
          <w:p w14:paraId="04FA9E08" w14:textId="77777777" w:rsidR="00D81C95" w:rsidRPr="00951AB1" w:rsidRDefault="00D81C95" w:rsidP="000A5389">
            <w:pPr>
              <w:spacing w:line="240" w:lineRule="auto"/>
              <w:jc w:val="center"/>
              <w:rPr>
                <w:rFonts w:eastAsia="Times New Roman" w:cs="Times New Roman"/>
                <w:sz w:val="18"/>
                <w:szCs w:val="18"/>
                <w:lang w:eastAsia="es-CO"/>
              </w:rPr>
            </w:pPr>
            <w:r w:rsidRPr="00951AB1">
              <w:rPr>
                <w:rFonts w:eastAsia="Times New Roman" w:cs="Times New Roman"/>
                <w:sz w:val="18"/>
                <w:szCs w:val="18"/>
                <w:lang w:eastAsia="es-CO"/>
              </w:rPr>
              <w:t>10</w:t>
            </w:r>
          </w:p>
        </w:tc>
        <w:tc>
          <w:tcPr>
            <w:tcW w:w="907" w:type="pct"/>
            <w:noWrap/>
            <w:vAlign w:val="center"/>
            <w:hideMark/>
          </w:tcPr>
          <w:p w14:paraId="1D8D5A8C" w14:textId="77777777" w:rsidR="00D81C95" w:rsidRPr="00951AB1" w:rsidRDefault="00D81C95" w:rsidP="000A5389">
            <w:pPr>
              <w:spacing w:line="240" w:lineRule="auto"/>
              <w:jc w:val="center"/>
              <w:rPr>
                <w:rFonts w:eastAsia="Times New Roman" w:cs="Times New Roman"/>
                <w:sz w:val="18"/>
                <w:szCs w:val="18"/>
                <w:lang w:eastAsia="es-CO"/>
              </w:rPr>
            </w:pPr>
            <w:r w:rsidRPr="00951AB1">
              <w:rPr>
                <w:rFonts w:eastAsia="Times New Roman" w:cs="Times New Roman"/>
                <w:sz w:val="18"/>
                <w:szCs w:val="18"/>
                <w:lang w:eastAsia="es-CO"/>
              </w:rPr>
              <w:t>15</w:t>
            </w:r>
          </w:p>
        </w:tc>
      </w:tr>
      <w:tr w:rsidR="00D81C95" w:rsidRPr="00951AB1" w14:paraId="01EAFB16" w14:textId="77777777" w:rsidTr="000270BA">
        <w:trPr>
          <w:trHeight w:val="282"/>
          <w:jc w:val="center"/>
        </w:trPr>
        <w:tc>
          <w:tcPr>
            <w:tcW w:w="485" w:type="pct"/>
            <w:vMerge/>
            <w:vAlign w:val="center"/>
            <w:hideMark/>
          </w:tcPr>
          <w:p w14:paraId="2C440D28" w14:textId="77777777" w:rsidR="00D81C95" w:rsidRPr="00951AB1" w:rsidRDefault="00D81C95" w:rsidP="000A5389">
            <w:pPr>
              <w:spacing w:line="240" w:lineRule="auto"/>
              <w:rPr>
                <w:rFonts w:eastAsia="Times New Roman" w:cs="Times New Roman"/>
                <w:b/>
                <w:bCs/>
                <w:sz w:val="18"/>
                <w:szCs w:val="18"/>
                <w:lang w:eastAsia="es-CO"/>
              </w:rPr>
            </w:pPr>
          </w:p>
        </w:tc>
        <w:tc>
          <w:tcPr>
            <w:tcW w:w="2699" w:type="pct"/>
            <w:vAlign w:val="center"/>
            <w:hideMark/>
          </w:tcPr>
          <w:p w14:paraId="49B97FD6" w14:textId="77777777" w:rsidR="00D81C95" w:rsidRPr="00951AB1" w:rsidRDefault="00D81C95" w:rsidP="000A5389">
            <w:pPr>
              <w:spacing w:line="240" w:lineRule="auto"/>
              <w:rPr>
                <w:rFonts w:eastAsia="Times New Roman" w:cs="Times New Roman"/>
                <w:sz w:val="18"/>
                <w:szCs w:val="18"/>
                <w:lang w:eastAsia="es-CO"/>
              </w:rPr>
            </w:pPr>
            <w:r w:rsidRPr="00951AB1">
              <w:rPr>
                <w:rFonts w:eastAsia="Times New Roman" w:cs="Times New Roman"/>
                <w:sz w:val="18"/>
                <w:szCs w:val="18"/>
                <w:lang w:eastAsia="es-CO"/>
              </w:rPr>
              <w:t>Muebles, enseres y equipo de oficina</w:t>
            </w:r>
          </w:p>
        </w:tc>
        <w:tc>
          <w:tcPr>
            <w:tcW w:w="909" w:type="pct"/>
            <w:noWrap/>
            <w:vAlign w:val="center"/>
            <w:hideMark/>
          </w:tcPr>
          <w:p w14:paraId="6C6A1972" w14:textId="77777777" w:rsidR="00D81C95" w:rsidRPr="00951AB1" w:rsidRDefault="00D81C95" w:rsidP="000A5389">
            <w:pPr>
              <w:spacing w:line="240" w:lineRule="auto"/>
              <w:jc w:val="center"/>
              <w:rPr>
                <w:rFonts w:eastAsia="Times New Roman" w:cs="Times New Roman"/>
                <w:sz w:val="18"/>
                <w:szCs w:val="18"/>
                <w:lang w:eastAsia="es-CO"/>
              </w:rPr>
            </w:pPr>
            <w:r w:rsidRPr="00951AB1">
              <w:rPr>
                <w:rFonts w:eastAsia="Times New Roman" w:cs="Times New Roman"/>
                <w:sz w:val="18"/>
                <w:szCs w:val="18"/>
                <w:lang w:eastAsia="es-CO"/>
              </w:rPr>
              <w:t>5</w:t>
            </w:r>
          </w:p>
        </w:tc>
        <w:tc>
          <w:tcPr>
            <w:tcW w:w="907" w:type="pct"/>
            <w:noWrap/>
            <w:vAlign w:val="center"/>
            <w:hideMark/>
          </w:tcPr>
          <w:p w14:paraId="3D5F090D" w14:textId="77777777" w:rsidR="00D81C95" w:rsidRPr="00951AB1" w:rsidRDefault="00D81C95" w:rsidP="000A5389">
            <w:pPr>
              <w:spacing w:line="240" w:lineRule="auto"/>
              <w:jc w:val="center"/>
              <w:rPr>
                <w:rFonts w:eastAsia="Times New Roman" w:cs="Times New Roman"/>
                <w:sz w:val="18"/>
                <w:szCs w:val="18"/>
                <w:lang w:eastAsia="es-CO"/>
              </w:rPr>
            </w:pPr>
            <w:r w:rsidRPr="00951AB1">
              <w:rPr>
                <w:rFonts w:eastAsia="Times New Roman" w:cs="Times New Roman"/>
                <w:sz w:val="18"/>
                <w:szCs w:val="18"/>
                <w:lang w:eastAsia="es-CO"/>
              </w:rPr>
              <w:t>15</w:t>
            </w:r>
          </w:p>
        </w:tc>
      </w:tr>
      <w:tr w:rsidR="00D81C95" w:rsidRPr="00951AB1" w14:paraId="2B5B8BD2" w14:textId="77777777" w:rsidTr="000270BA">
        <w:trPr>
          <w:trHeight w:val="282"/>
          <w:jc w:val="center"/>
        </w:trPr>
        <w:tc>
          <w:tcPr>
            <w:tcW w:w="485" w:type="pct"/>
            <w:vMerge/>
            <w:vAlign w:val="center"/>
            <w:hideMark/>
          </w:tcPr>
          <w:p w14:paraId="2EAF39C9" w14:textId="77777777" w:rsidR="00D81C95" w:rsidRPr="00951AB1" w:rsidRDefault="00D81C95" w:rsidP="000A5389">
            <w:pPr>
              <w:spacing w:line="240" w:lineRule="auto"/>
              <w:rPr>
                <w:rFonts w:eastAsia="Times New Roman" w:cs="Times New Roman"/>
                <w:b/>
                <w:bCs/>
                <w:sz w:val="18"/>
                <w:szCs w:val="18"/>
                <w:lang w:eastAsia="es-CO"/>
              </w:rPr>
            </w:pPr>
          </w:p>
        </w:tc>
        <w:tc>
          <w:tcPr>
            <w:tcW w:w="2699" w:type="pct"/>
            <w:vAlign w:val="center"/>
            <w:hideMark/>
          </w:tcPr>
          <w:p w14:paraId="13488FBE" w14:textId="77777777" w:rsidR="00D81C95" w:rsidRPr="00951AB1" w:rsidRDefault="00D81C95" w:rsidP="000A5389">
            <w:pPr>
              <w:spacing w:line="240" w:lineRule="auto"/>
              <w:rPr>
                <w:rFonts w:eastAsia="Times New Roman" w:cs="Times New Roman"/>
                <w:sz w:val="18"/>
                <w:szCs w:val="18"/>
                <w:lang w:eastAsia="es-CO"/>
              </w:rPr>
            </w:pPr>
            <w:r w:rsidRPr="00951AB1">
              <w:rPr>
                <w:rFonts w:eastAsia="Times New Roman" w:cs="Times New Roman"/>
                <w:sz w:val="18"/>
                <w:szCs w:val="18"/>
                <w:lang w:eastAsia="es-CO"/>
              </w:rPr>
              <w:t>Equipos de comedor, cocina, despensa y hotelería</w:t>
            </w:r>
          </w:p>
        </w:tc>
        <w:tc>
          <w:tcPr>
            <w:tcW w:w="909" w:type="pct"/>
            <w:noWrap/>
            <w:vAlign w:val="center"/>
            <w:hideMark/>
          </w:tcPr>
          <w:p w14:paraId="61BF2D95" w14:textId="77777777" w:rsidR="00D81C95" w:rsidRPr="00951AB1" w:rsidRDefault="00D81C95" w:rsidP="000A5389">
            <w:pPr>
              <w:spacing w:line="240" w:lineRule="auto"/>
              <w:jc w:val="center"/>
              <w:rPr>
                <w:rFonts w:eastAsia="Times New Roman" w:cs="Times New Roman"/>
                <w:sz w:val="18"/>
                <w:szCs w:val="18"/>
                <w:lang w:eastAsia="es-CO"/>
              </w:rPr>
            </w:pPr>
            <w:r w:rsidRPr="00951AB1">
              <w:rPr>
                <w:rFonts w:eastAsia="Times New Roman" w:cs="Times New Roman"/>
                <w:sz w:val="18"/>
                <w:szCs w:val="18"/>
                <w:lang w:eastAsia="es-CO"/>
              </w:rPr>
              <w:t>10</w:t>
            </w:r>
          </w:p>
        </w:tc>
        <w:tc>
          <w:tcPr>
            <w:tcW w:w="907" w:type="pct"/>
            <w:noWrap/>
            <w:vAlign w:val="center"/>
            <w:hideMark/>
          </w:tcPr>
          <w:p w14:paraId="7E44AADB" w14:textId="77777777" w:rsidR="00D81C95" w:rsidRPr="00951AB1" w:rsidRDefault="00D81C95" w:rsidP="000A5389">
            <w:pPr>
              <w:spacing w:line="240" w:lineRule="auto"/>
              <w:jc w:val="center"/>
              <w:rPr>
                <w:rFonts w:eastAsia="Times New Roman" w:cs="Times New Roman"/>
                <w:sz w:val="18"/>
                <w:szCs w:val="18"/>
                <w:lang w:eastAsia="es-CO"/>
              </w:rPr>
            </w:pPr>
            <w:r w:rsidRPr="00951AB1">
              <w:rPr>
                <w:rFonts w:eastAsia="Times New Roman" w:cs="Times New Roman"/>
                <w:sz w:val="18"/>
                <w:szCs w:val="18"/>
                <w:lang w:eastAsia="es-CO"/>
              </w:rPr>
              <w:t>15</w:t>
            </w:r>
          </w:p>
        </w:tc>
      </w:tr>
      <w:tr w:rsidR="00D81C95" w:rsidRPr="00951AB1" w14:paraId="3F7A17D2" w14:textId="77777777" w:rsidTr="000270BA">
        <w:trPr>
          <w:trHeight w:val="282"/>
          <w:jc w:val="center"/>
        </w:trPr>
        <w:tc>
          <w:tcPr>
            <w:tcW w:w="485" w:type="pct"/>
            <w:vMerge w:val="restart"/>
            <w:noWrap/>
            <w:textDirection w:val="btLr"/>
            <w:vAlign w:val="center"/>
            <w:hideMark/>
          </w:tcPr>
          <w:p w14:paraId="720FBF4B" w14:textId="77777777" w:rsidR="00D81C95" w:rsidRPr="00951AB1" w:rsidRDefault="00D81C95" w:rsidP="000A5389">
            <w:pPr>
              <w:spacing w:line="240" w:lineRule="auto"/>
              <w:jc w:val="center"/>
              <w:rPr>
                <w:rFonts w:eastAsia="Times New Roman" w:cs="Times New Roman"/>
                <w:b/>
                <w:bCs/>
                <w:sz w:val="18"/>
                <w:szCs w:val="18"/>
                <w:lang w:eastAsia="es-CO"/>
              </w:rPr>
            </w:pPr>
            <w:r w:rsidRPr="00951AB1">
              <w:rPr>
                <w:rFonts w:eastAsia="Times New Roman" w:cs="Times New Roman"/>
                <w:b/>
                <w:bCs/>
                <w:sz w:val="18"/>
                <w:szCs w:val="18"/>
                <w:lang w:eastAsia="es-CO"/>
              </w:rPr>
              <w:t>INMUEBLES</w:t>
            </w:r>
          </w:p>
        </w:tc>
        <w:tc>
          <w:tcPr>
            <w:tcW w:w="2699" w:type="pct"/>
            <w:vAlign w:val="center"/>
            <w:hideMark/>
          </w:tcPr>
          <w:p w14:paraId="612A8F70" w14:textId="77777777" w:rsidR="00D81C95" w:rsidRPr="00951AB1" w:rsidRDefault="00D81C95" w:rsidP="000A5389">
            <w:pPr>
              <w:spacing w:line="240" w:lineRule="auto"/>
              <w:rPr>
                <w:rFonts w:eastAsia="Times New Roman" w:cs="Times New Roman"/>
                <w:sz w:val="18"/>
                <w:szCs w:val="18"/>
                <w:lang w:eastAsia="es-CO"/>
              </w:rPr>
            </w:pPr>
            <w:r w:rsidRPr="00951AB1">
              <w:rPr>
                <w:rFonts w:eastAsia="Times New Roman" w:cs="Times New Roman"/>
                <w:sz w:val="18"/>
                <w:szCs w:val="18"/>
                <w:lang w:eastAsia="es-CO"/>
              </w:rPr>
              <w:t>Terrenos</w:t>
            </w:r>
          </w:p>
        </w:tc>
        <w:tc>
          <w:tcPr>
            <w:tcW w:w="909" w:type="pct"/>
            <w:noWrap/>
            <w:vAlign w:val="center"/>
            <w:hideMark/>
          </w:tcPr>
          <w:p w14:paraId="38CDAACF" w14:textId="77777777" w:rsidR="00D81C95" w:rsidRPr="00951AB1" w:rsidRDefault="00D81C95" w:rsidP="000A5389">
            <w:pPr>
              <w:spacing w:line="240" w:lineRule="auto"/>
              <w:jc w:val="center"/>
              <w:rPr>
                <w:rFonts w:eastAsia="Times New Roman" w:cs="Times New Roman"/>
                <w:sz w:val="18"/>
                <w:szCs w:val="18"/>
                <w:lang w:eastAsia="es-CO"/>
              </w:rPr>
            </w:pPr>
            <w:r w:rsidRPr="00951AB1">
              <w:rPr>
                <w:rFonts w:eastAsia="Times New Roman" w:cs="Times New Roman"/>
                <w:sz w:val="18"/>
                <w:szCs w:val="18"/>
                <w:lang w:eastAsia="es-CO"/>
              </w:rPr>
              <w:t>-</w:t>
            </w:r>
          </w:p>
        </w:tc>
        <w:tc>
          <w:tcPr>
            <w:tcW w:w="907" w:type="pct"/>
            <w:noWrap/>
            <w:vAlign w:val="center"/>
            <w:hideMark/>
          </w:tcPr>
          <w:p w14:paraId="451E88FC" w14:textId="77777777" w:rsidR="00D81C95" w:rsidRPr="00951AB1" w:rsidRDefault="00D81C95" w:rsidP="000A5389">
            <w:pPr>
              <w:spacing w:line="240" w:lineRule="auto"/>
              <w:jc w:val="center"/>
              <w:rPr>
                <w:rFonts w:eastAsia="Times New Roman" w:cs="Times New Roman"/>
                <w:sz w:val="18"/>
                <w:szCs w:val="18"/>
                <w:lang w:eastAsia="es-CO"/>
              </w:rPr>
            </w:pPr>
            <w:r w:rsidRPr="00951AB1">
              <w:rPr>
                <w:rFonts w:eastAsia="Times New Roman" w:cs="Times New Roman"/>
                <w:sz w:val="18"/>
                <w:szCs w:val="18"/>
                <w:lang w:eastAsia="es-CO"/>
              </w:rPr>
              <w:t>-</w:t>
            </w:r>
          </w:p>
        </w:tc>
      </w:tr>
      <w:tr w:rsidR="00D81C95" w:rsidRPr="00951AB1" w14:paraId="1BD5F0A5" w14:textId="77777777" w:rsidTr="000270BA">
        <w:trPr>
          <w:trHeight w:val="282"/>
          <w:jc w:val="center"/>
        </w:trPr>
        <w:tc>
          <w:tcPr>
            <w:tcW w:w="485" w:type="pct"/>
            <w:vMerge/>
            <w:vAlign w:val="center"/>
            <w:hideMark/>
          </w:tcPr>
          <w:p w14:paraId="49F098D2" w14:textId="77777777" w:rsidR="00D81C95" w:rsidRPr="00951AB1" w:rsidRDefault="00D81C95" w:rsidP="000A5389">
            <w:pPr>
              <w:spacing w:line="240" w:lineRule="auto"/>
              <w:rPr>
                <w:rFonts w:eastAsia="Times New Roman" w:cs="Times New Roman"/>
                <w:b/>
                <w:bCs/>
                <w:sz w:val="18"/>
                <w:szCs w:val="18"/>
                <w:lang w:eastAsia="es-CO"/>
              </w:rPr>
            </w:pPr>
          </w:p>
        </w:tc>
        <w:tc>
          <w:tcPr>
            <w:tcW w:w="2699" w:type="pct"/>
            <w:vAlign w:val="center"/>
            <w:hideMark/>
          </w:tcPr>
          <w:p w14:paraId="2E239FB5" w14:textId="77777777" w:rsidR="00D81C95" w:rsidRPr="00951AB1" w:rsidRDefault="00D81C95" w:rsidP="000A5389">
            <w:pPr>
              <w:spacing w:line="240" w:lineRule="auto"/>
              <w:rPr>
                <w:rFonts w:eastAsia="Times New Roman" w:cs="Times New Roman"/>
                <w:sz w:val="18"/>
                <w:szCs w:val="18"/>
                <w:lang w:eastAsia="es-CO"/>
              </w:rPr>
            </w:pPr>
            <w:r w:rsidRPr="00951AB1">
              <w:rPr>
                <w:rFonts w:eastAsia="Times New Roman" w:cs="Times New Roman"/>
                <w:sz w:val="18"/>
                <w:szCs w:val="18"/>
                <w:lang w:eastAsia="es-CO"/>
              </w:rPr>
              <w:t>Edificaciones</w:t>
            </w:r>
          </w:p>
        </w:tc>
        <w:tc>
          <w:tcPr>
            <w:tcW w:w="909" w:type="pct"/>
            <w:noWrap/>
            <w:vAlign w:val="center"/>
            <w:hideMark/>
          </w:tcPr>
          <w:p w14:paraId="27B2C06B" w14:textId="77777777" w:rsidR="00D81C95" w:rsidRPr="00951AB1" w:rsidRDefault="00D81C95" w:rsidP="000A5389">
            <w:pPr>
              <w:spacing w:line="240" w:lineRule="auto"/>
              <w:jc w:val="center"/>
              <w:rPr>
                <w:rFonts w:eastAsia="Times New Roman" w:cs="Times New Roman"/>
                <w:sz w:val="18"/>
                <w:szCs w:val="18"/>
                <w:lang w:eastAsia="es-CO"/>
              </w:rPr>
            </w:pPr>
            <w:r w:rsidRPr="00951AB1">
              <w:rPr>
                <w:rFonts w:eastAsia="Times New Roman" w:cs="Times New Roman"/>
                <w:sz w:val="18"/>
                <w:szCs w:val="18"/>
                <w:lang w:eastAsia="es-CO"/>
              </w:rPr>
              <w:t>50</w:t>
            </w:r>
          </w:p>
        </w:tc>
        <w:tc>
          <w:tcPr>
            <w:tcW w:w="907" w:type="pct"/>
            <w:noWrap/>
            <w:vAlign w:val="center"/>
            <w:hideMark/>
          </w:tcPr>
          <w:p w14:paraId="0F8C7E4C" w14:textId="77777777" w:rsidR="00D81C95" w:rsidRPr="00951AB1" w:rsidRDefault="00D81C95" w:rsidP="000A5389">
            <w:pPr>
              <w:spacing w:line="240" w:lineRule="auto"/>
              <w:jc w:val="center"/>
              <w:rPr>
                <w:rFonts w:eastAsia="Times New Roman" w:cs="Times New Roman"/>
                <w:sz w:val="18"/>
                <w:szCs w:val="18"/>
                <w:lang w:eastAsia="es-CO"/>
              </w:rPr>
            </w:pPr>
            <w:r w:rsidRPr="00951AB1">
              <w:rPr>
                <w:rFonts w:eastAsia="Times New Roman" w:cs="Times New Roman"/>
                <w:sz w:val="18"/>
                <w:szCs w:val="18"/>
                <w:lang w:eastAsia="es-CO"/>
              </w:rPr>
              <w:t>100</w:t>
            </w:r>
          </w:p>
        </w:tc>
      </w:tr>
      <w:tr w:rsidR="00D81C95" w:rsidRPr="00951AB1" w14:paraId="3878D4BC" w14:textId="77777777" w:rsidTr="000270BA">
        <w:trPr>
          <w:trHeight w:val="282"/>
          <w:jc w:val="center"/>
        </w:trPr>
        <w:tc>
          <w:tcPr>
            <w:tcW w:w="485" w:type="pct"/>
            <w:vMerge/>
            <w:vAlign w:val="center"/>
            <w:hideMark/>
          </w:tcPr>
          <w:p w14:paraId="797DA4E8" w14:textId="77777777" w:rsidR="00D81C95" w:rsidRPr="00951AB1" w:rsidRDefault="00D81C95" w:rsidP="000A5389">
            <w:pPr>
              <w:spacing w:line="240" w:lineRule="auto"/>
              <w:rPr>
                <w:rFonts w:eastAsia="Times New Roman" w:cs="Times New Roman"/>
                <w:b/>
                <w:bCs/>
                <w:sz w:val="18"/>
                <w:szCs w:val="18"/>
                <w:lang w:eastAsia="es-CO"/>
              </w:rPr>
            </w:pPr>
          </w:p>
        </w:tc>
        <w:tc>
          <w:tcPr>
            <w:tcW w:w="2699" w:type="pct"/>
            <w:vAlign w:val="center"/>
            <w:hideMark/>
          </w:tcPr>
          <w:p w14:paraId="642C569C" w14:textId="77777777" w:rsidR="00D81C95" w:rsidRPr="00951AB1" w:rsidRDefault="00D81C95" w:rsidP="000A5389">
            <w:pPr>
              <w:spacing w:line="240" w:lineRule="auto"/>
              <w:rPr>
                <w:rFonts w:eastAsia="Times New Roman" w:cs="Times New Roman"/>
                <w:sz w:val="18"/>
                <w:szCs w:val="18"/>
                <w:lang w:eastAsia="es-CO"/>
              </w:rPr>
            </w:pPr>
            <w:r w:rsidRPr="00951AB1">
              <w:rPr>
                <w:rFonts w:eastAsia="Times New Roman" w:cs="Times New Roman"/>
                <w:sz w:val="18"/>
                <w:szCs w:val="18"/>
                <w:lang w:eastAsia="es-CO"/>
              </w:rPr>
              <w:t>Redes, líneas y cables</w:t>
            </w:r>
          </w:p>
        </w:tc>
        <w:tc>
          <w:tcPr>
            <w:tcW w:w="909" w:type="pct"/>
            <w:noWrap/>
            <w:vAlign w:val="center"/>
            <w:hideMark/>
          </w:tcPr>
          <w:p w14:paraId="1403821B" w14:textId="77777777" w:rsidR="00D81C95" w:rsidRPr="00951AB1" w:rsidRDefault="00D81C95" w:rsidP="000A5389">
            <w:pPr>
              <w:spacing w:line="240" w:lineRule="auto"/>
              <w:jc w:val="center"/>
              <w:rPr>
                <w:rFonts w:eastAsia="Times New Roman" w:cs="Times New Roman"/>
                <w:sz w:val="18"/>
                <w:szCs w:val="18"/>
                <w:lang w:eastAsia="es-CO"/>
              </w:rPr>
            </w:pPr>
            <w:r w:rsidRPr="00951AB1">
              <w:rPr>
                <w:rFonts w:eastAsia="Times New Roman" w:cs="Times New Roman"/>
                <w:sz w:val="18"/>
                <w:szCs w:val="18"/>
                <w:lang w:eastAsia="es-CO"/>
              </w:rPr>
              <w:t>15</w:t>
            </w:r>
          </w:p>
        </w:tc>
        <w:tc>
          <w:tcPr>
            <w:tcW w:w="907" w:type="pct"/>
            <w:noWrap/>
            <w:vAlign w:val="center"/>
            <w:hideMark/>
          </w:tcPr>
          <w:p w14:paraId="65A2FAB5" w14:textId="77777777" w:rsidR="00D81C95" w:rsidRPr="00951AB1" w:rsidRDefault="00D81C95" w:rsidP="000A5389">
            <w:pPr>
              <w:spacing w:line="240" w:lineRule="auto"/>
              <w:jc w:val="center"/>
              <w:rPr>
                <w:rFonts w:eastAsia="Times New Roman" w:cs="Times New Roman"/>
                <w:sz w:val="18"/>
                <w:szCs w:val="18"/>
                <w:lang w:eastAsia="es-CO"/>
              </w:rPr>
            </w:pPr>
            <w:r w:rsidRPr="00951AB1">
              <w:rPr>
                <w:rFonts w:eastAsia="Times New Roman" w:cs="Times New Roman"/>
                <w:sz w:val="18"/>
                <w:szCs w:val="18"/>
                <w:lang w:eastAsia="es-CO"/>
              </w:rPr>
              <w:t>25</w:t>
            </w:r>
          </w:p>
        </w:tc>
      </w:tr>
      <w:tr w:rsidR="00D81C95" w:rsidRPr="00951AB1" w14:paraId="54BFF34F" w14:textId="77777777" w:rsidTr="000270BA">
        <w:trPr>
          <w:trHeight w:val="310"/>
          <w:jc w:val="center"/>
        </w:trPr>
        <w:tc>
          <w:tcPr>
            <w:tcW w:w="485" w:type="pct"/>
            <w:vMerge/>
            <w:vAlign w:val="center"/>
            <w:hideMark/>
          </w:tcPr>
          <w:p w14:paraId="0E86081E" w14:textId="77777777" w:rsidR="00D81C95" w:rsidRPr="00951AB1" w:rsidRDefault="00D81C95" w:rsidP="000A5389">
            <w:pPr>
              <w:spacing w:line="240" w:lineRule="auto"/>
              <w:rPr>
                <w:rFonts w:eastAsia="Times New Roman" w:cs="Times New Roman"/>
                <w:b/>
                <w:bCs/>
                <w:sz w:val="18"/>
                <w:szCs w:val="18"/>
                <w:lang w:eastAsia="es-CO"/>
              </w:rPr>
            </w:pPr>
          </w:p>
        </w:tc>
        <w:tc>
          <w:tcPr>
            <w:tcW w:w="2699" w:type="pct"/>
            <w:vAlign w:val="center"/>
            <w:hideMark/>
          </w:tcPr>
          <w:p w14:paraId="46F215E1" w14:textId="77777777" w:rsidR="00D81C95" w:rsidRPr="00951AB1" w:rsidRDefault="00D81C95" w:rsidP="000A5389">
            <w:pPr>
              <w:spacing w:line="240" w:lineRule="auto"/>
              <w:rPr>
                <w:rFonts w:eastAsia="Times New Roman" w:cs="Times New Roman"/>
                <w:sz w:val="18"/>
                <w:szCs w:val="18"/>
                <w:lang w:eastAsia="es-CO"/>
              </w:rPr>
            </w:pPr>
            <w:r w:rsidRPr="00951AB1">
              <w:rPr>
                <w:rFonts w:eastAsia="Times New Roman" w:cs="Times New Roman"/>
                <w:sz w:val="18"/>
                <w:szCs w:val="18"/>
                <w:lang w:eastAsia="es-CO"/>
              </w:rPr>
              <w:t>Otros bienes inmuebles</w:t>
            </w:r>
          </w:p>
        </w:tc>
        <w:tc>
          <w:tcPr>
            <w:tcW w:w="909" w:type="pct"/>
            <w:noWrap/>
            <w:vAlign w:val="center"/>
            <w:hideMark/>
          </w:tcPr>
          <w:p w14:paraId="503E2E4E" w14:textId="77777777" w:rsidR="00D81C95" w:rsidRPr="00951AB1" w:rsidRDefault="00D81C95" w:rsidP="000A5389">
            <w:pPr>
              <w:spacing w:line="240" w:lineRule="auto"/>
              <w:jc w:val="center"/>
              <w:rPr>
                <w:rFonts w:eastAsia="Times New Roman" w:cs="Times New Roman"/>
                <w:sz w:val="18"/>
                <w:szCs w:val="18"/>
                <w:lang w:eastAsia="es-CO"/>
              </w:rPr>
            </w:pPr>
            <w:r w:rsidRPr="00951AB1">
              <w:rPr>
                <w:rFonts w:eastAsia="Times New Roman" w:cs="Times New Roman"/>
                <w:sz w:val="18"/>
                <w:szCs w:val="18"/>
                <w:lang w:eastAsia="es-CO"/>
              </w:rPr>
              <w:t>-</w:t>
            </w:r>
          </w:p>
        </w:tc>
        <w:tc>
          <w:tcPr>
            <w:tcW w:w="907" w:type="pct"/>
            <w:noWrap/>
            <w:vAlign w:val="center"/>
            <w:hideMark/>
          </w:tcPr>
          <w:p w14:paraId="7C8350CE" w14:textId="77777777" w:rsidR="00D81C95" w:rsidRPr="00951AB1" w:rsidRDefault="00D81C95" w:rsidP="000A5389">
            <w:pPr>
              <w:spacing w:line="240" w:lineRule="auto"/>
              <w:jc w:val="center"/>
              <w:rPr>
                <w:rFonts w:eastAsia="Times New Roman" w:cs="Times New Roman"/>
                <w:sz w:val="18"/>
                <w:szCs w:val="18"/>
                <w:lang w:eastAsia="es-CO"/>
              </w:rPr>
            </w:pPr>
            <w:r w:rsidRPr="00951AB1">
              <w:rPr>
                <w:rFonts w:eastAsia="Times New Roman" w:cs="Times New Roman"/>
                <w:sz w:val="18"/>
                <w:szCs w:val="18"/>
                <w:lang w:eastAsia="es-CO"/>
              </w:rPr>
              <w:t>-</w:t>
            </w:r>
          </w:p>
        </w:tc>
      </w:tr>
    </w:tbl>
    <w:p w14:paraId="180E8175" w14:textId="77777777" w:rsidR="007E03EF" w:rsidRPr="00951AB1" w:rsidRDefault="007E03EF" w:rsidP="000A5389">
      <w:pPr>
        <w:spacing w:line="240" w:lineRule="auto"/>
        <w:rPr>
          <w:rFonts w:cs="Times New Roman"/>
          <w:szCs w:val="24"/>
        </w:rPr>
      </w:pPr>
    </w:p>
    <w:p w14:paraId="64894882" w14:textId="77777777" w:rsidR="007E03EF" w:rsidRPr="00951AB1" w:rsidRDefault="007E03EF" w:rsidP="000A5389">
      <w:pPr>
        <w:autoSpaceDE w:val="0"/>
        <w:autoSpaceDN w:val="0"/>
        <w:adjustRightInd w:val="0"/>
        <w:spacing w:line="240" w:lineRule="auto"/>
        <w:rPr>
          <w:rFonts w:cs="Times New Roman"/>
          <w:szCs w:val="24"/>
          <w:lang w:eastAsia="es-CO"/>
        </w:rPr>
      </w:pPr>
      <w:r w:rsidRPr="00951AB1">
        <w:rPr>
          <w:rFonts w:cs="Times New Roman"/>
          <w:szCs w:val="24"/>
          <w:lang w:eastAsia="es-CO"/>
        </w:rPr>
        <w:t>En cuanto al valor residual de los bienes muebles, se tiene previsto que los beneficios económicos o su potencial de servicio se consuman en forma significativa y no esperan al final de la vida útil obtener ningún flujo económico, por lo cual el valor residual es cero.</w:t>
      </w:r>
    </w:p>
    <w:p w14:paraId="01AF9E56" w14:textId="77777777" w:rsidR="007E03EF" w:rsidRPr="00951AB1" w:rsidRDefault="007E03EF" w:rsidP="000A5389">
      <w:pPr>
        <w:autoSpaceDE w:val="0"/>
        <w:autoSpaceDN w:val="0"/>
        <w:adjustRightInd w:val="0"/>
        <w:spacing w:line="240" w:lineRule="auto"/>
        <w:rPr>
          <w:rFonts w:cs="Times New Roman"/>
          <w:szCs w:val="24"/>
          <w:lang w:eastAsia="es-CO"/>
        </w:rPr>
      </w:pPr>
    </w:p>
    <w:p w14:paraId="495A0D6D" w14:textId="4278D502" w:rsidR="007E03EF" w:rsidRDefault="007E03EF" w:rsidP="000A5389">
      <w:pPr>
        <w:spacing w:line="240" w:lineRule="auto"/>
        <w:rPr>
          <w:rFonts w:cs="Times New Roman"/>
          <w:szCs w:val="24"/>
          <w:lang w:eastAsia="es-CO"/>
        </w:rPr>
      </w:pPr>
      <w:r w:rsidRPr="00951AB1">
        <w:rPr>
          <w:rFonts w:cs="Times New Roman"/>
          <w:szCs w:val="24"/>
          <w:lang w:eastAsia="es-CO"/>
        </w:rPr>
        <w:t xml:space="preserve">Para </w:t>
      </w:r>
      <w:r w:rsidR="00D81C95" w:rsidRPr="00951AB1">
        <w:rPr>
          <w:rFonts w:cs="Times New Roman"/>
          <w:szCs w:val="24"/>
          <w:lang w:eastAsia="es-CO"/>
        </w:rPr>
        <w:t>la vigencia</w:t>
      </w:r>
      <w:r w:rsidRPr="00951AB1">
        <w:rPr>
          <w:rFonts w:cs="Times New Roman"/>
          <w:szCs w:val="24"/>
          <w:lang w:eastAsia="es-CO"/>
        </w:rPr>
        <w:t xml:space="preserve"> 2025 no se presentaron indicios de deterioro del valor de los activos, porque no se presentaron cambios significativos en la manera como se usan o esperan usarse, por lo cual no hubo afectación desfavorable del beneficio económico que los activos generan a la Entidad.</w:t>
      </w:r>
    </w:p>
    <w:p w14:paraId="070660BD" w14:textId="77777777" w:rsidR="001D0619" w:rsidRDefault="001D0619" w:rsidP="000A5389">
      <w:pPr>
        <w:spacing w:line="240" w:lineRule="auto"/>
        <w:rPr>
          <w:rFonts w:cs="Times New Roman"/>
          <w:szCs w:val="24"/>
          <w:lang w:eastAsia="es-CO"/>
        </w:rPr>
      </w:pPr>
    </w:p>
    <w:p w14:paraId="691A9A3F" w14:textId="77777777" w:rsidR="001D0619" w:rsidRPr="00951AB1" w:rsidRDefault="001D0619" w:rsidP="000A5389">
      <w:pPr>
        <w:spacing w:line="240" w:lineRule="auto"/>
        <w:rPr>
          <w:rFonts w:cs="Times New Roman"/>
          <w:szCs w:val="24"/>
          <w:lang w:eastAsia="es-CO"/>
        </w:rPr>
      </w:pPr>
    </w:p>
    <w:p w14:paraId="1EC1F3AE" w14:textId="77777777" w:rsidR="007E03EF" w:rsidRPr="00951AB1" w:rsidRDefault="007E03EF" w:rsidP="000A5389">
      <w:pPr>
        <w:pStyle w:val="Sinespaciado"/>
        <w:rPr>
          <w:rFonts w:ascii="Times New Roman" w:hAnsi="Times New Roman"/>
        </w:rPr>
      </w:pPr>
    </w:p>
    <w:p w14:paraId="11AE25F7" w14:textId="77777777" w:rsidR="007E03EF" w:rsidRPr="00951AB1" w:rsidRDefault="007E03EF" w:rsidP="000A5389">
      <w:pPr>
        <w:pStyle w:val="Sinespaciado"/>
        <w:rPr>
          <w:rFonts w:ascii="Times New Roman" w:hAnsi="Times New Roman"/>
        </w:rPr>
      </w:pPr>
    </w:p>
    <w:p w14:paraId="60F340B5" w14:textId="1204901E" w:rsidR="007E03EF" w:rsidRPr="00951AB1" w:rsidRDefault="007E03EF" w:rsidP="000A5389">
      <w:pPr>
        <w:pStyle w:val="Ttulo1"/>
        <w:spacing w:line="240" w:lineRule="auto"/>
        <w:rPr>
          <w:rFonts w:cs="Times New Roman"/>
        </w:rPr>
      </w:pPr>
      <w:bookmarkStart w:id="345" w:name="_Toc191369513"/>
      <w:bookmarkStart w:id="346" w:name="_Toc191456843"/>
      <w:bookmarkStart w:id="347" w:name="_Toc191456953"/>
      <w:bookmarkStart w:id="348" w:name="_Toc191457063"/>
      <w:bookmarkStart w:id="349" w:name="_Toc191475690"/>
      <w:bookmarkStart w:id="350" w:name="_Toc191475799"/>
      <w:bookmarkStart w:id="351" w:name="_Toc191475908"/>
      <w:bookmarkStart w:id="352" w:name="_Toc191475431"/>
      <w:bookmarkStart w:id="353" w:name="_Toc191505807"/>
      <w:bookmarkStart w:id="354" w:name="_Toc222824119"/>
      <w:bookmarkStart w:id="355" w:name="_Toc222955485"/>
      <w:r w:rsidRPr="00951AB1">
        <w:rPr>
          <w:rFonts w:cs="Times New Roman"/>
        </w:rPr>
        <w:lastRenderedPageBreak/>
        <w:t>NOTA 11. BIENES DE USO PÚBLICO E HISTÓRICOS Y CULTURALES</w:t>
      </w:r>
      <w:bookmarkEnd w:id="345"/>
      <w:bookmarkEnd w:id="346"/>
      <w:bookmarkEnd w:id="347"/>
      <w:bookmarkEnd w:id="348"/>
      <w:bookmarkEnd w:id="349"/>
      <w:bookmarkEnd w:id="350"/>
      <w:bookmarkEnd w:id="351"/>
      <w:bookmarkEnd w:id="352"/>
      <w:bookmarkEnd w:id="353"/>
      <w:bookmarkEnd w:id="354"/>
      <w:bookmarkEnd w:id="355"/>
    </w:p>
    <w:p w14:paraId="6F0640A2" w14:textId="77777777" w:rsidR="007E03EF" w:rsidRPr="00951AB1" w:rsidRDefault="007E03EF" w:rsidP="000A5389">
      <w:pPr>
        <w:spacing w:line="240" w:lineRule="auto"/>
        <w:rPr>
          <w:rFonts w:cs="Times New Roman"/>
          <w:b/>
          <w:sz w:val="18"/>
          <w:szCs w:val="18"/>
        </w:rPr>
      </w:pPr>
    </w:p>
    <w:p w14:paraId="5DEA81BC" w14:textId="77777777" w:rsidR="007E03EF" w:rsidRPr="00951AB1" w:rsidRDefault="007E03EF" w:rsidP="000A5389">
      <w:pPr>
        <w:pStyle w:val="Ttulo2"/>
        <w:numPr>
          <w:ilvl w:val="0"/>
          <w:numId w:val="0"/>
        </w:numPr>
        <w:spacing w:line="240" w:lineRule="auto"/>
        <w:ind w:left="360" w:hanging="360"/>
        <w:rPr>
          <w:rFonts w:cs="Times New Roman"/>
          <w:szCs w:val="22"/>
        </w:rPr>
      </w:pPr>
      <w:bookmarkStart w:id="356" w:name="_Toc191369514"/>
      <w:bookmarkStart w:id="357" w:name="_Toc191456844"/>
      <w:bookmarkStart w:id="358" w:name="_Toc191456954"/>
      <w:bookmarkStart w:id="359" w:name="_Toc191457064"/>
      <w:bookmarkStart w:id="360" w:name="_Toc191475691"/>
      <w:bookmarkStart w:id="361" w:name="_Toc191475800"/>
      <w:bookmarkStart w:id="362" w:name="_Toc191475909"/>
      <w:bookmarkStart w:id="363" w:name="_Toc191475432"/>
      <w:bookmarkStart w:id="364" w:name="_Toc191505808"/>
      <w:bookmarkStart w:id="365" w:name="_Toc222824120"/>
      <w:bookmarkStart w:id="366" w:name="_Toc222955486"/>
      <w:r w:rsidRPr="00951AB1">
        <w:rPr>
          <w:rFonts w:cs="Times New Roman"/>
          <w:szCs w:val="22"/>
        </w:rPr>
        <w:t>Composición</w:t>
      </w:r>
      <w:bookmarkEnd w:id="356"/>
      <w:bookmarkEnd w:id="357"/>
      <w:bookmarkEnd w:id="358"/>
      <w:bookmarkEnd w:id="359"/>
      <w:bookmarkEnd w:id="360"/>
      <w:bookmarkEnd w:id="361"/>
      <w:bookmarkEnd w:id="362"/>
      <w:bookmarkEnd w:id="363"/>
      <w:bookmarkEnd w:id="364"/>
      <w:bookmarkEnd w:id="365"/>
      <w:bookmarkEnd w:id="366"/>
      <w:r w:rsidRPr="00951AB1">
        <w:rPr>
          <w:rFonts w:cs="Times New Roman"/>
          <w:szCs w:val="22"/>
        </w:rPr>
        <w:t xml:space="preserve"> </w:t>
      </w:r>
    </w:p>
    <w:p w14:paraId="20498454" w14:textId="77777777" w:rsidR="00CA0E31" w:rsidRPr="00951AB1" w:rsidRDefault="00CA0E31" w:rsidP="000A5389">
      <w:pPr>
        <w:spacing w:line="240" w:lineRule="auto"/>
        <w:rPr>
          <w:rFonts w:cs="Times New Roman"/>
          <w:sz w:val="20"/>
          <w:szCs w:val="20"/>
          <w:lang w:eastAsia="es-CO"/>
        </w:rPr>
      </w:pPr>
      <w:r w:rsidRPr="00951AB1">
        <w:rPr>
          <w:rFonts w:cs="Times New Roman"/>
          <w:sz w:val="22"/>
        </w:rPr>
        <w:fldChar w:fldCharType="begin"/>
      </w:r>
      <w:r w:rsidRPr="00951AB1">
        <w:rPr>
          <w:rFonts w:cs="Times New Roman"/>
        </w:rPr>
        <w:instrText xml:space="preserve"> LINK Excel.Sheet.12 "C:\\Users\\wolarte\\Documents\\0-Ani2025\\0_Cierre2025\\Nota_11\\Anexo N_11 - Bienes Uso público, histór y culturales.XLSX" "Composición!F25C1:F32C6" \a \f 4 \h  \* MERGEFORMAT </w:instrText>
      </w:r>
      <w:r w:rsidRPr="00951AB1">
        <w:rPr>
          <w:rFonts w:cs="Times New Roman"/>
          <w:sz w:val="22"/>
        </w:rPr>
        <w:fldChar w:fldCharType="separat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704"/>
        <w:gridCol w:w="433"/>
        <w:gridCol w:w="2827"/>
        <w:gridCol w:w="1700"/>
        <w:gridCol w:w="1561"/>
        <w:gridCol w:w="1603"/>
      </w:tblGrid>
      <w:tr w:rsidR="00830912" w:rsidRPr="00830912" w14:paraId="07EC092A" w14:textId="77777777" w:rsidTr="00830912">
        <w:trPr>
          <w:trHeight w:val="560"/>
          <w:tblHeader/>
        </w:trPr>
        <w:tc>
          <w:tcPr>
            <w:tcW w:w="2245" w:type="pct"/>
            <w:gridSpan w:val="3"/>
            <w:noWrap/>
            <w:vAlign w:val="center"/>
            <w:hideMark/>
          </w:tcPr>
          <w:p w14:paraId="6C275679" w14:textId="77777777" w:rsidR="00CA0E31" w:rsidRPr="00830912" w:rsidRDefault="00CA0E31" w:rsidP="000A5389">
            <w:pPr>
              <w:spacing w:line="240" w:lineRule="auto"/>
              <w:jc w:val="center"/>
              <w:rPr>
                <w:rFonts w:eastAsia="Times New Roman" w:cs="Times New Roman"/>
                <w:b/>
                <w:bCs/>
                <w:sz w:val="16"/>
                <w:szCs w:val="16"/>
                <w:lang w:val="es-419" w:eastAsia="es-419"/>
              </w:rPr>
            </w:pPr>
            <w:r w:rsidRPr="00830912">
              <w:rPr>
                <w:rFonts w:eastAsia="Times New Roman" w:cs="Times New Roman"/>
                <w:b/>
                <w:bCs/>
                <w:sz w:val="16"/>
                <w:szCs w:val="16"/>
                <w:lang w:val="es-419" w:eastAsia="es-419"/>
              </w:rPr>
              <w:t>CONCEPTO</w:t>
            </w:r>
          </w:p>
        </w:tc>
        <w:tc>
          <w:tcPr>
            <w:tcW w:w="963" w:type="pct"/>
            <w:vAlign w:val="center"/>
            <w:hideMark/>
          </w:tcPr>
          <w:p w14:paraId="3C2D54B2" w14:textId="77777777" w:rsidR="00CA0E31" w:rsidRPr="00830912" w:rsidRDefault="00CA0E31" w:rsidP="000A5389">
            <w:pPr>
              <w:spacing w:line="240" w:lineRule="auto"/>
              <w:jc w:val="center"/>
              <w:rPr>
                <w:rFonts w:eastAsia="Times New Roman" w:cs="Times New Roman"/>
                <w:b/>
                <w:bCs/>
                <w:sz w:val="16"/>
                <w:szCs w:val="16"/>
                <w:lang w:val="es-419" w:eastAsia="es-419"/>
              </w:rPr>
            </w:pPr>
            <w:r w:rsidRPr="00830912">
              <w:rPr>
                <w:rFonts w:eastAsia="Times New Roman" w:cs="Times New Roman"/>
                <w:b/>
                <w:bCs/>
                <w:sz w:val="16"/>
                <w:szCs w:val="16"/>
                <w:lang w:val="es-419" w:eastAsia="es-419"/>
              </w:rPr>
              <w:t xml:space="preserve">2025 </w:t>
            </w:r>
          </w:p>
        </w:tc>
        <w:tc>
          <w:tcPr>
            <w:tcW w:w="884" w:type="pct"/>
            <w:vAlign w:val="center"/>
            <w:hideMark/>
          </w:tcPr>
          <w:p w14:paraId="32170A81" w14:textId="77777777" w:rsidR="00CA0E31" w:rsidRPr="00830912" w:rsidRDefault="00CA0E31" w:rsidP="000A5389">
            <w:pPr>
              <w:spacing w:line="240" w:lineRule="auto"/>
              <w:jc w:val="center"/>
              <w:rPr>
                <w:rFonts w:eastAsia="Times New Roman" w:cs="Times New Roman"/>
                <w:b/>
                <w:bCs/>
                <w:sz w:val="16"/>
                <w:szCs w:val="16"/>
                <w:lang w:val="es-419" w:eastAsia="es-419"/>
              </w:rPr>
            </w:pPr>
            <w:r w:rsidRPr="00830912">
              <w:rPr>
                <w:rFonts w:eastAsia="Times New Roman" w:cs="Times New Roman"/>
                <w:b/>
                <w:bCs/>
                <w:sz w:val="16"/>
                <w:szCs w:val="16"/>
                <w:lang w:val="es-419" w:eastAsia="es-419"/>
              </w:rPr>
              <w:t xml:space="preserve">2024 </w:t>
            </w:r>
          </w:p>
        </w:tc>
        <w:tc>
          <w:tcPr>
            <w:tcW w:w="908" w:type="pct"/>
            <w:vAlign w:val="center"/>
            <w:hideMark/>
          </w:tcPr>
          <w:p w14:paraId="38FAC889" w14:textId="77777777" w:rsidR="00CA0E31" w:rsidRPr="00830912" w:rsidRDefault="00CA0E31" w:rsidP="000A5389">
            <w:pPr>
              <w:spacing w:line="240" w:lineRule="auto"/>
              <w:jc w:val="center"/>
              <w:rPr>
                <w:rFonts w:eastAsia="Times New Roman" w:cs="Times New Roman"/>
                <w:b/>
                <w:bCs/>
                <w:sz w:val="16"/>
                <w:szCs w:val="16"/>
                <w:lang w:val="es-419" w:eastAsia="es-419"/>
              </w:rPr>
            </w:pPr>
            <w:r w:rsidRPr="00830912">
              <w:rPr>
                <w:rFonts w:eastAsia="Times New Roman" w:cs="Times New Roman"/>
                <w:b/>
                <w:bCs/>
                <w:sz w:val="16"/>
                <w:szCs w:val="16"/>
                <w:lang w:val="es-419" w:eastAsia="es-419"/>
              </w:rPr>
              <w:t>VALOR VARIACIÓN</w:t>
            </w:r>
          </w:p>
        </w:tc>
      </w:tr>
      <w:tr w:rsidR="00830912" w:rsidRPr="00830912" w14:paraId="657EAE25" w14:textId="77777777" w:rsidTr="00830912">
        <w:trPr>
          <w:trHeight w:val="280"/>
        </w:trPr>
        <w:tc>
          <w:tcPr>
            <w:tcW w:w="399" w:type="pct"/>
            <w:noWrap/>
            <w:vAlign w:val="center"/>
            <w:hideMark/>
          </w:tcPr>
          <w:p w14:paraId="05283820" w14:textId="77777777" w:rsidR="00CA0E31" w:rsidRPr="00830912" w:rsidRDefault="00CA0E31" w:rsidP="000A5389">
            <w:pPr>
              <w:spacing w:line="240" w:lineRule="auto"/>
              <w:rPr>
                <w:rFonts w:eastAsia="Times New Roman" w:cs="Times New Roman"/>
                <w:b/>
                <w:bCs/>
                <w:color w:val="000000"/>
                <w:sz w:val="16"/>
                <w:szCs w:val="16"/>
                <w:lang w:val="es-419" w:eastAsia="es-419"/>
              </w:rPr>
            </w:pPr>
            <w:r w:rsidRPr="00830912">
              <w:rPr>
                <w:rFonts w:eastAsia="Times New Roman" w:cs="Times New Roman"/>
                <w:b/>
                <w:bCs/>
                <w:color w:val="000000"/>
                <w:sz w:val="16"/>
                <w:szCs w:val="16"/>
                <w:lang w:val="es-419" w:eastAsia="es-419"/>
              </w:rPr>
              <w:t>1.7</w:t>
            </w:r>
          </w:p>
        </w:tc>
        <w:tc>
          <w:tcPr>
            <w:tcW w:w="1846" w:type="pct"/>
            <w:gridSpan w:val="2"/>
            <w:noWrap/>
            <w:vAlign w:val="center"/>
            <w:hideMark/>
          </w:tcPr>
          <w:p w14:paraId="0D156A6F" w14:textId="14D0FF4F" w:rsidR="00CA0E31" w:rsidRPr="00830912" w:rsidRDefault="00CA0E31" w:rsidP="000A5389">
            <w:pPr>
              <w:spacing w:line="240" w:lineRule="auto"/>
              <w:rPr>
                <w:rFonts w:eastAsia="Times New Roman" w:cs="Times New Roman"/>
                <w:b/>
                <w:bCs/>
                <w:color w:val="000000"/>
                <w:sz w:val="16"/>
                <w:szCs w:val="16"/>
                <w:lang w:val="es-419" w:eastAsia="es-419"/>
              </w:rPr>
            </w:pPr>
            <w:r w:rsidRPr="00830912">
              <w:rPr>
                <w:rFonts w:eastAsia="Times New Roman" w:cs="Times New Roman"/>
                <w:b/>
                <w:bCs/>
                <w:color w:val="000000"/>
                <w:sz w:val="16"/>
                <w:szCs w:val="16"/>
                <w:lang w:val="es-419" w:eastAsia="es-419"/>
              </w:rPr>
              <w:t>BIENES DE USO PÚBLICO E HISTÓRICOS Y CULTURALES</w:t>
            </w:r>
          </w:p>
        </w:tc>
        <w:tc>
          <w:tcPr>
            <w:tcW w:w="963" w:type="pct"/>
            <w:noWrap/>
            <w:vAlign w:val="center"/>
            <w:hideMark/>
          </w:tcPr>
          <w:p w14:paraId="09A0DEFF" w14:textId="77777777" w:rsidR="00CA0E31" w:rsidRPr="00830912" w:rsidRDefault="00CA0E31" w:rsidP="000A5389">
            <w:pPr>
              <w:spacing w:line="240" w:lineRule="auto"/>
              <w:jc w:val="right"/>
              <w:rPr>
                <w:rFonts w:eastAsia="Times New Roman" w:cs="Times New Roman"/>
                <w:b/>
                <w:bCs/>
                <w:color w:val="000000"/>
                <w:sz w:val="16"/>
                <w:szCs w:val="16"/>
                <w:lang w:val="es-419" w:eastAsia="es-419"/>
              </w:rPr>
            </w:pPr>
            <w:r w:rsidRPr="00830912">
              <w:rPr>
                <w:rFonts w:eastAsia="Times New Roman" w:cs="Times New Roman"/>
                <w:b/>
                <w:bCs/>
                <w:color w:val="000000"/>
                <w:sz w:val="16"/>
                <w:szCs w:val="16"/>
                <w:lang w:val="es-419" w:eastAsia="es-419"/>
              </w:rPr>
              <w:t>77.017.157.326.025</w:t>
            </w:r>
          </w:p>
        </w:tc>
        <w:tc>
          <w:tcPr>
            <w:tcW w:w="884" w:type="pct"/>
            <w:noWrap/>
            <w:vAlign w:val="center"/>
            <w:hideMark/>
          </w:tcPr>
          <w:p w14:paraId="7B9798BA" w14:textId="77777777" w:rsidR="00CA0E31" w:rsidRPr="00830912" w:rsidRDefault="00CA0E31" w:rsidP="000A5389">
            <w:pPr>
              <w:spacing w:line="240" w:lineRule="auto"/>
              <w:jc w:val="right"/>
              <w:rPr>
                <w:rFonts w:eastAsia="Times New Roman" w:cs="Times New Roman"/>
                <w:b/>
                <w:bCs/>
                <w:color w:val="000000"/>
                <w:sz w:val="16"/>
                <w:szCs w:val="16"/>
                <w:lang w:val="es-419" w:eastAsia="es-419"/>
              </w:rPr>
            </w:pPr>
            <w:r w:rsidRPr="00830912">
              <w:rPr>
                <w:rFonts w:eastAsia="Times New Roman" w:cs="Times New Roman"/>
                <w:b/>
                <w:bCs/>
                <w:color w:val="000000"/>
                <w:sz w:val="16"/>
                <w:szCs w:val="16"/>
                <w:lang w:val="es-419" w:eastAsia="es-419"/>
              </w:rPr>
              <w:t>70.890.752.857.636</w:t>
            </w:r>
          </w:p>
        </w:tc>
        <w:tc>
          <w:tcPr>
            <w:tcW w:w="908" w:type="pct"/>
            <w:noWrap/>
            <w:vAlign w:val="center"/>
            <w:hideMark/>
          </w:tcPr>
          <w:p w14:paraId="01CB0B57" w14:textId="77777777" w:rsidR="00CA0E31" w:rsidRPr="00830912" w:rsidRDefault="00CA0E31" w:rsidP="000A5389">
            <w:pPr>
              <w:spacing w:line="240" w:lineRule="auto"/>
              <w:jc w:val="right"/>
              <w:rPr>
                <w:rFonts w:eastAsia="Times New Roman" w:cs="Times New Roman"/>
                <w:b/>
                <w:bCs/>
                <w:color w:val="000000"/>
                <w:sz w:val="16"/>
                <w:szCs w:val="16"/>
                <w:lang w:val="es-419" w:eastAsia="es-419"/>
              </w:rPr>
            </w:pPr>
            <w:r w:rsidRPr="00830912">
              <w:rPr>
                <w:rFonts w:eastAsia="Times New Roman" w:cs="Times New Roman"/>
                <w:b/>
                <w:bCs/>
                <w:color w:val="000000"/>
                <w:sz w:val="16"/>
                <w:szCs w:val="16"/>
                <w:lang w:val="es-419" w:eastAsia="es-419"/>
              </w:rPr>
              <w:t>6.126.404.468.389</w:t>
            </w:r>
          </w:p>
        </w:tc>
      </w:tr>
      <w:tr w:rsidR="00830912" w:rsidRPr="00830912" w14:paraId="7A218EA7" w14:textId="77777777" w:rsidTr="00830912">
        <w:trPr>
          <w:trHeight w:val="280"/>
        </w:trPr>
        <w:tc>
          <w:tcPr>
            <w:tcW w:w="399" w:type="pct"/>
            <w:noWrap/>
            <w:vAlign w:val="center"/>
            <w:hideMark/>
          </w:tcPr>
          <w:p w14:paraId="47EB9B5C" w14:textId="77777777" w:rsidR="00CA0E31" w:rsidRPr="00830912" w:rsidRDefault="00CA0E31" w:rsidP="000A5389">
            <w:pPr>
              <w:spacing w:line="240" w:lineRule="auto"/>
              <w:rPr>
                <w:rFonts w:eastAsia="Times New Roman" w:cs="Times New Roman"/>
                <w:color w:val="000000"/>
                <w:sz w:val="16"/>
                <w:szCs w:val="16"/>
                <w:lang w:val="es-419" w:eastAsia="es-419"/>
              </w:rPr>
            </w:pPr>
            <w:r w:rsidRPr="00830912">
              <w:rPr>
                <w:rFonts w:eastAsia="Times New Roman" w:cs="Times New Roman"/>
                <w:color w:val="000000"/>
                <w:sz w:val="16"/>
                <w:szCs w:val="16"/>
                <w:lang w:val="es-419" w:eastAsia="es-419"/>
              </w:rPr>
              <w:t>1.7.11</w:t>
            </w:r>
          </w:p>
        </w:tc>
        <w:tc>
          <w:tcPr>
            <w:tcW w:w="245" w:type="pct"/>
            <w:noWrap/>
            <w:vAlign w:val="center"/>
            <w:hideMark/>
          </w:tcPr>
          <w:p w14:paraId="34B3E1B4" w14:textId="77777777" w:rsidR="00CA0E31" w:rsidRPr="00830912" w:rsidRDefault="00CA0E31" w:rsidP="000A5389">
            <w:pPr>
              <w:spacing w:line="240" w:lineRule="auto"/>
              <w:jc w:val="center"/>
              <w:rPr>
                <w:rFonts w:eastAsia="Times New Roman" w:cs="Times New Roman"/>
                <w:color w:val="000000"/>
                <w:sz w:val="16"/>
                <w:szCs w:val="16"/>
                <w:lang w:val="es-419" w:eastAsia="es-419"/>
              </w:rPr>
            </w:pPr>
            <w:r w:rsidRPr="00830912">
              <w:rPr>
                <w:rFonts w:eastAsia="Times New Roman" w:cs="Times New Roman"/>
                <w:color w:val="000000"/>
                <w:sz w:val="16"/>
                <w:szCs w:val="16"/>
                <w:lang w:val="es-419" w:eastAsia="es-419"/>
              </w:rPr>
              <w:t>Db</w:t>
            </w:r>
          </w:p>
        </w:tc>
        <w:tc>
          <w:tcPr>
            <w:tcW w:w="1601" w:type="pct"/>
            <w:vAlign w:val="center"/>
            <w:hideMark/>
          </w:tcPr>
          <w:p w14:paraId="73E68297" w14:textId="77777777" w:rsidR="00CA0E31" w:rsidRPr="00830912" w:rsidRDefault="00CA0E31" w:rsidP="000A5389">
            <w:pPr>
              <w:spacing w:line="240" w:lineRule="auto"/>
              <w:rPr>
                <w:rFonts w:eastAsia="Times New Roman" w:cs="Times New Roman"/>
                <w:color w:val="000000"/>
                <w:sz w:val="16"/>
                <w:szCs w:val="16"/>
                <w:lang w:val="es-419" w:eastAsia="es-419"/>
              </w:rPr>
            </w:pPr>
            <w:r w:rsidRPr="00830912">
              <w:rPr>
                <w:rFonts w:eastAsia="Times New Roman" w:cs="Times New Roman"/>
                <w:color w:val="000000"/>
                <w:sz w:val="16"/>
                <w:szCs w:val="16"/>
                <w:lang w:val="es-419" w:eastAsia="es-419"/>
              </w:rPr>
              <w:t>Bienes de uso público en servicio - concesiones</w:t>
            </w:r>
          </w:p>
        </w:tc>
        <w:tc>
          <w:tcPr>
            <w:tcW w:w="963" w:type="pct"/>
            <w:noWrap/>
            <w:vAlign w:val="center"/>
            <w:hideMark/>
          </w:tcPr>
          <w:p w14:paraId="6D2CD0A4" w14:textId="77777777" w:rsidR="00CA0E31" w:rsidRPr="00830912" w:rsidRDefault="00CA0E31" w:rsidP="000A5389">
            <w:pPr>
              <w:spacing w:line="240" w:lineRule="auto"/>
              <w:jc w:val="right"/>
              <w:rPr>
                <w:rFonts w:eastAsia="Times New Roman" w:cs="Times New Roman"/>
                <w:color w:val="000000"/>
                <w:sz w:val="16"/>
                <w:szCs w:val="16"/>
                <w:lang w:val="es-419" w:eastAsia="es-419"/>
              </w:rPr>
            </w:pPr>
            <w:r w:rsidRPr="00830912">
              <w:rPr>
                <w:rFonts w:eastAsia="Times New Roman" w:cs="Times New Roman"/>
                <w:color w:val="000000"/>
                <w:sz w:val="16"/>
                <w:szCs w:val="16"/>
                <w:lang w:val="es-419" w:eastAsia="es-419"/>
              </w:rPr>
              <w:t>44.749.564.676.879</w:t>
            </w:r>
          </w:p>
        </w:tc>
        <w:tc>
          <w:tcPr>
            <w:tcW w:w="884" w:type="pct"/>
            <w:noWrap/>
            <w:vAlign w:val="center"/>
            <w:hideMark/>
          </w:tcPr>
          <w:p w14:paraId="6B4D1218" w14:textId="77777777" w:rsidR="00CA0E31" w:rsidRPr="00830912" w:rsidRDefault="00CA0E31" w:rsidP="000A5389">
            <w:pPr>
              <w:spacing w:line="240" w:lineRule="auto"/>
              <w:jc w:val="right"/>
              <w:rPr>
                <w:rFonts w:eastAsia="Times New Roman" w:cs="Times New Roman"/>
                <w:color w:val="000000"/>
                <w:sz w:val="16"/>
                <w:szCs w:val="16"/>
                <w:lang w:val="es-419" w:eastAsia="es-419"/>
              </w:rPr>
            </w:pPr>
            <w:r w:rsidRPr="00830912">
              <w:rPr>
                <w:rFonts w:eastAsia="Times New Roman" w:cs="Times New Roman"/>
                <w:color w:val="000000"/>
                <w:sz w:val="16"/>
                <w:szCs w:val="16"/>
                <w:lang w:val="es-419" w:eastAsia="es-419"/>
              </w:rPr>
              <w:t>26.106.560.049.082</w:t>
            </w:r>
          </w:p>
        </w:tc>
        <w:tc>
          <w:tcPr>
            <w:tcW w:w="908" w:type="pct"/>
            <w:noWrap/>
            <w:vAlign w:val="center"/>
            <w:hideMark/>
          </w:tcPr>
          <w:p w14:paraId="06BC1FEE" w14:textId="77777777" w:rsidR="00CA0E31" w:rsidRPr="00830912" w:rsidRDefault="00CA0E31" w:rsidP="000A5389">
            <w:pPr>
              <w:spacing w:line="240" w:lineRule="auto"/>
              <w:jc w:val="right"/>
              <w:rPr>
                <w:rFonts w:eastAsia="Times New Roman" w:cs="Times New Roman"/>
                <w:color w:val="000000"/>
                <w:sz w:val="16"/>
                <w:szCs w:val="16"/>
                <w:lang w:val="es-419" w:eastAsia="es-419"/>
              </w:rPr>
            </w:pPr>
            <w:r w:rsidRPr="00830912">
              <w:rPr>
                <w:rFonts w:eastAsia="Times New Roman" w:cs="Times New Roman"/>
                <w:color w:val="000000"/>
                <w:sz w:val="16"/>
                <w:szCs w:val="16"/>
                <w:lang w:val="es-419" w:eastAsia="es-419"/>
              </w:rPr>
              <w:t>18.643.004.627.797</w:t>
            </w:r>
          </w:p>
        </w:tc>
      </w:tr>
      <w:tr w:rsidR="00830912" w:rsidRPr="00830912" w14:paraId="33DBDCE9" w14:textId="77777777" w:rsidTr="00830912">
        <w:trPr>
          <w:trHeight w:val="280"/>
        </w:trPr>
        <w:tc>
          <w:tcPr>
            <w:tcW w:w="399" w:type="pct"/>
            <w:noWrap/>
            <w:vAlign w:val="center"/>
            <w:hideMark/>
          </w:tcPr>
          <w:p w14:paraId="746A8869" w14:textId="77777777" w:rsidR="00CA0E31" w:rsidRPr="00830912" w:rsidRDefault="00CA0E31" w:rsidP="000A5389">
            <w:pPr>
              <w:spacing w:line="240" w:lineRule="auto"/>
              <w:rPr>
                <w:rFonts w:eastAsia="Times New Roman" w:cs="Times New Roman"/>
                <w:color w:val="000000"/>
                <w:sz w:val="16"/>
                <w:szCs w:val="16"/>
                <w:lang w:val="es-419" w:eastAsia="es-419"/>
              </w:rPr>
            </w:pPr>
            <w:r w:rsidRPr="00830912">
              <w:rPr>
                <w:rFonts w:eastAsia="Times New Roman" w:cs="Times New Roman"/>
                <w:color w:val="000000"/>
                <w:sz w:val="16"/>
                <w:szCs w:val="16"/>
                <w:lang w:val="es-419" w:eastAsia="es-419"/>
              </w:rPr>
              <w:t>1.7.06</w:t>
            </w:r>
          </w:p>
        </w:tc>
        <w:tc>
          <w:tcPr>
            <w:tcW w:w="245" w:type="pct"/>
            <w:noWrap/>
            <w:vAlign w:val="center"/>
            <w:hideMark/>
          </w:tcPr>
          <w:p w14:paraId="36002C24" w14:textId="77777777" w:rsidR="00CA0E31" w:rsidRPr="00830912" w:rsidRDefault="00CA0E31" w:rsidP="000A5389">
            <w:pPr>
              <w:spacing w:line="240" w:lineRule="auto"/>
              <w:jc w:val="center"/>
              <w:rPr>
                <w:rFonts w:eastAsia="Times New Roman" w:cs="Times New Roman"/>
                <w:color w:val="000000"/>
                <w:sz w:val="16"/>
                <w:szCs w:val="16"/>
                <w:lang w:val="es-419" w:eastAsia="es-419"/>
              </w:rPr>
            </w:pPr>
            <w:r w:rsidRPr="00830912">
              <w:rPr>
                <w:rFonts w:eastAsia="Times New Roman" w:cs="Times New Roman"/>
                <w:color w:val="000000"/>
                <w:sz w:val="16"/>
                <w:szCs w:val="16"/>
                <w:lang w:val="es-419" w:eastAsia="es-419"/>
              </w:rPr>
              <w:t>Db</w:t>
            </w:r>
          </w:p>
        </w:tc>
        <w:tc>
          <w:tcPr>
            <w:tcW w:w="1601" w:type="pct"/>
            <w:vAlign w:val="center"/>
            <w:hideMark/>
          </w:tcPr>
          <w:p w14:paraId="3FAA2EA1" w14:textId="77777777" w:rsidR="00CA0E31" w:rsidRPr="00830912" w:rsidRDefault="00CA0E31" w:rsidP="000A5389">
            <w:pPr>
              <w:spacing w:line="240" w:lineRule="auto"/>
              <w:rPr>
                <w:rFonts w:eastAsia="Times New Roman" w:cs="Times New Roman"/>
                <w:color w:val="000000"/>
                <w:sz w:val="16"/>
                <w:szCs w:val="16"/>
                <w:lang w:val="es-419" w:eastAsia="es-419"/>
              </w:rPr>
            </w:pPr>
            <w:r w:rsidRPr="00830912">
              <w:rPr>
                <w:rFonts w:eastAsia="Times New Roman" w:cs="Times New Roman"/>
                <w:color w:val="000000"/>
                <w:sz w:val="16"/>
                <w:szCs w:val="16"/>
                <w:lang w:val="es-419" w:eastAsia="es-419"/>
              </w:rPr>
              <w:t>Bienes de uso público en construcción - concesiones</w:t>
            </w:r>
          </w:p>
        </w:tc>
        <w:tc>
          <w:tcPr>
            <w:tcW w:w="963" w:type="pct"/>
            <w:noWrap/>
            <w:vAlign w:val="center"/>
            <w:hideMark/>
          </w:tcPr>
          <w:p w14:paraId="7ECBB040" w14:textId="77777777" w:rsidR="00CA0E31" w:rsidRPr="00830912" w:rsidRDefault="00CA0E31" w:rsidP="000A5389">
            <w:pPr>
              <w:spacing w:line="240" w:lineRule="auto"/>
              <w:jc w:val="right"/>
              <w:rPr>
                <w:rFonts w:eastAsia="Times New Roman" w:cs="Times New Roman"/>
                <w:color w:val="000000"/>
                <w:sz w:val="16"/>
                <w:szCs w:val="16"/>
                <w:lang w:val="es-419" w:eastAsia="es-419"/>
              </w:rPr>
            </w:pPr>
            <w:r w:rsidRPr="00830912">
              <w:rPr>
                <w:rFonts w:eastAsia="Times New Roman" w:cs="Times New Roman"/>
                <w:color w:val="000000"/>
                <w:sz w:val="16"/>
                <w:szCs w:val="16"/>
                <w:lang w:val="es-419" w:eastAsia="es-419"/>
              </w:rPr>
              <w:t>32.328.211.194.834</w:t>
            </w:r>
          </w:p>
        </w:tc>
        <w:tc>
          <w:tcPr>
            <w:tcW w:w="884" w:type="pct"/>
            <w:noWrap/>
            <w:vAlign w:val="center"/>
            <w:hideMark/>
          </w:tcPr>
          <w:p w14:paraId="67357851" w14:textId="77777777" w:rsidR="00CA0E31" w:rsidRPr="00830912" w:rsidRDefault="00CA0E31" w:rsidP="000A5389">
            <w:pPr>
              <w:spacing w:line="240" w:lineRule="auto"/>
              <w:jc w:val="right"/>
              <w:rPr>
                <w:rFonts w:eastAsia="Times New Roman" w:cs="Times New Roman"/>
                <w:color w:val="000000"/>
                <w:sz w:val="16"/>
                <w:szCs w:val="16"/>
                <w:lang w:val="es-419" w:eastAsia="es-419"/>
              </w:rPr>
            </w:pPr>
            <w:r w:rsidRPr="00830912">
              <w:rPr>
                <w:rFonts w:eastAsia="Times New Roman" w:cs="Times New Roman"/>
                <w:color w:val="000000"/>
                <w:sz w:val="16"/>
                <w:szCs w:val="16"/>
                <w:lang w:val="es-419" w:eastAsia="es-419"/>
              </w:rPr>
              <w:t>43.848.173.460.513</w:t>
            </w:r>
          </w:p>
        </w:tc>
        <w:tc>
          <w:tcPr>
            <w:tcW w:w="908" w:type="pct"/>
            <w:noWrap/>
            <w:vAlign w:val="center"/>
            <w:hideMark/>
          </w:tcPr>
          <w:p w14:paraId="09559904" w14:textId="77777777" w:rsidR="00CA0E31" w:rsidRPr="00830912" w:rsidRDefault="00CA0E31" w:rsidP="000A5389">
            <w:pPr>
              <w:spacing w:line="240" w:lineRule="auto"/>
              <w:jc w:val="right"/>
              <w:rPr>
                <w:rFonts w:eastAsia="Times New Roman" w:cs="Times New Roman"/>
                <w:color w:val="000000"/>
                <w:sz w:val="16"/>
                <w:szCs w:val="16"/>
                <w:lang w:val="es-419" w:eastAsia="es-419"/>
              </w:rPr>
            </w:pPr>
            <w:r w:rsidRPr="00830912">
              <w:rPr>
                <w:rFonts w:eastAsia="Times New Roman" w:cs="Times New Roman"/>
                <w:color w:val="000000"/>
                <w:sz w:val="16"/>
                <w:szCs w:val="16"/>
                <w:lang w:val="es-419" w:eastAsia="es-419"/>
              </w:rPr>
              <w:t>-11.519.962.265.679</w:t>
            </w:r>
          </w:p>
        </w:tc>
      </w:tr>
      <w:tr w:rsidR="00830912" w:rsidRPr="00830912" w14:paraId="6597E614" w14:textId="77777777" w:rsidTr="00830912">
        <w:trPr>
          <w:trHeight w:val="280"/>
        </w:trPr>
        <w:tc>
          <w:tcPr>
            <w:tcW w:w="399" w:type="pct"/>
            <w:noWrap/>
            <w:vAlign w:val="center"/>
            <w:hideMark/>
          </w:tcPr>
          <w:p w14:paraId="14B6A1CD" w14:textId="77777777" w:rsidR="00CA0E31" w:rsidRPr="00830912" w:rsidRDefault="00CA0E31" w:rsidP="000A5389">
            <w:pPr>
              <w:spacing w:line="240" w:lineRule="auto"/>
              <w:rPr>
                <w:rFonts w:eastAsia="Times New Roman" w:cs="Times New Roman"/>
                <w:color w:val="000000"/>
                <w:sz w:val="16"/>
                <w:szCs w:val="16"/>
                <w:lang w:val="es-419" w:eastAsia="es-419"/>
              </w:rPr>
            </w:pPr>
            <w:r w:rsidRPr="00830912">
              <w:rPr>
                <w:rFonts w:eastAsia="Times New Roman" w:cs="Times New Roman"/>
                <w:color w:val="000000"/>
                <w:sz w:val="16"/>
                <w:szCs w:val="16"/>
                <w:lang w:val="es-419" w:eastAsia="es-419"/>
              </w:rPr>
              <w:t>1.7.10</w:t>
            </w:r>
          </w:p>
        </w:tc>
        <w:tc>
          <w:tcPr>
            <w:tcW w:w="245" w:type="pct"/>
            <w:noWrap/>
            <w:vAlign w:val="center"/>
            <w:hideMark/>
          </w:tcPr>
          <w:p w14:paraId="3D69F011" w14:textId="77777777" w:rsidR="00CA0E31" w:rsidRPr="00830912" w:rsidRDefault="00CA0E31" w:rsidP="000A5389">
            <w:pPr>
              <w:spacing w:line="240" w:lineRule="auto"/>
              <w:jc w:val="center"/>
              <w:rPr>
                <w:rFonts w:eastAsia="Times New Roman" w:cs="Times New Roman"/>
                <w:color w:val="000000"/>
                <w:sz w:val="16"/>
                <w:szCs w:val="16"/>
                <w:lang w:val="es-419" w:eastAsia="es-419"/>
              </w:rPr>
            </w:pPr>
            <w:r w:rsidRPr="00830912">
              <w:rPr>
                <w:rFonts w:eastAsia="Times New Roman" w:cs="Times New Roman"/>
                <w:color w:val="000000"/>
                <w:sz w:val="16"/>
                <w:szCs w:val="16"/>
                <w:lang w:val="es-419" w:eastAsia="es-419"/>
              </w:rPr>
              <w:t>Db</w:t>
            </w:r>
          </w:p>
        </w:tc>
        <w:tc>
          <w:tcPr>
            <w:tcW w:w="1601" w:type="pct"/>
            <w:vAlign w:val="center"/>
            <w:hideMark/>
          </w:tcPr>
          <w:p w14:paraId="242B97AA" w14:textId="77777777" w:rsidR="00CA0E31" w:rsidRPr="00830912" w:rsidRDefault="00CA0E31" w:rsidP="000A5389">
            <w:pPr>
              <w:spacing w:line="240" w:lineRule="auto"/>
              <w:rPr>
                <w:rFonts w:eastAsia="Times New Roman" w:cs="Times New Roman"/>
                <w:color w:val="000000"/>
                <w:sz w:val="16"/>
                <w:szCs w:val="16"/>
                <w:lang w:val="es-419" w:eastAsia="es-419"/>
              </w:rPr>
            </w:pPr>
            <w:r w:rsidRPr="00830912">
              <w:rPr>
                <w:rFonts w:eastAsia="Times New Roman" w:cs="Times New Roman"/>
                <w:color w:val="000000"/>
                <w:sz w:val="16"/>
                <w:szCs w:val="16"/>
                <w:lang w:val="es-419" w:eastAsia="es-419"/>
              </w:rPr>
              <w:t>Bienes de uso público en servicio</w:t>
            </w:r>
          </w:p>
        </w:tc>
        <w:tc>
          <w:tcPr>
            <w:tcW w:w="963" w:type="pct"/>
            <w:noWrap/>
            <w:vAlign w:val="center"/>
            <w:hideMark/>
          </w:tcPr>
          <w:p w14:paraId="37662648" w14:textId="77777777" w:rsidR="00CA0E31" w:rsidRPr="00830912" w:rsidRDefault="00CA0E31" w:rsidP="000A5389">
            <w:pPr>
              <w:spacing w:line="240" w:lineRule="auto"/>
              <w:jc w:val="right"/>
              <w:rPr>
                <w:rFonts w:eastAsia="Times New Roman" w:cs="Times New Roman"/>
                <w:color w:val="000000"/>
                <w:sz w:val="16"/>
                <w:szCs w:val="16"/>
                <w:lang w:val="es-419" w:eastAsia="es-419"/>
              </w:rPr>
            </w:pPr>
            <w:r w:rsidRPr="00830912">
              <w:rPr>
                <w:rFonts w:eastAsia="Times New Roman" w:cs="Times New Roman"/>
                <w:color w:val="000000"/>
                <w:sz w:val="16"/>
                <w:szCs w:val="16"/>
                <w:lang w:val="es-419" w:eastAsia="es-419"/>
              </w:rPr>
              <w:t>786.562.628.044</w:t>
            </w:r>
          </w:p>
        </w:tc>
        <w:tc>
          <w:tcPr>
            <w:tcW w:w="884" w:type="pct"/>
            <w:noWrap/>
            <w:vAlign w:val="center"/>
            <w:hideMark/>
          </w:tcPr>
          <w:p w14:paraId="64D7639B" w14:textId="77777777" w:rsidR="00CA0E31" w:rsidRPr="00830912" w:rsidRDefault="00CA0E31" w:rsidP="000A5389">
            <w:pPr>
              <w:spacing w:line="240" w:lineRule="auto"/>
              <w:jc w:val="right"/>
              <w:rPr>
                <w:rFonts w:eastAsia="Times New Roman" w:cs="Times New Roman"/>
                <w:color w:val="000000"/>
                <w:sz w:val="16"/>
                <w:szCs w:val="16"/>
                <w:lang w:val="es-419" w:eastAsia="es-419"/>
              </w:rPr>
            </w:pPr>
            <w:r w:rsidRPr="00830912">
              <w:rPr>
                <w:rFonts w:eastAsia="Times New Roman" w:cs="Times New Roman"/>
                <w:color w:val="000000"/>
                <w:sz w:val="16"/>
                <w:szCs w:val="16"/>
                <w:lang w:val="es-419" w:eastAsia="es-419"/>
              </w:rPr>
              <w:t>1.915.896.908.408</w:t>
            </w:r>
          </w:p>
        </w:tc>
        <w:tc>
          <w:tcPr>
            <w:tcW w:w="908" w:type="pct"/>
            <w:noWrap/>
            <w:vAlign w:val="center"/>
            <w:hideMark/>
          </w:tcPr>
          <w:p w14:paraId="36152E24" w14:textId="77777777" w:rsidR="00CA0E31" w:rsidRPr="00830912" w:rsidRDefault="00CA0E31" w:rsidP="000A5389">
            <w:pPr>
              <w:spacing w:line="240" w:lineRule="auto"/>
              <w:jc w:val="right"/>
              <w:rPr>
                <w:rFonts w:eastAsia="Times New Roman" w:cs="Times New Roman"/>
                <w:color w:val="000000"/>
                <w:sz w:val="16"/>
                <w:szCs w:val="16"/>
                <w:lang w:val="es-419" w:eastAsia="es-419"/>
              </w:rPr>
            </w:pPr>
            <w:r w:rsidRPr="00830912">
              <w:rPr>
                <w:rFonts w:eastAsia="Times New Roman" w:cs="Times New Roman"/>
                <w:color w:val="000000"/>
                <w:sz w:val="16"/>
                <w:szCs w:val="16"/>
                <w:lang w:val="es-419" w:eastAsia="es-419"/>
              </w:rPr>
              <w:t>-1.129.334.280.363</w:t>
            </w:r>
          </w:p>
        </w:tc>
      </w:tr>
      <w:tr w:rsidR="00830912" w:rsidRPr="00830912" w14:paraId="1E5C0AE9" w14:textId="77777777" w:rsidTr="00830912">
        <w:trPr>
          <w:trHeight w:val="280"/>
        </w:trPr>
        <w:tc>
          <w:tcPr>
            <w:tcW w:w="399" w:type="pct"/>
            <w:noWrap/>
            <w:vAlign w:val="center"/>
            <w:hideMark/>
          </w:tcPr>
          <w:p w14:paraId="0F6286A7" w14:textId="77777777" w:rsidR="00CA0E31" w:rsidRPr="00830912" w:rsidRDefault="00CA0E31" w:rsidP="000A5389">
            <w:pPr>
              <w:spacing w:line="240" w:lineRule="auto"/>
              <w:rPr>
                <w:rFonts w:eastAsia="Times New Roman" w:cs="Times New Roman"/>
                <w:color w:val="000000"/>
                <w:sz w:val="16"/>
                <w:szCs w:val="16"/>
                <w:lang w:val="es-419" w:eastAsia="es-419"/>
              </w:rPr>
            </w:pPr>
            <w:r w:rsidRPr="00830912">
              <w:rPr>
                <w:rFonts w:eastAsia="Times New Roman" w:cs="Times New Roman"/>
                <w:color w:val="000000"/>
                <w:sz w:val="16"/>
                <w:szCs w:val="16"/>
                <w:lang w:val="es-419" w:eastAsia="es-419"/>
              </w:rPr>
              <w:t>1.7.91</w:t>
            </w:r>
          </w:p>
        </w:tc>
        <w:tc>
          <w:tcPr>
            <w:tcW w:w="245" w:type="pct"/>
            <w:noWrap/>
            <w:vAlign w:val="center"/>
            <w:hideMark/>
          </w:tcPr>
          <w:p w14:paraId="51D47209" w14:textId="77777777" w:rsidR="00CA0E31" w:rsidRPr="00830912" w:rsidRDefault="00CA0E31" w:rsidP="000A5389">
            <w:pPr>
              <w:spacing w:line="240" w:lineRule="auto"/>
              <w:jc w:val="center"/>
              <w:rPr>
                <w:rFonts w:eastAsia="Times New Roman" w:cs="Times New Roman"/>
                <w:color w:val="000000"/>
                <w:sz w:val="16"/>
                <w:szCs w:val="16"/>
                <w:lang w:val="es-419" w:eastAsia="es-419"/>
              </w:rPr>
            </w:pPr>
            <w:r w:rsidRPr="00830912">
              <w:rPr>
                <w:rFonts w:eastAsia="Times New Roman" w:cs="Times New Roman"/>
                <w:color w:val="000000"/>
                <w:sz w:val="16"/>
                <w:szCs w:val="16"/>
                <w:lang w:val="es-419" w:eastAsia="es-419"/>
              </w:rPr>
              <w:t>Cr</w:t>
            </w:r>
          </w:p>
        </w:tc>
        <w:tc>
          <w:tcPr>
            <w:tcW w:w="1601" w:type="pct"/>
            <w:vAlign w:val="center"/>
            <w:hideMark/>
          </w:tcPr>
          <w:p w14:paraId="5E27940A" w14:textId="77777777" w:rsidR="00CA0E31" w:rsidRPr="00830912" w:rsidRDefault="00CA0E31" w:rsidP="000A5389">
            <w:pPr>
              <w:spacing w:line="240" w:lineRule="auto"/>
              <w:rPr>
                <w:rFonts w:eastAsia="Times New Roman" w:cs="Times New Roman"/>
                <w:color w:val="000000"/>
                <w:sz w:val="16"/>
                <w:szCs w:val="16"/>
                <w:lang w:val="es-419" w:eastAsia="es-419"/>
              </w:rPr>
            </w:pPr>
            <w:r w:rsidRPr="00830912">
              <w:rPr>
                <w:rFonts w:eastAsia="Times New Roman" w:cs="Times New Roman"/>
                <w:color w:val="000000"/>
                <w:sz w:val="16"/>
                <w:szCs w:val="16"/>
                <w:lang w:val="es-419" w:eastAsia="es-419"/>
              </w:rPr>
              <w:t>Deterioro acumulado de bienes de uso público - concesiones (cr)</w:t>
            </w:r>
          </w:p>
        </w:tc>
        <w:tc>
          <w:tcPr>
            <w:tcW w:w="963" w:type="pct"/>
            <w:noWrap/>
            <w:vAlign w:val="center"/>
            <w:hideMark/>
          </w:tcPr>
          <w:p w14:paraId="2F673C7E" w14:textId="77777777" w:rsidR="00CA0E31" w:rsidRPr="00830912" w:rsidRDefault="00CA0E31" w:rsidP="000A5389">
            <w:pPr>
              <w:spacing w:line="240" w:lineRule="auto"/>
              <w:jc w:val="right"/>
              <w:rPr>
                <w:rFonts w:eastAsia="Times New Roman" w:cs="Times New Roman"/>
                <w:color w:val="000000"/>
                <w:sz w:val="16"/>
                <w:szCs w:val="16"/>
                <w:lang w:val="es-419" w:eastAsia="es-419"/>
              </w:rPr>
            </w:pPr>
            <w:r w:rsidRPr="00830912">
              <w:rPr>
                <w:rFonts w:eastAsia="Times New Roman" w:cs="Times New Roman"/>
                <w:color w:val="000000"/>
                <w:sz w:val="16"/>
                <w:szCs w:val="16"/>
                <w:lang w:val="es-419" w:eastAsia="es-419"/>
              </w:rPr>
              <w:t>-35.311.654.050</w:t>
            </w:r>
          </w:p>
        </w:tc>
        <w:tc>
          <w:tcPr>
            <w:tcW w:w="884" w:type="pct"/>
            <w:noWrap/>
            <w:vAlign w:val="center"/>
            <w:hideMark/>
          </w:tcPr>
          <w:p w14:paraId="26888717" w14:textId="77777777" w:rsidR="00CA0E31" w:rsidRPr="00830912" w:rsidRDefault="00CA0E31" w:rsidP="000A5389">
            <w:pPr>
              <w:spacing w:line="240" w:lineRule="auto"/>
              <w:jc w:val="right"/>
              <w:rPr>
                <w:rFonts w:eastAsia="Times New Roman" w:cs="Times New Roman"/>
                <w:color w:val="000000"/>
                <w:sz w:val="16"/>
                <w:szCs w:val="16"/>
                <w:lang w:val="es-419" w:eastAsia="es-419"/>
              </w:rPr>
            </w:pPr>
            <w:r w:rsidRPr="00830912">
              <w:rPr>
                <w:rFonts w:eastAsia="Times New Roman" w:cs="Times New Roman"/>
                <w:color w:val="000000"/>
                <w:sz w:val="16"/>
                <w:szCs w:val="16"/>
                <w:lang w:val="es-419" w:eastAsia="es-419"/>
              </w:rPr>
              <w:t>-789.446.452</w:t>
            </w:r>
          </w:p>
        </w:tc>
        <w:tc>
          <w:tcPr>
            <w:tcW w:w="908" w:type="pct"/>
            <w:noWrap/>
            <w:vAlign w:val="center"/>
            <w:hideMark/>
          </w:tcPr>
          <w:p w14:paraId="5EB3449C" w14:textId="77777777" w:rsidR="00CA0E31" w:rsidRPr="00830912" w:rsidRDefault="00CA0E31" w:rsidP="000A5389">
            <w:pPr>
              <w:spacing w:line="240" w:lineRule="auto"/>
              <w:jc w:val="right"/>
              <w:rPr>
                <w:rFonts w:eastAsia="Times New Roman" w:cs="Times New Roman"/>
                <w:color w:val="000000"/>
                <w:sz w:val="16"/>
                <w:szCs w:val="16"/>
                <w:lang w:val="es-419" w:eastAsia="es-419"/>
              </w:rPr>
            </w:pPr>
            <w:r w:rsidRPr="00830912">
              <w:rPr>
                <w:rFonts w:eastAsia="Times New Roman" w:cs="Times New Roman"/>
                <w:color w:val="000000"/>
                <w:sz w:val="16"/>
                <w:szCs w:val="16"/>
                <w:lang w:val="es-419" w:eastAsia="es-419"/>
              </w:rPr>
              <w:t>-34.522.207.598</w:t>
            </w:r>
          </w:p>
        </w:tc>
      </w:tr>
      <w:tr w:rsidR="00830912" w:rsidRPr="00830912" w14:paraId="12CA2D03" w14:textId="77777777" w:rsidTr="00830912">
        <w:trPr>
          <w:trHeight w:val="560"/>
        </w:trPr>
        <w:tc>
          <w:tcPr>
            <w:tcW w:w="399" w:type="pct"/>
            <w:noWrap/>
            <w:vAlign w:val="center"/>
            <w:hideMark/>
          </w:tcPr>
          <w:p w14:paraId="4C1B583F" w14:textId="77777777" w:rsidR="00CA0E31" w:rsidRPr="00830912" w:rsidRDefault="00CA0E31" w:rsidP="000A5389">
            <w:pPr>
              <w:spacing w:line="240" w:lineRule="auto"/>
              <w:rPr>
                <w:rFonts w:eastAsia="Times New Roman" w:cs="Times New Roman"/>
                <w:color w:val="000000"/>
                <w:sz w:val="16"/>
                <w:szCs w:val="16"/>
                <w:lang w:val="es-419" w:eastAsia="es-419"/>
              </w:rPr>
            </w:pPr>
            <w:r w:rsidRPr="00830912">
              <w:rPr>
                <w:rFonts w:eastAsia="Times New Roman" w:cs="Times New Roman"/>
                <w:color w:val="000000"/>
                <w:sz w:val="16"/>
                <w:szCs w:val="16"/>
                <w:lang w:val="es-419" w:eastAsia="es-419"/>
              </w:rPr>
              <w:t>1.7.87</w:t>
            </w:r>
          </w:p>
        </w:tc>
        <w:tc>
          <w:tcPr>
            <w:tcW w:w="245" w:type="pct"/>
            <w:noWrap/>
            <w:vAlign w:val="center"/>
            <w:hideMark/>
          </w:tcPr>
          <w:p w14:paraId="50154D4A" w14:textId="77777777" w:rsidR="00CA0E31" w:rsidRPr="00830912" w:rsidRDefault="00CA0E31" w:rsidP="000A5389">
            <w:pPr>
              <w:spacing w:line="240" w:lineRule="auto"/>
              <w:jc w:val="center"/>
              <w:rPr>
                <w:rFonts w:eastAsia="Times New Roman" w:cs="Times New Roman"/>
                <w:color w:val="000000"/>
                <w:sz w:val="16"/>
                <w:szCs w:val="16"/>
                <w:lang w:val="es-419" w:eastAsia="es-419"/>
              </w:rPr>
            </w:pPr>
            <w:r w:rsidRPr="00830912">
              <w:rPr>
                <w:rFonts w:eastAsia="Times New Roman" w:cs="Times New Roman"/>
                <w:color w:val="000000"/>
                <w:sz w:val="16"/>
                <w:szCs w:val="16"/>
                <w:lang w:val="es-419" w:eastAsia="es-419"/>
              </w:rPr>
              <w:t>Cr</w:t>
            </w:r>
          </w:p>
        </w:tc>
        <w:tc>
          <w:tcPr>
            <w:tcW w:w="1601" w:type="pct"/>
            <w:vAlign w:val="center"/>
            <w:hideMark/>
          </w:tcPr>
          <w:p w14:paraId="5C42F901" w14:textId="77777777" w:rsidR="00CA0E31" w:rsidRPr="00830912" w:rsidRDefault="00CA0E31" w:rsidP="000A5389">
            <w:pPr>
              <w:spacing w:line="240" w:lineRule="auto"/>
              <w:rPr>
                <w:rFonts w:eastAsia="Times New Roman" w:cs="Times New Roman"/>
                <w:color w:val="000000"/>
                <w:sz w:val="16"/>
                <w:szCs w:val="16"/>
                <w:lang w:val="es-419" w:eastAsia="es-419"/>
              </w:rPr>
            </w:pPr>
            <w:r w:rsidRPr="00830912">
              <w:rPr>
                <w:rFonts w:eastAsia="Times New Roman" w:cs="Times New Roman"/>
                <w:color w:val="000000"/>
                <w:sz w:val="16"/>
                <w:szCs w:val="16"/>
                <w:lang w:val="es-419" w:eastAsia="es-419"/>
              </w:rPr>
              <w:t>Depreciación acumulada de bienes de uso público en servicio - concesiones (cr)</w:t>
            </w:r>
          </w:p>
        </w:tc>
        <w:tc>
          <w:tcPr>
            <w:tcW w:w="963" w:type="pct"/>
            <w:noWrap/>
            <w:vAlign w:val="center"/>
            <w:hideMark/>
          </w:tcPr>
          <w:p w14:paraId="10579580" w14:textId="77777777" w:rsidR="00CA0E31" w:rsidRPr="00830912" w:rsidRDefault="00CA0E31" w:rsidP="000A5389">
            <w:pPr>
              <w:spacing w:line="240" w:lineRule="auto"/>
              <w:jc w:val="right"/>
              <w:rPr>
                <w:rFonts w:eastAsia="Times New Roman" w:cs="Times New Roman"/>
                <w:color w:val="000000"/>
                <w:sz w:val="16"/>
                <w:szCs w:val="16"/>
                <w:lang w:val="es-419" w:eastAsia="es-419"/>
              </w:rPr>
            </w:pPr>
            <w:r w:rsidRPr="00830912">
              <w:rPr>
                <w:rFonts w:eastAsia="Times New Roman" w:cs="Times New Roman"/>
                <w:color w:val="000000"/>
                <w:sz w:val="16"/>
                <w:szCs w:val="16"/>
                <w:lang w:val="es-419" w:eastAsia="es-419"/>
              </w:rPr>
              <w:t>-172.658.094.155</w:t>
            </w:r>
          </w:p>
        </w:tc>
        <w:tc>
          <w:tcPr>
            <w:tcW w:w="884" w:type="pct"/>
            <w:noWrap/>
            <w:vAlign w:val="center"/>
            <w:hideMark/>
          </w:tcPr>
          <w:p w14:paraId="0B0F05D4" w14:textId="77777777" w:rsidR="00CA0E31" w:rsidRPr="00830912" w:rsidRDefault="00CA0E31" w:rsidP="000A5389">
            <w:pPr>
              <w:spacing w:line="240" w:lineRule="auto"/>
              <w:jc w:val="right"/>
              <w:rPr>
                <w:rFonts w:eastAsia="Times New Roman" w:cs="Times New Roman"/>
                <w:color w:val="000000"/>
                <w:sz w:val="16"/>
                <w:szCs w:val="16"/>
                <w:lang w:val="es-419" w:eastAsia="es-419"/>
              </w:rPr>
            </w:pPr>
            <w:r w:rsidRPr="00830912">
              <w:rPr>
                <w:rFonts w:eastAsia="Times New Roman" w:cs="Times New Roman"/>
                <w:color w:val="000000"/>
                <w:sz w:val="16"/>
                <w:szCs w:val="16"/>
                <w:lang w:val="es-419" w:eastAsia="es-419"/>
              </w:rPr>
              <w:t>-206.440.727.263</w:t>
            </w:r>
          </w:p>
        </w:tc>
        <w:tc>
          <w:tcPr>
            <w:tcW w:w="908" w:type="pct"/>
            <w:noWrap/>
            <w:vAlign w:val="center"/>
            <w:hideMark/>
          </w:tcPr>
          <w:p w14:paraId="5A5F3D94" w14:textId="77777777" w:rsidR="00CA0E31" w:rsidRPr="00830912" w:rsidRDefault="00CA0E31" w:rsidP="000A5389">
            <w:pPr>
              <w:spacing w:line="240" w:lineRule="auto"/>
              <w:jc w:val="right"/>
              <w:rPr>
                <w:rFonts w:eastAsia="Times New Roman" w:cs="Times New Roman"/>
                <w:color w:val="000000"/>
                <w:sz w:val="16"/>
                <w:szCs w:val="16"/>
                <w:lang w:val="es-419" w:eastAsia="es-419"/>
              </w:rPr>
            </w:pPr>
            <w:r w:rsidRPr="00830912">
              <w:rPr>
                <w:rFonts w:eastAsia="Times New Roman" w:cs="Times New Roman"/>
                <w:color w:val="000000"/>
                <w:sz w:val="16"/>
                <w:szCs w:val="16"/>
                <w:lang w:val="es-419" w:eastAsia="es-419"/>
              </w:rPr>
              <w:t>33.782.633.109</w:t>
            </w:r>
          </w:p>
        </w:tc>
      </w:tr>
      <w:tr w:rsidR="00830912" w:rsidRPr="00830912" w14:paraId="6102BA75" w14:textId="77777777" w:rsidTr="00830912">
        <w:trPr>
          <w:trHeight w:val="280"/>
        </w:trPr>
        <w:tc>
          <w:tcPr>
            <w:tcW w:w="399" w:type="pct"/>
            <w:noWrap/>
            <w:vAlign w:val="center"/>
            <w:hideMark/>
          </w:tcPr>
          <w:p w14:paraId="712D822F" w14:textId="77777777" w:rsidR="00CA0E31" w:rsidRPr="00830912" w:rsidRDefault="00CA0E31" w:rsidP="000A5389">
            <w:pPr>
              <w:spacing w:line="240" w:lineRule="auto"/>
              <w:rPr>
                <w:rFonts w:eastAsia="Times New Roman" w:cs="Times New Roman"/>
                <w:color w:val="000000"/>
                <w:sz w:val="16"/>
                <w:szCs w:val="16"/>
                <w:lang w:val="es-419" w:eastAsia="es-419"/>
              </w:rPr>
            </w:pPr>
            <w:r w:rsidRPr="00830912">
              <w:rPr>
                <w:rFonts w:eastAsia="Times New Roman" w:cs="Times New Roman"/>
                <w:color w:val="000000"/>
                <w:sz w:val="16"/>
                <w:szCs w:val="16"/>
                <w:lang w:val="es-419" w:eastAsia="es-419"/>
              </w:rPr>
              <w:t>1.7.85</w:t>
            </w:r>
          </w:p>
        </w:tc>
        <w:tc>
          <w:tcPr>
            <w:tcW w:w="245" w:type="pct"/>
            <w:noWrap/>
            <w:vAlign w:val="center"/>
            <w:hideMark/>
          </w:tcPr>
          <w:p w14:paraId="79E84AD1" w14:textId="77777777" w:rsidR="00CA0E31" w:rsidRPr="00830912" w:rsidRDefault="00CA0E31" w:rsidP="000A5389">
            <w:pPr>
              <w:spacing w:line="240" w:lineRule="auto"/>
              <w:jc w:val="center"/>
              <w:rPr>
                <w:rFonts w:eastAsia="Times New Roman" w:cs="Times New Roman"/>
                <w:color w:val="000000"/>
                <w:sz w:val="16"/>
                <w:szCs w:val="16"/>
                <w:lang w:val="es-419" w:eastAsia="es-419"/>
              </w:rPr>
            </w:pPr>
            <w:r w:rsidRPr="00830912">
              <w:rPr>
                <w:rFonts w:eastAsia="Times New Roman" w:cs="Times New Roman"/>
                <w:color w:val="000000"/>
                <w:sz w:val="16"/>
                <w:szCs w:val="16"/>
                <w:lang w:val="es-419" w:eastAsia="es-419"/>
              </w:rPr>
              <w:t>Cr</w:t>
            </w:r>
          </w:p>
        </w:tc>
        <w:tc>
          <w:tcPr>
            <w:tcW w:w="1601" w:type="pct"/>
            <w:vAlign w:val="center"/>
            <w:hideMark/>
          </w:tcPr>
          <w:p w14:paraId="5F8B3CF8" w14:textId="77777777" w:rsidR="00CA0E31" w:rsidRPr="00830912" w:rsidRDefault="00CA0E31" w:rsidP="000A5389">
            <w:pPr>
              <w:spacing w:line="240" w:lineRule="auto"/>
              <w:rPr>
                <w:rFonts w:eastAsia="Times New Roman" w:cs="Times New Roman"/>
                <w:color w:val="000000"/>
                <w:sz w:val="16"/>
                <w:szCs w:val="16"/>
                <w:lang w:val="es-419" w:eastAsia="es-419"/>
              </w:rPr>
            </w:pPr>
            <w:r w:rsidRPr="00830912">
              <w:rPr>
                <w:rFonts w:eastAsia="Times New Roman" w:cs="Times New Roman"/>
                <w:color w:val="000000"/>
                <w:sz w:val="16"/>
                <w:szCs w:val="16"/>
                <w:lang w:val="es-419" w:eastAsia="es-419"/>
              </w:rPr>
              <w:t>Depreciación acumulada de bienes de uso público en servicio (cr)</w:t>
            </w:r>
          </w:p>
        </w:tc>
        <w:tc>
          <w:tcPr>
            <w:tcW w:w="963" w:type="pct"/>
            <w:noWrap/>
            <w:vAlign w:val="center"/>
            <w:hideMark/>
          </w:tcPr>
          <w:p w14:paraId="7BAED879" w14:textId="77777777" w:rsidR="00CA0E31" w:rsidRPr="00830912" w:rsidRDefault="00CA0E31" w:rsidP="000A5389">
            <w:pPr>
              <w:spacing w:line="240" w:lineRule="auto"/>
              <w:jc w:val="right"/>
              <w:rPr>
                <w:rFonts w:eastAsia="Times New Roman" w:cs="Times New Roman"/>
                <w:color w:val="000000"/>
                <w:sz w:val="16"/>
                <w:szCs w:val="16"/>
                <w:lang w:val="es-419" w:eastAsia="es-419"/>
              </w:rPr>
            </w:pPr>
            <w:r w:rsidRPr="00830912">
              <w:rPr>
                <w:rFonts w:eastAsia="Times New Roman" w:cs="Times New Roman"/>
                <w:color w:val="000000"/>
                <w:sz w:val="16"/>
                <w:szCs w:val="16"/>
                <w:lang w:val="es-419" w:eastAsia="es-419"/>
              </w:rPr>
              <w:t>-639.211.425.528</w:t>
            </w:r>
          </w:p>
        </w:tc>
        <w:tc>
          <w:tcPr>
            <w:tcW w:w="884" w:type="pct"/>
            <w:noWrap/>
            <w:vAlign w:val="center"/>
            <w:hideMark/>
          </w:tcPr>
          <w:p w14:paraId="7DB386C0" w14:textId="77777777" w:rsidR="00CA0E31" w:rsidRPr="00830912" w:rsidRDefault="00CA0E31" w:rsidP="000A5389">
            <w:pPr>
              <w:spacing w:line="240" w:lineRule="auto"/>
              <w:jc w:val="right"/>
              <w:rPr>
                <w:rFonts w:eastAsia="Times New Roman" w:cs="Times New Roman"/>
                <w:color w:val="000000"/>
                <w:sz w:val="16"/>
                <w:szCs w:val="16"/>
                <w:lang w:val="es-419" w:eastAsia="es-419"/>
              </w:rPr>
            </w:pPr>
            <w:r w:rsidRPr="00830912">
              <w:rPr>
                <w:rFonts w:eastAsia="Times New Roman" w:cs="Times New Roman"/>
                <w:color w:val="000000"/>
                <w:sz w:val="16"/>
                <w:szCs w:val="16"/>
                <w:lang w:val="es-419" w:eastAsia="es-419"/>
              </w:rPr>
              <w:t>-772.647.386.652</w:t>
            </w:r>
          </w:p>
        </w:tc>
        <w:tc>
          <w:tcPr>
            <w:tcW w:w="908" w:type="pct"/>
            <w:noWrap/>
            <w:vAlign w:val="center"/>
            <w:hideMark/>
          </w:tcPr>
          <w:p w14:paraId="6B456A0F" w14:textId="77777777" w:rsidR="00CA0E31" w:rsidRPr="00830912" w:rsidRDefault="00CA0E31" w:rsidP="000A5389">
            <w:pPr>
              <w:spacing w:line="240" w:lineRule="auto"/>
              <w:jc w:val="right"/>
              <w:rPr>
                <w:rFonts w:eastAsia="Times New Roman" w:cs="Times New Roman"/>
                <w:color w:val="000000"/>
                <w:sz w:val="16"/>
                <w:szCs w:val="16"/>
                <w:lang w:val="es-419" w:eastAsia="es-419"/>
              </w:rPr>
            </w:pPr>
            <w:r w:rsidRPr="00830912">
              <w:rPr>
                <w:rFonts w:eastAsia="Times New Roman" w:cs="Times New Roman"/>
                <w:color w:val="000000"/>
                <w:sz w:val="16"/>
                <w:szCs w:val="16"/>
                <w:lang w:val="es-419" w:eastAsia="es-419"/>
              </w:rPr>
              <w:t>133.435.961.124</w:t>
            </w:r>
          </w:p>
        </w:tc>
      </w:tr>
    </w:tbl>
    <w:p w14:paraId="40B801D5" w14:textId="77777777" w:rsidR="00CA0E31" w:rsidRPr="00951AB1" w:rsidRDefault="00CA0E31" w:rsidP="000A5389">
      <w:pPr>
        <w:spacing w:line="240" w:lineRule="auto"/>
        <w:rPr>
          <w:rFonts w:cs="Times New Roman"/>
          <w:bCs/>
          <w:sz w:val="14"/>
          <w:szCs w:val="14"/>
        </w:rPr>
      </w:pPr>
      <w:r w:rsidRPr="00951AB1">
        <w:rPr>
          <w:rFonts w:cs="Times New Roman"/>
          <w:bCs/>
          <w:sz w:val="14"/>
          <w:szCs w:val="14"/>
        </w:rPr>
        <w:fldChar w:fldCharType="end"/>
      </w:r>
      <w:r w:rsidRPr="00951AB1">
        <w:rPr>
          <w:rFonts w:cs="Times New Roman"/>
          <w:bCs/>
          <w:sz w:val="14"/>
          <w:szCs w:val="14"/>
        </w:rPr>
        <w:t>Cifras expresadas en pesos</w:t>
      </w:r>
    </w:p>
    <w:p w14:paraId="768FAAF3" w14:textId="489530A9" w:rsidR="5B0C84B6" w:rsidRDefault="5B0C84B6" w:rsidP="000A5389">
      <w:pPr>
        <w:spacing w:line="240" w:lineRule="auto"/>
        <w:rPr>
          <w:rFonts w:cs="Times New Roman"/>
          <w:b/>
          <w:bCs/>
          <w:szCs w:val="24"/>
        </w:rPr>
      </w:pPr>
    </w:p>
    <w:p w14:paraId="04D2D24A" w14:textId="77777777" w:rsidR="00CA0E31" w:rsidRPr="00951AB1" w:rsidRDefault="00CA0E31" w:rsidP="000A5389">
      <w:pPr>
        <w:spacing w:line="240" w:lineRule="auto"/>
        <w:rPr>
          <w:rFonts w:cs="Times New Roman"/>
          <w:bCs/>
          <w:szCs w:val="24"/>
        </w:rPr>
      </w:pPr>
      <w:r w:rsidRPr="00951AB1">
        <w:rPr>
          <w:rFonts w:cs="Times New Roman"/>
          <w:bCs/>
          <w:szCs w:val="24"/>
        </w:rPr>
        <w:t>Los Bienes de Uso Público corresponden a la infraestructura entregada en concesión, como carreteras, puertos, infraestructura férrea y terrenos asociados, que están destinados al servicio de la comunidad.</w:t>
      </w:r>
    </w:p>
    <w:p w14:paraId="26DA25E5" w14:textId="77777777" w:rsidR="00CA0E31" w:rsidRPr="00951AB1" w:rsidRDefault="00CA0E31" w:rsidP="000A5389">
      <w:pPr>
        <w:spacing w:line="240" w:lineRule="auto"/>
        <w:rPr>
          <w:rFonts w:cs="Times New Roman"/>
          <w:bCs/>
          <w:szCs w:val="24"/>
        </w:rPr>
      </w:pPr>
    </w:p>
    <w:p w14:paraId="21173F87" w14:textId="7DF79B71" w:rsidR="00CA0E31" w:rsidRPr="00951AB1" w:rsidRDefault="00CA0E31" w:rsidP="000A5389">
      <w:pPr>
        <w:spacing w:line="240" w:lineRule="auto"/>
        <w:rPr>
          <w:rFonts w:cs="Times New Roman"/>
          <w:bCs/>
          <w:szCs w:val="24"/>
        </w:rPr>
      </w:pPr>
      <w:r w:rsidRPr="00951AB1">
        <w:rPr>
          <w:rFonts w:cs="Times New Roman"/>
          <w:bCs/>
          <w:szCs w:val="24"/>
        </w:rPr>
        <w:t>Estos bienes se clasifican:</w:t>
      </w:r>
    </w:p>
    <w:p w14:paraId="13ECD0D9" w14:textId="77777777" w:rsidR="00CA0E31" w:rsidRPr="00951AB1" w:rsidRDefault="00CA0E31" w:rsidP="000A5389">
      <w:pPr>
        <w:pStyle w:val="Prrafodelista"/>
        <w:numPr>
          <w:ilvl w:val="0"/>
          <w:numId w:val="81"/>
        </w:numPr>
        <w:spacing w:line="240" w:lineRule="auto"/>
        <w:rPr>
          <w:rFonts w:cs="Times New Roman"/>
          <w:bCs/>
          <w:szCs w:val="24"/>
        </w:rPr>
      </w:pPr>
      <w:r w:rsidRPr="00951AB1">
        <w:rPr>
          <w:rFonts w:cs="Times New Roman"/>
          <w:bCs/>
          <w:szCs w:val="24"/>
        </w:rPr>
        <w:t>En Construcción: Cuando la obra aún no ha terminado.</w:t>
      </w:r>
    </w:p>
    <w:p w14:paraId="7F14CE26" w14:textId="77777777" w:rsidR="00CA0E31" w:rsidRPr="00951AB1" w:rsidRDefault="00CA0E31" w:rsidP="000A5389">
      <w:pPr>
        <w:pStyle w:val="Prrafodelista"/>
        <w:numPr>
          <w:ilvl w:val="0"/>
          <w:numId w:val="81"/>
        </w:numPr>
        <w:spacing w:line="240" w:lineRule="auto"/>
        <w:rPr>
          <w:rFonts w:cs="Times New Roman"/>
          <w:bCs/>
          <w:szCs w:val="24"/>
        </w:rPr>
      </w:pPr>
      <w:r w:rsidRPr="00951AB1">
        <w:rPr>
          <w:rFonts w:cs="Times New Roman"/>
          <w:bCs/>
          <w:szCs w:val="24"/>
        </w:rPr>
        <w:t>En servicio: cuando ya están operando y prestando el servicio.</w:t>
      </w:r>
    </w:p>
    <w:p w14:paraId="5C358648" w14:textId="77777777" w:rsidR="00CA0E31" w:rsidRPr="00951AB1" w:rsidRDefault="00CA0E31" w:rsidP="000A5389">
      <w:pPr>
        <w:pStyle w:val="Prrafodelista"/>
        <w:spacing w:line="240" w:lineRule="auto"/>
        <w:rPr>
          <w:rFonts w:cs="Times New Roman"/>
          <w:bCs/>
          <w:szCs w:val="24"/>
        </w:rPr>
      </w:pPr>
    </w:p>
    <w:p w14:paraId="0C6D6960" w14:textId="77777777" w:rsidR="00CA0E31" w:rsidRPr="00951AB1" w:rsidRDefault="00CA0E31" w:rsidP="000A5389">
      <w:pPr>
        <w:spacing w:line="240" w:lineRule="auto"/>
        <w:rPr>
          <w:rFonts w:cs="Times New Roman"/>
          <w:bCs/>
          <w:szCs w:val="24"/>
        </w:rPr>
      </w:pPr>
      <w:r w:rsidRPr="00951AB1">
        <w:rPr>
          <w:rFonts w:cs="Times New Roman"/>
          <w:bCs/>
          <w:szCs w:val="24"/>
        </w:rPr>
        <w:t>Al cierre de la vigencia 2025, la Agencia Nacional de Infraestructura (ANI) no tiene reconocidos en sus estados financieros bienes recibidos en comodato ni bienes de carácter histórico o cultural dentro de su inventario de activos.</w:t>
      </w:r>
    </w:p>
    <w:p w14:paraId="3E29739A" w14:textId="42E4532F" w:rsidR="009F2CE7" w:rsidRPr="00951AB1" w:rsidRDefault="009F2CE7" w:rsidP="000A5389">
      <w:pPr>
        <w:spacing w:line="240" w:lineRule="auto"/>
        <w:rPr>
          <w:rFonts w:cs="Times New Roman"/>
          <w:szCs w:val="24"/>
        </w:rPr>
      </w:pPr>
    </w:p>
    <w:p w14:paraId="5744B409" w14:textId="77777777" w:rsidR="009F2CE7" w:rsidRPr="00951AB1" w:rsidRDefault="009F2CE7" w:rsidP="000A5389">
      <w:pPr>
        <w:spacing w:line="240" w:lineRule="auto"/>
        <w:rPr>
          <w:rFonts w:cs="Times New Roman"/>
          <w:szCs w:val="24"/>
        </w:rPr>
      </w:pPr>
      <w:r w:rsidRPr="00951AB1">
        <w:rPr>
          <w:rFonts w:cs="Times New Roman"/>
          <w:szCs w:val="24"/>
        </w:rPr>
        <w:t>En cuanto a los bienes de uso público, la ANI identifica aquellos activos (Contratos de Concesión) destinados al uso, goce y disfrute de la comunidad, los cuales están permanentemente al servicio de esta, con las limitaciones establecidas por el ordenamiento jurídico y la autoridad competente. El Estado cumple un rol fundamental en la protección, administración, mantenimiento y apoyo financiero de estos bienes, los cuales se caracterizan por ser inalienables, imprescriptibles e inembargables.</w:t>
      </w:r>
    </w:p>
    <w:p w14:paraId="01BB95FD" w14:textId="77777777" w:rsidR="009F2CE7" w:rsidRPr="00951AB1" w:rsidRDefault="009F2CE7" w:rsidP="000A5389">
      <w:pPr>
        <w:spacing w:line="240" w:lineRule="auto"/>
        <w:rPr>
          <w:rFonts w:cs="Times New Roman"/>
          <w:color w:val="EE0000"/>
          <w:szCs w:val="24"/>
        </w:rPr>
      </w:pPr>
    </w:p>
    <w:p w14:paraId="1475C0C9" w14:textId="4D575840" w:rsidR="009F2CE7" w:rsidRPr="00951AB1" w:rsidRDefault="009F2CE7" w:rsidP="000A5389">
      <w:pPr>
        <w:spacing w:line="240" w:lineRule="auto"/>
        <w:rPr>
          <w:rFonts w:cs="Times New Roman"/>
          <w:szCs w:val="24"/>
        </w:rPr>
      </w:pPr>
      <w:r w:rsidRPr="00951AB1">
        <w:rPr>
          <w:rFonts w:cs="Times New Roman"/>
          <w:szCs w:val="24"/>
        </w:rPr>
        <w:t>Los bienes de uso público vinculados a acuerdos de concesión y asociaciones público-privadas (APP) incluyen activos de infraestructura de transporte en fase de construcción o en operación en los distintos modos de transporte: carretero, férreo y marítimo (Ver Nota 3</w:t>
      </w:r>
      <w:r w:rsidR="0058751B" w:rsidRPr="00951AB1">
        <w:rPr>
          <w:rFonts w:cs="Times New Roman"/>
          <w:szCs w:val="24"/>
        </w:rPr>
        <w:t>3</w:t>
      </w:r>
      <w:r w:rsidRPr="00951AB1">
        <w:rPr>
          <w:rFonts w:cs="Times New Roman"/>
          <w:szCs w:val="24"/>
        </w:rPr>
        <w:t>).</w:t>
      </w:r>
    </w:p>
    <w:p w14:paraId="0471A981" w14:textId="77777777" w:rsidR="009F2CE7" w:rsidRPr="00951AB1" w:rsidRDefault="009F2CE7" w:rsidP="000A5389">
      <w:pPr>
        <w:spacing w:line="240" w:lineRule="auto"/>
        <w:rPr>
          <w:rFonts w:cs="Times New Roman"/>
          <w:szCs w:val="24"/>
        </w:rPr>
      </w:pPr>
    </w:p>
    <w:p w14:paraId="03E46A7E" w14:textId="77777777" w:rsidR="00CA0E31" w:rsidRPr="00951AB1" w:rsidRDefault="00CA0E31" w:rsidP="000A5389">
      <w:pPr>
        <w:spacing w:line="240" w:lineRule="auto"/>
        <w:rPr>
          <w:rFonts w:cs="Times New Roman"/>
          <w:szCs w:val="24"/>
        </w:rPr>
      </w:pPr>
      <w:r w:rsidRPr="00951AB1">
        <w:rPr>
          <w:rFonts w:cs="Times New Roman"/>
          <w:szCs w:val="24"/>
        </w:rPr>
        <w:t xml:space="preserve">En atención a que, conforme a lo establecido contractualmente, los concesionarios no están obligados a suministrar información detallada sobre los valores individuales de los activos aportados ni sobre las mejoras, ampliaciones o rehabilitaciones efectuadas a los activos </w:t>
      </w:r>
      <w:r w:rsidRPr="00951AB1">
        <w:rPr>
          <w:rFonts w:cs="Times New Roman"/>
          <w:szCs w:val="24"/>
        </w:rPr>
        <w:lastRenderedPageBreak/>
        <w:t>existentes, la ANI aplica técnicas de estimación para la medición y reconocimiento de los activos, pasivos y gastos asociados a los contratos de concesión.</w:t>
      </w:r>
    </w:p>
    <w:p w14:paraId="0C7A7AC4" w14:textId="28436AD3" w:rsidR="009F2CE7" w:rsidRPr="00951AB1" w:rsidRDefault="009F2CE7" w:rsidP="000A5389">
      <w:pPr>
        <w:spacing w:line="240" w:lineRule="auto"/>
        <w:rPr>
          <w:rFonts w:cs="Times New Roman"/>
          <w:szCs w:val="24"/>
        </w:rPr>
      </w:pPr>
      <w:r w:rsidRPr="2A085367">
        <w:rPr>
          <w:rFonts w:cs="Times New Roman"/>
          <w:szCs w:val="24"/>
        </w:rPr>
        <w:t>Las mejoras y rehabilitaciones en bienes de uso público se reconocerán como un mayor valor del activo, impactando el cálculo futuro de la depreciación. En contraste, los gastos de mantenimiento y conservación se reconocerán como gastos del período correspondiente.</w:t>
      </w:r>
    </w:p>
    <w:p w14:paraId="21438811" w14:textId="0F065D86" w:rsidR="2A085367" w:rsidRDefault="2A085367" w:rsidP="000A5389">
      <w:pPr>
        <w:spacing w:line="240" w:lineRule="auto"/>
        <w:rPr>
          <w:rFonts w:cs="Times New Roman"/>
          <w:szCs w:val="24"/>
        </w:rPr>
      </w:pPr>
    </w:p>
    <w:p w14:paraId="77A531B5" w14:textId="0CA1CFC0" w:rsidR="009F2CE7" w:rsidRPr="00951AB1" w:rsidRDefault="009F2CE7" w:rsidP="000A5389">
      <w:pPr>
        <w:spacing w:line="240" w:lineRule="auto"/>
        <w:rPr>
          <w:rFonts w:cs="Times New Roman"/>
          <w:szCs w:val="24"/>
        </w:rPr>
      </w:pPr>
      <w:r w:rsidRPr="00951AB1">
        <w:rPr>
          <w:rFonts w:cs="Times New Roman"/>
          <w:b/>
          <w:i/>
          <w:szCs w:val="24"/>
        </w:rPr>
        <w:t>Reconocimiento Contable y Medición de Bienes en Concesión:</w:t>
      </w:r>
      <w:r w:rsidR="00CA0E31" w:rsidRPr="00951AB1">
        <w:rPr>
          <w:rFonts w:cs="Times New Roman"/>
          <w:b/>
          <w:bCs/>
          <w:i/>
          <w:iCs/>
          <w:szCs w:val="24"/>
        </w:rPr>
        <w:t xml:space="preserve"> </w:t>
      </w:r>
      <w:r w:rsidRPr="00951AB1">
        <w:rPr>
          <w:rFonts w:cs="Times New Roman"/>
          <w:szCs w:val="24"/>
        </w:rPr>
        <w:t>La Agencia registra contablemente los predios adquiridos en el marco de contratos de concesión para los proyectos de los modos de transporte carretero y férreo, con base en la información reportada por los GIT Predial y Asesoría Jurídico Predial de la Vicepresidencia de Planeación, Riesgos y Entorno (VPRE), de acuerdo con los formatos implementados en el Sistema de Gestión de Calidad.</w:t>
      </w:r>
    </w:p>
    <w:p w14:paraId="1770E17F" w14:textId="77777777" w:rsidR="009F2CE7" w:rsidRPr="00951AB1" w:rsidRDefault="009F2CE7" w:rsidP="000A5389">
      <w:pPr>
        <w:spacing w:line="240" w:lineRule="auto"/>
        <w:rPr>
          <w:rFonts w:cs="Times New Roman"/>
          <w:color w:val="EE0000"/>
          <w:szCs w:val="24"/>
        </w:rPr>
      </w:pPr>
    </w:p>
    <w:p w14:paraId="6087789C" w14:textId="77777777" w:rsidR="009F2CE7" w:rsidRPr="00951AB1" w:rsidRDefault="009F2CE7" w:rsidP="000A5389">
      <w:pPr>
        <w:spacing w:line="240" w:lineRule="auto"/>
        <w:rPr>
          <w:rFonts w:cs="Times New Roman"/>
          <w:szCs w:val="24"/>
        </w:rPr>
      </w:pPr>
      <w:r w:rsidRPr="00951AB1">
        <w:rPr>
          <w:rFonts w:cs="Times New Roman"/>
          <w:szCs w:val="24"/>
        </w:rPr>
        <w:t>Una vez registrados, los bienes de uso público asociados a los acuerdos de concesión serán medidos según el siguiente criterio:</w:t>
      </w:r>
    </w:p>
    <w:p w14:paraId="482AF0B5" w14:textId="77777777" w:rsidR="009F2CE7" w:rsidRPr="00951AB1" w:rsidRDefault="009F2CE7" w:rsidP="000A5389">
      <w:pPr>
        <w:spacing w:line="240" w:lineRule="auto"/>
        <w:ind w:right="1183"/>
        <w:jc w:val="center"/>
        <w:rPr>
          <w:rFonts w:cs="Times New Roman"/>
          <w:szCs w:val="24"/>
        </w:rPr>
      </w:pPr>
    </w:p>
    <w:p w14:paraId="32612925" w14:textId="77777777" w:rsidR="009F2CE7" w:rsidRPr="00951AB1" w:rsidRDefault="009F2CE7" w:rsidP="000A5389">
      <w:pPr>
        <w:spacing w:line="240" w:lineRule="auto"/>
        <w:ind w:right="1183"/>
        <w:jc w:val="center"/>
        <w:rPr>
          <w:rFonts w:cs="Times New Roman"/>
          <w:i/>
          <w:iCs/>
          <w:sz w:val="20"/>
          <w:szCs w:val="20"/>
        </w:rPr>
      </w:pPr>
      <w:r w:rsidRPr="00951AB1">
        <w:rPr>
          <w:rFonts w:cs="Times New Roman"/>
          <w:b/>
          <w:bCs/>
          <w:i/>
          <w:iCs/>
          <w:sz w:val="20"/>
          <w:szCs w:val="20"/>
        </w:rPr>
        <w:t>Medición posterior</w:t>
      </w:r>
      <w:r w:rsidRPr="00951AB1">
        <w:rPr>
          <w:rFonts w:cs="Times New Roman"/>
          <w:i/>
          <w:iCs/>
          <w:sz w:val="20"/>
          <w:szCs w:val="20"/>
        </w:rPr>
        <w:t xml:space="preserve"> = Costo inicial del activo o histórico – Depreciación acumulada – Deterioro acumulado</w:t>
      </w:r>
    </w:p>
    <w:p w14:paraId="54743EAA" w14:textId="77777777" w:rsidR="009F2CE7" w:rsidRPr="00951AB1" w:rsidRDefault="009F2CE7" w:rsidP="000A5389">
      <w:pPr>
        <w:spacing w:line="240" w:lineRule="auto"/>
        <w:rPr>
          <w:rFonts w:cs="Times New Roman"/>
          <w:szCs w:val="24"/>
        </w:rPr>
      </w:pPr>
      <w:r w:rsidRPr="00951AB1">
        <w:rPr>
          <w:rFonts w:cs="Times New Roman"/>
          <w:szCs w:val="24"/>
        </w:rPr>
        <w:t>Para los modos de transporte carretero y portuario, se continuará con la definición de vidas útiles conforme al plan de trabajo establecido para cumplir con la normativa vigente en materia de concesiones.</w:t>
      </w:r>
    </w:p>
    <w:p w14:paraId="0A94F1E1" w14:textId="77777777" w:rsidR="009F2CE7" w:rsidRPr="00951AB1" w:rsidRDefault="009F2CE7" w:rsidP="000A5389">
      <w:pPr>
        <w:spacing w:line="240" w:lineRule="auto"/>
        <w:rPr>
          <w:rFonts w:cs="Times New Roman"/>
          <w:color w:val="EE0000"/>
          <w:szCs w:val="24"/>
        </w:rPr>
      </w:pPr>
    </w:p>
    <w:p w14:paraId="0F0FEA5B" w14:textId="77777777" w:rsidR="009F2CE7" w:rsidRPr="00951AB1" w:rsidRDefault="009F2CE7" w:rsidP="000A5389">
      <w:pPr>
        <w:spacing w:line="240" w:lineRule="auto"/>
        <w:rPr>
          <w:rFonts w:cs="Times New Roman"/>
          <w:szCs w:val="24"/>
        </w:rPr>
      </w:pPr>
      <w:r w:rsidRPr="00951AB1">
        <w:rPr>
          <w:rFonts w:cs="Times New Roman"/>
          <w:szCs w:val="24"/>
        </w:rPr>
        <w:t>Para el modo de transporte férreo, los cargos por depreciación y/o amortización, se han determinado según el Formato GCSP-F-289 “</w:t>
      </w:r>
      <w:r w:rsidRPr="00951AB1">
        <w:rPr>
          <w:rFonts w:cs="Times New Roman"/>
          <w:i/>
          <w:iCs/>
          <w:szCs w:val="24"/>
        </w:rPr>
        <w:t>Informe de la Metodología para la obtención de información de bienes de uso público y propiedad, planta y equipo en el modo férreo según el nuevo marco normativo para entidades de gobierno</w:t>
      </w:r>
      <w:r w:rsidRPr="00951AB1">
        <w:rPr>
          <w:rFonts w:cs="Times New Roman"/>
          <w:szCs w:val="24"/>
        </w:rPr>
        <w:t>”.  Esta metodología podrá ajustarse dentro de los plazos fijados por la Contaduría General de la Nación, en cumplimiento de la Resolución CGN No. 602 de 2018 y sus modificaciones.</w:t>
      </w:r>
    </w:p>
    <w:p w14:paraId="709E5F93" w14:textId="77777777" w:rsidR="009F2CE7" w:rsidRPr="00951AB1" w:rsidRDefault="009F2CE7" w:rsidP="000A5389">
      <w:pPr>
        <w:spacing w:line="240" w:lineRule="auto"/>
        <w:rPr>
          <w:rFonts w:cs="Times New Roman"/>
          <w:color w:val="EE0000"/>
          <w:szCs w:val="24"/>
        </w:rPr>
      </w:pPr>
    </w:p>
    <w:p w14:paraId="60148EED" w14:textId="77777777" w:rsidR="00CA0E31" w:rsidRPr="00951AB1" w:rsidRDefault="00CA0E31" w:rsidP="000A5389">
      <w:pPr>
        <w:spacing w:line="240" w:lineRule="auto"/>
        <w:rPr>
          <w:rFonts w:cs="Times New Roman"/>
          <w:szCs w:val="24"/>
        </w:rPr>
      </w:pPr>
      <w:r w:rsidRPr="00951AB1">
        <w:rPr>
          <w:rFonts w:cs="Times New Roman"/>
          <w:szCs w:val="24"/>
        </w:rPr>
        <w:t>Para el cierre de la vigencia 2025, la Agencia no registra en sus estados financieros inversiones derivadas de la ejecución de contratos de concesión en el modo aeroportuario. Esto obedece a lo establecido por la Contaduría General de la Nación en el radicado 20201000049391 del 14 de octubre de 2020, donde se determinó que la entidad concedente para fines contables es la Aeronáutica Civil, correspondiéndole a esta el registro contable de los hechos económicos asociados a los acuerdos de concesión de la infraestructura de transporte aeronáutico y aeroportuario.</w:t>
      </w:r>
    </w:p>
    <w:p w14:paraId="0FBBF6F0" w14:textId="77777777" w:rsidR="00CA0E31" w:rsidRPr="00951AB1" w:rsidRDefault="00CA0E31" w:rsidP="000A5389">
      <w:pPr>
        <w:spacing w:line="240" w:lineRule="auto"/>
        <w:rPr>
          <w:rFonts w:cs="Times New Roman"/>
          <w:color w:val="EE0000"/>
          <w:szCs w:val="24"/>
        </w:rPr>
      </w:pPr>
    </w:p>
    <w:p w14:paraId="38FD0AB0" w14:textId="77777777" w:rsidR="00CA0E31" w:rsidRPr="00951AB1" w:rsidRDefault="00CA0E31" w:rsidP="000A5389">
      <w:pPr>
        <w:spacing w:line="240" w:lineRule="auto"/>
        <w:rPr>
          <w:rFonts w:cs="Times New Roman"/>
          <w:szCs w:val="24"/>
        </w:rPr>
      </w:pPr>
      <w:r w:rsidRPr="00951AB1">
        <w:rPr>
          <w:rFonts w:cs="Times New Roman"/>
          <w:szCs w:val="24"/>
        </w:rPr>
        <w:t>Hacen parte de los bienes de uso público, las obras realizadas para la conservación de los tramos desafectados de la vía férrea en el corredor “Bogotá – Belencito”, con el fin de garantizar su mantenimiento y preservación, con respecto al corredor “La Dorada – Chiriguaná”, se indica que fue adjudicado en concesión en la vigencia 2025 contrato APP 001 de 2025.</w:t>
      </w:r>
    </w:p>
    <w:p w14:paraId="5E8FCFF0" w14:textId="77777777" w:rsidR="00CA0E31" w:rsidRPr="00951AB1" w:rsidRDefault="00CA0E31" w:rsidP="000A5389">
      <w:pPr>
        <w:spacing w:line="240" w:lineRule="auto"/>
        <w:rPr>
          <w:rFonts w:cs="Times New Roman"/>
          <w:szCs w:val="24"/>
        </w:rPr>
      </w:pPr>
    </w:p>
    <w:p w14:paraId="74A3190A" w14:textId="10BA5B9E" w:rsidR="009F2CE7" w:rsidRPr="00951AB1" w:rsidRDefault="00CA0E31" w:rsidP="000A5389">
      <w:pPr>
        <w:pStyle w:val="Ttulo2"/>
        <w:numPr>
          <w:ilvl w:val="1"/>
          <w:numId w:val="13"/>
        </w:numPr>
        <w:spacing w:line="240" w:lineRule="auto"/>
        <w:ind w:left="567" w:hanging="567"/>
        <w:rPr>
          <w:rFonts w:cs="Times New Roman"/>
          <w:color w:val="44546A" w:themeColor="text2"/>
          <w:szCs w:val="22"/>
        </w:rPr>
      </w:pPr>
      <w:bookmarkStart w:id="367" w:name="_Toc191369515"/>
      <w:bookmarkStart w:id="368" w:name="_Toc191456845"/>
      <w:bookmarkStart w:id="369" w:name="_Toc191456955"/>
      <w:bookmarkStart w:id="370" w:name="_Toc191457065"/>
      <w:bookmarkStart w:id="371" w:name="_Toc191475692"/>
      <w:bookmarkStart w:id="372" w:name="_Toc191475801"/>
      <w:bookmarkStart w:id="373" w:name="_Toc191475910"/>
      <w:bookmarkStart w:id="374" w:name="_Toc191475433"/>
      <w:bookmarkStart w:id="375" w:name="_Toc191562522"/>
      <w:r w:rsidRPr="00951AB1">
        <w:rPr>
          <w:rFonts w:cs="Times New Roman"/>
          <w:color w:val="44546A" w:themeColor="text2"/>
          <w:szCs w:val="22"/>
        </w:rPr>
        <w:lastRenderedPageBreak/>
        <w:t xml:space="preserve"> </w:t>
      </w:r>
      <w:r w:rsidRPr="00951AB1">
        <w:rPr>
          <w:rFonts w:cs="Times New Roman"/>
          <w:color w:val="44546A" w:themeColor="text2"/>
          <w:szCs w:val="22"/>
        </w:rPr>
        <w:tab/>
      </w:r>
      <w:bookmarkStart w:id="376" w:name="_Toc222955487"/>
      <w:r w:rsidR="009F2CE7" w:rsidRPr="00951AB1">
        <w:rPr>
          <w:rFonts w:cs="Times New Roman"/>
          <w:color w:val="44546A" w:themeColor="text2"/>
          <w:szCs w:val="22"/>
        </w:rPr>
        <w:t>Bienes de uso público (BUP)</w:t>
      </w:r>
      <w:bookmarkEnd w:id="367"/>
      <w:bookmarkEnd w:id="368"/>
      <w:bookmarkEnd w:id="369"/>
      <w:bookmarkEnd w:id="370"/>
      <w:bookmarkEnd w:id="371"/>
      <w:bookmarkEnd w:id="372"/>
      <w:bookmarkEnd w:id="373"/>
      <w:bookmarkEnd w:id="374"/>
      <w:bookmarkEnd w:id="375"/>
      <w:bookmarkEnd w:id="376"/>
    </w:p>
    <w:p w14:paraId="30048C25" w14:textId="77777777" w:rsidR="009F2CE7" w:rsidRPr="00951AB1" w:rsidRDefault="009F2CE7" w:rsidP="000A5389">
      <w:pPr>
        <w:spacing w:line="240" w:lineRule="auto"/>
        <w:rPr>
          <w:rFonts w:cs="Times New Roman"/>
          <w:szCs w:val="24"/>
        </w:rPr>
      </w:pPr>
    </w:p>
    <w:p w14:paraId="3981367E" w14:textId="6E72A7EC" w:rsidR="009F2CE7" w:rsidRPr="00951AB1" w:rsidRDefault="009F2CE7" w:rsidP="000A5389">
      <w:pPr>
        <w:spacing w:line="240" w:lineRule="auto"/>
        <w:rPr>
          <w:rFonts w:cs="Times New Roman"/>
          <w:szCs w:val="24"/>
        </w:rPr>
      </w:pPr>
      <w:r w:rsidRPr="00951AB1">
        <w:rPr>
          <w:rFonts w:cs="Times New Roman"/>
          <w:szCs w:val="24"/>
        </w:rPr>
        <w:t>En el siguiente cuadro se presenta el comportamiento de las cuentas de bienes de uso público durante el año 202</w:t>
      </w:r>
      <w:r w:rsidR="00F95BEE" w:rsidRPr="00951AB1">
        <w:rPr>
          <w:rFonts w:cs="Times New Roman"/>
          <w:szCs w:val="24"/>
        </w:rPr>
        <w:t>5</w:t>
      </w:r>
      <w:r w:rsidRPr="00951AB1">
        <w:rPr>
          <w:rFonts w:cs="Times New Roman"/>
          <w:szCs w:val="24"/>
        </w:rPr>
        <w:t>. Se incluyen las partidas correspondientes al valor en libros al inicio y al cierre del período contable, tanto de los bienes de uso público en servicio (relacionados con los contratos de obra en corredores férreos) como de los bienes de uso público en construcción y en servicio bajo concesiones.</w:t>
      </w:r>
    </w:p>
    <w:p w14:paraId="7E9F6625" w14:textId="77777777" w:rsidR="009F2CE7" w:rsidRPr="00951AB1" w:rsidRDefault="009F2CE7" w:rsidP="000A5389">
      <w:pPr>
        <w:spacing w:line="240" w:lineRule="auto"/>
        <w:rPr>
          <w:rFonts w:cs="Times New Roman"/>
          <w:szCs w:val="24"/>
        </w:rPr>
      </w:pPr>
      <w:r w:rsidRPr="00951AB1">
        <w:rPr>
          <w:rFonts w:cs="Times New Roman"/>
          <w:szCs w:val="24"/>
        </w:rPr>
        <w:t>El cuadro detalla, de manera desagregada, los siguientes conceptos para cada modo de transporte:</w:t>
      </w:r>
    </w:p>
    <w:p w14:paraId="441EA4CF" w14:textId="77777777" w:rsidR="009F2CE7" w:rsidRPr="00951AB1" w:rsidRDefault="009F2CE7" w:rsidP="000A5389">
      <w:pPr>
        <w:pStyle w:val="Prrafodelista"/>
        <w:spacing w:line="240" w:lineRule="auto"/>
        <w:rPr>
          <w:rFonts w:cs="Times New Roman"/>
          <w:szCs w:val="24"/>
        </w:rPr>
      </w:pPr>
    </w:p>
    <w:p w14:paraId="72D55C2D" w14:textId="77777777" w:rsidR="00CA0E31" w:rsidRPr="00951AB1" w:rsidRDefault="00CA0E31" w:rsidP="000A5389">
      <w:pPr>
        <w:pStyle w:val="Prrafodelista"/>
        <w:numPr>
          <w:ilvl w:val="0"/>
          <w:numId w:val="82"/>
        </w:numPr>
        <w:spacing w:line="240" w:lineRule="auto"/>
        <w:rPr>
          <w:rFonts w:cs="Times New Roman"/>
          <w:szCs w:val="24"/>
        </w:rPr>
      </w:pPr>
      <w:r w:rsidRPr="00951AB1">
        <w:rPr>
          <w:rFonts w:cs="Times New Roman"/>
          <w:szCs w:val="24"/>
        </w:rPr>
        <w:t>Otras entradas de bienes de uso público: actualizaciones de inversiones de los modos de transporte carretero, portuario y férreo e igualmente a los saldos incorporados remitidos por el INVÍAS.</w:t>
      </w:r>
    </w:p>
    <w:p w14:paraId="7E3E0CF3" w14:textId="77777777" w:rsidR="00CA0E31" w:rsidRPr="00951AB1" w:rsidRDefault="00CA0E31" w:rsidP="000A5389">
      <w:pPr>
        <w:pStyle w:val="Prrafodelista"/>
        <w:numPr>
          <w:ilvl w:val="0"/>
          <w:numId w:val="82"/>
        </w:numPr>
        <w:spacing w:line="240" w:lineRule="auto"/>
        <w:rPr>
          <w:rFonts w:cs="Times New Roman"/>
          <w:szCs w:val="24"/>
        </w:rPr>
      </w:pPr>
      <w:r w:rsidRPr="00951AB1">
        <w:rPr>
          <w:rFonts w:cs="Times New Roman"/>
          <w:szCs w:val="24"/>
        </w:rPr>
        <w:t>Otras entradas de bienes de uso público: reversión de activos al INVÍAS y reclasificación de activos del modo férreo contrato APP 001-2025 Concesión Línea Férrea Central S.A.S Corredor La Dorada - Chiriguana.</w:t>
      </w:r>
    </w:p>
    <w:p w14:paraId="2D83C7FB" w14:textId="77777777" w:rsidR="00CA0E31" w:rsidRPr="00951AB1" w:rsidRDefault="00CA0E31" w:rsidP="000A5389">
      <w:pPr>
        <w:pStyle w:val="Prrafodelista"/>
        <w:numPr>
          <w:ilvl w:val="0"/>
          <w:numId w:val="82"/>
        </w:numPr>
        <w:spacing w:line="240" w:lineRule="auto"/>
        <w:rPr>
          <w:rFonts w:cs="Times New Roman"/>
          <w:szCs w:val="24"/>
        </w:rPr>
      </w:pPr>
      <w:r w:rsidRPr="00951AB1">
        <w:rPr>
          <w:rFonts w:cs="Times New Roman"/>
          <w:szCs w:val="24"/>
        </w:rPr>
        <w:t xml:space="preserve">Cambios y mediciones: por traslados entre cuentas, materialización de riesgos. </w:t>
      </w:r>
    </w:p>
    <w:p w14:paraId="5D38D209" w14:textId="77777777" w:rsidR="009F2CE7" w:rsidRPr="00951AB1" w:rsidRDefault="009F2CE7" w:rsidP="000A5389">
      <w:pPr>
        <w:pStyle w:val="Prrafodelista"/>
        <w:numPr>
          <w:ilvl w:val="0"/>
          <w:numId w:val="82"/>
        </w:numPr>
        <w:spacing w:line="240" w:lineRule="auto"/>
        <w:rPr>
          <w:rFonts w:cs="Times New Roman"/>
          <w:szCs w:val="24"/>
        </w:rPr>
      </w:pPr>
      <w:r w:rsidRPr="00951AB1">
        <w:rPr>
          <w:rFonts w:cs="Times New Roman"/>
          <w:szCs w:val="24"/>
        </w:rPr>
        <w:t>Reclasificaciones: cambios de categoría dentro del registro contable.</w:t>
      </w:r>
    </w:p>
    <w:p w14:paraId="67DE7B75" w14:textId="77777777" w:rsidR="009F2CE7" w:rsidRPr="00951AB1" w:rsidRDefault="009F2CE7" w:rsidP="000A5389">
      <w:pPr>
        <w:pStyle w:val="Prrafodelista"/>
        <w:numPr>
          <w:ilvl w:val="0"/>
          <w:numId w:val="82"/>
        </w:numPr>
        <w:spacing w:line="240" w:lineRule="auto"/>
        <w:rPr>
          <w:rFonts w:cs="Times New Roman"/>
          <w:szCs w:val="24"/>
        </w:rPr>
      </w:pPr>
      <w:r w:rsidRPr="00951AB1">
        <w:rPr>
          <w:rFonts w:cs="Times New Roman"/>
          <w:szCs w:val="24"/>
        </w:rPr>
        <w:t>Valor de deterioro: ajustes por pérdida de valor en los activos.</w:t>
      </w:r>
    </w:p>
    <w:p w14:paraId="5D332FB0" w14:textId="77777777" w:rsidR="009F2CE7" w:rsidRPr="00951AB1" w:rsidRDefault="009F2CE7" w:rsidP="000A5389">
      <w:pPr>
        <w:pStyle w:val="Prrafodelista"/>
        <w:numPr>
          <w:ilvl w:val="0"/>
          <w:numId w:val="82"/>
        </w:numPr>
        <w:spacing w:line="240" w:lineRule="auto"/>
        <w:rPr>
          <w:rFonts w:cs="Times New Roman"/>
          <w:szCs w:val="24"/>
        </w:rPr>
      </w:pPr>
      <w:r w:rsidRPr="00951AB1">
        <w:rPr>
          <w:rFonts w:cs="Times New Roman"/>
          <w:szCs w:val="24"/>
        </w:rPr>
        <w:t>Depreciación: amortización del valor de los bienes a lo largo del tiempo.</w:t>
      </w:r>
    </w:p>
    <w:p w14:paraId="6A81F9C5" w14:textId="77777777" w:rsidR="00CA0E31" w:rsidRPr="00951AB1" w:rsidRDefault="00CA0E31" w:rsidP="000A5389">
      <w:pPr>
        <w:pStyle w:val="Prrafodelista"/>
        <w:spacing w:line="240" w:lineRule="auto"/>
        <w:rPr>
          <w:rFonts w:cs="Times New Roman"/>
          <w:color w:val="EE0000"/>
          <w:szCs w:val="24"/>
        </w:rPr>
      </w:pPr>
    </w:p>
    <w:p w14:paraId="1757FA3F" w14:textId="77777777" w:rsidR="00CA0E31" w:rsidRPr="00951AB1" w:rsidRDefault="00CA0E31" w:rsidP="000A5389">
      <w:pPr>
        <w:pStyle w:val="Prrafodelista"/>
        <w:spacing w:line="240" w:lineRule="auto"/>
        <w:ind w:left="0"/>
        <w:rPr>
          <w:rFonts w:cs="Times New Roman"/>
          <w:szCs w:val="24"/>
        </w:rPr>
      </w:pPr>
      <w:r w:rsidRPr="00951AB1">
        <w:rPr>
          <w:rFonts w:cs="Times New Roman"/>
          <w:szCs w:val="24"/>
        </w:rPr>
        <w:t xml:space="preserve">En el siguiente cuadro se presentan detalles adicionales sobre las cuentas y su impacto en la gestión de la infraestructura de transporte. </w:t>
      </w:r>
    </w:p>
    <w:p w14:paraId="25280A25" w14:textId="77777777" w:rsidR="00CA0E31" w:rsidRPr="00951AB1" w:rsidRDefault="00CA0E31" w:rsidP="000A5389">
      <w:pPr>
        <w:pStyle w:val="Prrafodelista"/>
        <w:spacing w:line="240" w:lineRule="auto"/>
        <w:ind w:left="0"/>
        <w:rPr>
          <w:rFonts w:cs="Times New Roman"/>
          <w:sz w:val="20"/>
          <w:szCs w:val="20"/>
          <w:lang w:eastAsia="es-CO"/>
        </w:rPr>
      </w:pPr>
      <w:r w:rsidRPr="00951AB1">
        <w:rPr>
          <w:rFonts w:cs="Times New Roman"/>
          <w:sz w:val="22"/>
        </w:rPr>
        <w:fldChar w:fldCharType="begin"/>
      </w:r>
      <w:r w:rsidRPr="00951AB1">
        <w:rPr>
          <w:rFonts w:cs="Times New Roman"/>
        </w:rPr>
        <w:instrText xml:space="preserve"> LINK Excel.Sheet.12 "C:\\Users\\wolarte\\Documents\\0-Ani2025\\0_Cierre2025\\Nota_11\\Anexo N_11 - Bienes Uso público, histór y culturales.XLSX" "11.1!F83C2:F140C13" \a \f 4 \h  \* MERGEFORMAT </w:instrText>
      </w:r>
      <w:r w:rsidRPr="00951AB1">
        <w:rPr>
          <w:rFonts w:cs="Times New Roman"/>
          <w:sz w:val="22"/>
        </w:rPr>
        <w:fldChar w:fldCharType="separate"/>
      </w:r>
    </w:p>
    <w:tbl>
      <w:tblPr>
        <w:tblW w:w="5000" w:type="pct"/>
        <w:tblLayout w:type="fixed"/>
        <w:tblCellMar>
          <w:left w:w="70" w:type="dxa"/>
          <w:right w:w="70" w:type="dxa"/>
        </w:tblCellMar>
        <w:tblLook w:val="04A0" w:firstRow="1" w:lastRow="0" w:firstColumn="1" w:lastColumn="0" w:noHBand="0" w:noVBand="1"/>
      </w:tblPr>
      <w:tblGrid>
        <w:gridCol w:w="231"/>
        <w:gridCol w:w="180"/>
        <w:gridCol w:w="162"/>
        <w:gridCol w:w="1930"/>
        <w:gridCol w:w="1525"/>
        <w:gridCol w:w="1614"/>
        <w:gridCol w:w="1457"/>
        <w:gridCol w:w="1729"/>
      </w:tblGrid>
      <w:tr w:rsidR="00CA0E31" w:rsidRPr="00951AB1" w14:paraId="55F25467" w14:textId="77777777" w:rsidTr="001D0619">
        <w:trPr>
          <w:cantSplit/>
          <w:trHeight w:val="560"/>
          <w:tblHeader/>
        </w:trPr>
        <w:tc>
          <w:tcPr>
            <w:tcW w:w="1418" w:type="pct"/>
            <w:gridSpan w:val="4"/>
            <w:vMerge w:val="restart"/>
            <w:tcBorders>
              <w:top w:val="single" w:sz="4" w:space="0" w:color="A6A6A6"/>
              <w:left w:val="single" w:sz="4" w:space="0" w:color="A6A6A6"/>
              <w:bottom w:val="single" w:sz="4" w:space="0" w:color="A6A6A6"/>
              <w:right w:val="single" w:sz="4" w:space="0" w:color="A6A6A6"/>
            </w:tcBorders>
            <w:vAlign w:val="center"/>
            <w:hideMark/>
          </w:tcPr>
          <w:p w14:paraId="0C19FD52" w14:textId="77777777" w:rsidR="00CA0E31" w:rsidRPr="00520A6E" w:rsidRDefault="00CA0E31" w:rsidP="000A5389">
            <w:pPr>
              <w:spacing w:line="240" w:lineRule="auto"/>
              <w:jc w:val="center"/>
              <w:rPr>
                <w:rFonts w:eastAsia="Times New Roman" w:cs="Times New Roman"/>
                <w:b/>
                <w:bCs/>
                <w:sz w:val="16"/>
                <w:szCs w:val="16"/>
                <w:lang w:val="es-419" w:eastAsia="es-419"/>
              </w:rPr>
            </w:pPr>
            <w:r w:rsidRPr="00520A6E">
              <w:rPr>
                <w:rFonts w:eastAsia="Times New Roman" w:cs="Times New Roman"/>
                <w:b/>
                <w:bCs/>
                <w:sz w:val="16"/>
                <w:szCs w:val="16"/>
                <w:lang w:val="es-419" w:eastAsia="es-419"/>
              </w:rPr>
              <w:t>CONCEPTOS Y TRANSACCIONES</w:t>
            </w:r>
          </w:p>
        </w:tc>
        <w:tc>
          <w:tcPr>
            <w:tcW w:w="1778" w:type="pct"/>
            <w:gridSpan w:val="2"/>
            <w:tcBorders>
              <w:top w:val="single" w:sz="4" w:space="0" w:color="A6A6A6"/>
              <w:left w:val="nil"/>
              <w:bottom w:val="single" w:sz="4" w:space="0" w:color="A6A6A6"/>
              <w:right w:val="single" w:sz="4" w:space="0" w:color="A6A6A6"/>
            </w:tcBorders>
            <w:vAlign w:val="center"/>
            <w:hideMark/>
          </w:tcPr>
          <w:p w14:paraId="5C17D807" w14:textId="77777777" w:rsidR="00CA0E31" w:rsidRPr="00520A6E" w:rsidRDefault="00CA0E31" w:rsidP="000A5389">
            <w:pPr>
              <w:spacing w:line="240" w:lineRule="auto"/>
              <w:jc w:val="center"/>
              <w:rPr>
                <w:rFonts w:eastAsia="Times New Roman" w:cs="Times New Roman"/>
                <w:b/>
                <w:bCs/>
                <w:sz w:val="16"/>
                <w:szCs w:val="16"/>
                <w:lang w:val="es-419" w:eastAsia="es-419"/>
              </w:rPr>
            </w:pPr>
            <w:r w:rsidRPr="00520A6E">
              <w:rPr>
                <w:rFonts w:eastAsia="Times New Roman" w:cs="Times New Roman"/>
                <w:b/>
                <w:bCs/>
                <w:sz w:val="16"/>
                <w:szCs w:val="16"/>
                <w:lang w:val="es-419" w:eastAsia="es-419"/>
              </w:rPr>
              <w:t>CONCESIONES</w:t>
            </w:r>
          </w:p>
        </w:tc>
        <w:tc>
          <w:tcPr>
            <w:tcW w:w="825" w:type="pct"/>
            <w:tcBorders>
              <w:top w:val="single" w:sz="4" w:space="0" w:color="A6A6A6"/>
              <w:left w:val="nil"/>
              <w:bottom w:val="nil"/>
              <w:right w:val="single" w:sz="4" w:space="0" w:color="A6A6A6"/>
            </w:tcBorders>
            <w:vAlign w:val="center"/>
            <w:hideMark/>
          </w:tcPr>
          <w:p w14:paraId="19C768F3" w14:textId="77777777" w:rsidR="00CA0E31" w:rsidRPr="00520A6E" w:rsidRDefault="00CA0E31" w:rsidP="000A5389">
            <w:pPr>
              <w:spacing w:line="240" w:lineRule="auto"/>
              <w:jc w:val="center"/>
              <w:rPr>
                <w:rFonts w:eastAsia="Times New Roman" w:cs="Times New Roman"/>
                <w:b/>
                <w:bCs/>
                <w:sz w:val="16"/>
                <w:szCs w:val="16"/>
                <w:lang w:val="es-419" w:eastAsia="es-419"/>
              </w:rPr>
            </w:pPr>
            <w:r w:rsidRPr="00520A6E">
              <w:rPr>
                <w:rFonts w:eastAsia="Times New Roman" w:cs="Times New Roman"/>
                <w:b/>
                <w:bCs/>
                <w:sz w:val="16"/>
                <w:szCs w:val="16"/>
                <w:lang w:val="es-419" w:eastAsia="es-419"/>
              </w:rPr>
              <w:t>EN CONSTRUCCIÓN / EN SERVICIO</w:t>
            </w:r>
          </w:p>
        </w:tc>
        <w:tc>
          <w:tcPr>
            <w:tcW w:w="979" w:type="pct"/>
            <w:vMerge w:val="restart"/>
            <w:tcBorders>
              <w:top w:val="single" w:sz="4" w:space="0" w:color="A6A6A6"/>
              <w:left w:val="single" w:sz="4" w:space="0" w:color="A6A6A6"/>
              <w:bottom w:val="single" w:sz="4" w:space="0" w:color="A6A6A6"/>
              <w:right w:val="single" w:sz="4" w:space="0" w:color="A6A6A6"/>
            </w:tcBorders>
            <w:vAlign w:val="center"/>
            <w:hideMark/>
          </w:tcPr>
          <w:p w14:paraId="1211F50B" w14:textId="77777777" w:rsidR="00CA0E31" w:rsidRPr="00520A6E" w:rsidRDefault="00CA0E31" w:rsidP="000A5389">
            <w:pPr>
              <w:spacing w:line="240" w:lineRule="auto"/>
              <w:jc w:val="center"/>
              <w:rPr>
                <w:rFonts w:eastAsia="Times New Roman" w:cs="Times New Roman"/>
                <w:b/>
                <w:bCs/>
                <w:sz w:val="16"/>
                <w:szCs w:val="16"/>
                <w:lang w:val="es-419" w:eastAsia="es-419"/>
              </w:rPr>
            </w:pPr>
            <w:r w:rsidRPr="00520A6E">
              <w:rPr>
                <w:rFonts w:eastAsia="Times New Roman" w:cs="Times New Roman"/>
                <w:b/>
                <w:bCs/>
                <w:sz w:val="16"/>
                <w:szCs w:val="16"/>
                <w:lang w:val="es-419" w:eastAsia="es-419"/>
              </w:rPr>
              <w:t>TOTAL</w:t>
            </w:r>
          </w:p>
        </w:tc>
      </w:tr>
      <w:tr w:rsidR="00CA0E31" w:rsidRPr="00951AB1" w14:paraId="754C618C" w14:textId="77777777" w:rsidTr="001D0619">
        <w:trPr>
          <w:cantSplit/>
          <w:trHeight w:val="262"/>
        </w:trPr>
        <w:tc>
          <w:tcPr>
            <w:tcW w:w="1418" w:type="pct"/>
            <w:gridSpan w:val="4"/>
            <w:vMerge/>
            <w:tcBorders>
              <w:top w:val="single" w:sz="4" w:space="0" w:color="A6A6A6"/>
              <w:left w:val="single" w:sz="4" w:space="0" w:color="A6A6A6"/>
              <w:bottom w:val="single" w:sz="4" w:space="0" w:color="A6A6A6"/>
              <w:right w:val="single" w:sz="4" w:space="0" w:color="A6A6A6"/>
            </w:tcBorders>
            <w:vAlign w:val="center"/>
            <w:hideMark/>
          </w:tcPr>
          <w:p w14:paraId="4C9CD01B" w14:textId="77777777" w:rsidR="00CA0E31" w:rsidRPr="00520A6E" w:rsidRDefault="00CA0E31" w:rsidP="000A5389">
            <w:pPr>
              <w:spacing w:line="240" w:lineRule="auto"/>
              <w:rPr>
                <w:rFonts w:eastAsia="Times New Roman" w:cs="Times New Roman"/>
                <w:b/>
                <w:bCs/>
                <w:sz w:val="16"/>
                <w:szCs w:val="16"/>
                <w:lang w:val="es-419" w:eastAsia="es-419"/>
              </w:rPr>
            </w:pPr>
          </w:p>
        </w:tc>
        <w:tc>
          <w:tcPr>
            <w:tcW w:w="864" w:type="pct"/>
            <w:tcBorders>
              <w:top w:val="nil"/>
              <w:left w:val="nil"/>
              <w:bottom w:val="single" w:sz="4" w:space="0" w:color="A6A6A6"/>
              <w:right w:val="single" w:sz="4" w:space="0" w:color="A6A6A6"/>
            </w:tcBorders>
            <w:vAlign w:val="center"/>
            <w:hideMark/>
          </w:tcPr>
          <w:p w14:paraId="36E869BC" w14:textId="77777777" w:rsidR="00CA0E31" w:rsidRPr="00520A6E" w:rsidRDefault="00CA0E31" w:rsidP="000A5389">
            <w:pPr>
              <w:spacing w:line="240" w:lineRule="auto"/>
              <w:jc w:val="center"/>
              <w:rPr>
                <w:rFonts w:eastAsia="Times New Roman" w:cs="Times New Roman"/>
                <w:b/>
                <w:bCs/>
                <w:sz w:val="16"/>
                <w:szCs w:val="16"/>
                <w:lang w:val="es-419" w:eastAsia="es-419"/>
              </w:rPr>
            </w:pPr>
            <w:r w:rsidRPr="00520A6E">
              <w:rPr>
                <w:rFonts w:eastAsia="Times New Roman" w:cs="Times New Roman"/>
                <w:b/>
                <w:bCs/>
                <w:sz w:val="16"/>
                <w:szCs w:val="16"/>
                <w:lang w:val="es-419" w:eastAsia="es-419"/>
              </w:rPr>
              <w:t>BUP EN SERVICIO</w:t>
            </w:r>
          </w:p>
        </w:tc>
        <w:tc>
          <w:tcPr>
            <w:tcW w:w="914" w:type="pct"/>
            <w:tcBorders>
              <w:top w:val="nil"/>
              <w:left w:val="nil"/>
              <w:bottom w:val="single" w:sz="4" w:space="0" w:color="A6A6A6"/>
              <w:right w:val="single" w:sz="4" w:space="0" w:color="A6A6A6"/>
            </w:tcBorders>
            <w:vAlign w:val="center"/>
            <w:hideMark/>
          </w:tcPr>
          <w:p w14:paraId="0D2D278B" w14:textId="77777777" w:rsidR="00CA0E31" w:rsidRPr="00520A6E" w:rsidRDefault="00CA0E31" w:rsidP="000A5389">
            <w:pPr>
              <w:spacing w:line="240" w:lineRule="auto"/>
              <w:jc w:val="center"/>
              <w:rPr>
                <w:rFonts w:eastAsia="Times New Roman" w:cs="Times New Roman"/>
                <w:b/>
                <w:bCs/>
                <w:sz w:val="16"/>
                <w:szCs w:val="16"/>
                <w:lang w:val="es-419" w:eastAsia="es-419"/>
              </w:rPr>
            </w:pPr>
            <w:r w:rsidRPr="00520A6E">
              <w:rPr>
                <w:rFonts w:eastAsia="Times New Roman" w:cs="Times New Roman"/>
                <w:b/>
                <w:bCs/>
                <w:sz w:val="16"/>
                <w:szCs w:val="16"/>
                <w:lang w:val="es-419" w:eastAsia="es-419"/>
              </w:rPr>
              <w:t>BUP EN CONSTRUCCIÓN</w:t>
            </w:r>
          </w:p>
        </w:tc>
        <w:tc>
          <w:tcPr>
            <w:tcW w:w="825" w:type="pct"/>
            <w:tcBorders>
              <w:top w:val="nil"/>
              <w:left w:val="nil"/>
              <w:bottom w:val="single" w:sz="4" w:space="0" w:color="A6A6A6"/>
              <w:right w:val="single" w:sz="4" w:space="0" w:color="A6A6A6"/>
            </w:tcBorders>
            <w:vAlign w:val="center"/>
            <w:hideMark/>
          </w:tcPr>
          <w:p w14:paraId="1852B599" w14:textId="77777777" w:rsidR="00CA0E31" w:rsidRPr="00520A6E" w:rsidRDefault="00CA0E31" w:rsidP="000A5389">
            <w:pPr>
              <w:spacing w:line="240" w:lineRule="auto"/>
              <w:jc w:val="center"/>
              <w:rPr>
                <w:rFonts w:eastAsia="Times New Roman" w:cs="Times New Roman"/>
                <w:b/>
                <w:bCs/>
                <w:sz w:val="16"/>
                <w:szCs w:val="16"/>
                <w:lang w:val="es-419" w:eastAsia="es-419"/>
              </w:rPr>
            </w:pPr>
            <w:r w:rsidRPr="00520A6E">
              <w:rPr>
                <w:rFonts w:eastAsia="Times New Roman" w:cs="Times New Roman"/>
                <w:b/>
                <w:bCs/>
                <w:sz w:val="16"/>
                <w:szCs w:val="16"/>
                <w:lang w:val="es-419" w:eastAsia="es-419"/>
              </w:rPr>
              <w:t>BUP EN SERVICIO</w:t>
            </w:r>
          </w:p>
        </w:tc>
        <w:tc>
          <w:tcPr>
            <w:tcW w:w="979" w:type="pct"/>
            <w:vMerge/>
            <w:tcBorders>
              <w:top w:val="single" w:sz="4" w:space="0" w:color="A6A6A6"/>
              <w:left w:val="single" w:sz="4" w:space="0" w:color="A6A6A6"/>
              <w:bottom w:val="single" w:sz="4" w:space="0" w:color="A6A6A6"/>
              <w:right w:val="single" w:sz="4" w:space="0" w:color="A6A6A6"/>
            </w:tcBorders>
            <w:vAlign w:val="center"/>
            <w:hideMark/>
          </w:tcPr>
          <w:p w14:paraId="380D679A" w14:textId="77777777" w:rsidR="00CA0E31" w:rsidRPr="00520A6E" w:rsidRDefault="00CA0E31" w:rsidP="000A5389">
            <w:pPr>
              <w:spacing w:line="240" w:lineRule="auto"/>
              <w:rPr>
                <w:rFonts w:eastAsia="Times New Roman" w:cs="Times New Roman"/>
                <w:b/>
                <w:bCs/>
                <w:sz w:val="16"/>
                <w:szCs w:val="16"/>
                <w:lang w:val="es-419" w:eastAsia="es-419"/>
              </w:rPr>
            </w:pPr>
          </w:p>
        </w:tc>
      </w:tr>
      <w:tr w:rsidR="00CA0E31" w:rsidRPr="00951AB1" w14:paraId="3BF4AD51" w14:textId="77777777" w:rsidTr="001D0619">
        <w:trPr>
          <w:cantSplit/>
          <w:trHeight w:val="290"/>
        </w:trPr>
        <w:tc>
          <w:tcPr>
            <w:tcW w:w="1418" w:type="pct"/>
            <w:gridSpan w:val="4"/>
            <w:tcBorders>
              <w:top w:val="single" w:sz="4" w:space="0" w:color="A6A6A6"/>
              <w:left w:val="single" w:sz="4" w:space="0" w:color="A6A6A6"/>
              <w:bottom w:val="single" w:sz="4" w:space="0" w:color="A6A6A6"/>
              <w:right w:val="single" w:sz="4" w:space="0" w:color="A6A6A6"/>
            </w:tcBorders>
            <w:vAlign w:val="center"/>
            <w:hideMark/>
          </w:tcPr>
          <w:p w14:paraId="0E473990" w14:textId="77777777" w:rsidR="00CA0E31" w:rsidRPr="00520A6E" w:rsidRDefault="00CA0E31" w:rsidP="000A5389">
            <w:pPr>
              <w:spacing w:line="240" w:lineRule="auto"/>
              <w:rPr>
                <w:rFonts w:eastAsia="Times New Roman" w:cs="Times New Roman"/>
                <w:b/>
                <w:bCs/>
                <w:sz w:val="16"/>
                <w:szCs w:val="16"/>
                <w:lang w:val="es-419" w:eastAsia="es-419"/>
              </w:rPr>
            </w:pPr>
            <w:r w:rsidRPr="00520A6E">
              <w:rPr>
                <w:rFonts w:eastAsia="Times New Roman" w:cs="Times New Roman"/>
                <w:b/>
                <w:bCs/>
                <w:sz w:val="16"/>
                <w:szCs w:val="16"/>
                <w:lang w:val="es-419" w:eastAsia="es-419"/>
              </w:rPr>
              <w:t>SALDO INICIAL</w:t>
            </w:r>
          </w:p>
        </w:tc>
        <w:tc>
          <w:tcPr>
            <w:tcW w:w="864" w:type="pct"/>
            <w:tcBorders>
              <w:top w:val="nil"/>
              <w:left w:val="nil"/>
              <w:bottom w:val="single" w:sz="4" w:space="0" w:color="A6A6A6"/>
              <w:right w:val="single" w:sz="4" w:space="0" w:color="A6A6A6"/>
            </w:tcBorders>
            <w:noWrap/>
            <w:vAlign w:val="center"/>
            <w:hideMark/>
          </w:tcPr>
          <w:p w14:paraId="5D780CF9" w14:textId="77777777" w:rsidR="00CA0E31" w:rsidRPr="00520A6E" w:rsidRDefault="00CA0E31" w:rsidP="000A5389">
            <w:pPr>
              <w:spacing w:line="240" w:lineRule="auto"/>
              <w:jc w:val="right"/>
              <w:rPr>
                <w:rFonts w:eastAsia="Times New Roman" w:cs="Times New Roman"/>
                <w:b/>
                <w:bCs/>
                <w:color w:val="000000"/>
                <w:sz w:val="16"/>
                <w:szCs w:val="16"/>
                <w:lang w:val="es-419" w:eastAsia="es-419"/>
              </w:rPr>
            </w:pPr>
            <w:r w:rsidRPr="00520A6E">
              <w:rPr>
                <w:rFonts w:eastAsia="Times New Roman" w:cs="Times New Roman"/>
                <w:b/>
                <w:bCs/>
                <w:color w:val="000000"/>
                <w:sz w:val="16"/>
                <w:szCs w:val="16"/>
                <w:lang w:val="es-419" w:eastAsia="es-419"/>
              </w:rPr>
              <w:t xml:space="preserve">26.106.560.049.082 </w:t>
            </w:r>
          </w:p>
        </w:tc>
        <w:tc>
          <w:tcPr>
            <w:tcW w:w="914" w:type="pct"/>
            <w:tcBorders>
              <w:top w:val="nil"/>
              <w:left w:val="nil"/>
              <w:bottom w:val="single" w:sz="4" w:space="0" w:color="A6A6A6"/>
              <w:right w:val="single" w:sz="4" w:space="0" w:color="A6A6A6"/>
            </w:tcBorders>
            <w:noWrap/>
            <w:vAlign w:val="center"/>
            <w:hideMark/>
          </w:tcPr>
          <w:p w14:paraId="6196871E" w14:textId="77777777" w:rsidR="00CA0E31" w:rsidRPr="00520A6E" w:rsidRDefault="00CA0E31" w:rsidP="000A5389">
            <w:pPr>
              <w:spacing w:line="240" w:lineRule="auto"/>
              <w:jc w:val="right"/>
              <w:rPr>
                <w:rFonts w:eastAsia="Times New Roman" w:cs="Times New Roman"/>
                <w:b/>
                <w:bCs/>
                <w:color w:val="000000"/>
                <w:sz w:val="16"/>
                <w:szCs w:val="16"/>
                <w:lang w:val="es-419" w:eastAsia="es-419"/>
              </w:rPr>
            </w:pPr>
            <w:r w:rsidRPr="00520A6E">
              <w:rPr>
                <w:rFonts w:eastAsia="Times New Roman" w:cs="Times New Roman"/>
                <w:b/>
                <w:bCs/>
                <w:color w:val="000000"/>
                <w:sz w:val="16"/>
                <w:szCs w:val="16"/>
                <w:lang w:val="es-419" w:eastAsia="es-419"/>
              </w:rPr>
              <w:t xml:space="preserve">43.848.173.460.513 </w:t>
            </w:r>
          </w:p>
        </w:tc>
        <w:tc>
          <w:tcPr>
            <w:tcW w:w="825" w:type="pct"/>
            <w:tcBorders>
              <w:top w:val="nil"/>
              <w:left w:val="nil"/>
              <w:bottom w:val="single" w:sz="4" w:space="0" w:color="A6A6A6"/>
              <w:right w:val="single" w:sz="4" w:space="0" w:color="A6A6A6"/>
            </w:tcBorders>
            <w:noWrap/>
            <w:vAlign w:val="center"/>
            <w:hideMark/>
          </w:tcPr>
          <w:p w14:paraId="66CA81DB" w14:textId="77777777" w:rsidR="00CA0E31" w:rsidRPr="00520A6E" w:rsidRDefault="00CA0E31" w:rsidP="000A5389">
            <w:pPr>
              <w:spacing w:line="240" w:lineRule="auto"/>
              <w:jc w:val="right"/>
              <w:rPr>
                <w:rFonts w:eastAsia="Times New Roman" w:cs="Times New Roman"/>
                <w:b/>
                <w:bCs/>
                <w:color w:val="000000"/>
                <w:sz w:val="16"/>
                <w:szCs w:val="16"/>
                <w:lang w:val="es-419" w:eastAsia="es-419"/>
              </w:rPr>
            </w:pPr>
            <w:r w:rsidRPr="00520A6E">
              <w:rPr>
                <w:rFonts w:eastAsia="Times New Roman" w:cs="Times New Roman"/>
                <w:b/>
                <w:bCs/>
                <w:color w:val="000000"/>
                <w:sz w:val="16"/>
                <w:szCs w:val="16"/>
                <w:lang w:val="es-419" w:eastAsia="es-419"/>
              </w:rPr>
              <w:t xml:space="preserve">1.915.896.908.408 </w:t>
            </w:r>
          </w:p>
        </w:tc>
        <w:tc>
          <w:tcPr>
            <w:tcW w:w="979" w:type="pct"/>
            <w:tcBorders>
              <w:top w:val="nil"/>
              <w:left w:val="nil"/>
              <w:bottom w:val="single" w:sz="4" w:space="0" w:color="A6A6A6"/>
              <w:right w:val="single" w:sz="4" w:space="0" w:color="A6A6A6"/>
            </w:tcBorders>
            <w:noWrap/>
            <w:vAlign w:val="center"/>
            <w:hideMark/>
          </w:tcPr>
          <w:p w14:paraId="01E4A759" w14:textId="77777777" w:rsidR="00CA0E31" w:rsidRPr="00520A6E" w:rsidRDefault="00CA0E31" w:rsidP="000A5389">
            <w:pPr>
              <w:spacing w:line="240" w:lineRule="auto"/>
              <w:jc w:val="right"/>
              <w:rPr>
                <w:rFonts w:eastAsia="Times New Roman" w:cs="Times New Roman"/>
                <w:b/>
                <w:bCs/>
                <w:color w:val="000000"/>
                <w:sz w:val="16"/>
                <w:szCs w:val="16"/>
                <w:lang w:val="es-419" w:eastAsia="es-419"/>
              </w:rPr>
            </w:pPr>
            <w:r w:rsidRPr="00520A6E">
              <w:rPr>
                <w:rFonts w:eastAsia="Times New Roman" w:cs="Times New Roman"/>
                <w:b/>
                <w:bCs/>
                <w:color w:val="000000"/>
                <w:sz w:val="16"/>
                <w:szCs w:val="16"/>
                <w:lang w:val="es-419" w:eastAsia="es-419"/>
              </w:rPr>
              <w:t xml:space="preserve">71.870.630.418.003 </w:t>
            </w:r>
          </w:p>
        </w:tc>
      </w:tr>
      <w:tr w:rsidR="001D0619" w:rsidRPr="00951AB1" w14:paraId="5B1DE38E" w14:textId="77777777" w:rsidTr="001D0619">
        <w:trPr>
          <w:cantSplit/>
          <w:trHeight w:val="290"/>
        </w:trPr>
        <w:tc>
          <w:tcPr>
            <w:tcW w:w="131" w:type="pct"/>
            <w:tcBorders>
              <w:top w:val="nil"/>
              <w:left w:val="single" w:sz="4" w:space="0" w:color="A6A6A6"/>
              <w:bottom w:val="single" w:sz="4" w:space="0" w:color="A6A6A6"/>
              <w:right w:val="nil"/>
            </w:tcBorders>
            <w:noWrap/>
            <w:vAlign w:val="center"/>
            <w:hideMark/>
          </w:tcPr>
          <w:p w14:paraId="34A9C7CF" w14:textId="77777777" w:rsidR="00CA0E31" w:rsidRPr="00520A6E" w:rsidRDefault="00CA0E31" w:rsidP="000A5389">
            <w:pPr>
              <w:spacing w:line="240" w:lineRule="auto"/>
              <w:jc w:val="center"/>
              <w:rPr>
                <w:rFonts w:eastAsia="Times New Roman" w:cs="Times New Roman"/>
                <w:b/>
                <w:bCs/>
                <w:sz w:val="16"/>
                <w:szCs w:val="16"/>
                <w:lang w:val="es-419" w:eastAsia="es-419"/>
              </w:rPr>
            </w:pPr>
            <w:r w:rsidRPr="00520A6E">
              <w:rPr>
                <w:rFonts w:eastAsia="Times New Roman" w:cs="Times New Roman"/>
                <w:b/>
                <w:bCs/>
                <w:sz w:val="16"/>
                <w:szCs w:val="16"/>
                <w:lang w:val="es-419" w:eastAsia="es-419"/>
              </w:rPr>
              <w:t>+</w:t>
            </w:r>
          </w:p>
        </w:tc>
        <w:tc>
          <w:tcPr>
            <w:tcW w:w="1287" w:type="pct"/>
            <w:gridSpan w:val="3"/>
            <w:tcBorders>
              <w:top w:val="single" w:sz="4" w:space="0" w:color="A6A6A6"/>
              <w:left w:val="nil"/>
              <w:bottom w:val="single" w:sz="4" w:space="0" w:color="A6A6A6"/>
              <w:right w:val="single" w:sz="4" w:space="0" w:color="A6A6A6"/>
            </w:tcBorders>
            <w:vAlign w:val="center"/>
            <w:hideMark/>
          </w:tcPr>
          <w:p w14:paraId="70631056" w14:textId="77777777" w:rsidR="00CA0E31" w:rsidRPr="00520A6E" w:rsidRDefault="00CA0E31" w:rsidP="000A5389">
            <w:pPr>
              <w:spacing w:line="240" w:lineRule="auto"/>
              <w:rPr>
                <w:rFonts w:eastAsia="Times New Roman" w:cs="Times New Roman"/>
                <w:b/>
                <w:bCs/>
                <w:sz w:val="16"/>
                <w:szCs w:val="16"/>
                <w:lang w:val="es-419" w:eastAsia="es-419"/>
              </w:rPr>
            </w:pPr>
            <w:r w:rsidRPr="00520A6E">
              <w:rPr>
                <w:rFonts w:eastAsia="Times New Roman" w:cs="Times New Roman"/>
                <w:b/>
                <w:bCs/>
                <w:sz w:val="16"/>
                <w:szCs w:val="16"/>
                <w:lang w:val="es-419" w:eastAsia="es-419"/>
              </w:rPr>
              <w:t>ENTRADAS (DB):</w:t>
            </w:r>
          </w:p>
        </w:tc>
        <w:tc>
          <w:tcPr>
            <w:tcW w:w="864" w:type="pct"/>
            <w:tcBorders>
              <w:top w:val="nil"/>
              <w:left w:val="nil"/>
              <w:bottom w:val="single" w:sz="4" w:space="0" w:color="A6A6A6"/>
              <w:right w:val="single" w:sz="4" w:space="0" w:color="A6A6A6"/>
            </w:tcBorders>
            <w:noWrap/>
            <w:vAlign w:val="center"/>
            <w:hideMark/>
          </w:tcPr>
          <w:p w14:paraId="23769FAA" w14:textId="77777777" w:rsidR="00CA0E31" w:rsidRPr="00520A6E" w:rsidRDefault="00CA0E31" w:rsidP="000A5389">
            <w:pPr>
              <w:spacing w:line="240" w:lineRule="auto"/>
              <w:jc w:val="right"/>
              <w:rPr>
                <w:rFonts w:eastAsia="Times New Roman" w:cs="Times New Roman"/>
                <w:b/>
                <w:bCs/>
                <w:color w:val="000000"/>
                <w:sz w:val="16"/>
                <w:szCs w:val="16"/>
                <w:lang w:val="es-419" w:eastAsia="es-419"/>
              </w:rPr>
            </w:pPr>
            <w:r w:rsidRPr="00520A6E">
              <w:rPr>
                <w:rFonts w:eastAsia="Times New Roman" w:cs="Times New Roman"/>
                <w:b/>
                <w:bCs/>
                <w:color w:val="000000"/>
                <w:sz w:val="16"/>
                <w:szCs w:val="16"/>
                <w:lang w:val="es-419" w:eastAsia="es-419"/>
              </w:rPr>
              <w:t xml:space="preserve">1.932.915.824.497 </w:t>
            </w:r>
          </w:p>
        </w:tc>
        <w:tc>
          <w:tcPr>
            <w:tcW w:w="914" w:type="pct"/>
            <w:tcBorders>
              <w:top w:val="nil"/>
              <w:left w:val="nil"/>
              <w:bottom w:val="single" w:sz="4" w:space="0" w:color="A6A6A6"/>
              <w:right w:val="single" w:sz="4" w:space="0" w:color="A6A6A6"/>
            </w:tcBorders>
            <w:noWrap/>
            <w:vAlign w:val="center"/>
            <w:hideMark/>
          </w:tcPr>
          <w:p w14:paraId="18D8104E" w14:textId="77777777" w:rsidR="00CA0E31" w:rsidRPr="00520A6E" w:rsidRDefault="00CA0E31" w:rsidP="000A5389">
            <w:pPr>
              <w:spacing w:line="240" w:lineRule="auto"/>
              <w:jc w:val="right"/>
              <w:rPr>
                <w:rFonts w:eastAsia="Times New Roman" w:cs="Times New Roman"/>
                <w:b/>
                <w:bCs/>
                <w:color w:val="000000"/>
                <w:sz w:val="16"/>
                <w:szCs w:val="16"/>
                <w:lang w:val="es-419" w:eastAsia="es-419"/>
              </w:rPr>
            </w:pPr>
            <w:r w:rsidRPr="00520A6E">
              <w:rPr>
                <w:rFonts w:eastAsia="Times New Roman" w:cs="Times New Roman"/>
                <w:b/>
                <w:bCs/>
                <w:color w:val="000000"/>
                <w:sz w:val="16"/>
                <w:szCs w:val="16"/>
                <w:lang w:val="es-419" w:eastAsia="es-419"/>
              </w:rPr>
              <w:t xml:space="preserve">10.171.590.140.447 </w:t>
            </w:r>
          </w:p>
        </w:tc>
        <w:tc>
          <w:tcPr>
            <w:tcW w:w="825" w:type="pct"/>
            <w:tcBorders>
              <w:top w:val="nil"/>
              <w:left w:val="nil"/>
              <w:bottom w:val="single" w:sz="4" w:space="0" w:color="A6A6A6"/>
              <w:right w:val="single" w:sz="4" w:space="0" w:color="A6A6A6"/>
            </w:tcBorders>
            <w:noWrap/>
            <w:vAlign w:val="center"/>
            <w:hideMark/>
          </w:tcPr>
          <w:p w14:paraId="33F6481E" w14:textId="77777777" w:rsidR="00CA0E31" w:rsidRPr="00520A6E" w:rsidRDefault="00CA0E31" w:rsidP="000A5389">
            <w:pPr>
              <w:spacing w:line="240" w:lineRule="auto"/>
              <w:jc w:val="right"/>
              <w:rPr>
                <w:rFonts w:eastAsia="Times New Roman" w:cs="Times New Roman"/>
                <w:b/>
                <w:bCs/>
                <w:color w:val="000000"/>
                <w:sz w:val="16"/>
                <w:szCs w:val="16"/>
                <w:lang w:val="es-419" w:eastAsia="es-419"/>
              </w:rPr>
            </w:pPr>
            <w:r w:rsidRPr="00520A6E">
              <w:rPr>
                <w:rFonts w:eastAsia="Times New Roman" w:cs="Times New Roman"/>
                <w:b/>
                <w:bCs/>
                <w:color w:val="000000"/>
                <w:sz w:val="16"/>
                <w:szCs w:val="16"/>
                <w:lang w:val="es-419" w:eastAsia="es-419"/>
              </w:rPr>
              <w:t xml:space="preserve">8.333.766.731 </w:t>
            </w:r>
          </w:p>
        </w:tc>
        <w:tc>
          <w:tcPr>
            <w:tcW w:w="979" w:type="pct"/>
            <w:tcBorders>
              <w:top w:val="nil"/>
              <w:left w:val="nil"/>
              <w:bottom w:val="single" w:sz="4" w:space="0" w:color="A6A6A6"/>
              <w:right w:val="single" w:sz="4" w:space="0" w:color="A6A6A6"/>
            </w:tcBorders>
            <w:noWrap/>
            <w:vAlign w:val="center"/>
            <w:hideMark/>
          </w:tcPr>
          <w:p w14:paraId="0A398131" w14:textId="77777777" w:rsidR="00CA0E31" w:rsidRPr="00520A6E" w:rsidRDefault="00CA0E31" w:rsidP="000A5389">
            <w:pPr>
              <w:spacing w:line="240" w:lineRule="auto"/>
              <w:jc w:val="right"/>
              <w:rPr>
                <w:rFonts w:eastAsia="Times New Roman" w:cs="Times New Roman"/>
                <w:b/>
                <w:bCs/>
                <w:color w:val="000000"/>
                <w:sz w:val="16"/>
                <w:szCs w:val="16"/>
                <w:lang w:val="es-419" w:eastAsia="es-419"/>
              </w:rPr>
            </w:pPr>
            <w:r w:rsidRPr="00520A6E">
              <w:rPr>
                <w:rFonts w:eastAsia="Times New Roman" w:cs="Times New Roman"/>
                <w:b/>
                <w:bCs/>
                <w:color w:val="000000"/>
                <w:sz w:val="16"/>
                <w:szCs w:val="16"/>
                <w:lang w:val="es-419" w:eastAsia="es-419"/>
              </w:rPr>
              <w:t xml:space="preserve">12.112.839.731.675 </w:t>
            </w:r>
          </w:p>
        </w:tc>
      </w:tr>
      <w:tr w:rsidR="001D0619" w:rsidRPr="00951AB1" w14:paraId="4E90730A" w14:textId="77777777" w:rsidTr="001D0619">
        <w:trPr>
          <w:cantSplit/>
          <w:trHeight w:val="290"/>
        </w:trPr>
        <w:tc>
          <w:tcPr>
            <w:tcW w:w="131" w:type="pct"/>
            <w:tcBorders>
              <w:top w:val="nil"/>
              <w:left w:val="single" w:sz="4" w:space="0" w:color="A6A6A6"/>
              <w:bottom w:val="single" w:sz="4" w:space="0" w:color="A6A6A6"/>
              <w:right w:val="nil"/>
            </w:tcBorders>
            <w:noWrap/>
            <w:vAlign w:val="center"/>
            <w:hideMark/>
          </w:tcPr>
          <w:p w14:paraId="24AFA59D" w14:textId="77777777" w:rsidR="00CA0E31" w:rsidRPr="00520A6E" w:rsidRDefault="00CA0E31" w:rsidP="000A5389">
            <w:pPr>
              <w:spacing w:line="240" w:lineRule="auto"/>
              <w:rPr>
                <w:rFonts w:eastAsia="Times New Roman" w:cs="Times New Roman"/>
                <w:sz w:val="16"/>
                <w:szCs w:val="16"/>
                <w:lang w:val="es-419" w:eastAsia="es-419"/>
              </w:rPr>
            </w:pPr>
            <w:r w:rsidRPr="00520A6E">
              <w:rPr>
                <w:rFonts w:eastAsia="Times New Roman" w:cs="Times New Roman"/>
                <w:sz w:val="16"/>
                <w:szCs w:val="16"/>
                <w:lang w:val="es-419" w:eastAsia="es-419"/>
              </w:rPr>
              <w:t> </w:t>
            </w:r>
          </w:p>
        </w:tc>
        <w:tc>
          <w:tcPr>
            <w:tcW w:w="102" w:type="pct"/>
            <w:tcBorders>
              <w:top w:val="nil"/>
              <w:left w:val="nil"/>
              <w:bottom w:val="single" w:sz="4" w:space="0" w:color="A6A6A6"/>
              <w:right w:val="nil"/>
            </w:tcBorders>
            <w:noWrap/>
            <w:vAlign w:val="center"/>
            <w:hideMark/>
          </w:tcPr>
          <w:p w14:paraId="01714883" w14:textId="77777777" w:rsidR="00CA0E31" w:rsidRPr="00520A6E" w:rsidRDefault="00CA0E31" w:rsidP="000A5389">
            <w:pPr>
              <w:spacing w:line="240" w:lineRule="auto"/>
              <w:rPr>
                <w:rFonts w:eastAsia="Times New Roman" w:cs="Times New Roman"/>
                <w:sz w:val="16"/>
                <w:szCs w:val="16"/>
                <w:lang w:val="es-419" w:eastAsia="es-419"/>
              </w:rPr>
            </w:pPr>
            <w:r w:rsidRPr="00520A6E">
              <w:rPr>
                <w:rFonts w:eastAsia="Times New Roman" w:cs="Times New Roman"/>
                <w:sz w:val="16"/>
                <w:szCs w:val="16"/>
                <w:lang w:val="es-419" w:eastAsia="es-419"/>
              </w:rPr>
              <w:t> </w:t>
            </w:r>
          </w:p>
        </w:tc>
        <w:tc>
          <w:tcPr>
            <w:tcW w:w="1185" w:type="pct"/>
            <w:gridSpan w:val="2"/>
            <w:tcBorders>
              <w:top w:val="single" w:sz="4" w:space="0" w:color="A6A6A6"/>
              <w:left w:val="nil"/>
              <w:bottom w:val="single" w:sz="4" w:space="0" w:color="A6A6A6"/>
              <w:right w:val="single" w:sz="4" w:space="0" w:color="A6A6A6"/>
            </w:tcBorders>
            <w:noWrap/>
            <w:vAlign w:val="center"/>
            <w:hideMark/>
          </w:tcPr>
          <w:p w14:paraId="71F78036" w14:textId="77777777" w:rsidR="00CA0E31" w:rsidRPr="00520A6E" w:rsidRDefault="00CA0E31" w:rsidP="000A5389">
            <w:pPr>
              <w:spacing w:line="240" w:lineRule="auto"/>
              <w:rPr>
                <w:rFonts w:eastAsia="Times New Roman" w:cs="Times New Roman"/>
                <w:sz w:val="16"/>
                <w:szCs w:val="16"/>
                <w:lang w:val="es-419" w:eastAsia="es-419"/>
              </w:rPr>
            </w:pPr>
            <w:r w:rsidRPr="00520A6E">
              <w:rPr>
                <w:rFonts w:eastAsia="Times New Roman" w:cs="Times New Roman"/>
                <w:sz w:val="16"/>
                <w:szCs w:val="16"/>
                <w:lang w:val="es-419" w:eastAsia="es-419"/>
              </w:rPr>
              <w:t>Otras entradas de Bup</w:t>
            </w:r>
          </w:p>
        </w:tc>
        <w:tc>
          <w:tcPr>
            <w:tcW w:w="864" w:type="pct"/>
            <w:tcBorders>
              <w:top w:val="nil"/>
              <w:left w:val="nil"/>
              <w:bottom w:val="single" w:sz="4" w:space="0" w:color="A6A6A6"/>
              <w:right w:val="single" w:sz="4" w:space="0" w:color="A6A6A6"/>
            </w:tcBorders>
            <w:noWrap/>
            <w:vAlign w:val="center"/>
            <w:hideMark/>
          </w:tcPr>
          <w:p w14:paraId="3EFE816B" w14:textId="77777777" w:rsidR="00CA0E31" w:rsidRPr="00520A6E" w:rsidRDefault="00CA0E31" w:rsidP="000A5389">
            <w:pPr>
              <w:spacing w:line="240" w:lineRule="auto"/>
              <w:jc w:val="right"/>
              <w:rPr>
                <w:rFonts w:eastAsia="Times New Roman" w:cs="Times New Roman"/>
                <w:color w:val="000000"/>
                <w:sz w:val="16"/>
                <w:szCs w:val="16"/>
                <w:lang w:val="es-419" w:eastAsia="es-419"/>
              </w:rPr>
            </w:pPr>
            <w:r w:rsidRPr="00520A6E">
              <w:rPr>
                <w:rFonts w:eastAsia="Times New Roman" w:cs="Times New Roman"/>
                <w:color w:val="000000"/>
                <w:sz w:val="16"/>
                <w:szCs w:val="16"/>
                <w:lang w:val="es-419" w:eastAsia="es-419"/>
              </w:rPr>
              <w:t xml:space="preserve">1.932.915.824.497 </w:t>
            </w:r>
          </w:p>
        </w:tc>
        <w:tc>
          <w:tcPr>
            <w:tcW w:w="914" w:type="pct"/>
            <w:tcBorders>
              <w:top w:val="nil"/>
              <w:left w:val="nil"/>
              <w:bottom w:val="single" w:sz="4" w:space="0" w:color="A6A6A6"/>
              <w:right w:val="single" w:sz="4" w:space="0" w:color="A6A6A6"/>
            </w:tcBorders>
            <w:noWrap/>
            <w:vAlign w:val="center"/>
            <w:hideMark/>
          </w:tcPr>
          <w:p w14:paraId="44B7B72B" w14:textId="77777777" w:rsidR="00CA0E31" w:rsidRPr="00520A6E" w:rsidRDefault="00CA0E31" w:rsidP="000A5389">
            <w:pPr>
              <w:spacing w:line="240" w:lineRule="auto"/>
              <w:jc w:val="right"/>
              <w:rPr>
                <w:rFonts w:eastAsia="Times New Roman" w:cs="Times New Roman"/>
                <w:color w:val="000000"/>
                <w:sz w:val="16"/>
                <w:szCs w:val="16"/>
                <w:lang w:val="es-419" w:eastAsia="es-419"/>
              </w:rPr>
            </w:pPr>
            <w:r w:rsidRPr="00520A6E">
              <w:rPr>
                <w:rFonts w:eastAsia="Times New Roman" w:cs="Times New Roman"/>
                <w:color w:val="000000"/>
                <w:sz w:val="16"/>
                <w:szCs w:val="16"/>
                <w:lang w:val="es-419" w:eastAsia="es-419"/>
              </w:rPr>
              <w:t xml:space="preserve">10.171.590.140.447 </w:t>
            </w:r>
          </w:p>
        </w:tc>
        <w:tc>
          <w:tcPr>
            <w:tcW w:w="825" w:type="pct"/>
            <w:tcBorders>
              <w:top w:val="nil"/>
              <w:left w:val="nil"/>
              <w:bottom w:val="single" w:sz="4" w:space="0" w:color="A6A6A6"/>
              <w:right w:val="single" w:sz="4" w:space="0" w:color="A6A6A6"/>
            </w:tcBorders>
            <w:noWrap/>
            <w:vAlign w:val="center"/>
            <w:hideMark/>
          </w:tcPr>
          <w:p w14:paraId="56FAC988" w14:textId="77777777" w:rsidR="00CA0E31" w:rsidRPr="00520A6E" w:rsidRDefault="00CA0E31" w:rsidP="000A5389">
            <w:pPr>
              <w:spacing w:line="240" w:lineRule="auto"/>
              <w:jc w:val="right"/>
              <w:rPr>
                <w:rFonts w:eastAsia="Times New Roman" w:cs="Times New Roman"/>
                <w:color w:val="000000"/>
                <w:sz w:val="16"/>
                <w:szCs w:val="16"/>
                <w:lang w:val="es-419" w:eastAsia="es-419"/>
              </w:rPr>
            </w:pPr>
            <w:r w:rsidRPr="00520A6E">
              <w:rPr>
                <w:rFonts w:eastAsia="Times New Roman" w:cs="Times New Roman"/>
                <w:color w:val="000000"/>
                <w:sz w:val="16"/>
                <w:szCs w:val="16"/>
                <w:lang w:val="es-419" w:eastAsia="es-419"/>
              </w:rPr>
              <w:t xml:space="preserve">8.333.766.731 </w:t>
            </w:r>
          </w:p>
        </w:tc>
        <w:tc>
          <w:tcPr>
            <w:tcW w:w="979" w:type="pct"/>
            <w:tcBorders>
              <w:top w:val="nil"/>
              <w:left w:val="nil"/>
              <w:bottom w:val="single" w:sz="4" w:space="0" w:color="A6A6A6"/>
              <w:right w:val="single" w:sz="4" w:space="0" w:color="A6A6A6"/>
            </w:tcBorders>
            <w:noWrap/>
            <w:vAlign w:val="center"/>
            <w:hideMark/>
          </w:tcPr>
          <w:p w14:paraId="6E12493C" w14:textId="77777777" w:rsidR="00CA0E31" w:rsidRPr="00520A6E" w:rsidRDefault="00CA0E31" w:rsidP="000A5389">
            <w:pPr>
              <w:spacing w:line="240" w:lineRule="auto"/>
              <w:jc w:val="right"/>
              <w:rPr>
                <w:rFonts w:eastAsia="Times New Roman" w:cs="Times New Roman"/>
                <w:color w:val="000000"/>
                <w:sz w:val="16"/>
                <w:szCs w:val="16"/>
                <w:lang w:val="es-419" w:eastAsia="es-419"/>
              </w:rPr>
            </w:pPr>
            <w:r w:rsidRPr="00520A6E">
              <w:rPr>
                <w:rFonts w:eastAsia="Times New Roman" w:cs="Times New Roman"/>
                <w:color w:val="000000"/>
                <w:sz w:val="16"/>
                <w:szCs w:val="16"/>
                <w:lang w:val="es-419" w:eastAsia="es-419"/>
              </w:rPr>
              <w:t xml:space="preserve">12.112.839.731.675 </w:t>
            </w:r>
          </w:p>
        </w:tc>
      </w:tr>
      <w:tr w:rsidR="001D0619" w:rsidRPr="00951AB1" w14:paraId="1451D5E2" w14:textId="77777777" w:rsidTr="001D0619">
        <w:trPr>
          <w:cantSplit/>
          <w:trHeight w:val="290"/>
        </w:trPr>
        <w:tc>
          <w:tcPr>
            <w:tcW w:w="131" w:type="pct"/>
            <w:tcBorders>
              <w:top w:val="nil"/>
              <w:left w:val="single" w:sz="4" w:space="0" w:color="A6A6A6"/>
              <w:bottom w:val="single" w:sz="4" w:space="0" w:color="A6A6A6"/>
              <w:right w:val="nil"/>
            </w:tcBorders>
            <w:noWrap/>
            <w:vAlign w:val="center"/>
            <w:hideMark/>
          </w:tcPr>
          <w:p w14:paraId="169A245F" w14:textId="77777777" w:rsidR="00CA0E31" w:rsidRPr="00520A6E" w:rsidRDefault="00CA0E31" w:rsidP="000A5389">
            <w:pPr>
              <w:spacing w:line="240" w:lineRule="auto"/>
              <w:rPr>
                <w:rFonts w:eastAsia="Times New Roman" w:cs="Times New Roman"/>
                <w:sz w:val="16"/>
                <w:szCs w:val="16"/>
                <w:lang w:val="es-419" w:eastAsia="es-419"/>
              </w:rPr>
            </w:pPr>
            <w:r w:rsidRPr="00520A6E">
              <w:rPr>
                <w:rFonts w:eastAsia="Times New Roman" w:cs="Times New Roman"/>
                <w:sz w:val="16"/>
                <w:szCs w:val="16"/>
                <w:lang w:val="es-419" w:eastAsia="es-419"/>
              </w:rPr>
              <w:t> </w:t>
            </w:r>
          </w:p>
        </w:tc>
        <w:tc>
          <w:tcPr>
            <w:tcW w:w="102" w:type="pct"/>
            <w:tcBorders>
              <w:top w:val="nil"/>
              <w:left w:val="nil"/>
              <w:bottom w:val="single" w:sz="4" w:space="0" w:color="A6A6A6"/>
              <w:right w:val="nil"/>
            </w:tcBorders>
            <w:noWrap/>
            <w:vAlign w:val="center"/>
            <w:hideMark/>
          </w:tcPr>
          <w:p w14:paraId="32720CE8" w14:textId="77777777" w:rsidR="00CA0E31" w:rsidRPr="00520A6E" w:rsidRDefault="00CA0E31" w:rsidP="000A5389">
            <w:pPr>
              <w:spacing w:line="240" w:lineRule="auto"/>
              <w:rPr>
                <w:rFonts w:eastAsia="Times New Roman" w:cs="Times New Roman"/>
                <w:sz w:val="16"/>
                <w:szCs w:val="16"/>
                <w:lang w:val="es-419" w:eastAsia="es-419"/>
              </w:rPr>
            </w:pPr>
            <w:r w:rsidRPr="00520A6E">
              <w:rPr>
                <w:rFonts w:eastAsia="Times New Roman" w:cs="Times New Roman"/>
                <w:sz w:val="16"/>
                <w:szCs w:val="16"/>
                <w:lang w:val="es-419" w:eastAsia="es-419"/>
              </w:rPr>
              <w:t> </w:t>
            </w:r>
          </w:p>
        </w:tc>
        <w:tc>
          <w:tcPr>
            <w:tcW w:w="92" w:type="pct"/>
            <w:tcBorders>
              <w:top w:val="nil"/>
              <w:left w:val="nil"/>
              <w:bottom w:val="single" w:sz="4" w:space="0" w:color="A6A6A6"/>
              <w:right w:val="nil"/>
            </w:tcBorders>
            <w:noWrap/>
            <w:vAlign w:val="center"/>
            <w:hideMark/>
          </w:tcPr>
          <w:p w14:paraId="5C65E331" w14:textId="77777777" w:rsidR="00CA0E31" w:rsidRPr="00520A6E" w:rsidRDefault="00CA0E31" w:rsidP="000A5389">
            <w:pPr>
              <w:spacing w:line="240" w:lineRule="auto"/>
              <w:rPr>
                <w:rFonts w:eastAsia="Times New Roman" w:cs="Times New Roman"/>
                <w:sz w:val="16"/>
                <w:szCs w:val="16"/>
                <w:lang w:val="es-419" w:eastAsia="es-419"/>
              </w:rPr>
            </w:pPr>
            <w:r w:rsidRPr="00520A6E">
              <w:rPr>
                <w:rFonts w:eastAsia="Times New Roman" w:cs="Times New Roman"/>
                <w:sz w:val="16"/>
                <w:szCs w:val="16"/>
                <w:lang w:val="es-419" w:eastAsia="es-419"/>
              </w:rPr>
              <w:t> </w:t>
            </w:r>
          </w:p>
        </w:tc>
        <w:tc>
          <w:tcPr>
            <w:tcW w:w="1093" w:type="pct"/>
            <w:tcBorders>
              <w:top w:val="nil"/>
              <w:left w:val="nil"/>
              <w:bottom w:val="single" w:sz="4" w:space="0" w:color="A6A6A6"/>
              <w:right w:val="single" w:sz="4" w:space="0" w:color="A6A6A6"/>
            </w:tcBorders>
            <w:vAlign w:val="center"/>
            <w:hideMark/>
          </w:tcPr>
          <w:p w14:paraId="4BC9B082" w14:textId="77777777" w:rsidR="00CA0E31" w:rsidRPr="00520A6E" w:rsidRDefault="00CA0E31" w:rsidP="000A5389">
            <w:pPr>
              <w:spacing w:line="240" w:lineRule="auto"/>
              <w:rPr>
                <w:rFonts w:eastAsia="Times New Roman" w:cs="Times New Roman"/>
                <w:sz w:val="16"/>
                <w:szCs w:val="16"/>
                <w:lang w:val="es-419" w:eastAsia="es-419"/>
              </w:rPr>
            </w:pPr>
            <w:r w:rsidRPr="00520A6E">
              <w:rPr>
                <w:rFonts w:eastAsia="Times New Roman" w:cs="Times New Roman"/>
                <w:sz w:val="16"/>
                <w:szCs w:val="16"/>
                <w:lang w:val="es-419" w:eastAsia="es-419"/>
              </w:rPr>
              <w:t>* Activos asociados al Modo Carretero</w:t>
            </w:r>
          </w:p>
        </w:tc>
        <w:tc>
          <w:tcPr>
            <w:tcW w:w="864" w:type="pct"/>
            <w:tcBorders>
              <w:top w:val="nil"/>
              <w:left w:val="nil"/>
              <w:bottom w:val="single" w:sz="4" w:space="0" w:color="A6A6A6"/>
              <w:right w:val="single" w:sz="4" w:space="0" w:color="A6A6A6"/>
            </w:tcBorders>
            <w:noWrap/>
            <w:vAlign w:val="center"/>
            <w:hideMark/>
          </w:tcPr>
          <w:p w14:paraId="13853FAC" w14:textId="77777777" w:rsidR="00CA0E31" w:rsidRPr="00520A6E" w:rsidRDefault="00CA0E31" w:rsidP="000A5389">
            <w:pPr>
              <w:spacing w:line="240" w:lineRule="auto"/>
              <w:jc w:val="right"/>
              <w:rPr>
                <w:rFonts w:eastAsia="Times New Roman" w:cs="Times New Roman"/>
                <w:color w:val="000000"/>
                <w:sz w:val="16"/>
                <w:szCs w:val="16"/>
                <w:lang w:val="es-419" w:eastAsia="es-419"/>
              </w:rPr>
            </w:pPr>
            <w:r w:rsidRPr="00520A6E">
              <w:rPr>
                <w:rFonts w:eastAsia="Times New Roman" w:cs="Times New Roman"/>
                <w:color w:val="000000"/>
                <w:sz w:val="16"/>
                <w:szCs w:val="16"/>
                <w:lang w:val="es-419" w:eastAsia="es-419"/>
              </w:rPr>
              <w:t xml:space="preserve">778.266.219.904 </w:t>
            </w:r>
          </w:p>
        </w:tc>
        <w:tc>
          <w:tcPr>
            <w:tcW w:w="914" w:type="pct"/>
            <w:tcBorders>
              <w:top w:val="nil"/>
              <w:left w:val="nil"/>
              <w:bottom w:val="single" w:sz="4" w:space="0" w:color="A6A6A6"/>
              <w:right w:val="single" w:sz="4" w:space="0" w:color="A6A6A6"/>
            </w:tcBorders>
            <w:noWrap/>
            <w:vAlign w:val="center"/>
            <w:hideMark/>
          </w:tcPr>
          <w:p w14:paraId="79E87828" w14:textId="77777777" w:rsidR="00CA0E31" w:rsidRPr="00520A6E" w:rsidRDefault="00CA0E31" w:rsidP="000A5389">
            <w:pPr>
              <w:spacing w:line="240" w:lineRule="auto"/>
              <w:jc w:val="right"/>
              <w:rPr>
                <w:rFonts w:eastAsia="Times New Roman" w:cs="Times New Roman"/>
                <w:color w:val="000000"/>
                <w:sz w:val="16"/>
                <w:szCs w:val="16"/>
                <w:lang w:val="es-419" w:eastAsia="es-419"/>
              </w:rPr>
            </w:pPr>
            <w:r w:rsidRPr="00520A6E">
              <w:rPr>
                <w:rFonts w:eastAsia="Times New Roman" w:cs="Times New Roman"/>
                <w:color w:val="000000"/>
                <w:sz w:val="16"/>
                <w:szCs w:val="16"/>
                <w:lang w:val="es-419" w:eastAsia="es-419"/>
              </w:rPr>
              <w:t xml:space="preserve">5.443.657.673.708 </w:t>
            </w:r>
          </w:p>
        </w:tc>
        <w:tc>
          <w:tcPr>
            <w:tcW w:w="825" w:type="pct"/>
            <w:tcBorders>
              <w:top w:val="nil"/>
              <w:left w:val="nil"/>
              <w:bottom w:val="single" w:sz="4" w:space="0" w:color="A6A6A6"/>
              <w:right w:val="single" w:sz="4" w:space="0" w:color="A6A6A6"/>
            </w:tcBorders>
            <w:noWrap/>
            <w:vAlign w:val="center"/>
            <w:hideMark/>
          </w:tcPr>
          <w:p w14:paraId="66568C17" w14:textId="77777777" w:rsidR="00CA0E31" w:rsidRPr="00520A6E" w:rsidRDefault="00CA0E31" w:rsidP="000A5389">
            <w:pPr>
              <w:spacing w:line="240" w:lineRule="auto"/>
              <w:jc w:val="right"/>
              <w:rPr>
                <w:rFonts w:eastAsia="Times New Roman" w:cs="Times New Roman"/>
                <w:color w:val="000000"/>
                <w:sz w:val="16"/>
                <w:szCs w:val="16"/>
                <w:lang w:val="es-419" w:eastAsia="es-419"/>
              </w:rPr>
            </w:pPr>
            <w:r w:rsidRPr="00520A6E">
              <w:rPr>
                <w:rFonts w:eastAsia="Times New Roman" w:cs="Times New Roman"/>
                <w:color w:val="000000"/>
                <w:sz w:val="16"/>
                <w:szCs w:val="16"/>
                <w:lang w:val="es-419" w:eastAsia="es-419"/>
              </w:rPr>
              <w:t xml:space="preserve">0 </w:t>
            </w:r>
          </w:p>
        </w:tc>
        <w:tc>
          <w:tcPr>
            <w:tcW w:w="979" w:type="pct"/>
            <w:tcBorders>
              <w:top w:val="nil"/>
              <w:left w:val="nil"/>
              <w:bottom w:val="single" w:sz="4" w:space="0" w:color="A6A6A6"/>
              <w:right w:val="single" w:sz="4" w:space="0" w:color="A6A6A6"/>
            </w:tcBorders>
            <w:noWrap/>
            <w:vAlign w:val="center"/>
            <w:hideMark/>
          </w:tcPr>
          <w:p w14:paraId="21494E69" w14:textId="77777777" w:rsidR="00CA0E31" w:rsidRPr="00520A6E" w:rsidRDefault="00CA0E31" w:rsidP="000A5389">
            <w:pPr>
              <w:spacing w:line="240" w:lineRule="auto"/>
              <w:jc w:val="right"/>
              <w:rPr>
                <w:rFonts w:eastAsia="Times New Roman" w:cs="Times New Roman"/>
                <w:color w:val="000000"/>
                <w:sz w:val="16"/>
                <w:szCs w:val="16"/>
                <w:lang w:val="es-419" w:eastAsia="es-419"/>
              </w:rPr>
            </w:pPr>
            <w:r w:rsidRPr="00520A6E">
              <w:rPr>
                <w:rFonts w:eastAsia="Times New Roman" w:cs="Times New Roman"/>
                <w:color w:val="000000"/>
                <w:sz w:val="16"/>
                <w:szCs w:val="16"/>
                <w:lang w:val="es-419" w:eastAsia="es-419"/>
              </w:rPr>
              <w:t xml:space="preserve">6.221.923.893.612 </w:t>
            </w:r>
          </w:p>
        </w:tc>
      </w:tr>
      <w:tr w:rsidR="001D0619" w:rsidRPr="00951AB1" w14:paraId="28C78E7A" w14:textId="77777777" w:rsidTr="001D0619">
        <w:trPr>
          <w:cantSplit/>
          <w:trHeight w:val="290"/>
        </w:trPr>
        <w:tc>
          <w:tcPr>
            <w:tcW w:w="131" w:type="pct"/>
            <w:tcBorders>
              <w:top w:val="nil"/>
              <w:left w:val="single" w:sz="4" w:space="0" w:color="A6A6A6"/>
              <w:bottom w:val="single" w:sz="4" w:space="0" w:color="A6A6A6"/>
              <w:right w:val="nil"/>
            </w:tcBorders>
            <w:noWrap/>
            <w:vAlign w:val="center"/>
            <w:hideMark/>
          </w:tcPr>
          <w:p w14:paraId="2286FA5F" w14:textId="77777777" w:rsidR="00CA0E31" w:rsidRPr="00520A6E" w:rsidRDefault="00CA0E31" w:rsidP="000A5389">
            <w:pPr>
              <w:spacing w:line="240" w:lineRule="auto"/>
              <w:rPr>
                <w:rFonts w:eastAsia="Times New Roman" w:cs="Times New Roman"/>
                <w:sz w:val="16"/>
                <w:szCs w:val="16"/>
                <w:lang w:val="es-419" w:eastAsia="es-419"/>
              </w:rPr>
            </w:pPr>
            <w:r w:rsidRPr="00520A6E">
              <w:rPr>
                <w:rFonts w:eastAsia="Times New Roman" w:cs="Times New Roman"/>
                <w:sz w:val="16"/>
                <w:szCs w:val="16"/>
                <w:lang w:val="es-419" w:eastAsia="es-419"/>
              </w:rPr>
              <w:t> </w:t>
            </w:r>
          </w:p>
        </w:tc>
        <w:tc>
          <w:tcPr>
            <w:tcW w:w="102" w:type="pct"/>
            <w:tcBorders>
              <w:top w:val="nil"/>
              <w:left w:val="nil"/>
              <w:bottom w:val="single" w:sz="4" w:space="0" w:color="A6A6A6"/>
              <w:right w:val="nil"/>
            </w:tcBorders>
            <w:noWrap/>
            <w:vAlign w:val="center"/>
            <w:hideMark/>
          </w:tcPr>
          <w:p w14:paraId="2F3FDBFD" w14:textId="77777777" w:rsidR="00CA0E31" w:rsidRPr="00520A6E" w:rsidRDefault="00CA0E31" w:rsidP="000A5389">
            <w:pPr>
              <w:spacing w:line="240" w:lineRule="auto"/>
              <w:rPr>
                <w:rFonts w:eastAsia="Times New Roman" w:cs="Times New Roman"/>
                <w:sz w:val="16"/>
                <w:szCs w:val="16"/>
                <w:lang w:val="es-419" w:eastAsia="es-419"/>
              </w:rPr>
            </w:pPr>
            <w:r w:rsidRPr="00520A6E">
              <w:rPr>
                <w:rFonts w:eastAsia="Times New Roman" w:cs="Times New Roman"/>
                <w:sz w:val="16"/>
                <w:szCs w:val="16"/>
                <w:lang w:val="es-419" w:eastAsia="es-419"/>
              </w:rPr>
              <w:t> </w:t>
            </w:r>
          </w:p>
        </w:tc>
        <w:tc>
          <w:tcPr>
            <w:tcW w:w="92" w:type="pct"/>
            <w:tcBorders>
              <w:top w:val="nil"/>
              <w:left w:val="nil"/>
              <w:bottom w:val="single" w:sz="4" w:space="0" w:color="A6A6A6"/>
              <w:right w:val="nil"/>
            </w:tcBorders>
            <w:noWrap/>
            <w:vAlign w:val="center"/>
            <w:hideMark/>
          </w:tcPr>
          <w:p w14:paraId="3FE74BB5" w14:textId="77777777" w:rsidR="00CA0E31" w:rsidRPr="00520A6E" w:rsidRDefault="00CA0E31" w:rsidP="000A5389">
            <w:pPr>
              <w:spacing w:line="240" w:lineRule="auto"/>
              <w:rPr>
                <w:rFonts w:eastAsia="Times New Roman" w:cs="Times New Roman"/>
                <w:sz w:val="16"/>
                <w:szCs w:val="16"/>
                <w:lang w:val="es-419" w:eastAsia="es-419"/>
              </w:rPr>
            </w:pPr>
            <w:r w:rsidRPr="00520A6E">
              <w:rPr>
                <w:rFonts w:eastAsia="Times New Roman" w:cs="Times New Roman"/>
                <w:sz w:val="16"/>
                <w:szCs w:val="16"/>
                <w:lang w:val="es-419" w:eastAsia="es-419"/>
              </w:rPr>
              <w:t> </w:t>
            </w:r>
          </w:p>
        </w:tc>
        <w:tc>
          <w:tcPr>
            <w:tcW w:w="1093" w:type="pct"/>
            <w:tcBorders>
              <w:top w:val="nil"/>
              <w:left w:val="nil"/>
              <w:bottom w:val="single" w:sz="4" w:space="0" w:color="A6A6A6"/>
              <w:right w:val="single" w:sz="4" w:space="0" w:color="A6A6A6"/>
            </w:tcBorders>
            <w:vAlign w:val="center"/>
            <w:hideMark/>
          </w:tcPr>
          <w:p w14:paraId="27502D95" w14:textId="77777777" w:rsidR="00CA0E31" w:rsidRPr="00520A6E" w:rsidRDefault="00CA0E31" w:rsidP="000A5389">
            <w:pPr>
              <w:spacing w:line="240" w:lineRule="auto"/>
              <w:rPr>
                <w:rFonts w:eastAsia="Times New Roman" w:cs="Times New Roman"/>
                <w:sz w:val="16"/>
                <w:szCs w:val="16"/>
                <w:lang w:val="es-419" w:eastAsia="es-419"/>
              </w:rPr>
            </w:pPr>
            <w:r w:rsidRPr="00520A6E">
              <w:rPr>
                <w:rFonts w:eastAsia="Times New Roman" w:cs="Times New Roman"/>
                <w:sz w:val="16"/>
                <w:szCs w:val="16"/>
                <w:lang w:val="es-419" w:eastAsia="es-419"/>
              </w:rPr>
              <w:t>* Activos Modo Carretero (Traslado Invias)</w:t>
            </w:r>
          </w:p>
        </w:tc>
        <w:tc>
          <w:tcPr>
            <w:tcW w:w="864" w:type="pct"/>
            <w:tcBorders>
              <w:top w:val="nil"/>
              <w:left w:val="nil"/>
              <w:bottom w:val="single" w:sz="4" w:space="0" w:color="A6A6A6"/>
              <w:right w:val="single" w:sz="4" w:space="0" w:color="A6A6A6"/>
            </w:tcBorders>
            <w:noWrap/>
            <w:vAlign w:val="center"/>
            <w:hideMark/>
          </w:tcPr>
          <w:p w14:paraId="49F163E7" w14:textId="77777777" w:rsidR="00CA0E31" w:rsidRPr="00520A6E" w:rsidRDefault="00CA0E31" w:rsidP="000A5389">
            <w:pPr>
              <w:spacing w:line="240" w:lineRule="auto"/>
              <w:jc w:val="right"/>
              <w:rPr>
                <w:rFonts w:eastAsia="Times New Roman" w:cs="Times New Roman"/>
                <w:color w:val="000000"/>
                <w:sz w:val="16"/>
                <w:szCs w:val="16"/>
                <w:lang w:val="es-419" w:eastAsia="es-419"/>
              </w:rPr>
            </w:pPr>
            <w:r w:rsidRPr="00520A6E">
              <w:rPr>
                <w:rFonts w:eastAsia="Times New Roman" w:cs="Times New Roman"/>
                <w:color w:val="000000"/>
                <w:sz w:val="16"/>
                <w:szCs w:val="16"/>
                <w:lang w:val="es-419" w:eastAsia="es-419"/>
              </w:rPr>
              <w:t xml:space="preserve">133.370.763.048 </w:t>
            </w:r>
          </w:p>
        </w:tc>
        <w:tc>
          <w:tcPr>
            <w:tcW w:w="914" w:type="pct"/>
            <w:tcBorders>
              <w:top w:val="nil"/>
              <w:left w:val="nil"/>
              <w:bottom w:val="single" w:sz="4" w:space="0" w:color="A6A6A6"/>
              <w:right w:val="single" w:sz="4" w:space="0" w:color="A6A6A6"/>
            </w:tcBorders>
            <w:noWrap/>
            <w:vAlign w:val="center"/>
            <w:hideMark/>
          </w:tcPr>
          <w:p w14:paraId="4C92664A" w14:textId="77777777" w:rsidR="00CA0E31" w:rsidRPr="00520A6E" w:rsidRDefault="00CA0E31" w:rsidP="000A5389">
            <w:pPr>
              <w:spacing w:line="240" w:lineRule="auto"/>
              <w:jc w:val="right"/>
              <w:rPr>
                <w:rFonts w:eastAsia="Times New Roman" w:cs="Times New Roman"/>
                <w:color w:val="000000"/>
                <w:sz w:val="16"/>
                <w:szCs w:val="16"/>
                <w:lang w:val="es-419" w:eastAsia="es-419"/>
              </w:rPr>
            </w:pPr>
            <w:r w:rsidRPr="00520A6E">
              <w:rPr>
                <w:rFonts w:eastAsia="Times New Roman" w:cs="Times New Roman"/>
                <w:color w:val="000000"/>
                <w:sz w:val="16"/>
                <w:szCs w:val="16"/>
                <w:lang w:val="es-419" w:eastAsia="es-419"/>
              </w:rPr>
              <w:t xml:space="preserve">4.081.210.602.018 </w:t>
            </w:r>
          </w:p>
        </w:tc>
        <w:tc>
          <w:tcPr>
            <w:tcW w:w="825" w:type="pct"/>
            <w:tcBorders>
              <w:top w:val="nil"/>
              <w:left w:val="nil"/>
              <w:bottom w:val="single" w:sz="4" w:space="0" w:color="A6A6A6"/>
              <w:right w:val="single" w:sz="4" w:space="0" w:color="A6A6A6"/>
            </w:tcBorders>
            <w:noWrap/>
            <w:vAlign w:val="center"/>
            <w:hideMark/>
          </w:tcPr>
          <w:p w14:paraId="276B08C4" w14:textId="77777777" w:rsidR="00CA0E31" w:rsidRPr="00520A6E" w:rsidRDefault="00CA0E31" w:rsidP="000A5389">
            <w:pPr>
              <w:spacing w:line="240" w:lineRule="auto"/>
              <w:jc w:val="right"/>
              <w:rPr>
                <w:rFonts w:eastAsia="Times New Roman" w:cs="Times New Roman"/>
                <w:color w:val="000000"/>
                <w:sz w:val="16"/>
                <w:szCs w:val="16"/>
                <w:lang w:val="es-419" w:eastAsia="es-419"/>
              </w:rPr>
            </w:pPr>
            <w:r w:rsidRPr="00520A6E">
              <w:rPr>
                <w:rFonts w:eastAsia="Times New Roman" w:cs="Times New Roman"/>
                <w:color w:val="000000"/>
                <w:sz w:val="16"/>
                <w:szCs w:val="16"/>
                <w:lang w:val="es-419" w:eastAsia="es-419"/>
              </w:rPr>
              <w:t xml:space="preserve">0 </w:t>
            </w:r>
          </w:p>
        </w:tc>
        <w:tc>
          <w:tcPr>
            <w:tcW w:w="979" w:type="pct"/>
            <w:tcBorders>
              <w:top w:val="nil"/>
              <w:left w:val="nil"/>
              <w:bottom w:val="single" w:sz="4" w:space="0" w:color="A6A6A6"/>
              <w:right w:val="single" w:sz="4" w:space="0" w:color="A6A6A6"/>
            </w:tcBorders>
            <w:noWrap/>
            <w:vAlign w:val="center"/>
            <w:hideMark/>
          </w:tcPr>
          <w:p w14:paraId="503BFF8C" w14:textId="77777777" w:rsidR="00CA0E31" w:rsidRPr="00520A6E" w:rsidRDefault="00CA0E31" w:rsidP="000A5389">
            <w:pPr>
              <w:spacing w:line="240" w:lineRule="auto"/>
              <w:jc w:val="right"/>
              <w:rPr>
                <w:rFonts w:eastAsia="Times New Roman" w:cs="Times New Roman"/>
                <w:color w:val="000000"/>
                <w:sz w:val="16"/>
                <w:szCs w:val="16"/>
                <w:lang w:val="es-419" w:eastAsia="es-419"/>
              </w:rPr>
            </w:pPr>
            <w:r w:rsidRPr="00520A6E">
              <w:rPr>
                <w:rFonts w:eastAsia="Times New Roman" w:cs="Times New Roman"/>
                <w:color w:val="000000"/>
                <w:sz w:val="16"/>
                <w:szCs w:val="16"/>
                <w:lang w:val="es-419" w:eastAsia="es-419"/>
              </w:rPr>
              <w:t xml:space="preserve">4.214.581.365.066 </w:t>
            </w:r>
          </w:p>
        </w:tc>
      </w:tr>
      <w:tr w:rsidR="001D0619" w:rsidRPr="00951AB1" w14:paraId="682AB6F8" w14:textId="77777777" w:rsidTr="001D0619">
        <w:trPr>
          <w:cantSplit/>
          <w:trHeight w:val="290"/>
        </w:trPr>
        <w:tc>
          <w:tcPr>
            <w:tcW w:w="131" w:type="pct"/>
            <w:tcBorders>
              <w:top w:val="nil"/>
              <w:left w:val="single" w:sz="4" w:space="0" w:color="A6A6A6"/>
              <w:bottom w:val="single" w:sz="4" w:space="0" w:color="A6A6A6"/>
              <w:right w:val="nil"/>
            </w:tcBorders>
            <w:noWrap/>
            <w:vAlign w:val="center"/>
            <w:hideMark/>
          </w:tcPr>
          <w:p w14:paraId="0AB1B863" w14:textId="77777777" w:rsidR="00CA0E31" w:rsidRPr="00520A6E" w:rsidRDefault="00CA0E31" w:rsidP="000A5389">
            <w:pPr>
              <w:spacing w:line="240" w:lineRule="auto"/>
              <w:rPr>
                <w:rFonts w:eastAsia="Times New Roman" w:cs="Times New Roman"/>
                <w:sz w:val="16"/>
                <w:szCs w:val="16"/>
                <w:lang w:val="es-419" w:eastAsia="es-419"/>
              </w:rPr>
            </w:pPr>
            <w:r w:rsidRPr="00520A6E">
              <w:rPr>
                <w:rFonts w:eastAsia="Times New Roman" w:cs="Times New Roman"/>
                <w:sz w:val="16"/>
                <w:szCs w:val="16"/>
                <w:lang w:val="es-419" w:eastAsia="es-419"/>
              </w:rPr>
              <w:t> </w:t>
            </w:r>
          </w:p>
        </w:tc>
        <w:tc>
          <w:tcPr>
            <w:tcW w:w="102" w:type="pct"/>
            <w:tcBorders>
              <w:top w:val="nil"/>
              <w:left w:val="nil"/>
              <w:bottom w:val="single" w:sz="4" w:space="0" w:color="A6A6A6"/>
              <w:right w:val="nil"/>
            </w:tcBorders>
            <w:noWrap/>
            <w:vAlign w:val="center"/>
            <w:hideMark/>
          </w:tcPr>
          <w:p w14:paraId="5EFB6E2D" w14:textId="77777777" w:rsidR="00CA0E31" w:rsidRPr="00520A6E" w:rsidRDefault="00CA0E31" w:rsidP="000A5389">
            <w:pPr>
              <w:spacing w:line="240" w:lineRule="auto"/>
              <w:rPr>
                <w:rFonts w:eastAsia="Times New Roman" w:cs="Times New Roman"/>
                <w:sz w:val="16"/>
                <w:szCs w:val="16"/>
                <w:lang w:val="es-419" w:eastAsia="es-419"/>
              </w:rPr>
            </w:pPr>
            <w:r w:rsidRPr="00520A6E">
              <w:rPr>
                <w:rFonts w:eastAsia="Times New Roman" w:cs="Times New Roman"/>
                <w:sz w:val="16"/>
                <w:szCs w:val="16"/>
                <w:lang w:val="es-419" w:eastAsia="es-419"/>
              </w:rPr>
              <w:t> </w:t>
            </w:r>
          </w:p>
        </w:tc>
        <w:tc>
          <w:tcPr>
            <w:tcW w:w="92" w:type="pct"/>
            <w:tcBorders>
              <w:top w:val="nil"/>
              <w:left w:val="nil"/>
              <w:bottom w:val="single" w:sz="4" w:space="0" w:color="A6A6A6"/>
              <w:right w:val="nil"/>
            </w:tcBorders>
            <w:noWrap/>
            <w:vAlign w:val="center"/>
            <w:hideMark/>
          </w:tcPr>
          <w:p w14:paraId="6EBEA7BC" w14:textId="77777777" w:rsidR="00CA0E31" w:rsidRPr="00520A6E" w:rsidRDefault="00CA0E31" w:rsidP="000A5389">
            <w:pPr>
              <w:spacing w:line="240" w:lineRule="auto"/>
              <w:rPr>
                <w:rFonts w:eastAsia="Times New Roman" w:cs="Times New Roman"/>
                <w:sz w:val="16"/>
                <w:szCs w:val="16"/>
                <w:lang w:val="es-419" w:eastAsia="es-419"/>
              </w:rPr>
            </w:pPr>
            <w:r w:rsidRPr="00520A6E">
              <w:rPr>
                <w:rFonts w:eastAsia="Times New Roman" w:cs="Times New Roman"/>
                <w:sz w:val="16"/>
                <w:szCs w:val="16"/>
                <w:lang w:val="es-419" w:eastAsia="es-419"/>
              </w:rPr>
              <w:t> </w:t>
            </w:r>
          </w:p>
        </w:tc>
        <w:tc>
          <w:tcPr>
            <w:tcW w:w="1093" w:type="pct"/>
            <w:tcBorders>
              <w:top w:val="nil"/>
              <w:left w:val="nil"/>
              <w:bottom w:val="single" w:sz="4" w:space="0" w:color="A6A6A6"/>
              <w:right w:val="single" w:sz="4" w:space="0" w:color="A6A6A6"/>
            </w:tcBorders>
            <w:vAlign w:val="center"/>
            <w:hideMark/>
          </w:tcPr>
          <w:p w14:paraId="2335CD03" w14:textId="77777777" w:rsidR="00CA0E31" w:rsidRPr="00520A6E" w:rsidRDefault="00CA0E31" w:rsidP="000A5389">
            <w:pPr>
              <w:spacing w:line="240" w:lineRule="auto"/>
              <w:rPr>
                <w:rFonts w:eastAsia="Times New Roman" w:cs="Times New Roman"/>
                <w:sz w:val="16"/>
                <w:szCs w:val="16"/>
                <w:lang w:val="es-419" w:eastAsia="es-419"/>
              </w:rPr>
            </w:pPr>
            <w:r w:rsidRPr="00520A6E">
              <w:rPr>
                <w:rFonts w:eastAsia="Times New Roman" w:cs="Times New Roman"/>
                <w:sz w:val="16"/>
                <w:szCs w:val="16"/>
                <w:lang w:val="es-419" w:eastAsia="es-419"/>
              </w:rPr>
              <w:t>* Terrenos (Traslado Invias)</w:t>
            </w:r>
          </w:p>
        </w:tc>
        <w:tc>
          <w:tcPr>
            <w:tcW w:w="864" w:type="pct"/>
            <w:tcBorders>
              <w:top w:val="nil"/>
              <w:left w:val="nil"/>
              <w:bottom w:val="single" w:sz="4" w:space="0" w:color="A6A6A6"/>
              <w:right w:val="single" w:sz="4" w:space="0" w:color="A6A6A6"/>
            </w:tcBorders>
            <w:noWrap/>
            <w:vAlign w:val="center"/>
            <w:hideMark/>
          </w:tcPr>
          <w:p w14:paraId="6206AD5A" w14:textId="77777777" w:rsidR="00CA0E31" w:rsidRPr="00520A6E" w:rsidRDefault="00CA0E31" w:rsidP="000A5389">
            <w:pPr>
              <w:spacing w:line="240" w:lineRule="auto"/>
              <w:jc w:val="right"/>
              <w:rPr>
                <w:rFonts w:eastAsia="Times New Roman" w:cs="Times New Roman"/>
                <w:color w:val="000000"/>
                <w:sz w:val="16"/>
                <w:szCs w:val="16"/>
                <w:lang w:val="es-419" w:eastAsia="es-419"/>
              </w:rPr>
            </w:pPr>
            <w:r w:rsidRPr="00520A6E">
              <w:rPr>
                <w:rFonts w:eastAsia="Times New Roman" w:cs="Times New Roman"/>
                <w:color w:val="000000"/>
                <w:sz w:val="16"/>
                <w:szCs w:val="16"/>
                <w:lang w:val="es-419" w:eastAsia="es-419"/>
              </w:rPr>
              <w:t xml:space="preserve">35.796.394.020 </w:t>
            </w:r>
          </w:p>
        </w:tc>
        <w:tc>
          <w:tcPr>
            <w:tcW w:w="914" w:type="pct"/>
            <w:tcBorders>
              <w:top w:val="nil"/>
              <w:left w:val="nil"/>
              <w:bottom w:val="single" w:sz="4" w:space="0" w:color="A6A6A6"/>
              <w:right w:val="single" w:sz="4" w:space="0" w:color="A6A6A6"/>
            </w:tcBorders>
            <w:noWrap/>
            <w:vAlign w:val="center"/>
            <w:hideMark/>
          </w:tcPr>
          <w:p w14:paraId="3535378D" w14:textId="77777777" w:rsidR="00CA0E31" w:rsidRPr="00520A6E" w:rsidRDefault="00CA0E31" w:rsidP="000A5389">
            <w:pPr>
              <w:spacing w:line="240" w:lineRule="auto"/>
              <w:jc w:val="right"/>
              <w:rPr>
                <w:rFonts w:eastAsia="Times New Roman" w:cs="Times New Roman"/>
                <w:color w:val="000000"/>
                <w:sz w:val="16"/>
                <w:szCs w:val="16"/>
                <w:lang w:val="es-419" w:eastAsia="es-419"/>
              </w:rPr>
            </w:pPr>
            <w:r w:rsidRPr="00520A6E">
              <w:rPr>
                <w:rFonts w:eastAsia="Times New Roman" w:cs="Times New Roman"/>
                <w:color w:val="000000"/>
                <w:sz w:val="16"/>
                <w:szCs w:val="16"/>
                <w:lang w:val="es-419" w:eastAsia="es-419"/>
              </w:rPr>
              <w:t xml:space="preserve">236.098.814.250 </w:t>
            </w:r>
          </w:p>
        </w:tc>
        <w:tc>
          <w:tcPr>
            <w:tcW w:w="825" w:type="pct"/>
            <w:tcBorders>
              <w:top w:val="nil"/>
              <w:left w:val="nil"/>
              <w:bottom w:val="single" w:sz="4" w:space="0" w:color="A6A6A6"/>
              <w:right w:val="single" w:sz="4" w:space="0" w:color="A6A6A6"/>
            </w:tcBorders>
            <w:noWrap/>
            <w:vAlign w:val="center"/>
            <w:hideMark/>
          </w:tcPr>
          <w:p w14:paraId="55A0FE9A" w14:textId="77777777" w:rsidR="00CA0E31" w:rsidRPr="00520A6E" w:rsidRDefault="00CA0E31" w:rsidP="000A5389">
            <w:pPr>
              <w:spacing w:line="240" w:lineRule="auto"/>
              <w:jc w:val="right"/>
              <w:rPr>
                <w:rFonts w:eastAsia="Times New Roman" w:cs="Times New Roman"/>
                <w:color w:val="000000"/>
                <w:sz w:val="16"/>
                <w:szCs w:val="16"/>
                <w:lang w:val="es-419" w:eastAsia="es-419"/>
              </w:rPr>
            </w:pPr>
            <w:r w:rsidRPr="00520A6E">
              <w:rPr>
                <w:rFonts w:eastAsia="Times New Roman" w:cs="Times New Roman"/>
                <w:color w:val="000000"/>
                <w:sz w:val="16"/>
                <w:szCs w:val="16"/>
                <w:lang w:val="es-419" w:eastAsia="es-419"/>
              </w:rPr>
              <w:t xml:space="preserve">0 </w:t>
            </w:r>
          </w:p>
        </w:tc>
        <w:tc>
          <w:tcPr>
            <w:tcW w:w="979" w:type="pct"/>
            <w:tcBorders>
              <w:top w:val="nil"/>
              <w:left w:val="nil"/>
              <w:bottom w:val="single" w:sz="4" w:space="0" w:color="A6A6A6"/>
              <w:right w:val="single" w:sz="4" w:space="0" w:color="A6A6A6"/>
            </w:tcBorders>
            <w:noWrap/>
            <w:vAlign w:val="center"/>
            <w:hideMark/>
          </w:tcPr>
          <w:p w14:paraId="1C5446BE" w14:textId="77777777" w:rsidR="00CA0E31" w:rsidRPr="00520A6E" w:rsidRDefault="00CA0E31" w:rsidP="000A5389">
            <w:pPr>
              <w:spacing w:line="240" w:lineRule="auto"/>
              <w:jc w:val="right"/>
              <w:rPr>
                <w:rFonts w:eastAsia="Times New Roman" w:cs="Times New Roman"/>
                <w:color w:val="000000"/>
                <w:sz w:val="16"/>
                <w:szCs w:val="16"/>
                <w:lang w:val="es-419" w:eastAsia="es-419"/>
              </w:rPr>
            </w:pPr>
            <w:r w:rsidRPr="00520A6E">
              <w:rPr>
                <w:rFonts w:eastAsia="Times New Roman" w:cs="Times New Roman"/>
                <w:color w:val="000000"/>
                <w:sz w:val="16"/>
                <w:szCs w:val="16"/>
                <w:lang w:val="es-419" w:eastAsia="es-419"/>
              </w:rPr>
              <w:t xml:space="preserve">271.895.208.271 </w:t>
            </w:r>
          </w:p>
        </w:tc>
      </w:tr>
      <w:tr w:rsidR="001D0619" w:rsidRPr="00951AB1" w14:paraId="146B49D6" w14:textId="77777777" w:rsidTr="001D0619">
        <w:trPr>
          <w:cantSplit/>
          <w:trHeight w:val="290"/>
        </w:trPr>
        <w:tc>
          <w:tcPr>
            <w:tcW w:w="131" w:type="pct"/>
            <w:tcBorders>
              <w:top w:val="nil"/>
              <w:left w:val="single" w:sz="4" w:space="0" w:color="A6A6A6"/>
              <w:bottom w:val="single" w:sz="4" w:space="0" w:color="A6A6A6"/>
              <w:right w:val="nil"/>
            </w:tcBorders>
            <w:noWrap/>
            <w:vAlign w:val="center"/>
            <w:hideMark/>
          </w:tcPr>
          <w:p w14:paraId="49BA4107" w14:textId="77777777" w:rsidR="00CA0E31" w:rsidRPr="00520A6E" w:rsidRDefault="00CA0E31" w:rsidP="000A5389">
            <w:pPr>
              <w:spacing w:line="240" w:lineRule="auto"/>
              <w:rPr>
                <w:rFonts w:eastAsia="Times New Roman" w:cs="Times New Roman"/>
                <w:sz w:val="16"/>
                <w:szCs w:val="16"/>
                <w:lang w:val="es-419" w:eastAsia="es-419"/>
              </w:rPr>
            </w:pPr>
            <w:r w:rsidRPr="00520A6E">
              <w:rPr>
                <w:rFonts w:eastAsia="Times New Roman" w:cs="Times New Roman"/>
                <w:sz w:val="16"/>
                <w:szCs w:val="16"/>
                <w:lang w:val="es-419" w:eastAsia="es-419"/>
              </w:rPr>
              <w:t> </w:t>
            </w:r>
          </w:p>
        </w:tc>
        <w:tc>
          <w:tcPr>
            <w:tcW w:w="102" w:type="pct"/>
            <w:tcBorders>
              <w:top w:val="nil"/>
              <w:left w:val="nil"/>
              <w:bottom w:val="single" w:sz="4" w:space="0" w:color="A6A6A6"/>
              <w:right w:val="nil"/>
            </w:tcBorders>
            <w:noWrap/>
            <w:vAlign w:val="center"/>
            <w:hideMark/>
          </w:tcPr>
          <w:p w14:paraId="095D89D4" w14:textId="77777777" w:rsidR="00CA0E31" w:rsidRPr="00520A6E" w:rsidRDefault="00CA0E31" w:rsidP="000A5389">
            <w:pPr>
              <w:spacing w:line="240" w:lineRule="auto"/>
              <w:rPr>
                <w:rFonts w:eastAsia="Times New Roman" w:cs="Times New Roman"/>
                <w:sz w:val="16"/>
                <w:szCs w:val="16"/>
                <w:lang w:val="es-419" w:eastAsia="es-419"/>
              </w:rPr>
            </w:pPr>
            <w:r w:rsidRPr="00520A6E">
              <w:rPr>
                <w:rFonts w:eastAsia="Times New Roman" w:cs="Times New Roman"/>
                <w:sz w:val="16"/>
                <w:szCs w:val="16"/>
                <w:lang w:val="es-419" w:eastAsia="es-419"/>
              </w:rPr>
              <w:t> </w:t>
            </w:r>
          </w:p>
        </w:tc>
        <w:tc>
          <w:tcPr>
            <w:tcW w:w="92" w:type="pct"/>
            <w:tcBorders>
              <w:top w:val="nil"/>
              <w:left w:val="nil"/>
              <w:bottom w:val="single" w:sz="4" w:space="0" w:color="A6A6A6"/>
              <w:right w:val="nil"/>
            </w:tcBorders>
            <w:noWrap/>
            <w:vAlign w:val="center"/>
            <w:hideMark/>
          </w:tcPr>
          <w:p w14:paraId="647D4D26" w14:textId="77777777" w:rsidR="00CA0E31" w:rsidRPr="00520A6E" w:rsidRDefault="00CA0E31" w:rsidP="000A5389">
            <w:pPr>
              <w:spacing w:line="240" w:lineRule="auto"/>
              <w:rPr>
                <w:rFonts w:eastAsia="Times New Roman" w:cs="Times New Roman"/>
                <w:sz w:val="16"/>
                <w:szCs w:val="16"/>
                <w:lang w:val="es-419" w:eastAsia="es-419"/>
              </w:rPr>
            </w:pPr>
            <w:r w:rsidRPr="00520A6E">
              <w:rPr>
                <w:rFonts w:eastAsia="Times New Roman" w:cs="Times New Roman"/>
                <w:sz w:val="16"/>
                <w:szCs w:val="16"/>
                <w:lang w:val="es-419" w:eastAsia="es-419"/>
              </w:rPr>
              <w:t> </w:t>
            </w:r>
          </w:p>
        </w:tc>
        <w:tc>
          <w:tcPr>
            <w:tcW w:w="1093" w:type="pct"/>
            <w:tcBorders>
              <w:top w:val="nil"/>
              <w:left w:val="nil"/>
              <w:bottom w:val="single" w:sz="4" w:space="0" w:color="A6A6A6"/>
              <w:right w:val="single" w:sz="4" w:space="0" w:color="A6A6A6"/>
            </w:tcBorders>
            <w:vAlign w:val="center"/>
            <w:hideMark/>
          </w:tcPr>
          <w:p w14:paraId="3605A16B" w14:textId="77777777" w:rsidR="00CA0E31" w:rsidRPr="00520A6E" w:rsidRDefault="00CA0E31" w:rsidP="000A5389">
            <w:pPr>
              <w:spacing w:line="240" w:lineRule="auto"/>
              <w:rPr>
                <w:rFonts w:eastAsia="Times New Roman" w:cs="Times New Roman"/>
                <w:sz w:val="16"/>
                <w:szCs w:val="16"/>
                <w:lang w:val="es-419" w:eastAsia="es-419"/>
              </w:rPr>
            </w:pPr>
            <w:r w:rsidRPr="00520A6E">
              <w:rPr>
                <w:rFonts w:eastAsia="Times New Roman" w:cs="Times New Roman"/>
                <w:sz w:val="16"/>
                <w:szCs w:val="16"/>
                <w:lang w:val="es-419" w:eastAsia="es-419"/>
              </w:rPr>
              <w:t>* Activos asociados Modo Portuario</w:t>
            </w:r>
          </w:p>
        </w:tc>
        <w:tc>
          <w:tcPr>
            <w:tcW w:w="864" w:type="pct"/>
            <w:tcBorders>
              <w:top w:val="nil"/>
              <w:left w:val="nil"/>
              <w:bottom w:val="single" w:sz="4" w:space="0" w:color="A6A6A6"/>
              <w:right w:val="single" w:sz="4" w:space="0" w:color="A6A6A6"/>
            </w:tcBorders>
            <w:noWrap/>
            <w:vAlign w:val="center"/>
            <w:hideMark/>
          </w:tcPr>
          <w:p w14:paraId="110E4DF5" w14:textId="77777777" w:rsidR="00CA0E31" w:rsidRPr="00520A6E" w:rsidRDefault="00CA0E31" w:rsidP="000A5389">
            <w:pPr>
              <w:spacing w:line="240" w:lineRule="auto"/>
              <w:jc w:val="right"/>
              <w:rPr>
                <w:rFonts w:eastAsia="Times New Roman" w:cs="Times New Roman"/>
                <w:color w:val="000000"/>
                <w:sz w:val="16"/>
                <w:szCs w:val="16"/>
                <w:lang w:val="es-419" w:eastAsia="es-419"/>
              </w:rPr>
            </w:pPr>
            <w:r w:rsidRPr="00520A6E">
              <w:rPr>
                <w:rFonts w:eastAsia="Times New Roman" w:cs="Times New Roman"/>
                <w:color w:val="000000"/>
                <w:sz w:val="16"/>
                <w:szCs w:val="16"/>
                <w:lang w:val="es-419" w:eastAsia="es-419"/>
              </w:rPr>
              <w:t xml:space="preserve">72.738.503.434 </w:t>
            </w:r>
          </w:p>
        </w:tc>
        <w:tc>
          <w:tcPr>
            <w:tcW w:w="914" w:type="pct"/>
            <w:tcBorders>
              <w:top w:val="nil"/>
              <w:left w:val="nil"/>
              <w:bottom w:val="single" w:sz="4" w:space="0" w:color="A6A6A6"/>
              <w:right w:val="single" w:sz="4" w:space="0" w:color="A6A6A6"/>
            </w:tcBorders>
            <w:noWrap/>
            <w:vAlign w:val="center"/>
            <w:hideMark/>
          </w:tcPr>
          <w:p w14:paraId="6CD15970" w14:textId="77777777" w:rsidR="00CA0E31" w:rsidRPr="00520A6E" w:rsidRDefault="00CA0E31" w:rsidP="000A5389">
            <w:pPr>
              <w:spacing w:line="240" w:lineRule="auto"/>
              <w:jc w:val="right"/>
              <w:rPr>
                <w:rFonts w:eastAsia="Times New Roman" w:cs="Times New Roman"/>
                <w:color w:val="000000"/>
                <w:sz w:val="16"/>
                <w:szCs w:val="16"/>
                <w:lang w:val="es-419" w:eastAsia="es-419"/>
              </w:rPr>
            </w:pPr>
            <w:r w:rsidRPr="00520A6E">
              <w:rPr>
                <w:rFonts w:eastAsia="Times New Roman" w:cs="Times New Roman"/>
                <w:color w:val="000000"/>
                <w:sz w:val="16"/>
                <w:szCs w:val="16"/>
                <w:lang w:val="es-419" w:eastAsia="es-419"/>
              </w:rPr>
              <w:t xml:space="preserve">410.623.050.470 </w:t>
            </w:r>
          </w:p>
        </w:tc>
        <w:tc>
          <w:tcPr>
            <w:tcW w:w="825" w:type="pct"/>
            <w:tcBorders>
              <w:top w:val="nil"/>
              <w:left w:val="nil"/>
              <w:bottom w:val="single" w:sz="4" w:space="0" w:color="A6A6A6"/>
              <w:right w:val="single" w:sz="4" w:space="0" w:color="A6A6A6"/>
            </w:tcBorders>
            <w:noWrap/>
            <w:vAlign w:val="center"/>
            <w:hideMark/>
          </w:tcPr>
          <w:p w14:paraId="366108B0" w14:textId="77777777" w:rsidR="00CA0E31" w:rsidRPr="00520A6E" w:rsidRDefault="00CA0E31" w:rsidP="000A5389">
            <w:pPr>
              <w:spacing w:line="240" w:lineRule="auto"/>
              <w:jc w:val="right"/>
              <w:rPr>
                <w:rFonts w:eastAsia="Times New Roman" w:cs="Times New Roman"/>
                <w:color w:val="000000"/>
                <w:sz w:val="16"/>
                <w:szCs w:val="16"/>
                <w:lang w:val="es-419" w:eastAsia="es-419"/>
              </w:rPr>
            </w:pPr>
            <w:r w:rsidRPr="00520A6E">
              <w:rPr>
                <w:rFonts w:eastAsia="Times New Roman" w:cs="Times New Roman"/>
                <w:color w:val="000000"/>
                <w:sz w:val="16"/>
                <w:szCs w:val="16"/>
                <w:lang w:val="es-419" w:eastAsia="es-419"/>
              </w:rPr>
              <w:t xml:space="preserve">0 </w:t>
            </w:r>
          </w:p>
        </w:tc>
        <w:tc>
          <w:tcPr>
            <w:tcW w:w="979" w:type="pct"/>
            <w:tcBorders>
              <w:top w:val="nil"/>
              <w:left w:val="nil"/>
              <w:bottom w:val="single" w:sz="4" w:space="0" w:color="A6A6A6"/>
              <w:right w:val="single" w:sz="4" w:space="0" w:color="A6A6A6"/>
            </w:tcBorders>
            <w:noWrap/>
            <w:vAlign w:val="center"/>
            <w:hideMark/>
          </w:tcPr>
          <w:p w14:paraId="43970A19" w14:textId="77777777" w:rsidR="00CA0E31" w:rsidRPr="00520A6E" w:rsidRDefault="00CA0E31" w:rsidP="000A5389">
            <w:pPr>
              <w:spacing w:line="240" w:lineRule="auto"/>
              <w:jc w:val="right"/>
              <w:rPr>
                <w:rFonts w:eastAsia="Times New Roman" w:cs="Times New Roman"/>
                <w:color w:val="000000"/>
                <w:sz w:val="16"/>
                <w:szCs w:val="16"/>
                <w:lang w:val="es-419" w:eastAsia="es-419"/>
              </w:rPr>
            </w:pPr>
            <w:r w:rsidRPr="00520A6E">
              <w:rPr>
                <w:rFonts w:eastAsia="Times New Roman" w:cs="Times New Roman"/>
                <w:color w:val="000000"/>
                <w:sz w:val="16"/>
                <w:szCs w:val="16"/>
                <w:lang w:val="es-419" w:eastAsia="es-419"/>
              </w:rPr>
              <w:t xml:space="preserve">483.361.553.905 </w:t>
            </w:r>
          </w:p>
        </w:tc>
      </w:tr>
      <w:tr w:rsidR="001D0619" w:rsidRPr="00951AB1" w14:paraId="76762C84" w14:textId="77777777" w:rsidTr="001D0619">
        <w:trPr>
          <w:cantSplit/>
          <w:trHeight w:val="290"/>
        </w:trPr>
        <w:tc>
          <w:tcPr>
            <w:tcW w:w="131" w:type="pct"/>
            <w:tcBorders>
              <w:top w:val="nil"/>
              <w:left w:val="single" w:sz="4" w:space="0" w:color="A6A6A6"/>
              <w:bottom w:val="single" w:sz="4" w:space="0" w:color="A6A6A6"/>
              <w:right w:val="nil"/>
            </w:tcBorders>
            <w:noWrap/>
            <w:vAlign w:val="center"/>
            <w:hideMark/>
          </w:tcPr>
          <w:p w14:paraId="72FC47AB" w14:textId="77777777" w:rsidR="00CA0E31" w:rsidRPr="00520A6E" w:rsidRDefault="00CA0E31" w:rsidP="000A5389">
            <w:pPr>
              <w:spacing w:line="240" w:lineRule="auto"/>
              <w:rPr>
                <w:rFonts w:eastAsia="Times New Roman" w:cs="Times New Roman"/>
                <w:sz w:val="16"/>
                <w:szCs w:val="16"/>
                <w:lang w:val="es-419" w:eastAsia="es-419"/>
              </w:rPr>
            </w:pPr>
            <w:r w:rsidRPr="00520A6E">
              <w:rPr>
                <w:rFonts w:eastAsia="Times New Roman" w:cs="Times New Roman"/>
                <w:sz w:val="16"/>
                <w:szCs w:val="16"/>
                <w:lang w:val="es-419" w:eastAsia="es-419"/>
              </w:rPr>
              <w:t> </w:t>
            </w:r>
          </w:p>
        </w:tc>
        <w:tc>
          <w:tcPr>
            <w:tcW w:w="102" w:type="pct"/>
            <w:tcBorders>
              <w:top w:val="nil"/>
              <w:left w:val="nil"/>
              <w:bottom w:val="single" w:sz="4" w:space="0" w:color="A6A6A6"/>
              <w:right w:val="nil"/>
            </w:tcBorders>
            <w:noWrap/>
            <w:vAlign w:val="center"/>
            <w:hideMark/>
          </w:tcPr>
          <w:p w14:paraId="53565C69" w14:textId="77777777" w:rsidR="00CA0E31" w:rsidRPr="00520A6E" w:rsidRDefault="00CA0E31" w:rsidP="000A5389">
            <w:pPr>
              <w:spacing w:line="240" w:lineRule="auto"/>
              <w:rPr>
                <w:rFonts w:eastAsia="Times New Roman" w:cs="Times New Roman"/>
                <w:sz w:val="16"/>
                <w:szCs w:val="16"/>
                <w:lang w:val="es-419" w:eastAsia="es-419"/>
              </w:rPr>
            </w:pPr>
            <w:r w:rsidRPr="00520A6E">
              <w:rPr>
                <w:rFonts w:eastAsia="Times New Roman" w:cs="Times New Roman"/>
                <w:sz w:val="16"/>
                <w:szCs w:val="16"/>
                <w:lang w:val="es-419" w:eastAsia="es-419"/>
              </w:rPr>
              <w:t> </w:t>
            </w:r>
          </w:p>
        </w:tc>
        <w:tc>
          <w:tcPr>
            <w:tcW w:w="92" w:type="pct"/>
            <w:tcBorders>
              <w:top w:val="nil"/>
              <w:left w:val="nil"/>
              <w:bottom w:val="single" w:sz="4" w:space="0" w:color="A6A6A6"/>
              <w:right w:val="nil"/>
            </w:tcBorders>
            <w:noWrap/>
            <w:vAlign w:val="center"/>
            <w:hideMark/>
          </w:tcPr>
          <w:p w14:paraId="33241A90" w14:textId="77777777" w:rsidR="00CA0E31" w:rsidRPr="00520A6E" w:rsidRDefault="00CA0E31" w:rsidP="000A5389">
            <w:pPr>
              <w:spacing w:line="240" w:lineRule="auto"/>
              <w:rPr>
                <w:rFonts w:eastAsia="Times New Roman" w:cs="Times New Roman"/>
                <w:sz w:val="16"/>
                <w:szCs w:val="16"/>
                <w:lang w:val="es-419" w:eastAsia="es-419"/>
              </w:rPr>
            </w:pPr>
            <w:r w:rsidRPr="00520A6E">
              <w:rPr>
                <w:rFonts w:eastAsia="Times New Roman" w:cs="Times New Roman"/>
                <w:sz w:val="16"/>
                <w:szCs w:val="16"/>
                <w:lang w:val="es-419" w:eastAsia="es-419"/>
              </w:rPr>
              <w:t> </w:t>
            </w:r>
          </w:p>
        </w:tc>
        <w:tc>
          <w:tcPr>
            <w:tcW w:w="1093" w:type="pct"/>
            <w:tcBorders>
              <w:top w:val="nil"/>
              <w:left w:val="nil"/>
              <w:bottom w:val="single" w:sz="4" w:space="0" w:color="A6A6A6"/>
              <w:right w:val="single" w:sz="4" w:space="0" w:color="A6A6A6"/>
            </w:tcBorders>
            <w:vAlign w:val="center"/>
            <w:hideMark/>
          </w:tcPr>
          <w:p w14:paraId="0B1BC7CE" w14:textId="77777777" w:rsidR="00CA0E31" w:rsidRPr="00520A6E" w:rsidRDefault="00CA0E31" w:rsidP="000A5389">
            <w:pPr>
              <w:spacing w:line="240" w:lineRule="auto"/>
              <w:rPr>
                <w:rFonts w:eastAsia="Times New Roman" w:cs="Times New Roman"/>
                <w:sz w:val="16"/>
                <w:szCs w:val="16"/>
                <w:lang w:val="es-419" w:eastAsia="es-419"/>
              </w:rPr>
            </w:pPr>
            <w:r w:rsidRPr="00520A6E">
              <w:rPr>
                <w:rFonts w:eastAsia="Times New Roman" w:cs="Times New Roman"/>
                <w:sz w:val="16"/>
                <w:szCs w:val="16"/>
                <w:lang w:val="es-419" w:eastAsia="es-419"/>
              </w:rPr>
              <w:t>* Activos asociados Modo Férreo</w:t>
            </w:r>
          </w:p>
        </w:tc>
        <w:tc>
          <w:tcPr>
            <w:tcW w:w="864" w:type="pct"/>
            <w:tcBorders>
              <w:top w:val="nil"/>
              <w:left w:val="nil"/>
              <w:bottom w:val="single" w:sz="4" w:space="0" w:color="A6A6A6"/>
              <w:right w:val="single" w:sz="4" w:space="0" w:color="A6A6A6"/>
            </w:tcBorders>
            <w:noWrap/>
            <w:vAlign w:val="center"/>
            <w:hideMark/>
          </w:tcPr>
          <w:p w14:paraId="43CCD3DF" w14:textId="77777777" w:rsidR="00CA0E31" w:rsidRPr="00520A6E" w:rsidRDefault="00CA0E31" w:rsidP="000A5389">
            <w:pPr>
              <w:spacing w:line="240" w:lineRule="auto"/>
              <w:jc w:val="right"/>
              <w:rPr>
                <w:rFonts w:eastAsia="Times New Roman" w:cs="Times New Roman"/>
                <w:color w:val="000000"/>
                <w:sz w:val="16"/>
                <w:szCs w:val="16"/>
                <w:lang w:val="es-419" w:eastAsia="es-419"/>
              </w:rPr>
            </w:pPr>
            <w:r w:rsidRPr="00520A6E">
              <w:rPr>
                <w:rFonts w:eastAsia="Times New Roman" w:cs="Times New Roman"/>
                <w:color w:val="000000"/>
                <w:sz w:val="16"/>
                <w:szCs w:val="16"/>
                <w:lang w:val="es-419" w:eastAsia="es-419"/>
              </w:rPr>
              <w:t xml:space="preserve">912.743.944.091 </w:t>
            </w:r>
          </w:p>
        </w:tc>
        <w:tc>
          <w:tcPr>
            <w:tcW w:w="914" w:type="pct"/>
            <w:tcBorders>
              <w:top w:val="nil"/>
              <w:left w:val="nil"/>
              <w:bottom w:val="single" w:sz="4" w:space="0" w:color="A6A6A6"/>
              <w:right w:val="single" w:sz="4" w:space="0" w:color="A6A6A6"/>
            </w:tcBorders>
            <w:noWrap/>
            <w:vAlign w:val="center"/>
            <w:hideMark/>
          </w:tcPr>
          <w:p w14:paraId="23E8E808" w14:textId="77777777" w:rsidR="00CA0E31" w:rsidRPr="00520A6E" w:rsidRDefault="00CA0E31" w:rsidP="000A5389">
            <w:pPr>
              <w:spacing w:line="240" w:lineRule="auto"/>
              <w:jc w:val="right"/>
              <w:rPr>
                <w:rFonts w:eastAsia="Times New Roman" w:cs="Times New Roman"/>
                <w:color w:val="000000"/>
                <w:sz w:val="16"/>
                <w:szCs w:val="16"/>
                <w:lang w:val="es-419" w:eastAsia="es-419"/>
              </w:rPr>
            </w:pPr>
            <w:r w:rsidRPr="00520A6E">
              <w:rPr>
                <w:rFonts w:eastAsia="Times New Roman" w:cs="Times New Roman"/>
                <w:color w:val="000000"/>
                <w:sz w:val="16"/>
                <w:szCs w:val="16"/>
                <w:lang w:val="es-419" w:eastAsia="es-419"/>
              </w:rPr>
              <w:t xml:space="preserve">0 </w:t>
            </w:r>
          </w:p>
        </w:tc>
        <w:tc>
          <w:tcPr>
            <w:tcW w:w="825" w:type="pct"/>
            <w:tcBorders>
              <w:top w:val="nil"/>
              <w:left w:val="nil"/>
              <w:bottom w:val="single" w:sz="4" w:space="0" w:color="A6A6A6"/>
              <w:right w:val="single" w:sz="4" w:space="0" w:color="A6A6A6"/>
            </w:tcBorders>
            <w:noWrap/>
            <w:vAlign w:val="center"/>
            <w:hideMark/>
          </w:tcPr>
          <w:p w14:paraId="391A4277" w14:textId="77777777" w:rsidR="00CA0E31" w:rsidRPr="00520A6E" w:rsidRDefault="00CA0E31" w:rsidP="000A5389">
            <w:pPr>
              <w:spacing w:line="240" w:lineRule="auto"/>
              <w:jc w:val="right"/>
              <w:rPr>
                <w:rFonts w:eastAsia="Times New Roman" w:cs="Times New Roman"/>
                <w:color w:val="000000"/>
                <w:sz w:val="16"/>
                <w:szCs w:val="16"/>
                <w:lang w:val="es-419" w:eastAsia="es-419"/>
              </w:rPr>
            </w:pPr>
            <w:r w:rsidRPr="00520A6E">
              <w:rPr>
                <w:rFonts w:eastAsia="Times New Roman" w:cs="Times New Roman"/>
                <w:color w:val="000000"/>
                <w:sz w:val="16"/>
                <w:szCs w:val="16"/>
                <w:lang w:val="es-419" w:eastAsia="es-419"/>
              </w:rPr>
              <w:t xml:space="preserve">8.333.766.731 </w:t>
            </w:r>
          </w:p>
        </w:tc>
        <w:tc>
          <w:tcPr>
            <w:tcW w:w="979" w:type="pct"/>
            <w:tcBorders>
              <w:top w:val="nil"/>
              <w:left w:val="nil"/>
              <w:bottom w:val="single" w:sz="4" w:space="0" w:color="A6A6A6"/>
              <w:right w:val="single" w:sz="4" w:space="0" w:color="A6A6A6"/>
            </w:tcBorders>
            <w:noWrap/>
            <w:vAlign w:val="center"/>
            <w:hideMark/>
          </w:tcPr>
          <w:p w14:paraId="3F74949D" w14:textId="77777777" w:rsidR="00CA0E31" w:rsidRPr="00520A6E" w:rsidRDefault="00CA0E31" w:rsidP="000A5389">
            <w:pPr>
              <w:spacing w:line="240" w:lineRule="auto"/>
              <w:jc w:val="right"/>
              <w:rPr>
                <w:rFonts w:eastAsia="Times New Roman" w:cs="Times New Roman"/>
                <w:color w:val="000000"/>
                <w:sz w:val="16"/>
                <w:szCs w:val="16"/>
                <w:lang w:val="es-419" w:eastAsia="es-419"/>
              </w:rPr>
            </w:pPr>
            <w:r w:rsidRPr="00520A6E">
              <w:rPr>
                <w:rFonts w:eastAsia="Times New Roman" w:cs="Times New Roman"/>
                <w:color w:val="000000"/>
                <w:sz w:val="16"/>
                <w:szCs w:val="16"/>
                <w:lang w:val="es-419" w:eastAsia="es-419"/>
              </w:rPr>
              <w:t xml:space="preserve">921.077.710.822 </w:t>
            </w:r>
          </w:p>
        </w:tc>
      </w:tr>
      <w:tr w:rsidR="001D0619" w:rsidRPr="00951AB1" w14:paraId="3F4139F0" w14:textId="77777777" w:rsidTr="001D0619">
        <w:trPr>
          <w:cantSplit/>
          <w:trHeight w:val="290"/>
        </w:trPr>
        <w:tc>
          <w:tcPr>
            <w:tcW w:w="131" w:type="pct"/>
            <w:tcBorders>
              <w:top w:val="nil"/>
              <w:left w:val="single" w:sz="4" w:space="0" w:color="A6A6A6"/>
              <w:bottom w:val="single" w:sz="4" w:space="0" w:color="A6A6A6"/>
              <w:right w:val="nil"/>
            </w:tcBorders>
            <w:noWrap/>
            <w:vAlign w:val="center"/>
            <w:hideMark/>
          </w:tcPr>
          <w:p w14:paraId="2E96A9DB" w14:textId="77777777" w:rsidR="00CA0E31" w:rsidRPr="00520A6E" w:rsidRDefault="00CA0E31" w:rsidP="000A5389">
            <w:pPr>
              <w:spacing w:line="240" w:lineRule="auto"/>
              <w:jc w:val="center"/>
              <w:rPr>
                <w:rFonts w:eastAsia="Times New Roman" w:cs="Times New Roman"/>
                <w:b/>
                <w:bCs/>
                <w:sz w:val="16"/>
                <w:szCs w:val="16"/>
                <w:lang w:val="es-419" w:eastAsia="es-419"/>
              </w:rPr>
            </w:pPr>
            <w:r w:rsidRPr="00520A6E">
              <w:rPr>
                <w:rFonts w:eastAsia="Times New Roman" w:cs="Times New Roman"/>
                <w:b/>
                <w:bCs/>
                <w:sz w:val="16"/>
                <w:szCs w:val="16"/>
                <w:lang w:val="es-419" w:eastAsia="es-419"/>
              </w:rPr>
              <w:t>-</w:t>
            </w:r>
          </w:p>
        </w:tc>
        <w:tc>
          <w:tcPr>
            <w:tcW w:w="1287" w:type="pct"/>
            <w:gridSpan w:val="3"/>
            <w:tcBorders>
              <w:top w:val="single" w:sz="4" w:space="0" w:color="A6A6A6"/>
              <w:left w:val="nil"/>
              <w:bottom w:val="single" w:sz="4" w:space="0" w:color="A6A6A6"/>
              <w:right w:val="single" w:sz="4" w:space="0" w:color="A6A6A6"/>
            </w:tcBorders>
            <w:vAlign w:val="center"/>
            <w:hideMark/>
          </w:tcPr>
          <w:p w14:paraId="64FF1198" w14:textId="77777777" w:rsidR="00CA0E31" w:rsidRPr="00520A6E" w:rsidRDefault="00CA0E31" w:rsidP="000A5389">
            <w:pPr>
              <w:spacing w:line="240" w:lineRule="auto"/>
              <w:rPr>
                <w:rFonts w:eastAsia="Times New Roman" w:cs="Times New Roman"/>
                <w:b/>
                <w:bCs/>
                <w:sz w:val="16"/>
                <w:szCs w:val="16"/>
                <w:lang w:val="es-419" w:eastAsia="es-419"/>
              </w:rPr>
            </w:pPr>
            <w:r w:rsidRPr="00520A6E">
              <w:rPr>
                <w:rFonts w:eastAsia="Times New Roman" w:cs="Times New Roman"/>
                <w:b/>
                <w:bCs/>
                <w:sz w:val="16"/>
                <w:szCs w:val="16"/>
                <w:lang w:val="es-419" w:eastAsia="es-419"/>
              </w:rPr>
              <w:t>SALIDAS (CR):</w:t>
            </w:r>
          </w:p>
        </w:tc>
        <w:tc>
          <w:tcPr>
            <w:tcW w:w="864" w:type="pct"/>
            <w:tcBorders>
              <w:top w:val="nil"/>
              <w:left w:val="nil"/>
              <w:bottom w:val="single" w:sz="4" w:space="0" w:color="A6A6A6"/>
              <w:right w:val="single" w:sz="4" w:space="0" w:color="A6A6A6"/>
            </w:tcBorders>
            <w:noWrap/>
            <w:vAlign w:val="center"/>
            <w:hideMark/>
          </w:tcPr>
          <w:p w14:paraId="2852E8A9" w14:textId="77777777" w:rsidR="00CA0E31" w:rsidRPr="00520A6E" w:rsidRDefault="00CA0E31" w:rsidP="000A5389">
            <w:pPr>
              <w:spacing w:line="240" w:lineRule="auto"/>
              <w:jc w:val="right"/>
              <w:rPr>
                <w:rFonts w:eastAsia="Times New Roman" w:cs="Times New Roman"/>
                <w:b/>
                <w:bCs/>
                <w:color w:val="000000"/>
                <w:sz w:val="16"/>
                <w:szCs w:val="16"/>
                <w:lang w:val="es-419" w:eastAsia="es-419"/>
              </w:rPr>
            </w:pPr>
            <w:r w:rsidRPr="00520A6E">
              <w:rPr>
                <w:rFonts w:eastAsia="Times New Roman" w:cs="Times New Roman"/>
                <w:b/>
                <w:bCs/>
                <w:color w:val="000000"/>
                <w:sz w:val="16"/>
                <w:szCs w:val="16"/>
                <w:lang w:val="es-419" w:eastAsia="es-419"/>
              </w:rPr>
              <w:t xml:space="preserve">4.362.446.266.890 </w:t>
            </w:r>
          </w:p>
        </w:tc>
        <w:tc>
          <w:tcPr>
            <w:tcW w:w="914" w:type="pct"/>
            <w:tcBorders>
              <w:top w:val="nil"/>
              <w:left w:val="nil"/>
              <w:bottom w:val="single" w:sz="4" w:space="0" w:color="A6A6A6"/>
              <w:right w:val="single" w:sz="4" w:space="0" w:color="A6A6A6"/>
            </w:tcBorders>
            <w:noWrap/>
            <w:vAlign w:val="center"/>
            <w:hideMark/>
          </w:tcPr>
          <w:p w14:paraId="0FB45937" w14:textId="77777777" w:rsidR="00CA0E31" w:rsidRPr="00520A6E" w:rsidRDefault="00CA0E31" w:rsidP="000A5389">
            <w:pPr>
              <w:spacing w:line="240" w:lineRule="auto"/>
              <w:jc w:val="right"/>
              <w:rPr>
                <w:rFonts w:eastAsia="Times New Roman" w:cs="Times New Roman"/>
                <w:b/>
                <w:bCs/>
                <w:color w:val="000000"/>
                <w:sz w:val="16"/>
                <w:szCs w:val="16"/>
                <w:lang w:val="es-419" w:eastAsia="es-419"/>
              </w:rPr>
            </w:pPr>
            <w:r w:rsidRPr="00520A6E">
              <w:rPr>
                <w:rFonts w:eastAsia="Times New Roman" w:cs="Times New Roman"/>
                <w:b/>
                <w:bCs/>
                <w:color w:val="000000"/>
                <w:sz w:val="16"/>
                <w:szCs w:val="16"/>
                <w:lang w:val="es-419" w:eastAsia="es-419"/>
              </w:rPr>
              <w:t xml:space="preserve">431.128.851.806 </w:t>
            </w:r>
          </w:p>
        </w:tc>
        <w:tc>
          <w:tcPr>
            <w:tcW w:w="825" w:type="pct"/>
            <w:tcBorders>
              <w:top w:val="nil"/>
              <w:left w:val="nil"/>
              <w:bottom w:val="single" w:sz="4" w:space="0" w:color="A6A6A6"/>
              <w:right w:val="single" w:sz="4" w:space="0" w:color="A6A6A6"/>
            </w:tcBorders>
            <w:noWrap/>
            <w:vAlign w:val="center"/>
            <w:hideMark/>
          </w:tcPr>
          <w:p w14:paraId="14CF40D7" w14:textId="77777777" w:rsidR="00CA0E31" w:rsidRPr="00520A6E" w:rsidRDefault="00CA0E31" w:rsidP="000A5389">
            <w:pPr>
              <w:spacing w:line="240" w:lineRule="auto"/>
              <w:jc w:val="right"/>
              <w:rPr>
                <w:rFonts w:eastAsia="Times New Roman" w:cs="Times New Roman"/>
                <w:b/>
                <w:bCs/>
                <w:color w:val="000000"/>
                <w:sz w:val="16"/>
                <w:szCs w:val="16"/>
                <w:lang w:val="es-419" w:eastAsia="es-419"/>
              </w:rPr>
            </w:pPr>
            <w:r w:rsidRPr="00520A6E">
              <w:rPr>
                <w:rFonts w:eastAsia="Times New Roman" w:cs="Times New Roman"/>
                <w:b/>
                <w:bCs/>
                <w:color w:val="000000"/>
                <w:sz w:val="16"/>
                <w:szCs w:val="16"/>
                <w:lang w:val="es-419" w:eastAsia="es-419"/>
              </w:rPr>
              <w:t xml:space="preserve">1.137.668.047.095 </w:t>
            </w:r>
          </w:p>
        </w:tc>
        <w:tc>
          <w:tcPr>
            <w:tcW w:w="979" w:type="pct"/>
            <w:tcBorders>
              <w:top w:val="nil"/>
              <w:left w:val="nil"/>
              <w:bottom w:val="single" w:sz="4" w:space="0" w:color="A6A6A6"/>
              <w:right w:val="single" w:sz="4" w:space="0" w:color="A6A6A6"/>
            </w:tcBorders>
            <w:noWrap/>
            <w:vAlign w:val="center"/>
            <w:hideMark/>
          </w:tcPr>
          <w:p w14:paraId="6DF731DF" w14:textId="77777777" w:rsidR="00CA0E31" w:rsidRPr="00520A6E" w:rsidRDefault="00CA0E31" w:rsidP="000A5389">
            <w:pPr>
              <w:spacing w:line="240" w:lineRule="auto"/>
              <w:jc w:val="right"/>
              <w:rPr>
                <w:rFonts w:eastAsia="Times New Roman" w:cs="Times New Roman"/>
                <w:b/>
                <w:bCs/>
                <w:color w:val="000000"/>
                <w:sz w:val="16"/>
                <w:szCs w:val="16"/>
                <w:lang w:val="es-419" w:eastAsia="es-419"/>
              </w:rPr>
            </w:pPr>
            <w:r w:rsidRPr="00520A6E">
              <w:rPr>
                <w:rFonts w:eastAsia="Times New Roman" w:cs="Times New Roman"/>
                <w:b/>
                <w:bCs/>
                <w:color w:val="000000"/>
                <w:sz w:val="16"/>
                <w:szCs w:val="16"/>
                <w:lang w:val="es-419" w:eastAsia="es-419"/>
              </w:rPr>
              <w:t xml:space="preserve">5.931.243.165.790 </w:t>
            </w:r>
          </w:p>
        </w:tc>
      </w:tr>
      <w:tr w:rsidR="001D0619" w:rsidRPr="00951AB1" w14:paraId="265AF041" w14:textId="77777777" w:rsidTr="001D0619">
        <w:trPr>
          <w:cantSplit/>
          <w:trHeight w:val="290"/>
        </w:trPr>
        <w:tc>
          <w:tcPr>
            <w:tcW w:w="131" w:type="pct"/>
            <w:tcBorders>
              <w:top w:val="nil"/>
              <w:left w:val="single" w:sz="4" w:space="0" w:color="A6A6A6"/>
              <w:bottom w:val="single" w:sz="4" w:space="0" w:color="A6A6A6"/>
              <w:right w:val="nil"/>
            </w:tcBorders>
            <w:noWrap/>
            <w:vAlign w:val="center"/>
            <w:hideMark/>
          </w:tcPr>
          <w:p w14:paraId="445884D4" w14:textId="77777777" w:rsidR="00CA0E31" w:rsidRPr="00520A6E" w:rsidRDefault="00CA0E31" w:rsidP="000A5389">
            <w:pPr>
              <w:spacing w:line="240" w:lineRule="auto"/>
              <w:rPr>
                <w:rFonts w:eastAsia="Times New Roman" w:cs="Times New Roman"/>
                <w:sz w:val="16"/>
                <w:szCs w:val="16"/>
                <w:lang w:val="es-419" w:eastAsia="es-419"/>
              </w:rPr>
            </w:pPr>
            <w:r w:rsidRPr="00520A6E">
              <w:rPr>
                <w:rFonts w:eastAsia="Times New Roman" w:cs="Times New Roman"/>
                <w:sz w:val="16"/>
                <w:szCs w:val="16"/>
                <w:lang w:val="es-419" w:eastAsia="es-419"/>
              </w:rPr>
              <w:t> </w:t>
            </w:r>
          </w:p>
        </w:tc>
        <w:tc>
          <w:tcPr>
            <w:tcW w:w="102" w:type="pct"/>
            <w:tcBorders>
              <w:top w:val="nil"/>
              <w:left w:val="nil"/>
              <w:bottom w:val="single" w:sz="4" w:space="0" w:color="A6A6A6"/>
              <w:right w:val="nil"/>
            </w:tcBorders>
            <w:noWrap/>
            <w:vAlign w:val="center"/>
            <w:hideMark/>
          </w:tcPr>
          <w:p w14:paraId="12EC8E49" w14:textId="77777777" w:rsidR="00CA0E31" w:rsidRPr="00520A6E" w:rsidRDefault="00CA0E31" w:rsidP="000A5389">
            <w:pPr>
              <w:spacing w:line="240" w:lineRule="auto"/>
              <w:rPr>
                <w:rFonts w:eastAsia="Times New Roman" w:cs="Times New Roman"/>
                <w:sz w:val="16"/>
                <w:szCs w:val="16"/>
                <w:lang w:val="es-419" w:eastAsia="es-419"/>
              </w:rPr>
            </w:pPr>
            <w:r w:rsidRPr="00520A6E">
              <w:rPr>
                <w:rFonts w:eastAsia="Times New Roman" w:cs="Times New Roman"/>
                <w:sz w:val="16"/>
                <w:szCs w:val="16"/>
                <w:lang w:val="es-419" w:eastAsia="es-419"/>
              </w:rPr>
              <w:t> </w:t>
            </w:r>
          </w:p>
        </w:tc>
        <w:tc>
          <w:tcPr>
            <w:tcW w:w="1185" w:type="pct"/>
            <w:gridSpan w:val="2"/>
            <w:tcBorders>
              <w:top w:val="single" w:sz="4" w:space="0" w:color="A6A6A6"/>
              <w:left w:val="nil"/>
              <w:bottom w:val="single" w:sz="4" w:space="0" w:color="A6A6A6"/>
              <w:right w:val="single" w:sz="4" w:space="0" w:color="A6A6A6"/>
            </w:tcBorders>
            <w:noWrap/>
            <w:vAlign w:val="center"/>
            <w:hideMark/>
          </w:tcPr>
          <w:p w14:paraId="181B551F" w14:textId="77777777" w:rsidR="00CA0E31" w:rsidRPr="00520A6E" w:rsidRDefault="00CA0E31" w:rsidP="000A5389">
            <w:pPr>
              <w:spacing w:line="240" w:lineRule="auto"/>
              <w:rPr>
                <w:rFonts w:eastAsia="Times New Roman" w:cs="Times New Roman"/>
                <w:sz w:val="16"/>
                <w:szCs w:val="16"/>
                <w:lang w:val="es-419" w:eastAsia="es-419"/>
              </w:rPr>
            </w:pPr>
            <w:r w:rsidRPr="00520A6E">
              <w:rPr>
                <w:rFonts w:eastAsia="Times New Roman" w:cs="Times New Roman"/>
                <w:sz w:val="16"/>
                <w:szCs w:val="16"/>
                <w:lang w:val="es-419" w:eastAsia="es-419"/>
              </w:rPr>
              <w:t>Otras salidas de BUP</w:t>
            </w:r>
          </w:p>
        </w:tc>
        <w:tc>
          <w:tcPr>
            <w:tcW w:w="864" w:type="pct"/>
            <w:tcBorders>
              <w:top w:val="nil"/>
              <w:left w:val="nil"/>
              <w:bottom w:val="single" w:sz="4" w:space="0" w:color="A6A6A6"/>
              <w:right w:val="single" w:sz="4" w:space="0" w:color="A6A6A6"/>
            </w:tcBorders>
            <w:noWrap/>
            <w:vAlign w:val="center"/>
            <w:hideMark/>
          </w:tcPr>
          <w:p w14:paraId="6B9D4E7E" w14:textId="77777777" w:rsidR="00CA0E31" w:rsidRPr="00520A6E" w:rsidRDefault="00CA0E31" w:rsidP="000A5389">
            <w:pPr>
              <w:spacing w:line="240" w:lineRule="auto"/>
              <w:jc w:val="right"/>
              <w:rPr>
                <w:rFonts w:eastAsia="Times New Roman" w:cs="Times New Roman"/>
                <w:color w:val="000000"/>
                <w:sz w:val="16"/>
                <w:szCs w:val="16"/>
                <w:lang w:val="es-419" w:eastAsia="es-419"/>
              </w:rPr>
            </w:pPr>
            <w:r w:rsidRPr="00520A6E">
              <w:rPr>
                <w:rFonts w:eastAsia="Times New Roman" w:cs="Times New Roman"/>
                <w:color w:val="000000"/>
                <w:sz w:val="16"/>
                <w:szCs w:val="16"/>
                <w:lang w:val="es-419" w:eastAsia="es-419"/>
              </w:rPr>
              <w:t xml:space="preserve">4.362.446.266.890 </w:t>
            </w:r>
          </w:p>
        </w:tc>
        <w:tc>
          <w:tcPr>
            <w:tcW w:w="914" w:type="pct"/>
            <w:tcBorders>
              <w:top w:val="nil"/>
              <w:left w:val="nil"/>
              <w:bottom w:val="single" w:sz="4" w:space="0" w:color="A6A6A6"/>
              <w:right w:val="single" w:sz="4" w:space="0" w:color="A6A6A6"/>
            </w:tcBorders>
            <w:noWrap/>
            <w:vAlign w:val="center"/>
            <w:hideMark/>
          </w:tcPr>
          <w:p w14:paraId="0CD91583" w14:textId="77777777" w:rsidR="00CA0E31" w:rsidRPr="00520A6E" w:rsidRDefault="00CA0E31" w:rsidP="000A5389">
            <w:pPr>
              <w:spacing w:line="240" w:lineRule="auto"/>
              <w:jc w:val="right"/>
              <w:rPr>
                <w:rFonts w:eastAsia="Times New Roman" w:cs="Times New Roman"/>
                <w:color w:val="000000"/>
                <w:sz w:val="16"/>
                <w:szCs w:val="16"/>
                <w:lang w:val="es-419" w:eastAsia="es-419"/>
              </w:rPr>
            </w:pPr>
            <w:r w:rsidRPr="00520A6E">
              <w:rPr>
                <w:rFonts w:eastAsia="Times New Roman" w:cs="Times New Roman"/>
                <w:color w:val="000000"/>
                <w:sz w:val="16"/>
                <w:szCs w:val="16"/>
                <w:lang w:val="es-419" w:eastAsia="es-419"/>
              </w:rPr>
              <w:t xml:space="preserve">431.128.851.806 </w:t>
            </w:r>
          </w:p>
        </w:tc>
        <w:tc>
          <w:tcPr>
            <w:tcW w:w="825" w:type="pct"/>
            <w:tcBorders>
              <w:top w:val="nil"/>
              <w:left w:val="nil"/>
              <w:bottom w:val="single" w:sz="4" w:space="0" w:color="A6A6A6"/>
              <w:right w:val="single" w:sz="4" w:space="0" w:color="A6A6A6"/>
            </w:tcBorders>
            <w:noWrap/>
            <w:vAlign w:val="center"/>
            <w:hideMark/>
          </w:tcPr>
          <w:p w14:paraId="7F1AFF0E" w14:textId="77777777" w:rsidR="00CA0E31" w:rsidRPr="00520A6E" w:rsidRDefault="00CA0E31" w:rsidP="000A5389">
            <w:pPr>
              <w:spacing w:line="240" w:lineRule="auto"/>
              <w:jc w:val="right"/>
              <w:rPr>
                <w:rFonts w:eastAsia="Times New Roman" w:cs="Times New Roman"/>
                <w:color w:val="000000"/>
                <w:sz w:val="16"/>
                <w:szCs w:val="16"/>
                <w:lang w:val="es-419" w:eastAsia="es-419"/>
              </w:rPr>
            </w:pPr>
            <w:r w:rsidRPr="00520A6E">
              <w:rPr>
                <w:rFonts w:eastAsia="Times New Roman" w:cs="Times New Roman"/>
                <w:color w:val="000000"/>
                <w:sz w:val="16"/>
                <w:szCs w:val="16"/>
                <w:lang w:val="es-419" w:eastAsia="es-419"/>
              </w:rPr>
              <w:t xml:space="preserve">1.137.668.047.095 </w:t>
            </w:r>
          </w:p>
        </w:tc>
        <w:tc>
          <w:tcPr>
            <w:tcW w:w="979" w:type="pct"/>
            <w:tcBorders>
              <w:top w:val="nil"/>
              <w:left w:val="nil"/>
              <w:bottom w:val="single" w:sz="4" w:space="0" w:color="A6A6A6"/>
              <w:right w:val="single" w:sz="4" w:space="0" w:color="A6A6A6"/>
            </w:tcBorders>
            <w:noWrap/>
            <w:vAlign w:val="center"/>
            <w:hideMark/>
          </w:tcPr>
          <w:p w14:paraId="49B7AC54" w14:textId="77777777" w:rsidR="00CA0E31" w:rsidRPr="00520A6E" w:rsidRDefault="00CA0E31" w:rsidP="000A5389">
            <w:pPr>
              <w:spacing w:line="240" w:lineRule="auto"/>
              <w:jc w:val="right"/>
              <w:rPr>
                <w:rFonts w:eastAsia="Times New Roman" w:cs="Times New Roman"/>
                <w:color w:val="000000"/>
                <w:sz w:val="16"/>
                <w:szCs w:val="16"/>
                <w:lang w:val="es-419" w:eastAsia="es-419"/>
              </w:rPr>
            </w:pPr>
            <w:r w:rsidRPr="00520A6E">
              <w:rPr>
                <w:rFonts w:eastAsia="Times New Roman" w:cs="Times New Roman"/>
                <w:color w:val="000000"/>
                <w:sz w:val="16"/>
                <w:szCs w:val="16"/>
                <w:lang w:val="es-419" w:eastAsia="es-419"/>
              </w:rPr>
              <w:t xml:space="preserve">5.931.243.165.790 </w:t>
            </w:r>
          </w:p>
        </w:tc>
      </w:tr>
      <w:tr w:rsidR="001D0619" w:rsidRPr="00951AB1" w14:paraId="5CA84DD4" w14:textId="77777777" w:rsidTr="001D0619">
        <w:trPr>
          <w:cantSplit/>
          <w:trHeight w:val="290"/>
        </w:trPr>
        <w:tc>
          <w:tcPr>
            <w:tcW w:w="131" w:type="pct"/>
            <w:tcBorders>
              <w:top w:val="nil"/>
              <w:left w:val="single" w:sz="4" w:space="0" w:color="A6A6A6"/>
              <w:bottom w:val="single" w:sz="4" w:space="0" w:color="A6A6A6"/>
              <w:right w:val="nil"/>
            </w:tcBorders>
            <w:noWrap/>
            <w:vAlign w:val="center"/>
            <w:hideMark/>
          </w:tcPr>
          <w:p w14:paraId="09BFAA02" w14:textId="77777777" w:rsidR="00CA0E31" w:rsidRPr="00520A6E" w:rsidRDefault="00CA0E31" w:rsidP="000A5389">
            <w:pPr>
              <w:spacing w:line="240" w:lineRule="auto"/>
              <w:rPr>
                <w:rFonts w:eastAsia="Times New Roman" w:cs="Times New Roman"/>
                <w:sz w:val="16"/>
                <w:szCs w:val="16"/>
                <w:lang w:val="es-419" w:eastAsia="es-419"/>
              </w:rPr>
            </w:pPr>
            <w:r w:rsidRPr="00520A6E">
              <w:rPr>
                <w:rFonts w:eastAsia="Times New Roman" w:cs="Times New Roman"/>
                <w:sz w:val="16"/>
                <w:szCs w:val="16"/>
                <w:lang w:val="es-419" w:eastAsia="es-419"/>
              </w:rPr>
              <w:t> </w:t>
            </w:r>
          </w:p>
        </w:tc>
        <w:tc>
          <w:tcPr>
            <w:tcW w:w="102" w:type="pct"/>
            <w:tcBorders>
              <w:top w:val="nil"/>
              <w:left w:val="nil"/>
              <w:bottom w:val="single" w:sz="4" w:space="0" w:color="A6A6A6"/>
              <w:right w:val="nil"/>
            </w:tcBorders>
            <w:noWrap/>
            <w:vAlign w:val="center"/>
            <w:hideMark/>
          </w:tcPr>
          <w:p w14:paraId="18E9D1A4" w14:textId="77777777" w:rsidR="00CA0E31" w:rsidRPr="00520A6E" w:rsidRDefault="00CA0E31" w:rsidP="000A5389">
            <w:pPr>
              <w:spacing w:line="240" w:lineRule="auto"/>
              <w:rPr>
                <w:rFonts w:eastAsia="Times New Roman" w:cs="Times New Roman"/>
                <w:sz w:val="16"/>
                <w:szCs w:val="16"/>
                <w:lang w:val="es-419" w:eastAsia="es-419"/>
              </w:rPr>
            </w:pPr>
            <w:r w:rsidRPr="00520A6E">
              <w:rPr>
                <w:rFonts w:eastAsia="Times New Roman" w:cs="Times New Roman"/>
                <w:sz w:val="16"/>
                <w:szCs w:val="16"/>
                <w:lang w:val="es-419" w:eastAsia="es-419"/>
              </w:rPr>
              <w:t> </w:t>
            </w:r>
          </w:p>
        </w:tc>
        <w:tc>
          <w:tcPr>
            <w:tcW w:w="92" w:type="pct"/>
            <w:tcBorders>
              <w:top w:val="nil"/>
              <w:left w:val="nil"/>
              <w:bottom w:val="single" w:sz="4" w:space="0" w:color="A6A6A6"/>
              <w:right w:val="nil"/>
            </w:tcBorders>
            <w:noWrap/>
            <w:vAlign w:val="center"/>
            <w:hideMark/>
          </w:tcPr>
          <w:p w14:paraId="5D1C3BEB" w14:textId="77777777" w:rsidR="00CA0E31" w:rsidRPr="00520A6E" w:rsidRDefault="00CA0E31" w:rsidP="003771DA">
            <w:pPr>
              <w:spacing w:line="240" w:lineRule="auto"/>
              <w:ind w:left="-212"/>
              <w:rPr>
                <w:rFonts w:eastAsia="Times New Roman" w:cs="Times New Roman"/>
                <w:sz w:val="16"/>
                <w:szCs w:val="16"/>
                <w:lang w:val="es-419" w:eastAsia="es-419"/>
              </w:rPr>
            </w:pPr>
            <w:r w:rsidRPr="00520A6E">
              <w:rPr>
                <w:rFonts w:eastAsia="Times New Roman" w:cs="Times New Roman"/>
                <w:sz w:val="16"/>
                <w:szCs w:val="16"/>
                <w:lang w:val="es-419" w:eastAsia="es-419"/>
              </w:rPr>
              <w:t> </w:t>
            </w:r>
          </w:p>
        </w:tc>
        <w:tc>
          <w:tcPr>
            <w:tcW w:w="1093" w:type="pct"/>
            <w:tcBorders>
              <w:top w:val="nil"/>
              <w:left w:val="nil"/>
              <w:bottom w:val="single" w:sz="4" w:space="0" w:color="A6A6A6"/>
              <w:right w:val="single" w:sz="4" w:space="0" w:color="A6A6A6"/>
            </w:tcBorders>
            <w:vAlign w:val="center"/>
            <w:hideMark/>
          </w:tcPr>
          <w:p w14:paraId="1F33A12E" w14:textId="77777777" w:rsidR="00CA0E31" w:rsidRPr="00520A6E" w:rsidRDefault="00CA0E31" w:rsidP="000A5389">
            <w:pPr>
              <w:spacing w:line="240" w:lineRule="auto"/>
              <w:rPr>
                <w:rFonts w:eastAsia="Times New Roman" w:cs="Times New Roman"/>
                <w:sz w:val="16"/>
                <w:szCs w:val="16"/>
                <w:lang w:val="es-419" w:eastAsia="es-419"/>
              </w:rPr>
            </w:pPr>
            <w:r w:rsidRPr="00520A6E">
              <w:rPr>
                <w:rFonts w:eastAsia="Times New Roman" w:cs="Times New Roman"/>
                <w:sz w:val="16"/>
                <w:szCs w:val="16"/>
                <w:lang w:val="es-419" w:eastAsia="es-419"/>
              </w:rPr>
              <w:t>* Activos asociados al Modo Carretero (Reversiones)</w:t>
            </w:r>
          </w:p>
        </w:tc>
        <w:tc>
          <w:tcPr>
            <w:tcW w:w="864" w:type="pct"/>
            <w:tcBorders>
              <w:top w:val="nil"/>
              <w:left w:val="nil"/>
              <w:bottom w:val="single" w:sz="4" w:space="0" w:color="A6A6A6"/>
              <w:right w:val="single" w:sz="4" w:space="0" w:color="A6A6A6"/>
            </w:tcBorders>
            <w:noWrap/>
            <w:vAlign w:val="center"/>
            <w:hideMark/>
          </w:tcPr>
          <w:p w14:paraId="1ABB3063" w14:textId="77777777" w:rsidR="00CA0E31" w:rsidRPr="00520A6E" w:rsidRDefault="00CA0E31" w:rsidP="000A5389">
            <w:pPr>
              <w:spacing w:line="240" w:lineRule="auto"/>
              <w:jc w:val="right"/>
              <w:rPr>
                <w:rFonts w:eastAsia="Times New Roman" w:cs="Times New Roman"/>
                <w:color w:val="000000"/>
                <w:sz w:val="16"/>
                <w:szCs w:val="16"/>
                <w:lang w:val="es-419" w:eastAsia="es-419"/>
              </w:rPr>
            </w:pPr>
            <w:r w:rsidRPr="00520A6E">
              <w:rPr>
                <w:rFonts w:eastAsia="Times New Roman" w:cs="Times New Roman"/>
                <w:color w:val="000000"/>
                <w:sz w:val="16"/>
                <w:szCs w:val="16"/>
                <w:lang w:val="es-419" w:eastAsia="es-419"/>
              </w:rPr>
              <w:t xml:space="preserve">4.198.518.074.651 </w:t>
            </w:r>
          </w:p>
        </w:tc>
        <w:tc>
          <w:tcPr>
            <w:tcW w:w="914" w:type="pct"/>
            <w:tcBorders>
              <w:top w:val="nil"/>
              <w:left w:val="nil"/>
              <w:bottom w:val="single" w:sz="4" w:space="0" w:color="A6A6A6"/>
              <w:right w:val="single" w:sz="4" w:space="0" w:color="A6A6A6"/>
            </w:tcBorders>
            <w:noWrap/>
            <w:vAlign w:val="center"/>
            <w:hideMark/>
          </w:tcPr>
          <w:p w14:paraId="1A3C152B" w14:textId="77777777" w:rsidR="00CA0E31" w:rsidRPr="00520A6E" w:rsidRDefault="00CA0E31" w:rsidP="000A5389">
            <w:pPr>
              <w:spacing w:line="240" w:lineRule="auto"/>
              <w:jc w:val="right"/>
              <w:rPr>
                <w:rFonts w:eastAsia="Times New Roman" w:cs="Times New Roman"/>
                <w:color w:val="000000"/>
                <w:sz w:val="16"/>
                <w:szCs w:val="16"/>
                <w:lang w:val="es-419" w:eastAsia="es-419"/>
              </w:rPr>
            </w:pPr>
            <w:r w:rsidRPr="00520A6E">
              <w:rPr>
                <w:rFonts w:eastAsia="Times New Roman" w:cs="Times New Roman"/>
                <w:color w:val="000000"/>
                <w:sz w:val="16"/>
                <w:szCs w:val="16"/>
                <w:lang w:val="es-419" w:eastAsia="es-419"/>
              </w:rPr>
              <w:t xml:space="preserve">411.860.532.153 </w:t>
            </w:r>
          </w:p>
        </w:tc>
        <w:tc>
          <w:tcPr>
            <w:tcW w:w="825" w:type="pct"/>
            <w:tcBorders>
              <w:top w:val="nil"/>
              <w:left w:val="nil"/>
              <w:bottom w:val="single" w:sz="4" w:space="0" w:color="A6A6A6"/>
              <w:right w:val="single" w:sz="4" w:space="0" w:color="A6A6A6"/>
            </w:tcBorders>
            <w:noWrap/>
            <w:vAlign w:val="center"/>
            <w:hideMark/>
          </w:tcPr>
          <w:p w14:paraId="0E04C5E0" w14:textId="77777777" w:rsidR="00CA0E31" w:rsidRPr="00520A6E" w:rsidRDefault="00CA0E31" w:rsidP="000A5389">
            <w:pPr>
              <w:spacing w:line="240" w:lineRule="auto"/>
              <w:jc w:val="right"/>
              <w:rPr>
                <w:rFonts w:eastAsia="Times New Roman" w:cs="Times New Roman"/>
                <w:color w:val="000000"/>
                <w:sz w:val="16"/>
                <w:szCs w:val="16"/>
                <w:lang w:val="es-419" w:eastAsia="es-419"/>
              </w:rPr>
            </w:pPr>
            <w:r w:rsidRPr="00520A6E">
              <w:rPr>
                <w:rFonts w:eastAsia="Times New Roman" w:cs="Times New Roman"/>
                <w:color w:val="000000"/>
                <w:sz w:val="16"/>
                <w:szCs w:val="16"/>
                <w:lang w:val="es-419" w:eastAsia="es-419"/>
              </w:rPr>
              <w:t xml:space="preserve">0 </w:t>
            </w:r>
          </w:p>
        </w:tc>
        <w:tc>
          <w:tcPr>
            <w:tcW w:w="979" w:type="pct"/>
            <w:tcBorders>
              <w:top w:val="nil"/>
              <w:left w:val="nil"/>
              <w:bottom w:val="single" w:sz="4" w:space="0" w:color="A6A6A6"/>
              <w:right w:val="single" w:sz="4" w:space="0" w:color="A6A6A6"/>
            </w:tcBorders>
            <w:noWrap/>
            <w:vAlign w:val="center"/>
            <w:hideMark/>
          </w:tcPr>
          <w:p w14:paraId="6827DF24" w14:textId="77777777" w:rsidR="00CA0E31" w:rsidRPr="00520A6E" w:rsidRDefault="00CA0E31" w:rsidP="000A5389">
            <w:pPr>
              <w:spacing w:line="240" w:lineRule="auto"/>
              <w:jc w:val="right"/>
              <w:rPr>
                <w:rFonts w:eastAsia="Times New Roman" w:cs="Times New Roman"/>
                <w:color w:val="000000"/>
                <w:sz w:val="16"/>
                <w:szCs w:val="16"/>
                <w:lang w:val="es-419" w:eastAsia="es-419"/>
              </w:rPr>
            </w:pPr>
            <w:r w:rsidRPr="00520A6E">
              <w:rPr>
                <w:rFonts w:eastAsia="Times New Roman" w:cs="Times New Roman"/>
                <w:color w:val="000000"/>
                <w:sz w:val="16"/>
                <w:szCs w:val="16"/>
                <w:lang w:val="es-419" w:eastAsia="es-419"/>
              </w:rPr>
              <w:t xml:space="preserve">4.610.378.606.804 </w:t>
            </w:r>
          </w:p>
        </w:tc>
      </w:tr>
      <w:tr w:rsidR="001D0619" w:rsidRPr="00951AB1" w14:paraId="3E88BAC0" w14:textId="77777777" w:rsidTr="001D0619">
        <w:trPr>
          <w:cantSplit/>
          <w:trHeight w:val="290"/>
        </w:trPr>
        <w:tc>
          <w:tcPr>
            <w:tcW w:w="131" w:type="pct"/>
            <w:tcBorders>
              <w:top w:val="nil"/>
              <w:left w:val="single" w:sz="4" w:space="0" w:color="A6A6A6"/>
              <w:bottom w:val="single" w:sz="4" w:space="0" w:color="A6A6A6"/>
              <w:right w:val="nil"/>
            </w:tcBorders>
            <w:noWrap/>
            <w:vAlign w:val="center"/>
            <w:hideMark/>
          </w:tcPr>
          <w:p w14:paraId="3FBEB17B" w14:textId="77777777" w:rsidR="00CA0E31" w:rsidRPr="00520A6E" w:rsidRDefault="00CA0E31" w:rsidP="000A5389">
            <w:pPr>
              <w:spacing w:line="240" w:lineRule="auto"/>
              <w:rPr>
                <w:rFonts w:eastAsia="Times New Roman" w:cs="Times New Roman"/>
                <w:sz w:val="16"/>
                <w:szCs w:val="16"/>
                <w:lang w:val="es-419" w:eastAsia="es-419"/>
              </w:rPr>
            </w:pPr>
            <w:r w:rsidRPr="00520A6E">
              <w:rPr>
                <w:rFonts w:eastAsia="Times New Roman" w:cs="Times New Roman"/>
                <w:sz w:val="16"/>
                <w:szCs w:val="16"/>
                <w:lang w:val="es-419" w:eastAsia="es-419"/>
              </w:rPr>
              <w:t> </w:t>
            </w:r>
          </w:p>
        </w:tc>
        <w:tc>
          <w:tcPr>
            <w:tcW w:w="102" w:type="pct"/>
            <w:tcBorders>
              <w:top w:val="nil"/>
              <w:left w:val="nil"/>
              <w:bottom w:val="single" w:sz="4" w:space="0" w:color="A6A6A6"/>
              <w:right w:val="nil"/>
            </w:tcBorders>
            <w:noWrap/>
            <w:vAlign w:val="center"/>
            <w:hideMark/>
          </w:tcPr>
          <w:p w14:paraId="11AB9201" w14:textId="77777777" w:rsidR="00CA0E31" w:rsidRPr="00520A6E" w:rsidRDefault="00CA0E31" w:rsidP="000A5389">
            <w:pPr>
              <w:spacing w:line="240" w:lineRule="auto"/>
              <w:rPr>
                <w:rFonts w:eastAsia="Times New Roman" w:cs="Times New Roman"/>
                <w:sz w:val="16"/>
                <w:szCs w:val="16"/>
                <w:lang w:val="es-419" w:eastAsia="es-419"/>
              </w:rPr>
            </w:pPr>
            <w:r w:rsidRPr="00520A6E">
              <w:rPr>
                <w:rFonts w:eastAsia="Times New Roman" w:cs="Times New Roman"/>
                <w:sz w:val="16"/>
                <w:szCs w:val="16"/>
                <w:lang w:val="es-419" w:eastAsia="es-419"/>
              </w:rPr>
              <w:t> </w:t>
            </w:r>
          </w:p>
        </w:tc>
        <w:tc>
          <w:tcPr>
            <w:tcW w:w="92" w:type="pct"/>
            <w:tcBorders>
              <w:top w:val="nil"/>
              <w:left w:val="nil"/>
              <w:bottom w:val="single" w:sz="4" w:space="0" w:color="A6A6A6"/>
              <w:right w:val="nil"/>
            </w:tcBorders>
            <w:noWrap/>
            <w:vAlign w:val="center"/>
            <w:hideMark/>
          </w:tcPr>
          <w:p w14:paraId="7E0CED6D" w14:textId="77777777" w:rsidR="00CA0E31" w:rsidRPr="00520A6E" w:rsidRDefault="00CA0E31" w:rsidP="000A5389">
            <w:pPr>
              <w:spacing w:line="240" w:lineRule="auto"/>
              <w:rPr>
                <w:rFonts w:eastAsia="Times New Roman" w:cs="Times New Roman"/>
                <w:sz w:val="16"/>
                <w:szCs w:val="16"/>
                <w:lang w:val="es-419" w:eastAsia="es-419"/>
              </w:rPr>
            </w:pPr>
            <w:r w:rsidRPr="00520A6E">
              <w:rPr>
                <w:rFonts w:eastAsia="Times New Roman" w:cs="Times New Roman"/>
                <w:sz w:val="16"/>
                <w:szCs w:val="16"/>
                <w:lang w:val="es-419" w:eastAsia="es-419"/>
              </w:rPr>
              <w:t> </w:t>
            </w:r>
          </w:p>
        </w:tc>
        <w:tc>
          <w:tcPr>
            <w:tcW w:w="1093" w:type="pct"/>
            <w:tcBorders>
              <w:top w:val="nil"/>
              <w:left w:val="nil"/>
              <w:bottom w:val="single" w:sz="4" w:space="0" w:color="A6A6A6"/>
              <w:right w:val="single" w:sz="4" w:space="0" w:color="A6A6A6"/>
            </w:tcBorders>
            <w:vAlign w:val="center"/>
            <w:hideMark/>
          </w:tcPr>
          <w:p w14:paraId="50FD7039" w14:textId="77777777" w:rsidR="00CA0E31" w:rsidRPr="00520A6E" w:rsidRDefault="00CA0E31" w:rsidP="000A5389">
            <w:pPr>
              <w:spacing w:line="240" w:lineRule="auto"/>
              <w:rPr>
                <w:rFonts w:eastAsia="Times New Roman" w:cs="Times New Roman"/>
                <w:sz w:val="16"/>
                <w:szCs w:val="16"/>
                <w:lang w:val="es-419" w:eastAsia="es-419"/>
              </w:rPr>
            </w:pPr>
            <w:r w:rsidRPr="00520A6E">
              <w:rPr>
                <w:rFonts w:eastAsia="Times New Roman" w:cs="Times New Roman"/>
                <w:sz w:val="16"/>
                <w:szCs w:val="16"/>
                <w:lang w:val="es-419" w:eastAsia="es-419"/>
              </w:rPr>
              <w:t>* Terrenos (Reversión)</w:t>
            </w:r>
          </w:p>
        </w:tc>
        <w:tc>
          <w:tcPr>
            <w:tcW w:w="864" w:type="pct"/>
            <w:tcBorders>
              <w:top w:val="nil"/>
              <w:left w:val="nil"/>
              <w:bottom w:val="single" w:sz="4" w:space="0" w:color="A6A6A6"/>
              <w:right w:val="single" w:sz="4" w:space="0" w:color="A6A6A6"/>
            </w:tcBorders>
            <w:noWrap/>
            <w:vAlign w:val="center"/>
            <w:hideMark/>
          </w:tcPr>
          <w:p w14:paraId="25C71DD7" w14:textId="77777777" w:rsidR="00CA0E31" w:rsidRPr="00520A6E" w:rsidRDefault="00CA0E31" w:rsidP="000A5389">
            <w:pPr>
              <w:spacing w:line="240" w:lineRule="auto"/>
              <w:jc w:val="right"/>
              <w:rPr>
                <w:rFonts w:eastAsia="Times New Roman" w:cs="Times New Roman"/>
                <w:color w:val="000000"/>
                <w:sz w:val="16"/>
                <w:szCs w:val="16"/>
                <w:lang w:val="es-419" w:eastAsia="es-419"/>
              </w:rPr>
            </w:pPr>
            <w:r w:rsidRPr="00520A6E">
              <w:rPr>
                <w:rFonts w:eastAsia="Times New Roman" w:cs="Times New Roman"/>
                <w:color w:val="000000"/>
                <w:sz w:val="16"/>
                <w:szCs w:val="16"/>
                <w:lang w:val="es-419" w:eastAsia="es-419"/>
              </w:rPr>
              <w:t xml:space="preserve">162.823.910.106 </w:t>
            </w:r>
          </w:p>
        </w:tc>
        <w:tc>
          <w:tcPr>
            <w:tcW w:w="914" w:type="pct"/>
            <w:tcBorders>
              <w:top w:val="nil"/>
              <w:left w:val="nil"/>
              <w:bottom w:val="single" w:sz="4" w:space="0" w:color="A6A6A6"/>
              <w:right w:val="single" w:sz="4" w:space="0" w:color="A6A6A6"/>
            </w:tcBorders>
            <w:noWrap/>
            <w:vAlign w:val="center"/>
            <w:hideMark/>
          </w:tcPr>
          <w:p w14:paraId="62D0807E" w14:textId="77777777" w:rsidR="00CA0E31" w:rsidRPr="00520A6E" w:rsidRDefault="00CA0E31" w:rsidP="000A5389">
            <w:pPr>
              <w:spacing w:line="240" w:lineRule="auto"/>
              <w:jc w:val="right"/>
              <w:rPr>
                <w:rFonts w:eastAsia="Times New Roman" w:cs="Times New Roman"/>
                <w:color w:val="000000"/>
                <w:sz w:val="16"/>
                <w:szCs w:val="16"/>
                <w:lang w:val="es-419" w:eastAsia="es-419"/>
              </w:rPr>
            </w:pPr>
            <w:r w:rsidRPr="00520A6E">
              <w:rPr>
                <w:rFonts w:eastAsia="Times New Roman" w:cs="Times New Roman"/>
                <w:color w:val="000000"/>
                <w:sz w:val="16"/>
                <w:szCs w:val="16"/>
                <w:lang w:val="es-419" w:eastAsia="es-419"/>
              </w:rPr>
              <w:t xml:space="preserve">19.268.319.653 </w:t>
            </w:r>
          </w:p>
        </w:tc>
        <w:tc>
          <w:tcPr>
            <w:tcW w:w="825" w:type="pct"/>
            <w:tcBorders>
              <w:top w:val="nil"/>
              <w:left w:val="nil"/>
              <w:bottom w:val="single" w:sz="4" w:space="0" w:color="A6A6A6"/>
              <w:right w:val="single" w:sz="4" w:space="0" w:color="A6A6A6"/>
            </w:tcBorders>
            <w:noWrap/>
            <w:vAlign w:val="center"/>
            <w:hideMark/>
          </w:tcPr>
          <w:p w14:paraId="73DE553C" w14:textId="77777777" w:rsidR="00CA0E31" w:rsidRPr="00520A6E" w:rsidRDefault="00CA0E31" w:rsidP="000A5389">
            <w:pPr>
              <w:spacing w:line="240" w:lineRule="auto"/>
              <w:jc w:val="right"/>
              <w:rPr>
                <w:rFonts w:eastAsia="Times New Roman" w:cs="Times New Roman"/>
                <w:color w:val="000000"/>
                <w:sz w:val="16"/>
                <w:szCs w:val="16"/>
                <w:lang w:val="es-419" w:eastAsia="es-419"/>
              </w:rPr>
            </w:pPr>
            <w:r w:rsidRPr="00520A6E">
              <w:rPr>
                <w:rFonts w:eastAsia="Times New Roman" w:cs="Times New Roman"/>
                <w:color w:val="000000"/>
                <w:sz w:val="16"/>
                <w:szCs w:val="16"/>
                <w:lang w:val="es-419" w:eastAsia="es-419"/>
              </w:rPr>
              <w:t xml:space="preserve">0 </w:t>
            </w:r>
          </w:p>
        </w:tc>
        <w:tc>
          <w:tcPr>
            <w:tcW w:w="979" w:type="pct"/>
            <w:tcBorders>
              <w:top w:val="nil"/>
              <w:left w:val="nil"/>
              <w:bottom w:val="single" w:sz="4" w:space="0" w:color="A6A6A6"/>
              <w:right w:val="single" w:sz="4" w:space="0" w:color="A6A6A6"/>
            </w:tcBorders>
            <w:noWrap/>
            <w:vAlign w:val="center"/>
            <w:hideMark/>
          </w:tcPr>
          <w:p w14:paraId="3378DB7B" w14:textId="77777777" w:rsidR="00CA0E31" w:rsidRPr="00520A6E" w:rsidRDefault="00CA0E31" w:rsidP="000A5389">
            <w:pPr>
              <w:spacing w:line="240" w:lineRule="auto"/>
              <w:jc w:val="right"/>
              <w:rPr>
                <w:rFonts w:eastAsia="Times New Roman" w:cs="Times New Roman"/>
                <w:color w:val="000000"/>
                <w:sz w:val="16"/>
                <w:szCs w:val="16"/>
                <w:lang w:val="es-419" w:eastAsia="es-419"/>
              </w:rPr>
            </w:pPr>
            <w:r w:rsidRPr="00520A6E">
              <w:rPr>
                <w:rFonts w:eastAsia="Times New Roman" w:cs="Times New Roman"/>
                <w:color w:val="000000"/>
                <w:sz w:val="16"/>
                <w:szCs w:val="16"/>
                <w:lang w:val="es-419" w:eastAsia="es-419"/>
              </w:rPr>
              <w:t xml:space="preserve">182.092.229.759 </w:t>
            </w:r>
          </w:p>
        </w:tc>
      </w:tr>
      <w:tr w:rsidR="001D0619" w:rsidRPr="00951AB1" w14:paraId="711741EA" w14:textId="77777777" w:rsidTr="001D0619">
        <w:trPr>
          <w:cantSplit/>
          <w:trHeight w:val="290"/>
        </w:trPr>
        <w:tc>
          <w:tcPr>
            <w:tcW w:w="131" w:type="pct"/>
            <w:tcBorders>
              <w:top w:val="nil"/>
              <w:left w:val="single" w:sz="4" w:space="0" w:color="A6A6A6"/>
              <w:bottom w:val="single" w:sz="4" w:space="0" w:color="A6A6A6"/>
              <w:right w:val="nil"/>
            </w:tcBorders>
            <w:noWrap/>
            <w:vAlign w:val="center"/>
            <w:hideMark/>
          </w:tcPr>
          <w:p w14:paraId="1E713304" w14:textId="77777777" w:rsidR="00CA0E31" w:rsidRPr="00520A6E" w:rsidRDefault="00CA0E31" w:rsidP="000A5389">
            <w:pPr>
              <w:spacing w:line="240" w:lineRule="auto"/>
              <w:rPr>
                <w:rFonts w:eastAsia="Times New Roman" w:cs="Times New Roman"/>
                <w:sz w:val="16"/>
                <w:szCs w:val="16"/>
                <w:lang w:val="es-419" w:eastAsia="es-419"/>
              </w:rPr>
            </w:pPr>
            <w:r w:rsidRPr="00520A6E">
              <w:rPr>
                <w:rFonts w:eastAsia="Times New Roman" w:cs="Times New Roman"/>
                <w:sz w:val="16"/>
                <w:szCs w:val="16"/>
                <w:lang w:val="es-419" w:eastAsia="es-419"/>
              </w:rPr>
              <w:t> </w:t>
            </w:r>
          </w:p>
        </w:tc>
        <w:tc>
          <w:tcPr>
            <w:tcW w:w="102" w:type="pct"/>
            <w:tcBorders>
              <w:top w:val="nil"/>
              <w:left w:val="nil"/>
              <w:bottom w:val="single" w:sz="4" w:space="0" w:color="A6A6A6"/>
              <w:right w:val="nil"/>
            </w:tcBorders>
            <w:noWrap/>
            <w:vAlign w:val="center"/>
            <w:hideMark/>
          </w:tcPr>
          <w:p w14:paraId="77BEDD11" w14:textId="77777777" w:rsidR="00CA0E31" w:rsidRPr="00520A6E" w:rsidRDefault="00CA0E31" w:rsidP="000A5389">
            <w:pPr>
              <w:spacing w:line="240" w:lineRule="auto"/>
              <w:rPr>
                <w:rFonts w:eastAsia="Times New Roman" w:cs="Times New Roman"/>
                <w:sz w:val="16"/>
                <w:szCs w:val="16"/>
                <w:lang w:val="es-419" w:eastAsia="es-419"/>
              </w:rPr>
            </w:pPr>
            <w:r w:rsidRPr="00520A6E">
              <w:rPr>
                <w:rFonts w:eastAsia="Times New Roman" w:cs="Times New Roman"/>
                <w:sz w:val="16"/>
                <w:szCs w:val="16"/>
                <w:lang w:val="es-419" w:eastAsia="es-419"/>
              </w:rPr>
              <w:t> </w:t>
            </w:r>
          </w:p>
        </w:tc>
        <w:tc>
          <w:tcPr>
            <w:tcW w:w="92" w:type="pct"/>
            <w:tcBorders>
              <w:top w:val="nil"/>
              <w:left w:val="nil"/>
              <w:bottom w:val="single" w:sz="4" w:space="0" w:color="A6A6A6"/>
              <w:right w:val="nil"/>
            </w:tcBorders>
            <w:noWrap/>
            <w:vAlign w:val="center"/>
            <w:hideMark/>
          </w:tcPr>
          <w:p w14:paraId="7033D35A" w14:textId="77777777" w:rsidR="00CA0E31" w:rsidRPr="00520A6E" w:rsidRDefault="00CA0E31" w:rsidP="000A5389">
            <w:pPr>
              <w:spacing w:line="240" w:lineRule="auto"/>
              <w:rPr>
                <w:rFonts w:eastAsia="Times New Roman" w:cs="Times New Roman"/>
                <w:sz w:val="16"/>
                <w:szCs w:val="16"/>
                <w:lang w:val="es-419" w:eastAsia="es-419"/>
              </w:rPr>
            </w:pPr>
            <w:r w:rsidRPr="00520A6E">
              <w:rPr>
                <w:rFonts w:eastAsia="Times New Roman" w:cs="Times New Roman"/>
                <w:sz w:val="16"/>
                <w:szCs w:val="16"/>
                <w:lang w:val="es-419" w:eastAsia="es-419"/>
              </w:rPr>
              <w:t> </w:t>
            </w:r>
          </w:p>
        </w:tc>
        <w:tc>
          <w:tcPr>
            <w:tcW w:w="1093" w:type="pct"/>
            <w:tcBorders>
              <w:top w:val="nil"/>
              <w:left w:val="nil"/>
              <w:bottom w:val="single" w:sz="4" w:space="0" w:color="A6A6A6"/>
              <w:right w:val="single" w:sz="4" w:space="0" w:color="A6A6A6"/>
            </w:tcBorders>
            <w:vAlign w:val="center"/>
            <w:hideMark/>
          </w:tcPr>
          <w:p w14:paraId="0F401F68" w14:textId="77777777" w:rsidR="00CA0E31" w:rsidRPr="00520A6E" w:rsidRDefault="00CA0E31" w:rsidP="000A5389">
            <w:pPr>
              <w:spacing w:line="240" w:lineRule="auto"/>
              <w:rPr>
                <w:rFonts w:eastAsia="Times New Roman" w:cs="Times New Roman"/>
                <w:sz w:val="16"/>
                <w:szCs w:val="16"/>
                <w:lang w:val="es-419" w:eastAsia="es-419"/>
              </w:rPr>
            </w:pPr>
            <w:r w:rsidRPr="00520A6E">
              <w:rPr>
                <w:rFonts w:eastAsia="Times New Roman" w:cs="Times New Roman"/>
                <w:sz w:val="16"/>
                <w:szCs w:val="16"/>
                <w:lang w:val="es-419" w:eastAsia="es-419"/>
              </w:rPr>
              <w:t>* Activos asociados Modo Portuario (Reversión)</w:t>
            </w:r>
          </w:p>
        </w:tc>
        <w:tc>
          <w:tcPr>
            <w:tcW w:w="864" w:type="pct"/>
            <w:tcBorders>
              <w:top w:val="nil"/>
              <w:left w:val="nil"/>
              <w:bottom w:val="single" w:sz="4" w:space="0" w:color="A6A6A6"/>
              <w:right w:val="single" w:sz="4" w:space="0" w:color="A6A6A6"/>
            </w:tcBorders>
            <w:noWrap/>
            <w:vAlign w:val="center"/>
            <w:hideMark/>
          </w:tcPr>
          <w:p w14:paraId="2A018810" w14:textId="77777777" w:rsidR="00CA0E31" w:rsidRPr="00520A6E" w:rsidRDefault="00CA0E31" w:rsidP="000A5389">
            <w:pPr>
              <w:spacing w:line="240" w:lineRule="auto"/>
              <w:jc w:val="right"/>
              <w:rPr>
                <w:rFonts w:eastAsia="Times New Roman" w:cs="Times New Roman"/>
                <w:color w:val="000000"/>
                <w:sz w:val="16"/>
                <w:szCs w:val="16"/>
                <w:lang w:val="es-419" w:eastAsia="es-419"/>
              </w:rPr>
            </w:pPr>
            <w:r w:rsidRPr="00520A6E">
              <w:rPr>
                <w:rFonts w:eastAsia="Times New Roman" w:cs="Times New Roman"/>
                <w:color w:val="000000"/>
                <w:sz w:val="16"/>
                <w:szCs w:val="16"/>
                <w:lang w:val="es-419" w:eastAsia="es-419"/>
              </w:rPr>
              <w:t xml:space="preserve">1.104.282.133 </w:t>
            </w:r>
          </w:p>
        </w:tc>
        <w:tc>
          <w:tcPr>
            <w:tcW w:w="914" w:type="pct"/>
            <w:tcBorders>
              <w:top w:val="nil"/>
              <w:left w:val="nil"/>
              <w:bottom w:val="single" w:sz="4" w:space="0" w:color="A6A6A6"/>
              <w:right w:val="single" w:sz="4" w:space="0" w:color="A6A6A6"/>
            </w:tcBorders>
            <w:noWrap/>
            <w:vAlign w:val="center"/>
            <w:hideMark/>
          </w:tcPr>
          <w:p w14:paraId="17CD98E5" w14:textId="77777777" w:rsidR="00CA0E31" w:rsidRPr="00520A6E" w:rsidRDefault="00CA0E31" w:rsidP="000A5389">
            <w:pPr>
              <w:spacing w:line="240" w:lineRule="auto"/>
              <w:jc w:val="right"/>
              <w:rPr>
                <w:rFonts w:eastAsia="Times New Roman" w:cs="Times New Roman"/>
                <w:color w:val="000000"/>
                <w:sz w:val="16"/>
                <w:szCs w:val="16"/>
                <w:lang w:val="es-419" w:eastAsia="es-419"/>
              </w:rPr>
            </w:pPr>
            <w:r w:rsidRPr="00520A6E">
              <w:rPr>
                <w:rFonts w:eastAsia="Times New Roman" w:cs="Times New Roman"/>
                <w:color w:val="000000"/>
                <w:sz w:val="16"/>
                <w:szCs w:val="16"/>
                <w:lang w:val="es-419" w:eastAsia="es-419"/>
              </w:rPr>
              <w:t xml:space="preserve">0 </w:t>
            </w:r>
          </w:p>
        </w:tc>
        <w:tc>
          <w:tcPr>
            <w:tcW w:w="825" w:type="pct"/>
            <w:tcBorders>
              <w:top w:val="nil"/>
              <w:left w:val="nil"/>
              <w:bottom w:val="single" w:sz="4" w:space="0" w:color="A6A6A6"/>
              <w:right w:val="single" w:sz="4" w:space="0" w:color="A6A6A6"/>
            </w:tcBorders>
            <w:noWrap/>
            <w:vAlign w:val="center"/>
            <w:hideMark/>
          </w:tcPr>
          <w:p w14:paraId="456F3CD1" w14:textId="77777777" w:rsidR="00CA0E31" w:rsidRPr="00520A6E" w:rsidRDefault="00CA0E31" w:rsidP="000A5389">
            <w:pPr>
              <w:spacing w:line="240" w:lineRule="auto"/>
              <w:jc w:val="right"/>
              <w:rPr>
                <w:rFonts w:eastAsia="Times New Roman" w:cs="Times New Roman"/>
                <w:color w:val="000000"/>
                <w:sz w:val="16"/>
                <w:szCs w:val="16"/>
                <w:lang w:val="es-419" w:eastAsia="es-419"/>
              </w:rPr>
            </w:pPr>
            <w:r w:rsidRPr="00520A6E">
              <w:rPr>
                <w:rFonts w:eastAsia="Times New Roman" w:cs="Times New Roman"/>
                <w:color w:val="000000"/>
                <w:sz w:val="16"/>
                <w:szCs w:val="16"/>
                <w:lang w:val="es-419" w:eastAsia="es-419"/>
              </w:rPr>
              <w:t xml:space="preserve">0 </w:t>
            </w:r>
          </w:p>
        </w:tc>
        <w:tc>
          <w:tcPr>
            <w:tcW w:w="979" w:type="pct"/>
            <w:tcBorders>
              <w:top w:val="nil"/>
              <w:left w:val="nil"/>
              <w:bottom w:val="single" w:sz="4" w:space="0" w:color="A6A6A6"/>
              <w:right w:val="single" w:sz="4" w:space="0" w:color="A6A6A6"/>
            </w:tcBorders>
            <w:noWrap/>
            <w:vAlign w:val="center"/>
            <w:hideMark/>
          </w:tcPr>
          <w:p w14:paraId="577CFD88" w14:textId="77777777" w:rsidR="00CA0E31" w:rsidRPr="00520A6E" w:rsidRDefault="00CA0E31" w:rsidP="000A5389">
            <w:pPr>
              <w:spacing w:line="240" w:lineRule="auto"/>
              <w:jc w:val="right"/>
              <w:rPr>
                <w:rFonts w:eastAsia="Times New Roman" w:cs="Times New Roman"/>
                <w:color w:val="000000"/>
                <w:sz w:val="16"/>
                <w:szCs w:val="16"/>
                <w:lang w:val="es-419" w:eastAsia="es-419"/>
              </w:rPr>
            </w:pPr>
            <w:r w:rsidRPr="00520A6E">
              <w:rPr>
                <w:rFonts w:eastAsia="Times New Roman" w:cs="Times New Roman"/>
                <w:color w:val="000000"/>
                <w:sz w:val="16"/>
                <w:szCs w:val="16"/>
                <w:lang w:val="es-419" w:eastAsia="es-419"/>
              </w:rPr>
              <w:t xml:space="preserve">1.104.282.133 </w:t>
            </w:r>
          </w:p>
        </w:tc>
      </w:tr>
      <w:tr w:rsidR="001D0619" w:rsidRPr="00951AB1" w14:paraId="770AD549" w14:textId="77777777" w:rsidTr="001D0619">
        <w:trPr>
          <w:cantSplit/>
          <w:trHeight w:val="290"/>
        </w:trPr>
        <w:tc>
          <w:tcPr>
            <w:tcW w:w="131" w:type="pct"/>
            <w:tcBorders>
              <w:top w:val="nil"/>
              <w:left w:val="single" w:sz="4" w:space="0" w:color="A6A6A6"/>
              <w:bottom w:val="single" w:sz="4" w:space="0" w:color="A6A6A6"/>
              <w:right w:val="nil"/>
            </w:tcBorders>
            <w:noWrap/>
            <w:vAlign w:val="center"/>
            <w:hideMark/>
          </w:tcPr>
          <w:p w14:paraId="2448A359" w14:textId="77777777" w:rsidR="00CA0E31" w:rsidRPr="00520A6E" w:rsidRDefault="00CA0E31" w:rsidP="000A5389">
            <w:pPr>
              <w:spacing w:line="240" w:lineRule="auto"/>
              <w:rPr>
                <w:rFonts w:eastAsia="Times New Roman" w:cs="Times New Roman"/>
                <w:sz w:val="16"/>
                <w:szCs w:val="16"/>
                <w:lang w:val="es-419" w:eastAsia="es-419"/>
              </w:rPr>
            </w:pPr>
            <w:r w:rsidRPr="00520A6E">
              <w:rPr>
                <w:rFonts w:eastAsia="Times New Roman" w:cs="Times New Roman"/>
                <w:sz w:val="16"/>
                <w:szCs w:val="16"/>
                <w:lang w:val="es-419" w:eastAsia="es-419"/>
              </w:rPr>
              <w:lastRenderedPageBreak/>
              <w:t> </w:t>
            </w:r>
          </w:p>
        </w:tc>
        <w:tc>
          <w:tcPr>
            <w:tcW w:w="102" w:type="pct"/>
            <w:tcBorders>
              <w:top w:val="nil"/>
              <w:left w:val="nil"/>
              <w:bottom w:val="single" w:sz="4" w:space="0" w:color="A6A6A6"/>
              <w:right w:val="nil"/>
            </w:tcBorders>
            <w:noWrap/>
            <w:vAlign w:val="center"/>
            <w:hideMark/>
          </w:tcPr>
          <w:p w14:paraId="11AF5232" w14:textId="77777777" w:rsidR="00CA0E31" w:rsidRPr="00520A6E" w:rsidRDefault="00CA0E31" w:rsidP="000A5389">
            <w:pPr>
              <w:spacing w:line="240" w:lineRule="auto"/>
              <w:rPr>
                <w:rFonts w:eastAsia="Times New Roman" w:cs="Times New Roman"/>
                <w:sz w:val="16"/>
                <w:szCs w:val="16"/>
                <w:lang w:val="es-419" w:eastAsia="es-419"/>
              </w:rPr>
            </w:pPr>
            <w:r w:rsidRPr="00520A6E">
              <w:rPr>
                <w:rFonts w:eastAsia="Times New Roman" w:cs="Times New Roman"/>
                <w:sz w:val="16"/>
                <w:szCs w:val="16"/>
                <w:lang w:val="es-419" w:eastAsia="es-419"/>
              </w:rPr>
              <w:t> </w:t>
            </w:r>
          </w:p>
        </w:tc>
        <w:tc>
          <w:tcPr>
            <w:tcW w:w="92" w:type="pct"/>
            <w:tcBorders>
              <w:top w:val="nil"/>
              <w:left w:val="nil"/>
              <w:bottom w:val="single" w:sz="4" w:space="0" w:color="A6A6A6"/>
              <w:right w:val="nil"/>
            </w:tcBorders>
            <w:noWrap/>
            <w:vAlign w:val="center"/>
            <w:hideMark/>
          </w:tcPr>
          <w:p w14:paraId="0DF0F8DF" w14:textId="77777777" w:rsidR="00CA0E31" w:rsidRPr="00520A6E" w:rsidRDefault="00CA0E31" w:rsidP="000A5389">
            <w:pPr>
              <w:spacing w:line="240" w:lineRule="auto"/>
              <w:rPr>
                <w:rFonts w:eastAsia="Times New Roman" w:cs="Times New Roman"/>
                <w:sz w:val="16"/>
                <w:szCs w:val="16"/>
                <w:lang w:val="es-419" w:eastAsia="es-419"/>
              </w:rPr>
            </w:pPr>
            <w:r w:rsidRPr="00520A6E">
              <w:rPr>
                <w:rFonts w:eastAsia="Times New Roman" w:cs="Times New Roman"/>
                <w:sz w:val="16"/>
                <w:szCs w:val="16"/>
                <w:lang w:val="es-419" w:eastAsia="es-419"/>
              </w:rPr>
              <w:t> </w:t>
            </w:r>
          </w:p>
        </w:tc>
        <w:tc>
          <w:tcPr>
            <w:tcW w:w="1093" w:type="pct"/>
            <w:tcBorders>
              <w:top w:val="nil"/>
              <w:left w:val="nil"/>
              <w:bottom w:val="single" w:sz="4" w:space="0" w:color="A6A6A6"/>
              <w:right w:val="single" w:sz="4" w:space="0" w:color="A6A6A6"/>
            </w:tcBorders>
            <w:vAlign w:val="center"/>
            <w:hideMark/>
          </w:tcPr>
          <w:p w14:paraId="70883908" w14:textId="77777777" w:rsidR="00CA0E31" w:rsidRPr="00520A6E" w:rsidRDefault="00CA0E31" w:rsidP="000A5389">
            <w:pPr>
              <w:spacing w:line="240" w:lineRule="auto"/>
              <w:rPr>
                <w:rFonts w:eastAsia="Times New Roman" w:cs="Times New Roman"/>
                <w:sz w:val="16"/>
                <w:szCs w:val="16"/>
                <w:lang w:val="es-419" w:eastAsia="es-419"/>
              </w:rPr>
            </w:pPr>
            <w:r w:rsidRPr="00520A6E">
              <w:rPr>
                <w:rFonts w:eastAsia="Times New Roman" w:cs="Times New Roman"/>
                <w:sz w:val="16"/>
                <w:szCs w:val="16"/>
                <w:lang w:val="es-419" w:eastAsia="es-419"/>
              </w:rPr>
              <w:t>* Activos asociados Modo Férreo</w:t>
            </w:r>
          </w:p>
        </w:tc>
        <w:tc>
          <w:tcPr>
            <w:tcW w:w="864" w:type="pct"/>
            <w:tcBorders>
              <w:top w:val="nil"/>
              <w:left w:val="nil"/>
              <w:bottom w:val="single" w:sz="4" w:space="0" w:color="A6A6A6"/>
              <w:right w:val="single" w:sz="4" w:space="0" w:color="A6A6A6"/>
            </w:tcBorders>
            <w:noWrap/>
            <w:vAlign w:val="center"/>
            <w:hideMark/>
          </w:tcPr>
          <w:p w14:paraId="3500E6B0" w14:textId="77777777" w:rsidR="00CA0E31" w:rsidRPr="00520A6E" w:rsidRDefault="00CA0E31" w:rsidP="000A5389">
            <w:pPr>
              <w:spacing w:line="240" w:lineRule="auto"/>
              <w:jc w:val="right"/>
              <w:rPr>
                <w:rFonts w:eastAsia="Times New Roman" w:cs="Times New Roman"/>
                <w:color w:val="000000"/>
                <w:sz w:val="16"/>
                <w:szCs w:val="16"/>
                <w:lang w:val="es-419" w:eastAsia="es-419"/>
              </w:rPr>
            </w:pPr>
            <w:r w:rsidRPr="00520A6E">
              <w:rPr>
                <w:rFonts w:eastAsia="Times New Roman" w:cs="Times New Roman"/>
                <w:color w:val="000000"/>
                <w:sz w:val="16"/>
                <w:szCs w:val="16"/>
                <w:lang w:val="es-419" w:eastAsia="es-419"/>
              </w:rPr>
              <w:t xml:space="preserve">0 </w:t>
            </w:r>
          </w:p>
        </w:tc>
        <w:tc>
          <w:tcPr>
            <w:tcW w:w="914" w:type="pct"/>
            <w:tcBorders>
              <w:top w:val="nil"/>
              <w:left w:val="nil"/>
              <w:bottom w:val="single" w:sz="4" w:space="0" w:color="A6A6A6"/>
              <w:right w:val="single" w:sz="4" w:space="0" w:color="A6A6A6"/>
            </w:tcBorders>
            <w:noWrap/>
            <w:vAlign w:val="center"/>
            <w:hideMark/>
          </w:tcPr>
          <w:p w14:paraId="7E9EAE4C" w14:textId="77777777" w:rsidR="00CA0E31" w:rsidRPr="00520A6E" w:rsidRDefault="00CA0E31" w:rsidP="000A5389">
            <w:pPr>
              <w:spacing w:line="240" w:lineRule="auto"/>
              <w:jc w:val="right"/>
              <w:rPr>
                <w:rFonts w:eastAsia="Times New Roman" w:cs="Times New Roman"/>
                <w:color w:val="000000"/>
                <w:sz w:val="16"/>
                <w:szCs w:val="16"/>
                <w:lang w:val="es-419" w:eastAsia="es-419"/>
              </w:rPr>
            </w:pPr>
            <w:r w:rsidRPr="00520A6E">
              <w:rPr>
                <w:rFonts w:eastAsia="Times New Roman" w:cs="Times New Roman"/>
                <w:color w:val="000000"/>
                <w:sz w:val="16"/>
                <w:szCs w:val="16"/>
                <w:lang w:val="es-419" w:eastAsia="es-419"/>
              </w:rPr>
              <w:t xml:space="preserve">0 </w:t>
            </w:r>
          </w:p>
        </w:tc>
        <w:tc>
          <w:tcPr>
            <w:tcW w:w="825" w:type="pct"/>
            <w:tcBorders>
              <w:top w:val="nil"/>
              <w:left w:val="nil"/>
              <w:bottom w:val="single" w:sz="4" w:space="0" w:color="A6A6A6"/>
              <w:right w:val="single" w:sz="4" w:space="0" w:color="A6A6A6"/>
            </w:tcBorders>
            <w:noWrap/>
            <w:vAlign w:val="center"/>
            <w:hideMark/>
          </w:tcPr>
          <w:p w14:paraId="28919AF0" w14:textId="77777777" w:rsidR="00CA0E31" w:rsidRPr="00520A6E" w:rsidRDefault="00CA0E31" w:rsidP="000A5389">
            <w:pPr>
              <w:spacing w:line="240" w:lineRule="auto"/>
              <w:jc w:val="right"/>
              <w:rPr>
                <w:rFonts w:eastAsia="Times New Roman" w:cs="Times New Roman"/>
                <w:color w:val="000000"/>
                <w:sz w:val="16"/>
                <w:szCs w:val="16"/>
                <w:lang w:val="es-419" w:eastAsia="es-419"/>
              </w:rPr>
            </w:pPr>
            <w:r w:rsidRPr="00520A6E">
              <w:rPr>
                <w:rFonts w:eastAsia="Times New Roman" w:cs="Times New Roman"/>
                <w:color w:val="000000"/>
                <w:sz w:val="16"/>
                <w:szCs w:val="16"/>
                <w:lang w:val="es-419" w:eastAsia="es-419"/>
              </w:rPr>
              <w:t xml:space="preserve">1.137.668.047.095 </w:t>
            </w:r>
          </w:p>
        </w:tc>
        <w:tc>
          <w:tcPr>
            <w:tcW w:w="979" w:type="pct"/>
            <w:tcBorders>
              <w:top w:val="nil"/>
              <w:left w:val="nil"/>
              <w:bottom w:val="single" w:sz="4" w:space="0" w:color="A6A6A6"/>
              <w:right w:val="single" w:sz="4" w:space="0" w:color="A6A6A6"/>
            </w:tcBorders>
            <w:noWrap/>
            <w:vAlign w:val="center"/>
            <w:hideMark/>
          </w:tcPr>
          <w:p w14:paraId="74F1B071" w14:textId="77777777" w:rsidR="00CA0E31" w:rsidRPr="00520A6E" w:rsidRDefault="00CA0E31" w:rsidP="000A5389">
            <w:pPr>
              <w:spacing w:line="240" w:lineRule="auto"/>
              <w:jc w:val="right"/>
              <w:rPr>
                <w:rFonts w:eastAsia="Times New Roman" w:cs="Times New Roman"/>
                <w:color w:val="000000"/>
                <w:sz w:val="16"/>
                <w:szCs w:val="16"/>
                <w:lang w:val="es-419" w:eastAsia="es-419"/>
              </w:rPr>
            </w:pPr>
            <w:r w:rsidRPr="00520A6E">
              <w:rPr>
                <w:rFonts w:eastAsia="Times New Roman" w:cs="Times New Roman"/>
                <w:color w:val="000000"/>
                <w:sz w:val="16"/>
                <w:szCs w:val="16"/>
                <w:lang w:val="es-419" w:eastAsia="es-419"/>
              </w:rPr>
              <w:t xml:space="preserve">1.137.668.047.095 </w:t>
            </w:r>
          </w:p>
        </w:tc>
      </w:tr>
      <w:tr w:rsidR="001D0619" w:rsidRPr="00951AB1" w14:paraId="4845508D" w14:textId="77777777" w:rsidTr="001D0619">
        <w:trPr>
          <w:cantSplit/>
          <w:trHeight w:val="290"/>
        </w:trPr>
        <w:tc>
          <w:tcPr>
            <w:tcW w:w="131" w:type="pct"/>
            <w:tcBorders>
              <w:top w:val="nil"/>
              <w:left w:val="single" w:sz="4" w:space="0" w:color="A6A6A6"/>
              <w:bottom w:val="single" w:sz="4" w:space="0" w:color="A6A6A6"/>
              <w:right w:val="nil"/>
            </w:tcBorders>
            <w:noWrap/>
            <w:vAlign w:val="center"/>
            <w:hideMark/>
          </w:tcPr>
          <w:p w14:paraId="75A543A2" w14:textId="77777777" w:rsidR="00CA0E31" w:rsidRPr="00520A6E" w:rsidRDefault="00CA0E31" w:rsidP="000A5389">
            <w:pPr>
              <w:spacing w:line="240" w:lineRule="auto"/>
              <w:jc w:val="center"/>
              <w:rPr>
                <w:rFonts w:eastAsia="Times New Roman" w:cs="Times New Roman"/>
                <w:b/>
                <w:bCs/>
                <w:sz w:val="16"/>
                <w:szCs w:val="16"/>
                <w:lang w:val="es-419" w:eastAsia="es-419"/>
              </w:rPr>
            </w:pPr>
            <w:r w:rsidRPr="00520A6E">
              <w:rPr>
                <w:rFonts w:eastAsia="Times New Roman" w:cs="Times New Roman"/>
                <w:b/>
                <w:bCs/>
                <w:sz w:val="16"/>
                <w:szCs w:val="16"/>
                <w:lang w:val="es-419" w:eastAsia="es-419"/>
              </w:rPr>
              <w:t>=</w:t>
            </w:r>
          </w:p>
        </w:tc>
        <w:tc>
          <w:tcPr>
            <w:tcW w:w="1287" w:type="pct"/>
            <w:gridSpan w:val="3"/>
            <w:tcBorders>
              <w:top w:val="single" w:sz="4" w:space="0" w:color="A6A6A6"/>
              <w:left w:val="nil"/>
              <w:bottom w:val="single" w:sz="4" w:space="0" w:color="A6A6A6"/>
              <w:right w:val="single" w:sz="4" w:space="0" w:color="A6A6A6"/>
            </w:tcBorders>
            <w:vAlign w:val="center"/>
            <w:hideMark/>
          </w:tcPr>
          <w:p w14:paraId="60209044" w14:textId="77777777" w:rsidR="00CA0E31" w:rsidRPr="00520A6E" w:rsidRDefault="00CA0E31" w:rsidP="000A5389">
            <w:pPr>
              <w:spacing w:line="240" w:lineRule="auto"/>
              <w:rPr>
                <w:rFonts w:eastAsia="Times New Roman" w:cs="Times New Roman"/>
                <w:b/>
                <w:bCs/>
                <w:sz w:val="16"/>
                <w:szCs w:val="16"/>
                <w:lang w:val="es-419" w:eastAsia="es-419"/>
              </w:rPr>
            </w:pPr>
            <w:r w:rsidRPr="00520A6E">
              <w:rPr>
                <w:rFonts w:eastAsia="Times New Roman" w:cs="Times New Roman"/>
                <w:b/>
                <w:bCs/>
                <w:sz w:val="16"/>
                <w:szCs w:val="16"/>
                <w:lang w:val="es-419" w:eastAsia="es-419"/>
              </w:rPr>
              <w:t>SUBTOTAL</w:t>
            </w:r>
            <w:r w:rsidRPr="00520A6E">
              <w:rPr>
                <w:rFonts w:eastAsia="Times New Roman" w:cs="Times New Roman"/>
                <w:b/>
                <w:bCs/>
                <w:sz w:val="16"/>
                <w:szCs w:val="16"/>
                <w:lang w:val="es-419" w:eastAsia="es-419"/>
              </w:rPr>
              <w:br/>
              <w:t>(Saldo inicial + Entradas - Salidas)</w:t>
            </w:r>
          </w:p>
        </w:tc>
        <w:tc>
          <w:tcPr>
            <w:tcW w:w="864" w:type="pct"/>
            <w:tcBorders>
              <w:top w:val="nil"/>
              <w:left w:val="nil"/>
              <w:bottom w:val="single" w:sz="4" w:space="0" w:color="A6A6A6"/>
              <w:right w:val="single" w:sz="4" w:space="0" w:color="A6A6A6"/>
            </w:tcBorders>
            <w:noWrap/>
            <w:vAlign w:val="center"/>
            <w:hideMark/>
          </w:tcPr>
          <w:p w14:paraId="5C4B68A1" w14:textId="77777777" w:rsidR="00CA0E31" w:rsidRPr="00520A6E" w:rsidRDefault="00CA0E31" w:rsidP="000A5389">
            <w:pPr>
              <w:spacing w:line="240" w:lineRule="auto"/>
              <w:jc w:val="right"/>
              <w:rPr>
                <w:rFonts w:eastAsia="Times New Roman" w:cs="Times New Roman"/>
                <w:b/>
                <w:bCs/>
                <w:color w:val="000000"/>
                <w:sz w:val="16"/>
                <w:szCs w:val="16"/>
                <w:lang w:val="es-419" w:eastAsia="es-419"/>
              </w:rPr>
            </w:pPr>
            <w:r w:rsidRPr="00520A6E">
              <w:rPr>
                <w:rFonts w:eastAsia="Times New Roman" w:cs="Times New Roman"/>
                <w:b/>
                <w:bCs/>
                <w:color w:val="000000"/>
                <w:sz w:val="16"/>
                <w:szCs w:val="16"/>
                <w:lang w:val="es-419" w:eastAsia="es-419"/>
              </w:rPr>
              <w:t xml:space="preserve">23.677.029.606.690 </w:t>
            </w:r>
          </w:p>
        </w:tc>
        <w:tc>
          <w:tcPr>
            <w:tcW w:w="914" w:type="pct"/>
            <w:tcBorders>
              <w:top w:val="nil"/>
              <w:left w:val="nil"/>
              <w:bottom w:val="single" w:sz="4" w:space="0" w:color="A6A6A6"/>
              <w:right w:val="single" w:sz="4" w:space="0" w:color="A6A6A6"/>
            </w:tcBorders>
            <w:noWrap/>
            <w:vAlign w:val="center"/>
            <w:hideMark/>
          </w:tcPr>
          <w:p w14:paraId="53F9BFDB" w14:textId="77777777" w:rsidR="00CA0E31" w:rsidRPr="00520A6E" w:rsidRDefault="00CA0E31" w:rsidP="000A5389">
            <w:pPr>
              <w:spacing w:line="240" w:lineRule="auto"/>
              <w:jc w:val="right"/>
              <w:rPr>
                <w:rFonts w:eastAsia="Times New Roman" w:cs="Times New Roman"/>
                <w:b/>
                <w:bCs/>
                <w:color w:val="000000"/>
                <w:sz w:val="16"/>
                <w:szCs w:val="16"/>
                <w:lang w:val="es-419" w:eastAsia="es-419"/>
              </w:rPr>
            </w:pPr>
            <w:r w:rsidRPr="00520A6E">
              <w:rPr>
                <w:rFonts w:eastAsia="Times New Roman" w:cs="Times New Roman"/>
                <w:b/>
                <w:bCs/>
                <w:color w:val="000000"/>
                <w:sz w:val="16"/>
                <w:szCs w:val="16"/>
                <w:lang w:val="es-419" w:eastAsia="es-419"/>
              </w:rPr>
              <w:t xml:space="preserve">53.588.634.749.155 </w:t>
            </w:r>
          </w:p>
        </w:tc>
        <w:tc>
          <w:tcPr>
            <w:tcW w:w="825" w:type="pct"/>
            <w:tcBorders>
              <w:top w:val="nil"/>
              <w:left w:val="nil"/>
              <w:bottom w:val="single" w:sz="4" w:space="0" w:color="A6A6A6"/>
              <w:right w:val="single" w:sz="4" w:space="0" w:color="A6A6A6"/>
            </w:tcBorders>
            <w:noWrap/>
            <w:vAlign w:val="center"/>
            <w:hideMark/>
          </w:tcPr>
          <w:p w14:paraId="2F420675" w14:textId="77777777" w:rsidR="00CA0E31" w:rsidRPr="00520A6E" w:rsidRDefault="00CA0E31" w:rsidP="000A5389">
            <w:pPr>
              <w:spacing w:line="240" w:lineRule="auto"/>
              <w:jc w:val="right"/>
              <w:rPr>
                <w:rFonts w:eastAsia="Times New Roman" w:cs="Times New Roman"/>
                <w:b/>
                <w:bCs/>
                <w:color w:val="000000"/>
                <w:sz w:val="16"/>
                <w:szCs w:val="16"/>
                <w:lang w:val="es-419" w:eastAsia="es-419"/>
              </w:rPr>
            </w:pPr>
            <w:r w:rsidRPr="00520A6E">
              <w:rPr>
                <w:rFonts w:eastAsia="Times New Roman" w:cs="Times New Roman"/>
                <w:b/>
                <w:bCs/>
                <w:color w:val="000000"/>
                <w:sz w:val="16"/>
                <w:szCs w:val="16"/>
                <w:lang w:val="es-419" w:eastAsia="es-419"/>
              </w:rPr>
              <w:t xml:space="preserve">786.562.628.044 </w:t>
            </w:r>
          </w:p>
        </w:tc>
        <w:tc>
          <w:tcPr>
            <w:tcW w:w="979" w:type="pct"/>
            <w:tcBorders>
              <w:top w:val="nil"/>
              <w:left w:val="nil"/>
              <w:bottom w:val="single" w:sz="4" w:space="0" w:color="A6A6A6"/>
              <w:right w:val="single" w:sz="4" w:space="0" w:color="A6A6A6"/>
            </w:tcBorders>
            <w:noWrap/>
            <w:vAlign w:val="center"/>
            <w:hideMark/>
          </w:tcPr>
          <w:p w14:paraId="12FE7E70" w14:textId="77777777" w:rsidR="00CA0E31" w:rsidRPr="00520A6E" w:rsidRDefault="00CA0E31" w:rsidP="000A5389">
            <w:pPr>
              <w:spacing w:line="240" w:lineRule="auto"/>
              <w:jc w:val="right"/>
              <w:rPr>
                <w:rFonts w:eastAsia="Times New Roman" w:cs="Times New Roman"/>
                <w:b/>
                <w:bCs/>
                <w:color w:val="000000"/>
                <w:sz w:val="16"/>
                <w:szCs w:val="16"/>
                <w:lang w:val="es-419" w:eastAsia="es-419"/>
              </w:rPr>
            </w:pPr>
            <w:r w:rsidRPr="00520A6E">
              <w:rPr>
                <w:rFonts w:eastAsia="Times New Roman" w:cs="Times New Roman"/>
                <w:b/>
                <w:bCs/>
                <w:color w:val="000000"/>
                <w:sz w:val="16"/>
                <w:szCs w:val="16"/>
                <w:lang w:val="es-419" w:eastAsia="es-419"/>
              </w:rPr>
              <w:t xml:space="preserve">78.052.226.983.889 </w:t>
            </w:r>
          </w:p>
        </w:tc>
      </w:tr>
      <w:tr w:rsidR="001D0619" w:rsidRPr="00951AB1" w14:paraId="41CB4216" w14:textId="77777777" w:rsidTr="001D0619">
        <w:trPr>
          <w:cantSplit/>
          <w:trHeight w:val="290"/>
        </w:trPr>
        <w:tc>
          <w:tcPr>
            <w:tcW w:w="131" w:type="pct"/>
            <w:tcBorders>
              <w:top w:val="nil"/>
              <w:left w:val="single" w:sz="4" w:space="0" w:color="A6A6A6"/>
              <w:bottom w:val="single" w:sz="4" w:space="0" w:color="A6A6A6"/>
              <w:right w:val="nil"/>
            </w:tcBorders>
            <w:noWrap/>
            <w:vAlign w:val="center"/>
            <w:hideMark/>
          </w:tcPr>
          <w:p w14:paraId="262FFE1A" w14:textId="77777777" w:rsidR="00CA0E31" w:rsidRPr="00520A6E" w:rsidRDefault="00CA0E31" w:rsidP="000A5389">
            <w:pPr>
              <w:spacing w:line="240" w:lineRule="auto"/>
              <w:jc w:val="center"/>
              <w:rPr>
                <w:rFonts w:eastAsia="Times New Roman" w:cs="Times New Roman"/>
                <w:b/>
                <w:bCs/>
                <w:sz w:val="16"/>
                <w:szCs w:val="16"/>
                <w:lang w:val="es-419" w:eastAsia="es-419"/>
              </w:rPr>
            </w:pPr>
            <w:r w:rsidRPr="00520A6E">
              <w:rPr>
                <w:rFonts w:eastAsia="Times New Roman" w:cs="Times New Roman"/>
                <w:b/>
                <w:bCs/>
                <w:sz w:val="16"/>
                <w:szCs w:val="16"/>
                <w:lang w:val="es-419" w:eastAsia="es-419"/>
              </w:rPr>
              <w:t>+</w:t>
            </w:r>
          </w:p>
        </w:tc>
        <w:tc>
          <w:tcPr>
            <w:tcW w:w="1287" w:type="pct"/>
            <w:gridSpan w:val="3"/>
            <w:tcBorders>
              <w:top w:val="single" w:sz="4" w:space="0" w:color="A6A6A6"/>
              <w:left w:val="nil"/>
              <w:bottom w:val="single" w:sz="4" w:space="0" w:color="A6A6A6"/>
              <w:right w:val="single" w:sz="4" w:space="0" w:color="A6A6A6"/>
            </w:tcBorders>
            <w:vAlign w:val="center"/>
            <w:hideMark/>
          </w:tcPr>
          <w:p w14:paraId="1A33ECDC" w14:textId="77777777" w:rsidR="00CA0E31" w:rsidRPr="00520A6E" w:rsidRDefault="00CA0E31" w:rsidP="000A5389">
            <w:pPr>
              <w:spacing w:line="240" w:lineRule="auto"/>
              <w:rPr>
                <w:rFonts w:eastAsia="Times New Roman" w:cs="Times New Roman"/>
                <w:b/>
                <w:bCs/>
                <w:sz w:val="16"/>
                <w:szCs w:val="16"/>
                <w:lang w:val="es-419" w:eastAsia="es-419"/>
              </w:rPr>
            </w:pPr>
            <w:r w:rsidRPr="00520A6E">
              <w:rPr>
                <w:rFonts w:eastAsia="Times New Roman" w:cs="Times New Roman"/>
                <w:b/>
                <w:bCs/>
                <w:sz w:val="16"/>
                <w:szCs w:val="16"/>
                <w:lang w:val="es-419" w:eastAsia="es-419"/>
              </w:rPr>
              <w:t>CAMBIOS Y MEDICIÓN POSTERIOR</w:t>
            </w:r>
          </w:p>
        </w:tc>
        <w:tc>
          <w:tcPr>
            <w:tcW w:w="864" w:type="pct"/>
            <w:tcBorders>
              <w:top w:val="nil"/>
              <w:left w:val="nil"/>
              <w:bottom w:val="single" w:sz="4" w:space="0" w:color="A6A6A6"/>
              <w:right w:val="single" w:sz="4" w:space="0" w:color="A6A6A6"/>
            </w:tcBorders>
            <w:noWrap/>
            <w:vAlign w:val="center"/>
            <w:hideMark/>
          </w:tcPr>
          <w:p w14:paraId="55127D5A" w14:textId="77777777" w:rsidR="00CA0E31" w:rsidRPr="00520A6E" w:rsidRDefault="00CA0E31" w:rsidP="000A5389">
            <w:pPr>
              <w:spacing w:line="240" w:lineRule="auto"/>
              <w:jc w:val="right"/>
              <w:rPr>
                <w:rFonts w:eastAsia="Times New Roman" w:cs="Times New Roman"/>
                <w:b/>
                <w:bCs/>
                <w:color w:val="000000"/>
                <w:sz w:val="16"/>
                <w:szCs w:val="16"/>
                <w:lang w:val="es-419" w:eastAsia="es-419"/>
              </w:rPr>
            </w:pPr>
            <w:r w:rsidRPr="00520A6E">
              <w:rPr>
                <w:rFonts w:eastAsia="Times New Roman" w:cs="Times New Roman"/>
                <w:b/>
                <w:bCs/>
                <w:color w:val="000000"/>
                <w:sz w:val="16"/>
                <w:szCs w:val="16"/>
                <w:lang w:val="es-419" w:eastAsia="es-419"/>
              </w:rPr>
              <w:t xml:space="preserve">21.072.535.070.189 </w:t>
            </w:r>
          </w:p>
        </w:tc>
        <w:tc>
          <w:tcPr>
            <w:tcW w:w="914" w:type="pct"/>
            <w:tcBorders>
              <w:top w:val="nil"/>
              <w:left w:val="nil"/>
              <w:bottom w:val="single" w:sz="4" w:space="0" w:color="A6A6A6"/>
              <w:right w:val="single" w:sz="4" w:space="0" w:color="A6A6A6"/>
            </w:tcBorders>
            <w:noWrap/>
            <w:vAlign w:val="center"/>
            <w:hideMark/>
          </w:tcPr>
          <w:p w14:paraId="415FBFD6" w14:textId="77777777" w:rsidR="00CA0E31" w:rsidRPr="00520A6E" w:rsidRDefault="00CA0E31" w:rsidP="000A5389">
            <w:pPr>
              <w:spacing w:line="240" w:lineRule="auto"/>
              <w:jc w:val="right"/>
              <w:rPr>
                <w:rFonts w:eastAsia="Times New Roman" w:cs="Times New Roman"/>
                <w:b/>
                <w:bCs/>
                <w:color w:val="000000"/>
                <w:sz w:val="16"/>
                <w:szCs w:val="16"/>
                <w:lang w:val="es-419" w:eastAsia="es-419"/>
              </w:rPr>
            </w:pPr>
            <w:r w:rsidRPr="00520A6E">
              <w:rPr>
                <w:rFonts w:eastAsia="Times New Roman" w:cs="Times New Roman"/>
                <w:b/>
                <w:bCs/>
                <w:color w:val="000000"/>
                <w:sz w:val="16"/>
                <w:szCs w:val="16"/>
                <w:lang w:val="es-419" w:eastAsia="es-419"/>
              </w:rPr>
              <w:t>(21.260.423.554.320)</w:t>
            </w:r>
          </w:p>
        </w:tc>
        <w:tc>
          <w:tcPr>
            <w:tcW w:w="825" w:type="pct"/>
            <w:tcBorders>
              <w:top w:val="nil"/>
              <w:left w:val="nil"/>
              <w:bottom w:val="single" w:sz="4" w:space="0" w:color="A6A6A6"/>
              <w:right w:val="single" w:sz="4" w:space="0" w:color="A6A6A6"/>
            </w:tcBorders>
            <w:noWrap/>
            <w:vAlign w:val="center"/>
            <w:hideMark/>
          </w:tcPr>
          <w:p w14:paraId="114F3BED" w14:textId="77777777" w:rsidR="00CA0E31" w:rsidRPr="00520A6E" w:rsidRDefault="00CA0E31" w:rsidP="000A5389">
            <w:pPr>
              <w:spacing w:line="240" w:lineRule="auto"/>
              <w:jc w:val="right"/>
              <w:rPr>
                <w:rFonts w:eastAsia="Times New Roman" w:cs="Times New Roman"/>
                <w:b/>
                <w:bCs/>
                <w:color w:val="000000"/>
                <w:sz w:val="16"/>
                <w:szCs w:val="16"/>
                <w:lang w:val="es-419" w:eastAsia="es-419"/>
              </w:rPr>
            </w:pPr>
            <w:r w:rsidRPr="00520A6E">
              <w:rPr>
                <w:rFonts w:eastAsia="Times New Roman" w:cs="Times New Roman"/>
                <w:b/>
                <w:bCs/>
                <w:color w:val="000000"/>
                <w:sz w:val="16"/>
                <w:szCs w:val="16"/>
                <w:lang w:val="es-419" w:eastAsia="es-419"/>
              </w:rPr>
              <w:t xml:space="preserve">0 </w:t>
            </w:r>
          </w:p>
        </w:tc>
        <w:tc>
          <w:tcPr>
            <w:tcW w:w="979" w:type="pct"/>
            <w:tcBorders>
              <w:top w:val="nil"/>
              <w:left w:val="nil"/>
              <w:bottom w:val="single" w:sz="4" w:space="0" w:color="A6A6A6"/>
              <w:right w:val="single" w:sz="4" w:space="0" w:color="A6A6A6"/>
            </w:tcBorders>
            <w:noWrap/>
            <w:vAlign w:val="center"/>
            <w:hideMark/>
          </w:tcPr>
          <w:p w14:paraId="27BABC01" w14:textId="77777777" w:rsidR="00CA0E31" w:rsidRPr="00520A6E" w:rsidRDefault="00CA0E31" w:rsidP="000A5389">
            <w:pPr>
              <w:spacing w:line="240" w:lineRule="auto"/>
              <w:jc w:val="right"/>
              <w:rPr>
                <w:rFonts w:eastAsia="Times New Roman" w:cs="Times New Roman"/>
                <w:b/>
                <w:bCs/>
                <w:color w:val="000000"/>
                <w:sz w:val="16"/>
                <w:szCs w:val="16"/>
                <w:lang w:val="es-419" w:eastAsia="es-419"/>
              </w:rPr>
            </w:pPr>
            <w:r w:rsidRPr="00520A6E">
              <w:rPr>
                <w:rFonts w:eastAsia="Times New Roman" w:cs="Times New Roman"/>
                <w:b/>
                <w:bCs/>
                <w:color w:val="000000"/>
                <w:sz w:val="16"/>
                <w:szCs w:val="16"/>
                <w:lang w:val="es-419" w:eastAsia="es-419"/>
              </w:rPr>
              <w:t>(187.888.484.131)</w:t>
            </w:r>
          </w:p>
        </w:tc>
      </w:tr>
      <w:tr w:rsidR="001D0619" w:rsidRPr="00951AB1" w14:paraId="1BF495E3" w14:textId="77777777" w:rsidTr="001D0619">
        <w:trPr>
          <w:cantSplit/>
          <w:trHeight w:val="290"/>
        </w:trPr>
        <w:tc>
          <w:tcPr>
            <w:tcW w:w="131" w:type="pct"/>
            <w:tcBorders>
              <w:top w:val="nil"/>
              <w:left w:val="single" w:sz="4" w:space="0" w:color="A6A6A6"/>
              <w:bottom w:val="single" w:sz="4" w:space="0" w:color="A6A6A6"/>
              <w:right w:val="nil"/>
            </w:tcBorders>
            <w:noWrap/>
            <w:vAlign w:val="center"/>
            <w:hideMark/>
          </w:tcPr>
          <w:p w14:paraId="2DB32A06" w14:textId="77777777" w:rsidR="00CA0E31" w:rsidRPr="00520A6E" w:rsidRDefault="00CA0E31" w:rsidP="000A5389">
            <w:pPr>
              <w:spacing w:line="240" w:lineRule="auto"/>
              <w:jc w:val="center"/>
              <w:rPr>
                <w:rFonts w:eastAsia="Times New Roman" w:cs="Times New Roman"/>
                <w:sz w:val="16"/>
                <w:szCs w:val="16"/>
                <w:lang w:val="es-419" w:eastAsia="es-419"/>
              </w:rPr>
            </w:pPr>
            <w:r w:rsidRPr="00520A6E">
              <w:rPr>
                <w:rFonts w:eastAsia="Times New Roman" w:cs="Times New Roman"/>
                <w:sz w:val="16"/>
                <w:szCs w:val="16"/>
                <w:lang w:val="es-419" w:eastAsia="es-419"/>
              </w:rPr>
              <w:t> </w:t>
            </w:r>
          </w:p>
        </w:tc>
        <w:tc>
          <w:tcPr>
            <w:tcW w:w="102" w:type="pct"/>
            <w:tcBorders>
              <w:top w:val="nil"/>
              <w:left w:val="nil"/>
              <w:bottom w:val="single" w:sz="4" w:space="0" w:color="A6A6A6"/>
              <w:right w:val="nil"/>
            </w:tcBorders>
            <w:noWrap/>
            <w:vAlign w:val="center"/>
            <w:hideMark/>
          </w:tcPr>
          <w:p w14:paraId="4D5FEE76" w14:textId="77777777" w:rsidR="00CA0E31" w:rsidRPr="00520A6E" w:rsidRDefault="00CA0E31" w:rsidP="000A5389">
            <w:pPr>
              <w:spacing w:line="240" w:lineRule="auto"/>
              <w:rPr>
                <w:rFonts w:eastAsia="Times New Roman" w:cs="Times New Roman"/>
                <w:sz w:val="16"/>
                <w:szCs w:val="16"/>
                <w:lang w:val="es-419" w:eastAsia="es-419"/>
              </w:rPr>
            </w:pPr>
            <w:r w:rsidRPr="00520A6E">
              <w:rPr>
                <w:rFonts w:eastAsia="Times New Roman" w:cs="Times New Roman"/>
                <w:sz w:val="16"/>
                <w:szCs w:val="16"/>
                <w:lang w:val="es-419" w:eastAsia="es-419"/>
              </w:rPr>
              <w:t> </w:t>
            </w:r>
          </w:p>
        </w:tc>
        <w:tc>
          <w:tcPr>
            <w:tcW w:w="92" w:type="pct"/>
            <w:tcBorders>
              <w:top w:val="nil"/>
              <w:left w:val="nil"/>
              <w:bottom w:val="single" w:sz="4" w:space="0" w:color="A6A6A6"/>
              <w:right w:val="nil"/>
            </w:tcBorders>
            <w:noWrap/>
            <w:vAlign w:val="center"/>
            <w:hideMark/>
          </w:tcPr>
          <w:p w14:paraId="744C0D3D" w14:textId="77777777" w:rsidR="00CA0E31" w:rsidRPr="00520A6E" w:rsidRDefault="00CA0E31" w:rsidP="000A5389">
            <w:pPr>
              <w:spacing w:line="240" w:lineRule="auto"/>
              <w:jc w:val="center"/>
              <w:rPr>
                <w:rFonts w:eastAsia="Times New Roman" w:cs="Times New Roman"/>
                <w:sz w:val="16"/>
                <w:szCs w:val="16"/>
                <w:lang w:val="es-419" w:eastAsia="es-419"/>
              </w:rPr>
            </w:pPr>
            <w:r w:rsidRPr="00520A6E">
              <w:rPr>
                <w:rFonts w:eastAsia="Times New Roman" w:cs="Times New Roman"/>
                <w:sz w:val="16"/>
                <w:szCs w:val="16"/>
                <w:lang w:val="es-419" w:eastAsia="es-419"/>
              </w:rPr>
              <w:t>+</w:t>
            </w:r>
          </w:p>
        </w:tc>
        <w:tc>
          <w:tcPr>
            <w:tcW w:w="1093" w:type="pct"/>
            <w:tcBorders>
              <w:top w:val="nil"/>
              <w:left w:val="nil"/>
              <w:bottom w:val="single" w:sz="4" w:space="0" w:color="A6A6A6"/>
              <w:right w:val="single" w:sz="4" w:space="0" w:color="A6A6A6"/>
            </w:tcBorders>
            <w:vAlign w:val="center"/>
            <w:hideMark/>
          </w:tcPr>
          <w:p w14:paraId="24A4DE57" w14:textId="77777777" w:rsidR="00CA0E31" w:rsidRPr="00520A6E" w:rsidRDefault="00CA0E31" w:rsidP="000A5389">
            <w:pPr>
              <w:spacing w:line="240" w:lineRule="auto"/>
              <w:rPr>
                <w:rFonts w:eastAsia="Times New Roman" w:cs="Times New Roman"/>
                <w:sz w:val="16"/>
                <w:szCs w:val="16"/>
                <w:lang w:val="es-419" w:eastAsia="es-419"/>
              </w:rPr>
            </w:pPr>
            <w:r w:rsidRPr="00520A6E">
              <w:rPr>
                <w:rFonts w:eastAsia="Times New Roman" w:cs="Times New Roman"/>
                <w:sz w:val="16"/>
                <w:szCs w:val="16"/>
                <w:lang w:val="es-419" w:eastAsia="es-419"/>
              </w:rPr>
              <w:t>Entrada por traslado de cuentas (DB)</w:t>
            </w:r>
          </w:p>
        </w:tc>
        <w:tc>
          <w:tcPr>
            <w:tcW w:w="864" w:type="pct"/>
            <w:tcBorders>
              <w:top w:val="nil"/>
              <w:left w:val="nil"/>
              <w:bottom w:val="single" w:sz="4" w:space="0" w:color="A6A6A6"/>
              <w:right w:val="single" w:sz="4" w:space="0" w:color="A6A6A6"/>
            </w:tcBorders>
            <w:noWrap/>
            <w:vAlign w:val="center"/>
            <w:hideMark/>
          </w:tcPr>
          <w:p w14:paraId="63F268C6" w14:textId="77777777" w:rsidR="00CA0E31" w:rsidRPr="00520A6E" w:rsidRDefault="00CA0E31" w:rsidP="000A5389">
            <w:pPr>
              <w:spacing w:line="240" w:lineRule="auto"/>
              <w:jc w:val="right"/>
              <w:rPr>
                <w:rFonts w:eastAsia="Times New Roman" w:cs="Times New Roman"/>
                <w:color w:val="000000"/>
                <w:sz w:val="16"/>
                <w:szCs w:val="16"/>
                <w:lang w:val="es-419" w:eastAsia="es-419"/>
              </w:rPr>
            </w:pPr>
            <w:r w:rsidRPr="00520A6E">
              <w:rPr>
                <w:rFonts w:eastAsia="Times New Roman" w:cs="Times New Roman"/>
                <w:color w:val="000000"/>
                <w:sz w:val="16"/>
                <w:szCs w:val="16"/>
                <w:lang w:val="es-419" w:eastAsia="es-419"/>
              </w:rPr>
              <w:t xml:space="preserve">27.832.641.165.495 </w:t>
            </w:r>
          </w:p>
        </w:tc>
        <w:tc>
          <w:tcPr>
            <w:tcW w:w="914" w:type="pct"/>
            <w:tcBorders>
              <w:top w:val="nil"/>
              <w:left w:val="nil"/>
              <w:bottom w:val="single" w:sz="4" w:space="0" w:color="A6A6A6"/>
              <w:right w:val="single" w:sz="4" w:space="0" w:color="A6A6A6"/>
            </w:tcBorders>
            <w:noWrap/>
            <w:vAlign w:val="center"/>
            <w:hideMark/>
          </w:tcPr>
          <w:p w14:paraId="65AA6478" w14:textId="77777777" w:rsidR="00CA0E31" w:rsidRPr="00520A6E" w:rsidRDefault="00CA0E31" w:rsidP="000A5389">
            <w:pPr>
              <w:spacing w:line="240" w:lineRule="auto"/>
              <w:jc w:val="right"/>
              <w:rPr>
                <w:rFonts w:eastAsia="Times New Roman" w:cs="Times New Roman"/>
                <w:color w:val="000000"/>
                <w:sz w:val="16"/>
                <w:szCs w:val="16"/>
                <w:lang w:val="es-419" w:eastAsia="es-419"/>
              </w:rPr>
            </w:pPr>
            <w:r w:rsidRPr="00520A6E">
              <w:rPr>
                <w:rFonts w:eastAsia="Times New Roman" w:cs="Times New Roman"/>
                <w:color w:val="000000"/>
                <w:sz w:val="16"/>
                <w:szCs w:val="16"/>
                <w:lang w:val="es-419" w:eastAsia="es-419"/>
              </w:rPr>
              <w:t xml:space="preserve">6.453.763.886.697 </w:t>
            </w:r>
          </w:p>
        </w:tc>
        <w:tc>
          <w:tcPr>
            <w:tcW w:w="825" w:type="pct"/>
            <w:tcBorders>
              <w:top w:val="nil"/>
              <w:left w:val="nil"/>
              <w:bottom w:val="single" w:sz="4" w:space="0" w:color="A6A6A6"/>
              <w:right w:val="single" w:sz="4" w:space="0" w:color="A6A6A6"/>
            </w:tcBorders>
            <w:noWrap/>
            <w:vAlign w:val="center"/>
            <w:hideMark/>
          </w:tcPr>
          <w:p w14:paraId="54DD490D" w14:textId="77777777" w:rsidR="00CA0E31" w:rsidRPr="00520A6E" w:rsidRDefault="00CA0E31" w:rsidP="000A5389">
            <w:pPr>
              <w:spacing w:line="240" w:lineRule="auto"/>
              <w:jc w:val="right"/>
              <w:rPr>
                <w:rFonts w:eastAsia="Times New Roman" w:cs="Times New Roman"/>
                <w:color w:val="000000"/>
                <w:sz w:val="16"/>
                <w:szCs w:val="16"/>
                <w:lang w:val="es-419" w:eastAsia="es-419"/>
              </w:rPr>
            </w:pPr>
            <w:r w:rsidRPr="00520A6E">
              <w:rPr>
                <w:rFonts w:eastAsia="Times New Roman" w:cs="Times New Roman"/>
                <w:color w:val="000000"/>
                <w:sz w:val="16"/>
                <w:szCs w:val="16"/>
                <w:lang w:val="es-419" w:eastAsia="es-419"/>
              </w:rPr>
              <w:t xml:space="preserve">0 </w:t>
            </w:r>
          </w:p>
        </w:tc>
        <w:tc>
          <w:tcPr>
            <w:tcW w:w="979" w:type="pct"/>
            <w:tcBorders>
              <w:top w:val="nil"/>
              <w:left w:val="nil"/>
              <w:bottom w:val="single" w:sz="4" w:space="0" w:color="A6A6A6"/>
              <w:right w:val="single" w:sz="4" w:space="0" w:color="A6A6A6"/>
            </w:tcBorders>
            <w:noWrap/>
            <w:vAlign w:val="center"/>
            <w:hideMark/>
          </w:tcPr>
          <w:p w14:paraId="4848626C" w14:textId="77777777" w:rsidR="00CA0E31" w:rsidRPr="00520A6E" w:rsidRDefault="00CA0E31" w:rsidP="000A5389">
            <w:pPr>
              <w:spacing w:line="240" w:lineRule="auto"/>
              <w:jc w:val="right"/>
              <w:rPr>
                <w:rFonts w:eastAsia="Times New Roman" w:cs="Times New Roman"/>
                <w:b/>
                <w:bCs/>
                <w:color w:val="000000"/>
                <w:sz w:val="16"/>
                <w:szCs w:val="16"/>
                <w:lang w:val="es-419" w:eastAsia="es-419"/>
              </w:rPr>
            </w:pPr>
            <w:r w:rsidRPr="00520A6E">
              <w:rPr>
                <w:rFonts w:eastAsia="Times New Roman" w:cs="Times New Roman"/>
                <w:b/>
                <w:bCs/>
                <w:color w:val="000000"/>
                <w:sz w:val="16"/>
                <w:szCs w:val="16"/>
                <w:lang w:val="es-419" w:eastAsia="es-419"/>
              </w:rPr>
              <w:t xml:space="preserve">34.286.405.052.193 </w:t>
            </w:r>
          </w:p>
        </w:tc>
      </w:tr>
      <w:tr w:rsidR="001D0619" w:rsidRPr="00951AB1" w14:paraId="7959A947" w14:textId="77777777" w:rsidTr="001D0619">
        <w:trPr>
          <w:cantSplit/>
          <w:trHeight w:val="290"/>
        </w:trPr>
        <w:tc>
          <w:tcPr>
            <w:tcW w:w="131" w:type="pct"/>
            <w:tcBorders>
              <w:top w:val="nil"/>
              <w:left w:val="single" w:sz="4" w:space="0" w:color="A6A6A6"/>
              <w:bottom w:val="single" w:sz="4" w:space="0" w:color="A6A6A6"/>
              <w:right w:val="nil"/>
            </w:tcBorders>
            <w:noWrap/>
            <w:vAlign w:val="center"/>
            <w:hideMark/>
          </w:tcPr>
          <w:p w14:paraId="1126F857" w14:textId="77777777" w:rsidR="00CA0E31" w:rsidRPr="00520A6E" w:rsidRDefault="00CA0E31" w:rsidP="000A5389">
            <w:pPr>
              <w:spacing w:line="240" w:lineRule="auto"/>
              <w:jc w:val="center"/>
              <w:rPr>
                <w:rFonts w:eastAsia="Times New Roman" w:cs="Times New Roman"/>
                <w:sz w:val="16"/>
                <w:szCs w:val="16"/>
                <w:lang w:val="es-419" w:eastAsia="es-419"/>
              </w:rPr>
            </w:pPr>
            <w:r w:rsidRPr="00520A6E">
              <w:rPr>
                <w:rFonts w:eastAsia="Times New Roman" w:cs="Times New Roman"/>
                <w:sz w:val="16"/>
                <w:szCs w:val="16"/>
                <w:lang w:val="es-419" w:eastAsia="es-419"/>
              </w:rPr>
              <w:t> </w:t>
            </w:r>
          </w:p>
        </w:tc>
        <w:tc>
          <w:tcPr>
            <w:tcW w:w="102" w:type="pct"/>
            <w:tcBorders>
              <w:top w:val="nil"/>
              <w:left w:val="nil"/>
              <w:bottom w:val="single" w:sz="4" w:space="0" w:color="A6A6A6"/>
              <w:right w:val="nil"/>
            </w:tcBorders>
            <w:noWrap/>
            <w:vAlign w:val="center"/>
            <w:hideMark/>
          </w:tcPr>
          <w:p w14:paraId="1F11D10A" w14:textId="77777777" w:rsidR="00CA0E31" w:rsidRPr="00520A6E" w:rsidRDefault="00CA0E31" w:rsidP="000A5389">
            <w:pPr>
              <w:spacing w:line="240" w:lineRule="auto"/>
              <w:rPr>
                <w:rFonts w:eastAsia="Times New Roman" w:cs="Times New Roman"/>
                <w:sz w:val="16"/>
                <w:szCs w:val="16"/>
                <w:lang w:val="es-419" w:eastAsia="es-419"/>
              </w:rPr>
            </w:pPr>
            <w:r w:rsidRPr="00520A6E">
              <w:rPr>
                <w:rFonts w:eastAsia="Times New Roman" w:cs="Times New Roman"/>
                <w:sz w:val="16"/>
                <w:szCs w:val="16"/>
                <w:lang w:val="es-419" w:eastAsia="es-419"/>
              </w:rPr>
              <w:t> </w:t>
            </w:r>
          </w:p>
        </w:tc>
        <w:tc>
          <w:tcPr>
            <w:tcW w:w="92" w:type="pct"/>
            <w:tcBorders>
              <w:top w:val="nil"/>
              <w:left w:val="nil"/>
              <w:bottom w:val="single" w:sz="4" w:space="0" w:color="A6A6A6"/>
              <w:right w:val="nil"/>
            </w:tcBorders>
            <w:noWrap/>
            <w:vAlign w:val="center"/>
            <w:hideMark/>
          </w:tcPr>
          <w:p w14:paraId="098D1F4A" w14:textId="77777777" w:rsidR="00CA0E31" w:rsidRPr="00520A6E" w:rsidRDefault="00CA0E31" w:rsidP="000A5389">
            <w:pPr>
              <w:spacing w:line="240" w:lineRule="auto"/>
              <w:jc w:val="center"/>
              <w:rPr>
                <w:rFonts w:eastAsia="Times New Roman" w:cs="Times New Roman"/>
                <w:sz w:val="16"/>
                <w:szCs w:val="16"/>
                <w:lang w:val="es-419" w:eastAsia="es-419"/>
              </w:rPr>
            </w:pPr>
            <w:r w:rsidRPr="00520A6E">
              <w:rPr>
                <w:rFonts w:eastAsia="Times New Roman" w:cs="Times New Roman"/>
                <w:sz w:val="16"/>
                <w:szCs w:val="16"/>
                <w:lang w:val="es-419" w:eastAsia="es-419"/>
              </w:rPr>
              <w:t> </w:t>
            </w:r>
          </w:p>
        </w:tc>
        <w:tc>
          <w:tcPr>
            <w:tcW w:w="1093" w:type="pct"/>
            <w:tcBorders>
              <w:top w:val="nil"/>
              <w:left w:val="nil"/>
              <w:bottom w:val="single" w:sz="4" w:space="0" w:color="A6A6A6"/>
              <w:right w:val="single" w:sz="4" w:space="0" w:color="A6A6A6"/>
            </w:tcBorders>
            <w:vAlign w:val="center"/>
            <w:hideMark/>
          </w:tcPr>
          <w:p w14:paraId="05F60545" w14:textId="77777777" w:rsidR="00CA0E31" w:rsidRPr="00520A6E" w:rsidRDefault="00CA0E31" w:rsidP="000A5389">
            <w:pPr>
              <w:spacing w:line="240" w:lineRule="auto"/>
              <w:rPr>
                <w:rFonts w:eastAsia="Times New Roman" w:cs="Times New Roman"/>
                <w:sz w:val="16"/>
                <w:szCs w:val="16"/>
                <w:lang w:val="es-419" w:eastAsia="es-419"/>
              </w:rPr>
            </w:pPr>
            <w:r w:rsidRPr="00520A6E">
              <w:rPr>
                <w:rFonts w:eastAsia="Times New Roman" w:cs="Times New Roman"/>
                <w:sz w:val="16"/>
                <w:szCs w:val="16"/>
                <w:lang w:val="es-419" w:eastAsia="es-419"/>
              </w:rPr>
              <w:t>* Modo Carretero</w:t>
            </w:r>
          </w:p>
        </w:tc>
        <w:tc>
          <w:tcPr>
            <w:tcW w:w="864" w:type="pct"/>
            <w:tcBorders>
              <w:top w:val="nil"/>
              <w:left w:val="nil"/>
              <w:bottom w:val="single" w:sz="4" w:space="0" w:color="A6A6A6"/>
              <w:right w:val="single" w:sz="4" w:space="0" w:color="A6A6A6"/>
            </w:tcBorders>
            <w:noWrap/>
            <w:vAlign w:val="center"/>
            <w:hideMark/>
          </w:tcPr>
          <w:p w14:paraId="4A34E210" w14:textId="77777777" w:rsidR="00CA0E31" w:rsidRPr="00520A6E" w:rsidRDefault="00CA0E31" w:rsidP="000A5389">
            <w:pPr>
              <w:spacing w:line="240" w:lineRule="auto"/>
              <w:jc w:val="right"/>
              <w:rPr>
                <w:rFonts w:eastAsia="Times New Roman" w:cs="Times New Roman"/>
                <w:color w:val="000000"/>
                <w:sz w:val="16"/>
                <w:szCs w:val="16"/>
                <w:lang w:val="es-419" w:eastAsia="es-419"/>
              </w:rPr>
            </w:pPr>
            <w:r w:rsidRPr="00520A6E">
              <w:rPr>
                <w:rFonts w:eastAsia="Times New Roman" w:cs="Times New Roman"/>
                <w:color w:val="000000"/>
                <w:sz w:val="16"/>
                <w:szCs w:val="16"/>
                <w:lang w:val="es-419" w:eastAsia="es-419"/>
              </w:rPr>
              <w:t xml:space="preserve">26.609.193.642.457 </w:t>
            </w:r>
          </w:p>
        </w:tc>
        <w:tc>
          <w:tcPr>
            <w:tcW w:w="914" w:type="pct"/>
            <w:tcBorders>
              <w:top w:val="nil"/>
              <w:left w:val="nil"/>
              <w:bottom w:val="single" w:sz="4" w:space="0" w:color="A6A6A6"/>
              <w:right w:val="single" w:sz="4" w:space="0" w:color="A6A6A6"/>
            </w:tcBorders>
            <w:noWrap/>
            <w:vAlign w:val="center"/>
            <w:hideMark/>
          </w:tcPr>
          <w:p w14:paraId="69D149EA" w14:textId="77777777" w:rsidR="00CA0E31" w:rsidRPr="00520A6E" w:rsidRDefault="00CA0E31" w:rsidP="000A5389">
            <w:pPr>
              <w:spacing w:line="240" w:lineRule="auto"/>
              <w:jc w:val="right"/>
              <w:rPr>
                <w:rFonts w:eastAsia="Times New Roman" w:cs="Times New Roman"/>
                <w:color w:val="000000"/>
                <w:sz w:val="16"/>
                <w:szCs w:val="16"/>
                <w:lang w:val="es-419" w:eastAsia="es-419"/>
              </w:rPr>
            </w:pPr>
            <w:r w:rsidRPr="00520A6E">
              <w:rPr>
                <w:rFonts w:eastAsia="Times New Roman" w:cs="Times New Roman"/>
                <w:color w:val="000000"/>
                <w:sz w:val="16"/>
                <w:szCs w:val="16"/>
                <w:lang w:val="es-419" w:eastAsia="es-419"/>
              </w:rPr>
              <w:t xml:space="preserve">6.075.014.616.849 </w:t>
            </w:r>
          </w:p>
        </w:tc>
        <w:tc>
          <w:tcPr>
            <w:tcW w:w="825" w:type="pct"/>
            <w:tcBorders>
              <w:top w:val="nil"/>
              <w:left w:val="nil"/>
              <w:bottom w:val="single" w:sz="4" w:space="0" w:color="A6A6A6"/>
              <w:right w:val="single" w:sz="4" w:space="0" w:color="A6A6A6"/>
            </w:tcBorders>
            <w:noWrap/>
            <w:vAlign w:val="center"/>
            <w:hideMark/>
          </w:tcPr>
          <w:p w14:paraId="1D0D8880" w14:textId="77777777" w:rsidR="00CA0E31" w:rsidRPr="00520A6E" w:rsidRDefault="00CA0E31" w:rsidP="000A5389">
            <w:pPr>
              <w:spacing w:line="240" w:lineRule="auto"/>
              <w:jc w:val="right"/>
              <w:rPr>
                <w:rFonts w:eastAsia="Times New Roman" w:cs="Times New Roman"/>
                <w:color w:val="000000"/>
                <w:sz w:val="16"/>
                <w:szCs w:val="16"/>
                <w:lang w:val="es-419" w:eastAsia="es-419"/>
              </w:rPr>
            </w:pPr>
            <w:r w:rsidRPr="00520A6E">
              <w:rPr>
                <w:rFonts w:eastAsia="Times New Roman" w:cs="Times New Roman"/>
                <w:color w:val="000000"/>
                <w:sz w:val="16"/>
                <w:szCs w:val="16"/>
                <w:lang w:val="es-419" w:eastAsia="es-419"/>
              </w:rPr>
              <w:t xml:space="preserve">0 </w:t>
            </w:r>
          </w:p>
        </w:tc>
        <w:tc>
          <w:tcPr>
            <w:tcW w:w="979" w:type="pct"/>
            <w:tcBorders>
              <w:top w:val="nil"/>
              <w:left w:val="nil"/>
              <w:bottom w:val="single" w:sz="4" w:space="0" w:color="A6A6A6"/>
              <w:right w:val="single" w:sz="4" w:space="0" w:color="A6A6A6"/>
            </w:tcBorders>
            <w:noWrap/>
            <w:vAlign w:val="center"/>
            <w:hideMark/>
          </w:tcPr>
          <w:p w14:paraId="2B3A5EF5" w14:textId="77777777" w:rsidR="00CA0E31" w:rsidRPr="00520A6E" w:rsidRDefault="00CA0E31" w:rsidP="000A5389">
            <w:pPr>
              <w:spacing w:line="240" w:lineRule="auto"/>
              <w:jc w:val="right"/>
              <w:rPr>
                <w:rFonts w:eastAsia="Times New Roman" w:cs="Times New Roman"/>
                <w:color w:val="000000"/>
                <w:sz w:val="16"/>
                <w:szCs w:val="16"/>
                <w:lang w:val="es-419" w:eastAsia="es-419"/>
              </w:rPr>
            </w:pPr>
            <w:r w:rsidRPr="00520A6E">
              <w:rPr>
                <w:rFonts w:eastAsia="Times New Roman" w:cs="Times New Roman"/>
                <w:color w:val="000000"/>
                <w:sz w:val="16"/>
                <w:szCs w:val="16"/>
                <w:lang w:val="es-419" w:eastAsia="es-419"/>
              </w:rPr>
              <w:t xml:space="preserve">32.684.208.259.307 </w:t>
            </w:r>
          </w:p>
        </w:tc>
      </w:tr>
      <w:tr w:rsidR="001D0619" w:rsidRPr="00951AB1" w14:paraId="110E8AF5" w14:textId="77777777" w:rsidTr="001D0619">
        <w:trPr>
          <w:cantSplit/>
          <w:trHeight w:val="290"/>
        </w:trPr>
        <w:tc>
          <w:tcPr>
            <w:tcW w:w="131" w:type="pct"/>
            <w:tcBorders>
              <w:top w:val="nil"/>
              <w:left w:val="single" w:sz="4" w:space="0" w:color="A6A6A6"/>
              <w:bottom w:val="single" w:sz="4" w:space="0" w:color="A6A6A6"/>
              <w:right w:val="nil"/>
            </w:tcBorders>
            <w:noWrap/>
            <w:vAlign w:val="center"/>
            <w:hideMark/>
          </w:tcPr>
          <w:p w14:paraId="7FC0058C" w14:textId="77777777" w:rsidR="00CA0E31" w:rsidRPr="00520A6E" w:rsidRDefault="00CA0E31" w:rsidP="000A5389">
            <w:pPr>
              <w:spacing w:line="240" w:lineRule="auto"/>
              <w:jc w:val="center"/>
              <w:rPr>
                <w:rFonts w:eastAsia="Times New Roman" w:cs="Times New Roman"/>
                <w:sz w:val="16"/>
                <w:szCs w:val="16"/>
                <w:lang w:val="es-419" w:eastAsia="es-419"/>
              </w:rPr>
            </w:pPr>
            <w:r w:rsidRPr="00520A6E">
              <w:rPr>
                <w:rFonts w:eastAsia="Times New Roman" w:cs="Times New Roman"/>
                <w:sz w:val="16"/>
                <w:szCs w:val="16"/>
                <w:lang w:val="es-419" w:eastAsia="es-419"/>
              </w:rPr>
              <w:t> </w:t>
            </w:r>
          </w:p>
        </w:tc>
        <w:tc>
          <w:tcPr>
            <w:tcW w:w="102" w:type="pct"/>
            <w:tcBorders>
              <w:top w:val="nil"/>
              <w:left w:val="nil"/>
              <w:bottom w:val="single" w:sz="4" w:space="0" w:color="A6A6A6"/>
              <w:right w:val="nil"/>
            </w:tcBorders>
            <w:noWrap/>
            <w:vAlign w:val="center"/>
            <w:hideMark/>
          </w:tcPr>
          <w:p w14:paraId="04A1B656" w14:textId="77777777" w:rsidR="00CA0E31" w:rsidRPr="00520A6E" w:rsidRDefault="00CA0E31" w:rsidP="000A5389">
            <w:pPr>
              <w:spacing w:line="240" w:lineRule="auto"/>
              <w:rPr>
                <w:rFonts w:eastAsia="Times New Roman" w:cs="Times New Roman"/>
                <w:sz w:val="16"/>
                <w:szCs w:val="16"/>
                <w:lang w:val="es-419" w:eastAsia="es-419"/>
              </w:rPr>
            </w:pPr>
            <w:r w:rsidRPr="00520A6E">
              <w:rPr>
                <w:rFonts w:eastAsia="Times New Roman" w:cs="Times New Roman"/>
                <w:sz w:val="16"/>
                <w:szCs w:val="16"/>
                <w:lang w:val="es-419" w:eastAsia="es-419"/>
              </w:rPr>
              <w:t> </w:t>
            </w:r>
          </w:p>
        </w:tc>
        <w:tc>
          <w:tcPr>
            <w:tcW w:w="92" w:type="pct"/>
            <w:tcBorders>
              <w:top w:val="nil"/>
              <w:left w:val="nil"/>
              <w:bottom w:val="single" w:sz="4" w:space="0" w:color="A6A6A6"/>
              <w:right w:val="nil"/>
            </w:tcBorders>
            <w:noWrap/>
            <w:vAlign w:val="center"/>
            <w:hideMark/>
          </w:tcPr>
          <w:p w14:paraId="4ADCB910" w14:textId="77777777" w:rsidR="00CA0E31" w:rsidRPr="00520A6E" w:rsidRDefault="00CA0E31" w:rsidP="000A5389">
            <w:pPr>
              <w:spacing w:line="240" w:lineRule="auto"/>
              <w:jc w:val="center"/>
              <w:rPr>
                <w:rFonts w:eastAsia="Times New Roman" w:cs="Times New Roman"/>
                <w:sz w:val="16"/>
                <w:szCs w:val="16"/>
                <w:lang w:val="es-419" w:eastAsia="es-419"/>
              </w:rPr>
            </w:pPr>
            <w:r w:rsidRPr="00520A6E">
              <w:rPr>
                <w:rFonts w:eastAsia="Times New Roman" w:cs="Times New Roman"/>
                <w:sz w:val="16"/>
                <w:szCs w:val="16"/>
                <w:lang w:val="es-419" w:eastAsia="es-419"/>
              </w:rPr>
              <w:t> </w:t>
            </w:r>
          </w:p>
        </w:tc>
        <w:tc>
          <w:tcPr>
            <w:tcW w:w="1093" w:type="pct"/>
            <w:tcBorders>
              <w:top w:val="nil"/>
              <w:left w:val="nil"/>
              <w:bottom w:val="single" w:sz="4" w:space="0" w:color="A6A6A6"/>
              <w:right w:val="single" w:sz="4" w:space="0" w:color="A6A6A6"/>
            </w:tcBorders>
            <w:vAlign w:val="center"/>
            <w:hideMark/>
          </w:tcPr>
          <w:p w14:paraId="10B48105" w14:textId="77777777" w:rsidR="00CA0E31" w:rsidRPr="00520A6E" w:rsidRDefault="00CA0E31" w:rsidP="000A5389">
            <w:pPr>
              <w:spacing w:line="240" w:lineRule="auto"/>
              <w:rPr>
                <w:rFonts w:eastAsia="Times New Roman" w:cs="Times New Roman"/>
                <w:sz w:val="16"/>
                <w:szCs w:val="16"/>
                <w:lang w:val="es-419" w:eastAsia="es-419"/>
              </w:rPr>
            </w:pPr>
            <w:r w:rsidRPr="00520A6E">
              <w:rPr>
                <w:rFonts w:eastAsia="Times New Roman" w:cs="Times New Roman"/>
                <w:sz w:val="16"/>
                <w:szCs w:val="16"/>
                <w:lang w:val="es-419" w:eastAsia="es-419"/>
              </w:rPr>
              <w:t>* Terrenos</w:t>
            </w:r>
          </w:p>
        </w:tc>
        <w:tc>
          <w:tcPr>
            <w:tcW w:w="864" w:type="pct"/>
            <w:tcBorders>
              <w:top w:val="nil"/>
              <w:left w:val="nil"/>
              <w:bottom w:val="single" w:sz="4" w:space="0" w:color="A6A6A6"/>
              <w:right w:val="single" w:sz="4" w:space="0" w:color="A6A6A6"/>
            </w:tcBorders>
            <w:noWrap/>
            <w:vAlign w:val="center"/>
            <w:hideMark/>
          </w:tcPr>
          <w:p w14:paraId="77C646FF" w14:textId="77777777" w:rsidR="00CA0E31" w:rsidRPr="00520A6E" w:rsidRDefault="00CA0E31" w:rsidP="000A5389">
            <w:pPr>
              <w:spacing w:line="240" w:lineRule="auto"/>
              <w:jc w:val="right"/>
              <w:rPr>
                <w:rFonts w:eastAsia="Times New Roman" w:cs="Times New Roman"/>
                <w:color w:val="000000"/>
                <w:sz w:val="16"/>
                <w:szCs w:val="16"/>
                <w:lang w:val="es-419" w:eastAsia="es-419"/>
              </w:rPr>
            </w:pPr>
            <w:r w:rsidRPr="00520A6E">
              <w:rPr>
                <w:rFonts w:eastAsia="Times New Roman" w:cs="Times New Roman"/>
                <w:color w:val="000000"/>
                <w:sz w:val="16"/>
                <w:szCs w:val="16"/>
                <w:lang w:val="es-419" w:eastAsia="es-419"/>
              </w:rPr>
              <w:t xml:space="preserve">1.191.548.525.175 </w:t>
            </w:r>
          </w:p>
        </w:tc>
        <w:tc>
          <w:tcPr>
            <w:tcW w:w="914" w:type="pct"/>
            <w:tcBorders>
              <w:top w:val="nil"/>
              <w:left w:val="nil"/>
              <w:bottom w:val="single" w:sz="4" w:space="0" w:color="A6A6A6"/>
              <w:right w:val="single" w:sz="4" w:space="0" w:color="A6A6A6"/>
            </w:tcBorders>
            <w:noWrap/>
            <w:vAlign w:val="center"/>
            <w:hideMark/>
          </w:tcPr>
          <w:p w14:paraId="0C9EAEF5" w14:textId="77777777" w:rsidR="00CA0E31" w:rsidRPr="00520A6E" w:rsidRDefault="00CA0E31" w:rsidP="000A5389">
            <w:pPr>
              <w:spacing w:line="240" w:lineRule="auto"/>
              <w:jc w:val="right"/>
              <w:rPr>
                <w:rFonts w:eastAsia="Times New Roman" w:cs="Times New Roman"/>
                <w:color w:val="000000"/>
                <w:sz w:val="16"/>
                <w:szCs w:val="16"/>
                <w:lang w:val="es-419" w:eastAsia="es-419"/>
              </w:rPr>
            </w:pPr>
            <w:r w:rsidRPr="00520A6E">
              <w:rPr>
                <w:rFonts w:eastAsia="Times New Roman" w:cs="Times New Roman"/>
                <w:color w:val="000000"/>
                <w:sz w:val="16"/>
                <w:szCs w:val="16"/>
                <w:lang w:val="es-419" w:eastAsia="es-419"/>
              </w:rPr>
              <w:t xml:space="preserve">378.749.269.848 </w:t>
            </w:r>
          </w:p>
        </w:tc>
        <w:tc>
          <w:tcPr>
            <w:tcW w:w="825" w:type="pct"/>
            <w:tcBorders>
              <w:top w:val="nil"/>
              <w:left w:val="nil"/>
              <w:bottom w:val="single" w:sz="4" w:space="0" w:color="A6A6A6"/>
              <w:right w:val="single" w:sz="4" w:space="0" w:color="A6A6A6"/>
            </w:tcBorders>
            <w:noWrap/>
            <w:vAlign w:val="center"/>
            <w:hideMark/>
          </w:tcPr>
          <w:p w14:paraId="3EAAAC78" w14:textId="77777777" w:rsidR="00CA0E31" w:rsidRPr="00520A6E" w:rsidRDefault="00CA0E31" w:rsidP="000A5389">
            <w:pPr>
              <w:spacing w:line="240" w:lineRule="auto"/>
              <w:jc w:val="right"/>
              <w:rPr>
                <w:rFonts w:eastAsia="Times New Roman" w:cs="Times New Roman"/>
                <w:color w:val="000000"/>
                <w:sz w:val="16"/>
                <w:szCs w:val="16"/>
                <w:lang w:val="es-419" w:eastAsia="es-419"/>
              </w:rPr>
            </w:pPr>
            <w:r w:rsidRPr="00520A6E">
              <w:rPr>
                <w:rFonts w:eastAsia="Times New Roman" w:cs="Times New Roman"/>
                <w:color w:val="000000"/>
                <w:sz w:val="16"/>
                <w:szCs w:val="16"/>
                <w:lang w:val="es-419" w:eastAsia="es-419"/>
              </w:rPr>
              <w:t xml:space="preserve">0 </w:t>
            </w:r>
          </w:p>
        </w:tc>
        <w:tc>
          <w:tcPr>
            <w:tcW w:w="979" w:type="pct"/>
            <w:tcBorders>
              <w:top w:val="nil"/>
              <w:left w:val="nil"/>
              <w:bottom w:val="single" w:sz="4" w:space="0" w:color="A6A6A6"/>
              <w:right w:val="single" w:sz="4" w:space="0" w:color="A6A6A6"/>
            </w:tcBorders>
            <w:noWrap/>
            <w:vAlign w:val="center"/>
            <w:hideMark/>
          </w:tcPr>
          <w:p w14:paraId="34A74BAA" w14:textId="77777777" w:rsidR="00CA0E31" w:rsidRPr="00520A6E" w:rsidRDefault="00CA0E31" w:rsidP="000A5389">
            <w:pPr>
              <w:spacing w:line="240" w:lineRule="auto"/>
              <w:jc w:val="right"/>
              <w:rPr>
                <w:rFonts w:eastAsia="Times New Roman" w:cs="Times New Roman"/>
                <w:color w:val="000000"/>
                <w:sz w:val="16"/>
                <w:szCs w:val="16"/>
                <w:lang w:val="es-419" w:eastAsia="es-419"/>
              </w:rPr>
            </w:pPr>
            <w:r w:rsidRPr="00520A6E">
              <w:rPr>
                <w:rFonts w:eastAsia="Times New Roman" w:cs="Times New Roman"/>
                <w:color w:val="000000"/>
                <w:sz w:val="16"/>
                <w:szCs w:val="16"/>
                <w:lang w:val="es-419" w:eastAsia="es-419"/>
              </w:rPr>
              <w:t xml:space="preserve">1.570.297.795.023 </w:t>
            </w:r>
          </w:p>
        </w:tc>
      </w:tr>
      <w:tr w:rsidR="001D0619" w:rsidRPr="00951AB1" w14:paraId="2B1B090C" w14:textId="77777777" w:rsidTr="001D0619">
        <w:trPr>
          <w:cantSplit/>
          <w:trHeight w:val="290"/>
        </w:trPr>
        <w:tc>
          <w:tcPr>
            <w:tcW w:w="131" w:type="pct"/>
            <w:tcBorders>
              <w:top w:val="nil"/>
              <w:left w:val="single" w:sz="4" w:space="0" w:color="A6A6A6"/>
              <w:bottom w:val="single" w:sz="4" w:space="0" w:color="A6A6A6"/>
              <w:right w:val="nil"/>
            </w:tcBorders>
            <w:noWrap/>
            <w:vAlign w:val="center"/>
            <w:hideMark/>
          </w:tcPr>
          <w:p w14:paraId="75F59671" w14:textId="77777777" w:rsidR="00CA0E31" w:rsidRPr="00520A6E" w:rsidRDefault="00CA0E31" w:rsidP="000A5389">
            <w:pPr>
              <w:spacing w:line="240" w:lineRule="auto"/>
              <w:jc w:val="center"/>
              <w:rPr>
                <w:rFonts w:eastAsia="Times New Roman" w:cs="Times New Roman"/>
                <w:sz w:val="16"/>
                <w:szCs w:val="16"/>
                <w:lang w:val="es-419" w:eastAsia="es-419"/>
              </w:rPr>
            </w:pPr>
            <w:r w:rsidRPr="00520A6E">
              <w:rPr>
                <w:rFonts w:eastAsia="Times New Roman" w:cs="Times New Roman"/>
                <w:sz w:val="16"/>
                <w:szCs w:val="16"/>
                <w:lang w:val="es-419" w:eastAsia="es-419"/>
              </w:rPr>
              <w:t> </w:t>
            </w:r>
          </w:p>
        </w:tc>
        <w:tc>
          <w:tcPr>
            <w:tcW w:w="102" w:type="pct"/>
            <w:tcBorders>
              <w:top w:val="nil"/>
              <w:left w:val="nil"/>
              <w:bottom w:val="single" w:sz="4" w:space="0" w:color="A6A6A6"/>
              <w:right w:val="nil"/>
            </w:tcBorders>
            <w:noWrap/>
            <w:vAlign w:val="center"/>
            <w:hideMark/>
          </w:tcPr>
          <w:p w14:paraId="69996B27" w14:textId="77777777" w:rsidR="00CA0E31" w:rsidRPr="00520A6E" w:rsidRDefault="00CA0E31" w:rsidP="000A5389">
            <w:pPr>
              <w:spacing w:line="240" w:lineRule="auto"/>
              <w:rPr>
                <w:rFonts w:eastAsia="Times New Roman" w:cs="Times New Roman"/>
                <w:sz w:val="16"/>
                <w:szCs w:val="16"/>
                <w:lang w:val="es-419" w:eastAsia="es-419"/>
              </w:rPr>
            </w:pPr>
            <w:r w:rsidRPr="00520A6E">
              <w:rPr>
                <w:rFonts w:eastAsia="Times New Roman" w:cs="Times New Roman"/>
                <w:sz w:val="16"/>
                <w:szCs w:val="16"/>
                <w:lang w:val="es-419" w:eastAsia="es-419"/>
              </w:rPr>
              <w:t> </w:t>
            </w:r>
          </w:p>
        </w:tc>
        <w:tc>
          <w:tcPr>
            <w:tcW w:w="92" w:type="pct"/>
            <w:tcBorders>
              <w:top w:val="nil"/>
              <w:left w:val="nil"/>
              <w:bottom w:val="single" w:sz="4" w:space="0" w:color="A6A6A6"/>
              <w:right w:val="nil"/>
            </w:tcBorders>
            <w:noWrap/>
            <w:vAlign w:val="center"/>
            <w:hideMark/>
          </w:tcPr>
          <w:p w14:paraId="3DB0ABFB" w14:textId="77777777" w:rsidR="00CA0E31" w:rsidRPr="00520A6E" w:rsidRDefault="00CA0E31" w:rsidP="000A5389">
            <w:pPr>
              <w:spacing w:line="240" w:lineRule="auto"/>
              <w:jc w:val="center"/>
              <w:rPr>
                <w:rFonts w:eastAsia="Times New Roman" w:cs="Times New Roman"/>
                <w:sz w:val="16"/>
                <w:szCs w:val="16"/>
                <w:lang w:val="es-419" w:eastAsia="es-419"/>
              </w:rPr>
            </w:pPr>
            <w:r w:rsidRPr="00520A6E">
              <w:rPr>
                <w:rFonts w:eastAsia="Times New Roman" w:cs="Times New Roman"/>
                <w:sz w:val="16"/>
                <w:szCs w:val="16"/>
                <w:lang w:val="es-419" w:eastAsia="es-419"/>
              </w:rPr>
              <w:t> </w:t>
            </w:r>
          </w:p>
        </w:tc>
        <w:tc>
          <w:tcPr>
            <w:tcW w:w="1093" w:type="pct"/>
            <w:tcBorders>
              <w:top w:val="nil"/>
              <w:left w:val="nil"/>
              <w:bottom w:val="single" w:sz="4" w:space="0" w:color="A6A6A6"/>
              <w:right w:val="single" w:sz="4" w:space="0" w:color="A6A6A6"/>
            </w:tcBorders>
            <w:vAlign w:val="center"/>
            <w:hideMark/>
          </w:tcPr>
          <w:p w14:paraId="3DC29CD7" w14:textId="77777777" w:rsidR="00CA0E31" w:rsidRPr="00520A6E" w:rsidRDefault="00CA0E31" w:rsidP="000A5389">
            <w:pPr>
              <w:spacing w:line="240" w:lineRule="auto"/>
              <w:rPr>
                <w:rFonts w:eastAsia="Times New Roman" w:cs="Times New Roman"/>
                <w:sz w:val="16"/>
                <w:szCs w:val="16"/>
                <w:lang w:val="es-419" w:eastAsia="es-419"/>
              </w:rPr>
            </w:pPr>
            <w:r w:rsidRPr="00520A6E">
              <w:rPr>
                <w:rFonts w:eastAsia="Times New Roman" w:cs="Times New Roman"/>
                <w:sz w:val="16"/>
                <w:szCs w:val="16"/>
                <w:lang w:val="es-419" w:eastAsia="es-419"/>
              </w:rPr>
              <w:t>* Modo Portuario</w:t>
            </w:r>
          </w:p>
        </w:tc>
        <w:tc>
          <w:tcPr>
            <w:tcW w:w="864" w:type="pct"/>
            <w:tcBorders>
              <w:top w:val="nil"/>
              <w:left w:val="nil"/>
              <w:bottom w:val="single" w:sz="4" w:space="0" w:color="A6A6A6"/>
              <w:right w:val="single" w:sz="4" w:space="0" w:color="A6A6A6"/>
            </w:tcBorders>
            <w:noWrap/>
            <w:vAlign w:val="center"/>
            <w:hideMark/>
          </w:tcPr>
          <w:p w14:paraId="6E07CA15" w14:textId="77777777" w:rsidR="00CA0E31" w:rsidRPr="00520A6E" w:rsidRDefault="00CA0E31" w:rsidP="000A5389">
            <w:pPr>
              <w:spacing w:line="240" w:lineRule="auto"/>
              <w:jc w:val="right"/>
              <w:rPr>
                <w:rFonts w:eastAsia="Times New Roman" w:cs="Times New Roman"/>
                <w:color w:val="000000"/>
                <w:sz w:val="16"/>
                <w:szCs w:val="16"/>
                <w:lang w:val="es-419" w:eastAsia="es-419"/>
              </w:rPr>
            </w:pPr>
            <w:r w:rsidRPr="00520A6E">
              <w:rPr>
                <w:rFonts w:eastAsia="Times New Roman" w:cs="Times New Roman"/>
                <w:color w:val="000000"/>
                <w:sz w:val="16"/>
                <w:szCs w:val="16"/>
                <w:lang w:val="es-419" w:eastAsia="es-419"/>
              </w:rPr>
              <w:t xml:space="preserve">30.680.301.955 </w:t>
            </w:r>
          </w:p>
        </w:tc>
        <w:tc>
          <w:tcPr>
            <w:tcW w:w="914" w:type="pct"/>
            <w:tcBorders>
              <w:top w:val="nil"/>
              <w:left w:val="nil"/>
              <w:bottom w:val="single" w:sz="4" w:space="0" w:color="A6A6A6"/>
              <w:right w:val="single" w:sz="4" w:space="0" w:color="A6A6A6"/>
            </w:tcBorders>
            <w:noWrap/>
            <w:vAlign w:val="center"/>
            <w:hideMark/>
          </w:tcPr>
          <w:p w14:paraId="3BE069A3" w14:textId="77777777" w:rsidR="00CA0E31" w:rsidRPr="00520A6E" w:rsidRDefault="00CA0E31" w:rsidP="000A5389">
            <w:pPr>
              <w:spacing w:line="240" w:lineRule="auto"/>
              <w:jc w:val="right"/>
              <w:rPr>
                <w:rFonts w:eastAsia="Times New Roman" w:cs="Times New Roman"/>
                <w:color w:val="000000"/>
                <w:sz w:val="16"/>
                <w:szCs w:val="16"/>
                <w:lang w:val="es-419" w:eastAsia="es-419"/>
              </w:rPr>
            </w:pPr>
            <w:r w:rsidRPr="00520A6E">
              <w:rPr>
                <w:rFonts w:eastAsia="Times New Roman" w:cs="Times New Roman"/>
                <w:color w:val="000000"/>
                <w:sz w:val="16"/>
                <w:szCs w:val="16"/>
                <w:lang w:val="es-419" w:eastAsia="es-419"/>
              </w:rPr>
              <w:t xml:space="preserve">0 </w:t>
            </w:r>
          </w:p>
        </w:tc>
        <w:tc>
          <w:tcPr>
            <w:tcW w:w="825" w:type="pct"/>
            <w:tcBorders>
              <w:top w:val="nil"/>
              <w:left w:val="nil"/>
              <w:bottom w:val="single" w:sz="4" w:space="0" w:color="A6A6A6"/>
              <w:right w:val="single" w:sz="4" w:space="0" w:color="A6A6A6"/>
            </w:tcBorders>
            <w:noWrap/>
            <w:vAlign w:val="center"/>
            <w:hideMark/>
          </w:tcPr>
          <w:p w14:paraId="2B415C2C" w14:textId="77777777" w:rsidR="00CA0E31" w:rsidRPr="00520A6E" w:rsidRDefault="00CA0E31" w:rsidP="000A5389">
            <w:pPr>
              <w:spacing w:line="240" w:lineRule="auto"/>
              <w:jc w:val="right"/>
              <w:rPr>
                <w:rFonts w:eastAsia="Times New Roman" w:cs="Times New Roman"/>
                <w:color w:val="000000"/>
                <w:sz w:val="16"/>
                <w:szCs w:val="16"/>
                <w:lang w:val="es-419" w:eastAsia="es-419"/>
              </w:rPr>
            </w:pPr>
            <w:r w:rsidRPr="00520A6E">
              <w:rPr>
                <w:rFonts w:eastAsia="Times New Roman" w:cs="Times New Roman"/>
                <w:color w:val="000000"/>
                <w:sz w:val="16"/>
                <w:szCs w:val="16"/>
                <w:lang w:val="es-419" w:eastAsia="es-419"/>
              </w:rPr>
              <w:t xml:space="preserve">0 </w:t>
            </w:r>
          </w:p>
        </w:tc>
        <w:tc>
          <w:tcPr>
            <w:tcW w:w="979" w:type="pct"/>
            <w:tcBorders>
              <w:top w:val="nil"/>
              <w:left w:val="nil"/>
              <w:bottom w:val="single" w:sz="4" w:space="0" w:color="A6A6A6"/>
              <w:right w:val="single" w:sz="4" w:space="0" w:color="A6A6A6"/>
            </w:tcBorders>
            <w:noWrap/>
            <w:vAlign w:val="center"/>
            <w:hideMark/>
          </w:tcPr>
          <w:p w14:paraId="0579C22E" w14:textId="77777777" w:rsidR="00CA0E31" w:rsidRPr="00520A6E" w:rsidRDefault="00CA0E31" w:rsidP="000A5389">
            <w:pPr>
              <w:spacing w:line="240" w:lineRule="auto"/>
              <w:jc w:val="right"/>
              <w:rPr>
                <w:rFonts w:eastAsia="Times New Roman" w:cs="Times New Roman"/>
                <w:color w:val="000000"/>
                <w:sz w:val="16"/>
                <w:szCs w:val="16"/>
                <w:lang w:val="es-419" w:eastAsia="es-419"/>
              </w:rPr>
            </w:pPr>
            <w:r w:rsidRPr="00520A6E">
              <w:rPr>
                <w:rFonts w:eastAsia="Times New Roman" w:cs="Times New Roman"/>
                <w:color w:val="000000"/>
                <w:sz w:val="16"/>
                <w:szCs w:val="16"/>
                <w:lang w:val="es-419" w:eastAsia="es-419"/>
              </w:rPr>
              <w:t xml:space="preserve">30.680.301.955 </w:t>
            </w:r>
          </w:p>
        </w:tc>
      </w:tr>
      <w:tr w:rsidR="001D0619" w:rsidRPr="00951AB1" w14:paraId="5C606BAF" w14:textId="77777777" w:rsidTr="001D0619">
        <w:trPr>
          <w:cantSplit/>
          <w:trHeight w:val="290"/>
        </w:trPr>
        <w:tc>
          <w:tcPr>
            <w:tcW w:w="131" w:type="pct"/>
            <w:tcBorders>
              <w:top w:val="nil"/>
              <w:left w:val="single" w:sz="4" w:space="0" w:color="A6A6A6"/>
              <w:bottom w:val="single" w:sz="4" w:space="0" w:color="A6A6A6"/>
              <w:right w:val="nil"/>
            </w:tcBorders>
            <w:noWrap/>
            <w:vAlign w:val="center"/>
            <w:hideMark/>
          </w:tcPr>
          <w:p w14:paraId="4736DCE3" w14:textId="77777777" w:rsidR="00CA0E31" w:rsidRPr="00520A6E" w:rsidRDefault="00CA0E31" w:rsidP="000A5389">
            <w:pPr>
              <w:spacing w:line="240" w:lineRule="auto"/>
              <w:jc w:val="center"/>
              <w:rPr>
                <w:rFonts w:eastAsia="Times New Roman" w:cs="Times New Roman"/>
                <w:sz w:val="16"/>
                <w:szCs w:val="16"/>
                <w:lang w:val="es-419" w:eastAsia="es-419"/>
              </w:rPr>
            </w:pPr>
            <w:r w:rsidRPr="00520A6E">
              <w:rPr>
                <w:rFonts w:eastAsia="Times New Roman" w:cs="Times New Roman"/>
                <w:sz w:val="16"/>
                <w:szCs w:val="16"/>
                <w:lang w:val="es-419" w:eastAsia="es-419"/>
              </w:rPr>
              <w:t> </w:t>
            </w:r>
          </w:p>
        </w:tc>
        <w:tc>
          <w:tcPr>
            <w:tcW w:w="102" w:type="pct"/>
            <w:tcBorders>
              <w:top w:val="nil"/>
              <w:left w:val="nil"/>
              <w:bottom w:val="single" w:sz="4" w:space="0" w:color="A6A6A6"/>
              <w:right w:val="nil"/>
            </w:tcBorders>
            <w:noWrap/>
            <w:vAlign w:val="center"/>
            <w:hideMark/>
          </w:tcPr>
          <w:p w14:paraId="1EC4CDE7" w14:textId="77777777" w:rsidR="00CA0E31" w:rsidRPr="00520A6E" w:rsidRDefault="00CA0E31" w:rsidP="000A5389">
            <w:pPr>
              <w:spacing w:line="240" w:lineRule="auto"/>
              <w:rPr>
                <w:rFonts w:eastAsia="Times New Roman" w:cs="Times New Roman"/>
                <w:sz w:val="16"/>
                <w:szCs w:val="16"/>
                <w:lang w:val="es-419" w:eastAsia="es-419"/>
              </w:rPr>
            </w:pPr>
            <w:r w:rsidRPr="00520A6E">
              <w:rPr>
                <w:rFonts w:eastAsia="Times New Roman" w:cs="Times New Roman"/>
                <w:sz w:val="16"/>
                <w:szCs w:val="16"/>
                <w:lang w:val="es-419" w:eastAsia="es-419"/>
              </w:rPr>
              <w:t> </w:t>
            </w:r>
          </w:p>
        </w:tc>
        <w:tc>
          <w:tcPr>
            <w:tcW w:w="92" w:type="pct"/>
            <w:tcBorders>
              <w:top w:val="nil"/>
              <w:left w:val="nil"/>
              <w:bottom w:val="single" w:sz="4" w:space="0" w:color="A6A6A6"/>
              <w:right w:val="nil"/>
            </w:tcBorders>
            <w:noWrap/>
            <w:vAlign w:val="center"/>
            <w:hideMark/>
          </w:tcPr>
          <w:p w14:paraId="7F1BDDCC" w14:textId="77777777" w:rsidR="00CA0E31" w:rsidRPr="00520A6E" w:rsidRDefault="00CA0E31" w:rsidP="000A5389">
            <w:pPr>
              <w:spacing w:line="240" w:lineRule="auto"/>
              <w:jc w:val="center"/>
              <w:rPr>
                <w:rFonts w:eastAsia="Times New Roman" w:cs="Times New Roman"/>
                <w:sz w:val="16"/>
                <w:szCs w:val="16"/>
                <w:lang w:val="es-419" w:eastAsia="es-419"/>
              </w:rPr>
            </w:pPr>
            <w:r w:rsidRPr="00520A6E">
              <w:rPr>
                <w:rFonts w:eastAsia="Times New Roman" w:cs="Times New Roman"/>
                <w:sz w:val="16"/>
                <w:szCs w:val="16"/>
                <w:lang w:val="es-419" w:eastAsia="es-419"/>
              </w:rPr>
              <w:t> </w:t>
            </w:r>
          </w:p>
        </w:tc>
        <w:tc>
          <w:tcPr>
            <w:tcW w:w="1093" w:type="pct"/>
            <w:tcBorders>
              <w:top w:val="nil"/>
              <w:left w:val="nil"/>
              <w:bottom w:val="single" w:sz="4" w:space="0" w:color="A6A6A6"/>
              <w:right w:val="single" w:sz="4" w:space="0" w:color="A6A6A6"/>
            </w:tcBorders>
            <w:vAlign w:val="center"/>
            <w:hideMark/>
          </w:tcPr>
          <w:p w14:paraId="6B18D4DE" w14:textId="77777777" w:rsidR="00CA0E31" w:rsidRPr="00520A6E" w:rsidRDefault="00CA0E31" w:rsidP="000A5389">
            <w:pPr>
              <w:spacing w:line="240" w:lineRule="auto"/>
              <w:rPr>
                <w:rFonts w:eastAsia="Times New Roman" w:cs="Times New Roman"/>
                <w:sz w:val="16"/>
                <w:szCs w:val="16"/>
                <w:lang w:val="es-419" w:eastAsia="es-419"/>
              </w:rPr>
            </w:pPr>
            <w:r w:rsidRPr="00520A6E">
              <w:rPr>
                <w:rFonts w:eastAsia="Times New Roman" w:cs="Times New Roman"/>
                <w:sz w:val="16"/>
                <w:szCs w:val="16"/>
                <w:lang w:val="es-419" w:eastAsia="es-419"/>
              </w:rPr>
              <w:t xml:space="preserve">* Modo Férreo </w:t>
            </w:r>
          </w:p>
        </w:tc>
        <w:tc>
          <w:tcPr>
            <w:tcW w:w="864" w:type="pct"/>
            <w:tcBorders>
              <w:top w:val="nil"/>
              <w:left w:val="nil"/>
              <w:bottom w:val="single" w:sz="4" w:space="0" w:color="A6A6A6"/>
              <w:right w:val="single" w:sz="4" w:space="0" w:color="A6A6A6"/>
            </w:tcBorders>
            <w:noWrap/>
            <w:vAlign w:val="center"/>
            <w:hideMark/>
          </w:tcPr>
          <w:p w14:paraId="32AB28EF" w14:textId="77777777" w:rsidR="00CA0E31" w:rsidRPr="00520A6E" w:rsidRDefault="00CA0E31" w:rsidP="000A5389">
            <w:pPr>
              <w:spacing w:line="240" w:lineRule="auto"/>
              <w:jc w:val="right"/>
              <w:rPr>
                <w:rFonts w:eastAsia="Times New Roman" w:cs="Times New Roman"/>
                <w:color w:val="000000"/>
                <w:sz w:val="16"/>
                <w:szCs w:val="16"/>
                <w:lang w:val="es-419" w:eastAsia="es-419"/>
              </w:rPr>
            </w:pPr>
            <w:r w:rsidRPr="00520A6E">
              <w:rPr>
                <w:rFonts w:eastAsia="Times New Roman" w:cs="Times New Roman"/>
                <w:color w:val="000000"/>
                <w:sz w:val="16"/>
                <w:szCs w:val="16"/>
                <w:lang w:val="es-419" w:eastAsia="es-419"/>
              </w:rPr>
              <w:t xml:space="preserve">1.218.695.908 </w:t>
            </w:r>
          </w:p>
        </w:tc>
        <w:tc>
          <w:tcPr>
            <w:tcW w:w="914" w:type="pct"/>
            <w:tcBorders>
              <w:top w:val="nil"/>
              <w:left w:val="nil"/>
              <w:bottom w:val="single" w:sz="4" w:space="0" w:color="A6A6A6"/>
              <w:right w:val="single" w:sz="4" w:space="0" w:color="A6A6A6"/>
            </w:tcBorders>
            <w:noWrap/>
            <w:vAlign w:val="center"/>
            <w:hideMark/>
          </w:tcPr>
          <w:p w14:paraId="6B4E1C08" w14:textId="77777777" w:rsidR="00CA0E31" w:rsidRPr="00520A6E" w:rsidRDefault="00CA0E31" w:rsidP="000A5389">
            <w:pPr>
              <w:spacing w:line="240" w:lineRule="auto"/>
              <w:jc w:val="right"/>
              <w:rPr>
                <w:rFonts w:eastAsia="Times New Roman" w:cs="Times New Roman"/>
                <w:color w:val="000000"/>
                <w:sz w:val="16"/>
                <w:szCs w:val="16"/>
                <w:lang w:val="es-419" w:eastAsia="es-419"/>
              </w:rPr>
            </w:pPr>
            <w:r w:rsidRPr="00520A6E">
              <w:rPr>
                <w:rFonts w:eastAsia="Times New Roman" w:cs="Times New Roman"/>
                <w:color w:val="000000"/>
                <w:sz w:val="16"/>
                <w:szCs w:val="16"/>
                <w:lang w:val="es-419" w:eastAsia="es-419"/>
              </w:rPr>
              <w:t xml:space="preserve">0 </w:t>
            </w:r>
          </w:p>
        </w:tc>
        <w:tc>
          <w:tcPr>
            <w:tcW w:w="825" w:type="pct"/>
            <w:tcBorders>
              <w:top w:val="nil"/>
              <w:left w:val="nil"/>
              <w:bottom w:val="single" w:sz="4" w:space="0" w:color="A6A6A6"/>
              <w:right w:val="single" w:sz="4" w:space="0" w:color="A6A6A6"/>
            </w:tcBorders>
            <w:noWrap/>
            <w:vAlign w:val="center"/>
            <w:hideMark/>
          </w:tcPr>
          <w:p w14:paraId="2E965C7D" w14:textId="77777777" w:rsidR="00CA0E31" w:rsidRPr="00520A6E" w:rsidRDefault="00CA0E31" w:rsidP="000A5389">
            <w:pPr>
              <w:spacing w:line="240" w:lineRule="auto"/>
              <w:jc w:val="right"/>
              <w:rPr>
                <w:rFonts w:eastAsia="Times New Roman" w:cs="Times New Roman"/>
                <w:color w:val="000000"/>
                <w:sz w:val="16"/>
                <w:szCs w:val="16"/>
                <w:lang w:val="es-419" w:eastAsia="es-419"/>
              </w:rPr>
            </w:pPr>
            <w:r w:rsidRPr="00520A6E">
              <w:rPr>
                <w:rFonts w:eastAsia="Times New Roman" w:cs="Times New Roman"/>
                <w:color w:val="000000"/>
                <w:sz w:val="16"/>
                <w:szCs w:val="16"/>
                <w:lang w:val="es-419" w:eastAsia="es-419"/>
              </w:rPr>
              <w:t xml:space="preserve">0 </w:t>
            </w:r>
          </w:p>
        </w:tc>
        <w:tc>
          <w:tcPr>
            <w:tcW w:w="979" w:type="pct"/>
            <w:tcBorders>
              <w:top w:val="nil"/>
              <w:left w:val="nil"/>
              <w:bottom w:val="single" w:sz="4" w:space="0" w:color="A6A6A6"/>
              <w:right w:val="single" w:sz="4" w:space="0" w:color="A6A6A6"/>
            </w:tcBorders>
            <w:noWrap/>
            <w:vAlign w:val="center"/>
            <w:hideMark/>
          </w:tcPr>
          <w:p w14:paraId="5966EB5E" w14:textId="77777777" w:rsidR="00CA0E31" w:rsidRPr="00520A6E" w:rsidRDefault="00CA0E31" w:rsidP="000A5389">
            <w:pPr>
              <w:spacing w:line="240" w:lineRule="auto"/>
              <w:jc w:val="right"/>
              <w:rPr>
                <w:rFonts w:eastAsia="Times New Roman" w:cs="Times New Roman"/>
                <w:color w:val="000000"/>
                <w:sz w:val="16"/>
                <w:szCs w:val="16"/>
                <w:lang w:val="es-419" w:eastAsia="es-419"/>
              </w:rPr>
            </w:pPr>
            <w:r w:rsidRPr="00520A6E">
              <w:rPr>
                <w:rFonts w:eastAsia="Times New Roman" w:cs="Times New Roman"/>
                <w:color w:val="000000"/>
                <w:sz w:val="16"/>
                <w:szCs w:val="16"/>
                <w:lang w:val="es-419" w:eastAsia="es-419"/>
              </w:rPr>
              <w:t xml:space="preserve">1.218.695.908 </w:t>
            </w:r>
          </w:p>
        </w:tc>
      </w:tr>
      <w:tr w:rsidR="001D0619" w:rsidRPr="00951AB1" w14:paraId="15810872" w14:textId="77777777" w:rsidTr="001D0619">
        <w:trPr>
          <w:cantSplit/>
          <w:trHeight w:val="290"/>
        </w:trPr>
        <w:tc>
          <w:tcPr>
            <w:tcW w:w="131" w:type="pct"/>
            <w:tcBorders>
              <w:top w:val="nil"/>
              <w:left w:val="single" w:sz="4" w:space="0" w:color="A6A6A6"/>
              <w:bottom w:val="single" w:sz="4" w:space="0" w:color="A6A6A6"/>
              <w:right w:val="nil"/>
            </w:tcBorders>
            <w:noWrap/>
            <w:vAlign w:val="center"/>
            <w:hideMark/>
          </w:tcPr>
          <w:p w14:paraId="7A10000C" w14:textId="77777777" w:rsidR="00CA0E31" w:rsidRPr="00520A6E" w:rsidRDefault="00CA0E31" w:rsidP="000A5389">
            <w:pPr>
              <w:spacing w:line="240" w:lineRule="auto"/>
              <w:jc w:val="center"/>
              <w:rPr>
                <w:rFonts w:eastAsia="Times New Roman" w:cs="Times New Roman"/>
                <w:sz w:val="16"/>
                <w:szCs w:val="16"/>
                <w:lang w:val="es-419" w:eastAsia="es-419"/>
              </w:rPr>
            </w:pPr>
            <w:r w:rsidRPr="00520A6E">
              <w:rPr>
                <w:rFonts w:eastAsia="Times New Roman" w:cs="Times New Roman"/>
                <w:sz w:val="16"/>
                <w:szCs w:val="16"/>
                <w:lang w:val="es-419" w:eastAsia="es-419"/>
              </w:rPr>
              <w:t> </w:t>
            </w:r>
          </w:p>
        </w:tc>
        <w:tc>
          <w:tcPr>
            <w:tcW w:w="102" w:type="pct"/>
            <w:tcBorders>
              <w:top w:val="nil"/>
              <w:left w:val="nil"/>
              <w:bottom w:val="single" w:sz="4" w:space="0" w:color="A6A6A6"/>
              <w:right w:val="nil"/>
            </w:tcBorders>
            <w:noWrap/>
            <w:vAlign w:val="center"/>
            <w:hideMark/>
          </w:tcPr>
          <w:p w14:paraId="52DEC6A4" w14:textId="77777777" w:rsidR="00CA0E31" w:rsidRPr="00520A6E" w:rsidRDefault="00CA0E31" w:rsidP="000A5389">
            <w:pPr>
              <w:spacing w:line="240" w:lineRule="auto"/>
              <w:rPr>
                <w:rFonts w:eastAsia="Times New Roman" w:cs="Times New Roman"/>
                <w:sz w:val="16"/>
                <w:szCs w:val="16"/>
                <w:lang w:val="es-419" w:eastAsia="es-419"/>
              </w:rPr>
            </w:pPr>
            <w:r w:rsidRPr="00520A6E">
              <w:rPr>
                <w:rFonts w:eastAsia="Times New Roman" w:cs="Times New Roman"/>
                <w:sz w:val="16"/>
                <w:szCs w:val="16"/>
                <w:lang w:val="es-419" w:eastAsia="es-419"/>
              </w:rPr>
              <w:t> </w:t>
            </w:r>
          </w:p>
        </w:tc>
        <w:tc>
          <w:tcPr>
            <w:tcW w:w="92" w:type="pct"/>
            <w:tcBorders>
              <w:top w:val="nil"/>
              <w:left w:val="nil"/>
              <w:bottom w:val="single" w:sz="4" w:space="0" w:color="A6A6A6"/>
              <w:right w:val="nil"/>
            </w:tcBorders>
            <w:noWrap/>
            <w:vAlign w:val="center"/>
            <w:hideMark/>
          </w:tcPr>
          <w:p w14:paraId="47776C33" w14:textId="77777777" w:rsidR="00CA0E31" w:rsidRPr="00520A6E" w:rsidRDefault="00CA0E31" w:rsidP="000A5389">
            <w:pPr>
              <w:spacing w:line="240" w:lineRule="auto"/>
              <w:jc w:val="center"/>
              <w:rPr>
                <w:rFonts w:eastAsia="Times New Roman" w:cs="Times New Roman"/>
                <w:sz w:val="16"/>
                <w:szCs w:val="16"/>
                <w:lang w:val="es-419" w:eastAsia="es-419"/>
              </w:rPr>
            </w:pPr>
            <w:r w:rsidRPr="00520A6E">
              <w:rPr>
                <w:rFonts w:eastAsia="Times New Roman" w:cs="Times New Roman"/>
                <w:sz w:val="16"/>
                <w:szCs w:val="16"/>
                <w:lang w:val="es-419" w:eastAsia="es-419"/>
              </w:rPr>
              <w:t>-</w:t>
            </w:r>
          </w:p>
        </w:tc>
        <w:tc>
          <w:tcPr>
            <w:tcW w:w="1093" w:type="pct"/>
            <w:tcBorders>
              <w:top w:val="nil"/>
              <w:left w:val="nil"/>
              <w:bottom w:val="single" w:sz="4" w:space="0" w:color="A6A6A6"/>
              <w:right w:val="single" w:sz="4" w:space="0" w:color="A6A6A6"/>
            </w:tcBorders>
            <w:vAlign w:val="center"/>
            <w:hideMark/>
          </w:tcPr>
          <w:p w14:paraId="4B7ECC93" w14:textId="77777777" w:rsidR="00CA0E31" w:rsidRPr="00520A6E" w:rsidRDefault="00CA0E31" w:rsidP="000A5389">
            <w:pPr>
              <w:spacing w:line="240" w:lineRule="auto"/>
              <w:rPr>
                <w:rFonts w:eastAsia="Times New Roman" w:cs="Times New Roman"/>
                <w:sz w:val="16"/>
                <w:szCs w:val="16"/>
                <w:lang w:val="es-419" w:eastAsia="es-419"/>
              </w:rPr>
            </w:pPr>
            <w:r w:rsidRPr="00520A6E">
              <w:rPr>
                <w:rFonts w:eastAsia="Times New Roman" w:cs="Times New Roman"/>
                <w:sz w:val="16"/>
                <w:szCs w:val="16"/>
                <w:lang w:val="es-419" w:eastAsia="es-419"/>
              </w:rPr>
              <w:t>Salida por traslado de cuentas (CR)</w:t>
            </w:r>
          </w:p>
        </w:tc>
        <w:tc>
          <w:tcPr>
            <w:tcW w:w="864" w:type="pct"/>
            <w:tcBorders>
              <w:top w:val="nil"/>
              <w:left w:val="nil"/>
              <w:bottom w:val="single" w:sz="4" w:space="0" w:color="A6A6A6"/>
              <w:right w:val="single" w:sz="4" w:space="0" w:color="A6A6A6"/>
            </w:tcBorders>
            <w:noWrap/>
            <w:vAlign w:val="center"/>
            <w:hideMark/>
          </w:tcPr>
          <w:p w14:paraId="5A7AFA65" w14:textId="77777777" w:rsidR="00CA0E31" w:rsidRPr="00520A6E" w:rsidRDefault="00CA0E31" w:rsidP="000A5389">
            <w:pPr>
              <w:spacing w:line="240" w:lineRule="auto"/>
              <w:jc w:val="right"/>
              <w:rPr>
                <w:rFonts w:eastAsia="Times New Roman" w:cs="Times New Roman"/>
                <w:color w:val="000000"/>
                <w:sz w:val="16"/>
                <w:szCs w:val="16"/>
                <w:lang w:val="es-419" w:eastAsia="es-419"/>
              </w:rPr>
            </w:pPr>
            <w:r w:rsidRPr="00520A6E">
              <w:rPr>
                <w:rFonts w:eastAsia="Times New Roman" w:cs="Times New Roman"/>
                <w:color w:val="000000"/>
                <w:sz w:val="16"/>
                <w:szCs w:val="16"/>
                <w:lang w:val="es-419" w:eastAsia="es-419"/>
              </w:rPr>
              <w:t xml:space="preserve">6.754.985.616.259 </w:t>
            </w:r>
          </w:p>
        </w:tc>
        <w:tc>
          <w:tcPr>
            <w:tcW w:w="914" w:type="pct"/>
            <w:tcBorders>
              <w:top w:val="nil"/>
              <w:left w:val="nil"/>
              <w:bottom w:val="single" w:sz="4" w:space="0" w:color="A6A6A6"/>
              <w:right w:val="single" w:sz="4" w:space="0" w:color="A6A6A6"/>
            </w:tcBorders>
            <w:noWrap/>
            <w:vAlign w:val="center"/>
            <w:hideMark/>
          </w:tcPr>
          <w:p w14:paraId="3AE4CA1C" w14:textId="77777777" w:rsidR="00CA0E31" w:rsidRPr="00520A6E" w:rsidRDefault="00CA0E31" w:rsidP="000A5389">
            <w:pPr>
              <w:spacing w:line="240" w:lineRule="auto"/>
              <w:jc w:val="right"/>
              <w:rPr>
                <w:rFonts w:eastAsia="Times New Roman" w:cs="Times New Roman"/>
                <w:color w:val="000000"/>
                <w:sz w:val="16"/>
                <w:szCs w:val="16"/>
                <w:lang w:val="es-419" w:eastAsia="es-419"/>
              </w:rPr>
            </w:pPr>
            <w:r w:rsidRPr="00520A6E">
              <w:rPr>
                <w:rFonts w:eastAsia="Times New Roman" w:cs="Times New Roman"/>
                <w:color w:val="000000"/>
                <w:sz w:val="16"/>
                <w:szCs w:val="16"/>
                <w:lang w:val="es-419" w:eastAsia="es-419"/>
              </w:rPr>
              <w:t xml:space="preserve">27.714.187.441.018 </w:t>
            </w:r>
          </w:p>
        </w:tc>
        <w:tc>
          <w:tcPr>
            <w:tcW w:w="825" w:type="pct"/>
            <w:tcBorders>
              <w:top w:val="nil"/>
              <w:left w:val="nil"/>
              <w:bottom w:val="single" w:sz="4" w:space="0" w:color="A6A6A6"/>
              <w:right w:val="single" w:sz="4" w:space="0" w:color="A6A6A6"/>
            </w:tcBorders>
            <w:noWrap/>
            <w:vAlign w:val="center"/>
            <w:hideMark/>
          </w:tcPr>
          <w:p w14:paraId="762A70B5" w14:textId="77777777" w:rsidR="00CA0E31" w:rsidRPr="00520A6E" w:rsidRDefault="00CA0E31" w:rsidP="000A5389">
            <w:pPr>
              <w:spacing w:line="240" w:lineRule="auto"/>
              <w:jc w:val="right"/>
              <w:rPr>
                <w:rFonts w:eastAsia="Times New Roman" w:cs="Times New Roman"/>
                <w:color w:val="000000"/>
                <w:sz w:val="16"/>
                <w:szCs w:val="16"/>
                <w:lang w:val="es-419" w:eastAsia="es-419"/>
              </w:rPr>
            </w:pPr>
            <w:r w:rsidRPr="00520A6E">
              <w:rPr>
                <w:rFonts w:eastAsia="Times New Roman" w:cs="Times New Roman"/>
                <w:color w:val="000000"/>
                <w:sz w:val="16"/>
                <w:szCs w:val="16"/>
                <w:lang w:val="es-419" w:eastAsia="es-419"/>
              </w:rPr>
              <w:t xml:space="preserve">0 </w:t>
            </w:r>
          </w:p>
        </w:tc>
        <w:tc>
          <w:tcPr>
            <w:tcW w:w="979" w:type="pct"/>
            <w:tcBorders>
              <w:top w:val="nil"/>
              <w:left w:val="nil"/>
              <w:bottom w:val="single" w:sz="4" w:space="0" w:color="A6A6A6"/>
              <w:right w:val="single" w:sz="4" w:space="0" w:color="A6A6A6"/>
            </w:tcBorders>
            <w:noWrap/>
            <w:vAlign w:val="center"/>
            <w:hideMark/>
          </w:tcPr>
          <w:p w14:paraId="5532B61B" w14:textId="77777777" w:rsidR="00CA0E31" w:rsidRPr="00520A6E" w:rsidRDefault="00CA0E31" w:rsidP="000A5389">
            <w:pPr>
              <w:spacing w:line="240" w:lineRule="auto"/>
              <w:jc w:val="right"/>
              <w:rPr>
                <w:rFonts w:eastAsia="Times New Roman" w:cs="Times New Roman"/>
                <w:b/>
                <w:bCs/>
                <w:color w:val="000000"/>
                <w:sz w:val="16"/>
                <w:szCs w:val="16"/>
                <w:lang w:val="es-419" w:eastAsia="es-419"/>
              </w:rPr>
            </w:pPr>
            <w:r w:rsidRPr="00520A6E">
              <w:rPr>
                <w:rFonts w:eastAsia="Times New Roman" w:cs="Times New Roman"/>
                <w:b/>
                <w:bCs/>
                <w:color w:val="000000"/>
                <w:sz w:val="16"/>
                <w:szCs w:val="16"/>
                <w:lang w:val="es-419" w:eastAsia="es-419"/>
              </w:rPr>
              <w:t xml:space="preserve">34.469.173.057.276 </w:t>
            </w:r>
          </w:p>
        </w:tc>
      </w:tr>
      <w:tr w:rsidR="001D0619" w:rsidRPr="00951AB1" w14:paraId="127E5202" w14:textId="77777777" w:rsidTr="001D0619">
        <w:trPr>
          <w:cantSplit/>
          <w:trHeight w:val="290"/>
        </w:trPr>
        <w:tc>
          <w:tcPr>
            <w:tcW w:w="131" w:type="pct"/>
            <w:tcBorders>
              <w:top w:val="nil"/>
              <w:left w:val="single" w:sz="4" w:space="0" w:color="A6A6A6"/>
              <w:bottom w:val="single" w:sz="4" w:space="0" w:color="A6A6A6"/>
              <w:right w:val="nil"/>
            </w:tcBorders>
            <w:noWrap/>
            <w:vAlign w:val="center"/>
            <w:hideMark/>
          </w:tcPr>
          <w:p w14:paraId="122DC0B4" w14:textId="77777777" w:rsidR="00CA0E31" w:rsidRPr="00520A6E" w:rsidRDefault="00CA0E31" w:rsidP="000A5389">
            <w:pPr>
              <w:spacing w:line="240" w:lineRule="auto"/>
              <w:jc w:val="center"/>
              <w:rPr>
                <w:rFonts w:eastAsia="Times New Roman" w:cs="Times New Roman"/>
                <w:sz w:val="16"/>
                <w:szCs w:val="16"/>
                <w:lang w:val="es-419" w:eastAsia="es-419"/>
              </w:rPr>
            </w:pPr>
            <w:r w:rsidRPr="00520A6E">
              <w:rPr>
                <w:rFonts w:eastAsia="Times New Roman" w:cs="Times New Roman"/>
                <w:sz w:val="16"/>
                <w:szCs w:val="16"/>
                <w:lang w:val="es-419" w:eastAsia="es-419"/>
              </w:rPr>
              <w:t> </w:t>
            </w:r>
          </w:p>
        </w:tc>
        <w:tc>
          <w:tcPr>
            <w:tcW w:w="102" w:type="pct"/>
            <w:tcBorders>
              <w:top w:val="nil"/>
              <w:left w:val="nil"/>
              <w:bottom w:val="single" w:sz="4" w:space="0" w:color="A6A6A6"/>
              <w:right w:val="nil"/>
            </w:tcBorders>
            <w:noWrap/>
            <w:vAlign w:val="center"/>
            <w:hideMark/>
          </w:tcPr>
          <w:p w14:paraId="00467137" w14:textId="77777777" w:rsidR="00CA0E31" w:rsidRPr="00520A6E" w:rsidRDefault="00CA0E31" w:rsidP="000A5389">
            <w:pPr>
              <w:spacing w:line="240" w:lineRule="auto"/>
              <w:rPr>
                <w:rFonts w:eastAsia="Times New Roman" w:cs="Times New Roman"/>
                <w:sz w:val="16"/>
                <w:szCs w:val="16"/>
                <w:lang w:val="es-419" w:eastAsia="es-419"/>
              </w:rPr>
            </w:pPr>
            <w:r w:rsidRPr="00520A6E">
              <w:rPr>
                <w:rFonts w:eastAsia="Times New Roman" w:cs="Times New Roman"/>
                <w:sz w:val="16"/>
                <w:szCs w:val="16"/>
                <w:lang w:val="es-419" w:eastAsia="es-419"/>
              </w:rPr>
              <w:t> </w:t>
            </w:r>
          </w:p>
        </w:tc>
        <w:tc>
          <w:tcPr>
            <w:tcW w:w="92" w:type="pct"/>
            <w:tcBorders>
              <w:top w:val="nil"/>
              <w:left w:val="nil"/>
              <w:bottom w:val="single" w:sz="4" w:space="0" w:color="A6A6A6"/>
              <w:right w:val="nil"/>
            </w:tcBorders>
            <w:noWrap/>
            <w:vAlign w:val="center"/>
            <w:hideMark/>
          </w:tcPr>
          <w:p w14:paraId="29720AD2" w14:textId="77777777" w:rsidR="00CA0E31" w:rsidRPr="00520A6E" w:rsidRDefault="00CA0E31" w:rsidP="000A5389">
            <w:pPr>
              <w:spacing w:line="240" w:lineRule="auto"/>
              <w:jc w:val="center"/>
              <w:rPr>
                <w:rFonts w:eastAsia="Times New Roman" w:cs="Times New Roman"/>
                <w:sz w:val="16"/>
                <w:szCs w:val="16"/>
                <w:lang w:val="es-419" w:eastAsia="es-419"/>
              </w:rPr>
            </w:pPr>
            <w:r w:rsidRPr="00520A6E">
              <w:rPr>
                <w:rFonts w:eastAsia="Times New Roman" w:cs="Times New Roman"/>
                <w:sz w:val="16"/>
                <w:szCs w:val="16"/>
                <w:lang w:val="es-419" w:eastAsia="es-419"/>
              </w:rPr>
              <w:t> </w:t>
            </w:r>
          </w:p>
        </w:tc>
        <w:tc>
          <w:tcPr>
            <w:tcW w:w="1093" w:type="pct"/>
            <w:tcBorders>
              <w:top w:val="nil"/>
              <w:left w:val="nil"/>
              <w:bottom w:val="single" w:sz="4" w:space="0" w:color="A6A6A6"/>
              <w:right w:val="single" w:sz="4" w:space="0" w:color="A6A6A6"/>
            </w:tcBorders>
            <w:vAlign w:val="center"/>
            <w:hideMark/>
          </w:tcPr>
          <w:p w14:paraId="1715EAD7" w14:textId="77777777" w:rsidR="00CA0E31" w:rsidRPr="00520A6E" w:rsidRDefault="00CA0E31" w:rsidP="000A5389">
            <w:pPr>
              <w:spacing w:line="240" w:lineRule="auto"/>
              <w:rPr>
                <w:rFonts w:eastAsia="Times New Roman" w:cs="Times New Roman"/>
                <w:sz w:val="16"/>
                <w:szCs w:val="16"/>
                <w:lang w:val="es-419" w:eastAsia="es-419"/>
              </w:rPr>
            </w:pPr>
            <w:r w:rsidRPr="00520A6E">
              <w:rPr>
                <w:rFonts w:eastAsia="Times New Roman" w:cs="Times New Roman"/>
                <w:sz w:val="16"/>
                <w:szCs w:val="16"/>
                <w:lang w:val="es-419" w:eastAsia="es-419"/>
              </w:rPr>
              <w:t>* Modo Carretero</w:t>
            </w:r>
          </w:p>
        </w:tc>
        <w:tc>
          <w:tcPr>
            <w:tcW w:w="864" w:type="pct"/>
            <w:tcBorders>
              <w:top w:val="nil"/>
              <w:left w:val="nil"/>
              <w:bottom w:val="single" w:sz="4" w:space="0" w:color="A6A6A6"/>
              <w:right w:val="single" w:sz="4" w:space="0" w:color="A6A6A6"/>
            </w:tcBorders>
            <w:noWrap/>
            <w:vAlign w:val="center"/>
            <w:hideMark/>
          </w:tcPr>
          <w:p w14:paraId="3EDF0615" w14:textId="77777777" w:rsidR="00CA0E31" w:rsidRPr="00520A6E" w:rsidRDefault="00CA0E31" w:rsidP="000A5389">
            <w:pPr>
              <w:spacing w:line="240" w:lineRule="auto"/>
              <w:jc w:val="right"/>
              <w:rPr>
                <w:rFonts w:eastAsia="Times New Roman" w:cs="Times New Roman"/>
                <w:color w:val="000000"/>
                <w:sz w:val="16"/>
                <w:szCs w:val="16"/>
                <w:lang w:val="es-419" w:eastAsia="es-419"/>
              </w:rPr>
            </w:pPr>
            <w:r w:rsidRPr="00520A6E">
              <w:rPr>
                <w:rFonts w:eastAsia="Times New Roman" w:cs="Times New Roman"/>
                <w:color w:val="000000"/>
                <w:sz w:val="16"/>
                <w:szCs w:val="16"/>
                <w:lang w:val="es-419" w:eastAsia="es-419"/>
              </w:rPr>
              <w:t xml:space="preserve">6.409.365.633.452 </w:t>
            </w:r>
          </w:p>
        </w:tc>
        <w:tc>
          <w:tcPr>
            <w:tcW w:w="914" w:type="pct"/>
            <w:tcBorders>
              <w:top w:val="nil"/>
              <w:left w:val="nil"/>
              <w:bottom w:val="single" w:sz="4" w:space="0" w:color="A6A6A6"/>
              <w:right w:val="single" w:sz="4" w:space="0" w:color="A6A6A6"/>
            </w:tcBorders>
            <w:noWrap/>
            <w:vAlign w:val="center"/>
            <w:hideMark/>
          </w:tcPr>
          <w:p w14:paraId="0CF93484" w14:textId="77777777" w:rsidR="00CA0E31" w:rsidRPr="00520A6E" w:rsidRDefault="00CA0E31" w:rsidP="000A5389">
            <w:pPr>
              <w:spacing w:line="240" w:lineRule="auto"/>
              <w:jc w:val="right"/>
              <w:rPr>
                <w:rFonts w:eastAsia="Times New Roman" w:cs="Times New Roman"/>
                <w:color w:val="000000"/>
                <w:sz w:val="16"/>
                <w:szCs w:val="16"/>
                <w:lang w:val="es-419" w:eastAsia="es-419"/>
              </w:rPr>
            </w:pPr>
            <w:r w:rsidRPr="00520A6E">
              <w:rPr>
                <w:rFonts w:eastAsia="Times New Roman" w:cs="Times New Roman"/>
                <w:color w:val="000000"/>
                <w:sz w:val="16"/>
                <w:szCs w:val="16"/>
                <w:lang w:val="es-419" w:eastAsia="es-419"/>
              </w:rPr>
              <w:t xml:space="preserve">26.598.455.455.508 </w:t>
            </w:r>
          </w:p>
        </w:tc>
        <w:tc>
          <w:tcPr>
            <w:tcW w:w="825" w:type="pct"/>
            <w:tcBorders>
              <w:top w:val="nil"/>
              <w:left w:val="nil"/>
              <w:bottom w:val="single" w:sz="4" w:space="0" w:color="A6A6A6"/>
              <w:right w:val="single" w:sz="4" w:space="0" w:color="A6A6A6"/>
            </w:tcBorders>
            <w:noWrap/>
            <w:vAlign w:val="center"/>
            <w:hideMark/>
          </w:tcPr>
          <w:p w14:paraId="4F605A1C" w14:textId="77777777" w:rsidR="00CA0E31" w:rsidRPr="00520A6E" w:rsidRDefault="00CA0E31" w:rsidP="000A5389">
            <w:pPr>
              <w:spacing w:line="240" w:lineRule="auto"/>
              <w:jc w:val="right"/>
              <w:rPr>
                <w:rFonts w:eastAsia="Times New Roman" w:cs="Times New Roman"/>
                <w:color w:val="000000"/>
                <w:sz w:val="16"/>
                <w:szCs w:val="16"/>
                <w:lang w:val="es-419" w:eastAsia="es-419"/>
              </w:rPr>
            </w:pPr>
            <w:r w:rsidRPr="00520A6E">
              <w:rPr>
                <w:rFonts w:eastAsia="Times New Roman" w:cs="Times New Roman"/>
                <w:color w:val="000000"/>
                <w:sz w:val="16"/>
                <w:szCs w:val="16"/>
                <w:lang w:val="es-419" w:eastAsia="es-419"/>
              </w:rPr>
              <w:t xml:space="preserve">0 </w:t>
            </w:r>
          </w:p>
        </w:tc>
        <w:tc>
          <w:tcPr>
            <w:tcW w:w="979" w:type="pct"/>
            <w:tcBorders>
              <w:top w:val="nil"/>
              <w:left w:val="nil"/>
              <w:bottom w:val="single" w:sz="4" w:space="0" w:color="A6A6A6"/>
              <w:right w:val="single" w:sz="4" w:space="0" w:color="A6A6A6"/>
            </w:tcBorders>
            <w:noWrap/>
            <w:vAlign w:val="center"/>
            <w:hideMark/>
          </w:tcPr>
          <w:p w14:paraId="3E6DB9D1" w14:textId="77777777" w:rsidR="00CA0E31" w:rsidRPr="00520A6E" w:rsidRDefault="00CA0E31" w:rsidP="000A5389">
            <w:pPr>
              <w:spacing w:line="240" w:lineRule="auto"/>
              <w:jc w:val="right"/>
              <w:rPr>
                <w:rFonts w:eastAsia="Times New Roman" w:cs="Times New Roman"/>
                <w:color w:val="000000"/>
                <w:sz w:val="16"/>
                <w:szCs w:val="16"/>
                <w:lang w:val="es-419" w:eastAsia="es-419"/>
              </w:rPr>
            </w:pPr>
            <w:r w:rsidRPr="00520A6E">
              <w:rPr>
                <w:rFonts w:eastAsia="Times New Roman" w:cs="Times New Roman"/>
                <w:color w:val="000000"/>
                <w:sz w:val="16"/>
                <w:szCs w:val="16"/>
                <w:lang w:val="es-419" w:eastAsia="es-419"/>
              </w:rPr>
              <w:t xml:space="preserve">33.007.821.088.959 </w:t>
            </w:r>
          </w:p>
        </w:tc>
      </w:tr>
      <w:tr w:rsidR="001D0619" w:rsidRPr="00951AB1" w14:paraId="068F9ABA" w14:textId="77777777" w:rsidTr="001D0619">
        <w:trPr>
          <w:cantSplit/>
          <w:trHeight w:val="290"/>
        </w:trPr>
        <w:tc>
          <w:tcPr>
            <w:tcW w:w="131" w:type="pct"/>
            <w:tcBorders>
              <w:top w:val="nil"/>
              <w:left w:val="single" w:sz="4" w:space="0" w:color="A6A6A6"/>
              <w:bottom w:val="single" w:sz="4" w:space="0" w:color="A6A6A6"/>
              <w:right w:val="nil"/>
            </w:tcBorders>
            <w:noWrap/>
            <w:vAlign w:val="center"/>
            <w:hideMark/>
          </w:tcPr>
          <w:p w14:paraId="131CCA5B" w14:textId="77777777" w:rsidR="00CA0E31" w:rsidRPr="00520A6E" w:rsidRDefault="00CA0E31" w:rsidP="000A5389">
            <w:pPr>
              <w:spacing w:line="240" w:lineRule="auto"/>
              <w:jc w:val="center"/>
              <w:rPr>
                <w:rFonts w:eastAsia="Times New Roman" w:cs="Times New Roman"/>
                <w:sz w:val="16"/>
                <w:szCs w:val="16"/>
                <w:lang w:val="es-419" w:eastAsia="es-419"/>
              </w:rPr>
            </w:pPr>
            <w:r w:rsidRPr="00520A6E">
              <w:rPr>
                <w:rFonts w:eastAsia="Times New Roman" w:cs="Times New Roman"/>
                <w:sz w:val="16"/>
                <w:szCs w:val="16"/>
                <w:lang w:val="es-419" w:eastAsia="es-419"/>
              </w:rPr>
              <w:t> </w:t>
            </w:r>
          </w:p>
        </w:tc>
        <w:tc>
          <w:tcPr>
            <w:tcW w:w="102" w:type="pct"/>
            <w:tcBorders>
              <w:top w:val="nil"/>
              <w:left w:val="nil"/>
              <w:bottom w:val="single" w:sz="4" w:space="0" w:color="A6A6A6"/>
              <w:right w:val="nil"/>
            </w:tcBorders>
            <w:noWrap/>
            <w:vAlign w:val="center"/>
            <w:hideMark/>
          </w:tcPr>
          <w:p w14:paraId="528BBE4E" w14:textId="77777777" w:rsidR="00CA0E31" w:rsidRPr="00520A6E" w:rsidRDefault="00CA0E31" w:rsidP="000A5389">
            <w:pPr>
              <w:spacing w:line="240" w:lineRule="auto"/>
              <w:rPr>
                <w:rFonts w:eastAsia="Times New Roman" w:cs="Times New Roman"/>
                <w:sz w:val="16"/>
                <w:szCs w:val="16"/>
                <w:lang w:val="es-419" w:eastAsia="es-419"/>
              </w:rPr>
            </w:pPr>
            <w:r w:rsidRPr="00520A6E">
              <w:rPr>
                <w:rFonts w:eastAsia="Times New Roman" w:cs="Times New Roman"/>
                <w:sz w:val="16"/>
                <w:szCs w:val="16"/>
                <w:lang w:val="es-419" w:eastAsia="es-419"/>
              </w:rPr>
              <w:t> </w:t>
            </w:r>
          </w:p>
        </w:tc>
        <w:tc>
          <w:tcPr>
            <w:tcW w:w="92" w:type="pct"/>
            <w:tcBorders>
              <w:top w:val="nil"/>
              <w:left w:val="nil"/>
              <w:bottom w:val="single" w:sz="4" w:space="0" w:color="A6A6A6"/>
              <w:right w:val="nil"/>
            </w:tcBorders>
            <w:noWrap/>
            <w:vAlign w:val="center"/>
            <w:hideMark/>
          </w:tcPr>
          <w:p w14:paraId="5610877B" w14:textId="77777777" w:rsidR="00CA0E31" w:rsidRPr="00520A6E" w:rsidRDefault="00CA0E31" w:rsidP="000A5389">
            <w:pPr>
              <w:spacing w:line="240" w:lineRule="auto"/>
              <w:jc w:val="center"/>
              <w:rPr>
                <w:rFonts w:eastAsia="Times New Roman" w:cs="Times New Roman"/>
                <w:sz w:val="16"/>
                <w:szCs w:val="16"/>
                <w:lang w:val="es-419" w:eastAsia="es-419"/>
              </w:rPr>
            </w:pPr>
            <w:r w:rsidRPr="00520A6E">
              <w:rPr>
                <w:rFonts w:eastAsia="Times New Roman" w:cs="Times New Roman"/>
                <w:sz w:val="16"/>
                <w:szCs w:val="16"/>
                <w:lang w:val="es-419" w:eastAsia="es-419"/>
              </w:rPr>
              <w:t> </w:t>
            </w:r>
          </w:p>
        </w:tc>
        <w:tc>
          <w:tcPr>
            <w:tcW w:w="1093" w:type="pct"/>
            <w:tcBorders>
              <w:top w:val="nil"/>
              <w:left w:val="nil"/>
              <w:bottom w:val="single" w:sz="4" w:space="0" w:color="A6A6A6"/>
              <w:right w:val="single" w:sz="4" w:space="0" w:color="A6A6A6"/>
            </w:tcBorders>
            <w:vAlign w:val="center"/>
            <w:hideMark/>
          </w:tcPr>
          <w:p w14:paraId="532A6F05" w14:textId="77777777" w:rsidR="00CA0E31" w:rsidRPr="00520A6E" w:rsidRDefault="00CA0E31" w:rsidP="000A5389">
            <w:pPr>
              <w:spacing w:line="240" w:lineRule="auto"/>
              <w:rPr>
                <w:rFonts w:eastAsia="Times New Roman" w:cs="Times New Roman"/>
                <w:sz w:val="16"/>
                <w:szCs w:val="16"/>
                <w:lang w:val="es-419" w:eastAsia="es-419"/>
              </w:rPr>
            </w:pPr>
            <w:r w:rsidRPr="00520A6E">
              <w:rPr>
                <w:rFonts w:eastAsia="Times New Roman" w:cs="Times New Roman"/>
                <w:sz w:val="16"/>
                <w:szCs w:val="16"/>
                <w:lang w:val="es-419" w:eastAsia="es-419"/>
              </w:rPr>
              <w:t>* Terrenos</w:t>
            </w:r>
          </w:p>
        </w:tc>
        <w:tc>
          <w:tcPr>
            <w:tcW w:w="864" w:type="pct"/>
            <w:tcBorders>
              <w:top w:val="nil"/>
              <w:left w:val="nil"/>
              <w:bottom w:val="single" w:sz="4" w:space="0" w:color="A6A6A6"/>
              <w:right w:val="single" w:sz="4" w:space="0" w:color="A6A6A6"/>
            </w:tcBorders>
            <w:noWrap/>
            <w:vAlign w:val="center"/>
            <w:hideMark/>
          </w:tcPr>
          <w:p w14:paraId="1DF1FDE4" w14:textId="77777777" w:rsidR="00CA0E31" w:rsidRPr="00520A6E" w:rsidRDefault="00CA0E31" w:rsidP="000A5389">
            <w:pPr>
              <w:spacing w:line="240" w:lineRule="auto"/>
              <w:jc w:val="right"/>
              <w:rPr>
                <w:rFonts w:eastAsia="Times New Roman" w:cs="Times New Roman"/>
                <w:color w:val="000000"/>
                <w:sz w:val="16"/>
                <w:szCs w:val="16"/>
                <w:lang w:val="es-419" w:eastAsia="es-419"/>
              </w:rPr>
            </w:pPr>
            <w:r w:rsidRPr="00520A6E">
              <w:rPr>
                <w:rFonts w:eastAsia="Times New Roman" w:cs="Times New Roman"/>
                <w:color w:val="000000"/>
                <w:sz w:val="16"/>
                <w:szCs w:val="16"/>
                <w:lang w:val="es-419" w:eastAsia="es-419"/>
              </w:rPr>
              <w:t xml:space="preserve">345.619.982.807 </w:t>
            </w:r>
          </w:p>
        </w:tc>
        <w:tc>
          <w:tcPr>
            <w:tcW w:w="914" w:type="pct"/>
            <w:tcBorders>
              <w:top w:val="nil"/>
              <w:left w:val="nil"/>
              <w:bottom w:val="single" w:sz="4" w:space="0" w:color="A6A6A6"/>
              <w:right w:val="single" w:sz="4" w:space="0" w:color="A6A6A6"/>
            </w:tcBorders>
            <w:noWrap/>
            <w:vAlign w:val="center"/>
            <w:hideMark/>
          </w:tcPr>
          <w:p w14:paraId="67A5DCF5" w14:textId="77777777" w:rsidR="00CA0E31" w:rsidRPr="00520A6E" w:rsidRDefault="00CA0E31" w:rsidP="000A5389">
            <w:pPr>
              <w:spacing w:line="240" w:lineRule="auto"/>
              <w:jc w:val="right"/>
              <w:rPr>
                <w:rFonts w:eastAsia="Times New Roman" w:cs="Times New Roman"/>
                <w:color w:val="000000"/>
                <w:sz w:val="16"/>
                <w:szCs w:val="16"/>
                <w:lang w:val="es-419" w:eastAsia="es-419"/>
              </w:rPr>
            </w:pPr>
            <w:r w:rsidRPr="00520A6E">
              <w:rPr>
                <w:rFonts w:eastAsia="Times New Roman" w:cs="Times New Roman"/>
                <w:color w:val="000000"/>
                <w:sz w:val="16"/>
                <w:szCs w:val="16"/>
                <w:lang w:val="es-419" w:eastAsia="es-419"/>
              </w:rPr>
              <w:t xml:space="preserve">1.085.051.683.555 </w:t>
            </w:r>
          </w:p>
        </w:tc>
        <w:tc>
          <w:tcPr>
            <w:tcW w:w="825" w:type="pct"/>
            <w:tcBorders>
              <w:top w:val="nil"/>
              <w:left w:val="nil"/>
              <w:bottom w:val="single" w:sz="4" w:space="0" w:color="A6A6A6"/>
              <w:right w:val="single" w:sz="4" w:space="0" w:color="A6A6A6"/>
            </w:tcBorders>
            <w:noWrap/>
            <w:vAlign w:val="center"/>
            <w:hideMark/>
          </w:tcPr>
          <w:p w14:paraId="611A87A2" w14:textId="77777777" w:rsidR="00CA0E31" w:rsidRPr="00520A6E" w:rsidRDefault="00CA0E31" w:rsidP="000A5389">
            <w:pPr>
              <w:spacing w:line="240" w:lineRule="auto"/>
              <w:jc w:val="right"/>
              <w:rPr>
                <w:rFonts w:eastAsia="Times New Roman" w:cs="Times New Roman"/>
                <w:color w:val="000000"/>
                <w:sz w:val="16"/>
                <w:szCs w:val="16"/>
                <w:lang w:val="es-419" w:eastAsia="es-419"/>
              </w:rPr>
            </w:pPr>
            <w:r w:rsidRPr="00520A6E">
              <w:rPr>
                <w:rFonts w:eastAsia="Times New Roman" w:cs="Times New Roman"/>
                <w:color w:val="000000"/>
                <w:sz w:val="16"/>
                <w:szCs w:val="16"/>
                <w:lang w:val="es-419" w:eastAsia="es-419"/>
              </w:rPr>
              <w:t xml:space="preserve">0 </w:t>
            </w:r>
          </w:p>
        </w:tc>
        <w:tc>
          <w:tcPr>
            <w:tcW w:w="979" w:type="pct"/>
            <w:tcBorders>
              <w:top w:val="nil"/>
              <w:left w:val="nil"/>
              <w:bottom w:val="single" w:sz="4" w:space="0" w:color="A6A6A6"/>
              <w:right w:val="single" w:sz="4" w:space="0" w:color="A6A6A6"/>
            </w:tcBorders>
            <w:noWrap/>
            <w:vAlign w:val="center"/>
            <w:hideMark/>
          </w:tcPr>
          <w:p w14:paraId="51D22984" w14:textId="77777777" w:rsidR="00CA0E31" w:rsidRPr="00520A6E" w:rsidRDefault="00CA0E31" w:rsidP="000A5389">
            <w:pPr>
              <w:spacing w:line="240" w:lineRule="auto"/>
              <w:jc w:val="right"/>
              <w:rPr>
                <w:rFonts w:eastAsia="Times New Roman" w:cs="Times New Roman"/>
                <w:color w:val="000000"/>
                <w:sz w:val="16"/>
                <w:szCs w:val="16"/>
                <w:lang w:val="es-419" w:eastAsia="es-419"/>
              </w:rPr>
            </w:pPr>
            <w:r w:rsidRPr="00520A6E">
              <w:rPr>
                <w:rFonts w:eastAsia="Times New Roman" w:cs="Times New Roman"/>
                <w:color w:val="000000"/>
                <w:sz w:val="16"/>
                <w:szCs w:val="16"/>
                <w:lang w:val="es-419" w:eastAsia="es-419"/>
              </w:rPr>
              <w:t xml:space="preserve">1.430.671.666.362 </w:t>
            </w:r>
          </w:p>
        </w:tc>
      </w:tr>
      <w:tr w:rsidR="001D0619" w:rsidRPr="00951AB1" w14:paraId="72972441" w14:textId="77777777" w:rsidTr="001D0619">
        <w:trPr>
          <w:cantSplit/>
          <w:trHeight w:val="290"/>
        </w:trPr>
        <w:tc>
          <w:tcPr>
            <w:tcW w:w="131" w:type="pct"/>
            <w:tcBorders>
              <w:top w:val="nil"/>
              <w:left w:val="single" w:sz="4" w:space="0" w:color="A6A6A6"/>
              <w:bottom w:val="single" w:sz="4" w:space="0" w:color="A6A6A6"/>
              <w:right w:val="nil"/>
            </w:tcBorders>
            <w:noWrap/>
            <w:vAlign w:val="center"/>
            <w:hideMark/>
          </w:tcPr>
          <w:p w14:paraId="4E2F8904" w14:textId="77777777" w:rsidR="00CA0E31" w:rsidRPr="00520A6E" w:rsidRDefault="00CA0E31" w:rsidP="000A5389">
            <w:pPr>
              <w:spacing w:line="240" w:lineRule="auto"/>
              <w:jc w:val="center"/>
              <w:rPr>
                <w:rFonts w:eastAsia="Times New Roman" w:cs="Times New Roman"/>
                <w:sz w:val="16"/>
                <w:szCs w:val="16"/>
                <w:lang w:val="es-419" w:eastAsia="es-419"/>
              </w:rPr>
            </w:pPr>
            <w:r w:rsidRPr="00520A6E">
              <w:rPr>
                <w:rFonts w:eastAsia="Times New Roman" w:cs="Times New Roman"/>
                <w:sz w:val="16"/>
                <w:szCs w:val="16"/>
                <w:lang w:val="es-419" w:eastAsia="es-419"/>
              </w:rPr>
              <w:t> </w:t>
            </w:r>
          </w:p>
        </w:tc>
        <w:tc>
          <w:tcPr>
            <w:tcW w:w="102" w:type="pct"/>
            <w:tcBorders>
              <w:top w:val="nil"/>
              <w:left w:val="nil"/>
              <w:bottom w:val="single" w:sz="4" w:space="0" w:color="A6A6A6"/>
              <w:right w:val="nil"/>
            </w:tcBorders>
            <w:noWrap/>
            <w:vAlign w:val="center"/>
            <w:hideMark/>
          </w:tcPr>
          <w:p w14:paraId="10A8482E" w14:textId="77777777" w:rsidR="00CA0E31" w:rsidRPr="00520A6E" w:rsidRDefault="00CA0E31" w:rsidP="000A5389">
            <w:pPr>
              <w:spacing w:line="240" w:lineRule="auto"/>
              <w:rPr>
                <w:rFonts w:eastAsia="Times New Roman" w:cs="Times New Roman"/>
                <w:sz w:val="16"/>
                <w:szCs w:val="16"/>
                <w:lang w:val="es-419" w:eastAsia="es-419"/>
              </w:rPr>
            </w:pPr>
            <w:r w:rsidRPr="00520A6E">
              <w:rPr>
                <w:rFonts w:eastAsia="Times New Roman" w:cs="Times New Roman"/>
                <w:sz w:val="16"/>
                <w:szCs w:val="16"/>
                <w:lang w:val="es-419" w:eastAsia="es-419"/>
              </w:rPr>
              <w:t> </w:t>
            </w:r>
          </w:p>
        </w:tc>
        <w:tc>
          <w:tcPr>
            <w:tcW w:w="92" w:type="pct"/>
            <w:tcBorders>
              <w:top w:val="nil"/>
              <w:left w:val="nil"/>
              <w:bottom w:val="single" w:sz="4" w:space="0" w:color="A6A6A6"/>
              <w:right w:val="nil"/>
            </w:tcBorders>
            <w:noWrap/>
            <w:vAlign w:val="center"/>
            <w:hideMark/>
          </w:tcPr>
          <w:p w14:paraId="22E5CB81" w14:textId="77777777" w:rsidR="00CA0E31" w:rsidRPr="00520A6E" w:rsidRDefault="00CA0E31" w:rsidP="000A5389">
            <w:pPr>
              <w:spacing w:line="240" w:lineRule="auto"/>
              <w:jc w:val="center"/>
              <w:rPr>
                <w:rFonts w:eastAsia="Times New Roman" w:cs="Times New Roman"/>
                <w:sz w:val="16"/>
                <w:szCs w:val="16"/>
                <w:lang w:val="es-419" w:eastAsia="es-419"/>
              </w:rPr>
            </w:pPr>
            <w:r w:rsidRPr="00520A6E">
              <w:rPr>
                <w:rFonts w:eastAsia="Times New Roman" w:cs="Times New Roman"/>
                <w:sz w:val="16"/>
                <w:szCs w:val="16"/>
                <w:lang w:val="es-419" w:eastAsia="es-419"/>
              </w:rPr>
              <w:t> </w:t>
            </w:r>
          </w:p>
        </w:tc>
        <w:tc>
          <w:tcPr>
            <w:tcW w:w="1093" w:type="pct"/>
            <w:tcBorders>
              <w:top w:val="nil"/>
              <w:left w:val="nil"/>
              <w:bottom w:val="single" w:sz="4" w:space="0" w:color="A6A6A6"/>
              <w:right w:val="single" w:sz="4" w:space="0" w:color="A6A6A6"/>
            </w:tcBorders>
            <w:vAlign w:val="center"/>
            <w:hideMark/>
          </w:tcPr>
          <w:p w14:paraId="64BCCF94" w14:textId="77777777" w:rsidR="00CA0E31" w:rsidRPr="00520A6E" w:rsidRDefault="00CA0E31" w:rsidP="000A5389">
            <w:pPr>
              <w:spacing w:line="240" w:lineRule="auto"/>
              <w:rPr>
                <w:rFonts w:eastAsia="Times New Roman" w:cs="Times New Roman"/>
                <w:sz w:val="16"/>
                <w:szCs w:val="16"/>
                <w:lang w:val="es-419" w:eastAsia="es-419"/>
              </w:rPr>
            </w:pPr>
            <w:r w:rsidRPr="00520A6E">
              <w:rPr>
                <w:rFonts w:eastAsia="Times New Roman" w:cs="Times New Roman"/>
                <w:sz w:val="16"/>
                <w:szCs w:val="16"/>
                <w:lang w:val="es-419" w:eastAsia="es-419"/>
              </w:rPr>
              <w:t>* Modo Portuario</w:t>
            </w:r>
          </w:p>
        </w:tc>
        <w:tc>
          <w:tcPr>
            <w:tcW w:w="864" w:type="pct"/>
            <w:tcBorders>
              <w:top w:val="nil"/>
              <w:left w:val="nil"/>
              <w:bottom w:val="single" w:sz="4" w:space="0" w:color="A6A6A6"/>
              <w:right w:val="single" w:sz="4" w:space="0" w:color="A6A6A6"/>
            </w:tcBorders>
            <w:noWrap/>
            <w:vAlign w:val="center"/>
            <w:hideMark/>
          </w:tcPr>
          <w:p w14:paraId="3A74580D" w14:textId="77777777" w:rsidR="00CA0E31" w:rsidRPr="00520A6E" w:rsidRDefault="00CA0E31" w:rsidP="000A5389">
            <w:pPr>
              <w:spacing w:line="240" w:lineRule="auto"/>
              <w:jc w:val="right"/>
              <w:rPr>
                <w:rFonts w:eastAsia="Times New Roman" w:cs="Times New Roman"/>
                <w:color w:val="000000"/>
                <w:sz w:val="16"/>
                <w:szCs w:val="16"/>
                <w:lang w:val="es-419" w:eastAsia="es-419"/>
              </w:rPr>
            </w:pPr>
            <w:r w:rsidRPr="00520A6E">
              <w:rPr>
                <w:rFonts w:eastAsia="Times New Roman" w:cs="Times New Roman"/>
                <w:color w:val="000000"/>
                <w:sz w:val="16"/>
                <w:szCs w:val="16"/>
                <w:lang w:val="es-419" w:eastAsia="es-419"/>
              </w:rPr>
              <w:t xml:space="preserve">0 </w:t>
            </w:r>
          </w:p>
        </w:tc>
        <w:tc>
          <w:tcPr>
            <w:tcW w:w="914" w:type="pct"/>
            <w:tcBorders>
              <w:top w:val="nil"/>
              <w:left w:val="nil"/>
              <w:bottom w:val="single" w:sz="4" w:space="0" w:color="A6A6A6"/>
              <w:right w:val="single" w:sz="4" w:space="0" w:color="A6A6A6"/>
            </w:tcBorders>
            <w:noWrap/>
            <w:vAlign w:val="center"/>
            <w:hideMark/>
          </w:tcPr>
          <w:p w14:paraId="1C62CB28" w14:textId="77777777" w:rsidR="00CA0E31" w:rsidRPr="00520A6E" w:rsidRDefault="00CA0E31" w:rsidP="000A5389">
            <w:pPr>
              <w:spacing w:line="240" w:lineRule="auto"/>
              <w:jc w:val="right"/>
              <w:rPr>
                <w:rFonts w:eastAsia="Times New Roman" w:cs="Times New Roman"/>
                <w:color w:val="000000"/>
                <w:sz w:val="16"/>
                <w:szCs w:val="16"/>
                <w:lang w:val="es-419" w:eastAsia="es-419"/>
              </w:rPr>
            </w:pPr>
            <w:r w:rsidRPr="00520A6E">
              <w:rPr>
                <w:rFonts w:eastAsia="Times New Roman" w:cs="Times New Roman"/>
                <w:color w:val="000000"/>
                <w:sz w:val="16"/>
                <w:szCs w:val="16"/>
                <w:lang w:val="es-419" w:eastAsia="es-419"/>
              </w:rPr>
              <w:t xml:space="preserve">30.680.301.955 </w:t>
            </w:r>
          </w:p>
        </w:tc>
        <w:tc>
          <w:tcPr>
            <w:tcW w:w="825" w:type="pct"/>
            <w:tcBorders>
              <w:top w:val="nil"/>
              <w:left w:val="nil"/>
              <w:bottom w:val="single" w:sz="4" w:space="0" w:color="A6A6A6"/>
              <w:right w:val="single" w:sz="4" w:space="0" w:color="A6A6A6"/>
            </w:tcBorders>
            <w:noWrap/>
            <w:vAlign w:val="center"/>
            <w:hideMark/>
          </w:tcPr>
          <w:p w14:paraId="15188E9B" w14:textId="77777777" w:rsidR="00CA0E31" w:rsidRPr="00520A6E" w:rsidRDefault="00CA0E31" w:rsidP="000A5389">
            <w:pPr>
              <w:spacing w:line="240" w:lineRule="auto"/>
              <w:jc w:val="right"/>
              <w:rPr>
                <w:rFonts w:eastAsia="Times New Roman" w:cs="Times New Roman"/>
                <w:color w:val="000000"/>
                <w:sz w:val="16"/>
                <w:szCs w:val="16"/>
                <w:lang w:val="es-419" w:eastAsia="es-419"/>
              </w:rPr>
            </w:pPr>
            <w:r w:rsidRPr="00520A6E">
              <w:rPr>
                <w:rFonts w:eastAsia="Times New Roman" w:cs="Times New Roman"/>
                <w:color w:val="000000"/>
                <w:sz w:val="16"/>
                <w:szCs w:val="16"/>
                <w:lang w:val="es-419" w:eastAsia="es-419"/>
              </w:rPr>
              <w:t xml:space="preserve">0 </w:t>
            </w:r>
          </w:p>
        </w:tc>
        <w:tc>
          <w:tcPr>
            <w:tcW w:w="979" w:type="pct"/>
            <w:tcBorders>
              <w:top w:val="nil"/>
              <w:left w:val="nil"/>
              <w:bottom w:val="single" w:sz="4" w:space="0" w:color="A6A6A6"/>
              <w:right w:val="single" w:sz="4" w:space="0" w:color="A6A6A6"/>
            </w:tcBorders>
            <w:noWrap/>
            <w:vAlign w:val="center"/>
            <w:hideMark/>
          </w:tcPr>
          <w:p w14:paraId="6A239850" w14:textId="77777777" w:rsidR="00CA0E31" w:rsidRPr="00520A6E" w:rsidRDefault="00CA0E31" w:rsidP="000A5389">
            <w:pPr>
              <w:spacing w:line="240" w:lineRule="auto"/>
              <w:jc w:val="right"/>
              <w:rPr>
                <w:rFonts w:eastAsia="Times New Roman" w:cs="Times New Roman"/>
                <w:color w:val="000000"/>
                <w:sz w:val="16"/>
                <w:szCs w:val="16"/>
                <w:lang w:val="es-419" w:eastAsia="es-419"/>
              </w:rPr>
            </w:pPr>
            <w:r w:rsidRPr="00520A6E">
              <w:rPr>
                <w:rFonts w:eastAsia="Times New Roman" w:cs="Times New Roman"/>
                <w:color w:val="000000"/>
                <w:sz w:val="16"/>
                <w:szCs w:val="16"/>
                <w:lang w:val="es-419" w:eastAsia="es-419"/>
              </w:rPr>
              <w:t xml:space="preserve">30.680.301.955 </w:t>
            </w:r>
          </w:p>
        </w:tc>
      </w:tr>
      <w:tr w:rsidR="001D0619" w:rsidRPr="00951AB1" w14:paraId="49AED3A0" w14:textId="77777777" w:rsidTr="001D0619">
        <w:trPr>
          <w:cantSplit/>
          <w:trHeight w:val="290"/>
        </w:trPr>
        <w:tc>
          <w:tcPr>
            <w:tcW w:w="131" w:type="pct"/>
            <w:tcBorders>
              <w:top w:val="nil"/>
              <w:left w:val="single" w:sz="4" w:space="0" w:color="A6A6A6"/>
              <w:bottom w:val="single" w:sz="4" w:space="0" w:color="A6A6A6"/>
              <w:right w:val="nil"/>
            </w:tcBorders>
            <w:noWrap/>
            <w:vAlign w:val="center"/>
            <w:hideMark/>
          </w:tcPr>
          <w:p w14:paraId="2B56C0BC" w14:textId="77777777" w:rsidR="00CA0E31" w:rsidRPr="00520A6E" w:rsidRDefault="00CA0E31" w:rsidP="000A5389">
            <w:pPr>
              <w:spacing w:line="240" w:lineRule="auto"/>
              <w:jc w:val="center"/>
              <w:rPr>
                <w:rFonts w:eastAsia="Times New Roman" w:cs="Times New Roman"/>
                <w:sz w:val="16"/>
                <w:szCs w:val="16"/>
                <w:lang w:val="es-419" w:eastAsia="es-419"/>
              </w:rPr>
            </w:pPr>
            <w:r w:rsidRPr="00520A6E">
              <w:rPr>
                <w:rFonts w:eastAsia="Times New Roman" w:cs="Times New Roman"/>
                <w:sz w:val="16"/>
                <w:szCs w:val="16"/>
                <w:lang w:val="es-419" w:eastAsia="es-419"/>
              </w:rPr>
              <w:t> </w:t>
            </w:r>
          </w:p>
        </w:tc>
        <w:tc>
          <w:tcPr>
            <w:tcW w:w="102" w:type="pct"/>
            <w:tcBorders>
              <w:top w:val="nil"/>
              <w:left w:val="nil"/>
              <w:bottom w:val="single" w:sz="4" w:space="0" w:color="A6A6A6"/>
              <w:right w:val="nil"/>
            </w:tcBorders>
            <w:noWrap/>
            <w:vAlign w:val="center"/>
            <w:hideMark/>
          </w:tcPr>
          <w:p w14:paraId="3A2CAE29" w14:textId="77777777" w:rsidR="00CA0E31" w:rsidRPr="00520A6E" w:rsidRDefault="00CA0E31" w:rsidP="000A5389">
            <w:pPr>
              <w:spacing w:line="240" w:lineRule="auto"/>
              <w:rPr>
                <w:rFonts w:eastAsia="Times New Roman" w:cs="Times New Roman"/>
                <w:sz w:val="16"/>
                <w:szCs w:val="16"/>
                <w:lang w:val="es-419" w:eastAsia="es-419"/>
              </w:rPr>
            </w:pPr>
            <w:r w:rsidRPr="00520A6E">
              <w:rPr>
                <w:rFonts w:eastAsia="Times New Roman" w:cs="Times New Roman"/>
                <w:sz w:val="16"/>
                <w:szCs w:val="16"/>
                <w:lang w:val="es-419" w:eastAsia="es-419"/>
              </w:rPr>
              <w:t> </w:t>
            </w:r>
          </w:p>
        </w:tc>
        <w:tc>
          <w:tcPr>
            <w:tcW w:w="92" w:type="pct"/>
            <w:tcBorders>
              <w:top w:val="nil"/>
              <w:left w:val="nil"/>
              <w:bottom w:val="single" w:sz="4" w:space="0" w:color="A6A6A6"/>
              <w:right w:val="nil"/>
            </w:tcBorders>
            <w:noWrap/>
            <w:vAlign w:val="center"/>
            <w:hideMark/>
          </w:tcPr>
          <w:p w14:paraId="5F2227C5" w14:textId="77777777" w:rsidR="00CA0E31" w:rsidRPr="00520A6E" w:rsidRDefault="00CA0E31" w:rsidP="000A5389">
            <w:pPr>
              <w:spacing w:line="240" w:lineRule="auto"/>
              <w:jc w:val="center"/>
              <w:rPr>
                <w:rFonts w:eastAsia="Times New Roman" w:cs="Times New Roman"/>
                <w:sz w:val="16"/>
                <w:szCs w:val="16"/>
                <w:lang w:val="es-419" w:eastAsia="es-419"/>
              </w:rPr>
            </w:pPr>
            <w:r w:rsidRPr="00520A6E">
              <w:rPr>
                <w:rFonts w:eastAsia="Times New Roman" w:cs="Times New Roman"/>
                <w:sz w:val="16"/>
                <w:szCs w:val="16"/>
                <w:lang w:val="es-419" w:eastAsia="es-419"/>
              </w:rPr>
              <w:t>+</w:t>
            </w:r>
          </w:p>
        </w:tc>
        <w:tc>
          <w:tcPr>
            <w:tcW w:w="1093" w:type="pct"/>
            <w:tcBorders>
              <w:top w:val="nil"/>
              <w:left w:val="nil"/>
              <w:bottom w:val="single" w:sz="4" w:space="0" w:color="A6A6A6"/>
              <w:right w:val="single" w:sz="4" w:space="0" w:color="A6A6A6"/>
            </w:tcBorders>
            <w:vAlign w:val="center"/>
            <w:hideMark/>
          </w:tcPr>
          <w:p w14:paraId="3C5C9858" w14:textId="77777777" w:rsidR="00CA0E31" w:rsidRPr="00520A6E" w:rsidRDefault="00CA0E31" w:rsidP="000A5389">
            <w:pPr>
              <w:spacing w:line="240" w:lineRule="auto"/>
              <w:rPr>
                <w:rFonts w:eastAsia="Times New Roman" w:cs="Times New Roman"/>
                <w:sz w:val="16"/>
                <w:szCs w:val="16"/>
                <w:lang w:val="es-419" w:eastAsia="es-419"/>
              </w:rPr>
            </w:pPr>
            <w:r w:rsidRPr="00520A6E">
              <w:rPr>
                <w:rFonts w:eastAsia="Times New Roman" w:cs="Times New Roman"/>
                <w:sz w:val="16"/>
                <w:szCs w:val="16"/>
                <w:lang w:val="es-419" w:eastAsia="es-419"/>
              </w:rPr>
              <w:t>Ajustes/Reclasificaciones en entradas (DB)</w:t>
            </w:r>
          </w:p>
        </w:tc>
        <w:tc>
          <w:tcPr>
            <w:tcW w:w="864" w:type="pct"/>
            <w:tcBorders>
              <w:top w:val="nil"/>
              <w:left w:val="nil"/>
              <w:bottom w:val="single" w:sz="4" w:space="0" w:color="A6A6A6"/>
              <w:right w:val="single" w:sz="4" w:space="0" w:color="A6A6A6"/>
            </w:tcBorders>
            <w:noWrap/>
            <w:vAlign w:val="center"/>
            <w:hideMark/>
          </w:tcPr>
          <w:p w14:paraId="474D3166" w14:textId="77777777" w:rsidR="00CA0E31" w:rsidRPr="00520A6E" w:rsidRDefault="00CA0E31" w:rsidP="000A5389">
            <w:pPr>
              <w:spacing w:line="240" w:lineRule="auto"/>
              <w:jc w:val="right"/>
              <w:rPr>
                <w:rFonts w:eastAsia="Times New Roman" w:cs="Times New Roman"/>
                <w:color w:val="000000"/>
                <w:sz w:val="16"/>
                <w:szCs w:val="16"/>
                <w:lang w:val="es-419" w:eastAsia="es-419"/>
              </w:rPr>
            </w:pPr>
            <w:r w:rsidRPr="00520A6E">
              <w:rPr>
                <w:rFonts w:eastAsia="Times New Roman" w:cs="Times New Roman"/>
                <w:color w:val="000000"/>
                <w:sz w:val="16"/>
                <w:szCs w:val="16"/>
                <w:lang w:val="es-419" w:eastAsia="es-419"/>
              </w:rPr>
              <w:t xml:space="preserve">47.810.341.701 </w:t>
            </w:r>
          </w:p>
        </w:tc>
        <w:tc>
          <w:tcPr>
            <w:tcW w:w="914" w:type="pct"/>
            <w:tcBorders>
              <w:top w:val="nil"/>
              <w:left w:val="nil"/>
              <w:bottom w:val="single" w:sz="4" w:space="0" w:color="A6A6A6"/>
              <w:right w:val="single" w:sz="4" w:space="0" w:color="A6A6A6"/>
            </w:tcBorders>
            <w:noWrap/>
            <w:vAlign w:val="center"/>
            <w:hideMark/>
          </w:tcPr>
          <w:p w14:paraId="776CF031" w14:textId="77777777" w:rsidR="00CA0E31" w:rsidRPr="00520A6E" w:rsidRDefault="00CA0E31" w:rsidP="000A5389">
            <w:pPr>
              <w:spacing w:line="240" w:lineRule="auto"/>
              <w:jc w:val="right"/>
              <w:rPr>
                <w:rFonts w:eastAsia="Times New Roman" w:cs="Times New Roman"/>
                <w:color w:val="000000"/>
                <w:sz w:val="16"/>
                <w:szCs w:val="16"/>
                <w:lang w:val="es-419" w:eastAsia="es-419"/>
              </w:rPr>
            </w:pPr>
            <w:r w:rsidRPr="00520A6E">
              <w:rPr>
                <w:rFonts w:eastAsia="Times New Roman" w:cs="Times New Roman"/>
                <w:color w:val="000000"/>
                <w:sz w:val="16"/>
                <w:szCs w:val="16"/>
                <w:lang w:val="es-419" w:eastAsia="es-419"/>
              </w:rPr>
              <w:t xml:space="preserve">0 </w:t>
            </w:r>
          </w:p>
        </w:tc>
        <w:tc>
          <w:tcPr>
            <w:tcW w:w="825" w:type="pct"/>
            <w:tcBorders>
              <w:top w:val="nil"/>
              <w:left w:val="nil"/>
              <w:bottom w:val="single" w:sz="4" w:space="0" w:color="A6A6A6"/>
              <w:right w:val="single" w:sz="4" w:space="0" w:color="A6A6A6"/>
            </w:tcBorders>
            <w:noWrap/>
            <w:vAlign w:val="center"/>
            <w:hideMark/>
          </w:tcPr>
          <w:p w14:paraId="29477559" w14:textId="77777777" w:rsidR="00CA0E31" w:rsidRPr="00520A6E" w:rsidRDefault="00CA0E31" w:rsidP="000A5389">
            <w:pPr>
              <w:spacing w:line="240" w:lineRule="auto"/>
              <w:jc w:val="right"/>
              <w:rPr>
                <w:rFonts w:eastAsia="Times New Roman" w:cs="Times New Roman"/>
                <w:color w:val="000000"/>
                <w:sz w:val="16"/>
                <w:szCs w:val="16"/>
                <w:lang w:val="es-419" w:eastAsia="es-419"/>
              </w:rPr>
            </w:pPr>
            <w:r w:rsidRPr="00520A6E">
              <w:rPr>
                <w:rFonts w:eastAsia="Times New Roman" w:cs="Times New Roman"/>
                <w:color w:val="000000"/>
                <w:sz w:val="16"/>
                <w:szCs w:val="16"/>
                <w:lang w:val="es-419" w:eastAsia="es-419"/>
              </w:rPr>
              <w:t xml:space="preserve">0 </w:t>
            </w:r>
          </w:p>
        </w:tc>
        <w:tc>
          <w:tcPr>
            <w:tcW w:w="979" w:type="pct"/>
            <w:tcBorders>
              <w:top w:val="nil"/>
              <w:left w:val="nil"/>
              <w:bottom w:val="single" w:sz="4" w:space="0" w:color="A6A6A6"/>
              <w:right w:val="single" w:sz="4" w:space="0" w:color="A6A6A6"/>
            </w:tcBorders>
            <w:noWrap/>
            <w:vAlign w:val="center"/>
            <w:hideMark/>
          </w:tcPr>
          <w:p w14:paraId="356DA063" w14:textId="77777777" w:rsidR="00CA0E31" w:rsidRPr="00520A6E" w:rsidRDefault="00CA0E31" w:rsidP="000A5389">
            <w:pPr>
              <w:spacing w:line="240" w:lineRule="auto"/>
              <w:jc w:val="right"/>
              <w:rPr>
                <w:rFonts w:eastAsia="Times New Roman" w:cs="Times New Roman"/>
                <w:b/>
                <w:bCs/>
                <w:color w:val="000000"/>
                <w:sz w:val="16"/>
                <w:szCs w:val="16"/>
                <w:lang w:val="es-419" w:eastAsia="es-419"/>
              </w:rPr>
            </w:pPr>
            <w:r w:rsidRPr="00520A6E">
              <w:rPr>
                <w:rFonts w:eastAsia="Times New Roman" w:cs="Times New Roman"/>
                <w:b/>
                <w:bCs/>
                <w:color w:val="000000"/>
                <w:sz w:val="16"/>
                <w:szCs w:val="16"/>
                <w:lang w:val="es-419" w:eastAsia="es-419"/>
              </w:rPr>
              <w:t xml:space="preserve">47.810.341.701 </w:t>
            </w:r>
          </w:p>
        </w:tc>
      </w:tr>
      <w:tr w:rsidR="001D0619" w:rsidRPr="00951AB1" w14:paraId="28CE5B07" w14:textId="77777777" w:rsidTr="001D0619">
        <w:trPr>
          <w:cantSplit/>
          <w:trHeight w:val="290"/>
        </w:trPr>
        <w:tc>
          <w:tcPr>
            <w:tcW w:w="131" w:type="pct"/>
            <w:tcBorders>
              <w:top w:val="nil"/>
              <w:left w:val="single" w:sz="4" w:space="0" w:color="A6A6A6"/>
              <w:bottom w:val="single" w:sz="4" w:space="0" w:color="A6A6A6"/>
              <w:right w:val="nil"/>
            </w:tcBorders>
            <w:noWrap/>
            <w:vAlign w:val="center"/>
            <w:hideMark/>
          </w:tcPr>
          <w:p w14:paraId="52F97CE9" w14:textId="77777777" w:rsidR="00CA0E31" w:rsidRPr="00520A6E" w:rsidRDefault="00CA0E31" w:rsidP="000A5389">
            <w:pPr>
              <w:spacing w:line="240" w:lineRule="auto"/>
              <w:jc w:val="center"/>
              <w:rPr>
                <w:rFonts w:eastAsia="Times New Roman" w:cs="Times New Roman"/>
                <w:sz w:val="16"/>
                <w:szCs w:val="16"/>
                <w:lang w:val="es-419" w:eastAsia="es-419"/>
              </w:rPr>
            </w:pPr>
            <w:r w:rsidRPr="00520A6E">
              <w:rPr>
                <w:rFonts w:eastAsia="Times New Roman" w:cs="Times New Roman"/>
                <w:sz w:val="16"/>
                <w:szCs w:val="16"/>
                <w:lang w:val="es-419" w:eastAsia="es-419"/>
              </w:rPr>
              <w:t> </w:t>
            </w:r>
          </w:p>
        </w:tc>
        <w:tc>
          <w:tcPr>
            <w:tcW w:w="102" w:type="pct"/>
            <w:tcBorders>
              <w:top w:val="nil"/>
              <w:left w:val="nil"/>
              <w:bottom w:val="single" w:sz="4" w:space="0" w:color="A6A6A6"/>
              <w:right w:val="nil"/>
            </w:tcBorders>
            <w:noWrap/>
            <w:vAlign w:val="center"/>
            <w:hideMark/>
          </w:tcPr>
          <w:p w14:paraId="4839E40A" w14:textId="77777777" w:rsidR="00CA0E31" w:rsidRPr="00520A6E" w:rsidRDefault="00CA0E31" w:rsidP="000A5389">
            <w:pPr>
              <w:spacing w:line="240" w:lineRule="auto"/>
              <w:rPr>
                <w:rFonts w:eastAsia="Times New Roman" w:cs="Times New Roman"/>
                <w:sz w:val="16"/>
                <w:szCs w:val="16"/>
                <w:lang w:val="es-419" w:eastAsia="es-419"/>
              </w:rPr>
            </w:pPr>
            <w:r w:rsidRPr="00520A6E">
              <w:rPr>
                <w:rFonts w:eastAsia="Times New Roman" w:cs="Times New Roman"/>
                <w:sz w:val="16"/>
                <w:szCs w:val="16"/>
                <w:lang w:val="es-419" w:eastAsia="es-419"/>
              </w:rPr>
              <w:t> </w:t>
            </w:r>
          </w:p>
        </w:tc>
        <w:tc>
          <w:tcPr>
            <w:tcW w:w="92" w:type="pct"/>
            <w:tcBorders>
              <w:top w:val="nil"/>
              <w:left w:val="nil"/>
              <w:bottom w:val="single" w:sz="4" w:space="0" w:color="A6A6A6"/>
              <w:right w:val="nil"/>
            </w:tcBorders>
            <w:noWrap/>
            <w:vAlign w:val="center"/>
            <w:hideMark/>
          </w:tcPr>
          <w:p w14:paraId="6FEE34F6" w14:textId="77777777" w:rsidR="00CA0E31" w:rsidRPr="00520A6E" w:rsidRDefault="00CA0E31" w:rsidP="000A5389">
            <w:pPr>
              <w:spacing w:line="240" w:lineRule="auto"/>
              <w:jc w:val="center"/>
              <w:rPr>
                <w:rFonts w:eastAsia="Times New Roman" w:cs="Times New Roman"/>
                <w:sz w:val="16"/>
                <w:szCs w:val="16"/>
                <w:lang w:val="es-419" w:eastAsia="es-419"/>
              </w:rPr>
            </w:pPr>
            <w:r w:rsidRPr="00520A6E">
              <w:rPr>
                <w:rFonts w:eastAsia="Times New Roman" w:cs="Times New Roman"/>
                <w:sz w:val="16"/>
                <w:szCs w:val="16"/>
                <w:lang w:val="es-419" w:eastAsia="es-419"/>
              </w:rPr>
              <w:t> </w:t>
            </w:r>
          </w:p>
        </w:tc>
        <w:tc>
          <w:tcPr>
            <w:tcW w:w="1093" w:type="pct"/>
            <w:tcBorders>
              <w:top w:val="nil"/>
              <w:left w:val="nil"/>
              <w:bottom w:val="single" w:sz="4" w:space="0" w:color="A6A6A6"/>
              <w:right w:val="single" w:sz="4" w:space="0" w:color="A6A6A6"/>
            </w:tcBorders>
            <w:vAlign w:val="center"/>
            <w:hideMark/>
          </w:tcPr>
          <w:p w14:paraId="2072BFB3" w14:textId="77777777" w:rsidR="00CA0E31" w:rsidRPr="00520A6E" w:rsidRDefault="00CA0E31" w:rsidP="000A5389">
            <w:pPr>
              <w:spacing w:line="240" w:lineRule="auto"/>
              <w:rPr>
                <w:rFonts w:eastAsia="Times New Roman" w:cs="Times New Roman"/>
                <w:sz w:val="16"/>
                <w:szCs w:val="16"/>
                <w:lang w:val="es-419" w:eastAsia="es-419"/>
              </w:rPr>
            </w:pPr>
            <w:r w:rsidRPr="00520A6E">
              <w:rPr>
                <w:rFonts w:eastAsia="Times New Roman" w:cs="Times New Roman"/>
                <w:sz w:val="16"/>
                <w:szCs w:val="16"/>
                <w:lang w:val="es-419" w:eastAsia="es-419"/>
              </w:rPr>
              <w:t>* Modo Carretero</w:t>
            </w:r>
          </w:p>
        </w:tc>
        <w:tc>
          <w:tcPr>
            <w:tcW w:w="864" w:type="pct"/>
            <w:tcBorders>
              <w:top w:val="nil"/>
              <w:left w:val="nil"/>
              <w:bottom w:val="single" w:sz="4" w:space="0" w:color="A6A6A6"/>
              <w:right w:val="single" w:sz="4" w:space="0" w:color="A6A6A6"/>
            </w:tcBorders>
            <w:noWrap/>
            <w:vAlign w:val="center"/>
            <w:hideMark/>
          </w:tcPr>
          <w:p w14:paraId="6D30F317" w14:textId="77777777" w:rsidR="00CA0E31" w:rsidRPr="00520A6E" w:rsidRDefault="00CA0E31" w:rsidP="000A5389">
            <w:pPr>
              <w:spacing w:line="240" w:lineRule="auto"/>
              <w:jc w:val="right"/>
              <w:rPr>
                <w:rFonts w:eastAsia="Times New Roman" w:cs="Times New Roman"/>
                <w:color w:val="000000"/>
                <w:sz w:val="16"/>
                <w:szCs w:val="16"/>
                <w:lang w:val="es-419" w:eastAsia="es-419"/>
              </w:rPr>
            </w:pPr>
            <w:r w:rsidRPr="00520A6E">
              <w:rPr>
                <w:rFonts w:eastAsia="Times New Roman" w:cs="Times New Roman"/>
                <w:color w:val="000000"/>
                <w:sz w:val="16"/>
                <w:szCs w:val="16"/>
                <w:lang w:val="es-419" w:eastAsia="es-419"/>
              </w:rPr>
              <w:t xml:space="preserve">47.810.341.701 </w:t>
            </w:r>
          </w:p>
        </w:tc>
        <w:tc>
          <w:tcPr>
            <w:tcW w:w="914" w:type="pct"/>
            <w:tcBorders>
              <w:top w:val="nil"/>
              <w:left w:val="nil"/>
              <w:bottom w:val="single" w:sz="4" w:space="0" w:color="A6A6A6"/>
              <w:right w:val="single" w:sz="4" w:space="0" w:color="A6A6A6"/>
            </w:tcBorders>
            <w:noWrap/>
            <w:vAlign w:val="center"/>
            <w:hideMark/>
          </w:tcPr>
          <w:p w14:paraId="09EABAFC" w14:textId="77777777" w:rsidR="00CA0E31" w:rsidRPr="00520A6E" w:rsidRDefault="00CA0E31" w:rsidP="000A5389">
            <w:pPr>
              <w:spacing w:line="240" w:lineRule="auto"/>
              <w:jc w:val="right"/>
              <w:rPr>
                <w:rFonts w:eastAsia="Times New Roman" w:cs="Times New Roman"/>
                <w:color w:val="000000"/>
                <w:sz w:val="16"/>
                <w:szCs w:val="16"/>
                <w:lang w:val="es-419" w:eastAsia="es-419"/>
              </w:rPr>
            </w:pPr>
            <w:r w:rsidRPr="00520A6E">
              <w:rPr>
                <w:rFonts w:eastAsia="Times New Roman" w:cs="Times New Roman"/>
                <w:color w:val="000000"/>
                <w:sz w:val="16"/>
                <w:szCs w:val="16"/>
                <w:lang w:val="es-419" w:eastAsia="es-419"/>
              </w:rPr>
              <w:t xml:space="preserve">0 </w:t>
            </w:r>
          </w:p>
        </w:tc>
        <w:tc>
          <w:tcPr>
            <w:tcW w:w="825" w:type="pct"/>
            <w:tcBorders>
              <w:top w:val="nil"/>
              <w:left w:val="nil"/>
              <w:bottom w:val="single" w:sz="4" w:space="0" w:color="A6A6A6"/>
              <w:right w:val="single" w:sz="4" w:space="0" w:color="A6A6A6"/>
            </w:tcBorders>
            <w:noWrap/>
            <w:vAlign w:val="center"/>
            <w:hideMark/>
          </w:tcPr>
          <w:p w14:paraId="0D141251" w14:textId="77777777" w:rsidR="00CA0E31" w:rsidRPr="00520A6E" w:rsidRDefault="00CA0E31" w:rsidP="000A5389">
            <w:pPr>
              <w:spacing w:line="240" w:lineRule="auto"/>
              <w:jc w:val="right"/>
              <w:rPr>
                <w:rFonts w:eastAsia="Times New Roman" w:cs="Times New Roman"/>
                <w:color w:val="000000"/>
                <w:sz w:val="16"/>
                <w:szCs w:val="16"/>
                <w:lang w:val="es-419" w:eastAsia="es-419"/>
              </w:rPr>
            </w:pPr>
            <w:r w:rsidRPr="00520A6E">
              <w:rPr>
                <w:rFonts w:eastAsia="Times New Roman" w:cs="Times New Roman"/>
                <w:color w:val="000000"/>
                <w:sz w:val="16"/>
                <w:szCs w:val="16"/>
                <w:lang w:val="es-419" w:eastAsia="es-419"/>
              </w:rPr>
              <w:t xml:space="preserve">0 </w:t>
            </w:r>
          </w:p>
        </w:tc>
        <w:tc>
          <w:tcPr>
            <w:tcW w:w="979" w:type="pct"/>
            <w:tcBorders>
              <w:top w:val="nil"/>
              <w:left w:val="nil"/>
              <w:bottom w:val="single" w:sz="4" w:space="0" w:color="A6A6A6"/>
              <w:right w:val="single" w:sz="4" w:space="0" w:color="A6A6A6"/>
            </w:tcBorders>
            <w:noWrap/>
            <w:vAlign w:val="center"/>
            <w:hideMark/>
          </w:tcPr>
          <w:p w14:paraId="560F6CD0" w14:textId="77777777" w:rsidR="00CA0E31" w:rsidRPr="00520A6E" w:rsidRDefault="00CA0E31" w:rsidP="000A5389">
            <w:pPr>
              <w:spacing w:line="240" w:lineRule="auto"/>
              <w:jc w:val="right"/>
              <w:rPr>
                <w:rFonts w:eastAsia="Times New Roman" w:cs="Times New Roman"/>
                <w:color w:val="000000"/>
                <w:sz w:val="16"/>
                <w:szCs w:val="16"/>
                <w:lang w:val="es-419" w:eastAsia="es-419"/>
              </w:rPr>
            </w:pPr>
            <w:r w:rsidRPr="00520A6E">
              <w:rPr>
                <w:rFonts w:eastAsia="Times New Roman" w:cs="Times New Roman"/>
                <w:color w:val="000000"/>
                <w:sz w:val="16"/>
                <w:szCs w:val="16"/>
                <w:lang w:val="es-419" w:eastAsia="es-419"/>
              </w:rPr>
              <w:t xml:space="preserve">47.810.341.701 </w:t>
            </w:r>
          </w:p>
        </w:tc>
      </w:tr>
      <w:tr w:rsidR="001D0619" w:rsidRPr="00951AB1" w14:paraId="33400073" w14:textId="77777777" w:rsidTr="001D0619">
        <w:trPr>
          <w:cantSplit/>
          <w:trHeight w:val="290"/>
        </w:trPr>
        <w:tc>
          <w:tcPr>
            <w:tcW w:w="131" w:type="pct"/>
            <w:tcBorders>
              <w:top w:val="nil"/>
              <w:left w:val="single" w:sz="4" w:space="0" w:color="A6A6A6"/>
              <w:bottom w:val="single" w:sz="4" w:space="0" w:color="A6A6A6"/>
              <w:right w:val="nil"/>
            </w:tcBorders>
            <w:noWrap/>
            <w:vAlign w:val="center"/>
            <w:hideMark/>
          </w:tcPr>
          <w:p w14:paraId="0F86F1DD" w14:textId="77777777" w:rsidR="00CA0E31" w:rsidRPr="00520A6E" w:rsidRDefault="00CA0E31" w:rsidP="000A5389">
            <w:pPr>
              <w:spacing w:line="240" w:lineRule="auto"/>
              <w:jc w:val="center"/>
              <w:rPr>
                <w:rFonts w:eastAsia="Times New Roman" w:cs="Times New Roman"/>
                <w:sz w:val="16"/>
                <w:szCs w:val="16"/>
                <w:lang w:val="es-419" w:eastAsia="es-419"/>
              </w:rPr>
            </w:pPr>
            <w:r w:rsidRPr="00520A6E">
              <w:rPr>
                <w:rFonts w:eastAsia="Times New Roman" w:cs="Times New Roman"/>
                <w:sz w:val="16"/>
                <w:szCs w:val="16"/>
                <w:lang w:val="es-419" w:eastAsia="es-419"/>
              </w:rPr>
              <w:t> </w:t>
            </w:r>
          </w:p>
        </w:tc>
        <w:tc>
          <w:tcPr>
            <w:tcW w:w="102" w:type="pct"/>
            <w:tcBorders>
              <w:top w:val="nil"/>
              <w:left w:val="nil"/>
              <w:bottom w:val="single" w:sz="4" w:space="0" w:color="A6A6A6"/>
              <w:right w:val="nil"/>
            </w:tcBorders>
            <w:noWrap/>
            <w:vAlign w:val="center"/>
            <w:hideMark/>
          </w:tcPr>
          <w:p w14:paraId="46F9685A" w14:textId="77777777" w:rsidR="00CA0E31" w:rsidRPr="00520A6E" w:rsidRDefault="00CA0E31" w:rsidP="000A5389">
            <w:pPr>
              <w:spacing w:line="240" w:lineRule="auto"/>
              <w:rPr>
                <w:rFonts w:eastAsia="Times New Roman" w:cs="Times New Roman"/>
                <w:sz w:val="16"/>
                <w:szCs w:val="16"/>
                <w:lang w:val="es-419" w:eastAsia="es-419"/>
              </w:rPr>
            </w:pPr>
            <w:r w:rsidRPr="00520A6E">
              <w:rPr>
                <w:rFonts w:eastAsia="Times New Roman" w:cs="Times New Roman"/>
                <w:sz w:val="16"/>
                <w:szCs w:val="16"/>
                <w:lang w:val="es-419" w:eastAsia="es-419"/>
              </w:rPr>
              <w:t> </w:t>
            </w:r>
          </w:p>
        </w:tc>
        <w:tc>
          <w:tcPr>
            <w:tcW w:w="92" w:type="pct"/>
            <w:tcBorders>
              <w:top w:val="nil"/>
              <w:left w:val="nil"/>
              <w:bottom w:val="single" w:sz="4" w:space="0" w:color="A6A6A6"/>
              <w:right w:val="nil"/>
            </w:tcBorders>
            <w:noWrap/>
            <w:vAlign w:val="center"/>
            <w:hideMark/>
          </w:tcPr>
          <w:p w14:paraId="69251FF5" w14:textId="77777777" w:rsidR="00CA0E31" w:rsidRPr="00520A6E" w:rsidRDefault="00CA0E31" w:rsidP="000A5389">
            <w:pPr>
              <w:spacing w:line="240" w:lineRule="auto"/>
              <w:jc w:val="center"/>
              <w:rPr>
                <w:rFonts w:eastAsia="Times New Roman" w:cs="Times New Roman"/>
                <w:sz w:val="16"/>
                <w:szCs w:val="16"/>
                <w:lang w:val="es-419" w:eastAsia="es-419"/>
              </w:rPr>
            </w:pPr>
            <w:r w:rsidRPr="00520A6E">
              <w:rPr>
                <w:rFonts w:eastAsia="Times New Roman" w:cs="Times New Roman"/>
                <w:sz w:val="16"/>
                <w:szCs w:val="16"/>
                <w:lang w:val="es-419" w:eastAsia="es-419"/>
              </w:rPr>
              <w:t>-</w:t>
            </w:r>
          </w:p>
        </w:tc>
        <w:tc>
          <w:tcPr>
            <w:tcW w:w="1093" w:type="pct"/>
            <w:tcBorders>
              <w:top w:val="nil"/>
              <w:left w:val="nil"/>
              <w:bottom w:val="single" w:sz="4" w:space="0" w:color="A6A6A6"/>
              <w:right w:val="single" w:sz="4" w:space="0" w:color="A6A6A6"/>
            </w:tcBorders>
            <w:vAlign w:val="center"/>
            <w:hideMark/>
          </w:tcPr>
          <w:p w14:paraId="5047DCFC" w14:textId="77777777" w:rsidR="00CA0E31" w:rsidRPr="00520A6E" w:rsidRDefault="00CA0E31" w:rsidP="000A5389">
            <w:pPr>
              <w:spacing w:line="240" w:lineRule="auto"/>
              <w:rPr>
                <w:rFonts w:eastAsia="Times New Roman" w:cs="Times New Roman"/>
                <w:sz w:val="16"/>
                <w:szCs w:val="16"/>
                <w:lang w:val="es-419" w:eastAsia="es-419"/>
              </w:rPr>
            </w:pPr>
            <w:r w:rsidRPr="00520A6E">
              <w:rPr>
                <w:rFonts w:eastAsia="Times New Roman" w:cs="Times New Roman"/>
                <w:sz w:val="16"/>
                <w:szCs w:val="16"/>
                <w:lang w:val="es-419" w:eastAsia="es-419"/>
              </w:rPr>
              <w:t>Ajustes/Reclasificaciones en salidas (CR)</w:t>
            </w:r>
          </w:p>
        </w:tc>
        <w:tc>
          <w:tcPr>
            <w:tcW w:w="864" w:type="pct"/>
            <w:tcBorders>
              <w:top w:val="nil"/>
              <w:left w:val="nil"/>
              <w:bottom w:val="single" w:sz="4" w:space="0" w:color="A6A6A6"/>
              <w:right w:val="single" w:sz="4" w:space="0" w:color="A6A6A6"/>
            </w:tcBorders>
            <w:noWrap/>
            <w:vAlign w:val="center"/>
            <w:hideMark/>
          </w:tcPr>
          <w:p w14:paraId="6FF5875C" w14:textId="77777777" w:rsidR="00CA0E31" w:rsidRPr="00520A6E" w:rsidRDefault="00CA0E31" w:rsidP="000A5389">
            <w:pPr>
              <w:spacing w:line="240" w:lineRule="auto"/>
              <w:jc w:val="right"/>
              <w:rPr>
                <w:rFonts w:eastAsia="Times New Roman" w:cs="Times New Roman"/>
                <w:color w:val="000000"/>
                <w:sz w:val="16"/>
                <w:szCs w:val="16"/>
                <w:lang w:val="es-419" w:eastAsia="es-419"/>
              </w:rPr>
            </w:pPr>
            <w:r w:rsidRPr="00520A6E">
              <w:rPr>
                <w:rFonts w:eastAsia="Times New Roman" w:cs="Times New Roman"/>
                <w:color w:val="000000"/>
                <w:sz w:val="16"/>
                <w:szCs w:val="16"/>
                <w:lang w:val="es-419" w:eastAsia="es-419"/>
              </w:rPr>
              <w:t xml:space="preserve">52.930.820.748 </w:t>
            </w:r>
          </w:p>
        </w:tc>
        <w:tc>
          <w:tcPr>
            <w:tcW w:w="914" w:type="pct"/>
            <w:tcBorders>
              <w:top w:val="nil"/>
              <w:left w:val="nil"/>
              <w:bottom w:val="single" w:sz="4" w:space="0" w:color="A6A6A6"/>
              <w:right w:val="single" w:sz="4" w:space="0" w:color="A6A6A6"/>
            </w:tcBorders>
            <w:noWrap/>
            <w:vAlign w:val="center"/>
            <w:hideMark/>
          </w:tcPr>
          <w:p w14:paraId="3956D021" w14:textId="77777777" w:rsidR="00CA0E31" w:rsidRPr="00520A6E" w:rsidRDefault="00CA0E31" w:rsidP="000A5389">
            <w:pPr>
              <w:spacing w:line="240" w:lineRule="auto"/>
              <w:jc w:val="right"/>
              <w:rPr>
                <w:rFonts w:eastAsia="Times New Roman" w:cs="Times New Roman"/>
                <w:color w:val="000000"/>
                <w:sz w:val="16"/>
                <w:szCs w:val="16"/>
                <w:lang w:val="es-419" w:eastAsia="es-419"/>
              </w:rPr>
            </w:pPr>
            <w:r w:rsidRPr="00520A6E">
              <w:rPr>
                <w:rFonts w:eastAsia="Times New Roman" w:cs="Times New Roman"/>
                <w:color w:val="000000"/>
                <w:sz w:val="16"/>
                <w:szCs w:val="16"/>
                <w:lang w:val="es-419" w:eastAsia="es-419"/>
              </w:rPr>
              <w:t xml:space="preserve">0 </w:t>
            </w:r>
          </w:p>
        </w:tc>
        <w:tc>
          <w:tcPr>
            <w:tcW w:w="825" w:type="pct"/>
            <w:tcBorders>
              <w:top w:val="nil"/>
              <w:left w:val="nil"/>
              <w:bottom w:val="single" w:sz="4" w:space="0" w:color="A6A6A6"/>
              <w:right w:val="single" w:sz="4" w:space="0" w:color="A6A6A6"/>
            </w:tcBorders>
            <w:noWrap/>
            <w:vAlign w:val="center"/>
            <w:hideMark/>
          </w:tcPr>
          <w:p w14:paraId="527B57A1" w14:textId="77777777" w:rsidR="00CA0E31" w:rsidRPr="00520A6E" w:rsidRDefault="00CA0E31" w:rsidP="000A5389">
            <w:pPr>
              <w:spacing w:line="240" w:lineRule="auto"/>
              <w:jc w:val="right"/>
              <w:rPr>
                <w:rFonts w:eastAsia="Times New Roman" w:cs="Times New Roman"/>
                <w:color w:val="000000"/>
                <w:sz w:val="16"/>
                <w:szCs w:val="16"/>
                <w:lang w:val="es-419" w:eastAsia="es-419"/>
              </w:rPr>
            </w:pPr>
            <w:r w:rsidRPr="00520A6E">
              <w:rPr>
                <w:rFonts w:eastAsia="Times New Roman" w:cs="Times New Roman"/>
                <w:color w:val="000000"/>
                <w:sz w:val="16"/>
                <w:szCs w:val="16"/>
                <w:lang w:val="es-419" w:eastAsia="es-419"/>
              </w:rPr>
              <w:t xml:space="preserve">0 </w:t>
            </w:r>
          </w:p>
        </w:tc>
        <w:tc>
          <w:tcPr>
            <w:tcW w:w="979" w:type="pct"/>
            <w:tcBorders>
              <w:top w:val="nil"/>
              <w:left w:val="nil"/>
              <w:bottom w:val="single" w:sz="4" w:space="0" w:color="A6A6A6"/>
              <w:right w:val="single" w:sz="4" w:space="0" w:color="A6A6A6"/>
            </w:tcBorders>
            <w:noWrap/>
            <w:vAlign w:val="center"/>
            <w:hideMark/>
          </w:tcPr>
          <w:p w14:paraId="60DDACEE" w14:textId="77777777" w:rsidR="00CA0E31" w:rsidRPr="00520A6E" w:rsidRDefault="00CA0E31" w:rsidP="000A5389">
            <w:pPr>
              <w:spacing w:line="240" w:lineRule="auto"/>
              <w:jc w:val="right"/>
              <w:rPr>
                <w:rFonts w:eastAsia="Times New Roman" w:cs="Times New Roman"/>
                <w:b/>
                <w:bCs/>
                <w:color w:val="000000"/>
                <w:sz w:val="16"/>
                <w:szCs w:val="16"/>
                <w:lang w:val="es-419" w:eastAsia="es-419"/>
              </w:rPr>
            </w:pPr>
            <w:r w:rsidRPr="00520A6E">
              <w:rPr>
                <w:rFonts w:eastAsia="Times New Roman" w:cs="Times New Roman"/>
                <w:b/>
                <w:bCs/>
                <w:color w:val="000000"/>
                <w:sz w:val="16"/>
                <w:szCs w:val="16"/>
                <w:lang w:val="es-419" w:eastAsia="es-419"/>
              </w:rPr>
              <w:t xml:space="preserve">52.930.820.748 </w:t>
            </w:r>
          </w:p>
        </w:tc>
      </w:tr>
      <w:tr w:rsidR="001D0619" w:rsidRPr="00951AB1" w14:paraId="5E52CB39" w14:textId="77777777" w:rsidTr="001D0619">
        <w:trPr>
          <w:cantSplit/>
          <w:trHeight w:val="290"/>
        </w:trPr>
        <w:tc>
          <w:tcPr>
            <w:tcW w:w="131" w:type="pct"/>
            <w:tcBorders>
              <w:top w:val="nil"/>
              <w:left w:val="single" w:sz="4" w:space="0" w:color="A6A6A6"/>
              <w:bottom w:val="single" w:sz="4" w:space="0" w:color="A6A6A6"/>
              <w:right w:val="nil"/>
            </w:tcBorders>
            <w:noWrap/>
            <w:vAlign w:val="center"/>
            <w:hideMark/>
          </w:tcPr>
          <w:p w14:paraId="395E1B63" w14:textId="77777777" w:rsidR="00CA0E31" w:rsidRPr="00520A6E" w:rsidRDefault="00CA0E31" w:rsidP="000A5389">
            <w:pPr>
              <w:spacing w:line="240" w:lineRule="auto"/>
              <w:jc w:val="center"/>
              <w:rPr>
                <w:rFonts w:eastAsia="Times New Roman" w:cs="Times New Roman"/>
                <w:sz w:val="16"/>
                <w:szCs w:val="16"/>
                <w:lang w:val="es-419" w:eastAsia="es-419"/>
              </w:rPr>
            </w:pPr>
            <w:r w:rsidRPr="00520A6E">
              <w:rPr>
                <w:rFonts w:eastAsia="Times New Roman" w:cs="Times New Roman"/>
                <w:sz w:val="16"/>
                <w:szCs w:val="16"/>
                <w:lang w:val="es-419" w:eastAsia="es-419"/>
              </w:rPr>
              <w:t> </w:t>
            </w:r>
          </w:p>
        </w:tc>
        <w:tc>
          <w:tcPr>
            <w:tcW w:w="102" w:type="pct"/>
            <w:tcBorders>
              <w:top w:val="nil"/>
              <w:left w:val="nil"/>
              <w:bottom w:val="single" w:sz="4" w:space="0" w:color="A6A6A6"/>
              <w:right w:val="nil"/>
            </w:tcBorders>
            <w:noWrap/>
            <w:vAlign w:val="center"/>
            <w:hideMark/>
          </w:tcPr>
          <w:p w14:paraId="6A4D761C" w14:textId="77777777" w:rsidR="00CA0E31" w:rsidRPr="00520A6E" w:rsidRDefault="00CA0E31" w:rsidP="000A5389">
            <w:pPr>
              <w:spacing w:line="240" w:lineRule="auto"/>
              <w:rPr>
                <w:rFonts w:eastAsia="Times New Roman" w:cs="Times New Roman"/>
                <w:sz w:val="16"/>
                <w:szCs w:val="16"/>
                <w:lang w:val="es-419" w:eastAsia="es-419"/>
              </w:rPr>
            </w:pPr>
            <w:r w:rsidRPr="00520A6E">
              <w:rPr>
                <w:rFonts w:eastAsia="Times New Roman" w:cs="Times New Roman"/>
                <w:sz w:val="16"/>
                <w:szCs w:val="16"/>
                <w:lang w:val="es-419" w:eastAsia="es-419"/>
              </w:rPr>
              <w:t> </w:t>
            </w:r>
          </w:p>
        </w:tc>
        <w:tc>
          <w:tcPr>
            <w:tcW w:w="92" w:type="pct"/>
            <w:tcBorders>
              <w:top w:val="nil"/>
              <w:left w:val="nil"/>
              <w:bottom w:val="single" w:sz="4" w:space="0" w:color="A6A6A6"/>
              <w:right w:val="nil"/>
            </w:tcBorders>
            <w:noWrap/>
            <w:vAlign w:val="center"/>
            <w:hideMark/>
          </w:tcPr>
          <w:p w14:paraId="38B90583" w14:textId="77777777" w:rsidR="00CA0E31" w:rsidRPr="00520A6E" w:rsidRDefault="00CA0E31" w:rsidP="000A5389">
            <w:pPr>
              <w:spacing w:line="240" w:lineRule="auto"/>
              <w:jc w:val="center"/>
              <w:rPr>
                <w:rFonts w:eastAsia="Times New Roman" w:cs="Times New Roman"/>
                <w:sz w:val="16"/>
                <w:szCs w:val="16"/>
                <w:lang w:val="es-419" w:eastAsia="es-419"/>
              </w:rPr>
            </w:pPr>
            <w:r w:rsidRPr="00520A6E">
              <w:rPr>
                <w:rFonts w:eastAsia="Times New Roman" w:cs="Times New Roman"/>
                <w:sz w:val="16"/>
                <w:szCs w:val="16"/>
                <w:lang w:val="es-419" w:eastAsia="es-419"/>
              </w:rPr>
              <w:t> </w:t>
            </w:r>
          </w:p>
        </w:tc>
        <w:tc>
          <w:tcPr>
            <w:tcW w:w="1093" w:type="pct"/>
            <w:tcBorders>
              <w:top w:val="nil"/>
              <w:left w:val="nil"/>
              <w:bottom w:val="single" w:sz="4" w:space="0" w:color="A6A6A6"/>
              <w:right w:val="single" w:sz="4" w:space="0" w:color="A6A6A6"/>
            </w:tcBorders>
            <w:vAlign w:val="center"/>
            <w:hideMark/>
          </w:tcPr>
          <w:p w14:paraId="2D15374D" w14:textId="77777777" w:rsidR="00CA0E31" w:rsidRPr="00520A6E" w:rsidRDefault="00CA0E31" w:rsidP="000A5389">
            <w:pPr>
              <w:spacing w:line="240" w:lineRule="auto"/>
              <w:rPr>
                <w:rFonts w:eastAsia="Times New Roman" w:cs="Times New Roman"/>
                <w:sz w:val="16"/>
                <w:szCs w:val="16"/>
                <w:lang w:val="es-419" w:eastAsia="es-419"/>
              </w:rPr>
            </w:pPr>
            <w:r w:rsidRPr="00520A6E">
              <w:rPr>
                <w:rFonts w:eastAsia="Times New Roman" w:cs="Times New Roman"/>
                <w:sz w:val="16"/>
                <w:szCs w:val="16"/>
                <w:lang w:val="es-419" w:eastAsia="es-419"/>
              </w:rPr>
              <w:t>* Modo Carretero</w:t>
            </w:r>
          </w:p>
        </w:tc>
        <w:tc>
          <w:tcPr>
            <w:tcW w:w="864" w:type="pct"/>
            <w:tcBorders>
              <w:top w:val="nil"/>
              <w:left w:val="nil"/>
              <w:bottom w:val="single" w:sz="4" w:space="0" w:color="A6A6A6"/>
              <w:right w:val="single" w:sz="4" w:space="0" w:color="A6A6A6"/>
            </w:tcBorders>
            <w:noWrap/>
            <w:vAlign w:val="center"/>
            <w:hideMark/>
          </w:tcPr>
          <w:p w14:paraId="21F74E1B" w14:textId="77777777" w:rsidR="00CA0E31" w:rsidRPr="00520A6E" w:rsidRDefault="00CA0E31" w:rsidP="000A5389">
            <w:pPr>
              <w:spacing w:line="240" w:lineRule="auto"/>
              <w:jc w:val="right"/>
              <w:rPr>
                <w:rFonts w:eastAsia="Times New Roman" w:cs="Times New Roman"/>
                <w:color w:val="000000"/>
                <w:sz w:val="16"/>
                <w:szCs w:val="16"/>
                <w:lang w:val="es-419" w:eastAsia="es-419"/>
              </w:rPr>
            </w:pPr>
            <w:r w:rsidRPr="00520A6E">
              <w:rPr>
                <w:rFonts w:eastAsia="Times New Roman" w:cs="Times New Roman"/>
                <w:color w:val="000000"/>
                <w:sz w:val="16"/>
                <w:szCs w:val="16"/>
                <w:lang w:val="es-419" w:eastAsia="es-419"/>
              </w:rPr>
              <w:t xml:space="preserve">52.930.820.748 </w:t>
            </w:r>
          </w:p>
        </w:tc>
        <w:tc>
          <w:tcPr>
            <w:tcW w:w="914" w:type="pct"/>
            <w:tcBorders>
              <w:top w:val="nil"/>
              <w:left w:val="nil"/>
              <w:bottom w:val="single" w:sz="4" w:space="0" w:color="A6A6A6"/>
              <w:right w:val="single" w:sz="4" w:space="0" w:color="A6A6A6"/>
            </w:tcBorders>
            <w:noWrap/>
            <w:vAlign w:val="center"/>
            <w:hideMark/>
          </w:tcPr>
          <w:p w14:paraId="277C2013" w14:textId="77777777" w:rsidR="00CA0E31" w:rsidRPr="00520A6E" w:rsidRDefault="00CA0E31" w:rsidP="000A5389">
            <w:pPr>
              <w:spacing w:line="240" w:lineRule="auto"/>
              <w:jc w:val="right"/>
              <w:rPr>
                <w:rFonts w:eastAsia="Times New Roman" w:cs="Times New Roman"/>
                <w:color w:val="000000"/>
                <w:sz w:val="16"/>
                <w:szCs w:val="16"/>
                <w:lang w:val="es-419" w:eastAsia="es-419"/>
              </w:rPr>
            </w:pPr>
            <w:r w:rsidRPr="00520A6E">
              <w:rPr>
                <w:rFonts w:eastAsia="Times New Roman" w:cs="Times New Roman"/>
                <w:color w:val="000000"/>
                <w:sz w:val="16"/>
                <w:szCs w:val="16"/>
                <w:lang w:val="es-419" w:eastAsia="es-419"/>
              </w:rPr>
              <w:t xml:space="preserve">0 </w:t>
            </w:r>
          </w:p>
        </w:tc>
        <w:tc>
          <w:tcPr>
            <w:tcW w:w="825" w:type="pct"/>
            <w:tcBorders>
              <w:top w:val="nil"/>
              <w:left w:val="nil"/>
              <w:bottom w:val="single" w:sz="4" w:space="0" w:color="A6A6A6"/>
              <w:right w:val="single" w:sz="4" w:space="0" w:color="A6A6A6"/>
            </w:tcBorders>
            <w:noWrap/>
            <w:vAlign w:val="center"/>
            <w:hideMark/>
          </w:tcPr>
          <w:p w14:paraId="5FE75091" w14:textId="77777777" w:rsidR="00CA0E31" w:rsidRPr="00520A6E" w:rsidRDefault="00CA0E31" w:rsidP="000A5389">
            <w:pPr>
              <w:spacing w:line="240" w:lineRule="auto"/>
              <w:jc w:val="right"/>
              <w:rPr>
                <w:rFonts w:eastAsia="Times New Roman" w:cs="Times New Roman"/>
                <w:color w:val="000000"/>
                <w:sz w:val="16"/>
                <w:szCs w:val="16"/>
                <w:lang w:val="es-419" w:eastAsia="es-419"/>
              </w:rPr>
            </w:pPr>
            <w:r w:rsidRPr="00520A6E">
              <w:rPr>
                <w:rFonts w:eastAsia="Times New Roman" w:cs="Times New Roman"/>
                <w:color w:val="000000"/>
                <w:sz w:val="16"/>
                <w:szCs w:val="16"/>
                <w:lang w:val="es-419" w:eastAsia="es-419"/>
              </w:rPr>
              <w:t xml:space="preserve">0 </w:t>
            </w:r>
          </w:p>
        </w:tc>
        <w:tc>
          <w:tcPr>
            <w:tcW w:w="979" w:type="pct"/>
            <w:tcBorders>
              <w:top w:val="nil"/>
              <w:left w:val="nil"/>
              <w:bottom w:val="single" w:sz="4" w:space="0" w:color="A6A6A6"/>
              <w:right w:val="single" w:sz="4" w:space="0" w:color="A6A6A6"/>
            </w:tcBorders>
            <w:noWrap/>
            <w:vAlign w:val="center"/>
            <w:hideMark/>
          </w:tcPr>
          <w:p w14:paraId="480AB872" w14:textId="77777777" w:rsidR="00CA0E31" w:rsidRPr="00520A6E" w:rsidRDefault="00CA0E31" w:rsidP="000A5389">
            <w:pPr>
              <w:spacing w:line="240" w:lineRule="auto"/>
              <w:jc w:val="right"/>
              <w:rPr>
                <w:rFonts w:eastAsia="Times New Roman" w:cs="Times New Roman"/>
                <w:color w:val="000000"/>
                <w:sz w:val="16"/>
                <w:szCs w:val="16"/>
                <w:lang w:val="es-419" w:eastAsia="es-419"/>
              </w:rPr>
            </w:pPr>
            <w:r w:rsidRPr="00520A6E">
              <w:rPr>
                <w:rFonts w:eastAsia="Times New Roman" w:cs="Times New Roman"/>
                <w:color w:val="000000"/>
                <w:sz w:val="16"/>
                <w:szCs w:val="16"/>
                <w:lang w:val="es-419" w:eastAsia="es-419"/>
              </w:rPr>
              <w:t xml:space="preserve">52.930.820.748 </w:t>
            </w:r>
          </w:p>
        </w:tc>
      </w:tr>
      <w:tr w:rsidR="001D0619" w:rsidRPr="00951AB1" w14:paraId="35F94189" w14:textId="77777777" w:rsidTr="001D0619">
        <w:trPr>
          <w:cantSplit/>
          <w:trHeight w:val="290"/>
        </w:trPr>
        <w:tc>
          <w:tcPr>
            <w:tcW w:w="131" w:type="pct"/>
            <w:tcBorders>
              <w:top w:val="nil"/>
              <w:left w:val="single" w:sz="4" w:space="0" w:color="A6A6A6"/>
              <w:bottom w:val="single" w:sz="4" w:space="0" w:color="A6A6A6"/>
              <w:right w:val="nil"/>
            </w:tcBorders>
            <w:noWrap/>
            <w:vAlign w:val="center"/>
            <w:hideMark/>
          </w:tcPr>
          <w:p w14:paraId="294B336F" w14:textId="77777777" w:rsidR="00CA0E31" w:rsidRPr="00520A6E" w:rsidRDefault="00CA0E31" w:rsidP="000A5389">
            <w:pPr>
              <w:spacing w:line="240" w:lineRule="auto"/>
              <w:jc w:val="center"/>
              <w:rPr>
                <w:rFonts w:eastAsia="Times New Roman" w:cs="Times New Roman"/>
                <w:b/>
                <w:bCs/>
                <w:sz w:val="16"/>
                <w:szCs w:val="16"/>
                <w:lang w:val="es-419" w:eastAsia="es-419"/>
              </w:rPr>
            </w:pPr>
            <w:r w:rsidRPr="00520A6E">
              <w:rPr>
                <w:rFonts w:eastAsia="Times New Roman" w:cs="Times New Roman"/>
                <w:b/>
                <w:bCs/>
                <w:sz w:val="16"/>
                <w:szCs w:val="16"/>
                <w:lang w:val="es-419" w:eastAsia="es-419"/>
              </w:rPr>
              <w:t>=</w:t>
            </w:r>
          </w:p>
        </w:tc>
        <w:tc>
          <w:tcPr>
            <w:tcW w:w="1287" w:type="pct"/>
            <w:gridSpan w:val="3"/>
            <w:tcBorders>
              <w:top w:val="single" w:sz="4" w:space="0" w:color="A6A6A6"/>
              <w:left w:val="nil"/>
              <w:bottom w:val="single" w:sz="4" w:space="0" w:color="A6A6A6"/>
              <w:right w:val="single" w:sz="4" w:space="0" w:color="A6A6A6"/>
            </w:tcBorders>
            <w:vAlign w:val="center"/>
            <w:hideMark/>
          </w:tcPr>
          <w:p w14:paraId="4500E81D" w14:textId="77777777" w:rsidR="00CA0E31" w:rsidRPr="00520A6E" w:rsidRDefault="00CA0E31" w:rsidP="000A5389">
            <w:pPr>
              <w:spacing w:line="240" w:lineRule="auto"/>
              <w:rPr>
                <w:rFonts w:eastAsia="Times New Roman" w:cs="Times New Roman"/>
                <w:b/>
                <w:bCs/>
                <w:sz w:val="16"/>
                <w:szCs w:val="16"/>
                <w:lang w:val="es-419" w:eastAsia="es-419"/>
              </w:rPr>
            </w:pPr>
            <w:r w:rsidRPr="00520A6E">
              <w:rPr>
                <w:rFonts w:eastAsia="Times New Roman" w:cs="Times New Roman"/>
                <w:b/>
                <w:bCs/>
                <w:sz w:val="16"/>
                <w:szCs w:val="16"/>
                <w:lang w:val="es-419" w:eastAsia="es-419"/>
              </w:rPr>
              <w:t>SALDO FINAL</w:t>
            </w:r>
            <w:r w:rsidRPr="00520A6E">
              <w:rPr>
                <w:rFonts w:eastAsia="Times New Roman" w:cs="Times New Roman"/>
                <w:b/>
                <w:bCs/>
                <w:sz w:val="16"/>
                <w:szCs w:val="16"/>
                <w:lang w:val="es-419" w:eastAsia="es-419"/>
              </w:rPr>
              <w:br/>
              <w:t>(Subtotal + Cambios)</w:t>
            </w:r>
          </w:p>
        </w:tc>
        <w:tc>
          <w:tcPr>
            <w:tcW w:w="864" w:type="pct"/>
            <w:tcBorders>
              <w:top w:val="nil"/>
              <w:left w:val="nil"/>
              <w:bottom w:val="single" w:sz="4" w:space="0" w:color="A6A6A6"/>
              <w:right w:val="single" w:sz="4" w:space="0" w:color="A6A6A6"/>
            </w:tcBorders>
            <w:noWrap/>
            <w:vAlign w:val="center"/>
            <w:hideMark/>
          </w:tcPr>
          <w:p w14:paraId="4ED5829E" w14:textId="77777777" w:rsidR="00CA0E31" w:rsidRPr="00520A6E" w:rsidRDefault="00CA0E31" w:rsidP="000A5389">
            <w:pPr>
              <w:spacing w:line="240" w:lineRule="auto"/>
              <w:jc w:val="right"/>
              <w:rPr>
                <w:rFonts w:eastAsia="Times New Roman" w:cs="Times New Roman"/>
                <w:b/>
                <w:bCs/>
                <w:color w:val="000000"/>
                <w:sz w:val="16"/>
                <w:szCs w:val="16"/>
                <w:lang w:val="es-419" w:eastAsia="es-419"/>
              </w:rPr>
            </w:pPr>
            <w:r w:rsidRPr="00520A6E">
              <w:rPr>
                <w:rFonts w:eastAsia="Times New Roman" w:cs="Times New Roman"/>
                <w:b/>
                <w:bCs/>
                <w:color w:val="000000"/>
                <w:sz w:val="16"/>
                <w:szCs w:val="16"/>
                <w:lang w:val="es-419" w:eastAsia="es-419"/>
              </w:rPr>
              <w:t xml:space="preserve">44.749.564.676.879 </w:t>
            </w:r>
          </w:p>
        </w:tc>
        <w:tc>
          <w:tcPr>
            <w:tcW w:w="914" w:type="pct"/>
            <w:tcBorders>
              <w:top w:val="nil"/>
              <w:left w:val="nil"/>
              <w:bottom w:val="single" w:sz="4" w:space="0" w:color="A6A6A6"/>
              <w:right w:val="single" w:sz="4" w:space="0" w:color="A6A6A6"/>
            </w:tcBorders>
            <w:noWrap/>
            <w:vAlign w:val="center"/>
            <w:hideMark/>
          </w:tcPr>
          <w:p w14:paraId="7000B852" w14:textId="77777777" w:rsidR="00CA0E31" w:rsidRPr="00520A6E" w:rsidRDefault="00CA0E31" w:rsidP="000A5389">
            <w:pPr>
              <w:spacing w:line="240" w:lineRule="auto"/>
              <w:jc w:val="right"/>
              <w:rPr>
                <w:rFonts w:eastAsia="Times New Roman" w:cs="Times New Roman"/>
                <w:b/>
                <w:bCs/>
                <w:color w:val="000000"/>
                <w:sz w:val="16"/>
                <w:szCs w:val="16"/>
                <w:lang w:val="es-419" w:eastAsia="es-419"/>
              </w:rPr>
            </w:pPr>
            <w:r w:rsidRPr="00520A6E">
              <w:rPr>
                <w:rFonts w:eastAsia="Times New Roman" w:cs="Times New Roman"/>
                <w:b/>
                <w:bCs/>
                <w:color w:val="000000"/>
                <w:sz w:val="16"/>
                <w:szCs w:val="16"/>
                <w:lang w:val="es-419" w:eastAsia="es-419"/>
              </w:rPr>
              <w:t xml:space="preserve">32.328.211.194.834 </w:t>
            </w:r>
          </w:p>
        </w:tc>
        <w:tc>
          <w:tcPr>
            <w:tcW w:w="825" w:type="pct"/>
            <w:tcBorders>
              <w:top w:val="nil"/>
              <w:left w:val="nil"/>
              <w:bottom w:val="single" w:sz="4" w:space="0" w:color="A6A6A6"/>
              <w:right w:val="single" w:sz="4" w:space="0" w:color="A6A6A6"/>
            </w:tcBorders>
            <w:noWrap/>
            <w:vAlign w:val="center"/>
            <w:hideMark/>
          </w:tcPr>
          <w:p w14:paraId="66AC0238" w14:textId="77777777" w:rsidR="00CA0E31" w:rsidRPr="00520A6E" w:rsidRDefault="00CA0E31" w:rsidP="000A5389">
            <w:pPr>
              <w:spacing w:line="240" w:lineRule="auto"/>
              <w:jc w:val="right"/>
              <w:rPr>
                <w:rFonts w:eastAsia="Times New Roman" w:cs="Times New Roman"/>
                <w:b/>
                <w:bCs/>
                <w:color w:val="000000"/>
                <w:sz w:val="16"/>
                <w:szCs w:val="16"/>
                <w:lang w:val="es-419" w:eastAsia="es-419"/>
              </w:rPr>
            </w:pPr>
            <w:r w:rsidRPr="00520A6E">
              <w:rPr>
                <w:rFonts w:eastAsia="Times New Roman" w:cs="Times New Roman"/>
                <w:b/>
                <w:bCs/>
                <w:color w:val="000000"/>
                <w:sz w:val="16"/>
                <w:szCs w:val="16"/>
                <w:lang w:val="es-419" w:eastAsia="es-419"/>
              </w:rPr>
              <w:t xml:space="preserve">786.562.628.044 </w:t>
            </w:r>
          </w:p>
        </w:tc>
        <w:tc>
          <w:tcPr>
            <w:tcW w:w="979" w:type="pct"/>
            <w:tcBorders>
              <w:top w:val="nil"/>
              <w:left w:val="nil"/>
              <w:bottom w:val="single" w:sz="4" w:space="0" w:color="A6A6A6"/>
              <w:right w:val="single" w:sz="4" w:space="0" w:color="A6A6A6"/>
            </w:tcBorders>
            <w:noWrap/>
            <w:vAlign w:val="center"/>
            <w:hideMark/>
          </w:tcPr>
          <w:p w14:paraId="6FDE15DA" w14:textId="77777777" w:rsidR="00CA0E31" w:rsidRPr="00520A6E" w:rsidRDefault="00CA0E31" w:rsidP="000A5389">
            <w:pPr>
              <w:spacing w:line="240" w:lineRule="auto"/>
              <w:jc w:val="right"/>
              <w:rPr>
                <w:rFonts w:eastAsia="Times New Roman" w:cs="Times New Roman"/>
                <w:b/>
                <w:bCs/>
                <w:color w:val="000000"/>
                <w:sz w:val="16"/>
                <w:szCs w:val="16"/>
                <w:lang w:val="es-419" w:eastAsia="es-419"/>
              </w:rPr>
            </w:pPr>
            <w:r w:rsidRPr="00520A6E">
              <w:rPr>
                <w:rFonts w:eastAsia="Times New Roman" w:cs="Times New Roman"/>
                <w:b/>
                <w:bCs/>
                <w:color w:val="000000"/>
                <w:sz w:val="16"/>
                <w:szCs w:val="16"/>
                <w:lang w:val="es-419" w:eastAsia="es-419"/>
              </w:rPr>
              <w:t xml:space="preserve">77.864.338.499.758 </w:t>
            </w:r>
          </w:p>
        </w:tc>
      </w:tr>
      <w:tr w:rsidR="001D0619" w:rsidRPr="00951AB1" w14:paraId="313F7A3C" w14:textId="77777777" w:rsidTr="001D0619">
        <w:trPr>
          <w:cantSplit/>
          <w:trHeight w:val="290"/>
        </w:trPr>
        <w:tc>
          <w:tcPr>
            <w:tcW w:w="131" w:type="pct"/>
            <w:tcBorders>
              <w:top w:val="nil"/>
              <w:left w:val="single" w:sz="4" w:space="0" w:color="A6A6A6"/>
              <w:bottom w:val="single" w:sz="4" w:space="0" w:color="A6A6A6"/>
              <w:right w:val="nil"/>
            </w:tcBorders>
            <w:noWrap/>
            <w:vAlign w:val="center"/>
            <w:hideMark/>
          </w:tcPr>
          <w:p w14:paraId="3653E9A1" w14:textId="77777777" w:rsidR="00CA0E31" w:rsidRPr="00520A6E" w:rsidRDefault="00CA0E31" w:rsidP="000A5389">
            <w:pPr>
              <w:spacing w:line="240" w:lineRule="auto"/>
              <w:jc w:val="center"/>
              <w:rPr>
                <w:rFonts w:eastAsia="Times New Roman" w:cs="Times New Roman"/>
                <w:b/>
                <w:bCs/>
                <w:sz w:val="16"/>
                <w:szCs w:val="16"/>
                <w:lang w:val="es-419" w:eastAsia="es-419"/>
              </w:rPr>
            </w:pPr>
            <w:r w:rsidRPr="00520A6E">
              <w:rPr>
                <w:rFonts w:eastAsia="Times New Roman" w:cs="Times New Roman"/>
                <w:b/>
                <w:bCs/>
                <w:sz w:val="16"/>
                <w:szCs w:val="16"/>
                <w:lang w:val="es-419" w:eastAsia="es-419"/>
              </w:rPr>
              <w:t>-</w:t>
            </w:r>
          </w:p>
        </w:tc>
        <w:tc>
          <w:tcPr>
            <w:tcW w:w="1287" w:type="pct"/>
            <w:gridSpan w:val="3"/>
            <w:tcBorders>
              <w:top w:val="single" w:sz="4" w:space="0" w:color="A6A6A6"/>
              <w:left w:val="nil"/>
              <w:bottom w:val="single" w:sz="4" w:space="0" w:color="A6A6A6"/>
              <w:right w:val="single" w:sz="4" w:space="0" w:color="A6A6A6"/>
            </w:tcBorders>
            <w:vAlign w:val="center"/>
            <w:hideMark/>
          </w:tcPr>
          <w:p w14:paraId="4C369C8E" w14:textId="77777777" w:rsidR="00CA0E31" w:rsidRPr="00520A6E" w:rsidRDefault="00CA0E31" w:rsidP="000A5389">
            <w:pPr>
              <w:spacing w:line="240" w:lineRule="auto"/>
              <w:rPr>
                <w:rFonts w:eastAsia="Times New Roman" w:cs="Times New Roman"/>
                <w:b/>
                <w:bCs/>
                <w:sz w:val="16"/>
                <w:szCs w:val="16"/>
                <w:lang w:val="es-419" w:eastAsia="es-419"/>
              </w:rPr>
            </w:pPr>
            <w:r w:rsidRPr="00520A6E">
              <w:rPr>
                <w:rFonts w:eastAsia="Times New Roman" w:cs="Times New Roman"/>
                <w:b/>
                <w:bCs/>
                <w:sz w:val="16"/>
                <w:szCs w:val="16"/>
                <w:lang w:val="es-419" w:eastAsia="es-419"/>
              </w:rPr>
              <w:t>DEPRECIACIÓN ACUMULADA (DA)</w:t>
            </w:r>
          </w:p>
        </w:tc>
        <w:tc>
          <w:tcPr>
            <w:tcW w:w="864" w:type="pct"/>
            <w:tcBorders>
              <w:top w:val="nil"/>
              <w:left w:val="nil"/>
              <w:bottom w:val="single" w:sz="4" w:space="0" w:color="A6A6A6"/>
              <w:right w:val="single" w:sz="4" w:space="0" w:color="A6A6A6"/>
            </w:tcBorders>
            <w:noWrap/>
            <w:vAlign w:val="center"/>
            <w:hideMark/>
          </w:tcPr>
          <w:p w14:paraId="6620CFF8" w14:textId="77777777" w:rsidR="00CA0E31" w:rsidRPr="00520A6E" w:rsidRDefault="00CA0E31" w:rsidP="000A5389">
            <w:pPr>
              <w:spacing w:line="240" w:lineRule="auto"/>
              <w:jc w:val="right"/>
              <w:rPr>
                <w:rFonts w:eastAsia="Times New Roman" w:cs="Times New Roman"/>
                <w:b/>
                <w:bCs/>
                <w:color w:val="000000"/>
                <w:sz w:val="16"/>
                <w:szCs w:val="16"/>
                <w:lang w:val="es-419" w:eastAsia="es-419"/>
              </w:rPr>
            </w:pPr>
            <w:r w:rsidRPr="00520A6E">
              <w:rPr>
                <w:rFonts w:eastAsia="Times New Roman" w:cs="Times New Roman"/>
                <w:b/>
                <w:bCs/>
                <w:color w:val="000000"/>
                <w:sz w:val="16"/>
                <w:szCs w:val="16"/>
                <w:lang w:val="es-419" w:eastAsia="es-419"/>
              </w:rPr>
              <w:t xml:space="preserve">172.658.094.155 </w:t>
            </w:r>
          </w:p>
        </w:tc>
        <w:tc>
          <w:tcPr>
            <w:tcW w:w="914" w:type="pct"/>
            <w:tcBorders>
              <w:top w:val="nil"/>
              <w:left w:val="nil"/>
              <w:bottom w:val="single" w:sz="4" w:space="0" w:color="A6A6A6"/>
              <w:right w:val="single" w:sz="4" w:space="0" w:color="A6A6A6"/>
            </w:tcBorders>
            <w:noWrap/>
            <w:vAlign w:val="center"/>
            <w:hideMark/>
          </w:tcPr>
          <w:p w14:paraId="13D75BE0" w14:textId="77777777" w:rsidR="00CA0E31" w:rsidRPr="00520A6E" w:rsidRDefault="00CA0E31" w:rsidP="000A5389">
            <w:pPr>
              <w:spacing w:line="240" w:lineRule="auto"/>
              <w:jc w:val="right"/>
              <w:rPr>
                <w:rFonts w:eastAsia="Times New Roman" w:cs="Times New Roman"/>
                <w:b/>
                <w:bCs/>
                <w:color w:val="000000"/>
                <w:sz w:val="16"/>
                <w:szCs w:val="16"/>
                <w:lang w:val="es-419" w:eastAsia="es-419"/>
              </w:rPr>
            </w:pPr>
            <w:r w:rsidRPr="00520A6E">
              <w:rPr>
                <w:rFonts w:eastAsia="Times New Roman" w:cs="Times New Roman"/>
                <w:b/>
                <w:bCs/>
                <w:color w:val="000000"/>
                <w:sz w:val="16"/>
                <w:szCs w:val="16"/>
                <w:lang w:val="es-419" w:eastAsia="es-419"/>
              </w:rPr>
              <w:t xml:space="preserve">0 </w:t>
            </w:r>
          </w:p>
        </w:tc>
        <w:tc>
          <w:tcPr>
            <w:tcW w:w="825" w:type="pct"/>
            <w:tcBorders>
              <w:top w:val="nil"/>
              <w:left w:val="nil"/>
              <w:bottom w:val="single" w:sz="4" w:space="0" w:color="A6A6A6"/>
              <w:right w:val="single" w:sz="4" w:space="0" w:color="A6A6A6"/>
            </w:tcBorders>
            <w:noWrap/>
            <w:vAlign w:val="center"/>
            <w:hideMark/>
          </w:tcPr>
          <w:p w14:paraId="47EC60BD" w14:textId="77777777" w:rsidR="00CA0E31" w:rsidRPr="00520A6E" w:rsidRDefault="00CA0E31" w:rsidP="000A5389">
            <w:pPr>
              <w:spacing w:line="240" w:lineRule="auto"/>
              <w:jc w:val="right"/>
              <w:rPr>
                <w:rFonts w:eastAsia="Times New Roman" w:cs="Times New Roman"/>
                <w:b/>
                <w:bCs/>
                <w:color w:val="000000"/>
                <w:sz w:val="16"/>
                <w:szCs w:val="16"/>
                <w:lang w:val="es-419" w:eastAsia="es-419"/>
              </w:rPr>
            </w:pPr>
            <w:r w:rsidRPr="00520A6E">
              <w:rPr>
                <w:rFonts w:eastAsia="Times New Roman" w:cs="Times New Roman"/>
                <w:b/>
                <w:bCs/>
                <w:color w:val="000000"/>
                <w:sz w:val="16"/>
                <w:szCs w:val="16"/>
                <w:lang w:val="es-419" w:eastAsia="es-419"/>
              </w:rPr>
              <w:t xml:space="preserve">639.211.425.528 </w:t>
            </w:r>
          </w:p>
        </w:tc>
        <w:tc>
          <w:tcPr>
            <w:tcW w:w="979" w:type="pct"/>
            <w:tcBorders>
              <w:top w:val="nil"/>
              <w:left w:val="nil"/>
              <w:bottom w:val="single" w:sz="4" w:space="0" w:color="A6A6A6"/>
              <w:right w:val="single" w:sz="4" w:space="0" w:color="A6A6A6"/>
            </w:tcBorders>
            <w:noWrap/>
            <w:vAlign w:val="center"/>
            <w:hideMark/>
          </w:tcPr>
          <w:p w14:paraId="52480D9F" w14:textId="77777777" w:rsidR="00CA0E31" w:rsidRPr="00520A6E" w:rsidRDefault="00CA0E31" w:rsidP="000A5389">
            <w:pPr>
              <w:spacing w:line="240" w:lineRule="auto"/>
              <w:jc w:val="right"/>
              <w:rPr>
                <w:rFonts w:eastAsia="Times New Roman" w:cs="Times New Roman"/>
                <w:b/>
                <w:bCs/>
                <w:color w:val="000000"/>
                <w:sz w:val="16"/>
                <w:szCs w:val="16"/>
                <w:lang w:val="es-419" w:eastAsia="es-419"/>
              </w:rPr>
            </w:pPr>
            <w:r w:rsidRPr="00520A6E">
              <w:rPr>
                <w:rFonts w:eastAsia="Times New Roman" w:cs="Times New Roman"/>
                <w:b/>
                <w:bCs/>
                <w:color w:val="000000"/>
                <w:sz w:val="16"/>
                <w:szCs w:val="16"/>
                <w:lang w:val="es-419" w:eastAsia="es-419"/>
              </w:rPr>
              <w:t xml:space="preserve">811.869.519.682 </w:t>
            </w:r>
          </w:p>
        </w:tc>
      </w:tr>
      <w:tr w:rsidR="001D0619" w:rsidRPr="00951AB1" w14:paraId="40697131" w14:textId="77777777" w:rsidTr="001D0619">
        <w:trPr>
          <w:cantSplit/>
          <w:trHeight w:val="290"/>
        </w:trPr>
        <w:tc>
          <w:tcPr>
            <w:tcW w:w="131" w:type="pct"/>
            <w:tcBorders>
              <w:top w:val="nil"/>
              <w:left w:val="single" w:sz="4" w:space="0" w:color="A6A6A6"/>
              <w:bottom w:val="single" w:sz="4" w:space="0" w:color="A6A6A6"/>
              <w:right w:val="nil"/>
            </w:tcBorders>
            <w:noWrap/>
            <w:vAlign w:val="center"/>
            <w:hideMark/>
          </w:tcPr>
          <w:p w14:paraId="6B4111BB" w14:textId="77777777" w:rsidR="00CA0E31" w:rsidRPr="00520A6E" w:rsidRDefault="00CA0E31" w:rsidP="000A5389">
            <w:pPr>
              <w:spacing w:line="240" w:lineRule="auto"/>
              <w:jc w:val="center"/>
              <w:rPr>
                <w:rFonts w:eastAsia="Times New Roman" w:cs="Times New Roman"/>
                <w:sz w:val="16"/>
                <w:szCs w:val="16"/>
                <w:lang w:val="es-419" w:eastAsia="es-419"/>
              </w:rPr>
            </w:pPr>
            <w:r w:rsidRPr="00520A6E">
              <w:rPr>
                <w:rFonts w:eastAsia="Times New Roman" w:cs="Times New Roman"/>
                <w:sz w:val="16"/>
                <w:szCs w:val="16"/>
                <w:lang w:val="es-419" w:eastAsia="es-419"/>
              </w:rPr>
              <w:t> </w:t>
            </w:r>
          </w:p>
        </w:tc>
        <w:tc>
          <w:tcPr>
            <w:tcW w:w="102" w:type="pct"/>
            <w:tcBorders>
              <w:top w:val="nil"/>
              <w:left w:val="nil"/>
              <w:bottom w:val="single" w:sz="4" w:space="0" w:color="A6A6A6"/>
              <w:right w:val="nil"/>
            </w:tcBorders>
            <w:noWrap/>
            <w:vAlign w:val="center"/>
            <w:hideMark/>
          </w:tcPr>
          <w:p w14:paraId="3A522D24" w14:textId="77777777" w:rsidR="00CA0E31" w:rsidRPr="00520A6E" w:rsidRDefault="00CA0E31" w:rsidP="000A5389">
            <w:pPr>
              <w:spacing w:line="240" w:lineRule="auto"/>
              <w:rPr>
                <w:rFonts w:eastAsia="Times New Roman" w:cs="Times New Roman"/>
                <w:sz w:val="16"/>
                <w:szCs w:val="16"/>
                <w:lang w:val="es-419" w:eastAsia="es-419"/>
              </w:rPr>
            </w:pPr>
            <w:r w:rsidRPr="00520A6E">
              <w:rPr>
                <w:rFonts w:eastAsia="Times New Roman" w:cs="Times New Roman"/>
                <w:sz w:val="16"/>
                <w:szCs w:val="16"/>
                <w:lang w:val="es-419" w:eastAsia="es-419"/>
              </w:rPr>
              <w:t> </w:t>
            </w:r>
          </w:p>
        </w:tc>
        <w:tc>
          <w:tcPr>
            <w:tcW w:w="92" w:type="pct"/>
            <w:tcBorders>
              <w:top w:val="nil"/>
              <w:left w:val="nil"/>
              <w:bottom w:val="single" w:sz="4" w:space="0" w:color="A6A6A6"/>
              <w:right w:val="nil"/>
            </w:tcBorders>
            <w:noWrap/>
            <w:vAlign w:val="center"/>
            <w:hideMark/>
          </w:tcPr>
          <w:p w14:paraId="7D9AA1CE" w14:textId="77777777" w:rsidR="00CA0E31" w:rsidRPr="00520A6E" w:rsidRDefault="00CA0E31" w:rsidP="000A5389">
            <w:pPr>
              <w:spacing w:line="240" w:lineRule="auto"/>
              <w:rPr>
                <w:rFonts w:eastAsia="Times New Roman" w:cs="Times New Roman"/>
                <w:sz w:val="16"/>
                <w:szCs w:val="16"/>
                <w:lang w:val="es-419" w:eastAsia="es-419"/>
              </w:rPr>
            </w:pPr>
            <w:r w:rsidRPr="00520A6E">
              <w:rPr>
                <w:rFonts w:eastAsia="Times New Roman" w:cs="Times New Roman"/>
                <w:sz w:val="16"/>
                <w:szCs w:val="16"/>
                <w:lang w:val="es-419" w:eastAsia="es-419"/>
              </w:rPr>
              <w:t> </w:t>
            </w:r>
          </w:p>
        </w:tc>
        <w:tc>
          <w:tcPr>
            <w:tcW w:w="1093" w:type="pct"/>
            <w:tcBorders>
              <w:top w:val="nil"/>
              <w:left w:val="nil"/>
              <w:bottom w:val="single" w:sz="4" w:space="0" w:color="A6A6A6"/>
              <w:right w:val="single" w:sz="4" w:space="0" w:color="A6A6A6"/>
            </w:tcBorders>
            <w:vAlign w:val="center"/>
            <w:hideMark/>
          </w:tcPr>
          <w:p w14:paraId="303E52F9" w14:textId="77777777" w:rsidR="00CA0E31" w:rsidRPr="00520A6E" w:rsidRDefault="00CA0E31" w:rsidP="000A5389">
            <w:pPr>
              <w:spacing w:line="240" w:lineRule="auto"/>
              <w:rPr>
                <w:rFonts w:eastAsia="Times New Roman" w:cs="Times New Roman"/>
                <w:sz w:val="16"/>
                <w:szCs w:val="16"/>
                <w:lang w:val="es-419" w:eastAsia="es-419"/>
              </w:rPr>
            </w:pPr>
            <w:r w:rsidRPr="00520A6E">
              <w:rPr>
                <w:rFonts w:eastAsia="Times New Roman" w:cs="Times New Roman"/>
                <w:sz w:val="16"/>
                <w:szCs w:val="16"/>
                <w:lang w:val="es-419" w:eastAsia="es-419"/>
              </w:rPr>
              <w:t>Saldo inicial de la Depreciación acumulada</w:t>
            </w:r>
          </w:p>
        </w:tc>
        <w:tc>
          <w:tcPr>
            <w:tcW w:w="864" w:type="pct"/>
            <w:tcBorders>
              <w:top w:val="nil"/>
              <w:left w:val="nil"/>
              <w:bottom w:val="single" w:sz="4" w:space="0" w:color="A6A6A6"/>
              <w:right w:val="single" w:sz="4" w:space="0" w:color="A6A6A6"/>
            </w:tcBorders>
            <w:noWrap/>
            <w:vAlign w:val="center"/>
            <w:hideMark/>
          </w:tcPr>
          <w:p w14:paraId="6201ED1A" w14:textId="77777777" w:rsidR="00CA0E31" w:rsidRPr="00520A6E" w:rsidRDefault="00CA0E31" w:rsidP="000A5389">
            <w:pPr>
              <w:spacing w:line="240" w:lineRule="auto"/>
              <w:jc w:val="right"/>
              <w:rPr>
                <w:rFonts w:eastAsia="Times New Roman" w:cs="Times New Roman"/>
                <w:color w:val="000000"/>
                <w:sz w:val="16"/>
                <w:szCs w:val="16"/>
                <w:lang w:val="es-419" w:eastAsia="es-419"/>
              </w:rPr>
            </w:pPr>
            <w:r w:rsidRPr="00520A6E">
              <w:rPr>
                <w:rFonts w:eastAsia="Times New Roman" w:cs="Times New Roman"/>
                <w:color w:val="000000"/>
                <w:sz w:val="16"/>
                <w:szCs w:val="16"/>
                <w:lang w:val="es-419" w:eastAsia="es-419"/>
              </w:rPr>
              <w:t xml:space="preserve">206.440.727.263 </w:t>
            </w:r>
          </w:p>
        </w:tc>
        <w:tc>
          <w:tcPr>
            <w:tcW w:w="914" w:type="pct"/>
            <w:tcBorders>
              <w:top w:val="nil"/>
              <w:left w:val="nil"/>
              <w:bottom w:val="single" w:sz="4" w:space="0" w:color="A6A6A6"/>
              <w:right w:val="single" w:sz="4" w:space="0" w:color="A6A6A6"/>
            </w:tcBorders>
            <w:noWrap/>
            <w:vAlign w:val="center"/>
            <w:hideMark/>
          </w:tcPr>
          <w:p w14:paraId="7EF1E5B1" w14:textId="77777777" w:rsidR="00CA0E31" w:rsidRPr="00520A6E" w:rsidRDefault="00CA0E31" w:rsidP="000A5389">
            <w:pPr>
              <w:spacing w:line="240" w:lineRule="auto"/>
              <w:jc w:val="right"/>
              <w:rPr>
                <w:rFonts w:eastAsia="Times New Roman" w:cs="Times New Roman"/>
                <w:color w:val="000000"/>
                <w:sz w:val="16"/>
                <w:szCs w:val="16"/>
                <w:lang w:val="es-419" w:eastAsia="es-419"/>
              </w:rPr>
            </w:pPr>
            <w:r w:rsidRPr="00520A6E">
              <w:rPr>
                <w:rFonts w:eastAsia="Times New Roman" w:cs="Times New Roman"/>
                <w:color w:val="000000"/>
                <w:sz w:val="16"/>
                <w:szCs w:val="16"/>
                <w:lang w:val="es-419" w:eastAsia="es-419"/>
              </w:rPr>
              <w:t xml:space="preserve">0 </w:t>
            </w:r>
          </w:p>
        </w:tc>
        <w:tc>
          <w:tcPr>
            <w:tcW w:w="825" w:type="pct"/>
            <w:tcBorders>
              <w:top w:val="nil"/>
              <w:left w:val="nil"/>
              <w:bottom w:val="single" w:sz="4" w:space="0" w:color="A6A6A6"/>
              <w:right w:val="single" w:sz="4" w:space="0" w:color="A6A6A6"/>
            </w:tcBorders>
            <w:noWrap/>
            <w:vAlign w:val="center"/>
            <w:hideMark/>
          </w:tcPr>
          <w:p w14:paraId="2105C30B" w14:textId="77777777" w:rsidR="00CA0E31" w:rsidRPr="00520A6E" w:rsidRDefault="00CA0E31" w:rsidP="000A5389">
            <w:pPr>
              <w:spacing w:line="240" w:lineRule="auto"/>
              <w:jc w:val="right"/>
              <w:rPr>
                <w:rFonts w:eastAsia="Times New Roman" w:cs="Times New Roman"/>
                <w:color w:val="000000"/>
                <w:sz w:val="16"/>
                <w:szCs w:val="16"/>
                <w:lang w:val="es-419" w:eastAsia="es-419"/>
              </w:rPr>
            </w:pPr>
            <w:r w:rsidRPr="00520A6E">
              <w:rPr>
                <w:rFonts w:eastAsia="Times New Roman" w:cs="Times New Roman"/>
                <w:color w:val="000000"/>
                <w:sz w:val="16"/>
                <w:szCs w:val="16"/>
                <w:lang w:val="es-419" w:eastAsia="es-419"/>
              </w:rPr>
              <w:t xml:space="preserve">772.647.386.652 </w:t>
            </w:r>
          </w:p>
        </w:tc>
        <w:tc>
          <w:tcPr>
            <w:tcW w:w="979" w:type="pct"/>
            <w:tcBorders>
              <w:top w:val="nil"/>
              <w:left w:val="nil"/>
              <w:bottom w:val="single" w:sz="4" w:space="0" w:color="A6A6A6"/>
              <w:right w:val="single" w:sz="4" w:space="0" w:color="A6A6A6"/>
            </w:tcBorders>
            <w:noWrap/>
            <w:vAlign w:val="center"/>
            <w:hideMark/>
          </w:tcPr>
          <w:p w14:paraId="75184DB1" w14:textId="77777777" w:rsidR="00CA0E31" w:rsidRPr="00520A6E" w:rsidRDefault="00CA0E31" w:rsidP="000A5389">
            <w:pPr>
              <w:spacing w:line="240" w:lineRule="auto"/>
              <w:jc w:val="right"/>
              <w:rPr>
                <w:rFonts w:eastAsia="Times New Roman" w:cs="Times New Roman"/>
                <w:b/>
                <w:bCs/>
                <w:color w:val="000000"/>
                <w:sz w:val="16"/>
                <w:szCs w:val="16"/>
                <w:lang w:val="es-419" w:eastAsia="es-419"/>
              </w:rPr>
            </w:pPr>
            <w:r w:rsidRPr="00520A6E">
              <w:rPr>
                <w:rFonts w:eastAsia="Times New Roman" w:cs="Times New Roman"/>
                <w:b/>
                <w:bCs/>
                <w:color w:val="000000"/>
                <w:sz w:val="16"/>
                <w:szCs w:val="16"/>
                <w:lang w:val="es-419" w:eastAsia="es-419"/>
              </w:rPr>
              <w:t xml:space="preserve">979.088.113.915 </w:t>
            </w:r>
          </w:p>
        </w:tc>
      </w:tr>
      <w:tr w:rsidR="001D0619" w:rsidRPr="00951AB1" w14:paraId="5BEFF010" w14:textId="77777777" w:rsidTr="001D0619">
        <w:trPr>
          <w:cantSplit/>
          <w:trHeight w:val="290"/>
        </w:trPr>
        <w:tc>
          <w:tcPr>
            <w:tcW w:w="131" w:type="pct"/>
            <w:tcBorders>
              <w:top w:val="nil"/>
              <w:left w:val="single" w:sz="4" w:space="0" w:color="A6A6A6"/>
              <w:bottom w:val="single" w:sz="4" w:space="0" w:color="A6A6A6"/>
              <w:right w:val="nil"/>
            </w:tcBorders>
            <w:noWrap/>
            <w:vAlign w:val="center"/>
            <w:hideMark/>
          </w:tcPr>
          <w:p w14:paraId="2828423D" w14:textId="77777777" w:rsidR="00CA0E31" w:rsidRPr="00520A6E" w:rsidRDefault="00CA0E31" w:rsidP="000A5389">
            <w:pPr>
              <w:spacing w:line="240" w:lineRule="auto"/>
              <w:jc w:val="center"/>
              <w:rPr>
                <w:rFonts w:eastAsia="Times New Roman" w:cs="Times New Roman"/>
                <w:sz w:val="16"/>
                <w:szCs w:val="16"/>
                <w:lang w:val="es-419" w:eastAsia="es-419"/>
              </w:rPr>
            </w:pPr>
            <w:r w:rsidRPr="00520A6E">
              <w:rPr>
                <w:rFonts w:eastAsia="Times New Roman" w:cs="Times New Roman"/>
                <w:sz w:val="16"/>
                <w:szCs w:val="16"/>
                <w:lang w:val="es-419" w:eastAsia="es-419"/>
              </w:rPr>
              <w:t> </w:t>
            </w:r>
          </w:p>
        </w:tc>
        <w:tc>
          <w:tcPr>
            <w:tcW w:w="102" w:type="pct"/>
            <w:tcBorders>
              <w:top w:val="nil"/>
              <w:left w:val="nil"/>
              <w:bottom w:val="single" w:sz="4" w:space="0" w:color="A6A6A6"/>
              <w:right w:val="nil"/>
            </w:tcBorders>
            <w:noWrap/>
            <w:vAlign w:val="center"/>
            <w:hideMark/>
          </w:tcPr>
          <w:p w14:paraId="2B81E50B" w14:textId="77777777" w:rsidR="00CA0E31" w:rsidRPr="00520A6E" w:rsidRDefault="00CA0E31" w:rsidP="000A5389">
            <w:pPr>
              <w:spacing w:line="240" w:lineRule="auto"/>
              <w:rPr>
                <w:rFonts w:eastAsia="Times New Roman" w:cs="Times New Roman"/>
                <w:sz w:val="16"/>
                <w:szCs w:val="16"/>
                <w:lang w:val="es-419" w:eastAsia="es-419"/>
              </w:rPr>
            </w:pPr>
            <w:r w:rsidRPr="00520A6E">
              <w:rPr>
                <w:rFonts w:eastAsia="Times New Roman" w:cs="Times New Roman"/>
                <w:sz w:val="16"/>
                <w:szCs w:val="16"/>
                <w:lang w:val="es-419" w:eastAsia="es-419"/>
              </w:rPr>
              <w:t> </w:t>
            </w:r>
          </w:p>
        </w:tc>
        <w:tc>
          <w:tcPr>
            <w:tcW w:w="92" w:type="pct"/>
            <w:tcBorders>
              <w:top w:val="nil"/>
              <w:left w:val="nil"/>
              <w:bottom w:val="single" w:sz="4" w:space="0" w:color="A6A6A6"/>
              <w:right w:val="nil"/>
            </w:tcBorders>
            <w:noWrap/>
            <w:vAlign w:val="center"/>
            <w:hideMark/>
          </w:tcPr>
          <w:p w14:paraId="313CAA64" w14:textId="77777777" w:rsidR="00CA0E31" w:rsidRPr="00520A6E" w:rsidRDefault="00CA0E31" w:rsidP="000A5389">
            <w:pPr>
              <w:spacing w:line="240" w:lineRule="auto"/>
              <w:jc w:val="center"/>
              <w:rPr>
                <w:rFonts w:eastAsia="Times New Roman" w:cs="Times New Roman"/>
                <w:sz w:val="16"/>
                <w:szCs w:val="16"/>
                <w:lang w:val="es-419" w:eastAsia="es-419"/>
              </w:rPr>
            </w:pPr>
            <w:r w:rsidRPr="00520A6E">
              <w:rPr>
                <w:rFonts w:eastAsia="Times New Roman" w:cs="Times New Roman"/>
                <w:sz w:val="16"/>
                <w:szCs w:val="16"/>
                <w:lang w:val="es-419" w:eastAsia="es-419"/>
              </w:rPr>
              <w:t>+</w:t>
            </w:r>
          </w:p>
        </w:tc>
        <w:tc>
          <w:tcPr>
            <w:tcW w:w="1093" w:type="pct"/>
            <w:tcBorders>
              <w:top w:val="nil"/>
              <w:left w:val="nil"/>
              <w:bottom w:val="single" w:sz="4" w:space="0" w:color="A6A6A6"/>
              <w:right w:val="single" w:sz="4" w:space="0" w:color="A6A6A6"/>
            </w:tcBorders>
            <w:vAlign w:val="center"/>
            <w:hideMark/>
          </w:tcPr>
          <w:p w14:paraId="7F619E88" w14:textId="77777777" w:rsidR="00CA0E31" w:rsidRPr="00520A6E" w:rsidRDefault="00CA0E31" w:rsidP="000A5389">
            <w:pPr>
              <w:spacing w:line="240" w:lineRule="auto"/>
              <w:rPr>
                <w:rFonts w:eastAsia="Times New Roman" w:cs="Times New Roman"/>
                <w:sz w:val="16"/>
                <w:szCs w:val="16"/>
                <w:lang w:val="es-419" w:eastAsia="es-419"/>
              </w:rPr>
            </w:pPr>
            <w:r w:rsidRPr="00520A6E">
              <w:rPr>
                <w:rFonts w:eastAsia="Times New Roman" w:cs="Times New Roman"/>
                <w:sz w:val="16"/>
                <w:szCs w:val="16"/>
                <w:lang w:val="es-419" w:eastAsia="es-419"/>
              </w:rPr>
              <w:t>Depreciación registrada - vigencia actual</w:t>
            </w:r>
          </w:p>
        </w:tc>
        <w:tc>
          <w:tcPr>
            <w:tcW w:w="864" w:type="pct"/>
            <w:tcBorders>
              <w:top w:val="nil"/>
              <w:left w:val="nil"/>
              <w:bottom w:val="single" w:sz="4" w:space="0" w:color="A6A6A6"/>
              <w:right w:val="single" w:sz="4" w:space="0" w:color="A6A6A6"/>
            </w:tcBorders>
            <w:noWrap/>
            <w:vAlign w:val="center"/>
            <w:hideMark/>
          </w:tcPr>
          <w:p w14:paraId="5F0BD04C" w14:textId="77777777" w:rsidR="00CA0E31" w:rsidRPr="00520A6E" w:rsidRDefault="00CA0E31" w:rsidP="000A5389">
            <w:pPr>
              <w:spacing w:line="240" w:lineRule="auto"/>
              <w:jc w:val="right"/>
              <w:rPr>
                <w:rFonts w:eastAsia="Times New Roman" w:cs="Times New Roman"/>
                <w:color w:val="000000"/>
                <w:sz w:val="16"/>
                <w:szCs w:val="16"/>
                <w:lang w:val="es-419" w:eastAsia="es-419"/>
              </w:rPr>
            </w:pPr>
            <w:r w:rsidRPr="00520A6E">
              <w:rPr>
                <w:rFonts w:eastAsia="Times New Roman" w:cs="Times New Roman"/>
                <w:color w:val="000000"/>
                <w:sz w:val="16"/>
                <w:szCs w:val="16"/>
                <w:lang w:val="es-419" w:eastAsia="es-419"/>
              </w:rPr>
              <w:t xml:space="preserve">3.646.232.591 </w:t>
            </w:r>
          </w:p>
        </w:tc>
        <w:tc>
          <w:tcPr>
            <w:tcW w:w="914" w:type="pct"/>
            <w:tcBorders>
              <w:top w:val="nil"/>
              <w:left w:val="nil"/>
              <w:bottom w:val="single" w:sz="4" w:space="0" w:color="A6A6A6"/>
              <w:right w:val="single" w:sz="4" w:space="0" w:color="A6A6A6"/>
            </w:tcBorders>
            <w:noWrap/>
            <w:vAlign w:val="center"/>
            <w:hideMark/>
          </w:tcPr>
          <w:p w14:paraId="6342EE6A" w14:textId="77777777" w:rsidR="00CA0E31" w:rsidRPr="00520A6E" w:rsidRDefault="00CA0E31" w:rsidP="000A5389">
            <w:pPr>
              <w:spacing w:line="240" w:lineRule="auto"/>
              <w:jc w:val="right"/>
              <w:rPr>
                <w:rFonts w:eastAsia="Times New Roman" w:cs="Times New Roman"/>
                <w:color w:val="000000"/>
                <w:sz w:val="16"/>
                <w:szCs w:val="16"/>
                <w:lang w:val="es-419" w:eastAsia="es-419"/>
              </w:rPr>
            </w:pPr>
            <w:r w:rsidRPr="00520A6E">
              <w:rPr>
                <w:rFonts w:eastAsia="Times New Roman" w:cs="Times New Roman"/>
                <w:color w:val="000000"/>
                <w:sz w:val="16"/>
                <w:szCs w:val="16"/>
                <w:lang w:val="es-419" w:eastAsia="es-419"/>
              </w:rPr>
              <w:t xml:space="preserve">0 </w:t>
            </w:r>
          </w:p>
        </w:tc>
        <w:tc>
          <w:tcPr>
            <w:tcW w:w="825" w:type="pct"/>
            <w:tcBorders>
              <w:top w:val="nil"/>
              <w:left w:val="nil"/>
              <w:bottom w:val="single" w:sz="4" w:space="0" w:color="A6A6A6"/>
              <w:right w:val="single" w:sz="4" w:space="0" w:color="A6A6A6"/>
            </w:tcBorders>
            <w:noWrap/>
            <w:vAlign w:val="center"/>
            <w:hideMark/>
          </w:tcPr>
          <w:p w14:paraId="19C14D8C" w14:textId="77777777" w:rsidR="00CA0E31" w:rsidRPr="00520A6E" w:rsidRDefault="00CA0E31" w:rsidP="000A5389">
            <w:pPr>
              <w:spacing w:line="240" w:lineRule="auto"/>
              <w:jc w:val="right"/>
              <w:rPr>
                <w:rFonts w:eastAsia="Times New Roman" w:cs="Times New Roman"/>
                <w:color w:val="000000"/>
                <w:sz w:val="16"/>
                <w:szCs w:val="16"/>
                <w:lang w:val="es-419" w:eastAsia="es-419"/>
              </w:rPr>
            </w:pPr>
            <w:r w:rsidRPr="00520A6E">
              <w:rPr>
                <w:rFonts w:eastAsia="Times New Roman" w:cs="Times New Roman"/>
                <w:color w:val="000000"/>
                <w:sz w:val="16"/>
                <w:szCs w:val="16"/>
                <w:lang w:val="es-419" w:eastAsia="es-419"/>
              </w:rPr>
              <w:t xml:space="preserve">30.676.613.591 </w:t>
            </w:r>
          </w:p>
        </w:tc>
        <w:tc>
          <w:tcPr>
            <w:tcW w:w="979" w:type="pct"/>
            <w:tcBorders>
              <w:top w:val="nil"/>
              <w:left w:val="nil"/>
              <w:bottom w:val="single" w:sz="4" w:space="0" w:color="A6A6A6"/>
              <w:right w:val="single" w:sz="4" w:space="0" w:color="A6A6A6"/>
            </w:tcBorders>
            <w:noWrap/>
            <w:vAlign w:val="center"/>
            <w:hideMark/>
          </w:tcPr>
          <w:p w14:paraId="27C8C30F" w14:textId="77777777" w:rsidR="00CA0E31" w:rsidRPr="00520A6E" w:rsidRDefault="00CA0E31" w:rsidP="000A5389">
            <w:pPr>
              <w:spacing w:line="240" w:lineRule="auto"/>
              <w:jc w:val="right"/>
              <w:rPr>
                <w:rFonts w:eastAsia="Times New Roman" w:cs="Times New Roman"/>
                <w:b/>
                <w:bCs/>
                <w:color w:val="000000"/>
                <w:sz w:val="16"/>
                <w:szCs w:val="16"/>
                <w:lang w:val="es-419" w:eastAsia="es-419"/>
              </w:rPr>
            </w:pPr>
            <w:r w:rsidRPr="00520A6E">
              <w:rPr>
                <w:rFonts w:eastAsia="Times New Roman" w:cs="Times New Roman"/>
                <w:b/>
                <w:bCs/>
                <w:color w:val="000000"/>
                <w:sz w:val="16"/>
                <w:szCs w:val="16"/>
                <w:lang w:val="es-419" w:eastAsia="es-419"/>
              </w:rPr>
              <w:t xml:space="preserve">34.322.846.183 </w:t>
            </w:r>
          </w:p>
        </w:tc>
      </w:tr>
      <w:tr w:rsidR="001D0619" w:rsidRPr="00951AB1" w14:paraId="7E9CE708" w14:textId="77777777" w:rsidTr="001D0619">
        <w:trPr>
          <w:cantSplit/>
          <w:trHeight w:val="580"/>
        </w:trPr>
        <w:tc>
          <w:tcPr>
            <w:tcW w:w="131" w:type="pct"/>
            <w:tcBorders>
              <w:top w:val="nil"/>
              <w:left w:val="single" w:sz="4" w:space="0" w:color="A6A6A6"/>
              <w:bottom w:val="single" w:sz="4" w:space="0" w:color="A6A6A6"/>
              <w:right w:val="nil"/>
            </w:tcBorders>
            <w:noWrap/>
            <w:vAlign w:val="center"/>
            <w:hideMark/>
          </w:tcPr>
          <w:p w14:paraId="1ED978F2" w14:textId="77777777" w:rsidR="00CA0E31" w:rsidRPr="00520A6E" w:rsidRDefault="00CA0E31" w:rsidP="000A5389">
            <w:pPr>
              <w:spacing w:line="240" w:lineRule="auto"/>
              <w:jc w:val="center"/>
              <w:rPr>
                <w:rFonts w:eastAsia="Times New Roman" w:cs="Times New Roman"/>
                <w:sz w:val="16"/>
                <w:szCs w:val="16"/>
                <w:lang w:val="es-419" w:eastAsia="es-419"/>
              </w:rPr>
            </w:pPr>
            <w:r w:rsidRPr="00520A6E">
              <w:rPr>
                <w:rFonts w:eastAsia="Times New Roman" w:cs="Times New Roman"/>
                <w:sz w:val="16"/>
                <w:szCs w:val="16"/>
                <w:lang w:val="es-419" w:eastAsia="es-419"/>
              </w:rPr>
              <w:t> </w:t>
            </w:r>
          </w:p>
        </w:tc>
        <w:tc>
          <w:tcPr>
            <w:tcW w:w="102" w:type="pct"/>
            <w:tcBorders>
              <w:top w:val="nil"/>
              <w:left w:val="nil"/>
              <w:bottom w:val="single" w:sz="4" w:space="0" w:color="A6A6A6"/>
              <w:right w:val="nil"/>
            </w:tcBorders>
            <w:noWrap/>
            <w:vAlign w:val="center"/>
            <w:hideMark/>
          </w:tcPr>
          <w:p w14:paraId="18019B4E" w14:textId="77777777" w:rsidR="00CA0E31" w:rsidRPr="00520A6E" w:rsidRDefault="00CA0E31" w:rsidP="000A5389">
            <w:pPr>
              <w:spacing w:line="240" w:lineRule="auto"/>
              <w:rPr>
                <w:rFonts w:eastAsia="Times New Roman" w:cs="Times New Roman"/>
                <w:sz w:val="16"/>
                <w:szCs w:val="16"/>
                <w:lang w:val="es-419" w:eastAsia="es-419"/>
              </w:rPr>
            </w:pPr>
            <w:r w:rsidRPr="00520A6E">
              <w:rPr>
                <w:rFonts w:eastAsia="Times New Roman" w:cs="Times New Roman"/>
                <w:sz w:val="16"/>
                <w:szCs w:val="16"/>
                <w:lang w:val="es-419" w:eastAsia="es-419"/>
              </w:rPr>
              <w:t> </w:t>
            </w:r>
          </w:p>
        </w:tc>
        <w:tc>
          <w:tcPr>
            <w:tcW w:w="92" w:type="pct"/>
            <w:tcBorders>
              <w:top w:val="nil"/>
              <w:left w:val="nil"/>
              <w:bottom w:val="single" w:sz="4" w:space="0" w:color="A6A6A6"/>
              <w:right w:val="nil"/>
            </w:tcBorders>
            <w:noWrap/>
            <w:vAlign w:val="center"/>
            <w:hideMark/>
          </w:tcPr>
          <w:p w14:paraId="10AFCC71" w14:textId="77777777" w:rsidR="00CA0E31" w:rsidRPr="00520A6E" w:rsidRDefault="00CA0E31" w:rsidP="000A5389">
            <w:pPr>
              <w:spacing w:line="240" w:lineRule="auto"/>
              <w:jc w:val="center"/>
              <w:rPr>
                <w:rFonts w:eastAsia="Times New Roman" w:cs="Times New Roman"/>
                <w:sz w:val="16"/>
                <w:szCs w:val="16"/>
                <w:lang w:val="es-419" w:eastAsia="es-419"/>
              </w:rPr>
            </w:pPr>
            <w:r w:rsidRPr="00520A6E">
              <w:rPr>
                <w:rFonts w:eastAsia="Times New Roman" w:cs="Times New Roman"/>
                <w:sz w:val="16"/>
                <w:szCs w:val="16"/>
                <w:lang w:val="es-419" w:eastAsia="es-419"/>
              </w:rPr>
              <w:t>-</w:t>
            </w:r>
          </w:p>
        </w:tc>
        <w:tc>
          <w:tcPr>
            <w:tcW w:w="1093" w:type="pct"/>
            <w:tcBorders>
              <w:top w:val="nil"/>
              <w:left w:val="nil"/>
              <w:bottom w:val="single" w:sz="4" w:space="0" w:color="A6A6A6"/>
              <w:right w:val="single" w:sz="4" w:space="0" w:color="A6A6A6"/>
            </w:tcBorders>
            <w:vAlign w:val="center"/>
            <w:hideMark/>
          </w:tcPr>
          <w:p w14:paraId="4342BB01" w14:textId="77777777" w:rsidR="00CA0E31" w:rsidRPr="00520A6E" w:rsidRDefault="00CA0E31" w:rsidP="000A5389">
            <w:pPr>
              <w:spacing w:line="240" w:lineRule="auto"/>
              <w:rPr>
                <w:rFonts w:eastAsia="Times New Roman" w:cs="Times New Roman"/>
                <w:sz w:val="16"/>
                <w:szCs w:val="16"/>
                <w:lang w:val="es-419" w:eastAsia="es-419"/>
              </w:rPr>
            </w:pPr>
            <w:r w:rsidRPr="00520A6E">
              <w:rPr>
                <w:rFonts w:eastAsia="Times New Roman" w:cs="Times New Roman"/>
                <w:sz w:val="16"/>
                <w:szCs w:val="16"/>
                <w:lang w:val="es-419" w:eastAsia="es-419"/>
              </w:rPr>
              <w:t>Ajustes Depreciación acumulada por traslado a otros conceptos</w:t>
            </w:r>
          </w:p>
        </w:tc>
        <w:tc>
          <w:tcPr>
            <w:tcW w:w="864" w:type="pct"/>
            <w:tcBorders>
              <w:top w:val="nil"/>
              <w:left w:val="nil"/>
              <w:bottom w:val="single" w:sz="4" w:space="0" w:color="A6A6A6"/>
              <w:right w:val="single" w:sz="4" w:space="0" w:color="A6A6A6"/>
            </w:tcBorders>
            <w:noWrap/>
            <w:vAlign w:val="center"/>
            <w:hideMark/>
          </w:tcPr>
          <w:p w14:paraId="720CF8CA" w14:textId="77777777" w:rsidR="00CA0E31" w:rsidRPr="00520A6E" w:rsidRDefault="00CA0E31" w:rsidP="000A5389">
            <w:pPr>
              <w:spacing w:line="240" w:lineRule="auto"/>
              <w:jc w:val="right"/>
              <w:rPr>
                <w:rFonts w:eastAsia="Times New Roman" w:cs="Times New Roman"/>
                <w:color w:val="000000"/>
                <w:sz w:val="16"/>
                <w:szCs w:val="16"/>
                <w:lang w:val="es-419" w:eastAsia="es-419"/>
              </w:rPr>
            </w:pPr>
            <w:r w:rsidRPr="00520A6E">
              <w:rPr>
                <w:rFonts w:eastAsia="Times New Roman" w:cs="Times New Roman"/>
                <w:color w:val="000000"/>
                <w:sz w:val="16"/>
                <w:szCs w:val="16"/>
                <w:lang w:val="es-419" w:eastAsia="es-419"/>
              </w:rPr>
              <w:t xml:space="preserve">0 </w:t>
            </w:r>
          </w:p>
        </w:tc>
        <w:tc>
          <w:tcPr>
            <w:tcW w:w="914" w:type="pct"/>
            <w:tcBorders>
              <w:top w:val="nil"/>
              <w:left w:val="nil"/>
              <w:bottom w:val="single" w:sz="4" w:space="0" w:color="A6A6A6"/>
              <w:right w:val="single" w:sz="4" w:space="0" w:color="A6A6A6"/>
            </w:tcBorders>
            <w:noWrap/>
            <w:vAlign w:val="center"/>
            <w:hideMark/>
          </w:tcPr>
          <w:p w14:paraId="76B15F01" w14:textId="77777777" w:rsidR="00CA0E31" w:rsidRPr="00520A6E" w:rsidRDefault="00CA0E31" w:rsidP="000A5389">
            <w:pPr>
              <w:spacing w:line="240" w:lineRule="auto"/>
              <w:jc w:val="right"/>
              <w:rPr>
                <w:rFonts w:eastAsia="Times New Roman" w:cs="Times New Roman"/>
                <w:color w:val="000000"/>
                <w:sz w:val="16"/>
                <w:szCs w:val="16"/>
                <w:lang w:val="es-419" w:eastAsia="es-419"/>
              </w:rPr>
            </w:pPr>
            <w:r w:rsidRPr="00520A6E">
              <w:rPr>
                <w:rFonts w:eastAsia="Times New Roman" w:cs="Times New Roman"/>
                <w:color w:val="000000"/>
                <w:sz w:val="16"/>
                <w:szCs w:val="16"/>
                <w:lang w:val="es-419" w:eastAsia="es-419"/>
              </w:rPr>
              <w:t xml:space="preserve">0 </w:t>
            </w:r>
          </w:p>
        </w:tc>
        <w:tc>
          <w:tcPr>
            <w:tcW w:w="825" w:type="pct"/>
            <w:tcBorders>
              <w:top w:val="nil"/>
              <w:left w:val="nil"/>
              <w:bottom w:val="single" w:sz="4" w:space="0" w:color="A6A6A6"/>
              <w:right w:val="single" w:sz="4" w:space="0" w:color="A6A6A6"/>
            </w:tcBorders>
            <w:noWrap/>
            <w:vAlign w:val="center"/>
            <w:hideMark/>
          </w:tcPr>
          <w:p w14:paraId="0D96B2DC" w14:textId="77777777" w:rsidR="00CA0E31" w:rsidRPr="00520A6E" w:rsidRDefault="00CA0E31" w:rsidP="000A5389">
            <w:pPr>
              <w:spacing w:line="240" w:lineRule="auto"/>
              <w:jc w:val="right"/>
              <w:rPr>
                <w:rFonts w:eastAsia="Times New Roman" w:cs="Times New Roman"/>
                <w:color w:val="000000"/>
                <w:sz w:val="16"/>
                <w:szCs w:val="16"/>
                <w:lang w:val="es-419" w:eastAsia="es-419"/>
              </w:rPr>
            </w:pPr>
            <w:r w:rsidRPr="00520A6E">
              <w:rPr>
                <w:rFonts w:eastAsia="Times New Roman" w:cs="Times New Roman"/>
                <w:color w:val="000000"/>
                <w:sz w:val="16"/>
                <w:szCs w:val="16"/>
                <w:lang w:val="es-419" w:eastAsia="es-419"/>
              </w:rPr>
              <w:t xml:space="preserve">164.112.574.715 </w:t>
            </w:r>
          </w:p>
        </w:tc>
        <w:tc>
          <w:tcPr>
            <w:tcW w:w="979" w:type="pct"/>
            <w:tcBorders>
              <w:top w:val="nil"/>
              <w:left w:val="nil"/>
              <w:bottom w:val="single" w:sz="4" w:space="0" w:color="A6A6A6"/>
              <w:right w:val="single" w:sz="4" w:space="0" w:color="A6A6A6"/>
            </w:tcBorders>
            <w:noWrap/>
            <w:vAlign w:val="center"/>
            <w:hideMark/>
          </w:tcPr>
          <w:p w14:paraId="69586162" w14:textId="77777777" w:rsidR="00CA0E31" w:rsidRPr="00520A6E" w:rsidRDefault="00CA0E31" w:rsidP="000A5389">
            <w:pPr>
              <w:spacing w:line="240" w:lineRule="auto"/>
              <w:jc w:val="right"/>
              <w:rPr>
                <w:rFonts w:eastAsia="Times New Roman" w:cs="Times New Roman"/>
                <w:b/>
                <w:bCs/>
                <w:color w:val="000000"/>
                <w:sz w:val="16"/>
                <w:szCs w:val="16"/>
                <w:lang w:val="es-419" w:eastAsia="es-419"/>
              </w:rPr>
            </w:pPr>
            <w:r w:rsidRPr="00520A6E">
              <w:rPr>
                <w:rFonts w:eastAsia="Times New Roman" w:cs="Times New Roman"/>
                <w:b/>
                <w:bCs/>
                <w:color w:val="000000"/>
                <w:sz w:val="16"/>
                <w:szCs w:val="16"/>
                <w:lang w:val="es-419" w:eastAsia="es-419"/>
              </w:rPr>
              <w:t xml:space="preserve">164.112.574.715 </w:t>
            </w:r>
          </w:p>
        </w:tc>
      </w:tr>
      <w:tr w:rsidR="001D0619" w:rsidRPr="00951AB1" w14:paraId="54A57194" w14:textId="77777777" w:rsidTr="001D0619">
        <w:trPr>
          <w:cantSplit/>
          <w:trHeight w:val="580"/>
        </w:trPr>
        <w:tc>
          <w:tcPr>
            <w:tcW w:w="131" w:type="pct"/>
            <w:tcBorders>
              <w:top w:val="nil"/>
              <w:left w:val="single" w:sz="4" w:space="0" w:color="A6A6A6"/>
              <w:bottom w:val="single" w:sz="4" w:space="0" w:color="A6A6A6"/>
              <w:right w:val="nil"/>
            </w:tcBorders>
            <w:noWrap/>
            <w:vAlign w:val="center"/>
            <w:hideMark/>
          </w:tcPr>
          <w:p w14:paraId="64581677" w14:textId="77777777" w:rsidR="00CA0E31" w:rsidRPr="00520A6E" w:rsidRDefault="00CA0E31" w:rsidP="000A5389">
            <w:pPr>
              <w:spacing w:line="240" w:lineRule="auto"/>
              <w:jc w:val="center"/>
              <w:rPr>
                <w:rFonts w:eastAsia="Times New Roman" w:cs="Times New Roman"/>
                <w:sz w:val="16"/>
                <w:szCs w:val="16"/>
                <w:lang w:val="es-419" w:eastAsia="es-419"/>
              </w:rPr>
            </w:pPr>
            <w:r w:rsidRPr="00520A6E">
              <w:rPr>
                <w:rFonts w:eastAsia="Times New Roman" w:cs="Times New Roman"/>
                <w:sz w:val="16"/>
                <w:szCs w:val="16"/>
                <w:lang w:val="es-419" w:eastAsia="es-419"/>
              </w:rPr>
              <w:t> </w:t>
            </w:r>
          </w:p>
        </w:tc>
        <w:tc>
          <w:tcPr>
            <w:tcW w:w="102" w:type="pct"/>
            <w:tcBorders>
              <w:top w:val="nil"/>
              <w:left w:val="nil"/>
              <w:bottom w:val="single" w:sz="4" w:space="0" w:color="A6A6A6"/>
              <w:right w:val="nil"/>
            </w:tcBorders>
            <w:noWrap/>
            <w:vAlign w:val="center"/>
            <w:hideMark/>
          </w:tcPr>
          <w:p w14:paraId="2262B71D" w14:textId="77777777" w:rsidR="00CA0E31" w:rsidRPr="00520A6E" w:rsidRDefault="00CA0E31" w:rsidP="000A5389">
            <w:pPr>
              <w:spacing w:line="240" w:lineRule="auto"/>
              <w:rPr>
                <w:rFonts w:eastAsia="Times New Roman" w:cs="Times New Roman"/>
                <w:sz w:val="16"/>
                <w:szCs w:val="16"/>
                <w:lang w:val="es-419" w:eastAsia="es-419"/>
              </w:rPr>
            </w:pPr>
            <w:r w:rsidRPr="00520A6E">
              <w:rPr>
                <w:rFonts w:eastAsia="Times New Roman" w:cs="Times New Roman"/>
                <w:sz w:val="16"/>
                <w:szCs w:val="16"/>
                <w:lang w:val="es-419" w:eastAsia="es-419"/>
              </w:rPr>
              <w:t> </w:t>
            </w:r>
          </w:p>
        </w:tc>
        <w:tc>
          <w:tcPr>
            <w:tcW w:w="92" w:type="pct"/>
            <w:tcBorders>
              <w:top w:val="nil"/>
              <w:left w:val="nil"/>
              <w:bottom w:val="single" w:sz="4" w:space="0" w:color="A6A6A6"/>
              <w:right w:val="nil"/>
            </w:tcBorders>
            <w:noWrap/>
            <w:vAlign w:val="center"/>
            <w:hideMark/>
          </w:tcPr>
          <w:p w14:paraId="40178BE2" w14:textId="77777777" w:rsidR="00CA0E31" w:rsidRPr="00520A6E" w:rsidRDefault="00CA0E31" w:rsidP="000A5389">
            <w:pPr>
              <w:spacing w:line="240" w:lineRule="auto"/>
              <w:jc w:val="center"/>
              <w:rPr>
                <w:rFonts w:eastAsia="Times New Roman" w:cs="Times New Roman"/>
                <w:sz w:val="16"/>
                <w:szCs w:val="16"/>
                <w:lang w:val="es-419" w:eastAsia="es-419"/>
              </w:rPr>
            </w:pPr>
            <w:r w:rsidRPr="00520A6E">
              <w:rPr>
                <w:rFonts w:eastAsia="Times New Roman" w:cs="Times New Roman"/>
                <w:sz w:val="16"/>
                <w:szCs w:val="16"/>
                <w:lang w:val="es-419" w:eastAsia="es-419"/>
              </w:rPr>
              <w:t>-</w:t>
            </w:r>
          </w:p>
        </w:tc>
        <w:tc>
          <w:tcPr>
            <w:tcW w:w="1093" w:type="pct"/>
            <w:tcBorders>
              <w:top w:val="nil"/>
              <w:left w:val="nil"/>
              <w:bottom w:val="single" w:sz="4" w:space="0" w:color="A6A6A6"/>
              <w:right w:val="single" w:sz="4" w:space="0" w:color="A6A6A6"/>
            </w:tcBorders>
            <w:vAlign w:val="center"/>
            <w:hideMark/>
          </w:tcPr>
          <w:p w14:paraId="625E275B" w14:textId="77777777" w:rsidR="00CA0E31" w:rsidRPr="00520A6E" w:rsidRDefault="00CA0E31" w:rsidP="000A5389">
            <w:pPr>
              <w:spacing w:line="240" w:lineRule="auto"/>
              <w:rPr>
                <w:rFonts w:eastAsia="Times New Roman" w:cs="Times New Roman"/>
                <w:sz w:val="16"/>
                <w:szCs w:val="16"/>
                <w:lang w:val="es-419" w:eastAsia="es-419"/>
              </w:rPr>
            </w:pPr>
            <w:r w:rsidRPr="00520A6E">
              <w:rPr>
                <w:rFonts w:eastAsia="Times New Roman" w:cs="Times New Roman"/>
                <w:sz w:val="16"/>
                <w:szCs w:val="16"/>
                <w:lang w:val="es-419" w:eastAsia="es-419"/>
              </w:rPr>
              <w:t>Otros Ajustes de Depreciación acumulada en la vigencia actual</w:t>
            </w:r>
          </w:p>
        </w:tc>
        <w:tc>
          <w:tcPr>
            <w:tcW w:w="864" w:type="pct"/>
            <w:tcBorders>
              <w:top w:val="nil"/>
              <w:left w:val="nil"/>
              <w:bottom w:val="single" w:sz="4" w:space="0" w:color="A6A6A6"/>
              <w:right w:val="single" w:sz="4" w:space="0" w:color="A6A6A6"/>
            </w:tcBorders>
            <w:noWrap/>
            <w:vAlign w:val="center"/>
            <w:hideMark/>
          </w:tcPr>
          <w:p w14:paraId="5118A81F" w14:textId="77777777" w:rsidR="00CA0E31" w:rsidRPr="00520A6E" w:rsidRDefault="00CA0E31" w:rsidP="000A5389">
            <w:pPr>
              <w:spacing w:line="240" w:lineRule="auto"/>
              <w:jc w:val="right"/>
              <w:rPr>
                <w:rFonts w:eastAsia="Times New Roman" w:cs="Times New Roman"/>
                <w:color w:val="000000"/>
                <w:sz w:val="16"/>
                <w:szCs w:val="16"/>
                <w:lang w:val="es-419" w:eastAsia="es-419"/>
              </w:rPr>
            </w:pPr>
            <w:r w:rsidRPr="00520A6E">
              <w:rPr>
                <w:rFonts w:eastAsia="Times New Roman" w:cs="Times New Roman"/>
                <w:color w:val="000000"/>
                <w:sz w:val="16"/>
                <w:szCs w:val="16"/>
                <w:lang w:val="es-419" w:eastAsia="es-419"/>
              </w:rPr>
              <w:t xml:space="preserve">37.428.865.700 </w:t>
            </w:r>
          </w:p>
        </w:tc>
        <w:tc>
          <w:tcPr>
            <w:tcW w:w="914" w:type="pct"/>
            <w:tcBorders>
              <w:top w:val="nil"/>
              <w:left w:val="nil"/>
              <w:bottom w:val="single" w:sz="4" w:space="0" w:color="A6A6A6"/>
              <w:right w:val="single" w:sz="4" w:space="0" w:color="A6A6A6"/>
            </w:tcBorders>
            <w:noWrap/>
            <w:vAlign w:val="center"/>
            <w:hideMark/>
          </w:tcPr>
          <w:p w14:paraId="39F693D7" w14:textId="77777777" w:rsidR="00CA0E31" w:rsidRPr="00520A6E" w:rsidRDefault="00CA0E31" w:rsidP="000A5389">
            <w:pPr>
              <w:spacing w:line="240" w:lineRule="auto"/>
              <w:jc w:val="right"/>
              <w:rPr>
                <w:rFonts w:eastAsia="Times New Roman" w:cs="Times New Roman"/>
                <w:color w:val="000000"/>
                <w:sz w:val="16"/>
                <w:szCs w:val="16"/>
                <w:lang w:val="es-419" w:eastAsia="es-419"/>
              </w:rPr>
            </w:pPr>
            <w:r w:rsidRPr="00520A6E">
              <w:rPr>
                <w:rFonts w:eastAsia="Times New Roman" w:cs="Times New Roman"/>
                <w:color w:val="000000"/>
                <w:sz w:val="16"/>
                <w:szCs w:val="16"/>
                <w:lang w:val="es-419" w:eastAsia="es-419"/>
              </w:rPr>
              <w:t xml:space="preserve">0 </w:t>
            </w:r>
          </w:p>
        </w:tc>
        <w:tc>
          <w:tcPr>
            <w:tcW w:w="825" w:type="pct"/>
            <w:tcBorders>
              <w:top w:val="nil"/>
              <w:left w:val="nil"/>
              <w:bottom w:val="single" w:sz="4" w:space="0" w:color="A6A6A6"/>
              <w:right w:val="single" w:sz="4" w:space="0" w:color="A6A6A6"/>
            </w:tcBorders>
            <w:noWrap/>
            <w:vAlign w:val="center"/>
            <w:hideMark/>
          </w:tcPr>
          <w:p w14:paraId="43926C22" w14:textId="77777777" w:rsidR="00CA0E31" w:rsidRPr="00520A6E" w:rsidRDefault="00CA0E31" w:rsidP="000A5389">
            <w:pPr>
              <w:spacing w:line="240" w:lineRule="auto"/>
              <w:jc w:val="right"/>
              <w:rPr>
                <w:rFonts w:eastAsia="Times New Roman" w:cs="Times New Roman"/>
                <w:color w:val="000000"/>
                <w:sz w:val="16"/>
                <w:szCs w:val="16"/>
                <w:lang w:val="es-419" w:eastAsia="es-419"/>
              </w:rPr>
            </w:pPr>
            <w:r w:rsidRPr="00520A6E">
              <w:rPr>
                <w:rFonts w:eastAsia="Times New Roman" w:cs="Times New Roman"/>
                <w:color w:val="000000"/>
                <w:sz w:val="16"/>
                <w:szCs w:val="16"/>
                <w:lang w:val="es-419" w:eastAsia="es-419"/>
              </w:rPr>
              <w:t xml:space="preserve">0 </w:t>
            </w:r>
          </w:p>
        </w:tc>
        <w:tc>
          <w:tcPr>
            <w:tcW w:w="979" w:type="pct"/>
            <w:tcBorders>
              <w:top w:val="nil"/>
              <w:left w:val="nil"/>
              <w:bottom w:val="single" w:sz="4" w:space="0" w:color="A6A6A6"/>
              <w:right w:val="single" w:sz="4" w:space="0" w:color="A6A6A6"/>
            </w:tcBorders>
            <w:noWrap/>
            <w:vAlign w:val="center"/>
            <w:hideMark/>
          </w:tcPr>
          <w:p w14:paraId="634B23B3" w14:textId="77777777" w:rsidR="00CA0E31" w:rsidRPr="00520A6E" w:rsidRDefault="00CA0E31" w:rsidP="000A5389">
            <w:pPr>
              <w:spacing w:line="240" w:lineRule="auto"/>
              <w:jc w:val="right"/>
              <w:rPr>
                <w:rFonts w:eastAsia="Times New Roman" w:cs="Times New Roman"/>
                <w:b/>
                <w:bCs/>
                <w:color w:val="000000"/>
                <w:sz w:val="16"/>
                <w:szCs w:val="16"/>
                <w:lang w:val="es-419" w:eastAsia="es-419"/>
              </w:rPr>
            </w:pPr>
            <w:r w:rsidRPr="00520A6E">
              <w:rPr>
                <w:rFonts w:eastAsia="Times New Roman" w:cs="Times New Roman"/>
                <w:b/>
                <w:bCs/>
                <w:color w:val="000000"/>
                <w:sz w:val="16"/>
                <w:szCs w:val="16"/>
                <w:lang w:val="es-419" w:eastAsia="es-419"/>
              </w:rPr>
              <w:t xml:space="preserve">37.428.865.700 </w:t>
            </w:r>
          </w:p>
        </w:tc>
      </w:tr>
      <w:tr w:rsidR="001D0619" w:rsidRPr="00951AB1" w14:paraId="7A877D8B" w14:textId="77777777" w:rsidTr="001D0619">
        <w:trPr>
          <w:cantSplit/>
          <w:trHeight w:val="290"/>
        </w:trPr>
        <w:tc>
          <w:tcPr>
            <w:tcW w:w="131" w:type="pct"/>
            <w:tcBorders>
              <w:top w:val="nil"/>
              <w:left w:val="single" w:sz="4" w:space="0" w:color="A6A6A6"/>
              <w:bottom w:val="single" w:sz="4" w:space="0" w:color="A6A6A6"/>
              <w:right w:val="nil"/>
            </w:tcBorders>
            <w:noWrap/>
            <w:vAlign w:val="center"/>
            <w:hideMark/>
          </w:tcPr>
          <w:p w14:paraId="6A0315A7" w14:textId="77777777" w:rsidR="00CA0E31" w:rsidRPr="00520A6E" w:rsidRDefault="00CA0E31" w:rsidP="000A5389">
            <w:pPr>
              <w:spacing w:line="240" w:lineRule="auto"/>
              <w:jc w:val="center"/>
              <w:rPr>
                <w:rFonts w:eastAsia="Times New Roman" w:cs="Times New Roman"/>
                <w:b/>
                <w:bCs/>
                <w:sz w:val="16"/>
                <w:szCs w:val="16"/>
                <w:lang w:val="es-419" w:eastAsia="es-419"/>
              </w:rPr>
            </w:pPr>
            <w:r w:rsidRPr="00520A6E">
              <w:rPr>
                <w:rFonts w:eastAsia="Times New Roman" w:cs="Times New Roman"/>
                <w:b/>
                <w:bCs/>
                <w:sz w:val="16"/>
                <w:szCs w:val="16"/>
                <w:lang w:val="es-419" w:eastAsia="es-419"/>
              </w:rPr>
              <w:t>-</w:t>
            </w:r>
          </w:p>
        </w:tc>
        <w:tc>
          <w:tcPr>
            <w:tcW w:w="1287" w:type="pct"/>
            <w:gridSpan w:val="3"/>
            <w:tcBorders>
              <w:top w:val="single" w:sz="4" w:space="0" w:color="A6A6A6"/>
              <w:left w:val="nil"/>
              <w:bottom w:val="single" w:sz="4" w:space="0" w:color="A6A6A6"/>
              <w:right w:val="single" w:sz="4" w:space="0" w:color="A6A6A6"/>
            </w:tcBorders>
            <w:vAlign w:val="center"/>
            <w:hideMark/>
          </w:tcPr>
          <w:p w14:paraId="13628E2C" w14:textId="77777777" w:rsidR="00CA0E31" w:rsidRPr="00520A6E" w:rsidRDefault="00CA0E31" w:rsidP="000A5389">
            <w:pPr>
              <w:spacing w:line="240" w:lineRule="auto"/>
              <w:rPr>
                <w:rFonts w:eastAsia="Times New Roman" w:cs="Times New Roman"/>
                <w:b/>
                <w:bCs/>
                <w:sz w:val="16"/>
                <w:szCs w:val="16"/>
                <w:lang w:val="es-419" w:eastAsia="es-419"/>
              </w:rPr>
            </w:pPr>
            <w:r w:rsidRPr="00520A6E">
              <w:rPr>
                <w:rFonts w:eastAsia="Times New Roman" w:cs="Times New Roman"/>
                <w:b/>
                <w:bCs/>
                <w:sz w:val="16"/>
                <w:szCs w:val="16"/>
                <w:lang w:val="es-419" w:eastAsia="es-419"/>
              </w:rPr>
              <w:t>DETERIORO ACUMULADO DE BUP (DE)</w:t>
            </w:r>
          </w:p>
        </w:tc>
        <w:tc>
          <w:tcPr>
            <w:tcW w:w="864" w:type="pct"/>
            <w:tcBorders>
              <w:top w:val="nil"/>
              <w:left w:val="nil"/>
              <w:bottom w:val="single" w:sz="4" w:space="0" w:color="A6A6A6"/>
              <w:right w:val="single" w:sz="4" w:space="0" w:color="A6A6A6"/>
            </w:tcBorders>
            <w:noWrap/>
            <w:vAlign w:val="center"/>
            <w:hideMark/>
          </w:tcPr>
          <w:p w14:paraId="46F4F40B" w14:textId="77777777" w:rsidR="00CA0E31" w:rsidRPr="00520A6E" w:rsidRDefault="00CA0E31" w:rsidP="000A5389">
            <w:pPr>
              <w:spacing w:line="240" w:lineRule="auto"/>
              <w:jc w:val="right"/>
              <w:rPr>
                <w:rFonts w:eastAsia="Times New Roman" w:cs="Times New Roman"/>
                <w:b/>
                <w:bCs/>
                <w:color w:val="000000"/>
                <w:sz w:val="16"/>
                <w:szCs w:val="16"/>
                <w:lang w:val="es-419" w:eastAsia="es-419"/>
              </w:rPr>
            </w:pPr>
            <w:r w:rsidRPr="00520A6E">
              <w:rPr>
                <w:rFonts w:eastAsia="Times New Roman" w:cs="Times New Roman"/>
                <w:b/>
                <w:bCs/>
                <w:color w:val="000000"/>
                <w:sz w:val="16"/>
                <w:szCs w:val="16"/>
                <w:lang w:val="es-419" w:eastAsia="es-419"/>
              </w:rPr>
              <w:t xml:space="preserve">2.768.243.329 </w:t>
            </w:r>
          </w:p>
        </w:tc>
        <w:tc>
          <w:tcPr>
            <w:tcW w:w="914" w:type="pct"/>
            <w:tcBorders>
              <w:top w:val="nil"/>
              <w:left w:val="nil"/>
              <w:bottom w:val="single" w:sz="4" w:space="0" w:color="A6A6A6"/>
              <w:right w:val="single" w:sz="4" w:space="0" w:color="A6A6A6"/>
            </w:tcBorders>
            <w:noWrap/>
            <w:vAlign w:val="center"/>
            <w:hideMark/>
          </w:tcPr>
          <w:p w14:paraId="3E431D77" w14:textId="77777777" w:rsidR="00CA0E31" w:rsidRPr="00520A6E" w:rsidRDefault="00CA0E31" w:rsidP="000A5389">
            <w:pPr>
              <w:spacing w:line="240" w:lineRule="auto"/>
              <w:jc w:val="right"/>
              <w:rPr>
                <w:rFonts w:eastAsia="Times New Roman" w:cs="Times New Roman"/>
                <w:b/>
                <w:bCs/>
                <w:color w:val="000000"/>
                <w:sz w:val="16"/>
                <w:szCs w:val="16"/>
                <w:lang w:val="es-419" w:eastAsia="es-419"/>
              </w:rPr>
            </w:pPr>
            <w:r w:rsidRPr="00520A6E">
              <w:rPr>
                <w:rFonts w:eastAsia="Times New Roman" w:cs="Times New Roman"/>
                <w:b/>
                <w:bCs/>
                <w:color w:val="000000"/>
                <w:sz w:val="16"/>
                <w:szCs w:val="16"/>
                <w:lang w:val="es-419" w:eastAsia="es-419"/>
              </w:rPr>
              <w:t xml:space="preserve">32.543.410.721 </w:t>
            </w:r>
          </w:p>
        </w:tc>
        <w:tc>
          <w:tcPr>
            <w:tcW w:w="825" w:type="pct"/>
            <w:tcBorders>
              <w:top w:val="nil"/>
              <w:left w:val="nil"/>
              <w:bottom w:val="single" w:sz="4" w:space="0" w:color="A6A6A6"/>
              <w:right w:val="single" w:sz="4" w:space="0" w:color="A6A6A6"/>
            </w:tcBorders>
            <w:noWrap/>
            <w:vAlign w:val="center"/>
            <w:hideMark/>
          </w:tcPr>
          <w:p w14:paraId="2FCE4568" w14:textId="77777777" w:rsidR="00CA0E31" w:rsidRPr="00520A6E" w:rsidRDefault="00CA0E31" w:rsidP="000A5389">
            <w:pPr>
              <w:spacing w:line="240" w:lineRule="auto"/>
              <w:jc w:val="right"/>
              <w:rPr>
                <w:rFonts w:eastAsia="Times New Roman" w:cs="Times New Roman"/>
                <w:b/>
                <w:bCs/>
                <w:color w:val="000000"/>
                <w:sz w:val="16"/>
                <w:szCs w:val="16"/>
                <w:lang w:val="es-419" w:eastAsia="es-419"/>
              </w:rPr>
            </w:pPr>
            <w:r w:rsidRPr="00520A6E">
              <w:rPr>
                <w:rFonts w:eastAsia="Times New Roman" w:cs="Times New Roman"/>
                <w:b/>
                <w:bCs/>
                <w:color w:val="000000"/>
                <w:sz w:val="16"/>
                <w:szCs w:val="16"/>
                <w:lang w:val="es-419" w:eastAsia="es-419"/>
              </w:rPr>
              <w:t xml:space="preserve">0 </w:t>
            </w:r>
          </w:p>
        </w:tc>
        <w:tc>
          <w:tcPr>
            <w:tcW w:w="979" w:type="pct"/>
            <w:tcBorders>
              <w:top w:val="nil"/>
              <w:left w:val="nil"/>
              <w:bottom w:val="single" w:sz="4" w:space="0" w:color="A6A6A6"/>
              <w:right w:val="single" w:sz="4" w:space="0" w:color="A6A6A6"/>
            </w:tcBorders>
            <w:noWrap/>
            <w:vAlign w:val="center"/>
            <w:hideMark/>
          </w:tcPr>
          <w:p w14:paraId="17498532" w14:textId="77777777" w:rsidR="00CA0E31" w:rsidRPr="00520A6E" w:rsidRDefault="00CA0E31" w:rsidP="000A5389">
            <w:pPr>
              <w:spacing w:line="240" w:lineRule="auto"/>
              <w:jc w:val="right"/>
              <w:rPr>
                <w:rFonts w:eastAsia="Times New Roman" w:cs="Times New Roman"/>
                <w:b/>
                <w:bCs/>
                <w:color w:val="000000"/>
                <w:sz w:val="16"/>
                <w:szCs w:val="16"/>
                <w:lang w:val="es-419" w:eastAsia="es-419"/>
              </w:rPr>
            </w:pPr>
            <w:r w:rsidRPr="00520A6E">
              <w:rPr>
                <w:rFonts w:eastAsia="Times New Roman" w:cs="Times New Roman"/>
                <w:b/>
                <w:bCs/>
                <w:color w:val="000000"/>
                <w:sz w:val="16"/>
                <w:szCs w:val="16"/>
                <w:lang w:val="es-419" w:eastAsia="es-419"/>
              </w:rPr>
              <w:t xml:space="preserve">35.311.654.050 </w:t>
            </w:r>
          </w:p>
        </w:tc>
      </w:tr>
      <w:tr w:rsidR="001D0619" w:rsidRPr="00951AB1" w14:paraId="34700E29" w14:textId="77777777" w:rsidTr="001D0619">
        <w:trPr>
          <w:cantSplit/>
          <w:trHeight w:val="290"/>
        </w:trPr>
        <w:tc>
          <w:tcPr>
            <w:tcW w:w="131" w:type="pct"/>
            <w:tcBorders>
              <w:top w:val="nil"/>
              <w:left w:val="single" w:sz="4" w:space="0" w:color="A6A6A6"/>
              <w:bottom w:val="single" w:sz="4" w:space="0" w:color="A6A6A6"/>
              <w:right w:val="nil"/>
            </w:tcBorders>
            <w:noWrap/>
            <w:vAlign w:val="center"/>
            <w:hideMark/>
          </w:tcPr>
          <w:p w14:paraId="3AE8280B" w14:textId="77777777" w:rsidR="00CA0E31" w:rsidRPr="00520A6E" w:rsidRDefault="00CA0E31" w:rsidP="000A5389">
            <w:pPr>
              <w:spacing w:line="240" w:lineRule="auto"/>
              <w:jc w:val="center"/>
              <w:rPr>
                <w:rFonts w:eastAsia="Times New Roman" w:cs="Times New Roman"/>
                <w:sz w:val="16"/>
                <w:szCs w:val="16"/>
                <w:lang w:val="es-419" w:eastAsia="es-419"/>
              </w:rPr>
            </w:pPr>
            <w:r w:rsidRPr="00520A6E">
              <w:rPr>
                <w:rFonts w:eastAsia="Times New Roman" w:cs="Times New Roman"/>
                <w:sz w:val="16"/>
                <w:szCs w:val="16"/>
                <w:lang w:val="es-419" w:eastAsia="es-419"/>
              </w:rPr>
              <w:t> </w:t>
            </w:r>
          </w:p>
        </w:tc>
        <w:tc>
          <w:tcPr>
            <w:tcW w:w="102" w:type="pct"/>
            <w:tcBorders>
              <w:top w:val="nil"/>
              <w:left w:val="nil"/>
              <w:bottom w:val="single" w:sz="4" w:space="0" w:color="A6A6A6"/>
              <w:right w:val="nil"/>
            </w:tcBorders>
            <w:noWrap/>
            <w:vAlign w:val="center"/>
            <w:hideMark/>
          </w:tcPr>
          <w:p w14:paraId="77551339" w14:textId="77777777" w:rsidR="00CA0E31" w:rsidRPr="00520A6E" w:rsidRDefault="00CA0E31" w:rsidP="000A5389">
            <w:pPr>
              <w:spacing w:line="240" w:lineRule="auto"/>
              <w:rPr>
                <w:rFonts w:eastAsia="Times New Roman" w:cs="Times New Roman"/>
                <w:sz w:val="16"/>
                <w:szCs w:val="16"/>
                <w:lang w:val="es-419" w:eastAsia="es-419"/>
              </w:rPr>
            </w:pPr>
            <w:r w:rsidRPr="00520A6E">
              <w:rPr>
                <w:rFonts w:eastAsia="Times New Roman" w:cs="Times New Roman"/>
                <w:sz w:val="16"/>
                <w:szCs w:val="16"/>
                <w:lang w:val="es-419" w:eastAsia="es-419"/>
              </w:rPr>
              <w:t> </w:t>
            </w:r>
          </w:p>
        </w:tc>
        <w:tc>
          <w:tcPr>
            <w:tcW w:w="92" w:type="pct"/>
            <w:tcBorders>
              <w:top w:val="nil"/>
              <w:left w:val="nil"/>
              <w:bottom w:val="single" w:sz="4" w:space="0" w:color="A6A6A6"/>
              <w:right w:val="nil"/>
            </w:tcBorders>
            <w:noWrap/>
            <w:vAlign w:val="center"/>
            <w:hideMark/>
          </w:tcPr>
          <w:p w14:paraId="15CF5AC2" w14:textId="77777777" w:rsidR="00CA0E31" w:rsidRPr="00520A6E" w:rsidRDefault="00CA0E31" w:rsidP="000A5389">
            <w:pPr>
              <w:spacing w:line="240" w:lineRule="auto"/>
              <w:rPr>
                <w:rFonts w:eastAsia="Times New Roman" w:cs="Times New Roman"/>
                <w:sz w:val="16"/>
                <w:szCs w:val="16"/>
                <w:lang w:val="es-419" w:eastAsia="es-419"/>
              </w:rPr>
            </w:pPr>
            <w:r w:rsidRPr="00520A6E">
              <w:rPr>
                <w:rFonts w:eastAsia="Times New Roman" w:cs="Times New Roman"/>
                <w:sz w:val="16"/>
                <w:szCs w:val="16"/>
                <w:lang w:val="es-419" w:eastAsia="es-419"/>
              </w:rPr>
              <w:t> </w:t>
            </w:r>
          </w:p>
        </w:tc>
        <w:tc>
          <w:tcPr>
            <w:tcW w:w="1093" w:type="pct"/>
            <w:tcBorders>
              <w:top w:val="nil"/>
              <w:left w:val="nil"/>
              <w:bottom w:val="single" w:sz="4" w:space="0" w:color="A6A6A6"/>
              <w:right w:val="single" w:sz="4" w:space="0" w:color="A6A6A6"/>
            </w:tcBorders>
            <w:vAlign w:val="center"/>
            <w:hideMark/>
          </w:tcPr>
          <w:p w14:paraId="4ED9916D" w14:textId="77777777" w:rsidR="00CA0E31" w:rsidRPr="00520A6E" w:rsidRDefault="00CA0E31" w:rsidP="000A5389">
            <w:pPr>
              <w:spacing w:line="240" w:lineRule="auto"/>
              <w:rPr>
                <w:rFonts w:eastAsia="Times New Roman" w:cs="Times New Roman"/>
                <w:sz w:val="16"/>
                <w:szCs w:val="16"/>
                <w:lang w:val="es-419" w:eastAsia="es-419"/>
              </w:rPr>
            </w:pPr>
            <w:r w:rsidRPr="00520A6E">
              <w:rPr>
                <w:rFonts w:eastAsia="Times New Roman" w:cs="Times New Roman"/>
                <w:sz w:val="16"/>
                <w:szCs w:val="16"/>
                <w:lang w:val="es-419" w:eastAsia="es-419"/>
              </w:rPr>
              <w:t>Saldo inicial del Deterioro acumulado</w:t>
            </w:r>
          </w:p>
        </w:tc>
        <w:tc>
          <w:tcPr>
            <w:tcW w:w="864" w:type="pct"/>
            <w:tcBorders>
              <w:top w:val="nil"/>
              <w:left w:val="nil"/>
              <w:bottom w:val="single" w:sz="4" w:space="0" w:color="A6A6A6"/>
              <w:right w:val="single" w:sz="4" w:space="0" w:color="A6A6A6"/>
            </w:tcBorders>
            <w:noWrap/>
            <w:vAlign w:val="center"/>
            <w:hideMark/>
          </w:tcPr>
          <w:p w14:paraId="0BACF158" w14:textId="77777777" w:rsidR="00CA0E31" w:rsidRPr="00520A6E" w:rsidRDefault="00CA0E31" w:rsidP="000A5389">
            <w:pPr>
              <w:spacing w:line="240" w:lineRule="auto"/>
              <w:jc w:val="right"/>
              <w:rPr>
                <w:rFonts w:eastAsia="Times New Roman" w:cs="Times New Roman"/>
                <w:color w:val="000000"/>
                <w:sz w:val="16"/>
                <w:szCs w:val="16"/>
                <w:lang w:val="es-419" w:eastAsia="es-419"/>
              </w:rPr>
            </w:pPr>
            <w:r w:rsidRPr="00520A6E">
              <w:rPr>
                <w:rFonts w:eastAsia="Times New Roman" w:cs="Times New Roman"/>
                <w:color w:val="000000"/>
                <w:sz w:val="16"/>
                <w:szCs w:val="16"/>
                <w:lang w:val="es-419" w:eastAsia="es-419"/>
              </w:rPr>
              <w:t xml:space="preserve">789.446.452 </w:t>
            </w:r>
          </w:p>
        </w:tc>
        <w:tc>
          <w:tcPr>
            <w:tcW w:w="914" w:type="pct"/>
            <w:tcBorders>
              <w:top w:val="nil"/>
              <w:left w:val="nil"/>
              <w:bottom w:val="single" w:sz="4" w:space="0" w:color="A6A6A6"/>
              <w:right w:val="single" w:sz="4" w:space="0" w:color="A6A6A6"/>
            </w:tcBorders>
            <w:noWrap/>
            <w:vAlign w:val="center"/>
            <w:hideMark/>
          </w:tcPr>
          <w:p w14:paraId="04B38248" w14:textId="77777777" w:rsidR="00CA0E31" w:rsidRPr="00520A6E" w:rsidRDefault="00CA0E31" w:rsidP="000A5389">
            <w:pPr>
              <w:spacing w:line="240" w:lineRule="auto"/>
              <w:jc w:val="right"/>
              <w:rPr>
                <w:rFonts w:eastAsia="Times New Roman" w:cs="Times New Roman"/>
                <w:color w:val="000000"/>
                <w:sz w:val="16"/>
                <w:szCs w:val="16"/>
                <w:lang w:val="es-419" w:eastAsia="es-419"/>
              </w:rPr>
            </w:pPr>
            <w:r w:rsidRPr="00520A6E">
              <w:rPr>
                <w:rFonts w:eastAsia="Times New Roman" w:cs="Times New Roman"/>
                <w:color w:val="000000"/>
                <w:sz w:val="16"/>
                <w:szCs w:val="16"/>
                <w:lang w:val="es-419" w:eastAsia="es-419"/>
              </w:rPr>
              <w:t xml:space="preserve">0 </w:t>
            </w:r>
          </w:p>
        </w:tc>
        <w:tc>
          <w:tcPr>
            <w:tcW w:w="825" w:type="pct"/>
            <w:tcBorders>
              <w:top w:val="nil"/>
              <w:left w:val="nil"/>
              <w:bottom w:val="single" w:sz="4" w:space="0" w:color="A6A6A6"/>
              <w:right w:val="single" w:sz="4" w:space="0" w:color="A6A6A6"/>
            </w:tcBorders>
            <w:noWrap/>
            <w:vAlign w:val="center"/>
            <w:hideMark/>
          </w:tcPr>
          <w:p w14:paraId="7599B84E" w14:textId="77777777" w:rsidR="00CA0E31" w:rsidRPr="00520A6E" w:rsidRDefault="00CA0E31" w:rsidP="000A5389">
            <w:pPr>
              <w:spacing w:line="240" w:lineRule="auto"/>
              <w:jc w:val="right"/>
              <w:rPr>
                <w:rFonts w:eastAsia="Times New Roman" w:cs="Times New Roman"/>
                <w:color w:val="000000"/>
                <w:sz w:val="16"/>
                <w:szCs w:val="16"/>
                <w:lang w:val="es-419" w:eastAsia="es-419"/>
              </w:rPr>
            </w:pPr>
            <w:r w:rsidRPr="00520A6E">
              <w:rPr>
                <w:rFonts w:eastAsia="Times New Roman" w:cs="Times New Roman"/>
                <w:color w:val="000000"/>
                <w:sz w:val="16"/>
                <w:szCs w:val="16"/>
                <w:lang w:val="es-419" w:eastAsia="es-419"/>
              </w:rPr>
              <w:t xml:space="preserve">0 </w:t>
            </w:r>
          </w:p>
        </w:tc>
        <w:tc>
          <w:tcPr>
            <w:tcW w:w="979" w:type="pct"/>
            <w:tcBorders>
              <w:top w:val="nil"/>
              <w:left w:val="nil"/>
              <w:bottom w:val="single" w:sz="4" w:space="0" w:color="A6A6A6"/>
              <w:right w:val="single" w:sz="4" w:space="0" w:color="A6A6A6"/>
            </w:tcBorders>
            <w:noWrap/>
            <w:vAlign w:val="center"/>
            <w:hideMark/>
          </w:tcPr>
          <w:p w14:paraId="2540725D" w14:textId="77777777" w:rsidR="00CA0E31" w:rsidRPr="00520A6E" w:rsidRDefault="00CA0E31" w:rsidP="000A5389">
            <w:pPr>
              <w:spacing w:line="240" w:lineRule="auto"/>
              <w:jc w:val="right"/>
              <w:rPr>
                <w:rFonts w:eastAsia="Times New Roman" w:cs="Times New Roman"/>
                <w:b/>
                <w:bCs/>
                <w:color w:val="000000"/>
                <w:sz w:val="16"/>
                <w:szCs w:val="16"/>
                <w:lang w:val="es-419" w:eastAsia="es-419"/>
              </w:rPr>
            </w:pPr>
            <w:r w:rsidRPr="00520A6E">
              <w:rPr>
                <w:rFonts w:eastAsia="Times New Roman" w:cs="Times New Roman"/>
                <w:b/>
                <w:bCs/>
                <w:color w:val="000000"/>
                <w:sz w:val="16"/>
                <w:szCs w:val="16"/>
                <w:lang w:val="es-419" w:eastAsia="es-419"/>
              </w:rPr>
              <w:t xml:space="preserve">789.446.452 </w:t>
            </w:r>
          </w:p>
        </w:tc>
      </w:tr>
      <w:tr w:rsidR="001D0619" w:rsidRPr="00951AB1" w14:paraId="6E232C18" w14:textId="77777777" w:rsidTr="001D0619">
        <w:trPr>
          <w:cantSplit/>
          <w:trHeight w:val="290"/>
        </w:trPr>
        <w:tc>
          <w:tcPr>
            <w:tcW w:w="131" w:type="pct"/>
            <w:tcBorders>
              <w:top w:val="nil"/>
              <w:left w:val="single" w:sz="4" w:space="0" w:color="A6A6A6"/>
              <w:bottom w:val="single" w:sz="4" w:space="0" w:color="A6A6A6"/>
              <w:right w:val="nil"/>
            </w:tcBorders>
            <w:noWrap/>
            <w:vAlign w:val="center"/>
            <w:hideMark/>
          </w:tcPr>
          <w:p w14:paraId="49DC1376" w14:textId="77777777" w:rsidR="00CA0E31" w:rsidRPr="00520A6E" w:rsidRDefault="00CA0E31" w:rsidP="000A5389">
            <w:pPr>
              <w:spacing w:line="240" w:lineRule="auto"/>
              <w:jc w:val="center"/>
              <w:rPr>
                <w:rFonts w:eastAsia="Times New Roman" w:cs="Times New Roman"/>
                <w:sz w:val="16"/>
                <w:szCs w:val="16"/>
                <w:lang w:val="es-419" w:eastAsia="es-419"/>
              </w:rPr>
            </w:pPr>
            <w:r w:rsidRPr="00520A6E">
              <w:rPr>
                <w:rFonts w:eastAsia="Times New Roman" w:cs="Times New Roman"/>
                <w:sz w:val="16"/>
                <w:szCs w:val="16"/>
                <w:lang w:val="es-419" w:eastAsia="es-419"/>
              </w:rPr>
              <w:t> </w:t>
            </w:r>
          </w:p>
        </w:tc>
        <w:tc>
          <w:tcPr>
            <w:tcW w:w="102" w:type="pct"/>
            <w:tcBorders>
              <w:top w:val="nil"/>
              <w:left w:val="nil"/>
              <w:bottom w:val="single" w:sz="4" w:space="0" w:color="A6A6A6"/>
              <w:right w:val="nil"/>
            </w:tcBorders>
            <w:noWrap/>
            <w:vAlign w:val="center"/>
            <w:hideMark/>
          </w:tcPr>
          <w:p w14:paraId="1AE3642B" w14:textId="77777777" w:rsidR="00CA0E31" w:rsidRPr="00520A6E" w:rsidRDefault="00CA0E31" w:rsidP="000A5389">
            <w:pPr>
              <w:spacing w:line="240" w:lineRule="auto"/>
              <w:rPr>
                <w:rFonts w:eastAsia="Times New Roman" w:cs="Times New Roman"/>
                <w:sz w:val="16"/>
                <w:szCs w:val="16"/>
                <w:lang w:val="es-419" w:eastAsia="es-419"/>
              </w:rPr>
            </w:pPr>
            <w:r w:rsidRPr="00520A6E">
              <w:rPr>
                <w:rFonts w:eastAsia="Times New Roman" w:cs="Times New Roman"/>
                <w:sz w:val="16"/>
                <w:szCs w:val="16"/>
                <w:lang w:val="es-419" w:eastAsia="es-419"/>
              </w:rPr>
              <w:t> </w:t>
            </w:r>
          </w:p>
        </w:tc>
        <w:tc>
          <w:tcPr>
            <w:tcW w:w="92" w:type="pct"/>
            <w:tcBorders>
              <w:top w:val="nil"/>
              <w:left w:val="nil"/>
              <w:bottom w:val="single" w:sz="4" w:space="0" w:color="A6A6A6"/>
              <w:right w:val="nil"/>
            </w:tcBorders>
            <w:noWrap/>
            <w:vAlign w:val="center"/>
            <w:hideMark/>
          </w:tcPr>
          <w:p w14:paraId="20869858" w14:textId="77777777" w:rsidR="00CA0E31" w:rsidRPr="00520A6E" w:rsidRDefault="00CA0E31" w:rsidP="000A5389">
            <w:pPr>
              <w:spacing w:line="240" w:lineRule="auto"/>
              <w:jc w:val="center"/>
              <w:rPr>
                <w:rFonts w:eastAsia="Times New Roman" w:cs="Times New Roman"/>
                <w:sz w:val="16"/>
                <w:szCs w:val="16"/>
                <w:lang w:val="es-419" w:eastAsia="es-419"/>
              </w:rPr>
            </w:pPr>
            <w:r w:rsidRPr="00520A6E">
              <w:rPr>
                <w:rFonts w:eastAsia="Times New Roman" w:cs="Times New Roman"/>
                <w:sz w:val="16"/>
                <w:szCs w:val="16"/>
                <w:lang w:val="es-419" w:eastAsia="es-419"/>
              </w:rPr>
              <w:t>+</w:t>
            </w:r>
          </w:p>
        </w:tc>
        <w:tc>
          <w:tcPr>
            <w:tcW w:w="1093" w:type="pct"/>
            <w:tcBorders>
              <w:top w:val="nil"/>
              <w:left w:val="nil"/>
              <w:bottom w:val="single" w:sz="4" w:space="0" w:color="A6A6A6"/>
              <w:right w:val="single" w:sz="4" w:space="0" w:color="A6A6A6"/>
            </w:tcBorders>
            <w:vAlign w:val="center"/>
            <w:hideMark/>
          </w:tcPr>
          <w:p w14:paraId="668F2FD3" w14:textId="77777777" w:rsidR="00CA0E31" w:rsidRPr="00520A6E" w:rsidRDefault="00CA0E31" w:rsidP="000A5389">
            <w:pPr>
              <w:spacing w:line="240" w:lineRule="auto"/>
              <w:rPr>
                <w:rFonts w:eastAsia="Times New Roman" w:cs="Times New Roman"/>
                <w:sz w:val="16"/>
                <w:szCs w:val="16"/>
                <w:lang w:val="es-419" w:eastAsia="es-419"/>
              </w:rPr>
            </w:pPr>
            <w:r w:rsidRPr="00520A6E">
              <w:rPr>
                <w:rFonts w:eastAsia="Times New Roman" w:cs="Times New Roman"/>
                <w:sz w:val="16"/>
                <w:szCs w:val="16"/>
                <w:lang w:val="es-419" w:eastAsia="es-419"/>
              </w:rPr>
              <w:t>Deterioro registrado - vigencia actual</w:t>
            </w:r>
          </w:p>
        </w:tc>
        <w:tc>
          <w:tcPr>
            <w:tcW w:w="864" w:type="pct"/>
            <w:tcBorders>
              <w:top w:val="nil"/>
              <w:left w:val="nil"/>
              <w:bottom w:val="single" w:sz="4" w:space="0" w:color="A6A6A6"/>
              <w:right w:val="single" w:sz="4" w:space="0" w:color="A6A6A6"/>
            </w:tcBorders>
            <w:noWrap/>
            <w:vAlign w:val="center"/>
            <w:hideMark/>
          </w:tcPr>
          <w:p w14:paraId="1E2A92E9" w14:textId="77777777" w:rsidR="00CA0E31" w:rsidRPr="00520A6E" w:rsidRDefault="00CA0E31" w:rsidP="000A5389">
            <w:pPr>
              <w:spacing w:line="240" w:lineRule="auto"/>
              <w:jc w:val="right"/>
              <w:rPr>
                <w:rFonts w:eastAsia="Times New Roman" w:cs="Times New Roman"/>
                <w:color w:val="000000"/>
                <w:sz w:val="16"/>
                <w:szCs w:val="16"/>
                <w:lang w:val="es-419" w:eastAsia="es-419"/>
              </w:rPr>
            </w:pPr>
            <w:r w:rsidRPr="00520A6E">
              <w:rPr>
                <w:rFonts w:eastAsia="Times New Roman" w:cs="Times New Roman"/>
                <w:color w:val="000000"/>
                <w:sz w:val="16"/>
                <w:szCs w:val="16"/>
                <w:lang w:val="es-419" w:eastAsia="es-419"/>
              </w:rPr>
              <w:t xml:space="preserve">2.768.243.329 </w:t>
            </w:r>
          </w:p>
        </w:tc>
        <w:tc>
          <w:tcPr>
            <w:tcW w:w="914" w:type="pct"/>
            <w:tcBorders>
              <w:top w:val="nil"/>
              <w:left w:val="nil"/>
              <w:bottom w:val="single" w:sz="4" w:space="0" w:color="A6A6A6"/>
              <w:right w:val="single" w:sz="4" w:space="0" w:color="A6A6A6"/>
            </w:tcBorders>
            <w:noWrap/>
            <w:vAlign w:val="center"/>
            <w:hideMark/>
          </w:tcPr>
          <w:p w14:paraId="6252C5A4" w14:textId="77777777" w:rsidR="00CA0E31" w:rsidRPr="00520A6E" w:rsidRDefault="00CA0E31" w:rsidP="000A5389">
            <w:pPr>
              <w:spacing w:line="240" w:lineRule="auto"/>
              <w:jc w:val="right"/>
              <w:rPr>
                <w:rFonts w:eastAsia="Times New Roman" w:cs="Times New Roman"/>
                <w:color w:val="000000"/>
                <w:sz w:val="16"/>
                <w:szCs w:val="16"/>
                <w:lang w:val="es-419" w:eastAsia="es-419"/>
              </w:rPr>
            </w:pPr>
            <w:r w:rsidRPr="00520A6E">
              <w:rPr>
                <w:rFonts w:eastAsia="Times New Roman" w:cs="Times New Roman"/>
                <w:color w:val="000000"/>
                <w:sz w:val="16"/>
                <w:szCs w:val="16"/>
                <w:lang w:val="es-419" w:eastAsia="es-419"/>
              </w:rPr>
              <w:t xml:space="preserve">32.543.410.721 </w:t>
            </w:r>
          </w:p>
        </w:tc>
        <w:tc>
          <w:tcPr>
            <w:tcW w:w="825" w:type="pct"/>
            <w:tcBorders>
              <w:top w:val="nil"/>
              <w:left w:val="nil"/>
              <w:bottom w:val="single" w:sz="4" w:space="0" w:color="A6A6A6"/>
              <w:right w:val="single" w:sz="4" w:space="0" w:color="A6A6A6"/>
            </w:tcBorders>
            <w:noWrap/>
            <w:vAlign w:val="center"/>
            <w:hideMark/>
          </w:tcPr>
          <w:p w14:paraId="1C750BFB" w14:textId="77777777" w:rsidR="00CA0E31" w:rsidRPr="00520A6E" w:rsidRDefault="00CA0E31" w:rsidP="000A5389">
            <w:pPr>
              <w:spacing w:line="240" w:lineRule="auto"/>
              <w:jc w:val="right"/>
              <w:rPr>
                <w:rFonts w:eastAsia="Times New Roman" w:cs="Times New Roman"/>
                <w:color w:val="000000"/>
                <w:sz w:val="16"/>
                <w:szCs w:val="16"/>
                <w:lang w:val="es-419" w:eastAsia="es-419"/>
              </w:rPr>
            </w:pPr>
            <w:r w:rsidRPr="00520A6E">
              <w:rPr>
                <w:rFonts w:eastAsia="Times New Roman" w:cs="Times New Roman"/>
                <w:color w:val="000000"/>
                <w:sz w:val="16"/>
                <w:szCs w:val="16"/>
                <w:lang w:val="es-419" w:eastAsia="es-419"/>
              </w:rPr>
              <w:t xml:space="preserve">0 </w:t>
            </w:r>
          </w:p>
        </w:tc>
        <w:tc>
          <w:tcPr>
            <w:tcW w:w="979" w:type="pct"/>
            <w:tcBorders>
              <w:top w:val="nil"/>
              <w:left w:val="nil"/>
              <w:bottom w:val="single" w:sz="4" w:space="0" w:color="A6A6A6"/>
              <w:right w:val="single" w:sz="4" w:space="0" w:color="A6A6A6"/>
            </w:tcBorders>
            <w:noWrap/>
            <w:vAlign w:val="center"/>
            <w:hideMark/>
          </w:tcPr>
          <w:p w14:paraId="51596922" w14:textId="77777777" w:rsidR="00CA0E31" w:rsidRPr="00520A6E" w:rsidRDefault="00CA0E31" w:rsidP="000A5389">
            <w:pPr>
              <w:spacing w:line="240" w:lineRule="auto"/>
              <w:jc w:val="right"/>
              <w:rPr>
                <w:rFonts w:eastAsia="Times New Roman" w:cs="Times New Roman"/>
                <w:b/>
                <w:bCs/>
                <w:color w:val="000000"/>
                <w:sz w:val="16"/>
                <w:szCs w:val="16"/>
                <w:lang w:val="es-419" w:eastAsia="es-419"/>
              </w:rPr>
            </w:pPr>
            <w:r w:rsidRPr="00520A6E">
              <w:rPr>
                <w:rFonts w:eastAsia="Times New Roman" w:cs="Times New Roman"/>
                <w:b/>
                <w:bCs/>
                <w:color w:val="000000"/>
                <w:sz w:val="16"/>
                <w:szCs w:val="16"/>
                <w:lang w:val="es-419" w:eastAsia="es-419"/>
              </w:rPr>
              <w:t xml:space="preserve">35.311.654.050 </w:t>
            </w:r>
          </w:p>
        </w:tc>
      </w:tr>
      <w:tr w:rsidR="001D0619" w:rsidRPr="00951AB1" w14:paraId="777C4529" w14:textId="77777777" w:rsidTr="001D0619">
        <w:trPr>
          <w:cantSplit/>
          <w:trHeight w:val="580"/>
        </w:trPr>
        <w:tc>
          <w:tcPr>
            <w:tcW w:w="131" w:type="pct"/>
            <w:tcBorders>
              <w:top w:val="nil"/>
              <w:left w:val="single" w:sz="4" w:space="0" w:color="A6A6A6"/>
              <w:bottom w:val="single" w:sz="4" w:space="0" w:color="A6A6A6"/>
              <w:right w:val="nil"/>
            </w:tcBorders>
            <w:noWrap/>
            <w:vAlign w:val="center"/>
            <w:hideMark/>
          </w:tcPr>
          <w:p w14:paraId="565F8064" w14:textId="77777777" w:rsidR="00CA0E31" w:rsidRPr="00520A6E" w:rsidRDefault="00CA0E31" w:rsidP="000A5389">
            <w:pPr>
              <w:spacing w:line="240" w:lineRule="auto"/>
              <w:jc w:val="center"/>
              <w:rPr>
                <w:rFonts w:eastAsia="Times New Roman" w:cs="Times New Roman"/>
                <w:sz w:val="16"/>
                <w:szCs w:val="16"/>
                <w:lang w:val="es-419" w:eastAsia="es-419"/>
              </w:rPr>
            </w:pPr>
            <w:r w:rsidRPr="00520A6E">
              <w:rPr>
                <w:rFonts w:eastAsia="Times New Roman" w:cs="Times New Roman"/>
                <w:sz w:val="16"/>
                <w:szCs w:val="16"/>
                <w:lang w:val="es-419" w:eastAsia="es-419"/>
              </w:rPr>
              <w:t> </w:t>
            </w:r>
          </w:p>
        </w:tc>
        <w:tc>
          <w:tcPr>
            <w:tcW w:w="102" w:type="pct"/>
            <w:tcBorders>
              <w:top w:val="nil"/>
              <w:left w:val="nil"/>
              <w:bottom w:val="single" w:sz="4" w:space="0" w:color="A6A6A6"/>
              <w:right w:val="nil"/>
            </w:tcBorders>
            <w:noWrap/>
            <w:vAlign w:val="center"/>
            <w:hideMark/>
          </w:tcPr>
          <w:p w14:paraId="28CD56EB" w14:textId="77777777" w:rsidR="00CA0E31" w:rsidRPr="00520A6E" w:rsidRDefault="00CA0E31" w:rsidP="000A5389">
            <w:pPr>
              <w:spacing w:line="240" w:lineRule="auto"/>
              <w:rPr>
                <w:rFonts w:eastAsia="Times New Roman" w:cs="Times New Roman"/>
                <w:sz w:val="16"/>
                <w:szCs w:val="16"/>
                <w:lang w:val="es-419" w:eastAsia="es-419"/>
              </w:rPr>
            </w:pPr>
            <w:r w:rsidRPr="00520A6E">
              <w:rPr>
                <w:rFonts w:eastAsia="Times New Roman" w:cs="Times New Roman"/>
                <w:sz w:val="16"/>
                <w:szCs w:val="16"/>
                <w:lang w:val="es-419" w:eastAsia="es-419"/>
              </w:rPr>
              <w:t> </w:t>
            </w:r>
          </w:p>
        </w:tc>
        <w:tc>
          <w:tcPr>
            <w:tcW w:w="92" w:type="pct"/>
            <w:tcBorders>
              <w:top w:val="nil"/>
              <w:left w:val="nil"/>
              <w:bottom w:val="single" w:sz="4" w:space="0" w:color="A6A6A6"/>
              <w:right w:val="nil"/>
            </w:tcBorders>
            <w:noWrap/>
            <w:vAlign w:val="center"/>
            <w:hideMark/>
          </w:tcPr>
          <w:p w14:paraId="688C3FFF" w14:textId="77777777" w:rsidR="00CA0E31" w:rsidRPr="00520A6E" w:rsidRDefault="00CA0E31" w:rsidP="000A5389">
            <w:pPr>
              <w:spacing w:line="240" w:lineRule="auto"/>
              <w:jc w:val="center"/>
              <w:rPr>
                <w:rFonts w:eastAsia="Times New Roman" w:cs="Times New Roman"/>
                <w:sz w:val="16"/>
                <w:szCs w:val="16"/>
                <w:lang w:val="es-419" w:eastAsia="es-419"/>
              </w:rPr>
            </w:pPr>
            <w:r w:rsidRPr="00520A6E">
              <w:rPr>
                <w:rFonts w:eastAsia="Times New Roman" w:cs="Times New Roman"/>
                <w:sz w:val="16"/>
                <w:szCs w:val="16"/>
                <w:lang w:val="es-419" w:eastAsia="es-419"/>
              </w:rPr>
              <w:t>-</w:t>
            </w:r>
          </w:p>
        </w:tc>
        <w:tc>
          <w:tcPr>
            <w:tcW w:w="1093" w:type="pct"/>
            <w:tcBorders>
              <w:top w:val="nil"/>
              <w:left w:val="nil"/>
              <w:bottom w:val="single" w:sz="4" w:space="0" w:color="A6A6A6"/>
              <w:right w:val="single" w:sz="4" w:space="0" w:color="A6A6A6"/>
            </w:tcBorders>
            <w:vAlign w:val="center"/>
            <w:hideMark/>
          </w:tcPr>
          <w:p w14:paraId="6780168A" w14:textId="77777777" w:rsidR="00CA0E31" w:rsidRPr="00520A6E" w:rsidRDefault="00CA0E31" w:rsidP="000A5389">
            <w:pPr>
              <w:spacing w:line="240" w:lineRule="auto"/>
              <w:rPr>
                <w:rFonts w:eastAsia="Times New Roman" w:cs="Times New Roman"/>
                <w:sz w:val="16"/>
                <w:szCs w:val="16"/>
                <w:lang w:val="es-419" w:eastAsia="es-419"/>
              </w:rPr>
            </w:pPr>
            <w:r w:rsidRPr="00520A6E">
              <w:rPr>
                <w:rFonts w:eastAsia="Times New Roman" w:cs="Times New Roman"/>
                <w:sz w:val="16"/>
                <w:szCs w:val="16"/>
                <w:lang w:val="es-419" w:eastAsia="es-419"/>
              </w:rPr>
              <w:t>Reversión de deterioro acumulado por traslado a otros conceptos</w:t>
            </w:r>
          </w:p>
        </w:tc>
        <w:tc>
          <w:tcPr>
            <w:tcW w:w="864" w:type="pct"/>
            <w:tcBorders>
              <w:top w:val="nil"/>
              <w:left w:val="nil"/>
              <w:bottom w:val="single" w:sz="4" w:space="0" w:color="A6A6A6"/>
              <w:right w:val="single" w:sz="4" w:space="0" w:color="A6A6A6"/>
            </w:tcBorders>
            <w:noWrap/>
            <w:vAlign w:val="center"/>
            <w:hideMark/>
          </w:tcPr>
          <w:p w14:paraId="37EDA478" w14:textId="77777777" w:rsidR="00CA0E31" w:rsidRPr="00520A6E" w:rsidRDefault="00CA0E31" w:rsidP="000A5389">
            <w:pPr>
              <w:spacing w:line="240" w:lineRule="auto"/>
              <w:jc w:val="right"/>
              <w:rPr>
                <w:rFonts w:eastAsia="Times New Roman" w:cs="Times New Roman"/>
                <w:color w:val="000000"/>
                <w:sz w:val="16"/>
                <w:szCs w:val="16"/>
                <w:lang w:val="es-419" w:eastAsia="es-419"/>
              </w:rPr>
            </w:pPr>
            <w:r w:rsidRPr="00520A6E">
              <w:rPr>
                <w:rFonts w:eastAsia="Times New Roman" w:cs="Times New Roman"/>
                <w:color w:val="000000"/>
                <w:sz w:val="16"/>
                <w:szCs w:val="16"/>
                <w:lang w:val="es-419" w:eastAsia="es-419"/>
              </w:rPr>
              <w:t xml:space="preserve">789.446.452 </w:t>
            </w:r>
          </w:p>
        </w:tc>
        <w:tc>
          <w:tcPr>
            <w:tcW w:w="914" w:type="pct"/>
            <w:tcBorders>
              <w:top w:val="nil"/>
              <w:left w:val="nil"/>
              <w:bottom w:val="single" w:sz="4" w:space="0" w:color="A6A6A6"/>
              <w:right w:val="single" w:sz="4" w:space="0" w:color="A6A6A6"/>
            </w:tcBorders>
            <w:noWrap/>
            <w:vAlign w:val="center"/>
            <w:hideMark/>
          </w:tcPr>
          <w:p w14:paraId="32CB5E7F" w14:textId="77777777" w:rsidR="00CA0E31" w:rsidRPr="00520A6E" w:rsidRDefault="00CA0E31" w:rsidP="000A5389">
            <w:pPr>
              <w:spacing w:line="240" w:lineRule="auto"/>
              <w:jc w:val="right"/>
              <w:rPr>
                <w:rFonts w:eastAsia="Times New Roman" w:cs="Times New Roman"/>
                <w:color w:val="000000"/>
                <w:sz w:val="16"/>
                <w:szCs w:val="16"/>
                <w:lang w:val="es-419" w:eastAsia="es-419"/>
              </w:rPr>
            </w:pPr>
            <w:r w:rsidRPr="00520A6E">
              <w:rPr>
                <w:rFonts w:eastAsia="Times New Roman" w:cs="Times New Roman"/>
                <w:color w:val="000000"/>
                <w:sz w:val="16"/>
                <w:szCs w:val="16"/>
                <w:lang w:val="es-419" w:eastAsia="es-419"/>
              </w:rPr>
              <w:t xml:space="preserve">0 </w:t>
            </w:r>
          </w:p>
        </w:tc>
        <w:tc>
          <w:tcPr>
            <w:tcW w:w="825" w:type="pct"/>
            <w:tcBorders>
              <w:top w:val="nil"/>
              <w:left w:val="nil"/>
              <w:bottom w:val="single" w:sz="4" w:space="0" w:color="A6A6A6"/>
              <w:right w:val="single" w:sz="4" w:space="0" w:color="A6A6A6"/>
            </w:tcBorders>
            <w:noWrap/>
            <w:vAlign w:val="center"/>
            <w:hideMark/>
          </w:tcPr>
          <w:p w14:paraId="3EF4EBE1" w14:textId="77777777" w:rsidR="00CA0E31" w:rsidRPr="00520A6E" w:rsidRDefault="00CA0E31" w:rsidP="000A5389">
            <w:pPr>
              <w:spacing w:line="240" w:lineRule="auto"/>
              <w:jc w:val="right"/>
              <w:rPr>
                <w:rFonts w:eastAsia="Times New Roman" w:cs="Times New Roman"/>
                <w:color w:val="000000"/>
                <w:sz w:val="16"/>
                <w:szCs w:val="16"/>
                <w:lang w:val="es-419" w:eastAsia="es-419"/>
              </w:rPr>
            </w:pPr>
            <w:r w:rsidRPr="00520A6E">
              <w:rPr>
                <w:rFonts w:eastAsia="Times New Roman" w:cs="Times New Roman"/>
                <w:color w:val="000000"/>
                <w:sz w:val="16"/>
                <w:szCs w:val="16"/>
                <w:lang w:val="es-419" w:eastAsia="es-419"/>
              </w:rPr>
              <w:t xml:space="preserve">0 </w:t>
            </w:r>
          </w:p>
        </w:tc>
        <w:tc>
          <w:tcPr>
            <w:tcW w:w="979" w:type="pct"/>
            <w:tcBorders>
              <w:top w:val="nil"/>
              <w:left w:val="nil"/>
              <w:bottom w:val="single" w:sz="4" w:space="0" w:color="A6A6A6"/>
              <w:right w:val="single" w:sz="4" w:space="0" w:color="A6A6A6"/>
            </w:tcBorders>
            <w:noWrap/>
            <w:vAlign w:val="center"/>
            <w:hideMark/>
          </w:tcPr>
          <w:p w14:paraId="5509E3FD" w14:textId="77777777" w:rsidR="00CA0E31" w:rsidRPr="00520A6E" w:rsidRDefault="00CA0E31" w:rsidP="000A5389">
            <w:pPr>
              <w:spacing w:line="240" w:lineRule="auto"/>
              <w:jc w:val="right"/>
              <w:rPr>
                <w:rFonts w:eastAsia="Times New Roman" w:cs="Times New Roman"/>
                <w:b/>
                <w:bCs/>
                <w:color w:val="000000"/>
                <w:sz w:val="16"/>
                <w:szCs w:val="16"/>
                <w:lang w:val="es-419" w:eastAsia="es-419"/>
              </w:rPr>
            </w:pPr>
            <w:r w:rsidRPr="00520A6E">
              <w:rPr>
                <w:rFonts w:eastAsia="Times New Roman" w:cs="Times New Roman"/>
                <w:b/>
                <w:bCs/>
                <w:color w:val="000000"/>
                <w:sz w:val="16"/>
                <w:szCs w:val="16"/>
                <w:lang w:val="es-419" w:eastAsia="es-419"/>
              </w:rPr>
              <w:t xml:space="preserve">789.446.452 </w:t>
            </w:r>
          </w:p>
        </w:tc>
      </w:tr>
      <w:tr w:rsidR="001D0619" w:rsidRPr="00951AB1" w14:paraId="2DCC3DBE" w14:textId="77777777" w:rsidTr="001D0619">
        <w:trPr>
          <w:cantSplit/>
          <w:trHeight w:val="290"/>
        </w:trPr>
        <w:tc>
          <w:tcPr>
            <w:tcW w:w="131" w:type="pct"/>
            <w:tcBorders>
              <w:top w:val="nil"/>
              <w:left w:val="single" w:sz="4" w:space="0" w:color="A6A6A6"/>
              <w:bottom w:val="single" w:sz="4" w:space="0" w:color="A6A6A6"/>
              <w:right w:val="nil"/>
            </w:tcBorders>
            <w:noWrap/>
            <w:vAlign w:val="center"/>
            <w:hideMark/>
          </w:tcPr>
          <w:p w14:paraId="75763771" w14:textId="77777777" w:rsidR="00CA0E31" w:rsidRPr="00520A6E" w:rsidRDefault="00CA0E31" w:rsidP="000A5389">
            <w:pPr>
              <w:spacing w:line="240" w:lineRule="auto"/>
              <w:jc w:val="center"/>
              <w:rPr>
                <w:rFonts w:eastAsia="Times New Roman" w:cs="Times New Roman"/>
                <w:b/>
                <w:bCs/>
                <w:sz w:val="16"/>
                <w:szCs w:val="16"/>
                <w:lang w:val="es-419" w:eastAsia="es-419"/>
              </w:rPr>
            </w:pPr>
            <w:r w:rsidRPr="00520A6E">
              <w:rPr>
                <w:rFonts w:eastAsia="Times New Roman" w:cs="Times New Roman"/>
                <w:b/>
                <w:bCs/>
                <w:sz w:val="16"/>
                <w:szCs w:val="16"/>
                <w:lang w:val="es-419" w:eastAsia="es-419"/>
              </w:rPr>
              <w:t>=</w:t>
            </w:r>
          </w:p>
        </w:tc>
        <w:tc>
          <w:tcPr>
            <w:tcW w:w="1287" w:type="pct"/>
            <w:gridSpan w:val="3"/>
            <w:tcBorders>
              <w:top w:val="single" w:sz="4" w:space="0" w:color="A6A6A6"/>
              <w:left w:val="nil"/>
              <w:bottom w:val="single" w:sz="4" w:space="0" w:color="A6A6A6"/>
              <w:right w:val="single" w:sz="4" w:space="0" w:color="A6A6A6"/>
            </w:tcBorders>
            <w:vAlign w:val="center"/>
            <w:hideMark/>
          </w:tcPr>
          <w:p w14:paraId="5339EC80" w14:textId="77777777" w:rsidR="00CA0E31" w:rsidRPr="00520A6E" w:rsidRDefault="00CA0E31" w:rsidP="000A5389">
            <w:pPr>
              <w:spacing w:line="240" w:lineRule="auto"/>
              <w:rPr>
                <w:rFonts w:eastAsia="Times New Roman" w:cs="Times New Roman"/>
                <w:b/>
                <w:bCs/>
                <w:sz w:val="16"/>
                <w:szCs w:val="16"/>
                <w:lang w:val="es-419" w:eastAsia="es-419"/>
              </w:rPr>
            </w:pPr>
            <w:r w:rsidRPr="00520A6E">
              <w:rPr>
                <w:rFonts w:eastAsia="Times New Roman" w:cs="Times New Roman"/>
                <w:b/>
                <w:bCs/>
                <w:sz w:val="16"/>
                <w:szCs w:val="16"/>
                <w:lang w:val="es-419" w:eastAsia="es-419"/>
              </w:rPr>
              <w:t>VALOR EN LIBROS</w:t>
            </w:r>
            <w:r w:rsidRPr="00520A6E">
              <w:rPr>
                <w:rFonts w:eastAsia="Times New Roman" w:cs="Times New Roman"/>
                <w:b/>
                <w:bCs/>
                <w:sz w:val="16"/>
                <w:szCs w:val="16"/>
                <w:lang w:val="es-419" w:eastAsia="es-419"/>
              </w:rPr>
              <w:br/>
              <w:t>(Saldo final - DA - DE)</w:t>
            </w:r>
          </w:p>
        </w:tc>
        <w:tc>
          <w:tcPr>
            <w:tcW w:w="864" w:type="pct"/>
            <w:tcBorders>
              <w:top w:val="nil"/>
              <w:left w:val="nil"/>
              <w:bottom w:val="single" w:sz="4" w:space="0" w:color="A6A6A6"/>
              <w:right w:val="single" w:sz="4" w:space="0" w:color="A6A6A6"/>
            </w:tcBorders>
            <w:noWrap/>
            <w:vAlign w:val="center"/>
            <w:hideMark/>
          </w:tcPr>
          <w:p w14:paraId="7032CD7A" w14:textId="77777777" w:rsidR="00CA0E31" w:rsidRPr="00520A6E" w:rsidRDefault="00CA0E31" w:rsidP="000A5389">
            <w:pPr>
              <w:spacing w:line="240" w:lineRule="auto"/>
              <w:jc w:val="right"/>
              <w:rPr>
                <w:rFonts w:eastAsia="Times New Roman" w:cs="Times New Roman"/>
                <w:b/>
                <w:bCs/>
                <w:color w:val="000000"/>
                <w:sz w:val="16"/>
                <w:szCs w:val="16"/>
                <w:lang w:val="es-419" w:eastAsia="es-419"/>
              </w:rPr>
            </w:pPr>
            <w:r w:rsidRPr="00520A6E">
              <w:rPr>
                <w:rFonts w:eastAsia="Times New Roman" w:cs="Times New Roman"/>
                <w:b/>
                <w:bCs/>
                <w:color w:val="000000"/>
                <w:sz w:val="16"/>
                <w:szCs w:val="16"/>
                <w:lang w:val="es-419" w:eastAsia="es-419"/>
              </w:rPr>
              <w:t xml:space="preserve">44.574.138.339.396 </w:t>
            </w:r>
          </w:p>
        </w:tc>
        <w:tc>
          <w:tcPr>
            <w:tcW w:w="914" w:type="pct"/>
            <w:tcBorders>
              <w:top w:val="nil"/>
              <w:left w:val="nil"/>
              <w:bottom w:val="single" w:sz="4" w:space="0" w:color="A6A6A6"/>
              <w:right w:val="single" w:sz="4" w:space="0" w:color="A6A6A6"/>
            </w:tcBorders>
            <w:noWrap/>
            <w:vAlign w:val="center"/>
            <w:hideMark/>
          </w:tcPr>
          <w:p w14:paraId="6801BF7F" w14:textId="77777777" w:rsidR="00CA0E31" w:rsidRPr="00520A6E" w:rsidRDefault="00CA0E31" w:rsidP="000A5389">
            <w:pPr>
              <w:spacing w:line="240" w:lineRule="auto"/>
              <w:jc w:val="right"/>
              <w:rPr>
                <w:rFonts w:eastAsia="Times New Roman" w:cs="Times New Roman"/>
                <w:b/>
                <w:bCs/>
                <w:color w:val="000000"/>
                <w:sz w:val="16"/>
                <w:szCs w:val="16"/>
                <w:lang w:val="es-419" w:eastAsia="es-419"/>
              </w:rPr>
            </w:pPr>
            <w:r w:rsidRPr="00520A6E">
              <w:rPr>
                <w:rFonts w:eastAsia="Times New Roman" w:cs="Times New Roman"/>
                <w:b/>
                <w:bCs/>
                <w:color w:val="000000"/>
                <w:sz w:val="16"/>
                <w:szCs w:val="16"/>
                <w:lang w:val="es-419" w:eastAsia="es-419"/>
              </w:rPr>
              <w:t xml:space="preserve">32.295.667.784.113 </w:t>
            </w:r>
          </w:p>
        </w:tc>
        <w:tc>
          <w:tcPr>
            <w:tcW w:w="825" w:type="pct"/>
            <w:tcBorders>
              <w:top w:val="nil"/>
              <w:left w:val="nil"/>
              <w:bottom w:val="single" w:sz="4" w:space="0" w:color="A6A6A6"/>
              <w:right w:val="single" w:sz="4" w:space="0" w:color="A6A6A6"/>
            </w:tcBorders>
            <w:noWrap/>
            <w:vAlign w:val="center"/>
            <w:hideMark/>
          </w:tcPr>
          <w:p w14:paraId="261C66D8" w14:textId="77777777" w:rsidR="00CA0E31" w:rsidRPr="00520A6E" w:rsidRDefault="00CA0E31" w:rsidP="000A5389">
            <w:pPr>
              <w:spacing w:line="240" w:lineRule="auto"/>
              <w:jc w:val="right"/>
              <w:rPr>
                <w:rFonts w:eastAsia="Times New Roman" w:cs="Times New Roman"/>
                <w:b/>
                <w:bCs/>
                <w:color w:val="000000"/>
                <w:sz w:val="16"/>
                <w:szCs w:val="16"/>
                <w:lang w:val="es-419" w:eastAsia="es-419"/>
              </w:rPr>
            </w:pPr>
            <w:r w:rsidRPr="00520A6E">
              <w:rPr>
                <w:rFonts w:eastAsia="Times New Roman" w:cs="Times New Roman"/>
                <w:b/>
                <w:bCs/>
                <w:color w:val="000000"/>
                <w:sz w:val="16"/>
                <w:szCs w:val="16"/>
                <w:lang w:val="es-419" w:eastAsia="es-419"/>
              </w:rPr>
              <w:t xml:space="preserve">147.351.202.516 </w:t>
            </w:r>
          </w:p>
        </w:tc>
        <w:tc>
          <w:tcPr>
            <w:tcW w:w="979" w:type="pct"/>
            <w:tcBorders>
              <w:top w:val="nil"/>
              <w:left w:val="nil"/>
              <w:bottom w:val="single" w:sz="4" w:space="0" w:color="A6A6A6"/>
              <w:right w:val="single" w:sz="4" w:space="0" w:color="A6A6A6"/>
            </w:tcBorders>
            <w:noWrap/>
            <w:vAlign w:val="center"/>
            <w:hideMark/>
          </w:tcPr>
          <w:p w14:paraId="2AA2420A" w14:textId="77777777" w:rsidR="00CA0E31" w:rsidRPr="00520A6E" w:rsidRDefault="00CA0E31" w:rsidP="000A5389">
            <w:pPr>
              <w:spacing w:line="240" w:lineRule="auto"/>
              <w:jc w:val="right"/>
              <w:rPr>
                <w:rFonts w:eastAsia="Times New Roman" w:cs="Times New Roman"/>
                <w:b/>
                <w:bCs/>
                <w:color w:val="000000"/>
                <w:sz w:val="16"/>
                <w:szCs w:val="16"/>
                <w:lang w:val="es-419" w:eastAsia="es-419"/>
              </w:rPr>
            </w:pPr>
            <w:r w:rsidRPr="00520A6E">
              <w:rPr>
                <w:rFonts w:eastAsia="Times New Roman" w:cs="Times New Roman"/>
                <w:b/>
                <w:bCs/>
                <w:color w:val="000000"/>
                <w:sz w:val="16"/>
                <w:szCs w:val="16"/>
                <w:lang w:val="es-419" w:eastAsia="es-419"/>
              </w:rPr>
              <w:t xml:space="preserve">77.017.157.326.025 </w:t>
            </w:r>
          </w:p>
        </w:tc>
      </w:tr>
      <w:tr w:rsidR="001D0619" w:rsidRPr="00951AB1" w14:paraId="3F3379A2" w14:textId="77777777" w:rsidTr="001D0619">
        <w:trPr>
          <w:cantSplit/>
          <w:trHeight w:val="290"/>
        </w:trPr>
        <w:tc>
          <w:tcPr>
            <w:tcW w:w="131" w:type="pct"/>
            <w:tcBorders>
              <w:top w:val="nil"/>
              <w:left w:val="single" w:sz="4" w:space="0" w:color="A6A6A6"/>
              <w:bottom w:val="single" w:sz="4" w:space="0" w:color="A6A6A6"/>
              <w:right w:val="nil"/>
            </w:tcBorders>
            <w:noWrap/>
            <w:vAlign w:val="center"/>
            <w:hideMark/>
          </w:tcPr>
          <w:p w14:paraId="0F698023" w14:textId="77777777" w:rsidR="00CA0E31" w:rsidRPr="00520A6E" w:rsidRDefault="00CA0E31" w:rsidP="000A5389">
            <w:pPr>
              <w:spacing w:line="240" w:lineRule="auto"/>
              <w:jc w:val="center"/>
              <w:rPr>
                <w:rFonts w:eastAsia="Times New Roman" w:cs="Times New Roman"/>
                <w:b/>
                <w:bCs/>
                <w:sz w:val="16"/>
                <w:szCs w:val="16"/>
                <w:lang w:val="es-419" w:eastAsia="es-419"/>
              </w:rPr>
            </w:pPr>
            <w:r w:rsidRPr="00520A6E">
              <w:rPr>
                <w:rFonts w:eastAsia="Times New Roman" w:cs="Times New Roman"/>
                <w:b/>
                <w:bCs/>
                <w:sz w:val="16"/>
                <w:szCs w:val="16"/>
                <w:lang w:val="es-419" w:eastAsia="es-419"/>
              </w:rPr>
              <w:t> </w:t>
            </w:r>
          </w:p>
        </w:tc>
        <w:tc>
          <w:tcPr>
            <w:tcW w:w="1287" w:type="pct"/>
            <w:gridSpan w:val="3"/>
            <w:tcBorders>
              <w:top w:val="single" w:sz="4" w:space="0" w:color="A6A6A6"/>
              <w:left w:val="nil"/>
              <w:bottom w:val="single" w:sz="4" w:space="0" w:color="A6A6A6"/>
              <w:right w:val="single" w:sz="4" w:space="0" w:color="A6A6A6"/>
            </w:tcBorders>
            <w:vAlign w:val="center"/>
            <w:hideMark/>
          </w:tcPr>
          <w:p w14:paraId="5D657795" w14:textId="77777777" w:rsidR="00CA0E31" w:rsidRPr="00520A6E" w:rsidRDefault="00CA0E31" w:rsidP="000A5389">
            <w:pPr>
              <w:spacing w:line="240" w:lineRule="auto"/>
              <w:rPr>
                <w:rFonts w:eastAsia="Times New Roman" w:cs="Times New Roman"/>
                <w:b/>
                <w:bCs/>
                <w:sz w:val="16"/>
                <w:szCs w:val="16"/>
                <w:lang w:val="es-419" w:eastAsia="es-419"/>
              </w:rPr>
            </w:pPr>
            <w:r w:rsidRPr="00520A6E">
              <w:rPr>
                <w:rFonts w:eastAsia="Times New Roman" w:cs="Times New Roman"/>
                <w:b/>
                <w:bCs/>
                <w:sz w:val="16"/>
                <w:szCs w:val="16"/>
                <w:lang w:val="es-419" w:eastAsia="es-419"/>
              </w:rPr>
              <w:t>% DEPRECIACIÓN ACUMULADA (seguimiento)</w:t>
            </w:r>
          </w:p>
        </w:tc>
        <w:tc>
          <w:tcPr>
            <w:tcW w:w="864" w:type="pct"/>
            <w:tcBorders>
              <w:top w:val="nil"/>
              <w:left w:val="nil"/>
              <w:bottom w:val="single" w:sz="4" w:space="0" w:color="A6A6A6"/>
              <w:right w:val="single" w:sz="4" w:space="0" w:color="A6A6A6"/>
            </w:tcBorders>
            <w:noWrap/>
            <w:vAlign w:val="center"/>
            <w:hideMark/>
          </w:tcPr>
          <w:p w14:paraId="18A98A2A" w14:textId="77777777" w:rsidR="00CA0E31" w:rsidRPr="00520A6E" w:rsidRDefault="00CA0E31" w:rsidP="000A5389">
            <w:pPr>
              <w:spacing w:line="240" w:lineRule="auto"/>
              <w:jc w:val="center"/>
              <w:rPr>
                <w:rFonts w:eastAsia="Times New Roman" w:cs="Times New Roman"/>
                <w:b/>
                <w:bCs/>
                <w:color w:val="000000"/>
                <w:sz w:val="16"/>
                <w:szCs w:val="16"/>
                <w:lang w:val="es-419" w:eastAsia="es-419"/>
              </w:rPr>
            </w:pPr>
            <w:r w:rsidRPr="00520A6E">
              <w:rPr>
                <w:rFonts w:eastAsia="Times New Roman" w:cs="Times New Roman"/>
                <w:b/>
                <w:bCs/>
                <w:color w:val="000000"/>
                <w:sz w:val="16"/>
                <w:szCs w:val="16"/>
                <w:lang w:val="es-419" w:eastAsia="es-419"/>
              </w:rPr>
              <w:t xml:space="preserve">0,4 </w:t>
            </w:r>
          </w:p>
        </w:tc>
        <w:tc>
          <w:tcPr>
            <w:tcW w:w="914" w:type="pct"/>
            <w:tcBorders>
              <w:top w:val="nil"/>
              <w:left w:val="nil"/>
              <w:bottom w:val="single" w:sz="4" w:space="0" w:color="A6A6A6"/>
              <w:right w:val="single" w:sz="4" w:space="0" w:color="A6A6A6"/>
            </w:tcBorders>
            <w:noWrap/>
            <w:vAlign w:val="center"/>
            <w:hideMark/>
          </w:tcPr>
          <w:p w14:paraId="3B262A7A" w14:textId="77777777" w:rsidR="00CA0E31" w:rsidRPr="00520A6E" w:rsidRDefault="00CA0E31" w:rsidP="000A5389">
            <w:pPr>
              <w:spacing w:line="240" w:lineRule="auto"/>
              <w:jc w:val="center"/>
              <w:rPr>
                <w:rFonts w:eastAsia="Times New Roman" w:cs="Times New Roman"/>
                <w:b/>
                <w:bCs/>
                <w:color w:val="000000"/>
                <w:sz w:val="16"/>
                <w:szCs w:val="16"/>
                <w:lang w:val="es-419" w:eastAsia="es-419"/>
              </w:rPr>
            </w:pPr>
            <w:r w:rsidRPr="00520A6E">
              <w:rPr>
                <w:rFonts w:eastAsia="Times New Roman" w:cs="Times New Roman"/>
                <w:b/>
                <w:bCs/>
                <w:color w:val="000000"/>
                <w:sz w:val="16"/>
                <w:szCs w:val="16"/>
                <w:lang w:val="es-419" w:eastAsia="es-419"/>
              </w:rPr>
              <w:t xml:space="preserve">0,0 </w:t>
            </w:r>
          </w:p>
        </w:tc>
        <w:tc>
          <w:tcPr>
            <w:tcW w:w="825" w:type="pct"/>
            <w:tcBorders>
              <w:top w:val="nil"/>
              <w:left w:val="nil"/>
              <w:bottom w:val="single" w:sz="4" w:space="0" w:color="A6A6A6"/>
              <w:right w:val="single" w:sz="4" w:space="0" w:color="A6A6A6"/>
            </w:tcBorders>
            <w:noWrap/>
            <w:vAlign w:val="center"/>
            <w:hideMark/>
          </w:tcPr>
          <w:p w14:paraId="42384D28" w14:textId="77777777" w:rsidR="00CA0E31" w:rsidRPr="00520A6E" w:rsidRDefault="00CA0E31" w:rsidP="000A5389">
            <w:pPr>
              <w:spacing w:line="240" w:lineRule="auto"/>
              <w:jc w:val="center"/>
              <w:rPr>
                <w:rFonts w:eastAsia="Times New Roman" w:cs="Times New Roman"/>
                <w:b/>
                <w:bCs/>
                <w:color w:val="000000"/>
                <w:sz w:val="16"/>
                <w:szCs w:val="16"/>
                <w:lang w:val="es-419" w:eastAsia="es-419"/>
              </w:rPr>
            </w:pPr>
            <w:r w:rsidRPr="00520A6E">
              <w:rPr>
                <w:rFonts w:eastAsia="Times New Roman" w:cs="Times New Roman"/>
                <w:b/>
                <w:bCs/>
                <w:color w:val="000000"/>
                <w:sz w:val="16"/>
                <w:szCs w:val="16"/>
                <w:lang w:val="es-419" w:eastAsia="es-419"/>
              </w:rPr>
              <w:t xml:space="preserve">81,3 </w:t>
            </w:r>
          </w:p>
        </w:tc>
        <w:tc>
          <w:tcPr>
            <w:tcW w:w="979" w:type="pct"/>
            <w:tcBorders>
              <w:top w:val="nil"/>
              <w:left w:val="nil"/>
              <w:bottom w:val="single" w:sz="4" w:space="0" w:color="A6A6A6"/>
              <w:right w:val="single" w:sz="4" w:space="0" w:color="A6A6A6"/>
            </w:tcBorders>
            <w:noWrap/>
            <w:vAlign w:val="center"/>
            <w:hideMark/>
          </w:tcPr>
          <w:p w14:paraId="04F4D246" w14:textId="77777777" w:rsidR="00CA0E31" w:rsidRPr="00520A6E" w:rsidRDefault="00CA0E31" w:rsidP="000A5389">
            <w:pPr>
              <w:spacing w:line="240" w:lineRule="auto"/>
              <w:jc w:val="center"/>
              <w:rPr>
                <w:rFonts w:eastAsia="Times New Roman" w:cs="Times New Roman"/>
                <w:b/>
                <w:bCs/>
                <w:color w:val="000000"/>
                <w:sz w:val="16"/>
                <w:szCs w:val="16"/>
                <w:lang w:val="es-419" w:eastAsia="es-419"/>
              </w:rPr>
            </w:pPr>
            <w:r w:rsidRPr="00520A6E">
              <w:rPr>
                <w:rFonts w:eastAsia="Times New Roman" w:cs="Times New Roman"/>
                <w:b/>
                <w:bCs/>
                <w:color w:val="000000"/>
                <w:sz w:val="16"/>
                <w:szCs w:val="16"/>
                <w:lang w:val="es-419" w:eastAsia="es-419"/>
              </w:rPr>
              <w:t xml:space="preserve">1,0 </w:t>
            </w:r>
          </w:p>
        </w:tc>
      </w:tr>
      <w:tr w:rsidR="001D0619" w:rsidRPr="00951AB1" w14:paraId="0C0C5EBF" w14:textId="77777777" w:rsidTr="001D0619">
        <w:trPr>
          <w:cantSplit/>
          <w:trHeight w:val="290"/>
        </w:trPr>
        <w:tc>
          <w:tcPr>
            <w:tcW w:w="131" w:type="pct"/>
            <w:tcBorders>
              <w:top w:val="nil"/>
              <w:left w:val="single" w:sz="4" w:space="0" w:color="A6A6A6"/>
              <w:bottom w:val="single" w:sz="4" w:space="0" w:color="A6A6A6"/>
              <w:right w:val="nil"/>
            </w:tcBorders>
            <w:noWrap/>
            <w:vAlign w:val="center"/>
            <w:hideMark/>
          </w:tcPr>
          <w:p w14:paraId="34CE0A27" w14:textId="77777777" w:rsidR="00CA0E31" w:rsidRPr="00520A6E" w:rsidRDefault="00CA0E31" w:rsidP="000A5389">
            <w:pPr>
              <w:spacing w:line="240" w:lineRule="auto"/>
              <w:jc w:val="center"/>
              <w:rPr>
                <w:rFonts w:eastAsia="Times New Roman" w:cs="Times New Roman"/>
                <w:b/>
                <w:bCs/>
                <w:sz w:val="16"/>
                <w:szCs w:val="16"/>
                <w:lang w:val="es-419" w:eastAsia="es-419"/>
              </w:rPr>
            </w:pPr>
            <w:r w:rsidRPr="00520A6E">
              <w:rPr>
                <w:rFonts w:eastAsia="Times New Roman" w:cs="Times New Roman"/>
                <w:b/>
                <w:bCs/>
                <w:sz w:val="16"/>
                <w:szCs w:val="16"/>
                <w:lang w:val="es-419" w:eastAsia="es-419"/>
              </w:rPr>
              <w:t> </w:t>
            </w:r>
          </w:p>
        </w:tc>
        <w:tc>
          <w:tcPr>
            <w:tcW w:w="1287" w:type="pct"/>
            <w:gridSpan w:val="3"/>
            <w:tcBorders>
              <w:top w:val="single" w:sz="4" w:space="0" w:color="A6A6A6"/>
              <w:left w:val="nil"/>
              <w:bottom w:val="single" w:sz="4" w:space="0" w:color="A6A6A6"/>
              <w:right w:val="single" w:sz="4" w:space="0" w:color="A6A6A6"/>
            </w:tcBorders>
            <w:vAlign w:val="center"/>
            <w:hideMark/>
          </w:tcPr>
          <w:p w14:paraId="5F684CE3" w14:textId="77777777" w:rsidR="00CA0E31" w:rsidRPr="00520A6E" w:rsidRDefault="00CA0E31" w:rsidP="000A5389">
            <w:pPr>
              <w:spacing w:line="240" w:lineRule="auto"/>
              <w:rPr>
                <w:rFonts w:eastAsia="Times New Roman" w:cs="Times New Roman"/>
                <w:b/>
                <w:bCs/>
                <w:sz w:val="16"/>
                <w:szCs w:val="16"/>
                <w:lang w:val="es-419" w:eastAsia="es-419"/>
              </w:rPr>
            </w:pPr>
            <w:r w:rsidRPr="00520A6E">
              <w:rPr>
                <w:rFonts w:eastAsia="Times New Roman" w:cs="Times New Roman"/>
                <w:b/>
                <w:bCs/>
                <w:sz w:val="16"/>
                <w:szCs w:val="16"/>
                <w:lang w:val="es-419" w:eastAsia="es-419"/>
              </w:rPr>
              <w:t>% DETERIORO ACUMULADO (seguimiento)</w:t>
            </w:r>
          </w:p>
        </w:tc>
        <w:tc>
          <w:tcPr>
            <w:tcW w:w="864" w:type="pct"/>
            <w:tcBorders>
              <w:top w:val="nil"/>
              <w:left w:val="nil"/>
              <w:bottom w:val="single" w:sz="4" w:space="0" w:color="A6A6A6"/>
              <w:right w:val="single" w:sz="4" w:space="0" w:color="A6A6A6"/>
            </w:tcBorders>
            <w:noWrap/>
            <w:vAlign w:val="center"/>
            <w:hideMark/>
          </w:tcPr>
          <w:p w14:paraId="3F5A8EAF" w14:textId="77777777" w:rsidR="00CA0E31" w:rsidRPr="00520A6E" w:rsidRDefault="00CA0E31" w:rsidP="000A5389">
            <w:pPr>
              <w:spacing w:line="240" w:lineRule="auto"/>
              <w:jc w:val="center"/>
              <w:rPr>
                <w:rFonts w:eastAsia="Times New Roman" w:cs="Times New Roman"/>
                <w:b/>
                <w:bCs/>
                <w:color w:val="000000"/>
                <w:sz w:val="16"/>
                <w:szCs w:val="16"/>
                <w:lang w:val="es-419" w:eastAsia="es-419"/>
              </w:rPr>
            </w:pPr>
            <w:r w:rsidRPr="00520A6E">
              <w:rPr>
                <w:rFonts w:eastAsia="Times New Roman" w:cs="Times New Roman"/>
                <w:b/>
                <w:bCs/>
                <w:color w:val="000000"/>
                <w:sz w:val="16"/>
                <w:szCs w:val="16"/>
                <w:lang w:val="es-419" w:eastAsia="es-419"/>
              </w:rPr>
              <w:t xml:space="preserve">0,0 </w:t>
            </w:r>
          </w:p>
        </w:tc>
        <w:tc>
          <w:tcPr>
            <w:tcW w:w="914" w:type="pct"/>
            <w:tcBorders>
              <w:top w:val="nil"/>
              <w:left w:val="nil"/>
              <w:bottom w:val="single" w:sz="4" w:space="0" w:color="A6A6A6"/>
              <w:right w:val="single" w:sz="4" w:space="0" w:color="A6A6A6"/>
            </w:tcBorders>
            <w:noWrap/>
            <w:vAlign w:val="center"/>
            <w:hideMark/>
          </w:tcPr>
          <w:p w14:paraId="1020B0D6" w14:textId="77777777" w:rsidR="00CA0E31" w:rsidRPr="00520A6E" w:rsidRDefault="00CA0E31" w:rsidP="000A5389">
            <w:pPr>
              <w:spacing w:line="240" w:lineRule="auto"/>
              <w:jc w:val="center"/>
              <w:rPr>
                <w:rFonts w:eastAsia="Times New Roman" w:cs="Times New Roman"/>
                <w:b/>
                <w:bCs/>
                <w:color w:val="000000"/>
                <w:sz w:val="16"/>
                <w:szCs w:val="16"/>
                <w:lang w:val="es-419" w:eastAsia="es-419"/>
              </w:rPr>
            </w:pPr>
            <w:r w:rsidRPr="00520A6E">
              <w:rPr>
                <w:rFonts w:eastAsia="Times New Roman" w:cs="Times New Roman"/>
                <w:b/>
                <w:bCs/>
                <w:color w:val="000000"/>
                <w:sz w:val="16"/>
                <w:szCs w:val="16"/>
                <w:lang w:val="es-419" w:eastAsia="es-419"/>
              </w:rPr>
              <w:t xml:space="preserve">0,1 </w:t>
            </w:r>
          </w:p>
        </w:tc>
        <w:tc>
          <w:tcPr>
            <w:tcW w:w="825" w:type="pct"/>
            <w:tcBorders>
              <w:top w:val="nil"/>
              <w:left w:val="nil"/>
              <w:bottom w:val="single" w:sz="4" w:space="0" w:color="A6A6A6"/>
              <w:right w:val="single" w:sz="4" w:space="0" w:color="A6A6A6"/>
            </w:tcBorders>
            <w:noWrap/>
            <w:vAlign w:val="center"/>
            <w:hideMark/>
          </w:tcPr>
          <w:p w14:paraId="512CAC60" w14:textId="77777777" w:rsidR="00CA0E31" w:rsidRPr="00520A6E" w:rsidRDefault="00CA0E31" w:rsidP="000A5389">
            <w:pPr>
              <w:spacing w:line="240" w:lineRule="auto"/>
              <w:jc w:val="center"/>
              <w:rPr>
                <w:rFonts w:eastAsia="Times New Roman" w:cs="Times New Roman"/>
                <w:b/>
                <w:bCs/>
                <w:color w:val="000000"/>
                <w:sz w:val="16"/>
                <w:szCs w:val="16"/>
                <w:lang w:val="es-419" w:eastAsia="es-419"/>
              </w:rPr>
            </w:pPr>
            <w:r w:rsidRPr="00520A6E">
              <w:rPr>
                <w:rFonts w:eastAsia="Times New Roman" w:cs="Times New Roman"/>
                <w:b/>
                <w:bCs/>
                <w:color w:val="000000"/>
                <w:sz w:val="16"/>
                <w:szCs w:val="16"/>
                <w:lang w:val="es-419" w:eastAsia="es-419"/>
              </w:rPr>
              <w:t xml:space="preserve">0,0 </w:t>
            </w:r>
          </w:p>
        </w:tc>
        <w:tc>
          <w:tcPr>
            <w:tcW w:w="979" w:type="pct"/>
            <w:tcBorders>
              <w:top w:val="nil"/>
              <w:left w:val="nil"/>
              <w:bottom w:val="single" w:sz="4" w:space="0" w:color="A6A6A6"/>
              <w:right w:val="single" w:sz="4" w:space="0" w:color="A6A6A6"/>
            </w:tcBorders>
            <w:noWrap/>
            <w:vAlign w:val="center"/>
            <w:hideMark/>
          </w:tcPr>
          <w:p w14:paraId="39DDC647" w14:textId="77777777" w:rsidR="00CA0E31" w:rsidRPr="00520A6E" w:rsidRDefault="00CA0E31" w:rsidP="000A5389">
            <w:pPr>
              <w:spacing w:line="240" w:lineRule="auto"/>
              <w:jc w:val="center"/>
              <w:rPr>
                <w:rFonts w:eastAsia="Times New Roman" w:cs="Times New Roman"/>
                <w:b/>
                <w:bCs/>
                <w:color w:val="000000"/>
                <w:sz w:val="16"/>
                <w:szCs w:val="16"/>
                <w:lang w:val="es-419" w:eastAsia="es-419"/>
              </w:rPr>
            </w:pPr>
            <w:r w:rsidRPr="00520A6E">
              <w:rPr>
                <w:rFonts w:eastAsia="Times New Roman" w:cs="Times New Roman"/>
                <w:b/>
                <w:bCs/>
                <w:color w:val="000000"/>
                <w:sz w:val="16"/>
                <w:szCs w:val="16"/>
                <w:lang w:val="es-419" w:eastAsia="es-419"/>
              </w:rPr>
              <w:t xml:space="preserve">0,0 </w:t>
            </w:r>
          </w:p>
        </w:tc>
      </w:tr>
      <w:tr w:rsidR="001D0619" w:rsidRPr="00951AB1" w14:paraId="00A990AB" w14:textId="77777777" w:rsidTr="001D0619">
        <w:trPr>
          <w:cantSplit/>
          <w:trHeight w:val="290"/>
        </w:trPr>
        <w:tc>
          <w:tcPr>
            <w:tcW w:w="131" w:type="pct"/>
            <w:tcBorders>
              <w:top w:val="nil"/>
              <w:left w:val="single" w:sz="4" w:space="0" w:color="A6A6A6"/>
              <w:bottom w:val="single" w:sz="4" w:space="0" w:color="A6A6A6"/>
              <w:right w:val="nil"/>
            </w:tcBorders>
            <w:noWrap/>
            <w:vAlign w:val="center"/>
            <w:hideMark/>
          </w:tcPr>
          <w:p w14:paraId="519B8DC4" w14:textId="77777777" w:rsidR="00CA0E31" w:rsidRPr="00520A6E" w:rsidRDefault="00CA0E31" w:rsidP="000A5389">
            <w:pPr>
              <w:spacing w:line="240" w:lineRule="auto"/>
              <w:jc w:val="center"/>
              <w:rPr>
                <w:rFonts w:eastAsia="Times New Roman" w:cs="Times New Roman"/>
                <w:b/>
                <w:bCs/>
                <w:sz w:val="16"/>
                <w:szCs w:val="16"/>
                <w:lang w:val="es-419" w:eastAsia="es-419"/>
              </w:rPr>
            </w:pPr>
            <w:r w:rsidRPr="00520A6E">
              <w:rPr>
                <w:rFonts w:eastAsia="Times New Roman" w:cs="Times New Roman"/>
                <w:b/>
                <w:bCs/>
                <w:sz w:val="16"/>
                <w:szCs w:val="16"/>
                <w:lang w:val="es-419" w:eastAsia="es-419"/>
              </w:rPr>
              <w:lastRenderedPageBreak/>
              <w:t> </w:t>
            </w:r>
          </w:p>
        </w:tc>
        <w:tc>
          <w:tcPr>
            <w:tcW w:w="1287" w:type="pct"/>
            <w:gridSpan w:val="3"/>
            <w:tcBorders>
              <w:top w:val="single" w:sz="4" w:space="0" w:color="A6A6A6"/>
              <w:left w:val="nil"/>
              <w:bottom w:val="single" w:sz="4" w:space="0" w:color="A6A6A6"/>
              <w:right w:val="single" w:sz="4" w:space="0" w:color="A6A6A6"/>
            </w:tcBorders>
            <w:vAlign w:val="center"/>
            <w:hideMark/>
          </w:tcPr>
          <w:p w14:paraId="579A83E0" w14:textId="77777777" w:rsidR="00CA0E31" w:rsidRPr="00520A6E" w:rsidRDefault="00CA0E31" w:rsidP="000A5389">
            <w:pPr>
              <w:spacing w:line="240" w:lineRule="auto"/>
              <w:rPr>
                <w:rFonts w:eastAsia="Times New Roman" w:cs="Times New Roman"/>
                <w:b/>
                <w:bCs/>
                <w:sz w:val="16"/>
                <w:szCs w:val="16"/>
                <w:lang w:val="es-419" w:eastAsia="es-419"/>
              </w:rPr>
            </w:pPr>
            <w:r w:rsidRPr="00520A6E">
              <w:rPr>
                <w:rFonts w:eastAsia="Times New Roman" w:cs="Times New Roman"/>
                <w:b/>
                <w:bCs/>
                <w:sz w:val="16"/>
                <w:szCs w:val="16"/>
                <w:lang w:val="es-419" w:eastAsia="es-419"/>
              </w:rPr>
              <w:t>EFECTO EN RESULTADO POR BAJA EN CUENTAS</w:t>
            </w:r>
          </w:p>
        </w:tc>
        <w:tc>
          <w:tcPr>
            <w:tcW w:w="864" w:type="pct"/>
            <w:tcBorders>
              <w:top w:val="nil"/>
              <w:left w:val="nil"/>
              <w:bottom w:val="single" w:sz="4" w:space="0" w:color="A6A6A6"/>
              <w:right w:val="single" w:sz="4" w:space="0" w:color="A6A6A6"/>
            </w:tcBorders>
            <w:noWrap/>
            <w:vAlign w:val="center"/>
            <w:hideMark/>
          </w:tcPr>
          <w:p w14:paraId="5DC202E3" w14:textId="77777777" w:rsidR="00CA0E31" w:rsidRPr="00520A6E" w:rsidRDefault="00CA0E31" w:rsidP="000A5389">
            <w:pPr>
              <w:spacing w:line="240" w:lineRule="auto"/>
              <w:jc w:val="right"/>
              <w:rPr>
                <w:rFonts w:eastAsia="Times New Roman" w:cs="Times New Roman"/>
                <w:b/>
                <w:bCs/>
                <w:color w:val="000000"/>
                <w:sz w:val="16"/>
                <w:szCs w:val="16"/>
                <w:lang w:val="es-419" w:eastAsia="es-419"/>
              </w:rPr>
            </w:pPr>
            <w:r w:rsidRPr="00520A6E">
              <w:rPr>
                <w:rFonts w:eastAsia="Times New Roman" w:cs="Times New Roman"/>
                <w:b/>
                <w:bCs/>
                <w:color w:val="000000"/>
                <w:sz w:val="16"/>
                <w:szCs w:val="16"/>
                <w:lang w:val="es-419" w:eastAsia="es-419"/>
              </w:rPr>
              <w:t>(1.557.710.662.940)</w:t>
            </w:r>
          </w:p>
        </w:tc>
        <w:tc>
          <w:tcPr>
            <w:tcW w:w="914" w:type="pct"/>
            <w:tcBorders>
              <w:top w:val="nil"/>
              <w:left w:val="nil"/>
              <w:bottom w:val="single" w:sz="4" w:space="0" w:color="A6A6A6"/>
              <w:right w:val="single" w:sz="4" w:space="0" w:color="A6A6A6"/>
            </w:tcBorders>
            <w:noWrap/>
            <w:vAlign w:val="center"/>
            <w:hideMark/>
          </w:tcPr>
          <w:p w14:paraId="76F5A87C" w14:textId="77777777" w:rsidR="00CA0E31" w:rsidRPr="00520A6E" w:rsidRDefault="00CA0E31" w:rsidP="000A5389">
            <w:pPr>
              <w:spacing w:line="240" w:lineRule="auto"/>
              <w:jc w:val="right"/>
              <w:rPr>
                <w:rFonts w:eastAsia="Times New Roman" w:cs="Times New Roman"/>
                <w:b/>
                <w:bCs/>
                <w:color w:val="000000"/>
                <w:sz w:val="16"/>
                <w:szCs w:val="16"/>
                <w:lang w:val="es-419" w:eastAsia="es-419"/>
              </w:rPr>
            </w:pPr>
            <w:r w:rsidRPr="00520A6E">
              <w:rPr>
                <w:rFonts w:eastAsia="Times New Roman" w:cs="Times New Roman"/>
                <w:b/>
                <w:bCs/>
                <w:color w:val="000000"/>
                <w:sz w:val="16"/>
                <w:szCs w:val="16"/>
                <w:lang w:val="es-419" w:eastAsia="es-419"/>
              </w:rPr>
              <w:t>(431.128.851.806)</w:t>
            </w:r>
          </w:p>
        </w:tc>
        <w:tc>
          <w:tcPr>
            <w:tcW w:w="825" w:type="pct"/>
            <w:tcBorders>
              <w:top w:val="nil"/>
              <w:left w:val="nil"/>
              <w:bottom w:val="single" w:sz="4" w:space="0" w:color="A6A6A6"/>
              <w:right w:val="single" w:sz="4" w:space="0" w:color="A6A6A6"/>
            </w:tcBorders>
            <w:noWrap/>
            <w:vAlign w:val="center"/>
            <w:hideMark/>
          </w:tcPr>
          <w:p w14:paraId="494D9E13" w14:textId="77777777" w:rsidR="00CA0E31" w:rsidRPr="00520A6E" w:rsidRDefault="00CA0E31" w:rsidP="000A5389">
            <w:pPr>
              <w:spacing w:line="240" w:lineRule="auto"/>
              <w:jc w:val="right"/>
              <w:rPr>
                <w:rFonts w:eastAsia="Times New Roman" w:cs="Times New Roman"/>
                <w:b/>
                <w:bCs/>
                <w:color w:val="000000"/>
                <w:sz w:val="16"/>
                <w:szCs w:val="16"/>
                <w:lang w:val="es-419" w:eastAsia="es-419"/>
              </w:rPr>
            </w:pPr>
            <w:r w:rsidRPr="00520A6E">
              <w:rPr>
                <w:rFonts w:eastAsia="Times New Roman" w:cs="Times New Roman"/>
                <w:b/>
                <w:bCs/>
                <w:color w:val="000000"/>
                <w:sz w:val="16"/>
                <w:szCs w:val="16"/>
                <w:lang w:val="es-419" w:eastAsia="es-419"/>
              </w:rPr>
              <w:t xml:space="preserve">0 </w:t>
            </w:r>
          </w:p>
        </w:tc>
        <w:tc>
          <w:tcPr>
            <w:tcW w:w="979" w:type="pct"/>
            <w:tcBorders>
              <w:top w:val="nil"/>
              <w:left w:val="nil"/>
              <w:bottom w:val="single" w:sz="4" w:space="0" w:color="A6A6A6"/>
              <w:right w:val="single" w:sz="4" w:space="0" w:color="A6A6A6"/>
            </w:tcBorders>
            <w:noWrap/>
            <w:vAlign w:val="center"/>
            <w:hideMark/>
          </w:tcPr>
          <w:p w14:paraId="41B610A6" w14:textId="77777777" w:rsidR="00CA0E31" w:rsidRPr="00520A6E" w:rsidRDefault="00CA0E31" w:rsidP="000A5389">
            <w:pPr>
              <w:spacing w:line="240" w:lineRule="auto"/>
              <w:jc w:val="right"/>
              <w:rPr>
                <w:rFonts w:eastAsia="Times New Roman" w:cs="Times New Roman"/>
                <w:b/>
                <w:bCs/>
                <w:color w:val="000000"/>
                <w:sz w:val="16"/>
                <w:szCs w:val="16"/>
                <w:lang w:val="es-419" w:eastAsia="es-419"/>
              </w:rPr>
            </w:pPr>
            <w:r w:rsidRPr="00520A6E">
              <w:rPr>
                <w:rFonts w:eastAsia="Times New Roman" w:cs="Times New Roman"/>
                <w:b/>
                <w:bCs/>
                <w:color w:val="000000"/>
                <w:sz w:val="16"/>
                <w:szCs w:val="16"/>
                <w:lang w:val="es-419" w:eastAsia="es-419"/>
              </w:rPr>
              <w:t>(1.988.839.514.745)</w:t>
            </w:r>
          </w:p>
        </w:tc>
      </w:tr>
      <w:tr w:rsidR="001D0619" w:rsidRPr="00951AB1" w14:paraId="6068D8CD" w14:textId="77777777" w:rsidTr="001D0619">
        <w:trPr>
          <w:cantSplit/>
          <w:trHeight w:val="290"/>
        </w:trPr>
        <w:tc>
          <w:tcPr>
            <w:tcW w:w="131" w:type="pct"/>
            <w:tcBorders>
              <w:top w:val="nil"/>
              <w:left w:val="single" w:sz="4" w:space="0" w:color="A6A6A6"/>
              <w:bottom w:val="single" w:sz="4" w:space="0" w:color="A6A6A6"/>
              <w:right w:val="nil"/>
            </w:tcBorders>
            <w:noWrap/>
            <w:vAlign w:val="center"/>
            <w:hideMark/>
          </w:tcPr>
          <w:p w14:paraId="041F93DE" w14:textId="77777777" w:rsidR="00CA0E31" w:rsidRPr="00520A6E" w:rsidRDefault="00CA0E31" w:rsidP="000A5389">
            <w:pPr>
              <w:spacing w:line="240" w:lineRule="auto"/>
              <w:jc w:val="center"/>
              <w:rPr>
                <w:rFonts w:eastAsia="Times New Roman" w:cs="Times New Roman"/>
                <w:sz w:val="16"/>
                <w:szCs w:val="16"/>
                <w:lang w:val="es-419" w:eastAsia="es-419"/>
              </w:rPr>
            </w:pPr>
            <w:r w:rsidRPr="00520A6E">
              <w:rPr>
                <w:rFonts w:eastAsia="Times New Roman" w:cs="Times New Roman"/>
                <w:sz w:val="16"/>
                <w:szCs w:val="16"/>
                <w:lang w:val="es-419" w:eastAsia="es-419"/>
              </w:rPr>
              <w:t> </w:t>
            </w:r>
          </w:p>
        </w:tc>
        <w:tc>
          <w:tcPr>
            <w:tcW w:w="102" w:type="pct"/>
            <w:tcBorders>
              <w:top w:val="nil"/>
              <w:left w:val="nil"/>
              <w:bottom w:val="single" w:sz="4" w:space="0" w:color="A6A6A6"/>
              <w:right w:val="nil"/>
            </w:tcBorders>
            <w:noWrap/>
            <w:vAlign w:val="center"/>
            <w:hideMark/>
          </w:tcPr>
          <w:p w14:paraId="4A78516A" w14:textId="77777777" w:rsidR="00CA0E31" w:rsidRPr="00520A6E" w:rsidRDefault="00CA0E31" w:rsidP="000A5389">
            <w:pPr>
              <w:spacing w:line="240" w:lineRule="auto"/>
              <w:rPr>
                <w:rFonts w:eastAsia="Times New Roman" w:cs="Times New Roman"/>
                <w:sz w:val="16"/>
                <w:szCs w:val="16"/>
                <w:lang w:val="es-419" w:eastAsia="es-419"/>
              </w:rPr>
            </w:pPr>
            <w:r w:rsidRPr="00520A6E">
              <w:rPr>
                <w:rFonts w:eastAsia="Times New Roman" w:cs="Times New Roman"/>
                <w:sz w:val="16"/>
                <w:szCs w:val="16"/>
                <w:lang w:val="es-419" w:eastAsia="es-419"/>
              </w:rPr>
              <w:t> </w:t>
            </w:r>
          </w:p>
        </w:tc>
        <w:tc>
          <w:tcPr>
            <w:tcW w:w="92" w:type="pct"/>
            <w:tcBorders>
              <w:top w:val="nil"/>
              <w:left w:val="nil"/>
              <w:bottom w:val="single" w:sz="4" w:space="0" w:color="A6A6A6"/>
              <w:right w:val="nil"/>
            </w:tcBorders>
            <w:noWrap/>
            <w:vAlign w:val="center"/>
            <w:hideMark/>
          </w:tcPr>
          <w:p w14:paraId="04D82377" w14:textId="77777777" w:rsidR="00CA0E31" w:rsidRPr="00520A6E" w:rsidRDefault="00CA0E31" w:rsidP="000A5389">
            <w:pPr>
              <w:spacing w:line="240" w:lineRule="auto"/>
              <w:rPr>
                <w:rFonts w:eastAsia="Times New Roman" w:cs="Times New Roman"/>
                <w:sz w:val="16"/>
                <w:szCs w:val="16"/>
                <w:lang w:val="es-419" w:eastAsia="es-419"/>
              </w:rPr>
            </w:pPr>
            <w:r w:rsidRPr="00520A6E">
              <w:rPr>
                <w:rFonts w:eastAsia="Times New Roman" w:cs="Times New Roman"/>
                <w:sz w:val="16"/>
                <w:szCs w:val="16"/>
                <w:lang w:val="es-419" w:eastAsia="es-419"/>
              </w:rPr>
              <w:t> </w:t>
            </w:r>
          </w:p>
        </w:tc>
        <w:tc>
          <w:tcPr>
            <w:tcW w:w="1093" w:type="pct"/>
            <w:tcBorders>
              <w:top w:val="nil"/>
              <w:left w:val="nil"/>
              <w:bottom w:val="single" w:sz="4" w:space="0" w:color="A6A6A6"/>
              <w:right w:val="single" w:sz="4" w:space="0" w:color="A6A6A6"/>
            </w:tcBorders>
            <w:vAlign w:val="center"/>
            <w:hideMark/>
          </w:tcPr>
          <w:p w14:paraId="72D5392F" w14:textId="77777777" w:rsidR="00CA0E31" w:rsidRPr="00520A6E" w:rsidRDefault="00CA0E31" w:rsidP="000A5389">
            <w:pPr>
              <w:spacing w:line="240" w:lineRule="auto"/>
              <w:rPr>
                <w:rFonts w:eastAsia="Times New Roman" w:cs="Times New Roman"/>
                <w:sz w:val="16"/>
                <w:szCs w:val="16"/>
                <w:lang w:val="es-419" w:eastAsia="es-419"/>
              </w:rPr>
            </w:pPr>
            <w:r w:rsidRPr="00520A6E">
              <w:rPr>
                <w:rFonts w:eastAsia="Times New Roman" w:cs="Times New Roman"/>
                <w:sz w:val="16"/>
                <w:szCs w:val="16"/>
                <w:lang w:val="es-419" w:eastAsia="es-419"/>
              </w:rPr>
              <w:t>Ingresos</w:t>
            </w:r>
          </w:p>
        </w:tc>
        <w:tc>
          <w:tcPr>
            <w:tcW w:w="864" w:type="pct"/>
            <w:tcBorders>
              <w:top w:val="nil"/>
              <w:left w:val="nil"/>
              <w:bottom w:val="single" w:sz="4" w:space="0" w:color="A6A6A6"/>
              <w:right w:val="single" w:sz="4" w:space="0" w:color="A6A6A6"/>
            </w:tcBorders>
            <w:noWrap/>
            <w:vAlign w:val="center"/>
            <w:hideMark/>
          </w:tcPr>
          <w:p w14:paraId="78FFBFAD" w14:textId="77777777" w:rsidR="00CA0E31" w:rsidRPr="00520A6E" w:rsidRDefault="00CA0E31" w:rsidP="000A5389">
            <w:pPr>
              <w:spacing w:line="240" w:lineRule="auto"/>
              <w:jc w:val="right"/>
              <w:rPr>
                <w:rFonts w:eastAsia="Times New Roman" w:cs="Times New Roman"/>
                <w:color w:val="000000"/>
                <w:sz w:val="16"/>
                <w:szCs w:val="16"/>
                <w:lang w:val="es-419" w:eastAsia="es-419"/>
              </w:rPr>
            </w:pPr>
            <w:r w:rsidRPr="00520A6E">
              <w:rPr>
                <w:rFonts w:eastAsia="Times New Roman" w:cs="Times New Roman"/>
                <w:color w:val="000000"/>
                <w:sz w:val="16"/>
                <w:szCs w:val="16"/>
                <w:lang w:val="es-419" w:eastAsia="es-419"/>
              </w:rPr>
              <w:t xml:space="preserve">0 </w:t>
            </w:r>
          </w:p>
        </w:tc>
        <w:tc>
          <w:tcPr>
            <w:tcW w:w="914" w:type="pct"/>
            <w:tcBorders>
              <w:top w:val="nil"/>
              <w:left w:val="nil"/>
              <w:bottom w:val="single" w:sz="4" w:space="0" w:color="A6A6A6"/>
              <w:right w:val="single" w:sz="4" w:space="0" w:color="A6A6A6"/>
            </w:tcBorders>
            <w:noWrap/>
            <w:vAlign w:val="center"/>
            <w:hideMark/>
          </w:tcPr>
          <w:p w14:paraId="06693694" w14:textId="77777777" w:rsidR="00CA0E31" w:rsidRPr="00520A6E" w:rsidRDefault="00CA0E31" w:rsidP="000A5389">
            <w:pPr>
              <w:spacing w:line="240" w:lineRule="auto"/>
              <w:jc w:val="right"/>
              <w:rPr>
                <w:rFonts w:eastAsia="Times New Roman" w:cs="Times New Roman"/>
                <w:color w:val="000000"/>
                <w:sz w:val="16"/>
                <w:szCs w:val="16"/>
                <w:lang w:val="es-419" w:eastAsia="es-419"/>
              </w:rPr>
            </w:pPr>
            <w:r w:rsidRPr="00520A6E">
              <w:rPr>
                <w:rFonts w:eastAsia="Times New Roman" w:cs="Times New Roman"/>
                <w:color w:val="000000"/>
                <w:sz w:val="16"/>
                <w:szCs w:val="16"/>
                <w:lang w:val="es-419" w:eastAsia="es-419"/>
              </w:rPr>
              <w:t xml:space="preserve">0 </w:t>
            </w:r>
          </w:p>
        </w:tc>
        <w:tc>
          <w:tcPr>
            <w:tcW w:w="825" w:type="pct"/>
            <w:tcBorders>
              <w:top w:val="nil"/>
              <w:left w:val="nil"/>
              <w:bottom w:val="single" w:sz="4" w:space="0" w:color="A6A6A6"/>
              <w:right w:val="single" w:sz="4" w:space="0" w:color="A6A6A6"/>
            </w:tcBorders>
            <w:noWrap/>
            <w:vAlign w:val="center"/>
            <w:hideMark/>
          </w:tcPr>
          <w:p w14:paraId="0D5F8072" w14:textId="77777777" w:rsidR="00CA0E31" w:rsidRPr="00520A6E" w:rsidRDefault="00CA0E31" w:rsidP="000A5389">
            <w:pPr>
              <w:spacing w:line="240" w:lineRule="auto"/>
              <w:jc w:val="right"/>
              <w:rPr>
                <w:rFonts w:eastAsia="Times New Roman" w:cs="Times New Roman"/>
                <w:color w:val="000000"/>
                <w:sz w:val="16"/>
                <w:szCs w:val="16"/>
                <w:lang w:val="es-419" w:eastAsia="es-419"/>
              </w:rPr>
            </w:pPr>
            <w:r w:rsidRPr="00520A6E">
              <w:rPr>
                <w:rFonts w:eastAsia="Times New Roman" w:cs="Times New Roman"/>
                <w:color w:val="000000"/>
                <w:sz w:val="16"/>
                <w:szCs w:val="16"/>
                <w:lang w:val="es-419" w:eastAsia="es-419"/>
              </w:rPr>
              <w:t xml:space="preserve">0 </w:t>
            </w:r>
          </w:p>
        </w:tc>
        <w:tc>
          <w:tcPr>
            <w:tcW w:w="979" w:type="pct"/>
            <w:tcBorders>
              <w:top w:val="nil"/>
              <w:left w:val="nil"/>
              <w:bottom w:val="single" w:sz="4" w:space="0" w:color="A6A6A6"/>
              <w:right w:val="single" w:sz="4" w:space="0" w:color="A6A6A6"/>
            </w:tcBorders>
            <w:noWrap/>
            <w:vAlign w:val="center"/>
            <w:hideMark/>
          </w:tcPr>
          <w:p w14:paraId="23CF3D21" w14:textId="77777777" w:rsidR="00CA0E31" w:rsidRPr="00520A6E" w:rsidRDefault="00CA0E31" w:rsidP="000A5389">
            <w:pPr>
              <w:spacing w:line="240" w:lineRule="auto"/>
              <w:jc w:val="right"/>
              <w:rPr>
                <w:rFonts w:eastAsia="Times New Roman" w:cs="Times New Roman"/>
                <w:b/>
                <w:bCs/>
                <w:color w:val="000000"/>
                <w:sz w:val="16"/>
                <w:szCs w:val="16"/>
                <w:lang w:val="es-419" w:eastAsia="es-419"/>
              </w:rPr>
            </w:pPr>
            <w:r w:rsidRPr="00520A6E">
              <w:rPr>
                <w:rFonts w:eastAsia="Times New Roman" w:cs="Times New Roman"/>
                <w:b/>
                <w:bCs/>
                <w:color w:val="000000"/>
                <w:sz w:val="16"/>
                <w:szCs w:val="16"/>
                <w:lang w:val="es-419" w:eastAsia="es-419"/>
              </w:rPr>
              <w:t xml:space="preserve">0 </w:t>
            </w:r>
          </w:p>
        </w:tc>
      </w:tr>
      <w:tr w:rsidR="001D0619" w:rsidRPr="00951AB1" w14:paraId="07BB0664" w14:textId="77777777" w:rsidTr="001D0619">
        <w:trPr>
          <w:cantSplit/>
          <w:trHeight w:val="290"/>
        </w:trPr>
        <w:tc>
          <w:tcPr>
            <w:tcW w:w="131" w:type="pct"/>
            <w:tcBorders>
              <w:top w:val="nil"/>
              <w:left w:val="single" w:sz="4" w:space="0" w:color="A6A6A6"/>
              <w:bottom w:val="single" w:sz="4" w:space="0" w:color="A6A6A6"/>
              <w:right w:val="nil"/>
            </w:tcBorders>
            <w:noWrap/>
            <w:vAlign w:val="center"/>
            <w:hideMark/>
          </w:tcPr>
          <w:p w14:paraId="31522B0E" w14:textId="77777777" w:rsidR="00CA0E31" w:rsidRPr="00520A6E" w:rsidRDefault="00CA0E31" w:rsidP="000A5389">
            <w:pPr>
              <w:spacing w:line="240" w:lineRule="auto"/>
              <w:jc w:val="center"/>
              <w:rPr>
                <w:rFonts w:eastAsia="Times New Roman" w:cs="Times New Roman"/>
                <w:sz w:val="16"/>
                <w:szCs w:val="16"/>
                <w:lang w:val="es-419" w:eastAsia="es-419"/>
              </w:rPr>
            </w:pPr>
            <w:r w:rsidRPr="00520A6E">
              <w:rPr>
                <w:rFonts w:eastAsia="Times New Roman" w:cs="Times New Roman"/>
                <w:sz w:val="16"/>
                <w:szCs w:val="16"/>
                <w:lang w:val="es-419" w:eastAsia="es-419"/>
              </w:rPr>
              <w:t> </w:t>
            </w:r>
          </w:p>
        </w:tc>
        <w:tc>
          <w:tcPr>
            <w:tcW w:w="102" w:type="pct"/>
            <w:tcBorders>
              <w:top w:val="nil"/>
              <w:left w:val="nil"/>
              <w:bottom w:val="single" w:sz="4" w:space="0" w:color="A6A6A6"/>
              <w:right w:val="nil"/>
            </w:tcBorders>
            <w:noWrap/>
            <w:vAlign w:val="center"/>
            <w:hideMark/>
          </w:tcPr>
          <w:p w14:paraId="384A9838" w14:textId="77777777" w:rsidR="00CA0E31" w:rsidRPr="00520A6E" w:rsidRDefault="00CA0E31" w:rsidP="000A5389">
            <w:pPr>
              <w:spacing w:line="240" w:lineRule="auto"/>
              <w:rPr>
                <w:rFonts w:eastAsia="Times New Roman" w:cs="Times New Roman"/>
                <w:sz w:val="16"/>
                <w:szCs w:val="16"/>
                <w:lang w:val="es-419" w:eastAsia="es-419"/>
              </w:rPr>
            </w:pPr>
            <w:r w:rsidRPr="00520A6E">
              <w:rPr>
                <w:rFonts w:eastAsia="Times New Roman" w:cs="Times New Roman"/>
                <w:sz w:val="16"/>
                <w:szCs w:val="16"/>
                <w:lang w:val="es-419" w:eastAsia="es-419"/>
              </w:rPr>
              <w:t> </w:t>
            </w:r>
          </w:p>
        </w:tc>
        <w:tc>
          <w:tcPr>
            <w:tcW w:w="92" w:type="pct"/>
            <w:tcBorders>
              <w:top w:val="nil"/>
              <w:left w:val="nil"/>
              <w:bottom w:val="single" w:sz="4" w:space="0" w:color="A6A6A6"/>
              <w:right w:val="nil"/>
            </w:tcBorders>
            <w:noWrap/>
            <w:vAlign w:val="center"/>
            <w:hideMark/>
          </w:tcPr>
          <w:p w14:paraId="20BE77E9" w14:textId="77777777" w:rsidR="00CA0E31" w:rsidRPr="00520A6E" w:rsidRDefault="00CA0E31" w:rsidP="000A5389">
            <w:pPr>
              <w:spacing w:line="240" w:lineRule="auto"/>
              <w:jc w:val="center"/>
              <w:rPr>
                <w:rFonts w:eastAsia="Times New Roman" w:cs="Times New Roman"/>
                <w:sz w:val="16"/>
                <w:szCs w:val="16"/>
                <w:lang w:val="es-419" w:eastAsia="es-419"/>
              </w:rPr>
            </w:pPr>
            <w:r w:rsidRPr="00520A6E">
              <w:rPr>
                <w:rFonts w:eastAsia="Times New Roman" w:cs="Times New Roman"/>
                <w:sz w:val="16"/>
                <w:szCs w:val="16"/>
                <w:lang w:val="es-419" w:eastAsia="es-419"/>
              </w:rPr>
              <w:t> </w:t>
            </w:r>
          </w:p>
        </w:tc>
        <w:tc>
          <w:tcPr>
            <w:tcW w:w="1093" w:type="pct"/>
            <w:tcBorders>
              <w:top w:val="nil"/>
              <w:left w:val="nil"/>
              <w:bottom w:val="single" w:sz="4" w:space="0" w:color="A6A6A6"/>
              <w:right w:val="single" w:sz="4" w:space="0" w:color="A6A6A6"/>
            </w:tcBorders>
            <w:vAlign w:val="center"/>
            <w:hideMark/>
          </w:tcPr>
          <w:p w14:paraId="460AD7C6" w14:textId="77777777" w:rsidR="00CA0E31" w:rsidRPr="00520A6E" w:rsidRDefault="00CA0E31" w:rsidP="000A5389">
            <w:pPr>
              <w:spacing w:line="240" w:lineRule="auto"/>
              <w:rPr>
                <w:rFonts w:eastAsia="Times New Roman" w:cs="Times New Roman"/>
                <w:sz w:val="16"/>
                <w:szCs w:val="16"/>
                <w:lang w:val="es-419" w:eastAsia="es-419"/>
              </w:rPr>
            </w:pPr>
            <w:r w:rsidRPr="00520A6E">
              <w:rPr>
                <w:rFonts w:eastAsia="Times New Roman" w:cs="Times New Roman"/>
                <w:sz w:val="16"/>
                <w:szCs w:val="16"/>
                <w:lang w:val="es-419" w:eastAsia="es-419"/>
              </w:rPr>
              <w:t>Gastos</w:t>
            </w:r>
          </w:p>
        </w:tc>
        <w:tc>
          <w:tcPr>
            <w:tcW w:w="864" w:type="pct"/>
            <w:tcBorders>
              <w:top w:val="nil"/>
              <w:left w:val="nil"/>
              <w:bottom w:val="single" w:sz="4" w:space="0" w:color="A6A6A6"/>
              <w:right w:val="single" w:sz="4" w:space="0" w:color="A6A6A6"/>
            </w:tcBorders>
            <w:noWrap/>
            <w:vAlign w:val="center"/>
            <w:hideMark/>
          </w:tcPr>
          <w:p w14:paraId="29048E43" w14:textId="77777777" w:rsidR="00CA0E31" w:rsidRPr="00520A6E" w:rsidRDefault="00CA0E31" w:rsidP="000A5389">
            <w:pPr>
              <w:spacing w:line="240" w:lineRule="auto"/>
              <w:jc w:val="right"/>
              <w:rPr>
                <w:rFonts w:eastAsia="Times New Roman" w:cs="Times New Roman"/>
                <w:color w:val="000000"/>
                <w:sz w:val="16"/>
                <w:szCs w:val="16"/>
                <w:lang w:val="es-419" w:eastAsia="es-419"/>
              </w:rPr>
            </w:pPr>
            <w:r w:rsidRPr="00520A6E">
              <w:rPr>
                <w:rFonts w:eastAsia="Times New Roman" w:cs="Times New Roman"/>
                <w:color w:val="000000"/>
                <w:sz w:val="16"/>
                <w:szCs w:val="16"/>
                <w:lang w:val="es-419" w:eastAsia="es-419"/>
              </w:rPr>
              <w:t xml:space="preserve">1.557.710.662.940 </w:t>
            </w:r>
          </w:p>
        </w:tc>
        <w:tc>
          <w:tcPr>
            <w:tcW w:w="914" w:type="pct"/>
            <w:tcBorders>
              <w:top w:val="nil"/>
              <w:left w:val="nil"/>
              <w:bottom w:val="single" w:sz="4" w:space="0" w:color="A6A6A6"/>
              <w:right w:val="single" w:sz="4" w:space="0" w:color="A6A6A6"/>
            </w:tcBorders>
            <w:noWrap/>
            <w:vAlign w:val="center"/>
            <w:hideMark/>
          </w:tcPr>
          <w:p w14:paraId="2ED2772F" w14:textId="77777777" w:rsidR="00CA0E31" w:rsidRPr="00520A6E" w:rsidRDefault="00CA0E31" w:rsidP="000A5389">
            <w:pPr>
              <w:spacing w:line="240" w:lineRule="auto"/>
              <w:jc w:val="right"/>
              <w:rPr>
                <w:rFonts w:eastAsia="Times New Roman" w:cs="Times New Roman"/>
                <w:color w:val="000000"/>
                <w:sz w:val="16"/>
                <w:szCs w:val="16"/>
                <w:lang w:val="es-419" w:eastAsia="es-419"/>
              </w:rPr>
            </w:pPr>
            <w:r w:rsidRPr="00520A6E">
              <w:rPr>
                <w:rFonts w:eastAsia="Times New Roman" w:cs="Times New Roman"/>
                <w:color w:val="000000"/>
                <w:sz w:val="16"/>
                <w:szCs w:val="16"/>
                <w:lang w:val="es-419" w:eastAsia="es-419"/>
              </w:rPr>
              <w:t xml:space="preserve">431.128.851.806 </w:t>
            </w:r>
          </w:p>
        </w:tc>
        <w:tc>
          <w:tcPr>
            <w:tcW w:w="825" w:type="pct"/>
            <w:tcBorders>
              <w:top w:val="nil"/>
              <w:left w:val="nil"/>
              <w:bottom w:val="single" w:sz="4" w:space="0" w:color="A6A6A6"/>
              <w:right w:val="single" w:sz="4" w:space="0" w:color="A6A6A6"/>
            </w:tcBorders>
            <w:noWrap/>
            <w:vAlign w:val="center"/>
            <w:hideMark/>
          </w:tcPr>
          <w:p w14:paraId="5B330D8E" w14:textId="77777777" w:rsidR="00CA0E31" w:rsidRPr="00520A6E" w:rsidRDefault="00CA0E31" w:rsidP="000A5389">
            <w:pPr>
              <w:spacing w:line="240" w:lineRule="auto"/>
              <w:jc w:val="right"/>
              <w:rPr>
                <w:rFonts w:eastAsia="Times New Roman" w:cs="Times New Roman"/>
                <w:color w:val="000000"/>
                <w:sz w:val="16"/>
                <w:szCs w:val="16"/>
                <w:lang w:val="es-419" w:eastAsia="es-419"/>
              </w:rPr>
            </w:pPr>
            <w:r w:rsidRPr="00520A6E">
              <w:rPr>
                <w:rFonts w:eastAsia="Times New Roman" w:cs="Times New Roman"/>
                <w:color w:val="000000"/>
                <w:sz w:val="16"/>
                <w:szCs w:val="16"/>
                <w:lang w:val="es-419" w:eastAsia="es-419"/>
              </w:rPr>
              <w:t xml:space="preserve">0 </w:t>
            </w:r>
          </w:p>
        </w:tc>
        <w:tc>
          <w:tcPr>
            <w:tcW w:w="979" w:type="pct"/>
            <w:tcBorders>
              <w:top w:val="nil"/>
              <w:left w:val="nil"/>
              <w:bottom w:val="single" w:sz="4" w:space="0" w:color="A6A6A6"/>
              <w:right w:val="single" w:sz="4" w:space="0" w:color="A6A6A6"/>
            </w:tcBorders>
            <w:noWrap/>
            <w:vAlign w:val="center"/>
            <w:hideMark/>
          </w:tcPr>
          <w:p w14:paraId="509BE55D" w14:textId="77777777" w:rsidR="00CA0E31" w:rsidRPr="00520A6E" w:rsidRDefault="00CA0E31" w:rsidP="000A5389">
            <w:pPr>
              <w:spacing w:line="240" w:lineRule="auto"/>
              <w:jc w:val="right"/>
              <w:rPr>
                <w:rFonts w:eastAsia="Times New Roman" w:cs="Times New Roman"/>
                <w:b/>
                <w:bCs/>
                <w:color w:val="000000"/>
                <w:sz w:val="16"/>
                <w:szCs w:val="16"/>
                <w:lang w:val="es-419" w:eastAsia="es-419"/>
              </w:rPr>
            </w:pPr>
            <w:r w:rsidRPr="00520A6E">
              <w:rPr>
                <w:rFonts w:eastAsia="Times New Roman" w:cs="Times New Roman"/>
                <w:b/>
                <w:bCs/>
                <w:color w:val="000000"/>
                <w:sz w:val="16"/>
                <w:szCs w:val="16"/>
                <w:lang w:val="es-419" w:eastAsia="es-419"/>
              </w:rPr>
              <w:t xml:space="preserve">1.988.839.514.745 </w:t>
            </w:r>
          </w:p>
        </w:tc>
      </w:tr>
    </w:tbl>
    <w:p w14:paraId="2CF0E97F" w14:textId="77777777" w:rsidR="00CA0E31" w:rsidRPr="00951AB1" w:rsidRDefault="00CA0E31" w:rsidP="000A5389">
      <w:pPr>
        <w:pStyle w:val="Prrafodelista"/>
        <w:spacing w:line="240" w:lineRule="auto"/>
        <w:ind w:left="0"/>
        <w:rPr>
          <w:rFonts w:cs="Times New Roman"/>
          <w:sz w:val="14"/>
          <w:szCs w:val="14"/>
        </w:rPr>
      </w:pPr>
      <w:r w:rsidRPr="00951AB1">
        <w:rPr>
          <w:rFonts w:cs="Times New Roman"/>
          <w:szCs w:val="24"/>
        </w:rPr>
        <w:fldChar w:fldCharType="end"/>
      </w:r>
      <w:r w:rsidRPr="00951AB1">
        <w:rPr>
          <w:rFonts w:cs="Times New Roman"/>
          <w:sz w:val="14"/>
          <w:szCs w:val="14"/>
        </w:rPr>
        <w:t>Cifras expresadas en pesos</w:t>
      </w:r>
    </w:p>
    <w:p w14:paraId="313A6556" w14:textId="77777777" w:rsidR="00CA0E31" w:rsidRPr="00951AB1" w:rsidRDefault="00CA0E31" w:rsidP="000A5389">
      <w:pPr>
        <w:spacing w:line="240" w:lineRule="auto"/>
        <w:rPr>
          <w:rFonts w:cs="Times New Roman"/>
          <w:szCs w:val="24"/>
        </w:rPr>
      </w:pPr>
    </w:p>
    <w:p w14:paraId="34FA8371" w14:textId="7A6D92CF" w:rsidR="00CA0E31" w:rsidRPr="00951AB1" w:rsidRDefault="00CA0E31" w:rsidP="000A5389">
      <w:pPr>
        <w:pStyle w:val="Ttulo2"/>
        <w:numPr>
          <w:ilvl w:val="0"/>
          <w:numId w:val="0"/>
        </w:numPr>
        <w:spacing w:line="240" w:lineRule="auto"/>
        <w:rPr>
          <w:rFonts w:cs="Times New Roman"/>
          <w:color w:val="44546A" w:themeColor="text2"/>
          <w:szCs w:val="24"/>
        </w:rPr>
      </w:pPr>
      <w:bookmarkStart w:id="377" w:name="_Toc191562523"/>
      <w:bookmarkStart w:id="378" w:name="_Toc222955488"/>
      <w:r w:rsidRPr="00951AB1">
        <w:rPr>
          <w:rFonts w:cs="Times New Roman"/>
          <w:color w:val="44546A" w:themeColor="text2"/>
        </w:rPr>
        <w:t xml:space="preserve">11.1.1.  </w:t>
      </w:r>
      <w:r w:rsidRPr="00951AB1">
        <w:rPr>
          <w:rFonts w:cs="Times New Roman"/>
          <w:color w:val="44546A" w:themeColor="text2"/>
        </w:rPr>
        <w:tab/>
        <w:t>Bienes de uso público en servicio - concesión.</w:t>
      </w:r>
      <w:bookmarkEnd w:id="377"/>
      <w:bookmarkEnd w:id="378"/>
    </w:p>
    <w:p w14:paraId="09915A20" w14:textId="77777777" w:rsidR="00CA0E31" w:rsidRPr="00951AB1" w:rsidRDefault="00CA0E31" w:rsidP="000A5389">
      <w:pPr>
        <w:spacing w:line="240" w:lineRule="auto"/>
        <w:rPr>
          <w:rFonts w:cs="Times New Roman"/>
          <w:szCs w:val="24"/>
        </w:rPr>
      </w:pPr>
    </w:p>
    <w:p w14:paraId="283B2976" w14:textId="77777777" w:rsidR="00CA0E31" w:rsidRPr="00951AB1" w:rsidRDefault="00CA0E31" w:rsidP="000A5389">
      <w:pPr>
        <w:spacing w:line="240" w:lineRule="auto"/>
        <w:rPr>
          <w:rFonts w:cs="Times New Roman"/>
          <w:szCs w:val="24"/>
        </w:rPr>
      </w:pPr>
      <w:r w:rsidRPr="00951AB1">
        <w:rPr>
          <w:rFonts w:cs="Times New Roman"/>
          <w:szCs w:val="24"/>
        </w:rPr>
        <w:t>Para la vigencia 2025, los Bienes de uso público presentaron un incremento de $1.932.915.824.497 en la cuenta por las siguientes situaciones:</w:t>
      </w:r>
    </w:p>
    <w:p w14:paraId="00B25150" w14:textId="77777777" w:rsidR="00CA0E31" w:rsidRPr="00951AB1" w:rsidRDefault="00CA0E31" w:rsidP="000A5389">
      <w:pPr>
        <w:spacing w:line="240" w:lineRule="auto"/>
        <w:rPr>
          <w:rFonts w:cs="Times New Roman"/>
          <w:szCs w:val="24"/>
        </w:rPr>
      </w:pPr>
    </w:p>
    <w:p w14:paraId="53E61B70" w14:textId="77777777" w:rsidR="00CA0E31" w:rsidRPr="00951AB1" w:rsidRDefault="00CA0E31" w:rsidP="000A5389">
      <w:pPr>
        <w:pStyle w:val="Prrafodelista"/>
        <w:numPr>
          <w:ilvl w:val="0"/>
          <w:numId w:val="83"/>
        </w:numPr>
        <w:spacing w:line="240" w:lineRule="auto"/>
        <w:rPr>
          <w:rFonts w:cs="Times New Roman"/>
          <w:szCs w:val="24"/>
        </w:rPr>
      </w:pPr>
      <w:r w:rsidRPr="00951AB1">
        <w:rPr>
          <w:rFonts w:cs="Times New Roman"/>
          <w:szCs w:val="24"/>
        </w:rPr>
        <w:t>Actualización de la inversión del modo carretero por valor de $778.266.219.904 atendiendo las técnicas de estimación establecidas.</w:t>
      </w:r>
    </w:p>
    <w:p w14:paraId="3DB78C6D" w14:textId="77777777" w:rsidR="00CA0E31" w:rsidRPr="00951AB1" w:rsidRDefault="00CA0E31" w:rsidP="000A5389">
      <w:pPr>
        <w:pStyle w:val="Prrafodelista"/>
        <w:numPr>
          <w:ilvl w:val="0"/>
          <w:numId w:val="83"/>
        </w:numPr>
        <w:spacing w:line="240" w:lineRule="auto"/>
        <w:rPr>
          <w:rFonts w:cs="Times New Roman"/>
          <w:szCs w:val="24"/>
        </w:rPr>
      </w:pPr>
      <w:r w:rsidRPr="00951AB1">
        <w:rPr>
          <w:rFonts w:cs="Times New Roman"/>
          <w:szCs w:val="24"/>
        </w:rPr>
        <w:t>Incorporación de infraestructura por valor de $133.370.763.048, remitida por el INVIAS, del proyecto concesión Santa Marta Riohacha Paraguachón.</w:t>
      </w:r>
    </w:p>
    <w:p w14:paraId="459316C0" w14:textId="77777777" w:rsidR="00CA0E31" w:rsidRPr="00951AB1" w:rsidRDefault="00CA0E31" w:rsidP="000A5389">
      <w:pPr>
        <w:pStyle w:val="Prrafodelista"/>
        <w:numPr>
          <w:ilvl w:val="0"/>
          <w:numId w:val="83"/>
        </w:numPr>
        <w:spacing w:line="240" w:lineRule="auto"/>
        <w:rPr>
          <w:rFonts w:cs="Times New Roman"/>
          <w:szCs w:val="24"/>
        </w:rPr>
      </w:pPr>
      <w:r w:rsidRPr="00951AB1">
        <w:rPr>
          <w:rFonts w:cs="Times New Roman"/>
          <w:szCs w:val="24"/>
        </w:rPr>
        <w:t>Incorporación terrenos por valor de $35.796.394.020, reportados por el INVIAS, de los siguientes proyectos: i) Concesión Santa Marta Riohacha Paraguachón $404.156.692 y ii) Proyecto Nueva Malla Vial del Valle del Cauca – Corredor Accesos Cali y Palmira Contrato 001-2021 por valor de $35.392.237.328.</w:t>
      </w:r>
    </w:p>
    <w:p w14:paraId="36DCA5D5" w14:textId="77777777" w:rsidR="00CA0E31" w:rsidRPr="00951AB1" w:rsidRDefault="00CA0E31" w:rsidP="000A5389">
      <w:pPr>
        <w:pStyle w:val="Prrafodelista"/>
        <w:numPr>
          <w:ilvl w:val="0"/>
          <w:numId w:val="83"/>
        </w:numPr>
        <w:spacing w:line="240" w:lineRule="auto"/>
        <w:rPr>
          <w:rFonts w:cs="Times New Roman"/>
          <w:szCs w:val="24"/>
        </w:rPr>
      </w:pPr>
      <w:r w:rsidRPr="00951AB1">
        <w:rPr>
          <w:rFonts w:cs="Times New Roman"/>
          <w:szCs w:val="24"/>
        </w:rPr>
        <w:t>Actualización de la inversión del modo portuario por valor de $72.738.503.434 reportada en el formato establecido para el efecto.</w:t>
      </w:r>
    </w:p>
    <w:p w14:paraId="49D2AD4D" w14:textId="77777777" w:rsidR="00CA0E31" w:rsidRPr="00951AB1" w:rsidRDefault="00CA0E31" w:rsidP="000A5389">
      <w:pPr>
        <w:pStyle w:val="Prrafodelista"/>
        <w:numPr>
          <w:ilvl w:val="0"/>
          <w:numId w:val="83"/>
        </w:numPr>
        <w:spacing w:line="240" w:lineRule="auto"/>
        <w:rPr>
          <w:rFonts w:cs="Times New Roman"/>
          <w:szCs w:val="24"/>
        </w:rPr>
      </w:pPr>
      <w:r w:rsidRPr="00951AB1">
        <w:rPr>
          <w:rFonts w:cs="Times New Roman"/>
          <w:szCs w:val="24"/>
        </w:rPr>
        <w:t xml:space="preserve">Actualización de la inversión del modo férreo por valor de $912.743.944.091 de conformidad a la información remitida por los concesionarios en los formatos establecidos. </w:t>
      </w:r>
    </w:p>
    <w:p w14:paraId="324F4368" w14:textId="77777777" w:rsidR="00CA0E31" w:rsidRPr="00951AB1" w:rsidRDefault="00CA0E31" w:rsidP="000A5389">
      <w:pPr>
        <w:pStyle w:val="Prrafodelista"/>
        <w:numPr>
          <w:ilvl w:val="0"/>
          <w:numId w:val="83"/>
        </w:numPr>
        <w:spacing w:line="240" w:lineRule="auto"/>
        <w:rPr>
          <w:rFonts w:cs="Times New Roman"/>
          <w:szCs w:val="24"/>
        </w:rPr>
      </w:pPr>
      <w:r w:rsidRPr="00951AB1">
        <w:rPr>
          <w:rFonts w:cs="Times New Roman"/>
          <w:szCs w:val="24"/>
        </w:rPr>
        <w:t xml:space="preserve">Durante la vigencia 2025, se realizó la baja de activos de bienes de uso público por un valor de $4.362.446.266.890, por el traslado de la infraestructura de proyectos revertidos a las entidades titulares de la infraestructura. </w:t>
      </w:r>
    </w:p>
    <w:p w14:paraId="25D9BDDB" w14:textId="77777777" w:rsidR="00CA0E31" w:rsidRPr="00951AB1" w:rsidRDefault="00CA0E31" w:rsidP="000A5389">
      <w:pPr>
        <w:spacing w:line="240" w:lineRule="auto"/>
        <w:rPr>
          <w:rFonts w:cs="Times New Roman"/>
          <w:sz w:val="16"/>
          <w:szCs w:val="16"/>
        </w:rPr>
      </w:pPr>
    </w:p>
    <w:p w14:paraId="3AE77D82" w14:textId="54D19B1D" w:rsidR="00CA0E31" w:rsidRDefault="00CA0E31" w:rsidP="000A5389">
      <w:pPr>
        <w:spacing w:line="240" w:lineRule="auto"/>
        <w:rPr>
          <w:rFonts w:cs="Times New Roman"/>
          <w:szCs w:val="24"/>
        </w:rPr>
      </w:pPr>
      <w:r w:rsidRPr="00951AB1">
        <w:rPr>
          <w:rFonts w:cs="Times New Roman"/>
          <w:szCs w:val="24"/>
        </w:rPr>
        <w:t>Modo Carretero $4.198.518.074.651:</w:t>
      </w:r>
    </w:p>
    <w:p w14:paraId="45C392A8" w14:textId="77777777" w:rsidR="00520A6E" w:rsidRPr="00951AB1" w:rsidRDefault="00520A6E" w:rsidP="000A5389">
      <w:pPr>
        <w:spacing w:line="240" w:lineRule="auto"/>
        <w:rPr>
          <w:rFonts w:cs="Times New Roman"/>
          <w:sz w:val="16"/>
          <w:szCs w:val="16"/>
        </w:rPr>
      </w:pPr>
    </w:p>
    <w:p w14:paraId="5DC6ACFB" w14:textId="77777777" w:rsidR="00CA0E31" w:rsidRPr="00951AB1" w:rsidRDefault="00CA0E31" w:rsidP="000A5389">
      <w:pPr>
        <w:pStyle w:val="Prrafodelista"/>
        <w:numPr>
          <w:ilvl w:val="0"/>
          <w:numId w:val="83"/>
        </w:numPr>
        <w:spacing w:line="240" w:lineRule="auto"/>
        <w:ind w:left="1068"/>
        <w:rPr>
          <w:rFonts w:cs="Times New Roman"/>
          <w:szCs w:val="24"/>
        </w:rPr>
      </w:pPr>
      <w:r w:rsidRPr="00951AB1">
        <w:rPr>
          <w:rFonts w:cs="Times New Roman"/>
          <w:szCs w:val="24"/>
        </w:rPr>
        <w:t>Proyecto Cordoba Sucre por valor de $1.477.569.725.062.</w:t>
      </w:r>
    </w:p>
    <w:p w14:paraId="29E70156" w14:textId="77777777" w:rsidR="00CA0E31" w:rsidRPr="00951AB1" w:rsidRDefault="00CA0E31" w:rsidP="000A5389">
      <w:pPr>
        <w:pStyle w:val="Prrafodelista"/>
        <w:numPr>
          <w:ilvl w:val="0"/>
          <w:numId w:val="83"/>
        </w:numPr>
        <w:spacing w:line="240" w:lineRule="auto"/>
        <w:ind w:left="1068"/>
        <w:rPr>
          <w:rFonts w:cs="Times New Roman"/>
          <w:szCs w:val="24"/>
        </w:rPr>
      </w:pPr>
      <w:r w:rsidRPr="00951AB1">
        <w:rPr>
          <w:rFonts w:cs="Times New Roman"/>
          <w:szCs w:val="24"/>
        </w:rPr>
        <w:t>Proyecto Briceño-Tunja-Sogamoso por valor de $683.855.568.453.</w:t>
      </w:r>
    </w:p>
    <w:p w14:paraId="1E2B0627" w14:textId="77777777" w:rsidR="00CA0E31" w:rsidRPr="00951AB1" w:rsidRDefault="00CA0E31" w:rsidP="000A5389">
      <w:pPr>
        <w:pStyle w:val="Prrafodelista"/>
        <w:numPr>
          <w:ilvl w:val="0"/>
          <w:numId w:val="83"/>
        </w:numPr>
        <w:spacing w:line="240" w:lineRule="auto"/>
        <w:ind w:left="1068"/>
        <w:rPr>
          <w:rFonts w:cs="Times New Roman"/>
          <w:szCs w:val="24"/>
        </w:rPr>
      </w:pPr>
      <w:r w:rsidRPr="00951AB1">
        <w:rPr>
          <w:rFonts w:cs="Times New Roman"/>
          <w:szCs w:val="24"/>
        </w:rPr>
        <w:t>Proyecto Vías del Nus Por valor de $28.686.852.178.</w:t>
      </w:r>
    </w:p>
    <w:p w14:paraId="7397CBB3" w14:textId="77777777" w:rsidR="00CA0E31" w:rsidRPr="00951AB1" w:rsidRDefault="00CA0E31" w:rsidP="000A5389">
      <w:pPr>
        <w:pStyle w:val="Prrafodelista"/>
        <w:numPr>
          <w:ilvl w:val="0"/>
          <w:numId w:val="83"/>
        </w:numPr>
        <w:spacing w:line="240" w:lineRule="auto"/>
        <w:ind w:left="1068"/>
        <w:rPr>
          <w:rFonts w:cs="Times New Roman"/>
          <w:szCs w:val="24"/>
        </w:rPr>
      </w:pPr>
      <w:r w:rsidRPr="00951AB1">
        <w:rPr>
          <w:rFonts w:cs="Times New Roman"/>
          <w:szCs w:val="24"/>
        </w:rPr>
        <w:t>Área Metropolitana de Cúcuta y Norte de Santander por valor de $346.584.364.350.</w:t>
      </w:r>
    </w:p>
    <w:p w14:paraId="216E8173" w14:textId="77777777" w:rsidR="00CA0E31" w:rsidRPr="00951AB1" w:rsidRDefault="00CA0E31" w:rsidP="000A5389">
      <w:pPr>
        <w:pStyle w:val="Prrafodelista"/>
        <w:numPr>
          <w:ilvl w:val="0"/>
          <w:numId w:val="83"/>
        </w:numPr>
        <w:spacing w:line="240" w:lineRule="auto"/>
        <w:ind w:left="1068"/>
        <w:rPr>
          <w:rFonts w:cs="Times New Roman"/>
          <w:szCs w:val="24"/>
        </w:rPr>
      </w:pPr>
      <w:r w:rsidRPr="00951AB1">
        <w:rPr>
          <w:rFonts w:cs="Times New Roman"/>
          <w:szCs w:val="24"/>
        </w:rPr>
        <w:t>Proyecto Ruta del Sol 1, por valor de $46.257.479.693 y</w:t>
      </w:r>
    </w:p>
    <w:p w14:paraId="2768D027" w14:textId="77777777" w:rsidR="00CA0E31" w:rsidRPr="00951AB1" w:rsidRDefault="00CA0E31" w:rsidP="000A5389">
      <w:pPr>
        <w:pStyle w:val="Prrafodelista"/>
        <w:numPr>
          <w:ilvl w:val="0"/>
          <w:numId w:val="83"/>
        </w:numPr>
        <w:spacing w:line="240" w:lineRule="auto"/>
        <w:ind w:left="1068"/>
        <w:rPr>
          <w:rFonts w:cs="Times New Roman"/>
          <w:szCs w:val="24"/>
        </w:rPr>
      </w:pPr>
      <w:r w:rsidRPr="00951AB1">
        <w:rPr>
          <w:rFonts w:cs="Times New Roman"/>
          <w:szCs w:val="24"/>
        </w:rPr>
        <w:t>Transversal de las Américas por valor de $1.615.564.084.915.</w:t>
      </w:r>
    </w:p>
    <w:p w14:paraId="7B06248F" w14:textId="77777777" w:rsidR="00CA0E31" w:rsidRPr="00951AB1" w:rsidRDefault="00CA0E31" w:rsidP="000A5389">
      <w:pPr>
        <w:spacing w:line="240" w:lineRule="auto"/>
        <w:ind w:left="348"/>
        <w:rPr>
          <w:rFonts w:cs="Times New Roman"/>
          <w:sz w:val="16"/>
          <w:szCs w:val="16"/>
        </w:rPr>
      </w:pPr>
    </w:p>
    <w:p w14:paraId="0BDF4B7E" w14:textId="543F2F18" w:rsidR="00CA0E31" w:rsidRDefault="00CA0E31" w:rsidP="000A5389">
      <w:pPr>
        <w:spacing w:line="240" w:lineRule="auto"/>
        <w:rPr>
          <w:rFonts w:cs="Times New Roman"/>
          <w:szCs w:val="24"/>
        </w:rPr>
      </w:pPr>
      <w:r w:rsidRPr="00951AB1">
        <w:rPr>
          <w:rFonts w:cs="Times New Roman"/>
          <w:szCs w:val="24"/>
        </w:rPr>
        <w:t>Terrenos por $162.823.910.106:</w:t>
      </w:r>
    </w:p>
    <w:p w14:paraId="33FDAF67" w14:textId="77777777" w:rsidR="00520A6E" w:rsidRPr="00951AB1" w:rsidRDefault="00520A6E" w:rsidP="000A5389">
      <w:pPr>
        <w:spacing w:line="240" w:lineRule="auto"/>
        <w:rPr>
          <w:rFonts w:cs="Times New Roman"/>
          <w:szCs w:val="24"/>
        </w:rPr>
      </w:pPr>
    </w:p>
    <w:p w14:paraId="105FD5D3" w14:textId="77777777" w:rsidR="00CA0E31" w:rsidRPr="00951AB1" w:rsidRDefault="00CA0E31" w:rsidP="000A5389">
      <w:pPr>
        <w:pStyle w:val="Prrafodelista"/>
        <w:numPr>
          <w:ilvl w:val="0"/>
          <w:numId w:val="84"/>
        </w:numPr>
        <w:spacing w:line="240" w:lineRule="auto"/>
        <w:rPr>
          <w:rFonts w:cs="Times New Roman"/>
          <w:szCs w:val="24"/>
        </w:rPr>
      </w:pPr>
      <w:r w:rsidRPr="00951AB1">
        <w:rPr>
          <w:rFonts w:cs="Times New Roman"/>
          <w:szCs w:val="24"/>
        </w:rPr>
        <w:t>Proyecto Cordoba Sucre por valor de $57.612.735.471.</w:t>
      </w:r>
    </w:p>
    <w:p w14:paraId="479ACA35" w14:textId="77777777" w:rsidR="00CA0E31" w:rsidRPr="00951AB1" w:rsidRDefault="00CA0E31" w:rsidP="000A5389">
      <w:pPr>
        <w:pStyle w:val="Prrafodelista"/>
        <w:numPr>
          <w:ilvl w:val="0"/>
          <w:numId w:val="84"/>
        </w:numPr>
        <w:spacing w:line="240" w:lineRule="auto"/>
        <w:rPr>
          <w:rFonts w:cs="Times New Roman"/>
          <w:szCs w:val="24"/>
        </w:rPr>
      </w:pPr>
      <w:r w:rsidRPr="00951AB1">
        <w:rPr>
          <w:rFonts w:cs="Times New Roman"/>
          <w:szCs w:val="24"/>
        </w:rPr>
        <w:t>Proyecto Briceño-Tunja-Sogamoso por valor de $35.370.307.624.</w:t>
      </w:r>
    </w:p>
    <w:p w14:paraId="184C22D5" w14:textId="77777777" w:rsidR="00CA0E31" w:rsidRPr="00951AB1" w:rsidRDefault="00CA0E31" w:rsidP="000A5389">
      <w:pPr>
        <w:pStyle w:val="Prrafodelista"/>
        <w:numPr>
          <w:ilvl w:val="0"/>
          <w:numId w:val="84"/>
        </w:numPr>
        <w:spacing w:line="240" w:lineRule="auto"/>
        <w:rPr>
          <w:rFonts w:cs="Times New Roman"/>
          <w:szCs w:val="24"/>
        </w:rPr>
      </w:pPr>
      <w:r w:rsidRPr="00951AB1">
        <w:rPr>
          <w:rFonts w:cs="Times New Roman"/>
          <w:szCs w:val="24"/>
        </w:rPr>
        <w:lastRenderedPageBreak/>
        <w:t>Proyecto Vías del Nus Por valor de $33.406.988.</w:t>
      </w:r>
    </w:p>
    <w:p w14:paraId="57458DFF" w14:textId="77777777" w:rsidR="00CA0E31" w:rsidRPr="00951AB1" w:rsidRDefault="00CA0E31" w:rsidP="000A5389">
      <w:pPr>
        <w:pStyle w:val="Prrafodelista"/>
        <w:numPr>
          <w:ilvl w:val="0"/>
          <w:numId w:val="84"/>
        </w:numPr>
        <w:spacing w:line="240" w:lineRule="auto"/>
        <w:rPr>
          <w:rFonts w:cs="Times New Roman"/>
          <w:szCs w:val="24"/>
        </w:rPr>
      </w:pPr>
      <w:r w:rsidRPr="00951AB1">
        <w:rPr>
          <w:rFonts w:cs="Times New Roman"/>
          <w:szCs w:val="24"/>
        </w:rPr>
        <w:t>Área Metropolitana de Cúcuta y Norte de Santander por valor de $35.627.786.700.</w:t>
      </w:r>
    </w:p>
    <w:p w14:paraId="402801B2" w14:textId="0AA42C56" w:rsidR="00CA0E31" w:rsidRPr="00951AB1" w:rsidRDefault="00CA0E31" w:rsidP="000A5389">
      <w:pPr>
        <w:pStyle w:val="Prrafodelista"/>
        <w:numPr>
          <w:ilvl w:val="0"/>
          <w:numId w:val="84"/>
        </w:numPr>
        <w:spacing w:line="240" w:lineRule="auto"/>
        <w:rPr>
          <w:rFonts w:cs="Times New Roman"/>
          <w:szCs w:val="24"/>
        </w:rPr>
      </w:pPr>
      <w:r w:rsidRPr="00951AB1">
        <w:rPr>
          <w:rFonts w:cs="Times New Roman"/>
          <w:szCs w:val="24"/>
        </w:rPr>
        <w:t>Transversal de las Américas por valor de $34.179.673.323.</w:t>
      </w:r>
    </w:p>
    <w:p w14:paraId="2F941EAC" w14:textId="77777777" w:rsidR="00CA0E31" w:rsidRPr="00951AB1" w:rsidRDefault="00CA0E31" w:rsidP="000A5389">
      <w:pPr>
        <w:spacing w:line="240" w:lineRule="auto"/>
        <w:rPr>
          <w:rFonts w:cs="Times New Roman"/>
          <w:szCs w:val="24"/>
        </w:rPr>
      </w:pPr>
    </w:p>
    <w:p w14:paraId="4C95860A" w14:textId="5B968D0D" w:rsidR="00CA0E31" w:rsidRDefault="00CA0E31" w:rsidP="000A5389">
      <w:pPr>
        <w:spacing w:line="240" w:lineRule="auto"/>
        <w:rPr>
          <w:rFonts w:cs="Times New Roman"/>
          <w:szCs w:val="24"/>
        </w:rPr>
      </w:pPr>
      <w:r w:rsidRPr="00951AB1">
        <w:rPr>
          <w:rFonts w:cs="Times New Roman"/>
          <w:szCs w:val="24"/>
        </w:rPr>
        <w:t>Modo Portuario por valor $1.104.282.133:</w:t>
      </w:r>
    </w:p>
    <w:p w14:paraId="503F1391" w14:textId="77777777" w:rsidR="00520A6E" w:rsidRPr="00951AB1" w:rsidRDefault="00520A6E" w:rsidP="000A5389">
      <w:pPr>
        <w:spacing w:line="240" w:lineRule="auto"/>
        <w:rPr>
          <w:rFonts w:cs="Times New Roman"/>
          <w:sz w:val="16"/>
          <w:szCs w:val="16"/>
        </w:rPr>
      </w:pPr>
    </w:p>
    <w:p w14:paraId="1F441A82" w14:textId="77777777" w:rsidR="00CA0E31" w:rsidRPr="00951AB1" w:rsidRDefault="00CA0E31" w:rsidP="000A5389">
      <w:pPr>
        <w:pStyle w:val="Prrafodelista"/>
        <w:numPr>
          <w:ilvl w:val="0"/>
          <w:numId w:val="85"/>
        </w:numPr>
        <w:spacing w:line="240" w:lineRule="auto"/>
        <w:rPr>
          <w:rFonts w:cs="Times New Roman"/>
          <w:szCs w:val="24"/>
        </w:rPr>
      </w:pPr>
      <w:r w:rsidRPr="00951AB1">
        <w:rPr>
          <w:rFonts w:cs="Times New Roman"/>
          <w:szCs w:val="24"/>
        </w:rPr>
        <w:t>Sociedad Terminales Marítimos del Pacífico por valor de $1.104.282.133.</w:t>
      </w:r>
    </w:p>
    <w:p w14:paraId="12B99DC8" w14:textId="77777777" w:rsidR="00CA0E31" w:rsidRPr="00951AB1" w:rsidRDefault="00CA0E31" w:rsidP="000A5389">
      <w:pPr>
        <w:spacing w:line="240" w:lineRule="auto"/>
        <w:rPr>
          <w:rFonts w:cs="Times New Roman"/>
          <w:sz w:val="16"/>
          <w:szCs w:val="16"/>
        </w:rPr>
      </w:pPr>
    </w:p>
    <w:p w14:paraId="75E6D01A" w14:textId="77777777" w:rsidR="00CA0E31" w:rsidRPr="00951AB1" w:rsidRDefault="00CA0E31" w:rsidP="000A5389">
      <w:pPr>
        <w:spacing w:line="240" w:lineRule="auto"/>
        <w:rPr>
          <w:rFonts w:cs="Times New Roman"/>
          <w:szCs w:val="24"/>
        </w:rPr>
      </w:pPr>
      <w:r w:rsidRPr="00951AB1">
        <w:rPr>
          <w:rFonts w:cs="Times New Roman"/>
          <w:szCs w:val="24"/>
        </w:rPr>
        <w:t>Estas bajas generaron un impacto en el resultado del ejercicio, reflejándose una pérdida la cual fue reconocida en el estado de resultados de la Agencia, de acuerdo con las normas contables aplicables, los Proyectos revertidos en la vigencia 2025 así:</w:t>
      </w:r>
    </w:p>
    <w:p w14:paraId="32CA7C78" w14:textId="77777777" w:rsidR="00CA0E31" w:rsidRPr="00951AB1" w:rsidRDefault="00CA0E31" w:rsidP="000A5389">
      <w:pPr>
        <w:spacing w:line="240" w:lineRule="auto"/>
        <w:rPr>
          <w:rFonts w:cs="Times New Roman"/>
          <w:sz w:val="20"/>
          <w:szCs w:val="20"/>
          <w:lang w:eastAsia="es-CO"/>
        </w:rPr>
      </w:pPr>
      <w:r w:rsidRPr="00951AB1">
        <w:rPr>
          <w:rFonts w:cs="Times New Roman"/>
          <w:sz w:val="22"/>
        </w:rPr>
        <w:fldChar w:fldCharType="begin"/>
      </w:r>
      <w:r w:rsidRPr="00951AB1">
        <w:rPr>
          <w:rFonts w:cs="Times New Roman"/>
        </w:rPr>
        <w:instrText xml:space="preserve"> LINK Excel.Sheet.12 "C:\\Users\\wolarte\\Documents\\0-Ani2025\\0_Cierre2025\\Nota_11\\Anexo N_11 - Bienes Uso público, histór y culturales.XLSX" "Bajas!F4C23:F5C26" \a \f 4 \h  \* MERGEFORMAT </w:instrText>
      </w:r>
      <w:r w:rsidRPr="00951AB1">
        <w:rPr>
          <w:rFonts w:cs="Times New Roman"/>
          <w:sz w:val="22"/>
        </w:rPr>
        <w:fldChar w:fldCharType="separate"/>
      </w:r>
    </w:p>
    <w:tbl>
      <w:tblPr>
        <w:tblW w:w="9072" w:type="dxa"/>
        <w:tblInd w:w="-5" w:type="dxa"/>
        <w:tblCellMar>
          <w:left w:w="70" w:type="dxa"/>
          <w:right w:w="70" w:type="dxa"/>
        </w:tblCellMar>
        <w:tblLook w:val="04A0" w:firstRow="1" w:lastRow="0" w:firstColumn="1" w:lastColumn="0" w:noHBand="0" w:noVBand="1"/>
      </w:tblPr>
      <w:tblGrid>
        <w:gridCol w:w="3686"/>
        <w:gridCol w:w="1940"/>
        <w:gridCol w:w="1701"/>
        <w:gridCol w:w="1940"/>
      </w:tblGrid>
      <w:tr w:rsidR="00CA0E31" w:rsidRPr="00951AB1" w14:paraId="77A03EE8" w14:textId="77777777" w:rsidTr="00CA0E31">
        <w:trPr>
          <w:trHeight w:val="282"/>
        </w:trPr>
        <w:tc>
          <w:tcPr>
            <w:tcW w:w="3686" w:type="dxa"/>
            <w:tcBorders>
              <w:top w:val="single" w:sz="4" w:space="0" w:color="auto"/>
              <w:left w:val="single" w:sz="4" w:space="0" w:color="auto"/>
              <w:bottom w:val="single" w:sz="4" w:space="0" w:color="auto"/>
              <w:right w:val="single" w:sz="4" w:space="0" w:color="auto"/>
            </w:tcBorders>
            <w:vAlign w:val="center"/>
            <w:hideMark/>
          </w:tcPr>
          <w:p w14:paraId="1D15C75C" w14:textId="77777777" w:rsidR="00CA0E31" w:rsidRPr="00951AB1" w:rsidRDefault="00CA0E31" w:rsidP="000A5389">
            <w:pPr>
              <w:spacing w:line="240" w:lineRule="auto"/>
              <w:jc w:val="center"/>
              <w:rPr>
                <w:rFonts w:eastAsia="Times New Roman" w:cs="Times New Roman"/>
                <w:b/>
                <w:bCs/>
                <w:szCs w:val="24"/>
                <w:lang w:val="es-419" w:eastAsia="es-419"/>
              </w:rPr>
            </w:pPr>
            <w:r w:rsidRPr="00951AB1">
              <w:rPr>
                <w:rFonts w:eastAsia="Times New Roman" w:cs="Times New Roman"/>
                <w:b/>
                <w:bCs/>
                <w:szCs w:val="24"/>
                <w:lang w:val="es-419" w:eastAsia="es-419"/>
              </w:rPr>
              <w:t>Concepto</w:t>
            </w:r>
          </w:p>
        </w:tc>
        <w:tc>
          <w:tcPr>
            <w:tcW w:w="1940" w:type="dxa"/>
            <w:tcBorders>
              <w:top w:val="single" w:sz="4" w:space="0" w:color="auto"/>
              <w:left w:val="nil"/>
              <w:bottom w:val="single" w:sz="4" w:space="0" w:color="auto"/>
              <w:right w:val="single" w:sz="4" w:space="0" w:color="auto"/>
            </w:tcBorders>
            <w:vAlign w:val="center"/>
            <w:hideMark/>
          </w:tcPr>
          <w:p w14:paraId="678DDE00" w14:textId="77777777" w:rsidR="00CA0E31" w:rsidRPr="00951AB1" w:rsidRDefault="00CA0E31" w:rsidP="000A5389">
            <w:pPr>
              <w:spacing w:line="240" w:lineRule="auto"/>
              <w:jc w:val="center"/>
              <w:rPr>
                <w:rFonts w:eastAsia="Times New Roman" w:cs="Times New Roman"/>
                <w:b/>
                <w:bCs/>
                <w:szCs w:val="24"/>
                <w:lang w:val="es-419" w:eastAsia="es-419"/>
              </w:rPr>
            </w:pPr>
            <w:r w:rsidRPr="00951AB1">
              <w:rPr>
                <w:rFonts w:eastAsia="Times New Roman" w:cs="Times New Roman"/>
                <w:b/>
                <w:bCs/>
                <w:szCs w:val="24"/>
                <w:lang w:val="es-419" w:eastAsia="es-419"/>
              </w:rPr>
              <w:t>Cordoba Sucre</w:t>
            </w:r>
          </w:p>
        </w:tc>
        <w:tc>
          <w:tcPr>
            <w:tcW w:w="1701" w:type="dxa"/>
            <w:tcBorders>
              <w:top w:val="single" w:sz="4" w:space="0" w:color="auto"/>
              <w:left w:val="nil"/>
              <w:bottom w:val="single" w:sz="4" w:space="0" w:color="auto"/>
              <w:right w:val="single" w:sz="4" w:space="0" w:color="auto"/>
            </w:tcBorders>
            <w:vAlign w:val="center"/>
            <w:hideMark/>
          </w:tcPr>
          <w:p w14:paraId="488A8E13" w14:textId="77777777" w:rsidR="00CA0E31" w:rsidRPr="00951AB1" w:rsidRDefault="00CA0E31" w:rsidP="000A5389">
            <w:pPr>
              <w:spacing w:line="240" w:lineRule="auto"/>
              <w:jc w:val="center"/>
              <w:rPr>
                <w:rFonts w:eastAsia="Times New Roman" w:cs="Times New Roman"/>
                <w:b/>
                <w:bCs/>
                <w:szCs w:val="24"/>
                <w:lang w:val="es-419" w:eastAsia="es-419"/>
              </w:rPr>
            </w:pPr>
            <w:r w:rsidRPr="00951AB1">
              <w:rPr>
                <w:rFonts w:eastAsia="Times New Roman" w:cs="Times New Roman"/>
                <w:b/>
                <w:bCs/>
                <w:szCs w:val="24"/>
                <w:lang w:val="es-419" w:eastAsia="es-419"/>
              </w:rPr>
              <w:t>Vías del Nus</w:t>
            </w:r>
          </w:p>
        </w:tc>
        <w:tc>
          <w:tcPr>
            <w:tcW w:w="1745" w:type="dxa"/>
            <w:tcBorders>
              <w:top w:val="single" w:sz="4" w:space="0" w:color="auto"/>
              <w:left w:val="nil"/>
              <w:bottom w:val="single" w:sz="4" w:space="0" w:color="auto"/>
              <w:right w:val="single" w:sz="4" w:space="0" w:color="auto"/>
            </w:tcBorders>
            <w:vAlign w:val="center"/>
            <w:hideMark/>
          </w:tcPr>
          <w:p w14:paraId="06795436" w14:textId="77777777" w:rsidR="00CA0E31" w:rsidRPr="00951AB1" w:rsidRDefault="00CA0E31" w:rsidP="000A5389">
            <w:pPr>
              <w:spacing w:line="240" w:lineRule="auto"/>
              <w:jc w:val="center"/>
              <w:rPr>
                <w:rFonts w:eastAsia="Times New Roman" w:cs="Times New Roman"/>
                <w:b/>
                <w:bCs/>
                <w:szCs w:val="24"/>
                <w:lang w:val="es-419" w:eastAsia="es-419"/>
              </w:rPr>
            </w:pPr>
            <w:r w:rsidRPr="00951AB1">
              <w:rPr>
                <w:rFonts w:eastAsia="Times New Roman" w:cs="Times New Roman"/>
                <w:b/>
                <w:bCs/>
                <w:szCs w:val="24"/>
                <w:lang w:val="es-419" w:eastAsia="es-419"/>
              </w:rPr>
              <w:t>Total</w:t>
            </w:r>
          </w:p>
        </w:tc>
      </w:tr>
      <w:tr w:rsidR="00CA0E31" w:rsidRPr="00951AB1" w14:paraId="217AFAEA" w14:textId="77777777" w:rsidTr="00CA0E31">
        <w:trPr>
          <w:trHeight w:val="290"/>
        </w:trPr>
        <w:tc>
          <w:tcPr>
            <w:tcW w:w="3686" w:type="dxa"/>
            <w:tcBorders>
              <w:top w:val="nil"/>
              <w:left w:val="single" w:sz="4" w:space="0" w:color="auto"/>
              <w:bottom w:val="single" w:sz="4" w:space="0" w:color="auto"/>
              <w:right w:val="single" w:sz="4" w:space="0" w:color="auto"/>
            </w:tcBorders>
            <w:noWrap/>
            <w:vAlign w:val="center"/>
            <w:hideMark/>
          </w:tcPr>
          <w:p w14:paraId="599A3953" w14:textId="77777777" w:rsidR="00CA0E31" w:rsidRPr="00951AB1" w:rsidRDefault="00CA0E31" w:rsidP="000A5389">
            <w:pPr>
              <w:spacing w:line="240" w:lineRule="auto"/>
              <w:rPr>
                <w:rFonts w:eastAsia="Times New Roman" w:cs="Times New Roman"/>
                <w:szCs w:val="24"/>
                <w:lang w:val="es-419" w:eastAsia="es-419"/>
              </w:rPr>
            </w:pPr>
            <w:r w:rsidRPr="00951AB1">
              <w:rPr>
                <w:rFonts w:eastAsia="Times New Roman" w:cs="Times New Roman"/>
                <w:szCs w:val="24"/>
                <w:lang w:val="es-419" w:eastAsia="es-419"/>
              </w:rPr>
              <w:t>Bienes de uso público en servicio - Carretero</w:t>
            </w:r>
          </w:p>
        </w:tc>
        <w:tc>
          <w:tcPr>
            <w:tcW w:w="1940" w:type="dxa"/>
            <w:tcBorders>
              <w:top w:val="nil"/>
              <w:left w:val="nil"/>
              <w:bottom w:val="single" w:sz="4" w:space="0" w:color="auto"/>
              <w:right w:val="single" w:sz="4" w:space="0" w:color="auto"/>
            </w:tcBorders>
            <w:noWrap/>
            <w:vAlign w:val="center"/>
            <w:hideMark/>
          </w:tcPr>
          <w:p w14:paraId="0C96067D" w14:textId="576460DF" w:rsidR="00CA0E31" w:rsidRPr="00951AB1" w:rsidRDefault="00CA0E31" w:rsidP="000A5389">
            <w:pPr>
              <w:spacing w:line="240" w:lineRule="auto"/>
              <w:rPr>
                <w:rFonts w:eastAsia="Times New Roman" w:cs="Times New Roman"/>
                <w:szCs w:val="24"/>
                <w:lang w:val="es-419" w:eastAsia="es-419"/>
              </w:rPr>
            </w:pPr>
            <w:r w:rsidRPr="00951AB1">
              <w:rPr>
                <w:rFonts w:eastAsia="Times New Roman" w:cs="Times New Roman"/>
                <w:szCs w:val="24"/>
                <w:lang w:val="es-419" w:eastAsia="es-419"/>
              </w:rPr>
              <w:t xml:space="preserve">1.528.990.403.774 </w:t>
            </w:r>
          </w:p>
        </w:tc>
        <w:tc>
          <w:tcPr>
            <w:tcW w:w="1701" w:type="dxa"/>
            <w:tcBorders>
              <w:top w:val="nil"/>
              <w:left w:val="nil"/>
              <w:bottom w:val="single" w:sz="4" w:space="0" w:color="auto"/>
              <w:right w:val="single" w:sz="4" w:space="0" w:color="auto"/>
            </w:tcBorders>
            <w:noWrap/>
            <w:vAlign w:val="center"/>
            <w:hideMark/>
          </w:tcPr>
          <w:p w14:paraId="72839B03" w14:textId="1FDD7639" w:rsidR="00CA0E31" w:rsidRPr="00951AB1" w:rsidRDefault="00CA0E31" w:rsidP="000A5389">
            <w:pPr>
              <w:spacing w:line="240" w:lineRule="auto"/>
              <w:rPr>
                <w:rFonts w:eastAsia="Times New Roman" w:cs="Times New Roman"/>
                <w:szCs w:val="24"/>
                <w:lang w:val="es-419" w:eastAsia="es-419"/>
              </w:rPr>
            </w:pPr>
            <w:r w:rsidRPr="00951AB1">
              <w:rPr>
                <w:rFonts w:eastAsia="Times New Roman" w:cs="Times New Roman"/>
                <w:szCs w:val="24"/>
                <w:lang w:val="es-419" w:eastAsia="es-419"/>
              </w:rPr>
              <w:t xml:space="preserve"> 28.720.259.166 </w:t>
            </w:r>
          </w:p>
        </w:tc>
        <w:tc>
          <w:tcPr>
            <w:tcW w:w="1745" w:type="dxa"/>
            <w:tcBorders>
              <w:top w:val="nil"/>
              <w:left w:val="nil"/>
              <w:bottom w:val="single" w:sz="4" w:space="0" w:color="auto"/>
              <w:right w:val="single" w:sz="4" w:space="0" w:color="auto"/>
            </w:tcBorders>
            <w:noWrap/>
            <w:vAlign w:val="center"/>
            <w:hideMark/>
          </w:tcPr>
          <w:p w14:paraId="3DDEA55F" w14:textId="347D7550" w:rsidR="00CA0E31" w:rsidRPr="00951AB1" w:rsidRDefault="00CA0E31" w:rsidP="000A5389">
            <w:pPr>
              <w:spacing w:line="240" w:lineRule="auto"/>
              <w:rPr>
                <w:rFonts w:eastAsia="Times New Roman" w:cs="Times New Roman"/>
                <w:szCs w:val="24"/>
                <w:lang w:val="es-419" w:eastAsia="es-419"/>
              </w:rPr>
            </w:pPr>
            <w:r w:rsidRPr="00951AB1">
              <w:rPr>
                <w:rFonts w:eastAsia="Times New Roman" w:cs="Times New Roman"/>
                <w:szCs w:val="24"/>
                <w:lang w:val="es-419" w:eastAsia="es-419"/>
              </w:rPr>
              <w:t xml:space="preserve">1.557.710.662.940 </w:t>
            </w:r>
          </w:p>
        </w:tc>
      </w:tr>
    </w:tbl>
    <w:p w14:paraId="571E7496" w14:textId="77777777" w:rsidR="00CA0E31" w:rsidRPr="00951AB1" w:rsidRDefault="00CA0E31" w:rsidP="000A5389">
      <w:pPr>
        <w:spacing w:line="240" w:lineRule="auto"/>
        <w:rPr>
          <w:rFonts w:cs="Times New Roman"/>
          <w:sz w:val="14"/>
          <w:szCs w:val="14"/>
        </w:rPr>
      </w:pPr>
      <w:r w:rsidRPr="00951AB1">
        <w:rPr>
          <w:rFonts w:cs="Times New Roman"/>
          <w:color w:val="EE0000"/>
          <w:szCs w:val="24"/>
        </w:rPr>
        <w:fldChar w:fldCharType="end"/>
      </w:r>
      <w:r w:rsidRPr="00951AB1">
        <w:rPr>
          <w:rFonts w:cs="Times New Roman"/>
          <w:sz w:val="14"/>
          <w:szCs w:val="14"/>
        </w:rPr>
        <w:t>Cifras expresadas en pesos</w:t>
      </w:r>
    </w:p>
    <w:p w14:paraId="26ABC741" w14:textId="77777777" w:rsidR="00CA0E31" w:rsidRPr="00951AB1" w:rsidRDefault="00CA0E31" w:rsidP="000A5389">
      <w:pPr>
        <w:spacing w:line="240" w:lineRule="auto"/>
        <w:rPr>
          <w:rFonts w:cs="Times New Roman"/>
          <w:sz w:val="14"/>
          <w:szCs w:val="14"/>
        </w:rPr>
      </w:pPr>
    </w:p>
    <w:p w14:paraId="1C8478DC" w14:textId="466B8A77" w:rsidR="00CA0E31" w:rsidRPr="00951AB1" w:rsidRDefault="00CA0E31" w:rsidP="000A5389">
      <w:pPr>
        <w:spacing w:line="240" w:lineRule="auto"/>
        <w:rPr>
          <w:rFonts w:cs="Times New Roman"/>
          <w:sz w:val="14"/>
          <w:szCs w:val="14"/>
        </w:rPr>
      </w:pPr>
      <w:r w:rsidRPr="00951AB1">
        <w:rPr>
          <w:rFonts w:cs="Times New Roman"/>
          <w:b/>
          <w:bCs/>
          <w:i/>
          <w:iCs/>
          <w:szCs w:val="24"/>
        </w:rPr>
        <w:t>Cambios y mediciones año 2025:</w:t>
      </w:r>
      <w:r w:rsidRPr="00951AB1">
        <w:rPr>
          <w:rFonts w:cs="Times New Roman"/>
          <w:b/>
          <w:bCs/>
          <w:szCs w:val="24"/>
        </w:rPr>
        <w:t xml:space="preserve"> </w:t>
      </w:r>
      <w:r w:rsidRPr="00951AB1">
        <w:rPr>
          <w:rFonts w:cs="Times New Roman"/>
          <w:szCs w:val="24"/>
        </w:rPr>
        <w:t>Durante la vigencia se registraron movimientos en los bienes de uso público en servicio, los cuales se detallan a continuación:</w:t>
      </w:r>
    </w:p>
    <w:p w14:paraId="211D4666" w14:textId="77777777" w:rsidR="00CA0E31" w:rsidRPr="00951AB1" w:rsidRDefault="00CA0E31" w:rsidP="000A5389">
      <w:pPr>
        <w:spacing w:line="240" w:lineRule="auto"/>
        <w:rPr>
          <w:rFonts w:cs="Times New Roman"/>
          <w:szCs w:val="24"/>
        </w:rPr>
      </w:pPr>
    </w:p>
    <w:p w14:paraId="72AB5195" w14:textId="03AA4045" w:rsidR="00CA0E31" w:rsidRPr="00951AB1" w:rsidRDefault="00CA0E31" w:rsidP="000A5389">
      <w:pPr>
        <w:spacing w:line="240" w:lineRule="auto"/>
        <w:rPr>
          <w:rFonts w:cs="Times New Roman"/>
          <w:szCs w:val="24"/>
          <w:lang w:val="es-419"/>
        </w:rPr>
      </w:pPr>
      <w:r w:rsidRPr="00951AB1">
        <w:rPr>
          <w:rFonts w:cs="Times New Roman"/>
          <w:szCs w:val="24"/>
          <w:lang w:val="es-419"/>
        </w:rPr>
        <w:t>Adiciones por valor de $27.832.641.165.495, correspondiente a:</w:t>
      </w:r>
    </w:p>
    <w:p w14:paraId="3165C4C7" w14:textId="77777777" w:rsidR="00CA0E31" w:rsidRPr="00951AB1" w:rsidRDefault="00CA0E31" w:rsidP="000A5389">
      <w:pPr>
        <w:pStyle w:val="Prrafodelista"/>
        <w:numPr>
          <w:ilvl w:val="0"/>
          <w:numId w:val="86"/>
        </w:numPr>
        <w:spacing w:line="240" w:lineRule="auto"/>
        <w:ind w:left="1068"/>
        <w:rPr>
          <w:rFonts w:cs="Times New Roman"/>
          <w:szCs w:val="24"/>
          <w:lang w:val="es-419"/>
        </w:rPr>
      </w:pPr>
      <w:r w:rsidRPr="00951AB1">
        <w:rPr>
          <w:rFonts w:cs="Times New Roman"/>
          <w:szCs w:val="24"/>
          <w:lang w:val="es-419"/>
        </w:rPr>
        <w:t>Traslado de infraestructura de construcción a servicio por valor de $26.566.368.102.603.</w:t>
      </w:r>
    </w:p>
    <w:p w14:paraId="283AE5AE" w14:textId="77777777" w:rsidR="00CA0E31" w:rsidRPr="00951AB1" w:rsidRDefault="00CA0E31" w:rsidP="000A5389">
      <w:pPr>
        <w:pStyle w:val="Prrafodelista"/>
        <w:numPr>
          <w:ilvl w:val="0"/>
          <w:numId w:val="86"/>
        </w:numPr>
        <w:spacing w:line="240" w:lineRule="auto"/>
        <w:ind w:left="1068"/>
        <w:rPr>
          <w:rFonts w:cs="Times New Roman"/>
          <w:szCs w:val="24"/>
          <w:lang w:val="es-419"/>
        </w:rPr>
      </w:pPr>
      <w:r w:rsidRPr="00951AB1">
        <w:rPr>
          <w:rFonts w:cs="Times New Roman"/>
          <w:szCs w:val="24"/>
          <w:lang w:val="es-419"/>
        </w:rPr>
        <w:t>Materialización de Riesgos por valor de $31.489.229.242 pagados a través del Fondo de contingencias proyectos carretero.</w:t>
      </w:r>
    </w:p>
    <w:p w14:paraId="768A0073" w14:textId="77777777" w:rsidR="00CA0E31" w:rsidRPr="00951AB1" w:rsidRDefault="00CA0E31" w:rsidP="000A5389">
      <w:pPr>
        <w:pStyle w:val="Prrafodelista"/>
        <w:numPr>
          <w:ilvl w:val="0"/>
          <w:numId w:val="86"/>
        </w:numPr>
        <w:spacing w:line="240" w:lineRule="auto"/>
        <w:ind w:left="1068"/>
        <w:rPr>
          <w:rFonts w:cs="Times New Roman"/>
          <w:szCs w:val="24"/>
          <w:lang w:val="es-419"/>
        </w:rPr>
      </w:pPr>
      <w:r w:rsidRPr="00951AB1">
        <w:rPr>
          <w:rFonts w:cs="Times New Roman"/>
          <w:szCs w:val="24"/>
          <w:lang w:val="es-419"/>
        </w:rPr>
        <w:t>Traslados de cuenta de propiedades, planta y equipo por valor de $11.336.310.612.</w:t>
      </w:r>
    </w:p>
    <w:p w14:paraId="27403D7B" w14:textId="77777777" w:rsidR="00CA0E31" w:rsidRPr="00951AB1" w:rsidRDefault="00CA0E31" w:rsidP="000A5389">
      <w:pPr>
        <w:pStyle w:val="Prrafodelista"/>
        <w:numPr>
          <w:ilvl w:val="0"/>
          <w:numId w:val="86"/>
        </w:numPr>
        <w:spacing w:line="240" w:lineRule="auto"/>
        <w:ind w:left="1068"/>
        <w:rPr>
          <w:rFonts w:cs="Times New Roman"/>
          <w:szCs w:val="24"/>
          <w:lang w:val="es-419"/>
        </w:rPr>
      </w:pPr>
      <w:r w:rsidRPr="00951AB1">
        <w:rPr>
          <w:rFonts w:cs="Times New Roman"/>
          <w:szCs w:val="24"/>
          <w:lang w:val="es-419"/>
        </w:rPr>
        <w:t>Traslado a Terrenos modo carretero por valor de $106.496.841.620 y $1.085.051.683.555.</w:t>
      </w:r>
    </w:p>
    <w:p w14:paraId="66835B58" w14:textId="77777777" w:rsidR="00CA0E31" w:rsidRPr="00951AB1" w:rsidRDefault="00CA0E31" w:rsidP="000A5389">
      <w:pPr>
        <w:pStyle w:val="Prrafodelista"/>
        <w:numPr>
          <w:ilvl w:val="0"/>
          <w:numId w:val="86"/>
        </w:numPr>
        <w:spacing w:line="240" w:lineRule="auto"/>
        <w:ind w:left="1068"/>
        <w:rPr>
          <w:rFonts w:cs="Times New Roman"/>
          <w:szCs w:val="24"/>
          <w:lang w:val="es-419"/>
        </w:rPr>
      </w:pPr>
      <w:r w:rsidRPr="00951AB1">
        <w:rPr>
          <w:rFonts w:cs="Times New Roman"/>
          <w:szCs w:val="24"/>
          <w:lang w:val="es-419"/>
        </w:rPr>
        <w:t>Traslado de construcción a servicio modo portuario por valor de $30.680.301.955.</w:t>
      </w:r>
    </w:p>
    <w:p w14:paraId="585419A1" w14:textId="77777777" w:rsidR="00CA0E31" w:rsidRPr="00951AB1" w:rsidRDefault="00CA0E31" w:rsidP="000A5389">
      <w:pPr>
        <w:pStyle w:val="Prrafodelista"/>
        <w:numPr>
          <w:ilvl w:val="0"/>
          <w:numId w:val="86"/>
        </w:numPr>
        <w:spacing w:line="240" w:lineRule="auto"/>
        <w:ind w:left="1068"/>
        <w:rPr>
          <w:rFonts w:cs="Times New Roman"/>
          <w:szCs w:val="24"/>
          <w:lang w:val="es-419"/>
        </w:rPr>
      </w:pPr>
      <w:r w:rsidRPr="00951AB1">
        <w:rPr>
          <w:rFonts w:cs="Times New Roman"/>
          <w:szCs w:val="24"/>
          <w:lang w:val="es-419"/>
        </w:rPr>
        <w:t>Traslado terrenos modo portuario por valor de $1.218.695.908.</w:t>
      </w:r>
    </w:p>
    <w:p w14:paraId="2D682D73" w14:textId="77777777" w:rsidR="00CA0E31" w:rsidRPr="00951AB1" w:rsidRDefault="00CA0E31" w:rsidP="000A5389">
      <w:pPr>
        <w:spacing w:line="240" w:lineRule="auto"/>
        <w:ind w:left="348"/>
        <w:rPr>
          <w:rFonts w:cs="Times New Roman"/>
          <w:szCs w:val="24"/>
          <w:lang w:val="es-419"/>
        </w:rPr>
      </w:pPr>
    </w:p>
    <w:p w14:paraId="0E17E1E0" w14:textId="5B93AA29" w:rsidR="00CA0E31" w:rsidRPr="00951AB1" w:rsidRDefault="00CA0E31" w:rsidP="000A5389">
      <w:pPr>
        <w:spacing w:line="240" w:lineRule="auto"/>
        <w:rPr>
          <w:rFonts w:cs="Times New Roman"/>
          <w:szCs w:val="24"/>
          <w:lang w:val="es-419"/>
        </w:rPr>
      </w:pPr>
      <w:r w:rsidRPr="00951AB1">
        <w:rPr>
          <w:rFonts w:cs="Times New Roman"/>
          <w:szCs w:val="24"/>
          <w:lang w:val="es-419"/>
        </w:rPr>
        <w:t>Las disminuciones presentadas por valor de $6.754.985.616.259 corresponden a:</w:t>
      </w:r>
    </w:p>
    <w:p w14:paraId="454119C1" w14:textId="77777777" w:rsidR="00CA0E31" w:rsidRPr="00951AB1" w:rsidRDefault="00CA0E31" w:rsidP="000A5389">
      <w:pPr>
        <w:pStyle w:val="Prrafodelista"/>
        <w:numPr>
          <w:ilvl w:val="0"/>
          <w:numId w:val="87"/>
        </w:numPr>
        <w:spacing w:line="240" w:lineRule="auto"/>
        <w:ind w:left="1068"/>
        <w:rPr>
          <w:rFonts w:cs="Times New Roman"/>
          <w:szCs w:val="24"/>
          <w:lang w:val="es-419"/>
        </w:rPr>
      </w:pPr>
      <w:r w:rsidRPr="00951AB1">
        <w:rPr>
          <w:rFonts w:cs="Times New Roman"/>
          <w:szCs w:val="24"/>
          <w:lang w:val="es-419"/>
        </w:rPr>
        <w:t>Traslados a propiedades, planta y equipo en concesión del modo carretero por valor de $410.038.357.113.</w:t>
      </w:r>
    </w:p>
    <w:p w14:paraId="6D85D09C" w14:textId="77777777" w:rsidR="00CA0E31" w:rsidRPr="00951AB1" w:rsidRDefault="00CA0E31" w:rsidP="000A5389">
      <w:pPr>
        <w:pStyle w:val="Prrafodelista"/>
        <w:numPr>
          <w:ilvl w:val="0"/>
          <w:numId w:val="87"/>
        </w:numPr>
        <w:spacing w:line="240" w:lineRule="auto"/>
        <w:ind w:left="1068"/>
        <w:rPr>
          <w:rFonts w:cs="Times New Roman"/>
          <w:szCs w:val="24"/>
          <w:lang w:val="es-419"/>
        </w:rPr>
      </w:pPr>
      <w:r w:rsidRPr="00951AB1">
        <w:rPr>
          <w:rFonts w:cs="Times New Roman"/>
          <w:szCs w:val="24"/>
          <w:lang w:val="es-419"/>
        </w:rPr>
        <w:t>Traslado de infraestructura a construcción del modo carretero por valor de $5.999.327.276.339.</w:t>
      </w:r>
    </w:p>
    <w:p w14:paraId="41A0E629" w14:textId="77777777" w:rsidR="00CA0E31" w:rsidRPr="00951AB1" w:rsidRDefault="00CA0E31" w:rsidP="000A5389">
      <w:pPr>
        <w:pStyle w:val="Prrafodelista"/>
        <w:numPr>
          <w:ilvl w:val="0"/>
          <w:numId w:val="87"/>
        </w:numPr>
        <w:spacing w:line="240" w:lineRule="auto"/>
        <w:ind w:left="1068"/>
        <w:rPr>
          <w:rFonts w:cs="Times New Roman"/>
          <w:szCs w:val="24"/>
          <w:lang w:val="es-419"/>
        </w:rPr>
      </w:pPr>
      <w:r w:rsidRPr="00951AB1">
        <w:rPr>
          <w:rFonts w:cs="Times New Roman"/>
          <w:szCs w:val="24"/>
          <w:lang w:val="es-419"/>
        </w:rPr>
        <w:t>Traslado de terrenos modo carretero reclasificación por valor de $36.387.986.130.</w:t>
      </w:r>
    </w:p>
    <w:p w14:paraId="54AA858A" w14:textId="77777777" w:rsidR="00CA0E31" w:rsidRPr="00951AB1" w:rsidRDefault="00CA0E31" w:rsidP="000A5389">
      <w:pPr>
        <w:pStyle w:val="Prrafodelista"/>
        <w:numPr>
          <w:ilvl w:val="0"/>
          <w:numId w:val="87"/>
        </w:numPr>
        <w:spacing w:line="240" w:lineRule="auto"/>
        <w:ind w:left="1068"/>
        <w:rPr>
          <w:rFonts w:cs="Times New Roman"/>
          <w:szCs w:val="24"/>
          <w:lang w:val="es-419"/>
        </w:rPr>
      </w:pPr>
      <w:r w:rsidRPr="00951AB1">
        <w:rPr>
          <w:rFonts w:cs="Times New Roman"/>
          <w:szCs w:val="24"/>
          <w:lang w:val="es-419"/>
        </w:rPr>
        <w:t>Traslado de terrenos a construcción modo carretero por valor de $309.231.996.677.</w:t>
      </w:r>
    </w:p>
    <w:p w14:paraId="2CD1E663" w14:textId="77777777" w:rsidR="00CA0E31" w:rsidRPr="00951AB1" w:rsidRDefault="00CA0E31" w:rsidP="000A5389">
      <w:pPr>
        <w:spacing w:line="240" w:lineRule="auto"/>
        <w:rPr>
          <w:rFonts w:cs="Times New Roman"/>
          <w:szCs w:val="24"/>
          <w:lang w:val="es-419"/>
        </w:rPr>
      </w:pPr>
    </w:p>
    <w:p w14:paraId="0B8022FC" w14:textId="01116858" w:rsidR="00CA0E31" w:rsidRPr="00951AB1" w:rsidRDefault="00CA0E31" w:rsidP="000A5389">
      <w:pPr>
        <w:spacing w:line="240" w:lineRule="auto"/>
        <w:rPr>
          <w:rFonts w:cs="Times New Roman"/>
          <w:szCs w:val="24"/>
          <w:lang w:val="es-419"/>
        </w:rPr>
      </w:pPr>
      <w:r w:rsidRPr="00951AB1">
        <w:rPr>
          <w:rFonts w:cs="Times New Roman"/>
          <w:szCs w:val="24"/>
          <w:lang w:val="es-419"/>
        </w:rPr>
        <w:t>En la vigencia 2025, se realizaron el reconocimiento como bienes de uso público en servicio por valor de $46.690.555.846, así:</w:t>
      </w:r>
    </w:p>
    <w:p w14:paraId="08BC82DB" w14:textId="41906CEE" w:rsidR="00275476" w:rsidRPr="00951AB1" w:rsidRDefault="00275476" w:rsidP="000A5389">
      <w:pPr>
        <w:spacing w:line="240" w:lineRule="auto"/>
        <w:rPr>
          <w:rFonts w:cs="Times New Roman"/>
          <w:szCs w:val="24"/>
          <w:lang w:val="es-419"/>
        </w:rPr>
      </w:pPr>
    </w:p>
    <w:p w14:paraId="776014C1" w14:textId="77777777" w:rsidR="00CA0E31" w:rsidRPr="00951AB1" w:rsidRDefault="00CA0E31" w:rsidP="000A5389">
      <w:pPr>
        <w:pStyle w:val="Prrafodelista"/>
        <w:numPr>
          <w:ilvl w:val="0"/>
          <w:numId w:val="88"/>
        </w:numPr>
        <w:spacing w:line="240" w:lineRule="auto"/>
        <w:rPr>
          <w:rFonts w:cs="Times New Roman"/>
          <w:szCs w:val="24"/>
          <w:lang w:val="es-419"/>
        </w:rPr>
      </w:pPr>
      <w:r w:rsidRPr="00951AB1">
        <w:rPr>
          <w:rFonts w:cs="Times New Roman"/>
          <w:szCs w:val="24"/>
          <w:lang w:val="es-419"/>
        </w:rPr>
        <w:lastRenderedPageBreak/>
        <w:t>Actualización de la inversión del proyecto Briceño - Tunja - Sogamoso, contrato de concesión No. 0377/2002, en atención al Laudo arbitral No. 4677, por valor $412.597.308 reportado el 31 de diciembre de 2025.</w:t>
      </w:r>
    </w:p>
    <w:p w14:paraId="3C093809" w14:textId="77777777" w:rsidR="00CA0E31" w:rsidRPr="00951AB1" w:rsidRDefault="00CA0E31" w:rsidP="000A5389">
      <w:pPr>
        <w:pStyle w:val="Prrafodelista"/>
        <w:numPr>
          <w:ilvl w:val="0"/>
          <w:numId w:val="88"/>
        </w:numPr>
        <w:spacing w:line="240" w:lineRule="auto"/>
        <w:rPr>
          <w:rFonts w:cs="Times New Roman"/>
          <w:szCs w:val="24"/>
          <w:lang w:val="es-419"/>
        </w:rPr>
      </w:pPr>
      <w:r w:rsidRPr="00951AB1">
        <w:rPr>
          <w:rFonts w:cs="Times New Roman"/>
          <w:szCs w:val="24"/>
          <w:lang w:val="es-419"/>
        </w:rPr>
        <w:t>Actualización Proyecto Ruta del Sol 1, por valor de $46.257.479.693, acuerdo conciliatorio del 02 de junio de 2022 (Hito 81) y Obras Adicionales a la Red carretera.</w:t>
      </w:r>
    </w:p>
    <w:p w14:paraId="48B777ED" w14:textId="77777777" w:rsidR="00CA0E31" w:rsidRPr="00951AB1" w:rsidRDefault="00CA0E31" w:rsidP="000A5389">
      <w:pPr>
        <w:pStyle w:val="Prrafodelista"/>
        <w:numPr>
          <w:ilvl w:val="0"/>
          <w:numId w:val="88"/>
        </w:numPr>
        <w:spacing w:line="240" w:lineRule="auto"/>
        <w:rPr>
          <w:rFonts w:cs="Times New Roman"/>
          <w:szCs w:val="24"/>
          <w:lang w:val="es-419"/>
        </w:rPr>
      </w:pPr>
      <w:r w:rsidRPr="00951AB1">
        <w:rPr>
          <w:rFonts w:cs="Times New Roman"/>
          <w:szCs w:val="24"/>
          <w:lang w:val="es-419"/>
        </w:rPr>
        <w:t>Actualización Proyecto Autopista Medelin Bogotá concesión Devimed por valor de $19.478.845, Resolución 20256060010965 expedida por la ANI.</w:t>
      </w:r>
    </w:p>
    <w:p w14:paraId="4180A3F4" w14:textId="77777777" w:rsidR="00CA0E31" w:rsidRPr="00951AB1" w:rsidRDefault="00CA0E31" w:rsidP="000A5389">
      <w:pPr>
        <w:spacing w:line="240" w:lineRule="auto"/>
        <w:rPr>
          <w:rFonts w:cs="Times New Roman"/>
          <w:szCs w:val="24"/>
          <w:lang w:val="es-419"/>
        </w:rPr>
      </w:pPr>
    </w:p>
    <w:p w14:paraId="52349F3D" w14:textId="5A152D9C" w:rsidR="00CA0E31" w:rsidRPr="00951AB1" w:rsidRDefault="00CA0E31" w:rsidP="000A5389">
      <w:pPr>
        <w:spacing w:line="240" w:lineRule="auto"/>
        <w:rPr>
          <w:rFonts w:cs="Times New Roman"/>
          <w:szCs w:val="24"/>
          <w:lang w:val="es-419"/>
        </w:rPr>
      </w:pPr>
      <w:r w:rsidRPr="00951AB1">
        <w:rPr>
          <w:rFonts w:cs="Times New Roman"/>
          <w:szCs w:val="24"/>
          <w:lang w:val="es-419"/>
        </w:rPr>
        <w:t xml:space="preserve">Adicionalmente se realizó los siguientes reconocimientos: </w:t>
      </w:r>
    </w:p>
    <w:p w14:paraId="47CDC618" w14:textId="77777777" w:rsidR="00CA0E31" w:rsidRPr="00951AB1" w:rsidRDefault="00CA0E31" w:rsidP="000A5389">
      <w:pPr>
        <w:pStyle w:val="Prrafodelista"/>
        <w:numPr>
          <w:ilvl w:val="0"/>
          <w:numId w:val="89"/>
        </w:numPr>
        <w:spacing w:line="240" w:lineRule="auto"/>
        <w:rPr>
          <w:rFonts w:cs="Times New Roman"/>
          <w:szCs w:val="24"/>
          <w:lang w:val="es-419"/>
        </w:rPr>
      </w:pPr>
      <w:r w:rsidRPr="00951AB1">
        <w:rPr>
          <w:rFonts w:cs="Times New Roman"/>
          <w:szCs w:val="24"/>
          <w:lang w:val="es-419"/>
        </w:rPr>
        <w:t xml:space="preserve">El $1.113.426.096, correspondiente a la ejecución de recursos del proyecto concesión Briceño-Tunja-Sogamoso, Contrato 0377-2002, estos aportes se destinan a adquisición predial conforme al Otro Sí No. 16 y </w:t>
      </w:r>
    </w:p>
    <w:p w14:paraId="3C3565E1" w14:textId="77777777" w:rsidR="00CA0E31" w:rsidRPr="00951AB1" w:rsidRDefault="00CA0E31" w:rsidP="000A5389">
      <w:pPr>
        <w:pStyle w:val="Prrafodelista"/>
        <w:numPr>
          <w:ilvl w:val="0"/>
          <w:numId w:val="89"/>
        </w:numPr>
        <w:spacing w:line="240" w:lineRule="auto"/>
        <w:rPr>
          <w:rFonts w:cs="Times New Roman"/>
          <w:szCs w:val="24"/>
          <w:lang w:val="es-419"/>
        </w:rPr>
      </w:pPr>
      <w:r w:rsidRPr="00951AB1">
        <w:rPr>
          <w:rFonts w:cs="Times New Roman"/>
          <w:szCs w:val="24"/>
          <w:lang w:val="es-419"/>
        </w:rPr>
        <w:t>El valor de $6.359.759 por ejecución de recursos Proyecto Concesión Transversal de Las Américas, de conformidad con lo estipulado en el formato establecido.</w:t>
      </w:r>
    </w:p>
    <w:p w14:paraId="67923670" w14:textId="77777777" w:rsidR="00CA0E31" w:rsidRPr="00951AB1" w:rsidRDefault="00CA0E31" w:rsidP="000A5389">
      <w:pPr>
        <w:spacing w:line="240" w:lineRule="auto"/>
        <w:rPr>
          <w:rFonts w:cs="Times New Roman"/>
          <w:szCs w:val="24"/>
          <w:lang w:val="es-419"/>
        </w:rPr>
      </w:pPr>
    </w:p>
    <w:p w14:paraId="6F3F4E63" w14:textId="77777777" w:rsidR="00CA0E31" w:rsidRPr="00951AB1" w:rsidRDefault="00CA0E31" w:rsidP="000A5389">
      <w:pPr>
        <w:spacing w:line="240" w:lineRule="auto"/>
        <w:rPr>
          <w:rFonts w:cs="Times New Roman"/>
          <w:szCs w:val="24"/>
          <w:lang w:val="es-419"/>
        </w:rPr>
      </w:pPr>
      <w:r w:rsidRPr="00951AB1">
        <w:rPr>
          <w:rFonts w:cs="Times New Roman"/>
          <w:szCs w:val="24"/>
          <w:lang w:val="es-419"/>
        </w:rPr>
        <w:t>Finalmente, se disminuyó el valor $52.930.820.748, que se había reconocido en la Red Carretera a nombre de CONCESIONARIA VIAL ANDINA SAS proyecto Bogotá Villavicencio por cuanto en el formato de liquidación de la deuda con corte 30 de junio de 2025 el Laudo Arbitral No. 128411, proferido el 20 de diciembre de 2022, reconoció un mayor valor de la obra, ordenando a la ANI pagar a favor de Coviandes S.A.S., dicho reconocimiento no constituye un mayor valor de CAPEX (Obra), puesto que la infraestructura ya había sido revertida a Coviandina S.A.S. en noviembre de 2019.</w:t>
      </w:r>
    </w:p>
    <w:p w14:paraId="6AAF14CA" w14:textId="77777777" w:rsidR="00CA0E31" w:rsidRPr="00951AB1" w:rsidRDefault="00CA0E31" w:rsidP="000A5389">
      <w:pPr>
        <w:spacing w:line="240" w:lineRule="auto"/>
        <w:rPr>
          <w:rFonts w:cs="Times New Roman"/>
          <w:szCs w:val="24"/>
          <w:lang w:val="es-419"/>
        </w:rPr>
      </w:pPr>
    </w:p>
    <w:p w14:paraId="1AD05B12" w14:textId="1B4856CA" w:rsidR="00CA0E31" w:rsidRPr="00951AB1" w:rsidRDefault="00CA0E31" w:rsidP="000A5389">
      <w:pPr>
        <w:spacing w:line="240" w:lineRule="auto"/>
        <w:rPr>
          <w:rFonts w:cs="Times New Roman"/>
          <w:szCs w:val="24"/>
        </w:rPr>
      </w:pPr>
      <w:r w:rsidRPr="00951AB1">
        <w:rPr>
          <w:rFonts w:cs="Times New Roman"/>
          <w:b/>
          <w:bCs/>
          <w:i/>
          <w:iCs/>
          <w:szCs w:val="24"/>
        </w:rPr>
        <w:t>Depreciaciones Bienes de Uso Público en Servicio - Concesión:</w:t>
      </w:r>
      <w:r w:rsidRPr="00951AB1">
        <w:rPr>
          <w:rFonts w:cs="Times New Roman"/>
          <w:b/>
          <w:bCs/>
          <w:szCs w:val="24"/>
        </w:rPr>
        <w:t xml:space="preserve"> </w:t>
      </w:r>
      <w:r w:rsidRPr="00951AB1">
        <w:rPr>
          <w:rFonts w:cs="Times New Roman"/>
          <w:szCs w:val="24"/>
        </w:rPr>
        <w:t>El saldo de la depreciación acumulada (DA) para los bienes de uso público por valor de $172.658.094.155 corresponde a las actualizaciones realizadas a la red férrea concesionada y su correspondiente depreciación.</w:t>
      </w:r>
    </w:p>
    <w:p w14:paraId="46427FE1" w14:textId="77777777" w:rsidR="00CA0E31" w:rsidRPr="00951AB1" w:rsidRDefault="00CA0E31" w:rsidP="000A5389">
      <w:pPr>
        <w:spacing w:line="240" w:lineRule="auto"/>
        <w:rPr>
          <w:rFonts w:cs="Times New Roman"/>
          <w:szCs w:val="24"/>
        </w:rPr>
      </w:pPr>
    </w:p>
    <w:p w14:paraId="0030B960" w14:textId="77777777" w:rsidR="00CA0E31" w:rsidRPr="00951AB1" w:rsidRDefault="00CA0E31" w:rsidP="000A5389">
      <w:pPr>
        <w:autoSpaceDE w:val="0"/>
        <w:autoSpaceDN w:val="0"/>
        <w:adjustRightInd w:val="0"/>
        <w:spacing w:line="240" w:lineRule="auto"/>
        <w:rPr>
          <w:rFonts w:cs="Times New Roman"/>
          <w:szCs w:val="24"/>
        </w:rPr>
      </w:pPr>
      <w:r w:rsidRPr="00951AB1">
        <w:rPr>
          <w:rFonts w:cs="Times New Roman"/>
          <w:lang w:eastAsia="es-CO"/>
        </w:rPr>
        <w:t xml:space="preserve">El </w:t>
      </w:r>
      <w:r w:rsidRPr="00951AB1">
        <w:rPr>
          <w:rFonts w:cs="Times New Roman"/>
          <w:szCs w:val="24"/>
        </w:rPr>
        <w:t>valor de la depreciación presentada</w:t>
      </w:r>
      <w:r w:rsidR="00447FC5" w:rsidRPr="00951AB1">
        <w:rPr>
          <w:rFonts w:cs="Times New Roman"/>
          <w:szCs w:val="24"/>
        </w:rPr>
        <w:t xml:space="preserve"> en la vigencia 2025, corresponde a la suma de la depreciación acumulada año anterior (2024), más el valor de la depreciación calculada a diciembre de 2025</w:t>
      </w:r>
      <w:r w:rsidRPr="00951AB1">
        <w:rPr>
          <w:rFonts w:cs="Times New Roman"/>
          <w:szCs w:val="24"/>
        </w:rPr>
        <w:t xml:space="preserve"> para la Red Férrea del Atlántico. </w:t>
      </w:r>
    </w:p>
    <w:p w14:paraId="68445B29" w14:textId="77777777" w:rsidR="00CA0E31" w:rsidRPr="00951AB1" w:rsidRDefault="00CA0E31" w:rsidP="000A5389">
      <w:pPr>
        <w:autoSpaceDE w:val="0"/>
        <w:autoSpaceDN w:val="0"/>
        <w:adjustRightInd w:val="0"/>
        <w:spacing w:line="240" w:lineRule="auto"/>
        <w:rPr>
          <w:rFonts w:cs="Times New Roman"/>
          <w:szCs w:val="24"/>
        </w:rPr>
      </w:pPr>
    </w:p>
    <w:p w14:paraId="216A1215" w14:textId="77777777" w:rsidR="00CA0E31" w:rsidRPr="00951AB1" w:rsidRDefault="00447FC5" w:rsidP="000A5389">
      <w:pPr>
        <w:autoSpaceDE w:val="0"/>
        <w:autoSpaceDN w:val="0"/>
        <w:adjustRightInd w:val="0"/>
        <w:spacing w:line="240" w:lineRule="auto"/>
        <w:rPr>
          <w:rFonts w:cs="Times New Roman"/>
          <w:szCs w:val="24"/>
        </w:rPr>
      </w:pPr>
      <w:r w:rsidRPr="00951AB1">
        <w:rPr>
          <w:rFonts w:cs="Times New Roman"/>
          <w:szCs w:val="24"/>
        </w:rPr>
        <w:t xml:space="preserve">La depreciación se deduce en función del uso que se le dé al activo y el tiempo de la vida útil del mismo, el cual va desde el inicio en la entrada en operación de la infraestructura, hasta la vigencia 2025. </w:t>
      </w:r>
    </w:p>
    <w:p w14:paraId="7D447DDA" w14:textId="77777777" w:rsidR="00CA0E31" w:rsidRPr="00951AB1" w:rsidRDefault="00CA0E31" w:rsidP="000A5389">
      <w:pPr>
        <w:autoSpaceDE w:val="0"/>
        <w:autoSpaceDN w:val="0"/>
        <w:adjustRightInd w:val="0"/>
        <w:spacing w:line="240" w:lineRule="auto"/>
        <w:rPr>
          <w:rFonts w:cs="Times New Roman"/>
          <w:szCs w:val="24"/>
        </w:rPr>
      </w:pPr>
    </w:p>
    <w:p w14:paraId="77C3A229" w14:textId="4C580D43" w:rsidR="00447FC5" w:rsidRPr="00951AB1" w:rsidRDefault="00447FC5" w:rsidP="000A5389">
      <w:pPr>
        <w:autoSpaceDE w:val="0"/>
        <w:autoSpaceDN w:val="0"/>
        <w:adjustRightInd w:val="0"/>
        <w:spacing w:line="240" w:lineRule="auto"/>
        <w:rPr>
          <w:rFonts w:cs="Times New Roman"/>
          <w:szCs w:val="24"/>
        </w:rPr>
      </w:pPr>
      <w:r w:rsidRPr="00951AB1">
        <w:rPr>
          <w:rFonts w:cs="Times New Roman"/>
          <w:szCs w:val="24"/>
        </w:rPr>
        <w:t>Es importante mencionar, que se tiene como supuesto para el cálculo un valor residual (valor de salvamento) de la infraestructura y superestructura del 90%, es decir, que se presenta depreciación sobre el 10% del valor de la vía, teniendo en cuenta que es un activo que revierte a la Nación en condiciones de funcionalidad.</w:t>
      </w:r>
    </w:p>
    <w:p w14:paraId="2730FA01" w14:textId="77777777" w:rsidR="00447FC5" w:rsidRPr="00951AB1" w:rsidRDefault="00447FC5" w:rsidP="000A5389">
      <w:pPr>
        <w:autoSpaceDE w:val="0"/>
        <w:autoSpaceDN w:val="0"/>
        <w:adjustRightInd w:val="0"/>
        <w:spacing w:line="240" w:lineRule="auto"/>
        <w:rPr>
          <w:rFonts w:cs="Times New Roman"/>
          <w:szCs w:val="24"/>
        </w:rPr>
      </w:pPr>
    </w:p>
    <w:p w14:paraId="1CF3BCA0" w14:textId="69019F59" w:rsidR="00447FC5" w:rsidRPr="00951AB1" w:rsidRDefault="00447FC5" w:rsidP="000A5389">
      <w:pPr>
        <w:autoSpaceDE w:val="0"/>
        <w:autoSpaceDN w:val="0"/>
        <w:adjustRightInd w:val="0"/>
        <w:spacing w:line="240" w:lineRule="auto"/>
        <w:jc w:val="center"/>
        <w:rPr>
          <w:rFonts w:cs="Times New Roman"/>
          <w:szCs w:val="24"/>
        </w:rPr>
      </w:pPr>
      <w:r w:rsidRPr="00951AB1">
        <w:rPr>
          <w:rFonts w:cs="Times New Roman"/>
          <w:szCs w:val="24"/>
        </w:rPr>
        <w:t xml:space="preserve">Actualización vigencia actual Depreciación = Depreciación acumulada a Dic de </w:t>
      </w:r>
      <w:r w:rsidR="00CA0E31" w:rsidRPr="00951AB1">
        <w:rPr>
          <w:rFonts w:cs="Times New Roman"/>
          <w:szCs w:val="24"/>
        </w:rPr>
        <w:t>2024</w:t>
      </w:r>
      <w:r w:rsidRPr="00951AB1">
        <w:rPr>
          <w:rFonts w:cs="Times New Roman"/>
          <w:szCs w:val="24"/>
        </w:rPr>
        <w:t xml:space="preserve"> + Depreciación vigencia actual</w:t>
      </w:r>
    </w:p>
    <w:p w14:paraId="5D09DB31" w14:textId="77777777" w:rsidR="00447FC5" w:rsidRPr="00951AB1" w:rsidRDefault="00447FC5" w:rsidP="000A5389">
      <w:pPr>
        <w:autoSpaceDE w:val="0"/>
        <w:autoSpaceDN w:val="0"/>
        <w:adjustRightInd w:val="0"/>
        <w:spacing w:line="240" w:lineRule="auto"/>
        <w:jc w:val="center"/>
        <w:rPr>
          <w:rFonts w:cs="Times New Roman"/>
          <w:szCs w:val="24"/>
        </w:rPr>
      </w:pPr>
      <w:r w:rsidRPr="00951AB1">
        <w:rPr>
          <w:rFonts w:cs="Times New Roman"/>
          <w:szCs w:val="24"/>
        </w:rPr>
        <w:lastRenderedPageBreak/>
        <w:t>Valor depreciable = 10% del valor de la infraestructura</w:t>
      </w:r>
    </w:p>
    <w:p w14:paraId="5E2ABC38" w14:textId="77777777" w:rsidR="00447FC5" w:rsidRPr="00951AB1" w:rsidRDefault="00447FC5" w:rsidP="000A5389">
      <w:pPr>
        <w:autoSpaceDE w:val="0"/>
        <w:autoSpaceDN w:val="0"/>
        <w:adjustRightInd w:val="0"/>
        <w:spacing w:line="240" w:lineRule="auto"/>
        <w:jc w:val="center"/>
        <w:rPr>
          <w:rFonts w:cs="Times New Roman"/>
          <w:szCs w:val="24"/>
        </w:rPr>
      </w:pPr>
      <w:r w:rsidRPr="00951AB1">
        <w:rPr>
          <w:rFonts w:cs="Times New Roman"/>
          <w:szCs w:val="24"/>
        </w:rPr>
        <w:t>Valor Depreciación Anual= Valor depreciable/Vida Útil</w:t>
      </w:r>
    </w:p>
    <w:p w14:paraId="177CAC7C" w14:textId="77777777" w:rsidR="00CA0E31" w:rsidRPr="00951AB1" w:rsidRDefault="00CA0E31" w:rsidP="000A5389">
      <w:pPr>
        <w:autoSpaceDE w:val="0"/>
        <w:autoSpaceDN w:val="0"/>
        <w:adjustRightInd w:val="0"/>
        <w:spacing w:line="240" w:lineRule="auto"/>
        <w:jc w:val="center"/>
        <w:rPr>
          <w:rFonts w:cs="Times New Roman"/>
          <w:szCs w:val="24"/>
        </w:rPr>
      </w:pPr>
    </w:p>
    <w:p w14:paraId="6A2427AF" w14:textId="7AEC9161" w:rsidR="00CA0E31" w:rsidRPr="00951AB1" w:rsidRDefault="00CA0E31" w:rsidP="000A5389">
      <w:pPr>
        <w:autoSpaceDE w:val="0"/>
        <w:autoSpaceDN w:val="0"/>
        <w:adjustRightInd w:val="0"/>
        <w:spacing w:line="240" w:lineRule="auto"/>
        <w:jc w:val="center"/>
        <w:rPr>
          <w:rFonts w:cs="Times New Roman"/>
          <w:szCs w:val="24"/>
        </w:rPr>
      </w:pPr>
      <w:r w:rsidRPr="00951AB1">
        <w:rPr>
          <w:rFonts w:cs="Times New Roman"/>
          <w:szCs w:val="24"/>
        </w:rPr>
        <w:t>Dep. Acumulada a Dic-2025 = Valor depreciable / Vida Útil* años de operación hasta dic 2025</w:t>
      </w:r>
    </w:p>
    <w:p w14:paraId="59C07A17" w14:textId="77777777" w:rsidR="00447FC5" w:rsidRPr="00951AB1" w:rsidRDefault="00447FC5" w:rsidP="000A5389">
      <w:pPr>
        <w:autoSpaceDE w:val="0"/>
        <w:autoSpaceDN w:val="0"/>
        <w:adjustRightInd w:val="0"/>
        <w:spacing w:line="240" w:lineRule="auto"/>
        <w:jc w:val="center"/>
        <w:rPr>
          <w:rFonts w:cs="Times New Roman"/>
          <w:szCs w:val="24"/>
        </w:rPr>
      </w:pPr>
      <w:r w:rsidRPr="00951AB1">
        <w:rPr>
          <w:rFonts w:cs="Times New Roman"/>
          <w:szCs w:val="24"/>
        </w:rPr>
        <w:t>Años de operación: Fecha de corte - Fecha Inicio del Contrato (Expresada en años)</w:t>
      </w:r>
    </w:p>
    <w:p w14:paraId="4818A2D7" w14:textId="77777777" w:rsidR="00447FC5" w:rsidRPr="00951AB1" w:rsidRDefault="00447FC5" w:rsidP="000A5389">
      <w:pPr>
        <w:autoSpaceDE w:val="0"/>
        <w:autoSpaceDN w:val="0"/>
        <w:adjustRightInd w:val="0"/>
        <w:spacing w:line="240" w:lineRule="auto"/>
        <w:jc w:val="center"/>
        <w:rPr>
          <w:rFonts w:cs="Times New Roman"/>
          <w:sz w:val="12"/>
          <w:szCs w:val="12"/>
        </w:rPr>
      </w:pPr>
    </w:p>
    <w:p w14:paraId="742BEDD1" w14:textId="77777777" w:rsidR="00447FC5" w:rsidRPr="00951AB1" w:rsidRDefault="00447FC5" w:rsidP="000A5389">
      <w:pPr>
        <w:autoSpaceDE w:val="0"/>
        <w:autoSpaceDN w:val="0"/>
        <w:adjustRightInd w:val="0"/>
        <w:spacing w:line="240" w:lineRule="auto"/>
        <w:jc w:val="center"/>
        <w:rPr>
          <w:rFonts w:cs="Times New Roman"/>
          <w:szCs w:val="24"/>
        </w:rPr>
      </w:pPr>
      <w:r w:rsidRPr="00951AB1">
        <w:rPr>
          <w:rFonts w:cs="Times New Roman"/>
          <w:szCs w:val="24"/>
        </w:rPr>
        <w:t>Fecha de acta de inicio 3-mar-00</w:t>
      </w:r>
    </w:p>
    <w:p w14:paraId="544F515A" w14:textId="7E4B1BA1" w:rsidR="00447FC5" w:rsidRPr="00951AB1" w:rsidRDefault="00447FC5" w:rsidP="000A5389">
      <w:pPr>
        <w:autoSpaceDE w:val="0"/>
        <w:autoSpaceDN w:val="0"/>
        <w:adjustRightInd w:val="0"/>
        <w:spacing w:line="240" w:lineRule="auto"/>
        <w:jc w:val="center"/>
        <w:rPr>
          <w:rFonts w:cs="Times New Roman"/>
          <w:szCs w:val="24"/>
        </w:rPr>
      </w:pPr>
      <w:r w:rsidRPr="00951AB1">
        <w:rPr>
          <w:rFonts w:cs="Times New Roman"/>
          <w:szCs w:val="24"/>
        </w:rPr>
        <w:t>Fecha de corte 31-dic-</w:t>
      </w:r>
      <w:r w:rsidR="00CA0E31" w:rsidRPr="00951AB1">
        <w:rPr>
          <w:rFonts w:cs="Times New Roman"/>
          <w:szCs w:val="24"/>
        </w:rPr>
        <w:t>25</w:t>
      </w:r>
    </w:p>
    <w:p w14:paraId="01F0CF3A" w14:textId="77777777" w:rsidR="00447FC5" w:rsidRPr="00951AB1" w:rsidRDefault="00447FC5" w:rsidP="000A5389">
      <w:pPr>
        <w:autoSpaceDE w:val="0"/>
        <w:autoSpaceDN w:val="0"/>
        <w:adjustRightInd w:val="0"/>
        <w:spacing w:line="240" w:lineRule="auto"/>
        <w:jc w:val="center"/>
        <w:rPr>
          <w:rFonts w:cs="Times New Roman"/>
          <w:sz w:val="12"/>
          <w:szCs w:val="12"/>
        </w:rPr>
      </w:pPr>
    </w:p>
    <w:p w14:paraId="11CC8C21" w14:textId="77777777" w:rsidR="00CA0E31" w:rsidRPr="00951AB1" w:rsidRDefault="00CA0E31" w:rsidP="000A5389">
      <w:pPr>
        <w:spacing w:line="240" w:lineRule="auto"/>
        <w:jc w:val="center"/>
        <w:rPr>
          <w:rFonts w:cs="Times New Roman"/>
          <w:szCs w:val="24"/>
        </w:rPr>
      </w:pPr>
      <w:r w:rsidRPr="00951AB1">
        <w:rPr>
          <w:rFonts w:cs="Times New Roman"/>
          <w:szCs w:val="24"/>
        </w:rPr>
        <w:t>Años de Operación a diciembre de 2025 = 25.83 Años (Calculo base 360 días)</w:t>
      </w:r>
    </w:p>
    <w:p w14:paraId="6F28911F" w14:textId="77777777" w:rsidR="00CA0E31" w:rsidRPr="00951AB1" w:rsidRDefault="00CA0E31" w:rsidP="000A5389">
      <w:pPr>
        <w:spacing w:line="240" w:lineRule="auto"/>
        <w:jc w:val="center"/>
        <w:rPr>
          <w:rFonts w:cs="Times New Roman"/>
          <w:szCs w:val="24"/>
        </w:rPr>
      </w:pPr>
    </w:p>
    <w:p w14:paraId="025448E1" w14:textId="77777777" w:rsidR="00CA0E31" w:rsidRPr="00951AB1" w:rsidRDefault="00CA0E31" w:rsidP="000A5389">
      <w:pPr>
        <w:autoSpaceDE w:val="0"/>
        <w:autoSpaceDN w:val="0"/>
        <w:adjustRightInd w:val="0"/>
        <w:spacing w:line="240" w:lineRule="auto"/>
        <w:jc w:val="center"/>
        <w:rPr>
          <w:rFonts w:cs="Times New Roman"/>
          <w:sz w:val="16"/>
          <w:szCs w:val="16"/>
        </w:rPr>
      </w:pPr>
      <w:r w:rsidRPr="00951AB1">
        <w:rPr>
          <w:rFonts w:cs="Times New Roman"/>
          <w:sz w:val="16"/>
          <w:szCs w:val="16"/>
        </w:rPr>
        <w:t>(Fuente: Formato GCSP-F-289 -Informe de la metodología para la obtención de información de bienes de uso público y propiedad, planta y equipo en el modo Férreo)</w:t>
      </w:r>
    </w:p>
    <w:p w14:paraId="767C8187" w14:textId="77777777" w:rsidR="00CA0E31" w:rsidRPr="00951AB1" w:rsidRDefault="00CA0E31" w:rsidP="000A5389">
      <w:pPr>
        <w:autoSpaceDE w:val="0"/>
        <w:autoSpaceDN w:val="0"/>
        <w:adjustRightInd w:val="0"/>
        <w:spacing w:line="240" w:lineRule="auto"/>
        <w:rPr>
          <w:rFonts w:cs="Times New Roman"/>
          <w:szCs w:val="24"/>
        </w:rPr>
      </w:pPr>
    </w:p>
    <w:p w14:paraId="2182152E" w14:textId="77777777" w:rsidR="00CA0E31" w:rsidRPr="00951AB1" w:rsidRDefault="00CA0E31" w:rsidP="000A5389">
      <w:pPr>
        <w:autoSpaceDE w:val="0"/>
        <w:autoSpaceDN w:val="0"/>
        <w:adjustRightInd w:val="0"/>
        <w:spacing w:line="240" w:lineRule="auto"/>
        <w:rPr>
          <w:rFonts w:cs="Times New Roman"/>
          <w:szCs w:val="24"/>
        </w:rPr>
      </w:pPr>
      <w:r w:rsidRPr="00951AB1">
        <w:rPr>
          <w:rFonts w:cs="Times New Roman"/>
          <w:szCs w:val="24"/>
        </w:rPr>
        <w:t>Para la vigencia 2025, la depreciación acumulada (DA), presentó una disminución por valor de $37.428.865.700, debido al ajuste efectuado a los saldos en atención a lo informado en los formatos del Proyecto Red Férrea del Pacífico para los tramos Buenaventura-Cali, Cali-Cartago y Zarzal-La Tebaida, y Ferrocarril del Pacifico FDP y Red Férrea del Pacífico para el tramo Zaragoza - La Felisa a cargo de TDO.</w:t>
      </w:r>
    </w:p>
    <w:p w14:paraId="37960ABC" w14:textId="77777777" w:rsidR="00447FC5" w:rsidRPr="00951AB1" w:rsidRDefault="00447FC5" w:rsidP="000A5389">
      <w:pPr>
        <w:spacing w:line="240" w:lineRule="auto"/>
        <w:rPr>
          <w:rFonts w:cs="Times New Roman"/>
          <w:szCs w:val="24"/>
        </w:rPr>
      </w:pPr>
    </w:p>
    <w:p w14:paraId="3E18B91D" w14:textId="77777777" w:rsidR="009A13FE" w:rsidRPr="00951AB1" w:rsidRDefault="009A13FE" w:rsidP="000A5389">
      <w:pPr>
        <w:autoSpaceDE w:val="0"/>
        <w:autoSpaceDN w:val="0"/>
        <w:adjustRightInd w:val="0"/>
        <w:spacing w:line="240" w:lineRule="auto"/>
        <w:rPr>
          <w:rFonts w:cs="Times New Roman"/>
          <w:szCs w:val="24"/>
        </w:rPr>
      </w:pPr>
      <w:r w:rsidRPr="00951AB1">
        <w:rPr>
          <w:rFonts w:cs="Times New Roman"/>
          <w:szCs w:val="24"/>
        </w:rPr>
        <w:t>Nota: En cuanto al reconocimiento de la depreciación de los activos derivados de la ejecución de concesiones, la Agencia está llevando a cabo estudios de reconocido valor técnico para determinar la vida útil de estos activos. En este sentido, la Contaduría General de la Nación, mediante la Resolución 443 del 6 de diciembre de 2024, modificó el artículo 7, de la Resolución 602 de 2018, extendiendo el plazo para esta determinación hasta el 31 de diciembre de 2028.</w:t>
      </w:r>
    </w:p>
    <w:p w14:paraId="5582747C" w14:textId="77777777" w:rsidR="009A13FE" w:rsidRPr="00951AB1" w:rsidRDefault="009A13FE" w:rsidP="000A5389">
      <w:pPr>
        <w:spacing w:line="240" w:lineRule="auto"/>
        <w:rPr>
          <w:rFonts w:cs="Times New Roman"/>
          <w:szCs w:val="24"/>
        </w:rPr>
      </w:pPr>
    </w:p>
    <w:p w14:paraId="56AB4F3F" w14:textId="7EB906E4" w:rsidR="00CA0E31" w:rsidRPr="00951AB1" w:rsidRDefault="00CA0E31" w:rsidP="000A5389">
      <w:pPr>
        <w:spacing w:line="240" w:lineRule="auto"/>
        <w:rPr>
          <w:rFonts w:cs="Times New Roman"/>
          <w:szCs w:val="24"/>
        </w:rPr>
      </w:pPr>
      <w:r w:rsidRPr="00951AB1">
        <w:rPr>
          <w:rFonts w:cs="Times New Roman"/>
          <w:b/>
          <w:bCs/>
          <w:i/>
          <w:iCs/>
          <w:szCs w:val="24"/>
        </w:rPr>
        <w:t xml:space="preserve">Deterioro Bienes de Uso Público en Servicio – Concesión: </w:t>
      </w:r>
      <w:r w:rsidRPr="00951AB1">
        <w:rPr>
          <w:rFonts w:cs="Times New Roman"/>
          <w:szCs w:val="24"/>
        </w:rPr>
        <w:t>Durante la vigencia 2025, la Entidad reconoció deterioro de valor en bienes de uso público asociados a infraestructura de transporte, el cual fue registrado con cargo al gasto del periodo, en cumplimiento de los lineamientos técnicos aplicables en materia de medición posterior de activos no generadores de efectivo.</w:t>
      </w:r>
    </w:p>
    <w:p w14:paraId="050C194E" w14:textId="77777777" w:rsidR="00CA0E31" w:rsidRPr="00951AB1" w:rsidRDefault="00CA0E31" w:rsidP="000A5389">
      <w:pPr>
        <w:spacing w:line="240" w:lineRule="auto"/>
        <w:rPr>
          <w:rFonts w:cs="Times New Roman"/>
          <w:szCs w:val="24"/>
        </w:rPr>
      </w:pPr>
    </w:p>
    <w:p w14:paraId="3C336AA7" w14:textId="77777777" w:rsidR="00CA0E31" w:rsidRPr="00951AB1" w:rsidRDefault="00CA0E31" w:rsidP="000A5389">
      <w:pPr>
        <w:spacing w:line="240" w:lineRule="auto"/>
        <w:rPr>
          <w:rFonts w:cs="Times New Roman"/>
          <w:szCs w:val="24"/>
        </w:rPr>
      </w:pPr>
      <w:r w:rsidRPr="00951AB1">
        <w:rPr>
          <w:rFonts w:cs="Times New Roman"/>
          <w:szCs w:val="24"/>
        </w:rPr>
        <w:t>El reconocimiento se efectuó conforme a lo establecido en la Guía para la Estimación del Deterioro de Valor de los Activos Asociados al Modo de Transporte Carretero, con base en la información reportada en el formato GADF-F-091 – Test de Indicios de Deterioro de Valor, instrumento mediante el cual se evalúa la existencia de indicios objetivos asociados a daño físico, obsolescencia o disminución del potencial de servicio.</w:t>
      </w:r>
    </w:p>
    <w:p w14:paraId="1B8F4DAE" w14:textId="77777777" w:rsidR="00CA0E31" w:rsidRPr="00951AB1" w:rsidRDefault="00CA0E31" w:rsidP="000A5389">
      <w:pPr>
        <w:spacing w:line="240" w:lineRule="auto"/>
        <w:rPr>
          <w:rFonts w:cs="Times New Roman"/>
          <w:szCs w:val="24"/>
        </w:rPr>
      </w:pPr>
    </w:p>
    <w:p w14:paraId="1DA9E158" w14:textId="202EDD4D" w:rsidR="00CA0E31" w:rsidRPr="00951AB1" w:rsidRDefault="00CA0E31" w:rsidP="000A5389">
      <w:pPr>
        <w:spacing w:line="240" w:lineRule="auto"/>
        <w:rPr>
          <w:rFonts w:cs="Times New Roman"/>
          <w:szCs w:val="24"/>
        </w:rPr>
      </w:pPr>
      <w:r w:rsidRPr="00951AB1">
        <w:rPr>
          <w:rFonts w:cs="Times New Roman"/>
          <w:szCs w:val="24"/>
        </w:rPr>
        <w:t>En este contexto, se reconoció deterioro en el siguiente proyecto de concesión:</w:t>
      </w:r>
    </w:p>
    <w:p w14:paraId="19369FC6" w14:textId="77777777" w:rsidR="00CA0E31" w:rsidRPr="00951AB1" w:rsidRDefault="00CA0E31" w:rsidP="000A5389">
      <w:pPr>
        <w:pStyle w:val="Prrafodelista"/>
        <w:numPr>
          <w:ilvl w:val="0"/>
          <w:numId w:val="90"/>
        </w:numPr>
        <w:spacing w:line="240" w:lineRule="auto"/>
        <w:rPr>
          <w:rFonts w:cs="Times New Roman"/>
          <w:szCs w:val="24"/>
        </w:rPr>
      </w:pPr>
      <w:r w:rsidRPr="00951AB1">
        <w:rPr>
          <w:rFonts w:cs="Times New Roman"/>
          <w:szCs w:val="24"/>
        </w:rPr>
        <w:t>Proyecto Rumichaca – Pasto, a cargo de la Concesionaria Vial Unión del Sur S.A.S., correspondiente a una alcantarilla en concreto tipo cajón de 3,0 m x 3,0 m y longitud de 12 m, ubicada en la vía antigua La Magdalena, PR51+100, respecto de la cual se evidenció afectación en su condición funcional.</w:t>
      </w:r>
    </w:p>
    <w:p w14:paraId="5F9C2840" w14:textId="77777777" w:rsidR="00CA0E31" w:rsidRPr="00951AB1" w:rsidRDefault="00CA0E31" w:rsidP="000A5389">
      <w:pPr>
        <w:pStyle w:val="Prrafodelista"/>
        <w:spacing w:line="240" w:lineRule="auto"/>
        <w:rPr>
          <w:rFonts w:cs="Times New Roman"/>
          <w:szCs w:val="24"/>
        </w:rPr>
      </w:pPr>
    </w:p>
    <w:p w14:paraId="04C0F75F" w14:textId="77777777" w:rsidR="00CA0E31" w:rsidRPr="00951AB1" w:rsidRDefault="00CA0E31" w:rsidP="000A5389">
      <w:pPr>
        <w:spacing w:line="240" w:lineRule="auto"/>
        <w:rPr>
          <w:rFonts w:cs="Times New Roman"/>
          <w:szCs w:val="24"/>
        </w:rPr>
      </w:pPr>
      <w:r w:rsidRPr="00951AB1">
        <w:rPr>
          <w:rFonts w:cs="Times New Roman"/>
          <w:szCs w:val="24"/>
        </w:rPr>
        <w:lastRenderedPageBreak/>
        <w:t>Por otra parte, durante la vigencia 2025 se revirtieron deterioros reconocidos al cierre de la vigencia 2024, teniendo en cuenta que, conforme a los resultados del Test de Indicios de Deterioro aplicado en 2025, no se evidenciaron indicios que afectaran el potencial de servicio de los bienes de uso público en los siguientes contratos de concesión:</w:t>
      </w:r>
    </w:p>
    <w:p w14:paraId="79DE9C00" w14:textId="77777777" w:rsidR="00CA0E31" w:rsidRPr="00951AB1" w:rsidRDefault="00CA0E31" w:rsidP="000A5389">
      <w:pPr>
        <w:spacing w:line="240" w:lineRule="auto"/>
        <w:rPr>
          <w:rFonts w:cs="Times New Roman"/>
          <w:szCs w:val="24"/>
        </w:rPr>
      </w:pPr>
    </w:p>
    <w:p w14:paraId="6C139772" w14:textId="77777777" w:rsidR="00CA0E31" w:rsidRPr="00951AB1" w:rsidRDefault="00CA0E31" w:rsidP="000A5389">
      <w:pPr>
        <w:pStyle w:val="Prrafodelista"/>
        <w:numPr>
          <w:ilvl w:val="0"/>
          <w:numId w:val="91"/>
        </w:numPr>
        <w:spacing w:line="240" w:lineRule="auto"/>
        <w:rPr>
          <w:rFonts w:cs="Times New Roman"/>
          <w:szCs w:val="24"/>
        </w:rPr>
      </w:pPr>
      <w:r w:rsidRPr="00951AB1">
        <w:rPr>
          <w:rFonts w:cs="Times New Roman"/>
          <w:szCs w:val="24"/>
        </w:rPr>
        <w:t>Proyecto Santana – Mocoa – Neiva, Contrato No. 012 de 2015, por valor de $352.542.629.</w:t>
      </w:r>
    </w:p>
    <w:p w14:paraId="46A5DC89" w14:textId="77777777" w:rsidR="00CA0E31" w:rsidRPr="00951AB1" w:rsidRDefault="00CA0E31" w:rsidP="000A5389">
      <w:pPr>
        <w:pStyle w:val="Prrafodelista"/>
        <w:numPr>
          <w:ilvl w:val="0"/>
          <w:numId w:val="91"/>
        </w:numPr>
        <w:spacing w:line="240" w:lineRule="auto"/>
        <w:rPr>
          <w:rFonts w:cs="Times New Roman"/>
          <w:szCs w:val="24"/>
        </w:rPr>
      </w:pPr>
      <w:r w:rsidRPr="00951AB1">
        <w:rPr>
          <w:rFonts w:cs="Times New Roman"/>
          <w:szCs w:val="24"/>
        </w:rPr>
        <w:t>Proyecto Transversal del Sisga, Contrato No. 009-2015, por valor de $436.903.824.</w:t>
      </w:r>
    </w:p>
    <w:p w14:paraId="640A51CD" w14:textId="77777777" w:rsidR="00CA0E31" w:rsidRPr="00951AB1" w:rsidRDefault="00CA0E31" w:rsidP="000A5389">
      <w:pPr>
        <w:spacing w:line="240" w:lineRule="auto"/>
        <w:rPr>
          <w:rFonts w:cs="Times New Roman"/>
          <w:szCs w:val="24"/>
        </w:rPr>
      </w:pPr>
    </w:p>
    <w:p w14:paraId="7AF12419" w14:textId="77777777" w:rsidR="00CA0E31" w:rsidRPr="00951AB1" w:rsidRDefault="00CA0E31" w:rsidP="000A5389">
      <w:pPr>
        <w:spacing w:line="240" w:lineRule="auto"/>
        <w:rPr>
          <w:rFonts w:cs="Times New Roman"/>
          <w:szCs w:val="24"/>
        </w:rPr>
      </w:pPr>
      <w:r w:rsidRPr="00951AB1">
        <w:rPr>
          <w:rFonts w:cs="Times New Roman"/>
          <w:szCs w:val="24"/>
        </w:rPr>
        <w:t>La reversión se reconoció contablemente en atención a la ausencia de indicios de deterioro al cierre de la vigencia 2025, de conformidad con la normativa aplicable para bienes de uso público.</w:t>
      </w:r>
    </w:p>
    <w:p w14:paraId="1002D23D" w14:textId="77777777" w:rsidR="00CA0E31" w:rsidRPr="00951AB1" w:rsidRDefault="00CA0E31" w:rsidP="000A5389">
      <w:pPr>
        <w:spacing w:line="240" w:lineRule="auto"/>
        <w:rPr>
          <w:rFonts w:cs="Times New Roman"/>
          <w:szCs w:val="24"/>
        </w:rPr>
      </w:pPr>
    </w:p>
    <w:p w14:paraId="57482B13" w14:textId="10802506" w:rsidR="00CA0E31" w:rsidRPr="00951AB1" w:rsidRDefault="00CA0E31" w:rsidP="000A5389">
      <w:pPr>
        <w:pStyle w:val="Ttulo2"/>
        <w:numPr>
          <w:ilvl w:val="0"/>
          <w:numId w:val="0"/>
        </w:numPr>
        <w:spacing w:line="240" w:lineRule="auto"/>
        <w:rPr>
          <w:rFonts w:cs="Times New Roman"/>
          <w:szCs w:val="24"/>
        </w:rPr>
      </w:pPr>
      <w:bookmarkStart w:id="379" w:name="_Toc222955489"/>
      <w:r w:rsidRPr="00951AB1">
        <w:rPr>
          <w:rFonts w:cs="Times New Roman"/>
        </w:rPr>
        <w:t xml:space="preserve">11.1.2.  </w:t>
      </w:r>
      <w:r w:rsidRPr="00951AB1">
        <w:rPr>
          <w:rFonts w:cs="Times New Roman"/>
        </w:rPr>
        <w:tab/>
        <w:t>Bienes de uso público en construcción - concesiones.</w:t>
      </w:r>
      <w:bookmarkEnd w:id="379"/>
    </w:p>
    <w:p w14:paraId="06A96B98" w14:textId="77777777" w:rsidR="00CA0E31" w:rsidRPr="00951AB1" w:rsidRDefault="00CA0E31" w:rsidP="000A5389">
      <w:pPr>
        <w:spacing w:line="240" w:lineRule="auto"/>
        <w:rPr>
          <w:rFonts w:cs="Times New Roman"/>
          <w:szCs w:val="24"/>
          <w:lang w:val="es-419"/>
        </w:rPr>
      </w:pPr>
    </w:p>
    <w:p w14:paraId="2C916B14" w14:textId="77777777" w:rsidR="00CA0E31" w:rsidRPr="00951AB1" w:rsidRDefault="00CA0E31" w:rsidP="000A5389">
      <w:pPr>
        <w:spacing w:line="240" w:lineRule="auto"/>
        <w:rPr>
          <w:rFonts w:cs="Times New Roman"/>
          <w:szCs w:val="24"/>
        </w:rPr>
      </w:pPr>
      <w:r w:rsidRPr="00951AB1">
        <w:rPr>
          <w:rFonts w:cs="Times New Roman"/>
          <w:szCs w:val="24"/>
        </w:rPr>
        <w:t>A continuación, se presenta las operaciones realizadas en los bienes de uso público en construcción, los incrementos para la vigencia 2025 fueron los siguientes:</w:t>
      </w:r>
    </w:p>
    <w:p w14:paraId="61C5B555" w14:textId="77777777" w:rsidR="00CA0E31" w:rsidRPr="00951AB1" w:rsidRDefault="00CA0E31" w:rsidP="000A5389">
      <w:pPr>
        <w:spacing w:line="240" w:lineRule="auto"/>
        <w:rPr>
          <w:rFonts w:cs="Times New Roman"/>
          <w:szCs w:val="24"/>
        </w:rPr>
      </w:pPr>
    </w:p>
    <w:p w14:paraId="78CA5A43" w14:textId="77777777" w:rsidR="00CA0E31" w:rsidRPr="00951AB1" w:rsidRDefault="00CA0E31" w:rsidP="000A5389">
      <w:pPr>
        <w:pStyle w:val="Prrafodelista"/>
        <w:numPr>
          <w:ilvl w:val="0"/>
          <w:numId w:val="92"/>
        </w:numPr>
        <w:spacing w:line="240" w:lineRule="auto"/>
        <w:rPr>
          <w:rFonts w:cs="Times New Roman"/>
          <w:szCs w:val="24"/>
        </w:rPr>
      </w:pPr>
      <w:r w:rsidRPr="00951AB1">
        <w:rPr>
          <w:rFonts w:cs="Times New Roman"/>
          <w:szCs w:val="24"/>
        </w:rPr>
        <w:t>Actualización de la inversión del modo carretero por valor de $5.443.657.673.708 atendiendo las técnicas de estimación establecidas.</w:t>
      </w:r>
    </w:p>
    <w:p w14:paraId="5A58719F" w14:textId="77777777" w:rsidR="00014990" w:rsidRPr="00951AB1" w:rsidRDefault="00CA0E31" w:rsidP="000A5389">
      <w:pPr>
        <w:pStyle w:val="Prrafodelista"/>
        <w:numPr>
          <w:ilvl w:val="0"/>
          <w:numId w:val="92"/>
        </w:numPr>
        <w:spacing w:line="240" w:lineRule="auto"/>
        <w:rPr>
          <w:rFonts w:cs="Times New Roman"/>
          <w:szCs w:val="24"/>
        </w:rPr>
      </w:pPr>
      <w:r w:rsidRPr="00951AB1">
        <w:rPr>
          <w:rFonts w:cs="Times New Roman"/>
          <w:szCs w:val="24"/>
        </w:rPr>
        <w:t>Incorporación de infraestructura por valor de $4.081.210.602.018, remitida por el INVIAS así:</w:t>
      </w:r>
    </w:p>
    <w:p w14:paraId="165A11CC" w14:textId="77777777" w:rsidR="00014990" w:rsidRPr="00951AB1" w:rsidRDefault="00CA0E31" w:rsidP="000A5389">
      <w:pPr>
        <w:pStyle w:val="Prrafodelista"/>
        <w:numPr>
          <w:ilvl w:val="0"/>
          <w:numId w:val="92"/>
        </w:numPr>
        <w:spacing w:line="240" w:lineRule="auto"/>
        <w:rPr>
          <w:rFonts w:cs="Times New Roman"/>
          <w:szCs w:val="24"/>
        </w:rPr>
      </w:pPr>
      <w:r w:rsidRPr="00951AB1">
        <w:rPr>
          <w:rFonts w:cs="Times New Roman"/>
          <w:szCs w:val="24"/>
        </w:rPr>
        <w:t>Proyecto de concesión Troncal del Magdalena 2- Autopista del Río Grande por valor de $1.285.429.344.579.</w:t>
      </w:r>
    </w:p>
    <w:p w14:paraId="6398C386" w14:textId="77777777" w:rsidR="00014990" w:rsidRPr="00951AB1" w:rsidRDefault="00CA0E31" w:rsidP="000A5389">
      <w:pPr>
        <w:pStyle w:val="Prrafodelista"/>
        <w:numPr>
          <w:ilvl w:val="0"/>
          <w:numId w:val="92"/>
        </w:numPr>
        <w:spacing w:line="240" w:lineRule="auto"/>
        <w:rPr>
          <w:rFonts w:cs="Times New Roman"/>
          <w:szCs w:val="24"/>
        </w:rPr>
      </w:pPr>
      <w:r w:rsidRPr="00951AB1">
        <w:rPr>
          <w:rFonts w:cs="Times New Roman"/>
          <w:szCs w:val="24"/>
        </w:rPr>
        <w:t>Proyecto Troncal del Magdalena 1: Puerto Salgar – Barrancabermeja Contrato 002-2022 Autopista Magdalena Medio SAS por valor de $ 1.253.550.627.967.</w:t>
      </w:r>
    </w:p>
    <w:p w14:paraId="0665A334" w14:textId="77777777" w:rsidR="00014990" w:rsidRPr="00951AB1" w:rsidRDefault="00CA0E31" w:rsidP="000A5389">
      <w:pPr>
        <w:pStyle w:val="Prrafodelista"/>
        <w:numPr>
          <w:ilvl w:val="0"/>
          <w:numId w:val="92"/>
        </w:numPr>
        <w:spacing w:line="240" w:lineRule="auto"/>
        <w:rPr>
          <w:rFonts w:cs="Times New Roman"/>
          <w:szCs w:val="24"/>
        </w:rPr>
      </w:pPr>
      <w:r w:rsidRPr="00951AB1">
        <w:rPr>
          <w:rFonts w:cs="Times New Roman"/>
          <w:szCs w:val="24"/>
        </w:rPr>
        <w:t>Proyecto Nueva Malla Vial del Valle del Cauca – Corredor Accesos Cali y Palmira Contrato 001-2021 Concesionarias Ruta del Valle SAS, por valor de $ 71.570.340.859.</w:t>
      </w:r>
    </w:p>
    <w:p w14:paraId="5BC6D73F" w14:textId="77777777" w:rsidR="00014990" w:rsidRPr="00951AB1" w:rsidRDefault="00CA0E31" w:rsidP="000A5389">
      <w:pPr>
        <w:pStyle w:val="Prrafodelista"/>
        <w:numPr>
          <w:ilvl w:val="0"/>
          <w:numId w:val="92"/>
        </w:numPr>
        <w:spacing w:line="240" w:lineRule="auto"/>
        <w:rPr>
          <w:rFonts w:cs="Times New Roman"/>
          <w:szCs w:val="24"/>
        </w:rPr>
      </w:pPr>
      <w:r w:rsidRPr="00951AB1">
        <w:rPr>
          <w:rFonts w:cs="Times New Roman"/>
          <w:szCs w:val="24"/>
        </w:rPr>
        <w:t>Proyecto de concesión Nueva Malla Vial del Cauca – Corredor Vial Loboguerrero – Buga por valor de $ 1.470.660.288.612.</w:t>
      </w:r>
    </w:p>
    <w:p w14:paraId="229DB445" w14:textId="1651D0E0" w:rsidR="00354198" w:rsidRDefault="00CA0E31" w:rsidP="000A5389">
      <w:pPr>
        <w:pStyle w:val="Prrafodelista"/>
        <w:numPr>
          <w:ilvl w:val="0"/>
          <w:numId w:val="92"/>
        </w:numPr>
        <w:spacing w:line="240" w:lineRule="auto"/>
        <w:rPr>
          <w:rFonts w:cs="Times New Roman"/>
          <w:szCs w:val="24"/>
        </w:rPr>
      </w:pPr>
      <w:r w:rsidRPr="00951AB1">
        <w:rPr>
          <w:rFonts w:cs="Times New Roman"/>
          <w:szCs w:val="24"/>
        </w:rPr>
        <w:t>Incorporación terrenos por valor de $236.098.814.250, reportados por el INVIAS, correspondiente a los siguientes proyectos:</w:t>
      </w:r>
    </w:p>
    <w:p w14:paraId="3BF97438" w14:textId="77777777" w:rsidR="00520A6E" w:rsidRPr="00951AB1" w:rsidRDefault="00520A6E" w:rsidP="00520A6E">
      <w:pPr>
        <w:pStyle w:val="Prrafodelista"/>
        <w:spacing w:line="240" w:lineRule="auto"/>
        <w:rPr>
          <w:rFonts w:cs="Times New Roman"/>
          <w:szCs w:val="24"/>
        </w:rPr>
      </w:pPr>
    </w:p>
    <w:p w14:paraId="4AF99F62" w14:textId="77777777" w:rsidR="00CA0E31" w:rsidRPr="00951AB1" w:rsidRDefault="00CA0E31" w:rsidP="000A5389">
      <w:pPr>
        <w:pStyle w:val="Prrafodelista"/>
        <w:numPr>
          <w:ilvl w:val="1"/>
          <w:numId w:val="92"/>
        </w:numPr>
        <w:spacing w:line="240" w:lineRule="auto"/>
        <w:rPr>
          <w:rFonts w:cs="Times New Roman"/>
          <w:szCs w:val="24"/>
        </w:rPr>
      </w:pPr>
      <w:r w:rsidRPr="00951AB1">
        <w:rPr>
          <w:rFonts w:cs="Times New Roman"/>
          <w:szCs w:val="24"/>
        </w:rPr>
        <w:t>Proyecto de concesión Troncal del Magdalena 2- Autopista del Río Grande por valor de $ 135.447.755.802.</w:t>
      </w:r>
    </w:p>
    <w:p w14:paraId="65645F9F" w14:textId="77777777" w:rsidR="00CA0E31" w:rsidRPr="00951AB1" w:rsidRDefault="00CA0E31" w:rsidP="000A5389">
      <w:pPr>
        <w:pStyle w:val="Prrafodelista"/>
        <w:numPr>
          <w:ilvl w:val="1"/>
          <w:numId w:val="79"/>
        </w:numPr>
        <w:spacing w:line="240" w:lineRule="auto"/>
        <w:rPr>
          <w:rFonts w:cs="Times New Roman"/>
          <w:szCs w:val="24"/>
        </w:rPr>
      </w:pPr>
      <w:r w:rsidRPr="00951AB1">
        <w:rPr>
          <w:rFonts w:cs="Times New Roman"/>
          <w:szCs w:val="24"/>
        </w:rPr>
        <w:t>Proyecto Troncal del Magdalena 1: Puerto Salgar – Barrancabermeja Contrato 002-2022 Autopista Magdalena Medio SAS por valor de $91.110.919.919.</w:t>
      </w:r>
    </w:p>
    <w:p w14:paraId="56B53B9D" w14:textId="77777777" w:rsidR="00CA0E31" w:rsidRDefault="00CA0E31" w:rsidP="000A5389">
      <w:pPr>
        <w:pStyle w:val="Prrafodelista"/>
        <w:numPr>
          <w:ilvl w:val="1"/>
          <w:numId w:val="79"/>
        </w:numPr>
        <w:spacing w:line="240" w:lineRule="auto"/>
        <w:rPr>
          <w:rFonts w:cs="Times New Roman"/>
          <w:szCs w:val="24"/>
        </w:rPr>
      </w:pPr>
      <w:r w:rsidRPr="00951AB1">
        <w:rPr>
          <w:rFonts w:cs="Times New Roman"/>
          <w:szCs w:val="24"/>
        </w:rPr>
        <w:t>Proyecto de concesión Nueva Malla Vial del Cauca – Corredor Vial Loboguerrero – Buga por valor de $9.540.138.529.</w:t>
      </w:r>
    </w:p>
    <w:p w14:paraId="686DE080" w14:textId="77777777" w:rsidR="00520A6E" w:rsidRPr="00951AB1" w:rsidRDefault="00520A6E" w:rsidP="00520A6E">
      <w:pPr>
        <w:pStyle w:val="Prrafodelista"/>
        <w:spacing w:line="240" w:lineRule="auto"/>
        <w:ind w:left="1440"/>
        <w:rPr>
          <w:rFonts w:cs="Times New Roman"/>
          <w:szCs w:val="24"/>
        </w:rPr>
      </w:pPr>
    </w:p>
    <w:p w14:paraId="01BCE29C" w14:textId="77777777" w:rsidR="00CA0E31" w:rsidRPr="00951AB1" w:rsidRDefault="00CA0E31" w:rsidP="000A5389">
      <w:pPr>
        <w:pStyle w:val="Prrafodelista"/>
        <w:spacing w:line="240" w:lineRule="auto"/>
        <w:ind w:left="1440"/>
        <w:rPr>
          <w:rFonts w:cs="Times New Roman"/>
          <w:sz w:val="10"/>
          <w:szCs w:val="10"/>
        </w:rPr>
      </w:pPr>
    </w:p>
    <w:p w14:paraId="464E35B7" w14:textId="77777777" w:rsidR="00CA0E31" w:rsidRPr="00951AB1" w:rsidRDefault="00CA0E31" w:rsidP="000A5389">
      <w:pPr>
        <w:pStyle w:val="Prrafodelista"/>
        <w:numPr>
          <w:ilvl w:val="0"/>
          <w:numId w:val="93"/>
        </w:numPr>
        <w:spacing w:line="240" w:lineRule="auto"/>
        <w:rPr>
          <w:rFonts w:cs="Times New Roman"/>
          <w:szCs w:val="24"/>
        </w:rPr>
      </w:pPr>
      <w:r w:rsidRPr="00951AB1">
        <w:rPr>
          <w:rFonts w:cs="Times New Roman"/>
          <w:szCs w:val="24"/>
        </w:rPr>
        <w:t>Actualización de la inversión del modo portuario por valor de $410.623.050.470 reportada en el formato establecido.</w:t>
      </w:r>
    </w:p>
    <w:p w14:paraId="416F8C6B" w14:textId="77777777" w:rsidR="00CA0E31" w:rsidRDefault="00CA0E31" w:rsidP="000A5389">
      <w:pPr>
        <w:pStyle w:val="Prrafodelista"/>
        <w:numPr>
          <w:ilvl w:val="0"/>
          <w:numId w:val="93"/>
        </w:numPr>
        <w:spacing w:line="240" w:lineRule="auto"/>
        <w:rPr>
          <w:rFonts w:cs="Times New Roman"/>
          <w:szCs w:val="24"/>
        </w:rPr>
      </w:pPr>
      <w:r w:rsidRPr="00951AB1">
        <w:rPr>
          <w:rFonts w:cs="Times New Roman"/>
          <w:szCs w:val="24"/>
        </w:rPr>
        <w:lastRenderedPageBreak/>
        <w:t xml:space="preserve">Durante la vigencia 2025, se realizó la baja de activos de bienes de uso público por un valor de $431.128.851.806, por el traslado de la infraestructura de proyectos revertidos a las entidades titulares de la infraestructura de los siguientes proyectos: </w:t>
      </w:r>
    </w:p>
    <w:p w14:paraId="76888122" w14:textId="77777777" w:rsidR="00520A6E" w:rsidRPr="00951AB1" w:rsidRDefault="00520A6E" w:rsidP="000A5389">
      <w:pPr>
        <w:pStyle w:val="Prrafodelista"/>
        <w:numPr>
          <w:ilvl w:val="0"/>
          <w:numId w:val="93"/>
        </w:numPr>
        <w:spacing w:line="240" w:lineRule="auto"/>
        <w:rPr>
          <w:rFonts w:cs="Times New Roman"/>
          <w:szCs w:val="24"/>
        </w:rPr>
      </w:pPr>
    </w:p>
    <w:p w14:paraId="6BA1EF1E" w14:textId="5918375D" w:rsidR="00CA0E31" w:rsidRPr="00951AB1" w:rsidRDefault="00CA0E31" w:rsidP="000A5389">
      <w:pPr>
        <w:spacing w:line="240" w:lineRule="auto"/>
        <w:rPr>
          <w:rFonts w:cs="Times New Roman"/>
          <w:sz w:val="16"/>
          <w:szCs w:val="16"/>
        </w:rPr>
      </w:pPr>
      <w:r w:rsidRPr="00951AB1">
        <w:rPr>
          <w:rFonts w:cs="Times New Roman"/>
          <w:szCs w:val="24"/>
        </w:rPr>
        <w:t>Modo Carretero:</w:t>
      </w:r>
    </w:p>
    <w:p w14:paraId="3E5F3A6D" w14:textId="77777777" w:rsidR="00CA0E31" w:rsidRPr="00951AB1" w:rsidRDefault="00CA0E31" w:rsidP="000A5389">
      <w:pPr>
        <w:pStyle w:val="Prrafodelista"/>
        <w:numPr>
          <w:ilvl w:val="0"/>
          <w:numId w:val="94"/>
        </w:numPr>
        <w:spacing w:line="240" w:lineRule="auto"/>
        <w:rPr>
          <w:rFonts w:cs="Times New Roman"/>
          <w:szCs w:val="24"/>
        </w:rPr>
      </w:pPr>
      <w:r w:rsidRPr="00951AB1">
        <w:rPr>
          <w:rFonts w:cs="Times New Roman"/>
          <w:szCs w:val="24"/>
        </w:rPr>
        <w:t>Concesionario Bucaramanga - Pamplona contrato de concesión 002 de 2016 por valor de $ 411.860.532.153.</w:t>
      </w:r>
    </w:p>
    <w:p w14:paraId="66512A0F" w14:textId="77777777" w:rsidR="00CA0E31" w:rsidRPr="00951AB1" w:rsidRDefault="00CA0E31" w:rsidP="000A5389">
      <w:pPr>
        <w:pStyle w:val="Prrafodelista"/>
        <w:numPr>
          <w:ilvl w:val="0"/>
          <w:numId w:val="94"/>
        </w:numPr>
        <w:spacing w:line="240" w:lineRule="auto"/>
        <w:rPr>
          <w:rFonts w:cs="Times New Roman"/>
          <w:szCs w:val="24"/>
        </w:rPr>
      </w:pPr>
      <w:r w:rsidRPr="00951AB1">
        <w:rPr>
          <w:rFonts w:cs="Times New Roman"/>
          <w:szCs w:val="24"/>
        </w:rPr>
        <w:t>Terrenos del Proyecto Bucaramanga-Pamplona por valor de $ 19.268.319.653.</w:t>
      </w:r>
    </w:p>
    <w:p w14:paraId="52C75FB5" w14:textId="77777777" w:rsidR="00CA0E31" w:rsidRPr="00951AB1" w:rsidRDefault="00CA0E31" w:rsidP="000A5389">
      <w:pPr>
        <w:spacing w:line="240" w:lineRule="auto"/>
        <w:ind w:left="709"/>
        <w:rPr>
          <w:rFonts w:cs="Times New Roman"/>
          <w:szCs w:val="24"/>
        </w:rPr>
      </w:pPr>
    </w:p>
    <w:p w14:paraId="45AF8FED" w14:textId="77777777" w:rsidR="00CA0E31" w:rsidRPr="00951AB1" w:rsidRDefault="00CA0E31" w:rsidP="000A5389">
      <w:pPr>
        <w:spacing w:line="240" w:lineRule="auto"/>
        <w:rPr>
          <w:rFonts w:cs="Times New Roman"/>
          <w:szCs w:val="24"/>
        </w:rPr>
      </w:pPr>
      <w:r w:rsidRPr="00951AB1">
        <w:rPr>
          <w:rFonts w:cs="Times New Roman"/>
          <w:szCs w:val="24"/>
        </w:rPr>
        <w:t>Esta baja generó un impacto en el resultado del ejercicio, por valor de $ 431.128.851.806 reflejándose una pérdida la cual fue reconocida en el estado de resultados de la Agencia, de acuerdo con las normas contables aplicables.</w:t>
      </w:r>
    </w:p>
    <w:p w14:paraId="7B314385" w14:textId="77777777" w:rsidR="00CA0E31" w:rsidRPr="00951AB1" w:rsidRDefault="00CA0E31" w:rsidP="000A5389">
      <w:pPr>
        <w:spacing w:line="240" w:lineRule="auto"/>
        <w:ind w:left="709"/>
        <w:rPr>
          <w:rFonts w:cs="Times New Roman"/>
          <w:szCs w:val="24"/>
        </w:rPr>
      </w:pPr>
    </w:p>
    <w:p w14:paraId="6CD61BDC" w14:textId="6466FF59" w:rsidR="00CA0E31" w:rsidRPr="00951AB1" w:rsidRDefault="00CA0E31" w:rsidP="000A5389">
      <w:pPr>
        <w:spacing w:line="240" w:lineRule="auto"/>
        <w:rPr>
          <w:rFonts w:cs="Times New Roman"/>
          <w:szCs w:val="24"/>
        </w:rPr>
      </w:pPr>
      <w:r w:rsidRPr="00951AB1">
        <w:rPr>
          <w:rFonts w:cs="Times New Roman"/>
          <w:b/>
          <w:bCs/>
          <w:i/>
          <w:iCs/>
          <w:szCs w:val="24"/>
        </w:rPr>
        <w:t>Cambios y mediciones año 2025:</w:t>
      </w:r>
      <w:r w:rsidRPr="00951AB1">
        <w:rPr>
          <w:rFonts w:cs="Times New Roman"/>
          <w:b/>
          <w:bCs/>
          <w:szCs w:val="24"/>
        </w:rPr>
        <w:t xml:space="preserve"> </w:t>
      </w:r>
      <w:r w:rsidRPr="00951AB1">
        <w:rPr>
          <w:rFonts w:cs="Times New Roman"/>
          <w:szCs w:val="24"/>
        </w:rPr>
        <w:t>Durante la vigencia se registraron movimientos en los bienes de uso público en construcción, los cuales se detallan a continuación:</w:t>
      </w:r>
    </w:p>
    <w:p w14:paraId="6CF7C5A0" w14:textId="77777777" w:rsidR="00CA0E31" w:rsidRPr="00951AB1" w:rsidRDefault="00CA0E31" w:rsidP="000A5389">
      <w:pPr>
        <w:spacing w:line="240" w:lineRule="auto"/>
        <w:rPr>
          <w:rFonts w:cs="Times New Roman"/>
          <w:szCs w:val="24"/>
        </w:rPr>
      </w:pPr>
    </w:p>
    <w:p w14:paraId="65C51F21" w14:textId="7BBD744E" w:rsidR="00CA0E31" w:rsidRDefault="00CA0E31" w:rsidP="000A5389">
      <w:pPr>
        <w:spacing w:line="240" w:lineRule="auto"/>
        <w:rPr>
          <w:rFonts w:cs="Times New Roman"/>
          <w:szCs w:val="24"/>
          <w:lang w:val="es-419"/>
        </w:rPr>
      </w:pPr>
      <w:r w:rsidRPr="00951AB1">
        <w:rPr>
          <w:rFonts w:cs="Times New Roman"/>
          <w:szCs w:val="24"/>
          <w:lang w:val="es-419"/>
        </w:rPr>
        <w:t>Adiciones por valor de $</w:t>
      </w:r>
      <w:r w:rsidRPr="00951AB1">
        <w:rPr>
          <w:rFonts w:cs="Times New Roman"/>
        </w:rPr>
        <w:t xml:space="preserve"> </w:t>
      </w:r>
      <w:r w:rsidRPr="00951AB1">
        <w:rPr>
          <w:rFonts w:cs="Times New Roman"/>
          <w:szCs w:val="24"/>
          <w:lang w:val="es-419"/>
        </w:rPr>
        <w:t xml:space="preserve">6.453.763.886.697, correspondiente a: </w:t>
      </w:r>
    </w:p>
    <w:p w14:paraId="358CF2E8" w14:textId="77777777" w:rsidR="00520A6E" w:rsidRPr="00951AB1" w:rsidRDefault="00520A6E" w:rsidP="000A5389">
      <w:pPr>
        <w:spacing w:line="240" w:lineRule="auto"/>
        <w:rPr>
          <w:rFonts w:cs="Times New Roman"/>
          <w:szCs w:val="24"/>
          <w:lang w:val="es-419"/>
        </w:rPr>
      </w:pPr>
    </w:p>
    <w:p w14:paraId="56482501" w14:textId="77777777" w:rsidR="00CA0E31" w:rsidRPr="00951AB1" w:rsidRDefault="00CA0E31" w:rsidP="000A5389">
      <w:pPr>
        <w:pStyle w:val="Prrafodelista"/>
        <w:numPr>
          <w:ilvl w:val="0"/>
          <w:numId w:val="95"/>
        </w:numPr>
        <w:spacing w:line="240" w:lineRule="auto"/>
        <w:rPr>
          <w:rFonts w:cs="Times New Roman"/>
          <w:szCs w:val="24"/>
          <w:lang w:val="es-419"/>
        </w:rPr>
      </w:pPr>
      <w:r w:rsidRPr="00951AB1">
        <w:rPr>
          <w:rFonts w:cs="Times New Roman"/>
          <w:szCs w:val="24"/>
          <w:lang w:val="es-419"/>
        </w:rPr>
        <w:t>Traslado de infraestructura de servicio a construcción por valor de $</w:t>
      </w:r>
      <w:r w:rsidRPr="00951AB1">
        <w:rPr>
          <w:rFonts w:cs="Times New Roman"/>
        </w:rPr>
        <w:t xml:space="preserve"> </w:t>
      </w:r>
      <w:r w:rsidRPr="00951AB1">
        <w:rPr>
          <w:rFonts w:cs="Times New Roman"/>
          <w:szCs w:val="24"/>
          <w:lang w:val="es-419"/>
        </w:rPr>
        <w:t>5.999.327.276.339.</w:t>
      </w:r>
    </w:p>
    <w:p w14:paraId="28C08669" w14:textId="77777777" w:rsidR="00CA0E31" w:rsidRPr="00951AB1" w:rsidRDefault="00CA0E31" w:rsidP="000A5389">
      <w:pPr>
        <w:pStyle w:val="Prrafodelista"/>
        <w:numPr>
          <w:ilvl w:val="0"/>
          <w:numId w:val="95"/>
        </w:numPr>
        <w:spacing w:line="240" w:lineRule="auto"/>
        <w:rPr>
          <w:rFonts w:cs="Times New Roman"/>
          <w:szCs w:val="24"/>
          <w:lang w:val="es-419"/>
        </w:rPr>
      </w:pPr>
      <w:r w:rsidRPr="00951AB1">
        <w:rPr>
          <w:rFonts w:cs="Times New Roman"/>
          <w:szCs w:val="24"/>
          <w:lang w:val="es-419"/>
        </w:rPr>
        <w:t>Materialización de Riesgos por valor de $67.109.617.048 pagados a través del Fondo de contingencias proyectos carretero.</w:t>
      </w:r>
    </w:p>
    <w:p w14:paraId="7CF124F6" w14:textId="77777777" w:rsidR="00CA0E31" w:rsidRPr="00951AB1" w:rsidRDefault="00CA0E31" w:rsidP="000A5389">
      <w:pPr>
        <w:pStyle w:val="Prrafodelista"/>
        <w:numPr>
          <w:ilvl w:val="0"/>
          <w:numId w:val="95"/>
        </w:numPr>
        <w:spacing w:line="240" w:lineRule="auto"/>
        <w:rPr>
          <w:rFonts w:cs="Times New Roman"/>
          <w:szCs w:val="24"/>
          <w:lang w:val="es-419"/>
        </w:rPr>
      </w:pPr>
      <w:r w:rsidRPr="00951AB1">
        <w:rPr>
          <w:rFonts w:cs="Times New Roman"/>
          <w:szCs w:val="24"/>
          <w:lang w:val="es-419"/>
        </w:rPr>
        <w:t>Traslados de cuenta de propiedades, planta y equipo por valor de $</w:t>
      </w:r>
      <w:r w:rsidRPr="00951AB1">
        <w:rPr>
          <w:rFonts w:cs="Times New Roman"/>
        </w:rPr>
        <w:t xml:space="preserve"> </w:t>
      </w:r>
      <w:r w:rsidRPr="00951AB1">
        <w:rPr>
          <w:rFonts w:cs="Times New Roman"/>
          <w:szCs w:val="24"/>
          <w:lang w:val="es-419"/>
        </w:rPr>
        <w:t>8.577.723.463.</w:t>
      </w:r>
    </w:p>
    <w:p w14:paraId="4A23E1C2" w14:textId="77777777" w:rsidR="00CA0E31" w:rsidRPr="00951AB1" w:rsidRDefault="00CA0E31" w:rsidP="000A5389">
      <w:pPr>
        <w:pStyle w:val="Prrafodelista"/>
        <w:numPr>
          <w:ilvl w:val="0"/>
          <w:numId w:val="95"/>
        </w:numPr>
        <w:spacing w:line="240" w:lineRule="auto"/>
        <w:rPr>
          <w:rFonts w:cs="Times New Roman"/>
          <w:szCs w:val="24"/>
          <w:lang w:val="es-419"/>
        </w:rPr>
      </w:pPr>
      <w:r w:rsidRPr="00951AB1">
        <w:rPr>
          <w:rFonts w:cs="Times New Roman"/>
          <w:szCs w:val="24"/>
          <w:lang w:val="es-419"/>
        </w:rPr>
        <w:t>Traslado a Terrenos modo carretero por valor de $ 378.749.269.848.</w:t>
      </w:r>
    </w:p>
    <w:p w14:paraId="5D98BAFF" w14:textId="77777777" w:rsidR="00CA0E31" w:rsidRPr="00951AB1" w:rsidRDefault="00CA0E31" w:rsidP="000A5389">
      <w:pPr>
        <w:spacing w:line="240" w:lineRule="auto"/>
        <w:rPr>
          <w:rFonts w:cs="Times New Roman"/>
          <w:szCs w:val="24"/>
          <w:lang w:val="es-419"/>
        </w:rPr>
      </w:pPr>
    </w:p>
    <w:p w14:paraId="190AE8AC" w14:textId="26159C17" w:rsidR="00CA0E31" w:rsidRDefault="00CA0E31" w:rsidP="000A5389">
      <w:pPr>
        <w:spacing w:line="240" w:lineRule="auto"/>
        <w:rPr>
          <w:rFonts w:cs="Times New Roman"/>
          <w:szCs w:val="24"/>
          <w:lang w:val="es-419"/>
        </w:rPr>
      </w:pPr>
      <w:r w:rsidRPr="00951AB1">
        <w:rPr>
          <w:rFonts w:cs="Times New Roman"/>
          <w:szCs w:val="24"/>
          <w:lang w:val="es-419"/>
        </w:rPr>
        <w:t>Las disminuciones presentadas por valor de $</w:t>
      </w:r>
      <w:r w:rsidRPr="00951AB1">
        <w:rPr>
          <w:rFonts w:cs="Times New Roman"/>
        </w:rPr>
        <w:t xml:space="preserve"> </w:t>
      </w:r>
      <w:r w:rsidRPr="00951AB1">
        <w:rPr>
          <w:rFonts w:cs="Times New Roman"/>
          <w:szCs w:val="24"/>
          <w:lang w:val="es-419"/>
        </w:rPr>
        <w:t xml:space="preserve">27.714.187.441.018 corresponden a: </w:t>
      </w:r>
    </w:p>
    <w:p w14:paraId="32BEBA9C" w14:textId="77777777" w:rsidR="00520A6E" w:rsidRPr="00951AB1" w:rsidRDefault="00520A6E" w:rsidP="000A5389">
      <w:pPr>
        <w:spacing w:line="240" w:lineRule="auto"/>
        <w:rPr>
          <w:rFonts w:cs="Times New Roman"/>
          <w:szCs w:val="24"/>
          <w:lang w:val="es-419"/>
        </w:rPr>
      </w:pPr>
    </w:p>
    <w:p w14:paraId="528CC209" w14:textId="77777777" w:rsidR="00CA0E31" w:rsidRPr="00951AB1" w:rsidRDefault="00CA0E31" w:rsidP="000A5389">
      <w:pPr>
        <w:pStyle w:val="Prrafodelista"/>
        <w:numPr>
          <w:ilvl w:val="0"/>
          <w:numId w:val="96"/>
        </w:numPr>
        <w:spacing w:line="240" w:lineRule="auto"/>
        <w:rPr>
          <w:rFonts w:cs="Times New Roman"/>
          <w:szCs w:val="24"/>
          <w:lang w:val="es-419"/>
        </w:rPr>
      </w:pPr>
      <w:r w:rsidRPr="00951AB1">
        <w:rPr>
          <w:rFonts w:cs="Times New Roman"/>
          <w:szCs w:val="24"/>
          <w:lang w:val="es-419"/>
        </w:rPr>
        <w:t>Traslados a propiedades, planta y equipo en concesión del modo carretero por valor de $</w:t>
      </w:r>
      <w:r w:rsidRPr="00951AB1">
        <w:rPr>
          <w:rFonts w:cs="Times New Roman"/>
        </w:rPr>
        <w:t xml:space="preserve"> </w:t>
      </w:r>
      <w:r w:rsidRPr="00951AB1">
        <w:rPr>
          <w:rFonts w:cs="Times New Roman"/>
          <w:szCs w:val="24"/>
          <w:lang w:val="es-419"/>
        </w:rPr>
        <w:t>32.087.352.905.</w:t>
      </w:r>
    </w:p>
    <w:p w14:paraId="7CFCABE8" w14:textId="77777777" w:rsidR="00CA0E31" w:rsidRPr="00951AB1" w:rsidRDefault="00CA0E31" w:rsidP="000A5389">
      <w:pPr>
        <w:pStyle w:val="Prrafodelista"/>
        <w:numPr>
          <w:ilvl w:val="0"/>
          <w:numId w:val="96"/>
        </w:numPr>
        <w:spacing w:line="240" w:lineRule="auto"/>
        <w:rPr>
          <w:rFonts w:cs="Times New Roman"/>
          <w:szCs w:val="24"/>
          <w:lang w:val="es-419"/>
        </w:rPr>
      </w:pPr>
      <w:r w:rsidRPr="00951AB1">
        <w:rPr>
          <w:rFonts w:cs="Times New Roman"/>
          <w:szCs w:val="24"/>
          <w:lang w:val="es-419"/>
        </w:rPr>
        <w:t>Traslado de infraestructura a servicio del modo carretero por valor de $</w:t>
      </w:r>
      <w:r w:rsidRPr="00951AB1">
        <w:rPr>
          <w:rFonts w:cs="Times New Roman"/>
        </w:rPr>
        <w:t xml:space="preserve"> </w:t>
      </w:r>
      <w:r w:rsidRPr="00951AB1">
        <w:rPr>
          <w:rFonts w:cs="Times New Roman"/>
          <w:szCs w:val="24"/>
          <w:lang w:val="es-419"/>
        </w:rPr>
        <w:t>26.566.368.102.603.</w:t>
      </w:r>
    </w:p>
    <w:p w14:paraId="045BDEEB" w14:textId="77777777" w:rsidR="00CA0E31" w:rsidRPr="00951AB1" w:rsidRDefault="00CA0E31" w:rsidP="000A5389">
      <w:pPr>
        <w:pStyle w:val="Prrafodelista"/>
        <w:numPr>
          <w:ilvl w:val="0"/>
          <w:numId w:val="96"/>
        </w:numPr>
        <w:spacing w:line="240" w:lineRule="auto"/>
        <w:rPr>
          <w:rFonts w:cs="Times New Roman"/>
          <w:szCs w:val="24"/>
          <w:lang w:val="es-419"/>
        </w:rPr>
      </w:pPr>
      <w:r w:rsidRPr="00951AB1">
        <w:rPr>
          <w:rFonts w:cs="Times New Roman"/>
          <w:szCs w:val="24"/>
          <w:lang w:val="es-419"/>
        </w:rPr>
        <w:t>Traslado de terrenos a servicio modo carretero por valor de $1.085.051.683.555.</w:t>
      </w:r>
    </w:p>
    <w:p w14:paraId="538385C2" w14:textId="77777777" w:rsidR="00CA0E31" w:rsidRPr="00951AB1" w:rsidRDefault="00CA0E31" w:rsidP="000A5389">
      <w:pPr>
        <w:pStyle w:val="Prrafodelista"/>
        <w:numPr>
          <w:ilvl w:val="0"/>
          <w:numId w:val="96"/>
        </w:numPr>
        <w:spacing w:line="240" w:lineRule="auto"/>
        <w:rPr>
          <w:rFonts w:cs="Times New Roman"/>
          <w:szCs w:val="24"/>
          <w:lang w:val="es-419"/>
        </w:rPr>
      </w:pPr>
      <w:r w:rsidRPr="00951AB1">
        <w:rPr>
          <w:rFonts w:cs="Times New Roman"/>
          <w:szCs w:val="24"/>
          <w:lang w:val="es-419"/>
        </w:rPr>
        <w:t>Reclasificación activos asociados al modo portuario por valor de $</w:t>
      </w:r>
      <w:r w:rsidRPr="00951AB1">
        <w:rPr>
          <w:rFonts w:cs="Times New Roman"/>
        </w:rPr>
        <w:t xml:space="preserve"> </w:t>
      </w:r>
      <w:r w:rsidRPr="00951AB1">
        <w:rPr>
          <w:rFonts w:cs="Times New Roman"/>
          <w:szCs w:val="24"/>
          <w:lang w:val="es-419"/>
        </w:rPr>
        <w:t>30.680.301.955.</w:t>
      </w:r>
    </w:p>
    <w:p w14:paraId="77AF39A4" w14:textId="77777777" w:rsidR="00CA0E31" w:rsidRPr="00951AB1" w:rsidRDefault="00CA0E31" w:rsidP="000A5389">
      <w:pPr>
        <w:spacing w:line="240" w:lineRule="auto"/>
        <w:rPr>
          <w:rFonts w:cs="Times New Roman"/>
          <w:szCs w:val="24"/>
          <w:lang w:val="es-419"/>
        </w:rPr>
      </w:pPr>
    </w:p>
    <w:p w14:paraId="48AB3C1E" w14:textId="0A469D26" w:rsidR="00CA0E31" w:rsidRPr="00951AB1" w:rsidRDefault="00CA0E31" w:rsidP="000A5389">
      <w:pPr>
        <w:spacing w:line="240" w:lineRule="auto"/>
        <w:rPr>
          <w:rFonts w:cs="Times New Roman"/>
          <w:szCs w:val="24"/>
          <w:lang w:val="es-419"/>
        </w:rPr>
      </w:pPr>
      <w:r w:rsidRPr="00951AB1">
        <w:rPr>
          <w:rFonts w:cs="Times New Roman"/>
          <w:b/>
          <w:bCs/>
          <w:i/>
          <w:iCs/>
          <w:szCs w:val="24"/>
        </w:rPr>
        <w:t>Depreciaciones Bienes de Uso Público en Construcción -Concesiones:</w:t>
      </w:r>
      <w:r w:rsidRPr="00951AB1">
        <w:rPr>
          <w:rFonts w:cs="Times New Roman"/>
          <w:b/>
          <w:bCs/>
          <w:szCs w:val="24"/>
        </w:rPr>
        <w:t xml:space="preserve"> </w:t>
      </w:r>
      <w:r w:rsidRPr="00951AB1">
        <w:rPr>
          <w:rFonts w:cs="Times New Roman"/>
          <w:szCs w:val="24"/>
        </w:rPr>
        <w:t>En cuanto al reconocimiento de la depreciación de los activos derivados de la ejecución de concesiones, la Agencia está llevando a cabo estudios de reconocido valor técnico para determinar la vida útil de estos activos. En este sentido, la Contaduría General de la Nación, mediante la Resolución 443 del 6 de diciembre de 2024, modificó el artículo 7, de la Resolución 602 de 2018, extendiendo el plazo para esta determinación hasta el 31 de diciembre de 2028.</w:t>
      </w:r>
    </w:p>
    <w:p w14:paraId="6C2E25A2" w14:textId="77777777" w:rsidR="00CA0E31" w:rsidRPr="00951AB1" w:rsidRDefault="00CA0E31" w:rsidP="000A5389">
      <w:pPr>
        <w:spacing w:line="240" w:lineRule="auto"/>
        <w:rPr>
          <w:rFonts w:cs="Times New Roman"/>
          <w:sz w:val="20"/>
          <w:szCs w:val="20"/>
          <w:lang w:eastAsia="es-CO"/>
        </w:rPr>
      </w:pPr>
      <w:r w:rsidRPr="00951AB1">
        <w:rPr>
          <w:rFonts w:cs="Times New Roman"/>
          <w:sz w:val="22"/>
        </w:rPr>
        <w:fldChar w:fldCharType="begin"/>
      </w:r>
      <w:r w:rsidRPr="00951AB1">
        <w:rPr>
          <w:rFonts w:cs="Times New Roman"/>
        </w:rPr>
        <w:instrText xml:space="preserve"> LINK Excel.Sheet.12 "C:\\Users\\wolarte\\Documents\\0-Ani2025\\0_Cierre2025\\Nota_11\\Anexo N_11 - Bienes Uso público, histór y culturales.XLSX" "Bajas!F8C23:F9C24" \a \f 4 \h  \* MERGEFORMAT </w:instrText>
      </w:r>
      <w:r w:rsidRPr="00951AB1">
        <w:rPr>
          <w:rFonts w:cs="Times New Roman"/>
          <w:sz w:val="22"/>
        </w:rPr>
        <w:fldChar w:fldCharType="separate"/>
      </w:r>
    </w:p>
    <w:p w14:paraId="4B281D77" w14:textId="17629D3C" w:rsidR="00CA0E31" w:rsidRPr="00951AB1" w:rsidRDefault="00CA0E31" w:rsidP="000A5389">
      <w:pPr>
        <w:spacing w:line="240" w:lineRule="auto"/>
        <w:rPr>
          <w:rFonts w:cs="Times New Roman"/>
          <w:szCs w:val="24"/>
        </w:rPr>
      </w:pPr>
      <w:r w:rsidRPr="00951AB1">
        <w:rPr>
          <w:rFonts w:cs="Times New Roman"/>
          <w:szCs w:val="24"/>
        </w:rPr>
        <w:lastRenderedPageBreak/>
        <w:fldChar w:fldCharType="end"/>
      </w:r>
      <w:r w:rsidRPr="00951AB1">
        <w:rPr>
          <w:rFonts w:cs="Times New Roman"/>
          <w:b/>
          <w:bCs/>
          <w:i/>
          <w:iCs/>
          <w:szCs w:val="24"/>
        </w:rPr>
        <w:t>Deterioro Bienes de Uso Público en Construcción -Concesiones</w:t>
      </w:r>
      <w:r w:rsidR="00C96E94" w:rsidRPr="00951AB1">
        <w:rPr>
          <w:rFonts w:cs="Times New Roman"/>
          <w:b/>
          <w:bCs/>
          <w:i/>
          <w:iCs/>
          <w:szCs w:val="24"/>
        </w:rPr>
        <w:t xml:space="preserve">: </w:t>
      </w:r>
      <w:r w:rsidRPr="00951AB1">
        <w:rPr>
          <w:rFonts w:cs="Times New Roman"/>
          <w:szCs w:val="24"/>
        </w:rPr>
        <w:t>Durante la vigencia 2025, la Entidad registró deterioro de valor en bienes de uso público vinculados a infraestructura de transporte, reconociendo el efecto correspondiente con cargo al gasto del periodo, en aplicación de los criterios técnicos establecidos para la medición posterior de Bienes de Uso Público en especial lo establecido en la Guía para la Estimación del Deterioro de Valor de los Activos Asociados al Modo de Transporte Carretero – Test de Indicios de Deterioro de Valor.</w:t>
      </w:r>
    </w:p>
    <w:p w14:paraId="5CFF4435" w14:textId="77777777" w:rsidR="00CA0E31" w:rsidRPr="00951AB1" w:rsidRDefault="00CA0E31" w:rsidP="000A5389">
      <w:pPr>
        <w:spacing w:line="240" w:lineRule="auto"/>
        <w:rPr>
          <w:rFonts w:cs="Times New Roman"/>
          <w:szCs w:val="24"/>
        </w:rPr>
      </w:pPr>
    </w:p>
    <w:p w14:paraId="3E99DF4B" w14:textId="34E2B974" w:rsidR="00CA0E31" w:rsidRDefault="00CA0E31" w:rsidP="000A5389">
      <w:pPr>
        <w:spacing w:line="240" w:lineRule="auto"/>
        <w:rPr>
          <w:rFonts w:cs="Times New Roman"/>
          <w:szCs w:val="24"/>
        </w:rPr>
      </w:pPr>
      <w:r w:rsidRPr="00951AB1">
        <w:rPr>
          <w:rFonts w:cs="Times New Roman"/>
          <w:szCs w:val="24"/>
        </w:rPr>
        <w:t>Como resultado de dicha evaluación, se reconoció deterioro en el siguiente proyecto de concesión:</w:t>
      </w:r>
    </w:p>
    <w:p w14:paraId="44D510D0" w14:textId="77777777" w:rsidR="00520A6E" w:rsidRPr="00951AB1" w:rsidRDefault="00520A6E" w:rsidP="000A5389">
      <w:pPr>
        <w:spacing w:line="240" w:lineRule="auto"/>
        <w:rPr>
          <w:rFonts w:cs="Times New Roman"/>
          <w:szCs w:val="24"/>
        </w:rPr>
      </w:pPr>
    </w:p>
    <w:p w14:paraId="301824CD" w14:textId="77777777" w:rsidR="00CA0E31" w:rsidRPr="00951AB1" w:rsidRDefault="00CA0E31" w:rsidP="000A5389">
      <w:pPr>
        <w:pStyle w:val="Prrafodelista"/>
        <w:numPr>
          <w:ilvl w:val="0"/>
          <w:numId w:val="80"/>
        </w:numPr>
        <w:spacing w:line="240" w:lineRule="auto"/>
        <w:rPr>
          <w:rFonts w:cs="Times New Roman"/>
          <w:szCs w:val="24"/>
        </w:rPr>
      </w:pPr>
      <w:r w:rsidRPr="00951AB1">
        <w:rPr>
          <w:rFonts w:cs="Times New Roman"/>
          <w:szCs w:val="24"/>
        </w:rPr>
        <w:t>Deterioro Proyecto Nueva Malla Vial del Valle del Cauca - Accesos Cali y Palmira Contrato 001-2021 Concesionario Rutas del Valle afectaciones al Puente vehicular Puerto Isaac.</w:t>
      </w:r>
    </w:p>
    <w:p w14:paraId="29489D2C" w14:textId="77777777" w:rsidR="00CA0E31" w:rsidRPr="00951AB1" w:rsidRDefault="00CA0E31" w:rsidP="000A5389">
      <w:pPr>
        <w:pStyle w:val="Prrafodelista"/>
        <w:spacing w:line="240" w:lineRule="auto"/>
        <w:rPr>
          <w:rFonts w:cs="Times New Roman"/>
          <w:szCs w:val="24"/>
        </w:rPr>
      </w:pPr>
    </w:p>
    <w:p w14:paraId="61C26C83" w14:textId="77777777" w:rsidR="00CA0E31" w:rsidRPr="00951AB1" w:rsidRDefault="00CA0E31" w:rsidP="000A5389">
      <w:pPr>
        <w:spacing w:line="240" w:lineRule="auto"/>
        <w:rPr>
          <w:rFonts w:cs="Times New Roman"/>
          <w:szCs w:val="24"/>
        </w:rPr>
      </w:pPr>
    </w:p>
    <w:p w14:paraId="7AC9BB06" w14:textId="42ABF3F4" w:rsidR="00CA0E31" w:rsidRPr="00951AB1" w:rsidRDefault="00CA0E31" w:rsidP="000A5389">
      <w:pPr>
        <w:pStyle w:val="Ttulo2"/>
        <w:numPr>
          <w:ilvl w:val="0"/>
          <w:numId w:val="0"/>
        </w:numPr>
        <w:spacing w:line="240" w:lineRule="auto"/>
        <w:rPr>
          <w:rFonts w:cs="Times New Roman"/>
          <w:color w:val="auto"/>
          <w:szCs w:val="24"/>
        </w:rPr>
      </w:pPr>
      <w:bookmarkStart w:id="380" w:name="_Toc222955490"/>
      <w:r w:rsidRPr="00951AB1">
        <w:rPr>
          <w:rFonts w:cs="Times New Roman"/>
        </w:rPr>
        <w:t xml:space="preserve">11.1.3. </w:t>
      </w:r>
      <w:r w:rsidR="00C96E94" w:rsidRPr="00951AB1">
        <w:rPr>
          <w:rFonts w:cs="Times New Roman"/>
        </w:rPr>
        <w:t xml:space="preserve"> </w:t>
      </w:r>
      <w:r w:rsidR="00C96E94" w:rsidRPr="00951AB1">
        <w:rPr>
          <w:rFonts w:cs="Times New Roman"/>
        </w:rPr>
        <w:tab/>
      </w:r>
      <w:r w:rsidRPr="00951AB1">
        <w:rPr>
          <w:rFonts w:cs="Times New Roman"/>
        </w:rPr>
        <w:t>Bienes de uso público en servicio.</w:t>
      </w:r>
      <w:bookmarkEnd w:id="380"/>
    </w:p>
    <w:p w14:paraId="2818C26D" w14:textId="77777777" w:rsidR="00CA0E31" w:rsidRPr="00951AB1" w:rsidRDefault="00CA0E31" w:rsidP="000A5389">
      <w:pPr>
        <w:spacing w:line="240" w:lineRule="auto"/>
        <w:rPr>
          <w:rFonts w:cs="Times New Roman"/>
          <w:szCs w:val="24"/>
        </w:rPr>
      </w:pPr>
    </w:p>
    <w:p w14:paraId="58E7A324" w14:textId="77777777" w:rsidR="00CA0E31" w:rsidRPr="00951AB1" w:rsidRDefault="00CA0E31" w:rsidP="000A5389">
      <w:pPr>
        <w:pStyle w:val="Prrafodelista"/>
        <w:spacing w:line="240" w:lineRule="auto"/>
        <w:ind w:left="0"/>
        <w:rPr>
          <w:rFonts w:cs="Times New Roman"/>
          <w:szCs w:val="24"/>
        </w:rPr>
      </w:pPr>
      <w:r w:rsidRPr="00951AB1">
        <w:rPr>
          <w:rFonts w:cs="Times New Roman"/>
          <w:szCs w:val="24"/>
        </w:rPr>
        <w:t xml:space="preserve">Para la vigencia 2025, se registró la actualización de los activos asociados al modo férreo correspondiente al tramo Bogotá (Cundinamarca) – Belencito (Boyacá), así como en el Ramal La Caro – Zipaquirá y el Tramo Bogotá – Facatativá por valor de $8.333.766.731. </w:t>
      </w:r>
    </w:p>
    <w:p w14:paraId="496A8A39" w14:textId="77777777" w:rsidR="00CA0E31" w:rsidRPr="00951AB1" w:rsidRDefault="00CA0E31" w:rsidP="000A5389">
      <w:pPr>
        <w:pStyle w:val="Prrafodelista"/>
        <w:spacing w:line="240" w:lineRule="auto"/>
        <w:ind w:left="0"/>
        <w:rPr>
          <w:rFonts w:cs="Times New Roman"/>
          <w:szCs w:val="24"/>
        </w:rPr>
      </w:pPr>
    </w:p>
    <w:p w14:paraId="17458700" w14:textId="77777777" w:rsidR="00CA0E31" w:rsidRPr="00951AB1" w:rsidRDefault="00CA0E31" w:rsidP="000A5389">
      <w:pPr>
        <w:spacing w:line="240" w:lineRule="auto"/>
        <w:rPr>
          <w:rFonts w:cs="Times New Roman"/>
          <w:szCs w:val="24"/>
        </w:rPr>
      </w:pPr>
      <w:r w:rsidRPr="00951AB1">
        <w:rPr>
          <w:rFonts w:cs="Times New Roman"/>
          <w:szCs w:val="24"/>
        </w:rPr>
        <w:t>Este corredor atraviesa los departamentos de Cundinamarca y Boyacá, con 297,9 km de línea férrea desde Facatativá hasta Belencito, pasando por la ciudad de Bogotá. Además, incluye un ramal de 20,4 km desde La Caro hasta Zipaquirá.</w:t>
      </w:r>
    </w:p>
    <w:p w14:paraId="6158B9C1" w14:textId="77777777" w:rsidR="00CA0E31" w:rsidRPr="00951AB1" w:rsidRDefault="00CA0E31" w:rsidP="000A5389">
      <w:pPr>
        <w:spacing w:line="240" w:lineRule="auto"/>
        <w:rPr>
          <w:rFonts w:cs="Times New Roman"/>
          <w:szCs w:val="24"/>
        </w:rPr>
      </w:pPr>
    </w:p>
    <w:p w14:paraId="23DB0824" w14:textId="77777777" w:rsidR="00CA0E31" w:rsidRPr="00951AB1" w:rsidRDefault="00CA0E31" w:rsidP="000A5389">
      <w:pPr>
        <w:spacing w:line="240" w:lineRule="auto"/>
        <w:rPr>
          <w:rFonts w:cs="Times New Roman"/>
          <w:szCs w:val="24"/>
        </w:rPr>
      </w:pPr>
      <w:r w:rsidRPr="00951AB1">
        <w:rPr>
          <w:rFonts w:cs="Times New Roman"/>
          <w:szCs w:val="24"/>
        </w:rPr>
        <w:t>El corredor cruza los municipios de Facatativá, Madrid, Mosquera, y tras atravesar Bogotá, continúa por Chía, Cajicá, Zipaquirá, Tocancipá, Gachancipá, Sesquilé, Suesca, Chocontá y Villapinzón en Cundinamarca. Posteriormente, sigue por Ventaquemada, Tunja, Oicatá, Tuta, Paipa, Duitama y Sogamoso, finalizando en Belencito.</w:t>
      </w:r>
    </w:p>
    <w:p w14:paraId="24D41D8E" w14:textId="77777777" w:rsidR="00CA0E31" w:rsidRPr="00951AB1" w:rsidRDefault="00CA0E31" w:rsidP="000A5389">
      <w:pPr>
        <w:spacing w:line="240" w:lineRule="auto"/>
        <w:rPr>
          <w:rFonts w:cs="Times New Roman"/>
          <w:szCs w:val="24"/>
        </w:rPr>
      </w:pPr>
    </w:p>
    <w:p w14:paraId="787E8735" w14:textId="77777777" w:rsidR="00CA0E31" w:rsidRPr="00951AB1" w:rsidRDefault="00CA0E31" w:rsidP="000A5389">
      <w:pPr>
        <w:spacing w:line="240" w:lineRule="auto"/>
        <w:rPr>
          <w:rFonts w:cs="Times New Roman"/>
          <w:szCs w:val="24"/>
        </w:rPr>
      </w:pPr>
      <w:r w:rsidRPr="00951AB1">
        <w:rPr>
          <w:rFonts w:cs="Times New Roman"/>
          <w:szCs w:val="24"/>
        </w:rPr>
        <w:t>Este proyecto es operado por FINDETER, bajo el contrato interadministrativo No. VE-629-2022.</w:t>
      </w:r>
    </w:p>
    <w:p w14:paraId="2915E60E" w14:textId="77777777" w:rsidR="00CA0E31" w:rsidRPr="00951AB1" w:rsidRDefault="00CA0E31" w:rsidP="000A5389">
      <w:pPr>
        <w:pStyle w:val="Prrafodelista"/>
        <w:spacing w:line="240" w:lineRule="auto"/>
        <w:ind w:left="0"/>
        <w:rPr>
          <w:rStyle w:val="ui-provider"/>
          <w:rFonts w:cs="Times New Roman"/>
          <w:sz w:val="18"/>
          <w:szCs w:val="18"/>
        </w:rPr>
      </w:pPr>
    </w:p>
    <w:p w14:paraId="48276CD8" w14:textId="77777777" w:rsidR="00CA0E31" w:rsidRPr="00951AB1" w:rsidRDefault="00CA0E31" w:rsidP="000A5389">
      <w:pPr>
        <w:pStyle w:val="Prrafodelista"/>
        <w:shd w:val="clear" w:color="auto" w:fill="FFFFFF" w:themeFill="background1"/>
        <w:spacing w:line="240" w:lineRule="auto"/>
        <w:ind w:left="0"/>
        <w:rPr>
          <w:rFonts w:cs="Times New Roman"/>
          <w:szCs w:val="24"/>
        </w:rPr>
      </w:pPr>
      <w:r w:rsidRPr="00951AB1">
        <w:rPr>
          <w:rFonts w:cs="Times New Roman"/>
          <w:szCs w:val="24"/>
        </w:rPr>
        <w:t>El valor de la depreciación reconocida en el periodo asciende a la suma de $</w:t>
      </w:r>
      <w:r w:rsidRPr="00951AB1">
        <w:rPr>
          <w:rFonts w:cs="Times New Roman"/>
        </w:rPr>
        <w:t xml:space="preserve"> </w:t>
      </w:r>
      <w:r w:rsidRPr="00951AB1">
        <w:rPr>
          <w:rFonts w:cs="Times New Roman"/>
          <w:szCs w:val="24"/>
        </w:rPr>
        <w:t>30.676.613.591, y para el cálculo de la depreciación de la red férrea, se estableció por el método de línea recta de acuerdo con su vida útil estimada, la cual corresponde a 20 años. El valor de la depreciación reconocida en el resultado del año 2024 corresponde a $28.682.800.238.</w:t>
      </w:r>
    </w:p>
    <w:p w14:paraId="2B87786E" w14:textId="77777777" w:rsidR="00CA0E31" w:rsidRPr="00951AB1" w:rsidRDefault="00CA0E31" w:rsidP="000A5389">
      <w:pPr>
        <w:pStyle w:val="Prrafodelista"/>
        <w:shd w:val="clear" w:color="auto" w:fill="FFFFFF" w:themeFill="background1"/>
        <w:spacing w:line="240" w:lineRule="auto"/>
        <w:ind w:left="0"/>
        <w:rPr>
          <w:rFonts w:cs="Times New Roman"/>
          <w:sz w:val="18"/>
          <w:szCs w:val="18"/>
        </w:rPr>
      </w:pPr>
    </w:p>
    <w:p w14:paraId="0723E543" w14:textId="77777777" w:rsidR="00CA0E31" w:rsidRDefault="00CA0E31" w:rsidP="000A5389">
      <w:pPr>
        <w:pStyle w:val="Prrafodelista"/>
        <w:spacing w:line="240" w:lineRule="auto"/>
        <w:ind w:left="0"/>
        <w:rPr>
          <w:rFonts w:cs="Times New Roman"/>
          <w:szCs w:val="24"/>
        </w:rPr>
      </w:pPr>
      <w:r w:rsidRPr="00951AB1">
        <w:rPr>
          <w:rFonts w:cs="Times New Roman"/>
          <w:szCs w:val="24"/>
        </w:rPr>
        <w:t>En el siguiente cuadro se observa la vida útil de los tramos:</w:t>
      </w:r>
    </w:p>
    <w:p w14:paraId="4C89CFBA" w14:textId="77777777" w:rsidR="00520A6E" w:rsidRPr="00951AB1" w:rsidRDefault="00520A6E" w:rsidP="000A5389">
      <w:pPr>
        <w:pStyle w:val="Prrafodelista"/>
        <w:spacing w:line="240" w:lineRule="auto"/>
        <w:ind w:left="0"/>
        <w:rPr>
          <w:rFonts w:cs="Times New Roman"/>
          <w:szCs w:val="24"/>
        </w:rPr>
      </w:pPr>
    </w:p>
    <w:p w14:paraId="071EF1E4" w14:textId="77777777" w:rsidR="00CA0E31" w:rsidRPr="00951AB1" w:rsidRDefault="00CA0E31" w:rsidP="000A5389">
      <w:pPr>
        <w:pStyle w:val="Prrafodelista"/>
        <w:spacing w:line="240" w:lineRule="auto"/>
        <w:ind w:left="0"/>
        <w:rPr>
          <w:rFonts w:cs="Times New Roman"/>
          <w:sz w:val="18"/>
          <w:szCs w:val="18"/>
        </w:rPr>
      </w:pPr>
    </w:p>
    <w:tbl>
      <w:tblPr>
        <w:tblW w:w="5000" w:type="pct"/>
        <w:jc w:val="center"/>
        <w:tblCellMar>
          <w:left w:w="70" w:type="dxa"/>
          <w:right w:w="70" w:type="dxa"/>
        </w:tblCellMar>
        <w:tblLook w:val="04A0" w:firstRow="1" w:lastRow="0" w:firstColumn="1" w:lastColumn="0" w:noHBand="0" w:noVBand="1"/>
      </w:tblPr>
      <w:tblGrid>
        <w:gridCol w:w="5502"/>
        <w:gridCol w:w="3326"/>
      </w:tblGrid>
      <w:tr w:rsidR="00CA0E31" w:rsidRPr="00520A6E" w14:paraId="4DD705FF" w14:textId="77777777" w:rsidTr="00520A6E">
        <w:trPr>
          <w:trHeight w:val="20"/>
          <w:jc w:val="center"/>
        </w:trPr>
        <w:tc>
          <w:tcPr>
            <w:tcW w:w="3116" w:type="pct"/>
            <w:vMerge w:val="restart"/>
            <w:tcBorders>
              <w:top w:val="single" w:sz="4" w:space="0" w:color="auto"/>
              <w:left w:val="single" w:sz="4" w:space="0" w:color="auto"/>
              <w:bottom w:val="single" w:sz="4" w:space="0" w:color="auto"/>
              <w:right w:val="single" w:sz="4" w:space="0" w:color="auto"/>
            </w:tcBorders>
            <w:noWrap/>
            <w:vAlign w:val="center"/>
            <w:hideMark/>
          </w:tcPr>
          <w:p w14:paraId="4932744C" w14:textId="77777777" w:rsidR="00CA0E31" w:rsidRPr="00520A6E" w:rsidRDefault="00CA0E31" w:rsidP="000A5389">
            <w:pPr>
              <w:spacing w:line="240" w:lineRule="auto"/>
              <w:jc w:val="center"/>
              <w:rPr>
                <w:rFonts w:eastAsia="Times New Roman" w:cs="Times New Roman"/>
                <w:b/>
                <w:bCs/>
                <w:sz w:val="22"/>
                <w:lang w:eastAsia="es-CO"/>
              </w:rPr>
            </w:pPr>
            <w:r w:rsidRPr="00520A6E">
              <w:rPr>
                <w:rFonts w:eastAsia="Times New Roman" w:cs="Times New Roman"/>
                <w:b/>
                <w:bCs/>
                <w:sz w:val="22"/>
                <w:lang w:eastAsia="es-CO"/>
              </w:rPr>
              <w:t>TRAMOS</w:t>
            </w:r>
          </w:p>
        </w:tc>
        <w:tc>
          <w:tcPr>
            <w:tcW w:w="1884" w:type="pct"/>
            <w:tcBorders>
              <w:top w:val="single" w:sz="4" w:space="0" w:color="auto"/>
              <w:left w:val="nil"/>
              <w:bottom w:val="single" w:sz="4" w:space="0" w:color="auto"/>
              <w:right w:val="single" w:sz="4" w:space="0" w:color="auto"/>
            </w:tcBorders>
            <w:noWrap/>
            <w:vAlign w:val="center"/>
            <w:hideMark/>
          </w:tcPr>
          <w:p w14:paraId="2FA4517D" w14:textId="77777777" w:rsidR="00CA0E31" w:rsidRPr="00520A6E" w:rsidRDefault="00CA0E31" w:rsidP="000A5389">
            <w:pPr>
              <w:spacing w:line="240" w:lineRule="auto"/>
              <w:jc w:val="center"/>
              <w:rPr>
                <w:rFonts w:eastAsia="Times New Roman" w:cs="Times New Roman"/>
                <w:b/>
                <w:bCs/>
                <w:sz w:val="22"/>
                <w:lang w:eastAsia="es-CO"/>
              </w:rPr>
            </w:pPr>
            <w:r w:rsidRPr="00520A6E">
              <w:rPr>
                <w:rFonts w:eastAsia="Times New Roman" w:cs="Times New Roman"/>
                <w:b/>
                <w:bCs/>
                <w:sz w:val="22"/>
                <w:lang w:eastAsia="es-CO"/>
              </w:rPr>
              <w:t>VIDA ÚTIL</w:t>
            </w:r>
          </w:p>
        </w:tc>
      </w:tr>
      <w:tr w:rsidR="00CA0E31" w:rsidRPr="00520A6E" w14:paraId="54C9F0FD" w14:textId="77777777" w:rsidTr="00520A6E">
        <w:trPr>
          <w:trHeight w:val="20"/>
          <w:jc w:val="center"/>
        </w:trPr>
        <w:tc>
          <w:tcPr>
            <w:tcW w:w="3116" w:type="pct"/>
            <w:vMerge/>
            <w:tcBorders>
              <w:top w:val="single" w:sz="4" w:space="0" w:color="auto"/>
              <w:left w:val="single" w:sz="4" w:space="0" w:color="auto"/>
              <w:bottom w:val="single" w:sz="4" w:space="0" w:color="auto"/>
              <w:right w:val="single" w:sz="4" w:space="0" w:color="auto"/>
            </w:tcBorders>
            <w:vAlign w:val="center"/>
            <w:hideMark/>
          </w:tcPr>
          <w:p w14:paraId="4D0DDC74" w14:textId="77777777" w:rsidR="00CA0E31" w:rsidRPr="00520A6E" w:rsidRDefault="00CA0E31" w:rsidP="000A5389">
            <w:pPr>
              <w:spacing w:line="240" w:lineRule="auto"/>
              <w:rPr>
                <w:rFonts w:eastAsia="Times New Roman" w:cs="Times New Roman"/>
                <w:b/>
                <w:bCs/>
                <w:sz w:val="22"/>
                <w:lang w:eastAsia="es-CO"/>
              </w:rPr>
            </w:pPr>
          </w:p>
        </w:tc>
        <w:tc>
          <w:tcPr>
            <w:tcW w:w="1884" w:type="pct"/>
            <w:tcBorders>
              <w:top w:val="nil"/>
              <w:left w:val="nil"/>
              <w:bottom w:val="single" w:sz="4" w:space="0" w:color="auto"/>
              <w:right w:val="single" w:sz="4" w:space="0" w:color="auto"/>
            </w:tcBorders>
            <w:noWrap/>
            <w:vAlign w:val="center"/>
            <w:hideMark/>
          </w:tcPr>
          <w:p w14:paraId="27CF3FA9" w14:textId="77777777" w:rsidR="00CA0E31" w:rsidRPr="00520A6E" w:rsidRDefault="00CA0E31" w:rsidP="000A5389">
            <w:pPr>
              <w:spacing w:line="240" w:lineRule="auto"/>
              <w:jc w:val="center"/>
              <w:rPr>
                <w:rFonts w:eastAsia="Times New Roman" w:cs="Times New Roman"/>
                <w:b/>
                <w:bCs/>
                <w:sz w:val="22"/>
                <w:lang w:eastAsia="es-CO"/>
              </w:rPr>
            </w:pPr>
            <w:r w:rsidRPr="00520A6E">
              <w:rPr>
                <w:rFonts w:eastAsia="Times New Roman" w:cs="Times New Roman"/>
                <w:b/>
                <w:bCs/>
                <w:sz w:val="22"/>
                <w:lang w:eastAsia="es-CO"/>
              </w:rPr>
              <w:t>AÑOS</w:t>
            </w:r>
          </w:p>
        </w:tc>
      </w:tr>
      <w:tr w:rsidR="00CA0E31" w:rsidRPr="00520A6E" w14:paraId="2CF3C838" w14:textId="77777777" w:rsidTr="00520A6E">
        <w:trPr>
          <w:trHeight w:val="20"/>
          <w:jc w:val="center"/>
        </w:trPr>
        <w:tc>
          <w:tcPr>
            <w:tcW w:w="3116" w:type="pct"/>
            <w:tcBorders>
              <w:top w:val="nil"/>
              <w:left w:val="single" w:sz="4" w:space="0" w:color="auto"/>
              <w:bottom w:val="single" w:sz="4" w:space="0" w:color="auto"/>
              <w:right w:val="single" w:sz="4" w:space="0" w:color="auto"/>
            </w:tcBorders>
            <w:noWrap/>
            <w:vAlign w:val="center"/>
            <w:hideMark/>
          </w:tcPr>
          <w:p w14:paraId="622EF565" w14:textId="77777777" w:rsidR="00CA0E31" w:rsidRPr="00520A6E" w:rsidRDefault="00CA0E31" w:rsidP="000A5389">
            <w:pPr>
              <w:spacing w:line="240" w:lineRule="auto"/>
              <w:rPr>
                <w:rFonts w:eastAsia="Times New Roman" w:cs="Times New Roman"/>
                <w:sz w:val="22"/>
                <w:lang w:eastAsia="es-CO"/>
              </w:rPr>
            </w:pPr>
            <w:r w:rsidRPr="00520A6E">
              <w:rPr>
                <w:rFonts w:eastAsia="Times New Roman" w:cs="Times New Roman"/>
                <w:sz w:val="22"/>
                <w:lang w:eastAsia="es-CO"/>
              </w:rPr>
              <w:t>Bogotá Belencito</w:t>
            </w:r>
          </w:p>
        </w:tc>
        <w:tc>
          <w:tcPr>
            <w:tcW w:w="1884" w:type="pct"/>
            <w:tcBorders>
              <w:top w:val="nil"/>
              <w:left w:val="nil"/>
              <w:bottom w:val="single" w:sz="4" w:space="0" w:color="auto"/>
              <w:right w:val="single" w:sz="4" w:space="0" w:color="auto"/>
            </w:tcBorders>
            <w:noWrap/>
            <w:vAlign w:val="center"/>
            <w:hideMark/>
          </w:tcPr>
          <w:p w14:paraId="3E891B94" w14:textId="77777777" w:rsidR="00CA0E31" w:rsidRPr="00520A6E" w:rsidRDefault="00CA0E31" w:rsidP="000A5389">
            <w:pPr>
              <w:spacing w:line="240" w:lineRule="auto"/>
              <w:jc w:val="center"/>
              <w:rPr>
                <w:rFonts w:eastAsia="Times New Roman" w:cs="Times New Roman"/>
                <w:sz w:val="22"/>
                <w:lang w:eastAsia="es-CO"/>
              </w:rPr>
            </w:pPr>
            <w:r w:rsidRPr="00520A6E">
              <w:rPr>
                <w:rFonts w:eastAsia="Times New Roman" w:cs="Times New Roman"/>
                <w:sz w:val="22"/>
                <w:lang w:eastAsia="es-CO"/>
              </w:rPr>
              <w:t>20</w:t>
            </w:r>
          </w:p>
        </w:tc>
      </w:tr>
      <w:tr w:rsidR="00CA0E31" w:rsidRPr="00520A6E" w14:paraId="631E5DB2" w14:textId="77777777" w:rsidTr="00520A6E">
        <w:trPr>
          <w:trHeight w:val="20"/>
          <w:jc w:val="center"/>
        </w:trPr>
        <w:tc>
          <w:tcPr>
            <w:tcW w:w="3116" w:type="pct"/>
            <w:tcBorders>
              <w:top w:val="nil"/>
              <w:left w:val="single" w:sz="4" w:space="0" w:color="auto"/>
              <w:bottom w:val="single" w:sz="4" w:space="0" w:color="auto"/>
              <w:right w:val="single" w:sz="4" w:space="0" w:color="auto"/>
            </w:tcBorders>
            <w:noWrap/>
            <w:vAlign w:val="center"/>
            <w:hideMark/>
          </w:tcPr>
          <w:p w14:paraId="1F54E2D0" w14:textId="77777777" w:rsidR="00CA0E31" w:rsidRPr="00520A6E" w:rsidRDefault="00CA0E31" w:rsidP="000A5389">
            <w:pPr>
              <w:spacing w:line="240" w:lineRule="auto"/>
              <w:rPr>
                <w:rFonts w:eastAsia="Times New Roman" w:cs="Times New Roman"/>
                <w:sz w:val="22"/>
                <w:lang w:eastAsia="es-CO"/>
              </w:rPr>
            </w:pPr>
            <w:r w:rsidRPr="00520A6E">
              <w:rPr>
                <w:rFonts w:eastAsia="Times New Roman" w:cs="Times New Roman"/>
                <w:sz w:val="22"/>
                <w:lang w:eastAsia="es-CO"/>
              </w:rPr>
              <w:t>La Dorada Chiriguaná</w:t>
            </w:r>
          </w:p>
        </w:tc>
        <w:tc>
          <w:tcPr>
            <w:tcW w:w="1884" w:type="pct"/>
            <w:tcBorders>
              <w:top w:val="nil"/>
              <w:left w:val="nil"/>
              <w:bottom w:val="single" w:sz="4" w:space="0" w:color="auto"/>
              <w:right w:val="single" w:sz="4" w:space="0" w:color="auto"/>
            </w:tcBorders>
            <w:noWrap/>
            <w:vAlign w:val="center"/>
            <w:hideMark/>
          </w:tcPr>
          <w:p w14:paraId="168E1092" w14:textId="77777777" w:rsidR="00CA0E31" w:rsidRPr="00520A6E" w:rsidRDefault="00CA0E31" w:rsidP="000A5389">
            <w:pPr>
              <w:spacing w:line="240" w:lineRule="auto"/>
              <w:jc w:val="center"/>
              <w:rPr>
                <w:rFonts w:eastAsia="Times New Roman" w:cs="Times New Roman"/>
                <w:sz w:val="22"/>
                <w:lang w:eastAsia="es-CO"/>
              </w:rPr>
            </w:pPr>
            <w:r w:rsidRPr="00520A6E">
              <w:rPr>
                <w:rFonts w:eastAsia="Times New Roman" w:cs="Times New Roman"/>
                <w:sz w:val="22"/>
                <w:lang w:eastAsia="es-CO"/>
              </w:rPr>
              <w:t>20</w:t>
            </w:r>
          </w:p>
        </w:tc>
      </w:tr>
    </w:tbl>
    <w:p w14:paraId="785B4876" w14:textId="77777777" w:rsidR="00CA0E31" w:rsidRPr="00951AB1" w:rsidRDefault="00CA0E31" w:rsidP="000A5389">
      <w:pPr>
        <w:pStyle w:val="Prrafodelista"/>
        <w:spacing w:line="240" w:lineRule="auto"/>
        <w:ind w:left="0"/>
        <w:rPr>
          <w:rFonts w:cs="Times New Roman"/>
          <w:szCs w:val="24"/>
        </w:rPr>
      </w:pPr>
      <w:r w:rsidRPr="00951AB1">
        <w:rPr>
          <w:rFonts w:cs="Times New Roman"/>
          <w:szCs w:val="24"/>
        </w:rPr>
        <w:lastRenderedPageBreak/>
        <w:t xml:space="preserve">No se realizaron cambios en la estimación de la vida útil, ni en el método de depreciación adoptado para la red férrea en servicio. </w:t>
      </w:r>
    </w:p>
    <w:p w14:paraId="60F7CFBA" w14:textId="77777777" w:rsidR="00CA0E31" w:rsidRPr="00951AB1" w:rsidRDefault="00CA0E31" w:rsidP="000A5389">
      <w:pPr>
        <w:pStyle w:val="Prrafodelista"/>
        <w:spacing w:line="240" w:lineRule="auto"/>
        <w:ind w:left="0"/>
        <w:rPr>
          <w:rFonts w:cs="Times New Roman"/>
          <w:szCs w:val="24"/>
        </w:rPr>
      </w:pPr>
    </w:p>
    <w:p w14:paraId="1DE8EBF6" w14:textId="77777777" w:rsidR="00CA0E31" w:rsidRPr="00951AB1" w:rsidRDefault="00CA0E31" w:rsidP="000A5389">
      <w:pPr>
        <w:pStyle w:val="Prrafodelista"/>
        <w:spacing w:line="240" w:lineRule="auto"/>
        <w:ind w:left="0"/>
        <w:rPr>
          <w:rFonts w:cs="Times New Roman"/>
          <w:szCs w:val="24"/>
        </w:rPr>
      </w:pPr>
      <w:r w:rsidRPr="00951AB1">
        <w:rPr>
          <w:rFonts w:cs="Times New Roman"/>
          <w:szCs w:val="24"/>
        </w:rPr>
        <w:t xml:space="preserve">En la vigencia 2025 se adjudicó el contrato de APP 001-2025 - Proyecto Corredor Férreo La Dorada – Chiriguaná, cuyo objeto es: </w:t>
      </w:r>
    </w:p>
    <w:p w14:paraId="0BB10A99" w14:textId="77777777" w:rsidR="00CA0E31" w:rsidRPr="00951AB1" w:rsidRDefault="00CA0E31" w:rsidP="000A5389">
      <w:pPr>
        <w:pStyle w:val="Prrafodelista"/>
        <w:spacing w:line="240" w:lineRule="auto"/>
        <w:ind w:left="0"/>
        <w:rPr>
          <w:rFonts w:cs="Times New Roman"/>
          <w:szCs w:val="24"/>
        </w:rPr>
      </w:pPr>
    </w:p>
    <w:p w14:paraId="21F034F9" w14:textId="77777777" w:rsidR="00CA0E31" w:rsidRPr="00951AB1" w:rsidRDefault="00CA0E31" w:rsidP="00A54B4F">
      <w:pPr>
        <w:pStyle w:val="Prrafodelista"/>
        <w:spacing w:line="240" w:lineRule="auto"/>
        <w:ind w:left="142" w:right="332" w:hanging="142"/>
        <w:rPr>
          <w:rFonts w:cs="Times New Roman"/>
          <w:sz w:val="20"/>
          <w:szCs w:val="20"/>
        </w:rPr>
      </w:pPr>
      <w:r w:rsidRPr="00951AB1">
        <w:rPr>
          <w:rFonts w:cs="Times New Roman"/>
          <w:i/>
          <w:iCs/>
          <w:sz w:val="20"/>
          <w:szCs w:val="20"/>
        </w:rPr>
        <w:t>“otorgamiento de una concesión para que, de conformidad con lo previsto en este Contrato y en sus Apéndices, el Concesionario, por su cuenta y riesgo, lleve a cabo (i) todas las actividades necesarias para la financiación, Gestión Predial, Gestión Social y Ambiental y de Redes, la elaboración de los Estudios de Detalle, la Construcción, la Rehabilitación, el Mejoramiento, la Operación, el Mantenimiento y la Reversión de la Infraestructura Férrea y de la Infraestructura Logística correspondiente al Corredor del Proyecto comprendido entre los municipios de La Dorada en el departamento de Caldas y Chiriguaná en el departamento del Cesar con sus respectivos ramales; y (ii) la Puesta a Punto, Operación y Mantenimiento del Material Rodante del Proyecto y la Prestación del Servicio Público de Transporte Ferroviario de Carga.”</w:t>
      </w:r>
    </w:p>
    <w:p w14:paraId="172D0070" w14:textId="77777777" w:rsidR="00CA0E31" w:rsidRPr="00951AB1" w:rsidRDefault="00CA0E31" w:rsidP="00A54B4F">
      <w:pPr>
        <w:pStyle w:val="Prrafodelista"/>
        <w:spacing w:line="240" w:lineRule="auto"/>
        <w:ind w:left="142" w:hanging="142"/>
        <w:rPr>
          <w:rFonts w:cs="Times New Roman"/>
          <w:szCs w:val="24"/>
        </w:rPr>
      </w:pPr>
    </w:p>
    <w:p w14:paraId="34768335" w14:textId="77777777" w:rsidR="00CA0E31" w:rsidRPr="00951AB1" w:rsidRDefault="00CA0E31" w:rsidP="000A5389">
      <w:pPr>
        <w:pStyle w:val="Prrafodelista"/>
        <w:spacing w:line="240" w:lineRule="auto"/>
        <w:ind w:left="0"/>
        <w:rPr>
          <w:rFonts w:cs="Times New Roman"/>
          <w:szCs w:val="24"/>
        </w:rPr>
      </w:pPr>
      <w:r w:rsidRPr="00951AB1">
        <w:rPr>
          <w:rFonts w:cs="Times New Roman"/>
          <w:szCs w:val="24"/>
        </w:rPr>
        <w:t>En consecuencia, se efectuó la desincorporación de los saldos del proyecto por valor de $1.137.668.047.095 junto con su depreciación asociada por valor de $164.112.574.715 del tramo principal cuenta con 521,2 km de línea férrea, desde la estación México (PK 201+502) en el municipio de La Dorada (Caldas) hasta la estación Chiriguaná (PK 722+683) en el Cesar. Adicionalmente, incluye:</w:t>
      </w:r>
    </w:p>
    <w:p w14:paraId="41945CC6" w14:textId="77777777" w:rsidR="00CA0E31" w:rsidRPr="00951AB1" w:rsidRDefault="00CA0E31" w:rsidP="000A5389">
      <w:pPr>
        <w:spacing w:line="240" w:lineRule="auto"/>
        <w:rPr>
          <w:rFonts w:cs="Times New Roman"/>
          <w:szCs w:val="24"/>
        </w:rPr>
      </w:pPr>
    </w:p>
    <w:p w14:paraId="73B7ED92" w14:textId="77777777" w:rsidR="00CA0E31" w:rsidRPr="00951AB1" w:rsidRDefault="00CA0E31" w:rsidP="000A5389">
      <w:pPr>
        <w:numPr>
          <w:ilvl w:val="0"/>
          <w:numId w:val="97"/>
        </w:numPr>
        <w:spacing w:line="240" w:lineRule="auto"/>
        <w:rPr>
          <w:rFonts w:cs="Times New Roman"/>
          <w:szCs w:val="24"/>
        </w:rPr>
      </w:pPr>
      <w:r w:rsidRPr="00951AB1">
        <w:rPr>
          <w:rFonts w:cs="Times New Roman"/>
          <w:szCs w:val="24"/>
        </w:rPr>
        <w:t>33,1 km desde Puerto Berrío (PK 328+100) hasta Cabañas (PK 361+199).</w:t>
      </w:r>
    </w:p>
    <w:p w14:paraId="7221EB7A" w14:textId="77777777" w:rsidR="00CA0E31" w:rsidRPr="00951AB1" w:rsidRDefault="00CA0E31" w:rsidP="000A5389">
      <w:pPr>
        <w:numPr>
          <w:ilvl w:val="0"/>
          <w:numId w:val="97"/>
        </w:numPr>
        <w:spacing w:line="240" w:lineRule="auto"/>
        <w:rPr>
          <w:rFonts w:cs="Times New Roman"/>
          <w:szCs w:val="24"/>
        </w:rPr>
      </w:pPr>
      <w:r w:rsidRPr="00951AB1">
        <w:rPr>
          <w:rFonts w:cs="Times New Roman"/>
          <w:szCs w:val="24"/>
        </w:rPr>
        <w:t>4 km del ramal Puerto Capulco, que conecta con el río Magdalena cerca del municipio de Gamarra, abarcando desde PK 597+394,08 hasta PK 601+976,20.</w:t>
      </w:r>
    </w:p>
    <w:p w14:paraId="1A53A7D3" w14:textId="77777777" w:rsidR="00CA0E31" w:rsidRPr="00951AB1" w:rsidRDefault="00CA0E31" w:rsidP="000A5389">
      <w:pPr>
        <w:spacing w:line="240" w:lineRule="auto"/>
        <w:ind w:left="720"/>
        <w:rPr>
          <w:rFonts w:cs="Times New Roman"/>
          <w:szCs w:val="24"/>
        </w:rPr>
      </w:pPr>
    </w:p>
    <w:p w14:paraId="519C7BA6" w14:textId="7688D822" w:rsidR="009A13FE" w:rsidRPr="00951AB1" w:rsidRDefault="00CA0E31" w:rsidP="000A5389">
      <w:pPr>
        <w:pStyle w:val="Ttulo2"/>
        <w:numPr>
          <w:ilvl w:val="0"/>
          <w:numId w:val="0"/>
        </w:numPr>
        <w:spacing w:line="240" w:lineRule="auto"/>
        <w:rPr>
          <w:rFonts w:cs="Times New Roman"/>
          <w:b w:val="0"/>
          <w:szCs w:val="24"/>
          <w:lang w:val="es-ES"/>
        </w:rPr>
      </w:pPr>
      <w:bookmarkStart w:id="381" w:name="_Toc191562525"/>
      <w:bookmarkStart w:id="382" w:name="_Toc222955491"/>
      <w:r w:rsidRPr="00951AB1">
        <w:rPr>
          <w:rFonts w:cs="Times New Roman"/>
        </w:rPr>
        <w:t xml:space="preserve">11.2. </w:t>
      </w:r>
      <w:r w:rsidR="00C96E94" w:rsidRPr="00951AB1">
        <w:rPr>
          <w:rFonts w:cs="Times New Roman"/>
        </w:rPr>
        <w:t xml:space="preserve"> </w:t>
      </w:r>
      <w:r w:rsidR="00C96E94" w:rsidRPr="00951AB1">
        <w:rPr>
          <w:rFonts w:cs="Times New Roman"/>
        </w:rPr>
        <w:tab/>
      </w:r>
      <w:bookmarkStart w:id="383" w:name="_Toc191369518"/>
      <w:bookmarkStart w:id="384" w:name="_Toc191456848"/>
      <w:bookmarkStart w:id="385" w:name="_Toc191456958"/>
      <w:bookmarkStart w:id="386" w:name="_Toc191457068"/>
      <w:bookmarkStart w:id="387" w:name="_Toc191475695"/>
      <w:bookmarkStart w:id="388" w:name="_Toc191475804"/>
      <w:bookmarkStart w:id="389" w:name="_Toc191475913"/>
      <w:bookmarkStart w:id="390" w:name="_Toc191475436"/>
      <w:r w:rsidR="009A13FE" w:rsidRPr="00951AB1">
        <w:rPr>
          <w:rFonts w:cs="Times New Roman"/>
        </w:rPr>
        <w:t>Revelaciones adicionales</w:t>
      </w:r>
      <w:bookmarkEnd w:id="381"/>
      <w:bookmarkEnd w:id="382"/>
      <w:bookmarkEnd w:id="383"/>
      <w:bookmarkEnd w:id="384"/>
      <w:bookmarkEnd w:id="385"/>
      <w:bookmarkEnd w:id="386"/>
      <w:bookmarkEnd w:id="387"/>
      <w:bookmarkEnd w:id="388"/>
      <w:bookmarkEnd w:id="389"/>
      <w:bookmarkEnd w:id="390"/>
    </w:p>
    <w:p w14:paraId="2FCA45DC" w14:textId="77777777" w:rsidR="008421D7" w:rsidRPr="00951AB1" w:rsidRDefault="008421D7" w:rsidP="000A5389">
      <w:pPr>
        <w:spacing w:line="240" w:lineRule="auto"/>
        <w:rPr>
          <w:rFonts w:cs="Times New Roman"/>
          <w:szCs w:val="24"/>
          <w:lang w:val="es-ES"/>
        </w:rPr>
      </w:pPr>
    </w:p>
    <w:p w14:paraId="1AC784D9" w14:textId="68A79B45" w:rsidR="008421D7" w:rsidRDefault="008421D7" w:rsidP="000A5389">
      <w:pPr>
        <w:spacing w:line="240" w:lineRule="auto"/>
        <w:rPr>
          <w:rFonts w:cs="Times New Roman"/>
          <w:i/>
          <w:iCs/>
          <w:szCs w:val="24"/>
          <w:lang w:val="es-ES"/>
        </w:rPr>
      </w:pPr>
      <w:r w:rsidRPr="00951AB1">
        <w:rPr>
          <w:rFonts w:cs="Times New Roman"/>
          <w:i/>
          <w:iCs/>
          <w:szCs w:val="24"/>
          <w:lang w:val="es-ES"/>
        </w:rPr>
        <w:t xml:space="preserve">Conciliación de los saldos entre Contabilidad con GIT de Gestión Predial, Social y Jurídico Predial de la Vicepresidencia de Planeación, Riesgos y Entorno </w:t>
      </w:r>
      <w:r w:rsidR="00BD137E">
        <w:rPr>
          <w:rFonts w:cs="Times New Roman"/>
          <w:i/>
          <w:iCs/>
          <w:szCs w:val="24"/>
          <w:lang w:val="es-ES"/>
        </w:rPr>
        <w:t>–</w:t>
      </w:r>
      <w:r w:rsidRPr="00951AB1">
        <w:rPr>
          <w:rFonts w:cs="Times New Roman"/>
          <w:i/>
          <w:iCs/>
          <w:szCs w:val="24"/>
          <w:lang w:val="es-ES"/>
        </w:rPr>
        <w:t xml:space="preserve"> VPRE</w:t>
      </w:r>
    </w:p>
    <w:p w14:paraId="74F455F1" w14:textId="77777777" w:rsidR="00BD137E" w:rsidRPr="00951AB1" w:rsidRDefault="00BD137E" w:rsidP="000A5389">
      <w:pPr>
        <w:spacing w:line="240" w:lineRule="auto"/>
        <w:rPr>
          <w:rFonts w:cs="Times New Roman"/>
          <w:szCs w:val="24"/>
          <w:lang w:val="es-ES"/>
        </w:rPr>
      </w:pPr>
    </w:p>
    <w:p w14:paraId="73402650" w14:textId="77777777" w:rsidR="008421D7" w:rsidRDefault="008421D7" w:rsidP="000A5389">
      <w:pPr>
        <w:spacing w:line="240" w:lineRule="auto"/>
        <w:rPr>
          <w:rFonts w:cs="Times New Roman"/>
          <w:szCs w:val="24"/>
          <w:lang w:val="es-ES"/>
        </w:rPr>
      </w:pPr>
      <w:r w:rsidRPr="00951AB1">
        <w:rPr>
          <w:rFonts w:cs="Times New Roman"/>
          <w:szCs w:val="24"/>
          <w:lang w:val="es-ES"/>
        </w:rPr>
        <w:t>Al finalizar el periodo 2025, se procedió con la respectiva validación de los saldos contenidos en los Estados Financieros de la Agencia, a partir de la información consolidada reportada por la VPRE en el anexo del Memorando radicado No. Radicado ANI No.: 20266040041323 del 11-02-2026, la cual se resumen que los saldos entre las dos dependencias están conciliados, puesto que el mayor valor reflejado en el SIIF frente a la VPRE corresponde a la incorporación de los saldos al iniciar el proyecto remitidos por la entidad titular a la Agencia. En cuanto la diferencia reflejada en la VPRE corresponde al histórico de las adquisiciones prediales, aunque el proyecto se encuentre revertido, razón por la cual no estaría en los saldos SIIF de Contabilidad:</w:t>
      </w:r>
    </w:p>
    <w:p w14:paraId="5353F0CA" w14:textId="77777777" w:rsidR="00BD137E" w:rsidRPr="00951AB1" w:rsidRDefault="00BD137E" w:rsidP="000A5389">
      <w:pPr>
        <w:spacing w:line="240" w:lineRule="auto"/>
        <w:rPr>
          <w:rFonts w:cs="Times New Roman"/>
          <w:szCs w:val="24"/>
          <w:lang w:val="es-ES"/>
        </w:rPr>
      </w:pPr>
    </w:p>
    <w:tbl>
      <w:tblPr>
        <w:tblW w:w="5000" w:type="pct"/>
        <w:tblCellMar>
          <w:left w:w="70" w:type="dxa"/>
          <w:right w:w="70" w:type="dxa"/>
        </w:tblCellMar>
        <w:tblLook w:val="04A0" w:firstRow="1" w:lastRow="0" w:firstColumn="1" w:lastColumn="0" w:noHBand="0" w:noVBand="1"/>
      </w:tblPr>
      <w:tblGrid>
        <w:gridCol w:w="2372"/>
        <w:gridCol w:w="1415"/>
        <w:gridCol w:w="1342"/>
        <w:gridCol w:w="1418"/>
        <w:gridCol w:w="1278"/>
        <w:gridCol w:w="1003"/>
      </w:tblGrid>
      <w:tr w:rsidR="00010762" w:rsidRPr="00951AB1" w14:paraId="0CEA6418" w14:textId="77777777" w:rsidTr="00010762">
        <w:trPr>
          <w:trHeight w:val="885"/>
          <w:tblHeader/>
        </w:trPr>
        <w:tc>
          <w:tcPr>
            <w:tcW w:w="1343" w:type="pct"/>
            <w:tcBorders>
              <w:top w:val="single" w:sz="4" w:space="0" w:color="808080"/>
              <w:left w:val="single" w:sz="4" w:space="0" w:color="808080"/>
              <w:bottom w:val="single" w:sz="4" w:space="0" w:color="808080"/>
              <w:right w:val="single" w:sz="4" w:space="0" w:color="808080"/>
            </w:tcBorders>
            <w:shd w:val="clear" w:color="000000" w:fill="F2F2F2"/>
            <w:vAlign w:val="center"/>
            <w:hideMark/>
          </w:tcPr>
          <w:p w14:paraId="7F0AAEB7" w14:textId="77777777" w:rsidR="008421D7" w:rsidRPr="00951AB1" w:rsidRDefault="008421D7" w:rsidP="000A5389">
            <w:pPr>
              <w:spacing w:line="240" w:lineRule="auto"/>
              <w:jc w:val="center"/>
              <w:rPr>
                <w:rFonts w:eastAsia="Times New Roman" w:cs="Times New Roman"/>
                <w:b/>
                <w:bCs/>
                <w:kern w:val="0"/>
                <w:sz w:val="16"/>
                <w:szCs w:val="16"/>
                <w:lang w:eastAsia="es-CO"/>
                <w14:ligatures w14:val="none"/>
              </w:rPr>
            </w:pPr>
            <w:r w:rsidRPr="00951AB1">
              <w:rPr>
                <w:rFonts w:eastAsia="Times New Roman" w:cs="Times New Roman"/>
                <w:b/>
                <w:bCs/>
                <w:kern w:val="0"/>
                <w:sz w:val="16"/>
                <w:szCs w:val="16"/>
                <w:lang w:eastAsia="es-CO"/>
                <w14:ligatures w14:val="none"/>
              </w:rPr>
              <w:lastRenderedPageBreak/>
              <w:t>Concepto</w:t>
            </w:r>
          </w:p>
        </w:tc>
        <w:tc>
          <w:tcPr>
            <w:tcW w:w="801" w:type="pct"/>
            <w:tcBorders>
              <w:top w:val="single" w:sz="4" w:space="0" w:color="808080"/>
              <w:left w:val="nil"/>
              <w:bottom w:val="single" w:sz="4" w:space="0" w:color="808080"/>
              <w:right w:val="single" w:sz="4" w:space="0" w:color="808080"/>
            </w:tcBorders>
            <w:shd w:val="clear" w:color="000000" w:fill="F2F2F2"/>
            <w:vAlign w:val="center"/>
            <w:hideMark/>
          </w:tcPr>
          <w:p w14:paraId="57DD92CC" w14:textId="77777777" w:rsidR="008421D7" w:rsidRPr="00951AB1" w:rsidRDefault="008421D7" w:rsidP="000A5389">
            <w:pPr>
              <w:spacing w:line="240" w:lineRule="auto"/>
              <w:jc w:val="center"/>
              <w:rPr>
                <w:rFonts w:eastAsia="Times New Roman" w:cs="Times New Roman"/>
                <w:b/>
                <w:bCs/>
                <w:kern w:val="0"/>
                <w:sz w:val="16"/>
                <w:szCs w:val="16"/>
                <w:lang w:eastAsia="es-CO"/>
                <w14:ligatures w14:val="none"/>
              </w:rPr>
            </w:pPr>
            <w:r w:rsidRPr="00951AB1">
              <w:rPr>
                <w:rFonts w:eastAsia="Times New Roman" w:cs="Times New Roman"/>
                <w:b/>
                <w:bCs/>
                <w:kern w:val="0"/>
                <w:sz w:val="16"/>
                <w:szCs w:val="16"/>
                <w:lang w:eastAsia="es-CO"/>
                <w14:ligatures w14:val="none"/>
              </w:rPr>
              <w:t>Saldos Contables SIIF Nación</w:t>
            </w:r>
          </w:p>
        </w:tc>
        <w:tc>
          <w:tcPr>
            <w:tcW w:w="760" w:type="pct"/>
            <w:tcBorders>
              <w:top w:val="single" w:sz="4" w:space="0" w:color="808080"/>
              <w:left w:val="nil"/>
              <w:bottom w:val="single" w:sz="4" w:space="0" w:color="808080"/>
              <w:right w:val="single" w:sz="4" w:space="0" w:color="808080"/>
            </w:tcBorders>
            <w:shd w:val="clear" w:color="000000" w:fill="F2F2F2"/>
            <w:vAlign w:val="center"/>
            <w:hideMark/>
          </w:tcPr>
          <w:p w14:paraId="6A5580BC" w14:textId="77777777" w:rsidR="008421D7" w:rsidRPr="00951AB1" w:rsidRDefault="008421D7" w:rsidP="000A5389">
            <w:pPr>
              <w:spacing w:line="240" w:lineRule="auto"/>
              <w:jc w:val="center"/>
              <w:rPr>
                <w:rFonts w:eastAsia="Times New Roman" w:cs="Times New Roman"/>
                <w:b/>
                <w:bCs/>
                <w:kern w:val="0"/>
                <w:sz w:val="16"/>
                <w:szCs w:val="16"/>
                <w:lang w:eastAsia="es-CO"/>
                <w14:ligatures w14:val="none"/>
              </w:rPr>
            </w:pPr>
            <w:r w:rsidRPr="00951AB1">
              <w:rPr>
                <w:rFonts w:eastAsia="Times New Roman" w:cs="Times New Roman"/>
                <w:b/>
                <w:bCs/>
                <w:kern w:val="0"/>
                <w:sz w:val="16"/>
                <w:szCs w:val="16"/>
                <w:lang w:eastAsia="es-CO"/>
                <w14:ligatures w14:val="none"/>
              </w:rPr>
              <w:t>Saldos Contables Incorporados de la(s) Entidad(es) Titular(es)</w:t>
            </w:r>
          </w:p>
        </w:tc>
        <w:tc>
          <w:tcPr>
            <w:tcW w:w="803" w:type="pct"/>
            <w:tcBorders>
              <w:top w:val="single" w:sz="4" w:space="0" w:color="808080"/>
              <w:left w:val="nil"/>
              <w:bottom w:val="single" w:sz="4" w:space="0" w:color="808080"/>
              <w:right w:val="single" w:sz="4" w:space="0" w:color="808080"/>
            </w:tcBorders>
            <w:shd w:val="clear" w:color="000000" w:fill="F2F2F2"/>
            <w:vAlign w:val="center"/>
            <w:hideMark/>
          </w:tcPr>
          <w:p w14:paraId="6D38AA53" w14:textId="056E8A55" w:rsidR="008421D7" w:rsidRPr="00951AB1" w:rsidRDefault="008421D7" w:rsidP="000A5389">
            <w:pPr>
              <w:spacing w:line="240" w:lineRule="auto"/>
              <w:jc w:val="center"/>
              <w:rPr>
                <w:rFonts w:eastAsia="Times New Roman" w:cs="Times New Roman"/>
                <w:b/>
                <w:bCs/>
                <w:kern w:val="0"/>
                <w:sz w:val="16"/>
                <w:szCs w:val="16"/>
                <w:lang w:eastAsia="es-CO"/>
                <w14:ligatures w14:val="none"/>
              </w:rPr>
            </w:pPr>
            <w:r w:rsidRPr="00951AB1">
              <w:rPr>
                <w:rFonts w:eastAsia="Times New Roman" w:cs="Times New Roman"/>
                <w:b/>
                <w:bCs/>
                <w:kern w:val="0"/>
                <w:sz w:val="16"/>
                <w:szCs w:val="16"/>
                <w:lang w:eastAsia="es-CO"/>
                <w14:ligatures w14:val="none"/>
              </w:rPr>
              <w:t xml:space="preserve">Valor Total </w:t>
            </w:r>
            <w:r w:rsidR="00DF1F35" w:rsidRPr="00951AB1">
              <w:rPr>
                <w:rFonts w:eastAsia="Times New Roman" w:cs="Times New Roman"/>
                <w:b/>
                <w:bCs/>
                <w:kern w:val="0"/>
                <w:sz w:val="16"/>
                <w:szCs w:val="16"/>
                <w:lang w:eastAsia="es-CO"/>
                <w14:ligatures w14:val="none"/>
              </w:rPr>
              <w:t>Reportado G.I.T</w:t>
            </w:r>
            <w:r w:rsidRPr="00951AB1">
              <w:rPr>
                <w:rFonts w:eastAsia="Times New Roman" w:cs="Times New Roman"/>
                <w:b/>
                <w:bCs/>
                <w:kern w:val="0"/>
                <w:sz w:val="16"/>
                <w:szCs w:val="16"/>
                <w:lang w:eastAsia="es-CO"/>
                <w14:ligatures w14:val="none"/>
              </w:rPr>
              <w:t xml:space="preserve"> Predial y G.I.T Asesoría Jurídico Predial</w:t>
            </w:r>
          </w:p>
        </w:tc>
        <w:tc>
          <w:tcPr>
            <w:tcW w:w="724" w:type="pct"/>
            <w:tcBorders>
              <w:top w:val="single" w:sz="4" w:space="0" w:color="808080"/>
              <w:left w:val="nil"/>
              <w:bottom w:val="single" w:sz="4" w:space="0" w:color="808080"/>
              <w:right w:val="single" w:sz="4" w:space="0" w:color="808080"/>
            </w:tcBorders>
            <w:shd w:val="clear" w:color="000000" w:fill="F2F2F2"/>
            <w:vAlign w:val="center"/>
            <w:hideMark/>
          </w:tcPr>
          <w:p w14:paraId="31EB1FEC" w14:textId="77777777" w:rsidR="008421D7" w:rsidRPr="00951AB1" w:rsidRDefault="008421D7" w:rsidP="000A5389">
            <w:pPr>
              <w:spacing w:line="240" w:lineRule="auto"/>
              <w:jc w:val="center"/>
              <w:rPr>
                <w:rFonts w:eastAsia="Times New Roman" w:cs="Times New Roman"/>
                <w:b/>
                <w:bCs/>
                <w:kern w:val="0"/>
                <w:sz w:val="16"/>
                <w:szCs w:val="16"/>
                <w:lang w:eastAsia="es-CO"/>
                <w14:ligatures w14:val="none"/>
              </w:rPr>
            </w:pPr>
            <w:r w:rsidRPr="00951AB1">
              <w:rPr>
                <w:rFonts w:eastAsia="Times New Roman" w:cs="Times New Roman"/>
                <w:b/>
                <w:bCs/>
                <w:kern w:val="0"/>
                <w:sz w:val="16"/>
                <w:szCs w:val="16"/>
                <w:lang w:eastAsia="es-CO"/>
                <w14:ligatures w14:val="none"/>
              </w:rPr>
              <w:t>Diferencia Consolidada</w:t>
            </w:r>
          </w:p>
        </w:tc>
        <w:tc>
          <w:tcPr>
            <w:tcW w:w="568" w:type="pct"/>
            <w:tcBorders>
              <w:top w:val="single" w:sz="4" w:space="0" w:color="808080"/>
              <w:left w:val="nil"/>
              <w:bottom w:val="single" w:sz="4" w:space="0" w:color="808080"/>
              <w:right w:val="single" w:sz="4" w:space="0" w:color="808080"/>
            </w:tcBorders>
            <w:shd w:val="clear" w:color="000000" w:fill="F2F2F2"/>
            <w:vAlign w:val="center"/>
            <w:hideMark/>
          </w:tcPr>
          <w:p w14:paraId="24347E9F" w14:textId="77777777" w:rsidR="008421D7" w:rsidRPr="00951AB1" w:rsidRDefault="008421D7" w:rsidP="000A5389">
            <w:pPr>
              <w:spacing w:line="240" w:lineRule="auto"/>
              <w:jc w:val="center"/>
              <w:rPr>
                <w:rFonts w:eastAsia="Times New Roman" w:cs="Times New Roman"/>
                <w:b/>
                <w:bCs/>
                <w:kern w:val="0"/>
                <w:sz w:val="16"/>
                <w:szCs w:val="16"/>
                <w:lang w:eastAsia="es-CO"/>
                <w14:ligatures w14:val="none"/>
              </w:rPr>
            </w:pPr>
            <w:r w:rsidRPr="00951AB1">
              <w:rPr>
                <w:rFonts w:eastAsia="Times New Roman" w:cs="Times New Roman"/>
                <w:b/>
                <w:bCs/>
                <w:kern w:val="0"/>
                <w:sz w:val="16"/>
                <w:szCs w:val="16"/>
                <w:lang w:eastAsia="es-CO"/>
                <w14:ligatures w14:val="none"/>
              </w:rPr>
              <w:t>Justificación</w:t>
            </w:r>
          </w:p>
        </w:tc>
      </w:tr>
      <w:tr w:rsidR="00010762" w:rsidRPr="00951AB1" w14:paraId="082B5BF6" w14:textId="77777777" w:rsidTr="00010762">
        <w:trPr>
          <w:trHeight w:val="499"/>
        </w:trPr>
        <w:tc>
          <w:tcPr>
            <w:tcW w:w="1343" w:type="pct"/>
            <w:tcBorders>
              <w:top w:val="single" w:sz="4" w:space="0" w:color="808080"/>
              <w:left w:val="single" w:sz="4" w:space="0" w:color="808080"/>
              <w:bottom w:val="single" w:sz="4" w:space="0" w:color="808080"/>
              <w:right w:val="single" w:sz="4" w:space="0" w:color="808080"/>
            </w:tcBorders>
            <w:shd w:val="clear" w:color="000000" w:fill="F2F2F2"/>
            <w:vAlign w:val="center"/>
            <w:hideMark/>
          </w:tcPr>
          <w:p w14:paraId="170EA764" w14:textId="77777777" w:rsidR="008421D7" w:rsidRPr="00951AB1" w:rsidRDefault="008421D7" w:rsidP="000A5389">
            <w:pPr>
              <w:spacing w:line="240" w:lineRule="auto"/>
              <w:rPr>
                <w:rFonts w:eastAsia="Times New Roman" w:cs="Times New Roman"/>
                <w:b/>
                <w:bCs/>
                <w:color w:val="000000"/>
                <w:kern w:val="0"/>
                <w:sz w:val="16"/>
                <w:szCs w:val="16"/>
                <w:lang w:eastAsia="es-CO"/>
                <w14:ligatures w14:val="none"/>
              </w:rPr>
            </w:pPr>
            <w:r w:rsidRPr="00951AB1">
              <w:rPr>
                <w:rFonts w:eastAsia="Times New Roman" w:cs="Times New Roman"/>
                <w:b/>
                <w:bCs/>
                <w:color w:val="000000"/>
                <w:kern w:val="0"/>
                <w:sz w:val="16"/>
                <w:szCs w:val="16"/>
                <w:lang w:eastAsia="es-CO"/>
                <w14:ligatures w14:val="none"/>
              </w:rPr>
              <w:t>SALDOS DE PROYECTOS DE CONCESIÓN POR MODO DE TRANSPORTE SEGÚN GENERACIÓN</w:t>
            </w:r>
          </w:p>
        </w:tc>
        <w:tc>
          <w:tcPr>
            <w:tcW w:w="801" w:type="pct"/>
            <w:tcBorders>
              <w:top w:val="nil"/>
              <w:left w:val="nil"/>
              <w:bottom w:val="single" w:sz="4" w:space="0" w:color="808080"/>
              <w:right w:val="single" w:sz="4" w:space="0" w:color="808080"/>
            </w:tcBorders>
            <w:vAlign w:val="center"/>
            <w:hideMark/>
          </w:tcPr>
          <w:p w14:paraId="2838636C" w14:textId="77777777" w:rsidR="008421D7" w:rsidRPr="00951AB1" w:rsidRDefault="008421D7" w:rsidP="000A5389">
            <w:pPr>
              <w:spacing w:line="240" w:lineRule="auto"/>
              <w:jc w:val="right"/>
              <w:rPr>
                <w:rFonts w:eastAsia="Times New Roman" w:cs="Times New Roman"/>
                <w:color w:val="000000"/>
                <w:kern w:val="0"/>
                <w:sz w:val="16"/>
                <w:szCs w:val="16"/>
                <w:lang w:eastAsia="es-CO"/>
                <w14:ligatures w14:val="none"/>
              </w:rPr>
            </w:pPr>
            <w:r w:rsidRPr="00951AB1">
              <w:rPr>
                <w:rFonts w:eastAsia="Times New Roman" w:cs="Times New Roman"/>
                <w:color w:val="000000"/>
                <w:kern w:val="0"/>
                <w:sz w:val="16"/>
                <w:szCs w:val="16"/>
                <w:lang w:eastAsia="es-CO"/>
                <w14:ligatures w14:val="none"/>
              </w:rPr>
              <w:t xml:space="preserve">3.031.119.270.964 </w:t>
            </w:r>
          </w:p>
        </w:tc>
        <w:tc>
          <w:tcPr>
            <w:tcW w:w="760" w:type="pct"/>
            <w:tcBorders>
              <w:top w:val="single" w:sz="4" w:space="0" w:color="808080"/>
              <w:left w:val="nil"/>
              <w:bottom w:val="single" w:sz="4" w:space="0" w:color="808080"/>
              <w:right w:val="single" w:sz="4" w:space="0" w:color="808080"/>
            </w:tcBorders>
            <w:vAlign w:val="center"/>
            <w:hideMark/>
          </w:tcPr>
          <w:p w14:paraId="164AF3A3" w14:textId="77777777" w:rsidR="008421D7" w:rsidRPr="00951AB1" w:rsidRDefault="008421D7" w:rsidP="000A5389">
            <w:pPr>
              <w:spacing w:line="240" w:lineRule="auto"/>
              <w:jc w:val="right"/>
              <w:rPr>
                <w:rFonts w:eastAsia="Times New Roman" w:cs="Times New Roman"/>
                <w:color w:val="000000"/>
                <w:kern w:val="0"/>
                <w:sz w:val="16"/>
                <w:szCs w:val="16"/>
                <w:lang w:eastAsia="es-CO"/>
                <w14:ligatures w14:val="none"/>
              </w:rPr>
            </w:pPr>
            <w:r w:rsidRPr="00951AB1">
              <w:rPr>
                <w:rFonts w:eastAsia="Times New Roman" w:cs="Times New Roman"/>
                <w:color w:val="000000"/>
                <w:kern w:val="0"/>
                <w:sz w:val="16"/>
                <w:szCs w:val="16"/>
                <w:lang w:eastAsia="es-CO"/>
                <w14:ligatures w14:val="none"/>
              </w:rPr>
              <w:t xml:space="preserve">315.899.882.631 </w:t>
            </w:r>
          </w:p>
        </w:tc>
        <w:tc>
          <w:tcPr>
            <w:tcW w:w="803" w:type="pct"/>
            <w:tcBorders>
              <w:top w:val="single" w:sz="4" w:space="0" w:color="808080"/>
              <w:left w:val="nil"/>
              <w:bottom w:val="single" w:sz="4" w:space="0" w:color="808080"/>
              <w:right w:val="single" w:sz="4" w:space="0" w:color="808080"/>
            </w:tcBorders>
            <w:vAlign w:val="center"/>
            <w:hideMark/>
          </w:tcPr>
          <w:p w14:paraId="5471800B" w14:textId="77777777" w:rsidR="008421D7" w:rsidRPr="00951AB1" w:rsidRDefault="008421D7" w:rsidP="000A5389">
            <w:pPr>
              <w:spacing w:line="240" w:lineRule="auto"/>
              <w:jc w:val="right"/>
              <w:rPr>
                <w:rFonts w:eastAsia="Times New Roman" w:cs="Times New Roman"/>
                <w:color w:val="000000"/>
                <w:kern w:val="0"/>
                <w:sz w:val="16"/>
                <w:szCs w:val="16"/>
                <w:lang w:eastAsia="es-CO"/>
                <w14:ligatures w14:val="none"/>
              </w:rPr>
            </w:pPr>
            <w:r w:rsidRPr="00951AB1">
              <w:rPr>
                <w:rFonts w:eastAsia="Times New Roman" w:cs="Times New Roman"/>
                <w:color w:val="000000"/>
                <w:kern w:val="0"/>
                <w:sz w:val="16"/>
                <w:szCs w:val="16"/>
                <w:lang w:eastAsia="es-CO"/>
                <w14:ligatures w14:val="none"/>
              </w:rPr>
              <w:t xml:space="preserve">2.715.219.388.335 </w:t>
            </w:r>
          </w:p>
        </w:tc>
        <w:tc>
          <w:tcPr>
            <w:tcW w:w="724" w:type="pct"/>
            <w:tcBorders>
              <w:top w:val="nil"/>
              <w:left w:val="nil"/>
              <w:bottom w:val="single" w:sz="4" w:space="0" w:color="808080"/>
              <w:right w:val="single" w:sz="4" w:space="0" w:color="808080"/>
            </w:tcBorders>
            <w:vAlign w:val="center"/>
            <w:hideMark/>
          </w:tcPr>
          <w:p w14:paraId="2149F8F2" w14:textId="77777777" w:rsidR="008421D7" w:rsidRPr="00951AB1" w:rsidRDefault="008421D7" w:rsidP="000A5389">
            <w:pPr>
              <w:spacing w:line="240" w:lineRule="auto"/>
              <w:jc w:val="right"/>
              <w:rPr>
                <w:rFonts w:eastAsia="Times New Roman" w:cs="Times New Roman"/>
                <w:color w:val="000000"/>
                <w:kern w:val="0"/>
                <w:sz w:val="16"/>
                <w:szCs w:val="16"/>
                <w:lang w:eastAsia="es-CO"/>
                <w14:ligatures w14:val="none"/>
              </w:rPr>
            </w:pPr>
            <w:r w:rsidRPr="00951AB1">
              <w:rPr>
                <w:rFonts w:eastAsia="Times New Roman" w:cs="Times New Roman"/>
                <w:color w:val="000000"/>
                <w:kern w:val="0"/>
                <w:sz w:val="16"/>
                <w:szCs w:val="16"/>
                <w:lang w:eastAsia="es-CO"/>
                <w14:ligatures w14:val="none"/>
              </w:rPr>
              <w:t xml:space="preserve">-2 </w:t>
            </w:r>
          </w:p>
        </w:tc>
        <w:tc>
          <w:tcPr>
            <w:tcW w:w="568" w:type="pct"/>
            <w:tcBorders>
              <w:top w:val="nil"/>
              <w:left w:val="nil"/>
              <w:bottom w:val="single" w:sz="4" w:space="0" w:color="808080"/>
              <w:right w:val="single" w:sz="4" w:space="0" w:color="808080"/>
            </w:tcBorders>
            <w:vAlign w:val="center"/>
            <w:hideMark/>
          </w:tcPr>
          <w:p w14:paraId="2DE01250" w14:textId="77777777" w:rsidR="008421D7" w:rsidRPr="00951AB1" w:rsidRDefault="008421D7" w:rsidP="000A5389">
            <w:pPr>
              <w:spacing w:line="240" w:lineRule="auto"/>
              <w:rPr>
                <w:rFonts w:eastAsia="Times New Roman" w:cs="Times New Roman"/>
                <w:color w:val="000000"/>
                <w:kern w:val="0"/>
                <w:sz w:val="16"/>
                <w:szCs w:val="16"/>
                <w:lang w:eastAsia="es-CO"/>
                <w14:ligatures w14:val="none"/>
              </w:rPr>
            </w:pPr>
            <w:r w:rsidRPr="00951AB1">
              <w:rPr>
                <w:rFonts w:eastAsia="Times New Roman" w:cs="Times New Roman"/>
                <w:color w:val="000000"/>
                <w:kern w:val="0"/>
                <w:sz w:val="16"/>
                <w:szCs w:val="16"/>
                <w:lang w:eastAsia="es-CO"/>
                <w14:ligatures w14:val="none"/>
              </w:rPr>
              <w:t> </w:t>
            </w:r>
          </w:p>
        </w:tc>
      </w:tr>
      <w:tr w:rsidR="00010762" w:rsidRPr="00951AB1" w14:paraId="756002AD" w14:textId="77777777" w:rsidTr="00010762">
        <w:trPr>
          <w:trHeight w:val="611"/>
        </w:trPr>
        <w:tc>
          <w:tcPr>
            <w:tcW w:w="1343" w:type="pct"/>
            <w:tcBorders>
              <w:top w:val="single" w:sz="4" w:space="0" w:color="808080"/>
              <w:left w:val="single" w:sz="4" w:space="0" w:color="808080"/>
              <w:bottom w:val="single" w:sz="4" w:space="0" w:color="808080"/>
              <w:right w:val="single" w:sz="4" w:space="0" w:color="808080"/>
            </w:tcBorders>
            <w:shd w:val="clear" w:color="000000" w:fill="F2F2F2"/>
            <w:vAlign w:val="center"/>
            <w:hideMark/>
          </w:tcPr>
          <w:p w14:paraId="02739821" w14:textId="77777777" w:rsidR="008421D7" w:rsidRPr="00951AB1" w:rsidRDefault="008421D7" w:rsidP="000A5389">
            <w:pPr>
              <w:spacing w:line="240" w:lineRule="auto"/>
              <w:rPr>
                <w:rFonts w:eastAsia="Times New Roman" w:cs="Times New Roman"/>
                <w:b/>
                <w:bCs/>
                <w:color w:val="000000"/>
                <w:kern w:val="0"/>
                <w:sz w:val="16"/>
                <w:szCs w:val="16"/>
                <w:lang w:eastAsia="es-CO"/>
                <w14:ligatures w14:val="none"/>
              </w:rPr>
            </w:pPr>
            <w:r w:rsidRPr="00951AB1">
              <w:rPr>
                <w:rFonts w:eastAsia="Times New Roman" w:cs="Times New Roman"/>
                <w:b/>
                <w:bCs/>
                <w:color w:val="000000"/>
                <w:kern w:val="0"/>
                <w:sz w:val="16"/>
                <w:szCs w:val="16"/>
                <w:lang w:eastAsia="es-CO"/>
                <w14:ligatures w14:val="none"/>
              </w:rPr>
              <w:t>SALDOS DE PROYECTOS REVERTIDOS REPORTADOS POR EL G.I.T. PREDIAL Y G.I.T. ASESORÍA JURIDICO PREDIAL DESINCORPORADOS DE LOS SALDOS CONTABLES SIIF NACIÓN</w:t>
            </w:r>
          </w:p>
        </w:tc>
        <w:tc>
          <w:tcPr>
            <w:tcW w:w="801" w:type="pct"/>
            <w:tcBorders>
              <w:top w:val="nil"/>
              <w:left w:val="nil"/>
              <w:bottom w:val="single" w:sz="4" w:space="0" w:color="808080"/>
              <w:right w:val="single" w:sz="4" w:space="0" w:color="808080"/>
            </w:tcBorders>
            <w:shd w:val="clear" w:color="000000" w:fill="FFFFFF"/>
            <w:vAlign w:val="center"/>
            <w:hideMark/>
          </w:tcPr>
          <w:p w14:paraId="279FE077" w14:textId="77777777" w:rsidR="008421D7" w:rsidRPr="00951AB1" w:rsidRDefault="008421D7" w:rsidP="000A5389">
            <w:pPr>
              <w:spacing w:line="240" w:lineRule="auto"/>
              <w:jc w:val="right"/>
              <w:rPr>
                <w:rFonts w:eastAsia="Times New Roman" w:cs="Times New Roman"/>
                <w:color w:val="000000"/>
                <w:kern w:val="0"/>
                <w:sz w:val="16"/>
                <w:szCs w:val="16"/>
                <w:lang w:eastAsia="es-CO"/>
                <w14:ligatures w14:val="none"/>
              </w:rPr>
            </w:pPr>
            <w:r w:rsidRPr="00951AB1">
              <w:rPr>
                <w:rFonts w:eastAsia="Times New Roman" w:cs="Times New Roman"/>
                <w:color w:val="000000"/>
                <w:kern w:val="0"/>
                <w:sz w:val="16"/>
                <w:szCs w:val="16"/>
                <w:lang w:eastAsia="es-CO"/>
                <w14:ligatures w14:val="none"/>
              </w:rPr>
              <w:t xml:space="preserve">0 </w:t>
            </w:r>
          </w:p>
        </w:tc>
        <w:tc>
          <w:tcPr>
            <w:tcW w:w="760" w:type="pct"/>
            <w:tcBorders>
              <w:top w:val="single" w:sz="4" w:space="0" w:color="808080"/>
              <w:left w:val="nil"/>
              <w:bottom w:val="single" w:sz="4" w:space="0" w:color="808080"/>
              <w:right w:val="single" w:sz="4" w:space="0" w:color="808080"/>
            </w:tcBorders>
            <w:shd w:val="clear" w:color="000000" w:fill="FFFFFF"/>
            <w:vAlign w:val="center"/>
            <w:hideMark/>
          </w:tcPr>
          <w:p w14:paraId="3B72EABB" w14:textId="77777777" w:rsidR="008421D7" w:rsidRPr="00951AB1" w:rsidRDefault="008421D7" w:rsidP="000A5389">
            <w:pPr>
              <w:spacing w:line="240" w:lineRule="auto"/>
              <w:jc w:val="right"/>
              <w:rPr>
                <w:rFonts w:eastAsia="Times New Roman" w:cs="Times New Roman"/>
                <w:color w:val="000000"/>
                <w:kern w:val="0"/>
                <w:sz w:val="16"/>
                <w:szCs w:val="16"/>
                <w:lang w:eastAsia="es-CO"/>
                <w14:ligatures w14:val="none"/>
              </w:rPr>
            </w:pPr>
            <w:r w:rsidRPr="00951AB1">
              <w:rPr>
                <w:rFonts w:eastAsia="Times New Roman" w:cs="Times New Roman"/>
                <w:color w:val="000000"/>
                <w:kern w:val="0"/>
                <w:sz w:val="16"/>
                <w:szCs w:val="16"/>
                <w:lang w:eastAsia="es-CO"/>
                <w14:ligatures w14:val="none"/>
              </w:rPr>
              <w:t xml:space="preserve">0 </w:t>
            </w:r>
          </w:p>
        </w:tc>
        <w:tc>
          <w:tcPr>
            <w:tcW w:w="803" w:type="pct"/>
            <w:tcBorders>
              <w:top w:val="single" w:sz="4" w:space="0" w:color="808080"/>
              <w:left w:val="nil"/>
              <w:bottom w:val="single" w:sz="4" w:space="0" w:color="808080"/>
              <w:right w:val="single" w:sz="4" w:space="0" w:color="808080"/>
            </w:tcBorders>
            <w:vAlign w:val="center"/>
            <w:hideMark/>
          </w:tcPr>
          <w:p w14:paraId="42A3ECF0" w14:textId="77777777" w:rsidR="008421D7" w:rsidRPr="00951AB1" w:rsidRDefault="008421D7" w:rsidP="000A5389">
            <w:pPr>
              <w:spacing w:line="240" w:lineRule="auto"/>
              <w:jc w:val="right"/>
              <w:rPr>
                <w:rFonts w:eastAsia="Times New Roman" w:cs="Times New Roman"/>
                <w:color w:val="000000"/>
                <w:kern w:val="0"/>
                <w:sz w:val="16"/>
                <w:szCs w:val="16"/>
                <w:lang w:eastAsia="es-CO"/>
                <w14:ligatures w14:val="none"/>
              </w:rPr>
            </w:pPr>
            <w:r w:rsidRPr="00951AB1">
              <w:rPr>
                <w:rFonts w:eastAsia="Times New Roman" w:cs="Times New Roman"/>
                <w:color w:val="000000"/>
                <w:kern w:val="0"/>
                <w:sz w:val="16"/>
                <w:szCs w:val="16"/>
                <w:lang w:eastAsia="es-CO"/>
                <w14:ligatures w14:val="none"/>
              </w:rPr>
              <w:t xml:space="preserve">511.161.312.510 </w:t>
            </w:r>
          </w:p>
        </w:tc>
        <w:tc>
          <w:tcPr>
            <w:tcW w:w="724" w:type="pct"/>
            <w:tcBorders>
              <w:top w:val="nil"/>
              <w:left w:val="nil"/>
              <w:bottom w:val="single" w:sz="4" w:space="0" w:color="808080"/>
              <w:right w:val="single" w:sz="4" w:space="0" w:color="808080"/>
            </w:tcBorders>
            <w:vAlign w:val="center"/>
            <w:hideMark/>
          </w:tcPr>
          <w:p w14:paraId="25C58755" w14:textId="77777777" w:rsidR="008421D7" w:rsidRPr="00951AB1" w:rsidRDefault="008421D7" w:rsidP="000A5389">
            <w:pPr>
              <w:spacing w:line="240" w:lineRule="auto"/>
              <w:jc w:val="right"/>
              <w:rPr>
                <w:rFonts w:eastAsia="Times New Roman" w:cs="Times New Roman"/>
                <w:color w:val="000000"/>
                <w:kern w:val="0"/>
                <w:sz w:val="16"/>
                <w:szCs w:val="16"/>
                <w:lang w:eastAsia="es-CO"/>
                <w14:ligatures w14:val="none"/>
              </w:rPr>
            </w:pPr>
            <w:r w:rsidRPr="00951AB1">
              <w:rPr>
                <w:rFonts w:eastAsia="Times New Roman" w:cs="Times New Roman"/>
                <w:color w:val="000000"/>
                <w:kern w:val="0"/>
                <w:sz w:val="16"/>
                <w:szCs w:val="16"/>
                <w:lang w:eastAsia="es-CO"/>
                <w14:ligatures w14:val="none"/>
              </w:rPr>
              <w:t xml:space="preserve">-511.161.312.510 </w:t>
            </w:r>
          </w:p>
        </w:tc>
        <w:tc>
          <w:tcPr>
            <w:tcW w:w="568" w:type="pct"/>
            <w:tcBorders>
              <w:top w:val="nil"/>
              <w:left w:val="nil"/>
              <w:bottom w:val="single" w:sz="4" w:space="0" w:color="808080"/>
              <w:right w:val="single" w:sz="4" w:space="0" w:color="808080"/>
            </w:tcBorders>
            <w:vAlign w:val="center"/>
            <w:hideMark/>
          </w:tcPr>
          <w:p w14:paraId="25E5A10C" w14:textId="77777777" w:rsidR="008421D7" w:rsidRPr="00951AB1" w:rsidRDefault="008421D7" w:rsidP="000A5389">
            <w:pPr>
              <w:spacing w:line="240" w:lineRule="auto"/>
              <w:rPr>
                <w:rFonts w:eastAsia="Times New Roman" w:cs="Times New Roman"/>
                <w:color w:val="000000"/>
                <w:kern w:val="0"/>
                <w:sz w:val="16"/>
                <w:szCs w:val="16"/>
                <w:lang w:eastAsia="es-CO"/>
                <w14:ligatures w14:val="none"/>
              </w:rPr>
            </w:pPr>
            <w:r w:rsidRPr="00951AB1">
              <w:rPr>
                <w:rFonts w:eastAsia="Times New Roman" w:cs="Times New Roman"/>
                <w:color w:val="000000"/>
                <w:kern w:val="0"/>
                <w:sz w:val="16"/>
                <w:szCs w:val="16"/>
                <w:lang w:eastAsia="es-CO"/>
                <w14:ligatures w14:val="none"/>
              </w:rPr>
              <w:t>Históricos de proyectos revertidos.</w:t>
            </w:r>
          </w:p>
        </w:tc>
      </w:tr>
      <w:tr w:rsidR="00010762" w:rsidRPr="00951AB1" w14:paraId="303D7C55" w14:textId="77777777" w:rsidTr="00010762">
        <w:trPr>
          <w:trHeight w:val="810"/>
        </w:trPr>
        <w:tc>
          <w:tcPr>
            <w:tcW w:w="1343" w:type="pct"/>
            <w:tcBorders>
              <w:top w:val="single" w:sz="4" w:space="0" w:color="808080"/>
              <w:left w:val="single" w:sz="4" w:space="0" w:color="808080"/>
              <w:bottom w:val="single" w:sz="4" w:space="0" w:color="808080"/>
              <w:right w:val="single" w:sz="4" w:space="0" w:color="808080"/>
            </w:tcBorders>
            <w:shd w:val="clear" w:color="000000" w:fill="F2F2F2"/>
            <w:vAlign w:val="center"/>
            <w:hideMark/>
          </w:tcPr>
          <w:p w14:paraId="7F53A553" w14:textId="77777777" w:rsidR="008421D7" w:rsidRPr="00951AB1" w:rsidRDefault="008421D7" w:rsidP="000A5389">
            <w:pPr>
              <w:spacing w:line="240" w:lineRule="auto"/>
              <w:rPr>
                <w:rFonts w:eastAsia="Times New Roman" w:cs="Times New Roman"/>
                <w:b/>
                <w:bCs/>
                <w:color w:val="000000"/>
                <w:kern w:val="0"/>
                <w:sz w:val="16"/>
                <w:szCs w:val="16"/>
                <w:lang w:eastAsia="es-CO"/>
                <w14:ligatures w14:val="none"/>
              </w:rPr>
            </w:pPr>
            <w:r w:rsidRPr="00951AB1">
              <w:rPr>
                <w:rFonts w:eastAsia="Times New Roman" w:cs="Times New Roman"/>
                <w:b/>
                <w:bCs/>
                <w:color w:val="000000"/>
                <w:kern w:val="0"/>
                <w:sz w:val="16"/>
                <w:szCs w:val="16"/>
                <w:lang w:eastAsia="es-CO"/>
                <w14:ligatures w14:val="none"/>
              </w:rPr>
              <w:t>SALDOS CONTABLES SIIF NACIÓN INCORPORADOS REPORTADOS POR LAS ENTIDADES TITULARES</w:t>
            </w:r>
          </w:p>
        </w:tc>
        <w:tc>
          <w:tcPr>
            <w:tcW w:w="801" w:type="pct"/>
            <w:tcBorders>
              <w:top w:val="nil"/>
              <w:left w:val="nil"/>
              <w:bottom w:val="single" w:sz="4" w:space="0" w:color="808080"/>
              <w:right w:val="single" w:sz="4" w:space="0" w:color="808080"/>
            </w:tcBorders>
            <w:vAlign w:val="center"/>
            <w:hideMark/>
          </w:tcPr>
          <w:p w14:paraId="46FA525E" w14:textId="77777777" w:rsidR="008421D7" w:rsidRPr="00951AB1" w:rsidRDefault="008421D7" w:rsidP="000A5389">
            <w:pPr>
              <w:spacing w:line="240" w:lineRule="auto"/>
              <w:jc w:val="right"/>
              <w:rPr>
                <w:rFonts w:eastAsia="Times New Roman" w:cs="Times New Roman"/>
                <w:color w:val="000000"/>
                <w:kern w:val="0"/>
                <w:sz w:val="16"/>
                <w:szCs w:val="16"/>
                <w:lang w:eastAsia="es-CO"/>
                <w14:ligatures w14:val="none"/>
              </w:rPr>
            </w:pPr>
            <w:r w:rsidRPr="00951AB1">
              <w:rPr>
                <w:rFonts w:eastAsia="Times New Roman" w:cs="Times New Roman"/>
                <w:color w:val="000000"/>
                <w:kern w:val="0"/>
                <w:sz w:val="16"/>
                <w:szCs w:val="16"/>
                <w:lang w:eastAsia="es-CO"/>
                <w14:ligatures w14:val="none"/>
              </w:rPr>
              <w:t xml:space="preserve">747.597.918.450 </w:t>
            </w:r>
          </w:p>
        </w:tc>
        <w:tc>
          <w:tcPr>
            <w:tcW w:w="760" w:type="pct"/>
            <w:tcBorders>
              <w:top w:val="single" w:sz="4" w:space="0" w:color="808080"/>
              <w:left w:val="nil"/>
              <w:bottom w:val="single" w:sz="4" w:space="0" w:color="808080"/>
              <w:right w:val="single" w:sz="4" w:space="0" w:color="808080"/>
            </w:tcBorders>
            <w:vAlign w:val="center"/>
            <w:hideMark/>
          </w:tcPr>
          <w:p w14:paraId="0C36CBAD" w14:textId="77777777" w:rsidR="008421D7" w:rsidRPr="00951AB1" w:rsidRDefault="008421D7" w:rsidP="000A5389">
            <w:pPr>
              <w:spacing w:line="240" w:lineRule="auto"/>
              <w:jc w:val="right"/>
              <w:rPr>
                <w:rFonts w:eastAsia="Times New Roman" w:cs="Times New Roman"/>
                <w:color w:val="000000"/>
                <w:kern w:val="0"/>
                <w:sz w:val="16"/>
                <w:szCs w:val="16"/>
                <w:lang w:eastAsia="es-CO"/>
                <w14:ligatures w14:val="none"/>
              </w:rPr>
            </w:pPr>
            <w:r w:rsidRPr="00951AB1">
              <w:rPr>
                <w:rFonts w:eastAsia="Times New Roman" w:cs="Times New Roman"/>
                <w:color w:val="000000"/>
                <w:kern w:val="0"/>
                <w:sz w:val="16"/>
                <w:szCs w:val="16"/>
                <w:lang w:eastAsia="es-CO"/>
                <w14:ligatures w14:val="none"/>
              </w:rPr>
              <w:t xml:space="preserve">747.597.918.450 </w:t>
            </w:r>
          </w:p>
        </w:tc>
        <w:tc>
          <w:tcPr>
            <w:tcW w:w="803" w:type="pct"/>
            <w:tcBorders>
              <w:top w:val="single" w:sz="4" w:space="0" w:color="808080"/>
              <w:left w:val="nil"/>
              <w:bottom w:val="single" w:sz="4" w:space="0" w:color="808080"/>
              <w:right w:val="single" w:sz="4" w:space="0" w:color="808080"/>
            </w:tcBorders>
            <w:shd w:val="clear" w:color="000000" w:fill="FFFFFF"/>
            <w:vAlign w:val="center"/>
            <w:hideMark/>
          </w:tcPr>
          <w:p w14:paraId="2D305210" w14:textId="77777777" w:rsidR="008421D7" w:rsidRPr="00951AB1" w:rsidRDefault="008421D7" w:rsidP="000A5389">
            <w:pPr>
              <w:spacing w:line="240" w:lineRule="auto"/>
              <w:jc w:val="right"/>
              <w:rPr>
                <w:rFonts w:eastAsia="Times New Roman" w:cs="Times New Roman"/>
                <w:color w:val="000000"/>
                <w:kern w:val="0"/>
                <w:sz w:val="16"/>
                <w:szCs w:val="16"/>
                <w:lang w:eastAsia="es-CO"/>
                <w14:ligatures w14:val="none"/>
              </w:rPr>
            </w:pPr>
            <w:r w:rsidRPr="00951AB1">
              <w:rPr>
                <w:rFonts w:eastAsia="Times New Roman" w:cs="Times New Roman"/>
                <w:color w:val="000000"/>
                <w:kern w:val="0"/>
                <w:sz w:val="16"/>
                <w:szCs w:val="16"/>
                <w:lang w:eastAsia="es-CO"/>
                <w14:ligatures w14:val="none"/>
              </w:rPr>
              <w:t xml:space="preserve">0 </w:t>
            </w:r>
          </w:p>
        </w:tc>
        <w:tc>
          <w:tcPr>
            <w:tcW w:w="724" w:type="pct"/>
            <w:tcBorders>
              <w:top w:val="nil"/>
              <w:left w:val="nil"/>
              <w:bottom w:val="single" w:sz="4" w:space="0" w:color="808080"/>
              <w:right w:val="single" w:sz="4" w:space="0" w:color="808080"/>
            </w:tcBorders>
            <w:vAlign w:val="center"/>
            <w:hideMark/>
          </w:tcPr>
          <w:p w14:paraId="31C8FBB7" w14:textId="77777777" w:rsidR="008421D7" w:rsidRPr="00951AB1" w:rsidRDefault="008421D7" w:rsidP="000A5389">
            <w:pPr>
              <w:spacing w:line="240" w:lineRule="auto"/>
              <w:jc w:val="right"/>
              <w:rPr>
                <w:rFonts w:eastAsia="Times New Roman" w:cs="Times New Roman"/>
                <w:color w:val="000000"/>
                <w:kern w:val="0"/>
                <w:sz w:val="16"/>
                <w:szCs w:val="16"/>
                <w:lang w:eastAsia="es-CO"/>
                <w14:ligatures w14:val="none"/>
              </w:rPr>
            </w:pPr>
            <w:r w:rsidRPr="00951AB1">
              <w:rPr>
                <w:rFonts w:eastAsia="Times New Roman" w:cs="Times New Roman"/>
                <w:color w:val="000000"/>
                <w:kern w:val="0"/>
                <w:sz w:val="16"/>
                <w:szCs w:val="16"/>
                <w:lang w:eastAsia="es-CO"/>
                <w14:ligatures w14:val="none"/>
              </w:rPr>
              <w:t xml:space="preserve">0 </w:t>
            </w:r>
          </w:p>
        </w:tc>
        <w:tc>
          <w:tcPr>
            <w:tcW w:w="568" w:type="pct"/>
            <w:tcBorders>
              <w:top w:val="nil"/>
              <w:left w:val="nil"/>
              <w:bottom w:val="single" w:sz="4" w:space="0" w:color="808080"/>
              <w:right w:val="single" w:sz="4" w:space="0" w:color="808080"/>
            </w:tcBorders>
            <w:vAlign w:val="center"/>
            <w:hideMark/>
          </w:tcPr>
          <w:p w14:paraId="066D7566" w14:textId="77777777" w:rsidR="008421D7" w:rsidRPr="00951AB1" w:rsidRDefault="008421D7" w:rsidP="000A5389">
            <w:pPr>
              <w:spacing w:line="240" w:lineRule="auto"/>
              <w:rPr>
                <w:rFonts w:eastAsia="Times New Roman" w:cs="Times New Roman"/>
                <w:color w:val="000000"/>
                <w:kern w:val="0"/>
                <w:sz w:val="16"/>
                <w:szCs w:val="16"/>
                <w:lang w:eastAsia="es-CO"/>
                <w14:ligatures w14:val="none"/>
              </w:rPr>
            </w:pPr>
            <w:r w:rsidRPr="00951AB1">
              <w:rPr>
                <w:rFonts w:eastAsia="Times New Roman" w:cs="Times New Roman"/>
                <w:color w:val="000000"/>
                <w:kern w:val="0"/>
                <w:sz w:val="16"/>
                <w:szCs w:val="16"/>
                <w:lang w:eastAsia="es-CO"/>
                <w14:ligatures w14:val="none"/>
              </w:rPr>
              <w:t> </w:t>
            </w:r>
          </w:p>
        </w:tc>
      </w:tr>
      <w:tr w:rsidR="00010762" w:rsidRPr="00951AB1" w14:paraId="12040CB0" w14:textId="77777777" w:rsidTr="00010762">
        <w:trPr>
          <w:trHeight w:val="296"/>
        </w:trPr>
        <w:tc>
          <w:tcPr>
            <w:tcW w:w="1343" w:type="pct"/>
            <w:tcBorders>
              <w:top w:val="single" w:sz="4" w:space="0" w:color="808080"/>
              <w:left w:val="single" w:sz="4" w:space="0" w:color="808080"/>
              <w:bottom w:val="single" w:sz="4" w:space="0" w:color="808080"/>
              <w:right w:val="single" w:sz="4" w:space="0" w:color="808080"/>
            </w:tcBorders>
            <w:shd w:val="clear" w:color="000000" w:fill="F2F2F2"/>
            <w:noWrap/>
            <w:vAlign w:val="center"/>
            <w:hideMark/>
          </w:tcPr>
          <w:p w14:paraId="41D79E26" w14:textId="49D0FE35" w:rsidR="008421D7" w:rsidRPr="00951AB1" w:rsidRDefault="00010762" w:rsidP="000A5389">
            <w:pPr>
              <w:spacing w:line="240" w:lineRule="auto"/>
              <w:jc w:val="center"/>
              <w:rPr>
                <w:rFonts w:eastAsia="Times New Roman" w:cs="Times New Roman"/>
                <w:b/>
                <w:bCs/>
                <w:color w:val="000000"/>
                <w:kern w:val="0"/>
                <w:sz w:val="16"/>
                <w:szCs w:val="16"/>
                <w:lang w:eastAsia="es-CO"/>
                <w14:ligatures w14:val="none"/>
              </w:rPr>
            </w:pPr>
            <w:r w:rsidRPr="00951AB1">
              <w:rPr>
                <w:rFonts w:eastAsia="Times New Roman" w:cs="Times New Roman"/>
                <w:b/>
                <w:bCs/>
                <w:color w:val="000000"/>
                <w:kern w:val="0"/>
                <w:sz w:val="16"/>
                <w:szCs w:val="16"/>
                <w:lang w:eastAsia="es-CO"/>
                <w14:ligatures w14:val="none"/>
              </w:rPr>
              <w:t>TOTAL,</w:t>
            </w:r>
            <w:r w:rsidR="008421D7" w:rsidRPr="00951AB1">
              <w:rPr>
                <w:rFonts w:eastAsia="Times New Roman" w:cs="Times New Roman"/>
                <w:b/>
                <w:bCs/>
                <w:color w:val="000000"/>
                <w:kern w:val="0"/>
                <w:sz w:val="16"/>
                <w:szCs w:val="16"/>
                <w:lang w:eastAsia="es-CO"/>
                <w14:ligatures w14:val="none"/>
              </w:rPr>
              <w:t xml:space="preserve"> GENERAL</w:t>
            </w:r>
          </w:p>
        </w:tc>
        <w:tc>
          <w:tcPr>
            <w:tcW w:w="801" w:type="pct"/>
            <w:tcBorders>
              <w:top w:val="nil"/>
              <w:left w:val="nil"/>
              <w:bottom w:val="single" w:sz="4" w:space="0" w:color="808080"/>
              <w:right w:val="single" w:sz="4" w:space="0" w:color="808080"/>
            </w:tcBorders>
            <w:vAlign w:val="center"/>
            <w:hideMark/>
          </w:tcPr>
          <w:p w14:paraId="07DAE669" w14:textId="77777777" w:rsidR="008421D7" w:rsidRPr="00951AB1" w:rsidRDefault="008421D7" w:rsidP="000A5389">
            <w:pPr>
              <w:spacing w:line="240" w:lineRule="auto"/>
              <w:jc w:val="right"/>
              <w:rPr>
                <w:rFonts w:eastAsia="Times New Roman" w:cs="Times New Roman"/>
                <w:color w:val="000000"/>
                <w:kern w:val="0"/>
                <w:sz w:val="16"/>
                <w:szCs w:val="16"/>
                <w:lang w:eastAsia="es-CO"/>
                <w14:ligatures w14:val="none"/>
              </w:rPr>
            </w:pPr>
            <w:r w:rsidRPr="00951AB1">
              <w:rPr>
                <w:rFonts w:eastAsia="Times New Roman" w:cs="Times New Roman"/>
                <w:color w:val="000000"/>
                <w:kern w:val="0"/>
                <w:sz w:val="16"/>
                <w:szCs w:val="16"/>
                <w:lang w:eastAsia="es-CO"/>
                <w14:ligatures w14:val="none"/>
              </w:rPr>
              <w:t xml:space="preserve">3.778.717.189.414 </w:t>
            </w:r>
          </w:p>
        </w:tc>
        <w:tc>
          <w:tcPr>
            <w:tcW w:w="760" w:type="pct"/>
            <w:tcBorders>
              <w:top w:val="single" w:sz="4" w:space="0" w:color="808080"/>
              <w:left w:val="nil"/>
              <w:bottom w:val="single" w:sz="4" w:space="0" w:color="808080"/>
              <w:right w:val="single" w:sz="4" w:space="0" w:color="808080"/>
            </w:tcBorders>
            <w:vAlign w:val="center"/>
            <w:hideMark/>
          </w:tcPr>
          <w:p w14:paraId="73C5EC02" w14:textId="77777777" w:rsidR="008421D7" w:rsidRPr="00951AB1" w:rsidRDefault="008421D7" w:rsidP="000A5389">
            <w:pPr>
              <w:spacing w:line="240" w:lineRule="auto"/>
              <w:jc w:val="right"/>
              <w:rPr>
                <w:rFonts w:eastAsia="Times New Roman" w:cs="Times New Roman"/>
                <w:color w:val="000000"/>
                <w:kern w:val="0"/>
                <w:sz w:val="16"/>
                <w:szCs w:val="16"/>
                <w:lang w:eastAsia="es-CO"/>
                <w14:ligatures w14:val="none"/>
              </w:rPr>
            </w:pPr>
            <w:r w:rsidRPr="00951AB1">
              <w:rPr>
                <w:rFonts w:eastAsia="Times New Roman" w:cs="Times New Roman"/>
                <w:color w:val="000000"/>
                <w:kern w:val="0"/>
                <w:sz w:val="16"/>
                <w:szCs w:val="16"/>
                <w:lang w:eastAsia="es-CO"/>
                <w14:ligatures w14:val="none"/>
              </w:rPr>
              <w:t xml:space="preserve">1.063.497.801.081 </w:t>
            </w:r>
          </w:p>
        </w:tc>
        <w:tc>
          <w:tcPr>
            <w:tcW w:w="803" w:type="pct"/>
            <w:tcBorders>
              <w:top w:val="single" w:sz="4" w:space="0" w:color="808080"/>
              <w:left w:val="nil"/>
              <w:bottom w:val="single" w:sz="4" w:space="0" w:color="808080"/>
              <w:right w:val="single" w:sz="4" w:space="0" w:color="808080"/>
            </w:tcBorders>
            <w:vAlign w:val="center"/>
            <w:hideMark/>
          </w:tcPr>
          <w:p w14:paraId="0AFC0CD4" w14:textId="77777777" w:rsidR="008421D7" w:rsidRPr="00951AB1" w:rsidRDefault="008421D7" w:rsidP="000A5389">
            <w:pPr>
              <w:spacing w:line="240" w:lineRule="auto"/>
              <w:jc w:val="right"/>
              <w:rPr>
                <w:rFonts w:eastAsia="Times New Roman" w:cs="Times New Roman"/>
                <w:color w:val="000000"/>
                <w:kern w:val="0"/>
                <w:sz w:val="16"/>
                <w:szCs w:val="16"/>
                <w:lang w:eastAsia="es-CO"/>
                <w14:ligatures w14:val="none"/>
              </w:rPr>
            </w:pPr>
            <w:r w:rsidRPr="00951AB1">
              <w:rPr>
                <w:rFonts w:eastAsia="Times New Roman" w:cs="Times New Roman"/>
                <w:color w:val="000000"/>
                <w:kern w:val="0"/>
                <w:sz w:val="16"/>
                <w:szCs w:val="16"/>
                <w:lang w:eastAsia="es-CO"/>
                <w14:ligatures w14:val="none"/>
              </w:rPr>
              <w:t xml:space="preserve">3.226.380.700.845 </w:t>
            </w:r>
          </w:p>
        </w:tc>
        <w:tc>
          <w:tcPr>
            <w:tcW w:w="724" w:type="pct"/>
            <w:tcBorders>
              <w:top w:val="nil"/>
              <w:left w:val="nil"/>
              <w:bottom w:val="single" w:sz="4" w:space="0" w:color="808080"/>
              <w:right w:val="single" w:sz="4" w:space="0" w:color="808080"/>
            </w:tcBorders>
            <w:vAlign w:val="center"/>
            <w:hideMark/>
          </w:tcPr>
          <w:p w14:paraId="0284DD7D" w14:textId="77777777" w:rsidR="008421D7" w:rsidRPr="00951AB1" w:rsidRDefault="008421D7" w:rsidP="000A5389">
            <w:pPr>
              <w:spacing w:line="240" w:lineRule="auto"/>
              <w:jc w:val="right"/>
              <w:rPr>
                <w:rFonts w:eastAsia="Times New Roman" w:cs="Times New Roman"/>
                <w:color w:val="000000"/>
                <w:kern w:val="0"/>
                <w:sz w:val="16"/>
                <w:szCs w:val="16"/>
                <w:lang w:eastAsia="es-CO"/>
                <w14:ligatures w14:val="none"/>
              </w:rPr>
            </w:pPr>
            <w:r w:rsidRPr="00951AB1">
              <w:rPr>
                <w:rFonts w:eastAsia="Times New Roman" w:cs="Times New Roman"/>
                <w:color w:val="000000"/>
                <w:kern w:val="0"/>
                <w:sz w:val="16"/>
                <w:szCs w:val="16"/>
                <w:lang w:eastAsia="es-CO"/>
                <w14:ligatures w14:val="none"/>
              </w:rPr>
              <w:t xml:space="preserve">-511.161.312.511 </w:t>
            </w:r>
          </w:p>
        </w:tc>
        <w:tc>
          <w:tcPr>
            <w:tcW w:w="568" w:type="pct"/>
            <w:tcBorders>
              <w:top w:val="nil"/>
              <w:left w:val="nil"/>
              <w:bottom w:val="single" w:sz="4" w:space="0" w:color="808080"/>
              <w:right w:val="single" w:sz="4" w:space="0" w:color="808080"/>
            </w:tcBorders>
            <w:vAlign w:val="center"/>
            <w:hideMark/>
          </w:tcPr>
          <w:p w14:paraId="3E31A7ED" w14:textId="77777777" w:rsidR="008421D7" w:rsidRPr="00951AB1" w:rsidRDefault="008421D7" w:rsidP="000A5389">
            <w:pPr>
              <w:spacing w:line="240" w:lineRule="auto"/>
              <w:rPr>
                <w:rFonts w:eastAsia="Times New Roman" w:cs="Times New Roman"/>
                <w:color w:val="000000"/>
                <w:kern w:val="0"/>
                <w:sz w:val="16"/>
                <w:szCs w:val="16"/>
                <w:lang w:eastAsia="es-CO"/>
                <w14:ligatures w14:val="none"/>
              </w:rPr>
            </w:pPr>
            <w:r w:rsidRPr="00951AB1">
              <w:rPr>
                <w:rFonts w:eastAsia="Times New Roman" w:cs="Times New Roman"/>
                <w:color w:val="000000"/>
                <w:kern w:val="0"/>
                <w:sz w:val="16"/>
                <w:szCs w:val="16"/>
                <w:lang w:eastAsia="es-CO"/>
                <w14:ligatures w14:val="none"/>
              </w:rPr>
              <w:t> </w:t>
            </w:r>
          </w:p>
        </w:tc>
      </w:tr>
    </w:tbl>
    <w:p w14:paraId="40678165" w14:textId="77777777" w:rsidR="00010762" w:rsidRPr="00951AB1" w:rsidRDefault="00010762" w:rsidP="000A5389">
      <w:pPr>
        <w:spacing w:line="240" w:lineRule="auto"/>
        <w:rPr>
          <w:rFonts w:cs="Times New Roman"/>
          <w:szCs w:val="24"/>
          <w:lang w:val="es-ES"/>
        </w:rPr>
      </w:pPr>
    </w:p>
    <w:p w14:paraId="5DDBE824" w14:textId="74BDA469" w:rsidR="008421D7" w:rsidRDefault="008421D7" w:rsidP="000A5389">
      <w:pPr>
        <w:spacing w:line="240" w:lineRule="auto"/>
        <w:rPr>
          <w:rFonts w:cs="Times New Roman"/>
          <w:szCs w:val="24"/>
          <w:lang w:val="es-ES"/>
        </w:rPr>
      </w:pPr>
      <w:r w:rsidRPr="00951AB1">
        <w:rPr>
          <w:rFonts w:cs="Times New Roman"/>
          <w:szCs w:val="24"/>
          <w:lang w:val="es-ES"/>
        </w:rPr>
        <w:t xml:space="preserve">Adicionalmente, la conciliación evidencia el traslado de saldos entre proyectos </w:t>
      </w:r>
      <w:r w:rsidR="00010762" w:rsidRPr="00951AB1">
        <w:rPr>
          <w:rFonts w:cs="Times New Roman"/>
          <w:szCs w:val="24"/>
          <w:lang w:val="es-ES"/>
        </w:rPr>
        <w:t>carreteros por</w:t>
      </w:r>
      <w:r w:rsidRPr="00951AB1">
        <w:rPr>
          <w:rFonts w:cs="Times New Roman"/>
          <w:szCs w:val="24"/>
          <w:lang w:val="es-ES"/>
        </w:rPr>
        <w:t xml:space="preserve"> valor de $336.598.725.433 como se reflejan a continuación:</w:t>
      </w:r>
    </w:p>
    <w:p w14:paraId="72A6CEBC" w14:textId="77777777" w:rsidR="00BD137E" w:rsidRPr="00951AB1" w:rsidRDefault="00BD137E" w:rsidP="000A5389">
      <w:pPr>
        <w:spacing w:line="240" w:lineRule="auto"/>
        <w:rPr>
          <w:rFonts w:cs="Times New Roman"/>
          <w:szCs w:val="24"/>
          <w:lang w:val="es-ES"/>
        </w:rPr>
      </w:pPr>
    </w:p>
    <w:tbl>
      <w:tblPr>
        <w:tblW w:w="9485" w:type="dxa"/>
        <w:tblLayout w:type="fixed"/>
        <w:tblCellMar>
          <w:left w:w="70" w:type="dxa"/>
          <w:right w:w="70" w:type="dxa"/>
        </w:tblCellMar>
        <w:tblLook w:val="04A0" w:firstRow="1" w:lastRow="0" w:firstColumn="1" w:lastColumn="0" w:noHBand="0" w:noVBand="1"/>
      </w:tblPr>
      <w:tblGrid>
        <w:gridCol w:w="561"/>
        <w:gridCol w:w="709"/>
        <w:gridCol w:w="851"/>
        <w:gridCol w:w="709"/>
        <w:gridCol w:w="992"/>
        <w:gridCol w:w="851"/>
        <w:gridCol w:w="567"/>
        <w:gridCol w:w="851"/>
        <w:gridCol w:w="850"/>
        <w:gridCol w:w="709"/>
        <w:gridCol w:w="850"/>
        <w:gridCol w:w="985"/>
      </w:tblGrid>
      <w:tr w:rsidR="00010762" w:rsidRPr="00951AB1" w14:paraId="1BA3D2CC" w14:textId="77777777" w:rsidTr="004E2D10">
        <w:trPr>
          <w:trHeight w:val="357"/>
          <w:tblHeader/>
        </w:trPr>
        <w:tc>
          <w:tcPr>
            <w:tcW w:w="5240" w:type="dxa"/>
            <w:gridSpan w:val="7"/>
            <w:tc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noWrap/>
            <w:vAlign w:val="center"/>
            <w:hideMark/>
          </w:tcPr>
          <w:p w14:paraId="58658EDC" w14:textId="77777777" w:rsidR="008421D7" w:rsidRPr="00951AB1" w:rsidRDefault="008421D7" w:rsidP="000A5389">
            <w:pPr>
              <w:spacing w:line="240" w:lineRule="auto"/>
              <w:jc w:val="center"/>
              <w:rPr>
                <w:rFonts w:eastAsia="Times New Roman" w:cs="Times New Roman"/>
                <w:b/>
                <w:bCs/>
                <w:color w:val="000000"/>
                <w:kern w:val="0"/>
                <w:sz w:val="12"/>
                <w:szCs w:val="12"/>
                <w:lang w:eastAsia="es-CO"/>
                <w14:ligatures w14:val="none"/>
              </w:rPr>
            </w:pPr>
            <w:r w:rsidRPr="00951AB1">
              <w:rPr>
                <w:rFonts w:eastAsia="Times New Roman" w:cs="Times New Roman"/>
                <w:b/>
                <w:bCs/>
                <w:color w:val="000000"/>
                <w:kern w:val="0"/>
                <w:sz w:val="12"/>
                <w:szCs w:val="12"/>
                <w:lang w:eastAsia="es-CO"/>
                <w14:ligatures w14:val="none"/>
              </w:rPr>
              <w:t>Proyecto inicial reportado por G.I.T. Predial y G.I.T. Asesoría Jurídico Predial</w:t>
            </w:r>
          </w:p>
        </w:tc>
        <w:tc>
          <w:tcPr>
            <w:tcW w:w="4245" w:type="dxa"/>
            <w:gridSpan w:val="5"/>
            <w:tcBorders>
              <w:top w:val="single" w:sz="4" w:space="0" w:color="808080" w:themeColor="background1" w:themeShade="80"/>
              <w:left w:val="nil"/>
              <w:bottom w:val="single" w:sz="4" w:space="0" w:color="808080" w:themeColor="background1" w:themeShade="80"/>
              <w:right w:val="single" w:sz="4" w:space="0" w:color="808080" w:themeColor="background1" w:themeShade="80"/>
            </w:tcBorders>
            <w:shd w:val="clear" w:color="auto" w:fill="F2F2F2" w:themeFill="background1" w:themeFillShade="F2"/>
            <w:noWrap/>
            <w:vAlign w:val="center"/>
            <w:hideMark/>
          </w:tcPr>
          <w:p w14:paraId="4B266956" w14:textId="77777777" w:rsidR="008421D7" w:rsidRPr="00951AB1" w:rsidRDefault="008421D7" w:rsidP="000A5389">
            <w:pPr>
              <w:spacing w:line="240" w:lineRule="auto"/>
              <w:jc w:val="center"/>
              <w:rPr>
                <w:rFonts w:eastAsia="Times New Roman" w:cs="Times New Roman"/>
                <w:b/>
                <w:bCs/>
                <w:color w:val="000000"/>
                <w:kern w:val="0"/>
                <w:sz w:val="12"/>
                <w:szCs w:val="12"/>
                <w:lang w:eastAsia="es-CO"/>
                <w14:ligatures w14:val="none"/>
              </w:rPr>
            </w:pPr>
            <w:r w:rsidRPr="00951AB1">
              <w:rPr>
                <w:rFonts w:eastAsia="Times New Roman" w:cs="Times New Roman"/>
                <w:b/>
                <w:bCs/>
                <w:color w:val="000000"/>
                <w:kern w:val="0"/>
                <w:sz w:val="12"/>
                <w:szCs w:val="12"/>
                <w:lang w:eastAsia="es-CO"/>
                <w14:ligatures w14:val="none"/>
              </w:rPr>
              <w:t>Nuevo proyecto que recibe los saldos en SIIF Nación</w:t>
            </w:r>
          </w:p>
        </w:tc>
      </w:tr>
      <w:tr w:rsidR="004E2D10" w:rsidRPr="00951AB1" w14:paraId="2DB751D1" w14:textId="77777777" w:rsidTr="004E2D10">
        <w:trPr>
          <w:trHeight w:val="252"/>
          <w:tblHeader/>
        </w:trPr>
        <w:tc>
          <w:tcPr>
            <w:tcW w:w="561" w:type="dxa"/>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shd w:val="clear" w:color="auto" w:fill="F2F2F2" w:themeFill="background1" w:themeFillShade="F2"/>
            <w:vAlign w:val="center"/>
            <w:hideMark/>
          </w:tcPr>
          <w:p w14:paraId="76DAABAE" w14:textId="77777777" w:rsidR="004E2D10" w:rsidRPr="00951AB1" w:rsidRDefault="004E2D10" w:rsidP="000A5389">
            <w:pPr>
              <w:spacing w:line="240" w:lineRule="auto"/>
              <w:jc w:val="center"/>
              <w:rPr>
                <w:rFonts w:eastAsia="Times New Roman" w:cs="Times New Roman"/>
                <w:b/>
                <w:bCs/>
                <w:kern w:val="0"/>
                <w:sz w:val="12"/>
                <w:szCs w:val="12"/>
                <w:lang w:eastAsia="es-CO"/>
                <w14:ligatures w14:val="none"/>
              </w:rPr>
            </w:pPr>
            <w:r w:rsidRPr="00951AB1">
              <w:rPr>
                <w:rFonts w:eastAsia="Times New Roman" w:cs="Times New Roman"/>
                <w:b/>
                <w:bCs/>
                <w:kern w:val="0"/>
                <w:sz w:val="12"/>
                <w:szCs w:val="12"/>
                <w:lang w:eastAsia="es-CO"/>
                <w14:ligatures w14:val="none"/>
              </w:rPr>
              <w:t>Ítem No.</w:t>
            </w:r>
          </w:p>
        </w:tc>
        <w:tc>
          <w:tcPr>
            <w:tcW w:w="709" w:type="dxa"/>
            <w:tcBorders>
              <w:top w:val="nil"/>
              <w:left w:val="nil"/>
              <w:bottom w:val="single" w:sz="4" w:space="0" w:color="808080" w:themeColor="background1" w:themeShade="80"/>
              <w:right w:val="single" w:sz="4" w:space="0" w:color="808080" w:themeColor="background1" w:themeShade="80"/>
            </w:tcBorders>
            <w:shd w:val="clear" w:color="auto" w:fill="F2F2F2" w:themeFill="background1" w:themeFillShade="F2"/>
            <w:vAlign w:val="center"/>
            <w:hideMark/>
          </w:tcPr>
          <w:p w14:paraId="3DF92EAB" w14:textId="1FDB5FB7" w:rsidR="004E2D10" w:rsidRPr="00951AB1" w:rsidRDefault="004E2D10" w:rsidP="000A5389">
            <w:pPr>
              <w:spacing w:line="240" w:lineRule="auto"/>
              <w:jc w:val="center"/>
              <w:rPr>
                <w:rFonts w:eastAsia="Times New Roman" w:cs="Times New Roman"/>
                <w:b/>
                <w:bCs/>
                <w:kern w:val="0"/>
                <w:sz w:val="12"/>
                <w:szCs w:val="12"/>
                <w:lang w:eastAsia="es-CO"/>
                <w14:ligatures w14:val="none"/>
              </w:rPr>
            </w:pPr>
            <w:r w:rsidRPr="00951AB1">
              <w:rPr>
                <w:rFonts w:eastAsia="Times New Roman" w:cs="Times New Roman"/>
                <w:b/>
                <w:bCs/>
                <w:kern w:val="0"/>
                <w:sz w:val="12"/>
                <w:szCs w:val="12"/>
                <w:lang w:eastAsia="es-CO"/>
                <w14:ligatures w14:val="none"/>
              </w:rPr>
              <w:t>G*</w:t>
            </w:r>
          </w:p>
        </w:tc>
        <w:tc>
          <w:tcPr>
            <w:tcW w:w="1560" w:type="dxa"/>
            <w:gridSpan w:val="2"/>
            <w:tcBorders>
              <w:top w:val="nil"/>
              <w:left w:val="nil"/>
              <w:bottom w:val="single" w:sz="4" w:space="0" w:color="808080" w:themeColor="background1" w:themeShade="80"/>
              <w:right w:val="single" w:sz="4" w:space="0" w:color="808080" w:themeColor="background1" w:themeShade="80"/>
            </w:tcBorders>
            <w:shd w:val="clear" w:color="auto" w:fill="F2F2F2" w:themeFill="background1" w:themeFillShade="F2"/>
            <w:vAlign w:val="center"/>
            <w:hideMark/>
          </w:tcPr>
          <w:p w14:paraId="1B8024B9" w14:textId="77777777" w:rsidR="004E2D10" w:rsidRPr="00951AB1" w:rsidRDefault="004E2D10" w:rsidP="000A5389">
            <w:pPr>
              <w:spacing w:line="240" w:lineRule="auto"/>
              <w:jc w:val="center"/>
              <w:rPr>
                <w:rFonts w:eastAsia="Times New Roman" w:cs="Times New Roman"/>
                <w:b/>
                <w:bCs/>
                <w:kern w:val="0"/>
                <w:sz w:val="12"/>
                <w:szCs w:val="12"/>
                <w:lang w:eastAsia="es-CO"/>
                <w14:ligatures w14:val="none"/>
              </w:rPr>
            </w:pPr>
            <w:r w:rsidRPr="00951AB1">
              <w:rPr>
                <w:rFonts w:eastAsia="Times New Roman" w:cs="Times New Roman"/>
                <w:b/>
                <w:bCs/>
                <w:kern w:val="0"/>
                <w:sz w:val="12"/>
                <w:szCs w:val="12"/>
                <w:lang w:eastAsia="es-CO"/>
                <w14:ligatures w14:val="none"/>
              </w:rPr>
              <w:t>Proyecto de Concesión</w:t>
            </w:r>
          </w:p>
        </w:tc>
        <w:tc>
          <w:tcPr>
            <w:tcW w:w="992" w:type="dxa"/>
            <w:tcBorders>
              <w:top w:val="nil"/>
              <w:left w:val="nil"/>
              <w:bottom w:val="single" w:sz="4" w:space="0" w:color="808080" w:themeColor="background1" w:themeShade="80"/>
              <w:right w:val="single" w:sz="4" w:space="0" w:color="808080" w:themeColor="background1" w:themeShade="80"/>
            </w:tcBorders>
            <w:shd w:val="clear" w:color="auto" w:fill="F2F2F2" w:themeFill="background1" w:themeFillShade="F2"/>
            <w:vAlign w:val="center"/>
            <w:hideMark/>
          </w:tcPr>
          <w:p w14:paraId="7052F828" w14:textId="77777777" w:rsidR="004E2D10" w:rsidRPr="00951AB1" w:rsidRDefault="004E2D10" w:rsidP="000A5389">
            <w:pPr>
              <w:spacing w:line="240" w:lineRule="auto"/>
              <w:jc w:val="center"/>
              <w:rPr>
                <w:rFonts w:eastAsia="Times New Roman" w:cs="Times New Roman"/>
                <w:b/>
                <w:bCs/>
                <w:kern w:val="0"/>
                <w:sz w:val="12"/>
                <w:szCs w:val="12"/>
                <w:lang w:eastAsia="es-CO"/>
                <w14:ligatures w14:val="none"/>
              </w:rPr>
            </w:pPr>
            <w:r w:rsidRPr="00951AB1">
              <w:rPr>
                <w:rFonts w:eastAsia="Times New Roman" w:cs="Times New Roman"/>
                <w:b/>
                <w:bCs/>
                <w:kern w:val="0"/>
                <w:sz w:val="12"/>
                <w:szCs w:val="12"/>
                <w:lang w:eastAsia="es-CO"/>
                <w14:ligatures w14:val="none"/>
              </w:rPr>
              <w:t>Contrato No.</w:t>
            </w:r>
          </w:p>
        </w:tc>
        <w:tc>
          <w:tcPr>
            <w:tcW w:w="851" w:type="dxa"/>
            <w:tcBorders>
              <w:top w:val="nil"/>
              <w:left w:val="nil"/>
              <w:bottom w:val="single" w:sz="4" w:space="0" w:color="808080" w:themeColor="background1" w:themeShade="80"/>
              <w:right w:val="single" w:sz="4" w:space="0" w:color="808080" w:themeColor="background1" w:themeShade="80"/>
            </w:tcBorders>
            <w:shd w:val="clear" w:color="auto" w:fill="F2F2F2" w:themeFill="background1" w:themeFillShade="F2"/>
            <w:vAlign w:val="center"/>
          </w:tcPr>
          <w:p w14:paraId="1E0D9571" w14:textId="0AF04079" w:rsidR="004E2D10" w:rsidRPr="00951AB1" w:rsidRDefault="004E2D10" w:rsidP="000A5389">
            <w:pPr>
              <w:spacing w:line="240" w:lineRule="auto"/>
              <w:jc w:val="center"/>
              <w:rPr>
                <w:rFonts w:eastAsia="Times New Roman" w:cs="Times New Roman"/>
                <w:b/>
                <w:bCs/>
                <w:kern w:val="0"/>
                <w:sz w:val="12"/>
                <w:szCs w:val="12"/>
                <w:lang w:eastAsia="es-CO"/>
                <w14:ligatures w14:val="none"/>
              </w:rPr>
            </w:pPr>
            <w:r w:rsidRPr="00951AB1">
              <w:rPr>
                <w:rFonts w:eastAsia="Times New Roman" w:cs="Times New Roman"/>
                <w:b/>
                <w:bCs/>
                <w:kern w:val="0"/>
                <w:sz w:val="12"/>
                <w:szCs w:val="12"/>
                <w:lang w:eastAsia="es-CO"/>
                <w14:ligatures w14:val="none"/>
              </w:rPr>
              <w:t>Concesionario</w:t>
            </w:r>
          </w:p>
        </w:tc>
        <w:tc>
          <w:tcPr>
            <w:tcW w:w="567" w:type="dxa"/>
            <w:tcBorders>
              <w:top w:val="nil"/>
              <w:left w:val="nil"/>
              <w:bottom w:val="single" w:sz="4" w:space="0" w:color="808080" w:themeColor="background1" w:themeShade="80"/>
              <w:right w:val="single" w:sz="4" w:space="0" w:color="808080" w:themeColor="background1" w:themeShade="80"/>
            </w:tcBorders>
            <w:shd w:val="clear" w:color="auto" w:fill="F2F2F2" w:themeFill="background1" w:themeFillShade="F2"/>
            <w:vAlign w:val="center"/>
            <w:hideMark/>
          </w:tcPr>
          <w:p w14:paraId="26315CFE" w14:textId="741952DA" w:rsidR="004E2D10" w:rsidRPr="00951AB1" w:rsidRDefault="004E2D10" w:rsidP="000A5389">
            <w:pPr>
              <w:spacing w:line="240" w:lineRule="auto"/>
              <w:jc w:val="center"/>
              <w:rPr>
                <w:rFonts w:eastAsia="Times New Roman" w:cs="Times New Roman"/>
                <w:b/>
                <w:bCs/>
                <w:kern w:val="0"/>
                <w:sz w:val="12"/>
                <w:szCs w:val="12"/>
                <w:lang w:eastAsia="es-CO"/>
                <w14:ligatures w14:val="none"/>
              </w:rPr>
            </w:pPr>
            <w:r w:rsidRPr="00951AB1">
              <w:rPr>
                <w:rFonts w:eastAsia="Times New Roman" w:cs="Times New Roman"/>
                <w:b/>
                <w:bCs/>
                <w:color w:val="000000"/>
                <w:kern w:val="0"/>
                <w:sz w:val="12"/>
                <w:szCs w:val="12"/>
                <w:lang w:eastAsia="es-CO"/>
                <w14:ligatures w14:val="none"/>
              </w:rPr>
              <w:t>G*</w:t>
            </w:r>
          </w:p>
        </w:tc>
        <w:tc>
          <w:tcPr>
            <w:tcW w:w="851" w:type="dxa"/>
            <w:tcBorders>
              <w:top w:val="nil"/>
              <w:left w:val="nil"/>
              <w:bottom w:val="single" w:sz="4" w:space="0" w:color="808080" w:themeColor="background1" w:themeShade="80"/>
              <w:right w:val="single" w:sz="4" w:space="0" w:color="808080" w:themeColor="background1" w:themeShade="80"/>
            </w:tcBorders>
            <w:shd w:val="clear" w:color="auto" w:fill="F2F2F2" w:themeFill="background1" w:themeFillShade="F2"/>
            <w:vAlign w:val="center"/>
            <w:hideMark/>
          </w:tcPr>
          <w:p w14:paraId="4EC93F2F" w14:textId="128220A5" w:rsidR="004E2D10" w:rsidRPr="00951AB1" w:rsidRDefault="004E2D10" w:rsidP="000A5389">
            <w:pPr>
              <w:spacing w:line="240" w:lineRule="auto"/>
              <w:jc w:val="center"/>
              <w:rPr>
                <w:rFonts w:eastAsia="Times New Roman" w:cs="Times New Roman"/>
                <w:b/>
                <w:bCs/>
                <w:color w:val="000000"/>
                <w:kern w:val="0"/>
                <w:sz w:val="12"/>
                <w:szCs w:val="12"/>
                <w:lang w:eastAsia="es-CO"/>
                <w14:ligatures w14:val="none"/>
              </w:rPr>
            </w:pPr>
            <w:r w:rsidRPr="00951AB1">
              <w:rPr>
                <w:rFonts w:eastAsia="Times New Roman" w:cs="Times New Roman"/>
                <w:b/>
                <w:bCs/>
                <w:kern w:val="0"/>
                <w:sz w:val="12"/>
                <w:szCs w:val="12"/>
                <w:lang w:eastAsia="es-CO"/>
                <w14:ligatures w14:val="none"/>
              </w:rPr>
              <w:t>concesionario</w:t>
            </w:r>
          </w:p>
        </w:tc>
        <w:tc>
          <w:tcPr>
            <w:tcW w:w="850" w:type="dxa"/>
            <w:tcBorders>
              <w:top w:val="nil"/>
              <w:left w:val="nil"/>
              <w:bottom w:val="single" w:sz="4" w:space="0" w:color="808080" w:themeColor="background1" w:themeShade="80"/>
              <w:right w:val="single" w:sz="4" w:space="0" w:color="808080" w:themeColor="background1" w:themeShade="80"/>
            </w:tcBorders>
            <w:shd w:val="clear" w:color="auto" w:fill="F2F2F2" w:themeFill="background1" w:themeFillShade="F2"/>
            <w:vAlign w:val="center"/>
            <w:hideMark/>
          </w:tcPr>
          <w:p w14:paraId="1989CFC9" w14:textId="77777777" w:rsidR="004E2D10" w:rsidRPr="00951AB1" w:rsidRDefault="004E2D10" w:rsidP="000A5389">
            <w:pPr>
              <w:spacing w:line="240" w:lineRule="auto"/>
              <w:jc w:val="center"/>
              <w:rPr>
                <w:rFonts w:eastAsia="Times New Roman" w:cs="Times New Roman"/>
                <w:b/>
                <w:bCs/>
                <w:kern w:val="0"/>
                <w:sz w:val="12"/>
                <w:szCs w:val="12"/>
                <w:lang w:eastAsia="es-CO"/>
                <w14:ligatures w14:val="none"/>
              </w:rPr>
            </w:pPr>
            <w:r w:rsidRPr="00951AB1">
              <w:rPr>
                <w:rFonts w:eastAsia="Times New Roman" w:cs="Times New Roman"/>
                <w:b/>
                <w:bCs/>
                <w:kern w:val="0"/>
                <w:sz w:val="12"/>
                <w:szCs w:val="12"/>
                <w:lang w:eastAsia="es-CO"/>
                <w14:ligatures w14:val="none"/>
              </w:rPr>
              <w:t>Proyecto Concesión</w:t>
            </w:r>
          </w:p>
        </w:tc>
        <w:tc>
          <w:tcPr>
            <w:tcW w:w="709" w:type="dxa"/>
            <w:tcBorders>
              <w:top w:val="nil"/>
              <w:left w:val="nil"/>
              <w:bottom w:val="single" w:sz="4" w:space="0" w:color="808080" w:themeColor="background1" w:themeShade="80"/>
              <w:right w:val="single" w:sz="4" w:space="0" w:color="808080" w:themeColor="background1" w:themeShade="80"/>
            </w:tcBorders>
            <w:shd w:val="clear" w:color="auto" w:fill="F2F2F2" w:themeFill="background1" w:themeFillShade="F2"/>
            <w:vAlign w:val="center"/>
            <w:hideMark/>
          </w:tcPr>
          <w:p w14:paraId="56F50019" w14:textId="77777777" w:rsidR="004E2D10" w:rsidRPr="00951AB1" w:rsidRDefault="004E2D10" w:rsidP="000A5389">
            <w:pPr>
              <w:spacing w:line="240" w:lineRule="auto"/>
              <w:jc w:val="center"/>
              <w:rPr>
                <w:rFonts w:eastAsia="Times New Roman" w:cs="Times New Roman"/>
                <w:b/>
                <w:bCs/>
                <w:kern w:val="0"/>
                <w:sz w:val="12"/>
                <w:szCs w:val="12"/>
                <w:lang w:eastAsia="es-CO"/>
                <w14:ligatures w14:val="none"/>
              </w:rPr>
            </w:pPr>
            <w:r w:rsidRPr="00951AB1">
              <w:rPr>
                <w:rFonts w:eastAsia="Times New Roman" w:cs="Times New Roman"/>
                <w:b/>
                <w:bCs/>
                <w:kern w:val="0"/>
                <w:sz w:val="12"/>
                <w:szCs w:val="12"/>
                <w:lang w:eastAsia="es-CO"/>
                <w14:ligatures w14:val="none"/>
              </w:rPr>
              <w:t>Contrato No.</w:t>
            </w:r>
          </w:p>
        </w:tc>
        <w:tc>
          <w:tcPr>
            <w:tcW w:w="850" w:type="dxa"/>
            <w:tcBorders>
              <w:top w:val="nil"/>
              <w:left w:val="nil"/>
              <w:bottom w:val="single" w:sz="4" w:space="0" w:color="808080" w:themeColor="background1" w:themeShade="80"/>
              <w:right w:val="single" w:sz="4" w:space="0" w:color="808080" w:themeColor="background1" w:themeShade="80"/>
            </w:tcBorders>
            <w:shd w:val="clear" w:color="auto" w:fill="F2F2F2" w:themeFill="background1" w:themeFillShade="F2"/>
            <w:vAlign w:val="center"/>
            <w:hideMark/>
          </w:tcPr>
          <w:p w14:paraId="16C6A3BD" w14:textId="23A5403A" w:rsidR="004E2D10" w:rsidRPr="00951AB1" w:rsidRDefault="004E2D10" w:rsidP="000A5389">
            <w:pPr>
              <w:spacing w:line="240" w:lineRule="auto"/>
              <w:jc w:val="center"/>
              <w:rPr>
                <w:rFonts w:eastAsia="Times New Roman" w:cs="Times New Roman"/>
                <w:b/>
                <w:bCs/>
                <w:kern w:val="0"/>
                <w:sz w:val="12"/>
                <w:szCs w:val="12"/>
                <w:lang w:eastAsia="es-CO"/>
                <w14:ligatures w14:val="none"/>
              </w:rPr>
            </w:pPr>
            <w:r w:rsidRPr="00951AB1">
              <w:rPr>
                <w:rFonts w:eastAsia="Times New Roman" w:cs="Times New Roman"/>
                <w:b/>
                <w:bCs/>
                <w:kern w:val="0"/>
                <w:sz w:val="12"/>
                <w:szCs w:val="12"/>
                <w:lang w:eastAsia="es-CO"/>
                <w14:ligatures w14:val="none"/>
              </w:rPr>
              <w:t>Concesionario</w:t>
            </w:r>
          </w:p>
          <w:p w14:paraId="1237D877" w14:textId="77777777" w:rsidR="004E2D10" w:rsidRPr="00951AB1" w:rsidRDefault="004E2D10" w:rsidP="000A5389">
            <w:pPr>
              <w:spacing w:line="240" w:lineRule="auto"/>
              <w:jc w:val="center"/>
              <w:rPr>
                <w:rFonts w:eastAsia="Times New Roman" w:cs="Times New Roman"/>
                <w:b/>
                <w:bCs/>
                <w:kern w:val="0"/>
                <w:sz w:val="12"/>
                <w:szCs w:val="12"/>
                <w:lang w:eastAsia="es-CO"/>
                <w14:ligatures w14:val="none"/>
              </w:rPr>
            </w:pPr>
            <w:r w:rsidRPr="00951AB1">
              <w:rPr>
                <w:rFonts w:eastAsia="Times New Roman" w:cs="Times New Roman"/>
                <w:b/>
                <w:bCs/>
                <w:kern w:val="0"/>
                <w:sz w:val="12"/>
                <w:szCs w:val="12"/>
                <w:lang w:eastAsia="es-CO"/>
                <w14:ligatures w14:val="none"/>
              </w:rPr>
              <w:t>Concesionario</w:t>
            </w:r>
          </w:p>
        </w:tc>
        <w:tc>
          <w:tcPr>
            <w:tcW w:w="985" w:type="dxa"/>
            <w:tcBorders>
              <w:top w:val="nil"/>
              <w:left w:val="nil"/>
              <w:bottom w:val="single" w:sz="4" w:space="0" w:color="808080" w:themeColor="background1" w:themeShade="80"/>
              <w:right w:val="single" w:sz="4" w:space="0" w:color="808080" w:themeColor="background1" w:themeShade="80"/>
            </w:tcBorders>
            <w:shd w:val="clear" w:color="auto" w:fill="F2F2F2" w:themeFill="background1" w:themeFillShade="F2"/>
            <w:vAlign w:val="center"/>
            <w:hideMark/>
          </w:tcPr>
          <w:p w14:paraId="0378007C" w14:textId="77777777" w:rsidR="004E2D10" w:rsidRPr="00951AB1" w:rsidRDefault="004E2D10" w:rsidP="000A5389">
            <w:pPr>
              <w:spacing w:line="240" w:lineRule="auto"/>
              <w:jc w:val="center"/>
              <w:rPr>
                <w:rFonts w:eastAsia="Times New Roman" w:cs="Times New Roman"/>
                <w:b/>
                <w:bCs/>
                <w:color w:val="000000"/>
                <w:kern w:val="0"/>
                <w:sz w:val="12"/>
                <w:szCs w:val="12"/>
                <w:lang w:eastAsia="es-CO"/>
                <w14:ligatures w14:val="none"/>
              </w:rPr>
            </w:pPr>
            <w:r w:rsidRPr="00951AB1">
              <w:rPr>
                <w:rFonts w:eastAsia="Times New Roman" w:cs="Times New Roman"/>
                <w:b/>
                <w:bCs/>
                <w:color w:val="000000"/>
                <w:kern w:val="0"/>
                <w:sz w:val="12"/>
                <w:szCs w:val="12"/>
                <w:lang w:eastAsia="es-CO"/>
                <w14:ligatures w14:val="none"/>
              </w:rPr>
              <w:t>Saldos reportados a SIIF Nación</w:t>
            </w:r>
          </w:p>
        </w:tc>
      </w:tr>
      <w:tr w:rsidR="004E2D10" w:rsidRPr="00951AB1" w14:paraId="4785B140" w14:textId="77777777" w:rsidTr="004E2D10">
        <w:trPr>
          <w:trHeight w:val="446"/>
        </w:trPr>
        <w:tc>
          <w:tcPr>
            <w:tcW w:w="561" w:type="dxa"/>
            <w:tcBorders>
              <w:top w:val="single" w:sz="4" w:space="0" w:color="auto"/>
              <w:left w:val="single" w:sz="4" w:space="0" w:color="auto"/>
              <w:bottom w:val="single" w:sz="4" w:space="0" w:color="auto"/>
              <w:right w:val="single" w:sz="4" w:space="0" w:color="auto"/>
            </w:tcBorders>
            <w:vAlign w:val="center"/>
            <w:hideMark/>
          </w:tcPr>
          <w:p w14:paraId="6CCA7E50" w14:textId="77777777" w:rsidR="004E2D10" w:rsidRPr="00951AB1" w:rsidRDefault="004E2D10" w:rsidP="004E2D10">
            <w:pPr>
              <w:spacing w:line="240" w:lineRule="auto"/>
              <w:jc w:val="center"/>
              <w:rPr>
                <w:rFonts w:eastAsia="Times New Roman" w:cs="Times New Roman"/>
                <w:color w:val="000000"/>
                <w:kern w:val="0"/>
                <w:sz w:val="12"/>
                <w:szCs w:val="12"/>
                <w:lang w:eastAsia="es-CO"/>
                <w14:ligatures w14:val="none"/>
              </w:rPr>
            </w:pPr>
            <w:r w:rsidRPr="00951AB1">
              <w:rPr>
                <w:rFonts w:eastAsia="Times New Roman" w:cs="Times New Roman"/>
                <w:color w:val="000000"/>
                <w:kern w:val="0"/>
                <w:sz w:val="12"/>
                <w:szCs w:val="12"/>
                <w:lang w:eastAsia="es-CO"/>
                <w14:ligatures w14:val="none"/>
              </w:rPr>
              <w:t>1</w:t>
            </w:r>
          </w:p>
        </w:tc>
        <w:tc>
          <w:tcPr>
            <w:tcW w:w="709" w:type="dxa"/>
            <w:tcBorders>
              <w:top w:val="single" w:sz="4" w:space="0" w:color="auto"/>
              <w:left w:val="nil"/>
              <w:bottom w:val="single" w:sz="4" w:space="0" w:color="auto"/>
              <w:right w:val="single" w:sz="4" w:space="0" w:color="auto"/>
            </w:tcBorders>
            <w:vAlign w:val="center"/>
            <w:hideMark/>
          </w:tcPr>
          <w:p w14:paraId="1C930086" w14:textId="59E3E620" w:rsidR="004E2D10" w:rsidRPr="5B0C84B6" w:rsidRDefault="004E2D10" w:rsidP="004E2D10">
            <w:pPr>
              <w:spacing w:line="240" w:lineRule="auto"/>
              <w:jc w:val="center"/>
              <w:rPr>
                <w:rFonts w:eastAsia="Times New Roman" w:cs="Times New Roman"/>
                <w:color w:val="000000" w:themeColor="text1"/>
                <w:sz w:val="12"/>
                <w:szCs w:val="12"/>
              </w:rPr>
            </w:pPr>
            <w:r w:rsidRPr="5B0C84B6">
              <w:rPr>
                <w:rFonts w:eastAsia="Times New Roman" w:cs="Times New Roman"/>
                <w:color w:val="000000" w:themeColor="text1"/>
                <w:sz w:val="12"/>
                <w:szCs w:val="12"/>
              </w:rPr>
              <w:t xml:space="preserve">1 2 3 G </w:t>
            </w:r>
          </w:p>
        </w:tc>
        <w:tc>
          <w:tcPr>
            <w:tcW w:w="851" w:type="dxa"/>
            <w:tcBorders>
              <w:top w:val="single" w:sz="4" w:space="0" w:color="auto"/>
              <w:left w:val="nil"/>
              <w:bottom w:val="single" w:sz="4" w:space="0" w:color="auto"/>
              <w:right w:val="single" w:sz="4" w:space="0" w:color="auto"/>
            </w:tcBorders>
            <w:shd w:val="clear" w:color="auto" w:fill="FFFFFF" w:themeFill="background1"/>
            <w:vAlign w:val="center"/>
            <w:hideMark/>
          </w:tcPr>
          <w:p w14:paraId="7C0A9A10" w14:textId="6DF3618A" w:rsidR="004E2D10" w:rsidRPr="5B0C84B6" w:rsidRDefault="004E2D10" w:rsidP="004E2D10">
            <w:pPr>
              <w:spacing w:line="240" w:lineRule="auto"/>
              <w:rPr>
                <w:rFonts w:eastAsia="Times New Roman" w:cs="Times New Roman"/>
                <w:color w:val="000000" w:themeColor="text1"/>
                <w:sz w:val="12"/>
                <w:szCs w:val="12"/>
              </w:rPr>
            </w:pPr>
            <w:r w:rsidRPr="5B0C84B6">
              <w:rPr>
                <w:rFonts w:eastAsia="Times New Roman" w:cs="Times New Roman"/>
                <w:color w:val="000000" w:themeColor="text1"/>
                <w:sz w:val="12"/>
                <w:szCs w:val="12"/>
              </w:rPr>
              <w:t xml:space="preserve">Ruta Caribe </w:t>
            </w:r>
          </w:p>
        </w:tc>
        <w:tc>
          <w:tcPr>
            <w:tcW w:w="709" w:type="dxa"/>
            <w:tcBorders>
              <w:top w:val="single" w:sz="4" w:space="0" w:color="auto"/>
              <w:left w:val="nil"/>
              <w:bottom w:val="single" w:sz="4" w:space="0" w:color="auto"/>
              <w:right w:val="single" w:sz="4" w:space="0" w:color="auto"/>
            </w:tcBorders>
            <w:shd w:val="clear" w:color="auto" w:fill="FFFFFF" w:themeFill="background1"/>
            <w:vAlign w:val="center"/>
          </w:tcPr>
          <w:p w14:paraId="0F037CE2" w14:textId="141ABE6A" w:rsidR="004E2D10" w:rsidRPr="5B0C84B6" w:rsidRDefault="004E2D10" w:rsidP="004E2D10">
            <w:pPr>
              <w:spacing w:line="240" w:lineRule="auto"/>
              <w:jc w:val="center"/>
              <w:rPr>
                <w:rFonts w:eastAsia="Times New Roman" w:cs="Times New Roman"/>
                <w:color w:val="000000" w:themeColor="text1"/>
                <w:sz w:val="12"/>
                <w:szCs w:val="12"/>
              </w:rPr>
            </w:pPr>
            <w:r w:rsidRPr="5B0C84B6">
              <w:rPr>
                <w:rFonts w:eastAsia="Times New Roman" w:cs="Times New Roman"/>
                <w:color w:val="000000" w:themeColor="text1"/>
                <w:sz w:val="12"/>
                <w:szCs w:val="12"/>
              </w:rPr>
              <w:t xml:space="preserve">900167854 </w:t>
            </w:r>
          </w:p>
        </w:tc>
        <w:tc>
          <w:tcPr>
            <w:tcW w:w="992" w:type="dxa"/>
            <w:tcBorders>
              <w:top w:val="single" w:sz="4" w:space="0" w:color="auto"/>
              <w:left w:val="nil"/>
              <w:bottom w:val="single" w:sz="4" w:space="0" w:color="auto"/>
              <w:right w:val="single" w:sz="4" w:space="0" w:color="auto"/>
            </w:tcBorders>
            <w:shd w:val="clear" w:color="auto" w:fill="FFFFFF" w:themeFill="background1"/>
            <w:vAlign w:val="center"/>
          </w:tcPr>
          <w:p w14:paraId="75F0A390" w14:textId="72FDEC6B" w:rsidR="004E2D10" w:rsidRPr="5B0C84B6" w:rsidRDefault="004E2D10" w:rsidP="004E2D10">
            <w:pPr>
              <w:spacing w:line="240" w:lineRule="auto"/>
              <w:jc w:val="center"/>
              <w:rPr>
                <w:rFonts w:eastAsia="Times New Roman" w:cs="Times New Roman"/>
                <w:color w:val="000000" w:themeColor="text1"/>
                <w:sz w:val="12"/>
                <w:szCs w:val="12"/>
              </w:rPr>
            </w:pPr>
            <w:r w:rsidRPr="5B0C84B6">
              <w:rPr>
                <w:rFonts w:eastAsia="Times New Roman" w:cs="Times New Roman"/>
                <w:color w:val="000000" w:themeColor="text1"/>
                <w:sz w:val="12"/>
                <w:szCs w:val="12"/>
              </w:rPr>
              <w:t xml:space="preserve">008-2007 </w:t>
            </w:r>
          </w:p>
        </w:tc>
        <w:tc>
          <w:tcPr>
            <w:tcW w:w="851" w:type="dxa"/>
            <w:tcBorders>
              <w:top w:val="single" w:sz="4" w:space="0" w:color="auto"/>
              <w:left w:val="nil"/>
              <w:bottom w:val="single" w:sz="4" w:space="0" w:color="auto"/>
              <w:right w:val="single" w:sz="4" w:space="0" w:color="auto"/>
            </w:tcBorders>
            <w:shd w:val="clear" w:color="auto" w:fill="FFFFFF" w:themeFill="background1"/>
            <w:vAlign w:val="center"/>
            <w:hideMark/>
          </w:tcPr>
          <w:p w14:paraId="5B73B679" w14:textId="7CD63941" w:rsidR="004E2D10" w:rsidRPr="5B0C84B6" w:rsidRDefault="004E2D10" w:rsidP="004E2D10">
            <w:pPr>
              <w:spacing w:line="240" w:lineRule="auto"/>
              <w:rPr>
                <w:rFonts w:eastAsia="Times New Roman" w:cs="Times New Roman"/>
                <w:color w:val="000000" w:themeColor="text1"/>
                <w:sz w:val="12"/>
                <w:szCs w:val="12"/>
              </w:rPr>
            </w:pPr>
            <w:r w:rsidRPr="5B0C84B6">
              <w:rPr>
                <w:rFonts w:eastAsia="Times New Roman" w:cs="Times New Roman"/>
                <w:color w:val="000000" w:themeColor="text1"/>
                <w:sz w:val="12"/>
                <w:szCs w:val="12"/>
              </w:rPr>
              <w:t xml:space="preserve">Autopistas Del Sol Sas </w:t>
            </w:r>
          </w:p>
        </w:tc>
        <w:tc>
          <w:tcPr>
            <w:tcW w:w="567" w:type="dxa"/>
            <w:tcBorders>
              <w:top w:val="single" w:sz="4" w:space="0" w:color="auto"/>
              <w:left w:val="nil"/>
              <w:bottom w:val="single" w:sz="4" w:space="0" w:color="auto"/>
              <w:right w:val="single" w:sz="4" w:space="0" w:color="auto"/>
            </w:tcBorders>
            <w:shd w:val="clear" w:color="auto" w:fill="FFFFFF" w:themeFill="background1"/>
            <w:vAlign w:val="center"/>
            <w:hideMark/>
          </w:tcPr>
          <w:p w14:paraId="1067121C" w14:textId="65ADED02" w:rsidR="004E2D10" w:rsidRPr="5B0C84B6" w:rsidRDefault="004E2D10" w:rsidP="004E2D10">
            <w:pPr>
              <w:spacing w:line="240" w:lineRule="auto"/>
              <w:jc w:val="center"/>
              <w:rPr>
                <w:rFonts w:eastAsia="Times New Roman" w:cs="Times New Roman"/>
                <w:color w:val="000000" w:themeColor="text1"/>
                <w:sz w:val="12"/>
                <w:szCs w:val="12"/>
              </w:rPr>
            </w:pPr>
            <w:r w:rsidRPr="5B0C84B6">
              <w:rPr>
                <w:rFonts w:eastAsia="Times New Roman" w:cs="Times New Roman"/>
                <w:color w:val="000000" w:themeColor="text1"/>
                <w:sz w:val="12"/>
                <w:szCs w:val="12"/>
              </w:rPr>
              <w:t xml:space="preserve">1 2 3 G </w:t>
            </w:r>
          </w:p>
        </w:tc>
        <w:tc>
          <w:tcPr>
            <w:tcW w:w="851" w:type="dxa"/>
            <w:tcBorders>
              <w:top w:val="single" w:sz="4" w:space="0" w:color="auto"/>
              <w:left w:val="nil"/>
              <w:bottom w:val="single" w:sz="4" w:space="0" w:color="auto"/>
              <w:right w:val="single" w:sz="4" w:space="0" w:color="auto"/>
            </w:tcBorders>
            <w:shd w:val="clear" w:color="auto" w:fill="FFFFFF" w:themeFill="background1"/>
            <w:vAlign w:val="center"/>
            <w:hideMark/>
          </w:tcPr>
          <w:p w14:paraId="6A73AA89" w14:textId="2BF5013F" w:rsidR="004E2D10" w:rsidRPr="5B0C84B6" w:rsidRDefault="004E2D10" w:rsidP="004E2D10">
            <w:pPr>
              <w:spacing w:line="240" w:lineRule="auto"/>
              <w:rPr>
                <w:rFonts w:eastAsia="Times New Roman" w:cs="Times New Roman"/>
                <w:color w:val="000000" w:themeColor="text1"/>
                <w:sz w:val="12"/>
                <w:szCs w:val="12"/>
              </w:rPr>
            </w:pPr>
            <w:r w:rsidRPr="5B0C84B6">
              <w:rPr>
                <w:rFonts w:eastAsia="Times New Roman" w:cs="Times New Roman"/>
                <w:color w:val="000000" w:themeColor="text1"/>
                <w:sz w:val="12"/>
                <w:szCs w:val="12"/>
              </w:rPr>
              <w:t xml:space="preserve">Autopistas del Caribe </w:t>
            </w:r>
          </w:p>
        </w:tc>
        <w:tc>
          <w:tcPr>
            <w:tcW w:w="850" w:type="dxa"/>
            <w:tcBorders>
              <w:top w:val="single" w:sz="4" w:space="0" w:color="auto"/>
              <w:left w:val="nil"/>
              <w:bottom w:val="single" w:sz="4" w:space="0" w:color="auto"/>
              <w:right w:val="single" w:sz="4" w:space="0" w:color="auto"/>
            </w:tcBorders>
            <w:shd w:val="clear" w:color="auto" w:fill="FFFFFF" w:themeFill="background1"/>
            <w:vAlign w:val="center"/>
            <w:hideMark/>
          </w:tcPr>
          <w:p w14:paraId="1F2DE665" w14:textId="43CAAC61" w:rsidR="004E2D10" w:rsidRPr="5B0C84B6" w:rsidRDefault="004E2D10" w:rsidP="004E2D10">
            <w:pPr>
              <w:spacing w:line="240" w:lineRule="auto"/>
              <w:jc w:val="center"/>
              <w:rPr>
                <w:rFonts w:eastAsia="Times New Roman" w:cs="Times New Roman"/>
                <w:color w:val="000000" w:themeColor="text1"/>
                <w:sz w:val="12"/>
                <w:szCs w:val="12"/>
              </w:rPr>
            </w:pPr>
            <w:r w:rsidRPr="5B0C84B6">
              <w:rPr>
                <w:rFonts w:eastAsia="Times New Roman" w:cs="Times New Roman"/>
                <w:color w:val="000000" w:themeColor="text1"/>
                <w:sz w:val="12"/>
                <w:szCs w:val="12"/>
              </w:rPr>
              <w:t xml:space="preserve">002-2021 </w:t>
            </w:r>
          </w:p>
        </w:tc>
        <w:tc>
          <w:tcPr>
            <w:tcW w:w="709" w:type="dxa"/>
            <w:tcBorders>
              <w:top w:val="single" w:sz="4" w:space="0" w:color="auto"/>
              <w:left w:val="nil"/>
              <w:bottom w:val="single" w:sz="4" w:space="0" w:color="auto"/>
              <w:right w:val="single" w:sz="4" w:space="0" w:color="auto"/>
            </w:tcBorders>
            <w:shd w:val="clear" w:color="auto" w:fill="FFFFFF" w:themeFill="background1"/>
            <w:vAlign w:val="center"/>
            <w:hideMark/>
          </w:tcPr>
          <w:p w14:paraId="6F7A2740" w14:textId="3F9F96A2" w:rsidR="004E2D10" w:rsidRPr="5B0C84B6" w:rsidRDefault="004E2D10" w:rsidP="004E2D10">
            <w:pPr>
              <w:spacing w:line="240" w:lineRule="auto"/>
              <w:jc w:val="center"/>
              <w:rPr>
                <w:rFonts w:eastAsia="Times New Roman" w:cs="Times New Roman"/>
                <w:color w:val="000000" w:themeColor="text1"/>
                <w:sz w:val="12"/>
                <w:szCs w:val="12"/>
              </w:rPr>
            </w:pPr>
            <w:r w:rsidRPr="5B0C84B6">
              <w:rPr>
                <w:rFonts w:eastAsia="Times New Roman" w:cs="Times New Roman"/>
                <w:color w:val="000000" w:themeColor="text1"/>
                <w:sz w:val="12"/>
                <w:szCs w:val="12"/>
              </w:rPr>
              <w:t xml:space="preserve">901.515.242 </w:t>
            </w:r>
          </w:p>
        </w:tc>
        <w:tc>
          <w:tcPr>
            <w:tcW w:w="850" w:type="dxa"/>
            <w:tcBorders>
              <w:top w:val="single" w:sz="4" w:space="0" w:color="auto"/>
              <w:left w:val="nil"/>
              <w:bottom w:val="single" w:sz="4" w:space="0" w:color="auto"/>
              <w:right w:val="single" w:sz="4" w:space="0" w:color="auto"/>
            </w:tcBorders>
            <w:shd w:val="clear" w:color="auto" w:fill="FFFFFF" w:themeFill="background1"/>
            <w:vAlign w:val="center"/>
            <w:hideMark/>
          </w:tcPr>
          <w:p w14:paraId="616438DA" w14:textId="4ED76D00" w:rsidR="004E2D10" w:rsidRPr="5B0C84B6" w:rsidRDefault="004E2D10" w:rsidP="004E2D10">
            <w:pPr>
              <w:spacing w:line="240" w:lineRule="auto"/>
              <w:rPr>
                <w:rFonts w:eastAsia="Times New Roman" w:cs="Times New Roman"/>
                <w:color w:val="000000" w:themeColor="text1"/>
                <w:sz w:val="12"/>
                <w:szCs w:val="12"/>
              </w:rPr>
            </w:pPr>
            <w:r w:rsidRPr="5B0C84B6">
              <w:rPr>
                <w:rFonts w:eastAsia="Times New Roman" w:cs="Times New Roman"/>
                <w:color w:val="000000" w:themeColor="text1"/>
                <w:sz w:val="12"/>
                <w:szCs w:val="12"/>
              </w:rPr>
              <w:t xml:space="preserve">Autopistas Del Caribe Sas </w:t>
            </w:r>
          </w:p>
        </w:tc>
        <w:tc>
          <w:tcPr>
            <w:tcW w:w="985" w:type="dxa"/>
            <w:tcBorders>
              <w:top w:val="single" w:sz="4" w:space="0" w:color="auto"/>
              <w:left w:val="nil"/>
              <w:bottom w:val="single" w:sz="4" w:space="0" w:color="auto"/>
              <w:right w:val="single" w:sz="4" w:space="0" w:color="auto"/>
            </w:tcBorders>
            <w:shd w:val="clear" w:color="auto" w:fill="FFFFFF" w:themeFill="background1"/>
            <w:vAlign w:val="center"/>
            <w:hideMark/>
          </w:tcPr>
          <w:p w14:paraId="1346A686" w14:textId="02636B2B" w:rsidR="004E2D10" w:rsidRPr="5B0C84B6" w:rsidRDefault="004E2D10" w:rsidP="004E2D10">
            <w:pPr>
              <w:spacing w:line="240" w:lineRule="auto"/>
              <w:jc w:val="right"/>
              <w:rPr>
                <w:rFonts w:eastAsia="Times New Roman" w:cs="Times New Roman"/>
                <w:color w:val="000000" w:themeColor="text1"/>
                <w:sz w:val="12"/>
                <w:szCs w:val="12"/>
              </w:rPr>
            </w:pPr>
            <w:r w:rsidRPr="5B0C84B6">
              <w:rPr>
                <w:rFonts w:eastAsia="Times New Roman" w:cs="Times New Roman"/>
                <w:color w:val="000000" w:themeColor="text1"/>
                <w:sz w:val="12"/>
                <w:szCs w:val="12"/>
              </w:rPr>
              <w:t>113.663.968.442</w:t>
            </w:r>
          </w:p>
        </w:tc>
      </w:tr>
      <w:tr w:rsidR="004E2D10" w:rsidRPr="00951AB1" w14:paraId="718A3D30" w14:textId="77777777" w:rsidTr="004E2D10">
        <w:trPr>
          <w:trHeight w:val="971"/>
        </w:trPr>
        <w:tc>
          <w:tcPr>
            <w:tcW w:w="561" w:type="dxa"/>
            <w:tcBorders>
              <w:top w:val="nil"/>
              <w:left w:val="single" w:sz="4" w:space="0" w:color="auto"/>
              <w:bottom w:val="single" w:sz="4" w:space="0" w:color="auto"/>
              <w:right w:val="single" w:sz="4" w:space="0" w:color="auto"/>
            </w:tcBorders>
            <w:vAlign w:val="center"/>
            <w:hideMark/>
          </w:tcPr>
          <w:p w14:paraId="6EEDB77E" w14:textId="77777777" w:rsidR="004E2D10" w:rsidRPr="00951AB1" w:rsidRDefault="004E2D10" w:rsidP="004E2D10">
            <w:pPr>
              <w:spacing w:line="240" w:lineRule="auto"/>
              <w:jc w:val="center"/>
              <w:rPr>
                <w:rFonts w:eastAsia="Times New Roman" w:cs="Times New Roman"/>
                <w:color w:val="000000"/>
                <w:kern w:val="0"/>
                <w:sz w:val="12"/>
                <w:szCs w:val="12"/>
                <w:lang w:eastAsia="es-CO"/>
                <w14:ligatures w14:val="none"/>
              </w:rPr>
            </w:pPr>
            <w:r w:rsidRPr="00951AB1">
              <w:rPr>
                <w:rFonts w:eastAsia="Times New Roman" w:cs="Times New Roman"/>
                <w:color w:val="000000"/>
                <w:kern w:val="0"/>
                <w:sz w:val="12"/>
                <w:szCs w:val="12"/>
                <w:lang w:eastAsia="es-CO"/>
                <w14:ligatures w14:val="none"/>
              </w:rPr>
              <w:t>2</w:t>
            </w:r>
          </w:p>
        </w:tc>
        <w:tc>
          <w:tcPr>
            <w:tcW w:w="709" w:type="dxa"/>
            <w:tcBorders>
              <w:top w:val="nil"/>
              <w:left w:val="nil"/>
              <w:bottom w:val="single" w:sz="4" w:space="0" w:color="auto"/>
              <w:right w:val="single" w:sz="4" w:space="0" w:color="auto"/>
            </w:tcBorders>
            <w:vAlign w:val="center"/>
            <w:hideMark/>
          </w:tcPr>
          <w:p w14:paraId="462CAB14" w14:textId="5A9CD65A" w:rsidR="004E2D10" w:rsidRPr="5B0C84B6" w:rsidRDefault="004E2D10" w:rsidP="004E2D10">
            <w:pPr>
              <w:spacing w:line="240" w:lineRule="auto"/>
              <w:jc w:val="center"/>
              <w:rPr>
                <w:rFonts w:eastAsia="Times New Roman" w:cs="Times New Roman"/>
                <w:color w:val="000000" w:themeColor="text1"/>
                <w:sz w:val="12"/>
                <w:szCs w:val="12"/>
              </w:rPr>
            </w:pPr>
            <w:r w:rsidRPr="5B0C84B6">
              <w:rPr>
                <w:rFonts w:eastAsia="Times New Roman" w:cs="Times New Roman"/>
                <w:color w:val="000000" w:themeColor="text1"/>
                <w:sz w:val="12"/>
                <w:szCs w:val="12"/>
              </w:rPr>
              <w:t xml:space="preserve">1 2 3 G </w:t>
            </w:r>
          </w:p>
        </w:tc>
        <w:tc>
          <w:tcPr>
            <w:tcW w:w="851" w:type="dxa"/>
            <w:tcBorders>
              <w:top w:val="nil"/>
              <w:left w:val="nil"/>
              <w:bottom w:val="single" w:sz="4" w:space="0" w:color="auto"/>
              <w:right w:val="single" w:sz="4" w:space="0" w:color="auto"/>
            </w:tcBorders>
            <w:shd w:val="clear" w:color="auto" w:fill="FFFFFF" w:themeFill="background1"/>
            <w:vAlign w:val="center"/>
            <w:hideMark/>
          </w:tcPr>
          <w:p w14:paraId="3626882F" w14:textId="7ECCA06E" w:rsidR="004E2D10" w:rsidRPr="5B0C84B6" w:rsidRDefault="004E2D10" w:rsidP="004E2D10">
            <w:pPr>
              <w:spacing w:line="240" w:lineRule="auto"/>
              <w:rPr>
                <w:rFonts w:eastAsia="Times New Roman" w:cs="Times New Roman"/>
                <w:color w:val="000000" w:themeColor="text1"/>
                <w:sz w:val="12"/>
                <w:szCs w:val="12"/>
              </w:rPr>
            </w:pPr>
            <w:r w:rsidRPr="5B0C84B6">
              <w:rPr>
                <w:rFonts w:eastAsia="Times New Roman" w:cs="Times New Roman"/>
                <w:color w:val="000000" w:themeColor="text1"/>
                <w:sz w:val="12"/>
                <w:szCs w:val="12"/>
              </w:rPr>
              <w:t xml:space="preserve">Bogotá-Villavicencio </w:t>
            </w:r>
          </w:p>
        </w:tc>
        <w:tc>
          <w:tcPr>
            <w:tcW w:w="709" w:type="dxa"/>
            <w:tcBorders>
              <w:top w:val="nil"/>
              <w:left w:val="nil"/>
              <w:bottom w:val="single" w:sz="4" w:space="0" w:color="auto"/>
              <w:right w:val="single" w:sz="4" w:space="0" w:color="auto"/>
            </w:tcBorders>
            <w:shd w:val="clear" w:color="auto" w:fill="FFFFFF" w:themeFill="background1"/>
            <w:vAlign w:val="center"/>
          </w:tcPr>
          <w:p w14:paraId="6B13E2AE" w14:textId="61079B4F" w:rsidR="004E2D10" w:rsidRPr="5B0C84B6" w:rsidRDefault="004E2D10" w:rsidP="004E2D10">
            <w:pPr>
              <w:spacing w:line="240" w:lineRule="auto"/>
              <w:jc w:val="center"/>
              <w:rPr>
                <w:rFonts w:eastAsia="Times New Roman" w:cs="Times New Roman"/>
                <w:color w:val="000000" w:themeColor="text1"/>
                <w:sz w:val="12"/>
                <w:szCs w:val="12"/>
              </w:rPr>
            </w:pPr>
            <w:r w:rsidRPr="5B0C84B6">
              <w:rPr>
                <w:rFonts w:eastAsia="Times New Roman" w:cs="Times New Roman"/>
                <w:color w:val="000000" w:themeColor="text1"/>
                <w:sz w:val="12"/>
                <w:szCs w:val="12"/>
              </w:rPr>
              <w:t xml:space="preserve">800235872 </w:t>
            </w:r>
          </w:p>
        </w:tc>
        <w:tc>
          <w:tcPr>
            <w:tcW w:w="992" w:type="dxa"/>
            <w:tcBorders>
              <w:top w:val="nil"/>
              <w:left w:val="nil"/>
              <w:bottom w:val="single" w:sz="4" w:space="0" w:color="auto"/>
              <w:right w:val="single" w:sz="4" w:space="0" w:color="auto"/>
            </w:tcBorders>
            <w:shd w:val="clear" w:color="auto" w:fill="FFFFFF" w:themeFill="background1"/>
            <w:vAlign w:val="center"/>
          </w:tcPr>
          <w:p w14:paraId="564F7EBD" w14:textId="1263B3C5" w:rsidR="004E2D10" w:rsidRPr="5B0C84B6" w:rsidRDefault="004E2D10" w:rsidP="004E2D10">
            <w:pPr>
              <w:spacing w:line="240" w:lineRule="auto"/>
              <w:jc w:val="center"/>
              <w:rPr>
                <w:rFonts w:eastAsia="Times New Roman" w:cs="Times New Roman"/>
                <w:color w:val="000000" w:themeColor="text1"/>
                <w:sz w:val="12"/>
                <w:szCs w:val="12"/>
              </w:rPr>
            </w:pPr>
            <w:r w:rsidRPr="5B0C84B6">
              <w:rPr>
                <w:rFonts w:eastAsia="Times New Roman" w:cs="Times New Roman"/>
                <w:color w:val="000000" w:themeColor="text1"/>
                <w:sz w:val="12"/>
                <w:szCs w:val="12"/>
              </w:rPr>
              <w:t xml:space="preserve">444-1994 </w:t>
            </w:r>
          </w:p>
        </w:tc>
        <w:tc>
          <w:tcPr>
            <w:tcW w:w="851" w:type="dxa"/>
            <w:tcBorders>
              <w:top w:val="nil"/>
              <w:left w:val="nil"/>
              <w:bottom w:val="single" w:sz="4" w:space="0" w:color="auto"/>
              <w:right w:val="single" w:sz="4" w:space="0" w:color="auto"/>
            </w:tcBorders>
            <w:shd w:val="clear" w:color="auto" w:fill="FFFFFF" w:themeFill="background1"/>
            <w:vAlign w:val="center"/>
            <w:hideMark/>
          </w:tcPr>
          <w:p w14:paraId="0F542FE1" w14:textId="37BBDB59" w:rsidR="004E2D10" w:rsidRPr="5B0C84B6" w:rsidRDefault="004E2D10" w:rsidP="004E2D10">
            <w:pPr>
              <w:spacing w:line="240" w:lineRule="auto"/>
              <w:rPr>
                <w:rFonts w:eastAsia="Times New Roman" w:cs="Times New Roman"/>
                <w:color w:val="000000" w:themeColor="text1"/>
                <w:sz w:val="12"/>
                <w:szCs w:val="12"/>
              </w:rPr>
            </w:pPr>
            <w:r w:rsidRPr="5B0C84B6">
              <w:rPr>
                <w:rFonts w:eastAsia="Times New Roman" w:cs="Times New Roman"/>
                <w:color w:val="000000" w:themeColor="text1"/>
                <w:sz w:val="12"/>
                <w:szCs w:val="12"/>
              </w:rPr>
              <w:t xml:space="preserve">Concesionaria Vial De Los Andes S.A.S. Coviandes S.A.S. </w:t>
            </w:r>
          </w:p>
        </w:tc>
        <w:tc>
          <w:tcPr>
            <w:tcW w:w="567" w:type="dxa"/>
            <w:tcBorders>
              <w:top w:val="nil"/>
              <w:left w:val="nil"/>
              <w:bottom w:val="single" w:sz="4" w:space="0" w:color="auto"/>
              <w:right w:val="single" w:sz="4" w:space="0" w:color="auto"/>
            </w:tcBorders>
            <w:shd w:val="clear" w:color="auto" w:fill="FFFFFF" w:themeFill="background1"/>
            <w:vAlign w:val="center"/>
            <w:hideMark/>
          </w:tcPr>
          <w:p w14:paraId="2E557739" w14:textId="5EC71A49" w:rsidR="004E2D10" w:rsidRPr="5B0C84B6" w:rsidRDefault="004E2D10" w:rsidP="004E2D10">
            <w:pPr>
              <w:spacing w:line="240" w:lineRule="auto"/>
              <w:jc w:val="center"/>
              <w:rPr>
                <w:rFonts w:eastAsia="Times New Roman" w:cs="Times New Roman"/>
                <w:color w:val="000000" w:themeColor="text1"/>
                <w:sz w:val="12"/>
                <w:szCs w:val="12"/>
              </w:rPr>
            </w:pPr>
            <w:r w:rsidRPr="5B0C84B6">
              <w:rPr>
                <w:rFonts w:eastAsia="Times New Roman" w:cs="Times New Roman"/>
                <w:color w:val="000000" w:themeColor="text1"/>
                <w:sz w:val="12"/>
                <w:szCs w:val="12"/>
              </w:rPr>
              <w:t xml:space="preserve">4 </w:t>
            </w:r>
          </w:p>
        </w:tc>
        <w:tc>
          <w:tcPr>
            <w:tcW w:w="851" w:type="dxa"/>
            <w:tcBorders>
              <w:top w:val="nil"/>
              <w:left w:val="nil"/>
              <w:bottom w:val="single" w:sz="4" w:space="0" w:color="auto"/>
              <w:right w:val="single" w:sz="4" w:space="0" w:color="auto"/>
            </w:tcBorders>
            <w:shd w:val="clear" w:color="auto" w:fill="FFFFFF" w:themeFill="background1"/>
            <w:vAlign w:val="center"/>
            <w:hideMark/>
          </w:tcPr>
          <w:p w14:paraId="40777B39" w14:textId="2D3F6ED4" w:rsidR="004E2D10" w:rsidRPr="5B0C84B6" w:rsidRDefault="004E2D10" w:rsidP="004E2D10">
            <w:pPr>
              <w:spacing w:line="240" w:lineRule="auto"/>
              <w:rPr>
                <w:rFonts w:eastAsia="Times New Roman" w:cs="Times New Roman"/>
                <w:color w:val="000000" w:themeColor="text1"/>
                <w:sz w:val="12"/>
                <w:szCs w:val="12"/>
              </w:rPr>
            </w:pPr>
            <w:r w:rsidRPr="5B0C84B6">
              <w:rPr>
                <w:rFonts w:eastAsia="Times New Roman" w:cs="Times New Roman"/>
                <w:color w:val="000000" w:themeColor="text1"/>
                <w:sz w:val="12"/>
                <w:szCs w:val="12"/>
              </w:rPr>
              <w:t xml:space="preserve">Ip Chirajara - Fundadores </w:t>
            </w:r>
          </w:p>
        </w:tc>
        <w:tc>
          <w:tcPr>
            <w:tcW w:w="850" w:type="dxa"/>
            <w:tcBorders>
              <w:top w:val="nil"/>
              <w:left w:val="nil"/>
              <w:bottom w:val="single" w:sz="4" w:space="0" w:color="auto"/>
              <w:right w:val="single" w:sz="4" w:space="0" w:color="auto"/>
            </w:tcBorders>
            <w:shd w:val="clear" w:color="auto" w:fill="FFFFFF" w:themeFill="background1"/>
            <w:vAlign w:val="center"/>
            <w:hideMark/>
          </w:tcPr>
          <w:p w14:paraId="351A577F" w14:textId="1C057FEC" w:rsidR="004E2D10" w:rsidRPr="5B0C84B6" w:rsidRDefault="004E2D10" w:rsidP="004E2D10">
            <w:pPr>
              <w:spacing w:line="240" w:lineRule="auto"/>
              <w:jc w:val="center"/>
              <w:rPr>
                <w:rFonts w:eastAsia="Times New Roman" w:cs="Times New Roman"/>
                <w:color w:val="000000" w:themeColor="text1"/>
                <w:sz w:val="12"/>
                <w:szCs w:val="12"/>
              </w:rPr>
            </w:pPr>
            <w:r w:rsidRPr="5B0C84B6">
              <w:rPr>
                <w:rFonts w:eastAsia="Times New Roman" w:cs="Times New Roman"/>
                <w:color w:val="000000" w:themeColor="text1"/>
                <w:sz w:val="12"/>
                <w:szCs w:val="12"/>
              </w:rPr>
              <w:t xml:space="preserve">005-2015 </w:t>
            </w:r>
          </w:p>
        </w:tc>
        <w:tc>
          <w:tcPr>
            <w:tcW w:w="709" w:type="dxa"/>
            <w:tcBorders>
              <w:top w:val="nil"/>
              <w:left w:val="nil"/>
              <w:bottom w:val="single" w:sz="4" w:space="0" w:color="auto"/>
              <w:right w:val="single" w:sz="4" w:space="0" w:color="auto"/>
            </w:tcBorders>
            <w:shd w:val="clear" w:color="auto" w:fill="FFFFFF" w:themeFill="background1"/>
            <w:vAlign w:val="center"/>
            <w:hideMark/>
          </w:tcPr>
          <w:p w14:paraId="5AFEAF2F" w14:textId="3E4F0233" w:rsidR="004E2D10" w:rsidRPr="5B0C84B6" w:rsidRDefault="004E2D10" w:rsidP="004E2D10">
            <w:pPr>
              <w:spacing w:line="240" w:lineRule="auto"/>
              <w:jc w:val="center"/>
              <w:rPr>
                <w:rFonts w:eastAsia="Times New Roman" w:cs="Times New Roman"/>
                <w:color w:val="000000" w:themeColor="text1"/>
                <w:sz w:val="12"/>
                <w:szCs w:val="12"/>
              </w:rPr>
            </w:pPr>
            <w:r w:rsidRPr="5B0C84B6">
              <w:rPr>
                <w:rFonts w:eastAsia="Times New Roman" w:cs="Times New Roman"/>
                <w:color w:val="000000" w:themeColor="text1"/>
                <w:sz w:val="12"/>
                <w:szCs w:val="12"/>
              </w:rPr>
              <w:t xml:space="preserve">900.848.064 </w:t>
            </w:r>
          </w:p>
        </w:tc>
        <w:tc>
          <w:tcPr>
            <w:tcW w:w="850" w:type="dxa"/>
            <w:tcBorders>
              <w:top w:val="nil"/>
              <w:left w:val="nil"/>
              <w:bottom w:val="single" w:sz="4" w:space="0" w:color="auto"/>
              <w:right w:val="single" w:sz="4" w:space="0" w:color="auto"/>
            </w:tcBorders>
            <w:shd w:val="clear" w:color="auto" w:fill="FFFFFF" w:themeFill="background1"/>
            <w:vAlign w:val="center"/>
            <w:hideMark/>
          </w:tcPr>
          <w:p w14:paraId="4B66F594" w14:textId="623B5EB2" w:rsidR="004E2D10" w:rsidRPr="5B0C84B6" w:rsidRDefault="004E2D10" w:rsidP="004E2D10">
            <w:pPr>
              <w:spacing w:line="240" w:lineRule="auto"/>
              <w:rPr>
                <w:rFonts w:eastAsia="Times New Roman" w:cs="Times New Roman"/>
                <w:color w:val="000000" w:themeColor="text1"/>
                <w:sz w:val="12"/>
                <w:szCs w:val="12"/>
              </w:rPr>
            </w:pPr>
            <w:r w:rsidRPr="5B0C84B6">
              <w:rPr>
                <w:rFonts w:eastAsia="Times New Roman" w:cs="Times New Roman"/>
                <w:color w:val="000000" w:themeColor="text1"/>
                <w:sz w:val="12"/>
                <w:szCs w:val="12"/>
              </w:rPr>
              <w:t xml:space="preserve">Concesionaria Vial Andina S.A.S </w:t>
            </w:r>
          </w:p>
        </w:tc>
        <w:tc>
          <w:tcPr>
            <w:tcW w:w="985" w:type="dxa"/>
            <w:tcBorders>
              <w:top w:val="nil"/>
              <w:left w:val="nil"/>
              <w:bottom w:val="single" w:sz="4" w:space="0" w:color="auto"/>
              <w:right w:val="single" w:sz="4" w:space="0" w:color="auto"/>
            </w:tcBorders>
            <w:shd w:val="clear" w:color="auto" w:fill="FFFFFF" w:themeFill="background1"/>
            <w:vAlign w:val="center"/>
            <w:hideMark/>
          </w:tcPr>
          <w:p w14:paraId="76BC3612" w14:textId="47024E02" w:rsidR="004E2D10" w:rsidRPr="5B0C84B6" w:rsidRDefault="004E2D10" w:rsidP="004E2D10">
            <w:pPr>
              <w:spacing w:line="240" w:lineRule="auto"/>
              <w:jc w:val="right"/>
              <w:rPr>
                <w:rFonts w:eastAsia="Times New Roman" w:cs="Times New Roman"/>
                <w:color w:val="000000" w:themeColor="text1"/>
                <w:sz w:val="12"/>
                <w:szCs w:val="12"/>
              </w:rPr>
            </w:pPr>
            <w:r w:rsidRPr="5B0C84B6">
              <w:rPr>
                <w:rFonts w:eastAsia="Times New Roman" w:cs="Times New Roman"/>
                <w:color w:val="000000" w:themeColor="text1"/>
                <w:sz w:val="12"/>
                <w:szCs w:val="12"/>
              </w:rPr>
              <w:t>110.737.578.372</w:t>
            </w:r>
          </w:p>
        </w:tc>
      </w:tr>
      <w:tr w:rsidR="004E2D10" w:rsidRPr="00951AB1" w14:paraId="49FFEDCD" w14:textId="77777777" w:rsidTr="004E2D10">
        <w:trPr>
          <w:trHeight w:val="141"/>
        </w:trPr>
        <w:tc>
          <w:tcPr>
            <w:tcW w:w="561" w:type="dxa"/>
            <w:tcBorders>
              <w:top w:val="nil"/>
              <w:left w:val="single" w:sz="4" w:space="0" w:color="auto"/>
              <w:bottom w:val="single" w:sz="4" w:space="0" w:color="auto"/>
              <w:right w:val="single" w:sz="4" w:space="0" w:color="auto"/>
            </w:tcBorders>
            <w:vAlign w:val="center"/>
            <w:hideMark/>
          </w:tcPr>
          <w:p w14:paraId="5F5A497B" w14:textId="77777777" w:rsidR="004E2D10" w:rsidRPr="00951AB1" w:rsidRDefault="004E2D10" w:rsidP="004E2D10">
            <w:pPr>
              <w:spacing w:line="240" w:lineRule="auto"/>
              <w:jc w:val="center"/>
              <w:rPr>
                <w:rFonts w:eastAsia="Times New Roman" w:cs="Times New Roman"/>
                <w:color w:val="000000"/>
                <w:kern w:val="0"/>
                <w:sz w:val="12"/>
                <w:szCs w:val="12"/>
                <w:lang w:eastAsia="es-CO"/>
                <w14:ligatures w14:val="none"/>
              </w:rPr>
            </w:pPr>
            <w:r w:rsidRPr="00951AB1">
              <w:rPr>
                <w:rFonts w:eastAsia="Times New Roman" w:cs="Times New Roman"/>
                <w:color w:val="000000"/>
                <w:kern w:val="0"/>
                <w:sz w:val="12"/>
                <w:szCs w:val="12"/>
                <w:lang w:eastAsia="es-CO"/>
                <w14:ligatures w14:val="none"/>
              </w:rPr>
              <w:t>3</w:t>
            </w:r>
          </w:p>
        </w:tc>
        <w:tc>
          <w:tcPr>
            <w:tcW w:w="709" w:type="dxa"/>
            <w:tcBorders>
              <w:top w:val="nil"/>
              <w:left w:val="nil"/>
              <w:bottom w:val="single" w:sz="4" w:space="0" w:color="auto"/>
              <w:right w:val="single" w:sz="4" w:space="0" w:color="auto"/>
            </w:tcBorders>
            <w:vAlign w:val="center"/>
            <w:hideMark/>
          </w:tcPr>
          <w:p w14:paraId="0CE2E689" w14:textId="75294FC8" w:rsidR="004E2D10" w:rsidRPr="5B0C84B6" w:rsidRDefault="004E2D10" w:rsidP="004E2D10">
            <w:pPr>
              <w:spacing w:line="240" w:lineRule="auto"/>
              <w:jc w:val="center"/>
              <w:rPr>
                <w:rFonts w:eastAsia="Times New Roman" w:cs="Times New Roman"/>
                <w:color w:val="000000" w:themeColor="text1"/>
                <w:sz w:val="12"/>
                <w:szCs w:val="12"/>
              </w:rPr>
            </w:pPr>
            <w:r w:rsidRPr="5B0C84B6">
              <w:rPr>
                <w:rFonts w:eastAsia="Times New Roman" w:cs="Times New Roman"/>
                <w:color w:val="000000" w:themeColor="text1"/>
                <w:sz w:val="12"/>
                <w:szCs w:val="12"/>
              </w:rPr>
              <w:t xml:space="preserve">1 2 3 G </w:t>
            </w:r>
          </w:p>
        </w:tc>
        <w:tc>
          <w:tcPr>
            <w:tcW w:w="851" w:type="dxa"/>
            <w:tcBorders>
              <w:top w:val="nil"/>
              <w:left w:val="nil"/>
              <w:bottom w:val="single" w:sz="4" w:space="0" w:color="auto"/>
              <w:right w:val="single" w:sz="4" w:space="0" w:color="auto"/>
            </w:tcBorders>
            <w:shd w:val="clear" w:color="auto" w:fill="FFFFFF" w:themeFill="background1"/>
            <w:vAlign w:val="center"/>
            <w:hideMark/>
          </w:tcPr>
          <w:p w14:paraId="349CC5B5" w14:textId="7513B252" w:rsidR="004E2D10" w:rsidRPr="5B0C84B6" w:rsidRDefault="004E2D10" w:rsidP="004E2D10">
            <w:pPr>
              <w:spacing w:line="240" w:lineRule="auto"/>
              <w:rPr>
                <w:rFonts w:eastAsia="Times New Roman" w:cs="Times New Roman"/>
                <w:color w:val="000000" w:themeColor="text1"/>
                <w:sz w:val="12"/>
                <w:szCs w:val="12"/>
              </w:rPr>
            </w:pPr>
            <w:r w:rsidRPr="5B0C84B6">
              <w:rPr>
                <w:rFonts w:eastAsia="Times New Roman" w:cs="Times New Roman"/>
                <w:color w:val="000000" w:themeColor="text1"/>
                <w:sz w:val="12"/>
                <w:szCs w:val="12"/>
              </w:rPr>
              <w:t xml:space="preserve">Girardot-Ibague-Cajamarca </w:t>
            </w:r>
          </w:p>
        </w:tc>
        <w:tc>
          <w:tcPr>
            <w:tcW w:w="709" w:type="dxa"/>
            <w:tcBorders>
              <w:top w:val="nil"/>
              <w:left w:val="nil"/>
              <w:bottom w:val="single" w:sz="4" w:space="0" w:color="auto"/>
              <w:right w:val="single" w:sz="4" w:space="0" w:color="auto"/>
            </w:tcBorders>
            <w:shd w:val="clear" w:color="auto" w:fill="FFFFFF" w:themeFill="background1"/>
            <w:vAlign w:val="center"/>
          </w:tcPr>
          <w:p w14:paraId="1AC304E0" w14:textId="7BDE0561" w:rsidR="004E2D10" w:rsidRPr="5B0C84B6" w:rsidRDefault="004E2D10" w:rsidP="004E2D10">
            <w:pPr>
              <w:spacing w:line="240" w:lineRule="auto"/>
              <w:jc w:val="center"/>
              <w:rPr>
                <w:rFonts w:eastAsia="Times New Roman" w:cs="Times New Roman"/>
                <w:color w:val="000000" w:themeColor="text1"/>
                <w:sz w:val="12"/>
                <w:szCs w:val="12"/>
              </w:rPr>
            </w:pPr>
            <w:r w:rsidRPr="5B0C84B6">
              <w:rPr>
                <w:rFonts w:eastAsia="Times New Roman" w:cs="Times New Roman"/>
                <w:color w:val="000000" w:themeColor="text1"/>
                <w:sz w:val="12"/>
                <w:szCs w:val="12"/>
              </w:rPr>
              <w:t xml:space="preserve">900164310 </w:t>
            </w:r>
          </w:p>
        </w:tc>
        <w:tc>
          <w:tcPr>
            <w:tcW w:w="992" w:type="dxa"/>
            <w:tcBorders>
              <w:top w:val="nil"/>
              <w:left w:val="nil"/>
              <w:bottom w:val="single" w:sz="4" w:space="0" w:color="auto"/>
              <w:right w:val="single" w:sz="4" w:space="0" w:color="auto"/>
            </w:tcBorders>
            <w:shd w:val="clear" w:color="auto" w:fill="FFFFFF" w:themeFill="background1"/>
            <w:vAlign w:val="center"/>
          </w:tcPr>
          <w:p w14:paraId="23F18B32" w14:textId="15F43974" w:rsidR="004E2D10" w:rsidRPr="5B0C84B6" w:rsidRDefault="004E2D10" w:rsidP="004E2D10">
            <w:pPr>
              <w:spacing w:line="240" w:lineRule="auto"/>
              <w:jc w:val="center"/>
              <w:rPr>
                <w:rFonts w:eastAsia="Times New Roman" w:cs="Times New Roman"/>
                <w:color w:val="000000" w:themeColor="text1"/>
                <w:sz w:val="12"/>
                <w:szCs w:val="12"/>
              </w:rPr>
            </w:pPr>
            <w:r w:rsidRPr="5B0C84B6">
              <w:rPr>
                <w:rFonts w:eastAsia="Times New Roman" w:cs="Times New Roman"/>
                <w:color w:val="000000" w:themeColor="text1"/>
                <w:sz w:val="12"/>
                <w:szCs w:val="12"/>
              </w:rPr>
              <w:t xml:space="preserve">007-2007 </w:t>
            </w:r>
          </w:p>
        </w:tc>
        <w:tc>
          <w:tcPr>
            <w:tcW w:w="851" w:type="dxa"/>
            <w:tcBorders>
              <w:top w:val="nil"/>
              <w:left w:val="nil"/>
              <w:bottom w:val="single" w:sz="4" w:space="0" w:color="auto"/>
              <w:right w:val="single" w:sz="4" w:space="0" w:color="auto"/>
            </w:tcBorders>
            <w:shd w:val="clear" w:color="auto" w:fill="FFFFFF" w:themeFill="background1"/>
            <w:vAlign w:val="center"/>
            <w:hideMark/>
          </w:tcPr>
          <w:p w14:paraId="42422EC8" w14:textId="2C729164" w:rsidR="004E2D10" w:rsidRPr="5B0C84B6" w:rsidRDefault="004E2D10" w:rsidP="004E2D10">
            <w:pPr>
              <w:spacing w:line="240" w:lineRule="auto"/>
              <w:rPr>
                <w:rFonts w:eastAsia="Times New Roman" w:cs="Times New Roman"/>
                <w:color w:val="000000" w:themeColor="text1"/>
                <w:sz w:val="12"/>
                <w:szCs w:val="12"/>
              </w:rPr>
            </w:pPr>
            <w:r w:rsidRPr="5B0C84B6">
              <w:rPr>
                <w:rFonts w:eastAsia="Times New Roman" w:cs="Times New Roman"/>
                <w:color w:val="000000" w:themeColor="text1"/>
                <w:sz w:val="12"/>
                <w:szCs w:val="12"/>
              </w:rPr>
              <w:t xml:space="preserve">Concesionaria San Rafael S A </w:t>
            </w:r>
          </w:p>
        </w:tc>
        <w:tc>
          <w:tcPr>
            <w:tcW w:w="567" w:type="dxa"/>
            <w:tcBorders>
              <w:top w:val="nil"/>
              <w:left w:val="nil"/>
              <w:bottom w:val="single" w:sz="4" w:space="0" w:color="auto"/>
              <w:right w:val="single" w:sz="4" w:space="0" w:color="auto"/>
            </w:tcBorders>
            <w:shd w:val="clear" w:color="auto" w:fill="FFFFFF" w:themeFill="background1"/>
            <w:vAlign w:val="center"/>
            <w:hideMark/>
          </w:tcPr>
          <w:p w14:paraId="7AB15AB5" w14:textId="1D029139" w:rsidR="004E2D10" w:rsidRPr="5B0C84B6" w:rsidRDefault="004E2D10" w:rsidP="004E2D10">
            <w:pPr>
              <w:spacing w:line="240" w:lineRule="auto"/>
              <w:jc w:val="center"/>
              <w:rPr>
                <w:rFonts w:eastAsia="Times New Roman" w:cs="Times New Roman"/>
                <w:color w:val="000000" w:themeColor="text1"/>
                <w:sz w:val="12"/>
                <w:szCs w:val="12"/>
              </w:rPr>
            </w:pPr>
            <w:r w:rsidRPr="5B0C84B6">
              <w:rPr>
                <w:rFonts w:eastAsia="Times New Roman" w:cs="Times New Roman"/>
                <w:color w:val="000000" w:themeColor="text1"/>
                <w:sz w:val="12"/>
                <w:szCs w:val="12"/>
              </w:rPr>
              <w:t xml:space="preserve">4 </w:t>
            </w:r>
          </w:p>
        </w:tc>
        <w:tc>
          <w:tcPr>
            <w:tcW w:w="851" w:type="dxa"/>
            <w:tcBorders>
              <w:top w:val="nil"/>
              <w:left w:val="nil"/>
              <w:bottom w:val="single" w:sz="4" w:space="0" w:color="auto"/>
              <w:right w:val="single" w:sz="4" w:space="0" w:color="auto"/>
            </w:tcBorders>
            <w:shd w:val="clear" w:color="auto" w:fill="FFFFFF" w:themeFill="background1"/>
            <w:vAlign w:val="center"/>
            <w:hideMark/>
          </w:tcPr>
          <w:p w14:paraId="4C1769B8" w14:textId="3D0CC2CF" w:rsidR="004E2D10" w:rsidRPr="5B0C84B6" w:rsidRDefault="004E2D10" w:rsidP="004E2D10">
            <w:pPr>
              <w:spacing w:line="240" w:lineRule="auto"/>
              <w:rPr>
                <w:rFonts w:eastAsia="Times New Roman" w:cs="Times New Roman"/>
                <w:color w:val="000000" w:themeColor="text1"/>
                <w:sz w:val="12"/>
                <w:szCs w:val="12"/>
              </w:rPr>
            </w:pPr>
            <w:r w:rsidRPr="5B0C84B6">
              <w:rPr>
                <w:rFonts w:eastAsia="Times New Roman" w:cs="Times New Roman"/>
                <w:color w:val="000000" w:themeColor="text1"/>
                <w:sz w:val="12"/>
                <w:szCs w:val="12"/>
              </w:rPr>
              <w:t xml:space="preserve">APP GICA </w:t>
            </w:r>
          </w:p>
        </w:tc>
        <w:tc>
          <w:tcPr>
            <w:tcW w:w="850" w:type="dxa"/>
            <w:tcBorders>
              <w:top w:val="nil"/>
              <w:left w:val="nil"/>
              <w:bottom w:val="single" w:sz="4" w:space="0" w:color="auto"/>
              <w:right w:val="single" w:sz="4" w:space="0" w:color="auto"/>
            </w:tcBorders>
            <w:shd w:val="clear" w:color="auto" w:fill="FFFFFF" w:themeFill="background1"/>
            <w:vAlign w:val="center"/>
            <w:hideMark/>
          </w:tcPr>
          <w:p w14:paraId="6721A122" w14:textId="537841BC" w:rsidR="004E2D10" w:rsidRPr="5B0C84B6" w:rsidRDefault="004E2D10" w:rsidP="004E2D10">
            <w:pPr>
              <w:spacing w:line="240" w:lineRule="auto"/>
              <w:jc w:val="center"/>
              <w:rPr>
                <w:rFonts w:eastAsia="Times New Roman" w:cs="Times New Roman"/>
                <w:color w:val="000000" w:themeColor="text1"/>
                <w:sz w:val="12"/>
                <w:szCs w:val="12"/>
              </w:rPr>
            </w:pPr>
            <w:r w:rsidRPr="5B0C84B6">
              <w:rPr>
                <w:rFonts w:eastAsia="Times New Roman" w:cs="Times New Roman"/>
                <w:color w:val="000000" w:themeColor="text1"/>
                <w:sz w:val="12"/>
                <w:szCs w:val="12"/>
              </w:rPr>
              <w:t xml:space="preserve">002-2015 </w:t>
            </w:r>
          </w:p>
        </w:tc>
        <w:tc>
          <w:tcPr>
            <w:tcW w:w="709" w:type="dxa"/>
            <w:tcBorders>
              <w:top w:val="nil"/>
              <w:left w:val="nil"/>
              <w:bottom w:val="single" w:sz="4" w:space="0" w:color="auto"/>
              <w:right w:val="single" w:sz="4" w:space="0" w:color="auto"/>
            </w:tcBorders>
            <w:shd w:val="clear" w:color="auto" w:fill="FFFFFF" w:themeFill="background1"/>
            <w:vAlign w:val="center"/>
            <w:hideMark/>
          </w:tcPr>
          <w:p w14:paraId="5F0F755B" w14:textId="7BE452EC" w:rsidR="004E2D10" w:rsidRPr="5B0C84B6" w:rsidRDefault="004E2D10" w:rsidP="004E2D10">
            <w:pPr>
              <w:spacing w:line="240" w:lineRule="auto"/>
              <w:jc w:val="center"/>
              <w:rPr>
                <w:rFonts w:eastAsia="Times New Roman" w:cs="Times New Roman"/>
                <w:color w:val="000000" w:themeColor="text1"/>
                <w:sz w:val="12"/>
                <w:szCs w:val="12"/>
              </w:rPr>
            </w:pPr>
            <w:r w:rsidRPr="5B0C84B6">
              <w:rPr>
                <w:rFonts w:eastAsia="Times New Roman" w:cs="Times New Roman"/>
                <w:color w:val="000000" w:themeColor="text1"/>
                <w:sz w:val="12"/>
                <w:szCs w:val="12"/>
              </w:rPr>
              <w:t xml:space="preserve">900.816.750 </w:t>
            </w:r>
          </w:p>
        </w:tc>
        <w:tc>
          <w:tcPr>
            <w:tcW w:w="850" w:type="dxa"/>
            <w:tcBorders>
              <w:top w:val="nil"/>
              <w:left w:val="nil"/>
              <w:bottom w:val="single" w:sz="4" w:space="0" w:color="auto"/>
              <w:right w:val="single" w:sz="4" w:space="0" w:color="auto"/>
            </w:tcBorders>
            <w:shd w:val="clear" w:color="auto" w:fill="FFFFFF" w:themeFill="background1"/>
            <w:vAlign w:val="center"/>
            <w:hideMark/>
          </w:tcPr>
          <w:p w14:paraId="4CDDD5BB" w14:textId="10E12425" w:rsidR="004E2D10" w:rsidRPr="5B0C84B6" w:rsidRDefault="004E2D10" w:rsidP="004E2D10">
            <w:pPr>
              <w:spacing w:line="240" w:lineRule="auto"/>
              <w:rPr>
                <w:rFonts w:eastAsia="Times New Roman" w:cs="Times New Roman"/>
                <w:color w:val="000000" w:themeColor="text1"/>
                <w:sz w:val="12"/>
                <w:szCs w:val="12"/>
              </w:rPr>
            </w:pPr>
            <w:r w:rsidRPr="5B0C84B6">
              <w:rPr>
                <w:rFonts w:eastAsia="Times New Roman" w:cs="Times New Roman"/>
                <w:color w:val="000000" w:themeColor="text1"/>
                <w:sz w:val="12"/>
                <w:szCs w:val="12"/>
              </w:rPr>
              <w:t xml:space="preserve">App Gica S.A.S </w:t>
            </w:r>
          </w:p>
        </w:tc>
        <w:tc>
          <w:tcPr>
            <w:tcW w:w="985" w:type="dxa"/>
            <w:tcBorders>
              <w:top w:val="nil"/>
              <w:left w:val="nil"/>
              <w:bottom w:val="single" w:sz="4" w:space="0" w:color="auto"/>
              <w:right w:val="single" w:sz="4" w:space="0" w:color="auto"/>
            </w:tcBorders>
            <w:shd w:val="clear" w:color="auto" w:fill="FFFFFF" w:themeFill="background1"/>
            <w:vAlign w:val="center"/>
            <w:hideMark/>
          </w:tcPr>
          <w:p w14:paraId="6A170FEE" w14:textId="301D2D24" w:rsidR="004E2D10" w:rsidRPr="5B0C84B6" w:rsidRDefault="004E2D10" w:rsidP="004E2D10">
            <w:pPr>
              <w:spacing w:line="240" w:lineRule="auto"/>
              <w:jc w:val="right"/>
              <w:rPr>
                <w:rFonts w:eastAsia="Times New Roman" w:cs="Times New Roman"/>
                <w:color w:val="000000" w:themeColor="text1"/>
                <w:sz w:val="12"/>
                <w:szCs w:val="12"/>
              </w:rPr>
            </w:pPr>
            <w:r w:rsidRPr="5B0C84B6">
              <w:rPr>
                <w:rFonts w:eastAsia="Times New Roman" w:cs="Times New Roman"/>
                <w:color w:val="000000" w:themeColor="text1"/>
                <w:sz w:val="12"/>
                <w:szCs w:val="12"/>
              </w:rPr>
              <w:t>48.961.015.242</w:t>
            </w:r>
          </w:p>
        </w:tc>
      </w:tr>
      <w:tr w:rsidR="004E2D10" w:rsidRPr="00951AB1" w14:paraId="37408BF7" w14:textId="77777777" w:rsidTr="004E2D10">
        <w:trPr>
          <w:trHeight w:val="971"/>
        </w:trPr>
        <w:tc>
          <w:tcPr>
            <w:tcW w:w="561" w:type="dxa"/>
            <w:tcBorders>
              <w:top w:val="nil"/>
              <w:left w:val="single" w:sz="4" w:space="0" w:color="auto"/>
              <w:bottom w:val="single" w:sz="4" w:space="0" w:color="auto"/>
              <w:right w:val="single" w:sz="4" w:space="0" w:color="auto"/>
            </w:tcBorders>
            <w:vAlign w:val="center"/>
            <w:hideMark/>
          </w:tcPr>
          <w:p w14:paraId="7A52B68C" w14:textId="77777777" w:rsidR="004E2D10" w:rsidRPr="00951AB1" w:rsidRDefault="004E2D10" w:rsidP="004E2D10">
            <w:pPr>
              <w:spacing w:line="240" w:lineRule="auto"/>
              <w:jc w:val="center"/>
              <w:rPr>
                <w:rFonts w:eastAsia="Times New Roman" w:cs="Times New Roman"/>
                <w:color w:val="000000"/>
                <w:kern w:val="0"/>
                <w:sz w:val="12"/>
                <w:szCs w:val="12"/>
                <w:lang w:eastAsia="es-CO"/>
                <w14:ligatures w14:val="none"/>
              </w:rPr>
            </w:pPr>
            <w:r w:rsidRPr="00951AB1">
              <w:rPr>
                <w:rFonts w:eastAsia="Times New Roman" w:cs="Times New Roman"/>
                <w:color w:val="000000"/>
                <w:kern w:val="0"/>
                <w:sz w:val="12"/>
                <w:szCs w:val="12"/>
                <w:lang w:eastAsia="es-CO"/>
                <w14:ligatures w14:val="none"/>
              </w:rPr>
              <w:t>4</w:t>
            </w:r>
          </w:p>
        </w:tc>
        <w:tc>
          <w:tcPr>
            <w:tcW w:w="709" w:type="dxa"/>
            <w:tcBorders>
              <w:top w:val="nil"/>
              <w:left w:val="nil"/>
              <w:bottom w:val="single" w:sz="4" w:space="0" w:color="auto"/>
              <w:right w:val="single" w:sz="4" w:space="0" w:color="auto"/>
            </w:tcBorders>
            <w:vAlign w:val="center"/>
            <w:hideMark/>
          </w:tcPr>
          <w:p w14:paraId="28960750" w14:textId="393E5BF0" w:rsidR="004E2D10" w:rsidRPr="5B0C84B6" w:rsidRDefault="004E2D10" w:rsidP="004E2D10">
            <w:pPr>
              <w:spacing w:line="240" w:lineRule="auto"/>
              <w:jc w:val="center"/>
              <w:rPr>
                <w:rFonts w:eastAsia="Times New Roman" w:cs="Times New Roman"/>
                <w:color w:val="000000" w:themeColor="text1"/>
                <w:sz w:val="12"/>
                <w:szCs w:val="12"/>
              </w:rPr>
            </w:pPr>
            <w:r w:rsidRPr="5B0C84B6">
              <w:rPr>
                <w:rFonts w:eastAsia="Times New Roman" w:cs="Times New Roman"/>
                <w:color w:val="000000" w:themeColor="text1"/>
                <w:sz w:val="12"/>
                <w:szCs w:val="12"/>
              </w:rPr>
              <w:t xml:space="preserve">1G </w:t>
            </w:r>
          </w:p>
        </w:tc>
        <w:tc>
          <w:tcPr>
            <w:tcW w:w="851" w:type="dxa"/>
            <w:tcBorders>
              <w:top w:val="nil"/>
              <w:left w:val="nil"/>
              <w:bottom w:val="single" w:sz="4" w:space="0" w:color="auto"/>
              <w:right w:val="single" w:sz="4" w:space="0" w:color="auto"/>
            </w:tcBorders>
            <w:shd w:val="clear" w:color="auto" w:fill="FFFFFF" w:themeFill="background1"/>
            <w:vAlign w:val="center"/>
            <w:hideMark/>
          </w:tcPr>
          <w:p w14:paraId="46CC851C" w14:textId="58B3C87E" w:rsidR="004E2D10" w:rsidRPr="5B0C84B6" w:rsidRDefault="004E2D10" w:rsidP="004E2D10">
            <w:pPr>
              <w:spacing w:line="240" w:lineRule="auto"/>
              <w:rPr>
                <w:rFonts w:eastAsia="Times New Roman" w:cs="Times New Roman"/>
                <w:color w:val="000000" w:themeColor="text1"/>
                <w:sz w:val="12"/>
                <w:szCs w:val="12"/>
              </w:rPr>
            </w:pPr>
            <w:r w:rsidRPr="5B0C84B6">
              <w:rPr>
                <w:rFonts w:eastAsia="Times New Roman" w:cs="Times New Roman"/>
                <w:color w:val="000000" w:themeColor="text1"/>
                <w:sz w:val="12"/>
                <w:szCs w:val="12"/>
              </w:rPr>
              <w:t xml:space="preserve">Bogotá - Girardot  </w:t>
            </w:r>
          </w:p>
        </w:tc>
        <w:tc>
          <w:tcPr>
            <w:tcW w:w="709" w:type="dxa"/>
            <w:tcBorders>
              <w:top w:val="nil"/>
              <w:left w:val="nil"/>
              <w:bottom w:val="single" w:sz="4" w:space="0" w:color="auto"/>
              <w:right w:val="single" w:sz="4" w:space="0" w:color="auto"/>
            </w:tcBorders>
            <w:shd w:val="clear" w:color="auto" w:fill="FFFFFF" w:themeFill="background1"/>
            <w:vAlign w:val="center"/>
          </w:tcPr>
          <w:p w14:paraId="61F696FA" w14:textId="0F8158B8" w:rsidR="004E2D10" w:rsidRPr="5B0C84B6" w:rsidRDefault="004E2D10" w:rsidP="004E2D10">
            <w:pPr>
              <w:spacing w:line="240" w:lineRule="auto"/>
              <w:jc w:val="center"/>
              <w:rPr>
                <w:rFonts w:eastAsia="Times New Roman" w:cs="Times New Roman"/>
                <w:color w:val="000000" w:themeColor="text1"/>
                <w:sz w:val="12"/>
                <w:szCs w:val="12"/>
              </w:rPr>
            </w:pPr>
            <w:r w:rsidRPr="5B0C84B6">
              <w:rPr>
                <w:rFonts w:eastAsia="Times New Roman" w:cs="Times New Roman"/>
                <w:color w:val="000000" w:themeColor="text1"/>
                <w:sz w:val="12"/>
                <w:szCs w:val="12"/>
              </w:rPr>
              <w:t xml:space="preserve">830143442 </w:t>
            </w:r>
          </w:p>
        </w:tc>
        <w:tc>
          <w:tcPr>
            <w:tcW w:w="992" w:type="dxa"/>
            <w:tcBorders>
              <w:top w:val="nil"/>
              <w:left w:val="nil"/>
              <w:bottom w:val="single" w:sz="4" w:space="0" w:color="auto"/>
              <w:right w:val="single" w:sz="4" w:space="0" w:color="auto"/>
            </w:tcBorders>
            <w:shd w:val="clear" w:color="auto" w:fill="FFFFFF" w:themeFill="background1"/>
            <w:vAlign w:val="center"/>
          </w:tcPr>
          <w:p w14:paraId="78EFA509" w14:textId="554CC30C" w:rsidR="004E2D10" w:rsidRPr="5B0C84B6" w:rsidRDefault="004E2D10" w:rsidP="004E2D10">
            <w:pPr>
              <w:spacing w:line="240" w:lineRule="auto"/>
              <w:jc w:val="center"/>
              <w:rPr>
                <w:rFonts w:eastAsia="Times New Roman" w:cs="Times New Roman"/>
                <w:color w:val="000000" w:themeColor="text1"/>
                <w:sz w:val="12"/>
                <w:szCs w:val="12"/>
              </w:rPr>
            </w:pPr>
            <w:r w:rsidRPr="5B0C84B6">
              <w:rPr>
                <w:rFonts w:eastAsia="Times New Roman" w:cs="Times New Roman"/>
                <w:color w:val="000000" w:themeColor="text1"/>
                <w:sz w:val="12"/>
                <w:szCs w:val="12"/>
              </w:rPr>
              <w:t xml:space="preserve">GG-040-2004 </w:t>
            </w:r>
          </w:p>
        </w:tc>
        <w:tc>
          <w:tcPr>
            <w:tcW w:w="851" w:type="dxa"/>
            <w:tcBorders>
              <w:top w:val="nil"/>
              <w:left w:val="nil"/>
              <w:bottom w:val="single" w:sz="4" w:space="0" w:color="auto"/>
              <w:right w:val="single" w:sz="4" w:space="0" w:color="auto"/>
            </w:tcBorders>
            <w:shd w:val="clear" w:color="auto" w:fill="FFFFFF" w:themeFill="background1"/>
            <w:vAlign w:val="center"/>
            <w:hideMark/>
          </w:tcPr>
          <w:p w14:paraId="5CBA3DA8" w14:textId="2CA8BF4C" w:rsidR="004E2D10" w:rsidRPr="5B0C84B6" w:rsidRDefault="004E2D10" w:rsidP="004E2D10">
            <w:pPr>
              <w:spacing w:line="240" w:lineRule="auto"/>
              <w:rPr>
                <w:rFonts w:eastAsia="Times New Roman" w:cs="Times New Roman"/>
                <w:color w:val="000000" w:themeColor="text1"/>
                <w:sz w:val="12"/>
                <w:szCs w:val="12"/>
              </w:rPr>
            </w:pPr>
            <w:r w:rsidRPr="5B0C84B6">
              <w:rPr>
                <w:rFonts w:eastAsia="Times New Roman" w:cs="Times New Roman"/>
                <w:color w:val="000000" w:themeColor="text1"/>
                <w:sz w:val="12"/>
                <w:szCs w:val="12"/>
              </w:rPr>
              <w:t xml:space="preserve">Autopista-Bogota Girardot </w:t>
            </w:r>
          </w:p>
        </w:tc>
        <w:tc>
          <w:tcPr>
            <w:tcW w:w="567" w:type="dxa"/>
            <w:tcBorders>
              <w:top w:val="nil"/>
              <w:left w:val="nil"/>
              <w:bottom w:val="single" w:sz="4" w:space="0" w:color="auto"/>
              <w:right w:val="single" w:sz="4" w:space="0" w:color="auto"/>
            </w:tcBorders>
            <w:shd w:val="clear" w:color="auto" w:fill="FFFFFF" w:themeFill="background1"/>
            <w:vAlign w:val="center"/>
            <w:hideMark/>
          </w:tcPr>
          <w:p w14:paraId="13F21E3F" w14:textId="47482437" w:rsidR="004E2D10" w:rsidRPr="5B0C84B6" w:rsidRDefault="004E2D10" w:rsidP="004E2D10">
            <w:pPr>
              <w:spacing w:line="240" w:lineRule="auto"/>
              <w:jc w:val="center"/>
              <w:rPr>
                <w:rFonts w:eastAsia="Times New Roman" w:cs="Times New Roman"/>
                <w:color w:val="000000" w:themeColor="text1"/>
                <w:sz w:val="12"/>
                <w:szCs w:val="12"/>
              </w:rPr>
            </w:pPr>
            <w:r w:rsidRPr="5B0C84B6">
              <w:rPr>
                <w:rFonts w:eastAsia="Times New Roman" w:cs="Times New Roman"/>
                <w:color w:val="000000" w:themeColor="text1"/>
                <w:sz w:val="12"/>
                <w:szCs w:val="12"/>
              </w:rPr>
              <w:t xml:space="preserve">4 </w:t>
            </w:r>
          </w:p>
        </w:tc>
        <w:tc>
          <w:tcPr>
            <w:tcW w:w="851" w:type="dxa"/>
            <w:tcBorders>
              <w:top w:val="nil"/>
              <w:left w:val="nil"/>
              <w:bottom w:val="single" w:sz="4" w:space="0" w:color="auto"/>
              <w:right w:val="single" w:sz="4" w:space="0" w:color="auto"/>
            </w:tcBorders>
            <w:shd w:val="clear" w:color="auto" w:fill="FFFFFF" w:themeFill="background1"/>
            <w:vAlign w:val="center"/>
            <w:hideMark/>
          </w:tcPr>
          <w:p w14:paraId="44679816" w14:textId="7BC505E9" w:rsidR="004E2D10" w:rsidRPr="5B0C84B6" w:rsidRDefault="004E2D10" w:rsidP="004E2D10">
            <w:pPr>
              <w:spacing w:line="240" w:lineRule="auto"/>
              <w:rPr>
                <w:rFonts w:eastAsia="Times New Roman" w:cs="Times New Roman"/>
                <w:color w:val="000000" w:themeColor="text1"/>
                <w:sz w:val="12"/>
                <w:szCs w:val="12"/>
              </w:rPr>
            </w:pPr>
            <w:r w:rsidRPr="5B0C84B6">
              <w:rPr>
                <w:rFonts w:eastAsia="Times New Roman" w:cs="Times New Roman"/>
                <w:color w:val="000000" w:themeColor="text1"/>
                <w:sz w:val="12"/>
                <w:szCs w:val="12"/>
              </w:rPr>
              <w:t xml:space="preserve">Bosa-Granada Girardot </w:t>
            </w:r>
          </w:p>
        </w:tc>
        <w:tc>
          <w:tcPr>
            <w:tcW w:w="850" w:type="dxa"/>
            <w:tcBorders>
              <w:top w:val="nil"/>
              <w:left w:val="nil"/>
              <w:bottom w:val="single" w:sz="4" w:space="0" w:color="auto"/>
              <w:right w:val="single" w:sz="4" w:space="0" w:color="auto"/>
            </w:tcBorders>
            <w:shd w:val="clear" w:color="auto" w:fill="FFFFFF" w:themeFill="background1"/>
            <w:vAlign w:val="center"/>
            <w:hideMark/>
          </w:tcPr>
          <w:p w14:paraId="78363F4E" w14:textId="1DFB3EA3" w:rsidR="004E2D10" w:rsidRPr="5B0C84B6" w:rsidRDefault="004E2D10" w:rsidP="004E2D10">
            <w:pPr>
              <w:spacing w:line="240" w:lineRule="auto"/>
              <w:jc w:val="center"/>
              <w:rPr>
                <w:rFonts w:eastAsia="Times New Roman" w:cs="Times New Roman"/>
                <w:color w:val="000000" w:themeColor="text1"/>
                <w:sz w:val="12"/>
                <w:szCs w:val="12"/>
              </w:rPr>
            </w:pPr>
            <w:r w:rsidRPr="5B0C84B6">
              <w:rPr>
                <w:rFonts w:eastAsia="Times New Roman" w:cs="Times New Roman"/>
                <w:color w:val="000000" w:themeColor="text1"/>
                <w:sz w:val="12"/>
                <w:szCs w:val="12"/>
              </w:rPr>
              <w:t xml:space="preserve">004-2016 </w:t>
            </w:r>
          </w:p>
        </w:tc>
        <w:tc>
          <w:tcPr>
            <w:tcW w:w="709" w:type="dxa"/>
            <w:tcBorders>
              <w:top w:val="nil"/>
              <w:left w:val="nil"/>
              <w:bottom w:val="single" w:sz="4" w:space="0" w:color="auto"/>
              <w:right w:val="single" w:sz="4" w:space="0" w:color="auto"/>
            </w:tcBorders>
            <w:shd w:val="clear" w:color="auto" w:fill="FFFFFF" w:themeFill="background1"/>
            <w:vAlign w:val="center"/>
            <w:hideMark/>
          </w:tcPr>
          <w:p w14:paraId="0308996E" w14:textId="2039FCD9" w:rsidR="004E2D10" w:rsidRPr="5B0C84B6" w:rsidRDefault="004E2D10" w:rsidP="004E2D10">
            <w:pPr>
              <w:spacing w:line="240" w:lineRule="auto"/>
              <w:jc w:val="center"/>
              <w:rPr>
                <w:rFonts w:eastAsia="Times New Roman" w:cs="Times New Roman"/>
                <w:color w:val="000000" w:themeColor="text1"/>
                <w:sz w:val="12"/>
                <w:szCs w:val="12"/>
              </w:rPr>
            </w:pPr>
            <w:r w:rsidRPr="5B0C84B6">
              <w:rPr>
                <w:rFonts w:eastAsia="Times New Roman" w:cs="Times New Roman"/>
                <w:color w:val="000000" w:themeColor="text1"/>
                <w:sz w:val="12"/>
                <w:szCs w:val="12"/>
              </w:rPr>
              <w:t xml:space="preserve">901.009.478 </w:t>
            </w:r>
          </w:p>
        </w:tc>
        <w:tc>
          <w:tcPr>
            <w:tcW w:w="850" w:type="dxa"/>
            <w:tcBorders>
              <w:top w:val="nil"/>
              <w:left w:val="nil"/>
              <w:bottom w:val="single" w:sz="4" w:space="0" w:color="auto"/>
              <w:right w:val="single" w:sz="4" w:space="0" w:color="auto"/>
            </w:tcBorders>
            <w:shd w:val="clear" w:color="auto" w:fill="FFFFFF" w:themeFill="background1"/>
            <w:vAlign w:val="center"/>
            <w:hideMark/>
          </w:tcPr>
          <w:p w14:paraId="5088206C" w14:textId="2111927F" w:rsidR="004E2D10" w:rsidRPr="5B0C84B6" w:rsidRDefault="004E2D10" w:rsidP="004E2D10">
            <w:pPr>
              <w:spacing w:line="240" w:lineRule="auto"/>
              <w:rPr>
                <w:rFonts w:eastAsia="Times New Roman" w:cs="Times New Roman"/>
                <w:color w:val="000000" w:themeColor="text1"/>
                <w:sz w:val="12"/>
                <w:szCs w:val="12"/>
              </w:rPr>
            </w:pPr>
            <w:r w:rsidRPr="5B0C84B6">
              <w:rPr>
                <w:rFonts w:eastAsia="Times New Roman" w:cs="Times New Roman"/>
                <w:color w:val="000000" w:themeColor="text1"/>
                <w:sz w:val="12"/>
                <w:szCs w:val="12"/>
              </w:rPr>
              <w:t xml:space="preserve">Via 40 Express S.A.S </w:t>
            </w:r>
          </w:p>
        </w:tc>
        <w:tc>
          <w:tcPr>
            <w:tcW w:w="985" w:type="dxa"/>
            <w:tcBorders>
              <w:top w:val="nil"/>
              <w:left w:val="nil"/>
              <w:bottom w:val="single" w:sz="4" w:space="0" w:color="auto"/>
              <w:right w:val="single" w:sz="4" w:space="0" w:color="auto"/>
            </w:tcBorders>
            <w:shd w:val="clear" w:color="auto" w:fill="FFFFFF" w:themeFill="background1"/>
            <w:vAlign w:val="center"/>
            <w:hideMark/>
          </w:tcPr>
          <w:p w14:paraId="5D986592" w14:textId="5F284EE5" w:rsidR="004E2D10" w:rsidRPr="5B0C84B6" w:rsidRDefault="004E2D10" w:rsidP="004E2D10">
            <w:pPr>
              <w:spacing w:line="240" w:lineRule="auto"/>
              <w:jc w:val="right"/>
              <w:rPr>
                <w:rFonts w:eastAsia="Times New Roman" w:cs="Times New Roman"/>
                <w:color w:val="000000" w:themeColor="text1"/>
                <w:sz w:val="12"/>
                <w:szCs w:val="12"/>
              </w:rPr>
            </w:pPr>
            <w:r w:rsidRPr="5B0C84B6">
              <w:rPr>
                <w:rFonts w:eastAsia="Times New Roman" w:cs="Times New Roman"/>
                <w:color w:val="000000" w:themeColor="text1"/>
                <w:sz w:val="12"/>
                <w:szCs w:val="12"/>
              </w:rPr>
              <w:t>44.327.307.090</w:t>
            </w:r>
          </w:p>
        </w:tc>
      </w:tr>
      <w:tr w:rsidR="004E2D10" w:rsidRPr="00951AB1" w14:paraId="57B7EFC3" w14:textId="77777777" w:rsidTr="004E2D10">
        <w:trPr>
          <w:trHeight w:val="506"/>
        </w:trPr>
        <w:tc>
          <w:tcPr>
            <w:tcW w:w="561" w:type="dxa"/>
            <w:tcBorders>
              <w:top w:val="nil"/>
              <w:left w:val="single" w:sz="4" w:space="0" w:color="auto"/>
              <w:bottom w:val="single" w:sz="4" w:space="0" w:color="auto"/>
              <w:right w:val="single" w:sz="4" w:space="0" w:color="auto"/>
            </w:tcBorders>
            <w:vAlign w:val="center"/>
            <w:hideMark/>
          </w:tcPr>
          <w:p w14:paraId="42464C3C" w14:textId="77777777" w:rsidR="004E2D10" w:rsidRPr="00951AB1" w:rsidRDefault="004E2D10" w:rsidP="004E2D10">
            <w:pPr>
              <w:spacing w:line="240" w:lineRule="auto"/>
              <w:jc w:val="center"/>
              <w:rPr>
                <w:rFonts w:eastAsia="Times New Roman" w:cs="Times New Roman"/>
                <w:color w:val="000000"/>
                <w:kern w:val="0"/>
                <w:sz w:val="12"/>
                <w:szCs w:val="12"/>
                <w:lang w:eastAsia="es-CO"/>
                <w14:ligatures w14:val="none"/>
              </w:rPr>
            </w:pPr>
            <w:r w:rsidRPr="00951AB1">
              <w:rPr>
                <w:rFonts w:eastAsia="Times New Roman" w:cs="Times New Roman"/>
                <w:color w:val="000000"/>
                <w:kern w:val="0"/>
                <w:sz w:val="12"/>
                <w:szCs w:val="12"/>
                <w:lang w:eastAsia="es-CO"/>
                <w14:ligatures w14:val="none"/>
              </w:rPr>
              <w:t>5</w:t>
            </w:r>
          </w:p>
        </w:tc>
        <w:tc>
          <w:tcPr>
            <w:tcW w:w="709" w:type="dxa"/>
            <w:tcBorders>
              <w:top w:val="nil"/>
              <w:left w:val="nil"/>
              <w:bottom w:val="single" w:sz="4" w:space="0" w:color="auto"/>
              <w:right w:val="single" w:sz="4" w:space="0" w:color="auto"/>
            </w:tcBorders>
            <w:vAlign w:val="center"/>
            <w:hideMark/>
          </w:tcPr>
          <w:p w14:paraId="6A7A88B6" w14:textId="4A358BC1" w:rsidR="004E2D10" w:rsidRPr="5B0C84B6" w:rsidRDefault="004E2D10" w:rsidP="004E2D10">
            <w:pPr>
              <w:spacing w:line="240" w:lineRule="auto"/>
              <w:jc w:val="center"/>
              <w:rPr>
                <w:rFonts w:eastAsia="Times New Roman" w:cs="Times New Roman"/>
                <w:color w:val="000000" w:themeColor="text1"/>
                <w:sz w:val="12"/>
                <w:szCs w:val="12"/>
              </w:rPr>
            </w:pPr>
            <w:r w:rsidRPr="5B0C84B6">
              <w:rPr>
                <w:rFonts w:eastAsia="Times New Roman" w:cs="Times New Roman"/>
                <w:color w:val="000000" w:themeColor="text1"/>
                <w:sz w:val="12"/>
                <w:szCs w:val="12"/>
              </w:rPr>
              <w:t xml:space="preserve">1 2 3G </w:t>
            </w:r>
          </w:p>
        </w:tc>
        <w:tc>
          <w:tcPr>
            <w:tcW w:w="851" w:type="dxa"/>
            <w:tcBorders>
              <w:top w:val="nil"/>
              <w:left w:val="nil"/>
              <w:bottom w:val="single" w:sz="4" w:space="0" w:color="auto"/>
              <w:right w:val="single" w:sz="4" w:space="0" w:color="auto"/>
            </w:tcBorders>
            <w:shd w:val="clear" w:color="auto" w:fill="FFFFFF" w:themeFill="background1"/>
            <w:vAlign w:val="center"/>
            <w:hideMark/>
          </w:tcPr>
          <w:p w14:paraId="0889DC6F" w14:textId="75F40872" w:rsidR="004E2D10" w:rsidRPr="5B0C84B6" w:rsidRDefault="004E2D10" w:rsidP="004E2D10">
            <w:pPr>
              <w:spacing w:line="240" w:lineRule="auto"/>
              <w:rPr>
                <w:rFonts w:eastAsia="Times New Roman" w:cs="Times New Roman"/>
                <w:color w:val="000000" w:themeColor="text1"/>
                <w:sz w:val="12"/>
                <w:szCs w:val="12"/>
              </w:rPr>
            </w:pPr>
            <w:r w:rsidRPr="5B0C84B6">
              <w:rPr>
                <w:rFonts w:eastAsia="Times New Roman" w:cs="Times New Roman"/>
                <w:color w:val="000000" w:themeColor="text1"/>
                <w:sz w:val="12"/>
                <w:szCs w:val="12"/>
              </w:rPr>
              <w:t xml:space="preserve">Cartagena - Barranquilla </w:t>
            </w:r>
          </w:p>
        </w:tc>
        <w:tc>
          <w:tcPr>
            <w:tcW w:w="709" w:type="dxa"/>
            <w:tcBorders>
              <w:top w:val="nil"/>
              <w:left w:val="nil"/>
              <w:bottom w:val="single" w:sz="4" w:space="0" w:color="auto"/>
              <w:right w:val="single" w:sz="4" w:space="0" w:color="auto"/>
            </w:tcBorders>
            <w:shd w:val="clear" w:color="auto" w:fill="FFFFFF" w:themeFill="background1"/>
            <w:vAlign w:val="center"/>
          </w:tcPr>
          <w:p w14:paraId="5431F13F" w14:textId="703555B2" w:rsidR="004E2D10" w:rsidRPr="5B0C84B6" w:rsidRDefault="004E2D10" w:rsidP="004E2D10">
            <w:pPr>
              <w:spacing w:line="240" w:lineRule="auto"/>
              <w:jc w:val="center"/>
              <w:rPr>
                <w:rFonts w:eastAsia="Times New Roman" w:cs="Times New Roman"/>
                <w:color w:val="000000" w:themeColor="text1"/>
                <w:sz w:val="12"/>
                <w:szCs w:val="12"/>
              </w:rPr>
            </w:pPr>
            <w:r w:rsidRPr="5B0C84B6">
              <w:rPr>
                <w:rFonts w:eastAsia="Times New Roman" w:cs="Times New Roman"/>
                <w:color w:val="000000" w:themeColor="text1"/>
                <w:sz w:val="12"/>
                <w:szCs w:val="12"/>
              </w:rPr>
              <w:t xml:space="preserve">800242642 </w:t>
            </w:r>
          </w:p>
        </w:tc>
        <w:tc>
          <w:tcPr>
            <w:tcW w:w="992" w:type="dxa"/>
            <w:tcBorders>
              <w:top w:val="nil"/>
              <w:left w:val="nil"/>
              <w:bottom w:val="single" w:sz="4" w:space="0" w:color="auto"/>
              <w:right w:val="single" w:sz="4" w:space="0" w:color="auto"/>
            </w:tcBorders>
            <w:shd w:val="clear" w:color="auto" w:fill="FFFFFF" w:themeFill="background1"/>
            <w:vAlign w:val="center"/>
          </w:tcPr>
          <w:p w14:paraId="067094C7" w14:textId="7CE38E21" w:rsidR="004E2D10" w:rsidRPr="5B0C84B6" w:rsidRDefault="004E2D10" w:rsidP="004E2D10">
            <w:pPr>
              <w:spacing w:line="240" w:lineRule="auto"/>
              <w:jc w:val="center"/>
              <w:rPr>
                <w:rFonts w:eastAsia="Times New Roman" w:cs="Times New Roman"/>
                <w:color w:val="000000" w:themeColor="text1"/>
                <w:sz w:val="12"/>
                <w:szCs w:val="12"/>
              </w:rPr>
            </w:pPr>
            <w:r w:rsidRPr="5B0C84B6">
              <w:rPr>
                <w:rFonts w:eastAsia="Times New Roman" w:cs="Times New Roman"/>
                <w:color w:val="000000" w:themeColor="text1"/>
                <w:sz w:val="12"/>
                <w:szCs w:val="12"/>
              </w:rPr>
              <w:t xml:space="preserve">503-1994 </w:t>
            </w:r>
          </w:p>
        </w:tc>
        <w:tc>
          <w:tcPr>
            <w:tcW w:w="851" w:type="dxa"/>
            <w:tcBorders>
              <w:top w:val="nil"/>
              <w:left w:val="nil"/>
              <w:bottom w:val="single" w:sz="4" w:space="0" w:color="auto"/>
              <w:right w:val="single" w:sz="4" w:space="0" w:color="auto"/>
            </w:tcBorders>
            <w:shd w:val="clear" w:color="auto" w:fill="FFFFFF" w:themeFill="background1"/>
            <w:vAlign w:val="center"/>
            <w:hideMark/>
          </w:tcPr>
          <w:p w14:paraId="4BD517A6" w14:textId="63ACC58C" w:rsidR="004E2D10" w:rsidRPr="5B0C84B6" w:rsidRDefault="004E2D10" w:rsidP="004E2D10">
            <w:pPr>
              <w:spacing w:line="240" w:lineRule="auto"/>
              <w:rPr>
                <w:rFonts w:eastAsia="Times New Roman" w:cs="Times New Roman"/>
                <w:color w:val="000000" w:themeColor="text1"/>
                <w:sz w:val="12"/>
                <w:szCs w:val="12"/>
              </w:rPr>
            </w:pPr>
            <w:r w:rsidRPr="5B0C84B6">
              <w:rPr>
                <w:rFonts w:eastAsia="Times New Roman" w:cs="Times New Roman"/>
                <w:color w:val="000000" w:themeColor="text1"/>
                <w:sz w:val="12"/>
                <w:szCs w:val="12"/>
              </w:rPr>
              <w:t xml:space="preserve">Consorcio Integrado Por Consultores del Desarrollo S A y Edgardo Navarro Vives </w:t>
            </w:r>
          </w:p>
        </w:tc>
        <w:tc>
          <w:tcPr>
            <w:tcW w:w="567" w:type="dxa"/>
            <w:tcBorders>
              <w:top w:val="nil"/>
              <w:left w:val="nil"/>
              <w:bottom w:val="single" w:sz="4" w:space="0" w:color="auto"/>
              <w:right w:val="single" w:sz="4" w:space="0" w:color="auto"/>
            </w:tcBorders>
            <w:shd w:val="clear" w:color="auto" w:fill="FFFFFF" w:themeFill="background1"/>
            <w:vAlign w:val="center"/>
            <w:hideMark/>
          </w:tcPr>
          <w:p w14:paraId="737DE3B3" w14:textId="7560F9D2" w:rsidR="004E2D10" w:rsidRPr="5B0C84B6" w:rsidRDefault="004E2D10" w:rsidP="004E2D10">
            <w:pPr>
              <w:spacing w:line="240" w:lineRule="auto"/>
              <w:jc w:val="center"/>
              <w:rPr>
                <w:rFonts w:eastAsia="Times New Roman" w:cs="Times New Roman"/>
                <w:color w:val="000000" w:themeColor="text1"/>
                <w:sz w:val="12"/>
                <w:szCs w:val="12"/>
              </w:rPr>
            </w:pPr>
            <w:r w:rsidRPr="5B0C84B6">
              <w:rPr>
                <w:rFonts w:eastAsia="Times New Roman" w:cs="Times New Roman"/>
                <w:color w:val="000000" w:themeColor="text1"/>
                <w:sz w:val="12"/>
                <w:szCs w:val="12"/>
              </w:rPr>
              <w:t xml:space="preserve">4 </w:t>
            </w:r>
          </w:p>
        </w:tc>
        <w:tc>
          <w:tcPr>
            <w:tcW w:w="851" w:type="dxa"/>
            <w:tcBorders>
              <w:top w:val="nil"/>
              <w:left w:val="nil"/>
              <w:bottom w:val="single" w:sz="4" w:space="0" w:color="auto"/>
              <w:right w:val="single" w:sz="4" w:space="0" w:color="auto"/>
            </w:tcBorders>
            <w:shd w:val="clear" w:color="auto" w:fill="FFFFFF" w:themeFill="background1"/>
            <w:vAlign w:val="center"/>
            <w:hideMark/>
          </w:tcPr>
          <w:p w14:paraId="52ADAFD9" w14:textId="5613A023" w:rsidR="004E2D10" w:rsidRPr="5B0C84B6" w:rsidRDefault="004E2D10" w:rsidP="004E2D10">
            <w:pPr>
              <w:spacing w:line="240" w:lineRule="auto"/>
              <w:rPr>
                <w:rFonts w:eastAsia="Times New Roman" w:cs="Times New Roman"/>
                <w:color w:val="000000" w:themeColor="text1"/>
                <w:sz w:val="12"/>
                <w:szCs w:val="12"/>
              </w:rPr>
            </w:pPr>
            <w:r w:rsidRPr="5B0C84B6">
              <w:rPr>
                <w:rFonts w:eastAsia="Times New Roman" w:cs="Times New Roman"/>
                <w:color w:val="000000" w:themeColor="text1"/>
                <w:sz w:val="12"/>
                <w:szCs w:val="12"/>
              </w:rPr>
              <w:t xml:space="preserve">Cartagena-Barranquilla Circunvalar de la </w:t>
            </w:r>
          </w:p>
        </w:tc>
        <w:tc>
          <w:tcPr>
            <w:tcW w:w="850" w:type="dxa"/>
            <w:tcBorders>
              <w:top w:val="nil"/>
              <w:left w:val="nil"/>
              <w:bottom w:val="single" w:sz="4" w:space="0" w:color="auto"/>
              <w:right w:val="single" w:sz="4" w:space="0" w:color="auto"/>
            </w:tcBorders>
            <w:shd w:val="clear" w:color="auto" w:fill="FFFFFF" w:themeFill="background1"/>
            <w:vAlign w:val="center"/>
            <w:hideMark/>
          </w:tcPr>
          <w:p w14:paraId="2D46C719" w14:textId="773AFE49" w:rsidR="004E2D10" w:rsidRPr="5B0C84B6" w:rsidRDefault="004E2D10" w:rsidP="004E2D10">
            <w:pPr>
              <w:spacing w:line="240" w:lineRule="auto"/>
              <w:jc w:val="center"/>
              <w:rPr>
                <w:rFonts w:eastAsia="Times New Roman" w:cs="Times New Roman"/>
                <w:color w:val="000000" w:themeColor="text1"/>
                <w:sz w:val="12"/>
                <w:szCs w:val="12"/>
              </w:rPr>
            </w:pPr>
            <w:r w:rsidRPr="5B0C84B6">
              <w:rPr>
                <w:rFonts w:eastAsia="Times New Roman" w:cs="Times New Roman"/>
                <w:color w:val="000000" w:themeColor="text1"/>
                <w:sz w:val="12"/>
                <w:szCs w:val="12"/>
              </w:rPr>
              <w:t xml:space="preserve">004-2014 </w:t>
            </w:r>
          </w:p>
        </w:tc>
        <w:tc>
          <w:tcPr>
            <w:tcW w:w="709" w:type="dxa"/>
            <w:tcBorders>
              <w:top w:val="nil"/>
              <w:left w:val="nil"/>
              <w:bottom w:val="single" w:sz="4" w:space="0" w:color="auto"/>
              <w:right w:val="single" w:sz="4" w:space="0" w:color="auto"/>
            </w:tcBorders>
            <w:shd w:val="clear" w:color="auto" w:fill="FFFFFF" w:themeFill="background1"/>
            <w:vAlign w:val="center"/>
            <w:hideMark/>
          </w:tcPr>
          <w:p w14:paraId="3E5E9CC3" w14:textId="7B836F3A" w:rsidR="004E2D10" w:rsidRPr="5B0C84B6" w:rsidRDefault="004E2D10" w:rsidP="004E2D10">
            <w:pPr>
              <w:spacing w:line="240" w:lineRule="auto"/>
              <w:jc w:val="center"/>
              <w:rPr>
                <w:rFonts w:eastAsia="Times New Roman" w:cs="Times New Roman"/>
                <w:color w:val="000000" w:themeColor="text1"/>
                <w:sz w:val="12"/>
                <w:szCs w:val="12"/>
              </w:rPr>
            </w:pPr>
            <w:r w:rsidRPr="5B0C84B6">
              <w:rPr>
                <w:rFonts w:eastAsia="Times New Roman" w:cs="Times New Roman"/>
                <w:color w:val="000000" w:themeColor="text1"/>
                <w:sz w:val="12"/>
                <w:szCs w:val="12"/>
              </w:rPr>
              <w:t xml:space="preserve">900.763.355 </w:t>
            </w:r>
          </w:p>
        </w:tc>
        <w:tc>
          <w:tcPr>
            <w:tcW w:w="850" w:type="dxa"/>
            <w:tcBorders>
              <w:top w:val="nil"/>
              <w:left w:val="nil"/>
              <w:bottom w:val="single" w:sz="4" w:space="0" w:color="auto"/>
              <w:right w:val="single" w:sz="4" w:space="0" w:color="auto"/>
            </w:tcBorders>
            <w:shd w:val="clear" w:color="auto" w:fill="FFFFFF" w:themeFill="background1"/>
            <w:vAlign w:val="center"/>
            <w:hideMark/>
          </w:tcPr>
          <w:p w14:paraId="4A829D90" w14:textId="1AF1146F" w:rsidR="004E2D10" w:rsidRPr="5B0C84B6" w:rsidRDefault="004E2D10" w:rsidP="004E2D10">
            <w:pPr>
              <w:spacing w:line="240" w:lineRule="auto"/>
              <w:rPr>
                <w:rFonts w:eastAsia="Times New Roman" w:cs="Times New Roman"/>
                <w:color w:val="000000" w:themeColor="text1"/>
                <w:sz w:val="12"/>
                <w:szCs w:val="12"/>
              </w:rPr>
            </w:pPr>
            <w:r w:rsidRPr="5B0C84B6">
              <w:rPr>
                <w:rFonts w:eastAsia="Times New Roman" w:cs="Times New Roman"/>
                <w:color w:val="000000" w:themeColor="text1"/>
                <w:sz w:val="12"/>
                <w:szCs w:val="12"/>
              </w:rPr>
              <w:t xml:space="preserve">Concesion Costera Cartagena - Ba </w:t>
            </w:r>
          </w:p>
        </w:tc>
        <w:tc>
          <w:tcPr>
            <w:tcW w:w="985" w:type="dxa"/>
            <w:tcBorders>
              <w:top w:val="nil"/>
              <w:left w:val="nil"/>
              <w:bottom w:val="single" w:sz="4" w:space="0" w:color="auto"/>
              <w:right w:val="single" w:sz="4" w:space="0" w:color="auto"/>
            </w:tcBorders>
            <w:shd w:val="clear" w:color="auto" w:fill="FFFFFF" w:themeFill="background1"/>
            <w:vAlign w:val="center"/>
            <w:hideMark/>
          </w:tcPr>
          <w:p w14:paraId="66628F45" w14:textId="2532CFBD" w:rsidR="004E2D10" w:rsidRPr="5B0C84B6" w:rsidRDefault="004E2D10" w:rsidP="004E2D10">
            <w:pPr>
              <w:spacing w:line="240" w:lineRule="auto"/>
              <w:jc w:val="right"/>
              <w:rPr>
                <w:rFonts w:eastAsia="Times New Roman" w:cs="Times New Roman"/>
                <w:color w:val="000000" w:themeColor="text1"/>
                <w:sz w:val="12"/>
                <w:szCs w:val="12"/>
              </w:rPr>
            </w:pPr>
            <w:r w:rsidRPr="5B0C84B6">
              <w:rPr>
                <w:rFonts w:eastAsia="Times New Roman" w:cs="Times New Roman"/>
                <w:color w:val="000000" w:themeColor="text1"/>
                <w:sz w:val="12"/>
                <w:szCs w:val="12"/>
              </w:rPr>
              <w:t>18.908.856.287</w:t>
            </w:r>
          </w:p>
        </w:tc>
      </w:tr>
    </w:tbl>
    <w:p w14:paraId="4675E71A" w14:textId="61882B88" w:rsidR="008421D7" w:rsidRDefault="00010762" w:rsidP="000A5389">
      <w:pPr>
        <w:spacing w:line="240" w:lineRule="auto"/>
        <w:rPr>
          <w:rFonts w:cs="Times New Roman"/>
          <w:sz w:val="16"/>
          <w:szCs w:val="16"/>
          <w:lang w:val="es-ES"/>
        </w:rPr>
      </w:pPr>
      <w:r w:rsidRPr="00951AB1">
        <w:rPr>
          <w:rFonts w:cs="Times New Roman"/>
          <w:sz w:val="16"/>
          <w:szCs w:val="16"/>
          <w:lang w:val="es-ES"/>
        </w:rPr>
        <w:t>G*Generación</w:t>
      </w:r>
    </w:p>
    <w:p w14:paraId="0B29FDE3" w14:textId="77777777" w:rsidR="004E2D10" w:rsidRPr="00951AB1" w:rsidRDefault="004E2D10" w:rsidP="000A5389">
      <w:pPr>
        <w:spacing w:line="240" w:lineRule="auto"/>
        <w:rPr>
          <w:rFonts w:cs="Times New Roman"/>
          <w:sz w:val="16"/>
          <w:szCs w:val="16"/>
          <w:lang w:val="es-ES"/>
        </w:rPr>
      </w:pPr>
    </w:p>
    <w:p w14:paraId="342FB36D" w14:textId="77777777" w:rsidR="008421D7" w:rsidRPr="00951AB1" w:rsidRDefault="008421D7" w:rsidP="000A5389">
      <w:pPr>
        <w:spacing w:line="240" w:lineRule="auto"/>
        <w:rPr>
          <w:rFonts w:cs="Times New Roman"/>
          <w:szCs w:val="24"/>
          <w:lang w:val="es-ES"/>
        </w:rPr>
      </w:pPr>
      <w:r w:rsidRPr="00951AB1">
        <w:rPr>
          <w:rFonts w:cs="Times New Roman"/>
          <w:szCs w:val="24"/>
          <w:lang w:val="es-ES"/>
        </w:rPr>
        <w:t>El valor de $511.161.312.510 identificados como el histórico de las adquisiciones de terrenos que se encontraban revertidos a las entidades titulares a 31 de diciembre, pero fueron reportados por G.I.T Predial y G.I.T Asesoría Jurídico Predial para ser conciliados, detallándose a continuación:</w:t>
      </w:r>
    </w:p>
    <w:p w14:paraId="54F0DEB4" w14:textId="3047A277" w:rsidR="5B0C84B6" w:rsidRDefault="5B0C84B6" w:rsidP="000A5389">
      <w:pPr>
        <w:spacing w:line="240" w:lineRule="auto"/>
        <w:rPr>
          <w:rFonts w:cs="Times New Roman"/>
          <w:szCs w:val="24"/>
          <w:lang w:val="es-ES"/>
        </w:rPr>
      </w:pPr>
    </w:p>
    <w:p w14:paraId="7E492ADD" w14:textId="7774051C" w:rsidR="5B0C84B6" w:rsidRDefault="5B0C84B6" w:rsidP="000A5389">
      <w:pPr>
        <w:spacing w:line="240" w:lineRule="auto"/>
        <w:rPr>
          <w:rFonts w:cs="Times New Roman"/>
          <w:szCs w:val="24"/>
          <w:lang w:val="es-E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88"/>
        <w:gridCol w:w="1275"/>
        <w:gridCol w:w="2834"/>
        <w:gridCol w:w="1990"/>
        <w:gridCol w:w="1741"/>
      </w:tblGrid>
      <w:tr w:rsidR="00C745FA" w:rsidRPr="00890AC8" w14:paraId="080A6218" w14:textId="77777777" w:rsidTr="00C745FA">
        <w:trPr>
          <w:trHeight w:val="340"/>
        </w:trPr>
        <w:tc>
          <w:tcPr>
            <w:tcW w:w="560" w:type="pct"/>
            <w:vAlign w:val="center"/>
            <w:hideMark/>
          </w:tcPr>
          <w:p w14:paraId="4C3E77FC" w14:textId="77777777" w:rsidR="00890AC8" w:rsidRPr="00890AC8" w:rsidRDefault="00890AC8" w:rsidP="00890AC8">
            <w:pPr>
              <w:spacing w:line="240" w:lineRule="auto"/>
              <w:jc w:val="center"/>
              <w:rPr>
                <w:rFonts w:eastAsia="Times New Roman" w:cs="Times New Roman"/>
                <w:b/>
                <w:bCs/>
                <w:color w:val="000000"/>
                <w:kern w:val="0"/>
                <w:sz w:val="18"/>
                <w:szCs w:val="18"/>
                <w:lang w:eastAsia="es-CO"/>
                <w14:ligatures w14:val="none"/>
              </w:rPr>
            </w:pPr>
            <w:r w:rsidRPr="00890AC8">
              <w:rPr>
                <w:rFonts w:eastAsia="Times New Roman" w:cs="Times New Roman"/>
                <w:b/>
                <w:bCs/>
                <w:color w:val="000000"/>
                <w:kern w:val="0"/>
                <w:sz w:val="18"/>
                <w:szCs w:val="18"/>
                <w:lang w:eastAsia="es-CO"/>
                <w14:ligatures w14:val="none"/>
              </w:rPr>
              <w:lastRenderedPageBreak/>
              <w:t>Ítem No.</w:t>
            </w:r>
          </w:p>
        </w:tc>
        <w:tc>
          <w:tcPr>
            <w:tcW w:w="722" w:type="pct"/>
            <w:vAlign w:val="center"/>
            <w:hideMark/>
          </w:tcPr>
          <w:p w14:paraId="138DC97A" w14:textId="77777777" w:rsidR="00890AC8" w:rsidRPr="00890AC8" w:rsidRDefault="00890AC8" w:rsidP="00890AC8">
            <w:pPr>
              <w:spacing w:line="240" w:lineRule="auto"/>
              <w:jc w:val="left"/>
              <w:rPr>
                <w:rFonts w:eastAsia="Times New Roman" w:cs="Times New Roman"/>
                <w:b/>
                <w:bCs/>
                <w:color w:val="000000"/>
                <w:kern w:val="0"/>
                <w:sz w:val="18"/>
                <w:szCs w:val="18"/>
                <w:lang w:eastAsia="es-CO"/>
                <w14:ligatures w14:val="none"/>
              </w:rPr>
            </w:pPr>
            <w:r w:rsidRPr="00890AC8">
              <w:rPr>
                <w:rFonts w:eastAsia="Times New Roman" w:cs="Times New Roman"/>
                <w:b/>
                <w:bCs/>
                <w:color w:val="000000"/>
                <w:kern w:val="0"/>
                <w:sz w:val="18"/>
                <w:szCs w:val="18"/>
                <w:lang w:eastAsia="es-CO"/>
                <w14:ligatures w14:val="none"/>
              </w:rPr>
              <w:t>No. Generación</w:t>
            </w:r>
          </w:p>
        </w:tc>
        <w:tc>
          <w:tcPr>
            <w:tcW w:w="1605" w:type="pct"/>
            <w:vAlign w:val="center"/>
            <w:hideMark/>
          </w:tcPr>
          <w:p w14:paraId="4177195F" w14:textId="77777777" w:rsidR="00890AC8" w:rsidRPr="00890AC8" w:rsidRDefault="00890AC8" w:rsidP="00890AC8">
            <w:pPr>
              <w:spacing w:line="240" w:lineRule="auto"/>
              <w:jc w:val="center"/>
              <w:rPr>
                <w:rFonts w:eastAsia="Times New Roman" w:cs="Times New Roman"/>
                <w:b/>
                <w:bCs/>
                <w:color w:val="000000"/>
                <w:kern w:val="0"/>
                <w:sz w:val="18"/>
                <w:szCs w:val="18"/>
                <w:lang w:eastAsia="es-CO"/>
                <w14:ligatures w14:val="none"/>
              </w:rPr>
            </w:pPr>
            <w:r w:rsidRPr="00890AC8">
              <w:rPr>
                <w:rFonts w:eastAsia="Times New Roman" w:cs="Times New Roman"/>
                <w:b/>
                <w:bCs/>
                <w:color w:val="000000"/>
                <w:kern w:val="0"/>
                <w:sz w:val="18"/>
                <w:szCs w:val="18"/>
                <w:lang w:eastAsia="es-CO"/>
                <w14:ligatures w14:val="none"/>
              </w:rPr>
              <w:t>Proyecto de Concesión</w:t>
            </w:r>
          </w:p>
        </w:tc>
        <w:tc>
          <w:tcPr>
            <w:tcW w:w="1127" w:type="pct"/>
            <w:vAlign w:val="center"/>
            <w:hideMark/>
          </w:tcPr>
          <w:p w14:paraId="1115395E" w14:textId="77777777" w:rsidR="00890AC8" w:rsidRPr="00890AC8" w:rsidRDefault="00890AC8" w:rsidP="00890AC8">
            <w:pPr>
              <w:spacing w:line="240" w:lineRule="auto"/>
              <w:jc w:val="center"/>
              <w:rPr>
                <w:rFonts w:eastAsia="Times New Roman" w:cs="Times New Roman"/>
                <w:b/>
                <w:bCs/>
                <w:color w:val="000000"/>
                <w:kern w:val="0"/>
                <w:sz w:val="18"/>
                <w:szCs w:val="18"/>
                <w:lang w:eastAsia="es-CO"/>
                <w14:ligatures w14:val="none"/>
              </w:rPr>
            </w:pPr>
            <w:r w:rsidRPr="00890AC8">
              <w:rPr>
                <w:rFonts w:eastAsia="Times New Roman" w:cs="Times New Roman"/>
                <w:b/>
                <w:bCs/>
                <w:color w:val="000000"/>
                <w:kern w:val="0"/>
                <w:sz w:val="18"/>
                <w:szCs w:val="18"/>
                <w:lang w:eastAsia="es-CO"/>
                <w14:ligatures w14:val="none"/>
              </w:rPr>
              <w:t>Contrato No.</w:t>
            </w:r>
          </w:p>
        </w:tc>
        <w:tc>
          <w:tcPr>
            <w:tcW w:w="986" w:type="pct"/>
            <w:vAlign w:val="center"/>
            <w:hideMark/>
          </w:tcPr>
          <w:p w14:paraId="7646752E" w14:textId="77777777" w:rsidR="00890AC8" w:rsidRPr="00890AC8" w:rsidRDefault="00890AC8" w:rsidP="00890AC8">
            <w:pPr>
              <w:spacing w:line="240" w:lineRule="auto"/>
              <w:jc w:val="center"/>
              <w:rPr>
                <w:rFonts w:eastAsia="Times New Roman" w:cs="Times New Roman"/>
                <w:b/>
                <w:bCs/>
                <w:color w:val="000000"/>
                <w:kern w:val="0"/>
                <w:sz w:val="18"/>
                <w:szCs w:val="18"/>
                <w:lang w:eastAsia="es-CO"/>
                <w14:ligatures w14:val="none"/>
              </w:rPr>
            </w:pPr>
            <w:r w:rsidRPr="00890AC8">
              <w:rPr>
                <w:rFonts w:eastAsia="Times New Roman" w:cs="Times New Roman"/>
                <w:b/>
                <w:bCs/>
                <w:color w:val="000000"/>
                <w:kern w:val="0"/>
                <w:sz w:val="18"/>
                <w:szCs w:val="18"/>
                <w:lang w:eastAsia="es-CO"/>
                <w14:ligatures w14:val="none"/>
              </w:rPr>
              <w:t>Valor Total Reportado G.I.T Predial y G.I.T Asesoría Jurídico Predial</w:t>
            </w:r>
          </w:p>
        </w:tc>
      </w:tr>
      <w:tr w:rsidR="00C745FA" w:rsidRPr="00890AC8" w14:paraId="3B5E1DFB" w14:textId="77777777" w:rsidTr="00C745FA">
        <w:trPr>
          <w:trHeight w:val="340"/>
        </w:trPr>
        <w:tc>
          <w:tcPr>
            <w:tcW w:w="560" w:type="pct"/>
            <w:noWrap/>
            <w:vAlign w:val="center"/>
            <w:hideMark/>
          </w:tcPr>
          <w:p w14:paraId="1161FA47" w14:textId="77777777" w:rsidR="00C745FA" w:rsidRPr="00890AC8" w:rsidRDefault="00C745FA" w:rsidP="00C745FA">
            <w:pPr>
              <w:spacing w:line="240" w:lineRule="auto"/>
              <w:jc w:val="center"/>
              <w:rPr>
                <w:rFonts w:eastAsia="Times New Roman" w:cs="Times New Roman"/>
                <w:color w:val="000000"/>
                <w:kern w:val="0"/>
                <w:sz w:val="18"/>
                <w:szCs w:val="18"/>
                <w:lang w:eastAsia="es-CO"/>
                <w14:ligatures w14:val="none"/>
              </w:rPr>
            </w:pPr>
            <w:r w:rsidRPr="00890AC8">
              <w:rPr>
                <w:rFonts w:eastAsia="Times New Roman" w:cs="Times New Roman"/>
                <w:color w:val="000000"/>
                <w:kern w:val="0"/>
                <w:sz w:val="18"/>
                <w:szCs w:val="18"/>
                <w:lang w:eastAsia="es-CO"/>
                <w14:ligatures w14:val="none"/>
              </w:rPr>
              <w:t>1</w:t>
            </w:r>
          </w:p>
        </w:tc>
        <w:tc>
          <w:tcPr>
            <w:tcW w:w="722" w:type="pct"/>
            <w:vAlign w:val="center"/>
            <w:hideMark/>
          </w:tcPr>
          <w:p w14:paraId="76CB3B2C" w14:textId="77777777" w:rsidR="00C745FA" w:rsidRPr="00890AC8" w:rsidRDefault="00C745FA" w:rsidP="00C745FA">
            <w:pPr>
              <w:spacing w:line="240" w:lineRule="auto"/>
              <w:jc w:val="center"/>
              <w:rPr>
                <w:rFonts w:eastAsia="Times New Roman" w:cs="Times New Roman"/>
                <w:color w:val="000000"/>
                <w:kern w:val="0"/>
                <w:sz w:val="18"/>
                <w:szCs w:val="18"/>
                <w:lang w:eastAsia="es-CO"/>
                <w14:ligatures w14:val="none"/>
              </w:rPr>
            </w:pPr>
            <w:r w:rsidRPr="00890AC8">
              <w:rPr>
                <w:rFonts w:eastAsia="Times New Roman" w:cs="Times New Roman"/>
                <w:color w:val="000000"/>
                <w:kern w:val="0"/>
                <w:sz w:val="18"/>
                <w:szCs w:val="18"/>
                <w:lang w:eastAsia="es-CO"/>
                <w14:ligatures w14:val="none"/>
              </w:rPr>
              <w:t xml:space="preserve">1 2 3G </w:t>
            </w:r>
          </w:p>
        </w:tc>
        <w:tc>
          <w:tcPr>
            <w:tcW w:w="1605" w:type="pct"/>
            <w:vAlign w:val="center"/>
            <w:hideMark/>
          </w:tcPr>
          <w:p w14:paraId="6DAA0ED4" w14:textId="77777777" w:rsidR="00C745FA" w:rsidRPr="00890AC8" w:rsidRDefault="00C745FA" w:rsidP="00C745FA">
            <w:pPr>
              <w:spacing w:line="240" w:lineRule="auto"/>
              <w:rPr>
                <w:rFonts w:eastAsia="Times New Roman" w:cs="Times New Roman"/>
                <w:color w:val="000000"/>
                <w:kern w:val="0"/>
                <w:sz w:val="18"/>
                <w:szCs w:val="18"/>
                <w:lang w:eastAsia="es-CO"/>
                <w14:ligatures w14:val="none"/>
              </w:rPr>
            </w:pPr>
            <w:r w:rsidRPr="00890AC8">
              <w:rPr>
                <w:rFonts w:eastAsia="Times New Roman" w:cs="Times New Roman"/>
                <w:color w:val="000000"/>
                <w:kern w:val="0"/>
                <w:sz w:val="18"/>
                <w:szCs w:val="18"/>
                <w:lang w:eastAsia="es-CO"/>
                <w14:ligatures w14:val="none"/>
              </w:rPr>
              <w:t xml:space="preserve">Ruta Del Sol Sector 2 </w:t>
            </w:r>
          </w:p>
        </w:tc>
        <w:tc>
          <w:tcPr>
            <w:tcW w:w="1127" w:type="pct"/>
            <w:noWrap/>
            <w:vAlign w:val="center"/>
            <w:hideMark/>
          </w:tcPr>
          <w:p w14:paraId="3007C0FF" w14:textId="77777777" w:rsidR="00C745FA" w:rsidRPr="00890AC8" w:rsidRDefault="00C745FA" w:rsidP="00C745FA">
            <w:pPr>
              <w:spacing w:line="240" w:lineRule="auto"/>
              <w:jc w:val="center"/>
              <w:rPr>
                <w:rFonts w:eastAsia="Times New Roman" w:cs="Times New Roman"/>
                <w:color w:val="000000"/>
                <w:kern w:val="0"/>
                <w:sz w:val="18"/>
                <w:szCs w:val="18"/>
                <w:lang w:eastAsia="es-CO"/>
                <w14:ligatures w14:val="none"/>
              </w:rPr>
            </w:pPr>
            <w:r w:rsidRPr="00890AC8">
              <w:rPr>
                <w:rFonts w:eastAsia="Times New Roman" w:cs="Times New Roman"/>
                <w:color w:val="000000"/>
                <w:kern w:val="0"/>
                <w:sz w:val="18"/>
                <w:szCs w:val="18"/>
                <w:lang w:eastAsia="es-CO"/>
                <w14:ligatures w14:val="none"/>
              </w:rPr>
              <w:t xml:space="preserve"> 001-2010  </w:t>
            </w:r>
          </w:p>
        </w:tc>
        <w:tc>
          <w:tcPr>
            <w:tcW w:w="986" w:type="pct"/>
            <w:noWrap/>
            <w:vAlign w:val="center"/>
            <w:hideMark/>
          </w:tcPr>
          <w:p w14:paraId="3483B25B" w14:textId="2B0AF845" w:rsidR="00C745FA" w:rsidRPr="00890AC8" w:rsidRDefault="00C745FA" w:rsidP="00C745FA">
            <w:pPr>
              <w:spacing w:line="240" w:lineRule="auto"/>
              <w:jc w:val="center"/>
              <w:rPr>
                <w:rFonts w:eastAsia="Times New Roman" w:cs="Times New Roman"/>
                <w:color w:val="000000"/>
                <w:kern w:val="0"/>
                <w:sz w:val="18"/>
                <w:szCs w:val="18"/>
                <w:lang w:eastAsia="es-CO"/>
                <w14:ligatures w14:val="none"/>
              </w:rPr>
            </w:pPr>
            <w:r w:rsidRPr="00C745FA">
              <w:rPr>
                <w:color w:val="000000"/>
                <w:sz w:val="18"/>
                <w:szCs w:val="18"/>
              </w:rPr>
              <w:t>171.261.720.135</w:t>
            </w:r>
          </w:p>
        </w:tc>
      </w:tr>
      <w:tr w:rsidR="00C745FA" w:rsidRPr="00890AC8" w14:paraId="3E786254" w14:textId="77777777" w:rsidTr="00C745FA">
        <w:trPr>
          <w:trHeight w:val="340"/>
        </w:trPr>
        <w:tc>
          <w:tcPr>
            <w:tcW w:w="560" w:type="pct"/>
            <w:noWrap/>
            <w:vAlign w:val="center"/>
            <w:hideMark/>
          </w:tcPr>
          <w:p w14:paraId="24B1069E" w14:textId="77777777" w:rsidR="00C745FA" w:rsidRPr="00890AC8" w:rsidRDefault="00C745FA" w:rsidP="00C745FA">
            <w:pPr>
              <w:spacing w:line="240" w:lineRule="auto"/>
              <w:jc w:val="center"/>
              <w:rPr>
                <w:rFonts w:eastAsia="Times New Roman" w:cs="Times New Roman"/>
                <w:color w:val="000000"/>
                <w:kern w:val="0"/>
                <w:sz w:val="18"/>
                <w:szCs w:val="18"/>
                <w:lang w:eastAsia="es-CO"/>
                <w14:ligatures w14:val="none"/>
              </w:rPr>
            </w:pPr>
            <w:r w:rsidRPr="00890AC8">
              <w:rPr>
                <w:rFonts w:eastAsia="Times New Roman" w:cs="Times New Roman"/>
                <w:color w:val="000000"/>
                <w:kern w:val="0"/>
                <w:sz w:val="18"/>
                <w:szCs w:val="18"/>
                <w:lang w:eastAsia="es-CO"/>
                <w14:ligatures w14:val="none"/>
              </w:rPr>
              <w:t>2</w:t>
            </w:r>
          </w:p>
        </w:tc>
        <w:tc>
          <w:tcPr>
            <w:tcW w:w="722" w:type="pct"/>
            <w:vAlign w:val="center"/>
            <w:hideMark/>
          </w:tcPr>
          <w:p w14:paraId="3657AC79" w14:textId="77777777" w:rsidR="00C745FA" w:rsidRPr="00890AC8" w:rsidRDefault="00C745FA" w:rsidP="00C745FA">
            <w:pPr>
              <w:spacing w:line="240" w:lineRule="auto"/>
              <w:jc w:val="center"/>
              <w:rPr>
                <w:rFonts w:eastAsia="Times New Roman" w:cs="Times New Roman"/>
                <w:color w:val="000000"/>
                <w:kern w:val="0"/>
                <w:sz w:val="18"/>
                <w:szCs w:val="18"/>
                <w:lang w:eastAsia="es-CO"/>
                <w14:ligatures w14:val="none"/>
              </w:rPr>
            </w:pPr>
            <w:r w:rsidRPr="00890AC8">
              <w:rPr>
                <w:rFonts w:eastAsia="Times New Roman" w:cs="Times New Roman"/>
                <w:color w:val="000000"/>
                <w:kern w:val="0"/>
                <w:sz w:val="18"/>
                <w:szCs w:val="18"/>
                <w:lang w:eastAsia="es-CO"/>
                <w14:ligatures w14:val="none"/>
              </w:rPr>
              <w:t xml:space="preserve">1 2 3G </w:t>
            </w:r>
          </w:p>
        </w:tc>
        <w:tc>
          <w:tcPr>
            <w:tcW w:w="1605" w:type="pct"/>
            <w:vAlign w:val="center"/>
            <w:hideMark/>
          </w:tcPr>
          <w:p w14:paraId="5C8065F6" w14:textId="77777777" w:rsidR="00C745FA" w:rsidRPr="00890AC8" w:rsidRDefault="00C745FA" w:rsidP="00C745FA">
            <w:pPr>
              <w:spacing w:line="240" w:lineRule="auto"/>
              <w:rPr>
                <w:rFonts w:eastAsia="Times New Roman" w:cs="Times New Roman"/>
                <w:color w:val="000000"/>
                <w:kern w:val="0"/>
                <w:sz w:val="18"/>
                <w:szCs w:val="18"/>
                <w:lang w:eastAsia="es-CO"/>
                <w14:ligatures w14:val="none"/>
              </w:rPr>
            </w:pPr>
            <w:r w:rsidRPr="00890AC8">
              <w:rPr>
                <w:rFonts w:eastAsia="Times New Roman" w:cs="Times New Roman"/>
                <w:color w:val="000000"/>
                <w:kern w:val="0"/>
                <w:sz w:val="18"/>
                <w:szCs w:val="18"/>
                <w:lang w:eastAsia="es-CO"/>
                <w14:ligatures w14:val="none"/>
              </w:rPr>
              <w:t xml:space="preserve">Zona Metropolitana De Bucaramanga </w:t>
            </w:r>
          </w:p>
        </w:tc>
        <w:tc>
          <w:tcPr>
            <w:tcW w:w="1127" w:type="pct"/>
            <w:noWrap/>
            <w:vAlign w:val="center"/>
            <w:hideMark/>
          </w:tcPr>
          <w:p w14:paraId="44D47D90" w14:textId="77777777" w:rsidR="00C745FA" w:rsidRPr="00890AC8" w:rsidRDefault="00C745FA" w:rsidP="00C745FA">
            <w:pPr>
              <w:spacing w:line="240" w:lineRule="auto"/>
              <w:jc w:val="center"/>
              <w:rPr>
                <w:rFonts w:eastAsia="Times New Roman" w:cs="Times New Roman"/>
                <w:color w:val="000000"/>
                <w:kern w:val="0"/>
                <w:sz w:val="18"/>
                <w:szCs w:val="18"/>
                <w:lang w:eastAsia="es-CO"/>
                <w14:ligatures w14:val="none"/>
              </w:rPr>
            </w:pPr>
            <w:r w:rsidRPr="00890AC8">
              <w:rPr>
                <w:rFonts w:eastAsia="Times New Roman" w:cs="Times New Roman"/>
                <w:color w:val="000000"/>
                <w:kern w:val="0"/>
                <w:sz w:val="18"/>
                <w:szCs w:val="18"/>
                <w:lang w:eastAsia="es-CO"/>
                <w14:ligatures w14:val="none"/>
              </w:rPr>
              <w:t xml:space="preserve"> 002-2006  </w:t>
            </w:r>
          </w:p>
        </w:tc>
        <w:tc>
          <w:tcPr>
            <w:tcW w:w="986" w:type="pct"/>
            <w:noWrap/>
            <w:vAlign w:val="center"/>
            <w:hideMark/>
          </w:tcPr>
          <w:p w14:paraId="26E1C612" w14:textId="4EF54F06" w:rsidR="00C745FA" w:rsidRPr="00890AC8" w:rsidRDefault="00C745FA" w:rsidP="00C745FA">
            <w:pPr>
              <w:spacing w:line="240" w:lineRule="auto"/>
              <w:jc w:val="center"/>
              <w:rPr>
                <w:rFonts w:eastAsia="Times New Roman" w:cs="Times New Roman"/>
                <w:color w:val="000000"/>
                <w:kern w:val="0"/>
                <w:sz w:val="18"/>
                <w:szCs w:val="18"/>
                <w:lang w:eastAsia="es-CO"/>
                <w14:ligatures w14:val="none"/>
              </w:rPr>
            </w:pPr>
            <w:r w:rsidRPr="00C745FA">
              <w:rPr>
                <w:color w:val="000000"/>
                <w:sz w:val="18"/>
                <w:szCs w:val="18"/>
              </w:rPr>
              <w:t>62.991.111.538</w:t>
            </w:r>
          </w:p>
        </w:tc>
      </w:tr>
      <w:tr w:rsidR="00C745FA" w:rsidRPr="00890AC8" w14:paraId="346B99E1" w14:textId="77777777" w:rsidTr="00C745FA">
        <w:trPr>
          <w:trHeight w:val="340"/>
        </w:trPr>
        <w:tc>
          <w:tcPr>
            <w:tcW w:w="560" w:type="pct"/>
            <w:noWrap/>
            <w:vAlign w:val="center"/>
            <w:hideMark/>
          </w:tcPr>
          <w:p w14:paraId="2B60F66D" w14:textId="77777777" w:rsidR="00C745FA" w:rsidRPr="00890AC8" w:rsidRDefault="00C745FA" w:rsidP="00C745FA">
            <w:pPr>
              <w:spacing w:line="240" w:lineRule="auto"/>
              <w:jc w:val="center"/>
              <w:rPr>
                <w:rFonts w:eastAsia="Times New Roman" w:cs="Times New Roman"/>
                <w:color w:val="000000"/>
                <w:kern w:val="0"/>
                <w:sz w:val="18"/>
                <w:szCs w:val="18"/>
                <w:lang w:eastAsia="es-CO"/>
                <w14:ligatures w14:val="none"/>
              </w:rPr>
            </w:pPr>
            <w:r w:rsidRPr="00890AC8">
              <w:rPr>
                <w:rFonts w:eastAsia="Times New Roman" w:cs="Times New Roman"/>
                <w:color w:val="000000"/>
                <w:kern w:val="0"/>
                <w:sz w:val="18"/>
                <w:szCs w:val="18"/>
                <w:lang w:eastAsia="es-CO"/>
                <w14:ligatures w14:val="none"/>
              </w:rPr>
              <w:t>3</w:t>
            </w:r>
          </w:p>
        </w:tc>
        <w:tc>
          <w:tcPr>
            <w:tcW w:w="722" w:type="pct"/>
            <w:vAlign w:val="center"/>
            <w:hideMark/>
          </w:tcPr>
          <w:p w14:paraId="41DA7922" w14:textId="77777777" w:rsidR="00C745FA" w:rsidRPr="00890AC8" w:rsidRDefault="00C745FA" w:rsidP="00C745FA">
            <w:pPr>
              <w:spacing w:line="240" w:lineRule="auto"/>
              <w:jc w:val="center"/>
              <w:rPr>
                <w:rFonts w:eastAsia="Times New Roman" w:cs="Times New Roman"/>
                <w:color w:val="000000"/>
                <w:kern w:val="0"/>
                <w:sz w:val="18"/>
                <w:szCs w:val="18"/>
                <w:lang w:eastAsia="es-CO"/>
                <w14:ligatures w14:val="none"/>
              </w:rPr>
            </w:pPr>
            <w:r w:rsidRPr="00890AC8">
              <w:rPr>
                <w:rFonts w:eastAsia="Times New Roman" w:cs="Times New Roman"/>
                <w:color w:val="000000"/>
                <w:kern w:val="0"/>
                <w:sz w:val="18"/>
                <w:szCs w:val="18"/>
                <w:lang w:eastAsia="es-CO"/>
                <w14:ligatures w14:val="none"/>
              </w:rPr>
              <w:t xml:space="preserve">1 2 3 G </w:t>
            </w:r>
          </w:p>
        </w:tc>
        <w:tc>
          <w:tcPr>
            <w:tcW w:w="1605" w:type="pct"/>
            <w:vAlign w:val="center"/>
            <w:hideMark/>
          </w:tcPr>
          <w:p w14:paraId="7565D667" w14:textId="77777777" w:rsidR="00C745FA" w:rsidRPr="00890AC8" w:rsidRDefault="00C745FA" w:rsidP="00C745FA">
            <w:pPr>
              <w:spacing w:line="240" w:lineRule="auto"/>
              <w:rPr>
                <w:rFonts w:eastAsia="Times New Roman" w:cs="Times New Roman"/>
                <w:color w:val="000000"/>
                <w:kern w:val="0"/>
                <w:sz w:val="18"/>
                <w:szCs w:val="18"/>
                <w:lang w:eastAsia="es-CO"/>
                <w14:ligatures w14:val="none"/>
              </w:rPr>
            </w:pPr>
            <w:r w:rsidRPr="00890AC8">
              <w:rPr>
                <w:rFonts w:eastAsia="Times New Roman" w:cs="Times New Roman"/>
                <w:color w:val="000000"/>
                <w:kern w:val="0"/>
                <w:sz w:val="18"/>
                <w:szCs w:val="18"/>
                <w:lang w:eastAsia="es-CO"/>
                <w14:ligatures w14:val="none"/>
              </w:rPr>
              <w:t xml:space="preserve">Cordoba - Sucre </w:t>
            </w:r>
          </w:p>
        </w:tc>
        <w:tc>
          <w:tcPr>
            <w:tcW w:w="1127" w:type="pct"/>
            <w:noWrap/>
            <w:vAlign w:val="center"/>
            <w:hideMark/>
          </w:tcPr>
          <w:p w14:paraId="5EDF3171" w14:textId="77777777" w:rsidR="00C745FA" w:rsidRPr="00890AC8" w:rsidRDefault="00C745FA" w:rsidP="00C745FA">
            <w:pPr>
              <w:spacing w:line="240" w:lineRule="auto"/>
              <w:jc w:val="center"/>
              <w:rPr>
                <w:rFonts w:eastAsia="Times New Roman" w:cs="Times New Roman"/>
                <w:color w:val="000000"/>
                <w:kern w:val="0"/>
                <w:sz w:val="18"/>
                <w:szCs w:val="18"/>
                <w:lang w:eastAsia="es-CO"/>
                <w14:ligatures w14:val="none"/>
              </w:rPr>
            </w:pPr>
            <w:r w:rsidRPr="00890AC8">
              <w:rPr>
                <w:rFonts w:eastAsia="Times New Roman" w:cs="Times New Roman"/>
                <w:color w:val="000000"/>
                <w:kern w:val="0"/>
                <w:sz w:val="18"/>
                <w:szCs w:val="18"/>
                <w:lang w:eastAsia="es-CO"/>
                <w14:ligatures w14:val="none"/>
              </w:rPr>
              <w:t xml:space="preserve"> 002-2007  </w:t>
            </w:r>
          </w:p>
        </w:tc>
        <w:tc>
          <w:tcPr>
            <w:tcW w:w="986" w:type="pct"/>
            <w:noWrap/>
            <w:vAlign w:val="center"/>
            <w:hideMark/>
          </w:tcPr>
          <w:p w14:paraId="337897FD" w14:textId="05718D5F" w:rsidR="00C745FA" w:rsidRPr="00890AC8" w:rsidRDefault="00C745FA" w:rsidP="00C745FA">
            <w:pPr>
              <w:spacing w:line="240" w:lineRule="auto"/>
              <w:jc w:val="center"/>
              <w:rPr>
                <w:rFonts w:eastAsia="Times New Roman" w:cs="Times New Roman"/>
                <w:color w:val="000000"/>
                <w:kern w:val="0"/>
                <w:sz w:val="18"/>
                <w:szCs w:val="18"/>
                <w:lang w:eastAsia="es-CO"/>
                <w14:ligatures w14:val="none"/>
              </w:rPr>
            </w:pPr>
            <w:r w:rsidRPr="00C745FA">
              <w:rPr>
                <w:color w:val="000000"/>
                <w:sz w:val="18"/>
                <w:szCs w:val="18"/>
              </w:rPr>
              <w:t>56.468.126.543</w:t>
            </w:r>
          </w:p>
        </w:tc>
      </w:tr>
      <w:tr w:rsidR="00C745FA" w:rsidRPr="00890AC8" w14:paraId="74D27EB2" w14:textId="77777777" w:rsidTr="00C745FA">
        <w:trPr>
          <w:trHeight w:val="340"/>
        </w:trPr>
        <w:tc>
          <w:tcPr>
            <w:tcW w:w="560" w:type="pct"/>
            <w:noWrap/>
            <w:vAlign w:val="center"/>
            <w:hideMark/>
          </w:tcPr>
          <w:p w14:paraId="1EFB25D5" w14:textId="77777777" w:rsidR="00C745FA" w:rsidRPr="00890AC8" w:rsidRDefault="00C745FA" w:rsidP="00C745FA">
            <w:pPr>
              <w:spacing w:line="240" w:lineRule="auto"/>
              <w:jc w:val="center"/>
              <w:rPr>
                <w:rFonts w:eastAsia="Times New Roman" w:cs="Times New Roman"/>
                <w:color w:val="000000"/>
                <w:kern w:val="0"/>
                <w:sz w:val="18"/>
                <w:szCs w:val="18"/>
                <w:lang w:eastAsia="es-CO"/>
                <w14:ligatures w14:val="none"/>
              </w:rPr>
            </w:pPr>
            <w:r w:rsidRPr="00890AC8">
              <w:rPr>
                <w:rFonts w:eastAsia="Times New Roman" w:cs="Times New Roman"/>
                <w:color w:val="000000"/>
                <w:kern w:val="0"/>
                <w:sz w:val="18"/>
                <w:szCs w:val="18"/>
                <w:lang w:eastAsia="es-CO"/>
                <w14:ligatures w14:val="none"/>
              </w:rPr>
              <w:t>4</w:t>
            </w:r>
          </w:p>
        </w:tc>
        <w:tc>
          <w:tcPr>
            <w:tcW w:w="722" w:type="pct"/>
            <w:vAlign w:val="center"/>
            <w:hideMark/>
          </w:tcPr>
          <w:p w14:paraId="23E70EBC" w14:textId="77777777" w:rsidR="00C745FA" w:rsidRPr="00890AC8" w:rsidRDefault="00C745FA" w:rsidP="00C745FA">
            <w:pPr>
              <w:spacing w:line="240" w:lineRule="auto"/>
              <w:jc w:val="center"/>
              <w:rPr>
                <w:rFonts w:eastAsia="Times New Roman" w:cs="Times New Roman"/>
                <w:color w:val="000000"/>
                <w:kern w:val="0"/>
                <w:sz w:val="18"/>
                <w:szCs w:val="18"/>
                <w:lang w:eastAsia="es-CO"/>
                <w14:ligatures w14:val="none"/>
              </w:rPr>
            </w:pPr>
            <w:r w:rsidRPr="00890AC8">
              <w:rPr>
                <w:rFonts w:eastAsia="Times New Roman" w:cs="Times New Roman"/>
                <w:color w:val="000000"/>
                <w:kern w:val="0"/>
                <w:sz w:val="18"/>
                <w:szCs w:val="18"/>
                <w:lang w:eastAsia="es-CO"/>
                <w14:ligatures w14:val="none"/>
              </w:rPr>
              <w:t xml:space="preserve">1 2 3 G </w:t>
            </w:r>
          </w:p>
        </w:tc>
        <w:tc>
          <w:tcPr>
            <w:tcW w:w="1605" w:type="pct"/>
            <w:vAlign w:val="center"/>
            <w:hideMark/>
          </w:tcPr>
          <w:p w14:paraId="722CF82B" w14:textId="77777777" w:rsidR="00C745FA" w:rsidRPr="00890AC8" w:rsidRDefault="00C745FA" w:rsidP="00C745FA">
            <w:pPr>
              <w:spacing w:line="240" w:lineRule="auto"/>
              <w:rPr>
                <w:rFonts w:eastAsia="Times New Roman" w:cs="Times New Roman"/>
                <w:color w:val="000000"/>
                <w:kern w:val="0"/>
                <w:sz w:val="18"/>
                <w:szCs w:val="18"/>
                <w:lang w:eastAsia="es-CO"/>
                <w14:ligatures w14:val="none"/>
              </w:rPr>
            </w:pPr>
            <w:r w:rsidRPr="00890AC8">
              <w:rPr>
                <w:rFonts w:eastAsia="Times New Roman" w:cs="Times New Roman"/>
                <w:color w:val="000000"/>
                <w:kern w:val="0"/>
                <w:sz w:val="18"/>
                <w:szCs w:val="18"/>
                <w:lang w:eastAsia="es-CO"/>
                <w14:ligatures w14:val="none"/>
              </w:rPr>
              <w:t xml:space="preserve">Fontibon-Facatativa-Los Alpes </w:t>
            </w:r>
          </w:p>
        </w:tc>
        <w:tc>
          <w:tcPr>
            <w:tcW w:w="1127" w:type="pct"/>
            <w:noWrap/>
            <w:vAlign w:val="center"/>
            <w:hideMark/>
          </w:tcPr>
          <w:p w14:paraId="42397A77" w14:textId="77777777" w:rsidR="00C745FA" w:rsidRPr="00890AC8" w:rsidRDefault="00C745FA" w:rsidP="00C745FA">
            <w:pPr>
              <w:spacing w:line="240" w:lineRule="auto"/>
              <w:jc w:val="center"/>
              <w:rPr>
                <w:rFonts w:eastAsia="Times New Roman" w:cs="Times New Roman"/>
                <w:color w:val="000000"/>
                <w:kern w:val="0"/>
                <w:sz w:val="18"/>
                <w:szCs w:val="18"/>
                <w:lang w:eastAsia="es-CO"/>
                <w14:ligatures w14:val="none"/>
              </w:rPr>
            </w:pPr>
            <w:r w:rsidRPr="00890AC8">
              <w:rPr>
                <w:rFonts w:eastAsia="Times New Roman" w:cs="Times New Roman"/>
                <w:color w:val="000000"/>
                <w:kern w:val="0"/>
                <w:sz w:val="18"/>
                <w:szCs w:val="18"/>
                <w:lang w:eastAsia="es-CO"/>
                <w14:ligatures w14:val="none"/>
              </w:rPr>
              <w:t xml:space="preserve">  </w:t>
            </w:r>
          </w:p>
        </w:tc>
        <w:tc>
          <w:tcPr>
            <w:tcW w:w="986" w:type="pct"/>
            <w:noWrap/>
            <w:vAlign w:val="center"/>
            <w:hideMark/>
          </w:tcPr>
          <w:p w14:paraId="321BEFFD" w14:textId="40465423" w:rsidR="00C745FA" w:rsidRPr="00890AC8" w:rsidRDefault="00C745FA" w:rsidP="00C745FA">
            <w:pPr>
              <w:spacing w:line="240" w:lineRule="auto"/>
              <w:jc w:val="center"/>
              <w:rPr>
                <w:rFonts w:eastAsia="Times New Roman" w:cs="Times New Roman"/>
                <w:color w:val="000000"/>
                <w:kern w:val="0"/>
                <w:sz w:val="18"/>
                <w:szCs w:val="18"/>
                <w:lang w:eastAsia="es-CO"/>
                <w14:ligatures w14:val="none"/>
              </w:rPr>
            </w:pPr>
            <w:r w:rsidRPr="00C745FA">
              <w:rPr>
                <w:color w:val="000000"/>
                <w:sz w:val="18"/>
                <w:szCs w:val="18"/>
              </w:rPr>
              <w:t>31.799.051.985</w:t>
            </w:r>
          </w:p>
        </w:tc>
      </w:tr>
      <w:tr w:rsidR="00C745FA" w:rsidRPr="00890AC8" w14:paraId="323BA6C9" w14:textId="77777777" w:rsidTr="00C745FA">
        <w:trPr>
          <w:trHeight w:val="340"/>
        </w:trPr>
        <w:tc>
          <w:tcPr>
            <w:tcW w:w="560" w:type="pct"/>
            <w:noWrap/>
            <w:vAlign w:val="center"/>
            <w:hideMark/>
          </w:tcPr>
          <w:p w14:paraId="4A535EEF" w14:textId="77777777" w:rsidR="00C745FA" w:rsidRPr="00890AC8" w:rsidRDefault="00C745FA" w:rsidP="00C745FA">
            <w:pPr>
              <w:spacing w:line="240" w:lineRule="auto"/>
              <w:jc w:val="center"/>
              <w:rPr>
                <w:rFonts w:eastAsia="Times New Roman" w:cs="Times New Roman"/>
                <w:color w:val="000000"/>
                <w:kern w:val="0"/>
                <w:sz w:val="18"/>
                <w:szCs w:val="18"/>
                <w:lang w:eastAsia="es-CO"/>
                <w14:ligatures w14:val="none"/>
              </w:rPr>
            </w:pPr>
            <w:r w:rsidRPr="00890AC8">
              <w:rPr>
                <w:rFonts w:eastAsia="Times New Roman" w:cs="Times New Roman"/>
                <w:color w:val="000000"/>
                <w:kern w:val="0"/>
                <w:sz w:val="18"/>
                <w:szCs w:val="18"/>
                <w:lang w:eastAsia="es-CO"/>
                <w14:ligatures w14:val="none"/>
              </w:rPr>
              <w:t>5</w:t>
            </w:r>
          </w:p>
        </w:tc>
        <w:tc>
          <w:tcPr>
            <w:tcW w:w="722" w:type="pct"/>
            <w:vAlign w:val="center"/>
            <w:hideMark/>
          </w:tcPr>
          <w:p w14:paraId="7B6DE2CB" w14:textId="77777777" w:rsidR="00C745FA" w:rsidRPr="00890AC8" w:rsidRDefault="00C745FA" w:rsidP="00C745FA">
            <w:pPr>
              <w:spacing w:line="240" w:lineRule="auto"/>
              <w:jc w:val="center"/>
              <w:rPr>
                <w:rFonts w:eastAsia="Times New Roman" w:cs="Times New Roman"/>
                <w:color w:val="000000"/>
                <w:kern w:val="0"/>
                <w:sz w:val="18"/>
                <w:szCs w:val="18"/>
                <w:lang w:eastAsia="es-CO"/>
                <w14:ligatures w14:val="none"/>
              </w:rPr>
            </w:pPr>
            <w:r w:rsidRPr="00890AC8">
              <w:rPr>
                <w:rFonts w:eastAsia="Times New Roman" w:cs="Times New Roman"/>
                <w:color w:val="000000"/>
                <w:kern w:val="0"/>
                <w:sz w:val="18"/>
                <w:szCs w:val="18"/>
                <w:lang w:eastAsia="es-CO"/>
                <w14:ligatures w14:val="none"/>
              </w:rPr>
              <w:t xml:space="preserve">1 2 3G </w:t>
            </w:r>
          </w:p>
        </w:tc>
        <w:tc>
          <w:tcPr>
            <w:tcW w:w="1605" w:type="pct"/>
            <w:vAlign w:val="center"/>
            <w:hideMark/>
          </w:tcPr>
          <w:p w14:paraId="41A27C22" w14:textId="77777777" w:rsidR="00C745FA" w:rsidRPr="00890AC8" w:rsidRDefault="00C745FA" w:rsidP="00C745FA">
            <w:pPr>
              <w:spacing w:line="240" w:lineRule="auto"/>
              <w:rPr>
                <w:rFonts w:eastAsia="Times New Roman" w:cs="Times New Roman"/>
                <w:color w:val="000000"/>
                <w:kern w:val="0"/>
                <w:sz w:val="18"/>
                <w:szCs w:val="18"/>
                <w:lang w:eastAsia="es-CO"/>
                <w14:ligatures w14:val="none"/>
              </w:rPr>
            </w:pPr>
            <w:r w:rsidRPr="00890AC8">
              <w:rPr>
                <w:rFonts w:eastAsia="Times New Roman" w:cs="Times New Roman"/>
                <w:color w:val="000000"/>
                <w:kern w:val="0"/>
                <w:sz w:val="18"/>
                <w:szCs w:val="18"/>
                <w:lang w:eastAsia="es-CO"/>
                <w14:ligatures w14:val="none"/>
              </w:rPr>
              <w:t xml:space="preserve">Pasto - Rumichaca - Chachagui </w:t>
            </w:r>
          </w:p>
        </w:tc>
        <w:tc>
          <w:tcPr>
            <w:tcW w:w="1127" w:type="pct"/>
            <w:noWrap/>
            <w:vAlign w:val="center"/>
            <w:hideMark/>
          </w:tcPr>
          <w:p w14:paraId="1180FDE5" w14:textId="77777777" w:rsidR="00C745FA" w:rsidRPr="00890AC8" w:rsidRDefault="00C745FA" w:rsidP="00C745FA">
            <w:pPr>
              <w:spacing w:line="240" w:lineRule="auto"/>
              <w:jc w:val="center"/>
              <w:rPr>
                <w:rFonts w:eastAsia="Times New Roman" w:cs="Times New Roman"/>
                <w:color w:val="000000"/>
                <w:kern w:val="0"/>
                <w:sz w:val="18"/>
                <w:szCs w:val="18"/>
                <w:lang w:eastAsia="es-CO"/>
                <w14:ligatures w14:val="none"/>
              </w:rPr>
            </w:pPr>
            <w:r w:rsidRPr="00890AC8">
              <w:rPr>
                <w:rFonts w:eastAsia="Times New Roman" w:cs="Times New Roman"/>
                <w:color w:val="000000"/>
                <w:kern w:val="0"/>
                <w:sz w:val="18"/>
                <w:szCs w:val="18"/>
                <w:lang w:eastAsia="es-CO"/>
                <w14:ligatures w14:val="none"/>
              </w:rPr>
              <w:t xml:space="preserve"> 003-2006  </w:t>
            </w:r>
          </w:p>
        </w:tc>
        <w:tc>
          <w:tcPr>
            <w:tcW w:w="986" w:type="pct"/>
            <w:noWrap/>
            <w:vAlign w:val="center"/>
            <w:hideMark/>
          </w:tcPr>
          <w:p w14:paraId="1C98EFFE" w14:textId="2E055655" w:rsidR="00C745FA" w:rsidRPr="00890AC8" w:rsidRDefault="00C745FA" w:rsidP="00C745FA">
            <w:pPr>
              <w:spacing w:line="240" w:lineRule="auto"/>
              <w:jc w:val="center"/>
              <w:rPr>
                <w:rFonts w:eastAsia="Times New Roman" w:cs="Times New Roman"/>
                <w:color w:val="000000"/>
                <w:kern w:val="0"/>
                <w:sz w:val="18"/>
                <w:szCs w:val="18"/>
                <w:lang w:eastAsia="es-CO"/>
                <w14:ligatures w14:val="none"/>
              </w:rPr>
            </w:pPr>
            <w:r w:rsidRPr="00C745FA">
              <w:rPr>
                <w:color w:val="000000"/>
                <w:sz w:val="18"/>
                <w:szCs w:val="18"/>
              </w:rPr>
              <w:t>28.006.929.690</w:t>
            </w:r>
          </w:p>
        </w:tc>
      </w:tr>
      <w:tr w:rsidR="00C745FA" w:rsidRPr="00890AC8" w14:paraId="3339620D" w14:textId="77777777" w:rsidTr="00C745FA">
        <w:trPr>
          <w:trHeight w:val="340"/>
        </w:trPr>
        <w:tc>
          <w:tcPr>
            <w:tcW w:w="560" w:type="pct"/>
            <w:noWrap/>
            <w:vAlign w:val="center"/>
            <w:hideMark/>
          </w:tcPr>
          <w:p w14:paraId="357A39BF" w14:textId="77777777" w:rsidR="00C745FA" w:rsidRPr="00890AC8" w:rsidRDefault="00C745FA" w:rsidP="00C745FA">
            <w:pPr>
              <w:spacing w:line="240" w:lineRule="auto"/>
              <w:jc w:val="center"/>
              <w:rPr>
                <w:rFonts w:eastAsia="Times New Roman" w:cs="Times New Roman"/>
                <w:color w:val="000000"/>
                <w:kern w:val="0"/>
                <w:sz w:val="18"/>
                <w:szCs w:val="18"/>
                <w:lang w:eastAsia="es-CO"/>
                <w14:ligatures w14:val="none"/>
              </w:rPr>
            </w:pPr>
            <w:r w:rsidRPr="00890AC8">
              <w:rPr>
                <w:rFonts w:eastAsia="Times New Roman" w:cs="Times New Roman"/>
                <w:color w:val="000000"/>
                <w:kern w:val="0"/>
                <w:sz w:val="18"/>
                <w:szCs w:val="18"/>
                <w:lang w:eastAsia="es-CO"/>
                <w14:ligatures w14:val="none"/>
              </w:rPr>
              <w:t>6</w:t>
            </w:r>
          </w:p>
        </w:tc>
        <w:tc>
          <w:tcPr>
            <w:tcW w:w="722" w:type="pct"/>
            <w:vAlign w:val="center"/>
            <w:hideMark/>
          </w:tcPr>
          <w:p w14:paraId="2D062E3A" w14:textId="77777777" w:rsidR="00C745FA" w:rsidRPr="00890AC8" w:rsidRDefault="00C745FA" w:rsidP="00C745FA">
            <w:pPr>
              <w:spacing w:line="240" w:lineRule="auto"/>
              <w:jc w:val="center"/>
              <w:rPr>
                <w:rFonts w:eastAsia="Times New Roman" w:cs="Times New Roman"/>
                <w:color w:val="000000"/>
                <w:kern w:val="0"/>
                <w:sz w:val="18"/>
                <w:szCs w:val="18"/>
                <w:lang w:eastAsia="es-CO"/>
                <w14:ligatures w14:val="none"/>
              </w:rPr>
            </w:pPr>
            <w:r w:rsidRPr="00890AC8">
              <w:rPr>
                <w:rFonts w:eastAsia="Times New Roman" w:cs="Times New Roman"/>
                <w:color w:val="000000"/>
                <w:kern w:val="0"/>
                <w:sz w:val="18"/>
                <w:szCs w:val="18"/>
                <w:lang w:eastAsia="es-CO"/>
                <w14:ligatures w14:val="none"/>
              </w:rPr>
              <w:t xml:space="preserve">1 2 3 G </w:t>
            </w:r>
          </w:p>
        </w:tc>
        <w:tc>
          <w:tcPr>
            <w:tcW w:w="1605" w:type="pct"/>
            <w:vAlign w:val="center"/>
            <w:hideMark/>
          </w:tcPr>
          <w:p w14:paraId="612838BE" w14:textId="77777777" w:rsidR="00C745FA" w:rsidRPr="00890AC8" w:rsidRDefault="00C745FA" w:rsidP="00C745FA">
            <w:pPr>
              <w:spacing w:line="240" w:lineRule="auto"/>
              <w:rPr>
                <w:rFonts w:eastAsia="Times New Roman" w:cs="Times New Roman"/>
                <w:color w:val="000000"/>
                <w:kern w:val="0"/>
                <w:sz w:val="18"/>
                <w:szCs w:val="18"/>
                <w:lang w:eastAsia="es-CO"/>
                <w14:ligatures w14:val="none"/>
              </w:rPr>
            </w:pPr>
            <w:r w:rsidRPr="00890AC8">
              <w:rPr>
                <w:rFonts w:eastAsia="Times New Roman" w:cs="Times New Roman"/>
                <w:color w:val="000000"/>
                <w:kern w:val="0"/>
                <w:sz w:val="18"/>
                <w:szCs w:val="18"/>
                <w:lang w:eastAsia="es-CO"/>
                <w14:ligatures w14:val="none"/>
              </w:rPr>
              <w:t xml:space="preserve">Area Metropolitana De Cucuta </w:t>
            </w:r>
          </w:p>
        </w:tc>
        <w:tc>
          <w:tcPr>
            <w:tcW w:w="1127" w:type="pct"/>
            <w:noWrap/>
            <w:vAlign w:val="center"/>
            <w:hideMark/>
          </w:tcPr>
          <w:p w14:paraId="5F15AA69" w14:textId="77777777" w:rsidR="00C745FA" w:rsidRPr="00890AC8" w:rsidRDefault="00C745FA" w:rsidP="00C745FA">
            <w:pPr>
              <w:spacing w:line="240" w:lineRule="auto"/>
              <w:jc w:val="center"/>
              <w:rPr>
                <w:rFonts w:eastAsia="Times New Roman" w:cs="Times New Roman"/>
                <w:color w:val="000000"/>
                <w:kern w:val="0"/>
                <w:sz w:val="18"/>
                <w:szCs w:val="18"/>
                <w:lang w:eastAsia="es-CO"/>
                <w14:ligatures w14:val="none"/>
              </w:rPr>
            </w:pPr>
            <w:r w:rsidRPr="00890AC8">
              <w:rPr>
                <w:rFonts w:eastAsia="Times New Roman" w:cs="Times New Roman"/>
                <w:color w:val="000000"/>
                <w:kern w:val="0"/>
                <w:sz w:val="18"/>
                <w:szCs w:val="18"/>
                <w:lang w:eastAsia="es-CO"/>
                <w14:ligatures w14:val="none"/>
              </w:rPr>
              <w:t xml:space="preserve"> 006-2008  </w:t>
            </w:r>
          </w:p>
        </w:tc>
        <w:tc>
          <w:tcPr>
            <w:tcW w:w="986" w:type="pct"/>
            <w:noWrap/>
            <w:vAlign w:val="center"/>
            <w:hideMark/>
          </w:tcPr>
          <w:p w14:paraId="5D3772BB" w14:textId="779DDF9B" w:rsidR="00C745FA" w:rsidRPr="00890AC8" w:rsidRDefault="00C745FA" w:rsidP="00C745FA">
            <w:pPr>
              <w:spacing w:line="240" w:lineRule="auto"/>
              <w:jc w:val="center"/>
              <w:rPr>
                <w:rFonts w:eastAsia="Times New Roman" w:cs="Times New Roman"/>
                <w:color w:val="000000"/>
                <w:kern w:val="0"/>
                <w:sz w:val="18"/>
                <w:szCs w:val="18"/>
                <w:lang w:eastAsia="es-CO"/>
                <w14:ligatures w14:val="none"/>
              </w:rPr>
            </w:pPr>
            <w:r w:rsidRPr="00C745FA">
              <w:rPr>
                <w:color w:val="000000"/>
                <w:sz w:val="18"/>
                <w:szCs w:val="18"/>
              </w:rPr>
              <w:t>27.537.721.650</w:t>
            </w:r>
          </w:p>
        </w:tc>
      </w:tr>
      <w:tr w:rsidR="00C745FA" w:rsidRPr="00890AC8" w14:paraId="1A7D4EA1" w14:textId="77777777" w:rsidTr="00C745FA">
        <w:trPr>
          <w:trHeight w:val="340"/>
        </w:trPr>
        <w:tc>
          <w:tcPr>
            <w:tcW w:w="560" w:type="pct"/>
            <w:noWrap/>
            <w:vAlign w:val="center"/>
            <w:hideMark/>
          </w:tcPr>
          <w:p w14:paraId="3B7358B3" w14:textId="77777777" w:rsidR="00C745FA" w:rsidRPr="00890AC8" w:rsidRDefault="00C745FA" w:rsidP="00C745FA">
            <w:pPr>
              <w:spacing w:line="240" w:lineRule="auto"/>
              <w:jc w:val="center"/>
              <w:rPr>
                <w:rFonts w:eastAsia="Times New Roman" w:cs="Times New Roman"/>
                <w:color w:val="000000"/>
                <w:kern w:val="0"/>
                <w:sz w:val="18"/>
                <w:szCs w:val="18"/>
                <w:lang w:eastAsia="es-CO"/>
                <w14:ligatures w14:val="none"/>
              </w:rPr>
            </w:pPr>
            <w:r w:rsidRPr="00890AC8">
              <w:rPr>
                <w:rFonts w:eastAsia="Times New Roman" w:cs="Times New Roman"/>
                <w:color w:val="000000"/>
                <w:kern w:val="0"/>
                <w:sz w:val="18"/>
                <w:szCs w:val="18"/>
                <w:lang w:eastAsia="es-CO"/>
                <w14:ligatures w14:val="none"/>
              </w:rPr>
              <w:t>7</w:t>
            </w:r>
          </w:p>
        </w:tc>
        <w:tc>
          <w:tcPr>
            <w:tcW w:w="722" w:type="pct"/>
            <w:vAlign w:val="center"/>
            <w:hideMark/>
          </w:tcPr>
          <w:p w14:paraId="531EABE9" w14:textId="77777777" w:rsidR="00C745FA" w:rsidRPr="00890AC8" w:rsidRDefault="00C745FA" w:rsidP="00C745FA">
            <w:pPr>
              <w:spacing w:line="240" w:lineRule="auto"/>
              <w:jc w:val="center"/>
              <w:rPr>
                <w:rFonts w:eastAsia="Times New Roman" w:cs="Times New Roman"/>
                <w:color w:val="000000"/>
                <w:kern w:val="0"/>
                <w:sz w:val="18"/>
                <w:szCs w:val="18"/>
                <w:lang w:eastAsia="es-CO"/>
                <w14:ligatures w14:val="none"/>
              </w:rPr>
            </w:pPr>
            <w:r w:rsidRPr="00890AC8">
              <w:rPr>
                <w:rFonts w:eastAsia="Times New Roman" w:cs="Times New Roman"/>
                <w:color w:val="000000"/>
                <w:kern w:val="0"/>
                <w:sz w:val="18"/>
                <w:szCs w:val="18"/>
                <w:lang w:eastAsia="es-CO"/>
                <w14:ligatures w14:val="none"/>
              </w:rPr>
              <w:t xml:space="preserve">1 2 3G </w:t>
            </w:r>
          </w:p>
        </w:tc>
        <w:tc>
          <w:tcPr>
            <w:tcW w:w="1605" w:type="pct"/>
            <w:vAlign w:val="center"/>
            <w:hideMark/>
          </w:tcPr>
          <w:p w14:paraId="5AB5DE2A" w14:textId="77777777" w:rsidR="00C745FA" w:rsidRPr="00890AC8" w:rsidRDefault="00C745FA" w:rsidP="00C745FA">
            <w:pPr>
              <w:spacing w:line="240" w:lineRule="auto"/>
              <w:rPr>
                <w:rFonts w:eastAsia="Times New Roman" w:cs="Times New Roman"/>
                <w:color w:val="000000"/>
                <w:kern w:val="0"/>
                <w:sz w:val="18"/>
                <w:szCs w:val="18"/>
                <w:lang w:eastAsia="es-CO"/>
                <w14:ligatures w14:val="none"/>
              </w:rPr>
            </w:pPr>
            <w:r w:rsidRPr="00890AC8">
              <w:rPr>
                <w:rFonts w:eastAsia="Times New Roman" w:cs="Times New Roman"/>
                <w:color w:val="000000"/>
                <w:kern w:val="0"/>
                <w:sz w:val="18"/>
                <w:szCs w:val="18"/>
                <w:lang w:eastAsia="es-CO"/>
                <w14:ligatures w14:val="none"/>
              </w:rPr>
              <w:t xml:space="preserve">Desarrollo Vial Del Norte De Bogotá </w:t>
            </w:r>
          </w:p>
        </w:tc>
        <w:tc>
          <w:tcPr>
            <w:tcW w:w="1127" w:type="pct"/>
            <w:noWrap/>
            <w:vAlign w:val="center"/>
            <w:hideMark/>
          </w:tcPr>
          <w:p w14:paraId="0E18C6E7" w14:textId="77777777" w:rsidR="00C745FA" w:rsidRPr="00890AC8" w:rsidRDefault="00C745FA" w:rsidP="00C745FA">
            <w:pPr>
              <w:spacing w:line="240" w:lineRule="auto"/>
              <w:jc w:val="center"/>
              <w:rPr>
                <w:rFonts w:eastAsia="Times New Roman" w:cs="Times New Roman"/>
                <w:color w:val="000000"/>
                <w:kern w:val="0"/>
                <w:sz w:val="18"/>
                <w:szCs w:val="18"/>
                <w:lang w:eastAsia="es-CO"/>
                <w14:ligatures w14:val="none"/>
              </w:rPr>
            </w:pPr>
            <w:r w:rsidRPr="00890AC8">
              <w:rPr>
                <w:rFonts w:eastAsia="Times New Roman" w:cs="Times New Roman"/>
                <w:color w:val="000000"/>
                <w:kern w:val="0"/>
                <w:sz w:val="18"/>
                <w:szCs w:val="18"/>
                <w:lang w:eastAsia="es-CO"/>
                <w14:ligatures w14:val="none"/>
              </w:rPr>
              <w:t xml:space="preserve"> 664-1994  </w:t>
            </w:r>
          </w:p>
        </w:tc>
        <w:tc>
          <w:tcPr>
            <w:tcW w:w="986" w:type="pct"/>
            <w:noWrap/>
            <w:vAlign w:val="center"/>
            <w:hideMark/>
          </w:tcPr>
          <w:p w14:paraId="679356FE" w14:textId="300CACE4" w:rsidR="00C745FA" w:rsidRPr="00890AC8" w:rsidRDefault="00C745FA" w:rsidP="00C745FA">
            <w:pPr>
              <w:spacing w:line="240" w:lineRule="auto"/>
              <w:jc w:val="center"/>
              <w:rPr>
                <w:rFonts w:eastAsia="Times New Roman" w:cs="Times New Roman"/>
                <w:color w:val="000000"/>
                <w:kern w:val="0"/>
                <w:sz w:val="18"/>
                <w:szCs w:val="18"/>
                <w:lang w:eastAsia="es-CO"/>
                <w14:ligatures w14:val="none"/>
              </w:rPr>
            </w:pPr>
            <w:r w:rsidRPr="00C745FA">
              <w:rPr>
                <w:color w:val="000000"/>
                <w:sz w:val="18"/>
                <w:szCs w:val="18"/>
              </w:rPr>
              <w:t>23.372.074.811</w:t>
            </w:r>
          </w:p>
        </w:tc>
      </w:tr>
      <w:tr w:rsidR="00C745FA" w:rsidRPr="00890AC8" w14:paraId="61EB2640" w14:textId="77777777" w:rsidTr="00C745FA">
        <w:trPr>
          <w:trHeight w:val="340"/>
        </w:trPr>
        <w:tc>
          <w:tcPr>
            <w:tcW w:w="560" w:type="pct"/>
            <w:noWrap/>
            <w:vAlign w:val="center"/>
            <w:hideMark/>
          </w:tcPr>
          <w:p w14:paraId="543E2FBC" w14:textId="77777777" w:rsidR="00C745FA" w:rsidRPr="00890AC8" w:rsidRDefault="00C745FA" w:rsidP="00C745FA">
            <w:pPr>
              <w:spacing w:line="240" w:lineRule="auto"/>
              <w:jc w:val="center"/>
              <w:rPr>
                <w:rFonts w:eastAsia="Times New Roman" w:cs="Times New Roman"/>
                <w:color w:val="000000"/>
                <w:kern w:val="0"/>
                <w:sz w:val="18"/>
                <w:szCs w:val="18"/>
                <w:lang w:eastAsia="es-CO"/>
                <w14:ligatures w14:val="none"/>
              </w:rPr>
            </w:pPr>
            <w:r w:rsidRPr="00890AC8">
              <w:rPr>
                <w:rFonts w:eastAsia="Times New Roman" w:cs="Times New Roman"/>
                <w:color w:val="000000"/>
                <w:kern w:val="0"/>
                <w:sz w:val="18"/>
                <w:szCs w:val="18"/>
                <w:lang w:eastAsia="es-CO"/>
                <w14:ligatures w14:val="none"/>
              </w:rPr>
              <w:t>8</w:t>
            </w:r>
          </w:p>
        </w:tc>
        <w:tc>
          <w:tcPr>
            <w:tcW w:w="722" w:type="pct"/>
            <w:vAlign w:val="center"/>
            <w:hideMark/>
          </w:tcPr>
          <w:p w14:paraId="70BA1071" w14:textId="77777777" w:rsidR="00C745FA" w:rsidRPr="00890AC8" w:rsidRDefault="00C745FA" w:rsidP="00C745FA">
            <w:pPr>
              <w:spacing w:line="240" w:lineRule="auto"/>
              <w:jc w:val="center"/>
              <w:rPr>
                <w:rFonts w:eastAsia="Times New Roman" w:cs="Times New Roman"/>
                <w:color w:val="000000"/>
                <w:kern w:val="0"/>
                <w:sz w:val="18"/>
                <w:szCs w:val="18"/>
                <w:lang w:eastAsia="es-CO"/>
                <w14:ligatures w14:val="none"/>
              </w:rPr>
            </w:pPr>
            <w:r w:rsidRPr="00890AC8">
              <w:rPr>
                <w:rFonts w:eastAsia="Times New Roman" w:cs="Times New Roman"/>
                <w:color w:val="000000"/>
                <w:kern w:val="0"/>
                <w:sz w:val="18"/>
                <w:szCs w:val="18"/>
                <w:lang w:eastAsia="es-CO"/>
                <w14:ligatures w14:val="none"/>
              </w:rPr>
              <w:t xml:space="preserve">1 2 3G </w:t>
            </w:r>
          </w:p>
        </w:tc>
        <w:tc>
          <w:tcPr>
            <w:tcW w:w="1605" w:type="pct"/>
            <w:vAlign w:val="center"/>
            <w:hideMark/>
          </w:tcPr>
          <w:p w14:paraId="2D15B464" w14:textId="77777777" w:rsidR="00C745FA" w:rsidRPr="00890AC8" w:rsidRDefault="00C745FA" w:rsidP="00C745FA">
            <w:pPr>
              <w:spacing w:line="240" w:lineRule="auto"/>
              <w:rPr>
                <w:rFonts w:eastAsia="Times New Roman" w:cs="Times New Roman"/>
                <w:color w:val="000000"/>
                <w:kern w:val="0"/>
                <w:sz w:val="18"/>
                <w:szCs w:val="18"/>
                <w:lang w:eastAsia="es-CO"/>
                <w14:ligatures w14:val="none"/>
              </w:rPr>
            </w:pPr>
            <w:r w:rsidRPr="00890AC8">
              <w:rPr>
                <w:rFonts w:eastAsia="Times New Roman" w:cs="Times New Roman"/>
                <w:color w:val="000000"/>
                <w:kern w:val="0"/>
                <w:sz w:val="18"/>
                <w:szCs w:val="18"/>
                <w:lang w:eastAsia="es-CO"/>
                <w14:ligatures w14:val="none"/>
              </w:rPr>
              <w:t xml:space="preserve">Malla Vial Del Valle Del Cauca Y Cauca </w:t>
            </w:r>
          </w:p>
        </w:tc>
        <w:tc>
          <w:tcPr>
            <w:tcW w:w="1127" w:type="pct"/>
            <w:noWrap/>
            <w:vAlign w:val="center"/>
            <w:hideMark/>
          </w:tcPr>
          <w:p w14:paraId="34B62530" w14:textId="77777777" w:rsidR="00C745FA" w:rsidRPr="00890AC8" w:rsidRDefault="00C745FA" w:rsidP="00C745FA">
            <w:pPr>
              <w:spacing w:line="240" w:lineRule="auto"/>
              <w:jc w:val="center"/>
              <w:rPr>
                <w:rFonts w:eastAsia="Times New Roman" w:cs="Times New Roman"/>
                <w:color w:val="000000"/>
                <w:kern w:val="0"/>
                <w:sz w:val="18"/>
                <w:szCs w:val="18"/>
                <w:lang w:eastAsia="es-CO"/>
                <w14:ligatures w14:val="none"/>
              </w:rPr>
            </w:pPr>
            <w:r w:rsidRPr="00890AC8">
              <w:rPr>
                <w:rFonts w:eastAsia="Times New Roman" w:cs="Times New Roman"/>
                <w:color w:val="000000"/>
                <w:kern w:val="0"/>
                <w:sz w:val="18"/>
                <w:szCs w:val="18"/>
                <w:lang w:eastAsia="es-CO"/>
                <w14:ligatures w14:val="none"/>
              </w:rPr>
              <w:t xml:space="preserve"> 005-1999  </w:t>
            </w:r>
          </w:p>
        </w:tc>
        <w:tc>
          <w:tcPr>
            <w:tcW w:w="986" w:type="pct"/>
            <w:noWrap/>
            <w:vAlign w:val="center"/>
            <w:hideMark/>
          </w:tcPr>
          <w:p w14:paraId="4ABD7981" w14:textId="5E4EF6F7" w:rsidR="00C745FA" w:rsidRPr="00890AC8" w:rsidRDefault="00C745FA" w:rsidP="00C745FA">
            <w:pPr>
              <w:spacing w:line="240" w:lineRule="auto"/>
              <w:jc w:val="center"/>
              <w:rPr>
                <w:rFonts w:eastAsia="Times New Roman" w:cs="Times New Roman"/>
                <w:color w:val="000000"/>
                <w:kern w:val="0"/>
                <w:sz w:val="18"/>
                <w:szCs w:val="18"/>
                <w:lang w:eastAsia="es-CO"/>
                <w14:ligatures w14:val="none"/>
              </w:rPr>
            </w:pPr>
            <w:r w:rsidRPr="00C745FA">
              <w:rPr>
                <w:color w:val="000000"/>
                <w:sz w:val="18"/>
                <w:szCs w:val="18"/>
              </w:rPr>
              <w:t>22.577.100.169</w:t>
            </w:r>
          </w:p>
        </w:tc>
      </w:tr>
      <w:tr w:rsidR="00C745FA" w:rsidRPr="00890AC8" w14:paraId="1E114A14" w14:textId="77777777" w:rsidTr="00C745FA">
        <w:trPr>
          <w:trHeight w:val="340"/>
        </w:trPr>
        <w:tc>
          <w:tcPr>
            <w:tcW w:w="560" w:type="pct"/>
            <w:noWrap/>
            <w:vAlign w:val="center"/>
            <w:hideMark/>
          </w:tcPr>
          <w:p w14:paraId="15273DAB" w14:textId="77777777" w:rsidR="00C745FA" w:rsidRPr="00890AC8" w:rsidRDefault="00C745FA" w:rsidP="00C745FA">
            <w:pPr>
              <w:spacing w:line="240" w:lineRule="auto"/>
              <w:jc w:val="center"/>
              <w:rPr>
                <w:rFonts w:eastAsia="Times New Roman" w:cs="Times New Roman"/>
                <w:color w:val="000000"/>
                <w:kern w:val="0"/>
                <w:sz w:val="18"/>
                <w:szCs w:val="18"/>
                <w:lang w:eastAsia="es-CO"/>
                <w14:ligatures w14:val="none"/>
              </w:rPr>
            </w:pPr>
            <w:r w:rsidRPr="00890AC8">
              <w:rPr>
                <w:rFonts w:eastAsia="Times New Roman" w:cs="Times New Roman"/>
                <w:color w:val="000000"/>
                <w:kern w:val="0"/>
                <w:sz w:val="18"/>
                <w:szCs w:val="18"/>
                <w:lang w:eastAsia="es-CO"/>
                <w14:ligatures w14:val="none"/>
              </w:rPr>
              <w:t>9</w:t>
            </w:r>
          </w:p>
        </w:tc>
        <w:tc>
          <w:tcPr>
            <w:tcW w:w="722" w:type="pct"/>
            <w:vAlign w:val="center"/>
            <w:hideMark/>
          </w:tcPr>
          <w:p w14:paraId="1D75897D" w14:textId="77777777" w:rsidR="00C745FA" w:rsidRPr="00890AC8" w:rsidRDefault="00C745FA" w:rsidP="00C745FA">
            <w:pPr>
              <w:spacing w:line="240" w:lineRule="auto"/>
              <w:jc w:val="center"/>
              <w:rPr>
                <w:rFonts w:eastAsia="Times New Roman" w:cs="Times New Roman"/>
                <w:color w:val="000000"/>
                <w:kern w:val="0"/>
                <w:sz w:val="18"/>
                <w:szCs w:val="18"/>
                <w:lang w:eastAsia="es-CO"/>
                <w14:ligatures w14:val="none"/>
              </w:rPr>
            </w:pPr>
            <w:r w:rsidRPr="00890AC8">
              <w:rPr>
                <w:rFonts w:eastAsia="Times New Roman" w:cs="Times New Roman"/>
                <w:color w:val="000000"/>
                <w:kern w:val="0"/>
                <w:sz w:val="18"/>
                <w:szCs w:val="18"/>
                <w:lang w:eastAsia="es-CO"/>
                <w14:ligatures w14:val="none"/>
              </w:rPr>
              <w:t xml:space="preserve">1 2 3G </w:t>
            </w:r>
          </w:p>
        </w:tc>
        <w:tc>
          <w:tcPr>
            <w:tcW w:w="1605" w:type="pct"/>
            <w:vAlign w:val="center"/>
            <w:hideMark/>
          </w:tcPr>
          <w:p w14:paraId="41283503" w14:textId="77777777" w:rsidR="00C745FA" w:rsidRPr="00890AC8" w:rsidRDefault="00C745FA" w:rsidP="00C745FA">
            <w:pPr>
              <w:spacing w:line="240" w:lineRule="auto"/>
              <w:rPr>
                <w:rFonts w:eastAsia="Times New Roman" w:cs="Times New Roman"/>
                <w:color w:val="000000"/>
                <w:kern w:val="0"/>
                <w:sz w:val="18"/>
                <w:szCs w:val="18"/>
                <w:lang w:eastAsia="es-CO"/>
                <w14:ligatures w14:val="none"/>
              </w:rPr>
            </w:pPr>
            <w:r w:rsidRPr="00890AC8">
              <w:rPr>
                <w:rFonts w:eastAsia="Times New Roman" w:cs="Times New Roman"/>
                <w:color w:val="000000"/>
                <w:kern w:val="0"/>
                <w:sz w:val="18"/>
                <w:szCs w:val="18"/>
                <w:lang w:eastAsia="es-CO"/>
                <w14:ligatures w14:val="none"/>
              </w:rPr>
              <w:t xml:space="preserve">Ruta Del Sol (Sector 1) - Consorcio Vial Helios </w:t>
            </w:r>
          </w:p>
        </w:tc>
        <w:tc>
          <w:tcPr>
            <w:tcW w:w="1127" w:type="pct"/>
            <w:noWrap/>
            <w:vAlign w:val="center"/>
            <w:hideMark/>
          </w:tcPr>
          <w:p w14:paraId="3E867B32" w14:textId="77777777" w:rsidR="00C745FA" w:rsidRPr="00890AC8" w:rsidRDefault="00C745FA" w:rsidP="00C745FA">
            <w:pPr>
              <w:spacing w:line="240" w:lineRule="auto"/>
              <w:jc w:val="center"/>
              <w:rPr>
                <w:rFonts w:eastAsia="Times New Roman" w:cs="Times New Roman"/>
                <w:color w:val="000000"/>
                <w:kern w:val="0"/>
                <w:sz w:val="18"/>
                <w:szCs w:val="18"/>
                <w:lang w:eastAsia="es-CO"/>
                <w14:ligatures w14:val="none"/>
              </w:rPr>
            </w:pPr>
            <w:r w:rsidRPr="00890AC8">
              <w:rPr>
                <w:rFonts w:eastAsia="Times New Roman" w:cs="Times New Roman"/>
                <w:color w:val="000000"/>
                <w:kern w:val="0"/>
                <w:sz w:val="18"/>
                <w:szCs w:val="18"/>
                <w:lang w:eastAsia="es-CO"/>
                <w14:ligatures w14:val="none"/>
              </w:rPr>
              <w:t xml:space="preserve"> 002-2010  </w:t>
            </w:r>
          </w:p>
        </w:tc>
        <w:tc>
          <w:tcPr>
            <w:tcW w:w="986" w:type="pct"/>
            <w:noWrap/>
            <w:vAlign w:val="center"/>
            <w:hideMark/>
          </w:tcPr>
          <w:p w14:paraId="48311577" w14:textId="46548E92" w:rsidR="00C745FA" w:rsidRPr="00890AC8" w:rsidRDefault="00C745FA" w:rsidP="00C745FA">
            <w:pPr>
              <w:spacing w:line="240" w:lineRule="auto"/>
              <w:jc w:val="center"/>
              <w:rPr>
                <w:rFonts w:eastAsia="Times New Roman" w:cs="Times New Roman"/>
                <w:color w:val="000000"/>
                <w:kern w:val="0"/>
                <w:sz w:val="18"/>
                <w:szCs w:val="18"/>
                <w:lang w:eastAsia="es-CO"/>
                <w14:ligatures w14:val="none"/>
              </w:rPr>
            </w:pPr>
            <w:r w:rsidRPr="00C745FA">
              <w:rPr>
                <w:color w:val="000000"/>
                <w:sz w:val="18"/>
                <w:szCs w:val="18"/>
              </w:rPr>
              <w:t>19.611.977.272</w:t>
            </w:r>
          </w:p>
        </w:tc>
      </w:tr>
      <w:tr w:rsidR="00C745FA" w:rsidRPr="00890AC8" w14:paraId="27706DA6" w14:textId="77777777" w:rsidTr="00C745FA">
        <w:trPr>
          <w:trHeight w:val="340"/>
        </w:trPr>
        <w:tc>
          <w:tcPr>
            <w:tcW w:w="560" w:type="pct"/>
            <w:noWrap/>
            <w:vAlign w:val="center"/>
            <w:hideMark/>
          </w:tcPr>
          <w:p w14:paraId="18539E8F" w14:textId="77777777" w:rsidR="00C745FA" w:rsidRPr="00890AC8" w:rsidRDefault="00C745FA" w:rsidP="00C745FA">
            <w:pPr>
              <w:spacing w:line="240" w:lineRule="auto"/>
              <w:jc w:val="center"/>
              <w:rPr>
                <w:rFonts w:eastAsia="Times New Roman" w:cs="Times New Roman"/>
                <w:color w:val="000000"/>
                <w:kern w:val="0"/>
                <w:sz w:val="18"/>
                <w:szCs w:val="18"/>
                <w:lang w:eastAsia="es-CO"/>
                <w14:ligatures w14:val="none"/>
              </w:rPr>
            </w:pPr>
            <w:r w:rsidRPr="00890AC8">
              <w:rPr>
                <w:rFonts w:eastAsia="Times New Roman" w:cs="Times New Roman"/>
                <w:color w:val="000000"/>
                <w:kern w:val="0"/>
                <w:sz w:val="18"/>
                <w:szCs w:val="18"/>
                <w:lang w:eastAsia="es-CO"/>
                <w14:ligatures w14:val="none"/>
              </w:rPr>
              <w:t>10</w:t>
            </w:r>
          </w:p>
        </w:tc>
        <w:tc>
          <w:tcPr>
            <w:tcW w:w="722" w:type="pct"/>
            <w:vAlign w:val="center"/>
            <w:hideMark/>
          </w:tcPr>
          <w:p w14:paraId="5AF69DC1" w14:textId="77777777" w:rsidR="00C745FA" w:rsidRPr="00890AC8" w:rsidRDefault="00C745FA" w:rsidP="00C745FA">
            <w:pPr>
              <w:spacing w:line="240" w:lineRule="auto"/>
              <w:jc w:val="center"/>
              <w:rPr>
                <w:rFonts w:eastAsia="Times New Roman" w:cs="Times New Roman"/>
                <w:color w:val="000000"/>
                <w:kern w:val="0"/>
                <w:sz w:val="18"/>
                <w:szCs w:val="18"/>
                <w:lang w:eastAsia="es-CO"/>
                <w14:ligatures w14:val="none"/>
              </w:rPr>
            </w:pPr>
            <w:r w:rsidRPr="00890AC8">
              <w:rPr>
                <w:rFonts w:eastAsia="Times New Roman" w:cs="Times New Roman"/>
                <w:color w:val="000000"/>
                <w:kern w:val="0"/>
                <w:sz w:val="18"/>
                <w:szCs w:val="18"/>
                <w:lang w:eastAsia="es-CO"/>
                <w14:ligatures w14:val="none"/>
              </w:rPr>
              <w:t xml:space="preserve">1 2 3G </w:t>
            </w:r>
          </w:p>
        </w:tc>
        <w:tc>
          <w:tcPr>
            <w:tcW w:w="1605" w:type="pct"/>
            <w:vAlign w:val="center"/>
            <w:hideMark/>
          </w:tcPr>
          <w:p w14:paraId="420ECBBB" w14:textId="77777777" w:rsidR="00C745FA" w:rsidRPr="00890AC8" w:rsidRDefault="00C745FA" w:rsidP="00C745FA">
            <w:pPr>
              <w:spacing w:line="240" w:lineRule="auto"/>
              <w:rPr>
                <w:rFonts w:eastAsia="Times New Roman" w:cs="Times New Roman"/>
                <w:color w:val="000000"/>
                <w:kern w:val="0"/>
                <w:sz w:val="18"/>
                <w:szCs w:val="18"/>
                <w:lang w:eastAsia="es-CO"/>
                <w14:ligatures w14:val="none"/>
              </w:rPr>
            </w:pPr>
            <w:r w:rsidRPr="00890AC8">
              <w:rPr>
                <w:rFonts w:eastAsia="Times New Roman" w:cs="Times New Roman"/>
                <w:color w:val="000000"/>
                <w:kern w:val="0"/>
                <w:sz w:val="18"/>
                <w:szCs w:val="18"/>
                <w:lang w:eastAsia="es-CO"/>
                <w14:ligatures w14:val="none"/>
              </w:rPr>
              <w:t xml:space="preserve">Pereira - La Victoria </w:t>
            </w:r>
          </w:p>
        </w:tc>
        <w:tc>
          <w:tcPr>
            <w:tcW w:w="1127" w:type="pct"/>
            <w:noWrap/>
            <w:vAlign w:val="center"/>
            <w:hideMark/>
          </w:tcPr>
          <w:p w14:paraId="4CAA9DDF" w14:textId="77777777" w:rsidR="00C745FA" w:rsidRPr="00890AC8" w:rsidRDefault="00C745FA" w:rsidP="00C745FA">
            <w:pPr>
              <w:spacing w:line="240" w:lineRule="auto"/>
              <w:jc w:val="center"/>
              <w:rPr>
                <w:rFonts w:eastAsia="Times New Roman" w:cs="Times New Roman"/>
                <w:color w:val="000000"/>
                <w:kern w:val="0"/>
                <w:sz w:val="18"/>
                <w:szCs w:val="18"/>
                <w:lang w:eastAsia="es-CO"/>
                <w14:ligatures w14:val="none"/>
              </w:rPr>
            </w:pPr>
            <w:r w:rsidRPr="00890AC8">
              <w:rPr>
                <w:rFonts w:eastAsia="Times New Roman" w:cs="Times New Roman"/>
                <w:color w:val="000000"/>
                <w:kern w:val="0"/>
                <w:sz w:val="18"/>
                <w:szCs w:val="18"/>
                <w:lang w:eastAsia="es-CO"/>
                <w14:ligatures w14:val="none"/>
              </w:rPr>
              <w:t xml:space="preserve"> 046-2004  </w:t>
            </w:r>
          </w:p>
        </w:tc>
        <w:tc>
          <w:tcPr>
            <w:tcW w:w="986" w:type="pct"/>
            <w:noWrap/>
            <w:vAlign w:val="center"/>
            <w:hideMark/>
          </w:tcPr>
          <w:p w14:paraId="48776527" w14:textId="3625D376" w:rsidR="00C745FA" w:rsidRPr="00890AC8" w:rsidRDefault="00C745FA" w:rsidP="00C745FA">
            <w:pPr>
              <w:spacing w:line="240" w:lineRule="auto"/>
              <w:jc w:val="center"/>
              <w:rPr>
                <w:rFonts w:eastAsia="Times New Roman" w:cs="Times New Roman"/>
                <w:color w:val="000000"/>
                <w:kern w:val="0"/>
                <w:sz w:val="18"/>
                <w:szCs w:val="18"/>
                <w:lang w:eastAsia="es-CO"/>
                <w14:ligatures w14:val="none"/>
              </w:rPr>
            </w:pPr>
            <w:r w:rsidRPr="00C745FA">
              <w:rPr>
                <w:color w:val="000000"/>
                <w:sz w:val="18"/>
                <w:szCs w:val="18"/>
              </w:rPr>
              <w:t>16.623.469.337</w:t>
            </w:r>
          </w:p>
        </w:tc>
      </w:tr>
      <w:tr w:rsidR="00C745FA" w:rsidRPr="00890AC8" w14:paraId="23CDC93F" w14:textId="77777777" w:rsidTr="00C745FA">
        <w:trPr>
          <w:trHeight w:val="340"/>
        </w:trPr>
        <w:tc>
          <w:tcPr>
            <w:tcW w:w="560" w:type="pct"/>
            <w:noWrap/>
            <w:vAlign w:val="center"/>
            <w:hideMark/>
          </w:tcPr>
          <w:p w14:paraId="1F2B4309" w14:textId="77777777" w:rsidR="00C745FA" w:rsidRPr="00890AC8" w:rsidRDefault="00C745FA" w:rsidP="00C745FA">
            <w:pPr>
              <w:spacing w:line="240" w:lineRule="auto"/>
              <w:jc w:val="center"/>
              <w:rPr>
                <w:rFonts w:eastAsia="Times New Roman" w:cs="Times New Roman"/>
                <w:color w:val="000000"/>
                <w:kern w:val="0"/>
                <w:sz w:val="18"/>
                <w:szCs w:val="18"/>
                <w:lang w:eastAsia="es-CO"/>
                <w14:ligatures w14:val="none"/>
              </w:rPr>
            </w:pPr>
            <w:r w:rsidRPr="00890AC8">
              <w:rPr>
                <w:rFonts w:eastAsia="Times New Roman" w:cs="Times New Roman"/>
                <w:color w:val="000000"/>
                <w:kern w:val="0"/>
                <w:sz w:val="18"/>
                <w:szCs w:val="18"/>
                <w:lang w:eastAsia="es-CO"/>
                <w14:ligatures w14:val="none"/>
              </w:rPr>
              <w:t>11</w:t>
            </w:r>
          </w:p>
        </w:tc>
        <w:tc>
          <w:tcPr>
            <w:tcW w:w="722" w:type="pct"/>
            <w:vAlign w:val="center"/>
            <w:hideMark/>
          </w:tcPr>
          <w:p w14:paraId="59B77FEB" w14:textId="77777777" w:rsidR="00C745FA" w:rsidRPr="00890AC8" w:rsidRDefault="00C745FA" w:rsidP="00C745FA">
            <w:pPr>
              <w:spacing w:line="240" w:lineRule="auto"/>
              <w:jc w:val="center"/>
              <w:rPr>
                <w:rFonts w:eastAsia="Times New Roman" w:cs="Times New Roman"/>
                <w:color w:val="000000"/>
                <w:kern w:val="0"/>
                <w:sz w:val="18"/>
                <w:szCs w:val="18"/>
                <w:lang w:eastAsia="es-CO"/>
                <w14:ligatures w14:val="none"/>
              </w:rPr>
            </w:pPr>
            <w:r w:rsidRPr="00890AC8">
              <w:rPr>
                <w:rFonts w:eastAsia="Times New Roman" w:cs="Times New Roman"/>
                <w:color w:val="000000"/>
                <w:kern w:val="0"/>
                <w:sz w:val="18"/>
                <w:szCs w:val="18"/>
                <w:lang w:eastAsia="es-CO"/>
                <w14:ligatures w14:val="none"/>
              </w:rPr>
              <w:t xml:space="preserve">1 2 3G </w:t>
            </w:r>
          </w:p>
        </w:tc>
        <w:tc>
          <w:tcPr>
            <w:tcW w:w="1605" w:type="pct"/>
            <w:vAlign w:val="center"/>
            <w:hideMark/>
          </w:tcPr>
          <w:p w14:paraId="6FB3376E" w14:textId="77777777" w:rsidR="00C745FA" w:rsidRPr="00890AC8" w:rsidRDefault="00C745FA" w:rsidP="00C745FA">
            <w:pPr>
              <w:spacing w:line="240" w:lineRule="auto"/>
              <w:rPr>
                <w:rFonts w:eastAsia="Times New Roman" w:cs="Times New Roman"/>
                <w:color w:val="000000"/>
                <w:kern w:val="0"/>
                <w:sz w:val="18"/>
                <w:szCs w:val="18"/>
                <w:lang w:eastAsia="es-CO"/>
                <w14:ligatures w14:val="none"/>
              </w:rPr>
            </w:pPr>
            <w:r w:rsidRPr="00890AC8">
              <w:rPr>
                <w:rFonts w:eastAsia="Times New Roman" w:cs="Times New Roman"/>
                <w:color w:val="000000"/>
                <w:kern w:val="0"/>
                <w:sz w:val="18"/>
                <w:szCs w:val="18"/>
                <w:lang w:eastAsia="es-CO"/>
                <w14:ligatures w14:val="none"/>
              </w:rPr>
              <w:t xml:space="preserve">Zipaquira - Palenque 1 </w:t>
            </w:r>
          </w:p>
        </w:tc>
        <w:tc>
          <w:tcPr>
            <w:tcW w:w="1127" w:type="pct"/>
            <w:noWrap/>
            <w:vAlign w:val="center"/>
            <w:hideMark/>
          </w:tcPr>
          <w:p w14:paraId="496267BA" w14:textId="77777777" w:rsidR="00C745FA" w:rsidRPr="00890AC8" w:rsidRDefault="00C745FA" w:rsidP="00C745FA">
            <w:pPr>
              <w:spacing w:line="240" w:lineRule="auto"/>
              <w:jc w:val="center"/>
              <w:rPr>
                <w:rFonts w:eastAsia="Times New Roman" w:cs="Times New Roman"/>
                <w:color w:val="000000"/>
                <w:kern w:val="0"/>
                <w:sz w:val="18"/>
                <w:szCs w:val="18"/>
                <w:lang w:eastAsia="es-CO"/>
                <w14:ligatures w14:val="none"/>
              </w:rPr>
            </w:pPr>
            <w:r w:rsidRPr="00890AC8">
              <w:rPr>
                <w:rFonts w:eastAsia="Times New Roman" w:cs="Times New Roman"/>
                <w:color w:val="000000"/>
                <w:kern w:val="0"/>
                <w:sz w:val="18"/>
                <w:szCs w:val="18"/>
                <w:lang w:eastAsia="es-CO"/>
                <w14:ligatures w14:val="none"/>
              </w:rPr>
              <w:t xml:space="preserve"> 1161-2001  </w:t>
            </w:r>
          </w:p>
        </w:tc>
        <w:tc>
          <w:tcPr>
            <w:tcW w:w="986" w:type="pct"/>
            <w:noWrap/>
            <w:vAlign w:val="center"/>
            <w:hideMark/>
          </w:tcPr>
          <w:p w14:paraId="5F3232A5" w14:textId="5B2E0152" w:rsidR="00C745FA" w:rsidRPr="00890AC8" w:rsidRDefault="00C745FA" w:rsidP="00C745FA">
            <w:pPr>
              <w:spacing w:line="240" w:lineRule="auto"/>
              <w:jc w:val="center"/>
              <w:rPr>
                <w:rFonts w:eastAsia="Times New Roman" w:cs="Times New Roman"/>
                <w:color w:val="000000"/>
                <w:kern w:val="0"/>
                <w:sz w:val="18"/>
                <w:szCs w:val="18"/>
                <w:lang w:eastAsia="es-CO"/>
                <w14:ligatures w14:val="none"/>
              </w:rPr>
            </w:pPr>
            <w:r w:rsidRPr="00C745FA">
              <w:rPr>
                <w:color w:val="000000"/>
                <w:sz w:val="18"/>
                <w:szCs w:val="18"/>
              </w:rPr>
              <w:t>14.821.307.133</w:t>
            </w:r>
          </w:p>
        </w:tc>
      </w:tr>
      <w:tr w:rsidR="00C745FA" w:rsidRPr="00890AC8" w14:paraId="5D6BE87B" w14:textId="77777777" w:rsidTr="00C745FA">
        <w:trPr>
          <w:trHeight w:val="340"/>
        </w:trPr>
        <w:tc>
          <w:tcPr>
            <w:tcW w:w="560" w:type="pct"/>
            <w:noWrap/>
            <w:vAlign w:val="center"/>
            <w:hideMark/>
          </w:tcPr>
          <w:p w14:paraId="28AE3F8B" w14:textId="77777777" w:rsidR="00C745FA" w:rsidRPr="00890AC8" w:rsidRDefault="00C745FA" w:rsidP="00C745FA">
            <w:pPr>
              <w:spacing w:line="240" w:lineRule="auto"/>
              <w:jc w:val="center"/>
              <w:rPr>
                <w:rFonts w:eastAsia="Times New Roman" w:cs="Times New Roman"/>
                <w:color w:val="000000"/>
                <w:kern w:val="0"/>
                <w:sz w:val="18"/>
                <w:szCs w:val="18"/>
                <w:lang w:eastAsia="es-CO"/>
                <w14:ligatures w14:val="none"/>
              </w:rPr>
            </w:pPr>
            <w:r w:rsidRPr="00890AC8">
              <w:rPr>
                <w:rFonts w:eastAsia="Times New Roman" w:cs="Times New Roman"/>
                <w:color w:val="000000"/>
                <w:kern w:val="0"/>
                <w:sz w:val="18"/>
                <w:szCs w:val="18"/>
                <w:lang w:eastAsia="es-CO"/>
                <w14:ligatures w14:val="none"/>
              </w:rPr>
              <w:t>12</w:t>
            </w:r>
          </w:p>
        </w:tc>
        <w:tc>
          <w:tcPr>
            <w:tcW w:w="722" w:type="pct"/>
            <w:vAlign w:val="center"/>
            <w:hideMark/>
          </w:tcPr>
          <w:p w14:paraId="3FC8802D" w14:textId="77777777" w:rsidR="00C745FA" w:rsidRPr="00890AC8" w:rsidRDefault="00C745FA" w:rsidP="00C745FA">
            <w:pPr>
              <w:spacing w:line="240" w:lineRule="auto"/>
              <w:jc w:val="center"/>
              <w:rPr>
                <w:rFonts w:eastAsia="Times New Roman" w:cs="Times New Roman"/>
                <w:color w:val="000000"/>
                <w:kern w:val="0"/>
                <w:sz w:val="18"/>
                <w:szCs w:val="18"/>
                <w:lang w:eastAsia="es-CO"/>
                <w14:ligatures w14:val="none"/>
              </w:rPr>
            </w:pPr>
            <w:r w:rsidRPr="00890AC8">
              <w:rPr>
                <w:rFonts w:eastAsia="Times New Roman" w:cs="Times New Roman"/>
                <w:color w:val="000000"/>
                <w:kern w:val="0"/>
                <w:sz w:val="18"/>
                <w:szCs w:val="18"/>
                <w:lang w:eastAsia="es-CO"/>
                <w14:ligatures w14:val="none"/>
              </w:rPr>
              <w:t xml:space="preserve">  </w:t>
            </w:r>
          </w:p>
        </w:tc>
        <w:tc>
          <w:tcPr>
            <w:tcW w:w="1605" w:type="pct"/>
            <w:vAlign w:val="center"/>
            <w:hideMark/>
          </w:tcPr>
          <w:p w14:paraId="09EA1F89" w14:textId="77777777" w:rsidR="00C745FA" w:rsidRPr="00890AC8" w:rsidRDefault="00C745FA" w:rsidP="00C745FA">
            <w:pPr>
              <w:spacing w:line="240" w:lineRule="auto"/>
              <w:rPr>
                <w:rFonts w:eastAsia="Times New Roman" w:cs="Times New Roman"/>
                <w:color w:val="000000"/>
                <w:kern w:val="0"/>
                <w:sz w:val="18"/>
                <w:szCs w:val="18"/>
                <w:lang w:eastAsia="es-CO"/>
                <w14:ligatures w14:val="none"/>
              </w:rPr>
            </w:pPr>
            <w:r w:rsidRPr="00890AC8">
              <w:rPr>
                <w:rFonts w:eastAsia="Times New Roman" w:cs="Times New Roman"/>
                <w:color w:val="000000"/>
                <w:kern w:val="0"/>
                <w:sz w:val="18"/>
                <w:szCs w:val="18"/>
                <w:lang w:eastAsia="es-CO"/>
                <w14:ligatures w14:val="none"/>
              </w:rPr>
              <w:t xml:space="preserve">Aeropuerto Barranquilla </w:t>
            </w:r>
          </w:p>
        </w:tc>
        <w:tc>
          <w:tcPr>
            <w:tcW w:w="1127" w:type="pct"/>
            <w:noWrap/>
            <w:vAlign w:val="center"/>
            <w:hideMark/>
          </w:tcPr>
          <w:p w14:paraId="75C86E6F" w14:textId="77777777" w:rsidR="00C745FA" w:rsidRPr="00890AC8" w:rsidRDefault="00C745FA" w:rsidP="00C745FA">
            <w:pPr>
              <w:spacing w:line="240" w:lineRule="auto"/>
              <w:jc w:val="center"/>
              <w:rPr>
                <w:rFonts w:eastAsia="Times New Roman" w:cs="Times New Roman"/>
                <w:color w:val="000000"/>
                <w:kern w:val="0"/>
                <w:sz w:val="18"/>
                <w:szCs w:val="18"/>
                <w:lang w:eastAsia="es-CO"/>
                <w14:ligatures w14:val="none"/>
              </w:rPr>
            </w:pPr>
            <w:r w:rsidRPr="00890AC8">
              <w:rPr>
                <w:rFonts w:eastAsia="Times New Roman" w:cs="Times New Roman"/>
                <w:color w:val="000000"/>
                <w:kern w:val="0"/>
                <w:sz w:val="18"/>
                <w:szCs w:val="18"/>
                <w:lang w:eastAsia="es-CO"/>
                <w14:ligatures w14:val="none"/>
              </w:rPr>
              <w:t xml:space="preserve">  </w:t>
            </w:r>
          </w:p>
        </w:tc>
        <w:tc>
          <w:tcPr>
            <w:tcW w:w="986" w:type="pct"/>
            <w:noWrap/>
            <w:vAlign w:val="center"/>
            <w:hideMark/>
          </w:tcPr>
          <w:p w14:paraId="254183D9" w14:textId="7DB01700" w:rsidR="00C745FA" w:rsidRPr="00890AC8" w:rsidRDefault="00C745FA" w:rsidP="00C745FA">
            <w:pPr>
              <w:spacing w:line="240" w:lineRule="auto"/>
              <w:jc w:val="center"/>
              <w:rPr>
                <w:rFonts w:eastAsia="Times New Roman" w:cs="Times New Roman"/>
                <w:color w:val="000000"/>
                <w:kern w:val="0"/>
                <w:sz w:val="18"/>
                <w:szCs w:val="18"/>
                <w:lang w:eastAsia="es-CO"/>
                <w14:ligatures w14:val="none"/>
              </w:rPr>
            </w:pPr>
            <w:r w:rsidRPr="00C745FA">
              <w:rPr>
                <w:color w:val="000000"/>
                <w:sz w:val="18"/>
                <w:szCs w:val="18"/>
              </w:rPr>
              <w:t>9.489.927.605</w:t>
            </w:r>
          </w:p>
        </w:tc>
      </w:tr>
      <w:tr w:rsidR="00C745FA" w:rsidRPr="00890AC8" w14:paraId="1711AB03" w14:textId="77777777" w:rsidTr="00C745FA">
        <w:trPr>
          <w:trHeight w:val="340"/>
        </w:trPr>
        <w:tc>
          <w:tcPr>
            <w:tcW w:w="560" w:type="pct"/>
            <w:noWrap/>
            <w:vAlign w:val="center"/>
            <w:hideMark/>
          </w:tcPr>
          <w:p w14:paraId="0FC2AFEC" w14:textId="77777777" w:rsidR="00C745FA" w:rsidRPr="00890AC8" w:rsidRDefault="00C745FA" w:rsidP="00C745FA">
            <w:pPr>
              <w:spacing w:line="240" w:lineRule="auto"/>
              <w:jc w:val="center"/>
              <w:rPr>
                <w:rFonts w:eastAsia="Times New Roman" w:cs="Times New Roman"/>
                <w:color w:val="000000"/>
                <w:kern w:val="0"/>
                <w:sz w:val="18"/>
                <w:szCs w:val="18"/>
                <w:lang w:eastAsia="es-CO"/>
                <w14:ligatures w14:val="none"/>
              </w:rPr>
            </w:pPr>
            <w:r w:rsidRPr="00890AC8">
              <w:rPr>
                <w:rFonts w:eastAsia="Times New Roman" w:cs="Times New Roman"/>
                <w:color w:val="000000"/>
                <w:kern w:val="0"/>
                <w:sz w:val="18"/>
                <w:szCs w:val="18"/>
                <w:lang w:eastAsia="es-CO"/>
                <w14:ligatures w14:val="none"/>
              </w:rPr>
              <w:t>13</w:t>
            </w:r>
          </w:p>
        </w:tc>
        <w:tc>
          <w:tcPr>
            <w:tcW w:w="722" w:type="pct"/>
            <w:vAlign w:val="center"/>
            <w:hideMark/>
          </w:tcPr>
          <w:p w14:paraId="3AE3A02A" w14:textId="77777777" w:rsidR="00C745FA" w:rsidRPr="00890AC8" w:rsidRDefault="00C745FA" w:rsidP="00C745FA">
            <w:pPr>
              <w:spacing w:line="240" w:lineRule="auto"/>
              <w:jc w:val="center"/>
              <w:rPr>
                <w:rFonts w:eastAsia="Times New Roman" w:cs="Times New Roman"/>
                <w:color w:val="000000"/>
                <w:kern w:val="0"/>
                <w:sz w:val="18"/>
                <w:szCs w:val="18"/>
                <w:lang w:eastAsia="es-CO"/>
                <w14:ligatures w14:val="none"/>
              </w:rPr>
            </w:pPr>
            <w:r w:rsidRPr="00890AC8">
              <w:rPr>
                <w:rFonts w:eastAsia="Times New Roman" w:cs="Times New Roman"/>
                <w:color w:val="000000"/>
                <w:kern w:val="0"/>
                <w:sz w:val="18"/>
                <w:szCs w:val="18"/>
                <w:lang w:eastAsia="es-CO"/>
                <w14:ligatures w14:val="none"/>
              </w:rPr>
              <w:t xml:space="preserve">  </w:t>
            </w:r>
          </w:p>
        </w:tc>
        <w:tc>
          <w:tcPr>
            <w:tcW w:w="1605" w:type="pct"/>
            <w:vAlign w:val="center"/>
            <w:hideMark/>
          </w:tcPr>
          <w:p w14:paraId="49844446" w14:textId="77777777" w:rsidR="00C745FA" w:rsidRPr="00890AC8" w:rsidRDefault="00C745FA" w:rsidP="00C745FA">
            <w:pPr>
              <w:spacing w:line="240" w:lineRule="auto"/>
              <w:rPr>
                <w:rFonts w:eastAsia="Times New Roman" w:cs="Times New Roman"/>
                <w:color w:val="000000"/>
                <w:kern w:val="0"/>
                <w:sz w:val="18"/>
                <w:szCs w:val="18"/>
                <w:lang w:eastAsia="es-CO"/>
                <w14:ligatures w14:val="none"/>
              </w:rPr>
            </w:pPr>
            <w:r w:rsidRPr="00890AC8">
              <w:rPr>
                <w:rFonts w:eastAsia="Times New Roman" w:cs="Times New Roman"/>
                <w:color w:val="000000"/>
                <w:kern w:val="0"/>
                <w:sz w:val="18"/>
                <w:szCs w:val="18"/>
                <w:lang w:eastAsia="es-CO"/>
                <w14:ligatures w14:val="none"/>
              </w:rPr>
              <w:t xml:space="preserve">Aeropuerto De Monteria </w:t>
            </w:r>
          </w:p>
        </w:tc>
        <w:tc>
          <w:tcPr>
            <w:tcW w:w="1127" w:type="pct"/>
            <w:noWrap/>
            <w:vAlign w:val="center"/>
            <w:hideMark/>
          </w:tcPr>
          <w:p w14:paraId="723C032C" w14:textId="77777777" w:rsidR="00C745FA" w:rsidRPr="00890AC8" w:rsidRDefault="00C745FA" w:rsidP="00C745FA">
            <w:pPr>
              <w:spacing w:line="240" w:lineRule="auto"/>
              <w:jc w:val="center"/>
              <w:rPr>
                <w:rFonts w:eastAsia="Times New Roman" w:cs="Times New Roman"/>
                <w:color w:val="000000"/>
                <w:kern w:val="0"/>
                <w:sz w:val="18"/>
                <w:szCs w:val="18"/>
                <w:lang w:eastAsia="es-CO"/>
                <w14:ligatures w14:val="none"/>
              </w:rPr>
            </w:pPr>
            <w:r w:rsidRPr="00890AC8">
              <w:rPr>
                <w:rFonts w:eastAsia="Times New Roman" w:cs="Times New Roman"/>
                <w:color w:val="000000"/>
                <w:kern w:val="0"/>
                <w:sz w:val="18"/>
                <w:szCs w:val="18"/>
                <w:lang w:eastAsia="es-CO"/>
                <w14:ligatures w14:val="none"/>
              </w:rPr>
              <w:t xml:space="preserve">  </w:t>
            </w:r>
          </w:p>
        </w:tc>
        <w:tc>
          <w:tcPr>
            <w:tcW w:w="986" w:type="pct"/>
            <w:noWrap/>
            <w:vAlign w:val="center"/>
            <w:hideMark/>
          </w:tcPr>
          <w:p w14:paraId="0352B5B6" w14:textId="32C35167" w:rsidR="00C745FA" w:rsidRPr="00890AC8" w:rsidRDefault="00C745FA" w:rsidP="00C745FA">
            <w:pPr>
              <w:spacing w:line="240" w:lineRule="auto"/>
              <w:jc w:val="center"/>
              <w:rPr>
                <w:rFonts w:eastAsia="Times New Roman" w:cs="Times New Roman"/>
                <w:color w:val="000000"/>
                <w:kern w:val="0"/>
                <w:sz w:val="18"/>
                <w:szCs w:val="18"/>
                <w:lang w:eastAsia="es-CO"/>
                <w14:ligatures w14:val="none"/>
              </w:rPr>
            </w:pPr>
            <w:r w:rsidRPr="00C745FA">
              <w:rPr>
                <w:color w:val="000000"/>
                <w:sz w:val="18"/>
                <w:szCs w:val="18"/>
              </w:rPr>
              <w:t>7.994.015.062</w:t>
            </w:r>
          </w:p>
        </w:tc>
      </w:tr>
      <w:tr w:rsidR="00C745FA" w:rsidRPr="00890AC8" w14:paraId="5727E73E" w14:textId="77777777" w:rsidTr="00C745FA">
        <w:trPr>
          <w:trHeight w:val="340"/>
        </w:trPr>
        <w:tc>
          <w:tcPr>
            <w:tcW w:w="560" w:type="pct"/>
            <w:noWrap/>
            <w:vAlign w:val="center"/>
            <w:hideMark/>
          </w:tcPr>
          <w:p w14:paraId="1BDA45CC" w14:textId="77777777" w:rsidR="00C745FA" w:rsidRPr="00890AC8" w:rsidRDefault="00C745FA" w:rsidP="00C745FA">
            <w:pPr>
              <w:spacing w:line="240" w:lineRule="auto"/>
              <w:jc w:val="center"/>
              <w:rPr>
                <w:rFonts w:eastAsia="Times New Roman" w:cs="Times New Roman"/>
                <w:color w:val="000000"/>
                <w:kern w:val="0"/>
                <w:sz w:val="18"/>
                <w:szCs w:val="18"/>
                <w:lang w:eastAsia="es-CO"/>
                <w14:ligatures w14:val="none"/>
              </w:rPr>
            </w:pPr>
            <w:r w:rsidRPr="00890AC8">
              <w:rPr>
                <w:rFonts w:eastAsia="Times New Roman" w:cs="Times New Roman"/>
                <w:color w:val="000000"/>
                <w:kern w:val="0"/>
                <w:sz w:val="18"/>
                <w:szCs w:val="18"/>
                <w:lang w:eastAsia="es-CO"/>
                <w14:ligatures w14:val="none"/>
              </w:rPr>
              <w:t>14</w:t>
            </w:r>
          </w:p>
        </w:tc>
        <w:tc>
          <w:tcPr>
            <w:tcW w:w="722" w:type="pct"/>
            <w:vAlign w:val="center"/>
            <w:hideMark/>
          </w:tcPr>
          <w:p w14:paraId="1FB453F7" w14:textId="77777777" w:rsidR="00C745FA" w:rsidRPr="00890AC8" w:rsidRDefault="00C745FA" w:rsidP="00C745FA">
            <w:pPr>
              <w:spacing w:line="240" w:lineRule="auto"/>
              <w:jc w:val="center"/>
              <w:rPr>
                <w:rFonts w:eastAsia="Times New Roman" w:cs="Times New Roman"/>
                <w:color w:val="000000"/>
                <w:kern w:val="0"/>
                <w:sz w:val="18"/>
                <w:szCs w:val="18"/>
                <w:lang w:eastAsia="es-CO"/>
                <w14:ligatures w14:val="none"/>
              </w:rPr>
            </w:pPr>
            <w:r w:rsidRPr="00890AC8">
              <w:rPr>
                <w:rFonts w:eastAsia="Times New Roman" w:cs="Times New Roman"/>
                <w:color w:val="000000"/>
                <w:kern w:val="0"/>
                <w:sz w:val="18"/>
                <w:szCs w:val="18"/>
                <w:lang w:eastAsia="es-CO"/>
                <w14:ligatures w14:val="none"/>
              </w:rPr>
              <w:t xml:space="preserve">4 G </w:t>
            </w:r>
          </w:p>
        </w:tc>
        <w:tc>
          <w:tcPr>
            <w:tcW w:w="1605" w:type="pct"/>
            <w:vAlign w:val="center"/>
            <w:hideMark/>
          </w:tcPr>
          <w:p w14:paraId="6405EEB0" w14:textId="77777777" w:rsidR="00C745FA" w:rsidRPr="00890AC8" w:rsidRDefault="00C745FA" w:rsidP="00C745FA">
            <w:pPr>
              <w:spacing w:line="240" w:lineRule="auto"/>
              <w:rPr>
                <w:rFonts w:eastAsia="Times New Roman" w:cs="Times New Roman"/>
                <w:color w:val="000000"/>
                <w:kern w:val="0"/>
                <w:sz w:val="18"/>
                <w:szCs w:val="18"/>
                <w:lang w:eastAsia="es-CO"/>
                <w14:ligatures w14:val="none"/>
              </w:rPr>
            </w:pPr>
            <w:r w:rsidRPr="00890AC8">
              <w:rPr>
                <w:rFonts w:eastAsia="Times New Roman" w:cs="Times New Roman"/>
                <w:color w:val="000000"/>
                <w:kern w:val="0"/>
                <w:sz w:val="18"/>
                <w:szCs w:val="18"/>
                <w:lang w:eastAsia="es-CO"/>
                <w14:ligatures w14:val="none"/>
              </w:rPr>
              <w:t xml:space="preserve">Bucaramanga - Pamplona </w:t>
            </w:r>
          </w:p>
        </w:tc>
        <w:tc>
          <w:tcPr>
            <w:tcW w:w="1127" w:type="pct"/>
            <w:noWrap/>
            <w:vAlign w:val="center"/>
            <w:hideMark/>
          </w:tcPr>
          <w:p w14:paraId="52A2CC79" w14:textId="77777777" w:rsidR="00C745FA" w:rsidRPr="00890AC8" w:rsidRDefault="00C745FA" w:rsidP="00C745FA">
            <w:pPr>
              <w:spacing w:line="240" w:lineRule="auto"/>
              <w:jc w:val="center"/>
              <w:rPr>
                <w:rFonts w:eastAsia="Times New Roman" w:cs="Times New Roman"/>
                <w:color w:val="000000"/>
                <w:kern w:val="0"/>
                <w:sz w:val="18"/>
                <w:szCs w:val="18"/>
                <w:lang w:eastAsia="es-CO"/>
                <w14:ligatures w14:val="none"/>
              </w:rPr>
            </w:pPr>
            <w:r w:rsidRPr="00890AC8">
              <w:rPr>
                <w:rFonts w:eastAsia="Times New Roman" w:cs="Times New Roman"/>
                <w:color w:val="000000"/>
                <w:kern w:val="0"/>
                <w:sz w:val="18"/>
                <w:szCs w:val="18"/>
                <w:lang w:eastAsia="es-CO"/>
                <w14:ligatures w14:val="none"/>
              </w:rPr>
              <w:t xml:space="preserve"> 002-2016  </w:t>
            </w:r>
          </w:p>
        </w:tc>
        <w:tc>
          <w:tcPr>
            <w:tcW w:w="986" w:type="pct"/>
            <w:noWrap/>
            <w:vAlign w:val="center"/>
            <w:hideMark/>
          </w:tcPr>
          <w:p w14:paraId="4A8B256F" w14:textId="21B1924D" w:rsidR="00C745FA" w:rsidRPr="00890AC8" w:rsidRDefault="00C745FA" w:rsidP="00C745FA">
            <w:pPr>
              <w:spacing w:line="240" w:lineRule="auto"/>
              <w:jc w:val="center"/>
              <w:rPr>
                <w:rFonts w:eastAsia="Times New Roman" w:cs="Times New Roman"/>
                <w:color w:val="000000"/>
                <w:kern w:val="0"/>
                <w:sz w:val="18"/>
                <w:szCs w:val="18"/>
                <w:lang w:eastAsia="es-CO"/>
                <w14:ligatures w14:val="none"/>
              </w:rPr>
            </w:pPr>
            <w:r w:rsidRPr="00C745FA">
              <w:rPr>
                <w:color w:val="000000"/>
                <w:sz w:val="18"/>
                <w:szCs w:val="18"/>
              </w:rPr>
              <w:t>7.851.169.453</w:t>
            </w:r>
          </w:p>
        </w:tc>
      </w:tr>
      <w:tr w:rsidR="00C745FA" w:rsidRPr="00890AC8" w14:paraId="411C6F09" w14:textId="77777777" w:rsidTr="00C745FA">
        <w:trPr>
          <w:trHeight w:val="340"/>
        </w:trPr>
        <w:tc>
          <w:tcPr>
            <w:tcW w:w="560" w:type="pct"/>
            <w:noWrap/>
            <w:vAlign w:val="center"/>
            <w:hideMark/>
          </w:tcPr>
          <w:p w14:paraId="30DF2026" w14:textId="77777777" w:rsidR="00C745FA" w:rsidRPr="00890AC8" w:rsidRDefault="00C745FA" w:rsidP="00C745FA">
            <w:pPr>
              <w:spacing w:line="240" w:lineRule="auto"/>
              <w:jc w:val="center"/>
              <w:rPr>
                <w:rFonts w:eastAsia="Times New Roman" w:cs="Times New Roman"/>
                <w:color w:val="000000"/>
                <w:kern w:val="0"/>
                <w:sz w:val="18"/>
                <w:szCs w:val="18"/>
                <w:lang w:eastAsia="es-CO"/>
                <w14:ligatures w14:val="none"/>
              </w:rPr>
            </w:pPr>
            <w:r w:rsidRPr="00890AC8">
              <w:rPr>
                <w:rFonts w:eastAsia="Times New Roman" w:cs="Times New Roman"/>
                <w:color w:val="000000"/>
                <w:kern w:val="0"/>
                <w:sz w:val="18"/>
                <w:szCs w:val="18"/>
                <w:lang w:eastAsia="es-CO"/>
                <w14:ligatures w14:val="none"/>
              </w:rPr>
              <w:t>15</w:t>
            </w:r>
          </w:p>
        </w:tc>
        <w:tc>
          <w:tcPr>
            <w:tcW w:w="722" w:type="pct"/>
            <w:vAlign w:val="center"/>
            <w:hideMark/>
          </w:tcPr>
          <w:p w14:paraId="7AE1177C" w14:textId="77777777" w:rsidR="00C745FA" w:rsidRPr="00890AC8" w:rsidRDefault="00C745FA" w:rsidP="00C745FA">
            <w:pPr>
              <w:spacing w:line="240" w:lineRule="auto"/>
              <w:jc w:val="center"/>
              <w:rPr>
                <w:rFonts w:eastAsia="Times New Roman" w:cs="Times New Roman"/>
                <w:color w:val="000000"/>
                <w:kern w:val="0"/>
                <w:sz w:val="18"/>
                <w:szCs w:val="18"/>
                <w:lang w:eastAsia="es-CO"/>
                <w14:ligatures w14:val="none"/>
              </w:rPr>
            </w:pPr>
            <w:r w:rsidRPr="00890AC8">
              <w:rPr>
                <w:rFonts w:eastAsia="Times New Roman" w:cs="Times New Roman"/>
                <w:color w:val="000000"/>
                <w:kern w:val="0"/>
                <w:sz w:val="18"/>
                <w:szCs w:val="18"/>
                <w:lang w:eastAsia="es-CO"/>
                <w14:ligatures w14:val="none"/>
              </w:rPr>
              <w:t xml:space="preserve">1 2 3G </w:t>
            </w:r>
          </w:p>
        </w:tc>
        <w:tc>
          <w:tcPr>
            <w:tcW w:w="1605" w:type="pct"/>
            <w:vAlign w:val="center"/>
            <w:hideMark/>
          </w:tcPr>
          <w:p w14:paraId="284EED67" w14:textId="77777777" w:rsidR="00C745FA" w:rsidRPr="00890AC8" w:rsidRDefault="00C745FA" w:rsidP="00C745FA">
            <w:pPr>
              <w:spacing w:line="240" w:lineRule="auto"/>
              <w:rPr>
                <w:rFonts w:eastAsia="Times New Roman" w:cs="Times New Roman"/>
                <w:color w:val="000000"/>
                <w:kern w:val="0"/>
                <w:sz w:val="18"/>
                <w:szCs w:val="18"/>
                <w:lang w:eastAsia="es-CO"/>
                <w14:ligatures w14:val="none"/>
              </w:rPr>
            </w:pPr>
            <w:r w:rsidRPr="00890AC8">
              <w:rPr>
                <w:rFonts w:eastAsia="Times New Roman" w:cs="Times New Roman"/>
                <w:color w:val="000000"/>
                <w:kern w:val="0"/>
                <w:sz w:val="18"/>
                <w:szCs w:val="18"/>
                <w:lang w:eastAsia="es-CO"/>
                <w14:ligatures w14:val="none"/>
              </w:rPr>
              <w:t xml:space="preserve">Zipaquira - Palenque 2 </w:t>
            </w:r>
          </w:p>
        </w:tc>
        <w:tc>
          <w:tcPr>
            <w:tcW w:w="1127" w:type="pct"/>
            <w:noWrap/>
            <w:vAlign w:val="center"/>
            <w:hideMark/>
          </w:tcPr>
          <w:p w14:paraId="76F65DE8" w14:textId="77777777" w:rsidR="00C745FA" w:rsidRPr="00890AC8" w:rsidRDefault="00C745FA" w:rsidP="00C745FA">
            <w:pPr>
              <w:spacing w:line="240" w:lineRule="auto"/>
              <w:jc w:val="center"/>
              <w:rPr>
                <w:rFonts w:eastAsia="Times New Roman" w:cs="Times New Roman"/>
                <w:color w:val="000000"/>
                <w:kern w:val="0"/>
                <w:sz w:val="18"/>
                <w:szCs w:val="18"/>
                <w:lang w:eastAsia="es-CO"/>
                <w14:ligatures w14:val="none"/>
              </w:rPr>
            </w:pPr>
            <w:r w:rsidRPr="00890AC8">
              <w:rPr>
                <w:rFonts w:eastAsia="Times New Roman" w:cs="Times New Roman"/>
                <w:color w:val="000000"/>
                <w:kern w:val="0"/>
                <w:sz w:val="18"/>
                <w:szCs w:val="18"/>
                <w:lang w:eastAsia="es-CO"/>
                <w14:ligatures w14:val="none"/>
              </w:rPr>
              <w:t xml:space="preserve"> 517-2013  </w:t>
            </w:r>
          </w:p>
        </w:tc>
        <w:tc>
          <w:tcPr>
            <w:tcW w:w="986" w:type="pct"/>
            <w:noWrap/>
            <w:vAlign w:val="center"/>
            <w:hideMark/>
          </w:tcPr>
          <w:p w14:paraId="647D9726" w14:textId="09C21AD6" w:rsidR="00C745FA" w:rsidRPr="00890AC8" w:rsidRDefault="00C745FA" w:rsidP="00C745FA">
            <w:pPr>
              <w:spacing w:line="240" w:lineRule="auto"/>
              <w:jc w:val="center"/>
              <w:rPr>
                <w:rFonts w:eastAsia="Times New Roman" w:cs="Times New Roman"/>
                <w:color w:val="000000"/>
                <w:kern w:val="0"/>
                <w:sz w:val="18"/>
                <w:szCs w:val="18"/>
                <w:lang w:eastAsia="es-CO"/>
                <w14:ligatures w14:val="none"/>
              </w:rPr>
            </w:pPr>
            <w:r w:rsidRPr="00C745FA">
              <w:rPr>
                <w:color w:val="000000"/>
                <w:sz w:val="18"/>
                <w:szCs w:val="18"/>
              </w:rPr>
              <w:t>3.186.368.113</w:t>
            </w:r>
          </w:p>
        </w:tc>
      </w:tr>
      <w:tr w:rsidR="00C745FA" w:rsidRPr="00890AC8" w14:paraId="355EE9C1" w14:textId="77777777" w:rsidTr="00C745FA">
        <w:trPr>
          <w:trHeight w:val="340"/>
        </w:trPr>
        <w:tc>
          <w:tcPr>
            <w:tcW w:w="560" w:type="pct"/>
            <w:noWrap/>
            <w:vAlign w:val="center"/>
            <w:hideMark/>
          </w:tcPr>
          <w:p w14:paraId="7ADC8B20" w14:textId="77777777" w:rsidR="00C745FA" w:rsidRPr="00890AC8" w:rsidRDefault="00C745FA" w:rsidP="00C745FA">
            <w:pPr>
              <w:spacing w:line="240" w:lineRule="auto"/>
              <w:jc w:val="center"/>
              <w:rPr>
                <w:rFonts w:eastAsia="Times New Roman" w:cs="Times New Roman"/>
                <w:color w:val="000000"/>
                <w:kern w:val="0"/>
                <w:sz w:val="18"/>
                <w:szCs w:val="18"/>
                <w:lang w:eastAsia="es-CO"/>
                <w14:ligatures w14:val="none"/>
              </w:rPr>
            </w:pPr>
            <w:r w:rsidRPr="00890AC8">
              <w:rPr>
                <w:rFonts w:eastAsia="Times New Roman" w:cs="Times New Roman"/>
                <w:color w:val="000000"/>
                <w:kern w:val="0"/>
                <w:sz w:val="18"/>
                <w:szCs w:val="18"/>
                <w:lang w:eastAsia="es-CO"/>
                <w14:ligatures w14:val="none"/>
              </w:rPr>
              <w:t>16</w:t>
            </w:r>
          </w:p>
        </w:tc>
        <w:tc>
          <w:tcPr>
            <w:tcW w:w="722" w:type="pct"/>
            <w:vAlign w:val="center"/>
            <w:hideMark/>
          </w:tcPr>
          <w:p w14:paraId="79D2492D" w14:textId="77777777" w:rsidR="00C745FA" w:rsidRPr="00890AC8" w:rsidRDefault="00C745FA" w:rsidP="00C745FA">
            <w:pPr>
              <w:spacing w:line="240" w:lineRule="auto"/>
              <w:jc w:val="center"/>
              <w:rPr>
                <w:rFonts w:eastAsia="Times New Roman" w:cs="Times New Roman"/>
                <w:color w:val="000000"/>
                <w:kern w:val="0"/>
                <w:sz w:val="18"/>
                <w:szCs w:val="18"/>
                <w:lang w:eastAsia="es-CO"/>
                <w14:ligatures w14:val="none"/>
              </w:rPr>
            </w:pPr>
            <w:r w:rsidRPr="00890AC8">
              <w:rPr>
                <w:rFonts w:eastAsia="Times New Roman" w:cs="Times New Roman"/>
                <w:color w:val="000000"/>
                <w:kern w:val="0"/>
                <w:sz w:val="18"/>
                <w:szCs w:val="18"/>
                <w:lang w:eastAsia="es-CO"/>
                <w14:ligatures w14:val="none"/>
              </w:rPr>
              <w:t xml:space="preserve">  </w:t>
            </w:r>
          </w:p>
        </w:tc>
        <w:tc>
          <w:tcPr>
            <w:tcW w:w="1605" w:type="pct"/>
            <w:vAlign w:val="center"/>
            <w:hideMark/>
          </w:tcPr>
          <w:p w14:paraId="134E3B9C" w14:textId="77777777" w:rsidR="00C745FA" w:rsidRPr="00890AC8" w:rsidRDefault="00C745FA" w:rsidP="00C745FA">
            <w:pPr>
              <w:spacing w:line="240" w:lineRule="auto"/>
              <w:rPr>
                <w:rFonts w:eastAsia="Times New Roman" w:cs="Times New Roman"/>
                <w:color w:val="000000"/>
                <w:kern w:val="0"/>
                <w:sz w:val="18"/>
                <w:szCs w:val="18"/>
                <w:lang w:eastAsia="es-CO"/>
                <w14:ligatures w14:val="none"/>
              </w:rPr>
            </w:pPr>
            <w:r w:rsidRPr="00890AC8">
              <w:rPr>
                <w:rFonts w:eastAsia="Times New Roman" w:cs="Times New Roman"/>
                <w:color w:val="000000"/>
                <w:kern w:val="0"/>
                <w:sz w:val="18"/>
                <w:szCs w:val="18"/>
                <w:lang w:eastAsia="es-CO"/>
                <w14:ligatures w14:val="none"/>
              </w:rPr>
              <w:t xml:space="preserve">Aeropuerto Corozal </w:t>
            </w:r>
          </w:p>
        </w:tc>
        <w:tc>
          <w:tcPr>
            <w:tcW w:w="1127" w:type="pct"/>
            <w:noWrap/>
            <w:vAlign w:val="center"/>
            <w:hideMark/>
          </w:tcPr>
          <w:p w14:paraId="3B5197AE" w14:textId="77777777" w:rsidR="00C745FA" w:rsidRPr="00890AC8" w:rsidRDefault="00C745FA" w:rsidP="00C745FA">
            <w:pPr>
              <w:spacing w:line="240" w:lineRule="auto"/>
              <w:jc w:val="center"/>
              <w:rPr>
                <w:rFonts w:eastAsia="Times New Roman" w:cs="Times New Roman"/>
                <w:color w:val="000000"/>
                <w:kern w:val="0"/>
                <w:sz w:val="18"/>
                <w:szCs w:val="18"/>
                <w:lang w:eastAsia="es-CO"/>
                <w14:ligatures w14:val="none"/>
              </w:rPr>
            </w:pPr>
            <w:r w:rsidRPr="00890AC8">
              <w:rPr>
                <w:rFonts w:eastAsia="Times New Roman" w:cs="Times New Roman"/>
                <w:color w:val="000000"/>
                <w:kern w:val="0"/>
                <w:sz w:val="18"/>
                <w:szCs w:val="18"/>
                <w:lang w:eastAsia="es-CO"/>
                <w14:ligatures w14:val="none"/>
              </w:rPr>
              <w:t xml:space="preserve">  </w:t>
            </w:r>
          </w:p>
        </w:tc>
        <w:tc>
          <w:tcPr>
            <w:tcW w:w="986" w:type="pct"/>
            <w:noWrap/>
            <w:vAlign w:val="center"/>
            <w:hideMark/>
          </w:tcPr>
          <w:p w14:paraId="4434B70B" w14:textId="7E6B3747" w:rsidR="00C745FA" w:rsidRPr="00890AC8" w:rsidRDefault="00C745FA" w:rsidP="00C745FA">
            <w:pPr>
              <w:spacing w:line="240" w:lineRule="auto"/>
              <w:jc w:val="center"/>
              <w:rPr>
                <w:rFonts w:eastAsia="Times New Roman" w:cs="Times New Roman"/>
                <w:color w:val="000000"/>
                <w:kern w:val="0"/>
                <w:sz w:val="18"/>
                <w:szCs w:val="18"/>
                <w:lang w:eastAsia="es-CO"/>
                <w14:ligatures w14:val="none"/>
              </w:rPr>
            </w:pPr>
            <w:r w:rsidRPr="00C745FA">
              <w:rPr>
                <w:color w:val="000000"/>
                <w:sz w:val="18"/>
                <w:szCs w:val="18"/>
              </w:rPr>
              <w:t>2.888.510.520</w:t>
            </w:r>
          </w:p>
        </w:tc>
      </w:tr>
      <w:tr w:rsidR="00C745FA" w:rsidRPr="00890AC8" w14:paraId="489D23CC" w14:textId="77777777" w:rsidTr="00C745FA">
        <w:trPr>
          <w:trHeight w:val="340"/>
        </w:trPr>
        <w:tc>
          <w:tcPr>
            <w:tcW w:w="560" w:type="pct"/>
            <w:noWrap/>
            <w:vAlign w:val="center"/>
            <w:hideMark/>
          </w:tcPr>
          <w:p w14:paraId="153A52E7" w14:textId="77777777" w:rsidR="00C745FA" w:rsidRPr="00890AC8" w:rsidRDefault="00C745FA" w:rsidP="00C745FA">
            <w:pPr>
              <w:spacing w:line="240" w:lineRule="auto"/>
              <w:jc w:val="center"/>
              <w:rPr>
                <w:rFonts w:eastAsia="Times New Roman" w:cs="Times New Roman"/>
                <w:color w:val="000000"/>
                <w:kern w:val="0"/>
                <w:sz w:val="18"/>
                <w:szCs w:val="18"/>
                <w:lang w:eastAsia="es-CO"/>
                <w14:ligatures w14:val="none"/>
              </w:rPr>
            </w:pPr>
            <w:r w:rsidRPr="00890AC8">
              <w:rPr>
                <w:rFonts w:eastAsia="Times New Roman" w:cs="Times New Roman"/>
                <w:color w:val="000000"/>
                <w:kern w:val="0"/>
                <w:sz w:val="18"/>
                <w:szCs w:val="18"/>
                <w:lang w:eastAsia="es-CO"/>
                <w14:ligatures w14:val="none"/>
              </w:rPr>
              <w:t>17</w:t>
            </w:r>
          </w:p>
        </w:tc>
        <w:tc>
          <w:tcPr>
            <w:tcW w:w="722" w:type="pct"/>
            <w:noWrap/>
            <w:vAlign w:val="center"/>
            <w:hideMark/>
          </w:tcPr>
          <w:p w14:paraId="798B2DD3" w14:textId="77777777" w:rsidR="00C745FA" w:rsidRPr="00890AC8" w:rsidRDefault="00C745FA" w:rsidP="00C745FA">
            <w:pPr>
              <w:spacing w:line="240" w:lineRule="auto"/>
              <w:jc w:val="center"/>
              <w:rPr>
                <w:rFonts w:eastAsia="Times New Roman" w:cs="Times New Roman"/>
                <w:color w:val="000000"/>
                <w:kern w:val="0"/>
                <w:sz w:val="18"/>
                <w:szCs w:val="18"/>
                <w:lang w:eastAsia="es-CO"/>
                <w14:ligatures w14:val="none"/>
              </w:rPr>
            </w:pPr>
            <w:r w:rsidRPr="00890AC8">
              <w:rPr>
                <w:rFonts w:eastAsia="Times New Roman" w:cs="Times New Roman"/>
                <w:color w:val="000000"/>
                <w:kern w:val="0"/>
                <w:sz w:val="18"/>
                <w:szCs w:val="18"/>
                <w:lang w:eastAsia="es-CO"/>
                <w14:ligatures w14:val="none"/>
              </w:rPr>
              <w:t xml:space="preserve">1 2 3G </w:t>
            </w:r>
          </w:p>
        </w:tc>
        <w:tc>
          <w:tcPr>
            <w:tcW w:w="1605" w:type="pct"/>
            <w:vAlign w:val="center"/>
            <w:hideMark/>
          </w:tcPr>
          <w:p w14:paraId="6B69E38C" w14:textId="77777777" w:rsidR="00C745FA" w:rsidRPr="00890AC8" w:rsidRDefault="00C745FA" w:rsidP="00C745FA">
            <w:pPr>
              <w:spacing w:line="240" w:lineRule="auto"/>
              <w:rPr>
                <w:rFonts w:eastAsia="Times New Roman" w:cs="Times New Roman"/>
                <w:color w:val="000000"/>
                <w:kern w:val="0"/>
                <w:sz w:val="18"/>
                <w:szCs w:val="18"/>
                <w:lang w:eastAsia="es-CO"/>
                <w14:ligatures w14:val="none"/>
              </w:rPr>
            </w:pPr>
            <w:r w:rsidRPr="00890AC8">
              <w:rPr>
                <w:rFonts w:eastAsia="Times New Roman" w:cs="Times New Roman"/>
                <w:color w:val="000000"/>
                <w:kern w:val="0"/>
                <w:sz w:val="18"/>
                <w:szCs w:val="18"/>
                <w:lang w:eastAsia="es-CO"/>
                <w14:ligatures w14:val="none"/>
              </w:rPr>
              <w:t xml:space="preserve">Neiva - Espinal -Girardot </w:t>
            </w:r>
          </w:p>
        </w:tc>
        <w:tc>
          <w:tcPr>
            <w:tcW w:w="1127" w:type="pct"/>
            <w:noWrap/>
            <w:vAlign w:val="center"/>
            <w:hideMark/>
          </w:tcPr>
          <w:p w14:paraId="584B6147" w14:textId="77777777" w:rsidR="00C745FA" w:rsidRPr="00890AC8" w:rsidRDefault="00C745FA" w:rsidP="00C745FA">
            <w:pPr>
              <w:spacing w:line="240" w:lineRule="auto"/>
              <w:jc w:val="center"/>
              <w:rPr>
                <w:rFonts w:eastAsia="Times New Roman" w:cs="Times New Roman"/>
                <w:color w:val="000000"/>
                <w:kern w:val="0"/>
                <w:sz w:val="18"/>
                <w:szCs w:val="18"/>
                <w:lang w:eastAsia="es-CO"/>
                <w14:ligatures w14:val="none"/>
              </w:rPr>
            </w:pPr>
            <w:r w:rsidRPr="00890AC8">
              <w:rPr>
                <w:rFonts w:eastAsia="Times New Roman" w:cs="Times New Roman"/>
                <w:color w:val="000000"/>
                <w:kern w:val="0"/>
                <w:sz w:val="18"/>
                <w:szCs w:val="18"/>
                <w:lang w:eastAsia="es-CO"/>
                <w14:ligatures w14:val="none"/>
              </w:rPr>
              <w:t xml:space="preserve"> 849-1995  </w:t>
            </w:r>
          </w:p>
        </w:tc>
        <w:tc>
          <w:tcPr>
            <w:tcW w:w="986" w:type="pct"/>
            <w:noWrap/>
            <w:vAlign w:val="center"/>
            <w:hideMark/>
          </w:tcPr>
          <w:p w14:paraId="5EDFBE87" w14:textId="658B47FD" w:rsidR="00C745FA" w:rsidRPr="00890AC8" w:rsidRDefault="00C745FA" w:rsidP="00C745FA">
            <w:pPr>
              <w:spacing w:line="240" w:lineRule="auto"/>
              <w:jc w:val="center"/>
              <w:rPr>
                <w:rFonts w:eastAsia="Times New Roman" w:cs="Times New Roman"/>
                <w:color w:val="000000"/>
                <w:kern w:val="0"/>
                <w:sz w:val="18"/>
                <w:szCs w:val="18"/>
                <w:lang w:eastAsia="es-CO"/>
                <w14:ligatures w14:val="none"/>
              </w:rPr>
            </w:pPr>
            <w:r w:rsidRPr="00C745FA">
              <w:rPr>
                <w:color w:val="000000"/>
                <w:sz w:val="18"/>
                <w:szCs w:val="18"/>
              </w:rPr>
              <w:t>2.412.020.789</w:t>
            </w:r>
          </w:p>
        </w:tc>
      </w:tr>
      <w:tr w:rsidR="00C745FA" w:rsidRPr="00890AC8" w14:paraId="2F119AB3" w14:textId="77777777" w:rsidTr="00C745FA">
        <w:trPr>
          <w:trHeight w:val="340"/>
        </w:trPr>
        <w:tc>
          <w:tcPr>
            <w:tcW w:w="560" w:type="pct"/>
            <w:noWrap/>
            <w:vAlign w:val="center"/>
            <w:hideMark/>
          </w:tcPr>
          <w:p w14:paraId="4F733262" w14:textId="77777777" w:rsidR="00C745FA" w:rsidRPr="00890AC8" w:rsidRDefault="00C745FA" w:rsidP="00C745FA">
            <w:pPr>
              <w:spacing w:line="240" w:lineRule="auto"/>
              <w:jc w:val="center"/>
              <w:rPr>
                <w:rFonts w:eastAsia="Times New Roman" w:cs="Times New Roman"/>
                <w:color w:val="000000"/>
                <w:kern w:val="0"/>
                <w:sz w:val="18"/>
                <w:szCs w:val="18"/>
                <w:lang w:eastAsia="es-CO"/>
                <w14:ligatures w14:val="none"/>
              </w:rPr>
            </w:pPr>
            <w:r w:rsidRPr="00890AC8">
              <w:rPr>
                <w:rFonts w:eastAsia="Times New Roman" w:cs="Times New Roman"/>
                <w:color w:val="000000"/>
                <w:kern w:val="0"/>
                <w:sz w:val="18"/>
                <w:szCs w:val="18"/>
                <w:lang w:eastAsia="es-CO"/>
                <w14:ligatures w14:val="none"/>
              </w:rPr>
              <w:t>18</w:t>
            </w:r>
          </w:p>
        </w:tc>
        <w:tc>
          <w:tcPr>
            <w:tcW w:w="722" w:type="pct"/>
            <w:noWrap/>
            <w:vAlign w:val="center"/>
            <w:hideMark/>
          </w:tcPr>
          <w:p w14:paraId="1160BB50" w14:textId="77777777" w:rsidR="00C745FA" w:rsidRPr="00890AC8" w:rsidRDefault="00C745FA" w:rsidP="00C745FA">
            <w:pPr>
              <w:spacing w:line="240" w:lineRule="auto"/>
              <w:jc w:val="center"/>
              <w:rPr>
                <w:rFonts w:eastAsia="Times New Roman" w:cs="Times New Roman"/>
                <w:color w:val="000000"/>
                <w:kern w:val="0"/>
                <w:sz w:val="18"/>
                <w:szCs w:val="18"/>
                <w:lang w:eastAsia="es-CO"/>
                <w14:ligatures w14:val="none"/>
              </w:rPr>
            </w:pPr>
            <w:r w:rsidRPr="00890AC8">
              <w:rPr>
                <w:rFonts w:eastAsia="Times New Roman" w:cs="Times New Roman"/>
                <w:color w:val="000000"/>
                <w:kern w:val="0"/>
                <w:sz w:val="18"/>
                <w:szCs w:val="18"/>
                <w:lang w:eastAsia="es-CO"/>
                <w14:ligatures w14:val="none"/>
              </w:rPr>
              <w:t xml:space="preserve">1 2 3 G </w:t>
            </w:r>
          </w:p>
        </w:tc>
        <w:tc>
          <w:tcPr>
            <w:tcW w:w="1605" w:type="pct"/>
            <w:vAlign w:val="center"/>
            <w:hideMark/>
          </w:tcPr>
          <w:p w14:paraId="46FE9A25" w14:textId="77777777" w:rsidR="00C745FA" w:rsidRPr="00890AC8" w:rsidRDefault="00C745FA" w:rsidP="00C745FA">
            <w:pPr>
              <w:spacing w:line="240" w:lineRule="auto"/>
              <w:rPr>
                <w:rFonts w:eastAsia="Times New Roman" w:cs="Times New Roman"/>
                <w:color w:val="000000"/>
                <w:kern w:val="0"/>
                <w:sz w:val="18"/>
                <w:szCs w:val="18"/>
                <w:lang w:eastAsia="es-CO"/>
                <w14:ligatures w14:val="none"/>
              </w:rPr>
            </w:pPr>
            <w:r w:rsidRPr="00890AC8">
              <w:rPr>
                <w:rFonts w:eastAsia="Times New Roman" w:cs="Times New Roman"/>
                <w:color w:val="000000"/>
                <w:kern w:val="0"/>
                <w:sz w:val="18"/>
                <w:szCs w:val="18"/>
                <w:lang w:eastAsia="es-CO"/>
                <w14:ligatures w14:val="none"/>
              </w:rPr>
              <w:t xml:space="preserve">Briceño- Tunja- Sogamoso </w:t>
            </w:r>
          </w:p>
        </w:tc>
        <w:tc>
          <w:tcPr>
            <w:tcW w:w="1127" w:type="pct"/>
            <w:noWrap/>
            <w:vAlign w:val="center"/>
            <w:hideMark/>
          </w:tcPr>
          <w:p w14:paraId="306C4C1E" w14:textId="77777777" w:rsidR="00C745FA" w:rsidRPr="00890AC8" w:rsidRDefault="00C745FA" w:rsidP="00C745FA">
            <w:pPr>
              <w:spacing w:line="240" w:lineRule="auto"/>
              <w:jc w:val="center"/>
              <w:rPr>
                <w:rFonts w:eastAsia="Times New Roman" w:cs="Times New Roman"/>
                <w:color w:val="000000"/>
                <w:kern w:val="0"/>
                <w:sz w:val="18"/>
                <w:szCs w:val="18"/>
                <w:lang w:eastAsia="es-CO"/>
                <w14:ligatures w14:val="none"/>
              </w:rPr>
            </w:pPr>
            <w:r w:rsidRPr="00890AC8">
              <w:rPr>
                <w:rFonts w:eastAsia="Times New Roman" w:cs="Times New Roman"/>
                <w:color w:val="000000"/>
                <w:kern w:val="0"/>
                <w:sz w:val="18"/>
                <w:szCs w:val="18"/>
                <w:lang w:eastAsia="es-CO"/>
                <w14:ligatures w14:val="none"/>
              </w:rPr>
              <w:t xml:space="preserve"> 377-2002  </w:t>
            </w:r>
          </w:p>
        </w:tc>
        <w:tc>
          <w:tcPr>
            <w:tcW w:w="986" w:type="pct"/>
            <w:noWrap/>
            <w:vAlign w:val="center"/>
            <w:hideMark/>
          </w:tcPr>
          <w:p w14:paraId="45B0EA19" w14:textId="0EDBD033" w:rsidR="00C745FA" w:rsidRPr="00890AC8" w:rsidRDefault="00C745FA" w:rsidP="00C745FA">
            <w:pPr>
              <w:spacing w:line="240" w:lineRule="auto"/>
              <w:jc w:val="center"/>
              <w:rPr>
                <w:rFonts w:eastAsia="Times New Roman" w:cs="Times New Roman"/>
                <w:color w:val="000000"/>
                <w:kern w:val="0"/>
                <w:sz w:val="18"/>
                <w:szCs w:val="18"/>
                <w:lang w:eastAsia="es-CO"/>
                <w14:ligatures w14:val="none"/>
              </w:rPr>
            </w:pPr>
            <w:r w:rsidRPr="00C745FA">
              <w:rPr>
                <w:color w:val="000000"/>
                <w:sz w:val="18"/>
                <w:szCs w:val="18"/>
              </w:rPr>
              <w:t>2.189.254.021</w:t>
            </w:r>
          </w:p>
        </w:tc>
      </w:tr>
      <w:tr w:rsidR="00C745FA" w:rsidRPr="00890AC8" w14:paraId="2DC8A8D5" w14:textId="77777777" w:rsidTr="00C745FA">
        <w:trPr>
          <w:trHeight w:val="340"/>
        </w:trPr>
        <w:tc>
          <w:tcPr>
            <w:tcW w:w="560" w:type="pct"/>
            <w:noWrap/>
            <w:vAlign w:val="center"/>
            <w:hideMark/>
          </w:tcPr>
          <w:p w14:paraId="516881CB" w14:textId="77777777" w:rsidR="00C745FA" w:rsidRPr="00890AC8" w:rsidRDefault="00C745FA" w:rsidP="00C745FA">
            <w:pPr>
              <w:spacing w:line="240" w:lineRule="auto"/>
              <w:jc w:val="center"/>
              <w:rPr>
                <w:rFonts w:eastAsia="Times New Roman" w:cs="Times New Roman"/>
                <w:color w:val="000000"/>
                <w:kern w:val="0"/>
                <w:sz w:val="18"/>
                <w:szCs w:val="18"/>
                <w:lang w:eastAsia="es-CO"/>
                <w14:ligatures w14:val="none"/>
              </w:rPr>
            </w:pPr>
            <w:r w:rsidRPr="00890AC8">
              <w:rPr>
                <w:rFonts w:eastAsia="Times New Roman" w:cs="Times New Roman"/>
                <w:color w:val="000000"/>
                <w:kern w:val="0"/>
                <w:sz w:val="18"/>
                <w:szCs w:val="18"/>
                <w:lang w:eastAsia="es-CO"/>
                <w14:ligatures w14:val="none"/>
              </w:rPr>
              <w:t>19</w:t>
            </w:r>
          </w:p>
        </w:tc>
        <w:tc>
          <w:tcPr>
            <w:tcW w:w="722" w:type="pct"/>
            <w:noWrap/>
            <w:vAlign w:val="center"/>
            <w:hideMark/>
          </w:tcPr>
          <w:p w14:paraId="31482E80" w14:textId="77777777" w:rsidR="00C745FA" w:rsidRPr="00890AC8" w:rsidRDefault="00C745FA" w:rsidP="00C745FA">
            <w:pPr>
              <w:spacing w:line="240" w:lineRule="auto"/>
              <w:jc w:val="center"/>
              <w:rPr>
                <w:rFonts w:eastAsia="Times New Roman" w:cs="Times New Roman"/>
                <w:color w:val="000000"/>
                <w:kern w:val="0"/>
                <w:sz w:val="18"/>
                <w:szCs w:val="18"/>
                <w:lang w:eastAsia="es-CO"/>
                <w14:ligatures w14:val="none"/>
              </w:rPr>
            </w:pPr>
            <w:r w:rsidRPr="00890AC8">
              <w:rPr>
                <w:rFonts w:eastAsia="Times New Roman" w:cs="Times New Roman"/>
                <w:color w:val="000000"/>
                <w:kern w:val="0"/>
                <w:sz w:val="18"/>
                <w:szCs w:val="18"/>
                <w:lang w:eastAsia="es-CO"/>
                <w14:ligatures w14:val="none"/>
              </w:rPr>
              <w:t xml:space="preserve">4 G </w:t>
            </w:r>
          </w:p>
        </w:tc>
        <w:tc>
          <w:tcPr>
            <w:tcW w:w="1605" w:type="pct"/>
            <w:vAlign w:val="center"/>
            <w:hideMark/>
          </w:tcPr>
          <w:p w14:paraId="392CB19A" w14:textId="77777777" w:rsidR="00C745FA" w:rsidRPr="00890AC8" w:rsidRDefault="00C745FA" w:rsidP="00C745FA">
            <w:pPr>
              <w:spacing w:line="240" w:lineRule="auto"/>
              <w:rPr>
                <w:rFonts w:eastAsia="Times New Roman" w:cs="Times New Roman"/>
                <w:color w:val="000000"/>
                <w:kern w:val="0"/>
                <w:sz w:val="18"/>
                <w:szCs w:val="18"/>
                <w:lang w:eastAsia="es-CO"/>
                <w14:ligatures w14:val="none"/>
              </w:rPr>
            </w:pPr>
            <w:r w:rsidRPr="00890AC8">
              <w:rPr>
                <w:rFonts w:eastAsia="Times New Roman" w:cs="Times New Roman"/>
                <w:color w:val="000000"/>
                <w:kern w:val="0"/>
                <w:sz w:val="18"/>
                <w:szCs w:val="18"/>
                <w:lang w:eastAsia="es-CO"/>
                <w14:ligatures w14:val="none"/>
              </w:rPr>
              <w:t xml:space="preserve">Cesar Guajira - 4g - Ip </w:t>
            </w:r>
          </w:p>
        </w:tc>
        <w:tc>
          <w:tcPr>
            <w:tcW w:w="1127" w:type="pct"/>
            <w:noWrap/>
            <w:vAlign w:val="center"/>
            <w:hideMark/>
          </w:tcPr>
          <w:p w14:paraId="02A63744" w14:textId="77777777" w:rsidR="00C745FA" w:rsidRPr="00890AC8" w:rsidRDefault="00C745FA" w:rsidP="00C745FA">
            <w:pPr>
              <w:spacing w:line="240" w:lineRule="auto"/>
              <w:jc w:val="center"/>
              <w:rPr>
                <w:rFonts w:eastAsia="Times New Roman" w:cs="Times New Roman"/>
                <w:color w:val="000000"/>
                <w:kern w:val="0"/>
                <w:sz w:val="18"/>
                <w:szCs w:val="18"/>
                <w:lang w:eastAsia="es-CO"/>
                <w14:ligatures w14:val="none"/>
              </w:rPr>
            </w:pPr>
            <w:r w:rsidRPr="00890AC8">
              <w:rPr>
                <w:rFonts w:eastAsia="Times New Roman" w:cs="Times New Roman"/>
                <w:color w:val="000000"/>
                <w:kern w:val="0"/>
                <w:sz w:val="18"/>
                <w:szCs w:val="18"/>
                <w:lang w:eastAsia="es-CO"/>
                <w14:ligatures w14:val="none"/>
              </w:rPr>
              <w:t xml:space="preserve"> 006-2015  </w:t>
            </w:r>
          </w:p>
        </w:tc>
        <w:tc>
          <w:tcPr>
            <w:tcW w:w="986" w:type="pct"/>
            <w:noWrap/>
            <w:vAlign w:val="center"/>
            <w:hideMark/>
          </w:tcPr>
          <w:p w14:paraId="3DA2E8C5" w14:textId="17FDD32E" w:rsidR="00C745FA" w:rsidRPr="00890AC8" w:rsidRDefault="00C745FA" w:rsidP="00C745FA">
            <w:pPr>
              <w:spacing w:line="240" w:lineRule="auto"/>
              <w:jc w:val="right"/>
              <w:rPr>
                <w:rFonts w:eastAsia="Times New Roman" w:cs="Times New Roman"/>
                <w:color w:val="000000"/>
                <w:kern w:val="0"/>
                <w:sz w:val="18"/>
                <w:szCs w:val="18"/>
                <w:lang w:eastAsia="es-CO"/>
                <w14:ligatures w14:val="none"/>
              </w:rPr>
            </w:pPr>
            <w:r w:rsidRPr="00C745FA">
              <w:rPr>
                <w:color w:val="000000"/>
                <w:sz w:val="18"/>
                <w:szCs w:val="18"/>
              </w:rPr>
              <w:t>79.456.685</w:t>
            </w:r>
          </w:p>
        </w:tc>
      </w:tr>
    </w:tbl>
    <w:p w14:paraId="0D0EC5C4" w14:textId="49CEDA61" w:rsidR="008421D7" w:rsidRPr="00951AB1" w:rsidRDefault="0732A554" w:rsidP="000A5389">
      <w:pPr>
        <w:spacing w:line="240" w:lineRule="auto"/>
        <w:rPr>
          <w:rFonts w:cs="Times New Roman"/>
          <w:sz w:val="16"/>
          <w:szCs w:val="16"/>
          <w:lang w:val="es-ES"/>
        </w:rPr>
      </w:pPr>
      <w:r w:rsidRPr="00951AB1">
        <w:rPr>
          <w:rFonts w:cs="Times New Roman"/>
          <w:szCs w:val="24"/>
          <w:lang w:val="es-ES"/>
        </w:rPr>
        <w:t>C</w:t>
      </w:r>
      <w:r w:rsidRPr="00951AB1">
        <w:rPr>
          <w:rFonts w:cs="Times New Roman"/>
          <w:sz w:val="16"/>
          <w:szCs w:val="16"/>
          <w:lang w:val="es-ES"/>
        </w:rPr>
        <w:t xml:space="preserve">ifras expresadas </w:t>
      </w:r>
      <w:r w:rsidR="00C745FA" w:rsidRPr="00951AB1">
        <w:rPr>
          <w:rFonts w:cs="Times New Roman"/>
          <w:sz w:val="16"/>
          <w:szCs w:val="16"/>
          <w:lang w:val="es-ES"/>
        </w:rPr>
        <w:t>en pesos</w:t>
      </w:r>
    </w:p>
    <w:p w14:paraId="1FA23B68" w14:textId="77777777" w:rsidR="00C745FA" w:rsidRDefault="00C745FA" w:rsidP="000A5389">
      <w:pPr>
        <w:spacing w:line="240" w:lineRule="auto"/>
        <w:rPr>
          <w:rFonts w:cs="Times New Roman"/>
          <w:szCs w:val="24"/>
          <w:lang w:val="es-ES"/>
        </w:rPr>
      </w:pPr>
    </w:p>
    <w:p w14:paraId="0AC59A3E" w14:textId="38047FA9" w:rsidR="008421D7" w:rsidRDefault="008421D7" w:rsidP="000A5389">
      <w:pPr>
        <w:spacing w:line="240" w:lineRule="auto"/>
        <w:rPr>
          <w:rFonts w:cs="Times New Roman"/>
          <w:szCs w:val="24"/>
          <w:lang w:val="es-ES"/>
        </w:rPr>
      </w:pPr>
      <w:r w:rsidRPr="00951AB1">
        <w:rPr>
          <w:rFonts w:cs="Times New Roman"/>
          <w:szCs w:val="24"/>
          <w:lang w:val="es-ES"/>
        </w:rPr>
        <w:t>Finalmente, la conciliación evidenció la incorporación de los saldos iniciales en el SIIF reportados por la entidad titular para los terrenos por un valor total de $1.063.497.801.081, así:</w:t>
      </w:r>
    </w:p>
    <w:p w14:paraId="54F6131A" w14:textId="77777777" w:rsidR="00C745FA" w:rsidRPr="00951AB1" w:rsidRDefault="00C745FA" w:rsidP="000A5389">
      <w:pPr>
        <w:spacing w:line="240" w:lineRule="auto"/>
        <w:rPr>
          <w:rFonts w:cs="Times New Roman"/>
          <w:szCs w:val="24"/>
          <w:lang w:val="es-ES"/>
        </w:rPr>
      </w:pPr>
    </w:p>
    <w:p w14:paraId="5F8CB09D" w14:textId="2CD07273" w:rsidR="00524388" w:rsidRDefault="3665B298" w:rsidP="000A5389">
      <w:pPr>
        <w:spacing w:line="240" w:lineRule="auto"/>
        <w:rPr>
          <w:rFonts w:cs="Times New Roman"/>
          <w:szCs w:val="24"/>
          <w:lang w:val="es-ES"/>
        </w:rPr>
      </w:pPr>
      <w:r w:rsidRPr="5B0C84B6">
        <w:rPr>
          <w:rFonts w:cs="Times New Roman"/>
          <w:szCs w:val="24"/>
          <w:lang w:val="es-ES"/>
        </w:rPr>
        <w:t>La suma de $315.899.882.631 corresponden al saldo en SIIF de proyectos activos, cuyos saldos fueron remitidos por la titular Invias (para proyectos carreteros y uno solo férreo), pero a su vez al mismo proyecto la VPRE informaron adquisición predial:</w:t>
      </w:r>
    </w:p>
    <w:p w14:paraId="131B276A" w14:textId="77777777" w:rsidR="002E333D" w:rsidRDefault="002E333D" w:rsidP="000A5389">
      <w:pPr>
        <w:spacing w:line="240" w:lineRule="auto"/>
        <w:rPr>
          <w:rFonts w:cs="Times New Roman"/>
          <w:szCs w:val="24"/>
          <w:lang w:val="es-ES"/>
        </w:rPr>
      </w:pPr>
    </w:p>
    <w:p w14:paraId="56E0BFF4" w14:textId="77777777" w:rsidR="002E333D" w:rsidRDefault="002E333D" w:rsidP="000A5389">
      <w:pPr>
        <w:spacing w:line="240" w:lineRule="auto"/>
        <w:rPr>
          <w:rFonts w:cs="Times New Roman"/>
          <w:szCs w:val="24"/>
          <w:lang w:val="es-ES"/>
        </w:rPr>
      </w:pPr>
    </w:p>
    <w:p w14:paraId="75BADFB0" w14:textId="77777777" w:rsidR="002E333D" w:rsidRDefault="002E333D" w:rsidP="000A5389">
      <w:pPr>
        <w:spacing w:line="240" w:lineRule="auto"/>
        <w:rPr>
          <w:rFonts w:cs="Times New Roman"/>
          <w:szCs w:val="24"/>
          <w:lang w:val="es-ES"/>
        </w:rPr>
      </w:pPr>
    </w:p>
    <w:p w14:paraId="196EFD12" w14:textId="77777777" w:rsidR="002E333D" w:rsidRDefault="002E333D" w:rsidP="000A5389">
      <w:pPr>
        <w:spacing w:line="240" w:lineRule="auto"/>
        <w:rPr>
          <w:rFonts w:cs="Times New Roman"/>
          <w:szCs w:val="24"/>
          <w:lang w:val="es-ES"/>
        </w:rPr>
      </w:pPr>
    </w:p>
    <w:p w14:paraId="277EC05E" w14:textId="77777777" w:rsidR="002E333D" w:rsidRDefault="002E333D" w:rsidP="000A5389">
      <w:pPr>
        <w:spacing w:line="240" w:lineRule="auto"/>
        <w:rPr>
          <w:rFonts w:cs="Times New Roman"/>
          <w:szCs w:val="24"/>
          <w:lang w:val="es-ES"/>
        </w:rPr>
      </w:pPr>
    </w:p>
    <w:p w14:paraId="70B8C007" w14:textId="77777777" w:rsidR="00503573" w:rsidRPr="00951AB1" w:rsidRDefault="00503573" w:rsidP="000A5389">
      <w:pPr>
        <w:spacing w:line="240" w:lineRule="auto"/>
        <w:rPr>
          <w:rFonts w:cs="Times New Roman"/>
          <w:szCs w:val="24"/>
          <w:lang w:val="es-E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73"/>
        <w:gridCol w:w="16"/>
        <w:gridCol w:w="3685"/>
        <w:gridCol w:w="1559"/>
        <w:gridCol w:w="2595"/>
      </w:tblGrid>
      <w:tr w:rsidR="002E333D" w:rsidRPr="002E333D" w14:paraId="4BC01CF0" w14:textId="77777777" w:rsidTr="00447BAC">
        <w:trPr>
          <w:trHeight w:val="340"/>
        </w:trPr>
        <w:tc>
          <w:tcPr>
            <w:tcW w:w="560" w:type="pct"/>
            <w:gridSpan w:val="2"/>
            <w:vAlign w:val="center"/>
            <w:hideMark/>
          </w:tcPr>
          <w:p w14:paraId="4A3EEA00" w14:textId="77777777" w:rsidR="002E333D" w:rsidRPr="00890AC8" w:rsidRDefault="002E333D" w:rsidP="00BC6FD6">
            <w:pPr>
              <w:spacing w:line="240" w:lineRule="auto"/>
              <w:jc w:val="center"/>
              <w:rPr>
                <w:rFonts w:eastAsia="Times New Roman" w:cs="Times New Roman"/>
                <w:b/>
                <w:bCs/>
                <w:color w:val="000000"/>
                <w:kern w:val="0"/>
                <w:sz w:val="20"/>
                <w:szCs w:val="20"/>
                <w:lang w:eastAsia="es-CO"/>
                <w14:ligatures w14:val="none"/>
              </w:rPr>
            </w:pPr>
            <w:r w:rsidRPr="00890AC8">
              <w:rPr>
                <w:rFonts w:eastAsia="Times New Roman" w:cs="Times New Roman"/>
                <w:b/>
                <w:bCs/>
                <w:color w:val="000000"/>
                <w:kern w:val="0"/>
                <w:sz w:val="20"/>
                <w:szCs w:val="20"/>
                <w:lang w:eastAsia="es-CO"/>
                <w14:ligatures w14:val="none"/>
              </w:rPr>
              <w:lastRenderedPageBreak/>
              <w:t>Ítem No.</w:t>
            </w:r>
          </w:p>
        </w:tc>
        <w:tc>
          <w:tcPr>
            <w:tcW w:w="2087" w:type="pct"/>
            <w:vAlign w:val="center"/>
            <w:hideMark/>
          </w:tcPr>
          <w:p w14:paraId="294FCEA3" w14:textId="395895F7" w:rsidR="002E333D" w:rsidRPr="00890AC8" w:rsidRDefault="002E333D" w:rsidP="002E333D">
            <w:pPr>
              <w:spacing w:line="240" w:lineRule="auto"/>
              <w:rPr>
                <w:rFonts w:eastAsia="Times New Roman" w:cs="Times New Roman"/>
                <w:b/>
                <w:bCs/>
                <w:color w:val="000000"/>
                <w:kern w:val="0"/>
                <w:sz w:val="20"/>
                <w:szCs w:val="20"/>
                <w:lang w:eastAsia="es-CO"/>
                <w14:ligatures w14:val="none"/>
              </w:rPr>
            </w:pPr>
            <w:r w:rsidRPr="00890AC8">
              <w:rPr>
                <w:rFonts w:eastAsia="Times New Roman" w:cs="Times New Roman"/>
                <w:b/>
                <w:bCs/>
                <w:color w:val="000000"/>
                <w:kern w:val="0"/>
                <w:sz w:val="20"/>
                <w:szCs w:val="20"/>
                <w:lang w:eastAsia="es-CO"/>
                <w14:ligatures w14:val="none"/>
              </w:rPr>
              <w:t>Proyecto de Concesión</w:t>
            </w:r>
          </w:p>
        </w:tc>
        <w:tc>
          <w:tcPr>
            <w:tcW w:w="883" w:type="pct"/>
            <w:vAlign w:val="center"/>
            <w:hideMark/>
          </w:tcPr>
          <w:p w14:paraId="75B6FC28" w14:textId="77777777" w:rsidR="002E333D" w:rsidRPr="00890AC8" w:rsidRDefault="002E333D" w:rsidP="00BC6FD6">
            <w:pPr>
              <w:spacing w:line="240" w:lineRule="auto"/>
              <w:jc w:val="center"/>
              <w:rPr>
                <w:rFonts w:eastAsia="Times New Roman" w:cs="Times New Roman"/>
                <w:b/>
                <w:bCs/>
                <w:color w:val="000000"/>
                <w:kern w:val="0"/>
                <w:sz w:val="20"/>
                <w:szCs w:val="20"/>
                <w:lang w:eastAsia="es-CO"/>
                <w14:ligatures w14:val="none"/>
              </w:rPr>
            </w:pPr>
            <w:r w:rsidRPr="00890AC8">
              <w:rPr>
                <w:rFonts w:eastAsia="Times New Roman" w:cs="Times New Roman"/>
                <w:b/>
                <w:bCs/>
                <w:color w:val="000000"/>
                <w:kern w:val="0"/>
                <w:sz w:val="20"/>
                <w:szCs w:val="20"/>
                <w:lang w:eastAsia="es-CO"/>
                <w14:ligatures w14:val="none"/>
              </w:rPr>
              <w:t>Contrato No.</w:t>
            </w:r>
          </w:p>
        </w:tc>
        <w:tc>
          <w:tcPr>
            <w:tcW w:w="1470" w:type="pct"/>
            <w:vAlign w:val="center"/>
            <w:hideMark/>
          </w:tcPr>
          <w:p w14:paraId="07F48C89" w14:textId="77777777" w:rsidR="002E333D" w:rsidRPr="00890AC8" w:rsidRDefault="002E333D" w:rsidP="002E333D">
            <w:pPr>
              <w:spacing w:line="240" w:lineRule="auto"/>
              <w:jc w:val="center"/>
              <w:rPr>
                <w:rFonts w:eastAsia="Times New Roman" w:cs="Times New Roman"/>
                <w:b/>
                <w:bCs/>
                <w:color w:val="000000"/>
                <w:kern w:val="0"/>
                <w:sz w:val="20"/>
                <w:szCs w:val="20"/>
                <w:lang w:eastAsia="es-CO"/>
                <w14:ligatures w14:val="none"/>
              </w:rPr>
            </w:pPr>
            <w:r w:rsidRPr="00890AC8">
              <w:rPr>
                <w:rFonts w:eastAsia="Times New Roman" w:cs="Times New Roman"/>
                <w:b/>
                <w:bCs/>
                <w:color w:val="000000"/>
                <w:kern w:val="0"/>
                <w:sz w:val="20"/>
                <w:szCs w:val="20"/>
                <w:lang w:eastAsia="es-CO"/>
                <w14:ligatures w14:val="none"/>
              </w:rPr>
              <w:t>Valor Total Reportado G.I.T Predial y G.I.T Asesoría Jurídico Predial</w:t>
            </w:r>
          </w:p>
        </w:tc>
      </w:tr>
      <w:tr w:rsidR="13966AEE" w:rsidRPr="002E333D" w14:paraId="5C468491" w14:textId="77777777" w:rsidTr="00447B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6A0" w:firstRow="1" w:lastRow="0" w:firstColumn="1" w:lastColumn="0" w:noHBand="1" w:noVBand="1"/>
        </w:tblPrEx>
        <w:trPr>
          <w:trHeight w:val="340"/>
        </w:trPr>
        <w:tc>
          <w:tcPr>
            <w:tcW w:w="551" w:type="pct"/>
            <w:tcBorders>
              <w:top w:val="single" w:sz="4" w:space="0" w:color="auto"/>
              <w:left w:val="single" w:sz="4" w:space="0" w:color="auto"/>
              <w:bottom w:val="single" w:sz="4" w:space="0" w:color="auto"/>
              <w:right w:val="single" w:sz="4" w:space="0" w:color="auto"/>
            </w:tcBorders>
            <w:vAlign w:val="center"/>
          </w:tcPr>
          <w:p w14:paraId="2DCEF9F5" w14:textId="1A8B7906" w:rsidR="13966AEE" w:rsidRPr="002E333D" w:rsidRDefault="13966AEE" w:rsidP="002E333D">
            <w:pPr>
              <w:spacing w:line="240" w:lineRule="auto"/>
              <w:jc w:val="center"/>
              <w:rPr>
                <w:sz w:val="20"/>
                <w:szCs w:val="20"/>
              </w:rPr>
            </w:pPr>
            <w:r w:rsidRPr="002E333D">
              <w:rPr>
                <w:rFonts w:eastAsia="Times New Roman" w:cs="Times New Roman"/>
                <w:color w:val="000000" w:themeColor="text1"/>
                <w:sz w:val="20"/>
                <w:szCs w:val="20"/>
              </w:rPr>
              <w:t>1</w:t>
            </w:r>
          </w:p>
        </w:tc>
        <w:tc>
          <w:tcPr>
            <w:tcW w:w="2096" w:type="pct"/>
            <w:gridSpan w:val="2"/>
            <w:tcBorders>
              <w:top w:val="single" w:sz="4" w:space="0" w:color="auto"/>
              <w:left w:val="single" w:sz="4" w:space="0" w:color="auto"/>
              <w:bottom w:val="single" w:sz="4" w:space="0" w:color="auto"/>
              <w:right w:val="single" w:sz="4" w:space="0" w:color="auto"/>
            </w:tcBorders>
            <w:vAlign w:val="center"/>
          </w:tcPr>
          <w:p w14:paraId="58B1B68F" w14:textId="4E396FF0" w:rsidR="13966AEE" w:rsidRPr="002E333D" w:rsidRDefault="002E333D" w:rsidP="000A5389">
            <w:pPr>
              <w:spacing w:line="240" w:lineRule="auto"/>
              <w:rPr>
                <w:sz w:val="20"/>
                <w:szCs w:val="20"/>
              </w:rPr>
            </w:pPr>
            <w:r w:rsidRPr="002E333D">
              <w:rPr>
                <w:rFonts w:eastAsia="Times New Roman" w:cs="Times New Roman"/>
                <w:color w:val="000000" w:themeColor="text1"/>
                <w:sz w:val="20"/>
                <w:szCs w:val="20"/>
              </w:rPr>
              <w:t>Tercer Carril Doble Calzada Bogotá – Girardot</w:t>
            </w:r>
          </w:p>
        </w:tc>
        <w:tc>
          <w:tcPr>
            <w:tcW w:w="883" w:type="pct"/>
            <w:tcBorders>
              <w:top w:val="single" w:sz="4" w:space="0" w:color="auto"/>
              <w:left w:val="single" w:sz="4" w:space="0" w:color="auto"/>
              <w:bottom w:val="single" w:sz="4" w:space="0" w:color="auto"/>
              <w:right w:val="single" w:sz="4" w:space="0" w:color="auto"/>
            </w:tcBorders>
            <w:vAlign w:val="center"/>
          </w:tcPr>
          <w:p w14:paraId="0FEBB8ED" w14:textId="2438F564" w:rsidR="13966AEE" w:rsidRPr="002E333D" w:rsidRDefault="13966AEE" w:rsidP="000A5389">
            <w:pPr>
              <w:spacing w:line="240" w:lineRule="auto"/>
              <w:jc w:val="center"/>
              <w:rPr>
                <w:sz w:val="20"/>
                <w:szCs w:val="20"/>
              </w:rPr>
            </w:pPr>
            <w:r w:rsidRPr="002E333D">
              <w:rPr>
                <w:rFonts w:eastAsia="Times New Roman" w:cs="Times New Roman"/>
                <w:color w:val="000000" w:themeColor="text1"/>
                <w:sz w:val="20"/>
                <w:szCs w:val="20"/>
              </w:rPr>
              <w:t>004-2016</w:t>
            </w:r>
          </w:p>
        </w:tc>
        <w:tc>
          <w:tcPr>
            <w:tcW w:w="1470" w:type="pct"/>
            <w:tcBorders>
              <w:top w:val="single" w:sz="4" w:space="0" w:color="auto"/>
              <w:left w:val="single" w:sz="4" w:space="0" w:color="auto"/>
              <w:bottom w:val="single" w:sz="4" w:space="0" w:color="auto"/>
              <w:right w:val="single" w:sz="4" w:space="0" w:color="auto"/>
            </w:tcBorders>
            <w:vAlign w:val="center"/>
          </w:tcPr>
          <w:p w14:paraId="6D6A6712" w14:textId="62C1DF26" w:rsidR="13966AEE" w:rsidRPr="002E333D" w:rsidRDefault="13966AEE" w:rsidP="002E333D">
            <w:pPr>
              <w:spacing w:line="240" w:lineRule="auto"/>
              <w:jc w:val="right"/>
              <w:rPr>
                <w:sz w:val="20"/>
                <w:szCs w:val="20"/>
              </w:rPr>
            </w:pPr>
            <w:r w:rsidRPr="002E333D">
              <w:rPr>
                <w:rFonts w:eastAsia="Times New Roman" w:cs="Times New Roman"/>
                <w:color w:val="000000" w:themeColor="text1"/>
                <w:sz w:val="20"/>
                <w:szCs w:val="20"/>
              </w:rPr>
              <w:t>114.046.896.127</w:t>
            </w:r>
          </w:p>
        </w:tc>
      </w:tr>
      <w:tr w:rsidR="13966AEE" w:rsidRPr="002E333D" w14:paraId="124AC063" w14:textId="77777777" w:rsidTr="00447B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6A0" w:firstRow="1" w:lastRow="0" w:firstColumn="1" w:lastColumn="0" w:noHBand="1" w:noVBand="1"/>
        </w:tblPrEx>
        <w:trPr>
          <w:trHeight w:val="340"/>
        </w:trPr>
        <w:tc>
          <w:tcPr>
            <w:tcW w:w="551" w:type="pct"/>
            <w:tcBorders>
              <w:top w:val="single" w:sz="4" w:space="0" w:color="auto"/>
              <w:left w:val="single" w:sz="4" w:space="0" w:color="auto"/>
              <w:bottom w:val="single" w:sz="4" w:space="0" w:color="auto"/>
              <w:right w:val="single" w:sz="4" w:space="0" w:color="auto"/>
            </w:tcBorders>
            <w:vAlign w:val="center"/>
          </w:tcPr>
          <w:p w14:paraId="51137F1B" w14:textId="3C9418E1" w:rsidR="13966AEE" w:rsidRPr="002E333D" w:rsidRDefault="13966AEE" w:rsidP="002E333D">
            <w:pPr>
              <w:spacing w:line="240" w:lineRule="auto"/>
              <w:jc w:val="center"/>
              <w:rPr>
                <w:sz w:val="20"/>
                <w:szCs w:val="20"/>
              </w:rPr>
            </w:pPr>
            <w:r w:rsidRPr="002E333D">
              <w:rPr>
                <w:rFonts w:eastAsia="Times New Roman" w:cs="Times New Roman"/>
                <w:color w:val="000000" w:themeColor="text1"/>
                <w:sz w:val="20"/>
                <w:szCs w:val="20"/>
              </w:rPr>
              <w:t>2</w:t>
            </w:r>
          </w:p>
        </w:tc>
        <w:tc>
          <w:tcPr>
            <w:tcW w:w="2096" w:type="pct"/>
            <w:gridSpan w:val="2"/>
            <w:tcBorders>
              <w:top w:val="single" w:sz="4" w:space="0" w:color="auto"/>
              <w:left w:val="single" w:sz="4" w:space="0" w:color="auto"/>
              <w:bottom w:val="single" w:sz="4" w:space="0" w:color="auto"/>
              <w:right w:val="single" w:sz="4" w:space="0" w:color="auto"/>
            </w:tcBorders>
            <w:vAlign w:val="center"/>
          </w:tcPr>
          <w:p w14:paraId="21C14879" w14:textId="3224450D" w:rsidR="13966AEE" w:rsidRPr="002E333D" w:rsidRDefault="13966AEE" w:rsidP="000A5389">
            <w:pPr>
              <w:spacing w:line="240" w:lineRule="auto"/>
              <w:rPr>
                <w:sz w:val="20"/>
                <w:szCs w:val="20"/>
              </w:rPr>
            </w:pPr>
            <w:r w:rsidRPr="002E333D">
              <w:rPr>
                <w:rFonts w:eastAsia="Times New Roman" w:cs="Times New Roman"/>
                <w:color w:val="000000" w:themeColor="text1"/>
                <w:sz w:val="20"/>
                <w:szCs w:val="20"/>
              </w:rPr>
              <w:t xml:space="preserve">Accenorte </w:t>
            </w:r>
            <w:r w:rsidR="002E333D" w:rsidRPr="002E333D">
              <w:rPr>
                <w:rFonts w:eastAsia="Times New Roman" w:cs="Times New Roman"/>
                <w:color w:val="000000" w:themeColor="text1"/>
                <w:sz w:val="20"/>
                <w:szCs w:val="20"/>
              </w:rPr>
              <w:t>1</w:t>
            </w:r>
          </w:p>
        </w:tc>
        <w:tc>
          <w:tcPr>
            <w:tcW w:w="883" w:type="pct"/>
            <w:tcBorders>
              <w:top w:val="single" w:sz="4" w:space="0" w:color="auto"/>
              <w:left w:val="single" w:sz="4" w:space="0" w:color="auto"/>
              <w:bottom w:val="single" w:sz="4" w:space="0" w:color="auto"/>
              <w:right w:val="single" w:sz="4" w:space="0" w:color="auto"/>
            </w:tcBorders>
            <w:vAlign w:val="center"/>
          </w:tcPr>
          <w:p w14:paraId="2AB36B19" w14:textId="65E0C462" w:rsidR="13966AEE" w:rsidRPr="002E333D" w:rsidRDefault="13966AEE" w:rsidP="000A5389">
            <w:pPr>
              <w:spacing w:line="240" w:lineRule="auto"/>
              <w:jc w:val="center"/>
              <w:rPr>
                <w:sz w:val="20"/>
                <w:szCs w:val="20"/>
              </w:rPr>
            </w:pPr>
            <w:r w:rsidRPr="002E333D">
              <w:rPr>
                <w:rFonts w:eastAsia="Times New Roman" w:cs="Times New Roman"/>
                <w:color w:val="000000" w:themeColor="text1"/>
                <w:sz w:val="20"/>
                <w:szCs w:val="20"/>
              </w:rPr>
              <w:t>001-2017</w:t>
            </w:r>
          </w:p>
        </w:tc>
        <w:tc>
          <w:tcPr>
            <w:tcW w:w="1470" w:type="pct"/>
            <w:tcBorders>
              <w:top w:val="single" w:sz="4" w:space="0" w:color="auto"/>
              <w:left w:val="single" w:sz="4" w:space="0" w:color="auto"/>
              <w:bottom w:val="single" w:sz="4" w:space="0" w:color="auto"/>
              <w:right w:val="single" w:sz="4" w:space="0" w:color="auto"/>
            </w:tcBorders>
            <w:vAlign w:val="center"/>
          </w:tcPr>
          <w:p w14:paraId="3659D0EA" w14:textId="60189BF1" w:rsidR="13966AEE" w:rsidRPr="002E333D" w:rsidRDefault="13966AEE" w:rsidP="002E333D">
            <w:pPr>
              <w:spacing w:line="240" w:lineRule="auto"/>
              <w:jc w:val="right"/>
              <w:rPr>
                <w:sz w:val="20"/>
                <w:szCs w:val="20"/>
              </w:rPr>
            </w:pPr>
            <w:r w:rsidRPr="002E333D">
              <w:rPr>
                <w:rFonts w:eastAsia="Times New Roman" w:cs="Times New Roman"/>
                <w:color w:val="000000" w:themeColor="text1"/>
                <w:sz w:val="20"/>
                <w:szCs w:val="20"/>
              </w:rPr>
              <w:t>65.236.799.028</w:t>
            </w:r>
          </w:p>
        </w:tc>
      </w:tr>
      <w:tr w:rsidR="13966AEE" w:rsidRPr="002E333D" w14:paraId="2DAE9C13" w14:textId="77777777" w:rsidTr="00447B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6A0" w:firstRow="1" w:lastRow="0" w:firstColumn="1" w:lastColumn="0" w:noHBand="1" w:noVBand="1"/>
        </w:tblPrEx>
        <w:trPr>
          <w:trHeight w:val="340"/>
        </w:trPr>
        <w:tc>
          <w:tcPr>
            <w:tcW w:w="551" w:type="pct"/>
            <w:tcBorders>
              <w:top w:val="single" w:sz="4" w:space="0" w:color="auto"/>
              <w:left w:val="single" w:sz="4" w:space="0" w:color="auto"/>
              <w:bottom w:val="single" w:sz="4" w:space="0" w:color="auto"/>
              <w:right w:val="single" w:sz="4" w:space="0" w:color="auto"/>
            </w:tcBorders>
            <w:vAlign w:val="center"/>
          </w:tcPr>
          <w:p w14:paraId="03B52CC8" w14:textId="3A7E7E0F" w:rsidR="13966AEE" w:rsidRPr="002E333D" w:rsidRDefault="13966AEE" w:rsidP="002E333D">
            <w:pPr>
              <w:spacing w:line="240" w:lineRule="auto"/>
              <w:jc w:val="center"/>
              <w:rPr>
                <w:sz w:val="20"/>
                <w:szCs w:val="20"/>
              </w:rPr>
            </w:pPr>
            <w:r w:rsidRPr="002E333D">
              <w:rPr>
                <w:rFonts w:eastAsia="Times New Roman" w:cs="Times New Roman"/>
                <w:color w:val="000000" w:themeColor="text1"/>
                <w:sz w:val="20"/>
                <w:szCs w:val="20"/>
              </w:rPr>
              <w:t>3</w:t>
            </w:r>
          </w:p>
        </w:tc>
        <w:tc>
          <w:tcPr>
            <w:tcW w:w="2096" w:type="pct"/>
            <w:gridSpan w:val="2"/>
            <w:tcBorders>
              <w:top w:val="single" w:sz="4" w:space="0" w:color="auto"/>
              <w:left w:val="single" w:sz="4" w:space="0" w:color="auto"/>
              <w:bottom w:val="single" w:sz="4" w:space="0" w:color="auto"/>
              <w:right w:val="single" w:sz="4" w:space="0" w:color="auto"/>
            </w:tcBorders>
            <w:vAlign w:val="center"/>
          </w:tcPr>
          <w:p w14:paraId="14445F4F" w14:textId="60089920" w:rsidR="13966AEE" w:rsidRPr="002E333D" w:rsidRDefault="002E333D" w:rsidP="000A5389">
            <w:pPr>
              <w:spacing w:line="240" w:lineRule="auto"/>
              <w:rPr>
                <w:sz w:val="20"/>
                <w:szCs w:val="20"/>
              </w:rPr>
            </w:pPr>
            <w:r w:rsidRPr="002E333D">
              <w:rPr>
                <w:rFonts w:eastAsia="Times New Roman" w:cs="Times New Roman"/>
                <w:color w:val="000000" w:themeColor="text1"/>
                <w:sz w:val="20"/>
                <w:szCs w:val="20"/>
              </w:rPr>
              <w:t xml:space="preserve">Nueva Malla Vial Del Valle Accesos Cali Y Palmira </w:t>
            </w:r>
          </w:p>
        </w:tc>
        <w:tc>
          <w:tcPr>
            <w:tcW w:w="883" w:type="pct"/>
            <w:tcBorders>
              <w:top w:val="single" w:sz="4" w:space="0" w:color="auto"/>
              <w:left w:val="single" w:sz="4" w:space="0" w:color="auto"/>
              <w:bottom w:val="single" w:sz="4" w:space="0" w:color="auto"/>
              <w:right w:val="single" w:sz="4" w:space="0" w:color="auto"/>
            </w:tcBorders>
            <w:vAlign w:val="center"/>
          </w:tcPr>
          <w:p w14:paraId="3517CCDD" w14:textId="12776844" w:rsidR="13966AEE" w:rsidRPr="002E333D" w:rsidRDefault="13966AEE" w:rsidP="000A5389">
            <w:pPr>
              <w:spacing w:line="240" w:lineRule="auto"/>
              <w:jc w:val="center"/>
              <w:rPr>
                <w:sz w:val="20"/>
                <w:szCs w:val="20"/>
              </w:rPr>
            </w:pPr>
            <w:r w:rsidRPr="002E333D">
              <w:rPr>
                <w:rFonts w:eastAsia="Times New Roman" w:cs="Times New Roman"/>
                <w:color w:val="000000" w:themeColor="text1"/>
                <w:sz w:val="20"/>
                <w:szCs w:val="20"/>
              </w:rPr>
              <w:t>001-2021</w:t>
            </w:r>
          </w:p>
        </w:tc>
        <w:tc>
          <w:tcPr>
            <w:tcW w:w="1470" w:type="pct"/>
            <w:tcBorders>
              <w:top w:val="single" w:sz="4" w:space="0" w:color="auto"/>
              <w:left w:val="single" w:sz="4" w:space="0" w:color="auto"/>
              <w:bottom w:val="single" w:sz="4" w:space="0" w:color="auto"/>
              <w:right w:val="single" w:sz="4" w:space="0" w:color="auto"/>
            </w:tcBorders>
            <w:vAlign w:val="center"/>
          </w:tcPr>
          <w:p w14:paraId="0C215047" w14:textId="094693B9" w:rsidR="13966AEE" w:rsidRPr="002E333D" w:rsidRDefault="13966AEE" w:rsidP="002E333D">
            <w:pPr>
              <w:spacing w:line="240" w:lineRule="auto"/>
              <w:jc w:val="right"/>
              <w:rPr>
                <w:sz w:val="20"/>
                <w:szCs w:val="20"/>
              </w:rPr>
            </w:pPr>
            <w:r w:rsidRPr="002E333D">
              <w:rPr>
                <w:rFonts w:eastAsia="Times New Roman" w:cs="Times New Roman"/>
                <w:color w:val="000000" w:themeColor="text1"/>
                <w:sz w:val="20"/>
                <w:szCs w:val="20"/>
              </w:rPr>
              <w:t>35.392.237.328</w:t>
            </w:r>
          </w:p>
        </w:tc>
      </w:tr>
      <w:tr w:rsidR="13966AEE" w:rsidRPr="002E333D" w14:paraId="2123270C" w14:textId="77777777" w:rsidTr="00447B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6A0" w:firstRow="1" w:lastRow="0" w:firstColumn="1" w:lastColumn="0" w:noHBand="1" w:noVBand="1"/>
        </w:tblPrEx>
        <w:trPr>
          <w:trHeight w:val="340"/>
        </w:trPr>
        <w:tc>
          <w:tcPr>
            <w:tcW w:w="551" w:type="pct"/>
            <w:tcBorders>
              <w:top w:val="single" w:sz="4" w:space="0" w:color="auto"/>
              <w:left w:val="single" w:sz="4" w:space="0" w:color="auto"/>
              <w:bottom w:val="single" w:sz="4" w:space="0" w:color="auto"/>
              <w:right w:val="single" w:sz="4" w:space="0" w:color="auto"/>
            </w:tcBorders>
            <w:vAlign w:val="center"/>
          </w:tcPr>
          <w:p w14:paraId="781CAE3C" w14:textId="39CC290C" w:rsidR="13966AEE" w:rsidRPr="002E333D" w:rsidRDefault="13966AEE" w:rsidP="002E333D">
            <w:pPr>
              <w:spacing w:line="240" w:lineRule="auto"/>
              <w:jc w:val="center"/>
              <w:rPr>
                <w:sz w:val="20"/>
                <w:szCs w:val="20"/>
              </w:rPr>
            </w:pPr>
            <w:r w:rsidRPr="002E333D">
              <w:rPr>
                <w:rFonts w:eastAsia="Times New Roman" w:cs="Times New Roman"/>
                <w:color w:val="000000" w:themeColor="text1"/>
                <w:sz w:val="20"/>
                <w:szCs w:val="20"/>
              </w:rPr>
              <w:t>4</w:t>
            </w:r>
          </w:p>
        </w:tc>
        <w:tc>
          <w:tcPr>
            <w:tcW w:w="2096" w:type="pct"/>
            <w:gridSpan w:val="2"/>
            <w:tcBorders>
              <w:top w:val="single" w:sz="4" w:space="0" w:color="auto"/>
              <w:left w:val="single" w:sz="4" w:space="0" w:color="auto"/>
              <w:bottom w:val="single" w:sz="4" w:space="0" w:color="auto"/>
              <w:right w:val="single" w:sz="4" w:space="0" w:color="auto"/>
            </w:tcBorders>
            <w:vAlign w:val="center"/>
          </w:tcPr>
          <w:p w14:paraId="799DCB9D" w14:textId="69B5183D" w:rsidR="13966AEE" w:rsidRPr="002E333D" w:rsidRDefault="002E333D" w:rsidP="000A5389">
            <w:pPr>
              <w:spacing w:line="240" w:lineRule="auto"/>
              <w:rPr>
                <w:sz w:val="20"/>
                <w:szCs w:val="20"/>
              </w:rPr>
            </w:pPr>
            <w:r w:rsidRPr="002E333D">
              <w:rPr>
                <w:rFonts w:eastAsia="Times New Roman" w:cs="Times New Roman"/>
                <w:sz w:val="20"/>
                <w:szCs w:val="20"/>
              </w:rPr>
              <w:t>Rumichaca -Pasto</w:t>
            </w:r>
          </w:p>
        </w:tc>
        <w:tc>
          <w:tcPr>
            <w:tcW w:w="883" w:type="pct"/>
            <w:tcBorders>
              <w:top w:val="single" w:sz="4" w:space="0" w:color="auto"/>
              <w:left w:val="single" w:sz="4" w:space="0" w:color="auto"/>
              <w:bottom w:val="single" w:sz="4" w:space="0" w:color="auto"/>
              <w:right w:val="single" w:sz="4" w:space="0" w:color="auto"/>
            </w:tcBorders>
            <w:vAlign w:val="center"/>
          </w:tcPr>
          <w:p w14:paraId="46517882" w14:textId="3EE37137" w:rsidR="13966AEE" w:rsidRPr="002E333D" w:rsidRDefault="13966AEE" w:rsidP="000A5389">
            <w:pPr>
              <w:spacing w:line="240" w:lineRule="auto"/>
              <w:jc w:val="center"/>
              <w:rPr>
                <w:sz w:val="20"/>
                <w:szCs w:val="20"/>
              </w:rPr>
            </w:pPr>
            <w:r w:rsidRPr="002E333D">
              <w:rPr>
                <w:rFonts w:eastAsia="Times New Roman" w:cs="Times New Roman"/>
                <w:color w:val="000000" w:themeColor="text1"/>
                <w:sz w:val="20"/>
                <w:szCs w:val="20"/>
              </w:rPr>
              <w:t>015-2015</w:t>
            </w:r>
          </w:p>
        </w:tc>
        <w:tc>
          <w:tcPr>
            <w:tcW w:w="1470" w:type="pct"/>
            <w:tcBorders>
              <w:top w:val="single" w:sz="4" w:space="0" w:color="auto"/>
              <w:left w:val="single" w:sz="4" w:space="0" w:color="auto"/>
              <w:bottom w:val="single" w:sz="4" w:space="0" w:color="auto"/>
              <w:right w:val="single" w:sz="4" w:space="0" w:color="auto"/>
            </w:tcBorders>
            <w:vAlign w:val="center"/>
          </w:tcPr>
          <w:p w14:paraId="17910AE1" w14:textId="174AAF28" w:rsidR="13966AEE" w:rsidRPr="002E333D" w:rsidRDefault="13966AEE" w:rsidP="002E333D">
            <w:pPr>
              <w:spacing w:line="240" w:lineRule="auto"/>
              <w:jc w:val="right"/>
              <w:rPr>
                <w:sz w:val="20"/>
                <w:szCs w:val="20"/>
              </w:rPr>
            </w:pPr>
            <w:r w:rsidRPr="002E333D">
              <w:rPr>
                <w:rFonts w:eastAsia="Times New Roman" w:cs="Times New Roman"/>
                <w:color w:val="000000" w:themeColor="text1"/>
                <w:sz w:val="20"/>
                <w:szCs w:val="20"/>
              </w:rPr>
              <w:t>16.404.786.965</w:t>
            </w:r>
          </w:p>
        </w:tc>
      </w:tr>
      <w:tr w:rsidR="13966AEE" w:rsidRPr="002E333D" w14:paraId="2602C2A3" w14:textId="77777777" w:rsidTr="00447B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6A0" w:firstRow="1" w:lastRow="0" w:firstColumn="1" w:lastColumn="0" w:noHBand="1" w:noVBand="1"/>
        </w:tblPrEx>
        <w:trPr>
          <w:trHeight w:val="340"/>
        </w:trPr>
        <w:tc>
          <w:tcPr>
            <w:tcW w:w="551" w:type="pct"/>
            <w:tcBorders>
              <w:top w:val="single" w:sz="4" w:space="0" w:color="auto"/>
              <w:left w:val="single" w:sz="4" w:space="0" w:color="auto"/>
              <w:bottom w:val="single" w:sz="4" w:space="0" w:color="auto"/>
              <w:right w:val="single" w:sz="4" w:space="0" w:color="auto"/>
            </w:tcBorders>
            <w:vAlign w:val="center"/>
          </w:tcPr>
          <w:p w14:paraId="02788066" w14:textId="7FB89CB5" w:rsidR="13966AEE" w:rsidRPr="002E333D" w:rsidRDefault="13966AEE" w:rsidP="002E333D">
            <w:pPr>
              <w:spacing w:line="240" w:lineRule="auto"/>
              <w:jc w:val="center"/>
              <w:rPr>
                <w:sz w:val="20"/>
                <w:szCs w:val="20"/>
              </w:rPr>
            </w:pPr>
            <w:r w:rsidRPr="002E333D">
              <w:rPr>
                <w:rFonts w:eastAsia="Times New Roman" w:cs="Times New Roman"/>
                <w:color w:val="000000" w:themeColor="text1"/>
                <w:sz w:val="20"/>
                <w:szCs w:val="20"/>
              </w:rPr>
              <w:t>5</w:t>
            </w:r>
          </w:p>
        </w:tc>
        <w:tc>
          <w:tcPr>
            <w:tcW w:w="2096" w:type="pct"/>
            <w:gridSpan w:val="2"/>
            <w:tcBorders>
              <w:top w:val="single" w:sz="4" w:space="0" w:color="auto"/>
              <w:left w:val="single" w:sz="4" w:space="0" w:color="auto"/>
              <w:bottom w:val="single" w:sz="4" w:space="0" w:color="auto"/>
              <w:right w:val="single" w:sz="4" w:space="0" w:color="auto"/>
            </w:tcBorders>
            <w:vAlign w:val="center"/>
          </w:tcPr>
          <w:p w14:paraId="4F09EFAB" w14:textId="5490F707" w:rsidR="13966AEE" w:rsidRPr="002E333D" w:rsidRDefault="002E333D" w:rsidP="000A5389">
            <w:pPr>
              <w:spacing w:line="240" w:lineRule="auto"/>
              <w:rPr>
                <w:sz w:val="20"/>
                <w:szCs w:val="20"/>
              </w:rPr>
            </w:pPr>
            <w:r w:rsidRPr="002E333D">
              <w:rPr>
                <w:rFonts w:eastAsia="Times New Roman" w:cs="Times New Roman"/>
                <w:color w:val="000000" w:themeColor="text1"/>
                <w:sz w:val="20"/>
                <w:szCs w:val="20"/>
              </w:rPr>
              <w:t>Desarrollo Vial Para El Oriente De Medellin</w:t>
            </w:r>
          </w:p>
        </w:tc>
        <w:tc>
          <w:tcPr>
            <w:tcW w:w="883" w:type="pct"/>
            <w:tcBorders>
              <w:top w:val="single" w:sz="4" w:space="0" w:color="auto"/>
              <w:left w:val="single" w:sz="4" w:space="0" w:color="auto"/>
              <w:bottom w:val="single" w:sz="4" w:space="0" w:color="auto"/>
              <w:right w:val="single" w:sz="4" w:space="0" w:color="auto"/>
            </w:tcBorders>
            <w:vAlign w:val="center"/>
          </w:tcPr>
          <w:p w14:paraId="22390469" w14:textId="21BAAA88" w:rsidR="13966AEE" w:rsidRPr="002E333D" w:rsidRDefault="13966AEE" w:rsidP="000A5389">
            <w:pPr>
              <w:spacing w:line="240" w:lineRule="auto"/>
              <w:jc w:val="center"/>
              <w:rPr>
                <w:sz w:val="20"/>
                <w:szCs w:val="20"/>
              </w:rPr>
            </w:pPr>
            <w:r w:rsidRPr="002E333D">
              <w:rPr>
                <w:rFonts w:eastAsia="Times New Roman" w:cs="Times New Roman"/>
                <w:color w:val="000000" w:themeColor="text1"/>
                <w:sz w:val="20"/>
                <w:szCs w:val="20"/>
              </w:rPr>
              <w:t>275-1996</w:t>
            </w:r>
          </w:p>
        </w:tc>
        <w:tc>
          <w:tcPr>
            <w:tcW w:w="1470" w:type="pct"/>
            <w:tcBorders>
              <w:top w:val="single" w:sz="4" w:space="0" w:color="auto"/>
              <w:left w:val="single" w:sz="4" w:space="0" w:color="auto"/>
              <w:bottom w:val="single" w:sz="4" w:space="0" w:color="auto"/>
              <w:right w:val="single" w:sz="4" w:space="0" w:color="auto"/>
            </w:tcBorders>
            <w:vAlign w:val="center"/>
          </w:tcPr>
          <w:p w14:paraId="6336B28D" w14:textId="1750717E" w:rsidR="13966AEE" w:rsidRPr="002E333D" w:rsidRDefault="13966AEE" w:rsidP="002E333D">
            <w:pPr>
              <w:spacing w:line="240" w:lineRule="auto"/>
              <w:jc w:val="right"/>
              <w:rPr>
                <w:sz w:val="20"/>
                <w:szCs w:val="20"/>
              </w:rPr>
            </w:pPr>
            <w:r w:rsidRPr="002E333D">
              <w:rPr>
                <w:rFonts w:eastAsia="Times New Roman" w:cs="Times New Roman"/>
                <w:color w:val="000000" w:themeColor="text1"/>
                <w:sz w:val="20"/>
                <w:szCs w:val="20"/>
              </w:rPr>
              <w:t>15.413.138.105</w:t>
            </w:r>
          </w:p>
        </w:tc>
      </w:tr>
      <w:tr w:rsidR="13966AEE" w:rsidRPr="002E333D" w14:paraId="7C910DF0" w14:textId="77777777" w:rsidTr="00447B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6A0" w:firstRow="1" w:lastRow="0" w:firstColumn="1" w:lastColumn="0" w:noHBand="1" w:noVBand="1"/>
        </w:tblPrEx>
        <w:trPr>
          <w:trHeight w:val="340"/>
        </w:trPr>
        <w:tc>
          <w:tcPr>
            <w:tcW w:w="551" w:type="pct"/>
            <w:tcBorders>
              <w:top w:val="single" w:sz="4" w:space="0" w:color="auto"/>
              <w:left w:val="single" w:sz="4" w:space="0" w:color="auto"/>
              <w:bottom w:val="single" w:sz="4" w:space="0" w:color="auto"/>
              <w:right w:val="single" w:sz="4" w:space="0" w:color="auto"/>
            </w:tcBorders>
            <w:vAlign w:val="center"/>
          </w:tcPr>
          <w:p w14:paraId="13952C2D" w14:textId="3185B762" w:rsidR="13966AEE" w:rsidRPr="002E333D" w:rsidRDefault="13966AEE" w:rsidP="002E333D">
            <w:pPr>
              <w:spacing w:line="240" w:lineRule="auto"/>
              <w:jc w:val="center"/>
              <w:rPr>
                <w:sz w:val="20"/>
                <w:szCs w:val="20"/>
              </w:rPr>
            </w:pPr>
            <w:r w:rsidRPr="002E333D">
              <w:rPr>
                <w:rFonts w:eastAsia="Times New Roman" w:cs="Times New Roman"/>
                <w:color w:val="000000" w:themeColor="text1"/>
                <w:sz w:val="20"/>
                <w:szCs w:val="20"/>
              </w:rPr>
              <w:t>6</w:t>
            </w:r>
          </w:p>
        </w:tc>
        <w:tc>
          <w:tcPr>
            <w:tcW w:w="2096" w:type="pct"/>
            <w:gridSpan w:val="2"/>
            <w:tcBorders>
              <w:top w:val="single" w:sz="4" w:space="0" w:color="auto"/>
              <w:left w:val="single" w:sz="4" w:space="0" w:color="auto"/>
              <w:bottom w:val="single" w:sz="4" w:space="0" w:color="auto"/>
              <w:right w:val="single" w:sz="4" w:space="0" w:color="auto"/>
            </w:tcBorders>
            <w:vAlign w:val="center"/>
          </w:tcPr>
          <w:p w14:paraId="49B2878B" w14:textId="341D026A" w:rsidR="13966AEE" w:rsidRPr="002E333D" w:rsidRDefault="002E333D" w:rsidP="000A5389">
            <w:pPr>
              <w:spacing w:line="240" w:lineRule="auto"/>
              <w:rPr>
                <w:sz w:val="20"/>
                <w:szCs w:val="20"/>
              </w:rPr>
            </w:pPr>
            <w:r w:rsidRPr="002E333D">
              <w:rPr>
                <w:rFonts w:eastAsia="Times New Roman" w:cs="Times New Roman"/>
                <w:color w:val="000000" w:themeColor="text1"/>
                <w:sz w:val="20"/>
                <w:szCs w:val="20"/>
              </w:rPr>
              <w:t>Popayán- Santander De Quilichao</w:t>
            </w:r>
          </w:p>
        </w:tc>
        <w:tc>
          <w:tcPr>
            <w:tcW w:w="883" w:type="pct"/>
            <w:tcBorders>
              <w:top w:val="single" w:sz="4" w:space="0" w:color="auto"/>
              <w:left w:val="single" w:sz="4" w:space="0" w:color="auto"/>
              <w:bottom w:val="single" w:sz="4" w:space="0" w:color="auto"/>
              <w:right w:val="single" w:sz="4" w:space="0" w:color="auto"/>
            </w:tcBorders>
            <w:vAlign w:val="center"/>
          </w:tcPr>
          <w:p w14:paraId="7B72DC7C" w14:textId="44132769" w:rsidR="13966AEE" w:rsidRPr="002E333D" w:rsidRDefault="13966AEE" w:rsidP="000A5389">
            <w:pPr>
              <w:spacing w:line="240" w:lineRule="auto"/>
              <w:jc w:val="center"/>
              <w:rPr>
                <w:sz w:val="20"/>
                <w:szCs w:val="20"/>
              </w:rPr>
            </w:pPr>
            <w:r w:rsidRPr="002E333D">
              <w:rPr>
                <w:rFonts w:eastAsia="Times New Roman" w:cs="Times New Roman"/>
                <w:color w:val="000000" w:themeColor="text1"/>
                <w:sz w:val="20"/>
                <w:szCs w:val="20"/>
              </w:rPr>
              <w:t>011-2015</w:t>
            </w:r>
          </w:p>
        </w:tc>
        <w:tc>
          <w:tcPr>
            <w:tcW w:w="1470" w:type="pct"/>
            <w:tcBorders>
              <w:top w:val="single" w:sz="4" w:space="0" w:color="auto"/>
              <w:left w:val="single" w:sz="4" w:space="0" w:color="auto"/>
              <w:bottom w:val="single" w:sz="4" w:space="0" w:color="auto"/>
              <w:right w:val="single" w:sz="4" w:space="0" w:color="auto"/>
            </w:tcBorders>
            <w:vAlign w:val="center"/>
          </w:tcPr>
          <w:p w14:paraId="2CA96072" w14:textId="4610F12D" w:rsidR="13966AEE" w:rsidRPr="002E333D" w:rsidRDefault="13966AEE" w:rsidP="002E333D">
            <w:pPr>
              <w:spacing w:line="240" w:lineRule="auto"/>
              <w:jc w:val="right"/>
              <w:rPr>
                <w:sz w:val="20"/>
                <w:szCs w:val="20"/>
              </w:rPr>
            </w:pPr>
            <w:r w:rsidRPr="002E333D">
              <w:rPr>
                <w:rFonts w:eastAsia="Times New Roman" w:cs="Times New Roman"/>
                <w:color w:val="000000" w:themeColor="text1"/>
                <w:sz w:val="20"/>
                <w:szCs w:val="20"/>
              </w:rPr>
              <w:t>12.813.045.847</w:t>
            </w:r>
          </w:p>
        </w:tc>
      </w:tr>
      <w:tr w:rsidR="13966AEE" w:rsidRPr="002E333D" w14:paraId="1DBA0872" w14:textId="77777777" w:rsidTr="00447B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6A0" w:firstRow="1" w:lastRow="0" w:firstColumn="1" w:lastColumn="0" w:noHBand="1" w:noVBand="1"/>
        </w:tblPrEx>
        <w:trPr>
          <w:trHeight w:val="340"/>
        </w:trPr>
        <w:tc>
          <w:tcPr>
            <w:tcW w:w="551" w:type="pct"/>
            <w:tcBorders>
              <w:top w:val="single" w:sz="4" w:space="0" w:color="auto"/>
              <w:left w:val="single" w:sz="4" w:space="0" w:color="auto"/>
              <w:bottom w:val="single" w:sz="4" w:space="0" w:color="auto"/>
              <w:right w:val="single" w:sz="4" w:space="0" w:color="auto"/>
            </w:tcBorders>
            <w:vAlign w:val="center"/>
          </w:tcPr>
          <w:p w14:paraId="74255212" w14:textId="60E8AF4C" w:rsidR="13966AEE" w:rsidRPr="002E333D" w:rsidRDefault="13966AEE" w:rsidP="002E333D">
            <w:pPr>
              <w:spacing w:line="240" w:lineRule="auto"/>
              <w:jc w:val="center"/>
              <w:rPr>
                <w:sz w:val="20"/>
                <w:szCs w:val="20"/>
              </w:rPr>
            </w:pPr>
            <w:r w:rsidRPr="002E333D">
              <w:rPr>
                <w:rFonts w:eastAsia="Times New Roman" w:cs="Times New Roman"/>
                <w:color w:val="000000" w:themeColor="text1"/>
                <w:sz w:val="20"/>
                <w:szCs w:val="20"/>
              </w:rPr>
              <w:t>7</w:t>
            </w:r>
          </w:p>
        </w:tc>
        <w:tc>
          <w:tcPr>
            <w:tcW w:w="2096" w:type="pct"/>
            <w:gridSpan w:val="2"/>
            <w:tcBorders>
              <w:top w:val="single" w:sz="4" w:space="0" w:color="auto"/>
              <w:left w:val="single" w:sz="4" w:space="0" w:color="auto"/>
              <w:bottom w:val="single" w:sz="4" w:space="0" w:color="auto"/>
              <w:right w:val="single" w:sz="4" w:space="0" w:color="auto"/>
            </w:tcBorders>
            <w:vAlign w:val="center"/>
          </w:tcPr>
          <w:p w14:paraId="0C525206" w14:textId="7BAC2BAE" w:rsidR="13966AEE" w:rsidRPr="002E333D" w:rsidRDefault="002E333D" w:rsidP="000A5389">
            <w:pPr>
              <w:spacing w:line="240" w:lineRule="auto"/>
              <w:rPr>
                <w:sz w:val="20"/>
                <w:szCs w:val="20"/>
              </w:rPr>
            </w:pPr>
            <w:r w:rsidRPr="002E333D">
              <w:rPr>
                <w:rFonts w:eastAsia="Times New Roman" w:cs="Times New Roman"/>
                <w:color w:val="000000" w:themeColor="text1"/>
                <w:sz w:val="20"/>
                <w:szCs w:val="20"/>
              </w:rPr>
              <w:t>Chirajeara - Intersección Fundadores</w:t>
            </w:r>
          </w:p>
        </w:tc>
        <w:tc>
          <w:tcPr>
            <w:tcW w:w="883" w:type="pct"/>
            <w:tcBorders>
              <w:top w:val="single" w:sz="4" w:space="0" w:color="auto"/>
              <w:left w:val="single" w:sz="4" w:space="0" w:color="auto"/>
              <w:bottom w:val="single" w:sz="4" w:space="0" w:color="auto"/>
              <w:right w:val="single" w:sz="4" w:space="0" w:color="auto"/>
            </w:tcBorders>
            <w:vAlign w:val="center"/>
          </w:tcPr>
          <w:p w14:paraId="74BC7680" w14:textId="0FC9DC18" w:rsidR="13966AEE" w:rsidRPr="002E333D" w:rsidRDefault="13966AEE" w:rsidP="000A5389">
            <w:pPr>
              <w:spacing w:line="240" w:lineRule="auto"/>
              <w:jc w:val="center"/>
              <w:rPr>
                <w:sz w:val="20"/>
                <w:szCs w:val="20"/>
              </w:rPr>
            </w:pPr>
            <w:r w:rsidRPr="002E333D">
              <w:rPr>
                <w:rFonts w:eastAsia="Times New Roman" w:cs="Times New Roman"/>
                <w:color w:val="000000" w:themeColor="text1"/>
                <w:sz w:val="20"/>
                <w:szCs w:val="20"/>
              </w:rPr>
              <w:t>005-2015</w:t>
            </w:r>
          </w:p>
        </w:tc>
        <w:tc>
          <w:tcPr>
            <w:tcW w:w="1470" w:type="pct"/>
            <w:tcBorders>
              <w:top w:val="single" w:sz="4" w:space="0" w:color="auto"/>
              <w:left w:val="single" w:sz="4" w:space="0" w:color="auto"/>
              <w:bottom w:val="single" w:sz="4" w:space="0" w:color="auto"/>
              <w:right w:val="single" w:sz="4" w:space="0" w:color="auto"/>
            </w:tcBorders>
            <w:vAlign w:val="center"/>
          </w:tcPr>
          <w:p w14:paraId="14BCCDCE" w14:textId="1316BB9F" w:rsidR="13966AEE" w:rsidRPr="002E333D" w:rsidRDefault="13966AEE" w:rsidP="002E333D">
            <w:pPr>
              <w:spacing w:line="240" w:lineRule="auto"/>
              <w:jc w:val="right"/>
              <w:rPr>
                <w:sz w:val="20"/>
                <w:szCs w:val="20"/>
              </w:rPr>
            </w:pPr>
            <w:r w:rsidRPr="002E333D">
              <w:rPr>
                <w:rFonts w:eastAsia="Times New Roman" w:cs="Times New Roman"/>
                <w:color w:val="000000" w:themeColor="text1"/>
                <w:sz w:val="20"/>
                <w:szCs w:val="20"/>
              </w:rPr>
              <w:t>10.737.812.583</w:t>
            </w:r>
          </w:p>
        </w:tc>
      </w:tr>
      <w:tr w:rsidR="13966AEE" w:rsidRPr="002E333D" w14:paraId="5CD50497" w14:textId="77777777" w:rsidTr="00447B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6A0" w:firstRow="1" w:lastRow="0" w:firstColumn="1" w:lastColumn="0" w:noHBand="1" w:noVBand="1"/>
        </w:tblPrEx>
        <w:trPr>
          <w:trHeight w:val="340"/>
        </w:trPr>
        <w:tc>
          <w:tcPr>
            <w:tcW w:w="551" w:type="pct"/>
            <w:tcBorders>
              <w:top w:val="single" w:sz="4" w:space="0" w:color="auto"/>
              <w:left w:val="single" w:sz="4" w:space="0" w:color="auto"/>
              <w:bottom w:val="single" w:sz="4" w:space="0" w:color="auto"/>
              <w:right w:val="single" w:sz="4" w:space="0" w:color="auto"/>
            </w:tcBorders>
            <w:vAlign w:val="center"/>
          </w:tcPr>
          <w:p w14:paraId="44C19E75" w14:textId="5595B8D4" w:rsidR="13966AEE" w:rsidRPr="002E333D" w:rsidRDefault="13966AEE" w:rsidP="002E333D">
            <w:pPr>
              <w:spacing w:line="240" w:lineRule="auto"/>
              <w:jc w:val="center"/>
              <w:rPr>
                <w:sz w:val="20"/>
                <w:szCs w:val="20"/>
              </w:rPr>
            </w:pPr>
            <w:r w:rsidRPr="002E333D">
              <w:rPr>
                <w:rFonts w:eastAsia="Times New Roman" w:cs="Times New Roman"/>
                <w:color w:val="000000" w:themeColor="text1"/>
                <w:sz w:val="20"/>
                <w:szCs w:val="20"/>
              </w:rPr>
              <w:t>8</w:t>
            </w:r>
          </w:p>
        </w:tc>
        <w:tc>
          <w:tcPr>
            <w:tcW w:w="2096" w:type="pct"/>
            <w:gridSpan w:val="2"/>
            <w:tcBorders>
              <w:top w:val="single" w:sz="4" w:space="0" w:color="auto"/>
              <w:left w:val="single" w:sz="4" w:space="0" w:color="auto"/>
              <w:bottom w:val="single" w:sz="4" w:space="0" w:color="auto"/>
              <w:right w:val="single" w:sz="4" w:space="0" w:color="auto"/>
            </w:tcBorders>
            <w:vAlign w:val="center"/>
          </w:tcPr>
          <w:p w14:paraId="20500EC9" w14:textId="0FF65F4B" w:rsidR="13966AEE" w:rsidRPr="002E333D" w:rsidRDefault="002E333D" w:rsidP="000A5389">
            <w:pPr>
              <w:spacing w:line="240" w:lineRule="auto"/>
              <w:rPr>
                <w:sz w:val="20"/>
                <w:szCs w:val="20"/>
              </w:rPr>
            </w:pPr>
            <w:r w:rsidRPr="002E333D">
              <w:rPr>
                <w:rFonts w:eastAsia="Times New Roman" w:cs="Times New Roman"/>
                <w:color w:val="000000" w:themeColor="text1"/>
                <w:sz w:val="20"/>
                <w:szCs w:val="20"/>
              </w:rPr>
              <w:t xml:space="preserve">Ferrocarril Del Pacifico S.A.S Férreo </w:t>
            </w:r>
          </w:p>
        </w:tc>
        <w:tc>
          <w:tcPr>
            <w:tcW w:w="883" w:type="pct"/>
            <w:tcBorders>
              <w:top w:val="single" w:sz="4" w:space="0" w:color="auto"/>
              <w:left w:val="single" w:sz="4" w:space="0" w:color="auto"/>
              <w:bottom w:val="single" w:sz="4" w:space="0" w:color="auto"/>
              <w:right w:val="single" w:sz="4" w:space="0" w:color="auto"/>
            </w:tcBorders>
            <w:vAlign w:val="center"/>
          </w:tcPr>
          <w:p w14:paraId="38E58566" w14:textId="5D0DFA1E" w:rsidR="13966AEE" w:rsidRPr="002E333D" w:rsidRDefault="13966AEE" w:rsidP="000A5389">
            <w:pPr>
              <w:spacing w:line="240" w:lineRule="auto"/>
              <w:jc w:val="center"/>
              <w:rPr>
                <w:sz w:val="20"/>
                <w:szCs w:val="20"/>
              </w:rPr>
            </w:pPr>
            <w:r w:rsidRPr="002E333D">
              <w:rPr>
                <w:rFonts w:eastAsia="Times New Roman" w:cs="Times New Roman"/>
                <w:color w:val="000000" w:themeColor="text1"/>
                <w:sz w:val="20"/>
                <w:szCs w:val="20"/>
              </w:rPr>
              <w:t>FERREO</w:t>
            </w:r>
          </w:p>
        </w:tc>
        <w:tc>
          <w:tcPr>
            <w:tcW w:w="1470" w:type="pct"/>
            <w:tcBorders>
              <w:top w:val="single" w:sz="4" w:space="0" w:color="auto"/>
              <w:left w:val="single" w:sz="4" w:space="0" w:color="auto"/>
              <w:bottom w:val="single" w:sz="4" w:space="0" w:color="auto"/>
              <w:right w:val="single" w:sz="4" w:space="0" w:color="auto"/>
            </w:tcBorders>
            <w:vAlign w:val="center"/>
          </w:tcPr>
          <w:p w14:paraId="6AB23654" w14:textId="00C8A427" w:rsidR="13966AEE" w:rsidRPr="002E333D" w:rsidRDefault="13966AEE" w:rsidP="002E333D">
            <w:pPr>
              <w:spacing w:line="240" w:lineRule="auto"/>
              <w:jc w:val="right"/>
              <w:rPr>
                <w:sz w:val="20"/>
                <w:szCs w:val="20"/>
              </w:rPr>
            </w:pPr>
            <w:r w:rsidRPr="002E333D">
              <w:rPr>
                <w:rFonts w:eastAsia="Times New Roman" w:cs="Times New Roman"/>
                <w:color w:val="000000" w:themeColor="text1"/>
                <w:sz w:val="20"/>
                <w:szCs w:val="20"/>
              </w:rPr>
              <w:t>9.447.161.256</w:t>
            </w:r>
          </w:p>
        </w:tc>
      </w:tr>
      <w:tr w:rsidR="13966AEE" w:rsidRPr="002E333D" w14:paraId="41CA290D" w14:textId="77777777" w:rsidTr="00447B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6A0" w:firstRow="1" w:lastRow="0" w:firstColumn="1" w:lastColumn="0" w:noHBand="1" w:noVBand="1"/>
        </w:tblPrEx>
        <w:trPr>
          <w:trHeight w:val="340"/>
        </w:trPr>
        <w:tc>
          <w:tcPr>
            <w:tcW w:w="551" w:type="pct"/>
            <w:tcBorders>
              <w:top w:val="single" w:sz="4" w:space="0" w:color="auto"/>
              <w:left w:val="single" w:sz="4" w:space="0" w:color="auto"/>
              <w:bottom w:val="single" w:sz="4" w:space="0" w:color="auto"/>
              <w:right w:val="single" w:sz="4" w:space="0" w:color="auto"/>
            </w:tcBorders>
            <w:vAlign w:val="center"/>
          </w:tcPr>
          <w:p w14:paraId="78A7BEFD" w14:textId="07EB5CC4" w:rsidR="13966AEE" w:rsidRPr="002E333D" w:rsidRDefault="13966AEE" w:rsidP="002E333D">
            <w:pPr>
              <w:spacing w:line="240" w:lineRule="auto"/>
              <w:jc w:val="center"/>
              <w:rPr>
                <w:sz w:val="20"/>
                <w:szCs w:val="20"/>
              </w:rPr>
            </w:pPr>
            <w:r w:rsidRPr="002E333D">
              <w:rPr>
                <w:rFonts w:eastAsia="Times New Roman" w:cs="Times New Roman"/>
                <w:color w:val="000000" w:themeColor="text1"/>
                <w:sz w:val="20"/>
                <w:szCs w:val="20"/>
              </w:rPr>
              <w:t>9</w:t>
            </w:r>
          </w:p>
        </w:tc>
        <w:tc>
          <w:tcPr>
            <w:tcW w:w="2096" w:type="pct"/>
            <w:gridSpan w:val="2"/>
            <w:tcBorders>
              <w:top w:val="single" w:sz="4" w:space="0" w:color="auto"/>
              <w:left w:val="single" w:sz="4" w:space="0" w:color="auto"/>
              <w:bottom w:val="single" w:sz="4" w:space="0" w:color="auto"/>
              <w:right w:val="single" w:sz="4" w:space="0" w:color="auto"/>
            </w:tcBorders>
            <w:vAlign w:val="center"/>
          </w:tcPr>
          <w:p w14:paraId="63257D1E" w14:textId="3BCA0AE8" w:rsidR="13966AEE" w:rsidRPr="002E333D" w:rsidRDefault="002E333D" w:rsidP="000A5389">
            <w:pPr>
              <w:spacing w:line="240" w:lineRule="auto"/>
              <w:rPr>
                <w:sz w:val="20"/>
                <w:szCs w:val="20"/>
              </w:rPr>
            </w:pPr>
            <w:r w:rsidRPr="002E333D">
              <w:rPr>
                <w:rFonts w:eastAsia="Times New Roman" w:cs="Times New Roman"/>
                <w:color w:val="000000" w:themeColor="text1"/>
                <w:sz w:val="20"/>
                <w:szCs w:val="20"/>
              </w:rPr>
              <w:t>Autopista Conexión Pacifico 1</w:t>
            </w:r>
          </w:p>
        </w:tc>
        <w:tc>
          <w:tcPr>
            <w:tcW w:w="883" w:type="pct"/>
            <w:tcBorders>
              <w:top w:val="single" w:sz="4" w:space="0" w:color="auto"/>
              <w:left w:val="single" w:sz="4" w:space="0" w:color="auto"/>
              <w:bottom w:val="single" w:sz="4" w:space="0" w:color="auto"/>
              <w:right w:val="single" w:sz="4" w:space="0" w:color="auto"/>
            </w:tcBorders>
            <w:vAlign w:val="center"/>
          </w:tcPr>
          <w:p w14:paraId="7885DE3D" w14:textId="1E4991A1" w:rsidR="13966AEE" w:rsidRPr="002E333D" w:rsidRDefault="13966AEE" w:rsidP="000A5389">
            <w:pPr>
              <w:spacing w:line="240" w:lineRule="auto"/>
              <w:jc w:val="center"/>
              <w:rPr>
                <w:sz w:val="20"/>
                <w:szCs w:val="20"/>
              </w:rPr>
            </w:pPr>
            <w:r w:rsidRPr="002E333D">
              <w:rPr>
                <w:rFonts w:eastAsia="Times New Roman" w:cs="Times New Roman"/>
                <w:color w:val="000000" w:themeColor="text1"/>
                <w:sz w:val="20"/>
                <w:szCs w:val="20"/>
              </w:rPr>
              <w:t>007-2014</w:t>
            </w:r>
          </w:p>
        </w:tc>
        <w:tc>
          <w:tcPr>
            <w:tcW w:w="1470" w:type="pct"/>
            <w:tcBorders>
              <w:top w:val="single" w:sz="4" w:space="0" w:color="auto"/>
              <w:left w:val="single" w:sz="4" w:space="0" w:color="auto"/>
              <w:bottom w:val="single" w:sz="4" w:space="0" w:color="auto"/>
              <w:right w:val="single" w:sz="4" w:space="0" w:color="auto"/>
            </w:tcBorders>
            <w:vAlign w:val="center"/>
          </w:tcPr>
          <w:p w14:paraId="5B566364" w14:textId="23892293" w:rsidR="13966AEE" w:rsidRPr="002E333D" w:rsidRDefault="13966AEE" w:rsidP="002E333D">
            <w:pPr>
              <w:spacing w:line="240" w:lineRule="auto"/>
              <w:jc w:val="right"/>
              <w:rPr>
                <w:sz w:val="20"/>
                <w:szCs w:val="20"/>
              </w:rPr>
            </w:pPr>
            <w:r w:rsidRPr="002E333D">
              <w:rPr>
                <w:rFonts w:eastAsia="Times New Roman" w:cs="Times New Roman"/>
                <w:color w:val="000000" w:themeColor="text1"/>
                <w:sz w:val="20"/>
                <w:szCs w:val="20"/>
              </w:rPr>
              <w:t>8.224.760.416</w:t>
            </w:r>
          </w:p>
        </w:tc>
      </w:tr>
      <w:tr w:rsidR="13966AEE" w:rsidRPr="002E333D" w14:paraId="7075E5E7" w14:textId="77777777" w:rsidTr="00447B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6A0" w:firstRow="1" w:lastRow="0" w:firstColumn="1" w:lastColumn="0" w:noHBand="1" w:noVBand="1"/>
        </w:tblPrEx>
        <w:trPr>
          <w:trHeight w:val="340"/>
        </w:trPr>
        <w:tc>
          <w:tcPr>
            <w:tcW w:w="551" w:type="pct"/>
            <w:tcBorders>
              <w:top w:val="single" w:sz="4" w:space="0" w:color="auto"/>
              <w:left w:val="single" w:sz="4" w:space="0" w:color="auto"/>
              <w:bottom w:val="single" w:sz="4" w:space="0" w:color="auto"/>
              <w:right w:val="single" w:sz="4" w:space="0" w:color="auto"/>
            </w:tcBorders>
            <w:vAlign w:val="center"/>
          </w:tcPr>
          <w:p w14:paraId="319148DA" w14:textId="118F6C5F" w:rsidR="13966AEE" w:rsidRPr="002E333D" w:rsidRDefault="13966AEE" w:rsidP="002E333D">
            <w:pPr>
              <w:spacing w:line="240" w:lineRule="auto"/>
              <w:jc w:val="center"/>
              <w:rPr>
                <w:sz w:val="20"/>
                <w:szCs w:val="20"/>
              </w:rPr>
            </w:pPr>
            <w:r w:rsidRPr="002E333D">
              <w:rPr>
                <w:rFonts w:eastAsia="Times New Roman" w:cs="Times New Roman"/>
                <w:color w:val="000000" w:themeColor="text1"/>
                <w:sz w:val="20"/>
                <w:szCs w:val="20"/>
              </w:rPr>
              <w:t>10</w:t>
            </w:r>
          </w:p>
        </w:tc>
        <w:tc>
          <w:tcPr>
            <w:tcW w:w="2096" w:type="pct"/>
            <w:gridSpan w:val="2"/>
            <w:tcBorders>
              <w:top w:val="single" w:sz="4" w:space="0" w:color="auto"/>
              <w:left w:val="single" w:sz="4" w:space="0" w:color="auto"/>
              <w:bottom w:val="single" w:sz="4" w:space="0" w:color="auto"/>
              <w:right w:val="single" w:sz="4" w:space="0" w:color="auto"/>
            </w:tcBorders>
            <w:vAlign w:val="center"/>
          </w:tcPr>
          <w:p w14:paraId="7AC4990B" w14:textId="1CD8C251" w:rsidR="13966AEE" w:rsidRPr="002E333D" w:rsidRDefault="002E333D" w:rsidP="000A5389">
            <w:pPr>
              <w:spacing w:line="240" w:lineRule="auto"/>
              <w:rPr>
                <w:sz w:val="20"/>
                <w:szCs w:val="20"/>
              </w:rPr>
            </w:pPr>
            <w:r w:rsidRPr="002E333D">
              <w:rPr>
                <w:rFonts w:eastAsia="Times New Roman" w:cs="Times New Roman"/>
                <w:color w:val="000000" w:themeColor="text1"/>
                <w:sz w:val="20"/>
                <w:szCs w:val="20"/>
              </w:rPr>
              <w:t>Autopistas Del Caribe Corredor De Carga Cartagena-Barranquilla</w:t>
            </w:r>
          </w:p>
        </w:tc>
        <w:tc>
          <w:tcPr>
            <w:tcW w:w="883" w:type="pct"/>
            <w:tcBorders>
              <w:top w:val="single" w:sz="4" w:space="0" w:color="auto"/>
              <w:left w:val="single" w:sz="4" w:space="0" w:color="auto"/>
              <w:bottom w:val="single" w:sz="4" w:space="0" w:color="auto"/>
              <w:right w:val="single" w:sz="4" w:space="0" w:color="auto"/>
            </w:tcBorders>
            <w:vAlign w:val="center"/>
          </w:tcPr>
          <w:p w14:paraId="3CFB8701" w14:textId="5B8CE441" w:rsidR="13966AEE" w:rsidRPr="002E333D" w:rsidRDefault="13966AEE" w:rsidP="000A5389">
            <w:pPr>
              <w:spacing w:line="240" w:lineRule="auto"/>
              <w:jc w:val="center"/>
              <w:rPr>
                <w:sz w:val="20"/>
                <w:szCs w:val="20"/>
              </w:rPr>
            </w:pPr>
            <w:r w:rsidRPr="002E333D">
              <w:rPr>
                <w:rFonts w:eastAsia="Times New Roman" w:cs="Times New Roman"/>
                <w:color w:val="000000" w:themeColor="text1"/>
                <w:sz w:val="20"/>
                <w:szCs w:val="20"/>
              </w:rPr>
              <w:t>002-21</w:t>
            </w:r>
          </w:p>
        </w:tc>
        <w:tc>
          <w:tcPr>
            <w:tcW w:w="1470" w:type="pct"/>
            <w:tcBorders>
              <w:top w:val="single" w:sz="4" w:space="0" w:color="auto"/>
              <w:left w:val="single" w:sz="4" w:space="0" w:color="auto"/>
              <w:bottom w:val="single" w:sz="4" w:space="0" w:color="auto"/>
              <w:right w:val="single" w:sz="4" w:space="0" w:color="auto"/>
            </w:tcBorders>
            <w:vAlign w:val="center"/>
          </w:tcPr>
          <w:p w14:paraId="2811AFFC" w14:textId="129F3567" w:rsidR="13966AEE" w:rsidRPr="002E333D" w:rsidRDefault="13966AEE" w:rsidP="002E333D">
            <w:pPr>
              <w:spacing w:line="240" w:lineRule="auto"/>
              <w:jc w:val="right"/>
              <w:rPr>
                <w:sz w:val="20"/>
                <w:szCs w:val="20"/>
              </w:rPr>
            </w:pPr>
            <w:r w:rsidRPr="002E333D">
              <w:rPr>
                <w:rFonts w:eastAsia="Times New Roman" w:cs="Times New Roman"/>
                <w:color w:val="000000" w:themeColor="text1"/>
                <w:sz w:val="20"/>
                <w:szCs w:val="20"/>
              </w:rPr>
              <w:t>4.333.623.931</w:t>
            </w:r>
          </w:p>
        </w:tc>
      </w:tr>
      <w:tr w:rsidR="13966AEE" w:rsidRPr="002E333D" w14:paraId="75610A74" w14:textId="77777777" w:rsidTr="00447B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6A0" w:firstRow="1" w:lastRow="0" w:firstColumn="1" w:lastColumn="0" w:noHBand="1" w:noVBand="1"/>
        </w:tblPrEx>
        <w:trPr>
          <w:trHeight w:val="340"/>
        </w:trPr>
        <w:tc>
          <w:tcPr>
            <w:tcW w:w="551" w:type="pct"/>
            <w:tcBorders>
              <w:top w:val="single" w:sz="4" w:space="0" w:color="auto"/>
              <w:left w:val="single" w:sz="4" w:space="0" w:color="auto"/>
              <w:bottom w:val="single" w:sz="4" w:space="0" w:color="auto"/>
              <w:right w:val="single" w:sz="4" w:space="0" w:color="auto"/>
            </w:tcBorders>
            <w:vAlign w:val="center"/>
          </w:tcPr>
          <w:p w14:paraId="6C6E3099" w14:textId="296FA5B2" w:rsidR="13966AEE" w:rsidRPr="002E333D" w:rsidRDefault="13966AEE" w:rsidP="002E333D">
            <w:pPr>
              <w:spacing w:line="240" w:lineRule="auto"/>
              <w:jc w:val="center"/>
              <w:rPr>
                <w:sz w:val="20"/>
                <w:szCs w:val="20"/>
              </w:rPr>
            </w:pPr>
            <w:r w:rsidRPr="002E333D">
              <w:rPr>
                <w:rFonts w:eastAsia="Times New Roman" w:cs="Times New Roman"/>
                <w:color w:val="000000" w:themeColor="text1"/>
                <w:sz w:val="20"/>
                <w:szCs w:val="20"/>
              </w:rPr>
              <w:t>11</w:t>
            </w:r>
          </w:p>
        </w:tc>
        <w:tc>
          <w:tcPr>
            <w:tcW w:w="2096" w:type="pct"/>
            <w:gridSpan w:val="2"/>
            <w:tcBorders>
              <w:top w:val="single" w:sz="4" w:space="0" w:color="auto"/>
              <w:left w:val="single" w:sz="4" w:space="0" w:color="auto"/>
              <w:bottom w:val="single" w:sz="4" w:space="0" w:color="auto"/>
              <w:right w:val="single" w:sz="4" w:space="0" w:color="auto"/>
            </w:tcBorders>
            <w:vAlign w:val="center"/>
          </w:tcPr>
          <w:p w14:paraId="30DE1D0E" w14:textId="10ED225E" w:rsidR="13966AEE" w:rsidRPr="002E333D" w:rsidRDefault="002E333D" w:rsidP="000A5389">
            <w:pPr>
              <w:spacing w:line="240" w:lineRule="auto"/>
              <w:rPr>
                <w:sz w:val="20"/>
                <w:szCs w:val="20"/>
              </w:rPr>
            </w:pPr>
            <w:r w:rsidRPr="002E333D">
              <w:rPr>
                <w:rFonts w:eastAsia="Times New Roman" w:cs="Times New Roman"/>
                <w:color w:val="000000" w:themeColor="text1"/>
                <w:sz w:val="20"/>
                <w:szCs w:val="20"/>
              </w:rPr>
              <w:t>Armenia - Pereira - Manizales</w:t>
            </w:r>
          </w:p>
        </w:tc>
        <w:tc>
          <w:tcPr>
            <w:tcW w:w="883" w:type="pct"/>
            <w:tcBorders>
              <w:top w:val="single" w:sz="4" w:space="0" w:color="auto"/>
              <w:left w:val="single" w:sz="4" w:space="0" w:color="auto"/>
              <w:bottom w:val="single" w:sz="4" w:space="0" w:color="auto"/>
              <w:right w:val="single" w:sz="4" w:space="0" w:color="auto"/>
            </w:tcBorders>
            <w:vAlign w:val="center"/>
          </w:tcPr>
          <w:p w14:paraId="10498F9A" w14:textId="533C03EC" w:rsidR="13966AEE" w:rsidRPr="002E333D" w:rsidRDefault="13966AEE" w:rsidP="000A5389">
            <w:pPr>
              <w:spacing w:line="240" w:lineRule="auto"/>
              <w:jc w:val="center"/>
              <w:rPr>
                <w:sz w:val="20"/>
                <w:szCs w:val="20"/>
              </w:rPr>
            </w:pPr>
            <w:r w:rsidRPr="002E333D">
              <w:rPr>
                <w:rFonts w:eastAsia="Times New Roman" w:cs="Times New Roman"/>
                <w:color w:val="000000" w:themeColor="text1"/>
                <w:sz w:val="20"/>
                <w:szCs w:val="20"/>
              </w:rPr>
              <w:t>113-1197</w:t>
            </w:r>
          </w:p>
        </w:tc>
        <w:tc>
          <w:tcPr>
            <w:tcW w:w="1470" w:type="pct"/>
            <w:tcBorders>
              <w:top w:val="single" w:sz="4" w:space="0" w:color="auto"/>
              <w:left w:val="single" w:sz="4" w:space="0" w:color="auto"/>
              <w:bottom w:val="single" w:sz="4" w:space="0" w:color="auto"/>
              <w:right w:val="single" w:sz="4" w:space="0" w:color="auto"/>
            </w:tcBorders>
            <w:vAlign w:val="center"/>
          </w:tcPr>
          <w:p w14:paraId="12A07581" w14:textId="33B5E02D" w:rsidR="13966AEE" w:rsidRPr="002E333D" w:rsidRDefault="13966AEE" w:rsidP="002E333D">
            <w:pPr>
              <w:spacing w:line="240" w:lineRule="auto"/>
              <w:jc w:val="right"/>
              <w:rPr>
                <w:sz w:val="20"/>
                <w:szCs w:val="20"/>
              </w:rPr>
            </w:pPr>
            <w:r w:rsidRPr="002E333D">
              <w:rPr>
                <w:rFonts w:eastAsia="Times New Roman" w:cs="Times New Roman"/>
                <w:color w:val="000000" w:themeColor="text1"/>
                <w:sz w:val="20"/>
                <w:szCs w:val="20"/>
              </w:rPr>
              <w:t>3.837.128.966</w:t>
            </w:r>
          </w:p>
        </w:tc>
      </w:tr>
      <w:tr w:rsidR="13966AEE" w:rsidRPr="002E333D" w14:paraId="19FA104B" w14:textId="77777777" w:rsidTr="00447B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6A0" w:firstRow="1" w:lastRow="0" w:firstColumn="1" w:lastColumn="0" w:noHBand="1" w:noVBand="1"/>
        </w:tblPrEx>
        <w:trPr>
          <w:trHeight w:val="340"/>
        </w:trPr>
        <w:tc>
          <w:tcPr>
            <w:tcW w:w="551" w:type="pct"/>
            <w:tcBorders>
              <w:top w:val="single" w:sz="4" w:space="0" w:color="auto"/>
              <w:left w:val="single" w:sz="4" w:space="0" w:color="auto"/>
              <w:bottom w:val="single" w:sz="4" w:space="0" w:color="auto"/>
              <w:right w:val="single" w:sz="4" w:space="0" w:color="auto"/>
            </w:tcBorders>
            <w:vAlign w:val="center"/>
          </w:tcPr>
          <w:p w14:paraId="5AF4FBF7" w14:textId="387FB1D6" w:rsidR="13966AEE" w:rsidRPr="002E333D" w:rsidRDefault="13966AEE" w:rsidP="002E333D">
            <w:pPr>
              <w:spacing w:line="240" w:lineRule="auto"/>
              <w:jc w:val="center"/>
              <w:rPr>
                <w:sz w:val="20"/>
                <w:szCs w:val="20"/>
              </w:rPr>
            </w:pPr>
            <w:r w:rsidRPr="002E333D">
              <w:rPr>
                <w:rFonts w:eastAsia="Times New Roman" w:cs="Times New Roman"/>
                <w:color w:val="000000" w:themeColor="text1"/>
                <w:sz w:val="20"/>
                <w:szCs w:val="20"/>
              </w:rPr>
              <w:t>12</w:t>
            </w:r>
          </w:p>
        </w:tc>
        <w:tc>
          <w:tcPr>
            <w:tcW w:w="2096" w:type="pct"/>
            <w:gridSpan w:val="2"/>
            <w:tcBorders>
              <w:top w:val="single" w:sz="4" w:space="0" w:color="auto"/>
              <w:left w:val="single" w:sz="4" w:space="0" w:color="auto"/>
              <w:bottom w:val="single" w:sz="4" w:space="0" w:color="auto"/>
              <w:right w:val="single" w:sz="4" w:space="0" w:color="auto"/>
            </w:tcBorders>
            <w:vAlign w:val="center"/>
          </w:tcPr>
          <w:p w14:paraId="6A7A22AA" w14:textId="433A7401" w:rsidR="13966AEE" w:rsidRPr="002E333D" w:rsidRDefault="002E333D" w:rsidP="000A5389">
            <w:pPr>
              <w:spacing w:line="240" w:lineRule="auto"/>
              <w:rPr>
                <w:sz w:val="20"/>
                <w:szCs w:val="20"/>
              </w:rPr>
            </w:pPr>
            <w:r w:rsidRPr="002E333D">
              <w:rPr>
                <w:rFonts w:eastAsia="Times New Roman" w:cs="Times New Roman"/>
                <w:color w:val="000000" w:themeColor="text1"/>
                <w:sz w:val="20"/>
                <w:szCs w:val="20"/>
              </w:rPr>
              <w:t>Cartagena-Barranquilla, Circunvalar De La Prosperidad</w:t>
            </w:r>
          </w:p>
        </w:tc>
        <w:tc>
          <w:tcPr>
            <w:tcW w:w="883" w:type="pct"/>
            <w:tcBorders>
              <w:top w:val="single" w:sz="4" w:space="0" w:color="auto"/>
              <w:left w:val="single" w:sz="4" w:space="0" w:color="auto"/>
              <w:bottom w:val="single" w:sz="4" w:space="0" w:color="auto"/>
              <w:right w:val="single" w:sz="4" w:space="0" w:color="auto"/>
            </w:tcBorders>
            <w:vAlign w:val="center"/>
          </w:tcPr>
          <w:p w14:paraId="56DB813B" w14:textId="7B7E57CC" w:rsidR="13966AEE" w:rsidRPr="002E333D" w:rsidRDefault="13966AEE" w:rsidP="000A5389">
            <w:pPr>
              <w:spacing w:line="240" w:lineRule="auto"/>
              <w:jc w:val="center"/>
              <w:rPr>
                <w:sz w:val="20"/>
                <w:szCs w:val="20"/>
              </w:rPr>
            </w:pPr>
            <w:r w:rsidRPr="002E333D">
              <w:rPr>
                <w:rFonts w:eastAsia="Times New Roman" w:cs="Times New Roman"/>
                <w:color w:val="000000" w:themeColor="text1"/>
                <w:sz w:val="20"/>
                <w:szCs w:val="20"/>
              </w:rPr>
              <w:t>004-2014</w:t>
            </w:r>
          </w:p>
        </w:tc>
        <w:tc>
          <w:tcPr>
            <w:tcW w:w="1470" w:type="pct"/>
            <w:tcBorders>
              <w:top w:val="single" w:sz="4" w:space="0" w:color="auto"/>
              <w:left w:val="single" w:sz="4" w:space="0" w:color="auto"/>
              <w:bottom w:val="single" w:sz="4" w:space="0" w:color="auto"/>
              <w:right w:val="single" w:sz="4" w:space="0" w:color="auto"/>
            </w:tcBorders>
            <w:vAlign w:val="center"/>
          </w:tcPr>
          <w:p w14:paraId="6B815C70" w14:textId="053A8C7A" w:rsidR="13966AEE" w:rsidRPr="002E333D" w:rsidRDefault="13966AEE" w:rsidP="002E333D">
            <w:pPr>
              <w:spacing w:line="240" w:lineRule="auto"/>
              <w:jc w:val="right"/>
              <w:rPr>
                <w:sz w:val="20"/>
                <w:szCs w:val="20"/>
              </w:rPr>
            </w:pPr>
            <w:r w:rsidRPr="002E333D">
              <w:rPr>
                <w:rFonts w:eastAsia="Times New Roman" w:cs="Times New Roman"/>
                <w:color w:val="000000" w:themeColor="text1"/>
                <w:sz w:val="20"/>
                <w:szCs w:val="20"/>
              </w:rPr>
              <w:t>3.274.306.852</w:t>
            </w:r>
          </w:p>
        </w:tc>
      </w:tr>
      <w:tr w:rsidR="13966AEE" w:rsidRPr="002E333D" w14:paraId="0EE2B8D4" w14:textId="77777777" w:rsidTr="00447B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6A0" w:firstRow="1" w:lastRow="0" w:firstColumn="1" w:lastColumn="0" w:noHBand="1" w:noVBand="1"/>
        </w:tblPrEx>
        <w:trPr>
          <w:trHeight w:val="340"/>
        </w:trPr>
        <w:tc>
          <w:tcPr>
            <w:tcW w:w="551" w:type="pct"/>
            <w:tcBorders>
              <w:top w:val="single" w:sz="4" w:space="0" w:color="auto"/>
              <w:left w:val="single" w:sz="4" w:space="0" w:color="auto"/>
              <w:bottom w:val="single" w:sz="4" w:space="0" w:color="auto"/>
              <w:right w:val="single" w:sz="4" w:space="0" w:color="auto"/>
            </w:tcBorders>
            <w:vAlign w:val="center"/>
          </w:tcPr>
          <w:p w14:paraId="1786AB80" w14:textId="2FE0BA13" w:rsidR="13966AEE" w:rsidRPr="002E333D" w:rsidRDefault="13966AEE" w:rsidP="002E333D">
            <w:pPr>
              <w:spacing w:line="240" w:lineRule="auto"/>
              <w:jc w:val="center"/>
              <w:rPr>
                <w:sz w:val="20"/>
                <w:szCs w:val="20"/>
              </w:rPr>
            </w:pPr>
            <w:r w:rsidRPr="002E333D">
              <w:rPr>
                <w:rFonts w:eastAsia="Times New Roman" w:cs="Times New Roman"/>
                <w:color w:val="000000" w:themeColor="text1"/>
                <w:sz w:val="20"/>
                <w:szCs w:val="20"/>
              </w:rPr>
              <w:t>13</w:t>
            </w:r>
          </w:p>
        </w:tc>
        <w:tc>
          <w:tcPr>
            <w:tcW w:w="2096" w:type="pct"/>
            <w:gridSpan w:val="2"/>
            <w:tcBorders>
              <w:top w:val="single" w:sz="4" w:space="0" w:color="auto"/>
              <w:left w:val="single" w:sz="4" w:space="0" w:color="auto"/>
              <w:bottom w:val="single" w:sz="4" w:space="0" w:color="auto"/>
              <w:right w:val="single" w:sz="4" w:space="0" w:color="auto"/>
            </w:tcBorders>
            <w:vAlign w:val="center"/>
          </w:tcPr>
          <w:p w14:paraId="3F69524E" w14:textId="0C464F76" w:rsidR="13966AEE" w:rsidRPr="002E333D" w:rsidRDefault="002E333D" w:rsidP="000A5389">
            <w:pPr>
              <w:spacing w:line="240" w:lineRule="auto"/>
              <w:rPr>
                <w:sz w:val="20"/>
                <w:szCs w:val="20"/>
              </w:rPr>
            </w:pPr>
            <w:r w:rsidRPr="002E333D">
              <w:rPr>
                <w:rFonts w:eastAsia="Times New Roman" w:cs="Times New Roman"/>
                <w:color w:val="000000" w:themeColor="text1"/>
                <w:sz w:val="20"/>
                <w:szCs w:val="20"/>
              </w:rPr>
              <w:t>App Gica</w:t>
            </w:r>
          </w:p>
        </w:tc>
        <w:tc>
          <w:tcPr>
            <w:tcW w:w="883" w:type="pct"/>
            <w:tcBorders>
              <w:top w:val="single" w:sz="4" w:space="0" w:color="auto"/>
              <w:left w:val="single" w:sz="4" w:space="0" w:color="auto"/>
              <w:bottom w:val="single" w:sz="4" w:space="0" w:color="auto"/>
              <w:right w:val="single" w:sz="4" w:space="0" w:color="auto"/>
            </w:tcBorders>
            <w:vAlign w:val="center"/>
          </w:tcPr>
          <w:p w14:paraId="392DF42A" w14:textId="7485AF98" w:rsidR="13966AEE" w:rsidRPr="002E333D" w:rsidRDefault="13966AEE" w:rsidP="000A5389">
            <w:pPr>
              <w:spacing w:line="240" w:lineRule="auto"/>
              <w:jc w:val="center"/>
              <w:rPr>
                <w:sz w:val="20"/>
                <w:szCs w:val="20"/>
              </w:rPr>
            </w:pPr>
            <w:r w:rsidRPr="002E333D">
              <w:rPr>
                <w:rFonts w:eastAsia="Times New Roman" w:cs="Times New Roman"/>
                <w:color w:val="000000" w:themeColor="text1"/>
                <w:sz w:val="20"/>
                <w:szCs w:val="20"/>
              </w:rPr>
              <w:t>002-2015</w:t>
            </w:r>
          </w:p>
        </w:tc>
        <w:tc>
          <w:tcPr>
            <w:tcW w:w="1470" w:type="pct"/>
            <w:tcBorders>
              <w:top w:val="single" w:sz="4" w:space="0" w:color="auto"/>
              <w:left w:val="single" w:sz="4" w:space="0" w:color="auto"/>
              <w:bottom w:val="single" w:sz="4" w:space="0" w:color="auto"/>
              <w:right w:val="single" w:sz="4" w:space="0" w:color="auto"/>
            </w:tcBorders>
            <w:vAlign w:val="center"/>
          </w:tcPr>
          <w:p w14:paraId="55E261D7" w14:textId="6F1122CF" w:rsidR="13966AEE" w:rsidRPr="002E333D" w:rsidRDefault="13966AEE" w:rsidP="002E333D">
            <w:pPr>
              <w:spacing w:line="240" w:lineRule="auto"/>
              <w:jc w:val="right"/>
              <w:rPr>
                <w:sz w:val="20"/>
                <w:szCs w:val="20"/>
              </w:rPr>
            </w:pPr>
            <w:r w:rsidRPr="002E333D">
              <w:rPr>
                <w:rFonts w:eastAsia="Times New Roman" w:cs="Times New Roman"/>
                <w:color w:val="000000" w:themeColor="text1"/>
                <w:sz w:val="20"/>
                <w:szCs w:val="20"/>
              </w:rPr>
              <w:t>3.082.874.097</w:t>
            </w:r>
          </w:p>
        </w:tc>
      </w:tr>
      <w:tr w:rsidR="13966AEE" w:rsidRPr="002E333D" w14:paraId="54A0D1BD" w14:textId="77777777" w:rsidTr="00447B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6A0" w:firstRow="1" w:lastRow="0" w:firstColumn="1" w:lastColumn="0" w:noHBand="1" w:noVBand="1"/>
        </w:tblPrEx>
        <w:trPr>
          <w:trHeight w:val="340"/>
        </w:trPr>
        <w:tc>
          <w:tcPr>
            <w:tcW w:w="551" w:type="pct"/>
            <w:tcBorders>
              <w:top w:val="single" w:sz="4" w:space="0" w:color="auto"/>
              <w:left w:val="single" w:sz="4" w:space="0" w:color="auto"/>
              <w:bottom w:val="single" w:sz="4" w:space="0" w:color="auto"/>
              <w:right w:val="single" w:sz="4" w:space="0" w:color="auto"/>
            </w:tcBorders>
            <w:vAlign w:val="center"/>
          </w:tcPr>
          <w:p w14:paraId="26B0FC8C" w14:textId="2F69449B" w:rsidR="13966AEE" w:rsidRPr="002E333D" w:rsidRDefault="13966AEE" w:rsidP="002E333D">
            <w:pPr>
              <w:spacing w:line="240" w:lineRule="auto"/>
              <w:jc w:val="center"/>
              <w:rPr>
                <w:sz w:val="20"/>
                <w:szCs w:val="20"/>
              </w:rPr>
            </w:pPr>
            <w:r w:rsidRPr="002E333D">
              <w:rPr>
                <w:rFonts w:eastAsia="Times New Roman" w:cs="Times New Roman"/>
                <w:color w:val="000000" w:themeColor="text1"/>
                <w:sz w:val="20"/>
                <w:szCs w:val="20"/>
              </w:rPr>
              <w:t>14</w:t>
            </w:r>
          </w:p>
        </w:tc>
        <w:tc>
          <w:tcPr>
            <w:tcW w:w="2096" w:type="pct"/>
            <w:gridSpan w:val="2"/>
            <w:tcBorders>
              <w:top w:val="single" w:sz="4" w:space="0" w:color="auto"/>
              <w:left w:val="single" w:sz="4" w:space="0" w:color="auto"/>
              <w:bottom w:val="single" w:sz="4" w:space="0" w:color="auto"/>
              <w:right w:val="single" w:sz="4" w:space="0" w:color="auto"/>
            </w:tcBorders>
            <w:vAlign w:val="center"/>
          </w:tcPr>
          <w:p w14:paraId="62E6A2AB" w14:textId="743C6261" w:rsidR="13966AEE" w:rsidRPr="002E333D" w:rsidRDefault="002E333D" w:rsidP="000A5389">
            <w:pPr>
              <w:spacing w:line="240" w:lineRule="auto"/>
              <w:rPr>
                <w:sz w:val="20"/>
                <w:szCs w:val="20"/>
              </w:rPr>
            </w:pPr>
            <w:r w:rsidRPr="002E333D">
              <w:rPr>
                <w:rFonts w:eastAsia="Times New Roman" w:cs="Times New Roman"/>
                <w:color w:val="000000" w:themeColor="text1"/>
                <w:sz w:val="20"/>
                <w:szCs w:val="20"/>
              </w:rPr>
              <w:t>Neiva - Espinal - Girardot</w:t>
            </w:r>
          </w:p>
        </w:tc>
        <w:tc>
          <w:tcPr>
            <w:tcW w:w="883" w:type="pct"/>
            <w:tcBorders>
              <w:top w:val="single" w:sz="4" w:space="0" w:color="auto"/>
              <w:left w:val="single" w:sz="4" w:space="0" w:color="auto"/>
              <w:bottom w:val="single" w:sz="4" w:space="0" w:color="auto"/>
              <w:right w:val="single" w:sz="4" w:space="0" w:color="auto"/>
            </w:tcBorders>
            <w:vAlign w:val="center"/>
          </w:tcPr>
          <w:p w14:paraId="7CDBB0BF" w14:textId="06E840D1" w:rsidR="13966AEE" w:rsidRPr="002E333D" w:rsidRDefault="13966AEE" w:rsidP="000A5389">
            <w:pPr>
              <w:spacing w:line="240" w:lineRule="auto"/>
              <w:jc w:val="center"/>
              <w:rPr>
                <w:sz w:val="20"/>
                <w:szCs w:val="20"/>
              </w:rPr>
            </w:pPr>
            <w:r w:rsidRPr="002E333D">
              <w:rPr>
                <w:rFonts w:eastAsia="Times New Roman" w:cs="Times New Roman"/>
                <w:color w:val="000000" w:themeColor="text1"/>
                <w:sz w:val="20"/>
                <w:szCs w:val="20"/>
              </w:rPr>
              <w:t>017-2015</w:t>
            </w:r>
          </w:p>
        </w:tc>
        <w:tc>
          <w:tcPr>
            <w:tcW w:w="1470" w:type="pct"/>
            <w:tcBorders>
              <w:top w:val="single" w:sz="4" w:space="0" w:color="auto"/>
              <w:left w:val="single" w:sz="4" w:space="0" w:color="auto"/>
              <w:bottom w:val="single" w:sz="4" w:space="0" w:color="auto"/>
              <w:right w:val="single" w:sz="4" w:space="0" w:color="auto"/>
            </w:tcBorders>
            <w:vAlign w:val="center"/>
          </w:tcPr>
          <w:p w14:paraId="1B3B72B5" w14:textId="0A14DE15" w:rsidR="13966AEE" w:rsidRPr="002E333D" w:rsidRDefault="13966AEE" w:rsidP="002E333D">
            <w:pPr>
              <w:spacing w:line="240" w:lineRule="auto"/>
              <w:jc w:val="right"/>
              <w:rPr>
                <w:sz w:val="20"/>
                <w:szCs w:val="20"/>
              </w:rPr>
            </w:pPr>
            <w:r w:rsidRPr="002E333D">
              <w:rPr>
                <w:rFonts w:eastAsia="Times New Roman" w:cs="Times New Roman"/>
                <w:color w:val="000000" w:themeColor="text1"/>
                <w:sz w:val="20"/>
                <w:szCs w:val="20"/>
              </w:rPr>
              <w:t>2.586.597.330</w:t>
            </w:r>
          </w:p>
        </w:tc>
      </w:tr>
      <w:tr w:rsidR="13966AEE" w:rsidRPr="002E333D" w14:paraId="0A5AE286" w14:textId="77777777" w:rsidTr="00447B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6A0" w:firstRow="1" w:lastRow="0" w:firstColumn="1" w:lastColumn="0" w:noHBand="1" w:noVBand="1"/>
        </w:tblPrEx>
        <w:trPr>
          <w:trHeight w:val="340"/>
        </w:trPr>
        <w:tc>
          <w:tcPr>
            <w:tcW w:w="551" w:type="pct"/>
            <w:tcBorders>
              <w:top w:val="single" w:sz="4" w:space="0" w:color="auto"/>
              <w:left w:val="single" w:sz="4" w:space="0" w:color="auto"/>
              <w:bottom w:val="single" w:sz="4" w:space="0" w:color="auto"/>
              <w:right w:val="single" w:sz="4" w:space="0" w:color="auto"/>
            </w:tcBorders>
            <w:vAlign w:val="center"/>
          </w:tcPr>
          <w:p w14:paraId="590E8D6F" w14:textId="3B858985" w:rsidR="13966AEE" w:rsidRPr="002E333D" w:rsidRDefault="13966AEE" w:rsidP="002E333D">
            <w:pPr>
              <w:spacing w:line="240" w:lineRule="auto"/>
              <w:jc w:val="center"/>
              <w:rPr>
                <w:sz w:val="20"/>
                <w:szCs w:val="20"/>
              </w:rPr>
            </w:pPr>
            <w:r w:rsidRPr="002E333D">
              <w:rPr>
                <w:rFonts w:eastAsia="Times New Roman" w:cs="Times New Roman"/>
                <w:color w:val="000000" w:themeColor="text1"/>
                <w:sz w:val="20"/>
                <w:szCs w:val="20"/>
              </w:rPr>
              <w:t>15</w:t>
            </w:r>
          </w:p>
        </w:tc>
        <w:tc>
          <w:tcPr>
            <w:tcW w:w="2096" w:type="pct"/>
            <w:gridSpan w:val="2"/>
            <w:tcBorders>
              <w:top w:val="single" w:sz="4" w:space="0" w:color="auto"/>
              <w:left w:val="single" w:sz="4" w:space="0" w:color="auto"/>
              <w:bottom w:val="single" w:sz="4" w:space="0" w:color="auto"/>
              <w:right w:val="single" w:sz="4" w:space="0" w:color="auto"/>
            </w:tcBorders>
            <w:vAlign w:val="center"/>
          </w:tcPr>
          <w:p w14:paraId="29AFAEB3" w14:textId="7EEA152F" w:rsidR="13966AEE" w:rsidRPr="002E333D" w:rsidRDefault="002E333D" w:rsidP="000A5389">
            <w:pPr>
              <w:spacing w:line="240" w:lineRule="auto"/>
              <w:rPr>
                <w:sz w:val="20"/>
                <w:szCs w:val="20"/>
              </w:rPr>
            </w:pPr>
            <w:r w:rsidRPr="002E333D">
              <w:rPr>
                <w:rFonts w:eastAsia="Times New Roman" w:cs="Times New Roman"/>
                <w:color w:val="000000" w:themeColor="text1"/>
                <w:sz w:val="20"/>
                <w:szCs w:val="20"/>
              </w:rPr>
              <w:t>Bucaramanga – Barrancabermeja – Yondó</w:t>
            </w:r>
          </w:p>
        </w:tc>
        <w:tc>
          <w:tcPr>
            <w:tcW w:w="883" w:type="pct"/>
            <w:tcBorders>
              <w:top w:val="single" w:sz="4" w:space="0" w:color="auto"/>
              <w:left w:val="single" w:sz="4" w:space="0" w:color="auto"/>
              <w:bottom w:val="single" w:sz="4" w:space="0" w:color="auto"/>
              <w:right w:val="single" w:sz="4" w:space="0" w:color="auto"/>
            </w:tcBorders>
            <w:vAlign w:val="center"/>
          </w:tcPr>
          <w:p w14:paraId="44CCFBE2" w14:textId="4515DDA2" w:rsidR="13966AEE" w:rsidRPr="002E333D" w:rsidRDefault="13966AEE" w:rsidP="000A5389">
            <w:pPr>
              <w:spacing w:line="240" w:lineRule="auto"/>
              <w:jc w:val="center"/>
              <w:rPr>
                <w:sz w:val="20"/>
                <w:szCs w:val="20"/>
              </w:rPr>
            </w:pPr>
            <w:r w:rsidRPr="002E333D">
              <w:rPr>
                <w:rFonts w:eastAsia="Times New Roman" w:cs="Times New Roman"/>
                <w:color w:val="000000" w:themeColor="text1"/>
                <w:sz w:val="20"/>
                <w:szCs w:val="20"/>
              </w:rPr>
              <w:t>013-2015</w:t>
            </w:r>
          </w:p>
        </w:tc>
        <w:tc>
          <w:tcPr>
            <w:tcW w:w="1470" w:type="pct"/>
            <w:tcBorders>
              <w:top w:val="single" w:sz="4" w:space="0" w:color="auto"/>
              <w:left w:val="single" w:sz="4" w:space="0" w:color="auto"/>
              <w:bottom w:val="single" w:sz="4" w:space="0" w:color="auto"/>
              <w:right w:val="single" w:sz="4" w:space="0" w:color="auto"/>
            </w:tcBorders>
            <w:vAlign w:val="center"/>
          </w:tcPr>
          <w:p w14:paraId="376DB4CE" w14:textId="1EC3FF61" w:rsidR="13966AEE" w:rsidRPr="002E333D" w:rsidRDefault="13966AEE" w:rsidP="002E333D">
            <w:pPr>
              <w:spacing w:line="240" w:lineRule="auto"/>
              <w:jc w:val="right"/>
              <w:rPr>
                <w:sz w:val="20"/>
                <w:szCs w:val="20"/>
              </w:rPr>
            </w:pPr>
            <w:r w:rsidRPr="002E333D">
              <w:rPr>
                <w:rFonts w:eastAsia="Times New Roman" w:cs="Times New Roman"/>
                <w:color w:val="000000" w:themeColor="text1"/>
                <w:sz w:val="20"/>
                <w:szCs w:val="20"/>
              </w:rPr>
              <w:t>2.010.885.344</w:t>
            </w:r>
          </w:p>
        </w:tc>
      </w:tr>
      <w:tr w:rsidR="13966AEE" w:rsidRPr="002E333D" w14:paraId="4864DE23" w14:textId="77777777" w:rsidTr="00447B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6A0" w:firstRow="1" w:lastRow="0" w:firstColumn="1" w:lastColumn="0" w:noHBand="1" w:noVBand="1"/>
        </w:tblPrEx>
        <w:trPr>
          <w:trHeight w:val="340"/>
        </w:trPr>
        <w:tc>
          <w:tcPr>
            <w:tcW w:w="551" w:type="pct"/>
            <w:tcBorders>
              <w:top w:val="single" w:sz="4" w:space="0" w:color="auto"/>
              <w:left w:val="single" w:sz="4" w:space="0" w:color="auto"/>
              <w:bottom w:val="single" w:sz="4" w:space="0" w:color="auto"/>
              <w:right w:val="single" w:sz="4" w:space="0" w:color="auto"/>
            </w:tcBorders>
            <w:vAlign w:val="center"/>
          </w:tcPr>
          <w:p w14:paraId="29E36817" w14:textId="0564EF74" w:rsidR="13966AEE" w:rsidRPr="002E333D" w:rsidRDefault="13966AEE" w:rsidP="002E333D">
            <w:pPr>
              <w:spacing w:line="240" w:lineRule="auto"/>
              <w:jc w:val="center"/>
              <w:rPr>
                <w:sz w:val="20"/>
                <w:szCs w:val="20"/>
              </w:rPr>
            </w:pPr>
            <w:r w:rsidRPr="002E333D">
              <w:rPr>
                <w:rFonts w:eastAsia="Times New Roman" w:cs="Times New Roman"/>
                <w:color w:val="000000" w:themeColor="text1"/>
                <w:sz w:val="20"/>
                <w:szCs w:val="20"/>
              </w:rPr>
              <w:t>16</w:t>
            </w:r>
          </w:p>
        </w:tc>
        <w:tc>
          <w:tcPr>
            <w:tcW w:w="2096" w:type="pct"/>
            <w:gridSpan w:val="2"/>
            <w:tcBorders>
              <w:top w:val="single" w:sz="4" w:space="0" w:color="auto"/>
              <w:left w:val="single" w:sz="4" w:space="0" w:color="auto"/>
              <w:bottom w:val="single" w:sz="4" w:space="0" w:color="auto"/>
              <w:right w:val="single" w:sz="4" w:space="0" w:color="auto"/>
            </w:tcBorders>
            <w:vAlign w:val="center"/>
          </w:tcPr>
          <w:p w14:paraId="583D8968" w14:textId="0A75B256" w:rsidR="13966AEE" w:rsidRPr="002E333D" w:rsidRDefault="002E333D" w:rsidP="000A5389">
            <w:pPr>
              <w:spacing w:line="240" w:lineRule="auto"/>
              <w:rPr>
                <w:sz w:val="20"/>
                <w:szCs w:val="20"/>
              </w:rPr>
            </w:pPr>
            <w:r w:rsidRPr="002E333D">
              <w:rPr>
                <w:rFonts w:eastAsia="Times New Roman" w:cs="Times New Roman"/>
                <w:color w:val="000000" w:themeColor="text1"/>
                <w:sz w:val="20"/>
                <w:szCs w:val="20"/>
              </w:rPr>
              <w:t>Villavicencio - Yopal</w:t>
            </w:r>
          </w:p>
        </w:tc>
        <w:tc>
          <w:tcPr>
            <w:tcW w:w="883" w:type="pct"/>
            <w:tcBorders>
              <w:top w:val="single" w:sz="4" w:space="0" w:color="auto"/>
              <w:left w:val="single" w:sz="4" w:space="0" w:color="auto"/>
              <w:bottom w:val="single" w:sz="4" w:space="0" w:color="auto"/>
              <w:right w:val="single" w:sz="4" w:space="0" w:color="auto"/>
            </w:tcBorders>
            <w:vAlign w:val="center"/>
          </w:tcPr>
          <w:p w14:paraId="37107BBF" w14:textId="42AA8D3C" w:rsidR="13966AEE" w:rsidRPr="002E333D" w:rsidRDefault="13966AEE" w:rsidP="000A5389">
            <w:pPr>
              <w:spacing w:line="240" w:lineRule="auto"/>
              <w:jc w:val="center"/>
              <w:rPr>
                <w:sz w:val="20"/>
                <w:szCs w:val="20"/>
              </w:rPr>
            </w:pPr>
            <w:r w:rsidRPr="002E333D">
              <w:rPr>
                <w:rFonts w:eastAsia="Times New Roman" w:cs="Times New Roman"/>
                <w:color w:val="000000" w:themeColor="text1"/>
                <w:sz w:val="20"/>
                <w:szCs w:val="20"/>
              </w:rPr>
              <w:t>010-2015</w:t>
            </w:r>
          </w:p>
        </w:tc>
        <w:tc>
          <w:tcPr>
            <w:tcW w:w="1470" w:type="pct"/>
            <w:tcBorders>
              <w:top w:val="single" w:sz="4" w:space="0" w:color="auto"/>
              <w:left w:val="single" w:sz="4" w:space="0" w:color="auto"/>
              <w:bottom w:val="single" w:sz="4" w:space="0" w:color="auto"/>
              <w:right w:val="single" w:sz="4" w:space="0" w:color="auto"/>
            </w:tcBorders>
            <w:vAlign w:val="center"/>
          </w:tcPr>
          <w:p w14:paraId="226B8CAE" w14:textId="596FB994" w:rsidR="13966AEE" w:rsidRPr="002E333D" w:rsidRDefault="13966AEE" w:rsidP="002E333D">
            <w:pPr>
              <w:spacing w:line="240" w:lineRule="auto"/>
              <w:jc w:val="right"/>
              <w:rPr>
                <w:sz w:val="20"/>
                <w:szCs w:val="20"/>
              </w:rPr>
            </w:pPr>
            <w:r w:rsidRPr="002E333D">
              <w:rPr>
                <w:rFonts w:eastAsia="Times New Roman" w:cs="Times New Roman"/>
                <w:color w:val="000000" w:themeColor="text1"/>
                <w:sz w:val="20"/>
                <w:szCs w:val="20"/>
              </w:rPr>
              <w:t>1.699.917.995</w:t>
            </w:r>
          </w:p>
        </w:tc>
      </w:tr>
      <w:tr w:rsidR="13966AEE" w:rsidRPr="002E333D" w14:paraId="1733B8CF" w14:textId="77777777" w:rsidTr="00447B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6A0" w:firstRow="1" w:lastRow="0" w:firstColumn="1" w:lastColumn="0" w:noHBand="1" w:noVBand="1"/>
        </w:tblPrEx>
        <w:trPr>
          <w:trHeight w:val="340"/>
        </w:trPr>
        <w:tc>
          <w:tcPr>
            <w:tcW w:w="551" w:type="pct"/>
            <w:tcBorders>
              <w:top w:val="single" w:sz="4" w:space="0" w:color="auto"/>
              <w:left w:val="single" w:sz="4" w:space="0" w:color="auto"/>
              <w:bottom w:val="single" w:sz="4" w:space="0" w:color="auto"/>
              <w:right w:val="single" w:sz="4" w:space="0" w:color="auto"/>
            </w:tcBorders>
            <w:vAlign w:val="center"/>
          </w:tcPr>
          <w:p w14:paraId="50F251D6" w14:textId="4F3A041E" w:rsidR="13966AEE" w:rsidRPr="002E333D" w:rsidRDefault="13966AEE" w:rsidP="002E333D">
            <w:pPr>
              <w:spacing w:line="240" w:lineRule="auto"/>
              <w:jc w:val="center"/>
              <w:rPr>
                <w:sz w:val="20"/>
                <w:szCs w:val="20"/>
              </w:rPr>
            </w:pPr>
            <w:r w:rsidRPr="002E333D">
              <w:rPr>
                <w:rFonts w:eastAsia="Times New Roman" w:cs="Times New Roman"/>
                <w:color w:val="000000" w:themeColor="text1"/>
                <w:sz w:val="20"/>
                <w:szCs w:val="20"/>
              </w:rPr>
              <w:t>17</w:t>
            </w:r>
          </w:p>
        </w:tc>
        <w:tc>
          <w:tcPr>
            <w:tcW w:w="2096" w:type="pct"/>
            <w:gridSpan w:val="2"/>
            <w:tcBorders>
              <w:top w:val="single" w:sz="4" w:space="0" w:color="auto"/>
              <w:left w:val="single" w:sz="4" w:space="0" w:color="auto"/>
              <w:bottom w:val="single" w:sz="4" w:space="0" w:color="auto"/>
              <w:right w:val="single" w:sz="4" w:space="0" w:color="auto"/>
            </w:tcBorders>
            <w:vAlign w:val="center"/>
          </w:tcPr>
          <w:p w14:paraId="10EFDC18" w14:textId="2B988157" w:rsidR="13966AEE" w:rsidRPr="002E333D" w:rsidRDefault="002E333D" w:rsidP="000A5389">
            <w:pPr>
              <w:spacing w:line="240" w:lineRule="auto"/>
              <w:rPr>
                <w:sz w:val="20"/>
                <w:szCs w:val="20"/>
              </w:rPr>
            </w:pPr>
            <w:r w:rsidRPr="002E333D">
              <w:rPr>
                <w:rFonts w:eastAsia="Times New Roman" w:cs="Times New Roman"/>
                <w:color w:val="000000" w:themeColor="text1"/>
                <w:sz w:val="20"/>
                <w:szCs w:val="20"/>
              </w:rPr>
              <w:t>Area Metropolitana De Cucuta</w:t>
            </w:r>
          </w:p>
        </w:tc>
        <w:tc>
          <w:tcPr>
            <w:tcW w:w="883" w:type="pct"/>
            <w:tcBorders>
              <w:top w:val="single" w:sz="4" w:space="0" w:color="auto"/>
              <w:left w:val="single" w:sz="4" w:space="0" w:color="auto"/>
              <w:bottom w:val="single" w:sz="4" w:space="0" w:color="auto"/>
              <w:right w:val="single" w:sz="4" w:space="0" w:color="auto"/>
            </w:tcBorders>
            <w:vAlign w:val="center"/>
          </w:tcPr>
          <w:p w14:paraId="7017B632" w14:textId="14A7AE18" w:rsidR="13966AEE" w:rsidRPr="002E333D" w:rsidRDefault="13966AEE" w:rsidP="000A5389">
            <w:pPr>
              <w:spacing w:line="240" w:lineRule="auto"/>
              <w:jc w:val="center"/>
              <w:rPr>
                <w:sz w:val="20"/>
                <w:szCs w:val="20"/>
              </w:rPr>
            </w:pPr>
            <w:r w:rsidRPr="002E333D">
              <w:rPr>
                <w:rFonts w:eastAsia="Times New Roman" w:cs="Times New Roman"/>
                <w:color w:val="000000" w:themeColor="text1"/>
                <w:sz w:val="20"/>
                <w:szCs w:val="20"/>
              </w:rPr>
              <w:t>006-2008</w:t>
            </w:r>
          </w:p>
        </w:tc>
        <w:tc>
          <w:tcPr>
            <w:tcW w:w="1470" w:type="pct"/>
            <w:tcBorders>
              <w:top w:val="single" w:sz="4" w:space="0" w:color="auto"/>
              <w:left w:val="single" w:sz="4" w:space="0" w:color="auto"/>
              <w:bottom w:val="single" w:sz="4" w:space="0" w:color="auto"/>
              <w:right w:val="single" w:sz="4" w:space="0" w:color="auto"/>
            </w:tcBorders>
            <w:vAlign w:val="center"/>
          </w:tcPr>
          <w:p w14:paraId="05289C73" w14:textId="34763CC7" w:rsidR="13966AEE" w:rsidRPr="002E333D" w:rsidRDefault="13966AEE" w:rsidP="002E333D">
            <w:pPr>
              <w:spacing w:line="240" w:lineRule="auto"/>
              <w:jc w:val="right"/>
              <w:rPr>
                <w:sz w:val="20"/>
                <w:szCs w:val="20"/>
              </w:rPr>
            </w:pPr>
            <w:r w:rsidRPr="002E333D">
              <w:rPr>
                <w:rFonts w:eastAsia="Times New Roman" w:cs="Times New Roman"/>
                <w:color w:val="000000" w:themeColor="text1"/>
                <w:sz w:val="20"/>
                <w:szCs w:val="20"/>
              </w:rPr>
              <w:t>1.683.669.962</w:t>
            </w:r>
          </w:p>
        </w:tc>
      </w:tr>
      <w:tr w:rsidR="13966AEE" w:rsidRPr="002E333D" w14:paraId="1BA3B0EB" w14:textId="77777777" w:rsidTr="00447B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6A0" w:firstRow="1" w:lastRow="0" w:firstColumn="1" w:lastColumn="0" w:noHBand="1" w:noVBand="1"/>
        </w:tblPrEx>
        <w:trPr>
          <w:trHeight w:val="340"/>
        </w:trPr>
        <w:tc>
          <w:tcPr>
            <w:tcW w:w="551" w:type="pct"/>
            <w:tcBorders>
              <w:top w:val="single" w:sz="4" w:space="0" w:color="auto"/>
              <w:left w:val="single" w:sz="4" w:space="0" w:color="auto"/>
              <w:bottom w:val="single" w:sz="4" w:space="0" w:color="auto"/>
              <w:right w:val="single" w:sz="4" w:space="0" w:color="auto"/>
            </w:tcBorders>
            <w:vAlign w:val="center"/>
          </w:tcPr>
          <w:p w14:paraId="6F42B0A9" w14:textId="6E382A5B" w:rsidR="13966AEE" w:rsidRPr="002E333D" w:rsidRDefault="13966AEE" w:rsidP="002E333D">
            <w:pPr>
              <w:spacing w:line="240" w:lineRule="auto"/>
              <w:jc w:val="center"/>
              <w:rPr>
                <w:sz w:val="20"/>
                <w:szCs w:val="20"/>
              </w:rPr>
            </w:pPr>
            <w:r w:rsidRPr="002E333D">
              <w:rPr>
                <w:rFonts w:eastAsia="Times New Roman" w:cs="Times New Roman"/>
                <w:color w:val="000000" w:themeColor="text1"/>
                <w:sz w:val="20"/>
                <w:szCs w:val="20"/>
              </w:rPr>
              <w:t>18</w:t>
            </w:r>
          </w:p>
        </w:tc>
        <w:tc>
          <w:tcPr>
            <w:tcW w:w="2096" w:type="pct"/>
            <w:gridSpan w:val="2"/>
            <w:tcBorders>
              <w:top w:val="single" w:sz="4" w:space="0" w:color="auto"/>
              <w:left w:val="single" w:sz="4" w:space="0" w:color="auto"/>
              <w:bottom w:val="single" w:sz="4" w:space="0" w:color="auto"/>
              <w:right w:val="single" w:sz="4" w:space="0" w:color="auto"/>
            </w:tcBorders>
            <w:vAlign w:val="center"/>
          </w:tcPr>
          <w:p w14:paraId="703D4289" w14:textId="76952F12" w:rsidR="13966AEE" w:rsidRPr="002E333D" w:rsidRDefault="002E333D" w:rsidP="000A5389">
            <w:pPr>
              <w:spacing w:line="240" w:lineRule="auto"/>
              <w:rPr>
                <w:sz w:val="20"/>
                <w:szCs w:val="20"/>
              </w:rPr>
            </w:pPr>
            <w:r w:rsidRPr="002E333D">
              <w:rPr>
                <w:rFonts w:eastAsia="Times New Roman" w:cs="Times New Roman"/>
                <w:color w:val="000000" w:themeColor="text1"/>
                <w:sz w:val="20"/>
                <w:szCs w:val="20"/>
              </w:rPr>
              <w:t>Siberia -La Punta-El Vino / Bogotá Villeta</w:t>
            </w:r>
          </w:p>
        </w:tc>
        <w:tc>
          <w:tcPr>
            <w:tcW w:w="883" w:type="pct"/>
            <w:tcBorders>
              <w:top w:val="single" w:sz="4" w:space="0" w:color="auto"/>
              <w:left w:val="single" w:sz="4" w:space="0" w:color="auto"/>
              <w:bottom w:val="single" w:sz="4" w:space="0" w:color="auto"/>
              <w:right w:val="single" w:sz="4" w:space="0" w:color="auto"/>
            </w:tcBorders>
            <w:vAlign w:val="center"/>
          </w:tcPr>
          <w:p w14:paraId="156B9A68" w14:textId="1DAC36B3" w:rsidR="13966AEE" w:rsidRPr="002E333D" w:rsidRDefault="13966AEE" w:rsidP="000A5389">
            <w:pPr>
              <w:spacing w:line="240" w:lineRule="auto"/>
              <w:jc w:val="center"/>
              <w:rPr>
                <w:sz w:val="20"/>
                <w:szCs w:val="20"/>
              </w:rPr>
            </w:pPr>
            <w:r w:rsidRPr="002E333D">
              <w:rPr>
                <w:rFonts w:eastAsia="Times New Roman" w:cs="Times New Roman"/>
                <w:color w:val="000000" w:themeColor="text1"/>
                <w:sz w:val="20"/>
                <w:szCs w:val="20"/>
              </w:rPr>
              <w:t>447-1994</w:t>
            </w:r>
          </w:p>
        </w:tc>
        <w:tc>
          <w:tcPr>
            <w:tcW w:w="1470" w:type="pct"/>
            <w:tcBorders>
              <w:top w:val="single" w:sz="4" w:space="0" w:color="auto"/>
              <w:left w:val="single" w:sz="4" w:space="0" w:color="auto"/>
              <w:bottom w:val="single" w:sz="4" w:space="0" w:color="auto"/>
              <w:right w:val="single" w:sz="4" w:space="0" w:color="auto"/>
            </w:tcBorders>
            <w:vAlign w:val="center"/>
          </w:tcPr>
          <w:p w14:paraId="07716E63" w14:textId="4F316149" w:rsidR="13966AEE" w:rsidRPr="002E333D" w:rsidRDefault="13966AEE" w:rsidP="002E333D">
            <w:pPr>
              <w:spacing w:line="240" w:lineRule="auto"/>
              <w:jc w:val="right"/>
              <w:rPr>
                <w:sz w:val="20"/>
                <w:szCs w:val="20"/>
              </w:rPr>
            </w:pPr>
            <w:r w:rsidRPr="002E333D">
              <w:rPr>
                <w:rFonts w:eastAsia="Times New Roman" w:cs="Times New Roman"/>
                <w:color w:val="000000" w:themeColor="text1"/>
                <w:sz w:val="20"/>
                <w:szCs w:val="20"/>
              </w:rPr>
              <w:t>1.335.797.684</w:t>
            </w:r>
          </w:p>
        </w:tc>
      </w:tr>
      <w:tr w:rsidR="13966AEE" w:rsidRPr="002E333D" w14:paraId="415AF099" w14:textId="77777777" w:rsidTr="00447B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6A0" w:firstRow="1" w:lastRow="0" w:firstColumn="1" w:lastColumn="0" w:noHBand="1" w:noVBand="1"/>
        </w:tblPrEx>
        <w:trPr>
          <w:trHeight w:val="340"/>
        </w:trPr>
        <w:tc>
          <w:tcPr>
            <w:tcW w:w="551" w:type="pct"/>
            <w:tcBorders>
              <w:top w:val="single" w:sz="4" w:space="0" w:color="auto"/>
              <w:left w:val="single" w:sz="4" w:space="0" w:color="auto"/>
              <w:bottom w:val="single" w:sz="4" w:space="0" w:color="auto"/>
              <w:right w:val="single" w:sz="4" w:space="0" w:color="auto"/>
            </w:tcBorders>
            <w:vAlign w:val="center"/>
          </w:tcPr>
          <w:p w14:paraId="514F11B6" w14:textId="2A3F166D" w:rsidR="13966AEE" w:rsidRPr="002E333D" w:rsidRDefault="13966AEE" w:rsidP="002E333D">
            <w:pPr>
              <w:spacing w:line="240" w:lineRule="auto"/>
              <w:jc w:val="center"/>
              <w:rPr>
                <w:sz w:val="20"/>
                <w:szCs w:val="20"/>
              </w:rPr>
            </w:pPr>
            <w:r w:rsidRPr="002E333D">
              <w:rPr>
                <w:rFonts w:eastAsia="Times New Roman" w:cs="Times New Roman"/>
                <w:color w:val="000000" w:themeColor="text1"/>
                <w:sz w:val="20"/>
                <w:szCs w:val="20"/>
              </w:rPr>
              <w:t>19</w:t>
            </w:r>
          </w:p>
        </w:tc>
        <w:tc>
          <w:tcPr>
            <w:tcW w:w="2096" w:type="pct"/>
            <w:gridSpan w:val="2"/>
            <w:tcBorders>
              <w:top w:val="single" w:sz="4" w:space="0" w:color="auto"/>
              <w:left w:val="single" w:sz="4" w:space="0" w:color="auto"/>
              <w:bottom w:val="single" w:sz="4" w:space="0" w:color="auto"/>
              <w:right w:val="single" w:sz="4" w:space="0" w:color="auto"/>
            </w:tcBorders>
            <w:vAlign w:val="center"/>
          </w:tcPr>
          <w:p w14:paraId="57682FE4" w14:textId="749115E6" w:rsidR="13966AEE" w:rsidRPr="002E333D" w:rsidRDefault="002E333D" w:rsidP="000A5389">
            <w:pPr>
              <w:spacing w:line="240" w:lineRule="auto"/>
              <w:rPr>
                <w:sz w:val="20"/>
                <w:szCs w:val="20"/>
              </w:rPr>
            </w:pPr>
            <w:r w:rsidRPr="002E333D">
              <w:rPr>
                <w:rFonts w:eastAsia="Times New Roman" w:cs="Times New Roman"/>
                <w:color w:val="000000" w:themeColor="text1"/>
                <w:sz w:val="20"/>
                <w:szCs w:val="20"/>
              </w:rPr>
              <w:t xml:space="preserve"> Cambao-Manizales</w:t>
            </w:r>
          </w:p>
        </w:tc>
        <w:tc>
          <w:tcPr>
            <w:tcW w:w="883" w:type="pct"/>
            <w:tcBorders>
              <w:top w:val="single" w:sz="4" w:space="0" w:color="auto"/>
              <w:left w:val="single" w:sz="4" w:space="0" w:color="auto"/>
              <w:bottom w:val="single" w:sz="4" w:space="0" w:color="auto"/>
              <w:right w:val="single" w:sz="4" w:space="0" w:color="auto"/>
            </w:tcBorders>
            <w:vAlign w:val="center"/>
          </w:tcPr>
          <w:p w14:paraId="7D700C33" w14:textId="48381394" w:rsidR="13966AEE" w:rsidRPr="002E333D" w:rsidRDefault="13966AEE" w:rsidP="000A5389">
            <w:pPr>
              <w:spacing w:line="240" w:lineRule="auto"/>
              <w:jc w:val="center"/>
              <w:rPr>
                <w:sz w:val="20"/>
                <w:szCs w:val="20"/>
              </w:rPr>
            </w:pPr>
            <w:r w:rsidRPr="002E333D">
              <w:rPr>
                <w:rFonts w:eastAsia="Times New Roman" w:cs="Times New Roman"/>
                <w:color w:val="000000" w:themeColor="text1"/>
                <w:sz w:val="20"/>
                <w:szCs w:val="20"/>
              </w:rPr>
              <w:t>008-2015</w:t>
            </w:r>
          </w:p>
        </w:tc>
        <w:tc>
          <w:tcPr>
            <w:tcW w:w="1470" w:type="pct"/>
            <w:tcBorders>
              <w:top w:val="single" w:sz="4" w:space="0" w:color="auto"/>
              <w:left w:val="single" w:sz="4" w:space="0" w:color="auto"/>
              <w:bottom w:val="single" w:sz="4" w:space="0" w:color="auto"/>
              <w:right w:val="single" w:sz="4" w:space="0" w:color="auto"/>
            </w:tcBorders>
            <w:vAlign w:val="center"/>
          </w:tcPr>
          <w:p w14:paraId="6CA7713D" w14:textId="054F3EF5" w:rsidR="13966AEE" w:rsidRPr="002E333D" w:rsidRDefault="13966AEE" w:rsidP="002E333D">
            <w:pPr>
              <w:spacing w:line="240" w:lineRule="auto"/>
              <w:jc w:val="right"/>
              <w:rPr>
                <w:sz w:val="20"/>
                <w:szCs w:val="20"/>
              </w:rPr>
            </w:pPr>
            <w:r w:rsidRPr="002E333D">
              <w:rPr>
                <w:rFonts w:eastAsia="Times New Roman" w:cs="Times New Roman"/>
                <w:color w:val="000000" w:themeColor="text1"/>
                <w:sz w:val="20"/>
                <w:szCs w:val="20"/>
              </w:rPr>
              <w:t>943.596.036</w:t>
            </w:r>
          </w:p>
        </w:tc>
      </w:tr>
      <w:tr w:rsidR="13966AEE" w:rsidRPr="002E333D" w14:paraId="628EB781" w14:textId="77777777" w:rsidTr="00447B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6A0" w:firstRow="1" w:lastRow="0" w:firstColumn="1" w:lastColumn="0" w:noHBand="1" w:noVBand="1"/>
        </w:tblPrEx>
        <w:trPr>
          <w:trHeight w:val="340"/>
        </w:trPr>
        <w:tc>
          <w:tcPr>
            <w:tcW w:w="551" w:type="pct"/>
            <w:tcBorders>
              <w:top w:val="single" w:sz="4" w:space="0" w:color="auto"/>
              <w:left w:val="single" w:sz="4" w:space="0" w:color="auto"/>
              <w:bottom w:val="single" w:sz="4" w:space="0" w:color="auto"/>
              <w:right w:val="single" w:sz="4" w:space="0" w:color="auto"/>
            </w:tcBorders>
            <w:vAlign w:val="center"/>
          </w:tcPr>
          <w:p w14:paraId="64165A1B" w14:textId="6522B193" w:rsidR="13966AEE" w:rsidRPr="002E333D" w:rsidRDefault="13966AEE" w:rsidP="002E333D">
            <w:pPr>
              <w:spacing w:line="240" w:lineRule="auto"/>
              <w:jc w:val="center"/>
              <w:rPr>
                <w:sz w:val="20"/>
                <w:szCs w:val="20"/>
              </w:rPr>
            </w:pPr>
            <w:r w:rsidRPr="002E333D">
              <w:rPr>
                <w:rFonts w:eastAsia="Times New Roman" w:cs="Times New Roman"/>
                <w:color w:val="000000" w:themeColor="text1"/>
                <w:sz w:val="20"/>
                <w:szCs w:val="20"/>
              </w:rPr>
              <w:t>20</w:t>
            </w:r>
          </w:p>
        </w:tc>
        <w:tc>
          <w:tcPr>
            <w:tcW w:w="2096" w:type="pct"/>
            <w:gridSpan w:val="2"/>
            <w:tcBorders>
              <w:top w:val="single" w:sz="4" w:space="0" w:color="auto"/>
              <w:left w:val="single" w:sz="4" w:space="0" w:color="auto"/>
              <w:bottom w:val="single" w:sz="4" w:space="0" w:color="auto"/>
              <w:right w:val="single" w:sz="4" w:space="0" w:color="auto"/>
            </w:tcBorders>
            <w:vAlign w:val="center"/>
          </w:tcPr>
          <w:p w14:paraId="4B64FF1B" w14:textId="5168FFA8" w:rsidR="13966AEE" w:rsidRPr="002E333D" w:rsidRDefault="002E333D" w:rsidP="000A5389">
            <w:pPr>
              <w:spacing w:line="240" w:lineRule="auto"/>
              <w:rPr>
                <w:sz w:val="20"/>
                <w:szCs w:val="20"/>
              </w:rPr>
            </w:pPr>
            <w:r w:rsidRPr="002E333D">
              <w:rPr>
                <w:rFonts w:eastAsia="Times New Roman" w:cs="Times New Roman"/>
                <w:color w:val="000000" w:themeColor="text1"/>
                <w:sz w:val="20"/>
                <w:szCs w:val="20"/>
              </w:rPr>
              <w:t>Sisga - El Secreto</w:t>
            </w:r>
          </w:p>
        </w:tc>
        <w:tc>
          <w:tcPr>
            <w:tcW w:w="883" w:type="pct"/>
            <w:tcBorders>
              <w:top w:val="single" w:sz="4" w:space="0" w:color="auto"/>
              <w:left w:val="single" w:sz="4" w:space="0" w:color="auto"/>
              <w:bottom w:val="single" w:sz="4" w:space="0" w:color="auto"/>
              <w:right w:val="single" w:sz="4" w:space="0" w:color="auto"/>
            </w:tcBorders>
            <w:vAlign w:val="center"/>
          </w:tcPr>
          <w:p w14:paraId="630A2E25" w14:textId="5CA1C906" w:rsidR="13966AEE" w:rsidRPr="002E333D" w:rsidRDefault="13966AEE" w:rsidP="000A5389">
            <w:pPr>
              <w:spacing w:line="240" w:lineRule="auto"/>
              <w:jc w:val="center"/>
              <w:rPr>
                <w:sz w:val="20"/>
                <w:szCs w:val="20"/>
              </w:rPr>
            </w:pPr>
            <w:r w:rsidRPr="002E333D">
              <w:rPr>
                <w:rFonts w:eastAsia="Times New Roman" w:cs="Times New Roman"/>
                <w:color w:val="000000" w:themeColor="text1"/>
                <w:sz w:val="20"/>
                <w:szCs w:val="20"/>
              </w:rPr>
              <w:t>009-2015</w:t>
            </w:r>
          </w:p>
        </w:tc>
        <w:tc>
          <w:tcPr>
            <w:tcW w:w="1470" w:type="pct"/>
            <w:tcBorders>
              <w:top w:val="single" w:sz="4" w:space="0" w:color="auto"/>
              <w:left w:val="single" w:sz="4" w:space="0" w:color="auto"/>
              <w:bottom w:val="single" w:sz="4" w:space="0" w:color="auto"/>
              <w:right w:val="single" w:sz="4" w:space="0" w:color="auto"/>
            </w:tcBorders>
            <w:vAlign w:val="center"/>
          </w:tcPr>
          <w:p w14:paraId="2A6445AF" w14:textId="044813BC" w:rsidR="13966AEE" w:rsidRPr="002E333D" w:rsidRDefault="13966AEE" w:rsidP="002E333D">
            <w:pPr>
              <w:spacing w:line="240" w:lineRule="auto"/>
              <w:jc w:val="right"/>
              <w:rPr>
                <w:sz w:val="20"/>
                <w:szCs w:val="20"/>
              </w:rPr>
            </w:pPr>
            <w:r w:rsidRPr="002E333D">
              <w:rPr>
                <w:rFonts w:eastAsia="Times New Roman" w:cs="Times New Roman"/>
                <w:color w:val="000000" w:themeColor="text1"/>
                <w:sz w:val="20"/>
                <w:szCs w:val="20"/>
              </w:rPr>
              <w:t>580.855.282</w:t>
            </w:r>
          </w:p>
        </w:tc>
      </w:tr>
      <w:tr w:rsidR="13966AEE" w:rsidRPr="002E333D" w14:paraId="38FF784E" w14:textId="77777777" w:rsidTr="00447B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6A0" w:firstRow="1" w:lastRow="0" w:firstColumn="1" w:lastColumn="0" w:noHBand="1" w:noVBand="1"/>
        </w:tblPrEx>
        <w:trPr>
          <w:trHeight w:val="340"/>
        </w:trPr>
        <w:tc>
          <w:tcPr>
            <w:tcW w:w="551" w:type="pct"/>
            <w:tcBorders>
              <w:top w:val="single" w:sz="4" w:space="0" w:color="auto"/>
              <w:left w:val="single" w:sz="4" w:space="0" w:color="auto"/>
              <w:bottom w:val="single" w:sz="4" w:space="0" w:color="auto"/>
              <w:right w:val="single" w:sz="4" w:space="0" w:color="auto"/>
            </w:tcBorders>
            <w:vAlign w:val="center"/>
          </w:tcPr>
          <w:p w14:paraId="7DDDF8E3" w14:textId="17240622" w:rsidR="13966AEE" w:rsidRPr="002E333D" w:rsidRDefault="13966AEE" w:rsidP="002E333D">
            <w:pPr>
              <w:spacing w:line="240" w:lineRule="auto"/>
              <w:jc w:val="center"/>
              <w:rPr>
                <w:sz w:val="20"/>
                <w:szCs w:val="20"/>
              </w:rPr>
            </w:pPr>
            <w:r w:rsidRPr="002E333D">
              <w:rPr>
                <w:rFonts w:eastAsia="Times New Roman" w:cs="Times New Roman"/>
                <w:color w:val="000000" w:themeColor="text1"/>
                <w:sz w:val="20"/>
                <w:szCs w:val="20"/>
              </w:rPr>
              <w:t>21</w:t>
            </w:r>
          </w:p>
        </w:tc>
        <w:tc>
          <w:tcPr>
            <w:tcW w:w="2096" w:type="pct"/>
            <w:gridSpan w:val="2"/>
            <w:tcBorders>
              <w:top w:val="single" w:sz="4" w:space="0" w:color="auto"/>
              <w:left w:val="single" w:sz="4" w:space="0" w:color="auto"/>
              <w:bottom w:val="single" w:sz="4" w:space="0" w:color="auto"/>
              <w:right w:val="single" w:sz="4" w:space="0" w:color="auto"/>
            </w:tcBorders>
            <w:vAlign w:val="center"/>
          </w:tcPr>
          <w:p w14:paraId="2B248391" w14:textId="5110B998" w:rsidR="13966AEE" w:rsidRPr="002E333D" w:rsidRDefault="002E333D" w:rsidP="000A5389">
            <w:pPr>
              <w:spacing w:line="240" w:lineRule="auto"/>
              <w:rPr>
                <w:sz w:val="20"/>
                <w:szCs w:val="20"/>
              </w:rPr>
            </w:pPr>
            <w:r w:rsidRPr="002E333D">
              <w:rPr>
                <w:rFonts w:eastAsia="Times New Roman" w:cs="Times New Roman"/>
                <w:color w:val="000000" w:themeColor="text1"/>
                <w:sz w:val="20"/>
                <w:szCs w:val="20"/>
              </w:rPr>
              <w:t xml:space="preserve">Perimetral De Oriente </w:t>
            </w:r>
          </w:p>
        </w:tc>
        <w:tc>
          <w:tcPr>
            <w:tcW w:w="883" w:type="pct"/>
            <w:tcBorders>
              <w:top w:val="single" w:sz="4" w:space="0" w:color="auto"/>
              <w:left w:val="single" w:sz="4" w:space="0" w:color="auto"/>
              <w:bottom w:val="single" w:sz="4" w:space="0" w:color="auto"/>
              <w:right w:val="single" w:sz="4" w:space="0" w:color="auto"/>
            </w:tcBorders>
            <w:vAlign w:val="center"/>
          </w:tcPr>
          <w:p w14:paraId="019B6E06" w14:textId="3DCF0672" w:rsidR="13966AEE" w:rsidRPr="002E333D" w:rsidRDefault="13966AEE" w:rsidP="000A5389">
            <w:pPr>
              <w:spacing w:line="240" w:lineRule="auto"/>
              <w:jc w:val="center"/>
              <w:rPr>
                <w:sz w:val="20"/>
                <w:szCs w:val="20"/>
              </w:rPr>
            </w:pPr>
            <w:r w:rsidRPr="002E333D">
              <w:rPr>
                <w:rFonts w:eastAsia="Times New Roman" w:cs="Times New Roman"/>
                <w:color w:val="000000" w:themeColor="text1"/>
                <w:sz w:val="20"/>
                <w:szCs w:val="20"/>
              </w:rPr>
              <w:t>002-2014</w:t>
            </w:r>
          </w:p>
        </w:tc>
        <w:tc>
          <w:tcPr>
            <w:tcW w:w="1470" w:type="pct"/>
            <w:tcBorders>
              <w:top w:val="single" w:sz="4" w:space="0" w:color="auto"/>
              <w:left w:val="single" w:sz="4" w:space="0" w:color="auto"/>
              <w:bottom w:val="single" w:sz="4" w:space="0" w:color="auto"/>
              <w:right w:val="single" w:sz="4" w:space="0" w:color="auto"/>
            </w:tcBorders>
            <w:vAlign w:val="center"/>
          </w:tcPr>
          <w:p w14:paraId="366CC630" w14:textId="61688835" w:rsidR="13966AEE" w:rsidRPr="002E333D" w:rsidRDefault="13966AEE" w:rsidP="002E333D">
            <w:pPr>
              <w:spacing w:line="240" w:lineRule="auto"/>
              <w:jc w:val="right"/>
              <w:rPr>
                <w:sz w:val="20"/>
                <w:szCs w:val="20"/>
              </w:rPr>
            </w:pPr>
            <w:r w:rsidRPr="002E333D">
              <w:rPr>
                <w:rFonts w:eastAsia="Times New Roman" w:cs="Times New Roman"/>
                <w:color w:val="000000" w:themeColor="text1"/>
                <w:sz w:val="20"/>
                <w:szCs w:val="20"/>
              </w:rPr>
              <w:t>522.920.282</w:t>
            </w:r>
          </w:p>
        </w:tc>
      </w:tr>
      <w:tr w:rsidR="13966AEE" w:rsidRPr="002E333D" w14:paraId="177DA682" w14:textId="77777777" w:rsidTr="00447B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6A0" w:firstRow="1" w:lastRow="0" w:firstColumn="1" w:lastColumn="0" w:noHBand="1" w:noVBand="1"/>
        </w:tblPrEx>
        <w:trPr>
          <w:trHeight w:val="340"/>
        </w:trPr>
        <w:tc>
          <w:tcPr>
            <w:tcW w:w="551" w:type="pct"/>
            <w:tcBorders>
              <w:top w:val="single" w:sz="4" w:space="0" w:color="auto"/>
              <w:left w:val="single" w:sz="4" w:space="0" w:color="auto"/>
              <w:bottom w:val="single" w:sz="4" w:space="0" w:color="auto"/>
              <w:right w:val="single" w:sz="4" w:space="0" w:color="auto"/>
            </w:tcBorders>
            <w:vAlign w:val="center"/>
          </w:tcPr>
          <w:p w14:paraId="6F637581" w14:textId="632BC674" w:rsidR="13966AEE" w:rsidRPr="002E333D" w:rsidRDefault="13966AEE" w:rsidP="002E333D">
            <w:pPr>
              <w:spacing w:line="240" w:lineRule="auto"/>
              <w:jc w:val="center"/>
              <w:rPr>
                <w:sz w:val="20"/>
                <w:szCs w:val="20"/>
              </w:rPr>
            </w:pPr>
            <w:r w:rsidRPr="002E333D">
              <w:rPr>
                <w:rFonts w:eastAsia="Times New Roman" w:cs="Times New Roman"/>
                <w:color w:val="000000" w:themeColor="text1"/>
                <w:sz w:val="20"/>
                <w:szCs w:val="20"/>
              </w:rPr>
              <w:t>22</w:t>
            </w:r>
          </w:p>
        </w:tc>
        <w:tc>
          <w:tcPr>
            <w:tcW w:w="2096" w:type="pct"/>
            <w:gridSpan w:val="2"/>
            <w:tcBorders>
              <w:top w:val="single" w:sz="4" w:space="0" w:color="auto"/>
              <w:left w:val="single" w:sz="4" w:space="0" w:color="auto"/>
              <w:bottom w:val="single" w:sz="4" w:space="0" w:color="auto"/>
              <w:right w:val="single" w:sz="4" w:space="0" w:color="auto"/>
            </w:tcBorders>
            <w:vAlign w:val="center"/>
          </w:tcPr>
          <w:p w14:paraId="79CCE50E" w14:textId="44D0E3D0" w:rsidR="13966AEE" w:rsidRPr="002E333D" w:rsidRDefault="002E333D" w:rsidP="000A5389">
            <w:pPr>
              <w:spacing w:line="240" w:lineRule="auto"/>
              <w:rPr>
                <w:sz w:val="20"/>
                <w:szCs w:val="20"/>
              </w:rPr>
            </w:pPr>
            <w:r w:rsidRPr="002E333D">
              <w:rPr>
                <w:rFonts w:eastAsia="Times New Roman" w:cs="Times New Roman"/>
                <w:sz w:val="20"/>
                <w:szCs w:val="20"/>
              </w:rPr>
              <w:t>Honda - Puerto Salgar - Girardot</w:t>
            </w:r>
          </w:p>
        </w:tc>
        <w:tc>
          <w:tcPr>
            <w:tcW w:w="883" w:type="pct"/>
            <w:tcBorders>
              <w:top w:val="single" w:sz="4" w:space="0" w:color="auto"/>
              <w:left w:val="single" w:sz="4" w:space="0" w:color="auto"/>
              <w:bottom w:val="single" w:sz="4" w:space="0" w:color="auto"/>
              <w:right w:val="single" w:sz="4" w:space="0" w:color="auto"/>
            </w:tcBorders>
            <w:vAlign w:val="center"/>
          </w:tcPr>
          <w:p w14:paraId="36D203F7" w14:textId="3FE6EEEC" w:rsidR="13966AEE" w:rsidRPr="002E333D" w:rsidRDefault="13966AEE" w:rsidP="000A5389">
            <w:pPr>
              <w:spacing w:line="240" w:lineRule="auto"/>
              <w:jc w:val="center"/>
              <w:rPr>
                <w:sz w:val="20"/>
                <w:szCs w:val="20"/>
              </w:rPr>
            </w:pPr>
            <w:r w:rsidRPr="002E333D">
              <w:rPr>
                <w:rFonts w:eastAsia="Times New Roman" w:cs="Times New Roman"/>
                <w:color w:val="000000" w:themeColor="text1"/>
                <w:sz w:val="20"/>
                <w:szCs w:val="20"/>
              </w:rPr>
              <w:t>003-2014</w:t>
            </w:r>
          </w:p>
        </w:tc>
        <w:tc>
          <w:tcPr>
            <w:tcW w:w="1470" w:type="pct"/>
            <w:tcBorders>
              <w:top w:val="single" w:sz="4" w:space="0" w:color="auto"/>
              <w:left w:val="single" w:sz="4" w:space="0" w:color="auto"/>
              <w:bottom w:val="single" w:sz="4" w:space="0" w:color="auto"/>
              <w:right w:val="single" w:sz="4" w:space="0" w:color="auto"/>
            </w:tcBorders>
            <w:vAlign w:val="center"/>
          </w:tcPr>
          <w:p w14:paraId="43D24805" w14:textId="12F78C08" w:rsidR="13966AEE" w:rsidRPr="002E333D" w:rsidRDefault="13966AEE" w:rsidP="002E333D">
            <w:pPr>
              <w:spacing w:line="240" w:lineRule="auto"/>
              <w:jc w:val="right"/>
              <w:rPr>
                <w:sz w:val="20"/>
                <w:szCs w:val="20"/>
              </w:rPr>
            </w:pPr>
            <w:r w:rsidRPr="002E333D">
              <w:rPr>
                <w:rFonts w:eastAsia="Times New Roman" w:cs="Times New Roman"/>
                <w:color w:val="000000" w:themeColor="text1"/>
                <w:sz w:val="20"/>
                <w:szCs w:val="20"/>
              </w:rPr>
              <w:t>503.675.112</w:t>
            </w:r>
          </w:p>
        </w:tc>
      </w:tr>
      <w:tr w:rsidR="13966AEE" w:rsidRPr="002E333D" w14:paraId="0E91E860" w14:textId="77777777" w:rsidTr="00447B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6A0" w:firstRow="1" w:lastRow="0" w:firstColumn="1" w:lastColumn="0" w:noHBand="1" w:noVBand="1"/>
        </w:tblPrEx>
        <w:trPr>
          <w:trHeight w:val="340"/>
        </w:trPr>
        <w:tc>
          <w:tcPr>
            <w:tcW w:w="551" w:type="pct"/>
            <w:tcBorders>
              <w:top w:val="single" w:sz="4" w:space="0" w:color="auto"/>
              <w:left w:val="single" w:sz="4" w:space="0" w:color="auto"/>
              <w:bottom w:val="single" w:sz="4" w:space="0" w:color="auto"/>
              <w:right w:val="single" w:sz="4" w:space="0" w:color="auto"/>
            </w:tcBorders>
            <w:vAlign w:val="center"/>
          </w:tcPr>
          <w:p w14:paraId="08B0D6A1" w14:textId="2AA42BA0" w:rsidR="13966AEE" w:rsidRPr="002E333D" w:rsidRDefault="13966AEE" w:rsidP="002E333D">
            <w:pPr>
              <w:spacing w:line="240" w:lineRule="auto"/>
              <w:jc w:val="center"/>
              <w:rPr>
                <w:sz w:val="20"/>
                <w:szCs w:val="20"/>
              </w:rPr>
            </w:pPr>
            <w:r w:rsidRPr="002E333D">
              <w:rPr>
                <w:rFonts w:eastAsia="Times New Roman" w:cs="Times New Roman"/>
                <w:color w:val="000000" w:themeColor="text1"/>
                <w:sz w:val="20"/>
                <w:szCs w:val="20"/>
              </w:rPr>
              <w:t>23</w:t>
            </w:r>
          </w:p>
        </w:tc>
        <w:tc>
          <w:tcPr>
            <w:tcW w:w="2096" w:type="pct"/>
            <w:gridSpan w:val="2"/>
            <w:tcBorders>
              <w:top w:val="single" w:sz="4" w:space="0" w:color="auto"/>
              <w:left w:val="single" w:sz="4" w:space="0" w:color="auto"/>
              <w:bottom w:val="single" w:sz="4" w:space="0" w:color="auto"/>
              <w:right w:val="single" w:sz="4" w:space="0" w:color="auto"/>
            </w:tcBorders>
            <w:vAlign w:val="center"/>
          </w:tcPr>
          <w:p w14:paraId="7EEDC207" w14:textId="20740174" w:rsidR="13966AEE" w:rsidRPr="002E333D" w:rsidRDefault="002E333D" w:rsidP="000A5389">
            <w:pPr>
              <w:spacing w:line="240" w:lineRule="auto"/>
              <w:rPr>
                <w:sz w:val="20"/>
                <w:szCs w:val="20"/>
              </w:rPr>
            </w:pPr>
            <w:r w:rsidRPr="002E333D">
              <w:rPr>
                <w:rFonts w:eastAsia="Times New Roman" w:cs="Times New Roman"/>
                <w:color w:val="000000" w:themeColor="text1"/>
                <w:sz w:val="20"/>
                <w:szCs w:val="20"/>
              </w:rPr>
              <w:t>Autopista Al Mar 1</w:t>
            </w:r>
          </w:p>
        </w:tc>
        <w:tc>
          <w:tcPr>
            <w:tcW w:w="883" w:type="pct"/>
            <w:tcBorders>
              <w:top w:val="single" w:sz="4" w:space="0" w:color="auto"/>
              <w:left w:val="single" w:sz="4" w:space="0" w:color="auto"/>
              <w:bottom w:val="single" w:sz="4" w:space="0" w:color="auto"/>
              <w:right w:val="single" w:sz="4" w:space="0" w:color="auto"/>
            </w:tcBorders>
            <w:vAlign w:val="center"/>
          </w:tcPr>
          <w:p w14:paraId="667857A3" w14:textId="1C7F661F" w:rsidR="13966AEE" w:rsidRPr="002E333D" w:rsidRDefault="13966AEE" w:rsidP="000A5389">
            <w:pPr>
              <w:spacing w:line="240" w:lineRule="auto"/>
              <w:jc w:val="center"/>
              <w:rPr>
                <w:sz w:val="20"/>
                <w:szCs w:val="20"/>
              </w:rPr>
            </w:pPr>
            <w:r w:rsidRPr="002E333D">
              <w:rPr>
                <w:rFonts w:eastAsia="Times New Roman" w:cs="Times New Roman"/>
                <w:color w:val="000000" w:themeColor="text1"/>
                <w:sz w:val="20"/>
                <w:szCs w:val="20"/>
              </w:rPr>
              <w:t>014-2015</w:t>
            </w:r>
          </w:p>
        </w:tc>
        <w:tc>
          <w:tcPr>
            <w:tcW w:w="1470" w:type="pct"/>
            <w:tcBorders>
              <w:top w:val="single" w:sz="4" w:space="0" w:color="auto"/>
              <w:left w:val="single" w:sz="4" w:space="0" w:color="auto"/>
              <w:bottom w:val="single" w:sz="4" w:space="0" w:color="auto"/>
              <w:right w:val="single" w:sz="4" w:space="0" w:color="auto"/>
            </w:tcBorders>
            <w:vAlign w:val="center"/>
          </w:tcPr>
          <w:p w14:paraId="01771351" w14:textId="2C79D2BF" w:rsidR="13966AEE" w:rsidRPr="002E333D" w:rsidRDefault="13966AEE" w:rsidP="002E333D">
            <w:pPr>
              <w:spacing w:line="240" w:lineRule="auto"/>
              <w:jc w:val="right"/>
              <w:rPr>
                <w:sz w:val="20"/>
                <w:szCs w:val="20"/>
              </w:rPr>
            </w:pPr>
            <w:r w:rsidRPr="002E333D">
              <w:rPr>
                <w:rFonts w:eastAsia="Times New Roman" w:cs="Times New Roman"/>
                <w:color w:val="000000" w:themeColor="text1"/>
                <w:sz w:val="20"/>
                <w:szCs w:val="20"/>
              </w:rPr>
              <w:t>414.636.572</w:t>
            </w:r>
          </w:p>
        </w:tc>
      </w:tr>
      <w:tr w:rsidR="13966AEE" w:rsidRPr="002E333D" w14:paraId="64C818DA" w14:textId="77777777" w:rsidTr="00447B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6A0" w:firstRow="1" w:lastRow="0" w:firstColumn="1" w:lastColumn="0" w:noHBand="1" w:noVBand="1"/>
        </w:tblPrEx>
        <w:trPr>
          <w:trHeight w:val="340"/>
        </w:trPr>
        <w:tc>
          <w:tcPr>
            <w:tcW w:w="551" w:type="pct"/>
            <w:tcBorders>
              <w:top w:val="single" w:sz="4" w:space="0" w:color="auto"/>
              <w:left w:val="single" w:sz="4" w:space="0" w:color="auto"/>
              <w:bottom w:val="single" w:sz="4" w:space="0" w:color="auto"/>
              <w:right w:val="single" w:sz="4" w:space="0" w:color="auto"/>
            </w:tcBorders>
            <w:vAlign w:val="center"/>
          </w:tcPr>
          <w:p w14:paraId="7BCD3C68" w14:textId="2A22E355" w:rsidR="13966AEE" w:rsidRPr="002E333D" w:rsidRDefault="13966AEE" w:rsidP="002E333D">
            <w:pPr>
              <w:spacing w:line="240" w:lineRule="auto"/>
              <w:jc w:val="center"/>
              <w:rPr>
                <w:sz w:val="20"/>
                <w:szCs w:val="20"/>
              </w:rPr>
            </w:pPr>
            <w:r w:rsidRPr="002E333D">
              <w:rPr>
                <w:rFonts w:eastAsia="Times New Roman" w:cs="Times New Roman"/>
                <w:color w:val="000000" w:themeColor="text1"/>
                <w:sz w:val="20"/>
                <w:szCs w:val="20"/>
              </w:rPr>
              <w:t>24</w:t>
            </w:r>
          </w:p>
        </w:tc>
        <w:tc>
          <w:tcPr>
            <w:tcW w:w="2096" w:type="pct"/>
            <w:gridSpan w:val="2"/>
            <w:tcBorders>
              <w:top w:val="single" w:sz="4" w:space="0" w:color="auto"/>
              <w:left w:val="single" w:sz="4" w:space="0" w:color="auto"/>
              <w:bottom w:val="single" w:sz="4" w:space="0" w:color="auto"/>
              <w:right w:val="single" w:sz="4" w:space="0" w:color="auto"/>
            </w:tcBorders>
            <w:vAlign w:val="center"/>
          </w:tcPr>
          <w:p w14:paraId="0E1F7153" w14:textId="4CD953DC" w:rsidR="13966AEE" w:rsidRPr="002E333D" w:rsidRDefault="002E333D" w:rsidP="000A5389">
            <w:pPr>
              <w:spacing w:line="240" w:lineRule="auto"/>
              <w:rPr>
                <w:sz w:val="20"/>
                <w:szCs w:val="20"/>
              </w:rPr>
            </w:pPr>
            <w:r w:rsidRPr="002E333D">
              <w:rPr>
                <w:rFonts w:eastAsia="Times New Roman" w:cs="Times New Roman"/>
                <w:color w:val="000000" w:themeColor="text1"/>
                <w:sz w:val="20"/>
                <w:szCs w:val="20"/>
              </w:rPr>
              <w:t>Autopista Conexión Pacifico 3</w:t>
            </w:r>
          </w:p>
        </w:tc>
        <w:tc>
          <w:tcPr>
            <w:tcW w:w="883" w:type="pct"/>
            <w:tcBorders>
              <w:top w:val="single" w:sz="4" w:space="0" w:color="auto"/>
              <w:left w:val="single" w:sz="4" w:space="0" w:color="auto"/>
              <w:bottom w:val="single" w:sz="4" w:space="0" w:color="auto"/>
              <w:right w:val="single" w:sz="4" w:space="0" w:color="auto"/>
            </w:tcBorders>
            <w:vAlign w:val="center"/>
          </w:tcPr>
          <w:p w14:paraId="254D8A83" w14:textId="17C339C7" w:rsidR="13966AEE" w:rsidRPr="002E333D" w:rsidRDefault="13966AEE" w:rsidP="000A5389">
            <w:pPr>
              <w:spacing w:line="240" w:lineRule="auto"/>
              <w:jc w:val="center"/>
              <w:rPr>
                <w:sz w:val="20"/>
                <w:szCs w:val="20"/>
              </w:rPr>
            </w:pPr>
            <w:r w:rsidRPr="002E333D">
              <w:rPr>
                <w:rFonts w:eastAsia="Times New Roman" w:cs="Times New Roman"/>
                <w:color w:val="000000" w:themeColor="text1"/>
                <w:sz w:val="20"/>
                <w:szCs w:val="20"/>
              </w:rPr>
              <w:t>005-2014</w:t>
            </w:r>
          </w:p>
        </w:tc>
        <w:tc>
          <w:tcPr>
            <w:tcW w:w="1470" w:type="pct"/>
            <w:tcBorders>
              <w:top w:val="single" w:sz="4" w:space="0" w:color="auto"/>
              <w:left w:val="single" w:sz="4" w:space="0" w:color="auto"/>
              <w:bottom w:val="single" w:sz="4" w:space="0" w:color="auto"/>
              <w:right w:val="single" w:sz="4" w:space="0" w:color="auto"/>
            </w:tcBorders>
            <w:vAlign w:val="center"/>
          </w:tcPr>
          <w:p w14:paraId="100E0742" w14:textId="34F315AA" w:rsidR="13966AEE" w:rsidRPr="002E333D" w:rsidRDefault="13966AEE" w:rsidP="002E333D">
            <w:pPr>
              <w:spacing w:line="240" w:lineRule="auto"/>
              <w:jc w:val="right"/>
              <w:rPr>
                <w:sz w:val="20"/>
                <w:szCs w:val="20"/>
              </w:rPr>
            </w:pPr>
            <w:r w:rsidRPr="002E333D">
              <w:rPr>
                <w:rFonts w:eastAsia="Times New Roman" w:cs="Times New Roman"/>
                <w:color w:val="000000" w:themeColor="text1"/>
                <w:sz w:val="20"/>
                <w:szCs w:val="20"/>
              </w:rPr>
              <w:t>286.298.863</w:t>
            </w:r>
          </w:p>
        </w:tc>
      </w:tr>
      <w:tr w:rsidR="13966AEE" w:rsidRPr="002E333D" w14:paraId="576156FA" w14:textId="77777777" w:rsidTr="00447B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6A0" w:firstRow="1" w:lastRow="0" w:firstColumn="1" w:lastColumn="0" w:noHBand="1" w:noVBand="1"/>
        </w:tblPrEx>
        <w:trPr>
          <w:trHeight w:val="340"/>
        </w:trPr>
        <w:tc>
          <w:tcPr>
            <w:tcW w:w="551" w:type="pct"/>
            <w:tcBorders>
              <w:top w:val="single" w:sz="4" w:space="0" w:color="auto"/>
              <w:left w:val="single" w:sz="4" w:space="0" w:color="auto"/>
              <w:bottom w:val="single" w:sz="4" w:space="0" w:color="auto"/>
              <w:right w:val="single" w:sz="4" w:space="0" w:color="auto"/>
            </w:tcBorders>
            <w:vAlign w:val="center"/>
          </w:tcPr>
          <w:p w14:paraId="48FF6E88" w14:textId="5725D37A" w:rsidR="13966AEE" w:rsidRPr="002E333D" w:rsidRDefault="13966AEE" w:rsidP="002E333D">
            <w:pPr>
              <w:spacing w:line="240" w:lineRule="auto"/>
              <w:jc w:val="center"/>
              <w:rPr>
                <w:sz w:val="20"/>
                <w:szCs w:val="20"/>
              </w:rPr>
            </w:pPr>
            <w:r w:rsidRPr="002E333D">
              <w:rPr>
                <w:rFonts w:eastAsia="Times New Roman" w:cs="Times New Roman"/>
                <w:color w:val="000000" w:themeColor="text1"/>
                <w:sz w:val="20"/>
                <w:szCs w:val="20"/>
              </w:rPr>
              <w:t>25</w:t>
            </w:r>
          </w:p>
        </w:tc>
        <w:tc>
          <w:tcPr>
            <w:tcW w:w="2096" w:type="pct"/>
            <w:gridSpan w:val="2"/>
            <w:tcBorders>
              <w:top w:val="single" w:sz="4" w:space="0" w:color="auto"/>
              <w:left w:val="single" w:sz="4" w:space="0" w:color="auto"/>
              <w:bottom w:val="single" w:sz="4" w:space="0" w:color="auto"/>
              <w:right w:val="single" w:sz="4" w:space="0" w:color="auto"/>
            </w:tcBorders>
            <w:vAlign w:val="center"/>
          </w:tcPr>
          <w:p w14:paraId="61F201C1" w14:textId="7FE049F0" w:rsidR="13966AEE" w:rsidRPr="002E333D" w:rsidRDefault="002E333D" w:rsidP="000A5389">
            <w:pPr>
              <w:spacing w:line="240" w:lineRule="auto"/>
              <w:rPr>
                <w:sz w:val="20"/>
                <w:szCs w:val="20"/>
              </w:rPr>
            </w:pPr>
            <w:r w:rsidRPr="002E333D">
              <w:rPr>
                <w:rFonts w:eastAsia="Times New Roman" w:cs="Times New Roman"/>
                <w:color w:val="000000" w:themeColor="text1"/>
                <w:sz w:val="20"/>
                <w:szCs w:val="20"/>
              </w:rPr>
              <w:t>Santana- Mocoa - Neiva</w:t>
            </w:r>
          </w:p>
        </w:tc>
        <w:tc>
          <w:tcPr>
            <w:tcW w:w="883" w:type="pct"/>
            <w:tcBorders>
              <w:top w:val="single" w:sz="4" w:space="0" w:color="auto"/>
              <w:left w:val="single" w:sz="4" w:space="0" w:color="auto"/>
              <w:bottom w:val="single" w:sz="4" w:space="0" w:color="auto"/>
              <w:right w:val="single" w:sz="4" w:space="0" w:color="auto"/>
            </w:tcBorders>
            <w:vAlign w:val="center"/>
          </w:tcPr>
          <w:p w14:paraId="0B7A2939" w14:textId="2F8CA008" w:rsidR="13966AEE" w:rsidRPr="002E333D" w:rsidRDefault="13966AEE" w:rsidP="000A5389">
            <w:pPr>
              <w:spacing w:line="240" w:lineRule="auto"/>
              <w:jc w:val="center"/>
              <w:rPr>
                <w:sz w:val="20"/>
                <w:szCs w:val="20"/>
              </w:rPr>
            </w:pPr>
            <w:r w:rsidRPr="002E333D">
              <w:rPr>
                <w:rFonts w:eastAsia="Times New Roman" w:cs="Times New Roman"/>
                <w:color w:val="000000" w:themeColor="text1"/>
                <w:sz w:val="20"/>
                <w:szCs w:val="20"/>
              </w:rPr>
              <w:t>012-2015</w:t>
            </w:r>
          </w:p>
        </w:tc>
        <w:tc>
          <w:tcPr>
            <w:tcW w:w="1470" w:type="pct"/>
            <w:tcBorders>
              <w:top w:val="single" w:sz="4" w:space="0" w:color="auto"/>
              <w:left w:val="single" w:sz="4" w:space="0" w:color="auto"/>
              <w:bottom w:val="single" w:sz="4" w:space="0" w:color="auto"/>
              <w:right w:val="single" w:sz="4" w:space="0" w:color="auto"/>
            </w:tcBorders>
            <w:vAlign w:val="center"/>
          </w:tcPr>
          <w:p w14:paraId="0C544303" w14:textId="5BDE2AA4" w:rsidR="13966AEE" w:rsidRPr="002E333D" w:rsidRDefault="13966AEE" w:rsidP="002E333D">
            <w:pPr>
              <w:spacing w:line="240" w:lineRule="auto"/>
              <w:jc w:val="right"/>
              <w:rPr>
                <w:sz w:val="20"/>
                <w:szCs w:val="20"/>
              </w:rPr>
            </w:pPr>
            <w:r w:rsidRPr="002E333D">
              <w:rPr>
                <w:rFonts w:eastAsia="Times New Roman" w:cs="Times New Roman"/>
                <w:color w:val="000000" w:themeColor="text1"/>
                <w:sz w:val="20"/>
                <w:szCs w:val="20"/>
              </w:rPr>
              <w:t>229.497.969</w:t>
            </w:r>
          </w:p>
        </w:tc>
      </w:tr>
      <w:tr w:rsidR="13966AEE" w:rsidRPr="002E333D" w14:paraId="35DD6C7A" w14:textId="77777777" w:rsidTr="00447B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6A0" w:firstRow="1" w:lastRow="0" w:firstColumn="1" w:lastColumn="0" w:noHBand="1" w:noVBand="1"/>
        </w:tblPrEx>
        <w:trPr>
          <w:trHeight w:val="340"/>
        </w:trPr>
        <w:tc>
          <w:tcPr>
            <w:tcW w:w="551" w:type="pct"/>
            <w:tcBorders>
              <w:top w:val="single" w:sz="4" w:space="0" w:color="auto"/>
              <w:left w:val="single" w:sz="4" w:space="0" w:color="auto"/>
              <w:bottom w:val="single" w:sz="4" w:space="0" w:color="auto"/>
              <w:right w:val="single" w:sz="4" w:space="0" w:color="auto"/>
            </w:tcBorders>
            <w:vAlign w:val="center"/>
          </w:tcPr>
          <w:p w14:paraId="50958ED5" w14:textId="39303573" w:rsidR="13966AEE" w:rsidRPr="002E333D" w:rsidRDefault="13966AEE" w:rsidP="002E333D">
            <w:pPr>
              <w:spacing w:line="240" w:lineRule="auto"/>
              <w:jc w:val="center"/>
              <w:rPr>
                <w:sz w:val="20"/>
                <w:szCs w:val="20"/>
              </w:rPr>
            </w:pPr>
            <w:r w:rsidRPr="002E333D">
              <w:rPr>
                <w:rFonts w:eastAsia="Times New Roman" w:cs="Times New Roman"/>
                <w:color w:val="000000" w:themeColor="text1"/>
                <w:sz w:val="20"/>
                <w:szCs w:val="20"/>
              </w:rPr>
              <w:t>26</w:t>
            </w:r>
          </w:p>
        </w:tc>
        <w:tc>
          <w:tcPr>
            <w:tcW w:w="2096" w:type="pct"/>
            <w:gridSpan w:val="2"/>
            <w:tcBorders>
              <w:top w:val="single" w:sz="4" w:space="0" w:color="auto"/>
              <w:left w:val="single" w:sz="4" w:space="0" w:color="auto"/>
              <w:bottom w:val="single" w:sz="4" w:space="0" w:color="auto"/>
              <w:right w:val="single" w:sz="4" w:space="0" w:color="auto"/>
            </w:tcBorders>
            <w:vAlign w:val="center"/>
          </w:tcPr>
          <w:p w14:paraId="4A5863B9" w14:textId="3220F603" w:rsidR="13966AEE" w:rsidRPr="002E333D" w:rsidRDefault="13966AEE" w:rsidP="000A5389">
            <w:pPr>
              <w:spacing w:line="240" w:lineRule="auto"/>
              <w:rPr>
                <w:sz w:val="20"/>
                <w:szCs w:val="20"/>
              </w:rPr>
            </w:pPr>
            <w:r w:rsidRPr="002E333D">
              <w:rPr>
                <w:rFonts w:eastAsia="Times New Roman" w:cs="Times New Roman"/>
                <w:color w:val="000000" w:themeColor="text1"/>
                <w:sz w:val="20"/>
                <w:szCs w:val="20"/>
              </w:rPr>
              <w:t xml:space="preserve">Malla Vial </w:t>
            </w:r>
            <w:r w:rsidR="002E333D" w:rsidRPr="002E333D">
              <w:rPr>
                <w:rFonts w:eastAsia="Times New Roman" w:cs="Times New Roman"/>
                <w:color w:val="000000" w:themeColor="text1"/>
                <w:sz w:val="20"/>
                <w:szCs w:val="20"/>
              </w:rPr>
              <w:t xml:space="preserve">Del </w:t>
            </w:r>
            <w:r w:rsidRPr="002E333D">
              <w:rPr>
                <w:rFonts w:eastAsia="Times New Roman" w:cs="Times New Roman"/>
                <w:color w:val="000000" w:themeColor="text1"/>
                <w:sz w:val="20"/>
                <w:szCs w:val="20"/>
              </w:rPr>
              <w:t>Meta</w:t>
            </w:r>
          </w:p>
        </w:tc>
        <w:tc>
          <w:tcPr>
            <w:tcW w:w="883" w:type="pct"/>
            <w:tcBorders>
              <w:top w:val="single" w:sz="4" w:space="0" w:color="auto"/>
              <w:left w:val="single" w:sz="4" w:space="0" w:color="auto"/>
              <w:bottom w:val="single" w:sz="4" w:space="0" w:color="auto"/>
              <w:right w:val="single" w:sz="4" w:space="0" w:color="auto"/>
            </w:tcBorders>
            <w:vAlign w:val="center"/>
          </w:tcPr>
          <w:p w14:paraId="3C575878" w14:textId="141DB362" w:rsidR="13966AEE" w:rsidRPr="002E333D" w:rsidRDefault="13966AEE" w:rsidP="000A5389">
            <w:pPr>
              <w:spacing w:line="240" w:lineRule="auto"/>
              <w:jc w:val="center"/>
              <w:rPr>
                <w:sz w:val="20"/>
                <w:szCs w:val="20"/>
              </w:rPr>
            </w:pPr>
            <w:r w:rsidRPr="002E333D">
              <w:rPr>
                <w:rFonts w:eastAsia="Times New Roman" w:cs="Times New Roman"/>
                <w:color w:val="000000" w:themeColor="text1"/>
                <w:sz w:val="20"/>
                <w:szCs w:val="20"/>
              </w:rPr>
              <w:t>004/2015</w:t>
            </w:r>
          </w:p>
        </w:tc>
        <w:tc>
          <w:tcPr>
            <w:tcW w:w="1470" w:type="pct"/>
            <w:tcBorders>
              <w:top w:val="single" w:sz="4" w:space="0" w:color="auto"/>
              <w:left w:val="single" w:sz="4" w:space="0" w:color="auto"/>
              <w:bottom w:val="single" w:sz="4" w:space="0" w:color="auto"/>
              <w:right w:val="single" w:sz="4" w:space="0" w:color="auto"/>
            </w:tcBorders>
            <w:vAlign w:val="center"/>
          </w:tcPr>
          <w:p w14:paraId="72A23999" w14:textId="22AEF675" w:rsidR="13966AEE" w:rsidRPr="002E333D" w:rsidRDefault="13966AEE" w:rsidP="002E333D">
            <w:pPr>
              <w:spacing w:line="240" w:lineRule="auto"/>
              <w:jc w:val="right"/>
              <w:rPr>
                <w:sz w:val="20"/>
                <w:szCs w:val="20"/>
              </w:rPr>
            </w:pPr>
            <w:r w:rsidRPr="002E333D">
              <w:rPr>
                <w:rFonts w:eastAsia="Times New Roman" w:cs="Times New Roman"/>
                <w:color w:val="000000" w:themeColor="text1"/>
                <w:sz w:val="20"/>
                <w:szCs w:val="20"/>
              </w:rPr>
              <w:t>206.267.354</w:t>
            </w:r>
          </w:p>
        </w:tc>
      </w:tr>
      <w:tr w:rsidR="13966AEE" w:rsidRPr="002E333D" w14:paraId="50EC7103" w14:textId="77777777" w:rsidTr="00447B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6A0" w:firstRow="1" w:lastRow="0" w:firstColumn="1" w:lastColumn="0" w:noHBand="1" w:noVBand="1"/>
        </w:tblPrEx>
        <w:trPr>
          <w:trHeight w:val="340"/>
        </w:trPr>
        <w:tc>
          <w:tcPr>
            <w:tcW w:w="551" w:type="pct"/>
            <w:tcBorders>
              <w:top w:val="single" w:sz="4" w:space="0" w:color="auto"/>
              <w:left w:val="single" w:sz="4" w:space="0" w:color="auto"/>
              <w:bottom w:val="single" w:sz="4" w:space="0" w:color="auto"/>
              <w:right w:val="single" w:sz="4" w:space="0" w:color="auto"/>
            </w:tcBorders>
            <w:vAlign w:val="center"/>
          </w:tcPr>
          <w:p w14:paraId="7C0198A9" w14:textId="1D4E9B30" w:rsidR="13966AEE" w:rsidRPr="002E333D" w:rsidRDefault="13966AEE" w:rsidP="002E333D">
            <w:pPr>
              <w:spacing w:line="240" w:lineRule="auto"/>
              <w:jc w:val="center"/>
              <w:rPr>
                <w:sz w:val="20"/>
                <w:szCs w:val="20"/>
              </w:rPr>
            </w:pPr>
            <w:r w:rsidRPr="002E333D">
              <w:rPr>
                <w:rFonts w:eastAsia="Times New Roman" w:cs="Times New Roman"/>
                <w:color w:val="000000" w:themeColor="text1"/>
                <w:sz w:val="20"/>
                <w:szCs w:val="20"/>
              </w:rPr>
              <w:t>27</w:t>
            </w:r>
          </w:p>
        </w:tc>
        <w:tc>
          <w:tcPr>
            <w:tcW w:w="2096" w:type="pct"/>
            <w:gridSpan w:val="2"/>
            <w:tcBorders>
              <w:top w:val="single" w:sz="4" w:space="0" w:color="auto"/>
              <w:left w:val="single" w:sz="4" w:space="0" w:color="auto"/>
              <w:bottom w:val="single" w:sz="4" w:space="0" w:color="auto"/>
              <w:right w:val="single" w:sz="4" w:space="0" w:color="auto"/>
            </w:tcBorders>
            <w:vAlign w:val="center"/>
          </w:tcPr>
          <w:p w14:paraId="70BC2884" w14:textId="203187A6" w:rsidR="13966AEE" w:rsidRPr="002E333D" w:rsidRDefault="002E333D" w:rsidP="000A5389">
            <w:pPr>
              <w:spacing w:line="240" w:lineRule="auto"/>
              <w:rPr>
                <w:sz w:val="20"/>
                <w:szCs w:val="20"/>
              </w:rPr>
            </w:pPr>
            <w:r w:rsidRPr="002E333D">
              <w:rPr>
                <w:rFonts w:eastAsia="Times New Roman" w:cs="Times New Roman"/>
                <w:color w:val="000000" w:themeColor="text1"/>
                <w:sz w:val="20"/>
                <w:szCs w:val="20"/>
              </w:rPr>
              <w:t>Autopista Conexión Norte</w:t>
            </w:r>
          </w:p>
        </w:tc>
        <w:tc>
          <w:tcPr>
            <w:tcW w:w="883" w:type="pct"/>
            <w:tcBorders>
              <w:top w:val="single" w:sz="4" w:space="0" w:color="auto"/>
              <w:left w:val="single" w:sz="4" w:space="0" w:color="auto"/>
              <w:bottom w:val="single" w:sz="4" w:space="0" w:color="auto"/>
              <w:right w:val="single" w:sz="4" w:space="0" w:color="auto"/>
            </w:tcBorders>
            <w:vAlign w:val="center"/>
          </w:tcPr>
          <w:p w14:paraId="6CDF3B87" w14:textId="024F9246" w:rsidR="13966AEE" w:rsidRPr="002E333D" w:rsidRDefault="13966AEE" w:rsidP="000A5389">
            <w:pPr>
              <w:spacing w:line="240" w:lineRule="auto"/>
              <w:jc w:val="center"/>
              <w:rPr>
                <w:sz w:val="20"/>
                <w:szCs w:val="20"/>
              </w:rPr>
            </w:pPr>
            <w:r w:rsidRPr="002E333D">
              <w:rPr>
                <w:rFonts w:eastAsia="Times New Roman" w:cs="Times New Roman"/>
                <w:color w:val="000000" w:themeColor="text1"/>
                <w:sz w:val="20"/>
                <w:szCs w:val="20"/>
              </w:rPr>
              <w:t>009-2014</w:t>
            </w:r>
          </w:p>
        </w:tc>
        <w:tc>
          <w:tcPr>
            <w:tcW w:w="1470" w:type="pct"/>
            <w:tcBorders>
              <w:top w:val="single" w:sz="4" w:space="0" w:color="auto"/>
              <w:left w:val="single" w:sz="4" w:space="0" w:color="auto"/>
              <w:bottom w:val="single" w:sz="4" w:space="0" w:color="auto"/>
              <w:right w:val="single" w:sz="4" w:space="0" w:color="auto"/>
            </w:tcBorders>
            <w:vAlign w:val="center"/>
          </w:tcPr>
          <w:p w14:paraId="62B62FCF" w14:textId="4AABFACC" w:rsidR="13966AEE" w:rsidRPr="002E333D" w:rsidRDefault="13966AEE" w:rsidP="002E333D">
            <w:pPr>
              <w:spacing w:line="240" w:lineRule="auto"/>
              <w:jc w:val="right"/>
              <w:rPr>
                <w:sz w:val="20"/>
                <w:szCs w:val="20"/>
              </w:rPr>
            </w:pPr>
            <w:r w:rsidRPr="002E333D">
              <w:rPr>
                <w:rFonts w:eastAsia="Times New Roman" w:cs="Times New Roman"/>
                <w:color w:val="000000" w:themeColor="text1"/>
                <w:sz w:val="20"/>
                <w:szCs w:val="20"/>
              </w:rPr>
              <w:t>194.197.596</w:t>
            </w:r>
          </w:p>
        </w:tc>
      </w:tr>
      <w:tr w:rsidR="13966AEE" w:rsidRPr="002E333D" w14:paraId="7307D650" w14:textId="77777777" w:rsidTr="00447B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6A0" w:firstRow="1" w:lastRow="0" w:firstColumn="1" w:lastColumn="0" w:noHBand="1" w:noVBand="1"/>
        </w:tblPrEx>
        <w:trPr>
          <w:trHeight w:val="340"/>
        </w:trPr>
        <w:tc>
          <w:tcPr>
            <w:tcW w:w="551" w:type="pct"/>
            <w:tcBorders>
              <w:top w:val="single" w:sz="4" w:space="0" w:color="auto"/>
              <w:left w:val="single" w:sz="4" w:space="0" w:color="auto"/>
              <w:bottom w:val="single" w:sz="4" w:space="0" w:color="auto"/>
              <w:right w:val="single" w:sz="4" w:space="0" w:color="auto"/>
            </w:tcBorders>
            <w:vAlign w:val="center"/>
          </w:tcPr>
          <w:p w14:paraId="716E8888" w14:textId="75112BFD" w:rsidR="13966AEE" w:rsidRPr="002E333D" w:rsidRDefault="13966AEE" w:rsidP="002E333D">
            <w:pPr>
              <w:spacing w:line="240" w:lineRule="auto"/>
              <w:jc w:val="center"/>
              <w:rPr>
                <w:sz w:val="20"/>
                <w:szCs w:val="20"/>
              </w:rPr>
            </w:pPr>
            <w:r w:rsidRPr="002E333D">
              <w:rPr>
                <w:rFonts w:eastAsia="Times New Roman" w:cs="Times New Roman"/>
                <w:color w:val="000000" w:themeColor="text1"/>
                <w:sz w:val="20"/>
                <w:szCs w:val="20"/>
              </w:rPr>
              <w:t>28</w:t>
            </w:r>
          </w:p>
        </w:tc>
        <w:tc>
          <w:tcPr>
            <w:tcW w:w="2096" w:type="pct"/>
            <w:gridSpan w:val="2"/>
            <w:tcBorders>
              <w:top w:val="single" w:sz="4" w:space="0" w:color="auto"/>
              <w:left w:val="single" w:sz="4" w:space="0" w:color="auto"/>
              <w:bottom w:val="single" w:sz="4" w:space="0" w:color="auto"/>
              <w:right w:val="single" w:sz="4" w:space="0" w:color="auto"/>
            </w:tcBorders>
            <w:vAlign w:val="center"/>
          </w:tcPr>
          <w:p w14:paraId="657934A8" w14:textId="1EE5F12A" w:rsidR="13966AEE" w:rsidRPr="002E333D" w:rsidRDefault="002E333D" w:rsidP="000A5389">
            <w:pPr>
              <w:spacing w:line="240" w:lineRule="auto"/>
              <w:rPr>
                <w:sz w:val="20"/>
                <w:szCs w:val="20"/>
              </w:rPr>
            </w:pPr>
            <w:r w:rsidRPr="002E333D">
              <w:rPr>
                <w:rFonts w:eastAsia="Times New Roman" w:cs="Times New Roman"/>
                <w:color w:val="000000" w:themeColor="text1"/>
                <w:sz w:val="20"/>
                <w:szCs w:val="20"/>
              </w:rPr>
              <w:t>Ruta Del Sol (Sector 3)</w:t>
            </w:r>
          </w:p>
        </w:tc>
        <w:tc>
          <w:tcPr>
            <w:tcW w:w="883" w:type="pct"/>
            <w:tcBorders>
              <w:top w:val="single" w:sz="4" w:space="0" w:color="auto"/>
              <w:left w:val="single" w:sz="4" w:space="0" w:color="auto"/>
              <w:bottom w:val="single" w:sz="4" w:space="0" w:color="auto"/>
              <w:right w:val="single" w:sz="4" w:space="0" w:color="auto"/>
            </w:tcBorders>
            <w:vAlign w:val="center"/>
          </w:tcPr>
          <w:p w14:paraId="29E796FA" w14:textId="51E1FDF2" w:rsidR="13966AEE" w:rsidRPr="002E333D" w:rsidRDefault="13966AEE" w:rsidP="000A5389">
            <w:pPr>
              <w:spacing w:line="240" w:lineRule="auto"/>
              <w:jc w:val="center"/>
              <w:rPr>
                <w:sz w:val="20"/>
                <w:szCs w:val="20"/>
              </w:rPr>
            </w:pPr>
            <w:r w:rsidRPr="002E333D">
              <w:rPr>
                <w:rFonts w:eastAsia="Times New Roman" w:cs="Times New Roman"/>
                <w:color w:val="000000" w:themeColor="text1"/>
                <w:sz w:val="20"/>
                <w:szCs w:val="20"/>
              </w:rPr>
              <w:t>007-2010</w:t>
            </w:r>
          </w:p>
        </w:tc>
        <w:tc>
          <w:tcPr>
            <w:tcW w:w="1470" w:type="pct"/>
            <w:tcBorders>
              <w:top w:val="single" w:sz="4" w:space="0" w:color="auto"/>
              <w:left w:val="single" w:sz="4" w:space="0" w:color="auto"/>
              <w:bottom w:val="single" w:sz="4" w:space="0" w:color="auto"/>
              <w:right w:val="single" w:sz="4" w:space="0" w:color="auto"/>
            </w:tcBorders>
            <w:vAlign w:val="center"/>
          </w:tcPr>
          <w:p w14:paraId="65C8168D" w14:textId="0E621052" w:rsidR="13966AEE" w:rsidRPr="002E333D" w:rsidRDefault="13966AEE" w:rsidP="002E333D">
            <w:pPr>
              <w:spacing w:line="240" w:lineRule="auto"/>
              <w:jc w:val="right"/>
              <w:rPr>
                <w:sz w:val="20"/>
                <w:szCs w:val="20"/>
              </w:rPr>
            </w:pPr>
            <w:r w:rsidRPr="002E333D">
              <w:rPr>
                <w:rFonts w:eastAsia="Times New Roman" w:cs="Times New Roman"/>
                <w:color w:val="000000" w:themeColor="text1"/>
                <w:sz w:val="20"/>
                <w:szCs w:val="20"/>
              </w:rPr>
              <w:t>146.709.529</w:t>
            </w:r>
          </w:p>
        </w:tc>
      </w:tr>
      <w:tr w:rsidR="13966AEE" w:rsidRPr="002E333D" w14:paraId="52BA099E" w14:textId="77777777" w:rsidTr="00447B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6A0" w:firstRow="1" w:lastRow="0" w:firstColumn="1" w:lastColumn="0" w:noHBand="1" w:noVBand="1"/>
        </w:tblPrEx>
        <w:trPr>
          <w:trHeight w:val="340"/>
        </w:trPr>
        <w:tc>
          <w:tcPr>
            <w:tcW w:w="551" w:type="pct"/>
            <w:tcBorders>
              <w:top w:val="single" w:sz="4" w:space="0" w:color="auto"/>
              <w:left w:val="single" w:sz="4" w:space="0" w:color="auto"/>
              <w:bottom w:val="single" w:sz="4" w:space="0" w:color="auto"/>
              <w:right w:val="single" w:sz="4" w:space="0" w:color="auto"/>
            </w:tcBorders>
            <w:vAlign w:val="center"/>
          </w:tcPr>
          <w:p w14:paraId="7C4ECCFF" w14:textId="73B2DE5D" w:rsidR="13966AEE" w:rsidRPr="002E333D" w:rsidRDefault="13966AEE" w:rsidP="002E333D">
            <w:pPr>
              <w:spacing w:line="240" w:lineRule="auto"/>
              <w:jc w:val="center"/>
              <w:rPr>
                <w:sz w:val="20"/>
                <w:szCs w:val="20"/>
              </w:rPr>
            </w:pPr>
            <w:r w:rsidRPr="002E333D">
              <w:rPr>
                <w:rFonts w:eastAsia="Times New Roman" w:cs="Times New Roman"/>
                <w:color w:val="000000" w:themeColor="text1"/>
                <w:sz w:val="20"/>
                <w:szCs w:val="20"/>
              </w:rPr>
              <w:t>29</w:t>
            </w:r>
          </w:p>
        </w:tc>
        <w:tc>
          <w:tcPr>
            <w:tcW w:w="2096" w:type="pct"/>
            <w:gridSpan w:val="2"/>
            <w:tcBorders>
              <w:top w:val="single" w:sz="4" w:space="0" w:color="auto"/>
              <w:left w:val="single" w:sz="4" w:space="0" w:color="auto"/>
              <w:bottom w:val="single" w:sz="4" w:space="0" w:color="auto"/>
              <w:right w:val="single" w:sz="4" w:space="0" w:color="auto"/>
            </w:tcBorders>
            <w:vAlign w:val="center"/>
          </w:tcPr>
          <w:p w14:paraId="16581B84" w14:textId="17CD1660" w:rsidR="13966AEE" w:rsidRPr="002E333D" w:rsidRDefault="002E333D" w:rsidP="000A5389">
            <w:pPr>
              <w:spacing w:line="240" w:lineRule="auto"/>
              <w:rPr>
                <w:sz w:val="20"/>
                <w:szCs w:val="20"/>
              </w:rPr>
            </w:pPr>
            <w:r w:rsidRPr="002E333D">
              <w:rPr>
                <w:rFonts w:eastAsia="Times New Roman" w:cs="Times New Roman"/>
                <w:color w:val="000000" w:themeColor="text1"/>
                <w:sz w:val="20"/>
                <w:szCs w:val="20"/>
              </w:rPr>
              <w:t>Antioquia – Bolivar</w:t>
            </w:r>
          </w:p>
        </w:tc>
        <w:tc>
          <w:tcPr>
            <w:tcW w:w="883" w:type="pct"/>
            <w:tcBorders>
              <w:top w:val="single" w:sz="4" w:space="0" w:color="auto"/>
              <w:left w:val="single" w:sz="4" w:space="0" w:color="auto"/>
              <w:bottom w:val="single" w:sz="4" w:space="0" w:color="auto"/>
              <w:right w:val="single" w:sz="4" w:space="0" w:color="auto"/>
            </w:tcBorders>
            <w:vAlign w:val="center"/>
          </w:tcPr>
          <w:p w14:paraId="03B5FE83" w14:textId="1D43E054" w:rsidR="13966AEE" w:rsidRPr="002E333D" w:rsidRDefault="13966AEE" w:rsidP="000A5389">
            <w:pPr>
              <w:spacing w:line="240" w:lineRule="auto"/>
              <w:jc w:val="center"/>
              <w:rPr>
                <w:sz w:val="20"/>
                <w:szCs w:val="20"/>
              </w:rPr>
            </w:pPr>
            <w:r w:rsidRPr="002E333D">
              <w:rPr>
                <w:rFonts w:eastAsia="Times New Roman" w:cs="Times New Roman"/>
                <w:color w:val="000000" w:themeColor="text1"/>
                <w:sz w:val="20"/>
                <w:szCs w:val="20"/>
              </w:rPr>
              <w:t>016-2015</w:t>
            </w:r>
          </w:p>
        </w:tc>
        <w:tc>
          <w:tcPr>
            <w:tcW w:w="1470" w:type="pct"/>
            <w:tcBorders>
              <w:top w:val="single" w:sz="4" w:space="0" w:color="auto"/>
              <w:left w:val="single" w:sz="4" w:space="0" w:color="auto"/>
              <w:bottom w:val="single" w:sz="4" w:space="0" w:color="auto"/>
              <w:right w:val="single" w:sz="4" w:space="0" w:color="auto"/>
            </w:tcBorders>
            <w:vAlign w:val="center"/>
          </w:tcPr>
          <w:p w14:paraId="7A19A808" w14:textId="26E0B152" w:rsidR="13966AEE" w:rsidRPr="002E333D" w:rsidRDefault="13966AEE" w:rsidP="002E333D">
            <w:pPr>
              <w:spacing w:line="240" w:lineRule="auto"/>
              <w:jc w:val="right"/>
              <w:rPr>
                <w:sz w:val="20"/>
                <w:szCs w:val="20"/>
              </w:rPr>
            </w:pPr>
            <w:r w:rsidRPr="002E333D">
              <w:rPr>
                <w:rFonts w:eastAsia="Times New Roman" w:cs="Times New Roman"/>
                <w:color w:val="000000" w:themeColor="text1"/>
                <w:sz w:val="20"/>
                <w:szCs w:val="20"/>
              </w:rPr>
              <w:t>96.527.427</w:t>
            </w:r>
          </w:p>
        </w:tc>
      </w:tr>
      <w:tr w:rsidR="13966AEE" w:rsidRPr="002E333D" w14:paraId="0EDE8E1F" w14:textId="77777777" w:rsidTr="00447B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6A0" w:firstRow="1" w:lastRow="0" w:firstColumn="1" w:lastColumn="0" w:noHBand="1" w:noVBand="1"/>
        </w:tblPrEx>
        <w:trPr>
          <w:trHeight w:val="340"/>
        </w:trPr>
        <w:tc>
          <w:tcPr>
            <w:tcW w:w="551" w:type="pct"/>
            <w:tcBorders>
              <w:top w:val="single" w:sz="4" w:space="0" w:color="auto"/>
              <w:left w:val="single" w:sz="4" w:space="0" w:color="auto"/>
              <w:bottom w:val="single" w:sz="4" w:space="0" w:color="auto"/>
              <w:right w:val="single" w:sz="4" w:space="0" w:color="auto"/>
            </w:tcBorders>
            <w:vAlign w:val="center"/>
          </w:tcPr>
          <w:p w14:paraId="5AC1F5FD" w14:textId="09D0703F" w:rsidR="13966AEE" w:rsidRPr="002E333D" w:rsidRDefault="13966AEE" w:rsidP="002E333D">
            <w:pPr>
              <w:spacing w:line="240" w:lineRule="auto"/>
              <w:jc w:val="center"/>
              <w:rPr>
                <w:sz w:val="20"/>
                <w:szCs w:val="20"/>
              </w:rPr>
            </w:pPr>
            <w:r w:rsidRPr="002E333D">
              <w:rPr>
                <w:rFonts w:eastAsia="Times New Roman" w:cs="Times New Roman"/>
                <w:color w:val="000000" w:themeColor="text1"/>
                <w:sz w:val="20"/>
                <w:szCs w:val="20"/>
              </w:rPr>
              <w:t>30</w:t>
            </w:r>
          </w:p>
        </w:tc>
        <w:tc>
          <w:tcPr>
            <w:tcW w:w="2096" w:type="pct"/>
            <w:gridSpan w:val="2"/>
            <w:tcBorders>
              <w:top w:val="single" w:sz="4" w:space="0" w:color="auto"/>
              <w:left w:val="single" w:sz="4" w:space="0" w:color="auto"/>
              <w:bottom w:val="single" w:sz="4" w:space="0" w:color="auto"/>
              <w:right w:val="single" w:sz="4" w:space="0" w:color="auto"/>
            </w:tcBorders>
            <w:vAlign w:val="center"/>
          </w:tcPr>
          <w:p w14:paraId="26D71469" w14:textId="7F6AB07B" w:rsidR="13966AEE" w:rsidRPr="002E333D" w:rsidRDefault="002E333D" w:rsidP="000A5389">
            <w:pPr>
              <w:spacing w:line="240" w:lineRule="auto"/>
              <w:rPr>
                <w:sz w:val="20"/>
                <w:szCs w:val="20"/>
              </w:rPr>
            </w:pPr>
            <w:r w:rsidRPr="002E333D">
              <w:rPr>
                <w:rFonts w:eastAsia="Times New Roman" w:cs="Times New Roman"/>
                <w:color w:val="000000" w:themeColor="text1"/>
                <w:sz w:val="20"/>
                <w:szCs w:val="20"/>
              </w:rPr>
              <w:t>Autopista Al Mar 2</w:t>
            </w:r>
          </w:p>
        </w:tc>
        <w:tc>
          <w:tcPr>
            <w:tcW w:w="883" w:type="pct"/>
            <w:tcBorders>
              <w:top w:val="single" w:sz="4" w:space="0" w:color="auto"/>
              <w:left w:val="single" w:sz="4" w:space="0" w:color="auto"/>
              <w:bottom w:val="single" w:sz="4" w:space="0" w:color="auto"/>
              <w:right w:val="single" w:sz="4" w:space="0" w:color="auto"/>
            </w:tcBorders>
            <w:vAlign w:val="center"/>
          </w:tcPr>
          <w:p w14:paraId="2C4DEA42" w14:textId="20FE2124" w:rsidR="13966AEE" w:rsidRPr="002E333D" w:rsidRDefault="13966AEE" w:rsidP="000A5389">
            <w:pPr>
              <w:spacing w:line="240" w:lineRule="auto"/>
              <w:jc w:val="center"/>
              <w:rPr>
                <w:sz w:val="20"/>
                <w:szCs w:val="20"/>
              </w:rPr>
            </w:pPr>
            <w:r w:rsidRPr="002E333D">
              <w:rPr>
                <w:rFonts w:eastAsia="Times New Roman" w:cs="Times New Roman"/>
                <w:color w:val="000000" w:themeColor="text1"/>
                <w:sz w:val="20"/>
                <w:szCs w:val="20"/>
              </w:rPr>
              <w:t>018-2015</w:t>
            </w:r>
          </w:p>
        </w:tc>
        <w:tc>
          <w:tcPr>
            <w:tcW w:w="1470" w:type="pct"/>
            <w:tcBorders>
              <w:top w:val="single" w:sz="4" w:space="0" w:color="auto"/>
              <w:left w:val="single" w:sz="4" w:space="0" w:color="auto"/>
              <w:bottom w:val="single" w:sz="4" w:space="0" w:color="auto"/>
              <w:right w:val="single" w:sz="4" w:space="0" w:color="auto"/>
            </w:tcBorders>
            <w:vAlign w:val="center"/>
          </w:tcPr>
          <w:p w14:paraId="5BBAA382" w14:textId="31E32423" w:rsidR="13966AEE" w:rsidRPr="002E333D" w:rsidRDefault="13966AEE" w:rsidP="002E333D">
            <w:pPr>
              <w:spacing w:line="240" w:lineRule="auto"/>
              <w:jc w:val="right"/>
              <w:rPr>
                <w:sz w:val="20"/>
                <w:szCs w:val="20"/>
              </w:rPr>
            </w:pPr>
            <w:r w:rsidRPr="002E333D">
              <w:rPr>
                <w:rFonts w:eastAsia="Times New Roman" w:cs="Times New Roman"/>
                <w:color w:val="000000" w:themeColor="text1"/>
                <w:sz w:val="20"/>
                <w:szCs w:val="20"/>
              </w:rPr>
              <w:t>64.139.390</w:t>
            </w:r>
          </w:p>
        </w:tc>
      </w:tr>
      <w:tr w:rsidR="13966AEE" w:rsidRPr="002E333D" w14:paraId="3FB645BD" w14:textId="77777777" w:rsidTr="00447B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6A0" w:firstRow="1" w:lastRow="0" w:firstColumn="1" w:lastColumn="0" w:noHBand="1" w:noVBand="1"/>
        </w:tblPrEx>
        <w:trPr>
          <w:trHeight w:val="340"/>
        </w:trPr>
        <w:tc>
          <w:tcPr>
            <w:tcW w:w="551" w:type="pct"/>
            <w:tcBorders>
              <w:top w:val="single" w:sz="4" w:space="0" w:color="auto"/>
              <w:left w:val="single" w:sz="4" w:space="0" w:color="auto"/>
              <w:bottom w:val="single" w:sz="4" w:space="0" w:color="auto"/>
              <w:right w:val="single" w:sz="4" w:space="0" w:color="auto"/>
            </w:tcBorders>
            <w:vAlign w:val="center"/>
          </w:tcPr>
          <w:p w14:paraId="40CB8F43" w14:textId="6C8AC2A8" w:rsidR="13966AEE" w:rsidRPr="002E333D" w:rsidRDefault="13966AEE" w:rsidP="002E333D">
            <w:pPr>
              <w:spacing w:line="240" w:lineRule="auto"/>
              <w:jc w:val="center"/>
              <w:rPr>
                <w:sz w:val="20"/>
                <w:szCs w:val="20"/>
              </w:rPr>
            </w:pPr>
            <w:r w:rsidRPr="002E333D">
              <w:rPr>
                <w:rFonts w:eastAsia="Times New Roman" w:cs="Times New Roman"/>
                <w:color w:val="000000" w:themeColor="text1"/>
                <w:sz w:val="20"/>
                <w:szCs w:val="20"/>
              </w:rPr>
              <w:t>31</w:t>
            </w:r>
          </w:p>
        </w:tc>
        <w:tc>
          <w:tcPr>
            <w:tcW w:w="2096" w:type="pct"/>
            <w:gridSpan w:val="2"/>
            <w:tcBorders>
              <w:top w:val="single" w:sz="4" w:space="0" w:color="auto"/>
              <w:left w:val="single" w:sz="4" w:space="0" w:color="auto"/>
              <w:bottom w:val="single" w:sz="4" w:space="0" w:color="auto"/>
              <w:right w:val="single" w:sz="4" w:space="0" w:color="auto"/>
            </w:tcBorders>
            <w:vAlign w:val="center"/>
          </w:tcPr>
          <w:p w14:paraId="516E4813" w14:textId="3DBC068F" w:rsidR="13966AEE" w:rsidRPr="002E333D" w:rsidRDefault="002E333D" w:rsidP="000A5389">
            <w:pPr>
              <w:spacing w:line="240" w:lineRule="auto"/>
              <w:rPr>
                <w:sz w:val="20"/>
                <w:szCs w:val="20"/>
              </w:rPr>
            </w:pPr>
            <w:r w:rsidRPr="002E333D">
              <w:rPr>
                <w:rFonts w:eastAsia="Times New Roman" w:cs="Times New Roman"/>
                <w:color w:val="000000" w:themeColor="text1"/>
                <w:sz w:val="20"/>
                <w:szCs w:val="20"/>
              </w:rPr>
              <w:t>Puerta De Hierro - Cruz Del Viso</w:t>
            </w:r>
          </w:p>
        </w:tc>
        <w:tc>
          <w:tcPr>
            <w:tcW w:w="883" w:type="pct"/>
            <w:tcBorders>
              <w:top w:val="single" w:sz="4" w:space="0" w:color="auto"/>
              <w:left w:val="single" w:sz="4" w:space="0" w:color="auto"/>
              <w:bottom w:val="single" w:sz="4" w:space="0" w:color="auto"/>
              <w:right w:val="single" w:sz="4" w:space="0" w:color="auto"/>
            </w:tcBorders>
            <w:vAlign w:val="center"/>
          </w:tcPr>
          <w:p w14:paraId="11C04B8C" w14:textId="1D4D8AC7" w:rsidR="13966AEE" w:rsidRPr="002E333D" w:rsidRDefault="13966AEE" w:rsidP="000A5389">
            <w:pPr>
              <w:spacing w:line="240" w:lineRule="auto"/>
              <w:jc w:val="center"/>
              <w:rPr>
                <w:sz w:val="20"/>
                <w:szCs w:val="20"/>
              </w:rPr>
            </w:pPr>
            <w:r w:rsidRPr="002E333D">
              <w:rPr>
                <w:rFonts w:eastAsia="Times New Roman" w:cs="Times New Roman"/>
                <w:color w:val="000000" w:themeColor="text1"/>
                <w:sz w:val="20"/>
                <w:szCs w:val="20"/>
              </w:rPr>
              <w:t>007-2015</w:t>
            </w:r>
          </w:p>
        </w:tc>
        <w:tc>
          <w:tcPr>
            <w:tcW w:w="1470" w:type="pct"/>
            <w:tcBorders>
              <w:top w:val="single" w:sz="4" w:space="0" w:color="auto"/>
              <w:left w:val="single" w:sz="4" w:space="0" w:color="auto"/>
              <w:bottom w:val="single" w:sz="4" w:space="0" w:color="auto"/>
              <w:right w:val="single" w:sz="4" w:space="0" w:color="auto"/>
            </w:tcBorders>
            <w:vAlign w:val="center"/>
          </w:tcPr>
          <w:p w14:paraId="249570D6" w14:textId="12F0E628" w:rsidR="13966AEE" w:rsidRPr="002E333D" w:rsidRDefault="13966AEE" w:rsidP="002E333D">
            <w:pPr>
              <w:spacing w:line="240" w:lineRule="auto"/>
              <w:jc w:val="right"/>
              <w:rPr>
                <w:sz w:val="20"/>
                <w:szCs w:val="20"/>
              </w:rPr>
            </w:pPr>
            <w:r w:rsidRPr="002E333D">
              <w:rPr>
                <w:rFonts w:eastAsia="Times New Roman" w:cs="Times New Roman"/>
                <w:color w:val="000000" w:themeColor="text1"/>
                <w:sz w:val="20"/>
                <w:szCs w:val="20"/>
              </w:rPr>
              <w:t>56.603.966</w:t>
            </w:r>
          </w:p>
        </w:tc>
      </w:tr>
      <w:tr w:rsidR="13966AEE" w:rsidRPr="002E333D" w14:paraId="6A05A38F" w14:textId="77777777" w:rsidTr="00447B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6A0" w:firstRow="1" w:lastRow="0" w:firstColumn="1" w:lastColumn="0" w:noHBand="1" w:noVBand="1"/>
        </w:tblPrEx>
        <w:trPr>
          <w:trHeight w:val="340"/>
        </w:trPr>
        <w:tc>
          <w:tcPr>
            <w:tcW w:w="551" w:type="pct"/>
            <w:tcBorders>
              <w:top w:val="single" w:sz="4" w:space="0" w:color="auto"/>
              <w:left w:val="single" w:sz="4" w:space="0" w:color="auto"/>
              <w:bottom w:val="single" w:sz="4" w:space="0" w:color="auto"/>
              <w:right w:val="single" w:sz="4" w:space="0" w:color="auto"/>
            </w:tcBorders>
            <w:vAlign w:val="center"/>
          </w:tcPr>
          <w:p w14:paraId="337265A6" w14:textId="6BA4F66F" w:rsidR="13966AEE" w:rsidRPr="002E333D" w:rsidRDefault="13966AEE" w:rsidP="002E333D">
            <w:pPr>
              <w:spacing w:line="240" w:lineRule="auto"/>
              <w:jc w:val="center"/>
              <w:rPr>
                <w:sz w:val="20"/>
                <w:szCs w:val="20"/>
              </w:rPr>
            </w:pPr>
            <w:r w:rsidRPr="002E333D">
              <w:rPr>
                <w:rFonts w:eastAsia="Times New Roman" w:cs="Times New Roman"/>
                <w:color w:val="000000" w:themeColor="text1"/>
                <w:sz w:val="20"/>
                <w:szCs w:val="20"/>
              </w:rPr>
              <w:lastRenderedPageBreak/>
              <w:t>32</w:t>
            </w:r>
          </w:p>
        </w:tc>
        <w:tc>
          <w:tcPr>
            <w:tcW w:w="2096" w:type="pct"/>
            <w:gridSpan w:val="2"/>
            <w:tcBorders>
              <w:top w:val="single" w:sz="4" w:space="0" w:color="auto"/>
              <w:left w:val="single" w:sz="4" w:space="0" w:color="auto"/>
              <w:bottom w:val="single" w:sz="4" w:space="0" w:color="auto"/>
              <w:right w:val="single" w:sz="4" w:space="0" w:color="auto"/>
            </w:tcBorders>
            <w:vAlign w:val="center"/>
          </w:tcPr>
          <w:p w14:paraId="7316BE13" w14:textId="4EDBC7B4" w:rsidR="13966AEE" w:rsidRPr="002E333D" w:rsidRDefault="002E333D" w:rsidP="000A5389">
            <w:pPr>
              <w:spacing w:line="240" w:lineRule="auto"/>
              <w:rPr>
                <w:sz w:val="20"/>
                <w:szCs w:val="20"/>
              </w:rPr>
            </w:pPr>
            <w:r w:rsidRPr="002E333D">
              <w:rPr>
                <w:rFonts w:eastAsia="Times New Roman" w:cs="Times New Roman"/>
                <w:color w:val="000000" w:themeColor="text1"/>
                <w:sz w:val="20"/>
                <w:szCs w:val="20"/>
              </w:rPr>
              <w:t>Autopista Al Rio Magdalena 2</w:t>
            </w:r>
          </w:p>
        </w:tc>
        <w:tc>
          <w:tcPr>
            <w:tcW w:w="883" w:type="pct"/>
            <w:tcBorders>
              <w:top w:val="single" w:sz="4" w:space="0" w:color="auto"/>
              <w:left w:val="single" w:sz="4" w:space="0" w:color="auto"/>
              <w:bottom w:val="single" w:sz="4" w:space="0" w:color="auto"/>
              <w:right w:val="single" w:sz="4" w:space="0" w:color="auto"/>
            </w:tcBorders>
            <w:vAlign w:val="center"/>
          </w:tcPr>
          <w:p w14:paraId="7B778204" w14:textId="0CA45518" w:rsidR="13966AEE" w:rsidRPr="002E333D" w:rsidRDefault="13966AEE" w:rsidP="000A5389">
            <w:pPr>
              <w:spacing w:line="240" w:lineRule="auto"/>
              <w:jc w:val="center"/>
              <w:rPr>
                <w:sz w:val="20"/>
                <w:szCs w:val="20"/>
              </w:rPr>
            </w:pPr>
            <w:r w:rsidRPr="002E333D">
              <w:rPr>
                <w:rFonts w:eastAsia="Times New Roman" w:cs="Times New Roman"/>
                <w:color w:val="000000" w:themeColor="text1"/>
                <w:sz w:val="20"/>
                <w:szCs w:val="20"/>
              </w:rPr>
              <w:t>008-2014</w:t>
            </w:r>
          </w:p>
        </w:tc>
        <w:tc>
          <w:tcPr>
            <w:tcW w:w="1470" w:type="pct"/>
            <w:tcBorders>
              <w:top w:val="single" w:sz="4" w:space="0" w:color="auto"/>
              <w:left w:val="single" w:sz="4" w:space="0" w:color="auto"/>
              <w:bottom w:val="single" w:sz="4" w:space="0" w:color="auto"/>
              <w:right w:val="single" w:sz="4" w:space="0" w:color="auto"/>
            </w:tcBorders>
            <w:vAlign w:val="center"/>
          </w:tcPr>
          <w:p w14:paraId="2E1C24DB" w14:textId="02D23AC5" w:rsidR="13966AEE" w:rsidRPr="002E333D" w:rsidRDefault="13966AEE" w:rsidP="002E333D">
            <w:pPr>
              <w:spacing w:line="240" w:lineRule="auto"/>
              <w:jc w:val="right"/>
              <w:rPr>
                <w:sz w:val="20"/>
                <w:szCs w:val="20"/>
              </w:rPr>
            </w:pPr>
            <w:r w:rsidRPr="002E333D">
              <w:rPr>
                <w:rFonts w:eastAsia="Times New Roman" w:cs="Times New Roman"/>
                <w:color w:val="000000" w:themeColor="text1"/>
                <w:sz w:val="20"/>
                <w:szCs w:val="20"/>
              </w:rPr>
              <w:t>39.965.000</w:t>
            </w:r>
          </w:p>
        </w:tc>
      </w:tr>
      <w:tr w:rsidR="13966AEE" w:rsidRPr="002E333D" w14:paraId="2E9C6410" w14:textId="77777777" w:rsidTr="00447B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6A0" w:firstRow="1" w:lastRow="0" w:firstColumn="1" w:lastColumn="0" w:noHBand="1" w:noVBand="1"/>
        </w:tblPrEx>
        <w:trPr>
          <w:trHeight w:val="340"/>
        </w:trPr>
        <w:tc>
          <w:tcPr>
            <w:tcW w:w="551" w:type="pct"/>
            <w:tcBorders>
              <w:top w:val="single" w:sz="4" w:space="0" w:color="auto"/>
              <w:left w:val="single" w:sz="4" w:space="0" w:color="auto"/>
              <w:bottom w:val="single" w:sz="4" w:space="0" w:color="auto"/>
              <w:right w:val="single" w:sz="4" w:space="0" w:color="auto"/>
            </w:tcBorders>
            <w:vAlign w:val="center"/>
          </w:tcPr>
          <w:p w14:paraId="11DED6BB" w14:textId="4A7428DA" w:rsidR="13966AEE" w:rsidRPr="002E333D" w:rsidRDefault="13966AEE" w:rsidP="002E333D">
            <w:pPr>
              <w:spacing w:line="240" w:lineRule="auto"/>
              <w:jc w:val="center"/>
              <w:rPr>
                <w:sz w:val="20"/>
                <w:szCs w:val="20"/>
              </w:rPr>
            </w:pPr>
            <w:r w:rsidRPr="002E333D">
              <w:rPr>
                <w:rFonts w:eastAsia="Times New Roman" w:cs="Times New Roman"/>
                <w:color w:val="000000" w:themeColor="text1"/>
                <w:sz w:val="20"/>
                <w:szCs w:val="20"/>
              </w:rPr>
              <w:t>33</w:t>
            </w:r>
          </w:p>
        </w:tc>
        <w:tc>
          <w:tcPr>
            <w:tcW w:w="2096" w:type="pct"/>
            <w:gridSpan w:val="2"/>
            <w:tcBorders>
              <w:top w:val="single" w:sz="4" w:space="0" w:color="auto"/>
              <w:left w:val="single" w:sz="4" w:space="0" w:color="auto"/>
              <w:bottom w:val="single" w:sz="4" w:space="0" w:color="auto"/>
              <w:right w:val="single" w:sz="4" w:space="0" w:color="auto"/>
            </w:tcBorders>
            <w:vAlign w:val="center"/>
          </w:tcPr>
          <w:p w14:paraId="34D95B47" w14:textId="07484FE3" w:rsidR="13966AEE" w:rsidRPr="002E333D" w:rsidRDefault="002E333D" w:rsidP="000A5389">
            <w:pPr>
              <w:spacing w:line="240" w:lineRule="auto"/>
              <w:rPr>
                <w:sz w:val="20"/>
                <w:szCs w:val="20"/>
              </w:rPr>
            </w:pPr>
            <w:r w:rsidRPr="002E333D">
              <w:rPr>
                <w:rFonts w:eastAsia="Times New Roman" w:cs="Times New Roman"/>
                <w:color w:val="000000" w:themeColor="text1"/>
                <w:sz w:val="20"/>
                <w:szCs w:val="20"/>
              </w:rPr>
              <w:t>Autopista Conexión Pacifico 2</w:t>
            </w:r>
          </w:p>
        </w:tc>
        <w:tc>
          <w:tcPr>
            <w:tcW w:w="883" w:type="pct"/>
            <w:tcBorders>
              <w:top w:val="single" w:sz="4" w:space="0" w:color="auto"/>
              <w:left w:val="single" w:sz="4" w:space="0" w:color="auto"/>
              <w:bottom w:val="single" w:sz="4" w:space="0" w:color="auto"/>
              <w:right w:val="single" w:sz="4" w:space="0" w:color="auto"/>
            </w:tcBorders>
            <w:vAlign w:val="center"/>
          </w:tcPr>
          <w:p w14:paraId="7ACA3145" w14:textId="1537FA7E" w:rsidR="13966AEE" w:rsidRPr="002E333D" w:rsidRDefault="13966AEE" w:rsidP="000A5389">
            <w:pPr>
              <w:spacing w:line="240" w:lineRule="auto"/>
              <w:jc w:val="center"/>
              <w:rPr>
                <w:sz w:val="20"/>
                <w:szCs w:val="20"/>
              </w:rPr>
            </w:pPr>
            <w:r w:rsidRPr="002E333D">
              <w:rPr>
                <w:rFonts w:eastAsia="Times New Roman" w:cs="Times New Roman"/>
                <w:color w:val="000000" w:themeColor="text1"/>
                <w:sz w:val="20"/>
                <w:szCs w:val="20"/>
              </w:rPr>
              <w:t>006-2014</w:t>
            </w:r>
          </w:p>
        </w:tc>
        <w:tc>
          <w:tcPr>
            <w:tcW w:w="1470" w:type="pct"/>
            <w:tcBorders>
              <w:top w:val="single" w:sz="4" w:space="0" w:color="auto"/>
              <w:left w:val="single" w:sz="4" w:space="0" w:color="auto"/>
              <w:bottom w:val="single" w:sz="4" w:space="0" w:color="auto"/>
              <w:right w:val="single" w:sz="4" w:space="0" w:color="auto"/>
            </w:tcBorders>
            <w:vAlign w:val="center"/>
          </w:tcPr>
          <w:p w14:paraId="145DDDF4" w14:textId="6B65B917" w:rsidR="13966AEE" w:rsidRPr="002E333D" w:rsidRDefault="13966AEE" w:rsidP="002E333D">
            <w:pPr>
              <w:spacing w:line="240" w:lineRule="auto"/>
              <w:jc w:val="right"/>
              <w:rPr>
                <w:sz w:val="20"/>
                <w:szCs w:val="20"/>
              </w:rPr>
            </w:pPr>
            <w:r w:rsidRPr="002E333D">
              <w:rPr>
                <w:rFonts w:eastAsia="Times New Roman" w:cs="Times New Roman"/>
                <w:color w:val="000000" w:themeColor="text1"/>
                <w:sz w:val="20"/>
                <w:szCs w:val="20"/>
              </w:rPr>
              <w:t>38.639.597</w:t>
            </w:r>
          </w:p>
        </w:tc>
      </w:tr>
      <w:tr w:rsidR="13966AEE" w:rsidRPr="002E333D" w14:paraId="46FECCBD" w14:textId="77777777" w:rsidTr="00447BAC">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6A0" w:firstRow="1" w:lastRow="0" w:firstColumn="1" w:lastColumn="0" w:noHBand="1" w:noVBand="1"/>
        </w:tblPrEx>
        <w:trPr>
          <w:trHeight w:val="340"/>
        </w:trPr>
        <w:tc>
          <w:tcPr>
            <w:tcW w:w="551" w:type="pct"/>
            <w:tcBorders>
              <w:top w:val="single" w:sz="4" w:space="0" w:color="auto"/>
              <w:left w:val="single" w:sz="4" w:space="0" w:color="auto"/>
              <w:bottom w:val="single" w:sz="4" w:space="0" w:color="auto"/>
              <w:right w:val="single" w:sz="4" w:space="0" w:color="auto"/>
            </w:tcBorders>
            <w:vAlign w:val="center"/>
          </w:tcPr>
          <w:p w14:paraId="26412022" w14:textId="271A047D" w:rsidR="13966AEE" w:rsidRPr="002E333D" w:rsidRDefault="13966AEE" w:rsidP="002E333D">
            <w:pPr>
              <w:spacing w:line="240" w:lineRule="auto"/>
              <w:jc w:val="center"/>
              <w:rPr>
                <w:sz w:val="20"/>
                <w:szCs w:val="20"/>
              </w:rPr>
            </w:pPr>
            <w:r w:rsidRPr="002E333D">
              <w:rPr>
                <w:rFonts w:eastAsia="Times New Roman" w:cs="Times New Roman"/>
                <w:color w:val="000000" w:themeColor="text1"/>
                <w:sz w:val="20"/>
                <w:szCs w:val="20"/>
              </w:rPr>
              <w:t>34</w:t>
            </w:r>
          </w:p>
        </w:tc>
        <w:tc>
          <w:tcPr>
            <w:tcW w:w="2096" w:type="pct"/>
            <w:gridSpan w:val="2"/>
            <w:tcBorders>
              <w:top w:val="single" w:sz="4" w:space="0" w:color="auto"/>
              <w:left w:val="single" w:sz="4" w:space="0" w:color="auto"/>
              <w:bottom w:val="single" w:sz="4" w:space="0" w:color="auto"/>
              <w:right w:val="single" w:sz="4" w:space="0" w:color="auto"/>
            </w:tcBorders>
            <w:vAlign w:val="center"/>
          </w:tcPr>
          <w:p w14:paraId="57235C7D" w14:textId="73500988" w:rsidR="13966AEE" w:rsidRPr="002E333D" w:rsidRDefault="002E333D" w:rsidP="000A5389">
            <w:pPr>
              <w:spacing w:line="240" w:lineRule="auto"/>
              <w:rPr>
                <w:sz w:val="20"/>
                <w:szCs w:val="20"/>
              </w:rPr>
            </w:pPr>
            <w:r w:rsidRPr="002E333D">
              <w:rPr>
                <w:rFonts w:eastAsia="Times New Roman" w:cs="Times New Roman"/>
                <w:color w:val="000000" w:themeColor="text1"/>
                <w:sz w:val="20"/>
                <w:szCs w:val="20"/>
              </w:rPr>
              <w:t>'Pamplona-Cucuta</w:t>
            </w:r>
          </w:p>
        </w:tc>
        <w:tc>
          <w:tcPr>
            <w:tcW w:w="883" w:type="pct"/>
            <w:tcBorders>
              <w:top w:val="single" w:sz="4" w:space="0" w:color="auto"/>
              <w:left w:val="single" w:sz="4" w:space="0" w:color="auto"/>
              <w:bottom w:val="single" w:sz="4" w:space="0" w:color="auto"/>
              <w:right w:val="single" w:sz="4" w:space="0" w:color="auto"/>
            </w:tcBorders>
            <w:vAlign w:val="center"/>
          </w:tcPr>
          <w:p w14:paraId="2481CAE4" w14:textId="13DF551A" w:rsidR="13966AEE" w:rsidRPr="002E333D" w:rsidRDefault="13966AEE" w:rsidP="000A5389">
            <w:pPr>
              <w:spacing w:line="240" w:lineRule="auto"/>
              <w:jc w:val="center"/>
              <w:rPr>
                <w:sz w:val="20"/>
                <w:szCs w:val="20"/>
              </w:rPr>
            </w:pPr>
            <w:r w:rsidRPr="002E333D">
              <w:rPr>
                <w:rFonts w:eastAsia="Times New Roman" w:cs="Times New Roman"/>
                <w:color w:val="000000" w:themeColor="text1"/>
                <w:sz w:val="20"/>
                <w:szCs w:val="20"/>
              </w:rPr>
              <w:t>002-2017</w:t>
            </w:r>
          </w:p>
        </w:tc>
        <w:tc>
          <w:tcPr>
            <w:tcW w:w="1470" w:type="pct"/>
            <w:tcBorders>
              <w:top w:val="single" w:sz="4" w:space="0" w:color="auto"/>
              <w:left w:val="single" w:sz="4" w:space="0" w:color="auto"/>
              <w:bottom w:val="single" w:sz="4" w:space="0" w:color="auto"/>
              <w:right w:val="single" w:sz="4" w:space="0" w:color="auto"/>
            </w:tcBorders>
            <w:vAlign w:val="center"/>
          </w:tcPr>
          <w:p w14:paraId="7B4F557F" w14:textId="22446FF9" w:rsidR="13966AEE" w:rsidRPr="002E333D" w:rsidRDefault="13966AEE" w:rsidP="002E333D">
            <w:pPr>
              <w:spacing w:line="240" w:lineRule="auto"/>
              <w:jc w:val="right"/>
              <w:rPr>
                <w:sz w:val="20"/>
                <w:szCs w:val="20"/>
              </w:rPr>
            </w:pPr>
            <w:r w:rsidRPr="002E333D">
              <w:rPr>
                <w:rFonts w:eastAsia="Times New Roman" w:cs="Times New Roman"/>
                <w:color w:val="000000" w:themeColor="text1"/>
                <w:sz w:val="20"/>
                <w:szCs w:val="20"/>
              </w:rPr>
              <w:t>13.912.840</w:t>
            </w:r>
          </w:p>
        </w:tc>
      </w:tr>
    </w:tbl>
    <w:p w14:paraId="28473B8F" w14:textId="6DEBE612" w:rsidR="50A8AFD3" w:rsidRDefault="50A8AFD3" w:rsidP="000A5389">
      <w:pPr>
        <w:spacing w:line="240" w:lineRule="auto"/>
        <w:rPr>
          <w:rFonts w:cs="Times New Roman"/>
          <w:sz w:val="16"/>
          <w:szCs w:val="16"/>
          <w:lang w:val="es-ES"/>
        </w:rPr>
      </w:pPr>
      <w:r w:rsidRPr="6484905F">
        <w:rPr>
          <w:rFonts w:cs="Times New Roman"/>
          <w:sz w:val="16"/>
          <w:szCs w:val="16"/>
          <w:lang w:val="es-ES"/>
        </w:rPr>
        <w:t xml:space="preserve">Cifras expresadas </w:t>
      </w:r>
      <w:r w:rsidR="00A506CC" w:rsidRPr="6484905F">
        <w:rPr>
          <w:rFonts w:cs="Times New Roman"/>
          <w:sz w:val="16"/>
          <w:szCs w:val="16"/>
          <w:lang w:val="es-ES"/>
        </w:rPr>
        <w:t>en pesos</w:t>
      </w:r>
    </w:p>
    <w:p w14:paraId="63D8D061" w14:textId="77777777" w:rsidR="002E333D" w:rsidRDefault="002E333D" w:rsidP="000A5389">
      <w:pPr>
        <w:spacing w:line="240" w:lineRule="auto"/>
        <w:rPr>
          <w:rFonts w:cs="Times New Roman"/>
          <w:sz w:val="16"/>
          <w:szCs w:val="16"/>
          <w:lang w:val="es-ES"/>
        </w:rPr>
      </w:pPr>
    </w:p>
    <w:p w14:paraId="35940C9E" w14:textId="26FE959F" w:rsidR="008421D7" w:rsidRDefault="008421D7" w:rsidP="000A5389">
      <w:pPr>
        <w:spacing w:line="240" w:lineRule="auto"/>
        <w:rPr>
          <w:rFonts w:cs="Times New Roman"/>
          <w:szCs w:val="24"/>
          <w:lang w:val="es-ES"/>
        </w:rPr>
      </w:pPr>
      <w:r w:rsidRPr="00951AB1">
        <w:rPr>
          <w:rFonts w:cs="Times New Roman"/>
          <w:szCs w:val="24"/>
          <w:lang w:val="es-ES"/>
        </w:rPr>
        <w:t xml:space="preserve">Mientras que la diferencia por valor de $747.597.918.450, corresponde a proyectos activos, pero que la VPRE no ha remitido información a Contabilidad: </w:t>
      </w:r>
    </w:p>
    <w:p w14:paraId="2F122ED0" w14:textId="77777777" w:rsidR="002E333D" w:rsidRDefault="002E333D" w:rsidP="000A5389">
      <w:pPr>
        <w:spacing w:line="240" w:lineRule="auto"/>
        <w:rPr>
          <w:rFonts w:cs="Times New Roman"/>
          <w:szCs w:val="24"/>
          <w:lang w:val="es-ES"/>
        </w:rPr>
      </w:pPr>
    </w:p>
    <w:tbl>
      <w:tblPr>
        <w:tblW w:w="90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32"/>
        <w:gridCol w:w="1065"/>
        <w:gridCol w:w="1407"/>
        <w:gridCol w:w="3406"/>
        <w:gridCol w:w="840"/>
        <w:gridCol w:w="1670"/>
      </w:tblGrid>
      <w:tr w:rsidR="00A506CC" w:rsidRPr="002E333D" w14:paraId="47007C84" w14:textId="77777777" w:rsidTr="002E333D">
        <w:trPr>
          <w:trHeight w:val="408"/>
          <w:tblHeader/>
        </w:trPr>
        <w:tc>
          <w:tcPr>
            <w:tcW w:w="632" w:type="dxa"/>
            <w:vAlign w:val="center"/>
            <w:hideMark/>
          </w:tcPr>
          <w:p w14:paraId="0C72E922" w14:textId="77777777" w:rsidR="00A506CC" w:rsidRPr="002E333D" w:rsidRDefault="00A506CC" w:rsidP="000A5389">
            <w:pPr>
              <w:spacing w:line="240" w:lineRule="auto"/>
              <w:jc w:val="center"/>
              <w:rPr>
                <w:rFonts w:eastAsia="Times New Roman" w:cs="Times New Roman"/>
                <w:b/>
                <w:bCs/>
                <w:kern w:val="0"/>
                <w:sz w:val="18"/>
                <w:szCs w:val="18"/>
                <w:lang w:eastAsia="es-CO"/>
                <w14:ligatures w14:val="none"/>
              </w:rPr>
            </w:pPr>
            <w:r w:rsidRPr="002E333D">
              <w:rPr>
                <w:rFonts w:eastAsia="Times New Roman" w:cs="Times New Roman"/>
                <w:b/>
                <w:bCs/>
                <w:kern w:val="0"/>
                <w:sz w:val="18"/>
                <w:szCs w:val="18"/>
                <w:lang w:eastAsia="es-CO"/>
                <w14:ligatures w14:val="none"/>
              </w:rPr>
              <w:t>Ítem No.</w:t>
            </w:r>
          </w:p>
        </w:tc>
        <w:tc>
          <w:tcPr>
            <w:tcW w:w="1066" w:type="dxa"/>
            <w:vAlign w:val="center"/>
            <w:hideMark/>
          </w:tcPr>
          <w:p w14:paraId="2F66697C" w14:textId="77777777" w:rsidR="00A506CC" w:rsidRPr="002E333D" w:rsidRDefault="00A506CC" w:rsidP="000A5389">
            <w:pPr>
              <w:spacing w:line="240" w:lineRule="auto"/>
              <w:jc w:val="center"/>
              <w:rPr>
                <w:rFonts w:eastAsia="Times New Roman" w:cs="Times New Roman"/>
                <w:b/>
                <w:bCs/>
                <w:kern w:val="0"/>
                <w:sz w:val="18"/>
                <w:szCs w:val="18"/>
                <w:lang w:eastAsia="es-CO"/>
                <w14:ligatures w14:val="none"/>
              </w:rPr>
            </w:pPr>
            <w:r w:rsidRPr="002E333D">
              <w:rPr>
                <w:rFonts w:eastAsia="Times New Roman" w:cs="Times New Roman"/>
                <w:b/>
                <w:bCs/>
                <w:kern w:val="0"/>
                <w:sz w:val="18"/>
                <w:szCs w:val="18"/>
                <w:lang w:eastAsia="es-CO"/>
                <w14:ligatures w14:val="none"/>
              </w:rPr>
              <w:t>Entidad Titular</w:t>
            </w:r>
          </w:p>
        </w:tc>
        <w:tc>
          <w:tcPr>
            <w:tcW w:w="1408" w:type="dxa"/>
            <w:vAlign w:val="center"/>
            <w:hideMark/>
          </w:tcPr>
          <w:p w14:paraId="06E9935D" w14:textId="77777777" w:rsidR="00A506CC" w:rsidRPr="002E333D" w:rsidRDefault="00A506CC" w:rsidP="000A5389">
            <w:pPr>
              <w:spacing w:line="240" w:lineRule="auto"/>
              <w:jc w:val="center"/>
              <w:rPr>
                <w:rFonts w:eastAsia="Times New Roman" w:cs="Times New Roman"/>
                <w:b/>
                <w:bCs/>
                <w:kern w:val="0"/>
                <w:sz w:val="18"/>
                <w:szCs w:val="18"/>
                <w:lang w:eastAsia="es-CO"/>
                <w14:ligatures w14:val="none"/>
              </w:rPr>
            </w:pPr>
            <w:r w:rsidRPr="002E333D">
              <w:rPr>
                <w:rFonts w:eastAsia="Times New Roman" w:cs="Times New Roman"/>
                <w:b/>
                <w:bCs/>
                <w:kern w:val="0"/>
                <w:sz w:val="18"/>
                <w:szCs w:val="18"/>
                <w:lang w:eastAsia="es-CO"/>
                <w14:ligatures w14:val="none"/>
              </w:rPr>
              <w:t>Modo de Transporte</w:t>
            </w:r>
          </w:p>
        </w:tc>
        <w:tc>
          <w:tcPr>
            <w:tcW w:w="3410" w:type="dxa"/>
            <w:vAlign w:val="center"/>
            <w:hideMark/>
          </w:tcPr>
          <w:p w14:paraId="49C71E0B" w14:textId="77777777" w:rsidR="00A506CC" w:rsidRPr="002E333D" w:rsidRDefault="00A506CC" w:rsidP="000A5389">
            <w:pPr>
              <w:spacing w:line="240" w:lineRule="auto"/>
              <w:jc w:val="center"/>
              <w:rPr>
                <w:rFonts w:eastAsia="Times New Roman" w:cs="Times New Roman"/>
                <w:b/>
                <w:bCs/>
                <w:kern w:val="0"/>
                <w:sz w:val="18"/>
                <w:szCs w:val="18"/>
                <w:lang w:eastAsia="es-CO"/>
                <w14:ligatures w14:val="none"/>
              </w:rPr>
            </w:pPr>
            <w:r w:rsidRPr="002E333D">
              <w:rPr>
                <w:rFonts w:eastAsia="Times New Roman" w:cs="Times New Roman"/>
                <w:b/>
                <w:bCs/>
                <w:kern w:val="0"/>
                <w:sz w:val="18"/>
                <w:szCs w:val="18"/>
                <w:lang w:eastAsia="es-CO"/>
                <w14:ligatures w14:val="none"/>
              </w:rPr>
              <w:t>Proyecto de Concesión</w:t>
            </w:r>
          </w:p>
        </w:tc>
        <w:tc>
          <w:tcPr>
            <w:tcW w:w="834" w:type="dxa"/>
            <w:vAlign w:val="center"/>
            <w:hideMark/>
          </w:tcPr>
          <w:p w14:paraId="76D85BDE" w14:textId="77777777" w:rsidR="00A506CC" w:rsidRPr="002E333D" w:rsidRDefault="00A506CC" w:rsidP="000A5389">
            <w:pPr>
              <w:spacing w:line="240" w:lineRule="auto"/>
              <w:jc w:val="center"/>
              <w:rPr>
                <w:rFonts w:eastAsia="Times New Roman" w:cs="Times New Roman"/>
                <w:b/>
                <w:bCs/>
                <w:kern w:val="0"/>
                <w:sz w:val="18"/>
                <w:szCs w:val="18"/>
                <w:lang w:eastAsia="es-CO"/>
                <w14:ligatures w14:val="none"/>
              </w:rPr>
            </w:pPr>
            <w:r w:rsidRPr="002E333D">
              <w:rPr>
                <w:rFonts w:eastAsia="Times New Roman" w:cs="Times New Roman"/>
                <w:b/>
                <w:bCs/>
                <w:kern w:val="0"/>
                <w:sz w:val="18"/>
                <w:szCs w:val="18"/>
                <w:lang w:eastAsia="es-CO"/>
                <w14:ligatures w14:val="none"/>
              </w:rPr>
              <w:t>Contrato No.</w:t>
            </w:r>
          </w:p>
        </w:tc>
        <w:tc>
          <w:tcPr>
            <w:tcW w:w="1670" w:type="dxa"/>
            <w:vAlign w:val="center"/>
            <w:hideMark/>
          </w:tcPr>
          <w:p w14:paraId="6549459D" w14:textId="77777777" w:rsidR="00A506CC" w:rsidRPr="002E333D" w:rsidRDefault="00A506CC" w:rsidP="000A5389">
            <w:pPr>
              <w:spacing w:line="240" w:lineRule="auto"/>
              <w:jc w:val="center"/>
              <w:rPr>
                <w:rFonts w:eastAsia="Times New Roman" w:cs="Times New Roman"/>
                <w:b/>
                <w:bCs/>
                <w:kern w:val="0"/>
                <w:sz w:val="18"/>
                <w:szCs w:val="18"/>
                <w:lang w:eastAsia="es-CO"/>
                <w14:ligatures w14:val="none"/>
              </w:rPr>
            </w:pPr>
            <w:r w:rsidRPr="002E333D">
              <w:rPr>
                <w:rFonts w:eastAsia="Times New Roman" w:cs="Times New Roman"/>
                <w:b/>
                <w:bCs/>
                <w:kern w:val="0"/>
                <w:sz w:val="18"/>
                <w:szCs w:val="18"/>
                <w:lang w:eastAsia="es-CO"/>
                <w14:ligatures w14:val="none"/>
              </w:rPr>
              <w:t>Saldos reportados a SIIF Nación</w:t>
            </w:r>
          </w:p>
        </w:tc>
      </w:tr>
      <w:tr w:rsidR="00A506CC" w:rsidRPr="002E333D" w14:paraId="4970673B" w14:textId="77777777" w:rsidTr="002E333D">
        <w:trPr>
          <w:trHeight w:val="408"/>
        </w:trPr>
        <w:tc>
          <w:tcPr>
            <w:tcW w:w="632" w:type="dxa"/>
            <w:vAlign w:val="center"/>
            <w:hideMark/>
          </w:tcPr>
          <w:p w14:paraId="78B59DAE" w14:textId="77777777" w:rsidR="00A506CC" w:rsidRPr="002E333D" w:rsidRDefault="00A506CC" w:rsidP="000A5389">
            <w:pPr>
              <w:spacing w:line="240" w:lineRule="auto"/>
              <w:jc w:val="center"/>
              <w:rPr>
                <w:rFonts w:eastAsia="Times New Roman" w:cs="Times New Roman"/>
                <w:color w:val="000000"/>
                <w:kern w:val="0"/>
                <w:sz w:val="18"/>
                <w:szCs w:val="18"/>
                <w:lang w:eastAsia="es-CO"/>
                <w14:ligatures w14:val="none"/>
              </w:rPr>
            </w:pPr>
            <w:r w:rsidRPr="002E333D">
              <w:rPr>
                <w:rFonts w:eastAsia="Times New Roman" w:cs="Times New Roman"/>
                <w:color w:val="000000"/>
                <w:kern w:val="0"/>
                <w:sz w:val="18"/>
                <w:szCs w:val="18"/>
                <w:lang w:eastAsia="es-CO"/>
                <w14:ligatures w14:val="none"/>
              </w:rPr>
              <w:t>1</w:t>
            </w:r>
          </w:p>
        </w:tc>
        <w:tc>
          <w:tcPr>
            <w:tcW w:w="1066" w:type="dxa"/>
            <w:vAlign w:val="center"/>
            <w:hideMark/>
          </w:tcPr>
          <w:p w14:paraId="6A6F1239" w14:textId="77777777" w:rsidR="00A506CC" w:rsidRPr="002E333D" w:rsidRDefault="00A506CC" w:rsidP="000A5389">
            <w:pPr>
              <w:spacing w:line="240" w:lineRule="auto"/>
              <w:jc w:val="center"/>
              <w:rPr>
                <w:rFonts w:eastAsia="Times New Roman" w:cs="Times New Roman"/>
                <w:color w:val="000000"/>
                <w:kern w:val="0"/>
                <w:sz w:val="18"/>
                <w:szCs w:val="18"/>
                <w:lang w:eastAsia="es-CO"/>
                <w14:ligatures w14:val="none"/>
              </w:rPr>
            </w:pPr>
            <w:r w:rsidRPr="002E333D">
              <w:rPr>
                <w:rFonts w:eastAsia="Times New Roman" w:cs="Times New Roman"/>
                <w:color w:val="000000"/>
                <w:kern w:val="0"/>
                <w:sz w:val="18"/>
                <w:szCs w:val="18"/>
                <w:lang w:eastAsia="es-CO"/>
                <w14:ligatures w14:val="none"/>
              </w:rPr>
              <w:t>INVIAS</w:t>
            </w:r>
          </w:p>
        </w:tc>
        <w:tc>
          <w:tcPr>
            <w:tcW w:w="1408" w:type="dxa"/>
            <w:vAlign w:val="center"/>
            <w:hideMark/>
          </w:tcPr>
          <w:p w14:paraId="421AF1D8" w14:textId="5B7F5E4B" w:rsidR="00A506CC" w:rsidRPr="002E333D" w:rsidRDefault="002E333D" w:rsidP="000A5389">
            <w:pPr>
              <w:spacing w:line="240" w:lineRule="auto"/>
              <w:jc w:val="center"/>
              <w:rPr>
                <w:rFonts w:eastAsia="Times New Roman" w:cs="Times New Roman"/>
                <w:color w:val="000000"/>
                <w:kern w:val="0"/>
                <w:sz w:val="18"/>
                <w:szCs w:val="18"/>
                <w:lang w:eastAsia="es-CO"/>
                <w14:ligatures w14:val="none"/>
              </w:rPr>
            </w:pPr>
            <w:r w:rsidRPr="002E333D">
              <w:rPr>
                <w:rFonts w:eastAsia="Times New Roman" w:cs="Times New Roman"/>
                <w:color w:val="000000"/>
                <w:kern w:val="0"/>
                <w:sz w:val="18"/>
                <w:szCs w:val="18"/>
                <w:lang w:eastAsia="es-CO"/>
                <w14:ligatures w14:val="none"/>
              </w:rPr>
              <w:t>Portuario</w:t>
            </w:r>
          </w:p>
        </w:tc>
        <w:tc>
          <w:tcPr>
            <w:tcW w:w="3410" w:type="dxa"/>
            <w:vAlign w:val="center"/>
            <w:hideMark/>
          </w:tcPr>
          <w:p w14:paraId="1EBCBCD8" w14:textId="6E60787B" w:rsidR="00A506CC" w:rsidRPr="002E333D" w:rsidRDefault="002E333D" w:rsidP="002E333D">
            <w:pPr>
              <w:spacing w:line="240" w:lineRule="auto"/>
              <w:jc w:val="left"/>
              <w:rPr>
                <w:rFonts w:eastAsia="Times New Roman" w:cs="Times New Roman"/>
                <w:color w:val="000000"/>
                <w:kern w:val="0"/>
                <w:sz w:val="18"/>
                <w:szCs w:val="18"/>
                <w:lang w:eastAsia="es-CO"/>
                <w14:ligatures w14:val="none"/>
              </w:rPr>
            </w:pPr>
            <w:r w:rsidRPr="002E333D">
              <w:rPr>
                <w:rFonts w:eastAsia="Times New Roman" w:cs="Times New Roman"/>
                <w:color w:val="000000"/>
                <w:kern w:val="0"/>
                <w:sz w:val="18"/>
                <w:szCs w:val="18"/>
                <w:lang w:eastAsia="es-CO"/>
                <w14:ligatures w14:val="none"/>
              </w:rPr>
              <w:t>Sociedad Portuaria Regional De Buenaventura S.A.S. Bun</w:t>
            </w:r>
          </w:p>
        </w:tc>
        <w:tc>
          <w:tcPr>
            <w:tcW w:w="834" w:type="dxa"/>
            <w:vAlign w:val="center"/>
            <w:hideMark/>
          </w:tcPr>
          <w:p w14:paraId="49A567FC" w14:textId="77777777" w:rsidR="00A506CC" w:rsidRPr="002E333D" w:rsidRDefault="00A506CC" w:rsidP="000A5389">
            <w:pPr>
              <w:spacing w:line="240" w:lineRule="auto"/>
              <w:jc w:val="center"/>
              <w:rPr>
                <w:rFonts w:eastAsia="Times New Roman" w:cs="Times New Roman"/>
                <w:color w:val="000000"/>
                <w:kern w:val="0"/>
                <w:sz w:val="18"/>
                <w:szCs w:val="18"/>
                <w:lang w:eastAsia="es-CO"/>
                <w14:ligatures w14:val="none"/>
              </w:rPr>
            </w:pPr>
            <w:r w:rsidRPr="002E333D">
              <w:rPr>
                <w:rFonts w:eastAsia="Times New Roman" w:cs="Times New Roman"/>
                <w:color w:val="000000"/>
                <w:kern w:val="0"/>
                <w:sz w:val="18"/>
                <w:szCs w:val="18"/>
                <w:lang w:eastAsia="es-CO"/>
                <w14:ligatures w14:val="none"/>
              </w:rPr>
              <w:t>009-1994</w:t>
            </w:r>
          </w:p>
        </w:tc>
        <w:tc>
          <w:tcPr>
            <w:tcW w:w="1670" w:type="dxa"/>
            <w:vAlign w:val="center"/>
            <w:hideMark/>
          </w:tcPr>
          <w:p w14:paraId="69930D41" w14:textId="1113F017" w:rsidR="00A506CC" w:rsidRPr="002E333D" w:rsidRDefault="00A506CC" w:rsidP="002E333D">
            <w:pPr>
              <w:spacing w:line="240" w:lineRule="auto"/>
              <w:jc w:val="right"/>
              <w:rPr>
                <w:rFonts w:eastAsia="Times New Roman" w:cs="Times New Roman"/>
                <w:color w:val="000000"/>
                <w:kern w:val="0"/>
                <w:sz w:val="18"/>
                <w:szCs w:val="18"/>
                <w:lang w:eastAsia="es-CO"/>
                <w14:ligatures w14:val="none"/>
              </w:rPr>
            </w:pPr>
            <w:r w:rsidRPr="002E333D">
              <w:rPr>
                <w:rFonts w:eastAsia="Times New Roman" w:cs="Times New Roman"/>
                <w:color w:val="000000"/>
                <w:kern w:val="0"/>
                <w:sz w:val="18"/>
                <w:szCs w:val="18"/>
                <w:lang w:eastAsia="es-CO"/>
                <w14:ligatures w14:val="none"/>
              </w:rPr>
              <w:t>340.758.555.730</w:t>
            </w:r>
          </w:p>
        </w:tc>
      </w:tr>
      <w:tr w:rsidR="00A506CC" w:rsidRPr="002E333D" w14:paraId="0038C2EB" w14:textId="77777777" w:rsidTr="002E333D">
        <w:trPr>
          <w:trHeight w:val="408"/>
        </w:trPr>
        <w:tc>
          <w:tcPr>
            <w:tcW w:w="632" w:type="dxa"/>
            <w:vAlign w:val="center"/>
            <w:hideMark/>
          </w:tcPr>
          <w:p w14:paraId="78351C7F" w14:textId="77777777" w:rsidR="00A506CC" w:rsidRPr="002E333D" w:rsidRDefault="00A506CC" w:rsidP="000A5389">
            <w:pPr>
              <w:spacing w:line="240" w:lineRule="auto"/>
              <w:jc w:val="center"/>
              <w:rPr>
                <w:rFonts w:eastAsia="Times New Roman" w:cs="Times New Roman"/>
                <w:color w:val="000000"/>
                <w:kern w:val="0"/>
                <w:sz w:val="18"/>
                <w:szCs w:val="18"/>
                <w:lang w:eastAsia="es-CO"/>
                <w14:ligatures w14:val="none"/>
              </w:rPr>
            </w:pPr>
            <w:r w:rsidRPr="002E333D">
              <w:rPr>
                <w:rFonts w:eastAsia="Times New Roman" w:cs="Times New Roman"/>
                <w:color w:val="000000"/>
                <w:kern w:val="0"/>
                <w:sz w:val="18"/>
                <w:szCs w:val="18"/>
                <w:lang w:eastAsia="es-CO"/>
                <w14:ligatures w14:val="none"/>
              </w:rPr>
              <w:t>2</w:t>
            </w:r>
          </w:p>
        </w:tc>
        <w:tc>
          <w:tcPr>
            <w:tcW w:w="1066" w:type="dxa"/>
            <w:vAlign w:val="center"/>
            <w:hideMark/>
          </w:tcPr>
          <w:p w14:paraId="28931AB7" w14:textId="77777777" w:rsidR="00A506CC" w:rsidRPr="002E333D" w:rsidRDefault="00A506CC" w:rsidP="000A5389">
            <w:pPr>
              <w:spacing w:line="240" w:lineRule="auto"/>
              <w:jc w:val="center"/>
              <w:rPr>
                <w:rFonts w:eastAsia="Times New Roman" w:cs="Times New Roman"/>
                <w:color w:val="000000"/>
                <w:kern w:val="0"/>
                <w:sz w:val="18"/>
                <w:szCs w:val="18"/>
                <w:lang w:eastAsia="es-CO"/>
                <w14:ligatures w14:val="none"/>
              </w:rPr>
            </w:pPr>
            <w:r w:rsidRPr="002E333D">
              <w:rPr>
                <w:rFonts w:eastAsia="Times New Roman" w:cs="Times New Roman"/>
                <w:color w:val="000000"/>
                <w:kern w:val="0"/>
                <w:sz w:val="18"/>
                <w:szCs w:val="18"/>
                <w:lang w:eastAsia="es-CO"/>
                <w14:ligatures w14:val="none"/>
              </w:rPr>
              <w:t>INVIAS</w:t>
            </w:r>
          </w:p>
        </w:tc>
        <w:tc>
          <w:tcPr>
            <w:tcW w:w="1408" w:type="dxa"/>
            <w:vAlign w:val="center"/>
            <w:hideMark/>
          </w:tcPr>
          <w:p w14:paraId="2E74AB95" w14:textId="0B083F7B" w:rsidR="00A506CC" w:rsidRPr="002E333D" w:rsidRDefault="002E333D" w:rsidP="000A5389">
            <w:pPr>
              <w:spacing w:line="240" w:lineRule="auto"/>
              <w:jc w:val="center"/>
              <w:rPr>
                <w:rFonts w:eastAsia="Times New Roman" w:cs="Times New Roman"/>
                <w:color w:val="000000"/>
                <w:kern w:val="0"/>
                <w:sz w:val="18"/>
                <w:szCs w:val="18"/>
                <w:lang w:eastAsia="es-CO"/>
                <w14:ligatures w14:val="none"/>
              </w:rPr>
            </w:pPr>
            <w:r w:rsidRPr="002E333D">
              <w:rPr>
                <w:rFonts w:eastAsia="Times New Roman" w:cs="Times New Roman"/>
                <w:color w:val="000000"/>
                <w:kern w:val="0"/>
                <w:sz w:val="18"/>
                <w:szCs w:val="18"/>
                <w:lang w:eastAsia="es-CO"/>
                <w14:ligatures w14:val="none"/>
              </w:rPr>
              <w:t>Carretero</w:t>
            </w:r>
          </w:p>
        </w:tc>
        <w:tc>
          <w:tcPr>
            <w:tcW w:w="3410" w:type="dxa"/>
            <w:vAlign w:val="center"/>
            <w:hideMark/>
          </w:tcPr>
          <w:p w14:paraId="4CE74972" w14:textId="7D02D640" w:rsidR="00A506CC" w:rsidRPr="002E333D" w:rsidRDefault="00A506CC" w:rsidP="002E333D">
            <w:pPr>
              <w:spacing w:line="240" w:lineRule="auto"/>
              <w:jc w:val="left"/>
              <w:rPr>
                <w:rFonts w:eastAsia="Times New Roman" w:cs="Times New Roman"/>
                <w:color w:val="000000"/>
                <w:kern w:val="0"/>
                <w:sz w:val="18"/>
                <w:szCs w:val="18"/>
                <w:lang w:eastAsia="es-CO"/>
                <w14:ligatures w14:val="none"/>
              </w:rPr>
            </w:pPr>
            <w:r w:rsidRPr="002E333D">
              <w:rPr>
                <w:rFonts w:eastAsia="Times New Roman" w:cs="Times New Roman"/>
                <w:color w:val="000000"/>
                <w:kern w:val="0"/>
                <w:sz w:val="18"/>
                <w:szCs w:val="18"/>
                <w:lang w:eastAsia="es-CO"/>
                <w14:ligatures w14:val="none"/>
              </w:rPr>
              <w:t xml:space="preserve">TRONCAL DEL MAGDALENA </w:t>
            </w:r>
            <w:r w:rsidR="002E333D" w:rsidRPr="002E333D">
              <w:rPr>
                <w:rFonts w:eastAsia="Times New Roman" w:cs="Times New Roman"/>
                <w:color w:val="000000"/>
                <w:kern w:val="0"/>
                <w:sz w:val="18"/>
                <w:szCs w:val="18"/>
                <w:lang w:eastAsia="es-CO"/>
                <w14:ligatures w14:val="none"/>
              </w:rPr>
              <w:t xml:space="preserve">2 - </w:t>
            </w:r>
            <w:r w:rsidRPr="002E333D">
              <w:rPr>
                <w:rFonts w:eastAsia="Times New Roman" w:cs="Times New Roman"/>
                <w:color w:val="000000"/>
                <w:kern w:val="0"/>
                <w:sz w:val="18"/>
                <w:szCs w:val="18"/>
                <w:lang w:eastAsia="es-CO"/>
                <w14:ligatures w14:val="none"/>
              </w:rPr>
              <w:t xml:space="preserve">Corredor Sabana </w:t>
            </w:r>
            <w:r w:rsidR="002E333D" w:rsidRPr="002E333D">
              <w:rPr>
                <w:rFonts w:eastAsia="Times New Roman" w:cs="Times New Roman"/>
                <w:color w:val="000000"/>
                <w:kern w:val="0"/>
                <w:sz w:val="18"/>
                <w:szCs w:val="18"/>
                <w:lang w:eastAsia="es-CO"/>
                <w14:ligatures w14:val="none"/>
              </w:rPr>
              <w:t xml:space="preserve">De </w:t>
            </w:r>
            <w:r w:rsidRPr="002E333D">
              <w:rPr>
                <w:rFonts w:eastAsia="Times New Roman" w:cs="Times New Roman"/>
                <w:color w:val="000000"/>
                <w:kern w:val="0"/>
                <w:sz w:val="18"/>
                <w:szCs w:val="18"/>
                <w:lang w:eastAsia="es-CO"/>
                <w14:ligatures w14:val="none"/>
              </w:rPr>
              <w:t xml:space="preserve">Torres </w:t>
            </w:r>
            <w:r w:rsidR="002E333D" w:rsidRPr="002E333D">
              <w:rPr>
                <w:rFonts w:eastAsia="Times New Roman" w:cs="Times New Roman"/>
                <w:color w:val="000000"/>
                <w:kern w:val="0"/>
                <w:sz w:val="18"/>
                <w:szCs w:val="18"/>
                <w:lang w:eastAsia="es-CO"/>
                <w14:ligatures w14:val="none"/>
              </w:rPr>
              <w:t xml:space="preserve">– </w:t>
            </w:r>
            <w:r w:rsidRPr="002E333D">
              <w:rPr>
                <w:rFonts w:eastAsia="Times New Roman" w:cs="Times New Roman"/>
                <w:color w:val="000000"/>
                <w:kern w:val="0"/>
                <w:sz w:val="18"/>
                <w:szCs w:val="18"/>
                <w:lang w:eastAsia="es-CO"/>
                <w14:ligatures w14:val="none"/>
              </w:rPr>
              <w:t>Curumaní</w:t>
            </w:r>
          </w:p>
        </w:tc>
        <w:tc>
          <w:tcPr>
            <w:tcW w:w="834" w:type="dxa"/>
            <w:noWrap/>
            <w:vAlign w:val="center"/>
            <w:hideMark/>
          </w:tcPr>
          <w:p w14:paraId="5FF97DD8" w14:textId="77777777" w:rsidR="00A506CC" w:rsidRPr="002E333D" w:rsidRDefault="00A506CC" w:rsidP="000A5389">
            <w:pPr>
              <w:spacing w:line="240" w:lineRule="auto"/>
              <w:jc w:val="center"/>
              <w:rPr>
                <w:rFonts w:eastAsia="Times New Roman" w:cs="Times New Roman"/>
                <w:color w:val="000000"/>
                <w:kern w:val="0"/>
                <w:sz w:val="18"/>
                <w:szCs w:val="18"/>
                <w:lang w:eastAsia="es-CO"/>
                <w14:ligatures w14:val="none"/>
              </w:rPr>
            </w:pPr>
            <w:r w:rsidRPr="002E333D">
              <w:rPr>
                <w:rFonts w:eastAsia="Times New Roman" w:cs="Times New Roman"/>
                <w:color w:val="000000"/>
                <w:kern w:val="0"/>
                <w:sz w:val="18"/>
                <w:szCs w:val="18"/>
                <w:lang w:eastAsia="es-CO"/>
                <w14:ligatures w14:val="none"/>
              </w:rPr>
              <w:t>003-2022</w:t>
            </w:r>
          </w:p>
        </w:tc>
        <w:tc>
          <w:tcPr>
            <w:tcW w:w="1670" w:type="dxa"/>
            <w:noWrap/>
            <w:vAlign w:val="center"/>
            <w:hideMark/>
          </w:tcPr>
          <w:p w14:paraId="015DA2BC" w14:textId="33962100" w:rsidR="00A506CC" w:rsidRPr="002E333D" w:rsidRDefault="00A506CC" w:rsidP="002E333D">
            <w:pPr>
              <w:spacing w:line="240" w:lineRule="auto"/>
              <w:jc w:val="right"/>
              <w:rPr>
                <w:rFonts w:eastAsia="Times New Roman" w:cs="Times New Roman"/>
                <w:color w:val="000000"/>
                <w:kern w:val="0"/>
                <w:sz w:val="18"/>
                <w:szCs w:val="18"/>
                <w:lang w:eastAsia="es-CO"/>
                <w14:ligatures w14:val="none"/>
              </w:rPr>
            </w:pPr>
            <w:r w:rsidRPr="002E333D">
              <w:rPr>
                <w:rFonts w:eastAsia="Times New Roman" w:cs="Times New Roman"/>
                <w:color w:val="000000"/>
                <w:kern w:val="0"/>
                <w:sz w:val="18"/>
                <w:szCs w:val="18"/>
                <w:lang w:eastAsia="es-CO"/>
                <w14:ligatures w14:val="none"/>
              </w:rPr>
              <w:t>135.447.755.802</w:t>
            </w:r>
          </w:p>
        </w:tc>
      </w:tr>
      <w:tr w:rsidR="00A506CC" w:rsidRPr="002E333D" w14:paraId="340328D5" w14:textId="77777777" w:rsidTr="002E333D">
        <w:trPr>
          <w:trHeight w:val="408"/>
        </w:trPr>
        <w:tc>
          <w:tcPr>
            <w:tcW w:w="632" w:type="dxa"/>
            <w:vAlign w:val="center"/>
            <w:hideMark/>
          </w:tcPr>
          <w:p w14:paraId="1C9A62D4" w14:textId="77777777" w:rsidR="00A506CC" w:rsidRPr="002E333D" w:rsidRDefault="00A506CC" w:rsidP="000A5389">
            <w:pPr>
              <w:spacing w:line="240" w:lineRule="auto"/>
              <w:jc w:val="center"/>
              <w:rPr>
                <w:rFonts w:eastAsia="Times New Roman" w:cs="Times New Roman"/>
                <w:color w:val="000000"/>
                <w:kern w:val="0"/>
                <w:sz w:val="18"/>
                <w:szCs w:val="18"/>
                <w:lang w:eastAsia="es-CO"/>
                <w14:ligatures w14:val="none"/>
              </w:rPr>
            </w:pPr>
            <w:r w:rsidRPr="002E333D">
              <w:rPr>
                <w:rFonts w:eastAsia="Times New Roman" w:cs="Times New Roman"/>
                <w:color w:val="000000"/>
                <w:kern w:val="0"/>
                <w:sz w:val="18"/>
                <w:szCs w:val="18"/>
                <w:lang w:eastAsia="es-CO"/>
                <w14:ligatures w14:val="none"/>
              </w:rPr>
              <w:t>3</w:t>
            </w:r>
          </w:p>
        </w:tc>
        <w:tc>
          <w:tcPr>
            <w:tcW w:w="1066" w:type="dxa"/>
            <w:vAlign w:val="center"/>
            <w:hideMark/>
          </w:tcPr>
          <w:p w14:paraId="69CE197E" w14:textId="77777777" w:rsidR="00A506CC" w:rsidRPr="002E333D" w:rsidRDefault="00A506CC" w:rsidP="000A5389">
            <w:pPr>
              <w:spacing w:line="240" w:lineRule="auto"/>
              <w:jc w:val="center"/>
              <w:rPr>
                <w:rFonts w:eastAsia="Times New Roman" w:cs="Times New Roman"/>
                <w:color w:val="000000"/>
                <w:kern w:val="0"/>
                <w:sz w:val="18"/>
                <w:szCs w:val="18"/>
                <w:lang w:eastAsia="es-CO"/>
                <w14:ligatures w14:val="none"/>
              </w:rPr>
            </w:pPr>
            <w:r w:rsidRPr="002E333D">
              <w:rPr>
                <w:rFonts w:eastAsia="Times New Roman" w:cs="Times New Roman"/>
                <w:color w:val="000000"/>
                <w:kern w:val="0"/>
                <w:sz w:val="18"/>
                <w:szCs w:val="18"/>
                <w:lang w:eastAsia="es-CO"/>
                <w14:ligatures w14:val="none"/>
              </w:rPr>
              <w:t>INVIAS</w:t>
            </w:r>
          </w:p>
        </w:tc>
        <w:tc>
          <w:tcPr>
            <w:tcW w:w="1408" w:type="dxa"/>
            <w:vAlign w:val="center"/>
            <w:hideMark/>
          </w:tcPr>
          <w:p w14:paraId="22B4ED3D" w14:textId="57F18A78" w:rsidR="00A506CC" w:rsidRPr="002E333D" w:rsidRDefault="002E333D" w:rsidP="000A5389">
            <w:pPr>
              <w:spacing w:line="240" w:lineRule="auto"/>
              <w:jc w:val="center"/>
              <w:rPr>
                <w:rFonts w:eastAsia="Times New Roman" w:cs="Times New Roman"/>
                <w:color w:val="000000"/>
                <w:kern w:val="0"/>
                <w:sz w:val="18"/>
                <w:szCs w:val="18"/>
                <w:lang w:eastAsia="es-CO"/>
                <w14:ligatures w14:val="none"/>
              </w:rPr>
            </w:pPr>
            <w:r w:rsidRPr="002E333D">
              <w:rPr>
                <w:rFonts w:eastAsia="Times New Roman" w:cs="Times New Roman"/>
                <w:color w:val="000000"/>
                <w:kern w:val="0"/>
                <w:sz w:val="18"/>
                <w:szCs w:val="18"/>
                <w:lang w:eastAsia="es-CO"/>
                <w14:ligatures w14:val="none"/>
              </w:rPr>
              <w:t>Portuario</w:t>
            </w:r>
          </w:p>
        </w:tc>
        <w:tc>
          <w:tcPr>
            <w:tcW w:w="3410" w:type="dxa"/>
            <w:vAlign w:val="center"/>
            <w:hideMark/>
          </w:tcPr>
          <w:p w14:paraId="11FDF74F" w14:textId="37D51F5E" w:rsidR="00A506CC" w:rsidRPr="002E333D" w:rsidRDefault="002E333D" w:rsidP="002E333D">
            <w:pPr>
              <w:spacing w:line="240" w:lineRule="auto"/>
              <w:jc w:val="left"/>
              <w:rPr>
                <w:rFonts w:eastAsia="Times New Roman" w:cs="Times New Roman"/>
                <w:color w:val="000000"/>
                <w:kern w:val="0"/>
                <w:sz w:val="18"/>
                <w:szCs w:val="18"/>
                <w:lang w:eastAsia="es-CO"/>
                <w14:ligatures w14:val="none"/>
              </w:rPr>
            </w:pPr>
            <w:r w:rsidRPr="002E333D">
              <w:rPr>
                <w:rFonts w:eastAsia="Times New Roman" w:cs="Times New Roman"/>
                <w:color w:val="000000"/>
                <w:kern w:val="0"/>
                <w:sz w:val="18"/>
                <w:szCs w:val="18"/>
                <w:lang w:eastAsia="es-CO"/>
                <w14:ligatures w14:val="none"/>
              </w:rPr>
              <w:t>Sociedad Portuaria Regional De Cartagena S.A.</w:t>
            </w:r>
          </w:p>
        </w:tc>
        <w:tc>
          <w:tcPr>
            <w:tcW w:w="834" w:type="dxa"/>
            <w:vAlign w:val="center"/>
            <w:hideMark/>
          </w:tcPr>
          <w:p w14:paraId="57054360" w14:textId="77777777" w:rsidR="00A506CC" w:rsidRPr="002E333D" w:rsidRDefault="00A506CC" w:rsidP="000A5389">
            <w:pPr>
              <w:spacing w:line="240" w:lineRule="auto"/>
              <w:jc w:val="center"/>
              <w:rPr>
                <w:rFonts w:eastAsia="Times New Roman" w:cs="Times New Roman"/>
                <w:color w:val="000000"/>
                <w:kern w:val="0"/>
                <w:sz w:val="18"/>
                <w:szCs w:val="18"/>
                <w:lang w:eastAsia="es-CO"/>
                <w14:ligatures w14:val="none"/>
              </w:rPr>
            </w:pPr>
            <w:r w:rsidRPr="002E333D">
              <w:rPr>
                <w:rFonts w:eastAsia="Times New Roman" w:cs="Times New Roman"/>
                <w:color w:val="000000"/>
                <w:kern w:val="0"/>
                <w:sz w:val="18"/>
                <w:szCs w:val="18"/>
                <w:lang w:eastAsia="es-CO"/>
                <w14:ligatures w14:val="none"/>
              </w:rPr>
              <w:t>007-1993</w:t>
            </w:r>
          </w:p>
        </w:tc>
        <w:tc>
          <w:tcPr>
            <w:tcW w:w="1670" w:type="dxa"/>
            <w:vAlign w:val="center"/>
            <w:hideMark/>
          </w:tcPr>
          <w:p w14:paraId="7FF6A41F" w14:textId="7A708E3D" w:rsidR="00A506CC" w:rsidRPr="002E333D" w:rsidRDefault="00A506CC" w:rsidP="002E333D">
            <w:pPr>
              <w:spacing w:line="240" w:lineRule="auto"/>
              <w:jc w:val="right"/>
              <w:rPr>
                <w:rFonts w:eastAsia="Times New Roman" w:cs="Times New Roman"/>
                <w:color w:val="000000"/>
                <w:kern w:val="0"/>
                <w:sz w:val="18"/>
                <w:szCs w:val="18"/>
                <w:lang w:eastAsia="es-CO"/>
                <w14:ligatures w14:val="none"/>
              </w:rPr>
            </w:pPr>
            <w:r w:rsidRPr="002E333D">
              <w:rPr>
                <w:rFonts w:eastAsia="Times New Roman" w:cs="Times New Roman"/>
                <w:color w:val="000000"/>
                <w:kern w:val="0"/>
                <w:sz w:val="18"/>
                <w:szCs w:val="18"/>
                <w:lang w:eastAsia="es-CO"/>
                <w14:ligatures w14:val="none"/>
              </w:rPr>
              <w:t>123.900.627.532</w:t>
            </w:r>
          </w:p>
        </w:tc>
      </w:tr>
      <w:tr w:rsidR="00A506CC" w:rsidRPr="002E333D" w14:paraId="4AEC6865" w14:textId="77777777" w:rsidTr="002E333D">
        <w:trPr>
          <w:trHeight w:val="408"/>
        </w:trPr>
        <w:tc>
          <w:tcPr>
            <w:tcW w:w="632" w:type="dxa"/>
            <w:vAlign w:val="center"/>
            <w:hideMark/>
          </w:tcPr>
          <w:p w14:paraId="784238AF" w14:textId="77777777" w:rsidR="00A506CC" w:rsidRPr="002E333D" w:rsidRDefault="00A506CC" w:rsidP="000A5389">
            <w:pPr>
              <w:spacing w:line="240" w:lineRule="auto"/>
              <w:jc w:val="center"/>
              <w:rPr>
                <w:rFonts w:eastAsia="Times New Roman" w:cs="Times New Roman"/>
                <w:color w:val="000000"/>
                <w:kern w:val="0"/>
                <w:sz w:val="18"/>
                <w:szCs w:val="18"/>
                <w:lang w:eastAsia="es-CO"/>
                <w14:ligatures w14:val="none"/>
              </w:rPr>
            </w:pPr>
            <w:r w:rsidRPr="002E333D">
              <w:rPr>
                <w:rFonts w:eastAsia="Times New Roman" w:cs="Times New Roman"/>
                <w:color w:val="000000"/>
                <w:kern w:val="0"/>
                <w:sz w:val="18"/>
                <w:szCs w:val="18"/>
                <w:lang w:eastAsia="es-CO"/>
                <w14:ligatures w14:val="none"/>
              </w:rPr>
              <w:t>4</w:t>
            </w:r>
          </w:p>
        </w:tc>
        <w:tc>
          <w:tcPr>
            <w:tcW w:w="1066" w:type="dxa"/>
            <w:vAlign w:val="center"/>
            <w:hideMark/>
          </w:tcPr>
          <w:p w14:paraId="1F859274" w14:textId="77777777" w:rsidR="00A506CC" w:rsidRPr="002E333D" w:rsidRDefault="00A506CC" w:rsidP="000A5389">
            <w:pPr>
              <w:spacing w:line="240" w:lineRule="auto"/>
              <w:jc w:val="center"/>
              <w:rPr>
                <w:rFonts w:eastAsia="Times New Roman" w:cs="Times New Roman"/>
                <w:color w:val="000000"/>
                <w:kern w:val="0"/>
                <w:sz w:val="18"/>
                <w:szCs w:val="18"/>
                <w:lang w:eastAsia="es-CO"/>
                <w14:ligatures w14:val="none"/>
              </w:rPr>
            </w:pPr>
            <w:r w:rsidRPr="002E333D">
              <w:rPr>
                <w:rFonts w:eastAsia="Times New Roman" w:cs="Times New Roman"/>
                <w:color w:val="000000"/>
                <w:kern w:val="0"/>
                <w:sz w:val="18"/>
                <w:szCs w:val="18"/>
                <w:lang w:eastAsia="es-CO"/>
                <w14:ligatures w14:val="none"/>
              </w:rPr>
              <w:t>INVIAS</w:t>
            </w:r>
          </w:p>
        </w:tc>
        <w:tc>
          <w:tcPr>
            <w:tcW w:w="1408" w:type="dxa"/>
            <w:vAlign w:val="center"/>
            <w:hideMark/>
          </w:tcPr>
          <w:p w14:paraId="62502FCD" w14:textId="5D6ADB06" w:rsidR="00A506CC" w:rsidRPr="002E333D" w:rsidRDefault="002E333D" w:rsidP="000A5389">
            <w:pPr>
              <w:spacing w:line="240" w:lineRule="auto"/>
              <w:jc w:val="center"/>
              <w:rPr>
                <w:rFonts w:eastAsia="Times New Roman" w:cs="Times New Roman"/>
                <w:color w:val="000000"/>
                <w:kern w:val="0"/>
                <w:sz w:val="18"/>
                <w:szCs w:val="18"/>
                <w:lang w:eastAsia="es-CO"/>
                <w14:ligatures w14:val="none"/>
              </w:rPr>
            </w:pPr>
            <w:r w:rsidRPr="002E333D">
              <w:rPr>
                <w:rFonts w:eastAsia="Times New Roman" w:cs="Times New Roman"/>
                <w:color w:val="000000"/>
                <w:kern w:val="0"/>
                <w:sz w:val="18"/>
                <w:szCs w:val="18"/>
                <w:lang w:eastAsia="es-CO"/>
                <w14:ligatures w14:val="none"/>
              </w:rPr>
              <w:t>Carretero</w:t>
            </w:r>
          </w:p>
        </w:tc>
        <w:tc>
          <w:tcPr>
            <w:tcW w:w="3410" w:type="dxa"/>
            <w:vAlign w:val="center"/>
            <w:hideMark/>
          </w:tcPr>
          <w:p w14:paraId="3946A623" w14:textId="3F4F8C61" w:rsidR="00A506CC" w:rsidRPr="002E333D" w:rsidRDefault="002E333D" w:rsidP="002E333D">
            <w:pPr>
              <w:spacing w:line="240" w:lineRule="auto"/>
              <w:jc w:val="left"/>
              <w:rPr>
                <w:rFonts w:eastAsia="Times New Roman" w:cs="Times New Roman"/>
                <w:color w:val="000000"/>
                <w:kern w:val="0"/>
                <w:sz w:val="18"/>
                <w:szCs w:val="18"/>
                <w:lang w:eastAsia="es-CO"/>
                <w14:ligatures w14:val="none"/>
              </w:rPr>
            </w:pPr>
            <w:r w:rsidRPr="002E333D">
              <w:rPr>
                <w:rFonts w:eastAsia="Times New Roman" w:cs="Times New Roman"/>
                <w:color w:val="000000"/>
                <w:kern w:val="0"/>
                <w:sz w:val="18"/>
                <w:szCs w:val="18"/>
                <w:lang w:eastAsia="es-CO"/>
                <w14:ligatures w14:val="none"/>
              </w:rPr>
              <w:t>Troncal Del Magdalena 1 - Pto Salgar - Barrancabermeja</w:t>
            </w:r>
          </w:p>
        </w:tc>
        <w:tc>
          <w:tcPr>
            <w:tcW w:w="834" w:type="dxa"/>
            <w:noWrap/>
            <w:vAlign w:val="center"/>
            <w:hideMark/>
          </w:tcPr>
          <w:p w14:paraId="66605E4F" w14:textId="77777777" w:rsidR="00A506CC" w:rsidRPr="002E333D" w:rsidRDefault="00A506CC" w:rsidP="000A5389">
            <w:pPr>
              <w:spacing w:line="240" w:lineRule="auto"/>
              <w:jc w:val="center"/>
              <w:rPr>
                <w:rFonts w:eastAsia="Times New Roman" w:cs="Times New Roman"/>
                <w:color w:val="000000"/>
                <w:kern w:val="0"/>
                <w:sz w:val="18"/>
                <w:szCs w:val="18"/>
                <w:lang w:eastAsia="es-CO"/>
                <w14:ligatures w14:val="none"/>
              </w:rPr>
            </w:pPr>
            <w:r w:rsidRPr="002E333D">
              <w:rPr>
                <w:rFonts w:eastAsia="Times New Roman" w:cs="Times New Roman"/>
                <w:color w:val="000000"/>
                <w:kern w:val="0"/>
                <w:sz w:val="18"/>
                <w:szCs w:val="18"/>
                <w:lang w:eastAsia="es-CO"/>
                <w14:ligatures w14:val="none"/>
              </w:rPr>
              <w:t>002-2022</w:t>
            </w:r>
          </w:p>
        </w:tc>
        <w:tc>
          <w:tcPr>
            <w:tcW w:w="1670" w:type="dxa"/>
            <w:noWrap/>
            <w:vAlign w:val="center"/>
            <w:hideMark/>
          </w:tcPr>
          <w:p w14:paraId="1A0EF57C" w14:textId="238B2A5B" w:rsidR="00A506CC" w:rsidRPr="002E333D" w:rsidRDefault="00A506CC" w:rsidP="002E333D">
            <w:pPr>
              <w:spacing w:line="240" w:lineRule="auto"/>
              <w:jc w:val="right"/>
              <w:rPr>
                <w:rFonts w:eastAsia="Times New Roman" w:cs="Times New Roman"/>
                <w:color w:val="000000"/>
                <w:kern w:val="0"/>
                <w:sz w:val="18"/>
                <w:szCs w:val="18"/>
                <w:lang w:eastAsia="es-CO"/>
                <w14:ligatures w14:val="none"/>
              </w:rPr>
            </w:pPr>
            <w:r w:rsidRPr="002E333D">
              <w:rPr>
                <w:rFonts w:eastAsia="Times New Roman" w:cs="Times New Roman"/>
                <w:color w:val="000000"/>
                <w:kern w:val="0"/>
                <w:sz w:val="18"/>
                <w:szCs w:val="18"/>
                <w:lang w:eastAsia="es-CO"/>
                <w14:ligatures w14:val="none"/>
              </w:rPr>
              <w:t>91.805.344.724</w:t>
            </w:r>
          </w:p>
        </w:tc>
      </w:tr>
      <w:tr w:rsidR="00A506CC" w:rsidRPr="002E333D" w14:paraId="703CDBB7" w14:textId="77777777" w:rsidTr="002E333D">
        <w:trPr>
          <w:trHeight w:val="408"/>
        </w:trPr>
        <w:tc>
          <w:tcPr>
            <w:tcW w:w="632" w:type="dxa"/>
            <w:vAlign w:val="center"/>
            <w:hideMark/>
          </w:tcPr>
          <w:p w14:paraId="6A6DB611" w14:textId="77777777" w:rsidR="00A506CC" w:rsidRPr="002E333D" w:rsidRDefault="00A506CC" w:rsidP="000A5389">
            <w:pPr>
              <w:spacing w:line="240" w:lineRule="auto"/>
              <w:jc w:val="center"/>
              <w:rPr>
                <w:rFonts w:eastAsia="Times New Roman" w:cs="Times New Roman"/>
                <w:color w:val="000000"/>
                <w:kern w:val="0"/>
                <w:sz w:val="18"/>
                <w:szCs w:val="18"/>
                <w:lang w:eastAsia="es-CO"/>
                <w14:ligatures w14:val="none"/>
              </w:rPr>
            </w:pPr>
            <w:r w:rsidRPr="002E333D">
              <w:rPr>
                <w:rFonts w:eastAsia="Times New Roman" w:cs="Times New Roman"/>
                <w:color w:val="000000"/>
                <w:kern w:val="0"/>
                <w:sz w:val="18"/>
                <w:szCs w:val="18"/>
                <w:lang w:eastAsia="es-CO"/>
                <w14:ligatures w14:val="none"/>
              </w:rPr>
              <w:t>5</w:t>
            </w:r>
          </w:p>
        </w:tc>
        <w:tc>
          <w:tcPr>
            <w:tcW w:w="1066" w:type="dxa"/>
            <w:vAlign w:val="center"/>
            <w:hideMark/>
          </w:tcPr>
          <w:p w14:paraId="0DEEA00B" w14:textId="77777777" w:rsidR="00A506CC" w:rsidRPr="002E333D" w:rsidRDefault="00A506CC" w:rsidP="000A5389">
            <w:pPr>
              <w:spacing w:line="240" w:lineRule="auto"/>
              <w:jc w:val="center"/>
              <w:rPr>
                <w:rFonts w:eastAsia="Times New Roman" w:cs="Times New Roman"/>
                <w:color w:val="000000"/>
                <w:kern w:val="0"/>
                <w:sz w:val="18"/>
                <w:szCs w:val="18"/>
                <w:lang w:eastAsia="es-CO"/>
                <w14:ligatures w14:val="none"/>
              </w:rPr>
            </w:pPr>
            <w:r w:rsidRPr="002E333D">
              <w:rPr>
                <w:rFonts w:eastAsia="Times New Roman" w:cs="Times New Roman"/>
                <w:color w:val="000000"/>
                <w:kern w:val="0"/>
                <w:sz w:val="18"/>
                <w:szCs w:val="18"/>
                <w:lang w:eastAsia="es-CO"/>
                <w14:ligatures w14:val="none"/>
              </w:rPr>
              <w:t>IDU</w:t>
            </w:r>
          </w:p>
        </w:tc>
        <w:tc>
          <w:tcPr>
            <w:tcW w:w="1408" w:type="dxa"/>
            <w:vAlign w:val="center"/>
            <w:hideMark/>
          </w:tcPr>
          <w:p w14:paraId="167E6EC3" w14:textId="1B01A5EA" w:rsidR="00A506CC" w:rsidRPr="002E333D" w:rsidRDefault="002E333D" w:rsidP="000A5389">
            <w:pPr>
              <w:spacing w:line="240" w:lineRule="auto"/>
              <w:jc w:val="center"/>
              <w:rPr>
                <w:rFonts w:eastAsia="Times New Roman" w:cs="Times New Roman"/>
                <w:color w:val="000000"/>
                <w:kern w:val="0"/>
                <w:sz w:val="18"/>
                <w:szCs w:val="18"/>
                <w:lang w:eastAsia="es-CO"/>
                <w14:ligatures w14:val="none"/>
              </w:rPr>
            </w:pPr>
            <w:r w:rsidRPr="002E333D">
              <w:rPr>
                <w:rFonts w:eastAsia="Times New Roman" w:cs="Times New Roman"/>
                <w:color w:val="000000"/>
                <w:kern w:val="0"/>
                <w:sz w:val="18"/>
                <w:szCs w:val="18"/>
                <w:lang w:eastAsia="es-CO"/>
                <w14:ligatures w14:val="none"/>
              </w:rPr>
              <w:t>Carretero</w:t>
            </w:r>
          </w:p>
        </w:tc>
        <w:tc>
          <w:tcPr>
            <w:tcW w:w="3410" w:type="dxa"/>
            <w:vAlign w:val="center"/>
            <w:hideMark/>
          </w:tcPr>
          <w:p w14:paraId="0B6BDB20" w14:textId="69C1E5B6" w:rsidR="00A506CC" w:rsidRPr="002E333D" w:rsidRDefault="002E333D" w:rsidP="002E333D">
            <w:pPr>
              <w:spacing w:line="240" w:lineRule="auto"/>
              <w:jc w:val="left"/>
              <w:rPr>
                <w:rFonts w:eastAsia="Times New Roman" w:cs="Times New Roman"/>
                <w:color w:val="000000"/>
                <w:kern w:val="0"/>
                <w:sz w:val="18"/>
                <w:szCs w:val="18"/>
                <w:lang w:eastAsia="es-CO"/>
                <w14:ligatures w14:val="none"/>
              </w:rPr>
            </w:pPr>
            <w:r w:rsidRPr="002E333D">
              <w:rPr>
                <w:rFonts w:eastAsia="Times New Roman" w:cs="Times New Roman"/>
                <w:color w:val="000000"/>
                <w:kern w:val="0"/>
                <w:sz w:val="18"/>
                <w:szCs w:val="18"/>
                <w:lang w:eastAsia="es-CO"/>
                <w14:ligatures w14:val="none"/>
              </w:rPr>
              <w:t>Alo Sur (Avenida Longitudinal Occidente)</w:t>
            </w:r>
          </w:p>
        </w:tc>
        <w:tc>
          <w:tcPr>
            <w:tcW w:w="834" w:type="dxa"/>
            <w:vAlign w:val="center"/>
            <w:hideMark/>
          </w:tcPr>
          <w:p w14:paraId="43C21B83" w14:textId="77777777" w:rsidR="00A506CC" w:rsidRPr="002E333D" w:rsidRDefault="00A506CC" w:rsidP="000A5389">
            <w:pPr>
              <w:spacing w:line="240" w:lineRule="auto"/>
              <w:jc w:val="center"/>
              <w:rPr>
                <w:rFonts w:eastAsia="Times New Roman" w:cs="Times New Roman"/>
                <w:color w:val="000000"/>
                <w:kern w:val="0"/>
                <w:sz w:val="18"/>
                <w:szCs w:val="18"/>
                <w:lang w:eastAsia="es-CO"/>
                <w14:ligatures w14:val="none"/>
              </w:rPr>
            </w:pPr>
            <w:r w:rsidRPr="002E333D">
              <w:rPr>
                <w:rFonts w:eastAsia="Times New Roman" w:cs="Times New Roman"/>
                <w:color w:val="000000"/>
                <w:kern w:val="0"/>
                <w:sz w:val="18"/>
                <w:szCs w:val="18"/>
                <w:lang w:eastAsia="es-CO"/>
                <w14:ligatures w14:val="none"/>
              </w:rPr>
              <w:t>003-2021</w:t>
            </w:r>
          </w:p>
        </w:tc>
        <w:tc>
          <w:tcPr>
            <w:tcW w:w="1670" w:type="dxa"/>
            <w:vAlign w:val="center"/>
            <w:hideMark/>
          </w:tcPr>
          <w:p w14:paraId="08A655F9" w14:textId="30CD9CB0" w:rsidR="00A506CC" w:rsidRPr="002E333D" w:rsidRDefault="00A506CC" w:rsidP="002E333D">
            <w:pPr>
              <w:spacing w:line="240" w:lineRule="auto"/>
              <w:jc w:val="right"/>
              <w:rPr>
                <w:rFonts w:eastAsia="Times New Roman" w:cs="Times New Roman"/>
                <w:color w:val="000000"/>
                <w:kern w:val="0"/>
                <w:sz w:val="18"/>
                <w:szCs w:val="18"/>
                <w:lang w:eastAsia="es-CO"/>
                <w14:ligatures w14:val="none"/>
              </w:rPr>
            </w:pPr>
            <w:r w:rsidRPr="002E333D">
              <w:rPr>
                <w:rFonts w:eastAsia="Times New Roman" w:cs="Times New Roman"/>
                <w:color w:val="000000"/>
                <w:kern w:val="0"/>
                <w:sz w:val="18"/>
                <w:szCs w:val="18"/>
                <w:lang w:eastAsia="es-CO"/>
                <w14:ligatures w14:val="none"/>
              </w:rPr>
              <w:t>26.285.782.952</w:t>
            </w:r>
          </w:p>
        </w:tc>
      </w:tr>
      <w:tr w:rsidR="00A506CC" w:rsidRPr="002E333D" w14:paraId="4FF2E360" w14:textId="77777777" w:rsidTr="002E333D">
        <w:trPr>
          <w:trHeight w:val="408"/>
        </w:trPr>
        <w:tc>
          <w:tcPr>
            <w:tcW w:w="632" w:type="dxa"/>
            <w:vAlign w:val="center"/>
            <w:hideMark/>
          </w:tcPr>
          <w:p w14:paraId="69C5E667" w14:textId="77777777" w:rsidR="00A506CC" w:rsidRPr="002E333D" w:rsidRDefault="00A506CC" w:rsidP="000A5389">
            <w:pPr>
              <w:spacing w:line="240" w:lineRule="auto"/>
              <w:jc w:val="center"/>
              <w:rPr>
                <w:rFonts w:eastAsia="Times New Roman" w:cs="Times New Roman"/>
                <w:color w:val="000000"/>
                <w:kern w:val="0"/>
                <w:sz w:val="18"/>
                <w:szCs w:val="18"/>
                <w:lang w:eastAsia="es-CO"/>
                <w14:ligatures w14:val="none"/>
              </w:rPr>
            </w:pPr>
            <w:r w:rsidRPr="002E333D">
              <w:rPr>
                <w:rFonts w:eastAsia="Times New Roman" w:cs="Times New Roman"/>
                <w:color w:val="000000"/>
                <w:kern w:val="0"/>
                <w:sz w:val="18"/>
                <w:szCs w:val="18"/>
                <w:lang w:eastAsia="es-CO"/>
                <w14:ligatures w14:val="none"/>
              </w:rPr>
              <w:t>6</w:t>
            </w:r>
          </w:p>
        </w:tc>
        <w:tc>
          <w:tcPr>
            <w:tcW w:w="1066" w:type="dxa"/>
            <w:vAlign w:val="center"/>
            <w:hideMark/>
          </w:tcPr>
          <w:p w14:paraId="6824DF0C" w14:textId="77777777" w:rsidR="00A506CC" w:rsidRPr="002E333D" w:rsidRDefault="00A506CC" w:rsidP="000A5389">
            <w:pPr>
              <w:spacing w:line="240" w:lineRule="auto"/>
              <w:jc w:val="center"/>
              <w:rPr>
                <w:rFonts w:eastAsia="Times New Roman" w:cs="Times New Roman"/>
                <w:color w:val="000000"/>
                <w:kern w:val="0"/>
                <w:sz w:val="18"/>
                <w:szCs w:val="18"/>
                <w:lang w:eastAsia="es-CO"/>
                <w14:ligatures w14:val="none"/>
              </w:rPr>
            </w:pPr>
            <w:r w:rsidRPr="002E333D">
              <w:rPr>
                <w:rFonts w:eastAsia="Times New Roman" w:cs="Times New Roman"/>
                <w:color w:val="000000"/>
                <w:kern w:val="0"/>
                <w:sz w:val="18"/>
                <w:szCs w:val="18"/>
                <w:lang w:eastAsia="es-CO"/>
                <w14:ligatures w14:val="none"/>
              </w:rPr>
              <w:t>INVIAS</w:t>
            </w:r>
          </w:p>
        </w:tc>
        <w:tc>
          <w:tcPr>
            <w:tcW w:w="1408" w:type="dxa"/>
            <w:vAlign w:val="center"/>
            <w:hideMark/>
          </w:tcPr>
          <w:p w14:paraId="698DC332" w14:textId="19A73C78" w:rsidR="00A506CC" w:rsidRPr="002E333D" w:rsidRDefault="002E333D" w:rsidP="000A5389">
            <w:pPr>
              <w:spacing w:line="240" w:lineRule="auto"/>
              <w:jc w:val="center"/>
              <w:rPr>
                <w:rFonts w:eastAsia="Times New Roman" w:cs="Times New Roman"/>
                <w:color w:val="000000"/>
                <w:kern w:val="0"/>
                <w:sz w:val="18"/>
                <w:szCs w:val="18"/>
                <w:lang w:eastAsia="es-CO"/>
                <w14:ligatures w14:val="none"/>
              </w:rPr>
            </w:pPr>
            <w:r w:rsidRPr="002E333D">
              <w:rPr>
                <w:rFonts w:eastAsia="Times New Roman" w:cs="Times New Roman"/>
                <w:color w:val="000000"/>
                <w:kern w:val="0"/>
                <w:sz w:val="18"/>
                <w:szCs w:val="18"/>
                <w:lang w:eastAsia="es-CO"/>
                <w14:ligatures w14:val="none"/>
              </w:rPr>
              <w:t>Portuario</w:t>
            </w:r>
          </w:p>
        </w:tc>
        <w:tc>
          <w:tcPr>
            <w:tcW w:w="3410" w:type="dxa"/>
            <w:vAlign w:val="center"/>
            <w:hideMark/>
          </w:tcPr>
          <w:p w14:paraId="7E864E52" w14:textId="78A98D4B" w:rsidR="00A506CC" w:rsidRPr="002E333D" w:rsidRDefault="002E333D" w:rsidP="002E333D">
            <w:pPr>
              <w:spacing w:line="240" w:lineRule="auto"/>
              <w:jc w:val="left"/>
              <w:rPr>
                <w:rFonts w:eastAsia="Times New Roman" w:cs="Times New Roman"/>
                <w:color w:val="000000"/>
                <w:kern w:val="0"/>
                <w:sz w:val="18"/>
                <w:szCs w:val="18"/>
                <w:lang w:eastAsia="es-CO"/>
                <w14:ligatures w14:val="none"/>
              </w:rPr>
            </w:pPr>
            <w:r w:rsidRPr="002E333D">
              <w:rPr>
                <w:rFonts w:eastAsia="Times New Roman" w:cs="Times New Roman"/>
                <w:color w:val="000000"/>
                <w:kern w:val="0"/>
                <w:sz w:val="18"/>
                <w:szCs w:val="18"/>
                <w:lang w:eastAsia="es-CO"/>
                <w14:ligatures w14:val="none"/>
              </w:rPr>
              <w:t>Sociedad Portuaria Regional De Santa Marta S.A</w:t>
            </w:r>
          </w:p>
        </w:tc>
        <w:tc>
          <w:tcPr>
            <w:tcW w:w="834" w:type="dxa"/>
            <w:vAlign w:val="center"/>
            <w:hideMark/>
          </w:tcPr>
          <w:p w14:paraId="017794FB" w14:textId="77777777" w:rsidR="00A506CC" w:rsidRPr="002E333D" w:rsidRDefault="00A506CC" w:rsidP="000A5389">
            <w:pPr>
              <w:spacing w:line="240" w:lineRule="auto"/>
              <w:jc w:val="center"/>
              <w:rPr>
                <w:rFonts w:eastAsia="Times New Roman" w:cs="Times New Roman"/>
                <w:color w:val="000000"/>
                <w:kern w:val="0"/>
                <w:sz w:val="18"/>
                <w:szCs w:val="18"/>
                <w:lang w:eastAsia="es-CO"/>
                <w14:ligatures w14:val="none"/>
              </w:rPr>
            </w:pPr>
            <w:r w:rsidRPr="002E333D">
              <w:rPr>
                <w:rFonts w:eastAsia="Times New Roman" w:cs="Times New Roman"/>
                <w:color w:val="000000"/>
                <w:kern w:val="0"/>
                <w:sz w:val="18"/>
                <w:szCs w:val="18"/>
                <w:lang w:eastAsia="es-CO"/>
                <w14:ligatures w14:val="none"/>
              </w:rPr>
              <w:t>009-1993</w:t>
            </w:r>
          </w:p>
        </w:tc>
        <w:tc>
          <w:tcPr>
            <w:tcW w:w="1670" w:type="dxa"/>
            <w:vAlign w:val="center"/>
            <w:hideMark/>
          </w:tcPr>
          <w:p w14:paraId="639B17F4" w14:textId="10F507B2" w:rsidR="00A506CC" w:rsidRPr="002E333D" w:rsidRDefault="00A506CC" w:rsidP="002E333D">
            <w:pPr>
              <w:spacing w:line="240" w:lineRule="auto"/>
              <w:jc w:val="right"/>
              <w:rPr>
                <w:rFonts w:eastAsia="Times New Roman" w:cs="Times New Roman"/>
                <w:color w:val="000000"/>
                <w:kern w:val="0"/>
                <w:sz w:val="18"/>
                <w:szCs w:val="18"/>
                <w:lang w:eastAsia="es-CO"/>
                <w14:ligatures w14:val="none"/>
              </w:rPr>
            </w:pPr>
            <w:r w:rsidRPr="002E333D">
              <w:rPr>
                <w:rFonts w:eastAsia="Times New Roman" w:cs="Times New Roman"/>
                <w:color w:val="000000"/>
                <w:kern w:val="0"/>
                <w:sz w:val="18"/>
                <w:szCs w:val="18"/>
                <w:lang w:eastAsia="es-CO"/>
                <w14:ligatures w14:val="none"/>
              </w:rPr>
              <w:t>18.230.804.581</w:t>
            </w:r>
          </w:p>
        </w:tc>
      </w:tr>
      <w:tr w:rsidR="00A506CC" w:rsidRPr="002E333D" w14:paraId="5120B185" w14:textId="77777777" w:rsidTr="002E333D">
        <w:trPr>
          <w:trHeight w:val="408"/>
        </w:trPr>
        <w:tc>
          <w:tcPr>
            <w:tcW w:w="632" w:type="dxa"/>
            <w:vAlign w:val="center"/>
            <w:hideMark/>
          </w:tcPr>
          <w:p w14:paraId="3409C938" w14:textId="77777777" w:rsidR="00A506CC" w:rsidRPr="002E333D" w:rsidRDefault="00A506CC" w:rsidP="000A5389">
            <w:pPr>
              <w:spacing w:line="240" w:lineRule="auto"/>
              <w:jc w:val="center"/>
              <w:rPr>
                <w:rFonts w:eastAsia="Times New Roman" w:cs="Times New Roman"/>
                <w:color w:val="000000"/>
                <w:kern w:val="0"/>
                <w:sz w:val="18"/>
                <w:szCs w:val="18"/>
                <w:lang w:eastAsia="es-CO"/>
                <w14:ligatures w14:val="none"/>
              </w:rPr>
            </w:pPr>
            <w:r w:rsidRPr="002E333D">
              <w:rPr>
                <w:rFonts w:eastAsia="Times New Roman" w:cs="Times New Roman"/>
                <w:color w:val="000000"/>
                <w:kern w:val="0"/>
                <w:sz w:val="18"/>
                <w:szCs w:val="18"/>
                <w:lang w:eastAsia="es-CO"/>
                <w14:ligatures w14:val="none"/>
              </w:rPr>
              <w:t>7</w:t>
            </w:r>
          </w:p>
        </w:tc>
        <w:tc>
          <w:tcPr>
            <w:tcW w:w="1066" w:type="dxa"/>
            <w:vAlign w:val="center"/>
            <w:hideMark/>
          </w:tcPr>
          <w:p w14:paraId="76794008" w14:textId="77777777" w:rsidR="00A506CC" w:rsidRPr="002E333D" w:rsidRDefault="00A506CC" w:rsidP="000A5389">
            <w:pPr>
              <w:spacing w:line="240" w:lineRule="auto"/>
              <w:jc w:val="center"/>
              <w:rPr>
                <w:rFonts w:eastAsia="Times New Roman" w:cs="Times New Roman"/>
                <w:color w:val="000000"/>
                <w:kern w:val="0"/>
                <w:sz w:val="18"/>
                <w:szCs w:val="18"/>
                <w:lang w:eastAsia="es-CO"/>
                <w14:ligatures w14:val="none"/>
              </w:rPr>
            </w:pPr>
            <w:r w:rsidRPr="002E333D">
              <w:rPr>
                <w:rFonts w:eastAsia="Times New Roman" w:cs="Times New Roman"/>
                <w:color w:val="000000"/>
                <w:kern w:val="0"/>
                <w:sz w:val="18"/>
                <w:szCs w:val="18"/>
                <w:lang w:eastAsia="es-CO"/>
                <w14:ligatures w14:val="none"/>
              </w:rPr>
              <w:t>INVIAS</w:t>
            </w:r>
          </w:p>
        </w:tc>
        <w:tc>
          <w:tcPr>
            <w:tcW w:w="1408" w:type="dxa"/>
            <w:vAlign w:val="center"/>
            <w:hideMark/>
          </w:tcPr>
          <w:p w14:paraId="249A792E" w14:textId="667AE8A9" w:rsidR="00A506CC" w:rsidRPr="002E333D" w:rsidRDefault="002E333D" w:rsidP="000A5389">
            <w:pPr>
              <w:spacing w:line="240" w:lineRule="auto"/>
              <w:jc w:val="center"/>
              <w:rPr>
                <w:rFonts w:eastAsia="Times New Roman" w:cs="Times New Roman"/>
                <w:color w:val="000000"/>
                <w:kern w:val="0"/>
                <w:sz w:val="18"/>
                <w:szCs w:val="18"/>
                <w:lang w:eastAsia="es-CO"/>
                <w14:ligatures w14:val="none"/>
              </w:rPr>
            </w:pPr>
            <w:r w:rsidRPr="002E333D">
              <w:rPr>
                <w:rFonts w:eastAsia="Times New Roman" w:cs="Times New Roman"/>
                <w:color w:val="000000"/>
                <w:kern w:val="0"/>
                <w:sz w:val="18"/>
                <w:szCs w:val="18"/>
                <w:lang w:eastAsia="es-CO"/>
                <w14:ligatures w14:val="none"/>
              </w:rPr>
              <w:t>Carretero</w:t>
            </w:r>
          </w:p>
        </w:tc>
        <w:tc>
          <w:tcPr>
            <w:tcW w:w="3410" w:type="dxa"/>
            <w:vAlign w:val="center"/>
            <w:hideMark/>
          </w:tcPr>
          <w:p w14:paraId="5527A05E" w14:textId="2686CA4E" w:rsidR="00A506CC" w:rsidRPr="002E333D" w:rsidRDefault="002E333D" w:rsidP="002E333D">
            <w:pPr>
              <w:spacing w:line="240" w:lineRule="auto"/>
              <w:jc w:val="left"/>
              <w:rPr>
                <w:rFonts w:eastAsia="Times New Roman" w:cs="Times New Roman"/>
                <w:color w:val="000000"/>
                <w:kern w:val="0"/>
                <w:sz w:val="18"/>
                <w:szCs w:val="18"/>
                <w:lang w:eastAsia="es-CO"/>
                <w14:ligatures w14:val="none"/>
              </w:rPr>
            </w:pPr>
            <w:r w:rsidRPr="002E333D">
              <w:rPr>
                <w:rFonts w:eastAsia="Times New Roman" w:cs="Times New Roman"/>
                <w:color w:val="000000"/>
                <w:kern w:val="0"/>
                <w:sz w:val="18"/>
                <w:szCs w:val="18"/>
                <w:lang w:eastAsia="es-CO"/>
                <w14:ligatures w14:val="none"/>
              </w:rPr>
              <w:t>Buenaventura - Loboguerrero - Buga</w:t>
            </w:r>
          </w:p>
        </w:tc>
        <w:tc>
          <w:tcPr>
            <w:tcW w:w="834" w:type="dxa"/>
            <w:vAlign w:val="center"/>
            <w:hideMark/>
          </w:tcPr>
          <w:p w14:paraId="6C401B00" w14:textId="77777777" w:rsidR="00A506CC" w:rsidRPr="002E333D" w:rsidRDefault="00A506CC" w:rsidP="000A5389">
            <w:pPr>
              <w:spacing w:line="240" w:lineRule="auto"/>
              <w:jc w:val="center"/>
              <w:rPr>
                <w:rFonts w:eastAsia="Times New Roman" w:cs="Times New Roman"/>
                <w:color w:val="000000"/>
                <w:kern w:val="0"/>
                <w:sz w:val="18"/>
                <w:szCs w:val="18"/>
                <w:lang w:eastAsia="es-CO"/>
                <w14:ligatures w14:val="none"/>
              </w:rPr>
            </w:pPr>
            <w:r w:rsidRPr="002E333D">
              <w:rPr>
                <w:rFonts w:eastAsia="Times New Roman" w:cs="Times New Roman"/>
                <w:color w:val="000000"/>
                <w:kern w:val="0"/>
                <w:sz w:val="18"/>
                <w:szCs w:val="18"/>
                <w:lang w:eastAsia="es-CO"/>
                <w14:ligatures w14:val="none"/>
              </w:rPr>
              <w:t>004-2022</w:t>
            </w:r>
          </w:p>
        </w:tc>
        <w:tc>
          <w:tcPr>
            <w:tcW w:w="1670" w:type="dxa"/>
            <w:vAlign w:val="center"/>
            <w:hideMark/>
          </w:tcPr>
          <w:p w14:paraId="7258BB91" w14:textId="1BB3DF31" w:rsidR="00A506CC" w:rsidRPr="002E333D" w:rsidRDefault="00A506CC" w:rsidP="002E333D">
            <w:pPr>
              <w:spacing w:line="240" w:lineRule="auto"/>
              <w:jc w:val="right"/>
              <w:rPr>
                <w:rFonts w:eastAsia="Times New Roman" w:cs="Times New Roman"/>
                <w:color w:val="000000"/>
                <w:kern w:val="0"/>
                <w:sz w:val="18"/>
                <w:szCs w:val="18"/>
                <w:lang w:eastAsia="es-CO"/>
                <w14:ligatures w14:val="none"/>
              </w:rPr>
            </w:pPr>
            <w:r w:rsidRPr="002E333D">
              <w:rPr>
                <w:rFonts w:eastAsia="Times New Roman" w:cs="Times New Roman"/>
                <w:color w:val="000000"/>
                <w:kern w:val="0"/>
                <w:sz w:val="18"/>
                <w:szCs w:val="18"/>
                <w:lang w:eastAsia="es-CO"/>
                <w14:ligatures w14:val="none"/>
              </w:rPr>
              <w:t>9.540.138.529</w:t>
            </w:r>
          </w:p>
        </w:tc>
      </w:tr>
      <w:tr w:rsidR="00A506CC" w:rsidRPr="002E333D" w14:paraId="72E1121E" w14:textId="77777777" w:rsidTr="002E333D">
        <w:trPr>
          <w:trHeight w:val="408"/>
        </w:trPr>
        <w:tc>
          <w:tcPr>
            <w:tcW w:w="632" w:type="dxa"/>
            <w:vAlign w:val="center"/>
            <w:hideMark/>
          </w:tcPr>
          <w:p w14:paraId="6E47214B" w14:textId="77777777" w:rsidR="00A506CC" w:rsidRPr="002E333D" w:rsidRDefault="00A506CC" w:rsidP="000A5389">
            <w:pPr>
              <w:spacing w:line="240" w:lineRule="auto"/>
              <w:jc w:val="center"/>
              <w:rPr>
                <w:rFonts w:eastAsia="Times New Roman" w:cs="Times New Roman"/>
                <w:color w:val="000000"/>
                <w:kern w:val="0"/>
                <w:sz w:val="18"/>
                <w:szCs w:val="18"/>
                <w:lang w:eastAsia="es-CO"/>
                <w14:ligatures w14:val="none"/>
              </w:rPr>
            </w:pPr>
            <w:r w:rsidRPr="002E333D">
              <w:rPr>
                <w:rFonts w:eastAsia="Times New Roman" w:cs="Times New Roman"/>
                <w:color w:val="000000"/>
                <w:kern w:val="0"/>
                <w:sz w:val="18"/>
                <w:szCs w:val="18"/>
                <w:lang w:eastAsia="es-CO"/>
                <w14:ligatures w14:val="none"/>
              </w:rPr>
              <w:t>5</w:t>
            </w:r>
          </w:p>
        </w:tc>
        <w:tc>
          <w:tcPr>
            <w:tcW w:w="1066" w:type="dxa"/>
            <w:vAlign w:val="center"/>
            <w:hideMark/>
          </w:tcPr>
          <w:p w14:paraId="39D51C41" w14:textId="77777777" w:rsidR="00A506CC" w:rsidRPr="002E333D" w:rsidRDefault="00A506CC" w:rsidP="000A5389">
            <w:pPr>
              <w:spacing w:line="240" w:lineRule="auto"/>
              <w:jc w:val="center"/>
              <w:rPr>
                <w:rFonts w:eastAsia="Times New Roman" w:cs="Times New Roman"/>
                <w:color w:val="000000"/>
                <w:kern w:val="0"/>
                <w:sz w:val="18"/>
                <w:szCs w:val="18"/>
                <w:lang w:eastAsia="es-CO"/>
                <w14:ligatures w14:val="none"/>
              </w:rPr>
            </w:pPr>
            <w:r w:rsidRPr="002E333D">
              <w:rPr>
                <w:rFonts w:eastAsia="Times New Roman" w:cs="Times New Roman"/>
                <w:color w:val="000000"/>
                <w:kern w:val="0"/>
                <w:sz w:val="18"/>
                <w:szCs w:val="18"/>
                <w:lang w:eastAsia="es-CO"/>
                <w14:ligatures w14:val="none"/>
              </w:rPr>
              <w:t>INVIAS</w:t>
            </w:r>
          </w:p>
        </w:tc>
        <w:tc>
          <w:tcPr>
            <w:tcW w:w="1408" w:type="dxa"/>
            <w:vAlign w:val="center"/>
            <w:hideMark/>
          </w:tcPr>
          <w:p w14:paraId="3FA9B391" w14:textId="7221C5A9" w:rsidR="00A506CC" w:rsidRPr="002E333D" w:rsidRDefault="002E333D" w:rsidP="000A5389">
            <w:pPr>
              <w:spacing w:line="240" w:lineRule="auto"/>
              <w:jc w:val="center"/>
              <w:rPr>
                <w:rFonts w:eastAsia="Times New Roman" w:cs="Times New Roman"/>
                <w:color w:val="000000"/>
                <w:kern w:val="0"/>
                <w:sz w:val="18"/>
                <w:szCs w:val="18"/>
                <w:lang w:eastAsia="es-CO"/>
                <w14:ligatures w14:val="none"/>
              </w:rPr>
            </w:pPr>
            <w:r w:rsidRPr="002E333D">
              <w:rPr>
                <w:rFonts w:eastAsia="Times New Roman" w:cs="Times New Roman"/>
                <w:color w:val="000000"/>
                <w:kern w:val="0"/>
                <w:sz w:val="18"/>
                <w:szCs w:val="18"/>
                <w:lang w:eastAsia="es-CO"/>
                <w14:ligatures w14:val="none"/>
              </w:rPr>
              <w:t>Férreo</w:t>
            </w:r>
          </w:p>
        </w:tc>
        <w:tc>
          <w:tcPr>
            <w:tcW w:w="3410" w:type="dxa"/>
            <w:vAlign w:val="center"/>
            <w:hideMark/>
          </w:tcPr>
          <w:p w14:paraId="6C5AA63A" w14:textId="0EEC3D7B" w:rsidR="00A506CC" w:rsidRPr="002E333D" w:rsidRDefault="002E333D" w:rsidP="002E333D">
            <w:pPr>
              <w:spacing w:line="240" w:lineRule="auto"/>
              <w:jc w:val="left"/>
              <w:rPr>
                <w:rFonts w:eastAsia="Times New Roman" w:cs="Times New Roman"/>
                <w:color w:val="000000"/>
                <w:kern w:val="0"/>
                <w:sz w:val="18"/>
                <w:szCs w:val="18"/>
                <w:lang w:eastAsia="es-CO"/>
                <w14:ligatures w14:val="none"/>
              </w:rPr>
            </w:pPr>
            <w:r w:rsidRPr="002E333D">
              <w:rPr>
                <w:rFonts w:eastAsia="Times New Roman" w:cs="Times New Roman"/>
                <w:color w:val="000000"/>
                <w:kern w:val="0"/>
                <w:sz w:val="18"/>
                <w:szCs w:val="18"/>
                <w:lang w:eastAsia="es-CO"/>
                <w14:ligatures w14:val="none"/>
              </w:rPr>
              <w:t>Concesión Linea Férrea Central S.A.S.</w:t>
            </w:r>
          </w:p>
        </w:tc>
        <w:tc>
          <w:tcPr>
            <w:tcW w:w="834" w:type="dxa"/>
            <w:vAlign w:val="center"/>
            <w:hideMark/>
          </w:tcPr>
          <w:p w14:paraId="6CA7F621" w14:textId="77777777" w:rsidR="00A506CC" w:rsidRPr="002E333D" w:rsidRDefault="00A506CC" w:rsidP="000A5389">
            <w:pPr>
              <w:spacing w:line="240" w:lineRule="auto"/>
              <w:jc w:val="center"/>
              <w:rPr>
                <w:rFonts w:eastAsia="Times New Roman" w:cs="Times New Roman"/>
                <w:color w:val="000000"/>
                <w:kern w:val="0"/>
                <w:sz w:val="18"/>
                <w:szCs w:val="18"/>
                <w:lang w:eastAsia="es-CO"/>
                <w14:ligatures w14:val="none"/>
              </w:rPr>
            </w:pPr>
            <w:r w:rsidRPr="002E333D">
              <w:rPr>
                <w:rFonts w:eastAsia="Times New Roman" w:cs="Times New Roman"/>
                <w:color w:val="000000"/>
                <w:kern w:val="0"/>
                <w:sz w:val="18"/>
                <w:szCs w:val="18"/>
                <w:lang w:eastAsia="es-CO"/>
                <w14:ligatures w14:val="none"/>
              </w:rPr>
              <w:t> </w:t>
            </w:r>
          </w:p>
        </w:tc>
        <w:tc>
          <w:tcPr>
            <w:tcW w:w="1670" w:type="dxa"/>
            <w:vAlign w:val="center"/>
            <w:hideMark/>
          </w:tcPr>
          <w:p w14:paraId="029A41F5" w14:textId="276903AF" w:rsidR="00A506CC" w:rsidRPr="002E333D" w:rsidRDefault="00A506CC" w:rsidP="002E333D">
            <w:pPr>
              <w:spacing w:line="240" w:lineRule="auto"/>
              <w:jc w:val="right"/>
              <w:rPr>
                <w:rFonts w:eastAsia="Times New Roman" w:cs="Times New Roman"/>
                <w:kern w:val="0"/>
                <w:sz w:val="18"/>
                <w:szCs w:val="18"/>
                <w:lang w:eastAsia="es-CO"/>
                <w14:ligatures w14:val="none"/>
              </w:rPr>
            </w:pPr>
            <w:r w:rsidRPr="002E333D">
              <w:rPr>
                <w:rFonts w:eastAsia="Times New Roman" w:cs="Times New Roman"/>
                <w:kern w:val="0"/>
                <w:sz w:val="18"/>
                <w:szCs w:val="18"/>
                <w:lang w:eastAsia="es-CO"/>
                <w14:ligatures w14:val="none"/>
              </w:rPr>
              <w:t>1.218.695.908</w:t>
            </w:r>
          </w:p>
        </w:tc>
      </w:tr>
      <w:tr w:rsidR="00A506CC" w:rsidRPr="002E333D" w14:paraId="65EF40C3" w14:textId="77777777" w:rsidTr="002E333D">
        <w:trPr>
          <w:trHeight w:val="408"/>
        </w:trPr>
        <w:tc>
          <w:tcPr>
            <w:tcW w:w="632" w:type="dxa"/>
            <w:noWrap/>
            <w:vAlign w:val="center"/>
            <w:hideMark/>
          </w:tcPr>
          <w:p w14:paraId="3F80F8FE" w14:textId="77777777" w:rsidR="00A506CC" w:rsidRPr="002E333D" w:rsidRDefault="00A506CC" w:rsidP="000A5389">
            <w:pPr>
              <w:spacing w:line="240" w:lineRule="auto"/>
              <w:jc w:val="center"/>
              <w:rPr>
                <w:rFonts w:eastAsia="Times New Roman" w:cs="Times New Roman"/>
                <w:color w:val="000000"/>
                <w:kern w:val="0"/>
                <w:sz w:val="18"/>
                <w:szCs w:val="18"/>
                <w:lang w:eastAsia="es-CO"/>
                <w14:ligatures w14:val="none"/>
              </w:rPr>
            </w:pPr>
            <w:r w:rsidRPr="002E333D">
              <w:rPr>
                <w:rFonts w:eastAsia="Times New Roman" w:cs="Times New Roman"/>
                <w:color w:val="000000"/>
                <w:kern w:val="0"/>
                <w:sz w:val="18"/>
                <w:szCs w:val="18"/>
                <w:lang w:eastAsia="es-CO"/>
                <w14:ligatures w14:val="none"/>
              </w:rPr>
              <w:t>6</w:t>
            </w:r>
          </w:p>
        </w:tc>
        <w:tc>
          <w:tcPr>
            <w:tcW w:w="1066" w:type="dxa"/>
            <w:vAlign w:val="center"/>
            <w:hideMark/>
          </w:tcPr>
          <w:p w14:paraId="51DD0F00" w14:textId="77777777" w:rsidR="00A506CC" w:rsidRPr="002E333D" w:rsidRDefault="00A506CC" w:rsidP="000A5389">
            <w:pPr>
              <w:spacing w:line="240" w:lineRule="auto"/>
              <w:jc w:val="center"/>
              <w:rPr>
                <w:rFonts w:eastAsia="Times New Roman" w:cs="Times New Roman"/>
                <w:color w:val="000000"/>
                <w:kern w:val="0"/>
                <w:sz w:val="18"/>
                <w:szCs w:val="18"/>
                <w:lang w:eastAsia="es-CO"/>
                <w14:ligatures w14:val="none"/>
              </w:rPr>
            </w:pPr>
            <w:r w:rsidRPr="002E333D">
              <w:rPr>
                <w:rFonts w:eastAsia="Times New Roman" w:cs="Times New Roman"/>
                <w:color w:val="000000"/>
                <w:kern w:val="0"/>
                <w:sz w:val="18"/>
                <w:szCs w:val="18"/>
                <w:lang w:eastAsia="es-CO"/>
                <w14:ligatures w14:val="none"/>
              </w:rPr>
              <w:t>INVIAS</w:t>
            </w:r>
          </w:p>
        </w:tc>
        <w:tc>
          <w:tcPr>
            <w:tcW w:w="1408" w:type="dxa"/>
            <w:vAlign w:val="center"/>
            <w:hideMark/>
          </w:tcPr>
          <w:p w14:paraId="28954DF7" w14:textId="2B1218E4" w:rsidR="00A506CC" w:rsidRPr="002E333D" w:rsidRDefault="002E333D" w:rsidP="000A5389">
            <w:pPr>
              <w:spacing w:line="240" w:lineRule="auto"/>
              <w:jc w:val="center"/>
              <w:rPr>
                <w:rFonts w:eastAsia="Times New Roman" w:cs="Times New Roman"/>
                <w:color w:val="000000"/>
                <w:kern w:val="0"/>
                <w:sz w:val="18"/>
                <w:szCs w:val="18"/>
                <w:lang w:eastAsia="es-CO"/>
                <w14:ligatures w14:val="none"/>
              </w:rPr>
            </w:pPr>
            <w:r w:rsidRPr="002E333D">
              <w:rPr>
                <w:rFonts w:eastAsia="Times New Roman" w:cs="Times New Roman"/>
                <w:color w:val="000000"/>
                <w:kern w:val="0"/>
                <w:sz w:val="18"/>
                <w:szCs w:val="18"/>
                <w:lang w:eastAsia="es-CO"/>
                <w14:ligatures w14:val="none"/>
              </w:rPr>
              <w:t>Carretero</w:t>
            </w:r>
          </w:p>
        </w:tc>
        <w:tc>
          <w:tcPr>
            <w:tcW w:w="3410" w:type="dxa"/>
            <w:vAlign w:val="center"/>
            <w:hideMark/>
          </w:tcPr>
          <w:p w14:paraId="02DCC3D7" w14:textId="3AC4B51B" w:rsidR="00A506CC" w:rsidRPr="002E333D" w:rsidRDefault="002E333D" w:rsidP="002E333D">
            <w:pPr>
              <w:spacing w:line="240" w:lineRule="auto"/>
              <w:jc w:val="left"/>
              <w:rPr>
                <w:rFonts w:eastAsia="Times New Roman" w:cs="Times New Roman"/>
                <w:color w:val="000000"/>
                <w:kern w:val="0"/>
                <w:sz w:val="18"/>
                <w:szCs w:val="18"/>
                <w:lang w:eastAsia="es-CO"/>
                <w14:ligatures w14:val="none"/>
              </w:rPr>
            </w:pPr>
            <w:r w:rsidRPr="002E333D">
              <w:rPr>
                <w:rFonts w:eastAsia="Times New Roman" w:cs="Times New Roman"/>
                <w:color w:val="000000"/>
                <w:kern w:val="0"/>
                <w:sz w:val="18"/>
                <w:szCs w:val="18"/>
                <w:lang w:eastAsia="es-CO"/>
                <w14:ligatures w14:val="none"/>
              </w:rPr>
              <w:t>Concesión Santa Marta Paraguachon S.A.</w:t>
            </w:r>
          </w:p>
        </w:tc>
        <w:tc>
          <w:tcPr>
            <w:tcW w:w="834" w:type="dxa"/>
            <w:vAlign w:val="center"/>
            <w:hideMark/>
          </w:tcPr>
          <w:p w14:paraId="6A51D10A" w14:textId="77777777" w:rsidR="00A506CC" w:rsidRPr="002E333D" w:rsidRDefault="00A506CC" w:rsidP="000A5389">
            <w:pPr>
              <w:spacing w:line="240" w:lineRule="auto"/>
              <w:jc w:val="center"/>
              <w:rPr>
                <w:rFonts w:eastAsia="Times New Roman" w:cs="Times New Roman"/>
                <w:color w:val="000000"/>
                <w:kern w:val="0"/>
                <w:sz w:val="18"/>
                <w:szCs w:val="18"/>
                <w:lang w:eastAsia="es-CO"/>
                <w14:ligatures w14:val="none"/>
              </w:rPr>
            </w:pPr>
            <w:r w:rsidRPr="002E333D">
              <w:rPr>
                <w:rFonts w:eastAsia="Times New Roman" w:cs="Times New Roman"/>
                <w:color w:val="000000"/>
                <w:kern w:val="0"/>
                <w:sz w:val="18"/>
                <w:szCs w:val="18"/>
                <w:lang w:eastAsia="es-CO"/>
                <w14:ligatures w14:val="none"/>
              </w:rPr>
              <w:t>445-1994</w:t>
            </w:r>
          </w:p>
        </w:tc>
        <w:tc>
          <w:tcPr>
            <w:tcW w:w="1670" w:type="dxa"/>
            <w:vAlign w:val="center"/>
            <w:hideMark/>
          </w:tcPr>
          <w:p w14:paraId="5FCD66D7" w14:textId="372E115D" w:rsidR="00A506CC" w:rsidRPr="002E333D" w:rsidRDefault="00A506CC" w:rsidP="002E333D">
            <w:pPr>
              <w:spacing w:line="240" w:lineRule="auto"/>
              <w:jc w:val="right"/>
              <w:rPr>
                <w:rFonts w:eastAsia="Times New Roman" w:cs="Times New Roman"/>
                <w:color w:val="000000"/>
                <w:kern w:val="0"/>
                <w:sz w:val="18"/>
                <w:szCs w:val="18"/>
                <w:lang w:eastAsia="es-CO"/>
                <w14:ligatures w14:val="none"/>
              </w:rPr>
            </w:pPr>
            <w:r w:rsidRPr="002E333D">
              <w:rPr>
                <w:rFonts w:eastAsia="Times New Roman" w:cs="Times New Roman"/>
                <w:color w:val="000000"/>
                <w:kern w:val="0"/>
                <w:sz w:val="18"/>
                <w:szCs w:val="18"/>
                <w:lang w:eastAsia="es-CO"/>
                <w14:ligatures w14:val="none"/>
              </w:rPr>
              <w:t>410.212.692</w:t>
            </w:r>
          </w:p>
        </w:tc>
      </w:tr>
    </w:tbl>
    <w:p w14:paraId="2E8C2289" w14:textId="275FC33A" w:rsidR="008421D7" w:rsidRPr="00951AB1" w:rsidRDefault="483AA639" w:rsidP="000A5389">
      <w:pPr>
        <w:spacing w:line="240" w:lineRule="auto"/>
        <w:rPr>
          <w:rFonts w:cs="Times New Roman"/>
          <w:sz w:val="16"/>
          <w:szCs w:val="16"/>
          <w:lang w:val="es-ES"/>
        </w:rPr>
      </w:pPr>
      <w:r w:rsidRPr="5F372E59">
        <w:rPr>
          <w:rFonts w:cs="Times New Roman"/>
          <w:sz w:val="16"/>
          <w:szCs w:val="16"/>
          <w:lang w:val="es-ES"/>
        </w:rPr>
        <w:t>Cifras en pesos</w:t>
      </w:r>
    </w:p>
    <w:p w14:paraId="2266473B" w14:textId="77777777" w:rsidR="00947634" w:rsidRPr="00951AB1" w:rsidRDefault="63885BFE" w:rsidP="000A5389">
      <w:pPr>
        <w:spacing w:line="240" w:lineRule="auto"/>
        <w:rPr>
          <w:rFonts w:cs="Times New Roman"/>
          <w:i/>
          <w:szCs w:val="24"/>
          <w:lang w:val="es-ES"/>
        </w:rPr>
      </w:pPr>
      <w:r w:rsidRPr="15316FB5">
        <w:rPr>
          <w:rFonts w:cs="Times New Roman"/>
          <w:i/>
          <w:szCs w:val="24"/>
          <w:lang w:val="es-ES"/>
        </w:rPr>
        <w:t>Predios no utilizados y áreas sobrantes</w:t>
      </w:r>
    </w:p>
    <w:p w14:paraId="48C76DF6" w14:textId="77777777" w:rsidR="00947634" w:rsidRPr="00951AB1" w:rsidRDefault="00947634" w:rsidP="000A5389">
      <w:pPr>
        <w:spacing w:line="240" w:lineRule="auto"/>
        <w:rPr>
          <w:rFonts w:cs="Times New Roman"/>
          <w:b/>
          <w:bCs/>
          <w:szCs w:val="24"/>
          <w:lang w:val="es-ES"/>
        </w:rPr>
      </w:pPr>
    </w:p>
    <w:p w14:paraId="25D253CE" w14:textId="77777777" w:rsidR="00947634" w:rsidRPr="00951AB1" w:rsidRDefault="00947634" w:rsidP="000A5389">
      <w:pPr>
        <w:spacing w:line="240" w:lineRule="auto"/>
        <w:rPr>
          <w:rFonts w:cs="Times New Roman"/>
          <w:szCs w:val="24"/>
          <w:lang w:val="es-ES"/>
        </w:rPr>
      </w:pPr>
      <w:r w:rsidRPr="00951AB1">
        <w:rPr>
          <w:rFonts w:cs="Times New Roman"/>
          <w:szCs w:val="24"/>
          <w:lang w:val="es-ES"/>
        </w:rPr>
        <w:t>A través del memorando No. 20266040041323 del 11 de febrero de 2026, la Vicepresidencia de Planeación, Riesgos y Entorno indicó lo siguiente:</w:t>
      </w:r>
    </w:p>
    <w:p w14:paraId="10E5CCB9" w14:textId="77777777" w:rsidR="00947634" w:rsidRPr="00951AB1" w:rsidRDefault="00947634" w:rsidP="000A5389">
      <w:pPr>
        <w:spacing w:line="240" w:lineRule="auto"/>
        <w:rPr>
          <w:rFonts w:cs="Times New Roman"/>
          <w:szCs w:val="24"/>
          <w:lang w:val="es-ES"/>
        </w:rPr>
      </w:pPr>
    </w:p>
    <w:p w14:paraId="5AEB823D" w14:textId="77777777" w:rsidR="00947634" w:rsidRPr="00951AB1" w:rsidRDefault="00947634" w:rsidP="000A5389">
      <w:pPr>
        <w:spacing w:line="240" w:lineRule="auto"/>
        <w:ind w:left="284" w:right="332"/>
        <w:rPr>
          <w:rFonts w:cs="Times New Roman"/>
          <w:i/>
          <w:iCs/>
          <w:szCs w:val="24"/>
          <w:lang w:val="es-ES"/>
        </w:rPr>
      </w:pPr>
      <w:r w:rsidRPr="00951AB1">
        <w:rPr>
          <w:rFonts w:cs="Times New Roman"/>
          <w:i/>
          <w:iCs/>
          <w:szCs w:val="24"/>
          <w:lang w:val="es-ES"/>
        </w:rPr>
        <w:t>“Con relación a la solicitud de remisión de la información relacionada con “predios sobrantes” de los proyectos, es importante precisar que la condición de “predio sobrante” sólo se puede conocer una vez culmine el proyecto; pues éste es el momento en el cual se tiene total certeza de que no habrá requerimientos prediales adicionales.</w:t>
      </w:r>
    </w:p>
    <w:p w14:paraId="17F03E5F" w14:textId="77777777" w:rsidR="00947634" w:rsidRPr="00951AB1" w:rsidRDefault="00947634" w:rsidP="000A5389">
      <w:pPr>
        <w:spacing w:line="240" w:lineRule="auto"/>
        <w:ind w:left="284" w:right="332"/>
        <w:rPr>
          <w:rFonts w:cs="Times New Roman"/>
          <w:i/>
          <w:iCs/>
          <w:szCs w:val="24"/>
          <w:lang w:val="es-ES"/>
        </w:rPr>
      </w:pPr>
    </w:p>
    <w:p w14:paraId="76957EAD" w14:textId="77777777" w:rsidR="00947634" w:rsidRPr="00951AB1" w:rsidRDefault="00947634" w:rsidP="000A5389">
      <w:pPr>
        <w:spacing w:line="240" w:lineRule="auto"/>
        <w:ind w:left="284" w:right="332"/>
        <w:rPr>
          <w:rFonts w:cs="Times New Roman"/>
          <w:i/>
          <w:iCs/>
          <w:szCs w:val="24"/>
          <w:lang w:val="es-ES"/>
        </w:rPr>
      </w:pPr>
      <w:r w:rsidRPr="00951AB1">
        <w:rPr>
          <w:rFonts w:cs="Times New Roman"/>
          <w:i/>
          <w:iCs/>
          <w:szCs w:val="24"/>
          <w:lang w:val="es-ES"/>
        </w:rPr>
        <w:t>Así las cosas, en esta etapa le corresponderá a las interventorías verificar la existencia o no de “predios sobrantes” de los proyectos, con base en los trazados, diseño geométrico, Estudios de Detalle, Plan de Adquisición Predial (cronograma de adquisición predial) y demás insumos y documentación de naturaleza predial derivada del proceso de gestión y adquisición de inmuebles requeridos para la ejecución de los proyectos.”</w:t>
      </w:r>
    </w:p>
    <w:p w14:paraId="6029AD94" w14:textId="77777777" w:rsidR="00947634" w:rsidRPr="00951AB1" w:rsidRDefault="00947634" w:rsidP="000A5389">
      <w:pPr>
        <w:spacing w:line="240" w:lineRule="auto"/>
        <w:ind w:left="284" w:right="332"/>
        <w:rPr>
          <w:rFonts w:cs="Times New Roman"/>
          <w:i/>
          <w:iCs/>
          <w:szCs w:val="24"/>
          <w:lang w:val="es-ES"/>
        </w:rPr>
      </w:pPr>
    </w:p>
    <w:p w14:paraId="39F4F4FC" w14:textId="77777777" w:rsidR="00947634" w:rsidRPr="00951AB1" w:rsidRDefault="00947634" w:rsidP="000A5389">
      <w:pPr>
        <w:spacing w:line="240" w:lineRule="auto"/>
        <w:ind w:right="332"/>
        <w:rPr>
          <w:rFonts w:cs="Times New Roman"/>
          <w:szCs w:val="24"/>
          <w:lang w:val="es-ES"/>
        </w:rPr>
      </w:pPr>
      <w:r w:rsidRPr="00951AB1">
        <w:rPr>
          <w:rFonts w:cs="Times New Roman"/>
          <w:szCs w:val="24"/>
          <w:lang w:val="es-ES"/>
        </w:rPr>
        <w:t>En este memorando informan los proyectos revertidos y/o que a la fecha se encuentran en etapa de operación y mantenimiento así:</w:t>
      </w:r>
    </w:p>
    <w:p w14:paraId="056748CF" w14:textId="77777777" w:rsidR="00947634" w:rsidRPr="00951AB1" w:rsidRDefault="00947634" w:rsidP="000A5389">
      <w:pPr>
        <w:spacing w:line="240" w:lineRule="auto"/>
        <w:ind w:right="332"/>
        <w:rPr>
          <w:rFonts w:cs="Times New Roman"/>
          <w:i/>
          <w:szCs w:val="24"/>
          <w:lang w:val="es-ES"/>
        </w:rPr>
      </w:pPr>
    </w:p>
    <w:p w14:paraId="68821A2A" w14:textId="77777777" w:rsidR="002E333D" w:rsidRDefault="00947634" w:rsidP="000A5389">
      <w:pPr>
        <w:spacing w:line="240" w:lineRule="auto"/>
        <w:ind w:right="332"/>
        <w:rPr>
          <w:rFonts w:cs="Times New Roman"/>
          <w:i/>
          <w:iCs/>
          <w:szCs w:val="24"/>
          <w:lang w:val="es-ES"/>
        </w:rPr>
      </w:pPr>
      <w:r w:rsidRPr="00951AB1">
        <w:rPr>
          <w:rFonts w:cs="Times New Roman"/>
          <w:i/>
          <w:iCs/>
          <w:szCs w:val="24"/>
          <w:lang w:val="es-ES"/>
        </w:rPr>
        <w:lastRenderedPageBreak/>
        <w:t>Proyectos en etapa de operación y mantenimiento:</w:t>
      </w:r>
    </w:p>
    <w:p w14:paraId="2C44EDC8" w14:textId="26A02397" w:rsidR="00947634" w:rsidRPr="00951AB1" w:rsidRDefault="00947634" w:rsidP="000A5389">
      <w:pPr>
        <w:spacing w:line="240" w:lineRule="auto"/>
        <w:ind w:right="332"/>
        <w:rPr>
          <w:rFonts w:cs="Times New Roman"/>
          <w:sz w:val="20"/>
          <w:szCs w:val="20"/>
          <w:lang w:eastAsia="es-CO"/>
        </w:rPr>
      </w:pPr>
      <w:r w:rsidRPr="00951AB1">
        <w:rPr>
          <w:rFonts w:cs="Times New Roman"/>
          <w:lang w:val="es-ES"/>
        </w:rPr>
        <w:fldChar w:fldCharType="begin"/>
      </w:r>
      <w:r w:rsidRPr="00951AB1">
        <w:rPr>
          <w:rFonts w:cs="Times New Roman"/>
          <w:lang w:val="es-ES"/>
        </w:rPr>
        <w:instrText xml:space="preserve"> LINK Excel.Sheet.12 "C:\\Users\\wolarte\\Documents\\0-Ani2025\\0_Cierre2025\\Nota_11\\PREDIOS SOBRANTES PROY EN EJECUCION.xlsx" "Hoja1!F2C2:F3C9" \a \f 4 \h  \* MERGEFORMAT </w:instrText>
      </w:r>
      <w:r w:rsidRPr="00951AB1">
        <w:rPr>
          <w:rFonts w:cs="Times New Roman"/>
          <w:lang w:val="es-ES"/>
        </w:rPr>
        <w:fldChar w:fldCharType="separate"/>
      </w:r>
    </w:p>
    <w:tbl>
      <w:tblPr>
        <w:tblW w:w="8926" w:type="dxa"/>
        <w:tblCellMar>
          <w:left w:w="70" w:type="dxa"/>
          <w:right w:w="70" w:type="dxa"/>
        </w:tblCellMar>
        <w:tblLook w:val="04A0" w:firstRow="1" w:lastRow="0" w:firstColumn="1" w:lastColumn="0" w:noHBand="0" w:noVBand="1"/>
      </w:tblPr>
      <w:tblGrid>
        <w:gridCol w:w="719"/>
        <w:gridCol w:w="1396"/>
        <w:gridCol w:w="931"/>
        <w:gridCol w:w="896"/>
        <w:gridCol w:w="1186"/>
        <w:gridCol w:w="1117"/>
        <w:gridCol w:w="1131"/>
        <w:gridCol w:w="1550"/>
      </w:tblGrid>
      <w:tr w:rsidR="00947634" w:rsidRPr="00951AB1" w14:paraId="45DA2287" w14:textId="77777777" w:rsidTr="00DE2EC7">
        <w:trPr>
          <w:trHeight w:val="840"/>
        </w:trPr>
        <w:tc>
          <w:tcPr>
            <w:tcW w:w="706" w:type="dxa"/>
            <w:tcBorders>
              <w:top w:val="single" w:sz="4" w:space="0" w:color="000000"/>
              <w:left w:val="single" w:sz="4" w:space="0" w:color="000000"/>
              <w:bottom w:val="single" w:sz="4" w:space="0" w:color="auto"/>
              <w:right w:val="single" w:sz="4" w:space="0" w:color="auto"/>
            </w:tcBorders>
            <w:vAlign w:val="center"/>
            <w:hideMark/>
          </w:tcPr>
          <w:p w14:paraId="6B62DE9B" w14:textId="77777777" w:rsidR="00947634" w:rsidRPr="00951AB1" w:rsidRDefault="00947634" w:rsidP="000A5389">
            <w:pPr>
              <w:spacing w:line="240" w:lineRule="auto"/>
              <w:jc w:val="center"/>
              <w:rPr>
                <w:rFonts w:eastAsia="Times New Roman" w:cs="Times New Roman"/>
                <w:b/>
                <w:bCs/>
                <w:sz w:val="16"/>
                <w:szCs w:val="16"/>
                <w:lang w:val="es-419" w:eastAsia="es-419"/>
              </w:rPr>
            </w:pPr>
            <w:r w:rsidRPr="00951AB1">
              <w:rPr>
                <w:rFonts w:eastAsia="Times New Roman" w:cs="Times New Roman"/>
                <w:b/>
                <w:bCs/>
                <w:sz w:val="16"/>
                <w:szCs w:val="16"/>
                <w:lang w:val="es-419" w:eastAsia="es-419"/>
              </w:rPr>
              <w:t>No, del contrato</w:t>
            </w:r>
          </w:p>
        </w:tc>
        <w:tc>
          <w:tcPr>
            <w:tcW w:w="1406" w:type="dxa"/>
            <w:tcBorders>
              <w:top w:val="single" w:sz="4" w:space="0" w:color="000000"/>
              <w:left w:val="nil"/>
              <w:bottom w:val="single" w:sz="4" w:space="0" w:color="auto"/>
              <w:right w:val="single" w:sz="4" w:space="0" w:color="auto"/>
            </w:tcBorders>
            <w:vAlign w:val="center"/>
            <w:hideMark/>
          </w:tcPr>
          <w:p w14:paraId="4B02CF0D" w14:textId="77777777" w:rsidR="00947634" w:rsidRPr="00951AB1" w:rsidRDefault="00947634" w:rsidP="000A5389">
            <w:pPr>
              <w:spacing w:line="240" w:lineRule="auto"/>
              <w:jc w:val="center"/>
              <w:rPr>
                <w:rFonts w:eastAsia="Times New Roman" w:cs="Times New Roman"/>
                <w:b/>
                <w:bCs/>
                <w:sz w:val="16"/>
                <w:szCs w:val="16"/>
                <w:lang w:val="es-419" w:eastAsia="es-419"/>
              </w:rPr>
            </w:pPr>
            <w:r w:rsidRPr="00951AB1">
              <w:rPr>
                <w:rFonts w:eastAsia="Times New Roman" w:cs="Times New Roman"/>
                <w:b/>
                <w:bCs/>
                <w:sz w:val="16"/>
                <w:szCs w:val="16"/>
                <w:lang w:val="es-419" w:eastAsia="es-419"/>
              </w:rPr>
              <w:t>Nombre Proyecto</w:t>
            </w:r>
          </w:p>
        </w:tc>
        <w:tc>
          <w:tcPr>
            <w:tcW w:w="909" w:type="dxa"/>
            <w:tcBorders>
              <w:top w:val="single" w:sz="4" w:space="0" w:color="000000"/>
              <w:left w:val="nil"/>
              <w:bottom w:val="single" w:sz="4" w:space="0" w:color="auto"/>
              <w:right w:val="single" w:sz="4" w:space="0" w:color="auto"/>
            </w:tcBorders>
            <w:vAlign w:val="center"/>
            <w:hideMark/>
          </w:tcPr>
          <w:p w14:paraId="45CE118B" w14:textId="77777777" w:rsidR="00947634" w:rsidRPr="00951AB1" w:rsidRDefault="00947634" w:rsidP="000A5389">
            <w:pPr>
              <w:spacing w:line="240" w:lineRule="auto"/>
              <w:jc w:val="center"/>
              <w:rPr>
                <w:rFonts w:eastAsia="Times New Roman" w:cs="Times New Roman"/>
                <w:b/>
                <w:bCs/>
                <w:sz w:val="16"/>
                <w:szCs w:val="16"/>
                <w:lang w:val="es-419" w:eastAsia="es-419"/>
              </w:rPr>
            </w:pPr>
            <w:r w:rsidRPr="00951AB1">
              <w:rPr>
                <w:rFonts w:eastAsia="Times New Roman" w:cs="Times New Roman"/>
                <w:b/>
                <w:bCs/>
                <w:sz w:val="16"/>
                <w:szCs w:val="16"/>
                <w:lang w:val="es-419" w:eastAsia="es-419"/>
              </w:rPr>
              <w:t>Generación del Contrato</w:t>
            </w:r>
          </w:p>
        </w:tc>
        <w:tc>
          <w:tcPr>
            <w:tcW w:w="898" w:type="dxa"/>
            <w:tcBorders>
              <w:top w:val="single" w:sz="4" w:space="0" w:color="000000"/>
              <w:left w:val="nil"/>
              <w:bottom w:val="single" w:sz="4" w:space="0" w:color="auto"/>
              <w:right w:val="single" w:sz="4" w:space="0" w:color="auto"/>
            </w:tcBorders>
            <w:vAlign w:val="center"/>
            <w:hideMark/>
          </w:tcPr>
          <w:p w14:paraId="0D83E9F3" w14:textId="77777777" w:rsidR="00947634" w:rsidRPr="00951AB1" w:rsidRDefault="00947634" w:rsidP="000A5389">
            <w:pPr>
              <w:spacing w:line="240" w:lineRule="auto"/>
              <w:jc w:val="center"/>
              <w:rPr>
                <w:rFonts w:eastAsia="Times New Roman" w:cs="Times New Roman"/>
                <w:b/>
                <w:bCs/>
                <w:sz w:val="16"/>
                <w:szCs w:val="16"/>
                <w:lang w:val="es-419" w:eastAsia="es-419"/>
              </w:rPr>
            </w:pPr>
            <w:r w:rsidRPr="00951AB1">
              <w:rPr>
                <w:rFonts w:eastAsia="Times New Roman" w:cs="Times New Roman"/>
                <w:b/>
                <w:bCs/>
                <w:sz w:val="16"/>
                <w:szCs w:val="16"/>
                <w:lang w:val="es-419" w:eastAsia="es-419"/>
              </w:rPr>
              <w:t>No de predios sobrantes</w:t>
            </w:r>
          </w:p>
        </w:tc>
        <w:tc>
          <w:tcPr>
            <w:tcW w:w="1193" w:type="dxa"/>
            <w:tcBorders>
              <w:top w:val="single" w:sz="4" w:space="0" w:color="000000"/>
              <w:left w:val="nil"/>
              <w:bottom w:val="single" w:sz="4" w:space="0" w:color="auto"/>
              <w:right w:val="single" w:sz="4" w:space="0" w:color="auto"/>
            </w:tcBorders>
            <w:vAlign w:val="center"/>
            <w:hideMark/>
          </w:tcPr>
          <w:p w14:paraId="18B2CAB3" w14:textId="77777777" w:rsidR="00947634" w:rsidRPr="00951AB1" w:rsidRDefault="00947634" w:rsidP="000A5389">
            <w:pPr>
              <w:spacing w:line="240" w:lineRule="auto"/>
              <w:jc w:val="center"/>
              <w:rPr>
                <w:rFonts w:eastAsia="Times New Roman" w:cs="Times New Roman"/>
                <w:b/>
                <w:bCs/>
                <w:sz w:val="16"/>
                <w:szCs w:val="16"/>
                <w:lang w:val="es-419" w:eastAsia="es-419"/>
              </w:rPr>
            </w:pPr>
            <w:r w:rsidRPr="00951AB1">
              <w:rPr>
                <w:rFonts w:eastAsia="Times New Roman" w:cs="Times New Roman"/>
                <w:b/>
                <w:bCs/>
                <w:sz w:val="16"/>
                <w:szCs w:val="16"/>
                <w:lang w:val="es-419" w:eastAsia="es-419"/>
              </w:rPr>
              <w:t>Relación de los números de fichas prediales</w:t>
            </w:r>
          </w:p>
        </w:tc>
        <w:tc>
          <w:tcPr>
            <w:tcW w:w="1120" w:type="dxa"/>
            <w:tcBorders>
              <w:top w:val="single" w:sz="4" w:space="0" w:color="000000"/>
              <w:left w:val="nil"/>
              <w:bottom w:val="single" w:sz="4" w:space="0" w:color="auto"/>
              <w:right w:val="single" w:sz="4" w:space="0" w:color="auto"/>
            </w:tcBorders>
            <w:vAlign w:val="center"/>
            <w:hideMark/>
          </w:tcPr>
          <w:p w14:paraId="1E16EA14" w14:textId="77777777" w:rsidR="00947634" w:rsidRPr="00951AB1" w:rsidRDefault="00947634" w:rsidP="000A5389">
            <w:pPr>
              <w:spacing w:line="240" w:lineRule="auto"/>
              <w:jc w:val="center"/>
              <w:rPr>
                <w:rFonts w:eastAsia="Times New Roman" w:cs="Times New Roman"/>
                <w:b/>
                <w:bCs/>
                <w:sz w:val="16"/>
                <w:szCs w:val="16"/>
                <w:lang w:val="es-419" w:eastAsia="es-419"/>
              </w:rPr>
            </w:pPr>
            <w:r w:rsidRPr="00951AB1">
              <w:rPr>
                <w:rFonts w:eastAsia="Times New Roman" w:cs="Times New Roman"/>
                <w:b/>
                <w:bCs/>
                <w:sz w:val="16"/>
                <w:szCs w:val="16"/>
                <w:lang w:val="es-419" w:eastAsia="es-419"/>
              </w:rPr>
              <w:t>Área total que representan dichos predios sobrantes</w:t>
            </w:r>
          </w:p>
        </w:tc>
        <w:tc>
          <w:tcPr>
            <w:tcW w:w="1134" w:type="dxa"/>
            <w:tcBorders>
              <w:top w:val="single" w:sz="4" w:space="0" w:color="000000"/>
              <w:left w:val="nil"/>
              <w:bottom w:val="single" w:sz="4" w:space="0" w:color="auto"/>
              <w:right w:val="single" w:sz="4" w:space="0" w:color="auto"/>
            </w:tcBorders>
            <w:vAlign w:val="center"/>
            <w:hideMark/>
          </w:tcPr>
          <w:p w14:paraId="701ECBD1" w14:textId="77777777" w:rsidR="00947634" w:rsidRPr="00951AB1" w:rsidRDefault="00947634" w:rsidP="000A5389">
            <w:pPr>
              <w:spacing w:line="240" w:lineRule="auto"/>
              <w:jc w:val="center"/>
              <w:rPr>
                <w:rFonts w:eastAsia="Times New Roman" w:cs="Times New Roman"/>
                <w:b/>
                <w:bCs/>
                <w:sz w:val="16"/>
                <w:szCs w:val="16"/>
                <w:lang w:val="es-419" w:eastAsia="es-419"/>
              </w:rPr>
            </w:pPr>
            <w:r w:rsidRPr="00951AB1">
              <w:rPr>
                <w:rFonts w:eastAsia="Times New Roman" w:cs="Times New Roman"/>
                <w:b/>
                <w:bCs/>
                <w:sz w:val="16"/>
                <w:szCs w:val="16"/>
                <w:lang w:val="es-419" w:eastAsia="es-419"/>
              </w:rPr>
              <w:t xml:space="preserve"> Valor total de adquisición </w:t>
            </w:r>
          </w:p>
        </w:tc>
        <w:tc>
          <w:tcPr>
            <w:tcW w:w="1560" w:type="dxa"/>
            <w:tcBorders>
              <w:top w:val="single" w:sz="4" w:space="0" w:color="000000"/>
              <w:left w:val="nil"/>
              <w:bottom w:val="single" w:sz="4" w:space="0" w:color="auto"/>
              <w:right w:val="single" w:sz="4" w:space="0" w:color="auto"/>
            </w:tcBorders>
            <w:vAlign w:val="center"/>
            <w:hideMark/>
          </w:tcPr>
          <w:p w14:paraId="687E06DC" w14:textId="77777777" w:rsidR="00947634" w:rsidRPr="00951AB1" w:rsidRDefault="00947634" w:rsidP="000A5389">
            <w:pPr>
              <w:spacing w:line="240" w:lineRule="auto"/>
              <w:jc w:val="center"/>
              <w:rPr>
                <w:rFonts w:eastAsia="Times New Roman" w:cs="Times New Roman"/>
                <w:b/>
                <w:bCs/>
                <w:sz w:val="16"/>
                <w:szCs w:val="16"/>
                <w:lang w:val="es-419" w:eastAsia="es-419"/>
              </w:rPr>
            </w:pPr>
            <w:r w:rsidRPr="00951AB1">
              <w:rPr>
                <w:rFonts w:eastAsia="Times New Roman" w:cs="Times New Roman"/>
                <w:b/>
                <w:bCs/>
                <w:sz w:val="16"/>
                <w:szCs w:val="16"/>
                <w:lang w:val="es-419" w:eastAsia="es-419"/>
              </w:rPr>
              <w:t xml:space="preserve"> Valor total a reembolsar </w:t>
            </w:r>
          </w:p>
        </w:tc>
      </w:tr>
      <w:tr w:rsidR="00947634" w:rsidRPr="00951AB1" w14:paraId="37816F5C" w14:textId="77777777" w:rsidTr="00DE2EC7">
        <w:trPr>
          <w:trHeight w:val="660"/>
        </w:trPr>
        <w:tc>
          <w:tcPr>
            <w:tcW w:w="706" w:type="dxa"/>
            <w:tcBorders>
              <w:top w:val="nil"/>
              <w:left w:val="single" w:sz="4" w:space="0" w:color="000000"/>
              <w:bottom w:val="single" w:sz="4" w:space="0" w:color="auto"/>
              <w:right w:val="single" w:sz="4" w:space="0" w:color="auto"/>
            </w:tcBorders>
            <w:vAlign w:val="center"/>
            <w:hideMark/>
          </w:tcPr>
          <w:p w14:paraId="5C6B7181" w14:textId="77777777" w:rsidR="00947634" w:rsidRPr="00951AB1" w:rsidRDefault="00947634" w:rsidP="000A5389">
            <w:pPr>
              <w:spacing w:line="240" w:lineRule="auto"/>
              <w:jc w:val="center"/>
              <w:rPr>
                <w:rFonts w:eastAsia="Times New Roman" w:cs="Times New Roman"/>
                <w:color w:val="000000"/>
                <w:sz w:val="16"/>
                <w:szCs w:val="16"/>
                <w:lang w:val="es-419" w:eastAsia="es-419"/>
              </w:rPr>
            </w:pPr>
            <w:r w:rsidRPr="00951AB1">
              <w:rPr>
                <w:rFonts w:eastAsia="Times New Roman" w:cs="Times New Roman"/>
                <w:color w:val="000000"/>
                <w:sz w:val="16"/>
                <w:szCs w:val="16"/>
                <w:lang w:val="es-419" w:eastAsia="es-419"/>
              </w:rPr>
              <w:t>007 de 2015</w:t>
            </w:r>
          </w:p>
        </w:tc>
        <w:tc>
          <w:tcPr>
            <w:tcW w:w="1406" w:type="dxa"/>
            <w:tcBorders>
              <w:top w:val="nil"/>
              <w:left w:val="nil"/>
              <w:bottom w:val="single" w:sz="4" w:space="0" w:color="auto"/>
              <w:right w:val="single" w:sz="4" w:space="0" w:color="auto"/>
            </w:tcBorders>
            <w:vAlign w:val="center"/>
            <w:hideMark/>
          </w:tcPr>
          <w:p w14:paraId="20EE4140" w14:textId="16B48415" w:rsidR="00947634" w:rsidRPr="00951AB1" w:rsidRDefault="004757A7" w:rsidP="000A5389">
            <w:pPr>
              <w:spacing w:line="240" w:lineRule="auto"/>
              <w:jc w:val="center"/>
              <w:rPr>
                <w:rFonts w:eastAsia="Times New Roman" w:cs="Times New Roman"/>
                <w:color w:val="000000"/>
                <w:sz w:val="16"/>
                <w:szCs w:val="16"/>
                <w:lang w:val="es-419" w:eastAsia="es-419"/>
              </w:rPr>
            </w:pPr>
            <w:r w:rsidRPr="00951AB1">
              <w:rPr>
                <w:rFonts w:eastAsia="Times New Roman" w:cs="Times New Roman"/>
                <w:color w:val="000000"/>
                <w:sz w:val="16"/>
                <w:szCs w:val="16"/>
                <w:lang w:val="es-419" w:eastAsia="es-419"/>
              </w:rPr>
              <w:t xml:space="preserve">Puerta De Hierro - Palmar De Varela Y Carreto – </w:t>
            </w:r>
            <w:r w:rsidR="00947634" w:rsidRPr="00951AB1">
              <w:rPr>
                <w:rFonts w:eastAsia="Times New Roman" w:cs="Times New Roman"/>
                <w:color w:val="000000"/>
                <w:sz w:val="16"/>
                <w:szCs w:val="16"/>
                <w:lang w:val="es-419" w:eastAsia="es-419"/>
              </w:rPr>
              <w:t>CRUZ DEL VISO</w:t>
            </w:r>
          </w:p>
        </w:tc>
        <w:tc>
          <w:tcPr>
            <w:tcW w:w="909" w:type="dxa"/>
            <w:tcBorders>
              <w:top w:val="nil"/>
              <w:left w:val="nil"/>
              <w:bottom w:val="single" w:sz="4" w:space="0" w:color="auto"/>
              <w:right w:val="single" w:sz="4" w:space="0" w:color="auto"/>
            </w:tcBorders>
            <w:vAlign w:val="center"/>
            <w:hideMark/>
          </w:tcPr>
          <w:p w14:paraId="6F49F07D" w14:textId="77777777" w:rsidR="00947634" w:rsidRPr="00951AB1" w:rsidRDefault="00947634" w:rsidP="000A5389">
            <w:pPr>
              <w:spacing w:line="240" w:lineRule="auto"/>
              <w:jc w:val="center"/>
              <w:rPr>
                <w:rFonts w:eastAsia="Times New Roman" w:cs="Times New Roman"/>
                <w:color w:val="000000"/>
                <w:sz w:val="16"/>
                <w:szCs w:val="16"/>
                <w:lang w:val="es-419" w:eastAsia="es-419"/>
              </w:rPr>
            </w:pPr>
            <w:r w:rsidRPr="00951AB1">
              <w:rPr>
                <w:rFonts w:eastAsia="Times New Roman" w:cs="Times New Roman"/>
                <w:color w:val="000000"/>
                <w:sz w:val="16"/>
                <w:szCs w:val="16"/>
                <w:lang w:val="es-419" w:eastAsia="es-419"/>
              </w:rPr>
              <w:t>4G</w:t>
            </w:r>
          </w:p>
        </w:tc>
        <w:tc>
          <w:tcPr>
            <w:tcW w:w="898" w:type="dxa"/>
            <w:tcBorders>
              <w:top w:val="nil"/>
              <w:left w:val="nil"/>
              <w:bottom w:val="single" w:sz="4" w:space="0" w:color="auto"/>
              <w:right w:val="single" w:sz="4" w:space="0" w:color="auto"/>
            </w:tcBorders>
            <w:vAlign w:val="center"/>
            <w:hideMark/>
          </w:tcPr>
          <w:p w14:paraId="029BED1D" w14:textId="77777777" w:rsidR="00947634" w:rsidRPr="00951AB1" w:rsidRDefault="00947634" w:rsidP="000A5389">
            <w:pPr>
              <w:spacing w:line="240" w:lineRule="auto"/>
              <w:jc w:val="center"/>
              <w:rPr>
                <w:rFonts w:eastAsia="Times New Roman" w:cs="Times New Roman"/>
                <w:color w:val="000000"/>
                <w:sz w:val="16"/>
                <w:szCs w:val="16"/>
                <w:lang w:val="es-419" w:eastAsia="es-419"/>
              </w:rPr>
            </w:pPr>
            <w:r w:rsidRPr="00951AB1">
              <w:rPr>
                <w:rFonts w:eastAsia="Times New Roman" w:cs="Times New Roman"/>
                <w:color w:val="000000"/>
                <w:sz w:val="16"/>
                <w:szCs w:val="16"/>
                <w:lang w:val="es-419" w:eastAsia="es-419"/>
              </w:rPr>
              <w:t>1</w:t>
            </w:r>
          </w:p>
        </w:tc>
        <w:tc>
          <w:tcPr>
            <w:tcW w:w="1193" w:type="dxa"/>
            <w:tcBorders>
              <w:top w:val="nil"/>
              <w:left w:val="nil"/>
              <w:bottom w:val="single" w:sz="4" w:space="0" w:color="auto"/>
              <w:right w:val="single" w:sz="4" w:space="0" w:color="auto"/>
            </w:tcBorders>
            <w:vAlign w:val="center"/>
            <w:hideMark/>
          </w:tcPr>
          <w:p w14:paraId="32E43532" w14:textId="77777777" w:rsidR="00947634" w:rsidRPr="00951AB1" w:rsidRDefault="00947634" w:rsidP="000A5389">
            <w:pPr>
              <w:spacing w:line="240" w:lineRule="auto"/>
              <w:jc w:val="center"/>
              <w:rPr>
                <w:rFonts w:eastAsia="Times New Roman" w:cs="Times New Roman"/>
                <w:color w:val="000000"/>
                <w:sz w:val="16"/>
                <w:szCs w:val="16"/>
                <w:lang w:val="es-419" w:eastAsia="es-419"/>
              </w:rPr>
            </w:pPr>
            <w:r w:rsidRPr="00951AB1">
              <w:rPr>
                <w:rFonts w:eastAsia="Times New Roman" w:cs="Times New Roman"/>
                <w:color w:val="000000"/>
                <w:sz w:val="16"/>
                <w:szCs w:val="16"/>
                <w:lang w:val="es-419" w:eastAsia="es-419"/>
              </w:rPr>
              <w:t>PHPV-2-192</w:t>
            </w:r>
          </w:p>
        </w:tc>
        <w:tc>
          <w:tcPr>
            <w:tcW w:w="1120" w:type="dxa"/>
            <w:tcBorders>
              <w:top w:val="nil"/>
              <w:left w:val="nil"/>
              <w:bottom w:val="single" w:sz="4" w:space="0" w:color="auto"/>
              <w:right w:val="single" w:sz="4" w:space="0" w:color="auto"/>
            </w:tcBorders>
            <w:vAlign w:val="center"/>
            <w:hideMark/>
          </w:tcPr>
          <w:p w14:paraId="77D999D4" w14:textId="77777777" w:rsidR="00947634" w:rsidRPr="00951AB1" w:rsidRDefault="00947634" w:rsidP="000A5389">
            <w:pPr>
              <w:spacing w:line="240" w:lineRule="auto"/>
              <w:jc w:val="center"/>
              <w:rPr>
                <w:rFonts w:eastAsia="Times New Roman" w:cs="Times New Roman"/>
                <w:color w:val="000000"/>
                <w:sz w:val="16"/>
                <w:szCs w:val="16"/>
                <w:lang w:val="es-419" w:eastAsia="es-419"/>
              </w:rPr>
            </w:pPr>
            <w:r w:rsidRPr="00951AB1">
              <w:rPr>
                <w:rFonts w:eastAsia="Times New Roman" w:cs="Times New Roman"/>
                <w:color w:val="000000"/>
                <w:sz w:val="16"/>
                <w:szCs w:val="16"/>
                <w:lang w:val="es-419" w:eastAsia="es-419"/>
              </w:rPr>
              <w:t>62,81</w:t>
            </w:r>
          </w:p>
        </w:tc>
        <w:tc>
          <w:tcPr>
            <w:tcW w:w="1134" w:type="dxa"/>
            <w:tcBorders>
              <w:top w:val="nil"/>
              <w:left w:val="nil"/>
              <w:bottom w:val="single" w:sz="4" w:space="0" w:color="auto"/>
              <w:right w:val="single" w:sz="4" w:space="0" w:color="auto"/>
            </w:tcBorders>
            <w:vAlign w:val="center"/>
            <w:hideMark/>
          </w:tcPr>
          <w:p w14:paraId="71EF429D" w14:textId="77777777" w:rsidR="00947634" w:rsidRPr="00951AB1" w:rsidRDefault="00947634" w:rsidP="000A5389">
            <w:pPr>
              <w:spacing w:line="240" w:lineRule="auto"/>
              <w:jc w:val="right"/>
              <w:rPr>
                <w:rFonts w:eastAsia="Times New Roman" w:cs="Times New Roman"/>
                <w:color w:val="000000"/>
                <w:sz w:val="16"/>
                <w:szCs w:val="16"/>
                <w:lang w:val="es-419" w:eastAsia="es-419"/>
              </w:rPr>
            </w:pPr>
            <w:r w:rsidRPr="00951AB1">
              <w:rPr>
                <w:rFonts w:eastAsia="Times New Roman" w:cs="Times New Roman"/>
                <w:color w:val="000000"/>
                <w:sz w:val="16"/>
                <w:szCs w:val="16"/>
                <w:lang w:val="es-419" w:eastAsia="es-419"/>
              </w:rPr>
              <w:t>$ 160.435.867</w:t>
            </w:r>
          </w:p>
        </w:tc>
        <w:tc>
          <w:tcPr>
            <w:tcW w:w="1560" w:type="dxa"/>
            <w:tcBorders>
              <w:top w:val="nil"/>
              <w:left w:val="nil"/>
              <w:bottom w:val="single" w:sz="4" w:space="0" w:color="auto"/>
              <w:right w:val="single" w:sz="4" w:space="0" w:color="auto"/>
            </w:tcBorders>
            <w:vAlign w:val="center"/>
            <w:hideMark/>
          </w:tcPr>
          <w:p w14:paraId="02DB70C2" w14:textId="77777777" w:rsidR="00947634" w:rsidRPr="00951AB1" w:rsidRDefault="00947634" w:rsidP="000A5389">
            <w:pPr>
              <w:spacing w:line="240" w:lineRule="auto"/>
              <w:jc w:val="right"/>
              <w:rPr>
                <w:rFonts w:eastAsia="Times New Roman" w:cs="Times New Roman"/>
                <w:color w:val="000000"/>
                <w:sz w:val="16"/>
                <w:szCs w:val="16"/>
                <w:lang w:val="es-419" w:eastAsia="es-419"/>
              </w:rPr>
            </w:pPr>
            <w:r w:rsidRPr="00951AB1">
              <w:rPr>
                <w:rFonts w:eastAsia="Times New Roman" w:cs="Times New Roman"/>
                <w:color w:val="000000"/>
                <w:sz w:val="16"/>
                <w:szCs w:val="16"/>
                <w:lang w:val="es-419" w:eastAsia="es-419"/>
              </w:rPr>
              <w:t>$ 214.653.791</w:t>
            </w:r>
          </w:p>
        </w:tc>
      </w:tr>
    </w:tbl>
    <w:p w14:paraId="7B99EEB1" w14:textId="77777777" w:rsidR="00947634" w:rsidRPr="00951AB1" w:rsidRDefault="00947634" w:rsidP="000A5389">
      <w:pPr>
        <w:spacing w:line="240" w:lineRule="auto"/>
        <w:ind w:left="284" w:right="332"/>
        <w:rPr>
          <w:rFonts w:cs="Times New Roman"/>
          <w:lang w:val="es-ES"/>
        </w:rPr>
      </w:pPr>
      <w:r w:rsidRPr="00951AB1">
        <w:rPr>
          <w:rFonts w:cs="Times New Roman"/>
          <w:lang w:val="es-ES"/>
        </w:rPr>
        <w:fldChar w:fldCharType="end"/>
      </w:r>
    </w:p>
    <w:p w14:paraId="5B66FE13" w14:textId="77777777" w:rsidR="00947634" w:rsidRPr="00951AB1" w:rsidRDefault="00947634" w:rsidP="000A5389">
      <w:pPr>
        <w:spacing w:line="240" w:lineRule="auto"/>
        <w:ind w:right="332"/>
        <w:rPr>
          <w:rFonts w:cs="Times New Roman"/>
          <w:i/>
          <w:iCs/>
          <w:lang w:val="es-ES"/>
        </w:rPr>
      </w:pPr>
      <w:r w:rsidRPr="00951AB1">
        <w:rPr>
          <w:rFonts w:cs="Times New Roman"/>
          <w:i/>
          <w:iCs/>
          <w:lang w:val="es-ES"/>
        </w:rPr>
        <w:t>Proyectos Revertidos</w:t>
      </w:r>
    </w:p>
    <w:p w14:paraId="192E0FD2" w14:textId="77777777" w:rsidR="00947634" w:rsidRPr="00951AB1" w:rsidRDefault="00947634" w:rsidP="000A5389">
      <w:pPr>
        <w:spacing w:line="240" w:lineRule="auto"/>
        <w:ind w:left="284" w:right="332"/>
        <w:rPr>
          <w:rFonts w:cs="Times New Roman"/>
          <w:sz w:val="20"/>
          <w:szCs w:val="20"/>
          <w:lang w:eastAsia="es-CO"/>
        </w:rPr>
      </w:pPr>
      <w:r w:rsidRPr="00951AB1">
        <w:rPr>
          <w:rFonts w:cs="Times New Roman"/>
          <w:sz w:val="22"/>
          <w:lang w:val="es-ES"/>
        </w:rPr>
        <w:fldChar w:fldCharType="begin"/>
      </w:r>
      <w:r w:rsidRPr="00951AB1">
        <w:rPr>
          <w:rFonts w:cs="Times New Roman"/>
          <w:lang w:val="es-ES"/>
        </w:rPr>
        <w:instrText xml:space="preserve"> LINK Excel.Sheet.12 "C:\\Users\\wolarte\\Documents\\0-Ani2025\\0_Cierre2025\\Nota_11\\Copia de PREDIOS SOBRANTES PROY REVERTIDOS.xlsx" Hoja1!F2C2:F12C8 \a \f 4 \h  \* MERGEFORMAT </w:instrText>
      </w:r>
      <w:r w:rsidRPr="00951AB1">
        <w:rPr>
          <w:rFonts w:cs="Times New Roman"/>
          <w:sz w:val="22"/>
          <w:lang w:val="es-ES"/>
        </w:rPr>
        <w:fldChar w:fldCharType="separate"/>
      </w:r>
    </w:p>
    <w:tbl>
      <w:tblPr>
        <w:tblW w:w="8642" w:type="dxa"/>
        <w:tblCellMar>
          <w:left w:w="70" w:type="dxa"/>
          <w:right w:w="70" w:type="dxa"/>
        </w:tblCellMar>
        <w:tblLook w:val="04A0" w:firstRow="1" w:lastRow="0" w:firstColumn="1" w:lastColumn="0" w:noHBand="0" w:noVBand="1"/>
      </w:tblPr>
      <w:tblGrid>
        <w:gridCol w:w="846"/>
        <w:gridCol w:w="1411"/>
        <w:gridCol w:w="931"/>
        <w:gridCol w:w="918"/>
        <w:gridCol w:w="2126"/>
        <w:gridCol w:w="1270"/>
        <w:gridCol w:w="1140"/>
      </w:tblGrid>
      <w:tr w:rsidR="00947634" w:rsidRPr="00951AB1" w14:paraId="3633D16E" w14:textId="77777777" w:rsidTr="009B6F35">
        <w:trPr>
          <w:trHeight w:val="840"/>
          <w:tblHeader/>
        </w:trPr>
        <w:tc>
          <w:tcPr>
            <w:tcW w:w="846" w:type="dxa"/>
            <w:tcBorders>
              <w:top w:val="single" w:sz="4" w:space="0" w:color="000000"/>
              <w:left w:val="single" w:sz="4" w:space="0" w:color="000000"/>
              <w:bottom w:val="single" w:sz="4" w:space="0" w:color="auto"/>
              <w:right w:val="single" w:sz="4" w:space="0" w:color="auto"/>
            </w:tcBorders>
            <w:vAlign w:val="center"/>
            <w:hideMark/>
          </w:tcPr>
          <w:p w14:paraId="1721BADE" w14:textId="77777777" w:rsidR="00947634" w:rsidRPr="00951AB1" w:rsidRDefault="00947634" w:rsidP="000A5389">
            <w:pPr>
              <w:spacing w:line="240" w:lineRule="auto"/>
              <w:jc w:val="center"/>
              <w:rPr>
                <w:rFonts w:eastAsia="Times New Roman" w:cs="Times New Roman"/>
                <w:b/>
                <w:bCs/>
                <w:sz w:val="16"/>
                <w:szCs w:val="16"/>
                <w:lang w:val="es-419" w:eastAsia="es-419"/>
              </w:rPr>
            </w:pPr>
            <w:r w:rsidRPr="00951AB1">
              <w:rPr>
                <w:rFonts w:eastAsia="Times New Roman" w:cs="Times New Roman"/>
                <w:b/>
                <w:bCs/>
                <w:sz w:val="16"/>
                <w:szCs w:val="16"/>
                <w:lang w:val="es-419" w:eastAsia="es-419"/>
              </w:rPr>
              <w:t>No del contrato</w:t>
            </w:r>
          </w:p>
        </w:tc>
        <w:tc>
          <w:tcPr>
            <w:tcW w:w="1411" w:type="dxa"/>
            <w:tcBorders>
              <w:top w:val="single" w:sz="4" w:space="0" w:color="000000"/>
              <w:left w:val="nil"/>
              <w:bottom w:val="single" w:sz="4" w:space="0" w:color="auto"/>
              <w:right w:val="single" w:sz="4" w:space="0" w:color="auto"/>
            </w:tcBorders>
            <w:vAlign w:val="center"/>
            <w:hideMark/>
          </w:tcPr>
          <w:p w14:paraId="040A8662" w14:textId="77777777" w:rsidR="00947634" w:rsidRPr="00951AB1" w:rsidRDefault="00947634" w:rsidP="000A5389">
            <w:pPr>
              <w:spacing w:line="240" w:lineRule="auto"/>
              <w:jc w:val="center"/>
              <w:rPr>
                <w:rFonts w:eastAsia="Times New Roman" w:cs="Times New Roman"/>
                <w:b/>
                <w:bCs/>
                <w:sz w:val="16"/>
                <w:szCs w:val="16"/>
                <w:lang w:val="es-419" w:eastAsia="es-419"/>
              </w:rPr>
            </w:pPr>
            <w:r w:rsidRPr="00951AB1">
              <w:rPr>
                <w:rFonts w:eastAsia="Times New Roman" w:cs="Times New Roman"/>
                <w:b/>
                <w:bCs/>
                <w:sz w:val="16"/>
                <w:szCs w:val="16"/>
                <w:lang w:val="es-419" w:eastAsia="es-419"/>
              </w:rPr>
              <w:t>Nombre Proyecto</w:t>
            </w:r>
          </w:p>
        </w:tc>
        <w:tc>
          <w:tcPr>
            <w:tcW w:w="931" w:type="dxa"/>
            <w:tcBorders>
              <w:top w:val="single" w:sz="4" w:space="0" w:color="000000"/>
              <w:left w:val="nil"/>
              <w:bottom w:val="single" w:sz="4" w:space="0" w:color="auto"/>
              <w:right w:val="single" w:sz="4" w:space="0" w:color="auto"/>
            </w:tcBorders>
            <w:vAlign w:val="center"/>
            <w:hideMark/>
          </w:tcPr>
          <w:p w14:paraId="22D205C4" w14:textId="77777777" w:rsidR="00947634" w:rsidRPr="00951AB1" w:rsidRDefault="00947634" w:rsidP="000A5389">
            <w:pPr>
              <w:spacing w:line="240" w:lineRule="auto"/>
              <w:jc w:val="center"/>
              <w:rPr>
                <w:rFonts w:eastAsia="Times New Roman" w:cs="Times New Roman"/>
                <w:b/>
                <w:bCs/>
                <w:sz w:val="16"/>
                <w:szCs w:val="16"/>
                <w:lang w:val="es-419" w:eastAsia="es-419"/>
              </w:rPr>
            </w:pPr>
            <w:r w:rsidRPr="00951AB1">
              <w:rPr>
                <w:rFonts w:eastAsia="Times New Roman" w:cs="Times New Roman"/>
                <w:b/>
                <w:bCs/>
                <w:sz w:val="16"/>
                <w:szCs w:val="16"/>
                <w:lang w:val="es-419" w:eastAsia="es-419"/>
              </w:rPr>
              <w:t>Generación del Contrato</w:t>
            </w:r>
          </w:p>
        </w:tc>
        <w:tc>
          <w:tcPr>
            <w:tcW w:w="918" w:type="dxa"/>
            <w:tcBorders>
              <w:top w:val="single" w:sz="4" w:space="0" w:color="000000"/>
              <w:left w:val="nil"/>
              <w:bottom w:val="single" w:sz="4" w:space="0" w:color="auto"/>
              <w:right w:val="single" w:sz="4" w:space="0" w:color="auto"/>
            </w:tcBorders>
            <w:vAlign w:val="center"/>
            <w:hideMark/>
          </w:tcPr>
          <w:p w14:paraId="6E33F177" w14:textId="77777777" w:rsidR="00947634" w:rsidRPr="00951AB1" w:rsidRDefault="00947634" w:rsidP="000A5389">
            <w:pPr>
              <w:spacing w:line="240" w:lineRule="auto"/>
              <w:jc w:val="center"/>
              <w:rPr>
                <w:rFonts w:eastAsia="Times New Roman" w:cs="Times New Roman"/>
                <w:b/>
                <w:bCs/>
                <w:sz w:val="16"/>
                <w:szCs w:val="16"/>
                <w:lang w:val="es-419" w:eastAsia="es-419"/>
              </w:rPr>
            </w:pPr>
            <w:r w:rsidRPr="00951AB1">
              <w:rPr>
                <w:rFonts w:eastAsia="Times New Roman" w:cs="Times New Roman"/>
                <w:b/>
                <w:bCs/>
                <w:sz w:val="16"/>
                <w:szCs w:val="16"/>
                <w:lang w:val="es-419" w:eastAsia="es-419"/>
              </w:rPr>
              <w:t>No de predios sobrantes</w:t>
            </w:r>
          </w:p>
        </w:tc>
        <w:tc>
          <w:tcPr>
            <w:tcW w:w="2126" w:type="dxa"/>
            <w:tcBorders>
              <w:top w:val="single" w:sz="4" w:space="0" w:color="000000"/>
              <w:left w:val="nil"/>
              <w:bottom w:val="single" w:sz="4" w:space="0" w:color="auto"/>
              <w:right w:val="single" w:sz="4" w:space="0" w:color="auto"/>
            </w:tcBorders>
            <w:vAlign w:val="center"/>
            <w:hideMark/>
          </w:tcPr>
          <w:p w14:paraId="59C34416" w14:textId="77777777" w:rsidR="00947634" w:rsidRPr="00951AB1" w:rsidRDefault="00947634" w:rsidP="000A5389">
            <w:pPr>
              <w:spacing w:line="240" w:lineRule="auto"/>
              <w:jc w:val="center"/>
              <w:rPr>
                <w:rFonts w:eastAsia="Times New Roman" w:cs="Times New Roman"/>
                <w:b/>
                <w:bCs/>
                <w:sz w:val="16"/>
                <w:szCs w:val="16"/>
                <w:lang w:val="es-419" w:eastAsia="es-419"/>
              </w:rPr>
            </w:pPr>
            <w:r w:rsidRPr="00951AB1">
              <w:rPr>
                <w:rFonts w:eastAsia="Times New Roman" w:cs="Times New Roman"/>
                <w:b/>
                <w:bCs/>
                <w:sz w:val="16"/>
                <w:szCs w:val="16"/>
                <w:lang w:val="es-419" w:eastAsia="es-419"/>
              </w:rPr>
              <w:t>Relación de los números de fichas prediales</w:t>
            </w:r>
          </w:p>
        </w:tc>
        <w:tc>
          <w:tcPr>
            <w:tcW w:w="1270" w:type="dxa"/>
            <w:tcBorders>
              <w:top w:val="single" w:sz="4" w:space="0" w:color="000000"/>
              <w:left w:val="nil"/>
              <w:bottom w:val="single" w:sz="4" w:space="0" w:color="auto"/>
              <w:right w:val="single" w:sz="4" w:space="0" w:color="auto"/>
            </w:tcBorders>
            <w:vAlign w:val="center"/>
            <w:hideMark/>
          </w:tcPr>
          <w:p w14:paraId="3317E286" w14:textId="77777777" w:rsidR="00947634" w:rsidRPr="00951AB1" w:rsidRDefault="00947634" w:rsidP="000A5389">
            <w:pPr>
              <w:spacing w:line="240" w:lineRule="auto"/>
              <w:jc w:val="center"/>
              <w:rPr>
                <w:rFonts w:eastAsia="Times New Roman" w:cs="Times New Roman"/>
                <w:b/>
                <w:bCs/>
                <w:sz w:val="16"/>
                <w:szCs w:val="16"/>
                <w:lang w:val="es-419" w:eastAsia="es-419"/>
              </w:rPr>
            </w:pPr>
            <w:r w:rsidRPr="00951AB1">
              <w:rPr>
                <w:rFonts w:eastAsia="Times New Roman" w:cs="Times New Roman"/>
                <w:b/>
                <w:bCs/>
                <w:sz w:val="16"/>
                <w:szCs w:val="16"/>
                <w:lang w:val="es-419" w:eastAsia="es-419"/>
              </w:rPr>
              <w:t>Área total que representan dichos predios sobrantes (m2)</w:t>
            </w:r>
          </w:p>
        </w:tc>
        <w:tc>
          <w:tcPr>
            <w:tcW w:w="1140" w:type="dxa"/>
            <w:tcBorders>
              <w:top w:val="single" w:sz="4" w:space="0" w:color="000000"/>
              <w:left w:val="nil"/>
              <w:bottom w:val="single" w:sz="4" w:space="0" w:color="auto"/>
              <w:right w:val="single" w:sz="4" w:space="0" w:color="auto"/>
            </w:tcBorders>
            <w:vAlign w:val="center"/>
            <w:hideMark/>
          </w:tcPr>
          <w:p w14:paraId="365A030D" w14:textId="77777777" w:rsidR="00947634" w:rsidRPr="00951AB1" w:rsidRDefault="00947634" w:rsidP="000A5389">
            <w:pPr>
              <w:spacing w:line="240" w:lineRule="auto"/>
              <w:jc w:val="center"/>
              <w:rPr>
                <w:rFonts w:eastAsia="Times New Roman" w:cs="Times New Roman"/>
                <w:b/>
                <w:bCs/>
                <w:sz w:val="16"/>
                <w:szCs w:val="16"/>
                <w:lang w:val="es-419" w:eastAsia="es-419"/>
              </w:rPr>
            </w:pPr>
            <w:r w:rsidRPr="00951AB1">
              <w:rPr>
                <w:rFonts w:eastAsia="Times New Roman" w:cs="Times New Roman"/>
                <w:b/>
                <w:bCs/>
                <w:sz w:val="16"/>
                <w:szCs w:val="16"/>
                <w:lang w:val="es-419" w:eastAsia="es-419"/>
              </w:rPr>
              <w:t>Valor total de adquisición</w:t>
            </w:r>
          </w:p>
        </w:tc>
      </w:tr>
      <w:tr w:rsidR="00947634" w:rsidRPr="00951AB1" w14:paraId="1A5369D2" w14:textId="77777777" w:rsidTr="009B6F35">
        <w:trPr>
          <w:trHeight w:val="520"/>
        </w:trPr>
        <w:tc>
          <w:tcPr>
            <w:tcW w:w="846" w:type="dxa"/>
            <w:tcBorders>
              <w:top w:val="nil"/>
              <w:left w:val="single" w:sz="4" w:space="0" w:color="000000"/>
              <w:bottom w:val="single" w:sz="4" w:space="0" w:color="auto"/>
              <w:right w:val="single" w:sz="4" w:space="0" w:color="auto"/>
            </w:tcBorders>
            <w:noWrap/>
            <w:vAlign w:val="center"/>
            <w:hideMark/>
          </w:tcPr>
          <w:p w14:paraId="7CF63C47" w14:textId="77777777" w:rsidR="00947634" w:rsidRPr="00951AB1" w:rsidRDefault="00947634" w:rsidP="000A5389">
            <w:pPr>
              <w:spacing w:line="240" w:lineRule="auto"/>
              <w:jc w:val="center"/>
              <w:rPr>
                <w:rFonts w:eastAsia="Times New Roman" w:cs="Times New Roman"/>
                <w:color w:val="000000"/>
                <w:sz w:val="16"/>
                <w:szCs w:val="16"/>
                <w:lang w:val="es-419" w:eastAsia="es-419"/>
              </w:rPr>
            </w:pPr>
            <w:r w:rsidRPr="00951AB1">
              <w:rPr>
                <w:rFonts w:eastAsia="Times New Roman" w:cs="Times New Roman"/>
                <w:color w:val="000000"/>
                <w:sz w:val="16"/>
                <w:szCs w:val="16"/>
                <w:lang w:val="es-419" w:eastAsia="es-419"/>
              </w:rPr>
              <w:t>664 de 1994</w:t>
            </w:r>
          </w:p>
        </w:tc>
        <w:tc>
          <w:tcPr>
            <w:tcW w:w="1411" w:type="dxa"/>
            <w:tcBorders>
              <w:top w:val="nil"/>
              <w:left w:val="nil"/>
              <w:bottom w:val="single" w:sz="4" w:space="0" w:color="auto"/>
              <w:right w:val="single" w:sz="4" w:space="0" w:color="auto"/>
            </w:tcBorders>
            <w:vAlign w:val="center"/>
            <w:hideMark/>
          </w:tcPr>
          <w:p w14:paraId="0D736F66" w14:textId="491F5B2A" w:rsidR="00947634" w:rsidRPr="00951AB1" w:rsidRDefault="004757A7" w:rsidP="002E333D">
            <w:pPr>
              <w:spacing w:line="240" w:lineRule="auto"/>
              <w:jc w:val="left"/>
              <w:rPr>
                <w:rFonts w:eastAsia="Times New Roman" w:cs="Times New Roman"/>
                <w:color w:val="000000"/>
                <w:sz w:val="16"/>
                <w:szCs w:val="16"/>
                <w:lang w:val="es-419" w:eastAsia="es-419"/>
              </w:rPr>
            </w:pPr>
            <w:r w:rsidRPr="00951AB1">
              <w:rPr>
                <w:rFonts w:eastAsia="Times New Roman" w:cs="Times New Roman"/>
                <w:color w:val="000000"/>
                <w:sz w:val="16"/>
                <w:szCs w:val="16"/>
                <w:lang w:val="es-419" w:eastAsia="es-419"/>
              </w:rPr>
              <w:t>Desarrollo Vial Del Norte De Bogota Devinorte</w:t>
            </w:r>
          </w:p>
        </w:tc>
        <w:tc>
          <w:tcPr>
            <w:tcW w:w="931" w:type="dxa"/>
            <w:tcBorders>
              <w:top w:val="nil"/>
              <w:left w:val="nil"/>
              <w:bottom w:val="single" w:sz="4" w:space="0" w:color="auto"/>
              <w:right w:val="single" w:sz="4" w:space="0" w:color="auto"/>
            </w:tcBorders>
            <w:vAlign w:val="center"/>
            <w:hideMark/>
          </w:tcPr>
          <w:p w14:paraId="20855C6C" w14:textId="77777777" w:rsidR="00947634" w:rsidRPr="00951AB1" w:rsidRDefault="00947634" w:rsidP="000A5389">
            <w:pPr>
              <w:spacing w:line="240" w:lineRule="auto"/>
              <w:jc w:val="center"/>
              <w:rPr>
                <w:rFonts w:eastAsia="Times New Roman" w:cs="Times New Roman"/>
                <w:color w:val="000000"/>
                <w:sz w:val="16"/>
                <w:szCs w:val="16"/>
                <w:lang w:val="es-419" w:eastAsia="es-419"/>
              </w:rPr>
            </w:pPr>
            <w:r w:rsidRPr="00951AB1">
              <w:rPr>
                <w:rFonts w:eastAsia="Times New Roman" w:cs="Times New Roman"/>
                <w:color w:val="000000"/>
                <w:sz w:val="16"/>
                <w:szCs w:val="16"/>
                <w:lang w:val="es-419" w:eastAsia="es-419"/>
              </w:rPr>
              <w:t>1G</w:t>
            </w:r>
          </w:p>
        </w:tc>
        <w:tc>
          <w:tcPr>
            <w:tcW w:w="918" w:type="dxa"/>
            <w:tcBorders>
              <w:top w:val="nil"/>
              <w:left w:val="nil"/>
              <w:bottom w:val="single" w:sz="4" w:space="0" w:color="auto"/>
              <w:right w:val="single" w:sz="4" w:space="0" w:color="auto"/>
            </w:tcBorders>
            <w:noWrap/>
            <w:vAlign w:val="center"/>
            <w:hideMark/>
          </w:tcPr>
          <w:p w14:paraId="37374FD6" w14:textId="77777777" w:rsidR="00947634" w:rsidRPr="00951AB1" w:rsidRDefault="00947634" w:rsidP="000A5389">
            <w:pPr>
              <w:spacing w:line="240" w:lineRule="auto"/>
              <w:jc w:val="center"/>
              <w:rPr>
                <w:rFonts w:eastAsia="Times New Roman" w:cs="Times New Roman"/>
                <w:color w:val="000000"/>
                <w:sz w:val="16"/>
                <w:szCs w:val="16"/>
                <w:lang w:val="es-419" w:eastAsia="es-419"/>
              </w:rPr>
            </w:pPr>
            <w:r w:rsidRPr="00951AB1">
              <w:rPr>
                <w:rFonts w:eastAsia="Times New Roman" w:cs="Times New Roman"/>
                <w:color w:val="000000"/>
                <w:sz w:val="16"/>
                <w:szCs w:val="16"/>
                <w:lang w:val="es-419" w:eastAsia="es-419"/>
              </w:rPr>
              <w:t>1</w:t>
            </w:r>
          </w:p>
        </w:tc>
        <w:tc>
          <w:tcPr>
            <w:tcW w:w="2126" w:type="dxa"/>
            <w:tcBorders>
              <w:top w:val="nil"/>
              <w:left w:val="nil"/>
              <w:bottom w:val="single" w:sz="4" w:space="0" w:color="auto"/>
              <w:right w:val="single" w:sz="4" w:space="0" w:color="auto"/>
            </w:tcBorders>
            <w:noWrap/>
            <w:vAlign w:val="center"/>
            <w:hideMark/>
          </w:tcPr>
          <w:p w14:paraId="5FFE8BD9" w14:textId="77777777" w:rsidR="00947634" w:rsidRPr="00951AB1" w:rsidRDefault="00947634" w:rsidP="000A5389">
            <w:pPr>
              <w:spacing w:line="240" w:lineRule="auto"/>
              <w:jc w:val="center"/>
              <w:rPr>
                <w:rFonts w:eastAsia="Times New Roman" w:cs="Times New Roman"/>
                <w:color w:val="000000"/>
                <w:sz w:val="16"/>
                <w:szCs w:val="16"/>
                <w:lang w:val="es-419" w:eastAsia="es-419"/>
              </w:rPr>
            </w:pPr>
            <w:r w:rsidRPr="00951AB1">
              <w:rPr>
                <w:rFonts w:eastAsia="Times New Roman" w:cs="Times New Roman"/>
                <w:color w:val="000000"/>
                <w:sz w:val="16"/>
                <w:szCs w:val="16"/>
                <w:lang w:val="es-419" w:eastAsia="es-419"/>
              </w:rPr>
              <w:t>929</w:t>
            </w:r>
          </w:p>
        </w:tc>
        <w:tc>
          <w:tcPr>
            <w:tcW w:w="1270" w:type="dxa"/>
            <w:tcBorders>
              <w:top w:val="nil"/>
              <w:left w:val="nil"/>
              <w:bottom w:val="single" w:sz="4" w:space="0" w:color="auto"/>
              <w:right w:val="single" w:sz="4" w:space="0" w:color="auto"/>
            </w:tcBorders>
            <w:noWrap/>
            <w:vAlign w:val="center"/>
            <w:hideMark/>
          </w:tcPr>
          <w:p w14:paraId="4347EC22" w14:textId="77777777" w:rsidR="00947634" w:rsidRPr="00951AB1" w:rsidRDefault="00947634" w:rsidP="000A5389">
            <w:pPr>
              <w:spacing w:line="240" w:lineRule="auto"/>
              <w:jc w:val="center"/>
              <w:rPr>
                <w:rFonts w:eastAsia="Times New Roman" w:cs="Times New Roman"/>
                <w:color w:val="000000"/>
                <w:sz w:val="16"/>
                <w:szCs w:val="16"/>
                <w:lang w:val="es-419" w:eastAsia="es-419"/>
              </w:rPr>
            </w:pPr>
            <w:r w:rsidRPr="00951AB1">
              <w:rPr>
                <w:rFonts w:eastAsia="Times New Roman" w:cs="Times New Roman"/>
                <w:color w:val="000000"/>
                <w:sz w:val="16"/>
                <w:szCs w:val="16"/>
                <w:lang w:val="es-419" w:eastAsia="es-419"/>
              </w:rPr>
              <w:t>3456,13</w:t>
            </w:r>
          </w:p>
        </w:tc>
        <w:tc>
          <w:tcPr>
            <w:tcW w:w="1140" w:type="dxa"/>
            <w:tcBorders>
              <w:top w:val="nil"/>
              <w:left w:val="nil"/>
              <w:bottom w:val="single" w:sz="4" w:space="0" w:color="auto"/>
              <w:right w:val="single" w:sz="4" w:space="0" w:color="auto"/>
            </w:tcBorders>
            <w:noWrap/>
            <w:vAlign w:val="center"/>
            <w:hideMark/>
          </w:tcPr>
          <w:p w14:paraId="393AA832" w14:textId="43E9338D" w:rsidR="00947634" w:rsidRPr="00951AB1" w:rsidRDefault="00947634" w:rsidP="000A5389">
            <w:pPr>
              <w:spacing w:line="240" w:lineRule="auto"/>
              <w:jc w:val="right"/>
              <w:rPr>
                <w:rFonts w:eastAsia="Times New Roman" w:cs="Times New Roman"/>
                <w:color w:val="000000"/>
                <w:sz w:val="16"/>
                <w:szCs w:val="16"/>
                <w:lang w:val="es-419" w:eastAsia="es-419"/>
              </w:rPr>
            </w:pPr>
            <w:r w:rsidRPr="00951AB1">
              <w:rPr>
                <w:rFonts w:eastAsia="Times New Roman" w:cs="Times New Roman"/>
                <w:color w:val="000000"/>
                <w:sz w:val="16"/>
                <w:szCs w:val="16"/>
                <w:lang w:val="es-419" w:eastAsia="es-419"/>
              </w:rPr>
              <w:t>$415.171.975</w:t>
            </w:r>
          </w:p>
        </w:tc>
      </w:tr>
      <w:tr w:rsidR="00947634" w:rsidRPr="00951AB1" w14:paraId="4C5D9491" w14:textId="77777777" w:rsidTr="009B6F35">
        <w:trPr>
          <w:trHeight w:val="290"/>
        </w:trPr>
        <w:tc>
          <w:tcPr>
            <w:tcW w:w="846" w:type="dxa"/>
            <w:tcBorders>
              <w:top w:val="nil"/>
              <w:left w:val="single" w:sz="4" w:space="0" w:color="000000"/>
              <w:bottom w:val="single" w:sz="4" w:space="0" w:color="auto"/>
              <w:right w:val="single" w:sz="4" w:space="0" w:color="auto"/>
            </w:tcBorders>
            <w:noWrap/>
            <w:vAlign w:val="center"/>
            <w:hideMark/>
          </w:tcPr>
          <w:p w14:paraId="0D0F6719" w14:textId="77777777" w:rsidR="00947634" w:rsidRPr="00951AB1" w:rsidRDefault="00947634" w:rsidP="000A5389">
            <w:pPr>
              <w:spacing w:line="240" w:lineRule="auto"/>
              <w:jc w:val="center"/>
              <w:rPr>
                <w:rFonts w:eastAsia="Times New Roman" w:cs="Times New Roman"/>
                <w:color w:val="000000"/>
                <w:sz w:val="16"/>
                <w:szCs w:val="16"/>
                <w:lang w:val="es-419" w:eastAsia="es-419"/>
              </w:rPr>
            </w:pPr>
            <w:r w:rsidRPr="00951AB1">
              <w:rPr>
                <w:rFonts w:eastAsia="Times New Roman" w:cs="Times New Roman"/>
                <w:color w:val="000000"/>
                <w:sz w:val="16"/>
                <w:szCs w:val="16"/>
                <w:lang w:val="es-419" w:eastAsia="es-419"/>
              </w:rPr>
              <w:t>0937 de 1995</w:t>
            </w:r>
          </w:p>
        </w:tc>
        <w:tc>
          <w:tcPr>
            <w:tcW w:w="1411" w:type="dxa"/>
            <w:tcBorders>
              <w:top w:val="nil"/>
              <w:left w:val="nil"/>
              <w:bottom w:val="single" w:sz="4" w:space="0" w:color="auto"/>
              <w:right w:val="single" w:sz="4" w:space="0" w:color="auto"/>
            </w:tcBorders>
            <w:vAlign w:val="center"/>
            <w:hideMark/>
          </w:tcPr>
          <w:p w14:paraId="22F2DA57" w14:textId="4E2E19F6" w:rsidR="00947634" w:rsidRPr="00951AB1" w:rsidRDefault="002E333D" w:rsidP="002E333D">
            <w:pPr>
              <w:spacing w:line="240" w:lineRule="auto"/>
              <w:jc w:val="left"/>
              <w:rPr>
                <w:rFonts w:eastAsia="Times New Roman" w:cs="Times New Roman"/>
                <w:color w:val="000000"/>
                <w:sz w:val="16"/>
                <w:szCs w:val="16"/>
                <w:lang w:val="es-419" w:eastAsia="es-419"/>
              </w:rPr>
            </w:pPr>
            <w:r w:rsidRPr="00951AB1">
              <w:rPr>
                <w:rFonts w:eastAsia="Times New Roman" w:cs="Times New Roman"/>
                <w:color w:val="000000"/>
                <w:sz w:val="16"/>
                <w:szCs w:val="16"/>
                <w:lang w:val="es-419" w:eastAsia="es-419"/>
              </w:rPr>
              <w:t>Fontibón</w:t>
            </w:r>
            <w:r w:rsidR="004757A7" w:rsidRPr="00951AB1">
              <w:rPr>
                <w:rFonts w:eastAsia="Times New Roman" w:cs="Times New Roman"/>
                <w:color w:val="000000"/>
                <w:sz w:val="16"/>
                <w:szCs w:val="16"/>
                <w:lang w:val="es-419" w:eastAsia="es-419"/>
              </w:rPr>
              <w:t xml:space="preserve"> Facatativa Los Alpes</w:t>
            </w:r>
          </w:p>
        </w:tc>
        <w:tc>
          <w:tcPr>
            <w:tcW w:w="931" w:type="dxa"/>
            <w:tcBorders>
              <w:top w:val="nil"/>
              <w:left w:val="nil"/>
              <w:bottom w:val="single" w:sz="4" w:space="0" w:color="auto"/>
              <w:right w:val="single" w:sz="4" w:space="0" w:color="auto"/>
            </w:tcBorders>
            <w:vAlign w:val="center"/>
            <w:hideMark/>
          </w:tcPr>
          <w:p w14:paraId="59AEEE2E" w14:textId="77777777" w:rsidR="00947634" w:rsidRPr="00951AB1" w:rsidRDefault="00947634" w:rsidP="000A5389">
            <w:pPr>
              <w:spacing w:line="240" w:lineRule="auto"/>
              <w:jc w:val="center"/>
              <w:rPr>
                <w:rFonts w:eastAsia="Times New Roman" w:cs="Times New Roman"/>
                <w:color w:val="000000"/>
                <w:sz w:val="16"/>
                <w:szCs w:val="16"/>
                <w:lang w:val="es-419" w:eastAsia="es-419"/>
              </w:rPr>
            </w:pPr>
            <w:r w:rsidRPr="00951AB1">
              <w:rPr>
                <w:rFonts w:eastAsia="Times New Roman" w:cs="Times New Roman"/>
                <w:color w:val="000000"/>
                <w:sz w:val="16"/>
                <w:szCs w:val="16"/>
                <w:lang w:val="es-419" w:eastAsia="es-419"/>
              </w:rPr>
              <w:t>1G</w:t>
            </w:r>
          </w:p>
        </w:tc>
        <w:tc>
          <w:tcPr>
            <w:tcW w:w="918" w:type="dxa"/>
            <w:tcBorders>
              <w:top w:val="nil"/>
              <w:left w:val="nil"/>
              <w:bottom w:val="single" w:sz="4" w:space="0" w:color="auto"/>
              <w:right w:val="single" w:sz="4" w:space="0" w:color="auto"/>
            </w:tcBorders>
            <w:noWrap/>
            <w:vAlign w:val="center"/>
            <w:hideMark/>
          </w:tcPr>
          <w:p w14:paraId="26F44BDB" w14:textId="77777777" w:rsidR="00947634" w:rsidRPr="00951AB1" w:rsidRDefault="00947634" w:rsidP="000A5389">
            <w:pPr>
              <w:spacing w:line="240" w:lineRule="auto"/>
              <w:jc w:val="center"/>
              <w:rPr>
                <w:rFonts w:eastAsia="Times New Roman" w:cs="Times New Roman"/>
                <w:color w:val="000000"/>
                <w:sz w:val="16"/>
                <w:szCs w:val="16"/>
                <w:lang w:val="es-419" w:eastAsia="es-419"/>
              </w:rPr>
            </w:pPr>
            <w:r w:rsidRPr="00951AB1">
              <w:rPr>
                <w:rFonts w:eastAsia="Times New Roman" w:cs="Times New Roman"/>
                <w:color w:val="000000"/>
                <w:sz w:val="16"/>
                <w:szCs w:val="16"/>
                <w:lang w:val="es-419" w:eastAsia="es-419"/>
              </w:rPr>
              <w:t>2</w:t>
            </w:r>
          </w:p>
        </w:tc>
        <w:tc>
          <w:tcPr>
            <w:tcW w:w="2126" w:type="dxa"/>
            <w:tcBorders>
              <w:top w:val="nil"/>
              <w:left w:val="nil"/>
              <w:bottom w:val="single" w:sz="4" w:space="0" w:color="auto"/>
              <w:right w:val="single" w:sz="4" w:space="0" w:color="auto"/>
            </w:tcBorders>
            <w:noWrap/>
            <w:vAlign w:val="center"/>
            <w:hideMark/>
          </w:tcPr>
          <w:p w14:paraId="050ECEAE" w14:textId="77777777" w:rsidR="00947634" w:rsidRPr="00951AB1" w:rsidRDefault="00947634" w:rsidP="000A5389">
            <w:pPr>
              <w:spacing w:line="240" w:lineRule="auto"/>
              <w:jc w:val="center"/>
              <w:rPr>
                <w:rFonts w:eastAsia="Times New Roman" w:cs="Times New Roman"/>
                <w:color w:val="242424"/>
                <w:sz w:val="16"/>
                <w:szCs w:val="16"/>
                <w:lang w:val="es-419" w:eastAsia="es-419"/>
              </w:rPr>
            </w:pPr>
            <w:r w:rsidRPr="00951AB1">
              <w:rPr>
                <w:rFonts w:eastAsia="Times New Roman" w:cs="Times New Roman"/>
                <w:color w:val="242424"/>
                <w:sz w:val="16"/>
                <w:szCs w:val="16"/>
                <w:lang w:val="es-419" w:eastAsia="es-419"/>
              </w:rPr>
              <w:t>19-20</w:t>
            </w:r>
          </w:p>
        </w:tc>
        <w:tc>
          <w:tcPr>
            <w:tcW w:w="1270" w:type="dxa"/>
            <w:tcBorders>
              <w:top w:val="nil"/>
              <w:left w:val="nil"/>
              <w:bottom w:val="single" w:sz="4" w:space="0" w:color="auto"/>
              <w:right w:val="single" w:sz="4" w:space="0" w:color="auto"/>
            </w:tcBorders>
            <w:noWrap/>
            <w:vAlign w:val="center"/>
            <w:hideMark/>
          </w:tcPr>
          <w:p w14:paraId="241B8C94" w14:textId="77777777" w:rsidR="00947634" w:rsidRPr="00951AB1" w:rsidRDefault="00947634" w:rsidP="000A5389">
            <w:pPr>
              <w:spacing w:line="240" w:lineRule="auto"/>
              <w:jc w:val="center"/>
              <w:rPr>
                <w:rFonts w:eastAsia="Times New Roman" w:cs="Times New Roman"/>
                <w:color w:val="000000"/>
                <w:sz w:val="16"/>
                <w:szCs w:val="16"/>
                <w:lang w:val="es-419" w:eastAsia="es-419"/>
              </w:rPr>
            </w:pPr>
            <w:r w:rsidRPr="00951AB1">
              <w:rPr>
                <w:rFonts w:eastAsia="Times New Roman" w:cs="Times New Roman"/>
                <w:color w:val="000000"/>
                <w:sz w:val="16"/>
                <w:szCs w:val="16"/>
                <w:lang w:val="es-419" w:eastAsia="es-419"/>
              </w:rPr>
              <w:t>8213,97</w:t>
            </w:r>
          </w:p>
        </w:tc>
        <w:tc>
          <w:tcPr>
            <w:tcW w:w="1140" w:type="dxa"/>
            <w:tcBorders>
              <w:top w:val="nil"/>
              <w:left w:val="nil"/>
              <w:bottom w:val="single" w:sz="4" w:space="0" w:color="auto"/>
              <w:right w:val="single" w:sz="4" w:space="0" w:color="auto"/>
            </w:tcBorders>
            <w:noWrap/>
            <w:vAlign w:val="center"/>
            <w:hideMark/>
          </w:tcPr>
          <w:p w14:paraId="4FECD96A" w14:textId="26214FE6" w:rsidR="00947634" w:rsidRPr="00951AB1" w:rsidRDefault="00947634" w:rsidP="000A5389">
            <w:pPr>
              <w:spacing w:line="240" w:lineRule="auto"/>
              <w:jc w:val="right"/>
              <w:rPr>
                <w:rFonts w:eastAsia="Times New Roman" w:cs="Times New Roman"/>
                <w:color w:val="000000"/>
                <w:sz w:val="16"/>
                <w:szCs w:val="16"/>
                <w:lang w:val="es-419" w:eastAsia="es-419"/>
              </w:rPr>
            </w:pPr>
            <w:r w:rsidRPr="00951AB1">
              <w:rPr>
                <w:rFonts w:eastAsia="Times New Roman" w:cs="Times New Roman"/>
                <w:color w:val="000000"/>
                <w:sz w:val="16"/>
                <w:szCs w:val="16"/>
                <w:lang w:val="es-419" w:eastAsia="es-419"/>
              </w:rPr>
              <w:t>$379.062.662</w:t>
            </w:r>
          </w:p>
        </w:tc>
      </w:tr>
      <w:tr w:rsidR="00947634" w:rsidRPr="00951AB1" w14:paraId="42F0E900" w14:textId="77777777" w:rsidTr="009B6F35">
        <w:trPr>
          <w:trHeight w:val="290"/>
        </w:trPr>
        <w:tc>
          <w:tcPr>
            <w:tcW w:w="846" w:type="dxa"/>
            <w:tcBorders>
              <w:top w:val="nil"/>
              <w:left w:val="single" w:sz="4" w:space="0" w:color="000000"/>
              <w:bottom w:val="single" w:sz="4" w:space="0" w:color="auto"/>
              <w:right w:val="single" w:sz="4" w:space="0" w:color="auto"/>
            </w:tcBorders>
            <w:noWrap/>
            <w:vAlign w:val="center"/>
            <w:hideMark/>
          </w:tcPr>
          <w:p w14:paraId="3D196F72" w14:textId="77777777" w:rsidR="00947634" w:rsidRPr="00951AB1" w:rsidRDefault="00947634" w:rsidP="000A5389">
            <w:pPr>
              <w:spacing w:line="240" w:lineRule="auto"/>
              <w:jc w:val="center"/>
              <w:rPr>
                <w:rFonts w:eastAsia="Times New Roman" w:cs="Times New Roman"/>
                <w:color w:val="000000"/>
                <w:sz w:val="16"/>
                <w:szCs w:val="16"/>
                <w:lang w:val="es-419" w:eastAsia="es-419"/>
              </w:rPr>
            </w:pPr>
            <w:r w:rsidRPr="00951AB1">
              <w:rPr>
                <w:rFonts w:eastAsia="Times New Roman" w:cs="Times New Roman"/>
                <w:color w:val="000000"/>
                <w:sz w:val="16"/>
                <w:szCs w:val="16"/>
                <w:lang w:val="es-419" w:eastAsia="es-419"/>
              </w:rPr>
              <w:t>377 de 2002</w:t>
            </w:r>
          </w:p>
        </w:tc>
        <w:tc>
          <w:tcPr>
            <w:tcW w:w="1411" w:type="dxa"/>
            <w:tcBorders>
              <w:top w:val="nil"/>
              <w:left w:val="nil"/>
              <w:bottom w:val="single" w:sz="4" w:space="0" w:color="auto"/>
              <w:right w:val="single" w:sz="4" w:space="0" w:color="auto"/>
            </w:tcBorders>
            <w:vAlign w:val="center"/>
            <w:hideMark/>
          </w:tcPr>
          <w:p w14:paraId="13D52A0E" w14:textId="18BA2545" w:rsidR="00947634" w:rsidRPr="00951AB1" w:rsidRDefault="004757A7" w:rsidP="002E333D">
            <w:pPr>
              <w:spacing w:line="240" w:lineRule="auto"/>
              <w:jc w:val="left"/>
              <w:rPr>
                <w:rFonts w:eastAsia="Times New Roman" w:cs="Times New Roman"/>
                <w:color w:val="000000"/>
                <w:sz w:val="16"/>
                <w:szCs w:val="16"/>
                <w:lang w:val="es-419" w:eastAsia="es-419"/>
              </w:rPr>
            </w:pPr>
            <w:r w:rsidRPr="00951AB1">
              <w:rPr>
                <w:rFonts w:eastAsia="Times New Roman" w:cs="Times New Roman"/>
                <w:color w:val="000000"/>
                <w:sz w:val="16"/>
                <w:szCs w:val="16"/>
                <w:lang w:val="es-419" w:eastAsia="es-419"/>
              </w:rPr>
              <w:t>Briceño-Tunja-Sogamoso</w:t>
            </w:r>
          </w:p>
        </w:tc>
        <w:tc>
          <w:tcPr>
            <w:tcW w:w="931" w:type="dxa"/>
            <w:tcBorders>
              <w:top w:val="nil"/>
              <w:left w:val="nil"/>
              <w:bottom w:val="single" w:sz="4" w:space="0" w:color="auto"/>
              <w:right w:val="single" w:sz="4" w:space="0" w:color="auto"/>
            </w:tcBorders>
            <w:vAlign w:val="center"/>
            <w:hideMark/>
          </w:tcPr>
          <w:p w14:paraId="73BB130E" w14:textId="77777777" w:rsidR="00947634" w:rsidRPr="00951AB1" w:rsidRDefault="00947634" w:rsidP="000A5389">
            <w:pPr>
              <w:spacing w:line="240" w:lineRule="auto"/>
              <w:jc w:val="center"/>
              <w:rPr>
                <w:rFonts w:eastAsia="Times New Roman" w:cs="Times New Roman"/>
                <w:color w:val="000000"/>
                <w:sz w:val="16"/>
                <w:szCs w:val="16"/>
                <w:lang w:val="es-419" w:eastAsia="es-419"/>
              </w:rPr>
            </w:pPr>
            <w:r w:rsidRPr="00951AB1">
              <w:rPr>
                <w:rFonts w:eastAsia="Times New Roman" w:cs="Times New Roman"/>
                <w:color w:val="000000"/>
                <w:sz w:val="16"/>
                <w:szCs w:val="16"/>
                <w:lang w:val="es-419" w:eastAsia="es-419"/>
              </w:rPr>
              <w:t>1G</w:t>
            </w:r>
          </w:p>
        </w:tc>
        <w:tc>
          <w:tcPr>
            <w:tcW w:w="918" w:type="dxa"/>
            <w:tcBorders>
              <w:top w:val="nil"/>
              <w:left w:val="nil"/>
              <w:bottom w:val="single" w:sz="4" w:space="0" w:color="auto"/>
              <w:right w:val="single" w:sz="4" w:space="0" w:color="auto"/>
            </w:tcBorders>
            <w:noWrap/>
            <w:vAlign w:val="center"/>
            <w:hideMark/>
          </w:tcPr>
          <w:p w14:paraId="6AD6F439" w14:textId="77777777" w:rsidR="00947634" w:rsidRPr="00951AB1" w:rsidRDefault="00947634" w:rsidP="000A5389">
            <w:pPr>
              <w:spacing w:line="240" w:lineRule="auto"/>
              <w:jc w:val="center"/>
              <w:rPr>
                <w:rFonts w:eastAsia="Times New Roman" w:cs="Times New Roman"/>
                <w:color w:val="000000"/>
                <w:sz w:val="16"/>
                <w:szCs w:val="16"/>
                <w:lang w:val="es-419" w:eastAsia="es-419"/>
              </w:rPr>
            </w:pPr>
            <w:r w:rsidRPr="00951AB1">
              <w:rPr>
                <w:rFonts w:eastAsia="Times New Roman" w:cs="Times New Roman"/>
                <w:color w:val="000000"/>
                <w:sz w:val="16"/>
                <w:szCs w:val="16"/>
                <w:lang w:val="es-419" w:eastAsia="es-419"/>
              </w:rPr>
              <w:t>1</w:t>
            </w:r>
          </w:p>
        </w:tc>
        <w:tc>
          <w:tcPr>
            <w:tcW w:w="2126" w:type="dxa"/>
            <w:tcBorders>
              <w:top w:val="nil"/>
              <w:left w:val="nil"/>
              <w:bottom w:val="single" w:sz="4" w:space="0" w:color="auto"/>
              <w:right w:val="single" w:sz="4" w:space="0" w:color="auto"/>
            </w:tcBorders>
            <w:noWrap/>
            <w:vAlign w:val="center"/>
            <w:hideMark/>
          </w:tcPr>
          <w:p w14:paraId="53641D86" w14:textId="77777777" w:rsidR="00947634" w:rsidRPr="00951AB1" w:rsidRDefault="00947634" w:rsidP="000A5389">
            <w:pPr>
              <w:spacing w:line="240" w:lineRule="auto"/>
              <w:jc w:val="center"/>
              <w:rPr>
                <w:rFonts w:eastAsia="Times New Roman" w:cs="Times New Roman"/>
                <w:color w:val="242424"/>
                <w:sz w:val="16"/>
                <w:szCs w:val="16"/>
                <w:lang w:val="es-419" w:eastAsia="es-419"/>
              </w:rPr>
            </w:pPr>
            <w:r w:rsidRPr="00951AB1">
              <w:rPr>
                <w:rFonts w:eastAsia="Times New Roman" w:cs="Times New Roman"/>
                <w:color w:val="242424"/>
                <w:sz w:val="16"/>
                <w:szCs w:val="16"/>
                <w:lang w:val="es-419" w:eastAsia="es-419"/>
              </w:rPr>
              <w:t>10-F044</w:t>
            </w:r>
          </w:p>
        </w:tc>
        <w:tc>
          <w:tcPr>
            <w:tcW w:w="1270" w:type="dxa"/>
            <w:tcBorders>
              <w:top w:val="nil"/>
              <w:left w:val="nil"/>
              <w:bottom w:val="single" w:sz="4" w:space="0" w:color="auto"/>
              <w:right w:val="single" w:sz="4" w:space="0" w:color="auto"/>
            </w:tcBorders>
            <w:noWrap/>
            <w:vAlign w:val="center"/>
            <w:hideMark/>
          </w:tcPr>
          <w:p w14:paraId="42CD9065" w14:textId="77777777" w:rsidR="00947634" w:rsidRPr="00951AB1" w:rsidRDefault="00947634" w:rsidP="000A5389">
            <w:pPr>
              <w:spacing w:line="240" w:lineRule="auto"/>
              <w:jc w:val="center"/>
              <w:rPr>
                <w:rFonts w:eastAsia="Times New Roman" w:cs="Times New Roman"/>
                <w:color w:val="000000"/>
                <w:sz w:val="16"/>
                <w:szCs w:val="16"/>
                <w:lang w:val="es-419" w:eastAsia="es-419"/>
              </w:rPr>
            </w:pPr>
            <w:r w:rsidRPr="00951AB1">
              <w:rPr>
                <w:rFonts w:eastAsia="Times New Roman" w:cs="Times New Roman"/>
                <w:color w:val="000000"/>
                <w:sz w:val="16"/>
                <w:szCs w:val="16"/>
                <w:lang w:val="es-419" w:eastAsia="es-419"/>
              </w:rPr>
              <w:t>8427,37</w:t>
            </w:r>
          </w:p>
        </w:tc>
        <w:tc>
          <w:tcPr>
            <w:tcW w:w="1140" w:type="dxa"/>
            <w:tcBorders>
              <w:top w:val="nil"/>
              <w:left w:val="nil"/>
              <w:bottom w:val="single" w:sz="4" w:space="0" w:color="auto"/>
              <w:right w:val="single" w:sz="4" w:space="0" w:color="auto"/>
            </w:tcBorders>
            <w:noWrap/>
            <w:vAlign w:val="center"/>
            <w:hideMark/>
          </w:tcPr>
          <w:p w14:paraId="6329500D" w14:textId="5A62331D" w:rsidR="00947634" w:rsidRPr="00951AB1" w:rsidRDefault="00947634" w:rsidP="000A5389">
            <w:pPr>
              <w:spacing w:line="240" w:lineRule="auto"/>
              <w:jc w:val="right"/>
              <w:rPr>
                <w:rFonts w:eastAsia="Times New Roman" w:cs="Times New Roman"/>
                <w:color w:val="000000"/>
                <w:sz w:val="16"/>
                <w:szCs w:val="16"/>
                <w:lang w:val="es-419" w:eastAsia="es-419"/>
              </w:rPr>
            </w:pPr>
            <w:r w:rsidRPr="00951AB1">
              <w:rPr>
                <w:rFonts w:eastAsia="Times New Roman" w:cs="Times New Roman"/>
                <w:color w:val="000000"/>
                <w:sz w:val="16"/>
                <w:szCs w:val="16"/>
                <w:lang w:val="es-419" w:eastAsia="es-419"/>
              </w:rPr>
              <w:t>$40.044.425</w:t>
            </w:r>
          </w:p>
        </w:tc>
      </w:tr>
      <w:tr w:rsidR="00947634" w:rsidRPr="00951AB1" w14:paraId="2F384DA1" w14:textId="77777777" w:rsidTr="009B6F35">
        <w:trPr>
          <w:trHeight w:val="290"/>
        </w:trPr>
        <w:tc>
          <w:tcPr>
            <w:tcW w:w="846" w:type="dxa"/>
            <w:tcBorders>
              <w:top w:val="nil"/>
              <w:left w:val="single" w:sz="4" w:space="0" w:color="000000"/>
              <w:bottom w:val="single" w:sz="4" w:space="0" w:color="auto"/>
              <w:right w:val="single" w:sz="4" w:space="0" w:color="auto"/>
            </w:tcBorders>
            <w:noWrap/>
            <w:vAlign w:val="center"/>
            <w:hideMark/>
          </w:tcPr>
          <w:p w14:paraId="2F277C85" w14:textId="77777777" w:rsidR="00947634" w:rsidRPr="00951AB1" w:rsidRDefault="00947634" w:rsidP="000A5389">
            <w:pPr>
              <w:spacing w:line="240" w:lineRule="auto"/>
              <w:jc w:val="center"/>
              <w:rPr>
                <w:rFonts w:eastAsia="Times New Roman" w:cs="Times New Roman"/>
                <w:color w:val="000000"/>
                <w:sz w:val="16"/>
                <w:szCs w:val="16"/>
                <w:lang w:val="es-419" w:eastAsia="es-419"/>
              </w:rPr>
            </w:pPr>
            <w:r w:rsidRPr="00951AB1">
              <w:rPr>
                <w:rFonts w:eastAsia="Times New Roman" w:cs="Times New Roman"/>
                <w:color w:val="000000"/>
                <w:sz w:val="16"/>
                <w:szCs w:val="16"/>
                <w:lang w:val="es-419" w:eastAsia="es-419"/>
              </w:rPr>
              <w:t>003 de 2006</w:t>
            </w:r>
          </w:p>
        </w:tc>
        <w:tc>
          <w:tcPr>
            <w:tcW w:w="1411" w:type="dxa"/>
            <w:tcBorders>
              <w:top w:val="nil"/>
              <w:left w:val="nil"/>
              <w:bottom w:val="single" w:sz="4" w:space="0" w:color="auto"/>
              <w:right w:val="single" w:sz="4" w:space="0" w:color="auto"/>
            </w:tcBorders>
            <w:vAlign w:val="center"/>
            <w:hideMark/>
          </w:tcPr>
          <w:p w14:paraId="18E0B3CA" w14:textId="72955527" w:rsidR="00947634" w:rsidRPr="00951AB1" w:rsidRDefault="004757A7" w:rsidP="002E333D">
            <w:pPr>
              <w:spacing w:line="240" w:lineRule="auto"/>
              <w:jc w:val="left"/>
              <w:rPr>
                <w:rFonts w:eastAsia="Times New Roman" w:cs="Times New Roman"/>
                <w:color w:val="000000"/>
                <w:sz w:val="16"/>
                <w:szCs w:val="16"/>
                <w:lang w:val="es-419" w:eastAsia="es-419"/>
              </w:rPr>
            </w:pPr>
            <w:r w:rsidRPr="00951AB1">
              <w:rPr>
                <w:rFonts w:eastAsia="Times New Roman" w:cs="Times New Roman"/>
                <w:color w:val="000000"/>
                <w:sz w:val="16"/>
                <w:szCs w:val="16"/>
                <w:lang w:val="es-419" w:eastAsia="es-419"/>
              </w:rPr>
              <w:t xml:space="preserve">Rumichaca Pasto </w:t>
            </w:r>
            <w:r w:rsidR="002E333D" w:rsidRPr="00951AB1">
              <w:rPr>
                <w:rFonts w:eastAsia="Times New Roman" w:cs="Times New Roman"/>
                <w:color w:val="000000"/>
                <w:sz w:val="16"/>
                <w:szCs w:val="16"/>
                <w:lang w:val="es-419" w:eastAsia="es-419"/>
              </w:rPr>
              <w:t>Chachagüí</w:t>
            </w:r>
            <w:r w:rsidRPr="00951AB1">
              <w:rPr>
                <w:rFonts w:eastAsia="Times New Roman" w:cs="Times New Roman"/>
                <w:color w:val="000000"/>
                <w:sz w:val="16"/>
                <w:szCs w:val="16"/>
                <w:lang w:val="es-419" w:eastAsia="es-419"/>
              </w:rPr>
              <w:t xml:space="preserve"> - Aeropuerto</w:t>
            </w:r>
          </w:p>
        </w:tc>
        <w:tc>
          <w:tcPr>
            <w:tcW w:w="931" w:type="dxa"/>
            <w:tcBorders>
              <w:top w:val="nil"/>
              <w:left w:val="nil"/>
              <w:bottom w:val="single" w:sz="4" w:space="0" w:color="auto"/>
              <w:right w:val="single" w:sz="4" w:space="0" w:color="auto"/>
            </w:tcBorders>
            <w:vAlign w:val="center"/>
            <w:hideMark/>
          </w:tcPr>
          <w:p w14:paraId="7F5E0C11" w14:textId="77777777" w:rsidR="00947634" w:rsidRPr="00951AB1" w:rsidRDefault="00947634" w:rsidP="000A5389">
            <w:pPr>
              <w:spacing w:line="240" w:lineRule="auto"/>
              <w:jc w:val="center"/>
              <w:rPr>
                <w:rFonts w:eastAsia="Times New Roman" w:cs="Times New Roman"/>
                <w:color w:val="000000"/>
                <w:sz w:val="16"/>
                <w:szCs w:val="16"/>
                <w:lang w:val="es-419" w:eastAsia="es-419"/>
              </w:rPr>
            </w:pPr>
            <w:r w:rsidRPr="00951AB1">
              <w:rPr>
                <w:rFonts w:eastAsia="Times New Roman" w:cs="Times New Roman"/>
                <w:color w:val="000000"/>
                <w:sz w:val="16"/>
                <w:szCs w:val="16"/>
                <w:lang w:val="es-419" w:eastAsia="es-419"/>
              </w:rPr>
              <w:t>1G</w:t>
            </w:r>
          </w:p>
        </w:tc>
        <w:tc>
          <w:tcPr>
            <w:tcW w:w="918" w:type="dxa"/>
            <w:tcBorders>
              <w:top w:val="nil"/>
              <w:left w:val="nil"/>
              <w:bottom w:val="single" w:sz="4" w:space="0" w:color="auto"/>
              <w:right w:val="single" w:sz="4" w:space="0" w:color="auto"/>
            </w:tcBorders>
            <w:noWrap/>
            <w:vAlign w:val="center"/>
            <w:hideMark/>
          </w:tcPr>
          <w:p w14:paraId="5601F783" w14:textId="77777777" w:rsidR="00947634" w:rsidRPr="00951AB1" w:rsidRDefault="00947634" w:rsidP="000A5389">
            <w:pPr>
              <w:spacing w:line="240" w:lineRule="auto"/>
              <w:jc w:val="center"/>
              <w:rPr>
                <w:rFonts w:eastAsia="Times New Roman" w:cs="Times New Roman"/>
                <w:color w:val="000000"/>
                <w:sz w:val="16"/>
                <w:szCs w:val="16"/>
                <w:lang w:val="es-419" w:eastAsia="es-419"/>
              </w:rPr>
            </w:pPr>
            <w:r w:rsidRPr="00951AB1">
              <w:rPr>
                <w:rFonts w:eastAsia="Times New Roman" w:cs="Times New Roman"/>
                <w:color w:val="000000"/>
                <w:sz w:val="16"/>
                <w:szCs w:val="16"/>
                <w:lang w:val="es-419" w:eastAsia="es-419"/>
              </w:rPr>
              <w:t>1</w:t>
            </w:r>
          </w:p>
        </w:tc>
        <w:tc>
          <w:tcPr>
            <w:tcW w:w="2126" w:type="dxa"/>
            <w:tcBorders>
              <w:top w:val="nil"/>
              <w:left w:val="nil"/>
              <w:bottom w:val="single" w:sz="4" w:space="0" w:color="auto"/>
              <w:right w:val="single" w:sz="4" w:space="0" w:color="auto"/>
            </w:tcBorders>
            <w:noWrap/>
            <w:vAlign w:val="center"/>
            <w:hideMark/>
          </w:tcPr>
          <w:p w14:paraId="248148DD" w14:textId="77777777" w:rsidR="00947634" w:rsidRPr="00951AB1" w:rsidRDefault="00947634" w:rsidP="000A5389">
            <w:pPr>
              <w:spacing w:line="240" w:lineRule="auto"/>
              <w:jc w:val="center"/>
              <w:rPr>
                <w:rFonts w:eastAsia="Times New Roman" w:cs="Times New Roman"/>
                <w:color w:val="000000"/>
                <w:sz w:val="16"/>
                <w:szCs w:val="16"/>
                <w:lang w:val="es-419" w:eastAsia="es-419"/>
              </w:rPr>
            </w:pPr>
            <w:r w:rsidRPr="00951AB1">
              <w:rPr>
                <w:rFonts w:eastAsia="Times New Roman" w:cs="Times New Roman"/>
                <w:color w:val="000000"/>
                <w:sz w:val="16"/>
                <w:szCs w:val="16"/>
                <w:lang w:val="es-419" w:eastAsia="es-419"/>
              </w:rPr>
              <w:t>28A</w:t>
            </w:r>
          </w:p>
        </w:tc>
        <w:tc>
          <w:tcPr>
            <w:tcW w:w="1270" w:type="dxa"/>
            <w:tcBorders>
              <w:top w:val="nil"/>
              <w:left w:val="nil"/>
              <w:bottom w:val="single" w:sz="4" w:space="0" w:color="auto"/>
              <w:right w:val="single" w:sz="4" w:space="0" w:color="auto"/>
            </w:tcBorders>
            <w:noWrap/>
            <w:vAlign w:val="center"/>
            <w:hideMark/>
          </w:tcPr>
          <w:p w14:paraId="0ED50BD2" w14:textId="77777777" w:rsidR="00947634" w:rsidRPr="00951AB1" w:rsidRDefault="00947634" w:rsidP="000A5389">
            <w:pPr>
              <w:spacing w:line="240" w:lineRule="auto"/>
              <w:jc w:val="center"/>
              <w:rPr>
                <w:rFonts w:eastAsia="Times New Roman" w:cs="Times New Roman"/>
                <w:sz w:val="16"/>
                <w:szCs w:val="16"/>
                <w:lang w:val="es-419" w:eastAsia="es-419"/>
              </w:rPr>
            </w:pPr>
            <w:r w:rsidRPr="00951AB1">
              <w:rPr>
                <w:rFonts w:eastAsia="Times New Roman" w:cs="Times New Roman"/>
                <w:sz w:val="16"/>
                <w:szCs w:val="16"/>
                <w:lang w:val="es-419" w:eastAsia="es-419"/>
              </w:rPr>
              <w:t>6054,01</w:t>
            </w:r>
          </w:p>
        </w:tc>
        <w:tc>
          <w:tcPr>
            <w:tcW w:w="1140" w:type="dxa"/>
            <w:tcBorders>
              <w:top w:val="nil"/>
              <w:left w:val="nil"/>
              <w:bottom w:val="single" w:sz="4" w:space="0" w:color="auto"/>
              <w:right w:val="single" w:sz="4" w:space="0" w:color="auto"/>
            </w:tcBorders>
            <w:noWrap/>
            <w:vAlign w:val="center"/>
            <w:hideMark/>
          </w:tcPr>
          <w:p w14:paraId="1E334059" w14:textId="75A00ED0" w:rsidR="00947634" w:rsidRPr="00951AB1" w:rsidRDefault="00947634" w:rsidP="000A5389">
            <w:pPr>
              <w:spacing w:line="240" w:lineRule="auto"/>
              <w:jc w:val="right"/>
              <w:rPr>
                <w:rFonts w:eastAsia="Times New Roman" w:cs="Times New Roman"/>
                <w:color w:val="000000"/>
                <w:sz w:val="16"/>
                <w:szCs w:val="16"/>
                <w:lang w:val="es-419" w:eastAsia="es-419"/>
              </w:rPr>
            </w:pPr>
            <w:r w:rsidRPr="00951AB1">
              <w:rPr>
                <w:rFonts w:eastAsia="Times New Roman" w:cs="Times New Roman"/>
                <w:color w:val="000000"/>
                <w:sz w:val="16"/>
                <w:szCs w:val="16"/>
                <w:lang w:val="es-419" w:eastAsia="es-419"/>
              </w:rPr>
              <w:t>$62.449.782</w:t>
            </w:r>
          </w:p>
        </w:tc>
      </w:tr>
      <w:tr w:rsidR="00947634" w:rsidRPr="00951AB1" w14:paraId="39C93FB4" w14:textId="77777777" w:rsidTr="009B6F35">
        <w:trPr>
          <w:trHeight w:val="290"/>
        </w:trPr>
        <w:tc>
          <w:tcPr>
            <w:tcW w:w="846" w:type="dxa"/>
            <w:tcBorders>
              <w:top w:val="nil"/>
              <w:left w:val="single" w:sz="4" w:space="0" w:color="000000"/>
              <w:bottom w:val="single" w:sz="4" w:space="0" w:color="auto"/>
              <w:right w:val="single" w:sz="4" w:space="0" w:color="auto"/>
            </w:tcBorders>
            <w:noWrap/>
            <w:vAlign w:val="center"/>
            <w:hideMark/>
          </w:tcPr>
          <w:p w14:paraId="1E06F547" w14:textId="77777777" w:rsidR="00947634" w:rsidRPr="00951AB1" w:rsidRDefault="00947634" w:rsidP="000A5389">
            <w:pPr>
              <w:spacing w:line="240" w:lineRule="auto"/>
              <w:jc w:val="center"/>
              <w:rPr>
                <w:rFonts w:eastAsia="Times New Roman" w:cs="Times New Roman"/>
                <w:color w:val="000000"/>
                <w:sz w:val="16"/>
                <w:szCs w:val="16"/>
                <w:lang w:val="es-419" w:eastAsia="es-419"/>
              </w:rPr>
            </w:pPr>
            <w:r w:rsidRPr="00951AB1">
              <w:rPr>
                <w:rFonts w:eastAsia="Times New Roman" w:cs="Times New Roman"/>
                <w:color w:val="000000"/>
                <w:sz w:val="16"/>
                <w:szCs w:val="16"/>
                <w:lang w:val="es-419" w:eastAsia="es-419"/>
              </w:rPr>
              <w:t>003 de 2006</w:t>
            </w:r>
          </w:p>
        </w:tc>
        <w:tc>
          <w:tcPr>
            <w:tcW w:w="1411" w:type="dxa"/>
            <w:tcBorders>
              <w:top w:val="nil"/>
              <w:left w:val="nil"/>
              <w:bottom w:val="single" w:sz="4" w:space="0" w:color="auto"/>
              <w:right w:val="single" w:sz="4" w:space="0" w:color="auto"/>
            </w:tcBorders>
            <w:vAlign w:val="center"/>
            <w:hideMark/>
          </w:tcPr>
          <w:p w14:paraId="0BFC6BD4" w14:textId="5AF0D221" w:rsidR="00947634" w:rsidRPr="00951AB1" w:rsidRDefault="004757A7" w:rsidP="002E333D">
            <w:pPr>
              <w:spacing w:line="240" w:lineRule="auto"/>
              <w:jc w:val="left"/>
              <w:rPr>
                <w:rFonts w:eastAsia="Times New Roman" w:cs="Times New Roman"/>
                <w:color w:val="000000"/>
                <w:sz w:val="16"/>
                <w:szCs w:val="16"/>
                <w:lang w:val="es-419" w:eastAsia="es-419"/>
              </w:rPr>
            </w:pPr>
            <w:r w:rsidRPr="00951AB1">
              <w:rPr>
                <w:rFonts w:eastAsia="Times New Roman" w:cs="Times New Roman"/>
                <w:color w:val="000000"/>
                <w:sz w:val="16"/>
                <w:szCs w:val="16"/>
                <w:lang w:val="es-419" w:eastAsia="es-419"/>
              </w:rPr>
              <w:t xml:space="preserve">Rumichaca Pasto </w:t>
            </w:r>
            <w:r w:rsidR="002E333D" w:rsidRPr="00951AB1">
              <w:rPr>
                <w:rFonts w:eastAsia="Times New Roman" w:cs="Times New Roman"/>
                <w:color w:val="000000"/>
                <w:sz w:val="16"/>
                <w:szCs w:val="16"/>
                <w:lang w:val="es-419" w:eastAsia="es-419"/>
              </w:rPr>
              <w:t>Chachagüí</w:t>
            </w:r>
            <w:r w:rsidRPr="00951AB1">
              <w:rPr>
                <w:rFonts w:eastAsia="Times New Roman" w:cs="Times New Roman"/>
                <w:color w:val="000000"/>
                <w:sz w:val="16"/>
                <w:szCs w:val="16"/>
                <w:lang w:val="es-419" w:eastAsia="es-419"/>
              </w:rPr>
              <w:t xml:space="preserve"> - Aeropuerto</w:t>
            </w:r>
          </w:p>
        </w:tc>
        <w:tc>
          <w:tcPr>
            <w:tcW w:w="931" w:type="dxa"/>
            <w:tcBorders>
              <w:top w:val="nil"/>
              <w:left w:val="nil"/>
              <w:bottom w:val="single" w:sz="4" w:space="0" w:color="auto"/>
              <w:right w:val="single" w:sz="4" w:space="0" w:color="auto"/>
            </w:tcBorders>
            <w:vAlign w:val="center"/>
            <w:hideMark/>
          </w:tcPr>
          <w:p w14:paraId="6DC15EFB" w14:textId="77777777" w:rsidR="00947634" w:rsidRPr="00951AB1" w:rsidRDefault="00947634" w:rsidP="000A5389">
            <w:pPr>
              <w:spacing w:line="240" w:lineRule="auto"/>
              <w:jc w:val="center"/>
              <w:rPr>
                <w:rFonts w:eastAsia="Times New Roman" w:cs="Times New Roman"/>
                <w:color w:val="000000"/>
                <w:sz w:val="16"/>
                <w:szCs w:val="16"/>
                <w:lang w:val="es-419" w:eastAsia="es-419"/>
              </w:rPr>
            </w:pPr>
            <w:r w:rsidRPr="00951AB1">
              <w:rPr>
                <w:rFonts w:eastAsia="Times New Roman" w:cs="Times New Roman"/>
                <w:color w:val="000000"/>
                <w:sz w:val="16"/>
                <w:szCs w:val="16"/>
                <w:lang w:val="es-419" w:eastAsia="es-419"/>
              </w:rPr>
              <w:t>1G</w:t>
            </w:r>
          </w:p>
        </w:tc>
        <w:tc>
          <w:tcPr>
            <w:tcW w:w="918" w:type="dxa"/>
            <w:tcBorders>
              <w:top w:val="nil"/>
              <w:left w:val="nil"/>
              <w:bottom w:val="single" w:sz="4" w:space="0" w:color="auto"/>
              <w:right w:val="single" w:sz="4" w:space="0" w:color="auto"/>
            </w:tcBorders>
            <w:noWrap/>
            <w:vAlign w:val="center"/>
            <w:hideMark/>
          </w:tcPr>
          <w:p w14:paraId="2E65C184" w14:textId="77777777" w:rsidR="00947634" w:rsidRPr="00951AB1" w:rsidRDefault="00947634" w:rsidP="000A5389">
            <w:pPr>
              <w:spacing w:line="240" w:lineRule="auto"/>
              <w:jc w:val="center"/>
              <w:rPr>
                <w:rFonts w:eastAsia="Times New Roman" w:cs="Times New Roman"/>
                <w:color w:val="000000"/>
                <w:sz w:val="16"/>
                <w:szCs w:val="16"/>
                <w:lang w:val="es-419" w:eastAsia="es-419"/>
              </w:rPr>
            </w:pPr>
            <w:r w:rsidRPr="00951AB1">
              <w:rPr>
                <w:rFonts w:eastAsia="Times New Roman" w:cs="Times New Roman"/>
                <w:color w:val="000000"/>
                <w:sz w:val="16"/>
                <w:szCs w:val="16"/>
                <w:lang w:val="es-419" w:eastAsia="es-419"/>
              </w:rPr>
              <w:t>1</w:t>
            </w:r>
          </w:p>
        </w:tc>
        <w:tc>
          <w:tcPr>
            <w:tcW w:w="2126" w:type="dxa"/>
            <w:tcBorders>
              <w:top w:val="nil"/>
              <w:left w:val="nil"/>
              <w:bottom w:val="single" w:sz="4" w:space="0" w:color="auto"/>
              <w:right w:val="single" w:sz="4" w:space="0" w:color="auto"/>
            </w:tcBorders>
            <w:noWrap/>
            <w:vAlign w:val="center"/>
            <w:hideMark/>
          </w:tcPr>
          <w:p w14:paraId="10BDA206" w14:textId="77777777" w:rsidR="00947634" w:rsidRPr="00951AB1" w:rsidRDefault="00947634" w:rsidP="000A5389">
            <w:pPr>
              <w:spacing w:line="240" w:lineRule="auto"/>
              <w:jc w:val="center"/>
              <w:rPr>
                <w:rFonts w:eastAsia="Times New Roman" w:cs="Times New Roman"/>
                <w:color w:val="000000"/>
                <w:sz w:val="16"/>
                <w:szCs w:val="16"/>
                <w:lang w:val="es-419" w:eastAsia="es-419"/>
              </w:rPr>
            </w:pPr>
            <w:r w:rsidRPr="00951AB1">
              <w:rPr>
                <w:rFonts w:eastAsia="Times New Roman" w:cs="Times New Roman"/>
                <w:color w:val="000000"/>
                <w:sz w:val="16"/>
                <w:szCs w:val="16"/>
                <w:lang w:val="es-419" w:eastAsia="es-419"/>
              </w:rPr>
              <w:t>#001</w:t>
            </w:r>
          </w:p>
        </w:tc>
        <w:tc>
          <w:tcPr>
            <w:tcW w:w="1270" w:type="dxa"/>
            <w:tcBorders>
              <w:top w:val="nil"/>
              <w:left w:val="nil"/>
              <w:bottom w:val="single" w:sz="4" w:space="0" w:color="auto"/>
              <w:right w:val="single" w:sz="4" w:space="0" w:color="auto"/>
            </w:tcBorders>
            <w:noWrap/>
            <w:vAlign w:val="center"/>
            <w:hideMark/>
          </w:tcPr>
          <w:p w14:paraId="55FD7514" w14:textId="77777777" w:rsidR="00947634" w:rsidRPr="00951AB1" w:rsidRDefault="00947634" w:rsidP="000A5389">
            <w:pPr>
              <w:spacing w:line="240" w:lineRule="auto"/>
              <w:jc w:val="center"/>
              <w:rPr>
                <w:rFonts w:eastAsia="Times New Roman" w:cs="Times New Roman"/>
                <w:color w:val="000000"/>
                <w:sz w:val="16"/>
                <w:szCs w:val="16"/>
                <w:lang w:val="es-419" w:eastAsia="es-419"/>
              </w:rPr>
            </w:pPr>
            <w:r w:rsidRPr="00951AB1">
              <w:rPr>
                <w:rFonts w:eastAsia="Times New Roman" w:cs="Times New Roman"/>
                <w:color w:val="000000"/>
                <w:sz w:val="16"/>
                <w:szCs w:val="16"/>
                <w:lang w:val="es-419" w:eastAsia="es-419"/>
              </w:rPr>
              <w:t>43709,09</w:t>
            </w:r>
          </w:p>
        </w:tc>
        <w:tc>
          <w:tcPr>
            <w:tcW w:w="1140" w:type="dxa"/>
            <w:tcBorders>
              <w:top w:val="nil"/>
              <w:left w:val="nil"/>
              <w:bottom w:val="single" w:sz="4" w:space="0" w:color="auto"/>
              <w:right w:val="single" w:sz="4" w:space="0" w:color="auto"/>
            </w:tcBorders>
            <w:noWrap/>
            <w:vAlign w:val="center"/>
            <w:hideMark/>
          </w:tcPr>
          <w:p w14:paraId="7781633E" w14:textId="67573DD1" w:rsidR="00947634" w:rsidRPr="00951AB1" w:rsidRDefault="00947634" w:rsidP="000A5389">
            <w:pPr>
              <w:spacing w:line="240" w:lineRule="auto"/>
              <w:jc w:val="right"/>
              <w:rPr>
                <w:rFonts w:eastAsia="Times New Roman" w:cs="Times New Roman"/>
                <w:color w:val="000000"/>
                <w:sz w:val="16"/>
                <w:szCs w:val="16"/>
                <w:lang w:val="es-419" w:eastAsia="es-419"/>
              </w:rPr>
            </w:pPr>
            <w:r w:rsidRPr="00951AB1">
              <w:rPr>
                <w:rFonts w:eastAsia="Times New Roman" w:cs="Times New Roman"/>
                <w:color w:val="000000"/>
                <w:sz w:val="16"/>
                <w:szCs w:val="16"/>
                <w:lang w:val="es-419" w:eastAsia="es-419"/>
              </w:rPr>
              <w:t>$444.806.974</w:t>
            </w:r>
          </w:p>
        </w:tc>
      </w:tr>
      <w:tr w:rsidR="00947634" w:rsidRPr="00951AB1" w14:paraId="73BC53AB" w14:textId="77777777" w:rsidTr="009B6F35">
        <w:trPr>
          <w:trHeight w:val="290"/>
        </w:trPr>
        <w:tc>
          <w:tcPr>
            <w:tcW w:w="846" w:type="dxa"/>
            <w:tcBorders>
              <w:top w:val="nil"/>
              <w:left w:val="single" w:sz="4" w:space="0" w:color="000000"/>
              <w:bottom w:val="single" w:sz="4" w:space="0" w:color="auto"/>
              <w:right w:val="single" w:sz="4" w:space="0" w:color="auto"/>
            </w:tcBorders>
            <w:noWrap/>
            <w:vAlign w:val="center"/>
            <w:hideMark/>
          </w:tcPr>
          <w:p w14:paraId="789DB1BB" w14:textId="77777777" w:rsidR="00947634" w:rsidRPr="00951AB1" w:rsidRDefault="00947634" w:rsidP="000A5389">
            <w:pPr>
              <w:spacing w:line="240" w:lineRule="auto"/>
              <w:jc w:val="center"/>
              <w:rPr>
                <w:rFonts w:eastAsia="Times New Roman" w:cs="Times New Roman"/>
                <w:color w:val="000000"/>
                <w:sz w:val="16"/>
                <w:szCs w:val="16"/>
                <w:lang w:val="es-419" w:eastAsia="es-419"/>
              </w:rPr>
            </w:pPr>
            <w:r w:rsidRPr="00951AB1">
              <w:rPr>
                <w:rFonts w:eastAsia="Times New Roman" w:cs="Times New Roman"/>
                <w:color w:val="000000"/>
                <w:sz w:val="16"/>
                <w:szCs w:val="16"/>
                <w:lang w:val="es-419" w:eastAsia="es-419"/>
              </w:rPr>
              <w:t>283 de 2010</w:t>
            </w:r>
          </w:p>
        </w:tc>
        <w:tc>
          <w:tcPr>
            <w:tcW w:w="1411" w:type="dxa"/>
            <w:tcBorders>
              <w:top w:val="nil"/>
              <w:left w:val="nil"/>
              <w:bottom w:val="single" w:sz="4" w:space="0" w:color="auto"/>
              <w:right w:val="single" w:sz="4" w:space="0" w:color="auto"/>
            </w:tcBorders>
            <w:vAlign w:val="center"/>
            <w:hideMark/>
          </w:tcPr>
          <w:p w14:paraId="54B84EDD" w14:textId="246067A8" w:rsidR="00947634" w:rsidRPr="00951AB1" w:rsidRDefault="004757A7" w:rsidP="002E333D">
            <w:pPr>
              <w:spacing w:line="240" w:lineRule="auto"/>
              <w:jc w:val="left"/>
              <w:rPr>
                <w:rFonts w:eastAsia="Times New Roman" w:cs="Times New Roman"/>
                <w:color w:val="000000"/>
                <w:sz w:val="16"/>
                <w:szCs w:val="16"/>
                <w:lang w:val="es-419" w:eastAsia="es-419"/>
              </w:rPr>
            </w:pPr>
            <w:r w:rsidRPr="00951AB1">
              <w:rPr>
                <w:rFonts w:eastAsia="Times New Roman" w:cs="Times New Roman"/>
                <w:color w:val="000000"/>
                <w:sz w:val="16"/>
                <w:szCs w:val="16"/>
                <w:lang w:val="es-419" w:eastAsia="es-419"/>
              </w:rPr>
              <w:t>Ruta Del Sol 1</w:t>
            </w:r>
          </w:p>
        </w:tc>
        <w:tc>
          <w:tcPr>
            <w:tcW w:w="931" w:type="dxa"/>
            <w:tcBorders>
              <w:top w:val="nil"/>
              <w:left w:val="nil"/>
              <w:bottom w:val="single" w:sz="4" w:space="0" w:color="auto"/>
              <w:right w:val="single" w:sz="4" w:space="0" w:color="auto"/>
            </w:tcBorders>
            <w:vAlign w:val="center"/>
            <w:hideMark/>
          </w:tcPr>
          <w:p w14:paraId="3DB65EE9" w14:textId="77777777" w:rsidR="00947634" w:rsidRPr="00951AB1" w:rsidRDefault="00947634" w:rsidP="000A5389">
            <w:pPr>
              <w:spacing w:line="240" w:lineRule="auto"/>
              <w:jc w:val="center"/>
              <w:rPr>
                <w:rFonts w:eastAsia="Times New Roman" w:cs="Times New Roman"/>
                <w:color w:val="000000"/>
                <w:sz w:val="16"/>
                <w:szCs w:val="16"/>
                <w:lang w:val="es-419" w:eastAsia="es-419"/>
              </w:rPr>
            </w:pPr>
            <w:r w:rsidRPr="00951AB1">
              <w:rPr>
                <w:rFonts w:eastAsia="Times New Roman" w:cs="Times New Roman"/>
                <w:color w:val="000000"/>
                <w:sz w:val="16"/>
                <w:szCs w:val="16"/>
                <w:lang w:val="es-419" w:eastAsia="es-419"/>
              </w:rPr>
              <w:t>3G</w:t>
            </w:r>
          </w:p>
        </w:tc>
        <w:tc>
          <w:tcPr>
            <w:tcW w:w="918" w:type="dxa"/>
            <w:tcBorders>
              <w:top w:val="nil"/>
              <w:left w:val="nil"/>
              <w:bottom w:val="single" w:sz="4" w:space="0" w:color="auto"/>
              <w:right w:val="single" w:sz="4" w:space="0" w:color="auto"/>
            </w:tcBorders>
            <w:noWrap/>
            <w:vAlign w:val="center"/>
            <w:hideMark/>
          </w:tcPr>
          <w:p w14:paraId="1863D655" w14:textId="77777777" w:rsidR="00947634" w:rsidRPr="00951AB1" w:rsidRDefault="00947634" w:rsidP="000A5389">
            <w:pPr>
              <w:spacing w:line="240" w:lineRule="auto"/>
              <w:jc w:val="center"/>
              <w:rPr>
                <w:rFonts w:eastAsia="Times New Roman" w:cs="Times New Roman"/>
                <w:color w:val="000000"/>
                <w:sz w:val="16"/>
                <w:szCs w:val="16"/>
                <w:lang w:val="es-419" w:eastAsia="es-419"/>
              </w:rPr>
            </w:pPr>
            <w:r w:rsidRPr="00951AB1">
              <w:rPr>
                <w:rFonts w:eastAsia="Times New Roman" w:cs="Times New Roman"/>
                <w:color w:val="000000"/>
                <w:sz w:val="16"/>
                <w:szCs w:val="16"/>
                <w:lang w:val="es-419" w:eastAsia="es-419"/>
              </w:rPr>
              <w:t>1</w:t>
            </w:r>
          </w:p>
        </w:tc>
        <w:tc>
          <w:tcPr>
            <w:tcW w:w="2126" w:type="dxa"/>
            <w:tcBorders>
              <w:top w:val="nil"/>
              <w:left w:val="nil"/>
              <w:bottom w:val="single" w:sz="4" w:space="0" w:color="auto"/>
              <w:right w:val="single" w:sz="4" w:space="0" w:color="auto"/>
            </w:tcBorders>
            <w:noWrap/>
            <w:vAlign w:val="center"/>
            <w:hideMark/>
          </w:tcPr>
          <w:p w14:paraId="49222B82" w14:textId="77777777" w:rsidR="00947634" w:rsidRPr="00951AB1" w:rsidRDefault="00947634" w:rsidP="000A5389">
            <w:pPr>
              <w:spacing w:line="240" w:lineRule="auto"/>
              <w:jc w:val="center"/>
              <w:rPr>
                <w:rFonts w:eastAsia="Times New Roman" w:cs="Times New Roman"/>
                <w:color w:val="000000"/>
                <w:sz w:val="16"/>
                <w:szCs w:val="16"/>
                <w:lang w:val="es-419" w:eastAsia="es-419"/>
              </w:rPr>
            </w:pPr>
            <w:r w:rsidRPr="00951AB1">
              <w:rPr>
                <w:rFonts w:eastAsia="Times New Roman" w:cs="Times New Roman"/>
                <w:color w:val="000000"/>
                <w:sz w:val="16"/>
                <w:szCs w:val="16"/>
                <w:lang w:val="es-419" w:eastAsia="es-419"/>
              </w:rPr>
              <w:t>258</w:t>
            </w:r>
          </w:p>
        </w:tc>
        <w:tc>
          <w:tcPr>
            <w:tcW w:w="1270" w:type="dxa"/>
            <w:tcBorders>
              <w:top w:val="nil"/>
              <w:left w:val="nil"/>
              <w:bottom w:val="single" w:sz="4" w:space="0" w:color="auto"/>
              <w:right w:val="single" w:sz="4" w:space="0" w:color="auto"/>
            </w:tcBorders>
            <w:noWrap/>
            <w:vAlign w:val="center"/>
            <w:hideMark/>
          </w:tcPr>
          <w:p w14:paraId="3EEBEFA5" w14:textId="77777777" w:rsidR="00947634" w:rsidRPr="00951AB1" w:rsidRDefault="00947634" w:rsidP="000A5389">
            <w:pPr>
              <w:spacing w:line="240" w:lineRule="auto"/>
              <w:jc w:val="center"/>
              <w:rPr>
                <w:rFonts w:eastAsia="Times New Roman" w:cs="Times New Roman"/>
                <w:sz w:val="16"/>
                <w:szCs w:val="16"/>
                <w:lang w:val="es-419" w:eastAsia="es-419"/>
              </w:rPr>
            </w:pPr>
            <w:r w:rsidRPr="00951AB1">
              <w:rPr>
                <w:rFonts w:eastAsia="Times New Roman" w:cs="Times New Roman"/>
                <w:sz w:val="16"/>
                <w:szCs w:val="16"/>
                <w:lang w:val="es-419" w:eastAsia="es-419"/>
              </w:rPr>
              <w:t>12696,09</w:t>
            </w:r>
          </w:p>
        </w:tc>
        <w:tc>
          <w:tcPr>
            <w:tcW w:w="1140" w:type="dxa"/>
            <w:tcBorders>
              <w:top w:val="nil"/>
              <w:left w:val="nil"/>
              <w:bottom w:val="single" w:sz="4" w:space="0" w:color="auto"/>
              <w:right w:val="single" w:sz="4" w:space="0" w:color="auto"/>
            </w:tcBorders>
            <w:noWrap/>
            <w:vAlign w:val="center"/>
            <w:hideMark/>
          </w:tcPr>
          <w:p w14:paraId="7C556979" w14:textId="5A21A8B1" w:rsidR="00947634" w:rsidRPr="00951AB1" w:rsidRDefault="00947634" w:rsidP="000A5389">
            <w:pPr>
              <w:spacing w:line="240" w:lineRule="auto"/>
              <w:jc w:val="right"/>
              <w:rPr>
                <w:rFonts w:eastAsia="Times New Roman" w:cs="Times New Roman"/>
                <w:color w:val="000000"/>
                <w:sz w:val="16"/>
                <w:szCs w:val="16"/>
                <w:lang w:val="es-419" w:eastAsia="es-419"/>
              </w:rPr>
            </w:pPr>
            <w:r w:rsidRPr="00951AB1">
              <w:rPr>
                <w:rFonts w:eastAsia="Times New Roman" w:cs="Times New Roman"/>
                <w:color w:val="000000"/>
                <w:sz w:val="16"/>
                <w:szCs w:val="16"/>
                <w:lang w:val="es-419" w:eastAsia="es-419"/>
              </w:rPr>
              <w:t>$38.951.795</w:t>
            </w:r>
          </w:p>
        </w:tc>
      </w:tr>
      <w:tr w:rsidR="00947634" w:rsidRPr="00951AB1" w14:paraId="3D8D1F99" w14:textId="77777777" w:rsidTr="009B6F35">
        <w:trPr>
          <w:trHeight w:val="290"/>
        </w:trPr>
        <w:tc>
          <w:tcPr>
            <w:tcW w:w="846" w:type="dxa"/>
            <w:tcBorders>
              <w:top w:val="nil"/>
              <w:left w:val="single" w:sz="4" w:space="0" w:color="000000"/>
              <w:bottom w:val="single" w:sz="4" w:space="0" w:color="auto"/>
              <w:right w:val="single" w:sz="4" w:space="0" w:color="auto"/>
            </w:tcBorders>
            <w:noWrap/>
            <w:vAlign w:val="center"/>
            <w:hideMark/>
          </w:tcPr>
          <w:p w14:paraId="1AE2CC1F" w14:textId="77777777" w:rsidR="00947634" w:rsidRPr="00951AB1" w:rsidRDefault="00947634" w:rsidP="000A5389">
            <w:pPr>
              <w:spacing w:line="240" w:lineRule="auto"/>
              <w:jc w:val="center"/>
              <w:rPr>
                <w:rFonts w:eastAsia="Times New Roman" w:cs="Times New Roman"/>
                <w:color w:val="242424"/>
                <w:sz w:val="16"/>
                <w:szCs w:val="16"/>
                <w:lang w:val="es-419" w:eastAsia="es-419"/>
              </w:rPr>
            </w:pPr>
            <w:r w:rsidRPr="00951AB1">
              <w:rPr>
                <w:rFonts w:eastAsia="Times New Roman" w:cs="Times New Roman"/>
                <w:color w:val="242424"/>
                <w:sz w:val="16"/>
                <w:szCs w:val="16"/>
                <w:lang w:val="es-419" w:eastAsia="es-419"/>
              </w:rPr>
              <w:t>283 de 2010</w:t>
            </w:r>
          </w:p>
        </w:tc>
        <w:tc>
          <w:tcPr>
            <w:tcW w:w="1411" w:type="dxa"/>
            <w:tcBorders>
              <w:top w:val="nil"/>
              <w:left w:val="nil"/>
              <w:bottom w:val="single" w:sz="4" w:space="0" w:color="auto"/>
              <w:right w:val="single" w:sz="4" w:space="0" w:color="auto"/>
            </w:tcBorders>
            <w:vAlign w:val="center"/>
            <w:hideMark/>
          </w:tcPr>
          <w:p w14:paraId="09BD84A0" w14:textId="300BDBCA" w:rsidR="00947634" w:rsidRPr="00951AB1" w:rsidRDefault="004757A7" w:rsidP="002E333D">
            <w:pPr>
              <w:spacing w:line="240" w:lineRule="auto"/>
              <w:jc w:val="left"/>
              <w:rPr>
                <w:rFonts w:eastAsia="Times New Roman" w:cs="Times New Roman"/>
                <w:color w:val="242424"/>
                <w:sz w:val="16"/>
                <w:szCs w:val="16"/>
                <w:lang w:val="es-419" w:eastAsia="es-419"/>
              </w:rPr>
            </w:pPr>
            <w:r w:rsidRPr="00951AB1">
              <w:rPr>
                <w:rFonts w:eastAsia="Times New Roman" w:cs="Times New Roman"/>
                <w:color w:val="242424"/>
                <w:sz w:val="16"/>
                <w:szCs w:val="16"/>
                <w:lang w:val="es-419" w:eastAsia="es-419"/>
              </w:rPr>
              <w:t>Ruta Del Sol 1</w:t>
            </w:r>
          </w:p>
        </w:tc>
        <w:tc>
          <w:tcPr>
            <w:tcW w:w="931" w:type="dxa"/>
            <w:tcBorders>
              <w:top w:val="nil"/>
              <w:left w:val="nil"/>
              <w:bottom w:val="single" w:sz="4" w:space="0" w:color="auto"/>
              <w:right w:val="single" w:sz="4" w:space="0" w:color="auto"/>
            </w:tcBorders>
            <w:vAlign w:val="center"/>
            <w:hideMark/>
          </w:tcPr>
          <w:p w14:paraId="4695ACEA" w14:textId="77777777" w:rsidR="00947634" w:rsidRPr="00951AB1" w:rsidRDefault="00947634" w:rsidP="000A5389">
            <w:pPr>
              <w:spacing w:line="240" w:lineRule="auto"/>
              <w:jc w:val="center"/>
              <w:rPr>
                <w:rFonts w:eastAsia="Times New Roman" w:cs="Times New Roman"/>
                <w:color w:val="242424"/>
                <w:sz w:val="16"/>
                <w:szCs w:val="16"/>
                <w:lang w:val="es-419" w:eastAsia="es-419"/>
              </w:rPr>
            </w:pPr>
            <w:r w:rsidRPr="00951AB1">
              <w:rPr>
                <w:rFonts w:eastAsia="Times New Roman" w:cs="Times New Roman"/>
                <w:color w:val="242424"/>
                <w:sz w:val="16"/>
                <w:szCs w:val="16"/>
                <w:lang w:val="es-419" w:eastAsia="es-419"/>
              </w:rPr>
              <w:t>3G</w:t>
            </w:r>
          </w:p>
        </w:tc>
        <w:tc>
          <w:tcPr>
            <w:tcW w:w="918" w:type="dxa"/>
            <w:tcBorders>
              <w:top w:val="nil"/>
              <w:left w:val="nil"/>
              <w:bottom w:val="single" w:sz="4" w:space="0" w:color="auto"/>
              <w:right w:val="single" w:sz="4" w:space="0" w:color="auto"/>
            </w:tcBorders>
            <w:noWrap/>
            <w:vAlign w:val="center"/>
            <w:hideMark/>
          </w:tcPr>
          <w:p w14:paraId="77176F16" w14:textId="77777777" w:rsidR="00947634" w:rsidRPr="00951AB1" w:rsidRDefault="00947634" w:rsidP="000A5389">
            <w:pPr>
              <w:spacing w:line="240" w:lineRule="auto"/>
              <w:jc w:val="center"/>
              <w:rPr>
                <w:rFonts w:eastAsia="Times New Roman" w:cs="Times New Roman"/>
                <w:color w:val="000000"/>
                <w:sz w:val="16"/>
                <w:szCs w:val="16"/>
                <w:lang w:val="es-419" w:eastAsia="es-419"/>
              </w:rPr>
            </w:pPr>
            <w:r w:rsidRPr="00951AB1">
              <w:rPr>
                <w:rFonts w:eastAsia="Times New Roman" w:cs="Times New Roman"/>
                <w:color w:val="000000"/>
                <w:sz w:val="16"/>
                <w:szCs w:val="16"/>
                <w:lang w:val="es-419" w:eastAsia="es-419"/>
              </w:rPr>
              <w:t>1</w:t>
            </w:r>
          </w:p>
        </w:tc>
        <w:tc>
          <w:tcPr>
            <w:tcW w:w="2126" w:type="dxa"/>
            <w:tcBorders>
              <w:top w:val="nil"/>
              <w:left w:val="nil"/>
              <w:bottom w:val="single" w:sz="4" w:space="0" w:color="auto"/>
              <w:right w:val="single" w:sz="4" w:space="0" w:color="auto"/>
            </w:tcBorders>
            <w:noWrap/>
            <w:vAlign w:val="center"/>
            <w:hideMark/>
          </w:tcPr>
          <w:p w14:paraId="590D9647" w14:textId="77777777" w:rsidR="00947634" w:rsidRPr="00951AB1" w:rsidRDefault="00947634" w:rsidP="000A5389">
            <w:pPr>
              <w:spacing w:line="240" w:lineRule="auto"/>
              <w:jc w:val="center"/>
              <w:rPr>
                <w:rFonts w:eastAsia="Times New Roman" w:cs="Times New Roman"/>
                <w:color w:val="000000"/>
                <w:sz w:val="16"/>
                <w:szCs w:val="16"/>
                <w:lang w:val="es-419" w:eastAsia="es-419"/>
              </w:rPr>
            </w:pPr>
            <w:r w:rsidRPr="00951AB1">
              <w:rPr>
                <w:rFonts w:eastAsia="Times New Roman" w:cs="Times New Roman"/>
                <w:color w:val="000000"/>
                <w:sz w:val="16"/>
                <w:szCs w:val="16"/>
                <w:lang w:val="es-419" w:eastAsia="es-419"/>
              </w:rPr>
              <w:t>259</w:t>
            </w:r>
          </w:p>
        </w:tc>
        <w:tc>
          <w:tcPr>
            <w:tcW w:w="1270" w:type="dxa"/>
            <w:tcBorders>
              <w:top w:val="nil"/>
              <w:left w:val="nil"/>
              <w:bottom w:val="single" w:sz="4" w:space="0" w:color="auto"/>
              <w:right w:val="single" w:sz="4" w:space="0" w:color="auto"/>
            </w:tcBorders>
            <w:noWrap/>
            <w:vAlign w:val="center"/>
            <w:hideMark/>
          </w:tcPr>
          <w:p w14:paraId="794B0239" w14:textId="77777777" w:rsidR="00947634" w:rsidRPr="00951AB1" w:rsidRDefault="00947634" w:rsidP="000A5389">
            <w:pPr>
              <w:spacing w:line="240" w:lineRule="auto"/>
              <w:jc w:val="center"/>
              <w:rPr>
                <w:rFonts w:eastAsia="Times New Roman" w:cs="Times New Roman"/>
                <w:sz w:val="16"/>
                <w:szCs w:val="16"/>
                <w:lang w:val="es-419" w:eastAsia="es-419"/>
              </w:rPr>
            </w:pPr>
            <w:r w:rsidRPr="00951AB1">
              <w:rPr>
                <w:rFonts w:eastAsia="Times New Roman" w:cs="Times New Roman"/>
                <w:sz w:val="16"/>
                <w:szCs w:val="16"/>
                <w:lang w:val="es-419" w:eastAsia="es-419"/>
              </w:rPr>
              <w:t>20382,01</w:t>
            </w:r>
          </w:p>
        </w:tc>
        <w:tc>
          <w:tcPr>
            <w:tcW w:w="1140" w:type="dxa"/>
            <w:tcBorders>
              <w:top w:val="nil"/>
              <w:left w:val="nil"/>
              <w:bottom w:val="single" w:sz="4" w:space="0" w:color="auto"/>
              <w:right w:val="single" w:sz="4" w:space="0" w:color="auto"/>
            </w:tcBorders>
            <w:noWrap/>
            <w:vAlign w:val="center"/>
            <w:hideMark/>
          </w:tcPr>
          <w:p w14:paraId="4DA13C24" w14:textId="7D48E1FF" w:rsidR="00947634" w:rsidRPr="00951AB1" w:rsidRDefault="00947634" w:rsidP="000A5389">
            <w:pPr>
              <w:spacing w:line="240" w:lineRule="auto"/>
              <w:jc w:val="right"/>
              <w:rPr>
                <w:rFonts w:eastAsia="Times New Roman" w:cs="Times New Roman"/>
                <w:color w:val="000000"/>
                <w:sz w:val="16"/>
                <w:szCs w:val="16"/>
                <w:lang w:val="es-419" w:eastAsia="es-419"/>
              </w:rPr>
            </w:pPr>
            <w:r w:rsidRPr="00951AB1">
              <w:rPr>
                <w:rFonts w:eastAsia="Times New Roman" w:cs="Times New Roman"/>
                <w:color w:val="000000"/>
                <w:sz w:val="16"/>
                <w:szCs w:val="16"/>
                <w:lang w:val="es-419" w:eastAsia="es-419"/>
              </w:rPr>
              <w:t>$87.262.349</w:t>
            </w:r>
          </w:p>
        </w:tc>
      </w:tr>
      <w:tr w:rsidR="00947634" w:rsidRPr="00951AB1" w14:paraId="29CFAA6B" w14:textId="77777777" w:rsidTr="009B6F35">
        <w:trPr>
          <w:trHeight w:val="290"/>
        </w:trPr>
        <w:tc>
          <w:tcPr>
            <w:tcW w:w="846" w:type="dxa"/>
            <w:tcBorders>
              <w:top w:val="nil"/>
              <w:left w:val="single" w:sz="4" w:space="0" w:color="000000"/>
              <w:bottom w:val="single" w:sz="4" w:space="0" w:color="auto"/>
              <w:right w:val="single" w:sz="4" w:space="0" w:color="auto"/>
            </w:tcBorders>
            <w:noWrap/>
            <w:vAlign w:val="center"/>
            <w:hideMark/>
          </w:tcPr>
          <w:p w14:paraId="6A020759" w14:textId="77777777" w:rsidR="00947634" w:rsidRPr="00951AB1" w:rsidRDefault="00947634" w:rsidP="000A5389">
            <w:pPr>
              <w:spacing w:line="240" w:lineRule="auto"/>
              <w:jc w:val="center"/>
              <w:rPr>
                <w:rFonts w:eastAsia="Times New Roman" w:cs="Times New Roman"/>
                <w:color w:val="242424"/>
                <w:sz w:val="16"/>
                <w:szCs w:val="16"/>
                <w:lang w:val="es-419" w:eastAsia="es-419"/>
              </w:rPr>
            </w:pPr>
            <w:r w:rsidRPr="00951AB1">
              <w:rPr>
                <w:rFonts w:eastAsia="Times New Roman" w:cs="Times New Roman"/>
                <w:color w:val="242424"/>
                <w:sz w:val="16"/>
                <w:szCs w:val="16"/>
                <w:lang w:val="es-419" w:eastAsia="es-419"/>
              </w:rPr>
              <w:t>283 de 2010</w:t>
            </w:r>
          </w:p>
        </w:tc>
        <w:tc>
          <w:tcPr>
            <w:tcW w:w="1411" w:type="dxa"/>
            <w:tcBorders>
              <w:top w:val="nil"/>
              <w:left w:val="nil"/>
              <w:bottom w:val="single" w:sz="4" w:space="0" w:color="auto"/>
              <w:right w:val="single" w:sz="4" w:space="0" w:color="auto"/>
            </w:tcBorders>
            <w:vAlign w:val="center"/>
            <w:hideMark/>
          </w:tcPr>
          <w:p w14:paraId="6AE0C835" w14:textId="3F7FD092" w:rsidR="00947634" w:rsidRPr="00951AB1" w:rsidRDefault="004757A7" w:rsidP="002E333D">
            <w:pPr>
              <w:spacing w:line="240" w:lineRule="auto"/>
              <w:jc w:val="left"/>
              <w:rPr>
                <w:rFonts w:eastAsia="Times New Roman" w:cs="Times New Roman"/>
                <w:color w:val="242424"/>
                <w:sz w:val="16"/>
                <w:szCs w:val="16"/>
                <w:lang w:val="es-419" w:eastAsia="es-419"/>
              </w:rPr>
            </w:pPr>
            <w:r w:rsidRPr="00951AB1">
              <w:rPr>
                <w:rFonts w:eastAsia="Times New Roman" w:cs="Times New Roman"/>
                <w:color w:val="242424"/>
                <w:sz w:val="16"/>
                <w:szCs w:val="16"/>
                <w:lang w:val="es-419" w:eastAsia="es-419"/>
              </w:rPr>
              <w:t>Ruta Del Sol 1</w:t>
            </w:r>
          </w:p>
        </w:tc>
        <w:tc>
          <w:tcPr>
            <w:tcW w:w="931" w:type="dxa"/>
            <w:tcBorders>
              <w:top w:val="nil"/>
              <w:left w:val="nil"/>
              <w:bottom w:val="single" w:sz="4" w:space="0" w:color="auto"/>
              <w:right w:val="single" w:sz="4" w:space="0" w:color="auto"/>
            </w:tcBorders>
            <w:vAlign w:val="center"/>
            <w:hideMark/>
          </w:tcPr>
          <w:p w14:paraId="4C6D8227" w14:textId="77777777" w:rsidR="00947634" w:rsidRPr="00951AB1" w:rsidRDefault="00947634" w:rsidP="000A5389">
            <w:pPr>
              <w:spacing w:line="240" w:lineRule="auto"/>
              <w:jc w:val="center"/>
              <w:rPr>
                <w:rFonts w:eastAsia="Times New Roman" w:cs="Times New Roman"/>
                <w:color w:val="242424"/>
                <w:sz w:val="16"/>
                <w:szCs w:val="16"/>
                <w:lang w:val="es-419" w:eastAsia="es-419"/>
              </w:rPr>
            </w:pPr>
            <w:r w:rsidRPr="00951AB1">
              <w:rPr>
                <w:rFonts w:eastAsia="Times New Roman" w:cs="Times New Roman"/>
                <w:color w:val="242424"/>
                <w:sz w:val="16"/>
                <w:szCs w:val="16"/>
                <w:lang w:val="es-419" w:eastAsia="es-419"/>
              </w:rPr>
              <w:t>3G</w:t>
            </w:r>
          </w:p>
        </w:tc>
        <w:tc>
          <w:tcPr>
            <w:tcW w:w="918" w:type="dxa"/>
            <w:tcBorders>
              <w:top w:val="nil"/>
              <w:left w:val="nil"/>
              <w:bottom w:val="single" w:sz="4" w:space="0" w:color="auto"/>
              <w:right w:val="single" w:sz="4" w:space="0" w:color="auto"/>
            </w:tcBorders>
            <w:noWrap/>
            <w:vAlign w:val="center"/>
            <w:hideMark/>
          </w:tcPr>
          <w:p w14:paraId="2026F766" w14:textId="77777777" w:rsidR="00947634" w:rsidRPr="00951AB1" w:rsidRDefault="00947634" w:rsidP="000A5389">
            <w:pPr>
              <w:spacing w:line="240" w:lineRule="auto"/>
              <w:jc w:val="center"/>
              <w:rPr>
                <w:rFonts w:eastAsia="Times New Roman" w:cs="Times New Roman"/>
                <w:color w:val="000000"/>
                <w:sz w:val="16"/>
                <w:szCs w:val="16"/>
                <w:lang w:val="es-419" w:eastAsia="es-419"/>
              </w:rPr>
            </w:pPr>
            <w:r w:rsidRPr="00951AB1">
              <w:rPr>
                <w:rFonts w:eastAsia="Times New Roman" w:cs="Times New Roman"/>
                <w:color w:val="000000"/>
                <w:sz w:val="16"/>
                <w:szCs w:val="16"/>
                <w:lang w:val="es-419" w:eastAsia="es-419"/>
              </w:rPr>
              <w:t>1</w:t>
            </w:r>
          </w:p>
        </w:tc>
        <w:tc>
          <w:tcPr>
            <w:tcW w:w="2126" w:type="dxa"/>
            <w:tcBorders>
              <w:top w:val="nil"/>
              <w:left w:val="nil"/>
              <w:bottom w:val="single" w:sz="4" w:space="0" w:color="auto"/>
              <w:right w:val="single" w:sz="4" w:space="0" w:color="auto"/>
            </w:tcBorders>
            <w:noWrap/>
            <w:vAlign w:val="center"/>
            <w:hideMark/>
          </w:tcPr>
          <w:p w14:paraId="11EDC6BE" w14:textId="77777777" w:rsidR="00947634" w:rsidRPr="00951AB1" w:rsidRDefault="00947634" w:rsidP="000A5389">
            <w:pPr>
              <w:spacing w:line="240" w:lineRule="auto"/>
              <w:jc w:val="center"/>
              <w:rPr>
                <w:rFonts w:eastAsia="Times New Roman" w:cs="Times New Roman"/>
                <w:color w:val="000000"/>
                <w:sz w:val="16"/>
                <w:szCs w:val="16"/>
                <w:lang w:val="es-419" w:eastAsia="es-419"/>
              </w:rPr>
            </w:pPr>
            <w:r w:rsidRPr="00951AB1">
              <w:rPr>
                <w:rFonts w:eastAsia="Times New Roman" w:cs="Times New Roman"/>
                <w:color w:val="000000"/>
                <w:sz w:val="16"/>
                <w:szCs w:val="16"/>
                <w:lang w:val="es-419" w:eastAsia="es-419"/>
              </w:rPr>
              <w:t>260</w:t>
            </w:r>
          </w:p>
        </w:tc>
        <w:tc>
          <w:tcPr>
            <w:tcW w:w="1270" w:type="dxa"/>
            <w:tcBorders>
              <w:top w:val="nil"/>
              <w:left w:val="nil"/>
              <w:bottom w:val="single" w:sz="4" w:space="0" w:color="auto"/>
              <w:right w:val="single" w:sz="4" w:space="0" w:color="auto"/>
            </w:tcBorders>
            <w:noWrap/>
            <w:vAlign w:val="center"/>
            <w:hideMark/>
          </w:tcPr>
          <w:p w14:paraId="69EE33D3" w14:textId="77777777" w:rsidR="00947634" w:rsidRPr="00951AB1" w:rsidRDefault="00947634" w:rsidP="000A5389">
            <w:pPr>
              <w:spacing w:line="240" w:lineRule="auto"/>
              <w:jc w:val="center"/>
              <w:rPr>
                <w:rFonts w:eastAsia="Times New Roman" w:cs="Times New Roman"/>
                <w:sz w:val="16"/>
                <w:szCs w:val="16"/>
                <w:lang w:val="es-419" w:eastAsia="es-419"/>
              </w:rPr>
            </w:pPr>
            <w:r w:rsidRPr="00951AB1">
              <w:rPr>
                <w:rFonts w:eastAsia="Times New Roman" w:cs="Times New Roman"/>
                <w:sz w:val="16"/>
                <w:szCs w:val="16"/>
                <w:lang w:val="es-419" w:eastAsia="es-419"/>
              </w:rPr>
              <w:t>36645,68</w:t>
            </w:r>
          </w:p>
        </w:tc>
        <w:tc>
          <w:tcPr>
            <w:tcW w:w="1140" w:type="dxa"/>
            <w:tcBorders>
              <w:top w:val="nil"/>
              <w:left w:val="nil"/>
              <w:bottom w:val="single" w:sz="4" w:space="0" w:color="auto"/>
              <w:right w:val="single" w:sz="4" w:space="0" w:color="auto"/>
            </w:tcBorders>
            <w:noWrap/>
            <w:vAlign w:val="center"/>
            <w:hideMark/>
          </w:tcPr>
          <w:p w14:paraId="72470675" w14:textId="4A189498" w:rsidR="00947634" w:rsidRPr="00951AB1" w:rsidRDefault="00947634" w:rsidP="000A5389">
            <w:pPr>
              <w:spacing w:line="240" w:lineRule="auto"/>
              <w:jc w:val="right"/>
              <w:rPr>
                <w:rFonts w:eastAsia="Times New Roman" w:cs="Times New Roman"/>
                <w:color w:val="000000"/>
                <w:sz w:val="16"/>
                <w:szCs w:val="16"/>
                <w:lang w:val="es-419" w:eastAsia="es-419"/>
              </w:rPr>
            </w:pPr>
            <w:r w:rsidRPr="00951AB1">
              <w:rPr>
                <w:rFonts w:eastAsia="Times New Roman" w:cs="Times New Roman"/>
                <w:color w:val="000000"/>
                <w:sz w:val="16"/>
                <w:szCs w:val="16"/>
                <w:lang w:val="es-419" w:eastAsia="es-419"/>
              </w:rPr>
              <w:t>$101.372.218</w:t>
            </w:r>
          </w:p>
        </w:tc>
      </w:tr>
      <w:tr w:rsidR="00947634" w:rsidRPr="00951AB1" w14:paraId="1B4EDA57" w14:textId="77777777" w:rsidTr="009B6F35">
        <w:trPr>
          <w:trHeight w:val="290"/>
        </w:trPr>
        <w:tc>
          <w:tcPr>
            <w:tcW w:w="846" w:type="dxa"/>
            <w:tcBorders>
              <w:top w:val="nil"/>
              <w:left w:val="single" w:sz="4" w:space="0" w:color="000000"/>
              <w:bottom w:val="single" w:sz="4" w:space="0" w:color="auto"/>
              <w:right w:val="single" w:sz="4" w:space="0" w:color="auto"/>
            </w:tcBorders>
            <w:noWrap/>
            <w:vAlign w:val="center"/>
            <w:hideMark/>
          </w:tcPr>
          <w:p w14:paraId="1EC9A4B6" w14:textId="77777777" w:rsidR="00947634" w:rsidRPr="00951AB1" w:rsidRDefault="00947634" w:rsidP="000A5389">
            <w:pPr>
              <w:spacing w:line="240" w:lineRule="auto"/>
              <w:jc w:val="center"/>
              <w:rPr>
                <w:rFonts w:eastAsia="Times New Roman" w:cs="Times New Roman"/>
                <w:color w:val="242424"/>
                <w:sz w:val="16"/>
                <w:szCs w:val="16"/>
                <w:lang w:val="es-419" w:eastAsia="es-419"/>
              </w:rPr>
            </w:pPr>
            <w:r w:rsidRPr="00951AB1">
              <w:rPr>
                <w:rFonts w:eastAsia="Times New Roman" w:cs="Times New Roman"/>
                <w:color w:val="242424"/>
                <w:sz w:val="16"/>
                <w:szCs w:val="16"/>
                <w:lang w:val="es-419" w:eastAsia="es-419"/>
              </w:rPr>
              <w:t>283 de 2010</w:t>
            </w:r>
          </w:p>
        </w:tc>
        <w:tc>
          <w:tcPr>
            <w:tcW w:w="1411" w:type="dxa"/>
            <w:tcBorders>
              <w:top w:val="nil"/>
              <w:left w:val="nil"/>
              <w:bottom w:val="single" w:sz="4" w:space="0" w:color="auto"/>
              <w:right w:val="single" w:sz="4" w:space="0" w:color="auto"/>
            </w:tcBorders>
            <w:vAlign w:val="center"/>
            <w:hideMark/>
          </w:tcPr>
          <w:p w14:paraId="38C0ABCA" w14:textId="035B8D8E" w:rsidR="00947634" w:rsidRPr="00951AB1" w:rsidRDefault="004757A7" w:rsidP="002E333D">
            <w:pPr>
              <w:spacing w:line="240" w:lineRule="auto"/>
              <w:jc w:val="left"/>
              <w:rPr>
                <w:rFonts w:eastAsia="Times New Roman" w:cs="Times New Roman"/>
                <w:color w:val="242424"/>
                <w:sz w:val="16"/>
                <w:szCs w:val="16"/>
                <w:lang w:val="es-419" w:eastAsia="es-419"/>
              </w:rPr>
            </w:pPr>
            <w:r w:rsidRPr="00951AB1">
              <w:rPr>
                <w:rFonts w:eastAsia="Times New Roman" w:cs="Times New Roman"/>
                <w:color w:val="242424"/>
                <w:sz w:val="16"/>
                <w:szCs w:val="16"/>
                <w:lang w:val="es-419" w:eastAsia="es-419"/>
              </w:rPr>
              <w:t>Ruta Del Sol 1</w:t>
            </w:r>
          </w:p>
        </w:tc>
        <w:tc>
          <w:tcPr>
            <w:tcW w:w="931" w:type="dxa"/>
            <w:tcBorders>
              <w:top w:val="nil"/>
              <w:left w:val="nil"/>
              <w:bottom w:val="single" w:sz="4" w:space="0" w:color="auto"/>
              <w:right w:val="single" w:sz="4" w:space="0" w:color="auto"/>
            </w:tcBorders>
            <w:vAlign w:val="center"/>
            <w:hideMark/>
          </w:tcPr>
          <w:p w14:paraId="528B3DC5" w14:textId="77777777" w:rsidR="00947634" w:rsidRPr="00951AB1" w:rsidRDefault="00947634" w:rsidP="000A5389">
            <w:pPr>
              <w:spacing w:line="240" w:lineRule="auto"/>
              <w:jc w:val="center"/>
              <w:rPr>
                <w:rFonts w:eastAsia="Times New Roman" w:cs="Times New Roman"/>
                <w:color w:val="242424"/>
                <w:sz w:val="16"/>
                <w:szCs w:val="16"/>
                <w:lang w:val="es-419" w:eastAsia="es-419"/>
              </w:rPr>
            </w:pPr>
            <w:r w:rsidRPr="00951AB1">
              <w:rPr>
                <w:rFonts w:eastAsia="Times New Roman" w:cs="Times New Roman"/>
                <w:color w:val="242424"/>
                <w:sz w:val="16"/>
                <w:szCs w:val="16"/>
                <w:lang w:val="es-419" w:eastAsia="es-419"/>
              </w:rPr>
              <w:t>3G</w:t>
            </w:r>
          </w:p>
        </w:tc>
        <w:tc>
          <w:tcPr>
            <w:tcW w:w="918" w:type="dxa"/>
            <w:tcBorders>
              <w:top w:val="nil"/>
              <w:left w:val="nil"/>
              <w:bottom w:val="single" w:sz="4" w:space="0" w:color="auto"/>
              <w:right w:val="single" w:sz="4" w:space="0" w:color="auto"/>
            </w:tcBorders>
            <w:noWrap/>
            <w:vAlign w:val="center"/>
            <w:hideMark/>
          </w:tcPr>
          <w:p w14:paraId="42CDA328" w14:textId="77777777" w:rsidR="00947634" w:rsidRPr="00951AB1" w:rsidRDefault="00947634" w:rsidP="000A5389">
            <w:pPr>
              <w:spacing w:line="240" w:lineRule="auto"/>
              <w:jc w:val="center"/>
              <w:rPr>
                <w:rFonts w:eastAsia="Times New Roman" w:cs="Times New Roman"/>
                <w:color w:val="242424"/>
                <w:sz w:val="16"/>
                <w:szCs w:val="16"/>
                <w:lang w:val="es-419" w:eastAsia="es-419"/>
              </w:rPr>
            </w:pPr>
            <w:r w:rsidRPr="00951AB1">
              <w:rPr>
                <w:rFonts w:eastAsia="Times New Roman" w:cs="Times New Roman"/>
                <w:color w:val="242424"/>
                <w:sz w:val="16"/>
                <w:szCs w:val="16"/>
                <w:lang w:val="es-419" w:eastAsia="es-419"/>
              </w:rPr>
              <w:t>1</w:t>
            </w:r>
          </w:p>
        </w:tc>
        <w:tc>
          <w:tcPr>
            <w:tcW w:w="2126" w:type="dxa"/>
            <w:tcBorders>
              <w:top w:val="nil"/>
              <w:left w:val="nil"/>
              <w:bottom w:val="single" w:sz="4" w:space="0" w:color="auto"/>
              <w:right w:val="single" w:sz="4" w:space="0" w:color="auto"/>
            </w:tcBorders>
            <w:noWrap/>
            <w:vAlign w:val="center"/>
            <w:hideMark/>
          </w:tcPr>
          <w:p w14:paraId="65F90148" w14:textId="77777777" w:rsidR="00947634" w:rsidRPr="00951AB1" w:rsidRDefault="00947634" w:rsidP="000A5389">
            <w:pPr>
              <w:spacing w:line="240" w:lineRule="auto"/>
              <w:jc w:val="center"/>
              <w:rPr>
                <w:rFonts w:eastAsia="Times New Roman" w:cs="Times New Roman"/>
                <w:color w:val="242424"/>
                <w:sz w:val="16"/>
                <w:szCs w:val="16"/>
                <w:lang w:val="es-419" w:eastAsia="es-419"/>
              </w:rPr>
            </w:pPr>
            <w:r w:rsidRPr="00951AB1">
              <w:rPr>
                <w:rFonts w:eastAsia="Times New Roman" w:cs="Times New Roman"/>
                <w:color w:val="242424"/>
                <w:sz w:val="16"/>
                <w:szCs w:val="16"/>
                <w:lang w:val="es-419" w:eastAsia="es-419"/>
              </w:rPr>
              <w:t>262</w:t>
            </w:r>
          </w:p>
        </w:tc>
        <w:tc>
          <w:tcPr>
            <w:tcW w:w="1270" w:type="dxa"/>
            <w:tcBorders>
              <w:top w:val="nil"/>
              <w:left w:val="nil"/>
              <w:bottom w:val="single" w:sz="4" w:space="0" w:color="auto"/>
              <w:right w:val="single" w:sz="4" w:space="0" w:color="auto"/>
            </w:tcBorders>
            <w:noWrap/>
            <w:vAlign w:val="center"/>
            <w:hideMark/>
          </w:tcPr>
          <w:p w14:paraId="1CB31980" w14:textId="77777777" w:rsidR="00947634" w:rsidRPr="00951AB1" w:rsidRDefault="00947634" w:rsidP="000A5389">
            <w:pPr>
              <w:spacing w:line="240" w:lineRule="auto"/>
              <w:jc w:val="center"/>
              <w:rPr>
                <w:rFonts w:eastAsia="Times New Roman" w:cs="Times New Roman"/>
                <w:color w:val="242424"/>
                <w:sz w:val="16"/>
                <w:szCs w:val="16"/>
                <w:lang w:val="es-419" w:eastAsia="es-419"/>
              </w:rPr>
            </w:pPr>
            <w:r w:rsidRPr="00951AB1">
              <w:rPr>
                <w:rFonts w:eastAsia="Times New Roman" w:cs="Times New Roman"/>
                <w:color w:val="242424"/>
                <w:sz w:val="16"/>
                <w:szCs w:val="16"/>
                <w:lang w:val="es-419" w:eastAsia="es-419"/>
              </w:rPr>
              <w:t>113238,67</w:t>
            </w:r>
          </w:p>
        </w:tc>
        <w:tc>
          <w:tcPr>
            <w:tcW w:w="1140" w:type="dxa"/>
            <w:tcBorders>
              <w:top w:val="nil"/>
              <w:left w:val="nil"/>
              <w:bottom w:val="single" w:sz="4" w:space="0" w:color="auto"/>
              <w:right w:val="single" w:sz="4" w:space="0" w:color="auto"/>
            </w:tcBorders>
            <w:noWrap/>
            <w:vAlign w:val="center"/>
            <w:hideMark/>
          </w:tcPr>
          <w:p w14:paraId="1DE5FE05" w14:textId="78A394AA" w:rsidR="00947634" w:rsidRPr="00951AB1" w:rsidRDefault="00947634" w:rsidP="000A5389">
            <w:pPr>
              <w:spacing w:line="240" w:lineRule="auto"/>
              <w:jc w:val="right"/>
              <w:rPr>
                <w:rFonts w:eastAsia="Times New Roman" w:cs="Times New Roman"/>
                <w:color w:val="000000"/>
                <w:sz w:val="16"/>
                <w:szCs w:val="16"/>
                <w:lang w:val="es-419" w:eastAsia="es-419"/>
              </w:rPr>
            </w:pPr>
            <w:r w:rsidRPr="00951AB1">
              <w:rPr>
                <w:rFonts w:eastAsia="Times New Roman" w:cs="Times New Roman"/>
                <w:color w:val="000000"/>
                <w:sz w:val="16"/>
                <w:szCs w:val="16"/>
                <w:lang w:val="es-419" w:eastAsia="es-419"/>
              </w:rPr>
              <w:t>$369.882.747</w:t>
            </w:r>
          </w:p>
        </w:tc>
      </w:tr>
      <w:tr w:rsidR="00947634" w:rsidRPr="00951AB1" w14:paraId="7EFF716E" w14:textId="77777777" w:rsidTr="009B6F35">
        <w:trPr>
          <w:trHeight w:val="2470"/>
        </w:trPr>
        <w:tc>
          <w:tcPr>
            <w:tcW w:w="846" w:type="dxa"/>
            <w:tcBorders>
              <w:top w:val="nil"/>
              <w:left w:val="single" w:sz="4" w:space="0" w:color="000000"/>
              <w:bottom w:val="single" w:sz="4" w:space="0" w:color="auto"/>
              <w:right w:val="single" w:sz="4" w:space="0" w:color="auto"/>
            </w:tcBorders>
            <w:noWrap/>
            <w:vAlign w:val="center"/>
            <w:hideMark/>
          </w:tcPr>
          <w:p w14:paraId="3B1AEAE3" w14:textId="77777777" w:rsidR="00947634" w:rsidRPr="00951AB1" w:rsidRDefault="00947634" w:rsidP="000A5389">
            <w:pPr>
              <w:spacing w:line="240" w:lineRule="auto"/>
              <w:jc w:val="center"/>
              <w:rPr>
                <w:rFonts w:eastAsia="Times New Roman" w:cs="Times New Roman"/>
                <w:color w:val="000000"/>
                <w:sz w:val="16"/>
                <w:szCs w:val="16"/>
                <w:lang w:val="es-419" w:eastAsia="es-419"/>
              </w:rPr>
            </w:pPr>
            <w:r w:rsidRPr="00951AB1">
              <w:rPr>
                <w:rFonts w:eastAsia="Times New Roman" w:cs="Times New Roman"/>
                <w:color w:val="000000"/>
                <w:sz w:val="16"/>
                <w:szCs w:val="16"/>
                <w:lang w:val="es-419" w:eastAsia="es-419"/>
              </w:rPr>
              <w:t>008 de 2010</w:t>
            </w:r>
          </w:p>
        </w:tc>
        <w:tc>
          <w:tcPr>
            <w:tcW w:w="1411" w:type="dxa"/>
            <w:tcBorders>
              <w:top w:val="nil"/>
              <w:left w:val="nil"/>
              <w:bottom w:val="single" w:sz="4" w:space="0" w:color="auto"/>
              <w:right w:val="single" w:sz="4" w:space="0" w:color="auto"/>
            </w:tcBorders>
            <w:vAlign w:val="center"/>
            <w:hideMark/>
          </w:tcPr>
          <w:p w14:paraId="12B1D18C" w14:textId="70A3C476" w:rsidR="00947634" w:rsidRPr="00951AB1" w:rsidRDefault="004757A7" w:rsidP="002E333D">
            <w:pPr>
              <w:spacing w:line="240" w:lineRule="auto"/>
              <w:jc w:val="left"/>
              <w:rPr>
                <w:rFonts w:eastAsia="Times New Roman" w:cs="Times New Roman"/>
                <w:color w:val="000000"/>
                <w:sz w:val="16"/>
                <w:szCs w:val="16"/>
                <w:lang w:val="es-419" w:eastAsia="es-419"/>
              </w:rPr>
            </w:pPr>
            <w:r w:rsidRPr="00951AB1">
              <w:rPr>
                <w:rFonts w:eastAsia="Times New Roman" w:cs="Times New Roman"/>
                <w:color w:val="000000"/>
                <w:sz w:val="16"/>
                <w:szCs w:val="16"/>
                <w:lang w:val="es-419" w:eastAsia="es-419"/>
              </w:rPr>
              <w:t>Transversal De Las Américas Sector 1</w:t>
            </w:r>
          </w:p>
        </w:tc>
        <w:tc>
          <w:tcPr>
            <w:tcW w:w="931" w:type="dxa"/>
            <w:tcBorders>
              <w:top w:val="nil"/>
              <w:left w:val="nil"/>
              <w:bottom w:val="single" w:sz="4" w:space="0" w:color="auto"/>
              <w:right w:val="single" w:sz="4" w:space="0" w:color="auto"/>
            </w:tcBorders>
            <w:vAlign w:val="center"/>
            <w:hideMark/>
          </w:tcPr>
          <w:p w14:paraId="4AC09B7C" w14:textId="77777777" w:rsidR="00947634" w:rsidRPr="00951AB1" w:rsidRDefault="00947634" w:rsidP="000A5389">
            <w:pPr>
              <w:spacing w:line="240" w:lineRule="auto"/>
              <w:jc w:val="center"/>
              <w:rPr>
                <w:rFonts w:eastAsia="Times New Roman" w:cs="Times New Roman"/>
                <w:color w:val="000000"/>
                <w:sz w:val="16"/>
                <w:szCs w:val="16"/>
                <w:lang w:val="es-419" w:eastAsia="es-419"/>
              </w:rPr>
            </w:pPr>
            <w:r w:rsidRPr="00951AB1">
              <w:rPr>
                <w:rFonts w:eastAsia="Times New Roman" w:cs="Times New Roman"/>
                <w:color w:val="000000"/>
                <w:sz w:val="16"/>
                <w:szCs w:val="16"/>
                <w:lang w:val="es-419" w:eastAsia="es-419"/>
              </w:rPr>
              <w:t>3G</w:t>
            </w:r>
          </w:p>
        </w:tc>
        <w:tc>
          <w:tcPr>
            <w:tcW w:w="918" w:type="dxa"/>
            <w:tcBorders>
              <w:top w:val="nil"/>
              <w:left w:val="nil"/>
              <w:bottom w:val="single" w:sz="4" w:space="0" w:color="auto"/>
              <w:right w:val="single" w:sz="4" w:space="0" w:color="auto"/>
            </w:tcBorders>
            <w:noWrap/>
            <w:vAlign w:val="center"/>
            <w:hideMark/>
          </w:tcPr>
          <w:p w14:paraId="5A19C3A7" w14:textId="77777777" w:rsidR="00947634" w:rsidRPr="00951AB1" w:rsidRDefault="00947634" w:rsidP="000A5389">
            <w:pPr>
              <w:spacing w:line="240" w:lineRule="auto"/>
              <w:jc w:val="center"/>
              <w:rPr>
                <w:rFonts w:eastAsia="Times New Roman" w:cs="Times New Roman"/>
                <w:color w:val="000000"/>
                <w:sz w:val="16"/>
                <w:szCs w:val="16"/>
                <w:lang w:val="es-419" w:eastAsia="es-419"/>
              </w:rPr>
            </w:pPr>
            <w:r w:rsidRPr="00951AB1">
              <w:rPr>
                <w:rFonts w:eastAsia="Times New Roman" w:cs="Times New Roman"/>
                <w:color w:val="000000"/>
                <w:sz w:val="16"/>
                <w:szCs w:val="16"/>
                <w:lang w:val="es-419" w:eastAsia="es-419"/>
              </w:rPr>
              <w:t>13</w:t>
            </w:r>
          </w:p>
        </w:tc>
        <w:tc>
          <w:tcPr>
            <w:tcW w:w="2126" w:type="dxa"/>
            <w:tcBorders>
              <w:top w:val="nil"/>
              <w:left w:val="nil"/>
              <w:bottom w:val="single" w:sz="4" w:space="0" w:color="auto"/>
              <w:right w:val="single" w:sz="4" w:space="0" w:color="auto"/>
            </w:tcBorders>
            <w:vAlign w:val="center"/>
            <w:hideMark/>
          </w:tcPr>
          <w:p w14:paraId="2973D52E" w14:textId="77777777" w:rsidR="00947634" w:rsidRPr="00951AB1" w:rsidRDefault="00947634" w:rsidP="000A5389">
            <w:pPr>
              <w:spacing w:line="240" w:lineRule="auto"/>
              <w:jc w:val="center"/>
              <w:rPr>
                <w:rFonts w:eastAsia="Times New Roman" w:cs="Times New Roman"/>
                <w:color w:val="000000"/>
                <w:sz w:val="16"/>
                <w:szCs w:val="16"/>
                <w:lang w:val="es-419" w:eastAsia="es-419"/>
              </w:rPr>
            </w:pPr>
            <w:r w:rsidRPr="00951AB1">
              <w:rPr>
                <w:rFonts w:eastAsia="Times New Roman" w:cs="Times New Roman"/>
                <w:color w:val="000000"/>
                <w:sz w:val="16"/>
                <w:szCs w:val="16"/>
                <w:lang w:val="es-419" w:eastAsia="es-419"/>
              </w:rPr>
              <w:t xml:space="preserve">VA-Z2-04_04-011, VA-Z2-04_04-012, </w:t>
            </w:r>
            <w:r w:rsidRPr="00951AB1">
              <w:rPr>
                <w:rFonts w:eastAsia="Times New Roman" w:cs="Times New Roman"/>
                <w:color w:val="000000"/>
                <w:sz w:val="16"/>
                <w:szCs w:val="16"/>
                <w:lang w:val="es-419" w:eastAsia="es-419"/>
              </w:rPr>
              <w:br/>
              <w:t xml:space="preserve">VA-Z2-04_04-016, VA-Z2-04_04-020, </w:t>
            </w:r>
            <w:r w:rsidRPr="00951AB1">
              <w:rPr>
                <w:rFonts w:eastAsia="Times New Roman" w:cs="Times New Roman"/>
                <w:color w:val="000000"/>
                <w:sz w:val="16"/>
                <w:szCs w:val="16"/>
                <w:lang w:val="es-419" w:eastAsia="es-419"/>
              </w:rPr>
              <w:br/>
              <w:t xml:space="preserve">VA-Z2-04_04-021, VA-Z2-04_04-022, </w:t>
            </w:r>
            <w:r w:rsidRPr="00951AB1">
              <w:rPr>
                <w:rFonts w:eastAsia="Times New Roman" w:cs="Times New Roman"/>
                <w:color w:val="000000"/>
                <w:sz w:val="16"/>
                <w:szCs w:val="16"/>
                <w:lang w:val="es-419" w:eastAsia="es-419"/>
              </w:rPr>
              <w:br/>
              <w:t xml:space="preserve">VA-Z2-04_04-023, VA-Z2-04_04-027, </w:t>
            </w:r>
            <w:r w:rsidRPr="00951AB1">
              <w:rPr>
                <w:rFonts w:eastAsia="Times New Roman" w:cs="Times New Roman"/>
                <w:color w:val="000000"/>
                <w:sz w:val="16"/>
                <w:szCs w:val="16"/>
                <w:lang w:val="es-419" w:eastAsia="es-419"/>
              </w:rPr>
              <w:br/>
              <w:t xml:space="preserve">VA-Z2-04_04-030, VA-Z2-04_04-031, </w:t>
            </w:r>
            <w:r w:rsidRPr="00951AB1">
              <w:rPr>
                <w:rFonts w:eastAsia="Times New Roman" w:cs="Times New Roman"/>
                <w:color w:val="000000"/>
                <w:sz w:val="16"/>
                <w:szCs w:val="16"/>
                <w:lang w:val="es-419" w:eastAsia="es-419"/>
              </w:rPr>
              <w:br/>
              <w:t xml:space="preserve">VA-Z2-04_04-034, VA-Z2-04_04-035, </w:t>
            </w:r>
            <w:r w:rsidRPr="00951AB1">
              <w:rPr>
                <w:rFonts w:eastAsia="Times New Roman" w:cs="Times New Roman"/>
                <w:color w:val="000000"/>
                <w:sz w:val="16"/>
                <w:szCs w:val="16"/>
                <w:lang w:val="es-419" w:eastAsia="es-419"/>
              </w:rPr>
              <w:br/>
              <w:t>VA-Z2-04_04-036</w:t>
            </w:r>
          </w:p>
        </w:tc>
        <w:tc>
          <w:tcPr>
            <w:tcW w:w="1270" w:type="dxa"/>
            <w:tcBorders>
              <w:top w:val="nil"/>
              <w:left w:val="nil"/>
              <w:bottom w:val="single" w:sz="4" w:space="0" w:color="auto"/>
              <w:right w:val="single" w:sz="4" w:space="0" w:color="auto"/>
            </w:tcBorders>
            <w:noWrap/>
            <w:vAlign w:val="center"/>
            <w:hideMark/>
          </w:tcPr>
          <w:p w14:paraId="5BC614AF" w14:textId="77777777" w:rsidR="00947634" w:rsidRPr="00951AB1" w:rsidRDefault="00947634" w:rsidP="000A5389">
            <w:pPr>
              <w:spacing w:line="240" w:lineRule="auto"/>
              <w:jc w:val="center"/>
              <w:rPr>
                <w:rFonts w:eastAsia="Times New Roman" w:cs="Times New Roman"/>
                <w:color w:val="000000"/>
                <w:sz w:val="16"/>
                <w:szCs w:val="16"/>
                <w:lang w:val="es-419" w:eastAsia="es-419"/>
              </w:rPr>
            </w:pPr>
            <w:r w:rsidRPr="00951AB1">
              <w:rPr>
                <w:rFonts w:eastAsia="Times New Roman" w:cs="Times New Roman"/>
                <w:color w:val="000000"/>
                <w:sz w:val="16"/>
                <w:szCs w:val="16"/>
                <w:lang w:val="es-419" w:eastAsia="es-419"/>
              </w:rPr>
              <w:t>11550,26</w:t>
            </w:r>
          </w:p>
        </w:tc>
        <w:tc>
          <w:tcPr>
            <w:tcW w:w="1140" w:type="dxa"/>
            <w:tcBorders>
              <w:top w:val="nil"/>
              <w:left w:val="nil"/>
              <w:bottom w:val="single" w:sz="4" w:space="0" w:color="auto"/>
              <w:right w:val="single" w:sz="4" w:space="0" w:color="auto"/>
            </w:tcBorders>
            <w:noWrap/>
            <w:vAlign w:val="center"/>
            <w:hideMark/>
          </w:tcPr>
          <w:p w14:paraId="591468A5" w14:textId="4761CB73" w:rsidR="00947634" w:rsidRPr="00951AB1" w:rsidRDefault="00947634" w:rsidP="000A5389">
            <w:pPr>
              <w:spacing w:line="240" w:lineRule="auto"/>
              <w:jc w:val="right"/>
              <w:rPr>
                <w:rFonts w:eastAsia="Times New Roman" w:cs="Times New Roman"/>
                <w:color w:val="000000"/>
                <w:sz w:val="16"/>
                <w:szCs w:val="16"/>
                <w:lang w:val="es-419" w:eastAsia="es-419"/>
              </w:rPr>
            </w:pPr>
            <w:r w:rsidRPr="00951AB1">
              <w:rPr>
                <w:rFonts w:eastAsia="Times New Roman" w:cs="Times New Roman"/>
                <w:color w:val="000000"/>
                <w:sz w:val="16"/>
                <w:szCs w:val="16"/>
                <w:lang w:val="es-419" w:eastAsia="es-419"/>
              </w:rPr>
              <w:t>$1.718.668.020</w:t>
            </w:r>
          </w:p>
        </w:tc>
      </w:tr>
    </w:tbl>
    <w:p w14:paraId="7A1322EC" w14:textId="416B5FCC" w:rsidR="00B35446" w:rsidRDefault="00947634" w:rsidP="000A5389">
      <w:pPr>
        <w:spacing w:line="240" w:lineRule="auto"/>
        <w:ind w:left="284" w:right="332"/>
        <w:rPr>
          <w:rFonts w:cs="Times New Roman"/>
          <w:szCs w:val="24"/>
          <w:lang w:val="es-ES"/>
        </w:rPr>
      </w:pPr>
      <w:r w:rsidRPr="00951AB1">
        <w:rPr>
          <w:rFonts w:cs="Times New Roman"/>
          <w:szCs w:val="24"/>
          <w:lang w:val="es-ES"/>
        </w:rPr>
        <w:fldChar w:fldCharType="end"/>
      </w:r>
    </w:p>
    <w:p w14:paraId="74CA58D9" w14:textId="77777777" w:rsidR="002E333D" w:rsidRPr="00951AB1" w:rsidRDefault="002E333D" w:rsidP="000A5389">
      <w:pPr>
        <w:spacing w:line="240" w:lineRule="auto"/>
        <w:ind w:left="284" w:right="332"/>
        <w:rPr>
          <w:rFonts w:cs="Times New Roman"/>
          <w:szCs w:val="24"/>
          <w:lang w:val="es-ES"/>
        </w:rPr>
      </w:pPr>
    </w:p>
    <w:p w14:paraId="4BDEA556" w14:textId="77777777" w:rsidR="00FE1E23" w:rsidRDefault="00FE1E23" w:rsidP="000A5389">
      <w:pPr>
        <w:pStyle w:val="Ttulo1"/>
        <w:spacing w:line="240" w:lineRule="auto"/>
        <w:rPr>
          <w:rFonts w:cs="Times New Roman"/>
        </w:rPr>
      </w:pPr>
      <w:bookmarkStart w:id="391" w:name="_Toc191369519"/>
      <w:bookmarkStart w:id="392" w:name="_Toc191456849"/>
      <w:bookmarkStart w:id="393" w:name="_Toc191456959"/>
      <w:bookmarkStart w:id="394" w:name="_Toc191457069"/>
      <w:bookmarkStart w:id="395" w:name="_Toc191475696"/>
      <w:bookmarkStart w:id="396" w:name="_Toc191475805"/>
      <w:bookmarkStart w:id="397" w:name="_Toc191475914"/>
      <w:bookmarkStart w:id="398" w:name="_Toc191475437"/>
      <w:bookmarkStart w:id="399" w:name="_Toc191505813"/>
      <w:bookmarkStart w:id="400" w:name="_Toc222824125"/>
    </w:p>
    <w:p w14:paraId="5556E7ED" w14:textId="77777777" w:rsidR="00FE1E23" w:rsidRDefault="00FE1E23" w:rsidP="000A5389">
      <w:pPr>
        <w:pStyle w:val="Ttulo1"/>
        <w:spacing w:line="240" w:lineRule="auto"/>
        <w:rPr>
          <w:rFonts w:cs="Times New Roman"/>
        </w:rPr>
      </w:pPr>
    </w:p>
    <w:p w14:paraId="2C03949D" w14:textId="77777777" w:rsidR="00FE1E23" w:rsidRDefault="00FE1E23" w:rsidP="000A5389">
      <w:pPr>
        <w:pStyle w:val="Ttulo1"/>
        <w:spacing w:line="240" w:lineRule="auto"/>
        <w:rPr>
          <w:rFonts w:cs="Times New Roman"/>
        </w:rPr>
      </w:pPr>
    </w:p>
    <w:p w14:paraId="4B2FA19C" w14:textId="020C46C5" w:rsidR="00B35446" w:rsidRPr="00951AB1" w:rsidRDefault="00B35446" w:rsidP="000A5389">
      <w:pPr>
        <w:pStyle w:val="Ttulo1"/>
        <w:spacing w:line="240" w:lineRule="auto"/>
        <w:rPr>
          <w:rFonts w:cs="Times New Roman"/>
        </w:rPr>
      </w:pPr>
      <w:bookmarkStart w:id="401" w:name="_Toc222955492"/>
      <w:r w:rsidRPr="00951AB1">
        <w:rPr>
          <w:rFonts w:cs="Times New Roman"/>
        </w:rPr>
        <w:t>NOTA 14. ACTIVOS INTANGIBLES</w:t>
      </w:r>
      <w:bookmarkEnd w:id="391"/>
      <w:bookmarkEnd w:id="392"/>
      <w:bookmarkEnd w:id="393"/>
      <w:bookmarkEnd w:id="394"/>
      <w:bookmarkEnd w:id="395"/>
      <w:bookmarkEnd w:id="396"/>
      <w:bookmarkEnd w:id="397"/>
      <w:bookmarkEnd w:id="398"/>
      <w:bookmarkEnd w:id="399"/>
      <w:bookmarkEnd w:id="400"/>
      <w:bookmarkEnd w:id="401"/>
    </w:p>
    <w:p w14:paraId="7D57AA78" w14:textId="77777777" w:rsidR="00B35446" w:rsidRPr="00951AB1" w:rsidRDefault="00B35446" w:rsidP="000A5389">
      <w:pPr>
        <w:spacing w:line="240" w:lineRule="auto"/>
        <w:rPr>
          <w:rFonts w:cs="Times New Roman"/>
          <w:b/>
          <w:szCs w:val="24"/>
        </w:rPr>
      </w:pPr>
    </w:p>
    <w:p w14:paraId="79EA76EA" w14:textId="16EE7D3C" w:rsidR="002E333D" w:rsidRDefault="00B35446" w:rsidP="00FE1E23">
      <w:pPr>
        <w:pStyle w:val="Ttulo2"/>
        <w:numPr>
          <w:ilvl w:val="0"/>
          <w:numId w:val="0"/>
        </w:numPr>
        <w:spacing w:line="240" w:lineRule="auto"/>
        <w:rPr>
          <w:rFonts w:cs="Times New Roman"/>
          <w:szCs w:val="22"/>
        </w:rPr>
      </w:pPr>
      <w:bookmarkStart w:id="402" w:name="_Toc191369520"/>
      <w:bookmarkStart w:id="403" w:name="_Toc191456850"/>
      <w:bookmarkStart w:id="404" w:name="_Toc191456960"/>
      <w:bookmarkStart w:id="405" w:name="_Toc191457070"/>
      <w:bookmarkStart w:id="406" w:name="_Toc191475697"/>
      <w:bookmarkStart w:id="407" w:name="_Toc191475806"/>
      <w:bookmarkStart w:id="408" w:name="_Toc191475915"/>
      <w:bookmarkStart w:id="409" w:name="_Toc191475438"/>
      <w:bookmarkStart w:id="410" w:name="_Toc191505814"/>
      <w:bookmarkStart w:id="411" w:name="_Toc222824126"/>
      <w:bookmarkStart w:id="412" w:name="_Toc222955493"/>
      <w:r w:rsidRPr="00951AB1">
        <w:rPr>
          <w:rFonts w:cs="Times New Roman"/>
          <w:szCs w:val="22"/>
        </w:rPr>
        <w:t>Composición</w:t>
      </w:r>
      <w:bookmarkEnd w:id="402"/>
      <w:bookmarkEnd w:id="403"/>
      <w:bookmarkEnd w:id="404"/>
      <w:bookmarkEnd w:id="405"/>
      <w:bookmarkEnd w:id="406"/>
      <w:bookmarkEnd w:id="407"/>
      <w:bookmarkEnd w:id="408"/>
      <w:bookmarkEnd w:id="409"/>
      <w:bookmarkEnd w:id="410"/>
      <w:bookmarkEnd w:id="411"/>
      <w:bookmarkEnd w:id="412"/>
    </w:p>
    <w:p w14:paraId="02267154" w14:textId="77777777" w:rsidR="00FE1E23" w:rsidRPr="00FE1E23" w:rsidRDefault="00FE1E23" w:rsidP="00FE1E23"/>
    <w:p w14:paraId="6086717F" w14:textId="77777777" w:rsidR="00AD5E46" w:rsidRPr="00951AB1" w:rsidRDefault="00AD5E46" w:rsidP="000A5389">
      <w:pPr>
        <w:spacing w:line="240" w:lineRule="auto"/>
        <w:rPr>
          <w:rFonts w:cs="Times New Roman"/>
          <w:szCs w:val="24"/>
        </w:rPr>
      </w:pPr>
      <w:r w:rsidRPr="00951AB1">
        <w:rPr>
          <w:rFonts w:cs="Times New Roman"/>
          <w:szCs w:val="24"/>
        </w:rPr>
        <w:t>Los activos intangibles son recursos identificables, de carácter no monetario y sin apariencia física, sobre los cuales se tiene el control, se espera obtener beneficios económicos futuros o potencial de servicio, se puede realizar mediciones fiables, además se prevé usarlos durante más de un año.</w:t>
      </w:r>
    </w:p>
    <w:p w14:paraId="20BD11E5" w14:textId="77777777" w:rsidR="00AD5E46" w:rsidRPr="00951AB1" w:rsidRDefault="00AD5E46" w:rsidP="000A5389">
      <w:pPr>
        <w:spacing w:line="240" w:lineRule="auto"/>
        <w:rPr>
          <w:rFonts w:cs="Times New Roman"/>
          <w:szCs w:val="24"/>
        </w:rPr>
      </w:pPr>
    </w:p>
    <w:p w14:paraId="1064423B" w14:textId="77777777" w:rsidR="00AD5E46" w:rsidRPr="00951AB1" w:rsidRDefault="00AD5E46" w:rsidP="000A5389">
      <w:pPr>
        <w:spacing w:line="240" w:lineRule="auto"/>
        <w:rPr>
          <w:rFonts w:cs="Times New Roman"/>
          <w:szCs w:val="24"/>
        </w:rPr>
      </w:pPr>
      <w:r w:rsidRPr="00951AB1">
        <w:rPr>
          <w:rFonts w:cs="Times New Roman"/>
          <w:szCs w:val="24"/>
        </w:rPr>
        <w:t>Comprende entre otros:</w:t>
      </w:r>
    </w:p>
    <w:p w14:paraId="714D8236" w14:textId="77777777" w:rsidR="00AD5E46" w:rsidRPr="00951AB1" w:rsidRDefault="00AD5E46" w:rsidP="000A5389">
      <w:pPr>
        <w:spacing w:line="240" w:lineRule="auto"/>
        <w:rPr>
          <w:rFonts w:cs="Times New Roman"/>
        </w:rPr>
      </w:pPr>
    </w:p>
    <w:p w14:paraId="458934F9" w14:textId="77777777" w:rsidR="00AD5E46" w:rsidRPr="00951AB1" w:rsidRDefault="00AD5E46" w:rsidP="000A5389">
      <w:pPr>
        <w:pStyle w:val="Default"/>
        <w:numPr>
          <w:ilvl w:val="0"/>
          <w:numId w:val="17"/>
        </w:numPr>
        <w:jc w:val="both"/>
        <w:rPr>
          <w:rFonts w:ascii="Times New Roman" w:hAnsi="Times New Roman" w:cs="Times New Roman"/>
        </w:rPr>
      </w:pPr>
      <w:r w:rsidRPr="00951AB1">
        <w:rPr>
          <w:rFonts w:ascii="Times New Roman" w:hAnsi="Times New Roman" w:cs="Times New Roman"/>
        </w:rPr>
        <w:t>Intangibles en concesión, los cuales surgen de acuerdos vinculantes para los modos de transporte carretero, férreo y portuario, que se reconocen de acuerdo con la información suministrada por los concesionarios, interventorías y grupos internos de trabajo de la Agencia.</w:t>
      </w:r>
    </w:p>
    <w:p w14:paraId="3BC208E7" w14:textId="77777777" w:rsidR="00573529" w:rsidRPr="00951AB1" w:rsidRDefault="00573529" w:rsidP="000A5389">
      <w:pPr>
        <w:pStyle w:val="Default"/>
        <w:numPr>
          <w:ilvl w:val="0"/>
          <w:numId w:val="17"/>
        </w:numPr>
        <w:jc w:val="both"/>
        <w:rPr>
          <w:rFonts w:ascii="Times New Roman" w:hAnsi="Times New Roman" w:cs="Times New Roman"/>
          <w:sz w:val="22"/>
          <w:szCs w:val="22"/>
        </w:rPr>
      </w:pPr>
      <w:r w:rsidRPr="00951AB1">
        <w:rPr>
          <w:rFonts w:ascii="Times New Roman" w:hAnsi="Times New Roman" w:cs="Times New Roman"/>
        </w:rPr>
        <w:t xml:space="preserve">Software, aplicaciones y programas instalados en los equipos de cómputo para el desarrollo de su función misional y operativa. </w:t>
      </w:r>
    </w:p>
    <w:p w14:paraId="1DDC5498" w14:textId="1CBDC99F" w:rsidR="00573529" w:rsidRDefault="00573529" w:rsidP="000A5389">
      <w:pPr>
        <w:pStyle w:val="Default"/>
        <w:numPr>
          <w:ilvl w:val="0"/>
          <w:numId w:val="17"/>
        </w:numPr>
        <w:jc w:val="both"/>
        <w:rPr>
          <w:rFonts w:ascii="Times New Roman" w:hAnsi="Times New Roman" w:cs="Times New Roman"/>
        </w:rPr>
      </w:pPr>
      <w:r w:rsidRPr="00951AB1">
        <w:rPr>
          <w:rFonts w:ascii="Times New Roman" w:hAnsi="Times New Roman" w:cs="Times New Roman"/>
        </w:rPr>
        <w:t xml:space="preserve">Licencias, adquiridas por </w:t>
      </w:r>
      <w:r w:rsidR="747B3F01" w:rsidRPr="4E252882">
        <w:rPr>
          <w:rFonts w:ascii="Times New Roman" w:hAnsi="Times New Roman" w:cs="Times New Roman"/>
        </w:rPr>
        <w:t>la</w:t>
      </w:r>
      <w:r w:rsidRPr="4E252882">
        <w:rPr>
          <w:rFonts w:ascii="Times New Roman" w:hAnsi="Times New Roman" w:cs="Times New Roman"/>
        </w:rPr>
        <w:t xml:space="preserve"> </w:t>
      </w:r>
      <w:r w:rsidRPr="00951AB1">
        <w:rPr>
          <w:rFonts w:ascii="Times New Roman" w:hAnsi="Times New Roman" w:cs="Times New Roman"/>
        </w:rPr>
        <w:t>entidad para el desarrollo de sus actividades misionales y operativas</w:t>
      </w:r>
      <w:r w:rsidR="6107C67E" w:rsidRPr="5B48B9A4">
        <w:rPr>
          <w:rFonts w:ascii="Times New Roman" w:hAnsi="Times New Roman" w:cs="Times New Roman"/>
        </w:rPr>
        <w:t>.</w:t>
      </w:r>
      <w:r w:rsidRPr="5B48B9A4">
        <w:rPr>
          <w:rFonts w:ascii="Times New Roman" w:hAnsi="Times New Roman" w:cs="Times New Roman"/>
        </w:rPr>
        <w:t xml:space="preserve"> </w:t>
      </w:r>
      <w:r w:rsidR="775F0971" w:rsidRPr="5B48B9A4">
        <w:rPr>
          <w:rFonts w:ascii="Times New Roman" w:hAnsi="Times New Roman" w:cs="Times New Roman"/>
        </w:rPr>
        <w:t>T</w:t>
      </w:r>
      <w:r w:rsidRPr="5B48B9A4">
        <w:rPr>
          <w:rFonts w:ascii="Times New Roman" w:hAnsi="Times New Roman" w:cs="Times New Roman"/>
        </w:rPr>
        <w:t>ambién</w:t>
      </w:r>
      <w:r w:rsidRPr="00951AB1">
        <w:rPr>
          <w:rFonts w:ascii="Times New Roman" w:hAnsi="Times New Roman" w:cs="Times New Roman"/>
        </w:rPr>
        <w:t xml:space="preserve"> se reconocerá las licencias cuya autoría se haya reconocido legalmente como de propiedad de la Agencia, como resultado de un desarrollo interno.</w:t>
      </w:r>
    </w:p>
    <w:p w14:paraId="77298042" w14:textId="77777777" w:rsidR="002E333D" w:rsidRPr="00951AB1" w:rsidRDefault="002E333D" w:rsidP="000A5389">
      <w:pPr>
        <w:pStyle w:val="Default"/>
        <w:numPr>
          <w:ilvl w:val="0"/>
          <w:numId w:val="17"/>
        </w:numPr>
        <w:jc w:val="both"/>
        <w:rPr>
          <w:rFonts w:ascii="Times New Roman" w:hAnsi="Times New Roman" w:cs="Times New Roman"/>
        </w:rPr>
      </w:pPr>
    </w:p>
    <w:p w14:paraId="28A61A6B" w14:textId="77777777" w:rsidR="00573529" w:rsidRPr="00951AB1" w:rsidRDefault="00573529" w:rsidP="000A5389">
      <w:pPr>
        <w:spacing w:line="240" w:lineRule="auto"/>
        <w:rPr>
          <w:rFonts w:cs="Times New Roman"/>
          <w:sz w:val="20"/>
          <w:szCs w:val="20"/>
          <w:lang w:eastAsia="es-CO"/>
        </w:rPr>
      </w:pPr>
      <w:r w:rsidRPr="00951AB1">
        <w:rPr>
          <w:rFonts w:cs="Times New Roman"/>
          <w:sz w:val="22"/>
        </w:rPr>
        <w:fldChar w:fldCharType="begin"/>
      </w:r>
      <w:r w:rsidRPr="00951AB1">
        <w:rPr>
          <w:rFonts w:cs="Times New Roman"/>
        </w:rPr>
        <w:instrText xml:space="preserve"> LINK Excel.Sheet.12 "C:\\Users\\wolarte\\Documents\\0-Ani2025\\0_Cierre2025\\Nota_14\\Anexo N_14 - Activos intangibles.XLSX" "Composición!F18C1:F21C6" \a \f 4 \h  \* MERGEFORMAT </w:instrText>
      </w:r>
      <w:r w:rsidRPr="00951AB1">
        <w:rPr>
          <w:rFonts w:cs="Times New Roman"/>
          <w:sz w:val="22"/>
        </w:rPr>
        <w:fldChar w:fldCharType="separate"/>
      </w:r>
    </w:p>
    <w:tbl>
      <w:tblPr>
        <w:tblW w:w="9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65"/>
        <w:gridCol w:w="510"/>
        <w:gridCol w:w="3528"/>
        <w:gridCol w:w="1490"/>
        <w:gridCol w:w="1490"/>
        <w:gridCol w:w="1418"/>
      </w:tblGrid>
      <w:tr w:rsidR="00573529" w:rsidRPr="00951AB1" w14:paraId="40CEED8E" w14:textId="77777777" w:rsidTr="5B48B9A4">
        <w:trPr>
          <w:trHeight w:val="427"/>
          <w:tblHeader/>
        </w:trPr>
        <w:tc>
          <w:tcPr>
            <w:tcW w:w="4803" w:type="dxa"/>
            <w:gridSpan w:val="3"/>
            <w:noWrap/>
            <w:vAlign w:val="center"/>
            <w:hideMark/>
          </w:tcPr>
          <w:p w14:paraId="59683019" w14:textId="77777777" w:rsidR="00573529" w:rsidRPr="00951AB1" w:rsidRDefault="00573529" w:rsidP="000A5389">
            <w:pPr>
              <w:spacing w:line="240" w:lineRule="auto"/>
              <w:jc w:val="center"/>
              <w:rPr>
                <w:rFonts w:eastAsia="Times New Roman" w:cs="Times New Roman"/>
                <w:b/>
                <w:bCs/>
                <w:sz w:val="20"/>
                <w:szCs w:val="20"/>
                <w:lang w:val="es-419" w:eastAsia="es-419"/>
              </w:rPr>
            </w:pPr>
            <w:r w:rsidRPr="00951AB1">
              <w:rPr>
                <w:rFonts w:eastAsia="Times New Roman" w:cs="Times New Roman"/>
                <w:b/>
                <w:bCs/>
                <w:sz w:val="20"/>
                <w:szCs w:val="20"/>
                <w:lang w:val="es-419" w:eastAsia="es-419"/>
              </w:rPr>
              <w:t>CONCEPTO</w:t>
            </w:r>
          </w:p>
        </w:tc>
        <w:tc>
          <w:tcPr>
            <w:tcW w:w="1490" w:type="dxa"/>
            <w:vAlign w:val="center"/>
            <w:hideMark/>
          </w:tcPr>
          <w:p w14:paraId="0D0A228D" w14:textId="77777777" w:rsidR="00573529" w:rsidRPr="00951AB1" w:rsidRDefault="00573529" w:rsidP="000A5389">
            <w:pPr>
              <w:spacing w:line="240" w:lineRule="auto"/>
              <w:jc w:val="center"/>
              <w:rPr>
                <w:rFonts w:eastAsia="Times New Roman" w:cs="Times New Roman"/>
                <w:b/>
                <w:bCs/>
                <w:sz w:val="20"/>
                <w:szCs w:val="20"/>
                <w:lang w:val="es-419" w:eastAsia="es-419"/>
              </w:rPr>
            </w:pPr>
            <w:r w:rsidRPr="00951AB1">
              <w:rPr>
                <w:rFonts w:eastAsia="Times New Roman" w:cs="Times New Roman"/>
                <w:b/>
                <w:bCs/>
                <w:sz w:val="20"/>
                <w:szCs w:val="20"/>
                <w:lang w:val="es-419" w:eastAsia="es-419"/>
              </w:rPr>
              <w:t xml:space="preserve">2025 </w:t>
            </w:r>
          </w:p>
        </w:tc>
        <w:tc>
          <w:tcPr>
            <w:tcW w:w="1490" w:type="dxa"/>
            <w:vAlign w:val="center"/>
            <w:hideMark/>
          </w:tcPr>
          <w:p w14:paraId="58DC2B2D" w14:textId="77777777" w:rsidR="00573529" w:rsidRPr="00951AB1" w:rsidRDefault="00573529" w:rsidP="000A5389">
            <w:pPr>
              <w:spacing w:line="240" w:lineRule="auto"/>
              <w:jc w:val="center"/>
              <w:rPr>
                <w:rFonts w:eastAsia="Times New Roman" w:cs="Times New Roman"/>
                <w:b/>
                <w:bCs/>
                <w:sz w:val="20"/>
                <w:szCs w:val="20"/>
                <w:lang w:val="es-419" w:eastAsia="es-419"/>
              </w:rPr>
            </w:pPr>
            <w:r w:rsidRPr="00951AB1">
              <w:rPr>
                <w:rFonts w:eastAsia="Times New Roman" w:cs="Times New Roman"/>
                <w:b/>
                <w:bCs/>
                <w:sz w:val="20"/>
                <w:szCs w:val="20"/>
                <w:lang w:val="es-419" w:eastAsia="es-419"/>
              </w:rPr>
              <w:t xml:space="preserve">2024 </w:t>
            </w:r>
          </w:p>
        </w:tc>
        <w:tc>
          <w:tcPr>
            <w:tcW w:w="1418" w:type="dxa"/>
            <w:vAlign w:val="center"/>
            <w:hideMark/>
          </w:tcPr>
          <w:p w14:paraId="117140C8" w14:textId="77777777" w:rsidR="00573529" w:rsidRPr="00951AB1" w:rsidRDefault="00573529" w:rsidP="000A5389">
            <w:pPr>
              <w:spacing w:line="240" w:lineRule="auto"/>
              <w:jc w:val="center"/>
              <w:rPr>
                <w:rFonts w:eastAsia="Times New Roman" w:cs="Times New Roman"/>
                <w:b/>
                <w:bCs/>
                <w:sz w:val="20"/>
                <w:szCs w:val="20"/>
                <w:lang w:val="es-419" w:eastAsia="es-419"/>
              </w:rPr>
            </w:pPr>
            <w:r w:rsidRPr="00951AB1">
              <w:rPr>
                <w:rFonts w:eastAsia="Times New Roman" w:cs="Times New Roman"/>
                <w:b/>
                <w:bCs/>
                <w:sz w:val="20"/>
                <w:szCs w:val="20"/>
                <w:lang w:val="es-419" w:eastAsia="es-419"/>
              </w:rPr>
              <w:t>VALOR VARIACIÓN</w:t>
            </w:r>
          </w:p>
        </w:tc>
      </w:tr>
      <w:tr w:rsidR="00573529" w:rsidRPr="00951AB1" w14:paraId="5962DC2B" w14:textId="77777777" w:rsidTr="5B48B9A4">
        <w:trPr>
          <w:trHeight w:val="280"/>
        </w:trPr>
        <w:tc>
          <w:tcPr>
            <w:tcW w:w="765" w:type="dxa"/>
            <w:noWrap/>
            <w:vAlign w:val="center"/>
            <w:hideMark/>
          </w:tcPr>
          <w:p w14:paraId="5D7C4391" w14:textId="77777777" w:rsidR="00573529" w:rsidRPr="00951AB1" w:rsidRDefault="00573529" w:rsidP="000A5389">
            <w:pPr>
              <w:spacing w:line="240" w:lineRule="auto"/>
              <w:rPr>
                <w:rFonts w:eastAsia="Times New Roman" w:cs="Times New Roman"/>
                <w:b/>
                <w:bCs/>
                <w:sz w:val="20"/>
                <w:szCs w:val="20"/>
                <w:lang w:val="es-419" w:eastAsia="es-419"/>
              </w:rPr>
            </w:pPr>
            <w:r w:rsidRPr="00951AB1">
              <w:rPr>
                <w:rFonts w:eastAsia="Times New Roman" w:cs="Times New Roman"/>
                <w:b/>
                <w:bCs/>
                <w:sz w:val="20"/>
                <w:szCs w:val="20"/>
                <w:lang w:val="es-419" w:eastAsia="es-419"/>
              </w:rPr>
              <w:t> </w:t>
            </w:r>
          </w:p>
        </w:tc>
        <w:tc>
          <w:tcPr>
            <w:tcW w:w="510" w:type="dxa"/>
            <w:noWrap/>
            <w:vAlign w:val="center"/>
            <w:hideMark/>
          </w:tcPr>
          <w:p w14:paraId="0338E97F" w14:textId="77777777" w:rsidR="00573529" w:rsidRPr="00951AB1" w:rsidRDefault="00573529" w:rsidP="000A5389">
            <w:pPr>
              <w:spacing w:line="240" w:lineRule="auto"/>
              <w:jc w:val="center"/>
              <w:rPr>
                <w:rFonts w:eastAsia="Times New Roman" w:cs="Times New Roman"/>
                <w:b/>
                <w:bCs/>
                <w:sz w:val="20"/>
                <w:szCs w:val="20"/>
                <w:lang w:val="es-419" w:eastAsia="es-419"/>
              </w:rPr>
            </w:pPr>
            <w:r w:rsidRPr="00951AB1">
              <w:rPr>
                <w:rFonts w:eastAsia="Times New Roman" w:cs="Times New Roman"/>
                <w:b/>
                <w:bCs/>
                <w:sz w:val="20"/>
                <w:szCs w:val="20"/>
                <w:lang w:val="es-419" w:eastAsia="es-419"/>
              </w:rPr>
              <w:t>Db</w:t>
            </w:r>
          </w:p>
        </w:tc>
        <w:tc>
          <w:tcPr>
            <w:tcW w:w="3528" w:type="dxa"/>
            <w:vAlign w:val="center"/>
            <w:hideMark/>
          </w:tcPr>
          <w:p w14:paraId="39625C1E" w14:textId="77777777" w:rsidR="00573529" w:rsidRPr="00951AB1" w:rsidRDefault="00573529" w:rsidP="000A5389">
            <w:pPr>
              <w:spacing w:line="240" w:lineRule="auto"/>
              <w:jc w:val="center"/>
              <w:rPr>
                <w:rFonts w:eastAsia="Times New Roman" w:cs="Times New Roman"/>
                <w:b/>
                <w:bCs/>
                <w:sz w:val="20"/>
                <w:szCs w:val="20"/>
                <w:lang w:val="es-419" w:eastAsia="es-419"/>
              </w:rPr>
            </w:pPr>
            <w:r w:rsidRPr="00951AB1">
              <w:rPr>
                <w:rFonts w:eastAsia="Times New Roman" w:cs="Times New Roman"/>
                <w:b/>
                <w:bCs/>
                <w:sz w:val="20"/>
                <w:szCs w:val="20"/>
                <w:lang w:val="es-419" w:eastAsia="es-419"/>
              </w:rPr>
              <w:t>ACTIVOS INTANGIBLES</w:t>
            </w:r>
          </w:p>
        </w:tc>
        <w:tc>
          <w:tcPr>
            <w:tcW w:w="1490" w:type="dxa"/>
            <w:noWrap/>
            <w:vAlign w:val="center"/>
            <w:hideMark/>
          </w:tcPr>
          <w:p w14:paraId="0D74C079" w14:textId="77777777" w:rsidR="00573529" w:rsidRPr="00951AB1" w:rsidRDefault="00573529" w:rsidP="000A5389">
            <w:pPr>
              <w:spacing w:line="240" w:lineRule="auto"/>
              <w:jc w:val="right"/>
              <w:rPr>
                <w:rFonts w:eastAsia="Times New Roman" w:cs="Times New Roman"/>
                <w:b/>
                <w:bCs/>
                <w:sz w:val="20"/>
                <w:szCs w:val="20"/>
                <w:lang w:val="es-419" w:eastAsia="es-419"/>
              </w:rPr>
            </w:pPr>
            <w:r w:rsidRPr="00951AB1">
              <w:rPr>
                <w:rFonts w:eastAsia="Times New Roman" w:cs="Times New Roman"/>
                <w:b/>
                <w:bCs/>
                <w:sz w:val="20"/>
                <w:szCs w:val="20"/>
                <w:lang w:val="es-419" w:eastAsia="es-419"/>
              </w:rPr>
              <w:t>93.161.938.205</w:t>
            </w:r>
          </w:p>
        </w:tc>
        <w:tc>
          <w:tcPr>
            <w:tcW w:w="1490" w:type="dxa"/>
            <w:noWrap/>
            <w:vAlign w:val="center"/>
            <w:hideMark/>
          </w:tcPr>
          <w:p w14:paraId="530896B5" w14:textId="77777777" w:rsidR="00573529" w:rsidRPr="00951AB1" w:rsidRDefault="00573529" w:rsidP="000A5389">
            <w:pPr>
              <w:spacing w:line="240" w:lineRule="auto"/>
              <w:jc w:val="right"/>
              <w:rPr>
                <w:rFonts w:eastAsia="Times New Roman" w:cs="Times New Roman"/>
                <w:b/>
                <w:bCs/>
                <w:sz w:val="20"/>
                <w:szCs w:val="20"/>
                <w:lang w:val="es-419" w:eastAsia="es-419"/>
              </w:rPr>
            </w:pPr>
            <w:r w:rsidRPr="00951AB1">
              <w:rPr>
                <w:rFonts w:eastAsia="Times New Roman" w:cs="Times New Roman"/>
                <w:b/>
                <w:bCs/>
                <w:sz w:val="20"/>
                <w:szCs w:val="20"/>
                <w:lang w:val="es-419" w:eastAsia="es-419"/>
              </w:rPr>
              <w:t>103.901.829.142</w:t>
            </w:r>
          </w:p>
        </w:tc>
        <w:tc>
          <w:tcPr>
            <w:tcW w:w="1418" w:type="dxa"/>
            <w:noWrap/>
            <w:vAlign w:val="center"/>
            <w:hideMark/>
          </w:tcPr>
          <w:p w14:paraId="0B8A72CD" w14:textId="77777777" w:rsidR="00573529" w:rsidRPr="00951AB1" w:rsidRDefault="00573529" w:rsidP="000A5389">
            <w:pPr>
              <w:spacing w:line="240" w:lineRule="auto"/>
              <w:jc w:val="right"/>
              <w:rPr>
                <w:rFonts w:eastAsia="Times New Roman" w:cs="Times New Roman"/>
                <w:b/>
                <w:bCs/>
                <w:sz w:val="20"/>
                <w:szCs w:val="20"/>
                <w:lang w:val="es-419" w:eastAsia="es-419"/>
              </w:rPr>
            </w:pPr>
            <w:r w:rsidRPr="00951AB1">
              <w:rPr>
                <w:rFonts w:eastAsia="Times New Roman" w:cs="Times New Roman"/>
                <w:b/>
                <w:bCs/>
                <w:sz w:val="20"/>
                <w:szCs w:val="20"/>
                <w:lang w:val="es-419" w:eastAsia="es-419"/>
              </w:rPr>
              <w:t>-10.739.890.937</w:t>
            </w:r>
          </w:p>
        </w:tc>
      </w:tr>
      <w:tr w:rsidR="00573529" w:rsidRPr="00951AB1" w14:paraId="69A6C7F4" w14:textId="77777777" w:rsidTr="5B48B9A4">
        <w:trPr>
          <w:trHeight w:val="280"/>
        </w:trPr>
        <w:tc>
          <w:tcPr>
            <w:tcW w:w="765" w:type="dxa"/>
            <w:noWrap/>
            <w:vAlign w:val="center"/>
            <w:hideMark/>
          </w:tcPr>
          <w:p w14:paraId="40A53237" w14:textId="77777777" w:rsidR="00573529" w:rsidRPr="00951AB1" w:rsidRDefault="00573529" w:rsidP="000A5389">
            <w:pPr>
              <w:spacing w:line="240" w:lineRule="auto"/>
              <w:rPr>
                <w:rFonts w:eastAsia="Times New Roman" w:cs="Times New Roman"/>
                <w:sz w:val="20"/>
                <w:szCs w:val="20"/>
                <w:lang w:val="es-419" w:eastAsia="es-419"/>
              </w:rPr>
            </w:pPr>
            <w:r w:rsidRPr="00951AB1">
              <w:rPr>
                <w:rFonts w:eastAsia="Times New Roman" w:cs="Times New Roman"/>
                <w:sz w:val="20"/>
                <w:szCs w:val="20"/>
                <w:lang w:val="es-419" w:eastAsia="es-419"/>
              </w:rPr>
              <w:t>1.9.70</w:t>
            </w:r>
          </w:p>
        </w:tc>
        <w:tc>
          <w:tcPr>
            <w:tcW w:w="510" w:type="dxa"/>
            <w:noWrap/>
            <w:vAlign w:val="center"/>
            <w:hideMark/>
          </w:tcPr>
          <w:p w14:paraId="1C844498" w14:textId="77777777" w:rsidR="00573529" w:rsidRPr="00951AB1" w:rsidRDefault="00573529" w:rsidP="000A5389">
            <w:pPr>
              <w:spacing w:line="240" w:lineRule="auto"/>
              <w:jc w:val="center"/>
              <w:rPr>
                <w:rFonts w:eastAsia="Times New Roman" w:cs="Times New Roman"/>
                <w:sz w:val="20"/>
                <w:szCs w:val="20"/>
                <w:lang w:val="es-419" w:eastAsia="es-419"/>
              </w:rPr>
            </w:pPr>
            <w:r w:rsidRPr="00951AB1">
              <w:rPr>
                <w:rFonts w:eastAsia="Times New Roman" w:cs="Times New Roman"/>
                <w:sz w:val="20"/>
                <w:szCs w:val="20"/>
                <w:lang w:val="es-419" w:eastAsia="es-419"/>
              </w:rPr>
              <w:t>Db</w:t>
            </w:r>
          </w:p>
        </w:tc>
        <w:tc>
          <w:tcPr>
            <w:tcW w:w="3528" w:type="dxa"/>
            <w:vAlign w:val="center"/>
            <w:hideMark/>
          </w:tcPr>
          <w:p w14:paraId="1948422E" w14:textId="77777777" w:rsidR="00573529" w:rsidRPr="00951AB1" w:rsidRDefault="00573529" w:rsidP="000A5389">
            <w:pPr>
              <w:spacing w:line="240" w:lineRule="auto"/>
              <w:rPr>
                <w:rFonts w:eastAsia="Times New Roman" w:cs="Times New Roman"/>
                <w:sz w:val="20"/>
                <w:szCs w:val="20"/>
                <w:lang w:val="es-419" w:eastAsia="es-419"/>
              </w:rPr>
            </w:pPr>
            <w:r w:rsidRPr="00951AB1">
              <w:rPr>
                <w:rFonts w:eastAsia="Times New Roman" w:cs="Times New Roman"/>
                <w:sz w:val="20"/>
                <w:szCs w:val="20"/>
                <w:lang w:val="es-419" w:eastAsia="es-419"/>
              </w:rPr>
              <w:t>Activos intangibles</w:t>
            </w:r>
          </w:p>
        </w:tc>
        <w:tc>
          <w:tcPr>
            <w:tcW w:w="1490" w:type="dxa"/>
            <w:noWrap/>
            <w:vAlign w:val="center"/>
            <w:hideMark/>
          </w:tcPr>
          <w:p w14:paraId="041F92B7" w14:textId="77777777" w:rsidR="00573529" w:rsidRPr="00951AB1" w:rsidRDefault="00573529" w:rsidP="000A5389">
            <w:pPr>
              <w:spacing w:line="240" w:lineRule="auto"/>
              <w:jc w:val="right"/>
              <w:rPr>
                <w:rFonts w:eastAsia="Times New Roman" w:cs="Times New Roman"/>
                <w:sz w:val="20"/>
                <w:szCs w:val="20"/>
                <w:lang w:val="es-419" w:eastAsia="es-419"/>
              </w:rPr>
            </w:pPr>
            <w:r w:rsidRPr="00951AB1">
              <w:rPr>
                <w:rFonts w:eastAsia="Times New Roman" w:cs="Times New Roman"/>
                <w:sz w:val="20"/>
                <w:szCs w:val="20"/>
                <w:lang w:val="es-419" w:eastAsia="es-419"/>
              </w:rPr>
              <w:t>173.346.108.587</w:t>
            </w:r>
          </w:p>
        </w:tc>
        <w:tc>
          <w:tcPr>
            <w:tcW w:w="1490" w:type="dxa"/>
            <w:noWrap/>
            <w:vAlign w:val="center"/>
            <w:hideMark/>
          </w:tcPr>
          <w:p w14:paraId="4A4C2C34" w14:textId="77777777" w:rsidR="00573529" w:rsidRPr="00951AB1" w:rsidRDefault="00573529" w:rsidP="000A5389">
            <w:pPr>
              <w:spacing w:line="240" w:lineRule="auto"/>
              <w:jc w:val="right"/>
              <w:rPr>
                <w:rFonts w:eastAsia="Times New Roman" w:cs="Times New Roman"/>
                <w:sz w:val="20"/>
                <w:szCs w:val="20"/>
                <w:lang w:val="es-419" w:eastAsia="es-419"/>
              </w:rPr>
            </w:pPr>
            <w:r w:rsidRPr="00951AB1">
              <w:rPr>
                <w:rFonts w:eastAsia="Times New Roman" w:cs="Times New Roman"/>
                <w:sz w:val="20"/>
                <w:szCs w:val="20"/>
                <w:lang w:val="es-419" w:eastAsia="es-419"/>
              </w:rPr>
              <w:t>181.750.168.405</w:t>
            </w:r>
          </w:p>
        </w:tc>
        <w:tc>
          <w:tcPr>
            <w:tcW w:w="1418" w:type="dxa"/>
            <w:noWrap/>
            <w:vAlign w:val="center"/>
            <w:hideMark/>
          </w:tcPr>
          <w:p w14:paraId="6748A9CB" w14:textId="77777777" w:rsidR="00573529" w:rsidRPr="00951AB1" w:rsidRDefault="00573529" w:rsidP="000A5389">
            <w:pPr>
              <w:spacing w:line="240" w:lineRule="auto"/>
              <w:jc w:val="right"/>
              <w:rPr>
                <w:rFonts w:eastAsia="Times New Roman" w:cs="Times New Roman"/>
                <w:sz w:val="20"/>
                <w:szCs w:val="20"/>
                <w:lang w:val="es-419" w:eastAsia="es-419"/>
              </w:rPr>
            </w:pPr>
            <w:r w:rsidRPr="00951AB1">
              <w:rPr>
                <w:rFonts w:eastAsia="Times New Roman" w:cs="Times New Roman"/>
                <w:sz w:val="20"/>
                <w:szCs w:val="20"/>
                <w:lang w:val="es-419" w:eastAsia="es-419"/>
              </w:rPr>
              <w:t>-8.404.059.817</w:t>
            </w:r>
          </w:p>
        </w:tc>
      </w:tr>
      <w:tr w:rsidR="00573529" w:rsidRPr="00951AB1" w14:paraId="34413FA5" w14:textId="77777777" w:rsidTr="5B48B9A4">
        <w:trPr>
          <w:trHeight w:val="280"/>
        </w:trPr>
        <w:tc>
          <w:tcPr>
            <w:tcW w:w="765" w:type="dxa"/>
            <w:noWrap/>
            <w:vAlign w:val="center"/>
            <w:hideMark/>
          </w:tcPr>
          <w:p w14:paraId="3E51DB78" w14:textId="77777777" w:rsidR="00573529" w:rsidRPr="00951AB1" w:rsidRDefault="00573529" w:rsidP="000A5389">
            <w:pPr>
              <w:spacing w:line="240" w:lineRule="auto"/>
              <w:rPr>
                <w:rFonts w:eastAsia="Times New Roman" w:cs="Times New Roman"/>
                <w:sz w:val="20"/>
                <w:szCs w:val="20"/>
                <w:lang w:val="es-419" w:eastAsia="es-419"/>
              </w:rPr>
            </w:pPr>
            <w:r w:rsidRPr="00951AB1">
              <w:rPr>
                <w:rFonts w:eastAsia="Times New Roman" w:cs="Times New Roman"/>
                <w:sz w:val="20"/>
                <w:szCs w:val="20"/>
                <w:lang w:val="es-419" w:eastAsia="es-419"/>
              </w:rPr>
              <w:t>1.9.75</w:t>
            </w:r>
          </w:p>
        </w:tc>
        <w:tc>
          <w:tcPr>
            <w:tcW w:w="510" w:type="dxa"/>
            <w:noWrap/>
            <w:vAlign w:val="center"/>
            <w:hideMark/>
          </w:tcPr>
          <w:p w14:paraId="655D5FC9" w14:textId="77777777" w:rsidR="00573529" w:rsidRPr="00951AB1" w:rsidRDefault="00573529" w:rsidP="000A5389">
            <w:pPr>
              <w:spacing w:line="240" w:lineRule="auto"/>
              <w:jc w:val="center"/>
              <w:rPr>
                <w:rFonts w:eastAsia="Times New Roman" w:cs="Times New Roman"/>
                <w:sz w:val="20"/>
                <w:szCs w:val="20"/>
                <w:lang w:val="es-419" w:eastAsia="es-419"/>
              </w:rPr>
            </w:pPr>
            <w:r w:rsidRPr="00951AB1">
              <w:rPr>
                <w:rFonts w:eastAsia="Times New Roman" w:cs="Times New Roman"/>
                <w:sz w:val="20"/>
                <w:szCs w:val="20"/>
                <w:lang w:val="es-419" w:eastAsia="es-419"/>
              </w:rPr>
              <w:t>Cr</w:t>
            </w:r>
          </w:p>
        </w:tc>
        <w:tc>
          <w:tcPr>
            <w:tcW w:w="3528" w:type="dxa"/>
            <w:vAlign w:val="center"/>
            <w:hideMark/>
          </w:tcPr>
          <w:p w14:paraId="4A309004" w14:textId="77777777" w:rsidR="00573529" w:rsidRPr="00951AB1" w:rsidRDefault="00573529" w:rsidP="000A5389">
            <w:pPr>
              <w:spacing w:line="240" w:lineRule="auto"/>
              <w:rPr>
                <w:rFonts w:eastAsia="Times New Roman" w:cs="Times New Roman"/>
                <w:sz w:val="20"/>
                <w:szCs w:val="20"/>
                <w:lang w:val="es-419" w:eastAsia="es-419"/>
              </w:rPr>
            </w:pPr>
            <w:r w:rsidRPr="00951AB1">
              <w:rPr>
                <w:rFonts w:eastAsia="Times New Roman" w:cs="Times New Roman"/>
                <w:sz w:val="20"/>
                <w:szCs w:val="20"/>
                <w:lang w:val="es-419" w:eastAsia="es-419"/>
              </w:rPr>
              <w:t>Amortización acumulada de activos intangibles (cr)</w:t>
            </w:r>
          </w:p>
        </w:tc>
        <w:tc>
          <w:tcPr>
            <w:tcW w:w="1490" w:type="dxa"/>
            <w:noWrap/>
            <w:vAlign w:val="center"/>
            <w:hideMark/>
          </w:tcPr>
          <w:p w14:paraId="4411B5CE" w14:textId="77777777" w:rsidR="00573529" w:rsidRPr="00951AB1" w:rsidRDefault="00573529" w:rsidP="000A5389">
            <w:pPr>
              <w:spacing w:line="240" w:lineRule="auto"/>
              <w:jc w:val="right"/>
              <w:rPr>
                <w:rFonts w:eastAsia="Times New Roman" w:cs="Times New Roman"/>
                <w:sz w:val="20"/>
                <w:szCs w:val="20"/>
                <w:lang w:val="es-419" w:eastAsia="es-419"/>
              </w:rPr>
            </w:pPr>
            <w:r w:rsidRPr="00951AB1">
              <w:rPr>
                <w:rFonts w:eastAsia="Times New Roman" w:cs="Times New Roman"/>
                <w:sz w:val="20"/>
                <w:szCs w:val="20"/>
                <w:lang w:val="es-419" w:eastAsia="es-419"/>
              </w:rPr>
              <w:t>-80.184.170.382</w:t>
            </w:r>
          </w:p>
        </w:tc>
        <w:tc>
          <w:tcPr>
            <w:tcW w:w="1490" w:type="dxa"/>
            <w:noWrap/>
            <w:vAlign w:val="center"/>
            <w:hideMark/>
          </w:tcPr>
          <w:p w14:paraId="76787D32" w14:textId="77777777" w:rsidR="00573529" w:rsidRPr="00951AB1" w:rsidRDefault="00573529" w:rsidP="000A5389">
            <w:pPr>
              <w:spacing w:line="240" w:lineRule="auto"/>
              <w:jc w:val="right"/>
              <w:rPr>
                <w:rFonts w:eastAsia="Times New Roman" w:cs="Times New Roman"/>
                <w:sz w:val="20"/>
                <w:szCs w:val="20"/>
                <w:lang w:val="es-419" w:eastAsia="es-419"/>
              </w:rPr>
            </w:pPr>
            <w:r w:rsidRPr="00951AB1">
              <w:rPr>
                <w:rFonts w:eastAsia="Times New Roman" w:cs="Times New Roman"/>
                <w:sz w:val="20"/>
                <w:szCs w:val="20"/>
                <w:lang w:val="es-419" w:eastAsia="es-419"/>
              </w:rPr>
              <w:t>-77.848.339.263</w:t>
            </w:r>
          </w:p>
        </w:tc>
        <w:tc>
          <w:tcPr>
            <w:tcW w:w="1418" w:type="dxa"/>
            <w:noWrap/>
            <w:vAlign w:val="center"/>
            <w:hideMark/>
          </w:tcPr>
          <w:p w14:paraId="0767CD72" w14:textId="77777777" w:rsidR="00573529" w:rsidRPr="00951AB1" w:rsidRDefault="00573529" w:rsidP="000A5389">
            <w:pPr>
              <w:spacing w:line="240" w:lineRule="auto"/>
              <w:jc w:val="right"/>
              <w:rPr>
                <w:rFonts w:eastAsia="Times New Roman" w:cs="Times New Roman"/>
                <w:sz w:val="20"/>
                <w:szCs w:val="20"/>
                <w:lang w:val="es-419" w:eastAsia="es-419"/>
              </w:rPr>
            </w:pPr>
            <w:r w:rsidRPr="00951AB1">
              <w:rPr>
                <w:rFonts w:eastAsia="Times New Roman" w:cs="Times New Roman"/>
                <w:sz w:val="20"/>
                <w:szCs w:val="20"/>
                <w:lang w:val="es-419" w:eastAsia="es-419"/>
              </w:rPr>
              <w:t>-2.335.831.120</w:t>
            </w:r>
          </w:p>
        </w:tc>
      </w:tr>
    </w:tbl>
    <w:p w14:paraId="46335D61" w14:textId="77777777" w:rsidR="00573529" w:rsidRPr="00951AB1" w:rsidRDefault="00573529" w:rsidP="000A5389">
      <w:pPr>
        <w:spacing w:line="240" w:lineRule="auto"/>
        <w:rPr>
          <w:rFonts w:cs="Times New Roman"/>
          <w:color w:val="000000"/>
          <w:sz w:val="14"/>
          <w:szCs w:val="14"/>
        </w:rPr>
      </w:pPr>
      <w:r w:rsidRPr="00951AB1">
        <w:rPr>
          <w:rFonts w:cs="Times New Roman"/>
          <w:color w:val="000000"/>
          <w:szCs w:val="24"/>
        </w:rPr>
        <w:fldChar w:fldCharType="end"/>
      </w:r>
      <w:r w:rsidRPr="00951AB1">
        <w:rPr>
          <w:rFonts w:cs="Times New Roman"/>
          <w:color w:val="000000"/>
          <w:sz w:val="14"/>
          <w:szCs w:val="14"/>
        </w:rPr>
        <w:t>Cifras expresadas en pesos</w:t>
      </w:r>
    </w:p>
    <w:p w14:paraId="3B92342C" w14:textId="77777777" w:rsidR="00573529" w:rsidRPr="00951AB1" w:rsidRDefault="00573529" w:rsidP="000A5389">
      <w:pPr>
        <w:spacing w:line="240" w:lineRule="auto"/>
        <w:rPr>
          <w:rFonts w:cs="Times New Roman"/>
          <w:szCs w:val="24"/>
        </w:rPr>
      </w:pPr>
    </w:p>
    <w:p w14:paraId="72E83EF8" w14:textId="7C593853" w:rsidR="00244EA8" w:rsidRPr="00951AB1" w:rsidRDefault="00573529" w:rsidP="000A5389">
      <w:pPr>
        <w:pStyle w:val="Ttulo2"/>
        <w:numPr>
          <w:ilvl w:val="1"/>
          <w:numId w:val="14"/>
        </w:numPr>
        <w:spacing w:line="240" w:lineRule="auto"/>
        <w:ind w:left="567" w:hanging="567"/>
        <w:rPr>
          <w:rFonts w:cs="Times New Roman"/>
          <w:szCs w:val="22"/>
        </w:rPr>
      </w:pPr>
      <w:bookmarkStart w:id="413" w:name="_Toc191562528"/>
      <w:r w:rsidRPr="00951AB1">
        <w:rPr>
          <w:rFonts w:cs="Times New Roman"/>
          <w:szCs w:val="22"/>
        </w:rPr>
        <w:t xml:space="preserve"> </w:t>
      </w:r>
      <w:r w:rsidRPr="00951AB1">
        <w:rPr>
          <w:rFonts w:cs="Times New Roman"/>
          <w:szCs w:val="22"/>
        </w:rPr>
        <w:tab/>
      </w:r>
      <w:bookmarkStart w:id="414" w:name="_Toc191369521"/>
      <w:bookmarkStart w:id="415" w:name="_Toc191456851"/>
      <w:bookmarkStart w:id="416" w:name="_Toc191456961"/>
      <w:bookmarkStart w:id="417" w:name="_Toc191457071"/>
      <w:bookmarkStart w:id="418" w:name="_Toc191475698"/>
      <w:bookmarkStart w:id="419" w:name="_Toc191475807"/>
      <w:bookmarkStart w:id="420" w:name="_Toc191475916"/>
      <w:bookmarkStart w:id="421" w:name="_Toc191475439"/>
      <w:bookmarkStart w:id="422" w:name="_Toc222955494"/>
      <w:r w:rsidR="00244EA8" w:rsidRPr="00951AB1">
        <w:rPr>
          <w:rFonts w:cs="Times New Roman"/>
          <w:szCs w:val="22"/>
        </w:rPr>
        <w:t>Detalle saldos y movimientos</w:t>
      </w:r>
      <w:bookmarkEnd w:id="413"/>
      <w:bookmarkEnd w:id="414"/>
      <w:bookmarkEnd w:id="415"/>
      <w:bookmarkEnd w:id="416"/>
      <w:bookmarkEnd w:id="417"/>
      <w:bookmarkEnd w:id="418"/>
      <w:bookmarkEnd w:id="419"/>
      <w:bookmarkEnd w:id="420"/>
      <w:bookmarkEnd w:id="421"/>
      <w:bookmarkEnd w:id="422"/>
    </w:p>
    <w:p w14:paraId="52C498C5" w14:textId="77777777" w:rsidR="00244EA8" w:rsidRPr="00951AB1" w:rsidRDefault="00244EA8" w:rsidP="000A5389">
      <w:pPr>
        <w:spacing w:line="240" w:lineRule="auto"/>
        <w:rPr>
          <w:rFonts w:cs="Times New Roman"/>
          <w:szCs w:val="24"/>
        </w:rPr>
      </w:pPr>
    </w:p>
    <w:p w14:paraId="5B258DF7" w14:textId="77777777" w:rsidR="00244EA8" w:rsidRPr="00951AB1" w:rsidRDefault="00244EA8" w:rsidP="000A5389">
      <w:pPr>
        <w:spacing w:line="240" w:lineRule="auto"/>
        <w:rPr>
          <w:rFonts w:cs="Times New Roman"/>
          <w:szCs w:val="24"/>
        </w:rPr>
      </w:pPr>
      <w:r w:rsidRPr="00951AB1">
        <w:rPr>
          <w:rFonts w:cs="Times New Roman"/>
          <w:szCs w:val="24"/>
        </w:rPr>
        <w:t>A continuación, se muestra la conciliación del valor en libros al principio y al final de la vigencia 2025, revelando adquisiciones, inversiones realizadas por los concesionarios, reclasificaciones realizadas entre las cuentas del activo de conformidad con las técnicas de medición establecidas y demás partidas relacionadas con la medición posterior.</w:t>
      </w:r>
    </w:p>
    <w:p w14:paraId="4AC412BF" w14:textId="77777777" w:rsidR="00573529" w:rsidRPr="00951AB1" w:rsidRDefault="00573529" w:rsidP="000A5389">
      <w:pPr>
        <w:spacing w:line="240" w:lineRule="auto"/>
        <w:rPr>
          <w:rFonts w:cs="Times New Roman"/>
          <w:sz w:val="20"/>
          <w:szCs w:val="20"/>
          <w:lang w:eastAsia="es-CO"/>
        </w:rPr>
      </w:pPr>
      <w:r w:rsidRPr="00951AB1">
        <w:rPr>
          <w:rFonts w:cs="Times New Roman"/>
          <w:sz w:val="22"/>
        </w:rPr>
        <w:fldChar w:fldCharType="begin"/>
      </w:r>
      <w:r w:rsidRPr="00951AB1">
        <w:rPr>
          <w:rFonts w:cs="Times New Roman"/>
        </w:rPr>
        <w:instrText xml:space="preserve"> LINK Excel.Sheet.12 "C:\\Users\\wolarte\\Documents\\0-Ani2025\\0_Cierre2025\\Nota_14\\Anexo N_14 - Activos intangibles.XLSX" "14.1!F4C2:F45C14" \a \f 4 \h  \* MERGEFORMAT </w:instrText>
      </w:r>
      <w:r w:rsidRPr="00951AB1">
        <w:rPr>
          <w:rFonts w:cs="Times New Roman"/>
          <w:sz w:val="22"/>
        </w:rPr>
        <w:fldChar w:fldCharType="separate"/>
      </w:r>
    </w:p>
    <w:p w14:paraId="5F10174E" w14:textId="77777777" w:rsidR="00573529" w:rsidRPr="00951AB1" w:rsidRDefault="00573529" w:rsidP="000A5389">
      <w:pPr>
        <w:spacing w:line="240" w:lineRule="auto"/>
        <w:rPr>
          <w:rFonts w:cs="Times New Roman"/>
          <w:sz w:val="16"/>
          <w:szCs w:val="16"/>
          <w:lang w:eastAsia="es-CO"/>
        </w:rPr>
      </w:pPr>
      <w:r w:rsidRPr="00951AB1">
        <w:rPr>
          <w:rFonts w:cs="Times New Roman"/>
          <w:sz w:val="16"/>
          <w:szCs w:val="16"/>
        </w:rPr>
        <w:fldChar w:fldCharType="begin"/>
      </w:r>
      <w:r w:rsidRPr="00951AB1">
        <w:rPr>
          <w:rFonts w:cs="Times New Roman"/>
          <w:sz w:val="16"/>
          <w:szCs w:val="16"/>
        </w:rPr>
        <w:instrText xml:space="preserve"> LINK Excel.Sheet.12 "C:\\Users\\wolarte\\Documents\\0-Ani2025\\0_Cierre2025\\Nota_14\\Anexo N_14 - Activos intangibles.XLSX" "14.1!F4C2:F45C12" \a \f 4 \h  \* MERGEFORMAT </w:instrText>
      </w:r>
      <w:r w:rsidRPr="00951AB1">
        <w:rPr>
          <w:rFonts w:cs="Times New Roman"/>
          <w:sz w:val="16"/>
          <w:szCs w:val="16"/>
        </w:rPr>
        <w:fldChar w:fldCharType="separate"/>
      </w:r>
    </w:p>
    <w:tbl>
      <w:tblPr>
        <w:tblW w:w="9067" w:type="dxa"/>
        <w:tblCellMar>
          <w:left w:w="70" w:type="dxa"/>
          <w:right w:w="70" w:type="dxa"/>
        </w:tblCellMar>
        <w:tblLook w:val="04A0" w:firstRow="1" w:lastRow="0" w:firstColumn="1" w:lastColumn="0" w:noHBand="0" w:noVBand="1"/>
      </w:tblPr>
      <w:tblGrid>
        <w:gridCol w:w="232"/>
        <w:gridCol w:w="189"/>
        <w:gridCol w:w="231"/>
        <w:gridCol w:w="3183"/>
        <w:gridCol w:w="1559"/>
        <w:gridCol w:w="1096"/>
        <w:gridCol w:w="1172"/>
        <w:gridCol w:w="1417"/>
      </w:tblGrid>
      <w:tr w:rsidR="00573529" w:rsidRPr="00951AB1" w14:paraId="35DDA24E" w14:textId="77777777" w:rsidTr="00573529">
        <w:trPr>
          <w:trHeight w:val="662"/>
          <w:tblHeader/>
        </w:trPr>
        <w:tc>
          <w:tcPr>
            <w:tcW w:w="3823" w:type="dxa"/>
            <w:gridSpan w:val="4"/>
            <w:tcBorders>
              <w:top w:val="single" w:sz="4" w:space="0" w:color="A6A6A6"/>
              <w:left w:val="single" w:sz="4" w:space="0" w:color="A6A6A6"/>
              <w:bottom w:val="single" w:sz="4" w:space="0" w:color="A6A6A6"/>
              <w:right w:val="single" w:sz="4" w:space="0" w:color="A6A6A6"/>
            </w:tcBorders>
            <w:vAlign w:val="center"/>
            <w:hideMark/>
          </w:tcPr>
          <w:p w14:paraId="075AF716" w14:textId="77777777" w:rsidR="00573529" w:rsidRPr="00951AB1" w:rsidRDefault="00573529" w:rsidP="000A5389">
            <w:pPr>
              <w:spacing w:line="240" w:lineRule="auto"/>
              <w:jc w:val="center"/>
              <w:rPr>
                <w:rFonts w:eastAsia="Times New Roman" w:cs="Times New Roman"/>
                <w:b/>
                <w:bCs/>
                <w:sz w:val="16"/>
                <w:szCs w:val="16"/>
                <w:lang w:val="es-419" w:eastAsia="es-419"/>
              </w:rPr>
            </w:pPr>
            <w:r w:rsidRPr="00951AB1">
              <w:rPr>
                <w:rFonts w:eastAsia="Times New Roman" w:cs="Times New Roman"/>
                <w:b/>
                <w:bCs/>
                <w:sz w:val="16"/>
                <w:szCs w:val="16"/>
                <w:lang w:val="es-419" w:eastAsia="es-419"/>
              </w:rPr>
              <w:lastRenderedPageBreak/>
              <w:t>CONCEPTOS Y TRANSACCIONES</w:t>
            </w:r>
          </w:p>
        </w:tc>
        <w:tc>
          <w:tcPr>
            <w:tcW w:w="1559" w:type="dxa"/>
            <w:tcBorders>
              <w:top w:val="single" w:sz="4" w:space="0" w:color="A6A6A6"/>
              <w:left w:val="nil"/>
              <w:bottom w:val="single" w:sz="4" w:space="0" w:color="A6A6A6"/>
              <w:right w:val="single" w:sz="4" w:space="0" w:color="A6A6A6"/>
            </w:tcBorders>
            <w:vAlign w:val="center"/>
            <w:hideMark/>
          </w:tcPr>
          <w:p w14:paraId="47C5C21C" w14:textId="77777777" w:rsidR="00573529" w:rsidRPr="00951AB1" w:rsidRDefault="00573529" w:rsidP="000A5389">
            <w:pPr>
              <w:spacing w:line="240" w:lineRule="auto"/>
              <w:jc w:val="center"/>
              <w:rPr>
                <w:rFonts w:eastAsia="Times New Roman" w:cs="Times New Roman"/>
                <w:b/>
                <w:bCs/>
                <w:sz w:val="16"/>
                <w:szCs w:val="16"/>
                <w:lang w:val="es-419" w:eastAsia="es-419"/>
              </w:rPr>
            </w:pPr>
            <w:r w:rsidRPr="00951AB1">
              <w:rPr>
                <w:rFonts w:eastAsia="Times New Roman" w:cs="Times New Roman"/>
                <w:b/>
                <w:bCs/>
                <w:sz w:val="16"/>
                <w:szCs w:val="16"/>
                <w:lang w:val="es-419" w:eastAsia="es-419"/>
              </w:rPr>
              <w:t>ACTIVOS INTANGIBLES EN CONCESIÓN</w:t>
            </w:r>
          </w:p>
        </w:tc>
        <w:tc>
          <w:tcPr>
            <w:tcW w:w="1096" w:type="dxa"/>
            <w:tcBorders>
              <w:top w:val="single" w:sz="4" w:space="0" w:color="A6A6A6"/>
              <w:left w:val="nil"/>
              <w:bottom w:val="single" w:sz="4" w:space="0" w:color="A6A6A6"/>
              <w:right w:val="single" w:sz="4" w:space="0" w:color="A6A6A6"/>
            </w:tcBorders>
            <w:vAlign w:val="center"/>
            <w:hideMark/>
          </w:tcPr>
          <w:p w14:paraId="08B49214" w14:textId="77777777" w:rsidR="00573529" w:rsidRPr="00951AB1" w:rsidRDefault="00573529" w:rsidP="000A5389">
            <w:pPr>
              <w:spacing w:line="240" w:lineRule="auto"/>
              <w:jc w:val="center"/>
              <w:rPr>
                <w:rFonts w:eastAsia="Times New Roman" w:cs="Times New Roman"/>
                <w:b/>
                <w:bCs/>
                <w:sz w:val="16"/>
                <w:szCs w:val="16"/>
                <w:lang w:val="es-419" w:eastAsia="es-419"/>
              </w:rPr>
            </w:pPr>
            <w:r w:rsidRPr="00951AB1">
              <w:rPr>
                <w:rFonts w:eastAsia="Times New Roman" w:cs="Times New Roman"/>
                <w:b/>
                <w:bCs/>
                <w:sz w:val="16"/>
                <w:szCs w:val="16"/>
                <w:lang w:val="es-419" w:eastAsia="es-419"/>
              </w:rPr>
              <w:t>SOTWARES</w:t>
            </w:r>
          </w:p>
        </w:tc>
        <w:tc>
          <w:tcPr>
            <w:tcW w:w="1172" w:type="dxa"/>
            <w:tcBorders>
              <w:top w:val="single" w:sz="4" w:space="0" w:color="A6A6A6"/>
              <w:left w:val="nil"/>
              <w:bottom w:val="single" w:sz="4" w:space="0" w:color="A6A6A6"/>
              <w:right w:val="single" w:sz="4" w:space="0" w:color="A6A6A6"/>
            </w:tcBorders>
            <w:vAlign w:val="center"/>
            <w:hideMark/>
          </w:tcPr>
          <w:p w14:paraId="1254BDF1" w14:textId="77777777" w:rsidR="00573529" w:rsidRPr="00951AB1" w:rsidRDefault="00573529" w:rsidP="000A5389">
            <w:pPr>
              <w:spacing w:line="240" w:lineRule="auto"/>
              <w:jc w:val="center"/>
              <w:rPr>
                <w:rFonts w:eastAsia="Times New Roman" w:cs="Times New Roman"/>
                <w:b/>
                <w:bCs/>
                <w:sz w:val="16"/>
                <w:szCs w:val="16"/>
                <w:lang w:val="es-419" w:eastAsia="es-419"/>
              </w:rPr>
            </w:pPr>
            <w:r w:rsidRPr="00951AB1">
              <w:rPr>
                <w:rFonts w:eastAsia="Times New Roman" w:cs="Times New Roman"/>
                <w:b/>
                <w:bCs/>
                <w:sz w:val="16"/>
                <w:szCs w:val="16"/>
                <w:lang w:val="es-419" w:eastAsia="es-419"/>
              </w:rPr>
              <w:t>LICENCIAS</w:t>
            </w:r>
          </w:p>
        </w:tc>
        <w:tc>
          <w:tcPr>
            <w:tcW w:w="1417" w:type="dxa"/>
            <w:tcBorders>
              <w:top w:val="single" w:sz="4" w:space="0" w:color="A6A6A6"/>
              <w:left w:val="nil"/>
              <w:bottom w:val="single" w:sz="4" w:space="0" w:color="A6A6A6"/>
              <w:right w:val="single" w:sz="4" w:space="0" w:color="A6A6A6"/>
            </w:tcBorders>
            <w:vAlign w:val="center"/>
            <w:hideMark/>
          </w:tcPr>
          <w:p w14:paraId="580794A0" w14:textId="77777777" w:rsidR="00573529" w:rsidRPr="00951AB1" w:rsidRDefault="00573529" w:rsidP="000A5389">
            <w:pPr>
              <w:spacing w:line="240" w:lineRule="auto"/>
              <w:jc w:val="center"/>
              <w:rPr>
                <w:rFonts w:eastAsia="Times New Roman" w:cs="Times New Roman"/>
                <w:b/>
                <w:bCs/>
                <w:sz w:val="16"/>
                <w:szCs w:val="16"/>
                <w:lang w:val="es-419" w:eastAsia="es-419"/>
              </w:rPr>
            </w:pPr>
            <w:r w:rsidRPr="00951AB1">
              <w:rPr>
                <w:rFonts w:eastAsia="Times New Roman" w:cs="Times New Roman"/>
                <w:b/>
                <w:bCs/>
                <w:sz w:val="16"/>
                <w:szCs w:val="16"/>
                <w:lang w:val="es-419" w:eastAsia="es-419"/>
              </w:rPr>
              <w:t>TOTAL</w:t>
            </w:r>
          </w:p>
        </w:tc>
      </w:tr>
      <w:tr w:rsidR="00573529" w:rsidRPr="00951AB1" w14:paraId="1A7224AF" w14:textId="77777777">
        <w:trPr>
          <w:trHeight w:val="290"/>
        </w:trPr>
        <w:tc>
          <w:tcPr>
            <w:tcW w:w="3823" w:type="dxa"/>
            <w:gridSpan w:val="4"/>
            <w:tcBorders>
              <w:top w:val="single" w:sz="4" w:space="0" w:color="A6A6A6"/>
              <w:left w:val="single" w:sz="4" w:space="0" w:color="A6A6A6"/>
              <w:bottom w:val="single" w:sz="4" w:space="0" w:color="A6A6A6"/>
              <w:right w:val="single" w:sz="4" w:space="0" w:color="A6A6A6"/>
            </w:tcBorders>
            <w:vAlign w:val="center"/>
            <w:hideMark/>
          </w:tcPr>
          <w:p w14:paraId="12A85E8F" w14:textId="77777777" w:rsidR="00573529" w:rsidRPr="00951AB1" w:rsidRDefault="00573529" w:rsidP="000A5389">
            <w:pPr>
              <w:spacing w:line="240" w:lineRule="auto"/>
              <w:rPr>
                <w:rFonts w:eastAsia="Times New Roman" w:cs="Times New Roman"/>
                <w:b/>
                <w:bCs/>
                <w:sz w:val="16"/>
                <w:szCs w:val="16"/>
                <w:lang w:val="es-419" w:eastAsia="es-419"/>
              </w:rPr>
            </w:pPr>
            <w:r w:rsidRPr="00951AB1">
              <w:rPr>
                <w:rFonts w:eastAsia="Times New Roman" w:cs="Times New Roman"/>
                <w:b/>
                <w:bCs/>
                <w:sz w:val="16"/>
                <w:szCs w:val="16"/>
                <w:lang w:val="es-419" w:eastAsia="es-419"/>
              </w:rPr>
              <w:t>SALDO INICIAL</w:t>
            </w:r>
          </w:p>
        </w:tc>
        <w:tc>
          <w:tcPr>
            <w:tcW w:w="1559" w:type="dxa"/>
            <w:tcBorders>
              <w:top w:val="nil"/>
              <w:left w:val="nil"/>
              <w:bottom w:val="single" w:sz="4" w:space="0" w:color="A6A6A6"/>
              <w:right w:val="single" w:sz="4" w:space="0" w:color="A6A6A6"/>
            </w:tcBorders>
            <w:noWrap/>
            <w:vAlign w:val="center"/>
            <w:hideMark/>
          </w:tcPr>
          <w:p w14:paraId="60404DB8" w14:textId="77777777" w:rsidR="00573529" w:rsidRPr="00951AB1" w:rsidRDefault="00573529" w:rsidP="000A5389">
            <w:pPr>
              <w:spacing w:line="240" w:lineRule="auto"/>
              <w:jc w:val="right"/>
              <w:rPr>
                <w:rFonts w:eastAsia="Times New Roman" w:cs="Times New Roman"/>
                <w:b/>
                <w:bCs/>
                <w:sz w:val="16"/>
                <w:szCs w:val="16"/>
                <w:lang w:val="es-419" w:eastAsia="es-419"/>
              </w:rPr>
            </w:pPr>
            <w:r w:rsidRPr="00951AB1">
              <w:rPr>
                <w:rFonts w:eastAsia="Times New Roman" w:cs="Times New Roman"/>
                <w:b/>
                <w:bCs/>
                <w:sz w:val="16"/>
                <w:szCs w:val="16"/>
                <w:lang w:val="es-419" w:eastAsia="es-419"/>
              </w:rPr>
              <w:t xml:space="preserve">178.539.931.142 </w:t>
            </w:r>
          </w:p>
        </w:tc>
        <w:tc>
          <w:tcPr>
            <w:tcW w:w="1096" w:type="dxa"/>
            <w:tcBorders>
              <w:top w:val="nil"/>
              <w:left w:val="nil"/>
              <w:bottom w:val="single" w:sz="4" w:space="0" w:color="A6A6A6"/>
              <w:right w:val="single" w:sz="4" w:space="0" w:color="A6A6A6"/>
            </w:tcBorders>
            <w:noWrap/>
            <w:vAlign w:val="center"/>
            <w:hideMark/>
          </w:tcPr>
          <w:p w14:paraId="1DF26769" w14:textId="77777777" w:rsidR="00573529" w:rsidRPr="00951AB1" w:rsidRDefault="00573529" w:rsidP="000A5389">
            <w:pPr>
              <w:spacing w:line="240" w:lineRule="auto"/>
              <w:jc w:val="right"/>
              <w:rPr>
                <w:rFonts w:eastAsia="Times New Roman" w:cs="Times New Roman"/>
                <w:b/>
                <w:bCs/>
                <w:sz w:val="16"/>
                <w:szCs w:val="16"/>
                <w:lang w:val="es-419" w:eastAsia="es-419"/>
              </w:rPr>
            </w:pPr>
            <w:r w:rsidRPr="00951AB1">
              <w:rPr>
                <w:rFonts w:eastAsia="Times New Roman" w:cs="Times New Roman"/>
                <w:b/>
                <w:bCs/>
                <w:sz w:val="16"/>
                <w:szCs w:val="16"/>
                <w:lang w:val="es-419" w:eastAsia="es-419"/>
              </w:rPr>
              <w:t xml:space="preserve">473.550.630 </w:t>
            </w:r>
          </w:p>
        </w:tc>
        <w:tc>
          <w:tcPr>
            <w:tcW w:w="1172" w:type="dxa"/>
            <w:tcBorders>
              <w:top w:val="nil"/>
              <w:left w:val="nil"/>
              <w:bottom w:val="single" w:sz="4" w:space="0" w:color="A6A6A6"/>
              <w:right w:val="single" w:sz="4" w:space="0" w:color="A6A6A6"/>
            </w:tcBorders>
            <w:noWrap/>
            <w:vAlign w:val="center"/>
            <w:hideMark/>
          </w:tcPr>
          <w:p w14:paraId="7775D945" w14:textId="77777777" w:rsidR="00573529" w:rsidRPr="00951AB1" w:rsidRDefault="00573529" w:rsidP="000A5389">
            <w:pPr>
              <w:spacing w:line="240" w:lineRule="auto"/>
              <w:jc w:val="right"/>
              <w:rPr>
                <w:rFonts w:eastAsia="Times New Roman" w:cs="Times New Roman"/>
                <w:b/>
                <w:bCs/>
                <w:sz w:val="16"/>
                <w:szCs w:val="16"/>
                <w:lang w:val="es-419" w:eastAsia="es-419"/>
              </w:rPr>
            </w:pPr>
            <w:r w:rsidRPr="00951AB1">
              <w:rPr>
                <w:rFonts w:eastAsia="Times New Roman" w:cs="Times New Roman"/>
                <w:b/>
                <w:bCs/>
                <w:sz w:val="16"/>
                <w:szCs w:val="16"/>
                <w:lang w:val="es-419" w:eastAsia="es-419"/>
              </w:rPr>
              <w:t xml:space="preserve">2.736.686.633 </w:t>
            </w:r>
          </w:p>
        </w:tc>
        <w:tc>
          <w:tcPr>
            <w:tcW w:w="1417" w:type="dxa"/>
            <w:tcBorders>
              <w:top w:val="nil"/>
              <w:left w:val="nil"/>
              <w:bottom w:val="single" w:sz="4" w:space="0" w:color="A6A6A6"/>
              <w:right w:val="single" w:sz="4" w:space="0" w:color="A6A6A6"/>
            </w:tcBorders>
            <w:noWrap/>
            <w:vAlign w:val="center"/>
            <w:hideMark/>
          </w:tcPr>
          <w:p w14:paraId="7F1D19C2" w14:textId="77777777" w:rsidR="00573529" w:rsidRPr="00951AB1" w:rsidRDefault="00573529" w:rsidP="000A5389">
            <w:pPr>
              <w:spacing w:line="240" w:lineRule="auto"/>
              <w:jc w:val="right"/>
              <w:rPr>
                <w:rFonts w:eastAsia="Times New Roman" w:cs="Times New Roman"/>
                <w:b/>
                <w:bCs/>
                <w:sz w:val="16"/>
                <w:szCs w:val="16"/>
                <w:lang w:val="es-419" w:eastAsia="es-419"/>
              </w:rPr>
            </w:pPr>
            <w:r w:rsidRPr="00951AB1">
              <w:rPr>
                <w:rFonts w:eastAsia="Times New Roman" w:cs="Times New Roman"/>
                <w:b/>
                <w:bCs/>
                <w:sz w:val="16"/>
                <w:szCs w:val="16"/>
                <w:lang w:val="es-419" w:eastAsia="es-419"/>
              </w:rPr>
              <w:t xml:space="preserve">181.750.168.405 </w:t>
            </w:r>
          </w:p>
        </w:tc>
      </w:tr>
      <w:tr w:rsidR="00573529" w:rsidRPr="00951AB1" w14:paraId="352DDBE9" w14:textId="77777777">
        <w:trPr>
          <w:trHeight w:val="290"/>
        </w:trPr>
        <w:tc>
          <w:tcPr>
            <w:tcW w:w="220" w:type="dxa"/>
            <w:tcBorders>
              <w:top w:val="nil"/>
              <w:left w:val="single" w:sz="4" w:space="0" w:color="A6A6A6"/>
              <w:bottom w:val="single" w:sz="4" w:space="0" w:color="A6A6A6"/>
              <w:right w:val="nil"/>
            </w:tcBorders>
            <w:noWrap/>
            <w:vAlign w:val="center"/>
            <w:hideMark/>
          </w:tcPr>
          <w:p w14:paraId="27F61522" w14:textId="77777777" w:rsidR="00573529" w:rsidRPr="00951AB1" w:rsidRDefault="00573529" w:rsidP="000A5389">
            <w:pPr>
              <w:spacing w:line="240" w:lineRule="auto"/>
              <w:jc w:val="center"/>
              <w:rPr>
                <w:rFonts w:eastAsia="Times New Roman" w:cs="Times New Roman"/>
                <w:b/>
                <w:bCs/>
                <w:sz w:val="16"/>
                <w:szCs w:val="16"/>
                <w:lang w:val="es-419" w:eastAsia="es-419"/>
              </w:rPr>
            </w:pPr>
            <w:r w:rsidRPr="00951AB1">
              <w:rPr>
                <w:rFonts w:eastAsia="Times New Roman" w:cs="Times New Roman"/>
                <w:b/>
                <w:bCs/>
                <w:sz w:val="16"/>
                <w:szCs w:val="16"/>
                <w:lang w:val="es-419" w:eastAsia="es-419"/>
              </w:rPr>
              <w:t>+</w:t>
            </w:r>
          </w:p>
        </w:tc>
        <w:tc>
          <w:tcPr>
            <w:tcW w:w="3603" w:type="dxa"/>
            <w:gridSpan w:val="3"/>
            <w:tcBorders>
              <w:top w:val="single" w:sz="4" w:space="0" w:color="A6A6A6"/>
              <w:left w:val="nil"/>
              <w:bottom w:val="single" w:sz="4" w:space="0" w:color="A6A6A6"/>
              <w:right w:val="single" w:sz="4" w:space="0" w:color="A6A6A6"/>
            </w:tcBorders>
            <w:vAlign w:val="center"/>
            <w:hideMark/>
          </w:tcPr>
          <w:p w14:paraId="26957EBD" w14:textId="77777777" w:rsidR="00573529" w:rsidRPr="00951AB1" w:rsidRDefault="00573529" w:rsidP="000A5389">
            <w:pPr>
              <w:spacing w:line="240" w:lineRule="auto"/>
              <w:rPr>
                <w:rFonts w:eastAsia="Times New Roman" w:cs="Times New Roman"/>
                <w:b/>
                <w:bCs/>
                <w:sz w:val="16"/>
                <w:szCs w:val="16"/>
                <w:lang w:val="es-419" w:eastAsia="es-419"/>
              </w:rPr>
            </w:pPr>
            <w:r w:rsidRPr="00951AB1">
              <w:rPr>
                <w:rFonts w:eastAsia="Times New Roman" w:cs="Times New Roman"/>
                <w:b/>
                <w:bCs/>
                <w:sz w:val="16"/>
                <w:szCs w:val="16"/>
                <w:lang w:val="es-419" w:eastAsia="es-419"/>
              </w:rPr>
              <w:t>ENTRADAS (DB):</w:t>
            </w:r>
          </w:p>
        </w:tc>
        <w:tc>
          <w:tcPr>
            <w:tcW w:w="1559" w:type="dxa"/>
            <w:tcBorders>
              <w:top w:val="nil"/>
              <w:left w:val="nil"/>
              <w:bottom w:val="single" w:sz="4" w:space="0" w:color="A6A6A6"/>
              <w:right w:val="single" w:sz="4" w:space="0" w:color="A6A6A6"/>
            </w:tcBorders>
            <w:noWrap/>
            <w:vAlign w:val="center"/>
            <w:hideMark/>
          </w:tcPr>
          <w:p w14:paraId="502BD3C7" w14:textId="77777777" w:rsidR="00573529" w:rsidRPr="00951AB1" w:rsidRDefault="00573529" w:rsidP="000A5389">
            <w:pPr>
              <w:spacing w:line="240" w:lineRule="auto"/>
              <w:jc w:val="right"/>
              <w:rPr>
                <w:rFonts w:eastAsia="Times New Roman" w:cs="Times New Roman"/>
                <w:b/>
                <w:bCs/>
                <w:sz w:val="16"/>
                <w:szCs w:val="16"/>
                <w:lang w:val="es-419" w:eastAsia="es-419"/>
              </w:rPr>
            </w:pPr>
            <w:r w:rsidRPr="00951AB1">
              <w:rPr>
                <w:rFonts w:eastAsia="Times New Roman" w:cs="Times New Roman"/>
                <w:b/>
                <w:bCs/>
                <w:sz w:val="16"/>
                <w:szCs w:val="16"/>
                <w:lang w:val="es-419" w:eastAsia="es-419"/>
              </w:rPr>
              <w:t xml:space="preserve">142.517.990 </w:t>
            </w:r>
          </w:p>
        </w:tc>
        <w:tc>
          <w:tcPr>
            <w:tcW w:w="1096" w:type="dxa"/>
            <w:tcBorders>
              <w:top w:val="nil"/>
              <w:left w:val="nil"/>
              <w:bottom w:val="single" w:sz="4" w:space="0" w:color="A6A6A6"/>
              <w:right w:val="single" w:sz="4" w:space="0" w:color="A6A6A6"/>
            </w:tcBorders>
            <w:noWrap/>
            <w:vAlign w:val="center"/>
            <w:hideMark/>
          </w:tcPr>
          <w:p w14:paraId="3C685F32" w14:textId="77777777" w:rsidR="00573529" w:rsidRPr="00951AB1" w:rsidRDefault="00573529" w:rsidP="000A5389">
            <w:pPr>
              <w:spacing w:line="240" w:lineRule="auto"/>
              <w:jc w:val="right"/>
              <w:rPr>
                <w:rFonts w:eastAsia="Times New Roman" w:cs="Times New Roman"/>
                <w:b/>
                <w:bCs/>
                <w:sz w:val="16"/>
                <w:szCs w:val="16"/>
                <w:lang w:val="es-419" w:eastAsia="es-419"/>
              </w:rPr>
            </w:pPr>
            <w:r w:rsidRPr="00951AB1">
              <w:rPr>
                <w:rFonts w:eastAsia="Times New Roman" w:cs="Times New Roman"/>
                <w:b/>
                <w:bCs/>
                <w:sz w:val="16"/>
                <w:szCs w:val="16"/>
                <w:lang w:val="es-419" w:eastAsia="es-419"/>
              </w:rPr>
              <w:t xml:space="preserve">1.268.037.792 </w:t>
            </w:r>
          </w:p>
        </w:tc>
        <w:tc>
          <w:tcPr>
            <w:tcW w:w="1172" w:type="dxa"/>
            <w:tcBorders>
              <w:top w:val="nil"/>
              <w:left w:val="nil"/>
              <w:bottom w:val="single" w:sz="4" w:space="0" w:color="A6A6A6"/>
              <w:right w:val="single" w:sz="4" w:space="0" w:color="A6A6A6"/>
            </w:tcBorders>
            <w:noWrap/>
            <w:vAlign w:val="center"/>
            <w:hideMark/>
          </w:tcPr>
          <w:p w14:paraId="0B18DC35" w14:textId="77777777" w:rsidR="00573529" w:rsidRPr="00951AB1" w:rsidRDefault="00573529" w:rsidP="000A5389">
            <w:pPr>
              <w:spacing w:line="240" w:lineRule="auto"/>
              <w:jc w:val="right"/>
              <w:rPr>
                <w:rFonts w:eastAsia="Times New Roman" w:cs="Times New Roman"/>
                <w:b/>
                <w:bCs/>
                <w:sz w:val="16"/>
                <w:szCs w:val="16"/>
                <w:lang w:val="es-419" w:eastAsia="es-419"/>
              </w:rPr>
            </w:pPr>
            <w:r w:rsidRPr="00951AB1">
              <w:rPr>
                <w:rFonts w:eastAsia="Times New Roman" w:cs="Times New Roman"/>
                <w:b/>
                <w:bCs/>
                <w:sz w:val="16"/>
                <w:szCs w:val="16"/>
                <w:lang w:val="es-419" w:eastAsia="es-419"/>
              </w:rPr>
              <w:t xml:space="preserve">0 </w:t>
            </w:r>
          </w:p>
        </w:tc>
        <w:tc>
          <w:tcPr>
            <w:tcW w:w="1417" w:type="dxa"/>
            <w:tcBorders>
              <w:top w:val="nil"/>
              <w:left w:val="nil"/>
              <w:bottom w:val="single" w:sz="4" w:space="0" w:color="A6A6A6"/>
              <w:right w:val="single" w:sz="4" w:space="0" w:color="A6A6A6"/>
            </w:tcBorders>
            <w:noWrap/>
            <w:vAlign w:val="center"/>
            <w:hideMark/>
          </w:tcPr>
          <w:p w14:paraId="53C484F7" w14:textId="77777777" w:rsidR="00573529" w:rsidRPr="00951AB1" w:rsidRDefault="00573529" w:rsidP="000A5389">
            <w:pPr>
              <w:spacing w:line="240" w:lineRule="auto"/>
              <w:jc w:val="right"/>
              <w:rPr>
                <w:rFonts w:eastAsia="Times New Roman" w:cs="Times New Roman"/>
                <w:b/>
                <w:bCs/>
                <w:sz w:val="16"/>
                <w:szCs w:val="16"/>
                <w:lang w:val="es-419" w:eastAsia="es-419"/>
              </w:rPr>
            </w:pPr>
            <w:r w:rsidRPr="00951AB1">
              <w:rPr>
                <w:rFonts w:eastAsia="Times New Roman" w:cs="Times New Roman"/>
                <w:b/>
                <w:bCs/>
                <w:sz w:val="16"/>
                <w:szCs w:val="16"/>
                <w:lang w:val="es-419" w:eastAsia="es-419"/>
              </w:rPr>
              <w:t xml:space="preserve">821.555.782 </w:t>
            </w:r>
          </w:p>
        </w:tc>
      </w:tr>
      <w:tr w:rsidR="00573529" w:rsidRPr="00951AB1" w14:paraId="3484A159" w14:textId="77777777">
        <w:trPr>
          <w:trHeight w:val="290"/>
        </w:trPr>
        <w:tc>
          <w:tcPr>
            <w:tcW w:w="220" w:type="dxa"/>
            <w:tcBorders>
              <w:top w:val="nil"/>
              <w:left w:val="single" w:sz="4" w:space="0" w:color="A6A6A6"/>
              <w:bottom w:val="single" w:sz="4" w:space="0" w:color="A6A6A6"/>
              <w:right w:val="nil"/>
            </w:tcBorders>
            <w:noWrap/>
            <w:vAlign w:val="center"/>
            <w:hideMark/>
          </w:tcPr>
          <w:p w14:paraId="3B5A4DDD" w14:textId="77777777" w:rsidR="00573529" w:rsidRPr="00951AB1" w:rsidRDefault="00573529" w:rsidP="000A5389">
            <w:pPr>
              <w:spacing w:line="240" w:lineRule="auto"/>
              <w:rPr>
                <w:rFonts w:eastAsia="Times New Roman" w:cs="Times New Roman"/>
                <w:sz w:val="16"/>
                <w:szCs w:val="16"/>
                <w:lang w:val="es-419" w:eastAsia="es-419"/>
              </w:rPr>
            </w:pPr>
            <w:r w:rsidRPr="00951AB1">
              <w:rPr>
                <w:rFonts w:eastAsia="Times New Roman" w:cs="Times New Roman"/>
                <w:sz w:val="16"/>
                <w:szCs w:val="16"/>
                <w:lang w:val="es-419" w:eastAsia="es-419"/>
              </w:rPr>
              <w:t> </w:t>
            </w:r>
          </w:p>
        </w:tc>
        <w:tc>
          <w:tcPr>
            <w:tcW w:w="189" w:type="dxa"/>
            <w:tcBorders>
              <w:top w:val="nil"/>
              <w:left w:val="nil"/>
              <w:bottom w:val="single" w:sz="4" w:space="0" w:color="A6A6A6"/>
              <w:right w:val="nil"/>
            </w:tcBorders>
            <w:noWrap/>
            <w:vAlign w:val="center"/>
            <w:hideMark/>
          </w:tcPr>
          <w:p w14:paraId="1269F76C" w14:textId="77777777" w:rsidR="00573529" w:rsidRPr="00951AB1" w:rsidRDefault="00573529" w:rsidP="000A5389">
            <w:pPr>
              <w:spacing w:line="240" w:lineRule="auto"/>
              <w:rPr>
                <w:rFonts w:eastAsia="Times New Roman" w:cs="Times New Roman"/>
                <w:sz w:val="16"/>
                <w:szCs w:val="16"/>
                <w:lang w:val="es-419" w:eastAsia="es-419"/>
              </w:rPr>
            </w:pPr>
            <w:r w:rsidRPr="00951AB1">
              <w:rPr>
                <w:rFonts w:eastAsia="Times New Roman" w:cs="Times New Roman"/>
                <w:sz w:val="16"/>
                <w:szCs w:val="16"/>
                <w:lang w:val="es-419" w:eastAsia="es-419"/>
              </w:rPr>
              <w:t> </w:t>
            </w:r>
          </w:p>
        </w:tc>
        <w:tc>
          <w:tcPr>
            <w:tcW w:w="3414" w:type="dxa"/>
            <w:gridSpan w:val="2"/>
            <w:tcBorders>
              <w:top w:val="single" w:sz="4" w:space="0" w:color="A6A6A6"/>
              <w:left w:val="nil"/>
              <w:bottom w:val="single" w:sz="4" w:space="0" w:color="A6A6A6"/>
              <w:right w:val="single" w:sz="4" w:space="0" w:color="A6A6A6"/>
            </w:tcBorders>
            <w:vAlign w:val="center"/>
            <w:hideMark/>
          </w:tcPr>
          <w:p w14:paraId="06459F70" w14:textId="77777777" w:rsidR="00573529" w:rsidRPr="00951AB1" w:rsidRDefault="00573529" w:rsidP="000A5389">
            <w:pPr>
              <w:spacing w:line="240" w:lineRule="auto"/>
              <w:rPr>
                <w:rFonts w:eastAsia="Times New Roman" w:cs="Times New Roman"/>
                <w:sz w:val="16"/>
                <w:szCs w:val="16"/>
                <w:lang w:val="es-419" w:eastAsia="es-419"/>
              </w:rPr>
            </w:pPr>
            <w:r w:rsidRPr="00951AB1">
              <w:rPr>
                <w:rFonts w:eastAsia="Times New Roman" w:cs="Times New Roman"/>
                <w:sz w:val="16"/>
                <w:szCs w:val="16"/>
                <w:lang w:val="es-419" w:eastAsia="es-419"/>
              </w:rPr>
              <w:t>Adquisiciones en compras</w:t>
            </w:r>
          </w:p>
        </w:tc>
        <w:tc>
          <w:tcPr>
            <w:tcW w:w="1559" w:type="dxa"/>
            <w:tcBorders>
              <w:top w:val="nil"/>
              <w:left w:val="nil"/>
              <w:bottom w:val="single" w:sz="4" w:space="0" w:color="A6A6A6"/>
              <w:right w:val="single" w:sz="4" w:space="0" w:color="A6A6A6"/>
            </w:tcBorders>
            <w:noWrap/>
            <w:vAlign w:val="center"/>
            <w:hideMark/>
          </w:tcPr>
          <w:p w14:paraId="38023DD1" w14:textId="77777777" w:rsidR="00573529" w:rsidRPr="00951AB1" w:rsidRDefault="00573529" w:rsidP="000A5389">
            <w:pPr>
              <w:spacing w:line="240" w:lineRule="auto"/>
              <w:jc w:val="right"/>
              <w:rPr>
                <w:rFonts w:eastAsia="Times New Roman" w:cs="Times New Roman"/>
                <w:sz w:val="16"/>
                <w:szCs w:val="16"/>
                <w:lang w:val="es-419" w:eastAsia="es-419"/>
              </w:rPr>
            </w:pPr>
            <w:r w:rsidRPr="00951AB1">
              <w:rPr>
                <w:rFonts w:eastAsia="Times New Roman" w:cs="Times New Roman"/>
                <w:sz w:val="16"/>
                <w:szCs w:val="16"/>
                <w:lang w:val="es-419" w:eastAsia="es-419"/>
              </w:rPr>
              <w:t xml:space="preserve">0 </w:t>
            </w:r>
          </w:p>
        </w:tc>
        <w:tc>
          <w:tcPr>
            <w:tcW w:w="1096" w:type="dxa"/>
            <w:tcBorders>
              <w:top w:val="nil"/>
              <w:left w:val="nil"/>
              <w:bottom w:val="single" w:sz="4" w:space="0" w:color="A6A6A6"/>
              <w:right w:val="single" w:sz="4" w:space="0" w:color="A6A6A6"/>
            </w:tcBorders>
            <w:noWrap/>
            <w:vAlign w:val="center"/>
            <w:hideMark/>
          </w:tcPr>
          <w:p w14:paraId="490A4242" w14:textId="77777777" w:rsidR="00573529" w:rsidRPr="00951AB1" w:rsidRDefault="00573529" w:rsidP="000A5389">
            <w:pPr>
              <w:spacing w:line="240" w:lineRule="auto"/>
              <w:jc w:val="right"/>
              <w:rPr>
                <w:rFonts w:eastAsia="Times New Roman" w:cs="Times New Roman"/>
                <w:sz w:val="16"/>
                <w:szCs w:val="16"/>
                <w:lang w:val="es-419" w:eastAsia="es-419"/>
              </w:rPr>
            </w:pPr>
            <w:r w:rsidRPr="00951AB1">
              <w:rPr>
                <w:rFonts w:eastAsia="Times New Roman" w:cs="Times New Roman"/>
                <w:sz w:val="16"/>
                <w:szCs w:val="16"/>
                <w:lang w:val="es-419" w:eastAsia="es-419"/>
              </w:rPr>
              <w:t xml:space="preserve">1.268.037.792 </w:t>
            </w:r>
          </w:p>
        </w:tc>
        <w:tc>
          <w:tcPr>
            <w:tcW w:w="1172" w:type="dxa"/>
            <w:tcBorders>
              <w:top w:val="nil"/>
              <w:left w:val="nil"/>
              <w:bottom w:val="single" w:sz="4" w:space="0" w:color="A6A6A6"/>
              <w:right w:val="single" w:sz="4" w:space="0" w:color="A6A6A6"/>
            </w:tcBorders>
            <w:noWrap/>
            <w:vAlign w:val="center"/>
            <w:hideMark/>
          </w:tcPr>
          <w:p w14:paraId="299CB4D2" w14:textId="77777777" w:rsidR="00573529" w:rsidRPr="00951AB1" w:rsidRDefault="00573529" w:rsidP="000A5389">
            <w:pPr>
              <w:spacing w:line="240" w:lineRule="auto"/>
              <w:jc w:val="right"/>
              <w:rPr>
                <w:rFonts w:eastAsia="Times New Roman" w:cs="Times New Roman"/>
                <w:sz w:val="16"/>
                <w:szCs w:val="16"/>
                <w:lang w:val="es-419" w:eastAsia="es-419"/>
              </w:rPr>
            </w:pPr>
            <w:r w:rsidRPr="00951AB1">
              <w:rPr>
                <w:rFonts w:eastAsia="Times New Roman" w:cs="Times New Roman"/>
                <w:sz w:val="16"/>
                <w:szCs w:val="16"/>
                <w:lang w:val="es-419" w:eastAsia="es-419"/>
              </w:rPr>
              <w:t xml:space="preserve">0 </w:t>
            </w:r>
          </w:p>
        </w:tc>
        <w:tc>
          <w:tcPr>
            <w:tcW w:w="1417" w:type="dxa"/>
            <w:tcBorders>
              <w:top w:val="nil"/>
              <w:left w:val="nil"/>
              <w:bottom w:val="single" w:sz="4" w:space="0" w:color="A6A6A6"/>
              <w:right w:val="single" w:sz="4" w:space="0" w:color="A6A6A6"/>
            </w:tcBorders>
            <w:noWrap/>
            <w:vAlign w:val="center"/>
            <w:hideMark/>
          </w:tcPr>
          <w:p w14:paraId="7BD1A3C4" w14:textId="77777777" w:rsidR="00573529" w:rsidRPr="00951AB1" w:rsidRDefault="00573529" w:rsidP="000A5389">
            <w:pPr>
              <w:spacing w:line="240" w:lineRule="auto"/>
              <w:jc w:val="right"/>
              <w:rPr>
                <w:rFonts w:eastAsia="Times New Roman" w:cs="Times New Roman"/>
                <w:sz w:val="16"/>
                <w:szCs w:val="16"/>
                <w:lang w:val="es-419" w:eastAsia="es-419"/>
              </w:rPr>
            </w:pPr>
            <w:r w:rsidRPr="00951AB1">
              <w:rPr>
                <w:rFonts w:eastAsia="Times New Roman" w:cs="Times New Roman"/>
                <w:sz w:val="16"/>
                <w:szCs w:val="16"/>
                <w:lang w:val="es-419" w:eastAsia="es-419"/>
              </w:rPr>
              <w:t xml:space="preserve">679.037.792 </w:t>
            </w:r>
          </w:p>
        </w:tc>
      </w:tr>
      <w:tr w:rsidR="00573529" w:rsidRPr="00951AB1" w14:paraId="6687D73C" w14:textId="77777777">
        <w:trPr>
          <w:trHeight w:val="290"/>
        </w:trPr>
        <w:tc>
          <w:tcPr>
            <w:tcW w:w="220" w:type="dxa"/>
            <w:tcBorders>
              <w:top w:val="nil"/>
              <w:left w:val="single" w:sz="4" w:space="0" w:color="A6A6A6"/>
              <w:bottom w:val="single" w:sz="4" w:space="0" w:color="A6A6A6"/>
              <w:right w:val="nil"/>
            </w:tcBorders>
            <w:noWrap/>
            <w:vAlign w:val="center"/>
            <w:hideMark/>
          </w:tcPr>
          <w:p w14:paraId="5F2E92A5" w14:textId="77777777" w:rsidR="00573529" w:rsidRPr="00951AB1" w:rsidRDefault="00573529" w:rsidP="000A5389">
            <w:pPr>
              <w:spacing w:line="240" w:lineRule="auto"/>
              <w:rPr>
                <w:rFonts w:eastAsia="Times New Roman" w:cs="Times New Roman"/>
                <w:sz w:val="16"/>
                <w:szCs w:val="16"/>
                <w:lang w:val="es-419" w:eastAsia="es-419"/>
              </w:rPr>
            </w:pPr>
            <w:r w:rsidRPr="00951AB1">
              <w:rPr>
                <w:rFonts w:eastAsia="Times New Roman" w:cs="Times New Roman"/>
                <w:sz w:val="16"/>
                <w:szCs w:val="16"/>
                <w:lang w:val="es-419" w:eastAsia="es-419"/>
              </w:rPr>
              <w:t> </w:t>
            </w:r>
          </w:p>
        </w:tc>
        <w:tc>
          <w:tcPr>
            <w:tcW w:w="189" w:type="dxa"/>
            <w:tcBorders>
              <w:top w:val="nil"/>
              <w:left w:val="nil"/>
              <w:bottom w:val="single" w:sz="4" w:space="0" w:color="A6A6A6"/>
              <w:right w:val="nil"/>
            </w:tcBorders>
            <w:noWrap/>
            <w:vAlign w:val="center"/>
            <w:hideMark/>
          </w:tcPr>
          <w:p w14:paraId="18BCB071" w14:textId="77777777" w:rsidR="00573529" w:rsidRPr="00951AB1" w:rsidRDefault="00573529" w:rsidP="000A5389">
            <w:pPr>
              <w:spacing w:line="240" w:lineRule="auto"/>
              <w:rPr>
                <w:rFonts w:eastAsia="Times New Roman" w:cs="Times New Roman"/>
                <w:sz w:val="16"/>
                <w:szCs w:val="16"/>
                <w:lang w:val="es-419" w:eastAsia="es-419"/>
              </w:rPr>
            </w:pPr>
            <w:r w:rsidRPr="00951AB1">
              <w:rPr>
                <w:rFonts w:eastAsia="Times New Roman" w:cs="Times New Roman"/>
                <w:sz w:val="16"/>
                <w:szCs w:val="16"/>
                <w:lang w:val="es-419" w:eastAsia="es-419"/>
              </w:rPr>
              <w:t> </w:t>
            </w:r>
          </w:p>
        </w:tc>
        <w:tc>
          <w:tcPr>
            <w:tcW w:w="3414" w:type="dxa"/>
            <w:gridSpan w:val="2"/>
            <w:tcBorders>
              <w:top w:val="single" w:sz="4" w:space="0" w:color="A6A6A6"/>
              <w:left w:val="nil"/>
              <w:bottom w:val="single" w:sz="4" w:space="0" w:color="A6A6A6"/>
              <w:right w:val="single" w:sz="4" w:space="0" w:color="A6A6A6"/>
            </w:tcBorders>
            <w:noWrap/>
            <w:vAlign w:val="center"/>
            <w:hideMark/>
          </w:tcPr>
          <w:p w14:paraId="19C99321" w14:textId="77777777" w:rsidR="00573529" w:rsidRPr="00951AB1" w:rsidRDefault="00573529" w:rsidP="000A5389">
            <w:pPr>
              <w:spacing w:line="240" w:lineRule="auto"/>
              <w:rPr>
                <w:rFonts w:eastAsia="Times New Roman" w:cs="Times New Roman"/>
                <w:sz w:val="16"/>
                <w:szCs w:val="16"/>
                <w:lang w:val="es-419" w:eastAsia="es-419"/>
              </w:rPr>
            </w:pPr>
            <w:r w:rsidRPr="00951AB1">
              <w:rPr>
                <w:rFonts w:eastAsia="Times New Roman" w:cs="Times New Roman"/>
                <w:sz w:val="16"/>
                <w:szCs w:val="16"/>
                <w:lang w:val="es-419" w:eastAsia="es-419"/>
              </w:rPr>
              <w:t>Otras transacciones sin contraprestación</w:t>
            </w:r>
          </w:p>
        </w:tc>
        <w:tc>
          <w:tcPr>
            <w:tcW w:w="1559" w:type="dxa"/>
            <w:tcBorders>
              <w:top w:val="nil"/>
              <w:left w:val="nil"/>
              <w:bottom w:val="single" w:sz="4" w:space="0" w:color="A6A6A6"/>
              <w:right w:val="single" w:sz="4" w:space="0" w:color="A6A6A6"/>
            </w:tcBorders>
            <w:noWrap/>
            <w:vAlign w:val="center"/>
            <w:hideMark/>
          </w:tcPr>
          <w:p w14:paraId="651E15AE" w14:textId="77777777" w:rsidR="00573529" w:rsidRPr="00951AB1" w:rsidRDefault="00573529" w:rsidP="000A5389">
            <w:pPr>
              <w:spacing w:line="240" w:lineRule="auto"/>
              <w:jc w:val="right"/>
              <w:rPr>
                <w:rFonts w:eastAsia="Times New Roman" w:cs="Times New Roman"/>
                <w:sz w:val="16"/>
                <w:szCs w:val="16"/>
                <w:lang w:val="es-419" w:eastAsia="es-419"/>
              </w:rPr>
            </w:pPr>
            <w:r w:rsidRPr="00951AB1">
              <w:rPr>
                <w:rFonts w:eastAsia="Times New Roman" w:cs="Times New Roman"/>
                <w:sz w:val="16"/>
                <w:szCs w:val="16"/>
                <w:lang w:val="es-419" w:eastAsia="es-419"/>
              </w:rPr>
              <w:t xml:space="preserve">142.517.990 </w:t>
            </w:r>
          </w:p>
        </w:tc>
        <w:tc>
          <w:tcPr>
            <w:tcW w:w="1096" w:type="dxa"/>
            <w:tcBorders>
              <w:top w:val="nil"/>
              <w:left w:val="nil"/>
              <w:bottom w:val="single" w:sz="4" w:space="0" w:color="A6A6A6"/>
              <w:right w:val="single" w:sz="4" w:space="0" w:color="A6A6A6"/>
            </w:tcBorders>
            <w:noWrap/>
            <w:vAlign w:val="center"/>
            <w:hideMark/>
          </w:tcPr>
          <w:p w14:paraId="4E3292FF" w14:textId="77777777" w:rsidR="00573529" w:rsidRPr="00951AB1" w:rsidRDefault="00573529" w:rsidP="000A5389">
            <w:pPr>
              <w:spacing w:line="240" w:lineRule="auto"/>
              <w:jc w:val="right"/>
              <w:rPr>
                <w:rFonts w:eastAsia="Times New Roman" w:cs="Times New Roman"/>
                <w:sz w:val="16"/>
                <w:szCs w:val="16"/>
                <w:lang w:val="es-419" w:eastAsia="es-419"/>
              </w:rPr>
            </w:pPr>
            <w:r w:rsidRPr="00951AB1">
              <w:rPr>
                <w:rFonts w:eastAsia="Times New Roman" w:cs="Times New Roman"/>
                <w:sz w:val="16"/>
                <w:szCs w:val="16"/>
                <w:lang w:val="es-419" w:eastAsia="es-419"/>
              </w:rPr>
              <w:t xml:space="preserve">0 </w:t>
            </w:r>
          </w:p>
        </w:tc>
        <w:tc>
          <w:tcPr>
            <w:tcW w:w="1172" w:type="dxa"/>
            <w:tcBorders>
              <w:top w:val="nil"/>
              <w:left w:val="nil"/>
              <w:bottom w:val="single" w:sz="4" w:space="0" w:color="A6A6A6"/>
              <w:right w:val="single" w:sz="4" w:space="0" w:color="A6A6A6"/>
            </w:tcBorders>
            <w:noWrap/>
            <w:vAlign w:val="center"/>
            <w:hideMark/>
          </w:tcPr>
          <w:p w14:paraId="053E11DD" w14:textId="77777777" w:rsidR="00573529" w:rsidRPr="00951AB1" w:rsidRDefault="00573529" w:rsidP="000A5389">
            <w:pPr>
              <w:spacing w:line="240" w:lineRule="auto"/>
              <w:jc w:val="right"/>
              <w:rPr>
                <w:rFonts w:eastAsia="Times New Roman" w:cs="Times New Roman"/>
                <w:sz w:val="16"/>
                <w:szCs w:val="16"/>
                <w:lang w:val="es-419" w:eastAsia="es-419"/>
              </w:rPr>
            </w:pPr>
            <w:r w:rsidRPr="00951AB1">
              <w:rPr>
                <w:rFonts w:eastAsia="Times New Roman" w:cs="Times New Roman"/>
                <w:sz w:val="16"/>
                <w:szCs w:val="16"/>
                <w:lang w:val="es-419" w:eastAsia="es-419"/>
              </w:rPr>
              <w:t xml:space="preserve">0 </w:t>
            </w:r>
          </w:p>
        </w:tc>
        <w:tc>
          <w:tcPr>
            <w:tcW w:w="1417" w:type="dxa"/>
            <w:tcBorders>
              <w:top w:val="nil"/>
              <w:left w:val="nil"/>
              <w:bottom w:val="single" w:sz="4" w:space="0" w:color="A6A6A6"/>
              <w:right w:val="single" w:sz="4" w:space="0" w:color="A6A6A6"/>
            </w:tcBorders>
            <w:noWrap/>
            <w:vAlign w:val="center"/>
            <w:hideMark/>
          </w:tcPr>
          <w:p w14:paraId="393FFADE" w14:textId="77777777" w:rsidR="00573529" w:rsidRPr="00951AB1" w:rsidRDefault="00573529" w:rsidP="000A5389">
            <w:pPr>
              <w:spacing w:line="240" w:lineRule="auto"/>
              <w:jc w:val="right"/>
              <w:rPr>
                <w:rFonts w:eastAsia="Times New Roman" w:cs="Times New Roman"/>
                <w:sz w:val="16"/>
                <w:szCs w:val="16"/>
                <w:lang w:val="es-419" w:eastAsia="es-419"/>
              </w:rPr>
            </w:pPr>
            <w:r w:rsidRPr="00951AB1">
              <w:rPr>
                <w:rFonts w:eastAsia="Times New Roman" w:cs="Times New Roman"/>
                <w:sz w:val="16"/>
                <w:szCs w:val="16"/>
                <w:lang w:val="es-419" w:eastAsia="es-419"/>
              </w:rPr>
              <w:t xml:space="preserve">142.517.990 </w:t>
            </w:r>
          </w:p>
        </w:tc>
      </w:tr>
      <w:tr w:rsidR="00573529" w:rsidRPr="00951AB1" w14:paraId="4AC909A5" w14:textId="77777777">
        <w:trPr>
          <w:trHeight w:val="290"/>
        </w:trPr>
        <w:tc>
          <w:tcPr>
            <w:tcW w:w="220" w:type="dxa"/>
            <w:tcBorders>
              <w:top w:val="nil"/>
              <w:left w:val="single" w:sz="4" w:space="0" w:color="A6A6A6"/>
              <w:bottom w:val="single" w:sz="4" w:space="0" w:color="A6A6A6"/>
              <w:right w:val="nil"/>
            </w:tcBorders>
            <w:noWrap/>
            <w:vAlign w:val="center"/>
            <w:hideMark/>
          </w:tcPr>
          <w:p w14:paraId="045908AB" w14:textId="77777777" w:rsidR="00573529" w:rsidRPr="00951AB1" w:rsidRDefault="00573529" w:rsidP="000A5389">
            <w:pPr>
              <w:spacing w:line="240" w:lineRule="auto"/>
              <w:rPr>
                <w:rFonts w:eastAsia="Times New Roman" w:cs="Times New Roman"/>
                <w:sz w:val="16"/>
                <w:szCs w:val="16"/>
                <w:lang w:val="es-419" w:eastAsia="es-419"/>
              </w:rPr>
            </w:pPr>
            <w:r w:rsidRPr="00951AB1">
              <w:rPr>
                <w:rFonts w:eastAsia="Times New Roman" w:cs="Times New Roman"/>
                <w:sz w:val="16"/>
                <w:szCs w:val="16"/>
                <w:lang w:val="es-419" w:eastAsia="es-419"/>
              </w:rPr>
              <w:t> </w:t>
            </w:r>
          </w:p>
        </w:tc>
        <w:tc>
          <w:tcPr>
            <w:tcW w:w="189" w:type="dxa"/>
            <w:tcBorders>
              <w:top w:val="nil"/>
              <w:left w:val="nil"/>
              <w:bottom w:val="single" w:sz="4" w:space="0" w:color="A6A6A6"/>
              <w:right w:val="nil"/>
            </w:tcBorders>
            <w:noWrap/>
            <w:vAlign w:val="center"/>
            <w:hideMark/>
          </w:tcPr>
          <w:p w14:paraId="66AE42DD" w14:textId="77777777" w:rsidR="00573529" w:rsidRPr="00951AB1" w:rsidRDefault="00573529" w:rsidP="000A5389">
            <w:pPr>
              <w:spacing w:line="240" w:lineRule="auto"/>
              <w:rPr>
                <w:rFonts w:eastAsia="Times New Roman" w:cs="Times New Roman"/>
                <w:sz w:val="16"/>
                <w:szCs w:val="16"/>
                <w:lang w:val="es-419" w:eastAsia="es-419"/>
              </w:rPr>
            </w:pPr>
            <w:r w:rsidRPr="00951AB1">
              <w:rPr>
                <w:rFonts w:eastAsia="Times New Roman" w:cs="Times New Roman"/>
                <w:sz w:val="16"/>
                <w:szCs w:val="16"/>
                <w:lang w:val="es-419" w:eastAsia="es-419"/>
              </w:rPr>
              <w:t> </w:t>
            </w:r>
          </w:p>
        </w:tc>
        <w:tc>
          <w:tcPr>
            <w:tcW w:w="220" w:type="dxa"/>
            <w:tcBorders>
              <w:top w:val="nil"/>
              <w:left w:val="nil"/>
              <w:bottom w:val="single" w:sz="4" w:space="0" w:color="A6A6A6"/>
              <w:right w:val="nil"/>
            </w:tcBorders>
            <w:noWrap/>
            <w:vAlign w:val="center"/>
            <w:hideMark/>
          </w:tcPr>
          <w:p w14:paraId="464801B6" w14:textId="77777777" w:rsidR="00573529" w:rsidRPr="00951AB1" w:rsidRDefault="00573529" w:rsidP="000A5389">
            <w:pPr>
              <w:spacing w:line="240" w:lineRule="auto"/>
              <w:rPr>
                <w:rFonts w:eastAsia="Times New Roman" w:cs="Times New Roman"/>
                <w:sz w:val="16"/>
                <w:szCs w:val="16"/>
                <w:lang w:val="es-419" w:eastAsia="es-419"/>
              </w:rPr>
            </w:pPr>
            <w:r w:rsidRPr="00951AB1">
              <w:rPr>
                <w:rFonts w:eastAsia="Times New Roman" w:cs="Times New Roman"/>
                <w:sz w:val="16"/>
                <w:szCs w:val="16"/>
                <w:lang w:val="es-419" w:eastAsia="es-419"/>
              </w:rPr>
              <w:t> </w:t>
            </w:r>
          </w:p>
        </w:tc>
        <w:tc>
          <w:tcPr>
            <w:tcW w:w="3194" w:type="dxa"/>
            <w:tcBorders>
              <w:top w:val="nil"/>
              <w:left w:val="nil"/>
              <w:bottom w:val="single" w:sz="4" w:space="0" w:color="A6A6A6"/>
              <w:right w:val="single" w:sz="4" w:space="0" w:color="A6A6A6"/>
            </w:tcBorders>
            <w:vAlign w:val="center"/>
            <w:hideMark/>
          </w:tcPr>
          <w:p w14:paraId="53766C65" w14:textId="77777777" w:rsidR="00573529" w:rsidRPr="00951AB1" w:rsidRDefault="00573529" w:rsidP="000A5389">
            <w:pPr>
              <w:spacing w:line="240" w:lineRule="auto"/>
              <w:rPr>
                <w:rFonts w:eastAsia="Times New Roman" w:cs="Times New Roman"/>
                <w:sz w:val="16"/>
                <w:szCs w:val="16"/>
                <w:lang w:val="es-419" w:eastAsia="es-419"/>
              </w:rPr>
            </w:pPr>
            <w:r w:rsidRPr="00951AB1">
              <w:rPr>
                <w:rFonts w:eastAsia="Times New Roman" w:cs="Times New Roman"/>
                <w:sz w:val="16"/>
                <w:szCs w:val="16"/>
                <w:lang w:val="es-419" w:eastAsia="es-419"/>
              </w:rPr>
              <w:t>* Activos asociados modo portuario</w:t>
            </w:r>
          </w:p>
        </w:tc>
        <w:tc>
          <w:tcPr>
            <w:tcW w:w="1559" w:type="dxa"/>
            <w:tcBorders>
              <w:top w:val="nil"/>
              <w:left w:val="nil"/>
              <w:bottom w:val="single" w:sz="4" w:space="0" w:color="A6A6A6"/>
              <w:right w:val="single" w:sz="4" w:space="0" w:color="A6A6A6"/>
            </w:tcBorders>
            <w:noWrap/>
            <w:vAlign w:val="center"/>
            <w:hideMark/>
          </w:tcPr>
          <w:p w14:paraId="01295143" w14:textId="77777777" w:rsidR="00573529" w:rsidRPr="00951AB1" w:rsidRDefault="00573529" w:rsidP="000A5389">
            <w:pPr>
              <w:spacing w:line="240" w:lineRule="auto"/>
              <w:jc w:val="right"/>
              <w:rPr>
                <w:rFonts w:eastAsia="Times New Roman" w:cs="Times New Roman"/>
                <w:sz w:val="16"/>
                <w:szCs w:val="16"/>
                <w:lang w:val="es-419" w:eastAsia="es-419"/>
              </w:rPr>
            </w:pPr>
            <w:r w:rsidRPr="00951AB1">
              <w:rPr>
                <w:rFonts w:eastAsia="Times New Roman" w:cs="Times New Roman"/>
                <w:sz w:val="16"/>
                <w:szCs w:val="16"/>
                <w:lang w:val="es-419" w:eastAsia="es-419"/>
              </w:rPr>
              <w:t xml:space="preserve">142.517.990 </w:t>
            </w:r>
          </w:p>
        </w:tc>
        <w:tc>
          <w:tcPr>
            <w:tcW w:w="1096" w:type="dxa"/>
            <w:tcBorders>
              <w:top w:val="nil"/>
              <w:left w:val="nil"/>
              <w:bottom w:val="single" w:sz="4" w:space="0" w:color="A6A6A6"/>
              <w:right w:val="single" w:sz="4" w:space="0" w:color="A6A6A6"/>
            </w:tcBorders>
            <w:noWrap/>
            <w:vAlign w:val="center"/>
            <w:hideMark/>
          </w:tcPr>
          <w:p w14:paraId="291F2067" w14:textId="77777777" w:rsidR="00573529" w:rsidRPr="00951AB1" w:rsidRDefault="00573529" w:rsidP="000A5389">
            <w:pPr>
              <w:spacing w:line="240" w:lineRule="auto"/>
              <w:jc w:val="right"/>
              <w:rPr>
                <w:rFonts w:eastAsia="Times New Roman" w:cs="Times New Roman"/>
                <w:sz w:val="16"/>
                <w:szCs w:val="16"/>
                <w:lang w:val="es-419" w:eastAsia="es-419"/>
              </w:rPr>
            </w:pPr>
            <w:r w:rsidRPr="00951AB1">
              <w:rPr>
                <w:rFonts w:eastAsia="Times New Roman" w:cs="Times New Roman"/>
                <w:sz w:val="16"/>
                <w:szCs w:val="16"/>
                <w:lang w:val="es-419" w:eastAsia="es-419"/>
              </w:rPr>
              <w:t xml:space="preserve">0 </w:t>
            </w:r>
          </w:p>
        </w:tc>
        <w:tc>
          <w:tcPr>
            <w:tcW w:w="1172" w:type="dxa"/>
            <w:tcBorders>
              <w:top w:val="nil"/>
              <w:left w:val="nil"/>
              <w:bottom w:val="single" w:sz="4" w:space="0" w:color="A6A6A6"/>
              <w:right w:val="single" w:sz="4" w:space="0" w:color="A6A6A6"/>
            </w:tcBorders>
            <w:noWrap/>
            <w:vAlign w:val="center"/>
            <w:hideMark/>
          </w:tcPr>
          <w:p w14:paraId="2A2AD794" w14:textId="77777777" w:rsidR="00573529" w:rsidRPr="00951AB1" w:rsidRDefault="00573529" w:rsidP="000A5389">
            <w:pPr>
              <w:spacing w:line="240" w:lineRule="auto"/>
              <w:jc w:val="right"/>
              <w:rPr>
                <w:rFonts w:eastAsia="Times New Roman" w:cs="Times New Roman"/>
                <w:sz w:val="16"/>
                <w:szCs w:val="16"/>
                <w:lang w:val="es-419" w:eastAsia="es-419"/>
              </w:rPr>
            </w:pPr>
            <w:r w:rsidRPr="00951AB1">
              <w:rPr>
                <w:rFonts w:eastAsia="Times New Roman" w:cs="Times New Roman"/>
                <w:sz w:val="16"/>
                <w:szCs w:val="16"/>
                <w:lang w:val="es-419" w:eastAsia="es-419"/>
              </w:rPr>
              <w:t xml:space="preserve">0 </w:t>
            </w:r>
          </w:p>
        </w:tc>
        <w:tc>
          <w:tcPr>
            <w:tcW w:w="1417" w:type="dxa"/>
            <w:tcBorders>
              <w:top w:val="nil"/>
              <w:left w:val="nil"/>
              <w:bottom w:val="single" w:sz="4" w:space="0" w:color="A6A6A6"/>
              <w:right w:val="single" w:sz="4" w:space="0" w:color="A6A6A6"/>
            </w:tcBorders>
            <w:noWrap/>
            <w:vAlign w:val="center"/>
            <w:hideMark/>
          </w:tcPr>
          <w:p w14:paraId="489D04AC" w14:textId="77777777" w:rsidR="00573529" w:rsidRPr="00951AB1" w:rsidRDefault="00573529" w:rsidP="000A5389">
            <w:pPr>
              <w:spacing w:line="240" w:lineRule="auto"/>
              <w:jc w:val="right"/>
              <w:rPr>
                <w:rFonts w:eastAsia="Times New Roman" w:cs="Times New Roman"/>
                <w:sz w:val="16"/>
                <w:szCs w:val="16"/>
                <w:lang w:val="es-419" w:eastAsia="es-419"/>
              </w:rPr>
            </w:pPr>
            <w:r w:rsidRPr="00951AB1">
              <w:rPr>
                <w:rFonts w:eastAsia="Times New Roman" w:cs="Times New Roman"/>
                <w:sz w:val="16"/>
                <w:szCs w:val="16"/>
                <w:lang w:val="es-419" w:eastAsia="es-419"/>
              </w:rPr>
              <w:t xml:space="preserve">142.517.990 </w:t>
            </w:r>
          </w:p>
        </w:tc>
      </w:tr>
      <w:tr w:rsidR="00573529" w:rsidRPr="00951AB1" w14:paraId="338513C0" w14:textId="77777777">
        <w:trPr>
          <w:trHeight w:val="290"/>
        </w:trPr>
        <w:tc>
          <w:tcPr>
            <w:tcW w:w="220" w:type="dxa"/>
            <w:tcBorders>
              <w:top w:val="nil"/>
              <w:left w:val="single" w:sz="4" w:space="0" w:color="A6A6A6"/>
              <w:bottom w:val="single" w:sz="4" w:space="0" w:color="A6A6A6"/>
              <w:right w:val="nil"/>
            </w:tcBorders>
            <w:noWrap/>
            <w:vAlign w:val="center"/>
            <w:hideMark/>
          </w:tcPr>
          <w:p w14:paraId="1D83E84B" w14:textId="77777777" w:rsidR="00573529" w:rsidRPr="00951AB1" w:rsidRDefault="00573529" w:rsidP="000A5389">
            <w:pPr>
              <w:spacing w:line="240" w:lineRule="auto"/>
              <w:jc w:val="center"/>
              <w:rPr>
                <w:rFonts w:eastAsia="Times New Roman" w:cs="Times New Roman"/>
                <w:b/>
                <w:bCs/>
                <w:sz w:val="16"/>
                <w:szCs w:val="16"/>
                <w:lang w:val="es-419" w:eastAsia="es-419"/>
              </w:rPr>
            </w:pPr>
            <w:r w:rsidRPr="00951AB1">
              <w:rPr>
                <w:rFonts w:eastAsia="Times New Roman" w:cs="Times New Roman"/>
                <w:b/>
                <w:bCs/>
                <w:sz w:val="16"/>
                <w:szCs w:val="16"/>
                <w:lang w:val="es-419" w:eastAsia="es-419"/>
              </w:rPr>
              <w:t>-</w:t>
            </w:r>
          </w:p>
        </w:tc>
        <w:tc>
          <w:tcPr>
            <w:tcW w:w="3603" w:type="dxa"/>
            <w:gridSpan w:val="3"/>
            <w:tcBorders>
              <w:top w:val="single" w:sz="4" w:space="0" w:color="A6A6A6"/>
              <w:left w:val="nil"/>
              <w:bottom w:val="single" w:sz="4" w:space="0" w:color="A6A6A6"/>
              <w:right w:val="single" w:sz="4" w:space="0" w:color="A6A6A6"/>
            </w:tcBorders>
            <w:vAlign w:val="center"/>
            <w:hideMark/>
          </w:tcPr>
          <w:p w14:paraId="6873478E" w14:textId="77777777" w:rsidR="00573529" w:rsidRPr="00951AB1" w:rsidRDefault="00573529" w:rsidP="000A5389">
            <w:pPr>
              <w:spacing w:line="240" w:lineRule="auto"/>
              <w:rPr>
                <w:rFonts w:eastAsia="Times New Roman" w:cs="Times New Roman"/>
                <w:b/>
                <w:bCs/>
                <w:sz w:val="16"/>
                <w:szCs w:val="16"/>
                <w:lang w:val="es-419" w:eastAsia="es-419"/>
              </w:rPr>
            </w:pPr>
            <w:r w:rsidRPr="00951AB1">
              <w:rPr>
                <w:rFonts w:eastAsia="Times New Roman" w:cs="Times New Roman"/>
                <w:b/>
                <w:bCs/>
                <w:sz w:val="16"/>
                <w:szCs w:val="16"/>
                <w:lang w:val="es-419" w:eastAsia="es-419"/>
              </w:rPr>
              <w:t>SALIDAS (CR):</w:t>
            </w:r>
          </w:p>
        </w:tc>
        <w:tc>
          <w:tcPr>
            <w:tcW w:w="1559" w:type="dxa"/>
            <w:tcBorders>
              <w:top w:val="nil"/>
              <w:left w:val="nil"/>
              <w:bottom w:val="single" w:sz="4" w:space="0" w:color="A6A6A6"/>
              <w:right w:val="single" w:sz="4" w:space="0" w:color="A6A6A6"/>
            </w:tcBorders>
            <w:noWrap/>
            <w:vAlign w:val="center"/>
            <w:hideMark/>
          </w:tcPr>
          <w:p w14:paraId="298D0946" w14:textId="77777777" w:rsidR="00573529" w:rsidRPr="00951AB1" w:rsidRDefault="00573529" w:rsidP="000A5389">
            <w:pPr>
              <w:spacing w:line="240" w:lineRule="auto"/>
              <w:jc w:val="right"/>
              <w:rPr>
                <w:rFonts w:eastAsia="Times New Roman" w:cs="Times New Roman"/>
                <w:b/>
                <w:bCs/>
                <w:sz w:val="16"/>
                <w:szCs w:val="16"/>
                <w:lang w:val="es-419" w:eastAsia="es-419"/>
              </w:rPr>
            </w:pPr>
            <w:r w:rsidRPr="00951AB1">
              <w:rPr>
                <w:rFonts w:eastAsia="Times New Roman" w:cs="Times New Roman"/>
                <w:b/>
                <w:bCs/>
                <w:sz w:val="16"/>
                <w:szCs w:val="16"/>
                <w:lang w:val="es-419" w:eastAsia="es-419"/>
              </w:rPr>
              <w:t xml:space="preserve">10.537.787.255 </w:t>
            </w:r>
          </w:p>
        </w:tc>
        <w:tc>
          <w:tcPr>
            <w:tcW w:w="1096" w:type="dxa"/>
            <w:tcBorders>
              <w:top w:val="nil"/>
              <w:left w:val="nil"/>
              <w:bottom w:val="single" w:sz="4" w:space="0" w:color="A6A6A6"/>
              <w:right w:val="single" w:sz="4" w:space="0" w:color="A6A6A6"/>
            </w:tcBorders>
            <w:noWrap/>
            <w:vAlign w:val="center"/>
            <w:hideMark/>
          </w:tcPr>
          <w:p w14:paraId="22A9917B" w14:textId="77777777" w:rsidR="00573529" w:rsidRPr="00951AB1" w:rsidRDefault="00573529" w:rsidP="000A5389">
            <w:pPr>
              <w:spacing w:line="240" w:lineRule="auto"/>
              <w:jc w:val="right"/>
              <w:rPr>
                <w:rFonts w:eastAsia="Times New Roman" w:cs="Times New Roman"/>
                <w:b/>
                <w:bCs/>
                <w:sz w:val="16"/>
                <w:szCs w:val="16"/>
                <w:lang w:val="es-419" w:eastAsia="es-419"/>
              </w:rPr>
            </w:pPr>
            <w:r w:rsidRPr="00951AB1">
              <w:rPr>
                <w:rFonts w:eastAsia="Times New Roman" w:cs="Times New Roman"/>
                <w:b/>
                <w:bCs/>
                <w:sz w:val="16"/>
                <w:szCs w:val="16"/>
                <w:lang w:val="es-419" w:eastAsia="es-419"/>
              </w:rPr>
              <w:t xml:space="preserve">0 </w:t>
            </w:r>
          </w:p>
        </w:tc>
        <w:tc>
          <w:tcPr>
            <w:tcW w:w="1172" w:type="dxa"/>
            <w:tcBorders>
              <w:top w:val="nil"/>
              <w:left w:val="nil"/>
              <w:bottom w:val="single" w:sz="4" w:space="0" w:color="A6A6A6"/>
              <w:right w:val="single" w:sz="4" w:space="0" w:color="A6A6A6"/>
            </w:tcBorders>
            <w:noWrap/>
            <w:vAlign w:val="center"/>
            <w:hideMark/>
          </w:tcPr>
          <w:p w14:paraId="5E3EE75C" w14:textId="77777777" w:rsidR="00573529" w:rsidRPr="00951AB1" w:rsidRDefault="00573529" w:rsidP="000A5389">
            <w:pPr>
              <w:spacing w:line="240" w:lineRule="auto"/>
              <w:jc w:val="right"/>
              <w:rPr>
                <w:rFonts w:eastAsia="Times New Roman" w:cs="Times New Roman"/>
                <w:b/>
                <w:bCs/>
                <w:sz w:val="16"/>
                <w:szCs w:val="16"/>
                <w:lang w:val="es-419" w:eastAsia="es-419"/>
              </w:rPr>
            </w:pPr>
            <w:r w:rsidRPr="00951AB1">
              <w:rPr>
                <w:rFonts w:eastAsia="Times New Roman" w:cs="Times New Roman"/>
                <w:b/>
                <w:bCs/>
                <w:sz w:val="16"/>
                <w:szCs w:val="16"/>
                <w:lang w:val="es-419" w:eastAsia="es-419"/>
              </w:rPr>
              <w:t xml:space="preserve">0 </w:t>
            </w:r>
          </w:p>
        </w:tc>
        <w:tc>
          <w:tcPr>
            <w:tcW w:w="1417" w:type="dxa"/>
            <w:tcBorders>
              <w:top w:val="nil"/>
              <w:left w:val="nil"/>
              <w:bottom w:val="single" w:sz="4" w:space="0" w:color="A6A6A6"/>
              <w:right w:val="single" w:sz="4" w:space="0" w:color="A6A6A6"/>
            </w:tcBorders>
            <w:noWrap/>
            <w:vAlign w:val="center"/>
            <w:hideMark/>
          </w:tcPr>
          <w:p w14:paraId="2E3E9FCC" w14:textId="77777777" w:rsidR="00573529" w:rsidRPr="00951AB1" w:rsidRDefault="00573529" w:rsidP="000A5389">
            <w:pPr>
              <w:spacing w:line="240" w:lineRule="auto"/>
              <w:jc w:val="right"/>
              <w:rPr>
                <w:rFonts w:eastAsia="Times New Roman" w:cs="Times New Roman"/>
                <w:b/>
                <w:bCs/>
                <w:sz w:val="16"/>
                <w:szCs w:val="16"/>
                <w:lang w:val="es-419" w:eastAsia="es-419"/>
              </w:rPr>
            </w:pPr>
            <w:r w:rsidRPr="00951AB1">
              <w:rPr>
                <w:rFonts w:eastAsia="Times New Roman" w:cs="Times New Roman"/>
                <w:b/>
                <w:bCs/>
                <w:sz w:val="16"/>
                <w:szCs w:val="16"/>
                <w:lang w:val="es-419" w:eastAsia="es-419"/>
              </w:rPr>
              <w:t xml:space="preserve">10.537.787.255 </w:t>
            </w:r>
          </w:p>
        </w:tc>
      </w:tr>
      <w:tr w:rsidR="00573529" w:rsidRPr="00951AB1" w14:paraId="5671E4AD" w14:textId="77777777">
        <w:trPr>
          <w:trHeight w:val="290"/>
        </w:trPr>
        <w:tc>
          <w:tcPr>
            <w:tcW w:w="220" w:type="dxa"/>
            <w:tcBorders>
              <w:top w:val="nil"/>
              <w:left w:val="single" w:sz="4" w:space="0" w:color="A6A6A6"/>
              <w:bottom w:val="single" w:sz="4" w:space="0" w:color="A6A6A6"/>
              <w:right w:val="nil"/>
            </w:tcBorders>
            <w:noWrap/>
            <w:vAlign w:val="center"/>
            <w:hideMark/>
          </w:tcPr>
          <w:p w14:paraId="135380E6" w14:textId="77777777" w:rsidR="00573529" w:rsidRPr="00951AB1" w:rsidRDefault="00573529" w:rsidP="000A5389">
            <w:pPr>
              <w:spacing w:line="240" w:lineRule="auto"/>
              <w:rPr>
                <w:rFonts w:eastAsia="Times New Roman" w:cs="Times New Roman"/>
                <w:sz w:val="16"/>
                <w:szCs w:val="16"/>
                <w:lang w:val="es-419" w:eastAsia="es-419"/>
              </w:rPr>
            </w:pPr>
            <w:r w:rsidRPr="00951AB1">
              <w:rPr>
                <w:rFonts w:eastAsia="Times New Roman" w:cs="Times New Roman"/>
                <w:sz w:val="16"/>
                <w:szCs w:val="16"/>
                <w:lang w:val="es-419" w:eastAsia="es-419"/>
              </w:rPr>
              <w:t> </w:t>
            </w:r>
          </w:p>
        </w:tc>
        <w:tc>
          <w:tcPr>
            <w:tcW w:w="189" w:type="dxa"/>
            <w:tcBorders>
              <w:top w:val="nil"/>
              <w:left w:val="nil"/>
              <w:bottom w:val="single" w:sz="4" w:space="0" w:color="A6A6A6"/>
              <w:right w:val="nil"/>
            </w:tcBorders>
            <w:noWrap/>
            <w:vAlign w:val="center"/>
            <w:hideMark/>
          </w:tcPr>
          <w:p w14:paraId="0584AA5C" w14:textId="77777777" w:rsidR="00573529" w:rsidRPr="00951AB1" w:rsidRDefault="00573529" w:rsidP="000A5389">
            <w:pPr>
              <w:spacing w:line="240" w:lineRule="auto"/>
              <w:rPr>
                <w:rFonts w:eastAsia="Times New Roman" w:cs="Times New Roman"/>
                <w:sz w:val="16"/>
                <w:szCs w:val="16"/>
                <w:lang w:val="es-419" w:eastAsia="es-419"/>
              </w:rPr>
            </w:pPr>
            <w:r w:rsidRPr="00951AB1">
              <w:rPr>
                <w:rFonts w:eastAsia="Times New Roman" w:cs="Times New Roman"/>
                <w:sz w:val="16"/>
                <w:szCs w:val="16"/>
                <w:lang w:val="es-419" w:eastAsia="es-419"/>
              </w:rPr>
              <w:t> </w:t>
            </w:r>
          </w:p>
        </w:tc>
        <w:tc>
          <w:tcPr>
            <w:tcW w:w="3414" w:type="dxa"/>
            <w:gridSpan w:val="2"/>
            <w:tcBorders>
              <w:top w:val="single" w:sz="4" w:space="0" w:color="A6A6A6"/>
              <w:left w:val="nil"/>
              <w:bottom w:val="single" w:sz="4" w:space="0" w:color="A6A6A6"/>
              <w:right w:val="single" w:sz="4" w:space="0" w:color="A6A6A6"/>
            </w:tcBorders>
            <w:noWrap/>
            <w:vAlign w:val="center"/>
            <w:hideMark/>
          </w:tcPr>
          <w:p w14:paraId="4D8844BE" w14:textId="77777777" w:rsidR="00573529" w:rsidRPr="00951AB1" w:rsidRDefault="00573529" w:rsidP="000A5389">
            <w:pPr>
              <w:spacing w:line="240" w:lineRule="auto"/>
              <w:rPr>
                <w:rFonts w:eastAsia="Times New Roman" w:cs="Times New Roman"/>
                <w:sz w:val="16"/>
                <w:szCs w:val="16"/>
                <w:lang w:val="es-419" w:eastAsia="es-419"/>
              </w:rPr>
            </w:pPr>
            <w:r w:rsidRPr="00951AB1">
              <w:rPr>
                <w:rFonts w:eastAsia="Times New Roman" w:cs="Times New Roman"/>
                <w:sz w:val="16"/>
                <w:szCs w:val="16"/>
                <w:lang w:val="es-419" w:eastAsia="es-419"/>
              </w:rPr>
              <w:t>Otras salidas de intangibles</w:t>
            </w:r>
          </w:p>
        </w:tc>
        <w:tc>
          <w:tcPr>
            <w:tcW w:w="1559" w:type="dxa"/>
            <w:tcBorders>
              <w:top w:val="nil"/>
              <w:left w:val="nil"/>
              <w:bottom w:val="single" w:sz="4" w:space="0" w:color="A6A6A6"/>
              <w:right w:val="single" w:sz="4" w:space="0" w:color="A6A6A6"/>
            </w:tcBorders>
            <w:noWrap/>
            <w:vAlign w:val="center"/>
            <w:hideMark/>
          </w:tcPr>
          <w:p w14:paraId="7FC20523" w14:textId="77777777" w:rsidR="00573529" w:rsidRPr="00951AB1" w:rsidRDefault="00573529" w:rsidP="000A5389">
            <w:pPr>
              <w:spacing w:line="240" w:lineRule="auto"/>
              <w:jc w:val="right"/>
              <w:rPr>
                <w:rFonts w:eastAsia="Times New Roman" w:cs="Times New Roman"/>
                <w:sz w:val="16"/>
                <w:szCs w:val="16"/>
                <w:lang w:val="es-419" w:eastAsia="es-419"/>
              </w:rPr>
            </w:pPr>
            <w:r w:rsidRPr="00951AB1">
              <w:rPr>
                <w:rFonts w:eastAsia="Times New Roman" w:cs="Times New Roman"/>
                <w:sz w:val="16"/>
                <w:szCs w:val="16"/>
                <w:lang w:val="es-419" w:eastAsia="es-419"/>
              </w:rPr>
              <w:t xml:space="preserve">10.537.787.255 </w:t>
            </w:r>
          </w:p>
        </w:tc>
        <w:tc>
          <w:tcPr>
            <w:tcW w:w="1096" w:type="dxa"/>
            <w:tcBorders>
              <w:top w:val="nil"/>
              <w:left w:val="nil"/>
              <w:bottom w:val="single" w:sz="4" w:space="0" w:color="A6A6A6"/>
              <w:right w:val="single" w:sz="4" w:space="0" w:color="A6A6A6"/>
            </w:tcBorders>
            <w:noWrap/>
            <w:vAlign w:val="center"/>
            <w:hideMark/>
          </w:tcPr>
          <w:p w14:paraId="514C00EE" w14:textId="77777777" w:rsidR="00573529" w:rsidRPr="00951AB1" w:rsidRDefault="00573529" w:rsidP="000A5389">
            <w:pPr>
              <w:spacing w:line="240" w:lineRule="auto"/>
              <w:jc w:val="right"/>
              <w:rPr>
                <w:rFonts w:eastAsia="Times New Roman" w:cs="Times New Roman"/>
                <w:sz w:val="16"/>
                <w:szCs w:val="16"/>
                <w:lang w:val="es-419" w:eastAsia="es-419"/>
              </w:rPr>
            </w:pPr>
            <w:r w:rsidRPr="00951AB1">
              <w:rPr>
                <w:rFonts w:eastAsia="Times New Roman" w:cs="Times New Roman"/>
                <w:sz w:val="16"/>
                <w:szCs w:val="16"/>
                <w:lang w:val="es-419" w:eastAsia="es-419"/>
              </w:rPr>
              <w:t xml:space="preserve">0 </w:t>
            </w:r>
          </w:p>
        </w:tc>
        <w:tc>
          <w:tcPr>
            <w:tcW w:w="1172" w:type="dxa"/>
            <w:tcBorders>
              <w:top w:val="nil"/>
              <w:left w:val="nil"/>
              <w:bottom w:val="single" w:sz="4" w:space="0" w:color="A6A6A6"/>
              <w:right w:val="single" w:sz="4" w:space="0" w:color="A6A6A6"/>
            </w:tcBorders>
            <w:noWrap/>
            <w:vAlign w:val="center"/>
            <w:hideMark/>
          </w:tcPr>
          <w:p w14:paraId="6BCC95FB" w14:textId="77777777" w:rsidR="00573529" w:rsidRPr="00951AB1" w:rsidRDefault="00573529" w:rsidP="000A5389">
            <w:pPr>
              <w:spacing w:line="240" w:lineRule="auto"/>
              <w:jc w:val="right"/>
              <w:rPr>
                <w:rFonts w:eastAsia="Times New Roman" w:cs="Times New Roman"/>
                <w:sz w:val="16"/>
                <w:szCs w:val="16"/>
                <w:lang w:val="es-419" w:eastAsia="es-419"/>
              </w:rPr>
            </w:pPr>
            <w:r w:rsidRPr="00951AB1">
              <w:rPr>
                <w:rFonts w:eastAsia="Times New Roman" w:cs="Times New Roman"/>
                <w:sz w:val="16"/>
                <w:szCs w:val="16"/>
                <w:lang w:val="es-419" w:eastAsia="es-419"/>
              </w:rPr>
              <w:t xml:space="preserve">0 </w:t>
            </w:r>
          </w:p>
        </w:tc>
        <w:tc>
          <w:tcPr>
            <w:tcW w:w="1417" w:type="dxa"/>
            <w:tcBorders>
              <w:top w:val="nil"/>
              <w:left w:val="nil"/>
              <w:bottom w:val="single" w:sz="4" w:space="0" w:color="A6A6A6"/>
              <w:right w:val="single" w:sz="4" w:space="0" w:color="A6A6A6"/>
            </w:tcBorders>
            <w:noWrap/>
            <w:vAlign w:val="center"/>
            <w:hideMark/>
          </w:tcPr>
          <w:p w14:paraId="22A2B120" w14:textId="77777777" w:rsidR="00573529" w:rsidRPr="00951AB1" w:rsidRDefault="00573529" w:rsidP="000A5389">
            <w:pPr>
              <w:spacing w:line="240" w:lineRule="auto"/>
              <w:jc w:val="right"/>
              <w:rPr>
                <w:rFonts w:eastAsia="Times New Roman" w:cs="Times New Roman"/>
                <w:sz w:val="16"/>
                <w:szCs w:val="16"/>
                <w:lang w:val="es-419" w:eastAsia="es-419"/>
              </w:rPr>
            </w:pPr>
            <w:r w:rsidRPr="00951AB1">
              <w:rPr>
                <w:rFonts w:eastAsia="Times New Roman" w:cs="Times New Roman"/>
                <w:sz w:val="16"/>
                <w:szCs w:val="16"/>
                <w:lang w:val="es-419" w:eastAsia="es-419"/>
              </w:rPr>
              <w:t xml:space="preserve">10.537.787.255 </w:t>
            </w:r>
          </w:p>
        </w:tc>
      </w:tr>
      <w:tr w:rsidR="00573529" w:rsidRPr="00951AB1" w14:paraId="0FB309CA" w14:textId="77777777">
        <w:trPr>
          <w:trHeight w:val="290"/>
        </w:trPr>
        <w:tc>
          <w:tcPr>
            <w:tcW w:w="220" w:type="dxa"/>
            <w:tcBorders>
              <w:top w:val="nil"/>
              <w:left w:val="single" w:sz="4" w:space="0" w:color="A6A6A6"/>
              <w:bottom w:val="single" w:sz="4" w:space="0" w:color="A6A6A6"/>
              <w:right w:val="nil"/>
            </w:tcBorders>
            <w:noWrap/>
            <w:vAlign w:val="center"/>
            <w:hideMark/>
          </w:tcPr>
          <w:p w14:paraId="6A5EA8B2" w14:textId="77777777" w:rsidR="00573529" w:rsidRPr="00951AB1" w:rsidRDefault="00573529" w:rsidP="000A5389">
            <w:pPr>
              <w:spacing w:line="240" w:lineRule="auto"/>
              <w:rPr>
                <w:rFonts w:eastAsia="Times New Roman" w:cs="Times New Roman"/>
                <w:sz w:val="16"/>
                <w:szCs w:val="16"/>
                <w:lang w:val="es-419" w:eastAsia="es-419"/>
              </w:rPr>
            </w:pPr>
            <w:r w:rsidRPr="00951AB1">
              <w:rPr>
                <w:rFonts w:eastAsia="Times New Roman" w:cs="Times New Roman"/>
                <w:sz w:val="16"/>
                <w:szCs w:val="16"/>
                <w:lang w:val="es-419" w:eastAsia="es-419"/>
              </w:rPr>
              <w:t> </w:t>
            </w:r>
          </w:p>
        </w:tc>
        <w:tc>
          <w:tcPr>
            <w:tcW w:w="189" w:type="dxa"/>
            <w:tcBorders>
              <w:top w:val="nil"/>
              <w:left w:val="nil"/>
              <w:bottom w:val="single" w:sz="4" w:space="0" w:color="A6A6A6"/>
              <w:right w:val="nil"/>
            </w:tcBorders>
            <w:noWrap/>
            <w:vAlign w:val="center"/>
            <w:hideMark/>
          </w:tcPr>
          <w:p w14:paraId="4C7AAB6D" w14:textId="77777777" w:rsidR="00573529" w:rsidRPr="00951AB1" w:rsidRDefault="00573529" w:rsidP="000A5389">
            <w:pPr>
              <w:spacing w:line="240" w:lineRule="auto"/>
              <w:rPr>
                <w:rFonts w:eastAsia="Times New Roman" w:cs="Times New Roman"/>
                <w:sz w:val="16"/>
                <w:szCs w:val="16"/>
                <w:lang w:val="es-419" w:eastAsia="es-419"/>
              </w:rPr>
            </w:pPr>
            <w:r w:rsidRPr="00951AB1">
              <w:rPr>
                <w:rFonts w:eastAsia="Times New Roman" w:cs="Times New Roman"/>
                <w:sz w:val="16"/>
                <w:szCs w:val="16"/>
                <w:lang w:val="es-419" w:eastAsia="es-419"/>
              </w:rPr>
              <w:t> </w:t>
            </w:r>
          </w:p>
        </w:tc>
        <w:tc>
          <w:tcPr>
            <w:tcW w:w="220" w:type="dxa"/>
            <w:tcBorders>
              <w:top w:val="nil"/>
              <w:left w:val="nil"/>
              <w:bottom w:val="single" w:sz="4" w:space="0" w:color="A6A6A6"/>
              <w:right w:val="nil"/>
            </w:tcBorders>
            <w:noWrap/>
            <w:vAlign w:val="center"/>
            <w:hideMark/>
          </w:tcPr>
          <w:p w14:paraId="190F4A9E" w14:textId="77777777" w:rsidR="00573529" w:rsidRPr="00951AB1" w:rsidRDefault="00573529" w:rsidP="000A5389">
            <w:pPr>
              <w:spacing w:line="240" w:lineRule="auto"/>
              <w:rPr>
                <w:rFonts w:eastAsia="Times New Roman" w:cs="Times New Roman"/>
                <w:sz w:val="16"/>
                <w:szCs w:val="16"/>
                <w:lang w:val="es-419" w:eastAsia="es-419"/>
              </w:rPr>
            </w:pPr>
            <w:r w:rsidRPr="00951AB1">
              <w:rPr>
                <w:rFonts w:eastAsia="Times New Roman" w:cs="Times New Roman"/>
                <w:sz w:val="16"/>
                <w:szCs w:val="16"/>
                <w:lang w:val="es-419" w:eastAsia="es-419"/>
              </w:rPr>
              <w:t> </w:t>
            </w:r>
          </w:p>
        </w:tc>
        <w:tc>
          <w:tcPr>
            <w:tcW w:w="3194" w:type="dxa"/>
            <w:tcBorders>
              <w:top w:val="nil"/>
              <w:left w:val="nil"/>
              <w:bottom w:val="single" w:sz="4" w:space="0" w:color="A6A6A6"/>
              <w:right w:val="single" w:sz="4" w:space="0" w:color="A6A6A6"/>
            </w:tcBorders>
            <w:vAlign w:val="center"/>
            <w:hideMark/>
          </w:tcPr>
          <w:p w14:paraId="7AAE56F4" w14:textId="77777777" w:rsidR="00573529" w:rsidRPr="00951AB1" w:rsidRDefault="00573529" w:rsidP="000A5389">
            <w:pPr>
              <w:spacing w:line="240" w:lineRule="auto"/>
              <w:rPr>
                <w:rFonts w:eastAsia="Times New Roman" w:cs="Times New Roman"/>
                <w:sz w:val="16"/>
                <w:szCs w:val="16"/>
                <w:lang w:val="es-419" w:eastAsia="es-419"/>
              </w:rPr>
            </w:pPr>
            <w:r w:rsidRPr="00951AB1">
              <w:rPr>
                <w:rFonts w:eastAsia="Times New Roman" w:cs="Times New Roman"/>
                <w:sz w:val="16"/>
                <w:szCs w:val="16"/>
                <w:lang w:val="es-419" w:eastAsia="es-419"/>
              </w:rPr>
              <w:t>* Activos asociados modo férreo</w:t>
            </w:r>
          </w:p>
        </w:tc>
        <w:tc>
          <w:tcPr>
            <w:tcW w:w="1559" w:type="dxa"/>
            <w:tcBorders>
              <w:top w:val="nil"/>
              <w:left w:val="nil"/>
              <w:bottom w:val="single" w:sz="4" w:space="0" w:color="A6A6A6"/>
              <w:right w:val="single" w:sz="4" w:space="0" w:color="A6A6A6"/>
            </w:tcBorders>
            <w:noWrap/>
            <w:vAlign w:val="center"/>
            <w:hideMark/>
          </w:tcPr>
          <w:p w14:paraId="0D4ABA64" w14:textId="77777777" w:rsidR="00573529" w:rsidRPr="00951AB1" w:rsidRDefault="00573529" w:rsidP="000A5389">
            <w:pPr>
              <w:spacing w:line="240" w:lineRule="auto"/>
              <w:jc w:val="right"/>
              <w:rPr>
                <w:rFonts w:eastAsia="Times New Roman" w:cs="Times New Roman"/>
                <w:sz w:val="16"/>
                <w:szCs w:val="16"/>
                <w:lang w:val="es-419" w:eastAsia="es-419"/>
              </w:rPr>
            </w:pPr>
            <w:r w:rsidRPr="00951AB1">
              <w:rPr>
                <w:rFonts w:eastAsia="Times New Roman" w:cs="Times New Roman"/>
                <w:sz w:val="16"/>
                <w:szCs w:val="16"/>
                <w:lang w:val="es-419" w:eastAsia="es-419"/>
              </w:rPr>
              <w:t xml:space="preserve">10.537.787.255 </w:t>
            </w:r>
          </w:p>
        </w:tc>
        <w:tc>
          <w:tcPr>
            <w:tcW w:w="1096" w:type="dxa"/>
            <w:tcBorders>
              <w:top w:val="nil"/>
              <w:left w:val="nil"/>
              <w:bottom w:val="single" w:sz="4" w:space="0" w:color="A6A6A6"/>
              <w:right w:val="single" w:sz="4" w:space="0" w:color="A6A6A6"/>
            </w:tcBorders>
            <w:noWrap/>
            <w:vAlign w:val="center"/>
            <w:hideMark/>
          </w:tcPr>
          <w:p w14:paraId="06DD499A" w14:textId="77777777" w:rsidR="00573529" w:rsidRPr="00951AB1" w:rsidRDefault="00573529" w:rsidP="000A5389">
            <w:pPr>
              <w:spacing w:line="240" w:lineRule="auto"/>
              <w:jc w:val="right"/>
              <w:rPr>
                <w:rFonts w:eastAsia="Times New Roman" w:cs="Times New Roman"/>
                <w:sz w:val="16"/>
                <w:szCs w:val="16"/>
                <w:lang w:val="es-419" w:eastAsia="es-419"/>
              </w:rPr>
            </w:pPr>
            <w:r w:rsidRPr="00951AB1">
              <w:rPr>
                <w:rFonts w:eastAsia="Times New Roman" w:cs="Times New Roman"/>
                <w:sz w:val="16"/>
                <w:szCs w:val="16"/>
                <w:lang w:val="es-419" w:eastAsia="es-419"/>
              </w:rPr>
              <w:t xml:space="preserve">0 </w:t>
            </w:r>
          </w:p>
        </w:tc>
        <w:tc>
          <w:tcPr>
            <w:tcW w:w="1172" w:type="dxa"/>
            <w:tcBorders>
              <w:top w:val="nil"/>
              <w:left w:val="nil"/>
              <w:bottom w:val="single" w:sz="4" w:space="0" w:color="A6A6A6"/>
              <w:right w:val="single" w:sz="4" w:space="0" w:color="A6A6A6"/>
            </w:tcBorders>
            <w:noWrap/>
            <w:vAlign w:val="center"/>
            <w:hideMark/>
          </w:tcPr>
          <w:p w14:paraId="725D400E" w14:textId="77777777" w:rsidR="00573529" w:rsidRPr="00951AB1" w:rsidRDefault="00573529" w:rsidP="000A5389">
            <w:pPr>
              <w:spacing w:line="240" w:lineRule="auto"/>
              <w:jc w:val="right"/>
              <w:rPr>
                <w:rFonts w:eastAsia="Times New Roman" w:cs="Times New Roman"/>
                <w:sz w:val="16"/>
                <w:szCs w:val="16"/>
                <w:lang w:val="es-419" w:eastAsia="es-419"/>
              </w:rPr>
            </w:pPr>
            <w:r w:rsidRPr="00951AB1">
              <w:rPr>
                <w:rFonts w:eastAsia="Times New Roman" w:cs="Times New Roman"/>
                <w:sz w:val="16"/>
                <w:szCs w:val="16"/>
                <w:lang w:val="es-419" w:eastAsia="es-419"/>
              </w:rPr>
              <w:t xml:space="preserve">0 </w:t>
            </w:r>
          </w:p>
        </w:tc>
        <w:tc>
          <w:tcPr>
            <w:tcW w:w="1417" w:type="dxa"/>
            <w:tcBorders>
              <w:top w:val="nil"/>
              <w:left w:val="nil"/>
              <w:bottom w:val="single" w:sz="4" w:space="0" w:color="A6A6A6"/>
              <w:right w:val="single" w:sz="4" w:space="0" w:color="A6A6A6"/>
            </w:tcBorders>
            <w:noWrap/>
            <w:vAlign w:val="center"/>
            <w:hideMark/>
          </w:tcPr>
          <w:p w14:paraId="7E6F523E" w14:textId="77777777" w:rsidR="00573529" w:rsidRPr="00951AB1" w:rsidRDefault="00573529" w:rsidP="000A5389">
            <w:pPr>
              <w:spacing w:line="240" w:lineRule="auto"/>
              <w:jc w:val="right"/>
              <w:rPr>
                <w:rFonts w:eastAsia="Times New Roman" w:cs="Times New Roman"/>
                <w:sz w:val="16"/>
                <w:szCs w:val="16"/>
                <w:lang w:val="es-419" w:eastAsia="es-419"/>
              </w:rPr>
            </w:pPr>
            <w:r w:rsidRPr="00951AB1">
              <w:rPr>
                <w:rFonts w:eastAsia="Times New Roman" w:cs="Times New Roman"/>
                <w:sz w:val="16"/>
                <w:szCs w:val="16"/>
                <w:lang w:val="es-419" w:eastAsia="es-419"/>
              </w:rPr>
              <w:t xml:space="preserve">10.537.787.255 </w:t>
            </w:r>
          </w:p>
        </w:tc>
      </w:tr>
      <w:tr w:rsidR="00573529" w:rsidRPr="00951AB1" w14:paraId="3A2A680C" w14:textId="77777777">
        <w:trPr>
          <w:trHeight w:val="410"/>
        </w:trPr>
        <w:tc>
          <w:tcPr>
            <w:tcW w:w="220" w:type="dxa"/>
            <w:tcBorders>
              <w:top w:val="nil"/>
              <w:left w:val="single" w:sz="4" w:space="0" w:color="A6A6A6"/>
              <w:bottom w:val="single" w:sz="4" w:space="0" w:color="A6A6A6"/>
              <w:right w:val="nil"/>
            </w:tcBorders>
            <w:noWrap/>
            <w:vAlign w:val="center"/>
            <w:hideMark/>
          </w:tcPr>
          <w:p w14:paraId="628B4832" w14:textId="77777777" w:rsidR="00573529" w:rsidRPr="00951AB1" w:rsidRDefault="00573529" w:rsidP="000A5389">
            <w:pPr>
              <w:spacing w:line="240" w:lineRule="auto"/>
              <w:jc w:val="center"/>
              <w:rPr>
                <w:rFonts w:eastAsia="Times New Roman" w:cs="Times New Roman"/>
                <w:b/>
                <w:bCs/>
                <w:sz w:val="16"/>
                <w:szCs w:val="16"/>
                <w:lang w:val="es-419" w:eastAsia="es-419"/>
              </w:rPr>
            </w:pPr>
            <w:r w:rsidRPr="00951AB1">
              <w:rPr>
                <w:rFonts w:eastAsia="Times New Roman" w:cs="Times New Roman"/>
                <w:b/>
                <w:bCs/>
                <w:sz w:val="16"/>
                <w:szCs w:val="16"/>
                <w:lang w:val="es-419" w:eastAsia="es-419"/>
              </w:rPr>
              <w:t>=</w:t>
            </w:r>
          </w:p>
        </w:tc>
        <w:tc>
          <w:tcPr>
            <w:tcW w:w="3603" w:type="dxa"/>
            <w:gridSpan w:val="3"/>
            <w:tcBorders>
              <w:top w:val="single" w:sz="4" w:space="0" w:color="A6A6A6"/>
              <w:left w:val="nil"/>
              <w:bottom w:val="single" w:sz="4" w:space="0" w:color="A6A6A6"/>
              <w:right w:val="single" w:sz="4" w:space="0" w:color="A6A6A6"/>
            </w:tcBorders>
            <w:vAlign w:val="center"/>
            <w:hideMark/>
          </w:tcPr>
          <w:p w14:paraId="145DA0C0" w14:textId="77777777" w:rsidR="00573529" w:rsidRPr="00951AB1" w:rsidRDefault="00573529" w:rsidP="000A5389">
            <w:pPr>
              <w:spacing w:line="240" w:lineRule="auto"/>
              <w:rPr>
                <w:rFonts w:eastAsia="Times New Roman" w:cs="Times New Roman"/>
                <w:b/>
                <w:bCs/>
                <w:sz w:val="16"/>
                <w:szCs w:val="16"/>
                <w:lang w:val="es-419" w:eastAsia="es-419"/>
              </w:rPr>
            </w:pPr>
            <w:r w:rsidRPr="00951AB1">
              <w:rPr>
                <w:rFonts w:eastAsia="Times New Roman" w:cs="Times New Roman"/>
                <w:b/>
                <w:bCs/>
                <w:sz w:val="16"/>
                <w:szCs w:val="16"/>
                <w:lang w:val="es-419" w:eastAsia="es-419"/>
              </w:rPr>
              <w:t>SUBTOTAL</w:t>
            </w:r>
            <w:r w:rsidRPr="00951AB1">
              <w:rPr>
                <w:rFonts w:eastAsia="Times New Roman" w:cs="Times New Roman"/>
                <w:b/>
                <w:bCs/>
                <w:sz w:val="16"/>
                <w:szCs w:val="16"/>
                <w:lang w:val="es-419" w:eastAsia="es-419"/>
              </w:rPr>
              <w:br/>
              <w:t>(Saldo inicial + Entradas - Salidas)</w:t>
            </w:r>
          </w:p>
        </w:tc>
        <w:tc>
          <w:tcPr>
            <w:tcW w:w="1559" w:type="dxa"/>
            <w:tcBorders>
              <w:top w:val="nil"/>
              <w:left w:val="nil"/>
              <w:bottom w:val="single" w:sz="4" w:space="0" w:color="A6A6A6"/>
              <w:right w:val="single" w:sz="4" w:space="0" w:color="A6A6A6"/>
            </w:tcBorders>
            <w:noWrap/>
            <w:vAlign w:val="center"/>
            <w:hideMark/>
          </w:tcPr>
          <w:p w14:paraId="66EC9F85" w14:textId="77777777" w:rsidR="00573529" w:rsidRPr="00951AB1" w:rsidRDefault="00573529" w:rsidP="000A5389">
            <w:pPr>
              <w:spacing w:line="240" w:lineRule="auto"/>
              <w:jc w:val="right"/>
              <w:rPr>
                <w:rFonts w:eastAsia="Times New Roman" w:cs="Times New Roman"/>
                <w:b/>
                <w:bCs/>
                <w:sz w:val="16"/>
                <w:szCs w:val="16"/>
                <w:lang w:val="es-419" w:eastAsia="es-419"/>
              </w:rPr>
            </w:pPr>
            <w:r w:rsidRPr="00951AB1">
              <w:rPr>
                <w:rFonts w:eastAsia="Times New Roman" w:cs="Times New Roman"/>
                <w:b/>
                <w:bCs/>
                <w:sz w:val="16"/>
                <w:szCs w:val="16"/>
                <w:lang w:val="es-419" w:eastAsia="es-419"/>
              </w:rPr>
              <w:t xml:space="preserve">168.144.661.877 </w:t>
            </w:r>
          </w:p>
        </w:tc>
        <w:tc>
          <w:tcPr>
            <w:tcW w:w="1096" w:type="dxa"/>
            <w:tcBorders>
              <w:top w:val="nil"/>
              <w:left w:val="nil"/>
              <w:bottom w:val="single" w:sz="4" w:space="0" w:color="A6A6A6"/>
              <w:right w:val="single" w:sz="4" w:space="0" w:color="A6A6A6"/>
            </w:tcBorders>
            <w:noWrap/>
            <w:vAlign w:val="center"/>
            <w:hideMark/>
          </w:tcPr>
          <w:p w14:paraId="1EB08CE2" w14:textId="77777777" w:rsidR="00573529" w:rsidRPr="00951AB1" w:rsidRDefault="00573529" w:rsidP="000A5389">
            <w:pPr>
              <w:spacing w:line="240" w:lineRule="auto"/>
              <w:jc w:val="right"/>
              <w:rPr>
                <w:rFonts w:eastAsia="Times New Roman" w:cs="Times New Roman"/>
                <w:b/>
                <w:bCs/>
                <w:sz w:val="16"/>
                <w:szCs w:val="16"/>
                <w:lang w:val="es-419" w:eastAsia="es-419"/>
              </w:rPr>
            </w:pPr>
            <w:r w:rsidRPr="00951AB1">
              <w:rPr>
                <w:rFonts w:eastAsia="Times New Roman" w:cs="Times New Roman"/>
                <w:b/>
                <w:bCs/>
                <w:sz w:val="16"/>
                <w:szCs w:val="16"/>
                <w:lang w:val="es-419" w:eastAsia="es-419"/>
              </w:rPr>
              <w:t xml:space="preserve">1.741.588.422 </w:t>
            </w:r>
          </w:p>
        </w:tc>
        <w:tc>
          <w:tcPr>
            <w:tcW w:w="1172" w:type="dxa"/>
            <w:tcBorders>
              <w:top w:val="nil"/>
              <w:left w:val="nil"/>
              <w:bottom w:val="single" w:sz="4" w:space="0" w:color="A6A6A6"/>
              <w:right w:val="single" w:sz="4" w:space="0" w:color="A6A6A6"/>
            </w:tcBorders>
            <w:noWrap/>
            <w:vAlign w:val="center"/>
            <w:hideMark/>
          </w:tcPr>
          <w:p w14:paraId="76196C3A" w14:textId="77777777" w:rsidR="00573529" w:rsidRPr="00951AB1" w:rsidRDefault="00573529" w:rsidP="000A5389">
            <w:pPr>
              <w:spacing w:line="240" w:lineRule="auto"/>
              <w:jc w:val="right"/>
              <w:rPr>
                <w:rFonts w:eastAsia="Times New Roman" w:cs="Times New Roman"/>
                <w:b/>
                <w:bCs/>
                <w:sz w:val="16"/>
                <w:szCs w:val="16"/>
                <w:lang w:val="es-419" w:eastAsia="es-419"/>
              </w:rPr>
            </w:pPr>
            <w:r w:rsidRPr="00951AB1">
              <w:rPr>
                <w:rFonts w:eastAsia="Times New Roman" w:cs="Times New Roman"/>
                <w:b/>
                <w:bCs/>
                <w:sz w:val="16"/>
                <w:szCs w:val="16"/>
                <w:lang w:val="es-419" w:eastAsia="es-419"/>
              </w:rPr>
              <w:t xml:space="preserve">2.736.686.633 </w:t>
            </w:r>
          </w:p>
        </w:tc>
        <w:tc>
          <w:tcPr>
            <w:tcW w:w="1417" w:type="dxa"/>
            <w:tcBorders>
              <w:top w:val="nil"/>
              <w:left w:val="nil"/>
              <w:bottom w:val="single" w:sz="4" w:space="0" w:color="A6A6A6"/>
              <w:right w:val="single" w:sz="4" w:space="0" w:color="A6A6A6"/>
            </w:tcBorders>
            <w:noWrap/>
            <w:vAlign w:val="center"/>
            <w:hideMark/>
          </w:tcPr>
          <w:p w14:paraId="4859DAC4" w14:textId="77777777" w:rsidR="00573529" w:rsidRPr="00951AB1" w:rsidRDefault="00573529" w:rsidP="000A5389">
            <w:pPr>
              <w:spacing w:line="240" w:lineRule="auto"/>
              <w:jc w:val="right"/>
              <w:rPr>
                <w:rFonts w:eastAsia="Times New Roman" w:cs="Times New Roman"/>
                <w:b/>
                <w:bCs/>
                <w:sz w:val="16"/>
                <w:szCs w:val="16"/>
                <w:lang w:val="es-419" w:eastAsia="es-419"/>
              </w:rPr>
            </w:pPr>
            <w:r w:rsidRPr="00951AB1">
              <w:rPr>
                <w:rFonts w:eastAsia="Times New Roman" w:cs="Times New Roman"/>
                <w:b/>
                <w:bCs/>
                <w:sz w:val="16"/>
                <w:szCs w:val="16"/>
                <w:lang w:val="es-419" w:eastAsia="es-419"/>
              </w:rPr>
              <w:t xml:space="preserve">172.033.936.932 </w:t>
            </w:r>
          </w:p>
        </w:tc>
      </w:tr>
      <w:tr w:rsidR="00573529" w:rsidRPr="00951AB1" w14:paraId="44805562" w14:textId="77777777">
        <w:trPr>
          <w:trHeight w:val="290"/>
        </w:trPr>
        <w:tc>
          <w:tcPr>
            <w:tcW w:w="220" w:type="dxa"/>
            <w:tcBorders>
              <w:top w:val="nil"/>
              <w:left w:val="single" w:sz="4" w:space="0" w:color="A6A6A6"/>
              <w:bottom w:val="single" w:sz="4" w:space="0" w:color="A6A6A6"/>
              <w:right w:val="nil"/>
            </w:tcBorders>
            <w:noWrap/>
            <w:vAlign w:val="center"/>
            <w:hideMark/>
          </w:tcPr>
          <w:p w14:paraId="07E65BD8" w14:textId="77777777" w:rsidR="00573529" w:rsidRPr="00951AB1" w:rsidRDefault="00573529" w:rsidP="000A5389">
            <w:pPr>
              <w:spacing w:line="240" w:lineRule="auto"/>
              <w:jc w:val="center"/>
              <w:rPr>
                <w:rFonts w:eastAsia="Times New Roman" w:cs="Times New Roman"/>
                <w:b/>
                <w:bCs/>
                <w:sz w:val="16"/>
                <w:szCs w:val="16"/>
                <w:lang w:val="es-419" w:eastAsia="es-419"/>
              </w:rPr>
            </w:pPr>
            <w:r w:rsidRPr="00951AB1">
              <w:rPr>
                <w:rFonts w:eastAsia="Times New Roman" w:cs="Times New Roman"/>
                <w:b/>
                <w:bCs/>
                <w:sz w:val="16"/>
                <w:szCs w:val="16"/>
                <w:lang w:val="es-419" w:eastAsia="es-419"/>
              </w:rPr>
              <w:t>+</w:t>
            </w:r>
          </w:p>
        </w:tc>
        <w:tc>
          <w:tcPr>
            <w:tcW w:w="3603" w:type="dxa"/>
            <w:gridSpan w:val="3"/>
            <w:tcBorders>
              <w:top w:val="single" w:sz="4" w:space="0" w:color="A6A6A6"/>
              <w:left w:val="nil"/>
              <w:bottom w:val="single" w:sz="4" w:space="0" w:color="A6A6A6"/>
              <w:right w:val="single" w:sz="4" w:space="0" w:color="A6A6A6"/>
            </w:tcBorders>
            <w:vAlign w:val="center"/>
            <w:hideMark/>
          </w:tcPr>
          <w:p w14:paraId="2B5E2BE3" w14:textId="77777777" w:rsidR="00573529" w:rsidRPr="00951AB1" w:rsidRDefault="00573529" w:rsidP="000A5389">
            <w:pPr>
              <w:spacing w:line="240" w:lineRule="auto"/>
              <w:rPr>
                <w:rFonts w:eastAsia="Times New Roman" w:cs="Times New Roman"/>
                <w:b/>
                <w:bCs/>
                <w:sz w:val="16"/>
                <w:szCs w:val="16"/>
                <w:lang w:val="es-419" w:eastAsia="es-419"/>
              </w:rPr>
            </w:pPr>
            <w:r w:rsidRPr="00951AB1">
              <w:rPr>
                <w:rFonts w:eastAsia="Times New Roman" w:cs="Times New Roman"/>
                <w:b/>
                <w:bCs/>
                <w:sz w:val="16"/>
                <w:szCs w:val="16"/>
                <w:lang w:val="es-419" w:eastAsia="es-419"/>
              </w:rPr>
              <w:t>CAMBIOS Y MEDICIÓN POSTERIOR</w:t>
            </w:r>
          </w:p>
        </w:tc>
        <w:tc>
          <w:tcPr>
            <w:tcW w:w="1559" w:type="dxa"/>
            <w:tcBorders>
              <w:top w:val="nil"/>
              <w:left w:val="nil"/>
              <w:bottom w:val="single" w:sz="4" w:space="0" w:color="A6A6A6"/>
              <w:right w:val="single" w:sz="4" w:space="0" w:color="A6A6A6"/>
            </w:tcBorders>
            <w:noWrap/>
            <w:vAlign w:val="center"/>
            <w:hideMark/>
          </w:tcPr>
          <w:p w14:paraId="56C662B4" w14:textId="77777777" w:rsidR="00573529" w:rsidRPr="00951AB1" w:rsidRDefault="00573529" w:rsidP="000A5389">
            <w:pPr>
              <w:spacing w:line="240" w:lineRule="auto"/>
              <w:jc w:val="right"/>
              <w:rPr>
                <w:rFonts w:eastAsia="Times New Roman" w:cs="Times New Roman"/>
                <w:b/>
                <w:bCs/>
                <w:sz w:val="16"/>
                <w:szCs w:val="16"/>
                <w:lang w:val="es-419" w:eastAsia="es-419"/>
              </w:rPr>
            </w:pPr>
            <w:r w:rsidRPr="00951AB1">
              <w:rPr>
                <w:rFonts w:eastAsia="Times New Roman" w:cs="Times New Roman"/>
                <w:b/>
                <w:bCs/>
                <w:sz w:val="16"/>
                <w:szCs w:val="16"/>
                <w:lang w:val="es-419" w:eastAsia="es-419"/>
              </w:rPr>
              <w:t xml:space="preserve">723.171.656 </w:t>
            </w:r>
          </w:p>
        </w:tc>
        <w:tc>
          <w:tcPr>
            <w:tcW w:w="1096" w:type="dxa"/>
            <w:tcBorders>
              <w:top w:val="nil"/>
              <w:left w:val="nil"/>
              <w:bottom w:val="single" w:sz="4" w:space="0" w:color="A6A6A6"/>
              <w:right w:val="single" w:sz="4" w:space="0" w:color="A6A6A6"/>
            </w:tcBorders>
            <w:noWrap/>
            <w:vAlign w:val="center"/>
            <w:hideMark/>
          </w:tcPr>
          <w:p w14:paraId="13C578EC" w14:textId="77777777" w:rsidR="00573529" w:rsidRPr="00951AB1" w:rsidRDefault="00573529" w:rsidP="000A5389">
            <w:pPr>
              <w:spacing w:line="240" w:lineRule="auto"/>
              <w:jc w:val="right"/>
              <w:rPr>
                <w:rFonts w:eastAsia="Times New Roman" w:cs="Times New Roman"/>
                <w:b/>
                <w:bCs/>
                <w:sz w:val="16"/>
                <w:szCs w:val="16"/>
                <w:lang w:val="es-419" w:eastAsia="es-419"/>
              </w:rPr>
            </w:pPr>
            <w:r w:rsidRPr="00951AB1">
              <w:rPr>
                <w:rFonts w:eastAsia="Times New Roman" w:cs="Times New Roman"/>
                <w:b/>
                <w:bCs/>
                <w:sz w:val="16"/>
                <w:szCs w:val="16"/>
                <w:lang w:val="es-419" w:eastAsia="es-419"/>
              </w:rPr>
              <w:t xml:space="preserve">0 </w:t>
            </w:r>
          </w:p>
        </w:tc>
        <w:tc>
          <w:tcPr>
            <w:tcW w:w="1172" w:type="dxa"/>
            <w:tcBorders>
              <w:top w:val="nil"/>
              <w:left w:val="nil"/>
              <w:bottom w:val="single" w:sz="4" w:space="0" w:color="A6A6A6"/>
              <w:right w:val="single" w:sz="4" w:space="0" w:color="A6A6A6"/>
            </w:tcBorders>
            <w:noWrap/>
            <w:vAlign w:val="center"/>
            <w:hideMark/>
          </w:tcPr>
          <w:p w14:paraId="19BCADEF" w14:textId="77777777" w:rsidR="00573529" w:rsidRPr="00951AB1" w:rsidRDefault="00573529" w:rsidP="000A5389">
            <w:pPr>
              <w:spacing w:line="240" w:lineRule="auto"/>
              <w:jc w:val="right"/>
              <w:rPr>
                <w:rFonts w:eastAsia="Times New Roman" w:cs="Times New Roman"/>
                <w:b/>
                <w:bCs/>
                <w:sz w:val="16"/>
                <w:szCs w:val="16"/>
                <w:lang w:val="es-419" w:eastAsia="es-419"/>
              </w:rPr>
            </w:pPr>
            <w:r w:rsidRPr="00951AB1">
              <w:rPr>
                <w:rFonts w:eastAsia="Times New Roman" w:cs="Times New Roman"/>
                <w:b/>
                <w:bCs/>
                <w:sz w:val="16"/>
                <w:szCs w:val="16"/>
                <w:lang w:val="es-419" w:eastAsia="es-419"/>
              </w:rPr>
              <w:t xml:space="preserve">0 </w:t>
            </w:r>
          </w:p>
        </w:tc>
        <w:tc>
          <w:tcPr>
            <w:tcW w:w="1417" w:type="dxa"/>
            <w:tcBorders>
              <w:top w:val="nil"/>
              <w:left w:val="nil"/>
              <w:bottom w:val="single" w:sz="4" w:space="0" w:color="A6A6A6"/>
              <w:right w:val="single" w:sz="4" w:space="0" w:color="A6A6A6"/>
            </w:tcBorders>
            <w:noWrap/>
            <w:vAlign w:val="center"/>
            <w:hideMark/>
          </w:tcPr>
          <w:p w14:paraId="76696623" w14:textId="77777777" w:rsidR="00573529" w:rsidRPr="00951AB1" w:rsidRDefault="00573529" w:rsidP="000A5389">
            <w:pPr>
              <w:spacing w:line="240" w:lineRule="auto"/>
              <w:jc w:val="right"/>
              <w:rPr>
                <w:rFonts w:eastAsia="Times New Roman" w:cs="Times New Roman"/>
                <w:b/>
                <w:bCs/>
                <w:sz w:val="16"/>
                <w:szCs w:val="16"/>
                <w:lang w:val="es-419" w:eastAsia="es-419"/>
              </w:rPr>
            </w:pPr>
            <w:r w:rsidRPr="00951AB1">
              <w:rPr>
                <w:rFonts w:eastAsia="Times New Roman" w:cs="Times New Roman"/>
                <w:b/>
                <w:bCs/>
                <w:sz w:val="16"/>
                <w:szCs w:val="16"/>
                <w:lang w:val="es-419" w:eastAsia="es-419"/>
              </w:rPr>
              <w:t xml:space="preserve">1.312.171.656 </w:t>
            </w:r>
          </w:p>
        </w:tc>
      </w:tr>
      <w:tr w:rsidR="00573529" w:rsidRPr="00951AB1" w14:paraId="3C33F00D" w14:textId="77777777">
        <w:trPr>
          <w:trHeight w:val="290"/>
        </w:trPr>
        <w:tc>
          <w:tcPr>
            <w:tcW w:w="220" w:type="dxa"/>
            <w:tcBorders>
              <w:top w:val="nil"/>
              <w:left w:val="single" w:sz="4" w:space="0" w:color="A6A6A6"/>
              <w:bottom w:val="single" w:sz="4" w:space="0" w:color="A6A6A6"/>
              <w:right w:val="nil"/>
            </w:tcBorders>
            <w:noWrap/>
            <w:vAlign w:val="center"/>
            <w:hideMark/>
          </w:tcPr>
          <w:p w14:paraId="0A58766F" w14:textId="77777777" w:rsidR="00573529" w:rsidRPr="00951AB1" w:rsidRDefault="00573529" w:rsidP="000A5389">
            <w:pPr>
              <w:spacing w:line="240" w:lineRule="auto"/>
              <w:jc w:val="center"/>
              <w:rPr>
                <w:rFonts w:eastAsia="Times New Roman" w:cs="Times New Roman"/>
                <w:sz w:val="16"/>
                <w:szCs w:val="16"/>
                <w:lang w:val="es-419" w:eastAsia="es-419"/>
              </w:rPr>
            </w:pPr>
            <w:r w:rsidRPr="00951AB1">
              <w:rPr>
                <w:rFonts w:eastAsia="Times New Roman" w:cs="Times New Roman"/>
                <w:sz w:val="16"/>
                <w:szCs w:val="16"/>
                <w:lang w:val="es-419" w:eastAsia="es-419"/>
              </w:rPr>
              <w:t> </w:t>
            </w:r>
          </w:p>
        </w:tc>
        <w:tc>
          <w:tcPr>
            <w:tcW w:w="189" w:type="dxa"/>
            <w:tcBorders>
              <w:top w:val="nil"/>
              <w:left w:val="nil"/>
              <w:bottom w:val="single" w:sz="4" w:space="0" w:color="A6A6A6"/>
              <w:right w:val="nil"/>
            </w:tcBorders>
            <w:noWrap/>
            <w:vAlign w:val="center"/>
            <w:hideMark/>
          </w:tcPr>
          <w:p w14:paraId="7EC42E07" w14:textId="77777777" w:rsidR="00573529" w:rsidRPr="00951AB1" w:rsidRDefault="00573529" w:rsidP="000A5389">
            <w:pPr>
              <w:spacing w:line="240" w:lineRule="auto"/>
              <w:rPr>
                <w:rFonts w:eastAsia="Times New Roman" w:cs="Times New Roman"/>
                <w:sz w:val="16"/>
                <w:szCs w:val="16"/>
                <w:lang w:val="es-419" w:eastAsia="es-419"/>
              </w:rPr>
            </w:pPr>
            <w:r w:rsidRPr="00951AB1">
              <w:rPr>
                <w:rFonts w:eastAsia="Times New Roman" w:cs="Times New Roman"/>
                <w:sz w:val="16"/>
                <w:szCs w:val="16"/>
                <w:lang w:val="es-419" w:eastAsia="es-419"/>
              </w:rPr>
              <w:t> </w:t>
            </w:r>
          </w:p>
        </w:tc>
        <w:tc>
          <w:tcPr>
            <w:tcW w:w="220" w:type="dxa"/>
            <w:tcBorders>
              <w:top w:val="nil"/>
              <w:left w:val="nil"/>
              <w:bottom w:val="single" w:sz="4" w:space="0" w:color="A6A6A6"/>
              <w:right w:val="nil"/>
            </w:tcBorders>
            <w:noWrap/>
            <w:vAlign w:val="center"/>
            <w:hideMark/>
          </w:tcPr>
          <w:p w14:paraId="4726BB1A" w14:textId="77777777" w:rsidR="00573529" w:rsidRPr="00951AB1" w:rsidRDefault="00573529" w:rsidP="000A5389">
            <w:pPr>
              <w:spacing w:line="240" w:lineRule="auto"/>
              <w:jc w:val="center"/>
              <w:rPr>
                <w:rFonts w:eastAsia="Times New Roman" w:cs="Times New Roman"/>
                <w:sz w:val="16"/>
                <w:szCs w:val="16"/>
                <w:lang w:val="es-419" w:eastAsia="es-419"/>
              </w:rPr>
            </w:pPr>
            <w:r w:rsidRPr="00951AB1">
              <w:rPr>
                <w:rFonts w:eastAsia="Times New Roman" w:cs="Times New Roman"/>
                <w:sz w:val="16"/>
                <w:szCs w:val="16"/>
                <w:lang w:val="es-419" w:eastAsia="es-419"/>
              </w:rPr>
              <w:t>+</w:t>
            </w:r>
          </w:p>
        </w:tc>
        <w:tc>
          <w:tcPr>
            <w:tcW w:w="3194" w:type="dxa"/>
            <w:tcBorders>
              <w:top w:val="nil"/>
              <w:left w:val="nil"/>
              <w:bottom w:val="single" w:sz="4" w:space="0" w:color="A6A6A6"/>
              <w:right w:val="single" w:sz="4" w:space="0" w:color="A6A6A6"/>
            </w:tcBorders>
            <w:vAlign w:val="center"/>
            <w:hideMark/>
          </w:tcPr>
          <w:p w14:paraId="33E4B853" w14:textId="77777777" w:rsidR="00573529" w:rsidRPr="00951AB1" w:rsidRDefault="00573529" w:rsidP="000A5389">
            <w:pPr>
              <w:spacing w:line="240" w:lineRule="auto"/>
              <w:rPr>
                <w:rFonts w:eastAsia="Times New Roman" w:cs="Times New Roman"/>
                <w:sz w:val="16"/>
                <w:szCs w:val="16"/>
                <w:lang w:val="es-419" w:eastAsia="es-419"/>
              </w:rPr>
            </w:pPr>
            <w:r w:rsidRPr="00951AB1">
              <w:rPr>
                <w:rFonts w:eastAsia="Times New Roman" w:cs="Times New Roman"/>
                <w:sz w:val="16"/>
                <w:szCs w:val="16"/>
                <w:lang w:val="es-419" w:eastAsia="es-419"/>
              </w:rPr>
              <w:t>Entrada por traslado de cuentas (DB)</w:t>
            </w:r>
          </w:p>
        </w:tc>
        <w:tc>
          <w:tcPr>
            <w:tcW w:w="1559" w:type="dxa"/>
            <w:tcBorders>
              <w:top w:val="nil"/>
              <w:left w:val="nil"/>
              <w:bottom w:val="single" w:sz="4" w:space="0" w:color="A6A6A6"/>
              <w:right w:val="single" w:sz="4" w:space="0" w:color="A6A6A6"/>
            </w:tcBorders>
            <w:noWrap/>
            <w:vAlign w:val="center"/>
            <w:hideMark/>
          </w:tcPr>
          <w:p w14:paraId="688026DC" w14:textId="77777777" w:rsidR="00573529" w:rsidRPr="00951AB1" w:rsidRDefault="00573529" w:rsidP="000A5389">
            <w:pPr>
              <w:spacing w:line="240" w:lineRule="auto"/>
              <w:jc w:val="right"/>
              <w:rPr>
                <w:rFonts w:eastAsia="Times New Roman" w:cs="Times New Roman"/>
                <w:sz w:val="16"/>
                <w:szCs w:val="16"/>
                <w:lang w:val="es-419" w:eastAsia="es-419"/>
              </w:rPr>
            </w:pPr>
            <w:r w:rsidRPr="00951AB1">
              <w:rPr>
                <w:rFonts w:eastAsia="Times New Roman" w:cs="Times New Roman"/>
                <w:sz w:val="16"/>
                <w:szCs w:val="16"/>
                <w:lang w:val="es-419" w:eastAsia="es-419"/>
              </w:rPr>
              <w:t xml:space="preserve">1.591.003.437 </w:t>
            </w:r>
          </w:p>
        </w:tc>
        <w:tc>
          <w:tcPr>
            <w:tcW w:w="1096" w:type="dxa"/>
            <w:tcBorders>
              <w:top w:val="nil"/>
              <w:left w:val="nil"/>
              <w:bottom w:val="single" w:sz="4" w:space="0" w:color="A6A6A6"/>
              <w:right w:val="single" w:sz="4" w:space="0" w:color="A6A6A6"/>
            </w:tcBorders>
            <w:noWrap/>
            <w:vAlign w:val="center"/>
            <w:hideMark/>
          </w:tcPr>
          <w:p w14:paraId="175FB68B" w14:textId="77777777" w:rsidR="00573529" w:rsidRPr="00951AB1" w:rsidRDefault="00573529" w:rsidP="000A5389">
            <w:pPr>
              <w:spacing w:line="240" w:lineRule="auto"/>
              <w:jc w:val="right"/>
              <w:rPr>
                <w:rFonts w:eastAsia="Times New Roman" w:cs="Times New Roman"/>
                <w:sz w:val="16"/>
                <w:szCs w:val="16"/>
                <w:lang w:val="es-419" w:eastAsia="es-419"/>
              </w:rPr>
            </w:pPr>
            <w:r w:rsidRPr="00951AB1">
              <w:rPr>
                <w:rFonts w:eastAsia="Times New Roman" w:cs="Times New Roman"/>
                <w:sz w:val="16"/>
                <w:szCs w:val="16"/>
                <w:lang w:val="es-419" w:eastAsia="es-419"/>
              </w:rPr>
              <w:t xml:space="preserve">0 </w:t>
            </w:r>
          </w:p>
        </w:tc>
        <w:tc>
          <w:tcPr>
            <w:tcW w:w="1172" w:type="dxa"/>
            <w:tcBorders>
              <w:top w:val="nil"/>
              <w:left w:val="nil"/>
              <w:bottom w:val="single" w:sz="4" w:space="0" w:color="A6A6A6"/>
              <w:right w:val="single" w:sz="4" w:space="0" w:color="A6A6A6"/>
            </w:tcBorders>
            <w:noWrap/>
            <w:vAlign w:val="center"/>
            <w:hideMark/>
          </w:tcPr>
          <w:p w14:paraId="4DEAA632" w14:textId="77777777" w:rsidR="00573529" w:rsidRPr="00951AB1" w:rsidRDefault="00573529" w:rsidP="000A5389">
            <w:pPr>
              <w:spacing w:line="240" w:lineRule="auto"/>
              <w:jc w:val="right"/>
              <w:rPr>
                <w:rFonts w:eastAsia="Times New Roman" w:cs="Times New Roman"/>
                <w:sz w:val="16"/>
                <w:szCs w:val="16"/>
                <w:lang w:val="es-419" w:eastAsia="es-419"/>
              </w:rPr>
            </w:pPr>
            <w:r w:rsidRPr="00951AB1">
              <w:rPr>
                <w:rFonts w:eastAsia="Times New Roman" w:cs="Times New Roman"/>
                <w:sz w:val="16"/>
                <w:szCs w:val="16"/>
                <w:lang w:val="es-419" w:eastAsia="es-419"/>
              </w:rPr>
              <w:t xml:space="preserve">0 </w:t>
            </w:r>
          </w:p>
        </w:tc>
        <w:tc>
          <w:tcPr>
            <w:tcW w:w="1417" w:type="dxa"/>
            <w:tcBorders>
              <w:top w:val="nil"/>
              <w:left w:val="nil"/>
              <w:bottom w:val="single" w:sz="4" w:space="0" w:color="A6A6A6"/>
              <w:right w:val="single" w:sz="4" w:space="0" w:color="A6A6A6"/>
            </w:tcBorders>
            <w:noWrap/>
            <w:vAlign w:val="center"/>
            <w:hideMark/>
          </w:tcPr>
          <w:p w14:paraId="3DF6B2BE" w14:textId="77777777" w:rsidR="00573529" w:rsidRPr="00951AB1" w:rsidRDefault="00573529" w:rsidP="000A5389">
            <w:pPr>
              <w:spacing w:line="240" w:lineRule="auto"/>
              <w:jc w:val="right"/>
              <w:rPr>
                <w:rFonts w:eastAsia="Times New Roman" w:cs="Times New Roman"/>
                <w:b/>
                <w:bCs/>
                <w:sz w:val="16"/>
                <w:szCs w:val="16"/>
                <w:lang w:val="es-419" w:eastAsia="es-419"/>
              </w:rPr>
            </w:pPr>
            <w:r w:rsidRPr="00951AB1">
              <w:rPr>
                <w:rFonts w:eastAsia="Times New Roman" w:cs="Times New Roman"/>
                <w:b/>
                <w:bCs/>
                <w:sz w:val="16"/>
                <w:szCs w:val="16"/>
                <w:lang w:val="es-419" w:eastAsia="es-419"/>
              </w:rPr>
              <w:t xml:space="preserve">1.591.003.437 </w:t>
            </w:r>
          </w:p>
        </w:tc>
      </w:tr>
      <w:tr w:rsidR="00573529" w:rsidRPr="00951AB1" w14:paraId="36116F4B" w14:textId="77777777">
        <w:trPr>
          <w:trHeight w:val="290"/>
        </w:trPr>
        <w:tc>
          <w:tcPr>
            <w:tcW w:w="220" w:type="dxa"/>
            <w:tcBorders>
              <w:top w:val="nil"/>
              <w:left w:val="single" w:sz="4" w:space="0" w:color="A6A6A6"/>
              <w:bottom w:val="single" w:sz="4" w:space="0" w:color="A6A6A6"/>
              <w:right w:val="nil"/>
            </w:tcBorders>
            <w:noWrap/>
            <w:vAlign w:val="center"/>
            <w:hideMark/>
          </w:tcPr>
          <w:p w14:paraId="2F8CF213" w14:textId="77777777" w:rsidR="00573529" w:rsidRPr="00951AB1" w:rsidRDefault="00573529" w:rsidP="000A5389">
            <w:pPr>
              <w:spacing w:line="240" w:lineRule="auto"/>
              <w:jc w:val="center"/>
              <w:rPr>
                <w:rFonts w:eastAsia="Times New Roman" w:cs="Times New Roman"/>
                <w:sz w:val="16"/>
                <w:szCs w:val="16"/>
                <w:lang w:val="es-419" w:eastAsia="es-419"/>
              </w:rPr>
            </w:pPr>
            <w:r w:rsidRPr="00951AB1">
              <w:rPr>
                <w:rFonts w:eastAsia="Times New Roman" w:cs="Times New Roman"/>
                <w:sz w:val="16"/>
                <w:szCs w:val="16"/>
                <w:lang w:val="es-419" w:eastAsia="es-419"/>
              </w:rPr>
              <w:t> </w:t>
            </w:r>
          </w:p>
        </w:tc>
        <w:tc>
          <w:tcPr>
            <w:tcW w:w="189" w:type="dxa"/>
            <w:tcBorders>
              <w:top w:val="nil"/>
              <w:left w:val="nil"/>
              <w:bottom w:val="single" w:sz="4" w:space="0" w:color="A6A6A6"/>
              <w:right w:val="nil"/>
            </w:tcBorders>
            <w:noWrap/>
            <w:vAlign w:val="center"/>
            <w:hideMark/>
          </w:tcPr>
          <w:p w14:paraId="4D2F8417" w14:textId="77777777" w:rsidR="00573529" w:rsidRPr="00951AB1" w:rsidRDefault="00573529" w:rsidP="000A5389">
            <w:pPr>
              <w:spacing w:line="240" w:lineRule="auto"/>
              <w:rPr>
                <w:rFonts w:eastAsia="Times New Roman" w:cs="Times New Roman"/>
                <w:sz w:val="16"/>
                <w:szCs w:val="16"/>
                <w:lang w:val="es-419" w:eastAsia="es-419"/>
              </w:rPr>
            </w:pPr>
            <w:r w:rsidRPr="00951AB1">
              <w:rPr>
                <w:rFonts w:eastAsia="Times New Roman" w:cs="Times New Roman"/>
                <w:sz w:val="16"/>
                <w:szCs w:val="16"/>
                <w:lang w:val="es-419" w:eastAsia="es-419"/>
              </w:rPr>
              <w:t> </w:t>
            </w:r>
          </w:p>
        </w:tc>
        <w:tc>
          <w:tcPr>
            <w:tcW w:w="220" w:type="dxa"/>
            <w:tcBorders>
              <w:top w:val="nil"/>
              <w:left w:val="nil"/>
              <w:bottom w:val="single" w:sz="4" w:space="0" w:color="A6A6A6"/>
              <w:right w:val="nil"/>
            </w:tcBorders>
            <w:noWrap/>
            <w:vAlign w:val="center"/>
            <w:hideMark/>
          </w:tcPr>
          <w:p w14:paraId="32EB413F" w14:textId="77777777" w:rsidR="00573529" w:rsidRPr="00951AB1" w:rsidRDefault="00573529" w:rsidP="000A5389">
            <w:pPr>
              <w:spacing w:line="240" w:lineRule="auto"/>
              <w:jc w:val="center"/>
              <w:rPr>
                <w:rFonts w:eastAsia="Times New Roman" w:cs="Times New Roman"/>
                <w:sz w:val="16"/>
                <w:szCs w:val="16"/>
                <w:lang w:val="es-419" w:eastAsia="es-419"/>
              </w:rPr>
            </w:pPr>
            <w:r w:rsidRPr="00951AB1">
              <w:rPr>
                <w:rFonts w:eastAsia="Times New Roman" w:cs="Times New Roman"/>
                <w:sz w:val="16"/>
                <w:szCs w:val="16"/>
                <w:lang w:val="es-419" w:eastAsia="es-419"/>
              </w:rPr>
              <w:t> </w:t>
            </w:r>
          </w:p>
        </w:tc>
        <w:tc>
          <w:tcPr>
            <w:tcW w:w="3194" w:type="dxa"/>
            <w:tcBorders>
              <w:top w:val="nil"/>
              <w:left w:val="nil"/>
              <w:bottom w:val="single" w:sz="4" w:space="0" w:color="A6A6A6"/>
              <w:right w:val="single" w:sz="4" w:space="0" w:color="A6A6A6"/>
            </w:tcBorders>
            <w:vAlign w:val="center"/>
            <w:hideMark/>
          </w:tcPr>
          <w:p w14:paraId="0632CE07" w14:textId="77777777" w:rsidR="00573529" w:rsidRPr="00951AB1" w:rsidRDefault="00573529" w:rsidP="000A5389">
            <w:pPr>
              <w:spacing w:line="240" w:lineRule="auto"/>
              <w:rPr>
                <w:rFonts w:eastAsia="Times New Roman" w:cs="Times New Roman"/>
                <w:sz w:val="16"/>
                <w:szCs w:val="16"/>
                <w:lang w:val="es-419" w:eastAsia="es-419"/>
              </w:rPr>
            </w:pPr>
            <w:r w:rsidRPr="00951AB1">
              <w:rPr>
                <w:rFonts w:eastAsia="Times New Roman" w:cs="Times New Roman"/>
                <w:sz w:val="16"/>
                <w:szCs w:val="16"/>
                <w:lang w:val="es-419" w:eastAsia="es-419"/>
              </w:rPr>
              <w:t>* Activos asociados modo carretero</w:t>
            </w:r>
          </w:p>
        </w:tc>
        <w:tc>
          <w:tcPr>
            <w:tcW w:w="1559" w:type="dxa"/>
            <w:tcBorders>
              <w:top w:val="nil"/>
              <w:left w:val="nil"/>
              <w:bottom w:val="single" w:sz="4" w:space="0" w:color="A6A6A6"/>
              <w:right w:val="single" w:sz="4" w:space="0" w:color="A6A6A6"/>
            </w:tcBorders>
            <w:noWrap/>
            <w:vAlign w:val="center"/>
            <w:hideMark/>
          </w:tcPr>
          <w:p w14:paraId="6616A899" w14:textId="77777777" w:rsidR="00573529" w:rsidRPr="00951AB1" w:rsidRDefault="00573529" w:rsidP="000A5389">
            <w:pPr>
              <w:spacing w:line="240" w:lineRule="auto"/>
              <w:jc w:val="right"/>
              <w:rPr>
                <w:rFonts w:eastAsia="Times New Roman" w:cs="Times New Roman"/>
                <w:sz w:val="16"/>
                <w:szCs w:val="16"/>
                <w:lang w:val="es-419" w:eastAsia="es-419"/>
              </w:rPr>
            </w:pPr>
            <w:r w:rsidRPr="00951AB1">
              <w:rPr>
                <w:rFonts w:eastAsia="Times New Roman" w:cs="Times New Roman"/>
                <w:sz w:val="16"/>
                <w:szCs w:val="16"/>
                <w:lang w:val="es-419" w:eastAsia="es-419"/>
              </w:rPr>
              <w:t xml:space="preserve">1.591.003.437 </w:t>
            </w:r>
          </w:p>
        </w:tc>
        <w:tc>
          <w:tcPr>
            <w:tcW w:w="1096" w:type="dxa"/>
            <w:tcBorders>
              <w:top w:val="nil"/>
              <w:left w:val="nil"/>
              <w:bottom w:val="single" w:sz="4" w:space="0" w:color="A6A6A6"/>
              <w:right w:val="single" w:sz="4" w:space="0" w:color="A6A6A6"/>
            </w:tcBorders>
            <w:noWrap/>
            <w:vAlign w:val="center"/>
            <w:hideMark/>
          </w:tcPr>
          <w:p w14:paraId="0E4EEF6B" w14:textId="77777777" w:rsidR="00573529" w:rsidRPr="00951AB1" w:rsidRDefault="00573529" w:rsidP="000A5389">
            <w:pPr>
              <w:spacing w:line="240" w:lineRule="auto"/>
              <w:jc w:val="right"/>
              <w:rPr>
                <w:rFonts w:eastAsia="Times New Roman" w:cs="Times New Roman"/>
                <w:sz w:val="16"/>
                <w:szCs w:val="16"/>
                <w:lang w:val="es-419" w:eastAsia="es-419"/>
              </w:rPr>
            </w:pPr>
            <w:r w:rsidRPr="00951AB1">
              <w:rPr>
                <w:rFonts w:eastAsia="Times New Roman" w:cs="Times New Roman"/>
                <w:sz w:val="16"/>
                <w:szCs w:val="16"/>
                <w:lang w:val="es-419" w:eastAsia="es-419"/>
              </w:rPr>
              <w:t xml:space="preserve">0 </w:t>
            </w:r>
          </w:p>
        </w:tc>
        <w:tc>
          <w:tcPr>
            <w:tcW w:w="1172" w:type="dxa"/>
            <w:tcBorders>
              <w:top w:val="nil"/>
              <w:left w:val="nil"/>
              <w:bottom w:val="single" w:sz="4" w:space="0" w:color="A6A6A6"/>
              <w:right w:val="single" w:sz="4" w:space="0" w:color="A6A6A6"/>
            </w:tcBorders>
            <w:noWrap/>
            <w:vAlign w:val="center"/>
            <w:hideMark/>
          </w:tcPr>
          <w:p w14:paraId="05439CB0" w14:textId="77777777" w:rsidR="00573529" w:rsidRPr="00951AB1" w:rsidRDefault="00573529" w:rsidP="000A5389">
            <w:pPr>
              <w:spacing w:line="240" w:lineRule="auto"/>
              <w:jc w:val="right"/>
              <w:rPr>
                <w:rFonts w:eastAsia="Times New Roman" w:cs="Times New Roman"/>
                <w:sz w:val="16"/>
                <w:szCs w:val="16"/>
                <w:lang w:val="es-419" w:eastAsia="es-419"/>
              </w:rPr>
            </w:pPr>
            <w:r w:rsidRPr="00951AB1">
              <w:rPr>
                <w:rFonts w:eastAsia="Times New Roman" w:cs="Times New Roman"/>
                <w:sz w:val="16"/>
                <w:szCs w:val="16"/>
                <w:lang w:val="es-419" w:eastAsia="es-419"/>
              </w:rPr>
              <w:t xml:space="preserve">0 </w:t>
            </w:r>
          </w:p>
        </w:tc>
        <w:tc>
          <w:tcPr>
            <w:tcW w:w="1417" w:type="dxa"/>
            <w:tcBorders>
              <w:top w:val="nil"/>
              <w:left w:val="nil"/>
              <w:bottom w:val="single" w:sz="4" w:space="0" w:color="A6A6A6"/>
              <w:right w:val="single" w:sz="4" w:space="0" w:color="A6A6A6"/>
            </w:tcBorders>
            <w:noWrap/>
            <w:vAlign w:val="center"/>
            <w:hideMark/>
          </w:tcPr>
          <w:p w14:paraId="0DDEC3FD" w14:textId="77777777" w:rsidR="00573529" w:rsidRPr="00951AB1" w:rsidRDefault="00573529" w:rsidP="000A5389">
            <w:pPr>
              <w:spacing w:line="240" w:lineRule="auto"/>
              <w:jc w:val="right"/>
              <w:rPr>
                <w:rFonts w:eastAsia="Times New Roman" w:cs="Times New Roman"/>
                <w:sz w:val="16"/>
                <w:szCs w:val="16"/>
                <w:lang w:val="es-419" w:eastAsia="es-419"/>
              </w:rPr>
            </w:pPr>
            <w:r w:rsidRPr="00951AB1">
              <w:rPr>
                <w:rFonts w:eastAsia="Times New Roman" w:cs="Times New Roman"/>
                <w:sz w:val="16"/>
                <w:szCs w:val="16"/>
                <w:lang w:val="es-419" w:eastAsia="es-419"/>
              </w:rPr>
              <w:t xml:space="preserve">1.591.003.437 </w:t>
            </w:r>
          </w:p>
        </w:tc>
      </w:tr>
      <w:tr w:rsidR="00573529" w:rsidRPr="00951AB1" w14:paraId="40DDA0B0" w14:textId="77777777">
        <w:trPr>
          <w:trHeight w:val="290"/>
        </w:trPr>
        <w:tc>
          <w:tcPr>
            <w:tcW w:w="220" w:type="dxa"/>
            <w:tcBorders>
              <w:top w:val="nil"/>
              <w:left w:val="single" w:sz="4" w:space="0" w:color="A6A6A6"/>
              <w:bottom w:val="single" w:sz="4" w:space="0" w:color="A6A6A6"/>
              <w:right w:val="nil"/>
            </w:tcBorders>
            <w:noWrap/>
            <w:vAlign w:val="center"/>
            <w:hideMark/>
          </w:tcPr>
          <w:p w14:paraId="55E7546E" w14:textId="77777777" w:rsidR="00573529" w:rsidRPr="00951AB1" w:rsidRDefault="00573529" w:rsidP="000A5389">
            <w:pPr>
              <w:spacing w:line="240" w:lineRule="auto"/>
              <w:jc w:val="center"/>
              <w:rPr>
                <w:rFonts w:eastAsia="Times New Roman" w:cs="Times New Roman"/>
                <w:sz w:val="16"/>
                <w:szCs w:val="16"/>
                <w:lang w:val="es-419" w:eastAsia="es-419"/>
              </w:rPr>
            </w:pPr>
            <w:r w:rsidRPr="00951AB1">
              <w:rPr>
                <w:rFonts w:eastAsia="Times New Roman" w:cs="Times New Roman"/>
                <w:sz w:val="16"/>
                <w:szCs w:val="16"/>
                <w:lang w:val="es-419" w:eastAsia="es-419"/>
              </w:rPr>
              <w:t> </w:t>
            </w:r>
          </w:p>
        </w:tc>
        <w:tc>
          <w:tcPr>
            <w:tcW w:w="189" w:type="dxa"/>
            <w:tcBorders>
              <w:top w:val="nil"/>
              <w:left w:val="nil"/>
              <w:bottom w:val="single" w:sz="4" w:space="0" w:color="A6A6A6"/>
              <w:right w:val="nil"/>
            </w:tcBorders>
            <w:noWrap/>
            <w:vAlign w:val="center"/>
            <w:hideMark/>
          </w:tcPr>
          <w:p w14:paraId="269EE50B" w14:textId="77777777" w:rsidR="00573529" w:rsidRPr="00951AB1" w:rsidRDefault="00573529" w:rsidP="000A5389">
            <w:pPr>
              <w:spacing w:line="240" w:lineRule="auto"/>
              <w:rPr>
                <w:rFonts w:eastAsia="Times New Roman" w:cs="Times New Roman"/>
                <w:sz w:val="16"/>
                <w:szCs w:val="16"/>
                <w:lang w:val="es-419" w:eastAsia="es-419"/>
              </w:rPr>
            </w:pPr>
            <w:r w:rsidRPr="00951AB1">
              <w:rPr>
                <w:rFonts w:eastAsia="Times New Roman" w:cs="Times New Roman"/>
                <w:sz w:val="16"/>
                <w:szCs w:val="16"/>
                <w:lang w:val="es-419" w:eastAsia="es-419"/>
              </w:rPr>
              <w:t> </w:t>
            </w:r>
          </w:p>
        </w:tc>
        <w:tc>
          <w:tcPr>
            <w:tcW w:w="220" w:type="dxa"/>
            <w:tcBorders>
              <w:top w:val="nil"/>
              <w:left w:val="nil"/>
              <w:bottom w:val="single" w:sz="4" w:space="0" w:color="A6A6A6"/>
              <w:right w:val="nil"/>
            </w:tcBorders>
            <w:noWrap/>
            <w:vAlign w:val="center"/>
            <w:hideMark/>
          </w:tcPr>
          <w:p w14:paraId="38C58BBF" w14:textId="77777777" w:rsidR="00573529" w:rsidRPr="00951AB1" w:rsidRDefault="00573529" w:rsidP="000A5389">
            <w:pPr>
              <w:spacing w:line="240" w:lineRule="auto"/>
              <w:jc w:val="center"/>
              <w:rPr>
                <w:rFonts w:eastAsia="Times New Roman" w:cs="Times New Roman"/>
                <w:sz w:val="16"/>
                <w:szCs w:val="16"/>
                <w:lang w:val="es-419" w:eastAsia="es-419"/>
              </w:rPr>
            </w:pPr>
            <w:r w:rsidRPr="00951AB1">
              <w:rPr>
                <w:rFonts w:eastAsia="Times New Roman" w:cs="Times New Roman"/>
                <w:sz w:val="16"/>
                <w:szCs w:val="16"/>
                <w:lang w:val="es-419" w:eastAsia="es-419"/>
              </w:rPr>
              <w:t>-</w:t>
            </w:r>
          </w:p>
        </w:tc>
        <w:tc>
          <w:tcPr>
            <w:tcW w:w="3194" w:type="dxa"/>
            <w:tcBorders>
              <w:top w:val="nil"/>
              <w:left w:val="nil"/>
              <w:bottom w:val="single" w:sz="4" w:space="0" w:color="A6A6A6"/>
              <w:right w:val="single" w:sz="4" w:space="0" w:color="A6A6A6"/>
            </w:tcBorders>
            <w:vAlign w:val="center"/>
            <w:hideMark/>
          </w:tcPr>
          <w:p w14:paraId="0D8EF36F" w14:textId="77777777" w:rsidR="00573529" w:rsidRPr="00951AB1" w:rsidRDefault="00573529" w:rsidP="000A5389">
            <w:pPr>
              <w:spacing w:line="240" w:lineRule="auto"/>
              <w:rPr>
                <w:rFonts w:eastAsia="Times New Roman" w:cs="Times New Roman"/>
                <w:sz w:val="16"/>
                <w:szCs w:val="16"/>
                <w:lang w:val="es-419" w:eastAsia="es-419"/>
              </w:rPr>
            </w:pPr>
            <w:r w:rsidRPr="00951AB1">
              <w:rPr>
                <w:rFonts w:eastAsia="Times New Roman" w:cs="Times New Roman"/>
                <w:sz w:val="16"/>
                <w:szCs w:val="16"/>
                <w:lang w:val="es-419" w:eastAsia="es-419"/>
              </w:rPr>
              <w:t>Salida por traslado de cuentas (CR)</w:t>
            </w:r>
          </w:p>
        </w:tc>
        <w:tc>
          <w:tcPr>
            <w:tcW w:w="1559" w:type="dxa"/>
            <w:tcBorders>
              <w:top w:val="nil"/>
              <w:left w:val="nil"/>
              <w:bottom w:val="single" w:sz="4" w:space="0" w:color="A6A6A6"/>
              <w:right w:val="single" w:sz="4" w:space="0" w:color="A6A6A6"/>
            </w:tcBorders>
            <w:noWrap/>
            <w:vAlign w:val="center"/>
            <w:hideMark/>
          </w:tcPr>
          <w:p w14:paraId="401DA305" w14:textId="77777777" w:rsidR="00573529" w:rsidRPr="00951AB1" w:rsidRDefault="00573529" w:rsidP="000A5389">
            <w:pPr>
              <w:spacing w:line="240" w:lineRule="auto"/>
              <w:jc w:val="right"/>
              <w:rPr>
                <w:rFonts w:eastAsia="Times New Roman" w:cs="Times New Roman"/>
                <w:sz w:val="16"/>
                <w:szCs w:val="16"/>
                <w:lang w:val="es-419" w:eastAsia="es-419"/>
              </w:rPr>
            </w:pPr>
            <w:r w:rsidRPr="00951AB1">
              <w:rPr>
                <w:rFonts w:eastAsia="Times New Roman" w:cs="Times New Roman"/>
                <w:sz w:val="16"/>
                <w:szCs w:val="16"/>
                <w:lang w:val="es-419" w:eastAsia="es-419"/>
              </w:rPr>
              <w:t xml:space="preserve">867.831.781 </w:t>
            </w:r>
          </w:p>
        </w:tc>
        <w:tc>
          <w:tcPr>
            <w:tcW w:w="1096" w:type="dxa"/>
            <w:tcBorders>
              <w:top w:val="nil"/>
              <w:left w:val="nil"/>
              <w:bottom w:val="single" w:sz="4" w:space="0" w:color="A6A6A6"/>
              <w:right w:val="single" w:sz="4" w:space="0" w:color="A6A6A6"/>
            </w:tcBorders>
            <w:noWrap/>
            <w:vAlign w:val="center"/>
            <w:hideMark/>
          </w:tcPr>
          <w:p w14:paraId="4C03CB69" w14:textId="77777777" w:rsidR="00573529" w:rsidRPr="00951AB1" w:rsidRDefault="00573529" w:rsidP="000A5389">
            <w:pPr>
              <w:spacing w:line="240" w:lineRule="auto"/>
              <w:jc w:val="right"/>
              <w:rPr>
                <w:rFonts w:eastAsia="Times New Roman" w:cs="Times New Roman"/>
                <w:sz w:val="16"/>
                <w:szCs w:val="16"/>
                <w:lang w:val="es-419" w:eastAsia="es-419"/>
              </w:rPr>
            </w:pPr>
            <w:r w:rsidRPr="00951AB1">
              <w:rPr>
                <w:rFonts w:eastAsia="Times New Roman" w:cs="Times New Roman"/>
                <w:sz w:val="16"/>
                <w:szCs w:val="16"/>
                <w:lang w:val="es-419" w:eastAsia="es-419"/>
              </w:rPr>
              <w:t xml:space="preserve">0 </w:t>
            </w:r>
          </w:p>
        </w:tc>
        <w:tc>
          <w:tcPr>
            <w:tcW w:w="1172" w:type="dxa"/>
            <w:tcBorders>
              <w:top w:val="nil"/>
              <w:left w:val="nil"/>
              <w:bottom w:val="single" w:sz="4" w:space="0" w:color="A6A6A6"/>
              <w:right w:val="single" w:sz="4" w:space="0" w:color="A6A6A6"/>
            </w:tcBorders>
            <w:noWrap/>
            <w:vAlign w:val="center"/>
            <w:hideMark/>
          </w:tcPr>
          <w:p w14:paraId="489F57C1" w14:textId="77777777" w:rsidR="00573529" w:rsidRPr="00951AB1" w:rsidRDefault="00573529" w:rsidP="000A5389">
            <w:pPr>
              <w:spacing w:line="240" w:lineRule="auto"/>
              <w:jc w:val="right"/>
              <w:rPr>
                <w:rFonts w:eastAsia="Times New Roman" w:cs="Times New Roman"/>
                <w:sz w:val="16"/>
                <w:szCs w:val="16"/>
                <w:lang w:val="es-419" w:eastAsia="es-419"/>
              </w:rPr>
            </w:pPr>
            <w:r w:rsidRPr="00951AB1">
              <w:rPr>
                <w:rFonts w:eastAsia="Times New Roman" w:cs="Times New Roman"/>
                <w:sz w:val="16"/>
                <w:szCs w:val="16"/>
                <w:lang w:val="es-419" w:eastAsia="es-419"/>
              </w:rPr>
              <w:t xml:space="preserve">0 </w:t>
            </w:r>
          </w:p>
        </w:tc>
        <w:tc>
          <w:tcPr>
            <w:tcW w:w="1417" w:type="dxa"/>
            <w:tcBorders>
              <w:top w:val="nil"/>
              <w:left w:val="nil"/>
              <w:bottom w:val="single" w:sz="4" w:space="0" w:color="A6A6A6"/>
              <w:right w:val="single" w:sz="4" w:space="0" w:color="A6A6A6"/>
            </w:tcBorders>
            <w:noWrap/>
            <w:vAlign w:val="center"/>
            <w:hideMark/>
          </w:tcPr>
          <w:p w14:paraId="23F67470" w14:textId="77777777" w:rsidR="00573529" w:rsidRPr="00951AB1" w:rsidRDefault="00573529" w:rsidP="000A5389">
            <w:pPr>
              <w:spacing w:line="240" w:lineRule="auto"/>
              <w:jc w:val="right"/>
              <w:rPr>
                <w:rFonts w:eastAsia="Times New Roman" w:cs="Times New Roman"/>
                <w:b/>
                <w:bCs/>
                <w:sz w:val="16"/>
                <w:szCs w:val="16"/>
                <w:lang w:val="es-419" w:eastAsia="es-419"/>
              </w:rPr>
            </w:pPr>
            <w:r w:rsidRPr="00951AB1">
              <w:rPr>
                <w:rFonts w:eastAsia="Times New Roman" w:cs="Times New Roman"/>
                <w:b/>
                <w:bCs/>
                <w:sz w:val="16"/>
                <w:szCs w:val="16"/>
                <w:lang w:val="es-419" w:eastAsia="es-419"/>
              </w:rPr>
              <w:t xml:space="preserve">867.831.781 </w:t>
            </w:r>
          </w:p>
        </w:tc>
      </w:tr>
      <w:tr w:rsidR="00573529" w:rsidRPr="00951AB1" w14:paraId="4B0B60CA" w14:textId="77777777">
        <w:trPr>
          <w:trHeight w:val="290"/>
        </w:trPr>
        <w:tc>
          <w:tcPr>
            <w:tcW w:w="220" w:type="dxa"/>
            <w:tcBorders>
              <w:top w:val="nil"/>
              <w:left w:val="single" w:sz="4" w:space="0" w:color="A6A6A6"/>
              <w:bottom w:val="single" w:sz="4" w:space="0" w:color="A6A6A6"/>
              <w:right w:val="nil"/>
            </w:tcBorders>
            <w:noWrap/>
            <w:vAlign w:val="center"/>
            <w:hideMark/>
          </w:tcPr>
          <w:p w14:paraId="116A5C07" w14:textId="77777777" w:rsidR="00573529" w:rsidRPr="00951AB1" w:rsidRDefault="00573529" w:rsidP="000A5389">
            <w:pPr>
              <w:spacing w:line="240" w:lineRule="auto"/>
              <w:jc w:val="center"/>
              <w:rPr>
                <w:rFonts w:eastAsia="Times New Roman" w:cs="Times New Roman"/>
                <w:sz w:val="16"/>
                <w:szCs w:val="16"/>
                <w:lang w:val="es-419" w:eastAsia="es-419"/>
              </w:rPr>
            </w:pPr>
            <w:r w:rsidRPr="00951AB1">
              <w:rPr>
                <w:rFonts w:eastAsia="Times New Roman" w:cs="Times New Roman"/>
                <w:sz w:val="16"/>
                <w:szCs w:val="16"/>
                <w:lang w:val="es-419" w:eastAsia="es-419"/>
              </w:rPr>
              <w:t> </w:t>
            </w:r>
          </w:p>
        </w:tc>
        <w:tc>
          <w:tcPr>
            <w:tcW w:w="189" w:type="dxa"/>
            <w:tcBorders>
              <w:top w:val="nil"/>
              <w:left w:val="nil"/>
              <w:bottom w:val="single" w:sz="4" w:space="0" w:color="A6A6A6"/>
              <w:right w:val="nil"/>
            </w:tcBorders>
            <w:noWrap/>
            <w:vAlign w:val="center"/>
            <w:hideMark/>
          </w:tcPr>
          <w:p w14:paraId="38593516" w14:textId="77777777" w:rsidR="00573529" w:rsidRPr="00951AB1" w:rsidRDefault="00573529" w:rsidP="000A5389">
            <w:pPr>
              <w:spacing w:line="240" w:lineRule="auto"/>
              <w:rPr>
                <w:rFonts w:eastAsia="Times New Roman" w:cs="Times New Roman"/>
                <w:sz w:val="16"/>
                <w:szCs w:val="16"/>
                <w:lang w:val="es-419" w:eastAsia="es-419"/>
              </w:rPr>
            </w:pPr>
            <w:r w:rsidRPr="00951AB1">
              <w:rPr>
                <w:rFonts w:eastAsia="Times New Roman" w:cs="Times New Roman"/>
                <w:sz w:val="16"/>
                <w:szCs w:val="16"/>
                <w:lang w:val="es-419" w:eastAsia="es-419"/>
              </w:rPr>
              <w:t> </w:t>
            </w:r>
          </w:p>
        </w:tc>
        <w:tc>
          <w:tcPr>
            <w:tcW w:w="220" w:type="dxa"/>
            <w:tcBorders>
              <w:top w:val="nil"/>
              <w:left w:val="nil"/>
              <w:bottom w:val="single" w:sz="4" w:space="0" w:color="A6A6A6"/>
              <w:right w:val="nil"/>
            </w:tcBorders>
            <w:noWrap/>
            <w:vAlign w:val="center"/>
            <w:hideMark/>
          </w:tcPr>
          <w:p w14:paraId="51565DD7" w14:textId="77777777" w:rsidR="00573529" w:rsidRPr="00951AB1" w:rsidRDefault="00573529" w:rsidP="000A5389">
            <w:pPr>
              <w:spacing w:line="240" w:lineRule="auto"/>
              <w:jc w:val="center"/>
              <w:rPr>
                <w:rFonts w:eastAsia="Times New Roman" w:cs="Times New Roman"/>
                <w:sz w:val="16"/>
                <w:szCs w:val="16"/>
                <w:lang w:val="es-419" w:eastAsia="es-419"/>
              </w:rPr>
            </w:pPr>
            <w:r w:rsidRPr="00951AB1">
              <w:rPr>
                <w:rFonts w:eastAsia="Times New Roman" w:cs="Times New Roman"/>
                <w:sz w:val="16"/>
                <w:szCs w:val="16"/>
                <w:lang w:val="es-419" w:eastAsia="es-419"/>
              </w:rPr>
              <w:t> </w:t>
            </w:r>
          </w:p>
        </w:tc>
        <w:tc>
          <w:tcPr>
            <w:tcW w:w="3194" w:type="dxa"/>
            <w:tcBorders>
              <w:top w:val="nil"/>
              <w:left w:val="nil"/>
              <w:bottom w:val="single" w:sz="4" w:space="0" w:color="A6A6A6"/>
              <w:right w:val="single" w:sz="4" w:space="0" w:color="A6A6A6"/>
            </w:tcBorders>
            <w:vAlign w:val="center"/>
            <w:hideMark/>
          </w:tcPr>
          <w:p w14:paraId="795ADA91" w14:textId="77777777" w:rsidR="00573529" w:rsidRPr="00951AB1" w:rsidRDefault="00573529" w:rsidP="000A5389">
            <w:pPr>
              <w:spacing w:line="240" w:lineRule="auto"/>
              <w:rPr>
                <w:rFonts w:eastAsia="Times New Roman" w:cs="Times New Roman"/>
                <w:sz w:val="16"/>
                <w:szCs w:val="16"/>
                <w:lang w:val="es-419" w:eastAsia="es-419"/>
              </w:rPr>
            </w:pPr>
            <w:r w:rsidRPr="00951AB1">
              <w:rPr>
                <w:rFonts w:eastAsia="Times New Roman" w:cs="Times New Roman"/>
                <w:sz w:val="16"/>
                <w:szCs w:val="16"/>
                <w:lang w:val="es-419" w:eastAsia="es-419"/>
              </w:rPr>
              <w:t>* Activos asociados modo carretero</w:t>
            </w:r>
          </w:p>
        </w:tc>
        <w:tc>
          <w:tcPr>
            <w:tcW w:w="1559" w:type="dxa"/>
            <w:tcBorders>
              <w:top w:val="nil"/>
              <w:left w:val="nil"/>
              <w:bottom w:val="single" w:sz="4" w:space="0" w:color="A6A6A6"/>
              <w:right w:val="single" w:sz="4" w:space="0" w:color="A6A6A6"/>
            </w:tcBorders>
            <w:noWrap/>
            <w:vAlign w:val="center"/>
            <w:hideMark/>
          </w:tcPr>
          <w:p w14:paraId="2D7FE83C" w14:textId="77777777" w:rsidR="00573529" w:rsidRPr="00951AB1" w:rsidRDefault="00573529" w:rsidP="000A5389">
            <w:pPr>
              <w:spacing w:line="240" w:lineRule="auto"/>
              <w:jc w:val="right"/>
              <w:rPr>
                <w:rFonts w:eastAsia="Times New Roman" w:cs="Times New Roman"/>
                <w:sz w:val="16"/>
                <w:szCs w:val="16"/>
                <w:lang w:val="es-419" w:eastAsia="es-419"/>
              </w:rPr>
            </w:pPr>
            <w:r w:rsidRPr="00951AB1">
              <w:rPr>
                <w:rFonts w:eastAsia="Times New Roman" w:cs="Times New Roman"/>
                <w:sz w:val="16"/>
                <w:szCs w:val="16"/>
                <w:lang w:val="es-419" w:eastAsia="es-419"/>
              </w:rPr>
              <w:t xml:space="preserve">605.111.017 </w:t>
            </w:r>
          </w:p>
        </w:tc>
        <w:tc>
          <w:tcPr>
            <w:tcW w:w="1096" w:type="dxa"/>
            <w:tcBorders>
              <w:top w:val="nil"/>
              <w:left w:val="nil"/>
              <w:bottom w:val="single" w:sz="4" w:space="0" w:color="A6A6A6"/>
              <w:right w:val="single" w:sz="4" w:space="0" w:color="A6A6A6"/>
            </w:tcBorders>
            <w:noWrap/>
            <w:vAlign w:val="center"/>
            <w:hideMark/>
          </w:tcPr>
          <w:p w14:paraId="1EFD0D81" w14:textId="77777777" w:rsidR="00573529" w:rsidRPr="00951AB1" w:rsidRDefault="00573529" w:rsidP="000A5389">
            <w:pPr>
              <w:spacing w:line="240" w:lineRule="auto"/>
              <w:jc w:val="right"/>
              <w:rPr>
                <w:rFonts w:eastAsia="Times New Roman" w:cs="Times New Roman"/>
                <w:sz w:val="16"/>
                <w:szCs w:val="16"/>
                <w:lang w:val="es-419" w:eastAsia="es-419"/>
              </w:rPr>
            </w:pPr>
            <w:r w:rsidRPr="00951AB1">
              <w:rPr>
                <w:rFonts w:eastAsia="Times New Roman" w:cs="Times New Roman"/>
                <w:sz w:val="16"/>
                <w:szCs w:val="16"/>
                <w:lang w:val="es-419" w:eastAsia="es-419"/>
              </w:rPr>
              <w:t xml:space="preserve">0 </w:t>
            </w:r>
          </w:p>
        </w:tc>
        <w:tc>
          <w:tcPr>
            <w:tcW w:w="1172" w:type="dxa"/>
            <w:tcBorders>
              <w:top w:val="nil"/>
              <w:left w:val="nil"/>
              <w:bottom w:val="single" w:sz="4" w:space="0" w:color="A6A6A6"/>
              <w:right w:val="single" w:sz="4" w:space="0" w:color="A6A6A6"/>
            </w:tcBorders>
            <w:noWrap/>
            <w:vAlign w:val="center"/>
            <w:hideMark/>
          </w:tcPr>
          <w:p w14:paraId="6CFBE12E" w14:textId="77777777" w:rsidR="00573529" w:rsidRPr="00951AB1" w:rsidRDefault="00573529" w:rsidP="000A5389">
            <w:pPr>
              <w:spacing w:line="240" w:lineRule="auto"/>
              <w:jc w:val="right"/>
              <w:rPr>
                <w:rFonts w:eastAsia="Times New Roman" w:cs="Times New Roman"/>
                <w:sz w:val="16"/>
                <w:szCs w:val="16"/>
                <w:lang w:val="es-419" w:eastAsia="es-419"/>
              </w:rPr>
            </w:pPr>
            <w:r w:rsidRPr="00951AB1">
              <w:rPr>
                <w:rFonts w:eastAsia="Times New Roman" w:cs="Times New Roman"/>
                <w:sz w:val="16"/>
                <w:szCs w:val="16"/>
                <w:lang w:val="es-419" w:eastAsia="es-419"/>
              </w:rPr>
              <w:t xml:space="preserve">0 </w:t>
            </w:r>
          </w:p>
        </w:tc>
        <w:tc>
          <w:tcPr>
            <w:tcW w:w="1417" w:type="dxa"/>
            <w:tcBorders>
              <w:top w:val="nil"/>
              <w:left w:val="nil"/>
              <w:bottom w:val="single" w:sz="4" w:space="0" w:color="A6A6A6"/>
              <w:right w:val="single" w:sz="4" w:space="0" w:color="A6A6A6"/>
            </w:tcBorders>
            <w:noWrap/>
            <w:vAlign w:val="center"/>
            <w:hideMark/>
          </w:tcPr>
          <w:p w14:paraId="15FAA151" w14:textId="77777777" w:rsidR="00573529" w:rsidRPr="00951AB1" w:rsidRDefault="00573529" w:rsidP="000A5389">
            <w:pPr>
              <w:spacing w:line="240" w:lineRule="auto"/>
              <w:jc w:val="right"/>
              <w:rPr>
                <w:rFonts w:eastAsia="Times New Roman" w:cs="Times New Roman"/>
                <w:sz w:val="16"/>
                <w:szCs w:val="16"/>
                <w:lang w:val="es-419" w:eastAsia="es-419"/>
              </w:rPr>
            </w:pPr>
            <w:r w:rsidRPr="00951AB1">
              <w:rPr>
                <w:rFonts w:eastAsia="Times New Roman" w:cs="Times New Roman"/>
                <w:sz w:val="16"/>
                <w:szCs w:val="16"/>
                <w:lang w:val="es-419" w:eastAsia="es-419"/>
              </w:rPr>
              <w:t xml:space="preserve">605.111.017 </w:t>
            </w:r>
          </w:p>
        </w:tc>
      </w:tr>
      <w:tr w:rsidR="00573529" w:rsidRPr="00951AB1" w14:paraId="1030E08A" w14:textId="77777777">
        <w:trPr>
          <w:trHeight w:val="290"/>
        </w:trPr>
        <w:tc>
          <w:tcPr>
            <w:tcW w:w="220" w:type="dxa"/>
            <w:tcBorders>
              <w:top w:val="nil"/>
              <w:left w:val="single" w:sz="4" w:space="0" w:color="A6A6A6"/>
              <w:bottom w:val="single" w:sz="4" w:space="0" w:color="A6A6A6"/>
              <w:right w:val="nil"/>
            </w:tcBorders>
            <w:noWrap/>
            <w:vAlign w:val="center"/>
            <w:hideMark/>
          </w:tcPr>
          <w:p w14:paraId="0E8D0059" w14:textId="77777777" w:rsidR="00573529" w:rsidRPr="00951AB1" w:rsidRDefault="00573529" w:rsidP="000A5389">
            <w:pPr>
              <w:spacing w:line="240" w:lineRule="auto"/>
              <w:jc w:val="center"/>
              <w:rPr>
                <w:rFonts w:eastAsia="Times New Roman" w:cs="Times New Roman"/>
                <w:sz w:val="16"/>
                <w:szCs w:val="16"/>
                <w:lang w:val="es-419" w:eastAsia="es-419"/>
              </w:rPr>
            </w:pPr>
            <w:r w:rsidRPr="00951AB1">
              <w:rPr>
                <w:rFonts w:eastAsia="Times New Roman" w:cs="Times New Roman"/>
                <w:sz w:val="16"/>
                <w:szCs w:val="16"/>
                <w:lang w:val="es-419" w:eastAsia="es-419"/>
              </w:rPr>
              <w:t> </w:t>
            </w:r>
          </w:p>
        </w:tc>
        <w:tc>
          <w:tcPr>
            <w:tcW w:w="189" w:type="dxa"/>
            <w:tcBorders>
              <w:top w:val="nil"/>
              <w:left w:val="nil"/>
              <w:bottom w:val="single" w:sz="4" w:space="0" w:color="A6A6A6"/>
              <w:right w:val="nil"/>
            </w:tcBorders>
            <w:noWrap/>
            <w:vAlign w:val="center"/>
            <w:hideMark/>
          </w:tcPr>
          <w:p w14:paraId="52531D70" w14:textId="77777777" w:rsidR="00573529" w:rsidRPr="00951AB1" w:rsidRDefault="00573529" w:rsidP="000A5389">
            <w:pPr>
              <w:spacing w:line="240" w:lineRule="auto"/>
              <w:rPr>
                <w:rFonts w:eastAsia="Times New Roman" w:cs="Times New Roman"/>
                <w:sz w:val="16"/>
                <w:szCs w:val="16"/>
                <w:lang w:val="es-419" w:eastAsia="es-419"/>
              </w:rPr>
            </w:pPr>
            <w:r w:rsidRPr="00951AB1">
              <w:rPr>
                <w:rFonts w:eastAsia="Times New Roman" w:cs="Times New Roman"/>
                <w:sz w:val="16"/>
                <w:szCs w:val="16"/>
                <w:lang w:val="es-419" w:eastAsia="es-419"/>
              </w:rPr>
              <w:t> </w:t>
            </w:r>
          </w:p>
        </w:tc>
        <w:tc>
          <w:tcPr>
            <w:tcW w:w="220" w:type="dxa"/>
            <w:tcBorders>
              <w:top w:val="nil"/>
              <w:left w:val="nil"/>
              <w:bottom w:val="single" w:sz="4" w:space="0" w:color="A6A6A6"/>
              <w:right w:val="nil"/>
            </w:tcBorders>
            <w:noWrap/>
            <w:vAlign w:val="center"/>
            <w:hideMark/>
          </w:tcPr>
          <w:p w14:paraId="599D39FD" w14:textId="77777777" w:rsidR="00573529" w:rsidRPr="00951AB1" w:rsidRDefault="00573529" w:rsidP="000A5389">
            <w:pPr>
              <w:spacing w:line="240" w:lineRule="auto"/>
              <w:jc w:val="center"/>
              <w:rPr>
                <w:rFonts w:eastAsia="Times New Roman" w:cs="Times New Roman"/>
                <w:sz w:val="16"/>
                <w:szCs w:val="16"/>
                <w:lang w:val="es-419" w:eastAsia="es-419"/>
              </w:rPr>
            </w:pPr>
            <w:r w:rsidRPr="00951AB1">
              <w:rPr>
                <w:rFonts w:eastAsia="Times New Roman" w:cs="Times New Roman"/>
                <w:sz w:val="16"/>
                <w:szCs w:val="16"/>
                <w:lang w:val="es-419" w:eastAsia="es-419"/>
              </w:rPr>
              <w:t>+</w:t>
            </w:r>
          </w:p>
        </w:tc>
        <w:tc>
          <w:tcPr>
            <w:tcW w:w="3194" w:type="dxa"/>
            <w:tcBorders>
              <w:top w:val="nil"/>
              <w:left w:val="nil"/>
              <w:bottom w:val="single" w:sz="4" w:space="0" w:color="A6A6A6"/>
              <w:right w:val="single" w:sz="4" w:space="0" w:color="A6A6A6"/>
            </w:tcBorders>
            <w:vAlign w:val="center"/>
            <w:hideMark/>
          </w:tcPr>
          <w:p w14:paraId="7FC672C0" w14:textId="77777777" w:rsidR="00573529" w:rsidRPr="00951AB1" w:rsidRDefault="00573529" w:rsidP="000A5389">
            <w:pPr>
              <w:spacing w:line="240" w:lineRule="auto"/>
              <w:rPr>
                <w:rFonts w:eastAsia="Times New Roman" w:cs="Times New Roman"/>
                <w:sz w:val="16"/>
                <w:szCs w:val="16"/>
                <w:lang w:val="es-419" w:eastAsia="es-419"/>
              </w:rPr>
            </w:pPr>
            <w:r w:rsidRPr="00951AB1">
              <w:rPr>
                <w:rFonts w:eastAsia="Times New Roman" w:cs="Times New Roman"/>
                <w:sz w:val="16"/>
                <w:szCs w:val="16"/>
                <w:lang w:val="es-419" w:eastAsia="es-419"/>
              </w:rPr>
              <w:t>Ajustes/Reclasificaciones en entradas (DB)</w:t>
            </w:r>
          </w:p>
        </w:tc>
        <w:tc>
          <w:tcPr>
            <w:tcW w:w="1559" w:type="dxa"/>
            <w:tcBorders>
              <w:top w:val="nil"/>
              <w:left w:val="nil"/>
              <w:bottom w:val="single" w:sz="4" w:space="0" w:color="A6A6A6"/>
              <w:right w:val="single" w:sz="4" w:space="0" w:color="A6A6A6"/>
            </w:tcBorders>
            <w:noWrap/>
            <w:vAlign w:val="center"/>
            <w:hideMark/>
          </w:tcPr>
          <w:p w14:paraId="7B2D39C4" w14:textId="77777777" w:rsidR="00573529" w:rsidRPr="00951AB1" w:rsidRDefault="00573529" w:rsidP="000A5389">
            <w:pPr>
              <w:spacing w:line="240" w:lineRule="auto"/>
              <w:jc w:val="right"/>
              <w:rPr>
                <w:rFonts w:eastAsia="Times New Roman" w:cs="Times New Roman"/>
                <w:sz w:val="16"/>
                <w:szCs w:val="16"/>
                <w:lang w:val="es-419" w:eastAsia="es-419"/>
              </w:rPr>
            </w:pPr>
            <w:r w:rsidRPr="00951AB1">
              <w:rPr>
                <w:rFonts w:eastAsia="Times New Roman" w:cs="Times New Roman"/>
                <w:sz w:val="16"/>
                <w:szCs w:val="16"/>
                <w:lang w:val="es-419" w:eastAsia="es-419"/>
              </w:rPr>
              <w:t xml:space="preserve">0 </w:t>
            </w:r>
          </w:p>
        </w:tc>
        <w:tc>
          <w:tcPr>
            <w:tcW w:w="1096" w:type="dxa"/>
            <w:tcBorders>
              <w:top w:val="nil"/>
              <w:left w:val="nil"/>
              <w:bottom w:val="single" w:sz="4" w:space="0" w:color="A6A6A6"/>
              <w:right w:val="single" w:sz="4" w:space="0" w:color="A6A6A6"/>
            </w:tcBorders>
            <w:noWrap/>
            <w:vAlign w:val="center"/>
            <w:hideMark/>
          </w:tcPr>
          <w:p w14:paraId="110E0486" w14:textId="77777777" w:rsidR="00573529" w:rsidRPr="00951AB1" w:rsidRDefault="00573529" w:rsidP="000A5389">
            <w:pPr>
              <w:spacing w:line="240" w:lineRule="auto"/>
              <w:jc w:val="right"/>
              <w:rPr>
                <w:rFonts w:eastAsia="Times New Roman" w:cs="Times New Roman"/>
                <w:sz w:val="16"/>
                <w:szCs w:val="16"/>
                <w:lang w:val="es-419" w:eastAsia="es-419"/>
              </w:rPr>
            </w:pPr>
            <w:r w:rsidRPr="00951AB1">
              <w:rPr>
                <w:rFonts w:eastAsia="Times New Roman" w:cs="Times New Roman"/>
                <w:sz w:val="16"/>
                <w:szCs w:val="16"/>
                <w:lang w:val="es-419" w:eastAsia="es-419"/>
              </w:rPr>
              <w:t xml:space="preserve">0 </w:t>
            </w:r>
          </w:p>
        </w:tc>
        <w:tc>
          <w:tcPr>
            <w:tcW w:w="1172" w:type="dxa"/>
            <w:tcBorders>
              <w:top w:val="nil"/>
              <w:left w:val="nil"/>
              <w:bottom w:val="single" w:sz="4" w:space="0" w:color="A6A6A6"/>
              <w:right w:val="single" w:sz="4" w:space="0" w:color="A6A6A6"/>
            </w:tcBorders>
            <w:noWrap/>
            <w:vAlign w:val="center"/>
            <w:hideMark/>
          </w:tcPr>
          <w:p w14:paraId="61D046F2" w14:textId="77777777" w:rsidR="00573529" w:rsidRPr="00951AB1" w:rsidRDefault="00573529" w:rsidP="000A5389">
            <w:pPr>
              <w:spacing w:line="240" w:lineRule="auto"/>
              <w:jc w:val="right"/>
              <w:rPr>
                <w:rFonts w:eastAsia="Times New Roman" w:cs="Times New Roman"/>
                <w:sz w:val="16"/>
                <w:szCs w:val="16"/>
                <w:lang w:val="es-419" w:eastAsia="es-419"/>
              </w:rPr>
            </w:pPr>
            <w:r w:rsidRPr="00951AB1">
              <w:rPr>
                <w:rFonts w:eastAsia="Times New Roman" w:cs="Times New Roman"/>
                <w:sz w:val="16"/>
                <w:szCs w:val="16"/>
                <w:lang w:val="es-419" w:eastAsia="es-419"/>
              </w:rPr>
              <w:t xml:space="preserve">0 </w:t>
            </w:r>
          </w:p>
        </w:tc>
        <w:tc>
          <w:tcPr>
            <w:tcW w:w="1417" w:type="dxa"/>
            <w:tcBorders>
              <w:top w:val="nil"/>
              <w:left w:val="nil"/>
              <w:bottom w:val="single" w:sz="4" w:space="0" w:color="A6A6A6"/>
              <w:right w:val="single" w:sz="4" w:space="0" w:color="A6A6A6"/>
            </w:tcBorders>
            <w:noWrap/>
            <w:vAlign w:val="center"/>
            <w:hideMark/>
          </w:tcPr>
          <w:p w14:paraId="0E3E8995" w14:textId="77777777" w:rsidR="00573529" w:rsidRPr="00951AB1" w:rsidRDefault="00573529" w:rsidP="000A5389">
            <w:pPr>
              <w:spacing w:line="240" w:lineRule="auto"/>
              <w:jc w:val="right"/>
              <w:rPr>
                <w:rFonts w:eastAsia="Times New Roman" w:cs="Times New Roman"/>
                <w:b/>
                <w:bCs/>
                <w:sz w:val="16"/>
                <w:szCs w:val="16"/>
                <w:lang w:val="es-419" w:eastAsia="es-419"/>
              </w:rPr>
            </w:pPr>
            <w:r w:rsidRPr="00951AB1">
              <w:rPr>
                <w:rFonts w:eastAsia="Times New Roman" w:cs="Times New Roman"/>
                <w:b/>
                <w:bCs/>
                <w:sz w:val="16"/>
                <w:szCs w:val="16"/>
                <w:lang w:val="es-419" w:eastAsia="es-419"/>
              </w:rPr>
              <w:t xml:space="preserve">589.000.000 </w:t>
            </w:r>
          </w:p>
        </w:tc>
      </w:tr>
      <w:tr w:rsidR="00573529" w:rsidRPr="00951AB1" w14:paraId="5BDE78AA" w14:textId="77777777">
        <w:trPr>
          <w:trHeight w:val="327"/>
        </w:trPr>
        <w:tc>
          <w:tcPr>
            <w:tcW w:w="220" w:type="dxa"/>
            <w:tcBorders>
              <w:top w:val="nil"/>
              <w:left w:val="single" w:sz="4" w:space="0" w:color="A6A6A6"/>
              <w:bottom w:val="single" w:sz="4" w:space="0" w:color="A6A6A6"/>
              <w:right w:val="nil"/>
            </w:tcBorders>
            <w:noWrap/>
            <w:vAlign w:val="center"/>
            <w:hideMark/>
          </w:tcPr>
          <w:p w14:paraId="3E22C595" w14:textId="77777777" w:rsidR="00573529" w:rsidRPr="00951AB1" w:rsidRDefault="00573529" w:rsidP="000A5389">
            <w:pPr>
              <w:spacing w:line="240" w:lineRule="auto"/>
              <w:jc w:val="center"/>
              <w:rPr>
                <w:rFonts w:eastAsia="Times New Roman" w:cs="Times New Roman"/>
                <w:b/>
                <w:bCs/>
                <w:sz w:val="16"/>
                <w:szCs w:val="16"/>
                <w:lang w:val="es-419" w:eastAsia="es-419"/>
              </w:rPr>
            </w:pPr>
            <w:r w:rsidRPr="00951AB1">
              <w:rPr>
                <w:rFonts w:eastAsia="Times New Roman" w:cs="Times New Roman"/>
                <w:b/>
                <w:bCs/>
                <w:sz w:val="16"/>
                <w:szCs w:val="16"/>
                <w:lang w:val="es-419" w:eastAsia="es-419"/>
              </w:rPr>
              <w:t>=</w:t>
            </w:r>
          </w:p>
        </w:tc>
        <w:tc>
          <w:tcPr>
            <w:tcW w:w="3603" w:type="dxa"/>
            <w:gridSpan w:val="3"/>
            <w:tcBorders>
              <w:top w:val="single" w:sz="4" w:space="0" w:color="A6A6A6"/>
              <w:left w:val="nil"/>
              <w:bottom w:val="single" w:sz="4" w:space="0" w:color="A6A6A6"/>
              <w:right w:val="single" w:sz="4" w:space="0" w:color="A6A6A6"/>
            </w:tcBorders>
            <w:vAlign w:val="center"/>
            <w:hideMark/>
          </w:tcPr>
          <w:p w14:paraId="5702A87D" w14:textId="77777777" w:rsidR="00573529" w:rsidRPr="00951AB1" w:rsidRDefault="00573529" w:rsidP="000A5389">
            <w:pPr>
              <w:spacing w:line="240" w:lineRule="auto"/>
              <w:rPr>
                <w:rFonts w:eastAsia="Times New Roman" w:cs="Times New Roman"/>
                <w:b/>
                <w:bCs/>
                <w:sz w:val="16"/>
                <w:szCs w:val="16"/>
                <w:lang w:val="es-419" w:eastAsia="es-419"/>
              </w:rPr>
            </w:pPr>
            <w:r w:rsidRPr="00951AB1">
              <w:rPr>
                <w:rFonts w:eastAsia="Times New Roman" w:cs="Times New Roman"/>
                <w:b/>
                <w:bCs/>
                <w:sz w:val="16"/>
                <w:szCs w:val="16"/>
                <w:lang w:val="es-419" w:eastAsia="es-419"/>
              </w:rPr>
              <w:t>SALDO FINAL</w:t>
            </w:r>
            <w:r w:rsidRPr="00951AB1">
              <w:rPr>
                <w:rFonts w:eastAsia="Times New Roman" w:cs="Times New Roman"/>
                <w:b/>
                <w:bCs/>
                <w:sz w:val="16"/>
                <w:szCs w:val="16"/>
                <w:lang w:val="es-419" w:eastAsia="es-419"/>
              </w:rPr>
              <w:br/>
              <w:t>(Subtotal + Cambios)</w:t>
            </w:r>
          </w:p>
        </w:tc>
        <w:tc>
          <w:tcPr>
            <w:tcW w:w="1559" w:type="dxa"/>
            <w:tcBorders>
              <w:top w:val="nil"/>
              <w:left w:val="nil"/>
              <w:bottom w:val="single" w:sz="4" w:space="0" w:color="A6A6A6"/>
              <w:right w:val="single" w:sz="4" w:space="0" w:color="A6A6A6"/>
            </w:tcBorders>
            <w:noWrap/>
            <w:vAlign w:val="center"/>
            <w:hideMark/>
          </w:tcPr>
          <w:p w14:paraId="1C06A891" w14:textId="77777777" w:rsidR="00573529" w:rsidRPr="00951AB1" w:rsidRDefault="00573529" w:rsidP="000A5389">
            <w:pPr>
              <w:spacing w:line="240" w:lineRule="auto"/>
              <w:jc w:val="right"/>
              <w:rPr>
                <w:rFonts w:eastAsia="Times New Roman" w:cs="Times New Roman"/>
                <w:b/>
                <w:bCs/>
                <w:sz w:val="16"/>
                <w:szCs w:val="16"/>
                <w:lang w:val="es-419" w:eastAsia="es-419"/>
              </w:rPr>
            </w:pPr>
            <w:r w:rsidRPr="00951AB1">
              <w:rPr>
                <w:rFonts w:eastAsia="Times New Roman" w:cs="Times New Roman"/>
                <w:b/>
                <w:bCs/>
                <w:sz w:val="16"/>
                <w:szCs w:val="16"/>
                <w:lang w:val="es-419" w:eastAsia="es-419"/>
              </w:rPr>
              <w:t xml:space="preserve">168.867.833.532 </w:t>
            </w:r>
          </w:p>
        </w:tc>
        <w:tc>
          <w:tcPr>
            <w:tcW w:w="1096" w:type="dxa"/>
            <w:tcBorders>
              <w:top w:val="nil"/>
              <w:left w:val="nil"/>
              <w:bottom w:val="single" w:sz="4" w:space="0" w:color="A6A6A6"/>
              <w:right w:val="single" w:sz="4" w:space="0" w:color="A6A6A6"/>
            </w:tcBorders>
            <w:noWrap/>
            <w:vAlign w:val="center"/>
            <w:hideMark/>
          </w:tcPr>
          <w:p w14:paraId="467D7E65" w14:textId="77777777" w:rsidR="00573529" w:rsidRPr="00951AB1" w:rsidRDefault="00573529" w:rsidP="000A5389">
            <w:pPr>
              <w:spacing w:line="240" w:lineRule="auto"/>
              <w:jc w:val="right"/>
              <w:rPr>
                <w:rFonts w:eastAsia="Times New Roman" w:cs="Times New Roman"/>
                <w:b/>
                <w:bCs/>
                <w:sz w:val="16"/>
                <w:szCs w:val="16"/>
                <w:lang w:val="es-419" w:eastAsia="es-419"/>
              </w:rPr>
            </w:pPr>
            <w:r w:rsidRPr="00951AB1">
              <w:rPr>
                <w:rFonts w:eastAsia="Times New Roman" w:cs="Times New Roman"/>
                <w:b/>
                <w:bCs/>
                <w:sz w:val="16"/>
                <w:szCs w:val="16"/>
                <w:lang w:val="es-419" w:eastAsia="es-419"/>
              </w:rPr>
              <w:t xml:space="preserve">1.741.588.422 </w:t>
            </w:r>
          </w:p>
        </w:tc>
        <w:tc>
          <w:tcPr>
            <w:tcW w:w="1172" w:type="dxa"/>
            <w:tcBorders>
              <w:top w:val="nil"/>
              <w:left w:val="nil"/>
              <w:bottom w:val="single" w:sz="4" w:space="0" w:color="A6A6A6"/>
              <w:right w:val="single" w:sz="4" w:space="0" w:color="A6A6A6"/>
            </w:tcBorders>
            <w:noWrap/>
            <w:vAlign w:val="center"/>
            <w:hideMark/>
          </w:tcPr>
          <w:p w14:paraId="5766B99D" w14:textId="77777777" w:rsidR="00573529" w:rsidRPr="00951AB1" w:rsidRDefault="00573529" w:rsidP="000A5389">
            <w:pPr>
              <w:spacing w:line="240" w:lineRule="auto"/>
              <w:jc w:val="right"/>
              <w:rPr>
                <w:rFonts w:eastAsia="Times New Roman" w:cs="Times New Roman"/>
                <w:b/>
                <w:bCs/>
                <w:sz w:val="16"/>
                <w:szCs w:val="16"/>
                <w:lang w:val="es-419" w:eastAsia="es-419"/>
              </w:rPr>
            </w:pPr>
            <w:r w:rsidRPr="00951AB1">
              <w:rPr>
                <w:rFonts w:eastAsia="Times New Roman" w:cs="Times New Roman"/>
                <w:b/>
                <w:bCs/>
                <w:sz w:val="16"/>
                <w:szCs w:val="16"/>
                <w:lang w:val="es-419" w:eastAsia="es-419"/>
              </w:rPr>
              <w:t xml:space="preserve">2.736.686.633 </w:t>
            </w:r>
          </w:p>
        </w:tc>
        <w:tc>
          <w:tcPr>
            <w:tcW w:w="1417" w:type="dxa"/>
            <w:tcBorders>
              <w:top w:val="nil"/>
              <w:left w:val="nil"/>
              <w:bottom w:val="single" w:sz="4" w:space="0" w:color="A6A6A6"/>
              <w:right w:val="single" w:sz="4" w:space="0" w:color="A6A6A6"/>
            </w:tcBorders>
            <w:noWrap/>
            <w:vAlign w:val="center"/>
            <w:hideMark/>
          </w:tcPr>
          <w:p w14:paraId="1AEB9C78" w14:textId="77777777" w:rsidR="00573529" w:rsidRPr="00951AB1" w:rsidRDefault="00573529" w:rsidP="000A5389">
            <w:pPr>
              <w:spacing w:line="240" w:lineRule="auto"/>
              <w:jc w:val="right"/>
              <w:rPr>
                <w:rFonts w:eastAsia="Times New Roman" w:cs="Times New Roman"/>
                <w:b/>
                <w:bCs/>
                <w:sz w:val="16"/>
                <w:szCs w:val="16"/>
                <w:lang w:val="es-419" w:eastAsia="es-419"/>
              </w:rPr>
            </w:pPr>
            <w:r w:rsidRPr="00951AB1">
              <w:rPr>
                <w:rFonts w:eastAsia="Times New Roman" w:cs="Times New Roman"/>
                <w:b/>
                <w:bCs/>
                <w:sz w:val="16"/>
                <w:szCs w:val="16"/>
                <w:lang w:val="es-419" w:eastAsia="es-419"/>
              </w:rPr>
              <w:t xml:space="preserve">173.346.108.587 </w:t>
            </w:r>
          </w:p>
        </w:tc>
      </w:tr>
      <w:tr w:rsidR="00573529" w:rsidRPr="00951AB1" w14:paraId="4096E6B0" w14:textId="77777777">
        <w:trPr>
          <w:trHeight w:val="290"/>
        </w:trPr>
        <w:tc>
          <w:tcPr>
            <w:tcW w:w="220" w:type="dxa"/>
            <w:tcBorders>
              <w:top w:val="nil"/>
              <w:left w:val="single" w:sz="4" w:space="0" w:color="A6A6A6"/>
              <w:bottom w:val="single" w:sz="4" w:space="0" w:color="A6A6A6"/>
              <w:right w:val="nil"/>
            </w:tcBorders>
            <w:noWrap/>
            <w:vAlign w:val="center"/>
            <w:hideMark/>
          </w:tcPr>
          <w:p w14:paraId="00C80022" w14:textId="77777777" w:rsidR="00573529" w:rsidRPr="00951AB1" w:rsidRDefault="00573529" w:rsidP="000A5389">
            <w:pPr>
              <w:spacing w:line="240" w:lineRule="auto"/>
              <w:jc w:val="center"/>
              <w:rPr>
                <w:rFonts w:eastAsia="Times New Roman" w:cs="Times New Roman"/>
                <w:b/>
                <w:bCs/>
                <w:sz w:val="16"/>
                <w:szCs w:val="16"/>
                <w:lang w:val="es-419" w:eastAsia="es-419"/>
              </w:rPr>
            </w:pPr>
            <w:r w:rsidRPr="00951AB1">
              <w:rPr>
                <w:rFonts w:eastAsia="Times New Roman" w:cs="Times New Roman"/>
                <w:b/>
                <w:bCs/>
                <w:sz w:val="16"/>
                <w:szCs w:val="16"/>
                <w:lang w:val="es-419" w:eastAsia="es-419"/>
              </w:rPr>
              <w:t>-</w:t>
            </w:r>
          </w:p>
        </w:tc>
        <w:tc>
          <w:tcPr>
            <w:tcW w:w="3603" w:type="dxa"/>
            <w:gridSpan w:val="3"/>
            <w:tcBorders>
              <w:top w:val="single" w:sz="4" w:space="0" w:color="A6A6A6"/>
              <w:left w:val="nil"/>
              <w:bottom w:val="single" w:sz="4" w:space="0" w:color="A6A6A6"/>
              <w:right w:val="single" w:sz="4" w:space="0" w:color="A6A6A6"/>
            </w:tcBorders>
            <w:vAlign w:val="center"/>
            <w:hideMark/>
          </w:tcPr>
          <w:p w14:paraId="13B9BAD2" w14:textId="77777777" w:rsidR="00573529" w:rsidRPr="00951AB1" w:rsidRDefault="00573529" w:rsidP="000A5389">
            <w:pPr>
              <w:spacing w:line="240" w:lineRule="auto"/>
              <w:rPr>
                <w:rFonts w:eastAsia="Times New Roman" w:cs="Times New Roman"/>
                <w:b/>
                <w:bCs/>
                <w:sz w:val="16"/>
                <w:szCs w:val="16"/>
                <w:lang w:val="es-419" w:eastAsia="es-419"/>
              </w:rPr>
            </w:pPr>
            <w:r w:rsidRPr="00951AB1">
              <w:rPr>
                <w:rFonts w:eastAsia="Times New Roman" w:cs="Times New Roman"/>
                <w:b/>
                <w:bCs/>
                <w:sz w:val="16"/>
                <w:szCs w:val="16"/>
                <w:lang w:val="es-419" w:eastAsia="es-419"/>
              </w:rPr>
              <w:t>AMORTIZACIÓN ACUMULADA (AM)</w:t>
            </w:r>
          </w:p>
        </w:tc>
        <w:tc>
          <w:tcPr>
            <w:tcW w:w="1559" w:type="dxa"/>
            <w:tcBorders>
              <w:top w:val="nil"/>
              <w:left w:val="nil"/>
              <w:bottom w:val="single" w:sz="4" w:space="0" w:color="A6A6A6"/>
              <w:right w:val="single" w:sz="4" w:space="0" w:color="A6A6A6"/>
            </w:tcBorders>
            <w:noWrap/>
            <w:vAlign w:val="center"/>
            <w:hideMark/>
          </w:tcPr>
          <w:p w14:paraId="5740D30B" w14:textId="77777777" w:rsidR="00573529" w:rsidRPr="00951AB1" w:rsidRDefault="00573529" w:rsidP="000A5389">
            <w:pPr>
              <w:spacing w:line="240" w:lineRule="auto"/>
              <w:jc w:val="right"/>
              <w:rPr>
                <w:rFonts w:eastAsia="Times New Roman" w:cs="Times New Roman"/>
                <w:b/>
                <w:bCs/>
                <w:sz w:val="16"/>
                <w:szCs w:val="16"/>
                <w:lang w:val="es-419" w:eastAsia="es-419"/>
              </w:rPr>
            </w:pPr>
            <w:r w:rsidRPr="00951AB1">
              <w:rPr>
                <w:rFonts w:eastAsia="Times New Roman" w:cs="Times New Roman"/>
                <w:b/>
                <w:bCs/>
                <w:sz w:val="16"/>
                <w:szCs w:val="16"/>
                <w:lang w:val="es-419" w:eastAsia="es-419"/>
              </w:rPr>
              <w:t xml:space="preserve">76.870.107.804 </w:t>
            </w:r>
          </w:p>
        </w:tc>
        <w:tc>
          <w:tcPr>
            <w:tcW w:w="1096" w:type="dxa"/>
            <w:tcBorders>
              <w:top w:val="nil"/>
              <w:left w:val="nil"/>
              <w:bottom w:val="single" w:sz="4" w:space="0" w:color="A6A6A6"/>
              <w:right w:val="single" w:sz="4" w:space="0" w:color="A6A6A6"/>
            </w:tcBorders>
            <w:noWrap/>
            <w:vAlign w:val="center"/>
            <w:hideMark/>
          </w:tcPr>
          <w:p w14:paraId="6CED40A5" w14:textId="77777777" w:rsidR="00573529" w:rsidRPr="00951AB1" w:rsidRDefault="00573529" w:rsidP="000A5389">
            <w:pPr>
              <w:spacing w:line="240" w:lineRule="auto"/>
              <w:jc w:val="right"/>
              <w:rPr>
                <w:rFonts w:eastAsia="Times New Roman" w:cs="Times New Roman"/>
                <w:b/>
                <w:bCs/>
                <w:sz w:val="16"/>
                <w:szCs w:val="16"/>
                <w:lang w:val="es-419" w:eastAsia="es-419"/>
              </w:rPr>
            </w:pPr>
            <w:r w:rsidRPr="00951AB1">
              <w:rPr>
                <w:rFonts w:eastAsia="Times New Roman" w:cs="Times New Roman"/>
                <w:b/>
                <w:bCs/>
                <w:sz w:val="16"/>
                <w:szCs w:val="16"/>
                <w:lang w:val="es-419" w:eastAsia="es-419"/>
              </w:rPr>
              <w:t xml:space="preserve">577.375.945 </w:t>
            </w:r>
          </w:p>
        </w:tc>
        <w:tc>
          <w:tcPr>
            <w:tcW w:w="1172" w:type="dxa"/>
            <w:tcBorders>
              <w:top w:val="nil"/>
              <w:left w:val="nil"/>
              <w:bottom w:val="single" w:sz="4" w:space="0" w:color="A6A6A6"/>
              <w:right w:val="single" w:sz="4" w:space="0" w:color="A6A6A6"/>
            </w:tcBorders>
            <w:noWrap/>
            <w:vAlign w:val="center"/>
            <w:hideMark/>
          </w:tcPr>
          <w:p w14:paraId="64D5F4D2" w14:textId="77777777" w:rsidR="00573529" w:rsidRPr="00951AB1" w:rsidRDefault="00573529" w:rsidP="000A5389">
            <w:pPr>
              <w:spacing w:line="240" w:lineRule="auto"/>
              <w:jc w:val="right"/>
              <w:rPr>
                <w:rFonts w:eastAsia="Times New Roman" w:cs="Times New Roman"/>
                <w:b/>
                <w:bCs/>
                <w:sz w:val="16"/>
                <w:szCs w:val="16"/>
                <w:lang w:val="es-419" w:eastAsia="es-419"/>
              </w:rPr>
            </w:pPr>
            <w:r w:rsidRPr="00951AB1">
              <w:rPr>
                <w:rFonts w:eastAsia="Times New Roman" w:cs="Times New Roman"/>
                <w:b/>
                <w:bCs/>
                <w:sz w:val="16"/>
                <w:szCs w:val="16"/>
                <w:lang w:val="es-419" w:eastAsia="es-419"/>
              </w:rPr>
              <w:t xml:space="preserve">2.736.686.633 </w:t>
            </w:r>
          </w:p>
        </w:tc>
        <w:tc>
          <w:tcPr>
            <w:tcW w:w="1417" w:type="dxa"/>
            <w:tcBorders>
              <w:top w:val="nil"/>
              <w:left w:val="nil"/>
              <w:bottom w:val="single" w:sz="4" w:space="0" w:color="A6A6A6"/>
              <w:right w:val="single" w:sz="4" w:space="0" w:color="A6A6A6"/>
            </w:tcBorders>
            <w:noWrap/>
            <w:vAlign w:val="center"/>
            <w:hideMark/>
          </w:tcPr>
          <w:p w14:paraId="7F1E184B" w14:textId="77777777" w:rsidR="00573529" w:rsidRPr="00951AB1" w:rsidRDefault="00573529" w:rsidP="000A5389">
            <w:pPr>
              <w:spacing w:line="240" w:lineRule="auto"/>
              <w:jc w:val="right"/>
              <w:rPr>
                <w:rFonts w:eastAsia="Times New Roman" w:cs="Times New Roman"/>
                <w:b/>
                <w:bCs/>
                <w:sz w:val="16"/>
                <w:szCs w:val="16"/>
                <w:lang w:val="es-419" w:eastAsia="es-419"/>
              </w:rPr>
            </w:pPr>
            <w:r w:rsidRPr="00951AB1">
              <w:rPr>
                <w:rFonts w:eastAsia="Times New Roman" w:cs="Times New Roman"/>
                <w:b/>
                <w:bCs/>
                <w:sz w:val="16"/>
                <w:szCs w:val="16"/>
                <w:lang w:val="es-419" w:eastAsia="es-419"/>
              </w:rPr>
              <w:t xml:space="preserve">80.184.170.382 </w:t>
            </w:r>
          </w:p>
        </w:tc>
      </w:tr>
      <w:tr w:rsidR="00573529" w:rsidRPr="00951AB1" w14:paraId="1862AE5C" w14:textId="77777777">
        <w:trPr>
          <w:trHeight w:val="290"/>
        </w:trPr>
        <w:tc>
          <w:tcPr>
            <w:tcW w:w="220" w:type="dxa"/>
            <w:tcBorders>
              <w:top w:val="nil"/>
              <w:left w:val="single" w:sz="4" w:space="0" w:color="A6A6A6"/>
              <w:bottom w:val="single" w:sz="4" w:space="0" w:color="A6A6A6"/>
              <w:right w:val="nil"/>
            </w:tcBorders>
            <w:noWrap/>
            <w:vAlign w:val="center"/>
            <w:hideMark/>
          </w:tcPr>
          <w:p w14:paraId="781CC813" w14:textId="77777777" w:rsidR="00573529" w:rsidRPr="00951AB1" w:rsidRDefault="00573529" w:rsidP="000A5389">
            <w:pPr>
              <w:spacing w:line="240" w:lineRule="auto"/>
              <w:jc w:val="center"/>
              <w:rPr>
                <w:rFonts w:eastAsia="Times New Roman" w:cs="Times New Roman"/>
                <w:sz w:val="16"/>
                <w:szCs w:val="16"/>
                <w:lang w:val="es-419" w:eastAsia="es-419"/>
              </w:rPr>
            </w:pPr>
            <w:r w:rsidRPr="00951AB1">
              <w:rPr>
                <w:rFonts w:eastAsia="Times New Roman" w:cs="Times New Roman"/>
                <w:sz w:val="16"/>
                <w:szCs w:val="16"/>
                <w:lang w:val="es-419" w:eastAsia="es-419"/>
              </w:rPr>
              <w:t> </w:t>
            </w:r>
          </w:p>
        </w:tc>
        <w:tc>
          <w:tcPr>
            <w:tcW w:w="189" w:type="dxa"/>
            <w:tcBorders>
              <w:top w:val="nil"/>
              <w:left w:val="nil"/>
              <w:bottom w:val="single" w:sz="4" w:space="0" w:color="A6A6A6"/>
              <w:right w:val="nil"/>
            </w:tcBorders>
            <w:noWrap/>
            <w:vAlign w:val="center"/>
            <w:hideMark/>
          </w:tcPr>
          <w:p w14:paraId="03346E74" w14:textId="77777777" w:rsidR="00573529" w:rsidRPr="00951AB1" w:rsidRDefault="00573529" w:rsidP="000A5389">
            <w:pPr>
              <w:spacing w:line="240" w:lineRule="auto"/>
              <w:rPr>
                <w:rFonts w:eastAsia="Times New Roman" w:cs="Times New Roman"/>
                <w:sz w:val="16"/>
                <w:szCs w:val="16"/>
                <w:lang w:val="es-419" w:eastAsia="es-419"/>
              </w:rPr>
            </w:pPr>
            <w:r w:rsidRPr="00951AB1">
              <w:rPr>
                <w:rFonts w:eastAsia="Times New Roman" w:cs="Times New Roman"/>
                <w:sz w:val="16"/>
                <w:szCs w:val="16"/>
                <w:lang w:val="es-419" w:eastAsia="es-419"/>
              </w:rPr>
              <w:t> </w:t>
            </w:r>
          </w:p>
        </w:tc>
        <w:tc>
          <w:tcPr>
            <w:tcW w:w="220" w:type="dxa"/>
            <w:tcBorders>
              <w:top w:val="nil"/>
              <w:left w:val="nil"/>
              <w:bottom w:val="single" w:sz="4" w:space="0" w:color="A6A6A6"/>
              <w:right w:val="nil"/>
            </w:tcBorders>
            <w:noWrap/>
            <w:vAlign w:val="center"/>
            <w:hideMark/>
          </w:tcPr>
          <w:p w14:paraId="0D7DFAD6" w14:textId="77777777" w:rsidR="00573529" w:rsidRPr="00951AB1" w:rsidRDefault="00573529" w:rsidP="000A5389">
            <w:pPr>
              <w:spacing w:line="240" w:lineRule="auto"/>
              <w:rPr>
                <w:rFonts w:eastAsia="Times New Roman" w:cs="Times New Roman"/>
                <w:sz w:val="16"/>
                <w:szCs w:val="16"/>
                <w:lang w:val="es-419" w:eastAsia="es-419"/>
              </w:rPr>
            </w:pPr>
            <w:r w:rsidRPr="00951AB1">
              <w:rPr>
                <w:rFonts w:eastAsia="Times New Roman" w:cs="Times New Roman"/>
                <w:sz w:val="16"/>
                <w:szCs w:val="16"/>
                <w:lang w:val="es-419" w:eastAsia="es-419"/>
              </w:rPr>
              <w:t> </w:t>
            </w:r>
          </w:p>
        </w:tc>
        <w:tc>
          <w:tcPr>
            <w:tcW w:w="3194" w:type="dxa"/>
            <w:tcBorders>
              <w:top w:val="nil"/>
              <w:left w:val="nil"/>
              <w:bottom w:val="single" w:sz="4" w:space="0" w:color="A6A6A6"/>
              <w:right w:val="single" w:sz="4" w:space="0" w:color="A6A6A6"/>
            </w:tcBorders>
            <w:vAlign w:val="center"/>
            <w:hideMark/>
          </w:tcPr>
          <w:p w14:paraId="350C9B0B" w14:textId="77777777" w:rsidR="00573529" w:rsidRPr="00951AB1" w:rsidRDefault="00573529" w:rsidP="000A5389">
            <w:pPr>
              <w:spacing w:line="240" w:lineRule="auto"/>
              <w:rPr>
                <w:rFonts w:eastAsia="Times New Roman" w:cs="Times New Roman"/>
                <w:sz w:val="16"/>
                <w:szCs w:val="16"/>
                <w:lang w:val="es-419" w:eastAsia="es-419"/>
              </w:rPr>
            </w:pPr>
            <w:r w:rsidRPr="00951AB1">
              <w:rPr>
                <w:rFonts w:eastAsia="Times New Roman" w:cs="Times New Roman"/>
                <w:sz w:val="16"/>
                <w:szCs w:val="16"/>
                <w:lang w:val="es-419" w:eastAsia="es-419"/>
              </w:rPr>
              <w:t>Saldo inicial de la AMORTIZACIÓN acumulada</w:t>
            </w:r>
          </w:p>
        </w:tc>
        <w:tc>
          <w:tcPr>
            <w:tcW w:w="1559" w:type="dxa"/>
            <w:tcBorders>
              <w:top w:val="nil"/>
              <w:left w:val="nil"/>
              <w:bottom w:val="single" w:sz="4" w:space="0" w:color="A6A6A6"/>
              <w:right w:val="single" w:sz="4" w:space="0" w:color="A6A6A6"/>
            </w:tcBorders>
            <w:noWrap/>
            <w:vAlign w:val="center"/>
            <w:hideMark/>
          </w:tcPr>
          <w:p w14:paraId="3FA4C16C" w14:textId="77777777" w:rsidR="00573529" w:rsidRPr="00951AB1" w:rsidRDefault="00573529" w:rsidP="000A5389">
            <w:pPr>
              <w:spacing w:line="240" w:lineRule="auto"/>
              <w:jc w:val="right"/>
              <w:rPr>
                <w:rFonts w:eastAsia="Times New Roman" w:cs="Times New Roman"/>
                <w:sz w:val="16"/>
                <w:szCs w:val="16"/>
                <w:lang w:val="es-419" w:eastAsia="es-419"/>
              </w:rPr>
            </w:pPr>
            <w:r w:rsidRPr="00951AB1">
              <w:rPr>
                <w:rFonts w:eastAsia="Times New Roman" w:cs="Times New Roman"/>
                <w:sz w:val="16"/>
                <w:szCs w:val="16"/>
                <w:lang w:val="es-419" w:eastAsia="es-419"/>
              </w:rPr>
              <w:t xml:space="preserve">74.638.102.000 </w:t>
            </w:r>
          </w:p>
        </w:tc>
        <w:tc>
          <w:tcPr>
            <w:tcW w:w="1096" w:type="dxa"/>
            <w:tcBorders>
              <w:top w:val="nil"/>
              <w:left w:val="nil"/>
              <w:bottom w:val="single" w:sz="4" w:space="0" w:color="A6A6A6"/>
              <w:right w:val="single" w:sz="4" w:space="0" w:color="A6A6A6"/>
            </w:tcBorders>
            <w:noWrap/>
            <w:vAlign w:val="center"/>
            <w:hideMark/>
          </w:tcPr>
          <w:p w14:paraId="2E9D3091" w14:textId="77777777" w:rsidR="00573529" w:rsidRPr="00951AB1" w:rsidRDefault="00573529" w:rsidP="000A5389">
            <w:pPr>
              <w:spacing w:line="240" w:lineRule="auto"/>
              <w:jc w:val="right"/>
              <w:rPr>
                <w:rFonts w:eastAsia="Times New Roman" w:cs="Times New Roman"/>
                <w:sz w:val="16"/>
                <w:szCs w:val="16"/>
                <w:lang w:val="es-419" w:eastAsia="es-419"/>
              </w:rPr>
            </w:pPr>
            <w:r w:rsidRPr="00951AB1">
              <w:rPr>
                <w:rFonts w:eastAsia="Times New Roman" w:cs="Times New Roman"/>
                <w:sz w:val="16"/>
                <w:szCs w:val="16"/>
                <w:lang w:val="es-419" w:eastAsia="es-419"/>
              </w:rPr>
              <w:t xml:space="preserve">473.550.630 </w:t>
            </w:r>
          </w:p>
        </w:tc>
        <w:tc>
          <w:tcPr>
            <w:tcW w:w="1172" w:type="dxa"/>
            <w:tcBorders>
              <w:top w:val="nil"/>
              <w:left w:val="nil"/>
              <w:bottom w:val="single" w:sz="4" w:space="0" w:color="A6A6A6"/>
              <w:right w:val="single" w:sz="4" w:space="0" w:color="A6A6A6"/>
            </w:tcBorders>
            <w:noWrap/>
            <w:vAlign w:val="center"/>
            <w:hideMark/>
          </w:tcPr>
          <w:p w14:paraId="5F5CE678" w14:textId="77777777" w:rsidR="00573529" w:rsidRPr="00951AB1" w:rsidRDefault="00573529" w:rsidP="000A5389">
            <w:pPr>
              <w:spacing w:line="240" w:lineRule="auto"/>
              <w:jc w:val="right"/>
              <w:rPr>
                <w:rFonts w:eastAsia="Times New Roman" w:cs="Times New Roman"/>
                <w:sz w:val="16"/>
                <w:szCs w:val="16"/>
                <w:lang w:val="es-419" w:eastAsia="es-419"/>
              </w:rPr>
            </w:pPr>
            <w:r w:rsidRPr="00951AB1">
              <w:rPr>
                <w:rFonts w:eastAsia="Times New Roman" w:cs="Times New Roman"/>
                <w:sz w:val="16"/>
                <w:szCs w:val="16"/>
                <w:lang w:val="es-419" w:eastAsia="es-419"/>
              </w:rPr>
              <w:t xml:space="preserve">2.736.686.633 </w:t>
            </w:r>
          </w:p>
        </w:tc>
        <w:tc>
          <w:tcPr>
            <w:tcW w:w="1417" w:type="dxa"/>
            <w:tcBorders>
              <w:top w:val="nil"/>
              <w:left w:val="nil"/>
              <w:bottom w:val="single" w:sz="4" w:space="0" w:color="A6A6A6"/>
              <w:right w:val="single" w:sz="4" w:space="0" w:color="A6A6A6"/>
            </w:tcBorders>
            <w:noWrap/>
            <w:vAlign w:val="center"/>
            <w:hideMark/>
          </w:tcPr>
          <w:p w14:paraId="0A02617D" w14:textId="77777777" w:rsidR="00573529" w:rsidRPr="00951AB1" w:rsidRDefault="00573529" w:rsidP="000A5389">
            <w:pPr>
              <w:spacing w:line="240" w:lineRule="auto"/>
              <w:jc w:val="right"/>
              <w:rPr>
                <w:rFonts w:eastAsia="Times New Roman" w:cs="Times New Roman"/>
                <w:b/>
                <w:bCs/>
                <w:sz w:val="16"/>
                <w:szCs w:val="16"/>
                <w:lang w:val="es-419" w:eastAsia="es-419"/>
              </w:rPr>
            </w:pPr>
            <w:r w:rsidRPr="00951AB1">
              <w:rPr>
                <w:rFonts w:eastAsia="Times New Roman" w:cs="Times New Roman"/>
                <w:b/>
                <w:bCs/>
                <w:sz w:val="16"/>
                <w:szCs w:val="16"/>
                <w:lang w:val="es-419" w:eastAsia="es-419"/>
              </w:rPr>
              <w:t xml:space="preserve">77.848.339.263 </w:t>
            </w:r>
          </w:p>
        </w:tc>
      </w:tr>
      <w:tr w:rsidR="00573529" w:rsidRPr="00951AB1" w14:paraId="23B16635" w14:textId="77777777">
        <w:trPr>
          <w:trHeight w:val="290"/>
        </w:trPr>
        <w:tc>
          <w:tcPr>
            <w:tcW w:w="220" w:type="dxa"/>
            <w:tcBorders>
              <w:top w:val="nil"/>
              <w:left w:val="single" w:sz="4" w:space="0" w:color="A6A6A6"/>
              <w:bottom w:val="single" w:sz="4" w:space="0" w:color="A6A6A6"/>
              <w:right w:val="nil"/>
            </w:tcBorders>
            <w:noWrap/>
            <w:vAlign w:val="center"/>
            <w:hideMark/>
          </w:tcPr>
          <w:p w14:paraId="1CC7D0DF" w14:textId="77777777" w:rsidR="00573529" w:rsidRPr="00951AB1" w:rsidRDefault="00573529" w:rsidP="000A5389">
            <w:pPr>
              <w:spacing w:line="240" w:lineRule="auto"/>
              <w:jc w:val="center"/>
              <w:rPr>
                <w:rFonts w:eastAsia="Times New Roman" w:cs="Times New Roman"/>
                <w:sz w:val="16"/>
                <w:szCs w:val="16"/>
                <w:lang w:val="es-419" w:eastAsia="es-419"/>
              </w:rPr>
            </w:pPr>
            <w:r w:rsidRPr="00951AB1">
              <w:rPr>
                <w:rFonts w:eastAsia="Times New Roman" w:cs="Times New Roman"/>
                <w:sz w:val="16"/>
                <w:szCs w:val="16"/>
                <w:lang w:val="es-419" w:eastAsia="es-419"/>
              </w:rPr>
              <w:t> </w:t>
            </w:r>
          </w:p>
        </w:tc>
        <w:tc>
          <w:tcPr>
            <w:tcW w:w="189" w:type="dxa"/>
            <w:tcBorders>
              <w:top w:val="nil"/>
              <w:left w:val="nil"/>
              <w:bottom w:val="single" w:sz="4" w:space="0" w:color="A6A6A6"/>
              <w:right w:val="nil"/>
            </w:tcBorders>
            <w:noWrap/>
            <w:vAlign w:val="center"/>
            <w:hideMark/>
          </w:tcPr>
          <w:p w14:paraId="38A4BF7F" w14:textId="77777777" w:rsidR="00573529" w:rsidRPr="00951AB1" w:rsidRDefault="00573529" w:rsidP="000A5389">
            <w:pPr>
              <w:spacing w:line="240" w:lineRule="auto"/>
              <w:rPr>
                <w:rFonts w:eastAsia="Times New Roman" w:cs="Times New Roman"/>
                <w:sz w:val="16"/>
                <w:szCs w:val="16"/>
                <w:lang w:val="es-419" w:eastAsia="es-419"/>
              </w:rPr>
            </w:pPr>
            <w:r w:rsidRPr="00951AB1">
              <w:rPr>
                <w:rFonts w:eastAsia="Times New Roman" w:cs="Times New Roman"/>
                <w:sz w:val="16"/>
                <w:szCs w:val="16"/>
                <w:lang w:val="es-419" w:eastAsia="es-419"/>
              </w:rPr>
              <w:t> </w:t>
            </w:r>
          </w:p>
        </w:tc>
        <w:tc>
          <w:tcPr>
            <w:tcW w:w="220" w:type="dxa"/>
            <w:tcBorders>
              <w:top w:val="nil"/>
              <w:left w:val="nil"/>
              <w:bottom w:val="single" w:sz="4" w:space="0" w:color="A6A6A6"/>
              <w:right w:val="nil"/>
            </w:tcBorders>
            <w:noWrap/>
            <w:vAlign w:val="center"/>
            <w:hideMark/>
          </w:tcPr>
          <w:p w14:paraId="235345BA" w14:textId="77777777" w:rsidR="00573529" w:rsidRPr="00951AB1" w:rsidRDefault="00573529" w:rsidP="000A5389">
            <w:pPr>
              <w:spacing w:line="240" w:lineRule="auto"/>
              <w:jc w:val="center"/>
              <w:rPr>
                <w:rFonts w:eastAsia="Times New Roman" w:cs="Times New Roman"/>
                <w:sz w:val="16"/>
                <w:szCs w:val="16"/>
                <w:lang w:val="es-419" w:eastAsia="es-419"/>
              </w:rPr>
            </w:pPr>
            <w:r w:rsidRPr="00951AB1">
              <w:rPr>
                <w:rFonts w:eastAsia="Times New Roman" w:cs="Times New Roman"/>
                <w:sz w:val="16"/>
                <w:szCs w:val="16"/>
                <w:lang w:val="es-419" w:eastAsia="es-419"/>
              </w:rPr>
              <w:t>+</w:t>
            </w:r>
          </w:p>
        </w:tc>
        <w:tc>
          <w:tcPr>
            <w:tcW w:w="3194" w:type="dxa"/>
            <w:tcBorders>
              <w:top w:val="nil"/>
              <w:left w:val="nil"/>
              <w:bottom w:val="single" w:sz="4" w:space="0" w:color="A6A6A6"/>
              <w:right w:val="single" w:sz="4" w:space="0" w:color="A6A6A6"/>
            </w:tcBorders>
            <w:vAlign w:val="center"/>
            <w:hideMark/>
          </w:tcPr>
          <w:p w14:paraId="4CA6BB33" w14:textId="77777777" w:rsidR="00573529" w:rsidRPr="00951AB1" w:rsidRDefault="00573529" w:rsidP="000A5389">
            <w:pPr>
              <w:spacing w:line="240" w:lineRule="auto"/>
              <w:rPr>
                <w:rFonts w:eastAsia="Times New Roman" w:cs="Times New Roman"/>
                <w:sz w:val="16"/>
                <w:szCs w:val="16"/>
                <w:lang w:val="es-419" w:eastAsia="es-419"/>
              </w:rPr>
            </w:pPr>
            <w:r w:rsidRPr="00951AB1">
              <w:rPr>
                <w:rFonts w:eastAsia="Times New Roman" w:cs="Times New Roman"/>
                <w:sz w:val="16"/>
                <w:szCs w:val="16"/>
                <w:lang w:val="es-419" w:eastAsia="es-419"/>
              </w:rPr>
              <w:t>Amortización registrada - vigencia actual</w:t>
            </w:r>
          </w:p>
        </w:tc>
        <w:tc>
          <w:tcPr>
            <w:tcW w:w="1559" w:type="dxa"/>
            <w:tcBorders>
              <w:top w:val="nil"/>
              <w:left w:val="nil"/>
              <w:bottom w:val="single" w:sz="4" w:space="0" w:color="A6A6A6"/>
              <w:right w:val="single" w:sz="4" w:space="0" w:color="A6A6A6"/>
            </w:tcBorders>
            <w:noWrap/>
            <w:vAlign w:val="center"/>
            <w:hideMark/>
          </w:tcPr>
          <w:p w14:paraId="33686A12" w14:textId="77777777" w:rsidR="00573529" w:rsidRPr="00951AB1" w:rsidRDefault="00573529" w:rsidP="000A5389">
            <w:pPr>
              <w:spacing w:line="240" w:lineRule="auto"/>
              <w:jc w:val="right"/>
              <w:rPr>
                <w:rFonts w:eastAsia="Times New Roman" w:cs="Times New Roman"/>
                <w:sz w:val="16"/>
                <w:szCs w:val="16"/>
                <w:lang w:val="es-419" w:eastAsia="es-419"/>
              </w:rPr>
            </w:pPr>
            <w:r w:rsidRPr="00951AB1">
              <w:rPr>
                <w:rFonts w:eastAsia="Times New Roman" w:cs="Times New Roman"/>
                <w:sz w:val="16"/>
                <w:szCs w:val="16"/>
                <w:lang w:val="es-419" w:eastAsia="es-419"/>
              </w:rPr>
              <w:t xml:space="preserve">2.232.005.805 </w:t>
            </w:r>
          </w:p>
        </w:tc>
        <w:tc>
          <w:tcPr>
            <w:tcW w:w="1096" w:type="dxa"/>
            <w:tcBorders>
              <w:top w:val="nil"/>
              <w:left w:val="nil"/>
              <w:bottom w:val="single" w:sz="4" w:space="0" w:color="A6A6A6"/>
              <w:right w:val="single" w:sz="4" w:space="0" w:color="A6A6A6"/>
            </w:tcBorders>
            <w:noWrap/>
            <w:vAlign w:val="center"/>
            <w:hideMark/>
          </w:tcPr>
          <w:p w14:paraId="47BA0683" w14:textId="77777777" w:rsidR="00573529" w:rsidRPr="00951AB1" w:rsidRDefault="00573529" w:rsidP="000A5389">
            <w:pPr>
              <w:spacing w:line="240" w:lineRule="auto"/>
              <w:jc w:val="right"/>
              <w:rPr>
                <w:rFonts w:eastAsia="Times New Roman" w:cs="Times New Roman"/>
                <w:sz w:val="16"/>
                <w:szCs w:val="16"/>
                <w:lang w:val="es-419" w:eastAsia="es-419"/>
              </w:rPr>
            </w:pPr>
            <w:r w:rsidRPr="00951AB1">
              <w:rPr>
                <w:rFonts w:eastAsia="Times New Roman" w:cs="Times New Roman"/>
                <w:sz w:val="16"/>
                <w:szCs w:val="16"/>
                <w:lang w:val="es-419" w:eastAsia="es-419"/>
              </w:rPr>
              <w:t xml:space="preserve">103.825.315 </w:t>
            </w:r>
          </w:p>
        </w:tc>
        <w:tc>
          <w:tcPr>
            <w:tcW w:w="1172" w:type="dxa"/>
            <w:tcBorders>
              <w:top w:val="nil"/>
              <w:left w:val="nil"/>
              <w:bottom w:val="single" w:sz="4" w:space="0" w:color="A6A6A6"/>
              <w:right w:val="single" w:sz="4" w:space="0" w:color="A6A6A6"/>
            </w:tcBorders>
            <w:noWrap/>
            <w:vAlign w:val="center"/>
            <w:hideMark/>
          </w:tcPr>
          <w:p w14:paraId="46989E7D" w14:textId="77777777" w:rsidR="00573529" w:rsidRPr="00951AB1" w:rsidRDefault="00573529" w:rsidP="000A5389">
            <w:pPr>
              <w:spacing w:line="240" w:lineRule="auto"/>
              <w:jc w:val="right"/>
              <w:rPr>
                <w:rFonts w:eastAsia="Times New Roman" w:cs="Times New Roman"/>
                <w:sz w:val="16"/>
                <w:szCs w:val="16"/>
                <w:lang w:val="es-419" w:eastAsia="es-419"/>
              </w:rPr>
            </w:pPr>
            <w:r w:rsidRPr="00951AB1">
              <w:rPr>
                <w:rFonts w:eastAsia="Times New Roman" w:cs="Times New Roman"/>
                <w:sz w:val="16"/>
                <w:szCs w:val="16"/>
                <w:lang w:val="es-419" w:eastAsia="es-419"/>
              </w:rPr>
              <w:t xml:space="preserve">0 </w:t>
            </w:r>
          </w:p>
        </w:tc>
        <w:tc>
          <w:tcPr>
            <w:tcW w:w="1417" w:type="dxa"/>
            <w:tcBorders>
              <w:top w:val="nil"/>
              <w:left w:val="nil"/>
              <w:bottom w:val="single" w:sz="4" w:space="0" w:color="A6A6A6"/>
              <w:right w:val="single" w:sz="4" w:space="0" w:color="A6A6A6"/>
            </w:tcBorders>
            <w:noWrap/>
            <w:vAlign w:val="center"/>
            <w:hideMark/>
          </w:tcPr>
          <w:p w14:paraId="68050583" w14:textId="77777777" w:rsidR="00573529" w:rsidRPr="00951AB1" w:rsidRDefault="00573529" w:rsidP="000A5389">
            <w:pPr>
              <w:spacing w:line="240" w:lineRule="auto"/>
              <w:jc w:val="right"/>
              <w:rPr>
                <w:rFonts w:eastAsia="Times New Roman" w:cs="Times New Roman"/>
                <w:b/>
                <w:bCs/>
                <w:sz w:val="16"/>
                <w:szCs w:val="16"/>
                <w:lang w:val="es-419" w:eastAsia="es-419"/>
              </w:rPr>
            </w:pPr>
            <w:r w:rsidRPr="00951AB1">
              <w:rPr>
                <w:rFonts w:eastAsia="Times New Roman" w:cs="Times New Roman"/>
                <w:b/>
                <w:bCs/>
                <w:sz w:val="16"/>
                <w:szCs w:val="16"/>
                <w:lang w:val="es-419" w:eastAsia="es-419"/>
              </w:rPr>
              <w:t xml:space="preserve">2.335.831.120 </w:t>
            </w:r>
          </w:p>
        </w:tc>
      </w:tr>
      <w:tr w:rsidR="00573529" w:rsidRPr="00951AB1" w14:paraId="3021C1FA" w14:textId="77777777">
        <w:trPr>
          <w:trHeight w:val="290"/>
        </w:trPr>
        <w:tc>
          <w:tcPr>
            <w:tcW w:w="220" w:type="dxa"/>
            <w:tcBorders>
              <w:top w:val="nil"/>
              <w:left w:val="single" w:sz="4" w:space="0" w:color="A6A6A6"/>
              <w:bottom w:val="single" w:sz="4" w:space="0" w:color="A6A6A6"/>
              <w:right w:val="nil"/>
            </w:tcBorders>
            <w:noWrap/>
            <w:vAlign w:val="center"/>
            <w:hideMark/>
          </w:tcPr>
          <w:p w14:paraId="67AABD25" w14:textId="77777777" w:rsidR="00573529" w:rsidRPr="00951AB1" w:rsidRDefault="00573529" w:rsidP="000A5389">
            <w:pPr>
              <w:spacing w:line="240" w:lineRule="auto"/>
              <w:jc w:val="center"/>
              <w:rPr>
                <w:rFonts w:eastAsia="Times New Roman" w:cs="Times New Roman"/>
                <w:b/>
                <w:bCs/>
                <w:sz w:val="16"/>
                <w:szCs w:val="16"/>
                <w:lang w:val="es-419" w:eastAsia="es-419"/>
              </w:rPr>
            </w:pPr>
            <w:r w:rsidRPr="00951AB1">
              <w:rPr>
                <w:rFonts w:eastAsia="Times New Roman" w:cs="Times New Roman"/>
                <w:b/>
                <w:bCs/>
                <w:sz w:val="16"/>
                <w:szCs w:val="16"/>
                <w:lang w:val="es-419" w:eastAsia="es-419"/>
              </w:rPr>
              <w:t>-</w:t>
            </w:r>
          </w:p>
        </w:tc>
        <w:tc>
          <w:tcPr>
            <w:tcW w:w="3603" w:type="dxa"/>
            <w:gridSpan w:val="3"/>
            <w:tcBorders>
              <w:top w:val="single" w:sz="4" w:space="0" w:color="A6A6A6"/>
              <w:left w:val="nil"/>
              <w:bottom w:val="single" w:sz="4" w:space="0" w:color="A6A6A6"/>
              <w:right w:val="single" w:sz="4" w:space="0" w:color="A6A6A6"/>
            </w:tcBorders>
            <w:vAlign w:val="center"/>
            <w:hideMark/>
          </w:tcPr>
          <w:p w14:paraId="1C270FA2" w14:textId="77777777" w:rsidR="00573529" w:rsidRPr="00951AB1" w:rsidRDefault="00573529" w:rsidP="000A5389">
            <w:pPr>
              <w:spacing w:line="240" w:lineRule="auto"/>
              <w:rPr>
                <w:rFonts w:eastAsia="Times New Roman" w:cs="Times New Roman"/>
                <w:b/>
                <w:bCs/>
                <w:sz w:val="16"/>
                <w:szCs w:val="16"/>
                <w:lang w:val="es-419" w:eastAsia="es-419"/>
              </w:rPr>
            </w:pPr>
            <w:r w:rsidRPr="00951AB1">
              <w:rPr>
                <w:rFonts w:eastAsia="Times New Roman" w:cs="Times New Roman"/>
                <w:b/>
                <w:bCs/>
                <w:sz w:val="16"/>
                <w:szCs w:val="16"/>
                <w:lang w:val="es-419" w:eastAsia="es-419"/>
              </w:rPr>
              <w:t>DETERIORO ACUMULADO DE INTANGIBLES (DE)</w:t>
            </w:r>
          </w:p>
        </w:tc>
        <w:tc>
          <w:tcPr>
            <w:tcW w:w="1559" w:type="dxa"/>
            <w:tcBorders>
              <w:top w:val="nil"/>
              <w:left w:val="nil"/>
              <w:bottom w:val="single" w:sz="4" w:space="0" w:color="A6A6A6"/>
              <w:right w:val="single" w:sz="4" w:space="0" w:color="A6A6A6"/>
            </w:tcBorders>
            <w:noWrap/>
            <w:vAlign w:val="center"/>
            <w:hideMark/>
          </w:tcPr>
          <w:p w14:paraId="218F6F81" w14:textId="77777777" w:rsidR="00573529" w:rsidRPr="00951AB1" w:rsidRDefault="00573529" w:rsidP="000A5389">
            <w:pPr>
              <w:spacing w:line="240" w:lineRule="auto"/>
              <w:jc w:val="right"/>
              <w:rPr>
                <w:rFonts w:eastAsia="Times New Roman" w:cs="Times New Roman"/>
                <w:b/>
                <w:bCs/>
                <w:sz w:val="16"/>
                <w:szCs w:val="16"/>
                <w:lang w:val="es-419" w:eastAsia="es-419"/>
              </w:rPr>
            </w:pPr>
            <w:r w:rsidRPr="00951AB1">
              <w:rPr>
                <w:rFonts w:eastAsia="Times New Roman" w:cs="Times New Roman"/>
                <w:b/>
                <w:bCs/>
                <w:sz w:val="16"/>
                <w:szCs w:val="16"/>
                <w:lang w:val="es-419" w:eastAsia="es-419"/>
              </w:rPr>
              <w:t xml:space="preserve">0 </w:t>
            </w:r>
          </w:p>
        </w:tc>
        <w:tc>
          <w:tcPr>
            <w:tcW w:w="1096" w:type="dxa"/>
            <w:tcBorders>
              <w:top w:val="nil"/>
              <w:left w:val="nil"/>
              <w:bottom w:val="single" w:sz="4" w:space="0" w:color="A6A6A6"/>
              <w:right w:val="single" w:sz="4" w:space="0" w:color="A6A6A6"/>
            </w:tcBorders>
            <w:noWrap/>
            <w:vAlign w:val="center"/>
            <w:hideMark/>
          </w:tcPr>
          <w:p w14:paraId="16B55D71" w14:textId="77777777" w:rsidR="00573529" w:rsidRPr="00951AB1" w:rsidRDefault="00573529" w:rsidP="000A5389">
            <w:pPr>
              <w:spacing w:line="240" w:lineRule="auto"/>
              <w:jc w:val="right"/>
              <w:rPr>
                <w:rFonts w:eastAsia="Times New Roman" w:cs="Times New Roman"/>
                <w:b/>
                <w:bCs/>
                <w:sz w:val="16"/>
                <w:szCs w:val="16"/>
                <w:lang w:val="es-419" w:eastAsia="es-419"/>
              </w:rPr>
            </w:pPr>
            <w:r w:rsidRPr="00951AB1">
              <w:rPr>
                <w:rFonts w:eastAsia="Times New Roman" w:cs="Times New Roman"/>
                <w:b/>
                <w:bCs/>
                <w:sz w:val="16"/>
                <w:szCs w:val="16"/>
                <w:lang w:val="es-419" w:eastAsia="es-419"/>
              </w:rPr>
              <w:t xml:space="preserve">0 </w:t>
            </w:r>
          </w:p>
        </w:tc>
        <w:tc>
          <w:tcPr>
            <w:tcW w:w="1172" w:type="dxa"/>
            <w:tcBorders>
              <w:top w:val="nil"/>
              <w:left w:val="nil"/>
              <w:bottom w:val="single" w:sz="4" w:space="0" w:color="A6A6A6"/>
              <w:right w:val="single" w:sz="4" w:space="0" w:color="A6A6A6"/>
            </w:tcBorders>
            <w:noWrap/>
            <w:vAlign w:val="center"/>
            <w:hideMark/>
          </w:tcPr>
          <w:p w14:paraId="46CE66A8" w14:textId="77777777" w:rsidR="00573529" w:rsidRPr="00951AB1" w:rsidRDefault="00573529" w:rsidP="000A5389">
            <w:pPr>
              <w:spacing w:line="240" w:lineRule="auto"/>
              <w:jc w:val="right"/>
              <w:rPr>
                <w:rFonts w:eastAsia="Times New Roman" w:cs="Times New Roman"/>
                <w:b/>
                <w:bCs/>
                <w:sz w:val="16"/>
                <w:szCs w:val="16"/>
                <w:lang w:val="es-419" w:eastAsia="es-419"/>
              </w:rPr>
            </w:pPr>
            <w:r w:rsidRPr="00951AB1">
              <w:rPr>
                <w:rFonts w:eastAsia="Times New Roman" w:cs="Times New Roman"/>
                <w:b/>
                <w:bCs/>
                <w:sz w:val="16"/>
                <w:szCs w:val="16"/>
                <w:lang w:val="es-419" w:eastAsia="es-419"/>
              </w:rPr>
              <w:t xml:space="preserve">0 </w:t>
            </w:r>
          </w:p>
        </w:tc>
        <w:tc>
          <w:tcPr>
            <w:tcW w:w="1417" w:type="dxa"/>
            <w:tcBorders>
              <w:top w:val="nil"/>
              <w:left w:val="nil"/>
              <w:bottom w:val="single" w:sz="4" w:space="0" w:color="A6A6A6"/>
              <w:right w:val="single" w:sz="4" w:space="0" w:color="A6A6A6"/>
            </w:tcBorders>
            <w:noWrap/>
            <w:vAlign w:val="center"/>
            <w:hideMark/>
          </w:tcPr>
          <w:p w14:paraId="7745141E" w14:textId="77777777" w:rsidR="00573529" w:rsidRPr="00951AB1" w:rsidRDefault="00573529" w:rsidP="000A5389">
            <w:pPr>
              <w:spacing w:line="240" w:lineRule="auto"/>
              <w:jc w:val="right"/>
              <w:rPr>
                <w:rFonts w:eastAsia="Times New Roman" w:cs="Times New Roman"/>
                <w:b/>
                <w:bCs/>
                <w:sz w:val="16"/>
                <w:szCs w:val="16"/>
                <w:lang w:val="es-419" w:eastAsia="es-419"/>
              </w:rPr>
            </w:pPr>
            <w:r w:rsidRPr="00951AB1">
              <w:rPr>
                <w:rFonts w:eastAsia="Times New Roman" w:cs="Times New Roman"/>
                <w:b/>
                <w:bCs/>
                <w:sz w:val="16"/>
                <w:szCs w:val="16"/>
                <w:lang w:val="es-419" w:eastAsia="es-419"/>
              </w:rPr>
              <w:t xml:space="preserve">0 </w:t>
            </w:r>
          </w:p>
        </w:tc>
      </w:tr>
      <w:tr w:rsidR="00573529" w:rsidRPr="00951AB1" w14:paraId="237B5D72" w14:textId="77777777">
        <w:trPr>
          <w:trHeight w:val="290"/>
        </w:trPr>
        <w:tc>
          <w:tcPr>
            <w:tcW w:w="220" w:type="dxa"/>
            <w:tcBorders>
              <w:top w:val="nil"/>
              <w:left w:val="single" w:sz="4" w:space="0" w:color="A6A6A6"/>
              <w:bottom w:val="single" w:sz="4" w:space="0" w:color="A6A6A6"/>
              <w:right w:val="nil"/>
            </w:tcBorders>
            <w:noWrap/>
            <w:vAlign w:val="center"/>
            <w:hideMark/>
          </w:tcPr>
          <w:p w14:paraId="1A1B700F" w14:textId="77777777" w:rsidR="00573529" w:rsidRPr="00951AB1" w:rsidRDefault="00573529" w:rsidP="000A5389">
            <w:pPr>
              <w:spacing w:line="240" w:lineRule="auto"/>
              <w:jc w:val="center"/>
              <w:rPr>
                <w:rFonts w:eastAsia="Times New Roman" w:cs="Times New Roman"/>
                <w:sz w:val="16"/>
                <w:szCs w:val="16"/>
                <w:lang w:val="es-419" w:eastAsia="es-419"/>
              </w:rPr>
            </w:pPr>
            <w:r w:rsidRPr="00951AB1">
              <w:rPr>
                <w:rFonts w:eastAsia="Times New Roman" w:cs="Times New Roman"/>
                <w:sz w:val="16"/>
                <w:szCs w:val="16"/>
                <w:lang w:val="es-419" w:eastAsia="es-419"/>
              </w:rPr>
              <w:t> </w:t>
            </w:r>
          </w:p>
        </w:tc>
        <w:tc>
          <w:tcPr>
            <w:tcW w:w="189" w:type="dxa"/>
            <w:tcBorders>
              <w:top w:val="nil"/>
              <w:left w:val="nil"/>
              <w:bottom w:val="single" w:sz="4" w:space="0" w:color="A6A6A6"/>
              <w:right w:val="nil"/>
            </w:tcBorders>
            <w:noWrap/>
            <w:vAlign w:val="center"/>
            <w:hideMark/>
          </w:tcPr>
          <w:p w14:paraId="29A6B9EE" w14:textId="77777777" w:rsidR="00573529" w:rsidRPr="00951AB1" w:rsidRDefault="00573529" w:rsidP="000A5389">
            <w:pPr>
              <w:spacing w:line="240" w:lineRule="auto"/>
              <w:rPr>
                <w:rFonts w:eastAsia="Times New Roman" w:cs="Times New Roman"/>
                <w:sz w:val="16"/>
                <w:szCs w:val="16"/>
                <w:lang w:val="es-419" w:eastAsia="es-419"/>
              </w:rPr>
            </w:pPr>
            <w:r w:rsidRPr="00951AB1">
              <w:rPr>
                <w:rFonts w:eastAsia="Times New Roman" w:cs="Times New Roman"/>
                <w:sz w:val="16"/>
                <w:szCs w:val="16"/>
                <w:lang w:val="es-419" w:eastAsia="es-419"/>
              </w:rPr>
              <w:t> </w:t>
            </w:r>
          </w:p>
        </w:tc>
        <w:tc>
          <w:tcPr>
            <w:tcW w:w="220" w:type="dxa"/>
            <w:tcBorders>
              <w:top w:val="nil"/>
              <w:left w:val="nil"/>
              <w:bottom w:val="single" w:sz="4" w:space="0" w:color="A6A6A6"/>
              <w:right w:val="nil"/>
            </w:tcBorders>
            <w:noWrap/>
            <w:vAlign w:val="center"/>
            <w:hideMark/>
          </w:tcPr>
          <w:p w14:paraId="7C37A810" w14:textId="77777777" w:rsidR="00573529" w:rsidRPr="00951AB1" w:rsidRDefault="00573529" w:rsidP="000A5389">
            <w:pPr>
              <w:spacing w:line="240" w:lineRule="auto"/>
              <w:rPr>
                <w:rFonts w:eastAsia="Times New Roman" w:cs="Times New Roman"/>
                <w:sz w:val="16"/>
                <w:szCs w:val="16"/>
                <w:lang w:val="es-419" w:eastAsia="es-419"/>
              </w:rPr>
            </w:pPr>
            <w:r w:rsidRPr="00951AB1">
              <w:rPr>
                <w:rFonts w:eastAsia="Times New Roman" w:cs="Times New Roman"/>
                <w:sz w:val="16"/>
                <w:szCs w:val="16"/>
                <w:lang w:val="es-419" w:eastAsia="es-419"/>
              </w:rPr>
              <w:t> </w:t>
            </w:r>
          </w:p>
        </w:tc>
        <w:tc>
          <w:tcPr>
            <w:tcW w:w="3194" w:type="dxa"/>
            <w:tcBorders>
              <w:top w:val="nil"/>
              <w:left w:val="nil"/>
              <w:bottom w:val="single" w:sz="4" w:space="0" w:color="A6A6A6"/>
              <w:right w:val="single" w:sz="4" w:space="0" w:color="A6A6A6"/>
            </w:tcBorders>
            <w:vAlign w:val="center"/>
            <w:hideMark/>
          </w:tcPr>
          <w:p w14:paraId="7E376E63" w14:textId="77777777" w:rsidR="00573529" w:rsidRPr="00951AB1" w:rsidRDefault="00573529" w:rsidP="000A5389">
            <w:pPr>
              <w:spacing w:line="240" w:lineRule="auto"/>
              <w:rPr>
                <w:rFonts w:eastAsia="Times New Roman" w:cs="Times New Roman"/>
                <w:sz w:val="16"/>
                <w:szCs w:val="16"/>
                <w:lang w:val="es-419" w:eastAsia="es-419"/>
              </w:rPr>
            </w:pPr>
            <w:r w:rsidRPr="00951AB1">
              <w:rPr>
                <w:rFonts w:eastAsia="Times New Roman" w:cs="Times New Roman"/>
                <w:sz w:val="16"/>
                <w:szCs w:val="16"/>
                <w:lang w:val="es-419" w:eastAsia="es-419"/>
              </w:rPr>
              <w:t>Saldo inicial del Deterioro acumulado</w:t>
            </w:r>
          </w:p>
        </w:tc>
        <w:tc>
          <w:tcPr>
            <w:tcW w:w="1559" w:type="dxa"/>
            <w:tcBorders>
              <w:top w:val="nil"/>
              <w:left w:val="nil"/>
              <w:bottom w:val="single" w:sz="4" w:space="0" w:color="A6A6A6"/>
              <w:right w:val="single" w:sz="4" w:space="0" w:color="A6A6A6"/>
            </w:tcBorders>
            <w:noWrap/>
            <w:vAlign w:val="center"/>
            <w:hideMark/>
          </w:tcPr>
          <w:p w14:paraId="2F92C07B" w14:textId="77777777" w:rsidR="00573529" w:rsidRPr="00951AB1" w:rsidRDefault="00573529" w:rsidP="000A5389">
            <w:pPr>
              <w:spacing w:line="240" w:lineRule="auto"/>
              <w:jc w:val="right"/>
              <w:rPr>
                <w:rFonts w:eastAsia="Times New Roman" w:cs="Times New Roman"/>
                <w:sz w:val="16"/>
                <w:szCs w:val="16"/>
                <w:lang w:val="es-419" w:eastAsia="es-419"/>
              </w:rPr>
            </w:pPr>
            <w:r w:rsidRPr="00951AB1">
              <w:rPr>
                <w:rFonts w:eastAsia="Times New Roman" w:cs="Times New Roman"/>
                <w:sz w:val="16"/>
                <w:szCs w:val="16"/>
                <w:lang w:val="es-419" w:eastAsia="es-419"/>
              </w:rPr>
              <w:t xml:space="preserve">0 </w:t>
            </w:r>
          </w:p>
        </w:tc>
        <w:tc>
          <w:tcPr>
            <w:tcW w:w="1096" w:type="dxa"/>
            <w:tcBorders>
              <w:top w:val="nil"/>
              <w:left w:val="nil"/>
              <w:bottom w:val="single" w:sz="4" w:space="0" w:color="A6A6A6"/>
              <w:right w:val="single" w:sz="4" w:space="0" w:color="A6A6A6"/>
            </w:tcBorders>
            <w:noWrap/>
            <w:vAlign w:val="center"/>
            <w:hideMark/>
          </w:tcPr>
          <w:p w14:paraId="2BEEF38B" w14:textId="77777777" w:rsidR="00573529" w:rsidRPr="00951AB1" w:rsidRDefault="00573529" w:rsidP="000A5389">
            <w:pPr>
              <w:spacing w:line="240" w:lineRule="auto"/>
              <w:jc w:val="right"/>
              <w:rPr>
                <w:rFonts w:eastAsia="Times New Roman" w:cs="Times New Roman"/>
                <w:sz w:val="16"/>
                <w:szCs w:val="16"/>
                <w:lang w:val="es-419" w:eastAsia="es-419"/>
              </w:rPr>
            </w:pPr>
            <w:r w:rsidRPr="00951AB1">
              <w:rPr>
                <w:rFonts w:eastAsia="Times New Roman" w:cs="Times New Roman"/>
                <w:sz w:val="16"/>
                <w:szCs w:val="16"/>
                <w:lang w:val="es-419" w:eastAsia="es-419"/>
              </w:rPr>
              <w:t xml:space="preserve">0 </w:t>
            </w:r>
          </w:p>
        </w:tc>
        <w:tc>
          <w:tcPr>
            <w:tcW w:w="1172" w:type="dxa"/>
            <w:tcBorders>
              <w:top w:val="nil"/>
              <w:left w:val="nil"/>
              <w:bottom w:val="single" w:sz="4" w:space="0" w:color="A6A6A6"/>
              <w:right w:val="single" w:sz="4" w:space="0" w:color="A6A6A6"/>
            </w:tcBorders>
            <w:noWrap/>
            <w:vAlign w:val="center"/>
            <w:hideMark/>
          </w:tcPr>
          <w:p w14:paraId="0901F291" w14:textId="77777777" w:rsidR="00573529" w:rsidRPr="00951AB1" w:rsidRDefault="00573529" w:rsidP="000A5389">
            <w:pPr>
              <w:spacing w:line="240" w:lineRule="auto"/>
              <w:jc w:val="right"/>
              <w:rPr>
                <w:rFonts w:eastAsia="Times New Roman" w:cs="Times New Roman"/>
                <w:sz w:val="16"/>
                <w:szCs w:val="16"/>
                <w:lang w:val="es-419" w:eastAsia="es-419"/>
              </w:rPr>
            </w:pPr>
            <w:r w:rsidRPr="00951AB1">
              <w:rPr>
                <w:rFonts w:eastAsia="Times New Roman" w:cs="Times New Roman"/>
                <w:sz w:val="16"/>
                <w:szCs w:val="16"/>
                <w:lang w:val="es-419" w:eastAsia="es-419"/>
              </w:rPr>
              <w:t xml:space="preserve">0 </w:t>
            </w:r>
          </w:p>
        </w:tc>
        <w:tc>
          <w:tcPr>
            <w:tcW w:w="1417" w:type="dxa"/>
            <w:tcBorders>
              <w:top w:val="nil"/>
              <w:left w:val="nil"/>
              <w:bottom w:val="single" w:sz="4" w:space="0" w:color="A6A6A6"/>
              <w:right w:val="single" w:sz="4" w:space="0" w:color="A6A6A6"/>
            </w:tcBorders>
            <w:noWrap/>
            <w:vAlign w:val="center"/>
            <w:hideMark/>
          </w:tcPr>
          <w:p w14:paraId="2AC35AB3" w14:textId="77777777" w:rsidR="00573529" w:rsidRPr="00951AB1" w:rsidRDefault="00573529" w:rsidP="000A5389">
            <w:pPr>
              <w:spacing w:line="240" w:lineRule="auto"/>
              <w:jc w:val="right"/>
              <w:rPr>
                <w:rFonts w:eastAsia="Times New Roman" w:cs="Times New Roman"/>
                <w:b/>
                <w:bCs/>
                <w:sz w:val="16"/>
                <w:szCs w:val="16"/>
                <w:lang w:val="es-419" w:eastAsia="es-419"/>
              </w:rPr>
            </w:pPr>
            <w:r w:rsidRPr="00951AB1">
              <w:rPr>
                <w:rFonts w:eastAsia="Times New Roman" w:cs="Times New Roman"/>
                <w:b/>
                <w:bCs/>
                <w:sz w:val="16"/>
                <w:szCs w:val="16"/>
                <w:lang w:val="es-419" w:eastAsia="es-419"/>
              </w:rPr>
              <w:t xml:space="preserve">0 </w:t>
            </w:r>
          </w:p>
        </w:tc>
      </w:tr>
      <w:tr w:rsidR="00573529" w:rsidRPr="00951AB1" w14:paraId="406C29EA" w14:textId="77777777">
        <w:trPr>
          <w:trHeight w:val="290"/>
        </w:trPr>
        <w:tc>
          <w:tcPr>
            <w:tcW w:w="220" w:type="dxa"/>
            <w:tcBorders>
              <w:top w:val="nil"/>
              <w:left w:val="single" w:sz="4" w:space="0" w:color="A6A6A6"/>
              <w:bottom w:val="single" w:sz="4" w:space="0" w:color="A6A6A6"/>
              <w:right w:val="nil"/>
            </w:tcBorders>
            <w:noWrap/>
            <w:vAlign w:val="center"/>
            <w:hideMark/>
          </w:tcPr>
          <w:p w14:paraId="4EBC9EC7" w14:textId="77777777" w:rsidR="00573529" w:rsidRPr="00951AB1" w:rsidRDefault="00573529" w:rsidP="000A5389">
            <w:pPr>
              <w:spacing w:line="240" w:lineRule="auto"/>
              <w:jc w:val="center"/>
              <w:rPr>
                <w:rFonts w:eastAsia="Times New Roman" w:cs="Times New Roman"/>
                <w:sz w:val="16"/>
                <w:szCs w:val="16"/>
                <w:lang w:val="es-419" w:eastAsia="es-419"/>
              </w:rPr>
            </w:pPr>
            <w:r w:rsidRPr="00951AB1">
              <w:rPr>
                <w:rFonts w:eastAsia="Times New Roman" w:cs="Times New Roman"/>
                <w:sz w:val="16"/>
                <w:szCs w:val="16"/>
                <w:lang w:val="es-419" w:eastAsia="es-419"/>
              </w:rPr>
              <w:t> </w:t>
            </w:r>
          </w:p>
        </w:tc>
        <w:tc>
          <w:tcPr>
            <w:tcW w:w="189" w:type="dxa"/>
            <w:tcBorders>
              <w:top w:val="nil"/>
              <w:left w:val="nil"/>
              <w:bottom w:val="single" w:sz="4" w:space="0" w:color="A6A6A6"/>
              <w:right w:val="nil"/>
            </w:tcBorders>
            <w:noWrap/>
            <w:vAlign w:val="center"/>
            <w:hideMark/>
          </w:tcPr>
          <w:p w14:paraId="35241342" w14:textId="77777777" w:rsidR="00573529" w:rsidRPr="00951AB1" w:rsidRDefault="00573529" w:rsidP="000A5389">
            <w:pPr>
              <w:spacing w:line="240" w:lineRule="auto"/>
              <w:rPr>
                <w:rFonts w:eastAsia="Times New Roman" w:cs="Times New Roman"/>
                <w:sz w:val="16"/>
                <w:szCs w:val="16"/>
                <w:lang w:val="es-419" w:eastAsia="es-419"/>
              </w:rPr>
            </w:pPr>
            <w:r w:rsidRPr="00951AB1">
              <w:rPr>
                <w:rFonts w:eastAsia="Times New Roman" w:cs="Times New Roman"/>
                <w:sz w:val="16"/>
                <w:szCs w:val="16"/>
                <w:lang w:val="es-419" w:eastAsia="es-419"/>
              </w:rPr>
              <w:t> </w:t>
            </w:r>
          </w:p>
        </w:tc>
        <w:tc>
          <w:tcPr>
            <w:tcW w:w="220" w:type="dxa"/>
            <w:tcBorders>
              <w:top w:val="nil"/>
              <w:left w:val="nil"/>
              <w:bottom w:val="single" w:sz="4" w:space="0" w:color="A6A6A6"/>
              <w:right w:val="nil"/>
            </w:tcBorders>
            <w:noWrap/>
            <w:vAlign w:val="center"/>
            <w:hideMark/>
          </w:tcPr>
          <w:p w14:paraId="44039215" w14:textId="77777777" w:rsidR="00573529" w:rsidRPr="00951AB1" w:rsidRDefault="00573529" w:rsidP="000A5389">
            <w:pPr>
              <w:spacing w:line="240" w:lineRule="auto"/>
              <w:jc w:val="center"/>
              <w:rPr>
                <w:rFonts w:eastAsia="Times New Roman" w:cs="Times New Roman"/>
                <w:sz w:val="16"/>
                <w:szCs w:val="16"/>
                <w:lang w:val="es-419" w:eastAsia="es-419"/>
              </w:rPr>
            </w:pPr>
            <w:r w:rsidRPr="00951AB1">
              <w:rPr>
                <w:rFonts w:eastAsia="Times New Roman" w:cs="Times New Roman"/>
                <w:sz w:val="16"/>
                <w:szCs w:val="16"/>
                <w:lang w:val="es-419" w:eastAsia="es-419"/>
              </w:rPr>
              <w:t>+</w:t>
            </w:r>
          </w:p>
        </w:tc>
        <w:tc>
          <w:tcPr>
            <w:tcW w:w="3194" w:type="dxa"/>
            <w:tcBorders>
              <w:top w:val="nil"/>
              <w:left w:val="nil"/>
              <w:bottom w:val="single" w:sz="4" w:space="0" w:color="A6A6A6"/>
              <w:right w:val="single" w:sz="4" w:space="0" w:color="A6A6A6"/>
            </w:tcBorders>
            <w:vAlign w:val="center"/>
            <w:hideMark/>
          </w:tcPr>
          <w:p w14:paraId="580817EE" w14:textId="77777777" w:rsidR="00573529" w:rsidRPr="00951AB1" w:rsidRDefault="00573529" w:rsidP="000A5389">
            <w:pPr>
              <w:spacing w:line="240" w:lineRule="auto"/>
              <w:rPr>
                <w:rFonts w:eastAsia="Times New Roman" w:cs="Times New Roman"/>
                <w:sz w:val="16"/>
                <w:szCs w:val="16"/>
                <w:lang w:val="es-419" w:eastAsia="es-419"/>
              </w:rPr>
            </w:pPr>
            <w:r w:rsidRPr="00951AB1">
              <w:rPr>
                <w:rFonts w:eastAsia="Times New Roman" w:cs="Times New Roman"/>
                <w:sz w:val="16"/>
                <w:szCs w:val="16"/>
                <w:lang w:val="es-419" w:eastAsia="es-419"/>
              </w:rPr>
              <w:t>Deterioro registrado - vigencia actual</w:t>
            </w:r>
          </w:p>
        </w:tc>
        <w:tc>
          <w:tcPr>
            <w:tcW w:w="1559" w:type="dxa"/>
            <w:tcBorders>
              <w:top w:val="nil"/>
              <w:left w:val="nil"/>
              <w:bottom w:val="single" w:sz="4" w:space="0" w:color="A6A6A6"/>
              <w:right w:val="single" w:sz="4" w:space="0" w:color="A6A6A6"/>
            </w:tcBorders>
            <w:noWrap/>
            <w:vAlign w:val="center"/>
            <w:hideMark/>
          </w:tcPr>
          <w:p w14:paraId="498AD94E" w14:textId="77777777" w:rsidR="00573529" w:rsidRPr="00951AB1" w:rsidRDefault="00573529" w:rsidP="000A5389">
            <w:pPr>
              <w:spacing w:line="240" w:lineRule="auto"/>
              <w:jc w:val="right"/>
              <w:rPr>
                <w:rFonts w:eastAsia="Times New Roman" w:cs="Times New Roman"/>
                <w:sz w:val="16"/>
                <w:szCs w:val="16"/>
                <w:lang w:val="es-419" w:eastAsia="es-419"/>
              </w:rPr>
            </w:pPr>
            <w:r w:rsidRPr="00951AB1">
              <w:rPr>
                <w:rFonts w:eastAsia="Times New Roman" w:cs="Times New Roman"/>
                <w:sz w:val="16"/>
                <w:szCs w:val="16"/>
                <w:lang w:val="es-419" w:eastAsia="es-419"/>
              </w:rPr>
              <w:t xml:space="preserve">0 </w:t>
            </w:r>
          </w:p>
        </w:tc>
        <w:tc>
          <w:tcPr>
            <w:tcW w:w="1096" w:type="dxa"/>
            <w:tcBorders>
              <w:top w:val="nil"/>
              <w:left w:val="nil"/>
              <w:bottom w:val="single" w:sz="4" w:space="0" w:color="A6A6A6"/>
              <w:right w:val="single" w:sz="4" w:space="0" w:color="A6A6A6"/>
            </w:tcBorders>
            <w:noWrap/>
            <w:vAlign w:val="center"/>
            <w:hideMark/>
          </w:tcPr>
          <w:p w14:paraId="6EBF68FD" w14:textId="77777777" w:rsidR="00573529" w:rsidRPr="00951AB1" w:rsidRDefault="00573529" w:rsidP="000A5389">
            <w:pPr>
              <w:spacing w:line="240" w:lineRule="auto"/>
              <w:jc w:val="right"/>
              <w:rPr>
                <w:rFonts w:eastAsia="Times New Roman" w:cs="Times New Roman"/>
                <w:sz w:val="16"/>
                <w:szCs w:val="16"/>
                <w:lang w:val="es-419" w:eastAsia="es-419"/>
              </w:rPr>
            </w:pPr>
            <w:r w:rsidRPr="00951AB1">
              <w:rPr>
                <w:rFonts w:eastAsia="Times New Roman" w:cs="Times New Roman"/>
                <w:sz w:val="16"/>
                <w:szCs w:val="16"/>
                <w:lang w:val="es-419" w:eastAsia="es-419"/>
              </w:rPr>
              <w:t xml:space="preserve">0 </w:t>
            </w:r>
          </w:p>
        </w:tc>
        <w:tc>
          <w:tcPr>
            <w:tcW w:w="1172" w:type="dxa"/>
            <w:tcBorders>
              <w:top w:val="nil"/>
              <w:left w:val="nil"/>
              <w:bottom w:val="single" w:sz="4" w:space="0" w:color="A6A6A6"/>
              <w:right w:val="single" w:sz="4" w:space="0" w:color="A6A6A6"/>
            </w:tcBorders>
            <w:noWrap/>
            <w:vAlign w:val="center"/>
            <w:hideMark/>
          </w:tcPr>
          <w:p w14:paraId="402BA214" w14:textId="77777777" w:rsidR="00573529" w:rsidRPr="00951AB1" w:rsidRDefault="00573529" w:rsidP="000A5389">
            <w:pPr>
              <w:spacing w:line="240" w:lineRule="auto"/>
              <w:jc w:val="right"/>
              <w:rPr>
                <w:rFonts w:eastAsia="Times New Roman" w:cs="Times New Roman"/>
                <w:sz w:val="16"/>
                <w:szCs w:val="16"/>
                <w:lang w:val="es-419" w:eastAsia="es-419"/>
              </w:rPr>
            </w:pPr>
            <w:r w:rsidRPr="00951AB1">
              <w:rPr>
                <w:rFonts w:eastAsia="Times New Roman" w:cs="Times New Roman"/>
                <w:sz w:val="16"/>
                <w:szCs w:val="16"/>
                <w:lang w:val="es-419" w:eastAsia="es-419"/>
              </w:rPr>
              <w:t xml:space="preserve">0 </w:t>
            </w:r>
          </w:p>
        </w:tc>
        <w:tc>
          <w:tcPr>
            <w:tcW w:w="1417" w:type="dxa"/>
            <w:tcBorders>
              <w:top w:val="nil"/>
              <w:left w:val="nil"/>
              <w:bottom w:val="single" w:sz="4" w:space="0" w:color="A6A6A6"/>
              <w:right w:val="single" w:sz="4" w:space="0" w:color="A6A6A6"/>
            </w:tcBorders>
            <w:noWrap/>
            <w:vAlign w:val="center"/>
            <w:hideMark/>
          </w:tcPr>
          <w:p w14:paraId="64F5AFF5" w14:textId="77777777" w:rsidR="00573529" w:rsidRPr="00951AB1" w:rsidRDefault="00573529" w:rsidP="000A5389">
            <w:pPr>
              <w:spacing w:line="240" w:lineRule="auto"/>
              <w:jc w:val="right"/>
              <w:rPr>
                <w:rFonts w:eastAsia="Times New Roman" w:cs="Times New Roman"/>
                <w:b/>
                <w:bCs/>
                <w:sz w:val="16"/>
                <w:szCs w:val="16"/>
                <w:lang w:val="es-419" w:eastAsia="es-419"/>
              </w:rPr>
            </w:pPr>
            <w:r w:rsidRPr="00951AB1">
              <w:rPr>
                <w:rFonts w:eastAsia="Times New Roman" w:cs="Times New Roman"/>
                <w:b/>
                <w:bCs/>
                <w:sz w:val="16"/>
                <w:szCs w:val="16"/>
                <w:lang w:val="es-419" w:eastAsia="es-419"/>
              </w:rPr>
              <w:t xml:space="preserve">0 </w:t>
            </w:r>
          </w:p>
        </w:tc>
      </w:tr>
      <w:tr w:rsidR="00573529" w:rsidRPr="00951AB1" w14:paraId="45D75CC4" w14:textId="77777777">
        <w:trPr>
          <w:trHeight w:val="245"/>
        </w:trPr>
        <w:tc>
          <w:tcPr>
            <w:tcW w:w="220" w:type="dxa"/>
            <w:tcBorders>
              <w:top w:val="nil"/>
              <w:left w:val="single" w:sz="4" w:space="0" w:color="A6A6A6"/>
              <w:bottom w:val="single" w:sz="4" w:space="0" w:color="A6A6A6"/>
              <w:right w:val="nil"/>
            </w:tcBorders>
            <w:noWrap/>
            <w:vAlign w:val="center"/>
            <w:hideMark/>
          </w:tcPr>
          <w:p w14:paraId="1090BCAB" w14:textId="77777777" w:rsidR="00573529" w:rsidRPr="00951AB1" w:rsidRDefault="00573529" w:rsidP="000A5389">
            <w:pPr>
              <w:spacing w:line="240" w:lineRule="auto"/>
              <w:jc w:val="center"/>
              <w:rPr>
                <w:rFonts w:eastAsia="Times New Roman" w:cs="Times New Roman"/>
                <w:b/>
                <w:bCs/>
                <w:sz w:val="16"/>
                <w:szCs w:val="16"/>
                <w:lang w:val="es-419" w:eastAsia="es-419"/>
              </w:rPr>
            </w:pPr>
            <w:r w:rsidRPr="00951AB1">
              <w:rPr>
                <w:rFonts w:eastAsia="Times New Roman" w:cs="Times New Roman"/>
                <w:b/>
                <w:bCs/>
                <w:sz w:val="16"/>
                <w:szCs w:val="16"/>
                <w:lang w:val="es-419" w:eastAsia="es-419"/>
              </w:rPr>
              <w:t>=</w:t>
            </w:r>
          </w:p>
        </w:tc>
        <w:tc>
          <w:tcPr>
            <w:tcW w:w="3603" w:type="dxa"/>
            <w:gridSpan w:val="3"/>
            <w:tcBorders>
              <w:top w:val="single" w:sz="4" w:space="0" w:color="A6A6A6"/>
              <w:left w:val="nil"/>
              <w:bottom w:val="single" w:sz="4" w:space="0" w:color="A6A6A6"/>
              <w:right w:val="single" w:sz="4" w:space="0" w:color="A6A6A6"/>
            </w:tcBorders>
            <w:vAlign w:val="center"/>
            <w:hideMark/>
          </w:tcPr>
          <w:p w14:paraId="1BA2AA9D" w14:textId="77777777" w:rsidR="00573529" w:rsidRPr="00951AB1" w:rsidRDefault="00573529" w:rsidP="000A5389">
            <w:pPr>
              <w:spacing w:line="240" w:lineRule="auto"/>
              <w:rPr>
                <w:rFonts w:eastAsia="Times New Roman" w:cs="Times New Roman"/>
                <w:b/>
                <w:bCs/>
                <w:sz w:val="16"/>
                <w:szCs w:val="16"/>
                <w:lang w:val="es-419" w:eastAsia="es-419"/>
              </w:rPr>
            </w:pPr>
            <w:r w:rsidRPr="00951AB1">
              <w:rPr>
                <w:rFonts w:eastAsia="Times New Roman" w:cs="Times New Roman"/>
                <w:b/>
                <w:bCs/>
                <w:sz w:val="16"/>
                <w:szCs w:val="16"/>
                <w:lang w:val="es-419" w:eastAsia="es-419"/>
              </w:rPr>
              <w:t>VALOR EN LIBROS</w:t>
            </w:r>
            <w:r w:rsidRPr="00951AB1">
              <w:rPr>
                <w:rFonts w:eastAsia="Times New Roman" w:cs="Times New Roman"/>
                <w:b/>
                <w:bCs/>
                <w:sz w:val="16"/>
                <w:szCs w:val="16"/>
                <w:lang w:val="es-419" w:eastAsia="es-419"/>
              </w:rPr>
              <w:br/>
              <w:t>(Saldo final - AM - DE)</w:t>
            </w:r>
          </w:p>
        </w:tc>
        <w:tc>
          <w:tcPr>
            <w:tcW w:w="1559" w:type="dxa"/>
            <w:tcBorders>
              <w:top w:val="nil"/>
              <w:left w:val="nil"/>
              <w:bottom w:val="single" w:sz="4" w:space="0" w:color="A6A6A6"/>
              <w:right w:val="single" w:sz="4" w:space="0" w:color="A6A6A6"/>
            </w:tcBorders>
            <w:noWrap/>
            <w:vAlign w:val="center"/>
            <w:hideMark/>
          </w:tcPr>
          <w:p w14:paraId="4A780F3E" w14:textId="77777777" w:rsidR="00573529" w:rsidRPr="00951AB1" w:rsidRDefault="00573529" w:rsidP="000A5389">
            <w:pPr>
              <w:spacing w:line="240" w:lineRule="auto"/>
              <w:jc w:val="right"/>
              <w:rPr>
                <w:rFonts w:eastAsia="Times New Roman" w:cs="Times New Roman"/>
                <w:b/>
                <w:bCs/>
                <w:sz w:val="16"/>
                <w:szCs w:val="16"/>
                <w:lang w:val="es-419" w:eastAsia="es-419"/>
              </w:rPr>
            </w:pPr>
            <w:r w:rsidRPr="00951AB1">
              <w:rPr>
                <w:rFonts w:eastAsia="Times New Roman" w:cs="Times New Roman"/>
                <w:b/>
                <w:bCs/>
                <w:sz w:val="16"/>
                <w:szCs w:val="16"/>
                <w:lang w:val="es-419" w:eastAsia="es-419"/>
              </w:rPr>
              <w:t xml:space="preserve">91.997.725.728 </w:t>
            </w:r>
          </w:p>
        </w:tc>
        <w:tc>
          <w:tcPr>
            <w:tcW w:w="1096" w:type="dxa"/>
            <w:tcBorders>
              <w:top w:val="nil"/>
              <w:left w:val="nil"/>
              <w:bottom w:val="single" w:sz="4" w:space="0" w:color="A6A6A6"/>
              <w:right w:val="single" w:sz="4" w:space="0" w:color="A6A6A6"/>
            </w:tcBorders>
            <w:noWrap/>
            <w:vAlign w:val="center"/>
            <w:hideMark/>
          </w:tcPr>
          <w:p w14:paraId="7AED9EED" w14:textId="77777777" w:rsidR="00573529" w:rsidRPr="00951AB1" w:rsidRDefault="00573529" w:rsidP="000A5389">
            <w:pPr>
              <w:spacing w:line="240" w:lineRule="auto"/>
              <w:jc w:val="right"/>
              <w:rPr>
                <w:rFonts w:eastAsia="Times New Roman" w:cs="Times New Roman"/>
                <w:b/>
                <w:bCs/>
                <w:sz w:val="16"/>
                <w:szCs w:val="16"/>
                <w:lang w:val="es-419" w:eastAsia="es-419"/>
              </w:rPr>
            </w:pPr>
            <w:r w:rsidRPr="00951AB1">
              <w:rPr>
                <w:rFonts w:eastAsia="Times New Roman" w:cs="Times New Roman"/>
                <w:b/>
                <w:bCs/>
                <w:sz w:val="16"/>
                <w:szCs w:val="16"/>
                <w:lang w:val="es-419" w:eastAsia="es-419"/>
              </w:rPr>
              <w:t xml:space="preserve">1.164.212.477 </w:t>
            </w:r>
          </w:p>
        </w:tc>
        <w:tc>
          <w:tcPr>
            <w:tcW w:w="1172" w:type="dxa"/>
            <w:tcBorders>
              <w:top w:val="nil"/>
              <w:left w:val="nil"/>
              <w:bottom w:val="single" w:sz="4" w:space="0" w:color="A6A6A6"/>
              <w:right w:val="single" w:sz="4" w:space="0" w:color="A6A6A6"/>
            </w:tcBorders>
            <w:noWrap/>
            <w:vAlign w:val="center"/>
            <w:hideMark/>
          </w:tcPr>
          <w:p w14:paraId="08F6EF66" w14:textId="77777777" w:rsidR="00573529" w:rsidRPr="00951AB1" w:rsidRDefault="00573529" w:rsidP="000A5389">
            <w:pPr>
              <w:spacing w:line="240" w:lineRule="auto"/>
              <w:jc w:val="right"/>
              <w:rPr>
                <w:rFonts w:eastAsia="Times New Roman" w:cs="Times New Roman"/>
                <w:b/>
                <w:bCs/>
                <w:sz w:val="16"/>
                <w:szCs w:val="16"/>
                <w:lang w:val="es-419" w:eastAsia="es-419"/>
              </w:rPr>
            </w:pPr>
            <w:r w:rsidRPr="00951AB1">
              <w:rPr>
                <w:rFonts w:eastAsia="Times New Roman" w:cs="Times New Roman"/>
                <w:b/>
                <w:bCs/>
                <w:sz w:val="16"/>
                <w:szCs w:val="16"/>
                <w:lang w:val="es-419" w:eastAsia="es-419"/>
              </w:rPr>
              <w:t xml:space="preserve">0 </w:t>
            </w:r>
          </w:p>
        </w:tc>
        <w:tc>
          <w:tcPr>
            <w:tcW w:w="1417" w:type="dxa"/>
            <w:tcBorders>
              <w:top w:val="nil"/>
              <w:left w:val="nil"/>
              <w:bottom w:val="single" w:sz="4" w:space="0" w:color="A6A6A6"/>
              <w:right w:val="single" w:sz="4" w:space="0" w:color="A6A6A6"/>
            </w:tcBorders>
            <w:noWrap/>
            <w:vAlign w:val="center"/>
            <w:hideMark/>
          </w:tcPr>
          <w:p w14:paraId="044AD4EE" w14:textId="77777777" w:rsidR="00573529" w:rsidRPr="00951AB1" w:rsidRDefault="00573529" w:rsidP="000A5389">
            <w:pPr>
              <w:spacing w:line="240" w:lineRule="auto"/>
              <w:jc w:val="right"/>
              <w:rPr>
                <w:rFonts w:eastAsia="Times New Roman" w:cs="Times New Roman"/>
                <w:b/>
                <w:bCs/>
                <w:sz w:val="16"/>
                <w:szCs w:val="16"/>
                <w:lang w:val="es-419" w:eastAsia="es-419"/>
              </w:rPr>
            </w:pPr>
            <w:r w:rsidRPr="00951AB1">
              <w:rPr>
                <w:rFonts w:eastAsia="Times New Roman" w:cs="Times New Roman"/>
                <w:b/>
                <w:bCs/>
                <w:sz w:val="16"/>
                <w:szCs w:val="16"/>
                <w:lang w:val="es-419" w:eastAsia="es-419"/>
              </w:rPr>
              <w:t xml:space="preserve">93.161.938.205 </w:t>
            </w:r>
          </w:p>
        </w:tc>
      </w:tr>
      <w:tr w:rsidR="00573529" w:rsidRPr="00951AB1" w14:paraId="3C168802" w14:textId="77777777">
        <w:trPr>
          <w:trHeight w:val="290"/>
        </w:trPr>
        <w:tc>
          <w:tcPr>
            <w:tcW w:w="220" w:type="dxa"/>
            <w:tcBorders>
              <w:top w:val="nil"/>
              <w:left w:val="single" w:sz="4" w:space="0" w:color="A6A6A6"/>
              <w:bottom w:val="single" w:sz="4" w:space="0" w:color="A6A6A6"/>
              <w:right w:val="nil"/>
            </w:tcBorders>
            <w:noWrap/>
            <w:vAlign w:val="center"/>
            <w:hideMark/>
          </w:tcPr>
          <w:p w14:paraId="07E0B2BF" w14:textId="77777777" w:rsidR="00573529" w:rsidRPr="00951AB1" w:rsidRDefault="00573529" w:rsidP="000A5389">
            <w:pPr>
              <w:spacing w:line="240" w:lineRule="auto"/>
              <w:jc w:val="center"/>
              <w:rPr>
                <w:rFonts w:eastAsia="Times New Roman" w:cs="Times New Roman"/>
                <w:b/>
                <w:bCs/>
                <w:sz w:val="16"/>
                <w:szCs w:val="16"/>
                <w:lang w:val="es-419" w:eastAsia="es-419"/>
              </w:rPr>
            </w:pPr>
            <w:r w:rsidRPr="00951AB1">
              <w:rPr>
                <w:rFonts w:eastAsia="Times New Roman" w:cs="Times New Roman"/>
                <w:b/>
                <w:bCs/>
                <w:sz w:val="16"/>
                <w:szCs w:val="16"/>
                <w:lang w:val="es-419" w:eastAsia="es-419"/>
              </w:rPr>
              <w:t> </w:t>
            </w:r>
          </w:p>
        </w:tc>
        <w:tc>
          <w:tcPr>
            <w:tcW w:w="3603" w:type="dxa"/>
            <w:gridSpan w:val="3"/>
            <w:tcBorders>
              <w:top w:val="single" w:sz="4" w:space="0" w:color="A6A6A6"/>
              <w:left w:val="nil"/>
              <w:bottom w:val="single" w:sz="4" w:space="0" w:color="A6A6A6"/>
              <w:right w:val="single" w:sz="4" w:space="0" w:color="A6A6A6"/>
            </w:tcBorders>
            <w:vAlign w:val="center"/>
            <w:hideMark/>
          </w:tcPr>
          <w:p w14:paraId="5235F059" w14:textId="77777777" w:rsidR="00573529" w:rsidRPr="00951AB1" w:rsidRDefault="00573529" w:rsidP="000A5389">
            <w:pPr>
              <w:spacing w:line="240" w:lineRule="auto"/>
              <w:rPr>
                <w:rFonts w:eastAsia="Times New Roman" w:cs="Times New Roman"/>
                <w:b/>
                <w:bCs/>
                <w:sz w:val="16"/>
                <w:szCs w:val="16"/>
                <w:lang w:val="es-419" w:eastAsia="es-419"/>
              </w:rPr>
            </w:pPr>
            <w:r w:rsidRPr="00951AB1">
              <w:rPr>
                <w:rFonts w:eastAsia="Times New Roman" w:cs="Times New Roman"/>
                <w:b/>
                <w:bCs/>
                <w:sz w:val="16"/>
                <w:szCs w:val="16"/>
                <w:lang w:val="es-419" w:eastAsia="es-419"/>
              </w:rPr>
              <w:t>% AMORTIZACIÓN ACUMULADA (seguimiento)</w:t>
            </w:r>
          </w:p>
        </w:tc>
        <w:tc>
          <w:tcPr>
            <w:tcW w:w="1559" w:type="dxa"/>
            <w:tcBorders>
              <w:top w:val="nil"/>
              <w:left w:val="nil"/>
              <w:bottom w:val="single" w:sz="4" w:space="0" w:color="A6A6A6"/>
              <w:right w:val="single" w:sz="4" w:space="0" w:color="A6A6A6"/>
            </w:tcBorders>
            <w:noWrap/>
            <w:vAlign w:val="center"/>
            <w:hideMark/>
          </w:tcPr>
          <w:p w14:paraId="7A52718D" w14:textId="77777777" w:rsidR="00573529" w:rsidRPr="00951AB1" w:rsidRDefault="00573529" w:rsidP="000A5389">
            <w:pPr>
              <w:spacing w:line="240" w:lineRule="auto"/>
              <w:jc w:val="center"/>
              <w:rPr>
                <w:rFonts w:eastAsia="Times New Roman" w:cs="Times New Roman"/>
                <w:b/>
                <w:bCs/>
                <w:sz w:val="16"/>
                <w:szCs w:val="16"/>
                <w:lang w:val="es-419" w:eastAsia="es-419"/>
              </w:rPr>
            </w:pPr>
            <w:r w:rsidRPr="00951AB1">
              <w:rPr>
                <w:rFonts w:eastAsia="Times New Roman" w:cs="Times New Roman"/>
                <w:b/>
                <w:bCs/>
                <w:sz w:val="16"/>
                <w:szCs w:val="16"/>
                <w:lang w:val="es-419" w:eastAsia="es-419"/>
              </w:rPr>
              <w:t xml:space="preserve">45,5 </w:t>
            </w:r>
          </w:p>
        </w:tc>
        <w:tc>
          <w:tcPr>
            <w:tcW w:w="1096" w:type="dxa"/>
            <w:tcBorders>
              <w:top w:val="nil"/>
              <w:left w:val="nil"/>
              <w:bottom w:val="single" w:sz="4" w:space="0" w:color="A6A6A6"/>
              <w:right w:val="single" w:sz="4" w:space="0" w:color="A6A6A6"/>
            </w:tcBorders>
            <w:noWrap/>
            <w:vAlign w:val="center"/>
            <w:hideMark/>
          </w:tcPr>
          <w:p w14:paraId="47DB2BA7" w14:textId="77777777" w:rsidR="00573529" w:rsidRPr="00951AB1" w:rsidRDefault="00573529" w:rsidP="000A5389">
            <w:pPr>
              <w:spacing w:line="240" w:lineRule="auto"/>
              <w:jc w:val="center"/>
              <w:rPr>
                <w:rFonts w:eastAsia="Times New Roman" w:cs="Times New Roman"/>
                <w:b/>
                <w:bCs/>
                <w:sz w:val="16"/>
                <w:szCs w:val="16"/>
                <w:lang w:val="es-419" w:eastAsia="es-419"/>
              </w:rPr>
            </w:pPr>
            <w:r w:rsidRPr="00951AB1">
              <w:rPr>
                <w:rFonts w:eastAsia="Times New Roman" w:cs="Times New Roman"/>
                <w:b/>
                <w:bCs/>
                <w:sz w:val="16"/>
                <w:szCs w:val="16"/>
                <w:lang w:val="es-419" w:eastAsia="es-419"/>
              </w:rPr>
              <w:t xml:space="preserve">33,2 </w:t>
            </w:r>
          </w:p>
        </w:tc>
        <w:tc>
          <w:tcPr>
            <w:tcW w:w="1172" w:type="dxa"/>
            <w:tcBorders>
              <w:top w:val="nil"/>
              <w:left w:val="nil"/>
              <w:bottom w:val="single" w:sz="4" w:space="0" w:color="A6A6A6"/>
              <w:right w:val="single" w:sz="4" w:space="0" w:color="A6A6A6"/>
            </w:tcBorders>
            <w:noWrap/>
            <w:vAlign w:val="center"/>
            <w:hideMark/>
          </w:tcPr>
          <w:p w14:paraId="3E268234" w14:textId="77777777" w:rsidR="00573529" w:rsidRPr="00951AB1" w:rsidRDefault="00573529" w:rsidP="000A5389">
            <w:pPr>
              <w:spacing w:line="240" w:lineRule="auto"/>
              <w:jc w:val="center"/>
              <w:rPr>
                <w:rFonts w:eastAsia="Times New Roman" w:cs="Times New Roman"/>
                <w:b/>
                <w:bCs/>
                <w:sz w:val="16"/>
                <w:szCs w:val="16"/>
                <w:lang w:val="es-419" w:eastAsia="es-419"/>
              </w:rPr>
            </w:pPr>
            <w:r w:rsidRPr="00951AB1">
              <w:rPr>
                <w:rFonts w:eastAsia="Times New Roman" w:cs="Times New Roman"/>
                <w:b/>
                <w:bCs/>
                <w:sz w:val="16"/>
                <w:szCs w:val="16"/>
                <w:lang w:val="es-419" w:eastAsia="es-419"/>
              </w:rPr>
              <w:t xml:space="preserve">100,0 </w:t>
            </w:r>
          </w:p>
        </w:tc>
        <w:tc>
          <w:tcPr>
            <w:tcW w:w="1417" w:type="dxa"/>
            <w:tcBorders>
              <w:top w:val="nil"/>
              <w:left w:val="nil"/>
              <w:bottom w:val="single" w:sz="4" w:space="0" w:color="A6A6A6"/>
              <w:right w:val="single" w:sz="4" w:space="0" w:color="A6A6A6"/>
            </w:tcBorders>
            <w:noWrap/>
            <w:vAlign w:val="center"/>
            <w:hideMark/>
          </w:tcPr>
          <w:p w14:paraId="665DEB3E" w14:textId="77777777" w:rsidR="00573529" w:rsidRPr="00951AB1" w:rsidRDefault="00573529" w:rsidP="000A5389">
            <w:pPr>
              <w:spacing w:line="240" w:lineRule="auto"/>
              <w:jc w:val="center"/>
              <w:rPr>
                <w:rFonts w:eastAsia="Times New Roman" w:cs="Times New Roman"/>
                <w:b/>
                <w:bCs/>
                <w:sz w:val="16"/>
                <w:szCs w:val="16"/>
                <w:lang w:val="es-419" w:eastAsia="es-419"/>
              </w:rPr>
            </w:pPr>
            <w:r w:rsidRPr="00951AB1">
              <w:rPr>
                <w:rFonts w:eastAsia="Times New Roman" w:cs="Times New Roman"/>
                <w:b/>
                <w:bCs/>
                <w:sz w:val="16"/>
                <w:szCs w:val="16"/>
                <w:lang w:val="es-419" w:eastAsia="es-419"/>
              </w:rPr>
              <w:t xml:space="preserve">46,3 </w:t>
            </w:r>
          </w:p>
        </w:tc>
      </w:tr>
      <w:tr w:rsidR="00573529" w:rsidRPr="00951AB1" w14:paraId="7B9E8857" w14:textId="77777777">
        <w:trPr>
          <w:trHeight w:val="290"/>
        </w:trPr>
        <w:tc>
          <w:tcPr>
            <w:tcW w:w="220" w:type="dxa"/>
            <w:tcBorders>
              <w:top w:val="nil"/>
              <w:left w:val="single" w:sz="4" w:space="0" w:color="A6A6A6"/>
              <w:bottom w:val="single" w:sz="4" w:space="0" w:color="A6A6A6"/>
              <w:right w:val="nil"/>
            </w:tcBorders>
            <w:noWrap/>
            <w:vAlign w:val="center"/>
            <w:hideMark/>
          </w:tcPr>
          <w:p w14:paraId="476C9070" w14:textId="77777777" w:rsidR="00573529" w:rsidRPr="00951AB1" w:rsidRDefault="00573529" w:rsidP="000A5389">
            <w:pPr>
              <w:spacing w:line="240" w:lineRule="auto"/>
              <w:jc w:val="center"/>
              <w:rPr>
                <w:rFonts w:eastAsia="Times New Roman" w:cs="Times New Roman"/>
                <w:b/>
                <w:bCs/>
                <w:sz w:val="16"/>
                <w:szCs w:val="16"/>
                <w:lang w:val="es-419" w:eastAsia="es-419"/>
              </w:rPr>
            </w:pPr>
            <w:r w:rsidRPr="00951AB1">
              <w:rPr>
                <w:rFonts w:eastAsia="Times New Roman" w:cs="Times New Roman"/>
                <w:b/>
                <w:bCs/>
                <w:sz w:val="16"/>
                <w:szCs w:val="16"/>
                <w:lang w:val="es-419" w:eastAsia="es-419"/>
              </w:rPr>
              <w:t> </w:t>
            </w:r>
          </w:p>
        </w:tc>
        <w:tc>
          <w:tcPr>
            <w:tcW w:w="3603" w:type="dxa"/>
            <w:gridSpan w:val="3"/>
            <w:tcBorders>
              <w:top w:val="single" w:sz="4" w:space="0" w:color="A6A6A6"/>
              <w:left w:val="nil"/>
              <w:bottom w:val="single" w:sz="4" w:space="0" w:color="A6A6A6"/>
              <w:right w:val="single" w:sz="4" w:space="0" w:color="A6A6A6"/>
            </w:tcBorders>
            <w:vAlign w:val="center"/>
            <w:hideMark/>
          </w:tcPr>
          <w:p w14:paraId="2AEDFF1E" w14:textId="77777777" w:rsidR="00573529" w:rsidRPr="00951AB1" w:rsidRDefault="00573529" w:rsidP="000A5389">
            <w:pPr>
              <w:spacing w:line="240" w:lineRule="auto"/>
              <w:rPr>
                <w:rFonts w:eastAsia="Times New Roman" w:cs="Times New Roman"/>
                <w:b/>
                <w:bCs/>
                <w:sz w:val="16"/>
                <w:szCs w:val="16"/>
                <w:lang w:val="es-419" w:eastAsia="es-419"/>
              </w:rPr>
            </w:pPr>
            <w:r w:rsidRPr="00951AB1">
              <w:rPr>
                <w:rFonts w:eastAsia="Times New Roman" w:cs="Times New Roman"/>
                <w:b/>
                <w:bCs/>
                <w:sz w:val="16"/>
                <w:szCs w:val="16"/>
                <w:lang w:val="es-419" w:eastAsia="es-419"/>
              </w:rPr>
              <w:t>% DETERIORO ACUMULADO (seguimiento)</w:t>
            </w:r>
          </w:p>
        </w:tc>
        <w:tc>
          <w:tcPr>
            <w:tcW w:w="1559" w:type="dxa"/>
            <w:tcBorders>
              <w:top w:val="nil"/>
              <w:left w:val="nil"/>
              <w:bottom w:val="single" w:sz="4" w:space="0" w:color="A6A6A6"/>
              <w:right w:val="single" w:sz="4" w:space="0" w:color="A6A6A6"/>
            </w:tcBorders>
            <w:noWrap/>
            <w:vAlign w:val="center"/>
            <w:hideMark/>
          </w:tcPr>
          <w:p w14:paraId="0760E0FE" w14:textId="77777777" w:rsidR="00573529" w:rsidRPr="00951AB1" w:rsidRDefault="00573529" w:rsidP="000A5389">
            <w:pPr>
              <w:spacing w:line="240" w:lineRule="auto"/>
              <w:jc w:val="center"/>
              <w:rPr>
                <w:rFonts w:eastAsia="Times New Roman" w:cs="Times New Roman"/>
                <w:b/>
                <w:bCs/>
                <w:sz w:val="16"/>
                <w:szCs w:val="16"/>
                <w:lang w:val="es-419" w:eastAsia="es-419"/>
              </w:rPr>
            </w:pPr>
            <w:r w:rsidRPr="00951AB1">
              <w:rPr>
                <w:rFonts w:eastAsia="Times New Roman" w:cs="Times New Roman"/>
                <w:b/>
                <w:bCs/>
                <w:sz w:val="16"/>
                <w:szCs w:val="16"/>
                <w:lang w:val="es-419" w:eastAsia="es-419"/>
              </w:rPr>
              <w:t xml:space="preserve">0,0 </w:t>
            </w:r>
          </w:p>
        </w:tc>
        <w:tc>
          <w:tcPr>
            <w:tcW w:w="1096" w:type="dxa"/>
            <w:tcBorders>
              <w:top w:val="nil"/>
              <w:left w:val="nil"/>
              <w:bottom w:val="single" w:sz="4" w:space="0" w:color="A6A6A6"/>
              <w:right w:val="single" w:sz="4" w:space="0" w:color="A6A6A6"/>
            </w:tcBorders>
            <w:noWrap/>
            <w:vAlign w:val="center"/>
            <w:hideMark/>
          </w:tcPr>
          <w:p w14:paraId="2AA42181" w14:textId="77777777" w:rsidR="00573529" w:rsidRPr="00951AB1" w:rsidRDefault="00573529" w:rsidP="000A5389">
            <w:pPr>
              <w:spacing w:line="240" w:lineRule="auto"/>
              <w:jc w:val="center"/>
              <w:rPr>
                <w:rFonts w:eastAsia="Times New Roman" w:cs="Times New Roman"/>
                <w:b/>
                <w:bCs/>
                <w:sz w:val="16"/>
                <w:szCs w:val="16"/>
                <w:lang w:val="es-419" w:eastAsia="es-419"/>
              </w:rPr>
            </w:pPr>
            <w:r w:rsidRPr="00951AB1">
              <w:rPr>
                <w:rFonts w:eastAsia="Times New Roman" w:cs="Times New Roman"/>
                <w:b/>
                <w:bCs/>
                <w:sz w:val="16"/>
                <w:szCs w:val="16"/>
                <w:lang w:val="es-419" w:eastAsia="es-419"/>
              </w:rPr>
              <w:t xml:space="preserve">0,0 </w:t>
            </w:r>
          </w:p>
        </w:tc>
        <w:tc>
          <w:tcPr>
            <w:tcW w:w="1172" w:type="dxa"/>
            <w:tcBorders>
              <w:top w:val="nil"/>
              <w:left w:val="nil"/>
              <w:bottom w:val="single" w:sz="4" w:space="0" w:color="A6A6A6"/>
              <w:right w:val="single" w:sz="4" w:space="0" w:color="A6A6A6"/>
            </w:tcBorders>
            <w:noWrap/>
            <w:vAlign w:val="center"/>
            <w:hideMark/>
          </w:tcPr>
          <w:p w14:paraId="75A6124C" w14:textId="77777777" w:rsidR="00573529" w:rsidRPr="00951AB1" w:rsidRDefault="00573529" w:rsidP="000A5389">
            <w:pPr>
              <w:spacing w:line="240" w:lineRule="auto"/>
              <w:jc w:val="center"/>
              <w:rPr>
                <w:rFonts w:eastAsia="Times New Roman" w:cs="Times New Roman"/>
                <w:b/>
                <w:bCs/>
                <w:sz w:val="16"/>
                <w:szCs w:val="16"/>
                <w:lang w:val="es-419" w:eastAsia="es-419"/>
              </w:rPr>
            </w:pPr>
            <w:r w:rsidRPr="00951AB1">
              <w:rPr>
                <w:rFonts w:eastAsia="Times New Roman" w:cs="Times New Roman"/>
                <w:b/>
                <w:bCs/>
                <w:sz w:val="16"/>
                <w:szCs w:val="16"/>
                <w:lang w:val="es-419" w:eastAsia="es-419"/>
              </w:rPr>
              <w:t xml:space="preserve">0,0 </w:t>
            </w:r>
          </w:p>
        </w:tc>
        <w:tc>
          <w:tcPr>
            <w:tcW w:w="1417" w:type="dxa"/>
            <w:tcBorders>
              <w:top w:val="nil"/>
              <w:left w:val="nil"/>
              <w:bottom w:val="single" w:sz="4" w:space="0" w:color="A6A6A6"/>
              <w:right w:val="single" w:sz="4" w:space="0" w:color="A6A6A6"/>
            </w:tcBorders>
            <w:noWrap/>
            <w:vAlign w:val="center"/>
            <w:hideMark/>
          </w:tcPr>
          <w:p w14:paraId="7F18F5E7" w14:textId="77777777" w:rsidR="00573529" w:rsidRPr="00951AB1" w:rsidRDefault="00573529" w:rsidP="000A5389">
            <w:pPr>
              <w:spacing w:line="240" w:lineRule="auto"/>
              <w:jc w:val="center"/>
              <w:rPr>
                <w:rFonts w:eastAsia="Times New Roman" w:cs="Times New Roman"/>
                <w:b/>
                <w:bCs/>
                <w:sz w:val="16"/>
                <w:szCs w:val="16"/>
                <w:lang w:val="es-419" w:eastAsia="es-419"/>
              </w:rPr>
            </w:pPr>
            <w:r w:rsidRPr="00951AB1">
              <w:rPr>
                <w:rFonts w:eastAsia="Times New Roman" w:cs="Times New Roman"/>
                <w:b/>
                <w:bCs/>
                <w:sz w:val="16"/>
                <w:szCs w:val="16"/>
                <w:lang w:val="es-419" w:eastAsia="es-419"/>
              </w:rPr>
              <w:t xml:space="preserve">0,0 </w:t>
            </w:r>
          </w:p>
        </w:tc>
      </w:tr>
    </w:tbl>
    <w:p w14:paraId="0BE16154" w14:textId="77777777" w:rsidR="00573529" w:rsidRPr="00951AB1" w:rsidRDefault="00573529" w:rsidP="000A5389">
      <w:pPr>
        <w:spacing w:line="240" w:lineRule="auto"/>
        <w:rPr>
          <w:rFonts w:cs="Times New Roman"/>
          <w:color w:val="000000"/>
          <w:sz w:val="14"/>
          <w:szCs w:val="14"/>
        </w:rPr>
      </w:pPr>
      <w:r w:rsidRPr="00951AB1">
        <w:rPr>
          <w:rFonts w:cs="Times New Roman"/>
          <w:sz w:val="16"/>
          <w:szCs w:val="16"/>
        </w:rPr>
        <w:fldChar w:fldCharType="end"/>
      </w:r>
      <w:r w:rsidRPr="00951AB1">
        <w:rPr>
          <w:rFonts w:cs="Times New Roman"/>
          <w:szCs w:val="24"/>
        </w:rPr>
        <w:fldChar w:fldCharType="end"/>
      </w:r>
      <w:r w:rsidRPr="00951AB1">
        <w:rPr>
          <w:rFonts w:cs="Times New Roman"/>
          <w:color w:val="000000"/>
          <w:sz w:val="14"/>
          <w:szCs w:val="14"/>
        </w:rPr>
        <w:t>Cifras expresadas en pesos</w:t>
      </w:r>
    </w:p>
    <w:p w14:paraId="605F8065" w14:textId="77777777" w:rsidR="00573529" w:rsidRPr="00951AB1" w:rsidRDefault="00573529" w:rsidP="000A5389">
      <w:pPr>
        <w:spacing w:line="240" w:lineRule="auto"/>
        <w:rPr>
          <w:rFonts w:cs="Times New Roman"/>
          <w:color w:val="000000"/>
          <w:sz w:val="14"/>
          <w:szCs w:val="14"/>
        </w:rPr>
      </w:pPr>
    </w:p>
    <w:p w14:paraId="4CCCA9ED" w14:textId="0FA03B1F" w:rsidR="00573529" w:rsidRPr="00951AB1" w:rsidRDefault="00573529" w:rsidP="000A5389">
      <w:pPr>
        <w:spacing w:line="240" w:lineRule="auto"/>
        <w:rPr>
          <w:rFonts w:cs="Times New Roman"/>
          <w:szCs w:val="24"/>
        </w:rPr>
      </w:pPr>
      <w:r w:rsidRPr="00951AB1">
        <w:rPr>
          <w:rFonts w:cs="Times New Roman"/>
          <w:b/>
          <w:bCs/>
          <w:i/>
          <w:iCs/>
          <w:szCs w:val="24"/>
        </w:rPr>
        <w:t>Activos intangibles en concesión</w:t>
      </w:r>
    </w:p>
    <w:p w14:paraId="629FBCB7" w14:textId="77777777" w:rsidR="00573529" w:rsidRPr="00951AB1" w:rsidRDefault="00573529" w:rsidP="000A5389">
      <w:pPr>
        <w:spacing w:line="240" w:lineRule="auto"/>
        <w:rPr>
          <w:rFonts w:cs="Times New Roman"/>
          <w:szCs w:val="24"/>
        </w:rPr>
      </w:pPr>
      <w:r w:rsidRPr="00951AB1">
        <w:rPr>
          <w:rFonts w:cs="Times New Roman"/>
          <w:szCs w:val="24"/>
        </w:rPr>
        <w:t>Para la vigencia 2025, se reconocieron actualizaciones en el modo de transporte portuario por valor de $142.517.990, con fundamento en la información técnica y financiera reportada por los concesionarios.</w:t>
      </w:r>
    </w:p>
    <w:p w14:paraId="2517AD98" w14:textId="77777777" w:rsidR="00573529" w:rsidRPr="00951AB1" w:rsidRDefault="00573529" w:rsidP="000A5389">
      <w:pPr>
        <w:spacing w:line="240" w:lineRule="auto"/>
        <w:rPr>
          <w:rFonts w:cs="Times New Roman"/>
          <w:szCs w:val="24"/>
        </w:rPr>
      </w:pPr>
    </w:p>
    <w:p w14:paraId="186B7664" w14:textId="77777777" w:rsidR="00573529" w:rsidRPr="00951AB1" w:rsidRDefault="00573529" w:rsidP="000A5389">
      <w:pPr>
        <w:spacing w:line="240" w:lineRule="auto"/>
        <w:rPr>
          <w:rFonts w:cs="Times New Roman"/>
          <w:szCs w:val="24"/>
        </w:rPr>
      </w:pPr>
      <w:r w:rsidRPr="00951AB1">
        <w:rPr>
          <w:rFonts w:cs="Times New Roman"/>
          <w:szCs w:val="24"/>
        </w:rPr>
        <w:t>En el modo férreo, se actualizó la información correspondiente a las inversiones de la Red Férrea del Atlántico, evidenciándose una disminución por $10.537.787.255, conforme a lo informado por el concesionario y validado en el proceso de cierre.</w:t>
      </w:r>
    </w:p>
    <w:p w14:paraId="6DA98975" w14:textId="77777777" w:rsidR="00573529" w:rsidRPr="00951AB1" w:rsidRDefault="00573529" w:rsidP="000A5389">
      <w:pPr>
        <w:spacing w:line="240" w:lineRule="auto"/>
        <w:rPr>
          <w:rFonts w:cs="Times New Roman"/>
          <w:szCs w:val="24"/>
        </w:rPr>
      </w:pPr>
    </w:p>
    <w:p w14:paraId="1C0B3103" w14:textId="77777777" w:rsidR="00573529" w:rsidRPr="00951AB1" w:rsidRDefault="00573529" w:rsidP="000A5389">
      <w:pPr>
        <w:spacing w:line="240" w:lineRule="auto"/>
        <w:rPr>
          <w:rFonts w:cs="Times New Roman"/>
          <w:szCs w:val="24"/>
        </w:rPr>
      </w:pPr>
      <w:r w:rsidRPr="00951AB1">
        <w:rPr>
          <w:rFonts w:cs="Times New Roman"/>
          <w:szCs w:val="24"/>
        </w:rPr>
        <w:t xml:space="preserve">Respecto al modo de transporte carretero, se presentó un incremento por $1.591.003.437, derivado de la separación del valor de la infraestructura frente a las inversiones reconocidas </w:t>
      </w:r>
      <w:r w:rsidRPr="00951AB1">
        <w:rPr>
          <w:rFonts w:cs="Times New Roman"/>
          <w:szCs w:val="24"/>
        </w:rPr>
        <w:lastRenderedPageBreak/>
        <w:t>en Propiedad, Planta y Equipo e intangibles, de acuerdo con el formato GCSP-F-301 Propiedades, Planta y Equipo.</w:t>
      </w:r>
    </w:p>
    <w:p w14:paraId="7463FBF4" w14:textId="77777777" w:rsidR="00573529" w:rsidRPr="00951AB1" w:rsidRDefault="00573529" w:rsidP="000A5389">
      <w:pPr>
        <w:spacing w:line="240" w:lineRule="auto"/>
        <w:rPr>
          <w:rFonts w:cs="Times New Roman"/>
          <w:szCs w:val="24"/>
        </w:rPr>
      </w:pPr>
    </w:p>
    <w:p w14:paraId="3AC5C4DD" w14:textId="77777777" w:rsidR="00573529" w:rsidRPr="00951AB1" w:rsidRDefault="00573529" w:rsidP="000A5389">
      <w:pPr>
        <w:spacing w:line="240" w:lineRule="auto"/>
        <w:rPr>
          <w:rFonts w:cs="Times New Roman"/>
          <w:szCs w:val="24"/>
        </w:rPr>
      </w:pPr>
      <w:r w:rsidRPr="00951AB1">
        <w:rPr>
          <w:rFonts w:cs="Times New Roman"/>
          <w:szCs w:val="24"/>
        </w:rPr>
        <w:t>Adicionalmente, se registró una disminución por $605.111.017, en atención a la información reportada en el formato oficial establecido para el cierre de la vigencia 2025.</w:t>
      </w:r>
    </w:p>
    <w:p w14:paraId="501E2AA0" w14:textId="77777777" w:rsidR="00133432" w:rsidRPr="00951AB1" w:rsidRDefault="00133432" w:rsidP="000A5389">
      <w:pPr>
        <w:spacing w:line="240" w:lineRule="auto"/>
        <w:rPr>
          <w:rFonts w:cs="Times New Roman"/>
          <w:szCs w:val="24"/>
        </w:rPr>
      </w:pPr>
    </w:p>
    <w:p w14:paraId="30561BE2" w14:textId="77777777" w:rsidR="00133432" w:rsidRPr="00951AB1" w:rsidRDefault="00133432" w:rsidP="000A5389">
      <w:pPr>
        <w:spacing w:line="240" w:lineRule="auto"/>
        <w:rPr>
          <w:rFonts w:cs="Times New Roman"/>
          <w:szCs w:val="24"/>
        </w:rPr>
      </w:pPr>
      <w:r w:rsidRPr="00951AB1">
        <w:rPr>
          <w:rFonts w:cs="Times New Roman"/>
          <w:szCs w:val="24"/>
        </w:rPr>
        <w:t>Estos activos no están respaldando el cumplimiento de pasivos.</w:t>
      </w:r>
    </w:p>
    <w:p w14:paraId="72788C2F" w14:textId="77777777" w:rsidR="00133432" w:rsidRDefault="00133432" w:rsidP="000A5389">
      <w:pPr>
        <w:spacing w:line="240" w:lineRule="auto"/>
        <w:rPr>
          <w:rFonts w:cs="Times New Roman"/>
          <w:szCs w:val="24"/>
        </w:rPr>
      </w:pPr>
    </w:p>
    <w:p w14:paraId="15A6D42C" w14:textId="77777777" w:rsidR="00133432" w:rsidRPr="00951AB1" w:rsidRDefault="00133432" w:rsidP="000A5389">
      <w:pPr>
        <w:spacing w:line="240" w:lineRule="auto"/>
        <w:rPr>
          <w:rFonts w:cs="Times New Roman"/>
          <w:szCs w:val="24"/>
        </w:rPr>
      </w:pPr>
      <w:r w:rsidRPr="00951AB1">
        <w:rPr>
          <w:rFonts w:cs="Times New Roman"/>
          <w:szCs w:val="24"/>
        </w:rPr>
        <w:t>Durante el período, no se realizaron desembolsos para investigación y desarrollo que hayan sido reconocidos como gasto.</w:t>
      </w:r>
    </w:p>
    <w:p w14:paraId="3C266172" w14:textId="77777777" w:rsidR="00244EA8" w:rsidRPr="00951AB1" w:rsidRDefault="00244EA8" w:rsidP="000A5389">
      <w:pPr>
        <w:spacing w:line="240" w:lineRule="auto"/>
        <w:rPr>
          <w:rFonts w:cs="Times New Roman"/>
          <w:szCs w:val="24"/>
        </w:rPr>
      </w:pPr>
    </w:p>
    <w:p w14:paraId="51A05448" w14:textId="40374648" w:rsidR="00573529" w:rsidRPr="00951AB1" w:rsidRDefault="00573529" w:rsidP="000A5389">
      <w:pPr>
        <w:spacing w:line="240" w:lineRule="auto"/>
        <w:rPr>
          <w:rFonts w:cs="Times New Roman"/>
          <w:b/>
          <w:bCs/>
          <w:szCs w:val="24"/>
          <w:lang w:val="es-419"/>
        </w:rPr>
      </w:pPr>
      <w:r w:rsidRPr="00951AB1">
        <w:rPr>
          <w:rFonts w:cs="Times New Roman"/>
          <w:b/>
          <w:bCs/>
          <w:i/>
          <w:iCs/>
          <w:szCs w:val="24"/>
        </w:rPr>
        <w:t>Activos intangibles de uso administrativo</w:t>
      </w:r>
    </w:p>
    <w:p w14:paraId="0ECE2992" w14:textId="77777777" w:rsidR="00573529" w:rsidRPr="00951AB1" w:rsidRDefault="00573529" w:rsidP="000A5389">
      <w:pPr>
        <w:spacing w:line="240" w:lineRule="auto"/>
        <w:rPr>
          <w:rFonts w:cs="Times New Roman"/>
          <w:b/>
          <w:bCs/>
          <w:i/>
          <w:iCs/>
          <w:szCs w:val="24"/>
          <w:lang w:val="es-419"/>
        </w:rPr>
      </w:pPr>
      <w:r w:rsidRPr="00951AB1">
        <w:rPr>
          <w:rFonts w:cs="Times New Roman"/>
          <w:b/>
          <w:bCs/>
          <w:i/>
          <w:iCs/>
          <w:szCs w:val="24"/>
          <w:lang w:val="es-419"/>
        </w:rPr>
        <w:t>Softwares</w:t>
      </w:r>
    </w:p>
    <w:p w14:paraId="161D9098" w14:textId="77777777" w:rsidR="00573529" w:rsidRPr="00951AB1" w:rsidRDefault="00573529" w:rsidP="000A5389">
      <w:pPr>
        <w:spacing w:line="240" w:lineRule="auto"/>
        <w:rPr>
          <w:rFonts w:cs="Times New Roman"/>
          <w:b/>
          <w:bCs/>
          <w:szCs w:val="24"/>
          <w:lang w:val="es-419"/>
        </w:rPr>
      </w:pPr>
    </w:p>
    <w:p w14:paraId="5FE2CFD6" w14:textId="16394296" w:rsidR="00573529" w:rsidRPr="00951AB1" w:rsidRDefault="00573529" w:rsidP="000A5389">
      <w:pPr>
        <w:spacing w:line="240" w:lineRule="auto"/>
        <w:rPr>
          <w:rFonts w:cs="Times New Roman"/>
          <w:szCs w:val="24"/>
          <w:lang w:val="es-419"/>
        </w:rPr>
      </w:pPr>
      <w:r w:rsidRPr="00951AB1">
        <w:rPr>
          <w:rFonts w:cs="Times New Roman"/>
          <w:szCs w:val="24"/>
          <w:lang w:val="es-419"/>
        </w:rPr>
        <w:t>El saldo inicial corresponde a $473.550.630, durante la vigencia se registraron:</w:t>
      </w:r>
    </w:p>
    <w:p w14:paraId="1B4C39A2" w14:textId="77777777" w:rsidR="00573529" w:rsidRPr="00951AB1" w:rsidRDefault="00573529" w:rsidP="000A5389">
      <w:pPr>
        <w:pStyle w:val="Prrafodelista"/>
        <w:numPr>
          <w:ilvl w:val="0"/>
          <w:numId w:val="78"/>
        </w:numPr>
        <w:spacing w:line="240" w:lineRule="auto"/>
        <w:rPr>
          <w:rFonts w:cs="Times New Roman"/>
          <w:szCs w:val="24"/>
          <w:lang w:val="es-419"/>
        </w:rPr>
      </w:pPr>
      <w:r w:rsidRPr="00951AB1">
        <w:rPr>
          <w:rFonts w:cs="Times New Roman"/>
          <w:szCs w:val="24"/>
          <w:lang w:val="es-419"/>
        </w:rPr>
        <w:t>Adquisiciones por $1.268.037.792.</w:t>
      </w:r>
    </w:p>
    <w:p w14:paraId="564BBD1D" w14:textId="77777777" w:rsidR="00573529" w:rsidRPr="00951AB1" w:rsidRDefault="00573529" w:rsidP="000A5389">
      <w:pPr>
        <w:spacing w:line="240" w:lineRule="auto"/>
        <w:rPr>
          <w:rFonts w:cs="Times New Roman"/>
          <w:szCs w:val="24"/>
          <w:lang w:val="es-419"/>
        </w:rPr>
      </w:pPr>
    </w:p>
    <w:p w14:paraId="2DFA55B6" w14:textId="1A3D0AB2" w:rsidR="00573529" w:rsidRPr="00951AB1" w:rsidRDefault="00573529" w:rsidP="000A5389">
      <w:pPr>
        <w:spacing w:line="240" w:lineRule="auto"/>
        <w:rPr>
          <w:rFonts w:cs="Times New Roman"/>
          <w:szCs w:val="24"/>
          <w:lang w:val="es-419"/>
        </w:rPr>
      </w:pPr>
      <w:r w:rsidRPr="00951AB1">
        <w:rPr>
          <w:rFonts w:cs="Times New Roman"/>
          <w:szCs w:val="24"/>
          <w:lang w:val="es-419"/>
        </w:rPr>
        <w:t>A continuación, se detallan las compras realizadas</w:t>
      </w:r>
    </w:p>
    <w:tbl>
      <w:tblPr>
        <w:tblStyle w:val="Tablaconcuadrcula"/>
        <w:tblW w:w="5000" w:type="pct"/>
        <w:jc w:val="center"/>
        <w:tblLook w:val="04A0" w:firstRow="1" w:lastRow="0" w:firstColumn="1" w:lastColumn="0" w:noHBand="0" w:noVBand="1"/>
      </w:tblPr>
      <w:tblGrid>
        <w:gridCol w:w="3780"/>
        <w:gridCol w:w="2378"/>
        <w:gridCol w:w="2670"/>
      </w:tblGrid>
      <w:tr w:rsidR="00573529" w:rsidRPr="00951AB1" w14:paraId="153C63BE" w14:textId="77777777" w:rsidTr="002E333D">
        <w:trPr>
          <w:trHeight w:val="290"/>
          <w:tblHeader/>
          <w:jc w:val="center"/>
        </w:trPr>
        <w:tc>
          <w:tcPr>
            <w:tcW w:w="2141" w:type="pct"/>
            <w:noWrap/>
            <w:hideMark/>
          </w:tcPr>
          <w:p w14:paraId="77B6ED8C" w14:textId="77777777" w:rsidR="00573529" w:rsidRPr="00951AB1" w:rsidRDefault="00573529" w:rsidP="000A5389">
            <w:pPr>
              <w:spacing w:line="240" w:lineRule="auto"/>
              <w:jc w:val="center"/>
              <w:rPr>
                <w:rFonts w:cs="Times New Roman"/>
                <w:b/>
                <w:bCs/>
              </w:rPr>
            </w:pPr>
            <w:r w:rsidRPr="00951AB1">
              <w:rPr>
                <w:rFonts w:cs="Times New Roman"/>
                <w:b/>
                <w:bCs/>
              </w:rPr>
              <w:t>Fecha</w:t>
            </w:r>
          </w:p>
        </w:tc>
        <w:tc>
          <w:tcPr>
            <w:tcW w:w="1347" w:type="pct"/>
            <w:noWrap/>
            <w:hideMark/>
          </w:tcPr>
          <w:p w14:paraId="3FC40A2C" w14:textId="77777777" w:rsidR="00573529" w:rsidRPr="00951AB1" w:rsidRDefault="00573529" w:rsidP="000A5389">
            <w:pPr>
              <w:spacing w:line="240" w:lineRule="auto"/>
              <w:jc w:val="center"/>
              <w:rPr>
                <w:rFonts w:cs="Times New Roman"/>
                <w:b/>
                <w:bCs/>
              </w:rPr>
            </w:pPr>
            <w:r w:rsidRPr="00951AB1">
              <w:rPr>
                <w:rFonts w:cs="Times New Roman"/>
                <w:b/>
                <w:bCs/>
              </w:rPr>
              <w:t>Valor adquisición</w:t>
            </w:r>
          </w:p>
        </w:tc>
        <w:tc>
          <w:tcPr>
            <w:tcW w:w="1512" w:type="pct"/>
            <w:noWrap/>
            <w:hideMark/>
          </w:tcPr>
          <w:p w14:paraId="5EC70CA1" w14:textId="77777777" w:rsidR="00573529" w:rsidRPr="00951AB1" w:rsidRDefault="00573529" w:rsidP="000A5389">
            <w:pPr>
              <w:spacing w:line="240" w:lineRule="auto"/>
              <w:jc w:val="center"/>
              <w:rPr>
                <w:rFonts w:cs="Times New Roman"/>
                <w:b/>
                <w:bCs/>
              </w:rPr>
            </w:pPr>
            <w:r w:rsidRPr="00951AB1">
              <w:rPr>
                <w:rFonts w:cs="Times New Roman"/>
                <w:b/>
                <w:bCs/>
              </w:rPr>
              <w:t>Proveedor</w:t>
            </w:r>
          </w:p>
        </w:tc>
      </w:tr>
      <w:tr w:rsidR="00573529" w:rsidRPr="00951AB1" w14:paraId="34492C54" w14:textId="77777777" w:rsidTr="002E333D">
        <w:trPr>
          <w:trHeight w:val="290"/>
          <w:jc w:val="center"/>
        </w:trPr>
        <w:tc>
          <w:tcPr>
            <w:tcW w:w="2141" w:type="pct"/>
            <w:noWrap/>
            <w:hideMark/>
          </w:tcPr>
          <w:p w14:paraId="48CB2F0A" w14:textId="77777777" w:rsidR="00573529" w:rsidRPr="00951AB1" w:rsidRDefault="00573529" w:rsidP="000A5389">
            <w:pPr>
              <w:spacing w:line="240" w:lineRule="auto"/>
              <w:rPr>
                <w:rFonts w:cs="Times New Roman"/>
              </w:rPr>
            </w:pPr>
            <w:r w:rsidRPr="00951AB1">
              <w:rPr>
                <w:rFonts w:cs="Times New Roman"/>
              </w:rPr>
              <w:t>2025-04-30</w:t>
            </w:r>
          </w:p>
        </w:tc>
        <w:tc>
          <w:tcPr>
            <w:tcW w:w="1347" w:type="pct"/>
            <w:noWrap/>
            <w:hideMark/>
          </w:tcPr>
          <w:p w14:paraId="35D86342" w14:textId="77777777" w:rsidR="00573529" w:rsidRPr="00951AB1" w:rsidRDefault="00573529" w:rsidP="000A5389">
            <w:pPr>
              <w:spacing w:line="240" w:lineRule="auto"/>
              <w:jc w:val="right"/>
              <w:rPr>
                <w:rFonts w:cs="Times New Roman"/>
              </w:rPr>
            </w:pPr>
            <w:r w:rsidRPr="00951AB1">
              <w:rPr>
                <w:rFonts w:cs="Times New Roman"/>
              </w:rPr>
              <w:t xml:space="preserve">                589.000.000 </w:t>
            </w:r>
          </w:p>
        </w:tc>
        <w:tc>
          <w:tcPr>
            <w:tcW w:w="1512" w:type="pct"/>
            <w:noWrap/>
            <w:hideMark/>
          </w:tcPr>
          <w:p w14:paraId="49649F89" w14:textId="77777777" w:rsidR="00573529" w:rsidRPr="00951AB1" w:rsidRDefault="00573529" w:rsidP="000A5389">
            <w:pPr>
              <w:spacing w:line="240" w:lineRule="auto"/>
              <w:rPr>
                <w:rFonts w:cs="Times New Roman"/>
              </w:rPr>
            </w:pPr>
            <w:r w:rsidRPr="00951AB1">
              <w:rPr>
                <w:rFonts w:cs="Times New Roman"/>
              </w:rPr>
              <w:t>Agencia Nacional Digital</w:t>
            </w:r>
          </w:p>
        </w:tc>
      </w:tr>
      <w:tr w:rsidR="00573529" w:rsidRPr="00951AB1" w14:paraId="69FC9D10" w14:textId="77777777" w:rsidTr="002E333D">
        <w:trPr>
          <w:trHeight w:val="290"/>
          <w:jc w:val="center"/>
        </w:trPr>
        <w:tc>
          <w:tcPr>
            <w:tcW w:w="2141" w:type="pct"/>
            <w:noWrap/>
            <w:hideMark/>
          </w:tcPr>
          <w:p w14:paraId="76365905" w14:textId="77777777" w:rsidR="00573529" w:rsidRPr="00951AB1" w:rsidRDefault="00573529" w:rsidP="000A5389">
            <w:pPr>
              <w:spacing w:line="240" w:lineRule="auto"/>
              <w:rPr>
                <w:rFonts w:cs="Times New Roman"/>
              </w:rPr>
            </w:pPr>
            <w:r w:rsidRPr="00951AB1">
              <w:rPr>
                <w:rFonts w:cs="Times New Roman"/>
              </w:rPr>
              <w:t>2025-12-31</w:t>
            </w:r>
          </w:p>
        </w:tc>
        <w:tc>
          <w:tcPr>
            <w:tcW w:w="1347" w:type="pct"/>
            <w:noWrap/>
            <w:hideMark/>
          </w:tcPr>
          <w:p w14:paraId="1E021219" w14:textId="77777777" w:rsidR="00573529" w:rsidRPr="00951AB1" w:rsidRDefault="00573529" w:rsidP="000A5389">
            <w:pPr>
              <w:spacing w:line="240" w:lineRule="auto"/>
              <w:jc w:val="right"/>
              <w:rPr>
                <w:rFonts w:cs="Times New Roman"/>
              </w:rPr>
            </w:pPr>
            <w:r w:rsidRPr="00951AB1">
              <w:rPr>
                <w:rFonts w:cs="Times New Roman"/>
              </w:rPr>
              <w:t xml:space="preserve">                679.037.792 </w:t>
            </w:r>
          </w:p>
        </w:tc>
        <w:tc>
          <w:tcPr>
            <w:tcW w:w="1512" w:type="pct"/>
            <w:noWrap/>
            <w:hideMark/>
          </w:tcPr>
          <w:p w14:paraId="507D1788" w14:textId="77777777" w:rsidR="00573529" w:rsidRPr="00951AB1" w:rsidRDefault="00573529" w:rsidP="000A5389">
            <w:pPr>
              <w:spacing w:line="240" w:lineRule="auto"/>
              <w:rPr>
                <w:rFonts w:cs="Times New Roman"/>
              </w:rPr>
            </w:pPr>
            <w:r w:rsidRPr="00951AB1">
              <w:rPr>
                <w:rFonts w:cs="Times New Roman"/>
              </w:rPr>
              <w:t>Nueva Era soluciones</w:t>
            </w:r>
          </w:p>
        </w:tc>
      </w:tr>
      <w:tr w:rsidR="00573529" w:rsidRPr="00951AB1" w14:paraId="728ADFB5" w14:textId="77777777" w:rsidTr="002E333D">
        <w:trPr>
          <w:trHeight w:val="290"/>
          <w:jc w:val="center"/>
        </w:trPr>
        <w:tc>
          <w:tcPr>
            <w:tcW w:w="2141" w:type="pct"/>
            <w:noWrap/>
            <w:hideMark/>
          </w:tcPr>
          <w:p w14:paraId="1B2254CB" w14:textId="77777777" w:rsidR="00573529" w:rsidRPr="00951AB1" w:rsidRDefault="00573529" w:rsidP="000A5389">
            <w:pPr>
              <w:spacing w:line="240" w:lineRule="auto"/>
              <w:rPr>
                <w:rFonts w:cs="Times New Roman"/>
                <w:b/>
                <w:bCs/>
              </w:rPr>
            </w:pPr>
            <w:r w:rsidRPr="00951AB1">
              <w:rPr>
                <w:rFonts w:cs="Times New Roman"/>
                <w:b/>
                <w:bCs/>
              </w:rPr>
              <w:t>Total</w:t>
            </w:r>
          </w:p>
        </w:tc>
        <w:tc>
          <w:tcPr>
            <w:tcW w:w="1347" w:type="pct"/>
            <w:noWrap/>
            <w:hideMark/>
          </w:tcPr>
          <w:p w14:paraId="0F1BAB64" w14:textId="77777777" w:rsidR="00573529" w:rsidRPr="00951AB1" w:rsidRDefault="00573529" w:rsidP="000A5389">
            <w:pPr>
              <w:spacing w:line="240" w:lineRule="auto"/>
              <w:jc w:val="right"/>
              <w:rPr>
                <w:rFonts w:cs="Times New Roman"/>
                <w:b/>
                <w:bCs/>
              </w:rPr>
            </w:pPr>
            <w:r w:rsidRPr="00951AB1">
              <w:rPr>
                <w:rFonts w:cs="Times New Roman"/>
                <w:b/>
                <w:bCs/>
              </w:rPr>
              <w:t xml:space="preserve">            1.268.037.792 </w:t>
            </w:r>
          </w:p>
        </w:tc>
        <w:tc>
          <w:tcPr>
            <w:tcW w:w="1512" w:type="pct"/>
            <w:noWrap/>
            <w:hideMark/>
          </w:tcPr>
          <w:p w14:paraId="338AE549" w14:textId="77777777" w:rsidR="00573529" w:rsidRPr="00951AB1" w:rsidRDefault="00573529" w:rsidP="000A5389">
            <w:pPr>
              <w:spacing w:line="240" w:lineRule="auto"/>
              <w:rPr>
                <w:rFonts w:cs="Times New Roman"/>
              </w:rPr>
            </w:pPr>
            <w:r w:rsidRPr="00951AB1">
              <w:rPr>
                <w:rFonts w:cs="Times New Roman"/>
              </w:rPr>
              <w:t> </w:t>
            </w:r>
          </w:p>
        </w:tc>
      </w:tr>
    </w:tbl>
    <w:p w14:paraId="54B519D0" w14:textId="77777777" w:rsidR="00573529" w:rsidRPr="00951AB1" w:rsidRDefault="00573529" w:rsidP="000A5389">
      <w:pPr>
        <w:spacing w:line="240" w:lineRule="auto"/>
        <w:rPr>
          <w:rFonts w:cs="Times New Roman"/>
          <w:szCs w:val="24"/>
          <w:lang w:val="es-419"/>
        </w:rPr>
      </w:pPr>
    </w:p>
    <w:p w14:paraId="42AC3287" w14:textId="77777777" w:rsidR="00573529" w:rsidRPr="00951AB1" w:rsidRDefault="00573529" w:rsidP="000A5389">
      <w:pPr>
        <w:spacing w:line="240" w:lineRule="auto"/>
        <w:rPr>
          <w:rFonts w:cs="Times New Roman"/>
          <w:szCs w:val="24"/>
          <w:lang w:val="es-419"/>
        </w:rPr>
      </w:pPr>
      <w:r w:rsidRPr="00951AB1">
        <w:rPr>
          <w:rFonts w:cs="Times New Roman"/>
          <w:szCs w:val="24"/>
          <w:lang w:val="es-419"/>
        </w:rPr>
        <w:t>El saldo final asciende a $1.741.588.422.</w:t>
      </w:r>
    </w:p>
    <w:p w14:paraId="631B4972" w14:textId="77777777" w:rsidR="00573529" w:rsidRPr="00951AB1" w:rsidRDefault="00573529" w:rsidP="000A5389">
      <w:pPr>
        <w:spacing w:line="240" w:lineRule="auto"/>
        <w:rPr>
          <w:rFonts w:cs="Times New Roman"/>
          <w:szCs w:val="24"/>
          <w:lang w:val="es-419"/>
        </w:rPr>
      </w:pPr>
    </w:p>
    <w:p w14:paraId="28DD838A" w14:textId="77777777" w:rsidR="00573529" w:rsidRPr="00951AB1" w:rsidRDefault="00573529" w:rsidP="000A5389">
      <w:pPr>
        <w:spacing w:line="240" w:lineRule="auto"/>
        <w:rPr>
          <w:rFonts w:cs="Times New Roman"/>
          <w:szCs w:val="24"/>
          <w:lang w:val="es-419"/>
        </w:rPr>
      </w:pPr>
      <w:r w:rsidRPr="00951AB1">
        <w:rPr>
          <w:rFonts w:cs="Times New Roman"/>
          <w:szCs w:val="24"/>
          <w:lang w:val="es-419"/>
        </w:rPr>
        <w:t>La amortización acumulada cerró en $577.375.945, incluyendo una amortización del período por $103.825.315. El valor en libros es de $1.164.212.477, con un porcentaje de amortización acumulada del 33,2%, evidenciando incorporación reciente de desarrollos o licencias de uso de software.</w:t>
      </w:r>
    </w:p>
    <w:p w14:paraId="550C18E7" w14:textId="77777777" w:rsidR="00573529" w:rsidRPr="00951AB1" w:rsidRDefault="00573529" w:rsidP="000A5389">
      <w:pPr>
        <w:spacing w:line="240" w:lineRule="auto"/>
        <w:rPr>
          <w:rFonts w:cs="Times New Roman"/>
          <w:szCs w:val="24"/>
          <w:lang w:val="es-419"/>
        </w:rPr>
      </w:pPr>
    </w:p>
    <w:p w14:paraId="1FB1FE0B" w14:textId="15F91424" w:rsidR="00573529" w:rsidRPr="00951AB1" w:rsidRDefault="00573529" w:rsidP="000A5389">
      <w:pPr>
        <w:spacing w:line="240" w:lineRule="auto"/>
        <w:rPr>
          <w:rFonts w:cs="Times New Roman"/>
          <w:szCs w:val="24"/>
          <w:lang w:val="es-419"/>
        </w:rPr>
      </w:pPr>
      <w:r w:rsidRPr="00951AB1">
        <w:rPr>
          <w:rFonts w:cs="Times New Roman"/>
          <w:b/>
          <w:bCs/>
          <w:i/>
          <w:iCs/>
          <w:szCs w:val="24"/>
          <w:lang w:val="es-419"/>
        </w:rPr>
        <w:t xml:space="preserve">Licencias: </w:t>
      </w:r>
      <w:r w:rsidRPr="00951AB1">
        <w:rPr>
          <w:rFonts w:cs="Times New Roman"/>
          <w:szCs w:val="24"/>
          <w:lang w:val="es-419"/>
        </w:rPr>
        <w:t>Presentan un saldo final de $2.736.686.633, la amortización acumulada corresponde al 100% del costo histórico, por valor de $2.736.686.633, razón por la cual no presentan valor en libros al cierre de la vigencia. No se registraron movimientos en el período.</w:t>
      </w:r>
    </w:p>
    <w:p w14:paraId="0A6BA219" w14:textId="77777777" w:rsidR="00573529" w:rsidRPr="00951AB1" w:rsidRDefault="00573529" w:rsidP="000A5389">
      <w:pPr>
        <w:spacing w:line="240" w:lineRule="auto"/>
        <w:rPr>
          <w:rFonts w:cs="Times New Roman"/>
          <w:szCs w:val="24"/>
          <w:lang w:val="es-419"/>
        </w:rPr>
      </w:pPr>
    </w:p>
    <w:p w14:paraId="5E36521A" w14:textId="3037C9A8" w:rsidR="00573529" w:rsidRPr="00951AB1" w:rsidRDefault="00573529" w:rsidP="000A5389">
      <w:pPr>
        <w:pStyle w:val="Ttulo2"/>
        <w:numPr>
          <w:ilvl w:val="1"/>
          <w:numId w:val="14"/>
        </w:numPr>
        <w:spacing w:line="240" w:lineRule="auto"/>
        <w:ind w:left="567" w:hanging="567"/>
        <w:rPr>
          <w:rFonts w:cs="Times New Roman"/>
        </w:rPr>
      </w:pPr>
      <w:bookmarkStart w:id="423" w:name="_Toc191562529"/>
      <w:r w:rsidRPr="00951AB1">
        <w:rPr>
          <w:rFonts w:cs="Times New Roman"/>
          <w:szCs w:val="24"/>
        </w:rPr>
        <w:t xml:space="preserve"> </w:t>
      </w:r>
      <w:r w:rsidRPr="00951AB1">
        <w:rPr>
          <w:rFonts w:cs="Times New Roman"/>
          <w:szCs w:val="24"/>
        </w:rPr>
        <w:tab/>
      </w:r>
      <w:bookmarkStart w:id="424" w:name="_Toc222955495"/>
      <w:r w:rsidRPr="00951AB1">
        <w:rPr>
          <w:rFonts w:cs="Times New Roman"/>
          <w:szCs w:val="24"/>
        </w:rPr>
        <w:t>Revelaciones adicionales</w:t>
      </w:r>
      <w:bookmarkEnd w:id="423"/>
      <w:bookmarkEnd w:id="424"/>
    </w:p>
    <w:p w14:paraId="64F8920D" w14:textId="77777777" w:rsidR="00573529" w:rsidRPr="00951AB1" w:rsidRDefault="00573529" w:rsidP="000A5389">
      <w:pPr>
        <w:spacing w:line="240" w:lineRule="auto"/>
        <w:rPr>
          <w:rFonts w:cs="Times New Roman"/>
          <w:sz w:val="20"/>
          <w:szCs w:val="20"/>
          <w:lang w:eastAsia="es-CO"/>
        </w:rPr>
      </w:pPr>
      <w:r w:rsidRPr="00951AB1">
        <w:rPr>
          <w:rFonts w:cs="Times New Roman"/>
        </w:rPr>
        <w:fldChar w:fldCharType="begin"/>
      </w:r>
      <w:r w:rsidRPr="00951AB1">
        <w:rPr>
          <w:rFonts w:cs="Times New Roman"/>
        </w:rPr>
        <w:instrText xml:space="preserve"> LINK Excel.Sheet.12 "C:\\Users\\wolarte\\Documents\\0-Ani2025\\0_Cierre2025\\Nota_14\\Anexo N_14 - Activos intangibles.XLSX" "14.2!F4C2:F8C14" \a \f 4 \h  \* MERGEFORMAT </w:instrText>
      </w:r>
      <w:r w:rsidRPr="00951AB1">
        <w:rPr>
          <w:rFonts w:cs="Times New Roman"/>
        </w:rPr>
        <w:fldChar w:fldCharType="separate"/>
      </w:r>
    </w:p>
    <w:tbl>
      <w:tblPr>
        <w:tblW w:w="8926" w:type="dxa"/>
        <w:tblCellMar>
          <w:left w:w="70" w:type="dxa"/>
          <w:right w:w="70" w:type="dxa"/>
        </w:tblCellMar>
        <w:tblLook w:val="04A0" w:firstRow="1" w:lastRow="0" w:firstColumn="1" w:lastColumn="0" w:noHBand="0" w:noVBand="1"/>
      </w:tblPr>
      <w:tblGrid>
        <w:gridCol w:w="185"/>
        <w:gridCol w:w="344"/>
        <w:gridCol w:w="2876"/>
        <w:gridCol w:w="1418"/>
        <w:gridCol w:w="1276"/>
        <w:gridCol w:w="1417"/>
        <w:gridCol w:w="1418"/>
      </w:tblGrid>
      <w:tr w:rsidR="00573529" w:rsidRPr="00951AB1" w14:paraId="370C9272" w14:textId="77777777">
        <w:trPr>
          <w:trHeight w:val="400"/>
        </w:trPr>
        <w:tc>
          <w:tcPr>
            <w:tcW w:w="3397" w:type="dxa"/>
            <w:gridSpan w:val="3"/>
            <w:tcBorders>
              <w:top w:val="single" w:sz="4" w:space="0" w:color="A6A6A6"/>
              <w:left w:val="single" w:sz="4" w:space="0" w:color="A6A6A6"/>
              <w:bottom w:val="single" w:sz="4" w:space="0" w:color="A6A6A6"/>
              <w:right w:val="single" w:sz="4" w:space="0" w:color="A6A6A6"/>
            </w:tcBorders>
            <w:vAlign w:val="center"/>
            <w:hideMark/>
          </w:tcPr>
          <w:p w14:paraId="2F07D810" w14:textId="77777777" w:rsidR="00573529" w:rsidRPr="00951AB1" w:rsidRDefault="00573529" w:rsidP="000A5389">
            <w:pPr>
              <w:spacing w:line="240" w:lineRule="auto"/>
              <w:jc w:val="center"/>
              <w:rPr>
                <w:rFonts w:eastAsia="Times New Roman" w:cs="Times New Roman"/>
                <w:b/>
                <w:bCs/>
                <w:sz w:val="18"/>
                <w:szCs w:val="18"/>
                <w:lang w:val="es-419" w:eastAsia="es-419"/>
              </w:rPr>
            </w:pPr>
            <w:r w:rsidRPr="00951AB1">
              <w:rPr>
                <w:rFonts w:eastAsia="Times New Roman" w:cs="Times New Roman"/>
                <w:b/>
                <w:bCs/>
                <w:sz w:val="18"/>
                <w:szCs w:val="18"/>
                <w:lang w:val="es-419" w:eastAsia="es-419"/>
              </w:rPr>
              <w:t>CONCEPTOS Y TRANSACCIONES</w:t>
            </w:r>
          </w:p>
        </w:tc>
        <w:tc>
          <w:tcPr>
            <w:tcW w:w="1418" w:type="dxa"/>
            <w:tcBorders>
              <w:top w:val="single" w:sz="4" w:space="0" w:color="A6A6A6"/>
              <w:left w:val="nil"/>
              <w:bottom w:val="single" w:sz="4" w:space="0" w:color="A6A6A6"/>
              <w:right w:val="single" w:sz="4" w:space="0" w:color="A6A6A6"/>
            </w:tcBorders>
            <w:vAlign w:val="center"/>
            <w:hideMark/>
          </w:tcPr>
          <w:p w14:paraId="5AF8A166" w14:textId="77777777" w:rsidR="00573529" w:rsidRPr="00951AB1" w:rsidRDefault="00573529" w:rsidP="000A5389">
            <w:pPr>
              <w:spacing w:line="240" w:lineRule="auto"/>
              <w:jc w:val="center"/>
              <w:rPr>
                <w:rFonts w:eastAsia="Times New Roman" w:cs="Times New Roman"/>
                <w:b/>
                <w:bCs/>
                <w:sz w:val="18"/>
                <w:szCs w:val="18"/>
                <w:lang w:val="es-419" w:eastAsia="es-419"/>
              </w:rPr>
            </w:pPr>
            <w:r w:rsidRPr="00951AB1">
              <w:rPr>
                <w:rFonts w:eastAsia="Times New Roman" w:cs="Times New Roman"/>
                <w:b/>
                <w:bCs/>
                <w:sz w:val="18"/>
                <w:szCs w:val="18"/>
                <w:lang w:val="es-419" w:eastAsia="es-419"/>
              </w:rPr>
              <w:t>ACTIVOS INTANGIBLES EN CONCESIÓN</w:t>
            </w:r>
          </w:p>
        </w:tc>
        <w:tc>
          <w:tcPr>
            <w:tcW w:w="1276" w:type="dxa"/>
            <w:tcBorders>
              <w:top w:val="single" w:sz="4" w:space="0" w:color="A6A6A6"/>
              <w:left w:val="nil"/>
              <w:bottom w:val="single" w:sz="4" w:space="0" w:color="A6A6A6"/>
              <w:right w:val="single" w:sz="4" w:space="0" w:color="A6A6A6"/>
            </w:tcBorders>
            <w:vAlign w:val="center"/>
            <w:hideMark/>
          </w:tcPr>
          <w:p w14:paraId="0F5499C1" w14:textId="77777777" w:rsidR="00573529" w:rsidRPr="00951AB1" w:rsidRDefault="00573529" w:rsidP="000A5389">
            <w:pPr>
              <w:spacing w:line="240" w:lineRule="auto"/>
              <w:jc w:val="center"/>
              <w:rPr>
                <w:rFonts w:eastAsia="Times New Roman" w:cs="Times New Roman"/>
                <w:b/>
                <w:bCs/>
                <w:sz w:val="18"/>
                <w:szCs w:val="18"/>
                <w:lang w:val="es-419" w:eastAsia="es-419"/>
              </w:rPr>
            </w:pPr>
            <w:r w:rsidRPr="00951AB1">
              <w:rPr>
                <w:rFonts w:eastAsia="Times New Roman" w:cs="Times New Roman"/>
                <w:b/>
                <w:bCs/>
                <w:sz w:val="18"/>
                <w:szCs w:val="18"/>
                <w:lang w:val="es-419" w:eastAsia="es-419"/>
              </w:rPr>
              <w:t>SOTWARES</w:t>
            </w:r>
          </w:p>
        </w:tc>
        <w:tc>
          <w:tcPr>
            <w:tcW w:w="1417" w:type="dxa"/>
            <w:tcBorders>
              <w:top w:val="single" w:sz="4" w:space="0" w:color="A6A6A6"/>
              <w:left w:val="nil"/>
              <w:bottom w:val="single" w:sz="4" w:space="0" w:color="A6A6A6"/>
              <w:right w:val="single" w:sz="4" w:space="0" w:color="A6A6A6"/>
            </w:tcBorders>
            <w:vAlign w:val="center"/>
            <w:hideMark/>
          </w:tcPr>
          <w:p w14:paraId="3B9B3078" w14:textId="77777777" w:rsidR="00573529" w:rsidRPr="00951AB1" w:rsidRDefault="00573529" w:rsidP="000A5389">
            <w:pPr>
              <w:spacing w:line="240" w:lineRule="auto"/>
              <w:jc w:val="center"/>
              <w:rPr>
                <w:rFonts w:eastAsia="Times New Roman" w:cs="Times New Roman"/>
                <w:b/>
                <w:bCs/>
                <w:sz w:val="18"/>
                <w:szCs w:val="18"/>
                <w:lang w:val="es-419" w:eastAsia="es-419"/>
              </w:rPr>
            </w:pPr>
            <w:r w:rsidRPr="00951AB1">
              <w:rPr>
                <w:rFonts w:eastAsia="Times New Roman" w:cs="Times New Roman"/>
                <w:b/>
                <w:bCs/>
                <w:sz w:val="18"/>
                <w:szCs w:val="18"/>
                <w:lang w:val="es-419" w:eastAsia="es-419"/>
              </w:rPr>
              <w:t>LICENCIAS</w:t>
            </w:r>
          </w:p>
        </w:tc>
        <w:tc>
          <w:tcPr>
            <w:tcW w:w="1418" w:type="dxa"/>
            <w:tcBorders>
              <w:top w:val="single" w:sz="4" w:space="0" w:color="A6A6A6"/>
              <w:left w:val="nil"/>
              <w:bottom w:val="single" w:sz="4" w:space="0" w:color="A6A6A6"/>
              <w:right w:val="single" w:sz="4" w:space="0" w:color="A6A6A6"/>
            </w:tcBorders>
            <w:vAlign w:val="center"/>
            <w:hideMark/>
          </w:tcPr>
          <w:p w14:paraId="4B9F3DA4" w14:textId="77777777" w:rsidR="00573529" w:rsidRPr="00951AB1" w:rsidRDefault="00573529" w:rsidP="000A5389">
            <w:pPr>
              <w:spacing w:line="240" w:lineRule="auto"/>
              <w:jc w:val="center"/>
              <w:rPr>
                <w:rFonts w:eastAsia="Times New Roman" w:cs="Times New Roman"/>
                <w:b/>
                <w:bCs/>
                <w:sz w:val="18"/>
                <w:szCs w:val="18"/>
                <w:lang w:val="es-419" w:eastAsia="es-419"/>
              </w:rPr>
            </w:pPr>
            <w:r w:rsidRPr="00951AB1">
              <w:rPr>
                <w:rFonts w:eastAsia="Times New Roman" w:cs="Times New Roman"/>
                <w:b/>
                <w:bCs/>
                <w:sz w:val="18"/>
                <w:szCs w:val="18"/>
                <w:lang w:val="es-419" w:eastAsia="es-419"/>
              </w:rPr>
              <w:t>TOTAL</w:t>
            </w:r>
          </w:p>
        </w:tc>
      </w:tr>
      <w:tr w:rsidR="00573529" w:rsidRPr="00951AB1" w14:paraId="0EA4BC43" w14:textId="77777777">
        <w:trPr>
          <w:trHeight w:val="290"/>
        </w:trPr>
        <w:tc>
          <w:tcPr>
            <w:tcW w:w="177" w:type="dxa"/>
            <w:tcBorders>
              <w:top w:val="nil"/>
              <w:left w:val="single" w:sz="4" w:space="0" w:color="A6A6A6"/>
              <w:bottom w:val="single" w:sz="4" w:space="0" w:color="A6A6A6"/>
              <w:right w:val="nil"/>
            </w:tcBorders>
            <w:noWrap/>
            <w:vAlign w:val="center"/>
            <w:hideMark/>
          </w:tcPr>
          <w:p w14:paraId="785AFF65" w14:textId="77777777" w:rsidR="00573529" w:rsidRPr="00951AB1" w:rsidRDefault="00573529" w:rsidP="000A5389">
            <w:pPr>
              <w:spacing w:line="240" w:lineRule="auto"/>
              <w:jc w:val="center"/>
              <w:rPr>
                <w:rFonts w:eastAsia="Times New Roman" w:cs="Times New Roman"/>
                <w:b/>
                <w:bCs/>
                <w:color w:val="000000"/>
                <w:sz w:val="18"/>
                <w:szCs w:val="18"/>
                <w:lang w:val="es-419" w:eastAsia="es-419"/>
              </w:rPr>
            </w:pPr>
            <w:r w:rsidRPr="00951AB1">
              <w:rPr>
                <w:rFonts w:eastAsia="Times New Roman" w:cs="Times New Roman"/>
                <w:b/>
                <w:bCs/>
                <w:color w:val="000000"/>
                <w:sz w:val="18"/>
                <w:szCs w:val="18"/>
                <w:lang w:val="es-419" w:eastAsia="es-419"/>
              </w:rPr>
              <w:t> </w:t>
            </w:r>
          </w:p>
        </w:tc>
        <w:tc>
          <w:tcPr>
            <w:tcW w:w="3220" w:type="dxa"/>
            <w:gridSpan w:val="2"/>
            <w:tcBorders>
              <w:top w:val="single" w:sz="4" w:space="0" w:color="A6A6A6"/>
              <w:left w:val="nil"/>
              <w:bottom w:val="single" w:sz="4" w:space="0" w:color="A6A6A6"/>
              <w:right w:val="single" w:sz="4" w:space="0" w:color="A6A6A6"/>
            </w:tcBorders>
            <w:noWrap/>
            <w:vAlign w:val="center"/>
            <w:hideMark/>
          </w:tcPr>
          <w:p w14:paraId="5604B9AE" w14:textId="77777777" w:rsidR="00573529" w:rsidRPr="00951AB1" w:rsidRDefault="00573529" w:rsidP="000A5389">
            <w:pPr>
              <w:spacing w:line="240" w:lineRule="auto"/>
              <w:rPr>
                <w:rFonts w:eastAsia="Times New Roman" w:cs="Times New Roman"/>
                <w:b/>
                <w:bCs/>
                <w:color w:val="000000"/>
                <w:sz w:val="18"/>
                <w:szCs w:val="18"/>
                <w:lang w:val="es-419" w:eastAsia="es-419"/>
              </w:rPr>
            </w:pPr>
            <w:r w:rsidRPr="00951AB1">
              <w:rPr>
                <w:rFonts w:eastAsia="Times New Roman" w:cs="Times New Roman"/>
                <w:b/>
                <w:bCs/>
                <w:color w:val="000000"/>
                <w:sz w:val="18"/>
                <w:szCs w:val="18"/>
                <w:lang w:val="es-419" w:eastAsia="es-419"/>
              </w:rPr>
              <w:t>CLASIFICACIÓN SEGÚN SU VIDA ÚTIL</w:t>
            </w:r>
          </w:p>
        </w:tc>
        <w:tc>
          <w:tcPr>
            <w:tcW w:w="1418" w:type="dxa"/>
            <w:tcBorders>
              <w:top w:val="nil"/>
              <w:left w:val="nil"/>
              <w:bottom w:val="single" w:sz="4" w:space="0" w:color="A6A6A6"/>
              <w:right w:val="single" w:sz="4" w:space="0" w:color="A6A6A6"/>
            </w:tcBorders>
            <w:noWrap/>
            <w:vAlign w:val="center"/>
            <w:hideMark/>
          </w:tcPr>
          <w:p w14:paraId="0E5428F2" w14:textId="77777777" w:rsidR="00573529" w:rsidRPr="00951AB1" w:rsidRDefault="00573529" w:rsidP="000A5389">
            <w:pPr>
              <w:spacing w:line="240" w:lineRule="auto"/>
              <w:jc w:val="right"/>
              <w:rPr>
                <w:rFonts w:eastAsia="Times New Roman" w:cs="Times New Roman"/>
                <w:b/>
                <w:bCs/>
                <w:color w:val="000000"/>
                <w:sz w:val="18"/>
                <w:szCs w:val="18"/>
                <w:lang w:val="es-419" w:eastAsia="es-419"/>
              </w:rPr>
            </w:pPr>
            <w:r w:rsidRPr="00951AB1">
              <w:rPr>
                <w:rFonts w:eastAsia="Times New Roman" w:cs="Times New Roman"/>
                <w:b/>
                <w:bCs/>
                <w:color w:val="000000"/>
                <w:sz w:val="18"/>
                <w:szCs w:val="18"/>
                <w:lang w:val="es-419" w:eastAsia="es-419"/>
              </w:rPr>
              <w:t xml:space="preserve">168.867.833.532 </w:t>
            </w:r>
          </w:p>
        </w:tc>
        <w:tc>
          <w:tcPr>
            <w:tcW w:w="1276" w:type="dxa"/>
            <w:tcBorders>
              <w:top w:val="nil"/>
              <w:left w:val="nil"/>
              <w:bottom w:val="single" w:sz="4" w:space="0" w:color="A6A6A6"/>
              <w:right w:val="single" w:sz="4" w:space="0" w:color="A6A6A6"/>
            </w:tcBorders>
            <w:noWrap/>
            <w:vAlign w:val="center"/>
            <w:hideMark/>
          </w:tcPr>
          <w:p w14:paraId="4DB3927F" w14:textId="77777777" w:rsidR="00573529" w:rsidRPr="00951AB1" w:rsidRDefault="00573529" w:rsidP="000A5389">
            <w:pPr>
              <w:spacing w:line="240" w:lineRule="auto"/>
              <w:jc w:val="right"/>
              <w:rPr>
                <w:rFonts w:eastAsia="Times New Roman" w:cs="Times New Roman"/>
                <w:b/>
                <w:bCs/>
                <w:color w:val="000000"/>
                <w:sz w:val="18"/>
                <w:szCs w:val="18"/>
                <w:lang w:val="es-419" w:eastAsia="es-419"/>
              </w:rPr>
            </w:pPr>
            <w:r w:rsidRPr="00951AB1">
              <w:rPr>
                <w:rFonts w:eastAsia="Times New Roman" w:cs="Times New Roman"/>
                <w:b/>
                <w:bCs/>
                <w:color w:val="000000"/>
                <w:sz w:val="18"/>
                <w:szCs w:val="18"/>
                <w:lang w:val="es-419" w:eastAsia="es-419"/>
              </w:rPr>
              <w:t xml:space="preserve">1.741.588.422 </w:t>
            </w:r>
          </w:p>
        </w:tc>
        <w:tc>
          <w:tcPr>
            <w:tcW w:w="1417" w:type="dxa"/>
            <w:tcBorders>
              <w:top w:val="nil"/>
              <w:left w:val="nil"/>
              <w:bottom w:val="single" w:sz="4" w:space="0" w:color="A6A6A6"/>
              <w:right w:val="single" w:sz="4" w:space="0" w:color="A6A6A6"/>
            </w:tcBorders>
            <w:noWrap/>
            <w:vAlign w:val="center"/>
            <w:hideMark/>
          </w:tcPr>
          <w:p w14:paraId="7D07F005" w14:textId="77777777" w:rsidR="00573529" w:rsidRPr="00951AB1" w:rsidRDefault="00573529" w:rsidP="000A5389">
            <w:pPr>
              <w:spacing w:line="240" w:lineRule="auto"/>
              <w:jc w:val="right"/>
              <w:rPr>
                <w:rFonts w:eastAsia="Times New Roman" w:cs="Times New Roman"/>
                <w:b/>
                <w:bCs/>
                <w:color w:val="000000"/>
                <w:sz w:val="18"/>
                <w:szCs w:val="18"/>
                <w:lang w:val="es-419" w:eastAsia="es-419"/>
              </w:rPr>
            </w:pPr>
            <w:r w:rsidRPr="00951AB1">
              <w:rPr>
                <w:rFonts w:eastAsia="Times New Roman" w:cs="Times New Roman"/>
                <w:b/>
                <w:bCs/>
                <w:color w:val="000000"/>
                <w:sz w:val="18"/>
                <w:szCs w:val="18"/>
                <w:lang w:val="es-419" w:eastAsia="es-419"/>
              </w:rPr>
              <w:t xml:space="preserve">2.736.686.633 </w:t>
            </w:r>
          </w:p>
        </w:tc>
        <w:tc>
          <w:tcPr>
            <w:tcW w:w="1418" w:type="dxa"/>
            <w:tcBorders>
              <w:top w:val="nil"/>
              <w:left w:val="nil"/>
              <w:bottom w:val="single" w:sz="4" w:space="0" w:color="A6A6A6"/>
              <w:right w:val="single" w:sz="4" w:space="0" w:color="A6A6A6"/>
            </w:tcBorders>
            <w:noWrap/>
            <w:vAlign w:val="center"/>
            <w:hideMark/>
          </w:tcPr>
          <w:p w14:paraId="348FE082" w14:textId="77777777" w:rsidR="00573529" w:rsidRPr="00951AB1" w:rsidRDefault="00573529" w:rsidP="000A5389">
            <w:pPr>
              <w:spacing w:line="240" w:lineRule="auto"/>
              <w:jc w:val="right"/>
              <w:rPr>
                <w:rFonts w:eastAsia="Times New Roman" w:cs="Times New Roman"/>
                <w:b/>
                <w:bCs/>
                <w:color w:val="000000"/>
                <w:sz w:val="18"/>
                <w:szCs w:val="18"/>
                <w:lang w:val="es-419" w:eastAsia="es-419"/>
              </w:rPr>
            </w:pPr>
            <w:r w:rsidRPr="00951AB1">
              <w:rPr>
                <w:rFonts w:eastAsia="Times New Roman" w:cs="Times New Roman"/>
                <w:b/>
                <w:bCs/>
                <w:color w:val="000000"/>
                <w:sz w:val="18"/>
                <w:szCs w:val="18"/>
                <w:lang w:val="es-419" w:eastAsia="es-419"/>
              </w:rPr>
              <w:t xml:space="preserve">173.346.108.587 </w:t>
            </w:r>
          </w:p>
        </w:tc>
      </w:tr>
      <w:tr w:rsidR="00573529" w:rsidRPr="00951AB1" w14:paraId="412628B5" w14:textId="77777777">
        <w:trPr>
          <w:trHeight w:val="290"/>
        </w:trPr>
        <w:tc>
          <w:tcPr>
            <w:tcW w:w="177" w:type="dxa"/>
            <w:tcBorders>
              <w:top w:val="nil"/>
              <w:left w:val="single" w:sz="4" w:space="0" w:color="A6A6A6"/>
              <w:bottom w:val="single" w:sz="4" w:space="0" w:color="A6A6A6"/>
              <w:right w:val="nil"/>
            </w:tcBorders>
            <w:noWrap/>
            <w:vAlign w:val="center"/>
            <w:hideMark/>
          </w:tcPr>
          <w:p w14:paraId="60D7126E" w14:textId="77777777" w:rsidR="00573529" w:rsidRPr="00951AB1" w:rsidRDefault="00573529" w:rsidP="000A5389">
            <w:pPr>
              <w:spacing w:line="240" w:lineRule="auto"/>
              <w:jc w:val="center"/>
              <w:rPr>
                <w:rFonts w:eastAsia="Times New Roman" w:cs="Times New Roman"/>
                <w:color w:val="000000"/>
                <w:sz w:val="18"/>
                <w:szCs w:val="18"/>
                <w:lang w:val="es-419" w:eastAsia="es-419"/>
              </w:rPr>
            </w:pPr>
            <w:r w:rsidRPr="00951AB1">
              <w:rPr>
                <w:rFonts w:eastAsia="Times New Roman" w:cs="Times New Roman"/>
                <w:color w:val="000000"/>
                <w:sz w:val="18"/>
                <w:szCs w:val="18"/>
                <w:lang w:val="es-419" w:eastAsia="es-419"/>
              </w:rPr>
              <w:t> </w:t>
            </w:r>
          </w:p>
        </w:tc>
        <w:tc>
          <w:tcPr>
            <w:tcW w:w="344" w:type="dxa"/>
            <w:tcBorders>
              <w:top w:val="nil"/>
              <w:left w:val="nil"/>
              <w:bottom w:val="single" w:sz="4" w:space="0" w:color="A6A6A6"/>
              <w:right w:val="nil"/>
            </w:tcBorders>
            <w:noWrap/>
            <w:vAlign w:val="center"/>
            <w:hideMark/>
          </w:tcPr>
          <w:p w14:paraId="35EAF9BA" w14:textId="77777777" w:rsidR="00573529" w:rsidRPr="00951AB1" w:rsidRDefault="00573529" w:rsidP="000A5389">
            <w:pPr>
              <w:spacing w:line="240" w:lineRule="auto"/>
              <w:jc w:val="center"/>
              <w:rPr>
                <w:rFonts w:eastAsia="Times New Roman" w:cs="Times New Roman"/>
                <w:color w:val="000000"/>
                <w:sz w:val="18"/>
                <w:szCs w:val="18"/>
                <w:lang w:val="es-419" w:eastAsia="es-419"/>
              </w:rPr>
            </w:pPr>
            <w:r w:rsidRPr="00951AB1">
              <w:rPr>
                <w:rFonts w:eastAsia="Times New Roman" w:cs="Times New Roman"/>
                <w:color w:val="000000"/>
                <w:sz w:val="18"/>
                <w:szCs w:val="18"/>
                <w:lang w:val="es-419" w:eastAsia="es-419"/>
              </w:rPr>
              <w:t>+</w:t>
            </w:r>
          </w:p>
        </w:tc>
        <w:tc>
          <w:tcPr>
            <w:tcW w:w="2876" w:type="dxa"/>
            <w:tcBorders>
              <w:top w:val="single" w:sz="4" w:space="0" w:color="A6A6A6"/>
              <w:left w:val="nil"/>
              <w:bottom w:val="single" w:sz="4" w:space="0" w:color="A6A6A6"/>
              <w:right w:val="single" w:sz="4" w:space="0" w:color="A6A6A6"/>
            </w:tcBorders>
            <w:noWrap/>
            <w:vAlign w:val="center"/>
            <w:hideMark/>
          </w:tcPr>
          <w:p w14:paraId="127B2067" w14:textId="77777777" w:rsidR="00573529" w:rsidRPr="00951AB1" w:rsidRDefault="00573529" w:rsidP="000A5389">
            <w:pPr>
              <w:spacing w:line="240" w:lineRule="auto"/>
              <w:rPr>
                <w:rFonts w:eastAsia="Times New Roman" w:cs="Times New Roman"/>
                <w:color w:val="000000"/>
                <w:sz w:val="18"/>
                <w:szCs w:val="18"/>
                <w:lang w:val="es-419" w:eastAsia="es-419"/>
              </w:rPr>
            </w:pPr>
            <w:r w:rsidRPr="00951AB1">
              <w:rPr>
                <w:rFonts w:eastAsia="Times New Roman" w:cs="Times New Roman"/>
                <w:color w:val="000000"/>
                <w:sz w:val="18"/>
                <w:szCs w:val="18"/>
                <w:lang w:val="es-419" w:eastAsia="es-419"/>
              </w:rPr>
              <w:t>Vida útil definida</w:t>
            </w:r>
          </w:p>
        </w:tc>
        <w:tc>
          <w:tcPr>
            <w:tcW w:w="1418" w:type="dxa"/>
            <w:tcBorders>
              <w:top w:val="nil"/>
              <w:left w:val="nil"/>
              <w:bottom w:val="single" w:sz="4" w:space="0" w:color="A6A6A6"/>
              <w:right w:val="single" w:sz="4" w:space="0" w:color="A6A6A6"/>
            </w:tcBorders>
            <w:noWrap/>
            <w:vAlign w:val="center"/>
            <w:hideMark/>
          </w:tcPr>
          <w:p w14:paraId="1896BC01" w14:textId="77777777" w:rsidR="00573529" w:rsidRPr="00951AB1" w:rsidRDefault="00573529" w:rsidP="000A5389">
            <w:pPr>
              <w:spacing w:line="240" w:lineRule="auto"/>
              <w:jc w:val="right"/>
              <w:rPr>
                <w:rFonts w:eastAsia="Times New Roman" w:cs="Times New Roman"/>
                <w:color w:val="000000"/>
                <w:sz w:val="18"/>
                <w:szCs w:val="18"/>
                <w:lang w:val="es-419" w:eastAsia="es-419"/>
              </w:rPr>
            </w:pPr>
            <w:r w:rsidRPr="00951AB1">
              <w:rPr>
                <w:rFonts w:eastAsia="Times New Roman" w:cs="Times New Roman"/>
                <w:color w:val="000000"/>
                <w:sz w:val="18"/>
                <w:szCs w:val="18"/>
                <w:lang w:val="es-419" w:eastAsia="es-419"/>
              </w:rPr>
              <w:t xml:space="preserve">168.867.833.532 </w:t>
            </w:r>
          </w:p>
        </w:tc>
        <w:tc>
          <w:tcPr>
            <w:tcW w:w="1276" w:type="dxa"/>
            <w:tcBorders>
              <w:top w:val="nil"/>
              <w:left w:val="nil"/>
              <w:bottom w:val="single" w:sz="4" w:space="0" w:color="A6A6A6"/>
              <w:right w:val="single" w:sz="4" w:space="0" w:color="A6A6A6"/>
            </w:tcBorders>
            <w:noWrap/>
            <w:vAlign w:val="center"/>
            <w:hideMark/>
          </w:tcPr>
          <w:p w14:paraId="69B728C2" w14:textId="77777777" w:rsidR="00573529" w:rsidRPr="00951AB1" w:rsidRDefault="00573529" w:rsidP="000A5389">
            <w:pPr>
              <w:spacing w:line="240" w:lineRule="auto"/>
              <w:jc w:val="right"/>
              <w:rPr>
                <w:rFonts w:eastAsia="Times New Roman" w:cs="Times New Roman"/>
                <w:color w:val="000000"/>
                <w:sz w:val="18"/>
                <w:szCs w:val="18"/>
                <w:lang w:val="es-419" w:eastAsia="es-419"/>
              </w:rPr>
            </w:pPr>
            <w:r w:rsidRPr="00951AB1">
              <w:rPr>
                <w:rFonts w:eastAsia="Times New Roman" w:cs="Times New Roman"/>
                <w:color w:val="000000"/>
                <w:sz w:val="18"/>
                <w:szCs w:val="18"/>
                <w:lang w:val="es-419" w:eastAsia="es-419"/>
              </w:rPr>
              <w:t xml:space="preserve">1.741.588.422 </w:t>
            </w:r>
          </w:p>
        </w:tc>
        <w:tc>
          <w:tcPr>
            <w:tcW w:w="1417" w:type="dxa"/>
            <w:tcBorders>
              <w:top w:val="nil"/>
              <w:left w:val="nil"/>
              <w:bottom w:val="single" w:sz="4" w:space="0" w:color="A6A6A6"/>
              <w:right w:val="single" w:sz="4" w:space="0" w:color="A6A6A6"/>
            </w:tcBorders>
            <w:noWrap/>
            <w:vAlign w:val="center"/>
            <w:hideMark/>
          </w:tcPr>
          <w:p w14:paraId="32A395BC" w14:textId="77777777" w:rsidR="00573529" w:rsidRPr="00951AB1" w:rsidRDefault="00573529" w:rsidP="000A5389">
            <w:pPr>
              <w:spacing w:line="240" w:lineRule="auto"/>
              <w:jc w:val="right"/>
              <w:rPr>
                <w:rFonts w:eastAsia="Times New Roman" w:cs="Times New Roman"/>
                <w:color w:val="000000"/>
                <w:sz w:val="18"/>
                <w:szCs w:val="18"/>
                <w:lang w:val="es-419" w:eastAsia="es-419"/>
              </w:rPr>
            </w:pPr>
            <w:r w:rsidRPr="00951AB1">
              <w:rPr>
                <w:rFonts w:eastAsia="Times New Roman" w:cs="Times New Roman"/>
                <w:color w:val="000000"/>
                <w:sz w:val="18"/>
                <w:szCs w:val="18"/>
                <w:lang w:val="es-419" w:eastAsia="es-419"/>
              </w:rPr>
              <w:t xml:space="preserve">2.736.686.633 </w:t>
            </w:r>
          </w:p>
        </w:tc>
        <w:tc>
          <w:tcPr>
            <w:tcW w:w="1418" w:type="dxa"/>
            <w:tcBorders>
              <w:top w:val="nil"/>
              <w:left w:val="nil"/>
              <w:bottom w:val="single" w:sz="4" w:space="0" w:color="A6A6A6"/>
              <w:right w:val="single" w:sz="4" w:space="0" w:color="A6A6A6"/>
            </w:tcBorders>
            <w:noWrap/>
            <w:vAlign w:val="center"/>
            <w:hideMark/>
          </w:tcPr>
          <w:p w14:paraId="48B41F6B" w14:textId="77777777" w:rsidR="00573529" w:rsidRPr="00951AB1" w:rsidRDefault="00573529" w:rsidP="000A5389">
            <w:pPr>
              <w:spacing w:line="240" w:lineRule="auto"/>
              <w:jc w:val="right"/>
              <w:rPr>
                <w:rFonts w:eastAsia="Times New Roman" w:cs="Times New Roman"/>
                <w:b/>
                <w:bCs/>
                <w:color w:val="000000"/>
                <w:sz w:val="18"/>
                <w:szCs w:val="18"/>
                <w:lang w:val="es-419" w:eastAsia="es-419"/>
              </w:rPr>
            </w:pPr>
            <w:r w:rsidRPr="00951AB1">
              <w:rPr>
                <w:rFonts w:eastAsia="Times New Roman" w:cs="Times New Roman"/>
                <w:b/>
                <w:bCs/>
                <w:color w:val="000000"/>
                <w:sz w:val="18"/>
                <w:szCs w:val="18"/>
                <w:lang w:val="es-419" w:eastAsia="es-419"/>
              </w:rPr>
              <w:t xml:space="preserve">173.346.108.587 </w:t>
            </w:r>
          </w:p>
        </w:tc>
      </w:tr>
      <w:tr w:rsidR="00573529" w:rsidRPr="00951AB1" w14:paraId="39C84BA1" w14:textId="77777777">
        <w:trPr>
          <w:trHeight w:val="290"/>
        </w:trPr>
        <w:tc>
          <w:tcPr>
            <w:tcW w:w="177" w:type="dxa"/>
            <w:tcBorders>
              <w:top w:val="nil"/>
              <w:left w:val="single" w:sz="4" w:space="0" w:color="A6A6A6"/>
              <w:bottom w:val="single" w:sz="4" w:space="0" w:color="A6A6A6"/>
              <w:right w:val="nil"/>
            </w:tcBorders>
            <w:noWrap/>
            <w:vAlign w:val="center"/>
            <w:hideMark/>
          </w:tcPr>
          <w:p w14:paraId="6FF4839D" w14:textId="77777777" w:rsidR="00573529" w:rsidRPr="00951AB1" w:rsidRDefault="00573529" w:rsidP="000A5389">
            <w:pPr>
              <w:spacing w:line="240" w:lineRule="auto"/>
              <w:jc w:val="center"/>
              <w:rPr>
                <w:rFonts w:eastAsia="Times New Roman" w:cs="Times New Roman"/>
                <w:b/>
                <w:bCs/>
                <w:color w:val="000000"/>
                <w:sz w:val="18"/>
                <w:szCs w:val="18"/>
                <w:lang w:val="es-419" w:eastAsia="es-419"/>
              </w:rPr>
            </w:pPr>
            <w:r w:rsidRPr="00951AB1">
              <w:rPr>
                <w:rFonts w:eastAsia="Times New Roman" w:cs="Times New Roman"/>
                <w:b/>
                <w:bCs/>
                <w:color w:val="000000"/>
                <w:sz w:val="18"/>
                <w:szCs w:val="18"/>
                <w:lang w:val="es-419" w:eastAsia="es-419"/>
              </w:rPr>
              <w:t> </w:t>
            </w:r>
          </w:p>
        </w:tc>
        <w:tc>
          <w:tcPr>
            <w:tcW w:w="3220" w:type="dxa"/>
            <w:gridSpan w:val="2"/>
            <w:tcBorders>
              <w:top w:val="single" w:sz="4" w:space="0" w:color="A6A6A6"/>
              <w:left w:val="nil"/>
              <w:bottom w:val="single" w:sz="4" w:space="0" w:color="A6A6A6"/>
              <w:right w:val="single" w:sz="4" w:space="0" w:color="A6A6A6"/>
            </w:tcBorders>
            <w:noWrap/>
            <w:vAlign w:val="center"/>
            <w:hideMark/>
          </w:tcPr>
          <w:p w14:paraId="126A1267" w14:textId="77777777" w:rsidR="00573529" w:rsidRPr="00951AB1" w:rsidRDefault="00573529" w:rsidP="000A5389">
            <w:pPr>
              <w:spacing w:line="240" w:lineRule="auto"/>
              <w:rPr>
                <w:rFonts w:eastAsia="Times New Roman" w:cs="Times New Roman"/>
                <w:b/>
                <w:bCs/>
                <w:color w:val="000000"/>
                <w:sz w:val="18"/>
                <w:szCs w:val="18"/>
                <w:lang w:val="es-419" w:eastAsia="es-419"/>
              </w:rPr>
            </w:pPr>
            <w:r w:rsidRPr="00951AB1">
              <w:rPr>
                <w:rFonts w:eastAsia="Times New Roman" w:cs="Times New Roman"/>
                <w:b/>
                <w:bCs/>
                <w:color w:val="000000"/>
                <w:sz w:val="18"/>
                <w:szCs w:val="18"/>
                <w:lang w:val="es-419" w:eastAsia="es-419"/>
              </w:rPr>
              <w:t>GARANTIA DE PASIVOS</w:t>
            </w:r>
          </w:p>
        </w:tc>
        <w:tc>
          <w:tcPr>
            <w:tcW w:w="1418" w:type="dxa"/>
            <w:tcBorders>
              <w:top w:val="nil"/>
              <w:left w:val="nil"/>
              <w:bottom w:val="single" w:sz="4" w:space="0" w:color="A6A6A6"/>
              <w:right w:val="single" w:sz="4" w:space="0" w:color="A6A6A6"/>
            </w:tcBorders>
            <w:noWrap/>
            <w:vAlign w:val="center"/>
            <w:hideMark/>
          </w:tcPr>
          <w:p w14:paraId="0A50B058" w14:textId="77777777" w:rsidR="00573529" w:rsidRPr="00951AB1" w:rsidRDefault="00573529" w:rsidP="000A5389">
            <w:pPr>
              <w:spacing w:line="240" w:lineRule="auto"/>
              <w:jc w:val="right"/>
              <w:rPr>
                <w:rFonts w:eastAsia="Times New Roman" w:cs="Times New Roman"/>
                <w:b/>
                <w:bCs/>
                <w:color w:val="000000"/>
                <w:sz w:val="18"/>
                <w:szCs w:val="18"/>
                <w:lang w:val="es-419" w:eastAsia="es-419"/>
              </w:rPr>
            </w:pPr>
            <w:r w:rsidRPr="00951AB1">
              <w:rPr>
                <w:rFonts w:eastAsia="Times New Roman" w:cs="Times New Roman"/>
                <w:b/>
                <w:bCs/>
                <w:color w:val="000000"/>
                <w:sz w:val="18"/>
                <w:szCs w:val="18"/>
                <w:lang w:val="es-419" w:eastAsia="es-419"/>
              </w:rPr>
              <w:t xml:space="preserve">0 </w:t>
            </w:r>
          </w:p>
        </w:tc>
        <w:tc>
          <w:tcPr>
            <w:tcW w:w="1276" w:type="dxa"/>
            <w:tcBorders>
              <w:top w:val="nil"/>
              <w:left w:val="nil"/>
              <w:bottom w:val="single" w:sz="4" w:space="0" w:color="A6A6A6"/>
              <w:right w:val="single" w:sz="4" w:space="0" w:color="A6A6A6"/>
            </w:tcBorders>
            <w:noWrap/>
            <w:vAlign w:val="center"/>
            <w:hideMark/>
          </w:tcPr>
          <w:p w14:paraId="5489D8EA" w14:textId="77777777" w:rsidR="00573529" w:rsidRPr="00951AB1" w:rsidRDefault="00573529" w:rsidP="000A5389">
            <w:pPr>
              <w:spacing w:line="240" w:lineRule="auto"/>
              <w:jc w:val="right"/>
              <w:rPr>
                <w:rFonts w:eastAsia="Times New Roman" w:cs="Times New Roman"/>
                <w:b/>
                <w:bCs/>
                <w:color w:val="000000"/>
                <w:sz w:val="18"/>
                <w:szCs w:val="18"/>
                <w:lang w:val="es-419" w:eastAsia="es-419"/>
              </w:rPr>
            </w:pPr>
            <w:r w:rsidRPr="00951AB1">
              <w:rPr>
                <w:rFonts w:eastAsia="Times New Roman" w:cs="Times New Roman"/>
                <w:b/>
                <w:bCs/>
                <w:color w:val="000000"/>
                <w:sz w:val="18"/>
                <w:szCs w:val="18"/>
                <w:lang w:val="es-419" w:eastAsia="es-419"/>
              </w:rPr>
              <w:t xml:space="preserve">0 </w:t>
            </w:r>
          </w:p>
        </w:tc>
        <w:tc>
          <w:tcPr>
            <w:tcW w:w="1417" w:type="dxa"/>
            <w:tcBorders>
              <w:top w:val="nil"/>
              <w:left w:val="nil"/>
              <w:bottom w:val="single" w:sz="4" w:space="0" w:color="A6A6A6"/>
              <w:right w:val="single" w:sz="4" w:space="0" w:color="A6A6A6"/>
            </w:tcBorders>
            <w:noWrap/>
            <w:vAlign w:val="center"/>
            <w:hideMark/>
          </w:tcPr>
          <w:p w14:paraId="475364A5" w14:textId="77777777" w:rsidR="00573529" w:rsidRPr="00951AB1" w:rsidRDefault="00573529" w:rsidP="000A5389">
            <w:pPr>
              <w:spacing w:line="240" w:lineRule="auto"/>
              <w:jc w:val="right"/>
              <w:rPr>
                <w:rFonts w:eastAsia="Times New Roman" w:cs="Times New Roman"/>
                <w:b/>
                <w:bCs/>
                <w:color w:val="000000"/>
                <w:sz w:val="18"/>
                <w:szCs w:val="18"/>
                <w:lang w:val="es-419" w:eastAsia="es-419"/>
              </w:rPr>
            </w:pPr>
            <w:r w:rsidRPr="00951AB1">
              <w:rPr>
                <w:rFonts w:eastAsia="Times New Roman" w:cs="Times New Roman"/>
                <w:b/>
                <w:bCs/>
                <w:color w:val="000000"/>
                <w:sz w:val="18"/>
                <w:szCs w:val="18"/>
                <w:lang w:val="es-419" w:eastAsia="es-419"/>
              </w:rPr>
              <w:t xml:space="preserve">0 </w:t>
            </w:r>
          </w:p>
        </w:tc>
        <w:tc>
          <w:tcPr>
            <w:tcW w:w="1418" w:type="dxa"/>
            <w:tcBorders>
              <w:top w:val="nil"/>
              <w:left w:val="nil"/>
              <w:bottom w:val="single" w:sz="4" w:space="0" w:color="A6A6A6"/>
              <w:right w:val="single" w:sz="4" w:space="0" w:color="A6A6A6"/>
            </w:tcBorders>
            <w:noWrap/>
            <w:vAlign w:val="center"/>
            <w:hideMark/>
          </w:tcPr>
          <w:p w14:paraId="6548ED66" w14:textId="77777777" w:rsidR="00573529" w:rsidRPr="00951AB1" w:rsidRDefault="00573529" w:rsidP="000A5389">
            <w:pPr>
              <w:spacing w:line="240" w:lineRule="auto"/>
              <w:jc w:val="right"/>
              <w:rPr>
                <w:rFonts w:eastAsia="Times New Roman" w:cs="Times New Roman"/>
                <w:b/>
                <w:bCs/>
                <w:color w:val="000000"/>
                <w:sz w:val="18"/>
                <w:szCs w:val="18"/>
                <w:lang w:val="es-419" w:eastAsia="es-419"/>
              </w:rPr>
            </w:pPr>
            <w:r w:rsidRPr="00951AB1">
              <w:rPr>
                <w:rFonts w:eastAsia="Times New Roman" w:cs="Times New Roman"/>
                <w:b/>
                <w:bCs/>
                <w:color w:val="000000"/>
                <w:sz w:val="18"/>
                <w:szCs w:val="18"/>
                <w:lang w:val="es-419" w:eastAsia="es-419"/>
              </w:rPr>
              <w:t xml:space="preserve">0 </w:t>
            </w:r>
          </w:p>
        </w:tc>
      </w:tr>
    </w:tbl>
    <w:p w14:paraId="540A36B4" w14:textId="77777777" w:rsidR="00573529" w:rsidRPr="00951AB1" w:rsidRDefault="00573529" w:rsidP="000A5389">
      <w:pPr>
        <w:spacing w:line="240" w:lineRule="auto"/>
        <w:rPr>
          <w:rFonts w:eastAsia="Times New Roman" w:cs="Times New Roman"/>
          <w:color w:val="000000"/>
          <w:sz w:val="14"/>
          <w:szCs w:val="14"/>
          <w:lang w:eastAsia="es-CO"/>
        </w:rPr>
      </w:pPr>
      <w:r w:rsidRPr="00951AB1">
        <w:rPr>
          <w:rFonts w:cs="Times New Roman"/>
        </w:rPr>
        <w:fldChar w:fldCharType="end"/>
      </w:r>
      <w:r w:rsidRPr="00951AB1">
        <w:rPr>
          <w:rFonts w:eastAsia="Times New Roman" w:cs="Times New Roman"/>
          <w:color w:val="000000"/>
          <w:sz w:val="14"/>
          <w:szCs w:val="14"/>
          <w:lang w:eastAsia="es-CO"/>
        </w:rPr>
        <w:t>Cifras expresadas en pesos</w:t>
      </w:r>
    </w:p>
    <w:p w14:paraId="26E181B7" w14:textId="77777777" w:rsidR="00EE4426" w:rsidRPr="00951AB1" w:rsidRDefault="00EE4426" w:rsidP="000A5389">
      <w:pPr>
        <w:spacing w:line="240" w:lineRule="auto"/>
        <w:rPr>
          <w:rFonts w:eastAsia="Times New Roman" w:cs="Times New Roman"/>
          <w:color w:val="000000"/>
          <w:szCs w:val="24"/>
          <w:lang w:eastAsia="es-CO"/>
        </w:rPr>
      </w:pPr>
    </w:p>
    <w:p w14:paraId="343A19A8" w14:textId="7F462548" w:rsidR="00EE4426" w:rsidRPr="00951AB1" w:rsidRDefault="00EE4426" w:rsidP="000A5389">
      <w:pPr>
        <w:spacing w:line="240" w:lineRule="auto"/>
        <w:rPr>
          <w:rFonts w:cs="Times New Roman"/>
          <w:szCs w:val="24"/>
        </w:rPr>
      </w:pPr>
      <w:r w:rsidRPr="00951AB1">
        <w:rPr>
          <w:rFonts w:cs="Times New Roman"/>
          <w:szCs w:val="24"/>
        </w:rPr>
        <w:t>El método de amortización utilizado para los activos de uso administrativo es el método lineal, el cual se aplica de manera uniformemente en todos los periodos de vida útil del activo. La vida útil se determina en función del tiempo durante el cual</w:t>
      </w:r>
      <w:r w:rsidR="5F23F11E" w:rsidRPr="6596BF5F">
        <w:rPr>
          <w:rFonts w:cs="Times New Roman"/>
          <w:szCs w:val="24"/>
        </w:rPr>
        <w:t>,</w:t>
      </w:r>
      <w:r w:rsidRPr="00951AB1">
        <w:rPr>
          <w:rFonts w:cs="Times New Roman"/>
          <w:szCs w:val="24"/>
        </w:rPr>
        <w:t xml:space="preserve"> la entidad espera utilizar el activo.</w:t>
      </w:r>
    </w:p>
    <w:p w14:paraId="33F70325" w14:textId="77777777" w:rsidR="00EE4426" w:rsidRPr="00951AB1" w:rsidRDefault="00EE4426" w:rsidP="000A5389">
      <w:pPr>
        <w:spacing w:line="240" w:lineRule="auto"/>
        <w:rPr>
          <w:rFonts w:cs="Times New Roman"/>
          <w:szCs w:val="24"/>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862"/>
        <w:gridCol w:w="1439"/>
        <w:gridCol w:w="1527"/>
      </w:tblGrid>
      <w:tr w:rsidR="005B7FDC" w:rsidRPr="00951AB1" w14:paraId="415328FD" w14:textId="77777777" w:rsidTr="002E333D">
        <w:trPr>
          <w:trHeight w:val="200"/>
          <w:tblHeader/>
          <w:jc w:val="center"/>
        </w:trPr>
        <w:tc>
          <w:tcPr>
            <w:tcW w:w="3320" w:type="pct"/>
            <w:vAlign w:val="center"/>
          </w:tcPr>
          <w:p w14:paraId="2640765D" w14:textId="77777777" w:rsidR="00EE4426" w:rsidRPr="00951AB1" w:rsidRDefault="00EE4426" w:rsidP="000A5389">
            <w:pPr>
              <w:pStyle w:val="Default"/>
              <w:rPr>
                <w:rFonts w:ascii="Times New Roman" w:hAnsi="Times New Roman" w:cs="Times New Roman"/>
                <w:sz w:val="18"/>
                <w:szCs w:val="18"/>
              </w:rPr>
            </w:pPr>
            <w:r w:rsidRPr="00951AB1">
              <w:rPr>
                <w:rFonts w:ascii="Times New Roman" w:hAnsi="Times New Roman" w:cs="Times New Roman"/>
                <w:b/>
                <w:sz w:val="18"/>
                <w:szCs w:val="18"/>
              </w:rPr>
              <w:t>DESCRIPCIÓN DE LOS ACTIVOS INTANGIBLES</w:t>
            </w:r>
          </w:p>
        </w:tc>
        <w:tc>
          <w:tcPr>
            <w:tcW w:w="1680" w:type="pct"/>
            <w:gridSpan w:val="2"/>
            <w:vAlign w:val="center"/>
          </w:tcPr>
          <w:p w14:paraId="1209920C" w14:textId="77777777" w:rsidR="00EE4426" w:rsidRPr="00951AB1" w:rsidRDefault="00EE4426" w:rsidP="000A5389">
            <w:pPr>
              <w:pStyle w:val="Default"/>
              <w:jc w:val="center"/>
              <w:rPr>
                <w:rFonts w:ascii="Times New Roman" w:hAnsi="Times New Roman" w:cs="Times New Roman"/>
                <w:b/>
                <w:sz w:val="18"/>
                <w:szCs w:val="18"/>
              </w:rPr>
            </w:pPr>
            <w:r w:rsidRPr="00951AB1">
              <w:rPr>
                <w:rFonts w:ascii="Times New Roman" w:hAnsi="Times New Roman" w:cs="Times New Roman"/>
                <w:b/>
                <w:sz w:val="18"/>
                <w:szCs w:val="18"/>
              </w:rPr>
              <w:t>AÑOS DE VIDA ÚTIL</w:t>
            </w:r>
          </w:p>
          <w:p w14:paraId="14349C0C" w14:textId="77777777" w:rsidR="00EE4426" w:rsidRPr="00951AB1" w:rsidRDefault="00EE4426" w:rsidP="000A5389">
            <w:pPr>
              <w:pStyle w:val="Default"/>
              <w:jc w:val="center"/>
              <w:rPr>
                <w:rFonts w:ascii="Times New Roman" w:hAnsi="Times New Roman" w:cs="Times New Roman"/>
                <w:sz w:val="18"/>
                <w:szCs w:val="18"/>
              </w:rPr>
            </w:pPr>
            <w:r w:rsidRPr="00951AB1">
              <w:rPr>
                <w:rFonts w:ascii="Times New Roman" w:hAnsi="Times New Roman" w:cs="Times New Roman"/>
                <w:b/>
                <w:sz w:val="18"/>
                <w:szCs w:val="18"/>
              </w:rPr>
              <w:t>(Depreciación línea recta)</w:t>
            </w:r>
          </w:p>
        </w:tc>
      </w:tr>
      <w:tr w:rsidR="00D43BF5" w:rsidRPr="00951AB1" w14:paraId="65BE3A63" w14:textId="77777777" w:rsidTr="00EA1618">
        <w:trPr>
          <w:trHeight w:val="90"/>
          <w:jc w:val="center"/>
        </w:trPr>
        <w:tc>
          <w:tcPr>
            <w:tcW w:w="3320" w:type="pct"/>
            <w:vAlign w:val="center"/>
          </w:tcPr>
          <w:p w14:paraId="2E584754" w14:textId="77777777" w:rsidR="00EE4426" w:rsidRPr="00951AB1" w:rsidRDefault="00EE4426" w:rsidP="000A5389">
            <w:pPr>
              <w:pStyle w:val="Default"/>
              <w:rPr>
                <w:rFonts w:ascii="Times New Roman" w:hAnsi="Times New Roman" w:cs="Times New Roman"/>
                <w:sz w:val="18"/>
                <w:szCs w:val="18"/>
              </w:rPr>
            </w:pPr>
            <w:r w:rsidRPr="00951AB1">
              <w:rPr>
                <w:rFonts w:ascii="Times New Roman" w:hAnsi="Times New Roman" w:cs="Times New Roman"/>
                <w:b/>
                <w:sz w:val="18"/>
                <w:szCs w:val="18"/>
              </w:rPr>
              <w:t>CONCEPTOS</w:t>
            </w:r>
          </w:p>
        </w:tc>
        <w:tc>
          <w:tcPr>
            <w:tcW w:w="815" w:type="pct"/>
            <w:vAlign w:val="center"/>
          </w:tcPr>
          <w:p w14:paraId="0BB53E0E" w14:textId="77777777" w:rsidR="00EE4426" w:rsidRPr="00951AB1" w:rsidRDefault="00EE4426" w:rsidP="000A5389">
            <w:pPr>
              <w:pStyle w:val="Default"/>
              <w:jc w:val="center"/>
              <w:rPr>
                <w:rFonts w:ascii="Times New Roman" w:hAnsi="Times New Roman" w:cs="Times New Roman"/>
                <w:sz w:val="18"/>
                <w:szCs w:val="18"/>
              </w:rPr>
            </w:pPr>
            <w:r w:rsidRPr="00951AB1">
              <w:rPr>
                <w:rFonts w:ascii="Times New Roman" w:hAnsi="Times New Roman" w:cs="Times New Roman"/>
                <w:b/>
                <w:sz w:val="18"/>
                <w:szCs w:val="18"/>
              </w:rPr>
              <w:t>MÍNIMO</w:t>
            </w:r>
          </w:p>
        </w:tc>
        <w:tc>
          <w:tcPr>
            <w:tcW w:w="865" w:type="pct"/>
            <w:vAlign w:val="center"/>
          </w:tcPr>
          <w:p w14:paraId="431A5F13" w14:textId="77777777" w:rsidR="00EE4426" w:rsidRPr="00951AB1" w:rsidRDefault="00EE4426" w:rsidP="000A5389">
            <w:pPr>
              <w:pStyle w:val="Default"/>
              <w:jc w:val="center"/>
              <w:rPr>
                <w:rFonts w:ascii="Times New Roman" w:hAnsi="Times New Roman" w:cs="Times New Roman"/>
                <w:sz w:val="18"/>
                <w:szCs w:val="18"/>
              </w:rPr>
            </w:pPr>
            <w:r w:rsidRPr="00951AB1">
              <w:rPr>
                <w:rFonts w:ascii="Times New Roman" w:hAnsi="Times New Roman" w:cs="Times New Roman"/>
                <w:b/>
                <w:sz w:val="18"/>
                <w:szCs w:val="18"/>
              </w:rPr>
              <w:t>MÁXIMO</w:t>
            </w:r>
          </w:p>
        </w:tc>
      </w:tr>
      <w:tr w:rsidR="00D43BF5" w:rsidRPr="00951AB1" w14:paraId="39F1C9B2" w14:textId="77777777" w:rsidTr="00EA1618">
        <w:trPr>
          <w:trHeight w:val="90"/>
          <w:jc w:val="center"/>
        </w:trPr>
        <w:tc>
          <w:tcPr>
            <w:tcW w:w="3320" w:type="pct"/>
            <w:vAlign w:val="center"/>
          </w:tcPr>
          <w:p w14:paraId="4DD2C3AD" w14:textId="77777777" w:rsidR="00EE4426" w:rsidRPr="00951AB1" w:rsidRDefault="00EE4426" w:rsidP="000A5389">
            <w:pPr>
              <w:pStyle w:val="Default"/>
              <w:rPr>
                <w:rFonts w:ascii="Times New Roman" w:hAnsi="Times New Roman" w:cs="Times New Roman"/>
                <w:sz w:val="18"/>
                <w:szCs w:val="18"/>
              </w:rPr>
            </w:pPr>
            <w:r w:rsidRPr="00951AB1">
              <w:rPr>
                <w:rFonts w:ascii="Times New Roman" w:hAnsi="Times New Roman" w:cs="Times New Roman"/>
                <w:sz w:val="18"/>
                <w:szCs w:val="18"/>
              </w:rPr>
              <w:t>Software aura portal</w:t>
            </w:r>
          </w:p>
        </w:tc>
        <w:tc>
          <w:tcPr>
            <w:tcW w:w="815" w:type="pct"/>
            <w:vAlign w:val="center"/>
          </w:tcPr>
          <w:p w14:paraId="29A9AA47" w14:textId="77777777" w:rsidR="00EE4426" w:rsidRPr="00951AB1" w:rsidRDefault="00EE4426" w:rsidP="000A5389">
            <w:pPr>
              <w:pStyle w:val="Default"/>
              <w:jc w:val="center"/>
              <w:rPr>
                <w:rFonts w:ascii="Times New Roman" w:hAnsi="Times New Roman" w:cs="Times New Roman"/>
                <w:sz w:val="18"/>
                <w:szCs w:val="18"/>
              </w:rPr>
            </w:pPr>
            <w:r w:rsidRPr="00951AB1">
              <w:rPr>
                <w:rFonts w:ascii="Times New Roman" w:hAnsi="Times New Roman" w:cs="Times New Roman"/>
                <w:sz w:val="18"/>
                <w:szCs w:val="18"/>
              </w:rPr>
              <w:t>1</w:t>
            </w:r>
          </w:p>
        </w:tc>
        <w:tc>
          <w:tcPr>
            <w:tcW w:w="865" w:type="pct"/>
            <w:vAlign w:val="center"/>
          </w:tcPr>
          <w:p w14:paraId="6CF624E1" w14:textId="77777777" w:rsidR="00EE4426" w:rsidRPr="00951AB1" w:rsidRDefault="00EE4426" w:rsidP="000A5389">
            <w:pPr>
              <w:pStyle w:val="Default"/>
              <w:jc w:val="center"/>
              <w:rPr>
                <w:rFonts w:ascii="Times New Roman" w:hAnsi="Times New Roman" w:cs="Times New Roman"/>
                <w:sz w:val="18"/>
                <w:szCs w:val="18"/>
              </w:rPr>
            </w:pPr>
            <w:r w:rsidRPr="00951AB1">
              <w:rPr>
                <w:rFonts w:ascii="Times New Roman" w:hAnsi="Times New Roman" w:cs="Times New Roman"/>
                <w:sz w:val="18"/>
                <w:szCs w:val="18"/>
              </w:rPr>
              <w:t>5</w:t>
            </w:r>
          </w:p>
        </w:tc>
      </w:tr>
      <w:tr w:rsidR="00D43BF5" w:rsidRPr="00951AB1" w14:paraId="02DCD897" w14:textId="77777777" w:rsidTr="00EA1618">
        <w:trPr>
          <w:trHeight w:val="90"/>
          <w:jc w:val="center"/>
        </w:trPr>
        <w:tc>
          <w:tcPr>
            <w:tcW w:w="3320" w:type="pct"/>
            <w:vAlign w:val="center"/>
          </w:tcPr>
          <w:p w14:paraId="0BD3722E" w14:textId="77777777" w:rsidR="00EE4426" w:rsidRPr="00951AB1" w:rsidRDefault="00EE4426" w:rsidP="000A5389">
            <w:pPr>
              <w:pStyle w:val="Default"/>
              <w:rPr>
                <w:rFonts w:ascii="Times New Roman" w:hAnsi="Times New Roman" w:cs="Times New Roman"/>
                <w:sz w:val="18"/>
                <w:szCs w:val="18"/>
              </w:rPr>
            </w:pPr>
            <w:r w:rsidRPr="00951AB1">
              <w:rPr>
                <w:rFonts w:ascii="Times New Roman" w:hAnsi="Times New Roman" w:cs="Times New Roman"/>
                <w:sz w:val="18"/>
                <w:szCs w:val="18"/>
              </w:rPr>
              <w:t>Licencias</w:t>
            </w:r>
          </w:p>
        </w:tc>
        <w:tc>
          <w:tcPr>
            <w:tcW w:w="815" w:type="pct"/>
            <w:vAlign w:val="center"/>
          </w:tcPr>
          <w:p w14:paraId="49D0113F" w14:textId="77777777" w:rsidR="00EE4426" w:rsidRPr="00951AB1" w:rsidRDefault="00EE4426" w:rsidP="000A5389">
            <w:pPr>
              <w:pStyle w:val="Default"/>
              <w:jc w:val="center"/>
              <w:rPr>
                <w:rFonts w:ascii="Times New Roman" w:hAnsi="Times New Roman" w:cs="Times New Roman"/>
                <w:sz w:val="18"/>
                <w:szCs w:val="18"/>
              </w:rPr>
            </w:pPr>
            <w:r w:rsidRPr="00951AB1">
              <w:rPr>
                <w:rFonts w:ascii="Times New Roman" w:hAnsi="Times New Roman" w:cs="Times New Roman"/>
                <w:sz w:val="18"/>
                <w:szCs w:val="18"/>
              </w:rPr>
              <w:t>1</w:t>
            </w:r>
          </w:p>
        </w:tc>
        <w:tc>
          <w:tcPr>
            <w:tcW w:w="865" w:type="pct"/>
            <w:vAlign w:val="center"/>
          </w:tcPr>
          <w:p w14:paraId="4E32831D" w14:textId="77777777" w:rsidR="00EE4426" w:rsidRPr="00951AB1" w:rsidRDefault="00EE4426" w:rsidP="000A5389">
            <w:pPr>
              <w:pStyle w:val="Default"/>
              <w:jc w:val="center"/>
              <w:rPr>
                <w:rFonts w:ascii="Times New Roman" w:hAnsi="Times New Roman" w:cs="Times New Roman"/>
                <w:sz w:val="18"/>
                <w:szCs w:val="18"/>
              </w:rPr>
            </w:pPr>
            <w:r w:rsidRPr="00951AB1">
              <w:rPr>
                <w:rFonts w:ascii="Times New Roman" w:hAnsi="Times New Roman" w:cs="Times New Roman"/>
                <w:sz w:val="18"/>
                <w:szCs w:val="18"/>
              </w:rPr>
              <w:t>1</w:t>
            </w:r>
          </w:p>
        </w:tc>
      </w:tr>
    </w:tbl>
    <w:p w14:paraId="6D6DBF4B" w14:textId="77777777" w:rsidR="00EE4426" w:rsidRPr="00951AB1" w:rsidRDefault="00EE4426" w:rsidP="000A5389">
      <w:pPr>
        <w:spacing w:line="240" w:lineRule="auto"/>
        <w:rPr>
          <w:rFonts w:cs="Times New Roman"/>
          <w:sz w:val="16"/>
          <w:szCs w:val="16"/>
        </w:rPr>
      </w:pPr>
    </w:p>
    <w:p w14:paraId="2650810F" w14:textId="77777777" w:rsidR="00EE4426" w:rsidRPr="00951AB1" w:rsidRDefault="00EE4426" w:rsidP="000A5389">
      <w:pPr>
        <w:spacing w:line="240" w:lineRule="auto"/>
        <w:rPr>
          <w:rFonts w:cs="Times New Roman"/>
          <w:szCs w:val="24"/>
        </w:rPr>
      </w:pPr>
      <w:r w:rsidRPr="00951AB1">
        <w:rPr>
          <w:rFonts w:cs="Times New Roman"/>
          <w:szCs w:val="24"/>
        </w:rPr>
        <w:t>No se presentaron cambios en la estimación de la vida útil durante el período, ni de los métodos de amortización; además, teniendo en cuenta las condiciones económicas y el comportamiento histórico de renovación de los intangibles de la entidad, el valor residual es igual a cero ($0).</w:t>
      </w:r>
    </w:p>
    <w:p w14:paraId="7973DAB6" w14:textId="77777777" w:rsidR="00B36494" w:rsidRPr="00951AB1" w:rsidRDefault="00B36494" w:rsidP="000A5389">
      <w:pPr>
        <w:spacing w:line="240" w:lineRule="auto"/>
        <w:rPr>
          <w:rFonts w:cs="Times New Roman"/>
          <w:szCs w:val="24"/>
        </w:rPr>
      </w:pPr>
    </w:p>
    <w:p w14:paraId="6C9A7625" w14:textId="77777777" w:rsidR="00B36494" w:rsidRPr="00951AB1" w:rsidRDefault="00B36494" w:rsidP="000A5389">
      <w:pPr>
        <w:spacing w:line="240" w:lineRule="auto"/>
        <w:rPr>
          <w:rFonts w:cs="Times New Roman"/>
          <w:szCs w:val="24"/>
        </w:rPr>
      </w:pPr>
      <w:r w:rsidRPr="00951AB1">
        <w:rPr>
          <w:rFonts w:cs="Times New Roman"/>
          <w:szCs w:val="24"/>
          <w:u w:val="single"/>
        </w:rPr>
        <w:t>En cuanto a la amortización de los activos intangibles asociados a los acuerdos de concesión</w:t>
      </w:r>
      <w:r w:rsidRPr="00951AB1">
        <w:rPr>
          <w:rFonts w:cs="Times New Roman"/>
          <w:szCs w:val="24"/>
        </w:rPr>
        <w:t xml:space="preserve"> de los modos de transporte carretero y portuario, la Agencia está adelantando los análisis y estudios respectivos para determinar las vidas económicas y útiles de dichos activos, actividad que se encuentran dentro de los términos establecidos en el plan de trabajo suscrito con la Contaduría General de la Nación en cumplimiento al plazo otorgado en el Artículo 7°- transitorio de la Resolución No. 602 de 2018, modificada por la Resolución CGN No. 443 de 2024.</w:t>
      </w:r>
    </w:p>
    <w:p w14:paraId="7CB3575C" w14:textId="77777777" w:rsidR="00B36494" w:rsidRPr="00951AB1" w:rsidRDefault="00B36494" w:rsidP="000A5389">
      <w:pPr>
        <w:spacing w:line="240" w:lineRule="auto"/>
        <w:rPr>
          <w:rFonts w:cs="Times New Roman"/>
          <w:szCs w:val="24"/>
        </w:rPr>
      </w:pPr>
    </w:p>
    <w:p w14:paraId="072B503F" w14:textId="77777777" w:rsidR="00B36494" w:rsidRPr="00951AB1" w:rsidRDefault="00B36494" w:rsidP="000A5389">
      <w:pPr>
        <w:spacing w:line="240" w:lineRule="auto"/>
        <w:rPr>
          <w:rFonts w:cs="Times New Roman"/>
          <w:szCs w:val="24"/>
        </w:rPr>
      </w:pPr>
      <w:r w:rsidRPr="00951AB1">
        <w:rPr>
          <w:rFonts w:cs="Times New Roman"/>
          <w:szCs w:val="24"/>
        </w:rPr>
        <w:t xml:space="preserve">Sin embargo, al cierre del periodo se aplicaron las evaluaciones (Test) de indicios de deterioro de valor de los activos no generadores de efectivo asociados a los acuerdos de concesión, los cuales no arrojaron indicios que debieran ser reconocidos en los estados financieros. </w:t>
      </w:r>
    </w:p>
    <w:p w14:paraId="64292265" w14:textId="0442C7C4" w:rsidR="5B0C84B6" w:rsidRDefault="5B0C84B6" w:rsidP="000A5389">
      <w:pPr>
        <w:spacing w:line="240" w:lineRule="auto"/>
        <w:rPr>
          <w:rFonts w:cs="Times New Roman"/>
          <w:szCs w:val="24"/>
        </w:rPr>
      </w:pPr>
    </w:p>
    <w:p w14:paraId="08C30C1D" w14:textId="14D59272" w:rsidR="00573529" w:rsidRPr="00951AB1" w:rsidRDefault="00573529" w:rsidP="000A5389">
      <w:pPr>
        <w:spacing w:line="240" w:lineRule="auto"/>
        <w:rPr>
          <w:rFonts w:eastAsia="Times New Roman" w:cs="Times New Roman"/>
          <w:szCs w:val="24"/>
          <w:lang w:eastAsia="es-CO"/>
        </w:rPr>
      </w:pPr>
      <w:r w:rsidRPr="00951AB1">
        <w:rPr>
          <w:rFonts w:cs="Times New Roman"/>
          <w:szCs w:val="24"/>
        </w:rPr>
        <w:t>La amortización registrada en “Activos intangibles en concesión”, corresponde a la red férrea, los cuales presentan un saldo acumulado de $76.870.107.804</w:t>
      </w:r>
      <w:r w:rsidRPr="00951AB1">
        <w:rPr>
          <w:rFonts w:eastAsia="Times New Roman" w:cs="Times New Roman"/>
          <w:szCs w:val="24"/>
          <w:lang w:eastAsia="es-CO"/>
        </w:rPr>
        <w:t xml:space="preserve"> afectando el gasto de la vigencia por valor de $2.232.005.805, por la actualización de la Red Férrea del Atlántico, Formatos GCSP-F-288 y GCSP-F-289.</w:t>
      </w:r>
    </w:p>
    <w:p w14:paraId="3DB46577" w14:textId="77777777" w:rsidR="00B36494" w:rsidRPr="00951AB1" w:rsidRDefault="00B36494" w:rsidP="000A5389">
      <w:pPr>
        <w:spacing w:line="240" w:lineRule="auto"/>
        <w:rPr>
          <w:rFonts w:eastAsia="Times New Roman" w:cs="Times New Roman"/>
          <w:szCs w:val="24"/>
          <w:lang w:eastAsia="es-CO"/>
        </w:rPr>
      </w:pPr>
    </w:p>
    <w:p w14:paraId="02B5F19B" w14:textId="7F836D0F" w:rsidR="00447BAC" w:rsidRPr="00447BAC" w:rsidRDefault="00B36494" w:rsidP="000A5389">
      <w:pPr>
        <w:spacing w:line="240" w:lineRule="auto"/>
        <w:rPr>
          <w:rFonts w:cs="Times New Roman"/>
          <w:szCs w:val="24"/>
        </w:rPr>
      </w:pPr>
      <w:r w:rsidRPr="00951AB1">
        <w:rPr>
          <w:rFonts w:cs="Times New Roman"/>
          <w:szCs w:val="24"/>
        </w:rPr>
        <w:t>Las vidas útiles y los métodos de amortización utilizados, corresponden a los descritos en la “</w:t>
      </w:r>
      <w:r w:rsidRPr="00951AB1">
        <w:rPr>
          <w:rFonts w:cs="Times New Roman"/>
          <w:i/>
          <w:iCs/>
          <w:szCs w:val="24"/>
        </w:rPr>
        <w:t>Metodología para la obtención de la información de bienes de uso público y propiedad planta y equipo en el modo férreo según el Nuevo Marco Normativo para entidades de Gobierno</w:t>
      </w:r>
      <w:r w:rsidRPr="00951AB1">
        <w:rPr>
          <w:rFonts w:cs="Times New Roman"/>
          <w:szCs w:val="24"/>
        </w:rPr>
        <w:t xml:space="preserve">”. </w:t>
      </w:r>
    </w:p>
    <w:p w14:paraId="1C1BC450" w14:textId="77777777" w:rsidR="00B36494" w:rsidRDefault="00B36494" w:rsidP="000A5389">
      <w:pPr>
        <w:spacing w:line="240" w:lineRule="auto"/>
        <w:rPr>
          <w:rFonts w:cs="Times New Roman"/>
          <w:b/>
          <w:szCs w:val="24"/>
        </w:rPr>
      </w:pPr>
    </w:p>
    <w:p w14:paraId="71DD8603" w14:textId="77777777" w:rsidR="00FE1E23" w:rsidRDefault="00FE1E23" w:rsidP="000A5389">
      <w:pPr>
        <w:spacing w:line="240" w:lineRule="auto"/>
        <w:rPr>
          <w:rFonts w:cs="Times New Roman"/>
          <w:b/>
          <w:szCs w:val="24"/>
        </w:rPr>
      </w:pPr>
    </w:p>
    <w:p w14:paraId="5B536722" w14:textId="77777777" w:rsidR="00FE1E23" w:rsidRDefault="00FE1E23" w:rsidP="000A5389">
      <w:pPr>
        <w:spacing w:line="240" w:lineRule="auto"/>
        <w:rPr>
          <w:rFonts w:cs="Times New Roman"/>
          <w:b/>
          <w:szCs w:val="24"/>
        </w:rPr>
      </w:pPr>
    </w:p>
    <w:p w14:paraId="386FABE3" w14:textId="77777777" w:rsidR="00FE1E23" w:rsidRDefault="00FE1E23" w:rsidP="000A5389">
      <w:pPr>
        <w:spacing w:line="240" w:lineRule="auto"/>
        <w:rPr>
          <w:rFonts w:cs="Times New Roman"/>
          <w:b/>
          <w:szCs w:val="24"/>
        </w:rPr>
      </w:pPr>
    </w:p>
    <w:p w14:paraId="21C5C631" w14:textId="77777777" w:rsidR="00FE1E23" w:rsidRDefault="00FE1E23" w:rsidP="000A5389">
      <w:pPr>
        <w:spacing w:line="240" w:lineRule="auto"/>
        <w:rPr>
          <w:rFonts w:cs="Times New Roman"/>
          <w:b/>
          <w:szCs w:val="24"/>
        </w:rPr>
      </w:pPr>
    </w:p>
    <w:p w14:paraId="2591ED82" w14:textId="77777777" w:rsidR="00FE1E23" w:rsidRPr="00951AB1" w:rsidRDefault="00FE1E23" w:rsidP="000A5389">
      <w:pPr>
        <w:spacing w:line="240" w:lineRule="auto"/>
        <w:rPr>
          <w:rFonts w:cs="Times New Roman"/>
          <w:b/>
          <w:szCs w:val="24"/>
        </w:rPr>
      </w:pPr>
    </w:p>
    <w:p w14:paraId="5B116F97" w14:textId="77777777" w:rsidR="00142958" w:rsidRPr="00951AB1" w:rsidRDefault="00142958" w:rsidP="000A5389">
      <w:pPr>
        <w:pStyle w:val="Ttulo1"/>
        <w:spacing w:line="240" w:lineRule="auto"/>
        <w:rPr>
          <w:rFonts w:cs="Times New Roman"/>
          <w:sz w:val="24"/>
          <w:szCs w:val="24"/>
        </w:rPr>
      </w:pPr>
      <w:bookmarkStart w:id="425" w:name="_Toc191369523"/>
      <w:bookmarkStart w:id="426" w:name="_Toc191456853"/>
      <w:bookmarkStart w:id="427" w:name="_Toc191456963"/>
      <w:bookmarkStart w:id="428" w:name="_Toc191457073"/>
      <w:bookmarkStart w:id="429" w:name="_Toc191475700"/>
      <w:bookmarkStart w:id="430" w:name="_Toc191475809"/>
      <w:bookmarkStart w:id="431" w:name="_Toc191475918"/>
      <w:bookmarkStart w:id="432" w:name="_Toc191475441"/>
      <w:bookmarkStart w:id="433" w:name="_Toc191505817"/>
      <w:bookmarkStart w:id="434" w:name="_Toc222824129"/>
      <w:bookmarkStart w:id="435" w:name="_Toc222955496"/>
      <w:r w:rsidRPr="00951AB1">
        <w:rPr>
          <w:rFonts w:cs="Times New Roman"/>
          <w:sz w:val="24"/>
          <w:szCs w:val="24"/>
        </w:rPr>
        <w:lastRenderedPageBreak/>
        <w:t>NOTA 16. OTROS DERECHOS Y GARANTÍAS</w:t>
      </w:r>
      <w:bookmarkEnd w:id="425"/>
      <w:bookmarkEnd w:id="426"/>
      <w:bookmarkEnd w:id="427"/>
      <w:bookmarkEnd w:id="428"/>
      <w:bookmarkEnd w:id="429"/>
      <w:bookmarkEnd w:id="430"/>
      <w:bookmarkEnd w:id="431"/>
      <w:bookmarkEnd w:id="432"/>
      <w:bookmarkEnd w:id="433"/>
      <w:bookmarkEnd w:id="434"/>
      <w:bookmarkEnd w:id="435"/>
    </w:p>
    <w:p w14:paraId="46F2D107" w14:textId="77777777" w:rsidR="00142958" w:rsidRPr="00951AB1" w:rsidRDefault="00142958" w:rsidP="000A5389">
      <w:pPr>
        <w:spacing w:line="240" w:lineRule="auto"/>
        <w:rPr>
          <w:rFonts w:cs="Times New Roman"/>
          <w:b/>
          <w:szCs w:val="24"/>
        </w:rPr>
      </w:pPr>
    </w:p>
    <w:p w14:paraId="6C49E18B" w14:textId="77777777" w:rsidR="00AE62BD" w:rsidRPr="00951AB1" w:rsidRDefault="00142958" w:rsidP="000A5389">
      <w:pPr>
        <w:pStyle w:val="Ttulo2"/>
        <w:numPr>
          <w:ilvl w:val="0"/>
          <w:numId w:val="0"/>
        </w:numPr>
        <w:spacing w:line="240" w:lineRule="auto"/>
        <w:ind w:left="360" w:hanging="360"/>
        <w:rPr>
          <w:rFonts w:cs="Times New Roman"/>
        </w:rPr>
      </w:pPr>
      <w:bookmarkStart w:id="436" w:name="_Toc191369524"/>
      <w:bookmarkStart w:id="437" w:name="_Toc191456854"/>
      <w:bookmarkStart w:id="438" w:name="_Toc191456964"/>
      <w:bookmarkStart w:id="439" w:name="_Toc191457074"/>
      <w:bookmarkStart w:id="440" w:name="_Toc191475701"/>
      <w:bookmarkStart w:id="441" w:name="_Toc191475810"/>
      <w:bookmarkStart w:id="442" w:name="_Toc191475919"/>
      <w:bookmarkStart w:id="443" w:name="_Toc191475442"/>
      <w:bookmarkStart w:id="444" w:name="_Toc191505818"/>
      <w:bookmarkStart w:id="445" w:name="_Toc222824130"/>
      <w:bookmarkStart w:id="446" w:name="_Toc222955497"/>
      <w:r w:rsidRPr="00951AB1">
        <w:rPr>
          <w:rFonts w:cs="Times New Roman"/>
        </w:rPr>
        <w:t>Composición</w:t>
      </w:r>
      <w:bookmarkEnd w:id="436"/>
      <w:bookmarkEnd w:id="437"/>
      <w:bookmarkEnd w:id="438"/>
      <w:bookmarkEnd w:id="439"/>
      <w:bookmarkEnd w:id="440"/>
      <w:bookmarkEnd w:id="441"/>
      <w:bookmarkEnd w:id="442"/>
      <w:bookmarkEnd w:id="443"/>
      <w:bookmarkEnd w:id="444"/>
      <w:bookmarkEnd w:id="445"/>
      <w:bookmarkEnd w:id="446"/>
    </w:p>
    <w:tbl>
      <w:tblPr>
        <w:tblW w:w="5000" w:type="pct"/>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CellMar>
          <w:left w:w="70" w:type="dxa"/>
          <w:right w:w="70" w:type="dxa"/>
        </w:tblCellMar>
        <w:tblLook w:val="04A0" w:firstRow="1" w:lastRow="0" w:firstColumn="1" w:lastColumn="0" w:noHBand="0" w:noVBand="1"/>
      </w:tblPr>
      <w:tblGrid>
        <w:gridCol w:w="590"/>
        <w:gridCol w:w="362"/>
        <w:gridCol w:w="3166"/>
        <w:gridCol w:w="1580"/>
        <w:gridCol w:w="1580"/>
        <w:gridCol w:w="1550"/>
      </w:tblGrid>
      <w:tr w:rsidR="00502776" w:rsidRPr="00951AB1" w14:paraId="53642FFF" w14:textId="77777777" w:rsidTr="00502776">
        <w:trPr>
          <w:trHeight w:val="420"/>
          <w:tblHeader/>
        </w:trPr>
        <w:tc>
          <w:tcPr>
            <w:tcW w:w="2332" w:type="pct"/>
            <w:gridSpan w:val="3"/>
            <w:noWrap/>
            <w:vAlign w:val="center"/>
          </w:tcPr>
          <w:p w14:paraId="6BB153FD" w14:textId="53A2C5F8" w:rsidR="00502776" w:rsidRPr="00951AB1" w:rsidRDefault="008B35C9" w:rsidP="000A5389">
            <w:pPr>
              <w:spacing w:line="240" w:lineRule="auto"/>
              <w:jc w:val="center"/>
              <w:rPr>
                <w:rFonts w:eastAsia="Times New Roman" w:cs="Times New Roman"/>
                <w:b/>
                <w:bCs/>
                <w:kern w:val="0"/>
                <w:sz w:val="18"/>
                <w:szCs w:val="18"/>
                <w:lang w:eastAsia="es-CO"/>
                <w14:ligatures w14:val="none"/>
              </w:rPr>
            </w:pPr>
            <w:r w:rsidRPr="00951AB1">
              <w:rPr>
                <w:rFonts w:cs="Times New Roman"/>
              </w:rPr>
              <w:tab/>
            </w:r>
            <w:r w:rsidR="00502776" w:rsidRPr="00951AB1">
              <w:rPr>
                <w:rFonts w:eastAsia="Times New Roman" w:cs="Times New Roman"/>
                <w:b/>
                <w:bCs/>
                <w:kern w:val="0"/>
                <w:sz w:val="18"/>
                <w:szCs w:val="18"/>
                <w:lang w:eastAsia="es-CO"/>
                <w14:ligatures w14:val="none"/>
              </w:rPr>
              <w:t>CONCEPTO</w:t>
            </w:r>
          </w:p>
        </w:tc>
        <w:tc>
          <w:tcPr>
            <w:tcW w:w="895" w:type="pct"/>
            <w:vAlign w:val="center"/>
            <w:hideMark/>
          </w:tcPr>
          <w:p w14:paraId="0CF00A13" w14:textId="77777777" w:rsidR="00502776" w:rsidRPr="00951AB1" w:rsidRDefault="00502776" w:rsidP="000A5389">
            <w:pPr>
              <w:spacing w:line="240" w:lineRule="auto"/>
              <w:jc w:val="center"/>
              <w:rPr>
                <w:rFonts w:eastAsia="Times New Roman" w:cs="Times New Roman"/>
                <w:b/>
                <w:bCs/>
                <w:kern w:val="0"/>
                <w:sz w:val="18"/>
                <w:szCs w:val="18"/>
                <w:lang w:eastAsia="es-CO"/>
                <w14:ligatures w14:val="none"/>
              </w:rPr>
            </w:pPr>
            <w:r w:rsidRPr="00951AB1">
              <w:rPr>
                <w:rFonts w:eastAsia="Times New Roman" w:cs="Times New Roman"/>
                <w:b/>
                <w:bCs/>
                <w:kern w:val="0"/>
                <w:sz w:val="18"/>
                <w:szCs w:val="18"/>
                <w:lang w:eastAsia="es-CO"/>
                <w14:ligatures w14:val="none"/>
              </w:rPr>
              <w:t xml:space="preserve">2025 </w:t>
            </w:r>
          </w:p>
        </w:tc>
        <w:tc>
          <w:tcPr>
            <w:tcW w:w="895" w:type="pct"/>
            <w:vAlign w:val="center"/>
            <w:hideMark/>
          </w:tcPr>
          <w:p w14:paraId="6FBF2370" w14:textId="77777777" w:rsidR="00502776" w:rsidRPr="00951AB1" w:rsidRDefault="00502776" w:rsidP="000A5389">
            <w:pPr>
              <w:spacing w:line="240" w:lineRule="auto"/>
              <w:jc w:val="center"/>
              <w:rPr>
                <w:rFonts w:eastAsia="Times New Roman" w:cs="Times New Roman"/>
                <w:b/>
                <w:bCs/>
                <w:kern w:val="0"/>
                <w:sz w:val="18"/>
                <w:szCs w:val="18"/>
                <w:lang w:eastAsia="es-CO"/>
                <w14:ligatures w14:val="none"/>
              </w:rPr>
            </w:pPr>
            <w:r w:rsidRPr="00951AB1">
              <w:rPr>
                <w:rFonts w:eastAsia="Times New Roman" w:cs="Times New Roman"/>
                <w:b/>
                <w:bCs/>
                <w:kern w:val="0"/>
                <w:sz w:val="18"/>
                <w:szCs w:val="18"/>
                <w:lang w:eastAsia="es-CO"/>
                <w14:ligatures w14:val="none"/>
              </w:rPr>
              <w:t xml:space="preserve">2024 </w:t>
            </w:r>
          </w:p>
        </w:tc>
        <w:tc>
          <w:tcPr>
            <w:tcW w:w="878" w:type="pct"/>
            <w:vAlign w:val="center"/>
            <w:hideMark/>
          </w:tcPr>
          <w:p w14:paraId="12BF63CB" w14:textId="77777777" w:rsidR="00502776" w:rsidRPr="00951AB1" w:rsidRDefault="00502776" w:rsidP="000A5389">
            <w:pPr>
              <w:spacing w:line="240" w:lineRule="auto"/>
              <w:jc w:val="center"/>
              <w:rPr>
                <w:rFonts w:eastAsia="Times New Roman" w:cs="Times New Roman"/>
                <w:b/>
                <w:bCs/>
                <w:kern w:val="0"/>
                <w:sz w:val="18"/>
                <w:szCs w:val="18"/>
                <w:lang w:eastAsia="es-CO"/>
                <w14:ligatures w14:val="none"/>
              </w:rPr>
            </w:pPr>
            <w:r w:rsidRPr="00951AB1">
              <w:rPr>
                <w:rFonts w:eastAsia="Times New Roman" w:cs="Times New Roman"/>
                <w:b/>
                <w:bCs/>
                <w:kern w:val="0"/>
                <w:sz w:val="18"/>
                <w:szCs w:val="18"/>
                <w:lang w:eastAsia="es-CO"/>
                <w14:ligatures w14:val="none"/>
              </w:rPr>
              <w:t>VARIACIÓN</w:t>
            </w:r>
          </w:p>
        </w:tc>
      </w:tr>
      <w:tr w:rsidR="0000150B" w:rsidRPr="00951AB1" w14:paraId="2E91F4B5" w14:textId="77777777" w:rsidTr="004F1E4A">
        <w:trPr>
          <w:trHeight w:val="285"/>
          <w:tblHeader/>
        </w:trPr>
        <w:tc>
          <w:tcPr>
            <w:tcW w:w="334" w:type="pct"/>
            <w:noWrap/>
            <w:vAlign w:val="center"/>
            <w:hideMark/>
          </w:tcPr>
          <w:p w14:paraId="45922DE4" w14:textId="69E3BE07" w:rsidR="0000150B" w:rsidRPr="00951AB1" w:rsidRDefault="0000150B" w:rsidP="000A5389">
            <w:pPr>
              <w:spacing w:line="240" w:lineRule="auto"/>
              <w:rPr>
                <w:rFonts w:eastAsia="Times New Roman" w:cs="Times New Roman"/>
                <w:b/>
                <w:bCs/>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CÓD</w:t>
            </w:r>
          </w:p>
        </w:tc>
        <w:tc>
          <w:tcPr>
            <w:tcW w:w="1998" w:type="pct"/>
            <w:gridSpan w:val="2"/>
            <w:noWrap/>
            <w:vAlign w:val="center"/>
            <w:hideMark/>
          </w:tcPr>
          <w:p w14:paraId="1404F878" w14:textId="77777777" w:rsidR="0000150B" w:rsidRPr="00951AB1" w:rsidRDefault="0000150B" w:rsidP="000A5389">
            <w:pPr>
              <w:spacing w:line="240" w:lineRule="auto"/>
              <w:rPr>
                <w:rFonts w:eastAsia="Times New Roman" w:cs="Times New Roman"/>
                <w:b/>
                <w:bCs/>
                <w:kern w:val="0"/>
                <w:sz w:val="18"/>
                <w:szCs w:val="18"/>
                <w:lang w:eastAsia="es-CO"/>
                <w14:ligatures w14:val="none"/>
              </w:rPr>
            </w:pPr>
            <w:r w:rsidRPr="00951AB1">
              <w:rPr>
                <w:rFonts w:eastAsia="Times New Roman" w:cs="Times New Roman"/>
                <w:b/>
                <w:bCs/>
                <w:kern w:val="0"/>
                <w:sz w:val="18"/>
                <w:szCs w:val="18"/>
                <w:lang w:eastAsia="es-CO"/>
                <w14:ligatures w14:val="none"/>
              </w:rPr>
              <w:t>OTROS DERECHOS Y GARANTÍAS</w:t>
            </w:r>
          </w:p>
        </w:tc>
        <w:tc>
          <w:tcPr>
            <w:tcW w:w="895" w:type="pct"/>
            <w:noWrap/>
            <w:vAlign w:val="center"/>
            <w:hideMark/>
          </w:tcPr>
          <w:p w14:paraId="1DBCC92B" w14:textId="77777777" w:rsidR="0000150B" w:rsidRPr="00951AB1" w:rsidRDefault="0000150B" w:rsidP="000A5389">
            <w:pPr>
              <w:spacing w:line="240" w:lineRule="auto"/>
              <w:jc w:val="right"/>
              <w:rPr>
                <w:rFonts w:eastAsia="Times New Roman" w:cs="Times New Roman"/>
                <w:b/>
                <w:bCs/>
                <w:kern w:val="0"/>
                <w:sz w:val="18"/>
                <w:szCs w:val="18"/>
                <w:lang w:eastAsia="es-CO"/>
                <w14:ligatures w14:val="none"/>
              </w:rPr>
            </w:pPr>
            <w:r w:rsidRPr="00951AB1">
              <w:rPr>
                <w:rFonts w:eastAsia="Times New Roman" w:cs="Times New Roman"/>
                <w:b/>
                <w:bCs/>
                <w:kern w:val="0"/>
                <w:sz w:val="18"/>
                <w:szCs w:val="18"/>
                <w:lang w:eastAsia="es-CO"/>
                <w14:ligatures w14:val="none"/>
              </w:rPr>
              <w:t>16.701.724.607.140</w:t>
            </w:r>
          </w:p>
        </w:tc>
        <w:tc>
          <w:tcPr>
            <w:tcW w:w="895" w:type="pct"/>
            <w:noWrap/>
            <w:vAlign w:val="center"/>
            <w:hideMark/>
          </w:tcPr>
          <w:p w14:paraId="6E7E4B96" w14:textId="77777777" w:rsidR="0000150B" w:rsidRPr="00951AB1" w:rsidRDefault="0000150B" w:rsidP="000A5389">
            <w:pPr>
              <w:spacing w:line="240" w:lineRule="auto"/>
              <w:jc w:val="right"/>
              <w:rPr>
                <w:rFonts w:eastAsia="Times New Roman" w:cs="Times New Roman"/>
                <w:b/>
                <w:bCs/>
                <w:kern w:val="0"/>
                <w:sz w:val="18"/>
                <w:szCs w:val="18"/>
                <w:lang w:eastAsia="es-CO"/>
                <w14:ligatures w14:val="none"/>
              </w:rPr>
            </w:pPr>
            <w:r w:rsidRPr="00951AB1">
              <w:rPr>
                <w:rFonts w:eastAsia="Times New Roman" w:cs="Times New Roman"/>
                <w:b/>
                <w:bCs/>
                <w:kern w:val="0"/>
                <w:sz w:val="18"/>
                <w:szCs w:val="18"/>
                <w:lang w:eastAsia="es-CO"/>
                <w14:ligatures w14:val="none"/>
              </w:rPr>
              <w:t>21.026.694.153.190</w:t>
            </w:r>
          </w:p>
        </w:tc>
        <w:tc>
          <w:tcPr>
            <w:tcW w:w="878" w:type="pct"/>
            <w:noWrap/>
            <w:vAlign w:val="center"/>
            <w:hideMark/>
          </w:tcPr>
          <w:p w14:paraId="7E26B8F1" w14:textId="77777777" w:rsidR="0000150B" w:rsidRPr="00951AB1" w:rsidRDefault="0000150B" w:rsidP="000A5389">
            <w:pPr>
              <w:spacing w:line="240" w:lineRule="auto"/>
              <w:jc w:val="right"/>
              <w:rPr>
                <w:rFonts w:eastAsia="Times New Roman" w:cs="Times New Roman"/>
                <w:b/>
                <w:bCs/>
                <w:kern w:val="0"/>
                <w:sz w:val="18"/>
                <w:szCs w:val="18"/>
                <w:lang w:eastAsia="es-CO"/>
                <w14:ligatures w14:val="none"/>
              </w:rPr>
            </w:pPr>
            <w:r w:rsidRPr="00951AB1">
              <w:rPr>
                <w:rFonts w:eastAsia="Times New Roman" w:cs="Times New Roman"/>
                <w:b/>
                <w:bCs/>
                <w:kern w:val="0"/>
                <w:sz w:val="18"/>
                <w:szCs w:val="18"/>
                <w:lang w:eastAsia="es-CO"/>
                <w14:ligatures w14:val="none"/>
              </w:rPr>
              <w:t>-4.324.969.546.049</w:t>
            </w:r>
          </w:p>
        </w:tc>
      </w:tr>
      <w:tr w:rsidR="0000150B" w:rsidRPr="00951AB1" w14:paraId="60793078" w14:textId="77777777" w:rsidTr="004F1E4A">
        <w:trPr>
          <w:trHeight w:val="450"/>
          <w:tblHeader/>
        </w:trPr>
        <w:tc>
          <w:tcPr>
            <w:tcW w:w="334" w:type="pct"/>
            <w:noWrap/>
            <w:vAlign w:val="center"/>
            <w:hideMark/>
          </w:tcPr>
          <w:p w14:paraId="306580AC" w14:textId="77777777" w:rsidR="0000150B" w:rsidRPr="00951AB1" w:rsidRDefault="0000150B" w:rsidP="000A5389">
            <w:pPr>
              <w:spacing w:line="240" w:lineRule="auto"/>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1.9.89</w:t>
            </w:r>
          </w:p>
        </w:tc>
        <w:tc>
          <w:tcPr>
            <w:tcW w:w="205" w:type="pct"/>
            <w:noWrap/>
            <w:vAlign w:val="center"/>
            <w:hideMark/>
          </w:tcPr>
          <w:p w14:paraId="410613D0" w14:textId="77777777" w:rsidR="0000150B" w:rsidRPr="00951AB1" w:rsidRDefault="0000150B" w:rsidP="000A5389">
            <w:pPr>
              <w:spacing w:line="240" w:lineRule="auto"/>
              <w:jc w:val="center"/>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Db</w:t>
            </w:r>
          </w:p>
        </w:tc>
        <w:tc>
          <w:tcPr>
            <w:tcW w:w="1793" w:type="pct"/>
            <w:vAlign w:val="center"/>
            <w:hideMark/>
          </w:tcPr>
          <w:p w14:paraId="2132D76C" w14:textId="77777777" w:rsidR="0000150B" w:rsidRPr="00951AB1" w:rsidRDefault="0000150B" w:rsidP="000A5389">
            <w:pPr>
              <w:spacing w:line="240" w:lineRule="auto"/>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Recursos de la entidad concedente en patrimonios autónomos constituidos por concesionarios privados</w:t>
            </w:r>
          </w:p>
        </w:tc>
        <w:tc>
          <w:tcPr>
            <w:tcW w:w="895" w:type="pct"/>
            <w:noWrap/>
            <w:vAlign w:val="center"/>
            <w:hideMark/>
          </w:tcPr>
          <w:p w14:paraId="367F214D" w14:textId="77777777" w:rsidR="0000150B" w:rsidRPr="00951AB1" w:rsidRDefault="0000150B"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9.373.615.238.693</w:t>
            </w:r>
          </w:p>
        </w:tc>
        <w:tc>
          <w:tcPr>
            <w:tcW w:w="895" w:type="pct"/>
            <w:noWrap/>
            <w:vAlign w:val="center"/>
            <w:hideMark/>
          </w:tcPr>
          <w:p w14:paraId="462D635C" w14:textId="77777777" w:rsidR="0000150B" w:rsidRPr="00951AB1" w:rsidRDefault="0000150B"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14.533.009.505.519</w:t>
            </w:r>
          </w:p>
        </w:tc>
        <w:tc>
          <w:tcPr>
            <w:tcW w:w="878" w:type="pct"/>
            <w:noWrap/>
            <w:vAlign w:val="center"/>
            <w:hideMark/>
          </w:tcPr>
          <w:p w14:paraId="564998D6" w14:textId="77777777" w:rsidR="0000150B" w:rsidRPr="00951AB1" w:rsidRDefault="0000150B"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-5.159.394.266.826</w:t>
            </w:r>
          </w:p>
        </w:tc>
      </w:tr>
      <w:tr w:rsidR="0000150B" w:rsidRPr="00951AB1" w14:paraId="3BE34267" w14:textId="77777777" w:rsidTr="004F1E4A">
        <w:trPr>
          <w:trHeight w:val="300"/>
          <w:tblHeader/>
        </w:trPr>
        <w:tc>
          <w:tcPr>
            <w:tcW w:w="334" w:type="pct"/>
            <w:noWrap/>
            <w:vAlign w:val="center"/>
            <w:hideMark/>
          </w:tcPr>
          <w:p w14:paraId="2445468F" w14:textId="77777777" w:rsidR="0000150B" w:rsidRPr="00951AB1" w:rsidRDefault="0000150B" w:rsidP="000A5389">
            <w:pPr>
              <w:spacing w:line="240" w:lineRule="auto"/>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1.9.08</w:t>
            </w:r>
          </w:p>
        </w:tc>
        <w:tc>
          <w:tcPr>
            <w:tcW w:w="205" w:type="pct"/>
            <w:noWrap/>
            <w:vAlign w:val="center"/>
            <w:hideMark/>
          </w:tcPr>
          <w:p w14:paraId="10B0A30F" w14:textId="77777777" w:rsidR="0000150B" w:rsidRPr="00951AB1" w:rsidRDefault="0000150B" w:rsidP="000A5389">
            <w:pPr>
              <w:spacing w:line="240" w:lineRule="auto"/>
              <w:jc w:val="center"/>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Db</w:t>
            </w:r>
          </w:p>
        </w:tc>
        <w:tc>
          <w:tcPr>
            <w:tcW w:w="1793" w:type="pct"/>
            <w:vAlign w:val="center"/>
            <w:hideMark/>
          </w:tcPr>
          <w:p w14:paraId="636C3862" w14:textId="77777777" w:rsidR="0000150B" w:rsidRPr="00951AB1" w:rsidRDefault="0000150B" w:rsidP="000A5389">
            <w:pPr>
              <w:spacing w:line="240" w:lineRule="auto"/>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Recursos entregados en administración</w:t>
            </w:r>
          </w:p>
        </w:tc>
        <w:tc>
          <w:tcPr>
            <w:tcW w:w="895" w:type="pct"/>
            <w:noWrap/>
            <w:vAlign w:val="center"/>
            <w:hideMark/>
          </w:tcPr>
          <w:p w14:paraId="49BC01CF" w14:textId="77777777" w:rsidR="0000150B" w:rsidRPr="00951AB1" w:rsidRDefault="0000150B"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7.327.222.038.636</w:t>
            </w:r>
          </w:p>
        </w:tc>
        <w:tc>
          <w:tcPr>
            <w:tcW w:w="895" w:type="pct"/>
            <w:noWrap/>
            <w:vAlign w:val="center"/>
            <w:hideMark/>
          </w:tcPr>
          <w:p w14:paraId="4C9E45DA" w14:textId="77777777" w:rsidR="0000150B" w:rsidRPr="00951AB1" w:rsidRDefault="0000150B"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6.493.657.195.458</w:t>
            </w:r>
          </w:p>
        </w:tc>
        <w:tc>
          <w:tcPr>
            <w:tcW w:w="878" w:type="pct"/>
            <w:noWrap/>
            <w:vAlign w:val="center"/>
            <w:hideMark/>
          </w:tcPr>
          <w:p w14:paraId="6EEAAC5C" w14:textId="77777777" w:rsidR="0000150B" w:rsidRPr="00951AB1" w:rsidRDefault="0000150B"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833.564.843.178</w:t>
            </w:r>
          </w:p>
        </w:tc>
      </w:tr>
      <w:tr w:rsidR="0000150B" w:rsidRPr="00951AB1" w14:paraId="3A6F37FD" w14:textId="77777777" w:rsidTr="004F1E4A">
        <w:trPr>
          <w:trHeight w:val="300"/>
          <w:tblHeader/>
        </w:trPr>
        <w:tc>
          <w:tcPr>
            <w:tcW w:w="334" w:type="pct"/>
            <w:noWrap/>
            <w:vAlign w:val="center"/>
            <w:hideMark/>
          </w:tcPr>
          <w:p w14:paraId="1877425C" w14:textId="77777777" w:rsidR="0000150B" w:rsidRPr="00951AB1" w:rsidRDefault="0000150B" w:rsidP="000A5389">
            <w:pPr>
              <w:spacing w:line="240" w:lineRule="auto"/>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1.9.05</w:t>
            </w:r>
          </w:p>
        </w:tc>
        <w:tc>
          <w:tcPr>
            <w:tcW w:w="205" w:type="pct"/>
            <w:noWrap/>
            <w:vAlign w:val="center"/>
            <w:hideMark/>
          </w:tcPr>
          <w:p w14:paraId="32398E34" w14:textId="77777777" w:rsidR="0000150B" w:rsidRPr="00951AB1" w:rsidRDefault="0000150B" w:rsidP="000A5389">
            <w:pPr>
              <w:spacing w:line="240" w:lineRule="auto"/>
              <w:jc w:val="center"/>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Db</w:t>
            </w:r>
          </w:p>
        </w:tc>
        <w:tc>
          <w:tcPr>
            <w:tcW w:w="1793" w:type="pct"/>
            <w:vAlign w:val="center"/>
            <w:hideMark/>
          </w:tcPr>
          <w:p w14:paraId="65111F01" w14:textId="77777777" w:rsidR="0000150B" w:rsidRPr="00951AB1" w:rsidRDefault="0000150B" w:rsidP="000A5389">
            <w:pPr>
              <w:spacing w:line="240" w:lineRule="auto"/>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Bienes y servicios pagados por anticipado</w:t>
            </w:r>
          </w:p>
        </w:tc>
        <w:tc>
          <w:tcPr>
            <w:tcW w:w="895" w:type="pct"/>
            <w:noWrap/>
            <w:vAlign w:val="center"/>
            <w:hideMark/>
          </w:tcPr>
          <w:p w14:paraId="5CDF5974" w14:textId="77777777" w:rsidR="0000150B" w:rsidRPr="00951AB1" w:rsidRDefault="0000150B"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877.129.812</w:t>
            </w:r>
          </w:p>
        </w:tc>
        <w:tc>
          <w:tcPr>
            <w:tcW w:w="895" w:type="pct"/>
            <w:noWrap/>
            <w:vAlign w:val="center"/>
            <w:hideMark/>
          </w:tcPr>
          <w:p w14:paraId="7F77AD26" w14:textId="77777777" w:rsidR="0000150B" w:rsidRPr="00951AB1" w:rsidRDefault="0000150B"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0</w:t>
            </w:r>
          </w:p>
        </w:tc>
        <w:tc>
          <w:tcPr>
            <w:tcW w:w="878" w:type="pct"/>
            <w:noWrap/>
            <w:vAlign w:val="center"/>
            <w:hideMark/>
          </w:tcPr>
          <w:p w14:paraId="2D3A8E3B" w14:textId="77777777" w:rsidR="0000150B" w:rsidRPr="00951AB1" w:rsidRDefault="0000150B"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877.129.812</w:t>
            </w:r>
          </w:p>
        </w:tc>
      </w:tr>
      <w:tr w:rsidR="0000150B" w:rsidRPr="00951AB1" w14:paraId="04979395" w14:textId="77777777" w:rsidTr="004F1E4A">
        <w:trPr>
          <w:trHeight w:val="300"/>
          <w:tblHeader/>
        </w:trPr>
        <w:tc>
          <w:tcPr>
            <w:tcW w:w="334" w:type="pct"/>
            <w:noWrap/>
            <w:vAlign w:val="center"/>
            <w:hideMark/>
          </w:tcPr>
          <w:p w14:paraId="57C3B47C" w14:textId="77777777" w:rsidR="0000150B" w:rsidRPr="00951AB1" w:rsidRDefault="0000150B" w:rsidP="000A5389">
            <w:pPr>
              <w:spacing w:line="240" w:lineRule="auto"/>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1.9.09</w:t>
            </w:r>
          </w:p>
        </w:tc>
        <w:tc>
          <w:tcPr>
            <w:tcW w:w="205" w:type="pct"/>
            <w:noWrap/>
            <w:vAlign w:val="center"/>
            <w:hideMark/>
          </w:tcPr>
          <w:p w14:paraId="09EFCF25" w14:textId="77777777" w:rsidR="0000150B" w:rsidRPr="00951AB1" w:rsidRDefault="0000150B" w:rsidP="000A5389">
            <w:pPr>
              <w:spacing w:line="240" w:lineRule="auto"/>
              <w:jc w:val="center"/>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Db</w:t>
            </w:r>
          </w:p>
        </w:tc>
        <w:tc>
          <w:tcPr>
            <w:tcW w:w="1793" w:type="pct"/>
            <w:vAlign w:val="center"/>
            <w:hideMark/>
          </w:tcPr>
          <w:p w14:paraId="4FEA669A" w14:textId="77777777" w:rsidR="0000150B" w:rsidRPr="00951AB1" w:rsidRDefault="0000150B" w:rsidP="000A5389">
            <w:pPr>
              <w:spacing w:line="240" w:lineRule="auto"/>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Depósitos entregados en garantía</w:t>
            </w:r>
          </w:p>
        </w:tc>
        <w:tc>
          <w:tcPr>
            <w:tcW w:w="895" w:type="pct"/>
            <w:noWrap/>
            <w:vAlign w:val="center"/>
            <w:hideMark/>
          </w:tcPr>
          <w:p w14:paraId="6E6F0992" w14:textId="77777777" w:rsidR="0000150B" w:rsidRPr="00951AB1" w:rsidRDefault="0000150B"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10.200.000</w:t>
            </w:r>
          </w:p>
        </w:tc>
        <w:tc>
          <w:tcPr>
            <w:tcW w:w="895" w:type="pct"/>
            <w:noWrap/>
            <w:vAlign w:val="center"/>
            <w:hideMark/>
          </w:tcPr>
          <w:p w14:paraId="34CF07E5" w14:textId="77777777" w:rsidR="0000150B" w:rsidRPr="00951AB1" w:rsidRDefault="0000150B"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23.759.593</w:t>
            </w:r>
          </w:p>
        </w:tc>
        <w:tc>
          <w:tcPr>
            <w:tcW w:w="878" w:type="pct"/>
            <w:noWrap/>
            <w:vAlign w:val="center"/>
            <w:hideMark/>
          </w:tcPr>
          <w:p w14:paraId="056EBEBA" w14:textId="77777777" w:rsidR="0000150B" w:rsidRPr="00951AB1" w:rsidRDefault="0000150B"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-13.559.593</w:t>
            </w:r>
          </w:p>
        </w:tc>
      </w:tr>
      <w:tr w:rsidR="0000150B" w:rsidRPr="00951AB1" w14:paraId="0D222002" w14:textId="77777777" w:rsidTr="004F1E4A">
        <w:trPr>
          <w:trHeight w:val="300"/>
          <w:tblHeader/>
        </w:trPr>
        <w:tc>
          <w:tcPr>
            <w:tcW w:w="334" w:type="pct"/>
            <w:noWrap/>
            <w:vAlign w:val="center"/>
            <w:hideMark/>
          </w:tcPr>
          <w:p w14:paraId="46055C79" w14:textId="77777777" w:rsidR="0000150B" w:rsidRPr="00951AB1" w:rsidRDefault="0000150B" w:rsidP="000A5389">
            <w:pPr>
              <w:spacing w:line="240" w:lineRule="auto"/>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1.9.86</w:t>
            </w:r>
          </w:p>
        </w:tc>
        <w:tc>
          <w:tcPr>
            <w:tcW w:w="205" w:type="pct"/>
            <w:noWrap/>
            <w:vAlign w:val="center"/>
            <w:hideMark/>
          </w:tcPr>
          <w:p w14:paraId="56B96147" w14:textId="77777777" w:rsidR="0000150B" w:rsidRPr="00951AB1" w:rsidRDefault="0000150B" w:rsidP="000A5389">
            <w:pPr>
              <w:spacing w:line="240" w:lineRule="auto"/>
              <w:jc w:val="center"/>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Db</w:t>
            </w:r>
          </w:p>
        </w:tc>
        <w:tc>
          <w:tcPr>
            <w:tcW w:w="1793" w:type="pct"/>
            <w:vAlign w:val="center"/>
            <w:hideMark/>
          </w:tcPr>
          <w:p w14:paraId="20D5BA09" w14:textId="77777777" w:rsidR="0000150B" w:rsidRPr="00951AB1" w:rsidRDefault="0000150B" w:rsidP="000A5389">
            <w:pPr>
              <w:spacing w:line="240" w:lineRule="auto"/>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Activos diferidos</w:t>
            </w:r>
          </w:p>
        </w:tc>
        <w:tc>
          <w:tcPr>
            <w:tcW w:w="895" w:type="pct"/>
            <w:noWrap/>
            <w:vAlign w:val="center"/>
            <w:hideMark/>
          </w:tcPr>
          <w:p w14:paraId="424EAB8F" w14:textId="77777777" w:rsidR="0000150B" w:rsidRPr="00951AB1" w:rsidRDefault="0000150B"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0</w:t>
            </w:r>
          </w:p>
        </w:tc>
        <w:tc>
          <w:tcPr>
            <w:tcW w:w="895" w:type="pct"/>
            <w:noWrap/>
            <w:vAlign w:val="center"/>
            <w:hideMark/>
          </w:tcPr>
          <w:p w14:paraId="5F1860F1" w14:textId="77777777" w:rsidR="0000150B" w:rsidRPr="00951AB1" w:rsidRDefault="0000150B"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3.692.620</w:t>
            </w:r>
          </w:p>
        </w:tc>
        <w:tc>
          <w:tcPr>
            <w:tcW w:w="878" w:type="pct"/>
            <w:noWrap/>
            <w:vAlign w:val="center"/>
            <w:hideMark/>
          </w:tcPr>
          <w:p w14:paraId="454BEF24" w14:textId="77777777" w:rsidR="0000150B" w:rsidRPr="00951AB1" w:rsidRDefault="0000150B"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-3.692.620</w:t>
            </w:r>
          </w:p>
        </w:tc>
      </w:tr>
    </w:tbl>
    <w:p w14:paraId="71329DBA" w14:textId="77777777" w:rsidR="00C50392" w:rsidRPr="00951AB1" w:rsidRDefault="008B35C9" w:rsidP="000A5389">
      <w:pPr>
        <w:spacing w:line="240" w:lineRule="auto"/>
        <w:rPr>
          <w:rFonts w:cs="Times New Roman"/>
          <w:sz w:val="16"/>
          <w:szCs w:val="16"/>
        </w:rPr>
      </w:pPr>
      <w:r w:rsidRPr="00951AB1">
        <w:rPr>
          <w:rFonts w:cs="Times New Roman"/>
          <w:sz w:val="16"/>
          <w:szCs w:val="16"/>
        </w:rPr>
        <w:t xml:space="preserve">Cifras en pesos </w:t>
      </w:r>
    </w:p>
    <w:p w14:paraId="3DD9E0D5" w14:textId="77777777" w:rsidR="00C50392" w:rsidRPr="00951AB1" w:rsidRDefault="00C50392" w:rsidP="000A5389">
      <w:pPr>
        <w:spacing w:line="240" w:lineRule="auto"/>
        <w:rPr>
          <w:rFonts w:cs="Times New Roman"/>
          <w:bCs/>
          <w:szCs w:val="24"/>
        </w:rPr>
      </w:pPr>
    </w:p>
    <w:p w14:paraId="6A931362" w14:textId="77777777" w:rsidR="008B35C9" w:rsidRDefault="008B35C9" w:rsidP="000A5389">
      <w:pPr>
        <w:spacing w:line="240" w:lineRule="auto"/>
        <w:rPr>
          <w:rFonts w:cs="Times New Roman"/>
          <w:bCs/>
          <w:szCs w:val="24"/>
        </w:rPr>
      </w:pPr>
      <w:r w:rsidRPr="00951AB1">
        <w:rPr>
          <w:rFonts w:cs="Times New Roman"/>
          <w:bCs/>
          <w:szCs w:val="24"/>
        </w:rPr>
        <w:t>En este grupo se incluyen los Recursos de la entidad concedente en patrimonios autónomos constituidos por los concesionarios, los recursos entregados en administración, y aquellas cuentas que representan recursos, tangibles e intangibles, que son complementarios para el suministro de bienes, para la prestación de servicios y para propósitos administrativos.</w:t>
      </w:r>
    </w:p>
    <w:p w14:paraId="36C13944" w14:textId="77777777" w:rsidR="002E333D" w:rsidRPr="00951AB1" w:rsidRDefault="002E333D" w:rsidP="000A5389">
      <w:pPr>
        <w:spacing w:line="240" w:lineRule="auto"/>
        <w:rPr>
          <w:rFonts w:cs="Times New Roman"/>
          <w:bCs/>
          <w:szCs w:val="24"/>
        </w:rPr>
      </w:pPr>
    </w:p>
    <w:p w14:paraId="036B703D" w14:textId="7AFA9EFB" w:rsidR="005640D6" w:rsidRPr="00951AB1" w:rsidRDefault="00AE62BD" w:rsidP="000A5389">
      <w:pPr>
        <w:pStyle w:val="Ttulo2"/>
        <w:numPr>
          <w:ilvl w:val="0"/>
          <w:numId w:val="0"/>
        </w:numPr>
        <w:spacing w:line="240" w:lineRule="auto"/>
        <w:rPr>
          <w:rFonts w:cs="Times New Roman"/>
        </w:rPr>
      </w:pPr>
      <w:bookmarkStart w:id="447" w:name="_Toc222955498"/>
      <w:r w:rsidRPr="00951AB1">
        <w:rPr>
          <w:rFonts w:cs="Times New Roman"/>
        </w:rPr>
        <w:t xml:space="preserve">16.1. </w:t>
      </w:r>
      <w:r w:rsidRPr="00951AB1">
        <w:rPr>
          <w:rFonts w:cs="Times New Roman"/>
        </w:rPr>
        <w:tab/>
        <w:t>Desglose - Subcuentas Otros</w:t>
      </w:r>
      <w:bookmarkEnd w:id="447"/>
    </w:p>
    <w:p w14:paraId="7510D78A" w14:textId="77777777" w:rsidR="005640D6" w:rsidRPr="00951AB1" w:rsidRDefault="005640D6" w:rsidP="000A5389">
      <w:pPr>
        <w:spacing w:line="240" w:lineRule="auto"/>
        <w:rPr>
          <w:rFonts w:cs="Times New Roman"/>
        </w:rPr>
      </w:pPr>
    </w:p>
    <w:p w14:paraId="275B85CC" w14:textId="56512E56" w:rsidR="008B35C9" w:rsidRDefault="008B35C9" w:rsidP="000A5389">
      <w:pPr>
        <w:spacing w:line="240" w:lineRule="auto"/>
        <w:rPr>
          <w:rFonts w:cs="Times New Roman"/>
          <w:bCs/>
          <w:szCs w:val="24"/>
        </w:rPr>
      </w:pPr>
      <w:r w:rsidRPr="00951AB1">
        <w:rPr>
          <w:rFonts w:cs="Times New Roman"/>
          <w:bCs/>
          <w:szCs w:val="24"/>
        </w:rPr>
        <w:t>A continuación, se presenta la composición de los otros derechos y garantías, a nivel de subcuentas:</w:t>
      </w:r>
    </w:p>
    <w:p w14:paraId="065A509E" w14:textId="77777777" w:rsidR="002E333D" w:rsidRPr="00951AB1" w:rsidRDefault="002E333D" w:rsidP="000A5389">
      <w:pPr>
        <w:spacing w:line="240" w:lineRule="auto"/>
        <w:rPr>
          <w:rFonts w:cs="Times New Roman"/>
          <w:bCs/>
          <w:szCs w:val="24"/>
        </w:rPr>
      </w:pPr>
    </w:p>
    <w:tbl>
      <w:tblPr>
        <w:tblW w:w="5135" w:type="pct"/>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shd w:val="clear" w:color="auto" w:fill="FFFFFF" w:themeFill="background1"/>
        <w:tblLayout w:type="fixed"/>
        <w:tblCellMar>
          <w:left w:w="70" w:type="dxa"/>
          <w:right w:w="70" w:type="dxa"/>
        </w:tblCellMar>
        <w:tblLook w:val="04A0" w:firstRow="1" w:lastRow="0" w:firstColumn="1" w:lastColumn="0" w:noHBand="0" w:noVBand="1"/>
      </w:tblPr>
      <w:tblGrid>
        <w:gridCol w:w="304"/>
        <w:gridCol w:w="827"/>
        <w:gridCol w:w="992"/>
        <w:gridCol w:w="1133"/>
        <w:gridCol w:w="1133"/>
        <w:gridCol w:w="1135"/>
        <w:gridCol w:w="1133"/>
        <w:gridCol w:w="1278"/>
        <w:gridCol w:w="1131"/>
      </w:tblGrid>
      <w:tr w:rsidR="008B35C9" w:rsidRPr="00951AB1" w14:paraId="4BEE15DB" w14:textId="77777777" w:rsidTr="002E333D">
        <w:trPr>
          <w:trHeight w:val="300"/>
          <w:tblHeader/>
        </w:trPr>
        <w:tc>
          <w:tcPr>
            <w:tcW w:w="623" w:type="pct"/>
            <w:gridSpan w:val="2"/>
            <w:shd w:val="clear" w:color="auto" w:fill="FFFFFF" w:themeFill="background1"/>
            <w:noWrap/>
            <w:vAlign w:val="center"/>
            <w:hideMark/>
          </w:tcPr>
          <w:p w14:paraId="7D28ABDD" w14:textId="77777777" w:rsidR="008B35C9" w:rsidRPr="00951AB1" w:rsidRDefault="008B35C9" w:rsidP="000A5389">
            <w:pPr>
              <w:spacing w:line="240" w:lineRule="auto"/>
              <w:jc w:val="center"/>
              <w:rPr>
                <w:rFonts w:eastAsia="Times New Roman" w:cs="Times New Roman"/>
                <w:kern w:val="0"/>
                <w:sz w:val="12"/>
                <w:szCs w:val="12"/>
                <w:lang w:eastAsia="es-CO"/>
                <w14:ligatures w14:val="none"/>
              </w:rPr>
            </w:pPr>
            <w:r w:rsidRPr="00951AB1">
              <w:rPr>
                <w:rFonts w:eastAsia="Times New Roman" w:cs="Times New Roman"/>
                <w:kern w:val="0"/>
                <w:sz w:val="12"/>
                <w:szCs w:val="12"/>
                <w:lang w:eastAsia="es-CO"/>
                <w14:ligatures w14:val="none"/>
              </w:rPr>
              <w:t>DESCRIPCIÓN</w:t>
            </w:r>
          </w:p>
        </w:tc>
        <w:tc>
          <w:tcPr>
            <w:tcW w:w="3753" w:type="pct"/>
            <w:gridSpan w:val="6"/>
            <w:shd w:val="clear" w:color="auto" w:fill="FFFFFF" w:themeFill="background1"/>
            <w:vAlign w:val="center"/>
            <w:hideMark/>
          </w:tcPr>
          <w:p w14:paraId="1C562570" w14:textId="77777777" w:rsidR="008B35C9" w:rsidRPr="00951AB1" w:rsidRDefault="008B35C9" w:rsidP="000A5389">
            <w:pPr>
              <w:spacing w:line="240" w:lineRule="auto"/>
              <w:jc w:val="center"/>
              <w:rPr>
                <w:rFonts w:eastAsia="Times New Roman" w:cs="Times New Roman"/>
                <w:b/>
                <w:bCs/>
                <w:kern w:val="0"/>
                <w:sz w:val="14"/>
                <w:szCs w:val="14"/>
                <w:lang w:eastAsia="es-CO"/>
                <w14:ligatures w14:val="none"/>
              </w:rPr>
            </w:pPr>
            <w:r w:rsidRPr="00951AB1">
              <w:rPr>
                <w:rFonts w:eastAsia="Times New Roman" w:cs="Times New Roman"/>
                <w:b/>
                <w:bCs/>
                <w:kern w:val="0"/>
                <w:sz w:val="14"/>
                <w:szCs w:val="14"/>
                <w:lang w:eastAsia="es-CO"/>
                <w14:ligatures w14:val="none"/>
              </w:rPr>
              <w:t>SALDOS A CORTE DE VIGENCIA</w:t>
            </w:r>
          </w:p>
        </w:tc>
        <w:tc>
          <w:tcPr>
            <w:tcW w:w="624" w:type="pct"/>
            <w:shd w:val="clear" w:color="auto" w:fill="FFFFFF" w:themeFill="background1"/>
            <w:vAlign w:val="center"/>
            <w:hideMark/>
          </w:tcPr>
          <w:p w14:paraId="2FE6FFBF" w14:textId="77777777" w:rsidR="008B35C9" w:rsidRPr="00951AB1" w:rsidRDefault="008B35C9" w:rsidP="000A5389">
            <w:pPr>
              <w:spacing w:line="240" w:lineRule="auto"/>
              <w:jc w:val="center"/>
              <w:rPr>
                <w:rFonts w:eastAsia="Times New Roman" w:cs="Times New Roman"/>
                <w:b/>
                <w:bCs/>
                <w:kern w:val="0"/>
                <w:sz w:val="14"/>
                <w:szCs w:val="14"/>
                <w:lang w:eastAsia="es-CO"/>
                <w14:ligatures w14:val="none"/>
              </w:rPr>
            </w:pPr>
            <w:r w:rsidRPr="00951AB1">
              <w:rPr>
                <w:rFonts w:eastAsia="Times New Roman" w:cs="Times New Roman"/>
                <w:b/>
                <w:bCs/>
                <w:kern w:val="0"/>
                <w:sz w:val="14"/>
                <w:szCs w:val="14"/>
                <w:lang w:eastAsia="es-CO"/>
                <w14:ligatures w14:val="none"/>
              </w:rPr>
              <w:t>VARIACIÓN</w:t>
            </w:r>
          </w:p>
        </w:tc>
      </w:tr>
      <w:tr w:rsidR="00502776" w:rsidRPr="00951AB1" w14:paraId="3A7B5F1B" w14:textId="77777777" w:rsidTr="002E333D">
        <w:trPr>
          <w:trHeight w:val="450"/>
          <w:tblHeader/>
        </w:trPr>
        <w:tc>
          <w:tcPr>
            <w:tcW w:w="167" w:type="pct"/>
            <w:shd w:val="clear" w:color="auto" w:fill="FFFFFF" w:themeFill="background1"/>
            <w:noWrap/>
            <w:textDirection w:val="btLr"/>
            <w:vAlign w:val="center"/>
            <w:hideMark/>
          </w:tcPr>
          <w:p w14:paraId="07C959BD" w14:textId="77777777" w:rsidR="008B35C9" w:rsidRPr="00951AB1" w:rsidRDefault="008B35C9" w:rsidP="000A5389">
            <w:pPr>
              <w:spacing w:line="240" w:lineRule="auto"/>
              <w:jc w:val="center"/>
              <w:rPr>
                <w:rFonts w:eastAsia="Times New Roman" w:cs="Times New Roman"/>
                <w:kern w:val="0"/>
                <w:sz w:val="12"/>
                <w:szCs w:val="12"/>
                <w:lang w:eastAsia="es-CO"/>
                <w14:ligatures w14:val="none"/>
              </w:rPr>
            </w:pPr>
            <w:r w:rsidRPr="00951AB1">
              <w:rPr>
                <w:rFonts w:eastAsia="Times New Roman" w:cs="Times New Roman"/>
                <w:kern w:val="0"/>
                <w:sz w:val="12"/>
                <w:szCs w:val="12"/>
                <w:lang w:eastAsia="es-CO"/>
                <w14:ligatures w14:val="none"/>
              </w:rPr>
              <w:t>CÓD</w:t>
            </w:r>
          </w:p>
        </w:tc>
        <w:tc>
          <w:tcPr>
            <w:tcW w:w="455" w:type="pct"/>
            <w:shd w:val="clear" w:color="auto" w:fill="FFFFFF" w:themeFill="background1"/>
            <w:vAlign w:val="center"/>
            <w:hideMark/>
          </w:tcPr>
          <w:p w14:paraId="52845FB5" w14:textId="77777777" w:rsidR="008B35C9" w:rsidRPr="00951AB1" w:rsidRDefault="008B35C9" w:rsidP="000A5389">
            <w:pPr>
              <w:spacing w:line="240" w:lineRule="auto"/>
              <w:rPr>
                <w:rFonts w:eastAsia="Times New Roman" w:cs="Times New Roman"/>
                <w:b/>
                <w:bCs/>
                <w:kern w:val="0"/>
                <w:sz w:val="12"/>
                <w:szCs w:val="12"/>
                <w:lang w:eastAsia="es-CO"/>
                <w14:ligatures w14:val="none"/>
              </w:rPr>
            </w:pPr>
            <w:r w:rsidRPr="00951AB1">
              <w:rPr>
                <w:rFonts w:eastAsia="Times New Roman" w:cs="Times New Roman"/>
                <w:b/>
                <w:bCs/>
                <w:kern w:val="0"/>
                <w:sz w:val="12"/>
                <w:szCs w:val="12"/>
                <w:lang w:eastAsia="es-CO"/>
                <w14:ligatures w14:val="none"/>
              </w:rPr>
              <w:t>CONCEPTO</w:t>
            </w:r>
          </w:p>
        </w:tc>
        <w:tc>
          <w:tcPr>
            <w:tcW w:w="547" w:type="pct"/>
            <w:shd w:val="clear" w:color="auto" w:fill="FFFFFF" w:themeFill="background1"/>
            <w:vAlign w:val="center"/>
            <w:hideMark/>
          </w:tcPr>
          <w:p w14:paraId="3B587780" w14:textId="77777777" w:rsidR="008B35C9" w:rsidRPr="00951AB1" w:rsidRDefault="008B35C9" w:rsidP="000A5389">
            <w:pPr>
              <w:spacing w:line="240" w:lineRule="auto"/>
              <w:jc w:val="center"/>
              <w:rPr>
                <w:rFonts w:eastAsia="Times New Roman" w:cs="Times New Roman"/>
                <w:b/>
                <w:bCs/>
                <w:kern w:val="0"/>
                <w:sz w:val="12"/>
                <w:szCs w:val="12"/>
                <w:lang w:eastAsia="es-CO"/>
                <w14:ligatures w14:val="none"/>
              </w:rPr>
            </w:pPr>
            <w:r w:rsidRPr="00951AB1">
              <w:rPr>
                <w:rFonts w:eastAsia="Times New Roman" w:cs="Times New Roman"/>
                <w:b/>
                <w:bCs/>
                <w:kern w:val="0"/>
                <w:sz w:val="12"/>
                <w:szCs w:val="12"/>
                <w:lang w:eastAsia="es-CO"/>
                <w14:ligatures w14:val="none"/>
              </w:rPr>
              <w:t>SALDO CTE 2025</w:t>
            </w:r>
          </w:p>
        </w:tc>
        <w:tc>
          <w:tcPr>
            <w:tcW w:w="625" w:type="pct"/>
            <w:shd w:val="clear" w:color="auto" w:fill="FFFFFF" w:themeFill="background1"/>
            <w:vAlign w:val="center"/>
            <w:hideMark/>
          </w:tcPr>
          <w:p w14:paraId="4BED2DAF" w14:textId="77777777" w:rsidR="008B35C9" w:rsidRPr="00951AB1" w:rsidRDefault="008B35C9" w:rsidP="000A5389">
            <w:pPr>
              <w:spacing w:line="240" w:lineRule="auto"/>
              <w:jc w:val="center"/>
              <w:rPr>
                <w:rFonts w:eastAsia="Times New Roman" w:cs="Times New Roman"/>
                <w:b/>
                <w:bCs/>
                <w:kern w:val="0"/>
                <w:sz w:val="12"/>
                <w:szCs w:val="12"/>
                <w:lang w:eastAsia="es-CO"/>
                <w14:ligatures w14:val="none"/>
              </w:rPr>
            </w:pPr>
            <w:r w:rsidRPr="00951AB1">
              <w:rPr>
                <w:rFonts w:eastAsia="Times New Roman" w:cs="Times New Roman"/>
                <w:b/>
                <w:bCs/>
                <w:kern w:val="0"/>
                <w:sz w:val="12"/>
                <w:szCs w:val="12"/>
                <w:lang w:eastAsia="es-CO"/>
                <w14:ligatures w14:val="none"/>
              </w:rPr>
              <w:t>SALDO NO</w:t>
            </w:r>
            <w:r w:rsidRPr="00951AB1">
              <w:rPr>
                <w:rFonts w:eastAsia="Times New Roman" w:cs="Times New Roman"/>
                <w:b/>
                <w:bCs/>
                <w:kern w:val="0"/>
                <w:sz w:val="12"/>
                <w:szCs w:val="12"/>
                <w:lang w:eastAsia="es-CO"/>
                <w14:ligatures w14:val="none"/>
              </w:rPr>
              <w:br/>
              <w:t>CTE 2058</w:t>
            </w:r>
          </w:p>
        </w:tc>
        <w:tc>
          <w:tcPr>
            <w:tcW w:w="625" w:type="pct"/>
            <w:shd w:val="clear" w:color="auto" w:fill="FFFFFF" w:themeFill="background1"/>
            <w:vAlign w:val="center"/>
            <w:hideMark/>
          </w:tcPr>
          <w:p w14:paraId="64FE77A7" w14:textId="77777777" w:rsidR="008B35C9" w:rsidRPr="00951AB1" w:rsidRDefault="008B35C9" w:rsidP="000A5389">
            <w:pPr>
              <w:spacing w:line="240" w:lineRule="auto"/>
              <w:jc w:val="center"/>
              <w:rPr>
                <w:rFonts w:eastAsia="Times New Roman" w:cs="Times New Roman"/>
                <w:b/>
                <w:bCs/>
                <w:kern w:val="0"/>
                <w:sz w:val="12"/>
                <w:szCs w:val="12"/>
                <w:lang w:eastAsia="es-CO"/>
                <w14:ligatures w14:val="none"/>
              </w:rPr>
            </w:pPr>
            <w:r w:rsidRPr="00951AB1">
              <w:rPr>
                <w:rFonts w:eastAsia="Times New Roman" w:cs="Times New Roman"/>
                <w:b/>
                <w:bCs/>
                <w:kern w:val="0"/>
                <w:sz w:val="12"/>
                <w:szCs w:val="12"/>
                <w:lang w:eastAsia="es-CO"/>
                <w14:ligatures w14:val="none"/>
              </w:rPr>
              <w:t>SALDO FINAL 2025</w:t>
            </w:r>
          </w:p>
        </w:tc>
        <w:tc>
          <w:tcPr>
            <w:tcW w:w="626" w:type="pct"/>
            <w:shd w:val="clear" w:color="auto" w:fill="FFFFFF" w:themeFill="background1"/>
            <w:vAlign w:val="center"/>
            <w:hideMark/>
          </w:tcPr>
          <w:p w14:paraId="11411CC9" w14:textId="77777777" w:rsidR="008B35C9" w:rsidRPr="00951AB1" w:rsidRDefault="008B35C9" w:rsidP="000A5389">
            <w:pPr>
              <w:spacing w:line="240" w:lineRule="auto"/>
              <w:jc w:val="center"/>
              <w:rPr>
                <w:rFonts w:eastAsia="Times New Roman" w:cs="Times New Roman"/>
                <w:b/>
                <w:bCs/>
                <w:kern w:val="0"/>
                <w:sz w:val="12"/>
                <w:szCs w:val="12"/>
                <w:lang w:eastAsia="es-CO"/>
                <w14:ligatures w14:val="none"/>
              </w:rPr>
            </w:pPr>
            <w:r w:rsidRPr="00951AB1">
              <w:rPr>
                <w:rFonts w:eastAsia="Times New Roman" w:cs="Times New Roman"/>
                <w:b/>
                <w:bCs/>
                <w:kern w:val="0"/>
                <w:sz w:val="12"/>
                <w:szCs w:val="12"/>
                <w:lang w:eastAsia="es-CO"/>
                <w14:ligatures w14:val="none"/>
              </w:rPr>
              <w:t>SALDO CTE 2024</w:t>
            </w:r>
          </w:p>
        </w:tc>
        <w:tc>
          <w:tcPr>
            <w:tcW w:w="625" w:type="pct"/>
            <w:shd w:val="clear" w:color="auto" w:fill="FFFFFF" w:themeFill="background1"/>
            <w:vAlign w:val="center"/>
            <w:hideMark/>
          </w:tcPr>
          <w:p w14:paraId="09F9F9B4" w14:textId="77777777" w:rsidR="008B35C9" w:rsidRPr="00951AB1" w:rsidRDefault="008B35C9" w:rsidP="000A5389">
            <w:pPr>
              <w:spacing w:line="240" w:lineRule="auto"/>
              <w:jc w:val="center"/>
              <w:rPr>
                <w:rFonts w:eastAsia="Times New Roman" w:cs="Times New Roman"/>
                <w:b/>
                <w:bCs/>
                <w:kern w:val="0"/>
                <w:sz w:val="12"/>
                <w:szCs w:val="12"/>
                <w:lang w:eastAsia="es-CO"/>
                <w14:ligatures w14:val="none"/>
              </w:rPr>
            </w:pPr>
            <w:r w:rsidRPr="00951AB1">
              <w:rPr>
                <w:rFonts w:eastAsia="Times New Roman" w:cs="Times New Roman"/>
                <w:b/>
                <w:bCs/>
                <w:kern w:val="0"/>
                <w:sz w:val="12"/>
                <w:szCs w:val="12"/>
                <w:lang w:eastAsia="es-CO"/>
                <w14:ligatures w14:val="none"/>
              </w:rPr>
              <w:t>SALDO NO</w:t>
            </w:r>
            <w:r w:rsidRPr="00951AB1">
              <w:rPr>
                <w:rFonts w:eastAsia="Times New Roman" w:cs="Times New Roman"/>
                <w:b/>
                <w:bCs/>
                <w:kern w:val="0"/>
                <w:sz w:val="12"/>
                <w:szCs w:val="12"/>
                <w:lang w:eastAsia="es-CO"/>
                <w14:ligatures w14:val="none"/>
              </w:rPr>
              <w:br/>
              <w:t>CTE 2024</w:t>
            </w:r>
          </w:p>
        </w:tc>
        <w:tc>
          <w:tcPr>
            <w:tcW w:w="704" w:type="pct"/>
            <w:shd w:val="clear" w:color="auto" w:fill="FFFFFF" w:themeFill="background1"/>
            <w:vAlign w:val="center"/>
            <w:hideMark/>
          </w:tcPr>
          <w:p w14:paraId="55ED2816" w14:textId="77777777" w:rsidR="008B35C9" w:rsidRPr="00951AB1" w:rsidRDefault="008B35C9" w:rsidP="000A5389">
            <w:pPr>
              <w:spacing w:line="240" w:lineRule="auto"/>
              <w:jc w:val="center"/>
              <w:rPr>
                <w:rFonts w:eastAsia="Times New Roman" w:cs="Times New Roman"/>
                <w:b/>
                <w:bCs/>
                <w:kern w:val="0"/>
                <w:sz w:val="12"/>
                <w:szCs w:val="12"/>
                <w:lang w:eastAsia="es-CO"/>
                <w14:ligatures w14:val="none"/>
              </w:rPr>
            </w:pPr>
            <w:r w:rsidRPr="00951AB1">
              <w:rPr>
                <w:rFonts w:eastAsia="Times New Roman" w:cs="Times New Roman"/>
                <w:b/>
                <w:bCs/>
                <w:kern w:val="0"/>
                <w:sz w:val="12"/>
                <w:szCs w:val="12"/>
                <w:lang w:eastAsia="es-CO"/>
                <w14:ligatures w14:val="none"/>
              </w:rPr>
              <w:t>SALDO FINAL 2024</w:t>
            </w:r>
          </w:p>
        </w:tc>
        <w:tc>
          <w:tcPr>
            <w:tcW w:w="624" w:type="pct"/>
            <w:shd w:val="clear" w:color="auto" w:fill="FFFFFF" w:themeFill="background1"/>
            <w:vAlign w:val="center"/>
            <w:hideMark/>
          </w:tcPr>
          <w:p w14:paraId="0627A897" w14:textId="77777777" w:rsidR="008B35C9" w:rsidRPr="00951AB1" w:rsidRDefault="008B35C9" w:rsidP="000A5389">
            <w:pPr>
              <w:spacing w:line="240" w:lineRule="auto"/>
              <w:jc w:val="center"/>
              <w:rPr>
                <w:rFonts w:eastAsia="Times New Roman" w:cs="Times New Roman"/>
                <w:b/>
                <w:bCs/>
                <w:kern w:val="0"/>
                <w:sz w:val="12"/>
                <w:szCs w:val="12"/>
                <w:lang w:eastAsia="es-CO"/>
                <w14:ligatures w14:val="none"/>
              </w:rPr>
            </w:pPr>
            <w:r w:rsidRPr="00951AB1">
              <w:rPr>
                <w:rFonts w:eastAsia="Times New Roman" w:cs="Times New Roman"/>
                <w:b/>
                <w:bCs/>
                <w:kern w:val="0"/>
                <w:sz w:val="12"/>
                <w:szCs w:val="12"/>
                <w:lang w:eastAsia="es-CO"/>
                <w14:ligatures w14:val="none"/>
              </w:rPr>
              <w:t>VALOR</w:t>
            </w:r>
          </w:p>
        </w:tc>
      </w:tr>
      <w:tr w:rsidR="00502776" w:rsidRPr="00951AB1" w14:paraId="31C4B5EE" w14:textId="77777777" w:rsidTr="002E333D">
        <w:trPr>
          <w:trHeight w:val="825"/>
        </w:trPr>
        <w:tc>
          <w:tcPr>
            <w:tcW w:w="167" w:type="pct"/>
            <w:shd w:val="clear" w:color="auto" w:fill="FFFFFF" w:themeFill="background1"/>
            <w:noWrap/>
            <w:textDirection w:val="btLr"/>
            <w:vAlign w:val="center"/>
            <w:hideMark/>
          </w:tcPr>
          <w:p w14:paraId="29FC55C4" w14:textId="77777777" w:rsidR="008B35C9" w:rsidRPr="00951AB1" w:rsidRDefault="008B35C9" w:rsidP="000A5389">
            <w:pPr>
              <w:spacing w:line="240" w:lineRule="auto"/>
              <w:jc w:val="center"/>
              <w:rPr>
                <w:rFonts w:eastAsia="Times New Roman" w:cs="Times New Roman"/>
                <w:kern w:val="0"/>
                <w:sz w:val="12"/>
                <w:szCs w:val="12"/>
                <w:lang w:eastAsia="es-CO"/>
                <w14:ligatures w14:val="none"/>
              </w:rPr>
            </w:pPr>
            <w:r w:rsidRPr="00951AB1">
              <w:rPr>
                <w:rFonts w:eastAsia="Times New Roman" w:cs="Times New Roman"/>
                <w:kern w:val="0"/>
                <w:sz w:val="12"/>
                <w:szCs w:val="12"/>
                <w:lang w:eastAsia="es-CO"/>
                <w14:ligatures w14:val="none"/>
              </w:rPr>
              <w:t>NAT (Db)</w:t>
            </w:r>
          </w:p>
        </w:tc>
        <w:tc>
          <w:tcPr>
            <w:tcW w:w="455" w:type="pct"/>
            <w:shd w:val="clear" w:color="auto" w:fill="FFFFFF" w:themeFill="background1"/>
            <w:vAlign w:val="center"/>
            <w:hideMark/>
          </w:tcPr>
          <w:p w14:paraId="50731A91" w14:textId="77777777" w:rsidR="008B35C9" w:rsidRPr="00951AB1" w:rsidRDefault="008B35C9" w:rsidP="000A5389">
            <w:pPr>
              <w:spacing w:line="240" w:lineRule="auto"/>
              <w:rPr>
                <w:rFonts w:eastAsia="Times New Roman" w:cs="Times New Roman"/>
                <w:b/>
                <w:bCs/>
                <w:kern w:val="0"/>
                <w:sz w:val="12"/>
                <w:szCs w:val="12"/>
                <w:lang w:eastAsia="es-CO"/>
                <w14:ligatures w14:val="none"/>
              </w:rPr>
            </w:pPr>
            <w:r w:rsidRPr="00951AB1">
              <w:rPr>
                <w:rFonts w:eastAsia="Times New Roman" w:cs="Times New Roman"/>
                <w:b/>
                <w:bCs/>
                <w:kern w:val="0"/>
                <w:sz w:val="12"/>
                <w:szCs w:val="12"/>
                <w:lang w:eastAsia="es-CO"/>
                <w14:ligatures w14:val="none"/>
              </w:rPr>
              <w:t>OTROS DERECHOS Y GARANTÍAS - SUBCUENTAS OTROS</w:t>
            </w:r>
          </w:p>
        </w:tc>
        <w:tc>
          <w:tcPr>
            <w:tcW w:w="547" w:type="pct"/>
            <w:shd w:val="clear" w:color="auto" w:fill="FFFFFF" w:themeFill="background1"/>
            <w:noWrap/>
            <w:vAlign w:val="center"/>
            <w:hideMark/>
          </w:tcPr>
          <w:p w14:paraId="6ACF08C3" w14:textId="77777777" w:rsidR="008B35C9" w:rsidRPr="00951AB1" w:rsidRDefault="008B35C9" w:rsidP="000A5389">
            <w:pPr>
              <w:spacing w:line="240" w:lineRule="auto"/>
              <w:jc w:val="right"/>
              <w:rPr>
                <w:rFonts w:eastAsia="Times New Roman" w:cs="Times New Roman"/>
                <w:b/>
                <w:bCs/>
                <w:kern w:val="0"/>
                <w:sz w:val="12"/>
                <w:szCs w:val="12"/>
                <w:lang w:eastAsia="es-CO"/>
                <w14:ligatures w14:val="none"/>
              </w:rPr>
            </w:pPr>
            <w:r w:rsidRPr="00951AB1">
              <w:rPr>
                <w:rFonts w:eastAsia="Times New Roman" w:cs="Times New Roman"/>
                <w:b/>
                <w:bCs/>
                <w:kern w:val="0"/>
                <w:sz w:val="12"/>
                <w:szCs w:val="12"/>
                <w:lang w:eastAsia="es-CO"/>
                <w14:ligatures w14:val="none"/>
              </w:rPr>
              <w:t>782.023.239.420</w:t>
            </w:r>
          </w:p>
        </w:tc>
        <w:tc>
          <w:tcPr>
            <w:tcW w:w="625" w:type="pct"/>
            <w:shd w:val="clear" w:color="auto" w:fill="FFFFFF" w:themeFill="background1"/>
            <w:noWrap/>
            <w:vAlign w:val="center"/>
            <w:hideMark/>
          </w:tcPr>
          <w:p w14:paraId="239003BF" w14:textId="77777777" w:rsidR="008B35C9" w:rsidRPr="00951AB1" w:rsidRDefault="008B35C9" w:rsidP="000A5389">
            <w:pPr>
              <w:spacing w:line="240" w:lineRule="auto"/>
              <w:jc w:val="right"/>
              <w:rPr>
                <w:rFonts w:eastAsia="Times New Roman" w:cs="Times New Roman"/>
                <w:b/>
                <w:bCs/>
                <w:kern w:val="0"/>
                <w:sz w:val="12"/>
                <w:szCs w:val="12"/>
                <w:lang w:eastAsia="es-CO"/>
                <w14:ligatures w14:val="none"/>
              </w:rPr>
            </w:pPr>
            <w:r w:rsidRPr="00951AB1">
              <w:rPr>
                <w:rFonts w:eastAsia="Times New Roman" w:cs="Times New Roman"/>
                <w:b/>
                <w:bCs/>
                <w:kern w:val="0"/>
                <w:sz w:val="12"/>
                <w:szCs w:val="12"/>
                <w:lang w:eastAsia="es-CO"/>
                <w14:ligatures w14:val="none"/>
              </w:rPr>
              <w:t>15.919.701.367.721</w:t>
            </w:r>
          </w:p>
        </w:tc>
        <w:tc>
          <w:tcPr>
            <w:tcW w:w="625" w:type="pct"/>
            <w:shd w:val="clear" w:color="auto" w:fill="FFFFFF" w:themeFill="background1"/>
            <w:noWrap/>
            <w:vAlign w:val="center"/>
            <w:hideMark/>
          </w:tcPr>
          <w:p w14:paraId="66EC873B" w14:textId="77777777" w:rsidR="008B35C9" w:rsidRPr="00951AB1" w:rsidRDefault="008B35C9" w:rsidP="000A5389">
            <w:pPr>
              <w:spacing w:line="240" w:lineRule="auto"/>
              <w:jc w:val="right"/>
              <w:rPr>
                <w:rFonts w:eastAsia="Times New Roman" w:cs="Times New Roman"/>
                <w:b/>
                <w:bCs/>
                <w:kern w:val="0"/>
                <w:sz w:val="12"/>
                <w:szCs w:val="12"/>
                <w:lang w:eastAsia="es-CO"/>
                <w14:ligatures w14:val="none"/>
              </w:rPr>
            </w:pPr>
            <w:r w:rsidRPr="00951AB1">
              <w:rPr>
                <w:rFonts w:eastAsia="Times New Roman" w:cs="Times New Roman"/>
                <w:b/>
                <w:bCs/>
                <w:kern w:val="0"/>
                <w:sz w:val="12"/>
                <w:szCs w:val="12"/>
                <w:lang w:eastAsia="es-CO"/>
                <w14:ligatures w14:val="none"/>
              </w:rPr>
              <w:t>16.701.724.607.140</w:t>
            </w:r>
          </w:p>
        </w:tc>
        <w:tc>
          <w:tcPr>
            <w:tcW w:w="626" w:type="pct"/>
            <w:shd w:val="clear" w:color="auto" w:fill="FFFFFF" w:themeFill="background1"/>
            <w:noWrap/>
            <w:vAlign w:val="center"/>
            <w:hideMark/>
          </w:tcPr>
          <w:p w14:paraId="1B0CE244" w14:textId="77777777" w:rsidR="008B35C9" w:rsidRPr="00951AB1" w:rsidRDefault="008B35C9" w:rsidP="000A5389">
            <w:pPr>
              <w:spacing w:line="240" w:lineRule="auto"/>
              <w:jc w:val="right"/>
              <w:rPr>
                <w:rFonts w:eastAsia="Times New Roman" w:cs="Times New Roman"/>
                <w:b/>
                <w:bCs/>
                <w:kern w:val="0"/>
                <w:sz w:val="12"/>
                <w:szCs w:val="12"/>
                <w:lang w:eastAsia="es-CO"/>
                <w14:ligatures w14:val="none"/>
              </w:rPr>
            </w:pPr>
            <w:r w:rsidRPr="00951AB1">
              <w:rPr>
                <w:rFonts w:eastAsia="Times New Roman" w:cs="Times New Roman"/>
                <w:b/>
                <w:bCs/>
                <w:kern w:val="0"/>
                <w:sz w:val="12"/>
                <w:szCs w:val="12"/>
                <w:lang w:eastAsia="es-CO"/>
                <w14:ligatures w14:val="none"/>
              </w:rPr>
              <w:t>186.079.166.967</w:t>
            </w:r>
          </w:p>
        </w:tc>
        <w:tc>
          <w:tcPr>
            <w:tcW w:w="625" w:type="pct"/>
            <w:shd w:val="clear" w:color="auto" w:fill="FFFFFF" w:themeFill="background1"/>
            <w:noWrap/>
            <w:vAlign w:val="center"/>
            <w:hideMark/>
          </w:tcPr>
          <w:p w14:paraId="5850F988" w14:textId="77777777" w:rsidR="008B35C9" w:rsidRPr="00951AB1" w:rsidRDefault="008B35C9" w:rsidP="000A5389">
            <w:pPr>
              <w:spacing w:line="240" w:lineRule="auto"/>
              <w:jc w:val="right"/>
              <w:rPr>
                <w:rFonts w:eastAsia="Times New Roman" w:cs="Times New Roman"/>
                <w:b/>
                <w:bCs/>
                <w:kern w:val="0"/>
                <w:sz w:val="12"/>
                <w:szCs w:val="12"/>
                <w:lang w:eastAsia="es-CO"/>
                <w14:ligatures w14:val="none"/>
              </w:rPr>
            </w:pPr>
            <w:r w:rsidRPr="00951AB1">
              <w:rPr>
                <w:rFonts w:eastAsia="Times New Roman" w:cs="Times New Roman"/>
                <w:b/>
                <w:bCs/>
                <w:kern w:val="0"/>
                <w:sz w:val="12"/>
                <w:szCs w:val="12"/>
                <w:lang w:eastAsia="es-CO"/>
                <w14:ligatures w14:val="none"/>
              </w:rPr>
              <w:t>20.840.614.986.222</w:t>
            </w:r>
          </w:p>
        </w:tc>
        <w:tc>
          <w:tcPr>
            <w:tcW w:w="704" w:type="pct"/>
            <w:shd w:val="clear" w:color="auto" w:fill="FFFFFF" w:themeFill="background1"/>
            <w:noWrap/>
            <w:vAlign w:val="center"/>
            <w:hideMark/>
          </w:tcPr>
          <w:p w14:paraId="3581C467" w14:textId="77777777" w:rsidR="008B35C9" w:rsidRPr="00951AB1" w:rsidRDefault="008B35C9" w:rsidP="000A5389">
            <w:pPr>
              <w:spacing w:line="240" w:lineRule="auto"/>
              <w:jc w:val="right"/>
              <w:rPr>
                <w:rFonts w:eastAsia="Times New Roman" w:cs="Times New Roman"/>
                <w:b/>
                <w:bCs/>
                <w:kern w:val="0"/>
                <w:sz w:val="12"/>
                <w:szCs w:val="12"/>
                <w:lang w:eastAsia="es-CO"/>
                <w14:ligatures w14:val="none"/>
              </w:rPr>
            </w:pPr>
            <w:r w:rsidRPr="00951AB1">
              <w:rPr>
                <w:rFonts w:eastAsia="Times New Roman" w:cs="Times New Roman"/>
                <w:b/>
                <w:bCs/>
                <w:kern w:val="0"/>
                <w:sz w:val="12"/>
                <w:szCs w:val="12"/>
                <w:lang w:eastAsia="es-CO"/>
                <w14:ligatures w14:val="none"/>
              </w:rPr>
              <w:t>21.026.694.153.190</w:t>
            </w:r>
          </w:p>
        </w:tc>
        <w:tc>
          <w:tcPr>
            <w:tcW w:w="624" w:type="pct"/>
            <w:shd w:val="clear" w:color="auto" w:fill="FFFFFF" w:themeFill="background1"/>
            <w:noWrap/>
            <w:vAlign w:val="center"/>
            <w:hideMark/>
          </w:tcPr>
          <w:p w14:paraId="4E586FC5" w14:textId="77777777" w:rsidR="008B35C9" w:rsidRPr="00951AB1" w:rsidRDefault="008B35C9" w:rsidP="000A5389">
            <w:pPr>
              <w:spacing w:line="240" w:lineRule="auto"/>
              <w:jc w:val="right"/>
              <w:rPr>
                <w:rFonts w:eastAsia="Times New Roman" w:cs="Times New Roman"/>
                <w:b/>
                <w:bCs/>
                <w:kern w:val="0"/>
                <w:sz w:val="12"/>
                <w:szCs w:val="12"/>
                <w:lang w:eastAsia="es-CO"/>
                <w14:ligatures w14:val="none"/>
              </w:rPr>
            </w:pPr>
            <w:r w:rsidRPr="00951AB1">
              <w:rPr>
                <w:rFonts w:eastAsia="Times New Roman" w:cs="Times New Roman"/>
                <w:b/>
                <w:bCs/>
                <w:kern w:val="0"/>
                <w:sz w:val="12"/>
                <w:szCs w:val="12"/>
                <w:lang w:eastAsia="es-CO"/>
                <w14:ligatures w14:val="none"/>
              </w:rPr>
              <w:t>-4.324.969.546.049</w:t>
            </w:r>
          </w:p>
        </w:tc>
      </w:tr>
      <w:tr w:rsidR="00502776" w:rsidRPr="00951AB1" w14:paraId="6D69B688" w14:textId="77777777" w:rsidTr="002E333D">
        <w:trPr>
          <w:trHeight w:val="630"/>
        </w:trPr>
        <w:tc>
          <w:tcPr>
            <w:tcW w:w="167" w:type="pct"/>
            <w:vMerge w:val="restart"/>
            <w:shd w:val="clear" w:color="auto" w:fill="FFFFFF" w:themeFill="background1"/>
            <w:noWrap/>
            <w:textDirection w:val="btLr"/>
            <w:vAlign w:val="center"/>
            <w:hideMark/>
          </w:tcPr>
          <w:p w14:paraId="62842B5F" w14:textId="77777777" w:rsidR="008B35C9" w:rsidRPr="00951AB1" w:rsidRDefault="008B35C9" w:rsidP="000A5389">
            <w:pPr>
              <w:spacing w:line="240" w:lineRule="auto"/>
              <w:jc w:val="center"/>
              <w:rPr>
                <w:rFonts w:eastAsia="Times New Roman" w:cs="Times New Roman"/>
                <w:b/>
                <w:bCs/>
                <w:kern w:val="0"/>
                <w:sz w:val="12"/>
                <w:szCs w:val="12"/>
                <w:lang w:eastAsia="es-CO"/>
                <w14:ligatures w14:val="none"/>
              </w:rPr>
            </w:pPr>
            <w:r w:rsidRPr="00951AB1">
              <w:rPr>
                <w:rFonts w:eastAsia="Times New Roman" w:cs="Times New Roman"/>
                <w:b/>
                <w:bCs/>
                <w:kern w:val="0"/>
                <w:sz w:val="12"/>
                <w:szCs w:val="12"/>
                <w:lang w:eastAsia="es-CO"/>
                <w14:ligatures w14:val="none"/>
              </w:rPr>
              <w:t>1.9.89.01</w:t>
            </w:r>
          </w:p>
        </w:tc>
        <w:tc>
          <w:tcPr>
            <w:tcW w:w="455" w:type="pct"/>
            <w:shd w:val="clear" w:color="auto" w:fill="FFFFFF" w:themeFill="background1"/>
            <w:vAlign w:val="center"/>
            <w:hideMark/>
          </w:tcPr>
          <w:p w14:paraId="0380D965" w14:textId="77777777" w:rsidR="008B35C9" w:rsidRPr="00951AB1" w:rsidRDefault="008B35C9" w:rsidP="000A5389">
            <w:pPr>
              <w:spacing w:line="240" w:lineRule="auto"/>
              <w:rPr>
                <w:rFonts w:eastAsia="Times New Roman" w:cs="Times New Roman"/>
                <w:b/>
                <w:bCs/>
                <w:kern w:val="0"/>
                <w:sz w:val="12"/>
                <w:szCs w:val="12"/>
                <w:lang w:eastAsia="es-CO"/>
                <w14:ligatures w14:val="none"/>
              </w:rPr>
            </w:pPr>
            <w:r w:rsidRPr="00951AB1">
              <w:rPr>
                <w:rFonts w:eastAsia="Times New Roman" w:cs="Times New Roman"/>
                <w:b/>
                <w:bCs/>
                <w:kern w:val="0"/>
                <w:sz w:val="12"/>
                <w:szCs w:val="12"/>
                <w:lang w:eastAsia="es-CO"/>
                <w14:ligatures w14:val="none"/>
              </w:rPr>
              <w:t>Recursos de la entidad concedente en patrimonios autónomos constituidos por concesionarios privados</w:t>
            </w:r>
          </w:p>
        </w:tc>
        <w:tc>
          <w:tcPr>
            <w:tcW w:w="547" w:type="pct"/>
            <w:shd w:val="clear" w:color="auto" w:fill="FFFFFF" w:themeFill="background1"/>
            <w:noWrap/>
            <w:vAlign w:val="center"/>
            <w:hideMark/>
          </w:tcPr>
          <w:p w14:paraId="0120B12A" w14:textId="77777777" w:rsidR="008B35C9" w:rsidRPr="00951AB1" w:rsidRDefault="008B35C9" w:rsidP="000A5389">
            <w:pPr>
              <w:spacing w:line="240" w:lineRule="auto"/>
              <w:jc w:val="right"/>
              <w:rPr>
                <w:rFonts w:eastAsia="Times New Roman" w:cs="Times New Roman"/>
                <w:b/>
                <w:bCs/>
                <w:kern w:val="0"/>
                <w:sz w:val="12"/>
                <w:szCs w:val="12"/>
                <w:lang w:eastAsia="es-CO"/>
                <w14:ligatures w14:val="none"/>
              </w:rPr>
            </w:pPr>
            <w:r w:rsidRPr="00951AB1">
              <w:rPr>
                <w:rFonts w:eastAsia="Times New Roman" w:cs="Times New Roman"/>
                <w:b/>
                <w:bCs/>
                <w:kern w:val="0"/>
                <w:sz w:val="12"/>
                <w:szCs w:val="12"/>
                <w:lang w:eastAsia="es-CO"/>
                <w14:ligatures w14:val="none"/>
              </w:rPr>
              <w:t>0</w:t>
            </w:r>
          </w:p>
        </w:tc>
        <w:tc>
          <w:tcPr>
            <w:tcW w:w="625" w:type="pct"/>
            <w:shd w:val="clear" w:color="auto" w:fill="FFFFFF" w:themeFill="background1"/>
            <w:noWrap/>
            <w:vAlign w:val="center"/>
            <w:hideMark/>
          </w:tcPr>
          <w:p w14:paraId="5E3957F2" w14:textId="77777777" w:rsidR="008B35C9" w:rsidRPr="00951AB1" w:rsidRDefault="008B35C9" w:rsidP="000A5389">
            <w:pPr>
              <w:spacing w:line="240" w:lineRule="auto"/>
              <w:jc w:val="right"/>
              <w:rPr>
                <w:rFonts w:eastAsia="Times New Roman" w:cs="Times New Roman"/>
                <w:b/>
                <w:bCs/>
                <w:kern w:val="0"/>
                <w:sz w:val="12"/>
                <w:szCs w:val="12"/>
                <w:lang w:eastAsia="es-CO"/>
                <w14:ligatures w14:val="none"/>
              </w:rPr>
            </w:pPr>
            <w:r w:rsidRPr="00951AB1">
              <w:rPr>
                <w:rFonts w:eastAsia="Times New Roman" w:cs="Times New Roman"/>
                <w:b/>
                <w:bCs/>
                <w:kern w:val="0"/>
                <w:sz w:val="12"/>
                <w:szCs w:val="12"/>
                <w:lang w:eastAsia="es-CO"/>
                <w14:ligatures w14:val="none"/>
              </w:rPr>
              <w:t>9.373.615.238.693</w:t>
            </w:r>
          </w:p>
        </w:tc>
        <w:tc>
          <w:tcPr>
            <w:tcW w:w="625" w:type="pct"/>
            <w:shd w:val="clear" w:color="auto" w:fill="FFFFFF" w:themeFill="background1"/>
            <w:noWrap/>
            <w:vAlign w:val="center"/>
            <w:hideMark/>
          </w:tcPr>
          <w:p w14:paraId="58EFC7E3" w14:textId="77777777" w:rsidR="008B35C9" w:rsidRPr="00951AB1" w:rsidRDefault="008B35C9" w:rsidP="000A5389">
            <w:pPr>
              <w:spacing w:line="240" w:lineRule="auto"/>
              <w:jc w:val="right"/>
              <w:rPr>
                <w:rFonts w:eastAsia="Times New Roman" w:cs="Times New Roman"/>
                <w:b/>
                <w:bCs/>
                <w:kern w:val="0"/>
                <w:sz w:val="12"/>
                <w:szCs w:val="12"/>
                <w:lang w:eastAsia="es-CO"/>
                <w14:ligatures w14:val="none"/>
              </w:rPr>
            </w:pPr>
            <w:r w:rsidRPr="00951AB1">
              <w:rPr>
                <w:rFonts w:eastAsia="Times New Roman" w:cs="Times New Roman"/>
                <w:b/>
                <w:bCs/>
                <w:kern w:val="0"/>
                <w:sz w:val="12"/>
                <w:szCs w:val="12"/>
                <w:lang w:eastAsia="es-CO"/>
                <w14:ligatures w14:val="none"/>
              </w:rPr>
              <w:t>9.373.615.238.693</w:t>
            </w:r>
          </w:p>
        </w:tc>
        <w:tc>
          <w:tcPr>
            <w:tcW w:w="626" w:type="pct"/>
            <w:shd w:val="clear" w:color="auto" w:fill="FFFFFF" w:themeFill="background1"/>
            <w:noWrap/>
            <w:vAlign w:val="center"/>
            <w:hideMark/>
          </w:tcPr>
          <w:p w14:paraId="01D44721" w14:textId="77777777" w:rsidR="008B35C9" w:rsidRPr="00951AB1" w:rsidRDefault="008B35C9" w:rsidP="000A5389">
            <w:pPr>
              <w:spacing w:line="240" w:lineRule="auto"/>
              <w:jc w:val="right"/>
              <w:rPr>
                <w:rFonts w:eastAsia="Times New Roman" w:cs="Times New Roman"/>
                <w:b/>
                <w:bCs/>
                <w:kern w:val="0"/>
                <w:sz w:val="12"/>
                <w:szCs w:val="12"/>
                <w:lang w:eastAsia="es-CO"/>
                <w14:ligatures w14:val="none"/>
              </w:rPr>
            </w:pPr>
            <w:r w:rsidRPr="00951AB1">
              <w:rPr>
                <w:rFonts w:eastAsia="Times New Roman" w:cs="Times New Roman"/>
                <w:b/>
                <w:bCs/>
                <w:kern w:val="0"/>
                <w:sz w:val="12"/>
                <w:szCs w:val="12"/>
                <w:lang w:eastAsia="es-CO"/>
                <w14:ligatures w14:val="none"/>
              </w:rPr>
              <w:t>0</w:t>
            </w:r>
          </w:p>
        </w:tc>
        <w:tc>
          <w:tcPr>
            <w:tcW w:w="625" w:type="pct"/>
            <w:shd w:val="clear" w:color="auto" w:fill="FFFFFF" w:themeFill="background1"/>
            <w:noWrap/>
            <w:vAlign w:val="center"/>
            <w:hideMark/>
          </w:tcPr>
          <w:p w14:paraId="47B97389" w14:textId="77777777" w:rsidR="008B35C9" w:rsidRPr="00951AB1" w:rsidRDefault="008B35C9" w:rsidP="000A5389">
            <w:pPr>
              <w:spacing w:line="240" w:lineRule="auto"/>
              <w:jc w:val="right"/>
              <w:rPr>
                <w:rFonts w:eastAsia="Times New Roman" w:cs="Times New Roman"/>
                <w:b/>
                <w:bCs/>
                <w:kern w:val="0"/>
                <w:sz w:val="12"/>
                <w:szCs w:val="12"/>
                <w:lang w:eastAsia="es-CO"/>
                <w14:ligatures w14:val="none"/>
              </w:rPr>
            </w:pPr>
            <w:r w:rsidRPr="00951AB1">
              <w:rPr>
                <w:rFonts w:eastAsia="Times New Roman" w:cs="Times New Roman"/>
                <w:b/>
                <w:bCs/>
                <w:kern w:val="0"/>
                <w:sz w:val="12"/>
                <w:szCs w:val="12"/>
                <w:lang w:eastAsia="es-CO"/>
                <w14:ligatures w14:val="none"/>
              </w:rPr>
              <w:t>14.533.009.505.519</w:t>
            </w:r>
          </w:p>
        </w:tc>
        <w:tc>
          <w:tcPr>
            <w:tcW w:w="704" w:type="pct"/>
            <w:shd w:val="clear" w:color="auto" w:fill="FFFFFF" w:themeFill="background1"/>
            <w:noWrap/>
            <w:vAlign w:val="center"/>
            <w:hideMark/>
          </w:tcPr>
          <w:p w14:paraId="3092319B" w14:textId="77777777" w:rsidR="008B35C9" w:rsidRPr="00951AB1" w:rsidRDefault="008B35C9" w:rsidP="000A5389">
            <w:pPr>
              <w:spacing w:line="240" w:lineRule="auto"/>
              <w:jc w:val="right"/>
              <w:rPr>
                <w:rFonts w:eastAsia="Times New Roman" w:cs="Times New Roman"/>
                <w:b/>
                <w:bCs/>
                <w:kern w:val="0"/>
                <w:sz w:val="12"/>
                <w:szCs w:val="12"/>
                <w:lang w:eastAsia="es-CO"/>
                <w14:ligatures w14:val="none"/>
              </w:rPr>
            </w:pPr>
            <w:r w:rsidRPr="00951AB1">
              <w:rPr>
                <w:rFonts w:eastAsia="Times New Roman" w:cs="Times New Roman"/>
                <w:b/>
                <w:bCs/>
                <w:kern w:val="0"/>
                <w:sz w:val="12"/>
                <w:szCs w:val="12"/>
                <w:lang w:eastAsia="es-CO"/>
                <w14:ligatures w14:val="none"/>
              </w:rPr>
              <w:t>14.533.009.505.519</w:t>
            </w:r>
          </w:p>
        </w:tc>
        <w:tc>
          <w:tcPr>
            <w:tcW w:w="624" w:type="pct"/>
            <w:shd w:val="clear" w:color="auto" w:fill="FFFFFF" w:themeFill="background1"/>
            <w:noWrap/>
            <w:vAlign w:val="center"/>
            <w:hideMark/>
          </w:tcPr>
          <w:p w14:paraId="7385C1D3" w14:textId="77777777" w:rsidR="008B35C9" w:rsidRPr="00951AB1" w:rsidRDefault="008B35C9" w:rsidP="000A5389">
            <w:pPr>
              <w:spacing w:line="240" w:lineRule="auto"/>
              <w:jc w:val="right"/>
              <w:rPr>
                <w:rFonts w:eastAsia="Times New Roman" w:cs="Times New Roman"/>
                <w:b/>
                <w:bCs/>
                <w:kern w:val="0"/>
                <w:sz w:val="12"/>
                <w:szCs w:val="12"/>
                <w:lang w:eastAsia="es-CO"/>
                <w14:ligatures w14:val="none"/>
              </w:rPr>
            </w:pPr>
            <w:r w:rsidRPr="00951AB1">
              <w:rPr>
                <w:rFonts w:eastAsia="Times New Roman" w:cs="Times New Roman"/>
                <w:b/>
                <w:bCs/>
                <w:kern w:val="0"/>
                <w:sz w:val="12"/>
                <w:szCs w:val="12"/>
                <w:lang w:eastAsia="es-CO"/>
                <w14:ligatures w14:val="none"/>
              </w:rPr>
              <w:t>-5.159.394.266.826</w:t>
            </w:r>
          </w:p>
        </w:tc>
      </w:tr>
      <w:tr w:rsidR="00502776" w:rsidRPr="00951AB1" w14:paraId="6A7C4EE4" w14:textId="77777777" w:rsidTr="002E333D">
        <w:trPr>
          <w:trHeight w:val="450"/>
        </w:trPr>
        <w:tc>
          <w:tcPr>
            <w:tcW w:w="167" w:type="pct"/>
            <w:vMerge/>
            <w:shd w:val="clear" w:color="auto" w:fill="FFFFFF" w:themeFill="background1"/>
            <w:vAlign w:val="center"/>
            <w:hideMark/>
          </w:tcPr>
          <w:p w14:paraId="0B8C7B6B" w14:textId="77777777" w:rsidR="008B35C9" w:rsidRPr="00951AB1" w:rsidRDefault="008B35C9" w:rsidP="000A5389">
            <w:pPr>
              <w:spacing w:line="240" w:lineRule="auto"/>
              <w:rPr>
                <w:rFonts w:eastAsia="Times New Roman" w:cs="Times New Roman"/>
                <w:b/>
                <w:bCs/>
                <w:kern w:val="0"/>
                <w:sz w:val="12"/>
                <w:szCs w:val="12"/>
                <w:lang w:eastAsia="es-CO"/>
                <w14:ligatures w14:val="none"/>
              </w:rPr>
            </w:pPr>
          </w:p>
        </w:tc>
        <w:tc>
          <w:tcPr>
            <w:tcW w:w="455" w:type="pct"/>
            <w:shd w:val="clear" w:color="auto" w:fill="FFFFFF" w:themeFill="background1"/>
            <w:vAlign w:val="center"/>
            <w:hideMark/>
          </w:tcPr>
          <w:p w14:paraId="27675CAA" w14:textId="77777777" w:rsidR="008B35C9" w:rsidRPr="00951AB1" w:rsidRDefault="008B35C9" w:rsidP="000A5389">
            <w:pPr>
              <w:spacing w:line="240" w:lineRule="auto"/>
              <w:rPr>
                <w:rFonts w:eastAsia="Times New Roman" w:cs="Times New Roman"/>
                <w:kern w:val="0"/>
                <w:sz w:val="12"/>
                <w:szCs w:val="12"/>
                <w:lang w:eastAsia="es-CO"/>
                <w14:ligatures w14:val="none"/>
              </w:rPr>
            </w:pPr>
            <w:r w:rsidRPr="00951AB1">
              <w:rPr>
                <w:rFonts w:eastAsia="Times New Roman" w:cs="Times New Roman"/>
                <w:kern w:val="0"/>
                <w:sz w:val="12"/>
                <w:szCs w:val="12"/>
                <w:lang w:eastAsia="es-CO"/>
                <w14:ligatures w14:val="none"/>
              </w:rPr>
              <w:t>Recursos de la entidad concedente en patrimonios autónomos constituidos por concesionarios privados</w:t>
            </w:r>
          </w:p>
        </w:tc>
        <w:tc>
          <w:tcPr>
            <w:tcW w:w="547" w:type="pct"/>
            <w:shd w:val="clear" w:color="auto" w:fill="FFFFFF" w:themeFill="background1"/>
            <w:noWrap/>
            <w:vAlign w:val="center"/>
            <w:hideMark/>
          </w:tcPr>
          <w:p w14:paraId="435AA05A" w14:textId="77777777" w:rsidR="008B35C9" w:rsidRPr="00951AB1" w:rsidRDefault="008B35C9" w:rsidP="000A5389">
            <w:pPr>
              <w:spacing w:line="240" w:lineRule="auto"/>
              <w:jc w:val="right"/>
              <w:rPr>
                <w:rFonts w:eastAsia="Times New Roman" w:cs="Times New Roman"/>
                <w:kern w:val="0"/>
                <w:sz w:val="12"/>
                <w:szCs w:val="12"/>
                <w:lang w:eastAsia="es-CO"/>
                <w14:ligatures w14:val="none"/>
              </w:rPr>
            </w:pPr>
            <w:r w:rsidRPr="00951AB1">
              <w:rPr>
                <w:rFonts w:eastAsia="Times New Roman" w:cs="Times New Roman"/>
                <w:kern w:val="0"/>
                <w:sz w:val="12"/>
                <w:szCs w:val="12"/>
                <w:lang w:eastAsia="es-CO"/>
                <w14:ligatures w14:val="none"/>
              </w:rPr>
              <w:t>0</w:t>
            </w:r>
          </w:p>
        </w:tc>
        <w:tc>
          <w:tcPr>
            <w:tcW w:w="625" w:type="pct"/>
            <w:shd w:val="clear" w:color="auto" w:fill="FFFFFF" w:themeFill="background1"/>
            <w:noWrap/>
            <w:vAlign w:val="center"/>
            <w:hideMark/>
          </w:tcPr>
          <w:p w14:paraId="06C67830" w14:textId="77777777" w:rsidR="008B35C9" w:rsidRPr="00951AB1" w:rsidRDefault="008B35C9" w:rsidP="000A5389">
            <w:pPr>
              <w:spacing w:line="240" w:lineRule="auto"/>
              <w:jc w:val="right"/>
              <w:rPr>
                <w:rFonts w:eastAsia="Times New Roman" w:cs="Times New Roman"/>
                <w:kern w:val="0"/>
                <w:sz w:val="12"/>
                <w:szCs w:val="12"/>
                <w:lang w:eastAsia="es-CO"/>
                <w14:ligatures w14:val="none"/>
              </w:rPr>
            </w:pPr>
            <w:r w:rsidRPr="00951AB1">
              <w:rPr>
                <w:rFonts w:eastAsia="Times New Roman" w:cs="Times New Roman"/>
                <w:kern w:val="0"/>
                <w:sz w:val="12"/>
                <w:szCs w:val="12"/>
                <w:lang w:eastAsia="es-CO"/>
                <w14:ligatures w14:val="none"/>
              </w:rPr>
              <w:t>9.373.615.238.693</w:t>
            </w:r>
          </w:p>
        </w:tc>
        <w:tc>
          <w:tcPr>
            <w:tcW w:w="625" w:type="pct"/>
            <w:shd w:val="clear" w:color="auto" w:fill="FFFFFF" w:themeFill="background1"/>
            <w:noWrap/>
            <w:vAlign w:val="center"/>
            <w:hideMark/>
          </w:tcPr>
          <w:p w14:paraId="06FD749A" w14:textId="77777777" w:rsidR="008B35C9" w:rsidRPr="00951AB1" w:rsidRDefault="008B35C9" w:rsidP="000A5389">
            <w:pPr>
              <w:spacing w:line="240" w:lineRule="auto"/>
              <w:jc w:val="right"/>
              <w:rPr>
                <w:rFonts w:eastAsia="Times New Roman" w:cs="Times New Roman"/>
                <w:kern w:val="0"/>
                <w:sz w:val="12"/>
                <w:szCs w:val="12"/>
                <w:lang w:eastAsia="es-CO"/>
                <w14:ligatures w14:val="none"/>
              </w:rPr>
            </w:pPr>
            <w:r w:rsidRPr="00951AB1">
              <w:rPr>
                <w:rFonts w:eastAsia="Times New Roman" w:cs="Times New Roman"/>
                <w:kern w:val="0"/>
                <w:sz w:val="12"/>
                <w:szCs w:val="12"/>
                <w:lang w:eastAsia="es-CO"/>
                <w14:ligatures w14:val="none"/>
              </w:rPr>
              <w:t>9.373.615.238.693</w:t>
            </w:r>
          </w:p>
        </w:tc>
        <w:tc>
          <w:tcPr>
            <w:tcW w:w="626" w:type="pct"/>
            <w:shd w:val="clear" w:color="auto" w:fill="FFFFFF" w:themeFill="background1"/>
            <w:noWrap/>
            <w:vAlign w:val="center"/>
            <w:hideMark/>
          </w:tcPr>
          <w:p w14:paraId="446EDD09" w14:textId="77777777" w:rsidR="008B35C9" w:rsidRPr="00951AB1" w:rsidRDefault="008B35C9" w:rsidP="000A5389">
            <w:pPr>
              <w:spacing w:line="240" w:lineRule="auto"/>
              <w:jc w:val="right"/>
              <w:rPr>
                <w:rFonts w:eastAsia="Times New Roman" w:cs="Times New Roman"/>
                <w:kern w:val="0"/>
                <w:sz w:val="12"/>
                <w:szCs w:val="12"/>
                <w:lang w:eastAsia="es-CO"/>
                <w14:ligatures w14:val="none"/>
              </w:rPr>
            </w:pPr>
            <w:r w:rsidRPr="00951AB1">
              <w:rPr>
                <w:rFonts w:eastAsia="Times New Roman" w:cs="Times New Roman"/>
                <w:kern w:val="0"/>
                <w:sz w:val="12"/>
                <w:szCs w:val="12"/>
                <w:lang w:eastAsia="es-CO"/>
                <w14:ligatures w14:val="none"/>
              </w:rPr>
              <w:t>0</w:t>
            </w:r>
          </w:p>
        </w:tc>
        <w:tc>
          <w:tcPr>
            <w:tcW w:w="625" w:type="pct"/>
            <w:shd w:val="clear" w:color="auto" w:fill="FFFFFF" w:themeFill="background1"/>
            <w:noWrap/>
            <w:vAlign w:val="center"/>
            <w:hideMark/>
          </w:tcPr>
          <w:p w14:paraId="6C2278BC" w14:textId="77777777" w:rsidR="008B35C9" w:rsidRPr="00951AB1" w:rsidRDefault="008B35C9" w:rsidP="000A5389">
            <w:pPr>
              <w:spacing w:line="240" w:lineRule="auto"/>
              <w:jc w:val="right"/>
              <w:rPr>
                <w:rFonts w:eastAsia="Times New Roman" w:cs="Times New Roman"/>
                <w:kern w:val="0"/>
                <w:sz w:val="12"/>
                <w:szCs w:val="12"/>
                <w:lang w:eastAsia="es-CO"/>
                <w14:ligatures w14:val="none"/>
              </w:rPr>
            </w:pPr>
            <w:r w:rsidRPr="00951AB1">
              <w:rPr>
                <w:rFonts w:eastAsia="Times New Roman" w:cs="Times New Roman"/>
                <w:kern w:val="0"/>
                <w:sz w:val="12"/>
                <w:szCs w:val="12"/>
                <w:lang w:eastAsia="es-CO"/>
                <w14:ligatures w14:val="none"/>
              </w:rPr>
              <w:t>14.533.009.505.519</w:t>
            </w:r>
          </w:p>
        </w:tc>
        <w:tc>
          <w:tcPr>
            <w:tcW w:w="704" w:type="pct"/>
            <w:shd w:val="clear" w:color="auto" w:fill="FFFFFF" w:themeFill="background1"/>
            <w:noWrap/>
            <w:vAlign w:val="center"/>
            <w:hideMark/>
          </w:tcPr>
          <w:p w14:paraId="017EB5AB" w14:textId="77777777" w:rsidR="008B35C9" w:rsidRPr="00951AB1" w:rsidRDefault="008B35C9" w:rsidP="000A5389">
            <w:pPr>
              <w:spacing w:line="240" w:lineRule="auto"/>
              <w:jc w:val="right"/>
              <w:rPr>
                <w:rFonts w:eastAsia="Times New Roman" w:cs="Times New Roman"/>
                <w:kern w:val="0"/>
                <w:sz w:val="12"/>
                <w:szCs w:val="12"/>
                <w:lang w:eastAsia="es-CO"/>
                <w14:ligatures w14:val="none"/>
              </w:rPr>
            </w:pPr>
            <w:r w:rsidRPr="00951AB1">
              <w:rPr>
                <w:rFonts w:eastAsia="Times New Roman" w:cs="Times New Roman"/>
                <w:kern w:val="0"/>
                <w:sz w:val="12"/>
                <w:szCs w:val="12"/>
                <w:lang w:eastAsia="es-CO"/>
                <w14:ligatures w14:val="none"/>
              </w:rPr>
              <w:t>14.533.009.505.519</w:t>
            </w:r>
          </w:p>
        </w:tc>
        <w:tc>
          <w:tcPr>
            <w:tcW w:w="624" w:type="pct"/>
            <w:shd w:val="clear" w:color="auto" w:fill="FFFFFF" w:themeFill="background1"/>
            <w:noWrap/>
            <w:vAlign w:val="center"/>
            <w:hideMark/>
          </w:tcPr>
          <w:p w14:paraId="750C0DDA" w14:textId="77777777" w:rsidR="008B35C9" w:rsidRPr="00951AB1" w:rsidRDefault="008B35C9" w:rsidP="000A5389">
            <w:pPr>
              <w:spacing w:line="240" w:lineRule="auto"/>
              <w:jc w:val="right"/>
              <w:rPr>
                <w:rFonts w:eastAsia="Times New Roman" w:cs="Times New Roman"/>
                <w:kern w:val="0"/>
                <w:sz w:val="12"/>
                <w:szCs w:val="12"/>
                <w:lang w:eastAsia="es-CO"/>
                <w14:ligatures w14:val="none"/>
              </w:rPr>
            </w:pPr>
            <w:r w:rsidRPr="00951AB1">
              <w:rPr>
                <w:rFonts w:eastAsia="Times New Roman" w:cs="Times New Roman"/>
                <w:kern w:val="0"/>
                <w:sz w:val="12"/>
                <w:szCs w:val="12"/>
                <w:lang w:eastAsia="es-CO"/>
                <w14:ligatures w14:val="none"/>
              </w:rPr>
              <w:t>-5.159.394.266.826</w:t>
            </w:r>
          </w:p>
        </w:tc>
      </w:tr>
      <w:tr w:rsidR="00502776" w:rsidRPr="00951AB1" w14:paraId="49CE5A7E" w14:textId="77777777" w:rsidTr="002E333D">
        <w:trPr>
          <w:trHeight w:val="555"/>
        </w:trPr>
        <w:tc>
          <w:tcPr>
            <w:tcW w:w="167" w:type="pct"/>
            <w:vMerge w:val="restart"/>
            <w:shd w:val="clear" w:color="auto" w:fill="FFFFFF" w:themeFill="background1"/>
            <w:noWrap/>
            <w:textDirection w:val="btLr"/>
            <w:vAlign w:val="center"/>
            <w:hideMark/>
          </w:tcPr>
          <w:p w14:paraId="3DEB7F62" w14:textId="77777777" w:rsidR="008B35C9" w:rsidRPr="00951AB1" w:rsidRDefault="008B35C9" w:rsidP="000A5389">
            <w:pPr>
              <w:spacing w:line="240" w:lineRule="auto"/>
              <w:jc w:val="center"/>
              <w:rPr>
                <w:rFonts w:eastAsia="Times New Roman" w:cs="Times New Roman"/>
                <w:b/>
                <w:bCs/>
                <w:kern w:val="0"/>
                <w:sz w:val="12"/>
                <w:szCs w:val="12"/>
                <w:lang w:eastAsia="es-CO"/>
                <w14:ligatures w14:val="none"/>
              </w:rPr>
            </w:pPr>
            <w:r w:rsidRPr="00951AB1">
              <w:rPr>
                <w:rFonts w:eastAsia="Times New Roman" w:cs="Times New Roman"/>
                <w:b/>
                <w:bCs/>
                <w:kern w:val="0"/>
                <w:sz w:val="12"/>
                <w:szCs w:val="12"/>
                <w:lang w:eastAsia="es-CO"/>
                <w14:ligatures w14:val="none"/>
              </w:rPr>
              <w:t>1.9.08.03</w:t>
            </w:r>
          </w:p>
        </w:tc>
        <w:tc>
          <w:tcPr>
            <w:tcW w:w="455" w:type="pct"/>
            <w:shd w:val="clear" w:color="auto" w:fill="FFFFFF" w:themeFill="background1"/>
            <w:vAlign w:val="center"/>
            <w:hideMark/>
          </w:tcPr>
          <w:p w14:paraId="0E82A46D" w14:textId="77777777" w:rsidR="008B35C9" w:rsidRPr="00951AB1" w:rsidRDefault="008B35C9" w:rsidP="000A5389">
            <w:pPr>
              <w:spacing w:line="240" w:lineRule="auto"/>
              <w:rPr>
                <w:rFonts w:eastAsia="Times New Roman" w:cs="Times New Roman"/>
                <w:b/>
                <w:bCs/>
                <w:kern w:val="0"/>
                <w:sz w:val="12"/>
                <w:szCs w:val="12"/>
                <w:lang w:eastAsia="es-CO"/>
                <w14:ligatures w14:val="none"/>
              </w:rPr>
            </w:pPr>
            <w:r w:rsidRPr="00951AB1">
              <w:rPr>
                <w:rFonts w:eastAsia="Times New Roman" w:cs="Times New Roman"/>
                <w:b/>
                <w:bCs/>
                <w:kern w:val="0"/>
                <w:sz w:val="12"/>
                <w:szCs w:val="12"/>
                <w:lang w:eastAsia="es-CO"/>
                <w14:ligatures w14:val="none"/>
              </w:rPr>
              <w:t>Encargo fiduciario - fiducia de administración y pagos</w:t>
            </w:r>
          </w:p>
        </w:tc>
        <w:tc>
          <w:tcPr>
            <w:tcW w:w="547" w:type="pct"/>
            <w:shd w:val="clear" w:color="auto" w:fill="FFFFFF" w:themeFill="background1"/>
            <w:noWrap/>
            <w:vAlign w:val="center"/>
            <w:hideMark/>
          </w:tcPr>
          <w:p w14:paraId="44EAAA8F" w14:textId="77777777" w:rsidR="008B35C9" w:rsidRPr="00951AB1" w:rsidRDefault="008B35C9" w:rsidP="000A5389">
            <w:pPr>
              <w:spacing w:line="240" w:lineRule="auto"/>
              <w:jc w:val="right"/>
              <w:rPr>
                <w:rFonts w:eastAsia="Times New Roman" w:cs="Times New Roman"/>
                <w:b/>
                <w:bCs/>
                <w:kern w:val="0"/>
                <w:sz w:val="12"/>
                <w:szCs w:val="12"/>
                <w:lang w:eastAsia="es-CO"/>
                <w14:ligatures w14:val="none"/>
              </w:rPr>
            </w:pPr>
            <w:r w:rsidRPr="00951AB1">
              <w:rPr>
                <w:rFonts w:eastAsia="Times New Roman" w:cs="Times New Roman"/>
                <w:b/>
                <w:bCs/>
                <w:kern w:val="0"/>
                <w:sz w:val="12"/>
                <w:szCs w:val="12"/>
                <w:lang w:eastAsia="es-CO"/>
                <w14:ligatures w14:val="none"/>
              </w:rPr>
              <w:t>0</w:t>
            </w:r>
          </w:p>
        </w:tc>
        <w:tc>
          <w:tcPr>
            <w:tcW w:w="625" w:type="pct"/>
            <w:shd w:val="clear" w:color="auto" w:fill="FFFFFF" w:themeFill="background1"/>
            <w:noWrap/>
            <w:vAlign w:val="center"/>
            <w:hideMark/>
          </w:tcPr>
          <w:p w14:paraId="799E1C4B" w14:textId="77777777" w:rsidR="008B35C9" w:rsidRPr="00951AB1" w:rsidRDefault="008B35C9" w:rsidP="000A5389">
            <w:pPr>
              <w:spacing w:line="240" w:lineRule="auto"/>
              <w:jc w:val="right"/>
              <w:rPr>
                <w:rFonts w:eastAsia="Times New Roman" w:cs="Times New Roman"/>
                <w:b/>
                <w:bCs/>
                <w:kern w:val="0"/>
                <w:sz w:val="12"/>
                <w:szCs w:val="12"/>
                <w:lang w:eastAsia="es-CO"/>
                <w14:ligatures w14:val="none"/>
              </w:rPr>
            </w:pPr>
            <w:r w:rsidRPr="00951AB1">
              <w:rPr>
                <w:rFonts w:eastAsia="Times New Roman" w:cs="Times New Roman"/>
                <w:b/>
                <w:bCs/>
                <w:kern w:val="0"/>
                <w:sz w:val="12"/>
                <w:szCs w:val="12"/>
                <w:lang w:eastAsia="es-CO"/>
                <w14:ligatures w14:val="none"/>
              </w:rPr>
              <w:t>6.364.715.271.053</w:t>
            </w:r>
          </w:p>
        </w:tc>
        <w:tc>
          <w:tcPr>
            <w:tcW w:w="625" w:type="pct"/>
            <w:shd w:val="clear" w:color="auto" w:fill="FFFFFF" w:themeFill="background1"/>
            <w:noWrap/>
            <w:vAlign w:val="center"/>
            <w:hideMark/>
          </w:tcPr>
          <w:p w14:paraId="41B05C1D" w14:textId="77777777" w:rsidR="008B35C9" w:rsidRPr="00951AB1" w:rsidRDefault="008B35C9" w:rsidP="000A5389">
            <w:pPr>
              <w:spacing w:line="240" w:lineRule="auto"/>
              <w:jc w:val="right"/>
              <w:rPr>
                <w:rFonts w:eastAsia="Times New Roman" w:cs="Times New Roman"/>
                <w:b/>
                <w:bCs/>
                <w:kern w:val="0"/>
                <w:sz w:val="12"/>
                <w:szCs w:val="12"/>
                <w:lang w:eastAsia="es-CO"/>
                <w14:ligatures w14:val="none"/>
              </w:rPr>
            </w:pPr>
            <w:r w:rsidRPr="00951AB1">
              <w:rPr>
                <w:rFonts w:eastAsia="Times New Roman" w:cs="Times New Roman"/>
                <w:b/>
                <w:bCs/>
                <w:kern w:val="0"/>
                <w:sz w:val="12"/>
                <w:szCs w:val="12"/>
                <w:lang w:eastAsia="es-CO"/>
                <w14:ligatures w14:val="none"/>
              </w:rPr>
              <w:t>6.364.715.271.053</w:t>
            </w:r>
          </w:p>
        </w:tc>
        <w:tc>
          <w:tcPr>
            <w:tcW w:w="626" w:type="pct"/>
            <w:shd w:val="clear" w:color="auto" w:fill="FFFFFF" w:themeFill="background1"/>
            <w:noWrap/>
            <w:vAlign w:val="center"/>
            <w:hideMark/>
          </w:tcPr>
          <w:p w14:paraId="25CA898C" w14:textId="77777777" w:rsidR="008B35C9" w:rsidRPr="00951AB1" w:rsidRDefault="008B35C9" w:rsidP="000A5389">
            <w:pPr>
              <w:spacing w:line="240" w:lineRule="auto"/>
              <w:jc w:val="right"/>
              <w:rPr>
                <w:rFonts w:eastAsia="Times New Roman" w:cs="Times New Roman"/>
                <w:b/>
                <w:bCs/>
                <w:kern w:val="0"/>
                <w:sz w:val="12"/>
                <w:szCs w:val="12"/>
                <w:lang w:eastAsia="es-CO"/>
                <w14:ligatures w14:val="none"/>
              </w:rPr>
            </w:pPr>
            <w:r w:rsidRPr="00951AB1">
              <w:rPr>
                <w:rFonts w:eastAsia="Times New Roman" w:cs="Times New Roman"/>
                <w:b/>
                <w:bCs/>
                <w:kern w:val="0"/>
                <w:sz w:val="12"/>
                <w:szCs w:val="12"/>
                <w:lang w:eastAsia="es-CO"/>
                <w14:ligatures w14:val="none"/>
              </w:rPr>
              <w:t>0</w:t>
            </w:r>
          </w:p>
        </w:tc>
        <w:tc>
          <w:tcPr>
            <w:tcW w:w="625" w:type="pct"/>
            <w:shd w:val="clear" w:color="auto" w:fill="FFFFFF" w:themeFill="background1"/>
            <w:noWrap/>
            <w:vAlign w:val="center"/>
            <w:hideMark/>
          </w:tcPr>
          <w:p w14:paraId="660B7E7F" w14:textId="77777777" w:rsidR="008B35C9" w:rsidRPr="00951AB1" w:rsidRDefault="008B35C9" w:rsidP="000A5389">
            <w:pPr>
              <w:spacing w:line="240" w:lineRule="auto"/>
              <w:jc w:val="right"/>
              <w:rPr>
                <w:rFonts w:eastAsia="Times New Roman" w:cs="Times New Roman"/>
                <w:b/>
                <w:bCs/>
                <w:kern w:val="0"/>
                <w:sz w:val="12"/>
                <w:szCs w:val="12"/>
                <w:lang w:eastAsia="es-CO"/>
                <w14:ligatures w14:val="none"/>
              </w:rPr>
            </w:pPr>
            <w:r w:rsidRPr="00951AB1">
              <w:rPr>
                <w:rFonts w:eastAsia="Times New Roman" w:cs="Times New Roman"/>
                <w:b/>
                <w:bCs/>
                <w:kern w:val="0"/>
                <w:sz w:val="12"/>
                <w:szCs w:val="12"/>
                <w:lang w:eastAsia="es-CO"/>
                <w14:ligatures w14:val="none"/>
              </w:rPr>
              <w:t>5.897.957.508.019</w:t>
            </w:r>
          </w:p>
        </w:tc>
        <w:tc>
          <w:tcPr>
            <w:tcW w:w="704" w:type="pct"/>
            <w:shd w:val="clear" w:color="auto" w:fill="FFFFFF" w:themeFill="background1"/>
            <w:noWrap/>
            <w:vAlign w:val="center"/>
            <w:hideMark/>
          </w:tcPr>
          <w:p w14:paraId="6200C8A5" w14:textId="77777777" w:rsidR="008B35C9" w:rsidRPr="00951AB1" w:rsidRDefault="008B35C9" w:rsidP="000A5389">
            <w:pPr>
              <w:spacing w:line="240" w:lineRule="auto"/>
              <w:jc w:val="right"/>
              <w:rPr>
                <w:rFonts w:eastAsia="Times New Roman" w:cs="Times New Roman"/>
                <w:b/>
                <w:bCs/>
                <w:kern w:val="0"/>
                <w:sz w:val="12"/>
                <w:szCs w:val="12"/>
                <w:lang w:eastAsia="es-CO"/>
                <w14:ligatures w14:val="none"/>
              </w:rPr>
            </w:pPr>
            <w:r w:rsidRPr="00951AB1">
              <w:rPr>
                <w:rFonts w:eastAsia="Times New Roman" w:cs="Times New Roman"/>
                <w:b/>
                <w:bCs/>
                <w:kern w:val="0"/>
                <w:sz w:val="12"/>
                <w:szCs w:val="12"/>
                <w:lang w:eastAsia="es-CO"/>
                <w14:ligatures w14:val="none"/>
              </w:rPr>
              <w:t>5.897.957.508.019</w:t>
            </w:r>
          </w:p>
        </w:tc>
        <w:tc>
          <w:tcPr>
            <w:tcW w:w="624" w:type="pct"/>
            <w:shd w:val="clear" w:color="auto" w:fill="FFFFFF" w:themeFill="background1"/>
            <w:noWrap/>
            <w:vAlign w:val="center"/>
            <w:hideMark/>
          </w:tcPr>
          <w:p w14:paraId="531E3B1B" w14:textId="77777777" w:rsidR="008B35C9" w:rsidRPr="00951AB1" w:rsidRDefault="008B35C9" w:rsidP="000A5389">
            <w:pPr>
              <w:spacing w:line="240" w:lineRule="auto"/>
              <w:jc w:val="right"/>
              <w:rPr>
                <w:rFonts w:eastAsia="Times New Roman" w:cs="Times New Roman"/>
                <w:b/>
                <w:bCs/>
                <w:kern w:val="0"/>
                <w:sz w:val="12"/>
                <w:szCs w:val="12"/>
                <w:lang w:eastAsia="es-CO"/>
                <w14:ligatures w14:val="none"/>
              </w:rPr>
            </w:pPr>
            <w:r w:rsidRPr="00951AB1">
              <w:rPr>
                <w:rFonts w:eastAsia="Times New Roman" w:cs="Times New Roman"/>
                <w:b/>
                <w:bCs/>
                <w:kern w:val="0"/>
                <w:sz w:val="12"/>
                <w:szCs w:val="12"/>
                <w:lang w:eastAsia="es-CO"/>
                <w14:ligatures w14:val="none"/>
              </w:rPr>
              <w:t>466.757.763.033</w:t>
            </w:r>
          </w:p>
        </w:tc>
      </w:tr>
      <w:tr w:rsidR="00502776" w:rsidRPr="00951AB1" w14:paraId="5E1F039A" w14:textId="77777777" w:rsidTr="002E333D">
        <w:trPr>
          <w:trHeight w:val="225"/>
        </w:trPr>
        <w:tc>
          <w:tcPr>
            <w:tcW w:w="167" w:type="pct"/>
            <w:vMerge/>
            <w:shd w:val="clear" w:color="auto" w:fill="FFFFFF" w:themeFill="background1"/>
            <w:vAlign w:val="center"/>
            <w:hideMark/>
          </w:tcPr>
          <w:p w14:paraId="0C726BE5" w14:textId="77777777" w:rsidR="008B35C9" w:rsidRPr="00951AB1" w:rsidRDefault="008B35C9" w:rsidP="000A5389">
            <w:pPr>
              <w:spacing w:line="240" w:lineRule="auto"/>
              <w:rPr>
                <w:rFonts w:eastAsia="Times New Roman" w:cs="Times New Roman"/>
                <w:b/>
                <w:bCs/>
                <w:kern w:val="0"/>
                <w:sz w:val="12"/>
                <w:szCs w:val="12"/>
                <w:lang w:eastAsia="es-CO"/>
                <w14:ligatures w14:val="none"/>
              </w:rPr>
            </w:pPr>
          </w:p>
        </w:tc>
        <w:tc>
          <w:tcPr>
            <w:tcW w:w="455" w:type="pct"/>
            <w:shd w:val="clear" w:color="auto" w:fill="FFFFFF" w:themeFill="background1"/>
            <w:vAlign w:val="center"/>
            <w:hideMark/>
          </w:tcPr>
          <w:p w14:paraId="1CA1D4AF" w14:textId="77777777" w:rsidR="008B35C9" w:rsidRPr="00951AB1" w:rsidRDefault="008B35C9" w:rsidP="000A5389">
            <w:pPr>
              <w:spacing w:line="240" w:lineRule="auto"/>
              <w:rPr>
                <w:rFonts w:eastAsia="Times New Roman" w:cs="Times New Roman"/>
                <w:kern w:val="0"/>
                <w:sz w:val="12"/>
                <w:szCs w:val="12"/>
                <w:lang w:eastAsia="es-CO"/>
                <w14:ligatures w14:val="none"/>
              </w:rPr>
            </w:pPr>
            <w:r w:rsidRPr="00951AB1">
              <w:rPr>
                <w:rFonts w:eastAsia="Times New Roman" w:cs="Times New Roman"/>
                <w:kern w:val="0"/>
                <w:sz w:val="12"/>
                <w:szCs w:val="12"/>
                <w:lang w:eastAsia="es-CO"/>
                <w14:ligatures w14:val="none"/>
              </w:rPr>
              <w:t xml:space="preserve"> Fondo de Contingencias de las </w:t>
            </w:r>
            <w:r w:rsidRPr="00951AB1">
              <w:rPr>
                <w:rFonts w:eastAsia="Times New Roman" w:cs="Times New Roman"/>
                <w:kern w:val="0"/>
                <w:sz w:val="12"/>
                <w:szCs w:val="12"/>
                <w:lang w:eastAsia="es-CO"/>
                <w14:ligatures w14:val="none"/>
              </w:rPr>
              <w:lastRenderedPageBreak/>
              <w:t>Entidades Estatales </w:t>
            </w:r>
          </w:p>
        </w:tc>
        <w:tc>
          <w:tcPr>
            <w:tcW w:w="547" w:type="pct"/>
            <w:shd w:val="clear" w:color="auto" w:fill="FFFFFF" w:themeFill="background1"/>
            <w:noWrap/>
            <w:vAlign w:val="center"/>
            <w:hideMark/>
          </w:tcPr>
          <w:p w14:paraId="076902A9" w14:textId="77777777" w:rsidR="008B35C9" w:rsidRPr="00951AB1" w:rsidRDefault="008B35C9" w:rsidP="000A5389">
            <w:pPr>
              <w:spacing w:line="240" w:lineRule="auto"/>
              <w:jc w:val="right"/>
              <w:rPr>
                <w:rFonts w:eastAsia="Times New Roman" w:cs="Times New Roman"/>
                <w:kern w:val="0"/>
                <w:sz w:val="12"/>
                <w:szCs w:val="12"/>
                <w:lang w:eastAsia="es-CO"/>
                <w14:ligatures w14:val="none"/>
              </w:rPr>
            </w:pPr>
            <w:r w:rsidRPr="00951AB1">
              <w:rPr>
                <w:rFonts w:eastAsia="Times New Roman" w:cs="Times New Roman"/>
                <w:kern w:val="0"/>
                <w:sz w:val="12"/>
                <w:szCs w:val="12"/>
                <w:lang w:eastAsia="es-CO"/>
                <w14:ligatures w14:val="none"/>
              </w:rPr>
              <w:lastRenderedPageBreak/>
              <w:t>0</w:t>
            </w:r>
          </w:p>
        </w:tc>
        <w:tc>
          <w:tcPr>
            <w:tcW w:w="625" w:type="pct"/>
            <w:shd w:val="clear" w:color="auto" w:fill="FFFFFF" w:themeFill="background1"/>
            <w:noWrap/>
            <w:vAlign w:val="center"/>
            <w:hideMark/>
          </w:tcPr>
          <w:p w14:paraId="6297D300" w14:textId="77777777" w:rsidR="008B35C9" w:rsidRPr="00951AB1" w:rsidRDefault="008B35C9" w:rsidP="000A5389">
            <w:pPr>
              <w:spacing w:line="240" w:lineRule="auto"/>
              <w:jc w:val="right"/>
              <w:rPr>
                <w:rFonts w:eastAsia="Times New Roman" w:cs="Times New Roman"/>
                <w:kern w:val="0"/>
                <w:sz w:val="12"/>
                <w:szCs w:val="12"/>
                <w:lang w:eastAsia="es-CO"/>
                <w14:ligatures w14:val="none"/>
              </w:rPr>
            </w:pPr>
            <w:r w:rsidRPr="00951AB1">
              <w:rPr>
                <w:rFonts w:eastAsia="Times New Roman" w:cs="Times New Roman"/>
                <w:kern w:val="0"/>
                <w:sz w:val="12"/>
                <w:szCs w:val="12"/>
                <w:lang w:eastAsia="es-CO"/>
                <w14:ligatures w14:val="none"/>
              </w:rPr>
              <w:t>6.364.715.271.053</w:t>
            </w:r>
          </w:p>
        </w:tc>
        <w:tc>
          <w:tcPr>
            <w:tcW w:w="625" w:type="pct"/>
            <w:shd w:val="clear" w:color="auto" w:fill="FFFFFF" w:themeFill="background1"/>
            <w:noWrap/>
            <w:vAlign w:val="center"/>
            <w:hideMark/>
          </w:tcPr>
          <w:p w14:paraId="75869D62" w14:textId="77777777" w:rsidR="008B35C9" w:rsidRPr="00951AB1" w:rsidRDefault="008B35C9" w:rsidP="000A5389">
            <w:pPr>
              <w:spacing w:line="240" w:lineRule="auto"/>
              <w:jc w:val="right"/>
              <w:rPr>
                <w:rFonts w:eastAsia="Times New Roman" w:cs="Times New Roman"/>
                <w:kern w:val="0"/>
                <w:sz w:val="12"/>
                <w:szCs w:val="12"/>
                <w:lang w:eastAsia="es-CO"/>
                <w14:ligatures w14:val="none"/>
              </w:rPr>
            </w:pPr>
            <w:r w:rsidRPr="00951AB1">
              <w:rPr>
                <w:rFonts w:eastAsia="Times New Roman" w:cs="Times New Roman"/>
                <w:kern w:val="0"/>
                <w:sz w:val="12"/>
                <w:szCs w:val="12"/>
                <w:lang w:eastAsia="es-CO"/>
                <w14:ligatures w14:val="none"/>
              </w:rPr>
              <w:t>6.364.715.271.053</w:t>
            </w:r>
          </w:p>
        </w:tc>
        <w:tc>
          <w:tcPr>
            <w:tcW w:w="626" w:type="pct"/>
            <w:shd w:val="clear" w:color="auto" w:fill="FFFFFF" w:themeFill="background1"/>
            <w:noWrap/>
            <w:vAlign w:val="center"/>
            <w:hideMark/>
          </w:tcPr>
          <w:p w14:paraId="4850B881" w14:textId="77777777" w:rsidR="008B35C9" w:rsidRPr="00951AB1" w:rsidRDefault="008B35C9" w:rsidP="000A5389">
            <w:pPr>
              <w:spacing w:line="240" w:lineRule="auto"/>
              <w:jc w:val="right"/>
              <w:rPr>
                <w:rFonts w:eastAsia="Times New Roman" w:cs="Times New Roman"/>
                <w:kern w:val="0"/>
                <w:sz w:val="12"/>
                <w:szCs w:val="12"/>
                <w:lang w:eastAsia="es-CO"/>
                <w14:ligatures w14:val="none"/>
              </w:rPr>
            </w:pPr>
            <w:r w:rsidRPr="00951AB1">
              <w:rPr>
                <w:rFonts w:eastAsia="Times New Roman" w:cs="Times New Roman"/>
                <w:kern w:val="0"/>
                <w:sz w:val="12"/>
                <w:szCs w:val="12"/>
                <w:lang w:eastAsia="es-CO"/>
                <w14:ligatures w14:val="none"/>
              </w:rPr>
              <w:t>0</w:t>
            </w:r>
          </w:p>
        </w:tc>
        <w:tc>
          <w:tcPr>
            <w:tcW w:w="625" w:type="pct"/>
            <w:shd w:val="clear" w:color="auto" w:fill="FFFFFF" w:themeFill="background1"/>
            <w:noWrap/>
            <w:vAlign w:val="center"/>
            <w:hideMark/>
          </w:tcPr>
          <w:p w14:paraId="5BC30919" w14:textId="77777777" w:rsidR="008B35C9" w:rsidRPr="00951AB1" w:rsidRDefault="008B35C9" w:rsidP="000A5389">
            <w:pPr>
              <w:spacing w:line="240" w:lineRule="auto"/>
              <w:jc w:val="right"/>
              <w:rPr>
                <w:rFonts w:eastAsia="Times New Roman" w:cs="Times New Roman"/>
                <w:kern w:val="0"/>
                <w:sz w:val="12"/>
                <w:szCs w:val="12"/>
                <w:lang w:eastAsia="es-CO"/>
                <w14:ligatures w14:val="none"/>
              </w:rPr>
            </w:pPr>
            <w:r w:rsidRPr="00951AB1">
              <w:rPr>
                <w:rFonts w:eastAsia="Times New Roman" w:cs="Times New Roman"/>
                <w:kern w:val="0"/>
                <w:sz w:val="12"/>
                <w:szCs w:val="12"/>
                <w:lang w:eastAsia="es-CO"/>
                <w14:ligatures w14:val="none"/>
              </w:rPr>
              <w:t>5.897.957.508.019</w:t>
            </w:r>
          </w:p>
        </w:tc>
        <w:tc>
          <w:tcPr>
            <w:tcW w:w="704" w:type="pct"/>
            <w:shd w:val="clear" w:color="auto" w:fill="FFFFFF" w:themeFill="background1"/>
            <w:noWrap/>
            <w:vAlign w:val="center"/>
            <w:hideMark/>
          </w:tcPr>
          <w:p w14:paraId="6440F4EC" w14:textId="77777777" w:rsidR="008B35C9" w:rsidRPr="00951AB1" w:rsidRDefault="008B35C9" w:rsidP="000A5389">
            <w:pPr>
              <w:spacing w:line="240" w:lineRule="auto"/>
              <w:jc w:val="right"/>
              <w:rPr>
                <w:rFonts w:eastAsia="Times New Roman" w:cs="Times New Roman"/>
                <w:kern w:val="0"/>
                <w:sz w:val="12"/>
                <w:szCs w:val="12"/>
                <w:lang w:eastAsia="es-CO"/>
                <w14:ligatures w14:val="none"/>
              </w:rPr>
            </w:pPr>
            <w:r w:rsidRPr="00951AB1">
              <w:rPr>
                <w:rFonts w:eastAsia="Times New Roman" w:cs="Times New Roman"/>
                <w:kern w:val="0"/>
                <w:sz w:val="12"/>
                <w:szCs w:val="12"/>
                <w:lang w:eastAsia="es-CO"/>
                <w14:ligatures w14:val="none"/>
              </w:rPr>
              <w:t>5.897.957.508.019</w:t>
            </w:r>
          </w:p>
        </w:tc>
        <w:tc>
          <w:tcPr>
            <w:tcW w:w="624" w:type="pct"/>
            <w:shd w:val="clear" w:color="auto" w:fill="FFFFFF" w:themeFill="background1"/>
            <w:noWrap/>
            <w:vAlign w:val="center"/>
            <w:hideMark/>
          </w:tcPr>
          <w:p w14:paraId="2B00F0B4" w14:textId="77777777" w:rsidR="008B35C9" w:rsidRPr="00951AB1" w:rsidRDefault="008B35C9" w:rsidP="000A5389">
            <w:pPr>
              <w:spacing w:line="240" w:lineRule="auto"/>
              <w:jc w:val="right"/>
              <w:rPr>
                <w:rFonts w:eastAsia="Times New Roman" w:cs="Times New Roman"/>
                <w:kern w:val="0"/>
                <w:sz w:val="12"/>
                <w:szCs w:val="12"/>
                <w:lang w:eastAsia="es-CO"/>
                <w14:ligatures w14:val="none"/>
              </w:rPr>
            </w:pPr>
            <w:r w:rsidRPr="00951AB1">
              <w:rPr>
                <w:rFonts w:eastAsia="Times New Roman" w:cs="Times New Roman"/>
                <w:kern w:val="0"/>
                <w:sz w:val="12"/>
                <w:szCs w:val="12"/>
                <w:lang w:eastAsia="es-CO"/>
                <w14:ligatures w14:val="none"/>
              </w:rPr>
              <w:t>466.757.763.033</w:t>
            </w:r>
          </w:p>
        </w:tc>
      </w:tr>
      <w:tr w:rsidR="00502776" w:rsidRPr="00951AB1" w14:paraId="43755C11" w14:textId="77777777" w:rsidTr="002E333D">
        <w:trPr>
          <w:trHeight w:val="210"/>
        </w:trPr>
        <w:tc>
          <w:tcPr>
            <w:tcW w:w="167" w:type="pct"/>
            <w:vMerge w:val="restart"/>
            <w:shd w:val="clear" w:color="auto" w:fill="FFFFFF" w:themeFill="background1"/>
            <w:noWrap/>
            <w:textDirection w:val="btLr"/>
            <w:vAlign w:val="center"/>
            <w:hideMark/>
          </w:tcPr>
          <w:p w14:paraId="66DA1F75" w14:textId="77777777" w:rsidR="008B35C9" w:rsidRPr="00951AB1" w:rsidRDefault="008B35C9" w:rsidP="000A5389">
            <w:pPr>
              <w:spacing w:line="240" w:lineRule="auto"/>
              <w:jc w:val="center"/>
              <w:rPr>
                <w:rFonts w:eastAsia="Times New Roman" w:cs="Times New Roman"/>
                <w:b/>
                <w:bCs/>
                <w:kern w:val="0"/>
                <w:sz w:val="12"/>
                <w:szCs w:val="12"/>
                <w:lang w:eastAsia="es-CO"/>
                <w14:ligatures w14:val="none"/>
              </w:rPr>
            </w:pPr>
            <w:r w:rsidRPr="00951AB1">
              <w:rPr>
                <w:rFonts w:eastAsia="Times New Roman" w:cs="Times New Roman"/>
                <w:b/>
                <w:bCs/>
                <w:kern w:val="0"/>
                <w:sz w:val="12"/>
                <w:szCs w:val="12"/>
                <w:lang w:eastAsia="es-CO"/>
                <w14:ligatures w14:val="none"/>
              </w:rPr>
              <w:t>1.9.08.01</w:t>
            </w:r>
          </w:p>
        </w:tc>
        <w:tc>
          <w:tcPr>
            <w:tcW w:w="455" w:type="pct"/>
            <w:shd w:val="clear" w:color="auto" w:fill="FFFFFF" w:themeFill="background1"/>
            <w:vAlign w:val="center"/>
            <w:hideMark/>
          </w:tcPr>
          <w:p w14:paraId="58F5B6A6" w14:textId="77777777" w:rsidR="008B35C9" w:rsidRPr="00951AB1" w:rsidRDefault="008B35C9" w:rsidP="000A5389">
            <w:pPr>
              <w:spacing w:line="240" w:lineRule="auto"/>
              <w:rPr>
                <w:rFonts w:eastAsia="Times New Roman" w:cs="Times New Roman"/>
                <w:b/>
                <w:bCs/>
                <w:kern w:val="0"/>
                <w:sz w:val="12"/>
                <w:szCs w:val="12"/>
                <w:lang w:eastAsia="es-CO"/>
                <w14:ligatures w14:val="none"/>
              </w:rPr>
            </w:pPr>
            <w:r w:rsidRPr="00951AB1">
              <w:rPr>
                <w:rFonts w:eastAsia="Times New Roman" w:cs="Times New Roman"/>
                <w:b/>
                <w:bCs/>
                <w:kern w:val="0"/>
                <w:sz w:val="12"/>
                <w:szCs w:val="12"/>
                <w:lang w:eastAsia="es-CO"/>
                <w14:ligatures w14:val="none"/>
              </w:rPr>
              <w:t>En administración</w:t>
            </w:r>
          </w:p>
        </w:tc>
        <w:tc>
          <w:tcPr>
            <w:tcW w:w="547" w:type="pct"/>
            <w:shd w:val="clear" w:color="auto" w:fill="FFFFFF" w:themeFill="background1"/>
            <w:noWrap/>
            <w:vAlign w:val="center"/>
            <w:hideMark/>
          </w:tcPr>
          <w:p w14:paraId="656CF4C4" w14:textId="77777777" w:rsidR="008B35C9" w:rsidRPr="00951AB1" w:rsidRDefault="008B35C9" w:rsidP="000A5389">
            <w:pPr>
              <w:spacing w:line="240" w:lineRule="auto"/>
              <w:jc w:val="right"/>
              <w:rPr>
                <w:rFonts w:eastAsia="Times New Roman" w:cs="Times New Roman"/>
                <w:b/>
                <w:bCs/>
                <w:kern w:val="0"/>
                <w:sz w:val="14"/>
                <w:szCs w:val="14"/>
                <w:lang w:eastAsia="es-CO"/>
                <w14:ligatures w14:val="none"/>
              </w:rPr>
            </w:pPr>
            <w:r w:rsidRPr="00951AB1">
              <w:rPr>
                <w:rFonts w:eastAsia="Times New Roman" w:cs="Times New Roman"/>
                <w:b/>
                <w:bCs/>
                <w:kern w:val="0"/>
                <w:sz w:val="14"/>
                <w:szCs w:val="14"/>
                <w:lang w:eastAsia="es-CO"/>
                <w14:ligatures w14:val="none"/>
              </w:rPr>
              <w:t>781.146.109.608</w:t>
            </w:r>
          </w:p>
        </w:tc>
        <w:tc>
          <w:tcPr>
            <w:tcW w:w="625" w:type="pct"/>
            <w:shd w:val="clear" w:color="auto" w:fill="FFFFFF" w:themeFill="background1"/>
            <w:noWrap/>
            <w:vAlign w:val="center"/>
            <w:hideMark/>
          </w:tcPr>
          <w:p w14:paraId="1FF6E3B7" w14:textId="77777777" w:rsidR="008B35C9" w:rsidRPr="00951AB1" w:rsidRDefault="008B35C9" w:rsidP="000A5389">
            <w:pPr>
              <w:spacing w:line="240" w:lineRule="auto"/>
              <w:jc w:val="right"/>
              <w:rPr>
                <w:rFonts w:eastAsia="Times New Roman" w:cs="Times New Roman"/>
                <w:b/>
                <w:bCs/>
                <w:kern w:val="0"/>
                <w:sz w:val="14"/>
                <w:szCs w:val="14"/>
                <w:lang w:eastAsia="es-CO"/>
                <w14:ligatures w14:val="none"/>
              </w:rPr>
            </w:pPr>
            <w:r w:rsidRPr="00951AB1">
              <w:rPr>
                <w:rFonts w:eastAsia="Times New Roman" w:cs="Times New Roman"/>
                <w:b/>
                <w:bCs/>
                <w:kern w:val="0"/>
                <w:sz w:val="14"/>
                <w:szCs w:val="14"/>
                <w:lang w:eastAsia="es-CO"/>
                <w14:ligatures w14:val="none"/>
              </w:rPr>
              <w:t>181.360.657.975</w:t>
            </w:r>
          </w:p>
        </w:tc>
        <w:tc>
          <w:tcPr>
            <w:tcW w:w="625" w:type="pct"/>
            <w:shd w:val="clear" w:color="auto" w:fill="FFFFFF" w:themeFill="background1"/>
            <w:noWrap/>
            <w:vAlign w:val="center"/>
            <w:hideMark/>
          </w:tcPr>
          <w:p w14:paraId="5D8A9528" w14:textId="77777777" w:rsidR="008B35C9" w:rsidRPr="00951AB1" w:rsidRDefault="008B35C9" w:rsidP="000A5389">
            <w:pPr>
              <w:spacing w:line="240" w:lineRule="auto"/>
              <w:jc w:val="right"/>
              <w:rPr>
                <w:rFonts w:eastAsia="Times New Roman" w:cs="Times New Roman"/>
                <w:b/>
                <w:bCs/>
                <w:kern w:val="0"/>
                <w:sz w:val="14"/>
                <w:szCs w:val="14"/>
                <w:lang w:eastAsia="es-CO"/>
                <w14:ligatures w14:val="none"/>
              </w:rPr>
            </w:pPr>
            <w:r w:rsidRPr="00951AB1">
              <w:rPr>
                <w:rFonts w:eastAsia="Times New Roman" w:cs="Times New Roman"/>
                <w:b/>
                <w:bCs/>
                <w:kern w:val="0"/>
                <w:sz w:val="14"/>
                <w:szCs w:val="14"/>
                <w:lang w:eastAsia="es-CO"/>
                <w14:ligatures w14:val="none"/>
              </w:rPr>
              <w:t>962.506.767.583</w:t>
            </w:r>
          </w:p>
        </w:tc>
        <w:tc>
          <w:tcPr>
            <w:tcW w:w="626" w:type="pct"/>
            <w:shd w:val="clear" w:color="auto" w:fill="FFFFFF" w:themeFill="background1"/>
            <w:noWrap/>
            <w:vAlign w:val="center"/>
            <w:hideMark/>
          </w:tcPr>
          <w:p w14:paraId="288909C8" w14:textId="77777777" w:rsidR="008B35C9" w:rsidRPr="00951AB1" w:rsidRDefault="008B35C9" w:rsidP="000A5389">
            <w:pPr>
              <w:spacing w:line="240" w:lineRule="auto"/>
              <w:jc w:val="right"/>
              <w:rPr>
                <w:rFonts w:eastAsia="Times New Roman" w:cs="Times New Roman"/>
                <w:b/>
                <w:bCs/>
                <w:kern w:val="0"/>
                <w:sz w:val="14"/>
                <w:szCs w:val="14"/>
                <w:lang w:eastAsia="es-CO"/>
                <w14:ligatures w14:val="none"/>
              </w:rPr>
            </w:pPr>
            <w:r w:rsidRPr="00951AB1">
              <w:rPr>
                <w:rFonts w:eastAsia="Times New Roman" w:cs="Times New Roman"/>
                <w:b/>
                <w:bCs/>
                <w:kern w:val="0"/>
                <w:sz w:val="14"/>
                <w:szCs w:val="14"/>
                <w:lang w:eastAsia="es-CO"/>
                <w14:ligatures w14:val="none"/>
              </w:rPr>
              <w:t>186.075.474.347</w:t>
            </w:r>
          </w:p>
        </w:tc>
        <w:tc>
          <w:tcPr>
            <w:tcW w:w="625" w:type="pct"/>
            <w:shd w:val="clear" w:color="auto" w:fill="FFFFFF" w:themeFill="background1"/>
            <w:noWrap/>
            <w:vAlign w:val="center"/>
            <w:hideMark/>
          </w:tcPr>
          <w:p w14:paraId="2C4906DD" w14:textId="77777777" w:rsidR="008B35C9" w:rsidRPr="00951AB1" w:rsidRDefault="008B35C9" w:rsidP="000A5389">
            <w:pPr>
              <w:spacing w:line="240" w:lineRule="auto"/>
              <w:jc w:val="right"/>
              <w:rPr>
                <w:rFonts w:eastAsia="Times New Roman" w:cs="Times New Roman"/>
                <w:b/>
                <w:bCs/>
                <w:kern w:val="0"/>
                <w:sz w:val="14"/>
                <w:szCs w:val="14"/>
                <w:lang w:eastAsia="es-CO"/>
                <w14:ligatures w14:val="none"/>
              </w:rPr>
            </w:pPr>
            <w:r w:rsidRPr="00951AB1">
              <w:rPr>
                <w:rFonts w:eastAsia="Times New Roman" w:cs="Times New Roman"/>
                <w:b/>
                <w:bCs/>
                <w:kern w:val="0"/>
                <w:sz w:val="14"/>
                <w:szCs w:val="14"/>
                <w:lang w:eastAsia="es-CO"/>
                <w14:ligatures w14:val="none"/>
              </w:rPr>
              <w:t>409.624.213.091</w:t>
            </w:r>
          </w:p>
        </w:tc>
        <w:tc>
          <w:tcPr>
            <w:tcW w:w="704" w:type="pct"/>
            <w:shd w:val="clear" w:color="auto" w:fill="FFFFFF" w:themeFill="background1"/>
            <w:noWrap/>
            <w:vAlign w:val="center"/>
            <w:hideMark/>
          </w:tcPr>
          <w:p w14:paraId="08991186" w14:textId="77777777" w:rsidR="008B35C9" w:rsidRPr="00951AB1" w:rsidRDefault="008B35C9" w:rsidP="000A5389">
            <w:pPr>
              <w:spacing w:line="240" w:lineRule="auto"/>
              <w:jc w:val="right"/>
              <w:rPr>
                <w:rFonts w:eastAsia="Times New Roman" w:cs="Times New Roman"/>
                <w:b/>
                <w:bCs/>
                <w:kern w:val="0"/>
                <w:sz w:val="14"/>
                <w:szCs w:val="14"/>
                <w:lang w:eastAsia="es-CO"/>
                <w14:ligatures w14:val="none"/>
              </w:rPr>
            </w:pPr>
            <w:r w:rsidRPr="00951AB1">
              <w:rPr>
                <w:rFonts w:eastAsia="Times New Roman" w:cs="Times New Roman"/>
                <w:b/>
                <w:bCs/>
                <w:kern w:val="0"/>
                <w:sz w:val="14"/>
                <w:szCs w:val="14"/>
                <w:lang w:eastAsia="es-CO"/>
                <w14:ligatures w14:val="none"/>
              </w:rPr>
              <w:t>595.699.687.438</w:t>
            </w:r>
          </w:p>
        </w:tc>
        <w:tc>
          <w:tcPr>
            <w:tcW w:w="624" w:type="pct"/>
            <w:shd w:val="clear" w:color="auto" w:fill="FFFFFF" w:themeFill="background1"/>
            <w:noWrap/>
            <w:vAlign w:val="center"/>
            <w:hideMark/>
          </w:tcPr>
          <w:p w14:paraId="7341EEDC" w14:textId="77777777" w:rsidR="008B35C9" w:rsidRPr="00951AB1" w:rsidRDefault="008B35C9" w:rsidP="000A5389">
            <w:pPr>
              <w:spacing w:line="240" w:lineRule="auto"/>
              <w:jc w:val="right"/>
              <w:rPr>
                <w:rFonts w:eastAsia="Times New Roman" w:cs="Times New Roman"/>
                <w:b/>
                <w:bCs/>
                <w:kern w:val="0"/>
                <w:sz w:val="14"/>
                <w:szCs w:val="14"/>
                <w:lang w:eastAsia="es-CO"/>
                <w14:ligatures w14:val="none"/>
              </w:rPr>
            </w:pPr>
            <w:r w:rsidRPr="00951AB1">
              <w:rPr>
                <w:rFonts w:eastAsia="Times New Roman" w:cs="Times New Roman"/>
                <w:b/>
                <w:bCs/>
                <w:kern w:val="0"/>
                <w:sz w:val="14"/>
                <w:szCs w:val="14"/>
                <w:lang w:eastAsia="es-CO"/>
                <w14:ligatures w14:val="none"/>
              </w:rPr>
              <w:t>366.807.080.145</w:t>
            </w:r>
          </w:p>
        </w:tc>
      </w:tr>
      <w:tr w:rsidR="00502776" w:rsidRPr="00951AB1" w14:paraId="69A41FCA" w14:textId="77777777" w:rsidTr="002E333D">
        <w:trPr>
          <w:trHeight w:val="225"/>
        </w:trPr>
        <w:tc>
          <w:tcPr>
            <w:tcW w:w="167" w:type="pct"/>
            <w:vMerge/>
            <w:shd w:val="clear" w:color="auto" w:fill="FFFFFF" w:themeFill="background1"/>
            <w:vAlign w:val="center"/>
            <w:hideMark/>
          </w:tcPr>
          <w:p w14:paraId="0859D29E" w14:textId="77777777" w:rsidR="008B35C9" w:rsidRPr="00951AB1" w:rsidRDefault="008B35C9" w:rsidP="000A5389">
            <w:pPr>
              <w:spacing w:line="240" w:lineRule="auto"/>
              <w:rPr>
                <w:rFonts w:eastAsia="Times New Roman" w:cs="Times New Roman"/>
                <w:b/>
                <w:bCs/>
                <w:kern w:val="0"/>
                <w:sz w:val="12"/>
                <w:szCs w:val="12"/>
                <w:lang w:eastAsia="es-CO"/>
                <w14:ligatures w14:val="none"/>
              </w:rPr>
            </w:pPr>
          </w:p>
        </w:tc>
        <w:tc>
          <w:tcPr>
            <w:tcW w:w="455" w:type="pct"/>
            <w:shd w:val="clear" w:color="auto" w:fill="FFFFFF" w:themeFill="background1"/>
            <w:vAlign w:val="center"/>
            <w:hideMark/>
          </w:tcPr>
          <w:p w14:paraId="78F1B416" w14:textId="77777777" w:rsidR="008B35C9" w:rsidRPr="00951AB1" w:rsidRDefault="008B35C9" w:rsidP="000A5389">
            <w:pPr>
              <w:spacing w:line="240" w:lineRule="auto"/>
              <w:rPr>
                <w:rFonts w:eastAsia="Times New Roman" w:cs="Times New Roman"/>
                <w:kern w:val="0"/>
                <w:sz w:val="12"/>
                <w:szCs w:val="12"/>
                <w:lang w:eastAsia="es-CO"/>
                <w14:ligatures w14:val="none"/>
              </w:rPr>
            </w:pPr>
            <w:r w:rsidRPr="00951AB1">
              <w:rPr>
                <w:rFonts w:eastAsia="Times New Roman" w:cs="Times New Roman"/>
                <w:kern w:val="0"/>
                <w:sz w:val="12"/>
                <w:szCs w:val="12"/>
                <w:lang w:eastAsia="es-CO"/>
                <w14:ligatures w14:val="none"/>
              </w:rPr>
              <w:t xml:space="preserve">Traslados al FIP </w:t>
            </w:r>
          </w:p>
        </w:tc>
        <w:tc>
          <w:tcPr>
            <w:tcW w:w="547" w:type="pct"/>
            <w:shd w:val="clear" w:color="auto" w:fill="FFFFFF" w:themeFill="background1"/>
            <w:noWrap/>
            <w:vAlign w:val="center"/>
            <w:hideMark/>
          </w:tcPr>
          <w:p w14:paraId="6B96B523" w14:textId="77777777" w:rsidR="008B35C9" w:rsidRPr="00951AB1" w:rsidRDefault="008B35C9" w:rsidP="000A5389">
            <w:pPr>
              <w:spacing w:line="240" w:lineRule="auto"/>
              <w:jc w:val="right"/>
              <w:rPr>
                <w:rFonts w:eastAsia="Times New Roman" w:cs="Times New Roman"/>
                <w:kern w:val="0"/>
                <w:sz w:val="14"/>
                <w:szCs w:val="14"/>
                <w:lang w:eastAsia="es-CO"/>
                <w14:ligatures w14:val="none"/>
              </w:rPr>
            </w:pPr>
            <w:r w:rsidRPr="00951AB1">
              <w:rPr>
                <w:rFonts w:eastAsia="Times New Roman" w:cs="Times New Roman"/>
                <w:kern w:val="0"/>
                <w:sz w:val="14"/>
                <w:szCs w:val="14"/>
                <w:lang w:eastAsia="es-CO"/>
                <w14:ligatures w14:val="none"/>
              </w:rPr>
              <w:t>548.155.737.844</w:t>
            </w:r>
          </w:p>
        </w:tc>
        <w:tc>
          <w:tcPr>
            <w:tcW w:w="625" w:type="pct"/>
            <w:shd w:val="clear" w:color="auto" w:fill="FFFFFF" w:themeFill="background1"/>
            <w:noWrap/>
            <w:vAlign w:val="center"/>
            <w:hideMark/>
          </w:tcPr>
          <w:p w14:paraId="0FAFF761" w14:textId="77777777" w:rsidR="008B35C9" w:rsidRPr="00951AB1" w:rsidRDefault="008B35C9" w:rsidP="000A5389">
            <w:pPr>
              <w:spacing w:line="240" w:lineRule="auto"/>
              <w:jc w:val="right"/>
              <w:rPr>
                <w:rFonts w:eastAsia="Times New Roman" w:cs="Times New Roman"/>
                <w:kern w:val="0"/>
                <w:sz w:val="14"/>
                <w:szCs w:val="14"/>
                <w:lang w:eastAsia="es-CO"/>
                <w14:ligatures w14:val="none"/>
              </w:rPr>
            </w:pPr>
            <w:r w:rsidRPr="00951AB1">
              <w:rPr>
                <w:rFonts w:eastAsia="Times New Roman" w:cs="Times New Roman"/>
                <w:kern w:val="0"/>
                <w:sz w:val="14"/>
                <w:szCs w:val="14"/>
                <w:lang w:eastAsia="es-CO"/>
                <w14:ligatures w14:val="none"/>
              </w:rPr>
              <w:t>0</w:t>
            </w:r>
          </w:p>
        </w:tc>
        <w:tc>
          <w:tcPr>
            <w:tcW w:w="625" w:type="pct"/>
            <w:shd w:val="clear" w:color="auto" w:fill="FFFFFF" w:themeFill="background1"/>
            <w:noWrap/>
            <w:vAlign w:val="center"/>
            <w:hideMark/>
          </w:tcPr>
          <w:p w14:paraId="6CB1FADC" w14:textId="77777777" w:rsidR="008B35C9" w:rsidRPr="00951AB1" w:rsidRDefault="008B35C9" w:rsidP="000A5389">
            <w:pPr>
              <w:spacing w:line="240" w:lineRule="auto"/>
              <w:jc w:val="right"/>
              <w:rPr>
                <w:rFonts w:eastAsia="Times New Roman" w:cs="Times New Roman"/>
                <w:kern w:val="0"/>
                <w:sz w:val="14"/>
                <w:szCs w:val="14"/>
                <w:lang w:eastAsia="es-CO"/>
                <w14:ligatures w14:val="none"/>
              </w:rPr>
            </w:pPr>
            <w:r w:rsidRPr="00951AB1">
              <w:rPr>
                <w:rFonts w:eastAsia="Times New Roman" w:cs="Times New Roman"/>
                <w:kern w:val="0"/>
                <w:sz w:val="14"/>
                <w:szCs w:val="14"/>
                <w:lang w:eastAsia="es-CO"/>
                <w14:ligatures w14:val="none"/>
              </w:rPr>
              <w:t>548.155.737.844</w:t>
            </w:r>
          </w:p>
        </w:tc>
        <w:tc>
          <w:tcPr>
            <w:tcW w:w="626" w:type="pct"/>
            <w:shd w:val="clear" w:color="auto" w:fill="FFFFFF" w:themeFill="background1"/>
            <w:noWrap/>
            <w:vAlign w:val="center"/>
            <w:hideMark/>
          </w:tcPr>
          <w:p w14:paraId="02F1B3BA" w14:textId="77777777" w:rsidR="008B35C9" w:rsidRPr="00951AB1" w:rsidRDefault="008B35C9" w:rsidP="000A5389">
            <w:pPr>
              <w:spacing w:line="240" w:lineRule="auto"/>
              <w:jc w:val="right"/>
              <w:rPr>
                <w:rFonts w:eastAsia="Times New Roman" w:cs="Times New Roman"/>
                <w:kern w:val="0"/>
                <w:sz w:val="14"/>
                <w:szCs w:val="14"/>
                <w:lang w:eastAsia="es-CO"/>
                <w14:ligatures w14:val="none"/>
              </w:rPr>
            </w:pPr>
            <w:r w:rsidRPr="00951AB1">
              <w:rPr>
                <w:rFonts w:eastAsia="Times New Roman" w:cs="Times New Roman"/>
                <w:kern w:val="0"/>
                <w:sz w:val="14"/>
                <w:szCs w:val="14"/>
                <w:lang w:eastAsia="es-CO"/>
                <w14:ligatures w14:val="none"/>
              </w:rPr>
              <w:t>0</w:t>
            </w:r>
          </w:p>
        </w:tc>
        <w:tc>
          <w:tcPr>
            <w:tcW w:w="625" w:type="pct"/>
            <w:shd w:val="clear" w:color="auto" w:fill="FFFFFF" w:themeFill="background1"/>
            <w:noWrap/>
            <w:vAlign w:val="center"/>
            <w:hideMark/>
          </w:tcPr>
          <w:p w14:paraId="0D8885F8" w14:textId="77777777" w:rsidR="008B35C9" w:rsidRPr="00951AB1" w:rsidRDefault="008B35C9" w:rsidP="000A5389">
            <w:pPr>
              <w:spacing w:line="240" w:lineRule="auto"/>
              <w:jc w:val="right"/>
              <w:rPr>
                <w:rFonts w:eastAsia="Times New Roman" w:cs="Times New Roman"/>
                <w:kern w:val="0"/>
                <w:sz w:val="14"/>
                <w:szCs w:val="14"/>
                <w:lang w:eastAsia="es-CO"/>
                <w14:ligatures w14:val="none"/>
              </w:rPr>
            </w:pPr>
            <w:r w:rsidRPr="00951AB1">
              <w:rPr>
                <w:rFonts w:eastAsia="Times New Roman" w:cs="Times New Roman"/>
                <w:kern w:val="0"/>
                <w:sz w:val="14"/>
                <w:szCs w:val="14"/>
                <w:lang w:eastAsia="es-CO"/>
                <w14:ligatures w14:val="none"/>
              </w:rPr>
              <w:t>0</w:t>
            </w:r>
          </w:p>
        </w:tc>
        <w:tc>
          <w:tcPr>
            <w:tcW w:w="704" w:type="pct"/>
            <w:shd w:val="clear" w:color="auto" w:fill="FFFFFF" w:themeFill="background1"/>
            <w:noWrap/>
            <w:vAlign w:val="center"/>
            <w:hideMark/>
          </w:tcPr>
          <w:p w14:paraId="498832B1" w14:textId="77777777" w:rsidR="008B35C9" w:rsidRPr="00951AB1" w:rsidRDefault="008B35C9" w:rsidP="000A5389">
            <w:pPr>
              <w:spacing w:line="240" w:lineRule="auto"/>
              <w:jc w:val="right"/>
              <w:rPr>
                <w:rFonts w:eastAsia="Times New Roman" w:cs="Times New Roman"/>
                <w:kern w:val="0"/>
                <w:sz w:val="14"/>
                <w:szCs w:val="14"/>
                <w:lang w:eastAsia="es-CO"/>
                <w14:ligatures w14:val="none"/>
              </w:rPr>
            </w:pPr>
            <w:r w:rsidRPr="00951AB1">
              <w:rPr>
                <w:rFonts w:eastAsia="Times New Roman" w:cs="Times New Roman"/>
                <w:kern w:val="0"/>
                <w:sz w:val="14"/>
                <w:szCs w:val="14"/>
                <w:lang w:eastAsia="es-CO"/>
                <w14:ligatures w14:val="none"/>
              </w:rPr>
              <w:t>0</w:t>
            </w:r>
          </w:p>
        </w:tc>
        <w:tc>
          <w:tcPr>
            <w:tcW w:w="624" w:type="pct"/>
            <w:shd w:val="clear" w:color="auto" w:fill="FFFFFF" w:themeFill="background1"/>
            <w:noWrap/>
            <w:vAlign w:val="center"/>
            <w:hideMark/>
          </w:tcPr>
          <w:p w14:paraId="090D989B" w14:textId="77777777" w:rsidR="008B35C9" w:rsidRPr="00951AB1" w:rsidRDefault="008B35C9" w:rsidP="000A5389">
            <w:pPr>
              <w:spacing w:line="240" w:lineRule="auto"/>
              <w:jc w:val="right"/>
              <w:rPr>
                <w:rFonts w:eastAsia="Times New Roman" w:cs="Times New Roman"/>
                <w:kern w:val="0"/>
                <w:sz w:val="14"/>
                <w:szCs w:val="14"/>
                <w:lang w:eastAsia="es-CO"/>
                <w14:ligatures w14:val="none"/>
              </w:rPr>
            </w:pPr>
            <w:r w:rsidRPr="00951AB1">
              <w:rPr>
                <w:rFonts w:eastAsia="Times New Roman" w:cs="Times New Roman"/>
                <w:kern w:val="0"/>
                <w:sz w:val="14"/>
                <w:szCs w:val="14"/>
                <w:lang w:eastAsia="es-CO"/>
                <w14:ligatures w14:val="none"/>
              </w:rPr>
              <w:t>548.155.737.844</w:t>
            </w:r>
          </w:p>
        </w:tc>
      </w:tr>
      <w:tr w:rsidR="00502776" w:rsidRPr="00951AB1" w14:paraId="5F20C4C9" w14:textId="77777777" w:rsidTr="002E333D">
        <w:trPr>
          <w:trHeight w:val="225"/>
        </w:trPr>
        <w:tc>
          <w:tcPr>
            <w:tcW w:w="167" w:type="pct"/>
            <w:vMerge/>
            <w:shd w:val="clear" w:color="auto" w:fill="FFFFFF" w:themeFill="background1"/>
            <w:vAlign w:val="center"/>
            <w:hideMark/>
          </w:tcPr>
          <w:p w14:paraId="58646C09" w14:textId="77777777" w:rsidR="008B35C9" w:rsidRPr="00951AB1" w:rsidRDefault="008B35C9" w:rsidP="000A5389">
            <w:pPr>
              <w:spacing w:line="240" w:lineRule="auto"/>
              <w:rPr>
                <w:rFonts w:eastAsia="Times New Roman" w:cs="Times New Roman"/>
                <w:b/>
                <w:bCs/>
                <w:kern w:val="0"/>
                <w:sz w:val="12"/>
                <w:szCs w:val="12"/>
                <w:lang w:eastAsia="es-CO"/>
                <w14:ligatures w14:val="none"/>
              </w:rPr>
            </w:pPr>
          </w:p>
        </w:tc>
        <w:tc>
          <w:tcPr>
            <w:tcW w:w="455" w:type="pct"/>
            <w:shd w:val="clear" w:color="auto" w:fill="FFFFFF" w:themeFill="background1"/>
            <w:vAlign w:val="center"/>
            <w:hideMark/>
          </w:tcPr>
          <w:p w14:paraId="1F918571" w14:textId="77777777" w:rsidR="008B35C9" w:rsidRPr="00951AB1" w:rsidRDefault="008B35C9" w:rsidP="000A5389">
            <w:pPr>
              <w:spacing w:line="240" w:lineRule="auto"/>
              <w:rPr>
                <w:rFonts w:eastAsia="Times New Roman" w:cs="Times New Roman"/>
                <w:kern w:val="0"/>
                <w:sz w:val="12"/>
                <w:szCs w:val="12"/>
                <w:lang w:eastAsia="es-CO"/>
                <w14:ligatures w14:val="none"/>
              </w:rPr>
            </w:pPr>
            <w:r w:rsidRPr="00951AB1">
              <w:rPr>
                <w:rFonts w:eastAsia="Times New Roman" w:cs="Times New Roman"/>
                <w:kern w:val="0"/>
                <w:sz w:val="12"/>
                <w:szCs w:val="12"/>
                <w:lang w:eastAsia="es-CO"/>
                <w14:ligatures w14:val="none"/>
              </w:rPr>
              <w:t>En administración dtn - scun</w:t>
            </w:r>
          </w:p>
        </w:tc>
        <w:tc>
          <w:tcPr>
            <w:tcW w:w="547" w:type="pct"/>
            <w:shd w:val="clear" w:color="auto" w:fill="FFFFFF" w:themeFill="background1"/>
            <w:noWrap/>
            <w:vAlign w:val="center"/>
            <w:hideMark/>
          </w:tcPr>
          <w:p w14:paraId="2CB8F04E" w14:textId="77777777" w:rsidR="008B35C9" w:rsidRPr="00951AB1" w:rsidRDefault="008B35C9" w:rsidP="000A5389">
            <w:pPr>
              <w:spacing w:line="240" w:lineRule="auto"/>
              <w:jc w:val="right"/>
              <w:rPr>
                <w:rFonts w:eastAsia="Times New Roman" w:cs="Times New Roman"/>
                <w:kern w:val="0"/>
                <w:sz w:val="14"/>
                <w:szCs w:val="14"/>
                <w:lang w:eastAsia="es-CO"/>
                <w14:ligatures w14:val="none"/>
              </w:rPr>
            </w:pPr>
            <w:r w:rsidRPr="00951AB1">
              <w:rPr>
                <w:rFonts w:eastAsia="Times New Roman" w:cs="Times New Roman"/>
                <w:kern w:val="0"/>
                <w:sz w:val="14"/>
                <w:szCs w:val="14"/>
                <w:lang w:eastAsia="es-CO"/>
                <w14:ligatures w14:val="none"/>
              </w:rPr>
              <w:t>195.514.091.456</w:t>
            </w:r>
          </w:p>
        </w:tc>
        <w:tc>
          <w:tcPr>
            <w:tcW w:w="625" w:type="pct"/>
            <w:shd w:val="clear" w:color="auto" w:fill="FFFFFF" w:themeFill="background1"/>
            <w:noWrap/>
            <w:vAlign w:val="center"/>
            <w:hideMark/>
          </w:tcPr>
          <w:p w14:paraId="4DE7B946" w14:textId="77777777" w:rsidR="008B35C9" w:rsidRPr="00951AB1" w:rsidRDefault="008B35C9" w:rsidP="000A5389">
            <w:pPr>
              <w:spacing w:line="240" w:lineRule="auto"/>
              <w:jc w:val="right"/>
              <w:rPr>
                <w:rFonts w:eastAsia="Times New Roman" w:cs="Times New Roman"/>
                <w:kern w:val="0"/>
                <w:sz w:val="14"/>
                <w:szCs w:val="14"/>
                <w:lang w:eastAsia="es-CO"/>
                <w14:ligatures w14:val="none"/>
              </w:rPr>
            </w:pPr>
            <w:r w:rsidRPr="00951AB1">
              <w:rPr>
                <w:rFonts w:eastAsia="Times New Roman" w:cs="Times New Roman"/>
                <w:kern w:val="0"/>
                <w:sz w:val="14"/>
                <w:szCs w:val="14"/>
                <w:lang w:eastAsia="es-CO"/>
                <w14:ligatures w14:val="none"/>
              </w:rPr>
              <w:t>0</w:t>
            </w:r>
          </w:p>
        </w:tc>
        <w:tc>
          <w:tcPr>
            <w:tcW w:w="625" w:type="pct"/>
            <w:shd w:val="clear" w:color="auto" w:fill="FFFFFF" w:themeFill="background1"/>
            <w:noWrap/>
            <w:vAlign w:val="center"/>
            <w:hideMark/>
          </w:tcPr>
          <w:p w14:paraId="4DBBA392" w14:textId="77777777" w:rsidR="008B35C9" w:rsidRPr="00951AB1" w:rsidRDefault="008B35C9" w:rsidP="000A5389">
            <w:pPr>
              <w:spacing w:line="240" w:lineRule="auto"/>
              <w:jc w:val="right"/>
              <w:rPr>
                <w:rFonts w:eastAsia="Times New Roman" w:cs="Times New Roman"/>
                <w:kern w:val="0"/>
                <w:sz w:val="14"/>
                <w:szCs w:val="14"/>
                <w:lang w:eastAsia="es-CO"/>
                <w14:ligatures w14:val="none"/>
              </w:rPr>
            </w:pPr>
            <w:r w:rsidRPr="00951AB1">
              <w:rPr>
                <w:rFonts w:eastAsia="Times New Roman" w:cs="Times New Roman"/>
                <w:kern w:val="0"/>
                <w:sz w:val="14"/>
                <w:szCs w:val="14"/>
                <w:lang w:eastAsia="es-CO"/>
                <w14:ligatures w14:val="none"/>
              </w:rPr>
              <w:t>195.514.091.456</w:t>
            </w:r>
          </w:p>
        </w:tc>
        <w:tc>
          <w:tcPr>
            <w:tcW w:w="626" w:type="pct"/>
            <w:shd w:val="clear" w:color="auto" w:fill="FFFFFF" w:themeFill="background1"/>
            <w:noWrap/>
            <w:vAlign w:val="center"/>
            <w:hideMark/>
          </w:tcPr>
          <w:p w14:paraId="327EFC85" w14:textId="77777777" w:rsidR="008B35C9" w:rsidRPr="00951AB1" w:rsidRDefault="008B35C9" w:rsidP="000A5389">
            <w:pPr>
              <w:spacing w:line="240" w:lineRule="auto"/>
              <w:jc w:val="right"/>
              <w:rPr>
                <w:rFonts w:eastAsia="Times New Roman" w:cs="Times New Roman"/>
                <w:kern w:val="0"/>
                <w:sz w:val="14"/>
                <w:szCs w:val="14"/>
                <w:lang w:eastAsia="es-CO"/>
                <w14:ligatures w14:val="none"/>
              </w:rPr>
            </w:pPr>
            <w:r w:rsidRPr="00951AB1">
              <w:rPr>
                <w:rFonts w:eastAsia="Times New Roman" w:cs="Times New Roman"/>
                <w:kern w:val="0"/>
                <w:sz w:val="14"/>
                <w:szCs w:val="14"/>
                <w:lang w:eastAsia="es-CO"/>
                <w14:ligatures w14:val="none"/>
              </w:rPr>
              <w:t>134.090.440.320</w:t>
            </w:r>
          </w:p>
        </w:tc>
        <w:tc>
          <w:tcPr>
            <w:tcW w:w="625" w:type="pct"/>
            <w:shd w:val="clear" w:color="auto" w:fill="FFFFFF" w:themeFill="background1"/>
            <w:noWrap/>
            <w:vAlign w:val="center"/>
            <w:hideMark/>
          </w:tcPr>
          <w:p w14:paraId="4CAA440C" w14:textId="77777777" w:rsidR="008B35C9" w:rsidRPr="00951AB1" w:rsidRDefault="008B35C9" w:rsidP="000A5389">
            <w:pPr>
              <w:spacing w:line="240" w:lineRule="auto"/>
              <w:jc w:val="right"/>
              <w:rPr>
                <w:rFonts w:eastAsia="Times New Roman" w:cs="Times New Roman"/>
                <w:kern w:val="0"/>
                <w:sz w:val="14"/>
                <w:szCs w:val="14"/>
                <w:lang w:eastAsia="es-CO"/>
                <w14:ligatures w14:val="none"/>
              </w:rPr>
            </w:pPr>
            <w:r w:rsidRPr="00951AB1">
              <w:rPr>
                <w:rFonts w:eastAsia="Times New Roman" w:cs="Times New Roman"/>
                <w:kern w:val="0"/>
                <w:sz w:val="14"/>
                <w:szCs w:val="14"/>
                <w:lang w:eastAsia="es-CO"/>
                <w14:ligatures w14:val="none"/>
              </w:rPr>
              <w:t>0</w:t>
            </w:r>
          </w:p>
        </w:tc>
        <w:tc>
          <w:tcPr>
            <w:tcW w:w="704" w:type="pct"/>
            <w:shd w:val="clear" w:color="auto" w:fill="FFFFFF" w:themeFill="background1"/>
            <w:noWrap/>
            <w:vAlign w:val="center"/>
            <w:hideMark/>
          </w:tcPr>
          <w:p w14:paraId="3B015002" w14:textId="77777777" w:rsidR="008B35C9" w:rsidRPr="00951AB1" w:rsidRDefault="008B35C9" w:rsidP="000A5389">
            <w:pPr>
              <w:spacing w:line="240" w:lineRule="auto"/>
              <w:jc w:val="right"/>
              <w:rPr>
                <w:rFonts w:eastAsia="Times New Roman" w:cs="Times New Roman"/>
                <w:kern w:val="0"/>
                <w:sz w:val="14"/>
                <w:szCs w:val="14"/>
                <w:lang w:eastAsia="es-CO"/>
                <w14:ligatures w14:val="none"/>
              </w:rPr>
            </w:pPr>
            <w:r w:rsidRPr="00951AB1">
              <w:rPr>
                <w:rFonts w:eastAsia="Times New Roman" w:cs="Times New Roman"/>
                <w:kern w:val="0"/>
                <w:sz w:val="14"/>
                <w:szCs w:val="14"/>
                <w:lang w:eastAsia="es-CO"/>
                <w14:ligatures w14:val="none"/>
              </w:rPr>
              <w:t>134.090.440.320</w:t>
            </w:r>
          </w:p>
        </w:tc>
        <w:tc>
          <w:tcPr>
            <w:tcW w:w="624" w:type="pct"/>
            <w:shd w:val="clear" w:color="auto" w:fill="FFFFFF" w:themeFill="background1"/>
            <w:noWrap/>
            <w:vAlign w:val="center"/>
            <w:hideMark/>
          </w:tcPr>
          <w:p w14:paraId="3C6739CA" w14:textId="77777777" w:rsidR="008B35C9" w:rsidRPr="00951AB1" w:rsidRDefault="008B35C9" w:rsidP="000A5389">
            <w:pPr>
              <w:spacing w:line="240" w:lineRule="auto"/>
              <w:jc w:val="right"/>
              <w:rPr>
                <w:rFonts w:eastAsia="Times New Roman" w:cs="Times New Roman"/>
                <w:kern w:val="0"/>
                <w:sz w:val="14"/>
                <w:szCs w:val="14"/>
                <w:lang w:eastAsia="es-CO"/>
                <w14:ligatures w14:val="none"/>
              </w:rPr>
            </w:pPr>
            <w:r w:rsidRPr="00951AB1">
              <w:rPr>
                <w:rFonts w:eastAsia="Times New Roman" w:cs="Times New Roman"/>
                <w:kern w:val="0"/>
                <w:sz w:val="14"/>
                <w:szCs w:val="14"/>
                <w:lang w:eastAsia="es-CO"/>
                <w14:ligatures w14:val="none"/>
              </w:rPr>
              <w:t>61.423.651.136</w:t>
            </w:r>
          </w:p>
        </w:tc>
      </w:tr>
      <w:tr w:rsidR="00502776" w:rsidRPr="00951AB1" w14:paraId="1C4B9A5D" w14:textId="77777777" w:rsidTr="002E333D">
        <w:trPr>
          <w:trHeight w:val="225"/>
        </w:trPr>
        <w:tc>
          <w:tcPr>
            <w:tcW w:w="167" w:type="pct"/>
            <w:vMerge/>
            <w:shd w:val="clear" w:color="auto" w:fill="FFFFFF" w:themeFill="background1"/>
            <w:vAlign w:val="center"/>
            <w:hideMark/>
          </w:tcPr>
          <w:p w14:paraId="072A3B06" w14:textId="77777777" w:rsidR="008B35C9" w:rsidRPr="00951AB1" w:rsidRDefault="008B35C9" w:rsidP="000A5389">
            <w:pPr>
              <w:spacing w:line="240" w:lineRule="auto"/>
              <w:rPr>
                <w:rFonts w:eastAsia="Times New Roman" w:cs="Times New Roman"/>
                <w:b/>
                <w:bCs/>
                <w:kern w:val="0"/>
                <w:sz w:val="12"/>
                <w:szCs w:val="12"/>
                <w:lang w:eastAsia="es-CO"/>
                <w14:ligatures w14:val="none"/>
              </w:rPr>
            </w:pPr>
          </w:p>
        </w:tc>
        <w:tc>
          <w:tcPr>
            <w:tcW w:w="455" w:type="pct"/>
            <w:shd w:val="clear" w:color="auto" w:fill="FFFFFF" w:themeFill="background1"/>
            <w:vAlign w:val="center"/>
            <w:hideMark/>
          </w:tcPr>
          <w:p w14:paraId="7A270D26" w14:textId="77777777" w:rsidR="008B35C9" w:rsidRPr="00951AB1" w:rsidRDefault="008B35C9" w:rsidP="000A5389">
            <w:pPr>
              <w:spacing w:line="240" w:lineRule="auto"/>
              <w:rPr>
                <w:rFonts w:eastAsia="Times New Roman" w:cs="Times New Roman"/>
                <w:kern w:val="0"/>
                <w:sz w:val="12"/>
                <w:szCs w:val="12"/>
                <w:lang w:eastAsia="es-CO"/>
                <w14:ligatures w14:val="none"/>
              </w:rPr>
            </w:pPr>
            <w:r w:rsidRPr="00951AB1">
              <w:rPr>
                <w:rFonts w:eastAsia="Times New Roman" w:cs="Times New Roman"/>
                <w:kern w:val="0"/>
                <w:sz w:val="12"/>
                <w:szCs w:val="12"/>
                <w:lang w:eastAsia="es-CO"/>
                <w14:ligatures w14:val="none"/>
              </w:rPr>
              <w:t>Convenios y contratos interadministrativos</w:t>
            </w:r>
          </w:p>
        </w:tc>
        <w:tc>
          <w:tcPr>
            <w:tcW w:w="547" w:type="pct"/>
            <w:shd w:val="clear" w:color="auto" w:fill="FFFFFF" w:themeFill="background1"/>
            <w:noWrap/>
            <w:vAlign w:val="center"/>
            <w:hideMark/>
          </w:tcPr>
          <w:p w14:paraId="47305EF2" w14:textId="77777777" w:rsidR="008B35C9" w:rsidRPr="00951AB1" w:rsidRDefault="008B35C9" w:rsidP="000A5389">
            <w:pPr>
              <w:spacing w:line="240" w:lineRule="auto"/>
              <w:jc w:val="right"/>
              <w:rPr>
                <w:rFonts w:eastAsia="Times New Roman" w:cs="Times New Roman"/>
                <w:kern w:val="0"/>
                <w:sz w:val="14"/>
                <w:szCs w:val="14"/>
                <w:lang w:eastAsia="es-CO"/>
                <w14:ligatures w14:val="none"/>
              </w:rPr>
            </w:pPr>
            <w:r w:rsidRPr="00951AB1">
              <w:rPr>
                <w:rFonts w:eastAsia="Times New Roman" w:cs="Times New Roman"/>
                <w:kern w:val="0"/>
                <w:sz w:val="14"/>
                <w:szCs w:val="14"/>
                <w:lang w:eastAsia="es-CO"/>
                <w14:ligatures w14:val="none"/>
              </w:rPr>
              <w:t>10.984.219.176</w:t>
            </w:r>
          </w:p>
        </w:tc>
        <w:tc>
          <w:tcPr>
            <w:tcW w:w="625" w:type="pct"/>
            <w:shd w:val="clear" w:color="auto" w:fill="FFFFFF" w:themeFill="background1"/>
            <w:noWrap/>
            <w:vAlign w:val="center"/>
            <w:hideMark/>
          </w:tcPr>
          <w:p w14:paraId="25B7325F" w14:textId="77777777" w:rsidR="008B35C9" w:rsidRPr="00951AB1" w:rsidRDefault="008B35C9" w:rsidP="000A5389">
            <w:pPr>
              <w:spacing w:line="240" w:lineRule="auto"/>
              <w:jc w:val="right"/>
              <w:rPr>
                <w:rFonts w:eastAsia="Times New Roman" w:cs="Times New Roman"/>
                <w:kern w:val="0"/>
                <w:sz w:val="14"/>
                <w:szCs w:val="14"/>
                <w:lang w:eastAsia="es-CO"/>
                <w14:ligatures w14:val="none"/>
              </w:rPr>
            </w:pPr>
            <w:r w:rsidRPr="00951AB1">
              <w:rPr>
                <w:rFonts w:eastAsia="Times New Roman" w:cs="Times New Roman"/>
                <w:kern w:val="0"/>
                <w:sz w:val="14"/>
                <w:szCs w:val="14"/>
                <w:lang w:eastAsia="es-CO"/>
                <w14:ligatures w14:val="none"/>
              </w:rPr>
              <w:t>181.360.657.975</w:t>
            </w:r>
          </w:p>
        </w:tc>
        <w:tc>
          <w:tcPr>
            <w:tcW w:w="625" w:type="pct"/>
            <w:shd w:val="clear" w:color="auto" w:fill="FFFFFF" w:themeFill="background1"/>
            <w:noWrap/>
            <w:vAlign w:val="center"/>
            <w:hideMark/>
          </w:tcPr>
          <w:p w14:paraId="001432CB" w14:textId="77777777" w:rsidR="008B35C9" w:rsidRPr="00951AB1" w:rsidRDefault="008B35C9" w:rsidP="000A5389">
            <w:pPr>
              <w:spacing w:line="240" w:lineRule="auto"/>
              <w:jc w:val="right"/>
              <w:rPr>
                <w:rFonts w:eastAsia="Times New Roman" w:cs="Times New Roman"/>
                <w:kern w:val="0"/>
                <w:sz w:val="14"/>
                <w:szCs w:val="14"/>
                <w:lang w:eastAsia="es-CO"/>
                <w14:ligatures w14:val="none"/>
              </w:rPr>
            </w:pPr>
            <w:r w:rsidRPr="00951AB1">
              <w:rPr>
                <w:rFonts w:eastAsia="Times New Roman" w:cs="Times New Roman"/>
                <w:kern w:val="0"/>
                <w:sz w:val="14"/>
                <w:szCs w:val="14"/>
                <w:lang w:eastAsia="es-CO"/>
                <w14:ligatures w14:val="none"/>
              </w:rPr>
              <w:t>192.344.877.151</w:t>
            </w:r>
          </w:p>
        </w:tc>
        <w:tc>
          <w:tcPr>
            <w:tcW w:w="626" w:type="pct"/>
            <w:shd w:val="clear" w:color="auto" w:fill="FFFFFF" w:themeFill="background1"/>
            <w:noWrap/>
            <w:vAlign w:val="center"/>
            <w:hideMark/>
          </w:tcPr>
          <w:p w14:paraId="21ED45C7" w14:textId="77777777" w:rsidR="008B35C9" w:rsidRPr="00951AB1" w:rsidRDefault="008B35C9" w:rsidP="000A5389">
            <w:pPr>
              <w:spacing w:line="240" w:lineRule="auto"/>
              <w:jc w:val="right"/>
              <w:rPr>
                <w:rFonts w:eastAsia="Times New Roman" w:cs="Times New Roman"/>
                <w:kern w:val="0"/>
                <w:sz w:val="14"/>
                <w:szCs w:val="14"/>
                <w:lang w:eastAsia="es-CO"/>
                <w14:ligatures w14:val="none"/>
              </w:rPr>
            </w:pPr>
            <w:r w:rsidRPr="00951AB1">
              <w:rPr>
                <w:rFonts w:eastAsia="Times New Roman" w:cs="Times New Roman"/>
                <w:kern w:val="0"/>
                <w:sz w:val="14"/>
                <w:szCs w:val="14"/>
                <w:lang w:eastAsia="es-CO"/>
                <w14:ligatures w14:val="none"/>
              </w:rPr>
              <w:t>27.807.165.626</w:t>
            </w:r>
          </w:p>
        </w:tc>
        <w:tc>
          <w:tcPr>
            <w:tcW w:w="625" w:type="pct"/>
            <w:shd w:val="clear" w:color="auto" w:fill="FFFFFF" w:themeFill="background1"/>
            <w:noWrap/>
            <w:vAlign w:val="center"/>
            <w:hideMark/>
          </w:tcPr>
          <w:p w14:paraId="269AA755" w14:textId="77777777" w:rsidR="008B35C9" w:rsidRPr="00951AB1" w:rsidRDefault="008B35C9" w:rsidP="000A5389">
            <w:pPr>
              <w:spacing w:line="240" w:lineRule="auto"/>
              <w:jc w:val="right"/>
              <w:rPr>
                <w:rFonts w:eastAsia="Times New Roman" w:cs="Times New Roman"/>
                <w:kern w:val="0"/>
                <w:sz w:val="14"/>
                <w:szCs w:val="14"/>
                <w:lang w:eastAsia="es-CO"/>
                <w14:ligatures w14:val="none"/>
              </w:rPr>
            </w:pPr>
            <w:r w:rsidRPr="00951AB1">
              <w:rPr>
                <w:rFonts w:eastAsia="Times New Roman" w:cs="Times New Roman"/>
                <w:kern w:val="0"/>
                <w:sz w:val="14"/>
                <w:szCs w:val="14"/>
                <w:lang w:eastAsia="es-CO"/>
                <w14:ligatures w14:val="none"/>
              </w:rPr>
              <w:t>409.624.213.091</w:t>
            </w:r>
          </w:p>
        </w:tc>
        <w:tc>
          <w:tcPr>
            <w:tcW w:w="704" w:type="pct"/>
            <w:shd w:val="clear" w:color="auto" w:fill="FFFFFF" w:themeFill="background1"/>
            <w:noWrap/>
            <w:vAlign w:val="center"/>
            <w:hideMark/>
          </w:tcPr>
          <w:p w14:paraId="1612264C" w14:textId="77777777" w:rsidR="008B35C9" w:rsidRPr="00951AB1" w:rsidRDefault="008B35C9" w:rsidP="000A5389">
            <w:pPr>
              <w:spacing w:line="240" w:lineRule="auto"/>
              <w:jc w:val="right"/>
              <w:rPr>
                <w:rFonts w:eastAsia="Times New Roman" w:cs="Times New Roman"/>
                <w:kern w:val="0"/>
                <w:sz w:val="14"/>
                <w:szCs w:val="14"/>
                <w:lang w:eastAsia="es-CO"/>
                <w14:ligatures w14:val="none"/>
              </w:rPr>
            </w:pPr>
            <w:r w:rsidRPr="00951AB1">
              <w:rPr>
                <w:rFonts w:eastAsia="Times New Roman" w:cs="Times New Roman"/>
                <w:kern w:val="0"/>
                <w:sz w:val="14"/>
                <w:szCs w:val="14"/>
                <w:lang w:eastAsia="es-CO"/>
                <w14:ligatures w14:val="none"/>
              </w:rPr>
              <w:t>437.431.378.717</w:t>
            </w:r>
          </w:p>
        </w:tc>
        <w:tc>
          <w:tcPr>
            <w:tcW w:w="624" w:type="pct"/>
            <w:shd w:val="clear" w:color="auto" w:fill="FFFFFF" w:themeFill="background1"/>
            <w:noWrap/>
            <w:vAlign w:val="center"/>
            <w:hideMark/>
          </w:tcPr>
          <w:p w14:paraId="5153F0D9" w14:textId="77777777" w:rsidR="008B35C9" w:rsidRPr="00951AB1" w:rsidRDefault="008B35C9" w:rsidP="000A5389">
            <w:pPr>
              <w:spacing w:line="240" w:lineRule="auto"/>
              <w:jc w:val="right"/>
              <w:rPr>
                <w:rFonts w:eastAsia="Times New Roman" w:cs="Times New Roman"/>
                <w:kern w:val="0"/>
                <w:sz w:val="14"/>
                <w:szCs w:val="14"/>
                <w:lang w:eastAsia="es-CO"/>
                <w14:ligatures w14:val="none"/>
              </w:rPr>
            </w:pPr>
            <w:r w:rsidRPr="00951AB1">
              <w:rPr>
                <w:rFonts w:eastAsia="Times New Roman" w:cs="Times New Roman"/>
                <w:kern w:val="0"/>
                <w:sz w:val="14"/>
                <w:szCs w:val="14"/>
                <w:lang w:eastAsia="es-CO"/>
                <w14:ligatures w14:val="none"/>
              </w:rPr>
              <w:t>-245.086.501.566</w:t>
            </w:r>
          </w:p>
        </w:tc>
      </w:tr>
      <w:tr w:rsidR="00502776" w:rsidRPr="00951AB1" w14:paraId="4E2C7760" w14:textId="77777777" w:rsidTr="002E333D">
        <w:trPr>
          <w:trHeight w:val="225"/>
        </w:trPr>
        <w:tc>
          <w:tcPr>
            <w:tcW w:w="167" w:type="pct"/>
            <w:vMerge/>
            <w:shd w:val="clear" w:color="auto" w:fill="FFFFFF" w:themeFill="background1"/>
            <w:vAlign w:val="center"/>
            <w:hideMark/>
          </w:tcPr>
          <w:p w14:paraId="1B6D99FC" w14:textId="77777777" w:rsidR="008B35C9" w:rsidRPr="00951AB1" w:rsidRDefault="008B35C9" w:rsidP="000A5389">
            <w:pPr>
              <w:spacing w:line="240" w:lineRule="auto"/>
              <w:rPr>
                <w:rFonts w:eastAsia="Times New Roman" w:cs="Times New Roman"/>
                <w:b/>
                <w:bCs/>
                <w:kern w:val="0"/>
                <w:sz w:val="12"/>
                <w:szCs w:val="12"/>
                <w:lang w:eastAsia="es-CO"/>
                <w14:ligatures w14:val="none"/>
              </w:rPr>
            </w:pPr>
          </w:p>
        </w:tc>
        <w:tc>
          <w:tcPr>
            <w:tcW w:w="455" w:type="pct"/>
            <w:shd w:val="clear" w:color="auto" w:fill="FFFFFF" w:themeFill="background1"/>
            <w:vAlign w:val="center"/>
            <w:hideMark/>
          </w:tcPr>
          <w:p w14:paraId="56B914DD" w14:textId="77777777" w:rsidR="008B35C9" w:rsidRPr="00951AB1" w:rsidRDefault="008B35C9" w:rsidP="000A5389">
            <w:pPr>
              <w:spacing w:line="240" w:lineRule="auto"/>
              <w:rPr>
                <w:rFonts w:eastAsia="Times New Roman" w:cs="Times New Roman"/>
                <w:kern w:val="0"/>
                <w:sz w:val="12"/>
                <w:szCs w:val="12"/>
                <w:lang w:eastAsia="es-CO"/>
                <w14:ligatures w14:val="none"/>
              </w:rPr>
            </w:pPr>
            <w:r w:rsidRPr="00951AB1">
              <w:rPr>
                <w:rFonts w:eastAsia="Times New Roman" w:cs="Times New Roman"/>
                <w:kern w:val="0"/>
                <w:sz w:val="12"/>
                <w:szCs w:val="12"/>
                <w:lang w:eastAsia="es-CO"/>
                <w14:ligatures w14:val="none"/>
              </w:rPr>
              <w:t>Fondo contingencias - sentencias y conciliaciones</w:t>
            </w:r>
          </w:p>
        </w:tc>
        <w:tc>
          <w:tcPr>
            <w:tcW w:w="547" w:type="pct"/>
            <w:shd w:val="clear" w:color="auto" w:fill="FFFFFF" w:themeFill="background1"/>
            <w:noWrap/>
            <w:vAlign w:val="center"/>
            <w:hideMark/>
          </w:tcPr>
          <w:p w14:paraId="15624498" w14:textId="77777777" w:rsidR="008B35C9" w:rsidRPr="00951AB1" w:rsidRDefault="008B35C9" w:rsidP="000A5389">
            <w:pPr>
              <w:spacing w:line="240" w:lineRule="auto"/>
              <w:jc w:val="right"/>
              <w:rPr>
                <w:rFonts w:eastAsia="Times New Roman" w:cs="Times New Roman"/>
                <w:kern w:val="0"/>
                <w:sz w:val="14"/>
                <w:szCs w:val="14"/>
                <w:lang w:eastAsia="es-CO"/>
                <w14:ligatures w14:val="none"/>
              </w:rPr>
            </w:pPr>
            <w:r w:rsidRPr="00951AB1">
              <w:rPr>
                <w:rFonts w:eastAsia="Times New Roman" w:cs="Times New Roman"/>
                <w:kern w:val="0"/>
                <w:sz w:val="14"/>
                <w:szCs w:val="14"/>
                <w:lang w:eastAsia="es-CO"/>
                <w14:ligatures w14:val="none"/>
              </w:rPr>
              <w:t>26.492.061.131</w:t>
            </w:r>
          </w:p>
        </w:tc>
        <w:tc>
          <w:tcPr>
            <w:tcW w:w="625" w:type="pct"/>
            <w:shd w:val="clear" w:color="auto" w:fill="FFFFFF" w:themeFill="background1"/>
            <w:noWrap/>
            <w:vAlign w:val="center"/>
            <w:hideMark/>
          </w:tcPr>
          <w:p w14:paraId="75EE3AAE" w14:textId="77777777" w:rsidR="008B35C9" w:rsidRPr="00951AB1" w:rsidRDefault="008B35C9" w:rsidP="000A5389">
            <w:pPr>
              <w:spacing w:line="240" w:lineRule="auto"/>
              <w:jc w:val="right"/>
              <w:rPr>
                <w:rFonts w:eastAsia="Times New Roman" w:cs="Times New Roman"/>
                <w:kern w:val="0"/>
                <w:sz w:val="14"/>
                <w:szCs w:val="14"/>
                <w:lang w:eastAsia="es-CO"/>
                <w14:ligatures w14:val="none"/>
              </w:rPr>
            </w:pPr>
            <w:r w:rsidRPr="00951AB1">
              <w:rPr>
                <w:rFonts w:eastAsia="Times New Roman" w:cs="Times New Roman"/>
                <w:kern w:val="0"/>
                <w:sz w:val="14"/>
                <w:szCs w:val="14"/>
                <w:lang w:eastAsia="es-CO"/>
                <w14:ligatures w14:val="none"/>
              </w:rPr>
              <w:t>0</w:t>
            </w:r>
          </w:p>
        </w:tc>
        <w:tc>
          <w:tcPr>
            <w:tcW w:w="625" w:type="pct"/>
            <w:shd w:val="clear" w:color="auto" w:fill="FFFFFF" w:themeFill="background1"/>
            <w:noWrap/>
            <w:vAlign w:val="center"/>
            <w:hideMark/>
          </w:tcPr>
          <w:p w14:paraId="4F4E1FA5" w14:textId="77777777" w:rsidR="008B35C9" w:rsidRPr="00951AB1" w:rsidRDefault="008B35C9" w:rsidP="000A5389">
            <w:pPr>
              <w:spacing w:line="240" w:lineRule="auto"/>
              <w:jc w:val="right"/>
              <w:rPr>
                <w:rFonts w:eastAsia="Times New Roman" w:cs="Times New Roman"/>
                <w:kern w:val="0"/>
                <w:sz w:val="14"/>
                <w:szCs w:val="14"/>
                <w:lang w:eastAsia="es-CO"/>
                <w14:ligatures w14:val="none"/>
              </w:rPr>
            </w:pPr>
            <w:r w:rsidRPr="00951AB1">
              <w:rPr>
                <w:rFonts w:eastAsia="Times New Roman" w:cs="Times New Roman"/>
                <w:kern w:val="0"/>
                <w:sz w:val="14"/>
                <w:szCs w:val="14"/>
                <w:lang w:eastAsia="es-CO"/>
                <w14:ligatures w14:val="none"/>
              </w:rPr>
              <w:t>26.492.061.131</w:t>
            </w:r>
          </w:p>
        </w:tc>
        <w:tc>
          <w:tcPr>
            <w:tcW w:w="626" w:type="pct"/>
            <w:shd w:val="clear" w:color="auto" w:fill="FFFFFF" w:themeFill="background1"/>
            <w:noWrap/>
            <w:vAlign w:val="center"/>
            <w:hideMark/>
          </w:tcPr>
          <w:p w14:paraId="0320CF4B" w14:textId="77777777" w:rsidR="008B35C9" w:rsidRPr="00951AB1" w:rsidRDefault="008B35C9" w:rsidP="000A5389">
            <w:pPr>
              <w:spacing w:line="240" w:lineRule="auto"/>
              <w:jc w:val="right"/>
              <w:rPr>
                <w:rFonts w:eastAsia="Times New Roman" w:cs="Times New Roman"/>
                <w:kern w:val="0"/>
                <w:sz w:val="14"/>
                <w:szCs w:val="14"/>
                <w:lang w:eastAsia="es-CO"/>
                <w14:ligatures w14:val="none"/>
              </w:rPr>
            </w:pPr>
            <w:r w:rsidRPr="00951AB1">
              <w:rPr>
                <w:rFonts w:eastAsia="Times New Roman" w:cs="Times New Roman"/>
                <w:kern w:val="0"/>
                <w:sz w:val="14"/>
                <w:szCs w:val="14"/>
                <w:lang w:eastAsia="es-CO"/>
                <w14:ligatures w14:val="none"/>
              </w:rPr>
              <w:t>24.177.868.401</w:t>
            </w:r>
          </w:p>
        </w:tc>
        <w:tc>
          <w:tcPr>
            <w:tcW w:w="625" w:type="pct"/>
            <w:shd w:val="clear" w:color="auto" w:fill="FFFFFF" w:themeFill="background1"/>
            <w:noWrap/>
            <w:vAlign w:val="center"/>
            <w:hideMark/>
          </w:tcPr>
          <w:p w14:paraId="1CBD1543" w14:textId="77777777" w:rsidR="008B35C9" w:rsidRPr="00951AB1" w:rsidRDefault="008B35C9" w:rsidP="000A5389">
            <w:pPr>
              <w:spacing w:line="240" w:lineRule="auto"/>
              <w:jc w:val="right"/>
              <w:rPr>
                <w:rFonts w:eastAsia="Times New Roman" w:cs="Times New Roman"/>
                <w:kern w:val="0"/>
                <w:sz w:val="14"/>
                <w:szCs w:val="14"/>
                <w:lang w:eastAsia="es-CO"/>
                <w14:ligatures w14:val="none"/>
              </w:rPr>
            </w:pPr>
            <w:r w:rsidRPr="00951AB1">
              <w:rPr>
                <w:rFonts w:eastAsia="Times New Roman" w:cs="Times New Roman"/>
                <w:kern w:val="0"/>
                <w:sz w:val="14"/>
                <w:szCs w:val="14"/>
                <w:lang w:eastAsia="es-CO"/>
                <w14:ligatures w14:val="none"/>
              </w:rPr>
              <w:t>0</w:t>
            </w:r>
          </w:p>
        </w:tc>
        <w:tc>
          <w:tcPr>
            <w:tcW w:w="704" w:type="pct"/>
            <w:shd w:val="clear" w:color="auto" w:fill="FFFFFF" w:themeFill="background1"/>
            <w:noWrap/>
            <w:vAlign w:val="center"/>
            <w:hideMark/>
          </w:tcPr>
          <w:p w14:paraId="1CE57AD8" w14:textId="77777777" w:rsidR="008B35C9" w:rsidRPr="00951AB1" w:rsidRDefault="008B35C9" w:rsidP="000A5389">
            <w:pPr>
              <w:spacing w:line="240" w:lineRule="auto"/>
              <w:jc w:val="right"/>
              <w:rPr>
                <w:rFonts w:eastAsia="Times New Roman" w:cs="Times New Roman"/>
                <w:kern w:val="0"/>
                <w:sz w:val="14"/>
                <w:szCs w:val="14"/>
                <w:lang w:eastAsia="es-CO"/>
                <w14:ligatures w14:val="none"/>
              </w:rPr>
            </w:pPr>
            <w:r w:rsidRPr="00951AB1">
              <w:rPr>
                <w:rFonts w:eastAsia="Times New Roman" w:cs="Times New Roman"/>
                <w:kern w:val="0"/>
                <w:sz w:val="14"/>
                <w:szCs w:val="14"/>
                <w:lang w:eastAsia="es-CO"/>
                <w14:ligatures w14:val="none"/>
              </w:rPr>
              <w:t>24.177.868.401</w:t>
            </w:r>
          </w:p>
        </w:tc>
        <w:tc>
          <w:tcPr>
            <w:tcW w:w="624" w:type="pct"/>
            <w:shd w:val="clear" w:color="auto" w:fill="FFFFFF" w:themeFill="background1"/>
            <w:noWrap/>
            <w:vAlign w:val="center"/>
            <w:hideMark/>
          </w:tcPr>
          <w:p w14:paraId="2AA6703C" w14:textId="77777777" w:rsidR="008B35C9" w:rsidRPr="00951AB1" w:rsidRDefault="008B35C9" w:rsidP="000A5389">
            <w:pPr>
              <w:spacing w:line="240" w:lineRule="auto"/>
              <w:jc w:val="right"/>
              <w:rPr>
                <w:rFonts w:eastAsia="Times New Roman" w:cs="Times New Roman"/>
                <w:kern w:val="0"/>
                <w:sz w:val="14"/>
                <w:szCs w:val="14"/>
                <w:lang w:eastAsia="es-CO"/>
                <w14:ligatures w14:val="none"/>
              </w:rPr>
            </w:pPr>
            <w:r w:rsidRPr="00951AB1">
              <w:rPr>
                <w:rFonts w:eastAsia="Times New Roman" w:cs="Times New Roman"/>
                <w:kern w:val="0"/>
                <w:sz w:val="14"/>
                <w:szCs w:val="14"/>
                <w:lang w:eastAsia="es-CO"/>
                <w14:ligatures w14:val="none"/>
              </w:rPr>
              <w:t>2.314.192.731</w:t>
            </w:r>
          </w:p>
        </w:tc>
      </w:tr>
      <w:tr w:rsidR="00502776" w:rsidRPr="00951AB1" w14:paraId="7FFCF3A9" w14:textId="77777777" w:rsidTr="002E333D">
        <w:trPr>
          <w:trHeight w:val="540"/>
        </w:trPr>
        <w:tc>
          <w:tcPr>
            <w:tcW w:w="167" w:type="pct"/>
            <w:vMerge w:val="restart"/>
            <w:shd w:val="clear" w:color="auto" w:fill="FFFFFF" w:themeFill="background1"/>
            <w:noWrap/>
            <w:textDirection w:val="btLr"/>
            <w:vAlign w:val="center"/>
            <w:hideMark/>
          </w:tcPr>
          <w:p w14:paraId="1AEC85F4" w14:textId="77777777" w:rsidR="008B35C9" w:rsidRPr="00951AB1" w:rsidRDefault="008B35C9" w:rsidP="000A5389">
            <w:pPr>
              <w:spacing w:line="240" w:lineRule="auto"/>
              <w:jc w:val="center"/>
              <w:rPr>
                <w:rFonts w:eastAsia="Times New Roman" w:cs="Times New Roman"/>
                <w:b/>
                <w:bCs/>
                <w:kern w:val="0"/>
                <w:sz w:val="12"/>
                <w:szCs w:val="12"/>
                <w:lang w:eastAsia="es-CO"/>
                <w14:ligatures w14:val="none"/>
              </w:rPr>
            </w:pPr>
            <w:r w:rsidRPr="00951AB1">
              <w:rPr>
                <w:rFonts w:eastAsia="Times New Roman" w:cs="Times New Roman"/>
                <w:b/>
                <w:bCs/>
                <w:kern w:val="0"/>
                <w:sz w:val="12"/>
                <w:szCs w:val="12"/>
                <w:lang w:eastAsia="es-CO"/>
                <w14:ligatures w14:val="none"/>
              </w:rPr>
              <w:t>1.9.05.90</w:t>
            </w:r>
          </w:p>
        </w:tc>
        <w:tc>
          <w:tcPr>
            <w:tcW w:w="455" w:type="pct"/>
            <w:shd w:val="clear" w:color="auto" w:fill="FFFFFF" w:themeFill="background1"/>
            <w:vAlign w:val="center"/>
            <w:hideMark/>
          </w:tcPr>
          <w:p w14:paraId="7EDBA094" w14:textId="77777777" w:rsidR="008B35C9" w:rsidRPr="00951AB1" w:rsidRDefault="008B35C9" w:rsidP="000A5389">
            <w:pPr>
              <w:spacing w:line="240" w:lineRule="auto"/>
              <w:rPr>
                <w:rFonts w:eastAsia="Times New Roman" w:cs="Times New Roman"/>
                <w:b/>
                <w:bCs/>
                <w:kern w:val="0"/>
                <w:sz w:val="12"/>
                <w:szCs w:val="12"/>
                <w:lang w:eastAsia="es-CO"/>
                <w14:ligatures w14:val="none"/>
              </w:rPr>
            </w:pPr>
            <w:r w:rsidRPr="00951AB1">
              <w:rPr>
                <w:rFonts w:eastAsia="Times New Roman" w:cs="Times New Roman"/>
                <w:b/>
                <w:bCs/>
                <w:kern w:val="0"/>
                <w:sz w:val="12"/>
                <w:szCs w:val="12"/>
                <w:lang w:eastAsia="es-CO"/>
                <w14:ligatures w14:val="none"/>
              </w:rPr>
              <w:t>Otros bienes y servicios pagados por anticipado</w:t>
            </w:r>
          </w:p>
        </w:tc>
        <w:tc>
          <w:tcPr>
            <w:tcW w:w="547" w:type="pct"/>
            <w:shd w:val="clear" w:color="auto" w:fill="FFFFFF" w:themeFill="background1"/>
            <w:noWrap/>
            <w:vAlign w:val="center"/>
            <w:hideMark/>
          </w:tcPr>
          <w:p w14:paraId="4AAC3DC8" w14:textId="77777777" w:rsidR="008B35C9" w:rsidRPr="00951AB1" w:rsidRDefault="008B35C9" w:rsidP="000A5389">
            <w:pPr>
              <w:spacing w:line="240" w:lineRule="auto"/>
              <w:jc w:val="right"/>
              <w:rPr>
                <w:rFonts w:eastAsia="Times New Roman" w:cs="Times New Roman"/>
                <w:b/>
                <w:bCs/>
                <w:kern w:val="0"/>
                <w:sz w:val="14"/>
                <w:szCs w:val="14"/>
                <w:lang w:eastAsia="es-CO"/>
                <w14:ligatures w14:val="none"/>
              </w:rPr>
            </w:pPr>
            <w:r w:rsidRPr="00951AB1">
              <w:rPr>
                <w:rFonts w:eastAsia="Times New Roman" w:cs="Times New Roman"/>
                <w:b/>
                <w:bCs/>
                <w:kern w:val="0"/>
                <w:sz w:val="14"/>
                <w:szCs w:val="14"/>
                <w:lang w:eastAsia="es-CO"/>
                <w14:ligatures w14:val="none"/>
              </w:rPr>
              <w:t>877.129.812</w:t>
            </w:r>
          </w:p>
        </w:tc>
        <w:tc>
          <w:tcPr>
            <w:tcW w:w="625" w:type="pct"/>
            <w:shd w:val="clear" w:color="auto" w:fill="FFFFFF" w:themeFill="background1"/>
            <w:noWrap/>
            <w:vAlign w:val="center"/>
            <w:hideMark/>
          </w:tcPr>
          <w:p w14:paraId="4CCB10C6" w14:textId="77777777" w:rsidR="008B35C9" w:rsidRPr="00951AB1" w:rsidRDefault="008B35C9" w:rsidP="000A5389">
            <w:pPr>
              <w:spacing w:line="240" w:lineRule="auto"/>
              <w:jc w:val="right"/>
              <w:rPr>
                <w:rFonts w:eastAsia="Times New Roman" w:cs="Times New Roman"/>
                <w:b/>
                <w:bCs/>
                <w:kern w:val="0"/>
                <w:sz w:val="14"/>
                <w:szCs w:val="14"/>
                <w:lang w:eastAsia="es-CO"/>
                <w14:ligatures w14:val="none"/>
              </w:rPr>
            </w:pPr>
            <w:r w:rsidRPr="00951AB1">
              <w:rPr>
                <w:rFonts w:eastAsia="Times New Roman" w:cs="Times New Roman"/>
                <w:b/>
                <w:bCs/>
                <w:kern w:val="0"/>
                <w:sz w:val="14"/>
                <w:szCs w:val="14"/>
                <w:lang w:eastAsia="es-CO"/>
                <w14:ligatures w14:val="none"/>
              </w:rPr>
              <w:t>0</w:t>
            </w:r>
          </w:p>
        </w:tc>
        <w:tc>
          <w:tcPr>
            <w:tcW w:w="625" w:type="pct"/>
            <w:shd w:val="clear" w:color="auto" w:fill="FFFFFF" w:themeFill="background1"/>
            <w:noWrap/>
            <w:vAlign w:val="center"/>
            <w:hideMark/>
          </w:tcPr>
          <w:p w14:paraId="254F6415" w14:textId="77777777" w:rsidR="008B35C9" w:rsidRPr="00951AB1" w:rsidRDefault="008B35C9" w:rsidP="000A5389">
            <w:pPr>
              <w:spacing w:line="240" w:lineRule="auto"/>
              <w:jc w:val="right"/>
              <w:rPr>
                <w:rFonts w:eastAsia="Times New Roman" w:cs="Times New Roman"/>
                <w:b/>
                <w:bCs/>
                <w:kern w:val="0"/>
                <w:sz w:val="14"/>
                <w:szCs w:val="14"/>
                <w:lang w:eastAsia="es-CO"/>
                <w14:ligatures w14:val="none"/>
              </w:rPr>
            </w:pPr>
            <w:r w:rsidRPr="00951AB1">
              <w:rPr>
                <w:rFonts w:eastAsia="Times New Roman" w:cs="Times New Roman"/>
                <w:b/>
                <w:bCs/>
                <w:kern w:val="0"/>
                <w:sz w:val="14"/>
                <w:szCs w:val="14"/>
                <w:lang w:eastAsia="es-CO"/>
                <w14:ligatures w14:val="none"/>
              </w:rPr>
              <w:t>877.129.812</w:t>
            </w:r>
          </w:p>
        </w:tc>
        <w:tc>
          <w:tcPr>
            <w:tcW w:w="626" w:type="pct"/>
            <w:shd w:val="clear" w:color="auto" w:fill="FFFFFF" w:themeFill="background1"/>
            <w:noWrap/>
            <w:vAlign w:val="center"/>
            <w:hideMark/>
          </w:tcPr>
          <w:p w14:paraId="71BF3F89" w14:textId="77777777" w:rsidR="008B35C9" w:rsidRPr="00951AB1" w:rsidRDefault="008B35C9" w:rsidP="000A5389">
            <w:pPr>
              <w:spacing w:line="240" w:lineRule="auto"/>
              <w:jc w:val="right"/>
              <w:rPr>
                <w:rFonts w:eastAsia="Times New Roman" w:cs="Times New Roman"/>
                <w:b/>
                <w:bCs/>
                <w:kern w:val="0"/>
                <w:sz w:val="14"/>
                <w:szCs w:val="14"/>
                <w:lang w:eastAsia="es-CO"/>
                <w14:ligatures w14:val="none"/>
              </w:rPr>
            </w:pPr>
            <w:r w:rsidRPr="00951AB1">
              <w:rPr>
                <w:rFonts w:eastAsia="Times New Roman" w:cs="Times New Roman"/>
                <w:b/>
                <w:bCs/>
                <w:kern w:val="0"/>
                <w:sz w:val="14"/>
                <w:szCs w:val="14"/>
                <w:lang w:eastAsia="es-CO"/>
                <w14:ligatures w14:val="none"/>
              </w:rPr>
              <w:t>0</w:t>
            </w:r>
          </w:p>
        </w:tc>
        <w:tc>
          <w:tcPr>
            <w:tcW w:w="625" w:type="pct"/>
            <w:shd w:val="clear" w:color="auto" w:fill="FFFFFF" w:themeFill="background1"/>
            <w:noWrap/>
            <w:vAlign w:val="center"/>
            <w:hideMark/>
          </w:tcPr>
          <w:p w14:paraId="50F556AA" w14:textId="77777777" w:rsidR="008B35C9" w:rsidRPr="00951AB1" w:rsidRDefault="008B35C9" w:rsidP="000A5389">
            <w:pPr>
              <w:spacing w:line="240" w:lineRule="auto"/>
              <w:jc w:val="right"/>
              <w:rPr>
                <w:rFonts w:eastAsia="Times New Roman" w:cs="Times New Roman"/>
                <w:b/>
                <w:bCs/>
                <w:kern w:val="0"/>
                <w:sz w:val="14"/>
                <w:szCs w:val="14"/>
                <w:lang w:eastAsia="es-CO"/>
                <w14:ligatures w14:val="none"/>
              </w:rPr>
            </w:pPr>
            <w:r w:rsidRPr="00951AB1">
              <w:rPr>
                <w:rFonts w:eastAsia="Times New Roman" w:cs="Times New Roman"/>
                <w:b/>
                <w:bCs/>
                <w:kern w:val="0"/>
                <w:sz w:val="14"/>
                <w:szCs w:val="14"/>
                <w:lang w:eastAsia="es-CO"/>
                <w14:ligatures w14:val="none"/>
              </w:rPr>
              <w:t>0</w:t>
            </w:r>
          </w:p>
        </w:tc>
        <w:tc>
          <w:tcPr>
            <w:tcW w:w="704" w:type="pct"/>
            <w:shd w:val="clear" w:color="auto" w:fill="FFFFFF" w:themeFill="background1"/>
            <w:noWrap/>
            <w:vAlign w:val="center"/>
            <w:hideMark/>
          </w:tcPr>
          <w:p w14:paraId="6F0AA72C" w14:textId="77777777" w:rsidR="008B35C9" w:rsidRPr="00951AB1" w:rsidRDefault="008B35C9" w:rsidP="000A5389">
            <w:pPr>
              <w:spacing w:line="240" w:lineRule="auto"/>
              <w:jc w:val="right"/>
              <w:rPr>
                <w:rFonts w:eastAsia="Times New Roman" w:cs="Times New Roman"/>
                <w:b/>
                <w:bCs/>
                <w:kern w:val="0"/>
                <w:sz w:val="14"/>
                <w:szCs w:val="14"/>
                <w:lang w:eastAsia="es-CO"/>
                <w14:ligatures w14:val="none"/>
              </w:rPr>
            </w:pPr>
            <w:r w:rsidRPr="00951AB1">
              <w:rPr>
                <w:rFonts w:eastAsia="Times New Roman" w:cs="Times New Roman"/>
                <w:b/>
                <w:bCs/>
                <w:kern w:val="0"/>
                <w:sz w:val="14"/>
                <w:szCs w:val="14"/>
                <w:lang w:eastAsia="es-CO"/>
                <w14:ligatures w14:val="none"/>
              </w:rPr>
              <w:t>0</w:t>
            </w:r>
          </w:p>
        </w:tc>
        <w:tc>
          <w:tcPr>
            <w:tcW w:w="624" w:type="pct"/>
            <w:shd w:val="clear" w:color="auto" w:fill="FFFFFF" w:themeFill="background1"/>
            <w:noWrap/>
            <w:vAlign w:val="center"/>
            <w:hideMark/>
          </w:tcPr>
          <w:p w14:paraId="06BC4703" w14:textId="77777777" w:rsidR="008B35C9" w:rsidRPr="00951AB1" w:rsidRDefault="008B35C9" w:rsidP="000A5389">
            <w:pPr>
              <w:spacing w:line="240" w:lineRule="auto"/>
              <w:jc w:val="right"/>
              <w:rPr>
                <w:rFonts w:eastAsia="Times New Roman" w:cs="Times New Roman"/>
                <w:b/>
                <w:bCs/>
                <w:kern w:val="0"/>
                <w:sz w:val="14"/>
                <w:szCs w:val="14"/>
                <w:lang w:eastAsia="es-CO"/>
                <w14:ligatures w14:val="none"/>
              </w:rPr>
            </w:pPr>
            <w:r w:rsidRPr="00951AB1">
              <w:rPr>
                <w:rFonts w:eastAsia="Times New Roman" w:cs="Times New Roman"/>
                <w:b/>
                <w:bCs/>
                <w:kern w:val="0"/>
                <w:sz w:val="14"/>
                <w:szCs w:val="14"/>
                <w:lang w:eastAsia="es-CO"/>
                <w14:ligatures w14:val="none"/>
              </w:rPr>
              <w:t>877.129.812</w:t>
            </w:r>
          </w:p>
        </w:tc>
      </w:tr>
      <w:tr w:rsidR="00502776" w:rsidRPr="00951AB1" w14:paraId="041E8A15" w14:textId="77777777" w:rsidTr="002E333D">
        <w:trPr>
          <w:trHeight w:val="450"/>
        </w:trPr>
        <w:tc>
          <w:tcPr>
            <w:tcW w:w="167" w:type="pct"/>
            <w:vMerge/>
            <w:shd w:val="clear" w:color="auto" w:fill="FFFFFF" w:themeFill="background1"/>
            <w:vAlign w:val="center"/>
            <w:hideMark/>
          </w:tcPr>
          <w:p w14:paraId="261C95BA" w14:textId="77777777" w:rsidR="008B35C9" w:rsidRPr="00951AB1" w:rsidRDefault="008B35C9" w:rsidP="000A5389">
            <w:pPr>
              <w:spacing w:line="240" w:lineRule="auto"/>
              <w:rPr>
                <w:rFonts w:eastAsia="Times New Roman" w:cs="Times New Roman"/>
                <w:b/>
                <w:bCs/>
                <w:kern w:val="0"/>
                <w:sz w:val="12"/>
                <w:szCs w:val="12"/>
                <w:lang w:eastAsia="es-CO"/>
                <w14:ligatures w14:val="none"/>
              </w:rPr>
            </w:pPr>
          </w:p>
        </w:tc>
        <w:tc>
          <w:tcPr>
            <w:tcW w:w="455" w:type="pct"/>
            <w:shd w:val="clear" w:color="auto" w:fill="FFFFFF" w:themeFill="background1"/>
            <w:vAlign w:val="center"/>
            <w:hideMark/>
          </w:tcPr>
          <w:p w14:paraId="31A8D9D0" w14:textId="77777777" w:rsidR="008B35C9" w:rsidRPr="00951AB1" w:rsidRDefault="008B35C9" w:rsidP="000A5389">
            <w:pPr>
              <w:spacing w:line="240" w:lineRule="auto"/>
              <w:rPr>
                <w:rFonts w:eastAsia="Times New Roman" w:cs="Times New Roman"/>
                <w:kern w:val="0"/>
                <w:sz w:val="12"/>
                <w:szCs w:val="12"/>
                <w:lang w:eastAsia="es-CO"/>
                <w14:ligatures w14:val="none"/>
              </w:rPr>
            </w:pPr>
            <w:r w:rsidRPr="00951AB1">
              <w:rPr>
                <w:rFonts w:eastAsia="Times New Roman" w:cs="Times New Roman"/>
                <w:kern w:val="0"/>
                <w:sz w:val="12"/>
                <w:szCs w:val="12"/>
                <w:lang w:eastAsia="es-CO"/>
                <w14:ligatures w14:val="none"/>
              </w:rPr>
              <w:t>Expensas de administración 2026, de las oficinas de la ANI</w:t>
            </w:r>
          </w:p>
        </w:tc>
        <w:tc>
          <w:tcPr>
            <w:tcW w:w="547" w:type="pct"/>
            <w:shd w:val="clear" w:color="auto" w:fill="FFFFFF" w:themeFill="background1"/>
            <w:noWrap/>
            <w:vAlign w:val="center"/>
            <w:hideMark/>
          </w:tcPr>
          <w:p w14:paraId="35B8C0DA" w14:textId="77777777" w:rsidR="008B35C9" w:rsidRPr="00951AB1" w:rsidRDefault="008B35C9" w:rsidP="000A5389">
            <w:pPr>
              <w:spacing w:line="240" w:lineRule="auto"/>
              <w:jc w:val="right"/>
              <w:rPr>
                <w:rFonts w:eastAsia="Times New Roman" w:cs="Times New Roman"/>
                <w:kern w:val="0"/>
                <w:sz w:val="14"/>
                <w:szCs w:val="14"/>
                <w:lang w:eastAsia="es-CO"/>
                <w14:ligatures w14:val="none"/>
              </w:rPr>
            </w:pPr>
            <w:r w:rsidRPr="00951AB1">
              <w:rPr>
                <w:rFonts w:eastAsia="Times New Roman" w:cs="Times New Roman"/>
                <w:kern w:val="0"/>
                <w:sz w:val="14"/>
                <w:szCs w:val="14"/>
                <w:lang w:eastAsia="es-CO"/>
                <w14:ligatures w14:val="none"/>
              </w:rPr>
              <w:t>877.129.812</w:t>
            </w:r>
          </w:p>
        </w:tc>
        <w:tc>
          <w:tcPr>
            <w:tcW w:w="625" w:type="pct"/>
            <w:shd w:val="clear" w:color="auto" w:fill="FFFFFF" w:themeFill="background1"/>
            <w:noWrap/>
            <w:vAlign w:val="center"/>
            <w:hideMark/>
          </w:tcPr>
          <w:p w14:paraId="0BCB3F32" w14:textId="77777777" w:rsidR="008B35C9" w:rsidRPr="00951AB1" w:rsidRDefault="008B35C9" w:rsidP="000A5389">
            <w:pPr>
              <w:spacing w:line="240" w:lineRule="auto"/>
              <w:jc w:val="right"/>
              <w:rPr>
                <w:rFonts w:eastAsia="Times New Roman" w:cs="Times New Roman"/>
                <w:kern w:val="0"/>
                <w:sz w:val="14"/>
                <w:szCs w:val="14"/>
                <w:lang w:eastAsia="es-CO"/>
                <w14:ligatures w14:val="none"/>
              </w:rPr>
            </w:pPr>
            <w:r w:rsidRPr="00951AB1">
              <w:rPr>
                <w:rFonts w:eastAsia="Times New Roman" w:cs="Times New Roman"/>
                <w:kern w:val="0"/>
                <w:sz w:val="14"/>
                <w:szCs w:val="14"/>
                <w:lang w:eastAsia="es-CO"/>
                <w14:ligatures w14:val="none"/>
              </w:rPr>
              <w:t>0</w:t>
            </w:r>
          </w:p>
        </w:tc>
        <w:tc>
          <w:tcPr>
            <w:tcW w:w="625" w:type="pct"/>
            <w:shd w:val="clear" w:color="auto" w:fill="FFFFFF" w:themeFill="background1"/>
            <w:noWrap/>
            <w:vAlign w:val="center"/>
            <w:hideMark/>
          </w:tcPr>
          <w:p w14:paraId="0F440608" w14:textId="77777777" w:rsidR="008B35C9" w:rsidRPr="00951AB1" w:rsidRDefault="008B35C9" w:rsidP="000A5389">
            <w:pPr>
              <w:spacing w:line="240" w:lineRule="auto"/>
              <w:jc w:val="right"/>
              <w:rPr>
                <w:rFonts w:eastAsia="Times New Roman" w:cs="Times New Roman"/>
                <w:kern w:val="0"/>
                <w:sz w:val="14"/>
                <w:szCs w:val="14"/>
                <w:lang w:eastAsia="es-CO"/>
                <w14:ligatures w14:val="none"/>
              </w:rPr>
            </w:pPr>
            <w:r w:rsidRPr="00951AB1">
              <w:rPr>
                <w:rFonts w:eastAsia="Times New Roman" w:cs="Times New Roman"/>
                <w:kern w:val="0"/>
                <w:sz w:val="14"/>
                <w:szCs w:val="14"/>
                <w:lang w:eastAsia="es-CO"/>
                <w14:ligatures w14:val="none"/>
              </w:rPr>
              <w:t>877.129.812</w:t>
            </w:r>
          </w:p>
        </w:tc>
        <w:tc>
          <w:tcPr>
            <w:tcW w:w="626" w:type="pct"/>
            <w:shd w:val="clear" w:color="auto" w:fill="FFFFFF" w:themeFill="background1"/>
            <w:noWrap/>
            <w:vAlign w:val="center"/>
            <w:hideMark/>
          </w:tcPr>
          <w:p w14:paraId="3FA82278" w14:textId="77777777" w:rsidR="008B35C9" w:rsidRPr="00951AB1" w:rsidRDefault="008B35C9" w:rsidP="000A5389">
            <w:pPr>
              <w:spacing w:line="240" w:lineRule="auto"/>
              <w:jc w:val="right"/>
              <w:rPr>
                <w:rFonts w:eastAsia="Times New Roman" w:cs="Times New Roman"/>
                <w:kern w:val="0"/>
                <w:sz w:val="14"/>
                <w:szCs w:val="14"/>
                <w:lang w:eastAsia="es-CO"/>
                <w14:ligatures w14:val="none"/>
              </w:rPr>
            </w:pPr>
            <w:r w:rsidRPr="00951AB1">
              <w:rPr>
                <w:rFonts w:eastAsia="Times New Roman" w:cs="Times New Roman"/>
                <w:kern w:val="0"/>
                <w:sz w:val="14"/>
                <w:szCs w:val="14"/>
                <w:lang w:eastAsia="es-CO"/>
                <w14:ligatures w14:val="none"/>
              </w:rPr>
              <w:t>0</w:t>
            </w:r>
          </w:p>
        </w:tc>
        <w:tc>
          <w:tcPr>
            <w:tcW w:w="625" w:type="pct"/>
            <w:shd w:val="clear" w:color="auto" w:fill="FFFFFF" w:themeFill="background1"/>
            <w:noWrap/>
            <w:vAlign w:val="center"/>
            <w:hideMark/>
          </w:tcPr>
          <w:p w14:paraId="303F2CF6" w14:textId="77777777" w:rsidR="008B35C9" w:rsidRPr="00951AB1" w:rsidRDefault="008B35C9" w:rsidP="000A5389">
            <w:pPr>
              <w:spacing w:line="240" w:lineRule="auto"/>
              <w:jc w:val="right"/>
              <w:rPr>
                <w:rFonts w:eastAsia="Times New Roman" w:cs="Times New Roman"/>
                <w:kern w:val="0"/>
                <w:sz w:val="14"/>
                <w:szCs w:val="14"/>
                <w:lang w:eastAsia="es-CO"/>
                <w14:ligatures w14:val="none"/>
              </w:rPr>
            </w:pPr>
            <w:r w:rsidRPr="00951AB1">
              <w:rPr>
                <w:rFonts w:eastAsia="Times New Roman" w:cs="Times New Roman"/>
                <w:kern w:val="0"/>
                <w:sz w:val="14"/>
                <w:szCs w:val="14"/>
                <w:lang w:eastAsia="es-CO"/>
                <w14:ligatures w14:val="none"/>
              </w:rPr>
              <w:t>0</w:t>
            </w:r>
          </w:p>
        </w:tc>
        <w:tc>
          <w:tcPr>
            <w:tcW w:w="704" w:type="pct"/>
            <w:shd w:val="clear" w:color="auto" w:fill="FFFFFF" w:themeFill="background1"/>
            <w:noWrap/>
            <w:vAlign w:val="center"/>
            <w:hideMark/>
          </w:tcPr>
          <w:p w14:paraId="02ACAB45" w14:textId="77777777" w:rsidR="008B35C9" w:rsidRPr="00951AB1" w:rsidRDefault="008B35C9" w:rsidP="000A5389">
            <w:pPr>
              <w:spacing w:line="240" w:lineRule="auto"/>
              <w:jc w:val="right"/>
              <w:rPr>
                <w:rFonts w:eastAsia="Times New Roman" w:cs="Times New Roman"/>
                <w:kern w:val="0"/>
                <w:sz w:val="14"/>
                <w:szCs w:val="14"/>
                <w:lang w:eastAsia="es-CO"/>
                <w14:ligatures w14:val="none"/>
              </w:rPr>
            </w:pPr>
            <w:r w:rsidRPr="00951AB1">
              <w:rPr>
                <w:rFonts w:eastAsia="Times New Roman" w:cs="Times New Roman"/>
                <w:kern w:val="0"/>
                <w:sz w:val="14"/>
                <w:szCs w:val="14"/>
                <w:lang w:eastAsia="es-CO"/>
                <w14:ligatures w14:val="none"/>
              </w:rPr>
              <w:t>0</w:t>
            </w:r>
          </w:p>
        </w:tc>
        <w:tc>
          <w:tcPr>
            <w:tcW w:w="624" w:type="pct"/>
            <w:shd w:val="clear" w:color="auto" w:fill="FFFFFF" w:themeFill="background1"/>
            <w:noWrap/>
            <w:vAlign w:val="center"/>
            <w:hideMark/>
          </w:tcPr>
          <w:p w14:paraId="353317A3" w14:textId="77777777" w:rsidR="008B35C9" w:rsidRPr="00951AB1" w:rsidRDefault="008B35C9" w:rsidP="000A5389">
            <w:pPr>
              <w:spacing w:line="240" w:lineRule="auto"/>
              <w:jc w:val="right"/>
              <w:rPr>
                <w:rFonts w:eastAsia="Times New Roman" w:cs="Times New Roman"/>
                <w:kern w:val="0"/>
                <w:sz w:val="14"/>
                <w:szCs w:val="14"/>
                <w:lang w:eastAsia="es-CO"/>
                <w14:ligatures w14:val="none"/>
              </w:rPr>
            </w:pPr>
            <w:r w:rsidRPr="00951AB1">
              <w:rPr>
                <w:rFonts w:eastAsia="Times New Roman" w:cs="Times New Roman"/>
                <w:kern w:val="0"/>
                <w:sz w:val="14"/>
                <w:szCs w:val="14"/>
                <w:lang w:eastAsia="es-CO"/>
                <w14:ligatures w14:val="none"/>
              </w:rPr>
              <w:t>877.129.812</w:t>
            </w:r>
          </w:p>
        </w:tc>
      </w:tr>
      <w:tr w:rsidR="00502776" w:rsidRPr="00951AB1" w14:paraId="5BBE00A3" w14:textId="77777777" w:rsidTr="002E333D">
        <w:trPr>
          <w:trHeight w:val="480"/>
        </w:trPr>
        <w:tc>
          <w:tcPr>
            <w:tcW w:w="167" w:type="pct"/>
            <w:vMerge w:val="restart"/>
            <w:shd w:val="clear" w:color="auto" w:fill="FFFFFF" w:themeFill="background1"/>
            <w:noWrap/>
            <w:textDirection w:val="btLr"/>
            <w:vAlign w:val="center"/>
            <w:hideMark/>
          </w:tcPr>
          <w:p w14:paraId="22A40526" w14:textId="77777777" w:rsidR="008B35C9" w:rsidRPr="00951AB1" w:rsidRDefault="008B35C9" w:rsidP="000A5389">
            <w:pPr>
              <w:spacing w:line="240" w:lineRule="auto"/>
              <w:jc w:val="center"/>
              <w:rPr>
                <w:rFonts w:eastAsia="Times New Roman" w:cs="Times New Roman"/>
                <w:b/>
                <w:bCs/>
                <w:kern w:val="0"/>
                <w:sz w:val="12"/>
                <w:szCs w:val="12"/>
                <w:lang w:eastAsia="es-CO"/>
                <w14:ligatures w14:val="none"/>
              </w:rPr>
            </w:pPr>
            <w:r w:rsidRPr="00951AB1">
              <w:rPr>
                <w:rFonts w:eastAsia="Times New Roman" w:cs="Times New Roman"/>
                <w:b/>
                <w:bCs/>
                <w:kern w:val="0"/>
                <w:sz w:val="12"/>
                <w:szCs w:val="12"/>
                <w:lang w:eastAsia="es-CO"/>
                <w14:ligatures w14:val="none"/>
              </w:rPr>
              <w:t>1.9.09.03</w:t>
            </w:r>
          </w:p>
        </w:tc>
        <w:tc>
          <w:tcPr>
            <w:tcW w:w="455" w:type="pct"/>
            <w:shd w:val="clear" w:color="auto" w:fill="FFFFFF" w:themeFill="background1"/>
            <w:vAlign w:val="center"/>
            <w:hideMark/>
          </w:tcPr>
          <w:p w14:paraId="09663B28" w14:textId="77777777" w:rsidR="008B35C9" w:rsidRPr="00951AB1" w:rsidRDefault="008B35C9" w:rsidP="000A5389">
            <w:pPr>
              <w:spacing w:line="240" w:lineRule="auto"/>
              <w:rPr>
                <w:rFonts w:eastAsia="Times New Roman" w:cs="Times New Roman"/>
                <w:b/>
                <w:bCs/>
                <w:kern w:val="0"/>
                <w:sz w:val="12"/>
                <w:szCs w:val="12"/>
                <w:lang w:eastAsia="es-CO"/>
                <w14:ligatures w14:val="none"/>
              </w:rPr>
            </w:pPr>
            <w:r w:rsidRPr="00951AB1">
              <w:rPr>
                <w:rFonts w:eastAsia="Times New Roman" w:cs="Times New Roman"/>
                <w:b/>
                <w:bCs/>
                <w:kern w:val="0"/>
                <w:sz w:val="12"/>
                <w:szCs w:val="12"/>
                <w:lang w:eastAsia="es-CO"/>
                <w14:ligatures w14:val="none"/>
              </w:rPr>
              <w:t>Depósitos judiciales</w:t>
            </w:r>
          </w:p>
        </w:tc>
        <w:tc>
          <w:tcPr>
            <w:tcW w:w="547" w:type="pct"/>
            <w:shd w:val="clear" w:color="auto" w:fill="FFFFFF" w:themeFill="background1"/>
            <w:noWrap/>
            <w:vAlign w:val="center"/>
            <w:hideMark/>
          </w:tcPr>
          <w:p w14:paraId="31F8116C" w14:textId="77777777" w:rsidR="008B35C9" w:rsidRPr="00951AB1" w:rsidRDefault="008B35C9" w:rsidP="000A5389">
            <w:pPr>
              <w:spacing w:line="240" w:lineRule="auto"/>
              <w:jc w:val="right"/>
              <w:rPr>
                <w:rFonts w:eastAsia="Times New Roman" w:cs="Times New Roman"/>
                <w:b/>
                <w:bCs/>
                <w:kern w:val="0"/>
                <w:sz w:val="14"/>
                <w:szCs w:val="14"/>
                <w:lang w:eastAsia="es-CO"/>
                <w14:ligatures w14:val="none"/>
              </w:rPr>
            </w:pPr>
            <w:r w:rsidRPr="00951AB1">
              <w:rPr>
                <w:rFonts w:eastAsia="Times New Roman" w:cs="Times New Roman"/>
                <w:b/>
                <w:bCs/>
                <w:kern w:val="0"/>
                <w:sz w:val="14"/>
                <w:szCs w:val="14"/>
                <w:lang w:eastAsia="es-CO"/>
                <w14:ligatures w14:val="none"/>
              </w:rPr>
              <w:t>0</w:t>
            </w:r>
          </w:p>
        </w:tc>
        <w:tc>
          <w:tcPr>
            <w:tcW w:w="625" w:type="pct"/>
            <w:shd w:val="clear" w:color="auto" w:fill="FFFFFF" w:themeFill="background1"/>
            <w:noWrap/>
            <w:vAlign w:val="center"/>
            <w:hideMark/>
          </w:tcPr>
          <w:p w14:paraId="14C1364D" w14:textId="77777777" w:rsidR="008B35C9" w:rsidRPr="00951AB1" w:rsidRDefault="008B35C9" w:rsidP="000A5389">
            <w:pPr>
              <w:spacing w:line="240" w:lineRule="auto"/>
              <w:jc w:val="right"/>
              <w:rPr>
                <w:rFonts w:eastAsia="Times New Roman" w:cs="Times New Roman"/>
                <w:b/>
                <w:bCs/>
                <w:kern w:val="0"/>
                <w:sz w:val="14"/>
                <w:szCs w:val="14"/>
                <w:lang w:eastAsia="es-CO"/>
                <w14:ligatures w14:val="none"/>
              </w:rPr>
            </w:pPr>
            <w:r w:rsidRPr="00951AB1">
              <w:rPr>
                <w:rFonts w:eastAsia="Times New Roman" w:cs="Times New Roman"/>
                <w:b/>
                <w:bCs/>
                <w:kern w:val="0"/>
                <w:sz w:val="14"/>
                <w:szCs w:val="14"/>
                <w:lang w:eastAsia="es-CO"/>
                <w14:ligatures w14:val="none"/>
              </w:rPr>
              <w:t>10.200.000</w:t>
            </w:r>
          </w:p>
        </w:tc>
        <w:tc>
          <w:tcPr>
            <w:tcW w:w="625" w:type="pct"/>
            <w:shd w:val="clear" w:color="auto" w:fill="FFFFFF" w:themeFill="background1"/>
            <w:noWrap/>
            <w:vAlign w:val="center"/>
            <w:hideMark/>
          </w:tcPr>
          <w:p w14:paraId="534CE82F" w14:textId="77777777" w:rsidR="008B35C9" w:rsidRPr="00951AB1" w:rsidRDefault="008B35C9" w:rsidP="000A5389">
            <w:pPr>
              <w:spacing w:line="240" w:lineRule="auto"/>
              <w:jc w:val="right"/>
              <w:rPr>
                <w:rFonts w:eastAsia="Times New Roman" w:cs="Times New Roman"/>
                <w:b/>
                <w:bCs/>
                <w:kern w:val="0"/>
                <w:sz w:val="14"/>
                <w:szCs w:val="14"/>
                <w:lang w:eastAsia="es-CO"/>
                <w14:ligatures w14:val="none"/>
              </w:rPr>
            </w:pPr>
            <w:r w:rsidRPr="00951AB1">
              <w:rPr>
                <w:rFonts w:eastAsia="Times New Roman" w:cs="Times New Roman"/>
                <w:b/>
                <w:bCs/>
                <w:kern w:val="0"/>
                <w:sz w:val="14"/>
                <w:szCs w:val="14"/>
                <w:lang w:eastAsia="es-CO"/>
                <w14:ligatures w14:val="none"/>
              </w:rPr>
              <w:t>10.200.000</w:t>
            </w:r>
          </w:p>
        </w:tc>
        <w:tc>
          <w:tcPr>
            <w:tcW w:w="626" w:type="pct"/>
            <w:shd w:val="clear" w:color="auto" w:fill="FFFFFF" w:themeFill="background1"/>
            <w:noWrap/>
            <w:vAlign w:val="center"/>
            <w:hideMark/>
          </w:tcPr>
          <w:p w14:paraId="48744677" w14:textId="77777777" w:rsidR="008B35C9" w:rsidRPr="00951AB1" w:rsidRDefault="008B35C9" w:rsidP="000A5389">
            <w:pPr>
              <w:spacing w:line="240" w:lineRule="auto"/>
              <w:jc w:val="right"/>
              <w:rPr>
                <w:rFonts w:eastAsia="Times New Roman" w:cs="Times New Roman"/>
                <w:b/>
                <w:bCs/>
                <w:kern w:val="0"/>
                <w:sz w:val="14"/>
                <w:szCs w:val="14"/>
                <w:lang w:eastAsia="es-CO"/>
                <w14:ligatures w14:val="none"/>
              </w:rPr>
            </w:pPr>
            <w:r w:rsidRPr="00951AB1">
              <w:rPr>
                <w:rFonts w:eastAsia="Times New Roman" w:cs="Times New Roman"/>
                <w:b/>
                <w:bCs/>
                <w:kern w:val="0"/>
                <w:sz w:val="14"/>
                <w:szCs w:val="14"/>
                <w:lang w:eastAsia="es-CO"/>
                <w14:ligatures w14:val="none"/>
              </w:rPr>
              <w:t>0</w:t>
            </w:r>
          </w:p>
        </w:tc>
        <w:tc>
          <w:tcPr>
            <w:tcW w:w="625" w:type="pct"/>
            <w:shd w:val="clear" w:color="auto" w:fill="FFFFFF" w:themeFill="background1"/>
            <w:noWrap/>
            <w:vAlign w:val="center"/>
            <w:hideMark/>
          </w:tcPr>
          <w:p w14:paraId="2FC01295" w14:textId="77777777" w:rsidR="008B35C9" w:rsidRPr="00951AB1" w:rsidRDefault="008B35C9" w:rsidP="000A5389">
            <w:pPr>
              <w:spacing w:line="240" w:lineRule="auto"/>
              <w:jc w:val="right"/>
              <w:rPr>
                <w:rFonts w:eastAsia="Times New Roman" w:cs="Times New Roman"/>
                <w:b/>
                <w:bCs/>
                <w:kern w:val="0"/>
                <w:sz w:val="14"/>
                <w:szCs w:val="14"/>
                <w:lang w:eastAsia="es-CO"/>
                <w14:ligatures w14:val="none"/>
              </w:rPr>
            </w:pPr>
            <w:r w:rsidRPr="00951AB1">
              <w:rPr>
                <w:rFonts w:eastAsia="Times New Roman" w:cs="Times New Roman"/>
                <w:b/>
                <w:bCs/>
                <w:kern w:val="0"/>
                <w:sz w:val="14"/>
                <w:szCs w:val="14"/>
                <w:lang w:eastAsia="es-CO"/>
                <w14:ligatures w14:val="none"/>
              </w:rPr>
              <w:t>23.759.593</w:t>
            </w:r>
          </w:p>
        </w:tc>
        <w:tc>
          <w:tcPr>
            <w:tcW w:w="704" w:type="pct"/>
            <w:shd w:val="clear" w:color="auto" w:fill="FFFFFF" w:themeFill="background1"/>
            <w:noWrap/>
            <w:vAlign w:val="center"/>
            <w:hideMark/>
          </w:tcPr>
          <w:p w14:paraId="76959F50" w14:textId="77777777" w:rsidR="008B35C9" w:rsidRPr="00951AB1" w:rsidRDefault="008B35C9" w:rsidP="000A5389">
            <w:pPr>
              <w:spacing w:line="240" w:lineRule="auto"/>
              <w:jc w:val="right"/>
              <w:rPr>
                <w:rFonts w:eastAsia="Times New Roman" w:cs="Times New Roman"/>
                <w:b/>
                <w:bCs/>
                <w:kern w:val="0"/>
                <w:sz w:val="14"/>
                <w:szCs w:val="14"/>
                <w:lang w:eastAsia="es-CO"/>
                <w14:ligatures w14:val="none"/>
              </w:rPr>
            </w:pPr>
            <w:r w:rsidRPr="00951AB1">
              <w:rPr>
                <w:rFonts w:eastAsia="Times New Roman" w:cs="Times New Roman"/>
                <w:b/>
                <w:bCs/>
                <w:kern w:val="0"/>
                <w:sz w:val="14"/>
                <w:szCs w:val="14"/>
                <w:lang w:eastAsia="es-CO"/>
                <w14:ligatures w14:val="none"/>
              </w:rPr>
              <w:t>23.759.593</w:t>
            </w:r>
          </w:p>
        </w:tc>
        <w:tc>
          <w:tcPr>
            <w:tcW w:w="624" w:type="pct"/>
            <w:shd w:val="clear" w:color="auto" w:fill="FFFFFF" w:themeFill="background1"/>
            <w:noWrap/>
            <w:vAlign w:val="center"/>
            <w:hideMark/>
          </w:tcPr>
          <w:p w14:paraId="650DC150" w14:textId="77777777" w:rsidR="008B35C9" w:rsidRPr="00951AB1" w:rsidRDefault="008B35C9" w:rsidP="000A5389">
            <w:pPr>
              <w:spacing w:line="240" w:lineRule="auto"/>
              <w:jc w:val="right"/>
              <w:rPr>
                <w:rFonts w:eastAsia="Times New Roman" w:cs="Times New Roman"/>
                <w:b/>
                <w:bCs/>
                <w:kern w:val="0"/>
                <w:sz w:val="14"/>
                <w:szCs w:val="14"/>
                <w:lang w:eastAsia="es-CO"/>
                <w14:ligatures w14:val="none"/>
              </w:rPr>
            </w:pPr>
            <w:r w:rsidRPr="00951AB1">
              <w:rPr>
                <w:rFonts w:eastAsia="Times New Roman" w:cs="Times New Roman"/>
                <w:b/>
                <w:bCs/>
                <w:kern w:val="0"/>
                <w:sz w:val="14"/>
                <w:szCs w:val="14"/>
                <w:lang w:eastAsia="es-CO"/>
                <w14:ligatures w14:val="none"/>
              </w:rPr>
              <w:t>-13.559.593</w:t>
            </w:r>
          </w:p>
        </w:tc>
      </w:tr>
      <w:tr w:rsidR="00502776" w:rsidRPr="00951AB1" w14:paraId="22DE8869" w14:textId="77777777" w:rsidTr="002E333D">
        <w:trPr>
          <w:trHeight w:val="225"/>
        </w:trPr>
        <w:tc>
          <w:tcPr>
            <w:tcW w:w="167" w:type="pct"/>
            <w:vMerge/>
            <w:shd w:val="clear" w:color="auto" w:fill="FFFFFF" w:themeFill="background1"/>
            <w:vAlign w:val="center"/>
            <w:hideMark/>
          </w:tcPr>
          <w:p w14:paraId="232B609B" w14:textId="77777777" w:rsidR="008B35C9" w:rsidRPr="00951AB1" w:rsidRDefault="008B35C9" w:rsidP="000A5389">
            <w:pPr>
              <w:spacing w:line="240" w:lineRule="auto"/>
              <w:rPr>
                <w:rFonts w:eastAsia="Times New Roman" w:cs="Times New Roman"/>
                <w:b/>
                <w:bCs/>
                <w:kern w:val="0"/>
                <w:sz w:val="12"/>
                <w:szCs w:val="12"/>
                <w:lang w:eastAsia="es-CO"/>
                <w14:ligatures w14:val="none"/>
              </w:rPr>
            </w:pPr>
          </w:p>
        </w:tc>
        <w:tc>
          <w:tcPr>
            <w:tcW w:w="455" w:type="pct"/>
            <w:shd w:val="clear" w:color="auto" w:fill="FFFFFF" w:themeFill="background1"/>
            <w:vAlign w:val="center"/>
            <w:hideMark/>
          </w:tcPr>
          <w:p w14:paraId="5225E9A8" w14:textId="77777777" w:rsidR="008B35C9" w:rsidRPr="00951AB1" w:rsidRDefault="008B35C9" w:rsidP="000A5389">
            <w:pPr>
              <w:spacing w:line="240" w:lineRule="auto"/>
              <w:rPr>
                <w:rFonts w:eastAsia="Times New Roman" w:cs="Times New Roman"/>
                <w:kern w:val="0"/>
                <w:sz w:val="12"/>
                <w:szCs w:val="12"/>
                <w:lang w:eastAsia="es-CO"/>
                <w14:ligatures w14:val="none"/>
              </w:rPr>
            </w:pPr>
            <w:r w:rsidRPr="00951AB1">
              <w:rPr>
                <w:rFonts w:eastAsia="Times New Roman" w:cs="Times New Roman"/>
                <w:kern w:val="0"/>
                <w:sz w:val="12"/>
                <w:szCs w:val="12"/>
                <w:lang w:eastAsia="es-CO"/>
                <w14:ligatures w14:val="none"/>
              </w:rPr>
              <w:t>Depósitos judiciales</w:t>
            </w:r>
          </w:p>
        </w:tc>
        <w:tc>
          <w:tcPr>
            <w:tcW w:w="547" w:type="pct"/>
            <w:shd w:val="clear" w:color="auto" w:fill="FFFFFF" w:themeFill="background1"/>
            <w:noWrap/>
            <w:vAlign w:val="center"/>
            <w:hideMark/>
          </w:tcPr>
          <w:p w14:paraId="1381B996" w14:textId="77777777" w:rsidR="008B35C9" w:rsidRPr="00951AB1" w:rsidRDefault="008B35C9" w:rsidP="000A5389">
            <w:pPr>
              <w:spacing w:line="240" w:lineRule="auto"/>
              <w:rPr>
                <w:rFonts w:eastAsia="Times New Roman" w:cs="Times New Roman"/>
                <w:kern w:val="0"/>
                <w:sz w:val="14"/>
                <w:szCs w:val="14"/>
                <w:lang w:eastAsia="es-CO"/>
                <w14:ligatures w14:val="none"/>
              </w:rPr>
            </w:pPr>
            <w:r w:rsidRPr="00951AB1">
              <w:rPr>
                <w:rFonts w:eastAsia="Times New Roman" w:cs="Times New Roman"/>
                <w:kern w:val="0"/>
                <w:sz w:val="14"/>
                <w:szCs w:val="14"/>
                <w:lang w:eastAsia="es-CO"/>
                <w14:ligatures w14:val="none"/>
              </w:rPr>
              <w:t> </w:t>
            </w:r>
          </w:p>
        </w:tc>
        <w:tc>
          <w:tcPr>
            <w:tcW w:w="625" w:type="pct"/>
            <w:shd w:val="clear" w:color="auto" w:fill="FFFFFF" w:themeFill="background1"/>
            <w:noWrap/>
            <w:vAlign w:val="center"/>
            <w:hideMark/>
          </w:tcPr>
          <w:p w14:paraId="72B96404" w14:textId="77777777" w:rsidR="008B35C9" w:rsidRPr="00951AB1" w:rsidRDefault="008B35C9" w:rsidP="000A5389">
            <w:pPr>
              <w:spacing w:line="240" w:lineRule="auto"/>
              <w:jc w:val="right"/>
              <w:rPr>
                <w:rFonts w:eastAsia="Times New Roman" w:cs="Times New Roman"/>
                <w:kern w:val="0"/>
                <w:sz w:val="14"/>
                <w:szCs w:val="14"/>
                <w:lang w:eastAsia="es-CO"/>
                <w14:ligatures w14:val="none"/>
              </w:rPr>
            </w:pPr>
            <w:r w:rsidRPr="00951AB1">
              <w:rPr>
                <w:rFonts w:eastAsia="Times New Roman" w:cs="Times New Roman"/>
                <w:kern w:val="0"/>
                <w:sz w:val="14"/>
                <w:szCs w:val="14"/>
                <w:lang w:eastAsia="es-CO"/>
                <w14:ligatures w14:val="none"/>
              </w:rPr>
              <w:t>10.200.000</w:t>
            </w:r>
          </w:p>
        </w:tc>
        <w:tc>
          <w:tcPr>
            <w:tcW w:w="625" w:type="pct"/>
            <w:shd w:val="clear" w:color="auto" w:fill="FFFFFF" w:themeFill="background1"/>
            <w:noWrap/>
            <w:vAlign w:val="center"/>
            <w:hideMark/>
          </w:tcPr>
          <w:p w14:paraId="4D3ED3F4" w14:textId="77777777" w:rsidR="008B35C9" w:rsidRPr="00951AB1" w:rsidRDefault="008B35C9" w:rsidP="000A5389">
            <w:pPr>
              <w:spacing w:line="240" w:lineRule="auto"/>
              <w:jc w:val="right"/>
              <w:rPr>
                <w:rFonts w:eastAsia="Times New Roman" w:cs="Times New Roman"/>
                <w:kern w:val="0"/>
                <w:sz w:val="14"/>
                <w:szCs w:val="14"/>
                <w:lang w:eastAsia="es-CO"/>
                <w14:ligatures w14:val="none"/>
              </w:rPr>
            </w:pPr>
            <w:r w:rsidRPr="00951AB1">
              <w:rPr>
                <w:rFonts w:eastAsia="Times New Roman" w:cs="Times New Roman"/>
                <w:kern w:val="0"/>
                <w:sz w:val="14"/>
                <w:szCs w:val="14"/>
                <w:lang w:eastAsia="es-CO"/>
                <w14:ligatures w14:val="none"/>
              </w:rPr>
              <w:t>10.200.000</w:t>
            </w:r>
          </w:p>
        </w:tc>
        <w:tc>
          <w:tcPr>
            <w:tcW w:w="626" w:type="pct"/>
            <w:shd w:val="clear" w:color="auto" w:fill="FFFFFF" w:themeFill="background1"/>
            <w:noWrap/>
            <w:vAlign w:val="center"/>
            <w:hideMark/>
          </w:tcPr>
          <w:p w14:paraId="7E56240F" w14:textId="77777777" w:rsidR="008B35C9" w:rsidRPr="00951AB1" w:rsidRDefault="008B35C9" w:rsidP="000A5389">
            <w:pPr>
              <w:spacing w:line="240" w:lineRule="auto"/>
              <w:jc w:val="right"/>
              <w:rPr>
                <w:rFonts w:eastAsia="Times New Roman" w:cs="Times New Roman"/>
                <w:kern w:val="0"/>
                <w:sz w:val="14"/>
                <w:szCs w:val="14"/>
                <w:lang w:eastAsia="es-CO"/>
                <w14:ligatures w14:val="none"/>
              </w:rPr>
            </w:pPr>
            <w:r w:rsidRPr="00951AB1">
              <w:rPr>
                <w:rFonts w:eastAsia="Times New Roman" w:cs="Times New Roman"/>
                <w:kern w:val="0"/>
                <w:sz w:val="14"/>
                <w:szCs w:val="14"/>
                <w:lang w:eastAsia="es-CO"/>
                <w14:ligatures w14:val="none"/>
              </w:rPr>
              <w:t>0</w:t>
            </w:r>
          </w:p>
        </w:tc>
        <w:tc>
          <w:tcPr>
            <w:tcW w:w="625" w:type="pct"/>
            <w:shd w:val="clear" w:color="auto" w:fill="FFFFFF" w:themeFill="background1"/>
            <w:noWrap/>
            <w:vAlign w:val="center"/>
            <w:hideMark/>
          </w:tcPr>
          <w:p w14:paraId="49B24D48" w14:textId="77777777" w:rsidR="008B35C9" w:rsidRPr="00951AB1" w:rsidRDefault="008B35C9" w:rsidP="000A5389">
            <w:pPr>
              <w:spacing w:line="240" w:lineRule="auto"/>
              <w:jc w:val="right"/>
              <w:rPr>
                <w:rFonts w:eastAsia="Times New Roman" w:cs="Times New Roman"/>
                <w:kern w:val="0"/>
                <w:sz w:val="14"/>
                <w:szCs w:val="14"/>
                <w:lang w:eastAsia="es-CO"/>
                <w14:ligatures w14:val="none"/>
              </w:rPr>
            </w:pPr>
            <w:r w:rsidRPr="00951AB1">
              <w:rPr>
                <w:rFonts w:eastAsia="Times New Roman" w:cs="Times New Roman"/>
                <w:kern w:val="0"/>
                <w:sz w:val="14"/>
                <w:szCs w:val="14"/>
                <w:lang w:eastAsia="es-CO"/>
                <w14:ligatures w14:val="none"/>
              </w:rPr>
              <w:t>23.759.593</w:t>
            </w:r>
          </w:p>
        </w:tc>
        <w:tc>
          <w:tcPr>
            <w:tcW w:w="704" w:type="pct"/>
            <w:shd w:val="clear" w:color="auto" w:fill="FFFFFF" w:themeFill="background1"/>
            <w:noWrap/>
            <w:vAlign w:val="center"/>
            <w:hideMark/>
          </w:tcPr>
          <w:p w14:paraId="584BAA7B" w14:textId="77777777" w:rsidR="008B35C9" w:rsidRPr="00951AB1" w:rsidRDefault="008B35C9" w:rsidP="000A5389">
            <w:pPr>
              <w:spacing w:line="240" w:lineRule="auto"/>
              <w:jc w:val="right"/>
              <w:rPr>
                <w:rFonts w:eastAsia="Times New Roman" w:cs="Times New Roman"/>
                <w:kern w:val="0"/>
                <w:sz w:val="14"/>
                <w:szCs w:val="14"/>
                <w:lang w:eastAsia="es-CO"/>
                <w14:ligatures w14:val="none"/>
              </w:rPr>
            </w:pPr>
            <w:r w:rsidRPr="00951AB1">
              <w:rPr>
                <w:rFonts w:eastAsia="Times New Roman" w:cs="Times New Roman"/>
                <w:kern w:val="0"/>
                <w:sz w:val="14"/>
                <w:szCs w:val="14"/>
                <w:lang w:eastAsia="es-CO"/>
                <w14:ligatures w14:val="none"/>
              </w:rPr>
              <w:t>23.759.593</w:t>
            </w:r>
          </w:p>
        </w:tc>
        <w:tc>
          <w:tcPr>
            <w:tcW w:w="624" w:type="pct"/>
            <w:shd w:val="clear" w:color="auto" w:fill="FFFFFF" w:themeFill="background1"/>
            <w:noWrap/>
            <w:vAlign w:val="center"/>
            <w:hideMark/>
          </w:tcPr>
          <w:p w14:paraId="69D81D07" w14:textId="77777777" w:rsidR="008B35C9" w:rsidRPr="00951AB1" w:rsidRDefault="008B35C9" w:rsidP="000A5389">
            <w:pPr>
              <w:spacing w:line="240" w:lineRule="auto"/>
              <w:jc w:val="right"/>
              <w:rPr>
                <w:rFonts w:eastAsia="Times New Roman" w:cs="Times New Roman"/>
                <w:kern w:val="0"/>
                <w:sz w:val="14"/>
                <w:szCs w:val="14"/>
                <w:lang w:eastAsia="es-CO"/>
                <w14:ligatures w14:val="none"/>
              </w:rPr>
            </w:pPr>
            <w:r w:rsidRPr="00951AB1">
              <w:rPr>
                <w:rFonts w:eastAsia="Times New Roman" w:cs="Times New Roman"/>
                <w:kern w:val="0"/>
                <w:sz w:val="14"/>
                <w:szCs w:val="14"/>
                <w:lang w:eastAsia="es-CO"/>
                <w14:ligatures w14:val="none"/>
              </w:rPr>
              <w:t>-13.559.593</w:t>
            </w:r>
          </w:p>
        </w:tc>
      </w:tr>
      <w:tr w:rsidR="00502776" w:rsidRPr="00951AB1" w14:paraId="6B2D6310" w14:textId="77777777" w:rsidTr="002E333D">
        <w:trPr>
          <w:trHeight w:val="465"/>
        </w:trPr>
        <w:tc>
          <w:tcPr>
            <w:tcW w:w="167" w:type="pct"/>
            <w:vMerge w:val="restart"/>
            <w:shd w:val="clear" w:color="auto" w:fill="FFFFFF" w:themeFill="background1"/>
            <w:noWrap/>
            <w:textDirection w:val="btLr"/>
            <w:vAlign w:val="center"/>
            <w:hideMark/>
          </w:tcPr>
          <w:p w14:paraId="4E23E914" w14:textId="77777777" w:rsidR="008B35C9" w:rsidRPr="00951AB1" w:rsidRDefault="008B35C9" w:rsidP="000A5389">
            <w:pPr>
              <w:spacing w:line="240" w:lineRule="auto"/>
              <w:jc w:val="center"/>
              <w:rPr>
                <w:rFonts w:eastAsia="Times New Roman" w:cs="Times New Roman"/>
                <w:b/>
                <w:bCs/>
                <w:kern w:val="0"/>
                <w:sz w:val="12"/>
                <w:szCs w:val="12"/>
                <w:lang w:eastAsia="es-CO"/>
                <w14:ligatures w14:val="none"/>
              </w:rPr>
            </w:pPr>
            <w:r w:rsidRPr="00951AB1">
              <w:rPr>
                <w:rFonts w:eastAsia="Times New Roman" w:cs="Times New Roman"/>
                <w:b/>
                <w:bCs/>
                <w:kern w:val="0"/>
                <w:sz w:val="12"/>
                <w:szCs w:val="12"/>
                <w:lang w:eastAsia="es-CO"/>
                <w14:ligatures w14:val="none"/>
              </w:rPr>
              <w:t>1.9.86.09</w:t>
            </w:r>
          </w:p>
        </w:tc>
        <w:tc>
          <w:tcPr>
            <w:tcW w:w="455" w:type="pct"/>
            <w:shd w:val="clear" w:color="auto" w:fill="FFFFFF" w:themeFill="background1"/>
            <w:vAlign w:val="center"/>
            <w:hideMark/>
          </w:tcPr>
          <w:p w14:paraId="52B1824D" w14:textId="77777777" w:rsidR="008B35C9" w:rsidRPr="00951AB1" w:rsidRDefault="008B35C9" w:rsidP="000A5389">
            <w:pPr>
              <w:spacing w:line="240" w:lineRule="auto"/>
              <w:rPr>
                <w:rFonts w:eastAsia="Times New Roman" w:cs="Times New Roman"/>
                <w:b/>
                <w:bCs/>
                <w:kern w:val="0"/>
                <w:sz w:val="12"/>
                <w:szCs w:val="12"/>
                <w:lang w:eastAsia="es-CO"/>
                <w14:ligatures w14:val="none"/>
              </w:rPr>
            </w:pPr>
            <w:r w:rsidRPr="00951AB1">
              <w:rPr>
                <w:rFonts w:eastAsia="Times New Roman" w:cs="Times New Roman"/>
                <w:b/>
                <w:bCs/>
                <w:kern w:val="0"/>
                <w:sz w:val="12"/>
                <w:szCs w:val="12"/>
                <w:lang w:eastAsia="es-CO"/>
                <w14:ligatures w14:val="none"/>
              </w:rPr>
              <w:t>Seguros con cobertura mayor a doce meses</w:t>
            </w:r>
          </w:p>
        </w:tc>
        <w:tc>
          <w:tcPr>
            <w:tcW w:w="547" w:type="pct"/>
            <w:shd w:val="clear" w:color="auto" w:fill="FFFFFF" w:themeFill="background1"/>
            <w:noWrap/>
            <w:vAlign w:val="center"/>
            <w:hideMark/>
          </w:tcPr>
          <w:p w14:paraId="7EE09C3C" w14:textId="77777777" w:rsidR="008B35C9" w:rsidRPr="00951AB1" w:rsidRDefault="008B35C9" w:rsidP="000A5389">
            <w:pPr>
              <w:spacing w:line="240" w:lineRule="auto"/>
              <w:jc w:val="right"/>
              <w:rPr>
                <w:rFonts w:eastAsia="Times New Roman" w:cs="Times New Roman"/>
                <w:b/>
                <w:bCs/>
                <w:kern w:val="0"/>
                <w:sz w:val="14"/>
                <w:szCs w:val="14"/>
                <w:lang w:eastAsia="es-CO"/>
                <w14:ligatures w14:val="none"/>
              </w:rPr>
            </w:pPr>
            <w:r w:rsidRPr="00951AB1">
              <w:rPr>
                <w:rFonts w:eastAsia="Times New Roman" w:cs="Times New Roman"/>
                <w:b/>
                <w:bCs/>
                <w:kern w:val="0"/>
                <w:sz w:val="14"/>
                <w:szCs w:val="14"/>
                <w:lang w:eastAsia="es-CO"/>
                <w14:ligatures w14:val="none"/>
              </w:rPr>
              <w:t>0</w:t>
            </w:r>
          </w:p>
        </w:tc>
        <w:tc>
          <w:tcPr>
            <w:tcW w:w="625" w:type="pct"/>
            <w:shd w:val="clear" w:color="auto" w:fill="FFFFFF" w:themeFill="background1"/>
            <w:noWrap/>
            <w:vAlign w:val="center"/>
            <w:hideMark/>
          </w:tcPr>
          <w:p w14:paraId="09D6A8F4" w14:textId="77777777" w:rsidR="008B35C9" w:rsidRPr="00951AB1" w:rsidRDefault="008B35C9" w:rsidP="000A5389">
            <w:pPr>
              <w:spacing w:line="240" w:lineRule="auto"/>
              <w:jc w:val="right"/>
              <w:rPr>
                <w:rFonts w:eastAsia="Times New Roman" w:cs="Times New Roman"/>
                <w:b/>
                <w:bCs/>
                <w:kern w:val="0"/>
                <w:sz w:val="14"/>
                <w:szCs w:val="14"/>
                <w:lang w:eastAsia="es-CO"/>
                <w14:ligatures w14:val="none"/>
              </w:rPr>
            </w:pPr>
            <w:r w:rsidRPr="00951AB1">
              <w:rPr>
                <w:rFonts w:eastAsia="Times New Roman" w:cs="Times New Roman"/>
                <w:b/>
                <w:bCs/>
                <w:kern w:val="0"/>
                <w:sz w:val="14"/>
                <w:szCs w:val="14"/>
                <w:lang w:eastAsia="es-CO"/>
                <w14:ligatures w14:val="none"/>
              </w:rPr>
              <w:t>0</w:t>
            </w:r>
          </w:p>
        </w:tc>
        <w:tc>
          <w:tcPr>
            <w:tcW w:w="625" w:type="pct"/>
            <w:shd w:val="clear" w:color="auto" w:fill="FFFFFF" w:themeFill="background1"/>
            <w:noWrap/>
            <w:vAlign w:val="center"/>
            <w:hideMark/>
          </w:tcPr>
          <w:p w14:paraId="0B1C5590" w14:textId="77777777" w:rsidR="008B35C9" w:rsidRPr="00951AB1" w:rsidRDefault="008B35C9" w:rsidP="000A5389">
            <w:pPr>
              <w:spacing w:line="240" w:lineRule="auto"/>
              <w:jc w:val="right"/>
              <w:rPr>
                <w:rFonts w:eastAsia="Times New Roman" w:cs="Times New Roman"/>
                <w:b/>
                <w:bCs/>
                <w:kern w:val="0"/>
                <w:sz w:val="14"/>
                <w:szCs w:val="14"/>
                <w:lang w:eastAsia="es-CO"/>
                <w14:ligatures w14:val="none"/>
              </w:rPr>
            </w:pPr>
            <w:r w:rsidRPr="00951AB1">
              <w:rPr>
                <w:rFonts w:eastAsia="Times New Roman" w:cs="Times New Roman"/>
                <w:b/>
                <w:bCs/>
                <w:kern w:val="0"/>
                <w:sz w:val="14"/>
                <w:szCs w:val="14"/>
                <w:lang w:eastAsia="es-CO"/>
                <w14:ligatures w14:val="none"/>
              </w:rPr>
              <w:t>0</w:t>
            </w:r>
          </w:p>
        </w:tc>
        <w:tc>
          <w:tcPr>
            <w:tcW w:w="626" w:type="pct"/>
            <w:shd w:val="clear" w:color="auto" w:fill="FFFFFF" w:themeFill="background1"/>
            <w:noWrap/>
            <w:vAlign w:val="center"/>
            <w:hideMark/>
          </w:tcPr>
          <w:p w14:paraId="590B1C46" w14:textId="77777777" w:rsidR="008B35C9" w:rsidRPr="00951AB1" w:rsidRDefault="008B35C9" w:rsidP="000A5389">
            <w:pPr>
              <w:spacing w:line="240" w:lineRule="auto"/>
              <w:jc w:val="right"/>
              <w:rPr>
                <w:rFonts w:eastAsia="Times New Roman" w:cs="Times New Roman"/>
                <w:b/>
                <w:bCs/>
                <w:kern w:val="0"/>
                <w:sz w:val="14"/>
                <w:szCs w:val="14"/>
                <w:lang w:eastAsia="es-CO"/>
                <w14:ligatures w14:val="none"/>
              </w:rPr>
            </w:pPr>
            <w:r w:rsidRPr="00951AB1">
              <w:rPr>
                <w:rFonts w:eastAsia="Times New Roman" w:cs="Times New Roman"/>
                <w:b/>
                <w:bCs/>
                <w:kern w:val="0"/>
                <w:sz w:val="14"/>
                <w:szCs w:val="14"/>
                <w:lang w:eastAsia="es-CO"/>
                <w14:ligatures w14:val="none"/>
              </w:rPr>
              <w:t>3.692.620</w:t>
            </w:r>
          </w:p>
        </w:tc>
        <w:tc>
          <w:tcPr>
            <w:tcW w:w="625" w:type="pct"/>
            <w:shd w:val="clear" w:color="auto" w:fill="FFFFFF" w:themeFill="background1"/>
            <w:noWrap/>
            <w:vAlign w:val="center"/>
            <w:hideMark/>
          </w:tcPr>
          <w:p w14:paraId="1A4894A8" w14:textId="77777777" w:rsidR="008B35C9" w:rsidRPr="00951AB1" w:rsidRDefault="008B35C9" w:rsidP="000A5389">
            <w:pPr>
              <w:spacing w:line="240" w:lineRule="auto"/>
              <w:jc w:val="right"/>
              <w:rPr>
                <w:rFonts w:eastAsia="Times New Roman" w:cs="Times New Roman"/>
                <w:b/>
                <w:bCs/>
                <w:kern w:val="0"/>
                <w:sz w:val="14"/>
                <w:szCs w:val="14"/>
                <w:lang w:eastAsia="es-CO"/>
                <w14:ligatures w14:val="none"/>
              </w:rPr>
            </w:pPr>
            <w:r w:rsidRPr="00951AB1">
              <w:rPr>
                <w:rFonts w:eastAsia="Times New Roman" w:cs="Times New Roman"/>
                <w:b/>
                <w:bCs/>
                <w:kern w:val="0"/>
                <w:sz w:val="14"/>
                <w:szCs w:val="14"/>
                <w:lang w:eastAsia="es-CO"/>
                <w14:ligatures w14:val="none"/>
              </w:rPr>
              <w:t>0</w:t>
            </w:r>
          </w:p>
        </w:tc>
        <w:tc>
          <w:tcPr>
            <w:tcW w:w="704" w:type="pct"/>
            <w:shd w:val="clear" w:color="auto" w:fill="FFFFFF" w:themeFill="background1"/>
            <w:noWrap/>
            <w:vAlign w:val="center"/>
            <w:hideMark/>
          </w:tcPr>
          <w:p w14:paraId="6D7BA1BB" w14:textId="77777777" w:rsidR="008B35C9" w:rsidRPr="00951AB1" w:rsidRDefault="008B35C9" w:rsidP="000A5389">
            <w:pPr>
              <w:spacing w:line="240" w:lineRule="auto"/>
              <w:jc w:val="right"/>
              <w:rPr>
                <w:rFonts w:eastAsia="Times New Roman" w:cs="Times New Roman"/>
                <w:b/>
                <w:bCs/>
                <w:kern w:val="0"/>
                <w:sz w:val="14"/>
                <w:szCs w:val="14"/>
                <w:lang w:eastAsia="es-CO"/>
                <w14:ligatures w14:val="none"/>
              </w:rPr>
            </w:pPr>
            <w:r w:rsidRPr="00951AB1">
              <w:rPr>
                <w:rFonts w:eastAsia="Times New Roman" w:cs="Times New Roman"/>
                <w:b/>
                <w:bCs/>
                <w:kern w:val="0"/>
                <w:sz w:val="14"/>
                <w:szCs w:val="14"/>
                <w:lang w:eastAsia="es-CO"/>
                <w14:ligatures w14:val="none"/>
              </w:rPr>
              <w:t>3.692.620</w:t>
            </w:r>
          </w:p>
        </w:tc>
        <w:tc>
          <w:tcPr>
            <w:tcW w:w="624" w:type="pct"/>
            <w:shd w:val="clear" w:color="auto" w:fill="FFFFFF" w:themeFill="background1"/>
            <w:noWrap/>
            <w:vAlign w:val="center"/>
            <w:hideMark/>
          </w:tcPr>
          <w:p w14:paraId="3AF885AF" w14:textId="77777777" w:rsidR="008B35C9" w:rsidRPr="00951AB1" w:rsidRDefault="008B35C9" w:rsidP="000A5389">
            <w:pPr>
              <w:spacing w:line="240" w:lineRule="auto"/>
              <w:jc w:val="right"/>
              <w:rPr>
                <w:rFonts w:eastAsia="Times New Roman" w:cs="Times New Roman"/>
                <w:b/>
                <w:bCs/>
                <w:kern w:val="0"/>
                <w:sz w:val="14"/>
                <w:szCs w:val="14"/>
                <w:lang w:eastAsia="es-CO"/>
                <w14:ligatures w14:val="none"/>
              </w:rPr>
            </w:pPr>
            <w:r w:rsidRPr="00951AB1">
              <w:rPr>
                <w:rFonts w:eastAsia="Times New Roman" w:cs="Times New Roman"/>
                <w:b/>
                <w:bCs/>
                <w:kern w:val="0"/>
                <w:sz w:val="14"/>
                <w:szCs w:val="14"/>
                <w:lang w:eastAsia="es-CO"/>
                <w14:ligatures w14:val="none"/>
              </w:rPr>
              <w:t>-3.692.620</w:t>
            </w:r>
          </w:p>
        </w:tc>
      </w:tr>
      <w:tr w:rsidR="00502776" w:rsidRPr="00951AB1" w14:paraId="10EB628F" w14:textId="77777777" w:rsidTr="002E333D">
        <w:trPr>
          <w:trHeight w:val="330"/>
        </w:trPr>
        <w:tc>
          <w:tcPr>
            <w:tcW w:w="167" w:type="pct"/>
            <w:vMerge/>
            <w:shd w:val="clear" w:color="auto" w:fill="FFFFFF" w:themeFill="background1"/>
            <w:vAlign w:val="center"/>
            <w:hideMark/>
          </w:tcPr>
          <w:p w14:paraId="473E4A82" w14:textId="77777777" w:rsidR="008B35C9" w:rsidRPr="00951AB1" w:rsidRDefault="008B35C9" w:rsidP="000A5389">
            <w:pPr>
              <w:spacing w:line="240" w:lineRule="auto"/>
              <w:rPr>
                <w:rFonts w:eastAsia="Times New Roman" w:cs="Times New Roman"/>
                <w:b/>
                <w:bCs/>
                <w:kern w:val="0"/>
                <w:sz w:val="12"/>
                <w:szCs w:val="12"/>
                <w:lang w:eastAsia="es-CO"/>
                <w14:ligatures w14:val="none"/>
              </w:rPr>
            </w:pPr>
          </w:p>
        </w:tc>
        <w:tc>
          <w:tcPr>
            <w:tcW w:w="455" w:type="pct"/>
            <w:shd w:val="clear" w:color="auto" w:fill="FFFFFF" w:themeFill="background1"/>
            <w:vAlign w:val="center"/>
            <w:hideMark/>
          </w:tcPr>
          <w:p w14:paraId="3BBD3412" w14:textId="77777777" w:rsidR="008B35C9" w:rsidRPr="00951AB1" w:rsidRDefault="008B35C9" w:rsidP="000A5389">
            <w:pPr>
              <w:spacing w:line="240" w:lineRule="auto"/>
              <w:rPr>
                <w:rFonts w:eastAsia="Times New Roman" w:cs="Times New Roman"/>
                <w:kern w:val="0"/>
                <w:sz w:val="12"/>
                <w:szCs w:val="12"/>
                <w:lang w:eastAsia="es-CO"/>
                <w14:ligatures w14:val="none"/>
              </w:rPr>
            </w:pPr>
            <w:r w:rsidRPr="00951AB1">
              <w:rPr>
                <w:rFonts w:eastAsia="Times New Roman" w:cs="Times New Roman"/>
                <w:kern w:val="0"/>
                <w:sz w:val="12"/>
                <w:szCs w:val="12"/>
                <w:lang w:eastAsia="es-CO"/>
                <w14:ligatures w14:val="none"/>
              </w:rPr>
              <w:t>Seguros</w:t>
            </w:r>
          </w:p>
        </w:tc>
        <w:tc>
          <w:tcPr>
            <w:tcW w:w="547" w:type="pct"/>
            <w:shd w:val="clear" w:color="auto" w:fill="FFFFFF" w:themeFill="background1"/>
            <w:noWrap/>
            <w:vAlign w:val="center"/>
            <w:hideMark/>
          </w:tcPr>
          <w:p w14:paraId="64835E05" w14:textId="77777777" w:rsidR="008B35C9" w:rsidRPr="00951AB1" w:rsidRDefault="008B35C9" w:rsidP="000A5389">
            <w:pPr>
              <w:spacing w:line="240" w:lineRule="auto"/>
              <w:jc w:val="right"/>
              <w:rPr>
                <w:rFonts w:eastAsia="Times New Roman" w:cs="Times New Roman"/>
                <w:kern w:val="0"/>
                <w:sz w:val="14"/>
                <w:szCs w:val="14"/>
                <w:lang w:eastAsia="es-CO"/>
                <w14:ligatures w14:val="none"/>
              </w:rPr>
            </w:pPr>
            <w:r w:rsidRPr="00951AB1">
              <w:rPr>
                <w:rFonts w:eastAsia="Times New Roman" w:cs="Times New Roman"/>
                <w:kern w:val="0"/>
                <w:sz w:val="14"/>
                <w:szCs w:val="14"/>
                <w:lang w:eastAsia="es-CO"/>
                <w14:ligatures w14:val="none"/>
              </w:rPr>
              <w:t>0</w:t>
            </w:r>
          </w:p>
        </w:tc>
        <w:tc>
          <w:tcPr>
            <w:tcW w:w="625" w:type="pct"/>
            <w:shd w:val="clear" w:color="auto" w:fill="FFFFFF" w:themeFill="background1"/>
            <w:noWrap/>
            <w:vAlign w:val="center"/>
            <w:hideMark/>
          </w:tcPr>
          <w:p w14:paraId="1EBACA99" w14:textId="77777777" w:rsidR="008B35C9" w:rsidRPr="00951AB1" w:rsidRDefault="008B35C9" w:rsidP="000A5389">
            <w:pPr>
              <w:spacing w:line="240" w:lineRule="auto"/>
              <w:jc w:val="right"/>
              <w:rPr>
                <w:rFonts w:eastAsia="Times New Roman" w:cs="Times New Roman"/>
                <w:kern w:val="0"/>
                <w:sz w:val="14"/>
                <w:szCs w:val="14"/>
                <w:lang w:eastAsia="es-CO"/>
                <w14:ligatures w14:val="none"/>
              </w:rPr>
            </w:pPr>
            <w:r w:rsidRPr="00951AB1">
              <w:rPr>
                <w:rFonts w:eastAsia="Times New Roman" w:cs="Times New Roman"/>
                <w:kern w:val="0"/>
                <w:sz w:val="14"/>
                <w:szCs w:val="14"/>
                <w:lang w:eastAsia="es-CO"/>
                <w14:ligatures w14:val="none"/>
              </w:rPr>
              <w:t>0</w:t>
            </w:r>
          </w:p>
        </w:tc>
        <w:tc>
          <w:tcPr>
            <w:tcW w:w="625" w:type="pct"/>
            <w:shd w:val="clear" w:color="auto" w:fill="FFFFFF" w:themeFill="background1"/>
            <w:noWrap/>
            <w:vAlign w:val="center"/>
            <w:hideMark/>
          </w:tcPr>
          <w:p w14:paraId="7EFB0ED1" w14:textId="77777777" w:rsidR="008B35C9" w:rsidRPr="00951AB1" w:rsidRDefault="008B35C9" w:rsidP="000A5389">
            <w:pPr>
              <w:spacing w:line="240" w:lineRule="auto"/>
              <w:jc w:val="right"/>
              <w:rPr>
                <w:rFonts w:eastAsia="Times New Roman" w:cs="Times New Roman"/>
                <w:kern w:val="0"/>
                <w:sz w:val="14"/>
                <w:szCs w:val="14"/>
                <w:lang w:eastAsia="es-CO"/>
                <w14:ligatures w14:val="none"/>
              </w:rPr>
            </w:pPr>
            <w:r w:rsidRPr="00951AB1">
              <w:rPr>
                <w:rFonts w:eastAsia="Times New Roman" w:cs="Times New Roman"/>
                <w:kern w:val="0"/>
                <w:sz w:val="14"/>
                <w:szCs w:val="14"/>
                <w:lang w:eastAsia="es-CO"/>
                <w14:ligatures w14:val="none"/>
              </w:rPr>
              <w:t>0</w:t>
            </w:r>
          </w:p>
        </w:tc>
        <w:tc>
          <w:tcPr>
            <w:tcW w:w="626" w:type="pct"/>
            <w:shd w:val="clear" w:color="auto" w:fill="FFFFFF" w:themeFill="background1"/>
            <w:noWrap/>
            <w:vAlign w:val="center"/>
            <w:hideMark/>
          </w:tcPr>
          <w:p w14:paraId="007473D2" w14:textId="77777777" w:rsidR="008B35C9" w:rsidRPr="00951AB1" w:rsidRDefault="008B35C9" w:rsidP="000A5389">
            <w:pPr>
              <w:spacing w:line="240" w:lineRule="auto"/>
              <w:jc w:val="right"/>
              <w:rPr>
                <w:rFonts w:eastAsia="Times New Roman" w:cs="Times New Roman"/>
                <w:kern w:val="0"/>
                <w:sz w:val="14"/>
                <w:szCs w:val="14"/>
                <w:lang w:eastAsia="es-CO"/>
                <w14:ligatures w14:val="none"/>
              </w:rPr>
            </w:pPr>
            <w:r w:rsidRPr="00951AB1">
              <w:rPr>
                <w:rFonts w:eastAsia="Times New Roman" w:cs="Times New Roman"/>
                <w:kern w:val="0"/>
                <w:sz w:val="14"/>
                <w:szCs w:val="14"/>
                <w:lang w:eastAsia="es-CO"/>
                <w14:ligatures w14:val="none"/>
              </w:rPr>
              <w:t>3.692.620</w:t>
            </w:r>
          </w:p>
        </w:tc>
        <w:tc>
          <w:tcPr>
            <w:tcW w:w="625" w:type="pct"/>
            <w:shd w:val="clear" w:color="auto" w:fill="FFFFFF" w:themeFill="background1"/>
            <w:noWrap/>
            <w:vAlign w:val="center"/>
            <w:hideMark/>
          </w:tcPr>
          <w:p w14:paraId="0E8BF790" w14:textId="77777777" w:rsidR="008B35C9" w:rsidRPr="00951AB1" w:rsidRDefault="008B35C9" w:rsidP="000A5389">
            <w:pPr>
              <w:spacing w:line="240" w:lineRule="auto"/>
              <w:jc w:val="right"/>
              <w:rPr>
                <w:rFonts w:eastAsia="Times New Roman" w:cs="Times New Roman"/>
                <w:kern w:val="0"/>
                <w:sz w:val="14"/>
                <w:szCs w:val="14"/>
                <w:lang w:eastAsia="es-CO"/>
                <w14:ligatures w14:val="none"/>
              </w:rPr>
            </w:pPr>
            <w:r w:rsidRPr="00951AB1">
              <w:rPr>
                <w:rFonts w:eastAsia="Times New Roman" w:cs="Times New Roman"/>
                <w:kern w:val="0"/>
                <w:sz w:val="14"/>
                <w:szCs w:val="14"/>
                <w:lang w:eastAsia="es-CO"/>
                <w14:ligatures w14:val="none"/>
              </w:rPr>
              <w:t>0</w:t>
            </w:r>
          </w:p>
        </w:tc>
        <w:tc>
          <w:tcPr>
            <w:tcW w:w="704" w:type="pct"/>
            <w:shd w:val="clear" w:color="auto" w:fill="FFFFFF" w:themeFill="background1"/>
            <w:noWrap/>
            <w:vAlign w:val="center"/>
            <w:hideMark/>
          </w:tcPr>
          <w:p w14:paraId="2AA5129A" w14:textId="77777777" w:rsidR="008B35C9" w:rsidRPr="00951AB1" w:rsidRDefault="008B35C9" w:rsidP="000A5389">
            <w:pPr>
              <w:spacing w:line="240" w:lineRule="auto"/>
              <w:jc w:val="right"/>
              <w:rPr>
                <w:rFonts w:eastAsia="Times New Roman" w:cs="Times New Roman"/>
                <w:kern w:val="0"/>
                <w:sz w:val="14"/>
                <w:szCs w:val="14"/>
                <w:lang w:eastAsia="es-CO"/>
                <w14:ligatures w14:val="none"/>
              </w:rPr>
            </w:pPr>
            <w:r w:rsidRPr="00951AB1">
              <w:rPr>
                <w:rFonts w:eastAsia="Times New Roman" w:cs="Times New Roman"/>
                <w:kern w:val="0"/>
                <w:sz w:val="14"/>
                <w:szCs w:val="14"/>
                <w:lang w:eastAsia="es-CO"/>
                <w14:ligatures w14:val="none"/>
              </w:rPr>
              <w:t>3.692.620</w:t>
            </w:r>
          </w:p>
        </w:tc>
        <w:tc>
          <w:tcPr>
            <w:tcW w:w="624" w:type="pct"/>
            <w:shd w:val="clear" w:color="auto" w:fill="FFFFFF" w:themeFill="background1"/>
            <w:noWrap/>
            <w:vAlign w:val="center"/>
            <w:hideMark/>
          </w:tcPr>
          <w:p w14:paraId="19C76145" w14:textId="77777777" w:rsidR="008B35C9" w:rsidRPr="00951AB1" w:rsidRDefault="008B35C9" w:rsidP="000A5389">
            <w:pPr>
              <w:spacing w:line="240" w:lineRule="auto"/>
              <w:jc w:val="right"/>
              <w:rPr>
                <w:rFonts w:eastAsia="Times New Roman" w:cs="Times New Roman"/>
                <w:kern w:val="0"/>
                <w:sz w:val="14"/>
                <w:szCs w:val="14"/>
                <w:lang w:eastAsia="es-CO"/>
                <w14:ligatures w14:val="none"/>
              </w:rPr>
            </w:pPr>
            <w:r w:rsidRPr="00951AB1">
              <w:rPr>
                <w:rFonts w:eastAsia="Times New Roman" w:cs="Times New Roman"/>
                <w:kern w:val="0"/>
                <w:sz w:val="14"/>
                <w:szCs w:val="14"/>
                <w:lang w:eastAsia="es-CO"/>
                <w14:ligatures w14:val="none"/>
              </w:rPr>
              <w:t>-3.692.620</w:t>
            </w:r>
          </w:p>
        </w:tc>
      </w:tr>
    </w:tbl>
    <w:p w14:paraId="343E7598" w14:textId="1D27DA65" w:rsidR="008B35C9" w:rsidRPr="00951AB1" w:rsidRDefault="008B35C9" w:rsidP="000A5389">
      <w:pPr>
        <w:spacing w:line="240" w:lineRule="auto"/>
        <w:rPr>
          <w:rFonts w:cs="Times New Roman"/>
          <w:sz w:val="16"/>
          <w:szCs w:val="16"/>
        </w:rPr>
      </w:pPr>
      <w:r w:rsidRPr="00951AB1">
        <w:rPr>
          <w:rFonts w:cs="Times New Roman"/>
          <w:sz w:val="16"/>
          <w:szCs w:val="16"/>
        </w:rPr>
        <w:t xml:space="preserve">Cifras en pesos </w:t>
      </w:r>
    </w:p>
    <w:p w14:paraId="10D07604" w14:textId="77777777" w:rsidR="00502776" w:rsidRPr="00951AB1" w:rsidRDefault="00502776" w:rsidP="000A5389">
      <w:pPr>
        <w:spacing w:line="240" w:lineRule="auto"/>
        <w:rPr>
          <w:rFonts w:cs="Times New Roman"/>
          <w:bCs/>
          <w:szCs w:val="24"/>
        </w:rPr>
      </w:pPr>
    </w:p>
    <w:p w14:paraId="2E91ECB4" w14:textId="0293A05D" w:rsidR="008B35C9" w:rsidRDefault="008B35C9" w:rsidP="000A5389">
      <w:pPr>
        <w:spacing w:line="240" w:lineRule="auto"/>
        <w:rPr>
          <w:rFonts w:cs="Times New Roman"/>
          <w:bCs/>
          <w:i/>
          <w:iCs/>
          <w:color w:val="1F3864" w:themeColor="accent1" w:themeShade="80"/>
          <w:szCs w:val="24"/>
        </w:rPr>
      </w:pPr>
      <w:r w:rsidRPr="00951AB1">
        <w:rPr>
          <w:rFonts w:cs="Times New Roman"/>
          <w:bCs/>
          <w:i/>
          <w:iCs/>
          <w:color w:val="1F3864" w:themeColor="accent1" w:themeShade="80"/>
          <w:szCs w:val="24"/>
        </w:rPr>
        <w:t>Recursos de la entidad concedente en patrimonios autónomos constituidos por los concesionarios</w:t>
      </w:r>
    </w:p>
    <w:p w14:paraId="652D276F" w14:textId="77777777" w:rsidR="002E333D" w:rsidRPr="00951AB1" w:rsidRDefault="002E333D" w:rsidP="000A5389">
      <w:pPr>
        <w:spacing w:line="240" w:lineRule="auto"/>
        <w:rPr>
          <w:rFonts w:cs="Times New Roman"/>
          <w:bCs/>
          <w:i/>
          <w:iCs/>
          <w:color w:val="1F3864" w:themeColor="accent1" w:themeShade="80"/>
          <w:szCs w:val="24"/>
        </w:rPr>
      </w:pPr>
    </w:p>
    <w:p w14:paraId="2F327C6D" w14:textId="77777777" w:rsidR="008B35C9" w:rsidRPr="00951AB1" w:rsidRDefault="008B35C9" w:rsidP="000A5389">
      <w:pPr>
        <w:pStyle w:val="Default"/>
        <w:jc w:val="both"/>
        <w:rPr>
          <w:rFonts w:ascii="Times New Roman" w:eastAsiaTheme="minorHAnsi" w:hAnsi="Times New Roman" w:cs="Times New Roman"/>
          <w:color w:val="auto"/>
          <w:kern w:val="2"/>
          <w:lang w:eastAsia="en-US"/>
          <w14:ligatures w14:val="standardContextual"/>
        </w:rPr>
      </w:pPr>
      <w:r w:rsidRPr="00951AB1">
        <w:rPr>
          <w:rFonts w:ascii="Times New Roman" w:eastAsiaTheme="minorHAnsi" w:hAnsi="Times New Roman" w:cs="Times New Roman"/>
          <w:color w:val="auto"/>
          <w:kern w:val="2"/>
          <w:lang w:eastAsia="en-US"/>
          <w14:ligatures w14:val="standardContextual"/>
        </w:rPr>
        <w:t>En esta cuenta, se reflejan los recursos en efectivo girados por la Agencia, en virtud de las obligaciones pactadas en los contratos de concesión y que son depositados en patrimonios autónomos constituidos por los concesionarios. Los concesionarios no cuentan con estos recursos, hasta tanto no cumplan con los estándares y calidades en la entrega de las unidades</w:t>
      </w:r>
    </w:p>
    <w:p w14:paraId="3EDC1C91" w14:textId="77777777" w:rsidR="008B35C9" w:rsidRPr="00951AB1" w:rsidRDefault="008B35C9" w:rsidP="000A5389">
      <w:pPr>
        <w:pStyle w:val="Default"/>
        <w:jc w:val="both"/>
        <w:rPr>
          <w:rFonts w:ascii="Times New Roman" w:eastAsiaTheme="minorHAnsi" w:hAnsi="Times New Roman" w:cs="Times New Roman"/>
          <w:color w:val="auto"/>
          <w:kern w:val="2"/>
          <w:lang w:eastAsia="en-US"/>
          <w14:ligatures w14:val="standardContextual"/>
        </w:rPr>
      </w:pPr>
      <w:r w:rsidRPr="00951AB1">
        <w:rPr>
          <w:rFonts w:ascii="Times New Roman" w:eastAsiaTheme="minorHAnsi" w:hAnsi="Times New Roman" w:cs="Times New Roman"/>
          <w:color w:val="auto"/>
          <w:kern w:val="2"/>
          <w:lang w:eastAsia="en-US"/>
          <w14:ligatures w14:val="standardContextual"/>
        </w:rPr>
        <w:t>funcionales para su retribución o lo pactado contractualmente.</w:t>
      </w:r>
    </w:p>
    <w:p w14:paraId="1D40BEA5" w14:textId="77777777" w:rsidR="008B35C9" w:rsidRPr="00951AB1" w:rsidRDefault="008B35C9" w:rsidP="000A5389">
      <w:pPr>
        <w:pStyle w:val="Default"/>
        <w:jc w:val="both"/>
        <w:rPr>
          <w:rFonts w:ascii="Times New Roman" w:hAnsi="Times New Roman" w:cs="Times New Roman"/>
        </w:rPr>
      </w:pPr>
    </w:p>
    <w:p w14:paraId="57DE7CDB" w14:textId="77777777" w:rsidR="008B35C9" w:rsidRPr="00951AB1" w:rsidRDefault="008B35C9" w:rsidP="000A5389">
      <w:pPr>
        <w:spacing w:line="240" w:lineRule="auto"/>
        <w:rPr>
          <w:rFonts w:cs="Times New Roman"/>
          <w:szCs w:val="24"/>
        </w:rPr>
      </w:pPr>
      <w:r w:rsidRPr="00951AB1">
        <w:rPr>
          <w:rFonts w:cs="Times New Roman"/>
          <w:szCs w:val="24"/>
        </w:rPr>
        <w:t>Esta cuenta se incrementa con el giro de los recursos en efectivo realizados por la Agencia, los rendimientos financieros generados por recursos entregados por la entidad concedente en patrimonios autónomos, se disminuye con la ejecución de recursos informada por los concesionarios e interventorías.</w:t>
      </w:r>
    </w:p>
    <w:p w14:paraId="0D68D140" w14:textId="77777777" w:rsidR="008B35C9" w:rsidRPr="00951AB1" w:rsidRDefault="008B35C9" w:rsidP="000A5389">
      <w:pPr>
        <w:spacing w:line="240" w:lineRule="auto"/>
        <w:rPr>
          <w:rFonts w:cs="Times New Roman"/>
          <w:szCs w:val="24"/>
          <w:highlight w:val="yellow"/>
        </w:rPr>
      </w:pPr>
    </w:p>
    <w:p w14:paraId="0930491D" w14:textId="77777777" w:rsidR="008B35C9" w:rsidRDefault="008B35C9" w:rsidP="000A5389">
      <w:pPr>
        <w:spacing w:line="240" w:lineRule="auto"/>
        <w:rPr>
          <w:rFonts w:cs="Times New Roman"/>
          <w:bCs/>
          <w:szCs w:val="24"/>
        </w:rPr>
      </w:pPr>
      <w:r w:rsidRPr="00951AB1">
        <w:rPr>
          <w:rFonts w:cs="Times New Roman"/>
          <w:bCs/>
          <w:szCs w:val="24"/>
        </w:rPr>
        <w:t>Composición de la cuenta, a nivel de terceros:</w:t>
      </w:r>
    </w:p>
    <w:p w14:paraId="39A86BCB" w14:textId="77777777" w:rsidR="002E333D" w:rsidRPr="00951AB1" w:rsidRDefault="002E333D" w:rsidP="000A5389">
      <w:pPr>
        <w:spacing w:line="240" w:lineRule="auto"/>
        <w:rPr>
          <w:rFonts w:cs="Times New Roman"/>
          <w:bCs/>
          <w:szCs w:val="24"/>
        </w:rPr>
      </w:pPr>
    </w:p>
    <w:tbl>
      <w:tblPr>
        <w:tblW w:w="5000" w:type="pct"/>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CellMar>
          <w:left w:w="70" w:type="dxa"/>
          <w:right w:w="70" w:type="dxa"/>
        </w:tblCellMar>
        <w:tblLook w:val="04A0" w:firstRow="1" w:lastRow="0" w:firstColumn="1" w:lastColumn="0" w:noHBand="0" w:noVBand="1"/>
      </w:tblPr>
      <w:tblGrid>
        <w:gridCol w:w="988"/>
        <w:gridCol w:w="2836"/>
        <w:gridCol w:w="1559"/>
        <w:gridCol w:w="1702"/>
        <w:gridCol w:w="1743"/>
      </w:tblGrid>
      <w:tr w:rsidR="008B35C9" w:rsidRPr="002E333D" w14:paraId="7F04C67E" w14:textId="77777777" w:rsidTr="004B0B8A">
        <w:trPr>
          <w:trHeight w:val="340"/>
          <w:tblHeader/>
        </w:trPr>
        <w:tc>
          <w:tcPr>
            <w:tcW w:w="2165" w:type="pct"/>
            <w:gridSpan w:val="2"/>
            <w:vAlign w:val="center"/>
            <w:hideMark/>
          </w:tcPr>
          <w:p w14:paraId="1C718E3E" w14:textId="77777777" w:rsidR="008B35C9" w:rsidRPr="002E333D" w:rsidRDefault="008B35C9" w:rsidP="000A5389">
            <w:pPr>
              <w:spacing w:line="240" w:lineRule="auto"/>
              <w:jc w:val="center"/>
              <w:rPr>
                <w:rFonts w:eastAsia="Times New Roman" w:cs="Times New Roman"/>
                <w:b/>
                <w:bCs/>
                <w:color w:val="000000"/>
                <w:kern w:val="0"/>
                <w:sz w:val="18"/>
                <w:szCs w:val="18"/>
                <w:lang w:eastAsia="es-CO"/>
                <w14:ligatures w14:val="none"/>
              </w:rPr>
            </w:pPr>
            <w:r w:rsidRPr="002E333D">
              <w:rPr>
                <w:rFonts w:eastAsia="Times New Roman" w:cs="Times New Roman"/>
                <w:b/>
                <w:bCs/>
                <w:color w:val="000000"/>
                <w:kern w:val="0"/>
                <w:sz w:val="18"/>
                <w:szCs w:val="18"/>
                <w:lang w:eastAsia="es-CO"/>
                <w14:ligatures w14:val="none"/>
              </w:rPr>
              <w:t>TERCERO</w:t>
            </w:r>
          </w:p>
        </w:tc>
        <w:tc>
          <w:tcPr>
            <w:tcW w:w="883" w:type="pct"/>
            <w:vAlign w:val="center"/>
            <w:hideMark/>
          </w:tcPr>
          <w:p w14:paraId="4B6A968C" w14:textId="77777777" w:rsidR="008B35C9" w:rsidRPr="002E333D" w:rsidRDefault="008B35C9" w:rsidP="000A5389">
            <w:pPr>
              <w:spacing w:line="240" w:lineRule="auto"/>
              <w:jc w:val="center"/>
              <w:rPr>
                <w:rFonts w:eastAsia="Times New Roman" w:cs="Times New Roman"/>
                <w:b/>
                <w:bCs/>
                <w:color w:val="000000"/>
                <w:kern w:val="0"/>
                <w:sz w:val="18"/>
                <w:szCs w:val="18"/>
                <w:lang w:eastAsia="es-CO"/>
                <w14:ligatures w14:val="none"/>
              </w:rPr>
            </w:pPr>
            <w:r w:rsidRPr="002E333D">
              <w:rPr>
                <w:rFonts w:eastAsia="Times New Roman" w:cs="Times New Roman"/>
                <w:b/>
                <w:bCs/>
                <w:color w:val="000000"/>
                <w:kern w:val="0"/>
                <w:sz w:val="18"/>
                <w:szCs w:val="18"/>
                <w:lang w:eastAsia="es-CO"/>
                <w14:ligatures w14:val="none"/>
              </w:rPr>
              <w:t>2025</w:t>
            </w:r>
          </w:p>
        </w:tc>
        <w:tc>
          <w:tcPr>
            <w:tcW w:w="964" w:type="pct"/>
            <w:noWrap/>
            <w:vAlign w:val="center"/>
            <w:hideMark/>
          </w:tcPr>
          <w:p w14:paraId="531E5146" w14:textId="77777777" w:rsidR="008B35C9" w:rsidRPr="002E333D" w:rsidRDefault="008B35C9" w:rsidP="000A5389">
            <w:pPr>
              <w:spacing w:line="240" w:lineRule="auto"/>
              <w:jc w:val="center"/>
              <w:rPr>
                <w:rFonts w:eastAsia="Times New Roman" w:cs="Times New Roman"/>
                <w:b/>
                <w:bCs/>
                <w:color w:val="000000"/>
                <w:kern w:val="0"/>
                <w:sz w:val="18"/>
                <w:szCs w:val="18"/>
                <w:lang w:eastAsia="es-CO"/>
                <w14:ligatures w14:val="none"/>
              </w:rPr>
            </w:pPr>
            <w:r w:rsidRPr="002E333D">
              <w:rPr>
                <w:rFonts w:eastAsia="Times New Roman" w:cs="Times New Roman"/>
                <w:b/>
                <w:bCs/>
                <w:color w:val="000000"/>
                <w:kern w:val="0"/>
                <w:sz w:val="18"/>
                <w:szCs w:val="18"/>
                <w:lang w:eastAsia="es-CO"/>
                <w14:ligatures w14:val="none"/>
              </w:rPr>
              <w:t>2024</w:t>
            </w:r>
          </w:p>
        </w:tc>
        <w:tc>
          <w:tcPr>
            <w:tcW w:w="988" w:type="pct"/>
            <w:vAlign w:val="center"/>
            <w:hideMark/>
          </w:tcPr>
          <w:p w14:paraId="4D20D128" w14:textId="77777777" w:rsidR="008B35C9" w:rsidRPr="002E333D" w:rsidRDefault="008B35C9" w:rsidP="000A5389">
            <w:pPr>
              <w:spacing w:line="240" w:lineRule="auto"/>
              <w:jc w:val="center"/>
              <w:rPr>
                <w:rFonts w:eastAsia="Times New Roman" w:cs="Times New Roman"/>
                <w:b/>
                <w:bCs/>
                <w:color w:val="000000"/>
                <w:kern w:val="0"/>
                <w:sz w:val="18"/>
                <w:szCs w:val="18"/>
                <w:lang w:eastAsia="es-CO"/>
                <w14:ligatures w14:val="none"/>
              </w:rPr>
            </w:pPr>
            <w:r w:rsidRPr="002E333D">
              <w:rPr>
                <w:rFonts w:eastAsia="Times New Roman" w:cs="Times New Roman"/>
                <w:b/>
                <w:bCs/>
                <w:color w:val="000000"/>
                <w:kern w:val="0"/>
                <w:sz w:val="18"/>
                <w:szCs w:val="18"/>
                <w:lang w:eastAsia="es-CO"/>
                <w14:ligatures w14:val="none"/>
              </w:rPr>
              <w:t>VARIACIÓN</w:t>
            </w:r>
          </w:p>
        </w:tc>
      </w:tr>
      <w:tr w:rsidR="004B0B8A" w:rsidRPr="002E333D" w14:paraId="7226E869" w14:textId="77777777" w:rsidTr="004B0B8A">
        <w:trPr>
          <w:trHeight w:val="340"/>
        </w:trPr>
        <w:tc>
          <w:tcPr>
            <w:tcW w:w="560" w:type="pct"/>
            <w:vAlign w:val="center"/>
            <w:hideMark/>
          </w:tcPr>
          <w:p w14:paraId="753FBD3E" w14:textId="77777777" w:rsidR="008B35C9" w:rsidRPr="002E333D" w:rsidRDefault="008B35C9" w:rsidP="000A5389">
            <w:pPr>
              <w:spacing w:line="240" w:lineRule="auto"/>
              <w:jc w:val="center"/>
              <w:rPr>
                <w:rFonts w:eastAsia="Times New Roman" w:cs="Times New Roman"/>
                <w:color w:val="000000"/>
                <w:kern w:val="0"/>
                <w:sz w:val="18"/>
                <w:szCs w:val="18"/>
                <w:lang w:eastAsia="es-CO"/>
                <w14:ligatures w14:val="none"/>
              </w:rPr>
            </w:pPr>
            <w:r w:rsidRPr="002E333D">
              <w:rPr>
                <w:rFonts w:eastAsia="Times New Roman" w:cs="Times New Roman"/>
                <w:color w:val="000000"/>
                <w:kern w:val="0"/>
                <w:sz w:val="18"/>
                <w:szCs w:val="18"/>
                <w:lang w:eastAsia="es-CO"/>
                <w14:ligatures w14:val="none"/>
              </w:rPr>
              <w:t>900809931</w:t>
            </w:r>
          </w:p>
        </w:tc>
        <w:tc>
          <w:tcPr>
            <w:tcW w:w="1606" w:type="pct"/>
            <w:vAlign w:val="center"/>
            <w:hideMark/>
          </w:tcPr>
          <w:p w14:paraId="294BDBE6" w14:textId="3D411B3A" w:rsidR="008B35C9" w:rsidRPr="002E333D" w:rsidRDefault="004B0B8A" w:rsidP="000A5389">
            <w:pPr>
              <w:spacing w:line="240" w:lineRule="auto"/>
              <w:rPr>
                <w:rFonts w:eastAsia="Times New Roman" w:cs="Times New Roman"/>
                <w:color w:val="000000"/>
                <w:kern w:val="0"/>
                <w:sz w:val="18"/>
                <w:szCs w:val="18"/>
                <w:lang w:eastAsia="es-CO"/>
                <w14:ligatures w14:val="none"/>
              </w:rPr>
            </w:pPr>
            <w:r w:rsidRPr="002E333D">
              <w:rPr>
                <w:rFonts w:eastAsia="Times New Roman" w:cs="Times New Roman"/>
                <w:color w:val="000000"/>
                <w:kern w:val="0"/>
                <w:sz w:val="18"/>
                <w:szCs w:val="18"/>
                <w:lang w:eastAsia="es-CO"/>
                <w14:ligatures w14:val="none"/>
              </w:rPr>
              <w:t>Concesionaria Nueva Vía Al Mar S.A.S</w:t>
            </w:r>
          </w:p>
        </w:tc>
        <w:tc>
          <w:tcPr>
            <w:tcW w:w="883" w:type="pct"/>
            <w:vAlign w:val="center"/>
            <w:hideMark/>
          </w:tcPr>
          <w:p w14:paraId="5E3FE171" w14:textId="643AC644" w:rsidR="008B35C9" w:rsidRPr="002E333D" w:rsidRDefault="008B35C9" w:rsidP="000A5389">
            <w:pPr>
              <w:spacing w:line="240" w:lineRule="auto"/>
              <w:jc w:val="right"/>
              <w:rPr>
                <w:rFonts w:eastAsia="Times New Roman" w:cs="Times New Roman"/>
                <w:color w:val="000000"/>
                <w:kern w:val="0"/>
                <w:sz w:val="18"/>
                <w:szCs w:val="18"/>
                <w:lang w:eastAsia="es-CO"/>
                <w14:ligatures w14:val="none"/>
              </w:rPr>
            </w:pPr>
            <w:r w:rsidRPr="002E333D">
              <w:rPr>
                <w:rFonts w:eastAsia="Times New Roman" w:cs="Times New Roman"/>
                <w:color w:val="000000"/>
                <w:kern w:val="0"/>
                <w:sz w:val="18"/>
                <w:szCs w:val="18"/>
                <w:lang w:eastAsia="es-CO"/>
                <w14:ligatures w14:val="none"/>
              </w:rPr>
              <w:t>1.802.078.317.778</w:t>
            </w:r>
          </w:p>
        </w:tc>
        <w:tc>
          <w:tcPr>
            <w:tcW w:w="964" w:type="pct"/>
            <w:vAlign w:val="center"/>
            <w:hideMark/>
          </w:tcPr>
          <w:p w14:paraId="53B8928D" w14:textId="7727D7F3" w:rsidR="008B35C9" w:rsidRPr="002E333D" w:rsidRDefault="008B35C9" w:rsidP="000A5389">
            <w:pPr>
              <w:spacing w:line="240" w:lineRule="auto"/>
              <w:jc w:val="right"/>
              <w:rPr>
                <w:rFonts w:eastAsia="Times New Roman" w:cs="Times New Roman"/>
                <w:color w:val="000000"/>
                <w:kern w:val="0"/>
                <w:sz w:val="18"/>
                <w:szCs w:val="18"/>
                <w:lang w:eastAsia="es-CO"/>
                <w14:ligatures w14:val="none"/>
              </w:rPr>
            </w:pPr>
            <w:r w:rsidRPr="002E333D">
              <w:rPr>
                <w:rFonts w:eastAsia="Times New Roman" w:cs="Times New Roman"/>
                <w:color w:val="000000"/>
                <w:kern w:val="0"/>
                <w:sz w:val="18"/>
                <w:szCs w:val="18"/>
                <w:lang w:eastAsia="es-CO"/>
                <w14:ligatures w14:val="none"/>
              </w:rPr>
              <w:t>1.800.284.862.517</w:t>
            </w:r>
          </w:p>
        </w:tc>
        <w:tc>
          <w:tcPr>
            <w:tcW w:w="988" w:type="pct"/>
            <w:vAlign w:val="center"/>
            <w:hideMark/>
          </w:tcPr>
          <w:p w14:paraId="6ADB17A4" w14:textId="77777777" w:rsidR="008B35C9" w:rsidRPr="002E333D" w:rsidRDefault="008B35C9" w:rsidP="000A5389">
            <w:pPr>
              <w:spacing w:line="240" w:lineRule="auto"/>
              <w:jc w:val="right"/>
              <w:rPr>
                <w:rFonts w:eastAsia="Times New Roman" w:cs="Times New Roman"/>
                <w:color w:val="000000"/>
                <w:kern w:val="0"/>
                <w:sz w:val="18"/>
                <w:szCs w:val="18"/>
                <w:lang w:eastAsia="es-CO"/>
                <w14:ligatures w14:val="none"/>
              </w:rPr>
            </w:pPr>
            <w:r w:rsidRPr="002E333D">
              <w:rPr>
                <w:rFonts w:eastAsia="Times New Roman" w:cs="Times New Roman"/>
                <w:color w:val="000000"/>
                <w:kern w:val="0"/>
                <w:sz w:val="18"/>
                <w:szCs w:val="18"/>
                <w:lang w:eastAsia="es-CO"/>
                <w14:ligatures w14:val="none"/>
              </w:rPr>
              <w:t xml:space="preserve">          1.793.455.261 </w:t>
            </w:r>
          </w:p>
        </w:tc>
      </w:tr>
      <w:tr w:rsidR="004B0B8A" w:rsidRPr="002E333D" w14:paraId="1B1749B4" w14:textId="77777777" w:rsidTr="004B0B8A">
        <w:trPr>
          <w:trHeight w:val="340"/>
        </w:trPr>
        <w:tc>
          <w:tcPr>
            <w:tcW w:w="560" w:type="pct"/>
            <w:vAlign w:val="center"/>
            <w:hideMark/>
          </w:tcPr>
          <w:p w14:paraId="59AEEB78" w14:textId="77777777" w:rsidR="008B35C9" w:rsidRPr="002E333D" w:rsidRDefault="008B35C9" w:rsidP="000A5389">
            <w:pPr>
              <w:spacing w:line="240" w:lineRule="auto"/>
              <w:jc w:val="center"/>
              <w:rPr>
                <w:rFonts w:eastAsia="Times New Roman" w:cs="Times New Roman"/>
                <w:color w:val="000000"/>
                <w:kern w:val="0"/>
                <w:sz w:val="18"/>
                <w:szCs w:val="18"/>
                <w:lang w:eastAsia="es-CO"/>
                <w14:ligatures w14:val="none"/>
              </w:rPr>
            </w:pPr>
            <w:r w:rsidRPr="002E333D">
              <w:rPr>
                <w:rFonts w:eastAsia="Times New Roman" w:cs="Times New Roman"/>
                <w:color w:val="000000"/>
                <w:kern w:val="0"/>
                <w:sz w:val="18"/>
                <w:szCs w:val="18"/>
                <w:lang w:eastAsia="es-CO"/>
                <w14:ligatures w14:val="none"/>
              </w:rPr>
              <w:lastRenderedPageBreak/>
              <w:t>900373092</w:t>
            </w:r>
          </w:p>
        </w:tc>
        <w:tc>
          <w:tcPr>
            <w:tcW w:w="1606" w:type="pct"/>
            <w:vAlign w:val="center"/>
            <w:hideMark/>
          </w:tcPr>
          <w:p w14:paraId="268C4704" w14:textId="7338898E" w:rsidR="008B35C9" w:rsidRPr="002E333D" w:rsidRDefault="004B0B8A" w:rsidP="000A5389">
            <w:pPr>
              <w:spacing w:line="240" w:lineRule="auto"/>
              <w:rPr>
                <w:rFonts w:eastAsia="Times New Roman" w:cs="Times New Roman"/>
                <w:color w:val="000000"/>
                <w:kern w:val="0"/>
                <w:sz w:val="18"/>
                <w:szCs w:val="18"/>
                <w:lang w:eastAsia="es-CO"/>
                <w14:ligatures w14:val="none"/>
              </w:rPr>
            </w:pPr>
            <w:r w:rsidRPr="002E333D">
              <w:rPr>
                <w:rFonts w:eastAsia="Times New Roman" w:cs="Times New Roman"/>
                <w:color w:val="000000"/>
                <w:kern w:val="0"/>
                <w:sz w:val="18"/>
                <w:szCs w:val="18"/>
                <w:lang w:eastAsia="es-CO"/>
                <w14:ligatures w14:val="none"/>
              </w:rPr>
              <w:t>Yuma Concesionaria S A - En Reorganización</w:t>
            </w:r>
          </w:p>
        </w:tc>
        <w:tc>
          <w:tcPr>
            <w:tcW w:w="883" w:type="pct"/>
            <w:vAlign w:val="center"/>
            <w:hideMark/>
          </w:tcPr>
          <w:p w14:paraId="6E8D37EC" w14:textId="341662BE" w:rsidR="008B35C9" w:rsidRPr="002E333D" w:rsidRDefault="008B35C9" w:rsidP="000A5389">
            <w:pPr>
              <w:spacing w:line="240" w:lineRule="auto"/>
              <w:jc w:val="right"/>
              <w:rPr>
                <w:rFonts w:eastAsia="Times New Roman" w:cs="Times New Roman"/>
                <w:color w:val="000000"/>
                <w:kern w:val="0"/>
                <w:sz w:val="18"/>
                <w:szCs w:val="18"/>
                <w:lang w:eastAsia="es-CO"/>
                <w14:ligatures w14:val="none"/>
              </w:rPr>
            </w:pPr>
            <w:r w:rsidRPr="002E333D">
              <w:rPr>
                <w:rFonts w:eastAsia="Times New Roman" w:cs="Times New Roman"/>
                <w:color w:val="000000"/>
                <w:kern w:val="0"/>
                <w:sz w:val="18"/>
                <w:szCs w:val="18"/>
                <w:lang w:eastAsia="es-CO"/>
                <w14:ligatures w14:val="none"/>
              </w:rPr>
              <w:t>1.460.074.115.417</w:t>
            </w:r>
          </w:p>
        </w:tc>
        <w:tc>
          <w:tcPr>
            <w:tcW w:w="964" w:type="pct"/>
            <w:vAlign w:val="center"/>
            <w:hideMark/>
          </w:tcPr>
          <w:p w14:paraId="3AA73FE9" w14:textId="6B28D5CF" w:rsidR="008B35C9" w:rsidRPr="002E333D" w:rsidRDefault="008B35C9" w:rsidP="000A5389">
            <w:pPr>
              <w:spacing w:line="240" w:lineRule="auto"/>
              <w:jc w:val="right"/>
              <w:rPr>
                <w:rFonts w:eastAsia="Times New Roman" w:cs="Times New Roman"/>
                <w:color w:val="000000"/>
                <w:kern w:val="0"/>
                <w:sz w:val="18"/>
                <w:szCs w:val="18"/>
                <w:lang w:eastAsia="es-CO"/>
                <w14:ligatures w14:val="none"/>
              </w:rPr>
            </w:pPr>
            <w:r w:rsidRPr="002E333D">
              <w:rPr>
                <w:rFonts w:eastAsia="Times New Roman" w:cs="Times New Roman"/>
                <w:color w:val="000000"/>
                <w:kern w:val="0"/>
                <w:sz w:val="18"/>
                <w:szCs w:val="18"/>
                <w:lang w:eastAsia="es-CO"/>
                <w14:ligatures w14:val="none"/>
              </w:rPr>
              <w:t>1.767.045.235.664</w:t>
            </w:r>
          </w:p>
        </w:tc>
        <w:tc>
          <w:tcPr>
            <w:tcW w:w="988" w:type="pct"/>
            <w:vAlign w:val="center"/>
            <w:hideMark/>
          </w:tcPr>
          <w:p w14:paraId="3D4BAC21" w14:textId="77777777" w:rsidR="008B35C9" w:rsidRPr="002E333D" w:rsidRDefault="008B35C9" w:rsidP="000A5389">
            <w:pPr>
              <w:spacing w:line="240" w:lineRule="auto"/>
              <w:jc w:val="right"/>
              <w:rPr>
                <w:rFonts w:eastAsia="Times New Roman" w:cs="Times New Roman"/>
                <w:color w:val="000000"/>
                <w:kern w:val="0"/>
                <w:sz w:val="18"/>
                <w:szCs w:val="18"/>
                <w:lang w:eastAsia="es-CO"/>
                <w14:ligatures w14:val="none"/>
              </w:rPr>
            </w:pPr>
            <w:r w:rsidRPr="002E333D">
              <w:rPr>
                <w:rFonts w:eastAsia="Times New Roman" w:cs="Times New Roman"/>
                <w:color w:val="000000"/>
                <w:kern w:val="0"/>
                <w:sz w:val="18"/>
                <w:szCs w:val="18"/>
                <w:lang w:eastAsia="es-CO"/>
                <w14:ligatures w14:val="none"/>
              </w:rPr>
              <w:t xml:space="preserve">-     306.971.120.247 </w:t>
            </w:r>
          </w:p>
        </w:tc>
      </w:tr>
      <w:tr w:rsidR="004B0B8A" w:rsidRPr="002E333D" w14:paraId="01A00FD0" w14:textId="77777777" w:rsidTr="004B0B8A">
        <w:trPr>
          <w:trHeight w:val="340"/>
        </w:trPr>
        <w:tc>
          <w:tcPr>
            <w:tcW w:w="560" w:type="pct"/>
            <w:vAlign w:val="center"/>
            <w:hideMark/>
          </w:tcPr>
          <w:p w14:paraId="67733E74" w14:textId="77777777" w:rsidR="008B35C9" w:rsidRPr="002E333D" w:rsidRDefault="008B35C9" w:rsidP="000A5389">
            <w:pPr>
              <w:spacing w:line="240" w:lineRule="auto"/>
              <w:jc w:val="center"/>
              <w:rPr>
                <w:rFonts w:eastAsia="Times New Roman" w:cs="Times New Roman"/>
                <w:color w:val="000000"/>
                <w:kern w:val="0"/>
                <w:sz w:val="18"/>
                <w:szCs w:val="18"/>
                <w:lang w:eastAsia="es-CO"/>
                <w14:ligatures w14:val="none"/>
              </w:rPr>
            </w:pPr>
            <w:r w:rsidRPr="002E333D">
              <w:rPr>
                <w:rFonts w:eastAsia="Times New Roman" w:cs="Times New Roman"/>
                <w:color w:val="000000"/>
                <w:kern w:val="0"/>
                <w:sz w:val="18"/>
                <w:szCs w:val="18"/>
                <w:lang w:eastAsia="es-CO"/>
                <w14:ligatures w14:val="none"/>
              </w:rPr>
              <w:t>900866440</w:t>
            </w:r>
          </w:p>
        </w:tc>
        <w:tc>
          <w:tcPr>
            <w:tcW w:w="1606" w:type="pct"/>
            <w:vAlign w:val="center"/>
            <w:hideMark/>
          </w:tcPr>
          <w:p w14:paraId="4B2FCD98" w14:textId="4AE86FBD" w:rsidR="008B35C9" w:rsidRPr="002E333D" w:rsidRDefault="004B0B8A" w:rsidP="000A5389">
            <w:pPr>
              <w:spacing w:line="240" w:lineRule="auto"/>
              <w:rPr>
                <w:rFonts w:eastAsia="Times New Roman" w:cs="Times New Roman"/>
                <w:color w:val="000000"/>
                <w:kern w:val="0"/>
                <w:sz w:val="18"/>
                <w:szCs w:val="18"/>
                <w:lang w:eastAsia="es-CO"/>
                <w14:ligatures w14:val="none"/>
              </w:rPr>
            </w:pPr>
            <w:r w:rsidRPr="002E333D">
              <w:rPr>
                <w:rFonts w:eastAsia="Times New Roman" w:cs="Times New Roman"/>
                <w:color w:val="000000"/>
                <w:kern w:val="0"/>
                <w:sz w:val="18"/>
                <w:szCs w:val="18"/>
                <w:lang w:eastAsia="es-CO"/>
                <w14:ligatures w14:val="none"/>
              </w:rPr>
              <w:t>Nuevo Cauca S A S</w:t>
            </w:r>
          </w:p>
        </w:tc>
        <w:tc>
          <w:tcPr>
            <w:tcW w:w="883" w:type="pct"/>
            <w:vAlign w:val="center"/>
            <w:hideMark/>
          </w:tcPr>
          <w:p w14:paraId="03EF17D0" w14:textId="35D7D2C9" w:rsidR="008B35C9" w:rsidRPr="002E333D" w:rsidRDefault="008B35C9" w:rsidP="000A5389">
            <w:pPr>
              <w:spacing w:line="240" w:lineRule="auto"/>
              <w:jc w:val="right"/>
              <w:rPr>
                <w:rFonts w:eastAsia="Times New Roman" w:cs="Times New Roman"/>
                <w:color w:val="000000"/>
                <w:kern w:val="0"/>
                <w:sz w:val="18"/>
                <w:szCs w:val="18"/>
                <w:lang w:eastAsia="es-CO"/>
                <w14:ligatures w14:val="none"/>
              </w:rPr>
            </w:pPr>
            <w:r w:rsidRPr="002E333D">
              <w:rPr>
                <w:rFonts w:eastAsia="Times New Roman" w:cs="Times New Roman"/>
                <w:color w:val="000000"/>
                <w:kern w:val="0"/>
                <w:sz w:val="18"/>
                <w:szCs w:val="18"/>
                <w:lang w:eastAsia="es-CO"/>
                <w14:ligatures w14:val="none"/>
              </w:rPr>
              <w:t>1.097.132.342.560</w:t>
            </w:r>
          </w:p>
        </w:tc>
        <w:tc>
          <w:tcPr>
            <w:tcW w:w="964" w:type="pct"/>
            <w:vAlign w:val="center"/>
            <w:hideMark/>
          </w:tcPr>
          <w:p w14:paraId="06714701" w14:textId="4EBF1BA8" w:rsidR="008B35C9" w:rsidRPr="002E333D" w:rsidRDefault="008B35C9" w:rsidP="000A5389">
            <w:pPr>
              <w:spacing w:line="240" w:lineRule="auto"/>
              <w:jc w:val="right"/>
              <w:rPr>
                <w:rFonts w:eastAsia="Times New Roman" w:cs="Times New Roman"/>
                <w:color w:val="000000"/>
                <w:kern w:val="0"/>
                <w:sz w:val="18"/>
                <w:szCs w:val="18"/>
                <w:lang w:eastAsia="es-CO"/>
                <w14:ligatures w14:val="none"/>
              </w:rPr>
            </w:pPr>
            <w:r w:rsidRPr="002E333D">
              <w:rPr>
                <w:rFonts w:eastAsia="Times New Roman" w:cs="Times New Roman"/>
                <w:color w:val="000000"/>
                <w:kern w:val="0"/>
                <w:sz w:val="18"/>
                <w:szCs w:val="18"/>
                <w:lang w:eastAsia="es-CO"/>
                <w14:ligatures w14:val="none"/>
              </w:rPr>
              <w:t>1.092.671.726.978</w:t>
            </w:r>
          </w:p>
        </w:tc>
        <w:tc>
          <w:tcPr>
            <w:tcW w:w="988" w:type="pct"/>
            <w:vAlign w:val="center"/>
            <w:hideMark/>
          </w:tcPr>
          <w:p w14:paraId="42BDACEE" w14:textId="77777777" w:rsidR="008B35C9" w:rsidRPr="002E333D" w:rsidRDefault="008B35C9" w:rsidP="000A5389">
            <w:pPr>
              <w:spacing w:line="240" w:lineRule="auto"/>
              <w:jc w:val="right"/>
              <w:rPr>
                <w:rFonts w:eastAsia="Times New Roman" w:cs="Times New Roman"/>
                <w:color w:val="000000"/>
                <w:kern w:val="0"/>
                <w:sz w:val="18"/>
                <w:szCs w:val="18"/>
                <w:lang w:eastAsia="es-CO"/>
                <w14:ligatures w14:val="none"/>
              </w:rPr>
            </w:pPr>
            <w:r w:rsidRPr="002E333D">
              <w:rPr>
                <w:rFonts w:eastAsia="Times New Roman" w:cs="Times New Roman"/>
                <w:color w:val="000000"/>
                <w:kern w:val="0"/>
                <w:sz w:val="18"/>
                <w:szCs w:val="18"/>
                <w:lang w:eastAsia="es-CO"/>
                <w14:ligatures w14:val="none"/>
              </w:rPr>
              <w:t xml:space="preserve">          4.460.615.582 </w:t>
            </w:r>
          </w:p>
        </w:tc>
      </w:tr>
      <w:tr w:rsidR="004B0B8A" w:rsidRPr="002E333D" w14:paraId="5A623EF6" w14:textId="77777777" w:rsidTr="004B0B8A">
        <w:trPr>
          <w:trHeight w:val="340"/>
        </w:trPr>
        <w:tc>
          <w:tcPr>
            <w:tcW w:w="560" w:type="pct"/>
            <w:vAlign w:val="center"/>
            <w:hideMark/>
          </w:tcPr>
          <w:p w14:paraId="748B60DF" w14:textId="77777777" w:rsidR="008B35C9" w:rsidRPr="002E333D" w:rsidRDefault="008B35C9" w:rsidP="000A5389">
            <w:pPr>
              <w:spacing w:line="240" w:lineRule="auto"/>
              <w:jc w:val="center"/>
              <w:rPr>
                <w:rFonts w:eastAsia="Times New Roman" w:cs="Times New Roman"/>
                <w:color w:val="000000"/>
                <w:kern w:val="0"/>
                <w:sz w:val="18"/>
                <w:szCs w:val="18"/>
                <w:lang w:eastAsia="es-CO"/>
                <w14:ligatures w14:val="none"/>
              </w:rPr>
            </w:pPr>
            <w:r w:rsidRPr="002E333D">
              <w:rPr>
                <w:rFonts w:eastAsia="Times New Roman" w:cs="Times New Roman"/>
                <w:color w:val="000000"/>
                <w:kern w:val="0"/>
                <w:sz w:val="18"/>
                <w:szCs w:val="18"/>
                <w:lang w:eastAsia="es-CO"/>
                <w14:ligatures w14:val="none"/>
              </w:rPr>
              <w:t>901482899</w:t>
            </w:r>
          </w:p>
        </w:tc>
        <w:tc>
          <w:tcPr>
            <w:tcW w:w="1606" w:type="pct"/>
            <w:vAlign w:val="center"/>
            <w:hideMark/>
          </w:tcPr>
          <w:p w14:paraId="221041B4" w14:textId="4EF87B3A" w:rsidR="008B35C9" w:rsidRPr="002E333D" w:rsidRDefault="004B0B8A" w:rsidP="000A5389">
            <w:pPr>
              <w:spacing w:line="240" w:lineRule="auto"/>
              <w:rPr>
                <w:rFonts w:eastAsia="Times New Roman" w:cs="Times New Roman"/>
                <w:color w:val="000000"/>
                <w:kern w:val="0"/>
                <w:sz w:val="18"/>
                <w:szCs w:val="18"/>
                <w:lang w:eastAsia="es-CO"/>
                <w14:ligatures w14:val="none"/>
              </w:rPr>
            </w:pPr>
            <w:r w:rsidRPr="002E333D">
              <w:rPr>
                <w:rFonts w:eastAsia="Times New Roman" w:cs="Times New Roman"/>
                <w:color w:val="000000"/>
                <w:kern w:val="0"/>
                <w:sz w:val="18"/>
                <w:szCs w:val="18"/>
                <w:lang w:eastAsia="es-CO"/>
                <w14:ligatures w14:val="none"/>
              </w:rPr>
              <w:t>Concesionaria Ruta Al Sur S.A.S.</w:t>
            </w:r>
          </w:p>
        </w:tc>
        <w:tc>
          <w:tcPr>
            <w:tcW w:w="883" w:type="pct"/>
            <w:vAlign w:val="center"/>
            <w:hideMark/>
          </w:tcPr>
          <w:p w14:paraId="64B54A9D" w14:textId="27C00575" w:rsidR="008B35C9" w:rsidRPr="002E333D" w:rsidRDefault="008B35C9" w:rsidP="000A5389">
            <w:pPr>
              <w:spacing w:line="240" w:lineRule="auto"/>
              <w:jc w:val="right"/>
              <w:rPr>
                <w:rFonts w:eastAsia="Times New Roman" w:cs="Times New Roman"/>
                <w:color w:val="000000"/>
                <w:kern w:val="0"/>
                <w:sz w:val="18"/>
                <w:szCs w:val="18"/>
                <w:lang w:eastAsia="es-CO"/>
                <w14:ligatures w14:val="none"/>
              </w:rPr>
            </w:pPr>
            <w:r w:rsidRPr="002E333D">
              <w:rPr>
                <w:rFonts w:eastAsia="Times New Roman" w:cs="Times New Roman"/>
                <w:color w:val="000000"/>
                <w:kern w:val="0"/>
                <w:sz w:val="18"/>
                <w:szCs w:val="18"/>
                <w:lang w:eastAsia="es-CO"/>
                <w14:ligatures w14:val="none"/>
              </w:rPr>
              <w:t>815.996.046.075</w:t>
            </w:r>
          </w:p>
        </w:tc>
        <w:tc>
          <w:tcPr>
            <w:tcW w:w="964" w:type="pct"/>
            <w:vAlign w:val="center"/>
            <w:hideMark/>
          </w:tcPr>
          <w:p w14:paraId="19FC5A08" w14:textId="6A45FE24" w:rsidR="008B35C9" w:rsidRPr="002E333D" w:rsidRDefault="008B35C9" w:rsidP="000A5389">
            <w:pPr>
              <w:spacing w:line="240" w:lineRule="auto"/>
              <w:jc w:val="right"/>
              <w:rPr>
                <w:rFonts w:eastAsia="Times New Roman" w:cs="Times New Roman"/>
                <w:color w:val="000000"/>
                <w:kern w:val="0"/>
                <w:sz w:val="18"/>
                <w:szCs w:val="18"/>
                <w:lang w:eastAsia="es-CO"/>
                <w14:ligatures w14:val="none"/>
              </w:rPr>
            </w:pPr>
            <w:r w:rsidRPr="002E333D">
              <w:rPr>
                <w:rFonts w:eastAsia="Times New Roman" w:cs="Times New Roman"/>
                <w:color w:val="000000"/>
                <w:kern w:val="0"/>
                <w:sz w:val="18"/>
                <w:szCs w:val="18"/>
                <w:lang w:eastAsia="es-CO"/>
                <w14:ligatures w14:val="none"/>
              </w:rPr>
              <w:t>972.527.252.696</w:t>
            </w:r>
          </w:p>
        </w:tc>
        <w:tc>
          <w:tcPr>
            <w:tcW w:w="988" w:type="pct"/>
            <w:vAlign w:val="center"/>
            <w:hideMark/>
          </w:tcPr>
          <w:p w14:paraId="01169517" w14:textId="77777777" w:rsidR="008B35C9" w:rsidRPr="002E333D" w:rsidRDefault="008B35C9" w:rsidP="000A5389">
            <w:pPr>
              <w:spacing w:line="240" w:lineRule="auto"/>
              <w:jc w:val="right"/>
              <w:rPr>
                <w:rFonts w:eastAsia="Times New Roman" w:cs="Times New Roman"/>
                <w:color w:val="000000"/>
                <w:kern w:val="0"/>
                <w:sz w:val="18"/>
                <w:szCs w:val="18"/>
                <w:lang w:eastAsia="es-CO"/>
                <w14:ligatures w14:val="none"/>
              </w:rPr>
            </w:pPr>
            <w:r w:rsidRPr="002E333D">
              <w:rPr>
                <w:rFonts w:eastAsia="Times New Roman" w:cs="Times New Roman"/>
                <w:color w:val="000000"/>
                <w:kern w:val="0"/>
                <w:sz w:val="18"/>
                <w:szCs w:val="18"/>
                <w:lang w:eastAsia="es-CO"/>
                <w14:ligatures w14:val="none"/>
              </w:rPr>
              <w:t xml:space="preserve">-     156.531.206.621 </w:t>
            </w:r>
          </w:p>
        </w:tc>
      </w:tr>
      <w:tr w:rsidR="004B0B8A" w:rsidRPr="002E333D" w14:paraId="5C3FEA49" w14:textId="77777777" w:rsidTr="004B0B8A">
        <w:trPr>
          <w:trHeight w:val="340"/>
        </w:trPr>
        <w:tc>
          <w:tcPr>
            <w:tcW w:w="560" w:type="pct"/>
            <w:vAlign w:val="center"/>
            <w:hideMark/>
          </w:tcPr>
          <w:p w14:paraId="061658A3" w14:textId="77777777" w:rsidR="008B35C9" w:rsidRPr="002E333D" w:rsidRDefault="008B35C9" w:rsidP="000A5389">
            <w:pPr>
              <w:spacing w:line="240" w:lineRule="auto"/>
              <w:jc w:val="center"/>
              <w:rPr>
                <w:rFonts w:eastAsia="Times New Roman" w:cs="Times New Roman"/>
                <w:color w:val="000000"/>
                <w:kern w:val="0"/>
                <w:sz w:val="18"/>
                <w:szCs w:val="18"/>
                <w:lang w:eastAsia="es-CO"/>
                <w14:ligatures w14:val="none"/>
              </w:rPr>
            </w:pPr>
            <w:r w:rsidRPr="002E333D">
              <w:rPr>
                <w:rFonts w:eastAsia="Times New Roman" w:cs="Times New Roman"/>
                <w:color w:val="000000"/>
                <w:kern w:val="0"/>
                <w:sz w:val="18"/>
                <w:szCs w:val="18"/>
                <w:lang w:eastAsia="es-CO"/>
                <w14:ligatures w14:val="none"/>
              </w:rPr>
              <w:t>900761657</w:t>
            </w:r>
          </w:p>
        </w:tc>
        <w:tc>
          <w:tcPr>
            <w:tcW w:w="1606" w:type="pct"/>
            <w:vAlign w:val="center"/>
            <w:hideMark/>
          </w:tcPr>
          <w:p w14:paraId="2253080F" w14:textId="479DC4F9" w:rsidR="008B35C9" w:rsidRPr="002E333D" w:rsidRDefault="004B0B8A" w:rsidP="000A5389">
            <w:pPr>
              <w:spacing w:line="240" w:lineRule="auto"/>
              <w:rPr>
                <w:rFonts w:eastAsia="Times New Roman" w:cs="Times New Roman"/>
                <w:color w:val="000000"/>
                <w:kern w:val="0"/>
                <w:sz w:val="18"/>
                <w:szCs w:val="18"/>
                <w:lang w:eastAsia="es-CO"/>
                <w14:ligatures w14:val="none"/>
              </w:rPr>
            </w:pPr>
            <w:r w:rsidRPr="002E333D">
              <w:rPr>
                <w:rFonts w:eastAsia="Times New Roman" w:cs="Times New Roman"/>
                <w:color w:val="000000"/>
                <w:kern w:val="0"/>
                <w:sz w:val="18"/>
                <w:szCs w:val="18"/>
                <w:lang w:eastAsia="es-CO"/>
                <w14:ligatures w14:val="none"/>
              </w:rPr>
              <w:t xml:space="preserve">Perimetral Oriental De </w:t>
            </w:r>
            <w:r w:rsidR="00804632" w:rsidRPr="002E333D">
              <w:rPr>
                <w:rFonts w:eastAsia="Times New Roman" w:cs="Times New Roman"/>
                <w:color w:val="000000"/>
                <w:kern w:val="0"/>
                <w:sz w:val="18"/>
                <w:szCs w:val="18"/>
                <w:lang w:eastAsia="es-CO"/>
                <w14:ligatures w14:val="none"/>
              </w:rPr>
              <w:t>Bogotá</w:t>
            </w:r>
            <w:r w:rsidRPr="002E333D">
              <w:rPr>
                <w:rFonts w:eastAsia="Times New Roman" w:cs="Times New Roman"/>
                <w:color w:val="000000"/>
                <w:kern w:val="0"/>
                <w:sz w:val="18"/>
                <w:szCs w:val="18"/>
                <w:lang w:eastAsia="es-CO"/>
                <w14:ligatures w14:val="none"/>
              </w:rPr>
              <w:t xml:space="preserve"> Sas</w:t>
            </w:r>
          </w:p>
        </w:tc>
        <w:tc>
          <w:tcPr>
            <w:tcW w:w="883" w:type="pct"/>
            <w:vAlign w:val="center"/>
            <w:hideMark/>
          </w:tcPr>
          <w:p w14:paraId="6668ECAE" w14:textId="5AC3EB60" w:rsidR="008B35C9" w:rsidRPr="002E333D" w:rsidRDefault="008B35C9" w:rsidP="000A5389">
            <w:pPr>
              <w:spacing w:line="240" w:lineRule="auto"/>
              <w:jc w:val="right"/>
              <w:rPr>
                <w:rFonts w:eastAsia="Times New Roman" w:cs="Times New Roman"/>
                <w:color w:val="000000"/>
                <w:kern w:val="0"/>
                <w:sz w:val="18"/>
                <w:szCs w:val="18"/>
                <w:lang w:eastAsia="es-CO"/>
                <w14:ligatures w14:val="none"/>
              </w:rPr>
            </w:pPr>
            <w:r w:rsidRPr="002E333D">
              <w:rPr>
                <w:rFonts w:eastAsia="Times New Roman" w:cs="Times New Roman"/>
                <w:color w:val="000000"/>
                <w:kern w:val="0"/>
                <w:sz w:val="18"/>
                <w:szCs w:val="18"/>
                <w:lang w:eastAsia="es-CO"/>
                <w14:ligatures w14:val="none"/>
              </w:rPr>
              <w:t>678.150.204.626</w:t>
            </w:r>
          </w:p>
        </w:tc>
        <w:tc>
          <w:tcPr>
            <w:tcW w:w="964" w:type="pct"/>
            <w:vAlign w:val="center"/>
            <w:hideMark/>
          </w:tcPr>
          <w:p w14:paraId="624CC91E" w14:textId="1BB4AE01" w:rsidR="008B35C9" w:rsidRPr="002E333D" w:rsidRDefault="008B35C9" w:rsidP="000A5389">
            <w:pPr>
              <w:spacing w:line="240" w:lineRule="auto"/>
              <w:jc w:val="right"/>
              <w:rPr>
                <w:rFonts w:eastAsia="Times New Roman" w:cs="Times New Roman"/>
                <w:color w:val="000000"/>
                <w:kern w:val="0"/>
                <w:sz w:val="18"/>
                <w:szCs w:val="18"/>
                <w:lang w:eastAsia="es-CO"/>
                <w14:ligatures w14:val="none"/>
              </w:rPr>
            </w:pPr>
            <w:r w:rsidRPr="002E333D">
              <w:rPr>
                <w:rFonts w:eastAsia="Times New Roman" w:cs="Times New Roman"/>
                <w:color w:val="000000"/>
                <w:kern w:val="0"/>
                <w:sz w:val="18"/>
                <w:szCs w:val="18"/>
                <w:lang w:eastAsia="es-CO"/>
                <w14:ligatures w14:val="none"/>
              </w:rPr>
              <w:t>1.053.401.179.413</w:t>
            </w:r>
          </w:p>
        </w:tc>
        <w:tc>
          <w:tcPr>
            <w:tcW w:w="988" w:type="pct"/>
            <w:vAlign w:val="center"/>
            <w:hideMark/>
          </w:tcPr>
          <w:p w14:paraId="36CC720B" w14:textId="77777777" w:rsidR="008B35C9" w:rsidRPr="002E333D" w:rsidRDefault="008B35C9" w:rsidP="000A5389">
            <w:pPr>
              <w:spacing w:line="240" w:lineRule="auto"/>
              <w:jc w:val="right"/>
              <w:rPr>
                <w:rFonts w:eastAsia="Times New Roman" w:cs="Times New Roman"/>
                <w:color w:val="000000"/>
                <w:kern w:val="0"/>
                <w:sz w:val="18"/>
                <w:szCs w:val="18"/>
                <w:lang w:eastAsia="es-CO"/>
                <w14:ligatures w14:val="none"/>
              </w:rPr>
            </w:pPr>
            <w:r w:rsidRPr="002E333D">
              <w:rPr>
                <w:rFonts w:eastAsia="Times New Roman" w:cs="Times New Roman"/>
                <w:color w:val="000000"/>
                <w:kern w:val="0"/>
                <w:sz w:val="18"/>
                <w:szCs w:val="18"/>
                <w:lang w:eastAsia="es-CO"/>
                <w14:ligatures w14:val="none"/>
              </w:rPr>
              <w:t xml:space="preserve">-     375.250.974.786 </w:t>
            </w:r>
          </w:p>
        </w:tc>
      </w:tr>
      <w:tr w:rsidR="004B0B8A" w:rsidRPr="002E333D" w14:paraId="02B93F13" w14:textId="77777777" w:rsidTr="004B0B8A">
        <w:trPr>
          <w:trHeight w:val="340"/>
        </w:trPr>
        <w:tc>
          <w:tcPr>
            <w:tcW w:w="560" w:type="pct"/>
            <w:vAlign w:val="center"/>
            <w:hideMark/>
          </w:tcPr>
          <w:p w14:paraId="1B0BC7A4" w14:textId="77777777" w:rsidR="008B35C9" w:rsidRPr="002E333D" w:rsidRDefault="008B35C9" w:rsidP="000A5389">
            <w:pPr>
              <w:spacing w:line="240" w:lineRule="auto"/>
              <w:jc w:val="center"/>
              <w:rPr>
                <w:rFonts w:eastAsia="Times New Roman" w:cs="Times New Roman"/>
                <w:color w:val="000000"/>
                <w:kern w:val="0"/>
                <w:sz w:val="18"/>
                <w:szCs w:val="18"/>
                <w:lang w:eastAsia="es-CO"/>
                <w14:ligatures w14:val="none"/>
              </w:rPr>
            </w:pPr>
            <w:r w:rsidRPr="002E333D">
              <w:rPr>
                <w:rFonts w:eastAsia="Times New Roman" w:cs="Times New Roman"/>
                <w:color w:val="000000"/>
                <w:kern w:val="0"/>
                <w:sz w:val="18"/>
                <w:szCs w:val="18"/>
                <w:lang w:eastAsia="es-CO"/>
                <w14:ligatures w14:val="none"/>
              </w:rPr>
              <w:t>900972713</w:t>
            </w:r>
          </w:p>
        </w:tc>
        <w:tc>
          <w:tcPr>
            <w:tcW w:w="1606" w:type="pct"/>
            <w:vAlign w:val="center"/>
            <w:hideMark/>
          </w:tcPr>
          <w:p w14:paraId="2DF69F3E" w14:textId="7610D164" w:rsidR="008B35C9" w:rsidRPr="002E333D" w:rsidRDefault="004B0B8A" w:rsidP="000A5389">
            <w:pPr>
              <w:spacing w:line="240" w:lineRule="auto"/>
              <w:rPr>
                <w:rFonts w:eastAsia="Times New Roman" w:cs="Times New Roman"/>
                <w:color w:val="000000"/>
                <w:kern w:val="0"/>
                <w:sz w:val="18"/>
                <w:szCs w:val="18"/>
                <w:lang w:eastAsia="es-CO"/>
                <w14:ligatures w14:val="none"/>
              </w:rPr>
            </w:pPr>
            <w:r w:rsidRPr="002E333D">
              <w:rPr>
                <w:rFonts w:eastAsia="Times New Roman" w:cs="Times New Roman"/>
                <w:color w:val="000000"/>
                <w:kern w:val="0"/>
                <w:sz w:val="18"/>
                <w:szCs w:val="18"/>
                <w:lang w:eastAsia="es-CO"/>
                <w14:ligatures w14:val="none"/>
              </w:rPr>
              <w:t>Autovía Bucaramanga Pamplona S.A.S</w:t>
            </w:r>
          </w:p>
        </w:tc>
        <w:tc>
          <w:tcPr>
            <w:tcW w:w="883" w:type="pct"/>
            <w:vAlign w:val="center"/>
            <w:hideMark/>
          </w:tcPr>
          <w:p w14:paraId="6947DDFF" w14:textId="49B0D400" w:rsidR="008B35C9" w:rsidRPr="002E333D" w:rsidRDefault="008B35C9" w:rsidP="000A5389">
            <w:pPr>
              <w:spacing w:line="240" w:lineRule="auto"/>
              <w:jc w:val="right"/>
              <w:rPr>
                <w:rFonts w:eastAsia="Times New Roman" w:cs="Times New Roman"/>
                <w:color w:val="000000"/>
                <w:kern w:val="0"/>
                <w:sz w:val="18"/>
                <w:szCs w:val="18"/>
                <w:lang w:eastAsia="es-CO"/>
                <w14:ligatures w14:val="none"/>
              </w:rPr>
            </w:pPr>
            <w:r w:rsidRPr="002E333D">
              <w:rPr>
                <w:rFonts w:eastAsia="Times New Roman" w:cs="Times New Roman"/>
                <w:color w:val="000000"/>
                <w:kern w:val="0"/>
                <w:sz w:val="18"/>
                <w:szCs w:val="18"/>
                <w:lang w:eastAsia="es-CO"/>
                <w14:ligatures w14:val="none"/>
              </w:rPr>
              <w:t>643.550.703.595</w:t>
            </w:r>
          </w:p>
        </w:tc>
        <w:tc>
          <w:tcPr>
            <w:tcW w:w="964" w:type="pct"/>
            <w:vAlign w:val="center"/>
            <w:hideMark/>
          </w:tcPr>
          <w:p w14:paraId="051C5CA0" w14:textId="27C72FCE" w:rsidR="008B35C9" w:rsidRPr="002E333D" w:rsidRDefault="008B35C9" w:rsidP="000A5389">
            <w:pPr>
              <w:spacing w:line="240" w:lineRule="auto"/>
              <w:jc w:val="right"/>
              <w:rPr>
                <w:rFonts w:eastAsia="Times New Roman" w:cs="Times New Roman"/>
                <w:color w:val="000000"/>
                <w:kern w:val="0"/>
                <w:sz w:val="18"/>
                <w:szCs w:val="18"/>
                <w:lang w:eastAsia="es-CO"/>
                <w14:ligatures w14:val="none"/>
              </w:rPr>
            </w:pPr>
            <w:r w:rsidRPr="002E333D">
              <w:rPr>
                <w:rFonts w:eastAsia="Times New Roman" w:cs="Times New Roman"/>
                <w:color w:val="000000"/>
                <w:kern w:val="0"/>
                <w:sz w:val="18"/>
                <w:szCs w:val="18"/>
                <w:lang w:eastAsia="es-CO"/>
                <w14:ligatures w14:val="none"/>
              </w:rPr>
              <w:t>642.627.252.159</w:t>
            </w:r>
          </w:p>
        </w:tc>
        <w:tc>
          <w:tcPr>
            <w:tcW w:w="988" w:type="pct"/>
            <w:vAlign w:val="center"/>
            <w:hideMark/>
          </w:tcPr>
          <w:p w14:paraId="2C1A2990" w14:textId="77777777" w:rsidR="008B35C9" w:rsidRPr="002E333D" w:rsidRDefault="008B35C9" w:rsidP="000A5389">
            <w:pPr>
              <w:spacing w:line="240" w:lineRule="auto"/>
              <w:jc w:val="right"/>
              <w:rPr>
                <w:rFonts w:eastAsia="Times New Roman" w:cs="Times New Roman"/>
                <w:color w:val="000000"/>
                <w:kern w:val="0"/>
                <w:sz w:val="18"/>
                <w:szCs w:val="18"/>
                <w:lang w:eastAsia="es-CO"/>
                <w14:ligatures w14:val="none"/>
              </w:rPr>
            </w:pPr>
            <w:r w:rsidRPr="002E333D">
              <w:rPr>
                <w:rFonts w:eastAsia="Times New Roman" w:cs="Times New Roman"/>
                <w:color w:val="000000"/>
                <w:kern w:val="0"/>
                <w:sz w:val="18"/>
                <w:szCs w:val="18"/>
                <w:lang w:eastAsia="es-CO"/>
                <w14:ligatures w14:val="none"/>
              </w:rPr>
              <w:t xml:space="preserve">             923.451.436 </w:t>
            </w:r>
          </w:p>
        </w:tc>
      </w:tr>
      <w:tr w:rsidR="004B0B8A" w:rsidRPr="002E333D" w14:paraId="6589DBE8" w14:textId="77777777" w:rsidTr="004B0B8A">
        <w:trPr>
          <w:trHeight w:val="340"/>
        </w:trPr>
        <w:tc>
          <w:tcPr>
            <w:tcW w:w="560" w:type="pct"/>
            <w:vAlign w:val="center"/>
            <w:hideMark/>
          </w:tcPr>
          <w:p w14:paraId="17B57380" w14:textId="77777777" w:rsidR="008B35C9" w:rsidRPr="002E333D" w:rsidRDefault="008B35C9" w:rsidP="000A5389">
            <w:pPr>
              <w:spacing w:line="240" w:lineRule="auto"/>
              <w:jc w:val="center"/>
              <w:rPr>
                <w:rFonts w:eastAsia="Times New Roman" w:cs="Times New Roman"/>
                <w:color w:val="000000"/>
                <w:kern w:val="0"/>
                <w:sz w:val="18"/>
                <w:szCs w:val="18"/>
                <w:lang w:eastAsia="es-CO"/>
                <w14:ligatures w14:val="none"/>
              </w:rPr>
            </w:pPr>
            <w:r w:rsidRPr="002E333D">
              <w:rPr>
                <w:rFonts w:eastAsia="Times New Roman" w:cs="Times New Roman"/>
                <w:color w:val="000000"/>
                <w:kern w:val="0"/>
                <w:sz w:val="18"/>
                <w:szCs w:val="18"/>
                <w:lang w:eastAsia="es-CO"/>
                <w14:ligatures w14:val="none"/>
              </w:rPr>
              <w:t>901602085</w:t>
            </w:r>
          </w:p>
        </w:tc>
        <w:tc>
          <w:tcPr>
            <w:tcW w:w="1606" w:type="pct"/>
            <w:vAlign w:val="center"/>
            <w:hideMark/>
          </w:tcPr>
          <w:p w14:paraId="271CC6CD" w14:textId="507E7F35" w:rsidR="008B35C9" w:rsidRPr="002E333D" w:rsidRDefault="004B0B8A" w:rsidP="000A5389">
            <w:pPr>
              <w:spacing w:line="240" w:lineRule="auto"/>
              <w:rPr>
                <w:rFonts w:eastAsia="Times New Roman" w:cs="Times New Roman"/>
                <w:color w:val="000000"/>
                <w:kern w:val="0"/>
                <w:sz w:val="18"/>
                <w:szCs w:val="18"/>
                <w:lang w:eastAsia="es-CO"/>
                <w14:ligatures w14:val="none"/>
              </w:rPr>
            </w:pPr>
            <w:r w:rsidRPr="002E333D">
              <w:rPr>
                <w:rFonts w:eastAsia="Times New Roman" w:cs="Times New Roman"/>
                <w:color w:val="000000"/>
                <w:kern w:val="0"/>
                <w:sz w:val="18"/>
                <w:szCs w:val="18"/>
                <w:lang w:eastAsia="es-CO"/>
                <w14:ligatures w14:val="none"/>
              </w:rPr>
              <w:t>Autopista Magdalena Medio Sas</w:t>
            </w:r>
          </w:p>
        </w:tc>
        <w:tc>
          <w:tcPr>
            <w:tcW w:w="883" w:type="pct"/>
            <w:vAlign w:val="center"/>
            <w:hideMark/>
          </w:tcPr>
          <w:p w14:paraId="16037407" w14:textId="2D7F2938" w:rsidR="008B35C9" w:rsidRPr="002E333D" w:rsidRDefault="008B35C9" w:rsidP="000A5389">
            <w:pPr>
              <w:spacing w:line="240" w:lineRule="auto"/>
              <w:jc w:val="right"/>
              <w:rPr>
                <w:rFonts w:eastAsia="Times New Roman" w:cs="Times New Roman"/>
                <w:color w:val="000000"/>
                <w:kern w:val="0"/>
                <w:sz w:val="18"/>
                <w:szCs w:val="18"/>
                <w:lang w:eastAsia="es-CO"/>
                <w14:ligatures w14:val="none"/>
              </w:rPr>
            </w:pPr>
            <w:r w:rsidRPr="002E333D">
              <w:rPr>
                <w:rFonts w:eastAsia="Times New Roman" w:cs="Times New Roman"/>
                <w:color w:val="000000"/>
                <w:kern w:val="0"/>
                <w:sz w:val="18"/>
                <w:szCs w:val="18"/>
                <w:lang w:eastAsia="es-CO"/>
                <w14:ligatures w14:val="none"/>
              </w:rPr>
              <w:t>527.458.690.505</w:t>
            </w:r>
          </w:p>
        </w:tc>
        <w:tc>
          <w:tcPr>
            <w:tcW w:w="964" w:type="pct"/>
            <w:vAlign w:val="center"/>
            <w:hideMark/>
          </w:tcPr>
          <w:p w14:paraId="1D86E3F2" w14:textId="3614884D" w:rsidR="008B35C9" w:rsidRPr="002E333D" w:rsidRDefault="008B35C9" w:rsidP="000A5389">
            <w:pPr>
              <w:spacing w:line="240" w:lineRule="auto"/>
              <w:jc w:val="right"/>
              <w:rPr>
                <w:rFonts w:eastAsia="Times New Roman" w:cs="Times New Roman"/>
                <w:color w:val="000000"/>
                <w:kern w:val="0"/>
                <w:sz w:val="18"/>
                <w:szCs w:val="18"/>
                <w:lang w:eastAsia="es-CO"/>
                <w14:ligatures w14:val="none"/>
              </w:rPr>
            </w:pPr>
            <w:r w:rsidRPr="002E333D">
              <w:rPr>
                <w:rFonts w:eastAsia="Times New Roman" w:cs="Times New Roman"/>
                <w:color w:val="000000"/>
                <w:kern w:val="0"/>
                <w:sz w:val="18"/>
                <w:szCs w:val="18"/>
                <w:lang w:eastAsia="es-CO"/>
                <w14:ligatures w14:val="none"/>
              </w:rPr>
              <w:t>527.458.690.505</w:t>
            </w:r>
          </w:p>
        </w:tc>
        <w:tc>
          <w:tcPr>
            <w:tcW w:w="988" w:type="pct"/>
            <w:vAlign w:val="center"/>
            <w:hideMark/>
          </w:tcPr>
          <w:p w14:paraId="5AE3859E" w14:textId="77777777" w:rsidR="008B35C9" w:rsidRPr="002E333D" w:rsidRDefault="008B35C9" w:rsidP="000A5389">
            <w:pPr>
              <w:spacing w:line="240" w:lineRule="auto"/>
              <w:jc w:val="right"/>
              <w:rPr>
                <w:rFonts w:eastAsia="Times New Roman" w:cs="Times New Roman"/>
                <w:color w:val="000000"/>
                <w:kern w:val="0"/>
                <w:sz w:val="18"/>
                <w:szCs w:val="18"/>
                <w:lang w:eastAsia="es-CO"/>
                <w14:ligatures w14:val="none"/>
              </w:rPr>
            </w:pPr>
            <w:r w:rsidRPr="002E333D">
              <w:rPr>
                <w:rFonts w:eastAsia="Times New Roman" w:cs="Times New Roman"/>
                <w:color w:val="000000"/>
                <w:kern w:val="0"/>
                <w:sz w:val="18"/>
                <w:szCs w:val="18"/>
                <w:lang w:eastAsia="es-CO"/>
                <w14:ligatures w14:val="none"/>
              </w:rPr>
              <w:t xml:space="preserve">                              -   </w:t>
            </w:r>
          </w:p>
        </w:tc>
      </w:tr>
      <w:tr w:rsidR="004B0B8A" w:rsidRPr="002E333D" w14:paraId="0D838812" w14:textId="77777777" w:rsidTr="004B0B8A">
        <w:trPr>
          <w:trHeight w:val="340"/>
        </w:trPr>
        <w:tc>
          <w:tcPr>
            <w:tcW w:w="560" w:type="pct"/>
            <w:vAlign w:val="center"/>
            <w:hideMark/>
          </w:tcPr>
          <w:p w14:paraId="74C6477E" w14:textId="77777777" w:rsidR="008B35C9" w:rsidRPr="002E333D" w:rsidRDefault="008B35C9" w:rsidP="000A5389">
            <w:pPr>
              <w:spacing w:line="240" w:lineRule="auto"/>
              <w:jc w:val="center"/>
              <w:rPr>
                <w:rFonts w:eastAsia="Times New Roman" w:cs="Times New Roman"/>
                <w:color w:val="000000"/>
                <w:kern w:val="0"/>
                <w:sz w:val="18"/>
                <w:szCs w:val="18"/>
                <w:lang w:eastAsia="es-CO"/>
                <w14:ligatures w14:val="none"/>
              </w:rPr>
            </w:pPr>
            <w:r w:rsidRPr="002E333D">
              <w:rPr>
                <w:rFonts w:eastAsia="Times New Roman" w:cs="Times New Roman"/>
                <w:color w:val="000000"/>
                <w:kern w:val="0"/>
                <w:sz w:val="18"/>
                <w:szCs w:val="18"/>
                <w:lang w:eastAsia="es-CO"/>
                <w14:ligatures w14:val="none"/>
              </w:rPr>
              <w:t>900902591</w:t>
            </w:r>
          </w:p>
        </w:tc>
        <w:tc>
          <w:tcPr>
            <w:tcW w:w="1606" w:type="pct"/>
            <w:vAlign w:val="center"/>
            <w:hideMark/>
          </w:tcPr>
          <w:p w14:paraId="75B1A268" w14:textId="5D3A9123" w:rsidR="008B35C9" w:rsidRPr="002E333D" w:rsidRDefault="004B0B8A" w:rsidP="000A5389">
            <w:pPr>
              <w:spacing w:line="240" w:lineRule="auto"/>
              <w:rPr>
                <w:rFonts w:eastAsia="Times New Roman" w:cs="Times New Roman"/>
                <w:color w:val="000000"/>
                <w:kern w:val="0"/>
                <w:sz w:val="18"/>
                <w:szCs w:val="18"/>
                <w:lang w:eastAsia="es-CO"/>
                <w14:ligatures w14:val="none"/>
              </w:rPr>
            </w:pPr>
            <w:r w:rsidRPr="002E333D">
              <w:rPr>
                <w:rFonts w:eastAsia="Times New Roman" w:cs="Times New Roman"/>
                <w:color w:val="000000"/>
                <w:kern w:val="0"/>
                <w:sz w:val="18"/>
                <w:szCs w:val="18"/>
                <w:lang w:eastAsia="es-CO"/>
                <w14:ligatures w14:val="none"/>
              </w:rPr>
              <w:t xml:space="preserve">Autopistas   </w:t>
            </w:r>
            <w:r w:rsidR="00804632" w:rsidRPr="002E333D">
              <w:rPr>
                <w:rFonts w:eastAsia="Times New Roman" w:cs="Times New Roman"/>
                <w:color w:val="000000"/>
                <w:kern w:val="0"/>
                <w:sz w:val="18"/>
                <w:szCs w:val="18"/>
                <w:lang w:eastAsia="es-CO"/>
                <w14:ligatures w14:val="none"/>
              </w:rPr>
              <w:t>Urabá</w:t>
            </w:r>
            <w:r w:rsidRPr="002E333D">
              <w:rPr>
                <w:rFonts w:eastAsia="Times New Roman" w:cs="Times New Roman"/>
                <w:color w:val="000000"/>
                <w:kern w:val="0"/>
                <w:sz w:val="18"/>
                <w:szCs w:val="18"/>
                <w:lang w:eastAsia="es-CO"/>
                <w14:ligatures w14:val="none"/>
              </w:rPr>
              <w:t xml:space="preserve">   Sas</w:t>
            </w:r>
          </w:p>
        </w:tc>
        <w:tc>
          <w:tcPr>
            <w:tcW w:w="883" w:type="pct"/>
            <w:vAlign w:val="center"/>
            <w:hideMark/>
          </w:tcPr>
          <w:p w14:paraId="3AB076E1" w14:textId="0776D0B3" w:rsidR="008B35C9" w:rsidRPr="002E333D" w:rsidRDefault="008B35C9" w:rsidP="000A5389">
            <w:pPr>
              <w:spacing w:line="240" w:lineRule="auto"/>
              <w:jc w:val="right"/>
              <w:rPr>
                <w:rFonts w:eastAsia="Times New Roman" w:cs="Times New Roman"/>
                <w:color w:val="000000"/>
                <w:kern w:val="0"/>
                <w:sz w:val="18"/>
                <w:szCs w:val="18"/>
                <w:lang w:eastAsia="es-CO"/>
                <w14:ligatures w14:val="none"/>
              </w:rPr>
            </w:pPr>
            <w:r w:rsidRPr="002E333D">
              <w:rPr>
                <w:rFonts w:eastAsia="Times New Roman" w:cs="Times New Roman"/>
                <w:color w:val="000000"/>
                <w:kern w:val="0"/>
                <w:sz w:val="18"/>
                <w:szCs w:val="18"/>
                <w:lang w:eastAsia="es-CO"/>
                <w14:ligatures w14:val="none"/>
              </w:rPr>
              <w:t>388.085.721.498</w:t>
            </w:r>
          </w:p>
        </w:tc>
        <w:tc>
          <w:tcPr>
            <w:tcW w:w="964" w:type="pct"/>
            <w:vAlign w:val="center"/>
            <w:hideMark/>
          </w:tcPr>
          <w:p w14:paraId="1ECD5C66" w14:textId="5A22E4FF" w:rsidR="008B35C9" w:rsidRPr="002E333D" w:rsidRDefault="008B35C9" w:rsidP="000A5389">
            <w:pPr>
              <w:spacing w:line="240" w:lineRule="auto"/>
              <w:jc w:val="right"/>
              <w:rPr>
                <w:rFonts w:eastAsia="Times New Roman" w:cs="Times New Roman"/>
                <w:color w:val="000000"/>
                <w:kern w:val="0"/>
                <w:sz w:val="18"/>
                <w:szCs w:val="18"/>
                <w:lang w:eastAsia="es-CO"/>
                <w14:ligatures w14:val="none"/>
              </w:rPr>
            </w:pPr>
            <w:r w:rsidRPr="002E333D">
              <w:rPr>
                <w:rFonts w:eastAsia="Times New Roman" w:cs="Times New Roman"/>
                <w:color w:val="000000"/>
                <w:kern w:val="0"/>
                <w:sz w:val="18"/>
                <w:szCs w:val="18"/>
                <w:lang w:eastAsia="es-CO"/>
                <w14:ligatures w14:val="none"/>
              </w:rPr>
              <w:t>1.151.030.534.092</w:t>
            </w:r>
          </w:p>
        </w:tc>
        <w:tc>
          <w:tcPr>
            <w:tcW w:w="988" w:type="pct"/>
            <w:vAlign w:val="center"/>
            <w:hideMark/>
          </w:tcPr>
          <w:p w14:paraId="475E738B" w14:textId="77777777" w:rsidR="008B35C9" w:rsidRPr="002E333D" w:rsidRDefault="008B35C9" w:rsidP="000A5389">
            <w:pPr>
              <w:spacing w:line="240" w:lineRule="auto"/>
              <w:jc w:val="right"/>
              <w:rPr>
                <w:rFonts w:eastAsia="Times New Roman" w:cs="Times New Roman"/>
                <w:color w:val="000000"/>
                <w:kern w:val="0"/>
                <w:sz w:val="18"/>
                <w:szCs w:val="18"/>
                <w:lang w:eastAsia="es-CO"/>
                <w14:ligatures w14:val="none"/>
              </w:rPr>
            </w:pPr>
            <w:r w:rsidRPr="002E333D">
              <w:rPr>
                <w:rFonts w:eastAsia="Times New Roman" w:cs="Times New Roman"/>
                <w:color w:val="000000"/>
                <w:kern w:val="0"/>
                <w:sz w:val="18"/>
                <w:szCs w:val="18"/>
                <w:lang w:eastAsia="es-CO"/>
                <w14:ligatures w14:val="none"/>
              </w:rPr>
              <w:t xml:space="preserve">-     762.944.812.595 </w:t>
            </w:r>
          </w:p>
        </w:tc>
      </w:tr>
      <w:tr w:rsidR="004B0B8A" w:rsidRPr="002E333D" w14:paraId="7CF10441" w14:textId="77777777" w:rsidTr="004B0B8A">
        <w:trPr>
          <w:trHeight w:val="340"/>
        </w:trPr>
        <w:tc>
          <w:tcPr>
            <w:tcW w:w="560" w:type="pct"/>
            <w:vAlign w:val="center"/>
            <w:hideMark/>
          </w:tcPr>
          <w:p w14:paraId="0A07D596" w14:textId="77777777" w:rsidR="008B35C9" w:rsidRPr="002E333D" w:rsidRDefault="008B35C9" w:rsidP="000A5389">
            <w:pPr>
              <w:spacing w:line="240" w:lineRule="auto"/>
              <w:jc w:val="center"/>
              <w:rPr>
                <w:rFonts w:eastAsia="Times New Roman" w:cs="Times New Roman"/>
                <w:color w:val="000000"/>
                <w:kern w:val="0"/>
                <w:sz w:val="18"/>
                <w:szCs w:val="18"/>
                <w:lang w:eastAsia="es-CO"/>
                <w14:ligatures w14:val="none"/>
              </w:rPr>
            </w:pPr>
            <w:r w:rsidRPr="002E333D">
              <w:rPr>
                <w:rFonts w:eastAsia="Times New Roman" w:cs="Times New Roman"/>
                <w:color w:val="000000"/>
                <w:kern w:val="0"/>
                <w:sz w:val="18"/>
                <w:szCs w:val="18"/>
                <w:lang w:eastAsia="es-CO"/>
                <w14:ligatures w14:val="none"/>
              </w:rPr>
              <w:t>900862215</w:t>
            </w:r>
          </w:p>
        </w:tc>
        <w:tc>
          <w:tcPr>
            <w:tcW w:w="1606" w:type="pct"/>
            <w:vAlign w:val="center"/>
            <w:hideMark/>
          </w:tcPr>
          <w:p w14:paraId="69999410" w14:textId="44CF2BD7" w:rsidR="008B35C9" w:rsidRPr="002E333D" w:rsidRDefault="004B0B8A" w:rsidP="000A5389">
            <w:pPr>
              <w:spacing w:line="240" w:lineRule="auto"/>
              <w:rPr>
                <w:rFonts w:eastAsia="Times New Roman" w:cs="Times New Roman"/>
                <w:color w:val="000000"/>
                <w:kern w:val="0"/>
                <w:sz w:val="18"/>
                <w:szCs w:val="18"/>
                <w:lang w:eastAsia="es-CO"/>
                <w14:ligatures w14:val="none"/>
              </w:rPr>
            </w:pPr>
            <w:r w:rsidRPr="002E333D">
              <w:rPr>
                <w:rFonts w:eastAsia="Times New Roman" w:cs="Times New Roman"/>
                <w:color w:val="000000"/>
                <w:kern w:val="0"/>
                <w:sz w:val="18"/>
                <w:szCs w:val="18"/>
                <w:lang w:eastAsia="es-CO"/>
                <w14:ligatures w14:val="none"/>
              </w:rPr>
              <w:t>Concesionaria Vial Del Oriente S A S</w:t>
            </w:r>
          </w:p>
        </w:tc>
        <w:tc>
          <w:tcPr>
            <w:tcW w:w="883" w:type="pct"/>
            <w:vAlign w:val="center"/>
            <w:hideMark/>
          </w:tcPr>
          <w:p w14:paraId="43D208F9" w14:textId="4ADCB0F5" w:rsidR="008B35C9" w:rsidRPr="002E333D" w:rsidRDefault="008B35C9" w:rsidP="000A5389">
            <w:pPr>
              <w:spacing w:line="240" w:lineRule="auto"/>
              <w:jc w:val="right"/>
              <w:rPr>
                <w:rFonts w:eastAsia="Times New Roman" w:cs="Times New Roman"/>
                <w:color w:val="000000"/>
                <w:kern w:val="0"/>
                <w:sz w:val="18"/>
                <w:szCs w:val="18"/>
                <w:lang w:eastAsia="es-CO"/>
                <w14:ligatures w14:val="none"/>
              </w:rPr>
            </w:pPr>
            <w:r w:rsidRPr="002E333D">
              <w:rPr>
                <w:rFonts w:eastAsia="Times New Roman" w:cs="Times New Roman"/>
                <w:color w:val="000000"/>
                <w:kern w:val="0"/>
                <w:sz w:val="18"/>
                <w:szCs w:val="18"/>
                <w:lang w:eastAsia="es-CO"/>
                <w14:ligatures w14:val="none"/>
              </w:rPr>
              <w:t>384.060.563.090</w:t>
            </w:r>
          </w:p>
        </w:tc>
        <w:tc>
          <w:tcPr>
            <w:tcW w:w="964" w:type="pct"/>
            <w:vAlign w:val="center"/>
            <w:hideMark/>
          </w:tcPr>
          <w:p w14:paraId="6BAF0628" w14:textId="739C3A36" w:rsidR="008B35C9" w:rsidRPr="002E333D" w:rsidRDefault="008B35C9" w:rsidP="000A5389">
            <w:pPr>
              <w:spacing w:line="240" w:lineRule="auto"/>
              <w:jc w:val="right"/>
              <w:rPr>
                <w:rFonts w:eastAsia="Times New Roman" w:cs="Times New Roman"/>
                <w:color w:val="000000"/>
                <w:kern w:val="0"/>
                <w:sz w:val="18"/>
                <w:szCs w:val="18"/>
                <w:lang w:eastAsia="es-CO"/>
                <w14:ligatures w14:val="none"/>
              </w:rPr>
            </w:pPr>
            <w:r w:rsidRPr="002E333D">
              <w:rPr>
                <w:rFonts w:eastAsia="Times New Roman" w:cs="Times New Roman"/>
                <w:color w:val="000000"/>
                <w:kern w:val="0"/>
                <w:sz w:val="18"/>
                <w:szCs w:val="18"/>
                <w:lang w:eastAsia="es-CO"/>
                <w14:ligatures w14:val="none"/>
              </w:rPr>
              <w:t>559.092.487.719</w:t>
            </w:r>
          </w:p>
        </w:tc>
        <w:tc>
          <w:tcPr>
            <w:tcW w:w="988" w:type="pct"/>
            <w:vAlign w:val="center"/>
            <w:hideMark/>
          </w:tcPr>
          <w:p w14:paraId="348C143C" w14:textId="77777777" w:rsidR="008B35C9" w:rsidRPr="002E333D" w:rsidRDefault="008B35C9" w:rsidP="000A5389">
            <w:pPr>
              <w:spacing w:line="240" w:lineRule="auto"/>
              <w:jc w:val="right"/>
              <w:rPr>
                <w:rFonts w:eastAsia="Times New Roman" w:cs="Times New Roman"/>
                <w:color w:val="000000"/>
                <w:kern w:val="0"/>
                <w:sz w:val="18"/>
                <w:szCs w:val="18"/>
                <w:lang w:eastAsia="es-CO"/>
                <w14:ligatures w14:val="none"/>
              </w:rPr>
            </w:pPr>
            <w:r w:rsidRPr="002E333D">
              <w:rPr>
                <w:rFonts w:eastAsia="Times New Roman" w:cs="Times New Roman"/>
                <w:color w:val="000000"/>
                <w:kern w:val="0"/>
                <w:sz w:val="18"/>
                <w:szCs w:val="18"/>
                <w:lang w:eastAsia="es-CO"/>
                <w14:ligatures w14:val="none"/>
              </w:rPr>
              <w:t xml:space="preserve">-     175.031.924.629 </w:t>
            </w:r>
          </w:p>
        </w:tc>
      </w:tr>
      <w:tr w:rsidR="004B0B8A" w:rsidRPr="002E333D" w14:paraId="1179A9B7" w14:textId="77777777" w:rsidTr="004B0B8A">
        <w:trPr>
          <w:trHeight w:val="340"/>
        </w:trPr>
        <w:tc>
          <w:tcPr>
            <w:tcW w:w="560" w:type="pct"/>
            <w:vAlign w:val="center"/>
            <w:hideMark/>
          </w:tcPr>
          <w:p w14:paraId="453D363D" w14:textId="77777777" w:rsidR="008B35C9" w:rsidRPr="002E333D" w:rsidRDefault="008B35C9" w:rsidP="000A5389">
            <w:pPr>
              <w:spacing w:line="240" w:lineRule="auto"/>
              <w:jc w:val="center"/>
              <w:rPr>
                <w:rFonts w:eastAsia="Times New Roman" w:cs="Times New Roman"/>
                <w:color w:val="000000"/>
                <w:kern w:val="0"/>
                <w:sz w:val="18"/>
                <w:szCs w:val="18"/>
                <w:lang w:eastAsia="es-CO"/>
                <w14:ligatures w14:val="none"/>
              </w:rPr>
            </w:pPr>
            <w:r w:rsidRPr="002E333D">
              <w:rPr>
                <w:rFonts w:eastAsia="Times New Roman" w:cs="Times New Roman"/>
                <w:color w:val="000000"/>
                <w:kern w:val="0"/>
                <w:sz w:val="18"/>
                <w:szCs w:val="18"/>
                <w:lang w:eastAsia="es-CO"/>
                <w14:ligatures w14:val="none"/>
              </w:rPr>
              <w:t>901607093</w:t>
            </w:r>
          </w:p>
        </w:tc>
        <w:tc>
          <w:tcPr>
            <w:tcW w:w="1606" w:type="pct"/>
            <w:vAlign w:val="center"/>
            <w:hideMark/>
          </w:tcPr>
          <w:p w14:paraId="5856891E" w14:textId="37E5D7F3" w:rsidR="008B35C9" w:rsidRPr="002E333D" w:rsidRDefault="004B0B8A" w:rsidP="000A5389">
            <w:pPr>
              <w:spacing w:line="240" w:lineRule="auto"/>
              <w:rPr>
                <w:rFonts w:eastAsia="Times New Roman" w:cs="Times New Roman"/>
                <w:color w:val="000000"/>
                <w:kern w:val="0"/>
                <w:sz w:val="18"/>
                <w:szCs w:val="18"/>
                <w:lang w:eastAsia="es-CO"/>
                <w14:ligatures w14:val="none"/>
              </w:rPr>
            </w:pPr>
            <w:r w:rsidRPr="002E333D">
              <w:rPr>
                <w:rFonts w:eastAsia="Times New Roman" w:cs="Times New Roman"/>
                <w:color w:val="000000"/>
                <w:kern w:val="0"/>
                <w:sz w:val="18"/>
                <w:szCs w:val="18"/>
                <w:lang w:eastAsia="es-CO"/>
                <w14:ligatures w14:val="none"/>
              </w:rPr>
              <w:t>Autopista Del Rio Grande S.A.S</w:t>
            </w:r>
          </w:p>
        </w:tc>
        <w:tc>
          <w:tcPr>
            <w:tcW w:w="883" w:type="pct"/>
            <w:vAlign w:val="center"/>
            <w:hideMark/>
          </w:tcPr>
          <w:p w14:paraId="0AD71E44" w14:textId="30BB034A" w:rsidR="008B35C9" w:rsidRPr="002E333D" w:rsidRDefault="008B35C9" w:rsidP="000A5389">
            <w:pPr>
              <w:spacing w:line="240" w:lineRule="auto"/>
              <w:jc w:val="right"/>
              <w:rPr>
                <w:rFonts w:eastAsia="Times New Roman" w:cs="Times New Roman"/>
                <w:color w:val="000000"/>
                <w:kern w:val="0"/>
                <w:sz w:val="18"/>
                <w:szCs w:val="18"/>
                <w:lang w:eastAsia="es-CO"/>
                <w14:ligatures w14:val="none"/>
              </w:rPr>
            </w:pPr>
            <w:r w:rsidRPr="002E333D">
              <w:rPr>
                <w:rFonts w:eastAsia="Times New Roman" w:cs="Times New Roman"/>
                <w:color w:val="000000"/>
                <w:kern w:val="0"/>
                <w:sz w:val="18"/>
                <w:szCs w:val="18"/>
                <w:lang w:eastAsia="es-CO"/>
                <w14:ligatures w14:val="none"/>
              </w:rPr>
              <w:t>300.401.225.160</w:t>
            </w:r>
          </w:p>
        </w:tc>
        <w:tc>
          <w:tcPr>
            <w:tcW w:w="964" w:type="pct"/>
            <w:vAlign w:val="center"/>
            <w:hideMark/>
          </w:tcPr>
          <w:p w14:paraId="79B0CC6C" w14:textId="142488B7" w:rsidR="008B35C9" w:rsidRPr="002E333D" w:rsidRDefault="008B35C9" w:rsidP="000A5389">
            <w:pPr>
              <w:spacing w:line="240" w:lineRule="auto"/>
              <w:jc w:val="right"/>
              <w:rPr>
                <w:rFonts w:eastAsia="Times New Roman" w:cs="Times New Roman"/>
                <w:color w:val="000000"/>
                <w:kern w:val="0"/>
                <w:sz w:val="18"/>
                <w:szCs w:val="18"/>
                <w:lang w:eastAsia="es-CO"/>
                <w14:ligatures w14:val="none"/>
              </w:rPr>
            </w:pPr>
            <w:r w:rsidRPr="002E333D">
              <w:rPr>
                <w:rFonts w:eastAsia="Times New Roman" w:cs="Times New Roman"/>
                <w:color w:val="000000"/>
                <w:kern w:val="0"/>
                <w:sz w:val="18"/>
                <w:szCs w:val="18"/>
                <w:lang w:eastAsia="es-CO"/>
                <w14:ligatures w14:val="none"/>
              </w:rPr>
              <w:t>300.401.225.160</w:t>
            </w:r>
          </w:p>
        </w:tc>
        <w:tc>
          <w:tcPr>
            <w:tcW w:w="988" w:type="pct"/>
            <w:vAlign w:val="center"/>
            <w:hideMark/>
          </w:tcPr>
          <w:p w14:paraId="0E9F5482" w14:textId="77777777" w:rsidR="008B35C9" w:rsidRPr="002E333D" w:rsidRDefault="008B35C9" w:rsidP="000A5389">
            <w:pPr>
              <w:spacing w:line="240" w:lineRule="auto"/>
              <w:jc w:val="right"/>
              <w:rPr>
                <w:rFonts w:eastAsia="Times New Roman" w:cs="Times New Roman"/>
                <w:color w:val="000000"/>
                <w:kern w:val="0"/>
                <w:sz w:val="18"/>
                <w:szCs w:val="18"/>
                <w:lang w:eastAsia="es-CO"/>
                <w14:ligatures w14:val="none"/>
              </w:rPr>
            </w:pPr>
            <w:r w:rsidRPr="002E333D">
              <w:rPr>
                <w:rFonts w:eastAsia="Times New Roman" w:cs="Times New Roman"/>
                <w:color w:val="000000"/>
                <w:kern w:val="0"/>
                <w:sz w:val="18"/>
                <w:szCs w:val="18"/>
                <w:lang w:eastAsia="es-CO"/>
                <w14:ligatures w14:val="none"/>
              </w:rPr>
              <w:t xml:space="preserve">                              -   </w:t>
            </w:r>
          </w:p>
        </w:tc>
      </w:tr>
      <w:tr w:rsidR="004B0B8A" w:rsidRPr="002E333D" w14:paraId="57B48929" w14:textId="77777777" w:rsidTr="004B0B8A">
        <w:trPr>
          <w:trHeight w:val="340"/>
        </w:trPr>
        <w:tc>
          <w:tcPr>
            <w:tcW w:w="560" w:type="pct"/>
            <w:vAlign w:val="center"/>
            <w:hideMark/>
          </w:tcPr>
          <w:p w14:paraId="03708496" w14:textId="77777777" w:rsidR="008B35C9" w:rsidRPr="002E333D" w:rsidRDefault="008B35C9" w:rsidP="000A5389">
            <w:pPr>
              <w:spacing w:line="240" w:lineRule="auto"/>
              <w:jc w:val="center"/>
              <w:rPr>
                <w:rFonts w:eastAsia="Times New Roman" w:cs="Times New Roman"/>
                <w:color w:val="000000"/>
                <w:kern w:val="0"/>
                <w:sz w:val="18"/>
                <w:szCs w:val="18"/>
                <w:lang w:eastAsia="es-CO"/>
                <w14:ligatures w14:val="none"/>
              </w:rPr>
            </w:pPr>
            <w:r w:rsidRPr="002E333D">
              <w:rPr>
                <w:rFonts w:eastAsia="Times New Roman" w:cs="Times New Roman"/>
                <w:color w:val="000000"/>
                <w:kern w:val="0"/>
                <w:sz w:val="18"/>
                <w:szCs w:val="18"/>
                <w:lang w:eastAsia="es-CO"/>
                <w14:ligatures w14:val="none"/>
              </w:rPr>
              <w:t>900788548</w:t>
            </w:r>
          </w:p>
        </w:tc>
        <w:tc>
          <w:tcPr>
            <w:tcW w:w="1606" w:type="pct"/>
            <w:vAlign w:val="center"/>
            <w:hideMark/>
          </w:tcPr>
          <w:p w14:paraId="0E9B1D53" w14:textId="49A44389" w:rsidR="008B35C9" w:rsidRPr="002E333D" w:rsidRDefault="004B0B8A" w:rsidP="000A5389">
            <w:pPr>
              <w:spacing w:line="240" w:lineRule="auto"/>
              <w:rPr>
                <w:rFonts w:eastAsia="Times New Roman" w:cs="Times New Roman"/>
                <w:color w:val="000000"/>
                <w:kern w:val="0"/>
                <w:sz w:val="18"/>
                <w:szCs w:val="18"/>
                <w:lang w:eastAsia="es-CO"/>
                <w14:ligatures w14:val="none"/>
              </w:rPr>
            </w:pPr>
            <w:r w:rsidRPr="002E333D">
              <w:rPr>
                <w:rFonts w:eastAsia="Times New Roman" w:cs="Times New Roman"/>
                <w:color w:val="000000"/>
                <w:kern w:val="0"/>
                <w:sz w:val="18"/>
                <w:szCs w:val="18"/>
                <w:lang w:eastAsia="es-CO"/>
                <w14:ligatures w14:val="none"/>
              </w:rPr>
              <w:t>Autopista Rio Magdalena S A S</w:t>
            </w:r>
          </w:p>
        </w:tc>
        <w:tc>
          <w:tcPr>
            <w:tcW w:w="883" w:type="pct"/>
            <w:vAlign w:val="center"/>
            <w:hideMark/>
          </w:tcPr>
          <w:p w14:paraId="6FC0C0C8" w14:textId="1D1126C1" w:rsidR="008B35C9" w:rsidRPr="002E333D" w:rsidRDefault="008B35C9" w:rsidP="000A5389">
            <w:pPr>
              <w:spacing w:line="240" w:lineRule="auto"/>
              <w:jc w:val="right"/>
              <w:rPr>
                <w:rFonts w:eastAsia="Times New Roman" w:cs="Times New Roman"/>
                <w:color w:val="000000"/>
                <w:kern w:val="0"/>
                <w:sz w:val="18"/>
                <w:szCs w:val="18"/>
                <w:lang w:eastAsia="es-CO"/>
                <w14:ligatures w14:val="none"/>
              </w:rPr>
            </w:pPr>
            <w:r w:rsidRPr="002E333D">
              <w:rPr>
                <w:rFonts w:eastAsia="Times New Roman" w:cs="Times New Roman"/>
                <w:color w:val="000000"/>
                <w:kern w:val="0"/>
                <w:sz w:val="18"/>
                <w:szCs w:val="18"/>
                <w:lang w:eastAsia="es-CO"/>
                <w14:ligatures w14:val="none"/>
              </w:rPr>
              <w:t>259.507.834.707</w:t>
            </w:r>
          </w:p>
        </w:tc>
        <w:tc>
          <w:tcPr>
            <w:tcW w:w="964" w:type="pct"/>
            <w:vAlign w:val="center"/>
            <w:hideMark/>
          </w:tcPr>
          <w:p w14:paraId="50B0AB5F" w14:textId="7E41C0BD" w:rsidR="008B35C9" w:rsidRPr="002E333D" w:rsidRDefault="008B35C9" w:rsidP="000A5389">
            <w:pPr>
              <w:spacing w:line="240" w:lineRule="auto"/>
              <w:jc w:val="right"/>
              <w:rPr>
                <w:rFonts w:eastAsia="Times New Roman" w:cs="Times New Roman"/>
                <w:color w:val="000000"/>
                <w:kern w:val="0"/>
                <w:sz w:val="18"/>
                <w:szCs w:val="18"/>
                <w:lang w:eastAsia="es-CO"/>
                <w14:ligatures w14:val="none"/>
              </w:rPr>
            </w:pPr>
            <w:r w:rsidRPr="002E333D">
              <w:rPr>
                <w:rFonts w:eastAsia="Times New Roman" w:cs="Times New Roman"/>
                <w:color w:val="000000"/>
                <w:kern w:val="0"/>
                <w:sz w:val="18"/>
                <w:szCs w:val="18"/>
                <w:lang w:eastAsia="es-CO"/>
                <w14:ligatures w14:val="none"/>
              </w:rPr>
              <w:t>1.081.983.295.317</w:t>
            </w:r>
          </w:p>
        </w:tc>
        <w:tc>
          <w:tcPr>
            <w:tcW w:w="988" w:type="pct"/>
            <w:vAlign w:val="center"/>
            <w:hideMark/>
          </w:tcPr>
          <w:p w14:paraId="24AB38F3" w14:textId="77777777" w:rsidR="008B35C9" w:rsidRPr="002E333D" w:rsidRDefault="008B35C9" w:rsidP="000A5389">
            <w:pPr>
              <w:spacing w:line="240" w:lineRule="auto"/>
              <w:jc w:val="right"/>
              <w:rPr>
                <w:rFonts w:eastAsia="Times New Roman" w:cs="Times New Roman"/>
                <w:color w:val="000000"/>
                <w:kern w:val="0"/>
                <w:sz w:val="18"/>
                <w:szCs w:val="18"/>
                <w:lang w:eastAsia="es-CO"/>
                <w14:ligatures w14:val="none"/>
              </w:rPr>
            </w:pPr>
            <w:r w:rsidRPr="002E333D">
              <w:rPr>
                <w:rFonts w:eastAsia="Times New Roman" w:cs="Times New Roman"/>
                <w:color w:val="000000"/>
                <w:kern w:val="0"/>
                <w:sz w:val="18"/>
                <w:szCs w:val="18"/>
                <w:lang w:eastAsia="es-CO"/>
                <w14:ligatures w14:val="none"/>
              </w:rPr>
              <w:t xml:space="preserve">-     822.475.460.610 </w:t>
            </w:r>
          </w:p>
        </w:tc>
      </w:tr>
      <w:tr w:rsidR="004B0B8A" w:rsidRPr="002E333D" w14:paraId="5B687FD6" w14:textId="77777777" w:rsidTr="004B0B8A">
        <w:trPr>
          <w:trHeight w:val="340"/>
        </w:trPr>
        <w:tc>
          <w:tcPr>
            <w:tcW w:w="560" w:type="pct"/>
            <w:vAlign w:val="center"/>
            <w:hideMark/>
          </w:tcPr>
          <w:p w14:paraId="43FEBD4A" w14:textId="77777777" w:rsidR="008B35C9" w:rsidRPr="002E333D" w:rsidRDefault="008B35C9" w:rsidP="000A5389">
            <w:pPr>
              <w:spacing w:line="240" w:lineRule="auto"/>
              <w:jc w:val="center"/>
              <w:rPr>
                <w:rFonts w:eastAsia="Times New Roman" w:cs="Times New Roman"/>
                <w:color w:val="000000"/>
                <w:kern w:val="0"/>
                <w:sz w:val="18"/>
                <w:szCs w:val="18"/>
                <w:lang w:eastAsia="es-CO"/>
                <w14:ligatures w14:val="none"/>
              </w:rPr>
            </w:pPr>
            <w:r w:rsidRPr="002E333D">
              <w:rPr>
                <w:rFonts w:eastAsia="Times New Roman" w:cs="Times New Roman"/>
                <w:color w:val="000000"/>
                <w:kern w:val="0"/>
                <w:sz w:val="18"/>
                <w:szCs w:val="18"/>
                <w:lang w:eastAsia="es-CO"/>
                <w14:ligatures w14:val="none"/>
              </w:rPr>
              <w:t>900744773</w:t>
            </w:r>
          </w:p>
        </w:tc>
        <w:tc>
          <w:tcPr>
            <w:tcW w:w="1606" w:type="pct"/>
            <w:vAlign w:val="center"/>
            <w:hideMark/>
          </w:tcPr>
          <w:p w14:paraId="1EB0A018" w14:textId="7D316053" w:rsidR="008B35C9" w:rsidRPr="002E333D" w:rsidRDefault="004B0B8A" w:rsidP="000A5389">
            <w:pPr>
              <w:spacing w:line="240" w:lineRule="auto"/>
              <w:rPr>
                <w:rFonts w:eastAsia="Times New Roman" w:cs="Times New Roman"/>
                <w:color w:val="000000"/>
                <w:kern w:val="0"/>
                <w:sz w:val="18"/>
                <w:szCs w:val="18"/>
                <w:lang w:eastAsia="es-CO"/>
                <w14:ligatures w14:val="none"/>
              </w:rPr>
            </w:pPr>
            <w:r w:rsidRPr="002E333D">
              <w:rPr>
                <w:rFonts w:eastAsia="Times New Roman" w:cs="Times New Roman"/>
                <w:color w:val="000000"/>
                <w:kern w:val="0"/>
                <w:sz w:val="18"/>
                <w:szCs w:val="18"/>
                <w:lang w:eastAsia="es-CO"/>
                <w14:ligatures w14:val="none"/>
              </w:rPr>
              <w:t>Concesionaria Vial Del Pacifico S A S</w:t>
            </w:r>
          </w:p>
        </w:tc>
        <w:tc>
          <w:tcPr>
            <w:tcW w:w="883" w:type="pct"/>
            <w:vAlign w:val="center"/>
            <w:hideMark/>
          </w:tcPr>
          <w:p w14:paraId="78FA74E2" w14:textId="0B8E0C15" w:rsidR="008B35C9" w:rsidRPr="002E333D" w:rsidRDefault="008B35C9" w:rsidP="000A5389">
            <w:pPr>
              <w:spacing w:line="240" w:lineRule="auto"/>
              <w:jc w:val="right"/>
              <w:rPr>
                <w:rFonts w:eastAsia="Times New Roman" w:cs="Times New Roman"/>
                <w:color w:val="000000"/>
                <w:kern w:val="0"/>
                <w:sz w:val="18"/>
                <w:szCs w:val="18"/>
                <w:lang w:eastAsia="es-CO"/>
                <w14:ligatures w14:val="none"/>
              </w:rPr>
            </w:pPr>
            <w:r w:rsidRPr="002E333D">
              <w:rPr>
                <w:rFonts w:eastAsia="Times New Roman" w:cs="Times New Roman"/>
                <w:color w:val="000000"/>
                <w:kern w:val="0"/>
                <w:sz w:val="18"/>
                <w:szCs w:val="18"/>
                <w:lang w:eastAsia="es-CO"/>
                <w14:ligatures w14:val="none"/>
              </w:rPr>
              <w:t>249.491.387.170</w:t>
            </w:r>
          </w:p>
        </w:tc>
        <w:tc>
          <w:tcPr>
            <w:tcW w:w="964" w:type="pct"/>
            <w:vAlign w:val="center"/>
            <w:hideMark/>
          </w:tcPr>
          <w:p w14:paraId="3B62FCD6" w14:textId="08D735E9" w:rsidR="008B35C9" w:rsidRPr="002E333D" w:rsidRDefault="008B35C9" w:rsidP="000A5389">
            <w:pPr>
              <w:spacing w:line="240" w:lineRule="auto"/>
              <w:jc w:val="right"/>
              <w:rPr>
                <w:rFonts w:eastAsia="Times New Roman" w:cs="Times New Roman"/>
                <w:color w:val="000000"/>
                <w:kern w:val="0"/>
                <w:sz w:val="18"/>
                <w:szCs w:val="18"/>
                <w:lang w:eastAsia="es-CO"/>
                <w14:ligatures w14:val="none"/>
              </w:rPr>
            </w:pPr>
            <w:r w:rsidRPr="002E333D">
              <w:rPr>
                <w:rFonts w:eastAsia="Times New Roman" w:cs="Times New Roman"/>
                <w:color w:val="000000"/>
                <w:kern w:val="0"/>
                <w:sz w:val="18"/>
                <w:szCs w:val="18"/>
                <w:lang w:eastAsia="es-CO"/>
                <w14:ligatures w14:val="none"/>
              </w:rPr>
              <w:t>937.269.088.436</w:t>
            </w:r>
          </w:p>
        </w:tc>
        <w:tc>
          <w:tcPr>
            <w:tcW w:w="988" w:type="pct"/>
            <w:vAlign w:val="center"/>
            <w:hideMark/>
          </w:tcPr>
          <w:p w14:paraId="5F8A6599" w14:textId="77777777" w:rsidR="008B35C9" w:rsidRPr="002E333D" w:rsidRDefault="008B35C9" w:rsidP="000A5389">
            <w:pPr>
              <w:spacing w:line="240" w:lineRule="auto"/>
              <w:jc w:val="right"/>
              <w:rPr>
                <w:rFonts w:eastAsia="Times New Roman" w:cs="Times New Roman"/>
                <w:color w:val="000000"/>
                <w:kern w:val="0"/>
                <w:sz w:val="18"/>
                <w:szCs w:val="18"/>
                <w:lang w:eastAsia="es-CO"/>
                <w14:ligatures w14:val="none"/>
              </w:rPr>
            </w:pPr>
            <w:r w:rsidRPr="002E333D">
              <w:rPr>
                <w:rFonts w:eastAsia="Times New Roman" w:cs="Times New Roman"/>
                <w:color w:val="000000"/>
                <w:kern w:val="0"/>
                <w:sz w:val="18"/>
                <w:szCs w:val="18"/>
                <w:lang w:eastAsia="es-CO"/>
                <w14:ligatures w14:val="none"/>
              </w:rPr>
              <w:t xml:space="preserve">-     687.777.701.266 </w:t>
            </w:r>
          </w:p>
        </w:tc>
      </w:tr>
      <w:tr w:rsidR="004B0B8A" w:rsidRPr="002E333D" w14:paraId="3400DA16" w14:textId="77777777" w:rsidTr="004B0B8A">
        <w:trPr>
          <w:trHeight w:val="340"/>
        </w:trPr>
        <w:tc>
          <w:tcPr>
            <w:tcW w:w="560" w:type="pct"/>
            <w:vAlign w:val="center"/>
            <w:hideMark/>
          </w:tcPr>
          <w:p w14:paraId="52FD2C1A" w14:textId="77777777" w:rsidR="008B35C9" w:rsidRPr="002E333D" w:rsidRDefault="008B35C9" w:rsidP="000A5389">
            <w:pPr>
              <w:spacing w:line="240" w:lineRule="auto"/>
              <w:jc w:val="center"/>
              <w:rPr>
                <w:rFonts w:eastAsia="Times New Roman" w:cs="Times New Roman"/>
                <w:color w:val="000000"/>
                <w:kern w:val="0"/>
                <w:sz w:val="18"/>
                <w:szCs w:val="18"/>
                <w:lang w:eastAsia="es-CO"/>
                <w14:ligatures w14:val="none"/>
              </w:rPr>
            </w:pPr>
            <w:r w:rsidRPr="002E333D">
              <w:rPr>
                <w:rFonts w:eastAsia="Times New Roman" w:cs="Times New Roman"/>
                <w:color w:val="000000"/>
                <w:kern w:val="0"/>
                <w:sz w:val="18"/>
                <w:szCs w:val="18"/>
                <w:lang w:eastAsia="es-CO"/>
                <w14:ligatures w14:val="none"/>
              </w:rPr>
              <w:t>900871368</w:t>
            </w:r>
          </w:p>
        </w:tc>
        <w:tc>
          <w:tcPr>
            <w:tcW w:w="1606" w:type="pct"/>
            <w:vAlign w:val="center"/>
            <w:hideMark/>
          </w:tcPr>
          <w:p w14:paraId="5591C8D8" w14:textId="1B0C7441" w:rsidR="008B35C9" w:rsidRPr="002E333D" w:rsidRDefault="004B0B8A" w:rsidP="000A5389">
            <w:pPr>
              <w:spacing w:line="240" w:lineRule="auto"/>
              <w:rPr>
                <w:rFonts w:eastAsia="Times New Roman" w:cs="Times New Roman"/>
                <w:color w:val="000000"/>
                <w:kern w:val="0"/>
                <w:sz w:val="18"/>
                <w:szCs w:val="18"/>
                <w:lang w:eastAsia="es-CO"/>
                <w14:ligatures w14:val="none"/>
              </w:rPr>
            </w:pPr>
            <w:r w:rsidRPr="002E333D">
              <w:rPr>
                <w:rFonts w:eastAsia="Times New Roman" w:cs="Times New Roman"/>
                <w:color w:val="000000"/>
                <w:kern w:val="0"/>
                <w:sz w:val="18"/>
                <w:szCs w:val="18"/>
                <w:lang w:eastAsia="es-CO"/>
                <w14:ligatures w14:val="none"/>
              </w:rPr>
              <w:t>Concesionaria Ruta Del Cacao S.A.S.</w:t>
            </w:r>
          </w:p>
        </w:tc>
        <w:tc>
          <w:tcPr>
            <w:tcW w:w="883" w:type="pct"/>
            <w:vAlign w:val="center"/>
            <w:hideMark/>
          </w:tcPr>
          <w:p w14:paraId="54D2F9C8" w14:textId="0B1F0CEC" w:rsidR="008B35C9" w:rsidRPr="002E333D" w:rsidRDefault="008B35C9" w:rsidP="000A5389">
            <w:pPr>
              <w:spacing w:line="240" w:lineRule="auto"/>
              <w:jc w:val="right"/>
              <w:rPr>
                <w:rFonts w:eastAsia="Times New Roman" w:cs="Times New Roman"/>
                <w:color w:val="000000"/>
                <w:kern w:val="0"/>
                <w:sz w:val="18"/>
                <w:szCs w:val="18"/>
                <w:lang w:eastAsia="es-CO"/>
                <w14:ligatures w14:val="none"/>
              </w:rPr>
            </w:pPr>
            <w:r w:rsidRPr="002E333D">
              <w:rPr>
                <w:rFonts w:eastAsia="Times New Roman" w:cs="Times New Roman"/>
                <w:color w:val="000000"/>
                <w:kern w:val="0"/>
                <w:sz w:val="18"/>
                <w:szCs w:val="18"/>
                <w:lang w:eastAsia="es-CO"/>
                <w14:ligatures w14:val="none"/>
              </w:rPr>
              <w:t>191.228.284.306</w:t>
            </w:r>
          </w:p>
        </w:tc>
        <w:tc>
          <w:tcPr>
            <w:tcW w:w="964" w:type="pct"/>
            <w:vAlign w:val="center"/>
            <w:hideMark/>
          </w:tcPr>
          <w:p w14:paraId="3CC55C67" w14:textId="21429B49" w:rsidR="008B35C9" w:rsidRPr="002E333D" w:rsidRDefault="008B35C9" w:rsidP="000A5389">
            <w:pPr>
              <w:spacing w:line="240" w:lineRule="auto"/>
              <w:jc w:val="right"/>
              <w:rPr>
                <w:rFonts w:eastAsia="Times New Roman" w:cs="Times New Roman"/>
                <w:color w:val="000000"/>
                <w:kern w:val="0"/>
                <w:sz w:val="18"/>
                <w:szCs w:val="18"/>
                <w:lang w:eastAsia="es-CO"/>
                <w14:ligatures w14:val="none"/>
              </w:rPr>
            </w:pPr>
            <w:r w:rsidRPr="002E333D">
              <w:rPr>
                <w:rFonts w:eastAsia="Times New Roman" w:cs="Times New Roman"/>
                <w:color w:val="000000"/>
                <w:kern w:val="0"/>
                <w:sz w:val="18"/>
                <w:szCs w:val="18"/>
                <w:lang w:eastAsia="es-CO"/>
                <w14:ligatures w14:val="none"/>
              </w:rPr>
              <w:t>351.420.236.920</w:t>
            </w:r>
          </w:p>
        </w:tc>
        <w:tc>
          <w:tcPr>
            <w:tcW w:w="988" w:type="pct"/>
            <w:vAlign w:val="center"/>
            <w:hideMark/>
          </w:tcPr>
          <w:p w14:paraId="7A76A0B9" w14:textId="77777777" w:rsidR="008B35C9" w:rsidRPr="002E333D" w:rsidRDefault="008B35C9" w:rsidP="000A5389">
            <w:pPr>
              <w:spacing w:line="240" w:lineRule="auto"/>
              <w:jc w:val="right"/>
              <w:rPr>
                <w:rFonts w:eastAsia="Times New Roman" w:cs="Times New Roman"/>
                <w:color w:val="000000"/>
                <w:kern w:val="0"/>
                <w:sz w:val="18"/>
                <w:szCs w:val="18"/>
                <w:lang w:eastAsia="es-CO"/>
                <w14:ligatures w14:val="none"/>
              </w:rPr>
            </w:pPr>
            <w:r w:rsidRPr="002E333D">
              <w:rPr>
                <w:rFonts w:eastAsia="Times New Roman" w:cs="Times New Roman"/>
                <w:color w:val="000000"/>
                <w:kern w:val="0"/>
                <w:sz w:val="18"/>
                <w:szCs w:val="18"/>
                <w:lang w:eastAsia="es-CO"/>
                <w14:ligatures w14:val="none"/>
              </w:rPr>
              <w:t xml:space="preserve">-     160.191.952.614 </w:t>
            </w:r>
          </w:p>
        </w:tc>
      </w:tr>
      <w:tr w:rsidR="004B0B8A" w:rsidRPr="002E333D" w14:paraId="521BBEC8" w14:textId="77777777" w:rsidTr="004B0B8A">
        <w:trPr>
          <w:trHeight w:val="340"/>
        </w:trPr>
        <w:tc>
          <w:tcPr>
            <w:tcW w:w="560" w:type="pct"/>
            <w:vAlign w:val="center"/>
            <w:hideMark/>
          </w:tcPr>
          <w:p w14:paraId="1FBB41A8" w14:textId="77777777" w:rsidR="008B35C9" w:rsidRPr="002E333D" w:rsidRDefault="008B35C9" w:rsidP="000A5389">
            <w:pPr>
              <w:spacing w:line="240" w:lineRule="auto"/>
              <w:jc w:val="center"/>
              <w:rPr>
                <w:rFonts w:eastAsia="Times New Roman" w:cs="Times New Roman"/>
                <w:color w:val="000000"/>
                <w:kern w:val="0"/>
                <w:sz w:val="18"/>
                <w:szCs w:val="18"/>
                <w:lang w:eastAsia="es-CO"/>
                <w14:ligatures w14:val="none"/>
              </w:rPr>
            </w:pPr>
            <w:r w:rsidRPr="002E333D">
              <w:rPr>
                <w:rFonts w:eastAsia="Times New Roman" w:cs="Times New Roman"/>
                <w:color w:val="000000"/>
                <w:kern w:val="0"/>
                <w:sz w:val="18"/>
                <w:szCs w:val="18"/>
                <w:lang w:eastAsia="es-CO"/>
                <w14:ligatures w14:val="none"/>
              </w:rPr>
              <w:t>901616426</w:t>
            </w:r>
          </w:p>
        </w:tc>
        <w:tc>
          <w:tcPr>
            <w:tcW w:w="1606" w:type="pct"/>
            <w:vAlign w:val="center"/>
            <w:hideMark/>
          </w:tcPr>
          <w:p w14:paraId="6DD27E54" w14:textId="43D26939" w:rsidR="008B35C9" w:rsidRPr="002E333D" w:rsidRDefault="004B0B8A" w:rsidP="000A5389">
            <w:pPr>
              <w:spacing w:line="240" w:lineRule="auto"/>
              <w:rPr>
                <w:rFonts w:eastAsia="Times New Roman" w:cs="Times New Roman"/>
                <w:color w:val="000000"/>
                <w:kern w:val="0"/>
                <w:sz w:val="18"/>
                <w:szCs w:val="18"/>
                <w:lang w:eastAsia="es-CO"/>
                <w14:ligatures w14:val="none"/>
              </w:rPr>
            </w:pPr>
            <w:r w:rsidRPr="002E333D">
              <w:rPr>
                <w:rFonts w:eastAsia="Times New Roman" w:cs="Times New Roman"/>
                <w:color w:val="000000"/>
                <w:kern w:val="0"/>
                <w:sz w:val="18"/>
                <w:szCs w:val="18"/>
                <w:lang w:eastAsia="es-CO"/>
                <w14:ligatures w14:val="none"/>
              </w:rPr>
              <w:t>Ecosistemas Del Dique S.A.S.</w:t>
            </w:r>
          </w:p>
        </w:tc>
        <w:tc>
          <w:tcPr>
            <w:tcW w:w="883" w:type="pct"/>
            <w:vAlign w:val="center"/>
            <w:hideMark/>
          </w:tcPr>
          <w:p w14:paraId="3F45547A" w14:textId="408AE6CA" w:rsidR="008B35C9" w:rsidRPr="002E333D" w:rsidRDefault="008B35C9" w:rsidP="000A5389">
            <w:pPr>
              <w:spacing w:line="240" w:lineRule="auto"/>
              <w:jc w:val="right"/>
              <w:rPr>
                <w:rFonts w:eastAsia="Times New Roman" w:cs="Times New Roman"/>
                <w:color w:val="000000"/>
                <w:kern w:val="0"/>
                <w:sz w:val="18"/>
                <w:szCs w:val="18"/>
                <w:lang w:eastAsia="es-CO"/>
                <w14:ligatures w14:val="none"/>
              </w:rPr>
            </w:pPr>
            <w:r w:rsidRPr="002E333D">
              <w:rPr>
                <w:rFonts w:eastAsia="Times New Roman" w:cs="Times New Roman"/>
                <w:color w:val="000000"/>
                <w:kern w:val="0"/>
                <w:sz w:val="18"/>
                <w:szCs w:val="18"/>
                <w:lang w:eastAsia="es-CO"/>
                <w14:ligatures w14:val="none"/>
              </w:rPr>
              <w:t>92.643.093.459</w:t>
            </w:r>
          </w:p>
        </w:tc>
        <w:tc>
          <w:tcPr>
            <w:tcW w:w="964" w:type="pct"/>
            <w:vAlign w:val="center"/>
            <w:hideMark/>
          </w:tcPr>
          <w:p w14:paraId="61C69ED1" w14:textId="762653ED" w:rsidR="008B35C9" w:rsidRPr="002E333D" w:rsidRDefault="008B35C9" w:rsidP="000A5389">
            <w:pPr>
              <w:spacing w:line="240" w:lineRule="auto"/>
              <w:jc w:val="right"/>
              <w:rPr>
                <w:rFonts w:eastAsia="Times New Roman" w:cs="Times New Roman"/>
                <w:color w:val="000000"/>
                <w:kern w:val="0"/>
                <w:sz w:val="18"/>
                <w:szCs w:val="18"/>
                <w:lang w:eastAsia="es-CO"/>
                <w14:ligatures w14:val="none"/>
              </w:rPr>
            </w:pPr>
            <w:r w:rsidRPr="002E333D">
              <w:rPr>
                <w:rFonts w:eastAsia="Times New Roman" w:cs="Times New Roman"/>
                <w:color w:val="000000"/>
                <w:kern w:val="0"/>
                <w:sz w:val="18"/>
                <w:szCs w:val="18"/>
                <w:lang w:eastAsia="es-CO"/>
                <w14:ligatures w14:val="none"/>
              </w:rPr>
              <w:t>46.665.198.101</w:t>
            </w:r>
          </w:p>
        </w:tc>
        <w:tc>
          <w:tcPr>
            <w:tcW w:w="988" w:type="pct"/>
            <w:vAlign w:val="center"/>
            <w:hideMark/>
          </w:tcPr>
          <w:p w14:paraId="1BC7913E" w14:textId="77777777" w:rsidR="008B35C9" w:rsidRPr="002E333D" w:rsidRDefault="008B35C9" w:rsidP="000A5389">
            <w:pPr>
              <w:spacing w:line="240" w:lineRule="auto"/>
              <w:jc w:val="right"/>
              <w:rPr>
                <w:rFonts w:eastAsia="Times New Roman" w:cs="Times New Roman"/>
                <w:color w:val="000000"/>
                <w:kern w:val="0"/>
                <w:sz w:val="18"/>
                <w:szCs w:val="18"/>
                <w:lang w:eastAsia="es-CO"/>
                <w14:ligatures w14:val="none"/>
              </w:rPr>
            </w:pPr>
            <w:r w:rsidRPr="002E333D">
              <w:rPr>
                <w:rFonts w:eastAsia="Times New Roman" w:cs="Times New Roman"/>
                <w:color w:val="000000"/>
                <w:kern w:val="0"/>
                <w:sz w:val="18"/>
                <w:szCs w:val="18"/>
                <w:lang w:eastAsia="es-CO"/>
                <w14:ligatures w14:val="none"/>
              </w:rPr>
              <w:t xml:space="preserve">        45.977.895.358 </w:t>
            </w:r>
          </w:p>
        </w:tc>
      </w:tr>
      <w:tr w:rsidR="004B0B8A" w:rsidRPr="002E333D" w14:paraId="6FDCE405" w14:textId="77777777" w:rsidTr="004B0B8A">
        <w:trPr>
          <w:trHeight w:val="340"/>
        </w:trPr>
        <w:tc>
          <w:tcPr>
            <w:tcW w:w="560" w:type="pct"/>
            <w:vAlign w:val="center"/>
            <w:hideMark/>
          </w:tcPr>
          <w:p w14:paraId="0D72CE89" w14:textId="77777777" w:rsidR="008B35C9" w:rsidRPr="002E333D" w:rsidRDefault="008B35C9" w:rsidP="000A5389">
            <w:pPr>
              <w:spacing w:line="240" w:lineRule="auto"/>
              <w:jc w:val="center"/>
              <w:rPr>
                <w:rFonts w:eastAsia="Times New Roman" w:cs="Times New Roman"/>
                <w:color w:val="000000"/>
                <w:kern w:val="0"/>
                <w:sz w:val="18"/>
                <w:szCs w:val="18"/>
                <w:lang w:eastAsia="es-CO"/>
                <w14:ligatures w14:val="none"/>
              </w:rPr>
            </w:pPr>
            <w:r w:rsidRPr="002E333D">
              <w:rPr>
                <w:rFonts w:eastAsia="Times New Roman" w:cs="Times New Roman"/>
                <w:color w:val="000000"/>
                <w:kern w:val="0"/>
                <w:sz w:val="18"/>
                <w:szCs w:val="18"/>
                <w:lang w:eastAsia="es-CO"/>
                <w14:ligatures w14:val="none"/>
              </w:rPr>
              <w:t>901082545</w:t>
            </w:r>
          </w:p>
        </w:tc>
        <w:tc>
          <w:tcPr>
            <w:tcW w:w="1606" w:type="pct"/>
            <w:vAlign w:val="center"/>
            <w:hideMark/>
          </w:tcPr>
          <w:p w14:paraId="086A0303" w14:textId="0CDA78A6" w:rsidR="008B35C9" w:rsidRPr="002E333D" w:rsidRDefault="004B0B8A" w:rsidP="000A5389">
            <w:pPr>
              <w:spacing w:line="240" w:lineRule="auto"/>
              <w:rPr>
                <w:rFonts w:eastAsia="Times New Roman" w:cs="Times New Roman"/>
                <w:color w:val="000000"/>
                <w:kern w:val="0"/>
                <w:sz w:val="18"/>
                <w:szCs w:val="18"/>
                <w:lang w:eastAsia="es-CO"/>
                <w14:ligatures w14:val="none"/>
              </w:rPr>
            </w:pPr>
            <w:r w:rsidRPr="002E333D">
              <w:rPr>
                <w:rFonts w:eastAsia="Times New Roman" w:cs="Times New Roman"/>
                <w:color w:val="000000"/>
                <w:kern w:val="0"/>
                <w:sz w:val="18"/>
                <w:szCs w:val="18"/>
                <w:lang w:eastAsia="es-CO"/>
                <w14:ligatures w14:val="none"/>
              </w:rPr>
              <w:t>Union Vial Rio Pamplonita Sas</w:t>
            </w:r>
          </w:p>
        </w:tc>
        <w:tc>
          <w:tcPr>
            <w:tcW w:w="883" w:type="pct"/>
            <w:vAlign w:val="center"/>
            <w:hideMark/>
          </w:tcPr>
          <w:p w14:paraId="66024821" w14:textId="5E4CAF6A" w:rsidR="008B35C9" w:rsidRPr="002E333D" w:rsidRDefault="008B35C9" w:rsidP="000A5389">
            <w:pPr>
              <w:spacing w:line="240" w:lineRule="auto"/>
              <w:jc w:val="right"/>
              <w:rPr>
                <w:rFonts w:eastAsia="Times New Roman" w:cs="Times New Roman"/>
                <w:color w:val="000000"/>
                <w:kern w:val="0"/>
                <w:sz w:val="18"/>
                <w:szCs w:val="18"/>
                <w:lang w:eastAsia="es-CO"/>
                <w14:ligatures w14:val="none"/>
              </w:rPr>
            </w:pPr>
            <w:r w:rsidRPr="002E333D">
              <w:rPr>
                <w:rFonts w:eastAsia="Times New Roman" w:cs="Times New Roman"/>
                <w:color w:val="000000"/>
                <w:kern w:val="0"/>
                <w:sz w:val="18"/>
                <w:szCs w:val="18"/>
                <w:lang w:eastAsia="es-CO"/>
                <w14:ligatures w14:val="none"/>
              </w:rPr>
              <w:t>74.591.088.077</w:t>
            </w:r>
          </w:p>
        </w:tc>
        <w:tc>
          <w:tcPr>
            <w:tcW w:w="964" w:type="pct"/>
            <w:vAlign w:val="center"/>
            <w:hideMark/>
          </w:tcPr>
          <w:p w14:paraId="0096031E" w14:textId="378E3570" w:rsidR="008B35C9" w:rsidRPr="002E333D" w:rsidRDefault="008B35C9" w:rsidP="000A5389">
            <w:pPr>
              <w:spacing w:line="240" w:lineRule="auto"/>
              <w:jc w:val="right"/>
              <w:rPr>
                <w:rFonts w:eastAsia="Times New Roman" w:cs="Times New Roman"/>
                <w:color w:val="000000"/>
                <w:kern w:val="0"/>
                <w:sz w:val="18"/>
                <w:szCs w:val="18"/>
                <w:lang w:eastAsia="es-CO"/>
                <w14:ligatures w14:val="none"/>
              </w:rPr>
            </w:pPr>
            <w:r w:rsidRPr="002E333D">
              <w:rPr>
                <w:rFonts w:eastAsia="Times New Roman" w:cs="Times New Roman"/>
                <w:color w:val="000000"/>
                <w:kern w:val="0"/>
                <w:sz w:val="18"/>
                <w:szCs w:val="18"/>
                <w:lang w:eastAsia="es-CO"/>
                <w14:ligatures w14:val="none"/>
              </w:rPr>
              <w:t>394.192.736.179</w:t>
            </w:r>
          </w:p>
        </w:tc>
        <w:tc>
          <w:tcPr>
            <w:tcW w:w="988" w:type="pct"/>
            <w:vAlign w:val="center"/>
            <w:hideMark/>
          </w:tcPr>
          <w:p w14:paraId="1602434F" w14:textId="77777777" w:rsidR="008B35C9" w:rsidRPr="002E333D" w:rsidRDefault="008B35C9" w:rsidP="000A5389">
            <w:pPr>
              <w:spacing w:line="240" w:lineRule="auto"/>
              <w:jc w:val="right"/>
              <w:rPr>
                <w:rFonts w:eastAsia="Times New Roman" w:cs="Times New Roman"/>
                <w:color w:val="000000"/>
                <w:kern w:val="0"/>
                <w:sz w:val="18"/>
                <w:szCs w:val="18"/>
                <w:lang w:eastAsia="es-CO"/>
                <w14:ligatures w14:val="none"/>
              </w:rPr>
            </w:pPr>
            <w:r w:rsidRPr="002E333D">
              <w:rPr>
                <w:rFonts w:eastAsia="Times New Roman" w:cs="Times New Roman"/>
                <w:color w:val="000000"/>
                <w:kern w:val="0"/>
                <w:sz w:val="18"/>
                <w:szCs w:val="18"/>
                <w:lang w:eastAsia="es-CO"/>
                <w14:ligatures w14:val="none"/>
              </w:rPr>
              <w:t xml:space="preserve">-     319.601.648.102 </w:t>
            </w:r>
          </w:p>
        </w:tc>
      </w:tr>
      <w:tr w:rsidR="004B0B8A" w:rsidRPr="002E333D" w14:paraId="75FD791C" w14:textId="77777777" w:rsidTr="004B0B8A">
        <w:trPr>
          <w:trHeight w:val="340"/>
        </w:trPr>
        <w:tc>
          <w:tcPr>
            <w:tcW w:w="560" w:type="pct"/>
            <w:vAlign w:val="center"/>
            <w:hideMark/>
          </w:tcPr>
          <w:p w14:paraId="0824939C" w14:textId="77777777" w:rsidR="008B35C9" w:rsidRPr="002E333D" w:rsidRDefault="008B35C9" w:rsidP="000A5389">
            <w:pPr>
              <w:spacing w:line="240" w:lineRule="auto"/>
              <w:jc w:val="center"/>
              <w:rPr>
                <w:rFonts w:eastAsia="Times New Roman" w:cs="Times New Roman"/>
                <w:color w:val="000000"/>
                <w:kern w:val="0"/>
                <w:sz w:val="18"/>
                <w:szCs w:val="18"/>
                <w:lang w:eastAsia="es-CO"/>
                <w14:ligatures w14:val="none"/>
              </w:rPr>
            </w:pPr>
            <w:r w:rsidRPr="002E333D">
              <w:rPr>
                <w:rFonts w:eastAsia="Times New Roman" w:cs="Times New Roman"/>
                <w:color w:val="000000"/>
                <w:kern w:val="0"/>
                <w:sz w:val="18"/>
                <w:szCs w:val="18"/>
                <w:lang w:eastAsia="es-CO"/>
                <w14:ligatures w14:val="none"/>
              </w:rPr>
              <w:t>900869678</w:t>
            </w:r>
          </w:p>
        </w:tc>
        <w:tc>
          <w:tcPr>
            <w:tcW w:w="1606" w:type="pct"/>
            <w:vAlign w:val="center"/>
            <w:hideMark/>
          </w:tcPr>
          <w:p w14:paraId="7E3F863C" w14:textId="752DF00D" w:rsidR="008B35C9" w:rsidRPr="002E333D" w:rsidRDefault="004B0B8A" w:rsidP="000A5389">
            <w:pPr>
              <w:spacing w:line="240" w:lineRule="auto"/>
              <w:rPr>
                <w:rFonts w:eastAsia="Times New Roman" w:cs="Times New Roman"/>
                <w:color w:val="000000"/>
                <w:kern w:val="0"/>
                <w:sz w:val="18"/>
                <w:szCs w:val="18"/>
                <w:lang w:eastAsia="es-CO"/>
                <w14:ligatures w14:val="none"/>
              </w:rPr>
            </w:pPr>
            <w:r w:rsidRPr="002E333D">
              <w:rPr>
                <w:rFonts w:eastAsia="Times New Roman" w:cs="Times New Roman"/>
                <w:color w:val="000000"/>
                <w:kern w:val="0"/>
                <w:sz w:val="18"/>
                <w:szCs w:val="18"/>
                <w:lang w:eastAsia="es-CO"/>
                <w14:ligatures w14:val="none"/>
              </w:rPr>
              <w:t>Desarrollo Vial Al Mar   S.A.S</w:t>
            </w:r>
          </w:p>
        </w:tc>
        <w:tc>
          <w:tcPr>
            <w:tcW w:w="883" w:type="pct"/>
            <w:vAlign w:val="center"/>
            <w:hideMark/>
          </w:tcPr>
          <w:p w14:paraId="660D9F56" w14:textId="5D952889" w:rsidR="008B35C9" w:rsidRPr="002E333D" w:rsidRDefault="008B35C9" w:rsidP="000A5389">
            <w:pPr>
              <w:spacing w:line="240" w:lineRule="auto"/>
              <w:jc w:val="right"/>
              <w:rPr>
                <w:rFonts w:eastAsia="Times New Roman" w:cs="Times New Roman"/>
                <w:color w:val="000000"/>
                <w:kern w:val="0"/>
                <w:sz w:val="18"/>
                <w:szCs w:val="18"/>
                <w:lang w:eastAsia="es-CO"/>
                <w14:ligatures w14:val="none"/>
              </w:rPr>
            </w:pPr>
            <w:r w:rsidRPr="002E333D">
              <w:rPr>
                <w:rFonts w:eastAsia="Times New Roman" w:cs="Times New Roman"/>
                <w:color w:val="000000"/>
                <w:kern w:val="0"/>
                <w:sz w:val="18"/>
                <w:szCs w:val="18"/>
                <w:lang w:eastAsia="es-CO"/>
                <w14:ligatures w14:val="none"/>
              </w:rPr>
              <w:t>56.543.109.866</w:t>
            </w:r>
          </w:p>
        </w:tc>
        <w:tc>
          <w:tcPr>
            <w:tcW w:w="964" w:type="pct"/>
            <w:vAlign w:val="center"/>
            <w:hideMark/>
          </w:tcPr>
          <w:p w14:paraId="33A683AE" w14:textId="4AF072A6" w:rsidR="008B35C9" w:rsidRPr="002E333D" w:rsidRDefault="008B35C9" w:rsidP="000A5389">
            <w:pPr>
              <w:spacing w:line="240" w:lineRule="auto"/>
              <w:jc w:val="right"/>
              <w:rPr>
                <w:rFonts w:eastAsia="Times New Roman" w:cs="Times New Roman"/>
                <w:color w:val="000000"/>
                <w:kern w:val="0"/>
                <w:sz w:val="18"/>
                <w:szCs w:val="18"/>
                <w:lang w:eastAsia="es-CO"/>
                <w14:ligatures w14:val="none"/>
              </w:rPr>
            </w:pPr>
            <w:r w:rsidRPr="002E333D">
              <w:rPr>
                <w:rFonts w:eastAsia="Times New Roman" w:cs="Times New Roman"/>
                <w:color w:val="000000"/>
                <w:kern w:val="0"/>
                <w:sz w:val="18"/>
                <w:szCs w:val="18"/>
                <w:lang w:eastAsia="es-CO"/>
                <w14:ligatures w14:val="none"/>
              </w:rPr>
              <w:t>358.706.806.542</w:t>
            </w:r>
          </w:p>
        </w:tc>
        <w:tc>
          <w:tcPr>
            <w:tcW w:w="988" w:type="pct"/>
            <w:vAlign w:val="center"/>
            <w:hideMark/>
          </w:tcPr>
          <w:p w14:paraId="16167119" w14:textId="77777777" w:rsidR="008B35C9" w:rsidRPr="002E333D" w:rsidRDefault="008B35C9" w:rsidP="000A5389">
            <w:pPr>
              <w:spacing w:line="240" w:lineRule="auto"/>
              <w:jc w:val="right"/>
              <w:rPr>
                <w:rFonts w:eastAsia="Times New Roman" w:cs="Times New Roman"/>
                <w:color w:val="000000"/>
                <w:kern w:val="0"/>
                <w:sz w:val="18"/>
                <w:szCs w:val="18"/>
                <w:lang w:eastAsia="es-CO"/>
                <w14:ligatures w14:val="none"/>
              </w:rPr>
            </w:pPr>
            <w:r w:rsidRPr="002E333D">
              <w:rPr>
                <w:rFonts w:eastAsia="Times New Roman" w:cs="Times New Roman"/>
                <w:color w:val="000000"/>
                <w:kern w:val="0"/>
                <w:sz w:val="18"/>
                <w:szCs w:val="18"/>
                <w:lang w:eastAsia="es-CO"/>
                <w14:ligatures w14:val="none"/>
              </w:rPr>
              <w:t xml:space="preserve">-     302.163.696.676 </w:t>
            </w:r>
          </w:p>
        </w:tc>
      </w:tr>
      <w:tr w:rsidR="004B0B8A" w:rsidRPr="002E333D" w14:paraId="098DFFCD" w14:textId="77777777" w:rsidTr="004B0B8A">
        <w:trPr>
          <w:trHeight w:val="340"/>
        </w:trPr>
        <w:tc>
          <w:tcPr>
            <w:tcW w:w="560" w:type="pct"/>
            <w:vAlign w:val="center"/>
            <w:hideMark/>
          </w:tcPr>
          <w:p w14:paraId="181C2DBF" w14:textId="77777777" w:rsidR="008B35C9" w:rsidRPr="002E333D" w:rsidRDefault="008B35C9" w:rsidP="000A5389">
            <w:pPr>
              <w:spacing w:line="240" w:lineRule="auto"/>
              <w:jc w:val="center"/>
              <w:rPr>
                <w:rFonts w:eastAsia="Times New Roman" w:cs="Times New Roman"/>
                <w:color w:val="000000"/>
                <w:kern w:val="0"/>
                <w:sz w:val="18"/>
                <w:szCs w:val="18"/>
                <w:lang w:eastAsia="es-CO"/>
                <w14:ligatures w14:val="none"/>
              </w:rPr>
            </w:pPr>
            <w:r w:rsidRPr="002E333D">
              <w:rPr>
                <w:rFonts w:eastAsia="Times New Roman" w:cs="Times New Roman"/>
                <w:color w:val="000000"/>
                <w:kern w:val="0"/>
                <w:sz w:val="18"/>
                <w:szCs w:val="18"/>
                <w:lang w:eastAsia="es-CO"/>
                <w14:ligatures w14:val="none"/>
              </w:rPr>
              <w:t>900793991</w:t>
            </w:r>
          </w:p>
        </w:tc>
        <w:tc>
          <w:tcPr>
            <w:tcW w:w="1606" w:type="pct"/>
            <w:vAlign w:val="center"/>
            <w:hideMark/>
          </w:tcPr>
          <w:p w14:paraId="0C13B48F" w14:textId="20590C0A" w:rsidR="008B35C9" w:rsidRPr="002E333D" w:rsidRDefault="004B0B8A" w:rsidP="000A5389">
            <w:pPr>
              <w:spacing w:line="240" w:lineRule="auto"/>
              <w:rPr>
                <w:rFonts w:eastAsia="Times New Roman" w:cs="Times New Roman"/>
                <w:color w:val="000000"/>
                <w:kern w:val="0"/>
                <w:sz w:val="18"/>
                <w:szCs w:val="18"/>
                <w:lang w:eastAsia="es-CO"/>
                <w14:ligatures w14:val="none"/>
              </w:rPr>
            </w:pPr>
            <w:r w:rsidRPr="002E333D">
              <w:rPr>
                <w:rFonts w:eastAsia="Times New Roman" w:cs="Times New Roman"/>
                <w:color w:val="000000"/>
                <w:kern w:val="0"/>
                <w:sz w:val="18"/>
                <w:szCs w:val="18"/>
                <w:lang w:eastAsia="es-CO"/>
                <w14:ligatures w14:val="none"/>
              </w:rPr>
              <w:t>Autopistas Del Nordeste S.A.S.</w:t>
            </w:r>
          </w:p>
        </w:tc>
        <w:tc>
          <w:tcPr>
            <w:tcW w:w="883" w:type="pct"/>
            <w:vAlign w:val="center"/>
            <w:hideMark/>
          </w:tcPr>
          <w:p w14:paraId="6B027FF4" w14:textId="7E4E1483" w:rsidR="008B35C9" w:rsidRPr="002E333D" w:rsidRDefault="008B35C9" w:rsidP="000A5389">
            <w:pPr>
              <w:spacing w:line="240" w:lineRule="auto"/>
              <w:jc w:val="right"/>
              <w:rPr>
                <w:rFonts w:eastAsia="Times New Roman" w:cs="Times New Roman"/>
                <w:color w:val="000000"/>
                <w:kern w:val="0"/>
                <w:sz w:val="18"/>
                <w:szCs w:val="18"/>
                <w:lang w:eastAsia="es-CO"/>
                <w14:ligatures w14:val="none"/>
              </w:rPr>
            </w:pPr>
            <w:r w:rsidRPr="002E333D">
              <w:rPr>
                <w:rFonts w:eastAsia="Times New Roman" w:cs="Times New Roman"/>
                <w:color w:val="000000"/>
                <w:kern w:val="0"/>
                <w:sz w:val="18"/>
                <w:szCs w:val="18"/>
                <w:lang w:eastAsia="es-CO"/>
                <w14:ligatures w14:val="none"/>
              </w:rPr>
              <w:t>54.922.777.241</w:t>
            </w:r>
          </w:p>
        </w:tc>
        <w:tc>
          <w:tcPr>
            <w:tcW w:w="964" w:type="pct"/>
            <w:vAlign w:val="center"/>
            <w:hideMark/>
          </w:tcPr>
          <w:p w14:paraId="59F3A1B6" w14:textId="6437E9B0" w:rsidR="008B35C9" w:rsidRPr="002E333D" w:rsidRDefault="008B35C9" w:rsidP="000A5389">
            <w:pPr>
              <w:spacing w:line="240" w:lineRule="auto"/>
              <w:jc w:val="right"/>
              <w:rPr>
                <w:rFonts w:eastAsia="Times New Roman" w:cs="Times New Roman"/>
                <w:color w:val="000000"/>
                <w:kern w:val="0"/>
                <w:sz w:val="18"/>
                <w:szCs w:val="18"/>
                <w:lang w:eastAsia="es-CO"/>
                <w14:ligatures w14:val="none"/>
              </w:rPr>
            </w:pPr>
            <w:r w:rsidRPr="002E333D">
              <w:rPr>
                <w:rFonts w:eastAsia="Times New Roman" w:cs="Times New Roman"/>
                <w:color w:val="000000"/>
                <w:kern w:val="0"/>
                <w:sz w:val="18"/>
                <w:szCs w:val="18"/>
                <w:lang w:eastAsia="es-CO"/>
                <w14:ligatures w14:val="none"/>
              </w:rPr>
              <w:t>205.615.023.030</w:t>
            </w:r>
          </w:p>
        </w:tc>
        <w:tc>
          <w:tcPr>
            <w:tcW w:w="988" w:type="pct"/>
            <w:vAlign w:val="center"/>
            <w:hideMark/>
          </w:tcPr>
          <w:p w14:paraId="728F9682" w14:textId="77777777" w:rsidR="008B35C9" w:rsidRPr="002E333D" w:rsidRDefault="008B35C9" w:rsidP="000A5389">
            <w:pPr>
              <w:spacing w:line="240" w:lineRule="auto"/>
              <w:jc w:val="right"/>
              <w:rPr>
                <w:rFonts w:eastAsia="Times New Roman" w:cs="Times New Roman"/>
                <w:color w:val="000000"/>
                <w:kern w:val="0"/>
                <w:sz w:val="18"/>
                <w:szCs w:val="18"/>
                <w:lang w:eastAsia="es-CO"/>
                <w14:ligatures w14:val="none"/>
              </w:rPr>
            </w:pPr>
            <w:r w:rsidRPr="002E333D">
              <w:rPr>
                <w:rFonts w:eastAsia="Times New Roman" w:cs="Times New Roman"/>
                <w:color w:val="000000"/>
                <w:kern w:val="0"/>
                <w:sz w:val="18"/>
                <w:szCs w:val="18"/>
                <w:lang w:eastAsia="es-CO"/>
                <w14:ligatures w14:val="none"/>
              </w:rPr>
              <w:t xml:space="preserve">-     150.692.245.789 </w:t>
            </w:r>
          </w:p>
        </w:tc>
      </w:tr>
      <w:tr w:rsidR="004B0B8A" w:rsidRPr="002E333D" w14:paraId="11639132" w14:textId="77777777" w:rsidTr="004B0B8A">
        <w:trPr>
          <w:trHeight w:val="340"/>
        </w:trPr>
        <w:tc>
          <w:tcPr>
            <w:tcW w:w="560" w:type="pct"/>
            <w:vAlign w:val="center"/>
            <w:hideMark/>
          </w:tcPr>
          <w:p w14:paraId="279B17A4" w14:textId="77777777" w:rsidR="008B35C9" w:rsidRPr="002E333D" w:rsidRDefault="008B35C9" w:rsidP="000A5389">
            <w:pPr>
              <w:spacing w:line="240" w:lineRule="auto"/>
              <w:jc w:val="center"/>
              <w:rPr>
                <w:rFonts w:eastAsia="Times New Roman" w:cs="Times New Roman"/>
                <w:color w:val="000000"/>
                <w:kern w:val="0"/>
                <w:sz w:val="18"/>
                <w:szCs w:val="18"/>
                <w:lang w:eastAsia="es-CO"/>
                <w14:ligatures w14:val="none"/>
              </w:rPr>
            </w:pPr>
            <w:r w:rsidRPr="002E333D">
              <w:rPr>
                <w:rFonts w:eastAsia="Times New Roman" w:cs="Times New Roman"/>
                <w:color w:val="000000"/>
                <w:kern w:val="0"/>
                <w:sz w:val="18"/>
                <w:szCs w:val="18"/>
                <w:lang w:eastAsia="es-CO"/>
                <w14:ligatures w14:val="none"/>
              </w:rPr>
              <w:t>900763357</w:t>
            </w:r>
          </w:p>
        </w:tc>
        <w:tc>
          <w:tcPr>
            <w:tcW w:w="1606" w:type="pct"/>
            <w:vAlign w:val="center"/>
            <w:hideMark/>
          </w:tcPr>
          <w:p w14:paraId="03E6C2F4" w14:textId="25F60FCA" w:rsidR="008B35C9" w:rsidRPr="002E333D" w:rsidRDefault="004B0B8A" w:rsidP="000A5389">
            <w:pPr>
              <w:spacing w:line="240" w:lineRule="auto"/>
              <w:rPr>
                <w:rFonts w:eastAsia="Times New Roman" w:cs="Times New Roman"/>
                <w:color w:val="000000"/>
                <w:kern w:val="0"/>
                <w:sz w:val="18"/>
                <w:szCs w:val="18"/>
                <w:lang w:eastAsia="es-CO"/>
                <w14:ligatures w14:val="none"/>
              </w:rPr>
            </w:pPr>
            <w:r w:rsidRPr="002E333D">
              <w:rPr>
                <w:rFonts w:eastAsia="Times New Roman" w:cs="Times New Roman"/>
                <w:color w:val="000000"/>
                <w:kern w:val="0"/>
                <w:sz w:val="18"/>
                <w:szCs w:val="18"/>
                <w:lang w:eastAsia="es-CO"/>
                <w14:ligatures w14:val="none"/>
              </w:rPr>
              <w:t>Concesión Pacifico Tres S.A.S.</w:t>
            </w:r>
          </w:p>
        </w:tc>
        <w:tc>
          <w:tcPr>
            <w:tcW w:w="883" w:type="pct"/>
            <w:vAlign w:val="center"/>
            <w:hideMark/>
          </w:tcPr>
          <w:p w14:paraId="46D1ABFC" w14:textId="22DE7F08" w:rsidR="008B35C9" w:rsidRPr="002E333D" w:rsidRDefault="008B35C9" w:rsidP="000A5389">
            <w:pPr>
              <w:spacing w:line="240" w:lineRule="auto"/>
              <w:jc w:val="right"/>
              <w:rPr>
                <w:rFonts w:eastAsia="Times New Roman" w:cs="Times New Roman"/>
                <w:color w:val="000000"/>
                <w:kern w:val="0"/>
                <w:sz w:val="18"/>
                <w:szCs w:val="18"/>
                <w:lang w:eastAsia="es-CO"/>
                <w14:ligatures w14:val="none"/>
              </w:rPr>
            </w:pPr>
            <w:r w:rsidRPr="002E333D">
              <w:rPr>
                <w:rFonts w:eastAsia="Times New Roman" w:cs="Times New Roman"/>
                <w:color w:val="000000"/>
                <w:kern w:val="0"/>
                <w:sz w:val="18"/>
                <w:szCs w:val="18"/>
                <w:lang w:eastAsia="es-CO"/>
                <w14:ligatures w14:val="none"/>
              </w:rPr>
              <w:t>48.395.798.915</w:t>
            </w:r>
          </w:p>
        </w:tc>
        <w:tc>
          <w:tcPr>
            <w:tcW w:w="964" w:type="pct"/>
            <w:vAlign w:val="center"/>
            <w:hideMark/>
          </w:tcPr>
          <w:p w14:paraId="74BFB5DD" w14:textId="4FECA17E" w:rsidR="008B35C9" w:rsidRPr="002E333D" w:rsidRDefault="008B35C9" w:rsidP="000A5389">
            <w:pPr>
              <w:spacing w:line="240" w:lineRule="auto"/>
              <w:jc w:val="right"/>
              <w:rPr>
                <w:rFonts w:eastAsia="Times New Roman" w:cs="Times New Roman"/>
                <w:color w:val="000000"/>
                <w:kern w:val="0"/>
                <w:sz w:val="18"/>
                <w:szCs w:val="18"/>
                <w:lang w:eastAsia="es-CO"/>
                <w14:ligatures w14:val="none"/>
              </w:rPr>
            </w:pPr>
            <w:r w:rsidRPr="002E333D">
              <w:rPr>
                <w:rFonts w:eastAsia="Times New Roman" w:cs="Times New Roman"/>
                <w:color w:val="000000"/>
                <w:kern w:val="0"/>
                <w:sz w:val="18"/>
                <w:szCs w:val="18"/>
                <w:lang w:eastAsia="es-CO"/>
                <w14:ligatures w14:val="none"/>
              </w:rPr>
              <w:t>204.308.411.729</w:t>
            </w:r>
          </w:p>
        </w:tc>
        <w:tc>
          <w:tcPr>
            <w:tcW w:w="988" w:type="pct"/>
            <w:vAlign w:val="center"/>
            <w:hideMark/>
          </w:tcPr>
          <w:p w14:paraId="79B0DEE3" w14:textId="77777777" w:rsidR="008B35C9" w:rsidRPr="002E333D" w:rsidRDefault="008B35C9" w:rsidP="000A5389">
            <w:pPr>
              <w:spacing w:line="240" w:lineRule="auto"/>
              <w:jc w:val="right"/>
              <w:rPr>
                <w:rFonts w:eastAsia="Times New Roman" w:cs="Times New Roman"/>
                <w:color w:val="000000"/>
                <w:kern w:val="0"/>
                <w:sz w:val="18"/>
                <w:szCs w:val="18"/>
                <w:lang w:eastAsia="es-CO"/>
                <w14:ligatures w14:val="none"/>
              </w:rPr>
            </w:pPr>
            <w:r w:rsidRPr="002E333D">
              <w:rPr>
                <w:rFonts w:eastAsia="Times New Roman" w:cs="Times New Roman"/>
                <w:color w:val="000000"/>
                <w:kern w:val="0"/>
                <w:sz w:val="18"/>
                <w:szCs w:val="18"/>
                <w:lang w:eastAsia="es-CO"/>
                <w14:ligatures w14:val="none"/>
              </w:rPr>
              <w:t xml:space="preserve">-     155.912.612.814 </w:t>
            </w:r>
          </w:p>
        </w:tc>
      </w:tr>
      <w:tr w:rsidR="004B0B8A" w:rsidRPr="002E333D" w14:paraId="18E7B157" w14:textId="77777777" w:rsidTr="004B0B8A">
        <w:trPr>
          <w:trHeight w:val="340"/>
        </w:trPr>
        <w:tc>
          <w:tcPr>
            <w:tcW w:w="560" w:type="pct"/>
            <w:vAlign w:val="center"/>
            <w:hideMark/>
          </w:tcPr>
          <w:p w14:paraId="33C5DFD7" w14:textId="77777777" w:rsidR="008B35C9" w:rsidRPr="002E333D" w:rsidRDefault="008B35C9" w:rsidP="000A5389">
            <w:pPr>
              <w:spacing w:line="240" w:lineRule="auto"/>
              <w:jc w:val="center"/>
              <w:rPr>
                <w:rFonts w:eastAsia="Times New Roman" w:cs="Times New Roman"/>
                <w:color w:val="000000"/>
                <w:kern w:val="0"/>
                <w:sz w:val="18"/>
                <w:szCs w:val="18"/>
                <w:lang w:eastAsia="es-CO"/>
                <w14:ligatures w14:val="none"/>
              </w:rPr>
            </w:pPr>
            <w:r w:rsidRPr="002E333D">
              <w:rPr>
                <w:rFonts w:eastAsia="Times New Roman" w:cs="Times New Roman"/>
                <w:color w:val="000000"/>
                <w:kern w:val="0"/>
                <w:sz w:val="18"/>
                <w:szCs w:val="18"/>
                <w:lang w:eastAsia="es-CO"/>
                <w14:ligatures w14:val="none"/>
              </w:rPr>
              <w:t>901161505</w:t>
            </w:r>
          </w:p>
        </w:tc>
        <w:tc>
          <w:tcPr>
            <w:tcW w:w="1606" w:type="pct"/>
            <w:vAlign w:val="center"/>
            <w:hideMark/>
          </w:tcPr>
          <w:p w14:paraId="4929092E" w14:textId="798116F7" w:rsidR="008B35C9" w:rsidRPr="002E333D" w:rsidRDefault="00804632" w:rsidP="000A5389">
            <w:pPr>
              <w:spacing w:line="240" w:lineRule="auto"/>
              <w:rPr>
                <w:rFonts w:eastAsia="Times New Roman" w:cs="Times New Roman"/>
                <w:color w:val="000000"/>
                <w:kern w:val="0"/>
                <w:sz w:val="18"/>
                <w:szCs w:val="18"/>
                <w:lang w:eastAsia="es-CO"/>
                <w14:ligatures w14:val="none"/>
              </w:rPr>
            </w:pPr>
            <w:r w:rsidRPr="002E333D">
              <w:rPr>
                <w:rFonts w:eastAsia="Times New Roman" w:cs="Times New Roman"/>
                <w:color w:val="000000"/>
                <w:kern w:val="0"/>
                <w:sz w:val="18"/>
                <w:szCs w:val="18"/>
                <w:lang w:eastAsia="es-CO"/>
                <w14:ligatures w14:val="none"/>
              </w:rPr>
              <w:t>Concesión</w:t>
            </w:r>
            <w:r w:rsidR="004B0B8A" w:rsidRPr="002E333D">
              <w:rPr>
                <w:rFonts w:eastAsia="Times New Roman" w:cs="Times New Roman"/>
                <w:color w:val="000000"/>
                <w:kern w:val="0"/>
                <w:sz w:val="18"/>
                <w:szCs w:val="18"/>
                <w:lang w:eastAsia="es-CO"/>
                <w14:ligatures w14:val="none"/>
              </w:rPr>
              <w:t xml:space="preserve"> Transversal Del Sisga S.A.S</w:t>
            </w:r>
          </w:p>
        </w:tc>
        <w:tc>
          <w:tcPr>
            <w:tcW w:w="883" w:type="pct"/>
            <w:vAlign w:val="center"/>
            <w:hideMark/>
          </w:tcPr>
          <w:p w14:paraId="46520DE4" w14:textId="30A25063" w:rsidR="008B35C9" w:rsidRPr="002E333D" w:rsidRDefault="008B35C9" w:rsidP="000A5389">
            <w:pPr>
              <w:spacing w:line="240" w:lineRule="auto"/>
              <w:jc w:val="right"/>
              <w:rPr>
                <w:rFonts w:eastAsia="Times New Roman" w:cs="Times New Roman"/>
                <w:color w:val="000000"/>
                <w:kern w:val="0"/>
                <w:sz w:val="18"/>
                <w:szCs w:val="18"/>
                <w:lang w:eastAsia="es-CO"/>
                <w14:ligatures w14:val="none"/>
              </w:rPr>
            </w:pPr>
            <w:r w:rsidRPr="002E333D">
              <w:rPr>
                <w:rFonts w:eastAsia="Times New Roman" w:cs="Times New Roman"/>
                <w:color w:val="000000"/>
                <w:kern w:val="0"/>
                <w:sz w:val="18"/>
                <w:szCs w:val="18"/>
                <w:lang w:eastAsia="es-CO"/>
                <w14:ligatures w14:val="none"/>
              </w:rPr>
              <w:t>37.260.730.406</w:t>
            </w:r>
          </w:p>
        </w:tc>
        <w:tc>
          <w:tcPr>
            <w:tcW w:w="964" w:type="pct"/>
            <w:vAlign w:val="center"/>
            <w:hideMark/>
          </w:tcPr>
          <w:p w14:paraId="54EBB80C" w14:textId="0B9D063C" w:rsidR="008B35C9" w:rsidRPr="002E333D" w:rsidRDefault="008B35C9" w:rsidP="000A5389">
            <w:pPr>
              <w:spacing w:line="240" w:lineRule="auto"/>
              <w:jc w:val="right"/>
              <w:rPr>
                <w:rFonts w:eastAsia="Times New Roman" w:cs="Times New Roman"/>
                <w:color w:val="000000"/>
                <w:kern w:val="0"/>
                <w:sz w:val="18"/>
                <w:szCs w:val="18"/>
                <w:lang w:eastAsia="es-CO"/>
                <w14:ligatures w14:val="none"/>
              </w:rPr>
            </w:pPr>
            <w:r w:rsidRPr="002E333D">
              <w:rPr>
                <w:rFonts w:eastAsia="Times New Roman" w:cs="Times New Roman"/>
                <w:color w:val="000000"/>
                <w:kern w:val="0"/>
                <w:sz w:val="18"/>
                <w:szCs w:val="18"/>
                <w:lang w:eastAsia="es-CO"/>
                <w14:ligatures w14:val="none"/>
              </w:rPr>
              <w:t>100.371.414.237</w:t>
            </w:r>
          </w:p>
        </w:tc>
        <w:tc>
          <w:tcPr>
            <w:tcW w:w="988" w:type="pct"/>
            <w:vAlign w:val="center"/>
            <w:hideMark/>
          </w:tcPr>
          <w:p w14:paraId="7200847D" w14:textId="77777777" w:rsidR="008B35C9" w:rsidRPr="002E333D" w:rsidRDefault="008B35C9" w:rsidP="000A5389">
            <w:pPr>
              <w:spacing w:line="240" w:lineRule="auto"/>
              <w:jc w:val="right"/>
              <w:rPr>
                <w:rFonts w:eastAsia="Times New Roman" w:cs="Times New Roman"/>
                <w:color w:val="000000"/>
                <w:kern w:val="0"/>
                <w:sz w:val="18"/>
                <w:szCs w:val="18"/>
                <w:lang w:eastAsia="es-CO"/>
                <w14:ligatures w14:val="none"/>
              </w:rPr>
            </w:pPr>
            <w:r w:rsidRPr="002E333D">
              <w:rPr>
                <w:rFonts w:eastAsia="Times New Roman" w:cs="Times New Roman"/>
                <w:color w:val="000000"/>
                <w:kern w:val="0"/>
                <w:sz w:val="18"/>
                <w:szCs w:val="18"/>
                <w:lang w:eastAsia="es-CO"/>
                <w14:ligatures w14:val="none"/>
              </w:rPr>
              <w:t xml:space="preserve">-       63.110.683.831 </w:t>
            </w:r>
          </w:p>
        </w:tc>
      </w:tr>
      <w:tr w:rsidR="004B0B8A" w:rsidRPr="002E333D" w14:paraId="3FA3F1D6" w14:textId="77777777" w:rsidTr="004B0B8A">
        <w:trPr>
          <w:trHeight w:val="340"/>
        </w:trPr>
        <w:tc>
          <w:tcPr>
            <w:tcW w:w="560" w:type="pct"/>
            <w:vAlign w:val="center"/>
            <w:hideMark/>
          </w:tcPr>
          <w:p w14:paraId="0B8B08E3" w14:textId="77777777" w:rsidR="008B35C9" w:rsidRPr="002E333D" w:rsidRDefault="008B35C9" w:rsidP="000A5389">
            <w:pPr>
              <w:spacing w:line="240" w:lineRule="auto"/>
              <w:jc w:val="center"/>
              <w:rPr>
                <w:rFonts w:eastAsia="Times New Roman" w:cs="Times New Roman"/>
                <w:color w:val="000000"/>
                <w:kern w:val="0"/>
                <w:sz w:val="18"/>
                <w:szCs w:val="18"/>
                <w:lang w:eastAsia="es-CO"/>
                <w14:ligatures w14:val="none"/>
              </w:rPr>
            </w:pPr>
            <w:r w:rsidRPr="002E333D">
              <w:rPr>
                <w:rFonts w:eastAsia="Times New Roman" w:cs="Times New Roman"/>
                <w:color w:val="000000"/>
                <w:kern w:val="0"/>
                <w:sz w:val="18"/>
                <w:szCs w:val="18"/>
                <w:lang w:eastAsia="es-CO"/>
                <w14:ligatures w14:val="none"/>
              </w:rPr>
              <w:t>832006599</w:t>
            </w:r>
          </w:p>
        </w:tc>
        <w:tc>
          <w:tcPr>
            <w:tcW w:w="1606" w:type="pct"/>
            <w:vAlign w:val="center"/>
            <w:hideMark/>
          </w:tcPr>
          <w:p w14:paraId="6FE09B5E" w14:textId="572CAF69" w:rsidR="008B35C9" w:rsidRPr="002E333D" w:rsidRDefault="004B0B8A" w:rsidP="000A5389">
            <w:pPr>
              <w:spacing w:line="240" w:lineRule="auto"/>
              <w:rPr>
                <w:rFonts w:eastAsia="Times New Roman" w:cs="Times New Roman"/>
                <w:color w:val="000000"/>
                <w:kern w:val="0"/>
                <w:sz w:val="18"/>
                <w:szCs w:val="18"/>
                <w:lang w:eastAsia="es-CO"/>
                <w14:ligatures w14:val="none"/>
              </w:rPr>
            </w:pPr>
            <w:r w:rsidRPr="002E333D">
              <w:rPr>
                <w:rFonts w:eastAsia="Times New Roman" w:cs="Times New Roman"/>
                <w:color w:val="000000"/>
                <w:kern w:val="0"/>
                <w:sz w:val="18"/>
                <w:szCs w:val="18"/>
                <w:lang w:eastAsia="es-CO"/>
                <w14:ligatures w14:val="none"/>
              </w:rPr>
              <w:t>Css. Constructores S. A.</w:t>
            </w:r>
          </w:p>
        </w:tc>
        <w:tc>
          <w:tcPr>
            <w:tcW w:w="883" w:type="pct"/>
            <w:vAlign w:val="center"/>
            <w:hideMark/>
          </w:tcPr>
          <w:p w14:paraId="16B55A1D" w14:textId="494BE18A" w:rsidR="008B35C9" w:rsidRPr="002E333D" w:rsidRDefault="008B35C9" w:rsidP="000A5389">
            <w:pPr>
              <w:spacing w:line="240" w:lineRule="auto"/>
              <w:jc w:val="right"/>
              <w:rPr>
                <w:rFonts w:eastAsia="Times New Roman" w:cs="Times New Roman"/>
                <w:color w:val="000000"/>
                <w:kern w:val="0"/>
                <w:sz w:val="18"/>
                <w:szCs w:val="18"/>
                <w:lang w:eastAsia="es-CO"/>
                <w14:ligatures w14:val="none"/>
              </w:rPr>
            </w:pPr>
            <w:r w:rsidRPr="002E333D">
              <w:rPr>
                <w:rFonts w:eastAsia="Times New Roman" w:cs="Times New Roman"/>
                <w:color w:val="000000"/>
                <w:kern w:val="0"/>
                <w:sz w:val="18"/>
                <w:szCs w:val="18"/>
                <w:lang w:eastAsia="es-CO"/>
                <w14:ligatures w14:val="none"/>
              </w:rPr>
              <w:t>32.430.601.140</w:t>
            </w:r>
          </w:p>
        </w:tc>
        <w:tc>
          <w:tcPr>
            <w:tcW w:w="964" w:type="pct"/>
            <w:vAlign w:val="center"/>
            <w:hideMark/>
          </w:tcPr>
          <w:p w14:paraId="464ED2D7" w14:textId="1F92C656" w:rsidR="008B35C9" w:rsidRPr="002E333D" w:rsidRDefault="008B35C9" w:rsidP="000A5389">
            <w:pPr>
              <w:spacing w:line="240" w:lineRule="auto"/>
              <w:jc w:val="right"/>
              <w:rPr>
                <w:rFonts w:eastAsia="Times New Roman" w:cs="Times New Roman"/>
                <w:color w:val="000000"/>
                <w:kern w:val="0"/>
                <w:sz w:val="18"/>
                <w:szCs w:val="18"/>
                <w:lang w:eastAsia="es-CO"/>
                <w14:ligatures w14:val="none"/>
              </w:rPr>
            </w:pPr>
            <w:r w:rsidRPr="002E333D">
              <w:rPr>
                <w:rFonts w:eastAsia="Times New Roman" w:cs="Times New Roman"/>
                <w:color w:val="000000"/>
                <w:kern w:val="0"/>
                <w:sz w:val="18"/>
                <w:szCs w:val="18"/>
                <w:lang w:eastAsia="es-CO"/>
                <w14:ligatures w14:val="none"/>
              </w:rPr>
              <w:t>32.430.601.140</w:t>
            </w:r>
          </w:p>
        </w:tc>
        <w:tc>
          <w:tcPr>
            <w:tcW w:w="988" w:type="pct"/>
            <w:vAlign w:val="center"/>
            <w:hideMark/>
          </w:tcPr>
          <w:p w14:paraId="58FB66CF" w14:textId="77777777" w:rsidR="008B35C9" w:rsidRPr="002E333D" w:rsidRDefault="008B35C9" w:rsidP="000A5389">
            <w:pPr>
              <w:spacing w:line="240" w:lineRule="auto"/>
              <w:jc w:val="right"/>
              <w:rPr>
                <w:rFonts w:eastAsia="Times New Roman" w:cs="Times New Roman"/>
                <w:color w:val="000000"/>
                <w:kern w:val="0"/>
                <w:sz w:val="18"/>
                <w:szCs w:val="18"/>
                <w:lang w:eastAsia="es-CO"/>
                <w14:ligatures w14:val="none"/>
              </w:rPr>
            </w:pPr>
            <w:r w:rsidRPr="002E333D">
              <w:rPr>
                <w:rFonts w:eastAsia="Times New Roman" w:cs="Times New Roman"/>
                <w:color w:val="000000"/>
                <w:kern w:val="0"/>
                <w:sz w:val="18"/>
                <w:szCs w:val="18"/>
                <w:lang w:eastAsia="es-CO"/>
                <w14:ligatures w14:val="none"/>
              </w:rPr>
              <w:t xml:space="preserve">                              -   </w:t>
            </w:r>
          </w:p>
        </w:tc>
      </w:tr>
      <w:tr w:rsidR="004B0B8A" w:rsidRPr="002E333D" w14:paraId="76CF581B" w14:textId="77777777" w:rsidTr="004B0B8A">
        <w:trPr>
          <w:trHeight w:val="340"/>
        </w:trPr>
        <w:tc>
          <w:tcPr>
            <w:tcW w:w="560" w:type="pct"/>
            <w:vAlign w:val="center"/>
            <w:hideMark/>
          </w:tcPr>
          <w:p w14:paraId="0F816208" w14:textId="77777777" w:rsidR="008B35C9" w:rsidRPr="002E333D" w:rsidRDefault="008B35C9" w:rsidP="000A5389">
            <w:pPr>
              <w:spacing w:line="240" w:lineRule="auto"/>
              <w:jc w:val="center"/>
              <w:rPr>
                <w:rFonts w:eastAsia="Times New Roman" w:cs="Times New Roman"/>
                <w:color w:val="000000"/>
                <w:kern w:val="0"/>
                <w:sz w:val="18"/>
                <w:szCs w:val="18"/>
                <w:lang w:eastAsia="es-CO"/>
                <w14:ligatures w14:val="none"/>
              </w:rPr>
            </w:pPr>
            <w:r w:rsidRPr="002E333D">
              <w:rPr>
                <w:rFonts w:eastAsia="Times New Roman" w:cs="Times New Roman"/>
                <w:color w:val="000000"/>
                <w:kern w:val="0"/>
                <w:sz w:val="18"/>
                <w:szCs w:val="18"/>
                <w:lang w:eastAsia="es-CO"/>
                <w14:ligatures w14:val="none"/>
              </w:rPr>
              <w:t>900745219</w:t>
            </w:r>
          </w:p>
        </w:tc>
        <w:tc>
          <w:tcPr>
            <w:tcW w:w="1606" w:type="pct"/>
            <w:vAlign w:val="center"/>
            <w:hideMark/>
          </w:tcPr>
          <w:p w14:paraId="719A84BA" w14:textId="59D67680" w:rsidR="008B35C9" w:rsidRPr="002E333D" w:rsidRDefault="00804632" w:rsidP="000A5389">
            <w:pPr>
              <w:spacing w:line="240" w:lineRule="auto"/>
              <w:rPr>
                <w:rFonts w:eastAsia="Times New Roman" w:cs="Times New Roman"/>
                <w:color w:val="000000"/>
                <w:kern w:val="0"/>
                <w:sz w:val="18"/>
                <w:szCs w:val="18"/>
                <w:lang w:eastAsia="es-CO"/>
                <w14:ligatures w14:val="none"/>
              </w:rPr>
            </w:pPr>
            <w:r w:rsidRPr="002E333D">
              <w:rPr>
                <w:rFonts w:eastAsia="Times New Roman" w:cs="Times New Roman"/>
                <w:color w:val="000000"/>
                <w:kern w:val="0"/>
                <w:sz w:val="18"/>
                <w:szCs w:val="18"/>
                <w:lang w:eastAsia="es-CO"/>
                <w14:ligatures w14:val="none"/>
              </w:rPr>
              <w:t>Concesión</w:t>
            </w:r>
            <w:r w:rsidR="004B0B8A" w:rsidRPr="002E333D">
              <w:rPr>
                <w:rFonts w:eastAsia="Times New Roman" w:cs="Times New Roman"/>
                <w:color w:val="000000"/>
                <w:kern w:val="0"/>
                <w:sz w:val="18"/>
                <w:szCs w:val="18"/>
                <w:lang w:eastAsia="es-CO"/>
                <w14:ligatures w14:val="none"/>
              </w:rPr>
              <w:t xml:space="preserve"> Alto Magdalena S A S</w:t>
            </w:r>
          </w:p>
        </w:tc>
        <w:tc>
          <w:tcPr>
            <w:tcW w:w="883" w:type="pct"/>
            <w:vAlign w:val="center"/>
            <w:hideMark/>
          </w:tcPr>
          <w:p w14:paraId="4FE2B9C6" w14:textId="1EA444F5" w:rsidR="008B35C9" w:rsidRPr="002E333D" w:rsidRDefault="008B35C9" w:rsidP="000A5389">
            <w:pPr>
              <w:spacing w:line="240" w:lineRule="auto"/>
              <w:jc w:val="right"/>
              <w:rPr>
                <w:rFonts w:eastAsia="Times New Roman" w:cs="Times New Roman"/>
                <w:color w:val="000000"/>
                <w:kern w:val="0"/>
                <w:sz w:val="18"/>
                <w:szCs w:val="18"/>
                <w:lang w:eastAsia="es-CO"/>
                <w14:ligatures w14:val="none"/>
              </w:rPr>
            </w:pPr>
            <w:r w:rsidRPr="002E333D">
              <w:rPr>
                <w:rFonts w:eastAsia="Times New Roman" w:cs="Times New Roman"/>
                <w:color w:val="000000"/>
                <w:kern w:val="0"/>
                <w:sz w:val="18"/>
                <w:szCs w:val="18"/>
                <w:lang w:eastAsia="es-CO"/>
                <w14:ligatures w14:val="none"/>
              </w:rPr>
              <w:t>31.520.457.313</w:t>
            </w:r>
          </w:p>
        </w:tc>
        <w:tc>
          <w:tcPr>
            <w:tcW w:w="964" w:type="pct"/>
            <w:vAlign w:val="center"/>
            <w:hideMark/>
          </w:tcPr>
          <w:p w14:paraId="47FDB17A" w14:textId="546B02E8" w:rsidR="008B35C9" w:rsidRPr="002E333D" w:rsidRDefault="008B35C9" w:rsidP="000A5389">
            <w:pPr>
              <w:spacing w:line="240" w:lineRule="auto"/>
              <w:jc w:val="right"/>
              <w:rPr>
                <w:rFonts w:eastAsia="Times New Roman" w:cs="Times New Roman"/>
                <w:color w:val="000000"/>
                <w:kern w:val="0"/>
                <w:sz w:val="18"/>
                <w:szCs w:val="18"/>
                <w:lang w:eastAsia="es-CO"/>
                <w14:ligatures w14:val="none"/>
              </w:rPr>
            </w:pPr>
            <w:r w:rsidRPr="002E333D">
              <w:rPr>
                <w:rFonts w:eastAsia="Times New Roman" w:cs="Times New Roman"/>
                <w:color w:val="000000"/>
                <w:kern w:val="0"/>
                <w:sz w:val="18"/>
                <w:szCs w:val="18"/>
                <w:lang w:eastAsia="es-CO"/>
                <w14:ligatures w14:val="none"/>
              </w:rPr>
              <w:t>128.006.119.717</w:t>
            </w:r>
          </w:p>
        </w:tc>
        <w:tc>
          <w:tcPr>
            <w:tcW w:w="988" w:type="pct"/>
            <w:vAlign w:val="center"/>
            <w:hideMark/>
          </w:tcPr>
          <w:p w14:paraId="6A8E7946" w14:textId="77777777" w:rsidR="008B35C9" w:rsidRPr="002E333D" w:rsidRDefault="008B35C9" w:rsidP="000A5389">
            <w:pPr>
              <w:spacing w:line="240" w:lineRule="auto"/>
              <w:jc w:val="right"/>
              <w:rPr>
                <w:rFonts w:eastAsia="Times New Roman" w:cs="Times New Roman"/>
                <w:color w:val="000000"/>
                <w:kern w:val="0"/>
                <w:sz w:val="18"/>
                <w:szCs w:val="18"/>
                <w:lang w:eastAsia="es-CO"/>
                <w14:ligatures w14:val="none"/>
              </w:rPr>
            </w:pPr>
            <w:r w:rsidRPr="002E333D">
              <w:rPr>
                <w:rFonts w:eastAsia="Times New Roman" w:cs="Times New Roman"/>
                <w:color w:val="000000"/>
                <w:kern w:val="0"/>
                <w:sz w:val="18"/>
                <w:szCs w:val="18"/>
                <w:lang w:eastAsia="es-CO"/>
                <w14:ligatures w14:val="none"/>
              </w:rPr>
              <w:t xml:space="preserve">-       96.485.662.404 </w:t>
            </w:r>
          </w:p>
        </w:tc>
      </w:tr>
      <w:tr w:rsidR="004B0B8A" w:rsidRPr="002E333D" w14:paraId="233DF72C" w14:textId="77777777" w:rsidTr="004B0B8A">
        <w:trPr>
          <w:trHeight w:val="340"/>
        </w:trPr>
        <w:tc>
          <w:tcPr>
            <w:tcW w:w="560" w:type="pct"/>
            <w:vAlign w:val="center"/>
            <w:hideMark/>
          </w:tcPr>
          <w:p w14:paraId="0B73F04F" w14:textId="77777777" w:rsidR="008B35C9" w:rsidRPr="002E333D" w:rsidRDefault="008B35C9" w:rsidP="000A5389">
            <w:pPr>
              <w:spacing w:line="240" w:lineRule="auto"/>
              <w:jc w:val="center"/>
              <w:rPr>
                <w:rFonts w:eastAsia="Times New Roman" w:cs="Times New Roman"/>
                <w:color w:val="000000"/>
                <w:kern w:val="0"/>
                <w:sz w:val="18"/>
                <w:szCs w:val="18"/>
                <w:lang w:eastAsia="es-CO"/>
                <w14:ligatures w14:val="none"/>
              </w:rPr>
            </w:pPr>
            <w:r w:rsidRPr="002E333D">
              <w:rPr>
                <w:rFonts w:eastAsia="Times New Roman" w:cs="Times New Roman"/>
                <w:color w:val="000000"/>
                <w:kern w:val="0"/>
                <w:sz w:val="18"/>
                <w:szCs w:val="18"/>
                <w:lang w:eastAsia="es-CO"/>
                <w14:ligatures w14:val="none"/>
              </w:rPr>
              <w:t>900880846</w:t>
            </w:r>
          </w:p>
        </w:tc>
        <w:tc>
          <w:tcPr>
            <w:tcW w:w="1606" w:type="pct"/>
            <w:vAlign w:val="center"/>
            <w:hideMark/>
          </w:tcPr>
          <w:p w14:paraId="79D6BAC5" w14:textId="5E9B92BC" w:rsidR="008B35C9" w:rsidRPr="002E333D" w:rsidRDefault="004B0B8A" w:rsidP="000A5389">
            <w:pPr>
              <w:spacing w:line="240" w:lineRule="auto"/>
              <w:rPr>
                <w:rFonts w:eastAsia="Times New Roman" w:cs="Times New Roman"/>
                <w:color w:val="000000"/>
                <w:kern w:val="0"/>
                <w:sz w:val="18"/>
                <w:szCs w:val="18"/>
                <w:lang w:eastAsia="es-CO"/>
                <w14:ligatures w14:val="none"/>
              </w:rPr>
            </w:pPr>
            <w:r w:rsidRPr="002E333D">
              <w:rPr>
                <w:rFonts w:eastAsia="Times New Roman" w:cs="Times New Roman"/>
                <w:color w:val="000000"/>
                <w:kern w:val="0"/>
                <w:sz w:val="18"/>
                <w:szCs w:val="18"/>
                <w:lang w:eastAsia="es-CO"/>
                <w14:ligatures w14:val="none"/>
              </w:rPr>
              <w:t>Concesionaria Vial Unión Del Sur S.A.S.</w:t>
            </w:r>
          </w:p>
        </w:tc>
        <w:tc>
          <w:tcPr>
            <w:tcW w:w="883" w:type="pct"/>
            <w:vAlign w:val="center"/>
            <w:hideMark/>
          </w:tcPr>
          <w:p w14:paraId="3DC820FC" w14:textId="69CBAE9C" w:rsidR="008B35C9" w:rsidRPr="002E333D" w:rsidRDefault="008B35C9" w:rsidP="000A5389">
            <w:pPr>
              <w:spacing w:line="240" w:lineRule="auto"/>
              <w:jc w:val="right"/>
              <w:rPr>
                <w:rFonts w:eastAsia="Times New Roman" w:cs="Times New Roman"/>
                <w:color w:val="000000"/>
                <w:kern w:val="0"/>
                <w:sz w:val="18"/>
                <w:szCs w:val="18"/>
                <w:lang w:eastAsia="es-CO"/>
                <w14:ligatures w14:val="none"/>
              </w:rPr>
            </w:pPr>
            <w:r w:rsidRPr="002E333D">
              <w:rPr>
                <w:rFonts w:eastAsia="Times New Roman" w:cs="Times New Roman"/>
                <w:color w:val="000000"/>
                <w:kern w:val="0"/>
                <w:sz w:val="18"/>
                <w:szCs w:val="18"/>
                <w:lang w:eastAsia="es-CO"/>
                <w14:ligatures w14:val="none"/>
              </w:rPr>
              <w:t>25.820.016.391</w:t>
            </w:r>
          </w:p>
        </w:tc>
        <w:tc>
          <w:tcPr>
            <w:tcW w:w="964" w:type="pct"/>
            <w:vAlign w:val="center"/>
            <w:hideMark/>
          </w:tcPr>
          <w:p w14:paraId="41A6427B" w14:textId="48336E88" w:rsidR="008B35C9" w:rsidRPr="002E333D" w:rsidRDefault="008B35C9" w:rsidP="000A5389">
            <w:pPr>
              <w:spacing w:line="240" w:lineRule="auto"/>
              <w:jc w:val="right"/>
              <w:rPr>
                <w:rFonts w:eastAsia="Times New Roman" w:cs="Times New Roman"/>
                <w:color w:val="000000"/>
                <w:kern w:val="0"/>
                <w:sz w:val="18"/>
                <w:szCs w:val="18"/>
                <w:lang w:eastAsia="es-CO"/>
                <w14:ligatures w14:val="none"/>
              </w:rPr>
            </w:pPr>
            <w:r w:rsidRPr="002E333D">
              <w:rPr>
                <w:rFonts w:eastAsia="Times New Roman" w:cs="Times New Roman"/>
                <w:color w:val="000000"/>
                <w:kern w:val="0"/>
                <w:sz w:val="18"/>
                <w:szCs w:val="18"/>
                <w:lang w:eastAsia="es-CO"/>
                <w14:ligatures w14:val="none"/>
              </w:rPr>
              <w:t>250.305.750.455</w:t>
            </w:r>
          </w:p>
        </w:tc>
        <w:tc>
          <w:tcPr>
            <w:tcW w:w="988" w:type="pct"/>
            <w:vAlign w:val="center"/>
            <w:hideMark/>
          </w:tcPr>
          <w:p w14:paraId="225147D8" w14:textId="77777777" w:rsidR="008B35C9" w:rsidRPr="002E333D" w:rsidRDefault="008B35C9" w:rsidP="000A5389">
            <w:pPr>
              <w:spacing w:line="240" w:lineRule="auto"/>
              <w:jc w:val="right"/>
              <w:rPr>
                <w:rFonts w:eastAsia="Times New Roman" w:cs="Times New Roman"/>
                <w:color w:val="000000"/>
                <w:kern w:val="0"/>
                <w:sz w:val="18"/>
                <w:szCs w:val="18"/>
                <w:lang w:eastAsia="es-CO"/>
                <w14:ligatures w14:val="none"/>
              </w:rPr>
            </w:pPr>
            <w:r w:rsidRPr="002E333D">
              <w:rPr>
                <w:rFonts w:eastAsia="Times New Roman" w:cs="Times New Roman"/>
                <w:color w:val="000000"/>
                <w:kern w:val="0"/>
                <w:sz w:val="18"/>
                <w:szCs w:val="18"/>
                <w:lang w:eastAsia="es-CO"/>
                <w14:ligatures w14:val="none"/>
              </w:rPr>
              <w:t xml:space="preserve">-     224.485.734.064 </w:t>
            </w:r>
          </w:p>
        </w:tc>
      </w:tr>
      <w:tr w:rsidR="004B0B8A" w:rsidRPr="002E333D" w14:paraId="487AF1F0" w14:textId="77777777" w:rsidTr="004B0B8A">
        <w:trPr>
          <w:trHeight w:val="340"/>
        </w:trPr>
        <w:tc>
          <w:tcPr>
            <w:tcW w:w="560" w:type="pct"/>
            <w:vAlign w:val="center"/>
            <w:hideMark/>
          </w:tcPr>
          <w:p w14:paraId="1B401453" w14:textId="77777777" w:rsidR="008B35C9" w:rsidRPr="002E333D" w:rsidRDefault="008B35C9" w:rsidP="000A5389">
            <w:pPr>
              <w:spacing w:line="240" w:lineRule="auto"/>
              <w:jc w:val="center"/>
              <w:rPr>
                <w:rFonts w:eastAsia="Times New Roman" w:cs="Times New Roman"/>
                <w:color w:val="000000"/>
                <w:kern w:val="0"/>
                <w:sz w:val="18"/>
                <w:szCs w:val="18"/>
                <w:lang w:eastAsia="es-CO"/>
                <w14:ligatures w14:val="none"/>
              </w:rPr>
            </w:pPr>
            <w:r w:rsidRPr="002E333D">
              <w:rPr>
                <w:rFonts w:eastAsia="Times New Roman" w:cs="Times New Roman"/>
                <w:color w:val="000000"/>
                <w:kern w:val="0"/>
                <w:sz w:val="18"/>
                <w:szCs w:val="18"/>
                <w:lang w:eastAsia="es-CO"/>
                <w14:ligatures w14:val="none"/>
              </w:rPr>
              <w:t>900843297</w:t>
            </w:r>
          </w:p>
        </w:tc>
        <w:tc>
          <w:tcPr>
            <w:tcW w:w="1606" w:type="pct"/>
            <w:vAlign w:val="center"/>
            <w:hideMark/>
          </w:tcPr>
          <w:p w14:paraId="0458769E" w14:textId="20843CBC" w:rsidR="008B35C9" w:rsidRPr="002E333D" w:rsidRDefault="00804632" w:rsidP="000A5389">
            <w:pPr>
              <w:spacing w:line="240" w:lineRule="auto"/>
              <w:rPr>
                <w:rFonts w:eastAsia="Times New Roman" w:cs="Times New Roman"/>
                <w:color w:val="000000"/>
                <w:kern w:val="0"/>
                <w:sz w:val="18"/>
                <w:szCs w:val="18"/>
                <w:lang w:eastAsia="es-CO"/>
                <w14:ligatures w14:val="none"/>
              </w:rPr>
            </w:pPr>
            <w:r w:rsidRPr="002E333D">
              <w:rPr>
                <w:rFonts w:eastAsia="Times New Roman" w:cs="Times New Roman"/>
                <w:color w:val="000000"/>
                <w:kern w:val="0"/>
                <w:sz w:val="18"/>
                <w:szCs w:val="18"/>
                <w:lang w:eastAsia="es-CO"/>
                <w14:ligatures w14:val="none"/>
              </w:rPr>
              <w:t>Concesión</w:t>
            </w:r>
            <w:r w:rsidR="004B0B8A" w:rsidRPr="002E333D">
              <w:rPr>
                <w:rFonts w:eastAsia="Times New Roman" w:cs="Times New Roman"/>
                <w:color w:val="000000"/>
                <w:kern w:val="0"/>
                <w:sz w:val="18"/>
                <w:szCs w:val="18"/>
                <w:lang w:eastAsia="es-CO"/>
                <w14:ligatures w14:val="none"/>
              </w:rPr>
              <w:t xml:space="preserve"> Vial De Los Llanos Sas</w:t>
            </w:r>
          </w:p>
        </w:tc>
        <w:tc>
          <w:tcPr>
            <w:tcW w:w="883" w:type="pct"/>
            <w:vAlign w:val="center"/>
            <w:hideMark/>
          </w:tcPr>
          <w:p w14:paraId="50CB434B" w14:textId="7E5C9F46" w:rsidR="008B35C9" w:rsidRPr="002E333D" w:rsidRDefault="008B35C9" w:rsidP="000A5389">
            <w:pPr>
              <w:spacing w:line="240" w:lineRule="auto"/>
              <w:jc w:val="right"/>
              <w:rPr>
                <w:rFonts w:eastAsia="Times New Roman" w:cs="Times New Roman"/>
                <w:color w:val="000000"/>
                <w:kern w:val="0"/>
                <w:sz w:val="18"/>
                <w:szCs w:val="18"/>
                <w:lang w:eastAsia="es-CO"/>
                <w14:ligatures w14:val="none"/>
              </w:rPr>
            </w:pPr>
            <w:r w:rsidRPr="002E333D">
              <w:rPr>
                <w:rFonts w:eastAsia="Times New Roman" w:cs="Times New Roman"/>
                <w:color w:val="000000"/>
                <w:kern w:val="0"/>
                <w:sz w:val="18"/>
                <w:szCs w:val="18"/>
                <w:lang w:eastAsia="es-CO"/>
                <w14:ligatures w14:val="none"/>
              </w:rPr>
              <w:t>20.654.110.987</w:t>
            </w:r>
          </w:p>
        </w:tc>
        <w:tc>
          <w:tcPr>
            <w:tcW w:w="964" w:type="pct"/>
            <w:vAlign w:val="center"/>
            <w:hideMark/>
          </w:tcPr>
          <w:p w14:paraId="20E1816B" w14:textId="6D53074D" w:rsidR="008B35C9" w:rsidRPr="002E333D" w:rsidRDefault="008B35C9" w:rsidP="000A5389">
            <w:pPr>
              <w:spacing w:line="240" w:lineRule="auto"/>
              <w:jc w:val="right"/>
              <w:rPr>
                <w:rFonts w:eastAsia="Times New Roman" w:cs="Times New Roman"/>
                <w:color w:val="000000"/>
                <w:kern w:val="0"/>
                <w:sz w:val="18"/>
                <w:szCs w:val="18"/>
                <w:lang w:eastAsia="es-CO"/>
                <w14:ligatures w14:val="none"/>
              </w:rPr>
            </w:pPr>
            <w:r w:rsidRPr="002E333D">
              <w:rPr>
                <w:rFonts w:eastAsia="Times New Roman" w:cs="Times New Roman"/>
                <w:color w:val="000000"/>
                <w:kern w:val="0"/>
                <w:sz w:val="18"/>
                <w:szCs w:val="18"/>
                <w:lang w:eastAsia="es-CO"/>
                <w14:ligatures w14:val="none"/>
              </w:rPr>
              <w:t>15.770.090.989</w:t>
            </w:r>
          </w:p>
        </w:tc>
        <w:tc>
          <w:tcPr>
            <w:tcW w:w="988" w:type="pct"/>
            <w:vAlign w:val="center"/>
            <w:hideMark/>
          </w:tcPr>
          <w:p w14:paraId="062EB24D" w14:textId="77777777" w:rsidR="008B35C9" w:rsidRPr="002E333D" w:rsidRDefault="008B35C9" w:rsidP="000A5389">
            <w:pPr>
              <w:spacing w:line="240" w:lineRule="auto"/>
              <w:jc w:val="right"/>
              <w:rPr>
                <w:rFonts w:eastAsia="Times New Roman" w:cs="Times New Roman"/>
                <w:color w:val="000000"/>
                <w:kern w:val="0"/>
                <w:sz w:val="18"/>
                <w:szCs w:val="18"/>
                <w:lang w:eastAsia="es-CO"/>
                <w14:ligatures w14:val="none"/>
              </w:rPr>
            </w:pPr>
            <w:r w:rsidRPr="002E333D">
              <w:rPr>
                <w:rFonts w:eastAsia="Times New Roman" w:cs="Times New Roman"/>
                <w:color w:val="000000"/>
                <w:kern w:val="0"/>
                <w:sz w:val="18"/>
                <w:szCs w:val="18"/>
                <w:lang w:eastAsia="es-CO"/>
                <w14:ligatures w14:val="none"/>
              </w:rPr>
              <w:t xml:space="preserve">          4.884.019.998 </w:t>
            </w:r>
          </w:p>
        </w:tc>
      </w:tr>
      <w:tr w:rsidR="004B0B8A" w:rsidRPr="002E333D" w14:paraId="4DF92819" w14:textId="77777777" w:rsidTr="004B0B8A">
        <w:trPr>
          <w:trHeight w:val="340"/>
        </w:trPr>
        <w:tc>
          <w:tcPr>
            <w:tcW w:w="560" w:type="pct"/>
            <w:vAlign w:val="center"/>
            <w:hideMark/>
          </w:tcPr>
          <w:p w14:paraId="2FA06658" w14:textId="77777777" w:rsidR="008B35C9" w:rsidRPr="002E333D" w:rsidRDefault="008B35C9" w:rsidP="000A5389">
            <w:pPr>
              <w:spacing w:line="240" w:lineRule="auto"/>
              <w:jc w:val="center"/>
              <w:rPr>
                <w:rFonts w:eastAsia="Times New Roman" w:cs="Times New Roman"/>
                <w:color w:val="000000"/>
                <w:kern w:val="0"/>
                <w:sz w:val="18"/>
                <w:szCs w:val="18"/>
                <w:lang w:eastAsia="es-CO"/>
                <w14:ligatures w14:val="none"/>
              </w:rPr>
            </w:pPr>
            <w:r w:rsidRPr="002E333D">
              <w:rPr>
                <w:rFonts w:eastAsia="Times New Roman" w:cs="Times New Roman"/>
                <w:color w:val="000000"/>
                <w:kern w:val="0"/>
                <w:sz w:val="18"/>
                <w:szCs w:val="18"/>
                <w:lang w:eastAsia="es-CO"/>
                <w14:ligatures w14:val="none"/>
              </w:rPr>
              <w:t>900858096</w:t>
            </w:r>
          </w:p>
        </w:tc>
        <w:tc>
          <w:tcPr>
            <w:tcW w:w="1606" w:type="pct"/>
            <w:vAlign w:val="center"/>
            <w:hideMark/>
          </w:tcPr>
          <w:p w14:paraId="378315DC" w14:textId="7B047115" w:rsidR="008B35C9" w:rsidRPr="002E333D" w:rsidRDefault="004B0B8A" w:rsidP="000A5389">
            <w:pPr>
              <w:spacing w:line="240" w:lineRule="auto"/>
              <w:rPr>
                <w:rFonts w:eastAsia="Times New Roman" w:cs="Times New Roman"/>
                <w:color w:val="000000"/>
                <w:kern w:val="0"/>
                <w:sz w:val="18"/>
                <w:szCs w:val="18"/>
                <w:lang w:eastAsia="es-CO"/>
                <w14:ligatures w14:val="none"/>
              </w:rPr>
            </w:pPr>
            <w:r w:rsidRPr="002E333D">
              <w:rPr>
                <w:rFonts w:eastAsia="Times New Roman" w:cs="Times New Roman"/>
                <w:color w:val="000000"/>
                <w:kern w:val="0"/>
                <w:sz w:val="18"/>
                <w:szCs w:val="18"/>
                <w:lang w:eastAsia="es-CO"/>
                <w14:ligatures w14:val="none"/>
              </w:rPr>
              <w:t xml:space="preserve">Sociedad Concesionaria Vial Montes De </w:t>
            </w:r>
            <w:r w:rsidR="00804632" w:rsidRPr="002E333D">
              <w:rPr>
                <w:rFonts w:eastAsia="Times New Roman" w:cs="Times New Roman"/>
                <w:color w:val="000000"/>
                <w:kern w:val="0"/>
                <w:sz w:val="18"/>
                <w:szCs w:val="18"/>
                <w:lang w:eastAsia="es-CO"/>
                <w14:ligatures w14:val="none"/>
              </w:rPr>
              <w:t>María</w:t>
            </w:r>
            <w:r w:rsidRPr="002E333D">
              <w:rPr>
                <w:rFonts w:eastAsia="Times New Roman" w:cs="Times New Roman"/>
                <w:color w:val="000000"/>
                <w:kern w:val="0"/>
                <w:sz w:val="18"/>
                <w:szCs w:val="18"/>
                <w:lang w:eastAsia="es-CO"/>
                <w14:ligatures w14:val="none"/>
              </w:rPr>
              <w:t xml:space="preserve"> Sas</w:t>
            </w:r>
          </w:p>
        </w:tc>
        <w:tc>
          <w:tcPr>
            <w:tcW w:w="883" w:type="pct"/>
            <w:vAlign w:val="center"/>
            <w:hideMark/>
          </w:tcPr>
          <w:p w14:paraId="3AEA753C" w14:textId="2373FB51" w:rsidR="008B35C9" w:rsidRPr="002E333D" w:rsidRDefault="008B35C9" w:rsidP="000A5389">
            <w:pPr>
              <w:spacing w:line="240" w:lineRule="auto"/>
              <w:jc w:val="right"/>
              <w:rPr>
                <w:rFonts w:eastAsia="Times New Roman" w:cs="Times New Roman"/>
                <w:color w:val="000000"/>
                <w:kern w:val="0"/>
                <w:sz w:val="18"/>
                <w:szCs w:val="18"/>
                <w:lang w:eastAsia="es-CO"/>
                <w14:ligatures w14:val="none"/>
              </w:rPr>
            </w:pPr>
            <w:r w:rsidRPr="002E333D">
              <w:rPr>
                <w:rFonts w:eastAsia="Times New Roman" w:cs="Times New Roman"/>
                <w:color w:val="000000"/>
                <w:kern w:val="0"/>
                <w:sz w:val="18"/>
                <w:szCs w:val="18"/>
                <w:lang w:eastAsia="es-CO"/>
                <w14:ligatures w14:val="none"/>
              </w:rPr>
              <w:t>18.713.890.203</w:t>
            </w:r>
          </w:p>
        </w:tc>
        <w:tc>
          <w:tcPr>
            <w:tcW w:w="964" w:type="pct"/>
            <w:vAlign w:val="center"/>
            <w:hideMark/>
          </w:tcPr>
          <w:p w14:paraId="4FA0503E" w14:textId="403BA60F" w:rsidR="008B35C9" w:rsidRPr="002E333D" w:rsidRDefault="008B35C9" w:rsidP="000A5389">
            <w:pPr>
              <w:spacing w:line="240" w:lineRule="auto"/>
              <w:jc w:val="right"/>
              <w:rPr>
                <w:rFonts w:eastAsia="Times New Roman" w:cs="Times New Roman"/>
                <w:color w:val="000000"/>
                <w:kern w:val="0"/>
                <w:sz w:val="18"/>
                <w:szCs w:val="18"/>
                <w:lang w:eastAsia="es-CO"/>
                <w14:ligatures w14:val="none"/>
              </w:rPr>
            </w:pPr>
            <w:r w:rsidRPr="002E333D">
              <w:rPr>
                <w:rFonts w:eastAsia="Times New Roman" w:cs="Times New Roman"/>
                <w:color w:val="000000"/>
                <w:kern w:val="0"/>
                <w:sz w:val="18"/>
                <w:szCs w:val="18"/>
                <w:lang w:eastAsia="es-CO"/>
                <w14:ligatures w14:val="none"/>
              </w:rPr>
              <w:t>62.827.835.963</w:t>
            </w:r>
          </w:p>
        </w:tc>
        <w:tc>
          <w:tcPr>
            <w:tcW w:w="988" w:type="pct"/>
            <w:vAlign w:val="center"/>
            <w:hideMark/>
          </w:tcPr>
          <w:p w14:paraId="5433455F" w14:textId="77777777" w:rsidR="008B35C9" w:rsidRPr="002E333D" w:rsidRDefault="008B35C9" w:rsidP="000A5389">
            <w:pPr>
              <w:spacing w:line="240" w:lineRule="auto"/>
              <w:jc w:val="right"/>
              <w:rPr>
                <w:rFonts w:eastAsia="Times New Roman" w:cs="Times New Roman"/>
                <w:color w:val="000000"/>
                <w:kern w:val="0"/>
                <w:sz w:val="18"/>
                <w:szCs w:val="18"/>
                <w:lang w:eastAsia="es-CO"/>
                <w14:ligatures w14:val="none"/>
              </w:rPr>
            </w:pPr>
            <w:r w:rsidRPr="002E333D">
              <w:rPr>
                <w:rFonts w:eastAsia="Times New Roman" w:cs="Times New Roman"/>
                <w:color w:val="000000"/>
                <w:kern w:val="0"/>
                <w:sz w:val="18"/>
                <w:szCs w:val="18"/>
                <w:lang w:eastAsia="es-CO"/>
                <w14:ligatures w14:val="none"/>
              </w:rPr>
              <w:t xml:space="preserve">-       44.113.945.760 </w:t>
            </w:r>
          </w:p>
        </w:tc>
      </w:tr>
      <w:tr w:rsidR="004B0B8A" w:rsidRPr="002E333D" w14:paraId="0E3F555D" w14:textId="77777777" w:rsidTr="004B0B8A">
        <w:trPr>
          <w:trHeight w:val="340"/>
        </w:trPr>
        <w:tc>
          <w:tcPr>
            <w:tcW w:w="560" w:type="pct"/>
            <w:vAlign w:val="center"/>
            <w:hideMark/>
          </w:tcPr>
          <w:p w14:paraId="6A843812" w14:textId="77777777" w:rsidR="008B35C9" w:rsidRPr="002E333D" w:rsidRDefault="008B35C9" w:rsidP="000A5389">
            <w:pPr>
              <w:spacing w:line="240" w:lineRule="auto"/>
              <w:jc w:val="center"/>
              <w:rPr>
                <w:rFonts w:eastAsia="Times New Roman" w:cs="Times New Roman"/>
                <w:color w:val="000000"/>
                <w:kern w:val="0"/>
                <w:sz w:val="18"/>
                <w:szCs w:val="18"/>
                <w:lang w:eastAsia="es-CO"/>
                <w14:ligatures w14:val="none"/>
              </w:rPr>
            </w:pPr>
            <w:r w:rsidRPr="002E333D">
              <w:rPr>
                <w:rFonts w:eastAsia="Times New Roman" w:cs="Times New Roman"/>
                <w:color w:val="000000"/>
                <w:kern w:val="0"/>
                <w:sz w:val="18"/>
                <w:szCs w:val="18"/>
                <w:lang w:eastAsia="es-CO"/>
                <w14:ligatures w14:val="none"/>
              </w:rPr>
              <w:t>901371481</w:t>
            </w:r>
          </w:p>
        </w:tc>
        <w:tc>
          <w:tcPr>
            <w:tcW w:w="1606" w:type="pct"/>
            <w:vAlign w:val="center"/>
            <w:hideMark/>
          </w:tcPr>
          <w:p w14:paraId="6D680771" w14:textId="7999EEFC" w:rsidR="008B35C9" w:rsidRPr="002E333D" w:rsidRDefault="004B0B8A" w:rsidP="000A5389">
            <w:pPr>
              <w:spacing w:line="240" w:lineRule="auto"/>
              <w:rPr>
                <w:rFonts w:eastAsia="Times New Roman" w:cs="Times New Roman"/>
                <w:color w:val="000000"/>
                <w:kern w:val="0"/>
                <w:sz w:val="18"/>
                <w:szCs w:val="18"/>
                <w:lang w:eastAsia="es-CO"/>
                <w14:ligatures w14:val="none"/>
              </w:rPr>
            </w:pPr>
            <w:r w:rsidRPr="002E333D">
              <w:rPr>
                <w:rFonts w:eastAsia="Times New Roman" w:cs="Times New Roman"/>
                <w:color w:val="000000"/>
                <w:kern w:val="0"/>
                <w:sz w:val="18"/>
                <w:szCs w:val="18"/>
                <w:lang w:eastAsia="es-CO"/>
                <w14:ligatures w14:val="none"/>
              </w:rPr>
              <w:t>B</w:t>
            </w:r>
            <w:r w:rsidR="00DB2094" w:rsidRPr="002E333D">
              <w:rPr>
                <w:rFonts w:eastAsia="Times New Roman" w:cs="Times New Roman"/>
                <w:color w:val="000000"/>
                <w:kern w:val="0"/>
                <w:sz w:val="18"/>
                <w:szCs w:val="18"/>
                <w:lang w:eastAsia="es-CO"/>
                <w14:ligatures w14:val="none"/>
              </w:rPr>
              <w:t>TS</w:t>
            </w:r>
            <w:r w:rsidRPr="002E333D">
              <w:rPr>
                <w:rFonts w:eastAsia="Times New Roman" w:cs="Times New Roman"/>
                <w:color w:val="000000"/>
                <w:kern w:val="0"/>
                <w:sz w:val="18"/>
                <w:szCs w:val="18"/>
                <w:lang w:eastAsia="es-CO"/>
                <w14:ligatures w14:val="none"/>
              </w:rPr>
              <w:t xml:space="preserve"> Concesionario S.A.S.</w:t>
            </w:r>
          </w:p>
        </w:tc>
        <w:tc>
          <w:tcPr>
            <w:tcW w:w="883" w:type="pct"/>
            <w:vAlign w:val="center"/>
            <w:hideMark/>
          </w:tcPr>
          <w:p w14:paraId="4AF27263" w14:textId="43168B96" w:rsidR="008B35C9" w:rsidRPr="002E333D" w:rsidRDefault="008B35C9" w:rsidP="000A5389">
            <w:pPr>
              <w:spacing w:line="240" w:lineRule="auto"/>
              <w:jc w:val="right"/>
              <w:rPr>
                <w:rFonts w:eastAsia="Times New Roman" w:cs="Times New Roman"/>
                <w:color w:val="000000"/>
                <w:kern w:val="0"/>
                <w:sz w:val="18"/>
                <w:szCs w:val="18"/>
                <w:lang w:eastAsia="es-CO"/>
                <w14:ligatures w14:val="none"/>
              </w:rPr>
            </w:pPr>
            <w:r w:rsidRPr="002E333D">
              <w:rPr>
                <w:rFonts w:eastAsia="Times New Roman" w:cs="Times New Roman"/>
                <w:color w:val="000000"/>
                <w:kern w:val="0"/>
                <w:sz w:val="18"/>
                <w:szCs w:val="18"/>
                <w:lang w:eastAsia="es-CO"/>
                <w14:ligatures w14:val="none"/>
              </w:rPr>
              <w:t>12.135.436.002</w:t>
            </w:r>
          </w:p>
        </w:tc>
        <w:tc>
          <w:tcPr>
            <w:tcW w:w="964" w:type="pct"/>
            <w:vAlign w:val="center"/>
            <w:hideMark/>
          </w:tcPr>
          <w:p w14:paraId="521B0F03" w14:textId="2C3A2E61" w:rsidR="008B35C9" w:rsidRPr="002E333D" w:rsidRDefault="008B35C9" w:rsidP="000A5389">
            <w:pPr>
              <w:spacing w:line="240" w:lineRule="auto"/>
              <w:jc w:val="right"/>
              <w:rPr>
                <w:rFonts w:eastAsia="Times New Roman" w:cs="Times New Roman"/>
                <w:color w:val="000000"/>
                <w:kern w:val="0"/>
                <w:sz w:val="18"/>
                <w:szCs w:val="18"/>
                <w:lang w:eastAsia="es-CO"/>
                <w14:ligatures w14:val="none"/>
              </w:rPr>
            </w:pPr>
            <w:r w:rsidRPr="002E333D">
              <w:rPr>
                <w:rFonts w:eastAsia="Times New Roman" w:cs="Times New Roman"/>
                <w:color w:val="000000"/>
                <w:kern w:val="0"/>
                <w:sz w:val="18"/>
                <w:szCs w:val="18"/>
                <w:lang w:eastAsia="es-CO"/>
                <w14:ligatures w14:val="none"/>
              </w:rPr>
              <w:t>13.248.862.098</w:t>
            </w:r>
          </w:p>
        </w:tc>
        <w:tc>
          <w:tcPr>
            <w:tcW w:w="988" w:type="pct"/>
            <w:vAlign w:val="center"/>
            <w:hideMark/>
          </w:tcPr>
          <w:p w14:paraId="731BD821" w14:textId="77777777" w:rsidR="008B35C9" w:rsidRPr="002E333D" w:rsidRDefault="008B35C9" w:rsidP="000A5389">
            <w:pPr>
              <w:spacing w:line="240" w:lineRule="auto"/>
              <w:jc w:val="right"/>
              <w:rPr>
                <w:rFonts w:eastAsia="Times New Roman" w:cs="Times New Roman"/>
                <w:color w:val="000000"/>
                <w:kern w:val="0"/>
                <w:sz w:val="18"/>
                <w:szCs w:val="18"/>
                <w:lang w:eastAsia="es-CO"/>
                <w14:ligatures w14:val="none"/>
              </w:rPr>
            </w:pPr>
            <w:r w:rsidRPr="002E333D">
              <w:rPr>
                <w:rFonts w:eastAsia="Times New Roman" w:cs="Times New Roman"/>
                <w:color w:val="000000"/>
                <w:kern w:val="0"/>
                <w:sz w:val="18"/>
                <w:szCs w:val="18"/>
                <w:lang w:eastAsia="es-CO"/>
                <w14:ligatures w14:val="none"/>
              </w:rPr>
              <w:t xml:space="preserve">-         1.113.426.096 </w:t>
            </w:r>
          </w:p>
        </w:tc>
      </w:tr>
      <w:tr w:rsidR="004B0B8A" w:rsidRPr="002E333D" w14:paraId="6D9ECEFF" w14:textId="77777777" w:rsidTr="004B0B8A">
        <w:trPr>
          <w:trHeight w:val="340"/>
        </w:trPr>
        <w:tc>
          <w:tcPr>
            <w:tcW w:w="560" w:type="pct"/>
            <w:vAlign w:val="center"/>
            <w:hideMark/>
          </w:tcPr>
          <w:p w14:paraId="2EBA8F80" w14:textId="77777777" w:rsidR="008B35C9" w:rsidRPr="002E333D" w:rsidRDefault="008B35C9" w:rsidP="000A5389">
            <w:pPr>
              <w:spacing w:line="240" w:lineRule="auto"/>
              <w:jc w:val="center"/>
              <w:rPr>
                <w:rFonts w:eastAsia="Times New Roman" w:cs="Times New Roman"/>
                <w:color w:val="000000"/>
                <w:kern w:val="0"/>
                <w:sz w:val="18"/>
                <w:szCs w:val="18"/>
                <w:lang w:eastAsia="es-CO"/>
                <w14:ligatures w14:val="none"/>
              </w:rPr>
            </w:pPr>
            <w:r w:rsidRPr="002E333D">
              <w:rPr>
                <w:rFonts w:eastAsia="Times New Roman" w:cs="Times New Roman"/>
                <w:color w:val="000000"/>
                <w:kern w:val="0"/>
                <w:sz w:val="18"/>
                <w:szCs w:val="18"/>
                <w:lang w:eastAsia="es-CO"/>
                <w14:ligatures w14:val="none"/>
              </w:rPr>
              <w:t>900894996</w:t>
            </w:r>
          </w:p>
        </w:tc>
        <w:tc>
          <w:tcPr>
            <w:tcW w:w="1606" w:type="pct"/>
            <w:vAlign w:val="center"/>
            <w:hideMark/>
          </w:tcPr>
          <w:p w14:paraId="461FFC9D" w14:textId="04D6717A" w:rsidR="008B35C9" w:rsidRPr="002E333D" w:rsidRDefault="00804632" w:rsidP="000A5389">
            <w:pPr>
              <w:spacing w:line="240" w:lineRule="auto"/>
              <w:rPr>
                <w:rFonts w:eastAsia="Times New Roman" w:cs="Times New Roman"/>
                <w:color w:val="000000"/>
                <w:kern w:val="0"/>
                <w:sz w:val="18"/>
                <w:szCs w:val="18"/>
                <w:lang w:eastAsia="es-CO"/>
                <w14:ligatures w14:val="none"/>
              </w:rPr>
            </w:pPr>
            <w:r w:rsidRPr="002E333D">
              <w:rPr>
                <w:rFonts w:eastAsia="Times New Roman" w:cs="Times New Roman"/>
                <w:color w:val="000000"/>
                <w:kern w:val="0"/>
                <w:sz w:val="18"/>
                <w:szCs w:val="18"/>
                <w:lang w:eastAsia="es-CO"/>
                <w14:ligatures w14:val="none"/>
              </w:rPr>
              <w:t>Concesión</w:t>
            </w:r>
            <w:r w:rsidR="004B0B8A" w:rsidRPr="002E333D">
              <w:rPr>
                <w:rFonts w:eastAsia="Times New Roman" w:cs="Times New Roman"/>
                <w:color w:val="000000"/>
                <w:kern w:val="0"/>
                <w:sz w:val="18"/>
                <w:szCs w:val="18"/>
                <w:lang w:eastAsia="es-CO"/>
                <w14:ligatures w14:val="none"/>
              </w:rPr>
              <w:t xml:space="preserve"> Ruta Al Mar S.A.S.</w:t>
            </w:r>
          </w:p>
        </w:tc>
        <w:tc>
          <w:tcPr>
            <w:tcW w:w="883" w:type="pct"/>
            <w:vAlign w:val="center"/>
            <w:hideMark/>
          </w:tcPr>
          <w:p w14:paraId="542AE814" w14:textId="0B3D8AFA" w:rsidR="008B35C9" w:rsidRPr="002E333D" w:rsidRDefault="008B35C9" w:rsidP="000A5389">
            <w:pPr>
              <w:spacing w:line="240" w:lineRule="auto"/>
              <w:jc w:val="right"/>
              <w:rPr>
                <w:rFonts w:eastAsia="Times New Roman" w:cs="Times New Roman"/>
                <w:color w:val="000000"/>
                <w:kern w:val="0"/>
                <w:sz w:val="18"/>
                <w:szCs w:val="18"/>
                <w:lang w:eastAsia="es-CO"/>
                <w14:ligatures w14:val="none"/>
              </w:rPr>
            </w:pPr>
            <w:r w:rsidRPr="002E333D">
              <w:rPr>
                <w:rFonts w:eastAsia="Times New Roman" w:cs="Times New Roman"/>
                <w:color w:val="000000"/>
                <w:kern w:val="0"/>
                <w:sz w:val="18"/>
                <w:szCs w:val="18"/>
                <w:lang w:eastAsia="es-CO"/>
                <w14:ligatures w14:val="none"/>
              </w:rPr>
              <w:t>11.344.512.235</w:t>
            </w:r>
          </w:p>
        </w:tc>
        <w:tc>
          <w:tcPr>
            <w:tcW w:w="964" w:type="pct"/>
            <w:vAlign w:val="center"/>
            <w:hideMark/>
          </w:tcPr>
          <w:p w14:paraId="0D162754" w14:textId="7782AF54" w:rsidR="008B35C9" w:rsidRPr="002E333D" w:rsidRDefault="008B35C9" w:rsidP="000A5389">
            <w:pPr>
              <w:spacing w:line="240" w:lineRule="auto"/>
              <w:jc w:val="right"/>
              <w:rPr>
                <w:rFonts w:eastAsia="Times New Roman" w:cs="Times New Roman"/>
                <w:color w:val="000000"/>
                <w:kern w:val="0"/>
                <w:sz w:val="18"/>
                <w:szCs w:val="18"/>
                <w:lang w:eastAsia="es-CO"/>
                <w14:ligatures w14:val="none"/>
              </w:rPr>
            </w:pPr>
            <w:r w:rsidRPr="002E333D">
              <w:rPr>
                <w:rFonts w:eastAsia="Times New Roman" w:cs="Times New Roman"/>
                <w:color w:val="000000"/>
                <w:kern w:val="0"/>
                <w:sz w:val="18"/>
                <w:szCs w:val="18"/>
                <w:lang w:eastAsia="es-CO"/>
                <w14:ligatures w14:val="none"/>
              </w:rPr>
              <w:t>10.021.252.718</w:t>
            </w:r>
          </w:p>
        </w:tc>
        <w:tc>
          <w:tcPr>
            <w:tcW w:w="988" w:type="pct"/>
            <w:vAlign w:val="center"/>
            <w:hideMark/>
          </w:tcPr>
          <w:p w14:paraId="25EF6FC0" w14:textId="77777777" w:rsidR="008B35C9" w:rsidRPr="002E333D" w:rsidRDefault="008B35C9" w:rsidP="000A5389">
            <w:pPr>
              <w:spacing w:line="240" w:lineRule="auto"/>
              <w:jc w:val="right"/>
              <w:rPr>
                <w:rFonts w:eastAsia="Times New Roman" w:cs="Times New Roman"/>
                <w:color w:val="000000"/>
                <w:kern w:val="0"/>
                <w:sz w:val="18"/>
                <w:szCs w:val="18"/>
                <w:lang w:eastAsia="es-CO"/>
                <w14:ligatures w14:val="none"/>
              </w:rPr>
            </w:pPr>
            <w:r w:rsidRPr="002E333D">
              <w:rPr>
                <w:rFonts w:eastAsia="Times New Roman" w:cs="Times New Roman"/>
                <w:color w:val="000000"/>
                <w:kern w:val="0"/>
                <w:sz w:val="18"/>
                <w:szCs w:val="18"/>
                <w:lang w:eastAsia="es-CO"/>
                <w14:ligatures w14:val="none"/>
              </w:rPr>
              <w:t xml:space="preserve">          1.323.259.517 </w:t>
            </w:r>
          </w:p>
        </w:tc>
      </w:tr>
      <w:tr w:rsidR="004B0B8A" w:rsidRPr="002E333D" w14:paraId="283F3540" w14:textId="77777777" w:rsidTr="004B0B8A">
        <w:trPr>
          <w:trHeight w:val="340"/>
        </w:trPr>
        <w:tc>
          <w:tcPr>
            <w:tcW w:w="560" w:type="pct"/>
            <w:vAlign w:val="center"/>
            <w:hideMark/>
          </w:tcPr>
          <w:p w14:paraId="0077F9F6" w14:textId="77777777" w:rsidR="008B35C9" w:rsidRPr="002E333D" w:rsidRDefault="008B35C9" w:rsidP="000A5389">
            <w:pPr>
              <w:spacing w:line="240" w:lineRule="auto"/>
              <w:jc w:val="center"/>
              <w:rPr>
                <w:rFonts w:eastAsia="Times New Roman" w:cs="Times New Roman"/>
                <w:color w:val="000000"/>
                <w:kern w:val="0"/>
                <w:sz w:val="18"/>
                <w:szCs w:val="18"/>
                <w:lang w:eastAsia="es-CO"/>
                <w14:ligatures w14:val="none"/>
              </w:rPr>
            </w:pPr>
            <w:r w:rsidRPr="002E333D">
              <w:rPr>
                <w:rFonts w:eastAsia="Times New Roman" w:cs="Times New Roman"/>
                <w:color w:val="000000"/>
                <w:kern w:val="0"/>
                <w:sz w:val="18"/>
                <w:szCs w:val="18"/>
                <w:lang w:eastAsia="es-CO"/>
                <w14:ligatures w14:val="none"/>
              </w:rPr>
              <w:t>900740893</w:t>
            </w:r>
          </w:p>
        </w:tc>
        <w:tc>
          <w:tcPr>
            <w:tcW w:w="1606" w:type="pct"/>
            <w:vAlign w:val="center"/>
            <w:hideMark/>
          </w:tcPr>
          <w:p w14:paraId="15BD0672" w14:textId="7EF3EF45" w:rsidR="008B35C9" w:rsidRPr="002E333D" w:rsidRDefault="00804632" w:rsidP="000A5389">
            <w:pPr>
              <w:spacing w:line="240" w:lineRule="auto"/>
              <w:rPr>
                <w:rFonts w:eastAsia="Times New Roman" w:cs="Times New Roman"/>
                <w:color w:val="000000"/>
                <w:kern w:val="0"/>
                <w:sz w:val="18"/>
                <w:szCs w:val="18"/>
                <w:lang w:eastAsia="es-CO"/>
                <w14:ligatures w14:val="none"/>
              </w:rPr>
            </w:pPr>
            <w:r w:rsidRPr="002E333D">
              <w:rPr>
                <w:rFonts w:eastAsia="Times New Roman" w:cs="Times New Roman"/>
                <w:color w:val="000000"/>
                <w:kern w:val="0"/>
                <w:sz w:val="18"/>
                <w:szCs w:val="18"/>
                <w:lang w:eastAsia="es-CO"/>
                <w14:ligatures w14:val="none"/>
              </w:rPr>
              <w:t>Concesión</w:t>
            </w:r>
            <w:r w:rsidR="004B0B8A" w:rsidRPr="002E333D">
              <w:rPr>
                <w:rFonts w:eastAsia="Times New Roman" w:cs="Times New Roman"/>
                <w:color w:val="000000"/>
                <w:kern w:val="0"/>
                <w:sz w:val="18"/>
                <w:szCs w:val="18"/>
                <w:lang w:eastAsia="es-CO"/>
                <w14:ligatures w14:val="none"/>
              </w:rPr>
              <w:t xml:space="preserve"> La Pintada S.A.S.</w:t>
            </w:r>
          </w:p>
        </w:tc>
        <w:tc>
          <w:tcPr>
            <w:tcW w:w="883" w:type="pct"/>
            <w:vAlign w:val="center"/>
            <w:hideMark/>
          </w:tcPr>
          <w:p w14:paraId="0FAD001C" w14:textId="1F732162" w:rsidR="008B35C9" w:rsidRPr="002E333D" w:rsidRDefault="008B35C9" w:rsidP="000A5389">
            <w:pPr>
              <w:spacing w:line="240" w:lineRule="auto"/>
              <w:jc w:val="right"/>
              <w:rPr>
                <w:rFonts w:eastAsia="Times New Roman" w:cs="Times New Roman"/>
                <w:color w:val="000000"/>
                <w:kern w:val="0"/>
                <w:sz w:val="18"/>
                <w:szCs w:val="18"/>
                <w:lang w:eastAsia="es-CO"/>
                <w14:ligatures w14:val="none"/>
              </w:rPr>
            </w:pPr>
            <w:r w:rsidRPr="002E333D">
              <w:rPr>
                <w:rFonts w:eastAsia="Times New Roman" w:cs="Times New Roman"/>
                <w:color w:val="000000"/>
                <w:kern w:val="0"/>
                <w:sz w:val="18"/>
                <w:szCs w:val="18"/>
                <w:lang w:eastAsia="es-CO"/>
                <w14:ligatures w14:val="none"/>
              </w:rPr>
              <w:t>10.184.337.033</w:t>
            </w:r>
          </w:p>
        </w:tc>
        <w:tc>
          <w:tcPr>
            <w:tcW w:w="964" w:type="pct"/>
            <w:vAlign w:val="center"/>
            <w:hideMark/>
          </w:tcPr>
          <w:p w14:paraId="7AE9F617" w14:textId="1DE60DB2" w:rsidR="008B35C9" w:rsidRPr="002E333D" w:rsidRDefault="008B35C9" w:rsidP="000A5389">
            <w:pPr>
              <w:spacing w:line="240" w:lineRule="auto"/>
              <w:jc w:val="right"/>
              <w:rPr>
                <w:rFonts w:eastAsia="Times New Roman" w:cs="Times New Roman"/>
                <w:color w:val="000000"/>
                <w:kern w:val="0"/>
                <w:sz w:val="18"/>
                <w:szCs w:val="18"/>
                <w:lang w:eastAsia="es-CO"/>
                <w14:ligatures w14:val="none"/>
              </w:rPr>
            </w:pPr>
            <w:r w:rsidRPr="002E333D">
              <w:rPr>
                <w:rFonts w:eastAsia="Times New Roman" w:cs="Times New Roman"/>
                <w:color w:val="000000"/>
                <w:kern w:val="0"/>
                <w:sz w:val="18"/>
                <w:szCs w:val="18"/>
                <w:lang w:eastAsia="es-CO"/>
                <w14:ligatures w14:val="none"/>
              </w:rPr>
              <w:t>128.123.130.692</w:t>
            </w:r>
          </w:p>
        </w:tc>
        <w:tc>
          <w:tcPr>
            <w:tcW w:w="988" w:type="pct"/>
            <w:vAlign w:val="center"/>
            <w:hideMark/>
          </w:tcPr>
          <w:p w14:paraId="7C92D696" w14:textId="77777777" w:rsidR="008B35C9" w:rsidRPr="002E333D" w:rsidRDefault="008B35C9" w:rsidP="000A5389">
            <w:pPr>
              <w:spacing w:line="240" w:lineRule="auto"/>
              <w:jc w:val="right"/>
              <w:rPr>
                <w:rFonts w:eastAsia="Times New Roman" w:cs="Times New Roman"/>
                <w:color w:val="000000"/>
                <w:kern w:val="0"/>
                <w:sz w:val="18"/>
                <w:szCs w:val="18"/>
                <w:lang w:eastAsia="es-CO"/>
                <w14:ligatures w14:val="none"/>
              </w:rPr>
            </w:pPr>
            <w:r w:rsidRPr="002E333D">
              <w:rPr>
                <w:rFonts w:eastAsia="Times New Roman" w:cs="Times New Roman"/>
                <w:color w:val="000000"/>
                <w:kern w:val="0"/>
                <w:sz w:val="18"/>
                <w:szCs w:val="18"/>
                <w:lang w:eastAsia="es-CO"/>
                <w14:ligatures w14:val="none"/>
              </w:rPr>
              <w:t xml:space="preserve">-     117.938.793.659 </w:t>
            </w:r>
          </w:p>
        </w:tc>
      </w:tr>
      <w:tr w:rsidR="004B0B8A" w:rsidRPr="002E333D" w14:paraId="6F3BAD2B" w14:textId="77777777" w:rsidTr="004B0B8A">
        <w:trPr>
          <w:trHeight w:val="340"/>
        </w:trPr>
        <w:tc>
          <w:tcPr>
            <w:tcW w:w="560" w:type="pct"/>
            <w:vAlign w:val="center"/>
            <w:hideMark/>
          </w:tcPr>
          <w:p w14:paraId="1BEA9C5D" w14:textId="77777777" w:rsidR="008B35C9" w:rsidRPr="002E333D" w:rsidRDefault="008B35C9" w:rsidP="000A5389">
            <w:pPr>
              <w:spacing w:line="240" w:lineRule="auto"/>
              <w:jc w:val="center"/>
              <w:rPr>
                <w:rFonts w:eastAsia="Times New Roman" w:cs="Times New Roman"/>
                <w:color w:val="000000"/>
                <w:kern w:val="0"/>
                <w:sz w:val="18"/>
                <w:szCs w:val="18"/>
                <w:lang w:eastAsia="es-CO"/>
                <w14:ligatures w14:val="none"/>
              </w:rPr>
            </w:pPr>
            <w:r w:rsidRPr="002E333D">
              <w:rPr>
                <w:rFonts w:eastAsia="Times New Roman" w:cs="Times New Roman"/>
                <w:color w:val="000000"/>
                <w:kern w:val="0"/>
                <w:sz w:val="18"/>
                <w:szCs w:val="18"/>
                <w:lang w:eastAsia="es-CO"/>
                <w14:ligatures w14:val="none"/>
              </w:rPr>
              <w:t>900864150</w:t>
            </w:r>
          </w:p>
        </w:tc>
        <w:tc>
          <w:tcPr>
            <w:tcW w:w="1606" w:type="pct"/>
            <w:vAlign w:val="center"/>
            <w:hideMark/>
          </w:tcPr>
          <w:p w14:paraId="127D5389" w14:textId="01F58BED" w:rsidR="008B35C9" w:rsidRPr="002E333D" w:rsidRDefault="004B0B8A" w:rsidP="000A5389">
            <w:pPr>
              <w:spacing w:line="240" w:lineRule="auto"/>
              <w:rPr>
                <w:rFonts w:eastAsia="Times New Roman" w:cs="Times New Roman"/>
                <w:color w:val="000000"/>
                <w:kern w:val="0"/>
                <w:sz w:val="18"/>
                <w:szCs w:val="18"/>
                <w:lang w:eastAsia="es-CO"/>
                <w14:ligatures w14:val="none"/>
              </w:rPr>
            </w:pPr>
            <w:r w:rsidRPr="002E333D">
              <w:rPr>
                <w:rFonts w:eastAsia="Times New Roman" w:cs="Times New Roman"/>
                <w:color w:val="000000"/>
                <w:kern w:val="0"/>
                <w:sz w:val="18"/>
                <w:szCs w:val="18"/>
                <w:lang w:eastAsia="es-CO"/>
                <w14:ligatures w14:val="none"/>
              </w:rPr>
              <w:t>Concesionaria Alternativas Viales S.A.S.</w:t>
            </w:r>
          </w:p>
        </w:tc>
        <w:tc>
          <w:tcPr>
            <w:tcW w:w="883" w:type="pct"/>
            <w:vAlign w:val="center"/>
            <w:hideMark/>
          </w:tcPr>
          <w:p w14:paraId="6CFA67A3" w14:textId="3CDCEDCF" w:rsidR="008B35C9" w:rsidRPr="002E333D" w:rsidRDefault="008B35C9" w:rsidP="000A5389">
            <w:pPr>
              <w:spacing w:line="240" w:lineRule="auto"/>
              <w:jc w:val="right"/>
              <w:rPr>
                <w:rFonts w:eastAsia="Times New Roman" w:cs="Times New Roman"/>
                <w:color w:val="000000"/>
                <w:kern w:val="0"/>
                <w:sz w:val="18"/>
                <w:szCs w:val="18"/>
                <w:lang w:eastAsia="es-CO"/>
                <w14:ligatures w14:val="none"/>
              </w:rPr>
            </w:pPr>
            <w:r w:rsidRPr="002E333D">
              <w:rPr>
                <w:rFonts w:eastAsia="Times New Roman" w:cs="Times New Roman"/>
                <w:color w:val="000000"/>
                <w:kern w:val="0"/>
                <w:sz w:val="18"/>
                <w:szCs w:val="18"/>
                <w:lang w:eastAsia="es-CO"/>
                <w14:ligatures w14:val="none"/>
              </w:rPr>
              <w:t>8.394.757.718</w:t>
            </w:r>
          </w:p>
        </w:tc>
        <w:tc>
          <w:tcPr>
            <w:tcW w:w="964" w:type="pct"/>
            <w:vAlign w:val="center"/>
            <w:hideMark/>
          </w:tcPr>
          <w:p w14:paraId="5D66D33F" w14:textId="3E48D8F6" w:rsidR="008B35C9" w:rsidRPr="002E333D" w:rsidRDefault="008B35C9" w:rsidP="000A5389">
            <w:pPr>
              <w:spacing w:line="240" w:lineRule="auto"/>
              <w:jc w:val="right"/>
              <w:rPr>
                <w:rFonts w:eastAsia="Times New Roman" w:cs="Times New Roman"/>
                <w:color w:val="000000"/>
                <w:kern w:val="0"/>
                <w:sz w:val="18"/>
                <w:szCs w:val="18"/>
                <w:lang w:eastAsia="es-CO"/>
                <w14:ligatures w14:val="none"/>
              </w:rPr>
            </w:pPr>
            <w:r w:rsidRPr="002E333D">
              <w:rPr>
                <w:rFonts w:eastAsia="Times New Roman" w:cs="Times New Roman"/>
                <w:color w:val="000000"/>
                <w:kern w:val="0"/>
                <w:sz w:val="18"/>
                <w:szCs w:val="18"/>
                <w:lang w:eastAsia="es-CO"/>
                <w14:ligatures w14:val="none"/>
              </w:rPr>
              <w:t>6.611.148.652</w:t>
            </w:r>
          </w:p>
        </w:tc>
        <w:tc>
          <w:tcPr>
            <w:tcW w:w="988" w:type="pct"/>
            <w:vAlign w:val="center"/>
            <w:hideMark/>
          </w:tcPr>
          <w:p w14:paraId="4CC2FB9E" w14:textId="77777777" w:rsidR="008B35C9" w:rsidRPr="002E333D" w:rsidRDefault="008B35C9" w:rsidP="000A5389">
            <w:pPr>
              <w:spacing w:line="240" w:lineRule="auto"/>
              <w:jc w:val="right"/>
              <w:rPr>
                <w:rFonts w:eastAsia="Times New Roman" w:cs="Times New Roman"/>
                <w:color w:val="000000"/>
                <w:kern w:val="0"/>
                <w:sz w:val="18"/>
                <w:szCs w:val="18"/>
                <w:lang w:eastAsia="es-CO"/>
                <w14:ligatures w14:val="none"/>
              </w:rPr>
            </w:pPr>
            <w:r w:rsidRPr="002E333D">
              <w:rPr>
                <w:rFonts w:eastAsia="Times New Roman" w:cs="Times New Roman"/>
                <w:color w:val="000000"/>
                <w:kern w:val="0"/>
                <w:sz w:val="18"/>
                <w:szCs w:val="18"/>
                <w:lang w:eastAsia="es-CO"/>
                <w14:ligatures w14:val="none"/>
              </w:rPr>
              <w:t xml:space="preserve">          1.783.609.066 </w:t>
            </w:r>
          </w:p>
        </w:tc>
      </w:tr>
      <w:tr w:rsidR="004B0B8A" w:rsidRPr="002E333D" w14:paraId="303C68E2" w14:textId="77777777" w:rsidTr="004B0B8A">
        <w:trPr>
          <w:trHeight w:val="340"/>
        </w:trPr>
        <w:tc>
          <w:tcPr>
            <w:tcW w:w="560" w:type="pct"/>
            <w:vAlign w:val="center"/>
            <w:hideMark/>
          </w:tcPr>
          <w:p w14:paraId="5F6F437B" w14:textId="77777777" w:rsidR="008B35C9" w:rsidRPr="002E333D" w:rsidRDefault="008B35C9" w:rsidP="000A5389">
            <w:pPr>
              <w:spacing w:line="240" w:lineRule="auto"/>
              <w:jc w:val="center"/>
              <w:rPr>
                <w:rFonts w:eastAsia="Times New Roman" w:cs="Times New Roman"/>
                <w:color w:val="000000"/>
                <w:kern w:val="0"/>
                <w:sz w:val="18"/>
                <w:szCs w:val="18"/>
                <w:lang w:eastAsia="es-CO"/>
                <w14:ligatures w14:val="none"/>
              </w:rPr>
            </w:pPr>
            <w:r w:rsidRPr="002E333D">
              <w:rPr>
                <w:rFonts w:eastAsia="Times New Roman" w:cs="Times New Roman"/>
                <w:color w:val="000000"/>
                <w:kern w:val="0"/>
                <w:sz w:val="18"/>
                <w:szCs w:val="18"/>
                <w:lang w:eastAsia="es-CO"/>
                <w14:ligatures w14:val="none"/>
              </w:rPr>
              <w:t>900816750</w:t>
            </w:r>
          </w:p>
        </w:tc>
        <w:tc>
          <w:tcPr>
            <w:tcW w:w="1606" w:type="pct"/>
            <w:vAlign w:val="center"/>
            <w:hideMark/>
          </w:tcPr>
          <w:p w14:paraId="4A7C9F13" w14:textId="2AEC2F0F" w:rsidR="008B35C9" w:rsidRPr="002E333D" w:rsidRDefault="004B0B8A" w:rsidP="000A5389">
            <w:pPr>
              <w:spacing w:line="240" w:lineRule="auto"/>
              <w:rPr>
                <w:rFonts w:eastAsia="Times New Roman" w:cs="Times New Roman"/>
                <w:color w:val="000000"/>
                <w:kern w:val="0"/>
                <w:sz w:val="18"/>
                <w:szCs w:val="18"/>
                <w:lang w:eastAsia="es-CO"/>
                <w14:ligatures w14:val="none"/>
              </w:rPr>
            </w:pPr>
            <w:r w:rsidRPr="002E333D">
              <w:rPr>
                <w:rFonts w:eastAsia="Times New Roman" w:cs="Times New Roman"/>
                <w:color w:val="000000"/>
                <w:kern w:val="0"/>
                <w:sz w:val="18"/>
                <w:szCs w:val="18"/>
                <w:lang w:eastAsia="es-CO"/>
                <w14:ligatures w14:val="none"/>
              </w:rPr>
              <w:t>App Gica S.A.</w:t>
            </w:r>
          </w:p>
        </w:tc>
        <w:tc>
          <w:tcPr>
            <w:tcW w:w="883" w:type="pct"/>
            <w:vAlign w:val="center"/>
            <w:hideMark/>
          </w:tcPr>
          <w:p w14:paraId="29EF6A21" w14:textId="1ED706D6" w:rsidR="008B35C9" w:rsidRPr="002E333D" w:rsidRDefault="008B35C9" w:rsidP="000A5389">
            <w:pPr>
              <w:spacing w:line="240" w:lineRule="auto"/>
              <w:jc w:val="right"/>
              <w:rPr>
                <w:rFonts w:eastAsia="Times New Roman" w:cs="Times New Roman"/>
                <w:color w:val="000000"/>
                <w:kern w:val="0"/>
                <w:sz w:val="18"/>
                <w:szCs w:val="18"/>
                <w:lang w:eastAsia="es-CO"/>
                <w14:ligatures w14:val="none"/>
              </w:rPr>
            </w:pPr>
            <w:r w:rsidRPr="002E333D">
              <w:rPr>
                <w:rFonts w:eastAsia="Times New Roman" w:cs="Times New Roman"/>
                <w:color w:val="000000"/>
                <w:kern w:val="0"/>
                <w:sz w:val="18"/>
                <w:szCs w:val="18"/>
                <w:lang w:eastAsia="es-CO"/>
                <w14:ligatures w14:val="none"/>
              </w:rPr>
              <w:t>7.883.726.479</w:t>
            </w:r>
          </w:p>
        </w:tc>
        <w:tc>
          <w:tcPr>
            <w:tcW w:w="964" w:type="pct"/>
            <w:vAlign w:val="center"/>
            <w:hideMark/>
          </w:tcPr>
          <w:p w14:paraId="60C73FBD" w14:textId="229C8403" w:rsidR="008B35C9" w:rsidRPr="002E333D" w:rsidRDefault="008B35C9" w:rsidP="000A5389">
            <w:pPr>
              <w:spacing w:line="240" w:lineRule="auto"/>
              <w:jc w:val="right"/>
              <w:rPr>
                <w:rFonts w:eastAsia="Times New Roman" w:cs="Times New Roman"/>
                <w:color w:val="000000"/>
                <w:kern w:val="0"/>
                <w:sz w:val="18"/>
                <w:szCs w:val="18"/>
                <w:lang w:eastAsia="es-CO"/>
                <w14:ligatures w14:val="none"/>
              </w:rPr>
            </w:pPr>
            <w:r w:rsidRPr="002E333D">
              <w:rPr>
                <w:rFonts w:eastAsia="Times New Roman" w:cs="Times New Roman"/>
                <w:color w:val="000000"/>
                <w:kern w:val="0"/>
                <w:sz w:val="18"/>
                <w:szCs w:val="18"/>
                <w:lang w:eastAsia="es-CO"/>
                <w14:ligatures w14:val="none"/>
              </w:rPr>
              <w:t>6.476.436.524</w:t>
            </w:r>
          </w:p>
        </w:tc>
        <w:tc>
          <w:tcPr>
            <w:tcW w:w="988" w:type="pct"/>
            <w:vAlign w:val="center"/>
            <w:hideMark/>
          </w:tcPr>
          <w:p w14:paraId="56E52800" w14:textId="77777777" w:rsidR="008B35C9" w:rsidRPr="002E333D" w:rsidRDefault="008B35C9" w:rsidP="000A5389">
            <w:pPr>
              <w:spacing w:line="240" w:lineRule="auto"/>
              <w:jc w:val="right"/>
              <w:rPr>
                <w:rFonts w:eastAsia="Times New Roman" w:cs="Times New Roman"/>
                <w:color w:val="000000"/>
                <w:kern w:val="0"/>
                <w:sz w:val="18"/>
                <w:szCs w:val="18"/>
                <w:lang w:eastAsia="es-CO"/>
                <w14:ligatures w14:val="none"/>
              </w:rPr>
            </w:pPr>
            <w:r w:rsidRPr="002E333D">
              <w:rPr>
                <w:rFonts w:eastAsia="Times New Roman" w:cs="Times New Roman"/>
                <w:color w:val="000000"/>
                <w:kern w:val="0"/>
                <w:sz w:val="18"/>
                <w:szCs w:val="18"/>
                <w:lang w:eastAsia="es-CO"/>
                <w14:ligatures w14:val="none"/>
              </w:rPr>
              <w:t xml:space="preserve">          1.407.289.956 </w:t>
            </w:r>
          </w:p>
        </w:tc>
      </w:tr>
      <w:tr w:rsidR="004B0B8A" w:rsidRPr="002E333D" w14:paraId="2815A88B" w14:textId="77777777" w:rsidTr="004B0B8A">
        <w:trPr>
          <w:trHeight w:val="340"/>
        </w:trPr>
        <w:tc>
          <w:tcPr>
            <w:tcW w:w="560" w:type="pct"/>
            <w:vAlign w:val="center"/>
            <w:hideMark/>
          </w:tcPr>
          <w:p w14:paraId="18907AA0" w14:textId="77777777" w:rsidR="008B35C9" w:rsidRPr="002E333D" w:rsidRDefault="008B35C9" w:rsidP="000A5389">
            <w:pPr>
              <w:spacing w:line="240" w:lineRule="auto"/>
              <w:jc w:val="center"/>
              <w:rPr>
                <w:rFonts w:eastAsia="Times New Roman" w:cs="Times New Roman"/>
                <w:color w:val="000000"/>
                <w:kern w:val="0"/>
                <w:sz w:val="18"/>
                <w:szCs w:val="18"/>
                <w:lang w:eastAsia="es-CO"/>
                <w14:ligatures w14:val="none"/>
              </w:rPr>
            </w:pPr>
            <w:r w:rsidRPr="002E333D">
              <w:rPr>
                <w:rFonts w:eastAsia="Times New Roman" w:cs="Times New Roman"/>
                <w:color w:val="000000"/>
                <w:kern w:val="0"/>
                <w:sz w:val="18"/>
                <w:szCs w:val="18"/>
                <w:lang w:eastAsia="es-CO"/>
                <w14:ligatures w14:val="none"/>
              </w:rPr>
              <w:t>900373783</w:t>
            </w:r>
          </w:p>
        </w:tc>
        <w:tc>
          <w:tcPr>
            <w:tcW w:w="1606" w:type="pct"/>
            <w:vAlign w:val="center"/>
            <w:hideMark/>
          </w:tcPr>
          <w:p w14:paraId="79BCFB67" w14:textId="7C0012A4" w:rsidR="008B35C9" w:rsidRPr="002E333D" w:rsidRDefault="00804632" w:rsidP="000A5389">
            <w:pPr>
              <w:spacing w:line="240" w:lineRule="auto"/>
              <w:rPr>
                <w:rFonts w:eastAsia="Times New Roman" w:cs="Times New Roman"/>
                <w:color w:val="000000"/>
                <w:kern w:val="0"/>
                <w:sz w:val="18"/>
                <w:szCs w:val="18"/>
                <w:lang w:eastAsia="es-CO"/>
                <w14:ligatures w14:val="none"/>
              </w:rPr>
            </w:pPr>
            <w:r w:rsidRPr="002E333D">
              <w:rPr>
                <w:rFonts w:eastAsia="Times New Roman" w:cs="Times New Roman"/>
                <w:color w:val="000000"/>
                <w:kern w:val="0"/>
                <w:sz w:val="18"/>
                <w:szCs w:val="18"/>
                <w:lang w:eastAsia="es-CO"/>
                <w14:ligatures w14:val="none"/>
              </w:rPr>
              <w:t>vías</w:t>
            </w:r>
            <w:r w:rsidR="004B0B8A" w:rsidRPr="002E333D">
              <w:rPr>
                <w:rFonts w:eastAsia="Times New Roman" w:cs="Times New Roman"/>
                <w:color w:val="000000"/>
                <w:kern w:val="0"/>
                <w:sz w:val="18"/>
                <w:szCs w:val="18"/>
                <w:lang w:eastAsia="es-CO"/>
                <w14:ligatures w14:val="none"/>
              </w:rPr>
              <w:t xml:space="preserve"> De Las Americas S.A.S.</w:t>
            </w:r>
          </w:p>
        </w:tc>
        <w:tc>
          <w:tcPr>
            <w:tcW w:w="883" w:type="pct"/>
            <w:vAlign w:val="center"/>
            <w:hideMark/>
          </w:tcPr>
          <w:p w14:paraId="62058FDC" w14:textId="4434B382" w:rsidR="008B35C9" w:rsidRPr="002E333D" w:rsidRDefault="008B35C9" w:rsidP="000A5389">
            <w:pPr>
              <w:spacing w:line="240" w:lineRule="auto"/>
              <w:jc w:val="right"/>
              <w:rPr>
                <w:rFonts w:eastAsia="Times New Roman" w:cs="Times New Roman"/>
                <w:color w:val="000000"/>
                <w:kern w:val="0"/>
                <w:sz w:val="18"/>
                <w:szCs w:val="18"/>
                <w:lang w:eastAsia="es-CO"/>
                <w14:ligatures w14:val="none"/>
              </w:rPr>
            </w:pPr>
            <w:r w:rsidRPr="002E333D">
              <w:rPr>
                <w:rFonts w:eastAsia="Times New Roman" w:cs="Times New Roman"/>
                <w:color w:val="000000"/>
                <w:kern w:val="0"/>
                <w:sz w:val="18"/>
                <w:szCs w:val="18"/>
                <w:lang w:eastAsia="es-CO"/>
                <w14:ligatures w14:val="none"/>
              </w:rPr>
              <w:t>7.365.152.993</w:t>
            </w:r>
          </w:p>
        </w:tc>
        <w:tc>
          <w:tcPr>
            <w:tcW w:w="964" w:type="pct"/>
            <w:vAlign w:val="center"/>
            <w:hideMark/>
          </w:tcPr>
          <w:p w14:paraId="0A6CC510" w14:textId="0B6F2A8B" w:rsidR="008B35C9" w:rsidRPr="002E333D" w:rsidRDefault="008B35C9" w:rsidP="000A5389">
            <w:pPr>
              <w:spacing w:line="240" w:lineRule="auto"/>
              <w:jc w:val="right"/>
              <w:rPr>
                <w:rFonts w:eastAsia="Times New Roman" w:cs="Times New Roman"/>
                <w:color w:val="000000"/>
                <w:kern w:val="0"/>
                <w:sz w:val="18"/>
                <w:szCs w:val="18"/>
                <w:lang w:eastAsia="es-CO"/>
                <w14:ligatures w14:val="none"/>
              </w:rPr>
            </w:pPr>
            <w:r w:rsidRPr="002E333D">
              <w:rPr>
                <w:rFonts w:eastAsia="Times New Roman" w:cs="Times New Roman"/>
                <w:color w:val="000000"/>
                <w:kern w:val="0"/>
                <w:sz w:val="18"/>
                <w:szCs w:val="18"/>
                <w:lang w:eastAsia="es-CO"/>
                <w14:ligatures w14:val="none"/>
              </w:rPr>
              <w:t>143.651.593.982</w:t>
            </w:r>
          </w:p>
        </w:tc>
        <w:tc>
          <w:tcPr>
            <w:tcW w:w="988" w:type="pct"/>
            <w:vAlign w:val="center"/>
            <w:hideMark/>
          </w:tcPr>
          <w:p w14:paraId="09D0BDFF" w14:textId="77777777" w:rsidR="008B35C9" w:rsidRPr="002E333D" w:rsidRDefault="008B35C9" w:rsidP="000A5389">
            <w:pPr>
              <w:spacing w:line="240" w:lineRule="auto"/>
              <w:jc w:val="right"/>
              <w:rPr>
                <w:rFonts w:eastAsia="Times New Roman" w:cs="Times New Roman"/>
                <w:color w:val="000000"/>
                <w:kern w:val="0"/>
                <w:sz w:val="18"/>
                <w:szCs w:val="18"/>
                <w:lang w:eastAsia="es-CO"/>
                <w14:ligatures w14:val="none"/>
              </w:rPr>
            </w:pPr>
            <w:r w:rsidRPr="002E333D">
              <w:rPr>
                <w:rFonts w:eastAsia="Times New Roman" w:cs="Times New Roman"/>
                <w:color w:val="000000"/>
                <w:kern w:val="0"/>
                <w:sz w:val="18"/>
                <w:szCs w:val="18"/>
                <w:lang w:eastAsia="es-CO"/>
                <w14:ligatures w14:val="none"/>
              </w:rPr>
              <w:t xml:space="preserve">-     136.286.440.989 </w:t>
            </w:r>
          </w:p>
        </w:tc>
      </w:tr>
      <w:tr w:rsidR="004B0B8A" w:rsidRPr="002E333D" w14:paraId="28B5A241" w14:textId="77777777" w:rsidTr="004B0B8A">
        <w:trPr>
          <w:trHeight w:val="340"/>
        </w:trPr>
        <w:tc>
          <w:tcPr>
            <w:tcW w:w="560" w:type="pct"/>
            <w:vAlign w:val="center"/>
            <w:hideMark/>
          </w:tcPr>
          <w:p w14:paraId="61EFAC38" w14:textId="77777777" w:rsidR="008B35C9" w:rsidRPr="002E333D" w:rsidRDefault="008B35C9" w:rsidP="000A5389">
            <w:pPr>
              <w:spacing w:line="240" w:lineRule="auto"/>
              <w:jc w:val="center"/>
              <w:rPr>
                <w:rFonts w:eastAsia="Times New Roman" w:cs="Times New Roman"/>
                <w:color w:val="000000"/>
                <w:kern w:val="0"/>
                <w:sz w:val="18"/>
                <w:szCs w:val="18"/>
                <w:lang w:eastAsia="es-CO"/>
                <w14:ligatures w14:val="none"/>
              </w:rPr>
            </w:pPr>
            <w:r w:rsidRPr="002E333D">
              <w:rPr>
                <w:rFonts w:eastAsia="Times New Roman" w:cs="Times New Roman"/>
                <w:color w:val="000000"/>
                <w:kern w:val="0"/>
                <w:sz w:val="18"/>
                <w:szCs w:val="18"/>
                <w:lang w:eastAsia="es-CO"/>
                <w14:ligatures w14:val="none"/>
              </w:rPr>
              <w:t>900225133</w:t>
            </w:r>
          </w:p>
        </w:tc>
        <w:tc>
          <w:tcPr>
            <w:tcW w:w="1606" w:type="pct"/>
            <w:vAlign w:val="center"/>
            <w:hideMark/>
          </w:tcPr>
          <w:p w14:paraId="42AEC460" w14:textId="70EC518A" w:rsidR="008B35C9" w:rsidRPr="002E333D" w:rsidRDefault="004B0B8A" w:rsidP="000A5389">
            <w:pPr>
              <w:spacing w:line="240" w:lineRule="auto"/>
              <w:rPr>
                <w:rFonts w:eastAsia="Times New Roman" w:cs="Times New Roman"/>
                <w:color w:val="000000"/>
                <w:kern w:val="0"/>
                <w:sz w:val="18"/>
                <w:szCs w:val="18"/>
                <w:lang w:eastAsia="es-CO"/>
                <w14:ligatures w14:val="none"/>
              </w:rPr>
            </w:pPr>
            <w:r w:rsidRPr="002E333D">
              <w:rPr>
                <w:rFonts w:eastAsia="Times New Roman" w:cs="Times New Roman"/>
                <w:color w:val="000000"/>
                <w:kern w:val="0"/>
                <w:sz w:val="18"/>
                <w:szCs w:val="18"/>
                <w:lang w:eastAsia="es-CO"/>
                <w14:ligatures w14:val="none"/>
              </w:rPr>
              <w:t>Ferrocarril Del Pacifico Sas</w:t>
            </w:r>
          </w:p>
        </w:tc>
        <w:tc>
          <w:tcPr>
            <w:tcW w:w="883" w:type="pct"/>
            <w:vAlign w:val="center"/>
            <w:hideMark/>
          </w:tcPr>
          <w:p w14:paraId="45B05D28" w14:textId="2D58BDAA" w:rsidR="008B35C9" w:rsidRPr="002E333D" w:rsidRDefault="008B35C9" w:rsidP="000A5389">
            <w:pPr>
              <w:spacing w:line="240" w:lineRule="auto"/>
              <w:jc w:val="right"/>
              <w:rPr>
                <w:rFonts w:eastAsia="Times New Roman" w:cs="Times New Roman"/>
                <w:color w:val="000000"/>
                <w:kern w:val="0"/>
                <w:sz w:val="18"/>
                <w:szCs w:val="18"/>
                <w:lang w:eastAsia="es-CO"/>
                <w14:ligatures w14:val="none"/>
              </w:rPr>
            </w:pPr>
            <w:r w:rsidRPr="002E333D">
              <w:rPr>
                <w:rFonts w:eastAsia="Times New Roman" w:cs="Times New Roman"/>
                <w:color w:val="000000"/>
                <w:kern w:val="0"/>
                <w:sz w:val="18"/>
                <w:szCs w:val="18"/>
                <w:lang w:eastAsia="es-CO"/>
                <w14:ligatures w14:val="none"/>
              </w:rPr>
              <w:t>6.461.034.373</w:t>
            </w:r>
          </w:p>
        </w:tc>
        <w:tc>
          <w:tcPr>
            <w:tcW w:w="964" w:type="pct"/>
            <w:vAlign w:val="center"/>
            <w:hideMark/>
          </w:tcPr>
          <w:p w14:paraId="19F2AFE9" w14:textId="4C4B27D6" w:rsidR="008B35C9" w:rsidRPr="002E333D" w:rsidRDefault="008B35C9" w:rsidP="000A5389">
            <w:pPr>
              <w:spacing w:line="240" w:lineRule="auto"/>
              <w:jc w:val="right"/>
              <w:rPr>
                <w:rFonts w:eastAsia="Times New Roman" w:cs="Times New Roman"/>
                <w:color w:val="000000"/>
                <w:kern w:val="0"/>
                <w:sz w:val="18"/>
                <w:szCs w:val="18"/>
                <w:lang w:eastAsia="es-CO"/>
                <w14:ligatures w14:val="none"/>
              </w:rPr>
            </w:pPr>
            <w:r w:rsidRPr="002E333D">
              <w:rPr>
                <w:rFonts w:eastAsia="Times New Roman" w:cs="Times New Roman"/>
                <w:color w:val="000000"/>
                <w:kern w:val="0"/>
                <w:sz w:val="18"/>
                <w:szCs w:val="18"/>
                <w:lang w:eastAsia="es-CO"/>
                <w14:ligatures w14:val="none"/>
              </w:rPr>
              <w:t>8.404.808.400</w:t>
            </w:r>
          </w:p>
        </w:tc>
        <w:tc>
          <w:tcPr>
            <w:tcW w:w="988" w:type="pct"/>
            <w:vAlign w:val="center"/>
            <w:hideMark/>
          </w:tcPr>
          <w:p w14:paraId="0E533219" w14:textId="77777777" w:rsidR="008B35C9" w:rsidRPr="002E333D" w:rsidRDefault="008B35C9" w:rsidP="000A5389">
            <w:pPr>
              <w:spacing w:line="240" w:lineRule="auto"/>
              <w:jc w:val="right"/>
              <w:rPr>
                <w:rFonts w:eastAsia="Times New Roman" w:cs="Times New Roman"/>
                <w:color w:val="000000"/>
                <w:kern w:val="0"/>
                <w:sz w:val="18"/>
                <w:szCs w:val="18"/>
                <w:lang w:eastAsia="es-CO"/>
                <w14:ligatures w14:val="none"/>
              </w:rPr>
            </w:pPr>
            <w:r w:rsidRPr="002E333D">
              <w:rPr>
                <w:rFonts w:eastAsia="Times New Roman" w:cs="Times New Roman"/>
                <w:color w:val="000000"/>
                <w:kern w:val="0"/>
                <w:sz w:val="18"/>
                <w:szCs w:val="18"/>
                <w:lang w:eastAsia="es-CO"/>
                <w14:ligatures w14:val="none"/>
              </w:rPr>
              <w:t xml:space="preserve">-         1.943.774.027 </w:t>
            </w:r>
          </w:p>
        </w:tc>
      </w:tr>
      <w:tr w:rsidR="004B0B8A" w:rsidRPr="002E333D" w14:paraId="09378DF4" w14:textId="77777777" w:rsidTr="004B0B8A">
        <w:trPr>
          <w:trHeight w:val="340"/>
        </w:trPr>
        <w:tc>
          <w:tcPr>
            <w:tcW w:w="560" w:type="pct"/>
            <w:vAlign w:val="center"/>
            <w:hideMark/>
          </w:tcPr>
          <w:p w14:paraId="5B1E61CA" w14:textId="77777777" w:rsidR="008B35C9" w:rsidRPr="002E333D" w:rsidRDefault="008B35C9" w:rsidP="000A5389">
            <w:pPr>
              <w:spacing w:line="240" w:lineRule="auto"/>
              <w:jc w:val="center"/>
              <w:rPr>
                <w:rFonts w:eastAsia="Times New Roman" w:cs="Times New Roman"/>
                <w:color w:val="000000"/>
                <w:kern w:val="0"/>
                <w:sz w:val="18"/>
                <w:szCs w:val="18"/>
                <w:lang w:eastAsia="es-CO"/>
                <w14:ligatures w14:val="none"/>
              </w:rPr>
            </w:pPr>
            <w:r w:rsidRPr="002E333D">
              <w:rPr>
                <w:rFonts w:eastAsia="Times New Roman" w:cs="Times New Roman"/>
                <w:color w:val="000000"/>
                <w:kern w:val="0"/>
                <w:sz w:val="18"/>
                <w:szCs w:val="18"/>
                <w:lang w:eastAsia="es-CO"/>
                <w14:ligatures w14:val="none"/>
              </w:rPr>
              <w:t>900848064</w:t>
            </w:r>
          </w:p>
        </w:tc>
        <w:tc>
          <w:tcPr>
            <w:tcW w:w="1606" w:type="pct"/>
            <w:vAlign w:val="center"/>
            <w:hideMark/>
          </w:tcPr>
          <w:p w14:paraId="379A7BD8" w14:textId="06ADA221" w:rsidR="008B35C9" w:rsidRPr="002E333D" w:rsidRDefault="004B0B8A" w:rsidP="000A5389">
            <w:pPr>
              <w:spacing w:line="240" w:lineRule="auto"/>
              <w:rPr>
                <w:rFonts w:eastAsia="Times New Roman" w:cs="Times New Roman"/>
                <w:color w:val="000000"/>
                <w:kern w:val="0"/>
                <w:sz w:val="18"/>
                <w:szCs w:val="18"/>
                <w:lang w:eastAsia="es-CO"/>
                <w14:ligatures w14:val="none"/>
              </w:rPr>
            </w:pPr>
            <w:r w:rsidRPr="002E333D">
              <w:rPr>
                <w:rFonts w:eastAsia="Times New Roman" w:cs="Times New Roman"/>
                <w:color w:val="000000"/>
                <w:kern w:val="0"/>
                <w:sz w:val="18"/>
                <w:szCs w:val="18"/>
                <w:lang w:eastAsia="es-CO"/>
                <w14:ligatures w14:val="none"/>
              </w:rPr>
              <w:t xml:space="preserve">Concesionaria Vial Andina S A S  </w:t>
            </w:r>
          </w:p>
        </w:tc>
        <w:tc>
          <w:tcPr>
            <w:tcW w:w="883" w:type="pct"/>
            <w:vAlign w:val="center"/>
            <w:hideMark/>
          </w:tcPr>
          <w:p w14:paraId="3C8DD1CE" w14:textId="53C11684" w:rsidR="008B35C9" w:rsidRPr="002E333D" w:rsidRDefault="008B35C9" w:rsidP="000A5389">
            <w:pPr>
              <w:spacing w:line="240" w:lineRule="auto"/>
              <w:jc w:val="right"/>
              <w:rPr>
                <w:rFonts w:eastAsia="Times New Roman" w:cs="Times New Roman"/>
                <w:color w:val="000000"/>
                <w:kern w:val="0"/>
                <w:sz w:val="18"/>
                <w:szCs w:val="18"/>
                <w:lang w:eastAsia="es-CO"/>
                <w14:ligatures w14:val="none"/>
              </w:rPr>
            </w:pPr>
            <w:r w:rsidRPr="002E333D">
              <w:rPr>
                <w:rFonts w:eastAsia="Times New Roman" w:cs="Times New Roman"/>
                <w:color w:val="000000"/>
                <w:kern w:val="0"/>
                <w:sz w:val="18"/>
                <w:szCs w:val="18"/>
                <w:lang w:eastAsia="es-CO"/>
                <w14:ligatures w14:val="none"/>
              </w:rPr>
              <w:t>4.981.754.923</w:t>
            </w:r>
          </w:p>
        </w:tc>
        <w:tc>
          <w:tcPr>
            <w:tcW w:w="964" w:type="pct"/>
            <w:vAlign w:val="center"/>
            <w:hideMark/>
          </w:tcPr>
          <w:p w14:paraId="27B6987D" w14:textId="00F352DF" w:rsidR="008B35C9" w:rsidRPr="002E333D" w:rsidRDefault="008B35C9" w:rsidP="000A5389">
            <w:pPr>
              <w:spacing w:line="240" w:lineRule="auto"/>
              <w:jc w:val="right"/>
              <w:rPr>
                <w:rFonts w:eastAsia="Times New Roman" w:cs="Times New Roman"/>
                <w:color w:val="000000"/>
                <w:kern w:val="0"/>
                <w:sz w:val="18"/>
                <w:szCs w:val="18"/>
                <w:lang w:eastAsia="es-CO"/>
                <w14:ligatures w14:val="none"/>
              </w:rPr>
            </w:pPr>
            <w:r w:rsidRPr="002E333D">
              <w:rPr>
                <w:rFonts w:eastAsia="Times New Roman" w:cs="Times New Roman"/>
                <w:color w:val="000000"/>
                <w:kern w:val="0"/>
                <w:sz w:val="18"/>
                <w:szCs w:val="18"/>
                <w:lang w:eastAsia="es-CO"/>
                <w14:ligatures w14:val="none"/>
              </w:rPr>
              <w:t>1.673.151.188</w:t>
            </w:r>
          </w:p>
        </w:tc>
        <w:tc>
          <w:tcPr>
            <w:tcW w:w="988" w:type="pct"/>
            <w:vAlign w:val="center"/>
            <w:hideMark/>
          </w:tcPr>
          <w:p w14:paraId="2304C648" w14:textId="77777777" w:rsidR="008B35C9" w:rsidRPr="002E333D" w:rsidRDefault="008B35C9" w:rsidP="000A5389">
            <w:pPr>
              <w:spacing w:line="240" w:lineRule="auto"/>
              <w:jc w:val="right"/>
              <w:rPr>
                <w:rFonts w:eastAsia="Times New Roman" w:cs="Times New Roman"/>
                <w:color w:val="000000"/>
                <w:kern w:val="0"/>
                <w:sz w:val="18"/>
                <w:szCs w:val="18"/>
                <w:lang w:eastAsia="es-CO"/>
                <w14:ligatures w14:val="none"/>
              </w:rPr>
            </w:pPr>
            <w:r w:rsidRPr="002E333D">
              <w:rPr>
                <w:rFonts w:eastAsia="Times New Roman" w:cs="Times New Roman"/>
                <w:color w:val="000000"/>
                <w:kern w:val="0"/>
                <w:sz w:val="18"/>
                <w:szCs w:val="18"/>
                <w:lang w:eastAsia="es-CO"/>
                <w14:ligatures w14:val="none"/>
              </w:rPr>
              <w:t xml:space="preserve">          3.308.603.735 </w:t>
            </w:r>
          </w:p>
        </w:tc>
      </w:tr>
      <w:tr w:rsidR="004B0B8A" w:rsidRPr="002E333D" w14:paraId="4FF9F1CE" w14:textId="77777777" w:rsidTr="004B0B8A">
        <w:trPr>
          <w:trHeight w:val="340"/>
        </w:trPr>
        <w:tc>
          <w:tcPr>
            <w:tcW w:w="560" w:type="pct"/>
            <w:vAlign w:val="center"/>
            <w:hideMark/>
          </w:tcPr>
          <w:p w14:paraId="334D7C4B" w14:textId="77777777" w:rsidR="008B35C9" w:rsidRPr="002E333D" w:rsidRDefault="008B35C9" w:rsidP="000A5389">
            <w:pPr>
              <w:spacing w:line="240" w:lineRule="auto"/>
              <w:jc w:val="center"/>
              <w:rPr>
                <w:rFonts w:eastAsia="Times New Roman" w:cs="Times New Roman"/>
                <w:color w:val="000000"/>
                <w:kern w:val="0"/>
                <w:sz w:val="18"/>
                <w:szCs w:val="18"/>
                <w:lang w:eastAsia="es-CO"/>
                <w14:ligatures w14:val="none"/>
              </w:rPr>
            </w:pPr>
            <w:r w:rsidRPr="002E333D">
              <w:rPr>
                <w:rFonts w:eastAsia="Times New Roman" w:cs="Times New Roman"/>
                <w:color w:val="000000"/>
                <w:kern w:val="0"/>
                <w:sz w:val="18"/>
                <w:szCs w:val="18"/>
                <w:lang w:eastAsia="es-CO"/>
                <w14:ligatures w14:val="none"/>
              </w:rPr>
              <w:t>830025490</w:t>
            </w:r>
          </w:p>
        </w:tc>
        <w:tc>
          <w:tcPr>
            <w:tcW w:w="1606" w:type="pct"/>
            <w:vAlign w:val="center"/>
            <w:hideMark/>
          </w:tcPr>
          <w:p w14:paraId="3EA61AFE" w14:textId="5A757B1A" w:rsidR="008B35C9" w:rsidRPr="002E333D" w:rsidRDefault="004B0B8A" w:rsidP="000A5389">
            <w:pPr>
              <w:spacing w:line="240" w:lineRule="auto"/>
              <w:rPr>
                <w:rFonts w:eastAsia="Times New Roman" w:cs="Times New Roman"/>
                <w:color w:val="000000"/>
                <w:kern w:val="0"/>
                <w:sz w:val="18"/>
                <w:szCs w:val="18"/>
                <w:lang w:eastAsia="es-CO"/>
                <w14:ligatures w14:val="none"/>
              </w:rPr>
            </w:pPr>
            <w:r w:rsidRPr="002E333D">
              <w:rPr>
                <w:rFonts w:eastAsia="Times New Roman" w:cs="Times New Roman"/>
                <w:color w:val="000000"/>
                <w:kern w:val="0"/>
                <w:sz w:val="18"/>
                <w:szCs w:val="18"/>
                <w:lang w:eastAsia="es-CO"/>
                <w14:ligatures w14:val="none"/>
              </w:rPr>
              <w:t>Autopistas Del Cafe S.A.</w:t>
            </w:r>
          </w:p>
        </w:tc>
        <w:tc>
          <w:tcPr>
            <w:tcW w:w="883" w:type="pct"/>
            <w:vAlign w:val="center"/>
            <w:hideMark/>
          </w:tcPr>
          <w:p w14:paraId="056662A3" w14:textId="10DAEE0B" w:rsidR="008B35C9" w:rsidRPr="002E333D" w:rsidRDefault="008B35C9" w:rsidP="000A5389">
            <w:pPr>
              <w:spacing w:line="240" w:lineRule="auto"/>
              <w:jc w:val="right"/>
              <w:rPr>
                <w:rFonts w:eastAsia="Times New Roman" w:cs="Times New Roman"/>
                <w:color w:val="000000"/>
                <w:kern w:val="0"/>
                <w:sz w:val="18"/>
                <w:szCs w:val="18"/>
                <w:lang w:eastAsia="es-CO"/>
                <w14:ligatures w14:val="none"/>
              </w:rPr>
            </w:pPr>
            <w:r w:rsidRPr="002E333D">
              <w:rPr>
                <w:rFonts w:eastAsia="Times New Roman" w:cs="Times New Roman"/>
                <w:color w:val="000000"/>
                <w:kern w:val="0"/>
                <w:sz w:val="18"/>
                <w:szCs w:val="18"/>
                <w:lang w:eastAsia="es-CO"/>
                <w14:ligatures w14:val="none"/>
              </w:rPr>
              <w:t>4.965.154.728</w:t>
            </w:r>
          </w:p>
        </w:tc>
        <w:tc>
          <w:tcPr>
            <w:tcW w:w="964" w:type="pct"/>
            <w:vAlign w:val="center"/>
            <w:hideMark/>
          </w:tcPr>
          <w:p w14:paraId="43E2AAF5" w14:textId="6A8845D6" w:rsidR="008B35C9" w:rsidRPr="002E333D" w:rsidRDefault="008B35C9" w:rsidP="000A5389">
            <w:pPr>
              <w:spacing w:line="240" w:lineRule="auto"/>
              <w:jc w:val="right"/>
              <w:rPr>
                <w:rFonts w:eastAsia="Times New Roman" w:cs="Times New Roman"/>
                <w:color w:val="000000"/>
                <w:kern w:val="0"/>
                <w:sz w:val="18"/>
                <w:szCs w:val="18"/>
                <w:lang w:eastAsia="es-CO"/>
                <w14:ligatures w14:val="none"/>
              </w:rPr>
            </w:pPr>
            <w:r w:rsidRPr="002E333D">
              <w:rPr>
                <w:rFonts w:eastAsia="Times New Roman" w:cs="Times New Roman"/>
                <w:color w:val="000000"/>
                <w:kern w:val="0"/>
                <w:sz w:val="18"/>
                <w:szCs w:val="18"/>
                <w:lang w:eastAsia="es-CO"/>
                <w14:ligatures w14:val="none"/>
              </w:rPr>
              <w:t>8.248.148.896</w:t>
            </w:r>
          </w:p>
        </w:tc>
        <w:tc>
          <w:tcPr>
            <w:tcW w:w="988" w:type="pct"/>
            <w:vAlign w:val="center"/>
            <w:hideMark/>
          </w:tcPr>
          <w:p w14:paraId="69C54521" w14:textId="77777777" w:rsidR="008B35C9" w:rsidRPr="002E333D" w:rsidRDefault="008B35C9" w:rsidP="000A5389">
            <w:pPr>
              <w:spacing w:line="240" w:lineRule="auto"/>
              <w:jc w:val="right"/>
              <w:rPr>
                <w:rFonts w:eastAsia="Times New Roman" w:cs="Times New Roman"/>
                <w:color w:val="000000"/>
                <w:kern w:val="0"/>
                <w:sz w:val="18"/>
                <w:szCs w:val="18"/>
                <w:lang w:eastAsia="es-CO"/>
                <w14:ligatures w14:val="none"/>
              </w:rPr>
            </w:pPr>
            <w:r w:rsidRPr="002E333D">
              <w:rPr>
                <w:rFonts w:eastAsia="Times New Roman" w:cs="Times New Roman"/>
                <w:color w:val="000000"/>
                <w:kern w:val="0"/>
                <w:sz w:val="18"/>
                <w:szCs w:val="18"/>
                <w:lang w:eastAsia="es-CO"/>
                <w14:ligatures w14:val="none"/>
              </w:rPr>
              <w:t xml:space="preserve">-         3.282.994.168 </w:t>
            </w:r>
          </w:p>
        </w:tc>
      </w:tr>
      <w:tr w:rsidR="004B0B8A" w:rsidRPr="002E333D" w14:paraId="477C0432" w14:textId="77777777" w:rsidTr="004B0B8A">
        <w:trPr>
          <w:trHeight w:val="340"/>
        </w:trPr>
        <w:tc>
          <w:tcPr>
            <w:tcW w:w="560" w:type="pct"/>
            <w:vAlign w:val="center"/>
            <w:hideMark/>
          </w:tcPr>
          <w:p w14:paraId="42BE5E7A" w14:textId="77777777" w:rsidR="008B35C9" w:rsidRPr="002E333D" w:rsidRDefault="008B35C9" w:rsidP="000A5389">
            <w:pPr>
              <w:spacing w:line="240" w:lineRule="auto"/>
              <w:jc w:val="center"/>
              <w:rPr>
                <w:rFonts w:eastAsia="Times New Roman" w:cs="Times New Roman"/>
                <w:color w:val="000000"/>
                <w:kern w:val="0"/>
                <w:sz w:val="18"/>
                <w:szCs w:val="18"/>
                <w:lang w:eastAsia="es-CO"/>
                <w14:ligatures w14:val="none"/>
              </w:rPr>
            </w:pPr>
            <w:r w:rsidRPr="002E333D">
              <w:rPr>
                <w:rFonts w:eastAsia="Times New Roman" w:cs="Times New Roman"/>
                <w:color w:val="000000"/>
                <w:kern w:val="0"/>
                <w:sz w:val="18"/>
                <w:szCs w:val="18"/>
                <w:lang w:eastAsia="es-CO"/>
                <w14:ligatures w14:val="none"/>
              </w:rPr>
              <w:lastRenderedPageBreak/>
              <w:t>900162704</w:t>
            </w:r>
          </w:p>
        </w:tc>
        <w:tc>
          <w:tcPr>
            <w:tcW w:w="1606" w:type="pct"/>
            <w:vAlign w:val="center"/>
            <w:hideMark/>
          </w:tcPr>
          <w:p w14:paraId="1C3B44B7" w14:textId="6476C255" w:rsidR="008B35C9" w:rsidRPr="002E333D" w:rsidRDefault="004B0B8A" w:rsidP="000A5389">
            <w:pPr>
              <w:spacing w:line="240" w:lineRule="auto"/>
              <w:rPr>
                <w:rFonts w:eastAsia="Times New Roman" w:cs="Times New Roman"/>
                <w:color w:val="000000"/>
                <w:kern w:val="0"/>
                <w:sz w:val="18"/>
                <w:szCs w:val="18"/>
                <w:lang w:eastAsia="es-CO"/>
                <w14:ligatures w14:val="none"/>
              </w:rPr>
            </w:pPr>
            <w:r w:rsidRPr="002E333D">
              <w:rPr>
                <w:rFonts w:eastAsia="Times New Roman" w:cs="Times New Roman"/>
                <w:color w:val="000000"/>
                <w:kern w:val="0"/>
                <w:sz w:val="18"/>
                <w:szCs w:val="18"/>
                <w:lang w:eastAsia="es-CO"/>
                <w14:ligatures w14:val="none"/>
              </w:rPr>
              <w:t xml:space="preserve">Concesionaria San </w:t>
            </w:r>
            <w:r w:rsidR="00804632" w:rsidRPr="002E333D">
              <w:rPr>
                <w:rFonts w:eastAsia="Times New Roman" w:cs="Times New Roman"/>
                <w:color w:val="000000"/>
                <w:kern w:val="0"/>
                <w:sz w:val="18"/>
                <w:szCs w:val="18"/>
                <w:lang w:eastAsia="es-CO"/>
                <w14:ligatures w14:val="none"/>
              </w:rPr>
              <w:t>Simón</w:t>
            </w:r>
            <w:r w:rsidRPr="002E333D">
              <w:rPr>
                <w:rFonts w:eastAsia="Times New Roman" w:cs="Times New Roman"/>
                <w:color w:val="000000"/>
                <w:kern w:val="0"/>
                <w:sz w:val="18"/>
                <w:szCs w:val="18"/>
                <w:lang w:eastAsia="es-CO"/>
                <w14:ligatures w14:val="none"/>
              </w:rPr>
              <w:t xml:space="preserve"> S A</w:t>
            </w:r>
          </w:p>
        </w:tc>
        <w:tc>
          <w:tcPr>
            <w:tcW w:w="883" w:type="pct"/>
            <w:vAlign w:val="center"/>
            <w:hideMark/>
          </w:tcPr>
          <w:p w14:paraId="28C7E484" w14:textId="4F53437C" w:rsidR="008B35C9" w:rsidRPr="002E333D" w:rsidRDefault="008B35C9" w:rsidP="000A5389">
            <w:pPr>
              <w:spacing w:line="240" w:lineRule="auto"/>
              <w:jc w:val="right"/>
              <w:rPr>
                <w:rFonts w:eastAsia="Times New Roman" w:cs="Times New Roman"/>
                <w:color w:val="000000"/>
                <w:kern w:val="0"/>
                <w:sz w:val="18"/>
                <w:szCs w:val="18"/>
                <w:lang w:eastAsia="es-CO"/>
                <w14:ligatures w14:val="none"/>
              </w:rPr>
            </w:pPr>
            <w:r w:rsidRPr="002E333D">
              <w:rPr>
                <w:rFonts w:eastAsia="Times New Roman" w:cs="Times New Roman"/>
                <w:color w:val="000000"/>
                <w:kern w:val="0"/>
                <w:sz w:val="18"/>
                <w:szCs w:val="18"/>
                <w:lang w:eastAsia="es-CO"/>
                <w14:ligatures w14:val="none"/>
              </w:rPr>
              <w:t>2.563.091.517</w:t>
            </w:r>
          </w:p>
        </w:tc>
        <w:tc>
          <w:tcPr>
            <w:tcW w:w="964" w:type="pct"/>
            <w:vAlign w:val="center"/>
            <w:hideMark/>
          </w:tcPr>
          <w:p w14:paraId="17967319" w14:textId="35E2FC35" w:rsidR="008B35C9" w:rsidRPr="002E333D" w:rsidRDefault="008B35C9" w:rsidP="000A5389">
            <w:pPr>
              <w:spacing w:line="240" w:lineRule="auto"/>
              <w:jc w:val="right"/>
              <w:rPr>
                <w:rFonts w:eastAsia="Times New Roman" w:cs="Times New Roman"/>
                <w:color w:val="000000"/>
                <w:kern w:val="0"/>
                <w:sz w:val="18"/>
                <w:szCs w:val="18"/>
                <w:lang w:eastAsia="es-CO"/>
                <w14:ligatures w14:val="none"/>
              </w:rPr>
            </w:pPr>
            <w:r w:rsidRPr="002E333D">
              <w:rPr>
                <w:rFonts w:eastAsia="Times New Roman" w:cs="Times New Roman"/>
                <w:color w:val="000000"/>
                <w:kern w:val="0"/>
                <w:sz w:val="18"/>
                <w:szCs w:val="18"/>
                <w:lang w:eastAsia="es-CO"/>
                <w14:ligatures w14:val="none"/>
              </w:rPr>
              <w:t>2.289.912.795</w:t>
            </w:r>
          </w:p>
        </w:tc>
        <w:tc>
          <w:tcPr>
            <w:tcW w:w="988" w:type="pct"/>
            <w:vAlign w:val="center"/>
            <w:hideMark/>
          </w:tcPr>
          <w:p w14:paraId="01CA4314" w14:textId="77777777" w:rsidR="008B35C9" w:rsidRPr="002E333D" w:rsidRDefault="008B35C9" w:rsidP="000A5389">
            <w:pPr>
              <w:spacing w:line="240" w:lineRule="auto"/>
              <w:jc w:val="right"/>
              <w:rPr>
                <w:rFonts w:eastAsia="Times New Roman" w:cs="Times New Roman"/>
                <w:color w:val="000000"/>
                <w:kern w:val="0"/>
                <w:sz w:val="18"/>
                <w:szCs w:val="18"/>
                <w:lang w:eastAsia="es-CO"/>
                <w14:ligatures w14:val="none"/>
              </w:rPr>
            </w:pPr>
            <w:r w:rsidRPr="002E333D">
              <w:rPr>
                <w:rFonts w:eastAsia="Times New Roman" w:cs="Times New Roman"/>
                <w:color w:val="000000"/>
                <w:kern w:val="0"/>
                <w:sz w:val="18"/>
                <w:szCs w:val="18"/>
                <w:lang w:eastAsia="es-CO"/>
                <w14:ligatures w14:val="none"/>
              </w:rPr>
              <w:t xml:space="preserve">             273.178.722 </w:t>
            </w:r>
          </w:p>
        </w:tc>
      </w:tr>
      <w:tr w:rsidR="004B0B8A" w:rsidRPr="002E333D" w14:paraId="4C0BB70F" w14:textId="77777777" w:rsidTr="004B0B8A">
        <w:trPr>
          <w:trHeight w:val="340"/>
        </w:trPr>
        <w:tc>
          <w:tcPr>
            <w:tcW w:w="560" w:type="pct"/>
            <w:vAlign w:val="center"/>
            <w:hideMark/>
          </w:tcPr>
          <w:p w14:paraId="7BB9D944" w14:textId="77777777" w:rsidR="008B35C9" w:rsidRPr="002E333D" w:rsidRDefault="008B35C9" w:rsidP="000A5389">
            <w:pPr>
              <w:spacing w:line="240" w:lineRule="auto"/>
              <w:jc w:val="center"/>
              <w:rPr>
                <w:rFonts w:eastAsia="Times New Roman" w:cs="Times New Roman"/>
                <w:color w:val="000000"/>
                <w:kern w:val="0"/>
                <w:sz w:val="18"/>
                <w:szCs w:val="18"/>
                <w:lang w:eastAsia="es-CO"/>
                <w14:ligatures w14:val="none"/>
              </w:rPr>
            </w:pPr>
            <w:r w:rsidRPr="002E333D">
              <w:rPr>
                <w:rFonts w:eastAsia="Times New Roman" w:cs="Times New Roman"/>
                <w:color w:val="000000"/>
                <w:kern w:val="0"/>
                <w:sz w:val="18"/>
                <w:szCs w:val="18"/>
                <w:lang w:eastAsia="es-CO"/>
                <w14:ligatures w14:val="none"/>
              </w:rPr>
              <w:t>900763355</w:t>
            </w:r>
          </w:p>
        </w:tc>
        <w:tc>
          <w:tcPr>
            <w:tcW w:w="1606" w:type="pct"/>
            <w:vAlign w:val="center"/>
            <w:hideMark/>
          </w:tcPr>
          <w:p w14:paraId="23D0F426" w14:textId="578B97C4" w:rsidR="008B35C9" w:rsidRPr="002E333D" w:rsidRDefault="004B0B8A" w:rsidP="000A5389">
            <w:pPr>
              <w:spacing w:line="240" w:lineRule="auto"/>
              <w:rPr>
                <w:rFonts w:eastAsia="Times New Roman" w:cs="Times New Roman"/>
                <w:color w:val="000000"/>
                <w:kern w:val="0"/>
                <w:sz w:val="18"/>
                <w:szCs w:val="18"/>
                <w:lang w:eastAsia="es-CO"/>
                <w14:ligatures w14:val="none"/>
              </w:rPr>
            </w:pPr>
            <w:r w:rsidRPr="002E333D">
              <w:rPr>
                <w:rFonts w:eastAsia="Times New Roman" w:cs="Times New Roman"/>
                <w:color w:val="000000"/>
                <w:kern w:val="0"/>
                <w:sz w:val="18"/>
                <w:szCs w:val="18"/>
                <w:lang w:eastAsia="es-CO"/>
                <w14:ligatures w14:val="none"/>
              </w:rPr>
              <w:t>Concesión Costera Cartagena Barranquilla S.A.S.</w:t>
            </w:r>
          </w:p>
        </w:tc>
        <w:tc>
          <w:tcPr>
            <w:tcW w:w="883" w:type="pct"/>
            <w:vAlign w:val="center"/>
            <w:hideMark/>
          </w:tcPr>
          <w:p w14:paraId="223325C1" w14:textId="5E88FF67" w:rsidR="008B35C9" w:rsidRPr="002E333D" w:rsidRDefault="008B35C9" w:rsidP="000A5389">
            <w:pPr>
              <w:spacing w:line="240" w:lineRule="auto"/>
              <w:jc w:val="right"/>
              <w:rPr>
                <w:rFonts w:eastAsia="Times New Roman" w:cs="Times New Roman"/>
                <w:color w:val="000000"/>
                <w:kern w:val="0"/>
                <w:sz w:val="18"/>
                <w:szCs w:val="18"/>
                <w:lang w:eastAsia="es-CO"/>
                <w14:ligatures w14:val="none"/>
              </w:rPr>
            </w:pPr>
            <w:r w:rsidRPr="002E333D">
              <w:rPr>
                <w:rFonts w:eastAsia="Times New Roman" w:cs="Times New Roman"/>
                <w:color w:val="000000"/>
                <w:kern w:val="0"/>
                <w:sz w:val="18"/>
                <w:szCs w:val="18"/>
                <w:lang w:eastAsia="es-CO"/>
                <w14:ligatures w14:val="none"/>
              </w:rPr>
              <w:t>2.477.794.489</w:t>
            </w:r>
          </w:p>
        </w:tc>
        <w:tc>
          <w:tcPr>
            <w:tcW w:w="964" w:type="pct"/>
            <w:vAlign w:val="center"/>
            <w:hideMark/>
          </w:tcPr>
          <w:p w14:paraId="1F3C2FB0" w14:textId="03FEDD83" w:rsidR="008B35C9" w:rsidRPr="002E333D" w:rsidRDefault="008B35C9" w:rsidP="000A5389">
            <w:pPr>
              <w:spacing w:line="240" w:lineRule="auto"/>
              <w:jc w:val="right"/>
              <w:rPr>
                <w:rFonts w:eastAsia="Times New Roman" w:cs="Times New Roman"/>
                <w:color w:val="000000"/>
                <w:kern w:val="0"/>
                <w:sz w:val="18"/>
                <w:szCs w:val="18"/>
                <w:lang w:eastAsia="es-CO"/>
                <w14:ligatures w14:val="none"/>
              </w:rPr>
            </w:pPr>
            <w:r w:rsidRPr="002E333D">
              <w:rPr>
                <w:rFonts w:eastAsia="Times New Roman" w:cs="Times New Roman"/>
                <w:color w:val="000000"/>
                <w:kern w:val="0"/>
                <w:sz w:val="18"/>
                <w:szCs w:val="18"/>
                <w:lang w:eastAsia="es-CO"/>
                <w14:ligatures w14:val="none"/>
              </w:rPr>
              <w:t>160.506.836.917</w:t>
            </w:r>
          </w:p>
        </w:tc>
        <w:tc>
          <w:tcPr>
            <w:tcW w:w="988" w:type="pct"/>
            <w:vAlign w:val="center"/>
            <w:hideMark/>
          </w:tcPr>
          <w:p w14:paraId="62FE2CDB" w14:textId="77777777" w:rsidR="008B35C9" w:rsidRPr="002E333D" w:rsidRDefault="008B35C9" w:rsidP="000A5389">
            <w:pPr>
              <w:spacing w:line="240" w:lineRule="auto"/>
              <w:jc w:val="right"/>
              <w:rPr>
                <w:rFonts w:eastAsia="Times New Roman" w:cs="Times New Roman"/>
                <w:color w:val="000000"/>
                <w:kern w:val="0"/>
                <w:sz w:val="18"/>
                <w:szCs w:val="18"/>
                <w:lang w:eastAsia="es-CO"/>
                <w14:ligatures w14:val="none"/>
              </w:rPr>
            </w:pPr>
            <w:r w:rsidRPr="002E333D">
              <w:rPr>
                <w:rFonts w:eastAsia="Times New Roman" w:cs="Times New Roman"/>
                <w:color w:val="000000"/>
                <w:kern w:val="0"/>
                <w:sz w:val="18"/>
                <w:szCs w:val="18"/>
                <w:lang w:eastAsia="es-CO"/>
                <w14:ligatures w14:val="none"/>
              </w:rPr>
              <w:t xml:space="preserve">-     158.029.042.428 </w:t>
            </w:r>
          </w:p>
        </w:tc>
      </w:tr>
      <w:tr w:rsidR="004B0B8A" w:rsidRPr="002E333D" w14:paraId="5380C1F8" w14:textId="77777777" w:rsidTr="004B0B8A">
        <w:trPr>
          <w:trHeight w:val="340"/>
        </w:trPr>
        <w:tc>
          <w:tcPr>
            <w:tcW w:w="560" w:type="pct"/>
            <w:vAlign w:val="center"/>
            <w:hideMark/>
          </w:tcPr>
          <w:p w14:paraId="787A8AB2" w14:textId="77777777" w:rsidR="008B35C9" w:rsidRPr="002E333D" w:rsidRDefault="008B35C9" w:rsidP="000A5389">
            <w:pPr>
              <w:spacing w:line="240" w:lineRule="auto"/>
              <w:jc w:val="center"/>
              <w:rPr>
                <w:rFonts w:eastAsia="Times New Roman" w:cs="Times New Roman"/>
                <w:color w:val="000000"/>
                <w:kern w:val="0"/>
                <w:sz w:val="18"/>
                <w:szCs w:val="18"/>
                <w:lang w:eastAsia="es-CO"/>
                <w14:ligatures w14:val="none"/>
              </w:rPr>
            </w:pPr>
            <w:r w:rsidRPr="002E333D">
              <w:rPr>
                <w:rFonts w:eastAsia="Times New Roman" w:cs="Times New Roman"/>
                <w:color w:val="000000"/>
                <w:kern w:val="0"/>
                <w:sz w:val="18"/>
                <w:szCs w:val="18"/>
                <w:lang w:eastAsia="es-CO"/>
                <w14:ligatures w14:val="none"/>
              </w:rPr>
              <w:t>900920562</w:t>
            </w:r>
          </w:p>
        </w:tc>
        <w:tc>
          <w:tcPr>
            <w:tcW w:w="1606" w:type="pct"/>
            <w:vAlign w:val="center"/>
            <w:hideMark/>
          </w:tcPr>
          <w:p w14:paraId="1027BD1D" w14:textId="150540D2" w:rsidR="008B35C9" w:rsidRPr="002E333D" w:rsidRDefault="00804632" w:rsidP="000A5389">
            <w:pPr>
              <w:spacing w:line="240" w:lineRule="auto"/>
              <w:rPr>
                <w:rFonts w:eastAsia="Times New Roman" w:cs="Times New Roman"/>
                <w:color w:val="000000"/>
                <w:kern w:val="0"/>
                <w:sz w:val="18"/>
                <w:szCs w:val="18"/>
                <w:lang w:eastAsia="es-CO"/>
                <w14:ligatures w14:val="none"/>
              </w:rPr>
            </w:pPr>
            <w:r w:rsidRPr="002E333D">
              <w:rPr>
                <w:rFonts w:eastAsia="Times New Roman" w:cs="Times New Roman"/>
                <w:color w:val="000000"/>
                <w:kern w:val="0"/>
                <w:sz w:val="18"/>
                <w:szCs w:val="18"/>
                <w:lang w:eastAsia="es-CO"/>
                <w14:ligatures w14:val="none"/>
              </w:rPr>
              <w:t>Concesión</w:t>
            </w:r>
            <w:r w:rsidR="004B0B8A" w:rsidRPr="002E333D">
              <w:rPr>
                <w:rFonts w:eastAsia="Times New Roman" w:cs="Times New Roman"/>
                <w:color w:val="000000"/>
                <w:kern w:val="0"/>
                <w:sz w:val="18"/>
                <w:szCs w:val="18"/>
                <w:lang w:eastAsia="es-CO"/>
                <w14:ligatures w14:val="none"/>
              </w:rPr>
              <w:t xml:space="preserve"> </w:t>
            </w:r>
            <w:r w:rsidRPr="002E333D">
              <w:rPr>
                <w:rFonts w:eastAsia="Times New Roman" w:cs="Times New Roman"/>
                <w:color w:val="000000"/>
                <w:kern w:val="0"/>
                <w:sz w:val="18"/>
                <w:szCs w:val="18"/>
                <w:lang w:eastAsia="es-CO"/>
                <w14:ligatures w14:val="none"/>
              </w:rPr>
              <w:t>vías</w:t>
            </w:r>
            <w:r w:rsidR="004B0B8A" w:rsidRPr="002E333D">
              <w:rPr>
                <w:rFonts w:eastAsia="Times New Roman" w:cs="Times New Roman"/>
                <w:color w:val="000000"/>
                <w:kern w:val="0"/>
                <w:sz w:val="18"/>
                <w:szCs w:val="18"/>
                <w:lang w:eastAsia="es-CO"/>
                <w14:ligatures w14:val="none"/>
              </w:rPr>
              <w:t xml:space="preserve"> Del Nus S.A.S</w:t>
            </w:r>
          </w:p>
        </w:tc>
        <w:tc>
          <w:tcPr>
            <w:tcW w:w="883" w:type="pct"/>
            <w:vAlign w:val="center"/>
            <w:hideMark/>
          </w:tcPr>
          <w:p w14:paraId="5F8EAB1E" w14:textId="460C98FE" w:rsidR="008B35C9" w:rsidRPr="002E333D" w:rsidRDefault="008B35C9" w:rsidP="000A5389">
            <w:pPr>
              <w:spacing w:line="240" w:lineRule="auto"/>
              <w:jc w:val="right"/>
              <w:rPr>
                <w:rFonts w:eastAsia="Times New Roman" w:cs="Times New Roman"/>
                <w:color w:val="000000"/>
                <w:kern w:val="0"/>
                <w:sz w:val="18"/>
                <w:szCs w:val="18"/>
                <w:lang w:eastAsia="es-CO"/>
                <w14:ligatures w14:val="none"/>
              </w:rPr>
            </w:pPr>
            <w:r w:rsidRPr="002E333D">
              <w:rPr>
                <w:rFonts w:eastAsia="Times New Roman" w:cs="Times New Roman"/>
                <w:color w:val="000000"/>
                <w:kern w:val="0"/>
                <w:sz w:val="18"/>
                <w:szCs w:val="18"/>
                <w:lang w:eastAsia="es-CO"/>
                <w14:ligatures w14:val="none"/>
              </w:rPr>
              <w:t>2.245.309.057</w:t>
            </w:r>
          </w:p>
        </w:tc>
        <w:tc>
          <w:tcPr>
            <w:tcW w:w="964" w:type="pct"/>
            <w:vAlign w:val="center"/>
            <w:hideMark/>
          </w:tcPr>
          <w:p w14:paraId="7F4796D4" w14:textId="283433A0" w:rsidR="008B35C9" w:rsidRPr="002E333D" w:rsidRDefault="008B35C9" w:rsidP="000A5389">
            <w:pPr>
              <w:spacing w:line="240" w:lineRule="auto"/>
              <w:jc w:val="right"/>
              <w:rPr>
                <w:rFonts w:eastAsia="Times New Roman" w:cs="Times New Roman"/>
                <w:color w:val="000000"/>
                <w:kern w:val="0"/>
                <w:sz w:val="18"/>
                <w:szCs w:val="18"/>
                <w:lang w:eastAsia="es-CO"/>
                <w14:ligatures w14:val="none"/>
              </w:rPr>
            </w:pPr>
            <w:r w:rsidRPr="002E333D">
              <w:rPr>
                <w:rFonts w:eastAsia="Times New Roman" w:cs="Times New Roman"/>
                <w:color w:val="000000"/>
                <w:kern w:val="0"/>
                <w:sz w:val="18"/>
                <w:szCs w:val="18"/>
                <w:lang w:eastAsia="es-CO"/>
                <w14:ligatures w14:val="none"/>
              </w:rPr>
              <w:t>5.101.515.068</w:t>
            </w:r>
          </w:p>
        </w:tc>
        <w:tc>
          <w:tcPr>
            <w:tcW w:w="988" w:type="pct"/>
            <w:vAlign w:val="center"/>
            <w:hideMark/>
          </w:tcPr>
          <w:p w14:paraId="787249A9" w14:textId="77777777" w:rsidR="008B35C9" w:rsidRPr="002E333D" w:rsidRDefault="008B35C9" w:rsidP="000A5389">
            <w:pPr>
              <w:spacing w:line="240" w:lineRule="auto"/>
              <w:jc w:val="right"/>
              <w:rPr>
                <w:rFonts w:eastAsia="Times New Roman" w:cs="Times New Roman"/>
                <w:color w:val="000000"/>
                <w:kern w:val="0"/>
                <w:sz w:val="18"/>
                <w:szCs w:val="18"/>
                <w:lang w:eastAsia="es-CO"/>
                <w14:ligatures w14:val="none"/>
              </w:rPr>
            </w:pPr>
            <w:r w:rsidRPr="002E333D">
              <w:rPr>
                <w:rFonts w:eastAsia="Times New Roman" w:cs="Times New Roman"/>
                <w:color w:val="000000"/>
                <w:kern w:val="0"/>
                <w:sz w:val="18"/>
                <w:szCs w:val="18"/>
                <w:lang w:eastAsia="es-CO"/>
                <w14:ligatures w14:val="none"/>
              </w:rPr>
              <w:t xml:space="preserve">-         2.856.206.011 </w:t>
            </w:r>
          </w:p>
        </w:tc>
      </w:tr>
      <w:tr w:rsidR="004B0B8A" w:rsidRPr="002E333D" w14:paraId="0CCD1373" w14:textId="77777777" w:rsidTr="004B0B8A">
        <w:trPr>
          <w:trHeight w:val="340"/>
        </w:trPr>
        <w:tc>
          <w:tcPr>
            <w:tcW w:w="560" w:type="pct"/>
            <w:vAlign w:val="center"/>
            <w:hideMark/>
          </w:tcPr>
          <w:p w14:paraId="0D9E1E63" w14:textId="77777777" w:rsidR="008B35C9" w:rsidRPr="002E333D" w:rsidRDefault="008B35C9" w:rsidP="000A5389">
            <w:pPr>
              <w:spacing w:line="240" w:lineRule="auto"/>
              <w:jc w:val="center"/>
              <w:rPr>
                <w:rFonts w:eastAsia="Times New Roman" w:cs="Times New Roman"/>
                <w:color w:val="000000"/>
                <w:kern w:val="0"/>
                <w:sz w:val="18"/>
                <w:szCs w:val="18"/>
                <w:lang w:eastAsia="es-CO"/>
                <w14:ligatures w14:val="none"/>
              </w:rPr>
            </w:pPr>
            <w:r w:rsidRPr="002E333D">
              <w:rPr>
                <w:rFonts w:eastAsia="Times New Roman" w:cs="Times New Roman"/>
                <w:color w:val="000000"/>
                <w:kern w:val="0"/>
                <w:sz w:val="18"/>
                <w:szCs w:val="18"/>
                <w:lang w:eastAsia="es-CO"/>
                <w14:ligatures w14:val="none"/>
              </w:rPr>
              <w:t>811005050</w:t>
            </w:r>
          </w:p>
        </w:tc>
        <w:tc>
          <w:tcPr>
            <w:tcW w:w="1606" w:type="pct"/>
            <w:vAlign w:val="center"/>
            <w:hideMark/>
          </w:tcPr>
          <w:p w14:paraId="060086E6" w14:textId="3E65AD4A" w:rsidR="008B35C9" w:rsidRPr="002E333D" w:rsidRDefault="004B0B8A" w:rsidP="000A5389">
            <w:pPr>
              <w:spacing w:line="240" w:lineRule="auto"/>
              <w:rPr>
                <w:rFonts w:eastAsia="Times New Roman" w:cs="Times New Roman"/>
                <w:color w:val="000000"/>
                <w:kern w:val="0"/>
                <w:sz w:val="18"/>
                <w:szCs w:val="18"/>
                <w:lang w:eastAsia="es-CO"/>
                <w14:ligatures w14:val="none"/>
              </w:rPr>
            </w:pPr>
            <w:r w:rsidRPr="002E333D">
              <w:rPr>
                <w:rFonts w:eastAsia="Times New Roman" w:cs="Times New Roman"/>
                <w:color w:val="000000"/>
                <w:kern w:val="0"/>
                <w:sz w:val="18"/>
                <w:szCs w:val="18"/>
                <w:lang w:eastAsia="es-CO"/>
                <w14:ligatures w14:val="none"/>
              </w:rPr>
              <w:t>Devimed S.A.</w:t>
            </w:r>
          </w:p>
        </w:tc>
        <w:tc>
          <w:tcPr>
            <w:tcW w:w="883" w:type="pct"/>
            <w:vAlign w:val="center"/>
            <w:hideMark/>
          </w:tcPr>
          <w:p w14:paraId="5D43CB3E" w14:textId="08730DCA" w:rsidR="008B35C9" w:rsidRPr="002E333D" w:rsidRDefault="008B35C9" w:rsidP="000A5389">
            <w:pPr>
              <w:spacing w:line="240" w:lineRule="auto"/>
              <w:jc w:val="right"/>
              <w:rPr>
                <w:rFonts w:eastAsia="Times New Roman" w:cs="Times New Roman"/>
                <w:color w:val="000000"/>
                <w:kern w:val="0"/>
                <w:sz w:val="18"/>
                <w:szCs w:val="18"/>
                <w:lang w:eastAsia="es-CO"/>
                <w14:ligatures w14:val="none"/>
              </w:rPr>
            </w:pPr>
            <w:r w:rsidRPr="002E333D">
              <w:rPr>
                <w:rFonts w:eastAsia="Times New Roman" w:cs="Times New Roman"/>
                <w:color w:val="000000"/>
                <w:kern w:val="0"/>
                <w:sz w:val="18"/>
                <w:szCs w:val="18"/>
                <w:lang w:eastAsia="es-CO"/>
                <w14:ligatures w14:val="none"/>
              </w:rPr>
              <w:t>1.138.040.678</w:t>
            </w:r>
          </w:p>
        </w:tc>
        <w:tc>
          <w:tcPr>
            <w:tcW w:w="964" w:type="pct"/>
            <w:vAlign w:val="center"/>
            <w:hideMark/>
          </w:tcPr>
          <w:p w14:paraId="0CD8F161" w14:textId="6D5E6403" w:rsidR="008B35C9" w:rsidRPr="002E333D" w:rsidRDefault="008B35C9" w:rsidP="000A5389">
            <w:pPr>
              <w:spacing w:line="240" w:lineRule="auto"/>
              <w:jc w:val="right"/>
              <w:rPr>
                <w:rFonts w:eastAsia="Times New Roman" w:cs="Times New Roman"/>
                <w:color w:val="000000"/>
                <w:kern w:val="0"/>
                <w:sz w:val="18"/>
                <w:szCs w:val="18"/>
                <w:lang w:eastAsia="es-CO"/>
                <w14:ligatures w14:val="none"/>
              </w:rPr>
            </w:pPr>
            <w:r w:rsidRPr="002E333D">
              <w:rPr>
                <w:rFonts w:eastAsia="Times New Roman" w:cs="Times New Roman"/>
                <w:color w:val="000000"/>
                <w:kern w:val="0"/>
                <w:sz w:val="18"/>
                <w:szCs w:val="18"/>
                <w:lang w:eastAsia="es-CO"/>
                <w14:ligatures w14:val="none"/>
              </w:rPr>
              <w:t>1.138.420.362</w:t>
            </w:r>
          </w:p>
        </w:tc>
        <w:tc>
          <w:tcPr>
            <w:tcW w:w="988" w:type="pct"/>
            <w:vAlign w:val="center"/>
            <w:hideMark/>
          </w:tcPr>
          <w:p w14:paraId="79B0C045" w14:textId="77777777" w:rsidR="008B35C9" w:rsidRPr="002E333D" w:rsidRDefault="008B35C9" w:rsidP="000A5389">
            <w:pPr>
              <w:spacing w:line="240" w:lineRule="auto"/>
              <w:jc w:val="right"/>
              <w:rPr>
                <w:rFonts w:eastAsia="Times New Roman" w:cs="Times New Roman"/>
                <w:color w:val="000000"/>
                <w:kern w:val="0"/>
                <w:sz w:val="18"/>
                <w:szCs w:val="18"/>
                <w:lang w:eastAsia="es-CO"/>
                <w14:ligatures w14:val="none"/>
              </w:rPr>
            </w:pPr>
            <w:r w:rsidRPr="002E333D">
              <w:rPr>
                <w:rFonts w:eastAsia="Times New Roman" w:cs="Times New Roman"/>
                <w:color w:val="000000"/>
                <w:kern w:val="0"/>
                <w:sz w:val="18"/>
                <w:szCs w:val="18"/>
                <w:lang w:eastAsia="es-CO"/>
                <w14:ligatures w14:val="none"/>
              </w:rPr>
              <w:t xml:space="preserve">-                   379.684 </w:t>
            </w:r>
          </w:p>
        </w:tc>
      </w:tr>
      <w:tr w:rsidR="004B0B8A" w:rsidRPr="002E333D" w14:paraId="1C79161C" w14:textId="77777777" w:rsidTr="004B0B8A">
        <w:trPr>
          <w:trHeight w:val="340"/>
        </w:trPr>
        <w:tc>
          <w:tcPr>
            <w:tcW w:w="560" w:type="pct"/>
            <w:vAlign w:val="center"/>
            <w:hideMark/>
          </w:tcPr>
          <w:p w14:paraId="326FEA56" w14:textId="77777777" w:rsidR="008B35C9" w:rsidRPr="002E333D" w:rsidRDefault="008B35C9" w:rsidP="000A5389">
            <w:pPr>
              <w:spacing w:line="240" w:lineRule="auto"/>
              <w:jc w:val="center"/>
              <w:rPr>
                <w:rFonts w:eastAsia="Times New Roman" w:cs="Times New Roman"/>
                <w:color w:val="000000"/>
                <w:kern w:val="0"/>
                <w:sz w:val="18"/>
                <w:szCs w:val="18"/>
                <w:lang w:eastAsia="es-CO"/>
                <w14:ligatures w14:val="none"/>
              </w:rPr>
            </w:pPr>
            <w:r w:rsidRPr="002E333D">
              <w:rPr>
                <w:rFonts w:eastAsia="Times New Roman" w:cs="Times New Roman"/>
                <w:color w:val="000000"/>
                <w:kern w:val="0"/>
                <w:sz w:val="18"/>
                <w:szCs w:val="18"/>
                <w:lang w:eastAsia="es-CO"/>
                <w14:ligatures w14:val="none"/>
              </w:rPr>
              <w:t>901009478</w:t>
            </w:r>
          </w:p>
        </w:tc>
        <w:tc>
          <w:tcPr>
            <w:tcW w:w="1606" w:type="pct"/>
            <w:vAlign w:val="center"/>
            <w:hideMark/>
          </w:tcPr>
          <w:p w14:paraId="0A7DAAA1" w14:textId="22EE8589" w:rsidR="008B35C9" w:rsidRPr="002E333D" w:rsidRDefault="004B0B8A" w:rsidP="000A5389">
            <w:pPr>
              <w:spacing w:line="240" w:lineRule="auto"/>
              <w:rPr>
                <w:rFonts w:eastAsia="Times New Roman" w:cs="Times New Roman"/>
                <w:color w:val="000000"/>
                <w:kern w:val="0"/>
                <w:sz w:val="18"/>
                <w:szCs w:val="18"/>
                <w:lang w:eastAsia="es-CO"/>
                <w14:ligatures w14:val="none"/>
              </w:rPr>
            </w:pPr>
            <w:r w:rsidRPr="002E333D">
              <w:rPr>
                <w:rFonts w:eastAsia="Times New Roman" w:cs="Times New Roman"/>
                <w:color w:val="000000"/>
                <w:kern w:val="0"/>
                <w:sz w:val="18"/>
                <w:szCs w:val="18"/>
                <w:lang w:eastAsia="es-CO"/>
                <w14:ligatures w14:val="none"/>
              </w:rPr>
              <w:t>Vía 40 Express S.A.S.</w:t>
            </w:r>
          </w:p>
        </w:tc>
        <w:tc>
          <w:tcPr>
            <w:tcW w:w="883" w:type="pct"/>
            <w:vAlign w:val="center"/>
            <w:hideMark/>
          </w:tcPr>
          <w:p w14:paraId="12079D9C" w14:textId="42D77AD0" w:rsidR="008B35C9" w:rsidRPr="002E333D" w:rsidRDefault="008B35C9" w:rsidP="000A5389">
            <w:pPr>
              <w:spacing w:line="240" w:lineRule="auto"/>
              <w:jc w:val="right"/>
              <w:rPr>
                <w:rFonts w:eastAsia="Times New Roman" w:cs="Times New Roman"/>
                <w:color w:val="000000"/>
                <w:kern w:val="0"/>
                <w:sz w:val="18"/>
                <w:szCs w:val="18"/>
                <w:lang w:eastAsia="es-CO"/>
                <w14:ligatures w14:val="none"/>
              </w:rPr>
            </w:pPr>
            <w:r w:rsidRPr="002E333D">
              <w:rPr>
                <w:rFonts w:eastAsia="Times New Roman" w:cs="Times New Roman"/>
                <w:color w:val="000000"/>
                <w:kern w:val="0"/>
                <w:sz w:val="18"/>
                <w:szCs w:val="18"/>
                <w:lang w:eastAsia="es-CO"/>
                <w14:ligatures w14:val="none"/>
              </w:rPr>
              <w:t>748.065.272</w:t>
            </w:r>
          </w:p>
        </w:tc>
        <w:tc>
          <w:tcPr>
            <w:tcW w:w="964" w:type="pct"/>
            <w:vAlign w:val="center"/>
            <w:hideMark/>
          </w:tcPr>
          <w:p w14:paraId="49362936" w14:textId="00E6D386" w:rsidR="008B35C9" w:rsidRPr="002E333D" w:rsidRDefault="008B35C9" w:rsidP="000A5389">
            <w:pPr>
              <w:spacing w:line="240" w:lineRule="auto"/>
              <w:jc w:val="right"/>
              <w:rPr>
                <w:rFonts w:eastAsia="Times New Roman" w:cs="Times New Roman"/>
                <w:color w:val="000000"/>
                <w:kern w:val="0"/>
                <w:sz w:val="18"/>
                <w:szCs w:val="18"/>
                <w:lang w:eastAsia="es-CO"/>
                <w14:ligatures w14:val="none"/>
              </w:rPr>
            </w:pPr>
            <w:r w:rsidRPr="002E333D">
              <w:rPr>
                <w:rFonts w:eastAsia="Times New Roman" w:cs="Times New Roman"/>
                <w:color w:val="000000"/>
                <w:kern w:val="0"/>
                <w:sz w:val="18"/>
                <w:szCs w:val="18"/>
                <w:lang w:eastAsia="es-CO"/>
                <w14:ligatures w14:val="none"/>
              </w:rPr>
              <w:t>688.838.065</w:t>
            </w:r>
          </w:p>
        </w:tc>
        <w:tc>
          <w:tcPr>
            <w:tcW w:w="988" w:type="pct"/>
            <w:vAlign w:val="center"/>
            <w:hideMark/>
          </w:tcPr>
          <w:p w14:paraId="3DD7D7A8" w14:textId="77777777" w:rsidR="008B35C9" w:rsidRPr="002E333D" w:rsidRDefault="008B35C9" w:rsidP="000A5389">
            <w:pPr>
              <w:spacing w:line="240" w:lineRule="auto"/>
              <w:jc w:val="right"/>
              <w:rPr>
                <w:rFonts w:eastAsia="Times New Roman" w:cs="Times New Roman"/>
                <w:color w:val="000000"/>
                <w:kern w:val="0"/>
                <w:sz w:val="18"/>
                <w:szCs w:val="18"/>
                <w:lang w:eastAsia="es-CO"/>
                <w14:ligatures w14:val="none"/>
              </w:rPr>
            </w:pPr>
            <w:r w:rsidRPr="002E333D">
              <w:rPr>
                <w:rFonts w:eastAsia="Times New Roman" w:cs="Times New Roman"/>
                <w:color w:val="000000"/>
                <w:kern w:val="0"/>
                <w:sz w:val="18"/>
                <w:szCs w:val="18"/>
                <w:lang w:eastAsia="es-CO"/>
                <w14:ligatures w14:val="none"/>
              </w:rPr>
              <w:t xml:space="preserve">               59.227.207 </w:t>
            </w:r>
          </w:p>
        </w:tc>
      </w:tr>
      <w:tr w:rsidR="004B0B8A" w:rsidRPr="002E333D" w14:paraId="304DAEC6" w14:textId="77777777" w:rsidTr="004B0B8A">
        <w:trPr>
          <w:trHeight w:val="340"/>
        </w:trPr>
        <w:tc>
          <w:tcPr>
            <w:tcW w:w="560" w:type="pct"/>
            <w:vAlign w:val="center"/>
            <w:hideMark/>
          </w:tcPr>
          <w:p w14:paraId="6C51EDFC" w14:textId="77777777" w:rsidR="008B35C9" w:rsidRPr="002E333D" w:rsidRDefault="008B35C9" w:rsidP="000A5389">
            <w:pPr>
              <w:spacing w:line="240" w:lineRule="auto"/>
              <w:jc w:val="center"/>
              <w:rPr>
                <w:rFonts w:eastAsia="Times New Roman" w:cs="Times New Roman"/>
                <w:color w:val="000000"/>
                <w:kern w:val="0"/>
                <w:sz w:val="18"/>
                <w:szCs w:val="18"/>
                <w:lang w:eastAsia="es-CO"/>
                <w14:ligatures w14:val="none"/>
              </w:rPr>
            </w:pPr>
            <w:r w:rsidRPr="002E333D">
              <w:rPr>
                <w:rFonts w:eastAsia="Times New Roman" w:cs="Times New Roman"/>
                <w:color w:val="000000"/>
                <w:kern w:val="0"/>
                <w:sz w:val="18"/>
                <w:szCs w:val="18"/>
                <w:lang w:eastAsia="es-CO"/>
                <w14:ligatures w14:val="none"/>
              </w:rPr>
              <w:t>800235278</w:t>
            </w:r>
          </w:p>
        </w:tc>
        <w:tc>
          <w:tcPr>
            <w:tcW w:w="1606" w:type="pct"/>
            <w:vAlign w:val="center"/>
            <w:hideMark/>
          </w:tcPr>
          <w:p w14:paraId="1E23D722" w14:textId="3199BE2E" w:rsidR="008B35C9" w:rsidRPr="002E333D" w:rsidRDefault="00804632" w:rsidP="000A5389">
            <w:pPr>
              <w:spacing w:line="240" w:lineRule="auto"/>
              <w:rPr>
                <w:rFonts w:eastAsia="Times New Roman" w:cs="Times New Roman"/>
                <w:color w:val="000000"/>
                <w:kern w:val="0"/>
                <w:sz w:val="18"/>
                <w:szCs w:val="18"/>
                <w:lang w:eastAsia="es-CO"/>
                <w14:ligatures w14:val="none"/>
              </w:rPr>
            </w:pPr>
            <w:r w:rsidRPr="002E333D">
              <w:rPr>
                <w:rFonts w:eastAsia="Times New Roman" w:cs="Times New Roman"/>
                <w:color w:val="000000"/>
                <w:kern w:val="0"/>
                <w:sz w:val="18"/>
                <w:szCs w:val="18"/>
                <w:lang w:eastAsia="es-CO"/>
                <w14:ligatures w14:val="none"/>
              </w:rPr>
              <w:t>Concesión</w:t>
            </w:r>
            <w:r w:rsidR="004B0B8A" w:rsidRPr="002E333D">
              <w:rPr>
                <w:rFonts w:eastAsia="Times New Roman" w:cs="Times New Roman"/>
                <w:color w:val="000000"/>
                <w:kern w:val="0"/>
                <w:sz w:val="18"/>
                <w:szCs w:val="18"/>
                <w:lang w:eastAsia="es-CO"/>
                <w14:ligatures w14:val="none"/>
              </w:rPr>
              <w:t xml:space="preserve"> Santa Marta Paraguachon S.A.</w:t>
            </w:r>
          </w:p>
        </w:tc>
        <w:tc>
          <w:tcPr>
            <w:tcW w:w="883" w:type="pct"/>
            <w:vAlign w:val="center"/>
            <w:hideMark/>
          </w:tcPr>
          <w:p w14:paraId="6000ED1F" w14:textId="20CAA943" w:rsidR="008B35C9" w:rsidRPr="002E333D" w:rsidRDefault="008B35C9" w:rsidP="000A5389">
            <w:pPr>
              <w:spacing w:line="240" w:lineRule="auto"/>
              <w:jc w:val="right"/>
              <w:rPr>
                <w:rFonts w:eastAsia="Times New Roman" w:cs="Times New Roman"/>
                <w:color w:val="000000"/>
                <w:kern w:val="0"/>
                <w:sz w:val="18"/>
                <w:szCs w:val="18"/>
                <w:lang w:eastAsia="es-CO"/>
                <w14:ligatures w14:val="none"/>
              </w:rPr>
            </w:pPr>
            <w:r w:rsidRPr="002E333D">
              <w:rPr>
                <w:rFonts w:eastAsia="Times New Roman" w:cs="Times New Roman"/>
                <w:color w:val="000000"/>
                <w:kern w:val="0"/>
                <w:sz w:val="18"/>
                <w:szCs w:val="18"/>
                <w:lang w:eastAsia="es-CO"/>
                <w14:ligatures w14:val="none"/>
              </w:rPr>
              <w:t>-</w:t>
            </w:r>
          </w:p>
        </w:tc>
        <w:tc>
          <w:tcPr>
            <w:tcW w:w="964" w:type="pct"/>
            <w:vAlign w:val="center"/>
            <w:hideMark/>
          </w:tcPr>
          <w:p w14:paraId="1E9599D4" w14:textId="5154DE8D" w:rsidR="008B35C9" w:rsidRPr="002E333D" w:rsidRDefault="008B35C9" w:rsidP="000A5389">
            <w:pPr>
              <w:spacing w:line="240" w:lineRule="auto"/>
              <w:jc w:val="right"/>
              <w:rPr>
                <w:rFonts w:eastAsia="Times New Roman" w:cs="Times New Roman"/>
                <w:color w:val="000000"/>
                <w:kern w:val="0"/>
                <w:sz w:val="18"/>
                <w:szCs w:val="18"/>
                <w:lang w:eastAsia="es-CO"/>
                <w14:ligatures w14:val="none"/>
              </w:rPr>
            </w:pPr>
            <w:r w:rsidRPr="002E333D">
              <w:rPr>
                <w:rFonts w:eastAsia="Times New Roman" w:cs="Times New Roman"/>
                <w:color w:val="000000"/>
                <w:kern w:val="0"/>
                <w:sz w:val="18"/>
                <w:szCs w:val="18"/>
                <w:lang w:eastAsia="es-CO"/>
                <w14:ligatures w14:val="none"/>
              </w:rPr>
              <w:t>412.393.504</w:t>
            </w:r>
          </w:p>
        </w:tc>
        <w:tc>
          <w:tcPr>
            <w:tcW w:w="988" w:type="pct"/>
            <w:vAlign w:val="center"/>
            <w:hideMark/>
          </w:tcPr>
          <w:p w14:paraId="6C3B0C24" w14:textId="77777777" w:rsidR="008B35C9" w:rsidRPr="002E333D" w:rsidRDefault="008B35C9" w:rsidP="000A5389">
            <w:pPr>
              <w:spacing w:line="240" w:lineRule="auto"/>
              <w:jc w:val="right"/>
              <w:rPr>
                <w:rFonts w:eastAsia="Times New Roman" w:cs="Times New Roman"/>
                <w:color w:val="000000"/>
                <w:kern w:val="0"/>
                <w:sz w:val="18"/>
                <w:szCs w:val="18"/>
                <w:lang w:eastAsia="es-CO"/>
                <w14:ligatures w14:val="none"/>
              </w:rPr>
            </w:pPr>
            <w:r w:rsidRPr="002E333D">
              <w:rPr>
                <w:rFonts w:eastAsia="Times New Roman" w:cs="Times New Roman"/>
                <w:color w:val="000000"/>
                <w:kern w:val="0"/>
                <w:sz w:val="18"/>
                <w:szCs w:val="18"/>
                <w:lang w:eastAsia="es-CO"/>
                <w14:ligatures w14:val="none"/>
              </w:rPr>
              <w:t xml:space="preserve">-            412.393.504 </w:t>
            </w:r>
          </w:p>
        </w:tc>
      </w:tr>
      <w:tr w:rsidR="004B0B8A" w:rsidRPr="002E333D" w14:paraId="19D80221" w14:textId="77777777" w:rsidTr="004B0B8A">
        <w:trPr>
          <w:trHeight w:val="340"/>
        </w:trPr>
        <w:tc>
          <w:tcPr>
            <w:tcW w:w="560" w:type="pct"/>
            <w:vAlign w:val="center"/>
            <w:hideMark/>
          </w:tcPr>
          <w:p w14:paraId="2F36B8C6" w14:textId="77777777" w:rsidR="008B35C9" w:rsidRPr="002E333D" w:rsidRDefault="008B35C9" w:rsidP="000A5389">
            <w:pPr>
              <w:spacing w:line="240" w:lineRule="auto"/>
              <w:jc w:val="center"/>
              <w:rPr>
                <w:rFonts w:eastAsia="Times New Roman" w:cs="Times New Roman"/>
                <w:color w:val="000000"/>
                <w:kern w:val="0"/>
                <w:sz w:val="18"/>
                <w:szCs w:val="18"/>
                <w:lang w:eastAsia="es-CO"/>
                <w14:ligatures w14:val="none"/>
              </w:rPr>
            </w:pPr>
            <w:r w:rsidRPr="002E333D">
              <w:rPr>
                <w:rFonts w:eastAsia="Times New Roman" w:cs="Times New Roman"/>
                <w:color w:val="000000"/>
                <w:kern w:val="0"/>
                <w:sz w:val="18"/>
                <w:szCs w:val="18"/>
                <w:lang w:eastAsia="es-CO"/>
                <w14:ligatures w14:val="none"/>
              </w:rPr>
              <w:t>800146814</w:t>
            </w:r>
          </w:p>
        </w:tc>
        <w:tc>
          <w:tcPr>
            <w:tcW w:w="1606" w:type="pct"/>
            <w:vAlign w:val="center"/>
            <w:hideMark/>
          </w:tcPr>
          <w:p w14:paraId="615B4B69" w14:textId="537E79CA" w:rsidR="008B35C9" w:rsidRPr="002E333D" w:rsidRDefault="004B0B8A" w:rsidP="000A5389">
            <w:pPr>
              <w:spacing w:line="240" w:lineRule="auto"/>
              <w:rPr>
                <w:rFonts w:eastAsia="Times New Roman" w:cs="Times New Roman"/>
                <w:color w:val="000000"/>
                <w:kern w:val="0"/>
                <w:sz w:val="18"/>
                <w:szCs w:val="18"/>
                <w:lang w:eastAsia="es-CO"/>
                <w14:ligatures w14:val="none"/>
              </w:rPr>
            </w:pPr>
            <w:r w:rsidRPr="002E333D">
              <w:rPr>
                <w:rFonts w:eastAsia="Times New Roman" w:cs="Times New Roman"/>
                <w:color w:val="000000"/>
                <w:kern w:val="0"/>
                <w:sz w:val="18"/>
                <w:szCs w:val="18"/>
                <w:lang w:eastAsia="es-CO"/>
                <w14:ligatures w14:val="none"/>
              </w:rPr>
              <w:t>Cititrust Colombia S.A Sociedad Fiduciaria</w:t>
            </w:r>
          </w:p>
        </w:tc>
        <w:tc>
          <w:tcPr>
            <w:tcW w:w="883" w:type="pct"/>
            <w:vAlign w:val="center"/>
            <w:hideMark/>
          </w:tcPr>
          <w:p w14:paraId="0668DFED" w14:textId="5B5F00F7" w:rsidR="008B35C9" w:rsidRPr="002E333D" w:rsidRDefault="008B35C9" w:rsidP="000A5389">
            <w:pPr>
              <w:spacing w:line="240" w:lineRule="auto"/>
              <w:jc w:val="right"/>
              <w:rPr>
                <w:rFonts w:eastAsia="Times New Roman" w:cs="Times New Roman"/>
                <w:color w:val="000000"/>
                <w:kern w:val="0"/>
                <w:sz w:val="18"/>
                <w:szCs w:val="18"/>
                <w:lang w:eastAsia="es-CO"/>
                <w14:ligatures w14:val="none"/>
              </w:rPr>
            </w:pPr>
            <w:r w:rsidRPr="002E333D">
              <w:rPr>
                <w:rFonts w:eastAsia="Times New Roman" w:cs="Times New Roman"/>
                <w:color w:val="000000"/>
                <w:kern w:val="0"/>
                <w:sz w:val="18"/>
                <w:szCs w:val="18"/>
                <w:lang w:eastAsia="es-CO"/>
                <w14:ligatures w14:val="none"/>
              </w:rPr>
              <w:t>15.960.709</w:t>
            </w:r>
          </w:p>
        </w:tc>
        <w:tc>
          <w:tcPr>
            <w:tcW w:w="964" w:type="pct"/>
            <w:vAlign w:val="center"/>
            <w:hideMark/>
          </w:tcPr>
          <w:p w14:paraId="00634657" w14:textId="7689905F" w:rsidR="008B35C9" w:rsidRPr="002E333D" w:rsidRDefault="008B35C9" w:rsidP="000A5389">
            <w:pPr>
              <w:spacing w:line="240" w:lineRule="auto"/>
              <w:jc w:val="right"/>
              <w:rPr>
                <w:rFonts w:eastAsia="Times New Roman" w:cs="Times New Roman"/>
                <w:color w:val="000000"/>
                <w:kern w:val="0"/>
                <w:sz w:val="18"/>
                <w:szCs w:val="18"/>
                <w:lang w:eastAsia="es-CO"/>
                <w14:ligatures w14:val="none"/>
              </w:rPr>
            </w:pPr>
            <w:r w:rsidRPr="002E333D">
              <w:rPr>
                <w:rFonts w:eastAsia="Times New Roman" w:cs="Times New Roman"/>
                <w:color w:val="000000"/>
                <w:kern w:val="0"/>
                <w:sz w:val="18"/>
                <w:szCs w:val="18"/>
                <w:lang w:eastAsia="es-CO"/>
                <w14:ligatures w14:val="none"/>
              </w:rPr>
              <w:t>-</w:t>
            </w:r>
          </w:p>
        </w:tc>
        <w:tc>
          <w:tcPr>
            <w:tcW w:w="988" w:type="pct"/>
            <w:vAlign w:val="center"/>
            <w:hideMark/>
          </w:tcPr>
          <w:p w14:paraId="7B8E36C4" w14:textId="77777777" w:rsidR="008B35C9" w:rsidRPr="002E333D" w:rsidRDefault="008B35C9" w:rsidP="000A5389">
            <w:pPr>
              <w:spacing w:line="240" w:lineRule="auto"/>
              <w:jc w:val="right"/>
              <w:rPr>
                <w:rFonts w:eastAsia="Times New Roman" w:cs="Times New Roman"/>
                <w:color w:val="000000"/>
                <w:kern w:val="0"/>
                <w:sz w:val="18"/>
                <w:szCs w:val="18"/>
                <w:lang w:eastAsia="es-CO"/>
                <w14:ligatures w14:val="none"/>
              </w:rPr>
            </w:pPr>
            <w:r w:rsidRPr="002E333D">
              <w:rPr>
                <w:rFonts w:eastAsia="Times New Roman" w:cs="Times New Roman"/>
                <w:color w:val="000000"/>
                <w:kern w:val="0"/>
                <w:sz w:val="18"/>
                <w:szCs w:val="18"/>
                <w:lang w:eastAsia="es-CO"/>
                <w14:ligatures w14:val="none"/>
              </w:rPr>
              <w:t xml:space="preserve">               15.960.709 </w:t>
            </w:r>
          </w:p>
        </w:tc>
      </w:tr>
      <w:tr w:rsidR="008B35C9" w:rsidRPr="002E333D" w14:paraId="56E5EC3D" w14:textId="77777777" w:rsidTr="004B0B8A">
        <w:trPr>
          <w:trHeight w:val="340"/>
        </w:trPr>
        <w:tc>
          <w:tcPr>
            <w:tcW w:w="2165" w:type="pct"/>
            <w:gridSpan w:val="2"/>
            <w:noWrap/>
            <w:vAlign w:val="center"/>
            <w:hideMark/>
          </w:tcPr>
          <w:p w14:paraId="0ED676B2" w14:textId="77777777" w:rsidR="008B35C9" w:rsidRPr="002E333D" w:rsidRDefault="008B35C9" w:rsidP="000A5389">
            <w:pPr>
              <w:spacing w:line="240" w:lineRule="auto"/>
              <w:jc w:val="center"/>
              <w:rPr>
                <w:rFonts w:eastAsia="Times New Roman" w:cs="Times New Roman"/>
                <w:b/>
                <w:bCs/>
                <w:color w:val="000000"/>
                <w:kern w:val="0"/>
                <w:sz w:val="18"/>
                <w:szCs w:val="18"/>
                <w:lang w:eastAsia="es-CO"/>
                <w14:ligatures w14:val="none"/>
              </w:rPr>
            </w:pPr>
            <w:r w:rsidRPr="002E333D">
              <w:rPr>
                <w:rFonts w:eastAsia="Times New Roman" w:cs="Times New Roman"/>
                <w:b/>
                <w:bCs/>
                <w:color w:val="000000"/>
                <w:kern w:val="0"/>
                <w:sz w:val="18"/>
                <w:szCs w:val="18"/>
                <w:lang w:eastAsia="es-CO"/>
                <w14:ligatures w14:val="none"/>
              </w:rPr>
              <w:t>TOTAL</w:t>
            </w:r>
          </w:p>
        </w:tc>
        <w:tc>
          <w:tcPr>
            <w:tcW w:w="883" w:type="pct"/>
            <w:noWrap/>
            <w:vAlign w:val="center"/>
            <w:hideMark/>
          </w:tcPr>
          <w:p w14:paraId="549441CF" w14:textId="77777777" w:rsidR="008B35C9" w:rsidRPr="002E333D" w:rsidRDefault="008B35C9" w:rsidP="000A5389">
            <w:pPr>
              <w:spacing w:line="240" w:lineRule="auto"/>
              <w:jc w:val="right"/>
              <w:rPr>
                <w:rFonts w:eastAsia="Times New Roman" w:cs="Times New Roman"/>
                <w:b/>
                <w:bCs/>
                <w:color w:val="000000"/>
                <w:kern w:val="0"/>
                <w:sz w:val="18"/>
                <w:szCs w:val="18"/>
                <w:lang w:eastAsia="es-CO"/>
                <w14:ligatures w14:val="none"/>
              </w:rPr>
            </w:pPr>
            <w:r w:rsidRPr="002E333D">
              <w:rPr>
                <w:rFonts w:eastAsia="Times New Roman" w:cs="Times New Roman"/>
                <w:b/>
                <w:bCs/>
                <w:color w:val="000000"/>
                <w:kern w:val="0"/>
                <w:sz w:val="18"/>
                <w:szCs w:val="18"/>
                <w:lang w:eastAsia="es-CO"/>
                <w14:ligatures w14:val="none"/>
              </w:rPr>
              <w:t>9.373.615.238.693</w:t>
            </w:r>
          </w:p>
        </w:tc>
        <w:tc>
          <w:tcPr>
            <w:tcW w:w="964" w:type="pct"/>
            <w:noWrap/>
            <w:vAlign w:val="center"/>
            <w:hideMark/>
          </w:tcPr>
          <w:p w14:paraId="56AD9669" w14:textId="77777777" w:rsidR="008B35C9" w:rsidRPr="002E333D" w:rsidRDefault="008B35C9" w:rsidP="000A5389">
            <w:pPr>
              <w:spacing w:line="240" w:lineRule="auto"/>
              <w:jc w:val="right"/>
              <w:rPr>
                <w:rFonts w:eastAsia="Times New Roman" w:cs="Times New Roman"/>
                <w:b/>
                <w:bCs/>
                <w:color w:val="000000"/>
                <w:kern w:val="0"/>
                <w:sz w:val="18"/>
                <w:szCs w:val="18"/>
                <w:lang w:eastAsia="es-CO"/>
                <w14:ligatures w14:val="none"/>
              </w:rPr>
            </w:pPr>
            <w:r w:rsidRPr="002E333D">
              <w:rPr>
                <w:rFonts w:eastAsia="Times New Roman" w:cs="Times New Roman"/>
                <w:b/>
                <w:bCs/>
                <w:color w:val="000000"/>
                <w:kern w:val="0"/>
                <w:sz w:val="18"/>
                <w:szCs w:val="18"/>
                <w:lang w:eastAsia="es-CO"/>
                <w14:ligatures w14:val="none"/>
              </w:rPr>
              <w:t>14.533.009.505.519</w:t>
            </w:r>
          </w:p>
        </w:tc>
        <w:tc>
          <w:tcPr>
            <w:tcW w:w="988" w:type="pct"/>
            <w:noWrap/>
            <w:vAlign w:val="center"/>
            <w:hideMark/>
          </w:tcPr>
          <w:p w14:paraId="5C702FC8" w14:textId="77777777" w:rsidR="008B35C9" w:rsidRPr="002E333D" w:rsidRDefault="008B35C9" w:rsidP="000A5389">
            <w:pPr>
              <w:spacing w:line="240" w:lineRule="auto"/>
              <w:jc w:val="right"/>
              <w:rPr>
                <w:rFonts w:eastAsia="Times New Roman" w:cs="Times New Roman"/>
                <w:b/>
                <w:bCs/>
                <w:color w:val="000000"/>
                <w:kern w:val="0"/>
                <w:sz w:val="18"/>
                <w:szCs w:val="18"/>
                <w:lang w:eastAsia="es-CO"/>
                <w14:ligatures w14:val="none"/>
              </w:rPr>
            </w:pPr>
            <w:r w:rsidRPr="002E333D">
              <w:rPr>
                <w:rFonts w:eastAsia="Times New Roman" w:cs="Times New Roman"/>
                <w:b/>
                <w:bCs/>
                <w:color w:val="000000"/>
                <w:kern w:val="0"/>
                <w:sz w:val="18"/>
                <w:szCs w:val="18"/>
                <w:lang w:eastAsia="es-CO"/>
                <w14:ligatures w14:val="none"/>
              </w:rPr>
              <w:t>-5.159.394.266.826</w:t>
            </w:r>
          </w:p>
        </w:tc>
      </w:tr>
    </w:tbl>
    <w:p w14:paraId="4DA4BF2B" w14:textId="37C28F68" w:rsidR="008B35C9" w:rsidRPr="00951AB1" w:rsidRDefault="008B35C9" w:rsidP="000A5389">
      <w:pPr>
        <w:spacing w:line="240" w:lineRule="auto"/>
        <w:rPr>
          <w:rFonts w:cs="Times New Roman"/>
          <w:sz w:val="16"/>
          <w:szCs w:val="16"/>
        </w:rPr>
      </w:pPr>
      <w:r w:rsidRPr="00951AB1">
        <w:rPr>
          <w:rFonts w:cs="Times New Roman"/>
          <w:sz w:val="16"/>
          <w:szCs w:val="16"/>
        </w:rPr>
        <w:t xml:space="preserve">Cifras </w:t>
      </w:r>
      <w:r w:rsidR="00600E25">
        <w:rPr>
          <w:rFonts w:cs="Times New Roman"/>
          <w:sz w:val="16"/>
          <w:szCs w:val="16"/>
        </w:rPr>
        <w:t xml:space="preserve">expresadas </w:t>
      </w:r>
      <w:r w:rsidRPr="00951AB1">
        <w:rPr>
          <w:rFonts w:cs="Times New Roman"/>
          <w:sz w:val="16"/>
          <w:szCs w:val="16"/>
        </w:rPr>
        <w:t xml:space="preserve">en pesos </w:t>
      </w:r>
    </w:p>
    <w:p w14:paraId="4446BAC0" w14:textId="77777777" w:rsidR="00E575C1" w:rsidRPr="00951AB1" w:rsidRDefault="00E575C1" w:rsidP="000A5389">
      <w:pPr>
        <w:spacing w:line="240" w:lineRule="auto"/>
        <w:rPr>
          <w:rFonts w:cs="Times New Roman"/>
          <w:bCs/>
          <w:szCs w:val="24"/>
        </w:rPr>
      </w:pPr>
    </w:p>
    <w:p w14:paraId="3D467B97" w14:textId="48C5C962" w:rsidR="008B35C9" w:rsidRDefault="008B35C9" w:rsidP="000A5389">
      <w:pPr>
        <w:spacing w:line="240" w:lineRule="auto"/>
        <w:rPr>
          <w:rFonts w:cs="Times New Roman"/>
          <w:bCs/>
          <w:szCs w:val="24"/>
        </w:rPr>
      </w:pPr>
      <w:r w:rsidRPr="00951AB1">
        <w:rPr>
          <w:rFonts w:cs="Times New Roman"/>
          <w:bCs/>
          <w:szCs w:val="24"/>
        </w:rPr>
        <w:t>Los Recursos de la entidad concedente en patrimonios autónomos constituidos por los concesionarios, están compuestos por los valores pendientes de ejecutar a 31 de diciembre de 2025 sobre los recursos entregados, en el marco de los contratos de concesión y la causación ingresos por rendimientos para obras menores, tal como se evidencia en el Informe de inversión.</w:t>
      </w:r>
    </w:p>
    <w:p w14:paraId="578AFDB5" w14:textId="77777777" w:rsidR="002E333D" w:rsidRPr="00951AB1" w:rsidRDefault="002E333D" w:rsidP="000A5389">
      <w:pPr>
        <w:spacing w:line="240" w:lineRule="auto"/>
        <w:rPr>
          <w:rFonts w:cs="Times New Roman"/>
          <w:bCs/>
          <w:szCs w:val="24"/>
        </w:rPr>
      </w:pPr>
    </w:p>
    <w:p w14:paraId="66A0FCE7" w14:textId="11E750C0" w:rsidR="008B35C9" w:rsidRPr="00951AB1" w:rsidRDefault="008B35C9" w:rsidP="000A5389">
      <w:pPr>
        <w:spacing w:line="240" w:lineRule="auto"/>
        <w:rPr>
          <w:rFonts w:cs="Times New Roman"/>
          <w:szCs w:val="24"/>
        </w:rPr>
      </w:pPr>
      <w:r w:rsidRPr="00951AB1">
        <w:rPr>
          <w:rFonts w:cs="Times New Roman"/>
          <w:bCs/>
          <w:i/>
          <w:iCs/>
          <w:szCs w:val="24"/>
        </w:rPr>
        <w:t>Recursos Entregados en Administración</w:t>
      </w:r>
      <w:r w:rsidR="00804632" w:rsidRPr="00951AB1">
        <w:rPr>
          <w:rFonts w:cs="Times New Roman"/>
          <w:bCs/>
          <w:i/>
          <w:iCs/>
          <w:szCs w:val="24"/>
        </w:rPr>
        <w:t>:</w:t>
      </w:r>
      <w:r w:rsidR="00804632" w:rsidRPr="00951AB1">
        <w:rPr>
          <w:rFonts w:cs="Times New Roman"/>
          <w:b/>
          <w:szCs w:val="24"/>
        </w:rPr>
        <w:t xml:space="preserve"> </w:t>
      </w:r>
      <w:r w:rsidRPr="00951AB1">
        <w:rPr>
          <w:rFonts w:cs="Times New Roman"/>
          <w:szCs w:val="24"/>
        </w:rPr>
        <w:t>Los saldos reflejados al cierre de la vigencia corresponden a recursos entregados a otras entidades estatales, en desarrollo de contratos y convenios interadministrativos y/o de cooperación y al traslado de los excesos de liquidez a la Dirección General de Crédito Público y del Tesoro Nacional (DGCPTN) a través del Sistema de Cuenta Única Nacional.</w:t>
      </w:r>
    </w:p>
    <w:p w14:paraId="49130B1A" w14:textId="77777777" w:rsidR="008B35C9" w:rsidRPr="00951AB1" w:rsidRDefault="008B35C9" w:rsidP="000A5389">
      <w:pPr>
        <w:spacing w:line="240" w:lineRule="auto"/>
        <w:rPr>
          <w:rFonts w:cs="Times New Roman"/>
          <w:szCs w:val="24"/>
        </w:rPr>
      </w:pPr>
    </w:p>
    <w:p w14:paraId="0E3B437C" w14:textId="5F972E63" w:rsidR="008B35C9" w:rsidRPr="00951AB1" w:rsidRDefault="008B35C9" w:rsidP="000A5389">
      <w:pPr>
        <w:spacing w:line="240" w:lineRule="auto"/>
        <w:rPr>
          <w:rFonts w:cs="Times New Roman"/>
          <w:szCs w:val="24"/>
        </w:rPr>
      </w:pPr>
      <w:r w:rsidRPr="00951AB1">
        <w:rPr>
          <w:rFonts w:cs="Times New Roman"/>
          <w:szCs w:val="24"/>
        </w:rPr>
        <w:t>Estos recursos se reconocen y miden por el valor inicialmente entregado, y posteriormente disminuyen de acuerdo con las ejecuciones (pagos) reportadas, aumentan por los aportes entregados conforme a los compromisos acordados en los convenios, y por traslados realizados a Sistema de Cuenta Única Nacional (SCUN). También, se incrementan por los rendimientos financieros generados por los recursos entregados en administración para los convenios que así lo estipulen.</w:t>
      </w:r>
    </w:p>
    <w:p w14:paraId="0D395D5F" w14:textId="77777777" w:rsidR="00804632" w:rsidRPr="00951AB1" w:rsidRDefault="00804632" w:rsidP="000A5389">
      <w:pPr>
        <w:spacing w:line="240" w:lineRule="auto"/>
        <w:rPr>
          <w:rFonts w:cs="Times New Roman"/>
          <w:bCs/>
          <w:szCs w:val="24"/>
        </w:rPr>
      </w:pPr>
    </w:p>
    <w:p w14:paraId="12989257" w14:textId="77777777" w:rsidR="008B35C9" w:rsidRDefault="008B35C9" w:rsidP="000A5389">
      <w:pPr>
        <w:spacing w:line="240" w:lineRule="auto"/>
        <w:rPr>
          <w:rFonts w:cs="Times New Roman"/>
          <w:szCs w:val="24"/>
        </w:rPr>
      </w:pPr>
      <w:r w:rsidRPr="00951AB1">
        <w:rPr>
          <w:rFonts w:cs="Times New Roman"/>
          <w:szCs w:val="24"/>
        </w:rPr>
        <w:t>La composición de los recursos entregados en administración se detalla a continuación:</w:t>
      </w:r>
    </w:p>
    <w:p w14:paraId="033B1663" w14:textId="77777777" w:rsidR="002E333D" w:rsidRPr="00951AB1" w:rsidRDefault="002E333D" w:rsidP="000A5389">
      <w:pPr>
        <w:spacing w:line="240" w:lineRule="auto"/>
        <w:rPr>
          <w:rFonts w:cs="Times New Roman"/>
          <w:szCs w:val="24"/>
        </w:rPr>
      </w:pPr>
    </w:p>
    <w:tbl>
      <w:tblPr>
        <w:tblW w:w="8960"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shd w:val="clear" w:color="auto" w:fill="FFFFFF" w:themeFill="background1"/>
        <w:tblCellMar>
          <w:left w:w="70" w:type="dxa"/>
          <w:right w:w="70" w:type="dxa"/>
        </w:tblCellMar>
        <w:tblLook w:val="04A0" w:firstRow="1" w:lastRow="0" w:firstColumn="1" w:lastColumn="0" w:noHBand="0" w:noVBand="1"/>
      </w:tblPr>
      <w:tblGrid>
        <w:gridCol w:w="3760"/>
        <w:gridCol w:w="2080"/>
        <w:gridCol w:w="1560"/>
        <w:gridCol w:w="1560"/>
      </w:tblGrid>
      <w:tr w:rsidR="008B35C9" w:rsidRPr="002E333D" w14:paraId="5A0964C4" w14:textId="77777777" w:rsidTr="00EA1618">
        <w:trPr>
          <w:trHeight w:val="340"/>
        </w:trPr>
        <w:tc>
          <w:tcPr>
            <w:tcW w:w="3760" w:type="dxa"/>
            <w:shd w:val="clear" w:color="auto" w:fill="FFFFFF" w:themeFill="background1"/>
            <w:vAlign w:val="center"/>
            <w:hideMark/>
          </w:tcPr>
          <w:p w14:paraId="0232C01E" w14:textId="77777777" w:rsidR="008B35C9" w:rsidRPr="002E333D" w:rsidRDefault="008B35C9" w:rsidP="000A5389">
            <w:pPr>
              <w:spacing w:line="240" w:lineRule="auto"/>
              <w:jc w:val="center"/>
              <w:rPr>
                <w:rFonts w:eastAsia="Times New Roman" w:cs="Times New Roman"/>
                <w:b/>
                <w:bCs/>
                <w:kern w:val="0"/>
                <w:sz w:val="18"/>
                <w:szCs w:val="18"/>
                <w:lang w:eastAsia="es-CO"/>
                <w14:ligatures w14:val="none"/>
              </w:rPr>
            </w:pPr>
            <w:r w:rsidRPr="002E333D">
              <w:rPr>
                <w:rFonts w:eastAsia="Times New Roman" w:cs="Times New Roman"/>
                <w:b/>
                <w:bCs/>
                <w:kern w:val="0"/>
                <w:sz w:val="18"/>
                <w:szCs w:val="18"/>
                <w:lang w:eastAsia="es-CO"/>
                <w14:ligatures w14:val="none"/>
              </w:rPr>
              <w:t>CONCEPTO</w:t>
            </w:r>
          </w:p>
        </w:tc>
        <w:tc>
          <w:tcPr>
            <w:tcW w:w="2080" w:type="dxa"/>
            <w:shd w:val="clear" w:color="auto" w:fill="FFFFFF" w:themeFill="background1"/>
            <w:vAlign w:val="center"/>
            <w:hideMark/>
          </w:tcPr>
          <w:p w14:paraId="7000EE53" w14:textId="77777777" w:rsidR="008B35C9" w:rsidRPr="002E333D" w:rsidRDefault="008B35C9" w:rsidP="000A5389">
            <w:pPr>
              <w:spacing w:line="240" w:lineRule="auto"/>
              <w:jc w:val="center"/>
              <w:rPr>
                <w:rFonts w:eastAsia="Times New Roman" w:cs="Times New Roman"/>
                <w:b/>
                <w:bCs/>
                <w:kern w:val="0"/>
                <w:sz w:val="18"/>
                <w:szCs w:val="18"/>
                <w:lang w:eastAsia="es-CO"/>
                <w14:ligatures w14:val="none"/>
              </w:rPr>
            </w:pPr>
            <w:r w:rsidRPr="002E333D">
              <w:rPr>
                <w:rFonts w:eastAsia="Times New Roman" w:cs="Times New Roman"/>
                <w:b/>
                <w:bCs/>
                <w:kern w:val="0"/>
                <w:sz w:val="18"/>
                <w:szCs w:val="18"/>
                <w:lang w:eastAsia="es-CO"/>
                <w14:ligatures w14:val="none"/>
              </w:rPr>
              <w:t>2025</w:t>
            </w:r>
          </w:p>
        </w:tc>
        <w:tc>
          <w:tcPr>
            <w:tcW w:w="1560" w:type="dxa"/>
            <w:shd w:val="clear" w:color="auto" w:fill="FFFFFF" w:themeFill="background1"/>
            <w:vAlign w:val="center"/>
            <w:hideMark/>
          </w:tcPr>
          <w:p w14:paraId="6EC3E588" w14:textId="77777777" w:rsidR="008B35C9" w:rsidRPr="002E333D" w:rsidRDefault="008B35C9" w:rsidP="000A5389">
            <w:pPr>
              <w:spacing w:line="240" w:lineRule="auto"/>
              <w:jc w:val="center"/>
              <w:rPr>
                <w:rFonts w:eastAsia="Times New Roman" w:cs="Times New Roman"/>
                <w:b/>
                <w:bCs/>
                <w:kern w:val="0"/>
                <w:sz w:val="18"/>
                <w:szCs w:val="18"/>
                <w:lang w:eastAsia="es-CO"/>
                <w14:ligatures w14:val="none"/>
              </w:rPr>
            </w:pPr>
            <w:r w:rsidRPr="002E333D">
              <w:rPr>
                <w:rFonts w:eastAsia="Times New Roman" w:cs="Times New Roman"/>
                <w:b/>
                <w:bCs/>
                <w:kern w:val="0"/>
                <w:sz w:val="18"/>
                <w:szCs w:val="18"/>
                <w:lang w:eastAsia="es-CO"/>
                <w14:ligatures w14:val="none"/>
              </w:rPr>
              <w:t>2024</w:t>
            </w:r>
          </w:p>
        </w:tc>
        <w:tc>
          <w:tcPr>
            <w:tcW w:w="1560" w:type="dxa"/>
            <w:shd w:val="clear" w:color="auto" w:fill="FFFFFF" w:themeFill="background1"/>
            <w:vAlign w:val="center"/>
            <w:hideMark/>
          </w:tcPr>
          <w:p w14:paraId="6C497B3B" w14:textId="77777777" w:rsidR="008B35C9" w:rsidRPr="002E333D" w:rsidRDefault="008B35C9" w:rsidP="000A5389">
            <w:pPr>
              <w:spacing w:line="240" w:lineRule="auto"/>
              <w:jc w:val="center"/>
              <w:rPr>
                <w:rFonts w:eastAsia="Times New Roman" w:cs="Times New Roman"/>
                <w:b/>
                <w:bCs/>
                <w:kern w:val="0"/>
                <w:sz w:val="18"/>
                <w:szCs w:val="18"/>
                <w:lang w:eastAsia="es-CO"/>
                <w14:ligatures w14:val="none"/>
              </w:rPr>
            </w:pPr>
            <w:r w:rsidRPr="002E333D">
              <w:rPr>
                <w:rFonts w:eastAsia="Times New Roman" w:cs="Times New Roman"/>
                <w:b/>
                <w:bCs/>
                <w:kern w:val="0"/>
                <w:sz w:val="18"/>
                <w:szCs w:val="18"/>
                <w:lang w:eastAsia="es-CO"/>
                <w14:ligatures w14:val="none"/>
              </w:rPr>
              <w:t>VARIACIÓN</w:t>
            </w:r>
          </w:p>
        </w:tc>
      </w:tr>
      <w:tr w:rsidR="008B35C9" w:rsidRPr="002E333D" w14:paraId="4EECE36F" w14:textId="77777777" w:rsidTr="00EA1618">
        <w:trPr>
          <w:trHeight w:val="340"/>
        </w:trPr>
        <w:tc>
          <w:tcPr>
            <w:tcW w:w="3760" w:type="dxa"/>
            <w:shd w:val="clear" w:color="auto" w:fill="FFFFFF" w:themeFill="background1"/>
            <w:vAlign w:val="center"/>
            <w:hideMark/>
          </w:tcPr>
          <w:p w14:paraId="356BA76B" w14:textId="77777777" w:rsidR="008B35C9" w:rsidRPr="002E333D" w:rsidRDefault="008B35C9" w:rsidP="000A5389">
            <w:pPr>
              <w:spacing w:line="240" w:lineRule="auto"/>
              <w:rPr>
                <w:rFonts w:eastAsia="Times New Roman" w:cs="Times New Roman"/>
                <w:b/>
                <w:bCs/>
                <w:kern w:val="0"/>
                <w:sz w:val="18"/>
                <w:szCs w:val="18"/>
                <w:lang w:eastAsia="es-CO"/>
                <w14:ligatures w14:val="none"/>
              </w:rPr>
            </w:pPr>
            <w:r w:rsidRPr="002E333D">
              <w:rPr>
                <w:rFonts w:eastAsia="Times New Roman" w:cs="Times New Roman"/>
                <w:b/>
                <w:bCs/>
                <w:kern w:val="0"/>
                <w:sz w:val="18"/>
                <w:szCs w:val="18"/>
                <w:lang w:eastAsia="es-CO"/>
                <w14:ligatures w14:val="none"/>
              </w:rPr>
              <w:t>Recursos entregados en administración</w:t>
            </w:r>
          </w:p>
        </w:tc>
        <w:tc>
          <w:tcPr>
            <w:tcW w:w="2080" w:type="dxa"/>
            <w:shd w:val="clear" w:color="auto" w:fill="FFFFFF" w:themeFill="background1"/>
            <w:vAlign w:val="center"/>
            <w:hideMark/>
          </w:tcPr>
          <w:p w14:paraId="7E028324" w14:textId="77777777" w:rsidR="008B35C9" w:rsidRPr="002E333D" w:rsidRDefault="008B35C9" w:rsidP="000A5389">
            <w:pPr>
              <w:spacing w:line="240" w:lineRule="auto"/>
              <w:jc w:val="right"/>
              <w:rPr>
                <w:rFonts w:eastAsia="Times New Roman" w:cs="Times New Roman"/>
                <w:b/>
                <w:bCs/>
                <w:kern w:val="0"/>
                <w:sz w:val="18"/>
                <w:szCs w:val="18"/>
                <w:lang w:eastAsia="es-CO"/>
                <w14:ligatures w14:val="none"/>
              </w:rPr>
            </w:pPr>
            <w:r w:rsidRPr="002E333D">
              <w:rPr>
                <w:rFonts w:eastAsia="Times New Roman" w:cs="Times New Roman"/>
                <w:b/>
                <w:bCs/>
                <w:kern w:val="0"/>
                <w:sz w:val="18"/>
                <w:szCs w:val="18"/>
                <w:lang w:eastAsia="es-CO"/>
                <w14:ligatures w14:val="none"/>
              </w:rPr>
              <w:t xml:space="preserve">7.327.222.038.636 </w:t>
            </w:r>
          </w:p>
        </w:tc>
        <w:tc>
          <w:tcPr>
            <w:tcW w:w="1560" w:type="dxa"/>
            <w:shd w:val="clear" w:color="auto" w:fill="FFFFFF" w:themeFill="background1"/>
            <w:vAlign w:val="center"/>
            <w:hideMark/>
          </w:tcPr>
          <w:p w14:paraId="416E0306" w14:textId="77777777" w:rsidR="008B35C9" w:rsidRPr="002E333D" w:rsidRDefault="008B35C9" w:rsidP="000A5389">
            <w:pPr>
              <w:spacing w:line="240" w:lineRule="auto"/>
              <w:jc w:val="right"/>
              <w:rPr>
                <w:rFonts w:eastAsia="Times New Roman" w:cs="Times New Roman"/>
                <w:b/>
                <w:bCs/>
                <w:kern w:val="0"/>
                <w:sz w:val="18"/>
                <w:szCs w:val="18"/>
                <w:lang w:eastAsia="es-CO"/>
                <w14:ligatures w14:val="none"/>
              </w:rPr>
            </w:pPr>
            <w:r w:rsidRPr="002E333D">
              <w:rPr>
                <w:rFonts w:eastAsia="Times New Roman" w:cs="Times New Roman"/>
                <w:b/>
                <w:bCs/>
                <w:kern w:val="0"/>
                <w:sz w:val="18"/>
                <w:szCs w:val="18"/>
                <w:lang w:eastAsia="es-CO"/>
                <w14:ligatures w14:val="none"/>
              </w:rPr>
              <w:t xml:space="preserve">6.493.657.195.458 </w:t>
            </w:r>
          </w:p>
        </w:tc>
        <w:tc>
          <w:tcPr>
            <w:tcW w:w="1560" w:type="dxa"/>
            <w:shd w:val="clear" w:color="auto" w:fill="FFFFFF" w:themeFill="background1"/>
            <w:vAlign w:val="center"/>
            <w:hideMark/>
          </w:tcPr>
          <w:p w14:paraId="3476DC44" w14:textId="77777777" w:rsidR="008B35C9" w:rsidRPr="002E333D" w:rsidRDefault="008B35C9" w:rsidP="000A5389">
            <w:pPr>
              <w:spacing w:line="240" w:lineRule="auto"/>
              <w:jc w:val="right"/>
              <w:rPr>
                <w:rFonts w:eastAsia="Times New Roman" w:cs="Times New Roman"/>
                <w:b/>
                <w:bCs/>
                <w:kern w:val="0"/>
                <w:sz w:val="18"/>
                <w:szCs w:val="18"/>
                <w:lang w:eastAsia="es-CO"/>
                <w14:ligatures w14:val="none"/>
              </w:rPr>
            </w:pPr>
            <w:r w:rsidRPr="002E333D">
              <w:rPr>
                <w:rFonts w:eastAsia="Times New Roman" w:cs="Times New Roman"/>
                <w:b/>
                <w:bCs/>
                <w:kern w:val="0"/>
                <w:sz w:val="18"/>
                <w:szCs w:val="18"/>
                <w:lang w:eastAsia="es-CO"/>
                <w14:ligatures w14:val="none"/>
              </w:rPr>
              <w:t xml:space="preserve">833.564.843.178 </w:t>
            </w:r>
          </w:p>
        </w:tc>
      </w:tr>
      <w:tr w:rsidR="008B35C9" w:rsidRPr="002E333D" w14:paraId="0FF4767B" w14:textId="77777777" w:rsidTr="00EA1618">
        <w:trPr>
          <w:trHeight w:val="340"/>
        </w:trPr>
        <w:tc>
          <w:tcPr>
            <w:tcW w:w="3760" w:type="dxa"/>
            <w:shd w:val="clear" w:color="auto" w:fill="FFFFFF" w:themeFill="background1"/>
            <w:vAlign w:val="center"/>
            <w:hideMark/>
          </w:tcPr>
          <w:p w14:paraId="70DE0525" w14:textId="77777777" w:rsidR="008B35C9" w:rsidRPr="002E333D" w:rsidRDefault="008B35C9" w:rsidP="000A5389">
            <w:pPr>
              <w:spacing w:line="240" w:lineRule="auto"/>
              <w:rPr>
                <w:rFonts w:eastAsia="Times New Roman" w:cs="Times New Roman"/>
                <w:b/>
                <w:bCs/>
                <w:kern w:val="0"/>
                <w:sz w:val="18"/>
                <w:szCs w:val="18"/>
                <w:lang w:eastAsia="es-CO"/>
                <w14:ligatures w14:val="none"/>
              </w:rPr>
            </w:pPr>
            <w:r w:rsidRPr="002E333D">
              <w:rPr>
                <w:rFonts w:eastAsia="Times New Roman" w:cs="Times New Roman"/>
                <w:b/>
                <w:bCs/>
                <w:kern w:val="0"/>
                <w:sz w:val="18"/>
                <w:szCs w:val="18"/>
                <w:lang w:eastAsia="es-CO"/>
                <w14:ligatures w14:val="none"/>
              </w:rPr>
              <w:t>Encargo fiduciario - fiducia de administración y pagos</w:t>
            </w:r>
          </w:p>
        </w:tc>
        <w:tc>
          <w:tcPr>
            <w:tcW w:w="2080" w:type="dxa"/>
            <w:shd w:val="clear" w:color="auto" w:fill="FFFFFF" w:themeFill="background1"/>
            <w:noWrap/>
            <w:vAlign w:val="center"/>
            <w:hideMark/>
          </w:tcPr>
          <w:p w14:paraId="107844E5" w14:textId="77777777" w:rsidR="008B35C9" w:rsidRPr="002E333D" w:rsidRDefault="008B35C9" w:rsidP="000A5389">
            <w:pPr>
              <w:spacing w:line="240" w:lineRule="auto"/>
              <w:jc w:val="right"/>
              <w:rPr>
                <w:rFonts w:eastAsia="Times New Roman" w:cs="Times New Roman"/>
                <w:b/>
                <w:bCs/>
                <w:kern w:val="0"/>
                <w:sz w:val="18"/>
                <w:szCs w:val="18"/>
                <w:lang w:eastAsia="es-CO"/>
                <w14:ligatures w14:val="none"/>
              </w:rPr>
            </w:pPr>
            <w:r w:rsidRPr="002E333D">
              <w:rPr>
                <w:rFonts w:eastAsia="Times New Roman" w:cs="Times New Roman"/>
                <w:b/>
                <w:bCs/>
                <w:kern w:val="0"/>
                <w:sz w:val="18"/>
                <w:szCs w:val="18"/>
                <w:lang w:eastAsia="es-CO"/>
                <w14:ligatures w14:val="none"/>
              </w:rPr>
              <w:t xml:space="preserve">6.364.715.271.053 </w:t>
            </w:r>
          </w:p>
        </w:tc>
        <w:tc>
          <w:tcPr>
            <w:tcW w:w="1560" w:type="dxa"/>
            <w:shd w:val="clear" w:color="auto" w:fill="FFFFFF" w:themeFill="background1"/>
            <w:noWrap/>
            <w:vAlign w:val="center"/>
            <w:hideMark/>
          </w:tcPr>
          <w:p w14:paraId="70F7C0C2" w14:textId="77777777" w:rsidR="008B35C9" w:rsidRPr="002E333D" w:rsidRDefault="008B35C9" w:rsidP="000A5389">
            <w:pPr>
              <w:spacing w:line="240" w:lineRule="auto"/>
              <w:jc w:val="right"/>
              <w:rPr>
                <w:rFonts w:eastAsia="Times New Roman" w:cs="Times New Roman"/>
                <w:b/>
                <w:bCs/>
                <w:kern w:val="0"/>
                <w:sz w:val="18"/>
                <w:szCs w:val="18"/>
                <w:lang w:eastAsia="es-CO"/>
                <w14:ligatures w14:val="none"/>
              </w:rPr>
            </w:pPr>
            <w:r w:rsidRPr="002E333D">
              <w:rPr>
                <w:rFonts w:eastAsia="Times New Roman" w:cs="Times New Roman"/>
                <w:b/>
                <w:bCs/>
                <w:kern w:val="0"/>
                <w:sz w:val="18"/>
                <w:szCs w:val="18"/>
                <w:lang w:eastAsia="es-CO"/>
                <w14:ligatures w14:val="none"/>
              </w:rPr>
              <w:t xml:space="preserve">5.897.957.508.019 </w:t>
            </w:r>
          </w:p>
        </w:tc>
        <w:tc>
          <w:tcPr>
            <w:tcW w:w="1560" w:type="dxa"/>
            <w:shd w:val="clear" w:color="auto" w:fill="FFFFFF" w:themeFill="background1"/>
            <w:noWrap/>
            <w:vAlign w:val="center"/>
            <w:hideMark/>
          </w:tcPr>
          <w:p w14:paraId="6BAABBD3" w14:textId="77777777" w:rsidR="008B35C9" w:rsidRPr="002E333D" w:rsidRDefault="008B35C9" w:rsidP="000A5389">
            <w:pPr>
              <w:spacing w:line="240" w:lineRule="auto"/>
              <w:jc w:val="right"/>
              <w:rPr>
                <w:rFonts w:eastAsia="Times New Roman" w:cs="Times New Roman"/>
                <w:b/>
                <w:bCs/>
                <w:kern w:val="0"/>
                <w:sz w:val="18"/>
                <w:szCs w:val="18"/>
                <w:lang w:eastAsia="es-CO"/>
                <w14:ligatures w14:val="none"/>
              </w:rPr>
            </w:pPr>
            <w:r w:rsidRPr="002E333D">
              <w:rPr>
                <w:rFonts w:eastAsia="Times New Roman" w:cs="Times New Roman"/>
                <w:b/>
                <w:bCs/>
                <w:kern w:val="0"/>
                <w:sz w:val="18"/>
                <w:szCs w:val="18"/>
                <w:lang w:eastAsia="es-CO"/>
                <w14:ligatures w14:val="none"/>
              </w:rPr>
              <w:t xml:space="preserve">466.757.763.033 </w:t>
            </w:r>
          </w:p>
        </w:tc>
      </w:tr>
      <w:tr w:rsidR="008B35C9" w:rsidRPr="002E333D" w14:paraId="0AC96950" w14:textId="77777777" w:rsidTr="00EA1618">
        <w:trPr>
          <w:trHeight w:val="340"/>
        </w:trPr>
        <w:tc>
          <w:tcPr>
            <w:tcW w:w="3760" w:type="dxa"/>
            <w:shd w:val="clear" w:color="auto" w:fill="FFFFFF" w:themeFill="background1"/>
            <w:vAlign w:val="center"/>
            <w:hideMark/>
          </w:tcPr>
          <w:p w14:paraId="307204A8" w14:textId="77777777" w:rsidR="008B35C9" w:rsidRPr="002E333D" w:rsidRDefault="008B35C9" w:rsidP="000A5389">
            <w:pPr>
              <w:spacing w:line="240" w:lineRule="auto"/>
              <w:rPr>
                <w:rFonts w:eastAsia="Times New Roman" w:cs="Times New Roman"/>
                <w:kern w:val="0"/>
                <w:sz w:val="18"/>
                <w:szCs w:val="18"/>
                <w:lang w:eastAsia="es-CO"/>
                <w14:ligatures w14:val="none"/>
              </w:rPr>
            </w:pPr>
            <w:r w:rsidRPr="002E333D">
              <w:rPr>
                <w:rFonts w:eastAsia="Times New Roman" w:cs="Times New Roman"/>
                <w:kern w:val="0"/>
                <w:sz w:val="18"/>
                <w:szCs w:val="18"/>
                <w:lang w:eastAsia="es-CO"/>
                <w14:ligatures w14:val="none"/>
              </w:rPr>
              <w:t>Fondo de Contingencias de las Entidades Estatales </w:t>
            </w:r>
          </w:p>
        </w:tc>
        <w:tc>
          <w:tcPr>
            <w:tcW w:w="2080" w:type="dxa"/>
            <w:shd w:val="clear" w:color="auto" w:fill="FFFFFF" w:themeFill="background1"/>
            <w:noWrap/>
            <w:vAlign w:val="center"/>
            <w:hideMark/>
          </w:tcPr>
          <w:p w14:paraId="21296ECF" w14:textId="77777777" w:rsidR="008B35C9" w:rsidRPr="002E333D" w:rsidRDefault="008B35C9" w:rsidP="000A5389">
            <w:pPr>
              <w:spacing w:line="240" w:lineRule="auto"/>
              <w:jc w:val="right"/>
              <w:rPr>
                <w:rFonts w:eastAsia="Times New Roman" w:cs="Times New Roman"/>
                <w:kern w:val="0"/>
                <w:sz w:val="18"/>
                <w:szCs w:val="18"/>
                <w:lang w:eastAsia="es-CO"/>
                <w14:ligatures w14:val="none"/>
              </w:rPr>
            </w:pPr>
            <w:r w:rsidRPr="002E333D">
              <w:rPr>
                <w:rFonts w:eastAsia="Times New Roman" w:cs="Times New Roman"/>
                <w:kern w:val="0"/>
                <w:sz w:val="18"/>
                <w:szCs w:val="18"/>
                <w:lang w:eastAsia="es-CO"/>
                <w14:ligatures w14:val="none"/>
              </w:rPr>
              <w:t xml:space="preserve">6.364.715.271.053 </w:t>
            </w:r>
          </w:p>
        </w:tc>
        <w:tc>
          <w:tcPr>
            <w:tcW w:w="1560" w:type="dxa"/>
            <w:shd w:val="clear" w:color="auto" w:fill="FFFFFF" w:themeFill="background1"/>
            <w:noWrap/>
            <w:vAlign w:val="center"/>
            <w:hideMark/>
          </w:tcPr>
          <w:p w14:paraId="4D8CC381" w14:textId="77777777" w:rsidR="008B35C9" w:rsidRPr="002E333D" w:rsidRDefault="008B35C9" w:rsidP="000A5389">
            <w:pPr>
              <w:spacing w:line="240" w:lineRule="auto"/>
              <w:jc w:val="right"/>
              <w:rPr>
                <w:rFonts w:eastAsia="Times New Roman" w:cs="Times New Roman"/>
                <w:kern w:val="0"/>
                <w:sz w:val="18"/>
                <w:szCs w:val="18"/>
                <w:lang w:eastAsia="es-CO"/>
                <w14:ligatures w14:val="none"/>
              </w:rPr>
            </w:pPr>
            <w:r w:rsidRPr="002E333D">
              <w:rPr>
                <w:rFonts w:eastAsia="Times New Roman" w:cs="Times New Roman"/>
                <w:kern w:val="0"/>
                <w:sz w:val="18"/>
                <w:szCs w:val="18"/>
                <w:lang w:eastAsia="es-CO"/>
                <w14:ligatures w14:val="none"/>
              </w:rPr>
              <w:t xml:space="preserve">5.897.957.508.019 </w:t>
            </w:r>
          </w:p>
        </w:tc>
        <w:tc>
          <w:tcPr>
            <w:tcW w:w="1560" w:type="dxa"/>
            <w:shd w:val="clear" w:color="auto" w:fill="FFFFFF" w:themeFill="background1"/>
            <w:noWrap/>
            <w:vAlign w:val="center"/>
            <w:hideMark/>
          </w:tcPr>
          <w:p w14:paraId="2C351092" w14:textId="77777777" w:rsidR="008B35C9" w:rsidRPr="002E333D" w:rsidRDefault="008B35C9" w:rsidP="000A5389">
            <w:pPr>
              <w:spacing w:line="240" w:lineRule="auto"/>
              <w:jc w:val="right"/>
              <w:rPr>
                <w:rFonts w:eastAsia="Times New Roman" w:cs="Times New Roman"/>
                <w:kern w:val="0"/>
                <w:sz w:val="18"/>
                <w:szCs w:val="18"/>
                <w:lang w:eastAsia="es-CO"/>
                <w14:ligatures w14:val="none"/>
              </w:rPr>
            </w:pPr>
            <w:r w:rsidRPr="002E333D">
              <w:rPr>
                <w:rFonts w:eastAsia="Times New Roman" w:cs="Times New Roman"/>
                <w:kern w:val="0"/>
                <w:sz w:val="18"/>
                <w:szCs w:val="18"/>
                <w:lang w:eastAsia="es-CO"/>
                <w14:ligatures w14:val="none"/>
              </w:rPr>
              <w:t xml:space="preserve">466.757.763.033 </w:t>
            </w:r>
          </w:p>
        </w:tc>
      </w:tr>
      <w:tr w:rsidR="008B35C9" w:rsidRPr="002E333D" w14:paraId="1D2E171D" w14:textId="77777777" w:rsidTr="00EA1618">
        <w:trPr>
          <w:trHeight w:val="340"/>
        </w:trPr>
        <w:tc>
          <w:tcPr>
            <w:tcW w:w="3760" w:type="dxa"/>
            <w:shd w:val="clear" w:color="auto" w:fill="FFFFFF" w:themeFill="background1"/>
            <w:vAlign w:val="center"/>
            <w:hideMark/>
          </w:tcPr>
          <w:p w14:paraId="6BD9E559" w14:textId="77777777" w:rsidR="008B35C9" w:rsidRPr="002E333D" w:rsidRDefault="008B35C9" w:rsidP="000A5389">
            <w:pPr>
              <w:spacing w:line="240" w:lineRule="auto"/>
              <w:rPr>
                <w:rFonts w:eastAsia="Times New Roman" w:cs="Times New Roman"/>
                <w:b/>
                <w:bCs/>
                <w:kern w:val="0"/>
                <w:sz w:val="18"/>
                <w:szCs w:val="18"/>
                <w:lang w:eastAsia="es-CO"/>
                <w14:ligatures w14:val="none"/>
              </w:rPr>
            </w:pPr>
            <w:r w:rsidRPr="002E333D">
              <w:rPr>
                <w:rFonts w:eastAsia="Times New Roman" w:cs="Times New Roman"/>
                <w:b/>
                <w:bCs/>
                <w:kern w:val="0"/>
                <w:sz w:val="18"/>
                <w:szCs w:val="18"/>
                <w:lang w:eastAsia="es-CO"/>
                <w14:ligatures w14:val="none"/>
              </w:rPr>
              <w:t>En administración</w:t>
            </w:r>
          </w:p>
        </w:tc>
        <w:tc>
          <w:tcPr>
            <w:tcW w:w="2080" w:type="dxa"/>
            <w:shd w:val="clear" w:color="auto" w:fill="FFFFFF" w:themeFill="background1"/>
            <w:noWrap/>
            <w:vAlign w:val="center"/>
            <w:hideMark/>
          </w:tcPr>
          <w:p w14:paraId="21406585" w14:textId="77777777" w:rsidR="008B35C9" w:rsidRPr="002E333D" w:rsidRDefault="008B35C9" w:rsidP="000A5389">
            <w:pPr>
              <w:spacing w:line="240" w:lineRule="auto"/>
              <w:jc w:val="right"/>
              <w:rPr>
                <w:rFonts w:eastAsia="Times New Roman" w:cs="Times New Roman"/>
                <w:b/>
                <w:bCs/>
                <w:kern w:val="0"/>
                <w:sz w:val="18"/>
                <w:szCs w:val="18"/>
                <w:lang w:eastAsia="es-CO"/>
                <w14:ligatures w14:val="none"/>
              </w:rPr>
            </w:pPr>
            <w:r w:rsidRPr="002E333D">
              <w:rPr>
                <w:rFonts w:eastAsia="Times New Roman" w:cs="Times New Roman"/>
                <w:b/>
                <w:bCs/>
                <w:kern w:val="0"/>
                <w:sz w:val="18"/>
                <w:szCs w:val="18"/>
                <w:lang w:eastAsia="es-CO"/>
                <w14:ligatures w14:val="none"/>
              </w:rPr>
              <w:t xml:space="preserve">962.506.767.583 </w:t>
            </w:r>
          </w:p>
        </w:tc>
        <w:tc>
          <w:tcPr>
            <w:tcW w:w="1560" w:type="dxa"/>
            <w:shd w:val="clear" w:color="auto" w:fill="FFFFFF" w:themeFill="background1"/>
            <w:noWrap/>
            <w:vAlign w:val="center"/>
            <w:hideMark/>
          </w:tcPr>
          <w:p w14:paraId="3E835F3B" w14:textId="77777777" w:rsidR="008B35C9" w:rsidRPr="002E333D" w:rsidRDefault="008B35C9" w:rsidP="000A5389">
            <w:pPr>
              <w:spacing w:line="240" w:lineRule="auto"/>
              <w:jc w:val="right"/>
              <w:rPr>
                <w:rFonts w:eastAsia="Times New Roman" w:cs="Times New Roman"/>
                <w:b/>
                <w:bCs/>
                <w:kern w:val="0"/>
                <w:sz w:val="18"/>
                <w:szCs w:val="18"/>
                <w:lang w:eastAsia="es-CO"/>
                <w14:ligatures w14:val="none"/>
              </w:rPr>
            </w:pPr>
            <w:r w:rsidRPr="002E333D">
              <w:rPr>
                <w:rFonts w:eastAsia="Times New Roman" w:cs="Times New Roman"/>
                <w:b/>
                <w:bCs/>
                <w:kern w:val="0"/>
                <w:sz w:val="18"/>
                <w:szCs w:val="18"/>
                <w:lang w:eastAsia="es-CO"/>
                <w14:ligatures w14:val="none"/>
              </w:rPr>
              <w:t xml:space="preserve">595.699.687.438 </w:t>
            </w:r>
          </w:p>
        </w:tc>
        <w:tc>
          <w:tcPr>
            <w:tcW w:w="1560" w:type="dxa"/>
            <w:shd w:val="clear" w:color="auto" w:fill="FFFFFF" w:themeFill="background1"/>
            <w:noWrap/>
            <w:vAlign w:val="center"/>
            <w:hideMark/>
          </w:tcPr>
          <w:p w14:paraId="50E931F3" w14:textId="77777777" w:rsidR="008B35C9" w:rsidRPr="002E333D" w:rsidRDefault="008B35C9" w:rsidP="000A5389">
            <w:pPr>
              <w:spacing w:line="240" w:lineRule="auto"/>
              <w:jc w:val="right"/>
              <w:rPr>
                <w:rFonts w:eastAsia="Times New Roman" w:cs="Times New Roman"/>
                <w:b/>
                <w:bCs/>
                <w:kern w:val="0"/>
                <w:sz w:val="18"/>
                <w:szCs w:val="18"/>
                <w:lang w:eastAsia="es-CO"/>
                <w14:ligatures w14:val="none"/>
              </w:rPr>
            </w:pPr>
            <w:r w:rsidRPr="002E333D">
              <w:rPr>
                <w:rFonts w:eastAsia="Times New Roman" w:cs="Times New Roman"/>
                <w:b/>
                <w:bCs/>
                <w:kern w:val="0"/>
                <w:sz w:val="18"/>
                <w:szCs w:val="18"/>
                <w:lang w:eastAsia="es-CO"/>
                <w14:ligatures w14:val="none"/>
              </w:rPr>
              <w:t xml:space="preserve">366.807.080.145 </w:t>
            </w:r>
          </w:p>
        </w:tc>
      </w:tr>
      <w:tr w:rsidR="008B35C9" w:rsidRPr="002E333D" w14:paraId="15ECBE5F" w14:textId="77777777" w:rsidTr="00EA1618">
        <w:trPr>
          <w:trHeight w:val="340"/>
        </w:trPr>
        <w:tc>
          <w:tcPr>
            <w:tcW w:w="3760" w:type="dxa"/>
            <w:shd w:val="clear" w:color="auto" w:fill="FFFFFF" w:themeFill="background1"/>
            <w:vAlign w:val="center"/>
            <w:hideMark/>
          </w:tcPr>
          <w:p w14:paraId="0C39733A" w14:textId="77777777" w:rsidR="008B35C9" w:rsidRPr="002E333D" w:rsidRDefault="008B35C9" w:rsidP="000A5389">
            <w:pPr>
              <w:spacing w:line="240" w:lineRule="auto"/>
              <w:rPr>
                <w:rFonts w:eastAsia="Times New Roman" w:cs="Times New Roman"/>
                <w:kern w:val="0"/>
                <w:sz w:val="18"/>
                <w:szCs w:val="18"/>
                <w:lang w:eastAsia="es-CO"/>
                <w14:ligatures w14:val="none"/>
              </w:rPr>
            </w:pPr>
            <w:r w:rsidRPr="002E333D">
              <w:rPr>
                <w:rFonts w:eastAsia="Times New Roman" w:cs="Times New Roman"/>
                <w:kern w:val="0"/>
                <w:sz w:val="18"/>
                <w:szCs w:val="18"/>
                <w:lang w:eastAsia="es-CO"/>
                <w14:ligatures w14:val="none"/>
              </w:rPr>
              <w:t xml:space="preserve">Traslados al FIP </w:t>
            </w:r>
          </w:p>
        </w:tc>
        <w:tc>
          <w:tcPr>
            <w:tcW w:w="2080" w:type="dxa"/>
            <w:shd w:val="clear" w:color="auto" w:fill="FFFFFF" w:themeFill="background1"/>
            <w:noWrap/>
            <w:vAlign w:val="center"/>
            <w:hideMark/>
          </w:tcPr>
          <w:p w14:paraId="13063AAF" w14:textId="77777777" w:rsidR="008B35C9" w:rsidRPr="002E333D" w:rsidRDefault="008B35C9" w:rsidP="000A5389">
            <w:pPr>
              <w:spacing w:line="240" w:lineRule="auto"/>
              <w:jc w:val="right"/>
              <w:rPr>
                <w:rFonts w:eastAsia="Times New Roman" w:cs="Times New Roman"/>
                <w:kern w:val="0"/>
                <w:sz w:val="18"/>
                <w:szCs w:val="18"/>
                <w:lang w:eastAsia="es-CO"/>
                <w14:ligatures w14:val="none"/>
              </w:rPr>
            </w:pPr>
            <w:r w:rsidRPr="002E333D">
              <w:rPr>
                <w:rFonts w:eastAsia="Times New Roman" w:cs="Times New Roman"/>
                <w:kern w:val="0"/>
                <w:sz w:val="18"/>
                <w:szCs w:val="18"/>
                <w:lang w:eastAsia="es-CO"/>
                <w14:ligatures w14:val="none"/>
              </w:rPr>
              <w:t xml:space="preserve">548.155.737.844 </w:t>
            </w:r>
          </w:p>
        </w:tc>
        <w:tc>
          <w:tcPr>
            <w:tcW w:w="1560" w:type="dxa"/>
            <w:shd w:val="clear" w:color="auto" w:fill="FFFFFF" w:themeFill="background1"/>
            <w:noWrap/>
            <w:vAlign w:val="center"/>
            <w:hideMark/>
          </w:tcPr>
          <w:p w14:paraId="71061168" w14:textId="77777777" w:rsidR="008B35C9" w:rsidRPr="002E333D" w:rsidRDefault="008B35C9" w:rsidP="000A5389">
            <w:pPr>
              <w:spacing w:line="240" w:lineRule="auto"/>
              <w:jc w:val="right"/>
              <w:rPr>
                <w:rFonts w:eastAsia="Times New Roman" w:cs="Times New Roman"/>
                <w:kern w:val="0"/>
                <w:sz w:val="18"/>
                <w:szCs w:val="18"/>
                <w:lang w:eastAsia="es-CO"/>
                <w14:ligatures w14:val="none"/>
              </w:rPr>
            </w:pPr>
            <w:r w:rsidRPr="002E333D">
              <w:rPr>
                <w:rFonts w:eastAsia="Times New Roman" w:cs="Times New Roman"/>
                <w:kern w:val="0"/>
                <w:sz w:val="18"/>
                <w:szCs w:val="18"/>
                <w:lang w:eastAsia="es-CO"/>
                <w14:ligatures w14:val="none"/>
              </w:rPr>
              <w:t xml:space="preserve">0 </w:t>
            </w:r>
          </w:p>
        </w:tc>
        <w:tc>
          <w:tcPr>
            <w:tcW w:w="1560" w:type="dxa"/>
            <w:shd w:val="clear" w:color="auto" w:fill="FFFFFF" w:themeFill="background1"/>
            <w:noWrap/>
            <w:vAlign w:val="center"/>
            <w:hideMark/>
          </w:tcPr>
          <w:p w14:paraId="10D6A7B6" w14:textId="77777777" w:rsidR="008B35C9" w:rsidRPr="002E333D" w:rsidRDefault="008B35C9" w:rsidP="000A5389">
            <w:pPr>
              <w:spacing w:line="240" w:lineRule="auto"/>
              <w:jc w:val="right"/>
              <w:rPr>
                <w:rFonts w:eastAsia="Times New Roman" w:cs="Times New Roman"/>
                <w:kern w:val="0"/>
                <w:sz w:val="18"/>
                <w:szCs w:val="18"/>
                <w:lang w:eastAsia="es-CO"/>
                <w14:ligatures w14:val="none"/>
              </w:rPr>
            </w:pPr>
            <w:r w:rsidRPr="002E333D">
              <w:rPr>
                <w:rFonts w:eastAsia="Times New Roman" w:cs="Times New Roman"/>
                <w:kern w:val="0"/>
                <w:sz w:val="18"/>
                <w:szCs w:val="18"/>
                <w:lang w:eastAsia="es-CO"/>
                <w14:ligatures w14:val="none"/>
              </w:rPr>
              <w:t xml:space="preserve">548.155.737.844 </w:t>
            </w:r>
          </w:p>
        </w:tc>
      </w:tr>
      <w:tr w:rsidR="008B35C9" w:rsidRPr="002E333D" w14:paraId="3309DD8A" w14:textId="77777777" w:rsidTr="00EA1618">
        <w:trPr>
          <w:trHeight w:val="340"/>
        </w:trPr>
        <w:tc>
          <w:tcPr>
            <w:tcW w:w="3760" w:type="dxa"/>
            <w:shd w:val="clear" w:color="auto" w:fill="FFFFFF" w:themeFill="background1"/>
            <w:vAlign w:val="center"/>
            <w:hideMark/>
          </w:tcPr>
          <w:p w14:paraId="36500067" w14:textId="77777777" w:rsidR="008B35C9" w:rsidRPr="002E333D" w:rsidRDefault="008B35C9" w:rsidP="000A5389">
            <w:pPr>
              <w:spacing w:line="240" w:lineRule="auto"/>
              <w:rPr>
                <w:rFonts w:eastAsia="Times New Roman" w:cs="Times New Roman"/>
                <w:kern w:val="0"/>
                <w:sz w:val="18"/>
                <w:szCs w:val="18"/>
                <w:lang w:eastAsia="es-CO"/>
                <w14:ligatures w14:val="none"/>
              </w:rPr>
            </w:pPr>
            <w:r w:rsidRPr="002E333D">
              <w:rPr>
                <w:rFonts w:eastAsia="Times New Roman" w:cs="Times New Roman"/>
                <w:kern w:val="0"/>
                <w:sz w:val="18"/>
                <w:szCs w:val="18"/>
                <w:lang w:eastAsia="es-CO"/>
                <w14:ligatures w14:val="none"/>
              </w:rPr>
              <w:t>En administración dtn - scun</w:t>
            </w:r>
          </w:p>
        </w:tc>
        <w:tc>
          <w:tcPr>
            <w:tcW w:w="2080" w:type="dxa"/>
            <w:shd w:val="clear" w:color="auto" w:fill="FFFFFF" w:themeFill="background1"/>
            <w:noWrap/>
            <w:vAlign w:val="center"/>
            <w:hideMark/>
          </w:tcPr>
          <w:p w14:paraId="362C4A9B" w14:textId="77777777" w:rsidR="008B35C9" w:rsidRPr="002E333D" w:rsidRDefault="008B35C9" w:rsidP="000A5389">
            <w:pPr>
              <w:spacing w:line="240" w:lineRule="auto"/>
              <w:jc w:val="right"/>
              <w:rPr>
                <w:rFonts w:eastAsia="Times New Roman" w:cs="Times New Roman"/>
                <w:kern w:val="0"/>
                <w:sz w:val="18"/>
                <w:szCs w:val="18"/>
                <w:lang w:eastAsia="es-CO"/>
                <w14:ligatures w14:val="none"/>
              </w:rPr>
            </w:pPr>
            <w:r w:rsidRPr="002E333D">
              <w:rPr>
                <w:rFonts w:eastAsia="Times New Roman" w:cs="Times New Roman"/>
                <w:kern w:val="0"/>
                <w:sz w:val="18"/>
                <w:szCs w:val="18"/>
                <w:lang w:eastAsia="es-CO"/>
                <w14:ligatures w14:val="none"/>
              </w:rPr>
              <w:t xml:space="preserve">195.514.091.456 </w:t>
            </w:r>
          </w:p>
        </w:tc>
        <w:tc>
          <w:tcPr>
            <w:tcW w:w="1560" w:type="dxa"/>
            <w:shd w:val="clear" w:color="auto" w:fill="FFFFFF" w:themeFill="background1"/>
            <w:noWrap/>
            <w:vAlign w:val="center"/>
            <w:hideMark/>
          </w:tcPr>
          <w:p w14:paraId="5C36F852" w14:textId="77777777" w:rsidR="008B35C9" w:rsidRPr="002E333D" w:rsidRDefault="008B35C9" w:rsidP="000A5389">
            <w:pPr>
              <w:spacing w:line="240" w:lineRule="auto"/>
              <w:jc w:val="right"/>
              <w:rPr>
                <w:rFonts w:eastAsia="Times New Roman" w:cs="Times New Roman"/>
                <w:kern w:val="0"/>
                <w:sz w:val="18"/>
                <w:szCs w:val="18"/>
                <w:lang w:eastAsia="es-CO"/>
                <w14:ligatures w14:val="none"/>
              </w:rPr>
            </w:pPr>
            <w:r w:rsidRPr="002E333D">
              <w:rPr>
                <w:rFonts w:eastAsia="Times New Roman" w:cs="Times New Roman"/>
                <w:kern w:val="0"/>
                <w:sz w:val="18"/>
                <w:szCs w:val="18"/>
                <w:lang w:eastAsia="es-CO"/>
                <w14:ligatures w14:val="none"/>
              </w:rPr>
              <w:t xml:space="preserve">134.090.440.320 </w:t>
            </w:r>
          </w:p>
        </w:tc>
        <w:tc>
          <w:tcPr>
            <w:tcW w:w="1560" w:type="dxa"/>
            <w:shd w:val="clear" w:color="auto" w:fill="FFFFFF" w:themeFill="background1"/>
            <w:noWrap/>
            <w:vAlign w:val="center"/>
            <w:hideMark/>
          </w:tcPr>
          <w:p w14:paraId="43E13DBA" w14:textId="77777777" w:rsidR="008B35C9" w:rsidRPr="002E333D" w:rsidRDefault="008B35C9" w:rsidP="000A5389">
            <w:pPr>
              <w:spacing w:line="240" w:lineRule="auto"/>
              <w:jc w:val="right"/>
              <w:rPr>
                <w:rFonts w:eastAsia="Times New Roman" w:cs="Times New Roman"/>
                <w:kern w:val="0"/>
                <w:sz w:val="18"/>
                <w:szCs w:val="18"/>
                <w:lang w:eastAsia="es-CO"/>
                <w14:ligatures w14:val="none"/>
              </w:rPr>
            </w:pPr>
            <w:r w:rsidRPr="002E333D">
              <w:rPr>
                <w:rFonts w:eastAsia="Times New Roman" w:cs="Times New Roman"/>
                <w:kern w:val="0"/>
                <w:sz w:val="18"/>
                <w:szCs w:val="18"/>
                <w:lang w:eastAsia="es-CO"/>
                <w14:ligatures w14:val="none"/>
              </w:rPr>
              <w:t xml:space="preserve">61.423.651.136 </w:t>
            </w:r>
          </w:p>
        </w:tc>
      </w:tr>
      <w:tr w:rsidR="008B35C9" w:rsidRPr="002E333D" w14:paraId="0A2EAF4C" w14:textId="77777777" w:rsidTr="00EA1618">
        <w:trPr>
          <w:trHeight w:val="340"/>
        </w:trPr>
        <w:tc>
          <w:tcPr>
            <w:tcW w:w="3760" w:type="dxa"/>
            <w:shd w:val="clear" w:color="auto" w:fill="FFFFFF" w:themeFill="background1"/>
            <w:vAlign w:val="center"/>
            <w:hideMark/>
          </w:tcPr>
          <w:p w14:paraId="1C84D03A" w14:textId="77777777" w:rsidR="008B35C9" w:rsidRPr="002E333D" w:rsidRDefault="008B35C9" w:rsidP="000A5389">
            <w:pPr>
              <w:spacing w:line="240" w:lineRule="auto"/>
              <w:rPr>
                <w:rFonts w:eastAsia="Times New Roman" w:cs="Times New Roman"/>
                <w:kern w:val="0"/>
                <w:sz w:val="18"/>
                <w:szCs w:val="18"/>
                <w:lang w:eastAsia="es-CO"/>
                <w14:ligatures w14:val="none"/>
              </w:rPr>
            </w:pPr>
            <w:r w:rsidRPr="002E333D">
              <w:rPr>
                <w:rFonts w:eastAsia="Times New Roman" w:cs="Times New Roman"/>
                <w:kern w:val="0"/>
                <w:sz w:val="18"/>
                <w:szCs w:val="18"/>
                <w:lang w:eastAsia="es-CO"/>
                <w14:ligatures w14:val="none"/>
              </w:rPr>
              <w:lastRenderedPageBreak/>
              <w:t>Convenios y contratos interadministrativos</w:t>
            </w:r>
          </w:p>
        </w:tc>
        <w:tc>
          <w:tcPr>
            <w:tcW w:w="2080" w:type="dxa"/>
            <w:shd w:val="clear" w:color="auto" w:fill="FFFFFF" w:themeFill="background1"/>
            <w:noWrap/>
            <w:vAlign w:val="center"/>
            <w:hideMark/>
          </w:tcPr>
          <w:p w14:paraId="2E34F36C" w14:textId="77777777" w:rsidR="008B35C9" w:rsidRPr="002E333D" w:rsidRDefault="008B35C9" w:rsidP="000A5389">
            <w:pPr>
              <w:spacing w:line="240" w:lineRule="auto"/>
              <w:jc w:val="right"/>
              <w:rPr>
                <w:rFonts w:eastAsia="Times New Roman" w:cs="Times New Roman"/>
                <w:kern w:val="0"/>
                <w:sz w:val="18"/>
                <w:szCs w:val="18"/>
                <w:lang w:eastAsia="es-CO"/>
                <w14:ligatures w14:val="none"/>
              </w:rPr>
            </w:pPr>
            <w:r w:rsidRPr="002E333D">
              <w:rPr>
                <w:rFonts w:eastAsia="Times New Roman" w:cs="Times New Roman"/>
                <w:kern w:val="0"/>
                <w:sz w:val="18"/>
                <w:szCs w:val="18"/>
                <w:lang w:eastAsia="es-CO"/>
                <w14:ligatures w14:val="none"/>
              </w:rPr>
              <w:t xml:space="preserve">192.344.877.151 </w:t>
            </w:r>
          </w:p>
        </w:tc>
        <w:tc>
          <w:tcPr>
            <w:tcW w:w="1560" w:type="dxa"/>
            <w:shd w:val="clear" w:color="auto" w:fill="FFFFFF" w:themeFill="background1"/>
            <w:noWrap/>
            <w:vAlign w:val="center"/>
            <w:hideMark/>
          </w:tcPr>
          <w:p w14:paraId="406B5279" w14:textId="77777777" w:rsidR="008B35C9" w:rsidRPr="002E333D" w:rsidRDefault="008B35C9" w:rsidP="000A5389">
            <w:pPr>
              <w:spacing w:line="240" w:lineRule="auto"/>
              <w:jc w:val="right"/>
              <w:rPr>
                <w:rFonts w:eastAsia="Times New Roman" w:cs="Times New Roman"/>
                <w:kern w:val="0"/>
                <w:sz w:val="18"/>
                <w:szCs w:val="18"/>
                <w:lang w:eastAsia="es-CO"/>
                <w14:ligatures w14:val="none"/>
              </w:rPr>
            </w:pPr>
            <w:r w:rsidRPr="002E333D">
              <w:rPr>
                <w:rFonts w:eastAsia="Times New Roman" w:cs="Times New Roman"/>
                <w:kern w:val="0"/>
                <w:sz w:val="18"/>
                <w:szCs w:val="18"/>
                <w:lang w:eastAsia="es-CO"/>
                <w14:ligatures w14:val="none"/>
              </w:rPr>
              <w:t xml:space="preserve">437.431.378.717 </w:t>
            </w:r>
          </w:p>
        </w:tc>
        <w:tc>
          <w:tcPr>
            <w:tcW w:w="1560" w:type="dxa"/>
            <w:shd w:val="clear" w:color="auto" w:fill="FFFFFF" w:themeFill="background1"/>
            <w:noWrap/>
            <w:vAlign w:val="center"/>
            <w:hideMark/>
          </w:tcPr>
          <w:p w14:paraId="7047B66F" w14:textId="77777777" w:rsidR="008B35C9" w:rsidRPr="002E333D" w:rsidRDefault="008B35C9" w:rsidP="000A5389">
            <w:pPr>
              <w:spacing w:line="240" w:lineRule="auto"/>
              <w:jc w:val="right"/>
              <w:rPr>
                <w:rFonts w:eastAsia="Times New Roman" w:cs="Times New Roman"/>
                <w:kern w:val="0"/>
                <w:sz w:val="18"/>
                <w:szCs w:val="18"/>
                <w:lang w:eastAsia="es-CO"/>
                <w14:ligatures w14:val="none"/>
              </w:rPr>
            </w:pPr>
            <w:r w:rsidRPr="002E333D">
              <w:rPr>
                <w:rFonts w:eastAsia="Times New Roman" w:cs="Times New Roman"/>
                <w:kern w:val="0"/>
                <w:sz w:val="18"/>
                <w:szCs w:val="18"/>
                <w:lang w:eastAsia="es-CO"/>
                <w14:ligatures w14:val="none"/>
              </w:rPr>
              <w:t xml:space="preserve">-245.086.501.566 </w:t>
            </w:r>
          </w:p>
        </w:tc>
      </w:tr>
      <w:tr w:rsidR="008B35C9" w:rsidRPr="002E333D" w14:paraId="3D8A10E0" w14:textId="77777777" w:rsidTr="00EA1618">
        <w:trPr>
          <w:trHeight w:val="340"/>
        </w:trPr>
        <w:tc>
          <w:tcPr>
            <w:tcW w:w="3760" w:type="dxa"/>
            <w:shd w:val="clear" w:color="auto" w:fill="FFFFFF" w:themeFill="background1"/>
            <w:vAlign w:val="center"/>
            <w:hideMark/>
          </w:tcPr>
          <w:p w14:paraId="3C07AA89" w14:textId="77777777" w:rsidR="008B35C9" w:rsidRPr="002E333D" w:rsidRDefault="008B35C9" w:rsidP="000A5389">
            <w:pPr>
              <w:spacing w:line="240" w:lineRule="auto"/>
              <w:rPr>
                <w:rFonts w:eastAsia="Times New Roman" w:cs="Times New Roman"/>
                <w:kern w:val="0"/>
                <w:sz w:val="18"/>
                <w:szCs w:val="18"/>
                <w:lang w:eastAsia="es-CO"/>
                <w14:ligatures w14:val="none"/>
              </w:rPr>
            </w:pPr>
            <w:r w:rsidRPr="002E333D">
              <w:rPr>
                <w:rFonts w:eastAsia="Times New Roman" w:cs="Times New Roman"/>
                <w:kern w:val="0"/>
                <w:sz w:val="18"/>
                <w:szCs w:val="18"/>
                <w:lang w:eastAsia="es-CO"/>
                <w14:ligatures w14:val="none"/>
              </w:rPr>
              <w:t>Fondo contingencias - sentencias y conciliaciones</w:t>
            </w:r>
          </w:p>
        </w:tc>
        <w:tc>
          <w:tcPr>
            <w:tcW w:w="2080" w:type="dxa"/>
            <w:shd w:val="clear" w:color="auto" w:fill="FFFFFF" w:themeFill="background1"/>
            <w:noWrap/>
            <w:vAlign w:val="center"/>
            <w:hideMark/>
          </w:tcPr>
          <w:p w14:paraId="0D261EE4" w14:textId="77777777" w:rsidR="008B35C9" w:rsidRPr="002E333D" w:rsidRDefault="008B35C9" w:rsidP="000A5389">
            <w:pPr>
              <w:spacing w:line="240" w:lineRule="auto"/>
              <w:jc w:val="right"/>
              <w:rPr>
                <w:rFonts w:eastAsia="Times New Roman" w:cs="Times New Roman"/>
                <w:kern w:val="0"/>
                <w:sz w:val="18"/>
                <w:szCs w:val="18"/>
                <w:lang w:eastAsia="es-CO"/>
                <w14:ligatures w14:val="none"/>
              </w:rPr>
            </w:pPr>
            <w:r w:rsidRPr="002E333D">
              <w:rPr>
                <w:rFonts w:eastAsia="Times New Roman" w:cs="Times New Roman"/>
                <w:kern w:val="0"/>
                <w:sz w:val="18"/>
                <w:szCs w:val="18"/>
                <w:lang w:eastAsia="es-CO"/>
                <w14:ligatures w14:val="none"/>
              </w:rPr>
              <w:t xml:space="preserve">26.492.061.131 </w:t>
            </w:r>
          </w:p>
        </w:tc>
        <w:tc>
          <w:tcPr>
            <w:tcW w:w="1560" w:type="dxa"/>
            <w:shd w:val="clear" w:color="auto" w:fill="FFFFFF" w:themeFill="background1"/>
            <w:noWrap/>
            <w:vAlign w:val="center"/>
            <w:hideMark/>
          </w:tcPr>
          <w:p w14:paraId="0A7BD17F" w14:textId="77777777" w:rsidR="008B35C9" w:rsidRPr="002E333D" w:rsidRDefault="008B35C9" w:rsidP="000A5389">
            <w:pPr>
              <w:spacing w:line="240" w:lineRule="auto"/>
              <w:jc w:val="right"/>
              <w:rPr>
                <w:rFonts w:eastAsia="Times New Roman" w:cs="Times New Roman"/>
                <w:kern w:val="0"/>
                <w:sz w:val="18"/>
                <w:szCs w:val="18"/>
                <w:lang w:eastAsia="es-CO"/>
                <w14:ligatures w14:val="none"/>
              </w:rPr>
            </w:pPr>
            <w:r w:rsidRPr="002E333D">
              <w:rPr>
                <w:rFonts w:eastAsia="Times New Roman" w:cs="Times New Roman"/>
                <w:kern w:val="0"/>
                <w:sz w:val="18"/>
                <w:szCs w:val="18"/>
                <w:lang w:eastAsia="es-CO"/>
                <w14:ligatures w14:val="none"/>
              </w:rPr>
              <w:t xml:space="preserve">24.177.868.401 </w:t>
            </w:r>
          </w:p>
        </w:tc>
        <w:tc>
          <w:tcPr>
            <w:tcW w:w="1560" w:type="dxa"/>
            <w:shd w:val="clear" w:color="auto" w:fill="FFFFFF" w:themeFill="background1"/>
            <w:noWrap/>
            <w:vAlign w:val="center"/>
            <w:hideMark/>
          </w:tcPr>
          <w:p w14:paraId="4B209F3F" w14:textId="77777777" w:rsidR="008B35C9" w:rsidRPr="002E333D" w:rsidRDefault="008B35C9" w:rsidP="000A5389">
            <w:pPr>
              <w:spacing w:line="240" w:lineRule="auto"/>
              <w:jc w:val="right"/>
              <w:rPr>
                <w:rFonts w:eastAsia="Times New Roman" w:cs="Times New Roman"/>
                <w:kern w:val="0"/>
                <w:sz w:val="18"/>
                <w:szCs w:val="18"/>
                <w:lang w:eastAsia="es-CO"/>
                <w14:ligatures w14:val="none"/>
              </w:rPr>
            </w:pPr>
            <w:r w:rsidRPr="002E333D">
              <w:rPr>
                <w:rFonts w:eastAsia="Times New Roman" w:cs="Times New Roman"/>
                <w:kern w:val="0"/>
                <w:sz w:val="18"/>
                <w:szCs w:val="18"/>
                <w:lang w:eastAsia="es-CO"/>
                <w14:ligatures w14:val="none"/>
              </w:rPr>
              <w:t xml:space="preserve">2.314.192.731 </w:t>
            </w:r>
          </w:p>
        </w:tc>
      </w:tr>
    </w:tbl>
    <w:p w14:paraId="0AAF0553" w14:textId="7CAAC6E8" w:rsidR="00804632" w:rsidRPr="00951AB1" w:rsidRDefault="008B35C9" w:rsidP="000A5389">
      <w:pPr>
        <w:spacing w:line="240" w:lineRule="auto"/>
        <w:rPr>
          <w:rFonts w:cs="Times New Roman"/>
          <w:sz w:val="16"/>
          <w:szCs w:val="16"/>
        </w:rPr>
      </w:pPr>
      <w:r w:rsidRPr="00951AB1">
        <w:rPr>
          <w:rFonts w:cs="Times New Roman"/>
          <w:sz w:val="16"/>
          <w:szCs w:val="16"/>
        </w:rPr>
        <w:t>Cifras</w:t>
      </w:r>
      <w:r w:rsidR="00600E25">
        <w:rPr>
          <w:rFonts w:cs="Times New Roman"/>
          <w:sz w:val="16"/>
          <w:szCs w:val="16"/>
        </w:rPr>
        <w:t xml:space="preserve"> expresadas</w:t>
      </w:r>
      <w:r w:rsidRPr="00951AB1">
        <w:rPr>
          <w:rFonts w:cs="Times New Roman"/>
          <w:sz w:val="16"/>
          <w:szCs w:val="16"/>
        </w:rPr>
        <w:t xml:space="preserve"> en pesos </w:t>
      </w:r>
    </w:p>
    <w:p w14:paraId="1211C682" w14:textId="77777777" w:rsidR="00E575C1" w:rsidRPr="00951AB1" w:rsidRDefault="00E575C1" w:rsidP="000A5389">
      <w:pPr>
        <w:spacing w:line="240" w:lineRule="auto"/>
        <w:rPr>
          <w:rFonts w:eastAsia="Times New Roman" w:cs="Times New Roman"/>
          <w:b/>
          <w:bCs/>
          <w:kern w:val="0"/>
          <w:szCs w:val="24"/>
          <w:u w:val="single"/>
          <w:lang w:eastAsia="es-CO"/>
          <w14:ligatures w14:val="none"/>
        </w:rPr>
      </w:pPr>
    </w:p>
    <w:p w14:paraId="15B8A650" w14:textId="10EB6874" w:rsidR="008B35C9" w:rsidRPr="00951AB1" w:rsidRDefault="008B35C9" w:rsidP="000A5389">
      <w:pPr>
        <w:spacing w:line="240" w:lineRule="auto"/>
        <w:rPr>
          <w:rFonts w:cs="Times New Roman"/>
          <w:szCs w:val="24"/>
        </w:rPr>
      </w:pPr>
      <w:r w:rsidRPr="00951AB1">
        <w:rPr>
          <w:rFonts w:eastAsia="Times New Roman" w:cs="Times New Roman"/>
          <w:i/>
          <w:iCs/>
          <w:kern w:val="0"/>
          <w:szCs w:val="24"/>
          <w:lang w:eastAsia="es-CO"/>
          <w14:ligatures w14:val="none"/>
        </w:rPr>
        <w:t>Encargo fiduciario - fiducia de administración y pagos</w:t>
      </w:r>
      <w:r w:rsidR="00804632" w:rsidRPr="00951AB1">
        <w:rPr>
          <w:rFonts w:eastAsia="Times New Roman" w:cs="Times New Roman"/>
          <w:i/>
          <w:iCs/>
          <w:kern w:val="0"/>
          <w:szCs w:val="24"/>
          <w:lang w:eastAsia="es-CO"/>
          <w14:ligatures w14:val="none"/>
        </w:rPr>
        <w:t>:</w:t>
      </w:r>
      <w:r w:rsidR="00804632" w:rsidRPr="00951AB1">
        <w:rPr>
          <w:rFonts w:eastAsia="Times New Roman" w:cs="Times New Roman"/>
          <w:b/>
          <w:bCs/>
          <w:kern w:val="0"/>
          <w:szCs w:val="24"/>
          <w:u w:val="single"/>
          <w:lang w:eastAsia="es-CO"/>
          <w14:ligatures w14:val="none"/>
        </w:rPr>
        <w:t xml:space="preserve"> </w:t>
      </w:r>
      <w:r w:rsidRPr="00951AB1">
        <w:rPr>
          <w:rFonts w:cs="Times New Roman"/>
          <w:szCs w:val="24"/>
        </w:rPr>
        <w:t>Representa el valor de los aportes efectuados por la Agencia a Fiduprevisora, en su calidad de vocera y administradora del encargo fiduciario - Fondo de Contingencias de las Entidades Estatales.</w:t>
      </w:r>
    </w:p>
    <w:p w14:paraId="5B3FBD95" w14:textId="4FDE55AA" w:rsidR="008B35C9" w:rsidRPr="00951AB1" w:rsidRDefault="008B35C9" w:rsidP="000A5389">
      <w:pPr>
        <w:autoSpaceDE w:val="0"/>
        <w:autoSpaceDN w:val="0"/>
        <w:adjustRightInd w:val="0"/>
        <w:spacing w:line="240" w:lineRule="auto"/>
        <w:rPr>
          <w:rFonts w:cs="Times New Roman"/>
          <w:szCs w:val="24"/>
        </w:rPr>
      </w:pPr>
      <w:r w:rsidRPr="00951AB1">
        <w:rPr>
          <w:rFonts w:cs="Times New Roman"/>
          <w:szCs w:val="24"/>
        </w:rPr>
        <w:t xml:space="preserve">El Fondo de Contingencias de las Entidades Estatales, es una cuenta especial, sin personería jurídica, administrada por la Fiduciaria la Previsora S.A., cuyo fideicomitente es el Ministerio de Hacienda y Crédito Público. Los recursos, así como los asuntos relacionados con pasivos del Fondo, serán administrados por la Dirección General de Crédito Público y Tesoro Nacional (DGCPTN). </w:t>
      </w:r>
    </w:p>
    <w:p w14:paraId="6E269E14" w14:textId="77777777" w:rsidR="00804632" w:rsidRPr="00951AB1" w:rsidRDefault="00804632" w:rsidP="000A5389">
      <w:pPr>
        <w:autoSpaceDE w:val="0"/>
        <w:autoSpaceDN w:val="0"/>
        <w:adjustRightInd w:val="0"/>
        <w:spacing w:line="240" w:lineRule="auto"/>
        <w:rPr>
          <w:rFonts w:cs="Times New Roman"/>
          <w:szCs w:val="24"/>
        </w:rPr>
      </w:pPr>
    </w:p>
    <w:p w14:paraId="3758ED39" w14:textId="77777777" w:rsidR="008B35C9" w:rsidRPr="00951AB1" w:rsidRDefault="008B35C9" w:rsidP="000A5389">
      <w:pPr>
        <w:autoSpaceDE w:val="0"/>
        <w:autoSpaceDN w:val="0"/>
        <w:adjustRightInd w:val="0"/>
        <w:spacing w:line="240" w:lineRule="auto"/>
        <w:rPr>
          <w:rFonts w:cs="Times New Roman"/>
          <w:szCs w:val="24"/>
        </w:rPr>
      </w:pPr>
      <w:r w:rsidRPr="00951AB1">
        <w:rPr>
          <w:rFonts w:cs="Times New Roman"/>
          <w:szCs w:val="24"/>
        </w:rPr>
        <w:t xml:space="preserve">El Fondo de contingencias de las entidades estatales, tiene por objeto la implantación de un sistema para su manejo basado en un criterio preventivo de disciplina fiscal. Es un mecanismo de cobertura ante la ocurrencia de riesgos. </w:t>
      </w:r>
    </w:p>
    <w:p w14:paraId="6991735B" w14:textId="77777777" w:rsidR="008B35C9" w:rsidRPr="00951AB1" w:rsidRDefault="008B35C9" w:rsidP="000A5389">
      <w:pPr>
        <w:autoSpaceDE w:val="0"/>
        <w:autoSpaceDN w:val="0"/>
        <w:adjustRightInd w:val="0"/>
        <w:spacing w:line="240" w:lineRule="auto"/>
        <w:rPr>
          <w:rFonts w:cs="Times New Roman"/>
          <w:szCs w:val="24"/>
        </w:rPr>
      </w:pPr>
    </w:p>
    <w:p w14:paraId="74CC3AAA" w14:textId="5446553D" w:rsidR="008B35C9" w:rsidRPr="00951AB1" w:rsidRDefault="008B35C9" w:rsidP="000A5389">
      <w:pPr>
        <w:autoSpaceDE w:val="0"/>
        <w:autoSpaceDN w:val="0"/>
        <w:adjustRightInd w:val="0"/>
        <w:spacing w:line="240" w:lineRule="auto"/>
        <w:rPr>
          <w:rFonts w:cs="Times New Roman"/>
          <w:szCs w:val="24"/>
        </w:rPr>
      </w:pPr>
      <w:r w:rsidRPr="00951AB1">
        <w:rPr>
          <w:rFonts w:cs="Times New Roman"/>
          <w:szCs w:val="24"/>
        </w:rPr>
        <w:t>Este Fondo, administra los recursos que transfiere la Agencia con el fin de cubrir obligaciones contingentes derivadas de la celebración de contratos de infraestructura bajo el esquema de acuerdos de concesión, o de la suscripción de operaciones de crédito público garantizadas por la Nación, dicho aporte de recursos se realiza en los montos y plazos calculados con las metodologías de valoración de pasivos contingentes que ha desarrollado el Ministerio de Hacienda y Crédito Público.</w:t>
      </w:r>
    </w:p>
    <w:p w14:paraId="59F373C2" w14:textId="77777777" w:rsidR="008B35C9" w:rsidRPr="00951AB1" w:rsidRDefault="008B35C9" w:rsidP="000A5389">
      <w:pPr>
        <w:spacing w:line="240" w:lineRule="auto"/>
        <w:rPr>
          <w:rFonts w:cs="Times New Roman"/>
          <w:szCs w:val="24"/>
        </w:rPr>
      </w:pPr>
    </w:p>
    <w:tbl>
      <w:tblPr>
        <w:tblW w:w="0" w:type="auto"/>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254"/>
        <w:gridCol w:w="196"/>
        <w:gridCol w:w="5495"/>
        <w:gridCol w:w="2874"/>
      </w:tblGrid>
      <w:tr w:rsidR="00E575C1" w:rsidRPr="002E333D" w14:paraId="17BFF610" w14:textId="77777777" w:rsidTr="00600E25">
        <w:trPr>
          <w:trHeight w:val="688"/>
          <w:tblHeader/>
        </w:trPr>
        <w:tc>
          <w:tcPr>
            <w:tcW w:w="5944" w:type="dxa"/>
            <w:gridSpan w:val="3"/>
            <w:tcMar>
              <w:left w:w="70" w:type="dxa"/>
              <w:right w:w="70" w:type="dxa"/>
            </w:tcMar>
            <w:vAlign w:val="center"/>
          </w:tcPr>
          <w:p w14:paraId="6BACB7CF" w14:textId="77777777" w:rsidR="008B35C9" w:rsidRPr="002E333D" w:rsidRDefault="008B35C9" w:rsidP="000A5389">
            <w:pPr>
              <w:spacing w:line="240" w:lineRule="auto"/>
              <w:jc w:val="center"/>
              <w:rPr>
                <w:rFonts w:cs="Times New Roman"/>
                <w:sz w:val="20"/>
                <w:szCs w:val="20"/>
              </w:rPr>
            </w:pPr>
            <w:r w:rsidRPr="002E333D">
              <w:rPr>
                <w:rFonts w:eastAsia="Times New Roman" w:cs="Times New Roman"/>
                <w:b/>
                <w:bCs/>
                <w:color w:val="000000" w:themeColor="text1"/>
                <w:sz w:val="20"/>
                <w:szCs w:val="20"/>
              </w:rPr>
              <w:t>CONCEPTOS Y TRANSACCIONES</w:t>
            </w:r>
          </w:p>
        </w:tc>
        <w:tc>
          <w:tcPr>
            <w:tcW w:w="2874" w:type="dxa"/>
            <w:tcMar>
              <w:left w:w="70" w:type="dxa"/>
              <w:right w:w="70" w:type="dxa"/>
            </w:tcMar>
            <w:vAlign w:val="center"/>
          </w:tcPr>
          <w:p w14:paraId="5C147456" w14:textId="77777777" w:rsidR="008B35C9" w:rsidRPr="002E333D" w:rsidRDefault="008B35C9" w:rsidP="000A5389">
            <w:pPr>
              <w:spacing w:line="240" w:lineRule="auto"/>
              <w:jc w:val="center"/>
              <w:rPr>
                <w:rFonts w:cs="Times New Roman"/>
                <w:sz w:val="20"/>
                <w:szCs w:val="20"/>
              </w:rPr>
            </w:pPr>
            <w:r w:rsidRPr="002E333D">
              <w:rPr>
                <w:rFonts w:eastAsia="Times New Roman" w:cs="Times New Roman"/>
                <w:b/>
                <w:bCs/>
                <w:color w:val="000000" w:themeColor="text1"/>
                <w:sz w:val="20"/>
                <w:szCs w:val="20"/>
              </w:rPr>
              <w:t>FONDO DE CONTINGENCIAS ENTIDADES ESTATALES</w:t>
            </w:r>
          </w:p>
        </w:tc>
      </w:tr>
      <w:tr w:rsidR="00E575C1" w:rsidRPr="002E333D" w14:paraId="508BC1C9" w14:textId="77777777" w:rsidTr="00600E25">
        <w:trPr>
          <w:trHeight w:val="300"/>
        </w:trPr>
        <w:tc>
          <w:tcPr>
            <w:tcW w:w="5944" w:type="dxa"/>
            <w:gridSpan w:val="3"/>
            <w:tcMar>
              <w:left w:w="70" w:type="dxa"/>
              <w:right w:w="70" w:type="dxa"/>
            </w:tcMar>
            <w:vAlign w:val="center"/>
          </w:tcPr>
          <w:p w14:paraId="3A4F9017" w14:textId="77777777" w:rsidR="008B35C9" w:rsidRPr="002E333D" w:rsidRDefault="008B35C9" w:rsidP="000A5389">
            <w:pPr>
              <w:spacing w:line="240" w:lineRule="auto"/>
              <w:rPr>
                <w:rFonts w:cs="Times New Roman"/>
                <w:sz w:val="20"/>
                <w:szCs w:val="20"/>
              </w:rPr>
            </w:pPr>
            <w:r w:rsidRPr="002E333D">
              <w:rPr>
                <w:rFonts w:eastAsia="Times New Roman" w:cs="Times New Roman"/>
                <w:b/>
                <w:bCs/>
                <w:color w:val="000000" w:themeColor="text1"/>
                <w:sz w:val="20"/>
                <w:szCs w:val="20"/>
              </w:rPr>
              <w:t>SALDO INICIAL</w:t>
            </w:r>
          </w:p>
        </w:tc>
        <w:tc>
          <w:tcPr>
            <w:tcW w:w="2874" w:type="dxa"/>
            <w:tcMar>
              <w:left w:w="70" w:type="dxa"/>
              <w:right w:w="70" w:type="dxa"/>
            </w:tcMar>
            <w:vAlign w:val="center"/>
          </w:tcPr>
          <w:p w14:paraId="195798C0" w14:textId="77777777" w:rsidR="008B35C9" w:rsidRPr="002E333D" w:rsidRDefault="008B35C9" w:rsidP="000A5389">
            <w:pPr>
              <w:spacing w:line="240" w:lineRule="auto"/>
              <w:jc w:val="right"/>
              <w:rPr>
                <w:rFonts w:cs="Times New Roman"/>
                <w:sz w:val="20"/>
                <w:szCs w:val="20"/>
              </w:rPr>
            </w:pPr>
            <w:r w:rsidRPr="002E333D">
              <w:rPr>
                <w:rFonts w:eastAsia="Times New Roman" w:cs="Times New Roman"/>
                <w:b/>
                <w:bCs/>
                <w:color w:val="000000" w:themeColor="text1"/>
                <w:sz w:val="20"/>
                <w:szCs w:val="20"/>
              </w:rPr>
              <w:t>5.897.957.508.019</w:t>
            </w:r>
          </w:p>
        </w:tc>
      </w:tr>
      <w:tr w:rsidR="00AB120E" w:rsidRPr="002E333D" w14:paraId="03C8419A" w14:textId="77777777" w:rsidTr="00600E25">
        <w:trPr>
          <w:trHeight w:val="300"/>
        </w:trPr>
        <w:tc>
          <w:tcPr>
            <w:tcW w:w="253" w:type="dxa"/>
            <w:tcMar>
              <w:left w:w="70" w:type="dxa"/>
              <w:right w:w="70" w:type="dxa"/>
            </w:tcMar>
            <w:vAlign w:val="center"/>
          </w:tcPr>
          <w:p w14:paraId="1C96132A" w14:textId="77777777" w:rsidR="008B35C9" w:rsidRPr="002E333D" w:rsidRDefault="008B35C9" w:rsidP="000A5389">
            <w:pPr>
              <w:spacing w:line="240" w:lineRule="auto"/>
              <w:rPr>
                <w:rFonts w:cs="Times New Roman"/>
                <w:sz w:val="20"/>
                <w:szCs w:val="20"/>
              </w:rPr>
            </w:pPr>
            <w:r w:rsidRPr="002E333D">
              <w:rPr>
                <w:rFonts w:eastAsia="Times New Roman" w:cs="Times New Roman"/>
                <w:b/>
                <w:bCs/>
                <w:color w:val="000000" w:themeColor="text1"/>
                <w:sz w:val="20"/>
                <w:szCs w:val="20"/>
              </w:rPr>
              <w:t>+</w:t>
            </w:r>
          </w:p>
        </w:tc>
        <w:tc>
          <w:tcPr>
            <w:tcW w:w="5691" w:type="dxa"/>
            <w:gridSpan w:val="2"/>
            <w:tcMar>
              <w:left w:w="70" w:type="dxa"/>
              <w:right w:w="70" w:type="dxa"/>
            </w:tcMar>
            <w:vAlign w:val="center"/>
          </w:tcPr>
          <w:p w14:paraId="4469EF40" w14:textId="77777777" w:rsidR="008B35C9" w:rsidRPr="002E333D" w:rsidRDefault="008B35C9" w:rsidP="000A5389">
            <w:pPr>
              <w:spacing w:line="240" w:lineRule="auto"/>
              <w:rPr>
                <w:rFonts w:cs="Times New Roman"/>
                <w:sz w:val="20"/>
                <w:szCs w:val="20"/>
              </w:rPr>
            </w:pPr>
            <w:r w:rsidRPr="002E333D">
              <w:rPr>
                <w:rFonts w:eastAsia="Times New Roman" w:cs="Times New Roman"/>
                <w:b/>
                <w:bCs/>
                <w:color w:val="000000" w:themeColor="text1"/>
                <w:sz w:val="20"/>
                <w:szCs w:val="20"/>
              </w:rPr>
              <w:t>ENTRADAS (DB):</w:t>
            </w:r>
          </w:p>
        </w:tc>
        <w:tc>
          <w:tcPr>
            <w:tcW w:w="2874" w:type="dxa"/>
            <w:tcMar>
              <w:left w:w="70" w:type="dxa"/>
              <w:right w:w="70" w:type="dxa"/>
            </w:tcMar>
            <w:vAlign w:val="center"/>
          </w:tcPr>
          <w:p w14:paraId="2F0C3E8C" w14:textId="77777777" w:rsidR="008B35C9" w:rsidRPr="002E333D" w:rsidRDefault="008B35C9" w:rsidP="000A5389">
            <w:pPr>
              <w:spacing w:line="240" w:lineRule="auto"/>
              <w:jc w:val="right"/>
              <w:rPr>
                <w:rFonts w:cs="Times New Roman"/>
                <w:sz w:val="20"/>
                <w:szCs w:val="20"/>
              </w:rPr>
            </w:pPr>
            <w:r w:rsidRPr="002E333D">
              <w:rPr>
                <w:rFonts w:eastAsia="Times New Roman" w:cs="Times New Roman"/>
                <w:b/>
                <w:bCs/>
                <w:color w:val="000000" w:themeColor="text1"/>
                <w:sz w:val="20"/>
                <w:szCs w:val="20"/>
              </w:rPr>
              <w:t>1.958.754.158.415</w:t>
            </w:r>
          </w:p>
        </w:tc>
      </w:tr>
      <w:tr w:rsidR="00AB120E" w:rsidRPr="002E333D" w14:paraId="5B4BD30F" w14:textId="77777777" w:rsidTr="00600E25">
        <w:trPr>
          <w:trHeight w:val="300"/>
        </w:trPr>
        <w:tc>
          <w:tcPr>
            <w:tcW w:w="253" w:type="dxa"/>
            <w:tcMar>
              <w:left w:w="70" w:type="dxa"/>
              <w:right w:w="70" w:type="dxa"/>
            </w:tcMar>
            <w:vAlign w:val="center"/>
          </w:tcPr>
          <w:p w14:paraId="34896206" w14:textId="77777777" w:rsidR="008B35C9" w:rsidRPr="002E333D" w:rsidRDefault="008B35C9" w:rsidP="000A5389">
            <w:pPr>
              <w:spacing w:line="240" w:lineRule="auto"/>
              <w:rPr>
                <w:rFonts w:cs="Times New Roman"/>
                <w:sz w:val="20"/>
                <w:szCs w:val="20"/>
              </w:rPr>
            </w:pPr>
            <w:r w:rsidRPr="002E333D">
              <w:rPr>
                <w:rFonts w:eastAsia="Times New Roman" w:cs="Times New Roman"/>
                <w:color w:val="000000" w:themeColor="text1"/>
                <w:sz w:val="20"/>
                <w:szCs w:val="20"/>
              </w:rPr>
              <w:t xml:space="preserve"> </w:t>
            </w:r>
          </w:p>
        </w:tc>
        <w:tc>
          <w:tcPr>
            <w:tcW w:w="196" w:type="dxa"/>
            <w:tcMar>
              <w:left w:w="70" w:type="dxa"/>
              <w:right w:w="70" w:type="dxa"/>
            </w:tcMar>
            <w:vAlign w:val="center"/>
          </w:tcPr>
          <w:p w14:paraId="1582590C" w14:textId="77777777" w:rsidR="008B35C9" w:rsidRPr="002E333D" w:rsidRDefault="008B35C9" w:rsidP="000A5389">
            <w:pPr>
              <w:spacing w:line="240" w:lineRule="auto"/>
              <w:rPr>
                <w:rFonts w:cs="Times New Roman"/>
                <w:sz w:val="20"/>
                <w:szCs w:val="20"/>
              </w:rPr>
            </w:pPr>
            <w:r w:rsidRPr="002E333D">
              <w:rPr>
                <w:rFonts w:eastAsia="Times New Roman" w:cs="Times New Roman"/>
                <w:color w:val="000000" w:themeColor="text1"/>
                <w:sz w:val="20"/>
                <w:szCs w:val="20"/>
              </w:rPr>
              <w:t xml:space="preserve"> </w:t>
            </w:r>
          </w:p>
        </w:tc>
        <w:tc>
          <w:tcPr>
            <w:tcW w:w="5495" w:type="dxa"/>
            <w:tcMar>
              <w:left w:w="70" w:type="dxa"/>
              <w:right w:w="70" w:type="dxa"/>
            </w:tcMar>
            <w:vAlign w:val="center"/>
          </w:tcPr>
          <w:p w14:paraId="449EE52B" w14:textId="77777777" w:rsidR="008B35C9" w:rsidRPr="002E333D" w:rsidRDefault="008B35C9" w:rsidP="000A5389">
            <w:pPr>
              <w:spacing w:line="240" w:lineRule="auto"/>
              <w:rPr>
                <w:rFonts w:cs="Times New Roman"/>
                <w:sz w:val="20"/>
                <w:szCs w:val="20"/>
              </w:rPr>
            </w:pPr>
            <w:r w:rsidRPr="002E333D">
              <w:rPr>
                <w:rFonts w:eastAsia="Times New Roman" w:cs="Times New Roman"/>
                <w:color w:val="000000" w:themeColor="text1"/>
                <w:sz w:val="20"/>
                <w:szCs w:val="20"/>
              </w:rPr>
              <w:t>Aportes ANI Infraestructura</w:t>
            </w:r>
          </w:p>
        </w:tc>
        <w:tc>
          <w:tcPr>
            <w:tcW w:w="2874" w:type="dxa"/>
            <w:tcMar>
              <w:left w:w="70" w:type="dxa"/>
              <w:right w:w="70" w:type="dxa"/>
            </w:tcMar>
            <w:vAlign w:val="center"/>
          </w:tcPr>
          <w:p w14:paraId="1ECA8B39" w14:textId="77777777" w:rsidR="008B35C9" w:rsidRPr="002E333D" w:rsidRDefault="008B35C9" w:rsidP="000A5389">
            <w:pPr>
              <w:spacing w:line="240" w:lineRule="auto"/>
              <w:jc w:val="right"/>
              <w:rPr>
                <w:rFonts w:cs="Times New Roman"/>
                <w:sz w:val="20"/>
                <w:szCs w:val="20"/>
              </w:rPr>
            </w:pPr>
            <w:r w:rsidRPr="002E333D">
              <w:rPr>
                <w:rFonts w:eastAsia="Times New Roman" w:cs="Times New Roman"/>
                <w:color w:val="000000" w:themeColor="text1"/>
                <w:sz w:val="20"/>
                <w:szCs w:val="20"/>
              </w:rPr>
              <w:t>1.386.815.262.945</w:t>
            </w:r>
          </w:p>
        </w:tc>
      </w:tr>
      <w:tr w:rsidR="00E575C1" w:rsidRPr="002E333D" w14:paraId="1AFEEE33" w14:textId="77777777" w:rsidTr="00600E25">
        <w:trPr>
          <w:trHeight w:val="300"/>
        </w:trPr>
        <w:tc>
          <w:tcPr>
            <w:tcW w:w="253" w:type="dxa"/>
            <w:tcMar>
              <w:left w:w="70" w:type="dxa"/>
              <w:right w:w="70" w:type="dxa"/>
            </w:tcMar>
            <w:vAlign w:val="center"/>
          </w:tcPr>
          <w:p w14:paraId="06ECDFFD" w14:textId="77777777" w:rsidR="008B35C9" w:rsidRPr="002E333D" w:rsidRDefault="008B35C9" w:rsidP="000A5389">
            <w:pPr>
              <w:spacing w:line="240" w:lineRule="auto"/>
              <w:rPr>
                <w:rFonts w:cs="Times New Roman"/>
                <w:sz w:val="20"/>
                <w:szCs w:val="20"/>
              </w:rPr>
            </w:pPr>
            <w:r w:rsidRPr="002E333D">
              <w:rPr>
                <w:rFonts w:eastAsia="Times New Roman" w:cs="Times New Roman"/>
                <w:color w:val="000000" w:themeColor="text1"/>
                <w:sz w:val="20"/>
                <w:szCs w:val="20"/>
              </w:rPr>
              <w:t xml:space="preserve"> </w:t>
            </w:r>
          </w:p>
        </w:tc>
        <w:tc>
          <w:tcPr>
            <w:tcW w:w="196" w:type="dxa"/>
            <w:tcMar>
              <w:left w:w="70" w:type="dxa"/>
              <w:right w:w="70" w:type="dxa"/>
            </w:tcMar>
            <w:vAlign w:val="center"/>
          </w:tcPr>
          <w:p w14:paraId="485991DA" w14:textId="77777777" w:rsidR="008B35C9" w:rsidRPr="002E333D" w:rsidRDefault="008B35C9" w:rsidP="000A5389">
            <w:pPr>
              <w:spacing w:line="240" w:lineRule="auto"/>
              <w:rPr>
                <w:rFonts w:cs="Times New Roman"/>
                <w:sz w:val="20"/>
                <w:szCs w:val="20"/>
              </w:rPr>
            </w:pPr>
            <w:r w:rsidRPr="002E333D">
              <w:rPr>
                <w:rFonts w:eastAsia="Times New Roman" w:cs="Times New Roman"/>
                <w:color w:val="000000" w:themeColor="text1"/>
                <w:sz w:val="20"/>
                <w:szCs w:val="20"/>
              </w:rPr>
              <w:t xml:space="preserve"> </w:t>
            </w:r>
          </w:p>
        </w:tc>
        <w:tc>
          <w:tcPr>
            <w:tcW w:w="5495" w:type="dxa"/>
            <w:tcMar>
              <w:left w:w="70" w:type="dxa"/>
              <w:right w:w="70" w:type="dxa"/>
            </w:tcMar>
            <w:vAlign w:val="center"/>
          </w:tcPr>
          <w:p w14:paraId="2F3D20BA" w14:textId="77777777" w:rsidR="008B35C9" w:rsidRPr="002E333D" w:rsidRDefault="008B35C9" w:rsidP="000A5389">
            <w:pPr>
              <w:spacing w:line="240" w:lineRule="auto"/>
              <w:rPr>
                <w:rFonts w:cs="Times New Roman"/>
                <w:sz w:val="20"/>
                <w:szCs w:val="20"/>
              </w:rPr>
            </w:pPr>
            <w:r w:rsidRPr="002E333D">
              <w:rPr>
                <w:rFonts w:eastAsia="Times New Roman" w:cs="Times New Roman"/>
                <w:color w:val="000000" w:themeColor="text1"/>
                <w:sz w:val="20"/>
                <w:szCs w:val="20"/>
              </w:rPr>
              <w:t>Actualización Rendimientos _ Infraestructura</w:t>
            </w:r>
          </w:p>
        </w:tc>
        <w:tc>
          <w:tcPr>
            <w:tcW w:w="2874" w:type="dxa"/>
            <w:tcMar>
              <w:left w:w="70" w:type="dxa"/>
              <w:right w:w="70" w:type="dxa"/>
            </w:tcMar>
            <w:vAlign w:val="center"/>
          </w:tcPr>
          <w:p w14:paraId="571D52D1" w14:textId="77777777" w:rsidR="008B35C9" w:rsidRPr="002E333D" w:rsidRDefault="008B35C9" w:rsidP="000A5389">
            <w:pPr>
              <w:spacing w:line="240" w:lineRule="auto"/>
              <w:jc w:val="right"/>
              <w:rPr>
                <w:rFonts w:cs="Times New Roman"/>
                <w:sz w:val="20"/>
                <w:szCs w:val="20"/>
              </w:rPr>
            </w:pPr>
            <w:r w:rsidRPr="002E333D">
              <w:rPr>
                <w:rFonts w:eastAsia="Times New Roman" w:cs="Times New Roman"/>
                <w:color w:val="000000" w:themeColor="text1"/>
                <w:sz w:val="20"/>
                <w:szCs w:val="20"/>
              </w:rPr>
              <w:t>571.938.895.470</w:t>
            </w:r>
          </w:p>
        </w:tc>
      </w:tr>
      <w:tr w:rsidR="00E575C1" w:rsidRPr="002E333D" w14:paraId="1C67D786" w14:textId="77777777" w:rsidTr="00600E25">
        <w:trPr>
          <w:trHeight w:val="300"/>
        </w:trPr>
        <w:tc>
          <w:tcPr>
            <w:tcW w:w="253" w:type="dxa"/>
            <w:tcMar>
              <w:left w:w="70" w:type="dxa"/>
              <w:right w:w="70" w:type="dxa"/>
            </w:tcMar>
            <w:vAlign w:val="center"/>
          </w:tcPr>
          <w:p w14:paraId="4104DEF0" w14:textId="77777777" w:rsidR="008B35C9" w:rsidRPr="002E333D" w:rsidRDefault="008B35C9" w:rsidP="000A5389">
            <w:pPr>
              <w:spacing w:line="240" w:lineRule="auto"/>
              <w:rPr>
                <w:rFonts w:cs="Times New Roman"/>
                <w:sz w:val="20"/>
                <w:szCs w:val="20"/>
              </w:rPr>
            </w:pPr>
            <w:r w:rsidRPr="002E333D">
              <w:rPr>
                <w:rFonts w:eastAsia="Times New Roman" w:cs="Times New Roman"/>
                <w:b/>
                <w:bCs/>
                <w:color w:val="000000" w:themeColor="text1"/>
                <w:sz w:val="20"/>
                <w:szCs w:val="20"/>
              </w:rPr>
              <w:t>-</w:t>
            </w:r>
          </w:p>
        </w:tc>
        <w:tc>
          <w:tcPr>
            <w:tcW w:w="5691" w:type="dxa"/>
            <w:gridSpan w:val="2"/>
            <w:tcMar>
              <w:left w:w="70" w:type="dxa"/>
              <w:right w:w="70" w:type="dxa"/>
            </w:tcMar>
            <w:vAlign w:val="center"/>
          </w:tcPr>
          <w:p w14:paraId="72E970CE" w14:textId="77777777" w:rsidR="008B35C9" w:rsidRPr="002E333D" w:rsidRDefault="008B35C9" w:rsidP="000A5389">
            <w:pPr>
              <w:spacing w:line="240" w:lineRule="auto"/>
              <w:rPr>
                <w:rFonts w:cs="Times New Roman"/>
                <w:sz w:val="20"/>
                <w:szCs w:val="20"/>
              </w:rPr>
            </w:pPr>
            <w:r w:rsidRPr="002E333D">
              <w:rPr>
                <w:rFonts w:eastAsia="Times New Roman" w:cs="Times New Roman"/>
                <w:b/>
                <w:bCs/>
                <w:color w:val="000000" w:themeColor="text1"/>
                <w:sz w:val="20"/>
                <w:szCs w:val="20"/>
              </w:rPr>
              <w:t>SALIDAS (CR):</w:t>
            </w:r>
          </w:p>
        </w:tc>
        <w:tc>
          <w:tcPr>
            <w:tcW w:w="2874" w:type="dxa"/>
            <w:tcMar>
              <w:left w:w="70" w:type="dxa"/>
              <w:right w:w="70" w:type="dxa"/>
            </w:tcMar>
            <w:vAlign w:val="center"/>
          </w:tcPr>
          <w:p w14:paraId="009983F4" w14:textId="77777777" w:rsidR="008B35C9" w:rsidRPr="002E333D" w:rsidRDefault="008B35C9" w:rsidP="000A5389">
            <w:pPr>
              <w:spacing w:line="240" w:lineRule="auto"/>
              <w:jc w:val="right"/>
              <w:rPr>
                <w:rFonts w:cs="Times New Roman"/>
                <w:sz w:val="20"/>
                <w:szCs w:val="20"/>
              </w:rPr>
            </w:pPr>
            <w:r w:rsidRPr="002E333D">
              <w:rPr>
                <w:rFonts w:eastAsia="Times New Roman" w:cs="Times New Roman"/>
                <w:b/>
                <w:bCs/>
                <w:color w:val="000000" w:themeColor="text1"/>
                <w:sz w:val="20"/>
                <w:szCs w:val="20"/>
              </w:rPr>
              <w:t>1.491.996.395.382</w:t>
            </w:r>
          </w:p>
        </w:tc>
      </w:tr>
      <w:tr w:rsidR="00AB120E" w:rsidRPr="002E333D" w14:paraId="5908986A" w14:textId="77777777" w:rsidTr="00600E25">
        <w:trPr>
          <w:trHeight w:val="240"/>
        </w:trPr>
        <w:tc>
          <w:tcPr>
            <w:tcW w:w="253" w:type="dxa"/>
            <w:tcMar>
              <w:left w:w="70" w:type="dxa"/>
              <w:right w:w="70" w:type="dxa"/>
            </w:tcMar>
            <w:vAlign w:val="center"/>
          </w:tcPr>
          <w:p w14:paraId="56C3E5C7" w14:textId="77777777" w:rsidR="008B35C9" w:rsidRPr="002E333D" w:rsidRDefault="008B35C9" w:rsidP="000A5389">
            <w:pPr>
              <w:spacing w:line="240" w:lineRule="auto"/>
              <w:rPr>
                <w:rFonts w:cs="Times New Roman"/>
                <w:sz w:val="20"/>
                <w:szCs w:val="20"/>
              </w:rPr>
            </w:pPr>
            <w:r w:rsidRPr="002E333D">
              <w:rPr>
                <w:rFonts w:eastAsia="Times New Roman" w:cs="Times New Roman"/>
                <w:color w:val="000000" w:themeColor="text1"/>
                <w:sz w:val="20"/>
                <w:szCs w:val="20"/>
              </w:rPr>
              <w:t xml:space="preserve"> </w:t>
            </w:r>
          </w:p>
        </w:tc>
        <w:tc>
          <w:tcPr>
            <w:tcW w:w="196" w:type="dxa"/>
            <w:tcMar>
              <w:left w:w="70" w:type="dxa"/>
              <w:right w:w="70" w:type="dxa"/>
            </w:tcMar>
            <w:vAlign w:val="center"/>
          </w:tcPr>
          <w:p w14:paraId="3452EE2E" w14:textId="77777777" w:rsidR="008B35C9" w:rsidRPr="002E333D" w:rsidRDefault="008B35C9" w:rsidP="000A5389">
            <w:pPr>
              <w:spacing w:line="240" w:lineRule="auto"/>
              <w:rPr>
                <w:rFonts w:cs="Times New Roman"/>
                <w:sz w:val="20"/>
                <w:szCs w:val="20"/>
              </w:rPr>
            </w:pPr>
            <w:r w:rsidRPr="002E333D">
              <w:rPr>
                <w:rFonts w:eastAsia="Times New Roman" w:cs="Times New Roman"/>
                <w:color w:val="000000" w:themeColor="text1"/>
                <w:sz w:val="20"/>
                <w:szCs w:val="20"/>
              </w:rPr>
              <w:t xml:space="preserve"> </w:t>
            </w:r>
          </w:p>
        </w:tc>
        <w:tc>
          <w:tcPr>
            <w:tcW w:w="5495" w:type="dxa"/>
            <w:tcMar>
              <w:left w:w="70" w:type="dxa"/>
              <w:right w:w="70" w:type="dxa"/>
            </w:tcMar>
            <w:vAlign w:val="center"/>
          </w:tcPr>
          <w:p w14:paraId="6C8825A3" w14:textId="77777777" w:rsidR="008B35C9" w:rsidRPr="002E333D" w:rsidRDefault="008B35C9" w:rsidP="000A5389">
            <w:pPr>
              <w:spacing w:line="240" w:lineRule="auto"/>
              <w:rPr>
                <w:rFonts w:cs="Times New Roman"/>
                <w:sz w:val="20"/>
                <w:szCs w:val="20"/>
              </w:rPr>
            </w:pPr>
            <w:r w:rsidRPr="002E333D">
              <w:rPr>
                <w:rFonts w:eastAsia="Times New Roman" w:cs="Times New Roman"/>
                <w:color w:val="000000" w:themeColor="text1"/>
                <w:sz w:val="20"/>
                <w:szCs w:val="20"/>
              </w:rPr>
              <w:t>Actualización Retiros_ Infraestructura</w:t>
            </w:r>
          </w:p>
        </w:tc>
        <w:tc>
          <w:tcPr>
            <w:tcW w:w="2874" w:type="dxa"/>
            <w:tcMar>
              <w:left w:w="70" w:type="dxa"/>
              <w:right w:w="70" w:type="dxa"/>
            </w:tcMar>
            <w:vAlign w:val="center"/>
          </w:tcPr>
          <w:p w14:paraId="3E18D0A1" w14:textId="77777777" w:rsidR="008B35C9" w:rsidRPr="002E333D" w:rsidRDefault="008B35C9" w:rsidP="000A5389">
            <w:pPr>
              <w:spacing w:line="240" w:lineRule="auto"/>
              <w:jc w:val="right"/>
              <w:rPr>
                <w:rFonts w:cs="Times New Roman"/>
                <w:sz w:val="20"/>
                <w:szCs w:val="20"/>
              </w:rPr>
            </w:pPr>
            <w:r w:rsidRPr="002E333D">
              <w:rPr>
                <w:rFonts w:eastAsia="Times New Roman" w:cs="Times New Roman"/>
                <w:color w:val="000000" w:themeColor="text1"/>
                <w:sz w:val="20"/>
                <w:szCs w:val="20"/>
              </w:rPr>
              <w:t>1.491.847.554.897</w:t>
            </w:r>
          </w:p>
        </w:tc>
      </w:tr>
      <w:tr w:rsidR="00E575C1" w:rsidRPr="002E333D" w14:paraId="140AD72F" w14:textId="77777777" w:rsidTr="00600E25">
        <w:trPr>
          <w:trHeight w:val="360"/>
        </w:trPr>
        <w:tc>
          <w:tcPr>
            <w:tcW w:w="253" w:type="dxa"/>
            <w:tcMar>
              <w:left w:w="70" w:type="dxa"/>
              <w:right w:w="70" w:type="dxa"/>
            </w:tcMar>
            <w:vAlign w:val="center"/>
          </w:tcPr>
          <w:p w14:paraId="39CBF1E0" w14:textId="77777777" w:rsidR="008B35C9" w:rsidRPr="002E333D" w:rsidRDefault="008B35C9" w:rsidP="000A5389">
            <w:pPr>
              <w:spacing w:line="240" w:lineRule="auto"/>
              <w:rPr>
                <w:rFonts w:cs="Times New Roman"/>
                <w:sz w:val="20"/>
                <w:szCs w:val="20"/>
              </w:rPr>
            </w:pPr>
            <w:r w:rsidRPr="002E333D">
              <w:rPr>
                <w:rFonts w:eastAsia="Times New Roman" w:cs="Times New Roman"/>
                <w:color w:val="000000" w:themeColor="text1"/>
                <w:sz w:val="20"/>
                <w:szCs w:val="20"/>
              </w:rPr>
              <w:t xml:space="preserve"> </w:t>
            </w:r>
          </w:p>
        </w:tc>
        <w:tc>
          <w:tcPr>
            <w:tcW w:w="196" w:type="dxa"/>
            <w:tcMar>
              <w:left w:w="70" w:type="dxa"/>
              <w:right w:w="70" w:type="dxa"/>
            </w:tcMar>
            <w:vAlign w:val="center"/>
          </w:tcPr>
          <w:p w14:paraId="600AF045" w14:textId="77777777" w:rsidR="008B35C9" w:rsidRPr="002E333D" w:rsidRDefault="008B35C9" w:rsidP="000A5389">
            <w:pPr>
              <w:spacing w:line="240" w:lineRule="auto"/>
              <w:rPr>
                <w:rFonts w:cs="Times New Roman"/>
                <w:sz w:val="20"/>
                <w:szCs w:val="20"/>
              </w:rPr>
            </w:pPr>
            <w:r w:rsidRPr="002E333D">
              <w:rPr>
                <w:rFonts w:eastAsia="Times New Roman" w:cs="Times New Roman"/>
                <w:color w:val="000000" w:themeColor="text1"/>
                <w:sz w:val="20"/>
                <w:szCs w:val="20"/>
              </w:rPr>
              <w:t xml:space="preserve"> </w:t>
            </w:r>
          </w:p>
        </w:tc>
        <w:tc>
          <w:tcPr>
            <w:tcW w:w="5495" w:type="dxa"/>
            <w:tcMar>
              <w:left w:w="70" w:type="dxa"/>
              <w:right w:w="70" w:type="dxa"/>
            </w:tcMar>
            <w:vAlign w:val="center"/>
          </w:tcPr>
          <w:p w14:paraId="1EB0755D" w14:textId="77777777" w:rsidR="008B35C9" w:rsidRPr="002E333D" w:rsidRDefault="008B35C9" w:rsidP="000A5389">
            <w:pPr>
              <w:spacing w:line="240" w:lineRule="auto"/>
              <w:rPr>
                <w:rFonts w:cs="Times New Roman"/>
                <w:sz w:val="20"/>
                <w:szCs w:val="20"/>
              </w:rPr>
            </w:pPr>
            <w:r w:rsidRPr="002E333D">
              <w:rPr>
                <w:rFonts w:eastAsia="Times New Roman" w:cs="Times New Roman"/>
                <w:color w:val="000000" w:themeColor="text1"/>
                <w:sz w:val="20"/>
                <w:szCs w:val="20"/>
              </w:rPr>
              <w:t>Egresos que se generaron en el FCEE octubre 2025</w:t>
            </w:r>
          </w:p>
        </w:tc>
        <w:tc>
          <w:tcPr>
            <w:tcW w:w="2874" w:type="dxa"/>
            <w:tcMar>
              <w:left w:w="70" w:type="dxa"/>
              <w:right w:w="70" w:type="dxa"/>
            </w:tcMar>
            <w:vAlign w:val="center"/>
          </w:tcPr>
          <w:p w14:paraId="729332A5" w14:textId="77777777" w:rsidR="008B35C9" w:rsidRPr="002E333D" w:rsidRDefault="008B35C9" w:rsidP="000A5389">
            <w:pPr>
              <w:spacing w:line="240" w:lineRule="auto"/>
              <w:jc w:val="right"/>
              <w:rPr>
                <w:rFonts w:cs="Times New Roman"/>
                <w:sz w:val="20"/>
                <w:szCs w:val="20"/>
              </w:rPr>
            </w:pPr>
            <w:r w:rsidRPr="002E333D">
              <w:rPr>
                <w:rFonts w:eastAsia="Times New Roman" w:cs="Times New Roman"/>
                <w:color w:val="000000" w:themeColor="text1"/>
                <w:sz w:val="20"/>
                <w:szCs w:val="20"/>
              </w:rPr>
              <w:t>148.840.485</w:t>
            </w:r>
          </w:p>
        </w:tc>
      </w:tr>
      <w:tr w:rsidR="00E575C1" w:rsidRPr="002E333D" w14:paraId="7A104936" w14:textId="77777777" w:rsidTr="00600E25">
        <w:trPr>
          <w:trHeight w:val="300"/>
        </w:trPr>
        <w:tc>
          <w:tcPr>
            <w:tcW w:w="253" w:type="dxa"/>
            <w:vMerge w:val="restart"/>
            <w:tcMar>
              <w:left w:w="70" w:type="dxa"/>
              <w:right w:w="70" w:type="dxa"/>
            </w:tcMar>
            <w:vAlign w:val="center"/>
          </w:tcPr>
          <w:p w14:paraId="7EEDE7A2" w14:textId="77777777" w:rsidR="008B35C9" w:rsidRPr="002E333D" w:rsidRDefault="008B35C9" w:rsidP="000A5389">
            <w:pPr>
              <w:spacing w:line="240" w:lineRule="auto"/>
              <w:rPr>
                <w:rFonts w:cs="Times New Roman"/>
                <w:sz w:val="20"/>
                <w:szCs w:val="20"/>
              </w:rPr>
            </w:pPr>
            <w:r w:rsidRPr="002E333D">
              <w:rPr>
                <w:rFonts w:eastAsia="Times New Roman" w:cs="Times New Roman"/>
                <w:b/>
                <w:bCs/>
                <w:color w:val="000000" w:themeColor="text1"/>
                <w:sz w:val="20"/>
                <w:szCs w:val="20"/>
              </w:rPr>
              <w:t>=</w:t>
            </w:r>
          </w:p>
        </w:tc>
        <w:tc>
          <w:tcPr>
            <w:tcW w:w="5691" w:type="dxa"/>
            <w:gridSpan w:val="2"/>
            <w:tcMar>
              <w:left w:w="70" w:type="dxa"/>
              <w:right w:w="70" w:type="dxa"/>
            </w:tcMar>
            <w:vAlign w:val="center"/>
          </w:tcPr>
          <w:p w14:paraId="07DC2F96" w14:textId="77777777" w:rsidR="008B35C9" w:rsidRPr="002E333D" w:rsidRDefault="008B35C9" w:rsidP="000A5389">
            <w:pPr>
              <w:spacing w:line="240" w:lineRule="auto"/>
              <w:rPr>
                <w:rFonts w:cs="Times New Roman"/>
                <w:sz w:val="20"/>
                <w:szCs w:val="20"/>
              </w:rPr>
            </w:pPr>
            <w:r w:rsidRPr="002E333D">
              <w:rPr>
                <w:rFonts w:eastAsia="Times New Roman" w:cs="Times New Roman"/>
                <w:b/>
                <w:bCs/>
                <w:color w:val="000000" w:themeColor="text1"/>
                <w:sz w:val="20"/>
                <w:szCs w:val="20"/>
              </w:rPr>
              <w:t>SUBTOTAL</w:t>
            </w:r>
          </w:p>
        </w:tc>
        <w:tc>
          <w:tcPr>
            <w:tcW w:w="2874" w:type="dxa"/>
            <w:vMerge w:val="restart"/>
            <w:tcMar>
              <w:left w:w="70" w:type="dxa"/>
              <w:right w:w="70" w:type="dxa"/>
            </w:tcMar>
            <w:vAlign w:val="center"/>
          </w:tcPr>
          <w:p w14:paraId="251A392D" w14:textId="77777777" w:rsidR="008B35C9" w:rsidRPr="002E333D" w:rsidRDefault="008B35C9" w:rsidP="000A5389">
            <w:pPr>
              <w:spacing w:line="240" w:lineRule="auto"/>
              <w:jc w:val="right"/>
              <w:rPr>
                <w:rFonts w:cs="Times New Roman"/>
                <w:sz w:val="20"/>
                <w:szCs w:val="20"/>
              </w:rPr>
            </w:pPr>
            <w:r w:rsidRPr="002E333D">
              <w:rPr>
                <w:rFonts w:eastAsia="Times New Roman" w:cs="Times New Roman"/>
                <w:b/>
                <w:bCs/>
                <w:color w:val="000000" w:themeColor="text1"/>
                <w:sz w:val="20"/>
                <w:szCs w:val="20"/>
              </w:rPr>
              <w:t>6.364.715.271.053</w:t>
            </w:r>
          </w:p>
        </w:tc>
      </w:tr>
      <w:tr w:rsidR="00AB120E" w:rsidRPr="002E333D" w14:paraId="23AB7639" w14:textId="77777777" w:rsidTr="00600E25">
        <w:trPr>
          <w:trHeight w:val="300"/>
        </w:trPr>
        <w:tc>
          <w:tcPr>
            <w:tcW w:w="253" w:type="dxa"/>
            <w:vMerge/>
            <w:vAlign w:val="center"/>
          </w:tcPr>
          <w:p w14:paraId="5DD5A2F6" w14:textId="77777777" w:rsidR="008B35C9" w:rsidRPr="002E333D" w:rsidRDefault="008B35C9" w:rsidP="000A5389">
            <w:pPr>
              <w:spacing w:line="240" w:lineRule="auto"/>
              <w:rPr>
                <w:rFonts w:cs="Times New Roman"/>
                <w:sz w:val="20"/>
                <w:szCs w:val="20"/>
              </w:rPr>
            </w:pPr>
          </w:p>
        </w:tc>
        <w:tc>
          <w:tcPr>
            <w:tcW w:w="5691" w:type="dxa"/>
            <w:gridSpan w:val="2"/>
            <w:tcMar>
              <w:left w:w="70" w:type="dxa"/>
              <w:right w:w="70" w:type="dxa"/>
            </w:tcMar>
            <w:vAlign w:val="center"/>
          </w:tcPr>
          <w:p w14:paraId="67D9AB6E" w14:textId="77777777" w:rsidR="008B35C9" w:rsidRPr="002E333D" w:rsidRDefault="008B35C9" w:rsidP="000A5389">
            <w:pPr>
              <w:spacing w:line="240" w:lineRule="auto"/>
              <w:rPr>
                <w:rFonts w:cs="Times New Roman"/>
                <w:sz w:val="20"/>
                <w:szCs w:val="20"/>
              </w:rPr>
            </w:pPr>
            <w:r w:rsidRPr="002E333D">
              <w:rPr>
                <w:rFonts w:eastAsia="Times New Roman" w:cs="Times New Roman"/>
                <w:b/>
                <w:bCs/>
                <w:color w:val="000000" w:themeColor="text1"/>
                <w:sz w:val="20"/>
                <w:szCs w:val="20"/>
              </w:rPr>
              <w:t>(Saldo inicial + Entradas - Salidas)</w:t>
            </w:r>
          </w:p>
        </w:tc>
        <w:tc>
          <w:tcPr>
            <w:tcW w:w="2874" w:type="dxa"/>
            <w:vMerge/>
            <w:vAlign w:val="center"/>
          </w:tcPr>
          <w:p w14:paraId="249282AA" w14:textId="77777777" w:rsidR="008B35C9" w:rsidRPr="002E333D" w:rsidRDefault="008B35C9" w:rsidP="000A5389">
            <w:pPr>
              <w:spacing w:line="240" w:lineRule="auto"/>
              <w:rPr>
                <w:rFonts w:cs="Times New Roman"/>
                <w:sz w:val="20"/>
                <w:szCs w:val="20"/>
              </w:rPr>
            </w:pPr>
          </w:p>
        </w:tc>
      </w:tr>
    </w:tbl>
    <w:p w14:paraId="03E3209C" w14:textId="77777777" w:rsidR="008B35C9" w:rsidRPr="00951AB1" w:rsidRDefault="008B35C9" w:rsidP="000A5389">
      <w:pPr>
        <w:spacing w:line="240" w:lineRule="auto"/>
        <w:rPr>
          <w:rFonts w:cs="Times New Roman"/>
          <w:sz w:val="16"/>
          <w:szCs w:val="16"/>
        </w:rPr>
      </w:pPr>
      <w:r w:rsidRPr="00951AB1">
        <w:rPr>
          <w:rFonts w:cs="Times New Roman"/>
          <w:sz w:val="16"/>
          <w:szCs w:val="16"/>
        </w:rPr>
        <w:t xml:space="preserve">Cifras en pesos </w:t>
      </w:r>
    </w:p>
    <w:p w14:paraId="4E83FB03" w14:textId="77777777" w:rsidR="00E575C1" w:rsidRPr="00951AB1" w:rsidRDefault="00E575C1" w:rsidP="000A5389">
      <w:pPr>
        <w:spacing w:line="240" w:lineRule="auto"/>
        <w:rPr>
          <w:rFonts w:cs="Times New Roman"/>
          <w:sz w:val="16"/>
          <w:szCs w:val="16"/>
        </w:rPr>
      </w:pPr>
    </w:p>
    <w:p w14:paraId="6B3FC853" w14:textId="77777777" w:rsidR="008B35C9" w:rsidRPr="00951AB1" w:rsidRDefault="008B35C9" w:rsidP="000A5389">
      <w:pPr>
        <w:spacing w:line="240" w:lineRule="auto"/>
        <w:rPr>
          <w:rFonts w:cs="Times New Roman"/>
        </w:rPr>
      </w:pPr>
      <w:r w:rsidRPr="00951AB1">
        <w:rPr>
          <w:rFonts w:eastAsia="Times New Roman" w:cs="Times New Roman"/>
          <w:szCs w:val="24"/>
        </w:rPr>
        <w:t>En el período contable, la Agencia efectuó giros (fondeos) a la Fiduprevisora por concepto de aportes por valor de $1.386.815.262.945 en atención a los valores presupuestados para el fondo de contingencias a cargo de los proyectos.</w:t>
      </w:r>
    </w:p>
    <w:p w14:paraId="08F4FC7C" w14:textId="77777777" w:rsidR="008B35C9" w:rsidRPr="00951AB1" w:rsidRDefault="008B35C9" w:rsidP="000A5389">
      <w:pPr>
        <w:spacing w:line="240" w:lineRule="auto"/>
        <w:rPr>
          <w:rFonts w:cs="Times New Roman"/>
        </w:rPr>
      </w:pPr>
      <w:r w:rsidRPr="00951AB1">
        <w:rPr>
          <w:rFonts w:eastAsia="Times New Roman" w:cs="Times New Roman"/>
          <w:szCs w:val="24"/>
        </w:rPr>
        <w:t xml:space="preserve"> </w:t>
      </w:r>
    </w:p>
    <w:p w14:paraId="3986DCEA" w14:textId="77777777" w:rsidR="008B35C9" w:rsidRPr="00951AB1" w:rsidRDefault="008B35C9" w:rsidP="000A5389">
      <w:pPr>
        <w:spacing w:line="240" w:lineRule="auto"/>
        <w:rPr>
          <w:rFonts w:cs="Times New Roman"/>
        </w:rPr>
      </w:pPr>
      <w:r w:rsidRPr="00951AB1">
        <w:rPr>
          <w:rFonts w:eastAsia="Times New Roman" w:cs="Times New Roman"/>
          <w:szCs w:val="24"/>
        </w:rPr>
        <w:lastRenderedPageBreak/>
        <w:t>Al cierre del período, se reconocieron ingresos por rendimientos de estos recursos por valor de $571.938.895.470 los cuales acrecentaron los recursos para ser utilizados una vez se materialicen los riesgos en los proyectos de concesión del modo de transporte carretero.</w:t>
      </w:r>
    </w:p>
    <w:p w14:paraId="1E2A8112" w14:textId="77777777" w:rsidR="00B33C03" w:rsidRPr="00951AB1" w:rsidRDefault="00B33C03" w:rsidP="000A5389">
      <w:pPr>
        <w:spacing w:line="240" w:lineRule="auto"/>
        <w:rPr>
          <w:rFonts w:eastAsia="Times New Roman" w:cs="Times New Roman"/>
          <w:szCs w:val="24"/>
        </w:rPr>
      </w:pPr>
    </w:p>
    <w:p w14:paraId="05D5DBDF" w14:textId="0DB61AB0" w:rsidR="008B35C9" w:rsidRPr="00951AB1" w:rsidRDefault="008B35C9" w:rsidP="000A5389">
      <w:pPr>
        <w:spacing w:line="240" w:lineRule="auto"/>
        <w:rPr>
          <w:rFonts w:cs="Times New Roman"/>
        </w:rPr>
      </w:pPr>
      <w:r w:rsidRPr="00951AB1">
        <w:rPr>
          <w:rFonts w:eastAsia="Times New Roman" w:cs="Times New Roman"/>
          <w:szCs w:val="24"/>
        </w:rPr>
        <w:t>Los riesgos materializados con cargo al fondo durante 2025 fueron los siguientes:</w:t>
      </w:r>
    </w:p>
    <w:p w14:paraId="7860ABD6" w14:textId="77777777" w:rsidR="008B35C9" w:rsidRPr="00951AB1" w:rsidRDefault="008B35C9" w:rsidP="000A5389">
      <w:pPr>
        <w:spacing w:line="240" w:lineRule="auto"/>
        <w:rPr>
          <w:rFonts w:cs="Times New Roman"/>
        </w:rPr>
      </w:pPr>
    </w:p>
    <w:tbl>
      <w:tblPr>
        <w:tblW w:w="5000" w:type="pct"/>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3963"/>
        <w:gridCol w:w="2949"/>
        <w:gridCol w:w="1916"/>
      </w:tblGrid>
      <w:tr w:rsidR="008B35C9" w:rsidRPr="002E333D" w14:paraId="615CBAA1" w14:textId="77777777" w:rsidTr="00B33C03">
        <w:trPr>
          <w:trHeight w:val="300"/>
          <w:tblHeader/>
        </w:trPr>
        <w:tc>
          <w:tcPr>
            <w:tcW w:w="2245" w:type="pct"/>
            <w:tcMar>
              <w:left w:w="70" w:type="dxa"/>
              <w:right w:w="70" w:type="dxa"/>
            </w:tcMar>
            <w:vAlign w:val="center"/>
          </w:tcPr>
          <w:p w14:paraId="2FAD28EE" w14:textId="77777777" w:rsidR="008B35C9" w:rsidRPr="002E333D" w:rsidRDefault="008B35C9" w:rsidP="000A5389">
            <w:pPr>
              <w:spacing w:line="240" w:lineRule="auto"/>
              <w:jc w:val="center"/>
              <w:rPr>
                <w:rFonts w:cs="Times New Roman"/>
                <w:sz w:val="20"/>
                <w:szCs w:val="20"/>
              </w:rPr>
            </w:pPr>
            <w:r w:rsidRPr="002E333D">
              <w:rPr>
                <w:rFonts w:eastAsia="Times New Roman" w:cs="Times New Roman"/>
                <w:b/>
                <w:color w:val="000000" w:themeColor="text1"/>
                <w:sz w:val="20"/>
                <w:szCs w:val="20"/>
              </w:rPr>
              <w:t>PROYECTO</w:t>
            </w:r>
          </w:p>
        </w:tc>
        <w:tc>
          <w:tcPr>
            <w:tcW w:w="1670" w:type="pct"/>
            <w:tcMar>
              <w:left w:w="70" w:type="dxa"/>
              <w:right w:w="70" w:type="dxa"/>
            </w:tcMar>
            <w:vAlign w:val="center"/>
          </w:tcPr>
          <w:p w14:paraId="2107F36D" w14:textId="77777777" w:rsidR="008B35C9" w:rsidRPr="002E333D" w:rsidRDefault="008B35C9" w:rsidP="000A5389">
            <w:pPr>
              <w:spacing w:line="240" w:lineRule="auto"/>
              <w:jc w:val="center"/>
              <w:rPr>
                <w:rFonts w:cs="Times New Roman"/>
                <w:sz w:val="20"/>
                <w:szCs w:val="20"/>
              </w:rPr>
            </w:pPr>
            <w:r w:rsidRPr="002E333D">
              <w:rPr>
                <w:rFonts w:eastAsia="Times New Roman" w:cs="Times New Roman"/>
                <w:b/>
                <w:color w:val="000000" w:themeColor="text1"/>
                <w:sz w:val="20"/>
                <w:szCs w:val="20"/>
              </w:rPr>
              <w:t>RIESGO</w:t>
            </w:r>
          </w:p>
        </w:tc>
        <w:tc>
          <w:tcPr>
            <w:tcW w:w="1085" w:type="pct"/>
            <w:tcMar>
              <w:left w:w="70" w:type="dxa"/>
              <w:right w:w="70" w:type="dxa"/>
            </w:tcMar>
            <w:vAlign w:val="center"/>
          </w:tcPr>
          <w:p w14:paraId="49126295" w14:textId="77777777" w:rsidR="008B35C9" w:rsidRPr="002E333D" w:rsidRDefault="008B35C9" w:rsidP="000A5389">
            <w:pPr>
              <w:spacing w:line="240" w:lineRule="auto"/>
              <w:jc w:val="center"/>
              <w:rPr>
                <w:rFonts w:cs="Times New Roman"/>
                <w:sz w:val="20"/>
                <w:szCs w:val="20"/>
              </w:rPr>
            </w:pPr>
            <w:r w:rsidRPr="002E333D">
              <w:rPr>
                <w:rFonts w:eastAsia="Times New Roman" w:cs="Times New Roman"/>
                <w:b/>
                <w:color w:val="000000" w:themeColor="text1"/>
                <w:sz w:val="20"/>
                <w:szCs w:val="20"/>
              </w:rPr>
              <w:t xml:space="preserve"> VALOR </w:t>
            </w:r>
          </w:p>
        </w:tc>
      </w:tr>
      <w:tr w:rsidR="008B35C9" w:rsidRPr="002E333D" w14:paraId="10B2987D" w14:textId="77777777" w:rsidTr="00B33C03">
        <w:trPr>
          <w:trHeight w:val="300"/>
        </w:trPr>
        <w:tc>
          <w:tcPr>
            <w:tcW w:w="2245" w:type="pct"/>
            <w:tcMar>
              <w:left w:w="70" w:type="dxa"/>
              <w:right w:w="70" w:type="dxa"/>
            </w:tcMar>
            <w:vAlign w:val="center"/>
          </w:tcPr>
          <w:p w14:paraId="3D709DC9" w14:textId="77777777" w:rsidR="008B35C9" w:rsidRPr="002E333D" w:rsidRDefault="008B35C9" w:rsidP="000A5389">
            <w:pPr>
              <w:spacing w:line="240" w:lineRule="auto"/>
              <w:rPr>
                <w:rFonts w:cs="Times New Roman"/>
                <w:sz w:val="20"/>
                <w:szCs w:val="20"/>
              </w:rPr>
            </w:pPr>
            <w:r w:rsidRPr="002E333D">
              <w:rPr>
                <w:rFonts w:eastAsia="Times New Roman" w:cs="Times New Roman"/>
                <w:color w:val="000000" w:themeColor="text1"/>
                <w:sz w:val="20"/>
                <w:szCs w:val="20"/>
              </w:rPr>
              <w:t>Accenorte 2</w:t>
            </w:r>
          </w:p>
        </w:tc>
        <w:tc>
          <w:tcPr>
            <w:tcW w:w="1670" w:type="pct"/>
            <w:tcMar>
              <w:left w:w="70" w:type="dxa"/>
              <w:right w:w="70" w:type="dxa"/>
            </w:tcMar>
            <w:vAlign w:val="center"/>
          </w:tcPr>
          <w:p w14:paraId="2462060E" w14:textId="77777777" w:rsidR="008B35C9" w:rsidRPr="002E333D" w:rsidRDefault="008B35C9" w:rsidP="000A5389">
            <w:pPr>
              <w:spacing w:line="240" w:lineRule="auto"/>
              <w:rPr>
                <w:rFonts w:cs="Times New Roman"/>
                <w:sz w:val="20"/>
                <w:szCs w:val="20"/>
              </w:rPr>
            </w:pPr>
            <w:r w:rsidRPr="002E333D">
              <w:rPr>
                <w:rFonts w:eastAsia="Times New Roman" w:cs="Times New Roman"/>
                <w:color w:val="000000" w:themeColor="text1"/>
                <w:sz w:val="20"/>
                <w:szCs w:val="20"/>
              </w:rPr>
              <w:t>Tarifario</w:t>
            </w:r>
          </w:p>
        </w:tc>
        <w:tc>
          <w:tcPr>
            <w:tcW w:w="1085" w:type="pct"/>
            <w:tcMar>
              <w:left w:w="70" w:type="dxa"/>
              <w:right w:w="70" w:type="dxa"/>
            </w:tcMar>
            <w:vAlign w:val="center"/>
          </w:tcPr>
          <w:p w14:paraId="5F8F1F5A" w14:textId="77777777" w:rsidR="008B35C9" w:rsidRPr="002E333D" w:rsidRDefault="008B35C9" w:rsidP="000A5389">
            <w:pPr>
              <w:spacing w:line="240" w:lineRule="auto"/>
              <w:jc w:val="right"/>
              <w:rPr>
                <w:rFonts w:cs="Times New Roman"/>
                <w:sz w:val="20"/>
                <w:szCs w:val="20"/>
              </w:rPr>
            </w:pPr>
            <w:r w:rsidRPr="002E333D">
              <w:rPr>
                <w:rFonts w:eastAsia="Times New Roman" w:cs="Times New Roman"/>
                <w:color w:val="000000" w:themeColor="text1"/>
                <w:sz w:val="20"/>
                <w:szCs w:val="20"/>
              </w:rPr>
              <w:t xml:space="preserve">25.581.158.275 </w:t>
            </w:r>
          </w:p>
        </w:tc>
      </w:tr>
      <w:tr w:rsidR="008B35C9" w:rsidRPr="002E333D" w14:paraId="0EBDFF88" w14:textId="77777777" w:rsidTr="00B33C03">
        <w:trPr>
          <w:trHeight w:val="300"/>
        </w:trPr>
        <w:tc>
          <w:tcPr>
            <w:tcW w:w="2245" w:type="pct"/>
            <w:tcMar>
              <w:left w:w="70" w:type="dxa"/>
              <w:right w:w="70" w:type="dxa"/>
            </w:tcMar>
            <w:vAlign w:val="center"/>
          </w:tcPr>
          <w:p w14:paraId="2E90B041" w14:textId="77777777" w:rsidR="008B35C9" w:rsidRPr="002E333D" w:rsidRDefault="008B35C9" w:rsidP="000A5389">
            <w:pPr>
              <w:spacing w:line="240" w:lineRule="auto"/>
              <w:rPr>
                <w:rFonts w:cs="Times New Roman"/>
                <w:sz w:val="20"/>
                <w:szCs w:val="20"/>
              </w:rPr>
            </w:pPr>
            <w:r w:rsidRPr="002E333D">
              <w:rPr>
                <w:rFonts w:eastAsia="Times New Roman" w:cs="Times New Roman"/>
                <w:color w:val="000000" w:themeColor="text1"/>
                <w:sz w:val="20"/>
                <w:szCs w:val="20"/>
              </w:rPr>
              <w:t>APP Autopista para la Prosperidad MAR 1</w:t>
            </w:r>
          </w:p>
        </w:tc>
        <w:tc>
          <w:tcPr>
            <w:tcW w:w="1670" w:type="pct"/>
            <w:tcMar>
              <w:left w:w="70" w:type="dxa"/>
              <w:right w:w="70" w:type="dxa"/>
            </w:tcMar>
            <w:vAlign w:val="center"/>
          </w:tcPr>
          <w:p w14:paraId="7FC673F8" w14:textId="77777777" w:rsidR="008B35C9" w:rsidRPr="002E333D" w:rsidRDefault="008B35C9" w:rsidP="000A5389">
            <w:pPr>
              <w:spacing w:line="240" w:lineRule="auto"/>
              <w:rPr>
                <w:rFonts w:cs="Times New Roman"/>
                <w:sz w:val="20"/>
                <w:szCs w:val="20"/>
              </w:rPr>
            </w:pPr>
            <w:r w:rsidRPr="002E333D">
              <w:rPr>
                <w:rFonts w:eastAsia="Times New Roman" w:cs="Times New Roman"/>
                <w:color w:val="000000" w:themeColor="text1"/>
                <w:sz w:val="20"/>
                <w:szCs w:val="20"/>
              </w:rPr>
              <w:t>Tarifario</w:t>
            </w:r>
          </w:p>
        </w:tc>
        <w:tc>
          <w:tcPr>
            <w:tcW w:w="1085" w:type="pct"/>
            <w:tcMar>
              <w:left w:w="70" w:type="dxa"/>
              <w:right w:w="70" w:type="dxa"/>
            </w:tcMar>
            <w:vAlign w:val="center"/>
          </w:tcPr>
          <w:p w14:paraId="7B5BE06F" w14:textId="77777777" w:rsidR="008B35C9" w:rsidRPr="002E333D" w:rsidRDefault="008B35C9" w:rsidP="000A5389">
            <w:pPr>
              <w:spacing w:line="240" w:lineRule="auto"/>
              <w:jc w:val="right"/>
              <w:rPr>
                <w:rFonts w:cs="Times New Roman"/>
                <w:sz w:val="20"/>
                <w:szCs w:val="20"/>
              </w:rPr>
            </w:pPr>
            <w:r w:rsidRPr="002E333D">
              <w:rPr>
                <w:rFonts w:eastAsia="Times New Roman" w:cs="Times New Roman"/>
                <w:color w:val="000000" w:themeColor="text1"/>
                <w:sz w:val="20"/>
                <w:szCs w:val="20"/>
              </w:rPr>
              <w:t xml:space="preserve">54.247.305.622 </w:t>
            </w:r>
          </w:p>
        </w:tc>
      </w:tr>
      <w:tr w:rsidR="008B35C9" w:rsidRPr="002E333D" w14:paraId="5303596E" w14:textId="77777777" w:rsidTr="00B33C03">
        <w:trPr>
          <w:trHeight w:val="300"/>
        </w:trPr>
        <w:tc>
          <w:tcPr>
            <w:tcW w:w="2245" w:type="pct"/>
            <w:vMerge w:val="restart"/>
            <w:tcMar>
              <w:left w:w="70" w:type="dxa"/>
              <w:right w:w="70" w:type="dxa"/>
            </w:tcMar>
            <w:vAlign w:val="center"/>
          </w:tcPr>
          <w:p w14:paraId="2A00CBF7" w14:textId="77777777" w:rsidR="008B35C9" w:rsidRPr="002E333D" w:rsidRDefault="008B35C9" w:rsidP="000A5389">
            <w:pPr>
              <w:spacing w:line="240" w:lineRule="auto"/>
              <w:rPr>
                <w:rFonts w:cs="Times New Roman"/>
                <w:sz w:val="20"/>
                <w:szCs w:val="20"/>
              </w:rPr>
            </w:pPr>
            <w:r w:rsidRPr="002E333D">
              <w:rPr>
                <w:rFonts w:eastAsia="Times New Roman" w:cs="Times New Roman"/>
                <w:color w:val="000000" w:themeColor="text1"/>
                <w:sz w:val="20"/>
                <w:szCs w:val="20"/>
              </w:rPr>
              <w:t>APP Bucaramanga-Barrancabermeja-Yondo</w:t>
            </w:r>
          </w:p>
        </w:tc>
        <w:tc>
          <w:tcPr>
            <w:tcW w:w="1670" w:type="pct"/>
            <w:tcMar>
              <w:left w:w="70" w:type="dxa"/>
              <w:right w:w="70" w:type="dxa"/>
            </w:tcMar>
            <w:vAlign w:val="center"/>
          </w:tcPr>
          <w:p w14:paraId="7B9D881C" w14:textId="77777777" w:rsidR="008B35C9" w:rsidRPr="002E333D" w:rsidRDefault="008B35C9" w:rsidP="000A5389">
            <w:pPr>
              <w:spacing w:line="240" w:lineRule="auto"/>
              <w:rPr>
                <w:rFonts w:cs="Times New Roman"/>
                <w:sz w:val="20"/>
                <w:szCs w:val="20"/>
              </w:rPr>
            </w:pPr>
            <w:r w:rsidRPr="002E333D">
              <w:rPr>
                <w:rFonts w:eastAsia="Times New Roman" w:cs="Times New Roman"/>
                <w:color w:val="000000" w:themeColor="text1"/>
                <w:sz w:val="20"/>
                <w:szCs w:val="20"/>
              </w:rPr>
              <w:t>No instalación</w:t>
            </w:r>
          </w:p>
        </w:tc>
        <w:tc>
          <w:tcPr>
            <w:tcW w:w="1085" w:type="pct"/>
            <w:tcMar>
              <w:left w:w="70" w:type="dxa"/>
              <w:right w:w="70" w:type="dxa"/>
            </w:tcMar>
            <w:vAlign w:val="center"/>
          </w:tcPr>
          <w:p w14:paraId="657BA204" w14:textId="77777777" w:rsidR="008B35C9" w:rsidRPr="002E333D" w:rsidRDefault="008B35C9" w:rsidP="000A5389">
            <w:pPr>
              <w:spacing w:line="240" w:lineRule="auto"/>
              <w:jc w:val="right"/>
              <w:rPr>
                <w:rFonts w:cs="Times New Roman"/>
                <w:sz w:val="20"/>
                <w:szCs w:val="20"/>
              </w:rPr>
            </w:pPr>
            <w:r w:rsidRPr="002E333D">
              <w:rPr>
                <w:rFonts w:eastAsia="Times New Roman" w:cs="Times New Roman"/>
                <w:color w:val="000000" w:themeColor="text1"/>
                <w:sz w:val="20"/>
                <w:szCs w:val="20"/>
              </w:rPr>
              <w:t xml:space="preserve">20.272.882.138 </w:t>
            </w:r>
          </w:p>
        </w:tc>
      </w:tr>
      <w:tr w:rsidR="008B35C9" w:rsidRPr="002E333D" w14:paraId="42C7DFB5" w14:textId="77777777" w:rsidTr="00B33C03">
        <w:trPr>
          <w:trHeight w:val="300"/>
        </w:trPr>
        <w:tc>
          <w:tcPr>
            <w:tcW w:w="2245" w:type="pct"/>
            <w:vMerge/>
            <w:vAlign w:val="center"/>
          </w:tcPr>
          <w:p w14:paraId="428AB2F8" w14:textId="77777777" w:rsidR="008B35C9" w:rsidRPr="002E333D" w:rsidRDefault="008B35C9" w:rsidP="000A5389">
            <w:pPr>
              <w:spacing w:line="240" w:lineRule="auto"/>
              <w:rPr>
                <w:rFonts w:cs="Times New Roman"/>
                <w:sz w:val="20"/>
                <w:szCs w:val="20"/>
              </w:rPr>
            </w:pPr>
          </w:p>
        </w:tc>
        <w:tc>
          <w:tcPr>
            <w:tcW w:w="1670" w:type="pct"/>
            <w:tcMar>
              <w:left w:w="70" w:type="dxa"/>
              <w:right w:w="70" w:type="dxa"/>
            </w:tcMar>
            <w:vAlign w:val="center"/>
          </w:tcPr>
          <w:p w14:paraId="5E009E0C" w14:textId="77777777" w:rsidR="008B35C9" w:rsidRPr="002E333D" w:rsidRDefault="008B35C9" w:rsidP="000A5389">
            <w:pPr>
              <w:spacing w:line="240" w:lineRule="auto"/>
              <w:rPr>
                <w:rFonts w:cs="Times New Roman"/>
                <w:sz w:val="20"/>
                <w:szCs w:val="20"/>
              </w:rPr>
            </w:pPr>
            <w:r w:rsidRPr="002E333D">
              <w:rPr>
                <w:rFonts w:eastAsia="Times New Roman" w:cs="Times New Roman"/>
                <w:color w:val="000000" w:themeColor="text1"/>
                <w:sz w:val="20"/>
                <w:szCs w:val="20"/>
              </w:rPr>
              <w:t>No instalación de peajes</w:t>
            </w:r>
          </w:p>
        </w:tc>
        <w:tc>
          <w:tcPr>
            <w:tcW w:w="1085" w:type="pct"/>
            <w:tcMar>
              <w:left w:w="70" w:type="dxa"/>
              <w:right w:w="70" w:type="dxa"/>
            </w:tcMar>
            <w:vAlign w:val="center"/>
          </w:tcPr>
          <w:p w14:paraId="58BC16E9" w14:textId="77777777" w:rsidR="008B35C9" w:rsidRPr="002E333D" w:rsidRDefault="008B35C9" w:rsidP="000A5389">
            <w:pPr>
              <w:spacing w:line="240" w:lineRule="auto"/>
              <w:jc w:val="right"/>
              <w:rPr>
                <w:rFonts w:cs="Times New Roman"/>
                <w:sz w:val="20"/>
                <w:szCs w:val="20"/>
              </w:rPr>
            </w:pPr>
            <w:r w:rsidRPr="002E333D">
              <w:rPr>
                <w:rFonts w:eastAsia="Times New Roman" w:cs="Times New Roman"/>
                <w:color w:val="000000" w:themeColor="text1"/>
                <w:sz w:val="20"/>
                <w:szCs w:val="20"/>
              </w:rPr>
              <w:t xml:space="preserve">26.553.082.230 </w:t>
            </w:r>
          </w:p>
        </w:tc>
      </w:tr>
      <w:tr w:rsidR="008B35C9" w:rsidRPr="002E333D" w14:paraId="4B3213D7" w14:textId="77777777" w:rsidTr="00B33C03">
        <w:trPr>
          <w:trHeight w:val="300"/>
        </w:trPr>
        <w:tc>
          <w:tcPr>
            <w:tcW w:w="2245" w:type="pct"/>
            <w:vMerge/>
            <w:vAlign w:val="center"/>
          </w:tcPr>
          <w:p w14:paraId="08DDEE49" w14:textId="77777777" w:rsidR="008B35C9" w:rsidRPr="002E333D" w:rsidRDefault="008B35C9" w:rsidP="000A5389">
            <w:pPr>
              <w:spacing w:line="240" w:lineRule="auto"/>
              <w:rPr>
                <w:rFonts w:cs="Times New Roman"/>
                <w:sz w:val="20"/>
                <w:szCs w:val="20"/>
              </w:rPr>
            </w:pPr>
          </w:p>
        </w:tc>
        <w:tc>
          <w:tcPr>
            <w:tcW w:w="1670" w:type="pct"/>
            <w:tcMar>
              <w:left w:w="70" w:type="dxa"/>
              <w:right w:w="70" w:type="dxa"/>
            </w:tcMar>
            <w:vAlign w:val="center"/>
          </w:tcPr>
          <w:p w14:paraId="450B1D98" w14:textId="77777777" w:rsidR="008B35C9" w:rsidRPr="002E333D" w:rsidRDefault="008B35C9" w:rsidP="000A5389">
            <w:pPr>
              <w:spacing w:line="240" w:lineRule="auto"/>
              <w:rPr>
                <w:rFonts w:cs="Times New Roman"/>
                <w:sz w:val="20"/>
                <w:szCs w:val="20"/>
              </w:rPr>
            </w:pPr>
            <w:r w:rsidRPr="002E333D">
              <w:rPr>
                <w:rFonts w:eastAsia="Times New Roman" w:cs="Times New Roman"/>
                <w:color w:val="000000" w:themeColor="text1"/>
                <w:sz w:val="20"/>
                <w:szCs w:val="20"/>
              </w:rPr>
              <w:t>Tarifario</w:t>
            </w:r>
          </w:p>
        </w:tc>
        <w:tc>
          <w:tcPr>
            <w:tcW w:w="1085" w:type="pct"/>
            <w:tcMar>
              <w:left w:w="70" w:type="dxa"/>
              <w:right w:w="70" w:type="dxa"/>
            </w:tcMar>
            <w:vAlign w:val="center"/>
          </w:tcPr>
          <w:p w14:paraId="567B171A" w14:textId="77777777" w:rsidR="008B35C9" w:rsidRPr="002E333D" w:rsidRDefault="008B35C9" w:rsidP="000A5389">
            <w:pPr>
              <w:spacing w:line="240" w:lineRule="auto"/>
              <w:jc w:val="right"/>
              <w:rPr>
                <w:rFonts w:cs="Times New Roman"/>
                <w:sz w:val="20"/>
                <w:szCs w:val="20"/>
              </w:rPr>
            </w:pPr>
            <w:r w:rsidRPr="002E333D">
              <w:rPr>
                <w:rFonts w:eastAsia="Times New Roman" w:cs="Times New Roman"/>
                <w:color w:val="000000" w:themeColor="text1"/>
                <w:sz w:val="20"/>
                <w:szCs w:val="20"/>
              </w:rPr>
              <w:t xml:space="preserve">1.640.219.000 </w:t>
            </w:r>
          </w:p>
        </w:tc>
      </w:tr>
      <w:tr w:rsidR="008B35C9" w:rsidRPr="002E333D" w14:paraId="3866C990" w14:textId="77777777" w:rsidTr="00B33C03">
        <w:trPr>
          <w:trHeight w:val="300"/>
        </w:trPr>
        <w:tc>
          <w:tcPr>
            <w:tcW w:w="2245" w:type="pct"/>
            <w:tcMar>
              <w:left w:w="70" w:type="dxa"/>
              <w:right w:w="70" w:type="dxa"/>
            </w:tcMar>
            <w:vAlign w:val="center"/>
          </w:tcPr>
          <w:p w14:paraId="5B2FFF50" w14:textId="77777777" w:rsidR="008B35C9" w:rsidRPr="002E333D" w:rsidRDefault="008B35C9" w:rsidP="000A5389">
            <w:pPr>
              <w:spacing w:line="240" w:lineRule="auto"/>
              <w:rPr>
                <w:rFonts w:cs="Times New Roman"/>
                <w:sz w:val="20"/>
                <w:szCs w:val="20"/>
              </w:rPr>
            </w:pPr>
            <w:r w:rsidRPr="002E333D">
              <w:rPr>
                <w:rFonts w:eastAsia="Times New Roman" w:cs="Times New Roman"/>
                <w:color w:val="000000" w:themeColor="text1"/>
                <w:sz w:val="20"/>
                <w:szCs w:val="20"/>
              </w:rPr>
              <w:t>APP Nueva Malla vial del Valle del Cauca corredor: Buenaventura - Loboguerrero - Buga</w:t>
            </w:r>
          </w:p>
        </w:tc>
        <w:tc>
          <w:tcPr>
            <w:tcW w:w="1670" w:type="pct"/>
            <w:tcMar>
              <w:left w:w="70" w:type="dxa"/>
              <w:right w:w="70" w:type="dxa"/>
            </w:tcMar>
            <w:vAlign w:val="center"/>
          </w:tcPr>
          <w:p w14:paraId="5B628298" w14:textId="77777777" w:rsidR="008B35C9" w:rsidRPr="002E333D" w:rsidRDefault="008B35C9" w:rsidP="000A5389">
            <w:pPr>
              <w:spacing w:line="240" w:lineRule="auto"/>
              <w:rPr>
                <w:rFonts w:cs="Times New Roman"/>
                <w:sz w:val="20"/>
                <w:szCs w:val="20"/>
              </w:rPr>
            </w:pPr>
            <w:r w:rsidRPr="002E333D">
              <w:rPr>
                <w:rFonts w:eastAsia="Times New Roman" w:cs="Times New Roman"/>
                <w:color w:val="000000" w:themeColor="text1"/>
                <w:sz w:val="20"/>
                <w:szCs w:val="20"/>
              </w:rPr>
              <w:t>Tarifario</w:t>
            </w:r>
          </w:p>
        </w:tc>
        <w:tc>
          <w:tcPr>
            <w:tcW w:w="1085" w:type="pct"/>
            <w:tcMar>
              <w:left w:w="70" w:type="dxa"/>
              <w:right w:w="70" w:type="dxa"/>
            </w:tcMar>
            <w:vAlign w:val="center"/>
          </w:tcPr>
          <w:p w14:paraId="6D38D596" w14:textId="77777777" w:rsidR="008B35C9" w:rsidRPr="002E333D" w:rsidRDefault="008B35C9" w:rsidP="000A5389">
            <w:pPr>
              <w:spacing w:line="240" w:lineRule="auto"/>
              <w:jc w:val="right"/>
              <w:rPr>
                <w:rFonts w:cs="Times New Roman"/>
                <w:sz w:val="20"/>
                <w:szCs w:val="20"/>
              </w:rPr>
            </w:pPr>
            <w:r w:rsidRPr="002E333D">
              <w:rPr>
                <w:rFonts w:eastAsia="Times New Roman" w:cs="Times New Roman"/>
                <w:color w:val="000000" w:themeColor="text1"/>
                <w:sz w:val="20"/>
                <w:szCs w:val="20"/>
              </w:rPr>
              <w:t xml:space="preserve">1.121.608.000 </w:t>
            </w:r>
          </w:p>
        </w:tc>
      </w:tr>
      <w:tr w:rsidR="008B35C9" w:rsidRPr="002E333D" w14:paraId="4D3301EC" w14:textId="77777777" w:rsidTr="00B33C03">
        <w:trPr>
          <w:trHeight w:val="300"/>
        </w:trPr>
        <w:tc>
          <w:tcPr>
            <w:tcW w:w="2245" w:type="pct"/>
            <w:tcMar>
              <w:left w:w="70" w:type="dxa"/>
              <w:right w:w="70" w:type="dxa"/>
            </w:tcMar>
            <w:vAlign w:val="center"/>
          </w:tcPr>
          <w:p w14:paraId="5A4F6CB5" w14:textId="77777777" w:rsidR="008B35C9" w:rsidRPr="002E333D" w:rsidRDefault="008B35C9" w:rsidP="000A5389">
            <w:pPr>
              <w:spacing w:line="240" w:lineRule="auto"/>
              <w:rPr>
                <w:rFonts w:cs="Times New Roman"/>
                <w:sz w:val="20"/>
                <w:szCs w:val="20"/>
              </w:rPr>
            </w:pPr>
            <w:r w:rsidRPr="002E333D">
              <w:rPr>
                <w:rFonts w:eastAsia="Times New Roman" w:cs="Times New Roman"/>
                <w:color w:val="000000" w:themeColor="text1"/>
                <w:sz w:val="20"/>
                <w:szCs w:val="20"/>
              </w:rPr>
              <w:t>APP Popayán - Santander de Quilichao</w:t>
            </w:r>
          </w:p>
        </w:tc>
        <w:tc>
          <w:tcPr>
            <w:tcW w:w="1670" w:type="pct"/>
            <w:tcMar>
              <w:left w:w="70" w:type="dxa"/>
              <w:right w:w="70" w:type="dxa"/>
            </w:tcMar>
            <w:vAlign w:val="center"/>
          </w:tcPr>
          <w:p w14:paraId="340A3BF6" w14:textId="77777777" w:rsidR="008B35C9" w:rsidRPr="002E333D" w:rsidRDefault="008B35C9" w:rsidP="000A5389">
            <w:pPr>
              <w:spacing w:line="240" w:lineRule="auto"/>
              <w:rPr>
                <w:rFonts w:cs="Times New Roman"/>
                <w:sz w:val="20"/>
                <w:szCs w:val="20"/>
              </w:rPr>
            </w:pPr>
            <w:r w:rsidRPr="002E333D">
              <w:rPr>
                <w:rFonts w:eastAsia="Times New Roman" w:cs="Times New Roman"/>
                <w:color w:val="000000" w:themeColor="text1"/>
                <w:sz w:val="20"/>
                <w:szCs w:val="20"/>
              </w:rPr>
              <w:t>Predial</w:t>
            </w:r>
          </w:p>
        </w:tc>
        <w:tc>
          <w:tcPr>
            <w:tcW w:w="1085" w:type="pct"/>
            <w:tcMar>
              <w:left w:w="70" w:type="dxa"/>
              <w:right w:w="70" w:type="dxa"/>
            </w:tcMar>
            <w:vAlign w:val="center"/>
          </w:tcPr>
          <w:p w14:paraId="07AB2EE7" w14:textId="77777777" w:rsidR="008B35C9" w:rsidRPr="002E333D" w:rsidRDefault="008B35C9" w:rsidP="000A5389">
            <w:pPr>
              <w:spacing w:line="240" w:lineRule="auto"/>
              <w:jc w:val="right"/>
              <w:rPr>
                <w:rFonts w:cs="Times New Roman"/>
                <w:sz w:val="20"/>
                <w:szCs w:val="20"/>
              </w:rPr>
            </w:pPr>
            <w:r w:rsidRPr="002E333D">
              <w:rPr>
                <w:rFonts w:eastAsia="Times New Roman" w:cs="Times New Roman"/>
                <w:color w:val="000000" w:themeColor="text1"/>
                <w:sz w:val="20"/>
                <w:szCs w:val="20"/>
              </w:rPr>
              <w:t xml:space="preserve">17.121.512.791 </w:t>
            </w:r>
          </w:p>
        </w:tc>
      </w:tr>
      <w:tr w:rsidR="008B35C9" w:rsidRPr="002E333D" w14:paraId="62399137" w14:textId="77777777" w:rsidTr="00B33C03">
        <w:trPr>
          <w:trHeight w:val="300"/>
        </w:trPr>
        <w:tc>
          <w:tcPr>
            <w:tcW w:w="2245" w:type="pct"/>
            <w:vMerge w:val="restart"/>
            <w:tcMar>
              <w:left w:w="70" w:type="dxa"/>
              <w:right w:w="70" w:type="dxa"/>
            </w:tcMar>
            <w:vAlign w:val="center"/>
          </w:tcPr>
          <w:p w14:paraId="38DDA8CE" w14:textId="77777777" w:rsidR="008B35C9" w:rsidRPr="002E333D" w:rsidRDefault="008B35C9" w:rsidP="000A5389">
            <w:pPr>
              <w:spacing w:line="240" w:lineRule="auto"/>
              <w:rPr>
                <w:rFonts w:cs="Times New Roman"/>
                <w:sz w:val="20"/>
                <w:szCs w:val="20"/>
              </w:rPr>
            </w:pPr>
            <w:r w:rsidRPr="002E333D">
              <w:rPr>
                <w:rFonts w:eastAsia="Times New Roman" w:cs="Times New Roman"/>
                <w:color w:val="000000" w:themeColor="text1"/>
                <w:sz w:val="20"/>
                <w:szCs w:val="20"/>
              </w:rPr>
              <w:t>APP Rumichaca - Pasto</w:t>
            </w:r>
          </w:p>
        </w:tc>
        <w:tc>
          <w:tcPr>
            <w:tcW w:w="1670" w:type="pct"/>
            <w:tcMar>
              <w:left w:w="70" w:type="dxa"/>
              <w:right w:w="70" w:type="dxa"/>
            </w:tcMar>
            <w:vAlign w:val="center"/>
          </w:tcPr>
          <w:p w14:paraId="2AA1BA28" w14:textId="77777777" w:rsidR="008B35C9" w:rsidRPr="002E333D" w:rsidRDefault="008B35C9" w:rsidP="000A5389">
            <w:pPr>
              <w:spacing w:line="240" w:lineRule="auto"/>
              <w:rPr>
                <w:rFonts w:cs="Times New Roman"/>
                <w:sz w:val="20"/>
                <w:szCs w:val="20"/>
              </w:rPr>
            </w:pPr>
            <w:r w:rsidRPr="002E333D">
              <w:rPr>
                <w:rFonts w:eastAsia="Times New Roman" w:cs="Times New Roman"/>
                <w:color w:val="000000" w:themeColor="text1"/>
                <w:sz w:val="20"/>
                <w:szCs w:val="20"/>
              </w:rPr>
              <w:t>No instalación</w:t>
            </w:r>
          </w:p>
        </w:tc>
        <w:tc>
          <w:tcPr>
            <w:tcW w:w="1085" w:type="pct"/>
            <w:tcMar>
              <w:left w:w="70" w:type="dxa"/>
              <w:right w:w="70" w:type="dxa"/>
            </w:tcMar>
            <w:vAlign w:val="center"/>
          </w:tcPr>
          <w:p w14:paraId="196F69C6" w14:textId="77777777" w:rsidR="008B35C9" w:rsidRPr="002E333D" w:rsidRDefault="008B35C9" w:rsidP="000A5389">
            <w:pPr>
              <w:spacing w:line="240" w:lineRule="auto"/>
              <w:jc w:val="right"/>
              <w:rPr>
                <w:rFonts w:cs="Times New Roman"/>
                <w:sz w:val="20"/>
                <w:szCs w:val="20"/>
              </w:rPr>
            </w:pPr>
            <w:r w:rsidRPr="002E333D">
              <w:rPr>
                <w:rFonts w:eastAsia="Times New Roman" w:cs="Times New Roman"/>
                <w:color w:val="000000" w:themeColor="text1"/>
                <w:sz w:val="20"/>
                <w:szCs w:val="20"/>
              </w:rPr>
              <w:t xml:space="preserve">21.193.314.930 </w:t>
            </w:r>
          </w:p>
        </w:tc>
      </w:tr>
      <w:tr w:rsidR="008B35C9" w:rsidRPr="002E333D" w14:paraId="63FF1BB3" w14:textId="77777777" w:rsidTr="00B33C03">
        <w:trPr>
          <w:trHeight w:val="300"/>
        </w:trPr>
        <w:tc>
          <w:tcPr>
            <w:tcW w:w="2245" w:type="pct"/>
            <w:vMerge/>
            <w:vAlign w:val="center"/>
          </w:tcPr>
          <w:p w14:paraId="5584E556" w14:textId="77777777" w:rsidR="008B35C9" w:rsidRPr="002E333D" w:rsidRDefault="008B35C9" w:rsidP="000A5389">
            <w:pPr>
              <w:spacing w:line="240" w:lineRule="auto"/>
              <w:rPr>
                <w:rFonts w:cs="Times New Roman"/>
                <w:sz w:val="20"/>
                <w:szCs w:val="20"/>
              </w:rPr>
            </w:pPr>
          </w:p>
        </w:tc>
        <w:tc>
          <w:tcPr>
            <w:tcW w:w="1670" w:type="pct"/>
            <w:tcMar>
              <w:left w:w="70" w:type="dxa"/>
              <w:right w:w="70" w:type="dxa"/>
            </w:tcMar>
            <w:vAlign w:val="center"/>
          </w:tcPr>
          <w:p w14:paraId="665F05D5" w14:textId="77777777" w:rsidR="008B35C9" w:rsidRPr="002E333D" w:rsidRDefault="008B35C9" w:rsidP="000A5389">
            <w:pPr>
              <w:spacing w:line="240" w:lineRule="auto"/>
              <w:rPr>
                <w:rFonts w:cs="Times New Roman"/>
                <w:sz w:val="20"/>
                <w:szCs w:val="20"/>
              </w:rPr>
            </w:pPr>
            <w:r w:rsidRPr="002E333D">
              <w:rPr>
                <w:rFonts w:eastAsia="Times New Roman" w:cs="Times New Roman"/>
                <w:color w:val="000000" w:themeColor="text1"/>
                <w:sz w:val="20"/>
                <w:szCs w:val="20"/>
              </w:rPr>
              <w:t>No instalación de peajes</w:t>
            </w:r>
          </w:p>
        </w:tc>
        <w:tc>
          <w:tcPr>
            <w:tcW w:w="1085" w:type="pct"/>
            <w:tcMar>
              <w:left w:w="70" w:type="dxa"/>
              <w:right w:w="70" w:type="dxa"/>
            </w:tcMar>
            <w:vAlign w:val="center"/>
          </w:tcPr>
          <w:p w14:paraId="666FA44D" w14:textId="77777777" w:rsidR="008B35C9" w:rsidRPr="002E333D" w:rsidRDefault="008B35C9" w:rsidP="000A5389">
            <w:pPr>
              <w:spacing w:line="240" w:lineRule="auto"/>
              <w:jc w:val="right"/>
              <w:rPr>
                <w:rFonts w:cs="Times New Roman"/>
                <w:sz w:val="20"/>
                <w:szCs w:val="20"/>
              </w:rPr>
            </w:pPr>
            <w:r w:rsidRPr="002E333D">
              <w:rPr>
                <w:rFonts w:eastAsia="Times New Roman" w:cs="Times New Roman"/>
                <w:color w:val="000000" w:themeColor="text1"/>
                <w:sz w:val="20"/>
                <w:szCs w:val="20"/>
              </w:rPr>
              <w:t xml:space="preserve">59.995.832.220 </w:t>
            </w:r>
          </w:p>
        </w:tc>
      </w:tr>
      <w:tr w:rsidR="008B35C9" w:rsidRPr="002E333D" w14:paraId="22244943" w14:textId="77777777" w:rsidTr="00B33C03">
        <w:trPr>
          <w:trHeight w:val="300"/>
        </w:trPr>
        <w:tc>
          <w:tcPr>
            <w:tcW w:w="2245" w:type="pct"/>
            <w:vMerge/>
            <w:vAlign w:val="center"/>
          </w:tcPr>
          <w:p w14:paraId="4CD69A49" w14:textId="77777777" w:rsidR="008B35C9" w:rsidRPr="002E333D" w:rsidRDefault="008B35C9" w:rsidP="000A5389">
            <w:pPr>
              <w:spacing w:line="240" w:lineRule="auto"/>
              <w:rPr>
                <w:rFonts w:cs="Times New Roman"/>
                <w:sz w:val="20"/>
                <w:szCs w:val="20"/>
              </w:rPr>
            </w:pPr>
          </w:p>
        </w:tc>
        <w:tc>
          <w:tcPr>
            <w:tcW w:w="1670" w:type="pct"/>
            <w:tcMar>
              <w:left w:w="70" w:type="dxa"/>
              <w:right w:w="70" w:type="dxa"/>
            </w:tcMar>
            <w:vAlign w:val="center"/>
          </w:tcPr>
          <w:p w14:paraId="5FE9D0D0" w14:textId="77777777" w:rsidR="008B35C9" w:rsidRPr="002E333D" w:rsidRDefault="008B35C9" w:rsidP="000A5389">
            <w:pPr>
              <w:spacing w:line="240" w:lineRule="auto"/>
              <w:rPr>
                <w:rFonts w:cs="Times New Roman"/>
                <w:sz w:val="20"/>
                <w:szCs w:val="20"/>
              </w:rPr>
            </w:pPr>
            <w:r w:rsidRPr="002E333D">
              <w:rPr>
                <w:rFonts w:eastAsia="Times New Roman" w:cs="Times New Roman"/>
                <w:color w:val="000000" w:themeColor="text1"/>
                <w:sz w:val="20"/>
                <w:szCs w:val="20"/>
              </w:rPr>
              <w:t>No instalación peaje</w:t>
            </w:r>
          </w:p>
        </w:tc>
        <w:tc>
          <w:tcPr>
            <w:tcW w:w="1085" w:type="pct"/>
            <w:tcMar>
              <w:left w:w="70" w:type="dxa"/>
              <w:right w:w="70" w:type="dxa"/>
            </w:tcMar>
            <w:vAlign w:val="center"/>
          </w:tcPr>
          <w:p w14:paraId="27FCA3CA" w14:textId="77777777" w:rsidR="008B35C9" w:rsidRPr="002E333D" w:rsidRDefault="008B35C9" w:rsidP="000A5389">
            <w:pPr>
              <w:spacing w:line="240" w:lineRule="auto"/>
              <w:jc w:val="right"/>
              <w:rPr>
                <w:rFonts w:cs="Times New Roman"/>
                <w:sz w:val="20"/>
                <w:szCs w:val="20"/>
              </w:rPr>
            </w:pPr>
            <w:r w:rsidRPr="002E333D">
              <w:rPr>
                <w:rFonts w:eastAsia="Times New Roman" w:cs="Times New Roman"/>
                <w:color w:val="000000" w:themeColor="text1"/>
                <w:sz w:val="20"/>
                <w:szCs w:val="20"/>
              </w:rPr>
              <w:t xml:space="preserve">20.749.100.580 </w:t>
            </w:r>
          </w:p>
        </w:tc>
      </w:tr>
      <w:tr w:rsidR="008B35C9" w:rsidRPr="002E333D" w14:paraId="5F9E1765" w14:textId="77777777" w:rsidTr="00B33C03">
        <w:trPr>
          <w:trHeight w:val="300"/>
        </w:trPr>
        <w:tc>
          <w:tcPr>
            <w:tcW w:w="2245" w:type="pct"/>
            <w:vMerge/>
            <w:vAlign w:val="center"/>
          </w:tcPr>
          <w:p w14:paraId="651B50C0" w14:textId="77777777" w:rsidR="008B35C9" w:rsidRPr="002E333D" w:rsidRDefault="008B35C9" w:rsidP="000A5389">
            <w:pPr>
              <w:spacing w:line="240" w:lineRule="auto"/>
              <w:rPr>
                <w:rFonts w:cs="Times New Roman"/>
                <w:sz w:val="20"/>
                <w:szCs w:val="20"/>
              </w:rPr>
            </w:pPr>
          </w:p>
        </w:tc>
        <w:tc>
          <w:tcPr>
            <w:tcW w:w="1670" w:type="pct"/>
            <w:tcMar>
              <w:left w:w="70" w:type="dxa"/>
              <w:right w:w="70" w:type="dxa"/>
            </w:tcMar>
            <w:vAlign w:val="center"/>
          </w:tcPr>
          <w:p w14:paraId="63F5C58B" w14:textId="77777777" w:rsidR="008B35C9" w:rsidRPr="002E333D" w:rsidRDefault="008B35C9" w:rsidP="000A5389">
            <w:pPr>
              <w:spacing w:line="240" w:lineRule="auto"/>
              <w:rPr>
                <w:rFonts w:cs="Times New Roman"/>
                <w:sz w:val="20"/>
                <w:szCs w:val="20"/>
              </w:rPr>
            </w:pPr>
            <w:r w:rsidRPr="002E333D">
              <w:rPr>
                <w:rFonts w:eastAsia="Times New Roman" w:cs="Times New Roman"/>
                <w:color w:val="000000" w:themeColor="text1"/>
                <w:sz w:val="20"/>
                <w:szCs w:val="20"/>
              </w:rPr>
              <w:t>Predial</w:t>
            </w:r>
          </w:p>
        </w:tc>
        <w:tc>
          <w:tcPr>
            <w:tcW w:w="1085" w:type="pct"/>
            <w:tcMar>
              <w:left w:w="70" w:type="dxa"/>
              <w:right w:w="70" w:type="dxa"/>
            </w:tcMar>
            <w:vAlign w:val="center"/>
          </w:tcPr>
          <w:p w14:paraId="66A83FA2" w14:textId="77777777" w:rsidR="008B35C9" w:rsidRPr="002E333D" w:rsidRDefault="008B35C9" w:rsidP="000A5389">
            <w:pPr>
              <w:spacing w:line="240" w:lineRule="auto"/>
              <w:jc w:val="right"/>
              <w:rPr>
                <w:rFonts w:cs="Times New Roman"/>
                <w:sz w:val="20"/>
                <w:szCs w:val="20"/>
              </w:rPr>
            </w:pPr>
            <w:r w:rsidRPr="002E333D">
              <w:rPr>
                <w:rFonts w:eastAsia="Times New Roman" w:cs="Times New Roman"/>
                <w:color w:val="000000" w:themeColor="text1"/>
                <w:sz w:val="20"/>
                <w:szCs w:val="20"/>
              </w:rPr>
              <w:t xml:space="preserve">18.585.011.900 </w:t>
            </w:r>
          </w:p>
        </w:tc>
      </w:tr>
      <w:tr w:rsidR="008B35C9" w:rsidRPr="002E333D" w14:paraId="79AECB3F" w14:textId="77777777" w:rsidTr="00B33C03">
        <w:trPr>
          <w:trHeight w:val="300"/>
        </w:trPr>
        <w:tc>
          <w:tcPr>
            <w:tcW w:w="2245" w:type="pct"/>
            <w:vMerge/>
            <w:vAlign w:val="center"/>
          </w:tcPr>
          <w:p w14:paraId="4EF46CF6" w14:textId="77777777" w:rsidR="008B35C9" w:rsidRPr="002E333D" w:rsidRDefault="008B35C9" w:rsidP="000A5389">
            <w:pPr>
              <w:spacing w:line="240" w:lineRule="auto"/>
              <w:rPr>
                <w:rFonts w:cs="Times New Roman"/>
                <w:sz w:val="20"/>
                <w:szCs w:val="20"/>
              </w:rPr>
            </w:pPr>
          </w:p>
        </w:tc>
        <w:tc>
          <w:tcPr>
            <w:tcW w:w="1670" w:type="pct"/>
            <w:tcMar>
              <w:left w:w="70" w:type="dxa"/>
              <w:right w:w="70" w:type="dxa"/>
            </w:tcMar>
            <w:vAlign w:val="center"/>
          </w:tcPr>
          <w:p w14:paraId="1204E918" w14:textId="77777777" w:rsidR="008B35C9" w:rsidRPr="002E333D" w:rsidRDefault="008B35C9" w:rsidP="000A5389">
            <w:pPr>
              <w:spacing w:line="240" w:lineRule="auto"/>
              <w:rPr>
                <w:rFonts w:cs="Times New Roman"/>
                <w:sz w:val="20"/>
                <w:szCs w:val="20"/>
              </w:rPr>
            </w:pPr>
            <w:r w:rsidRPr="002E333D">
              <w:rPr>
                <w:rFonts w:eastAsia="Times New Roman" w:cs="Times New Roman"/>
                <w:color w:val="000000" w:themeColor="text1"/>
                <w:sz w:val="20"/>
                <w:szCs w:val="20"/>
              </w:rPr>
              <w:t>Tarifario</w:t>
            </w:r>
          </w:p>
        </w:tc>
        <w:tc>
          <w:tcPr>
            <w:tcW w:w="1085" w:type="pct"/>
            <w:tcMar>
              <w:left w:w="70" w:type="dxa"/>
              <w:right w:w="70" w:type="dxa"/>
            </w:tcMar>
            <w:vAlign w:val="center"/>
          </w:tcPr>
          <w:p w14:paraId="616EFB62" w14:textId="77777777" w:rsidR="008B35C9" w:rsidRPr="002E333D" w:rsidRDefault="008B35C9" w:rsidP="000A5389">
            <w:pPr>
              <w:spacing w:line="240" w:lineRule="auto"/>
              <w:jc w:val="right"/>
              <w:rPr>
                <w:rFonts w:cs="Times New Roman"/>
                <w:sz w:val="20"/>
                <w:szCs w:val="20"/>
              </w:rPr>
            </w:pPr>
            <w:r w:rsidRPr="002E333D">
              <w:rPr>
                <w:rFonts w:eastAsia="Times New Roman" w:cs="Times New Roman"/>
                <w:color w:val="000000" w:themeColor="text1"/>
                <w:sz w:val="20"/>
                <w:szCs w:val="20"/>
              </w:rPr>
              <w:t xml:space="preserve">7.927.009.078 </w:t>
            </w:r>
          </w:p>
        </w:tc>
      </w:tr>
      <w:tr w:rsidR="008B35C9" w:rsidRPr="002E333D" w14:paraId="10C7ED77" w14:textId="77777777" w:rsidTr="00B33C03">
        <w:trPr>
          <w:trHeight w:val="300"/>
        </w:trPr>
        <w:tc>
          <w:tcPr>
            <w:tcW w:w="2245" w:type="pct"/>
            <w:vMerge w:val="restart"/>
            <w:tcMar>
              <w:left w:w="70" w:type="dxa"/>
              <w:right w:w="70" w:type="dxa"/>
            </w:tcMar>
            <w:vAlign w:val="center"/>
          </w:tcPr>
          <w:p w14:paraId="41B81843" w14:textId="77777777" w:rsidR="008B35C9" w:rsidRPr="002E333D" w:rsidRDefault="008B35C9" w:rsidP="000A5389">
            <w:pPr>
              <w:spacing w:line="240" w:lineRule="auto"/>
              <w:rPr>
                <w:rFonts w:cs="Times New Roman"/>
                <w:sz w:val="20"/>
                <w:szCs w:val="20"/>
              </w:rPr>
            </w:pPr>
            <w:r w:rsidRPr="002E333D">
              <w:rPr>
                <w:rFonts w:eastAsia="Times New Roman" w:cs="Times New Roman"/>
                <w:color w:val="000000" w:themeColor="text1"/>
                <w:sz w:val="20"/>
                <w:szCs w:val="20"/>
              </w:rPr>
              <w:t>APP Santana - Mocoa - Neiva</w:t>
            </w:r>
          </w:p>
        </w:tc>
        <w:tc>
          <w:tcPr>
            <w:tcW w:w="1670" w:type="pct"/>
            <w:tcMar>
              <w:left w:w="70" w:type="dxa"/>
              <w:right w:w="70" w:type="dxa"/>
            </w:tcMar>
            <w:vAlign w:val="center"/>
          </w:tcPr>
          <w:p w14:paraId="4E879D3A" w14:textId="77777777" w:rsidR="008B35C9" w:rsidRPr="002E333D" w:rsidRDefault="008B35C9" w:rsidP="000A5389">
            <w:pPr>
              <w:spacing w:line="240" w:lineRule="auto"/>
              <w:rPr>
                <w:rFonts w:cs="Times New Roman"/>
                <w:sz w:val="20"/>
                <w:szCs w:val="20"/>
              </w:rPr>
            </w:pPr>
            <w:r w:rsidRPr="002E333D">
              <w:rPr>
                <w:rFonts w:eastAsia="Times New Roman" w:cs="Times New Roman"/>
                <w:color w:val="000000" w:themeColor="text1"/>
                <w:sz w:val="20"/>
                <w:szCs w:val="20"/>
              </w:rPr>
              <w:t>Comercial</w:t>
            </w:r>
          </w:p>
        </w:tc>
        <w:tc>
          <w:tcPr>
            <w:tcW w:w="1085" w:type="pct"/>
            <w:tcMar>
              <w:left w:w="70" w:type="dxa"/>
              <w:right w:w="70" w:type="dxa"/>
            </w:tcMar>
            <w:vAlign w:val="center"/>
          </w:tcPr>
          <w:p w14:paraId="43A7A093" w14:textId="77777777" w:rsidR="008B35C9" w:rsidRPr="002E333D" w:rsidRDefault="008B35C9" w:rsidP="000A5389">
            <w:pPr>
              <w:spacing w:line="240" w:lineRule="auto"/>
              <w:jc w:val="right"/>
              <w:rPr>
                <w:rFonts w:cs="Times New Roman"/>
                <w:sz w:val="20"/>
                <w:szCs w:val="20"/>
              </w:rPr>
            </w:pPr>
            <w:r w:rsidRPr="002E333D">
              <w:rPr>
                <w:rFonts w:eastAsia="Times New Roman" w:cs="Times New Roman"/>
                <w:color w:val="000000" w:themeColor="text1"/>
                <w:sz w:val="20"/>
                <w:szCs w:val="20"/>
              </w:rPr>
              <w:t xml:space="preserve">201.994.792.245 </w:t>
            </w:r>
          </w:p>
        </w:tc>
      </w:tr>
      <w:tr w:rsidR="008B35C9" w:rsidRPr="002E333D" w14:paraId="0CFF2AE7" w14:textId="77777777" w:rsidTr="00B33C03">
        <w:trPr>
          <w:trHeight w:val="300"/>
        </w:trPr>
        <w:tc>
          <w:tcPr>
            <w:tcW w:w="2245" w:type="pct"/>
            <w:vMerge/>
            <w:vAlign w:val="center"/>
          </w:tcPr>
          <w:p w14:paraId="60ED9B56" w14:textId="77777777" w:rsidR="008B35C9" w:rsidRPr="002E333D" w:rsidRDefault="008B35C9" w:rsidP="000A5389">
            <w:pPr>
              <w:spacing w:line="240" w:lineRule="auto"/>
              <w:rPr>
                <w:rFonts w:cs="Times New Roman"/>
                <w:sz w:val="20"/>
                <w:szCs w:val="20"/>
              </w:rPr>
            </w:pPr>
          </w:p>
        </w:tc>
        <w:tc>
          <w:tcPr>
            <w:tcW w:w="1670" w:type="pct"/>
            <w:tcMar>
              <w:left w:w="70" w:type="dxa"/>
              <w:right w:w="70" w:type="dxa"/>
            </w:tcMar>
            <w:vAlign w:val="center"/>
          </w:tcPr>
          <w:p w14:paraId="166D196C" w14:textId="77777777" w:rsidR="008B35C9" w:rsidRPr="002E333D" w:rsidRDefault="008B35C9" w:rsidP="000A5389">
            <w:pPr>
              <w:spacing w:line="240" w:lineRule="auto"/>
              <w:rPr>
                <w:rFonts w:cs="Times New Roman"/>
                <w:sz w:val="20"/>
                <w:szCs w:val="20"/>
              </w:rPr>
            </w:pPr>
            <w:r w:rsidRPr="002E333D">
              <w:rPr>
                <w:rFonts w:eastAsia="Times New Roman" w:cs="Times New Roman"/>
                <w:color w:val="000000" w:themeColor="text1"/>
                <w:sz w:val="20"/>
                <w:szCs w:val="20"/>
              </w:rPr>
              <w:t>Tarifario</w:t>
            </w:r>
          </w:p>
        </w:tc>
        <w:tc>
          <w:tcPr>
            <w:tcW w:w="1085" w:type="pct"/>
            <w:tcMar>
              <w:left w:w="70" w:type="dxa"/>
              <w:right w:w="70" w:type="dxa"/>
            </w:tcMar>
            <w:vAlign w:val="center"/>
          </w:tcPr>
          <w:p w14:paraId="7274FC47" w14:textId="77777777" w:rsidR="008B35C9" w:rsidRPr="002E333D" w:rsidRDefault="008B35C9" w:rsidP="000A5389">
            <w:pPr>
              <w:spacing w:line="240" w:lineRule="auto"/>
              <w:jc w:val="right"/>
              <w:rPr>
                <w:rFonts w:cs="Times New Roman"/>
                <w:sz w:val="20"/>
                <w:szCs w:val="20"/>
              </w:rPr>
            </w:pPr>
            <w:r w:rsidRPr="002E333D">
              <w:rPr>
                <w:rFonts w:eastAsia="Times New Roman" w:cs="Times New Roman"/>
                <w:color w:val="000000" w:themeColor="text1"/>
                <w:sz w:val="20"/>
                <w:szCs w:val="20"/>
              </w:rPr>
              <w:t xml:space="preserve">546.784.000 </w:t>
            </w:r>
          </w:p>
        </w:tc>
      </w:tr>
      <w:tr w:rsidR="008B35C9" w:rsidRPr="002E333D" w14:paraId="10ED3212" w14:textId="77777777" w:rsidTr="00B33C03">
        <w:trPr>
          <w:trHeight w:val="300"/>
        </w:trPr>
        <w:tc>
          <w:tcPr>
            <w:tcW w:w="2245" w:type="pct"/>
            <w:tcMar>
              <w:left w:w="70" w:type="dxa"/>
              <w:right w:w="70" w:type="dxa"/>
            </w:tcMar>
            <w:vAlign w:val="center"/>
          </w:tcPr>
          <w:p w14:paraId="341DA42E" w14:textId="77777777" w:rsidR="008B35C9" w:rsidRPr="002E333D" w:rsidRDefault="008B35C9" w:rsidP="000A5389">
            <w:pPr>
              <w:spacing w:line="240" w:lineRule="auto"/>
              <w:rPr>
                <w:rFonts w:cs="Times New Roman"/>
                <w:sz w:val="20"/>
                <w:szCs w:val="20"/>
              </w:rPr>
            </w:pPr>
            <w:r w:rsidRPr="002E333D">
              <w:rPr>
                <w:rFonts w:eastAsia="Times New Roman" w:cs="Times New Roman"/>
                <w:color w:val="000000" w:themeColor="text1"/>
                <w:sz w:val="20"/>
                <w:szCs w:val="20"/>
              </w:rPr>
              <w:t>APP Sector Villavicencio Yopal</w:t>
            </w:r>
          </w:p>
        </w:tc>
        <w:tc>
          <w:tcPr>
            <w:tcW w:w="1670" w:type="pct"/>
            <w:tcMar>
              <w:left w:w="70" w:type="dxa"/>
              <w:right w:w="70" w:type="dxa"/>
            </w:tcMar>
            <w:vAlign w:val="center"/>
          </w:tcPr>
          <w:p w14:paraId="70303E64" w14:textId="77777777" w:rsidR="008B35C9" w:rsidRPr="002E333D" w:rsidRDefault="008B35C9" w:rsidP="000A5389">
            <w:pPr>
              <w:spacing w:line="240" w:lineRule="auto"/>
              <w:rPr>
                <w:rFonts w:cs="Times New Roman"/>
                <w:sz w:val="20"/>
                <w:szCs w:val="20"/>
              </w:rPr>
            </w:pPr>
            <w:r w:rsidRPr="002E333D">
              <w:rPr>
                <w:rFonts w:eastAsia="Times New Roman" w:cs="Times New Roman"/>
                <w:color w:val="000000" w:themeColor="text1"/>
                <w:sz w:val="20"/>
                <w:szCs w:val="20"/>
              </w:rPr>
              <w:t>Tarifario</w:t>
            </w:r>
          </w:p>
        </w:tc>
        <w:tc>
          <w:tcPr>
            <w:tcW w:w="1085" w:type="pct"/>
            <w:tcMar>
              <w:left w:w="70" w:type="dxa"/>
              <w:right w:w="70" w:type="dxa"/>
            </w:tcMar>
            <w:vAlign w:val="center"/>
          </w:tcPr>
          <w:p w14:paraId="05D67FB0" w14:textId="77777777" w:rsidR="008B35C9" w:rsidRPr="002E333D" w:rsidRDefault="008B35C9" w:rsidP="000A5389">
            <w:pPr>
              <w:spacing w:line="240" w:lineRule="auto"/>
              <w:jc w:val="right"/>
              <w:rPr>
                <w:rFonts w:cs="Times New Roman"/>
                <w:sz w:val="20"/>
                <w:szCs w:val="20"/>
              </w:rPr>
            </w:pPr>
            <w:r w:rsidRPr="002E333D">
              <w:rPr>
                <w:rFonts w:eastAsia="Times New Roman" w:cs="Times New Roman"/>
                <w:color w:val="000000" w:themeColor="text1"/>
                <w:sz w:val="20"/>
                <w:szCs w:val="20"/>
              </w:rPr>
              <w:t xml:space="preserve">1.716.395.100 </w:t>
            </w:r>
          </w:p>
        </w:tc>
      </w:tr>
      <w:tr w:rsidR="008B35C9" w:rsidRPr="002E333D" w14:paraId="54B475C8" w14:textId="77777777" w:rsidTr="00B33C03">
        <w:trPr>
          <w:trHeight w:val="300"/>
        </w:trPr>
        <w:tc>
          <w:tcPr>
            <w:tcW w:w="2245" w:type="pct"/>
            <w:tcMar>
              <w:left w:w="70" w:type="dxa"/>
              <w:right w:w="70" w:type="dxa"/>
            </w:tcMar>
            <w:vAlign w:val="center"/>
          </w:tcPr>
          <w:p w14:paraId="76A699AD" w14:textId="77777777" w:rsidR="008B35C9" w:rsidRPr="002E333D" w:rsidRDefault="008B35C9" w:rsidP="000A5389">
            <w:pPr>
              <w:spacing w:line="240" w:lineRule="auto"/>
              <w:rPr>
                <w:rFonts w:cs="Times New Roman"/>
                <w:sz w:val="20"/>
                <w:szCs w:val="20"/>
              </w:rPr>
            </w:pPr>
            <w:r w:rsidRPr="002E333D">
              <w:rPr>
                <w:rFonts w:eastAsia="Times New Roman" w:cs="Times New Roman"/>
                <w:color w:val="000000" w:themeColor="text1"/>
                <w:sz w:val="20"/>
                <w:szCs w:val="20"/>
              </w:rPr>
              <w:t>Área Metropolitana de Cúcuta y Norte de Santander</w:t>
            </w:r>
          </w:p>
        </w:tc>
        <w:tc>
          <w:tcPr>
            <w:tcW w:w="1670" w:type="pct"/>
            <w:tcMar>
              <w:left w:w="70" w:type="dxa"/>
              <w:right w:w="70" w:type="dxa"/>
            </w:tcMar>
            <w:vAlign w:val="center"/>
          </w:tcPr>
          <w:p w14:paraId="70628A70" w14:textId="77777777" w:rsidR="008B35C9" w:rsidRPr="002E333D" w:rsidRDefault="008B35C9" w:rsidP="000A5389">
            <w:pPr>
              <w:spacing w:line="240" w:lineRule="auto"/>
              <w:rPr>
                <w:rFonts w:cs="Times New Roman"/>
                <w:sz w:val="20"/>
                <w:szCs w:val="20"/>
              </w:rPr>
            </w:pPr>
            <w:r w:rsidRPr="002E333D">
              <w:rPr>
                <w:rFonts w:eastAsia="Times New Roman" w:cs="Times New Roman"/>
                <w:color w:val="000000" w:themeColor="text1"/>
                <w:sz w:val="20"/>
                <w:szCs w:val="20"/>
              </w:rPr>
              <w:t>Predial</w:t>
            </w:r>
          </w:p>
        </w:tc>
        <w:tc>
          <w:tcPr>
            <w:tcW w:w="1085" w:type="pct"/>
            <w:tcMar>
              <w:left w:w="70" w:type="dxa"/>
              <w:right w:w="70" w:type="dxa"/>
            </w:tcMar>
            <w:vAlign w:val="center"/>
          </w:tcPr>
          <w:p w14:paraId="0F65EFFD" w14:textId="77777777" w:rsidR="008B35C9" w:rsidRPr="002E333D" w:rsidRDefault="008B35C9" w:rsidP="000A5389">
            <w:pPr>
              <w:spacing w:line="240" w:lineRule="auto"/>
              <w:jc w:val="right"/>
              <w:rPr>
                <w:rFonts w:cs="Times New Roman"/>
                <w:sz w:val="20"/>
                <w:szCs w:val="20"/>
              </w:rPr>
            </w:pPr>
            <w:r w:rsidRPr="002E333D">
              <w:rPr>
                <w:rFonts w:eastAsia="Times New Roman" w:cs="Times New Roman"/>
                <w:color w:val="000000" w:themeColor="text1"/>
                <w:sz w:val="20"/>
                <w:szCs w:val="20"/>
              </w:rPr>
              <w:t xml:space="preserve">1.724.006.678 </w:t>
            </w:r>
          </w:p>
        </w:tc>
      </w:tr>
      <w:tr w:rsidR="008B35C9" w:rsidRPr="002E333D" w14:paraId="43F87717" w14:textId="77777777" w:rsidTr="00B33C03">
        <w:trPr>
          <w:trHeight w:val="300"/>
        </w:trPr>
        <w:tc>
          <w:tcPr>
            <w:tcW w:w="2245" w:type="pct"/>
            <w:vMerge w:val="restart"/>
            <w:tcMar>
              <w:left w:w="70" w:type="dxa"/>
              <w:right w:w="70" w:type="dxa"/>
            </w:tcMar>
            <w:vAlign w:val="center"/>
          </w:tcPr>
          <w:p w14:paraId="2A174E54" w14:textId="77777777" w:rsidR="008B35C9" w:rsidRPr="002E333D" w:rsidRDefault="008B35C9" w:rsidP="000A5389">
            <w:pPr>
              <w:spacing w:line="240" w:lineRule="auto"/>
              <w:rPr>
                <w:rFonts w:cs="Times New Roman"/>
                <w:sz w:val="20"/>
                <w:szCs w:val="20"/>
              </w:rPr>
            </w:pPr>
            <w:r w:rsidRPr="002E333D">
              <w:rPr>
                <w:rFonts w:eastAsia="Times New Roman" w:cs="Times New Roman"/>
                <w:color w:val="000000" w:themeColor="text1"/>
                <w:sz w:val="20"/>
                <w:szCs w:val="20"/>
              </w:rPr>
              <w:t>Autopista Conexión Norte</w:t>
            </w:r>
          </w:p>
        </w:tc>
        <w:tc>
          <w:tcPr>
            <w:tcW w:w="1670" w:type="pct"/>
            <w:tcMar>
              <w:left w:w="70" w:type="dxa"/>
              <w:right w:w="70" w:type="dxa"/>
            </w:tcMar>
            <w:vAlign w:val="center"/>
          </w:tcPr>
          <w:p w14:paraId="5B24A9BB" w14:textId="77777777" w:rsidR="008B35C9" w:rsidRPr="002E333D" w:rsidRDefault="008B35C9" w:rsidP="000A5389">
            <w:pPr>
              <w:spacing w:line="240" w:lineRule="auto"/>
              <w:rPr>
                <w:rFonts w:cs="Times New Roman"/>
                <w:sz w:val="20"/>
                <w:szCs w:val="20"/>
              </w:rPr>
            </w:pPr>
            <w:r w:rsidRPr="002E333D">
              <w:rPr>
                <w:rFonts w:eastAsia="Times New Roman" w:cs="Times New Roman"/>
                <w:color w:val="000000" w:themeColor="text1"/>
                <w:sz w:val="20"/>
                <w:szCs w:val="20"/>
              </w:rPr>
              <w:t>Predial</w:t>
            </w:r>
          </w:p>
        </w:tc>
        <w:tc>
          <w:tcPr>
            <w:tcW w:w="1085" w:type="pct"/>
            <w:tcMar>
              <w:left w:w="70" w:type="dxa"/>
              <w:right w:w="70" w:type="dxa"/>
            </w:tcMar>
            <w:vAlign w:val="center"/>
          </w:tcPr>
          <w:p w14:paraId="28905422" w14:textId="77777777" w:rsidR="008B35C9" w:rsidRPr="002E333D" w:rsidRDefault="008B35C9" w:rsidP="000A5389">
            <w:pPr>
              <w:spacing w:line="240" w:lineRule="auto"/>
              <w:jc w:val="right"/>
              <w:rPr>
                <w:rFonts w:cs="Times New Roman"/>
                <w:sz w:val="20"/>
                <w:szCs w:val="20"/>
              </w:rPr>
            </w:pPr>
            <w:r w:rsidRPr="002E333D">
              <w:rPr>
                <w:rFonts w:eastAsia="Times New Roman" w:cs="Times New Roman"/>
                <w:color w:val="000000" w:themeColor="text1"/>
                <w:sz w:val="20"/>
                <w:szCs w:val="20"/>
              </w:rPr>
              <w:t xml:space="preserve">12.913.893.205 </w:t>
            </w:r>
          </w:p>
        </w:tc>
      </w:tr>
      <w:tr w:rsidR="008B35C9" w:rsidRPr="002E333D" w14:paraId="5BE49C21" w14:textId="77777777" w:rsidTr="00B33C03">
        <w:trPr>
          <w:trHeight w:val="300"/>
        </w:trPr>
        <w:tc>
          <w:tcPr>
            <w:tcW w:w="2245" w:type="pct"/>
            <w:vMerge/>
            <w:vAlign w:val="center"/>
          </w:tcPr>
          <w:p w14:paraId="2DFD85EC" w14:textId="77777777" w:rsidR="008B35C9" w:rsidRPr="002E333D" w:rsidRDefault="008B35C9" w:rsidP="000A5389">
            <w:pPr>
              <w:spacing w:line="240" w:lineRule="auto"/>
              <w:rPr>
                <w:rFonts w:cs="Times New Roman"/>
                <w:sz w:val="20"/>
                <w:szCs w:val="20"/>
              </w:rPr>
            </w:pPr>
          </w:p>
        </w:tc>
        <w:tc>
          <w:tcPr>
            <w:tcW w:w="1670" w:type="pct"/>
            <w:tcMar>
              <w:left w:w="70" w:type="dxa"/>
              <w:right w:w="70" w:type="dxa"/>
            </w:tcMar>
            <w:vAlign w:val="center"/>
          </w:tcPr>
          <w:p w14:paraId="72077D08" w14:textId="77777777" w:rsidR="008B35C9" w:rsidRPr="002E333D" w:rsidRDefault="008B35C9" w:rsidP="000A5389">
            <w:pPr>
              <w:spacing w:line="240" w:lineRule="auto"/>
              <w:rPr>
                <w:rFonts w:cs="Times New Roman"/>
                <w:sz w:val="20"/>
                <w:szCs w:val="20"/>
              </w:rPr>
            </w:pPr>
            <w:r w:rsidRPr="002E333D">
              <w:rPr>
                <w:rFonts w:eastAsia="Times New Roman" w:cs="Times New Roman"/>
                <w:color w:val="000000" w:themeColor="text1"/>
                <w:sz w:val="20"/>
                <w:szCs w:val="20"/>
              </w:rPr>
              <w:t>Redes</w:t>
            </w:r>
          </w:p>
        </w:tc>
        <w:tc>
          <w:tcPr>
            <w:tcW w:w="1085" w:type="pct"/>
            <w:tcMar>
              <w:left w:w="70" w:type="dxa"/>
              <w:right w:w="70" w:type="dxa"/>
            </w:tcMar>
            <w:vAlign w:val="center"/>
          </w:tcPr>
          <w:p w14:paraId="245494FE" w14:textId="77777777" w:rsidR="008B35C9" w:rsidRPr="002E333D" w:rsidRDefault="008B35C9" w:rsidP="000A5389">
            <w:pPr>
              <w:spacing w:line="240" w:lineRule="auto"/>
              <w:jc w:val="right"/>
              <w:rPr>
                <w:rFonts w:cs="Times New Roman"/>
                <w:sz w:val="20"/>
                <w:szCs w:val="20"/>
              </w:rPr>
            </w:pPr>
            <w:r w:rsidRPr="002E333D">
              <w:rPr>
                <w:rFonts w:eastAsia="Times New Roman" w:cs="Times New Roman"/>
                <w:color w:val="000000" w:themeColor="text1"/>
                <w:sz w:val="20"/>
                <w:szCs w:val="20"/>
              </w:rPr>
              <w:t xml:space="preserve">2.420.647.298 </w:t>
            </w:r>
          </w:p>
        </w:tc>
      </w:tr>
      <w:tr w:rsidR="008B35C9" w:rsidRPr="002E333D" w14:paraId="7B6D16AF" w14:textId="77777777" w:rsidTr="00B33C03">
        <w:trPr>
          <w:trHeight w:val="300"/>
        </w:trPr>
        <w:tc>
          <w:tcPr>
            <w:tcW w:w="2245" w:type="pct"/>
            <w:vMerge/>
            <w:vAlign w:val="center"/>
          </w:tcPr>
          <w:p w14:paraId="6C467F3E" w14:textId="77777777" w:rsidR="008B35C9" w:rsidRPr="002E333D" w:rsidRDefault="008B35C9" w:rsidP="000A5389">
            <w:pPr>
              <w:spacing w:line="240" w:lineRule="auto"/>
              <w:rPr>
                <w:rFonts w:cs="Times New Roman"/>
                <w:sz w:val="20"/>
                <w:szCs w:val="20"/>
              </w:rPr>
            </w:pPr>
          </w:p>
        </w:tc>
        <w:tc>
          <w:tcPr>
            <w:tcW w:w="1670" w:type="pct"/>
            <w:tcMar>
              <w:left w:w="70" w:type="dxa"/>
              <w:right w:w="70" w:type="dxa"/>
            </w:tcMar>
            <w:vAlign w:val="center"/>
          </w:tcPr>
          <w:p w14:paraId="678C64E2" w14:textId="77777777" w:rsidR="008B35C9" w:rsidRPr="002E333D" w:rsidRDefault="008B35C9" w:rsidP="000A5389">
            <w:pPr>
              <w:spacing w:line="240" w:lineRule="auto"/>
              <w:rPr>
                <w:rFonts w:cs="Times New Roman"/>
                <w:sz w:val="20"/>
                <w:szCs w:val="20"/>
              </w:rPr>
            </w:pPr>
            <w:r w:rsidRPr="002E333D">
              <w:rPr>
                <w:rFonts w:eastAsia="Times New Roman" w:cs="Times New Roman"/>
                <w:color w:val="000000" w:themeColor="text1"/>
                <w:sz w:val="20"/>
                <w:szCs w:val="20"/>
              </w:rPr>
              <w:t>Tarifario</w:t>
            </w:r>
          </w:p>
        </w:tc>
        <w:tc>
          <w:tcPr>
            <w:tcW w:w="1085" w:type="pct"/>
            <w:tcMar>
              <w:left w:w="70" w:type="dxa"/>
              <w:right w:w="70" w:type="dxa"/>
            </w:tcMar>
            <w:vAlign w:val="center"/>
          </w:tcPr>
          <w:p w14:paraId="10071995" w14:textId="77777777" w:rsidR="008B35C9" w:rsidRPr="002E333D" w:rsidRDefault="008B35C9" w:rsidP="000A5389">
            <w:pPr>
              <w:spacing w:line="240" w:lineRule="auto"/>
              <w:jc w:val="right"/>
              <w:rPr>
                <w:rFonts w:cs="Times New Roman"/>
                <w:sz w:val="20"/>
                <w:szCs w:val="20"/>
              </w:rPr>
            </w:pPr>
            <w:r w:rsidRPr="002E333D">
              <w:rPr>
                <w:rFonts w:eastAsia="Times New Roman" w:cs="Times New Roman"/>
                <w:color w:val="000000" w:themeColor="text1"/>
                <w:sz w:val="20"/>
                <w:szCs w:val="20"/>
              </w:rPr>
              <w:t xml:space="preserve">2.836.894.007 </w:t>
            </w:r>
          </w:p>
        </w:tc>
      </w:tr>
      <w:tr w:rsidR="008B35C9" w:rsidRPr="002E333D" w14:paraId="166EF9FC" w14:textId="77777777" w:rsidTr="00B33C03">
        <w:trPr>
          <w:trHeight w:val="300"/>
        </w:trPr>
        <w:tc>
          <w:tcPr>
            <w:tcW w:w="2245" w:type="pct"/>
            <w:vMerge w:val="restart"/>
            <w:tcMar>
              <w:left w:w="70" w:type="dxa"/>
              <w:right w:w="70" w:type="dxa"/>
            </w:tcMar>
            <w:vAlign w:val="center"/>
          </w:tcPr>
          <w:p w14:paraId="230C2233" w14:textId="77777777" w:rsidR="008B35C9" w:rsidRPr="002E333D" w:rsidRDefault="008B35C9" w:rsidP="000A5389">
            <w:pPr>
              <w:spacing w:line="240" w:lineRule="auto"/>
              <w:rPr>
                <w:rFonts w:cs="Times New Roman"/>
                <w:sz w:val="20"/>
                <w:szCs w:val="20"/>
              </w:rPr>
            </w:pPr>
            <w:r w:rsidRPr="002E333D">
              <w:rPr>
                <w:rFonts w:eastAsia="Times New Roman" w:cs="Times New Roman"/>
                <w:color w:val="000000" w:themeColor="text1"/>
                <w:sz w:val="20"/>
                <w:szCs w:val="20"/>
              </w:rPr>
              <w:t>Autopista Conexión Pacifico 1</w:t>
            </w:r>
          </w:p>
        </w:tc>
        <w:tc>
          <w:tcPr>
            <w:tcW w:w="1670" w:type="pct"/>
            <w:tcMar>
              <w:left w:w="70" w:type="dxa"/>
              <w:right w:w="70" w:type="dxa"/>
            </w:tcMar>
            <w:vAlign w:val="center"/>
          </w:tcPr>
          <w:p w14:paraId="2388C44A" w14:textId="77777777" w:rsidR="008B35C9" w:rsidRPr="002E333D" w:rsidRDefault="008B35C9" w:rsidP="000A5389">
            <w:pPr>
              <w:spacing w:line="240" w:lineRule="auto"/>
              <w:rPr>
                <w:rFonts w:cs="Times New Roman"/>
                <w:sz w:val="20"/>
                <w:szCs w:val="20"/>
              </w:rPr>
            </w:pPr>
            <w:r w:rsidRPr="002E333D">
              <w:rPr>
                <w:rFonts w:eastAsia="Times New Roman" w:cs="Times New Roman"/>
                <w:color w:val="000000" w:themeColor="text1"/>
                <w:sz w:val="20"/>
                <w:szCs w:val="20"/>
              </w:rPr>
              <w:t>No instalación peaje</w:t>
            </w:r>
          </w:p>
        </w:tc>
        <w:tc>
          <w:tcPr>
            <w:tcW w:w="1085" w:type="pct"/>
            <w:tcMar>
              <w:left w:w="70" w:type="dxa"/>
              <w:right w:w="70" w:type="dxa"/>
            </w:tcMar>
            <w:vAlign w:val="center"/>
          </w:tcPr>
          <w:p w14:paraId="50DF027B" w14:textId="77777777" w:rsidR="008B35C9" w:rsidRPr="002E333D" w:rsidRDefault="008B35C9" w:rsidP="000A5389">
            <w:pPr>
              <w:spacing w:line="240" w:lineRule="auto"/>
              <w:jc w:val="right"/>
              <w:rPr>
                <w:rFonts w:cs="Times New Roman"/>
                <w:sz w:val="20"/>
                <w:szCs w:val="20"/>
              </w:rPr>
            </w:pPr>
            <w:r w:rsidRPr="002E333D">
              <w:rPr>
                <w:rFonts w:eastAsia="Times New Roman" w:cs="Times New Roman"/>
                <w:color w:val="000000" w:themeColor="text1"/>
                <w:sz w:val="20"/>
                <w:szCs w:val="20"/>
              </w:rPr>
              <w:t xml:space="preserve">14.289.998.100 </w:t>
            </w:r>
          </w:p>
        </w:tc>
      </w:tr>
      <w:tr w:rsidR="008B35C9" w:rsidRPr="002E333D" w14:paraId="4B196008" w14:textId="77777777" w:rsidTr="00B33C03">
        <w:trPr>
          <w:trHeight w:val="300"/>
        </w:trPr>
        <w:tc>
          <w:tcPr>
            <w:tcW w:w="2245" w:type="pct"/>
            <w:vMerge/>
            <w:vAlign w:val="center"/>
          </w:tcPr>
          <w:p w14:paraId="3A78EF18" w14:textId="77777777" w:rsidR="008B35C9" w:rsidRPr="002E333D" w:rsidRDefault="008B35C9" w:rsidP="000A5389">
            <w:pPr>
              <w:spacing w:line="240" w:lineRule="auto"/>
              <w:rPr>
                <w:rFonts w:cs="Times New Roman"/>
                <w:sz w:val="20"/>
                <w:szCs w:val="20"/>
              </w:rPr>
            </w:pPr>
          </w:p>
        </w:tc>
        <w:tc>
          <w:tcPr>
            <w:tcW w:w="1670" w:type="pct"/>
            <w:tcMar>
              <w:left w:w="70" w:type="dxa"/>
              <w:right w:w="70" w:type="dxa"/>
            </w:tcMar>
            <w:vAlign w:val="center"/>
          </w:tcPr>
          <w:p w14:paraId="4C794E8C" w14:textId="77777777" w:rsidR="008B35C9" w:rsidRPr="002E333D" w:rsidRDefault="008B35C9" w:rsidP="000A5389">
            <w:pPr>
              <w:spacing w:line="240" w:lineRule="auto"/>
              <w:rPr>
                <w:rFonts w:cs="Times New Roman"/>
                <w:sz w:val="20"/>
                <w:szCs w:val="20"/>
              </w:rPr>
            </w:pPr>
            <w:r w:rsidRPr="002E333D">
              <w:rPr>
                <w:rFonts w:eastAsia="Times New Roman" w:cs="Times New Roman"/>
                <w:color w:val="000000" w:themeColor="text1"/>
                <w:sz w:val="20"/>
                <w:szCs w:val="20"/>
              </w:rPr>
              <w:t>Obras adicionales</w:t>
            </w:r>
          </w:p>
        </w:tc>
        <w:tc>
          <w:tcPr>
            <w:tcW w:w="1085" w:type="pct"/>
            <w:tcMar>
              <w:left w:w="70" w:type="dxa"/>
              <w:right w:w="70" w:type="dxa"/>
            </w:tcMar>
            <w:vAlign w:val="center"/>
          </w:tcPr>
          <w:p w14:paraId="64C7411A" w14:textId="77777777" w:rsidR="008B35C9" w:rsidRPr="002E333D" w:rsidRDefault="008B35C9" w:rsidP="000A5389">
            <w:pPr>
              <w:spacing w:line="240" w:lineRule="auto"/>
              <w:jc w:val="right"/>
              <w:rPr>
                <w:rFonts w:cs="Times New Roman"/>
                <w:sz w:val="20"/>
                <w:szCs w:val="20"/>
              </w:rPr>
            </w:pPr>
            <w:r w:rsidRPr="002E333D">
              <w:rPr>
                <w:rFonts w:eastAsia="Times New Roman" w:cs="Times New Roman"/>
                <w:color w:val="000000" w:themeColor="text1"/>
                <w:sz w:val="20"/>
                <w:szCs w:val="20"/>
              </w:rPr>
              <w:t xml:space="preserve">3.774.093.758 </w:t>
            </w:r>
          </w:p>
        </w:tc>
      </w:tr>
      <w:tr w:rsidR="008B35C9" w:rsidRPr="002E333D" w14:paraId="753415BE" w14:textId="77777777" w:rsidTr="00B33C03">
        <w:trPr>
          <w:trHeight w:val="300"/>
        </w:trPr>
        <w:tc>
          <w:tcPr>
            <w:tcW w:w="2245" w:type="pct"/>
            <w:vMerge/>
            <w:vAlign w:val="center"/>
          </w:tcPr>
          <w:p w14:paraId="2785E7BA" w14:textId="77777777" w:rsidR="008B35C9" w:rsidRPr="002E333D" w:rsidRDefault="008B35C9" w:rsidP="000A5389">
            <w:pPr>
              <w:spacing w:line="240" w:lineRule="auto"/>
              <w:rPr>
                <w:rFonts w:cs="Times New Roman"/>
                <w:sz w:val="20"/>
                <w:szCs w:val="20"/>
              </w:rPr>
            </w:pPr>
          </w:p>
        </w:tc>
        <w:tc>
          <w:tcPr>
            <w:tcW w:w="1670" w:type="pct"/>
            <w:tcMar>
              <w:left w:w="70" w:type="dxa"/>
              <w:right w:w="70" w:type="dxa"/>
            </w:tcMar>
            <w:vAlign w:val="center"/>
          </w:tcPr>
          <w:p w14:paraId="571795B9" w14:textId="77777777" w:rsidR="008B35C9" w:rsidRPr="002E333D" w:rsidRDefault="008B35C9" w:rsidP="000A5389">
            <w:pPr>
              <w:spacing w:line="240" w:lineRule="auto"/>
              <w:rPr>
                <w:rFonts w:cs="Times New Roman"/>
                <w:sz w:val="20"/>
                <w:szCs w:val="20"/>
              </w:rPr>
            </w:pPr>
            <w:r w:rsidRPr="002E333D">
              <w:rPr>
                <w:rFonts w:eastAsia="Times New Roman" w:cs="Times New Roman"/>
                <w:color w:val="000000" w:themeColor="text1"/>
                <w:sz w:val="20"/>
                <w:szCs w:val="20"/>
              </w:rPr>
              <w:t>Obras Adicionales solicitadas por Autoridad Ambiental</w:t>
            </w:r>
          </w:p>
        </w:tc>
        <w:tc>
          <w:tcPr>
            <w:tcW w:w="1085" w:type="pct"/>
            <w:tcMar>
              <w:left w:w="70" w:type="dxa"/>
              <w:right w:w="70" w:type="dxa"/>
            </w:tcMar>
            <w:vAlign w:val="center"/>
          </w:tcPr>
          <w:p w14:paraId="3ED7BB2A" w14:textId="77777777" w:rsidR="008B35C9" w:rsidRPr="002E333D" w:rsidRDefault="008B35C9" w:rsidP="000A5389">
            <w:pPr>
              <w:spacing w:line="240" w:lineRule="auto"/>
              <w:jc w:val="right"/>
              <w:rPr>
                <w:rFonts w:cs="Times New Roman"/>
                <w:sz w:val="20"/>
                <w:szCs w:val="20"/>
              </w:rPr>
            </w:pPr>
            <w:r w:rsidRPr="002E333D">
              <w:rPr>
                <w:rFonts w:eastAsia="Times New Roman" w:cs="Times New Roman"/>
                <w:color w:val="000000" w:themeColor="text1"/>
                <w:sz w:val="20"/>
                <w:szCs w:val="20"/>
              </w:rPr>
              <w:t xml:space="preserve">11.144.056.173 </w:t>
            </w:r>
          </w:p>
        </w:tc>
      </w:tr>
      <w:tr w:rsidR="008B35C9" w:rsidRPr="002E333D" w14:paraId="3D61483A" w14:textId="77777777" w:rsidTr="00B33C03">
        <w:trPr>
          <w:trHeight w:val="300"/>
        </w:trPr>
        <w:tc>
          <w:tcPr>
            <w:tcW w:w="2245" w:type="pct"/>
            <w:vMerge/>
            <w:vAlign w:val="center"/>
          </w:tcPr>
          <w:p w14:paraId="6A3311E8" w14:textId="77777777" w:rsidR="008B35C9" w:rsidRPr="002E333D" w:rsidRDefault="008B35C9" w:rsidP="000A5389">
            <w:pPr>
              <w:spacing w:line="240" w:lineRule="auto"/>
              <w:rPr>
                <w:rFonts w:cs="Times New Roman"/>
                <w:sz w:val="20"/>
                <w:szCs w:val="20"/>
              </w:rPr>
            </w:pPr>
          </w:p>
        </w:tc>
        <w:tc>
          <w:tcPr>
            <w:tcW w:w="1670" w:type="pct"/>
            <w:tcMar>
              <w:left w:w="70" w:type="dxa"/>
              <w:right w:w="70" w:type="dxa"/>
            </w:tcMar>
            <w:vAlign w:val="center"/>
          </w:tcPr>
          <w:p w14:paraId="4442E319" w14:textId="77777777" w:rsidR="008B35C9" w:rsidRPr="002E333D" w:rsidRDefault="008B35C9" w:rsidP="000A5389">
            <w:pPr>
              <w:spacing w:line="240" w:lineRule="auto"/>
              <w:rPr>
                <w:rFonts w:cs="Times New Roman"/>
                <w:sz w:val="20"/>
                <w:szCs w:val="20"/>
              </w:rPr>
            </w:pPr>
            <w:r w:rsidRPr="002E333D">
              <w:rPr>
                <w:rFonts w:eastAsia="Times New Roman" w:cs="Times New Roman"/>
                <w:color w:val="000000" w:themeColor="text1"/>
                <w:sz w:val="20"/>
                <w:szCs w:val="20"/>
              </w:rPr>
              <w:t>Tarifario</w:t>
            </w:r>
          </w:p>
        </w:tc>
        <w:tc>
          <w:tcPr>
            <w:tcW w:w="1085" w:type="pct"/>
            <w:tcMar>
              <w:left w:w="70" w:type="dxa"/>
              <w:right w:w="70" w:type="dxa"/>
            </w:tcMar>
            <w:vAlign w:val="center"/>
          </w:tcPr>
          <w:p w14:paraId="550F0C8C" w14:textId="77777777" w:rsidR="008B35C9" w:rsidRPr="002E333D" w:rsidRDefault="008B35C9" w:rsidP="000A5389">
            <w:pPr>
              <w:spacing w:line="240" w:lineRule="auto"/>
              <w:jc w:val="right"/>
              <w:rPr>
                <w:rFonts w:cs="Times New Roman"/>
                <w:sz w:val="20"/>
                <w:szCs w:val="20"/>
              </w:rPr>
            </w:pPr>
            <w:r w:rsidRPr="002E333D">
              <w:rPr>
                <w:rFonts w:eastAsia="Times New Roman" w:cs="Times New Roman"/>
                <w:color w:val="000000" w:themeColor="text1"/>
                <w:sz w:val="20"/>
                <w:szCs w:val="20"/>
              </w:rPr>
              <w:t xml:space="preserve">24.122.848.607 </w:t>
            </w:r>
          </w:p>
        </w:tc>
      </w:tr>
      <w:tr w:rsidR="008B35C9" w:rsidRPr="002E333D" w14:paraId="306D3FB3" w14:textId="77777777" w:rsidTr="00B33C03">
        <w:trPr>
          <w:trHeight w:val="300"/>
        </w:trPr>
        <w:tc>
          <w:tcPr>
            <w:tcW w:w="2245" w:type="pct"/>
            <w:vMerge w:val="restart"/>
            <w:tcMar>
              <w:left w:w="70" w:type="dxa"/>
              <w:right w:w="70" w:type="dxa"/>
            </w:tcMar>
            <w:vAlign w:val="center"/>
          </w:tcPr>
          <w:p w14:paraId="581CAC17" w14:textId="77777777" w:rsidR="008B35C9" w:rsidRPr="002E333D" w:rsidRDefault="008B35C9" w:rsidP="000A5389">
            <w:pPr>
              <w:spacing w:line="240" w:lineRule="auto"/>
              <w:rPr>
                <w:rFonts w:cs="Times New Roman"/>
                <w:sz w:val="20"/>
                <w:szCs w:val="20"/>
              </w:rPr>
            </w:pPr>
            <w:r w:rsidRPr="002E333D">
              <w:rPr>
                <w:rFonts w:eastAsia="Times New Roman" w:cs="Times New Roman"/>
                <w:color w:val="000000" w:themeColor="text1"/>
                <w:sz w:val="20"/>
                <w:szCs w:val="20"/>
              </w:rPr>
              <w:t>Autopista Conexión Pacifico 2</w:t>
            </w:r>
          </w:p>
        </w:tc>
        <w:tc>
          <w:tcPr>
            <w:tcW w:w="1670" w:type="pct"/>
            <w:tcMar>
              <w:left w:w="70" w:type="dxa"/>
              <w:right w:w="70" w:type="dxa"/>
            </w:tcMar>
            <w:vAlign w:val="center"/>
          </w:tcPr>
          <w:p w14:paraId="5F02D215" w14:textId="77777777" w:rsidR="008B35C9" w:rsidRPr="002E333D" w:rsidRDefault="008B35C9" w:rsidP="000A5389">
            <w:pPr>
              <w:spacing w:line="240" w:lineRule="auto"/>
              <w:rPr>
                <w:rFonts w:cs="Times New Roman"/>
                <w:sz w:val="20"/>
                <w:szCs w:val="20"/>
              </w:rPr>
            </w:pPr>
            <w:r w:rsidRPr="002E333D">
              <w:rPr>
                <w:rFonts w:eastAsia="Times New Roman" w:cs="Times New Roman"/>
                <w:color w:val="000000" w:themeColor="text1"/>
                <w:sz w:val="20"/>
                <w:szCs w:val="20"/>
              </w:rPr>
              <w:t>Costos Ociosos</w:t>
            </w:r>
          </w:p>
        </w:tc>
        <w:tc>
          <w:tcPr>
            <w:tcW w:w="1085" w:type="pct"/>
            <w:tcMar>
              <w:left w:w="70" w:type="dxa"/>
              <w:right w:w="70" w:type="dxa"/>
            </w:tcMar>
            <w:vAlign w:val="center"/>
          </w:tcPr>
          <w:p w14:paraId="0A4266C5" w14:textId="77777777" w:rsidR="008B35C9" w:rsidRPr="002E333D" w:rsidRDefault="008B35C9" w:rsidP="000A5389">
            <w:pPr>
              <w:spacing w:line="240" w:lineRule="auto"/>
              <w:jc w:val="right"/>
              <w:rPr>
                <w:rFonts w:cs="Times New Roman"/>
                <w:sz w:val="20"/>
                <w:szCs w:val="20"/>
              </w:rPr>
            </w:pPr>
            <w:r w:rsidRPr="002E333D">
              <w:rPr>
                <w:rFonts w:eastAsia="Times New Roman" w:cs="Times New Roman"/>
                <w:color w:val="000000" w:themeColor="text1"/>
                <w:sz w:val="20"/>
                <w:szCs w:val="20"/>
              </w:rPr>
              <w:t xml:space="preserve">7.996.497.551 </w:t>
            </w:r>
          </w:p>
        </w:tc>
      </w:tr>
      <w:tr w:rsidR="008B35C9" w:rsidRPr="002E333D" w14:paraId="066E4985" w14:textId="77777777" w:rsidTr="00B33C03">
        <w:trPr>
          <w:trHeight w:val="300"/>
        </w:trPr>
        <w:tc>
          <w:tcPr>
            <w:tcW w:w="2245" w:type="pct"/>
            <w:vMerge/>
            <w:vAlign w:val="center"/>
          </w:tcPr>
          <w:p w14:paraId="6A318F57" w14:textId="77777777" w:rsidR="008B35C9" w:rsidRPr="002E333D" w:rsidRDefault="008B35C9" w:rsidP="000A5389">
            <w:pPr>
              <w:spacing w:line="240" w:lineRule="auto"/>
              <w:rPr>
                <w:rFonts w:cs="Times New Roman"/>
                <w:sz w:val="20"/>
                <w:szCs w:val="20"/>
              </w:rPr>
            </w:pPr>
          </w:p>
        </w:tc>
        <w:tc>
          <w:tcPr>
            <w:tcW w:w="1670" w:type="pct"/>
            <w:tcMar>
              <w:left w:w="70" w:type="dxa"/>
              <w:right w:w="70" w:type="dxa"/>
            </w:tcMar>
            <w:vAlign w:val="center"/>
          </w:tcPr>
          <w:p w14:paraId="0A54EA3B" w14:textId="77777777" w:rsidR="008B35C9" w:rsidRPr="002E333D" w:rsidRDefault="008B35C9" w:rsidP="000A5389">
            <w:pPr>
              <w:spacing w:line="240" w:lineRule="auto"/>
              <w:rPr>
                <w:rFonts w:cs="Times New Roman"/>
                <w:sz w:val="20"/>
                <w:szCs w:val="20"/>
              </w:rPr>
            </w:pPr>
            <w:r w:rsidRPr="002E333D">
              <w:rPr>
                <w:rFonts w:eastAsia="Times New Roman" w:cs="Times New Roman"/>
                <w:color w:val="000000" w:themeColor="text1"/>
                <w:sz w:val="20"/>
                <w:szCs w:val="20"/>
              </w:rPr>
              <w:t>Predial</w:t>
            </w:r>
          </w:p>
        </w:tc>
        <w:tc>
          <w:tcPr>
            <w:tcW w:w="1085" w:type="pct"/>
            <w:tcMar>
              <w:left w:w="70" w:type="dxa"/>
              <w:right w:w="70" w:type="dxa"/>
            </w:tcMar>
            <w:vAlign w:val="center"/>
          </w:tcPr>
          <w:p w14:paraId="76AA82F1" w14:textId="77777777" w:rsidR="008B35C9" w:rsidRPr="002E333D" w:rsidRDefault="008B35C9" w:rsidP="000A5389">
            <w:pPr>
              <w:spacing w:line="240" w:lineRule="auto"/>
              <w:jc w:val="right"/>
              <w:rPr>
                <w:rFonts w:cs="Times New Roman"/>
                <w:sz w:val="20"/>
                <w:szCs w:val="20"/>
              </w:rPr>
            </w:pPr>
            <w:r w:rsidRPr="002E333D">
              <w:rPr>
                <w:rFonts w:eastAsia="Times New Roman" w:cs="Times New Roman"/>
                <w:color w:val="000000" w:themeColor="text1"/>
                <w:sz w:val="20"/>
                <w:szCs w:val="20"/>
              </w:rPr>
              <w:t xml:space="preserve">1.450.162.606 </w:t>
            </w:r>
          </w:p>
        </w:tc>
      </w:tr>
      <w:tr w:rsidR="008B35C9" w:rsidRPr="002E333D" w14:paraId="4E45125B" w14:textId="77777777" w:rsidTr="00B33C03">
        <w:trPr>
          <w:trHeight w:val="300"/>
        </w:trPr>
        <w:tc>
          <w:tcPr>
            <w:tcW w:w="2245" w:type="pct"/>
            <w:vMerge/>
            <w:vAlign w:val="center"/>
          </w:tcPr>
          <w:p w14:paraId="5007316E" w14:textId="77777777" w:rsidR="008B35C9" w:rsidRPr="002E333D" w:rsidRDefault="008B35C9" w:rsidP="000A5389">
            <w:pPr>
              <w:spacing w:line="240" w:lineRule="auto"/>
              <w:rPr>
                <w:rFonts w:cs="Times New Roman"/>
                <w:sz w:val="20"/>
                <w:szCs w:val="20"/>
              </w:rPr>
            </w:pPr>
          </w:p>
        </w:tc>
        <w:tc>
          <w:tcPr>
            <w:tcW w:w="1670" w:type="pct"/>
            <w:tcMar>
              <w:left w:w="70" w:type="dxa"/>
              <w:right w:w="70" w:type="dxa"/>
            </w:tcMar>
            <w:vAlign w:val="center"/>
          </w:tcPr>
          <w:p w14:paraId="3F00390E" w14:textId="77777777" w:rsidR="008B35C9" w:rsidRPr="002E333D" w:rsidRDefault="008B35C9" w:rsidP="000A5389">
            <w:pPr>
              <w:spacing w:line="240" w:lineRule="auto"/>
              <w:rPr>
                <w:rFonts w:cs="Times New Roman"/>
                <w:sz w:val="20"/>
                <w:szCs w:val="20"/>
              </w:rPr>
            </w:pPr>
            <w:r w:rsidRPr="002E333D">
              <w:rPr>
                <w:rFonts w:eastAsia="Times New Roman" w:cs="Times New Roman"/>
                <w:color w:val="000000" w:themeColor="text1"/>
                <w:sz w:val="20"/>
                <w:szCs w:val="20"/>
              </w:rPr>
              <w:t>Tarifario</w:t>
            </w:r>
          </w:p>
        </w:tc>
        <w:tc>
          <w:tcPr>
            <w:tcW w:w="1085" w:type="pct"/>
            <w:tcMar>
              <w:left w:w="70" w:type="dxa"/>
              <w:right w:w="70" w:type="dxa"/>
            </w:tcMar>
            <w:vAlign w:val="center"/>
          </w:tcPr>
          <w:p w14:paraId="06999DBD" w14:textId="77777777" w:rsidR="008B35C9" w:rsidRPr="002E333D" w:rsidRDefault="008B35C9" w:rsidP="000A5389">
            <w:pPr>
              <w:spacing w:line="240" w:lineRule="auto"/>
              <w:jc w:val="right"/>
              <w:rPr>
                <w:rFonts w:cs="Times New Roman"/>
                <w:sz w:val="20"/>
                <w:szCs w:val="20"/>
              </w:rPr>
            </w:pPr>
            <w:r w:rsidRPr="002E333D">
              <w:rPr>
                <w:rFonts w:eastAsia="Times New Roman" w:cs="Times New Roman"/>
                <w:color w:val="000000" w:themeColor="text1"/>
                <w:sz w:val="20"/>
                <w:szCs w:val="20"/>
              </w:rPr>
              <w:t xml:space="preserve">12.412.717.700 </w:t>
            </w:r>
          </w:p>
        </w:tc>
      </w:tr>
      <w:tr w:rsidR="008B35C9" w:rsidRPr="002E333D" w14:paraId="2AB0EC24" w14:textId="77777777" w:rsidTr="00B33C03">
        <w:trPr>
          <w:trHeight w:val="300"/>
        </w:trPr>
        <w:tc>
          <w:tcPr>
            <w:tcW w:w="2245" w:type="pct"/>
            <w:vMerge w:val="restart"/>
            <w:tcMar>
              <w:left w:w="70" w:type="dxa"/>
              <w:right w:w="70" w:type="dxa"/>
            </w:tcMar>
            <w:vAlign w:val="center"/>
          </w:tcPr>
          <w:p w14:paraId="4ADE1DD3" w14:textId="77777777" w:rsidR="008B35C9" w:rsidRPr="002E333D" w:rsidRDefault="008B35C9" w:rsidP="000A5389">
            <w:pPr>
              <w:spacing w:line="240" w:lineRule="auto"/>
              <w:rPr>
                <w:rFonts w:cs="Times New Roman"/>
                <w:sz w:val="20"/>
                <w:szCs w:val="20"/>
              </w:rPr>
            </w:pPr>
            <w:r w:rsidRPr="002E333D">
              <w:rPr>
                <w:rFonts w:eastAsia="Times New Roman" w:cs="Times New Roman"/>
                <w:color w:val="000000" w:themeColor="text1"/>
                <w:sz w:val="20"/>
                <w:szCs w:val="20"/>
              </w:rPr>
              <w:t>Autopista Conexión Pacifico 3</w:t>
            </w:r>
          </w:p>
        </w:tc>
        <w:tc>
          <w:tcPr>
            <w:tcW w:w="1670" w:type="pct"/>
            <w:tcMar>
              <w:left w:w="70" w:type="dxa"/>
              <w:right w:w="70" w:type="dxa"/>
            </w:tcMar>
            <w:vAlign w:val="center"/>
          </w:tcPr>
          <w:p w14:paraId="462B0FA7" w14:textId="77777777" w:rsidR="008B35C9" w:rsidRPr="002E333D" w:rsidRDefault="008B35C9" w:rsidP="000A5389">
            <w:pPr>
              <w:spacing w:line="240" w:lineRule="auto"/>
              <w:rPr>
                <w:rFonts w:cs="Times New Roman"/>
                <w:sz w:val="20"/>
                <w:szCs w:val="20"/>
              </w:rPr>
            </w:pPr>
            <w:r w:rsidRPr="002E333D">
              <w:rPr>
                <w:rFonts w:eastAsia="Times New Roman" w:cs="Times New Roman"/>
                <w:color w:val="000000" w:themeColor="text1"/>
                <w:sz w:val="20"/>
                <w:szCs w:val="20"/>
              </w:rPr>
              <w:t>Predial</w:t>
            </w:r>
          </w:p>
        </w:tc>
        <w:tc>
          <w:tcPr>
            <w:tcW w:w="1085" w:type="pct"/>
            <w:tcMar>
              <w:left w:w="70" w:type="dxa"/>
              <w:right w:w="70" w:type="dxa"/>
            </w:tcMar>
            <w:vAlign w:val="center"/>
          </w:tcPr>
          <w:p w14:paraId="7D045800" w14:textId="77777777" w:rsidR="008B35C9" w:rsidRPr="002E333D" w:rsidRDefault="008B35C9" w:rsidP="000A5389">
            <w:pPr>
              <w:spacing w:line="240" w:lineRule="auto"/>
              <w:jc w:val="right"/>
              <w:rPr>
                <w:rFonts w:cs="Times New Roman"/>
                <w:sz w:val="20"/>
                <w:szCs w:val="20"/>
              </w:rPr>
            </w:pPr>
            <w:r w:rsidRPr="002E333D">
              <w:rPr>
                <w:rFonts w:eastAsia="Times New Roman" w:cs="Times New Roman"/>
                <w:color w:val="000000" w:themeColor="text1"/>
                <w:sz w:val="20"/>
                <w:szCs w:val="20"/>
              </w:rPr>
              <w:t xml:space="preserve">18.136.316.245 </w:t>
            </w:r>
          </w:p>
        </w:tc>
      </w:tr>
      <w:tr w:rsidR="008B35C9" w:rsidRPr="002E333D" w14:paraId="0A9D0B27" w14:textId="77777777" w:rsidTr="00B33C03">
        <w:trPr>
          <w:trHeight w:val="300"/>
        </w:trPr>
        <w:tc>
          <w:tcPr>
            <w:tcW w:w="2245" w:type="pct"/>
            <w:vMerge/>
            <w:vAlign w:val="center"/>
          </w:tcPr>
          <w:p w14:paraId="605FE988" w14:textId="77777777" w:rsidR="008B35C9" w:rsidRPr="002E333D" w:rsidRDefault="008B35C9" w:rsidP="000A5389">
            <w:pPr>
              <w:spacing w:line="240" w:lineRule="auto"/>
              <w:rPr>
                <w:rFonts w:cs="Times New Roman"/>
                <w:sz w:val="20"/>
                <w:szCs w:val="20"/>
              </w:rPr>
            </w:pPr>
          </w:p>
        </w:tc>
        <w:tc>
          <w:tcPr>
            <w:tcW w:w="1670" w:type="pct"/>
            <w:tcMar>
              <w:left w:w="70" w:type="dxa"/>
              <w:right w:w="70" w:type="dxa"/>
            </w:tcMar>
            <w:vAlign w:val="center"/>
          </w:tcPr>
          <w:p w14:paraId="5A8EF90C" w14:textId="77777777" w:rsidR="008B35C9" w:rsidRPr="002E333D" w:rsidRDefault="008B35C9" w:rsidP="000A5389">
            <w:pPr>
              <w:spacing w:line="240" w:lineRule="auto"/>
              <w:rPr>
                <w:rFonts w:cs="Times New Roman"/>
                <w:sz w:val="20"/>
                <w:szCs w:val="20"/>
              </w:rPr>
            </w:pPr>
            <w:r w:rsidRPr="002E333D">
              <w:rPr>
                <w:rFonts w:eastAsia="Times New Roman" w:cs="Times New Roman"/>
                <w:color w:val="000000" w:themeColor="text1"/>
                <w:sz w:val="20"/>
                <w:szCs w:val="20"/>
              </w:rPr>
              <w:t>Tarifario</w:t>
            </w:r>
          </w:p>
        </w:tc>
        <w:tc>
          <w:tcPr>
            <w:tcW w:w="1085" w:type="pct"/>
            <w:tcMar>
              <w:left w:w="70" w:type="dxa"/>
              <w:right w:w="70" w:type="dxa"/>
            </w:tcMar>
            <w:vAlign w:val="center"/>
          </w:tcPr>
          <w:p w14:paraId="39F517C1" w14:textId="77777777" w:rsidR="008B35C9" w:rsidRPr="002E333D" w:rsidRDefault="008B35C9" w:rsidP="000A5389">
            <w:pPr>
              <w:spacing w:line="240" w:lineRule="auto"/>
              <w:jc w:val="right"/>
              <w:rPr>
                <w:rFonts w:cs="Times New Roman"/>
                <w:sz w:val="20"/>
                <w:szCs w:val="20"/>
              </w:rPr>
            </w:pPr>
            <w:r w:rsidRPr="002E333D">
              <w:rPr>
                <w:rFonts w:eastAsia="Times New Roman" w:cs="Times New Roman"/>
                <w:color w:val="000000" w:themeColor="text1"/>
                <w:sz w:val="20"/>
                <w:szCs w:val="20"/>
              </w:rPr>
              <w:t xml:space="preserve">239.444.525.066 </w:t>
            </w:r>
          </w:p>
        </w:tc>
      </w:tr>
      <w:tr w:rsidR="008B35C9" w:rsidRPr="002E333D" w14:paraId="72899185" w14:textId="77777777" w:rsidTr="00B33C03">
        <w:trPr>
          <w:trHeight w:val="300"/>
        </w:trPr>
        <w:tc>
          <w:tcPr>
            <w:tcW w:w="2245" w:type="pct"/>
            <w:vMerge w:val="restart"/>
            <w:tcMar>
              <w:left w:w="70" w:type="dxa"/>
              <w:right w:w="70" w:type="dxa"/>
            </w:tcMar>
            <w:vAlign w:val="center"/>
          </w:tcPr>
          <w:p w14:paraId="45C187F2" w14:textId="77777777" w:rsidR="008B35C9" w:rsidRPr="002E333D" w:rsidRDefault="008B35C9" w:rsidP="000A5389">
            <w:pPr>
              <w:spacing w:line="240" w:lineRule="auto"/>
              <w:rPr>
                <w:rFonts w:cs="Times New Roman"/>
                <w:sz w:val="20"/>
                <w:szCs w:val="20"/>
              </w:rPr>
            </w:pPr>
            <w:r w:rsidRPr="002E333D">
              <w:rPr>
                <w:rFonts w:eastAsia="Times New Roman" w:cs="Times New Roman"/>
                <w:color w:val="000000" w:themeColor="text1"/>
                <w:sz w:val="20"/>
                <w:szCs w:val="20"/>
              </w:rPr>
              <w:t>Autopista para la prosperidad Mar 2</w:t>
            </w:r>
          </w:p>
        </w:tc>
        <w:tc>
          <w:tcPr>
            <w:tcW w:w="1670" w:type="pct"/>
            <w:tcMar>
              <w:left w:w="70" w:type="dxa"/>
              <w:right w:w="70" w:type="dxa"/>
            </w:tcMar>
            <w:vAlign w:val="center"/>
          </w:tcPr>
          <w:p w14:paraId="2C893245" w14:textId="77777777" w:rsidR="008B35C9" w:rsidRPr="002E333D" w:rsidRDefault="008B35C9" w:rsidP="000A5389">
            <w:pPr>
              <w:spacing w:line="240" w:lineRule="auto"/>
              <w:rPr>
                <w:rFonts w:cs="Times New Roman"/>
                <w:sz w:val="20"/>
                <w:szCs w:val="20"/>
              </w:rPr>
            </w:pPr>
            <w:r w:rsidRPr="002E333D">
              <w:rPr>
                <w:rFonts w:eastAsia="Times New Roman" w:cs="Times New Roman"/>
                <w:color w:val="000000" w:themeColor="text1"/>
                <w:sz w:val="20"/>
                <w:szCs w:val="20"/>
              </w:rPr>
              <w:t>Comercial</w:t>
            </w:r>
          </w:p>
        </w:tc>
        <w:tc>
          <w:tcPr>
            <w:tcW w:w="1085" w:type="pct"/>
            <w:tcMar>
              <w:left w:w="70" w:type="dxa"/>
              <w:right w:w="70" w:type="dxa"/>
            </w:tcMar>
            <w:vAlign w:val="center"/>
          </w:tcPr>
          <w:p w14:paraId="265A555D" w14:textId="77777777" w:rsidR="008B35C9" w:rsidRPr="002E333D" w:rsidRDefault="008B35C9" w:rsidP="000A5389">
            <w:pPr>
              <w:spacing w:line="240" w:lineRule="auto"/>
              <w:jc w:val="right"/>
              <w:rPr>
                <w:rFonts w:cs="Times New Roman"/>
                <w:sz w:val="20"/>
                <w:szCs w:val="20"/>
              </w:rPr>
            </w:pPr>
            <w:r w:rsidRPr="002E333D">
              <w:rPr>
                <w:rFonts w:eastAsia="Times New Roman" w:cs="Times New Roman"/>
                <w:color w:val="000000" w:themeColor="text1"/>
                <w:sz w:val="20"/>
                <w:szCs w:val="20"/>
              </w:rPr>
              <w:t xml:space="preserve">68.326.997.385 </w:t>
            </w:r>
          </w:p>
        </w:tc>
      </w:tr>
      <w:tr w:rsidR="008B35C9" w:rsidRPr="002E333D" w14:paraId="6C2B9099" w14:textId="77777777" w:rsidTr="00B33C03">
        <w:trPr>
          <w:trHeight w:val="300"/>
        </w:trPr>
        <w:tc>
          <w:tcPr>
            <w:tcW w:w="2245" w:type="pct"/>
            <w:vMerge/>
            <w:vAlign w:val="center"/>
          </w:tcPr>
          <w:p w14:paraId="22A09920" w14:textId="77777777" w:rsidR="008B35C9" w:rsidRPr="002E333D" w:rsidRDefault="008B35C9" w:rsidP="000A5389">
            <w:pPr>
              <w:spacing w:line="240" w:lineRule="auto"/>
              <w:rPr>
                <w:rFonts w:cs="Times New Roman"/>
                <w:sz w:val="20"/>
                <w:szCs w:val="20"/>
              </w:rPr>
            </w:pPr>
          </w:p>
        </w:tc>
        <w:tc>
          <w:tcPr>
            <w:tcW w:w="1670" w:type="pct"/>
            <w:tcMar>
              <w:left w:w="70" w:type="dxa"/>
              <w:right w:w="70" w:type="dxa"/>
            </w:tcMar>
            <w:vAlign w:val="center"/>
          </w:tcPr>
          <w:p w14:paraId="061F1335" w14:textId="77777777" w:rsidR="008B35C9" w:rsidRPr="002E333D" w:rsidRDefault="008B35C9" w:rsidP="000A5389">
            <w:pPr>
              <w:spacing w:line="240" w:lineRule="auto"/>
              <w:rPr>
                <w:rFonts w:cs="Times New Roman"/>
                <w:sz w:val="20"/>
                <w:szCs w:val="20"/>
              </w:rPr>
            </w:pPr>
            <w:r w:rsidRPr="002E333D">
              <w:rPr>
                <w:rFonts w:eastAsia="Times New Roman" w:cs="Times New Roman"/>
                <w:color w:val="000000" w:themeColor="text1"/>
                <w:sz w:val="20"/>
                <w:szCs w:val="20"/>
              </w:rPr>
              <w:t>No operación</w:t>
            </w:r>
          </w:p>
        </w:tc>
        <w:tc>
          <w:tcPr>
            <w:tcW w:w="1085" w:type="pct"/>
            <w:tcMar>
              <w:left w:w="70" w:type="dxa"/>
              <w:right w:w="70" w:type="dxa"/>
            </w:tcMar>
            <w:vAlign w:val="center"/>
          </w:tcPr>
          <w:p w14:paraId="71307CAB" w14:textId="77777777" w:rsidR="008B35C9" w:rsidRPr="002E333D" w:rsidRDefault="008B35C9" w:rsidP="000A5389">
            <w:pPr>
              <w:spacing w:line="240" w:lineRule="auto"/>
              <w:jc w:val="right"/>
              <w:rPr>
                <w:rFonts w:cs="Times New Roman"/>
                <w:sz w:val="20"/>
                <w:szCs w:val="20"/>
              </w:rPr>
            </w:pPr>
            <w:r w:rsidRPr="002E333D">
              <w:rPr>
                <w:rFonts w:eastAsia="Times New Roman" w:cs="Times New Roman"/>
                <w:color w:val="000000" w:themeColor="text1"/>
                <w:sz w:val="20"/>
                <w:szCs w:val="20"/>
              </w:rPr>
              <w:t xml:space="preserve">55.168.932.894 </w:t>
            </w:r>
          </w:p>
        </w:tc>
      </w:tr>
      <w:tr w:rsidR="008B35C9" w:rsidRPr="002E333D" w14:paraId="5B4CD706" w14:textId="77777777" w:rsidTr="00B33C03">
        <w:trPr>
          <w:trHeight w:val="300"/>
        </w:trPr>
        <w:tc>
          <w:tcPr>
            <w:tcW w:w="2245" w:type="pct"/>
            <w:vMerge w:val="restart"/>
            <w:tcMar>
              <w:left w:w="70" w:type="dxa"/>
              <w:right w:w="70" w:type="dxa"/>
            </w:tcMar>
            <w:vAlign w:val="center"/>
          </w:tcPr>
          <w:p w14:paraId="5E572DC0" w14:textId="77777777" w:rsidR="008B35C9" w:rsidRPr="002E333D" w:rsidRDefault="008B35C9" w:rsidP="000A5389">
            <w:pPr>
              <w:spacing w:line="240" w:lineRule="auto"/>
              <w:rPr>
                <w:rFonts w:cs="Times New Roman"/>
                <w:sz w:val="20"/>
                <w:szCs w:val="20"/>
              </w:rPr>
            </w:pPr>
            <w:r w:rsidRPr="002E333D">
              <w:rPr>
                <w:rFonts w:eastAsia="Times New Roman" w:cs="Times New Roman"/>
                <w:color w:val="000000" w:themeColor="text1"/>
                <w:sz w:val="20"/>
                <w:szCs w:val="20"/>
              </w:rPr>
              <w:t>Autopistas al Rio Magdalena 2</w:t>
            </w:r>
          </w:p>
        </w:tc>
        <w:tc>
          <w:tcPr>
            <w:tcW w:w="1670" w:type="pct"/>
            <w:tcMar>
              <w:left w:w="70" w:type="dxa"/>
              <w:right w:w="70" w:type="dxa"/>
            </w:tcMar>
            <w:vAlign w:val="center"/>
          </w:tcPr>
          <w:p w14:paraId="5182F571" w14:textId="77777777" w:rsidR="008B35C9" w:rsidRPr="002E333D" w:rsidRDefault="008B35C9" w:rsidP="000A5389">
            <w:pPr>
              <w:spacing w:line="240" w:lineRule="auto"/>
              <w:rPr>
                <w:rFonts w:cs="Times New Roman"/>
                <w:sz w:val="20"/>
                <w:szCs w:val="20"/>
              </w:rPr>
            </w:pPr>
            <w:r w:rsidRPr="002E333D">
              <w:rPr>
                <w:rFonts w:eastAsia="Times New Roman" w:cs="Times New Roman"/>
                <w:color w:val="000000" w:themeColor="text1"/>
                <w:sz w:val="20"/>
                <w:szCs w:val="20"/>
              </w:rPr>
              <w:t>Comercial</w:t>
            </w:r>
          </w:p>
        </w:tc>
        <w:tc>
          <w:tcPr>
            <w:tcW w:w="1085" w:type="pct"/>
            <w:tcMar>
              <w:left w:w="70" w:type="dxa"/>
              <w:right w:w="70" w:type="dxa"/>
            </w:tcMar>
            <w:vAlign w:val="center"/>
          </w:tcPr>
          <w:p w14:paraId="280ECFF6" w14:textId="77777777" w:rsidR="008B35C9" w:rsidRPr="002E333D" w:rsidRDefault="008B35C9" w:rsidP="000A5389">
            <w:pPr>
              <w:spacing w:line="240" w:lineRule="auto"/>
              <w:jc w:val="right"/>
              <w:rPr>
                <w:rFonts w:cs="Times New Roman"/>
                <w:sz w:val="20"/>
                <w:szCs w:val="20"/>
              </w:rPr>
            </w:pPr>
            <w:r w:rsidRPr="002E333D">
              <w:rPr>
                <w:rFonts w:eastAsia="Times New Roman" w:cs="Times New Roman"/>
                <w:color w:val="000000" w:themeColor="text1"/>
                <w:sz w:val="20"/>
                <w:szCs w:val="20"/>
              </w:rPr>
              <w:t xml:space="preserve">266.077.219.463 </w:t>
            </w:r>
          </w:p>
        </w:tc>
      </w:tr>
      <w:tr w:rsidR="008B35C9" w:rsidRPr="002E333D" w14:paraId="54A37881" w14:textId="77777777" w:rsidTr="00B33C03">
        <w:trPr>
          <w:trHeight w:val="300"/>
        </w:trPr>
        <w:tc>
          <w:tcPr>
            <w:tcW w:w="2245" w:type="pct"/>
            <w:vMerge/>
            <w:vAlign w:val="center"/>
          </w:tcPr>
          <w:p w14:paraId="2DE1E609" w14:textId="77777777" w:rsidR="008B35C9" w:rsidRPr="002E333D" w:rsidRDefault="008B35C9" w:rsidP="000A5389">
            <w:pPr>
              <w:spacing w:line="240" w:lineRule="auto"/>
              <w:rPr>
                <w:rFonts w:cs="Times New Roman"/>
                <w:sz w:val="20"/>
                <w:szCs w:val="20"/>
              </w:rPr>
            </w:pPr>
          </w:p>
        </w:tc>
        <w:tc>
          <w:tcPr>
            <w:tcW w:w="1670" w:type="pct"/>
            <w:tcMar>
              <w:left w:w="70" w:type="dxa"/>
              <w:right w:w="70" w:type="dxa"/>
            </w:tcMar>
            <w:vAlign w:val="center"/>
          </w:tcPr>
          <w:p w14:paraId="4E42AD7A" w14:textId="77777777" w:rsidR="008B35C9" w:rsidRPr="002E333D" w:rsidRDefault="008B35C9" w:rsidP="000A5389">
            <w:pPr>
              <w:spacing w:line="240" w:lineRule="auto"/>
              <w:rPr>
                <w:rFonts w:cs="Times New Roman"/>
                <w:sz w:val="20"/>
                <w:szCs w:val="20"/>
              </w:rPr>
            </w:pPr>
            <w:r w:rsidRPr="002E333D">
              <w:rPr>
                <w:rFonts w:eastAsia="Times New Roman" w:cs="Times New Roman"/>
                <w:color w:val="000000" w:themeColor="text1"/>
                <w:sz w:val="20"/>
                <w:szCs w:val="20"/>
              </w:rPr>
              <w:t>Tarifario</w:t>
            </w:r>
          </w:p>
        </w:tc>
        <w:tc>
          <w:tcPr>
            <w:tcW w:w="1085" w:type="pct"/>
            <w:tcMar>
              <w:left w:w="70" w:type="dxa"/>
              <w:right w:w="70" w:type="dxa"/>
            </w:tcMar>
            <w:vAlign w:val="center"/>
          </w:tcPr>
          <w:p w14:paraId="6F0602B9" w14:textId="77777777" w:rsidR="008B35C9" w:rsidRPr="002E333D" w:rsidRDefault="008B35C9" w:rsidP="000A5389">
            <w:pPr>
              <w:spacing w:line="240" w:lineRule="auto"/>
              <w:jc w:val="right"/>
              <w:rPr>
                <w:rFonts w:cs="Times New Roman"/>
                <w:sz w:val="20"/>
                <w:szCs w:val="20"/>
              </w:rPr>
            </w:pPr>
            <w:r w:rsidRPr="002E333D">
              <w:rPr>
                <w:rFonts w:eastAsia="Times New Roman" w:cs="Times New Roman"/>
                <w:color w:val="000000" w:themeColor="text1"/>
                <w:sz w:val="20"/>
                <w:szCs w:val="20"/>
              </w:rPr>
              <w:t xml:space="preserve">9.265.349.500 </w:t>
            </w:r>
          </w:p>
        </w:tc>
      </w:tr>
      <w:tr w:rsidR="008B35C9" w:rsidRPr="002E333D" w14:paraId="3CDA4BB7" w14:textId="77777777" w:rsidTr="00B33C03">
        <w:trPr>
          <w:trHeight w:val="300"/>
        </w:trPr>
        <w:tc>
          <w:tcPr>
            <w:tcW w:w="2245" w:type="pct"/>
            <w:tcMar>
              <w:left w:w="70" w:type="dxa"/>
              <w:right w:w="70" w:type="dxa"/>
            </w:tcMar>
            <w:vAlign w:val="center"/>
          </w:tcPr>
          <w:p w14:paraId="1E52CC19" w14:textId="77777777" w:rsidR="008B35C9" w:rsidRPr="002E333D" w:rsidRDefault="008B35C9" w:rsidP="000A5389">
            <w:pPr>
              <w:spacing w:line="240" w:lineRule="auto"/>
              <w:rPr>
                <w:rFonts w:cs="Times New Roman"/>
                <w:sz w:val="20"/>
                <w:szCs w:val="20"/>
              </w:rPr>
            </w:pPr>
            <w:r w:rsidRPr="002E333D">
              <w:rPr>
                <w:rFonts w:eastAsia="Times New Roman" w:cs="Times New Roman"/>
                <w:color w:val="000000" w:themeColor="text1"/>
                <w:sz w:val="20"/>
                <w:szCs w:val="20"/>
              </w:rPr>
              <w:t>Bosa – Granada – Girardot</w:t>
            </w:r>
          </w:p>
        </w:tc>
        <w:tc>
          <w:tcPr>
            <w:tcW w:w="1670" w:type="pct"/>
            <w:tcMar>
              <w:left w:w="70" w:type="dxa"/>
              <w:right w:w="70" w:type="dxa"/>
            </w:tcMar>
            <w:vAlign w:val="center"/>
          </w:tcPr>
          <w:p w14:paraId="696CAFC0" w14:textId="77777777" w:rsidR="008B35C9" w:rsidRPr="002E333D" w:rsidRDefault="008B35C9" w:rsidP="000A5389">
            <w:pPr>
              <w:spacing w:line="240" w:lineRule="auto"/>
              <w:rPr>
                <w:rFonts w:cs="Times New Roman"/>
                <w:sz w:val="20"/>
                <w:szCs w:val="20"/>
              </w:rPr>
            </w:pPr>
            <w:r w:rsidRPr="002E333D">
              <w:rPr>
                <w:rFonts w:eastAsia="Times New Roman" w:cs="Times New Roman"/>
                <w:color w:val="000000" w:themeColor="text1"/>
                <w:sz w:val="20"/>
                <w:szCs w:val="20"/>
              </w:rPr>
              <w:t>Predial</w:t>
            </w:r>
          </w:p>
        </w:tc>
        <w:tc>
          <w:tcPr>
            <w:tcW w:w="1085" w:type="pct"/>
            <w:tcMar>
              <w:left w:w="70" w:type="dxa"/>
              <w:right w:w="70" w:type="dxa"/>
            </w:tcMar>
            <w:vAlign w:val="center"/>
          </w:tcPr>
          <w:p w14:paraId="099F3C55" w14:textId="77777777" w:rsidR="008B35C9" w:rsidRPr="002E333D" w:rsidRDefault="008B35C9" w:rsidP="000A5389">
            <w:pPr>
              <w:spacing w:line="240" w:lineRule="auto"/>
              <w:jc w:val="right"/>
              <w:rPr>
                <w:rFonts w:cs="Times New Roman"/>
                <w:sz w:val="20"/>
                <w:szCs w:val="20"/>
              </w:rPr>
            </w:pPr>
            <w:r w:rsidRPr="002E333D">
              <w:rPr>
                <w:rFonts w:eastAsia="Times New Roman" w:cs="Times New Roman"/>
                <w:color w:val="000000" w:themeColor="text1"/>
                <w:sz w:val="20"/>
                <w:szCs w:val="20"/>
              </w:rPr>
              <w:t xml:space="preserve">239.405.390 </w:t>
            </w:r>
          </w:p>
        </w:tc>
      </w:tr>
      <w:tr w:rsidR="008B35C9" w:rsidRPr="002E333D" w14:paraId="2C74A8A3" w14:textId="77777777" w:rsidTr="00B33C03">
        <w:trPr>
          <w:trHeight w:val="300"/>
        </w:trPr>
        <w:tc>
          <w:tcPr>
            <w:tcW w:w="2245" w:type="pct"/>
            <w:tcMar>
              <w:left w:w="70" w:type="dxa"/>
              <w:right w:w="70" w:type="dxa"/>
            </w:tcMar>
            <w:vAlign w:val="center"/>
          </w:tcPr>
          <w:p w14:paraId="1D978639" w14:textId="77777777" w:rsidR="008B35C9" w:rsidRPr="002E333D" w:rsidRDefault="008B35C9" w:rsidP="000A5389">
            <w:pPr>
              <w:spacing w:line="240" w:lineRule="auto"/>
              <w:rPr>
                <w:rFonts w:cs="Times New Roman"/>
                <w:sz w:val="20"/>
                <w:szCs w:val="20"/>
              </w:rPr>
            </w:pPr>
            <w:r w:rsidRPr="002E333D">
              <w:rPr>
                <w:rFonts w:eastAsia="Times New Roman" w:cs="Times New Roman"/>
                <w:color w:val="000000" w:themeColor="text1"/>
                <w:sz w:val="20"/>
                <w:szCs w:val="20"/>
              </w:rPr>
              <w:t>Briceño-Tunja-Sogamoso</w:t>
            </w:r>
          </w:p>
        </w:tc>
        <w:tc>
          <w:tcPr>
            <w:tcW w:w="1670" w:type="pct"/>
            <w:tcMar>
              <w:left w:w="70" w:type="dxa"/>
              <w:right w:w="70" w:type="dxa"/>
            </w:tcMar>
            <w:vAlign w:val="center"/>
          </w:tcPr>
          <w:p w14:paraId="5904EAE8" w14:textId="77777777" w:rsidR="008B35C9" w:rsidRPr="002E333D" w:rsidRDefault="008B35C9" w:rsidP="000A5389">
            <w:pPr>
              <w:spacing w:line="240" w:lineRule="auto"/>
              <w:rPr>
                <w:rFonts w:cs="Times New Roman"/>
                <w:sz w:val="20"/>
                <w:szCs w:val="20"/>
              </w:rPr>
            </w:pPr>
            <w:r w:rsidRPr="002E333D">
              <w:rPr>
                <w:rFonts w:eastAsia="Times New Roman" w:cs="Times New Roman"/>
                <w:color w:val="000000" w:themeColor="text1"/>
                <w:sz w:val="20"/>
                <w:szCs w:val="20"/>
              </w:rPr>
              <w:t>Tarifario</w:t>
            </w:r>
          </w:p>
        </w:tc>
        <w:tc>
          <w:tcPr>
            <w:tcW w:w="1085" w:type="pct"/>
            <w:tcMar>
              <w:left w:w="70" w:type="dxa"/>
              <w:right w:w="70" w:type="dxa"/>
            </w:tcMar>
            <w:vAlign w:val="center"/>
          </w:tcPr>
          <w:p w14:paraId="2CB4BAF2" w14:textId="77777777" w:rsidR="008B35C9" w:rsidRPr="002E333D" w:rsidRDefault="008B35C9" w:rsidP="000A5389">
            <w:pPr>
              <w:spacing w:line="240" w:lineRule="auto"/>
              <w:jc w:val="right"/>
              <w:rPr>
                <w:rFonts w:cs="Times New Roman"/>
                <w:sz w:val="20"/>
                <w:szCs w:val="20"/>
              </w:rPr>
            </w:pPr>
            <w:r w:rsidRPr="002E333D">
              <w:rPr>
                <w:rFonts w:eastAsia="Times New Roman" w:cs="Times New Roman"/>
                <w:color w:val="000000" w:themeColor="text1"/>
                <w:sz w:val="20"/>
                <w:szCs w:val="20"/>
              </w:rPr>
              <w:t xml:space="preserve">8.980.641.200 </w:t>
            </w:r>
          </w:p>
        </w:tc>
      </w:tr>
      <w:tr w:rsidR="008B35C9" w:rsidRPr="002E333D" w14:paraId="593E8635" w14:textId="77777777" w:rsidTr="00B33C03">
        <w:trPr>
          <w:trHeight w:val="300"/>
        </w:trPr>
        <w:tc>
          <w:tcPr>
            <w:tcW w:w="2245" w:type="pct"/>
            <w:tcMar>
              <w:left w:w="70" w:type="dxa"/>
              <w:right w:w="70" w:type="dxa"/>
            </w:tcMar>
            <w:vAlign w:val="center"/>
          </w:tcPr>
          <w:p w14:paraId="12763D13" w14:textId="77777777" w:rsidR="008B35C9" w:rsidRPr="002E333D" w:rsidRDefault="008B35C9" w:rsidP="000A5389">
            <w:pPr>
              <w:spacing w:line="240" w:lineRule="auto"/>
              <w:rPr>
                <w:rFonts w:cs="Times New Roman"/>
                <w:sz w:val="20"/>
                <w:szCs w:val="20"/>
              </w:rPr>
            </w:pPr>
            <w:r w:rsidRPr="002E333D">
              <w:rPr>
                <w:rFonts w:eastAsia="Times New Roman" w:cs="Times New Roman"/>
                <w:color w:val="000000" w:themeColor="text1"/>
                <w:sz w:val="20"/>
                <w:szCs w:val="20"/>
              </w:rPr>
              <w:t>Chirajara-Intersección Fundadores / Bogotá Villavicencio</w:t>
            </w:r>
          </w:p>
        </w:tc>
        <w:tc>
          <w:tcPr>
            <w:tcW w:w="1670" w:type="pct"/>
            <w:tcMar>
              <w:left w:w="70" w:type="dxa"/>
              <w:right w:w="70" w:type="dxa"/>
            </w:tcMar>
            <w:vAlign w:val="center"/>
          </w:tcPr>
          <w:p w14:paraId="5D11BCCB" w14:textId="77777777" w:rsidR="008B35C9" w:rsidRPr="002E333D" w:rsidRDefault="008B35C9" w:rsidP="000A5389">
            <w:pPr>
              <w:spacing w:line="240" w:lineRule="auto"/>
              <w:rPr>
                <w:rFonts w:cs="Times New Roman"/>
                <w:sz w:val="20"/>
                <w:szCs w:val="20"/>
              </w:rPr>
            </w:pPr>
            <w:r w:rsidRPr="002E333D">
              <w:rPr>
                <w:rFonts w:eastAsia="Times New Roman" w:cs="Times New Roman"/>
                <w:color w:val="000000" w:themeColor="text1"/>
                <w:sz w:val="20"/>
                <w:szCs w:val="20"/>
              </w:rPr>
              <w:t>Predial</w:t>
            </w:r>
          </w:p>
        </w:tc>
        <w:tc>
          <w:tcPr>
            <w:tcW w:w="1085" w:type="pct"/>
            <w:tcMar>
              <w:left w:w="70" w:type="dxa"/>
              <w:right w:w="70" w:type="dxa"/>
            </w:tcMar>
            <w:vAlign w:val="center"/>
          </w:tcPr>
          <w:p w14:paraId="0C84AF1C" w14:textId="77777777" w:rsidR="008B35C9" w:rsidRPr="002E333D" w:rsidRDefault="008B35C9" w:rsidP="000A5389">
            <w:pPr>
              <w:spacing w:line="240" w:lineRule="auto"/>
              <w:jc w:val="right"/>
              <w:rPr>
                <w:rFonts w:cs="Times New Roman"/>
                <w:sz w:val="20"/>
                <w:szCs w:val="20"/>
              </w:rPr>
            </w:pPr>
            <w:r w:rsidRPr="002E333D">
              <w:rPr>
                <w:rFonts w:eastAsia="Times New Roman" w:cs="Times New Roman"/>
                <w:color w:val="000000" w:themeColor="text1"/>
                <w:sz w:val="20"/>
                <w:szCs w:val="20"/>
              </w:rPr>
              <w:t xml:space="preserve">1.203.941.995 </w:t>
            </w:r>
          </w:p>
        </w:tc>
      </w:tr>
      <w:tr w:rsidR="008B35C9" w:rsidRPr="002E333D" w14:paraId="4657DE02" w14:textId="77777777" w:rsidTr="00B33C03">
        <w:trPr>
          <w:trHeight w:val="300"/>
        </w:trPr>
        <w:tc>
          <w:tcPr>
            <w:tcW w:w="2245" w:type="pct"/>
            <w:tcMar>
              <w:left w:w="70" w:type="dxa"/>
              <w:right w:w="70" w:type="dxa"/>
            </w:tcMar>
            <w:vAlign w:val="center"/>
          </w:tcPr>
          <w:p w14:paraId="4EAF9291" w14:textId="77777777" w:rsidR="008B35C9" w:rsidRPr="002E333D" w:rsidRDefault="008B35C9" w:rsidP="000A5389">
            <w:pPr>
              <w:spacing w:line="240" w:lineRule="auto"/>
              <w:rPr>
                <w:rFonts w:cs="Times New Roman"/>
                <w:sz w:val="20"/>
                <w:szCs w:val="20"/>
              </w:rPr>
            </w:pPr>
            <w:r w:rsidRPr="002E333D">
              <w:rPr>
                <w:rFonts w:eastAsia="Times New Roman" w:cs="Times New Roman"/>
                <w:color w:val="000000" w:themeColor="text1"/>
                <w:sz w:val="20"/>
                <w:szCs w:val="20"/>
              </w:rPr>
              <w:t>Concesión Costera Cartagena - Barranquilla S.A.S</w:t>
            </w:r>
          </w:p>
        </w:tc>
        <w:tc>
          <w:tcPr>
            <w:tcW w:w="1670" w:type="pct"/>
            <w:tcMar>
              <w:left w:w="70" w:type="dxa"/>
              <w:right w:w="70" w:type="dxa"/>
            </w:tcMar>
            <w:vAlign w:val="center"/>
          </w:tcPr>
          <w:p w14:paraId="4096B36C" w14:textId="77777777" w:rsidR="008B35C9" w:rsidRPr="002E333D" w:rsidRDefault="008B35C9" w:rsidP="000A5389">
            <w:pPr>
              <w:spacing w:line="240" w:lineRule="auto"/>
              <w:rPr>
                <w:rFonts w:cs="Times New Roman"/>
                <w:sz w:val="20"/>
                <w:szCs w:val="20"/>
              </w:rPr>
            </w:pPr>
            <w:r w:rsidRPr="002E333D">
              <w:rPr>
                <w:rFonts w:eastAsia="Times New Roman" w:cs="Times New Roman"/>
                <w:color w:val="000000" w:themeColor="text1"/>
                <w:sz w:val="20"/>
                <w:szCs w:val="20"/>
              </w:rPr>
              <w:t>Tarifario</w:t>
            </w:r>
          </w:p>
        </w:tc>
        <w:tc>
          <w:tcPr>
            <w:tcW w:w="1085" w:type="pct"/>
            <w:tcMar>
              <w:left w:w="70" w:type="dxa"/>
              <w:right w:w="70" w:type="dxa"/>
            </w:tcMar>
            <w:vAlign w:val="center"/>
          </w:tcPr>
          <w:p w14:paraId="706DFB8A" w14:textId="77777777" w:rsidR="008B35C9" w:rsidRPr="002E333D" w:rsidRDefault="008B35C9" w:rsidP="000A5389">
            <w:pPr>
              <w:spacing w:line="240" w:lineRule="auto"/>
              <w:jc w:val="right"/>
              <w:rPr>
                <w:rFonts w:cs="Times New Roman"/>
                <w:sz w:val="20"/>
                <w:szCs w:val="20"/>
              </w:rPr>
            </w:pPr>
            <w:r w:rsidRPr="002E333D">
              <w:rPr>
                <w:rFonts w:eastAsia="Times New Roman" w:cs="Times New Roman"/>
                <w:color w:val="000000" w:themeColor="text1"/>
                <w:sz w:val="20"/>
                <w:szCs w:val="20"/>
              </w:rPr>
              <w:t xml:space="preserve">68.492.774.400 </w:t>
            </w:r>
          </w:p>
        </w:tc>
      </w:tr>
      <w:tr w:rsidR="008B35C9" w:rsidRPr="002E333D" w14:paraId="09852E3C" w14:textId="77777777" w:rsidTr="00B33C03">
        <w:trPr>
          <w:trHeight w:val="300"/>
        </w:trPr>
        <w:tc>
          <w:tcPr>
            <w:tcW w:w="2245" w:type="pct"/>
            <w:tcMar>
              <w:left w:w="70" w:type="dxa"/>
              <w:right w:w="70" w:type="dxa"/>
            </w:tcMar>
            <w:vAlign w:val="center"/>
          </w:tcPr>
          <w:p w14:paraId="33ECDCC0" w14:textId="77777777" w:rsidR="008B35C9" w:rsidRPr="002E333D" w:rsidRDefault="008B35C9" w:rsidP="000A5389">
            <w:pPr>
              <w:spacing w:line="240" w:lineRule="auto"/>
              <w:rPr>
                <w:rFonts w:cs="Times New Roman"/>
                <w:sz w:val="20"/>
                <w:szCs w:val="20"/>
              </w:rPr>
            </w:pPr>
            <w:r w:rsidRPr="002E333D">
              <w:rPr>
                <w:rFonts w:eastAsia="Times New Roman" w:cs="Times New Roman"/>
                <w:color w:val="000000" w:themeColor="text1"/>
                <w:sz w:val="20"/>
                <w:szCs w:val="20"/>
              </w:rPr>
              <w:t>Cordoba - Sucre</w:t>
            </w:r>
          </w:p>
        </w:tc>
        <w:tc>
          <w:tcPr>
            <w:tcW w:w="1670" w:type="pct"/>
            <w:tcMar>
              <w:left w:w="70" w:type="dxa"/>
              <w:right w:w="70" w:type="dxa"/>
            </w:tcMar>
            <w:vAlign w:val="center"/>
          </w:tcPr>
          <w:p w14:paraId="20DD8C6A" w14:textId="77777777" w:rsidR="008B35C9" w:rsidRPr="002E333D" w:rsidRDefault="008B35C9" w:rsidP="000A5389">
            <w:pPr>
              <w:spacing w:line="240" w:lineRule="auto"/>
              <w:rPr>
                <w:rFonts w:cs="Times New Roman"/>
                <w:sz w:val="20"/>
                <w:szCs w:val="20"/>
              </w:rPr>
            </w:pPr>
            <w:r w:rsidRPr="002E333D">
              <w:rPr>
                <w:rFonts w:eastAsia="Times New Roman" w:cs="Times New Roman"/>
                <w:color w:val="000000" w:themeColor="text1"/>
                <w:sz w:val="20"/>
                <w:szCs w:val="20"/>
              </w:rPr>
              <w:t>Predial</w:t>
            </w:r>
          </w:p>
        </w:tc>
        <w:tc>
          <w:tcPr>
            <w:tcW w:w="1085" w:type="pct"/>
            <w:tcMar>
              <w:left w:w="70" w:type="dxa"/>
              <w:right w:w="70" w:type="dxa"/>
            </w:tcMar>
            <w:vAlign w:val="center"/>
          </w:tcPr>
          <w:p w14:paraId="6E60901A" w14:textId="77777777" w:rsidR="008B35C9" w:rsidRPr="002E333D" w:rsidRDefault="008B35C9" w:rsidP="000A5389">
            <w:pPr>
              <w:spacing w:line="240" w:lineRule="auto"/>
              <w:jc w:val="right"/>
              <w:rPr>
                <w:rFonts w:cs="Times New Roman"/>
                <w:sz w:val="20"/>
                <w:szCs w:val="20"/>
              </w:rPr>
            </w:pPr>
            <w:r w:rsidRPr="002E333D">
              <w:rPr>
                <w:rFonts w:eastAsia="Times New Roman" w:cs="Times New Roman"/>
                <w:color w:val="000000" w:themeColor="text1"/>
                <w:sz w:val="20"/>
                <w:szCs w:val="20"/>
              </w:rPr>
              <w:t xml:space="preserve">620.179.247 </w:t>
            </w:r>
          </w:p>
        </w:tc>
      </w:tr>
      <w:tr w:rsidR="008B35C9" w:rsidRPr="002E333D" w14:paraId="06379BB2" w14:textId="77777777" w:rsidTr="00B33C03">
        <w:trPr>
          <w:trHeight w:val="300"/>
        </w:trPr>
        <w:tc>
          <w:tcPr>
            <w:tcW w:w="2245" w:type="pct"/>
            <w:tcMar>
              <w:left w:w="70" w:type="dxa"/>
              <w:right w:w="70" w:type="dxa"/>
            </w:tcMar>
            <w:vAlign w:val="center"/>
          </w:tcPr>
          <w:p w14:paraId="554B5FC7" w14:textId="77777777" w:rsidR="008B35C9" w:rsidRPr="002E333D" w:rsidRDefault="008B35C9" w:rsidP="000A5389">
            <w:pPr>
              <w:spacing w:line="240" w:lineRule="auto"/>
              <w:rPr>
                <w:rFonts w:cs="Times New Roman"/>
                <w:sz w:val="20"/>
                <w:szCs w:val="20"/>
              </w:rPr>
            </w:pPr>
            <w:r w:rsidRPr="002E333D">
              <w:rPr>
                <w:rFonts w:eastAsia="Times New Roman" w:cs="Times New Roman"/>
                <w:color w:val="000000" w:themeColor="text1"/>
                <w:sz w:val="20"/>
                <w:szCs w:val="20"/>
              </w:rPr>
              <w:t>Honda-Puerto Salgar-Girardot</w:t>
            </w:r>
          </w:p>
        </w:tc>
        <w:tc>
          <w:tcPr>
            <w:tcW w:w="1670" w:type="pct"/>
            <w:tcMar>
              <w:left w:w="70" w:type="dxa"/>
              <w:right w:w="70" w:type="dxa"/>
            </w:tcMar>
            <w:vAlign w:val="center"/>
          </w:tcPr>
          <w:p w14:paraId="47A64709" w14:textId="77777777" w:rsidR="008B35C9" w:rsidRPr="002E333D" w:rsidRDefault="008B35C9" w:rsidP="000A5389">
            <w:pPr>
              <w:spacing w:line="240" w:lineRule="auto"/>
              <w:rPr>
                <w:rFonts w:cs="Times New Roman"/>
                <w:sz w:val="20"/>
                <w:szCs w:val="20"/>
              </w:rPr>
            </w:pPr>
            <w:r w:rsidRPr="002E333D">
              <w:rPr>
                <w:rFonts w:eastAsia="Times New Roman" w:cs="Times New Roman"/>
                <w:color w:val="000000" w:themeColor="text1"/>
                <w:sz w:val="20"/>
                <w:szCs w:val="20"/>
              </w:rPr>
              <w:t>Tarifario</w:t>
            </w:r>
          </w:p>
        </w:tc>
        <w:tc>
          <w:tcPr>
            <w:tcW w:w="1085" w:type="pct"/>
            <w:tcMar>
              <w:left w:w="70" w:type="dxa"/>
              <w:right w:w="70" w:type="dxa"/>
            </w:tcMar>
            <w:vAlign w:val="center"/>
          </w:tcPr>
          <w:p w14:paraId="50FFF3C5" w14:textId="77777777" w:rsidR="008B35C9" w:rsidRPr="002E333D" w:rsidRDefault="008B35C9" w:rsidP="000A5389">
            <w:pPr>
              <w:spacing w:line="240" w:lineRule="auto"/>
              <w:jc w:val="right"/>
              <w:rPr>
                <w:rFonts w:cs="Times New Roman"/>
                <w:sz w:val="20"/>
                <w:szCs w:val="20"/>
              </w:rPr>
            </w:pPr>
            <w:r w:rsidRPr="002E333D">
              <w:rPr>
                <w:rFonts w:eastAsia="Times New Roman" w:cs="Times New Roman"/>
                <w:color w:val="000000" w:themeColor="text1"/>
                <w:sz w:val="20"/>
                <w:szCs w:val="20"/>
              </w:rPr>
              <w:t xml:space="preserve">1.342.196.600 </w:t>
            </w:r>
          </w:p>
        </w:tc>
      </w:tr>
      <w:tr w:rsidR="008B35C9" w:rsidRPr="002E333D" w14:paraId="24DEB3D7" w14:textId="77777777" w:rsidTr="00B33C03">
        <w:trPr>
          <w:trHeight w:val="300"/>
        </w:trPr>
        <w:tc>
          <w:tcPr>
            <w:tcW w:w="2245" w:type="pct"/>
            <w:tcMar>
              <w:left w:w="70" w:type="dxa"/>
              <w:right w:w="70" w:type="dxa"/>
            </w:tcMar>
            <w:vAlign w:val="center"/>
          </w:tcPr>
          <w:p w14:paraId="1E5CA7F3" w14:textId="77777777" w:rsidR="008B35C9" w:rsidRPr="002E333D" w:rsidRDefault="008B35C9" w:rsidP="000A5389">
            <w:pPr>
              <w:spacing w:line="240" w:lineRule="auto"/>
              <w:rPr>
                <w:rFonts w:cs="Times New Roman"/>
                <w:sz w:val="20"/>
                <w:szCs w:val="20"/>
              </w:rPr>
            </w:pPr>
            <w:r w:rsidRPr="002E333D">
              <w:rPr>
                <w:rFonts w:eastAsia="Times New Roman" w:cs="Times New Roman"/>
                <w:color w:val="000000" w:themeColor="text1"/>
                <w:sz w:val="20"/>
                <w:szCs w:val="20"/>
              </w:rPr>
              <w:t>Nueva Malla Vial del Valle del Cauca – Corredor Ac</w:t>
            </w:r>
          </w:p>
        </w:tc>
        <w:tc>
          <w:tcPr>
            <w:tcW w:w="1670" w:type="pct"/>
            <w:tcMar>
              <w:left w:w="70" w:type="dxa"/>
              <w:right w:w="70" w:type="dxa"/>
            </w:tcMar>
            <w:vAlign w:val="center"/>
          </w:tcPr>
          <w:p w14:paraId="63A3D62A" w14:textId="77777777" w:rsidR="008B35C9" w:rsidRPr="002E333D" w:rsidRDefault="008B35C9" w:rsidP="000A5389">
            <w:pPr>
              <w:spacing w:line="240" w:lineRule="auto"/>
              <w:rPr>
                <w:rFonts w:cs="Times New Roman"/>
                <w:sz w:val="20"/>
                <w:szCs w:val="20"/>
              </w:rPr>
            </w:pPr>
            <w:r w:rsidRPr="002E333D">
              <w:rPr>
                <w:rFonts w:eastAsia="Times New Roman" w:cs="Times New Roman"/>
                <w:color w:val="000000" w:themeColor="text1"/>
                <w:sz w:val="20"/>
                <w:szCs w:val="20"/>
              </w:rPr>
              <w:t>Tarifario</w:t>
            </w:r>
          </w:p>
        </w:tc>
        <w:tc>
          <w:tcPr>
            <w:tcW w:w="1085" w:type="pct"/>
            <w:tcMar>
              <w:left w:w="70" w:type="dxa"/>
              <w:right w:w="70" w:type="dxa"/>
            </w:tcMar>
            <w:vAlign w:val="center"/>
          </w:tcPr>
          <w:p w14:paraId="1F5BEEA3" w14:textId="77777777" w:rsidR="008B35C9" w:rsidRPr="002E333D" w:rsidRDefault="008B35C9" w:rsidP="000A5389">
            <w:pPr>
              <w:spacing w:line="240" w:lineRule="auto"/>
              <w:jc w:val="right"/>
              <w:rPr>
                <w:rFonts w:cs="Times New Roman"/>
                <w:sz w:val="20"/>
                <w:szCs w:val="20"/>
              </w:rPr>
            </w:pPr>
            <w:r w:rsidRPr="002E333D">
              <w:rPr>
                <w:rFonts w:eastAsia="Times New Roman" w:cs="Times New Roman"/>
                <w:color w:val="000000" w:themeColor="text1"/>
                <w:sz w:val="20"/>
                <w:szCs w:val="20"/>
              </w:rPr>
              <w:t xml:space="preserve">12.687.630.200 </w:t>
            </w:r>
          </w:p>
        </w:tc>
      </w:tr>
      <w:tr w:rsidR="008B35C9" w:rsidRPr="002E333D" w14:paraId="21B5CEBE" w14:textId="77777777" w:rsidTr="00B33C03">
        <w:trPr>
          <w:trHeight w:val="300"/>
        </w:trPr>
        <w:tc>
          <w:tcPr>
            <w:tcW w:w="2245" w:type="pct"/>
            <w:vMerge w:val="restart"/>
            <w:tcMar>
              <w:left w:w="70" w:type="dxa"/>
              <w:right w:w="70" w:type="dxa"/>
            </w:tcMar>
            <w:vAlign w:val="center"/>
          </w:tcPr>
          <w:p w14:paraId="0EA603AB" w14:textId="77777777" w:rsidR="008B35C9" w:rsidRPr="002E333D" w:rsidRDefault="008B35C9" w:rsidP="000A5389">
            <w:pPr>
              <w:spacing w:line="240" w:lineRule="auto"/>
              <w:rPr>
                <w:rFonts w:cs="Times New Roman"/>
                <w:sz w:val="20"/>
                <w:szCs w:val="20"/>
              </w:rPr>
            </w:pPr>
            <w:r w:rsidRPr="002E333D">
              <w:rPr>
                <w:rFonts w:eastAsia="Times New Roman" w:cs="Times New Roman"/>
                <w:color w:val="000000" w:themeColor="text1"/>
                <w:sz w:val="20"/>
                <w:szCs w:val="20"/>
              </w:rPr>
              <w:t>Pamplona - Cucuta</w:t>
            </w:r>
          </w:p>
        </w:tc>
        <w:tc>
          <w:tcPr>
            <w:tcW w:w="1670" w:type="pct"/>
            <w:tcMar>
              <w:left w:w="70" w:type="dxa"/>
              <w:right w:w="70" w:type="dxa"/>
            </w:tcMar>
            <w:vAlign w:val="center"/>
          </w:tcPr>
          <w:p w14:paraId="11E77251" w14:textId="77777777" w:rsidR="008B35C9" w:rsidRPr="002E333D" w:rsidRDefault="008B35C9" w:rsidP="000A5389">
            <w:pPr>
              <w:spacing w:line="240" w:lineRule="auto"/>
              <w:rPr>
                <w:rFonts w:cs="Times New Roman"/>
                <w:sz w:val="20"/>
                <w:szCs w:val="20"/>
              </w:rPr>
            </w:pPr>
            <w:r w:rsidRPr="002E333D">
              <w:rPr>
                <w:rFonts w:eastAsia="Times New Roman" w:cs="Times New Roman"/>
                <w:color w:val="000000" w:themeColor="text1"/>
                <w:sz w:val="20"/>
                <w:szCs w:val="20"/>
              </w:rPr>
              <w:t>Comercial</w:t>
            </w:r>
          </w:p>
        </w:tc>
        <w:tc>
          <w:tcPr>
            <w:tcW w:w="1085" w:type="pct"/>
            <w:tcMar>
              <w:left w:w="70" w:type="dxa"/>
              <w:right w:w="70" w:type="dxa"/>
            </w:tcMar>
            <w:vAlign w:val="center"/>
          </w:tcPr>
          <w:p w14:paraId="771953EE" w14:textId="77777777" w:rsidR="008B35C9" w:rsidRPr="002E333D" w:rsidRDefault="008B35C9" w:rsidP="000A5389">
            <w:pPr>
              <w:spacing w:line="240" w:lineRule="auto"/>
              <w:jc w:val="right"/>
              <w:rPr>
                <w:rFonts w:cs="Times New Roman"/>
                <w:sz w:val="20"/>
                <w:szCs w:val="20"/>
              </w:rPr>
            </w:pPr>
            <w:r w:rsidRPr="002E333D">
              <w:rPr>
                <w:rFonts w:eastAsia="Times New Roman" w:cs="Times New Roman"/>
                <w:color w:val="000000" w:themeColor="text1"/>
                <w:sz w:val="20"/>
                <w:szCs w:val="20"/>
              </w:rPr>
              <w:t xml:space="preserve">102.698.629.165 </w:t>
            </w:r>
          </w:p>
        </w:tc>
      </w:tr>
      <w:tr w:rsidR="008B35C9" w:rsidRPr="002E333D" w14:paraId="44DF112C" w14:textId="77777777" w:rsidTr="00B33C03">
        <w:trPr>
          <w:trHeight w:val="300"/>
        </w:trPr>
        <w:tc>
          <w:tcPr>
            <w:tcW w:w="2245" w:type="pct"/>
            <w:vMerge/>
            <w:vAlign w:val="center"/>
          </w:tcPr>
          <w:p w14:paraId="56C91D79" w14:textId="77777777" w:rsidR="008B35C9" w:rsidRPr="002E333D" w:rsidRDefault="008B35C9" w:rsidP="000A5389">
            <w:pPr>
              <w:spacing w:line="240" w:lineRule="auto"/>
              <w:rPr>
                <w:rFonts w:cs="Times New Roman"/>
                <w:sz w:val="20"/>
                <w:szCs w:val="20"/>
              </w:rPr>
            </w:pPr>
          </w:p>
        </w:tc>
        <w:tc>
          <w:tcPr>
            <w:tcW w:w="1670" w:type="pct"/>
            <w:tcMar>
              <w:left w:w="70" w:type="dxa"/>
              <w:right w:w="70" w:type="dxa"/>
            </w:tcMar>
            <w:vAlign w:val="center"/>
          </w:tcPr>
          <w:p w14:paraId="7C7C8B9C" w14:textId="77777777" w:rsidR="008B35C9" w:rsidRPr="002E333D" w:rsidRDefault="008B35C9" w:rsidP="000A5389">
            <w:pPr>
              <w:spacing w:line="240" w:lineRule="auto"/>
              <w:rPr>
                <w:rFonts w:cs="Times New Roman"/>
                <w:sz w:val="20"/>
                <w:szCs w:val="20"/>
              </w:rPr>
            </w:pPr>
            <w:r w:rsidRPr="002E333D">
              <w:rPr>
                <w:rFonts w:eastAsia="Times New Roman" w:cs="Times New Roman"/>
                <w:color w:val="000000" w:themeColor="text1"/>
                <w:sz w:val="20"/>
                <w:szCs w:val="20"/>
              </w:rPr>
              <w:t>No instalación de peajes</w:t>
            </w:r>
          </w:p>
        </w:tc>
        <w:tc>
          <w:tcPr>
            <w:tcW w:w="1085" w:type="pct"/>
            <w:tcMar>
              <w:left w:w="70" w:type="dxa"/>
              <w:right w:w="70" w:type="dxa"/>
            </w:tcMar>
            <w:vAlign w:val="center"/>
          </w:tcPr>
          <w:p w14:paraId="5104EC03" w14:textId="77777777" w:rsidR="008B35C9" w:rsidRPr="002E333D" w:rsidRDefault="008B35C9" w:rsidP="000A5389">
            <w:pPr>
              <w:spacing w:line="240" w:lineRule="auto"/>
              <w:jc w:val="right"/>
              <w:rPr>
                <w:rFonts w:cs="Times New Roman"/>
                <w:sz w:val="20"/>
                <w:szCs w:val="20"/>
              </w:rPr>
            </w:pPr>
            <w:r w:rsidRPr="002E333D">
              <w:rPr>
                <w:rFonts w:eastAsia="Times New Roman" w:cs="Times New Roman"/>
                <w:color w:val="000000" w:themeColor="text1"/>
                <w:sz w:val="20"/>
                <w:szCs w:val="20"/>
              </w:rPr>
              <w:t xml:space="preserve">12.430.432.620 </w:t>
            </w:r>
          </w:p>
        </w:tc>
      </w:tr>
      <w:tr w:rsidR="008B35C9" w:rsidRPr="002E333D" w14:paraId="54DEE597" w14:textId="77777777" w:rsidTr="00B33C03">
        <w:trPr>
          <w:trHeight w:val="300"/>
        </w:trPr>
        <w:tc>
          <w:tcPr>
            <w:tcW w:w="2245" w:type="pct"/>
            <w:vMerge/>
            <w:vAlign w:val="center"/>
          </w:tcPr>
          <w:p w14:paraId="3CA295E8" w14:textId="77777777" w:rsidR="008B35C9" w:rsidRPr="002E333D" w:rsidRDefault="008B35C9" w:rsidP="000A5389">
            <w:pPr>
              <w:spacing w:line="240" w:lineRule="auto"/>
              <w:rPr>
                <w:rFonts w:cs="Times New Roman"/>
                <w:sz w:val="20"/>
                <w:szCs w:val="20"/>
              </w:rPr>
            </w:pPr>
          </w:p>
        </w:tc>
        <w:tc>
          <w:tcPr>
            <w:tcW w:w="1670" w:type="pct"/>
            <w:tcMar>
              <w:left w:w="70" w:type="dxa"/>
              <w:right w:w="70" w:type="dxa"/>
            </w:tcMar>
            <w:vAlign w:val="center"/>
          </w:tcPr>
          <w:p w14:paraId="445DC5B7" w14:textId="77777777" w:rsidR="008B35C9" w:rsidRPr="002E333D" w:rsidRDefault="008B35C9" w:rsidP="000A5389">
            <w:pPr>
              <w:spacing w:line="240" w:lineRule="auto"/>
              <w:rPr>
                <w:rFonts w:cs="Times New Roman"/>
                <w:sz w:val="20"/>
                <w:szCs w:val="20"/>
              </w:rPr>
            </w:pPr>
            <w:r w:rsidRPr="002E333D">
              <w:rPr>
                <w:rFonts w:eastAsia="Times New Roman" w:cs="Times New Roman"/>
                <w:color w:val="000000" w:themeColor="text1"/>
                <w:sz w:val="20"/>
                <w:szCs w:val="20"/>
              </w:rPr>
              <w:t>Redes</w:t>
            </w:r>
          </w:p>
        </w:tc>
        <w:tc>
          <w:tcPr>
            <w:tcW w:w="1085" w:type="pct"/>
            <w:tcMar>
              <w:left w:w="70" w:type="dxa"/>
              <w:right w:w="70" w:type="dxa"/>
            </w:tcMar>
            <w:vAlign w:val="center"/>
          </w:tcPr>
          <w:p w14:paraId="5C76CE8D" w14:textId="77777777" w:rsidR="008B35C9" w:rsidRPr="002E333D" w:rsidRDefault="008B35C9" w:rsidP="000A5389">
            <w:pPr>
              <w:spacing w:line="240" w:lineRule="auto"/>
              <w:jc w:val="right"/>
              <w:rPr>
                <w:rFonts w:cs="Times New Roman"/>
                <w:sz w:val="20"/>
                <w:szCs w:val="20"/>
              </w:rPr>
            </w:pPr>
            <w:r w:rsidRPr="002E333D">
              <w:rPr>
                <w:rFonts w:eastAsia="Times New Roman" w:cs="Times New Roman"/>
                <w:color w:val="000000" w:themeColor="text1"/>
                <w:sz w:val="20"/>
                <w:szCs w:val="20"/>
              </w:rPr>
              <w:t xml:space="preserve">1.141.341.384 </w:t>
            </w:r>
          </w:p>
        </w:tc>
      </w:tr>
      <w:tr w:rsidR="008B35C9" w:rsidRPr="002E333D" w14:paraId="5280EFDD" w14:textId="77777777" w:rsidTr="00B33C03">
        <w:trPr>
          <w:trHeight w:val="300"/>
        </w:trPr>
        <w:tc>
          <w:tcPr>
            <w:tcW w:w="2245" w:type="pct"/>
            <w:vMerge w:val="restart"/>
            <w:tcMar>
              <w:left w:w="70" w:type="dxa"/>
              <w:right w:w="70" w:type="dxa"/>
            </w:tcMar>
            <w:vAlign w:val="center"/>
          </w:tcPr>
          <w:p w14:paraId="061AC10E" w14:textId="77777777" w:rsidR="008B35C9" w:rsidRPr="002E333D" w:rsidRDefault="008B35C9" w:rsidP="000A5389">
            <w:pPr>
              <w:spacing w:line="240" w:lineRule="auto"/>
              <w:rPr>
                <w:rFonts w:cs="Times New Roman"/>
                <w:sz w:val="20"/>
                <w:szCs w:val="20"/>
              </w:rPr>
            </w:pPr>
            <w:r w:rsidRPr="002E333D">
              <w:rPr>
                <w:rFonts w:eastAsia="Times New Roman" w:cs="Times New Roman"/>
                <w:color w:val="000000" w:themeColor="text1"/>
                <w:sz w:val="20"/>
                <w:szCs w:val="20"/>
              </w:rPr>
              <w:t>Puerta de Hierro Cruz del Viso</w:t>
            </w:r>
          </w:p>
        </w:tc>
        <w:tc>
          <w:tcPr>
            <w:tcW w:w="1670" w:type="pct"/>
            <w:tcMar>
              <w:left w:w="70" w:type="dxa"/>
              <w:right w:w="70" w:type="dxa"/>
            </w:tcMar>
            <w:vAlign w:val="center"/>
          </w:tcPr>
          <w:p w14:paraId="4B6CD87A" w14:textId="77777777" w:rsidR="008B35C9" w:rsidRPr="002E333D" w:rsidRDefault="008B35C9" w:rsidP="000A5389">
            <w:pPr>
              <w:spacing w:line="240" w:lineRule="auto"/>
              <w:rPr>
                <w:rFonts w:cs="Times New Roman"/>
                <w:sz w:val="20"/>
                <w:szCs w:val="20"/>
              </w:rPr>
            </w:pPr>
            <w:r w:rsidRPr="002E333D">
              <w:rPr>
                <w:rFonts w:eastAsia="Times New Roman" w:cs="Times New Roman"/>
                <w:color w:val="000000" w:themeColor="text1"/>
                <w:sz w:val="20"/>
                <w:szCs w:val="20"/>
              </w:rPr>
              <w:t>Ambiental</w:t>
            </w:r>
          </w:p>
        </w:tc>
        <w:tc>
          <w:tcPr>
            <w:tcW w:w="1085" w:type="pct"/>
            <w:tcMar>
              <w:left w:w="70" w:type="dxa"/>
              <w:right w:w="70" w:type="dxa"/>
            </w:tcMar>
            <w:vAlign w:val="center"/>
          </w:tcPr>
          <w:p w14:paraId="29B9A879" w14:textId="77777777" w:rsidR="008B35C9" w:rsidRPr="002E333D" w:rsidRDefault="008B35C9" w:rsidP="000A5389">
            <w:pPr>
              <w:spacing w:line="240" w:lineRule="auto"/>
              <w:jc w:val="right"/>
              <w:rPr>
                <w:rFonts w:cs="Times New Roman"/>
                <w:sz w:val="20"/>
                <w:szCs w:val="20"/>
              </w:rPr>
            </w:pPr>
            <w:r w:rsidRPr="002E333D">
              <w:rPr>
                <w:rFonts w:eastAsia="Times New Roman" w:cs="Times New Roman"/>
                <w:color w:val="000000" w:themeColor="text1"/>
                <w:sz w:val="20"/>
                <w:szCs w:val="20"/>
              </w:rPr>
              <w:t xml:space="preserve">1.600.541.829 </w:t>
            </w:r>
          </w:p>
        </w:tc>
      </w:tr>
      <w:tr w:rsidR="008B35C9" w:rsidRPr="002E333D" w14:paraId="008FB419" w14:textId="77777777" w:rsidTr="00B33C03">
        <w:trPr>
          <w:trHeight w:val="300"/>
        </w:trPr>
        <w:tc>
          <w:tcPr>
            <w:tcW w:w="2245" w:type="pct"/>
            <w:vMerge/>
            <w:vAlign w:val="center"/>
          </w:tcPr>
          <w:p w14:paraId="377EDD2F" w14:textId="77777777" w:rsidR="008B35C9" w:rsidRPr="002E333D" w:rsidRDefault="008B35C9" w:rsidP="000A5389">
            <w:pPr>
              <w:spacing w:line="240" w:lineRule="auto"/>
              <w:rPr>
                <w:rFonts w:cs="Times New Roman"/>
                <w:sz w:val="20"/>
                <w:szCs w:val="20"/>
              </w:rPr>
            </w:pPr>
          </w:p>
        </w:tc>
        <w:tc>
          <w:tcPr>
            <w:tcW w:w="1670" w:type="pct"/>
            <w:tcMar>
              <w:left w:w="70" w:type="dxa"/>
              <w:right w:w="70" w:type="dxa"/>
            </w:tcMar>
            <w:vAlign w:val="center"/>
          </w:tcPr>
          <w:p w14:paraId="18F81D22" w14:textId="77777777" w:rsidR="008B35C9" w:rsidRPr="002E333D" w:rsidRDefault="008B35C9" w:rsidP="000A5389">
            <w:pPr>
              <w:spacing w:line="240" w:lineRule="auto"/>
              <w:rPr>
                <w:rFonts w:cs="Times New Roman"/>
                <w:sz w:val="20"/>
                <w:szCs w:val="20"/>
              </w:rPr>
            </w:pPr>
            <w:r w:rsidRPr="002E333D">
              <w:rPr>
                <w:rFonts w:eastAsia="Times New Roman" w:cs="Times New Roman"/>
                <w:color w:val="000000" w:themeColor="text1"/>
                <w:sz w:val="20"/>
                <w:szCs w:val="20"/>
              </w:rPr>
              <w:t>Insuficiencia de Recursos - Interventoría</w:t>
            </w:r>
          </w:p>
        </w:tc>
        <w:tc>
          <w:tcPr>
            <w:tcW w:w="1085" w:type="pct"/>
            <w:tcMar>
              <w:left w:w="70" w:type="dxa"/>
              <w:right w:w="70" w:type="dxa"/>
            </w:tcMar>
            <w:vAlign w:val="center"/>
          </w:tcPr>
          <w:p w14:paraId="018258A7" w14:textId="77777777" w:rsidR="008B35C9" w:rsidRPr="002E333D" w:rsidRDefault="008B35C9" w:rsidP="000A5389">
            <w:pPr>
              <w:spacing w:line="240" w:lineRule="auto"/>
              <w:jc w:val="right"/>
              <w:rPr>
                <w:rFonts w:cs="Times New Roman"/>
                <w:sz w:val="20"/>
                <w:szCs w:val="20"/>
              </w:rPr>
            </w:pPr>
            <w:r w:rsidRPr="002E333D">
              <w:rPr>
                <w:rFonts w:eastAsia="Times New Roman" w:cs="Times New Roman"/>
                <w:color w:val="000000" w:themeColor="text1"/>
                <w:sz w:val="20"/>
                <w:szCs w:val="20"/>
              </w:rPr>
              <w:t xml:space="preserve">3.454.353.908 </w:t>
            </w:r>
          </w:p>
        </w:tc>
      </w:tr>
      <w:tr w:rsidR="008B35C9" w:rsidRPr="002E333D" w14:paraId="7D8D876A" w14:textId="77777777" w:rsidTr="00B33C03">
        <w:trPr>
          <w:trHeight w:val="300"/>
        </w:trPr>
        <w:tc>
          <w:tcPr>
            <w:tcW w:w="2245" w:type="pct"/>
            <w:vMerge/>
            <w:vAlign w:val="center"/>
          </w:tcPr>
          <w:p w14:paraId="23FCC3C1" w14:textId="77777777" w:rsidR="008B35C9" w:rsidRPr="002E333D" w:rsidRDefault="008B35C9" w:rsidP="000A5389">
            <w:pPr>
              <w:spacing w:line="240" w:lineRule="auto"/>
              <w:rPr>
                <w:rFonts w:cs="Times New Roman"/>
                <w:sz w:val="20"/>
                <w:szCs w:val="20"/>
              </w:rPr>
            </w:pPr>
          </w:p>
        </w:tc>
        <w:tc>
          <w:tcPr>
            <w:tcW w:w="1670" w:type="pct"/>
            <w:tcMar>
              <w:left w:w="70" w:type="dxa"/>
              <w:right w:w="70" w:type="dxa"/>
            </w:tcMar>
            <w:vAlign w:val="center"/>
          </w:tcPr>
          <w:p w14:paraId="32EE8995" w14:textId="77777777" w:rsidR="008B35C9" w:rsidRPr="002E333D" w:rsidRDefault="008B35C9" w:rsidP="000A5389">
            <w:pPr>
              <w:spacing w:line="240" w:lineRule="auto"/>
              <w:rPr>
                <w:rFonts w:cs="Times New Roman"/>
                <w:sz w:val="20"/>
                <w:szCs w:val="20"/>
              </w:rPr>
            </w:pPr>
            <w:r w:rsidRPr="002E333D">
              <w:rPr>
                <w:rFonts w:eastAsia="Times New Roman" w:cs="Times New Roman"/>
                <w:color w:val="000000" w:themeColor="text1"/>
                <w:sz w:val="20"/>
                <w:szCs w:val="20"/>
              </w:rPr>
              <w:t>Tarifario</w:t>
            </w:r>
          </w:p>
        </w:tc>
        <w:tc>
          <w:tcPr>
            <w:tcW w:w="1085" w:type="pct"/>
            <w:tcMar>
              <w:left w:w="70" w:type="dxa"/>
              <w:right w:w="70" w:type="dxa"/>
            </w:tcMar>
            <w:vAlign w:val="center"/>
          </w:tcPr>
          <w:p w14:paraId="0420E8BF" w14:textId="77777777" w:rsidR="008B35C9" w:rsidRPr="002E333D" w:rsidRDefault="008B35C9" w:rsidP="000A5389">
            <w:pPr>
              <w:spacing w:line="240" w:lineRule="auto"/>
              <w:jc w:val="right"/>
              <w:rPr>
                <w:rFonts w:cs="Times New Roman"/>
                <w:sz w:val="20"/>
                <w:szCs w:val="20"/>
              </w:rPr>
            </w:pPr>
            <w:r w:rsidRPr="002E333D">
              <w:rPr>
                <w:rFonts w:eastAsia="Times New Roman" w:cs="Times New Roman"/>
                <w:color w:val="000000" w:themeColor="text1"/>
                <w:sz w:val="20"/>
                <w:szCs w:val="20"/>
              </w:rPr>
              <w:t xml:space="preserve">7.872.245.427 </w:t>
            </w:r>
          </w:p>
        </w:tc>
      </w:tr>
      <w:tr w:rsidR="008B35C9" w:rsidRPr="002E333D" w14:paraId="09BDF6B5" w14:textId="77777777" w:rsidTr="00B33C03">
        <w:trPr>
          <w:trHeight w:val="300"/>
        </w:trPr>
        <w:tc>
          <w:tcPr>
            <w:tcW w:w="2245" w:type="pct"/>
            <w:tcMar>
              <w:left w:w="70" w:type="dxa"/>
              <w:right w:w="70" w:type="dxa"/>
            </w:tcMar>
            <w:vAlign w:val="center"/>
          </w:tcPr>
          <w:p w14:paraId="3990F385" w14:textId="77777777" w:rsidR="008B35C9" w:rsidRPr="002E333D" w:rsidRDefault="008B35C9" w:rsidP="000A5389">
            <w:pPr>
              <w:spacing w:line="240" w:lineRule="auto"/>
              <w:rPr>
                <w:rFonts w:cs="Times New Roman"/>
                <w:sz w:val="20"/>
                <w:szCs w:val="20"/>
              </w:rPr>
            </w:pPr>
            <w:r w:rsidRPr="002E333D">
              <w:rPr>
                <w:rFonts w:eastAsia="Times New Roman" w:cs="Times New Roman"/>
                <w:color w:val="000000" w:themeColor="text1"/>
                <w:sz w:val="20"/>
                <w:szCs w:val="20"/>
              </w:rPr>
              <w:t>Ruta Del Sol (Sector 3)</w:t>
            </w:r>
          </w:p>
        </w:tc>
        <w:tc>
          <w:tcPr>
            <w:tcW w:w="1670" w:type="pct"/>
            <w:tcMar>
              <w:left w:w="70" w:type="dxa"/>
              <w:right w:w="70" w:type="dxa"/>
            </w:tcMar>
            <w:vAlign w:val="center"/>
          </w:tcPr>
          <w:p w14:paraId="08DAF6E2" w14:textId="77777777" w:rsidR="008B35C9" w:rsidRPr="002E333D" w:rsidRDefault="008B35C9" w:rsidP="000A5389">
            <w:pPr>
              <w:spacing w:line="240" w:lineRule="auto"/>
              <w:rPr>
                <w:rFonts w:cs="Times New Roman"/>
                <w:sz w:val="20"/>
                <w:szCs w:val="20"/>
              </w:rPr>
            </w:pPr>
            <w:r w:rsidRPr="002E333D">
              <w:rPr>
                <w:rFonts w:eastAsia="Times New Roman" w:cs="Times New Roman"/>
                <w:color w:val="000000" w:themeColor="text1"/>
                <w:sz w:val="20"/>
                <w:szCs w:val="20"/>
              </w:rPr>
              <w:t>Predial</w:t>
            </w:r>
          </w:p>
        </w:tc>
        <w:tc>
          <w:tcPr>
            <w:tcW w:w="1085" w:type="pct"/>
            <w:tcMar>
              <w:left w:w="70" w:type="dxa"/>
              <w:right w:w="70" w:type="dxa"/>
            </w:tcMar>
            <w:vAlign w:val="center"/>
          </w:tcPr>
          <w:p w14:paraId="533DED1B" w14:textId="77777777" w:rsidR="008B35C9" w:rsidRPr="002E333D" w:rsidRDefault="008B35C9" w:rsidP="000A5389">
            <w:pPr>
              <w:spacing w:line="240" w:lineRule="auto"/>
              <w:jc w:val="right"/>
              <w:rPr>
                <w:rFonts w:cs="Times New Roman"/>
                <w:sz w:val="20"/>
                <w:szCs w:val="20"/>
              </w:rPr>
            </w:pPr>
            <w:r w:rsidRPr="002E333D">
              <w:rPr>
                <w:rFonts w:eastAsia="Times New Roman" w:cs="Times New Roman"/>
                <w:color w:val="000000" w:themeColor="text1"/>
                <w:sz w:val="20"/>
                <w:szCs w:val="20"/>
              </w:rPr>
              <w:t xml:space="preserve">7.437.758.059 </w:t>
            </w:r>
          </w:p>
        </w:tc>
      </w:tr>
      <w:tr w:rsidR="008B35C9" w:rsidRPr="002E333D" w14:paraId="7F0CD11B" w14:textId="77777777" w:rsidTr="00B33C03">
        <w:trPr>
          <w:trHeight w:val="300"/>
        </w:trPr>
        <w:tc>
          <w:tcPr>
            <w:tcW w:w="2245" w:type="pct"/>
            <w:vMerge w:val="restart"/>
            <w:tcMar>
              <w:left w:w="70" w:type="dxa"/>
              <w:right w:w="70" w:type="dxa"/>
            </w:tcMar>
            <w:vAlign w:val="center"/>
          </w:tcPr>
          <w:p w14:paraId="57AE45AF" w14:textId="77777777" w:rsidR="008B35C9" w:rsidRPr="002E333D" w:rsidRDefault="008B35C9" w:rsidP="000A5389">
            <w:pPr>
              <w:spacing w:line="240" w:lineRule="auto"/>
              <w:rPr>
                <w:rFonts w:cs="Times New Roman"/>
                <w:sz w:val="20"/>
                <w:szCs w:val="20"/>
              </w:rPr>
            </w:pPr>
            <w:r w:rsidRPr="002E333D">
              <w:rPr>
                <w:rFonts w:eastAsia="Times New Roman" w:cs="Times New Roman"/>
                <w:color w:val="000000" w:themeColor="text1"/>
                <w:sz w:val="20"/>
                <w:szCs w:val="20"/>
              </w:rPr>
              <w:t>Santa Marta Paraguachón</w:t>
            </w:r>
          </w:p>
        </w:tc>
        <w:tc>
          <w:tcPr>
            <w:tcW w:w="1670" w:type="pct"/>
            <w:tcMar>
              <w:left w:w="70" w:type="dxa"/>
              <w:right w:w="70" w:type="dxa"/>
            </w:tcMar>
            <w:vAlign w:val="center"/>
          </w:tcPr>
          <w:p w14:paraId="53B432CC" w14:textId="77777777" w:rsidR="008B35C9" w:rsidRPr="002E333D" w:rsidRDefault="008B35C9" w:rsidP="000A5389">
            <w:pPr>
              <w:spacing w:line="240" w:lineRule="auto"/>
              <w:rPr>
                <w:rFonts w:cs="Times New Roman"/>
                <w:sz w:val="20"/>
                <w:szCs w:val="20"/>
              </w:rPr>
            </w:pPr>
            <w:r w:rsidRPr="002E333D">
              <w:rPr>
                <w:rFonts w:eastAsia="Times New Roman" w:cs="Times New Roman"/>
                <w:color w:val="000000" w:themeColor="text1"/>
                <w:sz w:val="20"/>
                <w:szCs w:val="20"/>
              </w:rPr>
              <w:t>Insuficiencia de Recursos - Interventoría</w:t>
            </w:r>
          </w:p>
        </w:tc>
        <w:tc>
          <w:tcPr>
            <w:tcW w:w="1085" w:type="pct"/>
            <w:tcMar>
              <w:left w:w="70" w:type="dxa"/>
              <w:right w:w="70" w:type="dxa"/>
            </w:tcMar>
            <w:vAlign w:val="center"/>
          </w:tcPr>
          <w:p w14:paraId="430DAF59" w14:textId="77777777" w:rsidR="008B35C9" w:rsidRPr="002E333D" w:rsidRDefault="008B35C9" w:rsidP="000A5389">
            <w:pPr>
              <w:spacing w:line="240" w:lineRule="auto"/>
              <w:jc w:val="right"/>
              <w:rPr>
                <w:rFonts w:cs="Times New Roman"/>
                <w:sz w:val="20"/>
                <w:szCs w:val="20"/>
              </w:rPr>
            </w:pPr>
            <w:r w:rsidRPr="002E333D">
              <w:rPr>
                <w:rFonts w:eastAsia="Times New Roman" w:cs="Times New Roman"/>
                <w:color w:val="000000" w:themeColor="text1"/>
                <w:sz w:val="20"/>
                <w:szCs w:val="20"/>
              </w:rPr>
              <w:t xml:space="preserve">1.582.611.618 </w:t>
            </w:r>
          </w:p>
        </w:tc>
      </w:tr>
      <w:tr w:rsidR="008B35C9" w:rsidRPr="002E333D" w14:paraId="68A2D440" w14:textId="77777777" w:rsidTr="00B33C03">
        <w:trPr>
          <w:trHeight w:val="300"/>
        </w:trPr>
        <w:tc>
          <w:tcPr>
            <w:tcW w:w="2245" w:type="pct"/>
            <w:vMerge/>
            <w:vAlign w:val="center"/>
          </w:tcPr>
          <w:p w14:paraId="29BEE89A" w14:textId="77777777" w:rsidR="008B35C9" w:rsidRPr="002E333D" w:rsidRDefault="008B35C9" w:rsidP="000A5389">
            <w:pPr>
              <w:spacing w:line="240" w:lineRule="auto"/>
              <w:rPr>
                <w:rFonts w:cs="Times New Roman"/>
                <w:sz w:val="20"/>
                <w:szCs w:val="20"/>
              </w:rPr>
            </w:pPr>
          </w:p>
        </w:tc>
        <w:tc>
          <w:tcPr>
            <w:tcW w:w="1670" w:type="pct"/>
            <w:tcMar>
              <w:left w:w="70" w:type="dxa"/>
              <w:right w:w="70" w:type="dxa"/>
            </w:tcMar>
            <w:vAlign w:val="center"/>
          </w:tcPr>
          <w:p w14:paraId="1BEE3616" w14:textId="77777777" w:rsidR="008B35C9" w:rsidRPr="002E333D" w:rsidRDefault="008B35C9" w:rsidP="000A5389">
            <w:pPr>
              <w:spacing w:line="240" w:lineRule="auto"/>
              <w:rPr>
                <w:rFonts w:cs="Times New Roman"/>
                <w:sz w:val="20"/>
                <w:szCs w:val="20"/>
              </w:rPr>
            </w:pPr>
            <w:r w:rsidRPr="002E333D">
              <w:rPr>
                <w:rFonts w:eastAsia="Times New Roman" w:cs="Times New Roman"/>
                <w:color w:val="000000" w:themeColor="text1"/>
                <w:sz w:val="20"/>
                <w:szCs w:val="20"/>
              </w:rPr>
              <w:t>Insuficiencia prima</w:t>
            </w:r>
          </w:p>
        </w:tc>
        <w:tc>
          <w:tcPr>
            <w:tcW w:w="1085" w:type="pct"/>
            <w:tcMar>
              <w:left w:w="70" w:type="dxa"/>
              <w:right w:w="70" w:type="dxa"/>
            </w:tcMar>
            <w:vAlign w:val="center"/>
          </w:tcPr>
          <w:p w14:paraId="1C9DB12D" w14:textId="77777777" w:rsidR="008B35C9" w:rsidRPr="002E333D" w:rsidRDefault="008B35C9" w:rsidP="000A5389">
            <w:pPr>
              <w:spacing w:line="240" w:lineRule="auto"/>
              <w:jc w:val="right"/>
              <w:rPr>
                <w:rFonts w:cs="Times New Roman"/>
                <w:sz w:val="20"/>
                <w:szCs w:val="20"/>
              </w:rPr>
            </w:pPr>
            <w:r w:rsidRPr="002E333D">
              <w:rPr>
                <w:rFonts w:eastAsia="Times New Roman" w:cs="Times New Roman"/>
                <w:color w:val="000000" w:themeColor="text1"/>
                <w:sz w:val="20"/>
                <w:szCs w:val="20"/>
              </w:rPr>
              <w:t xml:space="preserve">917.348.179 </w:t>
            </w:r>
          </w:p>
        </w:tc>
      </w:tr>
      <w:tr w:rsidR="008B35C9" w:rsidRPr="002E333D" w14:paraId="7B89997D" w14:textId="77777777" w:rsidTr="00B33C03">
        <w:trPr>
          <w:trHeight w:val="300"/>
        </w:trPr>
        <w:tc>
          <w:tcPr>
            <w:tcW w:w="2245" w:type="pct"/>
            <w:vMerge/>
            <w:vAlign w:val="center"/>
          </w:tcPr>
          <w:p w14:paraId="49B59156" w14:textId="77777777" w:rsidR="008B35C9" w:rsidRPr="002E333D" w:rsidRDefault="008B35C9" w:rsidP="000A5389">
            <w:pPr>
              <w:spacing w:line="240" w:lineRule="auto"/>
              <w:rPr>
                <w:rFonts w:cs="Times New Roman"/>
                <w:sz w:val="20"/>
                <w:szCs w:val="20"/>
              </w:rPr>
            </w:pPr>
          </w:p>
        </w:tc>
        <w:tc>
          <w:tcPr>
            <w:tcW w:w="1670" w:type="pct"/>
            <w:tcMar>
              <w:left w:w="70" w:type="dxa"/>
              <w:right w:w="70" w:type="dxa"/>
            </w:tcMar>
            <w:vAlign w:val="center"/>
          </w:tcPr>
          <w:p w14:paraId="55957445" w14:textId="77777777" w:rsidR="008B35C9" w:rsidRPr="002E333D" w:rsidRDefault="008B35C9" w:rsidP="000A5389">
            <w:pPr>
              <w:spacing w:line="240" w:lineRule="auto"/>
              <w:rPr>
                <w:rFonts w:cs="Times New Roman"/>
                <w:sz w:val="20"/>
                <w:szCs w:val="20"/>
              </w:rPr>
            </w:pPr>
            <w:r w:rsidRPr="002E333D">
              <w:rPr>
                <w:rFonts w:eastAsia="Times New Roman" w:cs="Times New Roman"/>
                <w:color w:val="000000" w:themeColor="text1"/>
                <w:sz w:val="20"/>
                <w:szCs w:val="20"/>
              </w:rPr>
              <w:t>Recursos Interventoría</w:t>
            </w:r>
          </w:p>
        </w:tc>
        <w:tc>
          <w:tcPr>
            <w:tcW w:w="1085" w:type="pct"/>
            <w:tcMar>
              <w:left w:w="70" w:type="dxa"/>
              <w:right w:w="70" w:type="dxa"/>
            </w:tcMar>
            <w:vAlign w:val="center"/>
          </w:tcPr>
          <w:p w14:paraId="619A67B6" w14:textId="77777777" w:rsidR="008B35C9" w:rsidRPr="002E333D" w:rsidRDefault="008B35C9" w:rsidP="000A5389">
            <w:pPr>
              <w:spacing w:line="240" w:lineRule="auto"/>
              <w:jc w:val="right"/>
              <w:rPr>
                <w:rFonts w:cs="Times New Roman"/>
                <w:sz w:val="20"/>
                <w:szCs w:val="20"/>
              </w:rPr>
            </w:pPr>
            <w:r w:rsidRPr="002E333D">
              <w:rPr>
                <w:rFonts w:eastAsia="Times New Roman" w:cs="Times New Roman"/>
                <w:color w:val="000000" w:themeColor="text1"/>
                <w:sz w:val="20"/>
                <w:szCs w:val="20"/>
              </w:rPr>
              <w:t xml:space="preserve">1.920.480.564 </w:t>
            </w:r>
          </w:p>
        </w:tc>
      </w:tr>
      <w:tr w:rsidR="008B35C9" w:rsidRPr="002E333D" w14:paraId="298A894E" w14:textId="77777777" w:rsidTr="00B33C03">
        <w:trPr>
          <w:trHeight w:val="300"/>
        </w:trPr>
        <w:tc>
          <w:tcPr>
            <w:tcW w:w="2245" w:type="pct"/>
            <w:vMerge/>
            <w:vAlign w:val="center"/>
          </w:tcPr>
          <w:p w14:paraId="68D25196" w14:textId="77777777" w:rsidR="008B35C9" w:rsidRPr="002E333D" w:rsidRDefault="008B35C9" w:rsidP="000A5389">
            <w:pPr>
              <w:spacing w:line="240" w:lineRule="auto"/>
              <w:rPr>
                <w:rFonts w:cs="Times New Roman"/>
                <w:sz w:val="20"/>
                <w:szCs w:val="20"/>
              </w:rPr>
            </w:pPr>
          </w:p>
        </w:tc>
        <w:tc>
          <w:tcPr>
            <w:tcW w:w="1670" w:type="pct"/>
            <w:tcMar>
              <w:left w:w="70" w:type="dxa"/>
              <w:right w:w="70" w:type="dxa"/>
            </w:tcMar>
            <w:vAlign w:val="center"/>
          </w:tcPr>
          <w:p w14:paraId="6790C706" w14:textId="77777777" w:rsidR="008B35C9" w:rsidRPr="002E333D" w:rsidRDefault="008B35C9" w:rsidP="000A5389">
            <w:pPr>
              <w:spacing w:line="240" w:lineRule="auto"/>
              <w:rPr>
                <w:rFonts w:cs="Times New Roman"/>
                <w:sz w:val="20"/>
                <w:szCs w:val="20"/>
              </w:rPr>
            </w:pPr>
            <w:r w:rsidRPr="002E333D">
              <w:rPr>
                <w:rFonts w:eastAsia="Times New Roman" w:cs="Times New Roman"/>
                <w:color w:val="000000" w:themeColor="text1"/>
                <w:sz w:val="20"/>
                <w:szCs w:val="20"/>
              </w:rPr>
              <w:t>Tarifario</w:t>
            </w:r>
          </w:p>
        </w:tc>
        <w:tc>
          <w:tcPr>
            <w:tcW w:w="1085" w:type="pct"/>
            <w:tcMar>
              <w:left w:w="70" w:type="dxa"/>
              <w:right w:w="70" w:type="dxa"/>
            </w:tcMar>
            <w:vAlign w:val="center"/>
          </w:tcPr>
          <w:p w14:paraId="383021B9" w14:textId="77777777" w:rsidR="008B35C9" w:rsidRPr="002E333D" w:rsidRDefault="008B35C9" w:rsidP="000A5389">
            <w:pPr>
              <w:spacing w:line="240" w:lineRule="auto"/>
              <w:jc w:val="right"/>
              <w:rPr>
                <w:rFonts w:cs="Times New Roman"/>
                <w:sz w:val="20"/>
                <w:szCs w:val="20"/>
              </w:rPr>
            </w:pPr>
            <w:r w:rsidRPr="002E333D">
              <w:rPr>
                <w:rFonts w:eastAsia="Times New Roman" w:cs="Times New Roman"/>
                <w:color w:val="000000" w:themeColor="text1"/>
                <w:sz w:val="20"/>
                <w:szCs w:val="20"/>
              </w:rPr>
              <w:t xml:space="preserve">5.942.546.903 </w:t>
            </w:r>
          </w:p>
        </w:tc>
      </w:tr>
      <w:tr w:rsidR="008B35C9" w:rsidRPr="002E333D" w14:paraId="1D5D054A" w14:textId="77777777" w:rsidTr="00B33C03">
        <w:trPr>
          <w:trHeight w:val="300"/>
        </w:trPr>
        <w:tc>
          <w:tcPr>
            <w:tcW w:w="2245" w:type="pct"/>
            <w:tcMar>
              <w:left w:w="70" w:type="dxa"/>
              <w:right w:w="70" w:type="dxa"/>
            </w:tcMar>
            <w:vAlign w:val="center"/>
          </w:tcPr>
          <w:p w14:paraId="42C239AC" w14:textId="77777777" w:rsidR="008B35C9" w:rsidRPr="002E333D" w:rsidRDefault="008B35C9" w:rsidP="000A5389">
            <w:pPr>
              <w:spacing w:line="240" w:lineRule="auto"/>
              <w:rPr>
                <w:rFonts w:cs="Times New Roman"/>
                <w:sz w:val="20"/>
                <w:szCs w:val="20"/>
              </w:rPr>
            </w:pPr>
            <w:r w:rsidRPr="002E333D">
              <w:rPr>
                <w:rFonts w:eastAsia="Times New Roman" w:cs="Times New Roman"/>
                <w:color w:val="000000" w:themeColor="text1"/>
                <w:sz w:val="20"/>
                <w:szCs w:val="20"/>
              </w:rPr>
              <w:t>Siberia -La Punta-El Vino / Bogotá Villeta</w:t>
            </w:r>
          </w:p>
        </w:tc>
        <w:tc>
          <w:tcPr>
            <w:tcW w:w="1670" w:type="pct"/>
            <w:tcMar>
              <w:left w:w="70" w:type="dxa"/>
              <w:right w:w="70" w:type="dxa"/>
            </w:tcMar>
            <w:vAlign w:val="center"/>
          </w:tcPr>
          <w:p w14:paraId="302B4823" w14:textId="77777777" w:rsidR="008B35C9" w:rsidRPr="002E333D" w:rsidRDefault="008B35C9" w:rsidP="000A5389">
            <w:pPr>
              <w:spacing w:line="240" w:lineRule="auto"/>
              <w:rPr>
                <w:rFonts w:cs="Times New Roman"/>
                <w:sz w:val="20"/>
                <w:szCs w:val="20"/>
              </w:rPr>
            </w:pPr>
            <w:r w:rsidRPr="002E333D">
              <w:rPr>
                <w:rFonts w:eastAsia="Times New Roman" w:cs="Times New Roman"/>
                <w:color w:val="000000" w:themeColor="text1"/>
                <w:sz w:val="20"/>
                <w:szCs w:val="20"/>
              </w:rPr>
              <w:t>Predial</w:t>
            </w:r>
          </w:p>
        </w:tc>
        <w:tc>
          <w:tcPr>
            <w:tcW w:w="1085" w:type="pct"/>
            <w:tcMar>
              <w:left w:w="70" w:type="dxa"/>
              <w:right w:w="70" w:type="dxa"/>
            </w:tcMar>
            <w:vAlign w:val="center"/>
          </w:tcPr>
          <w:p w14:paraId="077B3997" w14:textId="77777777" w:rsidR="008B35C9" w:rsidRPr="002E333D" w:rsidRDefault="008B35C9" w:rsidP="000A5389">
            <w:pPr>
              <w:spacing w:line="240" w:lineRule="auto"/>
              <w:jc w:val="right"/>
              <w:rPr>
                <w:rFonts w:cs="Times New Roman"/>
                <w:sz w:val="20"/>
                <w:szCs w:val="20"/>
              </w:rPr>
            </w:pPr>
            <w:r w:rsidRPr="002E333D">
              <w:rPr>
                <w:rFonts w:eastAsia="Times New Roman" w:cs="Times New Roman"/>
                <w:color w:val="000000" w:themeColor="text1"/>
                <w:sz w:val="20"/>
                <w:szCs w:val="20"/>
              </w:rPr>
              <w:t xml:space="preserve">1.205.871.363 </w:t>
            </w:r>
          </w:p>
        </w:tc>
      </w:tr>
      <w:tr w:rsidR="008B35C9" w:rsidRPr="002E333D" w14:paraId="6F3CB250" w14:textId="77777777" w:rsidTr="00B33C03">
        <w:trPr>
          <w:trHeight w:val="300"/>
        </w:trPr>
        <w:tc>
          <w:tcPr>
            <w:tcW w:w="2245" w:type="pct"/>
            <w:tcMar>
              <w:left w:w="70" w:type="dxa"/>
              <w:right w:w="70" w:type="dxa"/>
            </w:tcMar>
            <w:vAlign w:val="center"/>
          </w:tcPr>
          <w:p w14:paraId="14A09A8A" w14:textId="77777777" w:rsidR="008B35C9" w:rsidRPr="002E333D" w:rsidRDefault="008B35C9" w:rsidP="000A5389">
            <w:pPr>
              <w:spacing w:line="240" w:lineRule="auto"/>
              <w:rPr>
                <w:rFonts w:cs="Times New Roman"/>
                <w:sz w:val="20"/>
                <w:szCs w:val="20"/>
              </w:rPr>
            </w:pPr>
            <w:r w:rsidRPr="002E333D">
              <w:rPr>
                <w:rFonts w:eastAsia="Times New Roman" w:cs="Times New Roman"/>
                <w:color w:val="000000" w:themeColor="text1"/>
                <w:sz w:val="20"/>
                <w:szCs w:val="20"/>
              </w:rPr>
              <w:t>Transversal del Sisga</w:t>
            </w:r>
          </w:p>
        </w:tc>
        <w:tc>
          <w:tcPr>
            <w:tcW w:w="1670" w:type="pct"/>
            <w:tcMar>
              <w:left w:w="70" w:type="dxa"/>
              <w:right w:w="70" w:type="dxa"/>
            </w:tcMar>
            <w:vAlign w:val="center"/>
          </w:tcPr>
          <w:p w14:paraId="70554B84" w14:textId="77777777" w:rsidR="008B35C9" w:rsidRPr="002E333D" w:rsidRDefault="008B35C9" w:rsidP="000A5389">
            <w:pPr>
              <w:spacing w:line="240" w:lineRule="auto"/>
              <w:rPr>
                <w:rFonts w:cs="Times New Roman"/>
                <w:sz w:val="20"/>
                <w:szCs w:val="20"/>
              </w:rPr>
            </w:pPr>
            <w:r w:rsidRPr="002E333D">
              <w:rPr>
                <w:rFonts w:eastAsia="Times New Roman" w:cs="Times New Roman"/>
                <w:color w:val="000000" w:themeColor="text1"/>
                <w:sz w:val="20"/>
                <w:szCs w:val="20"/>
              </w:rPr>
              <w:t>Tarifario</w:t>
            </w:r>
          </w:p>
        </w:tc>
        <w:tc>
          <w:tcPr>
            <w:tcW w:w="1085" w:type="pct"/>
            <w:tcMar>
              <w:left w:w="70" w:type="dxa"/>
              <w:right w:w="70" w:type="dxa"/>
            </w:tcMar>
            <w:vAlign w:val="center"/>
          </w:tcPr>
          <w:p w14:paraId="133EE750" w14:textId="77777777" w:rsidR="008B35C9" w:rsidRPr="002E333D" w:rsidRDefault="008B35C9" w:rsidP="000A5389">
            <w:pPr>
              <w:spacing w:line="240" w:lineRule="auto"/>
              <w:jc w:val="right"/>
              <w:rPr>
                <w:rFonts w:cs="Times New Roman"/>
                <w:sz w:val="20"/>
                <w:szCs w:val="20"/>
              </w:rPr>
            </w:pPr>
            <w:r w:rsidRPr="002E333D">
              <w:rPr>
                <w:rFonts w:eastAsia="Times New Roman" w:cs="Times New Roman"/>
                <w:color w:val="000000" w:themeColor="text1"/>
                <w:sz w:val="20"/>
                <w:szCs w:val="20"/>
              </w:rPr>
              <w:t xml:space="preserve">6.170.005.000 </w:t>
            </w:r>
          </w:p>
        </w:tc>
      </w:tr>
      <w:tr w:rsidR="008B35C9" w:rsidRPr="002E333D" w14:paraId="35306452" w14:textId="77777777" w:rsidTr="00B33C03">
        <w:trPr>
          <w:trHeight w:val="300"/>
        </w:trPr>
        <w:tc>
          <w:tcPr>
            <w:tcW w:w="2245" w:type="pct"/>
            <w:tcMar>
              <w:left w:w="70" w:type="dxa"/>
              <w:right w:w="70" w:type="dxa"/>
            </w:tcMar>
            <w:vAlign w:val="center"/>
          </w:tcPr>
          <w:p w14:paraId="0691A77E" w14:textId="77777777" w:rsidR="008B35C9" w:rsidRPr="002E333D" w:rsidRDefault="008B35C9" w:rsidP="000A5389">
            <w:pPr>
              <w:spacing w:line="240" w:lineRule="auto"/>
              <w:rPr>
                <w:rFonts w:cs="Times New Roman"/>
                <w:sz w:val="20"/>
                <w:szCs w:val="20"/>
              </w:rPr>
            </w:pPr>
            <w:r w:rsidRPr="002E333D">
              <w:rPr>
                <w:rFonts w:eastAsia="Times New Roman" w:cs="Times New Roman"/>
                <w:color w:val="000000" w:themeColor="text1"/>
                <w:sz w:val="20"/>
                <w:szCs w:val="20"/>
              </w:rPr>
              <w:t>Troncal Del Magdalena 1</w:t>
            </w:r>
          </w:p>
        </w:tc>
        <w:tc>
          <w:tcPr>
            <w:tcW w:w="1670" w:type="pct"/>
            <w:tcMar>
              <w:left w:w="70" w:type="dxa"/>
              <w:right w:w="70" w:type="dxa"/>
            </w:tcMar>
            <w:vAlign w:val="center"/>
          </w:tcPr>
          <w:p w14:paraId="1CD34D24" w14:textId="77777777" w:rsidR="008B35C9" w:rsidRPr="002E333D" w:rsidRDefault="008B35C9" w:rsidP="000A5389">
            <w:pPr>
              <w:spacing w:line="240" w:lineRule="auto"/>
              <w:rPr>
                <w:rFonts w:cs="Times New Roman"/>
                <w:sz w:val="20"/>
                <w:szCs w:val="20"/>
              </w:rPr>
            </w:pPr>
            <w:r w:rsidRPr="002E333D">
              <w:rPr>
                <w:rFonts w:eastAsia="Times New Roman" w:cs="Times New Roman"/>
                <w:color w:val="000000" w:themeColor="text1"/>
                <w:sz w:val="20"/>
                <w:szCs w:val="20"/>
              </w:rPr>
              <w:t>Tarifario</w:t>
            </w:r>
          </w:p>
        </w:tc>
        <w:tc>
          <w:tcPr>
            <w:tcW w:w="1085" w:type="pct"/>
            <w:tcMar>
              <w:left w:w="70" w:type="dxa"/>
              <w:right w:w="70" w:type="dxa"/>
            </w:tcMar>
            <w:vAlign w:val="center"/>
          </w:tcPr>
          <w:p w14:paraId="714312AD" w14:textId="77777777" w:rsidR="008B35C9" w:rsidRPr="002E333D" w:rsidRDefault="008B35C9" w:rsidP="000A5389">
            <w:pPr>
              <w:spacing w:line="240" w:lineRule="auto"/>
              <w:jc w:val="right"/>
              <w:rPr>
                <w:rFonts w:cs="Times New Roman"/>
                <w:sz w:val="20"/>
                <w:szCs w:val="20"/>
              </w:rPr>
            </w:pPr>
            <w:r w:rsidRPr="002E333D">
              <w:rPr>
                <w:rFonts w:eastAsia="Times New Roman" w:cs="Times New Roman"/>
                <w:color w:val="000000" w:themeColor="text1"/>
                <w:sz w:val="20"/>
                <w:szCs w:val="20"/>
              </w:rPr>
              <w:t xml:space="preserve">7.613.994.000 </w:t>
            </w:r>
          </w:p>
        </w:tc>
      </w:tr>
      <w:tr w:rsidR="008B35C9" w:rsidRPr="002E333D" w14:paraId="3725B944" w14:textId="77777777" w:rsidTr="00B33C03">
        <w:trPr>
          <w:trHeight w:val="300"/>
        </w:trPr>
        <w:tc>
          <w:tcPr>
            <w:tcW w:w="2245" w:type="pct"/>
            <w:tcMar>
              <w:left w:w="70" w:type="dxa"/>
              <w:right w:w="70" w:type="dxa"/>
            </w:tcMar>
            <w:vAlign w:val="center"/>
          </w:tcPr>
          <w:p w14:paraId="1C855FCE" w14:textId="77777777" w:rsidR="008B35C9" w:rsidRPr="002E333D" w:rsidRDefault="008B35C9" w:rsidP="000A5389">
            <w:pPr>
              <w:spacing w:line="240" w:lineRule="auto"/>
              <w:rPr>
                <w:rFonts w:cs="Times New Roman"/>
                <w:sz w:val="20"/>
                <w:szCs w:val="20"/>
              </w:rPr>
            </w:pPr>
            <w:r w:rsidRPr="002E333D">
              <w:rPr>
                <w:rFonts w:eastAsia="Times New Roman" w:cs="Times New Roman"/>
                <w:color w:val="000000" w:themeColor="text1"/>
                <w:sz w:val="20"/>
                <w:szCs w:val="20"/>
              </w:rPr>
              <w:t>Troncal Del Magdalena 2</w:t>
            </w:r>
          </w:p>
        </w:tc>
        <w:tc>
          <w:tcPr>
            <w:tcW w:w="1670" w:type="pct"/>
            <w:tcMar>
              <w:left w:w="70" w:type="dxa"/>
              <w:right w:w="70" w:type="dxa"/>
            </w:tcMar>
            <w:vAlign w:val="center"/>
          </w:tcPr>
          <w:p w14:paraId="43B91649" w14:textId="77777777" w:rsidR="008B35C9" w:rsidRPr="002E333D" w:rsidRDefault="008B35C9" w:rsidP="000A5389">
            <w:pPr>
              <w:spacing w:line="240" w:lineRule="auto"/>
              <w:rPr>
                <w:rFonts w:cs="Times New Roman"/>
                <w:sz w:val="20"/>
                <w:szCs w:val="20"/>
              </w:rPr>
            </w:pPr>
            <w:r w:rsidRPr="002E333D">
              <w:rPr>
                <w:rFonts w:eastAsia="Times New Roman" w:cs="Times New Roman"/>
                <w:color w:val="000000" w:themeColor="text1"/>
                <w:sz w:val="20"/>
                <w:szCs w:val="20"/>
              </w:rPr>
              <w:t>Tarifario</w:t>
            </w:r>
          </w:p>
        </w:tc>
        <w:tc>
          <w:tcPr>
            <w:tcW w:w="1085" w:type="pct"/>
            <w:tcMar>
              <w:left w:w="70" w:type="dxa"/>
              <w:right w:w="70" w:type="dxa"/>
            </w:tcMar>
            <w:vAlign w:val="center"/>
          </w:tcPr>
          <w:p w14:paraId="2E98CE0E" w14:textId="77777777" w:rsidR="008B35C9" w:rsidRPr="002E333D" w:rsidRDefault="008B35C9" w:rsidP="000A5389">
            <w:pPr>
              <w:spacing w:line="240" w:lineRule="auto"/>
              <w:jc w:val="right"/>
              <w:rPr>
                <w:rFonts w:cs="Times New Roman"/>
                <w:sz w:val="20"/>
                <w:szCs w:val="20"/>
              </w:rPr>
            </w:pPr>
            <w:r w:rsidRPr="002E333D">
              <w:rPr>
                <w:rFonts w:eastAsia="Times New Roman" w:cs="Times New Roman"/>
                <w:color w:val="000000" w:themeColor="text1"/>
                <w:sz w:val="20"/>
                <w:szCs w:val="20"/>
              </w:rPr>
              <w:t xml:space="preserve">5.541.461.500 </w:t>
            </w:r>
          </w:p>
        </w:tc>
      </w:tr>
      <w:tr w:rsidR="008B35C9" w:rsidRPr="002E333D" w14:paraId="74ECD5D9" w14:textId="77777777" w:rsidTr="00B33C03">
        <w:trPr>
          <w:trHeight w:val="300"/>
        </w:trPr>
        <w:tc>
          <w:tcPr>
            <w:tcW w:w="3915" w:type="pct"/>
            <w:gridSpan w:val="2"/>
            <w:tcMar>
              <w:left w:w="70" w:type="dxa"/>
              <w:right w:w="70" w:type="dxa"/>
            </w:tcMar>
            <w:vAlign w:val="center"/>
          </w:tcPr>
          <w:p w14:paraId="3D4138CD" w14:textId="77777777" w:rsidR="008B35C9" w:rsidRPr="002E333D" w:rsidRDefault="008B35C9" w:rsidP="000A5389">
            <w:pPr>
              <w:spacing w:line="240" w:lineRule="auto"/>
              <w:jc w:val="center"/>
              <w:rPr>
                <w:rFonts w:cs="Times New Roman"/>
                <w:sz w:val="20"/>
                <w:szCs w:val="20"/>
              </w:rPr>
            </w:pPr>
            <w:r w:rsidRPr="002E333D">
              <w:rPr>
                <w:rFonts w:eastAsia="Times New Roman" w:cs="Times New Roman"/>
                <w:b/>
                <w:color w:val="000000" w:themeColor="text1"/>
                <w:sz w:val="20"/>
                <w:szCs w:val="20"/>
              </w:rPr>
              <w:t>Total</w:t>
            </w:r>
          </w:p>
        </w:tc>
        <w:tc>
          <w:tcPr>
            <w:tcW w:w="1085" w:type="pct"/>
            <w:tcMar>
              <w:left w:w="70" w:type="dxa"/>
              <w:right w:w="70" w:type="dxa"/>
            </w:tcMar>
            <w:vAlign w:val="center"/>
          </w:tcPr>
          <w:p w14:paraId="0A2CD4D0" w14:textId="77777777" w:rsidR="008B35C9" w:rsidRPr="002E333D" w:rsidRDefault="008B35C9" w:rsidP="000A5389">
            <w:pPr>
              <w:spacing w:line="240" w:lineRule="auto"/>
              <w:jc w:val="right"/>
              <w:rPr>
                <w:rFonts w:cs="Times New Roman"/>
                <w:sz w:val="20"/>
                <w:szCs w:val="20"/>
              </w:rPr>
            </w:pPr>
            <w:r w:rsidRPr="002E333D">
              <w:rPr>
                <w:rFonts w:eastAsia="Times New Roman" w:cs="Times New Roman"/>
                <w:b/>
                <w:color w:val="000000" w:themeColor="text1"/>
                <w:sz w:val="20"/>
                <w:szCs w:val="20"/>
              </w:rPr>
              <w:t>1.491.847.554.897</w:t>
            </w:r>
          </w:p>
        </w:tc>
      </w:tr>
    </w:tbl>
    <w:p w14:paraId="3CD4DF11" w14:textId="3C143C38" w:rsidR="008B35C9" w:rsidRPr="00951AB1" w:rsidRDefault="008B35C9" w:rsidP="000A5389">
      <w:pPr>
        <w:spacing w:line="240" w:lineRule="auto"/>
        <w:rPr>
          <w:rFonts w:cs="Times New Roman"/>
          <w:sz w:val="16"/>
          <w:szCs w:val="16"/>
        </w:rPr>
      </w:pPr>
      <w:r w:rsidRPr="00951AB1">
        <w:rPr>
          <w:rFonts w:cs="Times New Roman"/>
          <w:sz w:val="16"/>
          <w:szCs w:val="16"/>
        </w:rPr>
        <w:t>Cifras</w:t>
      </w:r>
      <w:r w:rsidR="00532A1F">
        <w:rPr>
          <w:rFonts w:cs="Times New Roman"/>
          <w:sz w:val="16"/>
          <w:szCs w:val="16"/>
        </w:rPr>
        <w:t xml:space="preserve"> expresadas</w:t>
      </w:r>
      <w:r w:rsidRPr="00951AB1">
        <w:rPr>
          <w:rFonts w:cs="Times New Roman"/>
          <w:sz w:val="16"/>
          <w:szCs w:val="16"/>
        </w:rPr>
        <w:t xml:space="preserve"> en  pesos </w:t>
      </w:r>
    </w:p>
    <w:p w14:paraId="4D7E651E" w14:textId="77777777" w:rsidR="008B35C9" w:rsidRPr="00951AB1" w:rsidRDefault="008B35C9" w:rsidP="000A5389">
      <w:pPr>
        <w:spacing w:line="240" w:lineRule="auto"/>
        <w:rPr>
          <w:rFonts w:cs="Times New Roman"/>
        </w:rPr>
      </w:pPr>
    </w:p>
    <w:p w14:paraId="04FA16DB" w14:textId="77777777" w:rsidR="008B35C9" w:rsidRPr="00951AB1" w:rsidRDefault="008B35C9" w:rsidP="000A5389">
      <w:pPr>
        <w:spacing w:line="240" w:lineRule="auto"/>
        <w:rPr>
          <w:rFonts w:cs="Times New Roman"/>
        </w:rPr>
      </w:pPr>
      <w:r w:rsidRPr="00951AB1">
        <w:rPr>
          <w:rFonts w:eastAsia="Times New Roman" w:cs="Times New Roman"/>
          <w:szCs w:val="24"/>
        </w:rPr>
        <w:t>Reconocimiento de inversiones pagadas con recursos del fondo, por proyectos revertidos y que para el cierre del período se encuentran a cargo del Instituto Nacional de Vías INVIAS:</w:t>
      </w:r>
    </w:p>
    <w:p w14:paraId="094B72B4" w14:textId="77777777" w:rsidR="008B35C9" w:rsidRPr="00951AB1" w:rsidRDefault="008B35C9" w:rsidP="000A5389">
      <w:pPr>
        <w:spacing w:line="240" w:lineRule="auto"/>
        <w:rPr>
          <w:rFonts w:cs="Times New Roman"/>
        </w:rPr>
      </w:pPr>
    </w:p>
    <w:tbl>
      <w:tblPr>
        <w:tblW w:w="5000" w:type="pct"/>
        <w:tblLook w:val="04A0" w:firstRow="1" w:lastRow="0" w:firstColumn="1" w:lastColumn="0" w:noHBand="0" w:noVBand="1"/>
      </w:tblPr>
      <w:tblGrid>
        <w:gridCol w:w="5377"/>
        <w:gridCol w:w="1550"/>
        <w:gridCol w:w="1891"/>
      </w:tblGrid>
      <w:tr w:rsidR="008B35C9" w:rsidRPr="002E333D" w14:paraId="315B819B" w14:textId="77777777" w:rsidTr="00DE2EC7">
        <w:trPr>
          <w:trHeight w:val="240"/>
        </w:trPr>
        <w:tc>
          <w:tcPr>
            <w:tcW w:w="3049" w:type="pct"/>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tcMar>
              <w:left w:w="70" w:type="dxa"/>
              <w:right w:w="70" w:type="dxa"/>
            </w:tcMar>
            <w:vAlign w:val="center"/>
          </w:tcPr>
          <w:p w14:paraId="2E7C1E23" w14:textId="77777777" w:rsidR="008B35C9" w:rsidRPr="002E333D" w:rsidRDefault="008B35C9" w:rsidP="000A5389">
            <w:pPr>
              <w:spacing w:line="240" w:lineRule="auto"/>
              <w:jc w:val="center"/>
              <w:rPr>
                <w:rFonts w:cs="Times New Roman"/>
                <w:sz w:val="18"/>
                <w:szCs w:val="18"/>
              </w:rPr>
            </w:pPr>
            <w:r w:rsidRPr="002E333D">
              <w:rPr>
                <w:rFonts w:eastAsia="Times New Roman" w:cs="Times New Roman"/>
                <w:b/>
                <w:bCs/>
                <w:color w:val="000000" w:themeColor="text1"/>
                <w:sz w:val="18"/>
                <w:szCs w:val="18"/>
              </w:rPr>
              <w:t>PROYECTO</w:t>
            </w:r>
          </w:p>
        </w:tc>
        <w:tc>
          <w:tcPr>
            <w:tcW w:w="879" w:type="pct"/>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tcMar>
              <w:left w:w="70" w:type="dxa"/>
              <w:right w:w="70" w:type="dxa"/>
            </w:tcMar>
            <w:vAlign w:val="center"/>
          </w:tcPr>
          <w:p w14:paraId="6A9CE7C6" w14:textId="77777777" w:rsidR="008B35C9" w:rsidRPr="002E333D" w:rsidRDefault="008B35C9" w:rsidP="000A5389">
            <w:pPr>
              <w:spacing w:line="240" w:lineRule="auto"/>
              <w:jc w:val="center"/>
              <w:rPr>
                <w:rFonts w:cs="Times New Roman"/>
                <w:sz w:val="18"/>
                <w:szCs w:val="18"/>
              </w:rPr>
            </w:pPr>
            <w:r w:rsidRPr="002E333D">
              <w:rPr>
                <w:rFonts w:eastAsia="Times New Roman" w:cs="Times New Roman"/>
                <w:b/>
                <w:bCs/>
                <w:color w:val="000000" w:themeColor="text1"/>
                <w:sz w:val="18"/>
                <w:szCs w:val="18"/>
              </w:rPr>
              <w:t>RIESGO</w:t>
            </w:r>
          </w:p>
        </w:tc>
        <w:tc>
          <w:tcPr>
            <w:tcW w:w="1072" w:type="pct"/>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tcMar>
              <w:left w:w="70" w:type="dxa"/>
              <w:right w:w="70" w:type="dxa"/>
            </w:tcMar>
            <w:vAlign w:val="center"/>
          </w:tcPr>
          <w:p w14:paraId="20748693" w14:textId="77777777" w:rsidR="008B35C9" w:rsidRPr="002E333D" w:rsidRDefault="008B35C9" w:rsidP="000A5389">
            <w:pPr>
              <w:spacing w:line="240" w:lineRule="auto"/>
              <w:jc w:val="center"/>
              <w:rPr>
                <w:rFonts w:cs="Times New Roman"/>
                <w:sz w:val="18"/>
                <w:szCs w:val="18"/>
              </w:rPr>
            </w:pPr>
            <w:r w:rsidRPr="002E333D">
              <w:rPr>
                <w:rFonts w:eastAsia="Times New Roman" w:cs="Times New Roman"/>
                <w:b/>
                <w:bCs/>
                <w:color w:val="000000" w:themeColor="text1"/>
                <w:sz w:val="18"/>
                <w:szCs w:val="18"/>
              </w:rPr>
              <w:t xml:space="preserve"> VALOR </w:t>
            </w:r>
          </w:p>
        </w:tc>
      </w:tr>
      <w:tr w:rsidR="008B35C9" w:rsidRPr="002E333D" w14:paraId="631D1528" w14:textId="77777777" w:rsidTr="00DE2EC7">
        <w:trPr>
          <w:trHeight w:val="300"/>
        </w:trPr>
        <w:tc>
          <w:tcPr>
            <w:tcW w:w="3049" w:type="pct"/>
            <w:tcBorders>
              <w:top w:val="single" w:sz="8" w:space="0" w:color="A6A6A6" w:themeColor="background1" w:themeShade="A6"/>
              <w:left w:val="single" w:sz="8" w:space="0" w:color="A6A6A6" w:themeColor="background1" w:themeShade="A6"/>
              <w:bottom w:val="nil"/>
              <w:right w:val="single" w:sz="8" w:space="0" w:color="A6A6A6" w:themeColor="background1" w:themeShade="A6"/>
            </w:tcBorders>
            <w:tcMar>
              <w:left w:w="70" w:type="dxa"/>
              <w:right w:w="70" w:type="dxa"/>
            </w:tcMar>
            <w:vAlign w:val="center"/>
          </w:tcPr>
          <w:p w14:paraId="1E87E6BC" w14:textId="77777777" w:rsidR="008B35C9" w:rsidRPr="002E333D" w:rsidRDefault="008B35C9" w:rsidP="000A5389">
            <w:pPr>
              <w:spacing w:line="240" w:lineRule="auto"/>
              <w:rPr>
                <w:rFonts w:eastAsia="Times New Roman" w:cs="Times New Roman"/>
                <w:color w:val="000000" w:themeColor="text1"/>
                <w:sz w:val="18"/>
                <w:szCs w:val="18"/>
              </w:rPr>
            </w:pPr>
            <w:r w:rsidRPr="002E333D">
              <w:rPr>
                <w:rFonts w:eastAsia="Times New Roman" w:cs="Times New Roman"/>
                <w:color w:val="000000" w:themeColor="text1"/>
                <w:sz w:val="18"/>
                <w:szCs w:val="18"/>
              </w:rPr>
              <w:t>Área Metropolitana de Cúcuta y Norte de Santander</w:t>
            </w:r>
          </w:p>
        </w:tc>
        <w:tc>
          <w:tcPr>
            <w:tcW w:w="879" w:type="pct"/>
            <w:tcBorders>
              <w:top w:val="single" w:sz="8" w:space="0" w:color="A6A6A6" w:themeColor="background1" w:themeShade="A6"/>
              <w:left w:val="single" w:sz="8" w:space="0" w:color="A6A6A6" w:themeColor="background1" w:themeShade="A6"/>
              <w:bottom w:val="nil"/>
              <w:right w:val="single" w:sz="8" w:space="0" w:color="A6A6A6" w:themeColor="background1" w:themeShade="A6"/>
            </w:tcBorders>
            <w:tcMar>
              <w:left w:w="70" w:type="dxa"/>
              <w:right w:w="70" w:type="dxa"/>
            </w:tcMar>
            <w:vAlign w:val="center"/>
          </w:tcPr>
          <w:p w14:paraId="5EAB8274" w14:textId="77777777" w:rsidR="008B35C9" w:rsidRPr="002E333D" w:rsidRDefault="008B35C9" w:rsidP="000A5389">
            <w:pPr>
              <w:spacing w:line="240" w:lineRule="auto"/>
              <w:jc w:val="center"/>
              <w:rPr>
                <w:rFonts w:eastAsia="Times New Roman" w:cs="Times New Roman"/>
                <w:color w:val="000000" w:themeColor="text1"/>
                <w:sz w:val="18"/>
                <w:szCs w:val="18"/>
              </w:rPr>
            </w:pPr>
            <w:r w:rsidRPr="002E333D">
              <w:rPr>
                <w:rFonts w:eastAsia="Times New Roman" w:cs="Times New Roman"/>
                <w:color w:val="000000" w:themeColor="text1"/>
                <w:sz w:val="18"/>
                <w:szCs w:val="18"/>
              </w:rPr>
              <w:t>Predial</w:t>
            </w:r>
          </w:p>
        </w:tc>
        <w:tc>
          <w:tcPr>
            <w:tcW w:w="1072" w:type="pct"/>
            <w:tcBorders>
              <w:top w:val="single" w:sz="8" w:space="0" w:color="A6A6A6" w:themeColor="background1" w:themeShade="A6"/>
              <w:left w:val="single" w:sz="8" w:space="0" w:color="A6A6A6" w:themeColor="background1" w:themeShade="A6"/>
              <w:bottom w:val="nil"/>
              <w:right w:val="single" w:sz="8" w:space="0" w:color="A6A6A6" w:themeColor="background1" w:themeShade="A6"/>
            </w:tcBorders>
            <w:tcMar>
              <w:left w:w="70" w:type="dxa"/>
              <w:right w:w="70" w:type="dxa"/>
            </w:tcMar>
            <w:vAlign w:val="center"/>
          </w:tcPr>
          <w:p w14:paraId="74B872E8" w14:textId="77777777" w:rsidR="008B35C9" w:rsidRPr="002E333D" w:rsidRDefault="008B35C9" w:rsidP="000A5389">
            <w:pPr>
              <w:spacing w:line="240" w:lineRule="auto"/>
              <w:jc w:val="right"/>
              <w:rPr>
                <w:rFonts w:eastAsia="Times New Roman" w:cs="Times New Roman"/>
                <w:color w:val="000000" w:themeColor="text1"/>
                <w:sz w:val="18"/>
                <w:szCs w:val="18"/>
              </w:rPr>
            </w:pPr>
            <w:r w:rsidRPr="002E333D">
              <w:rPr>
                <w:rFonts w:eastAsia="Times New Roman" w:cs="Times New Roman"/>
                <w:color w:val="000000" w:themeColor="text1"/>
                <w:sz w:val="18"/>
                <w:szCs w:val="18"/>
              </w:rPr>
              <w:t xml:space="preserve">1.626.699.391 </w:t>
            </w:r>
          </w:p>
        </w:tc>
      </w:tr>
      <w:tr w:rsidR="008B35C9" w:rsidRPr="002E333D" w14:paraId="394B1B6A" w14:textId="77777777" w:rsidTr="00DE2EC7">
        <w:trPr>
          <w:trHeight w:val="300"/>
        </w:trPr>
        <w:tc>
          <w:tcPr>
            <w:tcW w:w="3049" w:type="pct"/>
            <w:tcBorders>
              <w:top w:val="single" w:sz="8" w:space="0" w:color="A6A6A6" w:themeColor="background1" w:themeShade="A6"/>
              <w:left w:val="single" w:sz="8" w:space="0" w:color="A6A6A6" w:themeColor="background1" w:themeShade="A6"/>
              <w:bottom w:val="nil"/>
              <w:right w:val="single" w:sz="8" w:space="0" w:color="A6A6A6" w:themeColor="background1" w:themeShade="A6"/>
            </w:tcBorders>
            <w:tcMar>
              <w:left w:w="70" w:type="dxa"/>
              <w:right w:w="70" w:type="dxa"/>
            </w:tcMar>
            <w:vAlign w:val="center"/>
          </w:tcPr>
          <w:p w14:paraId="6DC18881" w14:textId="77777777" w:rsidR="008B35C9" w:rsidRPr="002E333D" w:rsidRDefault="008B35C9" w:rsidP="000A5389">
            <w:pPr>
              <w:spacing w:line="240" w:lineRule="auto"/>
              <w:rPr>
                <w:rFonts w:cs="Times New Roman"/>
                <w:sz w:val="18"/>
                <w:szCs w:val="18"/>
              </w:rPr>
            </w:pPr>
            <w:r w:rsidRPr="002E333D">
              <w:rPr>
                <w:rFonts w:eastAsia="Times New Roman" w:cs="Times New Roman"/>
                <w:color w:val="000000" w:themeColor="text1"/>
                <w:sz w:val="18"/>
                <w:szCs w:val="18"/>
              </w:rPr>
              <w:t>Área Metropolitana de Cúcuta y Norte de Santander</w:t>
            </w:r>
          </w:p>
        </w:tc>
        <w:tc>
          <w:tcPr>
            <w:tcW w:w="879" w:type="pct"/>
            <w:tcBorders>
              <w:top w:val="single" w:sz="8" w:space="0" w:color="A6A6A6" w:themeColor="background1" w:themeShade="A6"/>
              <w:left w:val="single" w:sz="8" w:space="0" w:color="A6A6A6" w:themeColor="background1" w:themeShade="A6"/>
              <w:bottom w:val="nil"/>
              <w:right w:val="single" w:sz="8" w:space="0" w:color="A6A6A6" w:themeColor="background1" w:themeShade="A6"/>
            </w:tcBorders>
            <w:tcMar>
              <w:left w:w="70" w:type="dxa"/>
              <w:right w:w="70" w:type="dxa"/>
            </w:tcMar>
            <w:vAlign w:val="center"/>
          </w:tcPr>
          <w:p w14:paraId="349EA910" w14:textId="77777777" w:rsidR="008B35C9" w:rsidRPr="002E333D" w:rsidRDefault="008B35C9" w:rsidP="000A5389">
            <w:pPr>
              <w:spacing w:line="240" w:lineRule="auto"/>
              <w:jc w:val="center"/>
              <w:rPr>
                <w:rFonts w:cs="Times New Roman"/>
                <w:sz w:val="18"/>
                <w:szCs w:val="18"/>
              </w:rPr>
            </w:pPr>
            <w:r w:rsidRPr="002E333D">
              <w:rPr>
                <w:rFonts w:eastAsia="Times New Roman" w:cs="Times New Roman"/>
                <w:color w:val="000000" w:themeColor="text1"/>
                <w:sz w:val="18"/>
                <w:szCs w:val="18"/>
              </w:rPr>
              <w:t>Predial</w:t>
            </w:r>
          </w:p>
        </w:tc>
        <w:tc>
          <w:tcPr>
            <w:tcW w:w="1072" w:type="pct"/>
            <w:tcBorders>
              <w:top w:val="single" w:sz="8" w:space="0" w:color="A6A6A6" w:themeColor="background1" w:themeShade="A6"/>
              <w:left w:val="single" w:sz="8" w:space="0" w:color="A6A6A6" w:themeColor="background1" w:themeShade="A6"/>
              <w:bottom w:val="nil"/>
              <w:right w:val="single" w:sz="8" w:space="0" w:color="A6A6A6" w:themeColor="background1" w:themeShade="A6"/>
            </w:tcBorders>
            <w:tcMar>
              <w:left w:w="70" w:type="dxa"/>
              <w:right w:w="70" w:type="dxa"/>
            </w:tcMar>
            <w:vAlign w:val="center"/>
          </w:tcPr>
          <w:p w14:paraId="45C88961" w14:textId="77777777" w:rsidR="008B35C9" w:rsidRPr="002E333D" w:rsidRDefault="008B35C9" w:rsidP="000A5389">
            <w:pPr>
              <w:spacing w:line="240" w:lineRule="auto"/>
              <w:jc w:val="right"/>
              <w:rPr>
                <w:rFonts w:cs="Times New Roman"/>
                <w:sz w:val="18"/>
                <w:szCs w:val="18"/>
              </w:rPr>
            </w:pPr>
            <w:r w:rsidRPr="002E333D">
              <w:rPr>
                <w:rFonts w:eastAsia="Times New Roman" w:cs="Times New Roman"/>
                <w:color w:val="000000" w:themeColor="text1"/>
                <w:sz w:val="18"/>
                <w:szCs w:val="18"/>
              </w:rPr>
              <w:t xml:space="preserve">56.970.571 </w:t>
            </w:r>
          </w:p>
        </w:tc>
      </w:tr>
      <w:tr w:rsidR="008B35C9" w:rsidRPr="002E333D" w14:paraId="3021E5AB" w14:textId="77777777" w:rsidTr="00DE2EC7">
        <w:trPr>
          <w:trHeight w:val="300"/>
        </w:trPr>
        <w:tc>
          <w:tcPr>
            <w:tcW w:w="3049" w:type="pct"/>
            <w:tcBorders>
              <w:top w:val="single" w:sz="8" w:space="0" w:color="A6A6A6" w:themeColor="background1" w:themeShade="A6"/>
              <w:left w:val="single" w:sz="8" w:space="0" w:color="A6A6A6" w:themeColor="background1" w:themeShade="A6"/>
              <w:bottom w:val="nil"/>
              <w:right w:val="single" w:sz="8" w:space="0" w:color="A6A6A6" w:themeColor="background1" w:themeShade="A6"/>
            </w:tcBorders>
            <w:tcMar>
              <w:left w:w="70" w:type="dxa"/>
              <w:right w:w="70" w:type="dxa"/>
            </w:tcMar>
            <w:vAlign w:val="center"/>
          </w:tcPr>
          <w:p w14:paraId="11678ECC" w14:textId="77777777" w:rsidR="008B35C9" w:rsidRPr="002E333D" w:rsidRDefault="008B35C9" w:rsidP="000A5389">
            <w:pPr>
              <w:spacing w:line="240" w:lineRule="auto"/>
              <w:rPr>
                <w:rFonts w:cs="Times New Roman"/>
                <w:sz w:val="18"/>
                <w:szCs w:val="18"/>
              </w:rPr>
            </w:pPr>
            <w:r w:rsidRPr="002E333D">
              <w:rPr>
                <w:rFonts w:eastAsia="Times New Roman" w:cs="Times New Roman"/>
                <w:color w:val="000000" w:themeColor="text1"/>
                <w:sz w:val="18"/>
                <w:szCs w:val="18"/>
              </w:rPr>
              <w:t>Área Metropolitana de Cúcuta y Norte de Santander</w:t>
            </w:r>
          </w:p>
        </w:tc>
        <w:tc>
          <w:tcPr>
            <w:tcW w:w="879" w:type="pct"/>
            <w:tcBorders>
              <w:top w:val="single" w:sz="8" w:space="0" w:color="A6A6A6" w:themeColor="background1" w:themeShade="A6"/>
              <w:left w:val="single" w:sz="8" w:space="0" w:color="A6A6A6" w:themeColor="background1" w:themeShade="A6"/>
              <w:bottom w:val="nil"/>
              <w:right w:val="single" w:sz="8" w:space="0" w:color="A6A6A6" w:themeColor="background1" w:themeShade="A6"/>
            </w:tcBorders>
            <w:tcMar>
              <w:left w:w="70" w:type="dxa"/>
              <w:right w:w="70" w:type="dxa"/>
            </w:tcMar>
            <w:vAlign w:val="center"/>
          </w:tcPr>
          <w:p w14:paraId="4CDDE10E" w14:textId="77777777" w:rsidR="008B35C9" w:rsidRPr="002E333D" w:rsidRDefault="008B35C9" w:rsidP="000A5389">
            <w:pPr>
              <w:spacing w:line="240" w:lineRule="auto"/>
              <w:jc w:val="center"/>
              <w:rPr>
                <w:rFonts w:cs="Times New Roman"/>
                <w:sz w:val="18"/>
                <w:szCs w:val="18"/>
              </w:rPr>
            </w:pPr>
            <w:r w:rsidRPr="002E333D">
              <w:rPr>
                <w:rFonts w:eastAsia="Times New Roman" w:cs="Times New Roman"/>
                <w:color w:val="000000" w:themeColor="text1"/>
                <w:sz w:val="18"/>
                <w:szCs w:val="18"/>
              </w:rPr>
              <w:t>Predial</w:t>
            </w:r>
          </w:p>
        </w:tc>
        <w:tc>
          <w:tcPr>
            <w:tcW w:w="1072" w:type="pct"/>
            <w:tcBorders>
              <w:top w:val="single" w:sz="8" w:space="0" w:color="A6A6A6" w:themeColor="background1" w:themeShade="A6"/>
              <w:left w:val="single" w:sz="8" w:space="0" w:color="A6A6A6" w:themeColor="background1" w:themeShade="A6"/>
              <w:bottom w:val="nil"/>
              <w:right w:val="single" w:sz="8" w:space="0" w:color="A6A6A6" w:themeColor="background1" w:themeShade="A6"/>
            </w:tcBorders>
            <w:tcMar>
              <w:left w:w="70" w:type="dxa"/>
              <w:right w:w="70" w:type="dxa"/>
            </w:tcMar>
            <w:vAlign w:val="center"/>
          </w:tcPr>
          <w:p w14:paraId="770FB1B8" w14:textId="77777777" w:rsidR="008B35C9" w:rsidRPr="002E333D" w:rsidRDefault="008B35C9" w:rsidP="000A5389">
            <w:pPr>
              <w:spacing w:line="240" w:lineRule="auto"/>
              <w:jc w:val="right"/>
              <w:rPr>
                <w:rFonts w:cs="Times New Roman"/>
                <w:sz w:val="18"/>
                <w:szCs w:val="18"/>
              </w:rPr>
            </w:pPr>
            <w:r w:rsidRPr="002E333D">
              <w:rPr>
                <w:rFonts w:eastAsia="Times New Roman" w:cs="Times New Roman"/>
                <w:color w:val="000000" w:themeColor="text1"/>
                <w:sz w:val="18"/>
                <w:szCs w:val="18"/>
              </w:rPr>
              <w:t xml:space="preserve">40.336.716 </w:t>
            </w:r>
          </w:p>
        </w:tc>
      </w:tr>
      <w:tr w:rsidR="008B35C9" w:rsidRPr="002E333D" w14:paraId="4BAC4ED3" w14:textId="77777777" w:rsidTr="00DE2EC7">
        <w:trPr>
          <w:trHeight w:val="240"/>
        </w:trPr>
        <w:tc>
          <w:tcPr>
            <w:tcW w:w="3928" w:type="pct"/>
            <w:gridSpan w:val="2"/>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tcMar>
              <w:left w:w="70" w:type="dxa"/>
              <w:right w:w="70" w:type="dxa"/>
            </w:tcMar>
            <w:vAlign w:val="center"/>
          </w:tcPr>
          <w:p w14:paraId="1F74947C" w14:textId="77777777" w:rsidR="008B35C9" w:rsidRPr="002E333D" w:rsidRDefault="008B35C9" w:rsidP="000A5389">
            <w:pPr>
              <w:spacing w:line="240" w:lineRule="auto"/>
              <w:jc w:val="center"/>
              <w:rPr>
                <w:rFonts w:cs="Times New Roman"/>
                <w:sz w:val="18"/>
                <w:szCs w:val="18"/>
              </w:rPr>
            </w:pPr>
            <w:r w:rsidRPr="002E333D">
              <w:rPr>
                <w:rFonts w:eastAsia="Times New Roman" w:cs="Times New Roman"/>
                <w:b/>
                <w:bCs/>
                <w:color w:val="000000" w:themeColor="text1"/>
                <w:sz w:val="18"/>
                <w:szCs w:val="18"/>
              </w:rPr>
              <w:t>Total</w:t>
            </w:r>
          </w:p>
        </w:tc>
        <w:tc>
          <w:tcPr>
            <w:tcW w:w="1072" w:type="pct"/>
            <w:tcBorders>
              <w:top w:val="single" w:sz="8" w:space="0" w:color="A6A6A6" w:themeColor="background1" w:themeShade="A6"/>
              <w:left w:val="nil"/>
              <w:bottom w:val="single" w:sz="8" w:space="0" w:color="A6A6A6" w:themeColor="background1" w:themeShade="A6"/>
              <w:right w:val="single" w:sz="8" w:space="0" w:color="A6A6A6" w:themeColor="background1" w:themeShade="A6"/>
            </w:tcBorders>
            <w:tcMar>
              <w:left w:w="70" w:type="dxa"/>
              <w:right w:w="70" w:type="dxa"/>
            </w:tcMar>
            <w:vAlign w:val="center"/>
          </w:tcPr>
          <w:p w14:paraId="567117D6" w14:textId="77777777" w:rsidR="008B35C9" w:rsidRPr="002E333D" w:rsidRDefault="008B35C9" w:rsidP="000A5389">
            <w:pPr>
              <w:spacing w:line="240" w:lineRule="auto"/>
              <w:jc w:val="right"/>
              <w:rPr>
                <w:rFonts w:cs="Times New Roman"/>
                <w:sz w:val="18"/>
                <w:szCs w:val="18"/>
              </w:rPr>
            </w:pPr>
            <w:r w:rsidRPr="002E333D">
              <w:rPr>
                <w:rFonts w:eastAsia="Times New Roman" w:cs="Times New Roman"/>
                <w:b/>
                <w:bCs/>
                <w:color w:val="000000" w:themeColor="text1"/>
                <w:sz w:val="18"/>
                <w:szCs w:val="18"/>
              </w:rPr>
              <w:t>1.724.006.678</w:t>
            </w:r>
          </w:p>
        </w:tc>
      </w:tr>
    </w:tbl>
    <w:p w14:paraId="2C58C594" w14:textId="3E6DB9F7" w:rsidR="008B35C9" w:rsidRPr="00951AB1" w:rsidRDefault="008B35C9" w:rsidP="000A5389">
      <w:pPr>
        <w:spacing w:line="240" w:lineRule="auto"/>
        <w:rPr>
          <w:rFonts w:cs="Times New Roman"/>
          <w:sz w:val="16"/>
          <w:szCs w:val="16"/>
        </w:rPr>
      </w:pPr>
      <w:r w:rsidRPr="00951AB1">
        <w:rPr>
          <w:rFonts w:cs="Times New Roman"/>
          <w:sz w:val="16"/>
          <w:szCs w:val="16"/>
        </w:rPr>
        <w:t>Cifras</w:t>
      </w:r>
      <w:r w:rsidR="00532A1F">
        <w:rPr>
          <w:rFonts w:cs="Times New Roman"/>
          <w:sz w:val="16"/>
          <w:szCs w:val="16"/>
        </w:rPr>
        <w:t xml:space="preserve"> expresadas </w:t>
      </w:r>
      <w:r w:rsidRPr="00951AB1">
        <w:rPr>
          <w:rFonts w:cs="Times New Roman"/>
          <w:sz w:val="16"/>
          <w:szCs w:val="16"/>
        </w:rPr>
        <w:t xml:space="preserve">en pesos </w:t>
      </w:r>
    </w:p>
    <w:p w14:paraId="40029728" w14:textId="77777777" w:rsidR="00532A1F" w:rsidRDefault="00532A1F" w:rsidP="000A5389">
      <w:pPr>
        <w:spacing w:line="240" w:lineRule="auto"/>
        <w:rPr>
          <w:rFonts w:eastAsia="Times New Roman" w:cs="Times New Roman"/>
          <w:i/>
          <w:iCs/>
          <w:kern w:val="0"/>
          <w:szCs w:val="24"/>
          <w:u w:val="single"/>
          <w:lang w:eastAsia="es-CO"/>
          <w14:ligatures w14:val="none"/>
        </w:rPr>
      </w:pPr>
    </w:p>
    <w:p w14:paraId="269C6BEF" w14:textId="0124ACCD" w:rsidR="008B35C9" w:rsidRPr="00951AB1" w:rsidRDefault="008B35C9" w:rsidP="000A5389">
      <w:pPr>
        <w:spacing w:line="240" w:lineRule="auto"/>
        <w:rPr>
          <w:rFonts w:cs="Times New Roman"/>
          <w:szCs w:val="24"/>
        </w:rPr>
      </w:pPr>
      <w:r w:rsidRPr="00951AB1">
        <w:rPr>
          <w:rFonts w:eastAsia="Times New Roman" w:cs="Times New Roman"/>
          <w:i/>
          <w:iCs/>
          <w:kern w:val="0"/>
          <w:szCs w:val="24"/>
          <w:u w:val="single"/>
          <w:lang w:eastAsia="es-CO"/>
          <w14:ligatures w14:val="none"/>
        </w:rPr>
        <w:lastRenderedPageBreak/>
        <w:t>En administración</w:t>
      </w:r>
      <w:r w:rsidR="00B33C03" w:rsidRPr="00951AB1">
        <w:rPr>
          <w:rFonts w:eastAsia="Times New Roman" w:cs="Times New Roman"/>
          <w:i/>
          <w:iCs/>
          <w:kern w:val="0"/>
          <w:szCs w:val="24"/>
          <w:u w:val="single"/>
          <w:lang w:eastAsia="es-CO"/>
          <w14:ligatures w14:val="none"/>
        </w:rPr>
        <w:t>:</w:t>
      </w:r>
      <w:r w:rsidR="00B33C03" w:rsidRPr="00951AB1">
        <w:rPr>
          <w:rFonts w:eastAsia="Times New Roman" w:cs="Times New Roman"/>
          <w:b/>
          <w:bCs/>
          <w:kern w:val="0"/>
          <w:szCs w:val="24"/>
          <w:u w:val="single"/>
          <w:lang w:eastAsia="es-CO"/>
          <w14:ligatures w14:val="none"/>
        </w:rPr>
        <w:t xml:space="preserve"> </w:t>
      </w:r>
      <w:r w:rsidRPr="00951AB1">
        <w:rPr>
          <w:rFonts w:cs="Times New Roman"/>
          <w:szCs w:val="24"/>
        </w:rPr>
        <w:t>corresponde a convenios interadministrativos suscritos de los cuales la Agencia Nacional de Infraestructura es el titular del recurso.</w:t>
      </w:r>
    </w:p>
    <w:p w14:paraId="59E578BA" w14:textId="77777777" w:rsidR="008B35C9" w:rsidRPr="00951AB1" w:rsidRDefault="008B35C9" w:rsidP="000A5389">
      <w:pPr>
        <w:spacing w:line="240" w:lineRule="auto"/>
        <w:rPr>
          <w:rFonts w:cs="Times New Roman"/>
          <w:szCs w:val="24"/>
        </w:rPr>
      </w:pPr>
      <w:r w:rsidRPr="00951AB1">
        <w:rPr>
          <w:rFonts w:cs="Times New Roman"/>
          <w:szCs w:val="24"/>
        </w:rPr>
        <w:t>A continuación, se detallan los terceros y saldos contables:</w:t>
      </w:r>
    </w:p>
    <w:tbl>
      <w:tblPr>
        <w:tblW w:w="5000" w:type="pct"/>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shd w:val="clear" w:color="auto" w:fill="FFFFFF" w:themeFill="background1"/>
        <w:tblCellMar>
          <w:left w:w="70" w:type="dxa"/>
          <w:right w:w="70" w:type="dxa"/>
        </w:tblCellMar>
        <w:tblLook w:val="04A0" w:firstRow="1" w:lastRow="0" w:firstColumn="1" w:lastColumn="0" w:noHBand="0" w:noVBand="1"/>
      </w:tblPr>
      <w:tblGrid>
        <w:gridCol w:w="1596"/>
        <w:gridCol w:w="5636"/>
        <w:gridCol w:w="1596"/>
      </w:tblGrid>
      <w:tr w:rsidR="008B35C9" w:rsidRPr="002E333D" w14:paraId="70F4EE18" w14:textId="77777777" w:rsidTr="00B33C03">
        <w:trPr>
          <w:trHeight w:val="340"/>
          <w:tblHeader/>
        </w:trPr>
        <w:tc>
          <w:tcPr>
            <w:tcW w:w="4096" w:type="pct"/>
            <w:gridSpan w:val="2"/>
            <w:shd w:val="clear" w:color="auto" w:fill="FFFFFF" w:themeFill="background1"/>
            <w:noWrap/>
            <w:vAlign w:val="center"/>
            <w:hideMark/>
          </w:tcPr>
          <w:p w14:paraId="53556DA8" w14:textId="77777777" w:rsidR="008B35C9" w:rsidRPr="002E333D" w:rsidRDefault="008B35C9" w:rsidP="000A5389">
            <w:pPr>
              <w:spacing w:line="240" w:lineRule="auto"/>
              <w:jc w:val="center"/>
              <w:rPr>
                <w:rFonts w:eastAsia="Times New Roman" w:cs="Times New Roman"/>
                <w:b/>
                <w:bCs/>
                <w:color w:val="000000"/>
                <w:kern w:val="0"/>
                <w:sz w:val="18"/>
                <w:szCs w:val="18"/>
                <w:lang w:eastAsia="es-CO"/>
                <w14:ligatures w14:val="none"/>
              </w:rPr>
            </w:pPr>
            <w:r w:rsidRPr="002E333D">
              <w:rPr>
                <w:rFonts w:eastAsia="Times New Roman" w:cs="Times New Roman"/>
                <w:b/>
                <w:bCs/>
                <w:color w:val="000000"/>
                <w:kern w:val="0"/>
                <w:sz w:val="18"/>
                <w:szCs w:val="18"/>
                <w:lang w:eastAsia="es-CO"/>
                <w14:ligatures w14:val="none"/>
              </w:rPr>
              <w:t>TERCERO</w:t>
            </w:r>
          </w:p>
        </w:tc>
        <w:tc>
          <w:tcPr>
            <w:tcW w:w="904" w:type="pct"/>
            <w:shd w:val="clear" w:color="auto" w:fill="FFFFFF" w:themeFill="background1"/>
            <w:noWrap/>
            <w:vAlign w:val="center"/>
            <w:hideMark/>
          </w:tcPr>
          <w:p w14:paraId="0F5CAA10" w14:textId="77777777" w:rsidR="008B35C9" w:rsidRPr="002E333D" w:rsidRDefault="008B35C9" w:rsidP="000A5389">
            <w:pPr>
              <w:spacing w:line="240" w:lineRule="auto"/>
              <w:jc w:val="center"/>
              <w:rPr>
                <w:rFonts w:eastAsia="Times New Roman" w:cs="Times New Roman"/>
                <w:b/>
                <w:bCs/>
                <w:color w:val="000000"/>
                <w:kern w:val="0"/>
                <w:sz w:val="18"/>
                <w:szCs w:val="18"/>
                <w:lang w:eastAsia="es-CO"/>
                <w14:ligatures w14:val="none"/>
              </w:rPr>
            </w:pPr>
            <w:r w:rsidRPr="002E333D">
              <w:rPr>
                <w:rFonts w:eastAsia="Times New Roman" w:cs="Times New Roman"/>
                <w:b/>
                <w:bCs/>
                <w:color w:val="000000"/>
                <w:kern w:val="0"/>
                <w:sz w:val="18"/>
                <w:szCs w:val="18"/>
                <w:lang w:eastAsia="es-CO"/>
                <w14:ligatures w14:val="none"/>
              </w:rPr>
              <w:t>VALOR</w:t>
            </w:r>
          </w:p>
        </w:tc>
      </w:tr>
      <w:tr w:rsidR="008B35C9" w:rsidRPr="002E333D" w14:paraId="48B28F91" w14:textId="77777777" w:rsidTr="00B33C03">
        <w:trPr>
          <w:trHeight w:val="340"/>
        </w:trPr>
        <w:tc>
          <w:tcPr>
            <w:tcW w:w="904" w:type="pct"/>
            <w:shd w:val="clear" w:color="auto" w:fill="FFFFFF" w:themeFill="background1"/>
            <w:vAlign w:val="center"/>
            <w:hideMark/>
          </w:tcPr>
          <w:p w14:paraId="7F5EF717" w14:textId="77777777" w:rsidR="008B35C9" w:rsidRPr="002E333D" w:rsidRDefault="008B35C9" w:rsidP="000A5389">
            <w:pPr>
              <w:spacing w:line="240" w:lineRule="auto"/>
              <w:rPr>
                <w:rFonts w:eastAsia="Times New Roman" w:cs="Times New Roman"/>
                <w:color w:val="000000"/>
                <w:kern w:val="0"/>
                <w:sz w:val="18"/>
                <w:szCs w:val="18"/>
                <w:lang w:eastAsia="es-CO"/>
                <w14:ligatures w14:val="none"/>
              </w:rPr>
            </w:pPr>
            <w:r w:rsidRPr="002E333D">
              <w:rPr>
                <w:rFonts w:eastAsia="Times New Roman" w:cs="Times New Roman"/>
                <w:color w:val="000000"/>
                <w:kern w:val="0"/>
                <w:sz w:val="18"/>
                <w:szCs w:val="18"/>
                <w:lang w:eastAsia="es-CO"/>
                <w14:ligatures w14:val="none"/>
              </w:rPr>
              <w:t>860525148</w:t>
            </w:r>
          </w:p>
        </w:tc>
        <w:tc>
          <w:tcPr>
            <w:tcW w:w="3192" w:type="pct"/>
            <w:shd w:val="clear" w:color="auto" w:fill="FFFFFF" w:themeFill="background1"/>
            <w:vAlign w:val="center"/>
            <w:hideMark/>
          </w:tcPr>
          <w:p w14:paraId="793A2E9B" w14:textId="271CB1B0" w:rsidR="008B35C9" w:rsidRPr="002E333D" w:rsidRDefault="00B33C03" w:rsidP="000A5389">
            <w:pPr>
              <w:spacing w:line="240" w:lineRule="auto"/>
              <w:rPr>
                <w:rFonts w:eastAsia="Times New Roman" w:cs="Times New Roman"/>
                <w:color w:val="000000"/>
                <w:kern w:val="0"/>
                <w:sz w:val="18"/>
                <w:szCs w:val="18"/>
                <w:lang w:eastAsia="es-CO"/>
                <w14:ligatures w14:val="none"/>
              </w:rPr>
            </w:pPr>
            <w:r w:rsidRPr="002E333D">
              <w:rPr>
                <w:rFonts w:eastAsia="Times New Roman" w:cs="Times New Roman"/>
                <w:color w:val="000000"/>
                <w:kern w:val="0"/>
                <w:sz w:val="18"/>
                <w:szCs w:val="18"/>
                <w:lang w:eastAsia="es-CO"/>
                <w14:ligatures w14:val="none"/>
              </w:rPr>
              <w:t xml:space="preserve">Fiduciaria La Previsora S.A. </w:t>
            </w:r>
          </w:p>
        </w:tc>
        <w:tc>
          <w:tcPr>
            <w:tcW w:w="904" w:type="pct"/>
            <w:shd w:val="clear" w:color="auto" w:fill="FFFFFF" w:themeFill="background1"/>
            <w:vAlign w:val="center"/>
            <w:hideMark/>
          </w:tcPr>
          <w:p w14:paraId="481AD6E3" w14:textId="77777777" w:rsidR="008B35C9" w:rsidRPr="002E333D" w:rsidRDefault="008B35C9" w:rsidP="000A5389">
            <w:pPr>
              <w:spacing w:line="240" w:lineRule="auto"/>
              <w:jc w:val="right"/>
              <w:rPr>
                <w:rFonts w:eastAsia="Times New Roman" w:cs="Times New Roman"/>
                <w:color w:val="000000"/>
                <w:kern w:val="0"/>
                <w:sz w:val="18"/>
                <w:szCs w:val="18"/>
                <w:lang w:eastAsia="es-CO"/>
                <w14:ligatures w14:val="none"/>
              </w:rPr>
            </w:pPr>
            <w:r w:rsidRPr="002E333D">
              <w:rPr>
                <w:rFonts w:eastAsia="Times New Roman" w:cs="Times New Roman"/>
                <w:color w:val="000000"/>
                <w:kern w:val="0"/>
                <w:sz w:val="18"/>
                <w:szCs w:val="18"/>
                <w:lang w:eastAsia="es-CO"/>
                <w14:ligatures w14:val="none"/>
              </w:rPr>
              <w:t>548.155.737.844</w:t>
            </w:r>
          </w:p>
        </w:tc>
      </w:tr>
      <w:tr w:rsidR="008B35C9" w:rsidRPr="002E333D" w14:paraId="70FA47A5" w14:textId="77777777" w:rsidTr="00B33C03">
        <w:trPr>
          <w:trHeight w:val="340"/>
        </w:trPr>
        <w:tc>
          <w:tcPr>
            <w:tcW w:w="904" w:type="pct"/>
            <w:shd w:val="clear" w:color="auto" w:fill="FFFFFF" w:themeFill="background1"/>
            <w:vAlign w:val="center"/>
            <w:hideMark/>
          </w:tcPr>
          <w:p w14:paraId="053A83FF" w14:textId="77777777" w:rsidR="008B35C9" w:rsidRPr="002E333D" w:rsidRDefault="008B35C9" w:rsidP="000A5389">
            <w:pPr>
              <w:spacing w:line="240" w:lineRule="auto"/>
              <w:rPr>
                <w:rFonts w:eastAsia="Times New Roman" w:cs="Times New Roman"/>
                <w:color w:val="000000"/>
                <w:kern w:val="0"/>
                <w:sz w:val="18"/>
                <w:szCs w:val="18"/>
                <w:lang w:eastAsia="es-CO"/>
                <w14:ligatures w14:val="none"/>
              </w:rPr>
            </w:pPr>
            <w:r w:rsidRPr="002E333D">
              <w:rPr>
                <w:rFonts w:eastAsia="Times New Roman" w:cs="Times New Roman"/>
                <w:color w:val="000000"/>
                <w:kern w:val="0"/>
                <w:sz w:val="18"/>
                <w:szCs w:val="18"/>
                <w:lang w:eastAsia="es-CO"/>
                <w14:ligatures w14:val="none"/>
              </w:rPr>
              <w:t>800096329</w:t>
            </w:r>
          </w:p>
        </w:tc>
        <w:tc>
          <w:tcPr>
            <w:tcW w:w="3192" w:type="pct"/>
            <w:shd w:val="clear" w:color="auto" w:fill="FFFFFF" w:themeFill="background1"/>
            <w:vAlign w:val="center"/>
            <w:hideMark/>
          </w:tcPr>
          <w:p w14:paraId="30E68AB4" w14:textId="3C65255D" w:rsidR="008B35C9" w:rsidRPr="002E333D" w:rsidRDefault="00B33C03" w:rsidP="000A5389">
            <w:pPr>
              <w:spacing w:line="240" w:lineRule="auto"/>
              <w:rPr>
                <w:rFonts w:eastAsia="Times New Roman" w:cs="Times New Roman"/>
                <w:color w:val="000000"/>
                <w:kern w:val="0"/>
                <w:sz w:val="18"/>
                <w:szCs w:val="18"/>
                <w:lang w:eastAsia="es-CO"/>
                <w14:ligatures w14:val="none"/>
              </w:rPr>
            </w:pPr>
            <w:r w:rsidRPr="002E333D">
              <w:rPr>
                <w:rFonts w:eastAsia="Times New Roman" w:cs="Times New Roman"/>
                <w:color w:val="000000"/>
                <w:kern w:val="0"/>
                <w:sz w:val="18"/>
                <w:szCs w:val="18"/>
                <w:lang w:eastAsia="es-CO"/>
                <w14:ligatures w14:val="none"/>
              </w:rPr>
              <w:t>Financiera De Desarrollo Territorial S A Findeter</w:t>
            </w:r>
          </w:p>
        </w:tc>
        <w:tc>
          <w:tcPr>
            <w:tcW w:w="904" w:type="pct"/>
            <w:shd w:val="clear" w:color="auto" w:fill="FFFFFF" w:themeFill="background1"/>
            <w:vAlign w:val="center"/>
            <w:hideMark/>
          </w:tcPr>
          <w:p w14:paraId="1763F6A8" w14:textId="77777777" w:rsidR="008B35C9" w:rsidRPr="002E333D" w:rsidRDefault="008B35C9" w:rsidP="000A5389">
            <w:pPr>
              <w:spacing w:line="240" w:lineRule="auto"/>
              <w:jc w:val="right"/>
              <w:rPr>
                <w:rFonts w:eastAsia="Times New Roman" w:cs="Times New Roman"/>
                <w:color w:val="000000"/>
                <w:kern w:val="0"/>
                <w:sz w:val="18"/>
                <w:szCs w:val="18"/>
                <w:lang w:eastAsia="es-CO"/>
                <w14:ligatures w14:val="none"/>
              </w:rPr>
            </w:pPr>
            <w:r w:rsidRPr="002E333D">
              <w:rPr>
                <w:rFonts w:eastAsia="Times New Roman" w:cs="Times New Roman"/>
                <w:color w:val="000000"/>
                <w:kern w:val="0"/>
                <w:sz w:val="18"/>
                <w:szCs w:val="18"/>
                <w:lang w:eastAsia="es-CO"/>
                <w14:ligatures w14:val="none"/>
              </w:rPr>
              <w:t>136.719.921.859</w:t>
            </w:r>
          </w:p>
        </w:tc>
      </w:tr>
      <w:tr w:rsidR="008B35C9" w:rsidRPr="002E333D" w14:paraId="75AE47D8" w14:textId="77777777" w:rsidTr="00B33C03">
        <w:trPr>
          <w:trHeight w:val="340"/>
        </w:trPr>
        <w:tc>
          <w:tcPr>
            <w:tcW w:w="904" w:type="pct"/>
            <w:shd w:val="clear" w:color="auto" w:fill="FFFFFF" w:themeFill="background1"/>
            <w:vAlign w:val="center"/>
            <w:hideMark/>
          </w:tcPr>
          <w:p w14:paraId="4C9B831F" w14:textId="77777777" w:rsidR="008B35C9" w:rsidRPr="002E333D" w:rsidRDefault="008B35C9" w:rsidP="000A5389">
            <w:pPr>
              <w:spacing w:line="240" w:lineRule="auto"/>
              <w:rPr>
                <w:rFonts w:eastAsia="Times New Roman" w:cs="Times New Roman"/>
                <w:color w:val="000000"/>
                <w:kern w:val="0"/>
                <w:sz w:val="18"/>
                <w:szCs w:val="18"/>
                <w:lang w:eastAsia="es-CO"/>
                <w14:ligatures w14:val="none"/>
              </w:rPr>
            </w:pPr>
            <w:r w:rsidRPr="002E333D">
              <w:rPr>
                <w:rFonts w:eastAsia="Times New Roman" w:cs="Times New Roman"/>
                <w:color w:val="000000"/>
                <w:kern w:val="0"/>
                <w:sz w:val="18"/>
                <w:szCs w:val="18"/>
                <w:lang w:eastAsia="es-CO"/>
                <w14:ligatures w14:val="none"/>
              </w:rPr>
              <w:t>899999090</w:t>
            </w:r>
          </w:p>
        </w:tc>
        <w:tc>
          <w:tcPr>
            <w:tcW w:w="3192" w:type="pct"/>
            <w:shd w:val="clear" w:color="auto" w:fill="FFFFFF" w:themeFill="background1"/>
            <w:vAlign w:val="center"/>
            <w:hideMark/>
          </w:tcPr>
          <w:p w14:paraId="0502119C" w14:textId="21065713" w:rsidR="008B35C9" w:rsidRPr="002E333D" w:rsidRDefault="00B33C03" w:rsidP="000A5389">
            <w:pPr>
              <w:spacing w:line="240" w:lineRule="auto"/>
              <w:rPr>
                <w:rFonts w:eastAsia="Times New Roman" w:cs="Times New Roman"/>
                <w:color w:val="000000"/>
                <w:kern w:val="0"/>
                <w:sz w:val="18"/>
                <w:szCs w:val="18"/>
                <w:lang w:eastAsia="es-CO"/>
                <w14:ligatures w14:val="none"/>
              </w:rPr>
            </w:pPr>
            <w:r w:rsidRPr="002E333D">
              <w:rPr>
                <w:rFonts w:eastAsia="Times New Roman" w:cs="Times New Roman"/>
                <w:color w:val="000000"/>
                <w:kern w:val="0"/>
                <w:sz w:val="18"/>
                <w:szCs w:val="18"/>
                <w:lang w:eastAsia="es-CO"/>
                <w14:ligatures w14:val="none"/>
              </w:rPr>
              <w:t>Ministerio De Hacienda Y Credito Publico</w:t>
            </w:r>
          </w:p>
        </w:tc>
        <w:tc>
          <w:tcPr>
            <w:tcW w:w="904" w:type="pct"/>
            <w:shd w:val="clear" w:color="auto" w:fill="FFFFFF" w:themeFill="background1"/>
            <w:vAlign w:val="center"/>
            <w:hideMark/>
          </w:tcPr>
          <w:p w14:paraId="3B6A3CE1" w14:textId="77777777" w:rsidR="008B35C9" w:rsidRPr="002E333D" w:rsidRDefault="008B35C9" w:rsidP="000A5389">
            <w:pPr>
              <w:spacing w:line="240" w:lineRule="auto"/>
              <w:jc w:val="right"/>
              <w:rPr>
                <w:rFonts w:eastAsia="Times New Roman" w:cs="Times New Roman"/>
                <w:color w:val="000000"/>
                <w:kern w:val="0"/>
                <w:sz w:val="18"/>
                <w:szCs w:val="18"/>
                <w:lang w:eastAsia="es-CO"/>
                <w14:ligatures w14:val="none"/>
              </w:rPr>
            </w:pPr>
            <w:r w:rsidRPr="002E333D">
              <w:rPr>
                <w:rFonts w:eastAsia="Times New Roman" w:cs="Times New Roman"/>
                <w:color w:val="000000"/>
                <w:kern w:val="0"/>
                <w:sz w:val="18"/>
                <w:szCs w:val="18"/>
                <w:lang w:eastAsia="es-CO"/>
                <w14:ligatures w14:val="none"/>
              </w:rPr>
              <w:t>26.492.061.131</w:t>
            </w:r>
          </w:p>
        </w:tc>
      </w:tr>
      <w:tr w:rsidR="008B35C9" w:rsidRPr="002E333D" w14:paraId="35A14785" w14:textId="77777777" w:rsidTr="00B33C03">
        <w:trPr>
          <w:trHeight w:val="340"/>
        </w:trPr>
        <w:tc>
          <w:tcPr>
            <w:tcW w:w="904" w:type="pct"/>
            <w:shd w:val="clear" w:color="auto" w:fill="FFFFFF" w:themeFill="background1"/>
            <w:vAlign w:val="center"/>
            <w:hideMark/>
          </w:tcPr>
          <w:p w14:paraId="3A072DF1" w14:textId="77777777" w:rsidR="008B35C9" w:rsidRPr="002E333D" w:rsidRDefault="008B35C9" w:rsidP="000A5389">
            <w:pPr>
              <w:spacing w:line="240" w:lineRule="auto"/>
              <w:rPr>
                <w:rFonts w:eastAsia="Times New Roman" w:cs="Times New Roman"/>
                <w:color w:val="000000"/>
                <w:kern w:val="0"/>
                <w:sz w:val="18"/>
                <w:szCs w:val="18"/>
                <w:lang w:eastAsia="es-CO"/>
                <w14:ligatures w14:val="none"/>
              </w:rPr>
            </w:pPr>
            <w:r w:rsidRPr="002E333D">
              <w:rPr>
                <w:rFonts w:eastAsia="Times New Roman" w:cs="Times New Roman"/>
                <w:color w:val="000000"/>
                <w:kern w:val="0"/>
                <w:sz w:val="18"/>
                <w:szCs w:val="18"/>
                <w:lang w:eastAsia="es-CO"/>
                <w14:ligatures w14:val="none"/>
              </w:rPr>
              <w:t>800215807</w:t>
            </w:r>
          </w:p>
        </w:tc>
        <w:tc>
          <w:tcPr>
            <w:tcW w:w="3192" w:type="pct"/>
            <w:shd w:val="clear" w:color="auto" w:fill="FFFFFF" w:themeFill="background1"/>
            <w:vAlign w:val="center"/>
            <w:hideMark/>
          </w:tcPr>
          <w:p w14:paraId="407A55C9" w14:textId="460EAB45" w:rsidR="008B35C9" w:rsidRPr="002E333D" w:rsidRDefault="00B33C03" w:rsidP="000A5389">
            <w:pPr>
              <w:spacing w:line="240" w:lineRule="auto"/>
              <w:rPr>
                <w:rFonts w:eastAsia="Times New Roman" w:cs="Times New Roman"/>
                <w:color w:val="000000"/>
                <w:kern w:val="0"/>
                <w:sz w:val="18"/>
                <w:szCs w:val="18"/>
                <w:lang w:eastAsia="es-CO"/>
                <w14:ligatures w14:val="none"/>
              </w:rPr>
            </w:pPr>
            <w:r w:rsidRPr="002E333D">
              <w:rPr>
                <w:rFonts w:eastAsia="Times New Roman" w:cs="Times New Roman"/>
                <w:color w:val="000000"/>
                <w:kern w:val="0"/>
                <w:sz w:val="18"/>
                <w:szCs w:val="18"/>
                <w:lang w:eastAsia="es-CO"/>
                <w14:ligatures w14:val="none"/>
              </w:rPr>
              <w:t>Instituto Nacional De Vias</w:t>
            </w:r>
          </w:p>
        </w:tc>
        <w:tc>
          <w:tcPr>
            <w:tcW w:w="904" w:type="pct"/>
            <w:shd w:val="clear" w:color="auto" w:fill="FFFFFF" w:themeFill="background1"/>
            <w:vAlign w:val="center"/>
            <w:hideMark/>
          </w:tcPr>
          <w:p w14:paraId="3039D4B1" w14:textId="77777777" w:rsidR="008B35C9" w:rsidRPr="002E333D" w:rsidRDefault="008B35C9" w:rsidP="000A5389">
            <w:pPr>
              <w:spacing w:line="240" w:lineRule="auto"/>
              <w:jc w:val="right"/>
              <w:rPr>
                <w:rFonts w:eastAsia="Times New Roman" w:cs="Times New Roman"/>
                <w:color w:val="000000"/>
                <w:kern w:val="0"/>
                <w:sz w:val="18"/>
                <w:szCs w:val="18"/>
                <w:lang w:eastAsia="es-CO"/>
                <w14:ligatures w14:val="none"/>
              </w:rPr>
            </w:pPr>
            <w:r w:rsidRPr="002E333D">
              <w:rPr>
                <w:rFonts w:eastAsia="Times New Roman" w:cs="Times New Roman"/>
                <w:color w:val="000000"/>
                <w:kern w:val="0"/>
                <w:sz w:val="18"/>
                <w:szCs w:val="18"/>
                <w:lang w:eastAsia="es-CO"/>
                <w14:ligatures w14:val="none"/>
              </w:rPr>
              <w:t>21.754.153.842</w:t>
            </w:r>
          </w:p>
        </w:tc>
      </w:tr>
      <w:tr w:rsidR="008B35C9" w:rsidRPr="002E333D" w14:paraId="6AE02D48" w14:textId="77777777" w:rsidTr="00B33C03">
        <w:trPr>
          <w:trHeight w:val="340"/>
        </w:trPr>
        <w:tc>
          <w:tcPr>
            <w:tcW w:w="904" w:type="pct"/>
            <w:shd w:val="clear" w:color="auto" w:fill="FFFFFF" w:themeFill="background1"/>
            <w:vAlign w:val="center"/>
            <w:hideMark/>
          </w:tcPr>
          <w:p w14:paraId="07417C28" w14:textId="77777777" w:rsidR="008B35C9" w:rsidRPr="002E333D" w:rsidRDefault="008B35C9" w:rsidP="000A5389">
            <w:pPr>
              <w:spacing w:line="240" w:lineRule="auto"/>
              <w:rPr>
                <w:rFonts w:eastAsia="Times New Roman" w:cs="Times New Roman"/>
                <w:color w:val="000000"/>
                <w:kern w:val="0"/>
                <w:sz w:val="18"/>
                <w:szCs w:val="18"/>
                <w:lang w:eastAsia="es-CO"/>
                <w14:ligatures w14:val="none"/>
              </w:rPr>
            </w:pPr>
            <w:r w:rsidRPr="002E333D">
              <w:rPr>
                <w:rFonts w:eastAsia="Times New Roman" w:cs="Times New Roman"/>
                <w:color w:val="000000"/>
                <w:kern w:val="0"/>
                <w:sz w:val="18"/>
                <w:szCs w:val="18"/>
                <w:lang w:eastAsia="es-CO"/>
                <w14:ligatures w14:val="none"/>
              </w:rPr>
              <w:t>900531210</w:t>
            </w:r>
          </w:p>
        </w:tc>
        <w:tc>
          <w:tcPr>
            <w:tcW w:w="3192" w:type="pct"/>
            <w:shd w:val="clear" w:color="auto" w:fill="FFFFFF" w:themeFill="background1"/>
            <w:vAlign w:val="center"/>
            <w:hideMark/>
          </w:tcPr>
          <w:p w14:paraId="7644BEE7" w14:textId="4DB05244" w:rsidR="008B35C9" w:rsidRPr="002E333D" w:rsidRDefault="00B33C03" w:rsidP="000A5389">
            <w:pPr>
              <w:spacing w:line="240" w:lineRule="auto"/>
              <w:rPr>
                <w:rFonts w:eastAsia="Times New Roman" w:cs="Times New Roman"/>
                <w:color w:val="000000"/>
                <w:kern w:val="0"/>
                <w:sz w:val="18"/>
                <w:szCs w:val="18"/>
                <w:lang w:eastAsia="es-CO"/>
                <w14:ligatures w14:val="none"/>
              </w:rPr>
            </w:pPr>
            <w:r w:rsidRPr="002E333D">
              <w:rPr>
                <w:rFonts w:eastAsia="Times New Roman" w:cs="Times New Roman"/>
                <w:color w:val="000000"/>
                <w:kern w:val="0"/>
                <w:sz w:val="18"/>
                <w:szCs w:val="18"/>
                <w:lang w:eastAsia="es-CO"/>
                <w14:ligatures w14:val="none"/>
              </w:rPr>
              <w:t>Cenit Transporte Y Logística De Hidrocarburos S.A.S.</w:t>
            </w:r>
          </w:p>
        </w:tc>
        <w:tc>
          <w:tcPr>
            <w:tcW w:w="904" w:type="pct"/>
            <w:shd w:val="clear" w:color="auto" w:fill="FFFFFF" w:themeFill="background1"/>
            <w:vAlign w:val="center"/>
            <w:hideMark/>
          </w:tcPr>
          <w:p w14:paraId="465CA2D9" w14:textId="77777777" w:rsidR="008B35C9" w:rsidRPr="002E333D" w:rsidRDefault="008B35C9" w:rsidP="000A5389">
            <w:pPr>
              <w:spacing w:line="240" w:lineRule="auto"/>
              <w:jc w:val="right"/>
              <w:rPr>
                <w:rFonts w:eastAsia="Times New Roman" w:cs="Times New Roman"/>
                <w:color w:val="000000"/>
                <w:kern w:val="0"/>
                <w:sz w:val="18"/>
                <w:szCs w:val="18"/>
                <w:lang w:eastAsia="es-CO"/>
                <w14:ligatures w14:val="none"/>
              </w:rPr>
            </w:pPr>
            <w:r w:rsidRPr="002E333D">
              <w:rPr>
                <w:rFonts w:eastAsia="Times New Roman" w:cs="Times New Roman"/>
                <w:color w:val="000000"/>
                <w:kern w:val="0"/>
                <w:sz w:val="18"/>
                <w:szCs w:val="18"/>
                <w:lang w:eastAsia="es-CO"/>
                <w14:ligatures w14:val="none"/>
              </w:rPr>
              <w:t>12.486.397.489</w:t>
            </w:r>
          </w:p>
        </w:tc>
      </w:tr>
      <w:tr w:rsidR="008B35C9" w:rsidRPr="002E333D" w14:paraId="10BCBAF7" w14:textId="77777777" w:rsidTr="00B33C03">
        <w:trPr>
          <w:trHeight w:val="340"/>
        </w:trPr>
        <w:tc>
          <w:tcPr>
            <w:tcW w:w="904" w:type="pct"/>
            <w:shd w:val="clear" w:color="auto" w:fill="FFFFFF" w:themeFill="background1"/>
            <w:vAlign w:val="center"/>
            <w:hideMark/>
          </w:tcPr>
          <w:p w14:paraId="353603D1" w14:textId="77777777" w:rsidR="008B35C9" w:rsidRPr="002E333D" w:rsidRDefault="008B35C9" w:rsidP="000A5389">
            <w:pPr>
              <w:spacing w:line="240" w:lineRule="auto"/>
              <w:rPr>
                <w:rFonts w:eastAsia="Times New Roman" w:cs="Times New Roman"/>
                <w:color w:val="000000"/>
                <w:kern w:val="0"/>
                <w:sz w:val="18"/>
                <w:szCs w:val="18"/>
                <w:lang w:eastAsia="es-CO"/>
                <w14:ligatures w14:val="none"/>
              </w:rPr>
            </w:pPr>
            <w:r w:rsidRPr="002E333D">
              <w:rPr>
                <w:rFonts w:eastAsia="Times New Roman" w:cs="Times New Roman"/>
                <w:color w:val="000000"/>
                <w:kern w:val="0"/>
                <w:sz w:val="18"/>
                <w:szCs w:val="18"/>
                <w:lang w:eastAsia="es-CO"/>
                <w14:ligatures w14:val="none"/>
              </w:rPr>
              <w:t>860509022</w:t>
            </w:r>
          </w:p>
        </w:tc>
        <w:tc>
          <w:tcPr>
            <w:tcW w:w="3192" w:type="pct"/>
            <w:shd w:val="clear" w:color="auto" w:fill="FFFFFF" w:themeFill="background1"/>
            <w:vAlign w:val="center"/>
            <w:hideMark/>
          </w:tcPr>
          <w:p w14:paraId="743D28B0" w14:textId="365E7C88" w:rsidR="008B35C9" w:rsidRPr="002E333D" w:rsidRDefault="00B33C03" w:rsidP="000A5389">
            <w:pPr>
              <w:spacing w:line="240" w:lineRule="auto"/>
              <w:rPr>
                <w:rFonts w:eastAsia="Times New Roman" w:cs="Times New Roman"/>
                <w:color w:val="000000"/>
                <w:kern w:val="0"/>
                <w:sz w:val="18"/>
                <w:szCs w:val="18"/>
                <w:lang w:eastAsia="es-CO"/>
                <w14:ligatures w14:val="none"/>
              </w:rPr>
            </w:pPr>
            <w:r w:rsidRPr="002E333D">
              <w:rPr>
                <w:rFonts w:eastAsia="Times New Roman" w:cs="Times New Roman"/>
                <w:color w:val="000000"/>
                <w:kern w:val="0"/>
                <w:sz w:val="18"/>
                <w:szCs w:val="18"/>
                <w:lang w:eastAsia="es-CO"/>
                <w14:ligatures w14:val="none"/>
              </w:rPr>
              <w:t xml:space="preserve">Financiera De Desarrollo Nacional S.A. </w:t>
            </w:r>
          </w:p>
        </w:tc>
        <w:tc>
          <w:tcPr>
            <w:tcW w:w="904" w:type="pct"/>
            <w:shd w:val="clear" w:color="auto" w:fill="FFFFFF" w:themeFill="background1"/>
            <w:vAlign w:val="center"/>
            <w:hideMark/>
          </w:tcPr>
          <w:p w14:paraId="694ED7E1" w14:textId="77777777" w:rsidR="008B35C9" w:rsidRPr="002E333D" w:rsidRDefault="008B35C9" w:rsidP="000A5389">
            <w:pPr>
              <w:spacing w:line="240" w:lineRule="auto"/>
              <w:jc w:val="right"/>
              <w:rPr>
                <w:rFonts w:eastAsia="Times New Roman" w:cs="Times New Roman"/>
                <w:color w:val="000000"/>
                <w:kern w:val="0"/>
                <w:sz w:val="18"/>
                <w:szCs w:val="18"/>
                <w:lang w:eastAsia="es-CO"/>
                <w14:ligatures w14:val="none"/>
              </w:rPr>
            </w:pPr>
            <w:r w:rsidRPr="002E333D">
              <w:rPr>
                <w:rFonts w:eastAsia="Times New Roman" w:cs="Times New Roman"/>
                <w:color w:val="000000"/>
                <w:kern w:val="0"/>
                <w:sz w:val="18"/>
                <w:szCs w:val="18"/>
                <w:lang w:eastAsia="es-CO"/>
                <w14:ligatures w14:val="none"/>
              </w:rPr>
              <w:t>10.150.184.784</w:t>
            </w:r>
          </w:p>
        </w:tc>
      </w:tr>
      <w:tr w:rsidR="008B35C9" w:rsidRPr="002E333D" w14:paraId="68EE465F" w14:textId="77777777" w:rsidTr="00B33C03">
        <w:trPr>
          <w:trHeight w:val="340"/>
        </w:trPr>
        <w:tc>
          <w:tcPr>
            <w:tcW w:w="904" w:type="pct"/>
            <w:shd w:val="clear" w:color="auto" w:fill="FFFFFF" w:themeFill="background1"/>
            <w:vAlign w:val="center"/>
            <w:hideMark/>
          </w:tcPr>
          <w:p w14:paraId="335D629C" w14:textId="77777777" w:rsidR="008B35C9" w:rsidRPr="002E333D" w:rsidRDefault="008B35C9" w:rsidP="000A5389">
            <w:pPr>
              <w:spacing w:line="240" w:lineRule="auto"/>
              <w:rPr>
                <w:rFonts w:eastAsia="Times New Roman" w:cs="Times New Roman"/>
                <w:color w:val="000000"/>
                <w:kern w:val="0"/>
                <w:sz w:val="18"/>
                <w:szCs w:val="18"/>
                <w:lang w:eastAsia="es-CO"/>
                <w14:ligatures w14:val="none"/>
              </w:rPr>
            </w:pPr>
            <w:r w:rsidRPr="002E333D">
              <w:rPr>
                <w:rFonts w:eastAsia="Times New Roman" w:cs="Times New Roman"/>
                <w:color w:val="000000"/>
                <w:kern w:val="0"/>
                <w:sz w:val="18"/>
                <w:szCs w:val="18"/>
                <w:lang w:eastAsia="es-CO"/>
                <w14:ligatures w14:val="none"/>
              </w:rPr>
              <w:t>901144049</w:t>
            </w:r>
          </w:p>
        </w:tc>
        <w:tc>
          <w:tcPr>
            <w:tcW w:w="3192" w:type="pct"/>
            <w:shd w:val="clear" w:color="auto" w:fill="FFFFFF" w:themeFill="background1"/>
            <w:vAlign w:val="center"/>
            <w:hideMark/>
          </w:tcPr>
          <w:p w14:paraId="209CBC16" w14:textId="5C0A8BE8" w:rsidR="008B35C9" w:rsidRPr="002E333D" w:rsidRDefault="00B33C03" w:rsidP="000A5389">
            <w:pPr>
              <w:spacing w:line="240" w:lineRule="auto"/>
              <w:rPr>
                <w:rFonts w:eastAsia="Times New Roman" w:cs="Times New Roman"/>
                <w:color w:val="000000"/>
                <w:kern w:val="0"/>
                <w:sz w:val="18"/>
                <w:szCs w:val="18"/>
                <w:lang w:eastAsia="es-CO"/>
                <w14:ligatures w14:val="none"/>
              </w:rPr>
            </w:pPr>
            <w:r w:rsidRPr="002E333D">
              <w:rPr>
                <w:rFonts w:eastAsia="Times New Roman" w:cs="Times New Roman"/>
                <w:color w:val="000000"/>
                <w:kern w:val="0"/>
                <w:sz w:val="18"/>
                <w:szCs w:val="18"/>
                <w:lang w:eastAsia="es-CO"/>
                <w14:ligatures w14:val="none"/>
              </w:rPr>
              <w:t>Corporación Agencia Nacional De Gobierno Digital</w:t>
            </w:r>
          </w:p>
        </w:tc>
        <w:tc>
          <w:tcPr>
            <w:tcW w:w="904" w:type="pct"/>
            <w:shd w:val="clear" w:color="auto" w:fill="FFFFFF" w:themeFill="background1"/>
            <w:vAlign w:val="center"/>
            <w:hideMark/>
          </w:tcPr>
          <w:p w14:paraId="37E8616C" w14:textId="77777777" w:rsidR="008B35C9" w:rsidRPr="002E333D" w:rsidRDefault="008B35C9" w:rsidP="000A5389">
            <w:pPr>
              <w:spacing w:line="240" w:lineRule="auto"/>
              <w:jc w:val="right"/>
              <w:rPr>
                <w:rFonts w:eastAsia="Times New Roman" w:cs="Times New Roman"/>
                <w:color w:val="000000"/>
                <w:kern w:val="0"/>
                <w:sz w:val="18"/>
                <w:szCs w:val="18"/>
                <w:lang w:eastAsia="es-CO"/>
                <w14:ligatures w14:val="none"/>
              </w:rPr>
            </w:pPr>
            <w:r w:rsidRPr="002E333D">
              <w:rPr>
                <w:rFonts w:eastAsia="Times New Roman" w:cs="Times New Roman"/>
                <w:color w:val="000000"/>
                <w:kern w:val="0"/>
                <w:sz w:val="18"/>
                <w:szCs w:val="18"/>
                <w:lang w:eastAsia="es-CO"/>
                <w14:ligatures w14:val="none"/>
              </w:rPr>
              <w:t>7.692.110.284</w:t>
            </w:r>
          </w:p>
        </w:tc>
      </w:tr>
      <w:tr w:rsidR="008B35C9" w:rsidRPr="002E333D" w14:paraId="577086B0" w14:textId="77777777" w:rsidTr="00B33C03">
        <w:trPr>
          <w:trHeight w:val="340"/>
        </w:trPr>
        <w:tc>
          <w:tcPr>
            <w:tcW w:w="904" w:type="pct"/>
            <w:shd w:val="clear" w:color="auto" w:fill="FFFFFF" w:themeFill="background1"/>
            <w:vAlign w:val="center"/>
            <w:hideMark/>
          </w:tcPr>
          <w:p w14:paraId="180E980F" w14:textId="77777777" w:rsidR="008B35C9" w:rsidRPr="002E333D" w:rsidRDefault="008B35C9" w:rsidP="000A5389">
            <w:pPr>
              <w:spacing w:line="240" w:lineRule="auto"/>
              <w:rPr>
                <w:rFonts w:eastAsia="Times New Roman" w:cs="Times New Roman"/>
                <w:color w:val="000000"/>
                <w:kern w:val="0"/>
                <w:sz w:val="18"/>
                <w:szCs w:val="18"/>
                <w:lang w:eastAsia="es-CO"/>
                <w14:ligatures w14:val="none"/>
              </w:rPr>
            </w:pPr>
            <w:r w:rsidRPr="002E333D">
              <w:rPr>
                <w:rFonts w:eastAsia="Times New Roman" w:cs="Times New Roman"/>
                <w:color w:val="000000"/>
                <w:kern w:val="0"/>
                <w:sz w:val="18"/>
                <w:szCs w:val="18"/>
                <w:lang w:eastAsia="es-CO"/>
                <w14:ligatures w14:val="none"/>
              </w:rPr>
              <w:t>891800498</w:t>
            </w:r>
          </w:p>
        </w:tc>
        <w:tc>
          <w:tcPr>
            <w:tcW w:w="3192" w:type="pct"/>
            <w:shd w:val="clear" w:color="auto" w:fill="FFFFFF" w:themeFill="background1"/>
            <w:vAlign w:val="center"/>
            <w:hideMark/>
          </w:tcPr>
          <w:p w14:paraId="02EC405C" w14:textId="3CA656B2" w:rsidR="008B35C9" w:rsidRPr="002E333D" w:rsidRDefault="00B33C03" w:rsidP="000A5389">
            <w:pPr>
              <w:spacing w:line="240" w:lineRule="auto"/>
              <w:rPr>
                <w:rFonts w:eastAsia="Times New Roman" w:cs="Times New Roman"/>
                <w:color w:val="000000"/>
                <w:kern w:val="0"/>
                <w:sz w:val="18"/>
                <w:szCs w:val="18"/>
                <w:lang w:eastAsia="es-CO"/>
                <w14:ligatures w14:val="none"/>
              </w:rPr>
            </w:pPr>
            <w:r w:rsidRPr="002E333D">
              <w:rPr>
                <w:rFonts w:eastAsia="Times New Roman" w:cs="Times New Roman"/>
                <w:color w:val="000000"/>
                <w:kern w:val="0"/>
                <w:sz w:val="18"/>
                <w:szCs w:val="18"/>
                <w:lang w:eastAsia="es-CO"/>
                <w14:ligatures w14:val="none"/>
              </w:rPr>
              <w:t>Departamento De Boyacá</w:t>
            </w:r>
          </w:p>
        </w:tc>
        <w:tc>
          <w:tcPr>
            <w:tcW w:w="904" w:type="pct"/>
            <w:shd w:val="clear" w:color="auto" w:fill="FFFFFF" w:themeFill="background1"/>
            <w:vAlign w:val="center"/>
            <w:hideMark/>
          </w:tcPr>
          <w:p w14:paraId="3C6DB2C8" w14:textId="77777777" w:rsidR="008B35C9" w:rsidRPr="002E333D" w:rsidRDefault="008B35C9" w:rsidP="000A5389">
            <w:pPr>
              <w:spacing w:line="240" w:lineRule="auto"/>
              <w:jc w:val="right"/>
              <w:rPr>
                <w:rFonts w:eastAsia="Times New Roman" w:cs="Times New Roman"/>
                <w:color w:val="000000"/>
                <w:kern w:val="0"/>
                <w:sz w:val="18"/>
                <w:szCs w:val="18"/>
                <w:lang w:eastAsia="es-CO"/>
                <w14:ligatures w14:val="none"/>
              </w:rPr>
            </w:pPr>
            <w:r w:rsidRPr="002E333D">
              <w:rPr>
                <w:rFonts w:eastAsia="Times New Roman" w:cs="Times New Roman"/>
                <w:color w:val="000000"/>
                <w:kern w:val="0"/>
                <w:sz w:val="18"/>
                <w:szCs w:val="18"/>
                <w:lang w:eastAsia="es-CO"/>
                <w14:ligatures w14:val="none"/>
              </w:rPr>
              <w:t>3.292.108.892</w:t>
            </w:r>
          </w:p>
        </w:tc>
      </w:tr>
      <w:tr w:rsidR="008B35C9" w:rsidRPr="002E333D" w14:paraId="7697A3E3" w14:textId="77777777" w:rsidTr="00B33C03">
        <w:trPr>
          <w:trHeight w:val="340"/>
        </w:trPr>
        <w:tc>
          <w:tcPr>
            <w:tcW w:w="904" w:type="pct"/>
            <w:shd w:val="clear" w:color="auto" w:fill="FFFFFF" w:themeFill="background1"/>
            <w:vAlign w:val="center"/>
            <w:hideMark/>
          </w:tcPr>
          <w:p w14:paraId="12EBEB3A" w14:textId="77777777" w:rsidR="008B35C9" w:rsidRPr="002E333D" w:rsidRDefault="008B35C9" w:rsidP="000A5389">
            <w:pPr>
              <w:spacing w:line="240" w:lineRule="auto"/>
              <w:rPr>
                <w:rFonts w:eastAsia="Times New Roman" w:cs="Times New Roman"/>
                <w:color w:val="000000"/>
                <w:kern w:val="0"/>
                <w:sz w:val="18"/>
                <w:szCs w:val="18"/>
                <w:lang w:eastAsia="es-CO"/>
                <w14:ligatures w14:val="none"/>
              </w:rPr>
            </w:pPr>
            <w:r w:rsidRPr="002E333D">
              <w:rPr>
                <w:rFonts w:eastAsia="Times New Roman" w:cs="Times New Roman"/>
                <w:color w:val="000000"/>
                <w:kern w:val="0"/>
                <w:sz w:val="18"/>
                <w:szCs w:val="18"/>
                <w:lang w:eastAsia="es-CO"/>
                <w14:ligatures w14:val="none"/>
              </w:rPr>
              <w:t>899999035</w:t>
            </w:r>
          </w:p>
        </w:tc>
        <w:tc>
          <w:tcPr>
            <w:tcW w:w="3192" w:type="pct"/>
            <w:shd w:val="clear" w:color="auto" w:fill="FFFFFF" w:themeFill="background1"/>
            <w:vAlign w:val="center"/>
            <w:hideMark/>
          </w:tcPr>
          <w:p w14:paraId="7FABC903" w14:textId="51449DEC" w:rsidR="008B35C9" w:rsidRPr="002E333D" w:rsidRDefault="00B33C03" w:rsidP="000A5389">
            <w:pPr>
              <w:spacing w:line="240" w:lineRule="auto"/>
              <w:rPr>
                <w:rFonts w:eastAsia="Times New Roman" w:cs="Times New Roman"/>
                <w:color w:val="000000"/>
                <w:kern w:val="0"/>
                <w:sz w:val="18"/>
                <w:szCs w:val="18"/>
                <w:lang w:eastAsia="es-CO"/>
                <w14:ligatures w14:val="none"/>
              </w:rPr>
            </w:pPr>
            <w:r w:rsidRPr="002E333D">
              <w:rPr>
                <w:rFonts w:eastAsia="Times New Roman" w:cs="Times New Roman"/>
                <w:color w:val="000000"/>
                <w:kern w:val="0"/>
                <w:sz w:val="18"/>
                <w:szCs w:val="18"/>
                <w:lang w:eastAsia="es-CO"/>
                <w14:ligatures w14:val="none"/>
              </w:rPr>
              <w:t>Instituto Colombiano De Crédito Educativo Y Estudios técnicos En El Exterior Mariano Ospina Pérez Icetex</w:t>
            </w:r>
          </w:p>
        </w:tc>
        <w:tc>
          <w:tcPr>
            <w:tcW w:w="904" w:type="pct"/>
            <w:shd w:val="clear" w:color="auto" w:fill="FFFFFF" w:themeFill="background1"/>
            <w:vAlign w:val="center"/>
            <w:hideMark/>
          </w:tcPr>
          <w:p w14:paraId="7C4B7A16" w14:textId="77777777" w:rsidR="008B35C9" w:rsidRPr="002E333D" w:rsidRDefault="008B35C9" w:rsidP="000A5389">
            <w:pPr>
              <w:spacing w:line="240" w:lineRule="auto"/>
              <w:jc w:val="right"/>
              <w:rPr>
                <w:rFonts w:eastAsia="Times New Roman" w:cs="Times New Roman"/>
                <w:color w:val="000000"/>
                <w:kern w:val="0"/>
                <w:sz w:val="18"/>
                <w:szCs w:val="18"/>
                <w:lang w:eastAsia="es-CO"/>
                <w14:ligatures w14:val="none"/>
              </w:rPr>
            </w:pPr>
            <w:r w:rsidRPr="002E333D">
              <w:rPr>
                <w:rFonts w:eastAsia="Times New Roman" w:cs="Times New Roman"/>
                <w:color w:val="000000"/>
                <w:kern w:val="0"/>
                <w:sz w:val="18"/>
                <w:szCs w:val="18"/>
                <w:lang w:eastAsia="es-CO"/>
                <w14:ligatures w14:val="none"/>
              </w:rPr>
              <w:t>250.000.000</w:t>
            </w:r>
          </w:p>
        </w:tc>
      </w:tr>
      <w:tr w:rsidR="008B35C9" w:rsidRPr="002E333D" w14:paraId="3EE17BC0" w14:textId="77777777" w:rsidTr="00B33C03">
        <w:trPr>
          <w:trHeight w:val="340"/>
        </w:trPr>
        <w:tc>
          <w:tcPr>
            <w:tcW w:w="4096" w:type="pct"/>
            <w:gridSpan w:val="2"/>
            <w:shd w:val="clear" w:color="auto" w:fill="FFFFFF" w:themeFill="background1"/>
            <w:noWrap/>
            <w:vAlign w:val="center"/>
            <w:hideMark/>
          </w:tcPr>
          <w:p w14:paraId="32772C15" w14:textId="77777777" w:rsidR="008B35C9" w:rsidRPr="002E333D" w:rsidRDefault="008B35C9" w:rsidP="000A5389">
            <w:pPr>
              <w:spacing w:line="240" w:lineRule="auto"/>
              <w:jc w:val="center"/>
              <w:rPr>
                <w:rFonts w:eastAsia="Times New Roman" w:cs="Times New Roman"/>
                <w:b/>
                <w:bCs/>
                <w:color w:val="000000"/>
                <w:kern w:val="0"/>
                <w:sz w:val="18"/>
                <w:szCs w:val="18"/>
                <w:lang w:eastAsia="es-CO"/>
                <w14:ligatures w14:val="none"/>
              </w:rPr>
            </w:pPr>
            <w:r w:rsidRPr="002E333D">
              <w:rPr>
                <w:rFonts w:eastAsia="Times New Roman" w:cs="Times New Roman"/>
                <w:b/>
                <w:bCs/>
                <w:color w:val="000000"/>
                <w:kern w:val="0"/>
                <w:sz w:val="18"/>
                <w:szCs w:val="18"/>
                <w:lang w:eastAsia="es-CO"/>
                <w14:ligatures w14:val="none"/>
              </w:rPr>
              <w:t>TOTAL</w:t>
            </w:r>
          </w:p>
        </w:tc>
        <w:tc>
          <w:tcPr>
            <w:tcW w:w="904" w:type="pct"/>
            <w:shd w:val="clear" w:color="auto" w:fill="FFFFFF" w:themeFill="background1"/>
            <w:noWrap/>
            <w:vAlign w:val="center"/>
            <w:hideMark/>
          </w:tcPr>
          <w:p w14:paraId="20E2FBC5" w14:textId="77777777" w:rsidR="008B35C9" w:rsidRPr="002E333D" w:rsidRDefault="008B35C9" w:rsidP="000A5389">
            <w:pPr>
              <w:spacing w:line="240" w:lineRule="auto"/>
              <w:jc w:val="right"/>
              <w:rPr>
                <w:rFonts w:eastAsia="Times New Roman" w:cs="Times New Roman"/>
                <w:b/>
                <w:bCs/>
                <w:color w:val="000000"/>
                <w:kern w:val="0"/>
                <w:sz w:val="18"/>
                <w:szCs w:val="18"/>
                <w:lang w:eastAsia="es-CO"/>
                <w14:ligatures w14:val="none"/>
              </w:rPr>
            </w:pPr>
            <w:r w:rsidRPr="002E333D">
              <w:rPr>
                <w:rFonts w:eastAsia="Times New Roman" w:cs="Times New Roman"/>
                <w:b/>
                <w:bCs/>
                <w:color w:val="000000"/>
                <w:kern w:val="0"/>
                <w:sz w:val="18"/>
                <w:szCs w:val="18"/>
                <w:lang w:eastAsia="es-CO"/>
                <w14:ligatures w14:val="none"/>
              </w:rPr>
              <w:t>766.992.676.127</w:t>
            </w:r>
          </w:p>
        </w:tc>
      </w:tr>
    </w:tbl>
    <w:p w14:paraId="2FFC864D" w14:textId="77777777" w:rsidR="00532A1F" w:rsidRPr="00951AB1" w:rsidRDefault="00532A1F" w:rsidP="000A5389">
      <w:pPr>
        <w:spacing w:line="240" w:lineRule="auto"/>
        <w:rPr>
          <w:rFonts w:cs="Times New Roman"/>
          <w:sz w:val="16"/>
          <w:szCs w:val="16"/>
        </w:rPr>
      </w:pPr>
      <w:r w:rsidRPr="00951AB1">
        <w:rPr>
          <w:rFonts w:cs="Times New Roman"/>
          <w:sz w:val="16"/>
          <w:szCs w:val="16"/>
        </w:rPr>
        <w:t>Cifras</w:t>
      </w:r>
      <w:r>
        <w:rPr>
          <w:rFonts w:cs="Times New Roman"/>
          <w:sz w:val="16"/>
          <w:szCs w:val="16"/>
        </w:rPr>
        <w:t xml:space="preserve"> expresadas </w:t>
      </w:r>
      <w:r w:rsidRPr="00951AB1">
        <w:rPr>
          <w:rFonts w:cs="Times New Roman"/>
          <w:sz w:val="16"/>
          <w:szCs w:val="16"/>
        </w:rPr>
        <w:t xml:space="preserve">en pesos </w:t>
      </w:r>
    </w:p>
    <w:p w14:paraId="6B553DA7" w14:textId="6E78EBD7" w:rsidR="008B35C9" w:rsidRPr="00951AB1" w:rsidRDefault="008B35C9" w:rsidP="000A5389">
      <w:pPr>
        <w:spacing w:line="240" w:lineRule="auto"/>
        <w:rPr>
          <w:rFonts w:cs="Times New Roman"/>
          <w:sz w:val="16"/>
          <w:szCs w:val="16"/>
        </w:rPr>
      </w:pPr>
    </w:p>
    <w:p w14:paraId="402B25C1" w14:textId="77777777" w:rsidR="008B35C9" w:rsidRPr="00951AB1" w:rsidRDefault="008B35C9" w:rsidP="000A5389">
      <w:pPr>
        <w:spacing w:line="240" w:lineRule="auto"/>
        <w:rPr>
          <w:rFonts w:cs="Times New Roman"/>
          <w:szCs w:val="24"/>
        </w:rPr>
      </w:pPr>
    </w:p>
    <w:tbl>
      <w:tblPr>
        <w:tblW w:w="8960" w:type="dxa"/>
        <w:tblCellMar>
          <w:left w:w="70" w:type="dxa"/>
          <w:right w:w="70" w:type="dxa"/>
        </w:tblCellMar>
        <w:tblLook w:val="04A0" w:firstRow="1" w:lastRow="0" w:firstColumn="1" w:lastColumn="0" w:noHBand="0" w:noVBand="1"/>
      </w:tblPr>
      <w:tblGrid>
        <w:gridCol w:w="3760"/>
        <w:gridCol w:w="2080"/>
        <w:gridCol w:w="1560"/>
        <w:gridCol w:w="1560"/>
      </w:tblGrid>
      <w:tr w:rsidR="008B35C9" w:rsidRPr="00951AB1" w14:paraId="7723C215" w14:textId="77777777" w:rsidTr="00B33C03">
        <w:trPr>
          <w:trHeight w:val="340"/>
        </w:trPr>
        <w:tc>
          <w:tcPr>
            <w:tcW w:w="3760" w:type="dxa"/>
            <w:tcBorders>
              <w:top w:val="single" w:sz="4" w:space="0" w:color="A6A6A6"/>
              <w:left w:val="single" w:sz="4" w:space="0" w:color="A6A6A6"/>
              <w:bottom w:val="single" w:sz="4" w:space="0" w:color="A6A6A6"/>
              <w:right w:val="nil"/>
            </w:tcBorders>
            <w:vAlign w:val="center"/>
            <w:hideMark/>
          </w:tcPr>
          <w:p w14:paraId="52544124" w14:textId="77777777" w:rsidR="008B35C9" w:rsidRPr="00951AB1" w:rsidRDefault="008B35C9" w:rsidP="000A5389">
            <w:pPr>
              <w:spacing w:line="240" w:lineRule="auto"/>
              <w:rPr>
                <w:rFonts w:eastAsia="Times New Roman" w:cs="Times New Roman"/>
                <w:b/>
                <w:bCs/>
                <w:color w:val="000000"/>
                <w:kern w:val="0"/>
                <w:sz w:val="18"/>
                <w:szCs w:val="18"/>
                <w:lang w:eastAsia="es-CO"/>
                <w14:ligatures w14:val="none"/>
              </w:rPr>
            </w:pPr>
            <w:r w:rsidRPr="00951AB1">
              <w:rPr>
                <w:rFonts w:eastAsia="Times New Roman" w:cs="Times New Roman"/>
                <w:b/>
                <w:bCs/>
                <w:color w:val="000000"/>
                <w:kern w:val="0"/>
                <w:sz w:val="18"/>
                <w:szCs w:val="18"/>
                <w:lang w:eastAsia="es-CO"/>
                <w14:ligatures w14:val="none"/>
              </w:rPr>
              <w:t>En administración</w:t>
            </w:r>
          </w:p>
        </w:tc>
        <w:tc>
          <w:tcPr>
            <w:tcW w:w="2080" w:type="dxa"/>
            <w:tcBorders>
              <w:top w:val="single" w:sz="4" w:space="0" w:color="A6A6A6"/>
              <w:left w:val="single" w:sz="4" w:space="0" w:color="A6A6A6"/>
              <w:bottom w:val="single" w:sz="4" w:space="0" w:color="A6A6A6"/>
              <w:right w:val="single" w:sz="4" w:space="0" w:color="A6A6A6"/>
            </w:tcBorders>
            <w:noWrap/>
            <w:vAlign w:val="center"/>
            <w:hideMark/>
          </w:tcPr>
          <w:p w14:paraId="0553EEBA" w14:textId="77777777" w:rsidR="008B35C9" w:rsidRPr="00951AB1" w:rsidRDefault="008B35C9" w:rsidP="000A5389">
            <w:pPr>
              <w:spacing w:line="240" w:lineRule="auto"/>
              <w:jc w:val="right"/>
              <w:rPr>
                <w:rFonts w:eastAsia="Times New Roman" w:cs="Times New Roman"/>
                <w:b/>
                <w:bCs/>
                <w:color w:val="000000"/>
                <w:kern w:val="0"/>
                <w:sz w:val="18"/>
                <w:szCs w:val="18"/>
                <w:lang w:eastAsia="es-CO"/>
                <w14:ligatures w14:val="none"/>
              </w:rPr>
            </w:pPr>
            <w:r w:rsidRPr="00951AB1">
              <w:rPr>
                <w:rFonts w:eastAsia="Times New Roman" w:cs="Times New Roman"/>
                <w:b/>
                <w:bCs/>
                <w:color w:val="000000"/>
                <w:kern w:val="0"/>
                <w:sz w:val="18"/>
                <w:szCs w:val="18"/>
                <w:lang w:eastAsia="es-CO"/>
                <w14:ligatures w14:val="none"/>
              </w:rPr>
              <w:t xml:space="preserve">962.506.767.583 </w:t>
            </w:r>
          </w:p>
        </w:tc>
        <w:tc>
          <w:tcPr>
            <w:tcW w:w="1560" w:type="dxa"/>
            <w:tcBorders>
              <w:top w:val="single" w:sz="4" w:space="0" w:color="A6A6A6"/>
              <w:left w:val="nil"/>
              <w:bottom w:val="single" w:sz="4" w:space="0" w:color="A6A6A6"/>
              <w:right w:val="single" w:sz="4" w:space="0" w:color="A6A6A6"/>
            </w:tcBorders>
            <w:noWrap/>
            <w:vAlign w:val="center"/>
            <w:hideMark/>
          </w:tcPr>
          <w:p w14:paraId="7FFA1794" w14:textId="77777777" w:rsidR="008B35C9" w:rsidRPr="00951AB1" w:rsidRDefault="008B35C9" w:rsidP="000A5389">
            <w:pPr>
              <w:spacing w:line="240" w:lineRule="auto"/>
              <w:jc w:val="right"/>
              <w:rPr>
                <w:rFonts w:eastAsia="Times New Roman" w:cs="Times New Roman"/>
                <w:b/>
                <w:bCs/>
                <w:color w:val="000000"/>
                <w:kern w:val="0"/>
                <w:sz w:val="18"/>
                <w:szCs w:val="18"/>
                <w:lang w:eastAsia="es-CO"/>
                <w14:ligatures w14:val="none"/>
              </w:rPr>
            </w:pPr>
            <w:r w:rsidRPr="00951AB1">
              <w:rPr>
                <w:rFonts w:eastAsia="Times New Roman" w:cs="Times New Roman"/>
                <w:b/>
                <w:bCs/>
                <w:color w:val="000000"/>
                <w:kern w:val="0"/>
                <w:sz w:val="18"/>
                <w:szCs w:val="18"/>
                <w:lang w:eastAsia="es-CO"/>
                <w14:ligatures w14:val="none"/>
              </w:rPr>
              <w:t xml:space="preserve">595.699.687.438 </w:t>
            </w:r>
          </w:p>
        </w:tc>
        <w:tc>
          <w:tcPr>
            <w:tcW w:w="1560" w:type="dxa"/>
            <w:tcBorders>
              <w:top w:val="single" w:sz="4" w:space="0" w:color="A6A6A6"/>
              <w:left w:val="nil"/>
              <w:bottom w:val="single" w:sz="4" w:space="0" w:color="A6A6A6"/>
              <w:right w:val="single" w:sz="4" w:space="0" w:color="A6A6A6"/>
            </w:tcBorders>
            <w:noWrap/>
            <w:vAlign w:val="center"/>
            <w:hideMark/>
          </w:tcPr>
          <w:p w14:paraId="386789F1" w14:textId="77777777" w:rsidR="008B35C9" w:rsidRPr="00951AB1" w:rsidRDefault="008B35C9" w:rsidP="000A5389">
            <w:pPr>
              <w:spacing w:line="240" w:lineRule="auto"/>
              <w:jc w:val="right"/>
              <w:rPr>
                <w:rFonts w:eastAsia="Times New Roman" w:cs="Times New Roman"/>
                <w:b/>
                <w:bCs/>
                <w:color w:val="000000"/>
                <w:kern w:val="0"/>
                <w:sz w:val="18"/>
                <w:szCs w:val="18"/>
                <w:lang w:eastAsia="es-CO"/>
                <w14:ligatures w14:val="none"/>
              </w:rPr>
            </w:pPr>
            <w:r w:rsidRPr="00951AB1">
              <w:rPr>
                <w:rFonts w:eastAsia="Times New Roman" w:cs="Times New Roman"/>
                <w:b/>
                <w:bCs/>
                <w:color w:val="000000"/>
                <w:kern w:val="0"/>
                <w:sz w:val="18"/>
                <w:szCs w:val="18"/>
                <w:lang w:eastAsia="es-CO"/>
                <w14:ligatures w14:val="none"/>
              </w:rPr>
              <w:t xml:space="preserve">366.807.080.145 </w:t>
            </w:r>
          </w:p>
        </w:tc>
      </w:tr>
      <w:tr w:rsidR="008B35C9" w:rsidRPr="00951AB1" w14:paraId="5CB761DF" w14:textId="77777777" w:rsidTr="00B33C03">
        <w:trPr>
          <w:trHeight w:val="340"/>
        </w:trPr>
        <w:tc>
          <w:tcPr>
            <w:tcW w:w="3760" w:type="dxa"/>
            <w:tcBorders>
              <w:top w:val="nil"/>
              <w:left w:val="single" w:sz="4" w:space="0" w:color="A6A6A6"/>
              <w:bottom w:val="single" w:sz="4" w:space="0" w:color="A6A6A6"/>
              <w:right w:val="nil"/>
            </w:tcBorders>
            <w:vAlign w:val="center"/>
            <w:hideMark/>
          </w:tcPr>
          <w:p w14:paraId="31D9902C" w14:textId="77777777" w:rsidR="008B35C9" w:rsidRPr="00951AB1" w:rsidRDefault="008B35C9" w:rsidP="000A5389">
            <w:pPr>
              <w:spacing w:line="240" w:lineRule="auto"/>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 xml:space="preserve">Traslados al FIP </w:t>
            </w:r>
          </w:p>
        </w:tc>
        <w:tc>
          <w:tcPr>
            <w:tcW w:w="2080" w:type="dxa"/>
            <w:tcBorders>
              <w:top w:val="nil"/>
              <w:left w:val="single" w:sz="4" w:space="0" w:color="A6A6A6"/>
              <w:bottom w:val="single" w:sz="4" w:space="0" w:color="A6A6A6"/>
              <w:right w:val="single" w:sz="4" w:space="0" w:color="A6A6A6"/>
            </w:tcBorders>
            <w:noWrap/>
            <w:vAlign w:val="center"/>
            <w:hideMark/>
          </w:tcPr>
          <w:p w14:paraId="027CBB3C" w14:textId="77777777" w:rsidR="008B35C9" w:rsidRPr="00951AB1" w:rsidRDefault="008B35C9"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 xml:space="preserve">548.155.737.844 </w:t>
            </w:r>
          </w:p>
        </w:tc>
        <w:tc>
          <w:tcPr>
            <w:tcW w:w="1560" w:type="dxa"/>
            <w:tcBorders>
              <w:top w:val="nil"/>
              <w:left w:val="nil"/>
              <w:bottom w:val="single" w:sz="4" w:space="0" w:color="A6A6A6"/>
              <w:right w:val="single" w:sz="4" w:space="0" w:color="A6A6A6"/>
            </w:tcBorders>
            <w:noWrap/>
            <w:vAlign w:val="center"/>
            <w:hideMark/>
          </w:tcPr>
          <w:p w14:paraId="062798B5" w14:textId="77777777" w:rsidR="008B35C9" w:rsidRPr="00951AB1" w:rsidRDefault="008B35C9"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 xml:space="preserve">0 </w:t>
            </w:r>
          </w:p>
        </w:tc>
        <w:tc>
          <w:tcPr>
            <w:tcW w:w="1560" w:type="dxa"/>
            <w:tcBorders>
              <w:top w:val="nil"/>
              <w:left w:val="nil"/>
              <w:bottom w:val="single" w:sz="4" w:space="0" w:color="A6A6A6"/>
              <w:right w:val="single" w:sz="4" w:space="0" w:color="A6A6A6"/>
            </w:tcBorders>
            <w:noWrap/>
            <w:vAlign w:val="center"/>
            <w:hideMark/>
          </w:tcPr>
          <w:p w14:paraId="381A1C2B" w14:textId="77777777" w:rsidR="008B35C9" w:rsidRPr="00951AB1" w:rsidRDefault="008B35C9"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 xml:space="preserve">548.155.737.844 </w:t>
            </w:r>
          </w:p>
        </w:tc>
      </w:tr>
      <w:tr w:rsidR="008B35C9" w:rsidRPr="00951AB1" w14:paraId="5C024F5C" w14:textId="77777777" w:rsidTr="00B33C03">
        <w:trPr>
          <w:trHeight w:val="340"/>
        </w:trPr>
        <w:tc>
          <w:tcPr>
            <w:tcW w:w="3760" w:type="dxa"/>
            <w:tcBorders>
              <w:top w:val="nil"/>
              <w:left w:val="single" w:sz="4" w:space="0" w:color="A6A6A6"/>
              <w:bottom w:val="single" w:sz="4" w:space="0" w:color="A6A6A6"/>
              <w:right w:val="nil"/>
            </w:tcBorders>
            <w:vAlign w:val="center"/>
            <w:hideMark/>
          </w:tcPr>
          <w:p w14:paraId="023284C7" w14:textId="77777777" w:rsidR="008B35C9" w:rsidRPr="00951AB1" w:rsidRDefault="008B35C9" w:rsidP="000A5389">
            <w:pPr>
              <w:spacing w:line="240" w:lineRule="auto"/>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En administración dtn - scun</w:t>
            </w:r>
          </w:p>
        </w:tc>
        <w:tc>
          <w:tcPr>
            <w:tcW w:w="2080" w:type="dxa"/>
            <w:tcBorders>
              <w:top w:val="nil"/>
              <w:left w:val="single" w:sz="4" w:space="0" w:color="A6A6A6"/>
              <w:bottom w:val="single" w:sz="4" w:space="0" w:color="A6A6A6"/>
              <w:right w:val="single" w:sz="4" w:space="0" w:color="A6A6A6"/>
            </w:tcBorders>
            <w:noWrap/>
            <w:vAlign w:val="center"/>
            <w:hideMark/>
          </w:tcPr>
          <w:p w14:paraId="671C74D2" w14:textId="77777777" w:rsidR="008B35C9" w:rsidRPr="00951AB1" w:rsidRDefault="008B35C9"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 xml:space="preserve">195.514.091.456 </w:t>
            </w:r>
          </w:p>
        </w:tc>
        <w:tc>
          <w:tcPr>
            <w:tcW w:w="1560" w:type="dxa"/>
            <w:tcBorders>
              <w:top w:val="nil"/>
              <w:left w:val="nil"/>
              <w:bottom w:val="single" w:sz="4" w:space="0" w:color="A6A6A6"/>
              <w:right w:val="single" w:sz="4" w:space="0" w:color="A6A6A6"/>
            </w:tcBorders>
            <w:noWrap/>
            <w:vAlign w:val="center"/>
            <w:hideMark/>
          </w:tcPr>
          <w:p w14:paraId="49BA94C7" w14:textId="77777777" w:rsidR="008B35C9" w:rsidRPr="00951AB1" w:rsidRDefault="008B35C9"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 xml:space="preserve">134.090.440.320 </w:t>
            </w:r>
          </w:p>
        </w:tc>
        <w:tc>
          <w:tcPr>
            <w:tcW w:w="1560" w:type="dxa"/>
            <w:tcBorders>
              <w:top w:val="nil"/>
              <w:left w:val="nil"/>
              <w:bottom w:val="single" w:sz="4" w:space="0" w:color="A6A6A6"/>
              <w:right w:val="single" w:sz="4" w:space="0" w:color="A6A6A6"/>
            </w:tcBorders>
            <w:noWrap/>
            <w:vAlign w:val="center"/>
            <w:hideMark/>
          </w:tcPr>
          <w:p w14:paraId="15EA63C6" w14:textId="77777777" w:rsidR="008B35C9" w:rsidRPr="00951AB1" w:rsidRDefault="008B35C9"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 xml:space="preserve">61.423.651.136 </w:t>
            </w:r>
          </w:p>
        </w:tc>
      </w:tr>
      <w:tr w:rsidR="008B35C9" w:rsidRPr="00951AB1" w14:paraId="501DC214" w14:textId="77777777" w:rsidTr="00B33C03">
        <w:trPr>
          <w:trHeight w:val="340"/>
        </w:trPr>
        <w:tc>
          <w:tcPr>
            <w:tcW w:w="3760" w:type="dxa"/>
            <w:tcBorders>
              <w:top w:val="nil"/>
              <w:left w:val="single" w:sz="4" w:space="0" w:color="A6A6A6"/>
              <w:bottom w:val="single" w:sz="4" w:space="0" w:color="A6A6A6"/>
              <w:right w:val="nil"/>
            </w:tcBorders>
            <w:vAlign w:val="center"/>
            <w:hideMark/>
          </w:tcPr>
          <w:p w14:paraId="5FAB719C" w14:textId="77777777" w:rsidR="008B35C9" w:rsidRPr="00951AB1" w:rsidRDefault="008B35C9" w:rsidP="000A5389">
            <w:pPr>
              <w:spacing w:line="240" w:lineRule="auto"/>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Convenios y contratos interadministrativos</w:t>
            </w:r>
          </w:p>
        </w:tc>
        <w:tc>
          <w:tcPr>
            <w:tcW w:w="2080" w:type="dxa"/>
            <w:tcBorders>
              <w:top w:val="nil"/>
              <w:left w:val="single" w:sz="4" w:space="0" w:color="A6A6A6"/>
              <w:bottom w:val="single" w:sz="4" w:space="0" w:color="A6A6A6"/>
              <w:right w:val="single" w:sz="4" w:space="0" w:color="A6A6A6"/>
            </w:tcBorders>
            <w:noWrap/>
            <w:vAlign w:val="center"/>
            <w:hideMark/>
          </w:tcPr>
          <w:p w14:paraId="4F324ACF" w14:textId="77777777" w:rsidR="008B35C9" w:rsidRPr="00951AB1" w:rsidRDefault="008B35C9"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 xml:space="preserve">192.344.877.151 </w:t>
            </w:r>
          </w:p>
        </w:tc>
        <w:tc>
          <w:tcPr>
            <w:tcW w:w="1560" w:type="dxa"/>
            <w:tcBorders>
              <w:top w:val="nil"/>
              <w:left w:val="nil"/>
              <w:bottom w:val="single" w:sz="4" w:space="0" w:color="A6A6A6"/>
              <w:right w:val="single" w:sz="4" w:space="0" w:color="A6A6A6"/>
            </w:tcBorders>
            <w:noWrap/>
            <w:vAlign w:val="center"/>
            <w:hideMark/>
          </w:tcPr>
          <w:p w14:paraId="576CB892" w14:textId="77777777" w:rsidR="008B35C9" w:rsidRPr="00951AB1" w:rsidRDefault="008B35C9"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 xml:space="preserve">437.431.378.717 </w:t>
            </w:r>
          </w:p>
        </w:tc>
        <w:tc>
          <w:tcPr>
            <w:tcW w:w="1560" w:type="dxa"/>
            <w:tcBorders>
              <w:top w:val="nil"/>
              <w:left w:val="nil"/>
              <w:bottom w:val="single" w:sz="4" w:space="0" w:color="A6A6A6"/>
              <w:right w:val="single" w:sz="4" w:space="0" w:color="A6A6A6"/>
            </w:tcBorders>
            <w:noWrap/>
            <w:vAlign w:val="center"/>
            <w:hideMark/>
          </w:tcPr>
          <w:p w14:paraId="00F19CEC" w14:textId="77777777" w:rsidR="008B35C9" w:rsidRPr="00951AB1" w:rsidRDefault="008B35C9"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 xml:space="preserve">-245.086.501.566 </w:t>
            </w:r>
          </w:p>
        </w:tc>
      </w:tr>
      <w:tr w:rsidR="008B35C9" w:rsidRPr="00951AB1" w14:paraId="0B2473C2" w14:textId="77777777" w:rsidTr="00B33C03">
        <w:trPr>
          <w:trHeight w:val="340"/>
        </w:trPr>
        <w:tc>
          <w:tcPr>
            <w:tcW w:w="3760" w:type="dxa"/>
            <w:tcBorders>
              <w:top w:val="nil"/>
              <w:left w:val="single" w:sz="4" w:space="0" w:color="A6A6A6"/>
              <w:bottom w:val="single" w:sz="4" w:space="0" w:color="A6A6A6"/>
              <w:right w:val="nil"/>
            </w:tcBorders>
            <w:vAlign w:val="center"/>
            <w:hideMark/>
          </w:tcPr>
          <w:p w14:paraId="20AB69E3" w14:textId="77777777" w:rsidR="008B35C9" w:rsidRPr="00951AB1" w:rsidRDefault="008B35C9" w:rsidP="000A5389">
            <w:pPr>
              <w:spacing w:line="240" w:lineRule="auto"/>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Fondo contingencias - sentencias y conciliaciones</w:t>
            </w:r>
          </w:p>
        </w:tc>
        <w:tc>
          <w:tcPr>
            <w:tcW w:w="2080" w:type="dxa"/>
            <w:tcBorders>
              <w:top w:val="nil"/>
              <w:left w:val="single" w:sz="4" w:space="0" w:color="A6A6A6"/>
              <w:bottom w:val="single" w:sz="4" w:space="0" w:color="A6A6A6"/>
              <w:right w:val="single" w:sz="4" w:space="0" w:color="A6A6A6"/>
            </w:tcBorders>
            <w:noWrap/>
            <w:vAlign w:val="center"/>
            <w:hideMark/>
          </w:tcPr>
          <w:p w14:paraId="6B09E8A1" w14:textId="77777777" w:rsidR="008B35C9" w:rsidRPr="00951AB1" w:rsidRDefault="008B35C9"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 xml:space="preserve">26.492.061.131 </w:t>
            </w:r>
          </w:p>
        </w:tc>
        <w:tc>
          <w:tcPr>
            <w:tcW w:w="1560" w:type="dxa"/>
            <w:tcBorders>
              <w:top w:val="nil"/>
              <w:left w:val="nil"/>
              <w:bottom w:val="single" w:sz="4" w:space="0" w:color="A6A6A6"/>
              <w:right w:val="single" w:sz="4" w:space="0" w:color="A6A6A6"/>
            </w:tcBorders>
            <w:noWrap/>
            <w:vAlign w:val="center"/>
            <w:hideMark/>
          </w:tcPr>
          <w:p w14:paraId="762E470B" w14:textId="77777777" w:rsidR="008B35C9" w:rsidRPr="00951AB1" w:rsidRDefault="008B35C9"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 xml:space="preserve">24.177.868.401 </w:t>
            </w:r>
          </w:p>
        </w:tc>
        <w:tc>
          <w:tcPr>
            <w:tcW w:w="1560" w:type="dxa"/>
            <w:tcBorders>
              <w:top w:val="nil"/>
              <w:left w:val="nil"/>
              <w:bottom w:val="single" w:sz="4" w:space="0" w:color="A6A6A6"/>
              <w:right w:val="single" w:sz="4" w:space="0" w:color="A6A6A6"/>
            </w:tcBorders>
            <w:noWrap/>
            <w:vAlign w:val="center"/>
            <w:hideMark/>
          </w:tcPr>
          <w:p w14:paraId="68687A30" w14:textId="77777777" w:rsidR="008B35C9" w:rsidRPr="00951AB1" w:rsidRDefault="008B35C9"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 xml:space="preserve">2.314.192.731 </w:t>
            </w:r>
          </w:p>
        </w:tc>
      </w:tr>
    </w:tbl>
    <w:p w14:paraId="072DA670" w14:textId="77777777" w:rsidR="00532A1F" w:rsidRPr="00951AB1" w:rsidRDefault="00532A1F" w:rsidP="000A5389">
      <w:pPr>
        <w:spacing w:line="240" w:lineRule="auto"/>
        <w:rPr>
          <w:rFonts w:cs="Times New Roman"/>
          <w:sz w:val="16"/>
          <w:szCs w:val="16"/>
        </w:rPr>
      </w:pPr>
      <w:r w:rsidRPr="00951AB1">
        <w:rPr>
          <w:rFonts w:cs="Times New Roman"/>
          <w:sz w:val="16"/>
          <w:szCs w:val="16"/>
        </w:rPr>
        <w:t>Cifras</w:t>
      </w:r>
      <w:r>
        <w:rPr>
          <w:rFonts w:cs="Times New Roman"/>
          <w:sz w:val="16"/>
          <w:szCs w:val="16"/>
        </w:rPr>
        <w:t xml:space="preserve"> expresadas </w:t>
      </w:r>
      <w:r w:rsidRPr="00951AB1">
        <w:rPr>
          <w:rFonts w:cs="Times New Roman"/>
          <w:sz w:val="16"/>
          <w:szCs w:val="16"/>
        </w:rPr>
        <w:t xml:space="preserve">en pesos </w:t>
      </w:r>
    </w:p>
    <w:p w14:paraId="23BC4BD2" w14:textId="77777777" w:rsidR="008B35C9" w:rsidRPr="00951AB1" w:rsidRDefault="008B35C9" w:rsidP="000A5389">
      <w:pPr>
        <w:spacing w:line="240" w:lineRule="auto"/>
        <w:rPr>
          <w:rFonts w:cs="Times New Roman"/>
          <w:szCs w:val="24"/>
        </w:rPr>
      </w:pPr>
    </w:p>
    <w:p w14:paraId="1368695D" w14:textId="2695047F" w:rsidR="008B35C9" w:rsidRDefault="008B35C9" w:rsidP="000A5389">
      <w:pPr>
        <w:spacing w:line="240" w:lineRule="auto"/>
        <w:rPr>
          <w:rFonts w:cs="Times New Roman"/>
          <w:i/>
          <w:iCs/>
          <w:szCs w:val="24"/>
        </w:rPr>
      </w:pPr>
      <w:r w:rsidRPr="00951AB1">
        <w:rPr>
          <w:rFonts w:cs="Times New Roman"/>
          <w:i/>
          <w:iCs/>
          <w:szCs w:val="24"/>
        </w:rPr>
        <w:t>Traslados al patrimonio del Fondo de Fuentes Alternativas de Pago para el Desarrollo Infraestructura (FIP)</w:t>
      </w:r>
    </w:p>
    <w:p w14:paraId="1C72F319" w14:textId="77777777" w:rsidR="002E333D" w:rsidRPr="00951AB1" w:rsidRDefault="002E333D" w:rsidP="000A5389">
      <w:pPr>
        <w:spacing w:line="240" w:lineRule="auto"/>
        <w:rPr>
          <w:rFonts w:cs="Times New Roman"/>
          <w:szCs w:val="24"/>
          <w:u w:val="single"/>
        </w:rPr>
      </w:pPr>
    </w:p>
    <w:p w14:paraId="145E0285" w14:textId="717B1EA6" w:rsidR="008B35C9" w:rsidRDefault="008B35C9" w:rsidP="000A5389">
      <w:pPr>
        <w:spacing w:line="240" w:lineRule="auto"/>
        <w:rPr>
          <w:rFonts w:cs="Times New Roman"/>
          <w:szCs w:val="24"/>
        </w:rPr>
      </w:pPr>
      <w:r w:rsidRPr="00951AB1">
        <w:rPr>
          <w:rFonts w:cs="Times New Roman"/>
          <w:i/>
          <w:iCs/>
          <w:szCs w:val="24"/>
        </w:rPr>
        <w:t>Fiduciaria La Previsora S.A.</w:t>
      </w:r>
      <w:r w:rsidR="00B33C03" w:rsidRPr="00951AB1">
        <w:rPr>
          <w:rFonts w:cs="Times New Roman"/>
          <w:i/>
          <w:iCs/>
          <w:szCs w:val="24"/>
        </w:rPr>
        <w:t>:</w:t>
      </w:r>
      <w:r w:rsidR="00B33C03" w:rsidRPr="00951AB1">
        <w:rPr>
          <w:rFonts w:cs="Times New Roman"/>
          <w:szCs w:val="24"/>
          <w:u w:val="single"/>
        </w:rPr>
        <w:t xml:space="preserve"> </w:t>
      </w:r>
      <w:r w:rsidRPr="00951AB1">
        <w:rPr>
          <w:rFonts w:cs="Times New Roman"/>
          <w:szCs w:val="24"/>
        </w:rPr>
        <w:t>El valor de $ 548.155.737.844, a nombre de FIDUCIARA LA PREVISORA, corresponde a los ingresos por traslados al Fondo de Fuentes Alternativas de Pago para el Desarrollo de Infraestructura “FIP” de los siguientes proyectos de concesión del modo de transporte carretero:  Unión Temporal Devinorte</w:t>
      </w:r>
      <w:r w:rsidRPr="00951AB1">
        <w:rPr>
          <w:rFonts w:eastAsia="Times New Roman" w:cs="Times New Roman"/>
          <w:color w:val="000000"/>
          <w:szCs w:val="24"/>
          <w:lang w:eastAsia="es-CO"/>
        </w:rPr>
        <w:t xml:space="preserve">, Concesión Autopista Bogotá Girardot, Desarrollo Vial de Nariño – Rumichaca Pasto Chachagüí, Concesionaria San Simón- Area Metropolitana de Cúcuta, Concesionaria </w:t>
      </w:r>
      <w:r w:rsidRPr="00951AB1">
        <w:rPr>
          <w:rFonts w:cs="Times New Roman"/>
          <w:szCs w:val="24"/>
        </w:rPr>
        <w:t>Vía de Colombia- Zona Metropolitana de Bucaramanga y Vías de las Américas - Transversal de las Américas.</w:t>
      </w:r>
    </w:p>
    <w:p w14:paraId="65C56992" w14:textId="77777777" w:rsidR="002E333D" w:rsidRPr="00951AB1" w:rsidRDefault="002E333D" w:rsidP="000A5389">
      <w:pPr>
        <w:spacing w:line="240" w:lineRule="auto"/>
        <w:rPr>
          <w:rFonts w:cs="Times New Roman"/>
          <w:szCs w:val="24"/>
        </w:rPr>
      </w:pPr>
    </w:p>
    <w:p w14:paraId="75936228" w14:textId="77777777" w:rsidR="008B35C9" w:rsidRPr="00951AB1" w:rsidRDefault="008B35C9" w:rsidP="000A5389">
      <w:pPr>
        <w:spacing w:line="240" w:lineRule="auto"/>
        <w:rPr>
          <w:rFonts w:cs="Times New Roman"/>
          <w:szCs w:val="24"/>
        </w:rPr>
      </w:pPr>
      <w:r w:rsidRPr="00951AB1">
        <w:rPr>
          <w:rFonts w:cs="Times New Roman"/>
          <w:szCs w:val="24"/>
        </w:rPr>
        <w:t xml:space="preserve">Los soportes utilizados por los registros contables de estos Recursos Entregados en Administración son las Resoluciones Nos. 20243100017005, 20243100017015 del 20 de diciembre de 2024 y las Nos. 20255050015305 del 7 de noviembre de 2025, 20255050015085 del 4 de noviembre de 2025, 20255050016565, 20255050016575 del 20 noviembre de 2025, 20255050017085 del 2 de diciembre de 2025 y 20255050017125 del 3 </w:t>
      </w:r>
      <w:r w:rsidRPr="00951AB1">
        <w:rPr>
          <w:rFonts w:cs="Times New Roman"/>
          <w:szCs w:val="24"/>
        </w:rPr>
        <w:lastRenderedPageBreak/>
        <w:t>de diciembre de 2025, expedidas por la Vicepresidencia Ejecutiva de la Agencia Nacional de Infraestructura.</w:t>
      </w:r>
    </w:p>
    <w:p w14:paraId="3229A16D" w14:textId="77777777" w:rsidR="008B35C9" w:rsidRPr="00951AB1" w:rsidRDefault="008B35C9" w:rsidP="000A5389">
      <w:pPr>
        <w:spacing w:line="240" w:lineRule="auto"/>
        <w:rPr>
          <w:rFonts w:cs="Times New Roman"/>
          <w:szCs w:val="24"/>
        </w:rPr>
      </w:pPr>
      <w:r w:rsidRPr="00951AB1">
        <w:rPr>
          <w:rFonts w:cs="Times New Roman"/>
          <w:szCs w:val="24"/>
        </w:rPr>
        <w:t>Al respecto se menciona que, el Ministerio Hacienda y la Fiduciaria la Previsora, construyeron mediante un contrato de Fiducia Mercantil el Patrimonio Autónomo de Administración, pagos, garantía y fuente de pago denominado</w:t>
      </w:r>
      <w:r w:rsidRPr="00951AB1">
        <w:rPr>
          <w:rFonts w:eastAsia="Times New Roman" w:cs="Times New Roman"/>
          <w:i/>
          <w:iCs/>
          <w:color w:val="000000"/>
          <w:szCs w:val="24"/>
          <w:lang w:eastAsia="es-CO"/>
        </w:rPr>
        <w:t xml:space="preserve"> Fondo</w:t>
      </w:r>
      <w:r w:rsidRPr="00951AB1">
        <w:rPr>
          <w:rFonts w:cs="Times New Roman"/>
          <w:i/>
          <w:iCs/>
          <w:szCs w:val="24"/>
        </w:rPr>
        <w:t xml:space="preserve"> de Fuentes Alternativas de Pago para el Desarrollo de Infraestructura “FIP”</w:t>
      </w:r>
      <w:r w:rsidRPr="00951AB1">
        <w:rPr>
          <w:rFonts w:cs="Times New Roman"/>
          <w:szCs w:val="24"/>
        </w:rPr>
        <w:t xml:space="preserve"> con los activos que le san transferidos para que sean administrados y gestionados con el fin de ser destinados como fuente de pago para el desarrollo de Proyectos de Infraestructura.</w:t>
      </w:r>
    </w:p>
    <w:p w14:paraId="2181D244" w14:textId="6793D38C" w:rsidR="00E575C1" w:rsidRPr="00951AB1" w:rsidRDefault="008B35C9" w:rsidP="000A5389">
      <w:pPr>
        <w:spacing w:line="240" w:lineRule="auto"/>
        <w:rPr>
          <w:rFonts w:cs="Times New Roman"/>
          <w:szCs w:val="24"/>
        </w:rPr>
      </w:pPr>
      <w:r w:rsidRPr="00951AB1">
        <w:rPr>
          <w:rFonts w:cs="Times New Roman"/>
          <w:szCs w:val="24"/>
        </w:rPr>
        <w:t>A 31 de diciembre de 2025 no se presentó ejecución del saldo</w:t>
      </w:r>
    </w:p>
    <w:p w14:paraId="066F1FAD" w14:textId="77777777" w:rsidR="00E575C1" w:rsidRPr="00951AB1" w:rsidRDefault="00E575C1" w:rsidP="000A5389">
      <w:pPr>
        <w:spacing w:line="240" w:lineRule="auto"/>
        <w:rPr>
          <w:rFonts w:cs="Times New Roman"/>
          <w:szCs w:val="24"/>
          <w:u w:val="single"/>
        </w:rPr>
      </w:pPr>
    </w:p>
    <w:p w14:paraId="6A6BA22E" w14:textId="59045259" w:rsidR="008B35C9" w:rsidRDefault="008B35C9" w:rsidP="000A5389">
      <w:pPr>
        <w:spacing w:line="240" w:lineRule="auto"/>
        <w:rPr>
          <w:rFonts w:cs="Times New Roman"/>
          <w:b/>
          <w:bCs/>
          <w:i/>
          <w:iCs/>
          <w:szCs w:val="24"/>
        </w:rPr>
      </w:pPr>
      <w:r w:rsidRPr="00951AB1">
        <w:rPr>
          <w:rFonts w:cs="Times New Roman"/>
          <w:b/>
          <w:bCs/>
          <w:i/>
          <w:iCs/>
          <w:szCs w:val="24"/>
        </w:rPr>
        <w:t>En administración – DTN- SCUN</w:t>
      </w:r>
    </w:p>
    <w:p w14:paraId="1E5AEBEA" w14:textId="77777777" w:rsidR="002E333D" w:rsidRPr="00951AB1" w:rsidRDefault="002E333D" w:rsidP="000A5389">
      <w:pPr>
        <w:spacing w:line="240" w:lineRule="auto"/>
        <w:rPr>
          <w:rFonts w:cs="Times New Roman"/>
          <w:szCs w:val="24"/>
        </w:rPr>
      </w:pPr>
    </w:p>
    <w:p w14:paraId="2EB17A78" w14:textId="43E671C5" w:rsidR="008B35C9" w:rsidRDefault="008B35C9" w:rsidP="000A5389">
      <w:pPr>
        <w:spacing w:line="240" w:lineRule="auto"/>
        <w:rPr>
          <w:rFonts w:cs="Times New Roman"/>
          <w:szCs w:val="24"/>
        </w:rPr>
      </w:pPr>
      <w:r w:rsidRPr="00951AB1">
        <w:rPr>
          <w:rFonts w:cs="Times New Roman"/>
          <w:i/>
          <w:iCs/>
          <w:szCs w:val="24"/>
        </w:rPr>
        <w:t>Ministerio de Hacienda y Crédito Público – SCUN</w:t>
      </w:r>
      <w:r w:rsidR="00537890" w:rsidRPr="00951AB1">
        <w:rPr>
          <w:rFonts w:cs="Times New Roman"/>
          <w:i/>
          <w:iCs/>
          <w:szCs w:val="24"/>
        </w:rPr>
        <w:t>:</w:t>
      </w:r>
      <w:r w:rsidR="00537890" w:rsidRPr="00951AB1">
        <w:rPr>
          <w:rFonts w:cs="Times New Roman"/>
          <w:szCs w:val="24"/>
          <w:u w:val="single"/>
        </w:rPr>
        <w:t xml:space="preserve"> </w:t>
      </w:r>
      <w:r w:rsidRPr="00951AB1">
        <w:rPr>
          <w:rFonts w:cs="Times New Roman"/>
          <w:szCs w:val="24"/>
        </w:rPr>
        <w:t>El Sistema de Cuenta Única Nacional – SCUN es definido en el artículo 1º del Decreto 2785 del 29 de noviembre de 2013 como “el conjunto de procesos de recaudo, traslado, administración y giro de recursos realizados por los órganos que conforman el Presupuesto General de la Nación. Los lineamientos y procedimientos para el traslado de recursos al SCUN, su administración y giro serán establecidos por la Dirección General de Crédito Público y Tesoro Nacional del Ministerio de Hacienda y Crédito Público, conforme a las normas orgánicas del presupuesto”.</w:t>
      </w:r>
    </w:p>
    <w:p w14:paraId="5FF9B51C" w14:textId="77777777" w:rsidR="002E333D" w:rsidRPr="00951AB1" w:rsidRDefault="002E333D" w:rsidP="000A5389">
      <w:pPr>
        <w:spacing w:line="240" w:lineRule="auto"/>
        <w:rPr>
          <w:rFonts w:cs="Times New Roman"/>
          <w:szCs w:val="24"/>
        </w:rPr>
      </w:pPr>
    </w:p>
    <w:p w14:paraId="00DDCEF8" w14:textId="7ADA153E" w:rsidR="00537890" w:rsidRPr="00951AB1" w:rsidRDefault="008B35C9" w:rsidP="000A5389">
      <w:pPr>
        <w:spacing w:line="240" w:lineRule="auto"/>
        <w:rPr>
          <w:rFonts w:cs="Times New Roman"/>
          <w:szCs w:val="24"/>
        </w:rPr>
      </w:pPr>
      <w:r w:rsidRPr="00951AB1">
        <w:rPr>
          <w:rFonts w:cs="Times New Roman"/>
          <w:szCs w:val="24"/>
        </w:rPr>
        <w:t>Esta subcuenta contable, presenta a 31 de diciembre de 2025 un saldo por valor de $</w:t>
      </w:r>
      <w:r w:rsidRPr="00951AB1">
        <w:rPr>
          <w:rFonts w:cs="Times New Roman"/>
          <w:color w:val="000000"/>
          <w:sz w:val="12"/>
          <w:szCs w:val="12"/>
        </w:rPr>
        <w:t xml:space="preserve"> </w:t>
      </w:r>
      <w:r w:rsidRPr="00951AB1">
        <w:rPr>
          <w:rFonts w:cs="Times New Roman"/>
          <w:szCs w:val="24"/>
        </w:rPr>
        <w:t>195.514.091.456 que por su naturaleza y origen se concilia mensualmente con la Dirección del Tesoro Nacional, en el formato establecido para ello; su saldo al cierre de la vigencia se encuentra conciliado con dicha Unidad Ejecutora.</w:t>
      </w:r>
    </w:p>
    <w:p w14:paraId="6163C2A0" w14:textId="77777777" w:rsidR="00E575C1" w:rsidRPr="00951AB1" w:rsidRDefault="00E575C1" w:rsidP="000A5389">
      <w:pPr>
        <w:spacing w:line="240" w:lineRule="auto"/>
        <w:rPr>
          <w:rFonts w:cs="Times New Roman"/>
          <w:szCs w:val="24"/>
        </w:rPr>
      </w:pPr>
    </w:p>
    <w:p w14:paraId="29F0AE35" w14:textId="710C2E72" w:rsidR="008B35C9" w:rsidRDefault="008B35C9" w:rsidP="000A5389">
      <w:pPr>
        <w:spacing w:line="240" w:lineRule="auto"/>
        <w:rPr>
          <w:rFonts w:cs="Times New Roman"/>
          <w:b/>
          <w:bCs/>
          <w:i/>
          <w:iCs/>
          <w:szCs w:val="24"/>
        </w:rPr>
      </w:pPr>
      <w:r w:rsidRPr="00951AB1">
        <w:rPr>
          <w:rFonts w:cs="Times New Roman"/>
          <w:b/>
          <w:bCs/>
          <w:i/>
          <w:iCs/>
          <w:szCs w:val="24"/>
        </w:rPr>
        <w:t>Convenios y contratos interadministrativos</w:t>
      </w:r>
    </w:p>
    <w:p w14:paraId="3A322CB1" w14:textId="77777777" w:rsidR="002E333D" w:rsidRPr="00951AB1" w:rsidRDefault="002E333D" w:rsidP="000A5389">
      <w:pPr>
        <w:spacing w:line="240" w:lineRule="auto"/>
        <w:rPr>
          <w:rFonts w:cs="Times New Roman"/>
          <w:szCs w:val="24"/>
          <w:u w:val="single"/>
        </w:rPr>
      </w:pPr>
    </w:p>
    <w:p w14:paraId="41C827BE" w14:textId="565F67A4" w:rsidR="008B35C9" w:rsidRDefault="008B35C9" w:rsidP="000A5389">
      <w:pPr>
        <w:spacing w:line="240" w:lineRule="auto"/>
        <w:rPr>
          <w:rFonts w:cs="Times New Roman"/>
          <w:szCs w:val="24"/>
        </w:rPr>
      </w:pPr>
      <w:r w:rsidRPr="00951AB1">
        <w:rPr>
          <w:rFonts w:cs="Times New Roman"/>
          <w:i/>
          <w:iCs/>
          <w:szCs w:val="24"/>
        </w:rPr>
        <w:t>Financiera De Desarrollo Territorial S A FINDETER</w:t>
      </w:r>
      <w:r w:rsidR="00AB120E" w:rsidRPr="00951AB1">
        <w:rPr>
          <w:rFonts w:cs="Times New Roman"/>
          <w:i/>
          <w:iCs/>
          <w:szCs w:val="24"/>
        </w:rPr>
        <w:t>:</w:t>
      </w:r>
      <w:r w:rsidR="00AB120E" w:rsidRPr="00951AB1">
        <w:rPr>
          <w:rFonts w:cs="Times New Roman"/>
          <w:szCs w:val="24"/>
          <w:u w:val="single"/>
        </w:rPr>
        <w:t xml:space="preserve"> </w:t>
      </w:r>
      <w:r w:rsidRPr="00951AB1">
        <w:rPr>
          <w:rFonts w:cs="Times New Roman"/>
          <w:szCs w:val="24"/>
        </w:rPr>
        <w:t>A continuación, se describe aspectos relacionados con los contratos:</w:t>
      </w:r>
    </w:p>
    <w:p w14:paraId="5F66EF6C" w14:textId="77777777" w:rsidR="002E333D" w:rsidRPr="00951AB1" w:rsidRDefault="002E333D" w:rsidP="000A5389">
      <w:pPr>
        <w:spacing w:line="240" w:lineRule="auto"/>
        <w:rPr>
          <w:rFonts w:cs="Times New Roman"/>
          <w:szCs w:val="24"/>
        </w:rPr>
      </w:pPr>
    </w:p>
    <w:p w14:paraId="1F4E58F6" w14:textId="1A81E403" w:rsidR="008B35C9" w:rsidRPr="00951AB1" w:rsidRDefault="008B35C9" w:rsidP="000A5389">
      <w:pPr>
        <w:spacing w:line="240" w:lineRule="auto"/>
        <w:rPr>
          <w:rFonts w:cs="Times New Roman"/>
          <w:i/>
          <w:iCs/>
          <w:szCs w:val="24"/>
        </w:rPr>
      </w:pPr>
      <w:r w:rsidRPr="00951AB1">
        <w:rPr>
          <w:rFonts w:cs="Times New Roman"/>
          <w:i/>
          <w:iCs/>
          <w:szCs w:val="24"/>
        </w:rPr>
        <w:t xml:space="preserve">Contrato/Convenio VE 809-2023: </w:t>
      </w:r>
    </w:p>
    <w:p w14:paraId="1BB78865" w14:textId="77777777" w:rsidR="008B35C9" w:rsidRPr="00951AB1" w:rsidRDefault="008B35C9" w:rsidP="000A5389">
      <w:pPr>
        <w:spacing w:line="240" w:lineRule="auto"/>
        <w:rPr>
          <w:rFonts w:cs="Times New Roman"/>
          <w:szCs w:val="24"/>
        </w:rPr>
      </w:pPr>
      <w:r w:rsidRPr="00951AB1">
        <w:rPr>
          <w:rFonts w:cs="Times New Roman"/>
          <w:szCs w:val="24"/>
        </w:rPr>
        <w:t xml:space="preserve">Objeto:  Prestar el servicio de asistencia técnica para el desarrollo de proyectos del sector transporte en el modo férreo en los corredores férreos a cargo de la Agencia, a través del modelo de ejecución autorizado a FINDETER, en las condiciones pactadas.  ALCANCE DEL OBJETO:  Establece Contrato el marco en virtud del cual se adelantarán las actividades de asistencia técnica para la ejecución de los proyectos del modo férreo de transporte que se prioricen, en desarrollo de las políticas del Gobierno Nacional y en cumplimiento de las misiones, funciones y fines institucionales de las Partes. </w:t>
      </w:r>
    </w:p>
    <w:p w14:paraId="6AF858EA" w14:textId="77777777" w:rsidR="008B35C9" w:rsidRPr="00951AB1" w:rsidRDefault="008B35C9" w:rsidP="000A5389">
      <w:pPr>
        <w:spacing w:line="240" w:lineRule="auto"/>
        <w:rPr>
          <w:rFonts w:cs="Times New Roman"/>
          <w:szCs w:val="24"/>
        </w:rPr>
      </w:pPr>
    </w:p>
    <w:p w14:paraId="3877C2B3" w14:textId="77777777" w:rsidR="008B35C9" w:rsidRPr="00951AB1" w:rsidRDefault="008B35C9" w:rsidP="000A5389">
      <w:pPr>
        <w:spacing w:line="240" w:lineRule="auto"/>
        <w:rPr>
          <w:rFonts w:cs="Times New Roman"/>
          <w:szCs w:val="24"/>
        </w:rPr>
      </w:pPr>
      <w:r w:rsidRPr="00951AB1">
        <w:rPr>
          <w:rFonts w:cs="Times New Roman"/>
          <w:szCs w:val="24"/>
        </w:rPr>
        <w:t>Fecha de Inicio: 26 de diciembre de 2023.</w:t>
      </w:r>
    </w:p>
    <w:p w14:paraId="65751D6C" w14:textId="77777777" w:rsidR="008B35C9" w:rsidRPr="00951AB1" w:rsidRDefault="008B35C9" w:rsidP="000A5389">
      <w:pPr>
        <w:spacing w:line="240" w:lineRule="auto"/>
        <w:rPr>
          <w:rFonts w:cs="Times New Roman"/>
          <w:szCs w:val="24"/>
        </w:rPr>
      </w:pPr>
    </w:p>
    <w:p w14:paraId="58F6B49D" w14:textId="77777777" w:rsidR="008B35C9" w:rsidRPr="00951AB1" w:rsidRDefault="008B35C9" w:rsidP="000A5389">
      <w:pPr>
        <w:spacing w:line="240" w:lineRule="auto"/>
        <w:rPr>
          <w:rFonts w:cs="Times New Roman"/>
          <w:szCs w:val="24"/>
        </w:rPr>
      </w:pPr>
      <w:r w:rsidRPr="00951AB1">
        <w:rPr>
          <w:rFonts w:cs="Times New Roman"/>
          <w:szCs w:val="24"/>
        </w:rPr>
        <w:t xml:space="preserve">Valor Inicial </w:t>
      </w:r>
      <w:r w:rsidRPr="00951AB1">
        <w:rPr>
          <w:rFonts w:cs="Times New Roman"/>
          <w:szCs w:val="24"/>
        </w:rPr>
        <w:tab/>
      </w:r>
      <w:r w:rsidRPr="00951AB1">
        <w:rPr>
          <w:rFonts w:cs="Times New Roman"/>
          <w:szCs w:val="24"/>
        </w:rPr>
        <w:tab/>
      </w:r>
      <w:r w:rsidRPr="00951AB1">
        <w:rPr>
          <w:rFonts w:cs="Times New Roman"/>
          <w:szCs w:val="24"/>
        </w:rPr>
        <w:tab/>
        <w:t xml:space="preserve"> $224.000.000.000</w:t>
      </w:r>
    </w:p>
    <w:p w14:paraId="0B7BD8F5" w14:textId="30D891EE" w:rsidR="008B35C9" w:rsidRPr="00951AB1" w:rsidRDefault="008B35C9" w:rsidP="000A5389">
      <w:pPr>
        <w:spacing w:line="240" w:lineRule="auto"/>
        <w:rPr>
          <w:rFonts w:cs="Times New Roman"/>
          <w:szCs w:val="24"/>
          <w:u w:val="single"/>
        </w:rPr>
      </w:pPr>
      <w:r w:rsidRPr="00951AB1">
        <w:rPr>
          <w:rFonts w:cs="Times New Roman"/>
          <w:szCs w:val="24"/>
        </w:rPr>
        <w:t xml:space="preserve">Otrosí No. 2:          </w:t>
      </w:r>
      <w:r w:rsidRPr="00951AB1">
        <w:rPr>
          <w:rFonts w:cs="Times New Roman"/>
          <w:szCs w:val="24"/>
        </w:rPr>
        <w:tab/>
      </w:r>
      <w:r w:rsidR="002E333D" w:rsidRPr="00951AB1">
        <w:rPr>
          <w:rFonts w:cs="Times New Roman"/>
          <w:szCs w:val="24"/>
        </w:rPr>
        <w:tab/>
      </w:r>
      <w:r w:rsidR="002E333D" w:rsidRPr="00951AB1">
        <w:rPr>
          <w:rFonts w:cs="Times New Roman"/>
          <w:szCs w:val="24"/>
          <w:u w:val="single"/>
        </w:rPr>
        <w:t xml:space="preserve"> $</w:t>
      </w:r>
      <w:r w:rsidRPr="00951AB1">
        <w:rPr>
          <w:rFonts w:cs="Times New Roman"/>
          <w:szCs w:val="24"/>
          <w:u w:val="single"/>
        </w:rPr>
        <w:t xml:space="preserve"> 47.785.610.058</w:t>
      </w:r>
    </w:p>
    <w:p w14:paraId="293EF464" w14:textId="173F987F" w:rsidR="008B35C9" w:rsidRPr="00951AB1" w:rsidRDefault="008B35C9" w:rsidP="000A5389">
      <w:pPr>
        <w:spacing w:line="240" w:lineRule="auto"/>
        <w:rPr>
          <w:rFonts w:cs="Times New Roman"/>
          <w:szCs w:val="24"/>
        </w:rPr>
      </w:pPr>
      <w:r w:rsidRPr="00951AB1">
        <w:rPr>
          <w:rFonts w:cs="Times New Roman"/>
          <w:szCs w:val="24"/>
        </w:rPr>
        <w:t>Valor total del convenio:</w:t>
      </w:r>
      <w:r w:rsidRPr="00951AB1">
        <w:rPr>
          <w:rFonts w:cs="Times New Roman"/>
          <w:szCs w:val="24"/>
        </w:rPr>
        <w:tab/>
        <w:t xml:space="preserve"> 271.785.610.058</w:t>
      </w:r>
    </w:p>
    <w:p w14:paraId="79EB0A50" w14:textId="77777777" w:rsidR="008B35C9" w:rsidRPr="00951AB1" w:rsidRDefault="008B35C9" w:rsidP="000A5389">
      <w:pPr>
        <w:spacing w:line="240" w:lineRule="auto"/>
        <w:rPr>
          <w:rFonts w:cs="Times New Roman"/>
          <w:szCs w:val="24"/>
        </w:rPr>
      </w:pPr>
      <w:r w:rsidRPr="00951AB1">
        <w:rPr>
          <w:rFonts w:cs="Times New Roman"/>
          <w:szCs w:val="24"/>
        </w:rPr>
        <w:lastRenderedPageBreak/>
        <w:t>Valor no ejecutado:                 $</w:t>
      </w:r>
      <w:r w:rsidRPr="00951AB1">
        <w:rPr>
          <w:rFonts w:cs="Times New Roman"/>
        </w:rPr>
        <w:t xml:space="preserve"> </w:t>
      </w:r>
      <w:r w:rsidRPr="00951AB1">
        <w:rPr>
          <w:rFonts w:cs="Times New Roman"/>
          <w:szCs w:val="24"/>
        </w:rPr>
        <w:t>104.325.507.420 (incluye rendimientos)</w:t>
      </w:r>
    </w:p>
    <w:p w14:paraId="48F7A077" w14:textId="77777777" w:rsidR="008B35C9" w:rsidRPr="00951AB1" w:rsidRDefault="008B35C9" w:rsidP="000A5389">
      <w:pPr>
        <w:spacing w:line="240" w:lineRule="auto"/>
        <w:rPr>
          <w:rFonts w:cs="Times New Roman"/>
          <w:szCs w:val="24"/>
        </w:rPr>
      </w:pPr>
    </w:p>
    <w:p w14:paraId="7CFB4B62" w14:textId="08F28A03" w:rsidR="008B35C9" w:rsidRDefault="008B35C9" w:rsidP="000A5389">
      <w:pPr>
        <w:spacing w:line="240" w:lineRule="auto"/>
        <w:rPr>
          <w:rFonts w:cs="Times New Roman"/>
          <w:szCs w:val="24"/>
        </w:rPr>
      </w:pPr>
      <w:r w:rsidRPr="00951AB1">
        <w:rPr>
          <w:rFonts w:cs="Times New Roman"/>
          <w:szCs w:val="24"/>
        </w:rPr>
        <w:t>Se generaron en el mes de diciembre del 2025 rendimientos por valor de $107.191.330, que se serán consignados en las cuentas bancarias de la ANI en la vigencia 2026.</w:t>
      </w:r>
    </w:p>
    <w:p w14:paraId="4BCC6F15" w14:textId="77777777" w:rsidR="002E333D" w:rsidRPr="00951AB1" w:rsidRDefault="002E333D" w:rsidP="000A5389">
      <w:pPr>
        <w:spacing w:line="240" w:lineRule="auto"/>
        <w:rPr>
          <w:rFonts w:cs="Times New Roman"/>
          <w:szCs w:val="24"/>
        </w:rPr>
      </w:pPr>
    </w:p>
    <w:p w14:paraId="2B6B7766" w14:textId="6FF4DE37" w:rsidR="008B35C9" w:rsidRDefault="008B35C9" w:rsidP="000A5389">
      <w:pPr>
        <w:spacing w:line="240" w:lineRule="auto"/>
        <w:ind w:left="3"/>
        <w:rPr>
          <w:rFonts w:cs="Times New Roman"/>
          <w:szCs w:val="24"/>
        </w:rPr>
      </w:pPr>
      <w:r w:rsidRPr="00951AB1">
        <w:rPr>
          <w:rFonts w:cs="Times New Roman"/>
          <w:szCs w:val="24"/>
        </w:rPr>
        <w:t xml:space="preserve">Conforme a la cláusula primera del Otrosí No. 2 de 2025 al contrato VE-809-2023 que modificó la cláusula cuarta del contrato, se adicionaron $ 47.785.610.058,00 al valor del contrato. Se aclara que este valor para el periodo 2025 no fue desembolsado a la Fiducia, será depositado para la vigencia 2026. Esta información corresponde con lo reportado en el formato GADF-F-083 “Informe de Ejecución de Seguimiento de Recursos Entregados y Recibidos en Administración” con corte a 31 de diciembre de 2025. </w:t>
      </w:r>
    </w:p>
    <w:p w14:paraId="0FF431A7" w14:textId="77777777" w:rsidR="002E333D" w:rsidRPr="00951AB1" w:rsidRDefault="002E333D" w:rsidP="000A5389">
      <w:pPr>
        <w:spacing w:line="240" w:lineRule="auto"/>
        <w:ind w:left="3"/>
        <w:rPr>
          <w:rFonts w:cs="Times New Roman"/>
          <w:szCs w:val="24"/>
        </w:rPr>
      </w:pPr>
    </w:p>
    <w:p w14:paraId="53B58527" w14:textId="0228D1FD" w:rsidR="008B35C9" w:rsidRDefault="008B35C9" w:rsidP="000A5389">
      <w:pPr>
        <w:spacing w:line="240" w:lineRule="auto"/>
        <w:rPr>
          <w:rFonts w:cs="Times New Roman"/>
          <w:szCs w:val="24"/>
        </w:rPr>
      </w:pPr>
      <w:r w:rsidRPr="00951AB1">
        <w:rPr>
          <w:rFonts w:cs="Times New Roman"/>
          <w:szCs w:val="24"/>
        </w:rPr>
        <w:t>Contrato Interadministrativo No. VE-629-2022:</w:t>
      </w:r>
    </w:p>
    <w:p w14:paraId="6EC06E51" w14:textId="77777777" w:rsidR="002E333D" w:rsidRPr="00951AB1" w:rsidRDefault="002E333D" w:rsidP="000A5389">
      <w:pPr>
        <w:spacing w:line="240" w:lineRule="auto"/>
        <w:rPr>
          <w:rFonts w:cs="Times New Roman"/>
          <w:szCs w:val="24"/>
        </w:rPr>
      </w:pPr>
    </w:p>
    <w:tbl>
      <w:tblPr>
        <w:tblW w:w="5000" w:type="pct"/>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2357"/>
        <w:gridCol w:w="2291"/>
        <w:gridCol w:w="4180"/>
      </w:tblGrid>
      <w:tr w:rsidR="008B35C9" w:rsidRPr="00951AB1" w14:paraId="63036943" w14:textId="77777777" w:rsidTr="00EA1618">
        <w:trPr>
          <w:trHeight w:val="210"/>
          <w:tblHeader/>
        </w:trPr>
        <w:tc>
          <w:tcPr>
            <w:tcW w:w="2566" w:type="pct"/>
            <w:gridSpan w:val="2"/>
            <w:vAlign w:val="center"/>
            <w:hideMark/>
          </w:tcPr>
          <w:p w14:paraId="75C2191C" w14:textId="77777777" w:rsidR="008B35C9" w:rsidRPr="00951AB1" w:rsidRDefault="008B35C9" w:rsidP="000A5389">
            <w:pPr>
              <w:spacing w:line="240" w:lineRule="auto"/>
              <w:contextualSpacing/>
              <w:rPr>
                <w:rFonts w:cs="Times New Roman"/>
                <w:bCs/>
                <w:smallCaps/>
                <w:sz w:val="20"/>
                <w:szCs w:val="20"/>
                <w:lang w:val="es-MX"/>
              </w:rPr>
            </w:pPr>
            <w:r w:rsidRPr="00951AB1">
              <w:rPr>
                <w:rFonts w:cs="Times New Roman"/>
                <w:bCs/>
                <w:smallCaps/>
                <w:sz w:val="20"/>
                <w:szCs w:val="20"/>
                <w:lang w:val="es-MX"/>
              </w:rPr>
              <w:t>Contrato / Convenio No.</w:t>
            </w:r>
          </w:p>
        </w:tc>
        <w:tc>
          <w:tcPr>
            <w:tcW w:w="2434" w:type="pct"/>
            <w:vAlign w:val="center"/>
            <w:hideMark/>
          </w:tcPr>
          <w:p w14:paraId="324A2F40" w14:textId="77777777" w:rsidR="008B35C9" w:rsidRPr="00951AB1" w:rsidRDefault="008B35C9" w:rsidP="000A5389">
            <w:pPr>
              <w:spacing w:line="240" w:lineRule="auto"/>
              <w:contextualSpacing/>
              <w:jc w:val="center"/>
              <w:rPr>
                <w:rFonts w:cs="Times New Roman"/>
                <w:sz w:val="20"/>
                <w:szCs w:val="20"/>
                <w:lang w:val="es-MX"/>
              </w:rPr>
            </w:pPr>
            <w:r w:rsidRPr="00951AB1">
              <w:rPr>
                <w:rFonts w:cs="Times New Roman"/>
                <w:sz w:val="20"/>
                <w:szCs w:val="20"/>
                <w:lang w:val="es-MX"/>
              </w:rPr>
              <w:t>VE-629-2022</w:t>
            </w:r>
          </w:p>
        </w:tc>
      </w:tr>
      <w:tr w:rsidR="008B35C9" w:rsidRPr="00951AB1" w14:paraId="5AAD9F75" w14:textId="77777777" w:rsidTr="00AB120E">
        <w:trPr>
          <w:trHeight w:val="1301"/>
        </w:trPr>
        <w:tc>
          <w:tcPr>
            <w:tcW w:w="2566" w:type="pct"/>
            <w:gridSpan w:val="2"/>
            <w:vAlign w:val="center"/>
            <w:hideMark/>
          </w:tcPr>
          <w:p w14:paraId="14EA2654" w14:textId="77777777" w:rsidR="008B35C9" w:rsidRPr="00951AB1" w:rsidRDefault="008B35C9" w:rsidP="000A5389">
            <w:pPr>
              <w:spacing w:line="240" w:lineRule="auto"/>
              <w:contextualSpacing/>
              <w:rPr>
                <w:rFonts w:cs="Times New Roman"/>
                <w:bCs/>
                <w:smallCaps/>
                <w:sz w:val="20"/>
                <w:szCs w:val="20"/>
                <w:lang w:val="es-MX"/>
              </w:rPr>
            </w:pPr>
            <w:r w:rsidRPr="00951AB1">
              <w:rPr>
                <w:rFonts w:cs="Times New Roman"/>
                <w:bCs/>
                <w:smallCaps/>
                <w:sz w:val="20"/>
                <w:szCs w:val="20"/>
                <w:lang w:val="es-MX"/>
              </w:rPr>
              <w:t>OBJETO:</w:t>
            </w:r>
          </w:p>
        </w:tc>
        <w:tc>
          <w:tcPr>
            <w:tcW w:w="2434" w:type="pct"/>
            <w:vAlign w:val="center"/>
            <w:hideMark/>
          </w:tcPr>
          <w:p w14:paraId="75CD2912" w14:textId="77777777" w:rsidR="008B35C9" w:rsidRPr="00951AB1" w:rsidRDefault="008B35C9" w:rsidP="000A5389">
            <w:pPr>
              <w:spacing w:line="240" w:lineRule="auto"/>
              <w:contextualSpacing/>
              <w:rPr>
                <w:rFonts w:cs="Times New Roman"/>
                <w:sz w:val="20"/>
                <w:szCs w:val="20"/>
                <w:lang w:val="es-MX"/>
              </w:rPr>
            </w:pPr>
            <w:r w:rsidRPr="00951AB1">
              <w:rPr>
                <w:rFonts w:cs="Times New Roman"/>
                <w:sz w:val="20"/>
                <w:szCs w:val="20"/>
                <w:lang w:val="es-MX"/>
              </w:rPr>
              <w:t>Prestar los servicios de asistencia técnica, a la Agencia Nacional de Infraestructura - ANI para el desarrollo de los proyectos requeridos en el corredor férreo Facatativá - Bogotá - Belencito y La Caro – Zipaquirá, a través del modelo de ejecución financiera autorizado a Findeter</w:t>
            </w:r>
          </w:p>
        </w:tc>
      </w:tr>
      <w:tr w:rsidR="00AB120E" w:rsidRPr="00951AB1" w14:paraId="5829EA4D" w14:textId="77777777" w:rsidTr="00AB120E">
        <w:trPr>
          <w:trHeight w:val="426"/>
        </w:trPr>
        <w:tc>
          <w:tcPr>
            <w:tcW w:w="1202" w:type="pct"/>
            <w:vMerge w:val="restart"/>
            <w:vAlign w:val="center"/>
            <w:hideMark/>
          </w:tcPr>
          <w:p w14:paraId="70046778" w14:textId="77777777" w:rsidR="00AB120E" w:rsidRPr="00951AB1" w:rsidRDefault="008B35C9" w:rsidP="000A5389">
            <w:pPr>
              <w:spacing w:line="240" w:lineRule="auto"/>
              <w:contextualSpacing/>
              <w:rPr>
                <w:rFonts w:cs="Times New Roman"/>
                <w:bCs/>
                <w:sz w:val="20"/>
                <w:szCs w:val="20"/>
                <w:lang w:val="es-MX" w:eastAsia="es-CO"/>
              </w:rPr>
            </w:pPr>
            <w:r w:rsidRPr="00951AB1">
              <w:rPr>
                <w:rFonts w:cs="Times New Roman"/>
                <w:bCs/>
                <w:sz w:val="20"/>
                <w:szCs w:val="20"/>
                <w:lang w:val="es-MX" w:eastAsia="es-CO"/>
              </w:rPr>
              <w:t>CONTRATISTA</w:t>
            </w:r>
          </w:p>
          <w:p w14:paraId="51CB3886" w14:textId="1E424958" w:rsidR="008B35C9" w:rsidRPr="00951AB1" w:rsidRDefault="008B35C9" w:rsidP="000A5389">
            <w:pPr>
              <w:spacing w:line="240" w:lineRule="auto"/>
              <w:contextualSpacing/>
              <w:rPr>
                <w:rFonts w:cs="Times New Roman"/>
                <w:bCs/>
                <w:sz w:val="20"/>
                <w:szCs w:val="20"/>
                <w:lang w:val="es-MX"/>
              </w:rPr>
            </w:pPr>
            <w:r w:rsidRPr="00951AB1">
              <w:rPr>
                <w:rFonts w:cs="Times New Roman"/>
                <w:bCs/>
                <w:sz w:val="20"/>
                <w:szCs w:val="20"/>
                <w:lang w:val="es-MX" w:eastAsia="es-CO"/>
              </w:rPr>
              <w:t>/CONVINENTE:</w:t>
            </w:r>
          </w:p>
        </w:tc>
        <w:tc>
          <w:tcPr>
            <w:tcW w:w="1364" w:type="pct"/>
            <w:vAlign w:val="center"/>
            <w:hideMark/>
          </w:tcPr>
          <w:p w14:paraId="7C445188" w14:textId="77777777" w:rsidR="008B35C9" w:rsidRPr="00951AB1" w:rsidRDefault="008B35C9" w:rsidP="000A5389">
            <w:pPr>
              <w:spacing w:line="240" w:lineRule="auto"/>
              <w:contextualSpacing/>
              <w:rPr>
                <w:rFonts w:cs="Times New Roman"/>
                <w:bCs/>
                <w:smallCaps/>
                <w:sz w:val="20"/>
                <w:szCs w:val="20"/>
                <w:lang w:val="es-MX"/>
              </w:rPr>
            </w:pPr>
            <w:r w:rsidRPr="00951AB1">
              <w:rPr>
                <w:rFonts w:cs="Times New Roman"/>
                <w:bCs/>
                <w:smallCaps/>
                <w:sz w:val="20"/>
                <w:szCs w:val="20"/>
                <w:lang w:val="es-MX"/>
              </w:rPr>
              <w:t>Nombre</w:t>
            </w:r>
          </w:p>
        </w:tc>
        <w:tc>
          <w:tcPr>
            <w:tcW w:w="2434" w:type="pct"/>
            <w:vAlign w:val="center"/>
            <w:hideMark/>
          </w:tcPr>
          <w:p w14:paraId="63F8BAFA" w14:textId="77777777" w:rsidR="008B35C9" w:rsidRPr="00951AB1" w:rsidRDefault="008B35C9" w:rsidP="000A5389">
            <w:pPr>
              <w:tabs>
                <w:tab w:val="left" w:pos="-720"/>
              </w:tabs>
              <w:suppressAutoHyphens/>
              <w:spacing w:line="240" w:lineRule="auto"/>
              <w:contextualSpacing/>
              <w:rPr>
                <w:rFonts w:cs="Times New Roman"/>
                <w:sz w:val="20"/>
                <w:szCs w:val="20"/>
                <w:lang w:val="es-MX"/>
              </w:rPr>
            </w:pPr>
            <w:r w:rsidRPr="00951AB1">
              <w:rPr>
                <w:rFonts w:cs="Times New Roman"/>
                <w:sz w:val="20"/>
                <w:szCs w:val="20"/>
                <w:lang w:val="es-MX"/>
              </w:rPr>
              <w:t>Financiera de Desarrollo Territorial – FINDETER</w:t>
            </w:r>
          </w:p>
        </w:tc>
      </w:tr>
      <w:tr w:rsidR="00AB120E" w:rsidRPr="00951AB1" w14:paraId="1A6E2950" w14:textId="77777777" w:rsidTr="00AB120E">
        <w:trPr>
          <w:trHeight w:val="253"/>
        </w:trPr>
        <w:tc>
          <w:tcPr>
            <w:tcW w:w="1202" w:type="pct"/>
            <w:vMerge/>
            <w:vAlign w:val="center"/>
            <w:hideMark/>
          </w:tcPr>
          <w:p w14:paraId="5B0E71E0" w14:textId="77777777" w:rsidR="008B35C9" w:rsidRPr="00951AB1" w:rsidRDefault="008B35C9" w:rsidP="000A5389">
            <w:pPr>
              <w:spacing w:line="240" w:lineRule="auto"/>
              <w:rPr>
                <w:rFonts w:cs="Times New Roman"/>
                <w:bCs/>
                <w:sz w:val="20"/>
                <w:szCs w:val="20"/>
                <w:lang w:val="es-MX"/>
              </w:rPr>
            </w:pPr>
          </w:p>
        </w:tc>
        <w:tc>
          <w:tcPr>
            <w:tcW w:w="1364" w:type="pct"/>
            <w:vAlign w:val="center"/>
            <w:hideMark/>
          </w:tcPr>
          <w:p w14:paraId="54337969" w14:textId="77777777" w:rsidR="008B35C9" w:rsidRPr="00951AB1" w:rsidRDefault="008B35C9" w:rsidP="000A5389">
            <w:pPr>
              <w:spacing w:line="240" w:lineRule="auto"/>
              <w:contextualSpacing/>
              <w:rPr>
                <w:rFonts w:cs="Times New Roman"/>
                <w:bCs/>
                <w:smallCaps/>
                <w:sz w:val="20"/>
                <w:szCs w:val="20"/>
                <w:lang w:val="es-MX"/>
              </w:rPr>
            </w:pPr>
            <w:r w:rsidRPr="00951AB1">
              <w:rPr>
                <w:rFonts w:cs="Times New Roman"/>
                <w:bCs/>
                <w:smallCaps/>
                <w:sz w:val="20"/>
                <w:szCs w:val="20"/>
                <w:lang w:val="es-MX"/>
              </w:rPr>
              <w:t>No. De identificación</w:t>
            </w:r>
          </w:p>
        </w:tc>
        <w:tc>
          <w:tcPr>
            <w:tcW w:w="2434" w:type="pct"/>
            <w:vAlign w:val="center"/>
            <w:hideMark/>
          </w:tcPr>
          <w:p w14:paraId="55C5A595" w14:textId="77777777" w:rsidR="008B35C9" w:rsidRPr="00951AB1" w:rsidRDefault="008B35C9" w:rsidP="000A5389">
            <w:pPr>
              <w:tabs>
                <w:tab w:val="left" w:pos="-720"/>
              </w:tabs>
              <w:suppressAutoHyphens/>
              <w:spacing w:line="240" w:lineRule="auto"/>
              <w:contextualSpacing/>
              <w:jc w:val="center"/>
              <w:rPr>
                <w:rFonts w:cs="Times New Roman"/>
                <w:sz w:val="20"/>
                <w:szCs w:val="20"/>
                <w:lang w:val="es-MX"/>
              </w:rPr>
            </w:pPr>
            <w:r w:rsidRPr="00951AB1">
              <w:rPr>
                <w:rFonts w:cs="Times New Roman"/>
                <w:sz w:val="20"/>
                <w:szCs w:val="20"/>
                <w:lang w:val="es-MX"/>
              </w:rPr>
              <w:t>NIT 800.096.329-1</w:t>
            </w:r>
          </w:p>
        </w:tc>
      </w:tr>
      <w:tr w:rsidR="00AB120E" w:rsidRPr="00951AB1" w14:paraId="30657817" w14:textId="77777777" w:rsidTr="00AB120E">
        <w:trPr>
          <w:trHeight w:val="330"/>
        </w:trPr>
        <w:tc>
          <w:tcPr>
            <w:tcW w:w="1202" w:type="pct"/>
            <w:vMerge w:val="restart"/>
            <w:vAlign w:val="center"/>
            <w:hideMark/>
          </w:tcPr>
          <w:p w14:paraId="0F338FEC" w14:textId="77777777" w:rsidR="008B35C9" w:rsidRPr="00951AB1" w:rsidRDefault="008B35C9" w:rsidP="000A5389">
            <w:pPr>
              <w:spacing w:line="240" w:lineRule="auto"/>
              <w:contextualSpacing/>
              <w:rPr>
                <w:rFonts w:cs="Times New Roman"/>
                <w:bCs/>
                <w:sz w:val="20"/>
                <w:szCs w:val="20"/>
                <w:lang w:val="es-MX"/>
              </w:rPr>
            </w:pPr>
            <w:r w:rsidRPr="00951AB1">
              <w:rPr>
                <w:rFonts w:cs="Times New Roman"/>
                <w:bCs/>
                <w:sz w:val="20"/>
                <w:szCs w:val="20"/>
                <w:lang w:val="es-MX" w:eastAsia="es-CO"/>
              </w:rPr>
              <w:t>FECHAS DE PERFECCIONAMIENTO Y LEGALIZACIÓN</w:t>
            </w:r>
          </w:p>
        </w:tc>
        <w:tc>
          <w:tcPr>
            <w:tcW w:w="1364" w:type="pct"/>
            <w:vAlign w:val="center"/>
            <w:hideMark/>
          </w:tcPr>
          <w:p w14:paraId="48250A81" w14:textId="77777777" w:rsidR="008B35C9" w:rsidRPr="00951AB1" w:rsidRDefault="008B35C9" w:rsidP="000A5389">
            <w:pPr>
              <w:spacing w:line="240" w:lineRule="auto"/>
              <w:contextualSpacing/>
              <w:rPr>
                <w:rFonts w:cs="Times New Roman"/>
                <w:bCs/>
                <w:sz w:val="20"/>
                <w:szCs w:val="20"/>
                <w:lang w:val="es-MX"/>
              </w:rPr>
            </w:pPr>
            <w:r w:rsidRPr="00951AB1">
              <w:rPr>
                <w:rFonts w:cs="Times New Roman"/>
                <w:bCs/>
                <w:sz w:val="20"/>
                <w:szCs w:val="20"/>
                <w:lang w:val="es-MX"/>
              </w:rPr>
              <w:t>Fecha de suscripción:</w:t>
            </w:r>
          </w:p>
        </w:tc>
        <w:tc>
          <w:tcPr>
            <w:tcW w:w="2434" w:type="pct"/>
            <w:vAlign w:val="center"/>
            <w:hideMark/>
          </w:tcPr>
          <w:p w14:paraId="5010D26D" w14:textId="77777777" w:rsidR="008B35C9" w:rsidRPr="00951AB1" w:rsidRDefault="008B35C9" w:rsidP="000A5389">
            <w:pPr>
              <w:spacing w:line="240" w:lineRule="auto"/>
              <w:contextualSpacing/>
              <w:jc w:val="center"/>
              <w:rPr>
                <w:rFonts w:cs="Times New Roman"/>
                <w:sz w:val="20"/>
                <w:szCs w:val="20"/>
                <w:lang w:val="es-MX"/>
              </w:rPr>
            </w:pPr>
            <w:r w:rsidRPr="00951AB1">
              <w:rPr>
                <w:rFonts w:cs="Times New Roman"/>
                <w:sz w:val="20"/>
                <w:szCs w:val="20"/>
                <w:lang w:val="es-MX"/>
              </w:rPr>
              <w:t>21 de diciembre de 2022</w:t>
            </w:r>
          </w:p>
        </w:tc>
      </w:tr>
      <w:tr w:rsidR="00AB120E" w:rsidRPr="00951AB1" w14:paraId="65B95E7E" w14:textId="77777777" w:rsidTr="00AB120E">
        <w:trPr>
          <w:trHeight w:val="390"/>
        </w:trPr>
        <w:tc>
          <w:tcPr>
            <w:tcW w:w="1202" w:type="pct"/>
            <w:vMerge/>
            <w:vAlign w:val="center"/>
            <w:hideMark/>
          </w:tcPr>
          <w:p w14:paraId="3FBCD1B0" w14:textId="77777777" w:rsidR="008B35C9" w:rsidRPr="00951AB1" w:rsidRDefault="008B35C9" w:rsidP="000A5389">
            <w:pPr>
              <w:spacing w:line="240" w:lineRule="auto"/>
              <w:rPr>
                <w:rFonts w:cs="Times New Roman"/>
                <w:bCs/>
                <w:sz w:val="20"/>
                <w:szCs w:val="20"/>
                <w:lang w:val="es-MX"/>
              </w:rPr>
            </w:pPr>
          </w:p>
        </w:tc>
        <w:tc>
          <w:tcPr>
            <w:tcW w:w="1364" w:type="pct"/>
            <w:vAlign w:val="center"/>
            <w:hideMark/>
          </w:tcPr>
          <w:p w14:paraId="49C523C7" w14:textId="77777777" w:rsidR="008B35C9" w:rsidRPr="00951AB1" w:rsidRDefault="008B35C9" w:rsidP="000A5389">
            <w:pPr>
              <w:spacing w:line="240" w:lineRule="auto"/>
              <w:contextualSpacing/>
              <w:rPr>
                <w:rFonts w:cs="Times New Roman"/>
                <w:bCs/>
                <w:sz w:val="20"/>
                <w:szCs w:val="20"/>
                <w:lang w:val="es-MX"/>
              </w:rPr>
            </w:pPr>
            <w:r w:rsidRPr="00951AB1">
              <w:rPr>
                <w:rFonts w:cs="Times New Roman"/>
                <w:bCs/>
                <w:sz w:val="20"/>
                <w:szCs w:val="20"/>
                <w:lang w:val="es-MX"/>
              </w:rPr>
              <w:t xml:space="preserve">Fecha Acta de inicio: </w:t>
            </w:r>
          </w:p>
        </w:tc>
        <w:tc>
          <w:tcPr>
            <w:tcW w:w="2434" w:type="pct"/>
            <w:vAlign w:val="center"/>
            <w:hideMark/>
          </w:tcPr>
          <w:p w14:paraId="2AFA7724" w14:textId="77777777" w:rsidR="008B35C9" w:rsidRPr="00951AB1" w:rsidRDefault="008B35C9" w:rsidP="000A5389">
            <w:pPr>
              <w:spacing w:line="240" w:lineRule="auto"/>
              <w:contextualSpacing/>
              <w:jc w:val="center"/>
              <w:rPr>
                <w:rFonts w:cs="Times New Roman"/>
                <w:sz w:val="20"/>
                <w:szCs w:val="20"/>
                <w:lang w:val="es-MX"/>
              </w:rPr>
            </w:pPr>
            <w:r w:rsidRPr="00951AB1">
              <w:rPr>
                <w:rFonts w:cs="Times New Roman"/>
                <w:sz w:val="20"/>
                <w:szCs w:val="20"/>
                <w:lang w:val="es-MX"/>
              </w:rPr>
              <w:t>27 de diciembre de 2022</w:t>
            </w:r>
          </w:p>
        </w:tc>
      </w:tr>
      <w:tr w:rsidR="00AB120E" w:rsidRPr="00951AB1" w14:paraId="0DBA7B81" w14:textId="77777777" w:rsidTr="00AB120E">
        <w:trPr>
          <w:trHeight w:val="285"/>
        </w:trPr>
        <w:tc>
          <w:tcPr>
            <w:tcW w:w="1202" w:type="pct"/>
            <w:vAlign w:val="center"/>
            <w:hideMark/>
          </w:tcPr>
          <w:p w14:paraId="136AED61" w14:textId="77777777" w:rsidR="008B35C9" w:rsidRPr="00951AB1" w:rsidRDefault="008B35C9" w:rsidP="000A5389">
            <w:pPr>
              <w:spacing w:line="240" w:lineRule="auto"/>
              <w:contextualSpacing/>
              <w:rPr>
                <w:rFonts w:cs="Times New Roman"/>
                <w:bCs/>
                <w:sz w:val="20"/>
                <w:szCs w:val="20"/>
                <w:lang w:val="es-MX" w:eastAsia="es-CO"/>
              </w:rPr>
            </w:pPr>
            <w:r w:rsidRPr="00951AB1">
              <w:rPr>
                <w:rFonts w:cs="Times New Roman"/>
                <w:bCs/>
                <w:sz w:val="20"/>
                <w:szCs w:val="20"/>
                <w:lang w:val="es-MX" w:eastAsia="es-CO"/>
              </w:rPr>
              <w:t>VALOR DEL CONTRATO/VALOR DE LOS APORTES:</w:t>
            </w:r>
          </w:p>
        </w:tc>
        <w:tc>
          <w:tcPr>
            <w:tcW w:w="1364" w:type="pct"/>
            <w:vAlign w:val="center"/>
            <w:hideMark/>
          </w:tcPr>
          <w:p w14:paraId="08216168" w14:textId="77777777" w:rsidR="008B35C9" w:rsidRPr="00951AB1" w:rsidRDefault="008B35C9" w:rsidP="000A5389">
            <w:pPr>
              <w:spacing w:line="240" w:lineRule="auto"/>
              <w:contextualSpacing/>
              <w:rPr>
                <w:rFonts w:cs="Times New Roman"/>
                <w:bCs/>
                <w:sz w:val="20"/>
                <w:szCs w:val="20"/>
                <w:lang w:val="es-MX" w:eastAsia="es-CO"/>
              </w:rPr>
            </w:pPr>
            <w:r w:rsidRPr="00951AB1">
              <w:rPr>
                <w:rFonts w:cs="Times New Roman"/>
                <w:bCs/>
                <w:sz w:val="20"/>
                <w:szCs w:val="20"/>
                <w:lang w:val="es-MX" w:eastAsia="es-CO"/>
              </w:rPr>
              <w:t>Valor Total (incluyendo adiciones):</w:t>
            </w:r>
          </w:p>
        </w:tc>
        <w:tc>
          <w:tcPr>
            <w:tcW w:w="2434" w:type="pct"/>
            <w:vAlign w:val="center"/>
            <w:hideMark/>
          </w:tcPr>
          <w:p w14:paraId="03A28AFB" w14:textId="77777777" w:rsidR="008B35C9" w:rsidRPr="00951AB1" w:rsidRDefault="008B35C9" w:rsidP="000A5389">
            <w:pPr>
              <w:spacing w:line="240" w:lineRule="auto"/>
              <w:contextualSpacing/>
              <w:jc w:val="center"/>
              <w:rPr>
                <w:rFonts w:cs="Times New Roman"/>
                <w:sz w:val="20"/>
                <w:szCs w:val="20"/>
                <w:lang w:val="es-MX"/>
              </w:rPr>
            </w:pPr>
            <w:r w:rsidRPr="00951AB1">
              <w:rPr>
                <w:rFonts w:cs="Times New Roman"/>
                <w:sz w:val="20"/>
                <w:szCs w:val="20"/>
                <w:lang w:val="es-MX"/>
              </w:rPr>
              <w:t>$ 180.395.944.714</w:t>
            </w:r>
          </w:p>
        </w:tc>
      </w:tr>
      <w:tr w:rsidR="008B35C9" w:rsidRPr="00951AB1" w14:paraId="36DD78D4" w14:textId="77777777" w:rsidTr="00AB120E">
        <w:trPr>
          <w:trHeight w:val="440"/>
        </w:trPr>
        <w:tc>
          <w:tcPr>
            <w:tcW w:w="2566" w:type="pct"/>
            <w:gridSpan w:val="2"/>
            <w:vAlign w:val="center"/>
            <w:hideMark/>
          </w:tcPr>
          <w:p w14:paraId="4620BFCE" w14:textId="77777777" w:rsidR="008B35C9" w:rsidRPr="00951AB1" w:rsidRDefault="008B35C9" w:rsidP="000A5389">
            <w:pPr>
              <w:spacing w:line="240" w:lineRule="auto"/>
              <w:contextualSpacing/>
              <w:rPr>
                <w:rFonts w:cs="Times New Roman"/>
                <w:bCs/>
                <w:sz w:val="20"/>
                <w:szCs w:val="20"/>
                <w:lang w:val="es-MX" w:eastAsia="es-CO"/>
              </w:rPr>
            </w:pPr>
            <w:r w:rsidRPr="00951AB1">
              <w:rPr>
                <w:rFonts w:cs="Times New Roman"/>
                <w:bCs/>
                <w:sz w:val="20"/>
                <w:szCs w:val="20"/>
                <w:lang w:val="es-MX"/>
              </w:rPr>
              <w:t>PLAZO FINAL DE EJECUCIÓN (incluyendo Prórrogas)</w:t>
            </w:r>
          </w:p>
        </w:tc>
        <w:tc>
          <w:tcPr>
            <w:tcW w:w="2434" w:type="pct"/>
            <w:vAlign w:val="center"/>
            <w:hideMark/>
          </w:tcPr>
          <w:p w14:paraId="716B27A9" w14:textId="77777777" w:rsidR="008B35C9" w:rsidRPr="00951AB1" w:rsidRDefault="008B35C9" w:rsidP="000A5389">
            <w:pPr>
              <w:spacing w:line="240" w:lineRule="auto"/>
              <w:contextualSpacing/>
              <w:jc w:val="center"/>
              <w:rPr>
                <w:rFonts w:cs="Times New Roman"/>
                <w:sz w:val="20"/>
                <w:szCs w:val="20"/>
                <w:lang w:val="es-MX"/>
              </w:rPr>
            </w:pPr>
            <w:r w:rsidRPr="00951AB1">
              <w:rPr>
                <w:rFonts w:cs="Times New Roman"/>
                <w:sz w:val="20"/>
                <w:szCs w:val="20"/>
                <w:lang w:val="es-MX"/>
              </w:rPr>
              <w:t>37 meses y 3 días</w:t>
            </w:r>
          </w:p>
        </w:tc>
      </w:tr>
    </w:tbl>
    <w:p w14:paraId="69712F5C" w14:textId="77777777" w:rsidR="008B35C9" w:rsidRPr="00951AB1" w:rsidRDefault="008B35C9" w:rsidP="000A5389">
      <w:pPr>
        <w:spacing w:line="240" w:lineRule="auto"/>
        <w:rPr>
          <w:rFonts w:cs="Times New Roman"/>
          <w:szCs w:val="24"/>
        </w:rPr>
      </w:pPr>
    </w:p>
    <w:p w14:paraId="3632CE2A" w14:textId="77777777" w:rsidR="00672E05" w:rsidRDefault="008B35C9" w:rsidP="000A5389">
      <w:pPr>
        <w:spacing w:line="240" w:lineRule="auto"/>
        <w:rPr>
          <w:rFonts w:cs="Times New Roman"/>
          <w:i/>
          <w:iCs/>
          <w:szCs w:val="24"/>
        </w:rPr>
      </w:pPr>
      <w:r w:rsidRPr="00951AB1">
        <w:rPr>
          <w:rFonts w:cs="Times New Roman"/>
          <w:i/>
          <w:iCs/>
          <w:szCs w:val="24"/>
        </w:rPr>
        <w:t>Modificaciones contractuales:</w:t>
      </w:r>
    </w:p>
    <w:p w14:paraId="4799BDAA" w14:textId="77777777" w:rsidR="002E333D" w:rsidRPr="00951AB1" w:rsidRDefault="002E333D" w:rsidP="000A5389">
      <w:pPr>
        <w:spacing w:line="240" w:lineRule="auto"/>
        <w:rPr>
          <w:rFonts w:cs="Times New Roman"/>
          <w:i/>
          <w:iCs/>
          <w:szCs w:val="24"/>
        </w:rPr>
      </w:pPr>
    </w:p>
    <w:p w14:paraId="561BF0C1" w14:textId="77777777" w:rsidR="008B35C9" w:rsidRPr="00951AB1" w:rsidRDefault="008B35C9" w:rsidP="000A5389">
      <w:pPr>
        <w:pStyle w:val="Prrafodelista"/>
        <w:numPr>
          <w:ilvl w:val="0"/>
          <w:numId w:val="100"/>
        </w:numPr>
        <w:spacing w:line="240" w:lineRule="auto"/>
        <w:rPr>
          <w:rFonts w:cs="Times New Roman"/>
          <w:szCs w:val="24"/>
        </w:rPr>
      </w:pPr>
      <w:r w:rsidRPr="00951AB1">
        <w:rPr>
          <w:rFonts w:cs="Times New Roman"/>
          <w:bCs/>
          <w:szCs w:val="24"/>
          <w:lang w:eastAsia="es-CO"/>
        </w:rPr>
        <w:t xml:space="preserve">Otrosí No. 1, del 28 de diciembre de 2023, mediante el cual se adicionó y se amplió el plazo y modifico la forma de pago de la cuota de la asistencia técnica y la disponibilidad presupuestal del contrato </w:t>
      </w:r>
      <w:r w:rsidRPr="00951AB1">
        <w:rPr>
          <w:rFonts w:cs="Times New Roman"/>
          <w:szCs w:val="24"/>
        </w:rPr>
        <w:t>VE-629-2022</w:t>
      </w:r>
    </w:p>
    <w:p w14:paraId="08F0119B" w14:textId="77777777" w:rsidR="008B35C9" w:rsidRPr="00951AB1" w:rsidRDefault="008B35C9" w:rsidP="000A5389">
      <w:pPr>
        <w:pStyle w:val="Prrafodelista"/>
        <w:numPr>
          <w:ilvl w:val="0"/>
          <w:numId w:val="100"/>
        </w:numPr>
        <w:spacing w:line="240" w:lineRule="auto"/>
        <w:rPr>
          <w:rFonts w:cs="Times New Roman"/>
          <w:szCs w:val="24"/>
        </w:rPr>
      </w:pPr>
      <w:r w:rsidRPr="00951AB1">
        <w:rPr>
          <w:rFonts w:cs="Times New Roman"/>
          <w:bCs/>
          <w:szCs w:val="24"/>
          <w:lang w:eastAsia="es-CO"/>
        </w:rPr>
        <w:t xml:space="preserve">Otrosí No. 2, del 28 de marzo de 2025, mediante el cual se adicionó y se amplió el plazo y se modificó la forma de pago de la cuota de la asistencia técnica y la disponibilidad presupuestal del contrato </w:t>
      </w:r>
      <w:r w:rsidRPr="00951AB1">
        <w:rPr>
          <w:rFonts w:cs="Times New Roman"/>
          <w:szCs w:val="24"/>
        </w:rPr>
        <w:t>VE-629-2022.</w:t>
      </w:r>
    </w:p>
    <w:p w14:paraId="7CE01396" w14:textId="77777777" w:rsidR="008B35C9" w:rsidRDefault="008B35C9" w:rsidP="000A5389">
      <w:pPr>
        <w:pStyle w:val="Prrafodelista"/>
        <w:numPr>
          <w:ilvl w:val="0"/>
          <w:numId w:val="100"/>
        </w:numPr>
        <w:spacing w:line="240" w:lineRule="auto"/>
        <w:rPr>
          <w:rFonts w:cs="Times New Roman"/>
          <w:szCs w:val="24"/>
        </w:rPr>
      </w:pPr>
      <w:r w:rsidRPr="00951AB1">
        <w:rPr>
          <w:rFonts w:cs="Times New Roman"/>
          <w:szCs w:val="24"/>
        </w:rPr>
        <w:t>Otrosí No.3 del 6 de junio de 2025, mediante el cual se desafecto la extensión de 29,871 kilómetros correspondientes al tramo del corredor férreo comprendidos entre Bogotá (PK6+000) – Facatativá (PK35+871), del alcance físico del Contrato Interadministrativo No. VE-629-2022 y se modificó el alcance del objeto.</w:t>
      </w:r>
    </w:p>
    <w:p w14:paraId="64E51CA3" w14:textId="77777777" w:rsidR="002E333D" w:rsidRPr="00951AB1" w:rsidRDefault="002E333D" w:rsidP="000A5389">
      <w:pPr>
        <w:pStyle w:val="Prrafodelista"/>
        <w:numPr>
          <w:ilvl w:val="0"/>
          <w:numId w:val="100"/>
        </w:numPr>
        <w:spacing w:line="240" w:lineRule="auto"/>
        <w:rPr>
          <w:rFonts w:cs="Times New Roman"/>
          <w:szCs w:val="24"/>
        </w:rPr>
      </w:pPr>
    </w:p>
    <w:p w14:paraId="1E8D75CE" w14:textId="21F2334F" w:rsidR="008B35C9" w:rsidRPr="00951AB1" w:rsidRDefault="008B35C9" w:rsidP="000A5389">
      <w:pPr>
        <w:spacing w:line="240" w:lineRule="auto"/>
        <w:rPr>
          <w:rFonts w:cs="Times New Roman"/>
          <w:szCs w:val="24"/>
        </w:rPr>
      </w:pPr>
      <w:r w:rsidRPr="00951AB1">
        <w:rPr>
          <w:rFonts w:cs="Times New Roman"/>
          <w:i/>
          <w:iCs/>
          <w:szCs w:val="24"/>
        </w:rPr>
        <w:lastRenderedPageBreak/>
        <w:t>Estado actual y balance del contrato</w:t>
      </w:r>
      <w:r w:rsidR="00672E05" w:rsidRPr="00951AB1">
        <w:rPr>
          <w:rFonts w:cs="Times New Roman"/>
          <w:i/>
          <w:iCs/>
          <w:szCs w:val="24"/>
        </w:rPr>
        <w:t xml:space="preserve">: </w:t>
      </w:r>
      <w:r w:rsidRPr="00951AB1">
        <w:rPr>
          <w:rFonts w:cs="Times New Roman"/>
          <w:szCs w:val="24"/>
        </w:rPr>
        <w:t>El contrato VE-629-2022 a la fecha se encuentra en etapa de ejecución de los contratos derivados, de acuerdo con la documentación que reposa en el expediente contractual, el balance del contrato es el siguiente:</w:t>
      </w:r>
    </w:p>
    <w:p w14:paraId="33ED1C27" w14:textId="77777777" w:rsidR="008B35C9" w:rsidRDefault="008B35C9" w:rsidP="000A5389">
      <w:pPr>
        <w:spacing w:line="240" w:lineRule="auto"/>
        <w:rPr>
          <w:rFonts w:cs="Times New Roman"/>
          <w:szCs w:val="24"/>
        </w:rPr>
      </w:pPr>
      <w:r w:rsidRPr="00951AB1">
        <w:rPr>
          <w:rFonts w:cs="Times New Roman"/>
          <w:szCs w:val="24"/>
        </w:rPr>
        <w:t>Valores Contractuales</w:t>
      </w:r>
    </w:p>
    <w:p w14:paraId="4697F95F" w14:textId="77777777" w:rsidR="002E333D" w:rsidRPr="00951AB1" w:rsidRDefault="002E333D" w:rsidP="000A5389">
      <w:pPr>
        <w:spacing w:line="240" w:lineRule="auto"/>
        <w:rPr>
          <w:rFonts w:cs="Times New Roman"/>
          <w:szCs w:val="24"/>
        </w:rPr>
      </w:pPr>
    </w:p>
    <w:tbl>
      <w:tblPr>
        <w:tblW w:w="5000" w:type="pct"/>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shd w:val="clear" w:color="auto" w:fill="FFFFFF" w:themeFill="background1"/>
        <w:tblCellMar>
          <w:left w:w="70" w:type="dxa"/>
          <w:right w:w="70" w:type="dxa"/>
        </w:tblCellMar>
        <w:tblLook w:val="04A0" w:firstRow="1" w:lastRow="0" w:firstColumn="1" w:lastColumn="0" w:noHBand="0" w:noVBand="1"/>
      </w:tblPr>
      <w:tblGrid>
        <w:gridCol w:w="4674"/>
        <w:gridCol w:w="4154"/>
      </w:tblGrid>
      <w:tr w:rsidR="008B35C9" w:rsidRPr="002E333D" w14:paraId="41021417" w14:textId="77777777" w:rsidTr="00E575C1">
        <w:trPr>
          <w:trHeight w:val="245"/>
        </w:trPr>
        <w:tc>
          <w:tcPr>
            <w:tcW w:w="2647" w:type="pct"/>
            <w:shd w:val="clear" w:color="auto" w:fill="FFFFFF" w:themeFill="background1"/>
            <w:vAlign w:val="center"/>
            <w:hideMark/>
          </w:tcPr>
          <w:p w14:paraId="2A5DE67A" w14:textId="77777777" w:rsidR="008B35C9" w:rsidRPr="002E333D" w:rsidRDefault="008B35C9" w:rsidP="000A5389">
            <w:pPr>
              <w:spacing w:line="240" w:lineRule="auto"/>
              <w:rPr>
                <w:rFonts w:eastAsia="Times New Roman" w:cs="Times New Roman"/>
                <w:color w:val="000000"/>
                <w:sz w:val="18"/>
                <w:szCs w:val="18"/>
                <w:lang w:val="es-MX" w:eastAsia="es-CO"/>
              </w:rPr>
            </w:pPr>
            <w:bookmarkStart w:id="448" w:name="_Hlk126057332"/>
            <w:r w:rsidRPr="002E333D">
              <w:rPr>
                <w:rFonts w:eastAsia="Times New Roman" w:cs="Times New Roman"/>
                <w:color w:val="000000"/>
                <w:sz w:val="18"/>
                <w:szCs w:val="18"/>
                <w:lang w:val="es-ES" w:eastAsia="es-CO"/>
              </w:rPr>
              <w:t>VALOR INICIAL DEL CONTRATO:</w:t>
            </w:r>
          </w:p>
        </w:tc>
        <w:tc>
          <w:tcPr>
            <w:tcW w:w="2353" w:type="pct"/>
            <w:shd w:val="clear" w:color="auto" w:fill="FFFFFF" w:themeFill="background1"/>
            <w:vAlign w:val="center"/>
          </w:tcPr>
          <w:p w14:paraId="6F5F95C8" w14:textId="77777777" w:rsidR="008B35C9" w:rsidRPr="002E333D" w:rsidRDefault="008B35C9" w:rsidP="000A5389">
            <w:pPr>
              <w:spacing w:line="240" w:lineRule="auto"/>
              <w:jc w:val="right"/>
              <w:rPr>
                <w:rFonts w:eastAsia="Times New Roman" w:cs="Times New Roman"/>
                <w:color w:val="000000"/>
                <w:sz w:val="18"/>
                <w:szCs w:val="18"/>
                <w:lang w:val="es-MX" w:eastAsia="es-CO"/>
              </w:rPr>
            </w:pPr>
            <w:r w:rsidRPr="002E333D">
              <w:rPr>
                <w:rFonts w:cs="Times New Roman"/>
                <w:color w:val="000000"/>
                <w:sz w:val="18"/>
                <w:szCs w:val="18"/>
              </w:rPr>
              <w:t>$ 125.209.783.618</w:t>
            </w:r>
          </w:p>
        </w:tc>
      </w:tr>
      <w:tr w:rsidR="008B35C9" w:rsidRPr="002E333D" w14:paraId="3E585111" w14:textId="77777777" w:rsidTr="00E575C1">
        <w:trPr>
          <w:trHeight w:val="300"/>
        </w:trPr>
        <w:tc>
          <w:tcPr>
            <w:tcW w:w="2647" w:type="pct"/>
            <w:shd w:val="clear" w:color="auto" w:fill="FFFFFF" w:themeFill="background1"/>
            <w:vAlign w:val="center"/>
            <w:hideMark/>
          </w:tcPr>
          <w:p w14:paraId="07C988B5" w14:textId="77777777" w:rsidR="008B35C9" w:rsidRPr="002E333D" w:rsidRDefault="008B35C9" w:rsidP="000A5389">
            <w:pPr>
              <w:spacing w:line="240" w:lineRule="auto"/>
              <w:rPr>
                <w:rFonts w:eastAsia="Times New Roman" w:cs="Times New Roman"/>
                <w:color w:val="000000"/>
                <w:sz w:val="18"/>
                <w:szCs w:val="18"/>
                <w:lang w:val="es-MX" w:eastAsia="es-CO"/>
              </w:rPr>
            </w:pPr>
            <w:r w:rsidRPr="002E333D">
              <w:rPr>
                <w:rFonts w:eastAsia="Times New Roman" w:cs="Times New Roman"/>
                <w:color w:val="000000"/>
                <w:sz w:val="18"/>
                <w:szCs w:val="18"/>
                <w:lang w:val="es-ES" w:eastAsia="es-CO"/>
              </w:rPr>
              <w:t>VALOR Otrosí No. 1:</w:t>
            </w:r>
          </w:p>
        </w:tc>
        <w:tc>
          <w:tcPr>
            <w:tcW w:w="2353" w:type="pct"/>
            <w:shd w:val="clear" w:color="auto" w:fill="FFFFFF" w:themeFill="background1"/>
            <w:vAlign w:val="center"/>
          </w:tcPr>
          <w:p w14:paraId="598E2CC4" w14:textId="77777777" w:rsidR="008B35C9" w:rsidRPr="002E333D" w:rsidRDefault="008B35C9" w:rsidP="000A5389">
            <w:pPr>
              <w:spacing w:line="240" w:lineRule="auto"/>
              <w:jc w:val="right"/>
              <w:rPr>
                <w:rFonts w:eastAsia="Times New Roman" w:cs="Times New Roman"/>
                <w:color w:val="000000"/>
                <w:sz w:val="18"/>
                <w:szCs w:val="18"/>
                <w:lang w:val="es-MX" w:eastAsia="es-CO"/>
              </w:rPr>
            </w:pPr>
            <w:r w:rsidRPr="002E333D">
              <w:rPr>
                <w:rFonts w:cs="Times New Roman"/>
                <w:color w:val="000000"/>
                <w:sz w:val="18"/>
                <w:szCs w:val="18"/>
              </w:rPr>
              <w:t>$   11.555.272.663</w:t>
            </w:r>
          </w:p>
        </w:tc>
      </w:tr>
      <w:tr w:rsidR="008B35C9" w:rsidRPr="002E333D" w14:paraId="04E508A7" w14:textId="77777777" w:rsidTr="00E575C1">
        <w:trPr>
          <w:trHeight w:val="300"/>
        </w:trPr>
        <w:tc>
          <w:tcPr>
            <w:tcW w:w="2647" w:type="pct"/>
            <w:shd w:val="clear" w:color="auto" w:fill="FFFFFF" w:themeFill="background1"/>
            <w:vAlign w:val="center"/>
          </w:tcPr>
          <w:p w14:paraId="5D2AC84C" w14:textId="77777777" w:rsidR="008B35C9" w:rsidRPr="002E333D" w:rsidRDefault="008B35C9" w:rsidP="000A5389">
            <w:pPr>
              <w:spacing w:line="240" w:lineRule="auto"/>
              <w:rPr>
                <w:rFonts w:eastAsia="Times New Roman" w:cs="Times New Roman"/>
                <w:color w:val="000000"/>
                <w:sz w:val="18"/>
                <w:szCs w:val="18"/>
                <w:lang w:val="es-ES" w:eastAsia="es-CO"/>
              </w:rPr>
            </w:pPr>
            <w:r w:rsidRPr="002E333D">
              <w:rPr>
                <w:rFonts w:eastAsia="Times New Roman" w:cs="Times New Roman"/>
                <w:color w:val="000000"/>
                <w:sz w:val="18"/>
                <w:szCs w:val="18"/>
                <w:lang w:val="es-ES" w:eastAsia="es-CO"/>
              </w:rPr>
              <w:t>VALOR Otrosí No. 2:</w:t>
            </w:r>
          </w:p>
        </w:tc>
        <w:tc>
          <w:tcPr>
            <w:tcW w:w="2353" w:type="pct"/>
            <w:shd w:val="clear" w:color="auto" w:fill="FFFFFF" w:themeFill="background1"/>
            <w:vAlign w:val="center"/>
          </w:tcPr>
          <w:p w14:paraId="4D53049E" w14:textId="77777777" w:rsidR="008B35C9" w:rsidRPr="002E333D" w:rsidRDefault="008B35C9" w:rsidP="000A5389">
            <w:pPr>
              <w:spacing w:line="240" w:lineRule="auto"/>
              <w:jc w:val="right"/>
              <w:rPr>
                <w:rFonts w:cs="Times New Roman"/>
                <w:color w:val="000000"/>
                <w:sz w:val="18"/>
                <w:szCs w:val="18"/>
              </w:rPr>
            </w:pPr>
            <w:r w:rsidRPr="002E333D">
              <w:rPr>
                <w:rFonts w:cs="Times New Roman"/>
                <w:color w:val="000000"/>
                <w:sz w:val="18"/>
                <w:szCs w:val="18"/>
              </w:rPr>
              <w:t>$   43.630.888.433</w:t>
            </w:r>
          </w:p>
        </w:tc>
      </w:tr>
      <w:tr w:rsidR="008B35C9" w:rsidRPr="002E333D" w14:paraId="1090E017" w14:textId="77777777" w:rsidTr="00E575C1">
        <w:trPr>
          <w:trHeight w:val="226"/>
        </w:trPr>
        <w:tc>
          <w:tcPr>
            <w:tcW w:w="2647" w:type="pct"/>
            <w:shd w:val="clear" w:color="auto" w:fill="FFFFFF" w:themeFill="background1"/>
            <w:vAlign w:val="center"/>
            <w:hideMark/>
          </w:tcPr>
          <w:p w14:paraId="6189ADAE" w14:textId="77777777" w:rsidR="008B35C9" w:rsidRPr="002E333D" w:rsidRDefault="008B35C9" w:rsidP="000A5389">
            <w:pPr>
              <w:spacing w:line="240" w:lineRule="auto"/>
              <w:rPr>
                <w:rFonts w:eastAsia="Times New Roman" w:cs="Times New Roman"/>
                <w:b/>
                <w:bCs/>
                <w:color w:val="000000"/>
                <w:sz w:val="18"/>
                <w:szCs w:val="18"/>
                <w:lang w:val="es-MX" w:eastAsia="es-CO"/>
              </w:rPr>
            </w:pPr>
            <w:r w:rsidRPr="002E333D">
              <w:rPr>
                <w:rFonts w:eastAsia="Times New Roman" w:cs="Times New Roman"/>
                <w:b/>
                <w:bCs/>
                <w:color w:val="000000"/>
                <w:sz w:val="18"/>
                <w:szCs w:val="18"/>
                <w:lang w:val="es-ES" w:eastAsia="es-CO"/>
              </w:rPr>
              <w:t>VALOR TOTAL DEL CONTRATO/CONVENIO:</w:t>
            </w:r>
          </w:p>
        </w:tc>
        <w:tc>
          <w:tcPr>
            <w:tcW w:w="2353" w:type="pct"/>
            <w:shd w:val="clear" w:color="auto" w:fill="FFFFFF" w:themeFill="background1"/>
            <w:vAlign w:val="center"/>
          </w:tcPr>
          <w:p w14:paraId="79D8E332" w14:textId="77777777" w:rsidR="008B35C9" w:rsidRPr="002E333D" w:rsidRDefault="008B35C9" w:rsidP="000A5389">
            <w:pPr>
              <w:spacing w:line="240" w:lineRule="auto"/>
              <w:jc w:val="right"/>
              <w:rPr>
                <w:rFonts w:eastAsia="Times New Roman" w:cs="Times New Roman"/>
                <w:b/>
                <w:bCs/>
                <w:color w:val="000000"/>
                <w:sz w:val="18"/>
                <w:szCs w:val="18"/>
                <w:lang w:val="es-MX" w:eastAsia="es-CO"/>
              </w:rPr>
            </w:pPr>
            <w:r w:rsidRPr="002E333D">
              <w:rPr>
                <w:rFonts w:cs="Times New Roman"/>
                <w:b/>
                <w:bCs/>
                <w:color w:val="000000"/>
                <w:sz w:val="18"/>
                <w:szCs w:val="18"/>
              </w:rPr>
              <w:t>$ 180.395.944.714</w:t>
            </w:r>
          </w:p>
        </w:tc>
      </w:tr>
      <w:bookmarkEnd w:id="448"/>
    </w:tbl>
    <w:p w14:paraId="20F18DA0" w14:textId="77777777" w:rsidR="00672E05" w:rsidRPr="00951AB1" w:rsidRDefault="00672E05" w:rsidP="000A5389">
      <w:pPr>
        <w:spacing w:line="240" w:lineRule="auto"/>
        <w:rPr>
          <w:rFonts w:cs="Times New Roman"/>
          <w:szCs w:val="24"/>
        </w:rPr>
      </w:pPr>
    </w:p>
    <w:p w14:paraId="6DD30099" w14:textId="77777777" w:rsidR="008B35C9" w:rsidRDefault="008B35C9" w:rsidP="000A5389">
      <w:pPr>
        <w:spacing w:line="240" w:lineRule="auto"/>
        <w:rPr>
          <w:rFonts w:cs="Times New Roman"/>
          <w:szCs w:val="24"/>
        </w:rPr>
      </w:pPr>
      <w:r w:rsidRPr="00951AB1">
        <w:rPr>
          <w:rFonts w:cs="Times New Roman"/>
          <w:szCs w:val="24"/>
        </w:rPr>
        <w:t>Balance del contrato</w:t>
      </w:r>
    </w:p>
    <w:p w14:paraId="613D0347" w14:textId="77777777" w:rsidR="002E333D" w:rsidRPr="00951AB1" w:rsidRDefault="002E333D" w:rsidP="000A5389">
      <w:pPr>
        <w:spacing w:line="240" w:lineRule="auto"/>
        <w:rPr>
          <w:rFonts w:cs="Times New Roman"/>
          <w:szCs w:val="24"/>
        </w:rPr>
      </w:pPr>
    </w:p>
    <w:tbl>
      <w:tblPr>
        <w:tblW w:w="5000" w:type="pct"/>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shd w:val="clear" w:color="auto" w:fill="FFFFFF" w:themeFill="background1"/>
        <w:tblCellMar>
          <w:left w:w="70" w:type="dxa"/>
          <w:right w:w="70" w:type="dxa"/>
        </w:tblCellMar>
        <w:tblLook w:val="04A0" w:firstRow="1" w:lastRow="0" w:firstColumn="1" w:lastColumn="0" w:noHBand="0" w:noVBand="1"/>
      </w:tblPr>
      <w:tblGrid>
        <w:gridCol w:w="4651"/>
        <w:gridCol w:w="2904"/>
        <w:gridCol w:w="1273"/>
      </w:tblGrid>
      <w:tr w:rsidR="008B35C9" w:rsidRPr="00951AB1" w14:paraId="1ED4DF5C" w14:textId="77777777" w:rsidTr="00672E05">
        <w:trPr>
          <w:trHeight w:val="335"/>
        </w:trPr>
        <w:tc>
          <w:tcPr>
            <w:tcW w:w="2634" w:type="pct"/>
            <w:shd w:val="clear" w:color="auto" w:fill="FFFFFF" w:themeFill="background1"/>
            <w:vAlign w:val="center"/>
            <w:hideMark/>
          </w:tcPr>
          <w:p w14:paraId="52CAE6BE" w14:textId="77777777" w:rsidR="008B35C9" w:rsidRPr="00951AB1" w:rsidRDefault="008B35C9" w:rsidP="000A5389">
            <w:pPr>
              <w:spacing w:line="240" w:lineRule="auto"/>
              <w:rPr>
                <w:rFonts w:eastAsia="Times New Roman" w:cs="Times New Roman"/>
                <w:b/>
                <w:bCs/>
                <w:color w:val="000000"/>
                <w:kern w:val="0"/>
                <w:sz w:val="16"/>
                <w:szCs w:val="16"/>
                <w:lang w:eastAsia="es-CO"/>
                <w14:ligatures w14:val="none"/>
              </w:rPr>
            </w:pPr>
            <w:r w:rsidRPr="00951AB1">
              <w:rPr>
                <w:rFonts w:eastAsia="Times New Roman" w:cs="Times New Roman"/>
                <w:b/>
                <w:bCs/>
                <w:color w:val="000000"/>
                <w:kern w:val="0"/>
                <w:sz w:val="16"/>
                <w:szCs w:val="16"/>
                <w:lang w:eastAsia="es-CO"/>
                <w14:ligatures w14:val="none"/>
              </w:rPr>
              <w:t>VALOR INICIAL DEL CONTRATO/CONVENIO:</w:t>
            </w:r>
          </w:p>
        </w:tc>
        <w:tc>
          <w:tcPr>
            <w:tcW w:w="1645" w:type="pct"/>
            <w:shd w:val="clear" w:color="auto" w:fill="FFFFFF" w:themeFill="background1"/>
            <w:vAlign w:val="center"/>
            <w:hideMark/>
          </w:tcPr>
          <w:p w14:paraId="4D02D5EC" w14:textId="77777777" w:rsidR="008B35C9" w:rsidRPr="00951AB1" w:rsidRDefault="008B35C9" w:rsidP="000A5389">
            <w:pPr>
              <w:spacing w:line="240" w:lineRule="auto"/>
              <w:jc w:val="right"/>
              <w:rPr>
                <w:rFonts w:eastAsia="Times New Roman" w:cs="Times New Roman"/>
                <w:color w:val="000000"/>
                <w:kern w:val="0"/>
                <w:sz w:val="16"/>
                <w:szCs w:val="16"/>
                <w:lang w:eastAsia="es-CO"/>
                <w14:ligatures w14:val="none"/>
              </w:rPr>
            </w:pPr>
            <w:r w:rsidRPr="00951AB1">
              <w:rPr>
                <w:rFonts w:eastAsia="Times New Roman" w:cs="Times New Roman"/>
                <w:color w:val="000000"/>
                <w:kern w:val="0"/>
                <w:sz w:val="16"/>
                <w:szCs w:val="16"/>
                <w:lang w:eastAsia="es-CO"/>
                <w14:ligatures w14:val="none"/>
              </w:rPr>
              <w:t>$ 125.209.783.618</w:t>
            </w:r>
          </w:p>
        </w:tc>
        <w:tc>
          <w:tcPr>
            <w:tcW w:w="721" w:type="pct"/>
            <w:shd w:val="clear" w:color="auto" w:fill="FFFFFF" w:themeFill="background1"/>
          </w:tcPr>
          <w:p w14:paraId="00D5A2D8" w14:textId="77777777" w:rsidR="008B35C9" w:rsidRPr="00951AB1" w:rsidRDefault="008B35C9" w:rsidP="000A5389">
            <w:pPr>
              <w:spacing w:line="240" w:lineRule="auto"/>
              <w:jc w:val="center"/>
              <w:rPr>
                <w:rFonts w:eastAsia="Times New Roman" w:cs="Times New Roman"/>
                <w:color w:val="000000"/>
                <w:kern w:val="0"/>
                <w:sz w:val="16"/>
                <w:szCs w:val="16"/>
                <w:lang w:eastAsia="es-CO"/>
                <w14:ligatures w14:val="none"/>
              </w:rPr>
            </w:pPr>
            <w:r w:rsidRPr="00951AB1">
              <w:rPr>
                <w:rFonts w:eastAsia="Times New Roman" w:cs="Times New Roman"/>
                <w:color w:val="000000"/>
                <w:kern w:val="0"/>
                <w:sz w:val="16"/>
                <w:szCs w:val="16"/>
                <w:lang w:eastAsia="es-CO"/>
                <w14:ligatures w14:val="none"/>
              </w:rPr>
              <w:t>1</w:t>
            </w:r>
          </w:p>
        </w:tc>
      </w:tr>
      <w:tr w:rsidR="008B35C9" w:rsidRPr="00951AB1" w14:paraId="6403E56D" w14:textId="77777777" w:rsidTr="00672E05">
        <w:trPr>
          <w:trHeight w:val="176"/>
        </w:trPr>
        <w:tc>
          <w:tcPr>
            <w:tcW w:w="2634" w:type="pct"/>
            <w:shd w:val="clear" w:color="auto" w:fill="FFFFFF" w:themeFill="background1"/>
            <w:vAlign w:val="center"/>
            <w:hideMark/>
          </w:tcPr>
          <w:p w14:paraId="67898A50" w14:textId="77777777" w:rsidR="008B35C9" w:rsidRPr="00951AB1" w:rsidRDefault="008B35C9" w:rsidP="000A5389">
            <w:pPr>
              <w:spacing w:line="240" w:lineRule="auto"/>
              <w:rPr>
                <w:rFonts w:eastAsia="Times New Roman" w:cs="Times New Roman"/>
                <w:b/>
                <w:bCs/>
                <w:color w:val="000000"/>
                <w:kern w:val="0"/>
                <w:sz w:val="16"/>
                <w:szCs w:val="16"/>
                <w:lang w:eastAsia="es-CO"/>
                <w14:ligatures w14:val="none"/>
              </w:rPr>
            </w:pPr>
            <w:r w:rsidRPr="00951AB1">
              <w:rPr>
                <w:rFonts w:eastAsia="Times New Roman" w:cs="Times New Roman"/>
                <w:b/>
                <w:bCs/>
                <w:color w:val="000000"/>
                <w:kern w:val="0"/>
                <w:sz w:val="16"/>
                <w:szCs w:val="16"/>
                <w:lang w:eastAsia="es-CO"/>
                <w14:ligatures w14:val="none"/>
              </w:rPr>
              <w:t>VALOR ADICIÓN:</w:t>
            </w:r>
          </w:p>
        </w:tc>
        <w:tc>
          <w:tcPr>
            <w:tcW w:w="1645" w:type="pct"/>
            <w:shd w:val="clear" w:color="auto" w:fill="FFFFFF" w:themeFill="background1"/>
            <w:vAlign w:val="center"/>
            <w:hideMark/>
          </w:tcPr>
          <w:p w14:paraId="228C05C1" w14:textId="77777777" w:rsidR="008B35C9" w:rsidRPr="00951AB1" w:rsidRDefault="008B35C9" w:rsidP="000A5389">
            <w:pPr>
              <w:spacing w:line="240" w:lineRule="auto"/>
              <w:jc w:val="right"/>
              <w:rPr>
                <w:rFonts w:eastAsia="Times New Roman" w:cs="Times New Roman"/>
                <w:color w:val="000000"/>
                <w:kern w:val="0"/>
                <w:sz w:val="16"/>
                <w:szCs w:val="16"/>
                <w:lang w:eastAsia="es-CO"/>
                <w14:ligatures w14:val="none"/>
              </w:rPr>
            </w:pPr>
            <w:r w:rsidRPr="00951AB1">
              <w:rPr>
                <w:rFonts w:cs="Times New Roman"/>
                <w:color w:val="000000"/>
                <w:sz w:val="16"/>
                <w:szCs w:val="16"/>
              </w:rPr>
              <w:t>$   11.555.272.663</w:t>
            </w:r>
          </w:p>
        </w:tc>
        <w:tc>
          <w:tcPr>
            <w:tcW w:w="721" w:type="pct"/>
            <w:shd w:val="clear" w:color="auto" w:fill="FFFFFF" w:themeFill="background1"/>
          </w:tcPr>
          <w:p w14:paraId="70C58172" w14:textId="77777777" w:rsidR="008B35C9" w:rsidRPr="00951AB1" w:rsidRDefault="008B35C9" w:rsidP="000A5389">
            <w:pPr>
              <w:spacing w:line="240" w:lineRule="auto"/>
              <w:jc w:val="center"/>
              <w:rPr>
                <w:rFonts w:eastAsia="Times New Roman" w:cs="Times New Roman"/>
                <w:color w:val="000000"/>
                <w:kern w:val="0"/>
                <w:sz w:val="16"/>
                <w:szCs w:val="16"/>
                <w:lang w:eastAsia="es-CO"/>
                <w14:ligatures w14:val="none"/>
              </w:rPr>
            </w:pPr>
            <w:r w:rsidRPr="00951AB1">
              <w:rPr>
                <w:rFonts w:eastAsia="Times New Roman" w:cs="Times New Roman"/>
                <w:color w:val="000000"/>
                <w:kern w:val="0"/>
                <w:sz w:val="16"/>
                <w:szCs w:val="16"/>
                <w:lang w:eastAsia="es-CO"/>
                <w14:ligatures w14:val="none"/>
              </w:rPr>
              <w:t>2</w:t>
            </w:r>
          </w:p>
        </w:tc>
      </w:tr>
      <w:tr w:rsidR="008B35C9" w:rsidRPr="00951AB1" w14:paraId="45A332F3" w14:textId="77777777" w:rsidTr="00672E05">
        <w:trPr>
          <w:trHeight w:val="176"/>
        </w:trPr>
        <w:tc>
          <w:tcPr>
            <w:tcW w:w="2634" w:type="pct"/>
            <w:shd w:val="clear" w:color="auto" w:fill="FFFFFF" w:themeFill="background1"/>
            <w:vAlign w:val="center"/>
          </w:tcPr>
          <w:p w14:paraId="04857FE9" w14:textId="77777777" w:rsidR="008B35C9" w:rsidRPr="00951AB1" w:rsidRDefault="008B35C9" w:rsidP="000A5389">
            <w:pPr>
              <w:spacing w:line="240" w:lineRule="auto"/>
              <w:rPr>
                <w:rFonts w:eastAsia="Times New Roman" w:cs="Times New Roman"/>
                <w:b/>
                <w:bCs/>
                <w:color w:val="000000"/>
                <w:kern w:val="0"/>
                <w:sz w:val="16"/>
                <w:szCs w:val="16"/>
                <w:lang w:eastAsia="es-CO"/>
                <w14:ligatures w14:val="none"/>
              </w:rPr>
            </w:pPr>
            <w:r w:rsidRPr="00951AB1">
              <w:rPr>
                <w:rFonts w:eastAsia="Times New Roman" w:cs="Times New Roman"/>
                <w:b/>
                <w:bCs/>
                <w:color w:val="000000"/>
                <w:kern w:val="0"/>
                <w:sz w:val="16"/>
                <w:szCs w:val="16"/>
                <w:lang w:eastAsia="es-CO"/>
                <w14:ligatures w14:val="none"/>
              </w:rPr>
              <w:t>VALOR ADICIÓN:</w:t>
            </w:r>
          </w:p>
        </w:tc>
        <w:tc>
          <w:tcPr>
            <w:tcW w:w="1645" w:type="pct"/>
            <w:shd w:val="clear" w:color="auto" w:fill="FFFFFF" w:themeFill="background1"/>
            <w:vAlign w:val="center"/>
          </w:tcPr>
          <w:p w14:paraId="1088C40C" w14:textId="77777777" w:rsidR="008B35C9" w:rsidRPr="00951AB1" w:rsidRDefault="008B35C9" w:rsidP="000A5389">
            <w:pPr>
              <w:spacing w:line="240" w:lineRule="auto"/>
              <w:jc w:val="right"/>
              <w:rPr>
                <w:rFonts w:eastAsia="Times New Roman" w:cs="Times New Roman"/>
                <w:b/>
                <w:bCs/>
                <w:color w:val="000000"/>
                <w:kern w:val="0"/>
                <w:sz w:val="16"/>
                <w:szCs w:val="16"/>
                <w:lang w:eastAsia="es-CO"/>
                <w14:ligatures w14:val="none"/>
              </w:rPr>
            </w:pPr>
            <w:r w:rsidRPr="00951AB1">
              <w:rPr>
                <w:rFonts w:cs="Times New Roman"/>
                <w:color w:val="000000"/>
                <w:sz w:val="16"/>
                <w:szCs w:val="16"/>
              </w:rPr>
              <w:t>$   43.630.888.433</w:t>
            </w:r>
          </w:p>
        </w:tc>
        <w:tc>
          <w:tcPr>
            <w:tcW w:w="721" w:type="pct"/>
            <w:shd w:val="clear" w:color="auto" w:fill="FFFFFF" w:themeFill="background1"/>
          </w:tcPr>
          <w:p w14:paraId="69D5AEE3" w14:textId="77777777" w:rsidR="008B35C9" w:rsidRPr="00951AB1" w:rsidRDefault="008B35C9" w:rsidP="000A5389">
            <w:pPr>
              <w:spacing w:line="240" w:lineRule="auto"/>
              <w:jc w:val="center"/>
              <w:rPr>
                <w:rFonts w:eastAsia="Times New Roman" w:cs="Times New Roman"/>
                <w:b/>
                <w:bCs/>
                <w:color w:val="000000"/>
                <w:kern w:val="0"/>
                <w:sz w:val="16"/>
                <w:szCs w:val="16"/>
                <w:lang w:eastAsia="es-CO"/>
                <w14:ligatures w14:val="none"/>
              </w:rPr>
            </w:pPr>
            <w:r w:rsidRPr="00951AB1">
              <w:rPr>
                <w:rFonts w:eastAsia="Times New Roman" w:cs="Times New Roman"/>
                <w:color w:val="000000"/>
                <w:kern w:val="0"/>
                <w:sz w:val="16"/>
                <w:szCs w:val="16"/>
                <w:lang w:eastAsia="es-CO"/>
                <w14:ligatures w14:val="none"/>
              </w:rPr>
              <w:t>3</w:t>
            </w:r>
          </w:p>
        </w:tc>
      </w:tr>
      <w:tr w:rsidR="008B35C9" w:rsidRPr="00951AB1" w14:paraId="2F5B5A4C" w14:textId="77777777" w:rsidTr="00672E05">
        <w:trPr>
          <w:trHeight w:val="385"/>
        </w:trPr>
        <w:tc>
          <w:tcPr>
            <w:tcW w:w="2634" w:type="pct"/>
            <w:shd w:val="clear" w:color="auto" w:fill="FFFFFF" w:themeFill="background1"/>
            <w:vAlign w:val="center"/>
            <w:hideMark/>
          </w:tcPr>
          <w:p w14:paraId="20E6711E" w14:textId="77777777" w:rsidR="008B35C9" w:rsidRPr="00951AB1" w:rsidRDefault="008B35C9" w:rsidP="000A5389">
            <w:pPr>
              <w:spacing w:line="240" w:lineRule="auto"/>
              <w:rPr>
                <w:rFonts w:eastAsia="Times New Roman" w:cs="Times New Roman"/>
                <w:b/>
                <w:bCs/>
                <w:color w:val="000000"/>
                <w:kern w:val="0"/>
                <w:sz w:val="16"/>
                <w:szCs w:val="16"/>
                <w:lang w:eastAsia="es-CO"/>
                <w14:ligatures w14:val="none"/>
              </w:rPr>
            </w:pPr>
            <w:r w:rsidRPr="00951AB1">
              <w:rPr>
                <w:rFonts w:eastAsia="Times New Roman" w:cs="Times New Roman"/>
                <w:b/>
                <w:bCs/>
                <w:color w:val="000000"/>
                <w:kern w:val="0"/>
                <w:sz w:val="16"/>
                <w:szCs w:val="16"/>
                <w:lang w:eastAsia="es-CO"/>
                <w14:ligatures w14:val="none"/>
              </w:rPr>
              <w:t>VALOR TOTAL DEL CONTRATO/CONVENIO:</w:t>
            </w:r>
          </w:p>
        </w:tc>
        <w:tc>
          <w:tcPr>
            <w:tcW w:w="1645" w:type="pct"/>
            <w:shd w:val="clear" w:color="auto" w:fill="FFFFFF" w:themeFill="background1"/>
            <w:vAlign w:val="center"/>
            <w:hideMark/>
          </w:tcPr>
          <w:p w14:paraId="438E4166" w14:textId="77777777" w:rsidR="008B35C9" w:rsidRPr="00951AB1" w:rsidRDefault="008B35C9" w:rsidP="000A5389">
            <w:pPr>
              <w:spacing w:line="240" w:lineRule="auto"/>
              <w:jc w:val="right"/>
              <w:rPr>
                <w:rFonts w:eastAsia="Times New Roman" w:cs="Times New Roman"/>
                <w:b/>
                <w:bCs/>
                <w:color w:val="000000"/>
                <w:kern w:val="0"/>
                <w:sz w:val="16"/>
                <w:szCs w:val="16"/>
                <w:lang w:eastAsia="es-CO"/>
                <w14:ligatures w14:val="none"/>
              </w:rPr>
            </w:pPr>
            <w:r w:rsidRPr="00951AB1">
              <w:rPr>
                <w:rFonts w:eastAsia="Times New Roman" w:cs="Times New Roman"/>
                <w:b/>
                <w:bCs/>
                <w:color w:val="000000"/>
                <w:kern w:val="0"/>
                <w:sz w:val="16"/>
                <w:szCs w:val="16"/>
                <w:lang w:eastAsia="es-CO"/>
                <w14:ligatures w14:val="none"/>
              </w:rPr>
              <w:t>$ 180.395.944.714</w:t>
            </w:r>
          </w:p>
        </w:tc>
        <w:tc>
          <w:tcPr>
            <w:tcW w:w="721" w:type="pct"/>
            <w:shd w:val="clear" w:color="auto" w:fill="FFFFFF" w:themeFill="background1"/>
          </w:tcPr>
          <w:p w14:paraId="436FB40E" w14:textId="77777777" w:rsidR="008B35C9" w:rsidRPr="00951AB1" w:rsidRDefault="008B35C9" w:rsidP="000A5389">
            <w:pPr>
              <w:spacing w:line="240" w:lineRule="auto"/>
              <w:jc w:val="right"/>
              <w:rPr>
                <w:rFonts w:eastAsia="Times New Roman" w:cs="Times New Roman"/>
                <w:b/>
                <w:bCs/>
                <w:color w:val="000000"/>
                <w:kern w:val="0"/>
                <w:sz w:val="16"/>
                <w:szCs w:val="16"/>
                <w:lang w:eastAsia="es-CO"/>
                <w14:ligatures w14:val="none"/>
              </w:rPr>
            </w:pPr>
          </w:p>
        </w:tc>
      </w:tr>
      <w:tr w:rsidR="008B35C9" w:rsidRPr="00951AB1" w14:paraId="40457CCB" w14:textId="77777777" w:rsidTr="00672E05">
        <w:trPr>
          <w:trHeight w:val="335"/>
        </w:trPr>
        <w:tc>
          <w:tcPr>
            <w:tcW w:w="2634" w:type="pct"/>
            <w:shd w:val="clear" w:color="auto" w:fill="FFFFFF" w:themeFill="background1"/>
            <w:vAlign w:val="center"/>
            <w:hideMark/>
          </w:tcPr>
          <w:p w14:paraId="5EA3EDF3" w14:textId="77777777" w:rsidR="008B35C9" w:rsidRPr="00951AB1" w:rsidRDefault="008B35C9" w:rsidP="000A5389">
            <w:pPr>
              <w:spacing w:line="240" w:lineRule="auto"/>
              <w:rPr>
                <w:rFonts w:eastAsia="Times New Roman" w:cs="Times New Roman"/>
                <w:b/>
                <w:bCs/>
                <w:color w:val="000000"/>
                <w:kern w:val="0"/>
                <w:sz w:val="16"/>
                <w:szCs w:val="16"/>
                <w:lang w:eastAsia="es-CO"/>
                <w14:ligatures w14:val="none"/>
              </w:rPr>
            </w:pPr>
            <w:r w:rsidRPr="00951AB1">
              <w:rPr>
                <w:rFonts w:eastAsia="Times New Roman" w:cs="Times New Roman"/>
                <w:b/>
                <w:bCs/>
                <w:color w:val="000000"/>
                <w:kern w:val="0"/>
                <w:sz w:val="16"/>
                <w:szCs w:val="16"/>
                <w:lang w:eastAsia="es-CO"/>
                <w14:ligatures w14:val="none"/>
              </w:rPr>
              <w:t>PAGOS EFECTUADOS AL CONTRATISTA/ASOCIADO:</w:t>
            </w:r>
          </w:p>
        </w:tc>
        <w:tc>
          <w:tcPr>
            <w:tcW w:w="1645" w:type="pct"/>
            <w:shd w:val="clear" w:color="auto" w:fill="FFFFFF" w:themeFill="background1"/>
            <w:vAlign w:val="center"/>
            <w:hideMark/>
          </w:tcPr>
          <w:p w14:paraId="51EC6309" w14:textId="77777777" w:rsidR="008B35C9" w:rsidRPr="00951AB1" w:rsidRDefault="008B35C9" w:rsidP="000A5389">
            <w:pPr>
              <w:spacing w:line="240" w:lineRule="auto"/>
              <w:jc w:val="right"/>
              <w:rPr>
                <w:rFonts w:eastAsia="Times New Roman" w:cs="Times New Roman"/>
                <w:color w:val="000000"/>
                <w:kern w:val="0"/>
                <w:sz w:val="16"/>
                <w:szCs w:val="16"/>
                <w:lang w:eastAsia="es-CO"/>
                <w14:ligatures w14:val="none"/>
              </w:rPr>
            </w:pPr>
            <w:r w:rsidRPr="00951AB1">
              <w:rPr>
                <w:rFonts w:eastAsia="Times New Roman" w:cs="Times New Roman"/>
                <w:color w:val="000000"/>
                <w:kern w:val="0"/>
                <w:sz w:val="16"/>
                <w:szCs w:val="16"/>
                <w:lang w:eastAsia="es-CO"/>
                <w14:ligatures w14:val="none"/>
              </w:rPr>
              <w:t>$ 148.201.692.235</w:t>
            </w:r>
          </w:p>
        </w:tc>
        <w:tc>
          <w:tcPr>
            <w:tcW w:w="721" w:type="pct"/>
            <w:shd w:val="clear" w:color="auto" w:fill="FFFFFF" w:themeFill="background1"/>
          </w:tcPr>
          <w:p w14:paraId="74A02F5A" w14:textId="77777777" w:rsidR="008B35C9" w:rsidRPr="00951AB1" w:rsidRDefault="008B35C9" w:rsidP="000A5389">
            <w:pPr>
              <w:spacing w:line="240" w:lineRule="auto"/>
              <w:jc w:val="center"/>
              <w:rPr>
                <w:rFonts w:eastAsia="Times New Roman" w:cs="Times New Roman"/>
                <w:color w:val="000000"/>
                <w:kern w:val="0"/>
                <w:sz w:val="16"/>
                <w:szCs w:val="16"/>
                <w:lang w:eastAsia="es-CO"/>
                <w14:ligatures w14:val="none"/>
              </w:rPr>
            </w:pPr>
            <w:r w:rsidRPr="00951AB1">
              <w:rPr>
                <w:rFonts w:eastAsia="Times New Roman" w:cs="Times New Roman"/>
                <w:color w:val="000000"/>
                <w:kern w:val="0"/>
                <w:sz w:val="16"/>
                <w:szCs w:val="16"/>
                <w:lang w:eastAsia="es-CO"/>
                <w14:ligatures w14:val="none"/>
              </w:rPr>
              <w:t>4</w:t>
            </w:r>
          </w:p>
        </w:tc>
      </w:tr>
      <w:tr w:rsidR="008B35C9" w:rsidRPr="00951AB1" w14:paraId="7B8DCC60" w14:textId="77777777" w:rsidTr="00672E05">
        <w:trPr>
          <w:trHeight w:val="310"/>
        </w:trPr>
        <w:tc>
          <w:tcPr>
            <w:tcW w:w="2634" w:type="pct"/>
            <w:shd w:val="clear" w:color="auto" w:fill="FFFFFF" w:themeFill="background1"/>
            <w:vAlign w:val="center"/>
            <w:hideMark/>
          </w:tcPr>
          <w:p w14:paraId="44D13D34" w14:textId="1BA80F63" w:rsidR="008B35C9" w:rsidRPr="00951AB1" w:rsidRDefault="008B35C9" w:rsidP="000A5389">
            <w:pPr>
              <w:spacing w:line="240" w:lineRule="auto"/>
              <w:rPr>
                <w:rFonts w:eastAsia="Times New Roman" w:cs="Times New Roman"/>
                <w:b/>
                <w:bCs/>
                <w:color w:val="000000"/>
                <w:kern w:val="0"/>
                <w:sz w:val="16"/>
                <w:szCs w:val="16"/>
                <w:lang w:eastAsia="es-CO"/>
                <w14:ligatures w14:val="none"/>
              </w:rPr>
            </w:pPr>
            <w:r w:rsidRPr="00951AB1">
              <w:rPr>
                <w:rFonts w:eastAsia="Times New Roman" w:cs="Times New Roman"/>
                <w:b/>
                <w:bCs/>
                <w:color w:val="000000"/>
                <w:kern w:val="0"/>
                <w:sz w:val="16"/>
                <w:szCs w:val="16"/>
                <w:lang w:eastAsia="es-CO"/>
                <w14:ligatures w14:val="none"/>
              </w:rPr>
              <w:t xml:space="preserve">VALOR NO EJECUTADO A FAVOR DE LA </w:t>
            </w:r>
            <w:r w:rsidR="00EA1618" w:rsidRPr="00951AB1">
              <w:rPr>
                <w:rFonts w:eastAsia="Times New Roman" w:cs="Times New Roman"/>
                <w:b/>
                <w:bCs/>
                <w:color w:val="000000"/>
                <w:kern w:val="0"/>
                <w:sz w:val="16"/>
                <w:szCs w:val="16"/>
                <w:lang w:eastAsia="es-CO"/>
                <w14:ligatures w14:val="none"/>
              </w:rPr>
              <w:t>ENTIDAD:</w:t>
            </w:r>
            <w:r w:rsidRPr="00951AB1">
              <w:rPr>
                <w:rFonts w:eastAsia="Times New Roman" w:cs="Times New Roman"/>
                <w:b/>
                <w:bCs/>
                <w:color w:val="000000"/>
                <w:kern w:val="0"/>
                <w:sz w:val="16"/>
                <w:szCs w:val="16"/>
                <w:lang w:eastAsia="es-CO"/>
                <w14:ligatures w14:val="none"/>
              </w:rPr>
              <w:t xml:space="preserve"> </w:t>
            </w:r>
          </w:p>
        </w:tc>
        <w:tc>
          <w:tcPr>
            <w:tcW w:w="1645" w:type="pct"/>
            <w:shd w:val="clear" w:color="auto" w:fill="FFFFFF" w:themeFill="background1"/>
            <w:vAlign w:val="center"/>
            <w:hideMark/>
          </w:tcPr>
          <w:p w14:paraId="2A25DC58" w14:textId="77777777" w:rsidR="008B35C9" w:rsidRPr="00951AB1" w:rsidRDefault="008B35C9" w:rsidP="000A5389">
            <w:pPr>
              <w:spacing w:line="240" w:lineRule="auto"/>
              <w:jc w:val="right"/>
              <w:rPr>
                <w:rFonts w:eastAsia="Times New Roman" w:cs="Times New Roman"/>
                <w:b/>
                <w:bCs/>
                <w:color w:val="000000"/>
                <w:kern w:val="0"/>
                <w:sz w:val="16"/>
                <w:szCs w:val="16"/>
                <w:lang w:eastAsia="es-CO"/>
                <w14:ligatures w14:val="none"/>
              </w:rPr>
            </w:pPr>
            <w:r w:rsidRPr="00951AB1">
              <w:rPr>
                <w:rFonts w:eastAsia="Times New Roman" w:cs="Times New Roman"/>
                <w:b/>
                <w:bCs/>
                <w:color w:val="000000"/>
                <w:kern w:val="0"/>
                <w:sz w:val="16"/>
                <w:szCs w:val="16"/>
                <w:lang w:eastAsia="es-CO"/>
                <w14:ligatures w14:val="none"/>
              </w:rPr>
              <w:t>$ 32.194.252.479</w:t>
            </w:r>
          </w:p>
        </w:tc>
        <w:tc>
          <w:tcPr>
            <w:tcW w:w="721" w:type="pct"/>
            <w:shd w:val="clear" w:color="auto" w:fill="FFFFFF" w:themeFill="background1"/>
          </w:tcPr>
          <w:p w14:paraId="0982D764" w14:textId="77777777" w:rsidR="008B35C9" w:rsidRPr="00951AB1" w:rsidRDefault="008B35C9" w:rsidP="000A5389">
            <w:pPr>
              <w:spacing w:line="240" w:lineRule="auto"/>
              <w:jc w:val="center"/>
              <w:rPr>
                <w:rFonts w:eastAsia="Times New Roman" w:cs="Times New Roman"/>
                <w:color w:val="000000"/>
                <w:kern w:val="0"/>
                <w:sz w:val="16"/>
                <w:szCs w:val="16"/>
                <w:lang w:eastAsia="es-CO"/>
                <w14:ligatures w14:val="none"/>
              </w:rPr>
            </w:pPr>
            <w:r w:rsidRPr="00951AB1">
              <w:rPr>
                <w:rFonts w:eastAsia="Times New Roman" w:cs="Times New Roman"/>
                <w:color w:val="000000"/>
                <w:kern w:val="0"/>
                <w:sz w:val="16"/>
                <w:szCs w:val="16"/>
                <w:lang w:eastAsia="es-CO"/>
                <w14:ligatures w14:val="none"/>
              </w:rPr>
              <w:t>5</w:t>
            </w:r>
          </w:p>
        </w:tc>
      </w:tr>
      <w:tr w:rsidR="008B35C9" w:rsidRPr="00951AB1" w14:paraId="15E7D785" w14:textId="77777777" w:rsidTr="00672E05">
        <w:trPr>
          <w:trHeight w:val="368"/>
        </w:trPr>
        <w:tc>
          <w:tcPr>
            <w:tcW w:w="2634" w:type="pct"/>
            <w:shd w:val="clear" w:color="auto" w:fill="FFFFFF" w:themeFill="background1"/>
            <w:vAlign w:val="center"/>
            <w:hideMark/>
          </w:tcPr>
          <w:p w14:paraId="09E66FCC" w14:textId="77777777" w:rsidR="008B35C9" w:rsidRPr="00951AB1" w:rsidRDefault="008B35C9" w:rsidP="000A5389">
            <w:pPr>
              <w:spacing w:line="240" w:lineRule="auto"/>
              <w:rPr>
                <w:rFonts w:eastAsia="Times New Roman" w:cs="Times New Roman"/>
                <w:b/>
                <w:bCs/>
                <w:color w:val="000000"/>
                <w:kern w:val="0"/>
                <w:sz w:val="16"/>
                <w:szCs w:val="16"/>
                <w:lang w:eastAsia="es-CO"/>
                <w14:ligatures w14:val="none"/>
              </w:rPr>
            </w:pPr>
            <w:r w:rsidRPr="00951AB1">
              <w:rPr>
                <w:rFonts w:eastAsia="Times New Roman" w:cs="Times New Roman"/>
                <w:b/>
                <w:bCs/>
                <w:color w:val="000000"/>
                <w:kern w:val="0"/>
                <w:sz w:val="16"/>
                <w:szCs w:val="16"/>
                <w:lang w:eastAsia="es-CO"/>
                <w14:ligatures w14:val="none"/>
              </w:rPr>
              <w:t>SALDO A FAVOR DEL CONTRATISTA/ASOCIADO:</w:t>
            </w:r>
          </w:p>
        </w:tc>
        <w:tc>
          <w:tcPr>
            <w:tcW w:w="1645" w:type="pct"/>
            <w:shd w:val="clear" w:color="auto" w:fill="FFFFFF" w:themeFill="background1"/>
            <w:vAlign w:val="center"/>
            <w:hideMark/>
          </w:tcPr>
          <w:p w14:paraId="685B8E65" w14:textId="77777777" w:rsidR="008B35C9" w:rsidRPr="00951AB1" w:rsidRDefault="008B35C9" w:rsidP="000A5389">
            <w:pPr>
              <w:spacing w:line="240" w:lineRule="auto"/>
              <w:jc w:val="right"/>
              <w:rPr>
                <w:rFonts w:eastAsia="Times New Roman" w:cs="Times New Roman"/>
                <w:color w:val="000000"/>
                <w:kern w:val="0"/>
                <w:sz w:val="16"/>
                <w:szCs w:val="16"/>
                <w:lang w:eastAsia="es-CO"/>
                <w14:ligatures w14:val="none"/>
              </w:rPr>
            </w:pPr>
            <w:r w:rsidRPr="00951AB1">
              <w:rPr>
                <w:rFonts w:eastAsia="Times New Roman" w:cs="Times New Roman"/>
                <w:color w:val="000000"/>
                <w:kern w:val="0"/>
                <w:sz w:val="16"/>
                <w:szCs w:val="16"/>
                <w:lang w:eastAsia="es-CO"/>
                <w14:ligatures w14:val="none"/>
              </w:rPr>
              <w:t>$</w:t>
            </w:r>
          </w:p>
        </w:tc>
        <w:tc>
          <w:tcPr>
            <w:tcW w:w="721" w:type="pct"/>
            <w:shd w:val="clear" w:color="auto" w:fill="FFFFFF" w:themeFill="background1"/>
          </w:tcPr>
          <w:p w14:paraId="1B7295C1" w14:textId="77777777" w:rsidR="008B35C9" w:rsidRPr="00951AB1" w:rsidRDefault="008B35C9" w:rsidP="000A5389">
            <w:pPr>
              <w:spacing w:line="240" w:lineRule="auto"/>
              <w:jc w:val="right"/>
              <w:rPr>
                <w:rFonts w:eastAsia="Times New Roman" w:cs="Times New Roman"/>
                <w:color w:val="000000"/>
                <w:kern w:val="0"/>
                <w:sz w:val="16"/>
                <w:szCs w:val="16"/>
                <w:lang w:eastAsia="es-CO"/>
                <w14:ligatures w14:val="none"/>
              </w:rPr>
            </w:pPr>
          </w:p>
        </w:tc>
      </w:tr>
    </w:tbl>
    <w:p w14:paraId="7A43CAF3" w14:textId="77777777" w:rsidR="008B35C9" w:rsidRPr="00951AB1" w:rsidRDefault="008B35C9" w:rsidP="000A5389">
      <w:pPr>
        <w:pStyle w:val="paragraph"/>
        <w:spacing w:before="0" w:beforeAutospacing="0" w:after="0" w:afterAutospacing="0" w:line="240" w:lineRule="auto"/>
        <w:jc w:val="center"/>
        <w:textAlignment w:val="baseline"/>
        <w:rPr>
          <w:sz w:val="18"/>
          <w:szCs w:val="18"/>
        </w:rPr>
      </w:pPr>
      <w:r w:rsidRPr="00951AB1">
        <w:rPr>
          <w:rStyle w:val="normaltextrun"/>
          <w:rFonts w:eastAsiaTheme="majorEastAsia"/>
          <w:sz w:val="18"/>
          <w:szCs w:val="18"/>
        </w:rPr>
        <w:t>Fuente:  Documentación que reposa en el expediente contractual,</w:t>
      </w:r>
      <w:r w:rsidRPr="00951AB1">
        <w:rPr>
          <w:rStyle w:val="eop"/>
          <w:sz w:val="18"/>
          <w:szCs w:val="18"/>
        </w:rPr>
        <w:t> </w:t>
      </w:r>
    </w:p>
    <w:p w14:paraId="15CDD0FA" w14:textId="77777777" w:rsidR="008B35C9" w:rsidRPr="00951AB1" w:rsidRDefault="008B35C9" w:rsidP="000A5389">
      <w:pPr>
        <w:pStyle w:val="paragraph"/>
        <w:spacing w:before="0" w:beforeAutospacing="0" w:after="0" w:afterAutospacing="0" w:line="240" w:lineRule="auto"/>
        <w:jc w:val="center"/>
        <w:textAlignment w:val="baseline"/>
        <w:rPr>
          <w:sz w:val="18"/>
          <w:szCs w:val="18"/>
        </w:rPr>
      </w:pPr>
      <w:r w:rsidRPr="00951AB1">
        <w:rPr>
          <w:rStyle w:val="normaltextrun"/>
          <w:rFonts w:eastAsiaTheme="majorEastAsia"/>
          <w:sz w:val="18"/>
          <w:szCs w:val="18"/>
        </w:rPr>
        <w:t> elaboración propia Modo férreo - VGCON</w:t>
      </w:r>
      <w:r w:rsidRPr="00951AB1">
        <w:rPr>
          <w:rStyle w:val="eop"/>
          <w:sz w:val="18"/>
          <w:szCs w:val="18"/>
        </w:rPr>
        <w:t> </w:t>
      </w:r>
    </w:p>
    <w:p w14:paraId="13D6D4AD" w14:textId="77777777" w:rsidR="008B35C9" w:rsidRPr="00951AB1" w:rsidRDefault="008B35C9" w:rsidP="000A5389">
      <w:pPr>
        <w:spacing w:line="240" w:lineRule="auto"/>
        <w:rPr>
          <w:rFonts w:cs="Times New Roman"/>
          <w:szCs w:val="24"/>
        </w:rPr>
      </w:pPr>
    </w:p>
    <w:p w14:paraId="33A999C2" w14:textId="77777777" w:rsidR="008B35C9" w:rsidRDefault="008B35C9" w:rsidP="000A5389">
      <w:pPr>
        <w:spacing w:line="240" w:lineRule="auto"/>
        <w:rPr>
          <w:rFonts w:cs="Times New Roman"/>
          <w:szCs w:val="24"/>
        </w:rPr>
      </w:pPr>
      <w:r w:rsidRPr="00951AB1">
        <w:rPr>
          <w:rFonts w:cs="Times New Roman"/>
          <w:szCs w:val="24"/>
        </w:rPr>
        <w:t>Nota 1: En 2023 se realizó el primer desembolso del Contrato por valor de $52.143.625.896 y para la vigencia 2024 se trasladaron $73.066.157.722 de acuerdo con la Cláusula Cuarta del Contrato.</w:t>
      </w:r>
    </w:p>
    <w:p w14:paraId="508E87AA" w14:textId="77777777" w:rsidR="002E333D" w:rsidRPr="00951AB1" w:rsidRDefault="002E333D" w:rsidP="000A5389">
      <w:pPr>
        <w:spacing w:line="240" w:lineRule="auto"/>
        <w:rPr>
          <w:rFonts w:cs="Times New Roman"/>
          <w:szCs w:val="24"/>
        </w:rPr>
      </w:pPr>
    </w:p>
    <w:p w14:paraId="0C7C8810" w14:textId="77777777" w:rsidR="008B35C9" w:rsidRDefault="008B35C9" w:rsidP="000A5389">
      <w:pPr>
        <w:spacing w:line="240" w:lineRule="auto"/>
        <w:rPr>
          <w:rFonts w:cs="Times New Roman"/>
          <w:szCs w:val="24"/>
        </w:rPr>
      </w:pPr>
      <w:r w:rsidRPr="00951AB1">
        <w:rPr>
          <w:rFonts w:cs="Times New Roman"/>
          <w:szCs w:val="24"/>
        </w:rPr>
        <w:t>Nota 2: Conforme a la cláusula primera del Otrosí No. 1 de 2023 al contrato VE-629-2022 que modificó la cláusula cuarta del contrato, se adicionaron $ 11.555.272.663 al valor del contrato.</w:t>
      </w:r>
    </w:p>
    <w:p w14:paraId="53C2CF94" w14:textId="77777777" w:rsidR="002E333D" w:rsidRPr="00951AB1" w:rsidRDefault="002E333D" w:rsidP="000A5389">
      <w:pPr>
        <w:spacing w:line="240" w:lineRule="auto"/>
        <w:rPr>
          <w:rFonts w:cs="Times New Roman"/>
          <w:szCs w:val="24"/>
        </w:rPr>
      </w:pPr>
    </w:p>
    <w:p w14:paraId="207C8676" w14:textId="77777777" w:rsidR="008B35C9" w:rsidRDefault="008B35C9" w:rsidP="000A5389">
      <w:pPr>
        <w:spacing w:line="240" w:lineRule="auto"/>
        <w:rPr>
          <w:rFonts w:cs="Times New Roman"/>
          <w:szCs w:val="24"/>
        </w:rPr>
      </w:pPr>
      <w:r w:rsidRPr="00951AB1">
        <w:rPr>
          <w:rFonts w:cs="Times New Roman"/>
          <w:szCs w:val="24"/>
        </w:rPr>
        <w:t>Nota 3: Conforme a la cláusula primera del Otrosí No. 2 de 2025 al contrato VE-629-2022 que modificó la cláusula cuarta del contrato, se adicionaron $ 43.630.888.433 al valor del contrato.</w:t>
      </w:r>
    </w:p>
    <w:p w14:paraId="316FE0D4" w14:textId="77777777" w:rsidR="002E333D" w:rsidRPr="00951AB1" w:rsidRDefault="002E333D" w:rsidP="000A5389">
      <w:pPr>
        <w:spacing w:line="240" w:lineRule="auto"/>
        <w:rPr>
          <w:rFonts w:cs="Times New Roman"/>
          <w:szCs w:val="24"/>
        </w:rPr>
      </w:pPr>
    </w:p>
    <w:p w14:paraId="643F1CA1" w14:textId="77777777" w:rsidR="008B35C9" w:rsidRDefault="008B35C9" w:rsidP="000A5389">
      <w:pPr>
        <w:spacing w:line="240" w:lineRule="auto"/>
        <w:rPr>
          <w:rFonts w:cs="Times New Roman"/>
          <w:szCs w:val="24"/>
        </w:rPr>
      </w:pPr>
      <w:r w:rsidRPr="00951AB1">
        <w:rPr>
          <w:rFonts w:cs="Times New Roman"/>
          <w:szCs w:val="24"/>
        </w:rPr>
        <w:t>Nota 4: El valor ejecutado del contrato corresponde a los pagos efectivamente efectuados a los contratos derivados de obra pública, interventoría, vigilancia, asistencia técnica y gastos bancarios, según la información del formato GADF-F-083 “Informe de Ejecución de Seguimiento de Recursos Entregados y Recibidos en Administración” con corte a 31 de diciembre de 2025.</w:t>
      </w:r>
    </w:p>
    <w:p w14:paraId="1F53942B" w14:textId="77777777" w:rsidR="002E333D" w:rsidRPr="00951AB1" w:rsidRDefault="002E333D" w:rsidP="000A5389">
      <w:pPr>
        <w:spacing w:line="240" w:lineRule="auto"/>
        <w:rPr>
          <w:rFonts w:cs="Times New Roman"/>
          <w:szCs w:val="24"/>
        </w:rPr>
      </w:pPr>
    </w:p>
    <w:p w14:paraId="643A3C6E" w14:textId="77777777" w:rsidR="008B35C9" w:rsidRDefault="008B35C9" w:rsidP="000A5389">
      <w:pPr>
        <w:spacing w:line="240" w:lineRule="auto"/>
        <w:rPr>
          <w:rFonts w:cs="Times New Roman"/>
          <w:szCs w:val="24"/>
        </w:rPr>
      </w:pPr>
      <w:r w:rsidRPr="00951AB1">
        <w:rPr>
          <w:rFonts w:cs="Times New Roman"/>
          <w:szCs w:val="24"/>
        </w:rPr>
        <w:t>Nota 5: El valor no ejecutado a favor de la entidad corresponde a que el contrato se encuentra actualmente ejecución, con fecha de finalización el 31 de enero de 2026.</w:t>
      </w:r>
    </w:p>
    <w:p w14:paraId="05264A90" w14:textId="77777777" w:rsidR="002E333D" w:rsidRPr="00951AB1" w:rsidRDefault="002E333D" w:rsidP="000A5389">
      <w:pPr>
        <w:spacing w:line="240" w:lineRule="auto"/>
        <w:rPr>
          <w:rFonts w:cs="Times New Roman"/>
          <w:szCs w:val="24"/>
        </w:rPr>
      </w:pPr>
    </w:p>
    <w:p w14:paraId="4598AE93" w14:textId="26CD2204" w:rsidR="008B35C9" w:rsidRPr="00951AB1" w:rsidRDefault="008B35C9" w:rsidP="000A5389">
      <w:pPr>
        <w:spacing w:line="240" w:lineRule="auto"/>
        <w:rPr>
          <w:rFonts w:cs="Times New Roman"/>
          <w:szCs w:val="24"/>
        </w:rPr>
      </w:pPr>
      <w:r w:rsidRPr="00951AB1">
        <w:rPr>
          <w:rFonts w:cs="Times New Roman"/>
          <w:szCs w:val="24"/>
        </w:rPr>
        <w:lastRenderedPageBreak/>
        <w:t>Adicionalmente, en la subcuenta de recursos en administración se registra un saldo de $200.161.960 correspondiente a los rendimientos financieros generados por los recursos entregados, los cuales serán consignados en las cuentas bancarias de la Agencia durante la vigencia 2026, de conformidad con lo estipulado en el contrato.</w:t>
      </w:r>
    </w:p>
    <w:p w14:paraId="2A463A2C" w14:textId="0B1F804E" w:rsidR="008B35C9" w:rsidRPr="00951AB1" w:rsidRDefault="008B35C9" w:rsidP="000A5389">
      <w:pPr>
        <w:spacing w:line="240" w:lineRule="auto"/>
        <w:rPr>
          <w:rFonts w:cs="Times New Roman"/>
          <w:szCs w:val="24"/>
          <w:u w:val="single"/>
        </w:rPr>
      </w:pPr>
      <w:r w:rsidRPr="00951AB1">
        <w:rPr>
          <w:rFonts w:cs="Times New Roman"/>
          <w:i/>
          <w:iCs/>
          <w:szCs w:val="24"/>
        </w:rPr>
        <w:t>Instituto Nacional De Vías – INVÍAS</w:t>
      </w:r>
      <w:r w:rsidR="00F621AA" w:rsidRPr="00951AB1">
        <w:rPr>
          <w:rFonts w:cs="Times New Roman"/>
          <w:i/>
          <w:iCs/>
          <w:szCs w:val="24"/>
        </w:rPr>
        <w:t xml:space="preserve">: </w:t>
      </w:r>
      <w:r w:rsidRPr="00951AB1">
        <w:rPr>
          <w:rFonts w:cs="Times New Roman"/>
          <w:i/>
          <w:iCs/>
          <w:szCs w:val="24"/>
        </w:rPr>
        <w:t>El</w:t>
      </w:r>
      <w:r w:rsidRPr="00951AB1">
        <w:rPr>
          <w:rFonts w:cs="Times New Roman"/>
          <w:szCs w:val="24"/>
        </w:rPr>
        <w:t xml:space="preserve"> saldo registrado al cierre de la vigencia por valor de $21.754.153.842 corresponde a los saldos de los siguientes c</w:t>
      </w:r>
      <w:r w:rsidRPr="00951AB1">
        <w:rPr>
          <w:rFonts w:cs="Times New Roman"/>
          <w:bCs/>
          <w:szCs w:val="24"/>
        </w:rPr>
        <w:t xml:space="preserve">onvenios interadministrativos: </w:t>
      </w:r>
    </w:p>
    <w:p w14:paraId="63327403" w14:textId="77777777" w:rsidR="008B35C9" w:rsidRPr="00951AB1" w:rsidRDefault="008B35C9" w:rsidP="000A5389">
      <w:pPr>
        <w:spacing w:line="240" w:lineRule="auto"/>
        <w:rPr>
          <w:rFonts w:cs="Times New Roman"/>
          <w:bCs/>
          <w:szCs w:val="24"/>
        </w:rPr>
      </w:pPr>
      <w:r w:rsidRPr="00951AB1">
        <w:rPr>
          <w:rFonts w:cs="Times New Roman"/>
          <w:bCs/>
          <w:szCs w:val="24"/>
        </w:rPr>
        <w:t xml:space="preserve">Convenio Interadministrativo No. 017 de 2017: Objeto: </w:t>
      </w:r>
      <w:r w:rsidRPr="00951AB1">
        <w:rPr>
          <w:rFonts w:cs="Times New Roman"/>
          <w:szCs w:val="24"/>
        </w:rPr>
        <w:t>Aunar esfuerzos en la atención de puntos críticos de socavación en el tramo de Santa Marta – Rio Palomino ubicados inicialmente del PR 61+080 al PR 61+350 en el Cerro Los Muchachitos, tramo que se encuentra concesionado en virtud del Contrato de Concesión No. 445 de 1994.</w:t>
      </w:r>
      <w:r w:rsidRPr="00951AB1">
        <w:rPr>
          <w:rFonts w:cs="Times New Roman"/>
          <w:bCs/>
          <w:szCs w:val="24"/>
        </w:rPr>
        <w:t>Saldo del por ejecutar: $2.662.720.695.</w:t>
      </w:r>
    </w:p>
    <w:p w14:paraId="2199829D" w14:textId="77777777" w:rsidR="008B35C9" w:rsidRPr="00951AB1" w:rsidRDefault="008B35C9" w:rsidP="000A5389">
      <w:pPr>
        <w:spacing w:line="240" w:lineRule="auto"/>
        <w:rPr>
          <w:rFonts w:cs="Times New Roman"/>
          <w:bCs/>
          <w:szCs w:val="24"/>
        </w:rPr>
      </w:pPr>
    </w:p>
    <w:p w14:paraId="19348D9D" w14:textId="77777777" w:rsidR="008B35C9" w:rsidRDefault="008B35C9" w:rsidP="000A5389">
      <w:pPr>
        <w:spacing w:line="240" w:lineRule="auto"/>
        <w:rPr>
          <w:rFonts w:cs="Times New Roman"/>
          <w:bCs/>
          <w:szCs w:val="24"/>
        </w:rPr>
      </w:pPr>
      <w:r w:rsidRPr="00951AB1">
        <w:rPr>
          <w:rFonts w:cs="Times New Roman"/>
          <w:bCs/>
          <w:szCs w:val="24"/>
        </w:rPr>
        <w:t>Convenio Interadministrativo ANI No. CI-023-2022, por valor de $50.000.000.000. Objeto: aunar esfuerzos técnicos y financieros para el mejoramiento mediante la construcción para la solución integral del paso a la altura del kilómetro 58 de la cabecera municipal de Guayabetal de la vía Bogotá – Villavicencio. Saldo del por ejecutar: $7.034.089.865.</w:t>
      </w:r>
    </w:p>
    <w:p w14:paraId="137BF4D1" w14:textId="77777777" w:rsidR="002E333D" w:rsidRPr="00951AB1" w:rsidRDefault="002E333D" w:rsidP="000A5389">
      <w:pPr>
        <w:spacing w:line="240" w:lineRule="auto"/>
        <w:rPr>
          <w:rFonts w:eastAsia="Times New Roman" w:cs="Times New Roman"/>
          <w:color w:val="000000"/>
          <w:kern w:val="0"/>
          <w:szCs w:val="24"/>
          <w:lang w:eastAsia="es-CO"/>
          <w14:ligatures w14:val="none"/>
        </w:rPr>
      </w:pPr>
    </w:p>
    <w:p w14:paraId="10298BF1" w14:textId="77777777" w:rsidR="008B35C9" w:rsidRDefault="008B35C9" w:rsidP="000A5389">
      <w:pPr>
        <w:spacing w:line="240" w:lineRule="auto"/>
        <w:rPr>
          <w:rFonts w:cs="Times New Roman"/>
          <w:bCs/>
          <w:szCs w:val="24"/>
        </w:rPr>
      </w:pPr>
      <w:r w:rsidRPr="00951AB1">
        <w:rPr>
          <w:rFonts w:cs="Times New Roman"/>
          <w:bCs/>
          <w:szCs w:val="24"/>
        </w:rPr>
        <w:t>Convenio Interadministrativo ANI No. CI-022-2022.  Por valor $</w:t>
      </w:r>
      <w:r w:rsidRPr="00951AB1">
        <w:rPr>
          <w:rFonts w:cs="Times New Roman"/>
          <w:szCs w:val="24"/>
        </w:rPr>
        <w:t>3</w:t>
      </w:r>
      <w:r w:rsidRPr="00951AB1">
        <w:rPr>
          <w:rFonts w:cs="Times New Roman"/>
          <w:bCs/>
          <w:szCs w:val="24"/>
        </w:rPr>
        <w:t xml:space="preserve">0.000.000.000.  Objeto: </w:t>
      </w:r>
      <w:r w:rsidRPr="00951AB1">
        <w:rPr>
          <w:rFonts w:cs="Times New Roman"/>
          <w:szCs w:val="24"/>
        </w:rPr>
        <w:t xml:space="preserve"> Aunar esfuerzos entre el Instituto Nacional de Vías – Invias y la Agencia Nacional de Infraestructura para la atención de obras de infraestructura en el corredor Bogotá Villavicencio”. Se efectuaron nuevos aportes que para el año 2024 se efectuó aporte por valor de $10.000.000.000 y para el año 2025 se efectuó aporte por valor de $ 2.356.898.105.</w:t>
      </w:r>
      <w:r w:rsidRPr="00951AB1">
        <w:rPr>
          <w:rFonts w:cs="Times New Roman"/>
          <w:bCs/>
          <w:szCs w:val="24"/>
        </w:rPr>
        <w:t xml:space="preserve"> Saldo del por ejecutar: $5.057.343.282.</w:t>
      </w:r>
    </w:p>
    <w:p w14:paraId="5E2667E6" w14:textId="77777777" w:rsidR="002E333D" w:rsidRPr="00951AB1" w:rsidRDefault="002E333D" w:rsidP="000A5389">
      <w:pPr>
        <w:spacing w:line="240" w:lineRule="auto"/>
        <w:rPr>
          <w:rFonts w:eastAsia="Times New Roman" w:cs="Times New Roman"/>
          <w:color w:val="000000"/>
          <w:kern w:val="0"/>
          <w:szCs w:val="24"/>
          <w:lang w:eastAsia="es-CO"/>
          <w14:ligatures w14:val="none"/>
        </w:rPr>
      </w:pPr>
    </w:p>
    <w:p w14:paraId="24EA501A" w14:textId="77777777" w:rsidR="008B35C9" w:rsidRPr="00951AB1" w:rsidRDefault="008B35C9" w:rsidP="000A5389">
      <w:pPr>
        <w:spacing w:line="240" w:lineRule="auto"/>
        <w:rPr>
          <w:rFonts w:cs="Times New Roman"/>
          <w:szCs w:val="24"/>
        </w:rPr>
      </w:pPr>
      <w:r w:rsidRPr="00951AB1">
        <w:rPr>
          <w:rFonts w:cs="Times New Roman"/>
          <w:bCs/>
          <w:szCs w:val="24"/>
        </w:rPr>
        <w:t xml:space="preserve">Convenio Interadministrativo ANI No. 021 de 2022, por valor </w:t>
      </w:r>
      <w:r w:rsidRPr="00951AB1">
        <w:rPr>
          <w:rFonts w:cs="Times New Roman"/>
          <w:szCs w:val="24"/>
        </w:rPr>
        <w:t>$</w:t>
      </w:r>
      <w:r w:rsidRPr="00951AB1">
        <w:rPr>
          <w:rFonts w:cs="Times New Roman"/>
          <w:bCs/>
          <w:szCs w:val="24"/>
        </w:rPr>
        <w:t>7.000.000.000</w:t>
      </w:r>
      <w:r w:rsidRPr="00951AB1">
        <w:rPr>
          <w:rFonts w:cs="Times New Roman"/>
          <w:szCs w:val="24"/>
        </w:rPr>
        <w:t>. O</w:t>
      </w:r>
      <w:r w:rsidRPr="00951AB1">
        <w:rPr>
          <w:rFonts w:cs="Times New Roman"/>
          <w:bCs/>
          <w:szCs w:val="24"/>
        </w:rPr>
        <w:t>bjeto</w:t>
      </w:r>
      <w:r w:rsidRPr="00951AB1">
        <w:rPr>
          <w:rFonts w:cs="Times New Roman"/>
          <w:szCs w:val="24"/>
        </w:rPr>
        <w:t xml:space="preserve">: Aunar esfuerzos entre el Instituto Nacional de Vías – Invias y la Agencia Nacional de Infraestructura para atención de emergencias por ola invernal en el corredor Puerto Salgar (Cundinamarca) hasta San Roque (Cesar) sobre la ruta nacional 45.  </w:t>
      </w:r>
    </w:p>
    <w:p w14:paraId="4C0FCE16" w14:textId="77777777" w:rsidR="008B35C9" w:rsidRPr="00951AB1" w:rsidRDefault="008B35C9" w:rsidP="000A5389">
      <w:pPr>
        <w:spacing w:line="240" w:lineRule="auto"/>
        <w:rPr>
          <w:rFonts w:cs="Times New Roman"/>
          <w:szCs w:val="24"/>
        </w:rPr>
      </w:pPr>
    </w:p>
    <w:p w14:paraId="6A5793F0" w14:textId="3BC72221" w:rsidR="008B35C9" w:rsidRPr="00951AB1" w:rsidRDefault="008B35C9" w:rsidP="000A5389">
      <w:pPr>
        <w:spacing w:line="240" w:lineRule="auto"/>
        <w:rPr>
          <w:rFonts w:cs="Times New Roman"/>
        </w:rPr>
      </w:pPr>
      <w:r w:rsidRPr="00951AB1">
        <w:rPr>
          <w:rFonts w:cs="Times New Roman"/>
          <w:bCs/>
          <w:szCs w:val="24"/>
        </w:rPr>
        <w:t>Los citados convenios</w:t>
      </w:r>
      <w:r w:rsidRPr="00951AB1">
        <w:rPr>
          <w:rFonts w:cs="Times New Roman"/>
          <w:szCs w:val="24"/>
        </w:rPr>
        <w:t>, generaron operaciones recíprocas que fueron conciliadas y reportadas en el CHIP en la cuenta contable correlativa</w:t>
      </w:r>
      <w:r w:rsidRPr="00951AB1">
        <w:rPr>
          <w:rFonts w:cs="Times New Roman"/>
        </w:rPr>
        <w:t>.</w:t>
      </w:r>
    </w:p>
    <w:p w14:paraId="6336AA58" w14:textId="77777777" w:rsidR="00EA1618" w:rsidRPr="00951AB1" w:rsidRDefault="00EA1618" w:rsidP="000A5389">
      <w:pPr>
        <w:spacing w:line="240" w:lineRule="auto"/>
        <w:rPr>
          <w:rFonts w:cs="Times New Roman"/>
          <w:szCs w:val="24"/>
          <w:u w:val="single"/>
        </w:rPr>
      </w:pPr>
    </w:p>
    <w:p w14:paraId="4A724915" w14:textId="22922DCC" w:rsidR="008B35C9" w:rsidRDefault="008B35C9" w:rsidP="000A5389">
      <w:pPr>
        <w:spacing w:line="240" w:lineRule="auto"/>
        <w:rPr>
          <w:rFonts w:cs="Times New Roman"/>
          <w:szCs w:val="24"/>
        </w:rPr>
      </w:pPr>
      <w:r w:rsidRPr="00951AB1">
        <w:rPr>
          <w:rFonts w:cs="Times New Roman"/>
          <w:i/>
          <w:iCs/>
          <w:szCs w:val="24"/>
        </w:rPr>
        <w:t>Cenit Transporte y Logística De Hidrocarburos S.A.S</w:t>
      </w:r>
      <w:r w:rsidR="00F621AA" w:rsidRPr="00951AB1">
        <w:rPr>
          <w:rFonts w:cs="Times New Roman"/>
          <w:i/>
          <w:iCs/>
          <w:szCs w:val="24"/>
        </w:rPr>
        <w:t>:</w:t>
      </w:r>
      <w:r w:rsidR="00F621AA" w:rsidRPr="00951AB1">
        <w:rPr>
          <w:rFonts w:cs="Times New Roman"/>
          <w:szCs w:val="24"/>
          <w:u w:val="single"/>
        </w:rPr>
        <w:t xml:space="preserve"> </w:t>
      </w:r>
      <w:r w:rsidRPr="00951AB1">
        <w:rPr>
          <w:rFonts w:cs="Times New Roman"/>
          <w:szCs w:val="24"/>
        </w:rPr>
        <w:t>Convenio Interadministrativo de Cooperación No. CI-013-2023. Valor del convenio $193.851.779.190, valor aportado a 31 de diciembre de 2025 $ 44.044.234.181.</w:t>
      </w:r>
    </w:p>
    <w:p w14:paraId="23589FC6" w14:textId="77777777" w:rsidR="002E333D" w:rsidRPr="00951AB1" w:rsidRDefault="002E333D" w:rsidP="000A5389">
      <w:pPr>
        <w:spacing w:line="240" w:lineRule="auto"/>
        <w:rPr>
          <w:rFonts w:cs="Times New Roman"/>
          <w:szCs w:val="24"/>
        </w:rPr>
      </w:pPr>
    </w:p>
    <w:p w14:paraId="1D6A93E8" w14:textId="77777777" w:rsidR="008B35C9" w:rsidRDefault="008B35C9" w:rsidP="000A5389">
      <w:pPr>
        <w:spacing w:line="240" w:lineRule="auto"/>
        <w:rPr>
          <w:rFonts w:cs="Times New Roman"/>
          <w:szCs w:val="24"/>
        </w:rPr>
      </w:pPr>
      <w:r w:rsidRPr="00951AB1">
        <w:rPr>
          <w:rFonts w:cs="Times New Roman"/>
          <w:szCs w:val="24"/>
        </w:rPr>
        <w:t xml:space="preserve">Objeto: aunar esfuerzos para que CENIT realice las obras de protección, traslado o reubicación del tramo del Poliducto comprendido entre el PK 13+000 y el PK 45+000 en nomenclatura de CENIT, que, para efectos del corredor vial, corresponde con el tramo ubicado en el sector el Gallineral PR 16+030 al PR 47 +370 (Ruta 4001) de acuerdo con lo establecido en la sección 1.206 de la Parte Especial del Contrato APP.   </w:t>
      </w:r>
    </w:p>
    <w:p w14:paraId="17D9DBAD" w14:textId="77777777" w:rsidR="002E333D" w:rsidRPr="00951AB1" w:rsidRDefault="002E333D" w:rsidP="000A5389">
      <w:pPr>
        <w:spacing w:line="240" w:lineRule="auto"/>
        <w:rPr>
          <w:rFonts w:cs="Times New Roman"/>
          <w:szCs w:val="24"/>
        </w:rPr>
      </w:pPr>
    </w:p>
    <w:p w14:paraId="1CB8E6A0" w14:textId="77777777" w:rsidR="008B35C9" w:rsidRPr="00951AB1" w:rsidRDefault="008B35C9" w:rsidP="000A5389">
      <w:pPr>
        <w:spacing w:line="240" w:lineRule="auto"/>
        <w:rPr>
          <w:rFonts w:cs="Times New Roman"/>
          <w:szCs w:val="24"/>
        </w:rPr>
      </w:pPr>
      <w:r w:rsidRPr="00951AB1">
        <w:rPr>
          <w:rFonts w:cs="Times New Roman"/>
          <w:szCs w:val="24"/>
        </w:rPr>
        <w:t xml:space="preserve">Forma de pago un primer desembolso, por la suma correspondiente al valor $38.800.000.000, dentro de los tres (3) meses siguientes a la firma del presente Convenio, sujeto a la </w:t>
      </w:r>
      <w:r w:rsidRPr="00951AB1">
        <w:rPr>
          <w:rFonts w:cs="Times New Roman"/>
          <w:szCs w:val="24"/>
        </w:rPr>
        <w:lastRenderedPageBreak/>
        <w:t>presentación y aprobación de garantías El saldo restante del aporte económico a cargo de la ANI de $155.051.779.190 será desembolsado a CENIT parcialmente, conforme a la terminación de cada hito de la obra, previa revisión y aprobación del Comité Técnico de este Convenio.  El monto dispuesto para este convenio es agotable, en caso de que necesiten recursos adicionales estos se ejecutaran a cargo de CENIT.  El valor correspondiente a $10.311.220.000, se aportará y ejecutará de acuerdo con el presupuesto desagregado presentado en la propuesta por parte de CENIT.</w:t>
      </w:r>
    </w:p>
    <w:p w14:paraId="7C745C91" w14:textId="77777777" w:rsidR="008B35C9" w:rsidRDefault="008B35C9" w:rsidP="000A5389">
      <w:pPr>
        <w:spacing w:line="240" w:lineRule="auto"/>
        <w:rPr>
          <w:rFonts w:cs="Times New Roman"/>
          <w:szCs w:val="24"/>
        </w:rPr>
      </w:pPr>
      <w:r w:rsidRPr="00951AB1">
        <w:rPr>
          <w:rFonts w:cs="Times New Roman"/>
          <w:szCs w:val="24"/>
        </w:rPr>
        <w:t>En el año 2025 se giraron (aportaron) recursos al convenio por valor de $5.244.234.181, según lo estipulado en el 25 oficio ANI No. 20255050369071 del 6 de octubre de 2025,  remitido por la Vicepresidencia Ejecutiva de la ANI a la Fiduciaria Bancolombia  donde indican lo siguiente  “Teniendo en cuenta que son dos Actas suscritas por terminación de los Hitos arriba mencionados y se realizan a la misma cuenta Bancaría CENIT (Cuenta de ahorros de Banco Bogotá No. 359093028), donde la cuenta a debitar es una sola (P.A. CAMINO DEL PACIFICO (15580) -Subcuenta Redes Ecopetrol No. 69000004667 Fiduciaria Bancolombia); la solicitud es realizar un solo pago por valor de Cinco mil doscientos cuarenta y cuatro millones doscientos treinta y cuatro mil ciento ochenta y un pesos M/CTE $ 5.244.234.181”</w:t>
      </w:r>
    </w:p>
    <w:p w14:paraId="5803CCA6" w14:textId="77777777" w:rsidR="002E333D" w:rsidRPr="00951AB1" w:rsidRDefault="002E333D" w:rsidP="000A5389">
      <w:pPr>
        <w:spacing w:line="240" w:lineRule="auto"/>
        <w:rPr>
          <w:rFonts w:cs="Times New Roman"/>
          <w:szCs w:val="24"/>
        </w:rPr>
      </w:pPr>
    </w:p>
    <w:p w14:paraId="17101BB7" w14:textId="77777777" w:rsidR="008B35C9" w:rsidRPr="00951AB1" w:rsidRDefault="008B35C9" w:rsidP="000A5389">
      <w:pPr>
        <w:spacing w:line="240" w:lineRule="auto"/>
        <w:rPr>
          <w:rFonts w:cs="Times New Roman"/>
          <w:szCs w:val="24"/>
        </w:rPr>
      </w:pPr>
      <w:r w:rsidRPr="00951AB1">
        <w:rPr>
          <w:rFonts w:cs="Times New Roman"/>
          <w:szCs w:val="24"/>
        </w:rPr>
        <w:t xml:space="preserve"> Los recursos asignados al desarrollo de este Convenio corresponderán a: </w:t>
      </w:r>
    </w:p>
    <w:p w14:paraId="60040AD4" w14:textId="77777777" w:rsidR="008B35C9" w:rsidRPr="00951AB1" w:rsidRDefault="008B35C9" w:rsidP="000A5389">
      <w:pPr>
        <w:spacing w:line="240" w:lineRule="auto"/>
        <w:rPr>
          <w:rFonts w:cs="Times New Roman"/>
          <w:szCs w:val="24"/>
        </w:rPr>
      </w:pPr>
      <w:r w:rsidRPr="00951AB1">
        <w:rPr>
          <w:rFonts w:cs="Times New Roman"/>
          <w:szCs w:val="24"/>
        </w:rPr>
        <w:t xml:space="preserve"> 1) Por parte de la ANI, al saldo de la Subcuenta Otras Redes Ecopetrol del Patrimonio Autónomo CAMINOS DEL PACÍFICO, definida en la Sección 4.5(d) de la Parte Especial del Contrato N.º 004 de 2022, los cuales son recursos cuyo beneficiario y ordenador es LA ANI (en adelante el Monto Máximo). Lo anterior de acuerdo con los establecido en la sección 4.6 de la Parte Especial del Contrato de Concesión No. 004 de 2022. 2) Por parte de CENIT serán dispuestos los recursos en Especie para adelantar las actividades descritas en la Clausula Sexta del presente Convenio, referenciadas en el Anexo del Presupuesto Desagregado - Detalle valoración del aporte estimado en especie de CENIT. </w:t>
      </w:r>
    </w:p>
    <w:p w14:paraId="2F9DC83C" w14:textId="77777777" w:rsidR="002E333D" w:rsidRDefault="002E333D" w:rsidP="000A5389">
      <w:pPr>
        <w:spacing w:line="240" w:lineRule="auto"/>
        <w:rPr>
          <w:rFonts w:cs="Times New Roman"/>
          <w:szCs w:val="24"/>
        </w:rPr>
      </w:pPr>
    </w:p>
    <w:p w14:paraId="16204E92" w14:textId="24CEE116" w:rsidR="008B35C9" w:rsidRPr="00951AB1" w:rsidRDefault="008B35C9" w:rsidP="000A5389">
      <w:pPr>
        <w:spacing w:line="240" w:lineRule="auto"/>
        <w:rPr>
          <w:rFonts w:cs="Times New Roman"/>
          <w:szCs w:val="24"/>
        </w:rPr>
      </w:pPr>
      <w:r w:rsidRPr="00951AB1">
        <w:rPr>
          <w:rFonts w:cs="Times New Roman"/>
          <w:szCs w:val="24"/>
        </w:rPr>
        <w:t>B) Las Partes entienden y acuerdan que el monto indicado en la Cláusula Sexta, para aportes de la ANI, es el valor máximo que la ANI aportará en el marco de este Convenio para llevar a cabo las actividades que hacen parte de su alcance, por lo que se registró contablemente un ingreso por aprovechamientos por el segundo desembolso realizado a este convenio.</w:t>
      </w:r>
    </w:p>
    <w:p w14:paraId="43890FED" w14:textId="77777777" w:rsidR="002E333D" w:rsidRDefault="002E333D" w:rsidP="000A5389">
      <w:pPr>
        <w:spacing w:line="240" w:lineRule="auto"/>
        <w:rPr>
          <w:rFonts w:cs="Times New Roman"/>
          <w:szCs w:val="24"/>
        </w:rPr>
      </w:pPr>
    </w:p>
    <w:p w14:paraId="7072EB90" w14:textId="531764F6" w:rsidR="008B35C9" w:rsidRPr="00951AB1" w:rsidRDefault="008B35C9" w:rsidP="000A5389">
      <w:pPr>
        <w:spacing w:line="240" w:lineRule="auto"/>
        <w:rPr>
          <w:rFonts w:cs="Times New Roman"/>
          <w:szCs w:val="24"/>
        </w:rPr>
      </w:pPr>
      <w:r w:rsidRPr="00951AB1">
        <w:rPr>
          <w:rFonts w:cs="Times New Roman"/>
          <w:szCs w:val="24"/>
        </w:rPr>
        <w:t>Los rendimientos por Recursos Entregados en Administración que genera el convenio acrecientan su saldo y se causan contablemente de manera mensual; su saldo por ejecutar a 31 de diciembre de 2025 es de $12.486.397.489 que generó reciprocidad con CENIT por el recurso entregado vs recibido el cual se encuentra conciliado.</w:t>
      </w:r>
    </w:p>
    <w:p w14:paraId="1293899A" w14:textId="77777777" w:rsidR="002E333D" w:rsidRDefault="002E333D" w:rsidP="000A5389">
      <w:pPr>
        <w:spacing w:line="240" w:lineRule="auto"/>
        <w:rPr>
          <w:rFonts w:cs="Times New Roman"/>
          <w:i/>
          <w:iCs/>
          <w:szCs w:val="24"/>
        </w:rPr>
      </w:pPr>
    </w:p>
    <w:p w14:paraId="789B5304" w14:textId="7C34D9C6" w:rsidR="008B35C9" w:rsidRPr="00951AB1" w:rsidRDefault="008B35C9" w:rsidP="000A5389">
      <w:pPr>
        <w:spacing w:line="240" w:lineRule="auto"/>
        <w:rPr>
          <w:rFonts w:cs="Times New Roman"/>
          <w:szCs w:val="24"/>
        </w:rPr>
      </w:pPr>
      <w:r w:rsidRPr="00951AB1">
        <w:rPr>
          <w:rFonts w:cs="Times New Roman"/>
          <w:i/>
          <w:iCs/>
          <w:szCs w:val="24"/>
        </w:rPr>
        <w:t>Financiera De Desarrollo Nacional S.A.</w:t>
      </w:r>
      <w:r w:rsidR="00862B14" w:rsidRPr="00951AB1">
        <w:rPr>
          <w:rFonts w:cs="Times New Roman"/>
          <w:i/>
          <w:iCs/>
          <w:szCs w:val="24"/>
        </w:rPr>
        <w:t>:</w:t>
      </w:r>
      <w:r w:rsidR="00862B14" w:rsidRPr="00951AB1">
        <w:rPr>
          <w:rFonts w:cs="Times New Roman"/>
          <w:szCs w:val="24"/>
          <w:u w:val="single"/>
        </w:rPr>
        <w:t xml:space="preserve"> </w:t>
      </w:r>
      <w:r w:rsidRPr="00951AB1">
        <w:rPr>
          <w:rFonts w:cs="Times New Roman"/>
          <w:szCs w:val="24"/>
        </w:rPr>
        <w:t>El saldo registrado al cierre de la vigencia 2025 por valor de $10.150.184.784 corresponde a los siguientes convenios Interadministrativos:</w:t>
      </w:r>
    </w:p>
    <w:p w14:paraId="79CCA7A0" w14:textId="77777777" w:rsidR="008B35C9" w:rsidRPr="00951AB1" w:rsidRDefault="008B35C9" w:rsidP="000A5389">
      <w:pPr>
        <w:spacing w:line="240" w:lineRule="auto"/>
        <w:rPr>
          <w:rFonts w:cs="Times New Roman"/>
          <w:bCs/>
          <w:szCs w:val="24"/>
        </w:rPr>
      </w:pPr>
    </w:p>
    <w:p w14:paraId="3B47A9F9" w14:textId="77777777" w:rsidR="008B35C9" w:rsidRPr="00951AB1" w:rsidRDefault="008B35C9" w:rsidP="000A5389">
      <w:pPr>
        <w:spacing w:line="240" w:lineRule="auto"/>
        <w:rPr>
          <w:rFonts w:cs="Times New Roman"/>
          <w:i/>
          <w:iCs/>
          <w:szCs w:val="24"/>
        </w:rPr>
      </w:pPr>
      <w:r w:rsidRPr="00951AB1">
        <w:rPr>
          <w:rFonts w:cs="Times New Roman"/>
          <w:szCs w:val="24"/>
        </w:rPr>
        <w:t>Convenio Interadministrativo No 24 de 2017, objeto: </w:t>
      </w:r>
      <w:r w:rsidRPr="00951AB1">
        <w:rPr>
          <w:rFonts w:cs="Times New Roman"/>
          <w:i/>
          <w:iCs/>
          <w:szCs w:val="24"/>
        </w:rPr>
        <w:t xml:space="preserve">Aunar los esfuerzos de la Agencia y la Financiera para desarrollar y llevar a cabo la estructuración financiera y legal, del corredor férreo comprendido entre los municipios de La Dorada en el departamento de Caldas y </w:t>
      </w:r>
      <w:r w:rsidRPr="00951AB1">
        <w:rPr>
          <w:rFonts w:cs="Times New Roman"/>
          <w:i/>
          <w:iCs/>
          <w:szCs w:val="24"/>
        </w:rPr>
        <w:lastRenderedPageBreak/>
        <w:t>Chiriguaná en el departamento del Cesar, con sus respectivos ramales incluyendo interoperabilidad con el tramo Chiriguaná – Santa Marta actualmente concesionado a FENOCO.   ii. Estructurar y diseñar la operación de financiamiento desde el punto de vista financiero y legal de la rehabilitación del corredor férreo objeto de estructuración. Saldo pendiente por ejecutar</w:t>
      </w:r>
      <w:r w:rsidRPr="00951AB1">
        <w:rPr>
          <w:rFonts w:cs="Times New Roman"/>
          <w:szCs w:val="24"/>
        </w:rPr>
        <w:t xml:space="preserve"> de </w:t>
      </w:r>
      <w:r w:rsidRPr="00951AB1">
        <w:rPr>
          <w:rFonts w:cs="Times New Roman"/>
          <w:i/>
          <w:iCs/>
          <w:szCs w:val="24"/>
        </w:rPr>
        <w:t>$389.359.005.</w:t>
      </w:r>
    </w:p>
    <w:p w14:paraId="4750913E" w14:textId="77777777" w:rsidR="008B35C9" w:rsidRPr="00951AB1" w:rsidRDefault="008B35C9" w:rsidP="000A5389">
      <w:pPr>
        <w:spacing w:line="240" w:lineRule="auto"/>
        <w:rPr>
          <w:rFonts w:eastAsia="Times New Roman" w:cs="Times New Roman"/>
          <w:kern w:val="0"/>
          <w:szCs w:val="24"/>
          <w:lang w:eastAsia="es-CO"/>
          <w14:ligatures w14:val="none"/>
        </w:rPr>
      </w:pPr>
    </w:p>
    <w:p w14:paraId="78E0E4EA" w14:textId="77777777" w:rsidR="008B35C9" w:rsidRPr="00951AB1" w:rsidRDefault="008B35C9" w:rsidP="000A5389">
      <w:pPr>
        <w:spacing w:line="240" w:lineRule="auto"/>
        <w:rPr>
          <w:rFonts w:cs="Times New Roman"/>
          <w:i/>
          <w:szCs w:val="24"/>
        </w:rPr>
      </w:pPr>
      <w:r w:rsidRPr="00951AB1">
        <w:rPr>
          <w:rFonts w:cs="Times New Roman"/>
          <w:szCs w:val="24"/>
        </w:rPr>
        <w:t xml:space="preserve">Convenio Interadministrativo No. VE-631-2022, Objeto: </w:t>
      </w:r>
      <w:r w:rsidRPr="00951AB1">
        <w:rPr>
          <w:rFonts w:cs="Times New Roman"/>
          <w:i/>
          <w:iCs/>
          <w:szCs w:val="24"/>
        </w:rPr>
        <w:t xml:space="preserve">Adelantar los estudios y diseños a nivel de prefactibilidad, para la reactivación del Corredor Férreo del Pacífico desde el puerto de Buenaventura y su conexión con el Corredor Férreo Central. Saldo </w:t>
      </w:r>
      <w:r w:rsidRPr="00951AB1">
        <w:rPr>
          <w:rFonts w:cs="Times New Roman"/>
          <w:i/>
          <w:szCs w:val="24"/>
        </w:rPr>
        <w:t>pendiente por ejecutar</w:t>
      </w:r>
      <w:r w:rsidRPr="00951AB1">
        <w:rPr>
          <w:rFonts w:cs="Times New Roman"/>
          <w:szCs w:val="24"/>
        </w:rPr>
        <w:t xml:space="preserve"> </w:t>
      </w:r>
      <w:r w:rsidRPr="00951AB1">
        <w:rPr>
          <w:rFonts w:cs="Times New Roman"/>
          <w:i/>
          <w:szCs w:val="24"/>
        </w:rPr>
        <w:t>$3.894.421.409.</w:t>
      </w:r>
    </w:p>
    <w:p w14:paraId="66BAECB3" w14:textId="77777777" w:rsidR="008B35C9" w:rsidRPr="00951AB1" w:rsidRDefault="008B35C9" w:rsidP="000A5389">
      <w:pPr>
        <w:spacing w:line="240" w:lineRule="auto"/>
        <w:rPr>
          <w:rFonts w:eastAsia="Times New Roman" w:cs="Times New Roman"/>
          <w:kern w:val="0"/>
          <w:szCs w:val="24"/>
          <w:lang w:eastAsia="es-CO"/>
          <w14:ligatures w14:val="none"/>
        </w:rPr>
      </w:pPr>
    </w:p>
    <w:p w14:paraId="454EB9EE" w14:textId="77777777" w:rsidR="00862B14" w:rsidRPr="00951AB1" w:rsidRDefault="008B35C9" w:rsidP="000A5389">
      <w:pPr>
        <w:spacing w:line="240" w:lineRule="auto"/>
        <w:rPr>
          <w:rFonts w:cs="Times New Roman"/>
          <w:i/>
          <w:iCs/>
          <w:szCs w:val="24"/>
        </w:rPr>
      </w:pPr>
      <w:r w:rsidRPr="00951AB1">
        <w:rPr>
          <w:rFonts w:cs="Times New Roman"/>
          <w:i/>
          <w:iCs/>
          <w:szCs w:val="24"/>
        </w:rPr>
        <w:t>Convenio Interadministrativo No. VE-800-2023</w:t>
      </w:r>
      <w:r w:rsidR="00862B14" w:rsidRPr="00951AB1">
        <w:rPr>
          <w:rFonts w:cs="Times New Roman"/>
          <w:i/>
          <w:iCs/>
          <w:szCs w:val="24"/>
        </w:rPr>
        <w:t>:</w:t>
      </w:r>
    </w:p>
    <w:p w14:paraId="2C178D6F" w14:textId="5CF53067" w:rsidR="008B35C9" w:rsidRPr="00951AB1" w:rsidRDefault="008B35C9" w:rsidP="000A5389">
      <w:pPr>
        <w:spacing w:line="240" w:lineRule="auto"/>
        <w:rPr>
          <w:rFonts w:eastAsia="Times New Roman" w:cs="Times New Roman"/>
          <w:kern w:val="0"/>
          <w:szCs w:val="24"/>
          <w:lang w:eastAsia="es-CO"/>
          <w14:ligatures w14:val="none"/>
        </w:rPr>
      </w:pPr>
      <w:r w:rsidRPr="00951AB1">
        <w:rPr>
          <w:rFonts w:cs="Times New Roman"/>
          <w:szCs w:val="24"/>
        </w:rPr>
        <w:t xml:space="preserve">Objeto: </w:t>
      </w:r>
      <w:r w:rsidRPr="00951AB1">
        <w:rPr>
          <w:rFonts w:cs="Times New Roman"/>
          <w:i/>
          <w:iCs/>
          <w:szCs w:val="24"/>
        </w:rPr>
        <w:t>Asesorar a la ANI en la definición de la estructura de gobernanza para el desarrollo</w:t>
      </w:r>
      <w:r w:rsidRPr="00951AB1">
        <w:rPr>
          <w:rFonts w:cs="Times New Roman"/>
          <w:i/>
          <w:iCs/>
          <w:szCs w:val="24"/>
        </w:rPr>
        <w:br/>
        <w:t xml:space="preserve">de proyectos de </w:t>
      </w:r>
      <w:r w:rsidRPr="00951AB1">
        <w:rPr>
          <w:rFonts w:cs="Times New Roman"/>
          <w:i/>
          <w:szCs w:val="24"/>
        </w:rPr>
        <w:t>Asociación Público-Privada de infraestructura hospitalaria</w:t>
      </w:r>
      <w:r w:rsidRPr="00951AB1">
        <w:rPr>
          <w:rFonts w:cs="Times New Roman"/>
          <w:i/>
          <w:iCs/>
          <w:szCs w:val="24"/>
        </w:rPr>
        <w:t>, así como</w:t>
      </w:r>
      <w:r w:rsidRPr="00951AB1">
        <w:rPr>
          <w:rFonts w:cs="Times New Roman"/>
          <w:i/>
          <w:iCs/>
          <w:szCs w:val="24"/>
        </w:rPr>
        <w:br/>
        <w:t>adelantar la estructuración integral o actualización de un proyecto hospitalario</w:t>
      </w:r>
      <w:r w:rsidRPr="00951AB1">
        <w:rPr>
          <w:rFonts w:cs="Times New Roman"/>
          <w:i/>
          <w:iCs/>
          <w:szCs w:val="24"/>
        </w:rPr>
        <w:br/>
        <w:t>seleccionado por la ANI (en adelante Proyecto) de conformidad con el alcance</w:t>
      </w:r>
      <w:r w:rsidRPr="00951AB1">
        <w:rPr>
          <w:rFonts w:cs="Times New Roman"/>
          <w:i/>
          <w:iCs/>
          <w:szCs w:val="24"/>
        </w:rPr>
        <w:br/>
        <w:t xml:space="preserve">establecido en el contrato. Saldo pendiente por ejecutar </w:t>
      </w:r>
      <w:r w:rsidRPr="00951AB1">
        <w:rPr>
          <w:rFonts w:eastAsia="Times New Roman" w:cs="Times New Roman"/>
          <w:kern w:val="0"/>
          <w:szCs w:val="24"/>
          <w:lang w:eastAsia="es-CO"/>
          <w14:ligatures w14:val="none"/>
        </w:rPr>
        <w:t xml:space="preserve"> </w:t>
      </w:r>
      <w:r w:rsidRPr="00951AB1">
        <w:rPr>
          <w:rFonts w:cs="Times New Roman"/>
          <w:i/>
          <w:iCs/>
          <w:szCs w:val="24"/>
        </w:rPr>
        <w:t>$5.866.404.370</w:t>
      </w:r>
      <w:r w:rsidRPr="00951AB1">
        <w:rPr>
          <w:rFonts w:eastAsia="Times New Roman" w:cs="Times New Roman"/>
          <w:kern w:val="0"/>
          <w:szCs w:val="24"/>
          <w:lang w:eastAsia="es-CO"/>
          <w14:ligatures w14:val="none"/>
        </w:rPr>
        <w:t>.</w:t>
      </w:r>
    </w:p>
    <w:p w14:paraId="1E999F36" w14:textId="77777777" w:rsidR="008B35C9" w:rsidRPr="00951AB1" w:rsidRDefault="008B35C9" w:rsidP="000A5389">
      <w:pPr>
        <w:spacing w:line="240" w:lineRule="auto"/>
        <w:rPr>
          <w:rFonts w:cs="Times New Roman"/>
          <w:szCs w:val="24"/>
        </w:rPr>
      </w:pPr>
    </w:p>
    <w:p w14:paraId="067DA3D3" w14:textId="77777777" w:rsidR="008B35C9" w:rsidRPr="00951AB1" w:rsidRDefault="008B35C9" w:rsidP="000A5389">
      <w:pPr>
        <w:spacing w:line="240" w:lineRule="auto"/>
        <w:rPr>
          <w:rFonts w:cs="Times New Roman"/>
          <w:i/>
          <w:iCs/>
          <w:szCs w:val="24"/>
        </w:rPr>
      </w:pPr>
      <w:r w:rsidRPr="00951AB1">
        <w:rPr>
          <w:rFonts w:cs="Times New Roman"/>
          <w:szCs w:val="24"/>
        </w:rPr>
        <w:t>No se generan operaciones recíprocas con esta entidad, debido a lo indicado por el área contable de la Financiera : “</w:t>
      </w:r>
      <w:r w:rsidRPr="00951AB1">
        <w:rPr>
          <w:rFonts w:cs="Times New Roman"/>
          <w:i/>
          <w:iCs/>
          <w:szCs w:val="24"/>
        </w:rPr>
        <w:t>En relación a los recursos que se entregan en contratos de fiducia con una entidad financiera no se genera operación reciproca alguna,  en el caso de la FDN Id 043400000 los recursos entregados en administración así como la ejecución de los mismos se administra y se contabiliza en forma separada independiente de los de FDN generando para cada convenio o encargo fiduciario sus propios Estados financieros, esto en cumplimiento a la normatividad de la Superfinanciera.  Por lo anterior, no se debe reportar como Operaciones Reciprocas los recursos que hacen parte del Convenio”.</w:t>
      </w:r>
    </w:p>
    <w:p w14:paraId="1D029AE3" w14:textId="77777777" w:rsidR="008B35C9" w:rsidRPr="00951AB1" w:rsidRDefault="008B35C9" w:rsidP="000A5389">
      <w:pPr>
        <w:spacing w:line="240" w:lineRule="auto"/>
        <w:rPr>
          <w:rFonts w:cs="Times New Roman"/>
          <w:i/>
          <w:iCs/>
          <w:szCs w:val="24"/>
        </w:rPr>
      </w:pPr>
    </w:p>
    <w:p w14:paraId="0234F14E" w14:textId="67551399" w:rsidR="008B35C9" w:rsidRPr="00951AB1" w:rsidRDefault="008B35C9" w:rsidP="000A5389">
      <w:pPr>
        <w:spacing w:line="240" w:lineRule="auto"/>
        <w:rPr>
          <w:rFonts w:cs="Times New Roman"/>
          <w:szCs w:val="24"/>
        </w:rPr>
      </w:pPr>
      <w:r w:rsidRPr="00951AB1">
        <w:rPr>
          <w:rFonts w:cs="Times New Roman"/>
          <w:i/>
          <w:iCs/>
          <w:szCs w:val="24"/>
        </w:rPr>
        <w:t>Corporación Agencia Nacional De Gobierno Digital</w:t>
      </w:r>
      <w:r w:rsidR="00862B14" w:rsidRPr="00951AB1">
        <w:rPr>
          <w:rFonts w:cs="Times New Roman"/>
          <w:i/>
          <w:iCs/>
          <w:szCs w:val="24"/>
        </w:rPr>
        <w:t>:</w:t>
      </w:r>
      <w:r w:rsidR="00862B14" w:rsidRPr="00951AB1">
        <w:rPr>
          <w:rFonts w:cs="Times New Roman"/>
          <w:szCs w:val="24"/>
        </w:rPr>
        <w:t xml:space="preserve"> </w:t>
      </w:r>
      <w:r w:rsidRPr="00951AB1">
        <w:rPr>
          <w:rFonts w:cs="Times New Roman"/>
          <w:szCs w:val="24"/>
        </w:rPr>
        <w:t>CONVENIO DERIVADO No. 01 DEL CONVENIO MARCO INTERADMINISTRATIVO No. 939 DEL 2023 CELEBRADO ENTRE LA AGENCIA NACIONAL DE INFRAESTRUCTURA Y LA CORPORACIÓN AGENCIA NACIONAL DE GOBIERNO DIGITAL – NUMERACION ANI CI-014-2023.objeto: aunar esfuerzos técnicos, administrativos, operativos, jurídicos, tecnológicos y financieros entre las partes en el marco de sus misionalidades, para la consultoría y asesoría en la implementación de soluciones que apoyen la gestión integral de la contribución nacional de valorización del proyecto barranquilla - Cartagena. Valor del convenio $ 3.372.045.484 con un aporte de la ANI por    $ 3.239.725.000 y por parte de la Agencia Nacional Digital se realizará un aporte en especie por un valor $132.320.484 Saldo por ejecutar a 31 de diciembre de 2025 $3.236.775.384.</w:t>
      </w:r>
    </w:p>
    <w:p w14:paraId="4419EC17" w14:textId="77777777" w:rsidR="008B35C9" w:rsidRPr="00951AB1" w:rsidRDefault="008B35C9" w:rsidP="000A5389">
      <w:pPr>
        <w:spacing w:line="240" w:lineRule="auto"/>
        <w:rPr>
          <w:rFonts w:cs="Times New Roman"/>
          <w:szCs w:val="24"/>
        </w:rPr>
      </w:pPr>
    </w:p>
    <w:p w14:paraId="0CD83815" w14:textId="1EF26B86" w:rsidR="008B35C9" w:rsidRPr="00951AB1" w:rsidRDefault="008B35C9" w:rsidP="000A5389">
      <w:pPr>
        <w:spacing w:line="240" w:lineRule="auto"/>
        <w:rPr>
          <w:rFonts w:cs="Times New Roman"/>
          <w:szCs w:val="24"/>
        </w:rPr>
      </w:pPr>
      <w:r w:rsidRPr="00951AB1">
        <w:rPr>
          <w:rFonts w:cs="Times New Roman"/>
          <w:szCs w:val="24"/>
        </w:rPr>
        <w:t xml:space="preserve">CONVENIO DERIVADO No. 02 DEL CONVENIO MARCO INTERADMINISTRATIVO No. 939 DEL 2023 CELEBRADO ENTRE LA AGENCIA NACIONAL DE INFRAESTRUCTURA Y LA CORPORACIÓN AGENCIA NACIONAL DE GOBIERNO DIGITAL – NUMERACION ANI CI-015-2023 objeto: aunar esfuerzos técnicos, administrativos, tecnológicos, operativos financieros y jurídicos entre la agencia nacional de </w:t>
      </w:r>
      <w:r w:rsidRPr="00951AB1">
        <w:rPr>
          <w:rFonts w:cs="Times New Roman"/>
          <w:szCs w:val="24"/>
        </w:rPr>
        <w:lastRenderedPageBreak/>
        <w:t>infraestructura y la agencia nacional digital para el fortalecimiento integral de la capacidad de cómputo, seguridad de la información, almacenamiento, redes, virtualización y conexos de la infraestructura tecnológica, para para soportar los servicios y procesos ti de la agencia nacional de infraestructura en virtud del convenio marco 939 – 2023. Valor del convenio $ 22.036.988.010,00, con un aporte de la ANI por $ 21.820.000.000,00 y por parte de la Agencia Nacional Digital se realizará un aporte en especie por un valor $ 216.988.010. Saldo por ejecutar a 31 de diciembre de 2025 $ 4.455.334.900.</w:t>
      </w:r>
    </w:p>
    <w:p w14:paraId="5DEC2B2F" w14:textId="77777777" w:rsidR="008B35C9" w:rsidRPr="00951AB1" w:rsidRDefault="008B35C9" w:rsidP="000A5389">
      <w:pPr>
        <w:spacing w:line="240" w:lineRule="auto"/>
        <w:rPr>
          <w:rFonts w:cs="Times New Roman"/>
          <w:szCs w:val="24"/>
        </w:rPr>
      </w:pPr>
    </w:p>
    <w:p w14:paraId="6ADB891B" w14:textId="5513BB89" w:rsidR="008B35C9" w:rsidRPr="00951AB1" w:rsidRDefault="008B35C9" w:rsidP="000A5389">
      <w:pPr>
        <w:spacing w:line="240" w:lineRule="auto"/>
        <w:rPr>
          <w:rFonts w:cs="Times New Roman"/>
          <w:szCs w:val="24"/>
        </w:rPr>
      </w:pPr>
      <w:r w:rsidRPr="00951AB1">
        <w:rPr>
          <w:rFonts w:cs="Times New Roman"/>
          <w:i/>
          <w:iCs/>
          <w:szCs w:val="24"/>
        </w:rPr>
        <w:t>Departamento de Boyacá</w:t>
      </w:r>
      <w:r w:rsidR="00862B14" w:rsidRPr="00951AB1">
        <w:rPr>
          <w:rFonts w:cs="Times New Roman"/>
          <w:i/>
          <w:iCs/>
          <w:szCs w:val="24"/>
        </w:rPr>
        <w:t>:</w:t>
      </w:r>
      <w:r w:rsidR="00862B14" w:rsidRPr="00951AB1">
        <w:rPr>
          <w:rFonts w:cs="Times New Roman"/>
          <w:szCs w:val="24"/>
        </w:rPr>
        <w:t xml:space="preserve"> </w:t>
      </w:r>
      <w:r w:rsidRPr="00951AB1">
        <w:rPr>
          <w:rFonts w:cs="Times New Roman"/>
          <w:szCs w:val="24"/>
        </w:rPr>
        <w:t>El saldo registrado al cierre de la vigencia 2025 por valor de $ 3.292.108.892, corresponde a los convenios Interadministrativos que se relacionan así:</w:t>
      </w:r>
    </w:p>
    <w:p w14:paraId="0327CC98" w14:textId="77777777" w:rsidR="008B35C9" w:rsidRPr="00951AB1" w:rsidRDefault="008B35C9" w:rsidP="000A5389">
      <w:pPr>
        <w:spacing w:line="240" w:lineRule="auto"/>
        <w:rPr>
          <w:rFonts w:cs="Times New Roman"/>
          <w:szCs w:val="24"/>
        </w:rPr>
      </w:pPr>
    </w:p>
    <w:p w14:paraId="28E09965" w14:textId="77777777" w:rsidR="008B35C9" w:rsidRPr="00951AB1" w:rsidRDefault="008B35C9" w:rsidP="000A5389">
      <w:pPr>
        <w:spacing w:line="240" w:lineRule="auto"/>
        <w:rPr>
          <w:rFonts w:cs="Times New Roman"/>
          <w:szCs w:val="24"/>
        </w:rPr>
      </w:pPr>
      <w:r w:rsidRPr="00951AB1">
        <w:rPr>
          <w:rFonts w:cs="Times New Roman"/>
          <w:szCs w:val="24"/>
        </w:rPr>
        <w:t>CONVENIO INTERADMINISTRATIVO MARCO DE COLABORACIÓN No. 008 ANI – 001 de 2.015.  Saldo a 31 de diciembre de 2025 por ejecutar $2.323.620.615. Objeto: Unión articulación y coordinación de esfuerzos humanos técnicos, tecnológicos y logísticos entre la Agencia Nacional de Infraestructura y el Departamento de Boyacá, para la construcción de obras en cumplimiento de la acción popular, Briceño Tunja Sogamoso intersección Patriotas y para el cumplimiento de la acción popular, Briceño Tunja Sogamoso- Glorieta de Tunja.</w:t>
      </w:r>
    </w:p>
    <w:p w14:paraId="282143B3" w14:textId="77777777" w:rsidR="008B35C9" w:rsidRPr="00951AB1" w:rsidRDefault="008B35C9" w:rsidP="000A5389">
      <w:pPr>
        <w:spacing w:line="240" w:lineRule="auto"/>
        <w:rPr>
          <w:rFonts w:cs="Times New Roman"/>
          <w:szCs w:val="24"/>
        </w:rPr>
      </w:pPr>
      <w:r w:rsidRPr="00951AB1">
        <w:rPr>
          <w:rFonts w:cs="Times New Roman"/>
          <w:szCs w:val="24"/>
        </w:rPr>
        <w:t xml:space="preserve">CONVENIO INTERADMINISTRATIVO ESPECÍFICO DE COLABORACIÓN No. 001 de 2016.   El saldo por ejecutar a 31 de diciembre de 2025 es de $968.488.277.  Objeto: Unión, articulación y coordinación de esfuerzos humanos, técnicos tecnológicos y logísticos, entre la Agencia Nacional de Infraestructura y el Departamento de Boyacá para realizar la adquisición predial en cumplimiento de la acción popular, Briceño Tunja, Sogamoso Intersección patriotas. </w:t>
      </w:r>
    </w:p>
    <w:p w14:paraId="1F2EFCAD" w14:textId="77777777" w:rsidR="008B35C9" w:rsidRPr="00951AB1" w:rsidRDefault="008B35C9" w:rsidP="000A5389">
      <w:pPr>
        <w:spacing w:line="240" w:lineRule="auto"/>
        <w:rPr>
          <w:rFonts w:cs="Times New Roman"/>
          <w:szCs w:val="24"/>
        </w:rPr>
      </w:pPr>
    </w:p>
    <w:p w14:paraId="68A039BC" w14:textId="77777777" w:rsidR="008B35C9" w:rsidRPr="00951AB1" w:rsidRDefault="008B35C9" w:rsidP="000A5389">
      <w:pPr>
        <w:spacing w:line="240" w:lineRule="auto"/>
        <w:rPr>
          <w:rFonts w:cs="Times New Roman"/>
          <w:szCs w:val="24"/>
        </w:rPr>
      </w:pPr>
      <w:r w:rsidRPr="00951AB1">
        <w:rPr>
          <w:rFonts w:cs="Times New Roman"/>
          <w:szCs w:val="24"/>
        </w:rPr>
        <w:t>Se menciona que los dos convenios vigentes con el Departamento de Boyacá generan operaciones recíprocas, los cuales fueron conciliadas de manera trimestral y reportadas en el CHIP en la cuenta contable correlativa, en atención a lo estipulado en la Resolución CGN No. 090 de 2020.</w:t>
      </w:r>
    </w:p>
    <w:p w14:paraId="0879AB79" w14:textId="77777777" w:rsidR="008B35C9" w:rsidRPr="00951AB1" w:rsidRDefault="008B35C9" w:rsidP="000A5389">
      <w:pPr>
        <w:spacing w:line="240" w:lineRule="auto"/>
        <w:rPr>
          <w:rFonts w:cs="Times New Roman"/>
          <w:szCs w:val="24"/>
          <w:u w:val="single"/>
        </w:rPr>
      </w:pPr>
    </w:p>
    <w:p w14:paraId="1B447A83" w14:textId="2F6C957B" w:rsidR="008B35C9" w:rsidRDefault="008B35C9" w:rsidP="000A5389">
      <w:pPr>
        <w:spacing w:line="240" w:lineRule="auto"/>
        <w:rPr>
          <w:rFonts w:cs="Times New Roman"/>
          <w:i/>
          <w:iCs/>
          <w:szCs w:val="24"/>
          <w:u w:val="single"/>
        </w:rPr>
      </w:pPr>
      <w:r w:rsidRPr="00951AB1">
        <w:rPr>
          <w:rFonts w:cs="Times New Roman"/>
          <w:i/>
          <w:iCs/>
          <w:szCs w:val="24"/>
          <w:u w:val="single"/>
        </w:rPr>
        <w:t>Instituto Colombiano de Crédito Educativo y Estudios Técnicos en el Exterior Mariano Ospina Perez ICETEX</w:t>
      </w:r>
    </w:p>
    <w:p w14:paraId="016DC838" w14:textId="77777777" w:rsidR="002E333D" w:rsidRPr="00951AB1" w:rsidRDefault="002E333D" w:rsidP="000A5389">
      <w:pPr>
        <w:spacing w:line="240" w:lineRule="auto"/>
        <w:rPr>
          <w:rFonts w:cs="Times New Roman"/>
          <w:i/>
          <w:iCs/>
          <w:szCs w:val="24"/>
          <w:u w:val="single"/>
        </w:rPr>
      </w:pPr>
    </w:p>
    <w:p w14:paraId="5EFC5A6F" w14:textId="306CE168" w:rsidR="008B35C9" w:rsidRPr="00951AB1" w:rsidRDefault="008B35C9" w:rsidP="000A5389">
      <w:pPr>
        <w:spacing w:line="240" w:lineRule="auto"/>
        <w:rPr>
          <w:rFonts w:cs="Times New Roman"/>
          <w:szCs w:val="24"/>
        </w:rPr>
      </w:pPr>
      <w:r w:rsidRPr="00951AB1">
        <w:rPr>
          <w:rFonts w:cs="Times New Roman"/>
          <w:i/>
          <w:iCs/>
          <w:szCs w:val="24"/>
        </w:rPr>
        <w:t>Contrato Interadministrativo No. VGCOR-826-2025</w:t>
      </w:r>
      <w:r w:rsidR="00D73172" w:rsidRPr="00951AB1">
        <w:rPr>
          <w:rFonts w:cs="Times New Roman"/>
          <w:i/>
          <w:iCs/>
          <w:szCs w:val="24"/>
        </w:rPr>
        <w:t>:</w:t>
      </w:r>
      <w:r w:rsidR="00D73172" w:rsidRPr="00951AB1">
        <w:rPr>
          <w:rFonts w:cs="Times New Roman"/>
          <w:szCs w:val="24"/>
        </w:rPr>
        <w:t xml:space="preserve"> </w:t>
      </w:r>
      <w:r w:rsidRPr="00951AB1">
        <w:rPr>
          <w:rFonts w:cs="Times New Roman"/>
          <w:szCs w:val="24"/>
        </w:rPr>
        <w:t>El valor de $250.000.000 cuyo objeto es: Constituir y regular un Fondo en Administración denominado "FONDO AGENCIA NACIONAL DE INFRAESTRUCTURA", con los recursos girados por la Agencia Nacional de Infraestructura como Constituyente - mandante al ICETEX, quien actuará como administrador – mandatario.  Los recursos del fondo en administración estarán destinados a otorgar subsidios, para apoyar el pago de la matrícula de empleados de la ANI que estén admitidos o estudiando programas en el nivel académico de pregrado o posgrado, relacionados con la misionalidad de la Agencia, que podrán ser cursados en modalidad presencial, a distancia, virtual, dual u otros desarrollos que combinen e integren las anteriores modalidades, en Instituciones de Educación Superior en Colombia de carácter público o privado reconocidas por el Ministerio de Educación Nacional, de acuerdo con los requisitos que señale el Reglamento Operativo del Fondo.</w:t>
      </w:r>
    </w:p>
    <w:p w14:paraId="75F47A26" w14:textId="77777777" w:rsidR="002E333D" w:rsidRDefault="002E333D" w:rsidP="000A5389">
      <w:pPr>
        <w:spacing w:line="240" w:lineRule="auto"/>
        <w:rPr>
          <w:rFonts w:cs="Times New Roman"/>
          <w:szCs w:val="24"/>
        </w:rPr>
      </w:pPr>
    </w:p>
    <w:p w14:paraId="5F977DFA" w14:textId="6BA6B82D" w:rsidR="008B35C9" w:rsidRPr="00951AB1" w:rsidRDefault="008B35C9" w:rsidP="000A5389">
      <w:pPr>
        <w:spacing w:line="240" w:lineRule="auto"/>
        <w:rPr>
          <w:rFonts w:cs="Times New Roman"/>
          <w:szCs w:val="24"/>
        </w:rPr>
      </w:pPr>
      <w:r w:rsidRPr="00951AB1">
        <w:rPr>
          <w:rFonts w:cs="Times New Roman"/>
          <w:szCs w:val="24"/>
        </w:rPr>
        <w:t>A 31 de diciembre de 2025 no se presentó ejecución.</w:t>
      </w:r>
    </w:p>
    <w:p w14:paraId="1FE5B345" w14:textId="3C3E8B5E" w:rsidR="008B35C9" w:rsidRPr="00951AB1" w:rsidRDefault="008B35C9" w:rsidP="000A5389">
      <w:pPr>
        <w:spacing w:line="240" w:lineRule="auto"/>
        <w:rPr>
          <w:rFonts w:cs="Times New Roman"/>
          <w:i/>
          <w:iCs/>
          <w:szCs w:val="24"/>
        </w:rPr>
      </w:pPr>
      <w:r w:rsidRPr="00951AB1">
        <w:rPr>
          <w:rFonts w:cs="Times New Roman"/>
          <w:i/>
          <w:iCs/>
          <w:szCs w:val="24"/>
        </w:rPr>
        <w:t>Fondo contingencias - sentencias y conciliaciones</w:t>
      </w:r>
    </w:p>
    <w:p w14:paraId="4E03435E" w14:textId="67379B26" w:rsidR="008B35C9" w:rsidRPr="00951AB1" w:rsidRDefault="008B35C9" w:rsidP="000A5389">
      <w:pPr>
        <w:spacing w:line="240" w:lineRule="auto"/>
        <w:rPr>
          <w:rFonts w:eastAsia="Times New Roman" w:cs="Times New Roman"/>
          <w:szCs w:val="24"/>
        </w:rPr>
      </w:pPr>
      <w:r w:rsidRPr="00951AB1">
        <w:rPr>
          <w:rFonts w:cs="Times New Roman"/>
          <w:i/>
          <w:iCs/>
          <w:szCs w:val="24"/>
        </w:rPr>
        <w:t>Ministerio de Hacienda y Crédito Público</w:t>
      </w:r>
      <w:r w:rsidR="00D73172" w:rsidRPr="00951AB1">
        <w:rPr>
          <w:rFonts w:cs="Times New Roman"/>
          <w:i/>
          <w:iCs/>
          <w:szCs w:val="24"/>
        </w:rPr>
        <w:t xml:space="preserve">: </w:t>
      </w:r>
      <w:r w:rsidRPr="00951AB1">
        <w:rPr>
          <w:rFonts w:cs="Times New Roman"/>
          <w:szCs w:val="24"/>
        </w:rPr>
        <w:t xml:space="preserve">El saldo de $26.492.061.131, corresponde a los </w:t>
      </w:r>
      <w:r w:rsidRPr="00951AB1">
        <w:rPr>
          <w:rFonts w:eastAsia="Times New Roman" w:cs="Times New Roman"/>
          <w:szCs w:val="24"/>
        </w:rPr>
        <w:t>rendimientos generados de los valores aportados al fondo de contingencia en el rubro de Sentencias y Conciliaciones, de acuerdo con la "</w:t>
      </w:r>
      <w:r w:rsidRPr="00951AB1">
        <w:rPr>
          <w:rFonts w:eastAsia="Times New Roman" w:cs="Times New Roman"/>
          <w:i/>
          <w:iCs/>
          <w:szCs w:val="24"/>
        </w:rPr>
        <w:t>Actualización del procedimiento contable para el registro de los procesos judiciales, arbitrajes, conciliaciones extrajudiciales y embargos sobre cuentas bancarias en el sistema integrado de información financiera (SIIF)"</w:t>
      </w:r>
      <w:r w:rsidRPr="00951AB1">
        <w:rPr>
          <w:rFonts w:eastAsia="Times New Roman" w:cs="Times New Roman"/>
          <w:szCs w:val="24"/>
        </w:rPr>
        <w:t>.</w:t>
      </w:r>
    </w:p>
    <w:p w14:paraId="6E3C5A64" w14:textId="77777777" w:rsidR="005E171F" w:rsidRPr="00951AB1" w:rsidRDefault="005E171F" w:rsidP="000A5389">
      <w:pPr>
        <w:spacing w:line="240" w:lineRule="auto"/>
        <w:rPr>
          <w:rFonts w:cs="Times New Roman"/>
          <w:b/>
          <w:color w:val="1F3864" w:themeColor="accent1" w:themeShade="80"/>
          <w:szCs w:val="24"/>
        </w:rPr>
      </w:pPr>
    </w:p>
    <w:p w14:paraId="193A5CB6" w14:textId="2877D623" w:rsidR="008B35C9" w:rsidRDefault="008B35C9" w:rsidP="000A5389">
      <w:pPr>
        <w:spacing w:line="240" w:lineRule="auto"/>
        <w:rPr>
          <w:rFonts w:cs="Times New Roman"/>
          <w:szCs w:val="24"/>
        </w:rPr>
      </w:pPr>
      <w:r w:rsidRPr="00951AB1">
        <w:rPr>
          <w:rFonts w:cs="Times New Roman"/>
          <w:bCs/>
          <w:i/>
          <w:iCs/>
          <w:szCs w:val="24"/>
        </w:rPr>
        <w:t>Otros bienes y servicios pagados por anticipado</w:t>
      </w:r>
      <w:r w:rsidR="005E171F" w:rsidRPr="00951AB1">
        <w:rPr>
          <w:rFonts w:cs="Times New Roman"/>
          <w:bCs/>
          <w:i/>
          <w:iCs/>
          <w:szCs w:val="24"/>
        </w:rPr>
        <w:t xml:space="preserve">: </w:t>
      </w:r>
      <w:r w:rsidRPr="00951AB1">
        <w:rPr>
          <w:rFonts w:cs="Times New Roman"/>
          <w:szCs w:val="24"/>
        </w:rPr>
        <w:t>El valor de $877.129.812 que refleja esta cuenta a 31 de diciembre de 2025 corresponde al pago de las expensas de administración correspondiente al año 2026 de las oficinas de la Agencia Nacional de Infraestructura de los pisos 2, 6 y 7 de la Torre 4 y el piso 8 de la Torre 3.</w:t>
      </w:r>
    </w:p>
    <w:p w14:paraId="59B3C22D" w14:textId="77777777" w:rsidR="002E333D" w:rsidRPr="00951AB1" w:rsidRDefault="002E333D" w:rsidP="000A5389">
      <w:pPr>
        <w:spacing w:line="240" w:lineRule="auto"/>
        <w:rPr>
          <w:rFonts w:cs="Times New Roman"/>
          <w:szCs w:val="24"/>
        </w:rPr>
      </w:pPr>
    </w:p>
    <w:p w14:paraId="6C0B0C06" w14:textId="79210F0E" w:rsidR="008B35C9" w:rsidRDefault="008B35C9" w:rsidP="000A5389">
      <w:pPr>
        <w:spacing w:line="240" w:lineRule="auto"/>
        <w:rPr>
          <w:rFonts w:cs="Times New Roman"/>
          <w:szCs w:val="24"/>
        </w:rPr>
      </w:pPr>
      <w:r w:rsidRPr="00951AB1">
        <w:rPr>
          <w:rFonts w:cs="Times New Roman"/>
          <w:i/>
          <w:iCs/>
          <w:szCs w:val="24"/>
        </w:rPr>
        <w:t>Depósitos judiciales</w:t>
      </w:r>
      <w:r w:rsidR="005E171F" w:rsidRPr="00951AB1">
        <w:rPr>
          <w:rFonts w:cs="Times New Roman"/>
          <w:i/>
          <w:iCs/>
          <w:szCs w:val="24"/>
        </w:rPr>
        <w:t xml:space="preserve">: </w:t>
      </w:r>
      <w:r w:rsidRPr="00951AB1">
        <w:rPr>
          <w:rFonts w:cs="Times New Roman"/>
          <w:szCs w:val="24"/>
        </w:rPr>
        <w:t>El saldo que refleja esta subcuenta por valor de $ 10.200.000 corresponde al siguiente embargo judicial registrado contablemente a nombre de la Rama Judicial</w:t>
      </w:r>
      <w:r w:rsidR="005E171F" w:rsidRPr="00951AB1">
        <w:rPr>
          <w:rFonts w:cs="Times New Roman"/>
          <w:szCs w:val="24"/>
        </w:rPr>
        <w:t>.</w:t>
      </w:r>
    </w:p>
    <w:p w14:paraId="3FC5C314" w14:textId="77777777" w:rsidR="002E333D" w:rsidRPr="00951AB1" w:rsidRDefault="002E333D" w:rsidP="000A5389">
      <w:pPr>
        <w:spacing w:line="240" w:lineRule="auto"/>
        <w:rPr>
          <w:rFonts w:cs="Times New Roman"/>
          <w:szCs w:val="24"/>
        </w:rPr>
      </w:pPr>
    </w:p>
    <w:tbl>
      <w:tblPr>
        <w:tblW w:w="5000" w:type="pct"/>
        <w:jc w:val="center"/>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shd w:val="clear" w:color="auto" w:fill="FFFFFF" w:themeFill="background1"/>
        <w:tblCellMar>
          <w:left w:w="70" w:type="dxa"/>
          <w:right w:w="70" w:type="dxa"/>
        </w:tblCellMar>
        <w:tblLook w:val="04A0" w:firstRow="1" w:lastRow="0" w:firstColumn="1" w:lastColumn="0" w:noHBand="0" w:noVBand="1"/>
      </w:tblPr>
      <w:tblGrid>
        <w:gridCol w:w="1270"/>
        <w:gridCol w:w="1419"/>
        <w:gridCol w:w="1702"/>
        <w:gridCol w:w="2671"/>
        <w:gridCol w:w="1766"/>
      </w:tblGrid>
      <w:tr w:rsidR="00E575C1" w:rsidRPr="00951AB1" w14:paraId="107FFF0E" w14:textId="77777777" w:rsidTr="00E575C1">
        <w:trPr>
          <w:trHeight w:val="600"/>
          <w:jc w:val="center"/>
        </w:trPr>
        <w:tc>
          <w:tcPr>
            <w:tcW w:w="719" w:type="pct"/>
            <w:shd w:val="clear" w:color="auto" w:fill="FFFFFF" w:themeFill="background1"/>
            <w:vAlign w:val="center"/>
            <w:hideMark/>
          </w:tcPr>
          <w:p w14:paraId="7ED93C16" w14:textId="77777777" w:rsidR="008B35C9" w:rsidRPr="00951AB1" w:rsidRDefault="008B35C9" w:rsidP="000A5389">
            <w:pPr>
              <w:spacing w:line="240" w:lineRule="auto"/>
              <w:jc w:val="center"/>
              <w:rPr>
                <w:rFonts w:eastAsia="Times New Roman" w:cs="Times New Roman"/>
                <w:b/>
                <w:bCs/>
                <w:color w:val="000000"/>
                <w:kern w:val="0"/>
                <w:sz w:val="20"/>
                <w:szCs w:val="20"/>
                <w:lang w:eastAsia="es-CO"/>
                <w14:ligatures w14:val="none"/>
              </w:rPr>
            </w:pPr>
            <w:r w:rsidRPr="00951AB1">
              <w:rPr>
                <w:rFonts w:eastAsia="Times New Roman" w:cs="Times New Roman"/>
                <w:b/>
                <w:bCs/>
                <w:color w:val="000000"/>
                <w:kern w:val="0"/>
                <w:sz w:val="20"/>
                <w:szCs w:val="20"/>
                <w:lang w:eastAsia="es-CO"/>
                <w14:ligatures w14:val="none"/>
              </w:rPr>
              <w:t>Fecha del embargo</w:t>
            </w:r>
          </w:p>
        </w:tc>
        <w:tc>
          <w:tcPr>
            <w:tcW w:w="803" w:type="pct"/>
            <w:shd w:val="clear" w:color="auto" w:fill="FFFFFF" w:themeFill="background1"/>
            <w:vAlign w:val="center"/>
            <w:hideMark/>
          </w:tcPr>
          <w:p w14:paraId="6EE30636" w14:textId="77777777" w:rsidR="008B35C9" w:rsidRPr="00951AB1" w:rsidRDefault="008B35C9" w:rsidP="000A5389">
            <w:pPr>
              <w:spacing w:line="240" w:lineRule="auto"/>
              <w:jc w:val="center"/>
              <w:rPr>
                <w:rFonts w:eastAsia="Times New Roman" w:cs="Times New Roman"/>
                <w:b/>
                <w:bCs/>
                <w:color w:val="000000"/>
                <w:kern w:val="0"/>
                <w:sz w:val="20"/>
                <w:szCs w:val="20"/>
                <w:lang w:eastAsia="es-CO"/>
                <w14:ligatures w14:val="none"/>
              </w:rPr>
            </w:pPr>
            <w:r w:rsidRPr="00951AB1">
              <w:rPr>
                <w:rFonts w:eastAsia="Times New Roman" w:cs="Times New Roman"/>
                <w:b/>
                <w:bCs/>
                <w:color w:val="000000"/>
                <w:kern w:val="0"/>
                <w:sz w:val="20"/>
                <w:szCs w:val="20"/>
                <w:lang w:eastAsia="es-CO"/>
                <w14:ligatures w14:val="none"/>
              </w:rPr>
              <w:t>Valor Pendiente de recuperar</w:t>
            </w:r>
          </w:p>
        </w:tc>
        <w:tc>
          <w:tcPr>
            <w:tcW w:w="964" w:type="pct"/>
            <w:shd w:val="clear" w:color="auto" w:fill="FFFFFF" w:themeFill="background1"/>
            <w:vAlign w:val="center"/>
            <w:hideMark/>
          </w:tcPr>
          <w:p w14:paraId="167226F4" w14:textId="77777777" w:rsidR="008B35C9" w:rsidRPr="00951AB1" w:rsidRDefault="008B35C9" w:rsidP="000A5389">
            <w:pPr>
              <w:spacing w:line="240" w:lineRule="auto"/>
              <w:jc w:val="center"/>
              <w:rPr>
                <w:rFonts w:eastAsia="Times New Roman" w:cs="Times New Roman"/>
                <w:b/>
                <w:bCs/>
                <w:color w:val="000000"/>
                <w:kern w:val="0"/>
                <w:sz w:val="20"/>
                <w:szCs w:val="20"/>
                <w:lang w:eastAsia="es-CO"/>
                <w14:ligatures w14:val="none"/>
              </w:rPr>
            </w:pPr>
            <w:r w:rsidRPr="00951AB1">
              <w:rPr>
                <w:rFonts w:eastAsia="Times New Roman" w:cs="Times New Roman"/>
                <w:b/>
                <w:bCs/>
                <w:color w:val="000000"/>
                <w:kern w:val="0"/>
                <w:sz w:val="20"/>
                <w:szCs w:val="20"/>
                <w:lang w:eastAsia="es-CO"/>
                <w14:ligatures w14:val="none"/>
              </w:rPr>
              <w:t>Origen</w:t>
            </w:r>
          </w:p>
        </w:tc>
        <w:tc>
          <w:tcPr>
            <w:tcW w:w="1513" w:type="pct"/>
            <w:shd w:val="clear" w:color="auto" w:fill="FFFFFF" w:themeFill="background1"/>
            <w:vAlign w:val="center"/>
            <w:hideMark/>
          </w:tcPr>
          <w:p w14:paraId="344D1052" w14:textId="77777777" w:rsidR="008B35C9" w:rsidRPr="00951AB1" w:rsidRDefault="008B35C9" w:rsidP="000A5389">
            <w:pPr>
              <w:spacing w:line="240" w:lineRule="auto"/>
              <w:jc w:val="center"/>
              <w:rPr>
                <w:rFonts w:eastAsia="Times New Roman" w:cs="Times New Roman"/>
                <w:b/>
                <w:bCs/>
                <w:color w:val="000000"/>
                <w:kern w:val="0"/>
                <w:sz w:val="20"/>
                <w:szCs w:val="20"/>
                <w:lang w:eastAsia="es-CO"/>
                <w14:ligatures w14:val="none"/>
              </w:rPr>
            </w:pPr>
            <w:r w:rsidRPr="00951AB1">
              <w:rPr>
                <w:rFonts w:eastAsia="Times New Roman" w:cs="Times New Roman"/>
                <w:b/>
                <w:bCs/>
                <w:color w:val="000000"/>
                <w:kern w:val="0"/>
                <w:sz w:val="20"/>
                <w:szCs w:val="20"/>
                <w:lang w:eastAsia="es-CO"/>
                <w14:ligatures w14:val="none"/>
              </w:rPr>
              <w:t>Situación que lo identifica</w:t>
            </w:r>
          </w:p>
        </w:tc>
        <w:tc>
          <w:tcPr>
            <w:tcW w:w="1000" w:type="pct"/>
            <w:shd w:val="clear" w:color="auto" w:fill="FFFFFF" w:themeFill="background1"/>
            <w:vAlign w:val="center"/>
            <w:hideMark/>
          </w:tcPr>
          <w:p w14:paraId="0B77DDAD" w14:textId="77777777" w:rsidR="008B35C9" w:rsidRPr="00951AB1" w:rsidRDefault="008B35C9" w:rsidP="000A5389">
            <w:pPr>
              <w:spacing w:line="240" w:lineRule="auto"/>
              <w:jc w:val="center"/>
              <w:rPr>
                <w:rFonts w:eastAsia="Times New Roman" w:cs="Times New Roman"/>
                <w:b/>
                <w:bCs/>
                <w:color w:val="000000"/>
                <w:kern w:val="0"/>
                <w:sz w:val="20"/>
                <w:szCs w:val="20"/>
                <w:lang w:eastAsia="es-CO"/>
                <w14:ligatures w14:val="none"/>
              </w:rPr>
            </w:pPr>
            <w:r w:rsidRPr="00951AB1">
              <w:rPr>
                <w:rFonts w:eastAsia="Times New Roman" w:cs="Times New Roman"/>
                <w:b/>
                <w:bCs/>
                <w:color w:val="000000"/>
                <w:kern w:val="0"/>
                <w:sz w:val="20"/>
                <w:szCs w:val="20"/>
                <w:lang w:eastAsia="es-CO"/>
                <w14:ligatures w14:val="none"/>
              </w:rPr>
              <w:t>Entidad</w:t>
            </w:r>
          </w:p>
        </w:tc>
      </w:tr>
      <w:tr w:rsidR="00E575C1" w:rsidRPr="00951AB1" w14:paraId="7F84EE24" w14:textId="77777777" w:rsidTr="00E575C1">
        <w:trPr>
          <w:trHeight w:val="1575"/>
          <w:jc w:val="center"/>
        </w:trPr>
        <w:tc>
          <w:tcPr>
            <w:tcW w:w="719" w:type="pct"/>
            <w:shd w:val="clear" w:color="auto" w:fill="FFFFFF" w:themeFill="background1"/>
            <w:noWrap/>
            <w:vAlign w:val="center"/>
            <w:hideMark/>
          </w:tcPr>
          <w:p w14:paraId="19688153" w14:textId="77777777" w:rsidR="008B35C9" w:rsidRPr="00951AB1" w:rsidRDefault="008B35C9" w:rsidP="000A5389">
            <w:pPr>
              <w:spacing w:line="240" w:lineRule="auto"/>
              <w:jc w:val="center"/>
              <w:rPr>
                <w:rFonts w:eastAsia="Times New Roman" w:cs="Times New Roman"/>
                <w:color w:val="000000"/>
                <w:kern w:val="0"/>
                <w:sz w:val="20"/>
                <w:szCs w:val="20"/>
                <w:lang w:eastAsia="es-CO"/>
                <w14:ligatures w14:val="none"/>
              </w:rPr>
            </w:pPr>
            <w:r w:rsidRPr="00951AB1">
              <w:rPr>
                <w:rFonts w:eastAsia="Times New Roman" w:cs="Times New Roman"/>
                <w:color w:val="000000"/>
                <w:kern w:val="0"/>
                <w:sz w:val="20"/>
                <w:szCs w:val="20"/>
                <w:lang w:eastAsia="es-CO"/>
                <w14:ligatures w14:val="none"/>
              </w:rPr>
              <w:t>14/01/2011</w:t>
            </w:r>
          </w:p>
        </w:tc>
        <w:tc>
          <w:tcPr>
            <w:tcW w:w="803" w:type="pct"/>
            <w:shd w:val="clear" w:color="auto" w:fill="FFFFFF" w:themeFill="background1"/>
            <w:noWrap/>
            <w:vAlign w:val="center"/>
            <w:hideMark/>
          </w:tcPr>
          <w:p w14:paraId="5935FA55" w14:textId="77777777" w:rsidR="008B35C9" w:rsidRPr="00951AB1" w:rsidRDefault="008B35C9" w:rsidP="000A5389">
            <w:pPr>
              <w:spacing w:line="240" w:lineRule="auto"/>
              <w:jc w:val="center"/>
              <w:rPr>
                <w:rFonts w:eastAsia="Times New Roman" w:cs="Times New Roman"/>
                <w:color w:val="000000"/>
                <w:kern w:val="0"/>
                <w:sz w:val="20"/>
                <w:szCs w:val="20"/>
                <w:lang w:eastAsia="es-CO"/>
                <w14:ligatures w14:val="none"/>
              </w:rPr>
            </w:pPr>
            <w:r w:rsidRPr="00951AB1">
              <w:rPr>
                <w:rFonts w:eastAsia="Times New Roman" w:cs="Times New Roman"/>
                <w:color w:val="000000"/>
                <w:kern w:val="0"/>
                <w:sz w:val="20"/>
                <w:szCs w:val="20"/>
                <w:lang w:eastAsia="es-CO"/>
                <w14:ligatures w14:val="none"/>
              </w:rPr>
              <w:t>10.200.000</w:t>
            </w:r>
          </w:p>
        </w:tc>
        <w:tc>
          <w:tcPr>
            <w:tcW w:w="964" w:type="pct"/>
            <w:shd w:val="clear" w:color="auto" w:fill="FFFFFF" w:themeFill="background1"/>
            <w:vAlign w:val="center"/>
            <w:hideMark/>
          </w:tcPr>
          <w:p w14:paraId="06D17D07" w14:textId="77777777" w:rsidR="008B35C9" w:rsidRPr="00951AB1" w:rsidRDefault="008B35C9" w:rsidP="000A5389">
            <w:pPr>
              <w:spacing w:line="240" w:lineRule="auto"/>
              <w:rPr>
                <w:rFonts w:eastAsia="Times New Roman" w:cs="Times New Roman"/>
                <w:color w:val="000000"/>
                <w:kern w:val="0"/>
                <w:sz w:val="20"/>
                <w:szCs w:val="20"/>
                <w:lang w:eastAsia="es-CO"/>
                <w14:ligatures w14:val="none"/>
              </w:rPr>
            </w:pPr>
            <w:r w:rsidRPr="00951AB1">
              <w:rPr>
                <w:rFonts w:eastAsia="Times New Roman" w:cs="Times New Roman"/>
                <w:color w:val="000000"/>
                <w:kern w:val="0"/>
                <w:sz w:val="20"/>
                <w:szCs w:val="20"/>
                <w:lang w:eastAsia="es-CO"/>
                <w14:ligatures w14:val="none"/>
              </w:rPr>
              <w:t>Proceso ejecutivo</w:t>
            </w:r>
            <w:r w:rsidRPr="00951AB1">
              <w:rPr>
                <w:rFonts w:eastAsia="Times New Roman" w:cs="Times New Roman"/>
                <w:color w:val="000000"/>
                <w:kern w:val="0"/>
                <w:sz w:val="20"/>
                <w:szCs w:val="20"/>
                <w:lang w:eastAsia="es-CO"/>
                <w14:ligatures w14:val="none"/>
              </w:rPr>
              <w:br/>
              <w:t>Laboral de Primera</w:t>
            </w:r>
            <w:r w:rsidRPr="00951AB1">
              <w:rPr>
                <w:rFonts w:eastAsia="Times New Roman" w:cs="Times New Roman"/>
                <w:color w:val="000000"/>
                <w:kern w:val="0"/>
                <w:sz w:val="20"/>
                <w:szCs w:val="20"/>
                <w:lang w:eastAsia="es-CO"/>
                <w14:ligatures w14:val="none"/>
              </w:rPr>
              <w:br/>
              <w:t>Instancia Ricardo</w:t>
            </w:r>
            <w:r w:rsidRPr="00951AB1">
              <w:rPr>
                <w:rFonts w:eastAsia="Times New Roman" w:cs="Times New Roman"/>
                <w:color w:val="000000"/>
                <w:kern w:val="0"/>
                <w:sz w:val="20"/>
                <w:szCs w:val="20"/>
                <w:lang w:eastAsia="es-CO"/>
                <w14:ligatures w14:val="none"/>
              </w:rPr>
              <w:br/>
              <w:t>Andrés Betancourt</w:t>
            </w:r>
          </w:p>
        </w:tc>
        <w:tc>
          <w:tcPr>
            <w:tcW w:w="1513" w:type="pct"/>
            <w:shd w:val="clear" w:color="auto" w:fill="FFFFFF" w:themeFill="background1"/>
            <w:vAlign w:val="center"/>
            <w:hideMark/>
          </w:tcPr>
          <w:p w14:paraId="2DB62978" w14:textId="77777777" w:rsidR="008B35C9" w:rsidRPr="00951AB1" w:rsidRDefault="008B35C9" w:rsidP="000A5389">
            <w:pPr>
              <w:spacing w:line="240" w:lineRule="auto"/>
              <w:rPr>
                <w:rFonts w:eastAsia="Times New Roman" w:cs="Times New Roman"/>
                <w:color w:val="000000"/>
                <w:kern w:val="0"/>
                <w:sz w:val="20"/>
                <w:szCs w:val="20"/>
                <w:lang w:eastAsia="es-CO"/>
                <w14:ligatures w14:val="none"/>
              </w:rPr>
            </w:pPr>
            <w:r w:rsidRPr="00951AB1">
              <w:rPr>
                <w:rFonts w:eastAsia="Times New Roman" w:cs="Times New Roman"/>
                <w:color w:val="000000"/>
                <w:kern w:val="0"/>
                <w:sz w:val="20"/>
                <w:szCs w:val="20"/>
                <w:lang w:eastAsia="es-CO"/>
                <w14:ligatures w14:val="none"/>
              </w:rPr>
              <w:t>Se solicitó al GIT de Defensa Judicial se informe de las actuaciones. Memorando 20264010040623 11/02/2026 VGCOR</w:t>
            </w:r>
          </w:p>
        </w:tc>
        <w:tc>
          <w:tcPr>
            <w:tcW w:w="1000" w:type="pct"/>
            <w:shd w:val="clear" w:color="auto" w:fill="FFFFFF" w:themeFill="background1"/>
            <w:vAlign w:val="center"/>
            <w:hideMark/>
          </w:tcPr>
          <w:p w14:paraId="4061B5B6" w14:textId="77777777" w:rsidR="008B35C9" w:rsidRPr="00951AB1" w:rsidRDefault="008B35C9" w:rsidP="000A5389">
            <w:pPr>
              <w:spacing w:line="240" w:lineRule="auto"/>
              <w:rPr>
                <w:rFonts w:eastAsia="Times New Roman" w:cs="Times New Roman"/>
                <w:color w:val="000000"/>
                <w:kern w:val="0"/>
                <w:sz w:val="20"/>
                <w:szCs w:val="20"/>
                <w:lang w:eastAsia="es-CO"/>
                <w14:ligatures w14:val="none"/>
              </w:rPr>
            </w:pPr>
            <w:r w:rsidRPr="00951AB1">
              <w:rPr>
                <w:rFonts w:eastAsia="Times New Roman" w:cs="Times New Roman"/>
                <w:color w:val="000000"/>
                <w:kern w:val="0"/>
                <w:sz w:val="20"/>
                <w:szCs w:val="20"/>
                <w:lang w:eastAsia="es-CO"/>
                <w14:ligatures w14:val="none"/>
              </w:rPr>
              <w:t>Juzgado Primero</w:t>
            </w:r>
            <w:r w:rsidRPr="00951AB1">
              <w:rPr>
                <w:rFonts w:eastAsia="Times New Roman" w:cs="Times New Roman"/>
                <w:color w:val="000000"/>
                <w:kern w:val="0"/>
                <w:sz w:val="20"/>
                <w:szCs w:val="20"/>
                <w:lang w:eastAsia="es-CO"/>
                <w14:ligatures w14:val="none"/>
              </w:rPr>
              <w:br/>
              <w:t>Laboral del Circuito</w:t>
            </w:r>
            <w:r w:rsidRPr="00951AB1">
              <w:rPr>
                <w:rFonts w:eastAsia="Times New Roman" w:cs="Times New Roman"/>
                <w:color w:val="000000"/>
                <w:kern w:val="0"/>
                <w:sz w:val="20"/>
                <w:szCs w:val="20"/>
                <w:lang w:eastAsia="es-CO"/>
                <w14:ligatures w14:val="none"/>
              </w:rPr>
              <w:br/>
              <w:t>de Guadalajara de Buga</w:t>
            </w:r>
          </w:p>
        </w:tc>
      </w:tr>
    </w:tbl>
    <w:p w14:paraId="29B0D1EB" w14:textId="77777777" w:rsidR="008B35C9" w:rsidRPr="00951AB1" w:rsidRDefault="008B35C9" w:rsidP="000A5389">
      <w:pPr>
        <w:spacing w:line="240" w:lineRule="auto"/>
        <w:rPr>
          <w:rFonts w:cs="Times New Roman"/>
          <w:szCs w:val="24"/>
        </w:rPr>
      </w:pPr>
      <w:r w:rsidRPr="00951AB1">
        <w:rPr>
          <w:rFonts w:cs="Times New Roman"/>
          <w:sz w:val="16"/>
          <w:szCs w:val="16"/>
        </w:rPr>
        <w:t>Cifras en pesos</w:t>
      </w:r>
    </w:p>
    <w:p w14:paraId="7F71DB24" w14:textId="77777777" w:rsidR="008B35C9" w:rsidRPr="00951AB1" w:rsidRDefault="008B35C9" w:rsidP="000A5389">
      <w:pPr>
        <w:spacing w:line="240" w:lineRule="auto"/>
        <w:rPr>
          <w:rFonts w:cs="Times New Roman"/>
          <w:szCs w:val="24"/>
        </w:rPr>
      </w:pPr>
    </w:p>
    <w:p w14:paraId="15779491" w14:textId="77777777" w:rsidR="00201BDF" w:rsidRPr="00951AB1" w:rsidRDefault="00201BDF" w:rsidP="000A5389">
      <w:pPr>
        <w:spacing w:line="240" w:lineRule="auto"/>
        <w:rPr>
          <w:rFonts w:cs="Times New Roman"/>
          <w:szCs w:val="24"/>
        </w:rPr>
      </w:pPr>
    </w:p>
    <w:p w14:paraId="7D016567" w14:textId="58CFA83F" w:rsidR="00460293" w:rsidRPr="00951AB1" w:rsidRDefault="00460293" w:rsidP="000A5389">
      <w:pPr>
        <w:pStyle w:val="Ttulo1"/>
        <w:spacing w:line="240" w:lineRule="auto"/>
        <w:rPr>
          <w:rFonts w:cs="Times New Roman"/>
        </w:rPr>
      </w:pPr>
      <w:bookmarkStart w:id="449" w:name="_Toc191369525"/>
      <w:bookmarkStart w:id="450" w:name="_Toc191456855"/>
      <w:bookmarkStart w:id="451" w:name="_Toc191456965"/>
      <w:bookmarkStart w:id="452" w:name="_Toc191457075"/>
      <w:bookmarkStart w:id="453" w:name="_Toc191475702"/>
      <w:bookmarkStart w:id="454" w:name="_Toc191475811"/>
      <w:bookmarkStart w:id="455" w:name="_Toc191475920"/>
      <w:bookmarkStart w:id="456" w:name="_Toc191475443"/>
      <w:bookmarkStart w:id="457" w:name="_Toc191505819"/>
      <w:bookmarkStart w:id="458" w:name="_Toc222824131"/>
      <w:bookmarkStart w:id="459" w:name="_Toc222955499"/>
      <w:r w:rsidRPr="00951AB1">
        <w:rPr>
          <w:rFonts w:cs="Times New Roman"/>
        </w:rPr>
        <w:t>NOTA 2</w:t>
      </w:r>
      <w:r w:rsidR="001E0A65" w:rsidRPr="00951AB1">
        <w:rPr>
          <w:rFonts w:cs="Times New Roman"/>
        </w:rPr>
        <w:t>1</w:t>
      </w:r>
      <w:r w:rsidRPr="00951AB1">
        <w:rPr>
          <w:rFonts w:cs="Times New Roman"/>
        </w:rPr>
        <w:t>. PRÉSTAMOS POR PAGAR</w:t>
      </w:r>
      <w:bookmarkEnd w:id="449"/>
      <w:bookmarkEnd w:id="450"/>
      <w:bookmarkEnd w:id="451"/>
      <w:bookmarkEnd w:id="452"/>
      <w:bookmarkEnd w:id="453"/>
      <w:bookmarkEnd w:id="454"/>
      <w:bookmarkEnd w:id="455"/>
      <w:bookmarkEnd w:id="456"/>
      <w:bookmarkEnd w:id="457"/>
      <w:bookmarkEnd w:id="458"/>
      <w:bookmarkEnd w:id="459"/>
    </w:p>
    <w:p w14:paraId="399C233E" w14:textId="77777777" w:rsidR="00460293" w:rsidRPr="00951AB1" w:rsidRDefault="00460293" w:rsidP="000A5389">
      <w:pPr>
        <w:spacing w:line="240" w:lineRule="auto"/>
        <w:rPr>
          <w:rFonts w:cs="Times New Roman"/>
          <w:b/>
          <w:sz w:val="18"/>
          <w:szCs w:val="18"/>
        </w:rPr>
      </w:pPr>
      <w:r w:rsidRPr="00951AB1">
        <w:rPr>
          <w:rFonts w:cs="Times New Roman"/>
          <w:b/>
          <w:sz w:val="18"/>
          <w:szCs w:val="18"/>
        </w:rPr>
        <w:t xml:space="preserve"> </w:t>
      </w:r>
    </w:p>
    <w:p w14:paraId="5AC6C6A0" w14:textId="77777777" w:rsidR="00460293" w:rsidRPr="00951AB1" w:rsidRDefault="00460293" w:rsidP="000A5389">
      <w:pPr>
        <w:pStyle w:val="Ttulo2"/>
        <w:numPr>
          <w:ilvl w:val="0"/>
          <w:numId w:val="0"/>
        </w:numPr>
        <w:spacing w:line="240" w:lineRule="auto"/>
        <w:rPr>
          <w:rFonts w:cs="Times New Roman"/>
          <w:szCs w:val="22"/>
        </w:rPr>
      </w:pPr>
      <w:bookmarkStart w:id="460" w:name="_Toc191369526"/>
      <w:bookmarkStart w:id="461" w:name="_Toc191456856"/>
      <w:bookmarkStart w:id="462" w:name="_Toc191456966"/>
      <w:bookmarkStart w:id="463" w:name="_Toc191457076"/>
      <w:bookmarkStart w:id="464" w:name="_Toc191475703"/>
      <w:bookmarkStart w:id="465" w:name="_Toc191475812"/>
      <w:bookmarkStart w:id="466" w:name="_Toc191475921"/>
      <w:bookmarkStart w:id="467" w:name="_Toc191475444"/>
      <w:bookmarkStart w:id="468" w:name="_Toc191505820"/>
      <w:bookmarkStart w:id="469" w:name="_Toc222824132"/>
      <w:bookmarkStart w:id="470" w:name="_Toc222955500"/>
      <w:r w:rsidRPr="00951AB1">
        <w:rPr>
          <w:rFonts w:cs="Times New Roman"/>
          <w:szCs w:val="22"/>
        </w:rPr>
        <w:t>Composición</w:t>
      </w:r>
      <w:bookmarkEnd w:id="460"/>
      <w:bookmarkEnd w:id="461"/>
      <w:bookmarkEnd w:id="462"/>
      <w:bookmarkEnd w:id="463"/>
      <w:bookmarkEnd w:id="464"/>
      <w:bookmarkEnd w:id="465"/>
      <w:bookmarkEnd w:id="466"/>
      <w:bookmarkEnd w:id="467"/>
      <w:bookmarkEnd w:id="468"/>
      <w:bookmarkEnd w:id="469"/>
      <w:bookmarkEnd w:id="470"/>
    </w:p>
    <w:p w14:paraId="0866265C" w14:textId="77777777" w:rsidR="00C96E94" w:rsidRPr="00951AB1" w:rsidRDefault="00C96E94" w:rsidP="000A5389">
      <w:pPr>
        <w:spacing w:line="240" w:lineRule="auto"/>
        <w:rPr>
          <w:rFonts w:cs="Times New Roman"/>
        </w:rPr>
      </w:pPr>
    </w:p>
    <w:tbl>
      <w:tblPr>
        <w:tblW w:w="5000" w:type="pct"/>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6A0" w:firstRow="1" w:lastRow="0" w:firstColumn="1" w:lastColumn="0" w:noHBand="1" w:noVBand="1"/>
      </w:tblPr>
      <w:tblGrid>
        <w:gridCol w:w="680"/>
        <w:gridCol w:w="487"/>
        <w:gridCol w:w="2798"/>
        <w:gridCol w:w="1561"/>
        <w:gridCol w:w="1842"/>
        <w:gridCol w:w="1460"/>
      </w:tblGrid>
      <w:tr w:rsidR="007220B5" w:rsidRPr="00725905" w14:paraId="2FFA9017" w14:textId="77777777" w:rsidTr="00725905">
        <w:trPr>
          <w:trHeight w:val="435"/>
        </w:trPr>
        <w:tc>
          <w:tcPr>
            <w:tcW w:w="2245" w:type="pct"/>
            <w:gridSpan w:val="3"/>
            <w:tcMar>
              <w:top w:w="15" w:type="dxa"/>
              <w:left w:w="15" w:type="dxa"/>
              <w:right w:w="15" w:type="dxa"/>
            </w:tcMar>
            <w:vAlign w:val="center"/>
          </w:tcPr>
          <w:p w14:paraId="584626BB" w14:textId="1FB56E89" w:rsidR="2803BD9E" w:rsidRPr="00725905" w:rsidRDefault="2803BD9E" w:rsidP="000A5389">
            <w:pPr>
              <w:spacing w:line="240" w:lineRule="auto"/>
              <w:jc w:val="center"/>
              <w:rPr>
                <w:rFonts w:cs="Times New Roman"/>
                <w:sz w:val="16"/>
                <w:szCs w:val="16"/>
              </w:rPr>
            </w:pPr>
            <w:r w:rsidRPr="00725905">
              <w:rPr>
                <w:rFonts w:eastAsia="Times New Roman" w:cs="Times New Roman"/>
                <w:b/>
                <w:color w:val="000000" w:themeColor="text1"/>
                <w:sz w:val="16"/>
                <w:szCs w:val="16"/>
              </w:rPr>
              <w:t>CONCEPTO</w:t>
            </w:r>
          </w:p>
        </w:tc>
        <w:tc>
          <w:tcPr>
            <w:tcW w:w="884" w:type="pct"/>
            <w:shd w:val="clear" w:color="auto" w:fill="FFFFFF" w:themeFill="background1"/>
            <w:tcMar>
              <w:top w:w="15" w:type="dxa"/>
              <w:left w:w="15" w:type="dxa"/>
              <w:right w:w="15" w:type="dxa"/>
            </w:tcMar>
            <w:vAlign w:val="center"/>
          </w:tcPr>
          <w:p w14:paraId="63255C20" w14:textId="1A9C999D" w:rsidR="2803BD9E" w:rsidRPr="00725905" w:rsidRDefault="2803BD9E" w:rsidP="000A5389">
            <w:pPr>
              <w:spacing w:line="240" w:lineRule="auto"/>
              <w:jc w:val="center"/>
              <w:rPr>
                <w:rFonts w:cs="Times New Roman"/>
                <w:sz w:val="16"/>
                <w:szCs w:val="16"/>
              </w:rPr>
            </w:pPr>
            <w:r w:rsidRPr="00725905">
              <w:rPr>
                <w:rFonts w:eastAsia="Times New Roman" w:cs="Times New Roman"/>
                <w:b/>
                <w:color w:val="000000" w:themeColor="text1"/>
                <w:sz w:val="16"/>
                <w:szCs w:val="16"/>
              </w:rPr>
              <w:t xml:space="preserve">2025 </w:t>
            </w:r>
          </w:p>
        </w:tc>
        <w:tc>
          <w:tcPr>
            <w:tcW w:w="1043" w:type="pct"/>
            <w:shd w:val="clear" w:color="auto" w:fill="FFFFFF" w:themeFill="background1"/>
            <w:tcMar>
              <w:top w:w="15" w:type="dxa"/>
              <w:left w:w="15" w:type="dxa"/>
              <w:right w:w="15" w:type="dxa"/>
            </w:tcMar>
            <w:vAlign w:val="center"/>
          </w:tcPr>
          <w:p w14:paraId="434DFB76" w14:textId="59919CED" w:rsidR="2803BD9E" w:rsidRPr="00725905" w:rsidRDefault="2803BD9E" w:rsidP="000A5389">
            <w:pPr>
              <w:spacing w:line="240" w:lineRule="auto"/>
              <w:jc w:val="center"/>
              <w:rPr>
                <w:rFonts w:cs="Times New Roman"/>
                <w:sz w:val="16"/>
                <w:szCs w:val="16"/>
              </w:rPr>
            </w:pPr>
            <w:r w:rsidRPr="00725905">
              <w:rPr>
                <w:rFonts w:eastAsia="Times New Roman" w:cs="Times New Roman"/>
                <w:b/>
                <w:color w:val="000000" w:themeColor="text1"/>
                <w:sz w:val="16"/>
                <w:szCs w:val="16"/>
              </w:rPr>
              <w:t xml:space="preserve">2024 </w:t>
            </w:r>
          </w:p>
        </w:tc>
        <w:tc>
          <w:tcPr>
            <w:tcW w:w="828" w:type="pct"/>
            <w:shd w:val="clear" w:color="auto" w:fill="FFFFFF" w:themeFill="background1"/>
            <w:tcMar>
              <w:top w:w="15" w:type="dxa"/>
              <w:left w:w="15" w:type="dxa"/>
              <w:right w:w="15" w:type="dxa"/>
            </w:tcMar>
            <w:vAlign w:val="center"/>
          </w:tcPr>
          <w:p w14:paraId="4A41038C" w14:textId="33059549" w:rsidR="2803BD9E" w:rsidRPr="00725905" w:rsidRDefault="2803BD9E" w:rsidP="000A5389">
            <w:pPr>
              <w:spacing w:line="240" w:lineRule="auto"/>
              <w:jc w:val="center"/>
              <w:rPr>
                <w:rFonts w:cs="Times New Roman"/>
                <w:sz w:val="16"/>
                <w:szCs w:val="16"/>
              </w:rPr>
            </w:pPr>
            <w:r w:rsidRPr="00725905">
              <w:rPr>
                <w:rFonts w:eastAsia="Times New Roman" w:cs="Times New Roman"/>
                <w:b/>
                <w:color w:val="000000" w:themeColor="text1"/>
                <w:sz w:val="16"/>
                <w:szCs w:val="16"/>
              </w:rPr>
              <w:t>VARIACIÓN</w:t>
            </w:r>
          </w:p>
        </w:tc>
      </w:tr>
      <w:tr w:rsidR="007220B5" w:rsidRPr="00725905" w14:paraId="46EFB919" w14:textId="77777777" w:rsidTr="00725905">
        <w:trPr>
          <w:trHeight w:val="285"/>
        </w:trPr>
        <w:tc>
          <w:tcPr>
            <w:tcW w:w="385" w:type="pct"/>
            <w:tcMar>
              <w:top w:w="15" w:type="dxa"/>
              <w:left w:w="15" w:type="dxa"/>
              <w:right w:w="15" w:type="dxa"/>
            </w:tcMar>
            <w:vAlign w:val="center"/>
          </w:tcPr>
          <w:p w14:paraId="2363317A" w14:textId="2F1C51CF" w:rsidR="2803BD9E" w:rsidRPr="00725905" w:rsidRDefault="2803BD9E" w:rsidP="000A5389">
            <w:pPr>
              <w:spacing w:line="240" w:lineRule="auto"/>
              <w:rPr>
                <w:rFonts w:cs="Times New Roman"/>
                <w:sz w:val="16"/>
                <w:szCs w:val="16"/>
              </w:rPr>
            </w:pPr>
            <w:r w:rsidRPr="00725905">
              <w:rPr>
                <w:rFonts w:eastAsia="Times New Roman" w:cs="Times New Roman"/>
                <w:b/>
                <w:color w:val="000000" w:themeColor="text1"/>
                <w:sz w:val="16"/>
                <w:szCs w:val="16"/>
              </w:rPr>
              <w:t>2.3</w:t>
            </w:r>
          </w:p>
        </w:tc>
        <w:tc>
          <w:tcPr>
            <w:tcW w:w="276" w:type="pct"/>
            <w:tcMar>
              <w:top w:w="15" w:type="dxa"/>
              <w:left w:w="15" w:type="dxa"/>
              <w:right w:w="15" w:type="dxa"/>
            </w:tcMar>
            <w:vAlign w:val="center"/>
          </w:tcPr>
          <w:p w14:paraId="76E258FD" w14:textId="5D3D4AD0" w:rsidR="2803BD9E" w:rsidRPr="00725905" w:rsidRDefault="2803BD9E" w:rsidP="000A5389">
            <w:pPr>
              <w:spacing w:line="240" w:lineRule="auto"/>
              <w:jc w:val="center"/>
              <w:rPr>
                <w:rFonts w:cs="Times New Roman"/>
                <w:sz w:val="16"/>
                <w:szCs w:val="16"/>
              </w:rPr>
            </w:pPr>
            <w:r w:rsidRPr="00725905">
              <w:rPr>
                <w:rFonts w:eastAsia="Times New Roman" w:cs="Times New Roman"/>
                <w:b/>
                <w:color w:val="000000" w:themeColor="text1"/>
                <w:sz w:val="16"/>
                <w:szCs w:val="16"/>
              </w:rPr>
              <w:t>Cr</w:t>
            </w:r>
          </w:p>
        </w:tc>
        <w:tc>
          <w:tcPr>
            <w:tcW w:w="1585" w:type="pct"/>
            <w:shd w:val="clear" w:color="auto" w:fill="FFFFFF" w:themeFill="background1"/>
            <w:tcMar>
              <w:top w:w="15" w:type="dxa"/>
              <w:left w:w="15" w:type="dxa"/>
              <w:right w:w="15" w:type="dxa"/>
            </w:tcMar>
            <w:vAlign w:val="center"/>
          </w:tcPr>
          <w:p w14:paraId="5BC8D920" w14:textId="2D1DC520" w:rsidR="2803BD9E" w:rsidRPr="00725905" w:rsidRDefault="2803BD9E" w:rsidP="000A5389">
            <w:pPr>
              <w:spacing w:line="240" w:lineRule="auto"/>
              <w:jc w:val="center"/>
              <w:rPr>
                <w:rFonts w:cs="Times New Roman"/>
                <w:sz w:val="16"/>
                <w:szCs w:val="16"/>
              </w:rPr>
            </w:pPr>
            <w:r w:rsidRPr="00725905">
              <w:rPr>
                <w:rFonts w:eastAsia="Times New Roman" w:cs="Times New Roman"/>
                <w:b/>
                <w:color w:val="000000" w:themeColor="text1"/>
                <w:sz w:val="16"/>
                <w:szCs w:val="16"/>
              </w:rPr>
              <w:t>PRÉSTAMOS POR PAGAR</w:t>
            </w:r>
          </w:p>
        </w:tc>
        <w:tc>
          <w:tcPr>
            <w:tcW w:w="884" w:type="pct"/>
            <w:shd w:val="clear" w:color="auto" w:fill="FFFFFF" w:themeFill="background1"/>
            <w:tcMar>
              <w:top w:w="15" w:type="dxa"/>
              <w:left w:w="15" w:type="dxa"/>
              <w:right w:w="15" w:type="dxa"/>
            </w:tcMar>
            <w:vAlign w:val="center"/>
          </w:tcPr>
          <w:p w14:paraId="4B7EC6CE" w14:textId="18D499A5" w:rsidR="2803BD9E" w:rsidRPr="00725905" w:rsidRDefault="2803BD9E" w:rsidP="000A5389">
            <w:pPr>
              <w:spacing w:line="240" w:lineRule="auto"/>
              <w:jc w:val="right"/>
              <w:rPr>
                <w:rFonts w:cs="Times New Roman"/>
                <w:sz w:val="16"/>
                <w:szCs w:val="16"/>
              </w:rPr>
            </w:pPr>
            <w:r w:rsidRPr="00725905">
              <w:rPr>
                <w:rFonts w:eastAsia="Times New Roman" w:cs="Times New Roman"/>
                <w:b/>
                <w:color w:val="000000" w:themeColor="text1"/>
                <w:sz w:val="16"/>
                <w:szCs w:val="16"/>
              </w:rPr>
              <w:t>23.693.640.888.693</w:t>
            </w:r>
          </w:p>
        </w:tc>
        <w:tc>
          <w:tcPr>
            <w:tcW w:w="1043" w:type="pct"/>
            <w:shd w:val="clear" w:color="auto" w:fill="FFFFFF" w:themeFill="background1"/>
            <w:tcMar>
              <w:top w:w="15" w:type="dxa"/>
              <w:left w:w="15" w:type="dxa"/>
              <w:right w:w="15" w:type="dxa"/>
            </w:tcMar>
            <w:vAlign w:val="center"/>
          </w:tcPr>
          <w:p w14:paraId="6A71D46D" w14:textId="76D9388E" w:rsidR="2803BD9E" w:rsidRPr="00725905" w:rsidRDefault="2803BD9E" w:rsidP="000A5389">
            <w:pPr>
              <w:spacing w:line="240" w:lineRule="auto"/>
              <w:jc w:val="right"/>
              <w:rPr>
                <w:rFonts w:cs="Times New Roman"/>
                <w:sz w:val="16"/>
                <w:szCs w:val="16"/>
              </w:rPr>
            </w:pPr>
            <w:r w:rsidRPr="00725905">
              <w:rPr>
                <w:rFonts w:eastAsia="Times New Roman" w:cs="Times New Roman"/>
                <w:b/>
                <w:color w:val="000000" w:themeColor="text1"/>
                <w:sz w:val="16"/>
                <w:szCs w:val="16"/>
              </w:rPr>
              <w:t>24.416.759.359.</w:t>
            </w:r>
            <w:r w:rsidR="44E90400" w:rsidRPr="00725905">
              <w:rPr>
                <w:rFonts w:eastAsia="Times New Roman" w:cs="Times New Roman"/>
                <w:b/>
                <w:bCs/>
                <w:color w:val="000000" w:themeColor="text1"/>
                <w:sz w:val="16"/>
                <w:szCs w:val="16"/>
              </w:rPr>
              <w:t>57</w:t>
            </w:r>
            <w:r w:rsidR="474725AC" w:rsidRPr="00725905">
              <w:rPr>
                <w:rFonts w:eastAsia="Times New Roman" w:cs="Times New Roman"/>
                <w:b/>
                <w:bCs/>
                <w:color w:val="000000" w:themeColor="text1"/>
                <w:sz w:val="16"/>
                <w:szCs w:val="16"/>
              </w:rPr>
              <w:t>6</w:t>
            </w:r>
          </w:p>
        </w:tc>
        <w:tc>
          <w:tcPr>
            <w:tcW w:w="828" w:type="pct"/>
            <w:shd w:val="clear" w:color="auto" w:fill="FFFFFF" w:themeFill="background1"/>
            <w:tcMar>
              <w:top w:w="15" w:type="dxa"/>
              <w:left w:w="15" w:type="dxa"/>
              <w:right w:w="15" w:type="dxa"/>
            </w:tcMar>
            <w:vAlign w:val="center"/>
          </w:tcPr>
          <w:p w14:paraId="5AD59BE7" w14:textId="057F91A9" w:rsidR="2803BD9E" w:rsidRPr="00725905" w:rsidRDefault="2803BD9E" w:rsidP="000A5389">
            <w:pPr>
              <w:spacing w:line="240" w:lineRule="auto"/>
              <w:jc w:val="right"/>
              <w:rPr>
                <w:rFonts w:cs="Times New Roman"/>
                <w:sz w:val="16"/>
                <w:szCs w:val="16"/>
              </w:rPr>
            </w:pPr>
            <w:r w:rsidRPr="00725905">
              <w:rPr>
                <w:rFonts w:eastAsia="Times New Roman" w:cs="Times New Roman"/>
                <w:b/>
                <w:color w:val="000000" w:themeColor="text1"/>
                <w:sz w:val="16"/>
                <w:szCs w:val="16"/>
              </w:rPr>
              <w:t>-723.118.470.884</w:t>
            </w:r>
          </w:p>
        </w:tc>
      </w:tr>
      <w:tr w:rsidR="007220B5" w:rsidRPr="00725905" w14:paraId="001E622E" w14:textId="77777777" w:rsidTr="00725905">
        <w:trPr>
          <w:trHeight w:val="300"/>
        </w:trPr>
        <w:tc>
          <w:tcPr>
            <w:tcW w:w="385" w:type="pct"/>
            <w:tcMar>
              <w:top w:w="15" w:type="dxa"/>
              <w:left w:w="15" w:type="dxa"/>
              <w:right w:w="15" w:type="dxa"/>
            </w:tcMar>
            <w:vAlign w:val="center"/>
          </w:tcPr>
          <w:p w14:paraId="192C0EED" w14:textId="743AFF67" w:rsidR="2803BD9E" w:rsidRPr="00725905" w:rsidRDefault="2803BD9E" w:rsidP="000A5389">
            <w:pPr>
              <w:spacing w:line="240" w:lineRule="auto"/>
              <w:rPr>
                <w:rFonts w:cs="Times New Roman"/>
                <w:sz w:val="16"/>
                <w:szCs w:val="16"/>
              </w:rPr>
            </w:pPr>
            <w:r w:rsidRPr="00725905">
              <w:rPr>
                <w:rFonts w:eastAsia="Times New Roman" w:cs="Times New Roman"/>
                <w:color w:val="000000" w:themeColor="text1"/>
                <w:sz w:val="16"/>
                <w:szCs w:val="16"/>
              </w:rPr>
              <w:t>2.3.14</w:t>
            </w:r>
          </w:p>
        </w:tc>
        <w:tc>
          <w:tcPr>
            <w:tcW w:w="276" w:type="pct"/>
            <w:tcMar>
              <w:top w:w="15" w:type="dxa"/>
              <w:left w:w="15" w:type="dxa"/>
              <w:right w:w="15" w:type="dxa"/>
            </w:tcMar>
            <w:vAlign w:val="center"/>
          </w:tcPr>
          <w:p w14:paraId="1A62C1D6" w14:textId="34B89211" w:rsidR="2803BD9E" w:rsidRPr="00725905" w:rsidRDefault="2803BD9E" w:rsidP="000A5389">
            <w:pPr>
              <w:spacing w:line="240" w:lineRule="auto"/>
              <w:jc w:val="center"/>
              <w:rPr>
                <w:rFonts w:cs="Times New Roman"/>
                <w:sz w:val="16"/>
                <w:szCs w:val="16"/>
              </w:rPr>
            </w:pPr>
            <w:r w:rsidRPr="00725905">
              <w:rPr>
                <w:rFonts w:eastAsia="Times New Roman" w:cs="Times New Roman"/>
                <w:color w:val="000000" w:themeColor="text1"/>
                <w:sz w:val="16"/>
                <w:szCs w:val="16"/>
              </w:rPr>
              <w:t>Cr</w:t>
            </w:r>
          </w:p>
        </w:tc>
        <w:tc>
          <w:tcPr>
            <w:tcW w:w="1585" w:type="pct"/>
            <w:shd w:val="clear" w:color="auto" w:fill="FFFFFF" w:themeFill="background1"/>
            <w:tcMar>
              <w:top w:w="15" w:type="dxa"/>
              <w:left w:w="15" w:type="dxa"/>
              <w:right w:w="15" w:type="dxa"/>
            </w:tcMar>
            <w:vAlign w:val="center"/>
          </w:tcPr>
          <w:p w14:paraId="7537B943" w14:textId="690832C0" w:rsidR="2803BD9E" w:rsidRPr="00725905" w:rsidRDefault="2803BD9E" w:rsidP="000A5389">
            <w:pPr>
              <w:spacing w:line="240" w:lineRule="auto"/>
              <w:rPr>
                <w:rFonts w:cs="Times New Roman"/>
                <w:sz w:val="16"/>
                <w:szCs w:val="16"/>
              </w:rPr>
            </w:pPr>
            <w:r w:rsidRPr="00725905">
              <w:rPr>
                <w:rFonts w:eastAsia="Times New Roman" w:cs="Times New Roman"/>
                <w:color w:val="000000" w:themeColor="text1"/>
                <w:sz w:val="16"/>
                <w:szCs w:val="16"/>
              </w:rPr>
              <w:t>Financiamiento interno de largo plazo</w:t>
            </w:r>
          </w:p>
        </w:tc>
        <w:tc>
          <w:tcPr>
            <w:tcW w:w="884" w:type="pct"/>
            <w:shd w:val="clear" w:color="auto" w:fill="FFFFFF" w:themeFill="background1"/>
            <w:tcMar>
              <w:top w:w="15" w:type="dxa"/>
              <w:left w:w="15" w:type="dxa"/>
              <w:right w:w="15" w:type="dxa"/>
            </w:tcMar>
            <w:vAlign w:val="bottom"/>
          </w:tcPr>
          <w:p w14:paraId="517F2A3C" w14:textId="5F52A92E" w:rsidR="2803BD9E" w:rsidRPr="00725905" w:rsidRDefault="2803BD9E" w:rsidP="000A5389">
            <w:pPr>
              <w:spacing w:line="240" w:lineRule="auto"/>
              <w:jc w:val="right"/>
              <w:rPr>
                <w:rFonts w:cs="Times New Roman"/>
                <w:sz w:val="16"/>
                <w:szCs w:val="16"/>
              </w:rPr>
            </w:pPr>
            <w:r w:rsidRPr="00725905">
              <w:rPr>
                <w:rFonts w:eastAsia="Times New Roman" w:cs="Times New Roman"/>
                <w:color w:val="000000" w:themeColor="text1"/>
                <w:sz w:val="16"/>
                <w:szCs w:val="16"/>
              </w:rPr>
              <w:t>23.693.640.888.693</w:t>
            </w:r>
          </w:p>
        </w:tc>
        <w:tc>
          <w:tcPr>
            <w:tcW w:w="1043" w:type="pct"/>
            <w:shd w:val="clear" w:color="auto" w:fill="FFFFFF" w:themeFill="background1"/>
            <w:tcMar>
              <w:top w:w="15" w:type="dxa"/>
              <w:left w:w="15" w:type="dxa"/>
              <w:right w:w="15" w:type="dxa"/>
            </w:tcMar>
            <w:vAlign w:val="bottom"/>
          </w:tcPr>
          <w:p w14:paraId="2DBA27C9" w14:textId="0FDC85C4" w:rsidR="2803BD9E" w:rsidRPr="00725905" w:rsidRDefault="2803BD9E" w:rsidP="000A5389">
            <w:pPr>
              <w:spacing w:line="240" w:lineRule="auto"/>
              <w:jc w:val="right"/>
              <w:rPr>
                <w:rFonts w:cs="Times New Roman"/>
                <w:sz w:val="16"/>
                <w:szCs w:val="16"/>
              </w:rPr>
            </w:pPr>
            <w:r w:rsidRPr="00725905">
              <w:rPr>
                <w:rFonts w:eastAsia="Times New Roman" w:cs="Times New Roman"/>
                <w:color w:val="000000" w:themeColor="text1"/>
                <w:sz w:val="16"/>
                <w:szCs w:val="16"/>
              </w:rPr>
              <w:t>24.416.759.359.</w:t>
            </w:r>
            <w:r w:rsidR="44E90400" w:rsidRPr="00725905">
              <w:rPr>
                <w:rFonts w:eastAsia="Times New Roman" w:cs="Times New Roman"/>
                <w:color w:val="000000" w:themeColor="text1"/>
                <w:sz w:val="16"/>
                <w:szCs w:val="16"/>
              </w:rPr>
              <w:t>57</w:t>
            </w:r>
            <w:r w:rsidR="2F823DF3" w:rsidRPr="00725905">
              <w:rPr>
                <w:rFonts w:eastAsia="Times New Roman" w:cs="Times New Roman"/>
                <w:color w:val="000000" w:themeColor="text1"/>
                <w:sz w:val="16"/>
                <w:szCs w:val="16"/>
              </w:rPr>
              <w:t>6</w:t>
            </w:r>
          </w:p>
        </w:tc>
        <w:tc>
          <w:tcPr>
            <w:tcW w:w="828" w:type="pct"/>
            <w:shd w:val="clear" w:color="auto" w:fill="FFFFFF" w:themeFill="background1"/>
            <w:tcMar>
              <w:top w:w="15" w:type="dxa"/>
              <w:left w:w="15" w:type="dxa"/>
              <w:right w:w="15" w:type="dxa"/>
            </w:tcMar>
            <w:vAlign w:val="bottom"/>
          </w:tcPr>
          <w:p w14:paraId="07145F17" w14:textId="1A48F6B3" w:rsidR="2803BD9E" w:rsidRPr="00725905" w:rsidRDefault="2803BD9E" w:rsidP="000A5389">
            <w:pPr>
              <w:spacing w:line="240" w:lineRule="auto"/>
              <w:jc w:val="right"/>
              <w:rPr>
                <w:rFonts w:cs="Times New Roman"/>
                <w:sz w:val="16"/>
                <w:szCs w:val="16"/>
              </w:rPr>
            </w:pPr>
            <w:r w:rsidRPr="00725905">
              <w:rPr>
                <w:rFonts w:eastAsia="Times New Roman" w:cs="Times New Roman"/>
                <w:color w:val="000000" w:themeColor="text1"/>
                <w:sz w:val="16"/>
                <w:szCs w:val="16"/>
              </w:rPr>
              <w:t>-723.118.470.884</w:t>
            </w:r>
          </w:p>
        </w:tc>
      </w:tr>
    </w:tbl>
    <w:p w14:paraId="51E0ACC9" w14:textId="69F8E2BF" w:rsidR="006C0211" w:rsidRPr="00951AB1" w:rsidRDefault="4049636D" w:rsidP="000A5389">
      <w:pPr>
        <w:spacing w:line="240" w:lineRule="auto"/>
        <w:rPr>
          <w:rFonts w:eastAsia="Times New Roman" w:cs="Times New Roman"/>
          <w:sz w:val="16"/>
          <w:szCs w:val="16"/>
          <w:lang w:eastAsia="es-CO"/>
        </w:rPr>
      </w:pPr>
      <w:r w:rsidRPr="00951AB1">
        <w:rPr>
          <w:rFonts w:eastAsia="Times New Roman" w:cs="Times New Roman"/>
          <w:sz w:val="16"/>
          <w:szCs w:val="16"/>
          <w:lang w:eastAsia="es-CO"/>
        </w:rPr>
        <w:t>Cifras en peso</w:t>
      </w:r>
      <w:r w:rsidR="2BB8B9F0" w:rsidRPr="00951AB1">
        <w:rPr>
          <w:rFonts w:eastAsia="Times New Roman" w:cs="Times New Roman"/>
          <w:sz w:val="16"/>
          <w:szCs w:val="16"/>
          <w:lang w:eastAsia="es-CO"/>
        </w:rPr>
        <w:t>s</w:t>
      </w:r>
    </w:p>
    <w:p w14:paraId="41018950" w14:textId="77777777" w:rsidR="00D776F5" w:rsidRPr="00951AB1" w:rsidRDefault="00D776F5" w:rsidP="000A5389">
      <w:pPr>
        <w:spacing w:line="240" w:lineRule="auto"/>
        <w:rPr>
          <w:rFonts w:cs="Times New Roman"/>
        </w:rPr>
      </w:pPr>
    </w:p>
    <w:p w14:paraId="13EF85A3" w14:textId="327D6E27" w:rsidR="00753F01" w:rsidRPr="00951AB1" w:rsidRDefault="00CA1EB9" w:rsidP="000A5389">
      <w:pPr>
        <w:pStyle w:val="Ttulo2"/>
        <w:numPr>
          <w:ilvl w:val="1"/>
          <w:numId w:val="56"/>
        </w:numPr>
        <w:spacing w:line="240" w:lineRule="auto"/>
        <w:rPr>
          <w:rFonts w:cs="Times New Roman"/>
          <w:szCs w:val="24"/>
          <w:u w:val="single"/>
        </w:rPr>
      </w:pPr>
      <w:bookmarkStart w:id="471" w:name="_Toc191369527"/>
      <w:bookmarkStart w:id="472" w:name="_Toc191456857"/>
      <w:bookmarkStart w:id="473" w:name="_Toc191456967"/>
      <w:bookmarkStart w:id="474" w:name="_Toc191457077"/>
      <w:bookmarkStart w:id="475" w:name="_Toc191475704"/>
      <w:bookmarkStart w:id="476" w:name="_Toc191475813"/>
      <w:bookmarkStart w:id="477" w:name="_Toc191475922"/>
      <w:bookmarkStart w:id="478" w:name="_Toc191475445"/>
      <w:bookmarkStart w:id="479" w:name="_Toc191505821"/>
      <w:bookmarkStart w:id="480" w:name="_Toc222824133"/>
      <w:r w:rsidRPr="00951AB1">
        <w:rPr>
          <w:rFonts w:cs="Times New Roman"/>
          <w:szCs w:val="22"/>
        </w:rPr>
        <w:t xml:space="preserve"> </w:t>
      </w:r>
      <w:r w:rsidRPr="00951AB1">
        <w:rPr>
          <w:rFonts w:cs="Times New Roman"/>
          <w:szCs w:val="22"/>
        </w:rPr>
        <w:tab/>
      </w:r>
      <w:bookmarkStart w:id="481" w:name="_Toc222955501"/>
      <w:r w:rsidR="00753F01" w:rsidRPr="00951AB1">
        <w:rPr>
          <w:rFonts w:cs="Times New Roman"/>
          <w:szCs w:val="22"/>
        </w:rPr>
        <w:t>Revelaciones Generales</w:t>
      </w:r>
      <w:bookmarkEnd w:id="471"/>
      <w:bookmarkEnd w:id="472"/>
      <w:bookmarkEnd w:id="473"/>
      <w:bookmarkEnd w:id="474"/>
      <w:bookmarkEnd w:id="475"/>
      <w:bookmarkEnd w:id="476"/>
      <w:bookmarkEnd w:id="477"/>
      <w:bookmarkEnd w:id="478"/>
      <w:bookmarkEnd w:id="479"/>
      <w:bookmarkEnd w:id="480"/>
      <w:bookmarkEnd w:id="481"/>
    </w:p>
    <w:p w14:paraId="66E68B9D" w14:textId="77777777" w:rsidR="00753F01" w:rsidRPr="00951AB1" w:rsidRDefault="00753F01" w:rsidP="000A5389">
      <w:pPr>
        <w:spacing w:line="240" w:lineRule="auto"/>
        <w:rPr>
          <w:rFonts w:cs="Times New Roman"/>
          <w:szCs w:val="24"/>
          <w:u w:val="single"/>
        </w:rPr>
      </w:pPr>
    </w:p>
    <w:p w14:paraId="1712BCBA" w14:textId="77777777" w:rsidR="001A5E55" w:rsidRPr="00951AB1" w:rsidRDefault="001A5E55" w:rsidP="000A5389">
      <w:pPr>
        <w:pStyle w:val="Default"/>
        <w:jc w:val="both"/>
        <w:rPr>
          <w:rFonts w:ascii="Times New Roman" w:hAnsi="Times New Roman" w:cs="Times New Roman"/>
        </w:rPr>
      </w:pPr>
      <w:r w:rsidRPr="00951AB1">
        <w:rPr>
          <w:rFonts w:ascii="Times New Roman" w:hAnsi="Times New Roman" w:cs="Times New Roman"/>
        </w:rPr>
        <w:t xml:space="preserve">Los préstamos por pagar, corresponden al financiamiento interno que la Nación reconoce como deuda pública a cargo de la Agencia Nacional de Infraestructura, surgidas en los contratos de concesión por concepto de garantías de ingresos mínimos garantizados, </w:t>
      </w:r>
      <w:r w:rsidRPr="00951AB1">
        <w:rPr>
          <w:rFonts w:ascii="Times New Roman" w:hAnsi="Times New Roman" w:cs="Times New Roman"/>
        </w:rPr>
        <w:lastRenderedPageBreak/>
        <w:t>sentencias y conciliaciones, reconocidas mediante emisión de bonos u otros títulos de deuda pública en los cuales media un acuerdo de pago en el que se establecen la forma y condiciones que la Agencia debe cumplir para el reintegro de las sumas reconocidas a través de los mecanismos de deuda pública. </w:t>
      </w:r>
    </w:p>
    <w:p w14:paraId="44DEE80A" w14:textId="77777777" w:rsidR="001A5E55" w:rsidRPr="00951AB1" w:rsidRDefault="001A5E55" w:rsidP="000A5389">
      <w:pPr>
        <w:pStyle w:val="Default"/>
        <w:jc w:val="both"/>
        <w:rPr>
          <w:rFonts w:ascii="Times New Roman" w:hAnsi="Times New Roman" w:cs="Times New Roman"/>
        </w:rPr>
      </w:pPr>
      <w:r w:rsidRPr="00951AB1">
        <w:rPr>
          <w:rFonts w:ascii="Times New Roman" w:hAnsi="Times New Roman" w:cs="Times New Roman"/>
        </w:rPr>
        <w:t> </w:t>
      </w:r>
    </w:p>
    <w:p w14:paraId="3A3F2F31" w14:textId="540D6583" w:rsidR="00E814BD" w:rsidRPr="00447BAC" w:rsidRDefault="001A5E55" w:rsidP="00447BAC">
      <w:pPr>
        <w:spacing w:line="240" w:lineRule="auto"/>
        <w:rPr>
          <w:rFonts w:eastAsia="Times New Roman" w:cs="Times New Roman"/>
          <w:color w:val="1F3864" w:themeColor="accent1" w:themeShade="80"/>
          <w:szCs w:val="24"/>
        </w:rPr>
      </w:pPr>
      <w:r w:rsidRPr="00951AB1">
        <w:rPr>
          <w:rFonts w:cs="Times New Roman"/>
          <w:szCs w:val="24"/>
        </w:rPr>
        <w:t>De igual forma, se reconoce los pasivos que la Agencia, en virtud de la Norma de Concesiones tiene como obligación incondicional de pagar al concesionario (con efectivo o con otro activo financiero) por la construcción, desarrollo, adquisición, mejora o rehabilitación de un activo en concesión, este pasivo financiero se clasificará como un préstamo por pagar y, posteriormente, se reconocerá el costo financiero asociado a dicho pasivo, a través de la tasa de interés implícita del acuerdo de concesión.  </w:t>
      </w:r>
    </w:p>
    <w:p w14:paraId="06C4BD5F" w14:textId="199B554A" w:rsidR="61C7535D" w:rsidRPr="00951AB1" w:rsidRDefault="61C7535D" w:rsidP="000A5389">
      <w:pPr>
        <w:pStyle w:val="Ttulo3"/>
        <w:numPr>
          <w:ilvl w:val="2"/>
          <w:numId w:val="56"/>
        </w:numPr>
        <w:spacing w:line="240" w:lineRule="auto"/>
        <w:rPr>
          <w:rFonts w:eastAsia="Times New Roman" w:cs="Times New Roman"/>
          <w:color w:val="1F3864" w:themeColor="accent1" w:themeShade="80"/>
        </w:rPr>
      </w:pPr>
      <w:bookmarkStart w:id="482" w:name="_Toc222824134"/>
      <w:bookmarkStart w:id="483" w:name="_Toc222955502"/>
      <w:r w:rsidRPr="00951AB1">
        <w:rPr>
          <w:rFonts w:eastAsia="Times New Roman" w:cs="Times New Roman"/>
          <w:color w:val="1F3864" w:themeColor="accent1" w:themeShade="80"/>
        </w:rPr>
        <w:t>Pasiv</w:t>
      </w:r>
      <w:r w:rsidR="6F1B3A17" w:rsidRPr="00951AB1">
        <w:rPr>
          <w:rFonts w:eastAsia="Times New Roman" w:cs="Times New Roman"/>
          <w:color w:val="1F3864" w:themeColor="accent1" w:themeShade="80"/>
        </w:rPr>
        <w:t>o</w:t>
      </w:r>
      <w:r w:rsidRPr="00951AB1">
        <w:rPr>
          <w:rFonts w:eastAsia="Times New Roman" w:cs="Times New Roman"/>
          <w:color w:val="1F3864" w:themeColor="accent1" w:themeShade="80"/>
        </w:rPr>
        <w:t xml:space="preserve"> Financiero por acuerdo d</w:t>
      </w:r>
      <w:r w:rsidR="40047441" w:rsidRPr="00951AB1">
        <w:rPr>
          <w:rFonts w:eastAsia="Times New Roman" w:cs="Times New Roman"/>
          <w:color w:val="1F3864" w:themeColor="accent1" w:themeShade="80"/>
        </w:rPr>
        <w:t>e concesión</w:t>
      </w:r>
      <w:bookmarkEnd w:id="482"/>
      <w:bookmarkEnd w:id="483"/>
    </w:p>
    <w:p w14:paraId="30F0D3B1" w14:textId="77777777" w:rsidR="00FA3856" w:rsidRDefault="00FA3856" w:rsidP="000A5389">
      <w:pPr>
        <w:spacing w:line="240" w:lineRule="auto"/>
        <w:rPr>
          <w:rFonts w:eastAsia="Times New Roman" w:cs="Times New Roman"/>
          <w:szCs w:val="24"/>
        </w:rPr>
      </w:pPr>
    </w:p>
    <w:p w14:paraId="4340B375" w14:textId="0F9DB9E2" w:rsidR="00B44D10" w:rsidRPr="00951AB1" w:rsidRDefault="00B44D10" w:rsidP="000A5389">
      <w:pPr>
        <w:spacing w:line="240" w:lineRule="auto"/>
        <w:rPr>
          <w:rFonts w:eastAsia="Times New Roman" w:cs="Times New Roman"/>
          <w:szCs w:val="24"/>
        </w:rPr>
      </w:pPr>
      <w:r w:rsidRPr="00951AB1">
        <w:rPr>
          <w:rFonts w:eastAsia="Times New Roman" w:cs="Times New Roman"/>
          <w:szCs w:val="24"/>
        </w:rPr>
        <w:t xml:space="preserve">Los préstamos por pagar de la Agencia Nacional de Infraestructura pertenecen al rubro Financiamiento Interno de Largo Plazo que se encuentra conformado de la siguiente manera: </w:t>
      </w:r>
    </w:p>
    <w:p w14:paraId="33AEA3E1" w14:textId="77777777" w:rsidR="00B44D10" w:rsidRPr="00951AB1" w:rsidRDefault="00B44D10" w:rsidP="000A5389">
      <w:pPr>
        <w:spacing w:line="240" w:lineRule="auto"/>
        <w:rPr>
          <w:rFonts w:cs="Times New Roman"/>
        </w:rPr>
      </w:pPr>
    </w:p>
    <w:tbl>
      <w:tblPr>
        <w:tblW w:w="5056" w:type="pct"/>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CellMar>
          <w:left w:w="70" w:type="dxa"/>
          <w:right w:w="70" w:type="dxa"/>
        </w:tblCellMar>
        <w:tblLook w:val="04A0" w:firstRow="1" w:lastRow="0" w:firstColumn="1" w:lastColumn="0" w:noHBand="0" w:noVBand="1"/>
      </w:tblPr>
      <w:tblGrid>
        <w:gridCol w:w="1695"/>
        <w:gridCol w:w="701"/>
        <w:gridCol w:w="709"/>
        <w:gridCol w:w="1566"/>
        <w:gridCol w:w="570"/>
        <w:gridCol w:w="570"/>
        <w:gridCol w:w="425"/>
        <w:gridCol w:w="425"/>
        <w:gridCol w:w="425"/>
        <w:gridCol w:w="568"/>
        <w:gridCol w:w="716"/>
        <w:gridCol w:w="557"/>
      </w:tblGrid>
      <w:tr w:rsidR="002835F1" w:rsidRPr="009615A8" w14:paraId="545788A2" w14:textId="77777777" w:rsidTr="00725905">
        <w:trPr>
          <w:trHeight w:val="285"/>
        </w:trPr>
        <w:tc>
          <w:tcPr>
            <w:tcW w:w="2617" w:type="pct"/>
            <w:gridSpan w:val="4"/>
            <w:vMerge w:val="restart"/>
            <w:shd w:val="clear" w:color="000000" w:fill="FFFFFF"/>
            <w:vAlign w:val="center"/>
            <w:hideMark/>
          </w:tcPr>
          <w:p w14:paraId="2C95EBC7" w14:textId="77777777" w:rsidR="001A5E55" w:rsidRPr="009615A8" w:rsidRDefault="001A5E55" w:rsidP="000A5389">
            <w:pPr>
              <w:spacing w:line="240" w:lineRule="auto"/>
              <w:jc w:val="center"/>
              <w:rPr>
                <w:rFonts w:eastAsia="Times New Roman" w:cs="Times New Roman"/>
                <w:b/>
                <w:bCs/>
                <w:color w:val="000000"/>
                <w:kern w:val="0"/>
                <w:sz w:val="14"/>
                <w:szCs w:val="14"/>
                <w:lang w:eastAsia="es-CO"/>
                <w14:ligatures w14:val="none"/>
              </w:rPr>
            </w:pPr>
            <w:r w:rsidRPr="009615A8">
              <w:rPr>
                <w:rFonts w:eastAsia="Times New Roman" w:cs="Times New Roman"/>
                <w:b/>
                <w:bCs/>
                <w:color w:val="000000"/>
                <w:kern w:val="0"/>
                <w:sz w:val="14"/>
                <w:szCs w:val="14"/>
                <w:lang w:eastAsia="es-CO"/>
                <w14:ligatures w14:val="none"/>
              </w:rPr>
              <w:t>ASOCIACIÓN DE DATOS</w:t>
            </w:r>
          </w:p>
        </w:tc>
        <w:tc>
          <w:tcPr>
            <w:tcW w:w="2383" w:type="pct"/>
            <w:gridSpan w:val="8"/>
            <w:shd w:val="clear" w:color="000000" w:fill="FFFFFF"/>
            <w:vAlign w:val="center"/>
            <w:hideMark/>
          </w:tcPr>
          <w:p w14:paraId="0E830B5C" w14:textId="77777777" w:rsidR="001A5E55" w:rsidRPr="009615A8" w:rsidRDefault="001A5E55" w:rsidP="000A5389">
            <w:pPr>
              <w:spacing w:line="240" w:lineRule="auto"/>
              <w:jc w:val="center"/>
              <w:rPr>
                <w:rFonts w:eastAsia="Times New Roman" w:cs="Times New Roman"/>
                <w:b/>
                <w:bCs/>
                <w:color w:val="000000"/>
                <w:kern w:val="0"/>
                <w:sz w:val="14"/>
                <w:szCs w:val="14"/>
                <w:lang w:eastAsia="es-CO"/>
                <w14:ligatures w14:val="none"/>
              </w:rPr>
            </w:pPr>
            <w:r w:rsidRPr="009615A8">
              <w:rPr>
                <w:rFonts w:eastAsia="Times New Roman" w:cs="Times New Roman"/>
                <w:b/>
                <w:bCs/>
                <w:color w:val="000000"/>
                <w:kern w:val="0"/>
                <w:sz w:val="14"/>
                <w:szCs w:val="14"/>
                <w:lang w:eastAsia="es-CO"/>
                <w14:ligatures w14:val="none"/>
              </w:rPr>
              <w:t>DETALLES DE LA TRANSACCIÓN (reporte agrupado por datos comunes de asociación)</w:t>
            </w:r>
          </w:p>
        </w:tc>
      </w:tr>
      <w:tr w:rsidR="00B44D10" w:rsidRPr="009615A8" w14:paraId="1A5F042C" w14:textId="77777777" w:rsidTr="00725905">
        <w:trPr>
          <w:trHeight w:val="470"/>
        </w:trPr>
        <w:tc>
          <w:tcPr>
            <w:tcW w:w="2617" w:type="pct"/>
            <w:gridSpan w:val="4"/>
            <w:vMerge/>
            <w:vAlign w:val="center"/>
            <w:hideMark/>
          </w:tcPr>
          <w:p w14:paraId="3D21A23E" w14:textId="77777777" w:rsidR="002835F1" w:rsidRPr="009615A8" w:rsidRDefault="002835F1" w:rsidP="000A5389">
            <w:pPr>
              <w:spacing w:line="240" w:lineRule="auto"/>
              <w:rPr>
                <w:rFonts w:eastAsia="Times New Roman" w:cs="Times New Roman"/>
                <w:b/>
                <w:bCs/>
                <w:color w:val="000000"/>
                <w:kern w:val="0"/>
                <w:sz w:val="14"/>
                <w:szCs w:val="14"/>
                <w:lang w:eastAsia="es-CO"/>
                <w14:ligatures w14:val="none"/>
              </w:rPr>
            </w:pPr>
          </w:p>
        </w:tc>
        <w:tc>
          <w:tcPr>
            <w:tcW w:w="637" w:type="pct"/>
            <w:gridSpan w:val="2"/>
            <w:shd w:val="clear" w:color="000000" w:fill="FFFFFF"/>
            <w:vAlign w:val="center"/>
            <w:hideMark/>
          </w:tcPr>
          <w:p w14:paraId="4E59F3DF" w14:textId="77777777" w:rsidR="002835F1" w:rsidRPr="009615A8" w:rsidRDefault="002835F1" w:rsidP="000A5389">
            <w:pPr>
              <w:spacing w:line="240" w:lineRule="auto"/>
              <w:jc w:val="center"/>
              <w:rPr>
                <w:rFonts w:eastAsia="Times New Roman" w:cs="Times New Roman"/>
                <w:b/>
                <w:bCs/>
                <w:color w:val="000000"/>
                <w:kern w:val="0"/>
                <w:sz w:val="14"/>
                <w:szCs w:val="14"/>
                <w:lang w:eastAsia="es-CO"/>
                <w14:ligatures w14:val="none"/>
              </w:rPr>
            </w:pPr>
            <w:r w:rsidRPr="009615A8">
              <w:rPr>
                <w:rFonts w:eastAsia="Times New Roman" w:cs="Times New Roman"/>
                <w:b/>
                <w:bCs/>
                <w:color w:val="000000"/>
                <w:kern w:val="0"/>
                <w:sz w:val="14"/>
                <w:szCs w:val="14"/>
                <w:lang w:eastAsia="es-CO"/>
                <w14:ligatures w14:val="none"/>
              </w:rPr>
              <w:t>PLAZO</w:t>
            </w:r>
          </w:p>
        </w:tc>
        <w:tc>
          <w:tcPr>
            <w:tcW w:w="238" w:type="pct"/>
            <w:vMerge w:val="restart"/>
            <w:shd w:val="clear" w:color="000000" w:fill="FFFFFF"/>
            <w:textDirection w:val="btLr"/>
            <w:vAlign w:val="center"/>
            <w:hideMark/>
          </w:tcPr>
          <w:p w14:paraId="6BED998F" w14:textId="77777777" w:rsidR="002835F1" w:rsidRPr="009615A8" w:rsidRDefault="002835F1" w:rsidP="000A5389">
            <w:pPr>
              <w:spacing w:line="240" w:lineRule="auto"/>
              <w:ind w:left="113" w:right="113"/>
              <w:jc w:val="center"/>
              <w:rPr>
                <w:rFonts w:eastAsia="Times New Roman" w:cs="Times New Roman"/>
                <w:b/>
                <w:bCs/>
                <w:color w:val="000000"/>
                <w:kern w:val="0"/>
                <w:sz w:val="14"/>
                <w:szCs w:val="14"/>
                <w:lang w:eastAsia="es-CO"/>
                <w14:ligatures w14:val="none"/>
              </w:rPr>
            </w:pPr>
            <w:r w:rsidRPr="009615A8">
              <w:rPr>
                <w:rFonts w:eastAsia="Times New Roman" w:cs="Times New Roman"/>
                <w:b/>
                <w:bCs/>
                <w:color w:val="000000"/>
                <w:kern w:val="0"/>
                <w:sz w:val="14"/>
                <w:szCs w:val="14"/>
                <w:lang w:eastAsia="es-CO"/>
                <w14:ligatures w14:val="none"/>
              </w:rPr>
              <w:t>RESTRICCIONES</w:t>
            </w:r>
          </w:p>
        </w:tc>
        <w:tc>
          <w:tcPr>
            <w:tcW w:w="238" w:type="pct"/>
            <w:vMerge w:val="restart"/>
            <w:shd w:val="clear" w:color="000000" w:fill="FFFFFF"/>
            <w:textDirection w:val="btLr"/>
            <w:vAlign w:val="center"/>
            <w:hideMark/>
          </w:tcPr>
          <w:p w14:paraId="7F93F091" w14:textId="77777777" w:rsidR="002835F1" w:rsidRPr="009615A8" w:rsidRDefault="002835F1" w:rsidP="000A5389">
            <w:pPr>
              <w:spacing w:line="240" w:lineRule="auto"/>
              <w:ind w:left="113" w:right="113"/>
              <w:jc w:val="center"/>
              <w:rPr>
                <w:rFonts w:eastAsia="Times New Roman" w:cs="Times New Roman"/>
                <w:b/>
                <w:bCs/>
                <w:color w:val="000000"/>
                <w:kern w:val="0"/>
                <w:sz w:val="14"/>
                <w:szCs w:val="14"/>
                <w:lang w:eastAsia="es-CO"/>
                <w14:ligatures w14:val="none"/>
              </w:rPr>
            </w:pPr>
            <w:r w:rsidRPr="009615A8">
              <w:rPr>
                <w:rFonts w:eastAsia="Times New Roman" w:cs="Times New Roman"/>
                <w:b/>
                <w:bCs/>
                <w:color w:val="000000"/>
                <w:kern w:val="0"/>
                <w:sz w:val="14"/>
                <w:szCs w:val="14"/>
                <w:lang w:eastAsia="es-CO"/>
                <w14:ligatures w14:val="none"/>
              </w:rPr>
              <w:t>TASA DE NEGOCIACIÓN</w:t>
            </w:r>
          </w:p>
          <w:p w14:paraId="6980D7D8" w14:textId="77777777" w:rsidR="002835F1" w:rsidRPr="009615A8" w:rsidRDefault="002835F1" w:rsidP="000A5389">
            <w:pPr>
              <w:spacing w:line="240" w:lineRule="auto"/>
              <w:ind w:left="113" w:right="113"/>
              <w:jc w:val="center"/>
              <w:rPr>
                <w:rFonts w:eastAsia="Times New Roman" w:cs="Times New Roman"/>
                <w:b/>
                <w:bCs/>
                <w:color w:val="000000"/>
                <w:kern w:val="0"/>
                <w:sz w:val="14"/>
                <w:szCs w:val="14"/>
                <w:lang w:eastAsia="es-CO"/>
                <w14:ligatures w14:val="none"/>
              </w:rPr>
            </w:pPr>
            <w:r w:rsidRPr="009615A8">
              <w:rPr>
                <w:rFonts w:eastAsia="Times New Roman" w:cs="Times New Roman"/>
                <w:b/>
                <w:bCs/>
                <w:color w:val="000000"/>
                <w:kern w:val="0"/>
                <w:sz w:val="14"/>
                <w:szCs w:val="14"/>
                <w:lang w:eastAsia="es-CO"/>
                <w14:ligatures w14:val="none"/>
              </w:rPr>
              <w:t>(%)</w:t>
            </w:r>
          </w:p>
          <w:p w14:paraId="15290434" w14:textId="60FDD158" w:rsidR="002835F1" w:rsidRPr="009615A8" w:rsidRDefault="002835F1" w:rsidP="000A5389">
            <w:pPr>
              <w:spacing w:line="240" w:lineRule="auto"/>
              <w:ind w:left="113" w:right="113"/>
              <w:jc w:val="center"/>
              <w:rPr>
                <w:rFonts w:eastAsia="Times New Roman" w:cs="Times New Roman"/>
                <w:b/>
                <w:bCs/>
                <w:color w:val="000000"/>
                <w:kern w:val="0"/>
                <w:sz w:val="14"/>
                <w:szCs w:val="14"/>
                <w:lang w:eastAsia="es-CO"/>
                <w14:ligatures w14:val="none"/>
              </w:rPr>
            </w:pPr>
          </w:p>
        </w:tc>
        <w:tc>
          <w:tcPr>
            <w:tcW w:w="238" w:type="pct"/>
            <w:vMerge w:val="restart"/>
            <w:shd w:val="clear" w:color="000000" w:fill="FFFFFF"/>
            <w:textDirection w:val="btLr"/>
            <w:vAlign w:val="center"/>
            <w:hideMark/>
          </w:tcPr>
          <w:p w14:paraId="2898C12C" w14:textId="77777777" w:rsidR="002835F1" w:rsidRPr="009615A8" w:rsidRDefault="002835F1" w:rsidP="000A5389">
            <w:pPr>
              <w:spacing w:line="240" w:lineRule="auto"/>
              <w:ind w:left="113" w:right="113"/>
              <w:jc w:val="center"/>
              <w:rPr>
                <w:rFonts w:eastAsia="Times New Roman" w:cs="Times New Roman"/>
                <w:b/>
                <w:bCs/>
                <w:color w:val="000000"/>
                <w:kern w:val="0"/>
                <w:sz w:val="14"/>
                <w:szCs w:val="14"/>
                <w:lang w:eastAsia="es-CO"/>
                <w14:ligatures w14:val="none"/>
              </w:rPr>
            </w:pPr>
            <w:r w:rsidRPr="009615A8">
              <w:rPr>
                <w:rFonts w:eastAsia="Times New Roman" w:cs="Times New Roman"/>
                <w:b/>
                <w:bCs/>
                <w:color w:val="000000"/>
                <w:kern w:val="0"/>
                <w:sz w:val="14"/>
                <w:szCs w:val="14"/>
                <w:lang w:eastAsia="es-CO"/>
                <w14:ligatures w14:val="none"/>
              </w:rPr>
              <w:t>TASA EFECTIVA ANUAL</w:t>
            </w:r>
          </w:p>
          <w:p w14:paraId="073788D5" w14:textId="77777777" w:rsidR="002835F1" w:rsidRPr="009615A8" w:rsidRDefault="002835F1" w:rsidP="000A5389">
            <w:pPr>
              <w:spacing w:line="240" w:lineRule="auto"/>
              <w:ind w:left="113" w:right="113"/>
              <w:jc w:val="center"/>
              <w:rPr>
                <w:rFonts w:eastAsia="Times New Roman" w:cs="Times New Roman"/>
                <w:b/>
                <w:bCs/>
                <w:color w:val="000000"/>
                <w:kern w:val="0"/>
                <w:sz w:val="14"/>
                <w:szCs w:val="14"/>
                <w:lang w:eastAsia="es-CO"/>
                <w14:ligatures w14:val="none"/>
              </w:rPr>
            </w:pPr>
            <w:r w:rsidRPr="009615A8">
              <w:rPr>
                <w:rFonts w:eastAsia="Times New Roman" w:cs="Times New Roman"/>
                <w:b/>
                <w:bCs/>
                <w:color w:val="000000"/>
                <w:kern w:val="0"/>
                <w:sz w:val="14"/>
                <w:szCs w:val="14"/>
                <w:lang w:eastAsia="es-CO"/>
                <w14:ligatures w14:val="none"/>
              </w:rPr>
              <w:t>(% E.A.)</w:t>
            </w:r>
          </w:p>
          <w:p w14:paraId="6192FF1A" w14:textId="788910AB" w:rsidR="002835F1" w:rsidRPr="009615A8" w:rsidRDefault="002835F1" w:rsidP="000A5389">
            <w:pPr>
              <w:spacing w:line="240" w:lineRule="auto"/>
              <w:ind w:left="113" w:right="113"/>
              <w:jc w:val="center"/>
              <w:rPr>
                <w:rFonts w:eastAsia="Times New Roman" w:cs="Times New Roman"/>
                <w:b/>
                <w:bCs/>
                <w:color w:val="000000"/>
                <w:kern w:val="0"/>
                <w:sz w:val="14"/>
                <w:szCs w:val="14"/>
                <w:lang w:eastAsia="es-CO"/>
                <w14:ligatures w14:val="none"/>
              </w:rPr>
            </w:pPr>
            <w:r w:rsidRPr="009615A8">
              <w:rPr>
                <w:rFonts w:eastAsia="Times New Roman" w:cs="Times New Roman"/>
                <w:b/>
                <w:bCs/>
                <w:color w:val="000000"/>
                <w:kern w:val="0"/>
                <w:sz w:val="14"/>
                <w:szCs w:val="14"/>
                <w:lang w:eastAsia="es-CO"/>
                <w14:ligatures w14:val="none"/>
              </w:rPr>
              <w:t> </w:t>
            </w:r>
          </w:p>
        </w:tc>
        <w:tc>
          <w:tcPr>
            <w:tcW w:w="318" w:type="pct"/>
            <w:vMerge w:val="restart"/>
            <w:shd w:val="clear" w:color="000000" w:fill="FFFFFF"/>
            <w:textDirection w:val="btLr"/>
            <w:vAlign w:val="center"/>
            <w:hideMark/>
          </w:tcPr>
          <w:p w14:paraId="5F517BD5" w14:textId="77777777" w:rsidR="002835F1" w:rsidRPr="009615A8" w:rsidRDefault="002835F1" w:rsidP="000A5389">
            <w:pPr>
              <w:spacing w:line="240" w:lineRule="auto"/>
              <w:ind w:left="113" w:right="113"/>
              <w:jc w:val="center"/>
              <w:rPr>
                <w:rFonts w:eastAsia="Times New Roman" w:cs="Times New Roman"/>
                <w:b/>
                <w:bCs/>
                <w:color w:val="000000"/>
                <w:kern w:val="0"/>
                <w:sz w:val="14"/>
                <w:szCs w:val="14"/>
                <w:lang w:eastAsia="es-CO"/>
                <w14:ligatures w14:val="none"/>
              </w:rPr>
            </w:pPr>
            <w:r w:rsidRPr="009615A8">
              <w:rPr>
                <w:rFonts w:eastAsia="Times New Roman" w:cs="Times New Roman"/>
                <w:b/>
                <w:bCs/>
                <w:color w:val="000000"/>
                <w:kern w:val="0"/>
                <w:sz w:val="14"/>
                <w:szCs w:val="14"/>
                <w:lang w:eastAsia="es-CO"/>
                <w14:ligatures w14:val="none"/>
              </w:rPr>
              <w:t>CRITERIOS PARA DETERMINACIÓN DE LA TASA</w:t>
            </w:r>
          </w:p>
        </w:tc>
        <w:tc>
          <w:tcPr>
            <w:tcW w:w="401" w:type="pct"/>
            <w:vMerge w:val="restart"/>
            <w:shd w:val="clear" w:color="000000" w:fill="FFFFFF"/>
            <w:textDirection w:val="btLr"/>
            <w:vAlign w:val="center"/>
            <w:hideMark/>
          </w:tcPr>
          <w:p w14:paraId="5535013B" w14:textId="77777777" w:rsidR="002835F1" w:rsidRPr="009615A8" w:rsidRDefault="002835F1" w:rsidP="000A5389">
            <w:pPr>
              <w:spacing w:line="240" w:lineRule="auto"/>
              <w:ind w:left="113" w:right="113"/>
              <w:jc w:val="center"/>
              <w:rPr>
                <w:rFonts w:eastAsia="Times New Roman" w:cs="Times New Roman"/>
                <w:b/>
                <w:bCs/>
                <w:color w:val="000000"/>
                <w:kern w:val="0"/>
                <w:sz w:val="14"/>
                <w:szCs w:val="14"/>
                <w:lang w:eastAsia="es-CO"/>
                <w14:ligatures w14:val="none"/>
              </w:rPr>
            </w:pPr>
            <w:r w:rsidRPr="009615A8">
              <w:rPr>
                <w:rFonts w:eastAsia="Times New Roman" w:cs="Times New Roman"/>
                <w:b/>
                <w:bCs/>
                <w:color w:val="000000"/>
                <w:kern w:val="0"/>
                <w:sz w:val="14"/>
                <w:szCs w:val="14"/>
                <w:lang w:eastAsia="es-CO"/>
                <w14:ligatures w14:val="none"/>
              </w:rPr>
              <w:t>GASTOS POR INTERESES</w:t>
            </w:r>
          </w:p>
          <w:p w14:paraId="6D7D0FC5" w14:textId="77777777" w:rsidR="002835F1" w:rsidRPr="009615A8" w:rsidRDefault="002835F1" w:rsidP="000A5389">
            <w:pPr>
              <w:spacing w:line="240" w:lineRule="auto"/>
              <w:ind w:left="113" w:right="113"/>
              <w:jc w:val="center"/>
              <w:rPr>
                <w:rFonts w:eastAsia="Times New Roman" w:cs="Times New Roman"/>
                <w:b/>
                <w:bCs/>
                <w:color w:val="000000"/>
                <w:kern w:val="0"/>
                <w:sz w:val="14"/>
                <w:szCs w:val="14"/>
                <w:lang w:eastAsia="es-CO"/>
                <w14:ligatures w14:val="none"/>
              </w:rPr>
            </w:pPr>
            <w:r w:rsidRPr="009615A8">
              <w:rPr>
                <w:rFonts w:eastAsia="Times New Roman" w:cs="Times New Roman"/>
                <w:b/>
                <w:bCs/>
                <w:color w:val="000000"/>
                <w:kern w:val="0"/>
                <w:sz w:val="14"/>
                <w:szCs w:val="14"/>
                <w:lang w:eastAsia="es-CO"/>
                <w14:ligatures w14:val="none"/>
              </w:rPr>
              <w:t>(Calculo sobre % E.A.)</w:t>
            </w:r>
          </w:p>
          <w:p w14:paraId="54089017" w14:textId="71D2E283" w:rsidR="002835F1" w:rsidRPr="009615A8" w:rsidRDefault="002835F1" w:rsidP="000A5389">
            <w:pPr>
              <w:spacing w:line="240" w:lineRule="auto"/>
              <w:ind w:left="113" w:right="113"/>
              <w:jc w:val="center"/>
              <w:rPr>
                <w:rFonts w:eastAsia="Times New Roman" w:cs="Times New Roman"/>
                <w:b/>
                <w:bCs/>
                <w:color w:val="000000"/>
                <w:kern w:val="0"/>
                <w:sz w:val="14"/>
                <w:szCs w:val="14"/>
                <w:lang w:eastAsia="es-CO"/>
                <w14:ligatures w14:val="none"/>
              </w:rPr>
            </w:pPr>
            <w:r w:rsidRPr="009615A8">
              <w:rPr>
                <w:rFonts w:eastAsia="Times New Roman" w:cs="Times New Roman"/>
                <w:b/>
                <w:bCs/>
                <w:color w:val="000000"/>
                <w:kern w:val="0"/>
                <w:sz w:val="14"/>
                <w:szCs w:val="14"/>
                <w:lang w:eastAsia="es-CO"/>
                <w14:ligatures w14:val="none"/>
              </w:rPr>
              <w:t> </w:t>
            </w:r>
          </w:p>
        </w:tc>
        <w:tc>
          <w:tcPr>
            <w:tcW w:w="315" w:type="pct"/>
            <w:vMerge w:val="restart"/>
            <w:shd w:val="clear" w:color="000000" w:fill="FFFFFF"/>
            <w:textDirection w:val="btLr"/>
            <w:vAlign w:val="center"/>
            <w:hideMark/>
          </w:tcPr>
          <w:p w14:paraId="678CA9E7" w14:textId="57087930" w:rsidR="002835F1" w:rsidRPr="009615A8" w:rsidRDefault="002835F1" w:rsidP="000A5389">
            <w:pPr>
              <w:spacing w:line="240" w:lineRule="auto"/>
              <w:ind w:left="113" w:right="113"/>
              <w:jc w:val="center"/>
              <w:rPr>
                <w:rFonts w:eastAsia="Times New Roman" w:cs="Times New Roman"/>
                <w:b/>
                <w:bCs/>
                <w:color w:val="000000"/>
                <w:kern w:val="0"/>
                <w:sz w:val="14"/>
                <w:szCs w:val="14"/>
                <w:lang w:eastAsia="es-CO"/>
                <w14:ligatures w14:val="none"/>
              </w:rPr>
            </w:pPr>
            <w:r w:rsidRPr="009615A8">
              <w:rPr>
                <w:rFonts w:eastAsia="Times New Roman" w:cs="Times New Roman"/>
                <w:b/>
                <w:bCs/>
                <w:color w:val="000000"/>
                <w:kern w:val="0"/>
                <w:sz w:val="14"/>
                <w:szCs w:val="14"/>
                <w:lang w:eastAsia="es-CO"/>
                <w14:ligatures w14:val="none"/>
              </w:rPr>
              <w:t>COSTOS DE TRANSACCIÓN </w:t>
            </w:r>
          </w:p>
        </w:tc>
      </w:tr>
      <w:tr w:rsidR="00B44D10" w:rsidRPr="009615A8" w14:paraId="50B21DA0" w14:textId="77777777" w:rsidTr="00725905">
        <w:trPr>
          <w:trHeight w:val="450"/>
        </w:trPr>
        <w:tc>
          <w:tcPr>
            <w:tcW w:w="2617" w:type="pct"/>
            <w:gridSpan w:val="4"/>
            <w:vMerge/>
            <w:vAlign w:val="center"/>
            <w:hideMark/>
          </w:tcPr>
          <w:p w14:paraId="4A2FCC1F" w14:textId="77777777" w:rsidR="002835F1" w:rsidRPr="009615A8" w:rsidRDefault="002835F1" w:rsidP="000A5389">
            <w:pPr>
              <w:spacing w:line="240" w:lineRule="auto"/>
              <w:rPr>
                <w:rFonts w:eastAsia="Times New Roman" w:cs="Times New Roman"/>
                <w:b/>
                <w:bCs/>
                <w:color w:val="000000"/>
                <w:kern w:val="0"/>
                <w:sz w:val="14"/>
                <w:szCs w:val="14"/>
                <w:lang w:eastAsia="es-CO"/>
                <w14:ligatures w14:val="none"/>
              </w:rPr>
            </w:pPr>
          </w:p>
        </w:tc>
        <w:tc>
          <w:tcPr>
            <w:tcW w:w="637" w:type="pct"/>
            <w:gridSpan w:val="2"/>
            <w:shd w:val="clear" w:color="000000" w:fill="FFFFFF"/>
            <w:vAlign w:val="center"/>
            <w:hideMark/>
          </w:tcPr>
          <w:p w14:paraId="26B6ADAF" w14:textId="77777777" w:rsidR="002835F1" w:rsidRPr="009615A8" w:rsidRDefault="002835F1" w:rsidP="000A5389">
            <w:pPr>
              <w:spacing w:line="240" w:lineRule="auto"/>
              <w:jc w:val="center"/>
              <w:rPr>
                <w:rFonts w:eastAsia="Times New Roman" w:cs="Times New Roman"/>
                <w:b/>
                <w:bCs/>
                <w:color w:val="000000"/>
                <w:kern w:val="0"/>
                <w:sz w:val="14"/>
                <w:szCs w:val="14"/>
                <w:lang w:eastAsia="es-CO"/>
                <w14:ligatures w14:val="none"/>
              </w:rPr>
            </w:pPr>
            <w:r w:rsidRPr="009615A8">
              <w:rPr>
                <w:rFonts w:eastAsia="Times New Roman" w:cs="Times New Roman"/>
                <w:b/>
                <w:bCs/>
                <w:color w:val="000000"/>
                <w:kern w:val="0"/>
                <w:sz w:val="14"/>
                <w:szCs w:val="14"/>
                <w:lang w:eastAsia="es-CO"/>
                <w14:ligatures w14:val="none"/>
              </w:rPr>
              <w:t>(rango en # meses)</w:t>
            </w:r>
          </w:p>
        </w:tc>
        <w:tc>
          <w:tcPr>
            <w:tcW w:w="238" w:type="pct"/>
            <w:vMerge/>
            <w:textDirection w:val="btLr"/>
            <w:vAlign w:val="center"/>
            <w:hideMark/>
          </w:tcPr>
          <w:p w14:paraId="4931E60B" w14:textId="77777777" w:rsidR="002835F1" w:rsidRPr="009615A8" w:rsidRDefault="002835F1" w:rsidP="000A5389">
            <w:pPr>
              <w:spacing w:line="240" w:lineRule="auto"/>
              <w:ind w:left="113" w:right="113"/>
              <w:rPr>
                <w:rFonts w:eastAsia="Times New Roman" w:cs="Times New Roman"/>
                <w:b/>
                <w:bCs/>
                <w:color w:val="000000"/>
                <w:kern w:val="0"/>
                <w:sz w:val="14"/>
                <w:szCs w:val="14"/>
                <w:lang w:eastAsia="es-CO"/>
                <w14:ligatures w14:val="none"/>
              </w:rPr>
            </w:pPr>
          </w:p>
        </w:tc>
        <w:tc>
          <w:tcPr>
            <w:tcW w:w="238" w:type="pct"/>
            <w:vMerge/>
            <w:shd w:val="clear" w:color="000000" w:fill="FFFFFF"/>
            <w:textDirection w:val="btLr"/>
            <w:vAlign w:val="center"/>
            <w:hideMark/>
          </w:tcPr>
          <w:p w14:paraId="1A531B2D" w14:textId="65605039" w:rsidR="002835F1" w:rsidRPr="009615A8" w:rsidRDefault="002835F1" w:rsidP="000A5389">
            <w:pPr>
              <w:spacing w:line="240" w:lineRule="auto"/>
              <w:ind w:left="113" w:right="113"/>
              <w:jc w:val="center"/>
              <w:rPr>
                <w:rFonts w:eastAsia="Times New Roman" w:cs="Times New Roman"/>
                <w:b/>
                <w:bCs/>
                <w:color w:val="000000"/>
                <w:kern w:val="0"/>
                <w:sz w:val="14"/>
                <w:szCs w:val="14"/>
                <w:lang w:eastAsia="es-CO"/>
                <w14:ligatures w14:val="none"/>
              </w:rPr>
            </w:pPr>
          </w:p>
        </w:tc>
        <w:tc>
          <w:tcPr>
            <w:tcW w:w="238" w:type="pct"/>
            <w:vMerge/>
            <w:shd w:val="clear" w:color="000000" w:fill="FFFFFF"/>
            <w:textDirection w:val="btLr"/>
            <w:vAlign w:val="center"/>
            <w:hideMark/>
          </w:tcPr>
          <w:p w14:paraId="01464566" w14:textId="56F77C8A" w:rsidR="002835F1" w:rsidRPr="009615A8" w:rsidRDefault="002835F1" w:rsidP="000A5389">
            <w:pPr>
              <w:spacing w:line="240" w:lineRule="auto"/>
              <w:ind w:left="113" w:right="113"/>
              <w:jc w:val="center"/>
              <w:rPr>
                <w:rFonts w:eastAsia="Times New Roman" w:cs="Times New Roman"/>
                <w:b/>
                <w:bCs/>
                <w:color w:val="000000"/>
                <w:kern w:val="0"/>
                <w:sz w:val="14"/>
                <w:szCs w:val="14"/>
                <w:lang w:eastAsia="es-CO"/>
                <w14:ligatures w14:val="none"/>
              </w:rPr>
            </w:pPr>
          </w:p>
        </w:tc>
        <w:tc>
          <w:tcPr>
            <w:tcW w:w="318" w:type="pct"/>
            <w:vMerge/>
            <w:textDirection w:val="btLr"/>
            <w:vAlign w:val="center"/>
            <w:hideMark/>
          </w:tcPr>
          <w:p w14:paraId="7FE1086F" w14:textId="77777777" w:rsidR="002835F1" w:rsidRPr="009615A8" w:rsidRDefault="002835F1" w:rsidP="000A5389">
            <w:pPr>
              <w:spacing w:line="240" w:lineRule="auto"/>
              <w:ind w:left="113" w:right="113"/>
              <w:rPr>
                <w:rFonts w:eastAsia="Times New Roman" w:cs="Times New Roman"/>
                <w:b/>
                <w:bCs/>
                <w:color w:val="000000"/>
                <w:kern w:val="0"/>
                <w:sz w:val="14"/>
                <w:szCs w:val="14"/>
                <w:lang w:eastAsia="es-CO"/>
                <w14:ligatures w14:val="none"/>
              </w:rPr>
            </w:pPr>
          </w:p>
        </w:tc>
        <w:tc>
          <w:tcPr>
            <w:tcW w:w="401" w:type="pct"/>
            <w:vMerge/>
            <w:shd w:val="clear" w:color="000000" w:fill="FFFFFF"/>
            <w:textDirection w:val="btLr"/>
            <w:vAlign w:val="center"/>
            <w:hideMark/>
          </w:tcPr>
          <w:p w14:paraId="770D74DF" w14:textId="07E43DE1" w:rsidR="002835F1" w:rsidRPr="009615A8" w:rsidRDefault="002835F1" w:rsidP="000A5389">
            <w:pPr>
              <w:spacing w:line="240" w:lineRule="auto"/>
              <w:ind w:left="113" w:right="113"/>
              <w:jc w:val="center"/>
              <w:rPr>
                <w:rFonts w:eastAsia="Times New Roman" w:cs="Times New Roman"/>
                <w:b/>
                <w:bCs/>
                <w:color w:val="000000"/>
                <w:kern w:val="0"/>
                <w:sz w:val="14"/>
                <w:szCs w:val="14"/>
                <w:lang w:eastAsia="es-CO"/>
                <w14:ligatures w14:val="none"/>
              </w:rPr>
            </w:pPr>
          </w:p>
        </w:tc>
        <w:tc>
          <w:tcPr>
            <w:tcW w:w="315" w:type="pct"/>
            <w:vMerge/>
            <w:shd w:val="clear" w:color="000000" w:fill="FFFFFF"/>
            <w:textDirection w:val="btLr"/>
            <w:vAlign w:val="center"/>
            <w:hideMark/>
          </w:tcPr>
          <w:p w14:paraId="5A497FA1" w14:textId="49495570" w:rsidR="002835F1" w:rsidRPr="009615A8" w:rsidRDefault="002835F1" w:rsidP="000A5389">
            <w:pPr>
              <w:spacing w:line="240" w:lineRule="auto"/>
              <w:ind w:left="113" w:right="113"/>
              <w:jc w:val="center"/>
              <w:rPr>
                <w:rFonts w:eastAsia="Times New Roman" w:cs="Times New Roman"/>
                <w:b/>
                <w:bCs/>
                <w:color w:val="000000"/>
                <w:kern w:val="0"/>
                <w:sz w:val="14"/>
                <w:szCs w:val="14"/>
                <w:lang w:eastAsia="es-CO"/>
                <w14:ligatures w14:val="none"/>
              </w:rPr>
            </w:pPr>
          </w:p>
        </w:tc>
      </w:tr>
      <w:tr w:rsidR="00B44D10" w:rsidRPr="009615A8" w14:paraId="0874787E" w14:textId="77777777" w:rsidTr="00725905">
        <w:trPr>
          <w:trHeight w:val="977"/>
        </w:trPr>
        <w:tc>
          <w:tcPr>
            <w:tcW w:w="950" w:type="pct"/>
            <w:shd w:val="clear" w:color="000000" w:fill="FFFFFF"/>
            <w:vAlign w:val="center"/>
            <w:hideMark/>
          </w:tcPr>
          <w:p w14:paraId="5C2770AB" w14:textId="77777777" w:rsidR="002835F1" w:rsidRPr="009615A8" w:rsidRDefault="002835F1" w:rsidP="000A5389">
            <w:pPr>
              <w:spacing w:line="240" w:lineRule="auto"/>
              <w:jc w:val="center"/>
              <w:rPr>
                <w:rFonts w:eastAsia="Times New Roman" w:cs="Times New Roman"/>
                <w:b/>
                <w:bCs/>
                <w:color w:val="000000"/>
                <w:kern w:val="0"/>
                <w:sz w:val="14"/>
                <w:szCs w:val="14"/>
                <w:lang w:eastAsia="es-CO"/>
                <w14:ligatures w14:val="none"/>
              </w:rPr>
            </w:pPr>
            <w:r w:rsidRPr="009615A8">
              <w:rPr>
                <w:rFonts w:eastAsia="Times New Roman" w:cs="Times New Roman"/>
                <w:b/>
                <w:bCs/>
                <w:color w:val="000000"/>
                <w:kern w:val="0"/>
                <w:sz w:val="14"/>
                <w:szCs w:val="14"/>
                <w:lang w:eastAsia="es-CO"/>
                <w14:ligatures w14:val="none"/>
              </w:rPr>
              <w:t>TIPO DE TERCEROS</w:t>
            </w:r>
          </w:p>
        </w:tc>
        <w:tc>
          <w:tcPr>
            <w:tcW w:w="393" w:type="pct"/>
            <w:vMerge w:val="restart"/>
            <w:shd w:val="clear" w:color="000000" w:fill="FFFFFF"/>
            <w:vAlign w:val="center"/>
            <w:hideMark/>
          </w:tcPr>
          <w:p w14:paraId="6BC2948E" w14:textId="77777777" w:rsidR="002835F1" w:rsidRPr="009615A8" w:rsidRDefault="002835F1" w:rsidP="000A5389">
            <w:pPr>
              <w:spacing w:line="240" w:lineRule="auto"/>
              <w:jc w:val="center"/>
              <w:rPr>
                <w:rFonts w:eastAsia="Times New Roman" w:cs="Times New Roman"/>
                <w:b/>
                <w:bCs/>
                <w:color w:val="000000"/>
                <w:kern w:val="0"/>
                <w:sz w:val="14"/>
                <w:szCs w:val="14"/>
                <w:lang w:eastAsia="es-CO"/>
                <w14:ligatures w14:val="none"/>
              </w:rPr>
            </w:pPr>
            <w:r w:rsidRPr="009615A8">
              <w:rPr>
                <w:rFonts w:eastAsia="Times New Roman" w:cs="Times New Roman"/>
                <w:b/>
                <w:bCs/>
                <w:color w:val="000000"/>
                <w:kern w:val="0"/>
                <w:sz w:val="14"/>
                <w:szCs w:val="14"/>
                <w:lang w:eastAsia="es-CO"/>
                <w14:ligatures w14:val="none"/>
              </w:rPr>
              <w:t>PN / PJ / ECP</w:t>
            </w:r>
          </w:p>
          <w:p w14:paraId="701A3F63" w14:textId="22CA0426" w:rsidR="002835F1" w:rsidRPr="009615A8" w:rsidRDefault="002835F1" w:rsidP="000A5389">
            <w:pPr>
              <w:spacing w:line="240" w:lineRule="auto"/>
              <w:rPr>
                <w:rFonts w:eastAsia="Times New Roman" w:cs="Times New Roman"/>
                <w:b/>
                <w:bCs/>
                <w:color w:val="000000"/>
                <w:kern w:val="0"/>
                <w:sz w:val="14"/>
                <w:szCs w:val="14"/>
                <w:lang w:eastAsia="es-CO"/>
                <w14:ligatures w14:val="none"/>
              </w:rPr>
            </w:pPr>
            <w:r w:rsidRPr="009615A8">
              <w:rPr>
                <w:rFonts w:eastAsia="Times New Roman" w:cs="Times New Roman"/>
                <w:b/>
                <w:bCs/>
                <w:color w:val="000000"/>
                <w:kern w:val="0"/>
                <w:sz w:val="14"/>
                <w:szCs w:val="14"/>
                <w:lang w:eastAsia="es-CO"/>
                <w14:ligatures w14:val="none"/>
              </w:rPr>
              <w:t> </w:t>
            </w:r>
          </w:p>
        </w:tc>
        <w:tc>
          <w:tcPr>
            <w:tcW w:w="397" w:type="pct"/>
            <w:vMerge w:val="restart"/>
            <w:shd w:val="clear" w:color="000000" w:fill="FFFFFF"/>
            <w:vAlign w:val="center"/>
            <w:hideMark/>
          </w:tcPr>
          <w:p w14:paraId="4645AC72" w14:textId="77777777" w:rsidR="002835F1" w:rsidRPr="009615A8" w:rsidRDefault="002835F1" w:rsidP="000A5389">
            <w:pPr>
              <w:spacing w:line="240" w:lineRule="auto"/>
              <w:jc w:val="center"/>
              <w:rPr>
                <w:rFonts w:eastAsia="Times New Roman" w:cs="Times New Roman"/>
                <w:b/>
                <w:bCs/>
                <w:color w:val="000000"/>
                <w:kern w:val="0"/>
                <w:sz w:val="14"/>
                <w:szCs w:val="14"/>
                <w:lang w:eastAsia="es-CO"/>
                <w14:ligatures w14:val="none"/>
              </w:rPr>
            </w:pPr>
            <w:r w:rsidRPr="009615A8">
              <w:rPr>
                <w:rFonts w:eastAsia="Times New Roman" w:cs="Times New Roman"/>
                <w:b/>
                <w:bCs/>
                <w:color w:val="000000"/>
                <w:kern w:val="0"/>
                <w:sz w:val="14"/>
                <w:szCs w:val="14"/>
                <w:lang w:eastAsia="es-CO"/>
                <w14:ligatures w14:val="none"/>
              </w:rPr>
              <w:t>CANTIDAD</w:t>
            </w:r>
          </w:p>
          <w:p w14:paraId="39FEAF0D" w14:textId="79F578E3" w:rsidR="002835F1" w:rsidRPr="009615A8" w:rsidRDefault="002835F1" w:rsidP="000A5389">
            <w:pPr>
              <w:spacing w:line="240" w:lineRule="auto"/>
              <w:rPr>
                <w:rFonts w:eastAsia="Times New Roman" w:cs="Times New Roman"/>
                <w:b/>
                <w:bCs/>
                <w:color w:val="000000"/>
                <w:kern w:val="0"/>
                <w:sz w:val="14"/>
                <w:szCs w:val="14"/>
                <w:lang w:eastAsia="es-CO"/>
                <w14:ligatures w14:val="none"/>
              </w:rPr>
            </w:pPr>
            <w:r w:rsidRPr="009615A8">
              <w:rPr>
                <w:rFonts w:eastAsia="Times New Roman" w:cs="Times New Roman"/>
                <w:b/>
                <w:bCs/>
                <w:color w:val="000000"/>
                <w:kern w:val="0"/>
                <w:sz w:val="14"/>
                <w:szCs w:val="14"/>
                <w:lang w:eastAsia="es-CO"/>
                <w14:ligatures w14:val="none"/>
              </w:rPr>
              <w:t> </w:t>
            </w:r>
          </w:p>
        </w:tc>
        <w:tc>
          <w:tcPr>
            <w:tcW w:w="876" w:type="pct"/>
            <w:shd w:val="clear" w:color="000000" w:fill="FFFFFF"/>
            <w:vAlign w:val="center"/>
            <w:hideMark/>
          </w:tcPr>
          <w:p w14:paraId="7A8E69C0" w14:textId="77777777" w:rsidR="002835F1" w:rsidRPr="009615A8" w:rsidRDefault="002835F1" w:rsidP="000A5389">
            <w:pPr>
              <w:spacing w:line="240" w:lineRule="auto"/>
              <w:jc w:val="center"/>
              <w:rPr>
                <w:rFonts w:eastAsia="Times New Roman" w:cs="Times New Roman"/>
                <w:b/>
                <w:bCs/>
                <w:color w:val="000000"/>
                <w:kern w:val="0"/>
                <w:sz w:val="14"/>
                <w:szCs w:val="14"/>
                <w:lang w:eastAsia="es-CO"/>
                <w14:ligatures w14:val="none"/>
              </w:rPr>
            </w:pPr>
            <w:r w:rsidRPr="009615A8">
              <w:rPr>
                <w:rFonts w:eastAsia="Times New Roman" w:cs="Times New Roman"/>
                <w:b/>
                <w:bCs/>
                <w:color w:val="000000"/>
                <w:kern w:val="0"/>
                <w:sz w:val="14"/>
                <w:szCs w:val="14"/>
                <w:lang w:eastAsia="es-CO"/>
                <w14:ligatures w14:val="none"/>
              </w:rPr>
              <w:t>VALOR EN LIBROS</w:t>
            </w:r>
          </w:p>
        </w:tc>
        <w:tc>
          <w:tcPr>
            <w:tcW w:w="319" w:type="pct"/>
            <w:shd w:val="clear" w:color="000000" w:fill="FFFFFF"/>
            <w:vAlign w:val="center"/>
            <w:hideMark/>
          </w:tcPr>
          <w:p w14:paraId="447BD765" w14:textId="6E587A2D" w:rsidR="002835F1" w:rsidRPr="009615A8" w:rsidRDefault="002835F1" w:rsidP="000A5389">
            <w:pPr>
              <w:spacing w:line="240" w:lineRule="auto"/>
              <w:jc w:val="center"/>
              <w:rPr>
                <w:rFonts w:eastAsia="Times New Roman" w:cs="Times New Roman"/>
                <w:b/>
                <w:bCs/>
                <w:color w:val="000000"/>
                <w:kern w:val="0"/>
                <w:sz w:val="14"/>
                <w:szCs w:val="14"/>
                <w:lang w:eastAsia="es-CO"/>
                <w14:ligatures w14:val="none"/>
              </w:rPr>
            </w:pPr>
            <w:r w:rsidRPr="009615A8">
              <w:rPr>
                <w:rFonts w:eastAsia="Times New Roman" w:cs="Times New Roman"/>
                <w:b/>
                <w:bCs/>
                <w:color w:val="000000"/>
                <w:kern w:val="0"/>
                <w:sz w:val="14"/>
                <w:szCs w:val="14"/>
                <w:lang w:eastAsia="es-CO"/>
                <w14:ligatures w14:val="none"/>
              </w:rPr>
              <w:t>MÍN</w:t>
            </w:r>
          </w:p>
        </w:tc>
        <w:tc>
          <w:tcPr>
            <w:tcW w:w="319" w:type="pct"/>
            <w:shd w:val="clear" w:color="000000" w:fill="FFFFFF"/>
            <w:vAlign w:val="center"/>
            <w:hideMark/>
          </w:tcPr>
          <w:p w14:paraId="5E032637" w14:textId="5353F0B4" w:rsidR="002835F1" w:rsidRPr="009615A8" w:rsidRDefault="002835F1" w:rsidP="000A5389">
            <w:pPr>
              <w:spacing w:line="240" w:lineRule="auto"/>
              <w:jc w:val="center"/>
              <w:rPr>
                <w:rFonts w:eastAsia="Times New Roman" w:cs="Times New Roman"/>
                <w:b/>
                <w:bCs/>
                <w:color w:val="000000"/>
                <w:kern w:val="0"/>
                <w:sz w:val="14"/>
                <w:szCs w:val="14"/>
                <w:lang w:eastAsia="es-CO"/>
                <w14:ligatures w14:val="none"/>
              </w:rPr>
            </w:pPr>
            <w:r w:rsidRPr="009615A8">
              <w:rPr>
                <w:rFonts w:eastAsia="Times New Roman" w:cs="Times New Roman"/>
                <w:b/>
                <w:bCs/>
                <w:color w:val="000000"/>
                <w:kern w:val="0"/>
                <w:sz w:val="14"/>
                <w:szCs w:val="14"/>
                <w:lang w:eastAsia="es-CO"/>
                <w14:ligatures w14:val="none"/>
              </w:rPr>
              <w:t>MÁX</w:t>
            </w:r>
          </w:p>
        </w:tc>
        <w:tc>
          <w:tcPr>
            <w:tcW w:w="238" w:type="pct"/>
            <w:vMerge/>
            <w:textDirection w:val="btLr"/>
            <w:vAlign w:val="center"/>
            <w:hideMark/>
          </w:tcPr>
          <w:p w14:paraId="39DDF4BB" w14:textId="77777777" w:rsidR="002835F1" w:rsidRPr="009615A8" w:rsidRDefault="002835F1" w:rsidP="000A5389">
            <w:pPr>
              <w:spacing w:line="240" w:lineRule="auto"/>
              <w:ind w:left="113" w:right="113"/>
              <w:rPr>
                <w:rFonts w:eastAsia="Times New Roman" w:cs="Times New Roman"/>
                <w:b/>
                <w:bCs/>
                <w:color w:val="000000"/>
                <w:kern w:val="0"/>
                <w:sz w:val="14"/>
                <w:szCs w:val="14"/>
                <w:lang w:eastAsia="es-CO"/>
                <w14:ligatures w14:val="none"/>
              </w:rPr>
            </w:pPr>
          </w:p>
        </w:tc>
        <w:tc>
          <w:tcPr>
            <w:tcW w:w="238" w:type="pct"/>
            <w:vMerge/>
            <w:shd w:val="clear" w:color="000000" w:fill="FFFFFF"/>
            <w:textDirection w:val="btLr"/>
            <w:vAlign w:val="center"/>
            <w:hideMark/>
          </w:tcPr>
          <w:p w14:paraId="1302813A" w14:textId="5BB651C3" w:rsidR="002835F1" w:rsidRPr="009615A8" w:rsidRDefault="002835F1" w:rsidP="000A5389">
            <w:pPr>
              <w:spacing w:line="240" w:lineRule="auto"/>
              <w:ind w:left="113" w:right="113"/>
              <w:jc w:val="center"/>
              <w:rPr>
                <w:rFonts w:eastAsia="Times New Roman" w:cs="Times New Roman"/>
                <w:b/>
                <w:bCs/>
                <w:color w:val="000000"/>
                <w:kern w:val="0"/>
                <w:sz w:val="14"/>
                <w:szCs w:val="14"/>
                <w:lang w:eastAsia="es-CO"/>
                <w14:ligatures w14:val="none"/>
              </w:rPr>
            </w:pPr>
          </w:p>
        </w:tc>
        <w:tc>
          <w:tcPr>
            <w:tcW w:w="238" w:type="pct"/>
            <w:vMerge/>
            <w:shd w:val="clear" w:color="000000" w:fill="FFFFFF"/>
            <w:textDirection w:val="btLr"/>
            <w:vAlign w:val="center"/>
            <w:hideMark/>
          </w:tcPr>
          <w:p w14:paraId="622458FF" w14:textId="32E05CB3" w:rsidR="002835F1" w:rsidRPr="009615A8" w:rsidRDefault="002835F1" w:rsidP="000A5389">
            <w:pPr>
              <w:spacing w:line="240" w:lineRule="auto"/>
              <w:ind w:left="113" w:right="113"/>
              <w:jc w:val="center"/>
              <w:rPr>
                <w:rFonts w:eastAsia="Times New Roman" w:cs="Times New Roman"/>
                <w:b/>
                <w:bCs/>
                <w:color w:val="000000"/>
                <w:kern w:val="0"/>
                <w:sz w:val="14"/>
                <w:szCs w:val="14"/>
                <w:lang w:eastAsia="es-CO"/>
                <w14:ligatures w14:val="none"/>
              </w:rPr>
            </w:pPr>
          </w:p>
        </w:tc>
        <w:tc>
          <w:tcPr>
            <w:tcW w:w="318" w:type="pct"/>
            <w:vMerge/>
            <w:textDirection w:val="btLr"/>
            <w:vAlign w:val="center"/>
            <w:hideMark/>
          </w:tcPr>
          <w:p w14:paraId="2777210E" w14:textId="77777777" w:rsidR="002835F1" w:rsidRPr="009615A8" w:rsidRDefault="002835F1" w:rsidP="000A5389">
            <w:pPr>
              <w:spacing w:line="240" w:lineRule="auto"/>
              <w:ind w:left="113" w:right="113"/>
              <w:rPr>
                <w:rFonts w:eastAsia="Times New Roman" w:cs="Times New Roman"/>
                <w:b/>
                <w:bCs/>
                <w:color w:val="000000"/>
                <w:kern w:val="0"/>
                <w:sz w:val="14"/>
                <w:szCs w:val="14"/>
                <w:lang w:eastAsia="es-CO"/>
                <w14:ligatures w14:val="none"/>
              </w:rPr>
            </w:pPr>
          </w:p>
        </w:tc>
        <w:tc>
          <w:tcPr>
            <w:tcW w:w="401" w:type="pct"/>
            <w:vMerge/>
            <w:shd w:val="clear" w:color="000000" w:fill="FFFFFF"/>
            <w:textDirection w:val="btLr"/>
            <w:vAlign w:val="center"/>
            <w:hideMark/>
          </w:tcPr>
          <w:p w14:paraId="203BD793" w14:textId="3401CC17" w:rsidR="002835F1" w:rsidRPr="009615A8" w:rsidRDefault="002835F1" w:rsidP="000A5389">
            <w:pPr>
              <w:spacing w:line="240" w:lineRule="auto"/>
              <w:ind w:left="113" w:right="113"/>
              <w:jc w:val="center"/>
              <w:rPr>
                <w:rFonts w:eastAsia="Times New Roman" w:cs="Times New Roman"/>
                <w:b/>
                <w:bCs/>
                <w:color w:val="000000"/>
                <w:kern w:val="0"/>
                <w:sz w:val="14"/>
                <w:szCs w:val="14"/>
                <w:lang w:eastAsia="es-CO"/>
                <w14:ligatures w14:val="none"/>
              </w:rPr>
            </w:pPr>
          </w:p>
        </w:tc>
        <w:tc>
          <w:tcPr>
            <w:tcW w:w="315" w:type="pct"/>
            <w:vMerge/>
            <w:shd w:val="clear" w:color="000000" w:fill="FFFFFF"/>
            <w:textDirection w:val="btLr"/>
            <w:vAlign w:val="center"/>
            <w:hideMark/>
          </w:tcPr>
          <w:p w14:paraId="32C9F2CD" w14:textId="4893B24D" w:rsidR="002835F1" w:rsidRPr="009615A8" w:rsidRDefault="002835F1" w:rsidP="000A5389">
            <w:pPr>
              <w:spacing w:line="240" w:lineRule="auto"/>
              <w:ind w:left="113" w:right="113"/>
              <w:jc w:val="center"/>
              <w:rPr>
                <w:rFonts w:eastAsia="Times New Roman" w:cs="Times New Roman"/>
                <w:b/>
                <w:bCs/>
                <w:color w:val="000000"/>
                <w:kern w:val="0"/>
                <w:sz w:val="14"/>
                <w:szCs w:val="14"/>
                <w:lang w:eastAsia="es-CO"/>
                <w14:ligatures w14:val="none"/>
              </w:rPr>
            </w:pPr>
          </w:p>
        </w:tc>
      </w:tr>
      <w:tr w:rsidR="00B44D10" w:rsidRPr="009615A8" w14:paraId="2D747240" w14:textId="77777777" w:rsidTr="00725905">
        <w:trPr>
          <w:trHeight w:val="285"/>
        </w:trPr>
        <w:tc>
          <w:tcPr>
            <w:tcW w:w="950" w:type="pct"/>
            <w:shd w:val="clear" w:color="000000" w:fill="FFFFFF"/>
            <w:noWrap/>
            <w:vAlign w:val="center"/>
            <w:hideMark/>
          </w:tcPr>
          <w:p w14:paraId="773F4154" w14:textId="77777777" w:rsidR="002835F1" w:rsidRPr="009615A8" w:rsidRDefault="002835F1" w:rsidP="000A5389">
            <w:pPr>
              <w:spacing w:line="240" w:lineRule="auto"/>
              <w:rPr>
                <w:rFonts w:eastAsia="Times New Roman" w:cs="Times New Roman"/>
                <w:b/>
                <w:bCs/>
                <w:color w:val="000000"/>
                <w:kern w:val="0"/>
                <w:sz w:val="14"/>
                <w:szCs w:val="14"/>
                <w:lang w:eastAsia="es-CO"/>
                <w14:ligatures w14:val="none"/>
              </w:rPr>
            </w:pPr>
            <w:r w:rsidRPr="009615A8">
              <w:rPr>
                <w:rFonts w:eastAsia="Times New Roman" w:cs="Times New Roman"/>
                <w:b/>
                <w:bCs/>
                <w:color w:val="000000"/>
                <w:kern w:val="0"/>
                <w:sz w:val="14"/>
                <w:szCs w:val="14"/>
                <w:lang w:eastAsia="es-CO"/>
                <w14:ligatures w14:val="none"/>
              </w:rPr>
              <w:t>FINANCIAMIENTO INTERNO DE LARGO PLAZO</w:t>
            </w:r>
          </w:p>
        </w:tc>
        <w:tc>
          <w:tcPr>
            <w:tcW w:w="393" w:type="pct"/>
            <w:vMerge/>
            <w:shd w:val="clear" w:color="000000" w:fill="FFFFFF"/>
            <w:noWrap/>
            <w:vAlign w:val="center"/>
            <w:hideMark/>
          </w:tcPr>
          <w:p w14:paraId="50BA1F43" w14:textId="6DBDEB50" w:rsidR="002835F1" w:rsidRPr="009615A8" w:rsidRDefault="002835F1" w:rsidP="000A5389">
            <w:pPr>
              <w:spacing w:line="240" w:lineRule="auto"/>
              <w:rPr>
                <w:rFonts w:eastAsia="Times New Roman" w:cs="Times New Roman"/>
                <w:b/>
                <w:bCs/>
                <w:color w:val="000000"/>
                <w:kern w:val="0"/>
                <w:sz w:val="14"/>
                <w:szCs w:val="14"/>
                <w:lang w:eastAsia="es-CO"/>
                <w14:ligatures w14:val="none"/>
              </w:rPr>
            </w:pPr>
          </w:p>
        </w:tc>
        <w:tc>
          <w:tcPr>
            <w:tcW w:w="397" w:type="pct"/>
            <w:vMerge/>
            <w:shd w:val="clear" w:color="000000" w:fill="FFFFFF"/>
            <w:noWrap/>
            <w:vAlign w:val="center"/>
            <w:hideMark/>
          </w:tcPr>
          <w:p w14:paraId="0F4E2EFA" w14:textId="7CA76251" w:rsidR="002835F1" w:rsidRPr="009615A8" w:rsidRDefault="002835F1" w:rsidP="000A5389">
            <w:pPr>
              <w:spacing w:line="240" w:lineRule="auto"/>
              <w:rPr>
                <w:rFonts w:eastAsia="Times New Roman" w:cs="Times New Roman"/>
                <w:b/>
                <w:bCs/>
                <w:color w:val="000000"/>
                <w:kern w:val="0"/>
                <w:sz w:val="14"/>
                <w:szCs w:val="14"/>
                <w:lang w:eastAsia="es-CO"/>
                <w14:ligatures w14:val="none"/>
              </w:rPr>
            </w:pPr>
          </w:p>
        </w:tc>
        <w:tc>
          <w:tcPr>
            <w:tcW w:w="876" w:type="pct"/>
            <w:shd w:val="clear" w:color="000000" w:fill="FFFFFF"/>
            <w:noWrap/>
            <w:vAlign w:val="center"/>
            <w:hideMark/>
          </w:tcPr>
          <w:p w14:paraId="456CD3EF" w14:textId="77777777" w:rsidR="002835F1" w:rsidRPr="009615A8" w:rsidRDefault="002835F1" w:rsidP="000A5389">
            <w:pPr>
              <w:spacing w:line="240" w:lineRule="auto"/>
              <w:jc w:val="right"/>
              <w:rPr>
                <w:rFonts w:eastAsia="Times New Roman" w:cs="Times New Roman"/>
                <w:b/>
                <w:bCs/>
                <w:color w:val="000000"/>
                <w:kern w:val="0"/>
                <w:sz w:val="14"/>
                <w:szCs w:val="14"/>
                <w:lang w:eastAsia="es-CO"/>
                <w14:ligatures w14:val="none"/>
              </w:rPr>
            </w:pPr>
            <w:r w:rsidRPr="009615A8">
              <w:rPr>
                <w:rFonts w:eastAsia="Times New Roman" w:cs="Times New Roman"/>
                <w:b/>
                <w:bCs/>
                <w:color w:val="000000"/>
                <w:kern w:val="0"/>
                <w:sz w:val="14"/>
                <w:szCs w:val="14"/>
                <w:lang w:eastAsia="es-CO"/>
                <w14:ligatures w14:val="none"/>
              </w:rPr>
              <w:t>23.693.640.888.693</w:t>
            </w:r>
          </w:p>
        </w:tc>
        <w:tc>
          <w:tcPr>
            <w:tcW w:w="319" w:type="pct"/>
            <w:shd w:val="clear" w:color="000000" w:fill="FFFFFF"/>
            <w:noWrap/>
            <w:vAlign w:val="center"/>
            <w:hideMark/>
          </w:tcPr>
          <w:p w14:paraId="7B0B4A9E" w14:textId="77777777" w:rsidR="002835F1" w:rsidRPr="009615A8" w:rsidRDefault="002835F1" w:rsidP="000A5389">
            <w:pPr>
              <w:spacing w:line="240" w:lineRule="auto"/>
              <w:rPr>
                <w:rFonts w:eastAsia="Times New Roman" w:cs="Times New Roman"/>
                <w:b/>
                <w:bCs/>
                <w:color w:val="000000"/>
                <w:kern w:val="0"/>
                <w:sz w:val="14"/>
                <w:szCs w:val="14"/>
                <w:lang w:eastAsia="es-CO"/>
                <w14:ligatures w14:val="none"/>
              </w:rPr>
            </w:pPr>
            <w:r w:rsidRPr="009615A8">
              <w:rPr>
                <w:rFonts w:eastAsia="Times New Roman" w:cs="Times New Roman"/>
                <w:b/>
                <w:bCs/>
                <w:color w:val="000000"/>
                <w:kern w:val="0"/>
                <w:sz w:val="14"/>
                <w:szCs w:val="14"/>
                <w:lang w:eastAsia="es-CO"/>
                <w14:ligatures w14:val="none"/>
              </w:rPr>
              <w:t> </w:t>
            </w:r>
          </w:p>
        </w:tc>
        <w:tc>
          <w:tcPr>
            <w:tcW w:w="319" w:type="pct"/>
            <w:shd w:val="clear" w:color="000000" w:fill="FFFFFF"/>
            <w:noWrap/>
            <w:vAlign w:val="center"/>
            <w:hideMark/>
          </w:tcPr>
          <w:p w14:paraId="7B3A8495" w14:textId="77777777" w:rsidR="002835F1" w:rsidRPr="009615A8" w:rsidRDefault="002835F1" w:rsidP="000A5389">
            <w:pPr>
              <w:spacing w:line="240" w:lineRule="auto"/>
              <w:jc w:val="center"/>
              <w:rPr>
                <w:rFonts w:eastAsia="Times New Roman" w:cs="Times New Roman"/>
                <w:b/>
                <w:bCs/>
                <w:color w:val="000000"/>
                <w:kern w:val="0"/>
                <w:sz w:val="14"/>
                <w:szCs w:val="14"/>
                <w:lang w:eastAsia="es-CO"/>
                <w14:ligatures w14:val="none"/>
              </w:rPr>
            </w:pPr>
            <w:r w:rsidRPr="009615A8">
              <w:rPr>
                <w:rFonts w:eastAsia="Times New Roman" w:cs="Times New Roman"/>
                <w:b/>
                <w:bCs/>
                <w:color w:val="000000"/>
                <w:kern w:val="0"/>
                <w:sz w:val="14"/>
                <w:szCs w:val="14"/>
                <w:lang w:eastAsia="es-CO"/>
                <w14:ligatures w14:val="none"/>
              </w:rPr>
              <w:t> </w:t>
            </w:r>
          </w:p>
        </w:tc>
        <w:tc>
          <w:tcPr>
            <w:tcW w:w="238" w:type="pct"/>
            <w:shd w:val="clear" w:color="000000" w:fill="FFFFFF"/>
            <w:noWrap/>
            <w:vAlign w:val="center"/>
            <w:hideMark/>
          </w:tcPr>
          <w:p w14:paraId="0EFD4BA2" w14:textId="77777777" w:rsidR="002835F1" w:rsidRPr="009615A8" w:rsidRDefault="002835F1" w:rsidP="000A5389">
            <w:pPr>
              <w:spacing w:line="240" w:lineRule="auto"/>
              <w:rPr>
                <w:rFonts w:eastAsia="Times New Roman" w:cs="Times New Roman"/>
                <w:b/>
                <w:bCs/>
                <w:color w:val="000000"/>
                <w:kern w:val="0"/>
                <w:sz w:val="14"/>
                <w:szCs w:val="14"/>
                <w:lang w:eastAsia="es-CO"/>
                <w14:ligatures w14:val="none"/>
              </w:rPr>
            </w:pPr>
            <w:r w:rsidRPr="009615A8">
              <w:rPr>
                <w:rFonts w:eastAsia="Times New Roman" w:cs="Times New Roman"/>
                <w:b/>
                <w:bCs/>
                <w:color w:val="000000"/>
                <w:kern w:val="0"/>
                <w:sz w:val="14"/>
                <w:szCs w:val="14"/>
                <w:lang w:eastAsia="es-CO"/>
                <w14:ligatures w14:val="none"/>
              </w:rPr>
              <w:t> </w:t>
            </w:r>
          </w:p>
        </w:tc>
        <w:tc>
          <w:tcPr>
            <w:tcW w:w="238" w:type="pct"/>
            <w:shd w:val="clear" w:color="000000" w:fill="FFFFFF"/>
            <w:noWrap/>
            <w:vAlign w:val="center"/>
            <w:hideMark/>
          </w:tcPr>
          <w:p w14:paraId="264B30F0" w14:textId="77777777" w:rsidR="002835F1" w:rsidRPr="009615A8" w:rsidRDefault="002835F1" w:rsidP="000A5389">
            <w:pPr>
              <w:spacing w:line="240" w:lineRule="auto"/>
              <w:jc w:val="center"/>
              <w:rPr>
                <w:rFonts w:eastAsia="Times New Roman" w:cs="Times New Roman"/>
                <w:b/>
                <w:bCs/>
                <w:color w:val="000000"/>
                <w:kern w:val="0"/>
                <w:sz w:val="14"/>
                <w:szCs w:val="14"/>
                <w:lang w:eastAsia="es-CO"/>
                <w14:ligatures w14:val="none"/>
              </w:rPr>
            </w:pPr>
            <w:r w:rsidRPr="009615A8">
              <w:rPr>
                <w:rFonts w:eastAsia="Times New Roman" w:cs="Times New Roman"/>
                <w:b/>
                <w:bCs/>
                <w:color w:val="000000"/>
                <w:kern w:val="0"/>
                <w:sz w:val="14"/>
                <w:szCs w:val="14"/>
                <w:lang w:eastAsia="es-CO"/>
                <w14:ligatures w14:val="none"/>
              </w:rPr>
              <w:t>0</w:t>
            </w:r>
          </w:p>
        </w:tc>
        <w:tc>
          <w:tcPr>
            <w:tcW w:w="238" w:type="pct"/>
            <w:shd w:val="clear" w:color="000000" w:fill="FFFFFF"/>
            <w:noWrap/>
            <w:vAlign w:val="center"/>
            <w:hideMark/>
          </w:tcPr>
          <w:p w14:paraId="2DA12BAC" w14:textId="77777777" w:rsidR="002835F1" w:rsidRPr="009615A8" w:rsidRDefault="002835F1" w:rsidP="000A5389">
            <w:pPr>
              <w:spacing w:line="240" w:lineRule="auto"/>
              <w:jc w:val="center"/>
              <w:rPr>
                <w:rFonts w:eastAsia="Times New Roman" w:cs="Times New Roman"/>
                <w:b/>
                <w:bCs/>
                <w:color w:val="000000"/>
                <w:kern w:val="0"/>
                <w:sz w:val="14"/>
                <w:szCs w:val="14"/>
                <w:lang w:eastAsia="es-CO"/>
                <w14:ligatures w14:val="none"/>
              </w:rPr>
            </w:pPr>
            <w:r w:rsidRPr="009615A8">
              <w:rPr>
                <w:rFonts w:eastAsia="Times New Roman" w:cs="Times New Roman"/>
                <w:b/>
                <w:bCs/>
                <w:color w:val="000000"/>
                <w:kern w:val="0"/>
                <w:sz w:val="14"/>
                <w:szCs w:val="14"/>
                <w:lang w:eastAsia="es-CO"/>
                <w14:ligatures w14:val="none"/>
              </w:rPr>
              <w:t>0</w:t>
            </w:r>
          </w:p>
        </w:tc>
        <w:tc>
          <w:tcPr>
            <w:tcW w:w="318" w:type="pct"/>
            <w:shd w:val="clear" w:color="000000" w:fill="FFFFFF"/>
            <w:noWrap/>
            <w:vAlign w:val="center"/>
            <w:hideMark/>
          </w:tcPr>
          <w:p w14:paraId="1B154013" w14:textId="77777777" w:rsidR="002835F1" w:rsidRPr="009615A8" w:rsidRDefault="002835F1" w:rsidP="000A5389">
            <w:pPr>
              <w:spacing w:line="240" w:lineRule="auto"/>
              <w:rPr>
                <w:rFonts w:eastAsia="Times New Roman" w:cs="Times New Roman"/>
                <w:b/>
                <w:bCs/>
                <w:color w:val="000000"/>
                <w:kern w:val="0"/>
                <w:sz w:val="14"/>
                <w:szCs w:val="14"/>
                <w:lang w:eastAsia="es-CO"/>
                <w14:ligatures w14:val="none"/>
              </w:rPr>
            </w:pPr>
            <w:r w:rsidRPr="009615A8">
              <w:rPr>
                <w:rFonts w:eastAsia="Times New Roman" w:cs="Times New Roman"/>
                <w:b/>
                <w:bCs/>
                <w:color w:val="000000"/>
                <w:kern w:val="0"/>
                <w:sz w:val="14"/>
                <w:szCs w:val="14"/>
                <w:lang w:eastAsia="es-CO"/>
                <w14:ligatures w14:val="none"/>
              </w:rPr>
              <w:t> </w:t>
            </w:r>
          </w:p>
        </w:tc>
        <w:tc>
          <w:tcPr>
            <w:tcW w:w="401" w:type="pct"/>
            <w:shd w:val="clear" w:color="000000" w:fill="FFFFFF"/>
            <w:noWrap/>
            <w:vAlign w:val="center"/>
            <w:hideMark/>
          </w:tcPr>
          <w:p w14:paraId="1947E389" w14:textId="77777777" w:rsidR="002835F1" w:rsidRPr="009615A8" w:rsidRDefault="002835F1" w:rsidP="000A5389">
            <w:pPr>
              <w:spacing w:line="240" w:lineRule="auto"/>
              <w:jc w:val="center"/>
              <w:rPr>
                <w:rFonts w:eastAsia="Times New Roman" w:cs="Times New Roman"/>
                <w:b/>
                <w:bCs/>
                <w:color w:val="000000"/>
                <w:kern w:val="0"/>
                <w:sz w:val="14"/>
                <w:szCs w:val="14"/>
                <w:lang w:eastAsia="es-CO"/>
                <w14:ligatures w14:val="none"/>
              </w:rPr>
            </w:pPr>
            <w:r w:rsidRPr="009615A8">
              <w:rPr>
                <w:rFonts w:eastAsia="Times New Roman" w:cs="Times New Roman"/>
                <w:b/>
                <w:bCs/>
                <w:color w:val="000000"/>
                <w:kern w:val="0"/>
                <w:sz w:val="14"/>
                <w:szCs w:val="14"/>
                <w:lang w:eastAsia="es-CO"/>
                <w14:ligatures w14:val="none"/>
              </w:rPr>
              <w:t>0</w:t>
            </w:r>
          </w:p>
        </w:tc>
        <w:tc>
          <w:tcPr>
            <w:tcW w:w="315" w:type="pct"/>
            <w:shd w:val="clear" w:color="000000" w:fill="FFFFFF"/>
            <w:noWrap/>
            <w:vAlign w:val="center"/>
            <w:hideMark/>
          </w:tcPr>
          <w:p w14:paraId="75F0AEF2" w14:textId="77777777" w:rsidR="002835F1" w:rsidRPr="009615A8" w:rsidRDefault="002835F1" w:rsidP="000A5389">
            <w:pPr>
              <w:spacing w:line="240" w:lineRule="auto"/>
              <w:jc w:val="center"/>
              <w:rPr>
                <w:rFonts w:eastAsia="Times New Roman" w:cs="Times New Roman"/>
                <w:b/>
                <w:bCs/>
                <w:color w:val="000000"/>
                <w:kern w:val="0"/>
                <w:sz w:val="14"/>
                <w:szCs w:val="14"/>
                <w:lang w:eastAsia="es-CO"/>
                <w14:ligatures w14:val="none"/>
              </w:rPr>
            </w:pPr>
            <w:r w:rsidRPr="009615A8">
              <w:rPr>
                <w:rFonts w:eastAsia="Times New Roman" w:cs="Times New Roman"/>
                <w:b/>
                <w:bCs/>
                <w:color w:val="000000"/>
                <w:kern w:val="0"/>
                <w:sz w:val="14"/>
                <w:szCs w:val="14"/>
                <w:lang w:eastAsia="es-CO"/>
                <w14:ligatures w14:val="none"/>
              </w:rPr>
              <w:t>0</w:t>
            </w:r>
          </w:p>
        </w:tc>
      </w:tr>
      <w:tr w:rsidR="00B44D10" w:rsidRPr="009615A8" w14:paraId="2D190D5A" w14:textId="77777777" w:rsidTr="00725905">
        <w:trPr>
          <w:trHeight w:val="432"/>
        </w:trPr>
        <w:tc>
          <w:tcPr>
            <w:tcW w:w="950" w:type="pct"/>
            <w:shd w:val="clear" w:color="000000" w:fill="FFFFFF"/>
            <w:vAlign w:val="center"/>
            <w:hideMark/>
          </w:tcPr>
          <w:p w14:paraId="674FD04C" w14:textId="77777777" w:rsidR="001A5E55" w:rsidRPr="009615A8" w:rsidRDefault="001A5E55" w:rsidP="000A5389">
            <w:pPr>
              <w:spacing w:line="240" w:lineRule="auto"/>
              <w:rPr>
                <w:rFonts w:eastAsia="Times New Roman" w:cs="Times New Roman"/>
                <w:b/>
                <w:bCs/>
                <w:color w:val="000000"/>
                <w:kern w:val="0"/>
                <w:sz w:val="14"/>
                <w:szCs w:val="14"/>
                <w:lang w:eastAsia="es-CO"/>
                <w14:ligatures w14:val="none"/>
              </w:rPr>
            </w:pPr>
            <w:r w:rsidRPr="009615A8">
              <w:rPr>
                <w:rFonts w:eastAsia="Times New Roman" w:cs="Times New Roman"/>
                <w:b/>
                <w:bCs/>
                <w:color w:val="000000"/>
                <w:kern w:val="0"/>
                <w:sz w:val="14"/>
                <w:szCs w:val="14"/>
                <w:lang w:eastAsia="es-CO"/>
                <w14:ligatures w14:val="none"/>
              </w:rPr>
              <w:t>Pasivo financiero por acuerdos de concesión (concedente)</w:t>
            </w:r>
          </w:p>
        </w:tc>
        <w:tc>
          <w:tcPr>
            <w:tcW w:w="393" w:type="pct"/>
            <w:shd w:val="clear" w:color="000000" w:fill="FFFFFF"/>
            <w:noWrap/>
            <w:vAlign w:val="center"/>
            <w:hideMark/>
          </w:tcPr>
          <w:p w14:paraId="7BF6E5A6" w14:textId="77777777" w:rsidR="001A5E55" w:rsidRPr="009615A8" w:rsidRDefault="001A5E55" w:rsidP="000A5389">
            <w:pPr>
              <w:spacing w:line="240" w:lineRule="auto"/>
              <w:jc w:val="center"/>
              <w:rPr>
                <w:rFonts w:eastAsia="Times New Roman" w:cs="Times New Roman"/>
                <w:b/>
                <w:bCs/>
                <w:color w:val="000000"/>
                <w:kern w:val="0"/>
                <w:sz w:val="14"/>
                <w:szCs w:val="14"/>
                <w:lang w:eastAsia="es-CO"/>
                <w14:ligatures w14:val="none"/>
              </w:rPr>
            </w:pPr>
            <w:r w:rsidRPr="009615A8">
              <w:rPr>
                <w:rFonts w:eastAsia="Times New Roman" w:cs="Times New Roman"/>
                <w:b/>
                <w:bCs/>
                <w:color w:val="000000"/>
                <w:kern w:val="0"/>
                <w:sz w:val="14"/>
                <w:szCs w:val="14"/>
                <w:lang w:eastAsia="es-CO"/>
                <w14:ligatures w14:val="none"/>
              </w:rPr>
              <w:t> </w:t>
            </w:r>
          </w:p>
        </w:tc>
        <w:tc>
          <w:tcPr>
            <w:tcW w:w="397" w:type="pct"/>
            <w:shd w:val="clear" w:color="000000" w:fill="FFFFFF"/>
            <w:noWrap/>
            <w:vAlign w:val="center"/>
            <w:hideMark/>
          </w:tcPr>
          <w:p w14:paraId="49D4FCAD" w14:textId="77777777" w:rsidR="001A5E55" w:rsidRPr="009615A8" w:rsidRDefault="001A5E55" w:rsidP="000A5389">
            <w:pPr>
              <w:spacing w:line="240" w:lineRule="auto"/>
              <w:jc w:val="center"/>
              <w:rPr>
                <w:rFonts w:eastAsia="Times New Roman" w:cs="Times New Roman"/>
                <w:b/>
                <w:bCs/>
                <w:color w:val="000000"/>
                <w:kern w:val="0"/>
                <w:sz w:val="14"/>
                <w:szCs w:val="14"/>
                <w:lang w:eastAsia="es-CO"/>
                <w14:ligatures w14:val="none"/>
              </w:rPr>
            </w:pPr>
            <w:r w:rsidRPr="009615A8">
              <w:rPr>
                <w:rFonts w:eastAsia="Times New Roman" w:cs="Times New Roman"/>
                <w:b/>
                <w:bCs/>
                <w:color w:val="000000"/>
                <w:kern w:val="0"/>
                <w:sz w:val="14"/>
                <w:szCs w:val="14"/>
                <w:lang w:eastAsia="es-CO"/>
                <w14:ligatures w14:val="none"/>
              </w:rPr>
              <w:t> </w:t>
            </w:r>
          </w:p>
        </w:tc>
        <w:tc>
          <w:tcPr>
            <w:tcW w:w="876" w:type="pct"/>
            <w:shd w:val="clear" w:color="000000" w:fill="FFFFFF"/>
            <w:noWrap/>
            <w:vAlign w:val="center"/>
            <w:hideMark/>
          </w:tcPr>
          <w:p w14:paraId="0AEE5DEE" w14:textId="77777777" w:rsidR="001A5E55" w:rsidRPr="009615A8" w:rsidRDefault="001A5E55" w:rsidP="000A5389">
            <w:pPr>
              <w:spacing w:line="240" w:lineRule="auto"/>
              <w:jc w:val="right"/>
              <w:rPr>
                <w:rFonts w:eastAsia="Times New Roman" w:cs="Times New Roman"/>
                <w:b/>
                <w:bCs/>
                <w:color w:val="000000"/>
                <w:kern w:val="0"/>
                <w:sz w:val="14"/>
                <w:szCs w:val="14"/>
                <w:lang w:eastAsia="es-CO"/>
                <w14:ligatures w14:val="none"/>
              </w:rPr>
            </w:pPr>
            <w:r w:rsidRPr="009615A8">
              <w:rPr>
                <w:rFonts w:eastAsia="Times New Roman" w:cs="Times New Roman"/>
                <w:b/>
                <w:bCs/>
                <w:color w:val="000000"/>
                <w:kern w:val="0"/>
                <w:sz w:val="14"/>
                <w:szCs w:val="14"/>
                <w:lang w:eastAsia="es-CO"/>
                <w14:ligatures w14:val="none"/>
              </w:rPr>
              <w:t>23.508.685.658.224</w:t>
            </w:r>
          </w:p>
        </w:tc>
        <w:tc>
          <w:tcPr>
            <w:tcW w:w="319" w:type="pct"/>
            <w:shd w:val="clear" w:color="000000" w:fill="FFFFFF"/>
            <w:noWrap/>
            <w:vAlign w:val="center"/>
            <w:hideMark/>
          </w:tcPr>
          <w:p w14:paraId="75962835" w14:textId="77777777" w:rsidR="001A5E55" w:rsidRPr="009615A8" w:rsidRDefault="001A5E55" w:rsidP="000A5389">
            <w:pPr>
              <w:spacing w:line="240" w:lineRule="auto"/>
              <w:jc w:val="center"/>
              <w:rPr>
                <w:rFonts w:eastAsia="Times New Roman" w:cs="Times New Roman"/>
                <w:b/>
                <w:bCs/>
                <w:color w:val="000000"/>
                <w:kern w:val="0"/>
                <w:sz w:val="14"/>
                <w:szCs w:val="14"/>
                <w:lang w:eastAsia="es-CO"/>
                <w14:ligatures w14:val="none"/>
              </w:rPr>
            </w:pPr>
            <w:r w:rsidRPr="009615A8">
              <w:rPr>
                <w:rFonts w:eastAsia="Times New Roman" w:cs="Times New Roman"/>
                <w:b/>
                <w:bCs/>
                <w:color w:val="000000"/>
                <w:kern w:val="0"/>
                <w:sz w:val="14"/>
                <w:szCs w:val="14"/>
                <w:lang w:eastAsia="es-CO"/>
                <w14:ligatures w14:val="none"/>
              </w:rPr>
              <w:t>N/A</w:t>
            </w:r>
          </w:p>
        </w:tc>
        <w:tc>
          <w:tcPr>
            <w:tcW w:w="319" w:type="pct"/>
            <w:shd w:val="clear" w:color="000000" w:fill="FFFFFF"/>
            <w:noWrap/>
            <w:vAlign w:val="center"/>
            <w:hideMark/>
          </w:tcPr>
          <w:p w14:paraId="1C9174AA" w14:textId="77777777" w:rsidR="001A5E55" w:rsidRPr="009615A8" w:rsidRDefault="001A5E55" w:rsidP="000A5389">
            <w:pPr>
              <w:spacing w:line="240" w:lineRule="auto"/>
              <w:jc w:val="center"/>
              <w:rPr>
                <w:rFonts w:eastAsia="Times New Roman" w:cs="Times New Roman"/>
                <w:b/>
                <w:bCs/>
                <w:color w:val="000000"/>
                <w:kern w:val="0"/>
                <w:sz w:val="14"/>
                <w:szCs w:val="14"/>
                <w:lang w:eastAsia="es-CO"/>
                <w14:ligatures w14:val="none"/>
              </w:rPr>
            </w:pPr>
            <w:r w:rsidRPr="009615A8">
              <w:rPr>
                <w:rFonts w:eastAsia="Times New Roman" w:cs="Times New Roman"/>
                <w:b/>
                <w:bCs/>
                <w:color w:val="000000"/>
                <w:kern w:val="0"/>
                <w:sz w:val="14"/>
                <w:szCs w:val="14"/>
                <w:lang w:eastAsia="es-CO"/>
                <w14:ligatures w14:val="none"/>
              </w:rPr>
              <w:t>N/A</w:t>
            </w:r>
          </w:p>
        </w:tc>
        <w:tc>
          <w:tcPr>
            <w:tcW w:w="238" w:type="pct"/>
            <w:shd w:val="clear" w:color="000000" w:fill="FFFFFF"/>
            <w:noWrap/>
            <w:vAlign w:val="center"/>
            <w:hideMark/>
          </w:tcPr>
          <w:p w14:paraId="13355788" w14:textId="77777777" w:rsidR="001A5E55" w:rsidRPr="009615A8" w:rsidRDefault="001A5E55" w:rsidP="000A5389">
            <w:pPr>
              <w:spacing w:line="240" w:lineRule="auto"/>
              <w:jc w:val="center"/>
              <w:rPr>
                <w:rFonts w:eastAsia="Times New Roman" w:cs="Times New Roman"/>
                <w:b/>
                <w:bCs/>
                <w:color w:val="000000"/>
                <w:kern w:val="0"/>
                <w:sz w:val="14"/>
                <w:szCs w:val="14"/>
                <w:lang w:eastAsia="es-CO"/>
                <w14:ligatures w14:val="none"/>
              </w:rPr>
            </w:pPr>
            <w:r w:rsidRPr="009615A8">
              <w:rPr>
                <w:rFonts w:eastAsia="Times New Roman" w:cs="Times New Roman"/>
                <w:b/>
                <w:bCs/>
                <w:color w:val="000000"/>
                <w:kern w:val="0"/>
                <w:sz w:val="14"/>
                <w:szCs w:val="14"/>
                <w:lang w:eastAsia="es-CO"/>
                <w14:ligatures w14:val="none"/>
              </w:rPr>
              <w:t>N/A</w:t>
            </w:r>
          </w:p>
        </w:tc>
        <w:tc>
          <w:tcPr>
            <w:tcW w:w="238" w:type="pct"/>
            <w:shd w:val="clear" w:color="000000" w:fill="FFFFFF"/>
            <w:noWrap/>
            <w:vAlign w:val="center"/>
            <w:hideMark/>
          </w:tcPr>
          <w:p w14:paraId="006BB19C" w14:textId="77777777" w:rsidR="001A5E55" w:rsidRPr="009615A8" w:rsidRDefault="001A5E55" w:rsidP="000A5389">
            <w:pPr>
              <w:spacing w:line="240" w:lineRule="auto"/>
              <w:jc w:val="center"/>
              <w:rPr>
                <w:rFonts w:eastAsia="Times New Roman" w:cs="Times New Roman"/>
                <w:b/>
                <w:bCs/>
                <w:color w:val="000000"/>
                <w:kern w:val="0"/>
                <w:sz w:val="14"/>
                <w:szCs w:val="14"/>
                <w:lang w:eastAsia="es-CO"/>
                <w14:ligatures w14:val="none"/>
              </w:rPr>
            </w:pPr>
            <w:r w:rsidRPr="009615A8">
              <w:rPr>
                <w:rFonts w:eastAsia="Times New Roman" w:cs="Times New Roman"/>
                <w:b/>
                <w:bCs/>
                <w:color w:val="000000"/>
                <w:kern w:val="0"/>
                <w:sz w:val="14"/>
                <w:szCs w:val="14"/>
                <w:lang w:eastAsia="es-CO"/>
                <w14:ligatures w14:val="none"/>
              </w:rPr>
              <w:t>0</w:t>
            </w:r>
          </w:p>
        </w:tc>
        <w:tc>
          <w:tcPr>
            <w:tcW w:w="238" w:type="pct"/>
            <w:shd w:val="clear" w:color="000000" w:fill="FFFFFF"/>
            <w:noWrap/>
            <w:vAlign w:val="center"/>
            <w:hideMark/>
          </w:tcPr>
          <w:p w14:paraId="3E895FCD" w14:textId="77777777" w:rsidR="001A5E55" w:rsidRPr="009615A8" w:rsidRDefault="001A5E55" w:rsidP="000A5389">
            <w:pPr>
              <w:spacing w:line="240" w:lineRule="auto"/>
              <w:jc w:val="center"/>
              <w:rPr>
                <w:rFonts w:eastAsia="Times New Roman" w:cs="Times New Roman"/>
                <w:b/>
                <w:bCs/>
                <w:color w:val="000000"/>
                <w:kern w:val="0"/>
                <w:sz w:val="14"/>
                <w:szCs w:val="14"/>
                <w:lang w:eastAsia="es-CO"/>
                <w14:ligatures w14:val="none"/>
              </w:rPr>
            </w:pPr>
            <w:r w:rsidRPr="009615A8">
              <w:rPr>
                <w:rFonts w:eastAsia="Times New Roman" w:cs="Times New Roman"/>
                <w:b/>
                <w:bCs/>
                <w:color w:val="000000"/>
                <w:kern w:val="0"/>
                <w:sz w:val="14"/>
                <w:szCs w:val="14"/>
                <w:lang w:eastAsia="es-CO"/>
                <w14:ligatures w14:val="none"/>
              </w:rPr>
              <w:t>0</w:t>
            </w:r>
          </w:p>
        </w:tc>
        <w:tc>
          <w:tcPr>
            <w:tcW w:w="318" w:type="pct"/>
            <w:shd w:val="clear" w:color="000000" w:fill="FFFFFF"/>
            <w:noWrap/>
            <w:vAlign w:val="center"/>
            <w:hideMark/>
          </w:tcPr>
          <w:p w14:paraId="372D02CE" w14:textId="77777777" w:rsidR="001A5E55" w:rsidRPr="009615A8" w:rsidRDefault="001A5E55" w:rsidP="000A5389">
            <w:pPr>
              <w:spacing w:line="240" w:lineRule="auto"/>
              <w:jc w:val="center"/>
              <w:rPr>
                <w:rFonts w:eastAsia="Times New Roman" w:cs="Times New Roman"/>
                <w:b/>
                <w:bCs/>
                <w:color w:val="000000"/>
                <w:kern w:val="0"/>
                <w:sz w:val="14"/>
                <w:szCs w:val="14"/>
                <w:lang w:eastAsia="es-CO"/>
                <w14:ligatures w14:val="none"/>
              </w:rPr>
            </w:pPr>
            <w:r w:rsidRPr="009615A8">
              <w:rPr>
                <w:rFonts w:eastAsia="Times New Roman" w:cs="Times New Roman"/>
                <w:b/>
                <w:bCs/>
                <w:color w:val="000000"/>
                <w:kern w:val="0"/>
                <w:sz w:val="14"/>
                <w:szCs w:val="14"/>
                <w:lang w:eastAsia="es-CO"/>
                <w14:ligatures w14:val="none"/>
              </w:rPr>
              <w:t>N/A</w:t>
            </w:r>
          </w:p>
        </w:tc>
        <w:tc>
          <w:tcPr>
            <w:tcW w:w="401" w:type="pct"/>
            <w:shd w:val="clear" w:color="000000" w:fill="FFFFFF"/>
            <w:noWrap/>
            <w:vAlign w:val="center"/>
            <w:hideMark/>
          </w:tcPr>
          <w:p w14:paraId="54D17B24" w14:textId="77777777" w:rsidR="001A5E55" w:rsidRPr="009615A8" w:rsidRDefault="001A5E55" w:rsidP="000A5389">
            <w:pPr>
              <w:spacing w:line="240" w:lineRule="auto"/>
              <w:jc w:val="center"/>
              <w:rPr>
                <w:rFonts w:eastAsia="Times New Roman" w:cs="Times New Roman"/>
                <w:b/>
                <w:bCs/>
                <w:color w:val="000000"/>
                <w:kern w:val="0"/>
                <w:sz w:val="14"/>
                <w:szCs w:val="14"/>
                <w:lang w:eastAsia="es-CO"/>
                <w14:ligatures w14:val="none"/>
              </w:rPr>
            </w:pPr>
            <w:r w:rsidRPr="009615A8">
              <w:rPr>
                <w:rFonts w:eastAsia="Times New Roman" w:cs="Times New Roman"/>
                <w:b/>
                <w:bCs/>
                <w:color w:val="000000"/>
                <w:kern w:val="0"/>
                <w:sz w:val="14"/>
                <w:szCs w:val="14"/>
                <w:lang w:eastAsia="es-CO"/>
                <w14:ligatures w14:val="none"/>
              </w:rPr>
              <w:t>0</w:t>
            </w:r>
          </w:p>
        </w:tc>
        <w:tc>
          <w:tcPr>
            <w:tcW w:w="315" w:type="pct"/>
            <w:shd w:val="clear" w:color="000000" w:fill="FFFFFF"/>
            <w:noWrap/>
            <w:vAlign w:val="center"/>
            <w:hideMark/>
          </w:tcPr>
          <w:p w14:paraId="036DF9E9" w14:textId="77777777" w:rsidR="001A5E55" w:rsidRPr="009615A8" w:rsidRDefault="001A5E55" w:rsidP="000A5389">
            <w:pPr>
              <w:spacing w:line="240" w:lineRule="auto"/>
              <w:jc w:val="center"/>
              <w:rPr>
                <w:rFonts w:eastAsia="Times New Roman" w:cs="Times New Roman"/>
                <w:b/>
                <w:bCs/>
                <w:color w:val="000000"/>
                <w:kern w:val="0"/>
                <w:sz w:val="14"/>
                <w:szCs w:val="14"/>
                <w:lang w:eastAsia="es-CO"/>
                <w14:ligatures w14:val="none"/>
              </w:rPr>
            </w:pPr>
            <w:r w:rsidRPr="009615A8">
              <w:rPr>
                <w:rFonts w:eastAsia="Times New Roman" w:cs="Times New Roman"/>
                <w:b/>
                <w:bCs/>
                <w:color w:val="000000"/>
                <w:kern w:val="0"/>
                <w:sz w:val="14"/>
                <w:szCs w:val="14"/>
                <w:lang w:eastAsia="es-CO"/>
                <w14:ligatures w14:val="none"/>
              </w:rPr>
              <w:t>0</w:t>
            </w:r>
          </w:p>
        </w:tc>
      </w:tr>
      <w:tr w:rsidR="00B44D10" w:rsidRPr="009615A8" w14:paraId="28A5E3BD" w14:textId="77777777" w:rsidTr="00725905">
        <w:trPr>
          <w:trHeight w:val="285"/>
        </w:trPr>
        <w:tc>
          <w:tcPr>
            <w:tcW w:w="950" w:type="pct"/>
            <w:shd w:val="clear" w:color="000000" w:fill="FFFFFF"/>
            <w:vAlign w:val="center"/>
            <w:hideMark/>
          </w:tcPr>
          <w:p w14:paraId="352207E5" w14:textId="77777777" w:rsidR="001A5E55" w:rsidRPr="009615A8" w:rsidRDefault="001A5E55" w:rsidP="000A5389">
            <w:pPr>
              <w:spacing w:line="240" w:lineRule="auto"/>
              <w:rPr>
                <w:rFonts w:eastAsia="Times New Roman" w:cs="Times New Roman"/>
                <w:color w:val="000000"/>
                <w:kern w:val="0"/>
                <w:sz w:val="14"/>
                <w:szCs w:val="14"/>
                <w:lang w:eastAsia="es-CO"/>
                <w14:ligatures w14:val="none"/>
              </w:rPr>
            </w:pPr>
            <w:r w:rsidRPr="009615A8">
              <w:rPr>
                <w:rFonts w:eastAsia="Times New Roman" w:cs="Times New Roman"/>
                <w:color w:val="000000"/>
                <w:kern w:val="0"/>
                <w:sz w:val="14"/>
                <w:szCs w:val="14"/>
                <w:lang w:eastAsia="es-CO"/>
                <w14:ligatures w14:val="none"/>
              </w:rPr>
              <w:t>Nacionales</w:t>
            </w:r>
          </w:p>
        </w:tc>
        <w:tc>
          <w:tcPr>
            <w:tcW w:w="393" w:type="pct"/>
            <w:shd w:val="clear" w:color="000000" w:fill="FFFFFF"/>
            <w:noWrap/>
            <w:vAlign w:val="center"/>
            <w:hideMark/>
          </w:tcPr>
          <w:p w14:paraId="759599A1" w14:textId="77777777" w:rsidR="001A5E55" w:rsidRPr="009615A8" w:rsidRDefault="001A5E55" w:rsidP="000A5389">
            <w:pPr>
              <w:spacing w:line="240" w:lineRule="auto"/>
              <w:jc w:val="center"/>
              <w:rPr>
                <w:rFonts w:eastAsia="Times New Roman" w:cs="Times New Roman"/>
                <w:color w:val="000000"/>
                <w:kern w:val="0"/>
                <w:sz w:val="14"/>
                <w:szCs w:val="14"/>
                <w:lang w:eastAsia="es-CO"/>
                <w14:ligatures w14:val="none"/>
              </w:rPr>
            </w:pPr>
            <w:r w:rsidRPr="009615A8">
              <w:rPr>
                <w:rFonts w:eastAsia="Times New Roman" w:cs="Times New Roman"/>
                <w:color w:val="000000"/>
                <w:kern w:val="0"/>
                <w:sz w:val="14"/>
                <w:szCs w:val="14"/>
                <w:lang w:eastAsia="es-CO"/>
                <w14:ligatures w14:val="none"/>
              </w:rPr>
              <w:t>PJ</w:t>
            </w:r>
          </w:p>
        </w:tc>
        <w:tc>
          <w:tcPr>
            <w:tcW w:w="397" w:type="pct"/>
            <w:shd w:val="clear" w:color="000000" w:fill="FFFFFF"/>
            <w:noWrap/>
            <w:vAlign w:val="center"/>
            <w:hideMark/>
          </w:tcPr>
          <w:p w14:paraId="0733B399" w14:textId="77777777" w:rsidR="001A5E55" w:rsidRPr="009615A8" w:rsidRDefault="001A5E55" w:rsidP="000A5389">
            <w:pPr>
              <w:spacing w:line="240" w:lineRule="auto"/>
              <w:jc w:val="center"/>
              <w:rPr>
                <w:rFonts w:eastAsia="Times New Roman" w:cs="Times New Roman"/>
                <w:color w:val="000000"/>
                <w:kern w:val="0"/>
                <w:sz w:val="14"/>
                <w:szCs w:val="14"/>
                <w:lang w:eastAsia="es-CO"/>
                <w14:ligatures w14:val="none"/>
              </w:rPr>
            </w:pPr>
            <w:r w:rsidRPr="009615A8">
              <w:rPr>
                <w:rFonts w:eastAsia="Times New Roman" w:cs="Times New Roman"/>
                <w:color w:val="000000"/>
                <w:kern w:val="0"/>
                <w:sz w:val="14"/>
                <w:szCs w:val="14"/>
                <w:lang w:eastAsia="es-CO"/>
                <w14:ligatures w14:val="none"/>
              </w:rPr>
              <w:t>28</w:t>
            </w:r>
          </w:p>
        </w:tc>
        <w:tc>
          <w:tcPr>
            <w:tcW w:w="876" w:type="pct"/>
            <w:shd w:val="clear" w:color="000000" w:fill="FFFFFF"/>
            <w:noWrap/>
            <w:vAlign w:val="bottom"/>
            <w:hideMark/>
          </w:tcPr>
          <w:p w14:paraId="657D9CAB" w14:textId="77777777" w:rsidR="001A5E55" w:rsidRPr="009615A8" w:rsidRDefault="001A5E55" w:rsidP="000A5389">
            <w:pPr>
              <w:spacing w:line="240" w:lineRule="auto"/>
              <w:jc w:val="right"/>
              <w:rPr>
                <w:rFonts w:eastAsia="Times New Roman" w:cs="Times New Roman"/>
                <w:color w:val="000000"/>
                <w:kern w:val="0"/>
                <w:sz w:val="14"/>
                <w:szCs w:val="14"/>
                <w:lang w:eastAsia="es-CO"/>
                <w14:ligatures w14:val="none"/>
              </w:rPr>
            </w:pPr>
            <w:r w:rsidRPr="009615A8">
              <w:rPr>
                <w:rFonts w:eastAsia="Times New Roman" w:cs="Times New Roman"/>
                <w:color w:val="000000"/>
                <w:kern w:val="0"/>
                <w:sz w:val="14"/>
                <w:szCs w:val="14"/>
                <w:lang w:eastAsia="es-CO"/>
                <w14:ligatures w14:val="none"/>
              </w:rPr>
              <w:t>23.508.685.658.224</w:t>
            </w:r>
          </w:p>
        </w:tc>
        <w:tc>
          <w:tcPr>
            <w:tcW w:w="319" w:type="pct"/>
            <w:shd w:val="clear" w:color="000000" w:fill="FFFFFF"/>
            <w:noWrap/>
            <w:vAlign w:val="center"/>
            <w:hideMark/>
          </w:tcPr>
          <w:p w14:paraId="1EF02CC8" w14:textId="77777777" w:rsidR="001A5E55" w:rsidRPr="009615A8" w:rsidRDefault="001A5E55" w:rsidP="000A5389">
            <w:pPr>
              <w:spacing w:line="240" w:lineRule="auto"/>
              <w:jc w:val="center"/>
              <w:rPr>
                <w:rFonts w:eastAsia="Times New Roman" w:cs="Times New Roman"/>
                <w:color w:val="000000"/>
                <w:kern w:val="0"/>
                <w:sz w:val="14"/>
                <w:szCs w:val="14"/>
                <w:lang w:eastAsia="es-CO"/>
                <w14:ligatures w14:val="none"/>
              </w:rPr>
            </w:pPr>
            <w:r w:rsidRPr="009615A8">
              <w:rPr>
                <w:rFonts w:eastAsia="Times New Roman" w:cs="Times New Roman"/>
                <w:color w:val="000000"/>
                <w:kern w:val="0"/>
                <w:sz w:val="14"/>
                <w:szCs w:val="14"/>
                <w:lang w:eastAsia="es-CO"/>
                <w14:ligatures w14:val="none"/>
              </w:rPr>
              <w:t>N/A</w:t>
            </w:r>
          </w:p>
        </w:tc>
        <w:tc>
          <w:tcPr>
            <w:tcW w:w="319" w:type="pct"/>
            <w:shd w:val="clear" w:color="000000" w:fill="FFFFFF"/>
            <w:noWrap/>
            <w:vAlign w:val="center"/>
            <w:hideMark/>
          </w:tcPr>
          <w:p w14:paraId="7EF2B444" w14:textId="77777777" w:rsidR="001A5E55" w:rsidRPr="009615A8" w:rsidRDefault="001A5E55" w:rsidP="000A5389">
            <w:pPr>
              <w:spacing w:line="240" w:lineRule="auto"/>
              <w:jc w:val="center"/>
              <w:rPr>
                <w:rFonts w:eastAsia="Times New Roman" w:cs="Times New Roman"/>
                <w:color w:val="000000"/>
                <w:kern w:val="0"/>
                <w:sz w:val="14"/>
                <w:szCs w:val="14"/>
                <w:lang w:eastAsia="es-CO"/>
                <w14:ligatures w14:val="none"/>
              </w:rPr>
            </w:pPr>
            <w:r w:rsidRPr="009615A8">
              <w:rPr>
                <w:rFonts w:eastAsia="Times New Roman" w:cs="Times New Roman"/>
                <w:color w:val="000000"/>
                <w:kern w:val="0"/>
                <w:sz w:val="14"/>
                <w:szCs w:val="14"/>
                <w:lang w:eastAsia="es-CO"/>
                <w14:ligatures w14:val="none"/>
              </w:rPr>
              <w:t>N/A</w:t>
            </w:r>
          </w:p>
        </w:tc>
        <w:tc>
          <w:tcPr>
            <w:tcW w:w="238" w:type="pct"/>
            <w:shd w:val="clear" w:color="000000" w:fill="FFFFFF"/>
            <w:noWrap/>
            <w:vAlign w:val="center"/>
            <w:hideMark/>
          </w:tcPr>
          <w:p w14:paraId="3FFA9D13" w14:textId="77777777" w:rsidR="001A5E55" w:rsidRPr="009615A8" w:rsidRDefault="001A5E55" w:rsidP="000A5389">
            <w:pPr>
              <w:spacing w:line="240" w:lineRule="auto"/>
              <w:jc w:val="center"/>
              <w:rPr>
                <w:rFonts w:eastAsia="Times New Roman" w:cs="Times New Roman"/>
                <w:color w:val="000000"/>
                <w:kern w:val="0"/>
                <w:sz w:val="14"/>
                <w:szCs w:val="14"/>
                <w:lang w:eastAsia="es-CO"/>
                <w14:ligatures w14:val="none"/>
              </w:rPr>
            </w:pPr>
            <w:r w:rsidRPr="009615A8">
              <w:rPr>
                <w:rFonts w:eastAsia="Times New Roman" w:cs="Times New Roman"/>
                <w:color w:val="000000"/>
                <w:kern w:val="0"/>
                <w:sz w:val="14"/>
                <w:szCs w:val="14"/>
                <w:lang w:eastAsia="es-CO"/>
                <w14:ligatures w14:val="none"/>
              </w:rPr>
              <w:t> </w:t>
            </w:r>
          </w:p>
        </w:tc>
        <w:tc>
          <w:tcPr>
            <w:tcW w:w="238" w:type="pct"/>
            <w:shd w:val="clear" w:color="000000" w:fill="FFFFFF"/>
            <w:noWrap/>
            <w:vAlign w:val="center"/>
            <w:hideMark/>
          </w:tcPr>
          <w:p w14:paraId="0C68ABDC" w14:textId="77777777" w:rsidR="001A5E55" w:rsidRPr="009615A8" w:rsidRDefault="001A5E55" w:rsidP="000A5389">
            <w:pPr>
              <w:spacing w:line="240" w:lineRule="auto"/>
              <w:jc w:val="center"/>
              <w:rPr>
                <w:rFonts w:eastAsia="Times New Roman" w:cs="Times New Roman"/>
                <w:color w:val="000000"/>
                <w:kern w:val="0"/>
                <w:sz w:val="14"/>
                <w:szCs w:val="14"/>
                <w:lang w:eastAsia="es-CO"/>
                <w14:ligatures w14:val="none"/>
              </w:rPr>
            </w:pPr>
            <w:r w:rsidRPr="009615A8">
              <w:rPr>
                <w:rFonts w:eastAsia="Times New Roman" w:cs="Times New Roman"/>
                <w:color w:val="000000"/>
                <w:kern w:val="0"/>
                <w:sz w:val="14"/>
                <w:szCs w:val="14"/>
                <w:lang w:eastAsia="es-CO"/>
                <w14:ligatures w14:val="none"/>
              </w:rPr>
              <w:t>0</w:t>
            </w:r>
          </w:p>
        </w:tc>
        <w:tc>
          <w:tcPr>
            <w:tcW w:w="238" w:type="pct"/>
            <w:shd w:val="clear" w:color="000000" w:fill="FFFFFF"/>
            <w:noWrap/>
            <w:vAlign w:val="center"/>
            <w:hideMark/>
          </w:tcPr>
          <w:p w14:paraId="2695D51D" w14:textId="77777777" w:rsidR="001A5E55" w:rsidRPr="009615A8" w:rsidRDefault="001A5E55" w:rsidP="000A5389">
            <w:pPr>
              <w:spacing w:line="240" w:lineRule="auto"/>
              <w:jc w:val="center"/>
              <w:rPr>
                <w:rFonts w:eastAsia="Times New Roman" w:cs="Times New Roman"/>
                <w:color w:val="000000"/>
                <w:kern w:val="0"/>
                <w:sz w:val="14"/>
                <w:szCs w:val="14"/>
                <w:lang w:eastAsia="es-CO"/>
                <w14:ligatures w14:val="none"/>
              </w:rPr>
            </w:pPr>
            <w:r w:rsidRPr="009615A8">
              <w:rPr>
                <w:rFonts w:eastAsia="Times New Roman" w:cs="Times New Roman"/>
                <w:color w:val="000000"/>
                <w:kern w:val="0"/>
                <w:sz w:val="14"/>
                <w:szCs w:val="14"/>
                <w:lang w:eastAsia="es-CO"/>
                <w14:ligatures w14:val="none"/>
              </w:rPr>
              <w:t>0</w:t>
            </w:r>
          </w:p>
        </w:tc>
        <w:tc>
          <w:tcPr>
            <w:tcW w:w="318" w:type="pct"/>
            <w:shd w:val="clear" w:color="000000" w:fill="FFFFFF"/>
            <w:noWrap/>
            <w:vAlign w:val="center"/>
            <w:hideMark/>
          </w:tcPr>
          <w:p w14:paraId="5D1D8A3B" w14:textId="77777777" w:rsidR="001A5E55" w:rsidRPr="009615A8" w:rsidRDefault="001A5E55" w:rsidP="000A5389">
            <w:pPr>
              <w:spacing w:line="240" w:lineRule="auto"/>
              <w:jc w:val="center"/>
              <w:rPr>
                <w:rFonts w:eastAsia="Times New Roman" w:cs="Times New Roman"/>
                <w:color w:val="000000"/>
                <w:kern w:val="0"/>
                <w:sz w:val="14"/>
                <w:szCs w:val="14"/>
                <w:lang w:eastAsia="es-CO"/>
                <w14:ligatures w14:val="none"/>
              </w:rPr>
            </w:pPr>
            <w:r w:rsidRPr="009615A8">
              <w:rPr>
                <w:rFonts w:eastAsia="Times New Roman" w:cs="Times New Roman"/>
                <w:color w:val="000000"/>
                <w:kern w:val="0"/>
                <w:sz w:val="14"/>
                <w:szCs w:val="14"/>
                <w:lang w:eastAsia="es-CO"/>
                <w14:ligatures w14:val="none"/>
              </w:rPr>
              <w:t> </w:t>
            </w:r>
          </w:p>
        </w:tc>
        <w:tc>
          <w:tcPr>
            <w:tcW w:w="401" w:type="pct"/>
            <w:shd w:val="clear" w:color="000000" w:fill="FFFFFF"/>
            <w:noWrap/>
            <w:vAlign w:val="center"/>
            <w:hideMark/>
          </w:tcPr>
          <w:p w14:paraId="514CEB53" w14:textId="77777777" w:rsidR="001A5E55" w:rsidRPr="009615A8" w:rsidRDefault="001A5E55" w:rsidP="000A5389">
            <w:pPr>
              <w:spacing w:line="240" w:lineRule="auto"/>
              <w:jc w:val="center"/>
              <w:rPr>
                <w:rFonts w:eastAsia="Times New Roman" w:cs="Times New Roman"/>
                <w:color w:val="000000"/>
                <w:kern w:val="0"/>
                <w:sz w:val="14"/>
                <w:szCs w:val="14"/>
                <w:lang w:eastAsia="es-CO"/>
                <w14:ligatures w14:val="none"/>
              </w:rPr>
            </w:pPr>
            <w:r w:rsidRPr="009615A8">
              <w:rPr>
                <w:rFonts w:eastAsia="Times New Roman" w:cs="Times New Roman"/>
                <w:color w:val="000000"/>
                <w:kern w:val="0"/>
                <w:sz w:val="14"/>
                <w:szCs w:val="14"/>
                <w:lang w:eastAsia="es-CO"/>
                <w14:ligatures w14:val="none"/>
              </w:rPr>
              <w:t>0</w:t>
            </w:r>
          </w:p>
        </w:tc>
        <w:tc>
          <w:tcPr>
            <w:tcW w:w="315" w:type="pct"/>
            <w:shd w:val="clear" w:color="000000" w:fill="FFFFFF"/>
            <w:noWrap/>
            <w:vAlign w:val="center"/>
            <w:hideMark/>
          </w:tcPr>
          <w:p w14:paraId="0EECAC97" w14:textId="77777777" w:rsidR="001A5E55" w:rsidRPr="009615A8" w:rsidRDefault="001A5E55" w:rsidP="000A5389">
            <w:pPr>
              <w:spacing w:line="240" w:lineRule="auto"/>
              <w:jc w:val="center"/>
              <w:rPr>
                <w:rFonts w:eastAsia="Times New Roman" w:cs="Times New Roman"/>
                <w:color w:val="000000"/>
                <w:kern w:val="0"/>
                <w:sz w:val="14"/>
                <w:szCs w:val="14"/>
                <w:lang w:eastAsia="es-CO"/>
                <w14:ligatures w14:val="none"/>
              </w:rPr>
            </w:pPr>
            <w:r w:rsidRPr="009615A8">
              <w:rPr>
                <w:rFonts w:eastAsia="Times New Roman" w:cs="Times New Roman"/>
                <w:color w:val="000000"/>
                <w:kern w:val="0"/>
                <w:sz w:val="14"/>
                <w:szCs w:val="14"/>
                <w:lang w:eastAsia="es-CO"/>
                <w14:ligatures w14:val="none"/>
              </w:rPr>
              <w:t>0</w:t>
            </w:r>
          </w:p>
        </w:tc>
      </w:tr>
      <w:tr w:rsidR="00B44D10" w:rsidRPr="009615A8" w14:paraId="17B543BA" w14:textId="77777777" w:rsidTr="00725905">
        <w:trPr>
          <w:trHeight w:val="285"/>
        </w:trPr>
        <w:tc>
          <w:tcPr>
            <w:tcW w:w="950" w:type="pct"/>
            <w:shd w:val="clear" w:color="000000" w:fill="FFFFFF"/>
            <w:noWrap/>
            <w:vAlign w:val="center"/>
            <w:hideMark/>
          </w:tcPr>
          <w:p w14:paraId="7F1E9D0D" w14:textId="77777777" w:rsidR="001A5E55" w:rsidRPr="009615A8" w:rsidRDefault="001A5E55" w:rsidP="000A5389">
            <w:pPr>
              <w:spacing w:line="240" w:lineRule="auto"/>
              <w:rPr>
                <w:rFonts w:eastAsia="Times New Roman" w:cs="Times New Roman"/>
                <w:b/>
                <w:bCs/>
                <w:color w:val="000000"/>
                <w:kern w:val="0"/>
                <w:sz w:val="14"/>
                <w:szCs w:val="14"/>
                <w:lang w:eastAsia="es-CO"/>
                <w14:ligatures w14:val="none"/>
              </w:rPr>
            </w:pPr>
            <w:r w:rsidRPr="009615A8">
              <w:rPr>
                <w:rFonts w:eastAsia="Times New Roman" w:cs="Times New Roman"/>
                <w:b/>
                <w:bCs/>
                <w:color w:val="000000"/>
                <w:kern w:val="0"/>
                <w:sz w:val="14"/>
                <w:szCs w:val="14"/>
                <w:lang w:eastAsia="es-CO"/>
                <w14:ligatures w14:val="none"/>
              </w:rPr>
              <w:t>Préstamos del Gobierno General</w:t>
            </w:r>
          </w:p>
        </w:tc>
        <w:tc>
          <w:tcPr>
            <w:tcW w:w="393" w:type="pct"/>
            <w:shd w:val="clear" w:color="000000" w:fill="FFFFFF"/>
            <w:noWrap/>
            <w:vAlign w:val="center"/>
            <w:hideMark/>
          </w:tcPr>
          <w:p w14:paraId="547C024B" w14:textId="77777777" w:rsidR="001A5E55" w:rsidRPr="009615A8" w:rsidRDefault="001A5E55" w:rsidP="000A5389">
            <w:pPr>
              <w:spacing w:line="240" w:lineRule="auto"/>
              <w:rPr>
                <w:rFonts w:eastAsia="Times New Roman" w:cs="Times New Roman"/>
                <w:b/>
                <w:bCs/>
                <w:color w:val="000000"/>
                <w:kern w:val="0"/>
                <w:sz w:val="14"/>
                <w:szCs w:val="14"/>
                <w:lang w:eastAsia="es-CO"/>
                <w14:ligatures w14:val="none"/>
              </w:rPr>
            </w:pPr>
            <w:r w:rsidRPr="009615A8">
              <w:rPr>
                <w:rFonts w:eastAsia="Times New Roman" w:cs="Times New Roman"/>
                <w:b/>
                <w:bCs/>
                <w:color w:val="000000"/>
                <w:kern w:val="0"/>
                <w:sz w:val="14"/>
                <w:szCs w:val="14"/>
                <w:lang w:eastAsia="es-CO"/>
                <w14:ligatures w14:val="none"/>
              </w:rPr>
              <w:t> </w:t>
            </w:r>
          </w:p>
        </w:tc>
        <w:tc>
          <w:tcPr>
            <w:tcW w:w="397" w:type="pct"/>
            <w:shd w:val="clear" w:color="000000" w:fill="FFFFFF"/>
            <w:noWrap/>
            <w:vAlign w:val="center"/>
            <w:hideMark/>
          </w:tcPr>
          <w:p w14:paraId="3470D9C7" w14:textId="77777777" w:rsidR="001A5E55" w:rsidRPr="009615A8" w:rsidRDefault="001A5E55" w:rsidP="000A5389">
            <w:pPr>
              <w:spacing w:line="240" w:lineRule="auto"/>
              <w:rPr>
                <w:rFonts w:eastAsia="Times New Roman" w:cs="Times New Roman"/>
                <w:b/>
                <w:bCs/>
                <w:color w:val="000000"/>
                <w:kern w:val="0"/>
                <w:sz w:val="14"/>
                <w:szCs w:val="14"/>
                <w:lang w:eastAsia="es-CO"/>
                <w14:ligatures w14:val="none"/>
              </w:rPr>
            </w:pPr>
            <w:r w:rsidRPr="009615A8">
              <w:rPr>
                <w:rFonts w:eastAsia="Times New Roman" w:cs="Times New Roman"/>
                <w:b/>
                <w:bCs/>
                <w:color w:val="000000"/>
                <w:kern w:val="0"/>
                <w:sz w:val="14"/>
                <w:szCs w:val="14"/>
                <w:lang w:eastAsia="es-CO"/>
                <w14:ligatures w14:val="none"/>
              </w:rPr>
              <w:t> </w:t>
            </w:r>
          </w:p>
        </w:tc>
        <w:tc>
          <w:tcPr>
            <w:tcW w:w="876" w:type="pct"/>
            <w:shd w:val="clear" w:color="000000" w:fill="FFFFFF"/>
            <w:noWrap/>
            <w:vAlign w:val="center"/>
            <w:hideMark/>
          </w:tcPr>
          <w:p w14:paraId="685F7BA9" w14:textId="77777777" w:rsidR="001A5E55" w:rsidRPr="009615A8" w:rsidRDefault="001A5E55" w:rsidP="000A5389">
            <w:pPr>
              <w:spacing w:line="240" w:lineRule="auto"/>
              <w:jc w:val="right"/>
              <w:rPr>
                <w:rFonts w:eastAsia="Times New Roman" w:cs="Times New Roman"/>
                <w:b/>
                <w:bCs/>
                <w:color w:val="000000"/>
                <w:kern w:val="0"/>
                <w:sz w:val="14"/>
                <w:szCs w:val="14"/>
                <w:lang w:eastAsia="es-CO"/>
                <w14:ligatures w14:val="none"/>
              </w:rPr>
            </w:pPr>
            <w:r w:rsidRPr="009615A8">
              <w:rPr>
                <w:rFonts w:eastAsia="Times New Roman" w:cs="Times New Roman"/>
                <w:b/>
                <w:bCs/>
                <w:color w:val="000000"/>
                <w:kern w:val="0"/>
                <w:sz w:val="14"/>
                <w:szCs w:val="14"/>
                <w:lang w:eastAsia="es-CO"/>
                <w14:ligatures w14:val="none"/>
              </w:rPr>
              <w:t>184.955.230.469</w:t>
            </w:r>
          </w:p>
        </w:tc>
        <w:tc>
          <w:tcPr>
            <w:tcW w:w="319" w:type="pct"/>
            <w:shd w:val="clear" w:color="000000" w:fill="FFFFFF"/>
            <w:noWrap/>
            <w:vAlign w:val="center"/>
            <w:hideMark/>
          </w:tcPr>
          <w:p w14:paraId="3217F077" w14:textId="77777777" w:rsidR="001A5E55" w:rsidRPr="009615A8" w:rsidRDefault="001A5E55" w:rsidP="000A5389">
            <w:pPr>
              <w:spacing w:line="240" w:lineRule="auto"/>
              <w:jc w:val="center"/>
              <w:rPr>
                <w:rFonts w:eastAsia="Times New Roman" w:cs="Times New Roman"/>
                <w:b/>
                <w:bCs/>
                <w:color w:val="000000"/>
                <w:kern w:val="0"/>
                <w:sz w:val="14"/>
                <w:szCs w:val="14"/>
                <w:lang w:eastAsia="es-CO"/>
                <w14:ligatures w14:val="none"/>
              </w:rPr>
            </w:pPr>
            <w:r w:rsidRPr="009615A8">
              <w:rPr>
                <w:rFonts w:eastAsia="Times New Roman" w:cs="Times New Roman"/>
                <w:b/>
                <w:bCs/>
                <w:color w:val="000000"/>
                <w:kern w:val="0"/>
                <w:sz w:val="14"/>
                <w:szCs w:val="14"/>
                <w:lang w:eastAsia="es-CO"/>
                <w14:ligatures w14:val="none"/>
              </w:rPr>
              <w:t>60</w:t>
            </w:r>
          </w:p>
        </w:tc>
        <w:tc>
          <w:tcPr>
            <w:tcW w:w="319" w:type="pct"/>
            <w:shd w:val="clear" w:color="000000" w:fill="FFFFFF"/>
            <w:noWrap/>
            <w:vAlign w:val="center"/>
            <w:hideMark/>
          </w:tcPr>
          <w:p w14:paraId="5B70D88D" w14:textId="77777777" w:rsidR="001A5E55" w:rsidRPr="009615A8" w:rsidRDefault="001A5E55" w:rsidP="000A5389">
            <w:pPr>
              <w:spacing w:line="240" w:lineRule="auto"/>
              <w:jc w:val="center"/>
              <w:rPr>
                <w:rFonts w:eastAsia="Times New Roman" w:cs="Times New Roman"/>
                <w:b/>
                <w:bCs/>
                <w:color w:val="000000"/>
                <w:kern w:val="0"/>
                <w:sz w:val="14"/>
                <w:szCs w:val="14"/>
                <w:lang w:eastAsia="es-CO"/>
                <w14:ligatures w14:val="none"/>
              </w:rPr>
            </w:pPr>
            <w:r w:rsidRPr="009615A8">
              <w:rPr>
                <w:rFonts w:eastAsia="Times New Roman" w:cs="Times New Roman"/>
                <w:b/>
                <w:bCs/>
                <w:color w:val="000000"/>
                <w:kern w:val="0"/>
                <w:sz w:val="14"/>
                <w:szCs w:val="14"/>
                <w:lang w:eastAsia="es-CO"/>
                <w14:ligatures w14:val="none"/>
              </w:rPr>
              <w:t>72</w:t>
            </w:r>
          </w:p>
        </w:tc>
        <w:tc>
          <w:tcPr>
            <w:tcW w:w="238" w:type="pct"/>
            <w:shd w:val="clear" w:color="000000" w:fill="FFFFFF"/>
            <w:noWrap/>
            <w:vAlign w:val="center"/>
            <w:hideMark/>
          </w:tcPr>
          <w:p w14:paraId="13307277" w14:textId="77777777" w:rsidR="001A5E55" w:rsidRPr="009615A8" w:rsidRDefault="001A5E55" w:rsidP="000A5389">
            <w:pPr>
              <w:spacing w:line="240" w:lineRule="auto"/>
              <w:jc w:val="center"/>
              <w:rPr>
                <w:rFonts w:eastAsia="Times New Roman" w:cs="Times New Roman"/>
                <w:b/>
                <w:bCs/>
                <w:color w:val="000000"/>
                <w:kern w:val="0"/>
                <w:sz w:val="14"/>
                <w:szCs w:val="14"/>
                <w:lang w:eastAsia="es-CO"/>
                <w14:ligatures w14:val="none"/>
              </w:rPr>
            </w:pPr>
            <w:r w:rsidRPr="009615A8">
              <w:rPr>
                <w:rFonts w:eastAsia="Times New Roman" w:cs="Times New Roman"/>
                <w:b/>
                <w:bCs/>
                <w:color w:val="000000"/>
                <w:kern w:val="0"/>
                <w:sz w:val="14"/>
                <w:szCs w:val="14"/>
                <w:lang w:eastAsia="es-CO"/>
                <w14:ligatures w14:val="none"/>
              </w:rPr>
              <w:t>N/A</w:t>
            </w:r>
          </w:p>
        </w:tc>
        <w:tc>
          <w:tcPr>
            <w:tcW w:w="238" w:type="pct"/>
            <w:shd w:val="clear" w:color="000000" w:fill="FFFFFF"/>
            <w:noWrap/>
            <w:vAlign w:val="center"/>
            <w:hideMark/>
          </w:tcPr>
          <w:p w14:paraId="44A3FF85" w14:textId="77777777" w:rsidR="001A5E55" w:rsidRPr="009615A8" w:rsidRDefault="001A5E55" w:rsidP="000A5389">
            <w:pPr>
              <w:spacing w:line="240" w:lineRule="auto"/>
              <w:jc w:val="center"/>
              <w:rPr>
                <w:rFonts w:eastAsia="Times New Roman" w:cs="Times New Roman"/>
                <w:b/>
                <w:bCs/>
                <w:color w:val="000000"/>
                <w:kern w:val="0"/>
                <w:sz w:val="14"/>
                <w:szCs w:val="14"/>
                <w:lang w:eastAsia="es-CO"/>
                <w14:ligatures w14:val="none"/>
              </w:rPr>
            </w:pPr>
            <w:r w:rsidRPr="009615A8">
              <w:rPr>
                <w:rFonts w:eastAsia="Times New Roman" w:cs="Times New Roman"/>
                <w:b/>
                <w:bCs/>
                <w:color w:val="000000"/>
                <w:kern w:val="0"/>
                <w:sz w:val="14"/>
                <w:szCs w:val="14"/>
                <w:lang w:eastAsia="es-CO"/>
                <w14:ligatures w14:val="none"/>
              </w:rPr>
              <w:t>0</w:t>
            </w:r>
          </w:p>
        </w:tc>
        <w:tc>
          <w:tcPr>
            <w:tcW w:w="238" w:type="pct"/>
            <w:shd w:val="clear" w:color="000000" w:fill="FFFFFF"/>
            <w:noWrap/>
            <w:vAlign w:val="center"/>
            <w:hideMark/>
          </w:tcPr>
          <w:p w14:paraId="628E654F" w14:textId="77777777" w:rsidR="001A5E55" w:rsidRPr="009615A8" w:rsidRDefault="001A5E55" w:rsidP="000A5389">
            <w:pPr>
              <w:spacing w:line="240" w:lineRule="auto"/>
              <w:jc w:val="center"/>
              <w:rPr>
                <w:rFonts w:eastAsia="Times New Roman" w:cs="Times New Roman"/>
                <w:b/>
                <w:bCs/>
                <w:color w:val="000000"/>
                <w:kern w:val="0"/>
                <w:sz w:val="14"/>
                <w:szCs w:val="14"/>
                <w:lang w:eastAsia="es-CO"/>
                <w14:ligatures w14:val="none"/>
              </w:rPr>
            </w:pPr>
            <w:r w:rsidRPr="009615A8">
              <w:rPr>
                <w:rFonts w:eastAsia="Times New Roman" w:cs="Times New Roman"/>
                <w:b/>
                <w:bCs/>
                <w:color w:val="000000"/>
                <w:kern w:val="0"/>
                <w:sz w:val="14"/>
                <w:szCs w:val="14"/>
                <w:lang w:eastAsia="es-CO"/>
                <w14:ligatures w14:val="none"/>
              </w:rPr>
              <w:t>0</w:t>
            </w:r>
          </w:p>
        </w:tc>
        <w:tc>
          <w:tcPr>
            <w:tcW w:w="318" w:type="pct"/>
            <w:shd w:val="clear" w:color="000000" w:fill="FFFFFF"/>
            <w:noWrap/>
            <w:vAlign w:val="center"/>
            <w:hideMark/>
          </w:tcPr>
          <w:p w14:paraId="0BD1794B" w14:textId="77777777" w:rsidR="001A5E55" w:rsidRPr="009615A8" w:rsidRDefault="001A5E55" w:rsidP="000A5389">
            <w:pPr>
              <w:spacing w:line="240" w:lineRule="auto"/>
              <w:jc w:val="center"/>
              <w:rPr>
                <w:rFonts w:eastAsia="Times New Roman" w:cs="Times New Roman"/>
                <w:b/>
                <w:bCs/>
                <w:color w:val="000000"/>
                <w:kern w:val="0"/>
                <w:sz w:val="14"/>
                <w:szCs w:val="14"/>
                <w:lang w:eastAsia="es-CO"/>
                <w14:ligatures w14:val="none"/>
              </w:rPr>
            </w:pPr>
            <w:r w:rsidRPr="009615A8">
              <w:rPr>
                <w:rFonts w:eastAsia="Times New Roman" w:cs="Times New Roman"/>
                <w:b/>
                <w:bCs/>
                <w:color w:val="000000"/>
                <w:kern w:val="0"/>
                <w:sz w:val="14"/>
                <w:szCs w:val="14"/>
                <w:lang w:eastAsia="es-CO"/>
                <w14:ligatures w14:val="none"/>
              </w:rPr>
              <w:t>N/A</w:t>
            </w:r>
          </w:p>
        </w:tc>
        <w:tc>
          <w:tcPr>
            <w:tcW w:w="401" w:type="pct"/>
            <w:shd w:val="clear" w:color="000000" w:fill="FFFFFF"/>
            <w:noWrap/>
            <w:vAlign w:val="center"/>
            <w:hideMark/>
          </w:tcPr>
          <w:p w14:paraId="7E26F3CE" w14:textId="77777777" w:rsidR="001A5E55" w:rsidRPr="009615A8" w:rsidRDefault="001A5E55" w:rsidP="000A5389">
            <w:pPr>
              <w:spacing w:line="240" w:lineRule="auto"/>
              <w:jc w:val="center"/>
              <w:rPr>
                <w:rFonts w:eastAsia="Times New Roman" w:cs="Times New Roman"/>
                <w:b/>
                <w:bCs/>
                <w:color w:val="000000"/>
                <w:kern w:val="0"/>
                <w:sz w:val="14"/>
                <w:szCs w:val="14"/>
                <w:lang w:eastAsia="es-CO"/>
                <w14:ligatures w14:val="none"/>
              </w:rPr>
            </w:pPr>
            <w:r w:rsidRPr="009615A8">
              <w:rPr>
                <w:rFonts w:eastAsia="Times New Roman" w:cs="Times New Roman"/>
                <w:b/>
                <w:bCs/>
                <w:color w:val="000000"/>
                <w:kern w:val="0"/>
                <w:sz w:val="14"/>
                <w:szCs w:val="14"/>
                <w:lang w:eastAsia="es-CO"/>
                <w14:ligatures w14:val="none"/>
              </w:rPr>
              <w:t>0</w:t>
            </w:r>
          </w:p>
        </w:tc>
        <w:tc>
          <w:tcPr>
            <w:tcW w:w="315" w:type="pct"/>
            <w:shd w:val="clear" w:color="000000" w:fill="FFFFFF"/>
            <w:noWrap/>
            <w:vAlign w:val="center"/>
            <w:hideMark/>
          </w:tcPr>
          <w:p w14:paraId="37642391" w14:textId="77777777" w:rsidR="001A5E55" w:rsidRPr="009615A8" w:rsidRDefault="001A5E55" w:rsidP="000A5389">
            <w:pPr>
              <w:spacing w:line="240" w:lineRule="auto"/>
              <w:jc w:val="center"/>
              <w:rPr>
                <w:rFonts w:eastAsia="Times New Roman" w:cs="Times New Roman"/>
                <w:b/>
                <w:bCs/>
                <w:color w:val="000000"/>
                <w:kern w:val="0"/>
                <w:sz w:val="14"/>
                <w:szCs w:val="14"/>
                <w:lang w:eastAsia="es-CO"/>
                <w14:ligatures w14:val="none"/>
              </w:rPr>
            </w:pPr>
            <w:r w:rsidRPr="009615A8">
              <w:rPr>
                <w:rFonts w:eastAsia="Times New Roman" w:cs="Times New Roman"/>
                <w:b/>
                <w:bCs/>
                <w:color w:val="000000"/>
                <w:kern w:val="0"/>
                <w:sz w:val="14"/>
                <w:szCs w:val="14"/>
                <w:lang w:eastAsia="es-CO"/>
                <w14:ligatures w14:val="none"/>
              </w:rPr>
              <w:t>0</w:t>
            </w:r>
          </w:p>
        </w:tc>
      </w:tr>
      <w:tr w:rsidR="00B44D10" w:rsidRPr="009615A8" w14:paraId="5120F4E7" w14:textId="77777777" w:rsidTr="00725905">
        <w:trPr>
          <w:trHeight w:val="285"/>
        </w:trPr>
        <w:tc>
          <w:tcPr>
            <w:tcW w:w="950" w:type="pct"/>
            <w:shd w:val="clear" w:color="000000" w:fill="FFFFFF"/>
            <w:vAlign w:val="center"/>
            <w:hideMark/>
          </w:tcPr>
          <w:p w14:paraId="1FF3E614" w14:textId="77777777" w:rsidR="001A5E55" w:rsidRPr="009615A8" w:rsidRDefault="001A5E55" w:rsidP="000A5389">
            <w:pPr>
              <w:spacing w:line="240" w:lineRule="auto"/>
              <w:rPr>
                <w:rFonts w:eastAsia="Times New Roman" w:cs="Times New Roman"/>
                <w:color w:val="000000"/>
                <w:kern w:val="0"/>
                <w:sz w:val="14"/>
                <w:szCs w:val="14"/>
                <w:lang w:eastAsia="es-CO"/>
                <w14:ligatures w14:val="none"/>
              </w:rPr>
            </w:pPr>
            <w:r w:rsidRPr="009615A8">
              <w:rPr>
                <w:rFonts w:eastAsia="Times New Roman" w:cs="Times New Roman"/>
                <w:color w:val="000000"/>
                <w:kern w:val="0"/>
                <w:sz w:val="14"/>
                <w:szCs w:val="14"/>
                <w:lang w:eastAsia="es-CO"/>
                <w14:ligatures w14:val="none"/>
              </w:rPr>
              <w:t>Nacionales</w:t>
            </w:r>
          </w:p>
        </w:tc>
        <w:tc>
          <w:tcPr>
            <w:tcW w:w="393" w:type="pct"/>
            <w:shd w:val="clear" w:color="000000" w:fill="FFFFFF"/>
            <w:noWrap/>
            <w:vAlign w:val="center"/>
            <w:hideMark/>
          </w:tcPr>
          <w:p w14:paraId="6ACE46E2" w14:textId="77777777" w:rsidR="001A5E55" w:rsidRPr="009615A8" w:rsidRDefault="001A5E55" w:rsidP="000A5389">
            <w:pPr>
              <w:spacing w:line="240" w:lineRule="auto"/>
              <w:jc w:val="center"/>
              <w:rPr>
                <w:rFonts w:eastAsia="Times New Roman" w:cs="Times New Roman"/>
                <w:color w:val="000000"/>
                <w:kern w:val="0"/>
                <w:sz w:val="14"/>
                <w:szCs w:val="14"/>
                <w:lang w:eastAsia="es-CO"/>
                <w14:ligatures w14:val="none"/>
              </w:rPr>
            </w:pPr>
            <w:r w:rsidRPr="009615A8">
              <w:rPr>
                <w:rFonts w:eastAsia="Times New Roman" w:cs="Times New Roman"/>
                <w:color w:val="000000"/>
                <w:kern w:val="0"/>
                <w:sz w:val="14"/>
                <w:szCs w:val="14"/>
                <w:lang w:eastAsia="es-CO"/>
                <w14:ligatures w14:val="none"/>
              </w:rPr>
              <w:t>PJ</w:t>
            </w:r>
          </w:p>
        </w:tc>
        <w:tc>
          <w:tcPr>
            <w:tcW w:w="397" w:type="pct"/>
            <w:shd w:val="clear" w:color="000000" w:fill="FFFFFF"/>
            <w:noWrap/>
            <w:vAlign w:val="center"/>
            <w:hideMark/>
          </w:tcPr>
          <w:p w14:paraId="06824018" w14:textId="77777777" w:rsidR="001A5E55" w:rsidRPr="009615A8" w:rsidRDefault="001A5E55" w:rsidP="000A5389">
            <w:pPr>
              <w:spacing w:line="240" w:lineRule="auto"/>
              <w:jc w:val="center"/>
              <w:rPr>
                <w:rFonts w:eastAsia="Times New Roman" w:cs="Times New Roman"/>
                <w:color w:val="000000"/>
                <w:kern w:val="0"/>
                <w:sz w:val="14"/>
                <w:szCs w:val="14"/>
                <w:lang w:eastAsia="es-CO"/>
                <w14:ligatures w14:val="none"/>
              </w:rPr>
            </w:pPr>
            <w:r w:rsidRPr="009615A8">
              <w:rPr>
                <w:rFonts w:eastAsia="Times New Roman" w:cs="Times New Roman"/>
                <w:color w:val="000000"/>
                <w:kern w:val="0"/>
                <w:sz w:val="14"/>
                <w:szCs w:val="14"/>
                <w:lang w:eastAsia="es-CO"/>
                <w14:ligatures w14:val="none"/>
              </w:rPr>
              <w:t>11</w:t>
            </w:r>
          </w:p>
        </w:tc>
        <w:tc>
          <w:tcPr>
            <w:tcW w:w="876" w:type="pct"/>
            <w:shd w:val="clear" w:color="000000" w:fill="FFFFFF"/>
            <w:noWrap/>
            <w:vAlign w:val="bottom"/>
            <w:hideMark/>
          </w:tcPr>
          <w:p w14:paraId="4DE19316" w14:textId="77777777" w:rsidR="001A5E55" w:rsidRPr="009615A8" w:rsidRDefault="001A5E55" w:rsidP="000A5389">
            <w:pPr>
              <w:spacing w:line="240" w:lineRule="auto"/>
              <w:jc w:val="right"/>
              <w:rPr>
                <w:rFonts w:eastAsia="Times New Roman" w:cs="Times New Roman"/>
                <w:color w:val="000000"/>
                <w:kern w:val="0"/>
                <w:sz w:val="14"/>
                <w:szCs w:val="14"/>
                <w:lang w:eastAsia="es-CO"/>
                <w14:ligatures w14:val="none"/>
              </w:rPr>
            </w:pPr>
            <w:r w:rsidRPr="009615A8">
              <w:rPr>
                <w:rFonts w:eastAsia="Times New Roman" w:cs="Times New Roman"/>
                <w:color w:val="000000"/>
                <w:kern w:val="0"/>
                <w:sz w:val="14"/>
                <w:szCs w:val="14"/>
                <w:lang w:eastAsia="es-CO"/>
                <w14:ligatures w14:val="none"/>
              </w:rPr>
              <w:t>184.955.230.469</w:t>
            </w:r>
          </w:p>
        </w:tc>
        <w:tc>
          <w:tcPr>
            <w:tcW w:w="319" w:type="pct"/>
            <w:shd w:val="clear" w:color="000000" w:fill="FFFFFF"/>
            <w:noWrap/>
            <w:vAlign w:val="center"/>
            <w:hideMark/>
          </w:tcPr>
          <w:p w14:paraId="61D49FF0" w14:textId="77777777" w:rsidR="001A5E55" w:rsidRPr="009615A8" w:rsidRDefault="001A5E55" w:rsidP="000A5389">
            <w:pPr>
              <w:spacing w:line="240" w:lineRule="auto"/>
              <w:jc w:val="center"/>
              <w:rPr>
                <w:rFonts w:eastAsia="Times New Roman" w:cs="Times New Roman"/>
                <w:color w:val="000000"/>
                <w:kern w:val="0"/>
                <w:sz w:val="14"/>
                <w:szCs w:val="14"/>
                <w:lang w:eastAsia="es-CO"/>
                <w14:ligatures w14:val="none"/>
              </w:rPr>
            </w:pPr>
            <w:r w:rsidRPr="009615A8">
              <w:rPr>
                <w:rFonts w:eastAsia="Times New Roman" w:cs="Times New Roman"/>
                <w:color w:val="000000"/>
                <w:kern w:val="0"/>
                <w:sz w:val="14"/>
                <w:szCs w:val="14"/>
                <w:lang w:eastAsia="es-CO"/>
                <w14:ligatures w14:val="none"/>
              </w:rPr>
              <w:t> </w:t>
            </w:r>
          </w:p>
        </w:tc>
        <w:tc>
          <w:tcPr>
            <w:tcW w:w="319" w:type="pct"/>
            <w:shd w:val="clear" w:color="000000" w:fill="FFFFFF"/>
            <w:noWrap/>
            <w:vAlign w:val="center"/>
            <w:hideMark/>
          </w:tcPr>
          <w:p w14:paraId="35089813" w14:textId="77777777" w:rsidR="001A5E55" w:rsidRPr="009615A8" w:rsidRDefault="001A5E55" w:rsidP="000A5389">
            <w:pPr>
              <w:spacing w:line="240" w:lineRule="auto"/>
              <w:jc w:val="center"/>
              <w:rPr>
                <w:rFonts w:eastAsia="Times New Roman" w:cs="Times New Roman"/>
                <w:color w:val="000000"/>
                <w:kern w:val="0"/>
                <w:sz w:val="14"/>
                <w:szCs w:val="14"/>
                <w:lang w:eastAsia="es-CO"/>
                <w14:ligatures w14:val="none"/>
              </w:rPr>
            </w:pPr>
            <w:r w:rsidRPr="009615A8">
              <w:rPr>
                <w:rFonts w:eastAsia="Times New Roman" w:cs="Times New Roman"/>
                <w:color w:val="000000"/>
                <w:kern w:val="0"/>
                <w:sz w:val="14"/>
                <w:szCs w:val="14"/>
                <w:lang w:eastAsia="es-CO"/>
                <w14:ligatures w14:val="none"/>
              </w:rPr>
              <w:t> </w:t>
            </w:r>
          </w:p>
        </w:tc>
        <w:tc>
          <w:tcPr>
            <w:tcW w:w="238" w:type="pct"/>
            <w:shd w:val="clear" w:color="000000" w:fill="FFFFFF"/>
            <w:noWrap/>
            <w:vAlign w:val="center"/>
            <w:hideMark/>
          </w:tcPr>
          <w:p w14:paraId="25BEDB3C" w14:textId="77777777" w:rsidR="001A5E55" w:rsidRPr="009615A8" w:rsidRDefault="001A5E55" w:rsidP="000A5389">
            <w:pPr>
              <w:spacing w:line="240" w:lineRule="auto"/>
              <w:jc w:val="center"/>
              <w:rPr>
                <w:rFonts w:eastAsia="Times New Roman" w:cs="Times New Roman"/>
                <w:color w:val="000000"/>
                <w:kern w:val="0"/>
                <w:sz w:val="14"/>
                <w:szCs w:val="14"/>
                <w:lang w:eastAsia="es-CO"/>
                <w14:ligatures w14:val="none"/>
              </w:rPr>
            </w:pPr>
            <w:r w:rsidRPr="009615A8">
              <w:rPr>
                <w:rFonts w:eastAsia="Times New Roman" w:cs="Times New Roman"/>
                <w:color w:val="000000"/>
                <w:kern w:val="0"/>
                <w:sz w:val="14"/>
                <w:szCs w:val="14"/>
                <w:lang w:eastAsia="es-CO"/>
                <w14:ligatures w14:val="none"/>
              </w:rPr>
              <w:t> </w:t>
            </w:r>
          </w:p>
        </w:tc>
        <w:tc>
          <w:tcPr>
            <w:tcW w:w="238" w:type="pct"/>
            <w:shd w:val="clear" w:color="000000" w:fill="FFFFFF"/>
            <w:noWrap/>
            <w:vAlign w:val="center"/>
            <w:hideMark/>
          </w:tcPr>
          <w:p w14:paraId="25ED4778" w14:textId="77777777" w:rsidR="001A5E55" w:rsidRPr="009615A8" w:rsidRDefault="001A5E55" w:rsidP="000A5389">
            <w:pPr>
              <w:spacing w:line="240" w:lineRule="auto"/>
              <w:jc w:val="center"/>
              <w:rPr>
                <w:rFonts w:eastAsia="Times New Roman" w:cs="Times New Roman"/>
                <w:color w:val="000000"/>
                <w:kern w:val="0"/>
                <w:sz w:val="14"/>
                <w:szCs w:val="14"/>
                <w:lang w:eastAsia="es-CO"/>
                <w14:ligatures w14:val="none"/>
              </w:rPr>
            </w:pPr>
            <w:r w:rsidRPr="009615A8">
              <w:rPr>
                <w:rFonts w:eastAsia="Times New Roman" w:cs="Times New Roman"/>
                <w:color w:val="000000"/>
                <w:kern w:val="0"/>
                <w:sz w:val="14"/>
                <w:szCs w:val="14"/>
                <w:lang w:eastAsia="es-CO"/>
                <w14:ligatures w14:val="none"/>
              </w:rPr>
              <w:t>0</w:t>
            </w:r>
          </w:p>
        </w:tc>
        <w:tc>
          <w:tcPr>
            <w:tcW w:w="238" w:type="pct"/>
            <w:shd w:val="clear" w:color="000000" w:fill="FFFFFF"/>
            <w:noWrap/>
            <w:vAlign w:val="center"/>
            <w:hideMark/>
          </w:tcPr>
          <w:p w14:paraId="1ADB82B0" w14:textId="77777777" w:rsidR="001A5E55" w:rsidRPr="009615A8" w:rsidRDefault="001A5E55" w:rsidP="000A5389">
            <w:pPr>
              <w:spacing w:line="240" w:lineRule="auto"/>
              <w:jc w:val="center"/>
              <w:rPr>
                <w:rFonts w:eastAsia="Times New Roman" w:cs="Times New Roman"/>
                <w:color w:val="000000"/>
                <w:kern w:val="0"/>
                <w:sz w:val="14"/>
                <w:szCs w:val="14"/>
                <w:lang w:eastAsia="es-CO"/>
                <w14:ligatures w14:val="none"/>
              </w:rPr>
            </w:pPr>
            <w:r w:rsidRPr="009615A8">
              <w:rPr>
                <w:rFonts w:eastAsia="Times New Roman" w:cs="Times New Roman"/>
                <w:color w:val="000000"/>
                <w:kern w:val="0"/>
                <w:sz w:val="14"/>
                <w:szCs w:val="14"/>
                <w:lang w:eastAsia="es-CO"/>
                <w14:ligatures w14:val="none"/>
              </w:rPr>
              <w:t>0</w:t>
            </w:r>
          </w:p>
        </w:tc>
        <w:tc>
          <w:tcPr>
            <w:tcW w:w="318" w:type="pct"/>
            <w:shd w:val="clear" w:color="000000" w:fill="FFFFFF"/>
            <w:noWrap/>
            <w:vAlign w:val="center"/>
            <w:hideMark/>
          </w:tcPr>
          <w:p w14:paraId="72316756" w14:textId="77777777" w:rsidR="001A5E55" w:rsidRPr="009615A8" w:rsidRDefault="001A5E55" w:rsidP="000A5389">
            <w:pPr>
              <w:spacing w:line="240" w:lineRule="auto"/>
              <w:jc w:val="center"/>
              <w:rPr>
                <w:rFonts w:eastAsia="Times New Roman" w:cs="Times New Roman"/>
                <w:color w:val="000000"/>
                <w:kern w:val="0"/>
                <w:sz w:val="14"/>
                <w:szCs w:val="14"/>
                <w:lang w:eastAsia="es-CO"/>
                <w14:ligatures w14:val="none"/>
              </w:rPr>
            </w:pPr>
            <w:r w:rsidRPr="009615A8">
              <w:rPr>
                <w:rFonts w:eastAsia="Times New Roman" w:cs="Times New Roman"/>
                <w:color w:val="000000"/>
                <w:kern w:val="0"/>
                <w:sz w:val="14"/>
                <w:szCs w:val="14"/>
                <w:lang w:eastAsia="es-CO"/>
                <w14:ligatures w14:val="none"/>
              </w:rPr>
              <w:t> </w:t>
            </w:r>
          </w:p>
        </w:tc>
        <w:tc>
          <w:tcPr>
            <w:tcW w:w="401" w:type="pct"/>
            <w:shd w:val="clear" w:color="000000" w:fill="FFFFFF"/>
            <w:noWrap/>
            <w:vAlign w:val="center"/>
            <w:hideMark/>
          </w:tcPr>
          <w:p w14:paraId="6C56406E" w14:textId="77777777" w:rsidR="001A5E55" w:rsidRPr="009615A8" w:rsidRDefault="001A5E55" w:rsidP="000A5389">
            <w:pPr>
              <w:spacing w:line="240" w:lineRule="auto"/>
              <w:jc w:val="center"/>
              <w:rPr>
                <w:rFonts w:eastAsia="Times New Roman" w:cs="Times New Roman"/>
                <w:color w:val="000000"/>
                <w:kern w:val="0"/>
                <w:sz w:val="14"/>
                <w:szCs w:val="14"/>
                <w:lang w:eastAsia="es-CO"/>
                <w14:ligatures w14:val="none"/>
              </w:rPr>
            </w:pPr>
            <w:r w:rsidRPr="009615A8">
              <w:rPr>
                <w:rFonts w:eastAsia="Times New Roman" w:cs="Times New Roman"/>
                <w:color w:val="000000"/>
                <w:kern w:val="0"/>
                <w:sz w:val="14"/>
                <w:szCs w:val="14"/>
                <w:lang w:eastAsia="es-CO"/>
                <w14:ligatures w14:val="none"/>
              </w:rPr>
              <w:t>0</w:t>
            </w:r>
          </w:p>
        </w:tc>
        <w:tc>
          <w:tcPr>
            <w:tcW w:w="315" w:type="pct"/>
            <w:shd w:val="clear" w:color="000000" w:fill="FFFFFF"/>
            <w:noWrap/>
            <w:vAlign w:val="center"/>
            <w:hideMark/>
          </w:tcPr>
          <w:p w14:paraId="43F2B545" w14:textId="77777777" w:rsidR="001A5E55" w:rsidRPr="009615A8" w:rsidRDefault="001A5E55" w:rsidP="000A5389">
            <w:pPr>
              <w:spacing w:line="240" w:lineRule="auto"/>
              <w:jc w:val="center"/>
              <w:rPr>
                <w:rFonts w:eastAsia="Times New Roman" w:cs="Times New Roman"/>
                <w:color w:val="000000"/>
                <w:kern w:val="0"/>
                <w:sz w:val="14"/>
                <w:szCs w:val="14"/>
                <w:lang w:eastAsia="es-CO"/>
                <w14:ligatures w14:val="none"/>
              </w:rPr>
            </w:pPr>
            <w:r w:rsidRPr="009615A8">
              <w:rPr>
                <w:rFonts w:eastAsia="Times New Roman" w:cs="Times New Roman"/>
                <w:color w:val="000000"/>
                <w:kern w:val="0"/>
                <w:sz w:val="14"/>
                <w:szCs w:val="14"/>
                <w:lang w:eastAsia="es-CO"/>
                <w14:ligatures w14:val="none"/>
              </w:rPr>
              <w:t>0</w:t>
            </w:r>
          </w:p>
        </w:tc>
      </w:tr>
    </w:tbl>
    <w:p w14:paraId="25804BD4" w14:textId="35DF66A2" w:rsidR="4F530EBC" w:rsidRPr="00951AB1" w:rsidRDefault="3C8603C3" w:rsidP="000A5389">
      <w:pPr>
        <w:spacing w:line="240" w:lineRule="auto"/>
        <w:rPr>
          <w:rFonts w:eastAsia="Times New Roman" w:cs="Times New Roman"/>
          <w:color w:val="000000" w:themeColor="text1"/>
          <w:sz w:val="16"/>
          <w:szCs w:val="16"/>
          <w:lang w:eastAsia="es-CO"/>
        </w:rPr>
      </w:pPr>
      <w:r w:rsidRPr="00951AB1">
        <w:rPr>
          <w:rFonts w:eastAsia="Times New Roman" w:cs="Times New Roman"/>
          <w:color w:val="000000" w:themeColor="text1"/>
          <w:sz w:val="16"/>
          <w:szCs w:val="16"/>
          <w:lang w:eastAsia="es-CO"/>
        </w:rPr>
        <w:t>Cifras en pesos</w:t>
      </w:r>
    </w:p>
    <w:p w14:paraId="5AB5E86F" w14:textId="77777777" w:rsidR="002E333D" w:rsidRDefault="002E333D" w:rsidP="000A5389">
      <w:pPr>
        <w:spacing w:line="240" w:lineRule="auto"/>
        <w:rPr>
          <w:rFonts w:eastAsia="Times New Roman" w:cs="Times New Roman"/>
          <w:szCs w:val="24"/>
        </w:rPr>
      </w:pPr>
    </w:p>
    <w:p w14:paraId="34C45D17" w14:textId="20D9B307" w:rsidR="5FAFBC59" w:rsidRDefault="5FAFBC59" w:rsidP="000A5389">
      <w:pPr>
        <w:spacing w:line="240" w:lineRule="auto"/>
        <w:rPr>
          <w:rFonts w:eastAsia="Times New Roman" w:cs="Times New Roman"/>
          <w:szCs w:val="24"/>
        </w:rPr>
      </w:pPr>
      <w:r w:rsidRPr="2B7B493F">
        <w:rPr>
          <w:rFonts w:eastAsia="Times New Roman" w:cs="Times New Roman"/>
          <w:szCs w:val="24"/>
        </w:rPr>
        <w:t>Para estos pasivos de financiamiento interno de largo plazo no aplican detalles de la transacción, seguimiento a cumplimiento de infracciones, detalles de la negociación o corrección de infracción, por su origen.</w:t>
      </w:r>
    </w:p>
    <w:p w14:paraId="28A77D67" w14:textId="03A57394" w:rsidR="5FAFBC59" w:rsidRDefault="5FAFBC59" w:rsidP="000A5389">
      <w:pPr>
        <w:spacing w:line="240" w:lineRule="auto"/>
        <w:rPr>
          <w:rFonts w:eastAsia="Times New Roman" w:cs="Times New Roman"/>
          <w:szCs w:val="24"/>
        </w:rPr>
      </w:pPr>
    </w:p>
    <w:tbl>
      <w:tblPr>
        <w:tblW w:w="0" w:type="auto"/>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699"/>
        <w:gridCol w:w="427"/>
        <w:gridCol w:w="2839"/>
        <w:gridCol w:w="1704"/>
        <w:gridCol w:w="1704"/>
        <w:gridCol w:w="1455"/>
      </w:tblGrid>
      <w:tr w:rsidR="3528CA2C" w14:paraId="464952F2" w14:textId="77777777" w:rsidTr="3528CA2C">
        <w:trPr>
          <w:trHeight w:val="293"/>
        </w:trPr>
        <w:tc>
          <w:tcPr>
            <w:tcW w:w="3965" w:type="dxa"/>
            <w:gridSpan w:val="3"/>
            <w:vAlign w:val="center"/>
          </w:tcPr>
          <w:p w14:paraId="7AD0E4AA" w14:textId="77777777" w:rsidR="3528CA2C" w:rsidRDefault="3528CA2C" w:rsidP="000A5389">
            <w:pPr>
              <w:spacing w:line="240" w:lineRule="auto"/>
              <w:jc w:val="center"/>
              <w:rPr>
                <w:rFonts w:eastAsia="Times New Roman" w:cs="Times New Roman"/>
                <w:b/>
                <w:bCs/>
                <w:color w:val="000000" w:themeColor="text1"/>
                <w:sz w:val="16"/>
                <w:szCs w:val="16"/>
                <w:lang w:eastAsia="es-CO"/>
              </w:rPr>
            </w:pPr>
            <w:r w:rsidRPr="3528CA2C">
              <w:rPr>
                <w:rFonts w:eastAsia="Times New Roman" w:cs="Times New Roman"/>
                <w:b/>
                <w:bCs/>
                <w:color w:val="000000" w:themeColor="text1"/>
                <w:sz w:val="16"/>
                <w:szCs w:val="16"/>
                <w:lang w:eastAsia="es-CO"/>
              </w:rPr>
              <w:t>DESCRIPCIÓN</w:t>
            </w:r>
          </w:p>
        </w:tc>
        <w:tc>
          <w:tcPr>
            <w:tcW w:w="3408" w:type="dxa"/>
            <w:gridSpan w:val="2"/>
            <w:vAlign w:val="center"/>
          </w:tcPr>
          <w:p w14:paraId="14ED956E" w14:textId="77777777" w:rsidR="3528CA2C" w:rsidRDefault="3528CA2C" w:rsidP="000A5389">
            <w:pPr>
              <w:spacing w:line="240" w:lineRule="auto"/>
              <w:jc w:val="center"/>
              <w:rPr>
                <w:rFonts w:eastAsia="Times New Roman" w:cs="Times New Roman"/>
                <w:b/>
                <w:bCs/>
                <w:color w:val="000000" w:themeColor="text1"/>
                <w:sz w:val="16"/>
                <w:szCs w:val="16"/>
                <w:lang w:eastAsia="es-CO"/>
              </w:rPr>
            </w:pPr>
            <w:r w:rsidRPr="3528CA2C">
              <w:rPr>
                <w:rFonts w:eastAsia="Times New Roman" w:cs="Times New Roman"/>
                <w:b/>
                <w:bCs/>
                <w:color w:val="000000" w:themeColor="text1"/>
                <w:sz w:val="16"/>
                <w:szCs w:val="16"/>
                <w:lang w:eastAsia="es-CO"/>
              </w:rPr>
              <w:t>SALDOS A CORTES DE VIGENCIA</w:t>
            </w:r>
          </w:p>
        </w:tc>
        <w:tc>
          <w:tcPr>
            <w:tcW w:w="1455" w:type="dxa"/>
            <w:vMerge w:val="restart"/>
            <w:vAlign w:val="center"/>
          </w:tcPr>
          <w:p w14:paraId="2EF24B99" w14:textId="77777777" w:rsidR="3528CA2C" w:rsidRDefault="3528CA2C" w:rsidP="000A5389">
            <w:pPr>
              <w:spacing w:line="240" w:lineRule="auto"/>
              <w:jc w:val="center"/>
              <w:rPr>
                <w:rFonts w:eastAsia="Times New Roman" w:cs="Times New Roman"/>
                <w:b/>
                <w:bCs/>
                <w:color w:val="000000" w:themeColor="text1"/>
                <w:sz w:val="16"/>
                <w:szCs w:val="16"/>
                <w:lang w:eastAsia="es-CO"/>
              </w:rPr>
            </w:pPr>
            <w:r w:rsidRPr="3528CA2C">
              <w:rPr>
                <w:rFonts w:eastAsia="Times New Roman" w:cs="Times New Roman"/>
                <w:b/>
                <w:bCs/>
                <w:color w:val="000000" w:themeColor="text1"/>
                <w:sz w:val="16"/>
                <w:szCs w:val="16"/>
                <w:lang w:eastAsia="es-CO"/>
              </w:rPr>
              <w:t>VALOR VARIACIÓN</w:t>
            </w:r>
          </w:p>
        </w:tc>
      </w:tr>
      <w:tr w:rsidR="3528CA2C" w14:paraId="02A6B03B" w14:textId="77777777" w:rsidTr="3528CA2C">
        <w:trPr>
          <w:trHeight w:val="293"/>
        </w:trPr>
        <w:tc>
          <w:tcPr>
            <w:tcW w:w="3965" w:type="dxa"/>
            <w:gridSpan w:val="3"/>
            <w:vAlign w:val="center"/>
          </w:tcPr>
          <w:p w14:paraId="28D778B8" w14:textId="77777777" w:rsidR="3528CA2C" w:rsidRDefault="3528CA2C" w:rsidP="000A5389">
            <w:pPr>
              <w:spacing w:line="240" w:lineRule="auto"/>
              <w:rPr>
                <w:rFonts w:eastAsia="Times New Roman" w:cs="Times New Roman"/>
                <w:b/>
                <w:bCs/>
                <w:color w:val="000000" w:themeColor="text1"/>
                <w:sz w:val="16"/>
                <w:szCs w:val="16"/>
                <w:lang w:eastAsia="es-CO"/>
              </w:rPr>
            </w:pPr>
            <w:r w:rsidRPr="3528CA2C">
              <w:rPr>
                <w:rFonts w:eastAsia="Times New Roman" w:cs="Times New Roman"/>
                <w:b/>
                <w:bCs/>
                <w:color w:val="000000" w:themeColor="text1"/>
                <w:sz w:val="16"/>
                <w:szCs w:val="16"/>
                <w:lang w:eastAsia="es-CO"/>
              </w:rPr>
              <w:t>CONCEPTO</w:t>
            </w:r>
          </w:p>
        </w:tc>
        <w:tc>
          <w:tcPr>
            <w:tcW w:w="1704" w:type="dxa"/>
            <w:vAlign w:val="center"/>
          </w:tcPr>
          <w:p w14:paraId="11BC2BB1" w14:textId="77777777" w:rsidR="3528CA2C" w:rsidRDefault="3528CA2C" w:rsidP="000A5389">
            <w:pPr>
              <w:spacing w:line="240" w:lineRule="auto"/>
              <w:jc w:val="center"/>
              <w:rPr>
                <w:rFonts w:eastAsia="Times New Roman" w:cs="Times New Roman"/>
                <w:b/>
                <w:bCs/>
                <w:color w:val="000000" w:themeColor="text1"/>
                <w:sz w:val="16"/>
                <w:szCs w:val="16"/>
                <w:lang w:eastAsia="es-CO"/>
              </w:rPr>
            </w:pPr>
            <w:r w:rsidRPr="3528CA2C">
              <w:rPr>
                <w:rFonts w:eastAsia="Times New Roman" w:cs="Times New Roman"/>
                <w:b/>
                <w:bCs/>
                <w:color w:val="000000" w:themeColor="text1"/>
                <w:sz w:val="16"/>
                <w:szCs w:val="16"/>
                <w:lang w:eastAsia="es-CO"/>
              </w:rPr>
              <w:t>2025</w:t>
            </w:r>
          </w:p>
        </w:tc>
        <w:tc>
          <w:tcPr>
            <w:tcW w:w="1704" w:type="dxa"/>
            <w:vAlign w:val="center"/>
          </w:tcPr>
          <w:p w14:paraId="7C1C4922" w14:textId="77777777" w:rsidR="3528CA2C" w:rsidRDefault="3528CA2C" w:rsidP="000A5389">
            <w:pPr>
              <w:spacing w:line="240" w:lineRule="auto"/>
              <w:jc w:val="center"/>
              <w:rPr>
                <w:rFonts w:eastAsia="Times New Roman" w:cs="Times New Roman"/>
                <w:b/>
                <w:bCs/>
                <w:color w:val="000000" w:themeColor="text1"/>
                <w:sz w:val="16"/>
                <w:szCs w:val="16"/>
                <w:lang w:eastAsia="es-CO"/>
              </w:rPr>
            </w:pPr>
            <w:r w:rsidRPr="3528CA2C">
              <w:rPr>
                <w:rFonts w:eastAsia="Times New Roman" w:cs="Times New Roman"/>
                <w:b/>
                <w:bCs/>
                <w:color w:val="000000" w:themeColor="text1"/>
                <w:sz w:val="16"/>
                <w:szCs w:val="16"/>
                <w:lang w:eastAsia="es-CO"/>
              </w:rPr>
              <w:t>2024</w:t>
            </w:r>
          </w:p>
        </w:tc>
        <w:tc>
          <w:tcPr>
            <w:tcW w:w="1455" w:type="dxa"/>
            <w:vMerge/>
          </w:tcPr>
          <w:p w14:paraId="6A2B306D" w14:textId="77777777" w:rsidR="00CE2D1A" w:rsidRDefault="00CE2D1A" w:rsidP="000A5389">
            <w:pPr>
              <w:spacing w:line="240" w:lineRule="auto"/>
            </w:pPr>
          </w:p>
        </w:tc>
      </w:tr>
      <w:tr w:rsidR="3528CA2C" w14:paraId="1CC81973" w14:textId="77777777" w:rsidTr="3528CA2C">
        <w:trPr>
          <w:trHeight w:val="293"/>
        </w:trPr>
        <w:tc>
          <w:tcPr>
            <w:tcW w:w="3965" w:type="dxa"/>
            <w:gridSpan w:val="3"/>
            <w:vAlign w:val="center"/>
          </w:tcPr>
          <w:p w14:paraId="7F118B79" w14:textId="77777777" w:rsidR="3528CA2C" w:rsidRDefault="3528CA2C" w:rsidP="000A5389">
            <w:pPr>
              <w:spacing w:line="240" w:lineRule="auto"/>
              <w:rPr>
                <w:rFonts w:eastAsia="Times New Roman" w:cs="Times New Roman"/>
                <w:b/>
                <w:bCs/>
                <w:color w:val="000000" w:themeColor="text1"/>
                <w:sz w:val="16"/>
                <w:szCs w:val="16"/>
                <w:lang w:eastAsia="es-CO"/>
              </w:rPr>
            </w:pPr>
            <w:r w:rsidRPr="3528CA2C">
              <w:rPr>
                <w:rFonts w:eastAsia="Times New Roman" w:cs="Times New Roman"/>
                <w:b/>
                <w:bCs/>
                <w:color w:val="000000" w:themeColor="text1"/>
                <w:sz w:val="16"/>
                <w:szCs w:val="16"/>
                <w:lang w:eastAsia="es-CO"/>
              </w:rPr>
              <w:t>PRÉSTAMOS POR PAGAR</w:t>
            </w:r>
          </w:p>
        </w:tc>
        <w:tc>
          <w:tcPr>
            <w:tcW w:w="1704" w:type="dxa"/>
            <w:vAlign w:val="center"/>
          </w:tcPr>
          <w:p w14:paraId="4579D639" w14:textId="77777777" w:rsidR="3528CA2C" w:rsidRDefault="3528CA2C" w:rsidP="000A5389">
            <w:pPr>
              <w:spacing w:line="240" w:lineRule="auto"/>
              <w:jc w:val="right"/>
              <w:rPr>
                <w:rFonts w:eastAsia="Times New Roman" w:cs="Times New Roman"/>
                <w:b/>
                <w:bCs/>
                <w:color w:val="000000" w:themeColor="text1"/>
                <w:sz w:val="16"/>
                <w:szCs w:val="16"/>
                <w:lang w:eastAsia="es-CO"/>
              </w:rPr>
            </w:pPr>
            <w:r w:rsidRPr="3528CA2C">
              <w:rPr>
                <w:rFonts w:eastAsia="Times New Roman" w:cs="Times New Roman"/>
                <w:b/>
                <w:bCs/>
                <w:color w:val="000000" w:themeColor="text1"/>
                <w:sz w:val="16"/>
                <w:szCs w:val="16"/>
                <w:lang w:eastAsia="es-CO"/>
              </w:rPr>
              <w:t>23.508.685.658.224</w:t>
            </w:r>
          </w:p>
        </w:tc>
        <w:tc>
          <w:tcPr>
            <w:tcW w:w="1704" w:type="dxa"/>
            <w:vAlign w:val="center"/>
          </w:tcPr>
          <w:p w14:paraId="685412A7" w14:textId="77777777" w:rsidR="3528CA2C" w:rsidRDefault="3528CA2C" w:rsidP="000A5389">
            <w:pPr>
              <w:spacing w:line="240" w:lineRule="auto"/>
              <w:jc w:val="right"/>
              <w:rPr>
                <w:rFonts w:eastAsia="Times New Roman" w:cs="Times New Roman"/>
                <w:b/>
                <w:bCs/>
                <w:color w:val="000000" w:themeColor="text1"/>
                <w:sz w:val="16"/>
                <w:szCs w:val="16"/>
                <w:lang w:eastAsia="es-CO"/>
              </w:rPr>
            </w:pPr>
            <w:r w:rsidRPr="3528CA2C">
              <w:rPr>
                <w:rFonts w:eastAsia="Times New Roman" w:cs="Times New Roman"/>
                <w:b/>
                <w:bCs/>
                <w:color w:val="000000" w:themeColor="text1"/>
                <w:sz w:val="16"/>
                <w:szCs w:val="16"/>
                <w:lang w:eastAsia="es-CO"/>
              </w:rPr>
              <w:t>24.416.759.359.577</w:t>
            </w:r>
          </w:p>
        </w:tc>
        <w:tc>
          <w:tcPr>
            <w:tcW w:w="1455" w:type="dxa"/>
            <w:vAlign w:val="center"/>
          </w:tcPr>
          <w:p w14:paraId="6C8D8F21" w14:textId="77777777" w:rsidR="3528CA2C" w:rsidRDefault="3528CA2C" w:rsidP="000A5389">
            <w:pPr>
              <w:spacing w:line="240" w:lineRule="auto"/>
              <w:jc w:val="right"/>
              <w:rPr>
                <w:rFonts w:eastAsia="Times New Roman" w:cs="Times New Roman"/>
                <w:b/>
                <w:bCs/>
                <w:color w:val="000000" w:themeColor="text1"/>
                <w:sz w:val="16"/>
                <w:szCs w:val="16"/>
                <w:lang w:eastAsia="es-CO"/>
              </w:rPr>
            </w:pPr>
            <w:r w:rsidRPr="3528CA2C">
              <w:rPr>
                <w:rFonts w:eastAsia="Times New Roman" w:cs="Times New Roman"/>
                <w:b/>
                <w:bCs/>
                <w:color w:val="000000" w:themeColor="text1"/>
                <w:sz w:val="16"/>
                <w:szCs w:val="16"/>
                <w:lang w:eastAsia="es-CO"/>
              </w:rPr>
              <w:t>-723.118.470.884</w:t>
            </w:r>
          </w:p>
        </w:tc>
      </w:tr>
      <w:tr w:rsidR="3528CA2C" w14:paraId="2BD26C09" w14:textId="77777777" w:rsidTr="3528CA2C">
        <w:trPr>
          <w:trHeight w:val="780"/>
        </w:trPr>
        <w:tc>
          <w:tcPr>
            <w:tcW w:w="699" w:type="dxa"/>
            <w:vAlign w:val="center"/>
          </w:tcPr>
          <w:p w14:paraId="08F09DFB" w14:textId="77777777" w:rsidR="3528CA2C" w:rsidRDefault="3528CA2C" w:rsidP="000A5389">
            <w:pPr>
              <w:spacing w:line="240" w:lineRule="auto"/>
              <w:jc w:val="center"/>
              <w:rPr>
                <w:rFonts w:eastAsia="Times New Roman" w:cs="Times New Roman"/>
                <w:color w:val="000000" w:themeColor="text1"/>
                <w:sz w:val="16"/>
                <w:szCs w:val="16"/>
                <w:lang w:eastAsia="es-CO"/>
              </w:rPr>
            </w:pPr>
            <w:r w:rsidRPr="3528CA2C">
              <w:rPr>
                <w:rFonts w:eastAsia="Times New Roman" w:cs="Times New Roman"/>
                <w:color w:val="000000" w:themeColor="text1"/>
                <w:sz w:val="16"/>
                <w:szCs w:val="16"/>
                <w:lang w:eastAsia="es-CO"/>
              </w:rPr>
              <w:t>2.3.14</w:t>
            </w:r>
          </w:p>
        </w:tc>
        <w:tc>
          <w:tcPr>
            <w:tcW w:w="427" w:type="dxa"/>
            <w:vAlign w:val="center"/>
          </w:tcPr>
          <w:p w14:paraId="42AAB558" w14:textId="77777777" w:rsidR="3528CA2C" w:rsidRDefault="3528CA2C" w:rsidP="000A5389">
            <w:pPr>
              <w:spacing w:line="240" w:lineRule="auto"/>
              <w:jc w:val="center"/>
              <w:rPr>
                <w:rFonts w:eastAsia="Times New Roman" w:cs="Times New Roman"/>
                <w:color w:val="000000" w:themeColor="text1"/>
                <w:sz w:val="16"/>
                <w:szCs w:val="16"/>
                <w:lang w:eastAsia="es-CO"/>
              </w:rPr>
            </w:pPr>
            <w:r w:rsidRPr="3528CA2C">
              <w:rPr>
                <w:rFonts w:eastAsia="Times New Roman" w:cs="Times New Roman"/>
                <w:color w:val="000000" w:themeColor="text1"/>
                <w:sz w:val="16"/>
                <w:szCs w:val="16"/>
                <w:lang w:eastAsia="es-CO"/>
              </w:rPr>
              <w:t>Cr</w:t>
            </w:r>
          </w:p>
        </w:tc>
        <w:tc>
          <w:tcPr>
            <w:tcW w:w="2839" w:type="dxa"/>
            <w:vAlign w:val="center"/>
          </w:tcPr>
          <w:p w14:paraId="7B2404F0" w14:textId="77777777" w:rsidR="3528CA2C" w:rsidRDefault="3528CA2C" w:rsidP="000A5389">
            <w:pPr>
              <w:spacing w:line="240" w:lineRule="auto"/>
              <w:rPr>
                <w:rFonts w:eastAsia="Times New Roman" w:cs="Times New Roman"/>
                <w:color w:val="000000" w:themeColor="text1"/>
                <w:sz w:val="16"/>
                <w:szCs w:val="16"/>
                <w:lang w:eastAsia="es-CO"/>
              </w:rPr>
            </w:pPr>
            <w:r w:rsidRPr="3528CA2C">
              <w:rPr>
                <w:rFonts w:eastAsia="Times New Roman" w:cs="Times New Roman"/>
                <w:color w:val="000000" w:themeColor="text1"/>
                <w:sz w:val="16"/>
                <w:szCs w:val="16"/>
                <w:lang w:eastAsia="es-CO"/>
              </w:rPr>
              <w:t xml:space="preserve">Pasivo financiero por acuerdos de concesión (concedente) </w:t>
            </w:r>
          </w:p>
        </w:tc>
        <w:tc>
          <w:tcPr>
            <w:tcW w:w="1704" w:type="dxa"/>
            <w:vAlign w:val="center"/>
          </w:tcPr>
          <w:p w14:paraId="0655C7BF" w14:textId="77777777" w:rsidR="3528CA2C" w:rsidRDefault="3528CA2C" w:rsidP="000A5389">
            <w:pPr>
              <w:spacing w:line="240" w:lineRule="auto"/>
              <w:jc w:val="right"/>
              <w:rPr>
                <w:rFonts w:eastAsia="Times New Roman" w:cs="Times New Roman"/>
                <w:color w:val="000000" w:themeColor="text1"/>
                <w:sz w:val="16"/>
                <w:szCs w:val="16"/>
                <w:lang w:eastAsia="es-CO"/>
              </w:rPr>
            </w:pPr>
            <w:r w:rsidRPr="3528CA2C">
              <w:rPr>
                <w:rFonts w:eastAsia="Times New Roman" w:cs="Times New Roman"/>
                <w:color w:val="000000" w:themeColor="text1"/>
                <w:sz w:val="16"/>
                <w:szCs w:val="16"/>
                <w:lang w:eastAsia="es-CO"/>
              </w:rPr>
              <w:t>23.508.685.658.224</w:t>
            </w:r>
          </w:p>
        </w:tc>
        <w:tc>
          <w:tcPr>
            <w:tcW w:w="1704" w:type="dxa"/>
            <w:vAlign w:val="center"/>
          </w:tcPr>
          <w:p w14:paraId="489B6ADC" w14:textId="77777777" w:rsidR="3528CA2C" w:rsidRDefault="3528CA2C" w:rsidP="000A5389">
            <w:pPr>
              <w:spacing w:line="240" w:lineRule="auto"/>
              <w:jc w:val="right"/>
              <w:rPr>
                <w:rFonts w:eastAsia="Times New Roman" w:cs="Times New Roman"/>
                <w:color w:val="000000" w:themeColor="text1"/>
                <w:sz w:val="16"/>
                <w:szCs w:val="16"/>
                <w:lang w:eastAsia="es-CO"/>
              </w:rPr>
            </w:pPr>
            <w:r w:rsidRPr="3528CA2C">
              <w:rPr>
                <w:rFonts w:eastAsia="Times New Roman" w:cs="Times New Roman"/>
                <w:color w:val="000000" w:themeColor="text1"/>
                <w:sz w:val="16"/>
                <w:szCs w:val="16"/>
                <w:lang w:eastAsia="es-CO"/>
              </w:rPr>
              <w:t>24.162.940.907.727</w:t>
            </w:r>
          </w:p>
        </w:tc>
        <w:tc>
          <w:tcPr>
            <w:tcW w:w="1455" w:type="dxa"/>
            <w:vAlign w:val="center"/>
          </w:tcPr>
          <w:p w14:paraId="346911C7" w14:textId="77777777" w:rsidR="3528CA2C" w:rsidRDefault="3528CA2C" w:rsidP="000A5389">
            <w:pPr>
              <w:spacing w:line="240" w:lineRule="auto"/>
              <w:jc w:val="right"/>
              <w:rPr>
                <w:rFonts w:eastAsia="Times New Roman" w:cs="Times New Roman"/>
                <w:color w:val="000000" w:themeColor="text1"/>
                <w:sz w:val="16"/>
                <w:szCs w:val="16"/>
                <w:lang w:eastAsia="es-CO"/>
              </w:rPr>
            </w:pPr>
            <w:r w:rsidRPr="3528CA2C">
              <w:rPr>
                <w:rFonts w:eastAsia="Times New Roman" w:cs="Times New Roman"/>
                <w:color w:val="000000" w:themeColor="text1"/>
                <w:sz w:val="16"/>
                <w:szCs w:val="16"/>
                <w:lang w:eastAsia="es-CO"/>
              </w:rPr>
              <w:t>-654.255.249.503</w:t>
            </w:r>
          </w:p>
        </w:tc>
      </w:tr>
      <w:tr w:rsidR="3528CA2C" w14:paraId="7AE1F1FC" w14:textId="77777777" w:rsidTr="3528CA2C">
        <w:trPr>
          <w:trHeight w:val="413"/>
        </w:trPr>
        <w:tc>
          <w:tcPr>
            <w:tcW w:w="699" w:type="dxa"/>
            <w:vAlign w:val="center"/>
          </w:tcPr>
          <w:p w14:paraId="5BDA97FB" w14:textId="77777777" w:rsidR="3528CA2C" w:rsidRDefault="3528CA2C" w:rsidP="000A5389">
            <w:pPr>
              <w:spacing w:line="240" w:lineRule="auto"/>
              <w:jc w:val="center"/>
              <w:rPr>
                <w:rFonts w:eastAsia="Times New Roman" w:cs="Times New Roman"/>
                <w:color w:val="000000" w:themeColor="text1"/>
                <w:sz w:val="16"/>
                <w:szCs w:val="16"/>
                <w:lang w:eastAsia="es-CO"/>
              </w:rPr>
            </w:pPr>
            <w:r w:rsidRPr="3528CA2C">
              <w:rPr>
                <w:rFonts w:eastAsia="Times New Roman" w:cs="Times New Roman"/>
                <w:color w:val="000000" w:themeColor="text1"/>
                <w:sz w:val="16"/>
                <w:szCs w:val="16"/>
                <w:lang w:eastAsia="es-CO"/>
              </w:rPr>
              <w:lastRenderedPageBreak/>
              <w:t>2.3.14</w:t>
            </w:r>
          </w:p>
        </w:tc>
        <w:tc>
          <w:tcPr>
            <w:tcW w:w="427" w:type="dxa"/>
            <w:vAlign w:val="center"/>
          </w:tcPr>
          <w:p w14:paraId="121D0A0B" w14:textId="77777777" w:rsidR="3528CA2C" w:rsidRDefault="3528CA2C" w:rsidP="000A5389">
            <w:pPr>
              <w:spacing w:line="240" w:lineRule="auto"/>
              <w:jc w:val="center"/>
              <w:rPr>
                <w:rFonts w:eastAsia="Times New Roman" w:cs="Times New Roman"/>
                <w:color w:val="000000" w:themeColor="text1"/>
                <w:sz w:val="16"/>
                <w:szCs w:val="16"/>
                <w:lang w:eastAsia="es-CO"/>
              </w:rPr>
            </w:pPr>
            <w:r w:rsidRPr="3528CA2C">
              <w:rPr>
                <w:rFonts w:eastAsia="Times New Roman" w:cs="Times New Roman"/>
                <w:color w:val="000000" w:themeColor="text1"/>
                <w:sz w:val="16"/>
                <w:szCs w:val="16"/>
                <w:lang w:eastAsia="es-CO"/>
              </w:rPr>
              <w:t>Cr</w:t>
            </w:r>
          </w:p>
        </w:tc>
        <w:tc>
          <w:tcPr>
            <w:tcW w:w="2839" w:type="dxa"/>
            <w:vAlign w:val="center"/>
          </w:tcPr>
          <w:p w14:paraId="1FC5F220" w14:textId="77777777" w:rsidR="3528CA2C" w:rsidRDefault="3528CA2C" w:rsidP="000A5389">
            <w:pPr>
              <w:spacing w:line="240" w:lineRule="auto"/>
              <w:rPr>
                <w:rFonts w:eastAsia="Times New Roman" w:cs="Times New Roman"/>
                <w:color w:val="000000" w:themeColor="text1"/>
                <w:sz w:val="16"/>
                <w:szCs w:val="16"/>
                <w:lang w:eastAsia="es-CO"/>
              </w:rPr>
            </w:pPr>
            <w:r w:rsidRPr="3528CA2C">
              <w:rPr>
                <w:rFonts w:eastAsia="Times New Roman" w:cs="Times New Roman"/>
                <w:color w:val="000000" w:themeColor="text1"/>
                <w:sz w:val="16"/>
                <w:szCs w:val="16"/>
                <w:lang w:eastAsia="es-CO"/>
              </w:rPr>
              <w:t>Financiamiento interno de largo plazo</w:t>
            </w:r>
          </w:p>
        </w:tc>
        <w:tc>
          <w:tcPr>
            <w:tcW w:w="1704" w:type="dxa"/>
            <w:vAlign w:val="center"/>
          </w:tcPr>
          <w:p w14:paraId="1D3BAF72" w14:textId="77777777" w:rsidR="3528CA2C" w:rsidRDefault="3528CA2C" w:rsidP="000A5389">
            <w:pPr>
              <w:spacing w:line="240" w:lineRule="auto"/>
              <w:jc w:val="right"/>
              <w:rPr>
                <w:rFonts w:eastAsia="Times New Roman" w:cs="Times New Roman"/>
                <w:color w:val="000000" w:themeColor="text1"/>
                <w:sz w:val="16"/>
                <w:szCs w:val="16"/>
                <w:lang w:eastAsia="es-CO"/>
              </w:rPr>
            </w:pPr>
            <w:r w:rsidRPr="3528CA2C">
              <w:rPr>
                <w:rFonts w:eastAsia="Times New Roman" w:cs="Times New Roman"/>
                <w:color w:val="000000" w:themeColor="text1"/>
                <w:sz w:val="16"/>
                <w:szCs w:val="16"/>
                <w:lang w:eastAsia="es-CO"/>
              </w:rPr>
              <w:t>184.955.230.469</w:t>
            </w:r>
          </w:p>
        </w:tc>
        <w:tc>
          <w:tcPr>
            <w:tcW w:w="1704" w:type="dxa"/>
            <w:vAlign w:val="center"/>
          </w:tcPr>
          <w:p w14:paraId="17608D44" w14:textId="77777777" w:rsidR="3528CA2C" w:rsidRDefault="3528CA2C" w:rsidP="000A5389">
            <w:pPr>
              <w:spacing w:line="240" w:lineRule="auto"/>
              <w:jc w:val="right"/>
              <w:rPr>
                <w:rFonts w:eastAsia="Times New Roman" w:cs="Times New Roman"/>
                <w:color w:val="000000" w:themeColor="text1"/>
                <w:sz w:val="16"/>
                <w:szCs w:val="16"/>
                <w:lang w:eastAsia="es-CO"/>
              </w:rPr>
            </w:pPr>
            <w:r w:rsidRPr="3528CA2C">
              <w:rPr>
                <w:rFonts w:eastAsia="Times New Roman" w:cs="Times New Roman"/>
                <w:color w:val="000000" w:themeColor="text1"/>
                <w:sz w:val="16"/>
                <w:szCs w:val="16"/>
                <w:lang w:eastAsia="es-CO"/>
              </w:rPr>
              <w:t>253.818.451.850</w:t>
            </w:r>
          </w:p>
        </w:tc>
        <w:tc>
          <w:tcPr>
            <w:tcW w:w="1455" w:type="dxa"/>
            <w:vAlign w:val="center"/>
          </w:tcPr>
          <w:p w14:paraId="667CCE97" w14:textId="77777777" w:rsidR="3528CA2C" w:rsidRDefault="3528CA2C" w:rsidP="000A5389">
            <w:pPr>
              <w:spacing w:line="240" w:lineRule="auto"/>
              <w:jc w:val="right"/>
              <w:rPr>
                <w:rFonts w:eastAsia="Times New Roman" w:cs="Times New Roman"/>
                <w:color w:val="000000" w:themeColor="text1"/>
                <w:sz w:val="16"/>
                <w:szCs w:val="16"/>
                <w:lang w:eastAsia="es-CO"/>
              </w:rPr>
            </w:pPr>
            <w:r w:rsidRPr="3528CA2C">
              <w:rPr>
                <w:rFonts w:eastAsia="Times New Roman" w:cs="Times New Roman"/>
                <w:color w:val="000000" w:themeColor="text1"/>
                <w:sz w:val="16"/>
                <w:szCs w:val="16"/>
                <w:lang w:eastAsia="es-CO"/>
              </w:rPr>
              <w:t>-68.863.221.381</w:t>
            </w:r>
          </w:p>
        </w:tc>
      </w:tr>
    </w:tbl>
    <w:p w14:paraId="7F51B2F7" w14:textId="3D45019B" w:rsidR="5FAFBC59" w:rsidRDefault="5FAFBC59" w:rsidP="000A5389">
      <w:pPr>
        <w:spacing w:line="240" w:lineRule="auto"/>
        <w:rPr>
          <w:rFonts w:eastAsia="Times New Roman" w:cs="Times New Roman"/>
          <w:sz w:val="14"/>
          <w:szCs w:val="14"/>
        </w:rPr>
      </w:pPr>
      <w:r w:rsidRPr="3528CA2C">
        <w:rPr>
          <w:rFonts w:eastAsia="Times New Roman" w:cs="Times New Roman"/>
          <w:sz w:val="14"/>
          <w:szCs w:val="14"/>
        </w:rPr>
        <w:t>Cifras expresadas en pesos</w:t>
      </w:r>
    </w:p>
    <w:p w14:paraId="77068B96" w14:textId="77777777" w:rsidR="00FE1E23" w:rsidRDefault="00FE1E23" w:rsidP="000A5389">
      <w:pPr>
        <w:spacing w:line="240" w:lineRule="auto"/>
        <w:rPr>
          <w:rFonts w:eastAsia="Times New Roman" w:cs="Times New Roman"/>
          <w:sz w:val="14"/>
          <w:szCs w:val="14"/>
        </w:rPr>
      </w:pPr>
    </w:p>
    <w:p w14:paraId="1C711B57" w14:textId="2F3DF89B" w:rsidR="001A5E55" w:rsidRPr="00951AB1" w:rsidRDefault="001A5E55" w:rsidP="000A5389">
      <w:pPr>
        <w:spacing w:line="240" w:lineRule="auto"/>
        <w:rPr>
          <w:rFonts w:eastAsia="Calibri" w:cs="Times New Roman"/>
          <w:color w:val="000000"/>
          <w:kern w:val="0"/>
          <w:szCs w:val="24"/>
          <w:lang w:eastAsia="es-CO"/>
          <w14:ligatures w14:val="none"/>
        </w:rPr>
      </w:pPr>
      <w:r w:rsidRPr="00951AB1">
        <w:rPr>
          <w:rFonts w:eastAsia="Calibri" w:cs="Times New Roman"/>
          <w:color w:val="000000"/>
          <w:kern w:val="0"/>
          <w:szCs w:val="24"/>
          <w:lang w:eastAsia="es-CO"/>
          <w14:ligatures w14:val="none"/>
        </w:rPr>
        <w:t>Se reconocerá un pasivo financiero, cuando se tenga una obligación incondicional de pagar al concesionario (con efectivo o con otro activo financiero) por la construcción, desarrollo, adquisición, mejora o rehabilitación de un activo en concesión. La Agencia, tendrá la obligación incondicional de realizar pagos al concesionario cuando se haya comprometido a desembolsar valores específicos o cuantificables durante el plazo del acuerdo de concesión. </w:t>
      </w:r>
    </w:p>
    <w:p w14:paraId="3A328749" w14:textId="77777777" w:rsidR="001A5E55" w:rsidRPr="00951AB1" w:rsidRDefault="001A5E55" w:rsidP="000A5389">
      <w:pPr>
        <w:spacing w:line="240" w:lineRule="auto"/>
        <w:rPr>
          <w:rFonts w:eastAsia="Calibri" w:cs="Times New Roman"/>
          <w:color w:val="000000"/>
          <w:kern w:val="0"/>
          <w:szCs w:val="24"/>
          <w:lang w:eastAsia="es-CO"/>
          <w14:ligatures w14:val="none"/>
        </w:rPr>
      </w:pPr>
      <w:r w:rsidRPr="00951AB1">
        <w:rPr>
          <w:rFonts w:eastAsia="Calibri" w:cs="Times New Roman"/>
          <w:color w:val="000000"/>
          <w:kern w:val="0"/>
          <w:szCs w:val="24"/>
          <w:lang w:eastAsia="es-CO"/>
          <w14:ligatures w14:val="none"/>
        </w:rPr>
        <w:t> </w:t>
      </w:r>
    </w:p>
    <w:p w14:paraId="33F41AF1" w14:textId="79BC54BF" w:rsidR="00B44D10" w:rsidRDefault="001A5E55" w:rsidP="000A5389">
      <w:pPr>
        <w:spacing w:line="240" w:lineRule="auto"/>
        <w:rPr>
          <w:rFonts w:eastAsia="Calibri" w:cs="Times New Roman"/>
          <w:color w:val="000000"/>
          <w:kern w:val="0"/>
          <w:szCs w:val="24"/>
          <w:lang w:eastAsia="es-CO"/>
          <w14:ligatures w14:val="none"/>
        </w:rPr>
      </w:pPr>
      <w:r w:rsidRPr="00951AB1">
        <w:rPr>
          <w:rFonts w:eastAsia="Calibri" w:cs="Times New Roman"/>
          <w:color w:val="000000"/>
          <w:kern w:val="0"/>
          <w:szCs w:val="24"/>
          <w:lang w:eastAsia="es-CO"/>
          <w14:ligatures w14:val="none"/>
        </w:rPr>
        <w:t>Los pasivos financieros en los proyectos del modo carretero se clasifican como un préstamo por pagar a largo plazo y posteriormente, se reconoce el costo financiero asociado a dicho pasivo, a través de la tasa de interés implícita del acuerdo de concesión y con las técnicas de estimación establecidas. </w:t>
      </w:r>
    </w:p>
    <w:p w14:paraId="4378EA63" w14:textId="77777777" w:rsidR="00FE1E23" w:rsidRPr="00951AB1" w:rsidRDefault="00FE1E23" w:rsidP="000A5389">
      <w:pPr>
        <w:spacing w:line="240" w:lineRule="auto"/>
        <w:rPr>
          <w:rFonts w:eastAsia="Calibri" w:cs="Times New Roman"/>
          <w:color w:val="000000"/>
          <w:kern w:val="0"/>
          <w:szCs w:val="24"/>
          <w:lang w:eastAsia="es-CO"/>
          <w14:ligatures w14:val="none"/>
        </w:rPr>
      </w:pPr>
    </w:p>
    <w:p w14:paraId="56DF473A" w14:textId="4699A414" w:rsidR="001A5E55" w:rsidRPr="00951AB1" w:rsidRDefault="001A5E55" w:rsidP="000A5389">
      <w:pPr>
        <w:spacing w:line="240" w:lineRule="auto"/>
        <w:rPr>
          <w:rFonts w:eastAsia="Calibri" w:cs="Times New Roman"/>
          <w:color w:val="000000"/>
          <w:kern w:val="0"/>
          <w:szCs w:val="24"/>
          <w:lang w:eastAsia="es-CO"/>
          <w14:ligatures w14:val="none"/>
        </w:rPr>
      </w:pPr>
      <w:r w:rsidRPr="00951AB1">
        <w:rPr>
          <w:rFonts w:eastAsia="Calibri" w:cs="Times New Roman"/>
          <w:color w:val="000000"/>
          <w:kern w:val="0"/>
          <w:szCs w:val="24"/>
          <w:lang w:eastAsia="es-CO"/>
          <w14:ligatures w14:val="none"/>
        </w:rPr>
        <w:t> El pasivo financiero se afecta cuando se presenta alguna de las siguientes situaciones:  </w:t>
      </w:r>
    </w:p>
    <w:p w14:paraId="4EBC566F" w14:textId="77777777" w:rsidR="001A5E55" w:rsidRPr="00951AB1" w:rsidRDefault="001A5E55" w:rsidP="000A5389">
      <w:pPr>
        <w:pStyle w:val="Prrafodelista"/>
        <w:numPr>
          <w:ilvl w:val="0"/>
          <w:numId w:val="50"/>
        </w:numPr>
        <w:spacing w:line="240" w:lineRule="auto"/>
        <w:rPr>
          <w:rFonts w:eastAsia="Calibri" w:cs="Times New Roman"/>
          <w:color w:val="000000"/>
          <w:kern w:val="0"/>
          <w:szCs w:val="24"/>
          <w:lang w:eastAsia="es-CO"/>
          <w14:ligatures w14:val="none"/>
        </w:rPr>
      </w:pPr>
      <w:r w:rsidRPr="00951AB1">
        <w:rPr>
          <w:rFonts w:eastAsia="Calibri" w:cs="Times New Roman"/>
          <w:color w:val="000000"/>
          <w:kern w:val="0"/>
          <w:szCs w:val="24"/>
          <w:lang w:eastAsia="es-CO"/>
          <w14:ligatures w14:val="none"/>
        </w:rPr>
        <w:t>Por las adiciones de CAPEX (infraestructura), de acuerdo con la actualización del “modelo financiero con fines contables”. </w:t>
      </w:r>
    </w:p>
    <w:p w14:paraId="2A4CBC6A" w14:textId="77777777" w:rsidR="001A5E55" w:rsidRPr="00951AB1" w:rsidRDefault="001A5E55" w:rsidP="000A5389">
      <w:pPr>
        <w:pStyle w:val="Prrafodelista"/>
        <w:numPr>
          <w:ilvl w:val="0"/>
          <w:numId w:val="50"/>
        </w:numPr>
        <w:spacing w:line="240" w:lineRule="auto"/>
        <w:rPr>
          <w:rFonts w:eastAsia="Calibri" w:cs="Times New Roman"/>
          <w:color w:val="000000"/>
          <w:kern w:val="0"/>
          <w:szCs w:val="24"/>
          <w:lang w:eastAsia="es-CO"/>
          <w14:ligatures w14:val="none"/>
        </w:rPr>
      </w:pPr>
      <w:r w:rsidRPr="00951AB1">
        <w:rPr>
          <w:rFonts w:eastAsia="Calibri" w:cs="Times New Roman"/>
          <w:color w:val="000000"/>
          <w:kern w:val="0"/>
          <w:szCs w:val="24"/>
          <w:lang w:eastAsia="es-CO"/>
          <w14:ligatures w14:val="none"/>
        </w:rPr>
        <w:t>Por la actualización de la carga financiera al final del periodo contable conforme al modelo financiero con fines contables. </w:t>
      </w:r>
    </w:p>
    <w:p w14:paraId="5CE4EB0C" w14:textId="77777777" w:rsidR="001A5E55" w:rsidRPr="00951AB1" w:rsidRDefault="001A5E55" w:rsidP="000A5389">
      <w:pPr>
        <w:pStyle w:val="Prrafodelista"/>
        <w:numPr>
          <w:ilvl w:val="0"/>
          <w:numId w:val="50"/>
        </w:numPr>
        <w:spacing w:line="240" w:lineRule="auto"/>
        <w:rPr>
          <w:rFonts w:eastAsia="Calibri" w:cs="Times New Roman"/>
          <w:color w:val="000000"/>
          <w:kern w:val="0"/>
          <w:szCs w:val="24"/>
          <w:lang w:eastAsia="es-CO"/>
          <w14:ligatures w14:val="none"/>
        </w:rPr>
      </w:pPr>
      <w:r w:rsidRPr="00951AB1">
        <w:rPr>
          <w:rFonts w:eastAsia="Calibri" w:cs="Times New Roman"/>
          <w:color w:val="000000"/>
          <w:kern w:val="0"/>
          <w:szCs w:val="24"/>
          <w:lang w:eastAsia="es-CO"/>
          <w14:ligatures w14:val="none"/>
        </w:rPr>
        <w:t>Por la retribución que se efectúe a los concesionarios privados de acuerdo con lo informado en el Formato de Ejecución de Recursos Públicos. </w:t>
      </w:r>
    </w:p>
    <w:p w14:paraId="551A2292" w14:textId="77777777" w:rsidR="001A5E55" w:rsidRPr="00951AB1" w:rsidRDefault="001A5E55" w:rsidP="000A5389">
      <w:pPr>
        <w:pStyle w:val="Prrafodelista"/>
        <w:numPr>
          <w:ilvl w:val="0"/>
          <w:numId w:val="50"/>
        </w:numPr>
        <w:spacing w:line="240" w:lineRule="auto"/>
        <w:rPr>
          <w:rFonts w:eastAsia="Calibri" w:cs="Times New Roman"/>
          <w:color w:val="000000"/>
          <w:kern w:val="0"/>
          <w:szCs w:val="24"/>
          <w:lang w:eastAsia="es-CO"/>
          <w14:ligatures w14:val="none"/>
        </w:rPr>
      </w:pPr>
      <w:r w:rsidRPr="00951AB1">
        <w:rPr>
          <w:rFonts w:eastAsia="Calibri" w:cs="Times New Roman"/>
          <w:color w:val="000000"/>
          <w:kern w:val="0"/>
          <w:szCs w:val="24"/>
          <w:lang w:eastAsia="es-CO"/>
          <w14:ligatures w14:val="none"/>
        </w:rPr>
        <w:t>El reconocimiento de obras menores  </w:t>
      </w:r>
    </w:p>
    <w:p w14:paraId="70D833F2" w14:textId="77777777" w:rsidR="00B44D10" w:rsidRPr="00951AB1" w:rsidRDefault="00B44D10" w:rsidP="000A5389">
      <w:pPr>
        <w:spacing w:line="240" w:lineRule="auto"/>
        <w:rPr>
          <w:rFonts w:eastAsia="Times New Roman" w:cs="Times New Roman"/>
          <w:szCs w:val="24"/>
        </w:rPr>
      </w:pPr>
    </w:p>
    <w:p w14:paraId="05ACB4BB" w14:textId="1C6DB06D" w:rsidR="00B44D10" w:rsidRDefault="4F67A22B" w:rsidP="000A5389">
      <w:pPr>
        <w:spacing w:line="240" w:lineRule="auto"/>
        <w:rPr>
          <w:rFonts w:eastAsia="Calibri" w:cs="Times New Roman"/>
          <w:color w:val="000000"/>
          <w:kern w:val="0"/>
          <w:szCs w:val="24"/>
          <w:lang w:eastAsia="es-CO"/>
          <w14:ligatures w14:val="none"/>
        </w:rPr>
      </w:pPr>
      <w:r w:rsidRPr="00951AB1">
        <w:rPr>
          <w:rFonts w:eastAsia="Calibri" w:cs="Times New Roman"/>
          <w:color w:val="000000"/>
          <w:kern w:val="0"/>
          <w:szCs w:val="24"/>
          <w:lang w:eastAsia="es-CO"/>
          <w14:ligatures w14:val="none"/>
        </w:rPr>
        <w:t>El Pasivo financiero para el cierre del</w:t>
      </w:r>
      <w:r w:rsidRPr="00951AB1">
        <w:rPr>
          <w:rFonts w:cs="Times New Roman"/>
        </w:rPr>
        <w:t xml:space="preserve"> </w:t>
      </w:r>
      <w:r w:rsidRPr="00951AB1">
        <w:rPr>
          <w:rFonts w:eastAsia="Calibri" w:cs="Times New Roman"/>
          <w:color w:val="000000"/>
          <w:kern w:val="0"/>
          <w:szCs w:val="24"/>
          <w:lang w:eastAsia="es-CO"/>
          <w14:ligatures w14:val="none"/>
        </w:rPr>
        <w:t xml:space="preserve">período </w:t>
      </w:r>
      <w:r w:rsidR="6CE936AA" w:rsidRPr="00951AB1">
        <w:rPr>
          <w:rFonts w:eastAsia="Calibri" w:cs="Times New Roman"/>
          <w:color w:val="000000"/>
          <w:kern w:val="0"/>
          <w:szCs w:val="24"/>
          <w:lang w:eastAsia="es-CO"/>
          <w14:ligatures w14:val="none"/>
        </w:rPr>
        <w:t>2025</w:t>
      </w:r>
      <w:r w:rsidR="0B0EB3C2" w:rsidRPr="00951AB1">
        <w:rPr>
          <w:rFonts w:eastAsia="Calibri" w:cs="Times New Roman"/>
          <w:color w:val="000000"/>
          <w:kern w:val="0"/>
          <w:szCs w:val="24"/>
          <w:lang w:eastAsia="es-CO"/>
          <w14:ligatures w14:val="none"/>
        </w:rPr>
        <w:t xml:space="preserve"> </w:t>
      </w:r>
      <w:r w:rsidRPr="00951AB1">
        <w:rPr>
          <w:rFonts w:eastAsia="Calibri" w:cs="Times New Roman"/>
          <w:color w:val="000000"/>
          <w:kern w:val="0"/>
          <w:szCs w:val="24"/>
          <w:lang w:eastAsia="es-CO"/>
          <w14:ligatures w14:val="none"/>
        </w:rPr>
        <w:t xml:space="preserve">presenta </w:t>
      </w:r>
      <w:r w:rsidR="0B0EB3C2" w:rsidRPr="00951AB1">
        <w:rPr>
          <w:rFonts w:eastAsia="Calibri" w:cs="Times New Roman"/>
          <w:color w:val="000000"/>
          <w:kern w:val="0"/>
          <w:szCs w:val="24"/>
          <w:lang w:eastAsia="es-CO"/>
          <w14:ligatures w14:val="none"/>
        </w:rPr>
        <w:t>una disminució</w:t>
      </w:r>
      <w:r w:rsidR="616445E8" w:rsidRPr="00951AB1">
        <w:rPr>
          <w:rFonts w:eastAsia="Calibri" w:cs="Times New Roman"/>
          <w:color w:val="000000"/>
          <w:kern w:val="0"/>
          <w:szCs w:val="24"/>
          <w:lang w:eastAsia="es-CO"/>
          <w14:ligatures w14:val="none"/>
        </w:rPr>
        <w:t>n</w:t>
      </w:r>
      <w:r w:rsidRPr="00951AB1">
        <w:rPr>
          <w:rFonts w:eastAsia="Calibri" w:cs="Times New Roman"/>
          <w:color w:val="000000"/>
          <w:kern w:val="0"/>
          <w:szCs w:val="24"/>
          <w:lang w:eastAsia="es-CO"/>
          <w14:ligatures w14:val="none"/>
        </w:rPr>
        <w:t xml:space="preserve"> de $</w:t>
      </w:r>
      <w:r w:rsidR="0FE536F6" w:rsidRPr="00951AB1">
        <w:rPr>
          <w:rFonts w:eastAsia="Calibri" w:cs="Times New Roman"/>
          <w:color w:val="000000"/>
          <w:kern w:val="0"/>
          <w:szCs w:val="24"/>
          <w:lang w:eastAsia="es-CO"/>
          <w14:ligatures w14:val="none"/>
        </w:rPr>
        <w:t>654.255.249.503</w:t>
      </w:r>
      <w:r w:rsidRPr="00951AB1">
        <w:rPr>
          <w:rFonts w:eastAsia="Calibri" w:cs="Times New Roman"/>
          <w:color w:val="000000"/>
          <w:kern w:val="0"/>
          <w:szCs w:val="24"/>
          <w:lang w:eastAsia="es-CO"/>
          <w14:ligatures w14:val="none"/>
        </w:rPr>
        <w:t xml:space="preserve"> respecto al año 2024, por las situaciones antes descritas.</w:t>
      </w:r>
      <w:r w:rsidR="00B44D10" w:rsidRPr="00951AB1">
        <w:rPr>
          <w:rFonts w:eastAsia="Calibri" w:cs="Times New Roman"/>
          <w:color w:val="000000"/>
          <w:kern w:val="0"/>
          <w:szCs w:val="24"/>
          <w:lang w:eastAsia="es-CO"/>
          <w14:ligatures w14:val="none"/>
        </w:rPr>
        <w:t xml:space="preserve"> </w:t>
      </w:r>
      <w:r w:rsidRPr="00951AB1">
        <w:rPr>
          <w:rFonts w:eastAsia="Calibri" w:cs="Times New Roman"/>
          <w:color w:val="000000"/>
          <w:kern w:val="0"/>
          <w:szCs w:val="24"/>
          <w:lang w:eastAsia="es-CO"/>
          <w14:ligatures w14:val="none"/>
        </w:rPr>
        <w:t>A continuación, se relaciona la composición de dicha subcuenta a nivel de tercero:</w:t>
      </w:r>
      <w:r w:rsidR="001A5E55" w:rsidRPr="00951AB1">
        <w:rPr>
          <w:rFonts w:eastAsia="Calibri" w:cs="Times New Roman"/>
          <w:color w:val="000000"/>
          <w:kern w:val="0"/>
          <w:szCs w:val="24"/>
          <w:lang w:eastAsia="es-CO"/>
          <w14:ligatures w14:val="none"/>
        </w:rPr>
        <w:t xml:space="preserve">  </w:t>
      </w:r>
    </w:p>
    <w:p w14:paraId="39260381" w14:textId="77777777" w:rsidR="002E333D" w:rsidRPr="00951AB1" w:rsidRDefault="002E333D" w:rsidP="000A5389">
      <w:pPr>
        <w:spacing w:line="240" w:lineRule="auto"/>
        <w:rPr>
          <w:rFonts w:cs="Times New Roman"/>
          <w:color w:val="000000"/>
          <w:szCs w:val="24"/>
          <w:lang w:eastAsia="es-CO"/>
        </w:rPr>
      </w:pPr>
    </w:p>
    <w:tbl>
      <w:tblPr>
        <w:tblW w:w="5000" w:type="pct"/>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CellMar>
          <w:left w:w="70" w:type="dxa"/>
          <w:right w:w="70" w:type="dxa"/>
        </w:tblCellMar>
        <w:tblLook w:val="04A0" w:firstRow="1" w:lastRow="0" w:firstColumn="1" w:lastColumn="0" w:noHBand="0" w:noVBand="1"/>
      </w:tblPr>
      <w:tblGrid>
        <w:gridCol w:w="959"/>
        <w:gridCol w:w="2670"/>
        <w:gridCol w:w="1909"/>
        <w:gridCol w:w="1810"/>
        <w:gridCol w:w="1480"/>
      </w:tblGrid>
      <w:tr w:rsidR="00B44D10" w:rsidRPr="00951AB1" w14:paraId="21CF358B" w14:textId="77777777" w:rsidTr="0071107B">
        <w:trPr>
          <w:trHeight w:val="293"/>
          <w:tblHeader/>
        </w:trPr>
        <w:tc>
          <w:tcPr>
            <w:tcW w:w="2055" w:type="pct"/>
            <w:gridSpan w:val="2"/>
            <w:vAlign w:val="center"/>
            <w:hideMark/>
          </w:tcPr>
          <w:p w14:paraId="77B16360" w14:textId="77777777" w:rsidR="001A5E55" w:rsidRPr="00951AB1" w:rsidRDefault="001A5E55" w:rsidP="000A5389">
            <w:pPr>
              <w:spacing w:line="240" w:lineRule="auto"/>
              <w:jc w:val="center"/>
              <w:rPr>
                <w:rFonts w:eastAsia="Times New Roman" w:cs="Times New Roman"/>
                <w:b/>
                <w:bCs/>
                <w:color w:val="000000"/>
                <w:kern w:val="0"/>
                <w:sz w:val="16"/>
                <w:szCs w:val="16"/>
                <w:lang w:eastAsia="es-CO"/>
                <w14:ligatures w14:val="none"/>
              </w:rPr>
            </w:pPr>
            <w:r w:rsidRPr="00951AB1">
              <w:rPr>
                <w:rFonts w:eastAsia="Times New Roman" w:cs="Times New Roman"/>
                <w:b/>
                <w:bCs/>
                <w:color w:val="000000"/>
                <w:kern w:val="0"/>
                <w:sz w:val="16"/>
                <w:szCs w:val="16"/>
                <w:lang w:eastAsia="es-CO"/>
                <w14:ligatures w14:val="none"/>
              </w:rPr>
              <w:t>TERCERO</w:t>
            </w:r>
          </w:p>
        </w:tc>
        <w:tc>
          <w:tcPr>
            <w:tcW w:w="1081" w:type="pct"/>
            <w:vAlign w:val="center"/>
            <w:hideMark/>
          </w:tcPr>
          <w:p w14:paraId="6B3E5F2C" w14:textId="77777777" w:rsidR="001A5E55" w:rsidRPr="00951AB1" w:rsidRDefault="001A5E55" w:rsidP="000A5389">
            <w:pPr>
              <w:spacing w:line="240" w:lineRule="auto"/>
              <w:jc w:val="center"/>
              <w:rPr>
                <w:rFonts w:eastAsia="Times New Roman" w:cs="Times New Roman"/>
                <w:b/>
                <w:bCs/>
                <w:color w:val="000000"/>
                <w:kern w:val="0"/>
                <w:sz w:val="16"/>
                <w:szCs w:val="16"/>
                <w:lang w:eastAsia="es-CO"/>
                <w14:ligatures w14:val="none"/>
              </w:rPr>
            </w:pPr>
            <w:r w:rsidRPr="00951AB1">
              <w:rPr>
                <w:rFonts w:eastAsia="Times New Roman" w:cs="Times New Roman"/>
                <w:b/>
                <w:bCs/>
                <w:color w:val="000000"/>
                <w:kern w:val="0"/>
                <w:sz w:val="16"/>
                <w:szCs w:val="16"/>
                <w:lang w:eastAsia="es-CO"/>
                <w14:ligatures w14:val="none"/>
              </w:rPr>
              <w:t>2025</w:t>
            </w:r>
          </w:p>
        </w:tc>
        <w:tc>
          <w:tcPr>
            <w:tcW w:w="1025" w:type="pct"/>
            <w:vAlign w:val="center"/>
            <w:hideMark/>
          </w:tcPr>
          <w:p w14:paraId="52D5FA38" w14:textId="77777777" w:rsidR="001A5E55" w:rsidRPr="00951AB1" w:rsidRDefault="001A5E55" w:rsidP="000A5389">
            <w:pPr>
              <w:spacing w:line="240" w:lineRule="auto"/>
              <w:jc w:val="center"/>
              <w:rPr>
                <w:rFonts w:eastAsia="Times New Roman" w:cs="Times New Roman"/>
                <w:b/>
                <w:bCs/>
                <w:color w:val="000000"/>
                <w:kern w:val="0"/>
                <w:sz w:val="16"/>
                <w:szCs w:val="16"/>
                <w:lang w:eastAsia="es-CO"/>
                <w14:ligatures w14:val="none"/>
              </w:rPr>
            </w:pPr>
            <w:r w:rsidRPr="00951AB1">
              <w:rPr>
                <w:rFonts w:eastAsia="Times New Roman" w:cs="Times New Roman"/>
                <w:b/>
                <w:bCs/>
                <w:color w:val="000000"/>
                <w:kern w:val="0"/>
                <w:sz w:val="16"/>
                <w:szCs w:val="16"/>
                <w:lang w:eastAsia="es-CO"/>
                <w14:ligatures w14:val="none"/>
              </w:rPr>
              <w:t>2024</w:t>
            </w:r>
          </w:p>
        </w:tc>
        <w:tc>
          <w:tcPr>
            <w:tcW w:w="839" w:type="pct"/>
            <w:vAlign w:val="center"/>
            <w:hideMark/>
          </w:tcPr>
          <w:p w14:paraId="75ED0B16" w14:textId="77777777" w:rsidR="001A5E55" w:rsidRPr="00951AB1" w:rsidRDefault="001A5E55" w:rsidP="000A5389">
            <w:pPr>
              <w:spacing w:line="240" w:lineRule="auto"/>
              <w:jc w:val="center"/>
              <w:rPr>
                <w:rFonts w:eastAsia="Times New Roman" w:cs="Times New Roman"/>
                <w:b/>
                <w:bCs/>
                <w:color w:val="000000"/>
                <w:kern w:val="0"/>
                <w:sz w:val="16"/>
                <w:szCs w:val="16"/>
                <w:lang w:eastAsia="es-CO"/>
                <w14:ligatures w14:val="none"/>
              </w:rPr>
            </w:pPr>
            <w:r w:rsidRPr="00951AB1">
              <w:rPr>
                <w:rFonts w:eastAsia="Times New Roman" w:cs="Times New Roman"/>
                <w:b/>
                <w:bCs/>
                <w:color w:val="000000"/>
                <w:kern w:val="0"/>
                <w:sz w:val="16"/>
                <w:szCs w:val="16"/>
                <w:lang w:eastAsia="es-CO"/>
                <w14:ligatures w14:val="none"/>
              </w:rPr>
              <w:t>Variación</w:t>
            </w:r>
          </w:p>
        </w:tc>
      </w:tr>
      <w:tr w:rsidR="00B44D10" w:rsidRPr="00951AB1" w14:paraId="70F61199" w14:textId="77777777" w:rsidTr="0071107B">
        <w:trPr>
          <w:trHeight w:val="293"/>
        </w:trPr>
        <w:tc>
          <w:tcPr>
            <w:tcW w:w="544" w:type="pct"/>
            <w:vAlign w:val="center"/>
            <w:hideMark/>
          </w:tcPr>
          <w:p w14:paraId="2545D45D" w14:textId="77777777" w:rsidR="001A5E55" w:rsidRPr="00951AB1" w:rsidRDefault="001A5E55" w:rsidP="000A5389">
            <w:pPr>
              <w:spacing w:line="240" w:lineRule="auto"/>
              <w:jc w:val="right"/>
              <w:rPr>
                <w:rFonts w:eastAsia="Times New Roman" w:cs="Times New Roman"/>
                <w:color w:val="000000"/>
                <w:kern w:val="0"/>
                <w:sz w:val="16"/>
                <w:szCs w:val="16"/>
                <w:lang w:eastAsia="es-CO"/>
                <w14:ligatures w14:val="none"/>
              </w:rPr>
            </w:pPr>
            <w:r w:rsidRPr="00951AB1">
              <w:rPr>
                <w:rFonts w:eastAsia="Times New Roman" w:cs="Times New Roman"/>
                <w:color w:val="000000"/>
                <w:kern w:val="0"/>
                <w:sz w:val="16"/>
                <w:szCs w:val="16"/>
                <w:lang w:eastAsia="es-CO"/>
                <w14:ligatures w14:val="none"/>
              </w:rPr>
              <w:t>900902591</w:t>
            </w:r>
          </w:p>
        </w:tc>
        <w:tc>
          <w:tcPr>
            <w:tcW w:w="1512" w:type="pct"/>
            <w:noWrap/>
            <w:vAlign w:val="center"/>
            <w:hideMark/>
          </w:tcPr>
          <w:p w14:paraId="02F0B67A" w14:textId="77777777" w:rsidR="001A5E55" w:rsidRPr="00951AB1" w:rsidRDefault="001A5E55" w:rsidP="000A5389">
            <w:pPr>
              <w:spacing w:line="240" w:lineRule="auto"/>
              <w:rPr>
                <w:rFonts w:eastAsia="Times New Roman" w:cs="Times New Roman"/>
                <w:color w:val="000000"/>
                <w:kern w:val="0"/>
                <w:sz w:val="16"/>
                <w:szCs w:val="16"/>
                <w:lang w:eastAsia="es-CO"/>
                <w14:ligatures w14:val="none"/>
              </w:rPr>
            </w:pPr>
            <w:r w:rsidRPr="00951AB1">
              <w:rPr>
                <w:rFonts w:eastAsia="Times New Roman" w:cs="Times New Roman"/>
                <w:color w:val="000000"/>
                <w:kern w:val="0"/>
                <w:sz w:val="16"/>
                <w:szCs w:val="16"/>
                <w:lang w:eastAsia="es-CO"/>
                <w14:ligatures w14:val="none"/>
              </w:rPr>
              <w:t>Autopistas   Urabá   S.A.S</w:t>
            </w:r>
          </w:p>
        </w:tc>
        <w:tc>
          <w:tcPr>
            <w:tcW w:w="1081" w:type="pct"/>
            <w:vAlign w:val="center"/>
            <w:hideMark/>
          </w:tcPr>
          <w:p w14:paraId="67950CC2" w14:textId="77777777" w:rsidR="001A5E55" w:rsidRPr="00951AB1" w:rsidRDefault="001A5E55" w:rsidP="000A5389">
            <w:pPr>
              <w:spacing w:line="240" w:lineRule="auto"/>
              <w:jc w:val="right"/>
              <w:rPr>
                <w:rFonts w:eastAsia="Times New Roman" w:cs="Times New Roman"/>
                <w:color w:val="000000"/>
                <w:kern w:val="0"/>
                <w:sz w:val="16"/>
                <w:szCs w:val="16"/>
                <w:lang w:eastAsia="es-CO"/>
                <w14:ligatures w14:val="none"/>
              </w:rPr>
            </w:pPr>
            <w:r w:rsidRPr="00951AB1">
              <w:rPr>
                <w:rFonts w:eastAsia="Times New Roman" w:cs="Times New Roman"/>
                <w:color w:val="000000"/>
                <w:kern w:val="0"/>
                <w:sz w:val="16"/>
                <w:szCs w:val="16"/>
                <w:lang w:eastAsia="es-CO"/>
                <w14:ligatures w14:val="none"/>
              </w:rPr>
              <w:t>1.788.510.501.571</w:t>
            </w:r>
          </w:p>
        </w:tc>
        <w:tc>
          <w:tcPr>
            <w:tcW w:w="1025" w:type="pct"/>
            <w:noWrap/>
            <w:vAlign w:val="center"/>
            <w:hideMark/>
          </w:tcPr>
          <w:p w14:paraId="5C174F49" w14:textId="77777777" w:rsidR="001A5E55" w:rsidRPr="00951AB1" w:rsidRDefault="001A5E55" w:rsidP="000A5389">
            <w:pPr>
              <w:spacing w:line="240" w:lineRule="auto"/>
              <w:jc w:val="right"/>
              <w:rPr>
                <w:rFonts w:eastAsia="Times New Roman" w:cs="Times New Roman"/>
                <w:color w:val="000000"/>
                <w:kern w:val="0"/>
                <w:sz w:val="16"/>
                <w:szCs w:val="16"/>
                <w:lang w:eastAsia="es-CO"/>
                <w14:ligatures w14:val="none"/>
              </w:rPr>
            </w:pPr>
            <w:r w:rsidRPr="00951AB1">
              <w:rPr>
                <w:rFonts w:eastAsia="Times New Roman" w:cs="Times New Roman"/>
                <w:color w:val="000000"/>
                <w:kern w:val="0"/>
                <w:sz w:val="16"/>
                <w:szCs w:val="16"/>
                <w:lang w:eastAsia="es-CO"/>
                <w14:ligatures w14:val="none"/>
              </w:rPr>
              <w:t>2.636.448.531.171</w:t>
            </w:r>
          </w:p>
        </w:tc>
        <w:tc>
          <w:tcPr>
            <w:tcW w:w="839" w:type="pct"/>
            <w:noWrap/>
            <w:vAlign w:val="center"/>
            <w:hideMark/>
          </w:tcPr>
          <w:p w14:paraId="05498814" w14:textId="77777777" w:rsidR="001A5E55" w:rsidRPr="00951AB1" w:rsidRDefault="001A5E55" w:rsidP="000A5389">
            <w:pPr>
              <w:spacing w:line="240" w:lineRule="auto"/>
              <w:jc w:val="right"/>
              <w:rPr>
                <w:rFonts w:eastAsia="Times New Roman" w:cs="Times New Roman"/>
                <w:color w:val="000000"/>
                <w:kern w:val="0"/>
                <w:sz w:val="16"/>
                <w:szCs w:val="16"/>
                <w:lang w:eastAsia="es-CO"/>
                <w14:ligatures w14:val="none"/>
              </w:rPr>
            </w:pPr>
            <w:r w:rsidRPr="00951AB1">
              <w:rPr>
                <w:rFonts w:eastAsia="Times New Roman" w:cs="Times New Roman"/>
                <w:color w:val="000000"/>
                <w:kern w:val="0"/>
                <w:sz w:val="16"/>
                <w:szCs w:val="16"/>
                <w:lang w:eastAsia="es-CO"/>
                <w14:ligatures w14:val="none"/>
              </w:rPr>
              <w:t>-847.938.029.600</w:t>
            </w:r>
          </w:p>
        </w:tc>
      </w:tr>
      <w:tr w:rsidR="00B44D10" w:rsidRPr="00951AB1" w14:paraId="4E6871F5" w14:textId="77777777" w:rsidTr="0071107B">
        <w:trPr>
          <w:trHeight w:val="293"/>
        </w:trPr>
        <w:tc>
          <w:tcPr>
            <w:tcW w:w="544" w:type="pct"/>
            <w:vAlign w:val="center"/>
            <w:hideMark/>
          </w:tcPr>
          <w:p w14:paraId="2B0E0C7A" w14:textId="77777777" w:rsidR="001A5E55" w:rsidRPr="00951AB1" w:rsidRDefault="001A5E55" w:rsidP="000A5389">
            <w:pPr>
              <w:spacing w:line="240" w:lineRule="auto"/>
              <w:jc w:val="right"/>
              <w:rPr>
                <w:rFonts w:eastAsia="Times New Roman" w:cs="Times New Roman"/>
                <w:color w:val="000000"/>
                <w:kern w:val="0"/>
                <w:sz w:val="16"/>
                <w:szCs w:val="16"/>
                <w:lang w:eastAsia="es-CO"/>
                <w14:ligatures w14:val="none"/>
              </w:rPr>
            </w:pPr>
            <w:r w:rsidRPr="00951AB1">
              <w:rPr>
                <w:rFonts w:eastAsia="Times New Roman" w:cs="Times New Roman"/>
                <w:color w:val="000000"/>
                <w:kern w:val="0"/>
                <w:sz w:val="16"/>
                <w:szCs w:val="16"/>
                <w:lang w:eastAsia="es-CO"/>
                <w14:ligatures w14:val="none"/>
              </w:rPr>
              <w:t>900744773</w:t>
            </w:r>
          </w:p>
        </w:tc>
        <w:tc>
          <w:tcPr>
            <w:tcW w:w="1512" w:type="pct"/>
            <w:vAlign w:val="center"/>
            <w:hideMark/>
          </w:tcPr>
          <w:p w14:paraId="55015B64" w14:textId="77777777" w:rsidR="001A5E55" w:rsidRPr="00951AB1" w:rsidRDefault="001A5E55" w:rsidP="000A5389">
            <w:pPr>
              <w:spacing w:line="240" w:lineRule="auto"/>
              <w:rPr>
                <w:rFonts w:eastAsia="Times New Roman" w:cs="Times New Roman"/>
                <w:color w:val="000000"/>
                <w:kern w:val="0"/>
                <w:sz w:val="16"/>
                <w:szCs w:val="16"/>
                <w:lang w:eastAsia="es-CO"/>
                <w14:ligatures w14:val="none"/>
              </w:rPr>
            </w:pPr>
            <w:r w:rsidRPr="00951AB1">
              <w:rPr>
                <w:rFonts w:eastAsia="Times New Roman" w:cs="Times New Roman"/>
                <w:color w:val="000000"/>
                <w:kern w:val="0"/>
                <w:sz w:val="16"/>
                <w:szCs w:val="16"/>
                <w:lang w:eastAsia="es-CO"/>
                <w14:ligatures w14:val="none"/>
              </w:rPr>
              <w:t>Concesionaria Vial del Pacifico S A S</w:t>
            </w:r>
          </w:p>
        </w:tc>
        <w:tc>
          <w:tcPr>
            <w:tcW w:w="1081" w:type="pct"/>
            <w:vAlign w:val="center"/>
            <w:hideMark/>
          </w:tcPr>
          <w:p w14:paraId="301BF893" w14:textId="77777777" w:rsidR="001A5E55" w:rsidRPr="00951AB1" w:rsidRDefault="001A5E55" w:rsidP="000A5389">
            <w:pPr>
              <w:spacing w:line="240" w:lineRule="auto"/>
              <w:jc w:val="right"/>
              <w:rPr>
                <w:rFonts w:eastAsia="Times New Roman" w:cs="Times New Roman"/>
                <w:color w:val="000000"/>
                <w:kern w:val="0"/>
                <w:sz w:val="16"/>
                <w:szCs w:val="16"/>
                <w:lang w:eastAsia="es-CO"/>
                <w14:ligatures w14:val="none"/>
              </w:rPr>
            </w:pPr>
            <w:r w:rsidRPr="00951AB1">
              <w:rPr>
                <w:rFonts w:eastAsia="Times New Roman" w:cs="Times New Roman"/>
                <w:color w:val="000000"/>
                <w:kern w:val="0"/>
                <w:sz w:val="16"/>
                <w:szCs w:val="16"/>
                <w:lang w:eastAsia="es-CO"/>
                <w14:ligatures w14:val="none"/>
              </w:rPr>
              <w:t>1.649.005.356.811</w:t>
            </w:r>
          </w:p>
        </w:tc>
        <w:tc>
          <w:tcPr>
            <w:tcW w:w="1025" w:type="pct"/>
            <w:noWrap/>
            <w:vAlign w:val="center"/>
            <w:hideMark/>
          </w:tcPr>
          <w:p w14:paraId="3C1BF2CC" w14:textId="77777777" w:rsidR="001A5E55" w:rsidRPr="00951AB1" w:rsidRDefault="001A5E55" w:rsidP="000A5389">
            <w:pPr>
              <w:spacing w:line="240" w:lineRule="auto"/>
              <w:jc w:val="right"/>
              <w:rPr>
                <w:rFonts w:eastAsia="Times New Roman" w:cs="Times New Roman"/>
                <w:color w:val="000000"/>
                <w:kern w:val="0"/>
                <w:sz w:val="16"/>
                <w:szCs w:val="16"/>
                <w:lang w:eastAsia="es-CO"/>
                <w14:ligatures w14:val="none"/>
              </w:rPr>
            </w:pPr>
            <w:r w:rsidRPr="00951AB1">
              <w:rPr>
                <w:rFonts w:eastAsia="Times New Roman" w:cs="Times New Roman"/>
                <w:color w:val="000000"/>
                <w:kern w:val="0"/>
                <w:sz w:val="16"/>
                <w:szCs w:val="16"/>
                <w:lang w:eastAsia="es-CO"/>
                <w14:ligatures w14:val="none"/>
              </w:rPr>
              <w:t>2.308.177.819.268</w:t>
            </w:r>
          </w:p>
        </w:tc>
        <w:tc>
          <w:tcPr>
            <w:tcW w:w="839" w:type="pct"/>
            <w:noWrap/>
            <w:vAlign w:val="center"/>
            <w:hideMark/>
          </w:tcPr>
          <w:p w14:paraId="173E5C52" w14:textId="77777777" w:rsidR="001A5E55" w:rsidRPr="00951AB1" w:rsidRDefault="001A5E55" w:rsidP="000A5389">
            <w:pPr>
              <w:spacing w:line="240" w:lineRule="auto"/>
              <w:jc w:val="right"/>
              <w:rPr>
                <w:rFonts w:eastAsia="Times New Roman" w:cs="Times New Roman"/>
                <w:color w:val="000000"/>
                <w:kern w:val="0"/>
                <w:sz w:val="16"/>
                <w:szCs w:val="16"/>
                <w:lang w:eastAsia="es-CO"/>
                <w14:ligatures w14:val="none"/>
              </w:rPr>
            </w:pPr>
            <w:r w:rsidRPr="00951AB1">
              <w:rPr>
                <w:rFonts w:eastAsia="Times New Roman" w:cs="Times New Roman"/>
                <w:color w:val="000000"/>
                <w:kern w:val="0"/>
                <w:sz w:val="16"/>
                <w:szCs w:val="16"/>
                <w:lang w:eastAsia="es-CO"/>
                <w14:ligatures w14:val="none"/>
              </w:rPr>
              <w:t>-659.172.462.457</w:t>
            </w:r>
          </w:p>
        </w:tc>
      </w:tr>
      <w:tr w:rsidR="00B44D10" w:rsidRPr="00951AB1" w14:paraId="4F47A1CD" w14:textId="77777777" w:rsidTr="0071107B">
        <w:trPr>
          <w:trHeight w:val="293"/>
        </w:trPr>
        <w:tc>
          <w:tcPr>
            <w:tcW w:w="544" w:type="pct"/>
            <w:vAlign w:val="center"/>
            <w:hideMark/>
          </w:tcPr>
          <w:p w14:paraId="17E89860" w14:textId="77777777" w:rsidR="001A5E55" w:rsidRPr="00951AB1" w:rsidRDefault="001A5E55" w:rsidP="000A5389">
            <w:pPr>
              <w:spacing w:line="240" w:lineRule="auto"/>
              <w:jc w:val="right"/>
              <w:rPr>
                <w:rFonts w:eastAsia="Times New Roman" w:cs="Times New Roman"/>
                <w:color w:val="000000"/>
                <w:kern w:val="0"/>
                <w:sz w:val="16"/>
                <w:szCs w:val="16"/>
                <w:lang w:eastAsia="es-CO"/>
                <w14:ligatures w14:val="none"/>
              </w:rPr>
            </w:pPr>
            <w:r w:rsidRPr="00951AB1">
              <w:rPr>
                <w:rFonts w:eastAsia="Times New Roman" w:cs="Times New Roman"/>
                <w:color w:val="000000"/>
                <w:kern w:val="0"/>
                <w:sz w:val="16"/>
                <w:szCs w:val="16"/>
                <w:lang w:eastAsia="es-CO"/>
                <w14:ligatures w14:val="none"/>
              </w:rPr>
              <w:t>901082545</w:t>
            </w:r>
          </w:p>
        </w:tc>
        <w:tc>
          <w:tcPr>
            <w:tcW w:w="1512" w:type="pct"/>
            <w:noWrap/>
            <w:vAlign w:val="center"/>
            <w:hideMark/>
          </w:tcPr>
          <w:p w14:paraId="512A6295" w14:textId="77777777" w:rsidR="001A5E55" w:rsidRPr="00951AB1" w:rsidRDefault="001A5E55" w:rsidP="000A5389">
            <w:pPr>
              <w:spacing w:line="240" w:lineRule="auto"/>
              <w:rPr>
                <w:rFonts w:eastAsia="Times New Roman" w:cs="Times New Roman"/>
                <w:color w:val="000000"/>
                <w:kern w:val="0"/>
                <w:sz w:val="16"/>
                <w:szCs w:val="16"/>
                <w:lang w:eastAsia="es-CO"/>
                <w14:ligatures w14:val="none"/>
              </w:rPr>
            </w:pPr>
            <w:r w:rsidRPr="00951AB1">
              <w:rPr>
                <w:rFonts w:eastAsia="Times New Roman" w:cs="Times New Roman"/>
                <w:color w:val="000000"/>
                <w:kern w:val="0"/>
                <w:sz w:val="16"/>
                <w:szCs w:val="16"/>
                <w:lang w:eastAsia="es-CO"/>
                <w14:ligatures w14:val="none"/>
              </w:rPr>
              <w:t>Unión Vial Rio Pamplonita S.A.S</w:t>
            </w:r>
          </w:p>
        </w:tc>
        <w:tc>
          <w:tcPr>
            <w:tcW w:w="1081" w:type="pct"/>
            <w:vAlign w:val="center"/>
            <w:hideMark/>
          </w:tcPr>
          <w:p w14:paraId="6214C173" w14:textId="77777777" w:rsidR="001A5E55" w:rsidRPr="00951AB1" w:rsidRDefault="001A5E55" w:rsidP="000A5389">
            <w:pPr>
              <w:spacing w:line="240" w:lineRule="auto"/>
              <w:jc w:val="right"/>
              <w:rPr>
                <w:rFonts w:eastAsia="Times New Roman" w:cs="Times New Roman"/>
                <w:color w:val="000000"/>
                <w:kern w:val="0"/>
                <w:sz w:val="16"/>
                <w:szCs w:val="16"/>
                <w:lang w:eastAsia="es-CO"/>
                <w14:ligatures w14:val="none"/>
              </w:rPr>
            </w:pPr>
            <w:r w:rsidRPr="00951AB1">
              <w:rPr>
                <w:rFonts w:eastAsia="Times New Roman" w:cs="Times New Roman"/>
                <w:color w:val="000000"/>
                <w:kern w:val="0"/>
                <w:sz w:val="16"/>
                <w:szCs w:val="16"/>
                <w:lang w:eastAsia="es-CO"/>
                <w14:ligatures w14:val="none"/>
              </w:rPr>
              <w:t>1.568.526.489.544</w:t>
            </w:r>
          </w:p>
        </w:tc>
        <w:tc>
          <w:tcPr>
            <w:tcW w:w="1025" w:type="pct"/>
            <w:noWrap/>
            <w:vAlign w:val="center"/>
            <w:hideMark/>
          </w:tcPr>
          <w:p w14:paraId="514E3204" w14:textId="77777777" w:rsidR="001A5E55" w:rsidRPr="00951AB1" w:rsidRDefault="001A5E55" w:rsidP="000A5389">
            <w:pPr>
              <w:spacing w:line="240" w:lineRule="auto"/>
              <w:jc w:val="right"/>
              <w:rPr>
                <w:rFonts w:eastAsia="Times New Roman" w:cs="Times New Roman"/>
                <w:color w:val="000000"/>
                <w:kern w:val="0"/>
                <w:sz w:val="16"/>
                <w:szCs w:val="16"/>
                <w:lang w:eastAsia="es-CO"/>
                <w14:ligatures w14:val="none"/>
              </w:rPr>
            </w:pPr>
            <w:r w:rsidRPr="00951AB1">
              <w:rPr>
                <w:rFonts w:eastAsia="Times New Roman" w:cs="Times New Roman"/>
                <w:color w:val="000000"/>
                <w:kern w:val="0"/>
                <w:sz w:val="16"/>
                <w:szCs w:val="16"/>
                <w:lang w:eastAsia="es-CO"/>
                <w14:ligatures w14:val="none"/>
              </w:rPr>
              <w:t>1.862.770.133.470</w:t>
            </w:r>
          </w:p>
        </w:tc>
        <w:tc>
          <w:tcPr>
            <w:tcW w:w="839" w:type="pct"/>
            <w:noWrap/>
            <w:vAlign w:val="center"/>
            <w:hideMark/>
          </w:tcPr>
          <w:p w14:paraId="3FE1AA1B" w14:textId="77777777" w:rsidR="001A5E55" w:rsidRPr="00951AB1" w:rsidRDefault="001A5E55" w:rsidP="000A5389">
            <w:pPr>
              <w:spacing w:line="240" w:lineRule="auto"/>
              <w:jc w:val="right"/>
              <w:rPr>
                <w:rFonts w:eastAsia="Times New Roman" w:cs="Times New Roman"/>
                <w:color w:val="000000"/>
                <w:kern w:val="0"/>
                <w:sz w:val="16"/>
                <w:szCs w:val="16"/>
                <w:lang w:eastAsia="es-CO"/>
                <w14:ligatures w14:val="none"/>
              </w:rPr>
            </w:pPr>
            <w:r w:rsidRPr="00951AB1">
              <w:rPr>
                <w:rFonts w:eastAsia="Times New Roman" w:cs="Times New Roman"/>
                <w:color w:val="000000"/>
                <w:kern w:val="0"/>
                <w:sz w:val="16"/>
                <w:szCs w:val="16"/>
                <w:lang w:eastAsia="es-CO"/>
                <w14:ligatures w14:val="none"/>
              </w:rPr>
              <w:t>-294.243.643.926</w:t>
            </w:r>
          </w:p>
        </w:tc>
      </w:tr>
      <w:tr w:rsidR="00B44D10" w:rsidRPr="00951AB1" w14:paraId="02F4BB6A" w14:textId="77777777" w:rsidTr="0071107B">
        <w:trPr>
          <w:trHeight w:val="293"/>
        </w:trPr>
        <w:tc>
          <w:tcPr>
            <w:tcW w:w="544" w:type="pct"/>
            <w:vAlign w:val="center"/>
            <w:hideMark/>
          </w:tcPr>
          <w:p w14:paraId="0A172711" w14:textId="77777777" w:rsidR="001A5E55" w:rsidRPr="00951AB1" w:rsidRDefault="001A5E55" w:rsidP="000A5389">
            <w:pPr>
              <w:spacing w:line="240" w:lineRule="auto"/>
              <w:jc w:val="right"/>
              <w:rPr>
                <w:rFonts w:eastAsia="Times New Roman" w:cs="Times New Roman"/>
                <w:color w:val="000000"/>
                <w:kern w:val="0"/>
                <w:sz w:val="16"/>
                <w:szCs w:val="16"/>
                <w:lang w:eastAsia="es-CO"/>
                <w14:ligatures w14:val="none"/>
              </w:rPr>
            </w:pPr>
            <w:r w:rsidRPr="00951AB1">
              <w:rPr>
                <w:rFonts w:eastAsia="Times New Roman" w:cs="Times New Roman"/>
                <w:color w:val="000000"/>
                <w:kern w:val="0"/>
                <w:sz w:val="16"/>
                <w:szCs w:val="16"/>
                <w:lang w:eastAsia="es-CO"/>
                <w14:ligatures w14:val="none"/>
              </w:rPr>
              <w:t>901482899</w:t>
            </w:r>
          </w:p>
        </w:tc>
        <w:tc>
          <w:tcPr>
            <w:tcW w:w="1512" w:type="pct"/>
            <w:noWrap/>
            <w:vAlign w:val="center"/>
            <w:hideMark/>
          </w:tcPr>
          <w:p w14:paraId="354278BD" w14:textId="77777777" w:rsidR="001A5E55" w:rsidRPr="00951AB1" w:rsidRDefault="001A5E55" w:rsidP="000A5389">
            <w:pPr>
              <w:spacing w:line="240" w:lineRule="auto"/>
              <w:rPr>
                <w:rFonts w:eastAsia="Times New Roman" w:cs="Times New Roman"/>
                <w:color w:val="000000"/>
                <w:kern w:val="0"/>
                <w:sz w:val="16"/>
                <w:szCs w:val="16"/>
                <w:lang w:eastAsia="es-CO"/>
                <w14:ligatures w14:val="none"/>
              </w:rPr>
            </w:pPr>
            <w:r w:rsidRPr="00951AB1">
              <w:rPr>
                <w:rFonts w:eastAsia="Times New Roman" w:cs="Times New Roman"/>
                <w:color w:val="000000"/>
                <w:kern w:val="0"/>
                <w:sz w:val="16"/>
                <w:szCs w:val="16"/>
                <w:lang w:eastAsia="es-CO"/>
                <w14:ligatures w14:val="none"/>
              </w:rPr>
              <w:t>Concesionaria Ruta al Sur S.A.S.</w:t>
            </w:r>
          </w:p>
        </w:tc>
        <w:tc>
          <w:tcPr>
            <w:tcW w:w="1081" w:type="pct"/>
            <w:vAlign w:val="center"/>
            <w:hideMark/>
          </w:tcPr>
          <w:p w14:paraId="521EC207" w14:textId="77777777" w:rsidR="001A5E55" w:rsidRPr="00951AB1" w:rsidRDefault="001A5E55" w:rsidP="000A5389">
            <w:pPr>
              <w:spacing w:line="240" w:lineRule="auto"/>
              <w:jc w:val="right"/>
              <w:rPr>
                <w:rFonts w:eastAsia="Times New Roman" w:cs="Times New Roman"/>
                <w:color w:val="000000"/>
                <w:kern w:val="0"/>
                <w:sz w:val="16"/>
                <w:szCs w:val="16"/>
                <w:lang w:eastAsia="es-CO"/>
                <w14:ligatures w14:val="none"/>
              </w:rPr>
            </w:pPr>
            <w:r w:rsidRPr="00951AB1">
              <w:rPr>
                <w:rFonts w:eastAsia="Times New Roman" w:cs="Times New Roman"/>
                <w:color w:val="000000"/>
                <w:kern w:val="0"/>
                <w:sz w:val="16"/>
                <w:szCs w:val="16"/>
                <w:lang w:eastAsia="es-CO"/>
                <w14:ligatures w14:val="none"/>
              </w:rPr>
              <w:t>1.448.284.766.182</w:t>
            </w:r>
          </w:p>
        </w:tc>
        <w:tc>
          <w:tcPr>
            <w:tcW w:w="1025" w:type="pct"/>
            <w:noWrap/>
            <w:vAlign w:val="center"/>
            <w:hideMark/>
          </w:tcPr>
          <w:p w14:paraId="01065872" w14:textId="77777777" w:rsidR="001A5E55" w:rsidRPr="00951AB1" w:rsidRDefault="001A5E55" w:rsidP="000A5389">
            <w:pPr>
              <w:spacing w:line="240" w:lineRule="auto"/>
              <w:jc w:val="right"/>
              <w:rPr>
                <w:rFonts w:eastAsia="Times New Roman" w:cs="Times New Roman"/>
                <w:color w:val="000000"/>
                <w:kern w:val="0"/>
                <w:sz w:val="16"/>
                <w:szCs w:val="16"/>
                <w:lang w:eastAsia="es-CO"/>
                <w14:ligatures w14:val="none"/>
              </w:rPr>
            </w:pPr>
            <w:r w:rsidRPr="00951AB1">
              <w:rPr>
                <w:rFonts w:eastAsia="Times New Roman" w:cs="Times New Roman"/>
                <w:color w:val="000000"/>
                <w:kern w:val="0"/>
                <w:sz w:val="16"/>
                <w:szCs w:val="16"/>
                <w:lang w:eastAsia="es-CO"/>
                <w14:ligatures w14:val="none"/>
              </w:rPr>
              <w:t>1.158.385.097.124</w:t>
            </w:r>
          </w:p>
        </w:tc>
        <w:tc>
          <w:tcPr>
            <w:tcW w:w="839" w:type="pct"/>
            <w:noWrap/>
            <w:vAlign w:val="center"/>
            <w:hideMark/>
          </w:tcPr>
          <w:p w14:paraId="6B7BAEFB" w14:textId="77777777" w:rsidR="001A5E55" w:rsidRPr="00951AB1" w:rsidRDefault="001A5E55" w:rsidP="000A5389">
            <w:pPr>
              <w:spacing w:line="240" w:lineRule="auto"/>
              <w:jc w:val="right"/>
              <w:rPr>
                <w:rFonts w:eastAsia="Times New Roman" w:cs="Times New Roman"/>
                <w:color w:val="000000"/>
                <w:kern w:val="0"/>
                <w:sz w:val="16"/>
                <w:szCs w:val="16"/>
                <w:lang w:eastAsia="es-CO"/>
                <w14:ligatures w14:val="none"/>
              </w:rPr>
            </w:pPr>
            <w:r w:rsidRPr="00951AB1">
              <w:rPr>
                <w:rFonts w:eastAsia="Times New Roman" w:cs="Times New Roman"/>
                <w:color w:val="000000"/>
                <w:kern w:val="0"/>
                <w:sz w:val="16"/>
                <w:szCs w:val="16"/>
                <w:lang w:eastAsia="es-CO"/>
                <w14:ligatures w14:val="none"/>
              </w:rPr>
              <w:t>289.899.669.058</w:t>
            </w:r>
          </w:p>
        </w:tc>
      </w:tr>
      <w:tr w:rsidR="00B44D10" w:rsidRPr="00951AB1" w14:paraId="0B87A35F" w14:textId="77777777" w:rsidTr="0071107B">
        <w:trPr>
          <w:trHeight w:val="293"/>
        </w:trPr>
        <w:tc>
          <w:tcPr>
            <w:tcW w:w="544" w:type="pct"/>
            <w:vAlign w:val="center"/>
            <w:hideMark/>
          </w:tcPr>
          <w:p w14:paraId="01C683A4" w14:textId="77777777" w:rsidR="001A5E55" w:rsidRPr="00951AB1" w:rsidRDefault="001A5E55" w:rsidP="000A5389">
            <w:pPr>
              <w:spacing w:line="240" w:lineRule="auto"/>
              <w:jc w:val="right"/>
              <w:rPr>
                <w:rFonts w:eastAsia="Times New Roman" w:cs="Times New Roman"/>
                <w:color w:val="000000"/>
                <w:kern w:val="0"/>
                <w:sz w:val="16"/>
                <w:szCs w:val="16"/>
                <w:lang w:eastAsia="es-CO"/>
                <w14:ligatures w14:val="none"/>
              </w:rPr>
            </w:pPr>
            <w:r w:rsidRPr="00951AB1">
              <w:rPr>
                <w:rFonts w:eastAsia="Times New Roman" w:cs="Times New Roman"/>
                <w:color w:val="000000"/>
                <w:kern w:val="0"/>
                <w:sz w:val="16"/>
                <w:szCs w:val="16"/>
                <w:lang w:eastAsia="es-CO"/>
                <w14:ligatures w14:val="none"/>
              </w:rPr>
              <w:t>900869678</w:t>
            </w:r>
          </w:p>
        </w:tc>
        <w:tc>
          <w:tcPr>
            <w:tcW w:w="1512" w:type="pct"/>
            <w:noWrap/>
            <w:vAlign w:val="center"/>
            <w:hideMark/>
          </w:tcPr>
          <w:p w14:paraId="37B4CB8D" w14:textId="77777777" w:rsidR="001A5E55" w:rsidRPr="00951AB1" w:rsidRDefault="001A5E55" w:rsidP="000A5389">
            <w:pPr>
              <w:spacing w:line="240" w:lineRule="auto"/>
              <w:rPr>
                <w:rFonts w:eastAsia="Times New Roman" w:cs="Times New Roman"/>
                <w:color w:val="000000"/>
                <w:kern w:val="0"/>
                <w:sz w:val="16"/>
                <w:szCs w:val="16"/>
                <w:lang w:eastAsia="es-CO"/>
                <w14:ligatures w14:val="none"/>
              </w:rPr>
            </w:pPr>
            <w:r w:rsidRPr="00951AB1">
              <w:rPr>
                <w:rFonts w:eastAsia="Times New Roman" w:cs="Times New Roman"/>
                <w:color w:val="000000"/>
                <w:kern w:val="0"/>
                <w:sz w:val="16"/>
                <w:szCs w:val="16"/>
                <w:lang w:eastAsia="es-CO"/>
                <w14:ligatures w14:val="none"/>
              </w:rPr>
              <w:t>Desarrollo Vial al Mar   S.A.S</w:t>
            </w:r>
          </w:p>
        </w:tc>
        <w:tc>
          <w:tcPr>
            <w:tcW w:w="1081" w:type="pct"/>
            <w:vAlign w:val="center"/>
            <w:hideMark/>
          </w:tcPr>
          <w:p w14:paraId="2DF1A7B3" w14:textId="77777777" w:rsidR="001A5E55" w:rsidRPr="00951AB1" w:rsidRDefault="001A5E55" w:rsidP="000A5389">
            <w:pPr>
              <w:spacing w:line="240" w:lineRule="auto"/>
              <w:jc w:val="right"/>
              <w:rPr>
                <w:rFonts w:eastAsia="Times New Roman" w:cs="Times New Roman"/>
                <w:color w:val="000000"/>
                <w:kern w:val="0"/>
                <w:sz w:val="16"/>
                <w:szCs w:val="16"/>
                <w:lang w:eastAsia="es-CO"/>
                <w14:ligatures w14:val="none"/>
              </w:rPr>
            </w:pPr>
            <w:r w:rsidRPr="00951AB1">
              <w:rPr>
                <w:rFonts w:eastAsia="Times New Roman" w:cs="Times New Roman"/>
                <w:color w:val="000000"/>
                <w:kern w:val="0"/>
                <w:sz w:val="16"/>
                <w:szCs w:val="16"/>
                <w:lang w:eastAsia="es-CO"/>
                <w14:ligatures w14:val="none"/>
              </w:rPr>
              <w:t>1.345.390.867.752</w:t>
            </w:r>
          </w:p>
        </w:tc>
        <w:tc>
          <w:tcPr>
            <w:tcW w:w="1025" w:type="pct"/>
            <w:noWrap/>
            <w:vAlign w:val="center"/>
            <w:hideMark/>
          </w:tcPr>
          <w:p w14:paraId="2ABB5B2A" w14:textId="77777777" w:rsidR="001A5E55" w:rsidRPr="00951AB1" w:rsidRDefault="001A5E55" w:rsidP="000A5389">
            <w:pPr>
              <w:spacing w:line="240" w:lineRule="auto"/>
              <w:jc w:val="right"/>
              <w:rPr>
                <w:rFonts w:eastAsia="Times New Roman" w:cs="Times New Roman"/>
                <w:color w:val="000000"/>
                <w:kern w:val="0"/>
                <w:sz w:val="16"/>
                <w:szCs w:val="16"/>
                <w:lang w:eastAsia="es-CO"/>
                <w14:ligatures w14:val="none"/>
              </w:rPr>
            </w:pPr>
            <w:r w:rsidRPr="00951AB1">
              <w:rPr>
                <w:rFonts w:eastAsia="Times New Roman" w:cs="Times New Roman"/>
                <w:color w:val="000000"/>
                <w:kern w:val="0"/>
                <w:sz w:val="16"/>
                <w:szCs w:val="16"/>
                <w:lang w:eastAsia="es-CO"/>
                <w14:ligatures w14:val="none"/>
              </w:rPr>
              <w:t>1.493.895.575.668</w:t>
            </w:r>
          </w:p>
        </w:tc>
        <w:tc>
          <w:tcPr>
            <w:tcW w:w="839" w:type="pct"/>
            <w:noWrap/>
            <w:vAlign w:val="center"/>
            <w:hideMark/>
          </w:tcPr>
          <w:p w14:paraId="70A52BA1" w14:textId="77777777" w:rsidR="001A5E55" w:rsidRPr="00951AB1" w:rsidRDefault="001A5E55" w:rsidP="000A5389">
            <w:pPr>
              <w:spacing w:line="240" w:lineRule="auto"/>
              <w:jc w:val="right"/>
              <w:rPr>
                <w:rFonts w:eastAsia="Times New Roman" w:cs="Times New Roman"/>
                <w:color w:val="000000"/>
                <w:kern w:val="0"/>
                <w:sz w:val="16"/>
                <w:szCs w:val="16"/>
                <w:lang w:eastAsia="es-CO"/>
                <w14:ligatures w14:val="none"/>
              </w:rPr>
            </w:pPr>
            <w:r w:rsidRPr="00951AB1">
              <w:rPr>
                <w:rFonts w:eastAsia="Times New Roman" w:cs="Times New Roman"/>
                <w:color w:val="000000"/>
                <w:kern w:val="0"/>
                <w:sz w:val="16"/>
                <w:szCs w:val="16"/>
                <w:lang w:eastAsia="es-CO"/>
                <w14:ligatures w14:val="none"/>
              </w:rPr>
              <w:t>-148.504.707.916</w:t>
            </w:r>
          </w:p>
        </w:tc>
      </w:tr>
      <w:tr w:rsidR="00B44D10" w:rsidRPr="00951AB1" w14:paraId="4691D8CB" w14:textId="77777777" w:rsidTr="0071107B">
        <w:trPr>
          <w:trHeight w:val="293"/>
        </w:trPr>
        <w:tc>
          <w:tcPr>
            <w:tcW w:w="544" w:type="pct"/>
            <w:vAlign w:val="center"/>
            <w:hideMark/>
          </w:tcPr>
          <w:p w14:paraId="6D932BEE" w14:textId="77777777" w:rsidR="001A5E55" w:rsidRPr="00951AB1" w:rsidRDefault="001A5E55" w:rsidP="000A5389">
            <w:pPr>
              <w:spacing w:line="240" w:lineRule="auto"/>
              <w:jc w:val="right"/>
              <w:rPr>
                <w:rFonts w:eastAsia="Times New Roman" w:cs="Times New Roman"/>
                <w:color w:val="000000"/>
                <w:kern w:val="0"/>
                <w:sz w:val="16"/>
                <w:szCs w:val="16"/>
                <w:lang w:eastAsia="es-CO"/>
                <w14:ligatures w14:val="none"/>
              </w:rPr>
            </w:pPr>
            <w:r w:rsidRPr="00951AB1">
              <w:rPr>
                <w:rFonts w:eastAsia="Times New Roman" w:cs="Times New Roman"/>
                <w:color w:val="000000"/>
                <w:kern w:val="0"/>
                <w:sz w:val="16"/>
                <w:szCs w:val="16"/>
                <w:lang w:eastAsia="es-CO"/>
                <w14:ligatures w14:val="none"/>
              </w:rPr>
              <w:t>900862215</w:t>
            </w:r>
          </w:p>
        </w:tc>
        <w:tc>
          <w:tcPr>
            <w:tcW w:w="1512" w:type="pct"/>
            <w:noWrap/>
            <w:vAlign w:val="center"/>
            <w:hideMark/>
          </w:tcPr>
          <w:p w14:paraId="4209410C" w14:textId="77777777" w:rsidR="001A5E55" w:rsidRPr="00951AB1" w:rsidRDefault="001A5E55" w:rsidP="000A5389">
            <w:pPr>
              <w:spacing w:line="240" w:lineRule="auto"/>
              <w:rPr>
                <w:rFonts w:eastAsia="Times New Roman" w:cs="Times New Roman"/>
                <w:color w:val="000000"/>
                <w:kern w:val="0"/>
                <w:sz w:val="16"/>
                <w:szCs w:val="16"/>
                <w:lang w:eastAsia="es-CO"/>
                <w14:ligatures w14:val="none"/>
              </w:rPr>
            </w:pPr>
            <w:r w:rsidRPr="00951AB1">
              <w:rPr>
                <w:rFonts w:eastAsia="Times New Roman" w:cs="Times New Roman"/>
                <w:color w:val="000000"/>
                <w:kern w:val="0"/>
                <w:sz w:val="16"/>
                <w:szCs w:val="16"/>
                <w:lang w:eastAsia="es-CO"/>
                <w14:ligatures w14:val="none"/>
              </w:rPr>
              <w:t>Concesionaria Vial del Oriente S.AS</w:t>
            </w:r>
          </w:p>
        </w:tc>
        <w:tc>
          <w:tcPr>
            <w:tcW w:w="1081" w:type="pct"/>
            <w:vAlign w:val="center"/>
            <w:hideMark/>
          </w:tcPr>
          <w:p w14:paraId="78113F4D" w14:textId="77777777" w:rsidR="001A5E55" w:rsidRPr="00951AB1" w:rsidRDefault="001A5E55" w:rsidP="000A5389">
            <w:pPr>
              <w:spacing w:line="240" w:lineRule="auto"/>
              <w:jc w:val="right"/>
              <w:rPr>
                <w:rFonts w:eastAsia="Times New Roman" w:cs="Times New Roman"/>
                <w:color w:val="000000"/>
                <w:kern w:val="0"/>
                <w:sz w:val="16"/>
                <w:szCs w:val="16"/>
                <w:lang w:eastAsia="es-CO"/>
                <w14:ligatures w14:val="none"/>
              </w:rPr>
            </w:pPr>
            <w:r w:rsidRPr="00951AB1">
              <w:rPr>
                <w:rFonts w:eastAsia="Times New Roman" w:cs="Times New Roman"/>
                <w:color w:val="000000"/>
                <w:kern w:val="0"/>
                <w:sz w:val="16"/>
                <w:szCs w:val="16"/>
                <w:lang w:eastAsia="es-CO"/>
                <w14:ligatures w14:val="none"/>
              </w:rPr>
              <w:t>1.224.557.549.434</w:t>
            </w:r>
          </w:p>
        </w:tc>
        <w:tc>
          <w:tcPr>
            <w:tcW w:w="1025" w:type="pct"/>
            <w:noWrap/>
            <w:vAlign w:val="center"/>
            <w:hideMark/>
          </w:tcPr>
          <w:p w14:paraId="48B653ED" w14:textId="77777777" w:rsidR="001A5E55" w:rsidRPr="00951AB1" w:rsidRDefault="001A5E55" w:rsidP="000A5389">
            <w:pPr>
              <w:spacing w:line="240" w:lineRule="auto"/>
              <w:jc w:val="right"/>
              <w:rPr>
                <w:rFonts w:eastAsia="Times New Roman" w:cs="Times New Roman"/>
                <w:color w:val="000000"/>
                <w:kern w:val="0"/>
                <w:sz w:val="16"/>
                <w:szCs w:val="16"/>
                <w:lang w:eastAsia="es-CO"/>
                <w14:ligatures w14:val="none"/>
              </w:rPr>
            </w:pPr>
            <w:r w:rsidRPr="00951AB1">
              <w:rPr>
                <w:rFonts w:eastAsia="Times New Roman" w:cs="Times New Roman"/>
                <w:color w:val="000000"/>
                <w:kern w:val="0"/>
                <w:sz w:val="16"/>
                <w:szCs w:val="16"/>
                <w:lang w:eastAsia="es-CO"/>
                <w14:ligatures w14:val="none"/>
              </w:rPr>
              <w:t>1.324.904.168.702</w:t>
            </w:r>
          </w:p>
        </w:tc>
        <w:tc>
          <w:tcPr>
            <w:tcW w:w="839" w:type="pct"/>
            <w:noWrap/>
            <w:vAlign w:val="center"/>
            <w:hideMark/>
          </w:tcPr>
          <w:p w14:paraId="15BE74C1" w14:textId="77777777" w:rsidR="001A5E55" w:rsidRPr="00951AB1" w:rsidRDefault="001A5E55" w:rsidP="000A5389">
            <w:pPr>
              <w:spacing w:line="240" w:lineRule="auto"/>
              <w:jc w:val="right"/>
              <w:rPr>
                <w:rFonts w:eastAsia="Times New Roman" w:cs="Times New Roman"/>
                <w:color w:val="000000"/>
                <w:kern w:val="0"/>
                <w:sz w:val="16"/>
                <w:szCs w:val="16"/>
                <w:lang w:eastAsia="es-CO"/>
                <w14:ligatures w14:val="none"/>
              </w:rPr>
            </w:pPr>
            <w:r w:rsidRPr="00951AB1">
              <w:rPr>
                <w:rFonts w:eastAsia="Times New Roman" w:cs="Times New Roman"/>
                <w:color w:val="000000"/>
                <w:kern w:val="0"/>
                <w:sz w:val="16"/>
                <w:szCs w:val="16"/>
                <w:lang w:eastAsia="es-CO"/>
                <w14:ligatures w14:val="none"/>
              </w:rPr>
              <w:t>-100.346.619.268</w:t>
            </w:r>
          </w:p>
        </w:tc>
      </w:tr>
      <w:tr w:rsidR="00B44D10" w:rsidRPr="00951AB1" w14:paraId="005D3DB5" w14:textId="77777777" w:rsidTr="0071107B">
        <w:trPr>
          <w:trHeight w:val="293"/>
        </w:trPr>
        <w:tc>
          <w:tcPr>
            <w:tcW w:w="544" w:type="pct"/>
            <w:vAlign w:val="center"/>
            <w:hideMark/>
          </w:tcPr>
          <w:p w14:paraId="6436C4ED" w14:textId="77777777" w:rsidR="001A5E55" w:rsidRPr="00951AB1" w:rsidRDefault="001A5E55" w:rsidP="000A5389">
            <w:pPr>
              <w:spacing w:line="240" w:lineRule="auto"/>
              <w:jc w:val="right"/>
              <w:rPr>
                <w:rFonts w:eastAsia="Times New Roman" w:cs="Times New Roman"/>
                <w:color w:val="000000"/>
                <w:kern w:val="0"/>
                <w:sz w:val="16"/>
                <w:szCs w:val="16"/>
                <w:lang w:eastAsia="es-CO"/>
                <w14:ligatures w14:val="none"/>
              </w:rPr>
            </w:pPr>
            <w:r w:rsidRPr="00951AB1">
              <w:rPr>
                <w:rFonts w:eastAsia="Times New Roman" w:cs="Times New Roman"/>
                <w:color w:val="000000"/>
                <w:kern w:val="0"/>
                <w:sz w:val="16"/>
                <w:szCs w:val="16"/>
                <w:lang w:eastAsia="es-CO"/>
                <w14:ligatures w14:val="none"/>
              </w:rPr>
              <w:t>900761657</w:t>
            </w:r>
          </w:p>
        </w:tc>
        <w:tc>
          <w:tcPr>
            <w:tcW w:w="1512" w:type="pct"/>
            <w:noWrap/>
            <w:vAlign w:val="center"/>
            <w:hideMark/>
          </w:tcPr>
          <w:p w14:paraId="242DA87E" w14:textId="77777777" w:rsidR="001A5E55" w:rsidRPr="00951AB1" w:rsidRDefault="001A5E55" w:rsidP="000A5389">
            <w:pPr>
              <w:spacing w:line="240" w:lineRule="auto"/>
              <w:rPr>
                <w:rFonts w:eastAsia="Times New Roman" w:cs="Times New Roman"/>
                <w:color w:val="000000"/>
                <w:kern w:val="0"/>
                <w:sz w:val="16"/>
                <w:szCs w:val="16"/>
                <w:lang w:eastAsia="es-CO"/>
                <w14:ligatures w14:val="none"/>
              </w:rPr>
            </w:pPr>
            <w:r w:rsidRPr="00951AB1">
              <w:rPr>
                <w:rFonts w:eastAsia="Times New Roman" w:cs="Times New Roman"/>
                <w:color w:val="000000"/>
                <w:kern w:val="0"/>
                <w:sz w:val="16"/>
                <w:szCs w:val="16"/>
                <w:lang w:eastAsia="es-CO"/>
                <w14:ligatures w14:val="none"/>
              </w:rPr>
              <w:t>Perimetral Oriental de Bogotá S.A.S</w:t>
            </w:r>
          </w:p>
        </w:tc>
        <w:tc>
          <w:tcPr>
            <w:tcW w:w="1081" w:type="pct"/>
            <w:vAlign w:val="center"/>
            <w:hideMark/>
          </w:tcPr>
          <w:p w14:paraId="06A5AEF0" w14:textId="77777777" w:rsidR="001A5E55" w:rsidRPr="00951AB1" w:rsidRDefault="001A5E55" w:rsidP="000A5389">
            <w:pPr>
              <w:spacing w:line="240" w:lineRule="auto"/>
              <w:jc w:val="right"/>
              <w:rPr>
                <w:rFonts w:eastAsia="Times New Roman" w:cs="Times New Roman"/>
                <w:color w:val="000000"/>
                <w:kern w:val="0"/>
                <w:sz w:val="16"/>
                <w:szCs w:val="16"/>
                <w:lang w:eastAsia="es-CO"/>
                <w14:ligatures w14:val="none"/>
              </w:rPr>
            </w:pPr>
            <w:r w:rsidRPr="00951AB1">
              <w:rPr>
                <w:rFonts w:eastAsia="Times New Roman" w:cs="Times New Roman"/>
                <w:color w:val="000000"/>
                <w:kern w:val="0"/>
                <w:sz w:val="16"/>
                <w:szCs w:val="16"/>
                <w:lang w:eastAsia="es-CO"/>
                <w14:ligatures w14:val="none"/>
              </w:rPr>
              <w:t>1.212.389.736.366</w:t>
            </w:r>
          </w:p>
        </w:tc>
        <w:tc>
          <w:tcPr>
            <w:tcW w:w="1025" w:type="pct"/>
            <w:noWrap/>
            <w:vAlign w:val="center"/>
            <w:hideMark/>
          </w:tcPr>
          <w:p w14:paraId="1D34D367" w14:textId="77777777" w:rsidR="001A5E55" w:rsidRPr="00951AB1" w:rsidRDefault="001A5E55" w:rsidP="000A5389">
            <w:pPr>
              <w:spacing w:line="240" w:lineRule="auto"/>
              <w:jc w:val="right"/>
              <w:rPr>
                <w:rFonts w:eastAsia="Times New Roman" w:cs="Times New Roman"/>
                <w:color w:val="000000"/>
                <w:kern w:val="0"/>
                <w:sz w:val="16"/>
                <w:szCs w:val="16"/>
                <w:lang w:eastAsia="es-CO"/>
                <w14:ligatures w14:val="none"/>
              </w:rPr>
            </w:pPr>
            <w:r w:rsidRPr="00951AB1">
              <w:rPr>
                <w:rFonts w:eastAsia="Times New Roman" w:cs="Times New Roman"/>
                <w:color w:val="000000"/>
                <w:kern w:val="0"/>
                <w:sz w:val="16"/>
                <w:szCs w:val="16"/>
                <w:lang w:eastAsia="es-CO"/>
                <w14:ligatures w14:val="none"/>
              </w:rPr>
              <w:t>377.364.033.191</w:t>
            </w:r>
          </w:p>
        </w:tc>
        <w:tc>
          <w:tcPr>
            <w:tcW w:w="839" w:type="pct"/>
            <w:noWrap/>
            <w:vAlign w:val="center"/>
            <w:hideMark/>
          </w:tcPr>
          <w:p w14:paraId="0E9EE253" w14:textId="77777777" w:rsidR="001A5E55" w:rsidRPr="00951AB1" w:rsidRDefault="001A5E55" w:rsidP="000A5389">
            <w:pPr>
              <w:spacing w:line="240" w:lineRule="auto"/>
              <w:jc w:val="right"/>
              <w:rPr>
                <w:rFonts w:eastAsia="Times New Roman" w:cs="Times New Roman"/>
                <w:color w:val="000000"/>
                <w:kern w:val="0"/>
                <w:sz w:val="16"/>
                <w:szCs w:val="16"/>
                <w:lang w:eastAsia="es-CO"/>
                <w14:ligatures w14:val="none"/>
              </w:rPr>
            </w:pPr>
            <w:r w:rsidRPr="00951AB1">
              <w:rPr>
                <w:rFonts w:eastAsia="Times New Roman" w:cs="Times New Roman"/>
                <w:color w:val="000000"/>
                <w:kern w:val="0"/>
                <w:sz w:val="16"/>
                <w:szCs w:val="16"/>
                <w:lang w:eastAsia="es-CO"/>
                <w14:ligatures w14:val="none"/>
              </w:rPr>
              <w:t>835.025.703.175</w:t>
            </w:r>
          </w:p>
        </w:tc>
      </w:tr>
      <w:tr w:rsidR="00B44D10" w:rsidRPr="00951AB1" w14:paraId="1B23B001" w14:textId="77777777" w:rsidTr="0071107B">
        <w:trPr>
          <w:trHeight w:val="293"/>
        </w:trPr>
        <w:tc>
          <w:tcPr>
            <w:tcW w:w="544" w:type="pct"/>
            <w:vAlign w:val="center"/>
            <w:hideMark/>
          </w:tcPr>
          <w:p w14:paraId="1414FB09" w14:textId="77777777" w:rsidR="001A5E55" w:rsidRPr="00951AB1" w:rsidRDefault="001A5E55" w:rsidP="000A5389">
            <w:pPr>
              <w:spacing w:line="240" w:lineRule="auto"/>
              <w:jc w:val="right"/>
              <w:rPr>
                <w:rFonts w:eastAsia="Times New Roman" w:cs="Times New Roman"/>
                <w:color w:val="000000"/>
                <w:kern w:val="0"/>
                <w:sz w:val="16"/>
                <w:szCs w:val="16"/>
                <w:lang w:eastAsia="es-CO"/>
                <w14:ligatures w14:val="none"/>
              </w:rPr>
            </w:pPr>
            <w:r w:rsidRPr="00951AB1">
              <w:rPr>
                <w:rFonts w:eastAsia="Times New Roman" w:cs="Times New Roman"/>
                <w:color w:val="000000"/>
                <w:kern w:val="0"/>
                <w:sz w:val="16"/>
                <w:szCs w:val="16"/>
                <w:lang w:eastAsia="es-CO"/>
                <w14:ligatures w14:val="none"/>
              </w:rPr>
              <w:t>900880846</w:t>
            </w:r>
          </w:p>
        </w:tc>
        <w:tc>
          <w:tcPr>
            <w:tcW w:w="1512" w:type="pct"/>
            <w:vAlign w:val="center"/>
            <w:hideMark/>
          </w:tcPr>
          <w:p w14:paraId="03EF372E" w14:textId="77777777" w:rsidR="001A5E55" w:rsidRPr="00951AB1" w:rsidRDefault="001A5E55" w:rsidP="000A5389">
            <w:pPr>
              <w:spacing w:line="240" w:lineRule="auto"/>
              <w:rPr>
                <w:rFonts w:eastAsia="Times New Roman" w:cs="Times New Roman"/>
                <w:color w:val="000000"/>
                <w:kern w:val="0"/>
                <w:sz w:val="16"/>
                <w:szCs w:val="16"/>
                <w:lang w:eastAsia="es-CO"/>
                <w14:ligatures w14:val="none"/>
              </w:rPr>
            </w:pPr>
            <w:r w:rsidRPr="00951AB1">
              <w:rPr>
                <w:rFonts w:eastAsia="Times New Roman" w:cs="Times New Roman"/>
                <w:color w:val="000000"/>
                <w:kern w:val="0"/>
                <w:sz w:val="16"/>
                <w:szCs w:val="16"/>
                <w:lang w:eastAsia="es-CO"/>
                <w14:ligatures w14:val="none"/>
              </w:rPr>
              <w:t>Concesionaria Vial Unión del Sur S.A.S.</w:t>
            </w:r>
          </w:p>
        </w:tc>
        <w:tc>
          <w:tcPr>
            <w:tcW w:w="1081" w:type="pct"/>
            <w:vAlign w:val="center"/>
            <w:hideMark/>
          </w:tcPr>
          <w:p w14:paraId="0B249652" w14:textId="77777777" w:rsidR="001A5E55" w:rsidRPr="00951AB1" w:rsidRDefault="001A5E55" w:rsidP="000A5389">
            <w:pPr>
              <w:spacing w:line="240" w:lineRule="auto"/>
              <w:jc w:val="right"/>
              <w:rPr>
                <w:rFonts w:eastAsia="Times New Roman" w:cs="Times New Roman"/>
                <w:color w:val="000000"/>
                <w:kern w:val="0"/>
                <w:sz w:val="16"/>
                <w:szCs w:val="16"/>
                <w:lang w:eastAsia="es-CO"/>
                <w14:ligatures w14:val="none"/>
              </w:rPr>
            </w:pPr>
            <w:r w:rsidRPr="00951AB1">
              <w:rPr>
                <w:rFonts w:eastAsia="Times New Roman" w:cs="Times New Roman"/>
                <w:color w:val="000000"/>
                <w:kern w:val="0"/>
                <w:sz w:val="16"/>
                <w:szCs w:val="16"/>
                <w:lang w:eastAsia="es-CO"/>
                <w14:ligatures w14:val="none"/>
              </w:rPr>
              <w:t>1.205.333.589.815</w:t>
            </w:r>
          </w:p>
        </w:tc>
        <w:tc>
          <w:tcPr>
            <w:tcW w:w="1025" w:type="pct"/>
            <w:noWrap/>
            <w:vAlign w:val="center"/>
            <w:hideMark/>
          </w:tcPr>
          <w:p w14:paraId="15A76CB7" w14:textId="77777777" w:rsidR="001A5E55" w:rsidRPr="00951AB1" w:rsidRDefault="001A5E55" w:rsidP="000A5389">
            <w:pPr>
              <w:spacing w:line="240" w:lineRule="auto"/>
              <w:jc w:val="right"/>
              <w:rPr>
                <w:rFonts w:eastAsia="Times New Roman" w:cs="Times New Roman"/>
                <w:color w:val="000000"/>
                <w:kern w:val="0"/>
                <w:sz w:val="16"/>
                <w:szCs w:val="16"/>
                <w:lang w:eastAsia="es-CO"/>
                <w14:ligatures w14:val="none"/>
              </w:rPr>
            </w:pPr>
            <w:r w:rsidRPr="00951AB1">
              <w:rPr>
                <w:rFonts w:eastAsia="Times New Roman" w:cs="Times New Roman"/>
                <w:color w:val="000000"/>
                <w:kern w:val="0"/>
                <w:sz w:val="16"/>
                <w:szCs w:val="16"/>
                <w:lang w:eastAsia="es-CO"/>
                <w14:ligatures w14:val="none"/>
              </w:rPr>
              <w:t>1.346.192.150.079</w:t>
            </w:r>
          </w:p>
        </w:tc>
        <w:tc>
          <w:tcPr>
            <w:tcW w:w="839" w:type="pct"/>
            <w:noWrap/>
            <w:vAlign w:val="center"/>
            <w:hideMark/>
          </w:tcPr>
          <w:p w14:paraId="5302527F" w14:textId="77777777" w:rsidR="001A5E55" w:rsidRPr="00951AB1" w:rsidRDefault="001A5E55" w:rsidP="000A5389">
            <w:pPr>
              <w:spacing w:line="240" w:lineRule="auto"/>
              <w:jc w:val="right"/>
              <w:rPr>
                <w:rFonts w:eastAsia="Times New Roman" w:cs="Times New Roman"/>
                <w:color w:val="000000"/>
                <w:kern w:val="0"/>
                <w:sz w:val="16"/>
                <w:szCs w:val="16"/>
                <w:lang w:eastAsia="es-CO"/>
                <w14:ligatures w14:val="none"/>
              </w:rPr>
            </w:pPr>
            <w:r w:rsidRPr="00951AB1">
              <w:rPr>
                <w:rFonts w:eastAsia="Times New Roman" w:cs="Times New Roman"/>
                <w:color w:val="000000"/>
                <w:kern w:val="0"/>
                <w:sz w:val="16"/>
                <w:szCs w:val="16"/>
                <w:lang w:eastAsia="es-CO"/>
                <w14:ligatures w14:val="none"/>
              </w:rPr>
              <w:t>-140.858.560.264</w:t>
            </w:r>
          </w:p>
        </w:tc>
      </w:tr>
      <w:tr w:rsidR="00B44D10" w:rsidRPr="00951AB1" w14:paraId="08A0DCB1" w14:textId="77777777" w:rsidTr="0071107B">
        <w:trPr>
          <w:trHeight w:val="293"/>
        </w:trPr>
        <w:tc>
          <w:tcPr>
            <w:tcW w:w="544" w:type="pct"/>
            <w:vAlign w:val="center"/>
            <w:hideMark/>
          </w:tcPr>
          <w:p w14:paraId="4323E88F" w14:textId="77777777" w:rsidR="001A5E55" w:rsidRPr="00951AB1" w:rsidRDefault="001A5E55" w:rsidP="000A5389">
            <w:pPr>
              <w:spacing w:line="240" w:lineRule="auto"/>
              <w:jc w:val="right"/>
              <w:rPr>
                <w:rFonts w:eastAsia="Times New Roman" w:cs="Times New Roman"/>
                <w:color w:val="000000"/>
                <w:kern w:val="0"/>
                <w:sz w:val="16"/>
                <w:szCs w:val="16"/>
                <w:lang w:eastAsia="es-CO"/>
                <w14:ligatures w14:val="none"/>
              </w:rPr>
            </w:pPr>
            <w:r w:rsidRPr="00951AB1">
              <w:rPr>
                <w:rFonts w:eastAsia="Times New Roman" w:cs="Times New Roman"/>
                <w:color w:val="000000"/>
                <w:kern w:val="0"/>
                <w:sz w:val="16"/>
                <w:szCs w:val="16"/>
                <w:lang w:eastAsia="es-CO"/>
                <w14:ligatures w14:val="none"/>
              </w:rPr>
              <w:t>900866440</w:t>
            </w:r>
          </w:p>
        </w:tc>
        <w:tc>
          <w:tcPr>
            <w:tcW w:w="1512" w:type="pct"/>
            <w:vAlign w:val="center"/>
            <w:hideMark/>
          </w:tcPr>
          <w:p w14:paraId="539D99C1" w14:textId="77777777" w:rsidR="001A5E55" w:rsidRPr="00951AB1" w:rsidRDefault="001A5E55" w:rsidP="000A5389">
            <w:pPr>
              <w:spacing w:line="240" w:lineRule="auto"/>
              <w:rPr>
                <w:rFonts w:eastAsia="Times New Roman" w:cs="Times New Roman"/>
                <w:color w:val="000000"/>
                <w:kern w:val="0"/>
                <w:sz w:val="16"/>
                <w:szCs w:val="16"/>
                <w:lang w:eastAsia="es-CO"/>
                <w14:ligatures w14:val="none"/>
              </w:rPr>
            </w:pPr>
            <w:r w:rsidRPr="00951AB1">
              <w:rPr>
                <w:rFonts w:eastAsia="Times New Roman" w:cs="Times New Roman"/>
                <w:color w:val="000000"/>
                <w:kern w:val="0"/>
                <w:sz w:val="16"/>
                <w:szCs w:val="16"/>
                <w:lang w:eastAsia="es-CO"/>
                <w14:ligatures w14:val="none"/>
              </w:rPr>
              <w:t>Nuevo Cauca S.A.S</w:t>
            </w:r>
          </w:p>
        </w:tc>
        <w:tc>
          <w:tcPr>
            <w:tcW w:w="1081" w:type="pct"/>
            <w:vAlign w:val="center"/>
            <w:hideMark/>
          </w:tcPr>
          <w:p w14:paraId="602058DA" w14:textId="77777777" w:rsidR="001A5E55" w:rsidRPr="00951AB1" w:rsidRDefault="001A5E55" w:rsidP="000A5389">
            <w:pPr>
              <w:spacing w:line="240" w:lineRule="auto"/>
              <w:jc w:val="right"/>
              <w:rPr>
                <w:rFonts w:eastAsia="Times New Roman" w:cs="Times New Roman"/>
                <w:color w:val="000000"/>
                <w:kern w:val="0"/>
                <w:sz w:val="16"/>
                <w:szCs w:val="16"/>
                <w:lang w:eastAsia="es-CO"/>
                <w14:ligatures w14:val="none"/>
              </w:rPr>
            </w:pPr>
            <w:r w:rsidRPr="00951AB1">
              <w:rPr>
                <w:rFonts w:eastAsia="Times New Roman" w:cs="Times New Roman"/>
                <w:color w:val="000000"/>
                <w:kern w:val="0"/>
                <w:sz w:val="16"/>
                <w:szCs w:val="16"/>
                <w:lang w:eastAsia="es-CO"/>
                <w14:ligatures w14:val="none"/>
              </w:rPr>
              <w:t>1.197.164.859.456</w:t>
            </w:r>
          </w:p>
        </w:tc>
        <w:tc>
          <w:tcPr>
            <w:tcW w:w="1025" w:type="pct"/>
            <w:noWrap/>
            <w:vAlign w:val="center"/>
            <w:hideMark/>
          </w:tcPr>
          <w:p w14:paraId="53FD97EF" w14:textId="77777777" w:rsidR="001A5E55" w:rsidRPr="00951AB1" w:rsidRDefault="001A5E55" w:rsidP="000A5389">
            <w:pPr>
              <w:spacing w:line="240" w:lineRule="auto"/>
              <w:jc w:val="right"/>
              <w:rPr>
                <w:rFonts w:eastAsia="Times New Roman" w:cs="Times New Roman"/>
                <w:color w:val="000000"/>
                <w:kern w:val="0"/>
                <w:sz w:val="16"/>
                <w:szCs w:val="16"/>
                <w:lang w:eastAsia="es-CO"/>
                <w14:ligatures w14:val="none"/>
              </w:rPr>
            </w:pPr>
            <w:r w:rsidRPr="00951AB1">
              <w:rPr>
                <w:rFonts w:eastAsia="Times New Roman" w:cs="Times New Roman"/>
                <w:color w:val="000000"/>
                <w:kern w:val="0"/>
                <w:sz w:val="16"/>
                <w:szCs w:val="16"/>
                <w:lang w:eastAsia="es-CO"/>
                <w14:ligatures w14:val="none"/>
              </w:rPr>
              <w:t>870.016.581.542</w:t>
            </w:r>
          </w:p>
        </w:tc>
        <w:tc>
          <w:tcPr>
            <w:tcW w:w="839" w:type="pct"/>
            <w:noWrap/>
            <w:vAlign w:val="center"/>
            <w:hideMark/>
          </w:tcPr>
          <w:p w14:paraId="42BA8583" w14:textId="77777777" w:rsidR="001A5E55" w:rsidRPr="00951AB1" w:rsidRDefault="001A5E55" w:rsidP="000A5389">
            <w:pPr>
              <w:spacing w:line="240" w:lineRule="auto"/>
              <w:jc w:val="right"/>
              <w:rPr>
                <w:rFonts w:eastAsia="Times New Roman" w:cs="Times New Roman"/>
                <w:color w:val="000000"/>
                <w:kern w:val="0"/>
                <w:sz w:val="16"/>
                <w:szCs w:val="16"/>
                <w:lang w:eastAsia="es-CO"/>
                <w14:ligatures w14:val="none"/>
              </w:rPr>
            </w:pPr>
            <w:r w:rsidRPr="00951AB1">
              <w:rPr>
                <w:rFonts w:eastAsia="Times New Roman" w:cs="Times New Roman"/>
                <w:color w:val="000000"/>
                <w:kern w:val="0"/>
                <w:sz w:val="16"/>
                <w:szCs w:val="16"/>
                <w:lang w:eastAsia="es-CO"/>
                <w14:ligatures w14:val="none"/>
              </w:rPr>
              <w:t>327.148.277.914</w:t>
            </w:r>
          </w:p>
        </w:tc>
      </w:tr>
      <w:tr w:rsidR="00B44D10" w:rsidRPr="00951AB1" w14:paraId="49A3AA65" w14:textId="77777777" w:rsidTr="0071107B">
        <w:trPr>
          <w:trHeight w:val="293"/>
        </w:trPr>
        <w:tc>
          <w:tcPr>
            <w:tcW w:w="544" w:type="pct"/>
            <w:noWrap/>
            <w:vAlign w:val="center"/>
            <w:hideMark/>
          </w:tcPr>
          <w:p w14:paraId="1E3F2D92" w14:textId="77777777" w:rsidR="001A5E55" w:rsidRPr="00951AB1" w:rsidRDefault="001A5E55" w:rsidP="000A5389">
            <w:pPr>
              <w:spacing w:line="240" w:lineRule="auto"/>
              <w:jc w:val="right"/>
              <w:rPr>
                <w:rFonts w:eastAsia="Times New Roman" w:cs="Times New Roman"/>
                <w:color w:val="000000"/>
                <w:kern w:val="0"/>
                <w:sz w:val="16"/>
                <w:szCs w:val="16"/>
                <w:lang w:eastAsia="es-CO"/>
                <w14:ligatures w14:val="none"/>
              </w:rPr>
            </w:pPr>
            <w:r w:rsidRPr="00951AB1">
              <w:rPr>
                <w:rFonts w:eastAsia="Times New Roman" w:cs="Times New Roman"/>
                <w:color w:val="000000"/>
                <w:kern w:val="0"/>
                <w:sz w:val="16"/>
                <w:szCs w:val="16"/>
                <w:lang w:eastAsia="es-CO"/>
                <w14:ligatures w14:val="none"/>
              </w:rPr>
              <w:t>900793991</w:t>
            </w:r>
          </w:p>
        </w:tc>
        <w:tc>
          <w:tcPr>
            <w:tcW w:w="1512" w:type="pct"/>
            <w:noWrap/>
            <w:vAlign w:val="center"/>
            <w:hideMark/>
          </w:tcPr>
          <w:p w14:paraId="78C40783" w14:textId="77777777" w:rsidR="001A5E55" w:rsidRPr="00951AB1" w:rsidRDefault="001A5E55" w:rsidP="000A5389">
            <w:pPr>
              <w:spacing w:line="240" w:lineRule="auto"/>
              <w:rPr>
                <w:rFonts w:eastAsia="Times New Roman" w:cs="Times New Roman"/>
                <w:color w:val="000000"/>
                <w:kern w:val="0"/>
                <w:sz w:val="16"/>
                <w:szCs w:val="16"/>
                <w:lang w:eastAsia="es-CO"/>
                <w14:ligatures w14:val="none"/>
              </w:rPr>
            </w:pPr>
            <w:r w:rsidRPr="00951AB1">
              <w:rPr>
                <w:rFonts w:eastAsia="Times New Roman" w:cs="Times New Roman"/>
                <w:color w:val="000000"/>
                <w:kern w:val="0"/>
                <w:sz w:val="16"/>
                <w:szCs w:val="16"/>
                <w:lang w:eastAsia="es-CO"/>
                <w14:ligatures w14:val="none"/>
              </w:rPr>
              <w:t>Autopistas del Nordeste S.A.S.</w:t>
            </w:r>
          </w:p>
        </w:tc>
        <w:tc>
          <w:tcPr>
            <w:tcW w:w="1081" w:type="pct"/>
            <w:vAlign w:val="center"/>
            <w:hideMark/>
          </w:tcPr>
          <w:p w14:paraId="136125C0" w14:textId="77777777" w:rsidR="001A5E55" w:rsidRPr="00951AB1" w:rsidRDefault="001A5E55" w:rsidP="000A5389">
            <w:pPr>
              <w:spacing w:line="240" w:lineRule="auto"/>
              <w:jc w:val="right"/>
              <w:rPr>
                <w:rFonts w:eastAsia="Times New Roman" w:cs="Times New Roman"/>
                <w:color w:val="000000"/>
                <w:kern w:val="0"/>
                <w:sz w:val="16"/>
                <w:szCs w:val="16"/>
                <w:lang w:eastAsia="es-CO"/>
                <w14:ligatures w14:val="none"/>
              </w:rPr>
            </w:pPr>
            <w:r w:rsidRPr="00951AB1">
              <w:rPr>
                <w:rFonts w:eastAsia="Times New Roman" w:cs="Times New Roman"/>
                <w:color w:val="000000"/>
                <w:kern w:val="0"/>
                <w:sz w:val="16"/>
                <w:szCs w:val="16"/>
                <w:lang w:eastAsia="es-CO"/>
                <w14:ligatures w14:val="none"/>
              </w:rPr>
              <w:t>1.174.985.364.707</w:t>
            </w:r>
          </w:p>
        </w:tc>
        <w:tc>
          <w:tcPr>
            <w:tcW w:w="1025" w:type="pct"/>
            <w:noWrap/>
            <w:vAlign w:val="center"/>
            <w:hideMark/>
          </w:tcPr>
          <w:p w14:paraId="10F205A7" w14:textId="77777777" w:rsidR="001A5E55" w:rsidRPr="00951AB1" w:rsidRDefault="001A5E55" w:rsidP="000A5389">
            <w:pPr>
              <w:spacing w:line="240" w:lineRule="auto"/>
              <w:jc w:val="right"/>
              <w:rPr>
                <w:rFonts w:eastAsia="Times New Roman" w:cs="Times New Roman"/>
                <w:color w:val="000000"/>
                <w:kern w:val="0"/>
                <w:sz w:val="16"/>
                <w:szCs w:val="16"/>
                <w:lang w:eastAsia="es-CO"/>
                <w14:ligatures w14:val="none"/>
              </w:rPr>
            </w:pPr>
            <w:r w:rsidRPr="00951AB1">
              <w:rPr>
                <w:rFonts w:eastAsia="Times New Roman" w:cs="Times New Roman"/>
                <w:color w:val="000000"/>
                <w:kern w:val="0"/>
                <w:sz w:val="16"/>
                <w:szCs w:val="16"/>
                <w:lang w:eastAsia="es-CO"/>
                <w14:ligatures w14:val="none"/>
              </w:rPr>
              <w:t>1.243.079.267.488</w:t>
            </w:r>
          </w:p>
        </w:tc>
        <w:tc>
          <w:tcPr>
            <w:tcW w:w="839" w:type="pct"/>
            <w:noWrap/>
            <w:vAlign w:val="center"/>
            <w:hideMark/>
          </w:tcPr>
          <w:p w14:paraId="2FCF9569" w14:textId="77777777" w:rsidR="001A5E55" w:rsidRPr="00951AB1" w:rsidRDefault="001A5E55" w:rsidP="000A5389">
            <w:pPr>
              <w:spacing w:line="240" w:lineRule="auto"/>
              <w:jc w:val="right"/>
              <w:rPr>
                <w:rFonts w:eastAsia="Times New Roman" w:cs="Times New Roman"/>
                <w:color w:val="000000"/>
                <w:kern w:val="0"/>
                <w:sz w:val="16"/>
                <w:szCs w:val="16"/>
                <w:lang w:eastAsia="es-CO"/>
                <w14:ligatures w14:val="none"/>
              </w:rPr>
            </w:pPr>
            <w:r w:rsidRPr="00951AB1">
              <w:rPr>
                <w:rFonts w:eastAsia="Times New Roman" w:cs="Times New Roman"/>
                <w:color w:val="000000"/>
                <w:kern w:val="0"/>
                <w:sz w:val="16"/>
                <w:szCs w:val="16"/>
                <w:lang w:eastAsia="es-CO"/>
                <w14:ligatures w14:val="none"/>
              </w:rPr>
              <w:t>-68.093.902.781</w:t>
            </w:r>
          </w:p>
        </w:tc>
      </w:tr>
      <w:tr w:rsidR="00B44D10" w:rsidRPr="00951AB1" w14:paraId="7CCA8CE7" w14:textId="77777777" w:rsidTr="0071107B">
        <w:trPr>
          <w:trHeight w:val="293"/>
        </w:trPr>
        <w:tc>
          <w:tcPr>
            <w:tcW w:w="544" w:type="pct"/>
            <w:vAlign w:val="center"/>
            <w:hideMark/>
          </w:tcPr>
          <w:p w14:paraId="26CCC8F3" w14:textId="77777777" w:rsidR="001A5E55" w:rsidRPr="00951AB1" w:rsidRDefault="001A5E55" w:rsidP="000A5389">
            <w:pPr>
              <w:spacing w:line="240" w:lineRule="auto"/>
              <w:jc w:val="right"/>
              <w:rPr>
                <w:rFonts w:eastAsia="Times New Roman" w:cs="Times New Roman"/>
                <w:color w:val="000000"/>
                <w:kern w:val="0"/>
                <w:sz w:val="16"/>
                <w:szCs w:val="16"/>
                <w:lang w:eastAsia="es-CO"/>
                <w14:ligatures w14:val="none"/>
              </w:rPr>
            </w:pPr>
            <w:r w:rsidRPr="00951AB1">
              <w:rPr>
                <w:rFonts w:eastAsia="Times New Roman" w:cs="Times New Roman"/>
                <w:color w:val="000000"/>
                <w:kern w:val="0"/>
                <w:sz w:val="16"/>
                <w:szCs w:val="16"/>
                <w:lang w:eastAsia="es-CO"/>
                <w14:ligatures w14:val="none"/>
              </w:rPr>
              <w:t>900788548</w:t>
            </w:r>
          </w:p>
        </w:tc>
        <w:tc>
          <w:tcPr>
            <w:tcW w:w="1512" w:type="pct"/>
            <w:vAlign w:val="center"/>
            <w:hideMark/>
          </w:tcPr>
          <w:p w14:paraId="1945C71B" w14:textId="77777777" w:rsidR="001A5E55" w:rsidRPr="00951AB1" w:rsidRDefault="001A5E55" w:rsidP="000A5389">
            <w:pPr>
              <w:spacing w:line="240" w:lineRule="auto"/>
              <w:rPr>
                <w:rFonts w:eastAsia="Times New Roman" w:cs="Times New Roman"/>
                <w:color w:val="000000"/>
                <w:kern w:val="0"/>
                <w:sz w:val="16"/>
                <w:szCs w:val="16"/>
                <w:lang w:eastAsia="es-CO"/>
                <w14:ligatures w14:val="none"/>
              </w:rPr>
            </w:pPr>
            <w:r w:rsidRPr="00951AB1">
              <w:rPr>
                <w:rFonts w:eastAsia="Times New Roman" w:cs="Times New Roman"/>
                <w:color w:val="000000"/>
                <w:kern w:val="0"/>
                <w:sz w:val="16"/>
                <w:szCs w:val="16"/>
                <w:lang w:eastAsia="es-CO"/>
                <w14:ligatures w14:val="none"/>
              </w:rPr>
              <w:t>Autopista Rio Magdalena S A S</w:t>
            </w:r>
          </w:p>
        </w:tc>
        <w:tc>
          <w:tcPr>
            <w:tcW w:w="1081" w:type="pct"/>
            <w:vAlign w:val="center"/>
            <w:hideMark/>
          </w:tcPr>
          <w:p w14:paraId="24F40C76" w14:textId="77777777" w:rsidR="001A5E55" w:rsidRPr="00951AB1" w:rsidRDefault="001A5E55" w:rsidP="000A5389">
            <w:pPr>
              <w:spacing w:line="240" w:lineRule="auto"/>
              <w:jc w:val="right"/>
              <w:rPr>
                <w:rFonts w:eastAsia="Times New Roman" w:cs="Times New Roman"/>
                <w:color w:val="000000"/>
                <w:kern w:val="0"/>
                <w:sz w:val="16"/>
                <w:szCs w:val="16"/>
                <w:lang w:eastAsia="es-CO"/>
                <w14:ligatures w14:val="none"/>
              </w:rPr>
            </w:pPr>
            <w:r w:rsidRPr="00951AB1">
              <w:rPr>
                <w:rFonts w:eastAsia="Times New Roman" w:cs="Times New Roman"/>
                <w:color w:val="000000"/>
                <w:kern w:val="0"/>
                <w:sz w:val="16"/>
                <w:szCs w:val="16"/>
                <w:lang w:eastAsia="es-CO"/>
                <w14:ligatures w14:val="none"/>
              </w:rPr>
              <w:t>1.156.814.222.537</w:t>
            </w:r>
          </w:p>
        </w:tc>
        <w:tc>
          <w:tcPr>
            <w:tcW w:w="1025" w:type="pct"/>
            <w:noWrap/>
            <w:vAlign w:val="center"/>
            <w:hideMark/>
          </w:tcPr>
          <w:p w14:paraId="418EC071" w14:textId="77777777" w:rsidR="001A5E55" w:rsidRPr="00951AB1" w:rsidRDefault="001A5E55" w:rsidP="000A5389">
            <w:pPr>
              <w:spacing w:line="240" w:lineRule="auto"/>
              <w:jc w:val="right"/>
              <w:rPr>
                <w:rFonts w:eastAsia="Times New Roman" w:cs="Times New Roman"/>
                <w:color w:val="000000"/>
                <w:kern w:val="0"/>
                <w:sz w:val="16"/>
                <w:szCs w:val="16"/>
                <w:lang w:eastAsia="es-CO"/>
                <w14:ligatures w14:val="none"/>
              </w:rPr>
            </w:pPr>
            <w:r w:rsidRPr="00951AB1">
              <w:rPr>
                <w:rFonts w:eastAsia="Times New Roman" w:cs="Times New Roman"/>
                <w:color w:val="000000"/>
                <w:kern w:val="0"/>
                <w:sz w:val="16"/>
                <w:szCs w:val="16"/>
                <w:lang w:eastAsia="es-CO"/>
                <w14:ligatures w14:val="none"/>
              </w:rPr>
              <w:t>2.065.446.528.269</w:t>
            </w:r>
          </w:p>
        </w:tc>
        <w:tc>
          <w:tcPr>
            <w:tcW w:w="839" w:type="pct"/>
            <w:noWrap/>
            <w:vAlign w:val="center"/>
            <w:hideMark/>
          </w:tcPr>
          <w:p w14:paraId="1C798406" w14:textId="77777777" w:rsidR="001A5E55" w:rsidRPr="00951AB1" w:rsidRDefault="001A5E55" w:rsidP="000A5389">
            <w:pPr>
              <w:spacing w:line="240" w:lineRule="auto"/>
              <w:jc w:val="right"/>
              <w:rPr>
                <w:rFonts w:eastAsia="Times New Roman" w:cs="Times New Roman"/>
                <w:color w:val="000000"/>
                <w:kern w:val="0"/>
                <w:sz w:val="16"/>
                <w:szCs w:val="16"/>
                <w:lang w:eastAsia="es-CO"/>
                <w14:ligatures w14:val="none"/>
              </w:rPr>
            </w:pPr>
            <w:r w:rsidRPr="00951AB1">
              <w:rPr>
                <w:rFonts w:eastAsia="Times New Roman" w:cs="Times New Roman"/>
                <w:color w:val="000000"/>
                <w:kern w:val="0"/>
                <w:sz w:val="16"/>
                <w:szCs w:val="16"/>
                <w:lang w:eastAsia="es-CO"/>
                <w14:ligatures w14:val="none"/>
              </w:rPr>
              <w:t>-908.632.305.732</w:t>
            </w:r>
          </w:p>
        </w:tc>
      </w:tr>
      <w:tr w:rsidR="00B44D10" w:rsidRPr="00951AB1" w14:paraId="307FF3B6" w14:textId="77777777" w:rsidTr="0071107B">
        <w:trPr>
          <w:trHeight w:val="293"/>
        </w:trPr>
        <w:tc>
          <w:tcPr>
            <w:tcW w:w="544" w:type="pct"/>
            <w:vAlign w:val="center"/>
            <w:hideMark/>
          </w:tcPr>
          <w:p w14:paraId="018C7900" w14:textId="77777777" w:rsidR="001A5E55" w:rsidRPr="00951AB1" w:rsidRDefault="001A5E55" w:rsidP="000A5389">
            <w:pPr>
              <w:spacing w:line="240" w:lineRule="auto"/>
              <w:jc w:val="right"/>
              <w:rPr>
                <w:rFonts w:eastAsia="Times New Roman" w:cs="Times New Roman"/>
                <w:color w:val="000000"/>
                <w:kern w:val="0"/>
                <w:sz w:val="16"/>
                <w:szCs w:val="16"/>
                <w:lang w:eastAsia="es-CO"/>
                <w14:ligatures w14:val="none"/>
              </w:rPr>
            </w:pPr>
            <w:r w:rsidRPr="00951AB1">
              <w:rPr>
                <w:rFonts w:eastAsia="Times New Roman" w:cs="Times New Roman"/>
                <w:color w:val="000000"/>
                <w:kern w:val="0"/>
                <w:sz w:val="16"/>
                <w:szCs w:val="16"/>
                <w:lang w:eastAsia="es-CO"/>
                <w14:ligatures w14:val="none"/>
              </w:rPr>
              <w:t>901602085</w:t>
            </w:r>
          </w:p>
        </w:tc>
        <w:tc>
          <w:tcPr>
            <w:tcW w:w="1512" w:type="pct"/>
            <w:noWrap/>
            <w:vAlign w:val="center"/>
            <w:hideMark/>
          </w:tcPr>
          <w:p w14:paraId="050AAAE1" w14:textId="77777777" w:rsidR="001A5E55" w:rsidRPr="00951AB1" w:rsidRDefault="001A5E55" w:rsidP="000A5389">
            <w:pPr>
              <w:spacing w:line="240" w:lineRule="auto"/>
              <w:rPr>
                <w:rFonts w:eastAsia="Times New Roman" w:cs="Times New Roman"/>
                <w:color w:val="000000"/>
                <w:kern w:val="0"/>
                <w:sz w:val="16"/>
                <w:szCs w:val="16"/>
                <w:lang w:eastAsia="es-CO"/>
                <w14:ligatures w14:val="none"/>
              </w:rPr>
            </w:pPr>
            <w:r w:rsidRPr="00951AB1">
              <w:rPr>
                <w:rFonts w:eastAsia="Times New Roman" w:cs="Times New Roman"/>
                <w:color w:val="000000"/>
                <w:kern w:val="0"/>
                <w:sz w:val="16"/>
                <w:szCs w:val="16"/>
                <w:lang w:eastAsia="es-CO"/>
                <w14:ligatures w14:val="none"/>
              </w:rPr>
              <w:t>Autopista Magdalena Medio S.A.S.</w:t>
            </w:r>
          </w:p>
        </w:tc>
        <w:tc>
          <w:tcPr>
            <w:tcW w:w="1081" w:type="pct"/>
            <w:vAlign w:val="center"/>
            <w:hideMark/>
          </w:tcPr>
          <w:p w14:paraId="054A1DDC" w14:textId="77777777" w:rsidR="001A5E55" w:rsidRPr="00951AB1" w:rsidRDefault="001A5E55" w:rsidP="000A5389">
            <w:pPr>
              <w:spacing w:line="240" w:lineRule="auto"/>
              <w:jc w:val="right"/>
              <w:rPr>
                <w:rFonts w:eastAsia="Times New Roman" w:cs="Times New Roman"/>
                <w:color w:val="000000"/>
                <w:kern w:val="0"/>
                <w:sz w:val="16"/>
                <w:szCs w:val="16"/>
                <w:lang w:eastAsia="es-CO"/>
                <w14:ligatures w14:val="none"/>
              </w:rPr>
            </w:pPr>
            <w:r w:rsidRPr="00951AB1">
              <w:rPr>
                <w:rFonts w:eastAsia="Times New Roman" w:cs="Times New Roman"/>
                <w:color w:val="000000"/>
                <w:kern w:val="0"/>
                <w:sz w:val="16"/>
                <w:szCs w:val="16"/>
                <w:lang w:eastAsia="es-CO"/>
                <w14:ligatures w14:val="none"/>
              </w:rPr>
              <w:t>1.098.259.323.333</w:t>
            </w:r>
          </w:p>
        </w:tc>
        <w:tc>
          <w:tcPr>
            <w:tcW w:w="1025" w:type="pct"/>
            <w:noWrap/>
            <w:vAlign w:val="center"/>
            <w:hideMark/>
          </w:tcPr>
          <w:p w14:paraId="07682EAA" w14:textId="77777777" w:rsidR="001A5E55" w:rsidRPr="00951AB1" w:rsidRDefault="001A5E55" w:rsidP="000A5389">
            <w:pPr>
              <w:spacing w:line="240" w:lineRule="auto"/>
              <w:jc w:val="right"/>
              <w:rPr>
                <w:rFonts w:eastAsia="Times New Roman" w:cs="Times New Roman"/>
                <w:color w:val="000000"/>
                <w:kern w:val="0"/>
                <w:sz w:val="16"/>
                <w:szCs w:val="16"/>
                <w:lang w:eastAsia="es-CO"/>
                <w14:ligatures w14:val="none"/>
              </w:rPr>
            </w:pPr>
            <w:r w:rsidRPr="00951AB1">
              <w:rPr>
                <w:rFonts w:eastAsia="Times New Roman" w:cs="Times New Roman"/>
                <w:color w:val="000000"/>
                <w:kern w:val="0"/>
                <w:sz w:val="16"/>
                <w:szCs w:val="16"/>
                <w:lang w:eastAsia="es-CO"/>
                <w14:ligatures w14:val="none"/>
              </w:rPr>
              <w:t>177.540.918.822</w:t>
            </w:r>
          </w:p>
        </w:tc>
        <w:tc>
          <w:tcPr>
            <w:tcW w:w="839" w:type="pct"/>
            <w:noWrap/>
            <w:vAlign w:val="center"/>
            <w:hideMark/>
          </w:tcPr>
          <w:p w14:paraId="42D2EAA1" w14:textId="77777777" w:rsidR="001A5E55" w:rsidRPr="00951AB1" w:rsidRDefault="001A5E55" w:rsidP="000A5389">
            <w:pPr>
              <w:spacing w:line="240" w:lineRule="auto"/>
              <w:jc w:val="right"/>
              <w:rPr>
                <w:rFonts w:eastAsia="Times New Roman" w:cs="Times New Roman"/>
                <w:color w:val="000000"/>
                <w:kern w:val="0"/>
                <w:sz w:val="16"/>
                <w:szCs w:val="16"/>
                <w:lang w:eastAsia="es-CO"/>
                <w14:ligatures w14:val="none"/>
              </w:rPr>
            </w:pPr>
            <w:r w:rsidRPr="00951AB1">
              <w:rPr>
                <w:rFonts w:eastAsia="Times New Roman" w:cs="Times New Roman"/>
                <w:color w:val="000000"/>
                <w:kern w:val="0"/>
                <w:sz w:val="16"/>
                <w:szCs w:val="16"/>
                <w:lang w:eastAsia="es-CO"/>
                <w14:ligatures w14:val="none"/>
              </w:rPr>
              <w:t>920.718.404.511</w:t>
            </w:r>
          </w:p>
        </w:tc>
      </w:tr>
      <w:tr w:rsidR="00B44D10" w:rsidRPr="00951AB1" w14:paraId="22A89AB0" w14:textId="77777777" w:rsidTr="0071107B">
        <w:trPr>
          <w:trHeight w:val="293"/>
        </w:trPr>
        <w:tc>
          <w:tcPr>
            <w:tcW w:w="544" w:type="pct"/>
            <w:vAlign w:val="center"/>
            <w:hideMark/>
          </w:tcPr>
          <w:p w14:paraId="37B56310" w14:textId="77777777" w:rsidR="001A5E55" w:rsidRPr="00951AB1" w:rsidRDefault="001A5E55" w:rsidP="000A5389">
            <w:pPr>
              <w:spacing w:line="240" w:lineRule="auto"/>
              <w:jc w:val="right"/>
              <w:rPr>
                <w:rFonts w:eastAsia="Times New Roman" w:cs="Times New Roman"/>
                <w:color w:val="000000"/>
                <w:kern w:val="0"/>
                <w:sz w:val="16"/>
                <w:szCs w:val="16"/>
                <w:lang w:eastAsia="es-CO"/>
                <w14:ligatures w14:val="none"/>
              </w:rPr>
            </w:pPr>
            <w:r w:rsidRPr="00951AB1">
              <w:rPr>
                <w:rFonts w:eastAsia="Times New Roman" w:cs="Times New Roman"/>
                <w:color w:val="000000"/>
                <w:kern w:val="0"/>
                <w:sz w:val="16"/>
                <w:szCs w:val="16"/>
                <w:lang w:eastAsia="es-CO"/>
                <w14:ligatures w14:val="none"/>
              </w:rPr>
              <w:t>900763357</w:t>
            </w:r>
          </w:p>
        </w:tc>
        <w:tc>
          <w:tcPr>
            <w:tcW w:w="1512" w:type="pct"/>
            <w:noWrap/>
            <w:vAlign w:val="center"/>
            <w:hideMark/>
          </w:tcPr>
          <w:p w14:paraId="44A61D67" w14:textId="77777777" w:rsidR="001A5E55" w:rsidRPr="00951AB1" w:rsidRDefault="001A5E55" w:rsidP="000A5389">
            <w:pPr>
              <w:spacing w:line="240" w:lineRule="auto"/>
              <w:rPr>
                <w:rFonts w:eastAsia="Times New Roman" w:cs="Times New Roman"/>
                <w:color w:val="000000"/>
                <w:kern w:val="0"/>
                <w:sz w:val="16"/>
                <w:szCs w:val="16"/>
                <w:lang w:eastAsia="es-CO"/>
                <w14:ligatures w14:val="none"/>
              </w:rPr>
            </w:pPr>
            <w:r w:rsidRPr="00951AB1">
              <w:rPr>
                <w:rFonts w:eastAsia="Times New Roman" w:cs="Times New Roman"/>
                <w:color w:val="000000"/>
                <w:kern w:val="0"/>
                <w:sz w:val="16"/>
                <w:szCs w:val="16"/>
                <w:lang w:eastAsia="es-CO"/>
                <w14:ligatures w14:val="none"/>
              </w:rPr>
              <w:t>Concesión Pacifico Tres S.A.S.</w:t>
            </w:r>
          </w:p>
        </w:tc>
        <w:tc>
          <w:tcPr>
            <w:tcW w:w="1081" w:type="pct"/>
            <w:vAlign w:val="center"/>
            <w:hideMark/>
          </w:tcPr>
          <w:p w14:paraId="33C2C1EC" w14:textId="77777777" w:rsidR="001A5E55" w:rsidRPr="00951AB1" w:rsidRDefault="001A5E55" w:rsidP="000A5389">
            <w:pPr>
              <w:spacing w:line="240" w:lineRule="auto"/>
              <w:jc w:val="right"/>
              <w:rPr>
                <w:rFonts w:eastAsia="Times New Roman" w:cs="Times New Roman"/>
                <w:color w:val="000000"/>
                <w:kern w:val="0"/>
                <w:sz w:val="16"/>
                <w:szCs w:val="16"/>
                <w:lang w:eastAsia="es-CO"/>
                <w14:ligatures w14:val="none"/>
              </w:rPr>
            </w:pPr>
            <w:r w:rsidRPr="00951AB1">
              <w:rPr>
                <w:rFonts w:eastAsia="Times New Roman" w:cs="Times New Roman"/>
                <w:color w:val="000000"/>
                <w:kern w:val="0"/>
                <w:sz w:val="16"/>
                <w:szCs w:val="16"/>
                <w:lang w:eastAsia="es-CO"/>
                <w14:ligatures w14:val="none"/>
              </w:rPr>
              <w:t>1.092.935.143.565</w:t>
            </w:r>
          </w:p>
        </w:tc>
        <w:tc>
          <w:tcPr>
            <w:tcW w:w="1025" w:type="pct"/>
            <w:noWrap/>
            <w:vAlign w:val="center"/>
            <w:hideMark/>
          </w:tcPr>
          <w:p w14:paraId="51965BD7" w14:textId="77777777" w:rsidR="001A5E55" w:rsidRPr="00951AB1" w:rsidRDefault="001A5E55" w:rsidP="000A5389">
            <w:pPr>
              <w:spacing w:line="240" w:lineRule="auto"/>
              <w:jc w:val="right"/>
              <w:rPr>
                <w:rFonts w:eastAsia="Times New Roman" w:cs="Times New Roman"/>
                <w:color w:val="000000"/>
                <w:kern w:val="0"/>
                <w:sz w:val="16"/>
                <w:szCs w:val="16"/>
                <w:lang w:eastAsia="es-CO"/>
                <w14:ligatures w14:val="none"/>
              </w:rPr>
            </w:pPr>
            <w:r w:rsidRPr="00951AB1">
              <w:rPr>
                <w:rFonts w:eastAsia="Times New Roman" w:cs="Times New Roman"/>
                <w:color w:val="000000"/>
                <w:kern w:val="0"/>
                <w:sz w:val="16"/>
                <w:szCs w:val="16"/>
                <w:lang w:eastAsia="es-CO"/>
                <w14:ligatures w14:val="none"/>
              </w:rPr>
              <w:t>1.178.702.059.735</w:t>
            </w:r>
          </w:p>
        </w:tc>
        <w:tc>
          <w:tcPr>
            <w:tcW w:w="839" w:type="pct"/>
            <w:noWrap/>
            <w:vAlign w:val="center"/>
            <w:hideMark/>
          </w:tcPr>
          <w:p w14:paraId="104E3088" w14:textId="77777777" w:rsidR="001A5E55" w:rsidRPr="00951AB1" w:rsidRDefault="001A5E55" w:rsidP="000A5389">
            <w:pPr>
              <w:spacing w:line="240" w:lineRule="auto"/>
              <w:jc w:val="right"/>
              <w:rPr>
                <w:rFonts w:eastAsia="Times New Roman" w:cs="Times New Roman"/>
                <w:color w:val="000000"/>
                <w:kern w:val="0"/>
                <w:sz w:val="16"/>
                <w:szCs w:val="16"/>
                <w:lang w:eastAsia="es-CO"/>
                <w14:ligatures w14:val="none"/>
              </w:rPr>
            </w:pPr>
            <w:r w:rsidRPr="00951AB1">
              <w:rPr>
                <w:rFonts w:eastAsia="Times New Roman" w:cs="Times New Roman"/>
                <w:color w:val="000000"/>
                <w:kern w:val="0"/>
                <w:sz w:val="16"/>
                <w:szCs w:val="16"/>
                <w:lang w:eastAsia="es-CO"/>
                <w14:ligatures w14:val="none"/>
              </w:rPr>
              <w:t>-85.766.916.170</w:t>
            </w:r>
          </w:p>
        </w:tc>
      </w:tr>
      <w:tr w:rsidR="00B44D10" w:rsidRPr="00951AB1" w14:paraId="04400F57" w14:textId="77777777" w:rsidTr="0071107B">
        <w:trPr>
          <w:trHeight w:val="293"/>
        </w:trPr>
        <w:tc>
          <w:tcPr>
            <w:tcW w:w="544" w:type="pct"/>
            <w:vAlign w:val="center"/>
            <w:hideMark/>
          </w:tcPr>
          <w:p w14:paraId="39431E24" w14:textId="77777777" w:rsidR="001A5E55" w:rsidRPr="00951AB1" w:rsidRDefault="001A5E55" w:rsidP="000A5389">
            <w:pPr>
              <w:spacing w:line="240" w:lineRule="auto"/>
              <w:jc w:val="right"/>
              <w:rPr>
                <w:rFonts w:eastAsia="Times New Roman" w:cs="Times New Roman"/>
                <w:color w:val="000000"/>
                <w:kern w:val="0"/>
                <w:sz w:val="16"/>
                <w:szCs w:val="16"/>
                <w:lang w:eastAsia="es-CO"/>
                <w14:ligatures w14:val="none"/>
              </w:rPr>
            </w:pPr>
            <w:r w:rsidRPr="00951AB1">
              <w:rPr>
                <w:rFonts w:eastAsia="Times New Roman" w:cs="Times New Roman"/>
                <w:color w:val="000000"/>
                <w:kern w:val="0"/>
                <w:sz w:val="16"/>
                <w:szCs w:val="16"/>
                <w:lang w:eastAsia="es-CO"/>
                <w14:ligatures w14:val="none"/>
              </w:rPr>
              <w:t>900373092</w:t>
            </w:r>
          </w:p>
        </w:tc>
        <w:tc>
          <w:tcPr>
            <w:tcW w:w="1512" w:type="pct"/>
            <w:vAlign w:val="center"/>
            <w:hideMark/>
          </w:tcPr>
          <w:p w14:paraId="5EE81A80" w14:textId="77777777" w:rsidR="001A5E55" w:rsidRPr="00951AB1" w:rsidRDefault="001A5E55" w:rsidP="000A5389">
            <w:pPr>
              <w:spacing w:line="240" w:lineRule="auto"/>
              <w:rPr>
                <w:rFonts w:eastAsia="Times New Roman" w:cs="Times New Roman"/>
                <w:color w:val="000000"/>
                <w:kern w:val="0"/>
                <w:sz w:val="16"/>
                <w:szCs w:val="16"/>
                <w:lang w:eastAsia="es-CO"/>
                <w14:ligatures w14:val="none"/>
              </w:rPr>
            </w:pPr>
            <w:r w:rsidRPr="00951AB1">
              <w:rPr>
                <w:rFonts w:eastAsia="Times New Roman" w:cs="Times New Roman"/>
                <w:color w:val="000000"/>
                <w:kern w:val="0"/>
                <w:sz w:val="16"/>
                <w:szCs w:val="16"/>
                <w:lang w:eastAsia="es-CO"/>
                <w14:ligatures w14:val="none"/>
              </w:rPr>
              <w:t>Yuma Concesionaria S A - en Reorganización</w:t>
            </w:r>
          </w:p>
        </w:tc>
        <w:tc>
          <w:tcPr>
            <w:tcW w:w="1081" w:type="pct"/>
            <w:vAlign w:val="center"/>
            <w:hideMark/>
          </w:tcPr>
          <w:p w14:paraId="094D8F06" w14:textId="77777777" w:rsidR="001A5E55" w:rsidRPr="00951AB1" w:rsidRDefault="001A5E55" w:rsidP="000A5389">
            <w:pPr>
              <w:spacing w:line="240" w:lineRule="auto"/>
              <w:jc w:val="right"/>
              <w:rPr>
                <w:rFonts w:eastAsia="Times New Roman" w:cs="Times New Roman"/>
                <w:color w:val="000000"/>
                <w:kern w:val="0"/>
                <w:sz w:val="16"/>
                <w:szCs w:val="16"/>
                <w:lang w:eastAsia="es-CO"/>
                <w14:ligatures w14:val="none"/>
              </w:rPr>
            </w:pPr>
            <w:r w:rsidRPr="00951AB1">
              <w:rPr>
                <w:rFonts w:eastAsia="Times New Roman" w:cs="Times New Roman"/>
                <w:color w:val="000000"/>
                <w:kern w:val="0"/>
                <w:sz w:val="16"/>
                <w:szCs w:val="16"/>
                <w:lang w:eastAsia="es-CO"/>
                <w14:ligatures w14:val="none"/>
              </w:rPr>
              <w:t>1.074.207.703.482</w:t>
            </w:r>
          </w:p>
        </w:tc>
        <w:tc>
          <w:tcPr>
            <w:tcW w:w="1025" w:type="pct"/>
            <w:noWrap/>
            <w:vAlign w:val="center"/>
            <w:hideMark/>
          </w:tcPr>
          <w:p w14:paraId="7F748994" w14:textId="77777777" w:rsidR="001A5E55" w:rsidRPr="00951AB1" w:rsidRDefault="001A5E55" w:rsidP="000A5389">
            <w:pPr>
              <w:spacing w:line="240" w:lineRule="auto"/>
              <w:jc w:val="right"/>
              <w:rPr>
                <w:rFonts w:eastAsia="Times New Roman" w:cs="Times New Roman"/>
                <w:color w:val="000000"/>
                <w:kern w:val="0"/>
                <w:sz w:val="16"/>
                <w:szCs w:val="16"/>
                <w:lang w:eastAsia="es-CO"/>
                <w14:ligatures w14:val="none"/>
              </w:rPr>
            </w:pPr>
            <w:r w:rsidRPr="00951AB1">
              <w:rPr>
                <w:rFonts w:eastAsia="Times New Roman" w:cs="Times New Roman"/>
                <w:color w:val="000000"/>
                <w:kern w:val="0"/>
                <w:sz w:val="16"/>
                <w:szCs w:val="16"/>
                <w:lang w:eastAsia="es-CO"/>
                <w14:ligatures w14:val="none"/>
              </w:rPr>
              <w:t>1.116.667.552.048</w:t>
            </w:r>
          </w:p>
        </w:tc>
        <w:tc>
          <w:tcPr>
            <w:tcW w:w="839" w:type="pct"/>
            <w:noWrap/>
            <w:vAlign w:val="center"/>
            <w:hideMark/>
          </w:tcPr>
          <w:p w14:paraId="34CF0002" w14:textId="77777777" w:rsidR="001A5E55" w:rsidRPr="00951AB1" w:rsidRDefault="001A5E55" w:rsidP="000A5389">
            <w:pPr>
              <w:spacing w:line="240" w:lineRule="auto"/>
              <w:jc w:val="right"/>
              <w:rPr>
                <w:rFonts w:eastAsia="Times New Roman" w:cs="Times New Roman"/>
                <w:color w:val="000000"/>
                <w:kern w:val="0"/>
                <w:sz w:val="16"/>
                <w:szCs w:val="16"/>
                <w:lang w:eastAsia="es-CO"/>
                <w14:ligatures w14:val="none"/>
              </w:rPr>
            </w:pPr>
            <w:r w:rsidRPr="00951AB1">
              <w:rPr>
                <w:rFonts w:eastAsia="Times New Roman" w:cs="Times New Roman"/>
                <w:color w:val="000000"/>
                <w:kern w:val="0"/>
                <w:sz w:val="16"/>
                <w:szCs w:val="16"/>
                <w:lang w:eastAsia="es-CO"/>
                <w14:ligatures w14:val="none"/>
              </w:rPr>
              <w:t>-42.459.848.566</w:t>
            </w:r>
          </w:p>
        </w:tc>
      </w:tr>
      <w:tr w:rsidR="00B44D10" w:rsidRPr="00951AB1" w14:paraId="3FA0EC86" w14:textId="77777777" w:rsidTr="0071107B">
        <w:trPr>
          <w:trHeight w:val="293"/>
        </w:trPr>
        <w:tc>
          <w:tcPr>
            <w:tcW w:w="544" w:type="pct"/>
            <w:vAlign w:val="center"/>
            <w:hideMark/>
          </w:tcPr>
          <w:p w14:paraId="28994271" w14:textId="77777777" w:rsidR="001A5E55" w:rsidRPr="00951AB1" w:rsidRDefault="001A5E55" w:rsidP="000A5389">
            <w:pPr>
              <w:spacing w:line="240" w:lineRule="auto"/>
              <w:jc w:val="right"/>
              <w:rPr>
                <w:rFonts w:eastAsia="Times New Roman" w:cs="Times New Roman"/>
                <w:color w:val="000000"/>
                <w:kern w:val="0"/>
                <w:sz w:val="16"/>
                <w:szCs w:val="16"/>
                <w:lang w:eastAsia="es-CO"/>
                <w14:ligatures w14:val="none"/>
              </w:rPr>
            </w:pPr>
            <w:r w:rsidRPr="00951AB1">
              <w:rPr>
                <w:rFonts w:eastAsia="Times New Roman" w:cs="Times New Roman"/>
                <w:color w:val="000000"/>
                <w:kern w:val="0"/>
                <w:sz w:val="16"/>
                <w:szCs w:val="16"/>
                <w:lang w:eastAsia="es-CO"/>
                <w14:ligatures w14:val="none"/>
              </w:rPr>
              <w:lastRenderedPageBreak/>
              <w:t>900871368</w:t>
            </w:r>
          </w:p>
        </w:tc>
        <w:tc>
          <w:tcPr>
            <w:tcW w:w="1512" w:type="pct"/>
            <w:noWrap/>
            <w:vAlign w:val="center"/>
            <w:hideMark/>
          </w:tcPr>
          <w:p w14:paraId="1A96A79E" w14:textId="77777777" w:rsidR="001A5E55" w:rsidRPr="00951AB1" w:rsidRDefault="001A5E55" w:rsidP="000A5389">
            <w:pPr>
              <w:spacing w:line="240" w:lineRule="auto"/>
              <w:rPr>
                <w:rFonts w:eastAsia="Times New Roman" w:cs="Times New Roman"/>
                <w:color w:val="000000"/>
                <w:kern w:val="0"/>
                <w:sz w:val="16"/>
                <w:szCs w:val="16"/>
                <w:lang w:eastAsia="es-CO"/>
                <w14:ligatures w14:val="none"/>
              </w:rPr>
            </w:pPr>
            <w:r w:rsidRPr="00951AB1">
              <w:rPr>
                <w:rFonts w:eastAsia="Times New Roman" w:cs="Times New Roman"/>
                <w:color w:val="000000"/>
                <w:kern w:val="0"/>
                <w:sz w:val="16"/>
                <w:szCs w:val="16"/>
                <w:lang w:eastAsia="es-CO"/>
                <w14:ligatures w14:val="none"/>
              </w:rPr>
              <w:t>Concesionaria Ruta del Cacao S.A.S.</w:t>
            </w:r>
          </w:p>
        </w:tc>
        <w:tc>
          <w:tcPr>
            <w:tcW w:w="1081" w:type="pct"/>
            <w:vAlign w:val="center"/>
            <w:hideMark/>
          </w:tcPr>
          <w:p w14:paraId="20A92594" w14:textId="77777777" w:rsidR="001A5E55" w:rsidRPr="00951AB1" w:rsidRDefault="001A5E55" w:rsidP="000A5389">
            <w:pPr>
              <w:spacing w:line="240" w:lineRule="auto"/>
              <w:jc w:val="right"/>
              <w:rPr>
                <w:rFonts w:eastAsia="Times New Roman" w:cs="Times New Roman"/>
                <w:color w:val="000000"/>
                <w:kern w:val="0"/>
                <w:sz w:val="16"/>
                <w:szCs w:val="16"/>
                <w:lang w:eastAsia="es-CO"/>
                <w14:ligatures w14:val="none"/>
              </w:rPr>
            </w:pPr>
            <w:r w:rsidRPr="00951AB1">
              <w:rPr>
                <w:rFonts w:eastAsia="Times New Roman" w:cs="Times New Roman"/>
                <w:color w:val="000000"/>
                <w:kern w:val="0"/>
                <w:sz w:val="16"/>
                <w:szCs w:val="16"/>
                <w:lang w:eastAsia="es-CO"/>
                <w14:ligatures w14:val="none"/>
              </w:rPr>
              <w:t>1.068.116.730.398</w:t>
            </w:r>
          </w:p>
        </w:tc>
        <w:tc>
          <w:tcPr>
            <w:tcW w:w="1025" w:type="pct"/>
            <w:noWrap/>
            <w:vAlign w:val="center"/>
            <w:hideMark/>
          </w:tcPr>
          <w:p w14:paraId="141355B1" w14:textId="77777777" w:rsidR="001A5E55" w:rsidRPr="00951AB1" w:rsidRDefault="001A5E55" w:rsidP="000A5389">
            <w:pPr>
              <w:spacing w:line="240" w:lineRule="auto"/>
              <w:jc w:val="right"/>
              <w:rPr>
                <w:rFonts w:eastAsia="Times New Roman" w:cs="Times New Roman"/>
                <w:color w:val="000000"/>
                <w:kern w:val="0"/>
                <w:sz w:val="16"/>
                <w:szCs w:val="16"/>
                <w:lang w:eastAsia="es-CO"/>
                <w14:ligatures w14:val="none"/>
              </w:rPr>
            </w:pPr>
            <w:r w:rsidRPr="00951AB1">
              <w:rPr>
                <w:rFonts w:eastAsia="Times New Roman" w:cs="Times New Roman"/>
                <w:color w:val="000000"/>
                <w:kern w:val="0"/>
                <w:sz w:val="16"/>
                <w:szCs w:val="16"/>
                <w:lang w:eastAsia="es-CO"/>
                <w14:ligatures w14:val="none"/>
              </w:rPr>
              <w:t>1.134.350.249.578</w:t>
            </w:r>
          </w:p>
        </w:tc>
        <w:tc>
          <w:tcPr>
            <w:tcW w:w="839" w:type="pct"/>
            <w:noWrap/>
            <w:vAlign w:val="center"/>
            <w:hideMark/>
          </w:tcPr>
          <w:p w14:paraId="44CB203F" w14:textId="77777777" w:rsidR="001A5E55" w:rsidRPr="00951AB1" w:rsidRDefault="001A5E55" w:rsidP="000A5389">
            <w:pPr>
              <w:spacing w:line="240" w:lineRule="auto"/>
              <w:jc w:val="right"/>
              <w:rPr>
                <w:rFonts w:eastAsia="Times New Roman" w:cs="Times New Roman"/>
                <w:color w:val="000000"/>
                <w:kern w:val="0"/>
                <w:sz w:val="16"/>
                <w:szCs w:val="16"/>
                <w:lang w:eastAsia="es-CO"/>
                <w14:ligatures w14:val="none"/>
              </w:rPr>
            </w:pPr>
            <w:r w:rsidRPr="00951AB1">
              <w:rPr>
                <w:rFonts w:eastAsia="Times New Roman" w:cs="Times New Roman"/>
                <w:color w:val="000000"/>
                <w:kern w:val="0"/>
                <w:sz w:val="16"/>
                <w:szCs w:val="16"/>
                <w:lang w:eastAsia="es-CO"/>
                <w14:ligatures w14:val="none"/>
              </w:rPr>
              <w:t>-66.233.519.180</w:t>
            </w:r>
          </w:p>
        </w:tc>
      </w:tr>
      <w:tr w:rsidR="00B44D10" w:rsidRPr="00951AB1" w14:paraId="55D5181E" w14:textId="77777777" w:rsidTr="0071107B">
        <w:trPr>
          <w:trHeight w:val="293"/>
        </w:trPr>
        <w:tc>
          <w:tcPr>
            <w:tcW w:w="544" w:type="pct"/>
            <w:vAlign w:val="center"/>
            <w:hideMark/>
          </w:tcPr>
          <w:p w14:paraId="1B9EB024" w14:textId="77777777" w:rsidR="001A5E55" w:rsidRPr="00951AB1" w:rsidRDefault="001A5E55" w:rsidP="000A5389">
            <w:pPr>
              <w:spacing w:line="240" w:lineRule="auto"/>
              <w:jc w:val="right"/>
              <w:rPr>
                <w:rFonts w:eastAsia="Times New Roman" w:cs="Times New Roman"/>
                <w:color w:val="000000"/>
                <w:kern w:val="0"/>
                <w:sz w:val="16"/>
                <w:szCs w:val="16"/>
                <w:lang w:eastAsia="es-CO"/>
                <w14:ligatures w14:val="none"/>
              </w:rPr>
            </w:pPr>
            <w:r w:rsidRPr="00951AB1">
              <w:rPr>
                <w:rFonts w:eastAsia="Times New Roman" w:cs="Times New Roman"/>
                <w:color w:val="000000"/>
                <w:kern w:val="0"/>
                <w:sz w:val="16"/>
                <w:szCs w:val="16"/>
                <w:lang w:eastAsia="es-CO"/>
                <w14:ligatures w14:val="none"/>
              </w:rPr>
              <w:t>900763355</w:t>
            </w:r>
          </w:p>
        </w:tc>
        <w:tc>
          <w:tcPr>
            <w:tcW w:w="1512" w:type="pct"/>
            <w:vAlign w:val="center"/>
            <w:hideMark/>
          </w:tcPr>
          <w:p w14:paraId="31D8184A" w14:textId="77777777" w:rsidR="001A5E55" w:rsidRPr="00951AB1" w:rsidRDefault="001A5E55" w:rsidP="000A5389">
            <w:pPr>
              <w:spacing w:line="240" w:lineRule="auto"/>
              <w:rPr>
                <w:rFonts w:eastAsia="Times New Roman" w:cs="Times New Roman"/>
                <w:color w:val="000000"/>
                <w:kern w:val="0"/>
                <w:sz w:val="16"/>
                <w:szCs w:val="16"/>
                <w:lang w:eastAsia="es-CO"/>
                <w14:ligatures w14:val="none"/>
              </w:rPr>
            </w:pPr>
            <w:r w:rsidRPr="00951AB1">
              <w:rPr>
                <w:rFonts w:eastAsia="Times New Roman" w:cs="Times New Roman"/>
                <w:color w:val="000000"/>
                <w:kern w:val="0"/>
                <w:sz w:val="16"/>
                <w:szCs w:val="16"/>
                <w:lang w:eastAsia="es-CO"/>
                <w14:ligatures w14:val="none"/>
              </w:rPr>
              <w:t>Concesión Costera Cartagena Barranquilla S.A.S.</w:t>
            </w:r>
          </w:p>
        </w:tc>
        <w:tc>
          <w:tcPr>
            <w:tcW w:w="1081" w:type="pct"/>
            <w:noWrap/>
            <w:vAlign w:val="center"/>
            <w:hideMark/>
          </w:tcPr>
          <w:p w14:paraId="4A28A619" w14:textId="77777777" w:rsidR="001A5E55" w:rsidRPr="00951AB1" w:rsidRDefault="001A5E55" w:rsidP="000A5389">
            <w:pPr>
              <w:spacing w:line="240" w:lineRule="auto"/>
              <w:jc w:val="right"/>
              <w:rPr>
                <w:rFonts w:eastAsia="Times New Roman" w:cs="Times New Roman"/>
                <w:color w:val="000000"/>
                <w:kern w:val="0"/>
                <w:sz w:val="16"/>
                <w:szCs w:val="16"/>
                <w:lang w:eastAsia="es-CO"/>
                <w14:ligatures w14:val="none"/>
              </w:rPr>
            </w:pPr>
            <w:r w:rsidRPr="00951AB1">
              <w:rPr>
                <w:rFonts w:eastAsia="Times New Roman" w:cs="Times New Roman"/>
                <w:color w:val="000000"/>
                <w:kern w:val="0"/>
                <w:sz w:val="16"/>
                <w:szCs w:val="16"/>
                <w:lang w:eastAsia="es-CO"/>
                <w14:ligatures w14:val="none"/>
              </w:rPr>
              <w:t>824.149.875.859</w:t>
            </w:r>
          </w:p>
        </w:tc>
        <w:tc>
          <w:tcPr>
            <w:tcW w:w="1025" w:type="pct"/>
            <w:noWrap/>
            <w:vAlign w:val="center"/>
            <w:hideMark/>
          </w:tcPr>
          <w:p w14:paraId="1478F769" w14:textId="77777777" w:rsidR="001A5E55" w:rsidRPr="00951AB1" w:rsidRDefault="001A5E55" w:rsidP="000A5389">
            <w:pPr>
              <w:spacing w:line="240" w:lineRule="auto"/>
              <w:jc w:val="right"/>
              <w:rPr>
                <w:rFonts w:eastAsia="Times New Roman" w:cs="Times New Roman"/>
                <w:color w:val="000000"/>
                <w:kern w:val="0"/>
                <w:sz w:val="16"/>
                <w:szCs w:val="16"/>
                <w:lang w:eastAsia="es-CO"/>
                <w14:ligatures w14:val="none"/>
              </w:rPr>
            </w:pPr>
            <w:r w:rsidRPr="00951AB1">
              <w:rPr>
                <w:rFonts w:eastAsia="Times New Roman" w:cs="Times New Roman"/>
                <w:color w:val="000000"/>
                <w:kern w:val="0"/>
                <w:sz w:val="16"/>
                <w:szCs w:val="16"/>
                <w:lang w:eastAsia="es-CO"/>
                <w14:ligatures w14:val="none"/>
              </w:rPr>
              <w:t>903.495.648.774</w:t>
            </w:r>
          </w:p>
        </w:tc>
        <w:tc>
          <w:tcPr>
            <w:tcW w:w="839" w:type="pct"/>
            <w:noWrap/>
            <w:vAlign w:val="center"/>
            <w:hideMark/>
          </w:tcPr>
          <w:p w14:paraId="7FB820F3" w14:textId="77777777" w:rsidR="001A5E55" w:rsidRPr="00951AB1" w:rsidRDefault="001A5E55" w:rsidP="000A5389">
            <w:pPr>
              <w:spacing w:line="240" w:lineRule="auto"/>
              <w:jc w:val="right"/>
              <w:rPr>
                <w:rFonts w:eastAsia="Times New Roman" w:cs="Times New Roman"/>
                <w:color w:val="000000"/>
                <w:kern w:val="0"/>
                <w:sz w:val="16"/>
                <w:szCs w:val="16"/>
                <w:lang w:eastAsia="es-CO"/>
                <w14:ligatures w14:val="none"/>
              </w:rPr>
            </w:pPr>
            <w:r w:rsidRPr="00951AB1">
              <w:rPr>
                <w:rFonts w:eastAsia="Times New Roman" w:cs="Times New Roman"/>
                <w:color w:val="000000"/>
                <w:kern w:val="0"/>
                <w:sz w:val="16"/>
                <w:szCs w:val="16"/>
                <w:lang w:eastAsia="es-CO"/>
                <w14:ligatures w14:val="none"/>
              </w:rPr>
              <w:t>-79.345.772.915</w:t>
            </w:r>
          </w:p>
        </w:tc>
      </w:tr>
      <w:tr w:rsidR="00B44D10" w:rsidRPr="00951AB1" w14:paraId="6532DD46" w14:textId="77777777" w:rsidTr="0071107B">
        <w:trPr>
          <w:trHeight w:val="293"/>
        </w:trPr>
        <w:tc>
          <w:tcPr>
            <w:tcW w:w="544" w:type="pct"/>
            <w:vAlign w:val="center"/>
            <w:hideMark/>
          </w:tcPr>
          <w:p w14:paraId="6B0B0AE4" w14:textId="77777777" w:rsidR="001A5E55" w:rsidRPr="00951AB1" w:rsidRDefault="001A5E55" w:rsidP="000A5389">
            <w:pPr>
              <w:spacing w:line="240" w:lineRule="auto"/>
              <w:jc w:val="right"/>
              <w:rPr>
                <w:rFonts w:eastAsia="Times New Roman" w:cs="Times New Roman"/>
                <w:color w:val="000000"/>
                <w:kern w:val="0"/>
                <w:sz w:val="16"/>
                <w:szCs w:val="16"/>
                <w:lang w:eastAsia="es-CO"/>
                <w14:ligatures w14:val="none"/>
              </w:rPr>
            </w:pPr>
            <w:r w:rsidRPr="00951AB1">
              <w:rPr>
                <w:rFonts w:eastAsia="Times New Roman" w:cs="Times New Roman"/>
                <w:color w:val="000000"/>
                <w:kern w:val="0"/>
                <w:sz w:val="16"/>
                <w:szCs w:val="16"/>
                <w:lang w:eastAsia="es-CO"/>
                <w14:ligatures w14:val="none"/>
              </w:rPr>
              <w:t>900972713</w:t>
            </w:r>
          </w:p>
        </w:tc>
        <w:tc>
          <w:tcPr>
            <w:tcW w:w="1512" w:type="pct"/>
            <w:noWrap/>
            <w:vAlign w:val="center"/>
            <w:hideMark/>
          </w:tcPr>
          <w:p w14:paraId="21ADBE6C" w14:textId="77777777" w:rsidR="001A5E55" w:rsidRPr="00951AB1" w:rsidRDefault="001A5E55" w:rsidP="000A5389">
            <w:pPr>
              <w:spacing w:line="240" w:lineRule="auto"/>
              <w:rPr>
                <w:rFonts w:eastAsia="Times New Roman" w:cs="Times New Roman"/>
                <w:color w:val="000000"/>
                <w:kern w:val="0"/>
                <w:sz w:val="16"/>
                <w:szCs w:val="16"/>
                <w:lang w:eastAsia="es-CO"/>
                <w14:ligatures w14:val="none"/>
              </w:rPr>
            </w:pPr>
            <w:r w:rsidRPr="00951AB1">
              <w:rPr>
                <w:rFonts w:eastAsia="Times New Roman" w:cs="Times New Roman"/>
                <w:color w:val="000000"/>
                <w:kern w:val="0"/>
                <w:sz w:val="16"/>
                <w:szCs w:val="16"/>
                <w:lang w:eastAsia="es-CO"/>
                <w14:ligatures w14:val="none"/>
              </w:rPr>
              <w:t>Autovía Bucaramanga Pamplona S.A.S</w:t>
            </w:r>
          </w:p>
        </w:tc>
        <w:tc>
          <w:tcPr>
            <w:tcW w:w="1081" w:type="pct"/>
            <w:vAlign w:val="center"/>
            <w:hideMark/>
          </w:tcPr>
          <w:p w14:paraId="216EF6CC" w14:textId="77777777" w:rsidR="001A5E55" w:rsidRPr="00951AB1" w:rsidRDefault="001A5E55" w:rsidP="000A5389">
            <w:pPr>
              <w:spacing w:line="240" w:lineRule="auto"/>
              <w:jc w:val="right"/>
              <w:rPr>
                <w:rFonts w:eastAsia="Times New Roman" w:cs="Times New Roman"/>
                <w:color w:val="000000"/>
                <w:kern w:val="0"/>
                <w:sz w:val="16"/>
                <w:szCs w:val="16"/>
                <w:lang w:eastAsia="es-CO"/>
                <w14:ligatures w14:val="none"/>
              </w:rPr>
            </w:pPr>
            <w:r w:rsidRPr="00951AB1">
              <w:rPr>
                <w:rFonts w:eastAsia="Times New Roman" w:cs="Times New Roman"/>
                <w:color w:val="000000"/>
                <w:kern w:val="0"/>
                <w:sz w:val="16"/>
                <w:szCs w:val="16"/>
                <w:lang w:eastAsia="es-CO"/>
                <w14:ligatures w14:val="none"/>
              </w:rPr>
              <w:t>803.231.037.847</w:t>
            </w:r>
          </w:p>
        </w:tc>
        <w:tc>
          <w:tcPr>
            <w:tcW w:w="1025" w:type="pct"/>
            <w:noWrap/>
            <w:vAlign w:val="center"/>
            <w:hideMark/>
          </w:tcPr>
          <w:p w14:paraId="38FEC77A" w14:textId="77777777" w:rsidR="001A5E55" w:rsidRPr="00951AB1" w:rsidRDefault="001A5E55" w:rsidP="000A5389">
            <w:pPr>
              <w:spacing w:line="240" w:lineRule="auto"/>
              <w:jc w:val="right"/>
              <w:rPr>
                <w:rFonts w:eastAsia="Times New Roman" w:cs="Times New Roman"/>
                <w:color w:val="000000"/>
                <w:kern w:val="0"/>
                <w:sz w:val="16"/>
                <w:szCs w:val="16"/>
                <w:lang w:eastAsia="es-CO"/>
                <w14:ligatures w14:val="none"/>
              </w:rPr>
            </w:pPr>
            <w:r w:rsidRPr="00951AB1">
              <w:rPr>
                <w:rFonts w:eastAsia="Times New Roman" w:cs="Times New Roman"/>
                <w:color w:val="000000"/>
                <w:kern w:val="0"/>
                <w:sz w:val="16"/>
                <w:szCs w:val="16"/>
                <w:lang w:eastAsia="es-CO"/>
                <w14:ligatures w14:val="none"/>
              </w:rPr>
              <w:t>467.842.247.341</w:t>
            </w:r>
          </w:p>
        </w:tc>
        <w:tc>
          <w:tcPr>
            <w:tcW w:w="839" w:type="pct"/>
            <w:noWrap/>
            <w:vAlign w:val="center"/>
            <w:hideMark/>
          </w:tcPr>
          <w:p w14:paraId="21376538" w14:textId="77777777" w:rsidR="001A5E55" w:rsidRPr="00951AB1" w:rsidRDefault="001A5E55" w:rsidP="000A5389">
            <w:pPr>
              <w:spacing w:line="240" w:lineRule="auto"/>
              <w:jc w:val="right"/>
              <w:rPr>
                <w:rFonts w:eastAsia="Times New Roman" w:cs="Times New Roman"/>
                <w:color w:val="000000"/>
                <w:kern w:val="0"/>
                <w:sz w:val="16"/>
                <w:szCs w:val="16"/>
                <w:lang w:eastAsia="es-CO"/>
                <w14:ligatures w14:val="none"/>
              </w:rPr>
            </w:pPr>
            <w:r w:rsidRPr="00951AB1">
              <w:rPr>
                <w:rFonts w:eastAsia="Times New Roman" w:cs="Times New Roman"/>
                <w:color w:val="000000"/>
                <w:kern w:val="0"/>
                <w:sz w:val="16"/>
                <w:szCs w:val="16"/>
                <w:lang w:eastAsia="es-CO"/>
                <w14:ligatures w14:val="none"/>
              </w:rPr>
              <w:t>335.388.790.506</w:t>
            </w:r>
          </w:p>
        </w:tc>
      </w:tr>
      <w:tr w:rsidR="00B44D10" w:rsidRPr="00951AB1" w14:paraId="45C6CF67" w14:textId="77777777" w:rsidTr="0071107B">
        <w:trPr>
          <w:trHeight w:val="293"/>
        </w:trPr>
        <w:tc>
          <w:tcPr>
            <w:tcW w:w="544" w:type="pct"/>
            <w:vAlign w:val="center"/>
            <w:hideMark/>
          </w:tcPr>
          <w:p w14:paraId="6B5FAEA7" w14:textId="77777777" w:rsidR="001A5E55" w:rsidRPr="00951AB1" w:rsidRDefault="001A5E55" w:rsidP="000A5389">
            <w:pPr>
              <w:spacing w:line="240" w:lineRule="auto"/>
              <w:jc w:val="right"/>
              <w:rPr>
                <w:rFonts w:eastAsia="Times New Roman" w:cs="Times New Roman"/>
                <w:color w:val="000000"/>
                <w:kern w:val="0"/>
                <w:sz w:val="16"/>
                <w:szCs w:val="16"/>
                <w:lang w:eastAsia="es-CO"/>
                <w14:ligatures w14:val="none"/>
              </w:rPr>
            </w:pPr>
            <w:r w:rsidRPr="00951AB1">
              <w:rPr>
                <w:rFonts w:eastAsia="Times New Roman" w:cs="Times New Roman"/>
                <w:color w:val="000000"/>
                <w:kern w:val="0"/>
                <w:sz w:val="16"/>
                <w:szCs w:val="16"/>
                <w:lang w:eastAsia="es-CO"/>
                <w14:ligatures w14:val="none"/>
              </w:rPr>
              <w:t>900740893</w:t>
            </w:r>
          </w:p>
        </w:tc>
        <w:tc>
          <w:tcPr>
            <w:tcW w:w="1512" w:type="pct"/>
            <w:noWrap/>
            <w:vAlign w:val="center"/>
            <w:hideMark/>
          </w:tcPr>
          <w:p w14:paraId="50BC2FE8" w14:textId="77777777" w:rsidR="001A5E55" w:rsidRPr="00951AB1" w:rsidRDefault="001A5E55" w:rsidP="000A5389">
            <w:pPr>
              <w:spacing w:line="240" w:lineRule="auto"/>
              <w:rPr>
                <w:rFonts w:eastAsia="Times New Roman" w:cs="Times New Roman"/>
                <w:color w:val="000000"/>
                <w:kern w:val="0"/>
                <w:sz w:val="16"/>
                <w:szCs w:val="16"/>
                <w:lang w:eastAsia="es-CO"/>
                <w14:ligatures w14:val="none"/>
              </w:rPr>
            </w:pPr>
            <w:r w:rsidRPr="00951AB1">
              <w:rPr>
                <w:rFonts w:eastAsia="Times New Roman" w:cs="Times New Roman"/>
                <w:color w:val="000000"/>
                <w:kern w:val="0"/>
                <w:sz w:val="16"/>
                <w:szCs w:val="16"/>
                <w:lang w:eastAsia="es-CO"/>
                <w14:ligatures w14:val="none"/>
              </w:rPr>
              <w:t>Concesión la Pintada S.A.S.</w:t>
            </w:r>
          </w:p>
        </w:tc>
        <w:tc>
          <w:tcPr>
            <w:tcW w:w="1081" w:type="pct"/>
            <w:vAlign w:val="center"/>
            <w:hideMark/>
          </w:tcPr>
          <w:p w14:paraId="5E86BF35" w14:textId="77777777" w:rsidR="001A5E55" w:rsidRPr="00951AB1" w:rsidRDefault="001A5E55" w:rsidP="000A5389">
            <w:pPr>
              <w:spacing w:line="240" w:lineRule="auto"/>
              <w:jc w:val="right"/>
              <w:rPr>
                <w:rFonts w:eastAsia="Times New Roman" w:cs="Times New Roman"/>
                <w:color w:val="000000"/>
                <w:kern w:val="0"/>
                <w:sz w:val="16"/>
                <w:szCs w:val="16"/>
                <w:lang w:eastAsia="es-CO"/>
                <w14:ligatures w14:val="none"/>
              </w:rPr>
            </w:pPr>
            <w:r w:rsidRPr="00951AB1">
              <w:rPr>
                <w:rFonts w:eastAsia="Times New Roman" w:cs="Times New Roman"/>
                <w:color w:val="000000"/>
                <w:kern w:val="0"/>
                <w:sz w:val="16"/>
                <w:szCs w:val="16"/>
                <w:lang w:eastAsia="es-CO"/>
                <w14:ligatures w14:val="none"/>
              </w:rPr>
              <w:t>707.733.960.402</w:t>
            </w:r>
          </w:p>
        </w:tc>
        <w:tc>
          <w:tcPr>
            <w:tcW w:w="1025" w:type="pct"/>
            <w:noWrap/>
            <w:vAlign w:val="center"/>
            <w:hideMark/>
          </w:tcPr>
          <w:p w14:paraId="72622B9E" w14:textId="77777777" w:rsidR="001A5E55" w:rsidRPr="00951AB1" w:rsidRDefault="001A5E55" w:rsidP="000A5389">
            <w:pPr>
              <w:spacing w:line="240" w:lineRule="auto"/>
              <w:jc w:val="right"/>
              <w:rPr>
                <w:rFonts w:eastAsia="Times New Roman" w:cs="Times New Roman"/>
                <w:color w:val="000000"/>
                <w:kern w:val="0"/>
                <w:sz w:val="16"/>
                <w:szCs w:val="16"/>
                <w:lang w:eastAsia="es-CO"/>
                <w14:ligatures w14:val="none"/>
              </w:rPr>
            </w:pPr>
            <w:r w:rsidRPr="00951AB1">
              <w:rPr>
                <w:rFonts w:eastAsia="Times New Roman" w:cs="Times New Roman"/>
                <w:color w:val="000000"/>
                <w:kern w:val="0"/>
                <w:sz w:val="16"/>
                <w:szCs w:val="16"/>
                <w:lang w:eastAsia="es-CO"/>
                <w14:ligatures w14:val="none"/>
              </w:rPr>
              <w:t>755.715.642.130</w:t>
            </w:r>
          </w:p>
        </w:tc>
        <w:tc>
          <w:tcPr>
            <w:tcW w:w="839" w:type="pct"/>
            <w:noWrap/>
            <w:vAlign w:val="center"/>
            <w:hideMark/>
          </w:tcPr>
          <w:p w14:paraId="3B3044A9" w14:textId="77777777" w:rsidR="001A5E55" w:rsidRPr="00951AB1" w:rsidRDefault="001A5E55" w:rsidP="000A5389">
            <w:pPr>
              <w:spacing w:line="240" w:lineRule="auto"/>
              <w:jc w:val="right"/>
              <w:rPr>
                <w:rFonts w:eastAsia="Times New Roman" w:cs="Times New Roman"/>
                <w:color w:val="000000"/>
                <w:kern w:val="0"/>
                <w:sz w:val="16"/>
                <w:szCs w:val="16"/>
                <w:lang w:eastAsia="es-CO"/>
                <w14:ligatures w14:val="none"/>
              </w:rPr>
            </w:pPr>
            <w:r w:rsidRPr="00951AB1">
              <w:rPr>
                <w:rFonts w:eastAsia="Times New Roman" w:cs="Times New Roman"/>
                <w:color w:val="000000"/>
                <w:kern w:val="0"/>
                <w:sz w:val="16"/>
                <w:szCs w:val="16"/>
                <w:lang w:eastAsia="es-CO"/>
                <w14:ligatures w14:val="none"/>
              </w:rPr>
              <w:t>-47.981.681.728</w:t>
            </w:r>
          </w:p>
        </w:tc>
      </w:tr>
      <w:tr w:rsidR="00B44D10" w:rsidRPr="00951AB1" w14:paraId="7D733249" w14:textId="77777777" w:rsidTr="0071107B">
        <w:trPr>
          <w:trHeight w:val="293"/>
        </w:trPr>
        <w:tc>
          <w:tcPr>
            <w:tcW w:w="544" w:type="pct"/>
            <w:noWrap/>
            <w:vAlign w:val="center"/>
            <w:hideMark/>
          </w:tcPr>
          <w:p w14:paraId="770F6B3F" w14:textId="77777777" w:rsidR="001A5E55" w:rsidRPr="00951AB1" w:rsidRDefault="001A5E55" w:rsidP="000A5389">
            <w:pPr>
              <w:spacing w:line="240" w:lineRule="auto"/>
              <w:jc w:val="right"/>
              <w:rPr>
                <w:rFonts w:eastAsia="Times New Roman" w:cs="Times New Roman"/>
                <w:color w:val="000000"/>
                <w:kern w:val="0"/>
                <w:sz w:val="16"/>
                <w:szCs w:val="16"/>
                <w:lang w:eastAsia="es-CO"/>
                <w14:ligatures w14:val="none"/>
              </w:rPr>
            </w:pPr>
            <w:r w:rsidRPr="00951AB1">
              <w:rPr>
                <w:rFonts w:eastAsia="Times New Roman" w:cs="Times New Roman"/>
                <w:color w:val="000000"/>
                <w:kern w:val="0"/>
                <w:sz w:val="16"/>
                <w:szCs w:val="16"/>
                <w:lang w:eastAsia="es-CO"/>
                <w14:ligatures w14:val="none"/>
              </w:rPr>
              <w:t>900745219</w:t>
            </w:r>
          </w:p>
        </w:tc>
        <w:tc>
          <w:tcPr>
            <w:tcW w:w="1512" w:type="pct"/>
            <w:noWrap/>
            <w:vAlign w:val="center"/>
            <w:hideMark/>
          </w:tcPr>
          <w:p w14:paraId="25923F02" w14:textId="77777777" w:rsidR="001A5E55" w:rsidRPr="00951AB1" w:rsidRDefault="001A5E55" w:rsidP="000A5389">
            <w:pPr>
              <w:spacing w:line="240" w:lineRule="auto"/>
              <w:rPr>
                <w:rFonts w:eastAsia="Times New Roman" w:cs="Times New Roman"/>
                <w:color w:val="000000"/>
                <w:kern w:val="0"/>
                <w:sz w:val="16"/>
                <w:szCs w:val="16"/>
                <w:lang w:eastAsia="es-CO"/>
                <w14:ligatures w14:val="none"/>
              </w:rPr>
            </w:pPr>
            <w:r w:rsidRPr="00951AB1">
              <w:rPr>
                <w:rFonts w:eastAsia="Times New Roman" w:cs="Times New Roman"/>
                <w:color w:val="000000"/>
                <w:kern w:val="0"/>
                <w:sz w:val="16"/>
                <w:szCs w:val="16"/>
                <w:lang w:eastAsia="es-CO"/>
                <w14:ligatures w14:val="none"/>
              </w:rPr>
              <w:t>Concesión Alto Magdalena S A S</w:t>
            </w:r>
          </w:p>
        </w:tc>
        <w:tc>
          <w:tcPr>
            <w:tcW w:w="1081" w:type="pct"/>
            <w:vAlign w:val="center"/>
            <w:hideMark/>
          </w:tcPr>
          <w:p w14:paraId="7687F196" w14:textId="77777777" w:rsidR="001A5E55" w:rsidRPr="00951AB1" w:rsidRDefault="001A5E55" w:rsidP="000A5389">
            <w:pPr>
              <w:spacing w:line="240" w:lineRule="auto"/>
              <w:jc w:val="right"/>
              <w:rPr>
                <w:rFonts w:eastAsia="Times New Roman" w:cs="Times New Roman"/>
                <w:color w:val="000000"/>
                <w:kern w:val="0"/>
                <w:sz w:val="16"/>
                <w:szCs w:val="16"/>
                <w:lang w:eastAsia="es-CO"/>
                <w14:ligatures w14:val="none"/>
              </w:rPr>
            </w:pPr>
            <w:r w:rsidRPr="00951AB1">
              <w:rPr>
                <w:rFonts w:eastAsia="Times New Roman" w:cs="Times New Roman"/>
                <w:color w:val="000000"/>
                <w:kern w:val="0"/>
                <w:sz w:val="16"/>
                <w:szCs w:val="16"/>
                <w:lang w:eastAsia="es-CO"/>
                <w14:ligatures w14:val="none"/>
              </w:rPr>
              <w:t>621.596.024.159</w:t>
            </w:r>
          </w:p>
        </w:tc>
        <w:tc>
          <w:tcPr>
            <w:tcW w:w="1025" w:type="pct"/>
            <w:noWrap/>
            <w:vAlign w:val="center"/>
            <w:hideMark/>
          </w:tcPr>
          <w:p w14:paraId="584BFABB" w14:textId="77777777" w:rsidR="001A5E55" w:rsidRPr="00951AB1" w:rsidRDefault="001A5E55" w:rsidP="000A5389">
            <w:pPr>
              <w:spacing w:line="240" w:lineRule="auto"/>
              <w:jc w:val="right"/>
              <w:rPr>
                <w:rFonts w:eastAsia="Times New Roman" w:cs="Times New Roman"/>
                <w:color w:val="000000"/>
                <w:kern w:val="0"/>
                <w:sz w:val="16"/>
                <w:szCs w:val="16"/>
                <w:lang w:eastAsia="es-CO"/>
                <w14:ligatures w14:val="none"/>
              </w:rPr>
            </w:pPr>
            <w:r w:rsidRPr="00951AB1">
              <w:rPr>
                <w:rFonts w:eastAsia="Times New Roman" w:cs="Times New Roman"/>
                <w:color w:val="000000"/>
                <w:kern w:val="0"/>
                <w:sz w:val="16"/>
                <w:szCs w:val="16"/>
                <w:lang w:eastAsia="es-CO"/>
                <w14:ligatures w14:val="none"/>
              </w:rPr>
              <w:t>651.562.228.463</w:t>
            </w:r>
          </w:p>
        </w:tc>
        <w:tc>
          <w:tcPr>
            <w:tcW w:w="839" w:type="pct"/>
            <w:noWrap/>
            <w:vAlign w:val="center"/>
            <w:hideMark/>
          </w:tcPr>
          <w:p w14:paraId="75DEBFDB" w14:textId="77777777" w:rsidR="001A5E55" w:rsidRPr="00951AB1" w:rsidRDefault="001A5E55" w:rsidP="000A5389">
            <w:pPr>
              <w:spacing w:line="240" w:lineRule="auto"/>
              <w:jc w:val="right"/>
              <w:rPr>
                <w:rFonts w:eastAsia="Times New Roman" w:cs="Times New Roman"/>
                <w:color w:val="000000"/>
                <w:kern w:val="0"/>
                <w:sz w:val="16"/>
                <w:szCs w:val="16"/>
                <w:lang w:eastAsia="es-CO"/>
                <w14:ligatures w14:val="none"/>
              </w:rPr>
            </w:pPr>
            <w:r w:rsidRPr="00951AB1">
              <w:rPr>
                <w:rFonts w:eastAsia="Times New Roman" w:cs="Times New Roman"/>
                <w:color w:val="000000"/>
                <w:kern w:val="0"/>
                <w:sz w:val="16"/>
                <w:szCs w:val="16"/>
                <w:lang w:eastAsia="es-CO"/>
                <w14:ligatures w14:val="none"/>
              </w:rPr>
              <w:t>-29.966.204.304</w:t>
            </w:r>
          </w:p>
        </w:tc>
      </w:tr>
      <w:tr w:rsidR="00B44D10" w:rsidRPr="00951AB1" w14:paraId="0E013760" w14:textId="77777777" w:rsidTr="0071107B">
        <w:trPr>
          <w:trHeight w:val="293"/>
        </w:trPr>
        <w:tc>
          <w:tcPr>
            <w:tcW w:w="544" w:type="pct"/>
            <w:vAlign w:val="center"/>
            <w:hideMark/>
          </w:tcPr>
          <w:p w14:paraId="475D12EE" w14:textId="77777777" w:rsidR="001A5E55" w:rsidRPr="00951AB1" w:rsidRDefault="001A5E55" w:rsidP="000A5389">
            <w:pPr>
              <w:spacing w:line="240" w:lineRule="auto"/>
              <w:jc w:val="right"/>
              <w:rPr>
                <w:rFonts w:eastAsia="Times New Roman" w:cs="Times New Roman"/>
                <w:color w:val="000000"/>
                <w:kern w:val="0"/>
                <w:sz w:val="16"/>
                <w:szCs w:val="16"/>
                <w:lang w:eastAsia="es-CO"/>
                <w14:ligatures w14:val="none"/>
              </w:rPr>
            </w:pPr>
            <w:r w:rsidRPr="00951AB1">
              <w:rPr>
                <w:rFonts w:eastAsia="Times New Roman" w:cs="Times New Roman"/>
                <w:color w:val="000000"/>
                <w:kern w:val="0"/>
                <w:sz w:val="16"/>
                <w:szCs w:val="16"/>
                <w:lang w:eastAsia="es-CO"/>
                <w14:ligatures w14:val="none"/>
              </w:rPr>
              <w:t>901607093</w:t>
            </w:r>
          </w:p>
        </w:tc>
        <w:tc>
          <w:tcPr>
            <w:tcW w:w="1512" w:type="pct"/>
            <w:noWrap/>
            <w:vAlign w:val="center"/>
            <w:hideMark/>
          </w:tcPr>
          <w:p w14:paraId="58AC0A67" w14:textId="77777777" w:rsidR="001A5E55" w:rsidRPr="00951AB1" w:rsidRDefault="001A5E55" w:rsidP="000A5389">
            <w:pPr>
              <w:spacing w:line="240" w:lineRule="auto"/>
              <w:rPr>
                <w:rFonts w:eastAsia="Times New Roman" w:cs="Times New Roman"/>
                <w:color w:val="000000"/>
                <w:kern w:val="0"/>
                <w:sz w:val="16"/>
                <w:szCs w:val="16"/>
                <w:lang w:eastAsia="es-CO"/>
                <w14:ligatures w14:val="none"/>
              </w:rPr>
            </w:pPr>
            <w:r w:rsidRPr="00951AB1">
              <w:rPr>
                <w:rFonts w:eastAsia="Times New Roman" w:cs="Times New Roman"/>
                <w:color w:val="000000"/>
                <w:kern w:val="0"/>
                <w:sz w:val="16"/>
                <w:szCs w:val="16"/>
                <w:lang w:eastAsia="es-CO"/>
                <w14:ligatures w14:val="none"/>
              </w:rPr>
              <w:t>Autopista del Rio Grande S.A.S</w:t>
            </w:r>
          </w:p>
        </w:tc>
        <w:tc>
          <w:tcPr>
            <w:tcW w:w="1081" w:type="pct"/>
            <w:vAlign w:val="center"/>
            <w:hideMark/>
          </w:tcPr>
          <w:p w14:paraId="5B17F85E" w14:textId="77777777" w:rsidR="001A5E55" w:rsidRPr="00951AB1" w:rsidRDefault="001A5E55" w:rsidP="000A5389">
            <w:pPr>
              <w:spacing w:line="240" w:lineRule="auto"/>
              <w:jc w:val="right"/>
              <w:rPr>
                <w:rFonts w:eastAsia="Times New Roman" w:cs="Times New Roman"/>
                <w:color w:val="000000"/>
                <w:kern w:val="0"/>
                <w:sz w:val="16"/>
                <w:szCs w:val="16"/>
                <w:lang w:eastAsia="es-CO"/>
                <w14:ligatures w14:val="none"/>
              </w:rPr>
            </w:pPr>
            <w:r w:rsidRPr="00951AB1">
              <w:rPr>
                <w:rFonts w:eastAsia="Times New Roman" w:cs="Times New Roman"/>
                <w:color w:val="000000"/>
                <w:kern w:val="0"/>
                <w:sz w:val="16"/>
                <w:szCs w:val="16"/>
                <w:lang w:eastAsia="es-CO"/>
                <w14:ligatures w14:val="none"/>
              </w:rPr>
              <w:t>388.301.429.371</w:t>
            </w:r>
          </w:p>
        </w:tc>
        <w:tc>
          <w:tcPr>
            <w:tcW w:w="1025" w:type="pct"/>
            <w:noWrap/>
            <w:vAlign w:val="center"/>
            <w:hideMark/>
          </w:tcPr>
          <w:p w14:paraId="41A01E04" w14:textId="77777777" w:rsidR="001A5E55" w:rsidRPr="00951AB1" w:rsidRDefault="001A5E55" w:rsidP="000A5389">
            <w:pPr>
              <w:spacing w:line="240" w:lineRule="auto"/>
              <w:jc w:val="right"/>
              <w:rPr>
                <w:rFonts w:eastAsia="Times New Roman" w:cs="Times New Roman"/>
                <w:color w:val="000000"/>
                <w:kern w:val="0"/>
                <w:sz w:val="16"/>
                <w:szCs w:val="16"/>
                <w:lang w:eastAsia="es-CO"/>
                <w14:ligatures w14:val="none"/>
              </w:rPr>
            </w:pPr>
            <w:r w:rsidRPr="00951AB1">
              <w:rPr>
                <w:rFonts w:eastAsia="Times New Roman" w:cs="Times New Roman"/>
                <w:color w:val="000000"/>
                <w:kern w:val="0"/>
                <w:sz w:val="16"/>
                <w:szCs w:val="16"/>
                <w:lang w:eastAsia="es-CO"/>
                <w14:ligatures w14:val="none"/>
              </w:rPr>
              <w:t>147.509.516.606</w:t>
            </w:r>
          </w:p>
        </w:tc>
        <w:tc>
          <w:tcPr>
            <w:tcW w:w="839" w:type="pct"/>
            <w:noWrap/>
            <w:vAlign w:val="center"/>
            <w:hideMark/>
          </w:tcPr>
          <w:p w14:paraId="36AC6090" w14:textId="77777777" w:rsidR="001A5E55" w:rsidRPr="00951AB1" w:rsidRDefault="001A5E55" w:rsidP="000A5389">
            <w:pPr>
              <w:spacing w:line="240" w:lineRule="auto"/>
              <w:jc w:val="right"/>
              <w:rPr>
                <w:rFonts w:eastAsia="Times New Roman" w:cs="Times New Roman"/>
                <w:color w:val="000000"/>
                <w:kern w:val="0"/>
                <w:sz w:val="16"/>
                <w:szCs w:val="16"/>
                <w:lang w:eastAsia="es-CO"/>
                <w14:ligatures w14:val="none"/>
              </w:rPr>
            </w:pPr>
            <w:r w:rsidRPr="00951AB1">
              <w:rPr>
                <w:rFonts w:eastAsia="Times New Roman" w:cs="Times New Roman"/>
                <w:color w:val="000000"/>
                <w:kern w:val="0"/>
                <w:sz w:val="16"/>
                <w:szCs w:val="16"/>
                <w:lang w:eastAsia="es-CO"/>
                <w14:ligatures w14:val="none"/>
              </w:rPr>
              <w:t>240.791.912.765</w:t>
            </w:r>
          </w:p>
        </w:tc>
      </w:tr>
      <w:tr w:rsidR="00B44D10" w:rsidRPr="00951AB1" w14:paraId="1F150AF9" w14:textId="77777777" w:rsidTr="0071107B">
        <w:trPr>
          <w:trHeight w:val="293"/>
        </w:trPr>
        <w:tc>
          <w:tcPr>
            <w:tcW w:w="544" w:type="pct"/>
            <w:vAlign w:val="center"/>
            <w:hideMark/>
          </w:tcPr>
          <w:p w14:paraId="5FB62727" w14:textId="77777777" w:rsidR="001A5E55" w:rsidRPr="00951AB1" w:rsidRDefault="001A5E55" w:rsidP="000A5389">
            <w:pPr>
              <w:spacing w:line="240" w:lineRule="auto"/>
              <w:jc w:val="right"/>
              <w:rPr>
                <w:rFonts w:eastAsia="Times New Roman" w:cs="Times New Roman"/>
                <w:color w:val="000000"/>
                <w:kern w:val="0"/>
                <w:sz w:val="16"/>
                <w:szCs w:val="16"/>
                <w:lang w:eastAsia="es-CO"/>
                <w14:ligatures w14:val="none"/>
              </w:rPr>
            </w:pPr>
            <w:r w:rsidRPr="00951AB1">
              <w:rPr>
                <w:rFonts w:eastAsia="Times New Roman" w:cs="Times New Roman"/>
                <w:color w:val="000000"/>
                <w:kern w:val="0"/>
                <w:sz w:val="16"/>
                <w:szCs w:val="16"/>
                <w:lang w:eastAsia="es-CO"/>
                <w14:ligatures w14:val="none"/>
              </w:rPr>
              <w:t>901161505</w:t>
            </w:r>
          </w:p>
        </w:tc>
        <w:tc>
          <w:tcPr>
            <w:tcW w:w="1512" w:type="pct"/>
            <w:noWrap/>
            <w:vAlign w:val="center"/>
            <w:hideMark/>
          </w:tcPr>
          <w:p w14:paraId="6A08F5BB" w14:textId="77777777" w:rsidR="001A5E55" w:rsidRPr="00951AB1" w:rsidRDefault="001A5E55" w:rsidP="000A5389">
            <w:pPr>
              <w:spacing w:line="240" w:lineRule="auto"/>
              <w:rPr>
                <w:rFonts w:eastAsia="Times New Roman" w:cs="Times New Roman"/>
                <w:color w:val="000000"/>
                <w:kern w:val="0"/>
                <w:sz w:val="16"/>
                <w:szCs w:val="16"/>
                <w:lang w:eastAsia="es-CO"/>
                <w14:ligatures w14:val="none"/>
              </w:rPr>
            </w:pPr>
            <w:r w:rsidRPr="00951AB1">
              <w:rPr>
                <w:rFonts w:eastAsia="Times New Roman" w:cs="Times New Roman"/>
                <w:color w:val="000000"/>
                <w:kern w:val="0"/>
                <w:sz w:val="16"/>
                <w:szCs w:val="16"/>
                <w:lang w:eastAsia="es-CO"/>
                <w14:ligatures w14:val="none"/>
              </w:rPr>
              <w:t>Concesión Transversal del Sisga S.A.S</w:t>
            </w:r>
          </w:p>
        </w:tc>
        <w:tc>
          <w:tcPr>
            <w:tcW w:w="1081" w:type="pct"/>
            <w:vAlign w:val="center"/>
            <w:hideMark/>
          </w:tcPr>
          <w:p w14:paraId="74C7FCB8" w14:textId="77777777" w:rsidR="001A5E55" w:rsidRPr="00951AB1" w:rsidRDefault="001A5E55" w:rsidP="000A5389">
            <w:pPr>
              <w:spacing w:line="240" w:lineRule="auto"/>
              <w:jc w:val="right"/>
              <w:rPr>
                <w:rFonts w:eastAsia="Times New Roman" w:cs="Times New Roman"/>
                <w:color w:val="000000"/>
                <w:kern w:val="0"/>
                <w:sz w:val="16"/>
                <w:szCs w:val="16"/>
                <w:lang w:eastAsia="es-CO"/>
                <w14:ligatures w14:val="none"/>
              </w:rPr>
            </w:pPr>
            <w:r w:rsidRPr="00951AB1">
              <w:rPr>
                <w:rFonts w:eastAsia="Times New Roman" w:cs="Times New Roman"/>
                <w:color w:val="000000"/>
                <w:kern w:val="0"/>
                <w:sz w:val="16"/>
                <w:szCs w:val="16"/>
                <w:lang w:eastAsia="es-CO"/>
                <w14:ligatures w14:val="none"/>
              </w:rPr>
              <w:t>365.496.253.694</w:t>
            </w:r>
          </w:p>
        </w:tc>
        <w:tc>
          <w:tcPr>
            <w:tcW w:w="1025" w:type="pct"/>
            <w:noWrap/>
            <w:vAlign w:val="center"/>
            <w:hideMark/>
          </w:tcPr>
          <w:p w14:paraId="37370D5D" w14:textId="77777777" w:rsidR="001A5E55" w:rsidRPr="00951AB1" w:rsidRDefault="001A5E55" w:rsidP="000A5389">
            <w:pPr>
              <w:spacing w:line="240" w:lineRule="auto"/>
              <w:jc w:val="right"/>
              <w:rPr>
                <w:rFonts w:eastAsia="Times New Roman" w:cs="Times New Roman"/>
                <w:color w:val="000000"/>
                <w:kern w:val="0"/>
                <w:sz w:val="16"/>
                <w:szCs w:val="16"/>
                <w:lang w:eastAsia="es-CO"/>
                <w14:ligatures w14:val="none"/>
              </w:rPr>
            </w:pPr>
            <w:r w:rsidRPr="00951AB1">
              <w:rPr>
                <w:rFonts w:eastAsia="Times New Roman" w:cs="Times New Roman"/>
                <w:color w:val="000000"/>
                <w:kern w:val="0"/>
                <w:sz w:val="16"/>
                <w:szCs w:val="16"/>
                <w:lang w:eastAsia="es-CO"/>
                <w14:ligatures w14:val="none"/>
              </w:rPr>
              <w:t>377.867.747.647</w:t>
            </w:r>
          </w:p>
        </w:tc>
        <w:tc>
          <w:tcPr>
            <w:tcW w:w="839" w:type="pct"/>
            <w:noWrap/>
            <w:vAlign w:val="center"/>
            <w:hideMark/>
          </w:tcPr>
          <w:p w14:paraId="56087FA0" w14:textId="77777777" w:rsidR="001A5E55" w:rsidRPr="00951AB1" w:rsidRDefault="001A5E55" w:rsidP="000A5389">
            <w:pPr>
              <w:spacing w:line="240" w:lineRule="auto"/>
              <w:jc w:val="right"/>
              <w:rPr>
                <w:rFonts w:eastAsia="Times New Roman" w:cs="Times New Roman"/>
                <w:color w:val="000000"/>
                <w:kern w:val="0"/>
                <w:sz w:val="16"/>
                <w:szCs w:val="16"/>
                <w:lang w:eastAsia="es-CO"/>
                <w14:ligatures w14:val="none"/>
              </w:rPr>
            </w:pPr>
            <w:r w:rsidRPr="00951AB1">
              <w:rPr>
                <w:rFonts w:eastAsia="Times New Roman" w:cs="Times New Roman"/>
                <w:color w:val="000000"/>
                <w:kern w:val="0"/>
                <w:sz w:val="16"/>
                <w:szCs w:val="16"/>
                <w:lang w:eastAsia="es-CO"/>
                <w14:ligatures w14:val="none"/>
              </w:rPr>
              <w:t>-12.371.493.953</w:t>
            </w:r>
          </w:p>
        </w:tc>
      </w:tr>
      <w:tr w:rsidR="00B44D10" w:rsidRPr="00951AB1" w14:paraId="3E7F3F9B" w14:textId="77777777" w:rsidTr="0071107B">
        <w:trPr>
          <w:trHeight w:val="413"/>
        </w:trPr>
        <w:tc>
          <w:tcPr>
            <w:tcW w:w="544" w:type="pct"/>
            <w:vAlign w:val="center"/>
            <w:hideMark/>
          </w:tcPr>
          <w:p w14:paraId="0552B0E0" w14:textId="77777777" w:rsidR="001A5E55" w:rsidRPr="00951AB1" w:rsidRDefault="001A5E55" w:rsidP="000A5389">
            <w:pPr>
              <w:spacing w:line="240" w:lineRule="auto"/>
              <w:jc w:val="right"/>
              <w:rPr>
                <w:rFonts w:eastAsia="Times New Roman" w:cs="Times New Roman"/>
                <w:color w:val="000000"/>
                <w:kern w:val="0"/>
                <w:sz w:val="16"/>
                <w:szCs w:val="16"/>
                <w:lang w:eastAsia="es-CO"/>
                <w14:ligatures w14:val="none"/>
              </w:rPr>
            </w:pPr>
            <w:r w:rsidRPr="00951AB1">
              <w:rPr>
                <w:rFonts w:eastAsia="Times New Roman" w:cs="Times New Roman"/>
                <w:color w:val="000000"/>
                <w:kern w:val="0"/>
                <w:sz w:val="16"/>
                <w:szCs w:val="16"/>
                <w:lang w:eastAsia="es-CO"/>
                <w14:ligatures w14:val="none"/>
              </w:rPr>
              <w:t>900858096</w:t>
            </w:r>
          </w:p>
        </w:tc>
        <w:tc>
          <w:tcPr>
            <w:tcW w:w="1512" w:type="pct"/>
            <w:vAlign w:val="center"/>
            <w:hideMark/>
          </w:tcPr>
          <w:p w14:paraId="5058409D" w14:textId="77777777" w:rsidR="001A5E55" w:rsidRPr="00951AB1" w:rsidRDefault="001A5E55" w:rsidP="000A5389">
            <w:pPr>
              <w:spacing w:line="240" w:lineRule="auto"/>
              <w:rPr>
                <w:rFonts w:eastAsia="Times New Roman" w:cs="Times New Roman"/>
                <w:color w:val="000000"/>
                <w:kern w:val="0"/>
                <w:sz w:val="16"/>
                <w:szCs w:val="16"/>
                <w:lang w:eastAsia="es-CO"/>
                <w14:ligatures w14:val="none"/>
              </w:rPr>
            </w:pPr>
            <w:r w:rsidRPr="00951AB1">
              <w:rPr>
                <w:rFonts w:eastAsia="Times New Roman" w:cs="Times New Roman"/>
                <w:color w:val="000000"/>
                <w:kern w:val="0"/>
                <w:sz w:val="16"/>
                <w:szCs w:val="16"/>
                <w:lang w:eastAsia="es-CO"/>
                <w14:ligatures w14:val="none"/>
              </w:rPr>
              <w:t>Sociedad Concesionaria Vial Montes de María S.A.S</w:t>
            </w:r>
          </w:p>
        </w:tc>
        <w:tc>
          <w:tcPr>
            <w:tcW w:w="1081" w:type="pct"/>
            <w:noWrap/>
            <w:vAlign w:val="center"/>
            <w:hideMark/>
          </w:tcPr>
          <w:p w14:paraId="64B3AC90" w14:textId="77777777" w:rsidR="001A5E55" w:rsidRPr="00951AB1" w:rsidRDefault="001A5E55" w:rsidP="000A5389">
            <w:pPr>
              <w:spacing w:line="240" w:lineRule="auto"/>
              <w:jc w:val="right"/>
              <w:rPr>
                <w:rFonts w:eastAsia="Times New Roman" w:cs="Times New Roman"/>
                <w:color w:val="000000"/>
                <w:kern w:val="0"/>
                <w:sz w:val="16"/>
                <w:szCs w:val="16"/>
                <w:lang w:eastAsia="es-CO"/>
                <w14:ligatures w14:val="none"/>
              </w:rPr>
            </w:pPr>
            <w:r w:rsidRPr="00951AB1">
              <w:rPr>
                <w:rFonts w:eastAsia="Times New Roman" w:cs="Times New Roman"/>
                <w:color w:val="000000"/>
                <w:kern w:val="0"/>
                <w:sz w:val="16"/>
                <w:szCs w:val="16"/>
                <w:lang w:eastAsia="es-CO"/>
                <w14:ligatures w14:val="none"/>
              </w:rPr>
              <w:t>280.136.194.172</w:t>
            </w:r>
          </w:p>
        </w:tc>
        <w:tc>
          <w:tcPr>
            <w:tcW w:w="1025" w:type="pct"/>
            <w:noWrap/>
            <w:vAlign w:val="center"/>
            <w:hideMark/>
          </w:tcPr>
          <w:p w14:paraId="5BEFEEDF" w14:textId="77777777" w:rsidR="001A5E55" w:rsidRPr="00951AB1" w:rsidRDefault="001A5E55" w:rsidP="000A5389">
            <w:pPr>
              <w:spacing w:line="240" w:lineRule="auto"/>
              <w:jc w:val="right"/>
              <w:rPr>
                <w:rFonts w:eastAsia="Times New Roman" w:cs="Times New Roman"/>
                <w:color w:val="000000"/>
                <w:kern w:val="0"/>
                <w:sz w:val="16"/>
                <w:szCs w:val="16"/>
                <w:lang w:eastAsia="es-CO"/>
                <w14:ligatures w14:val="none"/>
              </w:rPr>
            </w:pPr>
            <w:r w:rsidRPr="00951AB1">
              <w:rPr>
                <w:rFonts w:eastAsia="Times New Roman" w:cs="Times New Roman"/>
                <w:color w:val="000000"/>
                <w:kern w:val="0"/>
                <w:sz w:val="16"/>
                <w:szCs w:val="16"/>
                <w:lang w:eastAsia="es-CO"/>
                <w14:ligatures w14:val="none"/>
              </w:rPr>
              <w:t>303.674.385.632</w:t>
            </w:r>
          </w:p>
        </w:tc>
        <w:tc>
          <w:tcPr>
            <w:tcW w:w="839" w:type="pct"/>
            <w:noWrap/>
            <w:vAlign w:val="center"/>
            <w:hideMark/>
          </w:tcPr>
          <w:p w14:paraId="1EABC3B2" w14:textId="77777777" w:rsidR="001A5E55" w:rsidRPr="00951AB1" w:rsidRDefault="001A5E55" w:rsidP="000A5389">
            <w:pPr>
              <w:spacing w:line="240" w:lineRule="auto"/>
              <w:jc w:val="right"/>
              <w:rPr>
                <w:rFonts w:eastAsia="Times New Roman" w:cs="Times New Roman"/>
                <w:color w:val="000000"/>
                <w:kern w:val="0"/>
                <w:sz w:val="16"/>
                <w:szCs w:val="16"/>
                <w:lang w:eastAsia="es-CO"/>
                <w14:ligatures w14:val="none"/>
              </w:rPr>
            </w:pPr>
            <w:r w:rsidRPr="00951AB1">
              <w:rPr>
                <w:rFonts w:eastAsia="Times New Roman" w:cs="Times New Roman"/>
                <w:color w:val="000000"/>
                <w:kern w:val="0"/>
                <w:sz w:val="16"/>
                <w:szCs w:val="16"/>
                <w:lang w:eastAsia="es-CO"/>
                <w14:ligatures w14:val="none"/>
              </w:rPr>
              <w:t>-23.538.191.460</w:t>
            </w:r>
          </w:p>
        </w:tc>
      </w:tr>
      <w:tr w:rsidR="00B44D10" w:rsidRPr="00951AB1" w14:paraId="4CE97C37" w14:textId="77777777" w:rsidTr="0071107B">
        <w:trPr>
          <w:trHeight w:val="293"/>
        </w:trPr>
        <w:tc>
          <w:tcPr>
            <w:tcW w:w="544" w:type="pct"/>
            <w:vAlign w:val="center"/>
            <w:hideMark/>
          </w:tcPr>
          <w:p w14:paraId="32B80323" w14:textId="77777777" w:rsidR="001A5E55" w:rsidRPr="00951AB1" w:rsidRDefault="001A5E55" w:rsidP="000A5389">
            <w:pPr>
              <w:spacing w:line="240" w:lineRule="auto"/>
              <w:jc w:val="right"/>
              <w:rPr>
                <w:rFonts w:eastAsia="Times New Roman" w:cs="Times New Roman"/>
                <w:color w:val="000000"/>
                <w:kern w:val="0"/>
                <w:sz w:val="16"/>
                <w:szCs w:val="16"/>
                <w:lang w:eastAsia="es-CO"/>
                <w14:ligatures w14:val="none"/>
              </w:rPr>
            </w:pPr>
            <w:r w:rsidRPr="00951AB1">
              <w:rPr>
                <w:rFonts w:eastAsia="Times New Roman" w:cs="Times New Roman"/>
                <w:color w:val="000000"/>
                <w:kern w:val="0"/>
                <w:sz w:val="16"/>
                <w:szCs w:val="16"/>
                <w:lang w:eastAsia="es-CO"/>
                <w14:ligatures w14:val="none"/>
              </w:rPr>
              <w:t>901621257</w:t>
            </w:r>
          </w:p>
        </w:tc>
        <w:tc>
          <w:tcPr>
            <w:tcW w:w="1512" w:type="pct"/>
            <w:noWrap/>
            <w:vAlign w:val="center"/>
            <w:hideMark/>
          </w:tcPr>
          <w:p w14:paraId="585D29C9" w14:textId="77777777" w:rsidR="001A5E55" w:rsidRPr="00951AB1" w:rsidRDefault="001A5E55" w:rsidP="000A5389">
            <w:pPr>
              <w:spacing w:line="240" w:lineRule="auto"/>
              <w:rPr>
                <w:rFonts w:eastAsia="Times New Roman" w:cs="Times New Roman"/>
                <w:color w:val="000000"/>
                <w:kern w:val="0"/>
                <w:sz w:val="16"/>
                <w:szCs w:val="16"/>
                <w:lang w:eastAsia="es-CO"/>
                <w14:ligatures w14:val="none"/>
              </w:rPr>
            </w:pPr>
            <w:r w:rsidRPr="00951AB1">
              <w:rPr>
                <w:rFonts w:eastAsia="Times New Roman" w:cs="Times New Roman"/>
                <w:color w:val="000000"/>
                <w:kern w:val="0"/>
                <w:sz w:val="16"/>
                <w:szCs w:val="16"/>
                <w:lang w:eastAsia="es-CO"/>
                <w14:ligatures w14:val="none"/>
              </w:rPr>
              <w:t>Unión Vial Camino del Pacífico S.A.S.</w:t>
            </w:r>
          </w:p>
        </w:tc>
        <w:tc>
          <w:tcPr>
            <w:tcW w:w="1081" w:type="pct"/>
            <w:vAlign w:val="center"/>
            <w:hideMark/>
          </w:tcPr>
          <w:p w14:paraId="0918D638" w14:textId="77777777" w:rsidR="001A5E55" w:rsidRPr="00951AB1" w:rsidRDefault="001A5E55" w:rsidP="000A5389">
            <w:pPr>
              <w:spacing w:line="240" w:lineRule="auto"/>
              <w:jc w:val="right"/>
              <w:rPr>
                <w:rFonts w:eastAsia="Times New Roman" w:cs="Times New Roman"/>
                <w:color w:val="000000"/>
                <w:kern w:val="0"/>
                <w:sz w:val="16"/>
                <w:szCs w:val="16"/>
                <w:lang w:eastAsia="es-CO"/>
                <w14:ligatures w14:val="none"/>
              </w:rPr>
            </w:pPr>
            <w:r w:rsidRPr="00951AB1">
              <w:rPr>
                <w:rFonts w:eastAsia="Times New Roman" w:cs="Times New Roman"/>
                <w:color w:val="000000"/>
                <w:kern w:val="0"/>
                <w:sz w:val="16"/>
                <w:szCs w:val="16"/>
                <w:lang w:eastAsia="es-CO"/>
                <w14:ligatures w14:val="none"/>
              </w:rPr>
              <w:t>97.378.822.014</w:t>
            </w:r>
          </w:p>
        </w:tc>
        <w:tc>
          <w:tcPr>
            <w:tcW w:w="1025" w:type="pct"/>
            <w:noWrap/>
            <w:vAlign w:val="center"/>
            <w:hideMark/>
          </w:tcPr>
          <w:p w14:paraId="18DEDFCA" w14:textId="77777777" w:rsidR="001A5E55" w:rsidRPr="00951AB1" w:rsidRDefault="001A5E55" w:rsidP="000A5389">
            <w:pPr>
              <w:spacing w:line="240" w:lineRule="auto"/>
              <w:jc w:val="right"/>
              <w:rPr>
                <w:rFonts w:eastAsia="Times New Roman" w:cs="Times New Roman"/>
                <w:color w:val="000000"/>
                <w:kern w:val="0"/>
                <w:sz w:val="16"/>
                <w:szCs w:val="16"/>
                <w:lang w:eastAsia="es-CO"/>
                <w14:ligatures w14:val="none"/>
              </w:rPr>
            </w:pPr>
            <w:r w:rsidRPr="00951AB1">
              <w:rPr>
                <w:rFonts w:eastAsia="Times New Roman" w:cs="Times New Roman"/>
                <w:color w:val="000000"/>
                <w:kern w:val="0"/>
                <w:sz w:val="16"/>
                <w:szCs w:val="16"/>
                <w:lang w:eastAsia="es-CO"/>
                <w14:ligatures w14:val="none"/>
              </w:rPr>
              <w:t>50303365236</w:t>
            </w:r>
          </w:p>
        </w:tc>
        <w:tc>
          <w:tcPr>
            <w:tcW w:w="839" w:type="pct"/>
            <w:noWrap/>
            <w:vAlign w:val="center"/>
            <w:hideMark/>
          </w:tcPr>
          <w:p w14:paraId="393BF9C3" w14:textId="77777777" w:rsidR="001A5E55" w:rsidRPr="00951AB1" w:rsidRDefault="001A5E55" w:rsidP="000A5389">
            <w:pPr>
              <w:spacing w:line="240" w:lineRule="auto"/>
              <w:jc w:val="right"/>
              <w:rPr>
                <w:rFonts w:eastAsia="Times New Roman" w:cs="Times New Roman"/>
                <w:color w:val="000000"/>
                <w:kern w:val="0"/>
                <w:sz w:val="16"/>
                <w:szCs w:val="16"/>
                <w:lang w:eastAsia="es-CO"/>
                <w14:ligatures w14:val="none"/>
              </w:rPr>
            </w:pPr>
            <w:r w:rsidRPr="00951AB1">
              <w:rPr>
                <w:rFonts w:eastAsia="Times New Roman" w:cs="Times New Roman"/>
                <w:color w:val="000000"/>
                <w:kern w:val="0"/>
                <w:sz w:val="16"/>
                <w:szCs w:val="16"/>
                <w:lang w:eastAsia="es-CO"/>
                <w14:ligatures w14:val="none"/>
              </w:rPr>
              <w:t>47.075.456.778</w:t>
            </w:r>
          </w:p>
        </w:tc>
      </w:tr>
      <w:tr w:rsidR="00B44D10" w:rsidRPr="00951AB1" w14:paraId="02DDD09C" w14:textId="77777777" w:rsidTr="0071107B">
        <w:trPr>
          <w:trHeight w:val="293"/>
        </w:trPr>
        <w:tc>
          <w:tcPr>
            <w:tcW w:w="544" w:type="pct"/>
            <w:vAlign w:val="center"/>
            <w:hideMark/>
          </w:tcPr>
          <w:p w14:paraId="344F23AC" w14:textId="77777777" w:rsidR="001A5E55" w:rsidRPr="00951AB1" w:rsidRDefault="001A5E55" w:rsidP="000A5389">
            <w:pPr>
              <w:spacing w:line="240" w:lineRule="auto"/>
              <w:jc w:val="right"/>
              <w:rPr>
                <w:rFonts w:eastAsia="Times New Roman" w:cs="Times New Roman"/>
                <w:color w:val="000000"/>
                <w:kern w:val="0"/>
                <w:sz w:val="16"/>
                <w:szCs w:val="16"/>
                <w:lang w:eastAsia="es-CO"/>
                <w14:ligatures w14:val="none"/>
              </w:rPr>
            </w:pPr>
            <w:r w:rsidRPr="00951AB1">
              <w:rPr>
                <w:rFonts w:eastAsia="Times New Roman" w:cs="Times New Roman"/>
                <w:color w:val="000000"/>
                <w:kern w:val="0"/>
                <w:sz w:val="16"/>
                <w:szCs w:val="16"/>
                <w:lang w:eastAsia="es-CO"/>
                <w14:ligatures w14:val="none"/>
              </w:rPr>
              <w:t>800235278</w:t>
            </w:r>
          </w:p>
        </w:tc>
        <w:tc>
          <w:tcPr>
            <w:tcW w:w="1512" w:type="pct"/>
            <w:vAlign w:val="center"/>
            <w:hideMark/>
          </w:tcPr>
          <w:p w14:paraId="5B184138" w14:textId="77777777" w:rsidR="001A5E55" w:rsidRPr="00951AB1" w:rsidRDefault="001A5E55" w:rsidP="000A5389">
            <w:pPr>
              <w:spacing w:line="240" w:lineRule="auto"/>
              <w:rPr>
                <w:rFonts w:eastAsia="Times New Roman" w:cs="Times New Roman"/>
                <w:color w:val="000000"/>
                <w:kern w:val="0"/>
                <w:sz w:val="16"/>
                <w:szCs w:val="16"/>
                <w:lang w:eastAsia="es-CO"/>
                <w14:ligatures w14:val="none"/>
              </w:rPr>
            </w:pPr>
            <w:r w:rsidRPr="00951AB1">
              <w:rPr>
                <w:rFonts w:eastAsia="Times New Roman" w:cs="Times New Roman"/>
                <w:color w:val="000000"/>
                <w:kern w:val="0"/>
                <w:sz w:val="16"/>
                <w:szCs w:val="16"/>
                <w:lang w:eastAsia="es-CO"/>
                <w14:ligatures w14:val="none"/>
              </w:rPr>
              <w:t>Concesión Santa Marta Paraguachon S.A.</w:t>
            </w:r>
          </w:p>
        </w:tc>
        <w:tc>
          <w:tcPr>
            <w:tcW w:w="1081" w:type="pct"/>
            <w:noWrap/>
            <w:vAlign w:val="center"/>
            <w:hideMark/>
          </w:tcPr>
          <w:p w14:paraId="4C8AE2FA" w14:textId="77777777" w:rsidR="001A5E55" w:rsidRPr="00951AB1" w:rsidRDefault="001A5E55" w:rsidP="000A5389">
            <w:pPr>
              <w:spacing w:line="240" w:lineRule="auto"/>
              <w:jc w:val="right"/>
              <w:rPr>
                <w:rFonts w:eastAsia="Times New Roman" w:cs="Times New Roman"/>
                <w:color w:val="000000"/>
                <w:kern w:val="0"/>
                <w:sz w:val="16"/>
                <w:szCs w:val="16"/>
                <w:lang w:eastAsia="es-CO"/>
                <w14:ligatures w14:val="none"/>
              </w:rPr>
            </w:pPr>
            <w:r w:rsidRPr="00951AB1">
              <w:rPr>
                <w:rFonts w:eastAsia="Times New Roman" w:cs="Times New Roman"/>
                <w:color w:val="000000"/>
                <w:kern w:val="0"/>
                <w:sz w:val="16"/>
                <w:szCs w:val="16"/>
                <w:lang w:eastAsia="es-CO"/>
                <w14:ligatures w14:val="none"/>
              </w:rPr>
              <w:t>80.235.871.668</w:t>
            </w:r>
          </w:p>
        </w:tc>
        <w:tc>
          <w:tcPr>
            <w:tcW w:w="1025" w:type="pct"/>
            <w:noWrap/>
            <w:vAlign w:val="center"/>
            <w:hideMark/>
          </w:tcPr>
          <w:p w14:paraId="07325E4D" w14:textId="77777777" w:rsidR="001A5E55" w:rsidRPr="00951AB1" w:rsidRDefault="001A5E55" w:rsidP="000A5389">
            <w:pPr>
              <w:spacing w:line="240" w:lineRule="auto"/>
              <w:jc w:val="right"/>
              <w:rPr>
                <w:rFonts w:eastAsia="Times New Roman" w:cs="Times New Roman"/>
                <w:color w:val="000000"/>
                <w:kern w:val="0"/>
                <w:sz w:val="16"/>
                <w:szCs w:val="16"/>
                <w:lang w:eastAsia="es-CO"/>
                <w14:ligatures w14:val="none"/>
              </w:rPr>
            </w:pPr>
            <w:r w:rsidRPr="00951AB1">
              <w:rPr>
                <w:rFonts w:eastAsia="Times New Roman" w:cs="Times New Roman"/>
                <w:color w:val="000000"/>
                <w:kern w:val="0"/>
                <w:sz w:val="16"/>
                <w:szCs w:val="16"/>
                <w:lang w:eastAsia="es-CO"/>
                <w14:ligatures w14:val="none"/>
              </w:rPr>
              <w:t>42.969.704.533</w:t>
            </w:r>
          </w:p>
        </w:tc>
        <w:tc>
          <w:tcPr>
            <w:tcW w:w="839" w:type="pct"/>
            <w:noWrap/>
            <w:vAlign w:val="center"/>
            <w:hideMark/>
          </w:tcPr>
          <w:p w14:paraId="32585C68" w14:textId="77777777" w:rsidR="001A5E55" w:rsidRPr="00951AB1" w:rsidRDefault="001A5E55" w:rsidP="000A5389">
            <w:pPr>
              <w:spacing w:line="240" w:lineRule="auto"/>
              <w:jc w:val="right"/>
              <w:rPr>
                <w:rFonts w:eastAsia="Times New Roman" w:cs="Times New Roman"/>
                <w:color w:val="000000"/>
                <w:kern w:val="0"/>
                <w:sz w:val="16"/>
                <w:szCs w:val="16"/>
                <w:lang w:eastAsia="es-CO"/>
                <w14:ligatures w14:val="none"/>
              </w:rPr>
            </w:pPr>
            <w:r w:rsidRPr="00951AB1">
              <w:rPr>
                <w:rFonts w:eastAsia="Times New Roman" w:cs="Times New Roman"/>
                <w:color w:val="000000"/>
                <w:kern w:val="0"/>
                <w:sz w:val="16"/>
                <w:szCs w:val="16"/>
                <w:lang w:eastAsia="es-CO"/>
                <w14:ligatures w14:val="none"/>
              </w:rPr>
              <w:t>37.266.167.135</w:t>
            </w:r>
          </w:p>
        </w:tc>
      </w:tr>
      <w:tr w:rsidR="00B44D10" w:rsidRPr="00951AB1" w14:paraId="4B238251" w14:textId="77777777" w:rsidTr="0071107B">
        <w:trPr>
          <w:trHeight w:val="293"/>
        </w:trPr>
        <w:tc>
          <w:tcPr>
            <w:tcW w:w="544" w:type="pct"/>
            <w:vAlign w:val="center"/>
            <w:hideMark/>
          </w:tcPr>
          <w:p w14:paraId="1298A773" w14:textId="77777777" w:rsidR="001A5E55" w:rsidRPr="00951AB1" w:rsidRDefault="001A5E55" w:rsidP="000A5389">
            <w:pPr>
              <w:spacing w:line="240" w:lineRule="auto"/>
              <w:jc w:val="right"/>
              <w:rPr>
                <w:rFonts w:eastAsia="Times New Roman" w:cs="Times New Roman"/>
                <w:color w:val="000000"/>
                <w:kern w:val="0"/>
                <w:sz w:val="16"/>
                <w:szCs w:val="16"/>
                <w:lang w:eastAsia="es-CO"/>
                <w14:ligatures w14:val="none"/>
              </w:rPr>
            </w:pPr>
            <w:r w:rsidRPr="00951AB1">
              <w:rPr>
                <w:rFonts w:eastAsia="Times New Roman" w:cs="Times New Roman"/>
                <w:color w:val="000000"/>
                <w:kern w:val="0"/>
                <w:sz w:val="16"/>
                <w:szCs w:val="16"/>
                <w:lang w:eastAsia="es-CO"/>
                <w14:ligatures w14:val="none"/>
              </w:rPr>
              <w:t>900809931</w:t>
            </w:r>
          </w:p>
        </w:tc>
        <w:tc>
          <w:tcPr>
            <w:tcW w:w="1512" w:type="pct"/>
            <w:noWrap/>
            <w:vAlign w:val="center"/>
            <w:hideMark/>
          </w:tcPr>
          <w:p w14:paraId="055C91CB" w14:textId="77777777" w:rsidR="001A5E55" w:rsidRPr="00951AB1" w:rsidRDefault="001A5E55" w:rsidP="000A5389">
            <w:pPr>
              <w:spacing w:line="240" w:lineRule="auto"/>
              <w:rPr>
                <w:rFonts w:eastAsia="Times New Roman" w:cs="Times New Roman"/>
                <w:color w:val="000000"/>
                <w:kern w:val="0"/>
                <w:sz w:val="16"/>
                <w:szCs w:val="16"/>
                <w:lang w:eastAsia="es-CO"/>
                <w14:ligatures w14:val="none"/>
              </w:rPr>
            </w:pPr>
            <w:r w:rsidRPr="00951AB1">
              <w:rPr>
                <w:rFonts w:eastAsia="Times New Roman" w:cs="Times New Roman"/>
                <w:color w:val="000000"/>
                <w:kern w:val="0"/>
                <w:sz w:val="16"/>
                <w:szCs w:val="16"/>
                <w:lang w:eastAsia="es-CO"/>
                <w14:ligatures w14:val="none"/>
              </w:rPr>
              <w:t>Concesionaria Nueva Vía al Mar S.A.S</w:t>
            </w:r>
          </w:p>
        </w:tc>
        <w:tc>
          <w:tcPr>
            <w:tcW w:w="1081" w:type="pct"/>
            <w:vAlign w:val="center"/>
            <w:hideMark/>
          </w:tcPr>
          <w:p w14:paraId="4B51C6E7" w14:textId="77777777" w:rsidR="001A5E55" w:rsidRPr="00951AB1" w:rsidRDefault="001A5E55" w:rsidP="000A5389">
            <w:pPr>
              <w:spacing w:line="240" w:lineRule="auto"/>
              <w:jc w:val="right"/>
              <w:rPr>
                <w:rFonts w:eastAsia="Times New Roman" w:cs="Times New Roman"/>
                <w:color w:val="000000"/>
                <w:kern w:val="0"/>
                <w:sz w:val="16"/>
                <w:szCs w:val="16"/>
                <w:lang w:eastAsia="es-CO"/>
                <w14:ligatures w14:val="none"/>
              </w:rPr>
            </w:pPr>
            <w:r w:rsidRPr="00951AB1">
              <w:rPr>
                <w:rFonts w:eastAsia="Times New Roman" w:cs="Times New Roman"/>
                <w:color w:val="000000"/>
                <w:kern w:val="0"/>
                <w:sz w:val="16"/>
                <w:szCs w:val="16"/>
                <w:lang w:eastAsia="es-CO"/>
                <w14:ligatures w14:val="none"/>
              </w:rPr>
              <w:t>16.873.649.326</w:t>
            </w:r>
          </w:p>
        </w:tc>
        <w:tc>
          <w:tcPr>
            <w:tcW w:w="1025" w:type="pct"/>
            <w:noWrap/>
            <w:vAlign w:val="center"/>
            <w:hideMark/>
          </w:tcPr>
          <w:p w14:paraId="1B486190" w14:textId="77777777" w:rsidR="001A5E55" w:rsidRPr="00951AB1" w:rsidRDefault="001A5E55" w:rsidP="000A5389">
            <w:pPr>
              <w:spacing w:line="240" w:lineRule="auto"/>
              <w:jc w:val="right"/>
              <w:rPr>
                <w:rFonts w:eastAsia="Times New Roman" w:cs="Times New Roman"/>
                <w:color w:val="000000"/>
                <w:kern w:val="0"/>
                <w:sz w:val="16"/>
                <w:szCs w:val="16"/>
                <w:lang w:eastAsia="es-CO"/>
                <w14:ligatures w14:val="none"/>
              </w:rPr>
            </w:pPr>
            <w:r w:rsidRPr="00951AB1">
              <w:rPr>
                <w:rFonts w:eastAsia="Times New Roman" w:cs="Times New Roman"/>
                <w:color w:val="000000"/>
                <w:kern w:val="0"/>
                <w:sz w:val="16"/>
                <w:szCs w:val="16"/>
                <w:lang w:eastAsia="es-CO"/>
                <w14:ligatures w14:val="none"/>
              </w:rPr>
              <w:t>16.873.649.326</w:t>
            </w:r>
          </w:p>
        </w:tc>
        <w:tc>
          <w:tcPr>
            <w:tcW w:w="839" w:type="pct"/>
            <w:noWrap/>
            <w:vAlign w:val="center"/>
            <w:hideMark/>
          </w:tcPr>
          <w:p w14:paraId="42D39C64" w14:textId="77777777" w:rsidR="001A5E55" w:rsidRPr="00951AB1" w:rsidRDefault="001A5E55" w:rsidP="000A5389">
            <w:pPr>
              <w:spacing w:line="240" w:lineRule="auto"/>
              <w:jc w:val="right"/>
              <w:rPr>
                <w:rFonts w:eastAsia="Times New Roman" w:cs="Times New Roman"/>
                <w:color w:val="000000"/>
                <w:kern w:val="0"/>
                <w:sz w:val="16"/>
                <w:szCs w:val="16"/>
                <w:lang w:eastAsia="es-CO"/>
                <w14:ligatures w14:val="none"/>
              </w:rPr>
            </w:pPr>
            <w:r w:rsidRPr="00951AB1">
              <w:rPr>
                <w:rFonts w:eastAsia="Times New Roman" w:cs="Times New Roman"/>
                <w:color w:val="000000"/>
                <w:kern w:val="0"/>
                <w:sz w:val="16"/>
                <w:szCs w:val="16"/>
                <w:lang w:eastAsia="es-CO"/>
                <w14:ligatures w14:val="none"/>
              </w:rPr>
              <w:t>0</w:t>
            </w:r>
          </w:p>
        </w:tc>
      </w:tr>
      <w:tr w:rsidR="00B44D10" w:rsidRPr="00951AB1" w14:paraId="368E2EC1" w14:textId="77777777" w:rsidTr="0071107B">
        <w:trPr>
          <w:trHeight w:val="293"/>
        </w:trPr>
        <w:tc>
          <w:tcPr>
            <w:tcW w:w="544" w:type="pct"/>
            <w:vAlign w:val="center"/>
            <w:hideMark/>
          </w:tcPr>
          <w:p w14:paraId="2C4B3D09" w14:textId="77777777" w:rsidR="001A5E55" w:rsidRPr="00951AB1" w:rsidRDefault="001A5E55" w:rsidP="000A5389">
            <w:pPr>
              <w:spacing w:line="240" w:lineRule="auto"/>
              <w:jc w:val="right"/>
              <w:rPr>
                <w:rFonts w:eastAsia="Times New Roman" w:cs="Times New Roman"/>
                <w:color w:val="000000"/>
                <w:kern w:val="0"/>
                <w:sz w:val="16"/>
                <w:szCs w:val="16"/>
                <w:lang w:eastAsia="es-CO"/>
                <w14:ligatures w14:val="none"/>
              </w:rPr>
            </w:pPr>
            <w:r w:rsidRPr="00951AB1">
              <w:rPr>
                <w:rFonts w:eastAsia="Times New Roman" w:cs="Times New Roman"/>
                <w:color w:val="000000"/>
                <w:kern w:val="0"/>
                <w:sz w:val="16"/>
                <w:szCs w:val="16"/>
                <w:lang w:eastAsia="es-CO"/>
                <w14:ligatures w14:val="none"/>
              </w:rPr>
              <w:t>900373783</w:t>
            </w:r>
          </w:p>
        </w:tc>
        <w:tc>
          <w:tcPr>
            <w:tcW w:w="1512" w:type="pct"/>
            <w:vAlign w:val="center"/>
            <w:hideMark/>
          </w:tcPr>
          <w:p w14:paraId="5D71536A" w14:textId="77777777" w:rsidR="001A5E55" w:rsidRPr="00951AB1" w:rsidRDefault="001A5E55" w:rsidP="000A5389">
            <w:pPr>
              <w:spacing w:line="240" w:lineRule="auto"/>
              <w:rPr>
                <w:rFonts w:eastAsia="Times New Roman" w:cs="Times New Roman"/>
                <w:color w:val="000000"/>
                <w:kern w:val="0"/>
                <w:sz w:val="16"/>
                <w:szCs w:val="16"/>
                <w:lang w:eastAsia="es-CO"/>
                <w14:ligatures w14:val="none"/>
              </w:rPr>
            </w:pPr>
            <w:r w:rsidRPr="00951AB1">
              <w:rPr>
                <w:rFonts w:eastAsia="Times New Roman" w:cs="Times New Roman"/>
                <w:color w:val="000000"/>
                <w:kern w:val="0"/>
                <w:sz w:val="16"/>
                <w:szCs w:val="16"/>
                <w:lang w:eastAsia="es-CO"/>
                <w14:ligatures w14:val="none"/>
              </w:rPr>
              <w:t>Vías de las Américas S.A.S.</w:t>
            </w:r>
          </w:p>
        </w:tc>
        <w:tc>
          <w:tcPr>
            <w:tcW w:w="1081" w:type="pct"/>
            <w:noWrap/>
            <w:vAlign w:val="center"/>
            <w:hideMark/>
          </w:tcPr>
          <w:p w14:paraId="5F99FED8" w14:textId="77777777" w:rsidR="001A5E55" w:rsidRPr="00951AB1" w:rsidRDefault="001A5E55" w:rsidP="000A5389">
            <w:pPr>
              <w:spacing w:line="240" w:lineRule="auto"/>
              <w:jc w:val="right"/>
              <w:rPr>
                <w:rFonts w:eastAsia="Times New Roman" w:cs="Times New Roman"/>
                <w:color w:val="000000"/>
                <w:kern w:val="0"/>
                <w:sz w:val="16"/>
                <w:szCs w:val="16"/>
                <w:lang w:eastAsia="es-CO"/>
                <w14:ligatures w14:val="none"/>
              </w:rPr>
            </w:pPr>
            <w:r w:rsidRPr="00951AB1">
              <w:rPr>
                <w:rFonts w:eastAsia="Times New Roman" w:cs="Times New Roman"/>
                <w:color w:val="000000"/>
                <w:kern w:val="0"/>
                <w:sz w:val="16"/>
                <w:szCs w:val="16"/>
                <w:lang w:eastAsia="es-CO"/>
                <w14:ligatures w14:val="none"/>
              </w:rPr>
              <w:t>11.959.071.018</w:t>
            </w:r>
          </w:p>
        </w:tc>
        <w:tc>
          <w:tcPr>
            <w:tcW w:w="1025" w:type="pct"/>
            <w:noWrap/>
            <w:vAlign w:val="center"/>
            <w:hideMark/>
          </w:tcPr>
          <w:p w14:paraId="31D28F8B" w14:textId="77777777" w:rsidR="001A5E55" w:rsidRPr="00951AB1" w:rsidRDefault="001A5E55" w:rsidP="000A5389">
            <w:pPr>
              <w:spacing w:line="240" w:lineRule="auto"/>
              <w:jc w:val="right"/>
              <w:rPr>
                <w:rFonts w:eastAsia="Times New Roman" w:cs="Times New Roman"/>
                <w:color w:val="000000"/>
                <w:kern w:val="0"/>
                <w:sz w:val="16"/>
                <w:szCs w:val="16"/>
                <w:lang w:eastAsia="es-CO"/>
                <w14:ligatures w14:val="none"/>
              </w:rPr>
            </w:pPr>
            <w:r w:rsidRPr="00951AB1">
              <w:rPr>
                <w:rFonts w:eastAsia="Times New Roman" w:cs="Times New Roman"/>
                <w:color w:val="000000"/>
                <w:kern w:val="0"/>
                <w:sz w:val="16"/>
                <w:szCs w:val="16"/>
                <w:lang w:eastAsia="es-CO"/>
                <w14:ligatures w14:val="none"/>
              </w:rPr>
              <w:t>11.959.071.018</w:t>
            </w:r>
          </w:p>
        </w:tc>
        <w:tc>
          <w:tcPr>
            <w:tcW w:w="839" w:type="pct"/>
            <w:noWrap/>
            <w:vAlign w:val="center"/>
            <w:hideMark/>
          </w:tcPr>
          <w:p w14:paraId="75D990A0" w14:textId="77777777" w:rsidR="001A5E55" w:rsidRPr="00951AB1" w:rsidRDefault="001A5E55" w:rsidP="000A5389">
            <w:pPr>
              <w:spacing w:line="240" w:lineRule="auto"/>
              <w:jc w:val="right"/>
              <w:rPr>
                <w:rFonts w:eastAsia="Times New Roman" w:cs="Times New Roman"/>
                <w:color w:val="000000"/>
                <w:kern w:val="0"/>
                <w:sz w:val="16"/>
                <w:szCs w:val="16"/>
                <w:lang w:eastAsia="es-CO"/>
                <w14:ligatures w14:val="none"/>
              </w:rPr>
            </w:pPr>
            <w:r w:rsidRPr="00951AB1">
              <w:rPr>
                <w:rFonts w:eastAsia="Times New Roman" w:cs="Times New Roman"/>
                <w:color w:val="000000"/>
                <w:kern w:val="0"/>
                <w:sz w:val="16"/>
                <w:szCs w:val="16"/>
                <w:lang w:eastAsia="es-CO"/>
                <w14:ligatures w14:val="none"/>
              </w:rPr>
              <w:t>0</w:t>
            </w:r>
          </w:p>
        </w:tc>
      </w:tr>
      <w:tr w:rsidR="00B44D10" w:rsidRPr="00951AB1" w14:paraId="04529485" w14:textId="77777777" w:rsidTr="0071107B">
        <w:trPr>
          <w:trHeight w:val="293"/>
        </w:trPr>
        <w:tc>
          <w:tcPr>
            <w:tcW w:w="544" w:type="pct"/>
            <w:vAlign w:val="center"/>
            <w:hideMark/>
          </w:tcPr>
          <w:p w14:paraId="07A479DC" w14:textId="77777777" w:rsidR="001A5E55" w:rsidRPr="00951AB1" w:rsidRDefault="001A5E55" w:rsidP="000A5389">
            <w:pPr>
              <w:spacing w:line="240" w:lineRule="auto"/>
              <w:jc w:val="right"/>
              <w:rPr>
                <w:rFonts w:eastAsia="Times New Roman" w:cs="Times New Roman"/>
                <w:color w:val="000000"/>
                <w:kern w:val="0"/>
                <w:sz w:val="16"/>
                <w:szCs w:val="16"/>
                <w:lang w:eastAsia="es-CO"/>
                <w14:ligatures w14:val="none"/>
              </w:rPr>
            </w:pPr>
            <w:r w:rsidRPr="00951AB1">
              <w:rPr>
                <w:rFonts w:eastAsia="Times New Roman" w:cs="Times New Roman"/>
                <w:color w:val="000000"/>
                <w:kern w:val="0"/>
                <w:sz w:val="16"/>
                <w:szCs w:val="16"/>
                <w:lang w:eastAsia="es-CO"/>
                <w14:ligatures w14:val="none"/>
              </w:rPr>
              <w:t>830025490</w:t>
            </w:r>
          </w:p>
        </w:tc>
        <w:tc>
          <w:tcPr>
            <w:tcW w:w="1512" w:type="pct"/>
            <w:vAlign w:val="center"/>
            <w:hideMark/>
          </w:tcPr>
          <w:p w14:paraId="4BE394EF" w14:textId="77777777" w:rsidR="001A5E55" w:rsidRPr="00951AB1" w:rsidRDefault="001A5E55" w:rsidP="000A5389">
            <w:pPr>
              <w:spacing w:line="240" w:lineRule="auto"/>
              <w:rPr>
                <w:rFonts w:eastAsia="Times New Roman" w:cs="Times New Roman"/>
                <w:color w:val="000000"/>
                <w:kern w:val="0"/>
                <w:sz w:val="16"/>
                <w:szCs w:val="16"/>
                <w:lang w:eastAsia="es-CO"/>
                <w14:ligatures w14:val="none"/>
              </w:rPr>
            </w:pPr>
            <w:r w:rsidRPr="00951AB1">
              <w:rPr>
                <w:rFonts w:eastAsia="Times New Roman" w:cs="Times New Roman"/>
                <w:color w:val="000000"/>
                <w:kern w:val="0"/>
                <w:sz w:val="16"/>
                <w:szCs w:val="16"/>
                <w:lang w:eastAsia="es-CO"/>
                <w14:ligatures w14:val="none"/>
              </w:rPr>
              <w:t>Autopistas del Café S.A.</w:t>
            </w:r>
          </w:p>
        </w:tc>
        <w:tc>
          <w:tcPr>
            <w:tcW w:w="1081" w:type="pct"/>
            <w:vAlign w:val="center"/>
            <w:hideMark/>
          </w:tcPr>
          <w:p w14:paraId="74D56E83" w14:textId="77777777" w:rsidR="001A5E55" w:rsidRPr="00951AB1" w:rsidRDefault="001A5E55" w:rsidP="000A5389">
            <w:pPr>
              <w:spacing w:line="240" w:lineRule="auto"/>
              <w:jc w:val="right"/>
              <w:rPr>
                <w:rFonts w:eastAsia="Times New Roman" w:cs="Times New Roman"/>
                <w:color w:val="000000"/>
                <w:kern w:val="0"/>
                <w:sz w:val="16"/>
                <w:szCs w:val="16"/>
                <w:lang w:eastAsia="es-CO"/>
                <w14:ligatures w14:val="none"/>
              </w:rPr>
            </w:pPr>
            <w:r w:rsidRPr="00951AB1">
              <w:rPr>
                <w:rFonts w:eastAsia="Times New Roman" w:cs="Times New Roman"/>
                <w:color w:val="000000"/>
                <w:kern w:val="0"/>
                <w:sz w:val="16"/>
                <w:szCs w:val="16"/>
                <w:lang w:eastAsia="es-CO"/>
                <w14:ligatures w14:val="none"/>
              </w:rPr>
              <w:t>6.205.615.853</w:t>
            </w:r>
          </w:p>
        </w:tc>
        <w:tc>
          <w:tcPr>
            <w:tcW w:w="1025" w:type="pct"/>
            <w:noWrap/>
            <w:vAlign w:val="center"/>
            <w:hideMark/>
          </w:tcPr>
          <w:p w14:paraId="3AFD81B0" w14:textId="77777777" w:rsidR="001A5E55" w:rsidRPr="00951AB1" w:rsidRDefault="001A5E55" w:rsidP="000A5389">
            <w:pPr>
              <w:spacing w:line="240" w:lineRule="auto"/>
              <w:jc w:val="right"/>
              <w:rPr>
                <w:rFonts w:eastAsia="Times New Roman" w:cs="Times New Roman"/>
                <w:color w:val="000000"/>
                <w:kern w:val="0"/>
                <w:sz w:val="16"/>
                <w:szCs w:val="16"/>
                <w:lang w:eastAsia="es-CO"/>
                <w14:ligatures w14:val="none"/>
              </w:rPr>
            </w:pPr>
            <w:r w:rsidRPr="00951AB1">
              <w:rPr>
                <w:rFonts w:eastAsia="Times New Roman" w:cs="Times New Roman"/>
                <w:color w:val="000000"/>
                <w:kern w:val="0"/>
                <w:sz w:val="16"/>
                <w:szCs w:val="16"/>
                <w:lang w:eastAsia="es-CO"/>
                <w14:ligatures w14:val="none"/>
              </w:rPr>
              <w:t>11.126.874.537</w:t>
            </w:r>
          </w:p>
        </w:tc>
        <w:tc>
          <w:tcPr>
            <w:tcW w:w="839" w:type="pct"/>
            <w:noWrap/>
            <w:vAlign w:val="center"/>
            <w:hideMark/>
          </w:tcPr>
          <w:p w14:paraId="2A651E92" w14:textId="77777777" w:rsidR="001A5E55" w:rsidRPr="00951AB1" w:rsidRDefault="001A5E55" w:rsidP="000A5389">
            <w:pPr>
              <w:spacing w:line="240" w:lineRule="auto"/>
              <w:jc w:val="right"/>
              <w:rPr>
                <w:rFonts w:eastAsia="Times New Roman" w:cs="Times New Roman"/>
                <w:color w:val="000000"/>
                <w:kern w:val="0"/>
                <w:sz w:val="16"/>
                <w:szCs w:val="16"/>
                <w:lang w:eastAsia="es-CO"/>
                <w14:ligatures w14:val="none"/>
              </w:rPr>
            </w:pPr>
            <w:r w:rsidRPr="00951AB1">
              <w:rPr>
                <w:rFonts w:eastAsia="Times New Roman" w:cs="Times New Roman"/>
                <w:color w:val="000000"/>
                <w:kern w:val="0"/>
                <w:sz w:val="16"/>
                <w:szCs w:val="16"/>
                <w:lang w:eastAsia="es-CO"/>
                <w14:ligatures w14:val="none"/>
              </w:rPr>
              <w:t>-4.921.258.684</w:t>
            </w:r>
          </w:p>
        </w:tc>
      </w:tr>
      <w:tr w:rsidR="00B44D10" w:rsidRPr="00951AB1" w14:paraId="47267479" w14:textId="77777777" w:rsidTr="0071107B">
        <w:trPr>
          <w:trHeight w:val="293"/>
        </w:trPr>
        <w:tc>
          <w:tcPr>
            <w:tcW w:w="544" w:type="pct"/>
            <w:vAlign w:val="center"/>
            <w:hideMark/>
          </w:tcPr>
          <w:p w14:paraId="6F185EBF" w14:textId="77777777" w:rsidR="001A5E55" w:rsidRPr="00951AB1" w:rsidRDefault="001A5E55" w:rsidP="000A5389">
            <w:pPr>
              <w:spacing w:line="240" w:lineRule="auto"/>
              <w:jc w:val="right"/>
              <w:rPr>
                <w:rFonts w:eastAsia="Times New Roman" w:cs="Times New Roman"/>
                <w:color w:val="000000"/>
                <w:kern w:val="0"/>
                <w:sz w:val="16"/>
                <w:szCs w:val="16"/>
                <w:lang w:eastAsia="es-CO"/>
                <w14:ligatures w14:val="none"/>
              </w:rPr>
            </w:pPr>
            <w:r w:rsidRPr="00951AB1">
              <w:rPr>
                <w:rFonts w:eastAsia="Times New Roman" w:cs="Times New Roman"/>
                <w:color w:val="000000"/>
                <w:kern w:val="0"/>
                <w:sz w:val="16"/>
                <w:szCs w:val="16"/>
                <w:lang w:eastAsia="es-CO"/>
                <w14:ligatures w14:val="none"/>
              </w:rPr>
              <w:t>811005050</w:t>
            </w:r>
          </w:p>
        </w:tc>
        <w:tc>
          <w:tcPr>
            <w:tcW w:w="1512" w:type="pct"/>
            <w:noWrap/>
            <w:vAlign w:val="center"/>
            <w:hideMark/>
          </w:tcPr>
          <w:p w14:paraId="14F7BA94" w14:textId="77777777" w:rsidR="001A5E55" w:rsidRPr="00951AB1" w:rsidRDefault="001A5E55" w:rsidP="000A5389">
            <w:pPr>
              <w:spacing w:line="240" w:lineRule="auto"/>
              <w:rPr>
                <w:rFonts w:eastAsia="Times New Roman" w:cs="Times New Roman"/>
                <w:color w:val="000000"/>
                <w:kern w:val="0"/>
                <w:sz w:val="16"/>
                <w:szCs w:val="16"/>
                <w:lang w:eastAsia="es-CO"/>
                <w14:ligatures w14:val="none"/>
              </w:rPr>
            </w:pPr>
            <w:r w:rsidRPr="00951AB1">
              <w:rPr>
                <w:rFonts w:eastAsia="Times New Roman" w:cs="Times New Roman"/>
                <w:color w:val="000000"/>
                <w:kern w:val="0"/>
                <w:sz w:val="16"/>
                <w:szCs w:val="16"/>
                <w:lang w:eastAsia="es-CO"/>
                <w14:ligatures w14:val="none"/>
              </w:rPr>
              <w:t>Devimed S.A.</w:t>
            </w:r>
          </w:p>
        </w:tc>
        <w:tc>
          <w:tcPr>
            <w:tcW w:w="1081" w:type="pct"/>
            <w:vAlign w:val="center"/>
            <w:hideMark/>
          </w:tcPr>
          <w:p w14:paraId="7EBD7689" w14:textId="77777777" w:rsidR="001A5E55" w:rsidRPr="00951AB1" w:rsidRDefault="001A5E55" w:rsidP="000A5389">
            <w:pPr>
              <w:spacing w:line="240" w:lineRule="auto"/>
              <w:jc w:val="right"/>
              <w:rPr>
                <w:rFonts w:eastAsia="Times New Roman" w:cs="Times New Roman"/>
                <w:color w:val="000000"/>
                <w:kern w:val="0"/>
                <w:sz w:val="16"/>
                <w:szCs w:val="16"/>
                <w:lang w:eastAsia="es-CO"/>
                <w14:ligatures w14:val="none"/>
              </w:rPr>
            </w:pPr>
            <w:r w:rsidRPr="00951AB1">
              <w:rPr>
                <w:rFonts w:eastAsia="Times New Roman" w:cs="Times New Roman"/>
                <w:color w:val="000000"/>
                <w:kern w:val="0"/>
                <w:sz w:val="16"/>
                <w:szCs w:val="16"/>
                <w:lang w:eastAsia="es-CO"/>
                <w14:ligatures w14:val="none"/>
              </w:rPr>
              <w:t>905.647.889</w:t>
            </w:r>
          </w:p>
        </w:tc>
        <w:tc>
          <w:tcPr>
            <w:tcW w:w="1025" w:type="pct"/>
            <w:noWrap/>
            <w:vAlign w:val="center"/>
            <w:hideMark/>
          </w:tcPr>
          <w:p w14:paraId="45795D81" w14:textId="77777777" w:rsidR="001A5E55" w:rsidRPr="00951AB1" w:rsidRDefault="001A5E55" w:rsidP="000A5389">
            <w:pPr>
              <w:spacing w:line="240" w:lineRule="auto"/>
              <w:jc w:val="right"/>
              <w:rPr>
                <w:rFonts w:eastAsia="Times New Roman" w:cs="Times New Roman"/>
                <w:color w:val="000000"/>
                <w:kern w:val="0"/>
                <w:sz w:val="16"/>
                <w:szCs w:val="16"/>
                <w:lang w:eastAsia="es-CO"/>
                <w14:ligatures w14:val="none"/>
              </w:rPr>
            </w:pPr>
            <w:r w:rsidRPr="00951AB1">
              <w:rPr>
                <w:rFonts w:eastAsia="Times New Roman" w:cs="Times New Roman"/>
                <w:color w:val="000000"/>
                <w:kern w:val="0"/>
                <w:sz w:val="16"/>
                <w:szCs w:val="16"/>
                <w:lang w:eastAsia="es-CO"/>
                <w14:ligatures w14:val="none"/>
              </w:rPr>
              <w:t>906.438.690</w:t>
            </w:r>
          </w:p>
        </w:tc>
        <w:tc>
          <w:tcPr>
            <w:tcW w:w="839" w:type="pct"/>
            <w:noWrap/>
            <w:vAlign w:val="center"/>
            <w:hideMark/>
          </w:tcPr>
          <w:p w14:paraId="5C0501E4" w14:textId="77777777" w:rsidR="001A5E55" w:rsidRPr="00951AB1" w:rsidRDefault="001A5E55" w:rsidP="000A5389">
            <w:pPr>
              <w:spacing w:line="240" w:lineRule="auto"/>
              <w:jc w:val="right"/>
              <w:rPr>
                <w:rFonts w:eastAsia="Times New Roman" w:cs="Times New Roman"/>
                <w:color w:val="000000"/>
                <w:kern w:val="0"/>
                <w:sz w:val="16"/>
                <w:szCs w:val="16"/>
                <w:lang w:eastAsia="es-CO"/>
                <w14:ligatures w14:val="none"/>
              </w:rPr>
            </w:pPr>
            <w:r w:rsidRPr="00951AB1">
              <w:rPr>
                <w:rFonts w:eastAsia="Times New Roman" w:cs="Times New Roman"/>
                <w:color w:val="000000"/>
                <w:kern w:val="0"/>
                <w:sz w:val="16"/>
                <w:szCs w:val="16"/>
                <w:lang w:eastAsia="es-CO"/>
                <w14:ligatures w14:val="none"/>
              </w:rPr>
              <w:t>-790.801</w:t>
            </w:r>
          </w:p>
        </w:tc>
      </w:tr>
      <w:tr w:rsidR="00B44D10" w:rsidRPr="00951AB1" w14:paraId="7D22A874" w14:textId="77777777" w:rsidTr="0071107B">
        <w:trPr>
          <w:trHeight w:val="293"/>
        </w:trPr>
        <w:tc>
          <w:tcPr>
            <w:tcW w:w="544" w:type="pct"/>
            <w:noWrap/>
            <w:vAlign w:val="center"/>
            <w:hideMark/>
          </w:tcPr>
          <w:p w14:paraId="294F2E55" w14:textId="77777777" w:rsidR="001A5E55" w:rsidRPr="00951AB1" w:rsidRDefault="001A5E55" w:rsidP="000A5389">
            <w:pPr>
              <w:spacing w:line="240" w:lineRule="auto"/>
              <w:jc w:val="right"/>
              <w:rPr>
                <w:rFonts w:eastAsia="Times New Roman" w:cs="Times New Roman"/>
                <w:color w:val="000000"/>
                <w:kern w:val="0"/>
                <w:sz w:val="16"/>
                <w:szCs w:val="16"/>
                <w:lang w:eastAsia="es-CO"/>
                <w14:ligatures w14:val="none"/>
              </w:rPr>
            </w:pPr>
            <w:r w:rsidRPr="00951AB1">
              <w:rPr>
                <w:rFonts w:eastAsia="Times New Roman" w:cs="Times New Roman"/>
                <w:color w:val="000000"/>
                <w:kern w:val="0"/>
                <w:sz w:val="16"/>
                <w:szCs w:val="16"/>
                <w:lang w:eastAsia="es-CO"/>
                <w14:ligatures w14:val="none"/>
              </w:rPr>
              <w:t>900162704</w:t>
            </w:r>
          </w:p>
        </w:tc>
        <w:tc>
          <w:tcPr>
            <w:tcW w:w="1512" w:type="pct"/>
            <w:noWrap/>
            <w:vAlign w:val="center"/>
            <w:hideMark/>
          </w:tcPr>
          <w:p w14:paraId="5DB14DB1" w14:textId="77777777" w:rsidR="001A5E55" w:rsidRPr="00951AB1" w:rsidRDefault="001A5E55" w:rsidP="000A5389">
            <w:pPr>
              <w:spacing w:line="240" w:lineRule="auto"/>
              <w:rPr>
                <w:rFonts w:eastAsia="Times New Roman" w:cs="Times New Roman"/>
                <w:color w:val="000000"/>
                <w:kern w:val="0"/>
                <w:sz w:val="16"/>
                <w:szCs w:val="16"/>
                <w:lang w:eastAsia="es-CO"/>
                <w14:ligatures w14:val="none"/>
              </w:rPr>
            </w:pPr>
            <w:r w:rsidRPr="00951AB1">
              <w:rPr>
                <w:rFonts w:eastAsia="Times New Roman" w:cs="Times New Roman"/>
                <w:color w:val="000000"/>
                <w:kern w:val="0"/>
                <w:sz w:val="16"/>
                <w:szCs w:val="16"/>
                <w:lang w:eastAsia="es-CO"/>
                <w14:ligatures w14:val="none"/>
              </w:rPr>
              <w:t>Concesionaria San Simón S A</w:t>
            </w:r>
          </w:p>
        </w:tc>
        <w:tc>
          <w:tcPr>
            <w:tcW w:w="1081" w:type="pct"/>
            <w:vAlign w:val="center"/>
            <w:hideMark/>
          </w:tcPr>
          <w:p w14:paraId="75FE5ED5" w14:textId="77777777" w:rsidR="001A5E55" w:rsidRPr="00951AB1" w:rsidRDefault="001A5E55" w:rsidP="000A5389">
            <w:pPr>
              <w:spacing w:line="240" w:lineRule="auto"/>
              <w:jc w:val="right"/>
              <w:rPr>
                <w:rFonts w:eastAsia="Times New Roman" w:cs="Times New Roman"/>
                <w:color w:val="000000"/>
                <w:kern w:val="0"/>
                <w:sz w:val="16"/>
                <w:szCs w:val="16"/>
                <w:lang w:eastAsia="es-CO"/>
                <w14:ligatures w14:val="none"/>
              </w:rPr>
            </w:pPr>
            <w:r w:rsidRPr="00951AB1">
              <w:rPr>
                <w:rFonts w:eastAsia="Times New Roman" w:cs="Times New Roman"/>
                <w:color w:val="000000"/>
                <w:kern w:val="0"/>
                <w:sz w:val="16"/>
                <w:szCs w:val="16"/>
                <w:lang w:eastAsia="es-CO"/>
                <w14:ligatures w14:val="none"/>
              </w:rPr>
              <w:t>0</w:t>
            </w:r>
          </w:p>
        </w:tc>
        <w:tc>
          <w:tcPr>
            <w:tcW w:w="1025" w:type="pct"/>
            <w:noWrap/>
            <w:vAlign w:val="center"/>
            <w:hideMark/>
          </w:tcPr>
          <w:p w14:paraId="3A8901EC" w14:textId="77777777" w:rsidR="001A5E55" w:rsidRPr="00951AB1" w:rsidRDefault="001A5E55" w:rsidP="000A5389">
            <w:pPr>
              <w:spacing w:line="240" w:lineRule="auto"/>
              <w:jc w:val="right"/>
              <w:rPr>
                <w:rFonts w:eastAsia="Times New Roman" w:cs="Times New Roman"/>
                <w:color w:val="000000"/>
                <w:kern w:val="0"/>
                <w:sz w:val="16"/>
                <w:szCs w:val="16"/>
                <w:lang w:eastAsia="es-CO"/>
                <w14:ligatures w14:val="none"/>
              </w:rPr>
            </w:pPr>
            <w:r w:rsidRPr="00951AB1">
              <w:rPr>
                <w:rFonts w:eastAsia="Times New Roman" w:cs="Times New Roman"/>
                <w:color w:val="000000"/>
                <w:kern w:val="0"/>
                <w:sz w:val="16"/>
                <w:szCs w:val="16"/>
                <w:lang w:eastAsia="es-CO"/>
                <w14:ligatures w14:val="none"/>
              </w:rPr>
              <w:t>127.193.721.639</w:t>
            </w:r>
          </w:p>
        </w:tc>
        <w:tc>
          <w:tcPr>
            <w:tcW w:w="839" w:type="pct"/>
            <w:noWrap/>
            <w:vAlign w:val="center"/>
            <w:hideMark/>
          </w:tcPr>
          <w:p w14:paraId="351B8DFB" w14:textId="77777777" w:rsidR="001A5E55" w:rsidRPr="00951AB1" w:rsidRDefault="001A5E55" w:rsidP="000A5389">
            <w:pPr>
              <w:spacing w:line="240" w:lineRule="auto"/>
              <w:jc w:val="right"/>
              <w:rPr>
                <w:rFonts w:eastAsia="Times New Roman" w:cs="Times New Roman"/>
                <w:color w:val="000000"/>
                <w:kern w:val="0"/>
                <w:sz w:val="16"/>
                <w:szCs w:val="16"/>
                <w:lang w:eastAsia="es-CO"/>
                <w14:ligatures w14:val="none"/>
              </w:rPr>
            </w:pPr>
            <w:r w:rsidRPr="00951AB1">
              <w:rPr>
                <w:rFonts w:eastAsia="Times New Roman" w:cs="Times New Roman"/>
                <w:color w:val="000000"/>
                <w:kern w:val="0"/>
                <w:sz w:val="16"/>
                <w:szCs w:val="16"/>
                <w:lang w:eastAsia="es-CO"/>
                <w14:ligatures w14:val="none"/>
              </w:rPr>
              <w:t>-127.193.721.639</w:t>
            </w:r>
          </w:p>
        </w:tc>
      </w:tr>
      <w:tr w:rsidR="00B44D10" w:rsidRPr="00951AB1" w14:paraId="4CC53D49" w14:textId="77777777" w:rsidTr="0071107B">
        <w:trPr>
          <w:trHeight w:val="293"/>
        </w:trPr>
        <w:tc>
          <w:tcPr>
            <w:tcW w:w="2055" w:type="pct"/>
            <w:gridSpan w:val="2"/>
            <w:vAlign w:val="center"/>
            <w:hideMark/>
          </w:tcPr>
          <w:p w14:paraId="35A554EA" w14:textId="77777777" w:rsidR="001A5E55" w:rsidRPr="00951AB1" w:rsidRDefault="001A5E55" w:rsidP="000A5389">
            <w:pPr>
              <w:spacing w:line="240" w:lineRule="auto"/>
              <w:jc w:val="center"/>
              <w:rPr>
                <w:rFonts w:eastAsia="Times New Roman" w:cs="Times New Roman"/>
                <w:color w:val="1F3864" w:themeColor="accent1" w:themeShade="80"/>
              </w:rPr>
            </w:pPr>
            <w:r w:rsidRPr="300BD6CC">
              <w:rPr>
                <w:rFonts w:eastAsiaTheme="majorEastAsia" w:cstheme="majorBidi"/>
                <w:b/>
                <w:color w:val="1F3864" w:themeColor="accent1" w:themeShade="80"/>
                <w:szCs w:val="24"/>
              </w:rPr>
              <w:t>TOTALES</w:t>
            </w:r>
          </w:p>
        </w:tc>
        <w:tc>
          <w:tcPr>
            <w:tcW w:w="1081" w:type="pct"/>
            <w:vAlign w:val="center"/>
            <w:hideMark/>
          </w:tcPr>
          <w:p w14:paraId="22B768B4" w14:textId="77777777" w:rsidR="001A5E55" w:rsidRPr="00951AB1" w:rsidRDefault="001A5E55" w:rsidP="000A5389">
            <w:pPr>
              <w:spacing w:line="240" w:lineRule="auto"/>
              <w:jc w:val="right"/>
              <w:rPr>
                <w:rFonts w:eastAsia="Times New Roman" w:cs="Times New Roman"/>
                <w:b/>
                <w:bCs/>
                <w:color w:val="000000"/>
                <w:kern w:val="0"/>
                <w:sz w:val="16"/>
                <w:szCs w:val="16"/>
                <w:lang w:eastAsia="es-CO"/>
                <w14:ligatures w14:val="none"/>
              </w:rPr>
            </w:pPr>
            <w:r w:rsidRPr="00951AB1">
              <w:rPr>
                <w:rFonts w:eastAsia="Times New Roman" w:cs="Times New Roman"/>
                <w:b/>
                <w:bCs/>
                <w:color w:val="000000"/>
                <w:kern w:val="0"/>
                <w:sz w:val="16"/>
                <w:szCs w:val="16"/>
                <w:lang w:eastAsia="es-CO"/>
                <w14:ligatures w14:val="none"/>
              </w:rPr>
              <w:t>23.508.685.658.224</w:t>
            </w:r>
          </w:p>
        </w:tc>
        <w:tc>
          <w:tcPr>
            <w:tcW w:w="1025" w:type="pct"/>
            <w:vAlign w:val="center"/>
            <w:hideMark/>
          </w:tcPr>
          <w:p w14:paraId="7138971B" w14:textId="77777777" w:rsidR="001A5E55" w:rsidRPr="00951AB1" w:rsidRDefault="001A5E55" w:rsidP="000A5389">
            <w:pPr>
              <w:spacing w:line="240" w:lineRule="auto"/>
              <w:jc w:val="right"/>
              <w:rPr>
                <w:rFonts w:eastAsia="Times New Roman" w:cs="Times New Roman"/>
                <w:b/>
                <w:bCs/>
                <w:color w:val="000000"/>
                <w:kern w:val="0"/>
                <w:sz w:val="16"/>
                <w:szCs w:val="16"/>
                <w:lang w:eastAsia="es-CO"/>
                <w14:ligatures w14:val="none"/>
              </w:rPr>
            </w:pPr>
            <w:r w:rsidRPr="00951AB1">
              <w:rPr>
                <w:rFonts w:eastAsia="Times New Roman" w:cs="Times New Roman"/>
                <w:b/>
                <w:bCs/>
                <w:color w:val="000000"/>
                <w:kern w:val="0"/>
                <w:sz w:val="16"/>
                <w:szCs w:val="16"/>
                <w:lang w:eastAsia="es-CO"/>
                <w14:ligatures w14:val="none"/>
              </w:rPr>
              <w:t>24.162.940.907.727</w:t>
            </w:r>
          </w:p>
        </w:tc>
        <w:tc>
          <w:tcPr>
            <w:tcW w:w="839" w:type="pct"/>
            <w:noWrap/>
            <w:vAlign w:val="center"/>
            <w:hideMark/>
          </w:tcPr>
          <w:p w14:paraId="2309DF38" w14:textId="77777777" w:rsidR="001A5E55" w:rsidRPr="00951AB1" w:rsidRDefault="001A5E55" w:rsidP="000A5389">
            <w:pPr>
              <w:spacing w:line="240" w:lineRule="auto"/>
              <w:jc w:val="right"/>
              <w:rPr>
                <w:rFonts w:eastAsia="Times New Roman" w:cs="Times New Roman"/>
                <w:b/>
                <w:bCs/>
                <w:color w:val="000000"/>
                <w:kern w:val="0"/>
                <w:sz w:val="16"/>
                <w:szCs w:val="16"/>
                <w:lang w:eastAsia="es-CO"/>
                <w14:ligatures w14:val="none"/>
              </w:rPr>
            </w:pPr>
            <w:r w:rsidRPr="00951AB1">
              <w:rPr>
                <w:rFonts w:eastAsia="Times New Roman" w:cs="Times New Roman"/>
                <w:b/>
                <w:bCs/>
                <w:color w:val="000000"/>
                <w:kern w:val="0"/>
                <w:sz w:val="16"/>
                <w:szCs w:val="16"/>
                <w:lang w:eastAsia="es-CO"/>
                <w14:ligatures w14:val="none"/>
              </w:rPr>
              <w:t>-654.255.249.503</w:t>
            </w:r>
          </w:p>
        </w:tc>
      </w:tr>
    </w:tbl>
    <w:p w14:paraId="4FC2C894" w14:textId="1FCB3C90" w:rsidR="00D50CAE" w:rsidRPr="00951AB1" w:rsidRDefault="00590B18" w:rsidP="000A5389">
      <w:pPr>
        <w:spacing w:line="240" w:lineRule="auto"/>
        <w:rPr>
          <w:rFonts w:eastAsia="Times New Roman" w:cs="Times New Roman"/>
          <w:sz w:val="14"/>
          <w:szCs w:val="14"/>
        </w:rPr>
      </w:pPr>
      <w:r>
        <w:rPr>
          <w:rFonts w:eastAsia="Times New Roman" w:cs="Times New Roman"/>
          <w:sz w:val="14"/>
          <w:szCs w:val="14"/>
        </w:rPr>
        <w:t>Cifras expresadas en pesos</w:t>
      </w:r>
    </w:p>
    <w:p w14:paraId="0B39C265" w14:textId="0C552EC6" w:rsidR="0550DA8C" w:rsidRPr="00951AB1" w:rsidRDefault="057E42F9" w:rsidP="000A5389">
      <w:pPr>
        <w:spacing w:line="240" w:lineRule="auto"/>
        <w:rPr>
          <w:rFonts w:eastAsia="Times New Roman" w:cs="Times New Roman"/>
          <w:color w:val="1F3864" w:themeColor="accent1" w:themeShade="80"/>
        </w:rPr>
      </w:pPr>
      <w:r w:rsidRPr="0CBA6BDC">
        <w:rPr>
          <w:rFonts w:cs="Times New Roman"/>
        </w:rPr>
        <w:t xml:space="preserve"> </w:t>
      </w:r>
    </w:p>
    <w:p w14:paraId="68128C48" w14:textId="53179609" w:rsidR="0550DA8C" w:rsidRPr="00951AB1" w:rsidRDefault="38754C7A" w:rsidP="000A5389">
      <w:pPr>
        <w:spacing w:line="240" w:lineRule="auto"/>
        <w:rPr>
          <w:rFonts w:eastAsia="Times New Roman" w:cs="Times New Roman"/>
          <w:b/>
          <w:color w:val="1F3864" w:themeColor="accent1" w:themeShade="80"/>
        </w:rPr>
      </w:pPr>
      <w:r w:rsidRPr="5EA10505">
        <w:rPr>
          <w:rFonts w:cs="Times New Roman"/>
          <w:b/>
          <w:bCs/>
        </w:rPr>
        <w:t>Financi</w:t>
      </w:r>
      <w:r w:rsidR="50E1E89B" w:rsidRPr="5EA10505">
        <w:rPr>
          <w:rFonts w:cs="Times New Roman"/>
          <w:b/>
          <w:bCs/>
        </w:rPr>
        <w:t>a</w:t>
      </w:r>
      <w:r w:rsidRPr="5EA10505">
        <w:rPr>
          <w:rFonts w:cs="Times New Roman"/>
          <w:b/>
          <w:bCs/>
        </w:rPr>
        <w:t>miento de largo plazo</w:t>
      </w:r>
    </w:p>
    <w:p w14:paraId="6C3B98E5" w14:textId="4AD501F3" w:rsidR="5EA10505" w:rsidRDefault="5EA10505" w:rsidP="000A5389">
      <w:pPr>
        <w:spacing w:line="240" w:lineRule="auto"/>
        <w:rPr>
          <w:rFonts w:cs="Times New Roman"/>
          <w:b/>
          <w:bCs/>
        </w:rPr>
      </w:pPr>
    </w:p>
    <w:p w14:paraId="48EE0FD3" w14:textId="5B28F81C" w:rsidR="7ADB33E6" w:rsidRDefault="7ADB33E6" w:rsidP="000A5389">
      <w:pPr>
        <w:spacing w:line="240" w:lineRule="auto"/>
        <w:rPr>
          <w:rFonts w:ascii="Times" w:eastAsia="Times" w:hAnsi="Times" w:cs="Times"/>
        </w:rPr>
      </w:pPr>
      <w:r w:rsidRPr="786E0D62">
        <w:rPr>
          <w:rFonts w:ascii="Times" w:eastAsia="Times" w:hAnsi="Times" w:cs="Times"/>
        </w:rPr>
        <w:t xml:space="preserve">El financiamiento interno de largo plazo para la vigencia 2025, </w:t>
      </w:r>
      <w:r w:rsidR="0A3FEAD0" w:rsidRPr="786E0D62">
        <w:rPr>
          <w:rFonts w:ascii="Times" w:eastAsia="Times" w:hAnsi="Times" w:cs="Times"/>
        </w:rPr>
        <w:t xml:space="preserve">en los Estados Financieros </w:t>
      </w:r>
      <w:r w:rsidRPr="786E0D62">
        <w:rPr>
          <w:rFonts w:ascii="Times" w:eastAsia="Times" w:hAnsi="Times" w:cs="Times"/>
        </w:rPr>
        <w:t>presenta una partida corriente de $57.940.921.575 y</w:t>
      </w:r>
      <w:r w:rsidR="002E333D">
        <w:rPr>
          <w:rFonts w:ascii="Times" w:eastAsia="Times" w:hAnsi="Times" w:cs="Times"/>
        </w:rPr>
        <w:t xml:space="preserve"> </w:t>
      </w:r>
      <w:r w:rsidRPr="786E0D62">
        <w:rPr>
          <w:rFonts w:ascii="Times" w:eastAsia="Times" w:hAnsi="Times" w:cs="Times"/>
        </w:rPr>
        <w:t>no corriente por $127.014.308.894.</w:t>
      </w:r>
    </w:p>
    <w:p w14:paraId="2B5330A6" w14:textId="08F48A9F" w:rsidR="001A5E55" w:rsidRPr="00951AB1" w:rsidRDefault="001A5E55" w:rsidP="000A5389">
      <w:pPr>
        <w:spacing w:line="240" w:lineRule="auto"/>
        <w:rPr>
          <w:rFonts w:eastAsia="Times New Roman" w:cs="Times New Roman"/>
          <w:szCs w:val="24"/>
        </w:rPr>
      </w:pPr>
      <w:r w:rsidRPr="5EA10505">
        <w:rPr>
          <w:rFonts w:eastAsiaTheme="minorEastAsia"/>
          <w:szCs w:val="24"/>
        </w:rPr>
        <w:t>La variación negativa por valor de $68.86</w:t>
      </w:r>
      <w:r w:rsidRPr="00951AB1">
        <w:rPr>
          <w:rFonts w:eastAsia="Times New Roman" w:cs="Times New Roman"/>
          <w:szCs w:val="24"/>
        </w:rPr>
        <w:t xml:space="preserve">3.221.381 corresponde a:  una disminución por valor de $106.742.138.967 por concepto del pago anual de las alícuotas pactadas en cada uno de los acuerdos  y que se efectúa con valor líquido cero teniendo como base  los lineamientos establecidos por el Ministerio de Hacienda y Crédito Público y en concordancia con la cuenta de cobro remitida;  y un incremento por valor de $37.878.917.586 por el registro del acuerdo de pago suscrito para cubrir la deuda de la Concesión Vías del Nus S.A.S. Trámite Arbitral 135526 del 7 de noviembre de 2023.  Este acuerdo de pago se cancelará en cuatro cuotas anuales, la primera se realizará en el año 2027. </w:t>
      </w:r>
    </w:p>
    <w:p w14:paraId="18818E82" w14:textId="45E9F664" w:rsidR="3FDC7772" w:rsidRPr="00951AB1" w:rsidRDefault="3FDC7772" w:rsidP="000A5389">
      <w:pPr>
        <w:spacing w:line="240" w:lineRule="auto"/>
        <w:rPr>
          <w:rFonts w:eastAsia="Times New Roman" w:cs="Times New Roman"/>
          <w:szCs w:val="24"/>
        </w:rPr>
      </w:pPr>
    </w:p>
    <w:p w14:paraId="54587AAD" w14:textId="6A76878C" w:rsidR="3FDC7772" w:rsidRDefault="3FDC7772" w:rsidP="000A5389">
      <w:pPr>
        <w:spacing w:line="240" w:lineRule="auto"/>
        <w:rPr>
          <w:rFonts w:eastAsia="Times New Roman" w:cs="Times New Roman"/>
          <w:szCs w:val="24"/>
        </w:rPr>
      </w:pPr>
      <w:r w:rsidRPr="00951AB1">
        <w:rPr>
          <w:rFonts w:eastAsia="Times New Roman" w:cs="Times New Roman"/>
          <w:szCs w:val="24"/>
        </w:rPr>
        <w:t xml:space="preserve">Estas operaciones que se celebran entre Ministerio de Hacienda y Crédito Público y la Agencia Nacional de Infraestructura se encuentran regladas específicamente en el artículo 2.8.6.3.1. del Decreto 1068 de 2015, parágrafo 2 que establece: “Cuando en desarrollo de lo previsto en esta artículo, el Ministerio de Hacienda y Crédito Público opte por reconocer como deuda pública de la Nación  las sentencias y conciliaciones judiciales  de los establecimientos públicos del orden nacional, estos celebrará acuerdos de pago en los cuales se establecerán los términos y condiciones para reintegrar a la Nación las sumas reconocidas a través de los bonos  previstos en esta capitulo”, y en la circular externa 07 de 1997, emitida por el Ministerio de Hacienda y Crédito Público. </w:t>
      </w:r>
    </w:p>
    <w:p w14:paraId="53B38877" w14:textId="77777777" w:rsidR="002E333D" w:rsidRPr="00951AB1" w:rsidRDefault="002E333D" w:rsidP="000A5389">
      <w:pPr>
        <w:spacing w:line="240" w:lineRule="auto"/>
        <w:rPr>
          <w:rFonts w:eastAsia="Times New Roman" w:cs="Times New Roman"/>
          <w:szCs w:val="24"/>
        </w:rPr>
      </w:pPr>
    </w:p>
    <w:p w14:paraId="280FCE3D" w14:textId="1302B8C1" w:rsidR="3FDC7772" w:rsidRPr="00951AB1" w:rsidRDefault="3FDC7772" w:rsidP="000A5389">
      <w:pPr>
        <w:spacing w:line="240" w:lineRule="auto"/>
        <w:rPr>
          <w:rFonts w:eastAsia="Times New Roman" w:cs="Times New Roman"/>
          <w:szCs w:val="24"/>
        </w:rPr>
      </w:pPr>
      <w:r w:rsidRPr="00951AB1">
        <w:rPr>
          <w:rFonts w:eastAsia="Times New Roman" w:cs="Times New Roman"/>
          <w:szCs w:val="24"/>
        </w:rPr>
        <w:lastRenderedPageBreak/>
        <w:t>Los préstamos del Gobierno General se miden por el valor recibido del Ministerio de Hacienda y Crédito Público – Deuda Pública Nación, en TES, los cuales son transferidos directamente a los concesionarios y, posteriormente, perfeccionados a través de acuerdos de pago entre el Ministerio y la Agencia.</w:t>
      </w:r>
      <w:r w:rsidR="001A5E55" w:rsidRPr="00951AB1">
        <w:rPr>
          <w:rFonts w:eastAsia="Times New Roman" w:cs="Times New Roman"/>
          <w:szCs w:val="24"/>
        </w:rPr>
        <w:t xml:space="preserve"> </w:t>
      </w:r>
    </w:p>
    <w:p w14:paraId="50620825" w14:textId="77777777" w:rsidR="002835F1" w:rsidRPr="00951AB1" w:rsidRDefault="002835F1" w:rsidP="000A5389">
      <w:pPr>
        <w:spacing w:line="240" w:lineRule="auto"/>
        <w:rPr>
          <w:rFonts w:eastAsia="Times New Roman" w:cs="Times New Roman"/>
          <w:szCs w:val="24"/>
        </w:rPr>
      </w:pPr>
    </w:p>
    <w:p w14:paraId="5E6702EB" w14:textId="77777777" w:rsidR="001A5E55" w:rsidRPr="00951AB1" w:rsidRDefault="001A5E55" w:rsidP="000A5389">
      <w:pPr>
        <w:spacing w:line="240" w:lineRule="auto"/>
        <w:rPr>
          <w:rFonts w:eastAsia="Times New Roman" w:cs="Times New Roman"/>
          <w:szCs w:val="24"/>
        </w:rPr>
      </w:pPr>
      <w:r w:rsidRPr="00951AB1">
        <w:rPr>
          <w:rFonts w:eastAsia="Times New Roman" w:cs="Times New Roman"/>
          <w:szCs w:val="24"/>
        </w:rPr>
        <w:t xml:space="preserve">Estos préstamos disminuyen con los pagos de las alícuotas establecidas en dichos acuerdos, con periodicidad anual, proceso que se realiza a través del aplicativo SIIF - Nación, mediante la funcionalidad de pago liquido cero.  </w:t>
      </w:r>
    </w:p>
    <w:p w14:paraId="6183E76B" w14:textId="2D2BEAA4" w:rsidR="3FDC7772" w:rsidRPr="00951AB1" w:rsidRDefault="001A5E55" w:rsidP="000A5389">
      <w:pPr>
        <w:spacing w:line="240" w:lineRule="auto"/>
        <w:rPr>
          <w:rFonts w:eastAsia="Times New Roman" w:cs="Times New Roman"/>
          <w:szCs w:val="24"/>
        </w:rPr>
      </w:pPr>
      <w:r w:rsidRPr="00951AB1">
        <w:rPr>
          <w:rFonts w:eastAsia="Times New Roman" w:cs="Times New Roman"/>
          <w:szCs w:val="24"/>
        </w:rPr>
        <w:t xml:space="preserve">  </w:t>
      </w:r>
    </w:p>
    <w:p w14:paraId="1CA664CD" w14:textId="3C81071C" w:rsidR="3FDC7772" w:rsidRPr="00951AB1" w:rsidRDefault="3FDC7772" w:rsidP="000A5389">
      <w:pPr>
        <w:spacing w:line="240" w:lineRule="auto"/>
        <w:rPr>
          <w:rFonts w:eastAsia="Times New Roman" w:cs="Times New Roman"/>
          <w:szCs w:val="24"/>
        </w:rPr>
      </w:pPr>
      <w:r w:rsidRPr="00951AB1">
        <w:rPr>
          <w:rFonts w:eastAsia="Times New Roman" w:cs="Times New Roman"/>
          <w:szCs w:val="24"/>
        </w:rPr>
        <w:t>De conformidad con lo previsto en la normatividad indicada, en los acuerdos de pago suscritos no existe cobro de intereses, toda vez que en la cláusula se establece la forma de pago donde se pacta un numero de cuotas por un valor exacto, que al multiplicarse corresponde con el valor reconocido como deuda; en tal sentido,  dado que los valores de la sumatoria de la alícuotas y el total de la deuda coinciden,  no hay lugar a cobro de intereses, costos de transacción, costos de negociación, tasa de interés y/o gastos por intereses.</w:t>
      </w:r>
      <w:r w:rsidR="001A5E55" w:rsidRPr="00951AB1">
        <w:rPr>
          <w:rFonts w:eastAsia="Times New Roman" w:cs="Times New Roman"/>
          <w:szCs w:val="24"/>
        </w:rPr>
        <w:t xml:space="preserve"> </w:t>
      </w:r>
    </w:p>
    <w:p w14:paraId="1F5CE393" w14:textId="77777777" w:rsidR="002835F1" w:rsidRPr="00951AB1" w:rsidRDefault="002835F1" w:rsidP="000A5389">
      <w:pPr>
        <w:spacing w:line="240" w:lineRule="auto"/>
        <w:rPr>
          <w:rFonts w:eastAsia="Times New Roman" w:cs="Times New Roman"/>
          <w:szCs w:val="24"/>
        </w:rPr>
      </w:pPr>
    </w:p>
    <w:p w14:paraId="2D20B13C" w14:textId="49933ADF" w:rsidR="001A5E55" w:rsidRPr="00951AB1" w:rsidRDefault="001A5E55" w:rsidP="000A5389">
      <w:pPr>
        <w:spacing w:line="240" w:lineRule="auto"/>
        <w:rPr>
          <w:rFonts w:eastAsia="Times New Roman" w:cs="Times New Roman"/>
          <w:szCs w:val="24"/>
        </w:rPr>
      </w:pPr>
      <w:r w:rsidRPr="00951AB1">
        <w:rPr>
          <w:rFonts w:eastAsia="Times New Roman" w:cs="Times New Roman"/>
          <w:szCs w:val="24"/>
        </w:rPr>
        <w:t xml:space="preserve">Las condiciones financieras, son informadas por el Ministerio de Hacienda a la ANI para la expedición de los Títulos de Tesorería - TES Clase B que serán emitidos para cancelar obligaciones surgidas de sentencias y conciliaciones judiciales en firme, estas condiciones  son utilizadas para negociar con el concesionario y de esta manera establecer el valor final requerido por el concesionario para cubrir las obligaciones pendientes, este mismo valor es solicitado para la expedición del acuerdo de pago. </w:t>
      </w:r>
    </w:p>
    <w:p w14:paraId="7B6171E4" w14:textId="3CFA8088" w:rsidR="3FDC7772" w:rsidRPr="00951AB1" w:rsidRDefault="001A5E55" w:rsidP="000A5389">
      <w:pPr>
        <w:spacing w:line="240" w:lineRule="auto"/>
        <w:rPr>
          <w:rFonts w:eastAsia="Times New Roman" w:cs="Times New Roman"/>
          <w:szCs w:val="24"/>
        </w:rPr>
      </w:pPr>
      <w:r w:rsidRPr="00951AB1">
        <w:rPr>
          <w:rFonts w:eastAsia="Times New Roman" w:cs="Times New Roman"/>
          <w:szCs w:val="24"/>
        </w:rPr>
        <w:t xml:space="preserve"> </w:t>
      </w:r>
      <w:r w:rsidR="3FDC7772" w:rsidRPr="00951AB1">
        <w:rPr>
          <w:rFonts w:eastAsia="Times New Roman" w:cs="Times New Roman"/>
          <w:szCs w:val="24"/>
        </w:rPr>
        <w:t xml:space="preserve"> </w:t>
      </w:r>
    </w:p>
    <w:p w14:paraId="204C90E3" w14:textId="4A9682AB" w:rsidR="3FDC7772" w:rsidRDefault="3FDC7772" w:rsidP="000A5389">
      <w:pPr>
        <w:spacing w:line="240" w:lineRule="auto"/>
        <w:rPr>
          <w:rFonts w:eastAsia="Times New Roman" w:cs="Times New Roman"/>
          <w:szCs w:val="24"/>
        </w:rPr>
      </w:pPr>
      <w:r w:rsidRPr="00951AB1">
        <w:rPr>
          <w:rFonts w:eastAsia="Times New Roman" w:cs="Times New Roman"/>
          <w:szCs w:val="24"/>
        </w:rPr>
        <w:t>A manera de ejemplo se indican las condiciones para el año 202</w:t>
      </w:r>
      <w:r w:rsidR="18AA0D5E" w:rsidRPr="00951AB1">
        <w:rPr>
          <w:rFonts w:eastAsia="Times New Roman" w:cs="Times New Roman"/>
          <w:szCs w:val="24"/>
        </w:rPr>
        <w:t>5</w:t>
      </w:r>
      <w:r w:rsidRPr="00951AB1">
        <w:rPr>
          <w:rFonts w:eastAsia="Times New Roman" w:cs="Times New Roman"/>
          <w:szCs w:val="24"/>
        </w:rPr>
        <w:t>:</w:t>
      </w:r>
      <w:r w:rsidR="001A5E55" w:rsidRPr="00951AB1">
        <w:rPr>
          <w:rFonts w:eastAsia="Times New Roman" w:cs="Times New Roman"/>
          <w:szCs w:val="24"/>
        </w:rPr>
        <w:t xml:space="preserve"> </w:t>
      </w:r>
      <w:r w:rsidRPr="00951AB1">
        <w:rPr>
          <w:rFonts w:eastAsia="Times New Roman" w:cs="Times New Roman"/>
          <w:szCs w:val="24"/>
        </w:rPr>
        <w:t xml:space="preserve"> </w:t>
      </w:r>
    </w:p>
    <w:p w14:paraId="7EE98FFF" w14:textId="77777777" w:rsidR="002E333D" w:rsidRPr="00951AB1" w:rsidRDefault="002E333D" w:rsidP="000A5389">
      <w:pPr>
        <w:spacing w:line="240" w:lineRule="auto"/>
        <w:rPr>
          <w:rFonts w:eastAsia="Times New Roman" w:cs="Times New Roman"/>
          <w:szCs w:val="24"/>
        </w:rPr>
      </w:pPr>
    </w:p>
    <w:p w14:paraId="18626AE6" w14:textId="7121C68F" w:rsidR="3FDC7772" w:rsidRPr="00951AB1" w:rsidRDefault="68A815A5" w:rsidP="000A5389">
      <w:pPr>
        <w:spacing w:line="240" w:lineRule="auto"/>
        <w:rPr>
          <w:rFonts w:eastAsia="Times New Roman" w:cs="Times New Roman"/>
          <w:szCs w:val="24"/>
        </w:rPr>
      </w:pPr>
      <w:r w:rsidRPr="00951AB1">
        <w:rPr>
          <w:rFonts w:eastAsia="Times New Roman" w:cs="Times New Roman"/>
          <w:szCs w:val="24"/>
        </w:rPr>
        <w:t>1.</w:t>
      </w:r>
      <w:r w:rsidR="3FDC7772" w:rsidRPr="00951AB1">
        <w:rPr>
          <w:rFonts w:eastAsia="Times New Roman" w:cs="Times New Roman"/>
          <w:szCs w:val="24"/>
        </w:rPr>
        <w:t>Tipo de Títulos: Títulos de Tesorería TES Clase B</w:t>
      </w:r>
      <w:r w:rsidR="001A5E55" w:rsidRPr="00951AB1">
        <w:rPr>
          <w:rFonts w:eastAsia="Times New Roman" w:cs="Times New Roman"/>
          <w:szCs w:val="24"/>
        </w:rPr>
        <w:t xml:space="preserve"> </w:t>
      </w:r>
    </w:p>
    <w:p w14:paraId="7B00A3FC" w14:textId="37CB3E08" w:rsidR="41287E55" w:rsidRPr="00951AB1" w:rsidRDefault="7B41A307" w:rsidP="000A5389">
      <w:pPr>
        <w:spacing w:line="240" w:lineRule="auto"/>
        <w:rPr>
          <w:rFonts w:eastAsia="Times New Roman" w:cs="Times New Roman"/>
          <w:szCs w:val="24"/>
        </w:rPr>
      </w:pPr>
      <w:r w:rsidRPr="00951AB1">
        <w:rPr>
          <w:rFonts w:eastAsia="Times New Roman" w:cs="Times New Roman"/>
          <w:szCs w:val="24"/>
        </w:rPr>
        <w:t>2.</w:t>
      </w:r>
      <w:r w:rsidR="1C8B51DC" w:rsidRPr="00951AB1">
        <w:rPr>
          <w:rFonts w:eastAsia="Times New Roman" w:cs="Times New Roman"/>
          <w:szCs w:val="24"/>
        </w:rPr>
        <w:t xml:space="preserve"> </w:t>
      </w:r>
      <w:r w:rsidRPr="00951AB1">
        <w:rPr>
          <w:rFonts w:eastAsia="Times New Roman" w:cs="Times New Roman"/>
          <w:szCs w:val="24"/>
        </w:rPr>
        <w:t xml:space="preserve"> </w:t>
      </w:r>
      <w:r w:rsidR="41287E55" w:rsidRPr="00951AB1">
        <w:rPr>
          <w:rFonts w:eastAsia="Times New Roman" w:cs="Times New Roman"/>
          <w:szCs w:val="24"/>
        </w:rPr>
        <w:t xml:space="preserve">Clase y Denominación: Tasa Fija denominados en Pesos. </w:t>
      </w:r>
      <w:r w:rsidR="001A5E55" w:rsidRPr="00951AB1">
        <w:rPr>
          <w:rFonts w:eastAsia="Times New Roman" w:cs="Times New Roman"/>
          <w:szCs w:val="24"/>
        </w:rPr>
        <w:t xml:space="preserve"> </w:t>
      </w:r>
    </w:p>
    <w:p w14:paraId="79D99C8E" w14:textId="0B1789E8" w:rsidR="41287E55" w:rsidRPr="00951AB1" w:rsidRDefault="41287E55" w:rsidP="000A5389">
      <w:pPr>
        <w:spacing w:line="240" w:lineRule="auto"/>
        <w:rPr>
          <w:rFonts w:eastAsia="Times New Roman" w:cs="Times New Roman"/>
          <w:szCs w:val="24"/>
        </w:rPr>
      </w:pPr>
      <w:r w:rsidRPr="00951AB1">
        <w:rPr>
          <w:rFonts w:eastAsia="Times New Roman" w:cs="Times New Roman"/>
          <w:szCs w:val="24"/>
        </w:rPr>
        <w:t xml:space="preserve">3. Forma de los Títulos: serán títulos a la orden, libremente negociables en el mercado. Tendrán cupones de intereses también libremente negociables y estarán inscritos en la Bolsa de Valores de Colombia. </w:t>
      </w:r>
      <w:r w:rsidR="001A5E55" w:rsidRPr="00951AB1">
        <w:rPr>
          <w:rFonts w:eastAsia="Times New Roman" w:cs="Times New Roman"/>
          <w:szCs w:val="24"/>
        </w:rPr>
        <w:t xml:space="preserve"> </w:t>
      </w:r>
    </w:p>
    <w:p w14:paraId="49F43A90" w14:textId="77777777" w:rsidR="41287E55" w:rsidRPr="00951AB1" w:rsidRDefault="41287E55" w:rsidP="000A5389">
      <w:pPr>
        <w:spacing w:line="240" w:lineRule="auto"/>
        <w:rPr>
          <w:rFonts w:eastAsia="Times New Roman" w:cs="Times New Roman"/>
          <w:szCs w:val="24"/>
        </w:rPr>
      </w:pPr>
      <w:r w:rsidRPr="00951AB1">
        <w:rPr>
          <w:rFonts w:eastAsia="Times New Roman" w:cs="Times New Roman"/>
          <w:szCs w:val="24"/>
        </w:rPr>
        <w:t xml:space="preserve">4. Plazo: dieciséis (16) años. </w:t>
      </w:r>
      <w:r w:rsidR="001A5E55" w:rsidRPr="00951AB1">
        <w:rPr>
          <w:rFonts w:eastAsia="Times New Roman" w:cs="Times New Roman"/>
          <w:szCs w:val="24"/>
        </w:rPr>
        <w:t xml:space="preserve"> </w:t>
      </w:r>
    </w:p>
    <w:p w14:paraId="39778EB0" w14:textId="77777777" w:rsidR="41287E55" w:rsidRPr="00951AB1" w:rsidRDefault="41287E55" w:rsidP="000A5389">
      <w:pPr>
        <w:spacing w:line="240" w:lineRule="auto"/>
        <w:rPr>
          <w:rFonts w:eastAsia="Times New Roman" w:cs="Times New Roman"/>
          <w:szCs w:val="24"/>
        </w:rPr>
      </w:pPr>
      <w:r w:rsidRPr="00951AB1">
        <w:rPr>
          <w:rFonts w:eastAsia="Times New Roman" w:cs="Times New Roman"/>
          <w:szCs w:val="24"/>
        </w:rPr>
        <w:t xml:space="preserve">5. Valor de Expedición: la denominación mínima será de quinientos mil pesos ($500,000) y para sumas adicionales en múltiplos de cien mil pesos ($100,000). </w:t>
      </w:r>
      <w:r w:rsidR="001A5E55" w:rsidRPr="00951AB1">
        <w:rPr>
          <w:rFonts w:eastAsia="Times New Roman" w:cs="Times New Roman"/>
          <w:szCs w:val="24"/>
        </w:rPr>
        <w:t xml:space="preserve"> </w:t>
      </w:r>
    </w:p>
    <w:p w14:paraId="3AA9D0C0" w14:textId="77777777" w:rsidR="001A5E55" w:rsidRPr="00951AB1" w:rsidRDefault="001A5E55" w:rsidP="000A5389">
      <w:pPr>
        <w:spacing w:line="240" w:lineRule="auto"/>
        <w:rPr>
          <w:rFonts w:eastAsia="Times New Roman" w:cs="Times New Roman"/>
          <w:szCs w:val="24"/>
        </w:rPr>
      </w:pPr>
      <w:r w:rsidRPr="00951AB1">
        <w:rPr>
          <w:rFonts w:eastAsia="Times New Roman" w:cs="Times New Roman"/>
          <w:szCs w:val="24"/>
        </w:rPr>
        <w:t xml:space="preserve">6. Amortización: el capital se pagará en la fecha de vencimiento. </w:t>
      </w:r>
    </w:p>
    <w:p w14:paraId="1FBA3549" w14:textId="77777777" w:rsidR="001A5E55" w:rsidRPr="00951AB1" w:rsidRDefault="001A5E55" w:rsidP="000A5389">
      <w:pPr>
        <w:spacing w:line="240" w:lineRule="auto"/>
        <w:rPr>
          <w:rFonts w:eastAsia="Times New Roman" w:cs="Times New Roman"/>
          <w:szCs w:val="24"/>
        </w:rPr>
      </w:pPr>
      <w:r w:rsidRPr="00951AB1">
        <w:rPr>
          <w:rFonts w:eastAsia="Times New Roman" w:cs="Times New Roman"/>
          <w:szCs w:val="24"/>
        </w:rPr>
        <w:t xml:space="preserve">7. Fecha de Emisión: 18 de septiembre de 2014. </w:t>
      </w:r>
    </w:p>
    <w:p w14:paraId="459AFBB3" w14:textId="77777777" w:rsidR="41287E55" w:rsidRPr="00951AB1" w:rsidRDefault="41287E55" w:rsidP="000A5389">
      <w:pPr>
        <w:spacing w:line="240" w:lineRule="auto"/>
        <w:rPr>
          <w:rFonts w:eastAsia="Times New Roman" w:cs="Times New Roman"/>
          <w:szCs w:val="24"/>
        </w:rPr>
      </w:pPr>
      <w:r w:rsidRPr="00951AB1">
        <w:rPr>
          <w:rFonts w:eastAsia="Times New Roman" w:cs="Times New Roman"/>
          <w:szCs w:val="24"/>
        </w:rPr>
        <w:t xml:space="preserve">8. Fecha de Vencimiento: 18 de septiembre de 2030. </w:t>
      </w:r>
      <w:r w:rsidR="001A5E55" w:rsidRPr="00951AB1">
        <w:rPr>
          <w:rFonts w:eastAsia="Times New Roman" w:cs="Times New Roman"/>
          <w:szCs w:val="24"/>
        </w:rPr>
        <w:t xml:space="preserve"> </w:t>
      </w:r>
    </w:p>
    <w:p w14:paraId="65B6D51F" w14:textId="77777777" w:rsidR="41287E55" w:rsidRPr="00951AB1" w:rsidRDefault="41287E55" w:rsidP="000A5389">
      <w:pPr>
        <w:spacing w:line="240" w:lineRule="auto"/>
        <w:rPr>
          <w:rFonts w:eastAsia="Times New Roman" w:cs="Times New Roman"/>
          <w:szCs w:val="24"/>
        </w:rPr>
      </w:pPr>
      <w:r w:rsidRPr="00951AB1">
        <w:rPr>
          <w:rFonts w:eastAsia="Times New Roman" w:cs="Times New Roman"/>
          <w:szCs w:val="24"/>
        </w:rPr>
        <w:t xml:space="preserve">9. Fecha de Expedición y Entrega: 30 de septiembre de 2025. </w:t>
      </w:r>
      <w:r w:rsidR="001A5E55" w:rsidRPr="00951AB1">
        <w:rPr>
          <w:rFonts w:eastAsia="Times New Roman" w:cs="Times New Roman"/>
          <w:szCs w:val="24"/>
        </w:rPr>
        <w:t xml:space="preserve"> </w:t>
      </w:r>
    </w:p>
    <w:p w14:paraId="321AF0F6" w14:textId="77777777" w:rsidR="001A5E55" w:rsidRPr="00951AB1" w:rsidRDefault="001A5E55" w:rsidP="000A5389">
      <w:pPr>
        <w:spacing w:line="240" w:lineRule="auto"/>
        <w:rPr>
          <w:rFonts w:eastAsia="Times New Roman" w:cs="Times New Roman"/>
          <w:szCs w:val="24"/>
        </w:rPr>
      </w:pPr>
      <w:r w:rsidRPr="00951AB1">
        <w:rPr>
          <w:rFonts w:eastAsia="Times New Roman" w:cs="Times New Roman"/>
          <w:szCs w:val="24"/>
        </w:rPr>
        <w:t xml:space="preserve">10. Tasa Cupón: 7.75%. </w:t>
      </w:r>
    </w:p>
    <w:p w14:paraId="7CAEF7F4" w14:textId="3533AB27" w:rsidR="002835F1" w:rsidRDefault="001A5E55" w:rsidP="000A5389">
      <w:pPr>
        <w:spacing w:line="240" w:lineRule="auto"/>
        <w:rPr>
          <w:rFonts w:eastAsia="Times New Roman" w:cs="Times New Roman"/>
          <w:szCs w:val="24"/>
        </w:rPr>
      </w:pPr>
      <w:r w:rsidRPr="00951AB1">
        <w:rPr>
          <w:rFonts w:eastAsia="Times New Roman" w:cs="Times New Roman"/>
          <w:szCs w:val="24"/>
        </w:rPr>
        <w:t xml:space="preserve">11. Tasa de Rendimiento: para determinar el rendimiento de los títulos se tomará una de las siguientes alternativas, en forma excluyente, en estricto orden ascendente, así: </w:t>
      </w:r>
    </w:p>
    <w:p w14:paraId="47C81169" w14:textId="77777777" w:rsidR="002E333D" w:rsidRPr="00951AB1" w:rsidRDefault="002E333D" w:rsidP="000A5389">
      <w:pPr>
        <w:spacing w:line="240" w:lineRule="auto"/>
        <w:rPr>
          <w:rFonts w:eastAsia="Times New Roman" w:cs="Times New Roman"/>
          <w:szCs w:val="24"/>
        </w:rPr>
      </w:pPr>
    </w:p>
    <w:p w14:paraId="4E9ADA05" w14:textId="12F972F3" w:rsidR="001A5E55" w:rsidRPr="00951AB1" w:rsidRDefault="001A5E55" w:rsidP="000A5389">
      <w:pPr>
        <w:pStyle w:val="Prrafodelista"/>
        <w:numPr>
          <w:ilvl w:val="0"/>
          <w:numId w:val="51"/>
        </w:numPr>
        <w:spacing w:line="240" w:lineRule="auto"/>
        <w:rPr>
          <w:rFonts w:eastAsia="Times New Roman" w:cs="Times New Roman"/>
          <w:szCs w:val="24"/>
        </w:rPr>
      </w:pPr>
      <w:r w:rsidRPr="00951AB1">
        <w:rPr>
          <w:rFonts w:eastAsia="Times New Roman" w:cs="Times New Roman"/>
          <w:szCs w:val="24"/>
        </w:rPr>
        <w:t xml:space="preserve">La última tasa de negociación en el Sistema Electrónico de Negociación -SEN- administrado por el Banco de la República, realizada antes de las 10 am del día de entrega de los títulos.  II. La tasa media entre las posturas de compra y venta vigentes </w:t>
      </w:r>
      <w:r w:rsidRPr="00951AB1">
        <w:rPr>
          <w:rFonts w:eastAsia="Times New Roman" w:cs="Times New Roman"/>
          <w:szCs w:val="24"/>
        </w:rPr>
        <w:lastRenderedPageBreak/>
        <w:t xml:space="preserve">en el SEN a las 10 a.m. del día de la entrega de los títulos. III. La tasa vigente de valoración del día anterior a la entrega, publicada por el sistema Precia. </w:t>
      </w:r>
    </w:p>
    <w:p w14:paraId="32B98A3F" w14:textId="77777777" w:rsidR="002835F1" w:rsidRPr="00951AB1" w:rsidRDefault="002835F1" w:rsidP="000A5389">
      <w:pPr>
        <w:pStyle w:val="Prrafodelista"/>
        <w:spacing w:line="240" w:lineRule="auto"/>
        <w:ind w:left="1080"/>
        <w:rPr>
          <w:rFonts w:eastAsia="Times New Roman" w:cs="Times New Roman"/>
          <w:szCs w:val="24"/>
        </w:rPr>
      </w:pPr>
    </w:p>
    <w:p w14:paraId="25AAC4B0" w14:textId="672162C3" w:rsidR="001A5E55" w:rsidRPr="00951AB1" w:rsidRDefault="001A5E55" w:rsidP="000A5389">
      <w:pPr>
        <w:pStyle w:val="Prrafodelista"/>
        <w:numPr>
          <w:ilvl w:val="0"/>
          <w:numId w:val="13"/>
        </w:numPr>
        <w:spacing w:line="240" w:lineRule="auto"/>
        <w:rPr>
          <w:rFonts w:eastAsia="Times New Roman" w:cs="Times New Roman"/>
          <w:szCs w:val="24"/>
        </w:rPr>
      </w:pPr>
      <w:r w:rsidRPr="00951AB1">
        <w:rPr>
          <w:rFonts w:eastAsia="Times New Roman" w:cs="Times New Roman"/>
          <w:szCs w:val="24"/>
        </w:rPr>
        <w:t xml:space="preserve">Precio de los Títulos: será la suma del valor presente (o valor costo) del principal y del (los) cupón (es) del título en el día de cumplimiento de la oferta, descontados a la tasa de rendimiento determinada según la metodología descrita en el numeral 11. Para el cálculo del precio, el valor nominal será de cien (100) unidades, el cual se aproximará al milésimo más cercano, menor de cinco (5) o mayor o igual a cinco (5) según corresponda. </w:t>
      </w:r>
    </w:p>
    <w:p w14:paraId="6376FEFF" w14:textId="77777777" w:rsidR="002835F1" w:rsidRPr="00951AB1" w:rsidRDefault="002835F1" w:rsidP="000A5389">
      <w:pPr>
        <w:pStyle w:val="Prrafodelista"/>
        <w:spacing w:line="240" w:lineRule="auto"/>
        <w:ind w:left="480"/>
        <w:rPr>
          <w:rFonts w:eastAsia="Times New Roman" w:cs="Times New Roman"/>
          <w:szCs w:val="24"/>
        </w:rPr>
      </w:pPr>
    </w:p>
    <w:p w14:paraId="234869BC" w14:textId="7DB16BE0" w:rsidR="001A5E55" w:rsidRPr="00951AB1" w:rsidRDefault="001A5E55" w:rsidP="000A5389">
      <w:pPr>
        <w:pStyle w:val="Prrafodelista"/>
        <w:numPr>
          <w:ilvl w:val="0"/>
          <w:numId w:val="13"/>
        </w:numPr>
        <w:spacing w:line="240" w:lineRule="auto"/>
        <w:rPr>
          <w:rFonts w:eastAsia="Times New Roman" w:cs="Times New Roman"/>
          <w:szCs w:val="24"/>
        </w:rPr>
      </w:pPr>
      <w:r w:rsidRPr="00951AB1">
        <w:rPr>
          <w:rFonts w:eastAsia="Times New Roman" w:cs="Times New Roman"/>
          <w:szCs w:val="24"/>
        </w:rPr>
        <w:t xml:space="preserve">Valor nominal: será el resultado de dividir el valor de liquidación de la obligación entre el precio de los títulos. Este valor se redondeará al múltiplo de cien mil pesos ($100.000) más cercano. </w:t>
      </w:r>
    </w:p>
    <w:p w14:paraId="74654C8A" w14:textId="77777777" w:rsidR="002835F1" w:rsidRPr="00951AB1" w:rsidRDefault="001A5E55" w:rsidP="000A5389">
      <w:pPr>
        <w:spacing w:line="240" w:lineRule="auto"/>
        <w:rPr>
          <w:rFonts w:eastAsia="Times New Roman" w:cs="Times New Roman"/>
          <w:szCs w:val="24"/>
        </w:rPr>
      </w:pPr>
      <w:r w:rsidRPr="00951AB1">
        <w:rPr>
          <w:rFonts w:eastAsia="Times New Roman" w:cs="Times New Roman"/>
          <w:szCs w:val="24"/>
        </w:rPr>
        <w:t xml:space="preserve">14.Valor de Liquidación: será el resultado de multiplicar el valor nominal de los títulos por su precio, expresado este último en porcentaje. </w:t>
      </w:r>
    </w:p>
    <w:p w14:paraId="52876856" w14:textId="77777777" w:rsidR="002835F1" w:rsidRPr="00951AB1" w:rsidRDefault="002835F1" w:rsidP="000A5389">
      <w:pPr>
        <w:spacing w:line="240" w:lineRule="auto"/>
        <w:rPr>
          <w:rFonts w:eastAsia="Times New Roman" w:cs="Times New Roman"/>
          <w:szCs w:val="24"/>
        </w:rPr>
      </w:pPr>
    </w:p>
    <w:p w14:paraId="0A5D5307" w14:textId="6D362DC9" w:rsidR="001A5E55" w:rsidRPr="00951AB1" w:rsidRDefault="001A5E55" w:rsidP="000A5389">
      <w:pPr>
        <w:spacing w:line="240" w:lineRule="auto"/>
        <w:rPr>
          <w:rFonts w:eastAsia="Times New Roman" w:cs="Times New Roman"/>
          <w:szCs w:val="24"/>
        </w:rPr>
      </w:pPr>
      <w:r w:rsidRPr="00951AB1">
        <w:rPr>
          <w:rFonts w:eastAsia="Times New Roman" w:cs="Times New Roman"/>
          <w:szCs w:val="24"/>
        </w:rPr>
        <w:t xml:space="preserve">Los acuerdos de pago suscritos entre Ministerio de Hacienda y la Agencia, no tienen restricciones, tasa de negociación, tasa efectiva anual, criterios para determinación de la tasa, seguimiento a cumplimientos e infracciones y nuevas restricciones, toda vez que como se indicó anteriormente, por el tipo de pasivo con la Nación no aplican. </w:t>
      </w:r>
    </w:p>
    <w:p w14:paraId="0D6255C4" w14:textId="21124A52" w:rsidR="3FDC7772" w:rsidRPr="00951AB1" w:rsidRDefault="001A5E55" w:rsidP="000A5389">
      <w:pPr>
        <w:spacing w:line="240" w:lineRule="auto"/>
        <w:rPr>
          <w:rFonts w:eastAsia="Times New Roman" w:cs="Times New Roman"/>
          <w:szCs w:val="24"/>
        </w:rPr>
      </w:pPr>
      <w:r w:rsidRPr="00951AB1">
        <w:rPr>
          <w:rFonts w:eastAsia="Times New Roman" w:cs="Times New Roman"/>
          <w:szCs w:val="24"/>
        </w:rPr>
        <w:t xml:space="preserve"> </w:t>
      </w:r>
      <w:r w:rsidR="3FDC7772" w:rsidRPr="00951AB1">
        <w:rPr>
          <w:rFonts w:eastAsia="Times New Roman" w:cs="Times New Roman"/>
          <w:szCs w:val="24"/>
        </w:rPr>
        <w:t xml:space="preserve"> </w:t>
      </w:r>
    </w:p>
    <w:p w14:paraId="12D78938" w14:textId="55B9F8BD" w:rsidR="3FDC7772" w:rsidRPr="00951AB1" w:rsidRDefault="3FDC7772" w:rsidP="000A5389">
      <w:pPr>
        <w:spacing w:line="240" w:lineRule="auto"/>
        <w:rPr>
          <w:rFonts w:eastAsia="Times New Roman" w:cs="Times New Roman"/>
          <w:szCs w:val="24"/>
        </w:rPr>
      </w:pPr>
      <w:r w:rsidRPr="00951AB1">
        <w:rPr>
          <w:rFonts w:eastAsia="Times New Roman" w:cs="Times New Roman"/>
          <w:szCs w:val="24"/>
        </w:rPr>
        <w:t>El saldo de los préstamos del gobierno general a 31 de diciembre de 202</w:t>
      </w:r>
      <w:r w:rsidR="1EDDAAFE" w:rsidRPr="00951AB1">
        <w:rPr>
          <w:rFonts w:eastAsia="Times New Roman" w:cs="Times New Roman"/>
          <w:szCs w:val="24"/>
        </w:rPr>
        <w:t>5</w:t>
      </w:r>
      <w:r w:rsidRPr="00951AB1">
        <w:rPr>
          <w:rFonts w:eastAsia="Times New Roman" w:cs="Times New Roman"/>
          <w:szCs w:val="24"/>
        </w:rPr>
        <w:t xml:space="preserve"> junto con la porción corriente y no corriente de esta cuenta se encuentra conciliado con el Ministerio de Hacienda y Crédito Público (Dirección del Tesoro Nacional), de conformidad con el formato establecido.</w:t>
      </w:r>
      <w:r w:rsidR="001A5E55" w:rsidRPr="00951AB1">
        <w:rPr>
          <w:rFonts w:eastAsia="Times New Roman" w:cs="Times New Roman"/>
          <w:szCs w:val="24"/>
        </w:rPr>
        <w:t xml:space="preserve"> </w:t>
      </w:r>
    </w:p>
    <w:p w14:paraId="05E94283" w14:textId="77777777" w:rsidR="00A41312" w:rsidRPr="00951AB1" w:rsidRDefault="00A41312" w:rsidP="000A5389">
      <w:pPr>
        <w:spacing w:line="240" w:lineRule="auto"/>
        <w:rPr>
          <w:rFonts w:cs="Times New Roman"/>
        </w:rPr>
      </w:pPr>
    </w:p>
    <w:p w14:paraId="75830906" w14:textId="77777777" w:rsidR="00A41312" w:rsidRPr="00951AB1" w:rsidRDefault="00A41312" w:rsidP="000A5389">
      <w:pPr>
        <w:spacing w:line="240" w:lineRule="auto"/>
        <w:rPr>
          <w:rFonts w:cs="Times New Roman"/>
          <w:sz w:val="14"/>
          <w:szCs w:val="14"/>
        </w:rPr>
      </w:pPr>
    </w:p>
    <w:p w14:paraId="3EFE2C0F" w14:textId="19F5408B" w:rsidR="00A41312" w:rsidRPr="00951AB1" w:rsidRDefault="00A41312" w:rsidP="000A5389">
      <w:pPr>
        <w:pStyle w:val="Ttulo1"/>
        <w:spacing w:line="240" w:lineRule="auto"/>
        <w:rPr>
          <w:rFonts w:cs="Times New Roman"/>
        </w:rPr>
      </w:pPr>
      <w:bookmarkStart w:id="484" w:name="_Toc191369529"/>
      <w:bookmarkStart w:id="485" w:name="_Toc191456859"/>
      <w:bookmarkStart w:id="486" w:name="_Toc191456969"/>
      <w:bookmarkStart w:id="487" w:name="_Toc191457079"/>
      <w:bookmarkStart w:id="488" w:name="_Toc191475706"/>
      <w:bookmarkStart w:id="489" w:name="_Toc191475815"/>
      <w:bookmarkStart w:id="490" w:name="_Toc191475924"/>
      <w:bookmarkStart w:id="491" w:name="_Toc191475447"/>
      <w:bookmarkStart w:id="492" w:name="_Toc191505823"/>
      <w:bookmarkStart w:id="493" w:name="_Toc222824135"/>
      <w:bookmarkStart w:id="494" w:name="_Toc222955503"/>
      <w:r w:rsidRPr="00951AB1">
        <w:rPr>
          <w:rFonts w:cs="Times New Roman"/>
        </w:rPr>
        <w:t>NOTA 2</w:t>
      </w:r>
      <w:r w:rsidR="00D97A82" w:rsidRPr="00951AB1">
        <w:rPr>
          <w:rFonts w:cs="Times New Roman"/>
        </w:rPr>
        <w:t>2</w:t>
      </w:r>
      <w:r w:rsidRPr="00951AB1">
        <w:rPr>
          <w:rFonts w:cs="Times New Roman"/>
        </w:rPr>
        <w:t>. CUENTAS POR PAGAR</w:t>
      </w:r>
      <w:bookmarkEnd w:id="484"/>
      <w:bookmarkEnd w:id="485"/>
      <w:bookmarkEnd w:id="486"/>
      <w:bookmarkEnd w:id="487"/>
      <w:bookmarkEnd w:id="488"/>
      <w:bookmarkEnd w:id="489"/>
      <w:bookmarkEnd w:id="490"/>
      <w:bookmarkEnd w:id="491"/>
      <w:bookmarkEnd w:id="492"/>
      <w:bookmarkEnd w:id="493"/>
      <w:bookmarkEnd w:id="494"/>
    </w:p>
    <w:p w14:paraId="37ECFF1C" w14:textId="77777777" w:rsidR="00A41312" w:rsidRPr="00951AB1" w:rsidRDefault="00A41312" w:rsidP="000A5389">
      <w:pPr>
        <w:spacing w:line="240" w:lineRule="auto"/>
        <w:rPr>
          <w:rFonts w:cs="Times New Roman"/>
          <w:b/>
          <w:szCs w:val="24"/>
        </w:rPr>
      </w:pPr>
    </w:p>
    <w:p w14:paraId="1A03AFD6" w14:textId="77777777" w:rsidR="00A41312" w:rsidRPr="00951AB1" w:rsidRDefault="00A41312" w:rsidP="000A5389">
      <w:pPr>
        <w:pStyle w:val="Ttulo2"/>
        <w:numPr>
          <w:ilvl w:val="0"/>
          <w:numId w:val="0"/>
        </w:numPr>
        <w:spacing w:line="240" w:lineRule="auto"/>
        <w:rPr>
          <w:rFonts w:cs="Times New Roman"/>
          <w:szCs w:val="22"/>
        </w:rPr>
      </w:pPr>
      <w:bookmarkStart w:id="495" w:name="_Toc191369530"/>
      <w:bookmarkStart w:id="496" w:name="_Toc191456860"/>
      <w:bookmarkStart w:id="497" w:name="_Toc191456970"/>
      <w:bookmarkStart w:id="498" w:name="_Toc191457080"/>
      <w:bookmarkStart w:id="499" w:name="_Toc191475707"/>
      <w:bookmarkStart w:id="500" w:name="_Toc191475816"/>
      <w:bookmarkStart w:id="501" w:name="_Toc191475925"/>
      <w:bookmarkStart w:id="502" w:name="_Toc191475448"/>
      <w:bookmarkStart w:id="503" w:name="_Toc191505824"/>
      <w:bookmarkStart w:id="504" w:name="_Toc222824136"/>
      <w:bookmarkStart w:id="505" w:name="_Toc222955504"/>
      <w:r w:rsidRPr="00951AB1">
        <w:rPr>
          <w:rFonts w:cs="Times New Roman"/>
          <w:szCs w:val="22"/>
        </w:rPr>
        <w:t>Composición</w:t>
      </w:r>
      <w:bookmarkEnd w:id="495"/>
      <w:bookmarkEnd w:id="496"/>
      <w:bookmarkEnd w:id="497"/>
      <w:bookmarkEnd w:id="498"/>
      <w:bookmarkEnd w:id="499"/>
      <w:bookmarkEnd w:id="500"/>
      <w:bookmarkEnd w:id="501"/>
      <w:bookmarkEnd w:id="502"/>
      <w:bookmarkEnd w:id="503"/>
      <w:bookmarkEnd w:id="504"/>
      <w:bookmarkEnd w:id="505"/>
    </w:p>
    <w:p w14:paraId="1A7D7657" w14:textId="77777777" w:rsidR="00A41312" w:rsidRPr="00951AB1" w:rsidRDefault="00A41312" w:rsidP="000A5389">
      <w:pPr>
        <w:spacing w:line="240" w:lineRule="auto"/>
        <w:rPr>
          <w:rFonts w:cs="Times New Roman"/>
          <w:b/>
          <w:szCs w:val="24"/>
        </w:rPr>
      </w:pPr>
    </w:p>
    <w:p w14:paraId="5A31BA06" w14:textId="77777777" w:rsidR="00A41312" w:rsidRPr="00951AB1" w:rsidRDefault="00A41312" w:rsidP="000A5389">
      <w:pPr>
        <w:spacing w:line="240" w:lineRule="auto"/>
        <w:rPr>
          <w:rFonts w:cs="Times New Roman"/>
          <w:szCs w:val="24"/>
        </w:rPr>
      </w:pPr>
      <w:r w:rsidRPr="00951AB1">
        <w:rPr>
          <w:rFonts w:cs="Times New Roman"/>
          <w:szCs w:val="24"/>
        </w:rPr>
        <w:t xml:space="preserve">El valor registrado en la subcuenta </w:t>
      </w:r>
      <w:r w:rsidRPr="00951AB1">
        <w:rPr>
          <w:rFonts w:cs="Times New Roman"/>
          <w:i/>
          <w:szCs w:val="24"/>
        </w:rPr>
        <w:t>cuentas por pagar</w:t>
      </w:r>
      <w:r w:rsidRPr="00951AB1">
        <w:rPr>
          <w:rFonts w:cs="Times New Roman"/>
          <w:szCs w:val="24"/>
        </w:rPr>
        <w:t xml:space="preserve">, incluye las obligaciones adquiridas por la Agencia con terceros, relacionadas con sus operaciones en desarrollo de funciones de cometido estatal de las cuales se espera, a futuro, la salida de un flujo financiero fijo o determinable a través de efectivo o equivalentes al efectivo. Las cuentas por pagar se clasifican al costo y se miden por el valor de la transacción, se registran en el momento en que se reciba el bien o servicio, o se formalicen los documentos que generan las obligaciones correspondientes, de conformidad con las condiciones contractuales. </w:t>
      </w:r>
    </w:p>
    <w:p w14:paraId="40BA70E4" w14:textId="77777777" w:rsidR="00A41312" w:rsidRPr="00951AB1" w:rsidRDefault="00A41312" w:rsidP="000A5389">
      <w:pPr>
        <w:spacing w:line="240" w:lineRule="auto"/>
        <w:rPr>
          <w:rFonts w:cs="Times New Roman"/>
          <w:szCs w:val="24"/>
        </w:rPr>
      </w:pPr>
    </w:p>
    <w:p w14:paraId="15C55A3D" w14:textId="026A7528" w:rsidR="7968328A" w:rsidRPr="00951AB1" w:rsidRDefault="1F4C86BF" w:rsidP="000A5389">
      <w:pPr>
        <w:spacing w:line="240" w:lineRule="auto"/>
        <w:rPr>
          <w:rFonts w:cs="Times New Roman"/>
          <w:szCs w:val="24"/>
        </w:rPr>
      </w:pPr>
      <w:r w:rsidRPr="00951AB1">
        <w:rPr>
          <w:rFonts w:cs="Times New Roman"/>
          <w:szCs w:val="24"/>
        </w:rPr>
        <w:t>A continuación, se presentan los saldos de las cuentas por pagar a diciembre de 2025 comparados con diciembre de 2024:</w:t>
      </w:r>
    </w:p>
    <w:p w14:paraId="19A95FAB" w14:textId="77777777" w:rsidR="005C22F4" w:rsidRPr="00951AB1" w:rsidRDefault="005C22F4" w:rsidP="000A5389">
      <w:pPr>
        <w:spacing w:line="240" w:lineRule="auto"/>
        <w:rPr>
          <w:rFonts w:cs="Times New Roman"/>
          <w:szCs w:val="24"/>
        </w:rPr>
      </w:pPr>
    </w:p>
    <w:tbl>
      <w:tblPr>
        <w:tblW w:w="5000" w:type="pct"/>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CellMar>
          <w:left w:w="70" w:type="dxa"/>
          <w:right w:w="70" w:type="dxa"/>
        </w:tblCellMar>
        <w:tblLook w:val="04A0" w:firstRow="1" w:lastRow="0" w:firstColumn="1" w:lastColumn="0" w:noHBand="0" w:noVBand="1"/>
      </w:tblPr>
      <w:tblGrid>
        <w:gridCol w:w="590"/>
        <w:gridCol w:w="368"/>
        <w:gridCol w:w="3301"/>
        <w:gridCol w:w="1490"/>
        <w:gridCol w:w="1490"/>
        <w:gridCol w:w="1589"/>
      </w:tblGrid>
      <w:tr w:rsidR="008477F3" w:rsidRPr="00951AB1" w14:paraId="4ADAF9FD" w14:textId="77777777" w:rsidTr="00AF64E6">
        <w:trPr>
          <w:trHeight w:val="300"/>
          <w:tblHeader/>
        </w:trPr>
        <w:tc>
          <w:tcPr>
            <w:tcW w:w="2461" w:type="pct"/>
            <w:gridSpan w:val="3"/>
            <w:noWrap/>
            <w:vAlign w:val="center"/>
            <w:hideMark/>
          </w:tcPr>
          <w:p w14:paraId="11A67E97" w14:textId="77777777" w:rsidR="007943C8" w:rsidRPr="00951AB1" w:rsidRDefault="007943C8" w:rsidP="000A5389">
            <w:pPr>
              <w:spacing w:line="240" w:lineRule="auto"/>
              <w:jc w:val="center"/>
              <w:rPr>
                <w:rFonts w:eastAsia="Times New Roman" w:cs="Times New Roman"/>
                <w:b/>
                <w:kern w:val="0"/>
                <w:sz w:val="18"/>
                <w:szCs w:val="18"/>
                <w:lang w:eastAsia="es-CO"/>
                <w14:ligatures w14:val="none"/>
              </w:rPr>
            </w:pPr>
            <w:r w:rsidRPr="00951AB1">
              <w:rPr>
                <w:rFonts w:eastAsia="Times New Roman" w:cs="Times New Roman"/>
                <w:b/>
                <w:kern w:val="0"/>
                <w:sz w:val="18"/>
                <w:szCs w:val="18"/>
                <w:lang w:eastAsia="es-CO"/>
                <w14:ligatures w14:val="none"/>
              </w:rPr>
              <w:t>CONCEPTO</w:t>
            </w:r>
          </w:p>
        </w:tc>
        <w:tc>
          <w:tcPr>
            <w:tcW w:w="821" w:type="pct"/>
            <w:shd w:val="clear" w:color="auto" w:fill="FFFFFF" w:themeFill="background1"/>
            <w:vAlign w:val="center"/>
            <w:hideMark/>
          </w:tcPr>
          <w:p w14:paraId="3B53213A" w14:textId="77777777" w:rsidR="007943C8" w:rsidRPr="00951AB1" w:rsidRDefault="007943C8" w:rsidP="000A5389">
            <w:pPr>
              <w:spacing w:line="240" w:lineRule="auto"/>
              <w:jc w:val="center"/>
              <w:rPr>
                <w:rFonts w:eastAsia="Times New Roman" w:cs="Times New Roman"/>
                <w:b/>
                <w:kern w:val="0"/>
                <w:sz w:val="18"/>
                <w:szCs w:val="18"/>
                <w:lang w:eastAsia="es-CO"/>
                <w14:ligatures w14:val="none"/>
              </w:rPr>
            </w:pPr>
            <w:r w:rsidRPr="00951AB1">
              <w:rPr>
                <w:rFonts w:eastAsia="Times New Roman" w:cs="Times New Roman"/>
                <w:b/>
                <w:kern w:val="0"/>
                <w:sz w:val="18"/>
                <w:szCs w:val="18"/>
                <w:lang w:eastAsia="es-CO"/>
                <w14:ligatures w14:val="none"/>
              </w:rPr>
              <w:t xml:space="preserve">2025 </w:t>
            </w:r>
          </w:p>
        </w:tc>
        <w:tc>
          <w:tcPr>
            <w:tcW w:w="785" w:type="pct"/>
            <w:shd w:val="clear" w:color="auto" w:fill="FFFFFF" w:themeFill="background1"/>
            <w:vAlign w:val="center"/>
            <w:hideMark/>
          </w:tcPr>
          <w:p w14:paraId="7F2E74A6" w14:textId="77777777" w:rsidR="007943C8" w:rsidRPr="00951AB1" w:rsidRDefault="007943C8" w:rsidP="000A5389">
            <w:pPr>
              <w:spacing w:line="240" w:lineRule="auto"/>
              <w:jc w:val="center"/>
              <w:rPr>
                <w:rFonts w:eastAsia="Times New Roman" w:cs="Times New Roman"/>
                <w:b/>
                <w:kern w:val="0"/>
                <w:sz w:val="18"/>
                <w:szCs w:val="18"/>
                <w:lang w:eastAsia="es-CO"/>
                <w14:ligatures w14:val="none"/>
              </w:rPr>
            </w:pPr>
            <w:r w:rsidRPr="00951AB1">
              <w:rPr>
                <w:rFonts w:eastAsia="Times New Roman" w:cs="Times New Roman"/>
                <w:b/>
                <w:kern w:val="0"/>
                <w:sz w:val="18"/>
                <w:szCs w:val="18"/>
                <w:lang w:eastAsia="es-CO"/>
                <w14:ligatures w14:val="none"/>
              </w:rPr>
              <w:t xml:space="preserve">2024 </w:t>
            </w:r>
          </w:p>
        </w:tc>
        <w:tc>
          <w:tcPr>
            <w:tcW w:w="934" w:type="pct"/>
            <w:shd w:val="clear" w:color="auto" w:fill="FFFFFF" w:themeFill="background1"/>
            <w:vAlign w:val="center"/>
            <w:hideMark/>
          </w:tcPr>
          <w:p w14:paraId="343E088E" w14:textId="276C10A7" w:rsidR="007943C8" w:rsidRPr="00951AB1" w:rsidRDefault="007943C8" w:rsidP="000A5389">
            <w:pPr>
              <w:spacing w:line="240" w:lineRule="auto"/>
              <w:jc w:val="right"/>
              <w:rPr>
                <w:rFonts w:eastAsia="Times New Roman" w:cs="Times New Roman"/>
                <w:b/>
                <w:kern w:val="0"/>
                <w:sz w:val="18"/>
                <w:szCs w:val="18"/>
                <w:lang w:eastAsia="es-CO"/>
                <w14:ligatures w14:val="none"/>
              </w:rPr>
            </w:pPr>
            <w:r w:rsidRPr="00951AB1">
              <w:rPr>
                <w:rFonts w:eastAsia="Times New Roman" w:cs="Times New Roman"/>
                <w:b/>
                <w:kern w:val="0"/>
                <w:sz w:val="18"/>
                <w:szCs w:val="18"/>
                <w:lang w:eastAsia="es-CO"/>
                <w14:ligatures w14:val="none"/>
              </w:rPr>
              <w:t xml:space="preserve"> VARIACIÓN</w:t>
            </w:r>
          </w:p>
        </w:tc>
      </w:tr>
      <w:tr w:rsidR="003426DD" w:rsidRPr="00951AB1" w14:paraId="5AB37030" w14:textId="77777777" w:rsidTr="00AF64E6">
        <w:trPr>
          <w:trHeight w:val="300"/>
        </w:trPr>
        <w:tc>
          <w:tcPr>
            <w:tcW w:w="2461" w:type="pct"/>
            <w:gridSpan w:val="3"/>
            <w:noWrap/>
            <w:vAlign w:val="center"/>
            <w:hideMark/>
          </w:tcPr>
          <w:p w14:paraId="254008F6" w14:textId="77777777" w:rsidR="007943C8" w:rsidRPr="00951AB1" w:rsidRDefault="007943C8" w:rsidP="000A5389">
            <w:pPr>
              <w:spacing w:line="240" w:lineRule="auto"/>
              <w:rPr>
                <w:rFonts w:eastAsia="Times New Roman" w:cs="Times New Roman"/>
                <w:b/>
                <w:color w:val="000000"/>
                <w:kern w:val="0"/>
                <w:sz w:val="18"/>
                <w:szCs w:val="18"/>
                <w:lang w:eastAsia="es-CO"/>
                <w14:ligatures w14:val="none"/>
              </w:rPr>
            </w:pPr>
            <w:r w:rsidRPr="00951AB1">
              <w:rPr>
                <w:rFonts w:eastAsia="Times New Roman" w:cs="Times New Roman"/>
                <w:b/>
                <w:color w:val="000000"/>
                <w:kern w:val="0"/>
                <w:sz w:val="18"/>
                <w:szCs w:val="18"/>
                <w:lang w:eastAsia="es-CO"/>
                <w14:ligatures w14:val="none"/>
              </w:rPr>
              <w:t>CUENTAS POR PAGAR</w:t>
            </w:r>
          </w:p>
        </w:tc>
        <w:tc>
          <w:tcPr>
            <w:tcW w:w="821" w:type="pct"/>
            <w:noWrap/>
            <w:vAlign w:val="center"/>
            <w:hideMark/>
          </w:tcPr>
          <w:p w14:paraId="24A48DAD" w14:textId="77777777" w:rsidR="007943C8" w:rsidRPr="00951AB1" w:rsidRDefault="007943C8" w:rsidP="000A5389">
            <w:pPr>
              <w:spacing w:line="240" w:lineRule="auto"/>
              <w:jc w:val="right"/>
              <w:rPr>
                <w:rFonts w:eastAsia="Times New Roman" w:cs="Times New Roman"/>
                <w:b/>
                <w:color w:val="000000"/>
                <w:kern w:val="0"/>
                <w:sz w:val="18"/>
                <w:szCs w:val="18"/>
                <w:lang w:eastAsia="es-CO"/>
                <w14:ligatures w14:val="none"/>
              </w:rPr>
            </w:pPr>
            <w:r w:rsidRPr="00951AB1">
              <w:rPr>
                <w:rFonts w:eastAsia="Times New Roman" w:cs="Times New Roman"/>
                <w:b/>
                <w:color w:val="000000"/>
                <w:kern w:val="0"/>
                <w:sz w:val="18"/>
                <w:szCs w:val="18"/>
                <w:lang w:eastAsia="es-CO"/>
                <w14:ligatures w14:val="none"/>
              </w:rPr>
              <w:t>5.875.799.501.233</w:t>
            </w:r>
          </w:p>
        </w:tc>
        <w:tc>
          <w:tcPr>
            <w:tcW w:w="785" w:type="pct"/>
            <w:noWrap/>
            <w:vAlign w:val="center"/>
            <w:hideMark/>
          </w:tcPr>
          <w:p w14:paraId="57DBE430" w14:textId="77777777" w:rsidR="007943C8" w:rsidRPr="00951AB1" w:rsidRDefault="007943C8" w:rsidP="000A5389">
            <w:pPr>
              <w:spacing w:line="240" w:lineRule="auto"/>
              <w:jc w:val="right"/>
              <w:rPr>
                <w:rFonts w:eastAsia="Times New Roman" w:cs="Times New Roman"/>
                <w:b/>
                <w:color w:val="000000"/>
                <w:kern w:val="0"/>
                <w:sz w:val="18"/>
                <w:szCs w:val="18"/>
                <w:lang w:eastAsia="es-CO"/>
                <w14:ligatures w14:val="none"/>
              </w:rPr>
            </w:pPr>
            <w:r w:rsidRPr="00951AB1">
              <w:rPr>
                <w:rFonts w:eastAsia="Times New Roman" w:cs="Times New Roman"/>
                <w:b/>
                <w:color w:val="000000"/>
                <w:kern w:val="0"/>
                <w:sz w:val="18"/>
                <w:szCs w:val="18"/>
                <w:lang w:eastAsia="es-CO"/>
                <w14:ligatures w14:val="none"/>
              </w:rPr>
              <w:t>7.524.116.759.708</w:t>
            </w:r>
          </w:p>
        </w:tc>
        <w:tc>
          <w:tcPr>
            <w:tcW w:w="934" w:type="pct"/>
            <w:noWrap/>
            <w:vAlign w:val="center"/>
            <w:hideMark/>
          </w:tcPr>
          <w:p w14:paraId="29CDE413" w14:textId="77777777" w:rsidR="007943C8" w:rsidRPr="00951AB1" w:rsidRDefault="007943C8" w:rsidP="000A5389">
            <w:pPr>
              <w:spacing w:line="240" w:lineRule="auto"/>
              <w:jc w:val="right"/>
              <w:rPr>
                <w:rFonts w:eastAsia="Times New Roman" w:cs="Times New Roman"/>
                <w:b/>
                <w:color w:val="000000"/>
                <w:kern w:val="0"/>
                <w:sz w:val="18"/>
                <w:szCs w:val="18"/>
                <w:lang w:eastAsia="es-CO"/>
                <w14:ligatures w14:val="none"/>
              </w:rPr>
            </w:pPr>
            <w:r w:rsidRPr="00951AB1">
              <w:rPr>
                <w:rFonts w:eastAsia="Times New Roman" w:cs="Times New Roman"/>
                <w:b/>
                <w:color w:val="000000"/>
                <w:kern w:val="0"/>
                <w:sz w:val="18"/>
                <w:szCs w:val="18"/>
                <w:lang w:eastAsia="es-CO"/>
                <w14:ligatures w14:val="none"/>
              </w:rPr>
              <w:t>-1.648.317.258.476</w:t>
            </w:r>
          </w:p>
        </w:tc>
      </w:tr>
      <w:tr w:rsidR="003426DD" w:rsidRPr="00951AB1" w14:paraId="195D5EEC" w14:textId="77777777" w:rsidTr="00AF64E6">
        <w:trPr>
          <w:trHeight w:val="300"/>
        </w:trPr>
        <w:tc>
          <w:tcPr>
            <w:tcW w:w="316" w:type="pct"/>
            <w:noWrap/>
            <w:vAlign w:val="center"/>
            <w:hideMark/>
          </w:tcPr>
          <w:p w14:paraId="30E3BFA0" w14:textId="77777777" w:rsidR="007943C8" w:rsidRPr="00951AB1" w:rsidRDefault="007943C8" w:rsidP="000A5389">
            <w:pPr>
              <w:spacing w:line="240" w:lineRule="auto"/>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lastRenderedPageBreak/>
              <w:t>2.4.60</w:t>
            </w:r>
          </w:p>
        </w:tc>
        <w:tc>
          <w:tcPr>
            <w:tcW w:w="242" w:type="pct"/>
            <w:noWrap/>
            <w:vAlign w:val="center"/>
            <w:hideMark/>
          </w:tcPr>
          <w:p w14:paraId="2C3B1CF7" w14:textId="77777777" w:rsidR="007943C8" w:rsidRPr="00951AB1" w:rsidRDefault="007943C8" w:rsidP="000A5389">
            <w:pPr>
              <w:spacing w:line="240" w:lineRule="auto"/>
              <w:jc w:val="center"/>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Cr</w:t>
            </w:r>
          </w:p>
        </w:tc>
        <w:tc>
          <w:tcPr>
            <w:tcW w:w="1903" w:type="pct"/>
            <w:vAlign w:val="center"/>
            <w:hideMark/>
          </w:tcPr>
          <w:p w14:paraId="72D30047" w14:textId="77777777" w:rsidR="007943C8" w:rsidRPr="00951AB1" w:rsidRDefault="007943C8" w:rsidP="000A5389">
            <w:pPr>
              <w:spacing w:line="240" w:lineRule="auto"/>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Créditos judiciales</w:t>
            </w:r>
          </w:p>
        </w:tc>
        <w:tc>
          <w:tcPr>
            <w:tcW w:w="821" w:type="pct"/>
            <w:noWrap/>
            <w:vAlign w:val="center"/>
            <w:hideMark/>
          </w:tcPr>
          <w:p w14:paraId="23BE87C0" w14:textId="77777777" w:rsidR="007943C8" w:rsidRPr="00951AB1" w:rsidRDefault="007943C8" w:rsidP="000A5389">
            <w:pPr>
              <w:spacing w:line="240" w:lineRule="auto"/>
              <w:jc w:val="right"/>
              <w:rPr>
                <w:rFonts w:eastAsia="Times New Roman" w:cs="Times New Roman"/>
                <w:kern w:val="0"/>
                <w:sz w:val="18"/>
                <w:szCs w:val="18"/>
                <w:lang w:eastAsia="es-CO"/>
                <w14:ligatures w14:val="none"/>
              </w:rPr>
            </w:pPr>
            <w:r w:rsidRPr="00951AB1">
              <w:rPr>
                <w:rFonts w:eastAsia="Times New Roman" w:cs="Times New Roman"/>
                <w:kern w:val="0"/>
                <w:sz w:val="18"/>
                <w:szCs w:val="18"/>
                <w:lang w:eastAsia="es-CO"/>
                <w14:ligatures w14:val="none"/>
              </w:rPr>
              <w:t>4.272.356.413.367</w:t>
            </w:r>
          </w:p>
        </w:tc>
        <w:tc>
          <w:tcPr>
            <w:tcW w:w="785" w:type="pct"/>
            <w:noWrap/>
            <w:vAlign w:val="center"/>
            <w:hideMark/>
          </w:tcPr>
          <w:p w14:paraId="5F6A9036" w14:textId="77777777" w:rsidR="007943C8" w:rsidRPr="00951AB1" w:rsidRDefault="007943C8" w:rsidP="000A5389">
            <w:pPr>
              <w:spacing w:line="240" w:lineRule="auto"/>
              <w:jc w:val="right"/>
              <w:rPr>
                <w:rFonts w:eastAsia="Times New Roman" w:cs="Times New Roman"/>
                <w:kern w:val="0"/>
                <w:sz w:val="18"/>
                <w:szCs w:val="18"/>
                <w:lang w:eastAsia="es-CO"/>
                <w14:ligatures w14:val="none"/>
              </w:rPr>
            </w:pPr>
            <w:r w:rsidRPr="00951AB1">
              <w:rPr>
                <w:rFonts w:eastAsia="Times New Roman" w:cs="Times New Roman"/>
                <w:kern w:val="0"/>
                <w:sz w:val="18"/>
                <w:szCs w:val="18"/>
                <w:lang w:eastAsia="es-CO"/>
                <w14:ligatures w14:val="none"/>
              </w:rPr>
              <w:t>2.586.306.184.295</w:t>
            </w:r>
          </w:p>
        </w:tc>
        <w:tc>
          <w:tcPr>
            <w:tcW w:w="934" w:type="pct"/>
            <w:noWrap/>
            <w:vAlign w:val="center"/>
            <w:hideMark/>
          </w:tcPr>
          <w:p w14:paraId="162B620E" w14:textId="77777777" w:rsidR="007943C8" w:rsidRPr="00951AB1" w:rsidRDefault="007943C8" w:rsidP="000A5389">
            <w:pPr>
              <w:spacing w:line="240" w:lineRule="auto"/>
              <w:jc w:val="right"/>
              <w:rPr>
                <w:rFonts w:eastAsia="Times New Roman" w:cs="Times New Roman"/>
                <w:kern w:val="0"/>
                <w:sz w:val="18"/>
                <w:szCs w:val="18"/>
                <w:lang w:eastAsia="es-CO"/>
                <w14:ligatures w14:val="none"/>
              </w:rPr>
            </w:pPr>
            <w:r w:rsidRPr="00951AB1">
              <w:rPr>
                <w:rFonts w:eastAsia="Times New Roman" w:cs="Times New Roman"/>
                <w:kern w:val="0"/>
                <w:sz w:val="18"/>
                <w:szCs w:val="18"/>
                <w:lang w:eastAsia="es-CO"/>
                <w14:ligatures w14:val="none"/>
              </w:rPr>
              <w:t>1.686.050.229.072</w:t>
            </w:r>
          </w:p>
        </w:tc>
      </w:tr>
      <w:tr w:rsidR="003426DD" w:rsidRPr="00951AB1" w14:paraId="31012110" w14:textId="77777777" w:rsidTr="00AF64E6">
        <w:trPr>
          <w:trHeight w:val="300"/>
        </w:trPr>
        <w:tc>
          <w:tcPr>
            <w:tcW w:w="316" w:type="pct"/>
            <w:noWrap/>
            <w:vAlign w:val="center"/>
            <w:hideMark/>
          </w:tcPr>
          <w:p w14:paraId="2E0F412D" w14:textId="77777777" w:rsidR="007943C8" w:rsidRPr="00951AB1" w:rsidRDefault="007943C8" w:rsidP="000A5389">
            <w:pPr>
              <w:spacing w:line="240" w:lineRule="auto"/>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2.4.90</w:t>
            </w:r>
          </w:p>
        </w:tc>
        <w:tc>
          <w:tcPr>
            <w:tcW w:w="242" w:type="pct"/>
            <w:noWrap/>
            <w:vAlign w:val="center"/>
            <w:hideMark/>
          </w:tcPr>
          <w:p w14:paraId="1A443317" w14:textId="77777777" w:rsidR="007943C8" w:rsidRPr="00951AB1" w:rsidRDefault="007943C8" w:rsidP="000A5389">
            <w:pPr>
              <w:spacing w:line="240" w:lineRule="auto"/>
              <w:jc w:val="center"/>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Cr</w:t>
            </w:r>
          </w:p>
        </w:tc>
        <w:tc>
          <w:tcPr>
            <w:tcW w:w="1903" w:type="pct"/>
            <w:vAlign w:val="center"/>
            <w:hideMark/>
          </w:tcPr>
          <w:p w14:paraId="4568C7BB" w14:textId="77777777" w:rsidR="007943C8" w:rsidRPr="00951AB1" w:rsidRDefault="007943C8" w:rsidP="000A5389">
            <w:pPr>
              <w:spacing w:line="240" w:lineRule="auto"/>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Otras cuentas por pagar</w:t>
            </w:r>
          </w:p>
        </w:tc>
        <w:tc>
          <w:tcPr>
            <w:tcW w:w="821" w:type="pct"/>
            <w:noWrap/>
            <w:vAlign w:val="center"/>
            <w:hideMark/>
          </w:tcPr>
          <w:p w14:paraId="5FC32A9F" w14:textId="77777777" w:rsidR="007943C8" w:rsidRPr="00951AB1" w:rsidRDefault="007943C8" w:rsidP="000A5389">
            <w:pPr>
              <w:spacing w:line="240" w:lineRule="auto"/>
              <w:jc w:val="right"/>
              <w:rPr>
                <w:rFonts w:eastAsia="Times New Roman" w:cs="Times New Roman"/>
                <w:kern w:val="0"/>
                <w:sz w:val="18"/>
                <w:szCs w:val="18"/>
                <w:lang w:eastAsia="es-CO"/>
                <w14:ligatures w14:val="none"/>
              </w:rPr>
            </w:pPr>
            <w:r w:rsidRPr="00951AB1">
              <w:rPr>
                <w:rFonts w:eastAsia="Times New Roman" w:cs="Times New Roman"/>
                <w:kern w:val="0"/>
                <w:sz w:val="18"/>
                <w:szCs w:val="18"/>
                <w:lang w:eastAsia="es-CO"/>
                <w14:ligatures w14:val="none"/>
              </w:rPr>
              <w:t>1.587.483.324.916</w:t>
            </w:r>
          </w:p>
        </w:tc>
        <w:tc>
          <w:tcPr>
            <w:tcW w:w="785" w:type="pct"/>
            <w:noWrap/>
            <w:vAlign w:val="center"/>
            <w:hideMark/>
          </w:tcPr>
          <w:p w14:paraId="5D46FFDC" w14:textId="77777777" w:rsidR="007943C8" w:rsidRPr="00951AB1" w:rsidRDefault="007943C8" w:rsidP="000A5389">
            <w:pPr>
              <w:spacing w:line="240" w:lineRule="auto"/>
              <w:jc w:val="right"/>
              <w:rPr>
                <w:rFonts w:eastAsia="Times New Roman" w:cs="Times New Roman"/>
                <w:kern w:val="0"/>
                <w:sz w:val="18"/>
                <w:szCs w:val="18"/>
                <w:lang w:eastAsia="es-CO"/>
                <w14:ligatures w14:val="none"/>
              </w:rPr>
            </w:pPr>
            <w:r w:rsidRPr="00951AB1">
              <w:rPr>
                <w:rFonts w:eastAsia="Times New Roman" w:cs="Times New Roman"/>
                <w:kern w:val="0"/>
                <w:sz w:val="18"/>
                <w:szCs w:val="18"/>
                <w:lang w:eastAsia="es-CO"/>
                <w14:ligatures w14:val="none"/>
              </w:rPr>
              <w:t>757.121.304.004</w:t>
            </w:r>
          </w:p>
        </w:tc>
        <w:tc>
          <w:tcPr>
            <w:tcW w:w="934" w:type="pct"/>
            <w:noWrap/>
            <w:vAlign w:val="center"/>
            <w:hideMark/>
          </w:tcPr>
          <w:p w14:paraId="07D27C8F" w14:textId="77777777" w:rsidR="007943C8" w:rsidRPr="00951AB1" w:rsidRDefault="007943C8" w:rsidP="000A5389">
            <w:pPr>
              <w:spacing w:line="240" w:lineRule="auto"/>
              <w:jc w:val="right"/>
              <w:rPr>
                <w:rFonts w:eastAsia="Times New Roman" w:cs="Times New Roman"/>
                <w:kern w:val="0"/>
                <w:sz w:val="18"/>
                <w:szCs w:val="18"/>
                <w:lang w:eastAsia="es-CO"/>
                <w14:ligatures w14:val="none"/>
              </w:rPr>
            </w:pPr>
            <w:r w:rsidRPr="00951AB1">
              <w:rPr>
                <w:rFonts w:eastAsia="Times New Roman" w:cs="Times New Roman"/>
                <w:kern w:val="0"/>
                <w:sz w:val="18"/>
                <w:szCs w:val="18"/>
                <w:lang w:eastAsia="es-CO"/>
                <w14:ligatures w14:val="none"/>
              </w:rPr>
              <w:t>830.362.020.912</w:t>
            </w:r>
          </w:p>
        </w:tc>
      </w:tr>
      <w:tr w:rsidR="003426DD" w:rsidRPr="00951AB1" w14:paraId="0675F5FC" w14:textId="77777777" w:rsidTr="00AF64E6">
        <w:trPr>
          <w:trHeight w:val="300"/>
        </w:trPr>
        <w:tc>
          <w:tcPr>
            <w:tcW w:w="316" w:type="pct"/>
            <w:noWrap/>
            <w:vAlign w:val="center"/>
            <w:hideMark/>
          </w:tcPr>
          <w:p w14:paraId="135E359C" w14:textId="77777777" w:rsidR="007943C8" w:rsidRPr="00951AB1" w:rsidRDefault="007943C8" w:rsidP="000A5389">
            <w:pPr>
              <w:spacing w:line="240" w:lineRule="auto"/>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2.4.07</w:t>
            </w:r>
          </w:p>
        </w:tc>
        <w:tc>
          <w:tcPr>
            <w:tcW w:w="242" w:type="pct"/>
            <w:noWrap/>
            <w:vAlign w:val="center"/>
            <w:hideMark/>
          </w:tcPr>
          <w:p w14:paraId="203B7080" w14:textId="77777777" w:rsidR="007943C8" w:rsidRPr="00951AB1" w:rsidRDefault="007943C8" w:rsidP="000A5389">
            <w:pPr>
              <w:spacing w:line="240" w:lineRule="auto"/>
              <w:jc w:val="center"/>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Cr</w:t>
            </w:r>
          </w:p>
        </w:tc>
        <w:tc>
          <w:tcPr>
            <w:tcW w:w="1903" w:type="pct"/>
            <w:vAlign w:val="center"/>
            <w:hideMark/>
          </w:tcPr>
          <w:p w14:paraId="23579546" w14:textId="77777777" w:rsidR="007943C8" w:rsidRPr="00951AB1" w:rsidRDefault="007943C8" w:rsidP="000A5389">
            <w:pPr>
              <w:spacing w:line="240" w:lineRule="auto"/>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Recursos a favor de terceros</w:t>
            </w:r>
          </w:p>
        </w:tc>
        <w:tc>
          <w:tcPr>
            <w:tcW w:w="821" w:type="pct"/>
            <w:noWrap/>
            <w:vAlign w:val="center"/>
            <w:hideMark/>
          </w:tcPr>
          <w:p w14:paraId="72066FCD" w14:textId="77777777" w:rsidR="007943C8" w:rsidRPr="00951AB1" w:rsidRDefault="007943C8" w:rsidP="000A5389">
            <w:pPr>
              <w:spacing w:line="240" w:lineRule="auto"/>
              <w:jc w:val="right"/>
              <w:rPr>
                <w:rFonts w:eastAsia="Times New Roman" w:cs="Times New Roman"/>
                <w:kern w:val="0"/>
                <w:sz w:val="18"/>
                <w:szCs w:val="18"/>
                <w:lang w:eastAsia="es-CO"/>
                <w14:ligatures w14:val="none"/>
              </w:rPr>
            </w:pPr>
            <w:r w:rsidRPr="00951AB1">
              <w:rPr>
                <w:rFonts w:eastAsia="Times New Roman" w:cs="Times New Roman"/>
                <w:kern w:val="0"/>
                <w:sz w:val="18"/>
                <w:szCs w:val="18"/>
                <w:lang w:eastAsia="es-CO"/>
                <w14:ligatures w14:val="none"/>
              </w:rPr>
              <w:t>6.987.097.457</w:t>
            </w:r>
          </w:p>
        </w:tc>
        <w:tc>
          <w:tcPr>
            <w:tcW w:w="785" w:type="pct"/>
            <w:noWrap/>
            <w:vAlign w:val="center"/>
            <w:hideMark/>
          </w:tcPr>
          <w:p w14:paraId="7BFBEF59" w14:textId="77777777" w:rsidR="007943C8" w:rsidRPr="00951AB1" w:rsidRDefault="007943C8" w:rsidP="000A5389">
            <w:pPr>
              <w:spacing w:line="240" w:lineRule="auto"/>
              <w:jc w:val="right"/>
              <w:rPr>
                <w:rFonts w:eastAsia="Times New Roman" w:cs="Times New Roman"/>
                <w:kern w:val="0"/>
                <w:sz w:val="18"/>
                <w:szCs w:val="18"/>
                <w:lang w:eastAsia="es-CO"/>
                <w14:ligatures w14:val="none"/>
              </w:rPr>
            </w:pPr>
            <w:r w:rsidRPr="00951AB1">
              <w:rPr>
                <w:rFonts w:eastAsia="Times New Roman" w:cs="Times New Roman"/>
                <w:kern w:val="0"/>
                <w:sz w:val="18"/>
                <w:szCs w:val="18"/>
                <w:lang w:eastAsia="es-CO"/>
                <w14:ligatures w14:val="none"/>
              </w:rPr>
              <w:t>3.170.714.245</w:t>
            </w:r>
          </w:p>
        </w:tc>
        <w:tc>
          <w:tcPr>
            <w:tcW w:w="934" w:type="pct"/>
            <w:noWrap/>
            <w:vAlign w:val="center"/>
            <w:hideMark/>
          </w:tcPr>
          <w:p w14:paraId="0B1A2E7C" w14:textId="77777777" w:rsidR="007943C8" w:rsidRPr="00951AB1" w:rsidRDefault="007943C8" w:rsidP="000A5389">
            <w:pPr>
              <w:spacing w:line="240" w:lineRule="auto"/>
              <w:jc w:val="right"/>
              <w:rPr>
                <w:rFonts w:eastAsia="Times New Roman" w:cs="Times New Roman"/>
                <w:kern w:val="0"/>
                <w:sz w:val="18"/>
                <w:szCs w:val="18"/>
                <w:lang w:eastAsia="es-CO"/>
                <w14:ligatures w14:val="none"/>
              </w:rPr>
            </w:pPr>
            <w:r w:rsidRPr="00951AB1">
              <w:rPr>
                <w:rFonts w:eastAsia="Times New Roman" w:cs="Times New Roman"/>
                <w:kern w:val="0"/>
                <w:sz w:val="18"/>
                <w:szCs w:val="18"/>
                <w:lang w:eastAsia="es-CO"/>
                <w14:ligatures w14:val="none"/>
              </w:rPr>
              <w:t>3.816.383.211</w:t>
            </w:r>
          </w:p>
        </w:tc>
      </w:tr>
      <w:tr w:rsidR="003426DD" w:rsidRPr="00951AB1" w14:paraId="211B8EBD" w14:textId="77777777" w:rsidTr="00AF64E6">
        <w:trPr>
          <w:trHeight w:val="300"/>
        </w:trPr>
        <w:tc>
          <w:tcPr>
            <w:tcW w:w="316" w:type="pct"/>
            <w:noWrap/>
            <w:vAlign w:val="center"/>
            <w:hideMark/>
          </w:tcPr>
          <w:p w14:paraId="766A7B17" w14:textId="77777777" w:rsidR="007943C8" w:rsidRPr="00951AB1" w:rsidRDefault="007943C8" w:rsidP="000A5389">
            <w:pPr>
              <w:spacing w:line="240" w:lineRule="auto"/>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2.4.01</w:t>
            </w:r>
          </w:p>
        </w:tc>
        <w:tc>
          <w:tcPr>
            <w:tcW w:w="242" w:type="pct"/>
            <w:noWrap/>
            <w:vAlign w:val="center"/>
            <w:hideMark/>
          </w:tcPr>
          <w:p w14:paraId="6E012A8C" w14:textId="77777777" w:rsidR="007943C8" w:rsidRPr="00951AB1" w:rsidRDefault="007943C8" w:rsidP="000A5389">
            <w:pPr>
              <w:spacing w:line="240" w:lineRule="auto"/>
              <w:jc w:val="center"/>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Cr</w:t>
            </w:r>
          </w:p>
        </w:tc>
        <w:tc>
          <w:tcPr>
            <w:tcW w:w="1903" w:type="pct"/>
            <w:vAlign w:val="center"/>
            <w:hideMark/>
          </w:tcPr>
          <w:p w14:paraId="3DCA2D2D" w14:textId="77777777" w:rsidR="007943C8" w:rsidRPr="00951AB1" w:rsidRDefault="007943C8" w:rsidP="000A5389">
            <w:pPr>
              <w:spacing w:line="240" w:lineRule="auto"/>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Adquisición de bienes y servicios nacionales</w:t>
            </w:r>
          </w:p>
        </w:tc>
        <w:tc>
          <w:tcPr>
            <w:tcW w:w="821" w:type="pct"/>
            <w:noWrap/>
            <w:vAlign w:val="center"/>
            <w:hideMark/>
          </w:tcPr>
          <w:p w14:paraId="1033FBFB" w14:textId="77777777" w:rsidR="007943C8" w:rsidRPr="00951AB1" w:rsidRDefault="007943C8" w:rsidP="000A5389">
            <w:pPr>
              <w:spacing w:line="240" w:lineRule="auto"/>
              <w:jc w:val="right"/>
              <w:rPr>
                <w:rFonts w:eastAsia="Times New Roman" w:cs="Times New Roman"/>
                <w:kern w:val="0"/>
                <w:sz w:val="18"/>
                <w:szCs w:val="18"/>
                <w:lang w:eastAsia="es-CO"/>
                <w14:ligatures w14:val="none"/>
              </w:rPr>
            </w:pPr>
            <w:r w:rsidRPr="00951AB1">
              <w:rPr>
                <w:rFonts w:eastAsia="Times New Roman" w:cs="Times New Roman"/>
                <w:kern w:val="0"/>
                <w:sz w:val="18"/>
                <w:szCs w:val="18"/>
                <w:lang w:eastAsia="es-CO"/>
                <w14:ligatures w14:val="none"/>
              </w:rPr>
              <w:t>5.734.430.663</w:t>
            </w:r>
          </w:p>
        </w:tc>
        <w:tc>
          <w:tcPr>
            <w:tcW w:w="785" w:type="pct"/>
            <w:noWrap/>
            <w:vAlign w:val="center"/>
            <w:hideMark/>
          </w:tcPr>
          <w:p w14:paraId="35567D7D" w14:textId="77777777" w:rsidR="007943C8" w:rsidRPr="00951AB1" w:rsidRDefault="007943C8" w:rsidP="000A5389">
            <w:pPr>
              <w:spacing w:line="240" w:lineRule="auto"/>
              <w:jc w:val="right"/>
              <w:rPr>
                <w:rFonts w:eastAsia="Times New Roman" w:cs="Times New Roman"/>
                <w:kern w:val="0"/>
                <w:sz w:val="18"/>
                <w:szCs w:val="18"/>
                <w:lang w:eastAsia="es-CO"/>
                <w14:ligatures w14:val="none"/>
              </w:rPr>
            </w:pPr>
            <w:r w:rsidRPr="00951AB1">
              <w:rPr>
                <w:rFonts w:eastAsia="Times New Roman" w:cs="Times New Roman"/>
                <w:kern w:val="0"/>
                <w:sz w:val="18"/>
                <w:szCs w:val="18"/>
                <w:lang w:eastAsia="es-CO"/>
                <w14:ligatures w14:val="none"/>
              </w:rPr>
              <w:t>4.174.713.330.721</w:t>
            </w:r>
          </w:p>
        </w:tc>
        <w:tc>
          <w:tcPr>
            <w:tcW w:w="934" w:type="pct"/>
            <w:noWrap/>
            <w:vAlign w:val="center"/>
            <w:hideMark/>
          </w:tcPr>
          <w:p w14:paraId="5218EBD1" w14:textId="77777777" w:rsidR="007943C8" w:rsidRPr="00951AB1" w:rsidRDefault="007943C8" w:rsidP="000A5389">
            <w:pPr>
              <w:spacing w:line="240" w:lineRule="auto"/>
              <w:jc w:val="right"/>
              <w:rPr>
                <w:rFonts w:eastAsia="Times New Roman" w:cs="Times New Roman"/>
                <w:kern w:val="0"/>
                <w:sz w:val="18"/>
                <w:szCs w:val="18"/>
                <w:lang w:eastAsia="es-CO"/>
                <w14:ligatures w14:val="none"/>
              </w:rPr>
            </w:pPr>
            <w:r w:rsidRPr="00951AB1">
              <w:rPr>
                <w:rFonts w:eastAsia="Times New Roman" w:cs="Times New Roman"/>
                <w:kern w:val="0"/>
                <w:sz w:val="18"/>
                <w:szCs w:val="18"/>
                <w:lang w:eastAsia="es-CO"/>
                <w14:ligatures w14:val="none"/>
              </w:rPr>
              <w:t>-4.168.978.900.058</w:t>
            </w:r>
          </w:p>
        </w:tc>
      </w:tr>
      <w:tr w:rsidR="003426DD" w:rsidRPr="00951AB1" w14:paraId="6143D868" w14:textId="77777777" w:rsidTr="00AF64E6">
        <w:trPr>
          <w:trHeight w:val="300"/>
        </w:trPr>
        <w:tc>
          <w:tcPr>
            <w:tcW w:w="316" w:type="pct"/>
            <w:noWrap/>
            <w:vAlign w:val="center"/>
            <w:hideMark/>
          </w:tcPr>
          <w:p w14:paraId="393FAC05" w14:textId="77777777" w:rsidR="007943C8" w:rsidRPr="00951AB1" w:rsidRDefault="007943C8" w:rsidP="000A5389">
            <w:pPr>
              <w:spacing w:line="240" w:lineRule="auto"/>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2.4.36</w:t>
            </w:r>
          </w:p>
        </w:tc>
        <w:tc>
          <w:tcPr>
            <w:tcW w:w="242" w:type="pct"/>
            <w:noWrap/>
            <w:vAlign w:val="center"/>
            <w:hideMark/>
          </w:tcPr>
          <w:p w14:paraId="5AB720F8" w14:textId="77777777" w:rsidR="007943C8" w:rsidRPr="00951AB1" w:rsidRDefault="007943C8" w:rsidP="000A5389">
            <w:pPr>
              <w:spacing w:line="240" w:lineRule="auto"/>
              <w:jc w:val="center"/>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Cr</w:t>
            </w:r>
          </w:p>
        </w:tc>
        <w:tc>
          <w:tcPr>
            <w:tcW w:w="1903" w:type="pct"/>
            <w:vAlign w:val="center"/>
            <w:hideMark/>
          </w:tcPr>
          <w:p w14:paraId="3E78AC2D" w14:textId="77777777" w:rsidR="007943C8" w:rsidRPr="00951AB1" w:rsidRDefault="007943C8" w:rsidP="000A5389">
            <w:pPr>
              <w:spacing w:line="240" w:lineRule="auto"/>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Retención en la fuente e impuesto de timbre</w:t>
            </w:r>
          </w:p>
        </w:tc>
        <w:tc>
          <w:tcPr>
            <w:tcW w:w="821" w:type="pct"/>
            <w:noWrap/>
            <w:vAlign w:val="center"/>
            <w:hideMark/>
          </w:tcPr>
          <w:p w14:paraId="36720B45" w14:textId="77777777" w:rsidR="007943C8" w:rsidRPr="00951AB1" w:rsidRDefault="007943C8" w:rsidP="000A5389">
            <w:pPr>
              <w:spacing w:line="240" w:lineRule="auto"/>
              <w:jc w:val="right"/>
              <w:rPr>
                <w:rFonts w:eastAsia="Times New Roman" w:cs="Times New Roman"/>
                <w:kern w:val="0"/>
                <w:sz w:val="18"/>
                <w:szCs w:val="18"/>
                <w:lang w:eastAsia="es-CO"/>
                <w14:ligatures w14:val="none"/>
              </w:rPr>
            </w:pPr>
            <w:r w:rsidRPr="00951AB1">
              <w:rPr>
                <w:rFonts w:eastAsia="Times New Roman" w:cs="Times New Roman"/>
                <w:kern w:val="0"/>
                <w:sz w:val="18"/>
                <w:szCs w:val="18"/>
                <w:lang w:eastAsia="es-CO"/>
                <w14:ligatures w14:val="none"/>
              </w:rPr>
              <w:t>3.161.604.426</w:t>
            </w:r>
          </w:p>
        </w:tc>
        <w:tc>
          <w:tcPr>
            <w:tcW w:w="785" w:type="pct"/>
            <w:noWrap/>
            <w:vAlign w:val="center"/>
            <w:hideMark/>
          </w:tcPr>
          <w:p w14:paraId="50273680" w14:textId="77777777" w:rsidR="007943C8" w:rsidRPr="00951AB1" w:rsidRDefault="007943C8" w:rsidP="000A5389">
            <w:pPr>
              <w:spacing w:line="240" w:lineRule="auto"/>
              <w:jc w:val="right"/>
              <w:rPr>
                <w:rFonts w:eastAsia="Times New Roman" w:cs="Times New Roman"/>
                <w:kern w:val="0"/>
                <w:sz w:val="18"/>
                <w:szCs w:val="18"/>
                <w:lang w:eastAsia="es-CO"/>
                <w14:ligatures w14:val="none"/>
              </w:rPr>
            </w:pPr>
            <w:r w:rsidRPr="00951AB1">
              <w:rPr>
                <w:rFonts w:eastAsia="Times New Roman" w:cs="Times New Roman"/>
                <w:kern w:val="0"/>
                <w:sz w:val="18"/>
                <w:szCs w:val="18"/>
                <w:lang w:eastAsia="es-CO"/>
                <w14:ligatures w14:val="none"/>
              </w:rPr>
              <w:t>2.639.732.639</w:t>
            </w:r>
          </w:p>
        </w:tc>
        <w:tc>
          <w:tcPr>
            <w:tcW w:w="934" w:type="pct"/>
            <w:noWrap/>
            <w:vAlign w:val="center"/>
            <w:hideMark/>
          </w:tcPr>
          <w:p w14:paraId="0B629D93" w14:textId="77777777" w:rsidR="007943C8" w:rsidRPr="00951AB1" w:rsidRDefault="007943C8" w:rsidP="000A5389">
            <w:pPr>
              <w:spacing w:line="240" w:lineRule="auto"/>
              <w:jc w:val="right"/>
              <w:rPr>
                <w:rFonts w:eastAsia="Times New Roman" w:cs="Times New Roman"/>
                <w:kern w:val="0"/>
                <w:sz w:val="18"/>
                <w:szCs w:val="18"/>
                <w:lang w:eastAsia="es-CO"/>
                <w14:ligatures w14:val="none"/>
              </w:rPr>
            </w:pPr>
            <w:r w:rsidRPr="00951AB1">
              <w:rPr>
                <w:rFonts w:eastAsia="Times New Roman" w:cs="Times New Roman"/>
                <w:kern w:val="0"/>
                <w:sz w:val="18"/>
                <w:szCs w:val="18"/>
                <w:lang w:eastAsia="es-CO"/>
                <w14:ligatures w14:val="none"/>
              </w:rPr>
              <w:t>521.871.787</w:t>
            </w:r>
          </w:p>
        </w:tc>
      </w:tr>
      <w:tr w:rsidR="003426DD" w:rsidRPr="00951AB1" w14:paraId="02BCF132" w14:textId="77777777" w:rsidTr="00AF64E6">
        <w:trPr>
          <w:trHeight w:val="300"/>
        </w:trPr>
        <w:tc>
          <w:tcPr>
            <w:tcW w:w="316" w:type="pct"/>
            <w:noWrap/>
            <w:vAlign w:val="center"/>
            <w:hideMark/>
          </w:tcPr>
          <w:p w14:paraId="02D1FCFB" w14:textId="77777777" w:rsidR="007943C8" w:rsidRPr="00951AB1" w:rsidRDefault="007943C8" w:rsidP="000A5389">
            <w:pPr>
              <w:spacing w:line="240" w:lineRule="auto"/>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2.4.40</w:t>
            </w:r>
          </w:p>
        </w:tc>
        <w:tc>
          <w:tcPr>
            <w:tcW w:w="242" w:type="pct"/>
            <w:noWrap/>
            <w:vAlign w:val="center"/>
            <w:hideMark/>
          </w:tcPr>
          <w:p w14:paraId="4CE2CB93" w14:textId="77777777" w:rsidR="007943C8" w:rsidRPr="00951AB1" w:rsidRDefault="007943C8" w:rsidP="000A5389">
            <w:pPr>
              <w:spacing w:line="240" w:lineRule="auto"/>
              <w:jc w:val="center"/>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Cr</w:t>
            </w:r>
          </w:p>
        </w:tc>
        <w:tc>
          <w:tcPr>
            <w:tcW w:w="1903" w:type="pct"/>
            <w:vAlign w:val="center"/>
            <w:hideMark/>
          </w:tcPr>
          <w:p w14:paraId="33A8AE8E" w14:textId="77777777" w:rsidR="007943C8" w:rsidRPr="00951AB1" w:rsidRDefault="007943C8" w:rsidP="000A5389">
            <w:pPr>
              <w:spacing w:line="240" w:lineRule="auto"/>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Impuestos, contribuciones y tasas</w:t>
            </w:r>
          </w:p>
        </w:tc>
        <w:tc>
          <w:tcPr>
            <w:tcW w:w="821" w:type="pct"/>
            <w:noWrap/>
            <w:vAlign w:val="center"/>
            <w:hideMark/>
          </w:tcPr>
          <w:p w14:paraId="693D5A7F" w14:textId="77777777" w:rsidR="007943C8" w:rsidRPr="00951AB1" w:rsidRDefault="007943C8" w:rsidP="000A5389">
            <w:pPr>
              <w:spacing w:line="240" w:lineRule="auto"/>
              <w:jc w:val="right"/>
              <w:rPr>
                <w:rFonts w:eastAsia="Times New Roman" w:cs="Times New Roman"/>
                <w:kern w:val="0"/>
                <w:sz w:val="18"/>
                <w:szCs w:val="18"/>
                <w:lang w:eastAsia="es-CO"/>
                <w14:ligatures w14:val="none"/>
              </w:rPr>
            </w:pPr>
            <w:r w:rsidRPr="00951AB1">
              <w:rPr>
                <w:rFonts w:eastAsia="Times New Roman" w:cs="Times New Roman"/>
                <w:kern w:val="0"/>
                <w:sz w:val="18"/>
                <w:szCs w:val="18"/>
                <w:lang w:eastAsia="es-CO"/>
                <w14:ligatures w14:val="none"/>
              </w:rPr>
              <w:t>63.908.090</w:t>
            </w:r>
          </w:p>
        </w:tc>
        <w:tc>
          <w:tcPr>
            <w:tcW w:w="785" w:type="pct"/>
            <w:noWrap/>
            <w:vAlign w:val="center"/>
            <w:hideMark/>
          </w:tcPr>
          <w:p w14:paraId="71C59CF7" w14:textId="77777777" w:rsidR="007943C8" w:rsidRPr="00951AB1" w:rsidRDefault="007943C8" w:rsidP="000A5389">
            <w:pPr>
              <w:spacing w:line="240" w:lineRule="auto"/>
              <w:jc w:val="right"/>
              <w:rPr>
                <w:rFonts w:eastAsia="Times New Roman" w:cs="Times New Roman"/>
                <w:kern w:val="0"/>
                <w:sz w:val="18"/>
                <w:szCs w:val="18"/>
                <w:lang w:eastAsia="es-CO"/>
                <w14:ligatures w14:val="none"/>
              </w:rPr>
            </w:pPr>
            <w:r w:rsidRPr="00951AB1">
              <w:rPr>
                <w:rFonts w:eastAsia="Times New Roman" w:cs="Times New Roman"/>
                <w:kern w:val="0"/>
                <w:sz w:val="18"/>
                <w:szCs w:val="18"/>
                <w:lang w:eastAsia="es-CO"/>
                <w14:ligatures w14:val="none"/>
              </w:rPr>
              <w:t>139.207.590</w:t>
            </w:r>
          </w:p>
        </w:tc>
        <w:tc>
          <w:tcPr>
            <w:tcW w:w="934" w:type="pct"/>
            <w:noWrap/>
            <w:vAlign w:val="center"/>
            <w:hideMark/>
          </w:tcPr>
          <w:p w14:paraId="45239FF9" w14:textId="77777777" w:rsidR="007943C8" w:rsidRPr="00951AB1" w:rsidRDefault="007943C8" w:rsidP="000A5389">
            <w:pPr>
              <w:spacing w:line="240" w:lineRule="auto"/>
              <w:jc w:val="right"/>
              <w:rPr>
                <w:rFonts w:eastAsia="Times New Roman" w:cs="Times New Roman"/>
                <w:kern w:val="0"/>
                <w:sz w:val="18"/>
                <w:szCs w:val="18"/>
                <w:lang w:eastAsia="es-CO"/>
                <w14:ligatures w14:val="none"/>
              </w:rPr>
            </w:pPr>
            <w:r w:rsidRPr="00951AB1">
              <w:rPr>
                <w:rFonts w:eastAsia="Times New Roman" w:cs="Times New Roman"/>
                <w:kern w:val="0"/>
                <w:sz w:val="18"/>
                <w:szCs w:val="18"/>
                <w:lang w:eastAsia="es-CO"/>
                <w14:ligatures w14:val="none"/>
              </w:rPr>
              <w:t>-75.299.500</w:t>
            </w:r>
          </w:p>
        </w:tc>
      </w:tr>
      <w:tr w:rsidR="003426DD" w:rsidRPr="00951AB1" w14:paraId="64BB7EEC" w14:textId="77777777" w:rsidTr="00AF64E6">
        <w:trPr>
          <w:trHeight w:val="300"/>
        </w:trPr>
        <w:tc>
          <w:tcPr>
            <w:tcW w:w="316" w:type="pct"/>
            <w:noWrap/>
            <w:vAlign w:val="center"/>
            <w:hideMark/>
          </w:tcPr>
          <w:p w14:paraId="257DC78F" w14:textId="77777777" w:rsidR="007943C8" w:rsidRPr="00951AB1" w:rsidRDefault="007943C8" w:rsidP="000A5389">
            <w:pPr>
              <w:spacing w:line="240" w:lineRule="auto"/>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2.4.24</w:t>
            </w:r>
          </w:p>
        </w:tc>
        <w:tc>
          <w:tcPr>
            <w:tcW w:w="242" w:type="pct"/>
            <w:noWrap/>
            <w:vAlign w:val="center"/>
            <w:hideMark/>
          </w:tcPr>
          <w:p w14:paraId="655D7BDC" w14:textId="77777777" w:rsidR="007943C8" w:rsidRPr="00951AB1" w:rsidRDefault="007943C8" w:rsidP="000A5389">
            <w:pPr>
              <w:spacing w:line="240" w:lineRule="auto"/>
              <w:jc w:val="center"/>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Cr</w:t>
            </w:r>
          </w:p>
        </w:tc>
        <w:tc>
          <w:tcPr>
            <w:tcW w:w="1903" w:type="pct"/>
            <w:vAlign w:val="center"/>
            <w:hideMark/>
          </w:tcPr>
          <w:p w14:paraId="4E659FA1" w14:textId="77777777" w:rsidR="007943C8" w:rsidRPr="00951AB1" w:rsidRDefault="007943C8" w:rsidP="000A5389">
            <w:pPr>
              <w:spacing w:line="240" w:lineRule="auto"/>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Descuentos de nómina</w:t>
            </w:r>
          </w:p>
        </w:tc>
        <w:tc>
          <w:tcPr>
            <w:tcW w:w="821" w:type="pct"/>
            <w:noWrap/>
            <w:vAlign w:val="center"/>
            <w:hideMark/>
          </w:tcPr>
          <w:p w14:paraId="2BA9D53B" w14:textId="77777777" w:rsidR="007943C8" w:rsidRPr="00951AB1" w:rsidRDefault="007943C8" w:rsidP="000A5389">
            <w:pPr>
              <w:spacing w:line="240" w:lineRule="auto"/>
              <w:jc w:val="right"/>
              <w:rPr>
                <w:rFonts w:eastAsia="Times New Roman" w:cs="Times New Roman"/>
                <w:kern w:val="0"/>
                <w:sz w:val="18"/>
                <w:szCs w:val="18"/>
                <w:lang w:eastAsia="es-CO"/>
                <w14:ligatures w14:val="none"/>
              </w:rPr>
            </w:pPr>
            <w:r w:rsidRPr="00951AB1">
              <w:rPr>
                <w:rFonts w:eastAsia="Times New Roman" w:cs="Times New Roman"/>
                <w:kern w:val="0"/>
                <w:sz w:val="18"/>
                <w:szCs w:val="18"/>
                <w:lang w:eastAsia="es-CO"/>
                <w14:ligatures w14:val="none"/>
              </w:rPr>
              <w:t>12.722.314</w:t>
            </w:r>
          </w:p>
        </w:tc>
        <w:tc>
          <w:tcPr>
            <w:tcW w:w="785" w:type="pct"/>
            <w:noWrap/>
            <w:vAlign w:val="center"/>
            <w:hideMark/>
          </w:tcPr>
          <w:p w14:paraId="2D6607EF" w14:textId="77777777" w:rsidR="007943C8" w:rsidRPr="00951AB1" w:rsidRDefault="007943C8" w:rsidP="000A5389">
            <w:pPr>
              <w:spacing w:line="240" w:lineRule="auto"/>
              <w:jc w:val="right"/>
              <w:rPr>
                <w:rFonts w:eastAsia="Times New Roman" w:cs="Times New Roman"/>
                <w:kern w:val="0"/>
                <w:sz w:val="18"/>
                <w:szCs w:val="18"/>
                <w:lang w:eastAsia="es-CO"/>
                <w14:ligatures w14:val="none"/>
              </w:rPr>
            </w:pPr>
            <w:r w:rsidRPr="00951AB1">
              <w:rPr>
                <w:rFonts w:eastAsia="Times New Roman" w:cs="Times New Roman"/>
                <w:kern w:val="0"/>
                <w:sz w:val="18"/>
                <w:szCs w:val="18"/>
                <w:lang w:eastAsia="es-CO"/>
                <w14:ligatures w14:val="none"/>
              </w:rPr>
              <w:t>26.286.214</w:t>
            </w:r>
          </w:p>
        </w:tc>
        <w:tc>
          <w:tcPr>
            <w:tcW w:w="934" w:type="pct"/>
            <w:noWrap/>
            <w:vAlign w:val="center"/>
            <w:hideMark/>
          </w:tcPr>
          <w:p w14:paraId="3E4B2AF3" w14:textId="77777777" w:rsidR="007943C8" w:rsidRPr="00951AB1" w:rsidRDefault="007943C8" w:rsidP="000A5389">
            <w:pPr>
              <w:spacing w:line="240" w:lineRule="auto"/>
              <w:jc w:val="right"/>
              <w:rPr>
                <w:rFonts w:eastAsia="Times New Roman" w:cs="Times New Roman"/>
                <w:kern w:val="0"/>
                <w:sz w:val="18"/>
                <w:szCs w:val="18"/>
                <w:lang w:eastAsia="es-CO"/>
                <w14:ligatures w14:val="none"/>
              </w:rPr>
            </w:pPr>
            <w:r w:rsidRPr="00951AB1">
              <w:rPr>
                <w:rFonts w:eastAsia="Times New Roman" w:cs="Times New Roman"/>
                <w:kern w:val="0"/>
                <w:sz w:val="18"/>
                <w:szCs w:val="18"/>
                <w:lang w:eastAsia="es-CO"/>
                <w14:ligatures w14:val="none"/>
              </w:rPr>
              <w:t>-13.563.900</w:t>
            </w:r>
          </w:p>
        </w:tc>
      </w:tr>
    </w:tbl>
    <w:p w14:paraId="1FD27DFB" w14:textId="7F3EB78C" w:rsidR="005C22F4" w:rsidRPr="00951AB1" w:rsidRDefault="48683269" w:rsidP="000A5389">
      <w:pPr>
        <w:spacing w:line="240" w:lineRule="auto"/>
        <w:rPr>
          <w:rFonts w:cs="Times New Roman"/>
        </w:rPr>
      </w:pPr>
      <w:r w:rsidRPr="00951AB1">
        <w:rPr>
          <w:rFonts w:eastAsia="Times New Roman" w:cs="Times New Roman"/>
          <w:sz w:val="14"/>
          <w:szCs w:val="14"/>
        </w:rPr>
        <w:t>Cifras expresadas en pesos</w:t>
      </w:r>
    </w:p>
    <w:p w14:paraId="37C5CE34" w14:textId="7D40094B" w:rsidR="005C22F4" w:rsidRPr="00951AB1" w:rsidRDefault="005C22F4" w:rsidP="000A5389">
      <w:pPr>
        <w:spacing w:line="240" w:lineRule="auto"/>
        <w:rPr>
          <w:rFonts w:cs="Times New Roman"/>
          <w:szCs w:val="24"/>
        </w:rPr>
      </w:pPr>
    </w:p>
    <w:p w14:paraId="05264379" w14:textId="2E98BEF8" w:rsidR="005C22F4" w:rsidRPr="00951AB1" w:rsidRDefault="008515FA" w:rsidP="000A5389">
      <w:pPr>
        <w:pStyle w:val="Ttulo2"/>
        <w:numPr>
          <w:ilvl w:val="1"/>
          <w:numId w:val="27"/>
        </w:numPr>
        <w:spacing w:line="240" w:lineRule="auto"/>
        <w:rPr>
          <w:rFonts w:cs="Times New Roman"/>
        </w:rPr>
      </w:pPr>
      <w:bookmarkStart w:id="506" w:name="_Toc191369531"/>
      <w:bookmarkStart w:id="507" w:name="_Toc191456861"/>
      <w:bookmarkStart w:id="508" w:name="_Toc191456971"/>
      <w:bookmarkStart w:id="509" w:name="_Toc191457081"/>
      <w:bookmarkStart w:id="510" w:name="_Toc191475708"/>
      <w:bookmarkStart w:id="511" w:name="_Toc191475817"/>
      <w:bookmarkStart w:id="512" w:name="_Toc191475926"/>
      <w:bookmarkStart w:id="513" w:name="_Toc191475449"/>
      <w:bookmarkStart w:id="514" w:name="_Toc191505825"/>
      <w:bookmarkStart w:id="515" w:name="_Toc222824137"/>
      <w:r w:rsidRPr="00951AB1">
        <w:rPr>
          <w:rFonts w:cs="Times New Roman"/>
        </w:rPr>
        <w:t xml:space="preserve"> </w:t>
      </w:r>
      <w:r w:rsidRPr="00951AB1">
        <w:rPr>
          <w:rFonts w:cs="Times New Roman"/>
        </w:rPr>
        <w:tab/>
      </w:r>
      <w:bookmarkStart w:id="516" w:name="_Toc222955505"/>
      <w:r w:rsidR="005C22F4" w:rsidRPr="00951AB1">
        <w:rPr>
          <w:rFonts w:cs="Times New Roman"/>
        </w:rPr>
        <w:t>Revelaciones generales</w:t>
      </w:r>
      <w:bookmarkEnd w:id="506"/>
      <w:bookmarkEnd w:id="507"/>
      <w:bookmarkEnd w:id="508"/>
      <w:bookmarkEnd w:id="509"/>
      <w:bookmarkEnd w:id="510"/>
      <w:bookmarkEnd w:id="511"/>
      <w:bookmarkEnd w:id="512"/>
      <w:bookmarkEnd w:id="513"/>
      <w:bookmarkEnd w:id="514"/>
      <w:bookmarkEnd w:id="515"/>
      <w:bookmarkEnd w:id="516"/>
    </w:p>
    <w:p w14:paraId="2B4BE2DD" w14:textId="77777777" w:rsidR="00242186" w:rsidRPr="00951AB1" w:rsidRDefault="00242186" w:rsidP="000A5389">
      <w:pPr>
        <w:spacing w:line="240" w:lineRule="auto"/>
        <w:rPr>
          <w:rFonts w:cs="Times New Roman"/>
          <w:szCs w:val="24"/>
        </w:rPr>
      </w:pPr>
    </w:p>
    <w:p w14:paraId="3A1F6D7E" w14:textId="31B8066B" w:rsidR="00E0560C" w:rsidRPr="00951AB1" w:rsidRDefault="00EB06EC" w:rsidP="000A5389">
      <w:pPr>
        <w:pStyle w:val="Ttulo3"/>
        <w:numPr>
          <w:ilvl w:val="2"/>
          <w:numId w:val="27"/>
        </w:numPr>
        <w:tabs>
          <w:tab w:val="left" w:pos="851"/>
        </w:tabs>
        <w:spacing w:line="240" w:lineRule="auto"/>
        <w:rPr>
          <w:rFonts w:cs="Times New Roman"/>
          <w:color w:val="1F3864" w:themeColor="accent1" w:themeShade="80"/>
        </w:rPr>
      </w:pPr>
      <w:bookmarkStart w:id="517" w:name="_Toc191369536"/>
      <w:bookmarkStart w:id="518" w:name="_Toc191456866"/>
      <w:bookmarkStart w:id="519" w:name="_Toc191456976"/>
      <w:bookmarkStart w:id="520" w:name="_Toc191457086"/>
      <w:bookmarkStart w:id="521" w:name="_Toc191475713"/>
      <w:bookmarkStart w:id="522" w:name="_Toc191475822"/>
      <w:bookmarkStart w:id="523" w:name="_Toc191475931"/>
      <w:bookmarkStart w:id="524" w:name="_Toc191475454"/>
      <w:bookmarkStart w:id="525" w:name="_Toc191505830"/>
      <w:bookmarkStart w:id="526" w:name="_Toc222824138"/>
      <w:r w:rsidRPr="00951AB1">
        <w:rPr>
          <w:rFonts w:cs="Times New Roman"/>
          <w:color w:val="1F3864" w:themeColor="accent1" w:themeShade="80"/>
        </w:rPr>
        <w:t xml:space="preserve"> </w:t>
      </w:r>
      <w:r w:rsidRPr="00951AB1">
        <w:rPr>
          <w:rFonts w:cs="Times New Roman"/>
        </w:rPr>
        <w:tab/>
      </w:r>
      <w:bookmarkStart w:id="527" w:name="_Toc222955506"/>
      <w:r w:rsidR="00242186" w:rsidRPr="00951AB1">
        <w:rPr>
          <w:rFonts w:cs="Times New Roman"/>
          <w:color w:val="1F3864" w:themeColor="accent1" w:themeShade="80"/>
        </w:rPr>
        <w:t>Créditos judiciales</w:t>
      </w:r>
      <w:bookmarkEnd w:id="517"/>
      <w:bookmarkEnd w:id="518"/>
      <w:bookmarkEnd w:id="519"/>
      <w:bookmarkEnd w:id="520"/>
      <w:bookmarkEnd w:id="521"/>
      <w:bookmarkEnd w:id="522"/>
      <w:bookmarkEnd w:id="523"/>
      <w:bookmarkEnd w:id="524"/>
      <w:bookmarkEnd w:id="525"/>
      <w:bookmarkEnd w:id="526"/>
      <w:bookmarkEnd w:id="527"/>
    </w:p>
    <w:p w14:paraId="22733CA2" w14:textId="77777777" w:rsidR="008515FA" w:rsidRPr="00951AB1" w:rsidRDefault="008515FA" w:rsidP="000A5389">
      <w:pPr>
        <w:spacing w:line="240" w:lineRule="auto"/>
        <w:rPr>
          <w:rFonts w:cs="Times New Roman"/>
        </w:rPr>
      </w:pPr>
    </w:p>
    <w:tbl>
      <w:tblPr>
        <w:tblW w:w="5000" w:type="pct"/>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CellMar>
          <w:left w:w="70" w:type="dxa"/>
          <w:right w:w="70" w:type="dxa"/>
        </w:tblCellMar>
        <w:tblLook w:val="04A0" w:firstRow="1" w:lastRow="0" w:firstColumn="1" w:lastColumn="0" w:noHBand="0" w:noVBand="1"/>
      </w:tblPr>
      <w:tblGrid>
        <w:gridCol w:w="2123"/>
        <w:gridCol w:w="706"/>
        <w:gridCol w:w="853"/>
        <w:gridCol w:w="1416"/>
        <w:gridCol w:w="976"/>
        <w:gridCol w:w="743"/>
        <w:gridCol w:w="975"/>
        <w:gridCol w:w="1036"/>
      </w:tblGrid>
      <w:tr w:rsidR="005A73C0" w:rsidRPr="00AF64E6" w14:paraId="4112216D" w14:textId="77777777" w:rsidTr="00606956">
        <w:trPr>
          <w:trHeight w:val="375"/>
        </w:trPr>
        <w:tc>
          <w:tcPr>
            <w:tcW w:w="2887" w:type="pct"/>
            <w:gridSpan w:val="4"/>
            <w:vMerge w:val="restart"/>
            <w:vAlign w:val="center"/>
            <w:hideMark/>
          </w:tcPr>
          <w:p w14:paraId="08180332" w14:textId="77777777" w:rsidR="00763A4D" w:rsidRPr="00AF64E6" w:rsidRDefault="00763A4D" w:rsidP="000A5389">
            <w:pPr>
              <w:spacing w:line="240" w:lineRule="auto"/>
              <w:jc w:val="center"/>
              <w:rPr>
                <w:rFonts w:eastAsia="Times New Roman" w:cs="Times New Roman"/>
                <w:b/>
                <w:bCs/>
                <w:kern w:val="0"/>
                <w:sz w:val="16"/>
                <w:szCs w:val="16"/>
                <w:lang w:eastAsia="es-CO"/>
                <w14:ligatures w14:val="none"/>
              </w:rPr>
            </w:pPr>
            <w:r w:rsidRPr="00AF64E6">
              <w:rPr>
                <w:rFonts w:eastAsia="Times New Roman" w:cs="Times New Roman"/>
                <w:b/>
                <w:bCs/>
                <w:kern w:val="0"/>
                <w:sz w:val="16"/>
                <w:szCs w:val="16"/>
                <w:lang w:eastAsia="es-CO"/>
                <w14:ligatures w14:val="none"/>
              </w:rPr>
              <w:t>ASOCIACIÓN DE DATOS</w:t>
            </w:r>
          </w:p>
        </w:tc>
        <w:tc>
          <w:tcPr>
            <w:tcW w:w="2113" w:type="pct"/>
            <w:gridSpan w:val="4"/>
            <w:vAlign w:val="center"/>
            <w:hideMark/>
          </w:tcPr>
          <w:p w14:paraId="1C3F3CF4" w14:textId="77777777" w:rsidR="00763A4D" w:rsidRPr="00AF64E6" w:rsidRDefault="00763A4D" w:rsidP="000A5389">
            <w:pPr>
              <w:spacing w:line="240" w:lineRule="auto"/>
              <w:jc w:val="center"/>
              <w:rPr>
                <w:rFonts w:eastAsia="Times New Roman" w:cs="Times New Roman"/>
                <w:b/>
                <w:bCs/>
                <w:kern w:val="0"/>
                <w:sz w:val="16"/>
                <w:szCs w:val="16"/>
                <w:lang w:eastAsia="es-CO"/>
                <w14:ligatures w14:val="none"/>
              </w:rPr>
            </w:pPr>
            <w:r w:rsidRPr="00AF64E6">
              <w:rPr>
                <w:rFonts w:eastAsia="Times New Roman" w:cs="Times New Roman"/>
                <w:b/>
                <w:bCs/>
                <w:kern w:val="0"/>
                <w:sz w:val="16"/>
                <w:szCs w:val="16"/>
                <w:lang w:eastAsia="es-CO"/>
                <w14:ligatures w14:val="none"/>
              </w:rPr>
              <w:t>DETALLES DE LA TRANSACCIÓN</w:t>
            </w:r>
            <w:r w:rsidRPr="00AF64E6">
              <w:rPr>
                <w:rFonts w:eastAsia="Times New Roman" w:cs="Times New Roman"/>
                <w:b/>
                <w:bCs/>
                <w:kern w:val="0"/>
                <w:sz w:val="16"/>
                <w:szCs w:val="16"/>
                <w:lang w:eastAsia="es-CO"/>
                <w14:ligatures w14:val="none"/>
              </w:rPr>
              <w:br/>
              <w:t>(reporte agrupado por datos comunes de asociación)</w:t>
            </w:r>
          </w:p>
        </w:tc>
      </w:tr>
      <w:tr w:rsidR="008640F8" w:rsidRPr="00AF64E6" w14:paraId="4595482A" w14:textId="77777777" w:rsidTr="00606956">
        <w:trPr>
          <w:trHeight w:val="300"/>
        </w:trPr>
        <w:tc>
          <w:tcPr>
            <w:tcW w:w="2887" w:type="pct"/>
            <w:gridSpan w:val="4"/>
            <w:vMerge/>
            <w:vAlign w:val="center"/>
            <w:hideMark/>
          </w:tcPr>
          <w:p w14:paraId="6F9922B2" w14:textId="77777777" w:rsidR="00763A4D" w:rsidRPr="00AF64E6" w:rsidRDefault="00763A4D" w:rsidP="000A5389">
            <w:pPr>
              <w:spacing w:line="240" w:lineRule="auto"/>
              <w:rPr>
                <w:rFonts w:eastAsia="Times New Roman" w:cs="Times New Roman"/>
                <w:b/>
                <w:bCs/>
                <w:kern w:val="0"/>
                <w:sz w:val="16"/>
                <w:szCs w:val="16"/>
                <w:lang w:eastAsia="es-CO"/>
                <w14:ligatures w14:val="none"/>
              </w:rPr>
            </w:pPr>
          </w:p>
        </w:tc>
        <w:tc>
          <w:tcPr>
            <w:tcW w:w="974" w:type="pct"/>
            <w:gridSpan w:val="2"/>
            <w:vAlign w:val="center"/>
            <w:hideMark/>
          </w:tcPr>
          <w:p w14:paraId="60D4E72C" w14:textId="77777777" w:rsidR="00763A4D" w:rsidRPr="00AF64E6" w:rsidRDefault="00763A4D" w:rsidP="000A5389">
            <w:pPr>
              <w:spacing w:line="240" w:lineRule="auto"/>
              <w:jc w:val="center"/>
              <w:rPr>
                <w:rFonts w:eastAsia="Times New Roman" w:cs="Times New Roman"/>
                <w:b/>
                <w:bCs/>
                <w:kern w:val="0"/>
                <w:sz w:val="16"/>
                <w:szCs w:val="16"/>
                <w:lang w:eastAsia="es-CO"/>
                <w14:ligatures w14:val="none"/>
              </w:rPr>
            </w:pPr>
            <w:r w:rsidRPr="00AF64E6">
              <w:rPr>
                <w:rFonts w:eastAsia="Times New Roman" w:cs="Times New Roman"/>
                <w:b/>
                <w:bCs/>
                <w:kern w:val="0"/>
                <w:sz w:val="16"/>
                <w:szCs w:val="16"/>
                <w:lang w:eastAsia="es-CO"/>
                <w14:ligatures w14:val="none"/>
              </w:rPr>
              <w:t>PLAZO</w:t>
            </w:r>
            <w:r w:rsidRPr="00AF64E6">
              <w:rPr>
                <w:rFonts w:eastAsia="Times New Roman" w:cs="Times New Roman"/>
                <w:b/>
                <w:bCs/>
                <w:kern w:val="0"/>
                <w:sz w:val="16"/>
                <w:szCs w:val="16"/>
                <w:lang w:eastAsia="es-CO"/>
                <w14:ligatures w14:val="none"/>
              </w:rPr>
              <w:br/>
              <w:t>(rango en # meses)</w:t>
            </w:r>
          </w:p>
        </w:tc>
        <w:tc>
          <w:tcPr>
            <w:tcW w:w="552" w:type="pct"/>
            <w:vMerge w:val="restart"/>
            <w:vAlign w:val="center"/>
            <w:hideMark/>
          </w:tcPr>
          <w:p w14:paraId="62B55B06" w14:textId="77777777" w:rsidR="00763A4D" w:rsidRPr="00AF64E6" w:rsidRDefault="00763A4D" w:rsidP="000A5389">
            <w:pPr>
              <w:spacing w:line="240" w:lineRule="auto"/>
              <w:jc w:val="center"/>
              <w:rPr>
                <w:rFonts w:eastAsia="Times New Roman" w:cs="Times New Roman"/>
                <w:b/>
                <w:bCs/>
                <w:kern w:val="0"/>
                <w:sz w:val="16"/>
                <w:szCs w:val="16"/>
                <w:lang w:eastAsia="es-CO"/>
                <w14:ligatures w14:val="none"/>
              </w:rPr>
            </w:pPr>
            <w:r w:rsidRPr="00AF64E6">
              <w:rPr>
                <w:rFonts w:eastAsia="Times New Roman" w:cs="Times New Roman"/>
                <w:b/>
                <w:bCs/>
                <w:kern w:val="0"/>
                <w:sz w:val="16"/>
                <w:szCs w:val="16"/>
                <w:lang w:eastAsia="es-CO"/>
                <w14:ligatures w14:val="none"/>
              </w:rPr>
              <w:t>RESTRICCIONES</w:t>
            </w:r>
          </w:p>
        </w:tc>
        <w:tc>
          <w:tcPr>
            <w:tcW w:w="587" w:type="pct"/>
            <w:vMerge w:val="restart"/>
            <w:vAlign w:val="center"/>
            <w:hideMark/>
          </w:tcPr>
          <w:p w14:paraId="6271DF6D" w14:textId="77777777" w:rsidR="00763A4D" w:rsidRPr="00AF64E6" w:rsidRDefault="00763A4D" w:rsidP="000A5389">
            <w:pPr>
              <w:spacing w:line="240" w:lineRule="auto"/>
              <w:jc w:val="center"/>
              <w:rPr>
                <w:rFonts w:eastAsia="Times New Roman" w:cs="Times New Roman"/>
                <w:b/>
                <w:bCs/>
                <w:kern w:val="0"/>
                <w:sz w:val="16"/>
                <w:szCs w:val="16"/>
                <w:lang w:eastAsia="es-CO"/>
                <w14:ligatures w14:val="none"/>
              </w:rPr>
            </w:pPr>
            <w:r w:rsidRPr="00AF64E6">
              <w:rPr>
                <w:rFonts w:eastAsia="Times New Roman" w:cs="Times New Roman"/>
                <w:b/>
                <w:bCs/>
                <w:kern w:val="0"/>
                <w:sz w:val="16"/>
                <w:szCs w:val="16"/>
                <w:lang w:eastAsia="es-CO"/>
                <w14:ligatures w14:val="none"/>
              </w:rPr>
              <w:t>TASA DE INTERES</w:t>
            </w:r>
            <w:r w:rsidRPr="00AF64E6">
              <w:rPr>
                <w:rFonts w:eastAsia="Times New Roman" w:cs="Times New Roman"/>
                <w:b/>
                <w:bCs/>
                <w:kern w:val="0"/>
                <w:sz w:val="16"/>
                <w:szCs w:val="16"/>
                <w:lang w:eastAsia="es-CO"/>
                <w14:ligatures w14:val="none"/>
              </w:rPr>
              <w:br/>
              <w:t>(%)</w:t>
            </w:r>
          </w:p>
        </w:tc>
      </w:tr>
      <w:tr w:rsidR="00606956" w:rsidRPr="00AF64E6" w14:paraId="4BB8173B" w14:textId="77777777" w:rsidTr="00606956">
        <w:trPr>
          <w:trHeight w:val="435"/>
        </w:trPr>
        <w:tc>
          <w:tcPr>
            <w:tcW w:w="1202" w:type="pct"/>
            <w:vAlign w:val="center"/>
            <w:hideMark/>
          </w:tcPr>
          <w:p w14:paraId="0AFE5EDC" w14:textId="77777777" w:rsidR="00763A4D" w:rsidRPr="00AF64E6" w:rsidRDefault="00763A4D" w:rsidP="000A5389">
            <w:pPr>
              <w:spacing w:line="240" w:lineRule="auto"/>
              <w:jc w:val="center"/>
              <w:rPr>
                <w:rFonts w:eastAsia="Times New Roman" w:cs="Times New Roman"/>
                <w:b/>
                <w:bCs/>
                <w:kern w:val="0"/>
                <w:sz w:val="16"/>
                <w:szCs w:val="16"/>
                <w:lang w:eastAsia="es-CO"/>
                <w14:ligatures w14:val="none"/>
              </w:rPr>
            </w:pPr>
            <w:r w:rsidRPr="00AF64E6">
              <w:rPr>
                <w:rFonts w:eastAsia="Times New Roman" w:cs="Times New Roman"/>
                <w:b/>
                <w:bCs/>
                <w:kern w:val="0"/>
                <w:sz w:val="16"/>
                <w:szCs w:val="16"/>
                <w:lang w:eastAsia="es-CO"/>
                <w14:ligatures w14:val="none"/>
              </w:rPr>
              <w:t>TIPO DE TERCEROS</w:t>
            </w:r>
          </w:p>
        </w:tc>
        <w:tc>
          <w:tcPr>
            <w:tcW w:w="400" w:type="pct"/>
            <w:vAlign w:val="center"/>
            <w:hideMark/>
          </w:tcPr>
          <w:p w14:paraId="5B89CB1A" w14:textId="77777777" w:rsidR="00763A4D" w:rsidRPr="00AF64E6" w:rsidRDefault="00763A4D" w:rsidP="000A5389">
            <w:pPr>
              <w:spacing w:line="240" w:lineRule="auto"/>
              <w:jc w:val="center"/>
              <w:rPr>
                <w:rFonts w:eastAsia="Times New Roman" w:cs="Times New Roman"/>
                <w:b/>
                <w:bCs/>
                <w:kern w:val="0"/>
                <w:sz w:val="16"/>
                <w:szCs w:val="16"/>
                <w:lang w:eastAsia="es-CO"/>
                <w14:ligatures w14:val="none"/>
              </w:rPr>
            </w:pPr>
            <w:r w:rsidRPr="00AF64E6">
              <w:rPr>
                <w:rFonts w:eastAsia="Times New Roman" w:cs="Times New Roman"/>
                <w:b/>
                <w:bCs/>
                <w:kern w:val="0"/>
                <w:sz w:val="16"/>
                <w:szCs w:val="16"/>
                <w:lang w:eastAsia="es-CO"/>
                <w14:ligatures w14:val="none"/>
              </w:rPr>
              <w:t>PN / PJ / ECP</w:t>
            </w:r>
          </w:p>
        </w:tc>
        <w:tc>
          <w:tcPr>
            <w:tcW w:w="483" w:type="pct"/>
            <w:vAlign w:val="center"/>
            <w:hideMark/>
          </w:tcPr>
          <w:p w14:paraId="50419297" w14:textId="77777777" w:rsidR="00763A4D" w:rsidRPr="00AF64E6" w:rsidRDefault="00763A4D" w:rsidP="000A5389">
            <w:pPr>
              <w:spacing w:line="240" w:lineRule="auto"/>
              <w:jc w:val="center"/>
              <w:rPr>
                <w:rFonts w:eastAsia="Times New Roman" w:cs="Times New Roman"/>
                <w:b/>
                <w:bCs/>
                <w:kern w:val="0"/>
                <w:sz w:val="16"/>
                <w:szCs w:val="16"/>
                <w:lang w:eastAsia="es-CO"/>
                <w14:ligatures w14:val="none"/>
              </w:rPr>
            </w:pPr>
            <w:r w:rsidRPr="00AF64E6">
              <w:rPr>
                <w:rFonts w:eastAsia="Times New Roman" w:cs="Times New Roman"/>
                <w:b/>
                <w:bCs/>
                <w:kern w:val="0"/>
                <w:sz w:val="16"/>
                <w:szCs w:val="16"/>
                <w:lang w:eastAsia="es-CO"/>
                <w14:ligatures w14:val="none"/>
              </w:rPr>
              <w:t>CANTIDAD</w:t>
            </w:r>
          </w:p>
        </w:tc>
        <w:tc>
          <w:tcPr>
            <w:tcW w:w="802" w:type="pct"/>
            <w:vAlign w:val="center"/>
            <w:hideMark/>
          </w:tcPr>
          <w:p w14:paraId="7EA18524" w14:textId="77777777" w:rsidR="00763A4D" w:rsidRPr="00AF64E6" w:rsidRDefault="00763A4D" w:rsidP="000A5389">
            <w:pPr>
              <w:spacing w:line="240" w:lineRule="auto"/>
              <w:jc w:val="center"/>
              <w:rPr>
                <w:rFonts w:eastAsia="Times New Roman" w:cs="Times New Roman"/>
                <w:b/>
                <w:bCs/>
                <w:kern w:val="0"/>
                <w:sz w:val="16"/>
                <w:szCs w:val="16"/>
                <w:lang w:eastAsia="es-CO"/>
                <w14:ligatures w14:val="none"/>
              </w:rPr>
            </w:pPr>
            <w:r w:rsidRPr="00AF64E6">
              <w:rPr>
                <w:rFonts w:eastAsia="Times New Roman" w:cs="Times New Roman"/>
                <w:b/>
                <w:bCs/>
                <w:kern w:val="0"/>
                <w:sz w:val="16"/>
                <w:szCs w:val="16"/>
                <w:lang w:eastAsia="es-CO"/>
                <w14:ligatures w14:val="none"/>
              </w:rPr>
              <w:t>VALOR EN LIBROS</w:t>
            </w:r>
          </w:p>
        </w:tc>
        <w:tc>
          <w:tcPr>
            <w:tcW w:w="553" w:type="pct"/>
            <w:vAlign w:val="center"/>
            <w:hideMark/>
          </w:tcPr>
          <w:p w14:paraId="157DB190" w14:textId="77777777" w:rsidR="00763A4D" w:rsidRPr="00AF64E6" w:rsidRDefault="00763A4D" w:rsidP="000A5389">
            <w:pPr>
              <w:spacing w:line="240" w:lineRule="auto"/>
              <w:jc w:val="center"/>
              <w:rPr>
                <w:rFonts w:eastAsia="Times New Roman" w:cs="Times New Roman"/>
                <w:b/>
                <w:bCs/>
                <w:kern w:val="0"/>
                <w:sz w:val="16"/>
                <w:szCs w:val="16"/>
                <w:lang w:eastAsia="es-CO"/>
                <w14:ligatures w14:val="none"/>
              </w:rPr>
            </w:pPr>
            <w:r w:rsidRPr="00AF64E6">
              <w:rPr>
                <w:rFonts w:eastAsia="Times New Roman" w:cs="Times New Roman"/>
                <w:b/>
                <w:bCs/>
                <w:kern w:val="0"/>
                <w:sz w:val="16"/>
                <w:szCs w:val="16"/>
                <w:lang w:eastAsia="es-CO"/>
                <w14:ligatures w14:val="none"/>
              </w:rPr>
              <w:t>MÍNIMO</w:t>
            </w:r>
          </w:p>
        </w:tc>
        <w:tc>
          <w:tcPr>
            <w:tcW w:w="421" w:type="pct"/>
            <w:vAlign w:val="center"/>
            <w:hideMark/>
          </w:tcPr>
          <w:p w14:paraId="1211A1FB" w14:textId="77777777" w:rsidR="00763A4D" w:rsidRPr="00AF64E6" w:rsidRDefault="00763A4D" w:rsidP="000A5389">
            <w:pPr>
              <w:spacing w:line="240" w:lineRule="auto"/>
              <w:jc w:val="center"/>
              <w:rPr>
                <w:rFonts w:eastAsia="Times New Roman" w:cs="Times New Roman"/>
                <w:b/>
                <w:bCs/>
                <w:kern w:val="0"/>
                <w:sz w:val="16"/>
                <w:szCs w:val="16"/>
                <w:lang w:eastAsia="es-CO"/>
                <w14:ligatures w14:val="none"/>
              </w:rPr>
            </w:pPr>
            <w:r w:rsidRPr="00AF64E6">
              <w:rPr>
                <w:rFonts w:eastAsia="Times New Roman" w:cs="Times New Roman"/>
                <w:b/>
                <w:bCs/>
                <w:kern w:val="0"/>
                <w:sz w:val="16"/>
                <w:szCs w:val="16"/>
                <w:lang w:eastAsia="es-CO"/>
                <w14:ligatures w14:val="none"/>
              </w:rPr>
              <w:t>MÁXIMO</w:t>
            </w:r>
          </w:p>
        </w:tc>
        <w:tc>
          <w:tcPr>
            <w:tcW w:w="552" w:type="pct"/>
            <w:vMerge/>
            <w:vAlign w:val="center"/>
            <w:hideMark/>
          </w:tcPr>
          <w:p w14:paraId="497FC44B" w14:textId="77777777" w:rsidR="00763A4D" w:rsidRPr="00AF64E6" w:rsidRDefault="00763A4D" w:rsidP="000A5389">
            <w:pPr>
              <w:spacing w:line="240" w:lineRule="auto"/>
              <w:rPr>
                <w:rFonts w:eastAsia="Times New Roman" w:cs="Times New Roman"/>
                <w:b/>
                <w:bCs/>
                <w:kern w:val="0"/>
                <w:sz w:val="16"/>
                <w:szCs w:val="16"/>
                <w:lang w:eastAsia="es-CO"/>
                <w14:ligatures w14:val="none"/>
              </w:rPr>
            </w:pPr>
          </w:p>
        </w:tc>
        <w:tc>
          <w:tcPr>
            <w:tcW w:w="587" w:type="pct"/>
            <w:vMerge/>
            <w:vAlign w:val="center"/>
            <w:hideMark/>
          </w:tcPr>
          <w:p w14:paraId="459A4E3B" w14:textId="77777777" w:rsidR="00763A4D" w:rsidRPr="00AF64E6" w:rsidRDefault="00763A4D" w:rsidP="000A5389">
            <w:pPr>
              <w:spacing w:line="240" w:lineRule="auto"/>
              <w:rPr>
                <w:rFonts w:eastAsia="Times New Roman" w:cs="Times New Roman"/>
                <w:b/>
                <w:bCs/>
                <w:kern w:val="0"/>
                <w:sz w:val="16"/>
                <w:szCs w:val="16"/>
                <w:lang w:eastAsia="es-CO"/>
                <w14:ligatures w14:val="none"/>
              </w:rPr>
            </w:pPr>
          </w:p>
        </w:tc>
      </w:tr>
      <w:tr w:rsidR="00606956" w:rsidRPr="00AF64E6" w14:paraId="11D8136E" w14:textId="77777777" w:rsidTr="00606956">
        <w:trPr>
          <w:trHeight w:val="315"/>
        </w:trPr>
        <w:tc>
          <w:tcPr>
            <w:tcW w:w="1202" w:type="pct"/>
            <w:noWrap/>
            <w:vAlign w:val="center"/>
            <w:hideMark/>
          </w:tcPr>
          <w:p w14:paraId="70601E8D" w14:textId="77777777" w:rsidR="00763A4D" w:rsidRPr="00AF64E6" w:rsidRDefault="00763A4D" w:rsidP="000A5389">
            <w:pPr>
              <w:spacing w:line="240" w:lineRule="auto"/>
              <w:rPr>
                <w:rFonts w:eastAsia="Times New Roman" w:cs="Times New Roman"/>
                <w:b/>
                <w:bCs/>
                <w:kern w:val="0"/>
                <w:sz w:val="16"/>
                <w:szCs w:val="16"/>
                <w:lang w:eastAsia="es-CO"/>
                <w14:ligatures w14:val="none"/>
              </w:rPr>
            </w:pPr>
            <w:r w:rsidRPr="00AF64E6">
              <w:rPr>
                <w:rFonts w:eastAsia="Times New Roman" w:cs="Times New Roman"/>
                <w:b/>
                <w:bCs/>
                <w:kern w:val="0"/>
                <w:sz w:val="16"/>
                <w:szCs w:val="16"/>
                <w:lang w:eastAsia="es-CO"/>
                <w14:ligatures w14:val="none"/>
              </w:rPr>
              <w:t>CRÉDITOS JUDICIALES</w:t>
            </w:r>
          </w:p>
        </w:tc>
        <w:tc>
          <w:tcPr>
            <w:tcW w:w="400" w:type="pct"/>
            <w:noWrap/>
            <w:vAlign w:val="center"/>
            <w:hideMark/>
          </w:tcPr>
          <w:p w14:paraId="32810B8C" w14:textId="77777777" w:rsidR="00763A4D" w:rsidRPr="00AF64E6" w:rsidRDefault="00763A4D" w:rsidP="000A5389">
            <w:pPr>
              <w:spacing w:line="240" w:lineRule="auto"/>
              <w:rPr>
                <w:rFonts w:eastAsia="Times New Roman" w:cs="Times New Roman"/>
                <w:b/>
                <w:bCs/>
                <w:kern w:val="0"/>
                <w:sz w:val="16"/>
                <w:szCs w:val="16"/>
                <w:lang w:eastAsia="es-CO"/>
                <w14:ligatures w14:val="none"/>
              </w:rPr>
            </w:pPr>
            <w:r w:rsidRPr="00AF64E6">
              <w:rPr>
                <w:rFonts w:eastAsia="Times New Roman" w:cs="Times New Roman"/>
                <w:b/>
                <w:bCs/>
                <w:kern w:val="0"/>
                <w:sz w:val="16"/>
                <w:szCs w:val="16"/>
                <w:lang w:eastAsia="es-CO"/>
                <w14:ligatures w14:val="none"/>
              </w:rPr>
              <w:t> </w:t>
            </w:r>
          </w:p>
        </w:tc>
        <w:tc>
          <w:tcPr>
            <w:tcW w:w="483" w:type="pct"/>
            <w:noWrap/>
            <w:vAlign w:val="center"/>
            <w:hideMark/>
          </w:tcPr>
          <w:p w14:paraId="1BA4CB4F" w14:textId="77777777" w:rsidR="00763A4D" w:rsidRPr="00AF64E6" w:rsidRDefault="00763A4D" w:rsidP="000A5389">
            <w:pPr>
              <w:spacing w:line="240" w:lineRule="auto"/>
              <w:rPr>
                <w:rFonts w:eastAsia="Times New Roman" w:cs="Times New Roman"/>
                <w:b/>
                <w:bCs/>
                <w:kern w:val="0"/>
                <w:sz w:val="16"/>
                <w:szCs w:val="16"/>
                <w:lang w:eastAsia="es-CO"/>
                <w14:ligatures w14:val="none"/>
              </w:rPr>
            </w:pPr>
            <w:r w:rsidRPr="00AF64E6">
              <w:rPr>
                <w:rFonts w:eastAsia="Times New Roman" w:cs="Times New Roman"/>
                <w:b/>
                <w:bCs/>
                <w:kern w:val="0"/>
                <w:sz w:val="16"/>
                <w:szCs w:val="16"/>
                <w:lang w:eastAsia="es-CO"/>
                <w14:ligatures w14:val="none"/>
              </w:rPr>
              <w:t> </w:t>
            </w:r>
          </w:p>
        </w:tc>
        <w:tc>
          <w:tcPr>
            <w:tcW w:w="802" w:type="pct"/>
            <w:noWrap/>
            <w:vAlign w:val="center"/>
            <w:hideMark/>
          </w:tcPr>
          <w:p w14:paraId="1C185A30" w14:textId="77777777" w:rsidR="00763A4D" w:rsidRPr="00AF64E6" w:rsidRDefault="00763A4D" w:rsidP="000A5389">
            <w:pPr>
              <w:spacing w:line="240" w:lineRule="auto"/>
              <w:jc w:val="right"/>
              <w:rPr>
                <w:rFonts w:eastAsia="Times New Roman" w:cs="Times New Roman"/>
                <w:b/>
                <w:bCs/>
                <w:kern w:val="0"/>
                <w:sz w:val="16"/>
                <w:szCs w:val="16"/>
                <w:lang w:eastAsia="es-CO"/>
                <w14:ligatures w14:val="none"/>
              </w:rPr>
            </w:pPr>
            <w:r w:rsidRPr="00AF64E6">
              <w:rPr>
                <w:rFonts w:eastAsia="Times New Roman" w:cs="Times New Roman"/>
                <w:b/>
                <w:bCs/>
                <w:kern w:val="0"/>
                <w:sz w:val="16"/>
                <w:szCs w:val="16"/>
                <w:lang w:eastAsia="es-CO"/>
                <w14:ligatures w14:val="none"/>
              </w:rPr>
              <w:t xml:space="preserve">4.272.356.413.367 </w:t>
            </w:r>
          </w:p>
        </w:tc>
        <w:tc>
          <w:tcPr>
            <w:tcW w:w="553" w:type="pct"/>
            <w:noWrap/>
            <w:vAlign w:val="center"/>
            <w:hideMark/>
          </w:tcPr>
          <w:p w14:paraId="6D4897A9" w14:textId="77777777" w:rsidR="00763A4D" w:rsidRPr="00AF64E6" w:rsidRDefault="00763A4D" w:rsidP="000A5389">
            <w:pPr>
              <w:spacing w:line="240" w:lineRule="auto"/>
              <w:rPr>
                <w:rFonts w:eastAsia="Times New Roman" w:cs="Times New Roman"/>
                <w:b/>
                <w:bCs/>
                <w:kern w:val="0"/>
                <w:sz w:val="16"/>
                <w:szCs w:val="16"/>
                <w:lang w:eastAsia="es-CO"/>
                <w14:ligatures w14:val="none"/>
              </w:rPr>
            </w:pPr>
            <w:r w:rsidRPr="00AF64E6">
              <w:rPr>
                <w:rFonts w:eastAsia="Times New Roman" w:cs="Times New Roman"/>
                <w:b/>
                <w:bCs/>
                <w:kern w:val="0"/>
                <w:sz w:val="16"/>
                <w:szCs w:val="16"/>
                <w:lang w:eastAsia="es-CO"/>
                <w14:ligatures w14:val="none"/>
              </w:rPr>
              <w:t> </w:t>
            </w:r>
          </w:p>
        </w:tc>
        <w:tc>
          <w:tcPr>
            <w:tcW w:w="421" w:type="pct"/>
            <w:noWrap/>
            <w:vAlign w:val="center"/>
            <w:hideMark/>
          </w:tcPr>
          <w:p w14:paraId="14EF1F64" w14:textId="77777777" w:rsidR="00763A4D" w:rsidRPr="00AF64E6" w:rsidRDefault="00763A4D" w:rsidP="000A5389">
            <w:pPr>
              <w:spacing w:line="240" w:lineRule="auto"/>
              <w:rPr>
                <w:rFonts w:eastAsia="Times New Roman" w:cs="Times New Roman"/>
                <w:b/>
                <w:bCs/>
                <w:kern w:val="0"/>
                <w:sz w:val="16"/>
                <w:szCs w:val="16"/>
                <w:lang w:eastAsia="es-CO"/>
                <w14:ligatures w14:val="none"/>
              </w:rPr>
            </w:pPr>
            <w:r w:rsidRPr="00AF64E6">
              <w:rPr>
                <w:rFonts w:eastAsia="Times New Roman" w:cs="Times New Roman"/>
                <w:b/>
                <w:bCs/>
                <w:kern w:val="0"/>
                <w:sz w:val="16"/>
                <w:szCs w:val="16"/>
                <w:lang w:eastAsia="es-CO"/>
                <w14:ligatures w14:val="none"/>
              </w:rPr>
              <w:t> </w:t>
            </w:r>
          </w:p>
        </w:tc>
        <w:tc>
          <w:tcPr>
            <w:tcW w:w="552" w:type="pct"/>
            <w:noWrap/>
            <w:vAlign w:val="center"/>
            <w:hideMark/>
          </w:tcPr>
          <w:p w14:paraId="3493EF82" w14:textId="77777777" w:rsidR="00763A4D" w:rsidRPr="00AF64E6" w:rsidRDefault="00763A4D" w:rsidP="000A5389">
            <w:pPr>
              <w:spacing w:line="240" w:lineRule="auto"/>
              <w:rPr>
                <w:rFonts w:eastAsia="Times New Roman" w:cs="Times New Roman"/>
                <w:b/>
                <w:bCs/>
                <w:kern w:val="0"/>
                <w:sz w:val="16"/>
                <w:szCs w:val="16"/>
                <w:lang w:eastAsia="es-CO"/>
                <w14:ligatures w14:val="none"/>
              </w:rPr>
            </w:pPr>
            <w:r w:rsidRPr="00AF64E6">
              <w:rPr>
                <w:rFonts w:eastAsia="Times New Roman" w:cs="Times New Roman"/>
                <w:b/>
                <w:bCs/>
                <w:kern w:val="0"/>
                <w:sz w:val="16"/>
                <w:szCs w:val="16"/>
                <w:lang w:eastAsia="es-CO"/>
                <w14:ligatures w14:val="none"/>
              </w:rPr>
              <w:t> </w:t>
            </w:r>
          </w:p>
        </w:tc>
        <w:tc>
          <w:tcPr>
            <w:tcW w:w="587" w:type="pct"/>
            <w:noWrap/>
            <w:vAlign w:val="center"/>
            <w:hideMark/>
          </w:tcPr>
          <w:p w14:paraId="2A582033" w14:textId="77777777" w:rsidR="00763A4D" w:rsidRPr="00AF64E6" w:rsidRDefault="00763A4D" w:rsidP="000A5389">
            <w:pPr>
              <w:spacing w:line="240" w:lineRule="auto"/>
              <w:jc w:val="center"/>
              <w:rPr>
                <w:rFonts w:eastAsia="Times New Roman" w:cs="Times New Roman"/>
                <w:b/>
                <w:bCs/>
                <w:kern w:val="0"/>
                <w:sz w:val="16"/>
                <w:szCs w:val="16"/>
                <w:lang w:eastAsia="es-CO"/>
                <w14:ligatures w14:val="none"/>
              </w:rPr>
            </w:pPr>
            <w:r w:rsidRPr="00AF64E6">
              <w:rPr>
                <w:rFonts w:eastAsia="Times New Roman" w:cs="Times New Roman"/>
                <w:b/>
                <w:bCs/>
                <w:kern w:val="0"/>
                <w:sz w:val="16"/>
                <w:szCs w:val="16"/>
                <w:lang w:eastAsia="es-CO"/>
                <w14:ligatures w14:val="none"/>
              </w:rPr>
              <w:t> </w:t>
            </w:r>
          </w:p>
        </w:tc>
      </w:tr>
      <w:tr w:rsidR="00606956" w:rsidRPr="00AF64E6" w14:paraId="7670BEC0" w14:textId="77777777" w:rsidTr="00606956">
        <w:trPr>
          <w:trHeight w:val="160"/>
        </w:trPr>
        <w:tc>
          <w:tcPr>
            <w:tcW w:w="1202" w:type="pct"/>
            <w:noWrap/>
            <w:vAlign w:val="center"/>
            <w:hideMark/>
          </w:tcPr>
          <w:p w14:paraId="296E20B4" w14:textId="77777777" w:rsidR="00763A4D" w:rsidRPr="00AF64E6" w:rsidRDefault="00763A4D" w:rsidP="000A5389">
            <w:pPr>
              <w:spacing w:line="240" w:lineRule="auto"/>
              <w:rPr>
                <w:rFonts w:eastAsia="Times New Roman" w:cs="Times New Roman"/>
                <w:b/>
                <w:bCs/>
                <w:kern w:val="0"/>
                <w:sz w:val="16"/>
                <w:szCs w:val="16"/>
                <w:lang w:eastAsia="es-CO"/>
                <w14:ligatures w14:val="none"/>
              </w:rPr>
            </w:pPr>
            <w:r w:rsidRPr="00AF64E6">
              <w:rPr>
                <w:rFonts w:eastAsia="Times New Roman" w:cs="Times New Roman"/>
                <w:b/>
                <w:bCs/>
                <w:kern w:val="0"/>
                <w:sz w:val="16"/>
                <w:szCs w:val="16"/>
                <w:lang w:eastAsia="es-CO"/>
                <w14:ligatures w14:val="none"/>
              </w:rPr>
              <w:t>Sentencias</w:t>
            </w:r>
          </w:p>
        </w:tc>
        <w:tc>
          <w:tcPr>
            <w:tcW w:w="400" w:type="pct"/>
            <w:noWrap/>
            <w:vAlign w:val="center"/>
            <w:hideMark/>
          </w:tcPr>
          <w:p w14:paraId="00E966A5" w14:textId="77777777" w:rsidR="00763A4D" w:rsidRPr="00AF64E6" w:rsidRDefault="00763A4D" w:rsidP="000A5389">
            <w:pPr>
              <w:spacing w:line="240" w:lineRule="auto"/>
              <w:rPr>
                <w:rFonts w:eastAsia="Times New Roman" w:cs="Times New Roman"/>
                <w:b/>
                <w:bCs/>
                <w:kern w:val="0"/>
                <w:sz w:val="16"/>
                <w:szCs w:val="16"/>
                <w:lang w:eastAsia="es-CO"/>
                <w14:ligatures w14:val="none"/>
              </w:rPr>
            </w:pPr>
            <w:r w:rsidRPr="00AF64E6">
              <w:rPr>
                <w:rFonts w:eastAsia="Times New Roman" w:cs="Times New Roman"/>
                <w:b/>
                <w:bCs/>
                <w:kern w:val="0"/>
                <w:sz w:val="16"/>
                <w:szCs w:val="16"/>
                <w:lang w:eastAsia="es-CO"/>
                <w14:ligatures w14:val="none"/>
              </w:rPr>
              <w:t> </w:t>
            </w:r>
          </w:p>
        </w:tc>
        <w:tc>
          <w:tcPr>
            <w:tcW w:w="483" w:type="pct"/>
            <w:noWrap/>
            <w:vAlign w:val="center"/>
            <w:hideMark/>
          </w:tcPr>
          <w:p w14:paraId="151385D6" w14:textId="77777777" w:rsidR="00763A4D" w:rsidRPr="00AF64E6" w:rsidRDefault="00763A4D" w:rsidP="000A5389">
            <w:pPr>
              <w:spacing w:line="240" w:lineRule="auto"/>
              <w:rPr>
                <w:rFonts w:eastAsia="Times New Roman" w:cs="Times New Roman"/>
                <w:b/>
                <w:bCs/>
                <w:kern w:val="0"/>
                <w:sz w:val="16"/>
                <w:szCs w:val="16"/>
                <w:lang w:eastAsia="es-CO"/>
                <w14:ligatures w14:val="none"/>
              </w:rPr>
            </w:pPr>
            <w:r w:rsidRPr="00AF64E6">
              <w:rPr>
                <w:rFonts w:eastAsia="Times New Roman" w:cs="Times New Roman"/>
                <w:b/>
                <w:bCs/>
                <w:kern w:val="0"/>
                <w:sz w:val="16"/>
                <w:szCs w:val="16"/>
                <w:lang w:eastAsia="es-CO"/>
                <w14:ligatures w14:val="none"/>
              </w:rPr>
              <w:t> </w:t>
            </w:r>
          </w:p>
        </w:tc>
        <w:tc>
          <w:tcPr>
            <w:tcW w:w="802" w:type="pct"/>
            <w:noWrap/>
            <w:vAlign w:val="center"/>
            <w:hideMark/>
          </w:tcPr>
          <w:p w14:paraId="29021792" w14:textId="77777777" w:rsidR="00763A4D" w:rsidRPr="00AF64E6" w:rsidRDefault="00763A4D" w:rsidP="000A5389">
            <w:pPr>
              <w:spacing w:line="240" w:lineRule="auto"/>
              <w:jc w:val="right"/>
              <w:rPr>
                <w:rFonts w:eastAsia="Times New Roman" w:cs="Times New Roman"/>
                <w:b/>
                <w:bCs/>
                <w:kern w:val="0"/>
                <w:sz w:val="16"/>
                <w:szCs w:val="16"/>
                <w:lang w:eastAsia="es-CO"/>
                <w14:ligatures w14:val="none"/>
              </w:rPr>
            </w:pPr>
            <w:r w:rsidRPr="00AF64E6">
              <w:rPr>
                <w:rFonts w:eastAsia="Times New Roman" w:cs="Times New Roman"/>
                <w:b/>
                <w:bCs/>
                <w:kern w:val="0"/>
                <w:sz w:val="16"/>
                <w:szCs w:val="16"/>
                <w:lang w:eastAsia="es-CO"/>
                <w14:ligatures w14:val="none"/>
              </w:rPr>
              <w:t xml:space="preserve">4.618.977.733 </w:t>
            </w:r>
          </w:p>
        </w:tc>
        <w:tc>
          <w:tcPr>
            <w:tcW w:w="553" w:type="pct"/>
            <w:noWrap/>
            <w:vAlign w:val="center"/>
            <w:hideMark/>
          </w:tcPr>
          <w:p w14:paraId="504EFD30" w14:textId="77777777" w:rsidR="00763A4D" w:rsidRPr="00AF64E6" w:rsidRDefault="00763A4D" w:rsidP="000A5389">
            <w:pPr>
              <w:spacing w:line="240" w:lineRule="auto"/>
              <w:jc w:val="center"/>
              <w:rPr>
                <w:rFonts w:eastAsia="Times New Roman" w:cs="Times New Roman"/>
                <w:b/>
                <w:bCs/>
                <w:kern w:val="0"/>
                <w:sz w:val="16"/>
                <w:szCs w:val="16"/>
                <w:lang w:eastAsia="es-CO"/>
                <w14:ligatures w14:val="none"/>
              </w:rPr>
            </w:pPr>
            <w:r w:rsidRPr="00AF64E6">
              <w:rPr>
                <w:rFonts w:eastAsia="Times New Roman" w:cs="Times New Roman"/>
                <w:b/>
                <w:bCs/>
                <w:kern w:val="0"/>
                <w:sz w:val="16"/>
                <w:szCs w:val="16"/>
                <w:lang w:eastAsia="es-CO"/>
                <w14:ligatures w14:val="none"/>
              </w:rPr>
              <w:t> </w:t>
            </w:r>
          </w:p>
        </w:tc>
        <w:tc>
          <w:tcPr>
            <w:tcW w:w="421" w:type="pct"/>
            <w:noWrap/>
            <w:vAlign w:val="center"/>
            <w:hideMark/>
          </w:tcPr>
          <w:p w14:paraId="01540507" w14:textId="77777777" w:rsidR="00763A4D" w:rsidRPr="00AF64E6" w:rsidRDefault="00763A4D" w:rsidP="000A5389">
            <w:pPr>
              <w:spacing w:line="240" w:lineRule="auto"/>
              <w:jc w:val="center"/>
              <w:rPr>
                <w:rFonts w:eastAsia="Times New Roman" w:cs="Times New Roman"/>
                <w:b/>
                <w:bCs/>
                <w:kern w:val="0"/>
                <w:sz w:val="16"/>
                <w:szCs w:val="16"/>
                <w:lang w:eastAsia="es-CO"/>
                <w14:ligatures w14:val="none"/>
              </w:rPr>
            </w:pPr>
            <w:r w:rsidRPr="00AF64E6">
              <w:rPr>
                <w:rFonts w:eastAsia="Times New Roman" w:cs="Times New Roman"/>
                <w:b/>
                <w:bCs/>
                <w:kern w:val="0"/>
                <w:sz w:val="16"/>
                <w:szCs w:val="16"/>
                <w:lang w:eastAsia="es-CO"/>
                <w14:ligatures w14:val="none"/>
              </w:rPr>
              <w:t> </w:t>
            </w:r>
          </w:p>
        </w:tc>
        <w:tc>
          <w:tcPr>
            <w:tcW w:w="552" w:type="pct"/>
            <w:noWrap/>
            <w:vAlign w:val="center"/>
            <w:hideMark/>
          </w:tcPr>
          <w:p w14:paraId="0F518C9A" w14:textId="77777777" w:rsidR="00763A4D" w:rsidRPr="00AF64E6" w:rsidRDefault="00763A4D" w:rsidP="000A5389">
            <w:pPr>
              <w:spacing w:line="240" w:lineRule="auto"/>
              <w:rPr>
                <w:rFonts w:eastAsia="Times New Roman" w:cs="Times New Roman"/>
                <w:b/>
                <w:bCs/>
                <w:kern w:val="0"/>
                <w:sz w:val="16"/>
                <w:szCs w:val="16"/>
                <w:lang w:eastAsia="es-CO"/>
                <w14:ligatures w14:val="none"/>
              </w:rPr>
            </w:pPr>
            <w:r w:rsidRPr="00AF64E6">
              <w:rPr>
                <w:rFonts w:eastAsia="Times New Roman" w:cs="Times New Roman"/>
                <w:b/>
                <w:bCs/>
                <w:kern w:val="0"/>
                <w:sz w:val="16"/>
                <w:szCs w:val="16"/>
                <w:lang w:eastAsia="es-CO"/>
                <w14:ligatures w14:val="none"/>
              </w:rPr>
              <w:t> </w:t>
            </w:r>
          </w:p>
        </w:tc>
        <w:tc>
          <w:tcPr>
            <w:tcW w:w="587" w:type="pct"/>
            <w:noWrap/>
            <w:vAlign w:val="center"/>
            <w:hideMark/>
          </w:tcPr>
          <w:p w14:paraId="468BA61F" w14:textId="77777777" w:rsidR="00763A4D" w:rsidRPr="00AF64E6" w:rsidRDefault="00763A4D" w:rsidP="000A5389">
            <w:pPr>
              <w:spacing w:line="240" w:lineRule="auto"/>
              <w:jc w:val="center"/>
              <w:rPr>
                <w:rFonts w:eastAsia="Times New Roman" w:cs="Times New Roman"/>
                <w:b/>
                <w:bCs/>
                <w:kern w:val="0"/>
                <w:sz w:val="16"/>
                <w:szCs w:val="16"/>
                <w:lang w:eastAsia="es-CO"/>
                <w14:ligatures w14:val="none"/>
              </w:rPr>
            </w:pPr>
            <w:r w:rsidRPr="00AF64E6">
              <w:rPr>
                <w:rFonts w:eastAsia="Times New Roman" w:cs="Times New Roman"/>
                <w:b/>
                <w:bCs/>
                <w:kern w:val="0"/>
                <w:sz w:val="16"/>
                <w:szCs w:val="16"/>
                <w:lang w:eastAsia="es-CO"/>
                <w14:ligatures w14:val="none"/>
              </w:rPr>
              <w:t> </w:t>
            </w:r>
          </w:p>
        </w:tc>
      </w:tr>
      <w:tr w:rsidR="00606956" w:rsidRPr="00AF64E6" w14:paraId="4B83C23F" w14:textId="77777777" w:rsidTr="00606956">
        <w:trPr>
          <w:trHeight w:val="171"/>
        </w:trPr>
        <w:tc>
          <w:tcPr>
            <w:tcW w:w="1202" w:type="pct"/>
            <w:vAlign w:val="center"/>
            <w:hideMark/>
          </w:tcPr>
          <w:p w14:paraId="5E52B8D8" w14:textId="77777777" w:rsidR="00763A4D" w:rsidRPr="00AF64E6" w:rsidRDefault="00763A4D" w:rsidP="000A5389">
            <w:pPr>
              <w:spacing w:line="240" w:lineRule="auto"/>
              <w:rPr>
                <w:rFonts w:eastAsia="Times New Roman" w:cs="Times New Roman"/>
                <w:kern w:val="0"/>
                <w:sz w:val="16"/>
                <w:szCs w:val="16"/>
                <w:lang w:eastAsia="es-CO"/>
                <w14:ligatures w14:val="none"/>
              </w:rPr>
            </w:pPr>
            <w:r w:rsidRPr="00AF64E6">
              <w:rPr>
                <w:rFonts w:eastAsia="Times New Roman" w:cs="Times New Roman"/>
                <w:kern w:val="0"/>
                <w:sz w:val="16"/>
                <w:szCs w:val="16"/>
                <w:lang w:eastAsia="es-CO"/>
                <w14:ligatures w14:val="none"/>
              </w:rPr>
              <w:t>Nacionales</w:t>
            </w:r>
          </w:p>
        </w:tc>
        <w:tc>
          <w:tcPr>
            <w:tcW w:w="400" w:type="pct"/>
            <w:noWrap/>
            <w:vAlign w:val="center"/>
            <w:hideMark/>
          </w:tcPr>
          <w:p w14:paraId="268A224B" w14:textId="77777777" w:rsidR="00763A4D" w:rsidRPr="00AF64E6" w:rsidRDefault="00763A4D" w:rsidP="000A5389">
            <w:pPr>
              <w:spacing w:line="240" w:lineRule="auto"/>
              <w:jc w:val="center"/>
              <w:rPr>
                <w:rFonts w:eastAsia="Times New Roman" w:cs="Times New Roman"/>
                <w:kern w:val="0"/>
                <w:sz w:val="16"/>
                <w:szCs w:val="16"/>
                <w:lang w:eastAsia="es-CO"/>
                <w14:ligatures w14:val="none"/>
              </w:rPr>
            </w:pPr>
            <w:r w:rsidRPr="00AF64E6">
              <w:rPr>
                <w:rFonts w:eastAsia="Times New Roman" w:cs="Times New Roman"/>
                <w:kern w:val="0"/>
                <w:sz w:val="16"/>
                <w:szCs w:val="16"/>
                <w:lang w:eastAsia="es-CO"/>
                <w14:ligatures w14:val="none"/>
              </w:rPr>
              <w:t>PN</w:t>
            </w:r>
          </w:p>
        </w:tc>
        <w:tc>
          <w:tcPr>
            <w:tcW w:w="483" w:type="pct"/>
            <w:noWrap/>
            <w:vAlign w:val="center"/>
            <w:hideMark/>
          </w:tcPr>
          <w:p w14:paraId="1C525956" w14:textId="77777777" w:rsidR="00763A4D" w:rsidRPr="00AF64E6" w:rsidRDefault="00763A4D" w:rsidP="000A5389">
            <w:pPr>
              <w:spacing w:line="240" w:lineRule="auto"/>
              <w:jc w:val="center"/>
              <w:rPr>
                <w:rFonts w:eastAsia="Times New Roman" w:cs="Times New Roman"/>
                <w:kern w:val="0"/>
                <w:sz w:val="16"/>
                <w:szCs w:val="16"/>
                <w:lang w:eastAsia="es-CO"/>
                <w14:ligatures w14:val="none"/>
              </w:rPr>
            </w:pPr>
            <w:r w:rsidRPr="00AF64E6">
              <w:rPr>
                <w:rFonts w:eastAsia="Times New Roman" w:cs="Times New Roman"/>
                <w:kern w:val="0"/>
                <w:sz w:val="16"/>
                <w:szCs w:val="16"/>
                <w:lang w:eastAsia="es-CO"/>
                <w14:ligatures w14:val="none"/>
              </w:rPr>
              <w:t>11</w:t>
            </w:r>
          </w:p>
        </w:tc>
        <w:tc>
          <w:tcPr>
            <w:tcW w:w="802" w:type="pct"/>
            <w:noWrap/>
            <w:vAlign w:val="center"/>
            <w:hideMark/>
          </w:tcPr>
          <w:p w14:paraId="1E39F3AA" w14:textId="77777777" w:rsidR="00763A4D" w:rsidRPr="00AF64E6" w:rsidRDefault="00763A4D" w:rsidP="000A5389">
            <w:pPr>
              <w:spacing w:line="240" w:lineRule="auto"/>
              <w:jc w:val="right"/>
              <w:rPr>
                <w:rFonts w:eastAsia="Times New Roman" w:cs="Times New Roman"/>
                <w:kern w:val="0"/>
                <w:sz w:val="16"/>
                <w:szCs w:val="16"/>
                <w:lang w:eastAsia="es-CO"/>
                <w14:ligatures w14:val="none"/>
              </w:rPr>
            </w:pPr>
            <w:r w:rsidRPr="00AF64E6">
              <w:rPr>
                <w:rFonts w:eastAsia="Times New Roman" w:cs="Times New Roman"/>
                <w:kern w:val="0"/>
                <w:sz w:val="16"/>
                <w:szCs w:val="16"/>
                <w:lang w:eastAsia="es-CO"/>
                <w14:ligatures w14:val="none"/>
              </w:rPr>
              <w:t xml:space="preserve">4.614.977.733 </w:t>
            </w:r>
          </w:p>
        </w:tc>
        <w:tc>
          <w:tcPr>
            <w:tcW w:w="553" w:type="pct"/>
            <w:shd w:val="clear" w:color="auto" w:fill="FFFFFF" w:themeFill="background1"/>
            <w:noWrap/>
            <w:vAlign w:val="center"/>
            <w:hideMark/>
          </w:tcPr>
          <w:p w14:paraId="304575CF" w14:textId="77777777" w:rsidR="00763A4D" w:rsidRPr="00AF64E6" w:rsidRDefault="00763A4D" w:rsidP="000A5389">
            <w:pPr>
              <w:spacing w:line="240" w:lineRule="auto"/>
              <w:jc w:val="center"/>
              <w:rPr>
                <w:rFonts w:eastAsia="Times New Roman" w:cs="Times New Roman"/>
                <w:kern w:val="0"/>
                <w:sz w:val="16"/>
                <w:szCs w:val="16"/>
                <w:lang w:eastAsia="es-CO"/>
                <w14:ligatures w14:val="none"/>
              </w:rPr>
            </w:pPr>
            <w:r w:rsidRPr="00AF64E6">
              <w:rPr>
                <w:rFonts w:eastAsia="Times New Roman" w:cs="Times New Roman"/>
                <w:kern w:val="0"/>
                <w:sz w:val="16"/>
                <w:szCs w:val="16"/>
                <w:lang w:eastAsia="es-CO"/>
                <w14:ligatures w14:val="none"/>
              </w:rPr>
              <w:t>1</w:t>
            </w:r>
          </w:p>
        </w:tc>
        <w:tc>
          <w:tcPr>
            <w:tcW w:w="421" w:type="pct"/>
            <w:shd w:val="clear" w:color="auto" w:fill="FFFFFF" w:themeFill="background1"/>
            <w:noWrap/>
            <w:vAlign w:val="center"/>
            <w:hideMark/>
          </w:tcPr>
          <w:p w14:paraId="73C550C0" w14:textId="77777777" w:rsidR="00763A4D" w:rsidRPr="00AF64E6" w:rsidRDefault="00763A4D" w:rsidP="000A5389">
            <w:pPr>
              <w:spacing w:line="240" w:lineRule="auto"/>
              <w:jc w:val="center"/>
              <w:rPr>
                <w:rFonts w:eastAsia="Times New Roman" w:cs="Times New Roman"/>
                <w:kern w:val="0"/>
                <w:sz w:val="16"/>
                <w:szCs w:val="16"/>
                <w:lang w:eastAsia="es-CO"/>
                <w14:ligatures w14:val="none"/>
              </w:rPr>
            </w:pPr>
            <w:r w:rsidRPr="00AF64E6">
              <w:rPr>
                <w:rFonts w:eastAsia="Times New Roman" w:cs="Times New Roman"/>
                <w:kern w:val="0"/>
                <w:sz w:val="16"/>
                <w:szCs w:val="16"/>
                <w:lang w:eastAsia="es-CO"/>
                <w14:ligatures w14:val="none"/>
              </w:rPr>
              <w:t>10</w:t>
            </w:r>
          </w:p>
        </w:tc>
        <w:tc>
          <w:tcPr>
            <w:tcW w:w="552" w:type="pct"/>
            <w:shd w:val="clear" w:color="auto" w:fill="FFFFFF" w:themeFill="background1"/>
            <w:noWrap/>
            <w:vAlign w:val="center"/>
            <w:hideMark/>
          </w:tcPr>
          <w:p w14:paraId="73B7CBAF" w14:textId="422CA694" w:rsidR="00763A4D" w:rsidRPr="00AF64E6" w:rsidRDefault="00606956" w:rsidP="000A5389">
            <w:pPr>
              <w:spacing w:line="240" w:lineRule="auto"/>
              <w:jc w:val="center"/>
              <w:rPr>
                <w:rFonts w:eastAsia="Times New Roman" w:cs="Times New Roman"/>
                <w:kern w:val="0"/>
                <w:sz w:val="16"/>
                <w:szCs w:val="16"/>
                <w:lang w:eastAsia="es-CO"/>
                <w14:ligatures w14:val="none"/>
              </w:rPr>
            </w:pPr>
            <w:r w:rsidRPr="00AF64E6">
              <w:rPr>
                <w:rFonts w:eastAsia="Times New Roman" w:cs="Times New Roman"/>
                <w:kern w:val="0"/>
                <w:sz w:val="16"/>
                <w:szCs w:val="16"/>
                <w:lang w:eastAsia="es-CO"/>
                <w14:ligatures w14:val="none"/>
              </w:rPr>
              <w:t>Ver Detalle</w:t>
            </w:r>
          </w:p>
        </w:tc>
        <w:tc>
          <w:tcPr>
            <w:tcW w:w="587" w:type="pct"/>
            <w:shd w:val="clear" w:color="auto" w:fill="FFFFFF" w:themeFill="background1"/>
            <w:noWrap/>
            <w:vAlign w:val="center"/>
            <w:hideMark/>
          </w:tcPr>
          <w:p w14:paraId="6D0DF52D" w14:textId="6DA6C272" w:rsidR="00763A4D" w:rsidRPr="00AF64E6" w:rsidRDefault="00606956" w:rsidP="000A5389">
            <w:pPr>
              <w:spacing w:line="240" w:lineRule="auto"/>
              <w:jc w:val="center"/>
              <w:rPr>
                <w:rFonts w:eastAsia="Times New Roman" w:cs="Times New Roman"/>
                <w:kern w:val="0"/>
                <w:sz w:val="16"/>
                <w:szCs w:val="16"/>
                <w:lang w:eastAsia="es-CO"/>
                <w14:ligatures w14:val="none"/>
              </w:rPr>
            </w:pPr>
            <w:r w:rsidRPr="00AF64E6">
              <w:rPr>
                <w:rFonts w:eastAsia="Times New Roman" w:cs="Times New Roman"/>
                <w:kern w:val="0"/>
                <w:sz w:val="16"/>
                <w:szCs w:val="16"/>
                <w:lang w:eastAsia="es-CO"/>
                <w14:ligatures w14:val="none"/>
              </w:rPr>
              <w:t>Ver Detalle</w:t>
            </w:r>
          </w:p>
        </w:tc>
      </w:tr>
      <w:tr w:rsidR="00606956" w:rsidRPr="00AF64E6" w14:paraId="34433B70" w14:textId="77777777" w:rsidTr="00606956">
        <w:trPr>
          <w:trHeight w:val="171"/>
        </w:trPr>
        <w:tc>
          <w:tcPr>
            <w:tcW w:w="1202" w:type="pct"/>
            <w:vAlign w:val="center"/>
            <w:hideMark/>
          </w:tcPr>
          <w:p w14:paraId="18BFD151" w14:textId="77777777" w:rsidR="00763A4D" w:rsidRPr="00AF64E6" w:rsidRDefault="00763A4D" w:rsidP="000A5389">
            <w:pPr>
              <w:spacing w:line="240" w:lineRule="auto"/>
              <w:rPr>
                <w:rFonts w:eastAsia="Times New Roman" w:cs="Times New Roman"/>
                <w:kern w:val="0"/>
                <w:sz w:val="16"/>
                <w:szCs w:val="16"/>
                <w:lang w:eastAsia="es-CO"/>
                <w14:ligatures w14:val="none"/>
              </w:rPr>
            </w:pPr>
            <w:r w:rsidRPr="00AF64E6">
              <w:rPr>
                <w:rFonts w:eastAsia="Times New Roman" w:cs="Times New Roman"/>
                <w:kern w:val="0"/>
                <w:sz w:val="16"/>
                <w:szCs w:val="16"/>
                <w:lang w:eastAsia="es-CO"/>
                <w14:ligatures w14:val="none"/>
              </w:rPr>
              <w:t>Nacionales</w:t>
            </w:r>
          </w:p>
        </w:tc>
        <w:tc>
          <w:tcPr>
            <w:tcW w:w="400" w:type="pct"/>
            <w:noWrap/>
            <w:vAlign w:val="center"/>
            <w:hideMark/>
          </w:tcPr>
          <w:p w14:paraId="11CDCF85" w14:textId="77777777" w:rsidR="00763A4D" w:rsidRPr="00AF64E6" w:rsidRDefault="00763A4D" w:rsidP="000A5389">
            <w:pPr>
              <w:spacing w:line="240" w:lineRule="auto"/>
              <w:jc w:val="center"/>
              <w:rPr>
                <w:rFonts w:eastAsia="Times New Roman" w:cs="Times New Roman"/>
                <w:kern w:val="0"/>
                <w:sz w:val="16"/>
                <w:szCs w:val="16"/>
                <w:lang w:eastAsia="es-CO"/>
                <w14:ligatures w14:val="none"/>
              </w:rPr>
            </w:pPr>
            <w:r w:rsidRPr="00AF64E6">
              <w:rPr>
                <w:rFonts w:eastAsia="Times New Roman" w:cs="Times New Roman"/>
                <w:kern w:val="0"/>
                <w:sz w:val="16"/>
                <w:szCs w:val="16"/>
                <w:lang w:eastAsia="es-CO"/>
                <w14:ligatures w14:val="none"/>
              </w:rPr>
              <w:t>PJ</w:t>
            </w:r>
          </w:p>
        </w:tc>
        <w:tc>
          <w:tcPr>
            <w:tcW w:w="483" w:type="pct"/>
            <w:noWrap/>
            <w:vAlign w:val="center"/>
            <w:hideMark/>
          </w:tcPr>
          <w:p w14:paraId="1F9ED28C" w14:textId="77777777" w:rsidR="00763A4D" w:rsidRPr="00AF64E6" w:rsidRDefault="00763A4D" w:rsidP="000A5389">
            <w:pPr>
              <w:spacing w:line="240" w:lineRule="auto"/>
              <w:jc w:val="center"/>
              <w:rPr>
                <w:rFonts w:eastAsia="Times New Roman" w:cs="Times New Roman"/>
                <w:kern w:val="0"/>
                <w:sz w:val="16"/>
                <w:szCs w:val="16"/>
                <w:lang w:eastAsia="es-CO"/>
                <w14:ligatures w14:val="none"/>
              </w:rPr>
            </w:pPr>
            <w:r w:rsidRPr="00AF64E6">
              <w:rPr>
                <w:rFonts w:eastAsia="Times New Roman" w:cs="Times New Roman"/>
                <w:kern w:val="0"/>
                <w:sz w:val="16"/>
                <w:szCs w:val="16"/>
                <w:lang w:eastAsia="es-CO"/>
                <w14:ligatures w14:val="none"/>
              </w:rPr>
              <w:t>1</w:t>
            </w:r>
          </w:p>
        </w:tc>
        <w:tc>
          <w:tcPr>
            <w:tcW w:w="802" w:type="pct"/>
            <w:noWrap/>
            <w:vAlign w:val="center"/>
            <w:hideMark/>
          </w:tcPr>
          <w:p w14:paraId="2B00054D" w14:textId="77777777" w:rsidR="00763A4D" w:rsidRPr="00AF64E6" w:rsidRDefault="00763A4D" w:rsidP="000A5389">
            <w:pPr>
              <w:spacing w:line="240" w:lineRule="auto"/>
              <w:jc w:val="right"/>
              <w:rPr>
                <w:rFonts w:eastAsia="Times New Roman" w:cs="Times New Roman"/>
                <w:kern w:val="0"/>
                <w:sz w:val="16"/>
                <w:szCs w:val="16"/>
                <w:lang w:eastAsia="es-CO"/>
                <w14:ligatures w14:val="none"/>
              </w:rPr>
            </w:pPr>
            <w:r w:rsidRPr="00AF64E6">
              <w:rPr>
                <w:rFonts w:eastAsia="Times New Roman" w:cs="Times New Roman"/>
                <w:kern w:val="0"/>
                <w:sz w:val="16"/>
                <w:szCs w:val="16"/>
                <w:lang w:eastAsia="es-CO"/>
                <w14:ligatures w14:val="none"/>
              </w:rPr>
              <w:t xml:space="preserve">4.000.000 </w:t>
            </w:r>
          </w:p>
        </w:tc>
        <w:tc>
          <w:tcPr>
            <w:tcW w:w="553" w:type="pct"/>
            <w:shd w:val="clear" w:color="auto" w:fill="FFFFFF" w:themeFill="background1"/>
            <w:noWrap/>
            <w:vAlign w:val="center"/>
            <w:hideMark/>
          </w:tcPr>
          <w:p w14:paraId="3AD8168B" w14:textId="77777777" w:rsidR="00763A4D" w:rsidRPr="00AF64E6" w:rsidRDefault="00763A4D" w:rsidP="000A5389">
            <w:pPr>
              <w:spacing w:line="240" w:lineRule="auto"/>
              <w:jc w:val="center"/>
              <w:rPr>
                <w:rFonts w:eastAsia="Times New Roman" w:cs="Times New Roman"/>
                <w:kern w:val="0"/>
                <w:sz w:val="16"/>
                <w:szCs w:val="16"/>
                <w:lang w:eastAsia="es-CO"/>
                <w14:ligatures w14:val="none"/>
              </w:rPr>
            </w:pPr>
            <w:r w:rsidRPr="00AF64E6">
              <w:rPr>
                <w:rFonts w:eastAsia="Times New Roman" w:cs="Times New Roman"/>
                <w:kern w:val="0"/>
                <w:sz w:val="16"/>
                <w:szCs w:val="16"/>
                <w:lang w:eastAsia="es-CO"/>
                <w14:ligatures w14:val="none"/>
              </w:rPr>
              <w:t>1</w:t>
            </w:r>
          </w:p>
        </w:tc>
        <w:tc>
          <w:tcPr>
            <w:tcW w:w="421" w:type="pct"/>
            <w:shd w:val="clear" w:color="auto" w:fill="FFFFFF" w:themeFill="background1"/>
            <w:noWrap/>
            <w:vAlign w:val="center"/>
            <w:hideMark/>
          </w:tcPr>
          <w:p w14:paraId="0EE5957C" w14:textId="77777777" w:rsidR="00763A4D" w:rsidRPr="00AF64E6" w:rsidRDefault="00763A4D" w:rsidP="000A5389">
            <w:pPr>
              <w:spacing w:line="240" w:lineRule="auto"/>
              <w:jc w:val="center"/>
              <w:rPr>
                <w:rFonts w:eastAsia="Times New Roman" w:cs="Times New Roman"/>
                <w:kern w:val="0"/>
                <w:sz w:val="16"/>
                <w:szCs w:val="16"/>
                <w:lang w:eastAsia="es-CO"/>
                <w14:ligatures w14:val="none"/>
              </w:rPr>
            </w:pPr>
            <w:r w:rsidRPr="00AF64E6">
              <w:rPr>
                <w:rFonts w:eastAsia="Times New Roman" w:cs="Times New Roman"/>
                <w:kern w:val="0"/>
                <w:sz w:val="16"/>
                <w:szCs w:val="16"/>
                <w:lang w:eastAsia="es-CO"/>
                <w14:ligatures w14:val="none"/>
              </w:rPr>
              <w:t>10</w:t>
            </w:r>
          </w:p>
        </w:tc>
        <w:tc>
          <w:tcPr>
            <w:tcW w:w="552" w:type="pct"/>
            <w:shd w:val="clear" w:color="auto" w:fill="FFFFFF" w:themeFill="background1"/>
            <w:noWrap/>
            <w:vAlign w:val="center"/>
            <w:hideMark/>
          </w:tcPr>
          <w:p w14:paraId="18A4785C" w14:textId="5E4FFE0B" w:rsidR="00763A4D" w:rsidRPr="00AF64E6" w:rsidRDefault="00606956" w:rsidP="000A5389">
            <w:pPr>
              <w:spacing w:line="240" w:lineRule="auto"/>
              <w:jc w:val="center"/>
              <w:rPr>
                <w:rFonts w:eastAsia="Times New Roman" w:cs="Times New Roman"/>
                <w:kern w:val="0"/>
                <w:sz w:val="16"/>
                <w:szCs w:val="16"/>
                <w:lang w:eastAsia="es-CO"/>
                <w14:ligatures w14:val="none"/>
              </w:rPr>
            </w:pPr>
            <w:r w:rsidRPr="00AF64E6">
              <w:rPr>
                <w:rFonts w:eastAsia="Times New Roman" w:cs="Times New Roman"/>
                <w:kern w:val="0"/>
                <w:sz w:val="16"/>
                <w:szCs w:val="16"/>
                <w:lang w:eastAsia="es-CO"/>
                <w14:ligatures w14:val="none"/>
              </w:rPr>
              <w:t>Ver Detalle</w:t>
            </w:r>
          </w:p>
        </w:tc>
        <w:tc>
          <w:tcPr>
            <w:tcW w:w="587" w:type="pct"/>
            <w:shd w:val="clear" w:color="auto" w:fill="FFFFFF" w:themeFill="background1"/>
            <w:noWrap/>
            <w:vAlign w:val="center"/>
            <w:hideMark/>
          </w:tcPr>
          <w:p w14:paraId="78AA31BE" w14:textId="33ED10EC" w:rsidR="00763A4D" w:rsidRPr="00AF64E6" w:rsidRDefault="00606956" w:rsidP="000A5389">
            <w:pPr>
              <w:spacing w:line="240" w:lineRule="auto"/>
              <w:jc w:val="center"/>
              <w:rPr>
                <w:rFonts w:eastAsia="Times New Roman" w:cs="Times New Roman"/>
                <w:kern w:val="0"/>
                <w:sz w:val="16"/>
                <w:szCs w:val="16"/>
                <w:lang w:eastAsia="es-CO"/>
                <w14:ligatures w14:val="none"/>
              </w:rPr>
            </w:pPr>
            <w:r w:rsidRPr="00AF64E6">
              <w:rPr>
                <w:rFonts w:eastAsia="Times New Roman" w:cs="Times New Roman"/>
                <w:kern w:val="0"/>
                <w:sz w:val="16"/>
                <w:szCs w:val="16"/>
                <w:lang w:eastAsia="es-CO"/>
                <w14:ligatures w14:val="none"/>
              </w:rPr>
              <w:t>Ver Detalle</w:t>
            </w:r>
          </w:p>
        </w:tc>
      </w:tr>
      <w:tr w:rsidR="00606956" w:rsidRPr="00AF64E6" w14:paraId="2EAE408A" w14:textId="77777777" w:rsidTr="00606956">
        <w:trPr>
          <w:trHeight w:val="160"/>
        </w:trPr>
        <w:tc>
          <w:tcPr>
            <w:tcW w:w="1202" w:type="pct"/>
            <w:noWrap/>
            <w:vAlign w:val="center"/>
            <w:hideMark/>
          </w:tcPr>
          <w:p w14:paraId="124C0371" w14:textId="77777777" w:rsidR="00763A4D" w:rsidRPr="00AF64E6" w:rsidRDefault="00763A4D" w:rsidP="000A5389">
            <w:pPr>
              <w:spacing w:line="240" w:lineRule="auto"/>
              <w:rPr>
                <w:rFonts w:eastAsia="Times New Roman" w:cs="Times New Roman"/>
                <w:b/>
                <w:bCs/>
                <w:kern w:val="0"/>
                <w:sz w:val="16"/>
                <w:szCs w:val="16"/>
                <w:lang w:eastAsia="es-CO"/>
                <w14:ligatures w14:val="none"/>
              </w:rPr>
            </w:pPr>
            <w:r w:rsidRPr="00AF64E6">
              <w:rPr>
                <w:rFonts w:eastAsia="Times New Roman" w:cs="Times New Roman"/>
                <w:b/>
                <w:bCs/>
                <w:kern w:val="0"/>
                <w:sz w:val="16"/>
                <w:szCs w:val="16"/>
                <w:lang w:eastAsia="es-CO"/>
                <w14:ligatures w14:val="none"/>
              </w:rPr>
              <w:t>Laudos arbitrales y conciliaciones extrajudiciales</w:t>
            </w:r>
          </w:p>
        </w:tc>
        <w:tc>
          <w:tcPr>
            <w:tcW w:w="400" w:type="pct"/>
            <w:noWrap/>
            <w:vAlign w:val="center"/>
            <w:hideMark/>
          </w:tcPr>
          <w:p w14:paraId="092CD208" w14:textId="77777777" w:rsidR="00763A4D" w:rsidRPr="00AF64E6" w:rsidRDefault="00763A4D" w:rsidP="000A5389">
            <w:pPr>
              <w:spacing w:line="240" w:lineRule="auto"/>
              <w:rPr>
                <w:rFonts w:eastAsia="Times New Roman" w:cs="Times New Roman"/>
                <w:b/>
                <w:bCs/>
                <w:kern w:val="0"/>
                <w:sz w:val="16"/>
                <w:szCs w:val="16"/>
                <w:lang w:eastAsia="es-CO"/>
                <w14:ligatures w14:val="none"/>
              </w:rPr>
            </w:pPr>
            <w:r w:rsidRPr="00AF64E6">
              <w:rPr>
                <w:rFonts w:eastAsia="Times New Roman" w:cs="Times New Roman"/>
                <w:b/>
                <w:bCs/>
                <w:kern w:val="0"/>
                <w:sz w:val="16"/>
                <w:szCs w:val="16"/>
                <w:lang w:eastAsia="es-CO"/>
                <w14:ligatures w14:val="none"/>
              </w:rPr>
              <w:t> </w:t>
            </w:r>
          </w:p>
        </w:tc>
        <w:tc>
          <w:tcPr>
            <w:tcW w:w="483" w:type="pct"/>
            <w:noWrap/>
            <w:vAlign w:val="center"/>
            <w:hideMark/>
          </w:tcPr>
          <w:p w14:paraId="1782376E" w14:textId="77777777" w:rsidR="00763A4D" w:rsidRPr="00AF64E6" w:rsidRDefault="00763A4D" w:rsidP="000A5389">
            <w:pPr>
              <w:spacing w:line="240" w:lineRule="auto"/>
              <w:rPr>
                <w:rFonts w:eastAsia="Times New Roman" w:cs="Times New Roman"/>
                <w:b/>
                <w:bCs/>
                <w:kern w:val="0"/>
                <w:sz w:val="16"/>
                <w:szCs w:val="16"/>
                <w:lang w:eastAsia="es-CO"/>
                <w14:ligatures w14:val="none"/>
              </w:rPr>
            </w:pPr>
            <w:r w:rsidRPr="00AF64E6">
              <w:rPr>
                <w:rFonts w:eastAsia="Times New Roman" w:cs="Times New Roman"/>
                <w:b/>
                <w:bCs/>
                <w:kern w:val="0"/>
                <w:sz w:val="16"/>
                <w:szCs w:val="16"/>
                <w:lang w:eastAsia="es-CO"/>
                <w14:ligatures w14:val="none"/>
              </w:rPr>
              <w:t> </w:t>
            </w:r>
          </w:p>
        </w:tc>
        <w:tc>
          <w:tcPr>
            <w:tcW w:w="802" w:type="pct"/>
            <w:noWrap/>
            <w:vAlign w:val="center"/>
            <w:hideMark/>
          </w:tcPr>
          <w:p w14:paraId="7995251D" w14:textId="77777777" w:rsidR="00763A4D" w:rsidRPr="00AF64E6" w:rsidRDefault="00763A4D" w:rsidP="000A5389">
            <w:pPr>
              <w:spacing w:line="240" w:lineRule="auto"/>
              <w:jc w:val="right"/>
              <w:rPr>
                <w:rFonts w:eastAsia="Times New Roman" w:cs="Times New Roman"/>
                <w:b/>
                <w:bCs/>
                <w:kern w:val="0"/>
                <w:sz w:val="16"/>
                <w:szCs w:val="16"/>
                <w:lang w:eastAsia="es-CO"/>
                <w14:ligatures w14:val="none"/>
              </w:rPr>
            </w:pPr>
            <w:r w:rsidRPr="00AF64E6">
              <w:rPr>
                <w:rFonts w:eastAsia="Times New Roman" w:cs="Times New Roman"/>
                <w:b/>
                <w:bCs/>
                <w:kern w:val="0"/>
                <w:sz w:val="16"/>
                <w:szCs w:val="16"/>
                <w:lang w:eastAsia="es-CO"/>
                <w14:ligatures w14:val="none"/>
              </w:rPr>
              <w:t xml:space="preserve">3.778.422.164.368 </w:t>
            </w:r>
          </w:p>
        </w:tc>
        <w:tc>
          <w:tcPr>
            <w:tcW w:w="553" w:type="pct"/>
            <w:shd w:val="clear" w:color="auto" w:fill="FFFFFF" w:themeFill="background1"/>
            <w:noWrap/>
            <w:vAlign w:val="center"/>
            <w:hideMark/>
          </w:tcPr>
          <w:p w14:paraId="69BDC58A" w14:textId="77777777" w:rsidR="00763A4D" w:rsidRPr="00AF64E6" w:rsidRDefault="00763A4D" w:rsidP="000A5389">
            <w:pPr>
              <w:spacing w:line="240" w:lineRule="auto"/>
              <w:jc w:val="center"/>
              <w:rPr>
                <w:rFonts w:eastAsia="Times New Roman" w:cs="Times New Roman"/>
                <w:b/>
                <w:bCs/>
                <w:kern w:val="0"/>
                <w:sz w:val="16"/>
                <w:szCs w:val="16"/>
                <w:lang w:eastAsia="es-CO"/>
                <w14:ligatures w14:val="none"/>
              </w:rPr>
            </w:pPr>
            <w:r w:rsidRPr="00AF64E6">
              <w:rPr>
                <w:rFonts w:eastAsia="Times New Roman" w:cs="Times New Roman"/>
                <w:b/>
                <w:bCs/>
                <w:kern w:val="0"/>
                <w:sz w:val="16"/>
                <w:szCs w:val="16"/>
                <w:lang w:eastAsia="es-CO"/>
                <w14:ligatures w14:val="none"/>
              </w:rPr>
              <w:t> </w:t>
            </w:r>
          </w:p>
        </w:tc>
        <w:tc>
          <w:tcPr>
            <w:tcW w:w="421" w:type="pct"/>
            <w:shd w:val="clear" w:color="auto" w:fill="FFFFFF" w:themeFill="background1"/>
            <w:noWrap/>
            <w:vAlign w:val="center"/>
            <w:hideMark/>
          </w:tcPr>
          <w:p w14:paraId="305030A7" w14:textId="77777777" w:rsidR="00763A4D" w:rsidRPr="00AF64E6" w:rsidRDefault="00763A4D" w:rsidP="000A5389">
            <w:pPr>
              <w:spacing w:line="240" w:lineRule="auto"/>
              <w:jc w:val="center"/>
              <w:rPr>
                <w:rFonts w:eastAsia="Times New Roman" w:cs="Times New Roman"/>
                <w:b/>
                <w:bCs/>
                <w:kern w:val="0"/>
                <w:sz w:val="16"/>
                <w:szCs w:val="16"/>
                <w:lang w:eastAsia="es-CO"/>
                <w14:ligatures w14:val="none"/>
              </w:rPr>
            </w:pPr>
            <w:r w:rsidRPr="00AF64E6">
              <w:rPr>
                <w:rFonts w:eastAsia="Times New Roman" w:cs="Times New Roman"/>
                <w:b/>
                <w:bCs/>
                <w:kern w:val="0"/>
                <w:sz w:val="16"/>
                <w:szCs w:val="16"/>
                <w:lang w:eastAsia="es-CO"/>
                <w14:ligatures w14:val="none"/>
              </w:rPr>
              <w:t> </w:t>
            </w:r>
          </w:p>
        </w:tc>
        <w:tc>
          <w:tcPr>
            <w:tcW w:w="552" w:type="pct"/>
            <w:shd w:val="clear" w:color="auto" w:fill="FFFFFF" w:themeFill="background1"/>
            <w:noWrap/>
            <w:vAlign w:val="center"/>
            <w:hideMark/>
          </w:tcPr>
          <w:p w14:paraId="0F673144" w14:textId="5E43BE41" w:rsidR="00763A4D" w:rsidRPr="00AF64E6" w:rsidRDefault="00606956" w:rsidP="000A5389">
            <w:pPr>
              <w:spacing w:line="240" w:lineRule="auto"/>
              <w:rPr>
                <w:rFonts w:eastAsia="Times New Roman" w:cs="Times New Roman"/>
                <w:b/>
                <w:bCs/>
                <w:kern w:val="0"/>
                <w:sz w:val="16"/>
                <w:szCs w:val="16"/>
                <w:lang w:eastAsia="es-CO"/>
                <w14:ligatures w14:val="none"/>
              </w:rPr>
            </w:pPr>
            <w:r w:rsidRPr="00AF64E6">
              <w:rPr>
                <w:rFonts w:eastAsia="Times New Roman" w:cs="Times New Roman"/>
                <w:b/>
                <w:bCs/>
                <w:kern w:val="0"/>
                <w:sz w:val="16"/>
                <w:szCs w:val="16"/>
                <w:lang w:eastAsia="es-CO"/>
                <w14:ligatures w14:val="none"/>
              </w:rPr>
              <w:t> </w:t>
            </w:r>
          </w:p>
        </w:tc>
        <w:tc>
          <w:tcPr>
            <w:tcW w:w="587" w:type="pct"/>
            <w:shd w:val="clear" w:color="auto" w:fill="FFFFFF" w:themeFill="background1"/>
            <w:noWrap/>
            <w:vAlign w:val="center"/>
            <w:hideMark/>
          </w:tcPr>
          <w:p w14:paraId="04D9B2D5" w14:textId="16165299" w:rsidR="00763A4D" w:rsidRPr="00AF64E6" w:rsidRDefault="00606956" w:rsidP="000A5389">
            <w:pPr>
              <w:spacing w:line="240" w:lineRule="auto"/>
              <w:jc w:val="center"/>
              <w:rPr>
                <w:rFonts w:eastAsia="Times New Roman" w:cs="Times New Roman"/>
                <w:b/>
                <w:bCs/>
                <w:kern w:val="0"/>
                <w:sz w:val="16"/>
                <w:szCs w:val="16"/>
                <w:lang w:eastAsia="es-CO"/>
                <w14:ligatures w14:val="none"/>
              </w:rPr>
            </w:pPr>
            <w:r w:rsidRPr="00AF64E6">
              <w:rPr>
                <w:rFonts w:eastAsia="Times New Roman" w:cs="Times New Roman"/>
                <w:b/>
                <w:bCs/>
                <w:kern w:val="0"/>
                <w:sz w:val="16"/>
                <w:szCs w:val="16"/>
                <w:lang w:eastAsia="es-CO"/>
                <w14:ligatures w14:val="none"/>
              </w:rPr>
              <w:t> </w:t>
            </w:r>
          </w:p>
        </w:tc>
      </w:tr>
      <w:tr w:rsidR="00606956" w:rsidRPr="00AF64E6" w14:paraId="2F650A21" w14:textId="77777777" w:rsidTr="00606956">
        <w:trPr>
          <w:trHeight w:val="171"/>
        </w:trPr>
        <w:tc>
          <w:tcPr>
            <w:tcW w:w="1202" w:type="pct"/>
            <w:vAlign w:val="center"/>
            <w:hideMark/>
          </w:tcPr>
          <w:p w14:paraId="6DEEB995" w14:textId="77777777" w:rsidR="00763A4D" w:rsidRPr="00AF64E6" w:rsidRDefault="00763A4D" w:rsidP="000A5389">
            <w:pPr>
              <w:spacing w:line="240" w:lineRule="auto"/>
              <w:rPr>
                <w:rFonts w:eastAsia="Times New Roman" w:cs="Times New Roman"/>
                <w:kern w:val="0"/>
                <w:sz w:val="16"/>
                <w:szCs w:val="16"/>
                <w:lang w:eastAsia="es-CO"/>
                <w14:ligatures w14:val="none"/>
              </w:rPr>
            </w:pPr>
            <w:r w:rsidRPr="00AF64E6">
              <w:rPr>
                <w:rFonts w:eastAsia="Times New Roman" w:cs="Times New Roman"/>
                <w:kern w:val="0"/>
                <w:sz w:val="16"/>
                <w:szCs w:val="16"/>
                <w:lang w:eastAsia="es-CO"/>
                <w14:ligatures w14:val="none"/>
              </w:rPr>
              <w:t>Nacionales</w:t>
            </w:r>
          </w:p>
        </w:tc>
        <w:tc>
          <w:tcPr>
            <w:tcW w:w="400" w:type="pct"/>
            <w:noWrap/>
            <w:vAlign w:val="center"/>
            <w:hideMark/>
          </w:tcPr>
          <w:p w14:paraId="7A5285F5" w14:textId="77777777" w:rsidR="00763A4D" w:rsidRPr="00AF64E6" w:rsidRDefault="00763A4D" w:rsidP="000A5389">
            <w:pPr>
              <w:spacing w:line="240" w:lineRule="auto"/>
              <w:jc w:val="center"/>
              <w:rPr>
                <w:rFonts w:eastAsia="Times New Roman" w:cs="Times New Roman"/>
                <w:kern w:val="0"/>
                <w:sz w:val="16"/>
                <w:szCs w:val="16"/>
                <w:lang w:eastAsia="es-CO"/>
                <w14:ligatures w14:val="none"/>
              </w:rPr>
            </w:pPr>
            <w:r w:rsidRPr="00AF64E6">
              <w:rPr>
                <w:rFonts w:eastAsia="Times New Roman" w:cs="Times New Roman"/>
                <w:kern w:val="0"/>
                <w:sz w:val="16"/>
                <w:szCs w:val="16"/>
                <w:lang w:eastAsia="es-CO"/>
                <w14:ligatures w14:val="none"/>
              </w:rPr>
              <w:t>PJ</w:t>
            </w:r>
          </w:p>
        </w:tc>
        <w:tc>
          <w:tcPr>
            <w:tcW w:w="483" w:type="pct"/>
            <w:noWrap/>
            <w:vAlign w:val="center"/>
            <w:hideMark/>
          </w:tcPr>
          <w:p w14:paraId="4AE9F985" w14:textId="77777777" w:rsidR="00763A4D" w:rsidRPr="00AF64E6" w:rsidRDefault="00763A4D" w:rsidP="000A5389">
            <w:pPr>
              <w:spacing w:line="240" w:lineRule="auto"/>
              <w:jc w:val="center"/>
              <w:rPr>
                <w:rFonts w:eastAsia="Times New Roman" w:cs="Times New Roman"/>
                <w:kern w:val="0"/>
                <w:sz w:val="16"/>
                <w:szCs w:val="16"/>
                <w:lang w:eastAsia="es-CO"/>
                <w14:ligatures w14:val="none"/>
              </w:rPr>
            </w:pPr>
            <w:r w:rsidRPr="00AF64E6">
              <w:rPr>
                <w:rFonts w:eastAsia="Times New Roman" w:cs="Times New Roman"/>
                <w:kern w:val="0"/>
                <w:sz w:val="16"/>
                <w:szCs w:val="16"/>
                <w:lang w:eastAsia="es-CO"/>
                <w14:ligatures w14:val="none"/>
              </w:rPr>
              <w:t>15</w:t>
            </w:r>
          </w:p>
        </w:tc>
        <w:tc>
          <w:tcPr>
            <w:tcW w:w="802" w:type="pct"/>
            <w:noWrap/>
            <w:vAlign w:val="center"/>
            <w:hideMark/>
          </w:tcPr>
          <w:p w14:paraId="0D16445A" w14:textId="77777777" w:rsidR="00763A4D" w:rsidRPr="00AF64E6" w:rsidRDefault="00763A4D" w:rsidP="000A5389">
            <w:pPr>
              <w:spacing w:line="240" w:lineRule="auto"/>
              <w:jc w:val="right"/>
              <w:rPr>
                <w:rFonts w:eastAsia="Times New Roman" w:cs="Times New Roman"/>
                <w:kern w:val="0"/>
                <w:sz w:val="16"/>
                <w:szCs w:val="16"/>
                <w:lang w:eastAsia="es-CO"/>
                <w14:ligatures w14:val="none"/>
              </w:rPr>
            </w:pPr>
            <w:r w:rsidRPr="00AF64E6">
              <w:rPr>
                <w:rFonts w:eastAsia="Times New Roman" w:cs="Times New Roman"/>
                <w:kern w:val="0"/>
                <w:sz w:val="16"/>
                <w:szCs w:val="16"/>
                <w:lang w:eastAsia="es-CO"/>
                <w14:ligatures w14:val="none"/>
              </w:rPr>
              <w:t xml:space="preserve">3.778.422.164.368 </w:t>
            </w:r>
          </w:p>
        </w:tc>
        <w:tc>
          <w:tcPr>
            <w:tcW w:w="553" w:type="pct"/>
            <w:shd w:val="clear" w:color="auto" w:fill="FFFFFF" w:themeFill="background1"/>
            <w:noWrap/>
            <w:vAlign w:val="center"/>
            <w:hideMark/>
          </w:tcPr>
          <w:p w14:paraId="2A48ECCA" w14:textId="77777777" w:rsidR="00763A4D" w:rsidRPr="00AF64E6" w:rsidRDefault="00763A4D" w:rsidP="000A5389">
            <w:pPr>
              <w:spacing w:line="240" w:lineRule="auto"/>
              <w:jc w:val="center"/>
              <w:rPr>
                <w:rFonts w:eastAsia="Times New Roman" w:cs="Times New Roman"/>
                <w:kern w:val="0"/>
                <w:sz w:val="16"/>
                <w:szCs w:val="16"/>
                <w:lang w:eastAsia="es-CO"/>
                <w14:ligatures w14:val="none"/>
              </w:rPr>
            </w:pPr>
            <w:r w:rsidRPr="00AF64E6">
              <w:rPr>
                <w:rFonts w:eastAsia="Times New Roman" w:cs="Times New Roman"/>
                <w:kern w:val="0"/>
                <w:sz w:val="16"/>
                <w:szCs w:val="16"/>
                <w:lang w:eastAsia="es-CO"/>
                <w14:ligatures w14:val="none"/>
              </w:rPr>
              <w:t>1</w:t>
            </w:r>
          </w:p>
        </w:tc>
        <w:tc>
          <w:tcPr>
            <w:tcW w:w="421" w:type="pct"/>
            <w:shd w:val="clear" w:color="auto" w:fill="FFFFFF" w:themeFill="background1"/>
            <w:noWrap/>
            <w:vAlign w:val="center"/>
            <w:hideMark/>
          </w:tcPr>
          <w:p w14:paraId="4AB0CEC9" w14:textId="77777777" w:rsidR="00763A4D" w:rsidRPr="00AF64E6" w:rsidRDefault="00763A4D" w:rsidP="000A5389">
            <w:pPr>
              <w:spacing w:line="240" w:lineRule="auto"/>
              <w:jc w:val="center"/>
              <w:rPr>
                <w:rFonts w:eastAsia="Times New Roman" w:cs="Times New Roman"/>
                <w:kern w:val="0"/>
                <w:sz w:val="16"/>
                <w:szCs w:val="16"/>
                <w:lang w:eastAsia="es-CO"/>
                <w14:ligatures w14:val="none"/>
              </w:rPr>
            </w:pPr>
            <w:r w:rsidRPr="00AF64E6">
              <w:rPr>
                <w:rFonts w:eastAsia="Times New Roman" w:cs="Times New Roman"/>
                <w:kern w:val="0"/>
                <w:sz w:val="16"/>
                <w:szCs w:val="16"/>
                <w:lang w:eastAsia="es-CO"/>
                <w14:ligatures w14:val="none"/>
              </w:rPr>
              <w:t>10</w:t>
            </w:r>
          </w:p>
        </w:tc>
        <w:tc>
          <w:tcPr>
            <w:tcW w:w="552" w:type="pct"/>
            <w:shd w:val="clear" w:color="auto" w:fill="FFFFFF" w:themeFill="background1"/>
            <w:noWrap/>
            <w:vAlign w:val="center"/>
            <w:hideMark/>
          </w:tcPr>
          <w:p w14:paraId="7BF9C0D8" w14:textId="43D9AEE2" w:rsidR="00763A4D" w:rsidRPr="00AF64E6" w:rsidRDefault="00606956" w:rsidP="000A5389">
            <w:pPr>
              <w:spacing w:line="240" w:lineRule="auto"/>
              <w:jc w:val="center"/>
              <w:rPr>
                <w:rFonts w:eastAsia="Times New Roman" w:cs="Times New Roman"/>
                <w:kern w:val="0"/>
                <w:sz w:val="16"/>
                <w:szCs w:val="16"/>
                <w:lang w:eastAsia="es-CO"/>
                <w14:ligatures w14:val="none"/>
              </w:rPr>
            </w:pPr>
            <w:r w:rsidRPr="00AF64E6">
              <w:rPr>
                <w:rFonts w:eastAsia="Times New Roman" w:cs="Times New Roman"/>
                <w:kern w:val="0"/>
                <w:sz w:val="16"/>
                <w:szCs w:val="16"/>
                <w:lang w:eastAsia="es-CO"/>
                <w14:ligatures w14:val="none"/>
              </w:rPr>
              <w:t>Ver Detalle</w:t>
            </w:r>
          </w:p>
        </w:tc>
        <w:tc>
          <w:tcPr>
            <w:tcW w:w="587" w:type="pct"/>
            <w:shd w:val="clear" w:color="auto" w:fill="FFFFFF" w:themeFill="background1"/>
            <w:noWrap/>
            <w:vAlign w:val="center"/>
            <w:hideMark/>
          </w:tcPr>
          <w:p w14:paraId="376817C7" w14:textId="39E66EE0" w:rsidR="00763A4D" w:rsidRPr="00AF64E6" w:rsidRDefault="00606956" w:rsidP="000A5389">
            <w:pPr>
              <w:spacing w:line="240" w:lineRule="auto"/>
              <w:jc w:val="center"/>
              <w:rPr>
                <w:rFonts w:eastAsia="Times New Roman" w:cs="Times New Roman"/>
                <w:kern w:val="0"/>
                <w:sz w:val="16"/>
                <w:szCs w:val="16"/>
                <w:lang w:eastAsia="es-CO"/>
                <w14:ligatures w14:val="none"/>
              </w:rPr>
            </w:pPr>
            <w:r w:rsidRPr="00AF64E6">
              <w:rPr>
                <w:rFonts w:eastAsia="Times New Roman" w:cs="Times New Roman"/>
                <w:kern w:val="0"/>
                <w:sz w:val="16"/>
                <w:szCs w:val="16"/>
                <w:lang w:eastAsia="es-CO"/>
                <w14:ligatures w14:val="none"/>
              </w:rPr>
              <w:t>Ver Detalle</w:t>
            </w:r>
          </w:p>
        </w:tc>
      </w:tr>
      <w:tr w:rsidR="00606956" w:rsidRPr="00AF64E6" w14:paraId="22FCF34C" w14:textId="77777777" w:rsidTr="00606956">
        <w:trPr>
          <w:trHeight w:val="160"/>
        </w:trPr>
        <w:tc>
          <w:tcPr>
            <w:tcW w:w="1202" w:type="pct"/>
            <w:noWrap/>
            <w:vAlign w:val="center"/>
            <w:hideMark/>
          </w:tcPr>
          <w:p w14:paraId="52426FD9" w14:textId="77777777" w:rsidR="00763A4D" w:rsidRPr="00AF64E6" w:rsidRDefault="00763A4D" w:rsidP="000A5389">
            <w:pPr>
              <w:spacing w:line="240" w:lineRule="auto"/>
              <w:rPr>
                <w:rFonts w:eastAsia="Times New Roman" w:cs="Times New Roman"/>
                <w:b/>
                <w:bCs/>
                <w:kern w:val="0"/>
                <w:sz w:val="16"/>
                <w:szCs w:val="16"/>
                <w:lang w:eastAsia="es-CO"/>
                <w14:ligatures w14:val="none"/>
              </w:rPr>
            </w:pPr>
            <w:r w:rsidRPr="00AF64E6">
              <w:rPr>
                <w:rFonts w:eastAsia="Times New Roman" w:cs="Times New Roman"/>
                <w:b/>
                <w:bCs/>
                <w:kern w:val="0"/>
                <w:sz w:val="16"/>
                <w:szCs w:val="16"/>
                <w:lang w:eastAsia="es-CO"/>
                <w14:ligatures w14:val="none"/>
              </w:rPr>
              <w:t>Otros créditos judiciales</w:t>
            </w:r>
          </w:p>
        </w:tc>
        <w:tc>
          <w:tcPr>
            <w:tcW w:w="400" w:type="pct"/>
            <w:noWrap/>
            <w:vAlign w:val="center"/>
            <w:hideMark/>
          </w:tcPr>
          <w:p w14:paraId="59C9CC32" w14:textId="77777777" w:rsidR="00763A4D" w:rsidRPr="00AF64E6" w:rsidRDefault="00763A4D" w:rsidP="000A5389">
            <w:pPr>
              <w:spacing w:line="240" w:lineRule="auto"/>
              <w:rPr>
                <w:rFonts w:eastAsia="Times New Roman" w:cs="Times New Roman"/>
                <w:b/>
                <w:bCs/>
                <w:kern w:val="0"/>
                <w:sz w:val="16"/>
                <w:szCs w:val="16"/>
                <w:lang w:eastAsia="es-CO"/>
                <w14:ligatures w14:val="none"/>
              </w:rPr>
            </w:pPr>
            <w:r w:rsidRPr="00AF64E6">
              <w:rPr>
                <w:rFonts w:eastAsia="Times New Roman" w:cs="Times New Roman"/>
                <w:b/>
                <w:bCs/>
                <w:kern w:val="0"/>
                <w:sz w:val="16"/>
                <w:szCs w:val="16"/>
                <w:lang w:eastAsia="es-CO"/>
                <w14:ligatures w14:val="none"/>
              </w:rPr>
              <w:t> </w:t>
            </w:r>
          </w:p>
        </w:tc>
        <w:tc>
          <w:tcPr>
            <w:tcW w:w="483" w:type="pct"/>
            <w:noWrap/>
            <w:vAlign w:val="center"/>
            <w:hideMark/>
          </w:tcPr>
          <w:p w14:paraId="2DAB7760" w14:textId="77777777" w:rsidR="00763A4D" w:rsidRPr="00AF64E6" w:rsidRDefault="00763A4D" w:rsidP="000A5389">
            <w:pPr>
              <w:spacing w:line="240" w:lineRule="auto"/>
              <w:rPr>
                <w:rFonts w:eastAsia="Times New Roman" w:cs="Times New Roman"/>
                <w:b/>
                <w:bCs/>
                <w:kern w:val="0"/>
                <w:sz w:val="16"/>
                <w:szCs w:val="16"/>
                <w:lang w:eastAsia="es-CO"/>
                <w14:ligatures w14:val="none"/>
              </w:rPr>
            </w:pPr>
            <w:r w:rsidRPr="00AF64E6">
              <w:rPr>
                <w:rFonts w:eastAsia="Times New Roman" w:cs="Times New Roman"/>
                <w:b/>
                <w:bCs/>
                <w:kern w:val="0"/>
                <w:sz w:val="16"/>
                <w:szCs w:val="16"/>
                <w:lang w:eastAsia="es-CO"/>
                <w14:ligatures w14:val="none"/>
              </w:rPr>
              <w:t> </w:t>
            </w:r>
          </w:p>
        </w:tc>
        <w:tc>
          <w:tcPr>
            <w:tcW w:w="802" w:type="pct"/>
            <w:noWrap/>
            <w:vAlign w:val="center"/>
            <w:hideMark/>
          </w:tcPr>
          <w:p w14:paraId="260F7638" w14:textId="77777777" w:rsidR="00763A4D" w:rsidRPr="00AF64E6" w:rsidRDefault="00763A4D" w:rsidP="000A5389">
            <w:pPr>
              <w:spacing w:line="240" w:lineRule="auto"/>
              <w:jc w:val="right"/>
              <w:rPr>
                <w:rFonts w:eastAsia="Times New Roman" w:cs="Times New Roman"/>
                <w:b/>
                <w:bCs/>
                <w:kern w:val="0"/>
                <w:sz w:val="16"/>
                <w:szCs w:val="16"/>
                <w:lang w:eastAsia="es-CO"/>
                <w14:ligatures w14:val="none"/>
              </w:rPr>
            </w:pPr>
            <w:r w:rsidRPr="00AF64E6">
              <w:rPr>
                <w:rFonts w:eastAsia="Times New Roman" w:cs="Times New Roman"/>
                <w:b/>
                <w:bCs/>
                <w:kern w:val="0"/>
                <w:sz w:val="16"/>
                <w:szCs w:val="16"/>
                <w:lang w:eastAsia="es-CO"/>
                <w14:ligatures w14:val="none"/>
              </w:rPr>
              <w:t xml:space="preserve">489.315.271.266 </w:t>
            </w:r>
          </w:p>
        </w:tc>
        <w:tc>
          <w:tcPr>
            <w:tcW w:w="553" w:type="pct"/>
            <w:shd w:val="clear" w:color="auto" w:fill="FFFFFF" w:themeFill="background1"/>
            <w:noWrap/>
            <w:vAlign w:val="center"/>
            <w:hideMark/>
          </w:tcPr>
          <w:p w14:paraId="3A36FBBD" w14:textId="77777777" w:rsidR="00763A4D" w:rsidRPr="00AF64E6" w:rsidRDefault="00763A4D" w:rsidP="000A5389">
            <w:pPr>
              <w:spacing w:line="240" w:lineRule="auto"/>
              <w:jc w:val="center"/>
              <w:rPr>
                <w:rFonts w:eastAsia="Times New Roman" w:cs="Times New Roman"/>
                <w:b/>
                <w:bCs/>
                <w:kern w:val="0"/>
                <w:sz w:val="16"/>
                <w:szCs w:val="16"/>
                <w:lang w:eastAsia="es-CO"/>
                <w14:ligatures w14:val="none"/>
              </w:rPr>
            </w:pPr>
            <w:r w:rsidRPr="00AF64E6">
              <w:rPr>
                <w:rFonts w:eastAsia="Times New Roman" w:cs="Times New Roman"/>
                <w:b/>
                <w:bCs/>
                <w:kern w:val="0"/>
                <w:sz w:val="16"/>
                <w:szCs w:val="16"/>
                <w:lang w:eastAsia="es-CO"/>
                <w14:ligatures w14:val="none"/>
              </w:rPr>
              <w:t> </w:t>
            </w:r>
          </w:p>
        </w:tc>
        <w:tc>
          <w:tcPr>
            <w:tcW w:w="421" w:type="pct"/>
            <w:shd w:val="clear" w:color="auto" w:fill="FFFFFF" w:themeFill="background1"/>
            <w:noWrap/>
            <w:vAlign w:val="center"/>
            <w:hideMark/>
          </w:tcPr>
          <w:p w14:paraId="6A6460BE" w14:textId="77777777" w:rsidR="00763A4D" w:rsidRPr="00AF64E6" w:rsidRDefault="00763A4D" w:rsidP="000A5389">
            <w:pPr>
              <w:spacing w:line="240" w:lineRule="auto"/>
              <w:jc w:val="center"/>
              <w:rPr>
                <w:rFonts w:eastAsia="Times New Roman" w:cs="Times New Roman"/>
                <w:b/>
                <w:bCs/>
                <w:kern w:val="0"/>
                <w:sz w:val="16"/>
                <w:szCs w:val="16"/>
                <w:lang w:eastAsia="es-CO"/>
                <w14:ligatures w14:val="none"/>
              </w:rPr>
            </w:pPr>
            <w:r w:rsidRPr="00AF64E6">
              <w:rPr>
                <w:rFonts w:eastAsia="Times New Roman" w:cs="Times New Roman"/>
                <w:b/>
                <w:bCs/>
                <w:kern w:val="0"/>
                <w:sz w:val="16"/>
                <w:szCs w:val="16"/>
                <w:lang w:eastAsia="es-CO"/>
                <w14:ligatures w14:val="none"/>
              </w:rPr>
              <w:t> </w:t>
            </w:r>
          </w:p>
        </w:tc>
        <w:tc>
          <w:tcPr>
            <w:tcW w:w="552" w:type="pct"/>
            <w:shd w:val="clear" w:color="auto" w:fill="FFFFFF" w:themeFill="background1"/>
            <w:noWrap/>
            <w:vAlign w:val="center"/>
            <w:hideMark/>
          </w:tcPr>
          <w:p w14:paraId="27E0461F" w14:textId="0594910E" w:rsidR="00763A4D" w:rsidRPr="00AF64E6" w:rsidRDefault="00606956" w:rsidP="000A5389">
            <w:pPr>
              <w:spacing w:line="240" w:lineRule="auto"/>
              <w:rPr>
                <w:rFonts w:eastAsia="Times New Roman" w:cs="Times New Roman"/>
                <w:b/>
                <w:bCs/>
                <w:kern w:val="0"/>
                <w:sz w:val="16"/>
                <w:szCs w:val="16"/>
                <w:lang w:eastAsia="es-CO"/>
                <w14:ligatures w14:val="none"/>
              </w:rPr>
            </w:pPr>
            <w:r w:rsidRPr="00AF64E6">
              <w:rPr>
                <w:rFonts w:eastAsia="Times New Roman" w:cs="Times New Roman"/>
                <w:b/>
                <w:bCs/>
                <w:kern w:val="0"/>
                <w:sz w:val="16"/>
                <w:szCs w:val="16"/>
                <w:lang w:eastAsia="es-CO"/>
                <w14:ligatures w14:val="none"/>
              </w:rPr>
              <w:t> </w:t>
            </w:r>
          </w:p>
        </w:tc>
        <w:tc>
          <w:tcPr>
            <w:tcW w:w="587" w:type="pct"/>
            <w:shd w:val="clear" w:color="auto" w:fill="FFFFFF" w:themeFill="background1"/>
            <w:noWrap/>
            <w:vAlign w:val="center"/>
            <w:hideMark/>
          </w:tcPr>
          <w:p w14:paraId="61EED8B8" w14:textId="5F6C72C7" w:rsidR="00763A4D" w:rsidRPr="00AF64E6" w:rsidRDefault="00606956" w:rsidP="000A5389">
            <w:pPr>
              <w:spacing w:line="240" w:lineRule="auto"/>
              <w:jc w:val="center"/>
              <w:rPr>
                <w:rFonts w:eastAsia="Times New Roman" w:cs="Times New Roman"/>
                <w:b/>
                <w:bCs/>
                <w:kern w:val="0"/>
                <w:sz w:val="16"/>
                <w:szCs w:val="16"/>
                <w:lang w:eastAsia="es-CO"/>
                <w14:ligatures w14:val="none"/>
              </w:rPr>
            </w:pPr>
            <w:r w:rsidRPr="00AF64E6">
              <w:rPr>
                <w:rFonts w:eastAsia="Times New Roman" w:cs="Times New Roman"/>
                <w:b/>
                <w:bCs/>
                <w:kern w:val="0"/>
                <w:sz w:val="16"/>
                <w:szCs w:val="16"/>
                <w:lang w:eastAsia="es-CO"/>
                <w14:ligatures w14:val="none"/>
              </w:rPr>
              <w:t> </w:t>
            </w:r>
          </w:p>
        </w:tc>
      </w:tr>
      <w:tr w:rsidR="00606956" w:rsidRPr="00AF64E6" w14:paraId="0993A6D5" w14:textId="77777777" w:rsidTr="00606956">
        <w:trPr>
          <w:trHeight w:val="171"/>
        </w:trPr>
        <w:tc>
          <w:tcPr>
            <w:tcW w:w="1202" w:type="pct"/>
            <w:vAlign w:val="center"/>
            <w:hideMark/>
          </w:tcPr>
          <w:p w14:paraId="5D0E6607" w14:textId="77777777" w:rsidR="00763A4D" w:rsidRPr="00AF64E6" w:rsidRDefault="00763A4D" w:rsidP="000A5389">
            <w:pPr>
              <w:spacing w:line="240" w:lineRule="auto"/>
              <w:rPr>
                <w:rFonts w:eastAsia="Times New Roman" w:cs="Times New Roman"/>
                <w:kern w:val="0"/>
                <w:sz w:val="16"/>
                <w:szCs w:val="16"/>
                <w:lang w:eastAsia="es-CO"/>
                <w14:ligatures w14:val="none"/>
              </w:rPr>
            </w:pPr>
            <w:r w:rsidRPr="00AF64E6">
              <w:rPr>
                <w:rFonts w:eastAsia="Times New Roman" w:cs="Times New Roman"/>
                <w:kern w:val="0"/>
                <w:sz w:val="16"/>
                <w:szCs w:val="16"/>
                <w:lang w:eastAsia="es-CO"/>
                <w14:ligatures w14:val="none"/>
              </w:rPr>
              <w:t>Nacionales</w:t>
            </w:r>
          </w:p>
        </w:tc>
        <w:tc>
          <w:tcPr>
            <w:tcW w:w="400" w:type="pct"/>
            <w:noWrap/>
            <w:vAlign w:val="center"/>
            <w:hideMark/>
          </w:tcPr>
          <w:p w14:paraId="0C6CF5F5" w14:textId="77777777" w:rsidR="00763A4D" w:rsidRPr="00AF64E6" w:rsidRDefault="00763A4D" w:rsidP="000A5389">
            <w:pPr>
              <w:spacing w:line="240" w:lineRule="auto"/>
              <w:jc w:val="center"/>
              <w:rPr>
                <w:rFonts w:eastAsia="Times New Roman" w:cs="Times New Roman"/>
                <w:kern w:val="0"/>
                <w:sz w:val="16"/>
                <w:szCs w:val="16"/>
                <w:lang w:eastAsia="es-CO"/>
                <w14:ligatures w14:val="none"/>
              </w:rPr>
            </w:pPr>
            <w:r w:rsidRPr="00AF64E6">
              <w:rPr>
                <w:rFonts w:eastAsia="Times New Roman" w:cs="Times New Roman"/>
                <w:kern w:val="0"/>
                <w:sz w:val="16"/>
                <w:szCs w:val="16"/>
                <w:lang w:eastAsia="es-CO"/>
                <w14:ligatures w14:val="none"/>
              </w:rPr>
              <w:t>PJ</w:t>
            </w:r>
          </w:p>
        </w:tc>
        <w:tc>
          <w:tcPr>
            <w:tcW w:w="483" w:type="pct"/>
            <w:noWrap/>
            <w:vAlign w:val="center"/>
            <w:hideMark/>
          </w:tcPr>
          <w:p w14:paraId="4B24828F" w14:textId="77777777" w:rsidR="00763A4D" w:rsidRPr="00AF64E6" w:rsidRDefault="00763A4D" w:rsidP="000A5389">
            <w:pPr>
              <w:spacing w:line="240" w:lineRule="auto"/>
              <w:jc w:val="center"/>
              <w:rPr>
                <w:rFonts w:eastAsia="Times New Roman" w:cs="Times New Roman"/>
                <w:kern w:val="0"/>
                <w:sz w:val="16"/>
                <w:szCs w:val="16"/>
                <w:lang w:eastAsia="es-CO"/>
                <w14:ligatures w14:val="none"/>
              </w:rPr>
            </w:pPr>
            <w:r w:rsidRPr="00AF64E6">
              <w:rPr>
                <w:rFonts w:eastAsia="Times New Roman" w:cs="Times New Roman"/>
                <w:kern w:val="0"/>
                <w:sz w:val="16"/>
                <w:szCs w:val="16"/>
                <w:lang w:eastAsia="es-CO"/>
                <w14:ligatures w14:val="none"/>
              </w:rPr>
              <w:t>6</w:t>
            </w:r>
          </w:p>
        </w:tc>
        <w:tc>
          <w:tcPr>
            <w:tcW w:w="802" w:type="pct"/>
            <w:noWrap/>
            <w:vAlign w:val="center"/>
            <w:hideMark/>
          </w:tcPr>
          <w:p w14:paraId="52B17786" w14:textId="77777777" w:rsidR="00763A4D" w:rsidRPr="00AF64E6" w:rsidRDefault="00763A4D" w:rsidP="000A5389">
            <w:pPr>
              <w:spacing w:line="240" w:lineRule="auto"/>
              <w:jc w:val="right"/>
              <w:rPr>
                <w:rFonts w:eastAsia="Times New Roman" w:cs="Times New Roman"/>
                <w:kern w:val="0"/>
                <w:sz w:val="16"/>
                <w:szCs w:val="16"/>
                <w:lang w:eastAsia="es-CO"/>
                <w14:ligatures w14:val="none"/>
              </w:rPr>
            </w:pPr>
            <w:r w:rsidRPr="00AF64E6">
              <w:rPr>
                <w:rFonts w:eastAsia="Times New Roman" w:cs="Times New Roman"/>
                <w:kern w:val="0"/>
                <w:sz w:val="16"/>
                <w:szCs w:val="16"/>
                <w:lang w:eastAsia="es-CO"/>
                <w14:ligatures w14:val="none"/>
              </w:rPr>
              <w:t xml:space="preserve">489.315.271.266 </w:t>
            </w:r>
          </w:p>
        </w:tc>
        <w:tc>
          <w:tcPr>
            <w:tcW w:w="553" w:type="pct"/>
            <w:shd w:val="clear" w:color="auto" w:fill="FFFFFF" w:themeFill="background1"/>
            <w:noWrap/>
            <w:vAlign w:val="center"/>
            <w:hideMark/>
          </w:tcPr>
          <w:p w14:paraId="7D4325C5" w14:textId="77777777" w:rsidR="00763A4D" w:rsidRPr="00AF64E6" w:rsidRDefault="00763A4D" w:rsidP="000A5389">
            <w:pPr>
              <w:spacing w:line="240" w:lineRule="auto"/>
              <w:jc w:val="center"/>
              <w:rPr>
                <w:rFonts w:eastAsia="Times New Roman" w:cs="Times New Roman"/>
                <w:kern w:val="0"/>
                <w:sz w:val="16"/>
                <w:szCs w:val="16"/>
                <w:lang w:eastAsia="es-CO"/>
                <w14:ligatures w14:val="none"/>
              </w:rPr>
            </w:pPr>
            <w:r w:rsidRPr="00AF64E6">
              <w:rPr>
                <w:rFonts w:eastAsia="Times New Roman" w:cs="Times New Roman"/>
                <w:kern w:val="0"/>
                <w:sz w:val="16"/>
                <w:szCs w:val="16"/>
                <w:lang w:eastAsia="es-CO"/>
                <w14:ligatures w14:val="none"/>
              </w:rPr>
              <w:t>1</w:t>
            </w:r>
          </w:p>
        </w:tc>
        <w:tc>
          <w:tcPr>
            <w:tcW w:w="421" w:type="pct"/>
            <w:shd w:val="clear" w:color="auto" w:fill="FFFFFF" w:themeFill="background1"/>
            <w:noWrap/>
            <w:vAlign w:val="center"/>
            <w:hideMark/>
          </w:tcPr>
          <w:p w14:paraId="140CEB75" w14:textId="77777777" w:rsidR="00763A4D" w:rsidRPr="00AF64E6" w:rsidRDefault="00763A4D" w:rsidP="000A5389">
            <w:pPr>
              <w:spacing w:line="240" w:lineRule="auto"/>
              <w:jc w:val="center"/>
              <w:rPr>
                <w:rFonts w:eastAsia="Times New Roman" w:cs="Times New Roman"/>
                <w:kern w:val="0"/>
                <w:sz w:val="16"/>
                <w:szCs w:val="16"/>
                <w:lang w:eastAsia="es-CO"/>
                <w14:ligatures w14:val="none"/>
              </w:rPr>
            </w:pPr>
            <w:r w:rsidRPr="00AF64E6">
              <w:rPr>
                <w:rFonts w:eastAsia="Times New Roman" w:cs="Times New Roman"/>
                <w:kern w:val="0"/>
                <w:sz w:val="16"/>
                <w:szCs w:val="16"/>
                <w:lang w:eastAsia="es-CO"/>
                <w14:ligatures w14:val="none"/>
              </w:rPr>
              <w:t>10</w:t>
            </w:r>
          </w:p>
        </w:tc>
        <w:tc>
          <w:tcPr>
            <w:tcW w:w="552" w:type="pct"/>
            <w:shd w:val="clear" w:color="auto" w:fill="FFFFFF" w:themeFill="background1"/>
            <w:noWrap/>
            <w:vAlign w:val="center"/>
            <w:hideMark/>
          </w:tcPr>
          <w:p w14:paraId="4EB1A8C4" w14:textId="5DBF761A" w:rsidR="00763A4D" w:rsidRPr="00AF64E6" w:rsidRDefault="00606956" w:rsidP="000A5389">
            <w:pPr>
              <w:spacing w:line="240" w:lineRule="auto"/>
              <w:jc w:val="center"/>
              <w:rPr>
                <w:rFonts w:eastAsia="Times New Roman" w:cs="Times New Roman"/>
                <w:kern w:val="0"/>
                <w:sz w:val="16"/>
                <w:szCs w:val="16"/>
                <w:lang w:eastAsia="es-CO"/>
                <w14:ligatures w14:val="none"/>
              </w:rPr>
            </w:pPr>
            <w:r w:rsidRPr="00AF64E6">
              <w:rPr>
                <w:rFonts w:eastAsia="Times New Roman" w:cs="Times New Roman"/>
                <w:kern w:val="0"/>
                <w:sz w:val="16"/>
                <w:szCs w:val="16"/>
                <w:lang w:eastAsia="es-CO"/>
                <w14:ligatures w14:val="none"/>
              </w:rPr>
              <w:t>Ver Detalle</w:t>
            </w:r>
          </w:p>
        </w:tc>
        <w:tc>
          <w:tcPr>
            <w:tcW w:w="587" w:type="pct"/>
            <w:shd w:val="clear" w:color="auto" w:fill="FFFFFF" w:themeFill="background1"/>
            <w:noWrap/>
            <w:vAlign w:val="center"/>
            <w:hideMark/>
          </w:tcPr>
          <w:p w14:paraId="10A44910" w14:textId="6EFB2888" w:rsidR="00763A4D" w:rsidRPr="00AF64E6" w:rsidRDefault="00606956" w:rsidP="000A5389">
            <w:pPr>
              <w:spacing w:line="240" w:lineRule="auto"/>
              <w:jc w:val="center"/>
              <w:rPr>
                <w:rFonts w:eastAsia="Times New Roman" w:cs="Times New Roman"/>
                <w:kern w:val="0"/>
                <w:sz w:val="16"/>
                <w:szCs w:val="16"/>
                <w:lang w:eastAsia="es-CO"/>
                <w14:ligatures w14:val="none"/>
              </w:rPr>
            </w:pPr>
            <w:r w:rsidRPr="00AF64E6">
              <w:rPr>
                <w:rFonts w:eastAsia="Times New Roman" w:cs="Times New Roman"/>
                <w:kern w:val="0"/>
                <w:sz w:val="16"/>
                <w:szCs w:val="16"/>
                <w:lang w:eastAsia="es-CO"/>
                <w14:ligatures w14:val="none"/>
              </w:rPr>
              <w:t>Ver Detalle</w:t>
            </w:r>
          </w:p>
        </w:tc>
      </w:tr>
    </w:tbl>
    <w:p w14:paraId="7DF7E65B" w14:textId="77777777" w:rsidR="0022505D" w:rsidRPr="00951AB1" w:rsidRDefault="0022505D" w:rsidP="000A5389">
      <w:pPr>
        <w:spacing w:line="240" w:lineRule="auto"/>
        <w:rPr>
          <w:rFonts w:cs="Times New Roman"/>
        </w:rPr>
      </w:pPr>
      <w:r w:rsidRPr="00951AB1">
        <w:rPr>
          <w:rFonts w:eastAsia="Times New Roman" w:cs="Times New Roman"/>
          <w:sz w:val="14"/>
          <w:szCs w:val="14"/>
        </w:rPr>
        <w:t>Cifras expresadas en pesos</w:t>
      </w:r>
    </w:p>
    <w:p w14:paraId="566767A0" w14:textId="77777777" w:rsidR="00E0560C" w:rsidRPr="00951AB1" w:rsidRDefault="00E0560C" w:rsidP="000A5389">
      <w:pPr>
        <w:spacing w:line="240" w:lineRule="auto"/>
        <w:rPr>
          <w:rFonts w:cs="Times New Roman"/>
        </w:rPr>
      </w:pPr>
    </w:p>
    <w:p w14:paraId="2BB351EC" w14:textId="77777777" w:rsidR="000C1A0D" w:rsidRPr="00951AB1" w:rsidRDefault="000C1A0D" w:rsidP="000A5389">
      <w:pPr>
        <w:pStyle w:val="Default"/>
        <w:rPr>
          <w:rFonts w:ascii="Times New Roman" w:hAnsi="Times New Roman" w:cs="Times New Roman"/>
          <w:b/>
          <w:i/>
        </w:rPr>
      </w:pPr>
      <w:r w:rsidRPr="00951AB1">
        <w:rPr>
          <w:rFonts w:ascii="Times New Roman" w:hAnsi="Times New Roman" w:cs="Times New Roman"/>
          <w:b/>
          <w:i/>
        </w:rPr>
        <w:t xml:space="preserve">Sentencias e intereses de sentencias </w:t>
      </w:r>
    </w:p>
    <w:p w14:paraId="0A1B1AF2" w14:textId="77777777" w:rsidR="0087448B" w:rsidRPr="00951AB1" w:rsidRDefault="0087448B" w:rsidP="000A5389">
      <w:pPr>
        <w:pStyle w:val="Default"/>
        <w:rPr>
          <w:rFonts w:ascii="Times New Roman" w:hAnsi="Times New Roman" w:cs="Times New Roman"/>
          <w:b/>
          <w:bCs/>
        </w:rPr>
      </w:pPr>
    </w:p>
    <w:p w14:paraId="187ECDB3" w14:textId="59A0863B" w:rsidR="0087448B" w:rsidRPr="00951AB1" w:rsidRDefault="00AA7DFA" w:rsidP="000A5389">
      <w:pPr>
        <w:spacing w:line="240" w:lineRule="auto"/>
        <w:rPr>
          <w:rFonts w:cs="Times New Roman"/>
          <w:b/>
          <w:bCs/>
        </w:rPr>
      </w:pPr>
      <w:r w:rsidRPr="00951AB1">
        <w:rPr>
          <w:rFonts w:cs="Times New Roman"/>
          <w:szCs w:val="24"/>
        </w:rPr>
        <w:t>Al cierre del período contable, la Agencia presenta procesos judiciales terminados desfavorables, con sentencia condenatoria ejecutoriada por valor de $4.618.977.73</w:t>
      </w:r>
      <w:r w:rsidR="00BA0AB7" w:rsidRPr="00951AB1">
        <w:rPr>
          <w:rFonts w:cs="Times New Roman"/>
          <w:szCs w:val="24"/>
        </w:rPr>
        <w:t>3</w:t>
      </w:r>
      <w:r w:rsidRPr="00951AB1">
        <w:rPr>
          <w:rFonts w:cs="Times New Roman"/>
          <w:szCs w:val="24"/>
        </w:rPr>
        <w:t xml:space="preserve"> que comprenden tanto las sentencias como los intereses de estas y las costas procesales. El detalle de los procesos es el siguiente:</w:t>
      </w:r>
    </w:p>
    <w:p w14:paraId="4BEB451F" w14:textId="109D65F9" w:rsidR="15A707FD" w:rsidRPr="00951AB1" w:rsidRDefault="15A707FD" w:rsidP="000A5389">
      <w:pPr>
        <w:spacing w:line="240" w:lineRule="auto"/>
        <w:rPr>
          <w:rFonts w:cs="Times New Roman"/>
          <w:szCs w:val="24"/>
        </w:rPr>
      </w:pPr>
    </w:p>
    <w:tbl>
      <w:tblPr>
        <w:tblW w:w="5000" w:type="pct"/>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6A0" w:firstRow="1" w:lastRow="0" w:firstColumn="1" w:lastColumn="0" w:noHBand="1" w:noVBand="1"/>
      </w:tblPr>
      <w:tblGrid>
        <w:gridCol w:w="2527"/>
        <w:gridCol w:w="950"/>
        <w:gridCol w:w="629"/>
        <w:gridCol w:w="569"/>
        <w:gridCol w:w="3388"/>
        <w:gridCol w:w="765"/>
      </w:tblGrid>
      <w:tr w:rsidR="511A0799" w:rsidRPr="00606956" w14:paraId="573C79A6" w14:textId="77777777" w:rsidTr="0071107B">
        <w:trPr>
          <w:trHeight w:val="145"/>
          <w:tblHeader/>
        </w:trPr>
        <w:tc>
          <w:tcPr>
            <w:tcW w:w="1432" w:type="pct"/>
            <w:vMerge w:val="restart"/>
            <w:shd w:val="clear" w:color="auto" w:fill="FFFFFF" w:themeFill="background1"/>
            <w:tcMar>
              <w:top w:w="15" w:type="dxa"/>
              <w:left w:w="15" w:type="dxa"/>
              <w:right w:w="15" w:type="dxa"/>
            </w:tcMar>
            <w:vAlign w:val="center"/>
          </w:tcPr>
          <w:p w14:paraId="6D1CBA13" w14:textId="602FB69C" w:rsidR="511A0799" w:rsidRPr="00606956" w:rsidRDefault="511A0799" w:rsidP="000A5389">
            <w:pPr>
              <w:spacing w:line="240" w:lineRule="auto"/>
              <w:jc w:val="center"/>
              <w:rPr>
                <w:rFonts w:cs="Times New Roman"/>
                <w:b/>
                <w:sz w:val="16"/>
                <w:szCs w:val="16"/>
              </w:rPr>
            </w:pPr>
            <w:r w:rsidRPr="00606956">
              <w:rPr>
                <w:rFonts w:eastAsia="Times New Roman" w:cs="Times New Roman"/>
                <w:b/>
                <w:color w:val="000000" w:themeColor="text1"/>
                <w:sz w:val="16"/>
                <w:szCs w:val="16"/>
              </w:rPr>
              <w:t>CONCEPTO</w:t>
            </w:r>
          </w:p>
        </w:tc>
        <w:tc>
          <w:tcPr>
            <w:tcW w:w="538" w:type="pct"/>
            <w:vMerge w:val="restart"/>
            <w:shd w:val="clear" w:color="auto" w:fill="FFFFFF" w:themeFill="background1"/>
            <w:tcMar>
              <w:top w:w="15" w:type="dxa"/>
              <w:left w:w="15" w:type="dxa"/>
              <w:right w:w="15" w:type="dxa"/>
            </w:tcMar>
            <w:vAlign w:val="center"/>
          </w:tcPr>
          <w:p w14:paraId="15BBDF39" w14:textId="6762998E" w:rsidR="511A0799" w:rsidRPr="00606956" w:rsidRDefault="511A0799" w:rsidP="000A5389">
            <w:pPr>
              <w:spacing w:line="240" w:lineRule="auto"/>
              <w:jc w:val="center"/>
              <w:rPr>
                <w:rFonts w:cs="Times New Roman"/>
                <w:b/>
                <w:sz w:val="16"/>
                <w:szCs w:val="16"/>
              </w:rPr>
            </w:pPr>
            <w:r w:rsidRPr="00606956">
              <w:rPr>
                <w:rFonts w:eastAsia="Times New Roman" w:cs="Times New Roman"/>
                <w:b/>
                <w:color w:val="000000" w:themeColor="text1"/>
                <w:sz w:val="16"/>
                <w:szCs w:val="16"/>
              </w:rPr>
              <w:t>VALOR</w:t>
            </w:r>
          </w:p>
        </w:tc>
        <w:tc>
          <w:tcPr>
            <w:tcW w:w="677" w:type="pct"/>
            <w:gridSpan w:val="2"/>
            <w:shd w:val="clear" w:color="auto" w:fill="FFFFFF" w:themeFill="background1"/>
            <w:tcMar>
              <w:top w:w="15" w:type="dxa"/>
              <w:left w:w="15" w:type="dxa"/>
              <w:right w:w="15" w:type="dxa"/>
            </w:tcMar>
            <w:vAlign w:val="center"/>
          </w:tcPr>
          <w:p w14:paraId="12FE74DC" w14:textId="4FAE5F92" w:rsidR="511A0799" w:rsidRPr="00606956" w:rsidRDefault="511A0799" w:rsidP="000A5389">
            <w:pPr>
              <w:spacing w:line="240" w:lineRule="auto"/>
              <w:jc w:val="center"/>
              <w:rPr>
                <w:rFonts w:cs="Times New Roman"/>
                <w:b/>
                <w:sz w:val="16"/>
                <w:szCs w:val="16"/>
              </w:rPr>
            </w:pPr>
            <w:r w:rsidRPr="00606956">
              <w:rPr>
                <w:rFonts w:eastAsia="Times New Roman" w:cs="Times New Roman"/>
                <w:b/>
                <w:color w:val="000000" w:themeColor="text1"/>
                <w:sz w:val="16"/>
                <w:szCs w:val="16"/>
              </w:rPr>
              <w:t>PLAZO EN MESES</w:t>
            </w:r>
          </w:p>
        </w:tc>
        <w:tc>
          <w:tcPr>
            <w:tcW w:w="1919" w:type="pct"/>
            <w:vMerge w:val="restart"/>
            <w:shd w:val="clear" w:color="auto" w:fill="FFFFFF" w:themeFill="background1"/>
            <w:tcMar>
              <w:top w:w="15" w:type="dxa"/>
              <w:left w:w="15" w:type="dxa"/>
              <w:right w:w="15" w:type="dxa"/>
            </w:tcMar>
            <w:vAlign w:val="center"/>
          </w:tcPr>
          <w:p w14:paraId="3FD001A0" w14:textId="6A11D52F" w:rsidR="511A0799" w:rsidRPr="00606956" w:rsidRDefault="511A0799" w:rsidP="000A5389">
            <w:pPr>
              <w:spacing w:line="240" w:lineRule="auto"/>
              <w:jc w:val="center"/>
              <w:rPr>
                <w:rFonts w:cs="Times New Roman"/>
                <w:b/>
                <w:sz w:val="16"/>
                <w:szCs w:val="16"/>
              </w:rPr>
            </w:pPr>
            <w:r w:rsidRPr="00606956">
              <w:rPr>
                <w:rFonts w:eastAsia="Times New Roman" w:cs="Times New Roman"/>
                <w:b/>
                <w:color w:val="000000" w:themeColor="text1"/>
                <w:sz w:val="16"/>
                <w:szCs w:val="16"/>
              </w:rPr>
              <w:t>DETALLE DE LAS CONDICIONES DE LA CUENTA POR PAGAR</w:t>
            </w:r>
          </w:p>
        </w:tc>
        <w:tc>
          <w:tcPr>
            <w:tcW w:w="434" w:type="pct"/>
            <w:vMerge w:val="restart"/>
            <w:shd w:val="clear" w:color="auto" w:fill="FFFFFF" w:themeFill="background1"/>
            <w:tcMar>
              <w:top w:w="15" w:type="dxa"/>
              <w:left w:w="15" w:type="dxa"/>
              <w:right w:w="15" w:type="dxa"/>
            </w:tcMar>
            <w:vAlign w:val="center"/>
          </w:tcPr>
          <w:p w14:paraId="78807B7C" w14:textId="2597B453" w:rsidR="511A0799" w:rsidRPr="00606956" w:rsidRDefault="511A0799" w:rsidP="000A5389">
            <w:pPr>
              <w:spacing w:line="240" w:lineRule="auto"/>
              <w:jc w:val="center"/>
              <w:rPr>
                <w:rFonts w:cs="Times New Roman"/>
                <w:b/>
                <w:sz w:val="16"/>
                <w:szCs w:val="16"/>
              </w:rPr>
            </w:pPr>
            <w:r w:rsidRPr="00606956">
              <w:rPr>
                <w:rFonts w:eastAsia="Times New Roman" w:cs="Times New Roman"/>
                <w:b/>
                <w:color w:val="000000" w:themeColor="text1"/>
                <w:sz w:val="16"/>
                <w:szCs w:val="16"/>
              </w:rPr>
              <w:t>TASA DE INTERES</w:t>
            </w:r>
          </w:p>
        </w:tc>
      </w:tr>
      <w:tr w:rsidR="511A0799" w:rsidRPr="00606956" w14:paraId="792576BF" w14:textId="77777777" w:rsidTr="0071107B">
        <w:trPr>
          <w:trHeight w:val="482"/>
          <w:tblHeader/>
        </w:trPr>
        <w:tc>
          <w:tcPr>
            <w:tcW w:w="1432" w:type="pct"/>
            <w:vMerge/>
            <w:vAlign w:val="center"/>
          </w:tcPr>
          <w:p w14:paraId="5DD9FFAF" w14:textId="77777777" w:rsidR="008157F8" w:rsidRPr="00606956" w:rsidRDefault="008157F8" w:rsidP="000A5389">
            <w:pPr>
              <w:spacing w:line="240" w:lineRule="auto"/>
              <w:rPr>
                <w:rFonts w:cs="Times New Roman"/>
                <w:b/>
                <w:sz w:val="16"/>
                <w:szCs w:val="16"/>
              </w:rPr>
            </w:pPr>
          </w:p>
        </w:tc>
        <w:tc>
          <w:tcPr>
            <w:tcW w:w="538" w:type="pct"/>
            <w:vMerge/>
            <w:vAlign w:val="center"/>
          </w:tcPr>
          <w:p w14:paraId="6E475B0C" w14:textId="77777777" w:rsidR="008157F8" w:rsidRPr="00606956" w:rsidRDefault="008157F8" w:rsidP="000A5389">
            <w:pPr>
              <w:spacing w:line="240" w:lineRule="auto"/>
              <w:rPr>
                <w:rFonts w:cs="Times New Roman"/>
                <w:b/>
                <w:sz w:val="16"/>
                <w:szCs w:val="16"/>
              </w:rPr>
            </w:pPr>
          </w:p>
        </w:tc>
        <w:tc>
          <w:tcPr>
            <w:tcW w:w="356" w:type="pct"/>
            <w:vMerge w:val="restart"/>
            <w:shd w:val="clear" w:color="auto" w:fill="FFFFFF" w:themeFill="background1"/>
            <w:tcMar>
              <w:top w:w="15" w:type="dxa"/>
              <w:left w:w="15" w:type="dxa"/>
              <w:right w:w="15" w:type="dxa"/>
            </w:tcMar>
            <w:vAlign w:val="center"/>
          </w:tcPr>
          <w:p w14:paraId="3A7FB488" w14:textId="3D72164F" w:rsidR="511A0799" w:rsidRPr="00606956" w:rsidRDefault="00AE1B3C" w:rsidP="000A5389">
            <w:pPr>
              <w:spacing w:line="240" w:lineRule="auto"/>
              <w:jc w:val="center"/>
              <w:rPr>
                <w:rFonts w:cs="Times New Roman"/>
                <w:b/>
                <w:sz w:val="16"/>
                <w:szCs w:val="16"/>
              </w:rPr>
            </w:pPr>
            <w:r w:rsidRPr="00606956">
              <w:rPr>
                <w:rFonts w:eastAsia="Times New Roman" w:cs="Times New Roman"/>
                <w:b/>
                <w:bCs/>
                <w:color w:val="000000" w:themeColor="text1"/>
                <w:sz w:val="16"/>
                <w:szCs w:val="16"/>
              </w:rPr>
              <w:t>MÍN</w:t>
            </w:r>
          </w:p>
        </w:tc>
        <w:tc>
          <w:tcPr>
            <w:tcW w:w="322" w:type="pct"/>
            <w:vMerge w:val="restart"/>
            <w:shd w:val="clear" w:color="auto" w:fill="FFFFFF" w:themeFill="background1"/>
            <w:tcMar>
              <w:top w:w="15" w:type="dxa"/>
              <w:left w:w="15" w:type="dxa"/>
              <w:right w:w="15" w:type="dxa"/>
            </w:tcMar>
            <w:vAlign w:val="center"/>
          </w:tcPr>
          <w:p w14:paraId="4B3405E5" w14:textId="553B0C3D" w:rsidR="511A0799" w:rsidRPr="00606956" w:rsidRDefault="00AE1B3C" w:rsidP="000A5389">
            <w:pPr>
              <w:spacing w:line="240" w:lineRule="auto"/>
              <w:jc w:val="center"/>
              <w:rPr>
                <w:rFonts w:cs="Times New Roman"/>
                <w:b/>
                <w:sz w:val="16"/>
                <w:szCs w:val="16"/>
              </w:rPr>
            </w:pPr>
            <w:r w:rsidRPr="00606956">
              <w:rPr>
                <w:rFonts w:eastAsia="Times New Roman" w:cs="Times New Roman"/>
                <w:b/>
                <w:bCs/>
                <w:color w:val="000000" w:themeColor="text1"/>
                <w:sz w:val="16"/>
                <w:szCs w:val="16"/>
              </w:rPr>
              <w:t>MÁX</w:t>
            </w:r>
          </w:p>
        </w:tc>
        <w:tc>
          <w:tcPr>
            <w:tcW w:w="1919" w:type="pct"/>
            <w:vMerge/>
            <w:vAlign w:val="center"/>
          </w:tcPr>
          <w:p w14:paraId="3FDB6232" w14:textId="77777777" w:rsidR="008157F8" w:rsidRPr="00606956" w:rsidRDefault="008157F8" w:rsidP="000A5389">
            <w:pPr>
              <w:spacing w:line="240" w:lineRule="auto"/>
              <w:rPr>
                <w:rFonts w:cs="Times New Roman"/>
                <w:b/>
                <w:sz w:val="16"/>
                <w:szCs w:val="16"/>
              </w:rPr>
            </w:pPr>
          </w:p>
        </w:tc>
        <w:tc>
          <w:tcPr>
            <w:tcW w:w="434" w:type="pct"/>
            <w:vMerge/>
            <w:vAlign w:val="center"/>
          </w:tcPr>
          <w:p w14:paraId="49F83E08" w14:textId="77777777" w:rsidR="008157F8" w:rsidRPr="00606956" w:rsidRDefault="008157F8" w:rsidP="000A5389">
            <w:pPr>
              <w:spacing w:line="240" w:lineRule="auto"/>
              <w:rPr>
                <w:rFonts w:cs="Times New Roman"/>
                <w:b/>
                <w:sz w:val="16"/>
                <w:szCs w:val="16"/>
              </w:rPr>
            </w:pPr>
          </w:p>
        </w:tc>
      </w:tr>
      <w:tr w:rsidR="511A0799" w:rsidRPr="00606956" w14:paraId="58325F6D" w14:textId="77777777" w:rsidTr="0071107B">
        <w:trPr>
          <w:trHeight w:val="101"/>
          <w:tblHeader/>
        </w:trPr>
        <w:tc>
          <w:tcPr>
            <w:tcW w:w="1432" w:type="pct"/>
            <w:shd w:val="clear" w:color="auto" w:fill="FFFFFF" w:themeFill="background1"/>
            <w:tcMar>
              <w:top w:w="15" w:type="dxa"/>
              <w:left w:w="15" w:type="dxa"/>
              <w:right w:w="15" w:type="dxa"/>
            </w:tcMar>
            <w:vAlign w:val="center"/>
          </w:tcPr>
          <w:p w14:paraId="2AC3BA6C" w14:textId="65C513A4" w:rsidR="511A0799" w:rsidRPr="00606956" w:rsidRDefault="00AE1B3C" w:rsidP="000A5389">
            <w:pPr>
              <w:spacing w:line="240" w:lineRule="auto"/>
              <w:rPr>
                <w:rFonts w:cs="Times New Roman"/>
                <w:b/>
                <w:sz w:val="16"/>
                <w:szCs w:val="16"/>
              </w:rPr>
            </w:pPr>
            <w:r w:rsidRPr="00606956">
              <w:rPr>
                <w:rFonts w:eastAsia="Times New Roman" w:cs="Times New Roman"/>
                <w:b/>
                <w:bCs/>
                <w:color w:val="000000" w:themeColor="text1"/>
                <w:sz w:val="16"/>
                <w:szCs w:val="16"/>
              </w:rPr>
              <w:t>SENTENCIAS E INTERESES DE SENTENCIAS</w:t>
            </w:r>
          </w:p>
        </w:tc>
        <w:tc>
          <w:tcPr>
            <w:tcW w:w="538" w:type="pct"/>
            <w:shd w:val="clear" w:color="auto" w:fill="FFFFFF" w:themeFill="background1"/>
            <w:tcMar>
              <w:top w:w="15" w:type="dxa"/>
              <w:left w:w="15" w:type="dxa"/>
              <w:right w:w="15" w:type="dxa"/>
            </w:tcMar>
            <w:vAlign w:val="center"/>
          </w:tcPr>
          <w:p w14:paraId="0610CDD6" w14:textId="77FB78DA" w:rsidR="511A0799" w:rsidRPr="00606956" w:rsidRDefault="511A0799" w:rsidP="000A5389">
            <w:pPr>
              <w:spacing w:line="240" w:lineRule="auto"/>
              <w:jc w:val="right"/>
              <w:rPr>
                <w:rFonts w:cs="Times New Roman"/>
                <w:b/>
                <w:sz w:val="16"/>
                <w:szCs w:val="16"/>
              </w:rPr>
            </w:pPr>
            <w:r w:rsidRPr="00606956">
              <w:rPr>
                <w:rFonts w:eastAsia="Times New Roman" w:cs="Times New Roman"/>
                <w:b/>
                <w:color w:val="000000" w:themeColor="text1"/>
                <w:sz w:val="16"/>
                <w:szCs w:val="16"/>
              </w:rPr>
              <w:t>1.218.636.483</w:t>
            </w:r>
          </w:p>
        </w:tc>
        <w:tc>
          <w:tcPr>
            <w:tcW w:w="356" w:type="pct"/>
            <w:vMerge/>
            <w:vAlign w:val="center"/>
          </w:tcPr>
          <w:p w14:paraId="3B56B80C" w14:textId="77777777" w:rsidR="008157F8" w:rsidRPr="00606956" w:rsidRDefault="008157F8" w:rsidP="000A5389">
            <w:pPr>
              <w:spacing w:line="240" w:lineRule="auto"/>
              <w:rPr>
                <w:rFonts w:cs="Times New Roman"/>
                <w:b/>
                <w:sz w:val="16"/>
                <w:szCs w:val="16"/>
              </w:rPr>
            </w:pPr>
          </w:p>
        </w:tc>
        <w:tc>
          <w:tcPr>
            <w:tcW w:w="322" w:type="pct"/>
            <w:vMerge/>
            <w:vAlign w:val="center"/>
          </w:tcPr>
          <w:p w14:paraId="5D4DC5D9" w14:textId="77777777" w:rsidR="008157F8" w:rsidRPr="00606956" w:rsidRDefault="008157F8" w:rsidP="000A5389">
            <w:pPr>
              <w:spacing w:line="240" w:lineRule="auto"/>
              <w:rPr>
                <w:rFonts w:cs="Times New Roman"/>
                <w:b/>
                <w:sz w:val="16"/>
                <w:szCs w:val="16"/>
              </w:rPr>
            </w:pPr>
          </w:p>
        </w:tc>
        <w:tc>
          <w:tcPr>
            <w:tcW w:w="1919" w:type="pct"/>
            <w:vMerge/>
            <w:vAlign w:val="center"/>
          </w:tcPr>
          <w:p w14:paraId="0D46581C" w14:textId="77777777" w:rsidR="008157F8" w:rsidRPr="00606956" w:rsidRDefault="008157F8" w:rsidP="000A5389">
            <w:pPr>
              <w:spacing w:line="240" w:lineRule="auto"/>
              <w:rPr>
                <w:rFonts w:cs="Times New Roman"/>
                <w:b/>
                <w:sz w:val="16"/>
                <w:szCs w:val="16"/>
              </w:rPr>
            </w:pPr>
          </w:p>
        </w:tc>
        <w:tc>
          <w:tcPr>
            <w:tcW w:w="434" w:type="pct"/>
            <w:vMerge/>
            <w:vAlign w:val="center"/>
          </w:tcPr>
          <w:p w14:paraId="1231F675" w14:textId="77777777" w:rsidR="008157F8" w:rsidRPr="00606956" w:rsidRDefault="008157F8" w:rsidP="000A5389">
            <w:pPr>
              <w:spacing w:line="240" w:lineRule="auto"/>
              <w:rPr>
                <w:rFonts w:cs="Times New Roman"/>
                <w:b/>
                <w:sz w:val="16"/>
                <w:szCs w:val="16"/>
              </w:rPr>
            </w:pPr>
          </w:p>
        </w:tc>
      </w:tr>
      <w:tr w:rsidR="511A0799" w:rsidRPr="00606956" w14:paraId="35D647B4" w14:textId="77777777" w:rsidTr="0071107B">
        <w:trPr>
          <w:trHeight w:val="661"/>
        </w:trPr>
        <w:tc>
          <w:tcPr>
            <w:tcW w:w="1432" w:type="pct"/>
            <w:shd w:val="clear" w:color="auto" w:fill="FFFFFF" w:themeFill="background1"/>
            <w:tcMar>
              <w:top w:w="15" w:type="dxa"/>
              <w:left w:w="15" w:type="dxa"/>
              <w:right w:w="15" w:type="dxa"/>
            </w:tcMar>
            <w:vAlign w:val="center"/>
          </w:tcPr>
          <w:p w14:paraId="55989711" w14:textId="471D9A3A" w:rsidR="511A0799" w:rsidRPr="00606956" w:rsidRDefault="00AE1B3C" w:rsidP="000A5389">
            <w:pPr>
              <w:spacing w:line="240" w:lineRule="auto"/>
              <w:rPr>
                <w:rFonts w:cs="Times New Roman"/>
                <w:sz w:val="16"/>
                <w:szCs w:val="16"/>
              </w:rPr>
            </w:pPr>
            <w:r w:rsidRPr="00606956">
              <w:rPr>
                <w:rFonts w:eastAsia="Times New Roman" w:cs="Times New Roman"/>
                <w:color w:val="000000" w:themeColor="text1"/>
                <w:sz w:val="16"/>
                <w:szCs w:val="16"/>
              </w:rPr>
              <w:t>Leonor Patricia Giraldo González</w:t>
            </w:r>
          </w:p>
        </w:tc>
        <w:tc>
          <w:tcPr>
            <w:tcW w:w="538" w:type="pct"/>
            <w:shd w:val="clear" w:color="auto" w:fill="FFFFFF" w:themeFill="background1"/>
            <w:tcMar>
              <w:top w:w="15" w:type="dxa"/>
              <w:left w:w="15" w:type="dxa"/>
              <w:right w:w="15" w:type="dxa"/>
            </w:tcMar>
            <w:vAlign w:val="center"/>
          </w:tcPr>
          <w:p w14:paraId="7C106A3B" w14:textId="0D0CDBEB" w:rsidR="511A0799" w:rsidRPr="00606956" w:rsidRDefault="511A0799" w:rsidP="000A5389">
            <w:pPr>
              <w:spacing w:line="240" w:lineRule="auto"/>
              <w:jc w:val="right"/>
              <w:rPr>
                <w:rFonts w:cs="Times New Roman"/>
                <w:sz w:val="16"/>
                <w:szCs w:val="16"/>
              </w:rPr>
            </w:pPr>
            <w:r w:rsidRPr="00606956">
              <w:rPr>
                <w:rFonts w:eastAsia="Times New Roman" w:cs="Times New Roman"/>
                <w:color w:val="000000" w:themeColor="text1"/>
                <w:sz w:val="16"/>
                <w:szCs w:val="16"/>
              </w:rPr>
              <w:t>949.982.002</w:t>
            </w:r>
          </w:p>
        </w:tc>
        <w:tc>
          <w:tcPr>
            <w:tcW w:w="356" w:type="pct"/>
            <w:shd w:val="clear" w:color="auto" w:fill="FFFFFF" w:themeFill="background1"/>
            <w:tcMar>
              <w:top w:w="15" w:type="dxa"/>
              <w:left w:w="15" w:type="dxa"/>
              <w:right w:w="15" w:type="dxa"/>
            </w:tcMar>
            <w:vAlign w:val="center"/>
          </w:tcPr>
          <w:p w14:paraId="1B6D0134" w14:textId="073B4306" w:rsidR="511A0799" w:rsidRPr="00606956" w:rsidRDefault="511A0799" w:rsidP="000A5389">
            <w:pPr>
              <w:spacing w:line="240" w:lineRule="auto"/>
              <w:jc w:val="center"/>
              <w:rPr>
                <w:rFonts w:cs="Times New Roman"/>
                <w:sz w:val="16"/>
                <w:szCs w:val="16"/>
              </w:rPr>
            </w:pPr>
            <w:r w:rsidRPr="00606956">
              <w:rPr>
                <w:rFonts w:eastAsia="Times New Roman" w:cs="Times New Roman"/>
                <w:color w:val="000000" w:themeColor="text1"/>
                <w:sz w:val="16"/>
                <w:szCs w:val="16"/>
              </w:rPr>
              <w:t>1</w:t>
            </w:r>
          </w:p>
        </w:tc>
        <w:tc>
          <w:tcPr>
            <w:tcW w:w="322" w:type="pct"/>
            <w:shd w:val="clear" w:color="auto" w:fill="FFFFFF" w:themeFill="background1"/>
            <w:tcMar>
              <w:top w:w="15" w:type="dxa"/>
              <w:left w:w="15" w:type="dxa"/>
              <w:right w:w="15" w:type="dxa"/>
            </w:tcMar>
            <w:vAlign w:val="center"/>
          </w:tcPr>
          <w:p w14:paraId="3DE2A2C2" w14:textId="2944DD24" w:rsidR="511A0799" w:rsidRPr="00606956" w:rsidRDefault="511A0799" w:rsidP="000A5389">
            <w:pPr>
              <w:spacing w:line="240" w:lineRule="auto"/>
              <w:jc w:val="center"/>
              <w:rPr>
                <w:rFonts w:cs="Times New Roman"/>
                <w:sz w:val="16"/>
                <w:szCs w:val="16"/>
              </w:rPr>
            </w:pPr>
            <w:r w:rsidRPr="00606956">
              <w:rPr>
                <w:rFonts w:eastAsia="Times New Roman" w:cs="Times New Roman"/>
                <w:color w:val="000000" w:themeColor="text1"/>
                <w:sz w:val="16"/>
                <w:szCs w:val="16"/>
              </w:rPr>
              <w:t>10</w:t>
            </w:r>
          </w:p>
        </w:tc>
        <w:tc>
          <w:tcPr>
            <w:tcW w:w="1919" w:type="pct"/>
            <w:shd w:val="clear" w:color="auto" w:fill="FFFFFF" w:themeFill="background1"/>
            <w:tcMar>
              <w:top w:w="15" w:type="dxa"/>
              <w:left w:w="15" w:type="dxa"/>
              <w:right w:w="15" w:type="dxa"/>
            </w:tcMar>
            <w:vAlign w:val="bottom"/>
          </w:tcPr>
          <w:p w14:paraId="0F2D4336" w14:textId="7CCBC600" w:rsidR="511A0799" w:rsidRPr="00606956" w:rsidRDefault="511A0799" w:rsidP="000A5389">
            <w:pPr>
              <w:spacing w:line="240" w:lineRule="auto"/>
              <w:rPr>
                <w:rFonts w:eastAsia="Times New Roman" w:cs="Times New Roman"/>
                <w:color w:val="000000" w:themeColor="text1"/>
                <w:sz w:val="16"/>
                <w:szCs w:val="16"/>
              </w:rPr>
            </w:pPr>
            <w:r w:rsidRPr="00606956">
              <w:rPr>
                <w:rFonts w:eastAsia="Times New Roman" w:cs="Times New Roman"/>
                <w:color w:val="000000" w:themeColor="text1"/>
                <w:sz w:val="16"/>
                <w:szCs w:val="16"/>
              </w:rPr>
              <w:t xml:space="preserve">Reconocimiento crédito Judicial conforme al Rad. ANI 20257010150223 de fecha 22-08-2025 informado por el GIT de Defensa Judicial dentro del proceso judicial con radicado 70001333300920180006200 con Ekogui:1269662 se profirió sentencia de segunda instancia el 11 de </w:t>
            </w:r>
            <w:r w:rsidRPr="00606956">
              <w:rPr>
                <w:rFonts w:eastAsia="Times New Roman" w:cs="Times New Roman"/>
                <w:color w:val="000000" w:themeColor="text1"/>
                <w:sz w:val="16"/>
                <w:szCs w:val="16"/>
              </w:rPr>
              <w:lastRenderedPageBreak/>
              <w:t>diciembre de 2</w:t>
            </w:r>
            <w:r w:rsidR="17DFD28F" w:rsidRPr="00606956">
              <w:rPr>
                <w:rFonts w:eastAsia="Times New Roman" w:cs="Times New Roman"/>
                <w:color w:val="000000" w:themeColor="text1"/>
                <w:sz w:val="16"/>
                <w:szCs w:val="16"/>
              </w:rPr>
              <w:t xml:space="preserve">2024, </w:t>
            </w:r>
            <w:r w:rsidR="00AE1B3C" w:rsidRPr="00606956">
              <w:rPr>
                <w:rFonts w:eastAsia="Times New Roman" w:cs="Times New Roman"/>
                <w:color w:val="000000" w:themeColor="text1"/>
                <w:sz w:val="16"/>
                <w:szCs w:val="16"/>
              </w:rPr>
              <w:t>ejecutoriada el</w:t>
            </w:r>
            <w:r w:rsidRPr="00606956">
              <w:rPr>
                <w:rFonts w:eastAsia="Times New Roman" w:cs="Times New Roman"/>
                <w:color w:val="000000" w:themeColor="text1"/>
                <w:sz w:val="16"/>
                <w:szCs w:val="16"/>
              </w:rPr>
              <w:t xml:space="preserve"> 29 de enero de 2025.</w:t>
            </w:r>
          </w:p>
        </w:tc>
        <w:tc>
          <w:tcPr>
            <w:tcW w:w="434" w:type="pct"/>
            <w:shd w:val="clear" w:color="auto" w:fill="FFFFFF" w:themeFill="background1"/>
            <w:tcMar>
              <w:top w:w="15" w:type="dxa"/>
              <w:left w:w="15" w:type="dxa"/>
              <w:right w:w="15" w:type="dxa"/>
            </w:tcMar>
            <w:vAlign w:val="center"/>
          </w:tcPr>
          <w:p w14:paraId="43256D07" w14:textId="3E96943B" w:rsidR="511A0799" w:rsidRPr="00606956" w:rsidRDefault="511A0799" w:rsidP="000A5389">
            <w:pPr>
              <w:spacing w:line="240" w:lineRule="auto"/>
              <w:jc w:val="center"/>
              <w:rPr>
                <w:rFonts w:cs="Times New Roman"/>
                <w:sz w:val="16"/>
                <w:szCs w:val="16"/>
              </w:rPr>
            </w:pPr>
            <w:r w:rsidRPr="00606956">
              <w:rPr>
                <w:rFonts w:eastAsia="Times New Roman" w:cs="Times New Roman"/>
                <w:color w:val="000000" w:themeColor="text1"/>
                <w:sz w:val="16"/>
                <w:szCs w:val="16"/>
              </w:rPr>
              <w:lastRenderedPageBreak/>
              <w:t>N/A</w:t>
            </w:r>
          </w:p>
        </w:tc>
      </w:tr>
      <w:tr w:rsidR="511A0799" w:rsidRPr="00606956" w14:paraId="0FC0255D" w14:textId="77777777" w:rsidTr="0071107B">
        <w:trPr>
          <w:trHeight w:val="2117"/>
        </w:trPr>
        <w:tc>
          <w:tcPr>
            <w:tcW w:w="1432" w:type="pct"/>
            <w:shd w:val="clear" w:color="auto" w:fill="FFFFFF" w:themeFill="background1"/>
            <w:tcMar>
              <w:top w:w="15" w:type="dxa"/>
              <w:left w:w="15" w:type="dxa"/>
              <w:right w:w="15" w:type="dxa"/>
            </w:tcMar>
            <w:vAlign w:val="center"/>
          </w:tcPr>
          <w:p w14:paraId="3879F4CC" w14:textId="3EFA114D" w:rsidR="511A0799" w:rsidRPr="00606956" w:rsidRDefault="00AE1B3C" w:rsidP="000A5389">
            <w:pPr>
              <w:spacing w:line="240" w:lineRule="auto"/>
              <w:rPr>
                <w:rFonts w:eastAsia="Times New Roman" w:cs="Times New Roman"/>
                <w:color w:val="000000" w:themeColor="text1"/>
                <w:sz w:val="16"/>
                <w:szCs w:val="16"/>
              </w:rPr>
            </w:pPr>
            <w:r w:rsidRPr="00606956">
              <w:rPr>
                <w:rFonts w:eastAsia="Times New Roman" w:cs="Times New Roman"/>
                <w:color w:val="000000" w:themeColor="text1"/>
                <w:sz w:val="16"/>
                <w:szCs w:val="16"/>
              </w:rPr>
              <w:t>Enelia Jiménez Lozano</w:t>
            </w:r>
          </w:p>
        </w:tc>
        <w:tc>
          <w:tcPr>
            <w:tcW w:w="538" w:type="pct"/>
            <w:shd w:val="clear" w:color="auto" w:fill="FFFFFF" w:themeFill="background1"/>
            <w:tcMar>
              <w:top w:w="15" w:type="dxa"/>
              <w:left w:w="15" w:type="dxa"/>
              <w:right w:w="15" w:type="dxa"/>
            </w:tcMar>
            <w:vAlign w:val="center"/>
          </w:tcPr>
          <w:p w14:paraId="7E3A0F19" w14:textId="6B12373D" w:rsidR="511A0799" w:rsidRPr="00606956" w:rsidRDefault="511A0799" w:rsidP="000A5389">
            <w:pPr>
              <w:spacing w:line="240" w:lineRule="auto"/>
              <w:jc w:val="right"/>
              <w:rPr>
                <w:rFonts w:cs="Times New Roman"/>
                <w:sz w:val="16"/>
                <w:szCs w:val="16"/>
              </w:rPr>
            </w:pPr>
            <w:r w:rsidRPr="00606956">
              <w:rPr>
                <w:rFonts w:eastAsia="Times New Roman" w:cs="Times New Roman"/>
                <w:color w:val="000000" w:themeColor="text1"/>
                <w:sz w:val="16"/>
                <w:szCs w:val="16"/>
              </w:rPr>
              <w:t>892.187.875</w:t>
            </w:r>
          </w:p>
        </w:tc>
        <w:tc>
          <w:tcPr>
            <w:tcW w:w="356" w:type="pct"/>
            <w:shd w:val="clear" w:color="auto" w:fill="FFFFFF" w:themeFill="background1"/>
            <w:tcMar>
              <w:top w:w="15" w:type="dxa"/>
              <w:left w:w="15" w:type="dxa"/>
              <w:right w:w="15" w:type="dxa"/>
            </w:tcMar>
            <w:vAlign w:val="center"/>
          </w:tcPr>
          <w:p w14:paraId="4CE23EFD" w14:textId="5BEAE550" w:rsidR="511A0799" w:rsidRPr="00606956" w:rsidRDefault="511A0799" w:rsidP="000A5389">
            <w:pPr>
              <w:spacing w:line="240" w:lineRule="auto"/>
              <w:jc w:val="center"/>
              <w:rPr>
                <w:rFonts w:cs="Times New Roman"/>
                <w:sz w:val="16"/>
                <w:szCs w:val="16"/>
              </w:rPr>
            </w:pPr>
            <w:r w:rsidRPr="00606956">
              <w:rPr>
                <w:rFonts w:eastAsia="Times New Roman" w:cs="Times New Roman"/>
                <w:color w:val="000000" w:themeColor="text1"/>
                <w:sz w:val="16"/>
                <w:szCs w:val="16"/>
              </w:rPr>
              <w:t>1</w:t>
            </w:r>
          </w:p>
        </w:tc>
        <w:tc>
          <w:tcPr>
            <w:tcW w:w="322" w:type="pct"/>
            <w:shd w:val="clear" w:color="auto" w:fill="FFFFFF" w:themeFill="background1"/>
            <w:tcMar>
              <w:top w:w="15" w:type="dxa"/>
              <w:left w:w="15" w:type="dxa"/>
              <w:right w:w="15" w:type="dxa"/>
            </w:tcMar>
            <w:vAlign w:val="center"/>
          </w:tcPr>
          <w:p w14:paraId="09E1BDDD" w14:textId="0D956128" w:rsidR="511A0799" w:rsidRPr="00606956" w:rsidRDefault="511A0799" w:rsidP="000A5389">
            <w:pPr>
              <w:spacing w:line="240" w:lineRule="auto"/>
              <w:jc w:val="center"/>
              <w:rPr>
                <w:rFonts w:cs="Times New Roman"/>
                <w:sz w:val="16"/>
                <w:szCs w:val="16"/>
              </w:rPr>
            </w:pPr>
            <w:r w:rsidRPr="00606956">
              <w:rPr>
                <w:rFonts w:eastAsia="Times New Roman" w:cs="Times New Roman"/>
                <w:color w:val="000000" w:themeColor="text1"/>
                <w:sz w:val="16"/>
                <w:szCs w:val="16"/>
              </w:rPr>
              <w:t>10</w:t>
            </w:r>
          </w:p>
        </w:tc>
        <w:tc>
          <w:tcPr>
            <w:tcW w:w="1919" w:type="pct"/>
            <w:shd w:val="clear" w:color="auto" w:fill="FFFFFF" w:themeFill="background1"/>
            <w:tcMar>
              <w:top w:w="15" w:type="dxa"/>
              <w:left w:w="15" w:type="dxa"/>
              <w:right w:w="15" w:type="dxa"/>
            </w:tcMar>
            <w:vAlign w:val="bottom"/>
          </w:tcPr>
          <w:p w14:paraId="61E21F69" w14:textId="6F1ECA4C" w:rsidR="511A0799" w:rsidRPr="00606956" w:rsidRDefault="511A0799" w:rsidP="000A5389">
            <w:pPr>
              <w:spacing w:line="240" w:lineRule="auto"/>
              <w:rPr>
                <w:rFonts w:eastAsia="Times New Roman" w:cs="Times New Roman"/>
                <w:color w:val="000000" w:themeColor="text1"/>
                <w:sz w:val="16"/>
                <w:szCs w:val="16"/>
              </w:rPr>
            </w:pPr>
            <w:r w:rsidRPr="00606956">
              <w:rPr>
                <w:rFonts w:eastAsia="Times New Roman" w:cs="Times New Roman"/>
                <w:color w:val="000000" w:themeColor="text1"/>
                <w:sz w:val="16"/>
                <w:szCs w:val="16"/>
              </w:rPr>
              <w:t xml:space="preserve">Mediante Radicado ANI No. 20257010063053 de fecha 07-04-2025, el GIT de Defensa Judicial informo; que el Rad: 41001333300220190019200   con Ekogui: 2037387 se encuentra en estado terminado con sentencia de segunda instancia desfavorable y ejecutoriada, con condena en concreto; de conformidad con el fallo de SENTENCIA Nº TAH 005-24-09-169 del diez (10) de septiembre de dos mil veinticuatro (2024) proferido por el TRIBUNAL ADMINISTRATIVO DEL HUILA SALA DE DECISIÓN No. 5, sin condena en costas </w:t>
            </w:r>
          </w:p>
        </w:tc>
        <w:tc>
          <w:tcPr>
            <w:tcW w:w="434" w:type="pct"/>
            <w:shd w:val="clear" w:color="auto" w:fill="FFFFFF" w:themeFill="background1"/>
            <w:tcMar>
              <w:top w:w="15" w:type="dxa"/>
              <w:left w:w="15" w:type="dxa"/>
              <w:right w:w="15" w:type="dxa"/>
            </w:tcMar>
            <w:vAlign w:val="center"/>
          </w:tcPr>
          <w:p w14:paraId="357D1F05" w14:textId="70691A4B" w:rsidR="511A0799" w:rsidRPr="00606956" w:rsidRDefault="511A0799" w:rsidP="000A5389">
            <w:pPr>
              <w:spacing w:line="240" w:lineRule="auto"/>
              <w:jc w:val="center"/>
              <w:rPr>
                <w:rFonts w:cs="Times New Roman"/>
                <w:sz w:val="16"/>
                <w:szCs w:val="16"/>
              </w:rPr>
            </w:pPr>
            <w:r w:rsidRPr="00606956">
              <w:rPr>
                <w:rFonts w:eastAsia="Times New Roman" w:cs="Times New Roman"/>
                <w:color w:val="000000" w:themeColor="text1"/>
                <w:sz w:val="16"/>
                <w:szCs w:val="16"/>
              </w:rPr>
              <w:t>N/A</w:t>
            </w:r>
          </w:p>
        </w:tc>
      </w:tr>
      <w:tr w:rsidR="511A0799" w:rsidRPr="00606956" w14:paraId="05963D58" w14:textId="77777777" w:rsidTr="00447BAC">
        <w:trPr>
          <w:trHeight w:val="105"/>
        </w:trPr>
        <w:tc>
          <w:tcPr>
            <w:tcW w:w="1432" w:type="pct"/>
            <w:shd w:val="clear" w:color="auto" w:fill="FFFFFF" w:themeFill="background1"/>
            <w:tcMar>
              <w:top w:w="15" w:type="dxa"/>
              <w:left w:w="15" w:type="dxa"/>
              <w:right w:w="15" w:type="dxa"/>
            </w:tcMar>
            <w:vAlign w:val="center"/>
          </w:tcPr>
          <w:p w14:paraId="6ABFDF02" w14:textId="361A1D9D" w:rsidR="511A0799" w:rsidRPr="00606956" w:rsidRDefault="00AE1B3C" w:rsidP="000A5389">
            <w:pPr>
              <w:spacing w:line="240" w:lineRule="auto"/>
              <w:rPr>
                <w:rFonts w:cs="Times New Roman"/>
                <w:sz w:val="16"/>
                <w:szCs w:val="16"/>
              </w:rPr>
            </w:pPr>
            <w:r w:rsidRPr="00606956">
              <w:rPr>
                <w:rFonts w:eastAsia="Times New Roman" w:cs="Times New Roman"/>
                <w:color w:val="000000" w:themeColor="text1"/>
                <w:sz w:val="16"/>
                <w:szCs w:val="16"/>
              </w:rPr>
              <w:t>Máximo Rafael Gutiérrez Cortecero</w:t>
            </w:r>
          </w:p>
        </w:tc>
        <w:tc>
          <w:tcPr>
            <w:tcW w:w="538" w:type="pct"/>
            <w:shd w:val="clear" w:color="auto" w:fill="FFFFFF" w:themeFill="background1"/>
            <w:tcMar>
              <w:top w:w="15" w:type="dxa"/>
              <w:left w:w="15" w:type="dxa"/>
              <w:right w:w="15" w:type="dxa"/>
            </w:tcMar>
            <w:vAlign w:val="center"/>
          </w:tcPr>
          <w:p w14:paraId="40D1CAC9" w14:textId="016805BF" w:rsidR="511A0799" w:rsidRPr="00606956" w:rsidRDefault="511A0799" w:rsidP="000A5389">
            <w:pPr>
              <w:spacing w:line="240" w:lineRule="auto"/>
              <w:jc w:val="right"/>
              <w:rPr>
                <w:rFonts w:cs="Times New Roman"/>
                <w:sz w:val="16"/>
                <w:szCs w:val="16"/>
              </w:rPr>
            </w:pPr>
            <w:r w:rsidRPr="00606956">
              <w:rPr>
                <w:rFonts w:eastAsia="Times New Roman" w:cs="Times New Roman"/>
                <w:color w:val="000000" w:themeColor="text1"/>
                <w:sz w:val="16"/>
                <w:szCs w:val="16"/>
              </w:rPr>
              <w:t>803.563.125</w:t>
            </w:r>
          </w:p>
        </w:tc>
        <w:tc>
          <w:tcPr>
            <w:tcW w:w="356" w:type="pct"/>
            <w:shd w:val="clear" w:color="auto" w:fill="FFFFFF" w:themeFill="background1"/>
            <w:tcMar>
              <w:top w:w="15" w:type="dxa"/>
              <w:left w:w="15" w:type="dxa"/>
              <w:right w:w="15" w:type="dxa"/>
            </w:tcMar>
            <w:vAlign w:val="center"/>
          </w:tcPr>
          <w:p w14:paraId="3C86AA8A" w14:textId="21BCE4E9" w:rsidR="511A0799" w:rsidRPr="00606956" w:rsidRDefault="511A0799" w:rsidP="000A5389">
            <w:pPr>
              <w:spacing w:line="240" w:lineRule="auto"/>
              <w:jc w:val="center"/>
              <w:rPr>
                <w:rFonts w:cs="Times New Roman"/>
                <w:sz w:val="16"/>
                <w:szCs w:val="16"/>
              </w:rPr>
            </w:pPr>
            <w:r w:rsidRPr="00606956">
              <w:rPr>
                <w:rFonts w:eastAsia="Times New Roman" w:cs="Times New Roman"/>
                <w:color w:val="000000" w:themeColor="text1"/>
                <w:sz w:val="16"/>
                <w:szCs w:val="16"/>
              </w:rPr>
              <w:t>1</w:t>
            </w:r>
          </w:p>
        </w:tc>
        <w:tc>
          <w:tcPr>
            <w:tcW w:w="322" w:type="pct"/>
            <w:shd w:val="clear" w:color="auto" w:fill="FFFFFF" w:themeFill="background1"/>
            <w:tcMar>
              <w:top w:w="15" w:type="dxa"/>
              <w:left w:w="15" w:type="dxa"/>
              <w:right w:w="15" w:type="dxa"/>
            </w:tcMar>
            <w:vAlign w:val="center"/>
          </w:tcPr>
          <w:p w14:paraId="64940E8B" w14:textId="7D18D166" w:rsidR="511A0799" w:rsidRPr="00606956" w:rsidRDefault="511A0799" w:rsidP="000A5389">
            <w:pPr>
              <w:spacing w:line="240" w:lineRule="auto"/>
              <w:jc w:val="center"/>
              <w:rPr>
                <w:rFonts w:cs="Times New Roman"/>
                <w:sz w:val="16"/>
                <w:szCs w:val="16"/>
              </w:rPr>
            </w:pPr>
            <w:r w:rsidRPr="00606956">
              <w:rPr>
                <w:rFonts w:eastAsia="Times New Roman" w:cs="Times New Roman"/>
                <w:color w:val="000000" w:themeColor="text1"/>
                <w:sz w:val="16"/>
                <w:szCs w:val="16"/>
              </w:rPr>
              <w:t>10</w:t>
            </w:r>
          </w:p>
        </w:tc>
        <w:tc>
          <w:tcPr>
            <w:tcW w:w="1919" w:type="pct"/>
            <w:shd w:val="clear" w:color="auto" w:fill="FFFFFF" w:themeFill="background1"/>
            <w:tcMar>
              <w:top w:w="15" w:type="dxa"/>
              <w:left w:w="15" w:type="dxa"/>
              <w:right w:w="15" w:type="dxa"/>
            </w:tcMar>
            <w:vAlign w:val="bottom"/>
          </w:tcPr>
          <w:p w14:paraId="77ED365A" w14:textId="6C457C12" w:rsidR="511A0799" w:rsidRPr="00606956" w:rsidRDefault="511A0799" w:rsidP="000A5389">
            <w:pPr>
              <w:spacing w:line="240" w:lineRule="auto"/>
              <w:rPr>
                <w:rFonts w:eastAsia="Times New Roman" w:cs="Times New Roman"/>
                <w:color w:val="000000" w:themeColor="text1"/>
                <w:sz w:val="16"/>
                <w:szCs w:val="16"/>
              </w:rPr>
            </w:pPr>
            <w:r w:rsidRPr="00606956">
              <w:rPr>
                <w:rFonts w:eastAsia="Times New Roman" w:cs="Times New Roman"/>
                <w:color w:val="000000" w:themeColor="text1"/>
                <w:sz w:val="16"/>
                <w:szCs w:val="16"/>
              </w:rPr>
              <w:t>Mediante Radicado ANI No. 20267010045073 de fecha 17-02-2026, el GIT de Defensa Judicial informo; que el Rad: 20001333300620170004100 con Ekogui: 1053577 se encuentra en estado terminado con sentencia de segunda instancia desfavorable y ejecutoriada de fecha 25 de noviembre de 2025</w:t>
            </w:r>
          </w:p>
        </w:tc>
        <w:tc>
          <w:tcPr>
            <w:tcW w:w="434" w:type="pct"/>
            <w:shd w:val="clear" w:color="auto" w:fill="FFFFFF" w:themeFill="background1"/>
            <w:tcMar>
              <w:top w:w="15" w:type="dxa"/>
              <w:left w:w="15" w:type="dxa"/>
              <w:right w:w="15" w:type="dxa"/>
            </w:tcMar>
            <w:vAlign w:val="center"/>
          </w:tcPr>
          <w:p w14:paraId="5AF5796E" w14:textId="2B976CEC" w:rsidR="511A0799" w:rsidRPr="00606956" w:rsidRDefault="511A0799" w:rsidP="000A5389">
            <w:pPr>
              <w:spacing w:line="240" w:lineRule="auto"/>
              <w:jc w:val="center"/>
              <w:rPr>
                <w:rFonts w:cs="Times New Roman"/>
                <w:sz w:val="16"/>
                <w:szCs w:val="16"/>
              </w:rPr>
            </w:pPr>
            <w:r w:rsidRPr="00606956">
              <w:rPr>
                <w:rFonts w:eastAsia="Times New Roman" w:cs="Times New Roman"/>
                <w:color w:val="000000" w:themeColor="text1"/>
                <w:sz w:val="16"/>
                <w:szCs w:val="16"/>
              </w:rPr>
              <w:t>N/A</w:t>
            </w:r>
          </w:p>
        </w:tc>
      </w:tr>
      <w:tr w:rsidR="511A0799" w:rsidRPr="00606956" w14:paraId="647317D5" w14:textId="77777777" w:rsidTr="0071107B">
        <w:trPr>
          <w:trHeight w:val="1016"/>
        </w:trPr>
        <w:tc>
          <w:tcPr>
            <w:tcW w:w="1432" w:type="pct"/>
            <w:shd w:val="clear" w:color="auto" w:fill="FFFFFF" w:themeFill="background1"/>
            <w:tcMar>
              <w:top w:w="15" w:type="dxa"/>
              <w:left w:w="15" w:type="dxa"/>
              <w:right w:w="15" w:type="dxa"/>
            </w:tcMar>
            <w:vAlign w:val="center"/>
          </w:tcPr>
          <w:p w14:paraId="2AD69F3C" w14:textId="0348C46C" w:rsidR="511A0799" w:rsidRPr="00606956" w:rsidRDefault="00AE1B3C" w:rsidP="000A5389">
            <w:pPr>
              <w:spacing w:line="240" w:lineRule="auto"/>
              <w:rPr>
                <w:rFonts w:cs="Times New Roman"/>
                <w:sz w:val="16"/>
                <w:szCs w:val="16"/>
              </w:rPr>
            </w:pPr>
            <w:r w:rsidRPr="00606956">
              <w:rPr>
                <w:rFonts w:eastAsia="Times New Roman" w:cs="Times New Roman"/>
                <w:color w:val="000000" w:themeColor="text1"/>
                <w:sz w:val="16"/>
                <w:szCs w:val="16"/>
              </w:rPr>
              <w:t>Fermin Cevedeo Quiñones Arroyo</w:t>
            </w:r>
          </w:p>
        </w:tc>
        <w:tc>
          <w:tcPr>
            <w:tcW w:w="538" w:type="pct"/>
            <w:shd w:val="clear" w:color="auto" w:fill="FFFFFF" w:themeFill="background1"/>
            <w:tcMar>
              <w:top w:w="15" w:type="dxa"/>
              <w:left w:w="15" w:type="dxa"/>
              <w:right w:w="15" w:type="dxa"/>
            </w:tcMar>
            <w:vAlign w:val="center"/>
          </w:tcPr>
          <w:p w14:paraId="738B7950" w14:textId="635DBF19" w:rsidR="511A0799" w:rsidRPr="00606956" w:rsidRDefault="511A0799" w:rsidP="000A5389">
            <w:pPr>
              <w:spacing w:line="240" w:lineRule="auto"/>
              <w:jc w:val="right"/>
              <w:rPr>
                <w:rFonts w:cs="Times New Roman"/>
                <w:sz w:val="16"/>
                <w:szCs w:val="16"/>
              </w:rPr>
            </w:pPr>
            <w:r w:rsidRPr="00606956">
              <w:rPr>
                <w:rFonts w:eastAsia="Times New Roman" w:cs="Times New Roman"/>
                <w:color w:val="000000" w:themeColor="text1"/>
                <w:sz w:val="16"/>
                <w:szCs w:val="16"/>
              </w:rPr>
              <w:t>754.608.248</w:t>
            </w:r>
          </w:p>
        </w:tc>
        <w:tc>
          <w:tcPr>
            <w:tcW w:w="356" w:type="pct"/>
            <w:shd w:val="clear" w:color="auto" w:fill="FFFFFF" w:themeFill="background1"/>
            <w:tcMar>
              <w:top w:w="15" w:type="dxa"/>
              <w:left w:w="15" w:type="dxa"/>
              <w:right w:w="15" w:type="dxa"/>
            </w:tcMar>
            <w:vAlign w:val="center"/>
          </w:tcPr>
          <w:p w14:paraId="04789A2B" w14:textId="518FC8F7" w:rsidR="511A0799" w:rsidRPr="00606956" w:rsidRDefault="511A0799" w:rsidP="000A5389">
            <w:pPr>
              <w:spacing w:line="240" w:lineRule="auto"/>
              <w:jc w:val="center"/>
              <w:rPr>
                <w:rFonts w:cs="Times New Roman"/>
                <w:sz w:val="16"/>
                <w:szCs w:val="16"/>
              </w:rPr>
            </w:pPr>
            <w:r w:rsidRPr="00606956">
              <w:rPr>
                <w:rFonts w:eastAsia="Times New Roman" w:cs="Times New Roman"/>
                <w:color w:val="000000" w:themeColor="text1"/>
                <w:sz w:val="16"/>
                <w:szCs w:val="16"/>
              </w:rPr>
              <w:t>1</w:t>
            </w:r>
          </w:p>
        </w:tc>
        <w:tc>
          <w:tcPr>
            <w:tcW w:w="322" w:type="pct"/>
            <w:shd w:val="clear" w:color="auto" w:fill="FFFFFF" w:themeFill="background1"/>
            <w:tcMar>
              <w:top w:w="15" w:type="dxa"/>
              <w:left w:w="15" w:type="dxa"/>
              <w:right w:w="15" w:type="dxa"/>
            </w:tcMar>
            <w:vAlign w:val="center"/>
          </w:tcPr>
          <w:p w14:paraId="139AD78F" w14:textId="10EBB368" w:rsidR="511A0799" w:rsidRPr="00606956" w:rsidRDefault="511A0799" w:rsidP="000A5389">
            <w:pPr>
              <w:spacing w:line="240" w:lineRule="auto"/>
              <w:jc w:val="center"/>
              <w:rPr>
                <w:rFonts w:cs="Times New Roman"/>
                <w:sz w:val="16"/>
                <w:szCs w:val="16"/>
              </w:rPr>
            </w:pPr>
            <w:r w:rsidRPr="00606956">
              <w:rPr>
                <w:rFonts w:eastAsia="Times New Roman" w:cs="Times New Roman"/>
                <w:color w:val="000000" w:themeColor="text1"/>
                <w:sz w:val="16"/>
                <w:szCs w:val="16"/>
              </w:rPr>
              <w:t>10</w:t>
            </w:r>
          </w:p>
        </w:tc>
        <w:tc>
          <w:tcPr>
            <w:tcW w:w="1919" w:type="pct"/>
            <w:shd w:val="clear" w:color="auto" w:fill="FFFFFF" w:themeFill="background1"/>
            <w:tcMar>
              <w:top w:w="15" w:type="dxa"/>
              <w:left w:w="15" w:type="dxa"/>
              <w:right w:w="15" w:type="dxa"/>
            </w:tcMar>
            <w:vAlign w:val="bottom"/>
          </w:tcPr>
          <w:p w14:paraId="784A3719" w14:textId="509AF204" w:rsidR="511A0799" w:rsidRPr="00606956" w:rsidRDefault="511A0799" w:rsidP="000A5389">
            <w:pPr>
              <w:spacing w:line="240" w:lineRule="auto"/>
              <w:rPr>
                <w:rFonts w:eastAsia="Times New Roman" w:cs="Times New Roman"/>
                <w:color w:val="000000" w:themeColor="text1"/>
                <w:sz w:val="16"/>
                <w:szCs w:val="16"/>
              </w:rPr>
            </w:pPr>
            <w:r w:rsidRPr="00606956">
              <w:rPr>
                <w:rFonts w:eastAsia="Times New Roman" w:cs="Times New Roman"/>
                <w:color w:val="000000" w:themeColor="text1"/>
                <w:sz w:val="16"/>
                <w:szCs w:val="16"/>
              </w:rPr>
              <w:t>Mediante Radicado ANI No. 20267010039333 de Fecha 09-02-2026, el GIT de Defensa Judicial informo; que el Rad:19001230000020050190700 Ekogui: 156894 se encuentra en estado terminado con sentencia de segunda instancia desfavorable y ejecutoriada con fecha 23 de enero de 2025.</w:t>
            </w:r>
          </w:p>
        </w:tc>
        <w:tc>
          <w:tcPr>
            <w:tcW w:w="434" w:type="pct"/>
            <w:shd w:val="clear" w:color="auto" w:fill="FFFFFF" w:themeFill="background1"/>
            <w:tcMar>
              <w:top w:w="15" w:type="dxa"/>
              <w:left w:w="15" w:type="dxa"/>
              <w:right w:w="15" w:type="dxa"/>
            </w:tcMar>
            <w:vAlign w:val="center"/>
          </w:tcPr>
          <w:p w14:paraId="15434EBE" w14:textId="45EDCD57" w:rsidR="511A0799" w:rsidRPr="00606956" w:rsidRDefault="511A0799" w:rsidP="000A5389">
            <w:pPr>
              <w:spacing w:line="240" w:lineRule="auto"/>
              <w:jc w:val="center"/>
              <w:rPr>
                <w:rFonts w:cs="Times New Roman"/>
                <w:sz w:val="16"/>
                <w:szCs w:val="16"/>
              </w:rPr>
            </w:pPr>
            <w:r w:rsidRPr="00606956">
              <w:rPr>
                <w:rFonts w:eastAsia="Times New Roman" w:cs="Times New Roman"/>
                <w:color w:val="000000" w:themeColor="text1"/>
                <w:sz w:val="16"/>
                <w:szCs w:val="16"/>
              </w:rPr>
              <w:t>N/A</w:t>
            </w:r>
          </w:p>
        </w:tc>
      </w:tr>
      <w:tr w:rsidR="511A0799" w:rsidRPr="00606956" w14:paraId="3179641D" w14:textId="77777777" w:rsidTr="0071107B">
        <w:trPr>
          <w:trHeight w:val="541"/>
        </w:trPr>
        <w:tc>
          <w:tcPr>
            <w:tcW w:w="1432" w:type="pct"/>
            <w:shd w:val="clear" w:color="auto" w:fill="FFFFFF" w:themeFill="background1"/>
            <w:tcMar>
              <w:top w:w="15" w:type="dxa"/>
              <w:left w:w="15" w:type="dxa"/>
              <w:right w:w="15" w:type="dxa"/>
            </w:tcMar>
            <w:vAlign w:val="center"/>
          </w:tcPr>
          <w:p w14:paraId="41791008" w14:textId="5316DC4B" w:rsidR="511A0799" w:rsidRPr="00606956" w:rsidRDefault="00AE1B3C" w:rsidP="000A5389">
            <w:pPr>
              <w:spacing w:line="240" w:lineRule="auto"/>
              <w:rPr>
                <w:rFonts w:cs="Times New Roman"/>
                <w:sz w:val="16"/>
                <w:szCs w:val="16"/>
              </w:rPr>
            </w:pPr>
            <w:r w:rsidRPr="00606956">
              <w:rPr>
                <w:rFonts w:eastAsia="Times New Roman" w:cs="Times New Roman"/>
                <w:color w:val="000000" w:themeColor="text1"/>
                <w:sz w:val="16"/>
                <w:szCs w:val="16"/>
              </w:rPr>
              <w:t>Eliana Alejandra González Pantoja</w:t>
            </w:r>
          </w:p>
        </w:tc>
        <w:tc>
          <w:tcPr>
            <w:tcW w:w="538" w:type="pct"/>
            <w:shd w:val="clear" w:color="auto" w:fill="FFFFFF" w:themeFill="background1"/>
            <w:tcMar>
              <w:top w:w="15" w:type="dxa"/>
              <w:left w:w="15" w:type="dxa"/>
              <w:right w:w="15" w:type="dxa"/>
            </w:tcMar>
            <w:vAlign w:val="center"/>
          </w:tcPr>
          <w:p w14:paraId="32997175" w14:textId="460CE866" w:rsidR="511A0799" w:rsidRPr="00606956" w:rsidRDefault="511A0799" w:rsidP="000A5389">
            <w:pPr>
              <w:spacing w:line="240" w:lineRule="auto"/>
              <w:jc w:val="right"/>
              <w:rPr>
                <w:rFonts w:cs="Times New Roman"/>
                <w:sz w:val="16"/>
                <w:szCs w:val="16"/>
              </w:rPr>
            </w:pPr>
            <w:r w:rsidRPr="00606956">
              <w:rPr>
                <w:rFonts w:eastAsia="Times New Roman" w:cs="Times New Roman"/>
                <w:color w:val="000000" w:themeColor="text1"/>
                <w:sz w:val="16"/>
                <w:szCs w:val="16"/>
              </w:rPr>
              <w:t>452.681.779</w:t>
            </w:r>
          </w:p>
        </w:tc>
        <w:tc>
          <w:tcPr>
            <w:tcW w:w="356" w:type="pct"/>
            <w:shd w:val="clear" w:color="auto" w:fill="FFFFFF" w:themeFill="background1"/>
            <w:tcMar>
              <w:top w:w="15" w:type="dxa"/>
              <w:left w:w="15" w:type="dxa"/>
              <w:right w:w="15" w:type="dxa"/>
            </w:tcMar>
            <w:vAlign w:val="center"/>
          </w:tcPr>
          <w:p w14:paraId="5A9FC5D8" w14:textId="22CFBE39" w:rsidR="511A0799" w:rsidRPr="00606956" w:rsidRDefault="511A0799" w:rsidP="000A5389">
            <w:pPr>
              <w:spacing w:line="240" w:lineRule="auto"/>
              <w:jc w:val="center"/>
              <w:rPr>
                <w:rFonts w:cs="Times New Roman"/>
                <w:sz w:val="16"/>
                <w:szCs w:val="16"/>
              </w:rPr>
            </w:pPr>
            <w:r w:rsidRPr="00606956">
              <w:rPr>
                <w:rFonts w:eastAsia="Times New Roman" w:cs="Times New Roman"/>
                <w:color w:val="000000" w:themeColor="text1"/>
                <w:sz w:val="16"/>
                <w:szCs w:val="16"/>
              </w:rPr>
              <w:t>1</w:t>
            </w:r>
          </w:p>
        </w:tc>
        <w:tc>
          <w:tcPr>
            <w:tcW w:w="322" w:type="pct"/>
            <w:shd w:val="clear" w:color="auto" w:fill="FFFFFF" w:themeFill="background1"/>
            <w:tcMar>
              <w:top w:w="15" w:type="dxa"/>
              <w:left w:w="15" w:type="dxa"/>
              <w:right w:w="15" w:type="dxa"/>
            </w:tcMar>
            <w:vAlign w:val="center"/>
          </w:tcPr>
          <w:p w14:paraId="5854CE09" w14:textId="59E9D468" w:rsidR="511A0799" w:rsidRPr="00606956" w:rsidRDefault="511A0799" w:rsidP="000A5389">
            <w:pPr>
              <w:spacing w:line="240" w:lineRule="auto"/>
              <w:jc w:val="center"/>
              <w:rPr>
                <w:rFonts w:cs="Times New Roman"/>
                <w:sz w:val="16"/>
                <w:szCs w:val="16"/>
              </w:rPr>
            </w:pPr>
            <w:r w:rsidRPr="00606956">
              <w:rPr>
                <w:rFonts w:eastAsia="Times New Roman" w:cs="Times New Roman"/>
                <w:color w:val="000000" w:themeColor="text1"/>
                <w:sz w:val="16"/>
                <w:szCs w:val="16"/>
              </w:rPr>
              <w:t>10</w:t>
            </w:r>
          </w:p>
        </w:tc>
        <w:tc>
          <w:tcPr>
            <w:tcW w:w="1919" w:type="pct"/>
            <w:shd w:val="clear" w:color="auto" w:fill="FFFFFF" w:themeFill="background1"/>
            <w:tcMar>
              <w:top w:w="15" w:type="dxa"/>
              <w:left w:w="15" w:type="dxa"/>
              <w:right w:w="15" w:type="dxa"/>
            </w:tcMar>
            <w:vAlign w:val="bottom"/>
          </w:tcPr>
          <w:p w14:paraId="51318FD0" w14:textId="52251E99" w:rsidR="511A0799" w:rsidRPr="00606956" w:rsidRDefault="511A0799" w:rsidP="000A5389">
            <w:pPr>
              <w:spacing w:line="240" w:lineRule="auto"/>
              <w:rPr>
                <w:rFonts w:eastAsia="Times New Roman" w:cs="Times New Roman"/>
                <w:color w:val="000000" w:themeColor="text1"/>
                <w:sz w:val="16"/>
                <w:szCs w:val="16"/>
              </w:rPr>
            </w:pPr>
            <w:r w:rsidRPr="00606956">
              <w:rPr>
                <w:rFonts w:eastAsia="Times New Roman" w:cs="Times New Roman"/>
                <w:color w:val="000000" w:themeColor="text1"/>
                <w:sz w:val="16"/>
                <w:szCs w:val="16"/>
              </w:rPr>
              <w:t xml:space="preserve">Reconocimiento crédito Judicial conforme al Rad. ANI 20257010157903 de fecha 03-09-2025 informado por el GIT de Defensa Judicial dentro del proceso judicial con radicado 52001333100420140052100 con Ekogui:686575 </w:t>
            </w:r>
            <w:r w:rsidR="0E0A6736" w:rsidRPr="00606956">
              <w:rPr>
                <w:rFonts w:eastAsia="Times New Roman" w:cs="Times New Roman"/>
                <w:color w:val="000000" w:themeColor="text1"/>
                <w:sz w:val="16"/>
                <w:szCs w:val="16"/>
              </w:rPr>
              <w:t>sentencia</w:t>
            </w:r>
            <w:r w:rsidRPr="00606956">
              <w:rPr>
                <w:rFonts w:eastAsia="Times New Roman" w:cs="Times New Roman"/>
                <w:color w:val="000000" w:themeColor="text1"/>
                <w:sz w:val="16"/>
                <w:szCs w:val="16"/>
              </w:rPr>
              <w:t xml:space="preserve"> seis (6) de septiembre de dos mil veinticuatro (2024) Tribunal Administrativo de Nariño Sala Primera de Decisión con CONSTANCIA DE EJECUTORIA Y MERITO EJECUTIVO de fecha el día 26 de septiembre de 2024. </w:t>
            </w:r>
          </w:p>
        </w:tc>
        <w:tc>
          <w:tcPr>
            <w:tcW w:w="434" w:type="pct"/>
            <w:shd w:val="clear" w:color="auto" w:fill="FFFFFF" w:themeFill="background1"/>
            <w:tcMar>
              <w:top w:w="15" w:type="dxa"/>
              <w:left w:w="15" w:type="dxa"/>
              <w:right w:w="15" w:type="dxa"/>
            </w:tcMar>
            <w:vAlign w:val="center"/>
          </w:tcPr>
          <w:p w14:paraId="04169BFC" w14:textId="39D36F1B" w:rsidR="511A0799" w:rsidRPr="00606956" w:rsidRDefault="511A0799" w:rsidP="000A5389">
            <w:pPr>
              <w:spacing w:line="240" w:lineRule="auto"/>
              <w:jc w:val="center"/>
              <w:rPr>
                <w:rFonts w:cs="Times New Roman"/>
                <w:sz w:val="16"/>
                <w:szCs w:val="16"/>
              </w:rPr>
            </w:pPr>
            <w:r w:rsidRPr="00606956">
              <w:rPr>
                <w:rFonts w:eastAsia="Times New Roman" w:cs="Times New Roman"/>
                <w:color w:val="000000" w:themeColor="text1"/>
                <w:sz w:val="16"/>
                <w:szCs w:val="16"/>
              </w:rPr>
              <w:t>N/A</w:t>
            </w:r>
          </w:p>
        </w:tc>
      </w:tr>
      <w:tr w:rsidR="511A0799" w:rsidRPr="00606956" w14:paraId="01DC509B" w14:textId="77777777" w:rsidTr="0071107B">
        <w:trPr>
          <w:trHeight w:val="306"/>
        </w:trPr>
        <w:tc>
          <w:tcPr>
            <w:tcW w:w="1432" w:type="pct"/>
            <w:shd w:val="clear" w:color="auto" w:fill="FFFFFF" w:themeFill="background1"/>
            <w:tcMar>
              <w:top w:w="15" w:type="dxa"/>
              <w:left w:w="15" w:type="dxa"/>
              <w:right w:w="15" w:type="dxa"/>
            </w:tcMar>
            <w:vAlign w:val="center"/>
          </w:tcPr>
          <w:p w14:paraId="385B7EA3" w14:textId="4EE0A5A7" w:rsidR="511A0799" w:rsidRPr="00606956" w:rsidRDefault="00AE1B3C" w:rsidP="000A5389">
            <w:pPr>
              <w:spacing w:line="240" w:lineRule="auto"/>
              <w:rPr>
                <w:rFonts w:cs="Times New Roman"/>
                <w:sz w:val="16"/>
                <w:szCs w:val="16"/>
              </w:rPr>
            </w:pPr>
            <w:r w:rsidRPr="00606956">
              <w:rPr>
                <w:rFonts w:eastAsia="Times New Roman" w:cs="Times New Roman"/>
                <w:color w:val="000000" w:themeColor="text1"/>
                <w:sz w:val="16"/>
                <w:szCs w:val="16"/>
              </w:rPr>
              <w:t>Leidy Tatiana Bustamante Abello</w:t>
            </w:r>
          </w:p>
        </w:tc>
        <w:tc>
          <w:tcPr>
            <w:tcW w:w="538" w:type="pct"/>
            <w:shd w:val="clear" w:color="auto" w:fill="FFFFFF" w:themeFill="background1"/>
            <w:tcMar>
              <w:top w:w="15" w:type="dxa"/>
              <w:left w:w="15" w:type="dxa"/>
              <w:right w:w="15" w:type="dxa"/>
            </w:tcMar>
            <w:vAlign w:val="center"/>
          </w:tcPr>
          <w:p w14:paraId="099245B1" w14:textId="5CDDC6B1" w:rsidR="511A0799" w:rsidRPr="00606956" w:rsidRDefault="511A0799" w:rsidP="000A5389">
            <w:pPr>
              <w:spacing w:line="240" w:lineRule="auto"/>
              <w:jc w:val="right"/>
              <w:rPr>
                <w:rFonts w:cs="Times New Roman"/>
                <w:sz w:val="16"/>
                <w:szCs w:val="16"/>
              </w:rPr>
            </w:pPr>
            <w:r w:rsidRPr="00606956">
              <w:rPr>
                <w:rFonts w:eastAsia="Times New Roman" w:cs="Times New Roman"/>
                <w:color w:val="000000" w:themeColor="text1"/>
                <w:sz w:val="16"/>
                <w:szCs w:val="16"/>
              </w:rPr>
              <w:t>415.939.860</w:t>
            </w:r>
          </w:p>
        </w:tc>
        <w:tc>
          <w:tcPr>
            <w:tcW w:w="356" w:type="pct"/>
            <w:shd w:val="clear" w:color="auto" w:fill="FFFFFF" w:themeFill="background1"/>
            <w:tcMar>
              <w:top w:w="15" w:type="dxa"/>
              <w:left w:w="15" w:type="dxa"/>
              <w:right w:w="15" w:type="dxa"/>
            </w:tcMar>
            <w:vAlign w:val="center"/>
          </w:tcPr>
          <w:p w14:paraId="3437C1BC" w14:textId="3F88CA1C" w:rsidR="511A0799" w:rsidRPr="00606956" w:rsidRDefault="511A0799" w:rsidP="000A5389">
            <w:pPr>
              <w:spacing w:line="240" w:lineRule="auto"/>
              <w:jc w:val="center"/>
              <w:rPr>
                <w:rFonts w:cs="Times New Roman"/>
                <w:sz w:val="16"/>
                <w:szCs w:val="16"/>
              </w:rPr>
            </w:pPr>
            <w:r w:rsidRPr="00606956">
              <w:rPr>
                <w:rFonts w:eastAsia="Times New Roman" w:cs="Times New Roman"/>
                <w:color w:val="000000" w:themeColor="text1"/>
                <w:sz w:val="16"/>
                <w:szCs w:val="16"/>
              </w:rPr>
              <w:t>1</w:t>
            </w:r>
          </w:p>
        </w:tc>
        <w:tc>
          <w:tcPr>
            <w:tcW w:w="322" w:type="pct"/>
            <w:shd w:val="clear" w:color="auto" w:fill="FFFFFF" w:themeFill="background1"/>
            <w:tcMar>
              <w:top w:w="15" w:type="dxa"/>
              <w:left w:w="15" w:type="dxa"/>
              <w:right w:w="15" w:type="dxa"/>
            </w:tcMar>
            <w:vAlign w:val="center"/>
          </w:tcPr>
          <w:p w14:paraId="5B7D03BB" w14:textId="507950DF" w:rsidR="511A0799" w:rsidRPr="00606956" w:rsidRDefault="511A0799" w:rsidP="000A5389">
            <w:pPr>
              <w:spacing w:line="240" w:lineRule="auto"/>
              <w:jc w:val="center"/>
              <w:rPr>
                <w:rFonts w:cs="Times New Roman"/>
                <w:sz w:val="16"/>
                <w:szCs w:val="16"/>
              </w:rPr>
            </w:pPr>
            <w:r w:rsidRPr="00606956">
              <w:rPr>
                <w:rFonts w:eastAsia="Times New Roman" w:cs="Times New Roman"/>
                <w:color w:val="000000" w:themeColor="text1"/>
                <w:sz w:val="16"/>
                <w:szCs w:val="16"/>
              </w:rPr>
              <w:t>10</w:t>
            </w:r>
          </w:p>
        </w:tc>
        <w:tc>
          <w:tcPr>
            <w:tcW w:w="1919" w:type="pct"/>
            <w:shd w:val="clear" w:color="auto" w:fill="FFFFFF" w:themeFill="background1"/>
            <w:tcMar>
              <w:top w:w="15" w:type="dxa"/>
              <w:left w:w="15" w:type="dxa"/>
              <w:right w:w="15" w:type="dxa"/>
            </w:tcMar>
            <w:vAlign w:val="bottom"/>
          </w:tcPr>
          <w:p w14:paraId="591466F4" w14:textId="12D0CD5E" w:rsidR="511A0799" w:rsidRPr="00606956" w:rsidRDefault="511A0799" w:rsidP="000A5389">
            <w:pPr>
              <w:spacing w:line="240" w:lineRule="auto"/>
              <w:rPr>
                <w:rFonts w:eastAsia="Times New Roman" w:cs="Times New Roman"/>
                <w:color w:val="000000" w:themeColor="text1"/>
                <w:sz w:val="16"/>
                <w:szCs w:val="16"/>
              </w:rPr>
            </w:pPr>
            <w:r w:rsidRPr="00606956">
              <w:rPr>
                <w:rFonts w:eastAsia="Times New Roman" w:cs="Times New Roman"/>
                <w:color w:val="000000" w:themeColor="text1"/>
                <w:sz w:val="16"/>
                <w:szCs w:val="16"/>
              </w:rPr>
              <w:t>Mediante Radicado ANI No. 20267010039333 de Fecha 09-02-2026, el GIT de Defensa Judicial informo; que el Rad: 68001333301420130045300-02 con Ekogui: 479666 se encuentra en estado terminado con sentencia de segunda instancia desfavorable y ejecutoriada al finalizar la última hora hábil (esto es 4 p.m.) del día ocho (8) de octubre del año dos mil veinticuatro (2024).</w:t>
            </w:r>
          </w:p>
        </w:tc>
        <w:tc>
          <w:tcPr>
            <w:tcW w:w="434" w:type="pct"/>
            <w:shd w:val="clear" w:color="auto" w:fill="FFFFFF" w:themeFill="background1"/>
            <w:tcMar>
              <w:top w:w="15" w:type="dxa"/>
              <w:left w:w="15" w:type="dxa"/>
              <w:right w:w="15" w:type="dxa"/>
            </w:tcMar>
            <w:vAlign w:val="center"/>
          </w:tcPr>
          <w:p w14:paraId="12B32751" w14:textId="0E04E981" w:rsidR="511A0799" w:rsidRPr="00606956" w:rsidRDefault="511A0799" w:rsidP="000A5389">
            <w:pPr>
              <w:spacing w:line="240" w:lineRule="auto"/>
              <w:jc w:val="center"/>
              <w:rPr>
                <w:rFonts w:cs="Times New Roman"/>
                <w:sz w:val="16"/>
                <w:szCs w:val="16"/>
              </w:rPr>
            </w:pPr>
            <w:r w:rsidRPr="00606956">
              <w:rPr>
                <w:rFonts w:eastAsia="Times New Roman" w:cs="Times New Roman"/>
                <w:color w:val="000000" w:themeColor="text1"/>
                <w:sz w:val="16"/>
                <w:szCs w:val="16"/>
              </w:rPr>
              <w:t>N/A</w:t>
            </w:r>
          </w:p>
        </w:tc>
      </w:tr>
      <w:tr w:rsidR="511A0799" w:rsidRPr="00606956" w14:paraId="3D155C2F" w14:textId="77777777" w:rsidTr="0071107B">
        <w:trPr>
          <w:trHeight w:val="1138"/>
        </w:trPr>
        <w:tc>
          <w:tcPr>
            <w:tcW w:w="1432" w:type="pct"/>
            <w:shd w:val="clear" w:color="auto" w:fill="FFFFFF" w:themeFill="background1"/>
            <w:tcMar>
              <w:top w:w="15" w:type="dxa"/>
              <w:left w:w="15" w:type="dxa"/>
              <w:right w:w="15" w:type="dxa"/>
            </w:tcMar>
            <w:vAlign w:val="center"/>
          </w:tcPr>
          <w:p w14:paraId="44EC51C0" w14:textId="4510121D" w:rsidR="511A0799" w:rsidRPr="00606956" w:rsidRDefault="00AE1B3C" w:rsidP="000A5389">
            <w:pPr>
              <w:spacing w:line="240" w:lineRule="auto"/>
              <w:rPr>
                <w:rFonts w:cs="Times New Roman"/>
                <w:sz w:val="16"/>
                <w:szCs w:val="16"/>
              </w:rPr>
            </w:pPr>
            <w:r w:rsidRPr="00606956">
              <w:rPr>
                <w:rFonts w:eastAsia="Times New Roman" w:cs="Times New Roman"/>
                <w:color w:val="000000" w:themeColor="text1"/>
                <w:sz w:val="16"/>
                <w:szCs w:val="16"/>
              </w:rPr>
              <w:t>Juan Guillermo Ramírez Acevedo</w:t>
            </w:r>
          </w:p>
        </w:tc>
        <w:tc>
          <w:tcPr>
            <w:tcW w:w="538" w:type="pct"/>
            <w:shd w:val="clear" w:color="auto" w:fill="FFFFFF" w:themeFill="background1"/>
            <w:tcMar>
              <w:top w:w="15" w:type="dxa"/>
              <w:left w:w="15" w:type="dxa"/>
              <w:right w:w="15" w:type="dxa"/>
            </w:tcMar>
            <w:vAlign w:val="center"/>
          </w:tcPr>
          <w:p w14:paraId="3BB5E1E0" w14:textId="35B83422" w:rsidR="511A0799" w:rsidRPr="00606956" w:rsidRDefault="511A0799" w:rsidP="000A5389">
            <w:pPr>
              <w:spacing w:line="240" w:lineRule="auto"/>
              <w:jc w:val="right"/>
              <w:rPr>
                <w:rFonts w:cs="Times New Roman"/>
                <w:sz w:val="16"/>
                <w:szCs w:val="16"/>
              </w:rPr>
            </w:pPr>
            <w:r w:rsidRPr="00606956">
              <w:rPr>
                <w:rFonts w:eastAsia="Times New Roman" w:cs="Times New Roman"/>
                <w:color w:val="000000" w:themeColor="text1"/>
                <w:sz w:val="16"/>
                <w:szCs w:val="16"/>
              </w:rPr>
              <w:t>144.539.646</w:t>
            </w:r>
          </w:p>
        </w:tc>
        <w:tc>
          <w:tcPr>
            <w:tcW w:w="356" w:type="pct"/>
            <w:shd w:val="clear" w:color="auto" w:fill="FFFFFF" w:themeFill="background1"/>
            <w:tcMar>
              <w:top w:w="15" w:type="dxa"/>
              <w:left w:w="15" w:type="dxa"/>
              <w:right w:w="15" w:type="dxa"/>
            </w:tcMar>
            <w:vAlign w:val="center"/>
          </w:tcPr>
          <w:p w14:paraId="15A6D578" w14:textId="50E0C0E9" w:rsidR="511A0799" w:rsidRPr="00606956" w:rsidRDefault="511A0799" w:rsidP="000A5389">
            <w:pPr>
              <w:spacing w:line="240" w:lineRule="auto"/>
              <w:jc w:val="center"/>
              <w:rPr>
                <w:rFonts w:cs="Times New Roman"/>
                <w:sz w:val="16"/>
                <w:szCs w:val="16"/>
              </w:rPr>
            </w:pPr>
            <w:r w:rsidRPr="00606956">
              <w:rPr>
                <w:rFonts w:eastAsia="Times New Roman" w:cs="Times New Roman"/>
                <w:color w:val="000000" w:themeColor="text1"/>
                <w:sz w:val="16"/>
                <w:szCs w:val="16"/>
              </w:rPr>
              <w:t>1</w:t>
            </w:r>
          </w:p>
        </w:tc>
        <w:tc>
          <w:tcPr>
            <w:tcW w:w="322" w:type="pct"/>
            <w:shd w:val="clear" w:color="auto" w:fill="FFFFFF" w:themeFill="background1"/>
            <w:tcMar>
              <w:top w:w="15" w:type="dxa"/>
              <w:left w:w="15" w:type="dxa"/>
              <w:right w:w="15" w:type="dxa"/>
            </w:tcMar>
            <w:vAlign w:val="center"/>
          </w:tcPr>
          <w:p w14:paraId="681FD239" w14:textId="5F7D45DD" w:rsidR="511A0799" w:rsidRPr="00606956" w:rsidRDefault="511A0799" w:rsidP="000A5389">
            <w:pPr>
              <w:spacing w:line="240" w:lineRule="auto"/>
              <w:jc w:val="center"/>
              <w:rPr>
                <w:rFonts w:cs="Times New Roman"/>
                <w:sz w:val="16"/>
                <w:szCs w:val="16"/>
              </w:rPr>
            </w:pPr>
            <w:r w:rsidRPr="00606956">
              <w:rPr>
                <w:rFonts w:eastAsia="Times New Roman" w:cs="Times New Roman"/>
                <w:color w:val="000000" w:themeColor="text1"/>
                <w:sz w:val="16"/>
                <w:szCs w:val="16"/>
              </w:rPr>
              <w:t xml:space="preserve"> 10</w:t>
            </w:r>
          </w:p>
        </w:tc>
        <w:tc>
          <w:tcPr>
            <w:tcW w:w="1919" w:type="pct"/>
            <w:shd w:val="clear" w:color="auto" w:fill="FFFFFF" w:themeFill="background1"/>
            <w:tcMar>
              <w:top w:w="15" w:type="dxa"/>
              <w:left w:w="15" w:type="dxa"/>
              <w:right w:w="15" w:type="dxa"/>
            </w:tcMar>
            <w:vAlign w:val="bottom"/>
          </w:tcPr>
          <w:p w14:paraId="211C6788" w14:textId="035FD662" w:rsidR="511A0799" w:rsidRPr="00606956" w:rsidRDefault="511A0799" w:rsidP="000A5389">
            <w:pPr>
              <w:spacing w:line="240" w:lineRule="auto"/>
              <w:rPr>
                <w:rFonts w:eastAsia="Times New Roman" w:cs="Times New Roman"/>
                <w:color w:val="000000" w:themeColor="text1"/>
                <w:sz w:val="16"/>
                <w:szCs w:val="16"/>
              </w:rPr>
            </w:pPr>
            <w:r w:rsidRPr="00606956">
              <w:rPr>
                <w:rFonts w:eastAsia="Times New Roman" w:cs="Times New Roman"/>
                <w:color w:val="000000" w:themeColor="text1"/>
                <w:sz w:val="16"/>
                <w:szCs w:val="16"/>
              </w:rPr>
              <w:t>Mediante Radicado ANI No. 20267010045073 de Fecha 17-02-2026, el GIT de Defensa Judicial informo; que el Rad: 76001310500920200027800 con Ekogui: 2152438 se encuentra en estado terminado con sentencia de segunda instancia desfavorable y ejecutoriada de fecha 17 de julio de 2025</w:t>
            </w:r>
          </w:p>
        </w:tc>
        <w:tc>
          <w:tcPr>
            <w:tcW w:w="434" w:type="pct"/>
            <w:shd w:val="clear" w:color="auto" w:fill="FFFFFF" w:themeFill="background1"/>
            <w:tcMar>
              <w:top w:w="15" w:type="dxa"/>
              <w:left w:w="15" w:type="dxa"/>
              <w:right w:w="15" w:type="dxa"/>
            </w:tcMar>
            <w:vAlign w:val="center"/>
          </w:tcPr>
          <w:p w14:paraId="181E2214" w14:textId="558C20FE" w:rsidR="511A0799" w:rsidRPr="00606956" w:rsidRDefault="511A0799" w:rsidP="000A5389">
            <w:pPr>
              <w:spacing w:line="240" w:lineRule="auto"/>
              <w:jc w:val="center"/>
              <w:rPr>
                <w:rFonts w:cs="Times New Roman"/>
                <w:sz w:val="16"/>
                <w:szCs w:val="16"/>
              </w:rPr>
            </w:pPr>
            <w:r w:rsidRPr="00606956">
              <w:rPr>
                <w:rFonts w:eastAsia="Times New Roman" w:cs="Times New Roman"/>
                <w:color w:val="000000" w:themeColor="text1"/>
                <w:sz w:val="16"/>
                <w:szCs w:val="16"/>
              </w:rPr>
              <w:t>N/A</w:t>
            </w:r>
          </w:p>
        </w:tc>
      </w:tr>
      <w:tr w:rsidR="511A0799" w:rsidRPr="00606956" w14:paraId="283E0C3E" w14:textId="77777777" w:rsidTr="0071107B">
        <w:trPr>
          <w:trHeight w:val="1586"/>
        </w:trPr>
        <w:tc>
          <w:tcPr>
            <w:tcW w:w="1432" w:type="pct"/>
            <w:shd w:val="clear" w:color="auto" w:fill="FFFFFF" w:themeFill="background1"/>
            <w:tcMar>
              <w:top w:w="15" w:type="dxa"/>
              <w:left w:w="15" w:type="dxa"/>
              <w:right w:w="15" w:type="dxa"/>
            </w:tcMar>
            <w:vAlign w:val="center"/>
          </w:tcPr>
          <w:p w14:paraId="139D4BF9" w14:textId="6B96F14C" w:rsidR="511A0799" w:rsidRPr="00606956" w:rsidRDefault="00AE1B3C" w:rsidP="000A5389">
            <w:pPr>
              <w:spacing w:line="240" w:lineRule="auto"/>
              <w:rPr>
                <w:rFonts w:cs="Times New Roman"/>
                <w:sz w:val="16"/>
                <w:szCs w:val="16"/>
              </w:rPr>
            </w:pPr>
            <w:r w:rsidRPr="00606956">
              <w:rPr>
                <w:rFonts w:eastAsia="Times New Roman" w:cs="Times New Roman"/>
                <w:color w:val="000000" w:themeColor="text1"/>
                <w:sz w:val="16"/>
                <w:szCs w:val="16"/>
              </w:rPr>
              <w:lastRenderedPageBreak/>
              <w:t>Claudia Alexandra Pérez Pérez</w:t>
            </w:r>
          </w:p>
        </w:tc>
        <w:tc>
          <w:tcPr>
            <w:tcW w:w="538" w:type="pct"/>
            <w:shd w:val="clear" w:color="auto" w:fill="FFFFFF" w:themeFill="background1"/>
            <w:tcMar>
              <w:top w:w="15" w:type="dxa"/>
              <w:left w:w="15" w:type="dxa"/>
              <w:right w:w="15" w:type="dxa"/>
            </w:tcMar>
            <w:vAlign w:val="center"/>
          </w:tcPr>
          <w:p w14:paraId="5634CD50" w14:textId="23D74F94" w:rsidR="511A0799" w:rsidRPr="00606956" w:rsidRDefault="511A0799" w:rsidP="000A5389">
            <w:pPr>
              <w:spacing w:line="240" w:lineRule="auto"/>
              <w:jc w:val="right"/>
              <w:rPr>
                <w:rFonts w:cs="Times New Roman"/>
                <w:sz w:val="16"/>
                <w:szCs w:val="16"/>
              </w:rPr>
            </w:pPr>
            <w:r w:rsidRPr="00606956">
              <w:rPr>
                <w:rFonts w:eastAsia="Times New Roman" w:cs="Times New Roman"/>
                <w:color w:val="000000" w:themeColor="text1"/>
                <w:sz w:val="16"/>
                <w:szCs w:val="16"/>
              </w:rPr>
              <w:t>78.292.500</w:t>
            </w:r>
          </w:p>
        </w:tc>
        <w:tc>
          <w:tcPr>
            <w:tcW w:w="356" w:type="pct"/>
            <w:shd w:val="clear" w:color="auto" w:fill="FFFFFF" w:themeFill="background1"/>
            <w:tcMar>
              <w:top w:w="15" w:type="dxa"/>
              <w:left w:w="15" w:type="dxa"/>
              <w:right w:w="15" w:type="dxa"/>
            </w:tcMar>
            <w:vAlign w:val="center"/>
          </w:tcPr>
          <w:p w14:paraId="392E0978" w14:textId="0A36C131" w:rsidR="511A0799" w:rsidRPr="00606956" w:rsidRDefault="511A0799" w:rsidP="000A5389">
            <w:pPr>
              <w:spacing w:line="240" w:lineRule="auto"/>
              <w:jc w:val="center"/>
              <w:rPr>
                <w:rFonts w:cs="Times New Roman"/>
                <w:sz w:val="16"/>
                <w:szCs w:val="16"/>
              </w:rPr>
            </w:pPr>
            <w:r w:rsidRPr="00606956">
              <w:rPr>
                <w:rFonts w:eastAsia="Times New Roman" w:cs="Times New Roman"/>
                <w:color w:val="000000" w:themeColor="text1"/>
                <w:sz w:val="16"/>
                <w:szCs w:val="16"/>
              </w:rPr>
              <w:t>1</w:t>
            </w:r>
          </w:p>
        </w:tc>
        <w:tc>
          <w:tcPr>
            <w:tcW w:w="322" w:type="pct"/>
            <w:shd w:val="clear" w:color="auto" w:fill="FFFFFF" w:themeFill="background1"/>
            <w:tcMar>
              <w:top w:w="15" w:type="dxa"/>
              <w:left w:w="15" w:type="dxa"/>
              <w:right w:w="15" w:type="dxa"/>
            </w:tcMar>
            <w:vAlign w:val="center"/>
          </w:tcPr>
          <w:p w14:paraId="7D19C2E2" w14:textId="42F97412" w:rsidR="511A0799" w:rsidRPr="00606956" w:rsidRDefault="511A0799" w:rsidP="000A5389">
            <w:pPr>
              <w:spacing w:line="240" w:lineRule="auto"/>
              <w:jc w:val="center"/>
              <w:rPr>
                <w:rFonts w:cs="Times New Roman"/>
                <w:sz w:val="16"/>
                <w:szCs w:val="16"/>
              </w:rPr>
            </w:pPr>
            <w:r w:rsidRPr="00606956">
              <w:rPr>
                <w:rFonts w:eastAsia="Times New Roman" w:cs="Times New Roman"/>
                <w:color w:val="000000" w:themeColor="text1"/>
                <w:sz w:val="16"/>
                <w:szCs w:val="16"/>
              </w:rPr>
              <w:t>10</w:t>
            </w:r>
          </w:p>
        </w:tc>
        <w:tc>
          <w:tcPr>
            <w:tcW w:w="1919" w:type="pct"/>
            <w:shd w:val="clear" w:color="auto" w:fill="FFFFFF" w:themeFill="background1"/>
            <w:tcMar>
              <w:top w:w="15" w:type="dxa"/>
              <w:left w:w="15" w:type="dxa"/>
              <w:right w:w="15" w:type="dxa"/>
            </w:tcMar>
            <w:vAlign w:val="bottom"/>
          </w:tcPr>
          <w:p w14:paraId="4565D118" w14:textId="04B9B4EE" w:rsidR="511A0799" w:rsidRPr="00606956" w:rsidRDefault="511A0799" w:rsidP="000A5389">
            <w:pPr>
              <w:spacing w:line="240" w:lineRule="auto"/>
              <w:rPr>
                <w:rFonts w:eastAsia="Times New Roman" w:cs="Times New Roman"/>
                <w:color w:val="000000" w:themeColor="text1"/>
                <w:sz w:val="16"/>
                <w:szCs w:val="16"/>
              </w:rPr>
            </w:pPr>
            <w:r w:rsidRPr="00606956">
              <w:rPr>
                <w:rFonts w:eastAsia="Times New Roman" w:cs="Times New Roman"/>
                <w:color w:val="000000" w:themeColor="text1"/>
                <w:sz w:val="16"/>
                <w:szCs w:val="16"/>
              </w:rPr>
              <w:t xml:space="preserve">Reconocimiento crédito Judicial conforme al Rad. ANI 20257010150223 de fecha 22-08-2025 informado por el GIT de Defensa Judicial y correo de alcance del </w:t>
            </w:r>
            <w:r w:rsidR="00AE1B3C" w:rsidRPr="00606956">
              <w:rPr>
                <w:rFonts w:eastAsia="Times New Roman" w:cs="Times New Roman"/>
                <w:color w:val="000000" w:themeColor="text1"/>
                <w:sz w:val="16"/>
                <w:szCs w:val="16"/>
              </w:rPr>
              <w:t>día</w:t>
            </w:r>
            <w:r w:rsidRPr="00606956">
              <w:rPr>
                <w:rFonts w:eastAsia="Times New Roman" w:cs="Times New Roman"/>
                <w:color w:val="000000" w:themeColor="text1"/>
                <w:sz w:val="16"/>
                <w:szCs w:val="16"/>
              </w:rPr>
              <w:t xml:space="preserve"> 19-09-2025 dentro del proceso judicial con radicado 68001333301420170034400 con Ekogui:1232622 con </w:t>
            </w:r>
            <w:r w:rsidR="00AE1B3C" w:rsidRPr="00606956">
              <w:rPr>
                <w:rFonts w:eastAsia="Times New Roman" w:cs="Times New Roman"/>
                <w:color w:val="000000" w:themeColor="text1"/>
                <w:sz w:val="16"/>
                <w:szCs w:val="16"/>
              </w:rPr>
              <w:t>sentencia</w:t>
            </w:r>
            <w:r w:rsidRPr="00606956">
              <w:rPr>
                <w:rFonts w:eastAsia="Times New Roman" w:cs="Times New Roman"/>
                <w:color w:val="000000" w:themeColor="text1"/>
                <w:sz w:val="16"/>
                <w:szCs w:val="16"/>
              </w:rPr>
              <w:t xml:space="preserve"> de Segunda instancia del cinco (05) de diciembre del dos mil veinticuatro (2024) proferida por el TRIBUNAL ADMINISTRATIVO DE SANTANDER con Fecha de Ejecutoria: 15/07/2025.</w:t>
            </w:r>
          </w:p>
        </w:tc>
        <w:tc>
          <w:tcPr>
            <w:tcW w:w="434" w:type="pct"/>
            <w:shd w:val="clear" w:color="auto" w:fill="FFFFFF" w:themeFill="background1"/>
            <w:tcMar>
              <w:top w:w="15" w:type="dxa"/>
              <w:left w:w="15" w:type="dxa"/>
              <w:right w:w="15" w:type="dxa"/>
            </w:tcMar>
            <w:vAlign w:val="center"/>
          </w:tcPr>
          <w:p w14:paraId="23AE0272" w14:textId="330F2071" w:rsidR="511A0799" w:rsidRPr="00606956" w:rsidRDefault="511A0799" w:rsidP="000A5389">
            <w:pPr>
              <w:spacing w:line="240" w:lineRule="auto"/>
              <w:jc w:val="center"/>
              <w:rPr>
                <w:rFonts w:cs="Times New Roman"/>
                <w:sz w:val="16"/>
                <w:szCs w:val="16"/>
              </w:rPr>
            </w:pPr>
            <w:r w:rsidRPr="00606956">
              <w:rPr>
                <w:rFonts w:eastAsia="Times New Roman" w:cs="Times New Roman"/>
                <w:color w:val="000000" w:themeColor="text1"/>
                <w:sz w:val="16"/>
                <w:szCs w:val="16"/>
              </w:rPr>
              <w:t>N/A</w:t>
            </w:r>
          </w:p>
        </w:tc>
      </w:tr>
      <w:tr w:rsidR="511A0799" w:rsidRPr="00606956" w14:paraId="416C40BC" w14:textId="77777777" w:rsidTr="0071107B">
        <w:trPr>
          <w:trHeight w:val="1186"/>
        </w:trPr>
        <w:tc>
          <w:tcPr>
            <w:tcW w:w="1432" w:type="pct"/>
            <w:shd w:val="clear" w:color="auto" w:fill="FFFFFF" w:themeFill="background1"/>
            <w:tcMar>
              <w:top w:w="15" w:type="dxa"/>
              <w:left w:w="15" w:type="dxa"/>
              <w:right w:w="15" w:type="dxa"/>
            </w:tcMar>
            <w:vAlign w:val="center"/>
          </w:tcPr>
          <w:p w14:paraId="4EEC1F8F" w14:textId="47BC7141" w:rsidR="511A0799" w:rsidRPr="00606956" w:rsidRDefault="00AE1B3C" w:rsidP="000A5389">
            <w:pPr>
              <w:spacing w:line="240" w:lineRule="auto"/>
              <w:rPr>
                <w:rFonts w:cs="Times New Roman"/>
                <w:sz w:val="16"/>
                <w:szCs w:val="16"/>
              </w:rPr>
            </w:pPr>
            <w:r w:rsidRPr="00606956">
              <w:rPr>
                <w:rFonts w:eastAsia="Times New Roman" w:cs="Times New Roman"/>
                <w:color w:val="000000" w:themeColor="text1"/>
                <w:sz w:val="16"/>
                <w:szCs w:val="16"/>
              </w:rPr>
              <w:t>Luis Alberto Villamizar Rios</w:t>
            </w:r>
          </w:p>
        </w:tc>
        <w:tc>
          <w:tcPr>
            <w:tcW w:w="538" w:type="pct"/>
            <w:shd w:val="clear" w:color="auto" w:fill="FFFFFF" w:themeFill="background1"/>
            <w:tcMar>
              <w:top w:w="15" w:type="dxa"/>
              <w:left w:w="15" w:type="dxa"/>
              <w:right w:w="15" w:type="dxa"/>
            </w:tcMar>
            <w:vAlign w:val="center"/>
          </w:tcPr>
          <w:p w14:paraId="7FE5445A" w14:textId="06E9B9BF" w:rsidR="511A0799" w:rsidRPr="00606956" w:rsidRDefault="511A0799" w:rsidP="000A5389">
            <w:pPr>
              <w:spacing w:line="240" w:lineRule="auto"/>
              <w:jc w:val="right"/>
              <w:rPr>
                <w:rFonts w:cs="Times New Roman"/>
                <w:sz w:val="16"/>
                <w:szCs w:val="16"/>
              </w:rPr>
            </w:pPr>
            <w:r w:rsidRPr="00606956">
              <w:rPr>
                <w:rFonts w:eastAsia="Times New Roman" w:cs="Times New Roman"/>
                <w:color w:val="000000" w:themeColor="text1"/>
                <w:sz w:val="16"/>
                <w:szCs w:val="16"/>
              </w:rPr>
              <w:t>71.512.942</w:t>
            </w:r>
          </w:p>
        </w:tc>
        <w:tc>
          <w:tcPr>
            <w:tcW w:w="356" w:type="pct"/>
            <w:shd w:val="clear" w:color="auto" w:fill="FFFFFF" w:themeFill="background1"/>
            <w:tcMar>
              <w:top w:w="15" w:type="dxa"/>
              <w:left w:w="15" w:type="dxa"/>
              <w:right w:w="15" w:type="dxa"/>
            </w:tcMar>
            <w:vAlign w:val="center"/>
          </w:tcPr>
          <w:p w14:paraId="01D64DB6" w14:textId="57D651B7" w:rsidR="511A0799" w:rsidRPr="00606956" w:rsidRDefault="511A0799" w:rsidP="000A5389">
            <w:pPr>
              <w:spacing w:line="240" w:lineRule="auto"/>
              <w:jc w:val="center"/>
              <w:rPr>
                <w:rFonts w:cs="Times New Roman"/>
                <w:sz w:val="16"/>
                <w:szCs w:val="16"/>
              </w:rPr>
            </w:pPr>
            <w:r w:rsidRPr="00606956">
              <w:rPr>
                <w:rFonts w:eastAsia="Times New Roman" w:cs="Times New Roman"/>
                <w:color w:val="000000" w:themeColor="text1"/>
                <w:sz w:val="16"/>
                <w:szCs w:val="16"/>
              </w:rPr>
              <w:t>1</w:t>
            </w:r>
          </w:p>
        </w:tc>
        <w:tc>
          <w:tcPr>
            <w:tcW w:w="322" w:type="pct"/>
            <w:shd w:val="clear" w:color="auto" w:fill="FFFFFF" w:themeFill="background1"/>
            <w:tcMar>
              <w:top w:w="15" w:type="dxa"/>
              <w:left w:w="15" w:type="dxa"/>
              <w:right w:w="15" w:type="dxa"/>
            </w:tcMar>
            <w:vAlign w:val="center"/>
          </w:tcPr>
          <w:p w14:paraId="78E8843C" w14:textId="21CB1DE7" w:rsidR="511A0799" w:rsidRPr="00606956" w:rsidRDefault="511A0799" w:rsidP="000A5389">
            <w:pPr>
              <w:spacing w:line="240" w:lineRule="auto"/>
              <w:jc w:val="center"/>
              <w:rPr>
                <w:rFonts w:cs="Times New Roman"/>
                <w:sz w:val="16"/>
                <w:szCs w:val="16"/>
              </w:rPr>
            </w:pPr>
            <w:r w:rsidRPr="00606956">
              <w:rPr>
                <w:rFonts w:eastAsia="Times New Roman" w:cs="Times New Roman"/>
                <w:color w:val="000000" w:themeColor="text1"/>
                <w:sz w:val="16"/>
                <w:szCs w:val="16"/>
              </w:rPr>
              <w:t xml:space="preserve"> 10</w:t>
            </w:r>
          </w:p>
        </w:tc>
        <w:tc>
          <w:tcPr>
            <w:tcW w:w="1919" w:type="pct"/>
            <w:shd w:val="clear" w:color="auto" w:fill="FFFFFF" w:themeFill="background1"/>
            <w:tcMar>
              <w:top w:w="15" w:type="dxa"/>
              <w:left w:w="15" w:type="dxa"/>
              <w:right w:w="15" w:type="dxa"/>
            </w:tcMar>
            <w:vAlign w:val="bottom"/>
          </w:tcPr>
          <w:p w14:paraId="35CF136E" w14:textId="1637F921" w:rsidR="511A0799" w:rsidRPr="00606956" w:rsidRDefault="511A0799" w:rsidP="000A5389">
            <w:pPr>
              <w:spacing w:line="240" w:lineRule="auto"/>
              <w:rPr>
                <w:rFonts w:eastAsia="Times New Roman" w:cs="Times New Roman"/>
                <w:color w:val="000000" w:themeColor="text1"/>
                <w:sz w:val="16"/>
                <w:szCs w:val="16"/>
              </w:rPr>
            </w:pPr>
            <w:r w:rsidRPr="00606956">
              <w:rPr>
                <w:rFonts w:eastAsia="Times New Roman" w:cs="Times New Roman"/>
                <w:color w:val="000000" w:themeColor="text1"/>
                <w:sz w:val="16"/>
                <w:szCs w:val="16"/>
              </w:rPr>
              <w:t>Mediante Radicado ANI No. 20267010045073 de Fecha 17-02-2026, el GIT de Defensa Judicial informo; que el Rad: 68001310500120170035700 con Ekogui: 2155030 se encuentra en estado terminado con sentencia de segunda instancia desfavorable y ejecutoriada de fecha 04 septiembre de 2023</w:t>
            </w:r>
          </w:p>
        </w:tc>
        <w:tc>
          <w:tcPr>
            <w:tcW w:w="434" w:type="pct"/>
            <w:shd w:val="clear" w:color="auto" w:fill="FFFFFF" w:themeFill="background1"/>
            <w:tcMar>
              <w:top w:w="15" w:type="dxa"/>
              <w:left w:w="15" w:type="dxa"/>
              <w:right w:w="15" w:type="dxa"/>
            </w:tcMar>
            <w:vAlign w:val="center"/>
          </w:tcPr>
          <w:p w14:paraId="59CC3806" w14:textId="045C2336" w:rsidR="511A0799" w:rsidRPr="00606956" w:rsidRDefault="511A0799" w:rsidP="000A5389">
            <w:pPr>
              <w:spacing w:line="240" w:lineRule="auto"/>
              <w:jc w:val="center"/>
              <w:rPr>
                <w:rFonts w:cs="Times New Roman"/>
                <w:sz w:val="16"/>
                <w:szCs w:val="16"/>
              </w:rPr>
            </w:pPr>
            <w:r w:rsidRPr="00606956">
              <w:rPr>
                <w:rFonts w:eastAsia="Times New Roman" w:cs="Times New Roman"/>
                <w:color w:val="000000" w:themeColor="text1"/>
                <w:sz w:val="16"/>
                <w:szCs w:val="16"/>
              </w:rPr>
              <w:t xml:space="preserve"> </w:t>
            </w:r>
          </w:p>
        </w:tc>
      </w:tr>
      <w:tr w:rsidR="511A0799" w:rsidRPr="00606956" w14:paraId="52259296" w14:textId="77777777" w:rsidTr="0071107B">
        <w:trPr>
          <w:trHeight w:val="1143"/>
        </w:trPr>
        <w:tc>
          <w:tcPr>
            <w:tcW w:w="1432" w:type="pct"/>
            <w:shd w:val="clear" w:color="auto" w:fill="FFFFFF" w:themeFill="background1"/>
            <w:tcMar>
              <w:top w:w="15" w:type="dxa"/>
              <w:left w:w="15" w:type="dxa"/>
              <w:right w:w="15" w:type="dxa"/>
            </w:tcMar>
            <w:vAlign w:val="center"/>
          </w:tcPr>
          <w:p w14:paraId="369C5C02" w14:textId="1085EC24" w:rsidR="511A0799" w:rsidRPr="00606956" w:rsidRDefault="00AE1B3C" w:rsidP="000A5389">
            <w:pPr>
              <w:spacing w:line="240" w:lineRule="auto"/>
              <w:rPr>
                <w:rFonts w:cs="Times New Roman"/>
                <w:sz w:val="16"/>
                <w:szCs w:val="16"/>
              </w:rPr>
            </w:pPr>
            <w:r w:rsidRPr="00606956">
              <w:rPr>
                <w:rFonts w:eastAsia="Times New Roman" w:cs="Times New Roman"/>
                <w:color w:val="000000" w:themeColor="text1"/>
                <w:sz w:val="16"/>
                <w:szCs w:val="16"/>
              </w:rPr>
              <w:t>Juan Pablo Urbano Muñoz</w:t>
            </w:r>
          </w:p>
        </w:tc>
        <w:tc>
          <w:tcPr>
            <w:tcW w:w="538" w:type="pct"/>
            <w:shd w:val="clear" w:color="auto" w:fill="FFFFFF" w:themeFill="background1"/>
            <w:tcMar>
              <w:top w:w="15" w:type="dxa"/>
              <w:left w:w="15" w:type="dxa"/>
              <w:right w:w="15" w:type="dxa"/>
            </w:tcMar>
            <w:vAlign w:val="center"/>
          </w:tcPr>
          <w:p w14:paraId="2AD33415" w14:textId="59ADA2D7" w:rsidR="511A0799" w:rsidRPr="00606956" w:rsidRDefault="511A0799" w:rsidP="000A5389">
            <w:pPr>
              <w:spacing w:line="240" w:lineRule="auto"/>
              <w:jc w:val="right"/>
              <w:rPr>
                <w:rFonts w:cs="Times New Roman"/>
                <w:sz w:val="16"/>
                <w:szCs w:val="16"/>
              </w:rPr>
            </w:pPr>
            <w:r w:rsidRPr="00606956">
              <w:rPr>
                <w:rFonts w:eastAsia="Times New Roman" w:cs="Times New Roman"/>
                <w:color w:val="000000" w:themeColor="text1"/>
                <w:sz w:val="16"/>
                <w:szCs w:val="16"/>
              </w:rPr>
              <w:t>51.427.225</w:t>
            </w:r>
          </w:p>
        </w:tc>
        <w:tc>
          <w:tcPr>
            <w:tcW w:w="356" w:type="pct"/>
            <w:shd w:val="clear" w:color="auto" w:fill="FFFFFF" w:themeFill="background1"/>
            <w:tcMar>
              <w:top w:w="15" w:type="dxa"/>
              <w:left w:w="15" w:type="dxa"/>
              <w:right w:w="15" w:type="dxa"/>
            </w:tcMar>
            <w:vAlign w:val="center"/>
          </w:tcPr>
          <w:p w14:paraId="2236D8D3" w14:textId="24327670" w:rsidR="511A0799" w:rsidRPr="00606956" w:rsidRDefault="511A0799" w:rsidP="000A5389">
            <w:pPr>
              <w:spacing w:line="240" w:lineRule="auto"/>
              <w:jc w:val="center"/>
              <w:rPr>
                <w:rFonts w:cs="Times New Roman"/>
                <w:sz w:val="16"/>
                <w:szCs w:val="16"/>
              </w:rPr>
            </w:pPr>
            <w:r w:rsidRPr="00606956">
              <w:rPr>
                <w:rFonts w:eastAsia="Times New Roman" w:cs="Times New Roman"/>
                <w:color w:val="000000" w:themeColor="text1"/>
                <w:sz w:val="16"/>
                <w:szCs w:val="16"/>
              </w:rPr>
              <w:t>1</w:t>
            </w:r>
          </w:p>
        </w:tc>
        <w:tc>
          <w:tcPr>
            <w:tcW w:w="322" w:type="pct"/>
            <w:shd w:val="clear" w:color="auto" w:fill="FFFFFF" w:themeFill="background1"/>
            <w:tcMar>
              <w:top w:w="15" w:type="dxa"/>
              <w:left w:w="15" w:type="dxa"/>
              <w:right w:w="15" w:type="dxa"/>
            </w:tcMar>
            <w:vAlign w:val="center"/>
          </w:tcPr>
          <w:p w14:paraId="3C68634C" w14:textId="1198B6B2" w:rsidR="511A0799" w:rsidRPr="00606956" w:rsidRDefault="511A0799" w:rsidP="000A5389">
            <w:pPr>
              <w:spacing w:line="240" w:lineRule="auto"/>
              <w:jc w:val="center"/>
              <w:rPr>
                <w:rFonts w:cs="Times New Roman"/>
                <w:sz w:val="16"/>
                <w:szCs w:val="16"/>
              </w:rPr>
            </w:pPr>
            <w:r w:rsidRPr="00606956">
              <w:rPr>
                <w:rFonts w:eastAsia="Times New Roman" w:cs="Times New Roman"/>
                <w:color w:val="000000" w:themeColor="text1"/>
                <w:sz w:val="16"/>
                <w:szCs w:val="16"/>
              </w:rPr>
              <w:t>10</w:t>
            </w:r>
          </w:p>
        </w:tc>
        <w:tc>
          <w:tcPr>
            <w:tcW w:w="1919" w:type="pct"/>
            <w:shd w:val="clear" w:color="auto" w:fill="FFFFFF" w:themeFill="background1"/>
            <w:tcMar>
              <w:top w:w="15" w:type="dxa"/>
              <w:left w:w="15" w:type="dxa"/>
              <w:right w:w="15" w:type="dxa"/>
            </w:tcMar>
            <w:vAlign w:val="bottom"/>
          </w:tcPr>
          <w:p w14:paraId="174B0D9B" w14:textId="33A88E6C" w:rsidR="511A0799" w:rsidRPr="00606956" w:rsidRDefault="511A0799" w:rsidP="000A5389">
            <w:pPr>
              <w:spacing w:line="240" w:lineRule="auto"/>
              <w:rPr>
                <w:rFonts w:eastAsia="Times New Roman" w:cs="Times New Roman"/>
                <w:color w:val="000000" w:themeColor="text1"/>
                <w:sz w:val="16"/>
                <w:szCs w:val="16"/>
              </w:rPr>
            </w:pPr>
            <w:r w:rsidRPr="00606956">
              <w:rPr>
                <w:rFonts w:eastAsia="Times New Roman" w:cs="Times New Roman"/>
                <w:color w:val="000000" w:themeColor="text1"/>
                <w:sz w:val="16"/>
                <w:szCs w:val="16"/>
              </w:rPr>
              <w:t>Mediante Radicado ANI No. 20267010045073 de Fecha 17-02-2026, el GIT de Defensa Judicial informo; que el Rad: 76001310501220200025600 Ekogui: 2143466 se encuentra en estado terminado con sentencia de segunda instancia desfavorable y ejecutoriada de fecha 04 de julio de 2025</w:t>
            </w:r>
          </w:p>
        </w:tc>
        <w:tc>
          <w:tcPr>
            <w:tcW w:w="434" w:type="pct"/>
            <w:shd w:val="clear" w:color="auto" w:fill="FFFFFF" w:themeFill="background1"/>
            <w:tcMar>
              <w:top w:w="15" w:type="dxa"/>
              <w:left w:w="15" w:type="dxa"/>
              <w:right w:w="15" w:type="dxa"/>
            </w:tcMar>
            <w:vAlign w:val="center"/>
          </w:tcPr>
          <w:p w14:paraId="15E9BD06" w14:textId="304829A2" w:rsidR="511A0799" w:rsidRPr="00606956" w:rsidRDefault="511A0799" w:rsidP="000A5389">
            <w:pPr>
              <w:spacing w:line="240" w:lineRule="auto"/>
              <w:jc w:val="center"/>
              <w:rPr>
                <w:rFonts w:cs="Times New Roman"/>
                <w:sz w:val="16"/>
                <w:szCs w:val="16"/>
              </w:rPr>
            </w:pPr>
            <w:r w:rsidRPr="00606956">
              <w:rPr>
                <w:rFonts w:eastAsia="Times New Roman" w:cs="Times New Roman"/>
                <w:color w:val="000000" w:themeColor="text1"/>
                <w:sz w:val="16"/>
                <w:szCs w:val="16"/>
              </w:rPr>
              <w:t>N/A</w:t>
            </w:r>
          </w:p>
        </w:tc>
      </w:tr>
      <w:tr w:rsidR="511A0799" w:rsidRPr="00606956" w14:paraId="1AF6C3EC" w14:textId="77777777" w:rsidTr="0071107B">
        <w:trPr>
          <w:trHeight w:val="2100"/>
        </w:trPr>
        <w:tc>
          <w:tcPr>
            <w:tcW w:w="1432" w:type="pct"/>
            <w:shd w:val="clear" w:color="auto" w:fill="FFFFFF" w:themeFill="background1"/>
            <w:tcMar>
              <w:top w:w="15" w:type="dxa"/>
              <w:left w:w="15" w:type="dxa"/>
              <w:right w:w="15" w:type="dxa"/>
            </w:tcMar>
            <w:vAlign w:val="center"/>
          </w:tcPr>
          <w:p w14:paraId="44C4E56A" w14:textId="0CA71D43" w:rsidR="511A0799" w:rsidRPr="00606956" w:rsidRDefault="00AE1B3C" w:rsidP="000A5389">
            <w:pPr>
              <w:spacing w:line="240" w:lineRule="auto"/>
              <w:rPr>
                <w:rFonts w:cs="Times New Roman"/>
                <w:sz w:val="16"/>
                <w:szCs w:val="16"/>
              </w:rPr>
            </w:pPr>
            <w:r w:rsidRPr="00606956">
              <w:rPr>
                <w:rFonts w:eastAsia="Times New Roman" w:cs="Times New Roman"/>
                <w:color w:val="000000" w:themeColor="text1"/>
                <w:sz w:val="16"/>
                <w:szCs w:val="16"/>
              </w:rPr>
              <w:t>Tren De Occidente Sa</w:t>
            </w:r>
          </w:p>
        </w:tc>
        <w:tc>
          <w:tcPr>
            <w:tcW w:w="538" w:type="pct"/>
            <w:shd w:val="clear" w:color="auto" w:fill="FFFFFF" w:themeFill="background1"/>
            <w:tcMar>
              <w:top w:w="15" w:type="dxa"/>
              <w:left w:w="15" w:type="dxa"/>
              <w:right w:w="15" w:type="dxa"/>
            </w:tcMar>
            <w:vAlign w:val="center"/>
          </w:tcPr>
          <w:p w14:paraId="5BA26189" w14:textId="528602B9" w:rsidR="511A0799" w:rsidRPr="00606956" w:rsidRDefault="511A0799" w:rsidP="000A5389">
            <w:pPr>
              <w:spacing w:line="240" w:lineRule="auto"/>
              <w:jc w:val="right"/>
              <w:rPr>
                <w:rFonts w:cs="Times New Roman"/>
                <w:sz w:val="16"/>
                <w:szCs w:val="16"/>
              </w:rPr>
            </w:pPr>
            <w:r w:rsidRPr="00606956">
              <w:rPr>
                <w:rFonts w:eastAsia="Times New Roman" w:cs="Times New Roman"/>
                <w:color w:val="000000" w:themeColor="text1"/>
                <w:sz w:val="16"/>
                <w:szCs w:val="16"/>
              </w:rPr>
              <w:t>4.000.000</w:t>
            </w:r>
          </w:p>
        </w:tc>
        <w:tc>
          <w:tcPr>
            <w:tcW w:w="356" w:type="pct"/>
            <w:shd w:val="clear" w:color="auto" w:fill="FFFFFF" w:themeFill="background1"/>
            <w:tcMar>
              <w:top w:w="15" w:type="dxa"/>
              <w:left w:w="15" w:type="dxa"/>
              <w:right w:w="15" w:type="dxa"/>
            </w:tcMar>
            <w:vAlign w:val="center"/>
          </w:tcPr>
          <w:p w14:paraId="7244410E" w14:textId="1FA4E5B1" w:rsidR="511A0799" w:rsidRPr="00606956" w:rsidRDefault="511A0799" w:rsidP="000A5389">
            <w:pPr>
              <w:spacing w:line="240" w:lineRule="auto"/>
              <w:jc w:val="center"/>
              <w:rPr>
                <w:rFonts w:cs="Times New Roman"/>
                <w:sz w:val="16"/>
                <w:szCs w:val="16"/>
              </w:rPr>
            </w:pPr>
            <w:r w:rsidRPr="00606956">
              <w:rPr>
                <w:rFonts w:eastAsia="Times New Roman" w:cs="Times New Roman"/>
                <w:color w:val="000000" w:themeColor="text1"/>
                <w:sz w:val="16"/>
                <w:szCs w:val="16"/>
              </w:rPr>
              <w:t>1</w:t>
            </w:r>
          </w:p>
        </w:tc>
        <w:tc>
          <w:tcPr>
            <w:tcW w:w="322" w:type="pct"/>
            <w:shd w:val="clear" w:color="auto" w:fill="FFFFFF" w:themeFill="background1"/>
            <w:tcMar>
              <w:top w:w="15" w:type="dxa"/>
              <w:left w:w="15" w:type="dxa"/>
              <w:right w:w="15" w:type="dxa"/>
            </w:tcMar>
            <w:vAlign w:val="center"/>
          </w:tcPr>
          <w:p w14:paraId="328FB6A9" w14:textId="7C5640CB" w:rsidR="511A0799" w:rsidRPr="00606956" w:rsidRDefault="511A0799" w:rsidP="000A5389">
            <w:pPr>
              <w:spacing w:line="240" w:lineRule="auto"/>
              <w:jc w:val="center"/>
              <w:rPr>
                <w:rFonts w:cs="Times New Roman"/>
                <w:sz w:val="16"/>
                <w:szCs w:val="16"/>
              </w:rPr>
            </w:pPr>
            <w:r w:rsidRPr="00606956">
              <w:rPr>
                <w:rFonts w:eastAsia="Times New Roman" w:cs="Times New Roman"/>
                <w:color w:val="000000" w:themeColor="text1"/>
                <w:sz w:val="16"/>
                <w:szCs w:val="16"/>
              </w:rPr>
              <w:t xml:space="preserve"> 10</w:t>
            </w:r>
          </w:p>
        </w:tc>
        <w:tc>
          <w:tcPr>
            <w:tcW w:w="1919" w:type="pct"/>
            <w:shd w:val="clear" w:color="auto" w:fill="FFFFFF" w:themeFill="background1"/>
            <w:tcMar>
              <w:top w:w="15" w:type="dxa"/>
              <w:left w:w="15" w:type="dxa"/>
              <w:right w:w="15" w:type="dxa"/>
            </w:tcMar>
            <w:vAlign w:val="bottom"/>
          </w:tcPr>
          <w:p w14:paraId="61B21968" w14:textId="1F9AD936" w:rsidR="511A0799" w:rsidRPr="00606956" w:rsidRDefault="511A0799" w:rsidP="000A5389">
            <w:pPr>
              <w:spacing w:line="240" w:lineRule="auto"/>
              <w:rPr>
                <w:rFonts w:cs="Times New Roman"/>
                <w:sz w:val="16"/>
                <w:szCs w:val="16"/>
              </w:rPr>
            </w:pPr>
            <w:r w:rsidRPr="00606956">
              <w:rPr>
                <w:rFonts w:eastAsia="Times New Roman" w:cs="Times New Roman"/>
                <w:color w:val="000000" w:themeColor="text1"/>
                <w:sz w:val="16"/>
                <w:szCs w:val="16"/>
              </w:rPr>
              <w:t>Mediante Radicado ANI No.20247010193263 de Fecha: 15-11-2024, el GIT de Defensa Judicial informo; que en el auto del 23 de noviembre de 2020  el Juzgado Primero Administrativo del Circuito de Pereira, de conformidad con lo dispuesto en el numeral 1º del artículo 366 del Código General del Proceso, APROBO la liquidación de costas para el Radicado No: 66001333300120130007700 por la suma de $4.054.810, las cuales no fuero cobradas, ni canceladas por lo cual se procederá a solicitar al juez que declare la prescripción por haber transcurrido más de tres años.</w:t>
            </w:r>
          </w:p>
        </w:tc>
        <w:tc>
          <w:tcPr>
            <w:tcW w:w="434" w:type="pct"/>
            <w:shd w:val="clear" w:color="auto" w:fill="FFFFFF" w:themeFill="background1"/>
            <w:tcMar>
              <w:top w:w="15" w:type="dxa"/>
              <w:left w:w="15" w:type="dxa"/>
              <w:right w:w="15" w:type="dxa"/>
            </w:tcMar>
            <w:vAlign w:val="center"/>
          </w:tcPr>
          <w:p w14:paraId="5672587F" w14:textId="04BAC398" w:rsidR="511A0799" w:rsidRPr="00606956" w:rsidRDefault="511A0799" w:rsidP="000A5389">
            <w:pPr>
              <w:spacing w:line="240" w:lineRule="auto"/>
              <w:jc w:val="center"/>
              <w:rPr>
                <w:rFonts w:cs="Times New Roman"/>
                <w:sz w:val="16"/>
                <w:szCs w:val="16"/>
              </w:rPr>
            </w:pPr>
            <w:r w:rsidRPr="00606956">
              <w:rPr>
                <w:rFonts w:eastAsia="Times New Roman" w:cs="Times New Roman"/>
                <w:color w:val="000000" w:themeColor="text1"/>
                <w:sz w:val="16"/>
                <w:szCs w:val="16"/>
              </w:rPr>
              <w:t>N/A</w:t>
            </w:r>
          </w:p>
        </w:tc>
      </w:tr>
      <w:tr w:rsidR="511A0799" w:rsidRPr="00606956" w14:paraId="51896C12" w14:textId="77777777" w:rsidTr="0071107B">
        <w:trPr>
          <w:trHeight w:val="1969"/>
        </w:trPr>
        <w:tc>
          <w:tcPr>
            <w:tcW w:w="1432" w:type="pct"/>
            <w:shd w:val="clear" w:color="auto" w:fill="FFFFFF" w:themeFill="background1"/>
            <w:tcMar>
              <w:top w:w="15" w:type="dxa"/>
              <w:left w:w="15" w:type="dxa"/>
              <w:right w:w="15" w:type="dxa"/>
            </w:tcMar>
            <w:vAlign w:val="center"/>
          </w:tcPr>
          <w:p w14:paraId="6966F9F5" w14:textId="0568D958" w:rsidR="511A0799" w:rsidRPr="00606956" w:rsidRDefault="511A0799" w:rsidP="000A5389">
            <w:pPr>
              <w:spacing w:line="240" w:lineRule="auto"/>
              <w:rPr>
                <w:rFonts w:cs="Times New Roman"/>
                <w:sz w:val="16"/>
                <w:szCs w:val="16"/>
              </w:rPr>
            </w:pPr>
            <w:r w:rsidRPr="00606956">
              <w:rPr>
                <w:rFonts w:eastAsia="Times New Roman" w:cs="Times New Roman"/>
                <w:color w:val="000000" w:themeColor="text1"/>
                <w:sz w:val="16"/>
                <w:szCs w:val="16"/>
              </w:rPr>
              <w:t>JOSE LUIS CACUA PEREZ</w:t>
            </w:r>
          </w:p>
        </w:tc>
        <w:tc>
          <w:tcPr>
            <w:tcW w:w="538" w:type="pct"/>
            <w:shd w:val="clear" w:color="auto" w:fill="FFFFFF" w:themeFill="background1"/>
            <w:tcMar>
              <w:top w:w="15" w:type="dxa"/>
              <w:left w:w="15" w:type="dxa"/>
              <w:right w:w="15" w:type="dxa"/>
            </w:tcMar>
            <w:vAlign w:val="center"/>
          </w:tcPr>
          <w:p w14:paraId="7362E9FB" w14:textId="18558173" w:rsidR="511A0799" w:rsidRPr="00606956" w:rsidRDefault="511A0799" w:rsidP="000A5389">
            <w:pPr>
              <w:spacing w:line="240" w:lineRule="auto"/>
              <w:jc w:val="right"/>
              <w:rPr>
                <w:rFonts w:cs="Times New Roman"/>
                <w:sz w:val="16"/>
                <w:szCs w:val="16"/>
              </w:rPr>
            </w:pPr>
            <w:r w:rsidRPr="00606956">
              <w:rPr>
                <w:rFonts w:eastAsia="Times New Roman" w:cs="Times New Roman"/>
                <w:color w:val="000000" w:themeColor="text1"/>
                <w:sz w:val="16"/>
                <w:szCs w:val="16"/>
              </w:rPr>
              <w:t>242.531</w:t>
            </w:r>
          </w:p>
        </w:tc>
        <w:tc>
          <w:tcPr>
            <w:tcW w:w="356" w:type="pct"/>
            <w:shd w:val="clear" w:color="auto" w:fill="FFFFFF" w:themeFill="background1"/>
            <w:tcMar>
              <w:top w:w="15" w:type="dxa"/>
              <w:left w:w="15" w:type="dxa"/>
              <w:right w:w="15" w:type="dxa"/>
            </w:tcMar>
            <w:vAlign w:val="center"/>
          </w:tcPr>
          <w:p w14:paraId="77C583C8" w14:textId="079BFDF2" w:rsidR="511A0799" w:rsidRPr="00606956" w:rsidRDefault="511A0799" w:rsidP="000A5389">
            <w:pPr>
              <w:spacing w:line="240" w:lineRule="auto"/>
              <w:jc w:val="center"/>
              <w:rPr>
                <w:rFonts w:cs="Times New Roman"/>
                <w:sz w:val="16"/>
                <w:szCs w:val="16"/>
              </w:rPr>
            </w:pPr>
            <w:r w:rsidRPr="00606956">
              <w:rPr>
                <w:rFonts w:eastAsia="Times New Roman" w:cs="Times New Roman"/>
                <w:color w:val="000000" w:themeColor="text1"/>
                <w:sz w:val="16"/>
                <w:szCs w:val="16"/>
              </w:rPr>
              <w:t>1</w:t>
            </w:r>
          </w:p>
        </w:tc>
        <w:tc>
          <w:tcPr>
            <w:tcW w:w="322" w:type="pct"/>
            <w:shd w:val="clear" w:color="auto" w:fill="FFFFFF" w:themeFill="background1"/>
            <w:tcMar>
              <w:top w:w="15" w:type="dxa"/>
              <w:left w:w="15" w:type="dxa"/>
              <w:right w:w="15" w:type="dxa"/>
            </w:tcMar>
            <w:vAlign w:val="center"/>
          </w:tcPr>
          <w:p w14:paraId="1016B69E" w14:textId="2870A434" w:rsidR="511A0799" w:rsidRPr="00606956" w:rsidRDefault="511A0799" w:rsidP="000A5389">
            <w:pPr>
              <w:spacing w:line="240" w:lineRule="auto"/>
              <w:jc w:val="center"/>
              <w:rPr>
                <w:rFonts w:cs="Times New Roman"/>
                <w:sz w:val="16"/>
                <w:szCs w:val="16"/>
              </w:rPr>
            </w:pPr>
            <w:r w:rsidRPr="00606956">
              <w:rPr>
                <w:rFonts w:eastAsia="Times New Roman" w:cs="Times New Roman"/>
                <w:color w:val="000000" w:themeColor="text1"/>
                <w:sz w:val="16"/>
                <w:szCs w:val="16"/>
              </w:rPr>
              <w:t xml:space="preserve"> 10</w:t>
            </w:r>
          </w:p>
        </w:tc>
        <w:tc>
          <w:tcPr>
            <w:tcW w:w="1919" w:type="pct"/>
            <w:shd w:val="clear" w:color="auto" w:fill="FFFFFF" w:themeFill="background1"/>
            <w:tcMar>
              <w:top w:w="15" w:type="dxa"/>
              <w:left w:w="15" w:type="dxa"/>
              <w:right w:w="15" w:type="dxa"/>
            </w:tcMar>
            <w:vAlign w:val="bottom"/>
          </w:tcPr>
          <w:p w14:paraId="1D030232" w14:textId="3EE00DBD" w:rsidR="511A0799" w:rsidRPr="00606956" w:rsidRDefault="511A0799" w:rsidP="000A5389">
            <w:pPr>
              <w:spacing w:line="240" w:lineRule="auto"/>
              <w:rPr>
                <w:rFonts w:eastAsia="Times New Roman" w:cs="Times New Roman"/>
                <w:color w:val="000000" w:themeColor="text1"/>
                <w:sz w:val="16"/>
                <w:szCs w:val="16"/>
              </w:rPr>
            </w:pPr>
            <w:r w:rsidRPr="00606956">
              <w:rPr>
                <w:rFonts w:eastAsia="Times New Roman" w:cs="Times New Roman"/>
                <w:color w:val="000000" w:themeColor="text1"/>
                <w:sz w:val="16"/>
                <w:szCs w:val="16"/>
              </w:rPr>
              <w:t xml:space="preserve">Mediante Radicado ANI No.20247010193263 de Fecha: 15-11-2024, el GIT de Defensa Judicial informo; que en el auto del 18 de julio de 2024  proferido por el Juzgado Primero Laboral del Circuito Fusagasugá, de conformidad con lo dispuesto en el numeral 1º del artículo 366 del Código General del Proceso, APROBO la liquidación de costas para el Radicado No: 25290310300220100030100 por la suma de $ 500.000 a cargo de la parte vencida, y se </w:t>
            </w:r>
            <w:r w:rsidR="48A572FC" w:rsidRPr="00606956">
              <w:rPr>
                <w:rFonts w:eastAsia="Times New Roman" w:cs="Times New Roman"/>
                <w:color w:val="000000" w:themeColor="text1"/>
                <w:sz w:val="16"/>
                <w:szCs w:val="16"/>
              </w:rPr>
              <w:t>ordenó</w:t>
            </w:r>
            <w:r w:rsidRPr="00606956">
              <w:rPr>
                <w:rFonts w:eastAsia="Times New Roman" w:cs="Times New Roman"/>
                <w:color w:val="000000" w:themeColor="text1"/>
                <w:sz w:val="16"/>
                <w:szCs w:val="16"/>
              </w:rPr>
              <w:t xml:space="preserve"> la liquidación del crédito, pero que </w:t>
            </w:r>
            <w:r w:rsidR="0BF27198" w:rsidRPr="00606956">
              <w:rPr>
                <w:rFonts w:eastAsia="Times New Roman" w:cs="Times New Roman"/>
                <w:color w:val="000000" w:themeColor="text1"/>
                <w:sz w:val="16"/>
                <w:szCs w:val="16"/>
              </w:rPr>
              <w:t>aún</w:t>
            </w:r>
            <w:r w:rsidRPr="00606956">
              <w:rPr>
                <w:rFonts w:eastAsia="Times New Roman" w:cs="Times New Roman"/>
                <w:color w:val="000000" w:themeColor="text1"/>
                <w:sz w:val="16"/>
                <w:szCs w:val="16"/>
              </w:rPr>
              <w:t xml:space="preserve"> no se han pagado tales costas porque falta la liquidación del crédito</w:t>
            </w:r>
          </w:p>
        </w:tc>
        <w:tc>
          <w:tcPr>
            <w:tcW w:w="434" w:type="pct"/>
            <w:shd w:val="clear" w:color="auto" w:fill="FFFFFF" w:themeFill="background1"/>
            <w:tcMar>
              <w:top w:w="15" w:type="dxa"/>
              <w:left w:w="15" w:type="dxa"/>
              <w:right w:w="15" w:type="dxa"/>
            </w:tcMar>
            <w:vAlign w:val="center"/>
          </w:tcPr>
          <w:p w14:paraId="37412123" w14:textId="2F04878E" w:rsidR="511A0799" w:rsidRPr="00606956" w:rsidRDefault="511A0799" w:rsidP="000A5389">
            <w:pPr>
              <w:spacing w:line="240" w:lineRule="auto"/>
              <w:jc w:val="center"/>
              <w:rPr>
                <w:rFonts w:cs="Times New Roman"/>
                <w:sz w:val="16"/>
                <w:szCs w:val="16"/>
              </w:rPr>
            </w:pPr>
            <w:r w:rsidRPr="00606956">
              <w:rPr>
                <w:rFonts w:eastAsia="Times New Roman" w:cs="Times New Roman"/>
                <w:color w:val="000000" w:themeColor="text1"/>
                <w:sz w:val="16"/>
                <w:szCs w:val="16"/>
              </w:rPr>
              <w:t>N/A</w:t>
            </w:r>
          </w:p>
        </w:tc>
      </w:tr>
    </w:tbl>
    <w:p w14:paraId="6CB7B37E" w14:textId="77777777" w:rsidR="00F968AD" w:rsidRPr="00951AB1" w:rsidRDefault="00F968AD" w:rsidP="000A5389">
      <w:pPr>
        <w:spacing w:line="240" w:lineRule="auto"/>
        <w:rPr>
          <w:rFonts w:cs="Times New Roman"/>
          <w:sz w:val="14"/>
          <w:szCs w:val="14"/>
        </w:rPr>
      </w:pPr>
      <w:r w:rsidRPr="00951AB1">
        <w:rPr>
          <w:rFonts w:cs="Times New Roman"/>
          <w:sz w:val="14"/>
          <w:szCs w:val="14"/>
        </w:rPr>
        <w:t>Cifras expresadas en pesos</w:t>
      </w:r>
    </w:p>
    <w:p w14:paraId="257CADC0" w14:textId="77777777" w:rsidR="0087448B" w:rsidRPr="00951AB1" w:rsidRDefault="0087448B" w:rsidP="000A5389">
      <w:pPr>
        <w:pStyle w:val="Default"/>
        <w:rPr>
          <w:rFonts w:ascii="Times New Roman" w:hAnsi="Times New Roman" w:cs="Times New Roman"/>
          <w:b/>
          <w:bCs/>
        </w:rPr>
      </w:pPr>
    </w:p>
    <w:p w14:paraId="1AD4CDC7" w14:textId="77777777" w:rsidR="00676842" w:rsidRPr="00951AB1" w:rsidRDefault="00676842" w:rsidP="000A5389">
      <w:pPr>
        <w:spacing w:line="240" w:lineRule="auto"/>
        <w:rPr>
          <w:rFonts w:cs="Times New Roman"/>
        </w:rPr>
      </w:pPr>
      <w:r w:rsidRPr="00951AB1">
        <w:rPr>
          <w:rFonts w:cs="Times New Roman"/>
          <w:szCs w:val="24"/>
        </w:rPr>
        <w:t>En el período contable 2025 se efectuó revisión y ajuste a las en cuentas por pagar por valor de</w:t>
      </w:r>
      <w:r w:rsidRPr="00951AB1">
        <w:rPr>
          <w:rFonts w:cs="Times New Roman"/>
        </w:rPr>
        <w:t xml:space="preserve"> $</w:t>
      </w:r>
      <w:r w:rsidRPr="00951AB1">
        <w:rPr>
          <w:rFonts w:cs="Times New Roman"/>
          <w:szCs w:val="24"/>
        </w:rPr>
        <w:t xml:space="preserve">145.257.166 correspondiente a </w:t>
      </w:r>
      <w:r w:rsidRPr="00951AB1">
        <w:rPr>
          <w:rFonts w:cs="Times New Roman"/>
        </w:rPr>
        <w:t>Sentencias e intereses de sentencias así,</w:t>
      </w:r>
    </w:p>
    <w:p w14:paraId="6C4C54C2" w14:textId="0AED7AA8" w:rsidR="00676842" w:rsidRPr="00951AB1" w:rsidRDefault="00676842" w:rsidP="000A5389">
      <w:pPr>
        <w:pStyle w:val="Prrafodelista"/>
        <w:numPr>
          <w:ilvl w:val="0"/>
          <w:numId w:val="52"/>
        </w:numPr>
        <w:spacing w:line="240" w:lineRule="auto"/>
        <w:rPr>
          <w:rFonts w:cs="Times New Roman"/>
          <w:color w:val="000000" w:themeColor="text1"/>
          <w:szCs w:val="24"/>
        </w:rPr>
      </w:pPr>
      <w:r w:rsidRPr="00951AB1">
        <w:rPr>
          <w:rFonts w:cs="Times New Roman"/>
          <w:color w:val="000000" w:themeColor="text1"/>
          <w:szCs w:val="24"/>
        </w:rPr>
        <w:t xml:space="preserve">El valor de $34.346.637 registrado contablemente a nombre del demandante Carlos Orlando Caro Sánchez con radicado:15001233300020120001000 con Ekogui: 314737 y de acuerdo con el memorando No. 20257010148903 de fecha 21-08-2025 de Defensa </w:t>
      </w:r>
      <w:r w:rsidRPr="00951AB1">
        <w:rPr>
          <w:rFonts w:cs="Times New Roman"/>
          <w:color w:val="000000" w:themeColor="text1"/>
          <w:szCs w:val="24"/>
        </w:rPr>
        <w:lastRenderedPageBreak/>
        <w:t>judicial indica que el pago lo realizó la aseguradora, razón por la cual se registró la baja de esta cuenta por pagar, afectando el ingreso por concepto de ganancia por bajas en cuentas de cuentas por pagar.</w:t>
      </w:r>
    </w:p>
    <w:p w14:paraId="475C7E67" w14:textId="77777777" w:rsidR="00676842" w:rsidRPr="00951AB1" w:rsidRDefault="00676842" w:rsidP="000A5389">
      <w:pPr>
        <w:pStyle w:val="Prrafodelista"/>
        <w:spacing w:line="240" w:lineRule="auto"/>
        <w:ind w:left="360"/>
        <w:rPr>
          <w:rFonts w:cs="Times New Roman"/>
          <w:color w:val="000000" w:themeColor="text1"/>
          <w:szCs w:val="24"/>
        </w:rPr>
      </w:pPr>
    </w:p>
    <w:p w14:paraId="3BF02056" w14:textId="674E2945" w:rsidR="003E4911" w:rsidRPr="00951AB1" w:rsidRDefault="003E4911" w:rsidP="000A5389">
      <w:pPr>
        <w:pStyle w:val="Prrafodelista"/>
        <w:numPr>
          <w:ilvl w:val="0"/>
          <w:numId w:val="52"/>
        </w:numPr>
        <w:spacing w:line="240" w:lineRule="auto"/>
        <w:rPr>
          <w:rFonts w:cs="Times New Roman"/>
          <w:color w:val="000000" w:themeColor="text1"/>
          <w:szCs w:val="24"/>
        </w:rPr>
      </w:pPr>
      <w:r w:rsidRPr="00951AB1">
        <w:rPr>
          <w:rFonts w:cs="Times New Roman"/>
          <w:color w:val="000000" w:themeColor="text1"/>
          <w:szCs w:val="24"/>
        </w:rPr>
        <w:t xml:space="preserve">El valor de $110.910.529 registrado contablemente a nombre del demandante Hernando García </w:t>
      </w:r>
      <w:r w:rsidR="59AEBE0E" w:rsidRPr="00951AB1">
        <w:rPr>
          <w:rFonts w:cs="Times New Roman"/>
          <w:color w:val="000000" w:themeColor="text1"/>
          <w:szCs w:val="24"/>
        </w:rPr>
        <w:t>Arturo</w:t>
      </w:r>
      <w:r w:rsidRPr="00951AB1">
        <w:rPr>
          <w:rFonts w:cs="Times New Roman"/>
          <w:color w:val="000000" w:themeColor="text1"/>
          <w:szCs w:val="24"/>
        </w:rPr>
        <w:t xml:space="preserve"> con radicado:</w:t>
      </w:r>
      <w:r w:rsidRPr="00951AB1">
        <w:rPr>
          <w:rFonts w:cs="Times New Roman"/>
        </w:rPr>
        <w:t xml:space="preserve"> </w:t>
      </w:r>
      <w:r w:rsidRPr="00951AB1">
        <w:rPr>
          <w:rFonts w:cs="Times New Roman"/>
          <w:color w:val="000000" w:themeColor="text1"/>
          <w:szCs w:val="24"/>
        </w:rPr>
        <w:t>47001333300420130028700 con Ekogui: 2154926 y de acuerdo con el memorando No. 20267010045073 de fecha 17-02-2026 de Defensa judicial indica que el pago lo realizó la aseguradora, razón por la cual se registró la baja de esta cuenta por pagar, afectando el ingreso por concepto de ganancia por bajas en cuentas de cuentas por pagar.</w:t>
      </w:r>
    </w:p>
    <w:p w14:paraId="2A903001" w14:textId="09C04A7B" w:rsidR="00756E75" w:rsidRPr="00951AB1" w:rsidRDefault="00756E75" w:rsidP="000A5389">
      <w:pPr>
        <w:autoSpaceDE w:val="0"/>
        <w:autoSpaceDN w:val="0"/>
        <w:adjustRightInd w:val="0"/>
        <w:spacing w:line="240" w:lineRule="auto"/>
        <w:ind w:right="900"/>
        <w:rPr>
          <w:rFonts w:cs="Times New Roman"/>
          <w:szCs w:val="24"/>
        </w:rPr>
      </w:pPr>
    </w:p>
    <w:p w14:paraId="6AADD859" w14:textId="77777777" w:rsidR="004078AD" w:rsidRPr="00951AB1" w:rsidRDefault="004078AD" w:rsidP="000A5389">
      <w:pPr>
        <w:spacing w:line="240" w:lineRule="auto"/>
        <w:rPr>
          <w:rFonts w:cs="Times New Roman"/>
          <w:i/>
          <w:iCs/>
          <w:szCs w:val="24"/>
        </w:rPr>
      </w:pPr>
      <w:r w:rsidRPr="00951AB1">
        <w:rPr>
          <w:rFonts w:cs="Times New Roman"/>
          <w:i/>
          <w:iCs/>
          <w:szCs w:val="24"/>
        </w:rPr>
        <w:t>Laudos arbitrales ejecutoriados y cuentas por pagar por concepto de reembolsos de honorarios de los árbitros y secretaría y gastos administrativos de Tribunales de Arbitramento:</w:t>
      </w:r>
    </w:p>
    <w:p w14:paraId="2A51C35F" w14:textId="77777777" w:rsidR="004078AD" w:rsidRPr="00951AB1" w:rsidRDefault="004078AD" w:rsidP="000A5389">
      <w:pPr>
        <w:pStyle w:val="Prrafodelista"/>
        <w:spacing w:line="240" w:lineRule="auto"/>
        <w:ind w:left="0"/>
        <w:rPr>
          <w:rFonts w:cs="Times New Roman"/>
          <w:szCs w:val="24"/>
        </w:rPr>
      </w:pPr>
    </w:p>
    <w:p w14:paraId="1DC0E2B7" w14:textId="77777777" w:rsidR="004078AD" w:rsidRPr="00951AB1" w:rsidRDefault="004078AD" w:rsidP="000A5389">
      <w:pPr>
        <w:spacing w:line="240" w:lineRule="auto"/>
        <w:rPr>
          <w:rFonts w:cs="Times New Roman"/>
          <w:szCs w:val="24"/>
        </w:rPr>
      </w:pPr>
      <w:r w:rsidRPr="00951AB1">
        <w:rPr>
          <w:rFonts w:cs="Times New Roman"/>
          <w:szCs w:val="24"/>
        </w:rPr>
        <w:t>A 31 de diciembre de 2025, las subcuentas contables 246003</w:t>
      </w:r>
      <w:r w:rsidRPr="00951AB1">
        <w:rPr>
          <w:rFonts w:cs="Times New Roman"/>
        </w:rPr>
        <w:t xml:space="preserve"> </w:t>
      </w:r>
      <w:r w:rsidRPr="00951AB1">
        <w:rPr>
          <w:rFonts w:cs="Times New Roman"/>
          <w:szCs w:val="24"/>
        </w:rPr>
        <w:t xml:space="preserve">Laudos arbitrales y conciliaciones extrajudiciales y 246092 Intereses de laudos arbitrales y conciliaciones extrajudiciales, presentan un saldo total de $4.267.737.435.634, suma que comprende: </w:t>
      </w:r>
    </w:p>
    <w:p w14:paraId="0BC639BC" w14:textId="77777777" w:rsidR="004078AD" w:rsidRPr="00951AB1" w:rsidRDefault="004078AD" w:rsidP="000A5389">
      <w:pPr>
        <w:spacing w:line="240" w:lineRule="auto"/>
        <w:rPr>
          <w:rFonts w:cs="Times New Roman"/>
          <w:szCs w:val="24"/>
        </w:rPr>
      </w:pPr>
    </w:p>
    <w:p w14:paraId="4EA19E10" w14:textId="77777777" w:rsidR="004078AD" w:rsidRPr="00951AB1" w:rsidRDefault="004078AD" w:rsidP="000A5389">
      <w:pPr>
        <w:pStyle w:val="Prrafodelista"/>
        <w:numPr>
          <w:ilvl w:val="0"/>
          <w:numId w:val="76"/>
        </w:numPr>
        <w:spacing w:line="240" w:lineRule="auto"/>
        <w:ind w:hanging="371"/>
        <w:rPr>
          <w:rFonts w:cs="Times New Roman"/>
          <w:szCs w:val="24"/>
        </w:rPr>
      </w:pPr>
      <w:r w:rsidRPr="00951AB1">
        <w:rPr>
          <w:rFonts w:cs="Times New Roman"/>
          <w:szCs w:val="24"/>
        </w:rPr>
        <w:t xml:space="preserve">laudos arbitrales ejecutoriados, que se compone de: capital adeudado, actualización de capital, condena en costas o agencias en derecho e intereses corrientes, y </w:t>
      </w:r>
    </w:p>
    <w:p w14:paraId="2939B191" w14:textId="77777777" w:rsidR="004078AD" w:rsidRPr="00951AB1" w:rsidRDefault="004078AD" w:rsidP="000A5389">
      <w:pPr>
        <w:pStyle w:val="Prrafodelista"/>
        <w:numPr>
          <w:ilvl w:val="0"/>
          <w:numId w:val="76"/>
        </w:numPr>
        <w:spacing w:line="240" w:lineRule="auto"/>
        <w:ind w:hanging="371"/>
        <w:rPr>
          <w:rFonts w:cs="Times New Roman"/>
          <w:szCs w:val="24"/>
        </w:rPr>
      </w:pPr>
      <w:r w:rsidRPr="00951AB1">
        <w:rPr>
          <w:rFonts w:cs="Times New Roman"/>
          <w:szCs w:val="24"/>
        </w:rPr>
        <w:t xml:space="preserve">cuentas por pagar por concepto de reembolsos de honorarios de los árbitros y secretaría y gastos administrativos de Tribunales de Arbitramento. </w:t>
      </w:r>
    </w:p>
    <w:p w14:paraId="255DD4C7" w14:textId="77777777" w:rsidR="004078AD" w:rsidRPr="00951AB1" w:rsidRDefault="004078AD" w:rsidP="000A5389">
      <w:pPr>
        <w:spacing w:line="240" w:lineRule="auto"/>
        <w:rPr>
          <w:rFonts w:cs="Times New Roman"/>
          <w:szCs w:val="24"/>
        </w:rPr>
      </w:pPr>
    </w:p>
    <w:p w14:paraId="1BB8AC9D" w14:textId="77777777" w:rsidR="004078AD" w:rsidRPr="00951AB1" w:rsidRDefault="004078AD" w:rsidP="000A5389">
      <w:pPr>
        <w:spacing w:line="240" w:lineRule="auto"/>
        <w:rPr>
          <w:rFonts w:cs="Times New Roman"/>
          <w:szCs w:val="24"/>
        </w:rPr>
      </w:pPr>
      <w:r w:rsidRPr="00951AB1">
        <w:rPr>
          <w:rFonts w:cs="Times New Roman"/>
          <w:szCs w:val="24"/>
        </w:rPr>
        <w:t>Su composición es la siguiente:</w:t>
      </w:r>
    </w:p>
    <w:p w14:paraId="16C2C01B" w14:textId="77777777" w:rsidR="004078AD" w:rsidRPr="00951AB1" w:rsidRDefault="004078AD" w:rsidP="000A5389">
      <w:pPr>
        <w:spacing w:line="240" w:lineRule="auto"/>
        <w:rPr>
          <w:rFonts w:cs="Times New Roman"/>
          <w:szCs w:val="24"/>
        </w:rPr>
      </w:pPr>
    </w:p>
    <w:tbl>
      <w:tblPr>
        <w:tblW w:w="5000" w:type="pct"/>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CellMar>
          <w:left w:w="70" w:type="dxa"/>
          <w:right w:w="70" w:type="dxa"/>
        </w:tblCellMar>
        <w:tblLook w:val="04A0" w:firstRow="1" w:lastRow="0" w:firstColumn="1" w:lastColumn="0" w:noHBand="0" w:noVBand="1"/>
      </w:tblPr>
      <w:tblGrid>
        <w:gridCol w:w="988"/>
        <w:gridCol w:w="1275"/>
        <w:gridCol w:w="1561"/>
        <w:gridCol w:w="569"/>
        <w:gridCol w:w="570"/>
        <w:gridCol w:w="1557"/>
        <w:gridCol w:w="2308"/>
      </w:tblGrid>
      <w:tr w:rsidR="004078AD" w:rsidRPr="00692C50" w14:paraId="1EB23E1D" w14:textId="77777777" w:rsidTr="00692C50">
        <w:trPr>
          <w:trHeight w:val="351"/>
          <w:tblHeader/>
        </w:trPr>
        <w:tc>
          <w:tcPr>
            <w:tcW w:w="2166" w:type="pct"/>
            <w:gridSpan w:val="3"/>
            <w:vMerge w:val="restart"/>
            <w:vAlign w:val="center"/>
            <w:hideMark/>
          </w:tcPr>
          <w:p w14:paraId="485080B5" w14:textId="77777777" w:rsidR="004078AD" w:rsidRPr="00692C50" w:rsidRDefault="004078AD" w:rsidP="000A5389">
            <w:pPr>
              <w:spacing w:line="240" w:lineRule="auto"/>
              <w:jc w:val="center"/>
              <w:rPr>
                <w:rFonts w:eastAsia="Times New Roman" w:cs="Times New Roman"/>
                <w:b/>
                <w:bCs/>
                <w:sz w:val="16"/>
                <w:szCs w:val="16"/>
                <w:lang w:eastAsia="es-CO"/>
              </w:rPr>
            </w:pPr>
            <w:r w:rsidRPr="00692C50">
              <w:rPr>
                <w:rFonts w:eastAsia="Times New Roman" w:cs="Times New Roman"/>
                <w:b/>
                <w:bCs/>
                <w:sz w:val="16"/>
                <w:szCs w:val="16"/>
                <w:lang w:eastAsia="es-CO"/>
              </w:rPr>
              <w:t>ASOCIACIÓN DE DATOS</w:t>
            </w:r>
          </w:p>
        </w:tc>
        <w:tc>
          <w:tcPr>
            <w:tcW w:w="2834" w:type="pct"/>
            <w:gridSpan w:val="4"/>
            <w:vAlign w:val="center"/>
            <w:hideMark/>
          </w:tcPr>
          <w:p w14:paraId="536682BC" w14:textId="77777777" w:rsidR="004078AD" w:rsidRPr="00692C50" w:rsidRDefault="004078AD" w:rsidP="000A5389">
            <w:pPr>
              <w:spacing w:line="240" w:lineRule="auto"/>
              <w:jc w:val="center"/>
              <w:rPr>
                <w:rFonts w:eastAsia="Times New Roman" w:cs="Times New Roman"/>
                <w:b/>
                <w:bCs/>
                <w:sz w:val="16"/>
                <w:szCs w:val="16"/>
                <w:lang w:eastAsia="es-CO"/>
              </w:rPr>
            </w:pPr>
            <w:r w:rsidRPr="00692C50">
              <w:rPr>
                <w:rFonts w:eastAsia="Times New Roman" w:cs="Times New Roman"/>
                <w:b/>
                <w:bCs/>
                <w:sz w:val="16"/>
                <w:szCs w:val="16"/>
                <w:lang w:eastAsia="es-CO"/>
              </w:rPr>
              <w:t>DETALLES DE LA TRANSACCIÓN</w:t>
            </w:r>
            <w:r w:rsidRPr="00692C50">
              <w:rPr>
                <w:rFonts w:eastAsia="Times New Roman" w:cs="Times New Roman"/>
                <w:b/>
                <w:bCs/>
                <w:sz w:val="16"/>
                <w:szCs w:val="16"/>
                <w:lang w:eastAsia="es-CO"/>
              </w:rPr>
              <w:br/>
              <w:t>(reporte agrupado por datos comunes de asociación)</w:t>
            </w:r>
          </w:p>
        </w:tc>
      </w:tr>
      <w:tr w:rsidR="004078AD" w:rsidRPr="00692C50" w14:paraId="077EDACF" w14:textId="77777777" w:rsidTr="00692C50">
        <w:trPr>
          <w:trHeight w:val="414"/>
          <w:tblHeader/>
        </w:trPr>
        <w:tc>
          <w:tcPr>
            <w:tcW w:w="2166" w:type="pct"/>
            <w:gridSpan w:val="3"/>
            <w:vMerge/>
            <w:vAlign w:val="center"/>
            <w:hideMark/>
          </w:tcPr>
          <w:p w14:paraId="3705B3E1" w14:textId="77777777" w:rsidR="004078AD" w:rsidRPr="00692C50" w:rsidRDefault="004078AD" w:rsidP="000A5389">
            <w:pPr>
              <w:spacing w:line="240" w:lineRule="auto"/>
              <w:rPr>
                <w:rFonts w:eastAsia="Times New Roman" w:cs="Times New Roman"/>
                <w:b/>
                <w:bCs/>
                <w:sz w:val="16"/>
                <w:szCs w:val="16"/>
                <w:lang w:eastAsia="es-CO"/>
              </w:rPr>
            </w:pPr>
          </w:p>
        </w:tc>
        <w:tc>
          <w:tcPr>
            <w:tcW w:w="645" w:type="pct"/>
            <w:gridSpan w:val="2"/>
            <w:vAlign w:val="center"/>
            <w:hideMark/>
          </w:tcPr>
          <w:p w14:paraId="70D2944E" w14:textId="77777777" w:rsidR="004078AD" w:rsidRPr="00692C50" w:rsidRDefault="004078AD" w:rsidP="000A5389">
            <w:pPr>
              <w:spacing w:line="240" w:lineRule="auto"/>
              <w:jc w:val="center"/>
              <w:rPr>
                <w:rFonts w:eastAsia="Times New Roman" w:cs="Times New Roman"/>
                <w:b/>
                <w:bCs/>
                <w:sz w:val="16"/>
                <w:szCs w:val="16"/>
                <w:lang w:eastAsia="es-CO"/>
              </w:rPr>
            </w:pPr>
            <w:r w:rsidRPr="00692C50">
              <w:rPr>
                <w:rFonts w:eastAsia="Times New Roman" w:cs="Times New Roman"/>
                <w:b/>
                <w:bCs/>
                <w:sz w:val="16"/>
                <w:szCs w:val="16"/>
                <w:lang w:eastAsia="es-CO"/>
              </w:rPr>
              <w:t>PLAZO</w:t>
            </w:r>
            <w:r w:rsidRPr="00692C50">
              <w:rPr>
                <w:rFonts w:eastAsia="Times New Roman" w:cs="Times New Roman"/>
                <w:b/>
                <w:bCs/>
                <w:sz w:val="16"/>
                <w:szCs w:val="16"/>
                <w:lang w:eastAsia="es-CO"/>
              </w:rPr>
              <w:br/>
              <w:t>(rango en # meses)</w:t>
            </w:r>
          </w:p>
        </w:tc>
        <w:tc>
          <w:tcPr>
            <w:tcW w:w="882" w:type="pct"/>
            <w:vAlign w:val="center"/>
            <w:hideMark/>
          </w:tcPr>
          <w:p w14:paraId="59905ECF" w14:textId="77777777" w:rsidR="004078AD" w:rsidRPr="00692C50" w:rsidRDefault="004078AD" w:rsidP="000A5389">
            <w:pPr>
              <w:spacing w:line="240" w:lineRule="auto"/>
              <w:jc w:val="center"/>
              <w:rPr>
                <w:rFonts w:eastAsia="Times New Roman" w:cs="Times New Roman"/>
                <w:b/>
                <w:bCs/>
                <w:sz w:val="16"/>
                <w:szCs w:val="16"/>
                <w:lang w:eastAsia="es-CO"/>
              </w:rPr>
            </w:pPr>
            <w:r w:rsidRPr="00692C50">
              <w:rPr>
                <w:rFonts w:eastAsia="Times New Roman" w:cs="Times New Roman"/>
                <w:b/>
                <w:bCs/>
                <w:sz w:val="16"/>
                <w:szCs w:val="16"/>
                <w:lang w:eastAsia="es-CO"/>
              </w:rPr>
              <w:t>DETALLE DE LAS CONDICIONES DE LA CUENTA POR PAGAR</w:t>
            </w:r>
          </w:p>
        </w:tc>
        <w:tc>
          <w:tcPr>
            <w:tcW w:w="1308" w:type="pct"/>
            <w:vAlign w:val="center"/>
            <w:hideMark/>
          </w:tcPr>
          <w:p w14:paraId="12920963" w14:textId="77777777" w:rsidR="004078AD" w:rsidRPr="00692C50" w:rsidRDefault="004078AD" w:rsidP="000A5389">
            <w:pPr>
              <w:spacing w:line="240" w:lineRule="auto"/>
              <w:jc w:val="center"/>
              <w:rPr>
                <w:rFonts w:eastAsia="Times New Roman" w:cs="Times New Roman"/>
                <w:b/>
                <w:bCs/>
                <w:sz w:val="16"/>
                <w:szCs w:val="16"/>
                <w:lang w:eastAsia="es-CO"/>
              </w:rPr>
            </w:pPr>
            <w:r w:rsidRPr="00692C50">
              <w:rPr>
                <w:rFonts w:eastAsia="Times New Roman" w:cs="Times New Roman"/>
                <w:b/>
                <w:bCs/>
                <w:sz w:val="16"/>
                <w:szCs w:val="16"/>
                <w:lang w:eastAsia="es-CO"/>
              </w:rPr>
              <w:t>TASA DE INTERES</w:t>
            </w:r>
            <w:r w:rsidRPr="00692C50">
              <w:rPr>
                <w:rFonts w:eastAsia="Times New Roman" w:cs="Times New Roman"/>
                <w:b/>
                <w:bCs/>
                <w:sz w:val="16"/>
                <w:szCs w:val="16"/>
                <w:lang w:eastAsia="es-CO"/>
              </w:rPr>
              <w:br/>
              <w:t>(%)</w:t>
            </w:r>
          </w:p>
        </w:tc>
      </w:tr>
      <w:tr w:rsidR="008515FA" w:rsidRPr="00692C50" w14:paraId="4B230E22" w14:textId="77777777" w:rsidTr="00692C50">
        <w:trPr>
          <w:trHeight w:val="280"/>
          <w:tblHeader/>
        </w:trPr>
        <w:tc>
          <w:tcPr>
            <w:tcW w:w="560" w:type="pct"/>
            <w:vAlign w:val="center"/>
            <w:hideMark/>
          </w:tcPr>
          <w:p w14:paraId="289CE163" w14:textId="77777777" w:rsidR="004078AD" w:rsidRPr="00692C50" w:rsidRDefault="004078AD" w:rsidP="000A5389">
            <w:pPr>
              <w:spacing w:line="240" w:lineRule="auto"/>
              <w:jc w:val="center"/>
              <w:rPr>
                <w:rFonts w:eastAsia="Times New Roman" w:cs="Times New Roman"/>
                <w:b/>
                <w:bCs/>
                <w:sz w:val="16"/>
                <w:szCs w:val="16"/>
                <w:lang w:eastAsia="es-CO"/>
              </w:rPr>
            </w:pPr>
            <w:r w:rsidRPr="00692C50">
              <w:rPr>
                <w:rFonts w:eastAsia="Times New Roman" w:cs="Times New Roman"/>
                <w:b/>
                <w:bCs/>
                <w:sz w:val="16"/>
                <w:szCs w:val="16"/>
                <w:lang w:eastAsia="es-CO"/>
              </w:rPr>
              <w:t>NIT/CC</w:t>
            </w:r>
          </w:p>
        </w:tc>
        <w:tc>
          <w:tcPr>
            <w:tcW w:w="722" w:type="pct"/>
            <w:vAlign w:val="center"/>
            <w:hideMark/>
          </w:tcPr>
          <w:p w14:paraId="257F508F" w14:textId="77777777" w:rsidR="004078AD" w:rsidRPr="00692C50" w:rsidRDefault="004078AD" w:rsidP="000A5389">
            <w:pPr>
              <w:spacing w:line="240" w:lineRule="auto"/>
              <w:jc w:val="center"/>
              <w:rPr>
                <w:rFonts w:eastAsia="Times New Roman" w:cs="Times New Roman"/>
                <w:b/>
                <w:bCs/>
                <w:sz w:val="16"/>
                <w:szCs w:val="16"/>
                <w:lang w:eastAsia="es-CO"/>
              </w:rPr>
            </w:pPr>
            <w:r w:rsidRPr="00692C50">
              <w:rPr>
                <w:rFonts w:eastAsia="Times New Roman" w:cs="Times New Roman"/>
                <w:b/>
                <w:bCs/>
                <w:sz w:val="16"/>
                <w:szCs w:val="16"/>
                <w:lang w:eastAsia="es-CO"/>
              </w:rPr>
              <w:t>RAZÓN SOCIAL</w:t>
            </w:r>
          </w:p>
        </w:tc>
        <w:tc>
          <w:tcPr>
            <w:tcW w:w="884" w:type="pct"/>
            <w:vAlign w:val="center"/>
            <w:hideMark/>
          </w:tcPr>
          <w:p w14:paraId="20423D44" w14:textId="77777777" w:rsidR="004078AD" w:rsidRPr="00692C50" w:rsidRDefault="004078AD" w:rsidP="000A5389">
            <w:pPr>
              <w:spacing w:line="240" w:lineRule="auto"/>
              <w:jc w:val="center"/>
              <w:rPr>
                <w:rFonts w:eastAsia="Times New Roman" w:cs="Times New Roman"/>
                <w:b/>
                <w:bCs/>
                <w:sz w:val="16"/>
                <w:szCs w:val="16"/>
                <w:lang w:eastAsia="es-CO"/>
              </w:rPr>
            </w:pPr>
            <w:r w:rsidRPr="00692C50">
              <w:rPr>
                <w:rFonts w:eastAsia="Times New Roman" w:cs="Times New Roman"/>
                <w:b/>
                <w:bCs/>
                <w:sz w:val="16"/>
                <w:szCs w:val="16"/>
                <w:lang w:eastAsia="es-CO"/>
              </w:rPr>
              <w:t xml:space="preserve"> VALOR EN LIBROS </w:t>
            </w:r>
          </w:p>
        </w:tc>
        <w:tc>
          <w:tcPr>
            <w:tcW w:w="322" w:type="pct"/>
            <w:vAlign w:val="center"/>
            <w:hideMark/>
          </w:tcPr>
          <w:p w14:paraId="28351FD6" w14:textId="77777777" w:rsidR="004078AD" w:rsidRPr="00692C50" w:rsidRDefault="004078AD" w:rsidP="000A5389">
            <w:pPr>
              <w:spacing w:line="240" w:lineRule="auto"/>
              <w:jc w:val="center"/>
              <w:rPr>
                <w:rFonts w:eastAsia="Times New Roman" w:cs="Times New Roman"/>
                <w:b/>
                <w:bCs/>
                <w:sz w:val="16"/>
                <w:szCs w:val="16"/>
                <w:lang w:eastAsia="es-CO"/>
              </w:rPr>
            </w:pPr>
            <w:r w:rsidRPr="00692C50">
              <w:rPr>
                <w:rFonts w:eastAsia="Times New Roman" w:cs="Times New Roman"/>
                <w:b/>
                <w:bCs/>
                <w:sz w:val="16"/>
                <w:szCs w:val="16"/>
                <w:lang w:eastAsia="es-CO"/>
              </w:rPr>
              <w:t>MÍN.</w:t>
            </w:r>
          </w:p>
        </w:tc>
        <w:tc>
          <w:tcPr>
            <w:tcW w:w="322" w:type="pct"/>
            <w:vAlign w:val="center"/>
            <w:hideMark/>
          </w:tcPr>
          <w:p w14:paraId="19132F2F" w14:textId="77777777" w:rsidR="004078AD" w:rsidRPr="00692C50" w:rsidRDefault="004078AD" w:rsidP="000A5389">
            <w:pPr>
              <w:spacing w:line="240" w:lineRule="auto"/>
              <w:jc w:val="center"/>
              <w:rPr>
                <w:rFonts w:eastAsia="Times New Roman" w:cs="Times New Roman"/>
                <w:b/>
                <w:bCs/>
                <w:sz w:val="16"/>
                <w:szCs w:val="16"/>
                <w:lang w:eastAsia="es-CO"/>
              </w:rPr>
            </w:pPr>
            <w:r w:rsidRPr="00692C50">
              <w:rPr>
                <w:rFonts w:eastAsia="Times New Roman" w:cs="Times New Roman"/>
                <w:b/>
                <w:bCs/>
                <w:sz w:val="16"/>
                <w:szCs w:val="16"/>
                <w:lang w:eastAsia="es-CO"/>
              </w:rPr>
              <w:t>MÁX.</w:t>
            </w:r>
          </w:p>
        </w:tc>
        <w:tc>
          <w:tcPr>
            <w:tcW w:w="882" w:type="pct"/>
            <w:vAlign w:val="center"/>
            <w:hideMark/>
          </w:tcPr>
          <w:p w14:paraId="1005DAC5" w14:textId="77777777" w:rsidR="004078AD" w:rsidRPr="00692C50" w:rsidRDefault="004078AD" w:rsidP="000A5389">
            <w:pPr>
              <w:spacing w:line="240" w:lineRule="auto"/>
              <w:rPr>
                <w:rFonts w:eastAsia="Times New Roman" w:cs="Times New Roman"/>
                <w:b/>
                <w:bCs/>
                <w:sz w:val="16"/>
                <w:szCs w:val="16"/>
                <w:lang w:eastAsia="es-CO"/>
              </w:rPr>
            </w:pPr>
          </w:p>
        </w:tc>
        <w:tc>
          <w:tcPr>
            <w:tcW w:w="1308" w:type="pct"/>
            <w:vAlign w:val="center"/>
            <w:hideMark/>
          </w:tcPr>
          <w:p w14:paraId="4BA66FFD" w14:textId="77777777" w:rsidR="004078AD" w:rsidRPr="00692C50" w:rsidRDefault="004078AD" w:rsidP="000A5389">
            <w:pPr>
              <w:spacing w:line="240" w:lineRule="auto"/>
              <w:rPr>
                <w:rFonts w:eastAsia="Times New Roman" w:cs="Times New Roman"/>
                <w:b/>
                <w:bCs/>
                <w:sz w:val="16"/>
                <w:szCs w:val="16"/>
                <w:lang w:eastAsia="es-CO"/>
              </w:rPr>
            </w:pPr>
          </w:p>
        </w:tc>
      </w:tr>
      <w:tr w:rsidR="008515FA" w:rsidRPr="00692C50" w14:paraId="315E5718" w14:textId="77777777" w:rsidTr="00692C50">
        <w:trPr>
          <w:trHeight w:val="198"/>
        </w:trPr>
        <w:tc>
          <w:tcPr>
            <w:tcW w:w="1282" w:type="pct"/>
            <w:gridSpan w:val="2"/>
            <w:vAlign w:val="center"/>
            <w:hideMark/>
          </w:tcPr>
          <w:p w14:paraId="1AE2044C" w14:textId="77777777" w:rsidR="004078AD" w:rsidRPr="00692C50" w:rsidRDefault="004078AD" w:rsidP="000A5389">
            <w:pPr>
              <w:spacing w:line="240" w:lineRule="auto"/>
              <w:jc w:val="center"/>
              <w:rPr>
                <w:rFonts w:eastAsia="Times New Roman" w:cs="Times New Roman"/>
                <w:b/>
                <w:bCs/>
                <w:sz w:val="16"/>
                <w:szCs w:val="16"/>
                <w:lang w:eastAsia="es-CO"/>
              </w:rPr>
            </w:pPr>
            <w:r w:rsidRPr="00692C50">
              <w:rPr>
                <w:rFonts w:eastAsia="Times New Roman" w:cs="Times New Roman"/>
                <w:b/>
                <w:bCs/>
                <w:sz w:val="16"/>
                <w:szCs w:val="16"/>
                <w:lang w:eastAsia="es-CO"/>
              </w:rPr>
              <w:t xml:space="preserve">SALDO TOTAL </w:t>
            </w:r>
          </w:p>
        </w:tc>
        <w:tc>
          <w:tcPr>
            <w:tcW w:w="884" w:type="pct"/>
            <w:noWrap/>
            <w:vAlign w:val="center"/>
            <w:hideMark/>
          </w:tcPr>
          <w:p w14:paraId="6BCB9832" w14:textId="77777777" w:rsidR="004078AD" w:rsidRPr="00692C50" w:rsidRDefault="004078AD" w:rsidP="000A5389">
            <w:pPr>
              <w:spacing w:line="240" w:lineRule="auto"/>
              <w:jc w:val="right"/>
              <w:rPr>
                <w:rFonts w:eastAsia="Times New Roman" w:cs="Times New Roman"/>
                <w:b/>
                <w:bCs/>
                <w:sz w:val="16"/>
                <w:szCs w:val="16"/>
                <w:lang w:eastAsia="es-CO"/>
              </w:rPr>
            </w:pPr>
            <w:r w:rsidRPr="00692C50">
              <w:rPr>
                <w:rFonts w:eastAsia="Times New Roman" w:cs="Times New Roman"/>
                <w:b/>
                <w:bCs/>
                <w:sz w:val="16"/>
                <w:szCs w:val="16"/>
                <w:lang w:eastAsia="es-CO"/>
              </w:rPr>
              <w:t xml:space="preserve">          4.267.737.435.634 </w:t>
            </w:r>
          </w:p>
        </w:tc>
        <w:tc>
          <w:tcPr>
            <w:tcW w:w="322" w:type="pct"/>
            <w:vAlign w:val="center"/>
            <w:hideMark/>
          </w:tcPr>
          <w:p w14:paraId="7C9AA607" w14:textId="77777777" w:rsidR="004078AD" w:rsidRPr="00692C50" w:rsidRDefault="004078AD" w:rsidP="000A5389">
            <w:pPr>
              <w:spacing w:line="240" w:lineRule="auto"/>
              <w:jc w:val="center"/>
              <w:rPr>
                <w:rFonts w:eastAsia="Times New Roman" w:cs="Times New Roman"/>
                <w:b/>
                <w:bCs/>
                <w:sz w:val="16"/>
                <w:szCs w:val="16"/>
                <w:lang w:eastAsia="es-CO"/>
              </w:rPr>
            </w:pPr>
            <w:r w:rsidRPr="00692C50">
              <w:rPr>
                <w:rFonts w:eastAsia="Times New Roman" w:cs="Times New Roman"/>
                <w:b/>
                <w:bCs/>
                <w:sz w:val="16"/>
                <w:szCs w:val="16"/>
                <w:lang w:eastAsia="es-CO"/>
              </w:rPr>
              <w:t> </w:t>
            </w:r>
          </w:p>
        </w:tc>
        <w:tc>
          <w:tcPr>
            <w:tcW w:w="322" w:type="pct"/>
            <w:vAlign w:val="center"/>
            <w:hideMark/>
          </w:tcPr>
          <w:p w14:paraId="53E06216" w14:textId="77777777" w:rsidR="004078AD" w:rsidRPr="00692C50" w:rsidRDefault="004078AD" w:rsidP="000A5389">
            <w:pPr>
              <w:spacing w:line="240" w:lineRule="auto"/>
              <w:jc w:val="center"/>
              <w:rPr>
                <w:rFonts w:eastAsia="Times New Roman" w:cs="Times New Roman"/>
                <w:b/>
                <w:bCs/>
                <w:sz w:val="16"/>
                <w:szCs w:val="16"/>
                <w:lang w:eastAsia="es-CO"/>
              </w:rPr>
            </w:pPr>
            <w:r w:rsidRPr="00692C50">
              <w:rPr>
                <w:rFonts w:eastAsia="Times New Roman" w:cs="Times New Roman"/>
                <w:b/>
                <w:bCs/>
                <w:sz w:val="16"/>
                <w:szCs w:val="16"/>
                <w:lang w:eastAsia="es-CO"/>
              </w:rPr>
              <w:t> </w:t>
            </w:r>
          </w:p>
        </w:tc>
        <w:tc>
          <w:tcPr>
            <w:tcW w:w="882" w:type="pct"/>
            <w:vAlign w:val="center"/>
            <w:hideMark/>
          </w:tcPr>
          <w:p w14:paraId="621FD675" w14:textId="77777777" w:rsidR="004078AD" w:rsidRPr="00692C50" w:rsidRDefault="004078AD" w:rsidP="000A5389">
            <w:pPr>
              <w:spacing w:line="240" w:lineRule="auto"/>
              <w:jc w:val="center"/>
              <w:rPr>
                <w:rFonts w:eastAsia="Times New Roman" w:cs="Times New Roman"/>
                <w:b/>
                <w:bCs/>
                <w:sz w:val="16"/>
                <w:szCs w:val="16"/>
                <w:lang w:eastAsia="es-CO"/>
              </w:rPr>
            </w:pPr>
            <w:r w:rsidRPr="00692C50">
              <w:rPr>
                <w:rFonts w:eastAsia="Times New Roman" w:cs="Times New Roman"/>
                <w:b/>
                <w:bCs/>
                <w:sz w:val="16"/>
                <w:szCs w:val="16"/>
                <w:lang w:eastAsia="es-CO"/>
              </w:rPr>
              <w:t> </w:t>
            </w:r>
          </w:p>
        </w:tc>
        <w:tc>
          <w:tcPr>
            <w:tcW w:w="1308" w:type="pct"/>
            <w:vAlign w:val="center"/>
            <w:hideMark/>
          </w:tcPr>
          <w:p w14:paraId="7A7338FE" w14:textId="77777777" w:rsidR="004078AD" w:rsidRPr="00692C50" w:rsidRDefault="004078AD" w:rsidP="000A5389">
            <w:pPr>
              <w:spacing w:line="240" w:lineRule="auto"/>
              <w:jc w:val="center"/>
              <w:rPr>
                <w:rFonts w:eastAsia="Times New Roman" w:cs="Times New Roman"/>
                <w:b/>
                <w:bCs/>
                <w:sz w:val="16"/>
                <w:szCs w:val="16"/>
                <w:lang w:eastAsia="es-CO"/>
              </w:rPr>
            </w:pPr>
            <w:r w:rsidRPr="00692C50">
              <w:rPr>
                <w:rFonts w:eastAsia="Times New Roman" w:cs="Times New Roman"/>
                <w:b/>
                <w:bCs/>
                <w:sz w:val="16"/>
                <w:szCs w:val="16"/>
                <w:lang w:eastAsia="es-CO"/>
              </w:rPr>
              <w:t> </w:t>
            </w:r>
          </w:p>
        </w:tc>
      </w:tr>
      <w:tr w:rsidR="008515FA" w:rsidRPr="00692C50" w14:paraId="44CC6F68" w14:textId="77777777" w:rsidTr="00692C50">
        <w:trPr>
          <w:trHeight w:val="570"/>
        </w:trPr>
        <w:tc>
          <w:tcPr>
            <w:tcW w:w="1282" w:type="pct"/>
            <w:gridSpan w:val="2"/>
            <w:noWrap/>
            <w:vAlign w:val="center"/>
            <w:hideMark/>
          </w:tcPr>
          <w:p w14:paraId="0B400013" w14:textId="77777777" w:rsidR="004078AD" w:rsidRPr="00692C50" w:rsidRDefault="004078AD" w:rsidP="000A5389">
            <w:pPr>
              <w:spacing w:line="240" w:lineRule="auto"/>
              <w:jc w:val="center"/>
              <w:rPr>
                <w:rFonts w:eastAsia="Times New Roman" w:cs="Times New Roman"/>
                <w:b/>
                <w:bCs/>
                <w:sz w:val="16"/>
                <w:szCs w:val="16"/>
                <w:lang w:eastAsia="es-CO"/>
              </w:rPr>
            </w:pPr>
            <w:r w:rsidRPr="00692C50">
              <w:rPr>
                <w:rFonts w:eastAsia="Times New Roman" w:cs="Times New Roman"/>
                <w:b/>
                <w:bCs/>
                <w:sz w:val="16"/>
                <w:szCs w:val="16"/>
                <w:lang w:eastAsia="es-CO"/>
              </w:rPr>
              <w:t xml:space="preserve">i) Laudos arbitrales ejecutoriados </w:t>
            </w:r>
          </w:p>
        </w:tc>
        <w:tc>
          <w:tcPr>
            <w:tcW w:w="884" w:type="pct"/>
            <w:noWrap/>
            <w:vAlign w:val="center"/>
            <w:hideMark/>
          </w:tcPr>
          <w:p w14:paraId="314F8FE7" w14:textId="77777777" w:rsidR="004078AD" w:rsidRPr="00692C50" w:rsidRDefault="004078AD" w:rsidP="000A5389">
            <w:pPr>
              <w:spacing w:line="240" w:lineRule="auto"/>
              <w:jc w:val="right"/>
              <w:rPr>
                <w:rFonts w:eastAsia="Times New Roman" w:cs="Times New Roman"/>
                <w:b/>
                <w:bCs/>
                <w:sz w:val="16"/>
                <w:szCs w:val="16"/>
                <w:lang w:eastAsia="es-CO"/>
              </w:rPr>
            </w:pPr>
            <w:r w:rsidRPr="00692C50">
              <w:rPr>
                <w:rFonts w:eastAsia="Times New Roman" w:cs="Times New Roman"/>
                <w:b/>
                <w:bCs/>
                <w:sz w:val="16"/>
                <w:szCs w:val="16"/>
                <w:lang w:eastAsia="es-CO"/>
              </w:rPr>
              <w:t xml:space="preserve">           4.262.526.196.665 </w:t>
            </w:r>
          </w:p>
        </w:tc>
        <w:tc>
          <w:tcPr>
            <w:tcW w:w="322" w:type="pct"/>
            <w:noWrap/>
            <w:vAlign w:val="center"/>
            <w:hideMark/>
          </w:tcPr>
          <w:p w14:paraId="545050D5" w14:textId="77777777" w:rsidR="004078AD" w:rsidRPr="00692C50" w:rsidRDefault="004078AD" w:rsidP="000A5389">
            <w:pPr>
              <w:spacing w:line="240" w:lineRule="auto"/>
              <w:rPr>
                <w:rFonts w:eastAsia="Times New Roman" w:cs="Times New Roman"/>
                <w:b/>
                <w:bCs/>
                <w:sz w:val="16"/>
                <w:szCs w:val="16"/>
                <w:lang w:eastAsia="es-CO"/>
              </w:rPr>
            </w:pPr>
            <w:r w:rsidRPr="00692C50">
              <w:rPr>
                <w:rFonts w:eastAsia="Times New Roman" w:cs="Times New Roman"/>
                <w:b/>
                <w:bCs/>
                <w:sz w:val="16"/>
                <w:szCs w:val="16"/>
                <w:lang w:eastAsia="es-CO"/>
              </w:rPr>
              <w:t> </w:t>
            </w:r>
          </w:p>
        </w:tc>
        <w:tc>
          <w:tcPr>
            <w:tcW w:w="322" w:type="pct"/>
            <w:noWrap/>
            <w:vAlign w:val="center"/>
            <w:hideMark/>
          </w:tcPr>
          <w:p w14:paraId="2839D2E6" w14:textId="77777777" w:rsidR="004078AD" w:rsidRPr="00692C50" w:rsidRDefault="004078AD" w:rsidP="000A5389">
            <w:pPr>
              <w:spacing w:line="240" w:lineRule="auto"/>
              <w:jc w:val="center"/>
              <w:rPr>
                <w:rFonts w:eastAsia="Times New Roman" w:cs="Times New Roman"/>
                <w:b/>
                <w:bCs/>
                <w:sz w:val="16"/>
                <w:szCs w:val="16"/>
                <w:lang w:eastAsia="es-CO"/>
              </w:rPr>
            </w:pPr>
            <w:r w:rsidRPr="00692C50">
              <w:rPr>
                <w:rFonts w:eastAsia="Times New Roman" w:cs="Times New Roman"/>
                <w:b/>
                <w:bCs/>
                <w:sz w:val="16"/>
                <w:szCs w:val="16"/>
                <w:lang w:eastAsia="es-CO"/>
              </w:rPr>
              <w:t> </w:t>
            </w:r>
          </w:p>
        </w:tc>
        <w:tc>
          <w:tcPr>
            <w:tcW w:w="882" w:type="pct"/>
            <w:noWrap/>
            <w:vAlign w:val="center"/>
            <w:hideMark/>
          </w:tcPr>
          <w:p w14:paraId="4D5C7B06" w14:textId="77777777" w:rsidR="004078AD" w:rsidRPr="00692C50" w:rsidRDefault="004078AD" w:rsidP="000A5389">
            <w:pPr>
              <w:spacing w:line="240" w:lineRule="auto"/>
              <w:rPr>
                <w:rFonts w:eastAsia="Times New Roman" w:cs="Times New Roman"/>
                <w:b/>
                <w:bCs/>
                <w:sz w:val="16"/>
                <w:szCs w:val="16"/>
                <w:lang w:eastAsia="es-CO"/>
              </w:rPr>
            </w:pPr>
            <w:r w:rsidRPr="00692C50">
              <w:rPr>
                <w:rFonts w:eastAsia="Times New Roman" w:cs="Times New Roman"/>
                <w:b/>
                <w:bCs/>
                <w:sz w:val="16"/>
                <w:szCs w:val="16"/>
                <w:lang w:eastAsia="es-CO"/>
              </w:rPr>
              <w:t> </w:t>
            </w:r>
          </w:p>
        </w:tc>
        <w:tc>
          <w:tcPr>
            <w:tcW w:w="1308" w:type="pct"/>
            <w:noWrap/>
            <w:vAlign w:val="center"/>
            <w:hideMark/>
          </w:tcPr>
          <w:p w14:paraId="6FE87B3B" w14:textId="77777777" w:rsidR="004078AD" w:rsidRPr="00692C50" w:rsidRDefault="004078AD" w:rsidP="000A5389">
            <w:pPr>
              <w:spacing w:line="240" w:lineRule="auto"/>
              <w:jc w:val="center"/>
              <w:rPr>
                <w:rFonts w:eastAsia="Times New Roman" w:cs="Times New Roman"/>
                <w:b/>
                <w:bCs/>
                <w:sz w:val="16"/>
                <w:szCs w:val="16"/>
                <w:lang w:eastAsia="es-CO"/>
              </w:rPr>
            </w:pPr>
            <w:r w:rsidRPr="00692C50">
              <w:rPr>
                <w:rFonts w:eastAsia="Times New Roman" w:cs="Times New Roman"/>
                <w:b/>
                <w:bCs/>
                <w:sz w:val="16"/>
                <w:szCs w:val="16"/>
                <w:lang w:eastAsia="es-CO"/>
              </w:rPr>
              <w:t> </w:t>
            </w:r>
          </w:p>
        </w:tc>
      </w:tr>
      <w:tr w:rsidR="008515FA" w:rsidRPr="00692C50" w14:paraId="7DAF22AF" w14:textId="77777777" w:rsidTr="00692C50">
        <w:trPr>
          <w:trHeight w:val="1946"/>
        </w:trPr>
        <w:tc>
          <w:tcPr>
            <w:tcW w:w="560" w:type="pct"/>
            <w:noWrap/>
            <w:vAlign w:val="center"/>
            <w:hideMark/>
          </w:tcPr>
          <w:p w14:paraId="71DAD50D" w14:textId="77777777" w:rsidR="004078AD" w:rsidRPr="00692C50" w:rsidRDefault="004078AD" w:rsidP="000A5389">
            <w:pPr>
              <w:spacing w:line="240" w:lineRule="auto"/>
              <w:jc w:val="right"/>
              <w:rPr>
                <w:rFonts w:eastAsia="Times New Roman" w:cs="Times New Roman"/>
                <w:sz w:val="16"/>
                <w:szCs w:val="16"/>
                <w:lang w:eastAsia="es-CO"/>
              </w:rPr>
            </w:pPr>
            <w:r w:rsidRPr="00692C50">
              <w:rPr>
                <w:rFonts w:eastAsia="Times New Roman" w:cs="Times New Roman"/>
                <w:sz w:val="16"/>
                <w:szCs w:val="16"/>
                <w:lang w:eastAsia="es-CO"/>
              </w:rPr>
              <w:t>900761657</w:t>
            </w:r>
          </w:p>
        </w:tc>
        <w:tc>
          <w:tcPr>
            <w:tcW w:w="722" w:type="pct"/>
            <w:vAlign w:val="center"/>
            <w:hideMark/>
          </w:tcPr>
          <w:p w14:paraId="732C3F9E" w14:textId="489B130D" w:rsidR="004078AD" w:rsidRPr="00692C50" w:rsidRDefault="008515FA" w:rsidP="000A5389">
            <w:pPr>
              <w:spacing w:line="240" w:lineRule="auto"/>
              <w:jc w:val="center"/>
              <w:rPr>
                <w:rFonts w:eastAsia="Times New Roman" w:cs="Times New Roman"/>
                <w:sz w:val="16"/>
                <w:szCs w:val="16"/>
                <w:lang w:eastAsia="es-CO"/>
              </w:rPr>
            </w:pPr>
            <w:r w:rsidRPr="00692C50">
              <w:rPr>
                <w:rFonts w:eastAsia="Times New Roman" w:cs="Times New Roman"/>
                <w:sz w:val="16"/>
                <w:szCs w:val="16"/>
                <w:lang w:eastAsia="es-CO"/>
              </w:rPr>
              <w:t>Perimetral Oriental De Bogotá Sas</w:t>
            </w:r>
          </w:p>
        </w:tc>
        <w:tc>
          <w:tcPr>
            <w:tcW w:w="884" w:type="pct"/>
            <w:noWrap/>
            <w:vAlign w:val="center"/>
            <w:hideMark/>
          </w:tcPr>
          <w:p w14:paraId="03917FD2" w14:textId="77777777" w:rsidR="004078AD" w:rsidRPr="00692C50" w:rsidRDefault="004078AD" w:rsidP="000A5389">
            <w:pPr>
              <w:spacing w:line="240" w:lineRule="auto"/>
              <w:jc w:val="right"/>
              <w:rPr>
                <w:rFonts w:eastAsia="Times New Roman" w:cs="Times New Roman"/>
                <w:sz w:val="16"/>
                <w:szCs w:val="16"/>
                <w:lang w:eastAsia="es-CO"/>
              </w:rPr>
            </w:pPr>
            <w:r w:rsidRPr="00692C50">
              <w:rPr>
                <w:rFonts w:eastAsia="Times New Roman" w:cs="Times New Roman"/>
                <w:sz w:val="16"/>
                <w:szCs w:val="16"/>
                <w:lang w:eastAsia="es-CO"/>
              </w:rPr>
              <w:t xml:space="preserve">                          1.749.929.807.754 </w:t>
            </w:r>
          </w:p>
        </w:tc>
        <w:tc>
          <w:tcPr>
            <w:tcW w:w="322" w:type="pct"/>
            <w:noWrap/>
            <w:vAlign w:val="center"/>
            <w:hideMark/>
          </w:tcPr>
          <w:p w14:paraId="7FE152A8" w14:textId="77777777" w:rsidR="004078AD" w:rsidRPr="00692C50" w:rsidRDefault="004078AD" w:rsidP="000A5389">
            <w:pPr>
              <w:spacing w:line="240" w:lineRule="auto"/>
              <w:jc w:val="center"/>
              <w:rPr>
                <w:rFonts w:eastAsia="Times New Roman" w:cs="Times New Roman"/>
                <w:sz w:val="16"/>
                <w:szCs w:val="16"/>
                <w:lang w:eastAsia="es-CO"/>
              </w:rPr>
            </w:pPr>
            <w:r w:rsidRPr="00692C50">
              <w:rPr>
                <w:rFonts w:eastAsia="Times New Roman" w:cs="Times New Roman"/>
                <w:sz w:val="16"/>
                <w:szCs w:val="16"/>
                <w:lang w:eastAsia="es-CO"/>
              </w:rPr>
              <w:t>1</w:t>
            </w:r>
          </w:p>
        </w:tc>
        <w:tc>
          <w:tcPr>
            <w:tcW w:w="322" w:type="pct"/>
            <w:noWrap/>
            <w:vAlign w:val="center"/>
            <w:hideMark/>
          </w:tcPr>
          <w:p w14:paraId="022D0027" w14:textId="77777777" w:rsidR="004078AD" w:rsidRPr="00692C50" w:rsidRDefault="004078AD" w:rsidP="000A5389">
            <w:pPr>
              <w:spacing w:line="240" w:lineRule="auto"/>
              <w:jc w:val="center"/>
              <w:rPr>
                <w:rFonts w:eastAsia="Times New Roman" w:cs="Times New Roman"/>
                <w:sz w:val="16"/>
                <w:szCs w:val="16"/>
                <w:lang w:eastAsia="es-CO"/>
              </w:rPr>
            </w:pPr>
            <w:r w:rsidRPr="00692C50">
              <w:rPr>
                <w:rFonts w:eastAsia="Times New Roman" w:cs="Times New Roman"/>
                <w:sz w:val="16"/>
                <w:szCs w:val="16"/>
                <w:lang w:eastAsia="es-CO"/>
              </w:rPr>
              <w:t>10</w:t>
            </w:r>
          </w:p>
        </w:tc>
        <w:tc>
          <w:tcPr>
            <w:tcW w:w="882" w:type="pct"/>
            <w:vAlign w:val="center"/>
            <w:hideMark/>
          </w:tcPr>
          <w:p w14:paraId="136B9B3B" w14:textId="7C26ADFA" w:rsidR="004078AD" w:rsidRPr="00692C50" w:rsidRDefault="004078AD" w:rsidP="000A5389">
            <w:pPr>
              <w:spacing w:line="240" w:lineRule="auto"/>
              <w:rPr>
                <w:rFonts w:eastAsia="Times New Roman" w:cs="Times New Roman"/>
                <w:sz w:val="16"/>
                <w:szCs w:val="16"/>
                <w:lang w:eastAsia="es-CO"/>
              </w:rPr>
            </w:pPr>
            <w:r w:rsidRPr="00692C50">
              <w:rPr>
                <w:rFonts w:eastAsia="Times New Roman" w:cs="Times New Roman"/>
                <w:sz w:val="16"/>
                <w:szCs w:val="16"/>
                <w:lang w:eastAsia="es-CO"/>
              </w:rPr>
              <w:t>Aplica los artículos 192 y 195 del Código de Procedimiento Administrativo y de lo Contencioso</w:t>
            </w:r>
            <w:r w:rsidRPr="00692C50">
              <w:rPr>
                <w:rFonts w:eastAsia="Times New Roman" w:cs="Times New Roman"/>
                <w:sz w:val="16"/>
                <w:szCs w:val="16"/>
                <w:lang w:eastAsia="es-CO"/>
              </w:rPr>
              <w:br/>
              <w:t xml:space="preserve">Administrativo </w:t>
            </w:r>
            <w:r w:rsidR="00165777">
              <w:rPr>
                <w:rFonts w:eastAsia="Times New Roman" w:cs="Times New Roman"/>
                <w:sz w:val="16"/>
                <w:szCs w:val="16"/>
                <w:lang w:eastAsia="es-CO"/>
              </w:rPr>
              <w:t>–</w:t>
            </w:r>
            <w:r w:rsidRPr="00692C50">
              <w:rPr>
                <w:rFonts w:eastAsia="Times New Roman" w:cs="Times New Roman"/>
                <w:sz w:val="16"/>
                <w:szCs w:val="16"/>
                <w:lang w:eastAsia="es-CO"/>
              </w:rPr>
              <w:t xml:space="preserve"> CPACA</w:t>
            </w:r>
          </w:p>
        </w:tc>
        <w:tc>
          <w:tcPr>
            <w:tcW w:w="1308" w:type="pct"/>
            <w:vAlign w:val="center"/>
            <w:hideMark/>
          </w:tcPr>
          <w:p w14:paraId="222EEFB8" w14:textId="77777777" w:rsidR="004078AD" w:rsidRPr="00692C50" w:rsidRDefault="004078AD" w:rsidP="000A5389">
            <w:pPr>
              <w:spacing w:line="240" w:lineRule="auto"/>
              <w:rPr>
                <w:rFonts w:eastAsia="Times New Roman" w:cs="Times New Roman"/>
                <w:sz w:val="16"/>
                <w:szCs w:val="16"/>
                <w:lang w:eastAsia="es-CO"/>
              </w:rPr>
            </w:pPr>
            <w:r w:rsidRPr="00692C50">
              <w:rPr>
                <w:rFonts w:eastAsia="Times New Roman" w:cs="Times New Roman"/>
                <w:b/>
                <w:bCs/>
                <w:sz w:val="16"/>
                <w:szCs w:val="16"/>
                <w:lang w:eastAsia="es-CO"/>
              </w:rPr>
              <w:t>DTF (rango de fecha) *:</w:t>
            </w:r>
            <w:r w:rsidRPr="00692C50">
              <w:rPr>
                <w:rFonts w:eastAsia="Times New Roman" w:cs="Times New Roman"/>
                <w:sz w:val="16"/>
                <w:szCs w:val="16"/>
                <w:lang w:eastAsia="es-CO"/>
              </w:rPr>
              <w:t xml:space="preserve"> 19/12/2024 - 19/10/2025</w:t>
            </w:r>
            <w:r w:rsidRPr="00692C50">
              <w:rPr>
                <w:rFonts w:eastAsia="Times New Roman" w:cs="Times New Roman"/>
                <w:sz w:val="16"/>
                <w:szCs w:val="16"/>
                <w:lang w:eastAsia="es-CO"/>
              </w:rPr>
              <w:br/>
              <w:t>*Se aplica DTF entre los 10 primeros meses</w:t>
            </w:r>
            <w:r w:rsidRPr="00692C50">
              <w:rPr>
                <w:rFonts w:eastAsia="Times New Roman" w:cs="Times New Roman"/>
                <w:sz w:val="16"/>
                <w:szCs w:val="16"/>
                <w:lang w:eastAsia="es-CO"/>
              </w:rPr>
              <w:br/>
            </w:r>
            <w:r w:rsidRPr="00692C50">
              <w:rPr>
                <w:rFonts w:eastAsia="Times New Roman" w:cs="Times New Roman"/>
                <w:b/>
                <w:bCs/>
                <w:sz w:val="16"/>
                <w:szCs w:val="16"/>
                <w:lang w:eastAsia="es-CO"/>
              </w:rPr>
              <w:t>Tasa de interés bancario corriente (rango de fecha) *:</w:t>
            </w:r>
            <w:r w:rsidRPr="00692C50">
              <w:rPr>
                <w:rFonts w:eastAsia="Times New Roman" w:cs="Times New Roman"/>
                <w:sz w:val="16"/>
                <w:szCs w:val="16"/>
                <w:lang w:eastAsia="es-CO"/>
              </w:rPr>
              <w:t xml:space="preserve"> 20/10/2025 31/12/2025</w:t>
            </w:r>
            <w:r w:rsidRPr="00692C50">
              <w:rPr>
                <w:rFonts w:eastAsia="Times New Roman" w:cs="Times New Roman"/>
                <w:sz w:val="16"/>
                <w:szCs w:val="16"/>
                <w:lang w:eastAsia="es-CO"/>
              </w:rPr>
              <w:br/>
              <w:t>*Se aplica Tasa de interés bancario corriente, después de los 10 meses conforme lo establecido en el</w:t>
            </w:r>
            <w:r w:rsidRPr="00692C50">
              <w:rPr>
                <w:rFonts w:eastAsia="Times New Roman" w:cs="Times New Roman"/>
                <w:sz w:val="16"/>
                <w:szCs w:val="16"/>
                <w:lang w:eastAsia="es-CO"/>
              </w:rPr>
              <w:br/>
              <w:t>artículo 195 del CPACA.</w:t>
            </w:r>
          </w:p>
        </w:tc>
      </w:tr>
      <w:tr w:rsidR="008515FA" w:rsidRPr="00692C50" w14:paraId="5279D5E0" w14:textId="77777777" w:rsidTr="00692C50">
        <w:trPr>
          <w:trHeight w:val="630"/>
        </w:trPr>
        <w:tc>
          <w:tcPr>
            <w:tcW w:w="560" w:type="pct"/>
            <w:noWrap/>
            <w:vAlign w:val="center"/>
            <w:hideMark/>
          </w:tcPr>
          <w:p w14:paraId="42D2804C" w14:textId="77777777" w:rsidR="004078AD" w:rsidRPr="00692C50" w:rsidRDefault="004078AD" w:rsidP="000A5389">
            <w:pPr>
              <w:spacing w:line="240" w:lineRule="auto"/>
              <w:jc w:val="right"/>
              <w:rPr>
                <w:rFonts w:eastAsia="Times New Roman" w:cs="Times New Roman"/>
                <w:sz w:val="16"/>
                <w:szCs w:val="16"/>
                <w:lang w:eastAsia="es-CO"/>
              </w:rPr>
            </w:pPr>
            <w:r w:rsidRPr="00692C50">
              <w:rPr>
                <w:rFonts w:eastAsia="Times New Roman" w:cs="Times New Roman"/>
                <w:sz w:val="16"/>
                <w:szCs w:val="16"/>
                <w:lang w:eastAsia="es-CO"/>
              </w:rPr>
              <w:lastRenderedPageBreak/>
              <w:t>900373092</w:t>
            </w:r>
          </w:p>
        </w:tc>
        <w:tc>
          <w:tcPr>
            <w:tcW w:w="722" w:type="pct"/>
            <w:vAlign w:val="center"/>
            <w:hideMark/>
          </w:tcPr>
          <w:p w14:paraId="2090ACAB" w14:textId="3A4A764A" w:rsidR="004078AD" w:rsidRPr="00692C50" w:rsidRDefault="008515FA" w:rsidP="000A5389">
            <w:pPr>
              <w:spacing w:line="240" w:lineRule="auto"/>
              <w:jc w:val="center"/>
              <w:rPr>
                <w:rFonts w:eastAsia="Times New Roman" w:cs="Times New Roman"/>
                <w:sz w:val="16"/>
                <w:szCs w:val="16"/>
                <w:lang w:eastAsia="es-CO"/>
              </w:rPr>
            </w:pPr>
            <w:r w:rsidRPr="00692C50">
              <w:rPr>
                <w:rFonts w:eastAsia="Times New Roman" w:cs="Times New Roman"/>
                <w:sz w:val="16"/>
                <w:szCs w:val="16"/>
                <w:lang w:eastAsia="es-CO"/>
              </w:rPr>
              <w:t>Yuma Concesionaria S A - En Reorganizacion</w:t>
            </w:r>
          </w:p>
        </w:tc>
        <w:tc>
          <w:tcPr>
            <w:tcW w:w="884" w:type="pct"/>
            <w:noWrap/>
            <w:vAlign w:val="center"/>
            <w:hideMark/>
          </w:tcPr>
          <w:p w14:paraId="693CD36A" w14:textId="77777777" w:rsidR="004078AD" w:rsidRPr="00692C50" w:rsidRDefault="004078AD" w:rsidP="000A5389">
            <w:pPr>
              <w:spacing w:line="240" w:lineRule="auto"/>
              <w:jc w:val="right"/>
              <w:rPr>
                <w:rFonts w:eastAsia="Times New Roman" w:cs="Times New Roman"/>
                <w:sz w:val="16"/>
                <w:szCs w:val="16"/>
                <w:lang w:eastAsia="es-CO"/>
              </w:rPr>
            </w:pPr>
            <w:r w:rsidRPr="00692C50">
              <w:rPr>
                <w:rFonts w:eastAsia="Times New Roman" w:cs="Times New Roman"/>
                <w:sz w:val="16"/>
                <w:szCs w:val="16"/>
                <w:lang w:eastAsia="es-CO"/>
              </w:rPr>
              <w:t xml:space="preserve">                              810.381.884.665 </w:t>
            </w:r>
          </w:p>
        </w:tc>
        <w:tc>
          <w:tcPr>
            <w:tcW w:w="322" w:type="pct"/>
            <w:noWrap/>
            <w:vAlign w:val="center"/>
            <w:hideMark/>
          </w:tcPr>
          <w:p w14:paraId="5D878BA8" w14:textId="77777777" w:rsidR="004078AD" w:rsidRPr="00692C50" w:rsidRDefault="004078AD" w:rsidP="000A5389">
            <w:pPr>
              <w:spacing w:line="240" w:lineRule="auto"/>
              <w:jc w:val="center"/>
              <w:rPr>
                <w:rFonts w:eastAsia="Times New Roman" w:cs="Times New Roman"/>
                <w:sz w:val="16"/>
                <w:szCs w:val="16"/>
                <w:lang w:eastAsia="es-CO"/>
              </w:rPr>
            </w:pPr>
            <w:r w:rsidRPr="00692C50">
              <w:rPr>
                <w:rFonts w:eastAsia="Times New Roman" w:cs="Times New Roman"/>
                <w:sz w:val="16"/>
                <w:szCs w:val="16"/>
                <w:lang w:eastAsia="es-CO"/>
              </w:rPr>
              <w:t> </w:t>
            </w:r>
          </w:p>
        </w:tc>
        <w:tc>
          <w:tcPr>
            <w:tcW w:w="322" w:type="pct"/>
            <w:noWrap/>
            <w:vAlign w:val="center"/>
            <w:hideMark/>
          </w:tcPr>
          <w:p w14:paraId="3405996D" w14:textId="77777777" w:rsidR="004078AD" w:rsidRPr="00692C50" w:rsidRDefault="004078AD" w:rsidP="000A5389">
            <w:pPr>
              <w:spacing w:line="240" w:lineRule="auto"/>
              <w:jc w:val="center"/>
              <w:rPr>
                <w:rFonts w:eastAsia="Times New Roman" w:cs="Times New Roman"/>
                <w:sz w:val="16"/>
                <w:szCs w:val="16"/>
                <w:lang w:eastAsia="es-CO"/>
              </w:rPr>
            </w:pPr>
            <w:r w:rsidRPr="00692C50">
              <w:rPr>
                <w:rFonts w:eastAsia="Times New Roman" w:cs="Times New Roman"/>
                <w:sz w:val="16"/>
                <w:szCs w:val="16"/>
                <w:lang w:eastAsia="es-CO"/>
              </w:rPr>
              <w:t> </w:t>
            </w:r>
          </w:p>
        </w:tc>
        <w:tc>
          <w:tcPr>
            <w:tcW w:w="882" w:type="pct"/>
            <w:vAlign w:val="center"/>
            <w:hideMark/>
          </w:tcPr>
          <w:p w14:paraId="55DBCBEE" w14:textId="77777777" w:rsidR="004078AD" w:rsidRPr="00692C50" w:rsidRDefault="004078AD" w:rsidP="000A5389">
            <w:pPr>
              <w:spacing w:line="240" w:lineRule="auto"/>
              <w:rPr>
                <w:rFonts w:eastAsia="Times New Roman" w:cs="Times New Roman"/>
                <w:sz w:val="16"/>
                <w:szCs w:val="16"/>
                <w:lang w:eastAsia="es-CO"/>
              </w:rPr>
            </w:pPr>
            <w:r w:rsidRPr="00692C50">
              <w:rPr>
                <w:rFonts w:eastAsia="Times New Roman" w:cs="Times New Roman"/>
                <w:sz w:val="16"/>
                <w:szCs w:val="16"/>
                <w:lang w:eastAsia="es-CO"/>
              </w:rPr>
              <w:t>Acuerdo conciliatorio conforme a los términos que aplica el contrato.</w:t>
            </w:r>
          </w:p>
        </w:tc>
        <w:tc>
          <w:tcPr>
            <w:tcW w:w="1308" w:type="pct"/>
            <w:vAlign w:val="center"/>
            <w:hideMark/>
          </w:tcPr>
          <w:p w14:paraId="6C2B416D" w14:textId="77777777" w:rsidR="004078AD" w:rsidRPr="00692C50" w:rsidRDefault="004078AD" w:rsidP="000A5389">
            <w:pPr>
              <w:spacing w:line="240" w:lineRule="auto"/>
              <w:rPr>
                <w:rFonts w:eastAsia="Times New Roman" w:cs="Times New Roman"/>
                <w:sz w:val="16"/>
                <w:szCs w:val="16"/>
                <w:lang w:eastAsia="es-CO"/>
              </w:rPr>
            </w:pPr>
            <w:r w:rsidRPr="00692C50">
              <w:rPr>
                <w:rFonts w:eastAsia="Times New Roman" w:cs="Times New Roman"/>
                <w:b/>
                <w:bCs/>
                <w:sz w:val="16"/>
                <w:szCs w:val="16"/>
                <w:lang w:eastAsia="es-CO"/>
              </w:rPr>
              <w:t xml:space="preserve">Tasa de interés: </w:t>
            </w:r>
            <w:r w:rsidRPr="00692C50">
              <w:rPr>
                <w:rFonts w:eastAsia="Times New Roman" w:cs="Times New Roman"/>
                <w:sz w:val="16"/>
                <w:szCs w:val="16"/>
                <w:lang w:eastAsia="es-CO"/>
              </w:rPr>
              <w:t>0,624% EM</w:t>
            </w:r>
          </w:p>
        </w:tc>
      </w:tr>
      <w:tr w:rsidR="008515FA" w:rsidRPr="00692C50" w14:paraId="75778D55" w14:textId="77777777" w:rsidTr="00692C50">
        <w:trPr>
          <w:trHeight w:val="1911"/>
        </w:trPr>
        <w:tc>
          <w:tcPr>
            <w:tcW w:w="560" w:type="pct"/>
            <w:noWrap/>
            <w:vAlign w:val="center"/>
            <w:hideMark/>
          </w:tcPr>
          <w:p w14:paraId="270EE624" w14:textId="77777777" w:rsidR="004078AD" w:rsidRPr="00692C50" w:rsidRDefault="004078AD" w:rsidP="000A5389">
            <w:pPr>
              <w:spacing w:line="240" w:lineRule="auto"/>
              <w:jc w:val="right"/>
              <w:rPr>
                <w:rFonts w:eastAsia="Times New Roman" w:cs="Times New Roman"/>
                <w:sz w:val="16"/>
                <w:szCs w:val="16"/>
                <w:lang w:eastAsia="es-CO"/>
              </w:rPr>
            </w:pPr>
            <w:r w:rsidRPr="00692C50">
              <w:rPr>
                <w:rFonts w:eastAsia="Times New Roman" w:cs="Times New Roman"/>
                <w:sz w:val="16"/>
                <w:szCs w:val="16"/>
                <w:lang w:eastAsia="es-CO"/>
              </w:rPr>
              <w:t>830059605</w:t>
            </w:r>
          </w:p>
        </w:tc>
        <w:tc>
          <w:tcPr>
            <w:tcW w:w="722" w:type="pct"/>
            <w:vAlign w:val="center"/>
            <w:hideMark/>
          </w:tcPr>
          <w:p w14:paraId="019FBEE9" w14:textId="454C40B1" w:rsidR="004078AD" w:rsidRPr="00692C50" w:rsidRDefault="008515FA" w:rsidP="000A5389">
            <w:pPr>
              <w:spacing w:line="240" w:lineRule="auto"/>
              <w:jc w:val="center"/>
              <w:rPr>
                <w:rFonts w:eastAsia="Times New Roman" w:cs="Times New Roman"/>
                <w:sz w:val="16"/>
                <w:szCs w:val="16"/>
                <w:lang w:eastAsia="es-CO"/>
              </w:rPr>
            </w:pPr>
            <w:r w:rsidRPr="00692C50">
              <w:rPr>
                <w:rFonts w:eastAsia="Times New Roman" w:cs="Times New Roman"/>
                <w:sz w:val="16"/>
                <w:szCs w:val="16"/>
                <w:lang w:eastAsia="es-CO"/>
              </w:rPr>
              <w:t>Union Temporal Desarrollo Vial Del Valle Del Cauca Y Cauca</w:t>
            </w:r>
          </w:p>
        </w:tc>
        <w:tc>
          <w:tcPr>
            <w:tcW w:w="884" w:type="pct"/>
            <w:noWrap/>
            <w:vAlign w:val="center"/>
            <w:hideMark/>
          </w:tcPr>
          <w:p w14:paraId="686B9D3A" w14:textId="77777777" w:rsidR="004078AD" w:rsidRPr="00692C50" w:rsidRDefault="004078AD" w:rsidP="000A5389">
            <w:pPr>
              <w:spacing w:line="240" w:lineRule="auto"/>
              <w:jc w:val="right"/>
              <w:rPr>
                <w:rFonts w:eastAsia="Times New Roman" w:cs="Times New Roman"/>
                <w:sz w:val="16"/>
                <w:szCs w:val="16"/>
                <w:lang w:eastAsia="es-CO"/>
              </w:rPr>
            </w:pPr>
            <w:r w:rsidRPr="00692C50">
              <w:rPr>
                <w:rFonts w:eastAsia="Times New Roman" w:cs="Times New Roman"/>
                <w:sz w:val="16"/>
                <w:szCs w:val="16"/>
                <w:lang w:eastAsia="es-CO"/>
              </w:rPr>
              <w:t xml:space="preserve">                              795.752.941.128 </w:t>
            </w:r>
          </w:p>
        </w:tc>
        <w:tc>
          <w:tcPr>
            <w:tcW w:w="322" w:type="pct"/>
            <w:noWrap/>
            <w:vAlign w:val="center"/>
            <w:hideMark/>
          </w:tcPr>
          <w:p w14:paraId="037B96D6" w14:textId="77777777" w:rsidR="004078AD" w:rsidRPr="00692C50" w:rsidRDefault="004078AD" w:rsidP="000A5389">
            <w:pPr>
              <w:spacing w:line="240" w:lineRule="auto"/>
              <w:jc w:val="center"/>
              <w:rPr>
                <w:rFonts w:eastAsia="Times New Roman" w:cs="Times New Roman"/>
                <w:sz w:val="16"/>
                <w:szCs w:val="16"/>
                <w:lang w:eastAsia="es-CO"/>
              </w:rPr>
            </w:pPr>
            <w:r w:rsidRPr="00692C50">
              <w:rPr>
                <w:rFonts w:eastAsia="Times New Roman" w:cs="Times New Roman"/>
                <w:sz w:val="16"/>
                <w:szCs w:val="16"/>
                <w:lang w:eastAsia="es-CO"/>
              </w:rPr>
              <w:t>1</w:t>
            </w:r>
          </w:p>
        </w:tc>
        <w:tc>
          <w:tcPr>
            <w:tcW w:w="322" w:type="pct"/>
            <w:noWrap/>
            <w:vAlign w:val="center"/>
            <w:hideMark/>
          </w:tcPr>
          <w:p w14:paraId="375649BD" w14:textId="77777777" w:rsidR="004078AD" w:rsidRPr="00692C50" w:rsidRDefault="004078AD" w:rsidP="000A5389">
            <w:pPr>
              <w:spacing w:line="240" w:lineRule="auto"/>
              <w:jc w:val="center"/>
              <w:rPr>
                <w:rFonts w:eastAsia="Times New Roman" w:cs="Times New Roman"/>
                <w:sz w:val="16"/>
                <w:szCs w:val="16"/>
                <w:lang w:eastAsia="es-CO"/>
              </w:rPr>
            </w:pPr>
            <w:r w:rsidRPr="00692C50">
              <w:rPr>
                <w:rFonts w:eastAsia="Times New Roman" w:cs="Times New Roman"/>
                <w:sz w:val="16"/>
                <w:szCs w:val="16"/>
                <w:lang w:eastAsia="es-CO"/>
              </w:rPr>
              <w:t>10</w:t>
            </w:r>
          </w:p>
        </w:tc>
        <w:tc>
          <w:tcPr>
            <w:tcW w:w="882" w:type="pct"/>
            <w:vAlign w:val="center"/>
            <w:hideMark/>
          </w:tcPr>
          <w:p w14:paraId="0457A1C5" w14:textId="1301A080" w:rsidR="004078AD" w:rsidRPr="00692C50" w:rsidRDefault="004078AD" w:rsidP="000A5389">
            <w:pPr>
              <w:spacing w:line="240" w:lineRule="auto"/>
              <w:rPr>
                <w:rFonts w:eastAsia="Times New Roman" w:cs="Times New Roman"/>
                <w:sz w:val="16"/>
                <w:szCs w:val="16"/>
                <w:lang w:eastAsia="es-CO"/>
              </w:rPr>
            </w:pPr>
            <w:r w:rsidRPr="00692C50">
              <w:rPr>
                <w:rFonts w:eastAsia="Times New Roman" w:cs="Times New Roman"/>
                <w:sz w:val="16"/>
                <w:szCs w:val="16"/>
                <w:lang w:eastAsia="es-CO"/>
              </w:rPr>
              <w:t>Aplica los artículos 192 y 195 del Código de Procedimiento Administrativo y de lo Contencioso</w:t>
            </w:r>
            <w:r w:rsidRPr="00692C50">
              <w:rPr>
                <w:rFonts w:eastAsia="Times New Roman" w:cs="Times New Roman"/>
                <w:sz w:val="16"/>
                <w:szCs w:val="16"/>
                <w:lang w:eastAsia="es-CO"/>
              </w:rPr>
              <w:br/>
              <w:t xml:space="preserve">Administrativo </w:t>
            </w:r>
            <w:r w:rsidR="00165777">
              <w:rPr>
                <w:rFonts w:eastAsia="Times New Roman" w:cs="Times New Roman"/>
                <w:sz w:val="16"/>
                <w:szCs w:val="16"/>
                <w:lang w:eastAsia="es-CO"/>
              </w:rPr>
              <w:t>–</w:t>
            </w:r>
            <w:r w:rsidRPr="00692C50">
              <w:rPr>
                <w:rFonts w:eastAsia="Times New Roman" w:cs="Times New Roman"/>
                <w:sz w:val="16"/>
                <w:szCs w:val="16"/>
                <w:lang w:eastAsia="es-CO"/>
              </w:rPr>
              <w:t xml:space="preserve"> CPACA</w:t>
            </w:r>
          </w:p>
        </w:tc>
        <w:tc>
          <w:tcPr>
            <w:tcW w:w="1308" w:type="pct"/>
            <w:vAlign w:val="center"/>
            <w:hideMark/>
          </w:tcPr>
          <w:p w14:paraId="30E5A855" w14:textId="77777777" w:rsidR="004078AD" w:rsidRPr="00692C50" w:rsidRDefault="004078AD" w:rsidP="000A5389">
            <w:pPr>
              <w:spacing w:line="240" w:lineRule="auto"/>
              <w:rPr>
                <w:rFonts w:eastAsia="Times New Roman" w:cs="Times New Roman"/>
                <w:sz w:val="16"/>
                <w:szCs w:val="16"/>
                <w:lang w:eastAsia="es-CO"/>
              </w:rPr>
            </w:pPr>
            <w:r w:rsidRPr="00692C50">
              <w:rPr>
                <w:rFonts w:eastAsia="Times New Roman" w:cs="Times New Roman"/>
                <w:b/>
                <w:bCs/>
                <w:sz w:val="16"/>
                <w:szCs w:val="16"/>
                <w:lang w:eastAsia="es-CO"/>
              </w:rPr>
              <w:t>DTF (rango de fecha) *:</w:t>
            </w:r>
            <w:r w:rsidRPr="00692C50">
              <w:rPr>
                <w:rFonts w:eastAsia="Times New Roman" w:cs="Times New Roman"/>
                <w:sz w:val="16"/>
                <w:szCs w:val="16"/>
                <w:lang w:eastAsia="es-CO"/>
              </w:rPr>
              <w:t xml:space="preserve"> 09/oct/2020 -17/may/2022</w:t>
            </w:r>
            <w:r w:rsidRPr="00692C50">
              <w:rPr>
                <w:rFonts w:eastAsia="Times New Roman" w:cs="Times New Roman"/>
                <w:sz w:val="16"/>
                <w:szCs w:val="16"/>
                <w:lang w:eastAsia="es-CO"/>
              </w:rPr>
              <w:br/>
              <w:t>*Se aplica DTF entre los 10 primeros meses</w:t>
            </w:r>
            <w:r w:rsidRPr="00692C50">
              <w:rPr>
                <w:rFonts w:eastAsia="Times New Roman" w:cs="Times New Roman"/>
                <w:sz w:val="16"/>
                <w:szCs w:val="16"/>
                <w:lang w:eastAsia="es-CO"/>
              </w:rPr>
              <w:br/>
            </w:r>
            <w:r w:rsidRPr="00692C50">
              <w:rPr>
                <w:rFonts w:eastAsia="Times New Roman" w:cs="Times New Roman"/>
                <w:b/>
                <w:bCs/>
                <w:sz w:val="16"/>
                <w:szCs w:val="16"/>
                <w:lang w:eastAsia="es-CO"/>
              </w:rPr>
              <w:t>Tasa de interés bancario corriente (rango de fecha) *:</w:t>
            </w:r>
            <w:r w:rsidRPr="00692C50">
              <w:rPr>
                <w:rFonts w:eastAsia="Times New Roman" w:cs="Times New Roman"/>
                <w:sz w:val="16"/>
                <w:szCs w:val="16"/>
                <w:lang w:eastAsia="es-CO"/>
              </w:rPr>
              <w:t xml:space="preserve"> 18/may/2022-31/dic/2025</w:t>
            </w:r>
            <w:r w:rsidRPr="00692C50">
              <w:rPr>
                <w:rFonts w:eastAsia="Times New Roman" w:cs="Times New Roman"/>
                <w:sz w:val="16"/>
                <w:szCs w:val="16"/>
                <w:lang w:eastAsia="es-CO"/>
              </w:rPr>
              <w:br/>
              <w:t>*Se aplica Tasa de interés bancario corriente, después de los 10 meses conforme lo establecido en el</w:t>
            </w:r>
            <w:r w:rsidRPr="00692C50">
              <w:rPr>
                <w:rFonts w:eastAsia="Times New Roman" w:cs="Times New Roman"/>
                <w:sz w:val="16"/>
                <w:szCs w:val="16"/>
                <w:lang w:eastAsia="es-CO"/>
              </w:rPr>
              <w:br/>
              <w:t>artículo 195 del CPACA.</w:t>
            </w:r>
          </w:p>
        </w:tc>
      </w:tr>
      <w:tr w:rsidR="008515FA" w:rsidRPr="00692C50" w14:paraId="7DF377BE" w14:textId="77777777" w:rsidTr="00692C50">
        <w:trPr>
          <w:trHeight w:val="1786"/>
        </w:trPr>
        <w:tc>
          <w:tcPr>
            <w:tcW w:w="560" w:type="pct"/>
            <w:noWrap/>
            <w:vAlign w:val="center"/>
            <w:hideMark/>
          </w:tcPr>
          <w:p w14:paraId="0675E886" w14:textId="77777777" w:rsidR="004078AD" w:rsidRPr="00692C50" w:rsidRDefault="004078AD" w:rsidP="000A5389">
            <w:pPr>
              <w:spacing w:line="240" w:lineRule="auto"/>
              <w:jc w:val="right"/>
              <w:rPr>
                <w:rFonts w:eastAsia="Times New Roman" w:cs="Times New Roman"/>
                <w:sz w:val="16"/>
                <w:szCs w:val="16"/>
                <w:lang w:eastAsia="es-CO"/>
              </w:rPr>
            </w:pPr>
            <w:r w:rsidRPr="00692C50">
              <w:rPr>
                <w:rFonts w:eastAsia="Times New Roman" w:cs="Times New Roman"/>
                <w:sz w:val="16"/>
                <w:szCs w:val="16"/>
                <w:lang w:eastAsia="es-CO"/>
              </w:rPr>
              <w:t>900330374</w:t>
            </w:r>
          </w:p>
        </w:tc>
        <w:tc>
          <w:tcPr>
            <w:tcW w:w="722" w:type="pct"/>
            <w:vAlign w:val="center"/>
            <w:hideMark/>
          </w:tcPr>
          <w:p w14:paraId="74660CDB" w14:textId="471FBB55" w:rsidR="004078AD" w:rsidRPr="00692C50" w:rsidRDefault="008515FA" w:rsidP="000A5389">
            <w:pPr>
              <w:spacing w:line="240" w:lineRule="auto"/>
              <w:jc w:val="center"/>
              <w:rPr>
                <w:rFonts w:eastAsia="Times New Roman" w:cs="Times New Roman"/>
                <w:sz w:val="16"/>
                <w:szCs w:val="16"/>
                <w:lang w:eastAsia="es-CO"/>
              </w:rPr>
            </w:pPr>
            <w:r w:rsidRPr="00692C50">
              <w:rPr>
                <w:rFonts w:eastAsia="Times New Roman" w:cs="Times New Roman"/>
                <w:sz w:val="16"/>
                <w:szCs w:val="16"/>
                <w:lang w:eastAsia="es-CO"/>
              </w:rPr>
              <w:t>Consorcio Vial Helios</w:t>
            </w:r>
          </w:p>
        </w:tc>
        <w:tc>
          <w:tcPr>
            <w:tcW w:w="884" w:type="pct"/>
            <w:noWrap/>
            <w:vAlign w:val="center"/>
            <w:hideMark/>
          </w:tcPr>
          <w:p w14:paraId="0A0825E6" w14:textId="77777777" w:rsidR="004078AD" w:rsidRPr="00692C50" w:rsidRDefault="004078AD" w:rsidP="000A5389">
            <w:pPr>
              <w:spacing w:line="240" w:lineRule="auto"/>
              <w:jc w:val="right"/>
              <w:rPr>
                <w:rFonts w:eastAsia="Times New Roman" w:cs="Times New Roman"/>
                <w:sz w:val="16"/>
                <w:szCs w:val="16"/>
                <w:lang w:eastAsia="es-CO"/>
              </w:rPr>
            </w:pPr>
            <w:r w:rsidRPr="00692C50">
              <w:rPr>
                <w:rFonts w:eastAsia="Times New Roman" w:cs="Times New Roman"/>
                <w:sz w:val="16"/>
                <w:szCs w:val="16"/>
                <w:lang w:eastAsia="es-CO"/>
              </w:rPr>
              <w:t xml:space="preserve">                               158.558.160.147 </w:t>
            </w:r>
          </w:p>
        </w:tc>
        <w:tc>
          <w:tcPr>
            <w:tcW w:w="322" w:type="pct"/>
            <w:noWrap/>
            <w:vAlign w:val="center"/>
            <w:hideMark/>
          </w:tcPr>
          <w:p w14:paraId="75A2913D" w14:textId="77777777" w:rsidR="004078AD" w:rsidRPr="00692C50" w:rsidRDefault="004078AD" w:rsidP="000A5389">
            <w:pPr>
              <w:spacing w:line="240" w:lineRule="auto"/>
              <w:jc w:val="center"/>
              <w:rPr>
                <w:rFonts w:eastAsia="Times New Roman" w:cs="Times New Roman"/>
                <w:sz w:val="16"/>
                <w:szCs w:val="16"/>
                <w:lang w:eastAsia="es-CO"/>
              </w:rPr>
            </w:pPr>
            <w:r w:rsidRPr="00692C50">
              <w:rPr>
                <w:rFonts w:eastAsia="Times New Roman" w:cs="Times New Roman"/>
                <w:sz w:val="16"/>
                <w:szCs w:val="16"/>
                <w:lang w:eastAsia="es-CO"/>
              </w:rPr>
              <w:t>0</w:t>
            </w:r>
          </w:p>
        </w:tc>
        <w:tc>
          <w:tcPr>
            <w:tcW w:w="322" w:type="pct"/>
            <w:noWrap/>
            <w:vAlign w:val="center"/>
            <w:hideMark/>
          </w:tcPr>
          <w:p w14:paraId="78AAC333" w14:textId="77777777" w:rsidR="004078AD" w:rsidRPr="00692C50" w:rsidRDefault="004078AD" w:rsidP="000A5389">
            <w:pPr>
              <w:spacing w:line="240" w:lineRule="auto"/>
              <w:jc w:val="center"/>
              <w:rPr>
                <w:rFonts w:eastAsia="Times New Roman" w:cs="Times New Roman"/>
                <w:sz w:val="16"/>
                <w:szCs w:val="16"/>
                <w:lang w:eastAsia="es-CO"/>
              </w:rPr>
            </w:pPr>
            <w:r w:rsidRPr="00692C50">
              <w:rPr>
                <w:rFonts w:eastAsia="Times New Roman" w:cs="Times New Roman"/>
                <w:sz w:val="16"/>
                <w:szCs w:val="16"/>
                <w:lang w:eastAsia="es-CO"/>
              </w:rPr>
              <w:t>10</w:t>
            </w:r>
          </w:p>
        </w:tc>
        <w:tc>
          <w:tcPr>
            <w:tcW w:w="882" w:type="pct"/>
            <w:vAlign w:val="center"/>
            <w:hideMark/>
          </w:tcPr>
          <w:p w14:paraId="4A0F670D" w14:textId="2AAB58D3" w:rsidR="004078AD" w:rsidRPr="00692C50" w:rsidRDefault="004078AD" w:rsidP="000A5389">
            <w:pPr>
              <w:spacing w:line="240" w:lineRule="auto"/>
              <w:rPr>
                <w:rFonts w:eastAsia="Times New Roman" w:cs="Times New Roman"/>
                <w:sz w:val="16"/>
                <w:szCs w:val="16"/>
                <w:lang w:eastAsia="es-CO"/>
              </w:rPr>
            </w:pPr>
            <w:r w:rsidRPr="00692C50">
              <w:rPr>
                <w:rFonts w:eastAsia="Times New Roman" w:cs="Times New Roman"/>
                <w:sz w:val="16"/>
                <w:szCs w:val="16"/>
                <w:lang w:eastAsia="es-CO"/>
              </w:rPr>
              <w:t>Aplica los artículos 192 y 195 del Código de Procedimiento Administrativo y de lo Contencioso</w:t>
            </w:r>
            <w:r w:rsidRPr="00692C50">
              <w:rPr>
                <w:rFonts w:eastAsia="Times New Roman" w:cs="Times New Roman"/>
                <w:sz w:val="16"/>
                <w:szCs w:val="16"/>
                <w:lang w:eastAsia="es-CO"/>
              </w:rPr>
              <w:br/>
              <w:t xml:space="preserve">Administrativo </w:t>
            </w:r>
            <w:r w:rsidR="00873937">
              <w:rPr>
                <w:rFonts w:eastAsia="Times New Roman" w:cs="Times New Roman"/>
                <w:sz w:val="16"/>
                <w:szCs w:val="16"/>
                <w:lang w:eastAsia="es-CO"/>
              </w:rPr>
              <w:t>–</w:t>
            </w:r>
            <w:r w:rsidRPr="00692C50">
              <w:rPr>
                <w:rFonts w:eastAsia="Times New Roman" w:cs="Times New Roman"/>
                <w:sz w:val="16"/>
                <w:szCs w:val="16"/>
                <w:lang w:eastAsia="es-CO"/>
              </w:rPr>
              <w:t xml:space="preserve"> CPACA</w:t>
            </w:r>
          </w:p>
        </w:tc>
        <w:tc>
          <w:tcPr>
            <w:tcW w:w="1308" w:type="pct"/>
            <w:vAlign w:val="center"/>
            <w:hideMark/>
          </w:tcPr>
          <w:p w14:paraId="4BF12A60" w14:textId="77777777" w:rsidR="004078AD" w:rsidRPr="00692C50" w:rsidRDefault="004078AD" w:rsidP="000A5389">
            <w:pPr>
              <w:spacing w:line="240" w:lineRule="auto"/>
              <w:rPr>
                <w:rFonts w:eastAsia="Times New Roman" w:cs="Times New Roman"/>
                <w:sz w:val="16"/>
                <w:szCs w:val="16"/>
                <w:lang w:eastAsia="es-CO"/>
              </w:rPr>
            </w:pPr>
            <w:r w:rsidRPr="00692C50">
              <w:rPr>
                <w:rFonts w:eastAsia="Times New Roman" w:cs="Times New Roman"/>
                <w:b/>
                <w:bCs/>
                <w:sz w:val="16"/>
                <w:szCs w:val="16"/>
                <w:lang w:eastAsia="es-CO"/>
              </w:rPr>
              <w:t>DTF (rango de fecha) *:</w:t>
            </w:r>
            <w:r w:rsidRPr="00692C50">
              <w:rPr>
                <w:rFonts w:eastAsia="Times New Roman" w:cs="Times New Roman"/>
                <w:sz w:val="16"/>
                <w:szCs w:val="16"/>
                <w:lang w:eastAsia="es-CO"/>
              </w:rPr>
              <w:t xml:space="preserve"> 2/6/22 al 1/4/23 y 5/6/23 al 4/4/24</w:t>
            </w:r>
            <w:r w:rsidRPr="00692C50">
              <w:rPr>
                <w:rFonts w:eastAsia="Times New Roman" w:cs="Times New Roman"/>
                <w:sz w:val="16"/>
                <w:szCs w:val="16"/>
                <w:lang w:eastAsia="es-CO"/>
              </w:rPr>
              <w:br/>
              <w:t>*Se aplica DTF entre los 10 primeros meses</w:t>
            </w:r>
            <w:r w:rsidRPr="00692C50">
              <w:rPr>
                <w:rFonts w:eastAsia="Times New Roman" w:cs="Times New Roman"/>
                <w:sz w:val="16"/>
                <w:szCs w:val="16"/>
                <w:lang w:eastAsia="es-CO"/>
              </w:rPr>
              <w:br/>
            </w:r>
            <w:r w:rsidRPr="00692C50">
              <w:rPr>
                <w:rFonts w:eastAsia="Times New Roman" w:cs="Times New Roman"/>
                <w:b/>
                <w:bCs/>
                <w:sz w:val="16"/>
                <w:szCs w:val="16"/>
                <w:lang w:eastAsia="es-CO"/>
              </w:rPr>
              <w:t>Tasa de interés bancario corriente (rango de fecha) *:</w:t>
            </w:r>
            <w:r w:rsidRPr="00692C50">
              <w:rPr>
                <w:rFonts w:eastAsia="Times New Roman" w:cs="Times New Roman"/>
                <w:sz w:val="16"/>
                <w:szCs w:val="16"/>
                <w:lang w:eastAsia="es-CO"/>
              </w:rPr>
              <w:t xml:space="preserve"> 2/4/23 al 30/6/25 y 5/4/24 al 30/6/25</w:t>
            </w:r>
            <w:r w:rsidRPr="00692C50">
              <w:rPr>
                <w:rFonts w:eastAsia="Times New Roman" w:cs="Times New Roman"/>
                <w:sz w:val="16"/>
                <w:szCs w:val="16"/>
                <w:lang w:eastAsia="es-CO"/>
              </w:rPr>
              <w:br/>
              <w:t>*Se aplica Tasa de interés bancario corriente, después de los 10 meses conforme lo establecido en el</w:t>
            </w:r>
            <w:r w:rsidRPr="00692C50">
              <w:rPr>
                <w:rFonts w:eastAsia="Times New Roman" w:cs="Times New Roman"/>
                <w:sz w:val="16"/>
                <w:szCs w:val="16"/>
                <w:lang w:eastAsia="es-CO"/>
              </w:rPr>
              <w:br/>
              <w:t>artículo 195 del CPACA.</w:t>
            </w:r>
          </w:p>
        </w:tc>
      </w:tr>
      <w:tr w:rsidR="008515FA" w:rsidRPr="00692C50" w14:paraId="159CF053" w14:textId="77777777" w:rsidTr="00692C50">
        <w:trPr>
          <w:trHeight w:val="720"/>
        </w:trPr>
        <w:tc>
          <w:tcPr>
            <w:tcW w:w="560" w:type="pct"/>
            <w:noWrap/>
            <w:vAlign w:val="center"/>
            <w:hideMark/>
          </w:tcPr>
          <w:p w14:paraId="0045B02F" w14:textId="77777777" w:rsidR="004078AD" w:rsidRPr="00692C50" w:rsidRDefault="004078AD" w:rsidP="000A5389">
            <w:pPr>
              <w:spacing w:line="240" w:lineRule="auto"/>
              <w:jc w:val="right"/>
              <w:rPr>
                <w:rFonts w:eastAsia="Times New Roman" w:cs="Times New Roman"/>
                <w:sz w:val="16"/>
                <w:szCs w:val="16"/>
                <w:lang w:eastAsia="es-CO"/>
              </w:rPr>
            </w:pPr>
            <w:r w:rsidRPr="00692C50">
              <w:rPr>
                <w:rFonts w:eastAsia="Times New Roman" w:cs="Times New Roman"/>
                <w:sz w:val="16"/>
                <w:szCs w:val="16"/>
                <w:lang w:eastAsia="es-CO"/>
              </w:rPr>
              <w:t>900920562</w:t>
            </w:r>
          </w:p>
        </w:tc>
        <w:tc>
          <w:tcPr>
            <w:tcW w:w="722" w:type="pct"/>
            <w:vAlign w:val="center"/>
            <w:hideMark/>
          </w:tcPr>
          <w:p w14:paraId="0C84ADCE" w14:textId="10C9E7B6" w:rsidR="004078AD" w:rsidRPr="00692C50" w:rsidRDefault="008515FA" w:rsidP="000A5389">
            <w:pPr>
              <w:spacing w:line="240" w:lineRule="auto"/>
              <w:jc w:val="center"/>
              <w:rPr>
                <w:rFonts w:eastAsia="Times New Roman" w:cs="Times New Roman"/>
                <w:sz w:val="16"/>
                <w:szCs w:val="16"/>
                <w:lang w:eastAsia="es-CO"/>
              </w:rPr>
            </w:pPr>
            <w:r w:rsidRPr="00692C50">
              <w:rPr>
                <w:rFonts w:eastAsia="Times New Roman" w:cs="Times New Roman"/>
                <w:sz w:val="16"/>
                <w:szCs w:val="16"/>
                <w:lang w:eastAsia="es-CO"/>
              </w:rPr>
              <w:t>Concesión vías Del Nus – Vinus S.A.S.</w:t>
            </w:r>
          </w:p>
        </w:tc>
        <w:tc>
          <w:tcPr>
            <w:tcW w:w="884" w:type="pct"/>
            <w:noWrap/>
            <w:vAlign w:val="center"/>
            <w:hideMark/>
          </w:tcPr>
          <w:p w14:paraId="590C6A30" w14:textId="77777777" w:rsidR="004078AD" w:rsidRPr="00692C50" w:rsidRDefault="004078AD" w:rsidP="000A5389">
            <w:pPr>
              <w:spacing w:line="240" w:lineRule="auto"/>
              <w:jc w:val="right"/>
              <w:rPr>
                <w:rFonts w:eastAsia="Times New Roman" w:cs="Times New Roman"/>
                <w:sz w:val="16"/>
                <w:szCs w:val="16"/>
                <w:lang w:eastAsia="es-CO"/>
              </w:rPr>
            </w:pPr>
            <w:r w:rsidRPr="00692C50">
              <w:rPr>
                <w:rFonts w:eastAsia="Times New Roman" w:cs="Times New Roman"/>
                <w:sz w:val="16"/>
                <w:szCs w:val="16"/>
                <w:lang w:eastAsia="es-CO"/>
              </w:rPr>
              <w:t xml:space="preserve">                              129.124.036.659 </w:t>
            </w:r>
          </w:p>
        </w:tc>
        <w:tc>
          <w:tcPr>
            <w:tcW w:w="322" w:type="pct"/>
            <w:noWrap/>
            <w:vAlign w:val="center"/>
            <w:hideMark/>
          </w:tcPr>
          <w:p w14:paraId="4C529E0D" w14:textId="77777777" w:rsidR="004078AD" w:rsidRPr="00692C50" w:rsidRDefault="004078AD" w:rsidP="000A5389">
            <w:pPr>
              <w:spacing w:line="240" w:lineRule="auto"/>
              <w:jc w:val="center"/>
              <w:rPr>
                <w:rFonts w:eastAsia="Times New Roman" w:cs="Times New Roman"/>
                <w:sz w:val="16"/>
                <w:szCs w:val="16"/>
                <w:lang w:eastAsia="es-CO"/>
              </w:rPr>
            </w:pPr>
            <w:r w:rsidRPr="00692C50">
              <w:rPr>
                <w:rFonts w:eastAsia="Times New Roman" w:cs="Times New Roman"/>
                <w:sz w:val="16"/>
                <w:szCs w:val="16"/>
                <w:lang w:eastAsia="es-CO"/>
              </w:rPr>
              <w:t>1</w:t>
            </w:r>
          </w:p>
        </w:tc>
        <w:tc>
          <w:tcPr>
            <w:tcW w:w="322" w:type="pct"/>
            <w:noWrap/>
            <w:vAlign w:val="center"/>
            <w:hideMark/>
          </w:tcPr>
          <w:p w14:paraId="1886357D" w14:textId="77777777" w:rsidR="004078AD" w:rsidRPr="00692C50" w:rsidRDefault="004078AD" w:rsidP="000A5389">
            <w:pPr>
              <w:spacing w:line="240" w:lineRule="auto"/>
              <w:jc w:val="center"/>
              <w:rPr>
                <w:rFonts w:eastAsia="Times New Roman" w:cs="Times New Roman"/>
                <w:sz w:val="16"/>
                <w:szCs w:val="16"/>
                <w:lang w:eastAsia="es-CO"/>
              </w:rPr>
            </w:pPr>
            <w:r w:rsidRPr="00692C50">
              <w:rPr>
                <w:rFonts w:eastAsia="Times New Roman" w:cs="Times New Roman"/>
                <w:sz w:val="16"/>
                <w:szCs w:val="16"/>
                <w:lang w:eastAsia="es-CO"/>
              </w:rPr>
              <w:t>10</w:t>
            </w:r>
          </w:p>
        </w:tc>
        <w:tc>
          <w:tcPr>
            <w:tcW w:w="882" w:type="pct"/>
            <w:vAlign w:val="center"/>
            <w:hideMark/>
          </w:tcPr>
          <w:p w14:paraId="6FBEAAF0" w14:textId="3AD9D77E" w:rsidR="004078AD" w:rsidRPr="00692C50" w:rsidRDefault="004078AD" w:rsidP="000A5389">
            <w:pPr>
              <w:spacing w:line="240" w:lineRule="auto"/>
              <w:rPr>
                <w:rFonts w:eastAsia="Times New Roman" w:cs="Times New Roman"/>
                <w:sz w:val="16"/>
                <w:szCs w:val="16"/>
                <w:lang w:eastAsia="es-CO"/>
              </w:rPr>
            </w:pPr>
            <w:r w:rsidRPr="00692C50">
              <w:rPr>
                <w:rFonts w:eastAsia="Times New Roman" w:cs="Times New Roman"/>
                <w:sz w:val="16"/>
                <w:szCs w:val="16"/>
                <w:lang w:eastAsia="es-CO"/>
              </w:rPr>
              <w:t>Aplica los artículos 192 y 195 del Código de Procedimiento Administrativo y de lo Contencioso</w:t>
            </w:r>
            <w:r w:rsidRPr="00692C50">
              <w:rPr>
                <w:rFonts w:eastAsia="Times New Roman" w:cs="Times New Roman"/>
                <w:sz w:val="16"/>
                <w:szCs w:val="16"/>
                <w:lang w:eastAsia="es-CO"/>
              </w:rPr>
              <w:br/>
              <w:t xml:space="preserve">Administrativo </w:t>
            </w:r>
            <w:r w:rsidR="00873937">
              <w:rPr>
                <w:rFonts w:eastAsia="Times New Roman" w:cs="Times New Roman"/>
                <w:sz w:val="16"/>
                <w:szCs w:val="16"/>
                <w:lang w:eastAsia="es-CO"/>
              </w:rPr>
              <w:t>–</w:t>
            </w:r>
            <w:r w:rsidRPr="00692C50">
              <w:rPr>
                <w:rFonts w:eastAsia="Times New Roman" w:cs="Times New Roman"/>
                <w:sz w:val="16"/>
                <w:szCs w:val="16"/>
                <w:lang w:eastAsia="es-CO"/>
              </w:rPr>
              <w:t xml:space="preserve"> CPACA</w:t>
            </w:r>
          </w:p>
        </w:tc>
        <w:tc>
          <w:tcPr>
            <w:tcW w:w="1308" w:type="pct"/>
            <w:vAlign w:val="center"/>
            <w:hideMark/>
          </w:tcPr>
          <w:p w14:paraId="00B0B1AD" w14:textId="77777777" w:rsidR="004078AD" w:rsidRPr="00692C50" w:rsidRDefault="004078AD" w:rsidP="000A5389">
            <w:pPr>
              <w:spacing w:line="240" w:lineRule="auto"/>
              <w:rPr>
                <w:rFonts w:eastAsia="Times New Roman" w:cs="Times New Roman"/>
                <w:sz w:val="16"/>
                <w:szCs w:val="16"/>
                <w:lang w:eastAsia="es-CO"/>
              </w:rPr>
            </w:pPr>
            <w:r w:rsidRPr="00692C50">
              <w:rPr>
                <w:rFonts w:eastAsia="Times New Roman" w:cs="Times New Roman"/>
                <w:b/>
                <w:bCs/>
                <w:sz w:val="16"/>
                <w:szCs w:val="16"/>
                <w:lang w:eastAsia="es-CO"/>
              </w:rPr>
              <w:t>DTF (rango de fecha) *:</w:t>
            </w:r>
            <w:r w:rsidRPr="00692C50">
              <w:rPr>
                <w:rFonts w:eastAsia="Times New Roman" w:cs="Times New Roman"/>
                <w:sz w:val="16"/>
                <w:szCs w:val="16"/>
                <w:lang w:eastAsia="es-CO"/>
              </w:rPr>
              <w:t xml:space="preserve"> 10/07/2025 al 31/12/2025</w:t>
            </w:r>
            <w:r w:rsidRPr="00692C50">
              <w:rPr>
                <w:rFonts w:eastAsia="Times New Roman" w:cs="Times New Roman"/>
                <w:sz w:val="16"/>
                <w:szCs w:val="16"/>
                <w:lang w:eastAsia="es-CO"/>
              </w:rPr>
              <w:br/>
              <w:t>*Se aplica DTF entre los 10 primeros meses</w:t>
            </w:r>
          </w:p>
        </w:tc>
      </w:tr>
      <w:tr w:rsidR="008515FA" w:rsidRPr="00692C50" w14:paraId="3C7D4EB3" w14:textId="77777777" w:rsidTr="00692C50">
        <w:trPr>
          <w:trHeight w:val="720"/>
        </w:trPr>
        <w:tc>
          <w:tcPr>
            <w:tcW w:w="560" w:type="pct"/>
            <w:noWrap/>
            <w:vAlign w:val="center"/>
            <w:hideMark/>
          </w:tcPr>
          <w:p w14:paraId="40BC55A7" w14:textId="77777777" w:rsidR="004078AD" w:rsidRPr="00692C50" w:rsidRDefault="004078AD" w:rsidP="000A5389">
            <w:pPr>
              <w:spacing w:line="240" w:lineRule="auto"/>
              <w:jc w:val="right"/>
              <w:rPr>
                <w:rFonts w:eastAsia="Times New Roman" w:cs="Times New Roman"/>
                <w:sz w:val="16"/>
                <w:szCs w:val="16"/>
                <w:lang w:eastAsia="es-CO"/>
              </w:rPr>
            </w:pPr>
            <w:r w:rsidRPr="00692C50">
              <w:rPr>
                <w:rFonts w:eastAsia="Times New Roman" w:cs="Times New Roman"/>
                <w:sz w:val="16"/>
                <w:szCs w:val="16"/>
                <w:lang w:eastAsia="es-CO"/>
              </w:rPr>
              <w:t>901371481</w:t>
            </w:r>
          </w:p>
        </w:tc>
        <w:tc>
          <w:tcPr>
            <w:tcW w:w="722" w:type="pct"/>
            <w:vAlign w:val="center"/>
            <w:hideMark/>
          </w:tcPr>
          <w:p w14:paraId="142EC12C" w14:textId="55040E7F" w:rsidR="004078AD" w:rsidRPr="00692C50" w:rsidRDefault="008515FA" w:rsidP="000A5389">
            <w:pPr>
              <w:spacing w:line="240" w:lineRule="auto"/>
              <w:jc w:val="center"/>
              <w:rPr>
                <w:rFonts w:eastAsia="Times New Roman" w:cs="Times New Roman"/>
                <w:sz w:val="16"/>
                <w:szCs w:val="16"/>
                <w:lang w:eastAsia="es-CO"/>
              </w:rPr>
            </w:pPr>
            <w:r w:rsidRPr="00692C50">
              <w:rPr>
                <w:rFonts w:eastAsia="Times New Roman" w:cs="Times New Roman"/>
                <w:sz w:val="16"/>
                <w:szCs w:val="16"/>
                <w:lang w:eastAsia="es-CO"/>
              </w:rPr>
              <w:t>Bts Concesionario S.A.S.</w:t>
            </w:r>
          </w:p>
        </w:tc>
        <w:tc>
          <w:tcPr>
            <w:tcW w:w="884" w:type="pct"/>
            <w:noWrap/>
            <w:vAlign w:val="center"/>
            <w:hideMark/>
          </w:tcPr>
          <w:p w14:paraId="60B57A84" w14:textId="77777777" w:rsidR="004078AD" w:rsidRPr="00692C50" w:rsidRDefault="004078AD" w:rsidP="000A5389">
            <w:pPr>
              <w:spacing w:line="240" w:lineRule="auto"/>
              <w:jc w:val="right"/>
              <w:rPr>
                <w:rFonts w:eastAsia="Times New Roman" w:cs="Times New Roman"/>
                <w:sz w:val="16"/>
                <w:szCs w:val="16"/>
                <w:lang w:eastAsia="es-CO"/>
              </w:rPr>
            </w:pPr>
            <w:r w:rsidRPr="00692C50">
              <w:rPr>
                <w:rFonts w:eastAsia="Times New Roman" w:cs="Times New Roman"/>
                <w:sz w:val="16"/>
                <w:szCs w:val="16"/>
                <w:lang w:eastAsia="es-CO"/>
              </w:rPr>
              <w:t xml:space="preserve">                             123.586.678.307 </w:t>
            </w:r>
          </w:p>
        </w:tc>
        <w:tc>
          <w:tcPr>
            <w:tcW w:w="322" w:type="pct"/>
            <w:noWrap/>
            <w:vAlign w:val="center"/>
            <w:hideMark/>
          </w:tcPr>
          <w:p w14:paraId="2D2A095F" w14:textId="77777777" w:rsidR="004078AD" w:rsidRPr="00692C50" w:rsidRDefault="004078AD" w:rsidP="000A5389">
            <w:pPr>
              <w:spacing w:line="240" w:lineRule="auto"/>
              <w:jc w:val="center"/>
              <w:rPr>
                <w:rFonts w:eastAsia="Times New Roman" w:cs="Times New Roman"/>
                <w:sz w:val="16"/>
                <w:szCs w:val="16"/>
                <w:lang w:eastAsia="es-CO"/>
              </w:rPr>
            </w:pPr>
            <w:r w:rsidRPr="00692C50">
              <w:rPr>
                <w:rFonts w:eastAsia="Times New Roman" w:cs="Times New Roman"/>
                <w:sz w:val="16"/>
                <w:szCs w:val="16"/>
                <w:lang w:eastAsia="es-CO"/>
              </w:rPr>
              <w:t>1</w:t>
            </w:r>
          </w:p>
        </w:tc>
        <w:tc>
          <w:tcPr>
            <w:tcW w:w="322" w:type="pct"/>
            <w:noWrap/>
            <w:vAlign w:val="center"/>
            <w:hideMark/>
          </w:tcPr>
          <w:p w14:paraId="40B65F2C" w14:textId="77777777" w:rsidR="004078AD" w:rsidRPr="00692C50" w:rsidRDefault="004078AD" w:rsidP="000A5389">
            <w:pPr>
              <w:spacing w:line="240" w:lineRule="auto"/>
              <w:jc w:val="center"/>
              <w:rPr>
                <w:rFonts w:eastAsia="Times New Roman" w:cs="Times New Roman"/>
                <w:sz w:val="16"/>
                <w:szCs w:val="16"/>
                <w:lang w:eastAsia="es-CO"/>
              </w:rPr>
            </w:pPr>
            <w:r w:rsidRPr="00692C50">
              <w:rPr>
                <w:rFonts w:eastAsia="Times New Roman" w:cs="Times New Roman"/>
                <w:sz w:val="16"/>
                <w:szCs w:val="16"/>
                <w:lang w:eastAsia="es-CO"/>
              </w:rPr>
              <w:t>18</w:t>
            </w:r>
          </w:p>
        </w:tc>
        <w:tc>
          <w:tcPr>
            <w:tcW w:w="882" w:type="pct"/>
            <w:vAlign w:val="center"/>
            <w:hideMark/>
          </w:tcPr>
          <w:p w14:paraId="2F6DF6C6" w14:textId="77777777" w:rsidR="004078AD" w:rsidRPr="00692C50" w:rsidRDefault="004078AD" w:rsidP="000A5389">
            <w:pPr>
              <w:spacing w:line="240" w:lineRule="auto"/>
              <w:rPr>
                <w:rFonts w:eastAsia="Times New Roman" w:cs="Times New Roman"/>
                <w:sz w:val="16"/>
                <w:szCs w:val="16"/>
                <w:lang w:eastAsia="es-CO"/>
              </w:rPr>
            </w:pPr>
            <w:r w:rsidRPr="00692C50">
              <w:rPr>
                <w:rFonts w:eastAsia="Times New Roman" w:cs="Times New Roman"/>
                <w:sz w:val="16"/>
                <w:szCs w:val="16"/>
                <w:lang w:eastAsia="es-CO"/>
              </w:rPr>
              <w:t>Cláusulas 27.3 y 49 del contrato de concesión No. 0377 de 2002.</w:t>
            </w:r>
          </w:p>
        </w:tc>
        <w:tc>
          <w:tcPr>
            <w:tcW w:w="1308" w:type="pct"/>
            <w:vAlign w:val="center"/>
            <w:hideMark/>
          </w:tcPr>
          <w:p w14:paraId="28A0D0F7" w14:textId="77777777" w:rsidR="004078AD" w:rsidRPr="00692C50" w:rsidRDefault="004078AD" w:rsidP="000A5389">
            <w:pPr>
              <w:spacing w:line="240" w:lineRule="auto"/>
              <w:rPr>
                <w:rFonts w:eastAsia="Times New Roman" w:cs="Times New Roman"/>
                <w:sz w:val="16"/>
                <w:szCs w:val="16"/>
                <w:lang w:eastAsia="es-CO"/>
              </w:rPr>
            </w:pPr>
            <w:r w:rsidRPr="00692C50">
              <w:rPr>
                <w:rFonts w:eastAsia="Times New Roman" w:cs="Times New Roman"/>
                <w:b/>
                <w:bCs/>
                <w:sz w:val="16"/>
                <w:szCs w:val="16"/>
                <w:lang w:eastAsia="es-CO"/>
              </w:rPr>
              <w:t>Tasa de interés:</w:t>
            </w:r>
            <w:r w:rsidRPr="00692C50">
              <w:rPr>
                <w:rFonts w:eastAsia="Times New Roman" w:cs="Times New Roman"/>
                <w:sz w:val="16"/>
                <w:szCs w:val="16"/>
                <w:lang w:eastAsia="es-CO"/>
              </w:rPr>
              <w:t xml:space="preserve"> DTF + 5%</w:t>
            </w:r>
            <w:r w:rsidRPr="00692C50">
              <w:rPr>
                <w:rFonts w:eastAsia="Times New Roman" w:cs="Times New Roman"/>
                <w:sz w:val="16"/>
                <w:szCs w:val="16"/>
                <w:lang w:eastAsia="es-CO"/>
              </w:rPr>
              <w:br/>
            </w:r>
            <w:r w:rsidRPr="00692C50">
              <w:rPr>
                <w:rFonts w:eastAsia="Times New Roman" w:cs="Times New Roman"/>
                <w:b/>
                <w:bCs/>
                <w:sz w:val="16"/>
                <w:szCs w:val="16"/>
                <w:lang w:eastAsia="es-CO"/>
              </w:rPr>
              <w:t>Otra tasa de interés:</w:t>
            </w:r>
            <w:r w:rsidRPr="00692C50">
              <w:rPr>
                <w:rFonts w:eastAsia="Times New Roman" w:cs="Times New Roman"/>
                <w:sz w:val="16"/>
                <w:szCs w:val="16"/>
                <w:lang w:eastAsia="es-CO"/>
              </w:rPr>
              <w:t xml:space="preserve"> 18 Meses después tasa de interés bancario corriente</w:t>
            </w:r>
          </w:p>
        </w:tc>
      </w:tr>
      <w:tr w:rsidR="008515FA" w:rsidRPr="00692C50" w14:paraId="3A2CE7D3" w14:textId="77777777" w:rsidTr="00692C50">
        <w:trPr>
          <w:trHeight w:val="600"/>
        </w:trPr>
        <w:tc>
          <w:tcPr>
            <w:tcW w:w="560" w:type="pct"/>
            <w:noWrap/>
            <w:vAlign w:val="center"/>
            <w:hideMark/>
          </w:tcPr>
          <w:p w14:paraId="2E4100FF" w14:textId="77777777" w:rsidR="004078AD" w:rsidRPr="00692C50" w:rsidRDefault="004078AD" w:rsidP="000A5389">
            <w:pPr>
              <w:spacing w:line="240" w:lineRule="auto"/>
              <w:jc w:val="right"/>
              <w:rPr>
                <w:rFonts w:eastAsia="Times New Roman" w:cs="Times New Roman"/>
                <w:sz w:val="16"/>
                <w:szCs w:val="16"/>
                <w:lang w:eastAsia="es-CO"/>
              </w:rPr>
            </w:pPr>
            <w:r w:rsidRPr="00692C50">
              <w:rPr>
                <w:rFonts w:eastAsia="Times New Roman" w:cs="Times New Roman"/>
                <w:sz w:val="16"/>
                <w:szCs w:val="16"/>
                <w:lang w:eastAsia="es-CO"/>
              </w:rPr>
              <w:t>900373092</w:t>
            </w:r>
          </w:p>
        </w:tc>
        <w:tc>
          <w:tcPr>
            <w:tcW w:w="722" w:type="pct"/>
            <w:vAlign w:val="center"/>
            <w:hideMark/>
          </w:tcPr>
          <w:p w14:paraId="0ECFF38F" w14:textId="4AD0A189" w:rsidR="004078AD" w:rsidRPr="00692C50" w:rsidRDefault="008515FA" w:rsidP="000A5389">
            <w:pPr>
              <w:spacing w:line="240" w:lineRule="auto"/>
              <w:jc w:val="center"/>
              <w:rPr>
                <w:rFonts w:eastAsia="Times New Roman" w:cs="Times New Roman"/>
                <w:sz w:val="16"/>
                <w:szCs w:val="16"/>
                <w:lang w:eastAsia="es-CO"/>
              </w:rPr>
            </w:pPr>
            <w:r w:rsidRPr="00692C50">
              <w:rPr>
                <w:rFonts w:eastAsia="Times New Roman" w:cs="Times New Roman"/>
                <w:sz w:val="16"/>
                <w:szCs w:val="16"/>
                <w:lang w:eastAsia="es-CO"/>
              </w:rPr>
              <w:t>Yuma Concesionaria S A - En Reorganización</w:t>
            </w:r>
          </w:p>
        </w:tc>
        <w:tc>
          <w:tcPr>
            <w:tcW w:w="884" w:type="pct"/>
            <w:noWrap/>
            <w:vAlign w:val="center"/>
            <w:hideMark/>
          </w:tcPr>
          <w:p w14:paraId="5ABF5BE9" w14:textId="77777777" w:rsidR="004078AD" w:rsidRPr="00692C50" w:rsidRDefault="004078AD" w:rsidP="000A5389">
            <w:pPr>
              <w:spacing w:line="240" w:lineRule="auto"/>
              <w:jc w:val="right"/>
              <w:rPr>
                <w:rFonts w:eastAsia="Times New Roman" w:cs="Times New Roman"/>
                <w:sz w:val="16"/>
                <w:szCs w:val="16"/>
                <w:lang w:eastAsia="es-CO"/>
              </w:rPr>
            </w:pPr>
            <w:r w:rsidRPr="00692C50">
              <w:rPr>
                <w:rFonts w:eastAsia="Times New Roman" w:cs="Times New Roman"/>
                <w:sz w:val="16"/>
                <w:szCs w:val="16"/>
                <w:lang w:eastAsia="es-CO"/>
              </w:rPr>
              <w:t xml:space="preserve">                               116.556.424.710 </w:t>
            </w:r>
          </w:p>
        </w:tc>
        <w:tc>
          <w:tcPr>
            <w:tcW w:w="322" w:type="pct"/>
            <w:noWrap/>
            <w:vAlign w:val="center"/>
            <w:hideMark/>
          </w:tcPr>
          <w:p w14:paraId="7A35E4DD" w14:textId="77777777" w:rsidR="004078AD" w:rsidRPr="00692C50" w:rsidRDefault="004078AD" w:rsidP="000A5389">
            <w:pPr>
              <w:spacing w:line="240" w:lineRule="auto"/>
              <w:jc w:val="center"/>
              <w:rPr>
                <w:rFonts w:eastAsia="Times New Roman" w:cs="Times New Roman"/>
                <w:sz w:val="16"/>
                <w:szCs w:val="16"/>
                <w:lang w:eastAsia="es-CO"/>
              </w:rPr>
            </w:pPr>
            <w:r w:rsidRPr="00692C50">
              <w:rPr>
                <w:rFonts w:eastAsia="Times New Roman" w:cs="Times New Roman"/>
                <w:sz w:val="16"/>
                <w:szCs w:val="16"/>
                <w:lang w:eastAsia="es-CO"/>
              </w:rPr>
              <w:t> </w:t>
            </w:r>
          </w:p>
        </w:tc>
        <w:tc>
          <w:tcPr>
            <w:tcW w:w="322" w:type="pct"/>
            <w:noWrap/>
            <w:vAlign w:val="center"/>
            <w:hideMark/>
          </w:tcPr>
          <w:p w14:paraId="0099EFB8" w14:textId="77777777" w:rsidR="004078AD" w:rsidRPr="00692C50" w:rsidRDefault="004078AD" w:rsidP="000A5389">
            <w:pPr>
              <w:spacing w:line="240" w:lineRule="auto"/>
              <w:jc w:val="center"/>
              <w:rPr>
                <w:rFonts w:eastAsia="Times New Roman" w:cs="Times New Roman"/>
                <w:sz w:val="16"/>
                <w:szCs w:val="16"/>
                <w:lang w:eastAsia="es-CO"/>
              </w:rPr>
            </w:pPr>
            <w:r w:rsidRPr="00692C50">
              <w:rPr>
                <w:rFonts w:eastAsia="Times New Roman" w:cs="Times New Roman"/>
                <w:sz w:val="16"/>
                <w:szCs w:val="16"/>
                <w:lang w:eastAsia="es-CO"/>
              </w:rPr>
              <w:t> </w:t>
            </w:r>
          </w:p>
        </w:tc>
        <w:tc>
          <w:tcPr>
            <w:tcW w:w="882" w:type="pct"/>
            <w:vAlign w:val="center"/>
            <w:hideMark/>
          </w:tcPr>
          <w:p w14:paraId="2C8E1C05" w14:textId="77777777" w:rsidR="004078AD" w:rsidRPr="00692C50" w:rsidRDefault="004078AD" w:rsidP="000A5389">
            <w:pPr>
              <w:spacing w:line="240" w:lineRule="auto"/>
              <w:rPr>
                <w:rFonts w:eastAsia="Times New Roman" w:cs="Times New Roman"/>
                <w:sz w:val="16"/>
                <w:szCs w:val="16"/>
                <w:lang w:eastAsia="es-CO"/>
              </w:rPr>
            </w:pPr>
            <w:r w:rsidRPr="00692C50">
              <w:rPr>
                <w:rFonts w:eastAsia="Times New Roman" w:cs="Times New Roman"/>
                <w:sz w:val="16"/>
                <w:szCs w:val="16"/>
                <w:lang w:eastAsia="es-CO"/>
              </w:rPr>
              <w:t>Conforme a los términos que aplica el contrato.</w:t>
            </w:r>
          </w:p>
        </w:tc>
        <w:tc>
          <w:tcPr>
            <w:tcW w:w="1308" w:type="pct"/>
            <w:vAlign w:val="center"/>
            <w:hideMark/>
          </w:tcPr>
          <w:p w14:paraId="62D5ABCE" w14:textId="77777777" w:rsidR="004078AD" w:rsidRPr="00692C50" w:rsidRDefault="004078AD" w:rsidP="000A5389">
            <w:pPr>
              <w:spacing w:line="240" w:lineRule="auto"/>
              <w:rPr>
                <w:rFonts w:eastAsia="Times New Roman" w:cs="Times New Roman"/>
                <w:sz w:val="16"/>
                <w:szCs w:val="16"/>
                <w:lang w:eastAsia="es-CO"/>
              </w:rPr>
            </w:pPr>
            <w:r w:rsidRPr="00692C50">
              <w:rPr>
                <w:rFonts w:eastAsia="Times New Roman" w:cs="Times New Roman"/>
                <w:b/>
                <w:bCs/>
                <w:sz w:val="16"/>
                <w:szCs w:val="16"/>
                <w:lang w:eastAsia="es-CO"/>
              </w:rPr>
              <w:t xml:space="preserve">Tasa de interés: </w:t>
            </w:r>
            <w:r w:rsidRPr="00692C50">
              <w:rPr>
                <w:rFonts w:eastAsia="Times New Roman" w:cs="Times New Roman"/>
                <w:sz w:val="16"/>
                <w:szCs w:val="16"/>
                <w:lang w:eastAsia="es-CO"/>
              </w:rPr>
              <w:t>IBC + 1/3</w:t>
            </w:r>
          </w:p>
        </w:tc>
      </w:tr>
      <w:tr w:rsidR="008515FA" w:rsidRPr="00692C50" w14:paraId="3018A845" w14:textId="77777777" w:rsidTr="00692C50">
        <w:trPr>
          <w:trHeight w:val="600"/>
        </w:trPr>
        <w:tc>
          <w:tcPr>
            <w:tcW w:w="560" w:type="pct"/>
            <w:noWrap/>
            <w:vAlign w:val="center"/>
            <w:hideMark/>
          </w:tcPr>
          <w:p w14:paraId="67C64DAF" w14:textId="77777777" w:rsidR="004078AD" w:rsidRPr="00692C50" w:rsidRDefault="004078AD" w:rsidP="000A5389">
            <w:pPr>
              <w:spacing w:line="240" w:lineRule="auto"/>
              <w:jc w:val="right"/>
              <w:rPr>
                <w:rFonts w:eastAsia="Times New Roman" w:cs="Times New Roman"/>
                <w:sz w:val="16"/>
                <w:szCs w:val="16"/>
                <w:lang w:eastAsia="es-CO"/>
              </w:rPr>
            </w:pPr>
            <w:r w:rsidRPr="00692C50">
              <w:rPr>
                <w:rFonts w:eastAsia="Times New Roman" w:cs="Times New Roman"/>
                <w:sz w:val="16"/>
                <w:szCs w:val="16"/>
                <w:lang w:eastAsia="es-CO"/>
              </w:rPr>
              <w:t>800235872</w:t>
            </w:r>
          </w:p>
        </w:tc>
        <w:tc>
          <w:tcPr>
            <w:tcW w:w="722" w:type="pct"/>
            <w:vAlign w:val="center"/>
            <w:hideMark/>
          </w:tcPr>
          <w:p w14:paraId="3D9F3014" w14:textId="11053B0B" w:rsidR="004078AD" w:rsidRPr="00692C50" w:rsidRDefault="008515FA" w:rsidP="000A5389">
            <w:pPr>
              <w:spacing w:line="240" w:lineRule="auto"/>
              <w:jc w:val="center"/>
              <w:rPr>
                <w:rFonts w:eastAsia="Times New Roman" w:cs="Times New Roman"/>
                <w:sz w:val="16"/>
                <w:szCs w:val="16"/>
                <w:lang w:eastAsia="es-CO"/>
              </w:rPr>
            </w:pPr>
            <w:r w:rsidRPr="00692C50">
              <w:rPr>
                <w:rFonts w:eastAsia="Times New Roman" w:cs="Times New Roman"/>
                <w:sz w:val="16"/>
                <w:szCs w:val="16"/>
                <w:lang w:eastAsia="es-CO"/>
              </w:rPr>
              <w:t>Concesionaria Vial De Los Andes S.A.S. Coviandes S.A.S.</w:t>
            </w:r>
          </w:p>
        </w:tc>
        <w:tc>
          <w:tcPr>
            <w:tcW w:w="884" w:type="pct"/>
            <w:noWrap/>
            <w:vAlign w:val="center"/>
            <w:hideMark/>
          </w:tcPr>
          <w:p w14:paraId="1F04529F" w14:textId="77777777" w:rsidR="004078AD" w:rsidRPr="00692C50" w:rsidRDefault="004078AD" w:rsidP="000A5389">
            <w:pPr>
              <w:spacing w:line="240" w:lineRule="auto"/>
              <w:jc w:val="right"/>
              <w:rPr>
                <w:rFonts w:eastAsia="Times New Roman" w:cs="Times New Roman"/>
                <w:sz w:val="16"/>
                <w:szCs w:val="16"/>
                <w:lang w:eastAsia="es-CO"/>
              </w:rPr>
            </w:pPr>
            <w:r w:rsidRPr="00692C50">
              <w:rPr>
                <w:rFonts w:eastAsia="Times New Roman" w:cs="Times New Roman"/>
                <w:sz w:val="16"/>
                <w:szCs w:val="16"/>
                <w:lang w:eastAsia="es-CO"/>
              </w:rPr>
              <w:t xml:space="preserve">                                 89.673.116.337 </w:t>
            </w:r>
          </w:p>
        </w:tc>
        <w:tc>
          <w:tcPr>
            <w:tcW w:w="322" w:type="pct"/>
            <w:noWrap/>
            <w:vAlign w:val="center"/>
            <w:hideMark/>
          </w:tcPr>
          <w:p w14:paraId="03E2720F" w14:textId="77777777" w:rsidR="004078AD" w:rsidRPr="00692C50" w:rsidRDefault="004078AD" w:rsidP="000A5389">
            <w:pPr>
              <w:spacing w:line="240" w:lineRule="auto"/>
              <w:jc w:val="center"/>
              <w:rPr>
                <w:rFonts w:eastAsia="Times New Roman" w:cs="Times New Roman"/>
                <w:sz w:val="16"/>
                <w:szCs w:val="16"/>
                <w:lang w:eastAsia="es-CO"/>
              </w:rPr>
            </w:pPr>
            <w:r w:rsidRPr="00692C50">
              <w:rPr>
                <w:rFonts w:eastAsia="Times New Roman" w:cs="Times New Roman"/>
                <w:sz w:val="16"/>
                <w:szCs w:val="16"/>
                <w:lang w:eastAsia="es-CO"/>
              </w:rPr>
              <w:t> </w:t>
            </w:r>
          </w:p>
        </w:tc>
        <w:tc>
          <w:tcPr>
            <w:tcW w:w="322" w:type="pct"/>
            <w:noWrap/>
            <w:vAlign w:val="center"/>
            <w:hideMark/>
          </w:tcPr>
          <w:p w14:paraId="213E6A31" w14:textId="77777777" w:rsidR="004078AD" w:rsidRPr="00692C50" w:rsidRDefault="004078AD" w:rsidP="000A5389">
            <w:pPr>
              <w:spacing w:line="240" w:lineRule="auto"/>
              <w:jc w:val="center"/>
              <w:rPr>
                <w:rFonts w:eastAsia="Times New Roman" w:cs="Times New Roman"/>
                <w:sz w:val="16"/>
                <w:szCs w:val="16"/>
                <w:lang w:eastAsia="es-CO"/>
              </w:rPr>
            </w:pPr>
            <w:r w:rsidRPr="00692C50">
              <w:rPr>
                <w:rFonts w:eastAsia="Times New Roman" w:cs="Times New Roman"/>
                <w:sz w:val="16"/>
                <w:szCs w:val="16"/>
                <w:lang w:eastAsia="es-CO"/>
              </w:rPr>
              <w:t> </w:t>
            </w:r>
          </w:p>
        </w:tc>
        <w:tc>
          <w:tcPr>
            <w:tcW w:w="882" w:type="pct"/>
            <w:vAlign w:val="center"/>
            <w:hideMark/>
          </w:tcPr>
          <w:p w14:paraId="727C8AE0" w14:textId="77777777" w:rsidR="004078AD" w:rsidRPr="00692C50" w:rsidRDefault="004078AD" w:rsidP="000A5389">
            <w:pPr>
              <w:spacing w:line="240" w:lineRule="auto"/>
              <w:rPr>
                <w:rFonts w:eastAsia="Times New Roman" w:cs="Times New Roman"/>
                <w:sz w:val="16"/>
                <w:szCs w:val="16"/>
                <w:lang w:eastAsia="es-CO"/>
              </w:rPr>
            </w:pPr>
            <w:r w:rsidRPr="00692C50">
              <w:rPr>
                <w:rFonts w:eastAsia="Times New Roman" w:cs="Times New Roman"/>
                <w:sz w:val="16"/>
                <w:szCs w:val="16"/>
                <w:lang w:eastAsia="es-CO"/>
              </w:rPr>
              <w:t>Resuelve Cuarto Laudo Arbitral 128411</w:t>
            </w:r>
          </w:p>
        </w:tc>
        <w:tc>
          <w:tcPr>
            <w:tcW w:w="1308" w:type="pct"/>
            <w:vAlign w:val="center"/>
            <w:hideMark/>
          </w:tcPr>
          <w:p w14:paraId="2EE8B29B" w14:textId="77777777" w:rsidR="004078AD" w:rsidRPr="00692C50" w:rsidRDefault="004078AD" w:rsidP="000A5389">
            <w:pPr>
              <w:spacing w:line="240" w:lineRule="auto"/>
              <w:rPr>
                <w:rFonts w:eastAsia="Times New Roman" w:cs="Times New Roman"/>
                <w:sz w:val="16"/>
                <w:szCs w:val="16"/>
                <w:lang w:eastAsia="es-CO"/>
              </w:rPr>
            </w:pPr>
            <w:r w:rsidRPr="00692C50">
              <w:rPr>
                <w:rFonts w:eastAsia="Times New Roman" w:cs="Times New Roman"/>
                <w:b/>
                <w:bCs/>
                <w:sz w:val="16"/>
                <w:szCs w:val="16"/>
                <w:lang w:eastAsia="es-CO"/>
              </w:rPr>
              <w:t xml:space="preserve">Tasa de interés: </w:t>
            </w:r>
            <w:r w:rsidRPr="00692C50">
              <w:rPr>
                <w:rFonts w:eastAsia="Times New Roman" w:cs="Times New Roman"/>
                <w:sz w:val="16"/>
                <w:szCs w:val="16"/>
                <w:lang w:eastAsia="es-CO"/>
              </w:rPr>
              <w:t>11,33 % E.A. en términos reales.</w:t>
            </w:r>
          </w:p>
        </w:tc>
      </w:tr>
      <w:tr w:rsidR="008515FA" w:rsidRPr="00692C50" w14:paraId="794A4D5B" w14:textId="77777777" w:rsidTr="00692C50">
        <w:trPr>
          <w:trHeight w:val="720"/>
        </w:trPr>
        <w:tc>
          <w:tcPr>
            <w:tcW w:w="560" w:type="pct"/>
            <w:noWrap/>
            <w:vAlign w:val="center"/>
            <w:hideMark/>
          </w:tcPr>
          <w:p w14:paraId="3CFC2F3D" w14:textId="77777777" w:rsidR="004078AD" w:rsidRPr="00692C50" w:rsidRDefault="004078AD" w:rsidP="000A5389">
            <w:pPr>
              <w:spacing w:line="240" w:lineRule="auto"/>
              <w:jc w:val="right"/>
              <w:rPr>
                <w:rFonts w:eastAsia="Times New Roman" w:cs="Times New Roman"/>
                <w:sz w:val="16"/>
                <w:szCs w:val="16"/>
                <w:lang w:eastAsia="es-CO"/>
              </w:rPr>
            </w:pPr>
            <w:r w:rsidRPr="00692C50">
              <w:rPr>
                <w:rFonts w:eastAsia="Times New Roman" w:cs="Times New Roman"/>
                <w:sz w:val="16"/>
                <w:szCs w:val="16"/>
                <w:lang w:eastAsia="es-CO"/>
              </w:rPr>
              <w:t>800235278</w:t>
            </w:r>
          </w:p>
        </w:tc>
        <w:tc>
          <w:tcPr>
            <w:tcW w:w="722" w:type="pct"/>
            <w:vAlign w:val="center"/>
            <w:hideMark/>
          </w:tcPr>
          <w:p w14:paraId="31AD1EA3" w14:textId="7EB62CA1" w:rsidR="004078AD" w:rsidRPr="00692C50" w:rsidRDefault="008515FA" w:rsidP="000A5389">
            <w:pPr>
              <w:spacing w:line="240" w:lineRule="auto"/>
              <w:jc w:val="center"/>
              <w:rPr>
                <w:rFonts w:eastAsia="Times New Roman" w:cs="Times New Roman"/>
                <w:sz w:val="16"/>
                <w:szCs w:val="16"/>
                <w:lang w:eastAsia="es-CO"/>
              </w:rPr>
            </w:pPr>
            <w:r w:rsidRPr="00692C50">
              <w:rPr>
                <w:rFonts w:eastAsia="Times New Roman" w:cs="Times New Roman"/>
                <w:sz w:val="16"/>
                <w:szCs w:val="16"/>
                <w:lang w:eastAsia="es-CO"/>
              </w:rPr>
              <w:t>Concesión Santa Marta Paraguachon S.A.</w:t>
            </w:r>
          </w:p>
        </w:tc>
        <w:tc>
          <w:tcPr>
            <w:tcW w:w="884" w:type="pct"/>
            <w:noWrap/>
            <w:vAlign w:val="center"/>
            <w:hideMark/>
          </w:tcPr>
          <w:p w14:paraId="597D2722" w14:textId="77777777" w:rsidR="004078AD" w:rsidRPr="00692C50" w:rsidRDefault="004078AD" w:rsidP="000A5389">
            <w:pPr>
              <w:spacing w:line="240" w:lineRule="auto"/>
              <w:jc w:val="right"/>
              <w:rPr>
                <w:rFonts w:eastAsia="Times New Roman" w:cs="Times New Roman"/>
                <w:sz w:val="16"/>
                <w:szCs w:val="16"/>
                <w:lang w:eastAsia="es-CO"/>
              </w:rPr>
            </w:pPr>
            <w:r w:rsidRPr="00692C50">
              <w:rPr>
                <w:rFonts w:eastAsia="Times New Roman" w:cs="Times New Roman"/>
                <w:sz w:val="16"/>
                <w:szCs w:val="16"/>
                <w:lang w:eastAsia="es-CO"/>
              </w:rPr>
              <w:t xml:space="preserve">                               67.582.208.353 </w:t>
            </w:r>
          </w:p>
        </w:tc>
        <w:tc>
          <w:tcPr>
            <w:tcW w:w="322" w:type="pct"/>
            <w:noWrap/>
            <w:vAlign w:val="center"/>
            <w:hideMark/>
          </w:tcPr>
          <w:p w14:paraId="31532DFA" w14:textId="77777777" w:rsidR="004078AD" w:rsidRPr="00692C50" w:rsidRDefault="004078AD" w:rsidP="000A5389">
            <w:pPr>
              <w:spacing w:line="240" w:lineRule="auto"/>
              <w:jc w:val="center"/>
              <w:rPr>
                <w:rFonts w:eastAsia="Times New Roman" w:cs="Times New Roman"/>
                <w:sz w:val="16"/>
                <w:szCs w:val="16"/>
                <w:lang w:eastAsia="es-CO"/>
              </w:rPr>
            </w:pPr>
            <w:r w:rsidRPr="00692C50">
              <w:rPr>
                <w:rFonts w:eastAsia="Times New Roman" w:cs="Times New Roman"/>
                <w:sz w:val="16"/>
                <w:szCs w:val="16"/>
                <w:lang w:eastAsia="es-CO"/>
              </w:rPr>
              <w:t>1</w:t>
            </w:r>
          </w:p>
        </w:tc>
        <w:tc>
          <w:tcPr>
            <w:tcW w:w="322" w:type="pct"/>
            <w:noWrap/>
            <w:vAlign w:val="center"/>
            <w:hideMark/>
          </w:tcPr>
          <w:p w14:paraId="5F179581" w14:textId="77777777" w:rsidR="004078AD" w:rsidRPr="00692C50" w:rsidRDefault="004078AD" w:rsidP="000A5389">
            <w:pPr>
              <w:spacing w:line="240" w:lineRule="auto"/>
              <w:jc w:val="center"/>
              <w:rPr>
                <w:rFonts w:eastAsia="Times New Roman" w:cs="Times New Roman"/>
                <w:sz w:val="16"/>
                <w:szCs w:val="16"/>
                <w:lang w:eastAsia="es-CO"/>
              </w:rPr>
            </w:pPr>
            <w:r w:rsidRPr="00692C50">
              <w:rPr>
                <w:rFonts w:eastAsia="Times New Roman" w:cs="Times New Roman"/>
                <w:sz w:val="16"/>
                <w:szCs w:val="16"/>
                <w:lang w:eastAsia="es-CO"/>
              </w:rPr>
              <w:t>10</w:t>
            </w:r>
          </w:p>
        </w:tc>
        <w:tc>
          <w:tcPr>
            <w:tcW w:w="882" w:type="pct"/>
            <w:vAlign w:val="center"/>
            <w:hideMark/>
          </w:tcPr>
          <w:p w14:paraId="26CF4CDB" w14:textId="1B1E4EA3" w:rsidR="004078AD" w:rsidRPr="00692C50" w:rsidRDefault="004078AD" w:rsidP="000A5389">
            <w:pPr>
              <w:spacing w:line="240" w:lineRule="auto"/>
              <w:rPr>
                <w:rFonts w:eastAsia="Times New Roman" w:cs="Times New Roman"/>
                <w:sz w:val="16"/>
                <w:szCs w:val="16"/>
                <w:lang w:eastAsia="es-CO"/>
              </w:rPr>
            </w:pPr>
            <w:r w:rsidRPr="00692C50">
              <w:rPr>
                <w:rFonts w:eastAsia="Times New Roman" w:cs="Times New Roman"/>
                <w:sz w:val="16"/>
                <w:szCs w:val="16"/>
                <w:lang w:eastAsia="es-CO"/>
              </w:rPr>
              <w:t>Aplica los artículos 192 y 195 del Código de Procedimiento Administrativo y de lo Contencioso</w:t>
            </w:r>
            <w:r w:rsidRPr="00692C50">
              <w:rPr>
                <w:rFonts w:eastAsia="Times New Roman" w:cs="Times New Roman"/>
                <w:sz w:val="16"/>
                <w:szCs w:val="16"/>
                <w:lang w:eastAsia="es-CO"/>
              </w:rPr>
              <w:br/>
              <w:t xml:space="preserve">Administrativo </w:t>
            </w:r>
            <w:r w:rsidR="00873937">
              <w:rPr>
                <w:rFonts w:eastAsia="Times New Roman" w:cs="Times New Roman"/>
                <w:sz w:val="16"/>
                <w:szCs w:val="16"/>
                <w:lang w:eastAsia="es-CO"/>
              </w:rPr>
              <w:t>–</w:t>
            </w:r>
            <w:r w:rsidRPr="00692C50">
              <w:rPr>
                <w:rFonts w:eastAsia="Times New Roman" w:cs="Times New Roman"/>
                <w:sz w:val="16"/>
                <w:szCs w:val="16"/>
                <w:lang w:eastAsia="es-CO"/>
              </w:rPr>
              <w:t xml:space="preserve"> CPACA</w:t>
            </w:r>
          </w:p>
        </w:tc>
        <w:tc>
          <w:tcPr>
            <w:tcW w:w="1308" w:type="pct"/>
            <w:vAlign w:val="center"/>
            <w:hideMark/>
          </w:tcPr>
          <w:p w14:paraId="79C442F9" w14:textId="77777777" w:rsidR="004078AD" w:rsidRPr="00692C50" w:rsidRDefault="004078AD" w:rsidP="000A5389">
            <w:pPr>
              <w:spacing w:line="240" w:lineRule="auto"/>
              <w:rPr>
                <w:rFonts w:eastAsia="Times New Roman" w:cs="Times New Roman"/>
                <w:sz w:val="16"/>
                <w:szCs w:val="16"/>
                <w:lang w:eastAsia="es-CO"/>
              </w:rPr>
            </w:pPr>
            <w:r w:rsidRPr="00692C50">
              <w:rPr>
                <w:rFonts w:eastAsia="Times New Roman" w:cs="Times New Roman"/>
                <w:b/>
                <w:bCs/>
                <w:sz w:val="16"/>
                <w:szCs w:val="16"/>
                <w:lang w:eastAsia="es-CO"/>
              </w:rPr>
              <w:t xml:space="preserve">DTF (rango de fecha) *: </w:t>
            </w:r>
            <w:r w:rsidRPr="00692C50">
              <w:rPr>
                <w:rFonts w:eastAsia="Times New Roman" w:cs="Times New Roman"/>
                <w:sz w:val="16"/>
                <w:szCs w:val="16"/>
                <w:lang w:eastAsia="es-CO"/>
              </w:rPr>
              <w:t>31/05/2025 al 31/12/2025</w:t>
            </w:r>
            <w:r w:rsidRPr="00692C50">
              <w:rPr>
                <w:rFonts w:eastAsia="Times New Roman" w:cs="Times New Roman"/>
                <w:sz w:val="16"/>
                <w:szCs w:val="16"/>
                <w:lang w:eastAsia="es-CO"/>
              </w:rPr>
              <w:br/>
              <w:t>*Se aplica DTF entre los 10 primeros meses</w:t>
            </w:r>
          </w:p>
        </w:tc>
      </w:tr>
      <w:tr w:rsidR="008515FA" w:rsidRPr="00692C50" w14:paraId="6D869107" w14:textId="77777777" w:rsidTr="00692C50">
        <w:trPr>
          <w:trHeight w:val="1946"/>
        </w:trPr>
        <w:tc>
          <w:tcPr>
            <w:tcW w:w="560" w:type="pct"/>
            <w:noWrap/>
            <w:vAlign w:val="center"/>
            <w:hideMark/>
          </w:tcPr>
          <w:p w14:paraId="3286827D" w14:textId="77777777" w:rsidR="004078AD" w:rsidRPr="00692C50" w:rsidRDefault="004078AD" w:rsidP="000A5389">
            <w:pPr>
              <w:spacing w:line="240" w:lineRule="auto"/>
              <w:jc w:val="right"/>
              <w:rPr>
                <w:rFonts w:eastAsia="Times New Roman" w:cs="Times New Roman"/>
                <w:sz w:val="16"/>
                <w:szCs w:val="16"/>
                <w:lang w:eastAsia="es-CO"/>
              </w:rPr>
            </w:pPr>
            <w:r w:rsidRPr="00692C50">
              <w:rPr>
                <w:rFonts w:eastAsia="Times New Roman" w:cs="Times New Roman"/>
                <w:sz w:val="16"/>
                <w:szCs w:val="16"/>
                <w:lang w:eastAsia="es-CO"/>
              </w:rPr>
              <w:lastRenderedPageBreak/>
              <w:t>900979054</w:t>
            </w:r>
          </w:p>
        </w:tc>
        <w:tc>
          <w:tcPr>
            <w:tcW w:w="722" w:type="pct"/>
            <w:vAlign w:val="center"/>
            <w:hideMark/>
          </w:tcPr>
          <w:p w14:paraId="6D48B493" w14:textId="190DF703" w:rsidR="004078AD" w:rsidRPr="00692C50" w:rsidRDefault="008515FA" w:rsidP="000A5389">
            <w:pPr>
              <w:spacing w:line="240" w:lineRule="auto"/>
              <w:jc w:val="center"/>
              <w:rPr>
                <w:rFonts w:eastAsia="Times New Roman" w:cs="Times New Roman"/>
                <w:sz w:val="16"/>
                <w:szCs w:val="16"/>
                <w:lang w:eastAsia="es-CO"/>
              </w:rPr>
            </w:pPr>
            <w:r w:rsidRPr="00692C50">
              <w:rPr>
                <w:rFonts w:eastAsia="Times New Roman" w:cs="Times New Roman"/>
                <w:sz w:val="16"/>
                <w:szCs w:val="16"/>
                <w:lang w:eastAsia="es-CO"/>
              </w:rPr>
              <w:t>Vía Pacifico S A S En Liquidación</w:t>
            </w:r>
          </w:p>
        </w:tc>
        <w:tc>
          <w:tcPr>
            <w:tcW w:w="884" w:type="pct"/>
            <w:noWrap/>
            <w:vAlign w:val="center"/>
            <w:hideMark/>
          </w:tcPr>
          <w:p w14:paraId="194449F7" w14:textId="77777777" w:rsidR="004078AD" w:rsidRPr="00692C50" w:rsidRDefault="004078AD" w:rsidP="000A5389">
            <w:pPr>
              <w:spacing w:line="240" w:lineRule="auto"/>
              <w:jc w:val="right"/>
              <w:rPr>
                <w:rFonts w:eastAsia="Times New Roman" w:cs="Times New Roman"/>
                <w:sz w:val="16"/>
                <w:szCs w:val="16"/>
                <w:lang w:eastAsia="es-CO"/>
              </w:rPr>
            </w:pPr>
            <w:r w:rsidRPr="00692C50">
              <w:rPr>
                <w:rFonts w:eastAsia="Times New Roman" w:cs="Times New Roman"/>
                <w:sz w:val="16"/>
                <w:szCs w:val="16"/>
                <w:lang w:eastAsia="es-CO"/>
              </w:rPr>
              <w:t xml:space="preserve">                                60.365.934.801 </w:t>
            </w:r>
          </w:p>
        </w:tc>
        <w:tc>
          <w:tcPr>
            <w:tcW w:w="322" w:type="pct"/>
            <w:noWrap/>
            <w:vAlign w:val="center"/>
            <w:hideMark/>
          </w:tcPr>
          <w:p w14:paraId="6BD64532" w14:textId="77777777" w:rsidR="004078AD" w:rsidRPr="00692C50" w:rsidRDefault="004078AD" w:rsidP="000A5389">
            <w:pPr>
              <w:spacing w:line="240" w:lineRule="auto"/>
              <w:jc w:val="center"/>
              <w:rPr>
                <w:rFonts w:eastAsia="Times New Roman" w:cs="Times New Roman"/>
                <w:sz w:val="16"/>
                <w:szCs w:val="16"/>
                <w:lang w:eastAsia="es-CO"/>
              </w:rPr>
            </w:pPr>
            <w:r w:rsidRPr="00692C50">
              <w:rPr>
                <w:rFonts w:eastAsia="Times New Roman" w:cs="Times New Roman"/>
                <w:sz w:val="16"/>
                <w:szCs w:val="16"/>
                <w:lang w:eastAsia="es-CO"/>
              </w:rPr>
              <w:t>1</w:t>
            </w:r>
          </w:p>
        </w:tc>
        <w:tc>
          <w:tcPr>
            <w:tcW w:w="322" w:type="pct"/>
            <w:noWrap/>
            <w:vAlign w:val="center"/>
            <w:hideMark/>
          </w:tcPr>
          <w:p w14:paraId="16297F69" w14:textId="77777777" w:rsidR="004078AD" w:rsidRPr="00692C50" w:rsidRDefault="004078AD" w:rsidP="000A5389">
            <w:pPr>
              <w:spacing w:line="240" w:lineRule="auto"/>
              <w:jc w:val="center"/>
              <w:rPr>
                <w:rFonts w:eastAsia="Times New Roman" w:cs="Times New Roman"/>
                <w:sz w:val="16"/>
                <w:szCs w:val="16"/>
                <w:lang w:eastAsia="es-CO"/>
              </w:rPr>
            </w:pPr>
            <w:r w:rsidRPr="00692C50">
              <w:rPr>
                <w:rFonts w:eastAsia="Times New Roman" w:cs="Times New Roman"/>
                <w:sz w:val="16"/>
                <w:szCs w:val="16"/>
                <w:lang w:eastAsia="es-CO"/>
              </w:rPr>
              <w:t>10</w:t>
            </w:r>
          </w:p>
        </w:tc>
        <w:tc>
          <w:tcPr>
            <w:tcW w:w="882" w:type="pct"/>
            <w:vAlign w:val="center"/>
            <w:hideMark/>
          </w:tcPr>
          <w:p w14:paraId="51099684" w14:textId="55F91F27" w:rsidR="004078AD" w:rsidRPr="00692C50" w:rsidRDefault="004078AD" w:rsidP="000A5389">
            <w:pPr>
              <w:spacing w:line="240" w:lineRule="auto"/>
              <w:rPr>
                <w:rFonts w:eastAsia="Times New Roman" w:cs="Times New Roman"/>
                <w:sz w:val="16"/>
                <w:szCs w:val="16"/>
                <w:lang w:eastAsia="es-CO"/>
              </w:rPr>
            </w:pPr>
            <w:r w:rsidRPr="00692C50">
              <w:rPr>
                <w:rFonts w:eastAsia="Times New Roman" w:cs="Times New Roman"/>
                <w:sz w:val="16"/>
                <w:szCs w:val="16"/>
                <w:lang w:eastAsia="es-CO"/>
              </w:rPr>
              <w:t>Aplica los artículos 192 y 195 del Código de Procedimiento Administrativo y de lo Contencioso</w:t>
            </w:r>
            <w:r w:rsidRPr="00692C50">
              <w:rPr>
                <w:rFonts w:eastAsia="Times New Roman" w:cs="Times New Roman"/>
                <w:sz w:val="16"/>
                <w:szCs w:val="16"/>
                <w:lang w:eastAsia="es-CO"/>
              </w:rPr>
              <w:br/>
              <w:t xml:space="preserve">Administrativo </w:t>
            </w:r>
            <w:r w:rsidR="00873937">
              <w:rPr>
                <w:rFonts w:eastAsia="Times New Roman" w:cs="Times New Roman"/>
                <w:sz w:val="16"/>
                <w:szCs w:val="16"/>
                <w:lang w:eastAsia="es-CO"/>
              </w:rPr>
              <w:t>–</w:t>
            </w:r>
            <w:r w:rsidRPr="00692C50">
              <w:rPr>
                <w:rFonts w:eastAsia="Times New Roman" w:cs="Times New Roman"/>
                <w:sz w:val="16"/>
                <w:szCs w:val="16"/>
                <w:lang w:eastAsia="es-CO"/>
              </w:rPr>
              <w:t xml:space="preserve"> CPACA</w:t>
            </w:r>
          </w:p>
        </w:tc>
        <w:tc>
          <w:tcPr>
            <w:tcW w:w="1308" w:type="pct"/>
            <w:vAlign w:val="center"/>
            <w:hideMark/>
          </w:tcPr>
          <w:p w14:paraId="77E028B5" w14:textId="77777777" w:rsidR="004078AD" w:rsidRPr="00692C50" w:rsidRDefault="004078AD" w:rsidP="000A5389">
            <w:pPr>
              <w:spacing w:line="240" w:lineRule="auto"/>
              <w:rPr>
                <w:rFonts w:eastAsia="Times New Roman" w:cs="Times New Roman"/>
                <w:sz w:val="16"/>
                <w:szCs w:val="16"/>
                <w:lang w:eastAsia="es-CO"/>
              </w:rPr>
            </w:pPr>
            <w:r w:rsidRPr="00692C50">
              <w:rPr>
                <w:rFonts w:eastAsia="Times New Roman" w:cs="Times New Roman"/>
                <w:b/>
                <w:bCs/>
                <w:sz w:val="16"/>
                <w:szCs w:val="16"/>
                <w:lang w:eastAsia="es-CO"/>
              </w:rPr>
              <w:t>DTF (rango de fecha) *:</w:t>
            </w:r>
            <w:r w:rsidRPr="00692C50">
              <w:rPr>
                <w:rFonts w:eastAsia="Times New Roman" w:cs="Times New Roman"/>
                <w:sz w:val="16"/>
                <w:szCs w:val="16"/>
                <w:lang w:eastAsia="es-CO"/>
              </w:rPr>
              <w:t xml:space="preserve"> 7/07/2022 al 6/05/2023</w:t>
            </w:r>
            <w:r w:rsidRPr="00692C50">
              <w:rPr>
                <w:rFonts w:eastAsia="Times New Roman" w:cs="Times New Roman"/>
                <w:sz w:val="16"/>
                <w:szCs w:val="16"/>
                <w:lang w:eastAsia="es-CO"/>
              </w:rPr>
              <w:br/>
              <w:t>*Se aplica DTF entre los 10 primeros meses</w:t>
            </w:r>
            <w:r w:rsidRPr="00692C50">
              <w:rPr>
                <w:rFonts w:eastAsia="Times New Roman" w:cs="Times New Roman"/>
                <w:sz w:val="16"/>
                <w:szCs w:val="16"/>
                <w:lang w:eastAsia="es-CO"/>
              </w:rPr>
              <w:br/>
            </w:r>
            <w:r w:rsidRPr="00692C50">
              <w:rPr>
                <w:rFonts w:eastAsia="Times New Roman" w:cs="Times New Roman"/>
                <w:b/>
                <w:bCs/>
                <w:sz w:val="16"/>
                <w:szCs w:val="16"/>
                <w:lang w:eastAsia="es-CO"/>
              </w:rPr>
              <w:t>Tasa de interés bancario corriente (rango de fecha) *:</w:t>
            </w:r>
            <w:r w:rsidRPr="00692C50">
              <w:rPr>
                <w:rFonts w:eastAsia="Times New Roman" w:cs="Times New Roman"/>
                <w:sz w:val="16"/>
                <w:szCs w:val="16"/>
                <w:lang w:eastAsia="es-CO"/>
              </w:rPr>
              <w:t xml:space="preserve"> 7/05/2023 al 31/12/2025</w:t>
            </w:r>
            <w:r w:rsidRPr="00692C50">
              <w:rPr>
                <w:rFonts w:eastAsia="Times New Roman" w:cs="Times New Roman"/>
                <w:sz w:val="16"/>
                <w:szCs w:val="16"/>
                <w:lang w:eastAsia="es-CO"/>
              </w:rPr>
              <w:br/>
              <w:t>*Se aplica Tasa de interés bancario corriente, después de los 10 meses conforme lo establecido en el</w:t>
            </w:r>
            <w:r w:rsidRPr="00692C50">
              <w:rPr>
                <w:rFonts w:eastAsia="Times New Roman" w:cs="Times New Roman"/>
                <w:sz w:val="16"/>
                <w:szCs w:val="16"/>
                <w:lang w:eastAsia="es-CO"/>
              </w:rPr>
              <w:br/>
              <w:t>artículo 195 del CPACA.</w:t>
            </w:r>
          </w:p>
        </w:tc>
      </w:tr>
      <w:tr w:rsidR="008515FA" w:rsidRPr="00692C50" w14:paraId="23B7DC73" w14:textId="77777777" w:rsidTr="00692C50">
        <w:trPr>
          <w:trHeight w:val="720"/>
        </w:trPr>
        <w:tc>
          <w:tcPr>
            <w:tcW w:w="560" w:type="pct"/>
            <w:noWrap/>
            <w:vAlign w:val="center"/>
            <w:hideMark/>
          </w:tcPr>
          <w:p w14:paraId="5E769B53" w14:textId="77777777" w:rsidR="004078AD" w:rsidRPr="00692C50" w:rsidRDefault="004078AD" w:rsidP="000A5389">
            <w:pPr>
              <w:spacing w:line="240" w:lineRule="auto"/>
              <w:jc w:val="right"/>
              <w:rPr>
                <w:rFonts w:eastAsia="Times New Roman" w:cs="Times New Roman"/>
                <w:sz w:val="16"/>
                <w:szCs w:val="16"/>
                <w:lang w:eastAsia="es-CO"/>
              </w:rPr>
            </w:pPr>
            <w:r w:rsidRPr="00692C50">
              <w:rPr>
                <w:rFonts w:eastAsia="Times New Roman" w:cs="Times New Roman"/>
                <w:sz w:val="16"/>
                <w:szCs w:val="16"/>
                <w:lang w:eastAsia="es-CO"/>
              </w:rPr>
              <w:t>900740893</w:t>
            </w:r>
          </w:p>
        </w:tc>
        <w:tc>
          <w:tcPr>
            <w:tcW w:w="722" w:type="pct"/>
            <w:vAlign w:val="center"/>
            <w:hideMark/>
          </w:tcPr>
          <w:p w14:paraId="07319AA5" w14:textId="4B74256D" w:rsidR="004078AD" w:rsidRPr="00692C50" w:rsidRDefault="008515FA" w:rsidP="000A5389">
            <w:pPr>
              <w:spacing w:line="240" w:lineRule="auto"/>
              <w:jc w:val="center"/>
              <w:rPr>
                <w:rFonts w:eastAsia="Times New Roman" w:cs="Times New Roman"/>
                <w:sz w:val="16"/>
                <w:szCs w:val="16"/>
                <w:lang w:eastAsia="es-CO"/>
              </w:rPr>
            </w:pPr>
            <w:r w:rsidRPr="00692C50">
              <w:rPr>
                <w:rFonts w:eastAsia="Times New Roman" w:cs="Times New Roman"/>
                <w:sz w:val="16"/>
                <w:szCs w:val="16"/>
                <w:lang w:eastAsia="es-CO"/>
              </w:rPr>
              <w:t>Concesión La Pintada S.A.S.</w:t>
            </w:r>
          </w:p>
        </w:tc>
        <w:tc>
          <w:tcPr>
            <w:tcW w:w="884" w:type="pct"/>
            <w:noWrap/>
            <w:vAlign w:val="center"/>
            <w:hideMark/>
          </w:tcPr>
          <w:p w14:paraId="1506571A" w14:textId="77777777" w:rsidR="004078AD" w:rsidRPr="00692C50" w:rsidRDefault="004078AD" w:rsidP="000A5389">
            <w:pPr>
              <w:spacing w:line="240" w:lineRule="auto"/>
              <w:jc w:val="right"/>
              <w:rPr>
                <w:rFonts w:eastAsia="Times New Roman" w:cs="Times New Roman"/>
                <w:sz w:val="16"/>
                <w:szCs w:val="16"/>
                <w:lang w:eastAsia="es-CO"/>
              </w:rPr>
            </w:pPr>
            <w:r w:rsidRPr="00692C50">
              <w:rPr>
                <w:rFonts w:eastAsia="Times New Roman" w:cs="Times New Roman"/>
                <w:sz w:val="16"/>
                <w:szCs w:val="16"/>
                <w:lang w:eastAsia="es-CO"/>
              </w:rPr>
              <w:t xml:space="preserve">                                 54.996.011.394 </w:t>
            </w:r>
          </w:p>
        </w:tc>
        <w:tc>
          <w:tcPr>
            <w:tcW w:w="322" w:type="pct"/>
            <w:noWrap/>
            <w:vAlign w:val="center"/>
            <w:hideMark/>
          </w:tcPr>
          <w:p w14:paraId="2F484BE6" w14:textId="77777777" w:rsidR="004078AD" w:rsidRPr="00692C50" w:rsidRDefault="004078AD" w:rsidP="000A5389">
            <w:pPr>
              <w:spacing w:line="240" w:lineRule="auto"/>
              <w:jc w:val="center"/>
              <w:rPr>
                <w:rFonts w:eastAsia="Times New Roman" w:cs="Times New Roman"/>
                <w:sz w:val="16"/>
                <w:szCs w:val="16"/>
                <w:lang w:eastAsia="es-CO"/>
              </w:rPr>
            </w:pPr>
            <w:r w:rsidRPr="00692C50">
              <w:rPr>
                <w:rFonts w:eastAsia="Times New Roman" w:cs="Times New Roman"/>
                <w:sz w:val="16"/>
                <w:szCs w:val="16"/>
                <w:lang w:eastAsia="es-CO"/>
              </w:rPr>
              <w:t> </w:t>
            </w:r>
          </w:p>
        </w:tc>
        <w:tc>
          <w:tcPr>
            <w:tcW w:w="322" w:type="pct"/>
            <w:noWrap/>
            <w:vAlign w:val="center"/>
            <w:hideMark/>
          </w:tcPr>
          <w:p w14:paraId="03948D07" w14:textId="77777777" w:rsidR="004078AD" w:rsidRPr="00692C50" w:rsidRDefault="004078AD" w:rsidP="000A5389">
            <w:pPr>
              <w:spacing w:line="240" w:lineRule="auto"/>
              <w:jc w:val="center"/>
              <w:rPr>
                <w:rFonts w:eastAsia="Times New Roman" w:cs="Times New Roman"/>
                <w:sz w:val="16"/>
                <w:szCs w:val="16"/>
                <w:lang w:eastAsia="es-CO"/>
              </w:rPr>
            </w:pPr>
            <w:r w:rsidRPr="00692C50">
              <w:rPr>
                <w:rFonts w:eastAsia="Times New Roman" w:cs="Times New Roman"/>
                <w:sz w:val="16"/>
                <w:szCs w:val="16"/>
                <w:lang w:eastAsia="es-CO"/>
              </w:rPr>
              <w:t> </w:t>
            </w:r>
          </w:p>
        </w:tc>
        <w:tc>
          <w:tcPr>
            <w:tcW w:w="882" w:type="pct"/>
            <w:vAlign w:val="center"/>
            <w:hideMark/>
          </w:tcPr>
          <w:p w14:paraId="74F2EA2E" w14:textId="77777777" w:rsidR="004078AD" w:rsidRPr="00692C50" w:rsidRDefault="004078AD" w:rsidP="000A5389">
            <w:pPr>
              <w:spacing w:line="240" w:lineRule="auto"/>
              <w:rPr>
                <w:rFonts w:eastAsia="Times New Roman" w:cs="Times New Roman"/>
                <w:sz w:val="16"/>
                <w:szCs w:val="16"/>
                <w:lang w:eastAsia="es-CO"/>
              </w:rPr>
            </w:pPr>
            <w:r w:rsidRPr="00692C50">
              <w:rPr>
                <w:rFonts w:eastAsia="Times New Roman" w:cs="Times New Roman"/>
                <w:sz w:val="16"/>
                <w:szCs w:val="16"/>
                <w:lang w:eastAsia="es-CO"/>
              </w:rPr>
              <w:t>El laudo indica actualización de la indexación del valor de la indemnización, hasta la fecha efectiva y completa del pago.</w:t>
            </w:r>
          </w:p>
        </w:tc>
        <w:tc>
          <w:tcPr>
            <w:tcW w:w="1308" w:type="pct"/>
            <w:vAlign w:val="center"/>
            <w:hideMark/>
          </w:tcPr>
          <w:p w14:paraId="260EE019" w14:textId="77777777" w:rsidR="004078AD" w:rsidRPr="00692C50" w:rsidRDefault="004078AD" w:rsidP="000A5389">
            <w:pPr>
              <w:spacing w:line="240" w:lineRule="auto"/>
              <w:rPr>
                <w:rFonts w:eastAsia="Times New Roman" w:cs="Times New Roman"/>
                <w:sz w:val="16"/>
                <w:szCs w:val="16"/>
                <w:lang w:eastAsia="es-CO"/>
              </w:rPr>
            </w:pPr>
            <w:r w:rsidRPr="00692C50">
              <w:rPr>
                <w:rFonts w:eastAsia="Times New Roman" w:cs="Times New Roman"/>
                <w:sz w:val="16"/>
                <w:szCs w:val="16"/>
                <w:lang w:eastAsia="es-CO"/>
              </w:rPr>
              <w:t> </w:t>
            </w:r>
          </w:p>
        </w:tc>
      </w:tr>
      <w:tr w:rsidR="008515FA" w:rsidRPr="00692C50" w14:paraId="12EC55AD" w14:textId="77777777" w:rsidTr="00692C50">
        <w:trPr>
          <w:trHeight w:val="1986"/>
        </w:trPr>
        <w:tc>
          <w:tcPr>
            <w:tcW w:w="560" w:type="pct"/>
            <w:noWrap/>
            <w:vAlign w:val="center"/>
            <w:hideMark/>
          </w:tcPr>
          <w:p w14:paraId="5F90F88C" w14:textId="77777777" w:rsidR="004078AD" w:rsidRPr="00692C50" w:rsidRDefault="004078AD" w:rsidP="000A5389">
            <w:pPr>
              <w:spacing w:line="240" w:lineRule="auto"/>
              <w:jc w:val="right"/>
              <w:rPr>
                <w:rFonts w:eastAsia="Times New Roman" w:cs="Times New Roman"/>
                <w:sz w:val="16"/>
                <w:szCs w:val="16"/>
                <w:lang w:eastAsia="es-CO"/>
              </w:rPr>
            </w:pPr>
            <w:r w:rsidRPr="00692C50">
              <w:rPr>
                <w:rFonts w:eastAsia="Times New Roman" w:cs="Times New Roman"/>
                <w:sz w:val="16"/>
                <w:szCs w:val="16"/>
                <w:lang w:eastAsia="es-CO"/>
              </w:rPr>
              <w:t>900164310</w:t>
            </w:r>
          </w:p>
        </w:tc>
        <w:tc>
          <w:tcPr>
            <w:tcW w:w="722" w:type="pct"/>
            <w:vAlign w:val="center"/>
            <w:hideMark/>
          </w:tcPr>
          <w:p w14:paraId="579C0BB8" w14:textId="10FC2F74" w:rsidR="004078AD" w:rsidRPr="00692C50" w:rsidRDefault="008515FA" w:rsidP="000A5389">
            <w:pPr>
              <w:spacing w:line="240" w:lineRule="auto"/>
              <w:jc w:val="center"/>
              <w:rPr>
                <w:rFonts w:eastAsia="Times New Roman" w:cs="Times New Roman"/>
                <w:sz w:val="16"/>
                <w:szCs w:val="16"/>
                <w:lang w:eastAsia="es-CO"/>
              </w:rPr>
            </w:pPr>
            <w:r w:rsidRPr="00692C50">
              <w:rPr>
                <w:rFonts w:eastAsia="Times New Roman" w:cs="Times New Roman"/>
                <w:sz w:val="16"/>
                <w:szCs w:val="16"/>
                <w:lang w:eastAsia="es-CO"/>
              </w:rPr>
              <w:t>Concesionaria San Rafael S.S.</w:t>
            </w:r>
          </w:p>
        </w:tc>
        <w:tc>
          <w:tcPr>
            <w:tcW w:w="884" w:type="pct"/>
            <w:noWrap/>
            <w:vAlign w:val="center"/>
            <w:hideMark/>
          </w:tcPr>
          <w:p w14:paraId="187A6B29" w14:textId="77777777" w:rsidR="004078AD" w:rsidRPr="00692C50" w:rsidRDefault="004078AD" w:rsidP="000A5389">
            <w:pPr>
              <w:spacing w:line="240" w:lineRule="auto"/>
              <w:jc w:val="right"/>
              <w:rPr>
                <w:rFonts w:eastAsia="Times New Roman" w:cs="Times New Roman"/>
                <w:sz w:val="16"/>
                <w:szCs w:val="16"/>
                <w:lang w:eastAsia="es-CO"/>
              </w:rPr>
            </w:pPr>
            <w:r w:rsidRPr="00692C50">
              <w:rPr>
                <w:rFonts w:eastAsia="Times New Roman" w:cs="Times New Roman"/>
                <w:sz w:val="16"/>
                <w:szCs w:val="16"/>
                <w:lang w:eastAsia="es-CO"/>
              </w:rPr>
              <w:t xml:space="preserve">                                45.087.153.740 </w:t>
            </w:r>
          </w:p>
        </w:tc>
        <w:tc>
          <w:tcPr>
            <w:tcW w:w="322" w:type="pct"/>
            <w:noWrap/>
            <w:vAlign w:val="center"/>
            <w:hideMark/>
          </w:tcPr>
          <w:p w14:paraId="2B6DCB27" w14:textId="77777777" w:rsidR="004078AD" w:rsidRPr="00692C50" w:rsidRDefault="004078AD" w:rsidP="000A5389">
            <w:pPr>
              <w:spacing w:line="240" w:lineRule="auto"/>
              <w:jc w:val="center"/>
              <w:rPr>
                <w:rFonts w:eastAsia="Times New Roman" w:cs="Times New Roman"/>
                <w:sz w:val="16"/>
                <w:szCs w:val="16"/>
                <w:lang w:eastAsia="es-CO"/>
              </w:rPr>
            </w:pPr>
            <w:r w:rsidRPr="00692C50">
              <w:rPr>
                <w:rFonts w:eastAsia="Times New Roman" w:cs="Times New Roman"/>
                <w:sz w:val="16"/>
                <w:szCs w:val="16"/>
                <w:lang w:eastAsia="es-CO"/>
              </w:rPr>
              <w:t>1</w:t>
            </w:r>
          </w:p>
        </w:tc>
        <w:tc>
          <w:tcPr>
            <w:tcW w:w="322" w:type="pct"/>
            <w:noWrap/>
            <w:vAlign w:val="center"/>
            <w:hideMark/>
          </w:tcPr>
          <w:p w14:paraId="2E17670B" w14:textId="77777777" w:rsidR="004078AD" w:rsidRPr="00692C50" w:rsidRDefault="004078AD" w:rsidP="000A5389">
            <w:pPr>
              <w:spacing w:line="240" w:lineRule="auto"/>
              <w:jc w:val="center"/>
              <w:rPr>
                <w:rFonts w:eastAsia="Times New Roman" w:cs="Times New Roman"/>
                <w:sz w:val="16"/>
                <w:szCs w:val="16"/>
                <w:lang w:eastAsia="es-CO"/>
              </w:rPr>
            </w:pPr>
            <w:r w:rsidRPr="00692C50">
              <w:rPr>
                <w:rFonts w:eastAsia="Times New Roman" w:cs="Times New Roman"/>
                <w:sz w:val="16"/>
                <w:szCs w:val="16"/>
                <w:lang w:eastAsia="es-CO"/>
              </w:rPr>
              <w:t>3</w:t>
            </w:r>
          </w:p>
        </w:tc>
        <w:tc>
          <w:tcPr>
            <w:tcW w:w="882" w:type="pct"/>
            <w:vAlign w:val="center"/>
            <w:hideMark/>
          </w:tcPr>
          <w:p w14:paraId="52D8DC99" w14:textId="484C7688" w:rsidR="004078AD" w:rsidRPr="00692C50" w:rsidRDefault="004078AD" w:rsidP="000A5389">
            <w:pPr>
              <w:spacing w:line="240" w:lineRule="auto"/>
              <w:rPr>
                <w:rFonts w:eastAsia="Times New Roman" w:cs="Times New Roman"/>
                <w:sz w:val="16"/>
                <w:szCs w:val="16"/>
                <w:lang w:eastAsia="es-CO"/>
              </w:rPr>
            </w:pPr>
            <w:r w:rsidRPr="00692C50">
              <w:rPr>
                <w:rFonts w:eastAsia="Times New Roman" w:cs="Times New Roman"/>
                <w:sz w:val="16"/>
                <w:szCs w:val="16"/>
                <w:lang w:eastAsia="es-CO"/>
              </w:rPr>
              <w:t>Aplica los artículos 192 y 195 del Código de Procedimiento Administrativo y de lo Contencioso</w:t>
            </w:r>
            <w:r w:rsidRPr="00692C50">
              <w:rPr>
                <w:rFonts w:eastAsia="Times New Roman" w:cs="Times New Roman"/>
                <w:sz w:val="16"/>
                <w:szCs w:val="16"/>
                <w:lang w:eastAsia="es-CO"/>
              </w:rPr>
              <w:br/>
              <w:t xml:space="preserve">Administrativo </w:t>
            </w:r>
            <w:r w:rsidR="00873937">
              <w:rPr>
                <w:rFonts w:eastAsia="Times New Roman" w:cs="Times New Roman"/>
                <w:sz w:val="16"/>
                <w:szCs w:val="16"/>
                <w:lang w:eastAsia="es-CO"/>
              </w:rPr>
              <w:t>–</w:t>
            </w:r>
            <w:r w:rsidRPr="00692C50">
              <w:rPr>
                <w:rFonts w:eastAsia="Times New Roman" w:cs="Times New Roman"/>
                <w:sz w:val="16"/>
                <w:szCs w:val="16"/>
                <w:lang w:eastAsia="es-CO"/>
              </w:rPr>
              <w:t xml:space="preserve"> CPACA</w:t>
            </w:r>
          </w:p>
        </w:tc>
        <w:tc>
          <w:tcPr>
            <w:tcW w:w="1308" w:type="pct"/>
            <w:vAlign w:val="center"/>
            <w:hideMark/>
          </w:tcPr>
          <w:p w14:paraId="6493BDFC" w14:textId="77777777" w:rsidR="004078AD" w:rsidRPr="00692C50" w:rsidRDefault="004078AD" w:rsidP="000A5389">
            <w:pPr>
              <w:spacing w:line="240" w:lineRule="auto"/>
              <w:rPr>
                <w:rFonts w:eastAsia="Times New Roman" w:cs="Times New Roman"/>
                <w:sz w:val="16"/>
                <w:szCs w:val="16"/>
                <w:lang w:eastAsia="es-CO"/>
              </w:rPr>
            </w:pPr>
            <w:r w:rsidRPr="00692C50">
              <w:rPr>
                <w:rFonts w:eastAsia="Times New Roman" w:cs="Times New Roman"/>
                <w:b/>
                <w:bCs/>
                <w:sz w:val="16"/>
                <w:szCs w:val="16"/>
                <w:lang w:eastAsia="es-CO"/>
              </w:rPr>
              <w:t xml:space="preserve">DTF (rango de fecha) *: </w:t>
            </w:r>
            <w:r w:rsidRPr="00692C50">
              <w:rPr>
                <w:rFonts w:eastAsia="Times New Roman" w:cs="Times New Roman"/>
                <w:sz w:val="16"/>
                <w:szCs w:val="16"/>
                <w:lang w:eastAsia="es-CO"/>
              </w:rPr>
              <w:t>24/03/2023 hasta 23/06/2023</w:t>
            </w:r>
            <w:r w:rsidRPr="00692C50">
              <w:rPr>
                <w:rFonts w:eastAsia="Times New Roman" w:cs="Times New Roman"/>
                <w:sz w:val="16"/>
                <w:szCs w:val="16"/>
                <w:lang w:eastAsia="es-CO"/>
              </w:rPr>
              <w:br/>
              <w:t>*Se aplica DTF entre los 10 primeros meses</w:t>
            </w:r>
            <w:r w:rsidRPr="00692C50">
              <w:rPr>
                <w:rFonts w:eastAsia="Times New Roman" w:cs="Times New Roman"/>
                <w:sz w:val="16"/>
                <w:szCs w:val="16"/>
                <w:lang w:eastAsia="es-CO"/>
              </w:rPr>
              <w:br/>
            </w:r>
            <w:r w:rsidRPr="00692C50">
              <w:rPr>
                <w:rFonts w:eastAsia="Times New Roman" w:cs="Times New Roman"/>
                <w:b/>
                <w:bCs/>
                <w:sz w:val="16"/>
                <w:szCs w:val="16"/>
                <w:lang w:eastAsia="es-CO"/>
              </w:rPr>
              <w:t>Tasa de interés bancario corriente (rango de fecha) *:</w:t>
            </w:r>
            <w:r w:rsidRPr="00692C50">
              <w:rPr>
                <w:rFonts w:eastAsia="Times New Roman" w:cs="Times New Roman"/>
                <w:sz w:val="16"/>
                <w:szCs w:val="16"/>
                <w:lang w:eastAsia="es-CO"/>
              </w:rPr>
              <w:t xml:space="preserve"> 24/06/2023 hasta 31/12/2025</w:t>
            </w:r>
            <w:r w:rsidRPr="00692C50">
              <w:rPr>
                <w:rFonts w:eastAsia="Times New Roman" w:cs="Times New Roman"/>
                <w:sz w:val="16"/>
                <w:szCs w:val="16"/>
                <w:lang w:eastAsia="es-CO"/>
              </w:rPr>
              <w:br/>
              <w:t>*Se aplica Tasa de interés bancario corriente, después de los 10 meses conforme lo establecido en el</w:t>
            </w:r>
            <w:r w:rsidRPr="00692C50">
              <w:rPr>
                <w:rFonts w:eastAsia="Times New Roman" w:cs="Times New Roman"/>
                <w:sz w:val="16"/>
                <w:szCs w:val="16"/>
                <w:lang w:eastAsia="es-CO"/>
              </w:rPr>
              <w:br/>
              <w:t>artículo 195 del CPACA.</w:t>
            </w:r>
          </w:p>
        </w:tc>
      </w:tr>
      <w:tr w:rsidR="008515FA" w:rsidRPr="00692C50" w14:paraId="0F78AF72" w14:textId="77777777" w:rsidTr="00692C50">
        <w:trPr>
          <w:trHeight w:val="1264"/>
        </w:trPr>
        <w:tc>
          <w:tcPr>
            <w:tcW w:w="560" w:type="pct"/>
            <w:noWrap/>
            <w:vAlign w:val="center"/>
            <w:hideMark/>
          </w:tcPr>
          <w:p w14:paraId="0F9F7B42" w14:textId="77777777" w:rsidR="004078AD" w:rsidRPr="00692C50" w:rsidRDefault="004078AD" w:rsidP="000A5389">
            <w:pPr>
              <w:spacing w:line="240" w:lineRule="auto"/>
              <w:jc w:val="right"/>
              <w:rPr>
                <w:rFonts w:eastAsia="Times New Roman" w:cs="Times New Roman"/>
                <w:sz w:val="16"/>
                <w:szCs w:val="16"/>
                <w:lang w:eastAsia="es-CO"/>
              </w:rPr>
            </w:pPr>
            <w:r w:rsidRPr="00692C50">
              <w:rPr>
                <w:rFonts w:eastAsia="Times New Roman" w:cs="Times New Roman"/>
                <w:sz w:val="16"/>
                <w:szCs w:val="16"/>
                <w:lang w:eastAsia="es-CO"/>
              </w:rPr>
              <w:t>900871368</w:t>
            </w:r>
          </w:p>
        </w:tc>
        <w:tc>
          <w:tcPr>
            <w:tcW w:w="722" w:type="pct"/>
            <w:vAlign w:val="center"/>
            <w:hideMark/>
          </w:tcPr>
          <w:p w14:paraId="7448494C" w14:textId="01938AB2" w:rsidR="004078AD" w:rsidRPr="00692C50" w:rsidRDefault="008515FA" w:rsidP="000A5389">
            <w:pPr>
              <w:spacing w:line="240" w:lineRule="auto"/>
              <w:jc w:val="center"/>
              <w:rPr>
                <w:rFonts w:eastAsia="Times New Roman" w:cs="Times New Roman"/>
                <w:sz w:val="16"/>
                <w:szCs w:val="16"/>
                <w:lang w:eastAsia="es-CO"/>
              </w:rPr>
            </w:pPr>
            <w:r w:rsidRPr="00692C50">
              <w:rPr>
                <w:rFonts w:eastAsia="Times New Roman" w:cs="Times New Roman"/>
                <w:sz w:val="16"/>
                <w:szCs w:val="16"/>
                <w:lang w:eastAsia="es-CO"/>
              </w:rPr>
              <w:t>Concesionaria Ruta Del Cacao S.A.S.</w:t>
            </w:r>
          </w:p>
        </w:tc>
        <w:tc>
          <w:tcPr>
            <w:tcW w:w="884" w:type="pct"/>
            <w:noWrap/>
            <w:vAlign w:val="center"/>
            <w:hideMark/>
          </w:tcPr>
          <w:p w14:paraId="1430DCE7" w14:textId="77777777" w:rsidR="004078AD" w:rsidRPr="00692C50" w:rsidRDefault="004078AD" w:rsidP="000A5389">
            <w:pPr>
              <w:spacing w:line="240" w:lineRule="auto"/>
              <w:jc w:val="right"/>
              <w:rPr>
                <w:rFonts w:eastAsia="Times New Roman" w:cs="Times New Roman"/>
                <w:sz w:val="16"/>
                <w:szCs w:val="16"/>
                <w:lang w:eastAsia="es-CO"/>
              </w:rPr>
            </w:pPr>
            <w:r w:rsidRPr="00692C50">
              <w:rPr>
                <w:rFonts w:eastAsia="Times New Roman" w:cs="Times New Roman"/>
                <w:sz w:val="16"/>
                <w:szCs w:val="16"/>
                <w:lang w:eastAsia="es-CO"/>
              </w:rPr>
              <w:t xml:space="preserve">                               35.825.535.589 </w:t>
            </w:r>
          </w:p>
        </w:tc>
        <w:tc>
          <w:tcPr>
            <w:tcW w:w="322" w:type="pct"/>
            <w:noWrap/>
            <w:vAlign w:val="center"/>
            <w:hideMark/>
          </w:tcPr>
          <w:p w14:paraId="319739CC" w14:textId="77777777" w:rsidR="004078AD" w:rsidRPr="00692C50" w:rsidRDefault="004078AD" w:rsidP="000A5389">
            <w:pPr>
              <w:spacing w:line="240" w:lineRule="auto"/>
              <w:jc w:val="center"/>
              <w:rPr>
                <w:rFonts w:eastAsia="Times New Roman" w:cs="Times New Roman"/>
                <w:sz w:val="16"/>
                <w:szCs w:val="16"/>
                <w:lang w:eastAsia="es-CO"/>
              </w:rPr>
            </w:pPr>
            <w:r w:rsidRPr="00692C50">
              <w:rPr>
                <w:rFonts w:eastAsia="Times New Roman" w:cs="Times New Roman"/>
                <w:sz w:val="16"/>
                <w:szCs w:val="16"/>
                <w:lang w:eastAsia="es-CO"/>
              </w:rPr>
              <w:t>1</w:t>
            </w:r>
          </w:p>
        </w:tc>
        <w:tc>
          <w:tcPr>
            <w:tcW w:w="322" w:type="pct"/>
            <w:noWrap/>
            <w:vAlign w:val="center"/>
            <w:hideMark/>
          </w:tcPr>
          <w:p w14:paraId="11912393" w14:textId="77777777" w:rsidR="004078AD" w:rsidRPr="00692C50" w:rsidRDefault="004078AD" w:rsidP="000A5389">
            <w:pPr>
              <w:spacing w:line="240" w:lineRule="auto"/>
              <w:jc w:val="center"/>
              <w:rPr>
                <w:rFonts w:eastAsia="Times New Roman" w:cs="Times New Roman"/>
                <w:sz w:val="16"/>
                <w:szCs w:val="16"/>
                <w:lang w:eastAsia="es-CO"/>
              </w:rPr>
            </w:pPr>
            <w:r w:rsidRPr="00692C50">
              <w:rPr>
                <w:rFonts w:eastAsia="Times New Roman" w:cs="Times New Roman"/>
                <w:sz w:val="16"/>
                <w:szCs w:val="16"/>
                <w:lang w:eastAsia="es-CO"/>
              </w:rPr>
              <w:t>10</w:t>
            </w:r>
          </w:p>
        </w:tc>
        <w:tc>
          <w:tcPr>
            <w:tcW w:w="882" w:type="pct"/>
            <w:vAlign w:val="center"/>
            <w:hideMark/>
          </w:tcPr>
          <w:p w14:paraId="080E776D" w14:textId="265094B7" w:rsidR="004078AD" w:rsidRPr="00692C50" w:rsidRDefault="004078AD" w:rsidP="000A5389">
            <w:pPr>
              <w:spacing w:line="240" w:lineRule="auto"/>
              <w:rPr>
                <w:rFonts w:eastAsia="Times New Roman" w:cs="Times New Roman"/>
                <w:sz w:val="16"/>
                <w:szCs w:val="16"/>
                <w:lang w:eastAsia="es-CO"/>
              </w:rPr>
            </w:pPr>
            <w:r w:rsidRPr="00692C50">
              <w:rPr>
                <w:rFonts w:eastAsia="Times New Roman" w:cs="Times New Roman"/>
                <w:sz w:val="16"/>
                <w:szCs w:val="16"/>
                <w:lang w:eastAsia="es-CO"/>
              </w:rPr>
              <w:t>Aplica los artículos 192 y 195 del Código de Procedimiento Administrativo y de lo Contencioso</w:t>
            </w:r>
            <w:r w:rsidRPr="00692C50">
              <w:rPr>
                <w:rFonts w:eastAsia="Times New Roman" w:cs="Times New Roman"/>
                <w:sz w:val="16"/>
                <w:szCs w:val="16"/>
                <w:lang w:eastAsia="es-CO"/>
              </w:rPr>
              <w:br/>
              <w:t xml:space="preserve">Administrativo </w:t>
            </w:r>
            <w:r w:rsidR="00873937">
              <w:rPr>
                <w:rFonts w:eastAsia="Times New Roman" w:cs="Times New Roman"/>
                <w:sz w:val="16"/>
                <w:szCs w:val="16"/>
                <w:lang w:eastAsia="es-CO"/>
              </w:rPr>
              <w:t>–</w:t>
            </w:r>
            <w:r w:rsidRPr="00692C50">
              <w:rPr>
                <w:rFonts w:eastAsia="Times New Roman" w:cs="Times New Roman"/>
                <w:sz w:val="16"/>
                <w:szCs w:val="16"/>
                <w:lang w:eastAsia="es-CO"/>
              </w:rPr>
              <w:t xml:space="preserve"> CPACA</w:t>
            </w:r>
          </w:p>
        </w:tc>
        <w:tc>
          <w:tcPr>
            <w:tcW w:w="1308" w:type="pct"/>
            <w:vAlign w:val="center"/>
            <w:hideMark/>
          </w:tcPr>
          <w:p w14:paraId="2E084CD7" w14:textId="77777777" w:rsidR="004078AD" w:rsidRPr="00692C50" w:rsidRDefault="004078AD" w:rsidP="000A5389">
            <w:pPr>
              <w:spacing w:line="240" w:lineRule="auto"/>
              <w:rPr>
                <w:rFonts w:eastAsia="Times New Roman" w:cs="Times New Roman"/>
                <w:sz w:val="16"/>
                <w:szCs w:val="16"/>
                <w:lang w:eastAsia="es-CO"/>
              </w:rPr>
            </w:pPr>
            <w:r w:rsidRPr="00692C50">
              <w:rPr>
                <w:rFonts w:eastAsia="Times New Roman" w:cs="Times New Roman"/>
                <w:b/>
                <w:bCs/>
                <w:sz w:val="16"/>
                <w:szCs w:val="16"/>
                <w:lang w:eastAsia="es-CO"/>
              </w:rPr>
              <w:t xml:space="preserve">DTF (rango de fecha) *: </w:t>
            </w:r>
            <w:r w:rsidRPr="00692C50">
              <w:rPr>
                <w:rFonts w:eastAsia="Times New Roman" w:cs="Times New Roman"/>
                <w:sz w:val="16"/>
                <w:szCs w:val="16"/>
                <w:lang w:eastAsia="es-CO"/>
              </w:rPr>
              <w:t>19 de marzo de 2025 al 30 de junio de 2025</w:t>
            </w:r>
            <w:r w:rsidRPr="00692C50">
              <w:rPr>
                <w:rFonts w:eastAsia="Times New Roman" w:cs="Times New Roman"/>
                <w:sz w:val="16"/>
                <w:szCs w:val="16"/>
                <w:lang w:eastAsia="es-CO"/>
              </w:rPr>
              <w:br/>
              <w:t>*Se aplica DTF entre los 10 primeros meses</w:t>
            </w:r>
          </w:p>
        </w:tc>
      </w:tr>
      <w:tr w:rsidR="008515FA" w:rsidRPr="00692C50" w14:paraId="2A184D94" w14:textId="77777777" w:rsidTr="00692C50">
        <w:trPr>
          <w:trHeight w:val="1796"/>
        </w:trPr>
        <w:tc>
          <w:tcPr>
            <w:tcW w:w="560" w:type="pct"/>
            <w:noWrap/>
            <w:vAlign w:val="center"/>
            <w:hideMark/>
          </w:tcPr>
          <w:p w14:paraId="23EF6C00" w14:textId="77777777" w:rsidR="004078AD" w:rsidRPr="00692C50" w:rsidRDefault="004078AD" w:rsidP="000A5389">
            <w:pPr>
              <w:spacing w:line="240" w:lineRule="auto"/>
              <w:jc w:val="right"/>
              <w:rPr>
                <w:rFonts w:eastAsia="Times New Roman" w:cs="Times New Roman"/>
                <w:sz w:val="16"/>
                <w:szCs w:val="16"/>
                <w:lang w:eastAsia="es-CO"/>
              </w:rPr>
            </w:pPr>
            <w:r w:rsidRPr="00692C50">
              <w:rPr>
                <w:rFonts w:eastAsia="Times New Roman" w:cs="Times New Roman"/>
                <w:sz w:val="16"/>
                <w:szCs w:val="16"/>
                <w:lang w:eastAsia="es-CO"/>
              </w:rPr>
              <w:t>800235872</w:t>
            </w:r>
          </w:p>
        </w:tc>
        <w:tc>
          <w:tcPr>
            <w:tcW w:w="722" w:type="pct"/>
            <w:vAlign w:val="center"/>
            <w:hideMark/>
          </w:tcPr>
          <w:p w14:paraId="330F0FB2" w14:textId="7BEDAEC0" w:rsidR="004078AD" w:rsidRPr="00692C50" w:rsidRDefault="008515FA" w:rsidP="000A5389">
            <w:pPr>
              <w:spacing w:line="240" w:lineRule="auto"/>
              <w:jc w:val="center"/>
              <w:rPr>
                <w:rFonts w:eastAsia="Times New Roman" w:cs="Times New Roman"/>
                <w:sz w:val="16"/>
                <w:szCs w:val="16"/>
                <w:lang w:eastAsia="es-CO"/>
              </w:rPr>
            </w:pPr>
            <w:r w:rsidRPr="00692C50">
              <w:rPr>
                <w:rFonts w:eastAsia="Times New Roman" w:cs="Times New Roman"/>
                <w:sz w:val="16"/>
                <w:szCs w:val="16"/>
                <w:lang w:eastAsia="es-CO"/>
              </w:rPr>
              <w:t>Concesionaria Vial De Los Andes S.A.S. Coviandes S.A.S.</w:t>
            </w:r>
          </w:p>
        </w:tc>
        <w:tc>
          <w:tcPr>
            <w:tcW w:w="884" w:type="pct"/>
            <w:noWrap/>
            <w:vAlign w:val="center"/>
            <w:hideMark/>
          </w:tcPr>
          <w:p w14:paraId="63D9F561" w14:textId="77777777" w:rsidR="004078AD" w:rsidRPr="00692C50" w:rsidRDefault="004078AD" w:rsidP="000A5389">
            <w:pPr>
              <w:spacing w:line="240" w:lineRule="auto"/>
              <w:jc w:val="right"/>
              <w:rPr>
                <w:rFonts w:eastAsia="Times New Roman" w:cs="Times New Roman"/>
                <w:sz w:val="16"/>
                <w:szCs w:val="16"/>
                <w:lang w:eastAsia="es-CO"/>
              </w:rPr>
            </w:pPr>
            <w:r w:rsidRPr="00692C50">
              <w:rPr>
                <w:rFonts w:eastAsia="Times New Roman" w:cs="Times New Roman"/>
                <w:sz w:val="16"/>
                <w:szCs w:val="16"/>
                <w:lang w:eastAsia="es-CO"/>
              </w:rPr>
              <w:t xml:space="preserve">                               22.705.947.054 </w:t>
            </w:r>
          </w:p>
        </w:tc>
        <w:tc>
          <w:tcPr>
            <w:tcW w:w="322" w:type="pct"/>
            <w:noWrap/>
            <w:vAlign w:val="center"/>
            <w:hideMark/>
          </w:tcPr>
          <w:p w14:paraId="3BA782A6" w14:textId="77777777" w:rsidR="004078AD" w:rsidRPr="00692C50" w:rsidRDefault="004078AD" w:rsidP="000A5389">
            <w:pPr>
              <w:spacing w:line="240" w:lineRule="auto"/>
              <w:jc w:val="center"/>
              <w:rPr>
                <w:rFonts w:eastAsia="Times New Roman" w:cs="Times New Roman"/>
                <w:sz w:val="16"/>
                <w:szCs w:val="16"/>
                <w:lang w:eastAsia="es-CO"/>
              </w:rPr>
            </w:pPr>
            <w:r w:rsidRPr="00692C50">
              <w:rPr>
                <w:rFonts w:eastAsia="Times New Roman" w:cs="Times New Roman"/>
                <w:sz w:val="16"/>
                <w:szCs w:val="16"/>
                <w:lang w:eastAsia="es-CO"/>
              </w:rPr>
              <w:t>0</w:t>
            </w:r>
          </w:p>
        </w:tc>
        <w:tc>
          <w:tcPr>
            <w:tcW w:w="322" w:type="pct"/>
            <w:noWrap/>
            <w:vAlign w:val="center"/>
            <w:hideMark/>
          </w:tcPr>
          <w:p w14:paraId="244BF02D" w14:textId="77777777" w:rsidR="004078AD" w:rsidRPr="00692C50" w:rsidRDefault="004078AD" w:rsidP="000A5389">
            <w:pPr>
              <w:spacing w:line="240" w:lineRule="auto"/>
              <w:jc w:val="center"/>
              <w:rPr>
                <w:rFonts w:eastAsia="Times New Roman" w:cs="Times New Roman"/>
                <w:sz w:val="16"/>
                <w:szCs w:val="16"/>
                <w:lang w:eastAsia="es-CO"/>
              </w:rPr>
            </w:pPr>
            <w:r w:rsidRPr="00692C50">
              <w:rPr>
                <w:rFonts w:eastAsia="Times New Roman" w:cs="Times New Roman"/>
                <w:sz w:val="16"/>
                <w:szCs w:val="16"/>
                <w:lang w:eastAsia="es-CO"/>
              </w:rPr>
              <w:t>10</w:t>
            </w:r>
          </w:p>
        </w:tc>
        <w:tc>
          <w:tcPr>
            <w:tcW w:w="882" w:type="pct"/>
            <w:vAlign w:val="center"/>
            <w:hideMark/>
          </w:tcPr>
          <w:p w14:paraId="1049A7F9" w14:textId="6F7ED64A" w:rsidR="004078AD" w:rsidRPr="00692C50" w:rsidRDefault="004078AD" w:rsidP="000A5389">
            <w:pPr>
              <w:spacing w:line="240" w:lineRule="auto"/>
              <w:rPr>
                <w:rFonts w:eastAsia="Times New Roman" w:cs="Times New Roman"/>
                <w:sz w:val="16"/>
                <w:szCs w:val="16"/>
                <w:lang w:eastAsia="es-CO"/>
              </w:rPr>
            </w:pPr>
            <w:r w:rsidRPr="00692C50">
              <w:rPr>
                <w:rFonts w:eastAsia="Times New Roman" w:cs="Times New Roman"/>
                <w:sz w:val="16"/>
                <w:szCs w:val="16"/>
                <w:lang w:eastAsia="es-CO"/>
              </w:rPr>
              <w:t>Aplica los artículos 192 y 195 del Código de Procedimiento Administrativo y de lo Contencioso</w:t>
            </w:r>
            <w:r w:rsidRPr="00692C50">
              <w:rPr>
                <w:rFonts w:eastAsia="Times New Roman" w:cs="Times New Roman"/>
                <w:sz w:val="16"/>
                <w:szCs w:val="16"/>
                <w:lang w:eastAsia="es-CO"/>
              </w:rPr>
              <w:br/>
              <w:t xml:space="preserve">Administrativo </w:t>
            </w:r>
            <w:r w:rsidR="00873937">
              <w:rPr>
                <w:rFonts w:eastAsia="Times New Roman" w:cs="Times New Roman"/>
                <w:sz w:val="16"/>
                <w:szCs w:val="16"/>
                <w:lang w:eastAsia="es-CO"/>
              </w:rPr>
              <w:t>–</w:t>
            </w:r>
            <w:r w:rsidRPr="00692C50">
              <w:rPr>
                <w:rFonts w:eastAsia="Times New Roman" w:cs="Times New Roman"/>
                <w:sz w:val="16"/>
                <w:szCs w:val="16"/>
                <w:lang w:eastAsia="es-CO"/>
              </w:rPr>
              <w:t xml:space="preserve"> CPACA</w:t>
            </w:r>
          </w:p>
        </w:tc>
        <w:tc>
          <w:tcPr>
            <w:tcW w:w="1308" w:type="pct"/>
            <w:vAlign w:val="center"/>
            <w:hideMark/>
          </w:tcPr>
          <w:p w14:paraId="74BDA2B7" w14:textId="77777777" w:rsidR="004078AD" w:rsidRPr="00692C50" w:rsidRDefault="004078AD" w:rsidP="000A5389">
            <w:pPr>
              <w:spacing w:line="240" w:lineRule="auto"/>
              <w:rPr>
                <w:rFonts w:eastAsia="Times New Roman" w:cs="Times New Roman"/>
                <w:sz w:val="16"/>
                <w:szCs w:val="16"/>
                <w:lang w:eastAsia="es-CO"/>
              </w:rPr>
            </w:pPr>
            <w:r w:rsidRPr="00692C50">
              <w:rPr>
                <w:rFonts w:eastAsia="Times New Roman" w:cs="Times New Roman"/>
                <w:b/>
                <w:bCs/>
                <w:sz w:val="16"/>
                <w:szCs w:val="16"/>
                <w:lang w:eastAsia="es-CO"/>
              </w:rPr>
              <w:t>DTF (rango de fecha) *:</w:t>
            </w:r>
            <w:r w:rsidRPr="00692C50">
              <w:rPr>
                <w:rFonts w:eastAsia="Times New Roman" w:cs="Times New Roman"/>
                <w:sz w:val="16"/>
                <w:szCs w:val="16"/>
                <w:lang w:eastAsia="es-CO"/>
              </w:rPr>
              <w:t xml:space="preserve"> 11-Oct-2024 - 10-Ago-2025</w:t>
            </w:r>
            <w:r w:rsidRPr="00692C50">
              <w:rPr>
                <w:rFonts w:eastAsia="Times New Roman" w:cs="Times New Roman"/>
                <w:sz w:val="16"/>
                <w:szCs w:val="16"/>
                <w:lang w:eastAsia="es-CO"/>
              </w:rPr>
              <w:br/>
              <w:t>*Se aplica DTF entre los 10 primeros meses</w:t>
            </w:r>
            <w:r w:rsidRPr="00692C50">
              <w:rPr>
                <w:rFonts w:eastAsia="Times New Roman" w:cs="Times New Roman"/>
                <w:sz w:val="16"/>
                <w:szCs w:val="16"/>
                <w:lang w:eastAsia="es-CO"/>
              </w:rPr>
              <w:br/>
            </w:r>
            <w:r w:rsidRPr="00692C50">
              <w:rPr>
                <w:rFonts w:eastAsia="Times New Roman" w:cs="Times New Roman"/>
                <w:b/>
                <w:bCs/>
                <w:sz w:val="16"/>
                <w:szCs w:val="16"/>
                <w:lang w:eastAsia="es-CO"/>
              </w:rPr>
              <w:t>Tasa de interés bancario corriente (rango de fecha) *:</w:t>
            </w:r>
            <w:r w:rsidRPr="00692C50">
              <w:rPr>
                <w:rFonts w:eastAsia="Times New Roman" w:cs="Times New Roman"/>
                <w:sz w:val="16"/>
                <w:szCs w:val="16"/>
                <w:lang w:eastAsia="es-CO"/>
              </w:rPr>
              <w:t xml:space="preserve"> 11-Ago-2025 - 31-Dic-2025</w:t>
            </w:r>
            <w:r w:rsidRPr="00692C50">
              <w:rPr>
                <w:rFonts w:eastAsia="Times New Roman" w:cs="Times New Roman"/>
                <w:sz w:val="16"/>
                <w:szCs w:val="16"/>
                <w:lang w:eastAsia="es-CO"/>
              </w:rPr>
              <w:br/>
              <w:t>*Se aplica Tasa de interés bancario corriente, después de los 10 meses conforme lo establecido en el</w:t>
            </w:r>
            <w:r w:rsidRPr="00692C50">
              <w:rPr>
                <w:rFonts w:eastAsia="Times New Roman" w:cs="Times New Roman"/>
                <w:sz w:val="16"/>
                <w:szCs w:val="16"/>
                <w:lang w:eastAsia="es-CO"/>
              </w:rPr>
              <w:br/>
              <w:t>artículo 195 del CPACA.</w:t>
            </w:r>
          </w:p>
        </w:tc>
      </w:tr>
      <w:tr w:rsidR="008515FA" w:rsidRPr="00692C50" w14:paraId="63D07AE4" w14:textId="77777777" w:rsidTr="00692C50">
        <w:trPr>
          <w:trHeight w:val="1694"/>
        </w:trPr>
        <w:tc>
          <w:tcPr>
            <w:tcW w:w="560" w:type="pct"/>
            <w:noWrap/>
            <w:vAlign w:val="center"/>
            <w:hideMark/>
          </w:tcPr>
          <w:p w14:paraId="0164ED6D" w14:textId="77777777" w:rsidR="004078AD" w:rsidRPr="00692C50" w:rsidRDefault="004078AD" w:rsidP="000A5389">
            <w:pPr>
              <w:spacing w:line="240" w:lineRule="auto"/>
              <w:jc w:val="right"/>
              <w:rPr>
                <w:rFonts w:eastAsia="Times New Roman" w:cs="Times New Roman"/>
                <w:sz w:val="16"/>
                <w:szCs w:val="16"/>
                <w:lang w:eastAsia="es-CO"/>
              </w:rPr>
            </w:pPr>
            <w:r w:rsidRPr="00692C50">
              <w:rPr>
                <w:rFonts w:eastAsia="Times New Roman" w:cs="Times New Roman"/>
                <w:sz w:val="16"/>
                <w:szCs w:val="16"/>
                <w:lang w:eastAsia="es-CO"/>
              </w:rPr>
              <w:lastRenderedPageBreak/>
              <w:t>900164310</w:t>
            </w:r>
          </w:p>
        </w:tc>
        <w:tc>
          <w:tcPr>
            <w:tcW w:w="722" w:type="pct"/>
            <w:vAlign w:val="center"/>
            <w:hideMark/>
          </w:tcPr>
          <w:p w14:paraId="17F52D17" w14:textId="46FD0263" w:rsidR="004078AD" w:rsidRPr="00692C50" w:rsidRDefault="008515FA" w:rsidP="000A5389">
            <w:pPr>
              <w:spacing w:line="240" w:lineRule="auto"/>
              <w:jc w:val="center"/>
              <w:rPr>
                <w:rFonts w:eastAsia="Times New Roman" w:cs="Times New Roman"/>
                <w:sz w:val="16"/>
                <w:szCs w:val="16"/>
                <w:lang w:eastAsia="es-CO"/>
              </w:rPr>
            </w:pPr>
            <w:r w:rsidRPr="00692C50">
              <w:rPr>
                <w:rFonts w:eastAsia="Times New Roman" w:cs="Times New Roman"/>
                <w:sz w:val="16"/>
                <w:szCs w:val="16"/>
                <w:lang w:eastAsia="es-CO"/>
              </w:rPr>
              <w:t>Concesionaria San Rafael S.S.</w:t>
            </w:r>
          </w:p>
        </w:tc>
        <w:tc>
          <w:tcPr>
            <w:tcW w:w="884" w:type="pct"/>
            <w:noWrap/>
            <w:vAlign w:val="center"/>
            <w:hideMark/>
          </w:tcPr>
          <w:p w14:paraId="33CF9191" w14:textId="77777777" w:rsidR="004078AD" w:rsidRPr="00692C50" w:rsidRDefault="004078AD" w:rsidP="000A5389">
            <w:pPr>
              <w:spacing w:line="240" w:lineRule="auto"/>
              <w:jc w:val="right"/>
              <w:rPr>
                <w:rFonts w:eastAsia="Times New Roman" w:cs="Times New Roman"/>
                <w:sz w:val="16"/>
                <w:szCs w:val="16"/>
                <w:lang w:eastAsia="es-CO"/>
              </w:rPr>
            </w:pPr>
            <w:r w:rsidRPr="00692C50">
              <w:rPr>
                <w:rFonts w:eastAsia="Times New Roman" w:cs="Times New Roman"/>
                <w:sz w:val="16"/>
                <w:szCs w:val="16"/>
                <w:lang w:eastAsia="es-CO"/>
              </w:rPr>
              <w:t xml:space="preserve">                                    1.617.183.505 </w:t>
            </w:r>
          </w:p>
        </w:tc>
        <w:tc>
          <w:tcPr>
            <w:tcW w:w="322" w:type="pct"/>
            <w:noWrap/>
            <w:vAlign w:val="center"/>
            <w:hideMark/>
          </w:tcPr>
          <w:p w14:paraId="3D102E39" w14:textId="77777777" w:rsidR="004078AD" w:rsidRPr="00692C50" w:rsidRDefault="004078AD" w:rsidP="000A5389">
            <w:pPr>
              <w:spacing w:line="240" w:lineRule="auto"/>
              <w:jc w:val="center"/>
              <w:rPr>
                <w:rFonts w:eastAsia="Times New Roman" w:cs="Times New Roman"/>
                <w:sz w:val="16"/>
                <w:szCs w:val="16"/>
                <w:lang w:eastAsia="es-CO"/>
              </w:rPr>
            </w:pPr>
            <w:r w:rsidRPr="00692C50">
              <w:rPr>
                <w:rFonts w:eastAsia="Times New Roman" w:cs="Times New Roman"/>
                <w:sz w:val="16"/>
                <w:szCs w:val="16"/>
                <w:lang w:eastAsia="es-CO"/>
              </w:rPr>
              <w:t>1</w:t>
            </w:r>
          </w:p>
        </w:tc>
        <w:tc>
          <w:tcPr>
            <w:tcW w:w="322" w:type="pct"/>
            <w:noWrap/>
            <w:vAlign w:val="center"/>
            <w:hideMark/>
          </w:tcPr>
          <w:p w14:paraId="30CA07ED" w14:textId="77777777" w:rsidR="004078AD" w:rsidRPr="00692C50" w:rsidRDefault="004078AD" w:rsidP="000A5389">
            <w:pPr>
              <w:spacing w:line="240" w:lineRule="auto"/>
              <w:jc w:val="center"/>
              <w:rPr>
                <w:rFonts w:eastAsia="Times New Roman" w:cs="Times New Roman"/>
                <w:sz w:val="16"/>
                <w:szCs w:val="16"/>
                <w:lang w:eastAsia="es-CO"/>
              </w:rPr>
            </w:pPr>
            <w:r w:rsidRPr="00692C50">
              <w:rPr>
                <w:rFonts w:eastAsia="Times New Roman" w:cs="Times New Roman"/>
                <w:sz w:val="16"/>
                <w:szCs w:val="16"/>
                <w:lang w:eastAsia="es-CO"/>
              </w:rPr>
              <w:t>3</w:t>
            </w:r>
          </w:p>
        </w:tc>
        <w:tc>
          <w:tcPr>
            <w:tcW w:w="882" w:type="pct"/>
            <w:vAlign w:val="center"/>
            <w:hideMark/>
          </w:tcPr>
          <w:p w14:paraId="519EEEB5" w14:textId="5C9B1816" w:rsidR="004078AD" w:rsidRPr="00692C50" w:rsidRDefault="004078AD" w:rsidP="000A5389">
            <w:pPr>
              <w:spacing w:line="240" w:lineRule="auto"/>
              <w:rPr>
                <w:rFonts w:eastAsia="Times New Roman" w:cs="Times New Roman"/>
                <w:sz w:val="16"/>
                <w:szCs w:val="16"/>
                <w:lang w:eastAsia="es-CO"/>
              </w:rPr>
            </w:pPr>
            <w:r w:rsidRPr="00692C50">
              <w:rPr>
                <w:rFonts w:eastAsia="Times New Roman" w:cs="Times New Roman"/>
                <w:sz w:val="16"/>
                <w:szCs w:val="16"/>
                <w:lang w:eastAsia="es-CO"/>
              </w:rPr>
              <w:t>Aplica los artículos 192 y 195 del Código de Procedimiento Administrativo y de lo Contencioso</w:t>
            </w:r>
            <w:r w:rsidRPr="00692C50">
              <w:rPr>
                <w:rFonts w:eastAsia="Times New Roman" w:cs="Times New Roman"/>
                <w:sz w:val="16"/>
                <w:szCs w:val="16"/>
                <w:lang w:eastAsia="es-CO"/>
              </w:rPr>
              <w:br/>
              <w:t xml:space="preserve">Administrativo </w:t>
            </w:r>
            <w:r w:rsidR="00873937">
              <w:rPr>
                <w:rFonts w:eastAsia="Times New Roman" w:cs="Times New Roman"/>
                <w:sz w:val="16"/>
                <w:szCs w:val="16"/>
                <w:lang w:eastAsia="es-CO"/>
              </w:rPr>
              <w:t>–</w:t>
            </w:r>
            <w:r w:rsidRPr="00692C50">
              <w:rPr>
                <w:rFonts w:eastAsia="Times New Roman" w:cs="Times New Roman"/>
                <w:sz w:val="16"/>
                <w:szCs w:val="16"/>
                <w:lang w:eastAsia="es-CO"/>
              </w:rPr>
              <w:t xml:space="preserve"> CPACA</w:t>
            </w:r>
          </w:p>
        </w:tc>
        <w:tc>
          <w:tcPr>
            <w:tcW w:w="1308" w:type="pct"/>
            <w:vAlign w:val="center"/>
            <w:hideMark/>
          </w:tcPr>
          <w:p w14:paraId="593866E6" w14:textId="77777777" w:rsidR="004078AD" w:rsidRPr="00692C50" w:rsidRDefault="004078AD" w:rsidP="000A5389">
            <w:pPr>
              <w:spacing w:line="240" w:lineRule="auto"/>
              <w:rPr>
                <w:rFonts w:eastAsia="Times New Roman" w:cs="Times New Roman"/>
                <w:sz w:val="16"/>
                <w:szCs w:val="16"/>
                <w:lang w:eastAsia="es-CO"/>
              </w:rPr>
            </w:pPr>
            <w:r w:rsidRPr="00692C50">
              <w:rPr>
                <w:rFonts w:eastAsia="Times New Roman" w:cs="Times New Roman"/>
                <w:b/>
                <w:bCs/>
                <w:sz w:val="16"/>
                <w:szCs w:val="16"/>
                <w:lang w:eastAsia="es-CO"/>
              </w:rPr>
              <w:t xml:space="preserve">DTF (rango de fecha) *: </w:t>
            </w:r>
            <w:r w:rsidRPr="00692C50">
              <w:rPr>
                <w:rFonts w:eastAsia="Times New Roman" w:cs="Times New Roman"/>
                <w:sz w:val="16"/>
                <w:szCs w:val="16"/>
                <w:lang w:eastAsia="es-CO"/>
              </w:rPr>
              <w:t>27/04/2021 hasta 26/07/2021</w:t>
            </w:r>
            <w:r w:rsidRPr="00692C50">
              <w:rPr>
                <w:rFonts w:eastAsia="Times New Roman" w:cs="Times New Roman"/>
                <w:sz w:val="16"/>
                <w:szCs w:val="16"/>
                <w:lang w:eastAsia="es-CO"/>
              </w:rPr>
              <w:br/>
              <w:t>*Se aplica DTF entre los 10 primeros meses</w:t>
            </w:r>
            <w:r w:rsidRPr="00692C50">
              <w:rPr>
                <w:rFonts w:eastAsia="Times New Roman" w:cs="Times New Roman"/>
                <w:sz w:val="16"/>
                <w:szCs w:val="16"/>
                <w:lang w:eastAsia="es-CO"/>
              </w:rPr>
              <w:br/>
            </w:r>
            <w:r w:rsidRPr="00692C50">
              <w:rPr>
                <w:rFonts w:eastAsia="Times New Roman" w:cs="Times New Roman"/>
                <w:b/>
                <w:bCs/>
                <w:sz w:val="16"/>
                <w:szCs w:val="16"/>
                <w:lang w:eastAsia="es-CO"/>
              </w:rPr>
              <w:t>Tasa de interés bancario corriente (rango de fecha) *:</w:t>
            </w:r>
            <w:r w:rsidRPr="00692C50">
              <w:rPr>
                <w:rFonts w:eastAsia="Times New Roman" w:cs="Times New Roman"/>
                <w:sz w:val="16"/>
                <w:szCs w:val="16"/>
                <w:lang w:eastAsia="es-CO"/>
              </w:rPr>
              <w:t xml:space="preserve"> 1/06/2022 hasta 31/12/2025</w:t>
            </w:r>
            <w:r w:rsidRPr="00692C50">
              <w:rPr>
                <w:rFonts w:eastAsia="Times New Roman" w:cs="Times New Roman"/>
                <w:sz w:val="16"/>
                <w:szCs w:val="16"/>
                <w:lang w:eastAsia="es-CO"/>
              </w:rPr>
              <w:br/>
              <w:t>*Se aplica Tasa de interés bancario corriente, después de los 10 meses conforme lo establecido en el</w:t>
            </w:r>
            <w:r w:rsidRPr="00692C50">
              <w:rPr>
                <w:rFonts w:eastAsia="Times New Roman" w:cs="Times New Roman"/>
                <w:sz w:val="16"/>
                <w:szCs w:val="16"/>
                <w:lang w:eastAsia="es-CO"/>
              </w:rPr>
              <w:br/>
              <w:t>artículo 195 del CPACA.</w:t>
            </w:r>
          </w:p>
        </w:tc>
      </w:tr>
      <w:tr w:rsidR="008515FA" w:rsidRPr="00692C50" w14:paraId="56DE6ABF" w14:textId="77777777" w:rsidTr="00692C50">
        <w:trPr>
          <w:trHeight w:val="630"/>
        </w:trPr>
        <w:tc>
          <w:tcPr>
            <w:tcW w:w="560" w:type="pct"/>
            <w:noWrap/>
            <w:vAlign w:val="center"/>
            <w:hideMark/>
          </w:tcPr>
          <w:p w14:paraId="500767E6" w14:textId="77777777" w:rsidR="004078AD" w:rsidRPr="00692C50" w:rsidRDefault="004078AD" w:rsidP="000A5389">
            <w:pPr>
              <w:spacing w:line="240" w:lineRule="auto"/>
              <w:jc w:val="right"/>
              <w:rPr>
                <w:rFonts w:eastAsia="Times New Roman" w:cs="Times New Roman"/>
                <w:sz w:val="16"/>
                <w:szCs w:val="16"/>
                <w:lang w:eastAsia="es-CO"/>
              </w:rPr>
            </w:pPr>
            <w:r w:rsidRPr="00692C50">
              <w:rPr>
                <w:rFonts w:eastAsia="Times New Roman" w:cs="Times New Roman"/>
                <w:sz w:val="16"/>
                <w:szCs w:val="16"/>
                <w:lang w:eastAsia="es-CO"/>
              </w:rPr>
              <w:t>900793991</w:t>
            </w:r>
          </w:p>
        </w:tc>
        <w:tc>
          <w:tcPr>
            <w:tcW w:w="722" w:type="pct"/>
            <w:vAlign w:val="center"/>
            <w:hideMark/>
          </w:tcPr>
          <w:p w14:paraId="4729D20C" w14:textId="6C8B0AAB" w:rsidR="004078AD" w:rsidRPr="00692C50" w:rsidRDefault="008515FA" w:rsidP="000A5389">
            <w:pPr>
              <w:spacing w:line="240" w:lineRule="auto"/>
              <w:jc w:val="center"/>
              <w:rPr>
                <w:rFonts w:eastAsia="Times New Roman" w:cs="Times New Roman"/>
                <w:sz w:val="16"/>
                <w:szCs w:val="16"/>
                <w:lang w:eastAsia="es-CO"/>
              </w:rPr>
            </w:pPr>
            <w:r w:rsidRPr="00692C50">
              <w:rPr>
                <w:rFonts w:eastAsia="Times New Roman" w:cs="Times New Roman"/>
                <w:sz w:val="16"/>
                <w:szCs w:val="16"/>
                <w:lang w:eastAsia="es-CO"/>
              </w:rPr>
              <w:t>Autopistas Del Nordeste Sas</w:t>
            </w:r>
          </w:p>
        </w:tc>
        <w:tc>
          <w:tcPr>
            <w:tcW w:w="884" w:type="pct"/>
            <w:noWrap/>
            <w:vAlign w:val="center"/>
            <w:hideMark/>
          </w:tcPr>
          <w:p w14:paraId="2A6BFAFD" w14:textId="77777777" w:rsidR="004078AD" w:rsidRPr="00692C50" w:rsidRDefault="004078AD" w:rsidP="000A5389">
            <w:pPr>
              <w:spacing w:line="240" w:lineRule="auto"/>
              <w:jc w:val="right"/>
              <w:rPr>
                <w:rFonts w:eastAsia="Times New Roman" w:cs="Times New Roman"/>
                <w:sz w:val="16"/>
                <w:szCs w:val="16"/>
                <w:lang w:eastAsia="es-CO"/>
              </w:rPr>
            </w:pPr>
            <w:r w:rsidRPr="00692C50">
              <w:rPr>
                <w:rFonts w:eastAsia="Times New Roman" w:cs="Times New Roman"/>
                <w:sz w:val="16"/>
                <w:szCs w:val="16"/>
                <w:lang w:eastAsia="es-CO"/>
              </w:rPr>
              <w:t xml:space="preserve">                                      783.172.522 </w:t>
            </w:r>
          </w:p>
        </w:tc>
        <w:tc>
          <w:tcPr>
            <w:tcW w:w="322" w:type="pct"/>
            <w:noWrap/>
            <w:vAlign w:val="center"/>
            <w:hideMark/>
          </w:tcPr>
          <w:p w14:paraId="0B889394" w14:textId="77777777" w:rsidR="004078AD" w:rsidRPr="00692C50" w:rsidRDefault="004078AD" w:rsidP="000A5389">
            <w:pPr>
              <w:spacing w:line="240" w:lineRule="auto"/>
              <w:jc w:val="center"/>
              <w:rPr>
                <w:rFonts w:eastAsia="Times New Roman" w:cs="Times New Roman"/>
                <w:sz w:val="16"/>
                <w:szCs w:val="16"/>
                <w:lang w:eastAsia="es-CO"/>
              </w:rPr>
            </w:pPr>
            <w:r w:rsidRPr="00692C50">
              <w:rPr>
                <w:rFonts w:eastAsia="Times New Roman" w:cs="Times New Roman"/>
                <w:sz w:val="16"/>
                <w:szCs w:val="16"/>
                <w:lang w:eastAsia="es-CO"/>
              </w:rPr>
              <w:t> </w:t>
            </w:r>
          </w:p>
        </w:tc>
        <w:tc>
          <w:tcPr>
            <w:tcW w:w="322" w:type="pct"/>
            <w:noWrap/>
            <w:vAlign w:val="center"/>
            <w:hideMark/>
          </w:tcPr>
          <w:p w14:paraId="11925C2D" w14:textId="77777777" w:rsidR="004078AD" w:rsidRPr="00692C50" w:rsidRDefault="004078AD" w:rsidP="000A5389">
            <w:pPr>
              <w:spacing w:line="240" w:lineRule="auto"/>
              <w:jc w:val="center"/>
              <w:rPr>
                <w:rFonts w:eastAsia="Times New Roman" w:cs="Times New Roman"/>
                <w:sz w:val="16"/>
                <w:szCs w:val="16"/>
                <w:lang w:eastAsia="es-CO"/>
              </w:rPr>
            </w:pPr>
            <w:r w:rsidRPr="00692C50">
              <w:rPr>
                <w:rFonts w:eastAsia="Times New Roman" w:cs="Times New Roman"/>
                <w:sz w:val="16"/>
                <w:szCs w:val="16"/>
                <w:lang w:eastAsia="es-CO"/>
              </w:rPr>
              <w:t> </w:t>
            </w:r>
          </w:p>
        </w:tc>
        <w:tc>
          <w:tcPr>
            <w:tcW w:w="882" w:type="pct"/>
            <w:vAlign w:val="center"/>
            <w:hideMark/>
          </w:tcPr>
          <w:p w14:paraId="36E6E1CC" w14:textId="77777777" w:rsidR="004078AD" w:rsidRPr="00692C50" w:rsidRDefault="004078AD" w:rsidP="000A5389">
            <w:pPr>
              <w:spacing w:line="240" w:lineRule="auto"/>
              <w:rPr>
                <w:rFonts w:eastAsia="Times New Roman" w:cs="Times New Roman"/>
                <w:sz w:val="16"/>
                <w:szCs w:val="16"/>
                <w:lang w:eastAsia="es-CO"/>
              </w:rPr>
            </w:pPr>
            <w:r w:rsidRPr="00692C50">
              <w:rPr>
                <w:rFonts w:eastAsia="Times New Roman" w:cs="Times New Roman"/>
                <w:sz w:val="16"/>
                <w:szCs w:val="16"/>
                <w:lang w:eastAsia="es-CO"/>
              </w:rPr>
              <w:t>Decisión Séptima del Amigable componedor del 2018</w:t>
            </w:r>
            <w:r w:rsidRPr="00692C50">
              <w:rPr>
                <w:rFonts w:eastAsia="Times New Roman" w:cs="Times New Roman"/>
                <w:sz w:val="16"/>
                <w:szCs w:val="16"/>
                <w:lang w:eastAsia="es-CO"/>
              </w:rPr>
              <w:br/>
              <w:t>No. 15607</w:t>
            </w:r>
          </w:p>
        </w:tc>
        <w:tc>
          <w:tcPr>
            <w:tcW w:w="1308" w:type="pct"/>
            <w:noWrap/>
            <w:vAlign w:val="center"/>
            <w:hideMark/>
          </w:tcPr>
          <w:p w14:paraId="52711278" w14:textId="77777777" w:rsidR="004078AD" w:rsidRPr="00692C50" w:rsidRDefault="004078AD" w:rsidP="000A5389">
            <w:pPr>
              <w:spacing w:line="240" w:lineRule="auto"/>
              <w:rPr>
                <w:rFonts w:eastAsia="Times New Roman" w:cs="Times New Roman"/>
                <w:sz w:val="16"/>
                <w:szCs w:val="16"/>
                <w:lang w:eastAsia="es-CO"/>
              </w:rPr>
            </w:pPr>
            <w:r w:rsidRPr="00692C50">
              <w:rPr>
                <w:rFonts w:eastAsia="Times New Roman" w:cs="Times New Roman"/>
                <w:sz w:val="16"/>
                <w:szCs w:val="16"/>
                <w:lang w:eastAsia="es-CO"/>
              </w:rPr>
              <w:t>N/A</w:t>
            </w:r>
          </w:p>
        </w:tc>
      </w:tr>
      <w:tr w:rsidR="008515FA" w:rsidRPr="00692C50" w14:paraId="5E6321C5" w14:textId="77777777" w:rsidTr="00692C50">
        <w:trPr>
          <w:trHeight w:val="570"/>
        </w:trPr>
        <w:tc>
          <w:tcPr>
            <w:tcW w:w="1282" w:type="pct"/>
            <w:gridSpan w:val="2"/>
            <w:shd w:val="clear" w:color="auto" w:fill="FFFFFF" w:themeFill="background1"/>
            <w:vAlign w:val="center"/>
            <w:hideMark/>
          </w:tcPr>
          <w:p w14:paraId="2DB20378" w14:textId="6241E1E5" w:rsidR="004078AD" w:rsidRPr="00692C50" w:rsidRDefault="004078AD" w:rsidP="000A5389">
            <w:pPr>
              <w:spacing w:line="240" w:lineRule="auto"/>
              <w:jc w:val="center"/>
              <w:rPr>
                <w:rFonts w:eastAsia="Times New Roman" w:cs="Times New Roman"/>
                <w:b/>
                <w:bCs/>
                <w:sz w:val="16"/>
                <w:szCs w:val="16"/>
                <w:lang w:eastAsia="es-CO"/>
              </w:rPr>
            </w:pPr>
            <w:r w:rsidRPr="00692C50">
              <w:rPr>
                <w:rFonts w:eastAsia="Times New Roman" w:cs="Times New Roman"/>
                <w:b/>
                <w:bCs/>
                <w:sz w:val="16"/>
                <w:szCs w:val="16"/>
                <w:lang w:eastAsia="es-CO"/>
              </w:rPr>
              <w:t xml:space="preserve">ii) Cuentas por </w:t>
            </w:r>
            <w:r w:rsidRPr="00692C50">
              <w:rPr>
                <w:rFonts w:eastAsiaTheme="minorEastAsia" w:cs="Times New Roman"/>
                <w:b/>
                <w:sz w:val="16"/>
                <w:szCs w:val="16"/>
                <w:lang w:eastAsia="es-CO"/>
              </w:rPr>
              <w:t>pagar por concepto de r</w:t>
            </w:r>
            <w:r w:rsidRPr="00692C50">
              <w:rPr>
                <w:rFonts w:eastAsia="Times New Roman" w:cs="Times New Roman"/>
                <w:b/>
                <w:bCs/>
                <w:sz w:val="16"/>
                <w:szCs w:val="16"/>
                <w:lang w:eastAsia="es-CO"/>
              </w:rPr>
              <w:t>eembolsos de honorarios de los árbitros y secretaría y gastos administrativos de Tribunales de Arbitramento</w:t>
            </w:r>
          </w:p>
        </w:tc>
        <w:tc>
          <w:tcPr>
            <w:tcW w:w="884" w:type="pct"/>
            <w:noWrap/>
            <w:vAlign w:val="center"/>
            <w:hideMark/>
          </w:tcPr>
          <w:p w14:paraId="213BE385" w14:textId="77777777" w:rsidR="004078AD" w:rsidRPr="00692C50" w:rsidRDefault="004078AD" w:rsidP="000A5389">
            <w:pPr>
              <w:spacing w:line="240" w:lineRule="auto"/>
              <w:jc w:val="right"/>
              <w:rPr>
                <w:rFonts w:eastAsia="Times New Roman" w:cs="Times New Roman"/>
                <w:b/>
                <w:bCs/>
                <w:sz w:val="16"/>
                <w:szCs w:val="16"/>
                <w:lang w:eastAsia="es-CO"/>
              </w:rPr>
            </w:pPr>
            <w:r w:rsidRPr="00692C50">
              <w:rPr>
                <w:rFonts w:eastAsia="Times New Roman" w:cs="Times New Roman"/>
                <w:b/>
                <w:bCs/>
                <w:sz w:val="16"/>
                <w:szCs w:val="16"/>
                <w:lang w:eastAsia="es-CO"/>
              </w:rPr>
              <w:t xml:space="preserve">                  5.211.238.969 </w:t>
            </w:r>
          </w:p>
        </w:tc>
        <w:tc>
          <w:tcPr>
            <w:tcW w:w="322" w:type="pct"/>
            <w:noWrap/>
            <w:vAlign w:val="center"/>
            <w:hideMark/>
          </w:tcPr>
          <w:p w14:paraId="11941F64" w14:textId="77777777" w:rsidR="004078AD" w:rsidRPr="00692C50" w:rsidRDefault="004078AD" w:rsidP="000A5389">
            <w:pPr>
              <w:spacing w:line="240" w:lineRule="auto"/>
              <w:rPr>
                <w:rFonts w:eastAsia="Times New Roman" w:cs="Times New Roman"/>
                <w:b/>
                <w:bCs/>
                <w:sz w:val="16"/>
                <w:szCs w:val="16"/>
                <w:lang w:eastAsia="es-CO"/>
              </w:rPr>
            </w:pPr>
            <w:r w:rsidRPr="00692C50">
              <w:rPr>
                <w:rFonts w:eastAsia="Times New Roman" w:cs="Times New Roman"/>
                <w:b/>
                <w:bCs/>
                <w:sz w:val="16"/>
                <w:szCs w:val="16"/>
                <w:lang w:eastAsia="es-CO"/>
              </w:rPr>
              <w:t> </w:t>
            </w:r>
          </w:p>
        </w:tc>
        <w:tc>
          <w:tcPr>
            <w:tcW w:w="322" w:type="pct"/>
            <w:noWrap/>
            <w:vAlign w:val="center"/>
            <w:hideMark/>
          </w:tcPr>
          <w:p w14:paraId="7A84EA09" w14:textId="77777777" w:rsidR="004078AD" w:rsidRPr="00692C50" w:rsidRDefault="004078AD" w:rsidP="000A5389">
            <w:pPr>
              <w:spacing w:line="240" w:lineRule="auto"/>
              <w:rPr>
                <w:rFonts w:eastAsia="Times New Roman" w:cs="Times New Roman"/>
                <w:b/>
                <w:bCs/>
                <w:sz w:val="16"/>
                <w:szCs w:val="16"/>
                <w:lang w:eastAsia="es-CO"/>
              </w:rPr>
            </w:pPr>
            <w:r w:rsidRPr="00692C50">
              <w:rPr>
                <w:rFonts w:eastAsia="Times New Roman" w:cs="Times New Roman"/>
                <w:b/>
                <w:bCs/>
                <w:sz w:val="16"/>
                <w:szCs w:val="16"/>
                <w:lang w:eastAsia="es-CO"/>
              </w:rPr>
              <w:t> </w:t>
            </w:r>
          </w:p>
        </w:tc>
        <w:tc>
          <w:tcPr>
            <w:tcW w:w="882" w:type="pct"/>
            <w:noWrap/>
            <w:vAlign w:val="center"/>
            <w:hideMark/>
          </w:tcPr>
          <w:p w14:paraId="581349A3" w14:textId="4F678694" w:rsidR="004078AD" w:rsidRPr="00692C50" w:rsidRDefault="004078AD" w:rsidP="000A5389">
            <w:pPr>
              <w:spacing w:line="240" w:lineRule="auto"/>
              <w:rPr>
                <w:rFonts w:eastAsia="Times New Roman" w:cs="Times New Roman"/>
                <w:b/>
                <w:bCs/>
                <w:sz w:val="16"/>
                <w:szCs w:val="16"/>
                <w:lang w:eastAsia="es-CO"/>
              </w:rPr>
            </w:pPr>
          </w:p>
        </w:tc>
        <w:tc>
          <w:tcPr>
            <w:tcW w:w="1308" w:type="pct"/>
            <w:noWrap/>
            <w:vAlign w:val="center"/>
            <w:hideMark/>
          </w:tcPr>
          <w:p w14:paraId="76FCE17B" w14:textId="51A2C38B" w:rsidR="004078AD" w:rsidRPr="00692C50" w:rsidRDefault="004078AD" w:rsidP="000A5389">
            <w:pPr>
              <w:spacing w:line="240" w:lineRule="auto"/>
              <w:rPr>
                <w:rFonts w:eastAsia="Times New Roman" w:cs="Times New Roman"/>
                <w:b/>
                <w:bCs/>
                <w:sz w:val="16"/>
                <w:szCs w:val="16"/>
                <w:lang w:eastAsia="es-CO"/>
              </w:rPr>
            </w:pPr>
          </w:p>
        </w:tc>
      </w:tr>
      <w:tr w:rsidR="008515FA" w:rsidRPr="00692C50" w14:paraId="5D5EB77A" w14:textId="77777777" w:rsidTr="00692C50">
        <w:trPr>
          <w:trHeight w:val="437"/>
        </w:trPr>
        <w:tc>
          <w:tcPr>
            <w:tcW w:w="560" w:type="pct"/>
            <w:noWrap/>
            <w:vAlign w:val="center"/>
            <w:hideMark/>
          </w:tcPr>
          <w:p w14:paraId="1C136699" w14:textId="77777777" w:rsidR="004078AD" w:rsidRPr="00692C50" w:rsidRDefault="004078AD" w:rsidP="000A5389">
            <w:pPr>
              <w:spacing w:line="240" w:lineRule="auto"/>
              <w:jc w:val="right"/>
              <w:rPr>
                <w:rFonts w:eastAsia="Times New Roman" w:cs="Times New Roman"/>
                <w:sz w:val="16"/>
                <w:szCs w:val="16"/>
                <w:lang w:eastAsia="es-CO"/>
              </w:rPr>
            </w:pPr>
            <w:r w:rsidRPr="00692C50">
              <w:rPr>
                <w:rFonts w:eastAsia="Times New Roman" w:cs="Times New Roman"/>
                <w:sz w:val="16"/>
                <w:szCs w:val="16"/>
                <w:lang w:eastAsia="es-CO"/>
              </w:rPr>
              <w:t>900373783</w:t>
            </w:r>
          </w:p>
        </w:tc>
        <w:tc>
          <w:tcPr>
            <w:tcW w:w="722" w:type="pct"/>
            <w:noWrap/>
            <w:vAlign w:val="center"/>
            <w:hideMark/>
          </w:tcPr>
          <w:p w14:paraId="2F53C1DE" w14:textId="1D26D784" w:rsidR="004078AD" w:rsidRPr="00692C50" w:rsidRDefault="008515FA" w:rsidP="000A5389">
            <w:pPr>
              <w:spacing w:line="240" w:lineRule="auto"/>
              <w:jc w:val="center"/>
              <w:rPr>
                <w:rFonts w:eastAsia="Times New Roman" w:cs="Times New Roman"/>
                <w:sz w:val="16"/>
                <w:szCs w:val="16"/>
                <w:lang w:eastAsia="es-CO"/>
              </w:rPr>
            </w:pPr>
            <w:r w:rsidRPr="00692C50">
              <w:rPr>
                <w:rFonts w:eastAsia="Times New Roman" w:cs="Times New Roman"/>
                <w:sz w:val="16"/>
                <w:szCs w:val="16"/>
                <w:lang w:eastAsia="es-CO"/>
              </w:rPr>
              <w:t>vías De Las Americas S.A.S.</w:t>
            </w:r>
          </w:p>
        </w:tc>
        <w:tc>
          <w:tcPr>
            <w:tcW w:w="884" w:type="pct"/>
            <w:noWrap/>
            <w:vAlign w:val="center"/>
            <w:hideMark/>
          </w:tcPr>
          <w:p w14:paraId="3B4123A9" w14:textId="77777777" w:rsidR="004078AD" w:rsidRPr="00692C50" w:rsidRDefault="004078AD" w:rsidP="000A5389">
            <w:pPr>
              <w:spacing w:line="240" w:lineRule="auto"/>
              <w:jc w:val="right"/>
              <w:rPr>
                <w:rFonts w:eastAsia="Times New Roman" w:cs="Times New Roman"/>
                <w:sz w:val="16"/>
                <w:szCs w:val="16"/>
                <w:lang w:eastAsia="es-CO"/>
              </w:rPr>
            </w:pPr>
            <w:r w:rsidRPr="00692C50">
              <w:rPr>
                <w:rFonts w:eastAsia="Times New Roman" w:cs="Times New Roman"/>
                <w:sz w:val="16"/>
                <w:szCs w:val="16"/>
                <w:lang w:eastAsia="es-CO"/>
              </w:rPr>
              <w:t xml:space="preserve">                                 3.359.386.298 </w:t>
            </w:r>
          </w:p>
        </w:tc>
        <w:tc>
          <w:tcPr>
            <w:tcW w:w="322" w:type="pct"/>
            <w:noWrap/>
            <w:vAlign w:val="center"/>
            <w:hideMark/>
          </w:tcPr>
          <w:p w14:paraId="4D01E535" w14:textId="77777777" w:rsidR="004078AD" w:rsidRPr="00692C50" w:rsidRDefault="004078AD" w:rsidP="000A5389">
            <w:pPr>
              <w:spacing w:line="240" w:lineRule="auto"/>
              <w:jc w:val="center"/>
              <w:rPr>
                <w:rFonts w:eastAsia="Times New Roman" w:cs="Times New Roman"/>
                <w:sz w:val="16"/>
                <w:szCs w:val="16"/>
                <w:lang w:eastAsia="es-CO"/>
              </w:rPr>
            </w:pPr>
            <w:r w:rsidRPr="00692C50">
              <w:rPr>
                <w:rFonts w:eastAsia="Times New Roman" w:cs="Times New Roman"/>
                <w:sz w:val="16"/>
                <w:szCs w:val="16"/>
                <w:lang w:eastAsia="es-CO"/>
              </w:rPr>
              <w:t>N/A</w:t>
            </w:r>
          </w:p>
        </w:tc>
        <w:tc>
          <w:tcPr>
            <w:tcW w:w="322" w:type="pct"/>
            <w:noWrap/>
            <w:vAlign w:val="center"/>
            <w:hideMark/>
          </w:tcPr>
          <w:p w14:paraId="5CC301C9" w14:textId="77777777" w:rsidR="004078AD" w:rsidRPr="00692C50" w:rsidRDefault="004078AD" w:rsidP="000A5389">
            <w:pPr>
              <w:spacing w:line="240" w:lineRule="auto"/>
              <w:jc w:val="center"/>
              <w:rPr>
                <w:rFonts w:eastAsia="Times New Roman" w:cs="Times New Roman"/>
                <w:sz w:val="16"/>
                <w:szCs w:val="16"/>
                <w:lang w:eastAsia="es-CO"/>
              </w:rPr>
            </w:pPr>
            <w:r w:rsidRPr="00692C50">
              <w:rPr>
                <w:rFonts w:eastAsia="Times New Roman" w:cs="Times New Roman"/>
                <w:sz w:val="16"/>
                <w:szCs w:val="16"/>
                <w:lang w:eastAsia="es-CO"/>
              </w:rPr>
              <w:t>N/A</w:t>
            </w:r>
          </w:p>
        </w:tc>
        <w:tc>
          <w:tcPr>
            <w:tcW w:w="882" w:type="pct"/>
            <w:vAlign w:val="center"/>
            <w:hideMark/>
          </w:tcPr>
          <w:p w14:paraId="40286C90" w14:textId="77777777" w:rsidR="004078AD" w:rsidRPr="00692C50" w:rsidRDefault="004078AD" w:rsidP="000A5389">
            <w:pPr>
              <w:spacing w:line="240" w:lineRule="auto"/>
              <w:rPr>
                <w:rFonts w:eastAsia="Times New Roman" w:cs="Times New Roman"/>
                <w:sz w:val="16"/>
                <w:szCs w:val="16"/>
                <w:lang w:eastAsia="es-CO"/>
              </w:rPr>
            </w:pPr>
            <w:r w:rsidRPr="00692C50">
              <w:rPr>
                <w:rFonts w:eastAsia="Times New Roman" w:cs="Times New Roman"/>
                <w:sz w:val="16"/>
                <w:szCs w:val="16"/>
                <w:lang w:eastAsia="es-CO"/>
              </w:rPr>
              <w:t xml:space="preserve">Cuenta por pagar con Registro de Obligación Presupuestal. </w:t>
            </w:r>
          </w:p>
        </w:tc>
        <w:tc>
          <w:tcPr>
            <w:tcW w:w="1308" w:type="pct"/>
            <w:noWrap/>
            <w:vAlign w:val="center"/>
            <w:hideMark/>
          </w:tcPr>
          <w:p w14:paraId="69D9A368" w14:textId="77777777" w:rsidR="004078AD" w:rsidRPr="00692C50" w:rsidRDefault="004078AD" w:rsidP="000A5389">
            <w:pPr>
              <w:spacing w:line="240" w:lineRule="auto"/>
              <w:rPr>
                <w:rFonts w:eastAsia="Times New Roman" w:cs="Times New Roman"/>
                <w:sz w:val="16"/>
                <w:szCs w:val="16"/>
                <w:lang w:eastAsia="es-CO"/>
              </w:rPr>
            </w:pPr>
            <w:r w:rsidRPr="00692C50">
              <w:rPr>
                <w:rFonts w:eastAsia="Times New Roman" w:cs="Times New Roman"/>
                <w:sz w:val="16"/>
                <w:szCs w:val="16"/>
                <w:lang w:eastAsia="es-CO"/>
              </w:rPr>
              <w:t>N/A</w:t>
            </w:r>
          </w:p>
        </w:tc>
      </w:tr>
      <w:tr w:rsidR="008515FA" w:rsidRPr="00692C50" w14:paraId="1B14AEEF" w14:textId="77777777" w:rsidTr="00692C50">
        <w:trPr>
          <w:trHeight w:val="417"/>
        </w:trPr>
        <w:tc>
          <w:tcPr>
            <w:tcW w:w="560" w:type="pct"/>
            <w:noWrap/>
            <w:vAlign w:val="center"/>
            <w:hideMark/>
          </w:tcPr>
          <w:p w14:paraId="15B1B657" w14:textId="77777777" w:rsidR="004078AD" w:rsidRPr="00692C50" w:rsidRDefault="004078AD" w:rsidP="000A5389">
            <w:pPr>
              <w:spacing w:line="240" w:lineRule="auto"/>
              <w:jc w:val="right"/>
              <w:rPr>
                <w:rFonts w:eastAsia="Times New Roman" w:cs="Times New Roman"/>
                <w:sz w:val="16"/>
                <w:szCs w:val="16"/>
                <w:lang w:eastAsia="es-CO"/>
              </w:rPr>
            </w:pPr>
            <w:r w:rsidRPr="00692C50">
              <w:rPr>
                <w:rFonts w:eastAsia="Times New Roman" w:cs="Times New Roman"/>
                <w:sz w:val="16"/>
                <w:szCs w:val="16"/>
                <w:lang w:eastAsia="es-CO"/>
              </w:rPr>
              <w:t>900164310</w:t>
            </w:r>
          </w:p>
        </w:tc>
        <w:tc>
          <w:tcPr>
            <w:tcW w:w="722" w:type="pct"/>
            <w:noWrap/>
            <w:vAlign w:val="center"/>
            <w:hideMark/>
          </w:tcPr>
          <w:p w14:paraId="5DACD41D" w14:textId="22CF6E49" w:rsidR="004078AD" w:rsidRPr="00692C50" w:rsidRDefault="008515FA" w:rsidP="000A5389">
            <w:pPr>
              <w:spacing w:line="240" w:lineRule="auto"/>
              <w:jc w:val="center"/>
              <w:rPr>
                <w:rFonts w:eastAsia="Times New Roman" w:cs="Times New Roman"/>
                <w:sz w:val="16"/>
                <w:szCs w:val="16"/>
                <w:lang w:eastAsia="es-CO"/>
              </w:rPr>
            </w:pPr>
            <w:r w:rsidRPr="00692C50">
              <w:rPr>
                <w:rFonts w:eastAsia="Times New Roman" w:cs="Times New Roman"/>
                <w:sz w:val="16"/>
                <w:szCs w:val="16"/>
                <w:lang w:eastAsia="es-CO"/>
              </w:rPr>
              <w:t>Concesionaria San Rafael S.S.</w:t>
            </w:r>
          </w:p>
        </w:tc>
        <w:tc>
          <w:tcPr>
            <w:tcW w:w="884" w:type="pct"/>
            <w:noWrap/>
            <w:vAlign w:val="center"/>
            <w:hideMark/>
          </w:tcPr>
          <w:p w14:paraId="4A523254" w14:textId="77777777" w:rsidR="004078AD" w:rsidRPr="00692C50" w:rsidRDefault="004078AD" w:rsidP="000A5389">
            <w:pPr>
              <w:spacing w:line="240" w:lineRule="auto"/>
              <w:jc w:val="right"/>
              <w:rPr>
                <w:rFonts w:eastAsia="Times New Roman" w:cs="Times New Roman"/>
                <w:sz w:val="16"/>
                <w:szCs w:val="16"/>
                <w:lang w:eastAsia="es-CO"/>
              </w:rPr>
            </w:pPr>
            <w:r w:rsidRPr="00692C50">
              <w:rPr>
                <w:rFonts w:eastAsia="Times New Roman" w:cs="Times New Roman"/>
                <w:sz w:val="16"/>
                <w:szCs w:val="16"/>
                <w:lang w:eastAsia="es-CO"/>
              </w:rPr>
              <w:t xml:space="preserve">                                  1.703.965.000 </w:t>
            </w:r>
          </w:p>
        </w:tc>
        <w:tc>
          <w:tcPr>
            <w:tcW w:w="322" w:type="pct"/>
            <w:noWrap/>
            <w:vAlign w:val="center"/>
            <w:hideMark/>
          </w:tcPr>
          <w:p w14:paraId="4E619988" w14:textId="77777777" w:rsidR="004078AD" w:rsidRPr="00692C50" w:rsidRDefault="004078AD" w:rsidP="000A5389">
            <w:pPr>
              <w:spacing w:line="240" w:lineRule="auto"/>
              <w:jc w:val="center"/>
              <w:rPr>
                <w:rFonts w:eastAsia="Times New Roman" w:cs="Times New Roman"/>
                <w:sz w:val="16"/>
                <w:szCs w:val="16"/>
                <w:lang w:eastAsia="es-CO"/>
              </w:rPr>
            </w:pPr>
            <w:r w:rsidRPr="00692C50">
              <w:rPr>
                <w:rFonts w:eastAsia="Times New Roman" w:cs="Times New Roman"/>
                <w:sz w:val="16"/>
                <w:szCs w:val="16"/>
                <w:lang w:eastAsia="es-CO"/>
              </w:rPr>
              <w:t>N/A</w:t>
            </w:r>
          </w:p>
        </w:tc>
        <w:tc>
          <w:tcPr>
            <w:tcW w:w="322" w:type="pct"/>
            <w:noWrap/>
            <w:vAlign w:val="center"/>
            <w:hideMark/>
          </w:tcPr>
          <w:p w14:paraId="114BC828" w14:textId="77777777" w:rsidR="004078AD" w:rsidRPr="00692C50" w:rsidRDefault="004078AD" w:rsidP="000A5389">
            <w:pPr>
              <w:spacing w:line="240" w:lineRule="auto"/>
              <w:jc w:val="center"/>
              <w:rPr>
                <w:rFonts w:eastAsia="Times New Roman" w:cs="Times New Roman"/>
                <w:sz w:val="16"/>
                <w:szCs w:val="16"/>
                <w:lang w:eastAsia="es-CO"/>
              </w:rPr>
            </w:pPr>
            <w:r w:rsidRPr="00692C50">
              <w:rPr>
                <w:rFonts w:eastAsia="Times New Roman" w:cs="Times New Roman"/>
                <w:sz w:val="16"/>
                <w:szCs w:val="16"/>
                <w:lang w:eastAsia="es-CO"/>
              </w:rPr>
              <w:t>N/A</w:t>
            </w:r>
          </w:p>
        </w:tc>
        <w:tc>
          <w:tcPr>
            <w:tcW w:w="882" w:type="pct"/>
            <w:vAlign w:val="center"/>
            <w:hideMark/>
          </w:tcPr>
          <w:p w14:paraId="234A6087" w14:textId="77777777" w:rsidR="004078AD" w:rsidRPr="00692C50" w:rsidRDefault="004078AD" w:rsidP="000A5389">
            <w:pPr>
              <w:spacing w:line="240" w:lineRule="auto"/>
              <w:rPr>
                <w:rFonts w:eastAsia="Times New Roman" w:cs="Times New Roman"/>
                <w:sz w:val="16"/>
                <w:szCs w:val="16"/>
                <w:lang w:eastAsia="es-CO"/>
              </w:rPr>
            </w:pPr>
            <w:r w:rsidRPr="00692C50">
              <w:rPr>
                <w:rFonts w:eastAsia="Times New Roman" w:cs="Times New Roman"/>
                <w:sz w:val="16"/>
                <w:szCs w:val="16"/>
                <w:lang w:eastAsia="es-CO"/>
              </w:rPr>
              <w:t xml:space="preserve">Cuenta por pagar con Registro de Obligación Presupuestal. </w:t>
            </w:r>
          </w:p>
        </w:tc>
        <w:tc>
          <w:tcPr>
            <w:tcW w:w="1308" w:type="pct"/>
            <w:noWrap/>
            <w:vAlign w:val="center"/>
            <w:hideMark/>
          </w:tcPr>
          <w:p w14:paraId="7765E525" w14:textId="77777777" w:rsidR="004078AD" w:rsidRPr="00692C50" w:rsidRDefault="004078AD" w:rsidP="000A5389">
            <w:pPr>
              <w:spacing w:line="240" w:lineRule="auto"/>
              <w:rPr>
                <w:rFonts w:eastAsia="Times New Roman" w:cs="Times New Roman"/>
                <w:sz w:val="16"/>
                <w:szCs w:val="16"/>
                <w:lang w:eastAsia="es-CO"/>
              </w:rPr>
            </w:pPr>
            <w:r w:rsidRPr="00692C50">
              <w:rPr>
                <w:rFonts w:eastAsia="Times New Roman" w:cs="Times New Roman"/>
                <w:sz w:val="16"/>
                <w:szCs w:val="16"/>
                <w:lang w:eastAsia="es-CO"/>
              </w:rPr>
              <w:t>N/A</w:t>
            </w:r>
          </w:p>
        </w:tc>
      </w:tr>
      <w:tr w:rsidR="008515FA" w:rsidRPr="00692C50" w14:paraId="1B355B32" w14:textId="77777777" w:rsidTr="00692C50">
        <w:trPr>
          <w:trHeight w:val="451"/>
        </w:trPr>
        <w:tc>
          <w:tcPr>
            <w:tcW w:w="560" w:type="pct"/>
            <w:noWrap/>
            <w:vAlign w:val="center"/>
            <w:hideMark/>
          </w:tcPr>
          <w:p w14:paraId="0387CF49" w14:textId="77777777" w:rsidR="004078AD" w:rsidRPr="00692C50" w:rsidRDefault="004078AD" w:rsidP="000A5389">
            <w:pPr>
              <w:spacing w:line="240" w:lineRule="auto"/>
              <w:jc w:val="right"/>
              <w:rPr>
                <w:rFonts w:eastAsia="Times New Roman" w:cs="Times New Roman"/>
                <w:sz w:val="16"/>
                <w:szCs w:val="16"/>
                <w:lang w:eastAsia="es-CO"/>
              </w:rPr>
            </w:pPr>
            <w:r w:rsidRPr="00692C50">
              <w:rPr>
                <w:rFonts w:eastAsia="Times New Roman" w:cs="Times New Roman"/>
                <w:sz w:val="16"/>
                <w:szCs w:val="16"/>
                <w:lang w:eastAsia="es-CO"/>
              </w:rPr>
              <w:t>900894996</w:t>
            </w:r>
          </w:p>
        </w:tc>
        <w:tc>
          <w:tcPr>
            <w:tcW w:w="722" w:type="pct"/>
            <w:noWrap/>
            <w:vAlign w:val="center"/>
            <w:hideMark/>
          </w:tcPr>
          <w:p w14:paraId="0C27C970" w14:textId="7B252A66" w:rsidR="004078AD" w:rsidRPr="00692C50" w:rsidRDefault="008515FA" w:rsidP="000A5389">
            <w:pPr>
              <w:spacing w:line="240" w:lineRule="auto"/>
              <w:jc w:val="center"/>
              <w:rPr>
                <w:rFonts w:eastAsia="Times New Roman" w:cs="Times New Roman"/>
                <w:sz w:val="16"/>
                <w:szCs w:val="16"/>
                <w:lang w:eastAsia="es-CO"/>
              </w:rPr>
            </w:pPr>
            <w:r w:rsidRPr="00692C50">
              <w:rPr>
                <w:rFonts w:eastAsia="Times New Roman" w:cs="Times New Roman"/>
                <w:sz w:val="16"/>
                <w:szCs w:val="16"/>
                <w:lang w:eastAsia="es-CO"/>
              </w:rPr>
              <w:t>Concesión Ruta Al Mar S.A.S.</w:t>
            </w:r>
          </w:p>
        </w:tc>
        <w:tc>
          <w:tcPr>
            <w:tcW w:w="884" w:type="pct"/>
            <w:noWrap/>
            <w:vAlign w:val="center"/>
            <w:hideMark/>
          </w:tcPr>
          <w:p w14:paraId="6D677DB7" w14:textId="77777777" w:rsidR="004078AD" w:rsidRPr="00692C50" w:rsidRDefault="004078AD" w:rsidP="000A5389">
            <w:pPr>
              <w:spacing w:line="240" w:lineRule="auto"/>
              <w:jc w:val="right"/>
              <w:rPr>
                <w:rFonts w:eastAsia="Times New Roman" w:cs="Times New Roman"/>
                <w:sz w:val="16"/>
                <w:szCs w:val="16"/>
                <w:lang w:eastAsia="es-CO"/>
              </w:rPr>
            </w:pPr>
            <w:r w:rsidRPr="00692C50">
              <w:rPr>
                <w:rFonts w:eastAsia="Times New Roman" w:cs="Times New Roman"/>
                <w:sz w:val="16"/>
                <w:szCs w:val="16"/>
                <w:lang w:eastAsia="es-CO"/>
              </w:rPr>
              <w:t xml:space="preserve">                                       147.887.671 </w:t>
            </w:r>
          </w:p>
        </w:tc>
        <w:tc>
          <w:tcPr>
            <w:tcW w:w="322" w:type="pct"/>
            <w:noWrap/>
            <w:vAlign w:val="center"/>
            <w:hideMark/>
          </w:tcPr>
          <w:p w14:paraId="364EBFE1" w14:textId="77777777" w:rsidR="004078AD" w:rsidRPr="00692C50" w:rsidRDefault="004078AD" w:rsidP="000A5389">
            <w:pPr>
              <w:spacing w:line="240" w:lineRule="auto"/>
              <w:jc w:val="center"/>
              <w:rPr>
                <w:rFonts w:eastAsia="Times New Roman" w:cs="Times New Roman"/>
                <w:sz w:val="16"/>
                <w:szCs w:val="16"/>
                <w:lang w:eastAsia="es-CO"/>
              </w:rPr>
            </w:pPr>
            <w:r w:rsidRPr="00692C50">
              <w:rPr>
                <w:rFonts w:eastAsia="Times New Roman" w:cs="Times New Roman"/>
                <w:sz w:val="16"/>
                <w:szCs w:val="16"/>
                <w:lang w:eastAsia="es-CO"/>
              </w:rPr>
              <w:t>N/A</w:t>
            </w:r>
          </w:p>
        </w:tc>
        <w:tc>
          <w:tcPr>
            <w:tcW w:w="322" w:type="pct"/>
            <w:noWrap/>
            <w:vAlign w:val="center"/>
            <w:hideMark/>
          </w:tcPr>
          <w:p w14:paraId="0623F1E2" w14:textId="77777777" w:rsidR="004078AD" w:rsidRPr="00692C50" w:rsidRDefault="004078AD" w:rsidP="000A5389">
            <w:pPr>
              <w:spacing w:line="240" w:lineRule="auto"/>
              <w:jc w:val="center"/>
              <w:rPr>
                <w:rFonts w:eastAsia="Times New Roman" w:cs="Times New Roman"/>
                <w:sz w:val="16"/>
                <w:szCs w:val="16"/>
                <w:lang w:eastAsia="es-CO"/>
              </w:rPr>
            </w:pPr>
            <w:r w:rsidRPr="00692C50">
              <w:rPr>
                <w:rFonts w:eastAsia="Times New Roman" w:cs="Times New Roman"/>
                <w:sz w:val="16"/>
                <w:szCs w:val="16"/>
                <w:lang w:eastAsia="es-CO"/>
              </w:rPr>
              <w:t>N/A</w:t>
            </w:r>
          </w:p>
        </w:tc>
        <w:tc>
          <w:tcPr>
            <w:tcW w:w="882" w:type="pct"/>
            <w:vAlign w:val="center"/>
            <w:hideMark/>
          </w:tcPr>
          <w:p w14:paraId="2C032818" w14:textId="77777777" w:rsidR="004078AD" w:rsidRPr="00692C50" w:rsidRDefault="004078AD" w:rsidP="000A5389">
            <w:pPr>
              <w:spacing w:line="240" w:lineRule="auto"/>
              <w:rPr>
                <w:rFonts w:eastAsia="Times New Roman" w:cs="Times New Roman"/>
                <w:sz w:val="16"/>
                <w:szCs w:val="16"/>
                <w:lang w:eastAsia="es-CO"/>
              </w:rPr>
            </w:pPr>
            <w:r w:rsidRPr="00692C50">
              <w:rPr>
                <w:rFonts w:eastAsia="Times New Roman" w:cs="Times New Roman"/>
                <w:sz w:val="16"/>
                <w:szCs w:val="16"/>
                <w:lang w:eastAsia="es-CO"/>
              </w:rPr>
              <w:t xml:space="preserve">Cuenta por pagar con Registro de Obligación Presupuestal. </w:t>
            </w:r>
          </w:p>
        </w:tc>
        <w:tc>
          <w:tcPr>
            <w:tcW w:w="1308" w:type="pct"/>
            <w:noWrap/>
            <w:vAlign w:val="center"/>
            <w:hideMark/>
          </w:tcPr>
          <w:p w14:paraId="1025F504" w14:textId="77777777" w:rsidR="004078AD" w:rsidRPr="00692C50" w:rsidRDefault="004078AD" w:rsidP="000A5389">
            <w:pPr>
              <w:spacing w:line="240" w:lineRule="auto"/>
              <w:rPr>
                <w:rFonts w:eastAsia="Times New Roman" w:cs="Times New Roman"/>
                <w:sz w:val="16"/>
                <w:szCs w:val="16"/>
                <w:lang w:eastAsia="es-CO"/>
              </w:rPr>
            </w:pPr>
            <w:r w:rsidRPr="00692C50">
              <w:rPr>
                <w:rFonts w:eastAsia="Times New Roman" w:cs="Times New Roman"/>
                <w:sz w:val="16"/>
                <w:szCs w:val="16"/>
                <w:lang w:eastAsia="es-CO"/>
              </w:rPr>
              <w:t>N/A</w:t>
            </w:r>
          </w:p>
        </w:tc>
      </w:tr>
    </w:tbl>
    <w:p w14:paraId="68F83E3D" w14:textId="77777777" w:rsidR="004078AD" w:rsidRPr="00951AB1" w:rsidRDefault="004078AD" w:rsidP="000A5389">
      <w:pPr>
        <w:spacing w:line="240" w:lineRule="auto"/>
        <w:rPr>
          <w:rFonts w:cs="Times New Roman"/>
          <w:sz w:val="14"/>
          <w:szCs w:val="14"/>
        </w:rPr>
      </w:pPr>
      <w:r w:rsidRPr="00951AB1">
        <w:rPr>
          <w:rFonts w:cs="Times New Roman"/>
          <w:sz w:val="14"/>
          <w:szCs w:val="14"/>
        </w:rPr>
        <w:t>Cifras expresadas en pesos</w:t>
      </w:r>
    </w:p>
    <w:p w14:paraId="1678A964" w14:textId="77777777" w:rsidR="004078AD" w:rsidRPr="00692C50" w:rsidRDefault="004078AD" w:rsidP="000A5389">
      <w:pPr>
        <w:spacing w:line="240" w:lineRule="auto"/>
        <w:rPr>
          <w:rFonts w:cs="Times New Roman"/>
          <w:i/>
          <w:iCs/>
          <w:szCs w:val="24"/>
        </w:rPr>
      </w:pPr>
    </w:p>
    <w:p w14:paraId="2E072524" w14:textId="77777777" w:rsidR="004078AD" w:rsidRPr="00692C50" w:rsidRDefault="004078AD" w:rsidP="00692C50">
      <w:pPr>
        <w:spacing w:line="240" w:lineRule="auto"/>
        <w:rPr>
          <w:rFonts w:cs="Times New Roman"/>
          <w:i/>
          <w:iCs/>
          <w:szCs w:val="24"/>
          <w:u w:val="single"/>
        </w:rPr>
      </w:pPr>
      <w:r w:rsidRPr="00692C50">
        <w:rPr>
          <w:rFonts w:cs="Times New Roman"/>
          <w:i/>
          <w:iCs/>
          <w:szCs w:val="24"/>
          <w:u w:val="single"/>
        </w:rPr>
        <w:t>Laudos arbitrales ejecutoriados, que se compone de: capital adeudado, actualización de capital, condena en costas o agencias en derecho e intereses corrientes:</w:t>
      </w:r>
    </w:p>
    <w:p w14:paraId="63289850" w14:textId="77777777" w:rsidR="004078AD" w:rsidRPr="00951AB1" w:rsidRDefault="004078AD" w:rsidP="000A5389">
      <w:pPr>
        <w:pStyle w:val="Prrafodelista"/>
        <w:spacing w:line="240" w:lineRule="auto"/>
        <w:ind w:left="851"/>
        <w:rPr>
          <w:rFonts w:cs="Times New Roman"/>
          <w:b/>
          <w:bCs/>
          <w:szCs w:val="24"/>
          <w:u w:val="single"/>
        </w:rPr>
      </w:pPr>
    </w:p>
    <w:p w14:paraId="276824C8" w14:textId="77777777" w:rsidR="004078AD" w:rsidRPr="00951AB1" w:rsidRDefault="004078AD" w:rsidP="000A5389">
      <w:pPr>
        <w:pStyle w:val="Prrafodelista"/>
        <w:spacing w:line="240" w:lineRule="auto"/>
        <w:ind w:left="0"/>
        <w:rPr>
          <w:rFonts w:cs="Times New Roman"/>
          <w:szCs w:val="24"/>
        </w:rPr>
      </w:pPr>
      <w:r w:rsidRPr="00951AB1">
        <w:rPr>
          <w:rFonts w:cs="Times New Roman"/>
          <w:szCs w:val="24"/>
        </w:rPr>
        <w:t xml:space="preserve">Con relación a los Laudos Arbitrales ejecutoriados, el valor a 31 de diciembre de 2025 asciende a la suma de $4.262.526.196.665, correspondiente a los siguientes conceptos y terceros: </w:t>
      </w:r>
    </w:p>
    <w:p w14:paraId="6157DFD3" w14:textId="77777777" w:rsidR="004078AD" w:rsidRPr="00951AB1" w:rsidRDefault="004078AD" w:rsidP="000A5389">
      <w:pPr>
        <w:pStyle w:val="Prrafodelista"/>
        <w:spacing w:line="240" w:lineRule="auto"/>
        <w:ind w:left="0"/>
        <w:rPr>
          <w:rFonts w:cs="Times New Roman"/>
          <w:szCs w:val="24"/>
        </w:rPr>
      </w:pPr>
    </w:p>
    <w:tbl>
      <w:tblPr>
        <w:tblW w:w="5000" w:type="pct"/>
        <w:jc w:val="center"/>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CellMar>
          <w:left w:w="70" w:type="dxa"/>
          <w:right w:w="70" w:type="dxa"/>
        </w:tblCellMar>
        <w:tblLook w:val="04A0" w:firstRow="1" w:lastRow="0" w:firstColumn="1" w:lastColumn="0" w:noHBand="0" w:noVBand="1"/>
      </w:tblPr>
      <w:tblGrid>
        <w:gridCol w:w="773"/>
        <w:gridCol w:w="1623"/>
        <w:gridCol w:w="1418"/>
        <w:gridCol w:w="1411"/>
        <w:gridCol w:w="1126"/>
        <w:gridCol w:w="1126"/>
        <w:gridCol w:w="1351"/>
      </w:tblGrid>
      <w:tr w:rsidR="004078AD" w:rsidRPr="00951AB1" w14:paraId="4E8B4492" w14:textId="77777777" w:rsidTr="0071107B">
        <w:trPr>
          <w:trHeight w:val="518"/>
          <w:tblHeader/>
          <w:jc w:val="center"/>
        </w:trPr>
        <w:tc>
          <w:tcPr>
            <w:tcW w:w="437" w:type="pct"/>
            <w:noWrap/>
            <w:vAlign w:val="center"/>
            <w:hideMark/>
          </w:tcPr>
          <w:p w14:paraId="03329353" w14:textId="77777777" w:rsidR="004078AD" w:rsidRPr="00951AB1" w:rsidRDefault="004078AD" w:rsidP="000A5389">
            <w:pPr>
              <w:spacing w:line="240" w:lineRule="auto"/>
              <w:jc w:val="center"/>
              <w:rPr>
                <w:rFonts w:eastAsia="Times New Roman" w:cs="Times New Roman"/>
                <w:b/>
                <w:bCs/>
                <w:color w:val="000000"/>
                <w:sz w:val="14"/>
                <w:szCs w:val="14"/>
                <w:lang w:eastAsia="es-CO"/>
              </w:rPr>
            </w:pPr>
            <w:r w:rsidRPr="00951AB1">
              <w:rPr>
                <w:rFonts w:eastAsia="Times New Roman" w:cs="Times New Roman"/>
                <w:b/>
                <w:bCs/>
                <w:color w:val="000000"/>
                <w:sz w:val="14"/>
                <w:szCs w:val="14"/>
                <w:lang w:eastAsia="es-CO"/>
              </w:rPr>
              <w:t>NIT</w:t>
            </w:r>
          </w:p>
        </w:tc>
        <w:tc>
          <w:tcPr>
            <w:tcW w:w="919" w:type="pct"/>
            <w:noWrap/>
            <w:vAlign w:val="center"/>
            <w:hideMark/>
          </w:tcPr>
          <w:p w14:paraId="464A7952" w14:textId="77777777" w:rsidR="004078AD" w:rsidRPr="00951AB1" w:rsidRDefault="004078AD" w:rsidP="000A5389">
            <w:pPr>
              <w:spacing w:line="240" w:lineRule="auto"/>
              <w:jc w:val="center"/>
              <w:rPr>
                <w:rFonts w:eastAsia="Times New Roman" w:cs="Times New Roman"/>
                <w:b/>
                <w:bCs/>
                <w:color w:val="000000"/>
                <w:sz w:val="14"/>
                <w:szCs w:val="14"/>
                <w:lang w:eastAsia="es-CO"/>
              </w:rPr>
            </w:pPr>
            <w:r w:rsidRPr="00951AB1">
              <w:rPr>
                <w:rFonts w:eastAsia="Times New Roman" w:cs="Times New Roman"/>
                <w:b/>
                <w:bCs/>
                <w:color w:val="000000"/>
                <w:sz w:val="14"/>
                <w:szCs w:val="14"/>
                <w:lang w:eastAsia="es-CO"/>
              </w:rPr>
              <w:t>TERCERO</w:t>
            </w:r>
          </w:p>
        </w:tc>
        <w:tc>
          <w:tcPr>
            <w:tcW w:w="803" w:type="pct"/>
            <w:noWrap/>
            <w:vAlign w:val="center"/>
            <w:hideMark/>
          </w:tcPr>
          <w:p w14:paraId="321D120A" w14:textId="77777777" w:rsidR="004078AD" w:rsidRPr="00951AB1" w:rsidRDefault="004078AD" w:rsidP="000A5389">
            <w:pPr>
              <w:spacing w:line="240" w:lineRule="auto"/>
              <w:jc w:val="center"/>
              <w:rPr>
                <w:rFonts w:eastAsia="Times New Roman" w:cs="Times New Roman"/>
                <w:b/>
                <w:bCs/>
                <w:color w:val="000000"/>
                <w:sz w:val="14"/>
                <w:szCs w:val="14"/>
                <w:lang w:eastAsia="es-CO"/>
              </w:rPr>
            </w:pPr>
            <w:r w:rsidRPr="00951AB1">
              <w:rPr>
                <w:rFonts w:eastAsia="Times New Roman" w:cs="Times New Roman"/>
                <w:b/>
                <w:bCs/>
                <w:color w:val="000000"/>
                <w:sz w:val="14"/>
                <w:szCs w:val="14"/>
                <w:lang w:eastAsia="es-CO"/>
              </w:rPr>
              <w:t>CAPITAL ADEUDADO</w:t>
            </w:r>
          </w:p>
        </w:tc>
        <w:tc>
          <w:tcPr>
            <w:tcW w:w="799" w:type="pct"/>
            <w:vAlign w:val="center"/>
            <w:hideMark/>
          </w:tcPr>
          <w:p w14:paraId="2049CC8C" w14:textId="77777777" w:rsidR="004078AD" w:rsidRPr="00951AB1" w:rsidRDefault="004078AD" w:rsidP="000A5389">
            <w:pPr>
              <w:spacing w:line="240" w:lineRule="auto"/>
              <w:jc w:val="center"/>
              <w:rPr>
                <w:rFonts w:eastAsia="Times New Roman" w:cs="Times New Roman"/>
                <w:b/>
                <w:bCs/>
                <w:color w:val="000000"/>
                <w:sz w:val="14"/>
                <w:szCs w:val="14"/>
                <w:lang w:eastAsia="es-CO"/>
              </w:rPr>
            </w:pPr>
            <w:r w:rsidRPr="00951AB1">
              <w:rPr>
                <w:rFonts w:eastAsia="Times New Roman" w:cs="Times New Roman"/>
                <w:b/>
                <w:bCs/>
                <w:color w:val="000000"/>
                <w:sz w:val="14"/>
                <w:szCs w:val="14"/>
                <w:lang w:eastAsia="es-CO"/>
              </w:rPr>
              <w:t>ACTUALIZACIÓN DE CAPITAL</w:t>
            </w:r>
          </w:p>
        </w:tc>
        <w:tc>
          <w:tcPr>
            <w:tcW w:w="638" w:type="pct"/>
            <w:vAlign w:val="center"/>
            <w:hideMark/>
          </w:tcPr>
          <w:p w14:paraId="4A38D234" w14:textId="77777777" w:rsidR="004078AD" w:rsidRPr="00951AB1" w:rsidRDefault="004078AD" w:rsidP="000A5389">
            <w:pPr>
              <w:spacing w:line="240" w:lineRule="auto"/>
              <w:jc w:val="center"/>
              <w:rPr>
                <w:rFonts w:eastAsia="Times New Roman" w:cs="Times New Roman"/>
                <w:b/>
                <w:bCs/>
                <w:color w:val="000000"/>
                <w:sz w:val="14"/>
                <w:szCs w:val="14"/>
                <w:lang w:eastAsia="es-CO"/>
              </w:rPr>
            </w:pPr>
            <w:r w:rsidRPr="00951AB1">
              <w:rPr>
                <w:rFonts w:eastAsia="Times New Roman" w:cs="Times New Roman"/>
                <w:b/>
                <w:bCs/>
                <w:color w:val="000000"/>
                <w:sz w:val="14"/>
                <w:szCs w:val="14"/>
                <w:lang w:eastAsia="es-CO"/>
              </w:rPr>
              <w:t>CONDENA EN COSTAS O AGENCIAS EN DERECHO</w:t>
            </w:r>
          </w:p>
        </w:tc>
        <w:tc>
          <w:tcPr>
            <w:tcW w:w="638" w:type="pct"/>
            <w:vAlign w:val="center"/>
            <w:hideMark/>
          </w:tcPr>
          <w:p w14:paraId="00E4E957" w14:textId="77777777" w:rsidR="004078AD" w:rsidRPr="00951AB1" w:rsidRDefault="004078AD" w:rsidP="000A5389">
            <w:pPr>
              <w:spacing w:line="240" w:lineRule="auto"/>
              <w:jc w:val="center"/>
              <w:rPr>
                <w:rFonts w:eastAsia="Times New Roman" w:cs="Times New Roman"/>
                <w:b/>
                <w:bCs/>
                <w:color w:val="000000"/>
                <w:sz w:val="14"/>
                <w:szCs w:val="14"/>
                <w:lang w:eastAsia="es-CO"/>
              </w:rPr>
            </w:pPr>
            <w:r w:rsidRPr="00951AB1">
              <w:rPr>
                <w:rFonts w:eastAsia="Times New Roman" w:cs="Times New Roman"/>
                <w:b/>
                <w:bCs/>
                <w:color w:val="000000"/>
                <w:sz w:val="14"/>
                <w:szCs w:val="14"/>
                <w:lang w:eastAsia="es-CO"/>
              </w:rPr>
              <w:t>INTERESES CORRIENTES</w:t>
            </w:r>
          </w:p>
        </w:tc>
        <w:tc>
          <w:tcPr>
            <w:tcW w:w="765" w:type="pct"/>
            <w:noWrap/>
            <w:vAlign w:val="center"/>
            <w:hideMark/>
          </w:tcPr>
          <w:p w14:paraId="68D856EA" w14:textId="77777777" w:rsidR="004078AD" w:rsidRPr="00951AB1" w:rsidRDefault="004078AD" w:rsidP="000A5389">
            <w:pPr>
              <w:spacing w:line="240" w:lineRule="auto"/>
              <w:jc w:val="center"/>
              <w:rPr>
                <w:rFonts w:eastAsia="Times New Roman" w:cs="Times New Roman"/>
                <w:b/>
                <w:bCs/>
                <w:color w:val="000000"/>
                <w:sz w:val="14"/>
                <w:szCs w:val="14"/>
                <w:lang w:eastAsia="es-CO"/>
              </w:rPr>
            </w:pPr>
            <w:r w:rsidRPr="00951AB1">
              <w:rPr>
                <w:rFonts w:eastAsia="Times New Roman" w:cs="Times New Roman"/>
                <w:b/>
                <w:bCs/>
                <w:color w:val="000000"/>
                <w:sz w:val="14"/>
                <w:szCs w:val="14"/>
                <w:lang w:eastAsia="es-CO"/>
              </w:rPr>
              <w:t xml:space="preserve">TOTAL </w:t>
            </w:r>
          </w:p>
        </w:tc>
      </w:tr>
      <w:tr w:rsidR="004078AD" w:rsidRPr="00951AB1" w14:paraId="4B1A0754" w14:textId="77777777" w:rsidTr="0071107B">
        <w:trPr>
          <w:trHeight w:val="465"/>
          <w:jc w:val="center"/>
        </w:trPr>
        <w:tc>
          <w:tcPr>
            <w:tcW w:w="437" w:type="pct"/>
            <w:noWrap/>
            <w:vAlign w:val="center"/>
            <w:hideMark/>
          </w:tcPr>
          <w:p w14:paraId="4FD27A1E" w14:textId="77777777" w:rsidR="004078AD" w:rsidRPr="00951AB1" w:rsidRDefault="004078AD" w:rsidP="000A5389">
            <w:pPr>
              <w:spacing w:line="240" w:lineRule="auto"/>
              <w:rPr>
                <w:rFonts w:eastAsia="Times New Roman" w:cs="Times New Roman"/>
                <w:color w:val="000000"/>
                <w:sz w:val="14"/>
                <w:szCs w:val="14"/>
                <w:lang w:eastAsia="es-CO"/>
              </w:rPr>
            </w:pPr>
            <w:r w:rsidRPr="00951AB1">
              <w:rPr>
                <w:rFonts w:eastAsia="Times New Roman" w:cs="Times New Roman"/>
                <w:color w:val="000000"/>
                <w:sz w:val="14"/>
                <w:szCs w:val="14"/>
                <w:lang w:eastAsia="es-CO"/>
              </w:rPr>
              <w:t>900761657</w:t>
            </w:r>
          </w:p>
        </w:tc>
        <w:tc>
          <w:tcPr>
            <w:tcW w:w="919" w:type="pct"/>
            <w:vAlign w:val="center"/>
            <w:hideMark/>
          </w:tcPr>
          <w:p w14:paraId="58A3AC03" w14:textId="5CB38AFD" w:rsidR="004078AD" w:rsidRPr="00951AB1" w:rsidRDefault="008515FA" w:rsidP="000A5389">
            <w:pPr>
              <w:spacing w:line="240" w:lineRule="auto"/>
              <w:rPr>
                <w:rFonts w:eastAsia="Times New Roman" w:cs="Times New Roman"/>
                <w:color w:val="000000"/>
                <w:sz w:val="14"/>
                <w:szCs w:val="14"/>
                <w:lang w:eastAsia="es-CO"/>
              </w:rPr>
            </w:pPr>
            <w:r w:rsidRPr="00951AB1">
              <w:rPr>
                <w:rFonts w:eastAsia="Times New Roman" w:cs="Times New Roman"/>
                <w:color w:val="000000"/>
                <w:sz w:val="14"/>
                <w:szCs w:val="14"/>
                <w:lang w:eastAsia="es-CO"/>
              </w:rPr>
              <w:t>Perimetral Oriental De Bogotá Sas</w:t>
            </w:r>
          </w:p>
        </w:tc>
        <w:tc>
          <w:tcPr>
            <w:tcW w:w="803" w:type="pct"/>
            <w:noWrap/>
            <w:vAlign w:val="center"/>
            <w:hideMark/>
          </w:tcPr>
          <w:p w14:paraId="1A0AC423" w14:textId="4E8D41CC" w:rsidR="004078AD" w:rsidRPr="00951AB1" w:rsidRDefault="004078AD" w:rsidP="000A5389">
            <w:pPr>
              <w:spacing w:line="240" w:lineRule="auto"/>
              <w:jc w:val="right"/>
              <w:rPr>
                <w:rFonts w:eastAsia="Times New Roman" w:cs="Times New Roman"/>
                <w:color w:val="000000"/>
                <w:sz w:val="14"/>
                <w:szCs w:val="14"/>
                <w:lang w:eastAsia="es-CO"/>
              </w:rPr>
            </w:pPr>
            <w:r w:rsidRPr="00951AB1">
              <w:rPr>
                <w:rFonts w:eastAsia="Times New Roman" w:cs="Times New Roman"/>
                <w:color w:val="000000"/>
                <w:sz w:val="14"/>
                <w:szCs w:val="14"/>
                <w:lang w:eastAsia="es-CO"/>
              </w:rPr>
              <w:t>1.332.305.900.000</w:t>
            </w:r>
          </w:p>
        </w:tc>
        <w:tc>
          <w:tcPr>
            <w:tcW w:w="799" w:type="pct"/>
            <w:noWrap/>
            <w:vAlign w:val="center"/>
            <w:hideMark/>
          </w:tcPr>
          <w:p w14:paraId="2A132C69" w14:textId="35B983BA" w:rsidR="004078AD" w:rsidRPr="00951AB1" w:rsidRDefault="004078AD" w:rsidP="000A5389">
            <w:pPr>
              <w:spacing w:line="240" w:lineRule="auto"/>
              <w:jc w:val="right"/>
              <w:rPr>
                <w:rFonts w:eastAsia="Times New Roman" w:cs="Times New Roman"/>
                <w:color w:val="000000"/>
                <w:sz w:val="14"/>
                <w:szCs w:val="14"/>
                <w:lang w:eastAsia="es-CO"/>
              </w:rPr>
            </w:pPr>
            <w:r w:rsidRPr="00951AB1">
              <w:rPr>
                <w:rFonts w:eastAsia="Times New Roman" w:cs="Times New Roman"/>
                <w:color w:val="000000"/>
                <w:sz w:val="14"/>
                <w:szCs w:val="14"/>
                <w:lang w:eastAsia="es-CO"/>
              </w:rPr>
              <w:t>-</w:t>
            </w:r>
          </w:p>
        </w:tc>
        <w:tc>
          <w:tcPr>
            <w:tcW w:w="638" w:type="pct"/>
            <w:noWrap/>
            <w:vAlign w:val="center"/>
            <w:hideMark/>
          </w:tcPr>
          <w:p w14:paraId="3C9B8CBD" w14:textId="3723CDBC" w:rsidR="004078AD" w:rsidRPr="00951AB1" w:rsidRDefault="004078AD" w:rsidP="000A5389">
            <w:pPr>
              <w:spacing w:line="240" w:lineRule="auto"/>
              <w:jc w:val="right"/>
              <w:rPr>
                <w:rFonts w:eastAsia="Times New Roman" w:cs="Times New Roman"/>
                <w:color w:val="000000"/>
                <w:sz w:val="14"/>
                <w:szCs w:val="14"/>
                <w:lang w:eastAsia="es-CO"/>
              </w:rPr>
            </w:pPr>
            <w:r w:rsidRPr="00951AB1">
              <w:rPr>
                <w:rFonts w:eastAsia="Times New Roman" w:cs="Times New Roman"/>
                <w:color w:val="000000"/>
                <w:sz w:val="14"/>
                <w:szCs w:val="14"/>
                <w:lang w:eastAsia="es-CO"/>
              </w:rPr>
              <w:t>8.423.907.754</w:t>
            </w:r>
          </w:p>
        </w:tc>
        <w:tc>
          <w:tcPr>
            <w:tcW w:w="638" w:type="pct"/>
            <w:noWrap/>
            <w:vAlign w:val="center"/>
            <w:hideMark/>
          </w:tcPr>
          <w:p w14:paraId="36730B46" w14:textId="51B7E71B" w:rsidR="004078AD" w:rsidRPr="00951AB1" w:rsidRDefault="004078AD" w:rsidP="000A5389">
            <w:pPr>
              <w:spacing w:line="240" w:lineRule="auto"/>
              <w:jc w:val="right"/>
              <w:rPr>
                <w:rFonts w:eastAsia="Times New Roman" w:cs="Times New Roman"/>
                <w:color w:val="000000"/>
                <w:sz w:val="14"/>
                <w:szCs w:val="14"/>
                <w:lang w:eastAsia="es-CO"/>
              </w:rPr>
            </w:pPr>
            <w:r w:rsidRPr="00951AB1">
              <w:rPr>
                <w:rFonts w:eastAsia="Times New Roman" w:cs="Times New Roman"/>
                <w:color w:val="000000"/>
                <w:sz w:val="14"/>
                <w:szCs w:val="14"/>
                <w:lang w:eastAsia="es-CO"/>
              </w:rPr>
              <w:t>409.200.000.000</w:t>
            </w:r>
          </w:p>
        </w:tc>
        <w:tc>
          <w:tcPr>
            <w:tcW w:w="765" w:type="pct"/>
            <w:noWrap/>
            <w:vAlign w:val="center"/>
            <w:hideMark/>
          </w:tcPr>
          <w:p w14:paraId="76844362" w14:textId="77777777" w:rsidR="004078AD" w:rsidRPr="00951AB1" w:rsidRDefault="004078AD" w:rsidP="000A5389">
            <w:pPr>
              <w:spacing w:line="240" w:lineRule="auto"/>
              <w:jc w:val="right"/>
              <w:rPr>
                <w:rFonts w:eastAsia="Times New Roman" w:cs="Times New Roman"/>
                <w:b/>
                <w:bCs/>
                <w:color w:val="000000"/>
                <w:sz w:val="14"/>
                <w:szCs w:val="14"/>
                <w:lang w:eastAsia="es-CO"/>
              </w:rPr>
            </w:pPr>
            <w:r w:rsidRPr="00951AB1">
              <w:rPr>
                <w:rFonts w:eastAsia="Times New Roman" w:cs="Times New Roman"/>
                <w:b/>
                <w:bCs/>
                <w:color w:val="000000"/>
                <w:sz w:val="14"/>
                <w:szCs w:val="14"/>
                <w:lang w:eastAsia="es-CO"/>
              </w:rPr>
              <w:t xml:space="preserve">     1.749.929.807.754 </w:t>
            </w:r>
          </w:p>
        </w:tc>
      </w:tr>
      <w:tr w:rsidR="004078AD" w:rsidRPr="00951AB1" w14:paraId="2F743E27" w14:textId="77777777" w:rsidTr="0071107B">
        <w:trPr>
          <w:trHeight w:val="465"/>
          <w:jc w:val="center"/>
        </w:trPr>
        <w:tc>
          <w:tcPr>
            <w:tcW w:w="437" w:type="pct"/>
            <w:noWrap/>
            <w:vAlign w:val="center"/>
            <w:hideMark/>
          </w:tcPr>
          <w:p w14:paraId="4097FDC1" w14:textId="77777777" w:rsidR="004078AD" w:rsidRPr="00951AB1" w:rsidRDefault="004078AD" w:rsidP="000A5389">
            <w:pPr>
              <w:spacing w:line="240" w:lineRule="auto"/>
              <w:rPr>
                <w:rFonts w:eastAsia="Times New Roman" w:cs="Times New Roman"/>
                <w:color w:val="000000"/>
                <w:sz w:val="14"/>
                <w:szCs w:val="14"/>
                <w:lang w:eastAsia="es-CO"/>
              </w:rPr>
            </w:pPr>
            <w:r w:rsidRPr="00951AB1">
              <w:rPr>
                <w:rFonts w:eastAsia="Times New Roman" w:cs="Times New Roman"/>
                <w:color w:val="000000"/>
                <w:sz w:val="14"/>
                <w:szCs w:val="14"/>
                <w:lang w:eastAsia="es-CO"/>
              </w:rPr>
              <w:t>900373092</w:t>
            </w:r>
          </w:p>
        </w:tc>
        <w:tc>
          <w:tcPr>
            <w:tcW w:w="919" w:type="pct"/>
            <w:vAlign w:val="center"/>
            <w:hideMark/>
          </w:tcPr>
          <w:p w14:paraId="21EE9F98" w14:textId="52DB779C" w:rsidR="004078AD" w:rsidRPr="00951AB1" w:rsidRDefault="008515FA" w:rsidP="000A5389">
            <w:pPr>
              <w:spacing w:line="240" w:lineRule="auto"/>
              <w:rPr>
                <w:rFonts w:eastAsia="Times New Roman" w:cs="Times New Roman"/>
                <w:color w:val="000000"/>
                <w:sz w:val="14"/>
                <w:szCs w:val="14"/>
                <w:lang w:eastAsia="es-CO"/>
              </w:rPr>
            </w:pPr>
            <w:r w:rsidRPr="00951AB1">
              <w:rPr>
                <w:rFonts w:eastAsia="Times New Roman" w:cs="Times New Roman"/>
                <w:color w:val="000000"/>
                <w:sz w:val="14"/>
                <w:szCs w:val="14"/>
                <w:lang w:eastAsia="es-CO"/>
              </w:rPr>
              <w:t>Yuma Concesionaria S A - En Reorganización</w:t>
            </w:r>
          </w:p>
        </w:tc>
        <w:tc>
          <w:tcPr>
            <w:tcW w:w="803" w:type="pct"/>
            <w:noWrap/>
            <w:vAlign w:val="center"/>
            <w:hideMark/>
          </w:tcPr>
          <w:p w14:paraId="5A6D52D3" w14:textId="0A93BEEB" w:rsidR="004078AD" w:rsidRPr="00951AB1" w:rsidRDefault="004078AD" w:rsidP="000A5389">
            <w:pPr>
              <w:spacing w:line="240" w:lineRule="auto"/>
              <w:jc w:val="right"/>
              <w:rPr>
                <w:rFonts w:eastAsia="Times New Roman" w:cs="Times New Roman"/>
                <w:color w:val="000000"/>
                <w:sz w:val="14"/>
                <w:szCs w:val="14"/>
                <w:lang w:eastAsia="es-CO"/>
              </w:rPr>
            </w:pPr>
            <w:r w:rsidRPr="00951AB1">
              <w:rPr>
                <w:rFonts w:eastAsia="Times New Roman" w:cs="Times New Roman"/>
                <w:color w:val="000000"/>
                <w:sz w:val="14"/>
                <w:szCs w:val="14"/>
                <w:lang w:eastAsia="es-CO"/>
              </w:rPr>
              <w:t>770.654.857.818</w:t>
            </w:r>
          </w:p>
        </w:tc>
        <w:tc>
          <w:tcPr>
            <w:tcW w:w="799" w:type="pct"/>
            <w:noWrap/>
            <w:vAlign w:val="center"/>
            <w:hideMark/>
          </w:tcPr>
          <w:p w14:paraId="2F0F42DE" w14:textId="7021C597" w:rsidR="004078AD" w:rsidRPr="00951AB1" w:rsidRDefault="004078AD" w:rsidP="000A5389">
            <w:pPr>
              <w:spacing w:line="240" w:lineRule="auto"/>
              <w:jc w:val="right"/>
              <w:rPr>
                <w:rFonts w:eastAsia="Times New Roman" w:cs="Times New Roman"/>
                <w:color w:val="000000"/>
                <w:sz w:val="14"/>
                <w:szCs w:val="14"/>
                <w:lang w:eastAsia="es-CO"/>
              </w:rPr>
            </w:pPr>
            <w:r w:rsidRPr="00951AB1">
              <w:rPr>
                <w:rFonts w:eastAsia="Times New Roman" w:cs="Times New Roman"/>
                <w:color w:val="000000"/>
                <w:sz w:val="14"/>
                <w:szCs w:val="14"/>
                <w:lang w:eastAsia="es-CO"/>
              </w:rPr>
              <w:t>10.101.065.003</w:t>
            </w:r>
          </w:p>
        </w:tc>
        <w:tc>
          <w:tcPr>
            <w:tcW w:w="638" w:type="pct"/>
            <w:noWrap/>
            <w:vAlign w:val="center"/>
            <w:hideMark/>
          </w:tcPr>
          <w:p w14:paraId="77850CCC" w14:textId="473CD8FE" w:rsidR="004078AD" w:rsidRPr="00951AB1" w:rsidRDefault="004078AD" w:rsidP="000A5389">
            <w:pPr>
              <w:spacing w:line="240" w:lineRule="auto"/>
              <w:jc w:val="right"/>
              <w:rPr>
                <w:rFonts w:eastAsia="Times New Roman" w:cs="Times New Roman"/>
                <w:color w:val="000000"/>
                <w:sz w:val="14"/>
                <w:szCs w:val="14"/>
                <w:lang w:eastAsia="es-CO"/>
              </w:rPr>
            </w:pPr>
            <w:r w:rsidRPr="00951AB1">
              <w:rPr>
                <w:rFonts w:eastAsia="Times New Roman" w:cs="Times New Roman"/>
                <w:color w:val="000000"/>
                <w:sz w:val="14"/>
                <w:szCs w:val="14"/>
                <w:lang w:eastAsia="es-CO"/>
              </w:rPr>
              <w:t>-</w:t>
            </w:r>
          </w:p>
        </w:tc>
        <w:tc>
          <w:tcPr>
            <w:tcW w:w="638" w:type="pct"/>
            <w:noWrap/>
            <w:vAlign w:val="center"/>
            <w:hideMark/>
          </w:tcPr>
          <w:p w14:paraId="4648D942" w14:textId="58547060" w:rsidR="004078AD" w:rsidRPr="00951AB1" w:rsidRDefault="004078AD" w:rsidP="000A5389">
            <w:pPr>
              <w:spacing w:line="240" w:lineRule="auto"/>
              <w:jc w:val="right"/>
              <w:rPr>
                <w:rFonts w:eastAsia="Times New Roman" w:cs="Times New Roman"/>
                <w:color w:val="000000"/>
                <w:sz w:val="14"/>
                <w:szCs w:val="14"/>
                <w:lang w:eastAsia="es-CO"/>
              </w:rPr>
            </w:pPr>
            <w:r w:rsidRPr="00951AB1">
              <w:rPr>
                <w:rFonts w:eastAsia="Times New Roman" w:cs="Times New Roman"/>
                <w:color w:val="000000"/>
                <w:sz w:val="14"/>
                <w:szCs w:val="14"/>
                <w:lang w:eastAsia="es-CO"/>
              </w:rPr>
              <w:t>29.625.961.844</w:t>
            </w:r>
          </w:p>
        </w:tc>
        <w:tc>
          <w:tcPr>
            <w:tcW w:w="765" w:type="pct"/>
            <w:noWrap/>
            <w:vAlign w:val="center"/>
            <w:hideMark/>
          </w:tcPr>
          <w:p w14:paraId="73C38939" w14:textId="77777777" w:rsidR="004078AD" w:rsidRPr="00951AB1" w:rsidRDefault="004078AD" w:rsidP="000A5389">
            <w:pPr>
              <w:spacing w:line="240" w:lineRule="auto"/>
              <w:jc w:val="right"/>
              <w:rPr>
                <w:rFonts w:eastAsia="Times New Roman" w:cs="Times New Roman"/>
                <w:b/>
                <w:bCs/>
                <w:color w:val="000000"/>
                <w:sz w:val="14"/>
                <w:szCs w:val="14"/>
                <w:lang w:eastAsia="es-CO"/>
              </w:rPr>
            </w:pPr>
            <w:r w:rsidRPr="00951AB1">
              <w:rPr>
                <w:rFonts w:eastAsia="Times New Roman" w:cs="Times New Roman"/>
                <w:b/>
                <w:bCs/>
                <w:color w:val="000000"/>
                <w:sz w:val="14"/>
                <w:szCs w:val="14"/>
                <w:lang w:eastAsia="es-CO"/>
              </w:rPr>
              <w:t xml:space="preserve">        810.381.884.665 </w:t>
            </w:r>
          </w:p>
        </w:tc>
      </w:tr>
      <w:tr w:rsidR="004078AD" w:rsidRPr="00951AB1" w14:paraId="70BD39B8" w14:textId="77777777" w:rsidTr="0071107B">
        <w:trPr>
          <w:trHeight w:val="612"/>
          <w:jc w:val="center"/>
        </w:trPr>
        <w:tc>
          <w:tcPr>
            <w:tcW w:w="437" w:type="pct"/>
            <w:noWrap/>
            <w:vAlign w:val="center"/>
            <w:hideMark/>
          </w:tcPr>
          <w:p w14:paraId="19812E1E" w14:textId="77777777" w:rsidR="004078AD" w:rsidRPr="00951AB1" w:rsidRDefault="004078AD" w:rsidP="000A5389">
            <w:pPr>
              <w:spacing w:line="240" w:lineRule="auto"/>
              <w:rPr>
                <w:rFonts w:eastAsia="Times New Roman" w:cs="Times New Roman"/>
                <w:color w:val="000000"/>
                <w:sz w:val="14"/>
                <w:szCs w:val="14"/>
                <w:lang w:eastAsia="es-CO"/>
              </w:rPr>
            </w:pPr>
            <w:r w:rsidRPr="00951AB1">
              <w:rPr>
                <w:rFonts w:eastAsia="Times New Roman" w:cs="Times New Roman"/>
                <w:color w:val="000000"/>
                <w:sz w:val="14"/>
                <w:szCs w:val="14"/>
                <w:lang w:eastAsia="es-CO"/>
              </w:rPr>
              <w:lastRenderedPageBreak/>
              <w:t>830059605</w:t>
            </w:r>
          </w:p>
        </w:tc>
        <w:tc>
          <w:tcPr>
            <w:tcW w:w="919" w:type="pct"/>
            <w:vAlign w:val="center"/>
            <w:hideMark/>
          </w:tcPr>
          <w:p w14:paraId="0BD30779" w14:textId="79A3CB16" w:rsidR="004078AD" w:rsidRPr="00951AB1" w:rsidRDefault="008515FA" w:rsidP="000A5389">
            <w:pPr>
              <w:spacing w:line="240" w:lineRule="auto"/>
              <w:rPr>
                <w:rFonts w:eastAsia="Times New Roman" w:cs="Times New Roman"/>
                <w:color w:val="000000"/>
                <w:sz w:val="14"/>
                <w:szCs w:val="14"/>
                <w:lang w:eastAsia="es-CO"/>
              </w:rPr>
            </w:pPr>
            <w:r w:rsidRPr="00951AB1">
              <w:rPr>
                <w:rFonts w:eastAsia="Times New Roman" w:cs="Times New Roman"/>
                <w:color w:val="000000"/>
                <w:sz w:val="14"/>
                <w:szCs w:val="14"/>
                <w:lang w:eastAsia="es-CO"/>
              </w:rPr>
              <w:t>Union Temporal Desarrollo Vial Del Valle Del Cauca Y Cauca</w:t>
            </w:r>
          </w:p>
        </w:tc>
        <w:tc>
          <w:tcPr>
            <w:tcW w:w="803" w:type="pct"/>
            <w:noWrap/>
            <w:vAlign w:val="center"/>
            <w:hideMark/>
          </w:tcPr>
          <w:p w14:paraId="39D266E1" w14:textId="6844C980" w:rsidR="004078AD" w:rsidRPr="00951AB1" w:rsidRDefault="004078AD" w:rsidP="000A5389">
            <w:pPr>
              <w:spacing w:line="240" w:lineRule="auto"/>
              <w:jc w:val="right"/>
              <w:rPr>
                <w:rFonts w:eastAsia="Times New Roman" w:cs="Times New Roman"/>
                <w:color w:val="000000"/>
                <w:sz w:val="14"/>
                <w:szCs w:val="14"/>
                <w:lang w:eastAsia="es-CO"/>
              </w:rPr>
            </w:pPr>
            <w:r w:rsidRPr="00951AB1">
              <w:rPr>
                <w:rFonts w:eastAsia="Times New Roman" w:cs="Times New Roman"/>
                <w:color w:val="000000"/>
                <w:sz w:val="14"/>
                <w:szCs w:val="14"/>
                <w:lang w:eastAsia="es-CO"/>
              </w:rPr>
              <w:t>795.752.941.128</w:t>
            </w:r>
          </w:p>
        </w:tc>
        <w:tc>
          <w:tcPr>
            <w:tcW w:w="799" w:type="pct"/>
            <w:noWrap/>
            <w:vAlign w:val="center"/>
            <w:hideMark/>
          </w:tcPr>
          <w:p w14:paraId="57C188DF" w14:textId="4A0F1500" w:rsidR="004078AD" w:rsidRPr="00951AB1" w:rsidRDefault="004078AD" w:rsidP="000A5389">
            <w:pPr>
              <w:spacing w:line="240" w:lineRule="auto"/>
              <w:jc w:val="right"/>
              <w:rPr>
                <w:rFonts w:eastAsia="Times New Roman" w:cs="Times New Roman"/>
                <w:color w:val="000000"/>
                <w:sz w:val="14"/>
                <w:szCs w:val="14"/>
                <w:lang w:eastAsia="es-CO"/>
              </w:rPr>
            </w:pPr>
            <w:r w:rsidRPr="00951AB1">
              <w:rPr>
                <w:rFonts w:eastAsia="Times New Roman" w:cs="Times New Roman"/>
                <w:color w:val="000000"/>
                <w:sz w:val="14"/>
                <w:szCs w:val="14"/>
                <w:lang w:eastAsia="es-CO"/>
              </w:rPr>
              <w:t>-</w:t>
            </w:r>
          </w:p>
        </w:tc>
        <w:tc>
          <w:tcPr>
            <w:tcW w:w="638" w:type="pct"/>
            <w:noWrap/>
            <w:vAlign w:val="center"/>
            <w:hideMark/>
          </w:tcPr>
          <w:p w14:paraId="36ACC9A0" w14:textId="2FBEF3D3" w:rsidR="004078AD" w:rsidRPr="00951AB1" w:rsidRDefault="004078AD" w:rsidP="000A5389">
            <w:pPr>
              <w:spacing w:line="240" w:lineRule="auto"/>
              <w:jc w:val="right"/>
              <w:rPr>
                <w:rFonts w:eastAsia="Times New Roman" w:cs="Times New Roman"/>
                <w:color w:val="000000"/>
                <w:sz w:val="14"/>
                <w:szCs w:val="14"/>
                <w:lang w:eastAsia="es-CO"/>
              </w:rPr>
            </w:pPr>
            <w:r w:rsidRPr="00951AB1">
              <w:rPr>
                <w:rFonts w:eastAsia="Times New Roman" w:cs="Times New Roman"/>
                <w:color w:val="000000"/>
                <w:sz w:val="14"/>
                <w:szCs w:val="14"/>
                <w:lang w:eastAsia="es-CO"/>
              </w:rPr>
              <w:t>-</w:t>
            </w:r>
          </w:p>
        </w:tc>
        <w:tc>
          <w:tcPr>
            <w:tcW w:w="638" w:type="pct"/>
            <w:noWrap/>
            <w:vAlign w:val="center"/>
            <w:hideMark/>
          </w:tcPr>
          <w:p w14:paraId="1DBFC735" w14:textId="7945D35A" w:rsidR="004078AD" w:rsidRPr="00951AB1" w:rsidRDefault="004078AD" w:rsidP="000A5389">
            <w:pPr>
              <w:spacing w:line="240" w:lineRule="auto"/>
              <w:jc w:val="right"/>
              <w:rPr>
                <w:rFonts w:eastAsia="Times New Roman" w:cs="Times New Roman"/>
                <w:color w:val="000000"/>
                <w:sz w:val="14"/>
                <w:szCs w:val="14"/>
                <w:lang w:eastAsia="es-CO"/>
              </w:rPr>
            </w:pPr>
            <w:r w:rsidRPr="00951AB1">
              <w:rPr>
                <w:rFonts w:eastAsia="Times New Roman" w:cs="Times New Roman"/>
                <w:color w:val="000000"/>
                <w:sz w:val="14"/>
                <w:szCs w:val="14"/>
                <w:lang w:eastAsia="es-CO"/>
              </w:rPr>
              <w:t>-</w:t>
            </w:r>
          </w:p>
        </w:tc>
        <w:tc>
          <w:tcPr>
            <w:tcW w:w="765" w:type="pct"/>
            <w:noWrap/>
            <w:vAlign w:val="center"/>
            <w:hideMark/>
          </w:tcPr>
          <w:p w14:paraId="614A0C0D" w14:textId="77777777" w:rsidR="004078AD" w:rsidRPr="00951AB1" w:rsidRDefault="004078AD" w:rsidP="000A5389">
            <w:pPr>
              <w:spacing w:line="240" w:lineRule="auto"/>
              <w:jc w:val="right"/>
              <w:rPr>
                <w:rFonts w:eastAsia="Times New Roman" w:cs="Times New Roman"/>
                <w:b/>
                <w:bCs/>
                <w:color w:val="000000"/>
                <w:sz w:val="14"/>
                <w:szCs w:val="14"/>
                <w:lang w:eastAsia="es-CO"/>
              </w:rPr>
            </w:pPr>
            <w:r w:rsidRPr="00951AB1">
              <w:rPr>
                <w:rFonts w:eastAsia="Times New Roman" w:cs="Times New Roman"/>
                <w:b/>
                <w:bCs/>
                <w:color w:val="000000"/>
                <w:sz w:val="14"/>
                <w:szCs w:val="14"/>
                <w:lang w:eastAsia="es-CO"/>
              </w:rPr>
              <w:t xml:space="preserve">        795.752.941.128 </w:t>
            </w:r>
          </w:p>
        </w:tc>
      </w:tr>
      <w:tr w:rsidR="004078AD" w:rsidRPr="00951AB1" w14:paraId="310BD0F0" w14:textId="77777777" w:rsidTr="0071107B">
        <w:trPr>
          <w:trHeight w:val="465"/>
          <w:jc w:val="center"/>
        </w:trPr>
        <w:tc>
          <w:tcPr>
            <w:tcW w:w="437" w:type="pct"/>
            <w:noWrap/>
            <w:vAlign w:val="center"/>
            <w:hideMark/>
          </w:tcPr>
          <w:p w14:paraId="265C305F" w14:textId="77777777" w:rsidR="004078AD" w:rsidRPr="00951AB1" w:rsidRDefault="004078AD" w:rsidP="000A5389">
            <w:pPr>
              <w:spacing w:line="240" w:lineRule="auto"/>
              <w:rPr>
                <w:rFonts w:eastAsia="Times New Roman" w:cs="Times New Roman"/>
                <w:color w:val="000000"/>
                <w:sz w:val="14"/>
                <w:szCs w:val="14"/>
                <w:lang w:eastAsia="es-CO"/>
              </w:rPr>
            </w:pPr>
            <w:r w:rsidRPr="00951AB1">
              <w:rPr>
                <w:rFonts w:eastAsia="Times New Roman" w:cs="Times New Roman"/>
                <w:color w:val="000000"/>
                <w:sz w:val="14"/>
                <w:szCs w:val="14"/>
                <w:lang w:eastAsia="es-CO"/>
              </w:rPr>
              <w:t>900330374</w:t>
            </w:r>
          </w:p>
        </w:tc>
        <w:tc>
          <w:tcPr>
            <w:tcW w:w="919" w:type="pct"/>
            <w:vAlign w:val="center"/>
            <w:hideMark/>
          </w:tcPr>
          <w:p w14:paraId="39B86EF9" w14:textId="3F6DC727" w:rsidR="004078AD" w:rsidRPr="00951AB1" w:rsidRDefault="008515FA" w:rsidP="000A5389">
            <w:pPr>
              <w:spacing w:line="240" w:lineRule="auto"/>
              <w:rPr>
                <w:rFonts w:eastAsia="Times New Roman" w:cs="Times New Roman"/>
                <w:color w:val="000000"/>
                <w:sz w:val="14"/>
                <w:szCs w:val="14"/>
                <w:lang w:eastAsia="es-CO"/>
              </w:rPr>
            </w:pPr>
            <w:r w:rsidRPr="00951AB1">
              <w:rPr>
                <w:rFonts w:eastAsia="Times New Roman" w:cs="Times New Roman"/>
                <w:color w:val="000000"/>
                <w:sz w:val="14"/>
                <w:szCs w:val="14"/>
                <w:lang w:eastAsia="es-CO"/>
              </w:rPr>
              <w:t>Consorcio Vial Helios</w:t>
            </w:r>
          </w:p>
        </w:tc>
        <w:tc>
          <w:tcPr>
            <w:tcW w:w="803" w:type="pct"/>
            <w:noWrap/>
            <w:vAlign w:val="center"/>
            <w:hideMark/>
          </w:tcPr>
          <w:p w14:paraId="738624B7" w14:textId="20ACCC33" w:rsidR="004078AD" w:rsidRPr="00951AB1" w:rsidRDefault="004078AD" w:rsidP="000A5389">
            <w:pPr>
              <w:spacing w:line="240" w:lineRule="auto"/>
              <w:jc w:val="right"/>
              <w:rPr>
                <w:rFonts w:eastAsia="Times New Roman" w:cs="Times New Roman"/>
                <w:color w:val="000000"/>
                <w:sz w:val="14"/>
                <w:szCs w:val="14"/>
                <w:lang w:eastAsia="es-CO"/>
              </w:rPr>
            </w:pPr>
            <w:r w:rsidRPr="00951AB1">
              <w:rPr>
                <w:rFonts w:eastAsia="Times New Roman" w:cs="Times New Roman"/>
                <w:color w:val="000000"/>
                <w:sz w:val="14"/>
                <w:szCs w:val="14"/>
                <w:lang w:eastAsia="es-CO"/>
              </w:rPr>
              <w:t>141.745.516.370</w:t>
            </w:r>
          </w:p>
        </w:tc>
        <w:tc>
          <w:tcPr>
            <w:tcW w:w="799" w:type="pct"/>
            <w:noWrap/>
            <w:vAlign w:val="center"/>
            <w:hideMark/>
          </w:tcPr>
          <w:p w14:paraId="7C3B6DA6" w14:textId="7415E952" w:rsidR="004078AD" w:rsidRPr="00951AB1" w:rsidRDefault="004078AD" w:rsidP="000A5389">
            <w:pPr>
              <w:spacing w:line="240" w:lineRule="auto"/>
              <w:jc w:val="right"/>
              <w:rPr>
                <w:rFonts w:eastAsia="Times New Roman" w:cs="Times New Roman"/>
                <w:color w:val="000000"/>
                <w:sz w:val="14"/>
                <w:szCs w:val="14"/>
                <w:lang w:eastAsia="es-CO"/>
              </w:rPr>
            </w:pPr>
            <w:r w:rsidRPr="00951AB1">
              <w:rPr>
                <w:rFonts w:eastAsia="Times New Roman" w:cs="Times New Roman"/>
                <w:color w:val="000000"/>
                <w:sz w:val="14"/>
                <w:szCs w:val="14"/>
                <w:lang w:eastAsia="es-CO"/>
              </w:rPr>
              <w:t>-</w:t>
            </w:r>
          </w:p>
        </w:tc>
        <w:tc>
          <w:tcPr>
            <w:tcW w:w="638" w:type="pct"/>
            <w:noWrap/>
            <w:vAlign w:val="center"/>
            <w:hideMark/>
          </w:tcPr>
          <w:p w14:paraId="0EEA6C2C" w14:textId="334C56A2" w:rsidR="004078AD" w:rsidRPr="00951AB1" w:rsidRDefault="004078AD" w:rsidP="000A5389">
            <w:pPr>
              <w:spacing w:line="240" w:lineRule="auto"/>
              <w:jc w:val="right"/>
              <w:rPr>
                <w:rFonts w:eastAsia="Times New Roman" w:cs="Times New Roman"/>
                <w:color w:val="000000"/>
                <w:sz w:val="14"/>
                <w:szCs w:val="14"/>
                <w:lang w:eastAsia="es-CO"/>
              </w:rPr>
            </w:pPr>
            <w:r w:rsidRPr="00951AB1">
              <w:rPr>
                <w:rFonts w:eastAsia="Times New Roman" w:cs="Times New Roman"/>
                <w:color w:val="000000"/>
                <w:sz w:val="14"/>
                <w:szCs w:val="14"/>
                <w:lang w:eastAsia="es-CO"/>
              </w:rPr>
              <w:t>-</w:t>
            </w:r>
          </w:p>
        </w:tc>
        <w:tc>
          <w:tcPr>
            <w:tcW w:w="638" w:type="pct"/>
            <w:noWrap/>
            <w:vAlign w:val="center"/>
            <w:hideMark/>
          </w:tcPr>
          <w:p w14:paraId="524498FE" w14:textId="57F14019" w:rsidR="004078AD" w:rsidRPr="00951AB1" w:rsidRDefault="004078AD" w:rsidP="000A5389">
            <w:pPr>
              <w:spacing w:line="240" w:lineRule="auto"/>
              <w:jc w:val="right"/>
              <w:rPr>
                <w:rFonts w:eastAsia="Times New Roman" w:cs="Times New Roman"/>
                <w:color w:val="000000"/>
                <w:sz w:val="14"/>
                <w:szCs w:val="14"/>
                <w:lang w:eastAsia="es-CO"/>
              </w:rPr>
            </w:pPr>
            <w:r w:rsidRPr="00951AB1">
              <w:rPr>
                <w:rFonts w:eastAsia="Times New Roman" w:cs="Times New Roman"/>
                <w:color w:val="000000"/>
                <w:sz w:val="14"/>
                <w:szCs w:val="14"/>
                <w:lang w:eastAsia="es-CO"/>
              </w:rPr>
              <w:t>16.812.643.777</w:t>
            </w:r>
          </w:p>
        </w:tc>
        <w:tc>
          <w:tcPr>
            <w:tcW w:w="765" w:type="pct"/>
            <w:noWrap/>
            <w:vAlign w:val="center"/>
            <w:hideMark/>
          </w:tcPr>
          <w:p w14:paraId="2CAE2D47" w14:textId="77777777" w:rsidR="004078AD" w:rsidRPr="00951AB1" w:rsidRDefault="004078AD" w:rsidP="000A5389">
            <w:pPr>
              <w:spacing w:line="240" w:lineRule="auto"/>
              <w:jc w:val="right"/>
              <w:rPr>
                <w:rFonts w:eastAsia="Times New Roman" w:cs="Times New Roman"/>
                <w:b/>
                <w:bCs/>
                <w:color w:val="000000"/>
                <w:sz w:val="14"/>
                <w:szCs w:val="14"/>
                <w:lang w:eastAsia="es-CO"/>
              </w:rPr>
            </w:pPr>
            <w:r w:rsidRPr="00951AB1">
              <w:rPr>
                <w:rFonts w:eastAsia="Times New Roman" w:cs="Times New Roman"/>
                <w:b/>
                <w:bCs/>
                <w:color w:val="000000"/>
                <w:sz w:val="14"/>
                <w:szCs w:val="14"/>
                <w:lang w:eastAsia="es-CO"/>
              </w:rPr>
              <w:t xml:space="preserve">        158.558.160.147 </w:t>
            </w:r>
          </w:p>
        </w:tc>
      </w:tr>
      <w:tr w:rsidR="004078AD" w:rsidRPr="00951AB1" w14:paraId="4456178B" w14:textId="77777777" w:rsidTr="0071107B">
        <w:trPr>
          <w:trHeight w:val="465"/>
          <w:jc w:val="center"/>
        </w:trPr>
        <w:tc>
          <w:tcPr>
            <w:tcW w:w="437" w:type="pct"/>
            <w:noWrap/>
            <w:vAlign w:val="center"/>
            <w:hideMark/>
          </w:tcPr>
          <w:p w14:paraId="2D5B605B" w14:textId="77777777" w:rsidR="004078AD" w:rsidRPr="00951AB1" w:rsidRDefault="004078AD" w:rsidP="000A5389">
            <w:pPr>
              <w:spacing w:line="240" w:lineRule="auto"/>
              <w:rPr>
                <w:rFonts w:eastAsia="Times New Roman" w:cs="Times New Roman"/>
                <w:color w:val="000000"/>
                <w:sz w:val="14"/>
                <w:szCs w:val="14"/>
                <w:lang w:eastAsia="es-CO"/>
              </w:rPr>
            </w:pPr>
            <w:r w:rsidRPr="00951AB1">
              <w:rPr>
                <w:rFonts w:eastAsia="Times New Roman" w:cs="Times New Roman"/>
                <w:color w:val="000000"/>
                <w:sz w:val="14"/>
                <w:szCs w:val="14"/>
                <w:lang w:eastAsia="es-CO"/>
              </w:rPr>
              <w:t>900920562</w:t>
            </w:r>
          </w:p>
        </w:tc>
        <w:tc>
          <w:tcPr>
            <w:tcW w:w="919" w:type="pct"/>
            <w:vAlign w:val="center"/>
            <w:hideMark/>
          </w:tcPr>
          <w:p w14:paraId="258C3C61" w14:textId="0332A199" w:rsidR="004078AD" w:rsidRPr="00951AB1" w:rsidRDefault="008515FA" w:rsidP="000A5389">
            <w:pPr>
              <w:spacing w:line="240" w:lineRule="auto"/>
              <w:rPr>
                <w:rFonts w:eastAsia="Times New Roman" w:cs="Times New Roman"/>
                <w:color w:val="000000"/>
                <w:sz w:val="14"/>
                <w:szCs w:val="14"/>
                <w:lang w:eastAsia="es-CO"/>
              </w:rPr>
            </w:pPr>
            <w:r w:rsidRPr="00951AB1">
              <w:rPr>
                <w:rFonts w:eastAsia="Times New Roman" w:cs="Times New Roman"/>
                <w:color w:val="000000"/>
                <w:sz w:val="14"/>
                <w:szCs w:val="14"/>
                <w:lang w:eastAsia="es-CO"/>
              </w:rPr>
              <w:t>Concesión vías Del Nus – Vinus S.A.S.</w:t>
            </w:r>
          </w:p>
        </w:tc>
        <w:tc>
          <w:tcPr>
            <w:tcW w:w="803" w:type="pct"/>
            <w:noWrap/>
            <w:vAlign w:val="center"/>
            <w:hideMark/>
          </w:tcPr>
          <w:p w14:paraId="0FF52D5B" w14:textId="69464287" w:rsidR="004078AD" w:rsidRPr="00951AB1" w:rsidRDefault="004078AD" w:rsidP="000A5389">
            <w:pPr>
              <w:spacing w:line="240" w:lineRule="auto"/>
              <w:jc w:val="right"/>
              <w:rPr>
                <w:rFonts w:eastAsia="Times New Roman" w:cs="Times New Roman"/>
                <w:color w:val="000000"/>
                <w:sz w:val="14"/>
                <w:szCs w:val="14"/>
                <w:lang w:eastAsia="es-CO"/>
              </w:rPr>
            </w:pPr>
            <w:r w:rsidRPr="00951AB1">
              <w:rPr>
                <w:rFonts w:eastAsia="Times New Roman" w:cs="Times New Roman"/>
                <w:color w:val="000000"/>
                <w:sz w:val="14"/>
                <w:szCs w:val="14"/>
                <w:lang w:eastAsia="es-CO"/>
              </w:rPr>
              <w:t>122.349.065.590</w:t>
            </w:r>
          </w:p>
        </w:tc>
        <w:tc>
          <w:tcPr>
            <w:tcW w:w="799" w:type="pct"/>
            <w:noWrap/>
            <w:vAlign w:val="center"/>
            <w:hideMark/>
          </w:tcPr>
          <w:p w14:paraId="4BD9C6E9" w14:textId="48C206C5" w:rsidR="004078AD" w:rsidRPr="00951AB1" w:rsidRDefault="004078AD" w:rsidP="000A5389">
            <w:pPr>
              <w:spacing w:line="240" w:lineRule="auto"/>
              <w:jc w:val="right"/>
              <w:rPr>
                <w:rFonts w:eastAsia="Times New Roman" w:cs="Times New Roman"/>
                <w:color w:val="000000"/>
                <w:sz w:val="14"/>
                <w:szCs w:val="14"/>
                <w:lang w:eastAsia="es-CO"/>
              </w:rPr>
            </w:pPr>
            <w:r w:rsidRPr="00951AB1">
              <w:rPr>
                <w:rFonts w:eastAsia="Times New Roman" w:cs="Times New Roman"/>
                <w:color w:val="000000"/>
                <w:sz w:val="14"/>
                <w:szCs w:val="14"/>
                <w:lang w:eastAsia="es-CO"/>
              </w:rPr>
              <w:t>-</w:t>
            </w:r>
          </w:p>
        </w:tc>
        <w:tc>
          <w:tcPr>
            <w:tcW w:w="638" w:type="pct"/>
            <w:noWrap/>
            <w:vAlign w:val="center"/>
            <w:hideMark/>
          </w:tcPr>
          <w:p w14:paraId="7CB0C417" w14:textId="176BF338" w:rsidR="004078AD" w:rsidRPr="00951AB1" w:rsidRDefault="004078AD" w:rsidP="000A5389">
            <w:pPr>
              <w:spacing w:line="240" w:lineRule="auto"/>
              <w:jc w:val="right"/>
              <w:rPr>
                <w:rFonts w:eastAsia="Times New Roman" w:cs="Times New Roman"/>
                <w:color w:val="000000"/>
                <w:sz w:val="14"/>
                <w:szCs w:val="14"/>
                <w:lang w:eastAsia="es-CO"/>
              </w:rPr>
            </w:pPr>
            <w:r w:rsidRPr="00951AB1">
              <w:rPr>
                <w:rFonts w:eastAsia="Times New Roman" w:cs="Times New Roman"/>
                <w:color w:val="000000"/>
                <w:sz w:val="14"/>
                <w:szCs w:val="14"/>
                <w:lang w:eastAsia="es-CO"/>
              </w:rPr>
              <w:t>1.765.600.000</w:t>
            </w:r>
          </w:p>
        </w:tc>
        <w:tc>
          <w:tcPr>
            <w:tcW w:w="638" w:type="pct"/>
            <w:noWrap/>
            <w:vAlign w:val="center"/>
            <w:hideMark/>
          </w:tcPr>
          <w:p w14:paraId="245F9254" w14:textId="1317647E" w:rsidR="004078AD" w:rsidRPr="00951AB1" w:rsidRDefault="004078AD" w:rsidP="000A5389">
            <w:pPr>
              <w:spacing w:line="240" w:lineRule="auto"/>
              <w:jc w:val="right"/>
              <w:rPr>
                <w:rFonts w:eastAsia="Times New Roman" w:cs="Times New Roman"/>
                <w:color w:val="000000"/>
                <w:sz w:val="14"/>
                <w:szCs w:val="14"/>
                <w:lang w:eastAsia="es-CO"/>
              </w:rPr>
            </w:pPr>
            <w:r w:rsidRPr="00951AB1">
              <w:rPr>
                <w:rFonts w:eastAsia="Times New Roman" w:cs="Times New Roman"/>
                <w:color w:val="000000"/>
                <w:sz w:val="14"/>
                <w:szCs w:val="14"/>
                <w:lang w:eastAsia="es-CO"/>
              </w:rPr>
              <w:t>5.009.371.069</w:t>
            </w:r>
          </w:p>
        </w:tc>
        <w:tc>
          <w:tcPr>
            <w:tcW w:w="765" w:type="pct"/>
            <w:noWrap/>
            <w:vAlign w:val="center"/>
            <w:hideMark/>
          </w:tcPr>
          <w:p w14:paraId="017D709E" w14:textId="77777777" w:rsidR="004078AD" w:rsidRPr="00951AB1" w:rsidRDefault="004078AD" w:rsidP="000A5389">
            <w:pPr>
              <w:spacing w:line="240" w:lineRule="auto"/>
              <w:jc w:val="right"/>
              <w:rPr>
                <w:rFonts w:eastAsia="Times New Roman" w:cs="Times New Roman"/>
                <w:b/>
                <w:bCs/>
                <w:color w:val="000000"/>
                <w:sz w:val="14"/>
                <w:szCs w:val="14"/>
                <w:lang w:eastAsia="es-CO"/>
              </w:rPr>
            </w:pPr>
            <w:r w:rsidRPr="00951AB1">
              <w:rPr>
                <w:rFonts w:eastAsia="Times New Roman" w:cs="Times New Roman"/>
                <w:b/>
                <w:bCs/>
                <w:color w:val="000000"/>
                <w:sz w:val="14"/>
                <w:szCs w:val="14"/>
                <w:lang w:eastAsia="es-CO"/>
              </w:rPr>
              <w:t xml:space="preserve">        129.124.036.659 </w:t>
            </w:r>
          </w:p>
        </w:tc>
      </w:tr>
      <w:tr w:rsidR="004078AD" w:rsidRPr="00951AB1" w14:paraId="0F476D25" w14:textId="77777777" w:rsidTr="0071107B">
        <w:trPr>
          <w:trHeight w:val="465"/>
          <w:jc w:val="center"/>
        </w:trPr>
        <w:tc>
          <w:tcPr>
            <w:tcW w:w="437" w:type="pct"/>
            <w:noWrap/>
            <w:vAlign w:val="center"/>
            <w:hideMark/>
          </w:tcPr>
          <w:p w14:paraId="35D2078A" w14:textId="77777777" w:rsidR="004078AD" w:rsidRPr="00951AB1" w:rsidRDefault="004078AD" w:rsidP="000A5389">
            <w:pPr>
              <w:spacing w:line="240" w:lineRule="auto"/>
              <w:rPr>
                <w:rFonts w:eastAsia="Times New Roman" w:cs="Times New Roman"/>
                <w:color w:val="000000"/>
                <w:sz w:val="14"/>
                <w:szCs w:val="14"/>
                <w:lang w:eastAsia="es-CO"/>
              </w:rPr>
            </w:pPr>
            <w:r w:rsidRPr="00951AB1">
              <w:rPr>
                <w:rFonts w:eastAsia="Times New Roman" w:cs="Times New Roman"/>
                <w:color w:val="000000"/>
                <w:sz w:val="14"/>
                <w:szCs w:val="14"/>
                <w:lang w:eastAsia="es-CO"/>
              </w:rPr>
              <w:t>901371481</w:t>
            </w:r>
          </w:p>
        </w:tc>
        <w:tc>
          <w:tcPr>
            <w:tcW w:w="919" w:type="pct"/>
            <w:vAlign w:val="center"/>
            <w:hideMark/>
          </w:tcPr>
          <w:p w14:paraId="5578087B" w14:textId="4AED6FEB" w:rsidR="004078AD" w:rsidRPr="00951AB1" w:rsidRDefault="008515FA" w:rsidP="000A5389">
            <w:pPr>
              <w:spacing w:line="240" w:lineRule="auto"/>
              <w:rPr>
                <w:rFonts w:eastAsia="Times New Roman" w:cs="Times New Roman"/>
                <w:color w:val="000000"/>
                <w:sz w:val="14"/>
                <w:szCs w:val="14"/>
                <w:lang w:eastAsia="es-CO"/>
              </w:rPr>
            </w:pPr>
            <w:r w:rsidRPr="00951AB1">
              <w:rPr>
                <w:rFonts w:eastAsia="Times New Roman" w:cs="Times New Roman"/>
                <w:color w:val="000000"/>
                <w:sz w:val="14"/>
                <w:szCs w:val="14"/>
                <w:lang w:eastAsia="es-CO"/>
              </w:rPr>
              <w:t>Bts Concesionario S.A.S.</w:t>
            </w:r>
          </w:p>
        </w:tc>
        <w:tc>
          <w:tcPr>
            <w:tcW w:w="803" w:type="pct"/>
            <w:noWrap/>
            <w:vAlign w:val="center"/>
            <w:hideMark/>
          </w:tcPr>
          <w:p w14:paraId="78EA3E3B" w14:textId="728290B4" w:rsidR="004078AD" w:rsidRPr="00951AB1" w:rsidRDefault="004078AD" w:rsidP="000A5389">
            <w:pPr>
              <w:spacing w:line="240" w:lineRule="auto"/>
              <w:jc w:val="right"/>
              <w:rPr>
                <w:rFonts w:eastAsia="Times New Roman" w:cs="Times New Roman"/>
                <w:color w:val="000000"/>
                <w:sz w:val="14"/>
                <w:szCs w:val="14"/>
                <w:lang w:eastAsia="es-CO"/>
              </w:rPr>
            </w:pPr>
            <w:r w:rsidRPr="00951AB1">
              <w:rPr>
                <w:rFonts w:eastAsia="Times New Roman" w:cs="Times New Roman"/>
                <w:color w:val="000000"/>
                <w:sz w:val="14"/>
                <w:szCs w:val="14"/>
                <w:lang w:eastAsia="es-CO"/>
              </w:rPr>
              <w:t>65.749.623.111</w:t>
            </w:r>
          </w:p>
        </w:tc>
        <w:tc>
          <w:tcPr>
            <w:tcW w:w="799" w:type="pct"/>
            <w:noWrap/>
            <w:vAlign w:val="center"/>
            <w:hideMark/>
          </w:tcPr>
          <w:p w14:paraId="4D625EAF" w14:textId="70134EA2" w:rsidR="004078AD" w:rsidRPr="00951AB1" w:rsidRDefault="004078AD" w:rsidP="000A5389">
            <w:pPr>
              <w:spacing w:line="240" w:lineRule="auto"/>
              <w:jc w:val="right"/>
              <w:rPr>
                <w:rFonts w:eastAsia="Times New Roman" w:cs="Times New Roman"/>
                <w:color w:val="000000"/>
                <w:sz w:val="14"/>
                <w:szCs w:val="14"/>
                <w:lang w:eastAsia="es-CO"/>
              </w:rPr>
            </w:pPr>
            <w:r w:rsidRPr="00951AB1">
              <w:rPr>
                <w:rFonts w:eastAsia="Times New Roman" w:cs="Times New Roman"/>
                <w:color w:val="000000"/>
                <w:sz w:val="14"/>
                <w:szCs w:val="14"/>
                <w:lang w:eastAsia="es-CO"/>
              </w:rPr>
              <w:t>57.837.055.196</w:t>
            </w:r>
          </w:p>
        </w:tc>
        <w:tc>
          <w:tcPr>
            <w:tcW w:w="638" w:type="pct"/>
            <w:noWrap/>
            <w:vAlign w:val="center"/>
            <w:hideMark/>
          </w:tcPr>
          <w:p w14:paraId="51D74626" w14:textId="72644894" w:rsidR="004078AD" w:rsidRPr="00951AB1" w:rsidRDefault="004078AD" w:rsidP="000A5389">
            <w:pPr>
              <w:spacing w:line="240" w:lineRule="auto"/>
              <w:jc w:val="right"/>
              <w:rPr>
                <w:rFonts w:eastAsia="Times New Roman" w:cs="Times New Roman"/>
                <w:color w:val="000000"/>
                <w:sz w:val="14"/>
                <w:szCs w:val="14"/>
                <w:lang w:eastAsia="es-CO"/>
              </w:rPr>
            </w:pPr>
            <w:r w:rsidRPr="00951AB1">
              <w:rPr>
                <w:rFonts w:eastAsia="Times New Roman" w:cs="Times New Roman"/>
                <w:color w:val="000000"/>
                <w:sz w:val="14"/>
                <w:szCs w:val="14"/>
                <w:lang w:eastAsia="es-CO"/>
              </w:rPr>
              <w:t>-</w:t>
            </w:r>
          </w:p>
        </w:tc>
        <w:tc>
          <w:tcPr>
            <w:tcW w:w="638" w:type="pct"/>
            <w:noWrap/>
            <w:vAlign w:val="center"/>
            <w:hideMark/>
          </w:tcPr>
          <w:p w14:paraId="4AAB1332" w14:textId="6E8B1E0C" w:rsidR="004078AD" w:rsidRPr="00951AB1" w:rsidRDefault="004078AD" w:rsidP="000A5389">
            <w:pPr>
              <w:spacing w:line="240" w:lineRule="auto"/>
              <w:jc w:val="right"/>
              <w:rPr>
                <w:rFonts w:eastAsia="Times New Roman" w:cs="Times New Roman"/>
                <w:color w:val="000000"/>
                <w:sz w:val="14"/>
                <w:szCs w:val="14"/>
                <w:lang w:eastAsia="es-CO"/>
              </w:rPr>
            </w:pPr>
            <w:r w:rsidRPr="00951AB1">
              <w:rPr>
                <w:rFonts w:eastAsia="Times New Roman" w:cs="Times New Roman"/>
                <w:color w:val="000000"/>
                <w:sz w:val="14"/>
                <w:szCs w:val="14"/>
                <w:lang w:eastAsia="es-CO"/>
              </w:rPr>
              <w:t>-</w:t>
            </w:r>
          </w:p>
        </w:tc>
        <w:tc>
          <w:tcPr>
            <w:tcW w:w="765" w:type="pct"/>
            <w:noWrap/>
            <w:vAlign w:val="center"/>
            <w:hideMark/>
          </w:tcPr>
          <w:p w14:paraId="200C3484" w14:textId="77777777" w:rsidR="004078AD" w:rsidRPr="00951AB1" w:rsidRDefault="004078AD" w:rsidP="000A5389">
            <w:pPr>
              <w:spacing w:line="240" w:lineRule="auto"/>
              <w:jc w:val="right"/>
              <w:rPr>
                <w:rFonts w:eastAsia="Times New Roman" w:cs="Times New Roman"/>
                <w:b/>
                <w:bCs/>
                <w:color w:val="000000"/>
                <w:sz w:val="14"/>
                <w:szCs w:val="14"/>
                <w:lang w:eastAsia="es-CO"/>
              </w:rPr>
            </w:pPr>
            <w:r w:rsidRPr="00951AB1">
              <w:rPr>
                <w:rFonts w:eastAsia="Times New Roman" w:cs="Times New Roman"/>
                <w:b/>
                <w:bCs/>
                <w:color w:val="000000"/>
                <w:sz w:val="14"/>
                <w:szCs w:val="14"/>
                <w:lang w:eastAsia="es-CO"/>
              </w:rPr>
              <w:t xml:space="preserve">        123.586.678.307 </w:t>
            </w:r>
          </w:p>
        </w:tc>
      </w:tr>
      <w:tr w:rsidR="004078AD" w:rsidRPr="00951AB1" w14:paraId="2F8E35C7" w14:textId="77777777" w:rsidTr="0071107B">
        <w:trPr>
          <w:trHeight w:val="465"/>
          <w:jc w:val="center"/>
        </w:trPr>
        <w:tc>
          <w:tcPr>
            <w:tcW w:w="437" w:type="pct"/>
            <w:noWrap/>
            <w:vAlign w:val="center"/>
            <w:hideMark/>
          </w:tcPr>
          <w:p w14:paraId="4232D8F7" w14:textId="77777777" w:rsidR="004078AD" w:rsidRPr="00951AB1" w:rsidRDefault="004078AD" w:rsidP="000A5389">
            <w:pPr>
              <w:spacing w:line="240" w:lineRule="auto"/>
              <w:rPr>
                <w:rFonts w:eastAsia="Times New Roman" w:cs="Times New Roman"/>
                <w:color w:val="000000"/>
                <w:sz w:val="14"/>
                <w:szCs w:val="14"/>
                <w:lang w:eastAsia="es-CO"/>
              </w:rPr>
            </w:pPr>
            <w:r w:rsidRPr="00951AB1">
              <w:rPr>
                <w:rFonts w:eastAsia="Times New Roman" w:cs="Times New Roman"/>
                <w:color w:val="000000"/>
                <w:sz w:val="14"/>
                <w:szCs w:val="14"/>
                <w:lang w:eastAsia="es-CO"/>
              </w:rPr>
              <w:t>900373092</w:t>
            </w:r>
          </w:p>
        </w:tc>
        <w:tc>
          <w:tcPr>
            <w:tcW w:w="919" w:type="pct"/>
            <w:vAlign w:val="center"/>
            <w:hideMark/>
          </w:tcPr>
          <w:p w14:paraId="33BA623C" w14:textId="40D21629" w:rsidR="004078AD" w:rsidRPr="00951AB1" w:rsidRDefault="008515FA" w:rsidP="000A5389">
            <w:pPr>
              <w:spacing w:line="240" w:lineRule="auto"/>
              <w:rPr>
                <w:rFonts w:eastAsia="Times New Roman" w:cs="Times New Roman"/>
                <w:color w:val="000000"/>
                <w:sz w:val="14"/>
                <w:szCs w:val="14"/>
                <w:lang w:eastAsia="es-CO"/>
              </w:rPr>
            </w:pPr>
            <w:r w:rsidRPr="00951AB1">
              <w:rPr>
                <w:rFonts w:eastAsia="Times New Roman" w:cs="Times New Roman"/>
                <w:color w:val="000000"/>
                <w:sz w:val="14"/>
                <w:szCs w:val="14"/>
                <w:lang w:eastAsia="es-CO"/>
              </w:rPr>
              <w:t>Yuma Concesionaria S A - En Reorganización</w:t>
            </w:r>
          </w:p>
        </w:tc>
        <w:tc>
          <w:tcPr>
            <w:tcW w:w="803" w:type="pct"/>
            <w:noWrap/>
            <w:vAlign w:val="center"/>
            <w:hideMark/>
          </w:tcPr>
          <w:p w14:paraId="10575DDC" w14:textId="6365F37E" w:rsidR="004078AD" w:rsidRPr="00951AB1" w:rsidRDefault="004078AD" w:rsidP="000A5389">
            <w:pPr>
              <w:spacing w:line="240" w:lineRule="auto"/>
              <w:jc w:val="right"/>
              <w:rPr>
                <w:rFonts w:eastAsia="Times New Roman" w:cs="Times New Roman"/>
                <w:color w:val="000000"/>
                <w:sz w:val="14"/>
                <w:szCs w:val="14"/>
                <w:lang w:eastAsia="es-CO"/>
              </w:rPr>
            </w:pPr>
            <w:r w:rsidRPr="00951AB1">
              <w:rPr>
                <w:rFonts w:eastAsia="Times New Roman" w:cs="Times New Roman"/>
                <w:color w:val="000000"/>
                <w:sz w:val="14"/>
                <w:szCs w:val="14"/>
                <w:lang w:eastAsia="es-CO"/>
              </w:rPr>
              <w:t>116.556.424.710</w:t>
            </w:r>
          </w:p>
        </w:tc>
        <w:tc>
          <w:tcPr>
            <w:tcW w:w="799" w:type="pct"/>
            <w:noWrap/>
            <w:vAlign w:val="center"/>
            <w:hideMark/>
          </w:tcPr>
          <w:p w14:paraId="02B86E08" w14:textId="0A9303FD" w:rsidR="004078AD" w:rsidRPr="00951AB1" w:rsidRDefault="004078AD" w:rsidP="000A5389">
            <w:pPr>
              <w:spacing w:line="240" w:lineRule="auto"/>
              <w:jc w:val="right"/>
              <w:rPr>
                <w:rFonts w:eastAsia="Times New Roman" w:cs="Times New Roman"/>
                <w:color w:val="000000"/>
                <w:sz w:val="14"/>
                <w:szCs w:val="14"/>
                <w:lang w:eastAsia="es-CO"/>
              </w:rPr>
            </w:pPr>
            <w:r w:rsidRPr="00951AB1">
              <w:rPr>
                <w:rFonts w:eastAsia="Times New Roman" w:cs="Times New Roman"/>
                <w:color w:val="000000"/>
                <w:sz w:val="14"/>
                <w:szCs w:val="14"/>
                <w:lang w:eastAsia="es-CO"/>
              </w:rPr>
              <w:t>-</w:t>
            </w:r>
          </w:p>
        </w:tc>
        <w:tc>
          <w:tcPr>
            <w:tcW w:w="638" w:type="pct"/>
            <w:noWrap/>
            <w:vAlign w:val="center"/>
            <w:hideMark/>
          </w:tcPr>
          <w:p w14:paraId="7861E9B7" w14:textId="322F70EA" w:rsidR="004078AD" w:rsidRPr="00951AB1" w:rsidRDefault="004078AD" w:rsidP="000A5389">
            <w:pPr>
              <w:spacing w:line="240" w:lineRule="auto"/>
              <w:jc w:val="right"/>
              <w:rPr>
                <w:rFonts w:eastAsia="Times New Roman" w:cs="Times New Roman"/>
                <w:color w:val="000000"/>
                <w:sz w:val="14"/>
                <w:szCs w:val="14"/>
                <w:lang w:eastAsia="es-CO"/>
              </w:rPr>
            </w:pPr>
            <w:r w:rsidRPr="00951AB1">
              <w:rPr>
                <w:rFonts w:eastAsia="Times New Roman" w:cs="Times New Roman"/>
                <w:color w:val="000000"/>
                <w:sz w:val="14"/>
                <w:szCs w:val="14"/>
                <w:lang w:eastAsia="es-CO"/>
              </w:rPr>
              <w:t>-</w:t>
            </w:r>
          </w:p>
        </w:tc>
        <w:tc>
          <w:tcPr>
            <w:tcW w:w="638" w:type="pct"/>
            <w:noWrap/>
            <w:vAlign w:val="center"/>
            <w:hideMark/>
          </w:tcPr>
          <w:p w14:paraId="5F501641" w14:textId="27A8AACA" w:rsidR="004078AD" w:rsidRPr="00951AB1" w:rsidRDefault="004078AD" w:rsidP="000A5389">
            <w:pPr>
              <w:spacing w:line="240" w:lineRule="auto"/>
              <w:jc w:val="right"/>
              <w:rPr>
                <w:rFonts w:eastAsia="Times New Roman" w:cs="Times New Roman"/>
                <w:color w:val="000000"/>
                <w:sz w:val="14"/>
                <w:szCs w:val="14"/>
                <w:lang w:eastAsia="es-CO"/>
              </w:rPr>
            </w:pPr>
            <w:r w:rsidRPr="00951AB1">
              <w:rPr>
                <w:rFonts w:eastAsia="Times New Roman" w:cs="Times New Roman"/>
                <w:color w:val="000000"/>
                <w:sz w:val="14"/>
                <w:szCs w:val="14"/>
                <w:lang w:eastAsia="es-CO"/>
              </w:rPr>
              <w:t>-</w:t>
            </w:r>
          </w:p>
        </w:tc>
        <w:tc>
          <w:tcPr>
            <w:tcW w:w="765" w:type="pct"/>
            <w:noWrap/>
            <w:vAlign w:val="center"/>
            <w:hideMark/>
          </w:tcPr>
          <w:p w14:paraId="1E72A770" w14:textId="77777777" w:rsidR="004078AD" w:rsidRPr="00951AB1" w:rsidRDefault="004078AD" w:rsidP="000A5389">
            <w:pPr>
              <w:spacing w:line="240" w:lineRule="auto"/>
              <w:jc w:val="right"/>
              <w:rPr>
                <w:rFonts w:eastAsia="Times New Roman" w:cs="Times New Roman"/>
                <w:b/>
                <w:bCs/>
                <w:color w:val="000000"/>
                <w:sz w:val="14"/>
                <w:szCs w:val="14"/>
                <w:lang w:eastAsia="es-CO"/>
              </w:rPr>
            </w:pPr>
            <w:r w:rsidRPr="00951AB1">
              <w:rPr>
                <w:rFonts w:eastAsia="Times New Roman" w:cs="Times New Roman"/>
                <w:b/>
                <w:bCs/>
                <w:color w:val="000000"/>
                <w:sz w:val="14"/>
                <w:szCs w:val="14"/>
                <w:lang w:eastAsia="es-CO"/>
              </w:rPr>
              <w:t xml:space="preserve">        116.556.424.710 </w:t>
            </w:r>
          </w:p>
        </w:tc>
      </w:tr>
      <w:tr w:rsidR="004078AD" w:rsidRPr="00951AB1" w14:paraId="09D9E06B" w14:textId="77777777" w:rsidTr="0071107B">
        <w:trPr>
          <w:trHeight w:val="465"/>
          <w:jc w:val="center"/>
        </w:trPr>
        <w:tc>
          <w:tcPr>
            <w:tcW w:w="437" w:type="pct"/>
            <w:noWrap/>
            <w:vAlign w:val="center"/>
            <w:hideMark/>
          </w:tcPr>
          <w:p w14:paraId="7DB1CEB5" w14:textId="77777777" w:rsidR="004078AD" w:rsidRPr="00951AB1" w:rsidRDefault="004078AD" w:rsidP="000A5389">
            <w:pPr>
              <w:spacing w:line="240" w:lineRule="auto"/>
              <w:rPr>
                <w:rFonts w:eastAsia="Times New Roman" w:cs="Times New Roman"/>
                <w:color w:val="000000"/>
                <w:sz w:val="14"/>
                <w:szCs w:val="14"/>
                <w:lang w:eastAsia="es-CO"/>
              </w:rPr>
            </w:pPr>
            <w:r w:rsidRPr="00951AB1">
              <w:rPr>
                <w:rFonts w:eastAsia="Times New Roman" w:cs="Times New Roman"/>
                <w:color w:val="000000"/>
                <w:sz w:val="14"/>
                <w:szCs w:val="14"/>
                <w:lang w:eastAsia="es-CO"/>
              </w:rPr>
              <w:t>800235872</w:t>
            </w:r>
          </w:p>
        </w:tc>
        <w:tc>
          <w:tcPr>
            <w:tcW w:w="919" w:type="pct"/>
            <w:vAlign w:val="center"/>
            <w:hideMark/>
          </w:tcPr>
          <w:p w14:paraId="2953F788" w14:textId="4E1D9151" w:rsidR="004078AD" w:rsidRPr="00951AB1" w:rsidRDefault="008515FA" w:rsidP="000A5389">
            <w:pPr>
              <w:spacing w:line="240" w:lineRule="auto"/>
              <w:rPr>
                <w:rFonts w:eastAsia="Times New Roman" w:cs="Times New Roman"/>
                <w:color w:val="000000"/>
                <w:sz w:val="14"/>
                <w:szCs w:val="14"/>
                <w:lang w:eastAsia="es-CO"/>
              </w:rPr>
            </w:pPr>
            <w:r w:rsidRPr="00951AB1">
              <w:rPr>
                <w:rFonts w:eastAsia="Times New Roman" w:cs="Times New Roman"/>
                <w:color w:val="000000"/>
                <w:sz w:val="14"/>
                <w:szCs w:val="14"/>
                <w:lang w:eastAsia="es-CO"/>
              </w:rPr>
              <w:t>Concesionaria Vial De Los Andes S.A.S. Coviandes S.A.S.</w:t>
            </w:r>
          </w:p>
        </w:tc>
        <w:tc>
          <w:tcPr>
            <w:tcW w:w="803" w:type="pct"/>
            <w:noWrap/>
            <w:vAlign w:val="center"/>
            <w:hideMark/>
          </w:tcPr>
          <w:p w14:paraId="154BE6F6" w14:textId="53962E54" w:rsidR="004078AD" w:rsidRPr="00951AB1" w:rsidRDefault="004078AD" w:rsidP="000A5389">
            <w:pPr>
              <w:spacing w:line="240" w:lineRule="auto"/>
              <w:jc w:val="right"/>
              <w:rPr>
                <w:rFonts w:eastAsia="Times New Roman" w:cs="Times New Roman"/>
                <w:color w:val="000000"/>
                <w:sz w:val="14"/>
                <w:szCs w:val="14"/>
                <w:lang w:eastAsia="es-CO"/>
              </w:rPr>
            </w:pPr>
            <w:r w:rsidRPr="00951AB1">
              <w:rPr>
                <w:rFonts w:eastAsia="Times New Roman" w:cs="Times New Roman"/>
                <w:color w:val="000000"/>
                <w:sz w:val="14"/>
                <w:szCs w:val="14"/>
                <w:lang w:eastAsia="es-CO"/>
              </w:rPr>
              <w:t>52.930.820.748</w:t>
            </w:r>
          </w:p>
        </w:tc>
        <w:tc>
          <w:tcPr>
            <w:tcW w:w="799" w:type="pct"/>
            <w:noWrap/>
            <w:vAlign w:val="center"/>
            <w:hideMark/>
          </w:tcPr>
          <w:p w14:paraId="1BE83AF2" w14:textId="594BF742" w:rsidR="004078AD" w:rsidRPr="00951AB1" w:rsidRDefault="004078AD" w:rsidP="000A5389">
            <w:pPr>
              <w:spacing w:line="240" w:lineRule="auto"/>
              <w:jc w:val="right"/>
              <w:rPr>
                <w:rFonts w:eastAsia="Times New Roman" w:cs="Times New Roman"/>
                <w:color w:val="000000"/>
                <w:sz w:val="14"/>
                <w:szCs w:val="14"/>
                <w:lang w:eastAsia="es-CO"/>
              </w:rPr>
            </w:pPr>
            <w:r w:rsidRPr="00951AB1">
              <w:rPr>
                <w:rFonts w:eastAsia="Times New Roman" w:cs="Times New Roman"/>
                <w:color w:val="000000"/>
                <w:sz w:val="14"/>
                <w:szCs w:val="14"/>
                <w:lang w:eastAsia="es-CO"/>
              </w:rPr>
              <w:t>17.045.148.405</w:t>
            </w:r>
          </w:p>
        </w:tc>
        <w:tc>
          <w:tcPr>
            <w:tcW w:w="638" w:type="pct"/>
            <w:noWrap/>
            <w:vAlign w:val="center"/>
            <w:hideMark/>
          </w:tcPr>
          <w:p w14:paraId="372A05A5" w14:textId="424E6A92" w:rsidR="004078AD" w:rsidRPr="00951AB1" w:rsidRDefault="004078AD" w:rsidP="000A5389">
            <w:pPr>
              <w:spacing w:line="240" w:lineRule="auto"/>
              <w:jc w:val="right"/>
              <w:rPr>
                <w:rFonts w:eastAsia="Times New Roman" w:cs="Times New Roman"/>
                <w:color w:val="000000"/>
                <w:sz w:val="14"/>
                <w:szCs w:val="14"/>
                <w:lang w:eastAsia="es-CO"/>
              </w:rPr>
            </w:pPr>
            <w:r w:rsidRPr="00951AB1">
              <w:rPr>
                <w:rFonts w:eastAsia="Times New Roman" w:cs="Times New Roman"/>
                <w:color w:val="000000"/>
                <w:sz w:val="14"/>
                <w:szCs w:val="14"/>
                <w:lang w:eastAsia="es-CO"/>
              </w:rPr>
              <w:t>-</w:t>
            </w:r>
          </w:p>
        </w:tc>
        <w:tc>
          <w:tcPr>
            <w:tcW w:w="638" w:type="pct"/>
            <w:noWrap/>
            <w:vAlign w:val="center"/>
            <w:hideMark/>
          </w:tcPr>
          <w:p w14:paraId="62275977" w14:textId="218AB434" w:rsidR="004078AD" w:rsidRPr="00951AB1" w:rsidRDefault="004078AD" w:rsidP="000A5389">
            <w:pPr>
              <w:spacing w:line="240" w:lineRule="auto"/>
              <w:jc w:val="right"/>
              <w:rPr>
                <w:rFonts w:eastAsia="Times New Roman" w:cs="Times New Roman"/>
                <w:color w:val="000000"/>
                <w:sz w:val="14"/>
                <w:szCs w:val="14"/>
                <w:lang w:eastAsia="es-CO"/>
              </w:rPr>
            </w:pPr>
            <w:r w:rsidRPr="00951AB1">
              <w:rPr>
                <w:rFonts w:eastAsia="Times New Roman" w:cs="Times New Roman"/>
                <w:color w:val="000000"/>
                <w:sz w:val="14"/>
                <w:szCs w:val="14"/>
                <w:lang w:eastAsia="es-CO"/>
              </w:rPr>
              <w:t>19.697.147.184</w:t>
            </w:r>
          </w:p>
        </w:tc>
        <w:tc>
          <w:tcPr>
            <w:tcW w:w="765" w:type="pct"/>
            <w:noWrap/>
            <w:vAlign w:val="center"/>
            <w:hideMark/>
          </w:tcPr>
          <w:p w14:paraId="1AA011DC" w14:textId="77777777" w:rsidR="004078AD" w:rsidRPr="00951AB1" w:rsidRDefault="004078AD" w:rsidP="000A5389">
            <w:pPr>
              <w:spacing w:line="240" w:lineRule="auto"/>
              <w:jc w:val="right"/>
              <w:rPr>
                <w:rFonts w:eastAsia="Times New Roman" w:cs="Times New Roman"/>
                <w:b/>
                <w:bCs/>
                <w:color w:val="000000"/>
                <w:sz w:val="14"/>
                <w:szCs w:val="14"/>
                <w:lang w:eastAsia="es-CO"/>
              </w:rPr>
            </w:pPr>
            <w:r w:rsidRPr="00951AB1">
              <w:rPr>
                <w:rFonts w:eastAsia="Times New Roman" w:cs="Times New Roman"/>
                <w:b/>
                <w:bCs/>
                <w:color w:val="000000"/>
                <w:sz w:val="14"/>
                <w:szCs w:val="14"/>
                <w:lang w:eastAsia="es-CO"/>
              </w:rPr>
              <w:t xml:space="preserve">          89.673.116.337 </w:t>
            </w:r>
          </w:p>
        </w:tc>
      </w:tr>
      <w:tr w:rsidR="004078AD" w:rsidRPr="00951AB1" w14:paraId="398CD04F" w14:textId="77777777" w:rsidTr="0071107B">
        <w:trPr>
          <w:trHeight w:val="465"/>
          <w:jc w:val="center"/>
        </w:trPr>
        <w:tc>
          <w:tcPr>
            <w:tcW w:w="437" w:type="pct"/>
            <w:noWrap/>
            <w:vAlign w:val="center"/>
            <w:hideMark/>
          </w:tcPr>
          <w:p w14:paraId="068324E4" w14:textId="77777777" w:rsidR="004078AD" w:rsidRPr="00951AB1" w:rsidRDefault="004078AD" w:rsidP="000A5389">
            <w:pPr>
              <w:spacing w:line="240" w:lineRule="auto"/>
              <w:rPr>
                <w:rFonts w:eastAsia="Times New Roman" w:cs="Times New Roman"/>
                <w:color w:val="000000"/>
                <w:sz w:val="14"/>
                <w:szCs w:val="14"/>
                <w:lang w:eastAsia="es-CO"/>
              </w:rPr>
            </w:pPr>
            <w:r w:rsidRPr="00951AB1">
              <w:rPr>
                <w:rFonts w:eastAsia="Times New Roman" w:cs="Times New Roman"/>
                <w:color w:val="000000"/>
                <w:sz w:val="14"/>
                <w:szCs w:val="14"/>
                <w:lang w:eastAsia="es-CO"/>
              </w:rPr>
              <w:t>800235278</w:t>
            </w:r>
          </w:p>
        </w:tc>
        <w:tc>
          <w:tcPr>
            <w:tcW w:w="919" w:type="pct"/>
            <w:vAlign w:val="center"/>
            <w:hideMark/>
          </w:tcPr>
          <w:p w14:paraId="702B0542" w14:textId="2E13D187" w:rsidR="004078AD" w:rsidRPr="00951AB1" w:rsidRDefault="008515FA" w:rsidP="000A5389">
            <w:pPr>
              <w:spacing w:line="240" w:lineRule="auto"/>
              <w:rPr>
                <w:rFonts w:eastAsia="Times New Roman" w:cs="Times New Roman"/>
                <w:color w:val="000000"/>
                <w:sz w:val="14"/>
                <w:szCs w:val="14"/>
                <w:lang w:eastAsia="es-CO"/>
              </w:rPr>
            </w:pPr>
            <w:r w:rsidRPr="00951AB1">
              <w:rPr>
                <w:rFonts w:eastAsia="Times New Roman" w:cs="Times New Roman"/>
                <w:color w:val="000000"/>
                <w:sz w:val="14"/>
                <w:szCs w:val="14"/>
                <w:lang w:eastAsia="es-CO"/>
              </w:rPr>
              <w:t>Concesión Santa Marta Paraguachon S.A.</w:t>
            </w:r>
          </w:p>
        </w:tc>
        <w:tc>
          <w:tcPr>
            <w:tcW w:w="803" w:type="pct"/>
            <w:noWrap/>
            <w:vAlign w:val="center"/>
            <w:hideMark/>
          </w:tcPr>
          <w:p w14:paraId="3D75AB4A" w14:textId="2248CB4F" w:rsidR="004078AD" w:rsidRPr="00951AB1" w:rsidRDefault="004078AD" w:rsidP="000A5389">
            <w:pPr>
              <w:spacing w:line="240" w:lineRule="auto"/>
              <w:jc w:val="right"/>
              <w:rPr>
                <w:rFonts w:eastAsia="Times New Roman" w:cs="Times New Roman"/>
                <w:color w:val="000000"/>
                <w:sz w:val="14"/>
                <w:szCs w:val="14"/>
                <w:lang w:eastAsia="es-CO"/>
              </w:rPr>
            </w:pPr>
            <w:r w:rsidRPr="00951AB1">
              <w:rPr>
                <w:rFonts w:eastAsia="Times New Roman" w:cs="Times New Roman"/>
                <w:color w:val="000000"/>
                <w:sz w:val="14"/>
                <w:szCs w:val="14"/>
                <w:lang w:eastAsia="es-CO"/>
              </w:rPr>
              <w:t>67.582.208.353</w:t>
            </w:r>
          </w:p>
        </w:tc>
        <w:tc>
          <w:tcPr>
            <w:tcW w:w="799" w:type="pct"/>
            <w:noWrap/>
            <w:vAlign w:val="center"/>
            <w:hideMark/>
          </w:tcPr>
          <w:p w14:paraId="66390887" w14:textId="57CF0BA2" w:rsidR="004078AD" w:rsidRPr="00951AB1" w:rsidRDefault="004078AD" w:rsidP="000A5389">
            <w:pPr>
              <w:spacing w:line="240" w:lineRule="auto"/>
              <w:jc w:val="right"/>
              <w:rPr>
                <w:rFonts w:eastAsia="Times New Roman" w:cs="Times New Roman"/>
                <w:color w:val="000000"/>
                <w:sz w:val="14"/>
                <w:szCs w:val="14"/>
                <w:lang w:eastAsia="es-CO"/>
              </w:rPr>
            </w:pPr>
            <w:r w:rsidRPr="00951AB1">
              <w:rPr>
                <w:rFonts w:eastAsia="Times New Roman" w:cs="Times New Roman"/>
                <w:color w:val="000000"/>
                <w:sz w:val="14"/>
                <w:szCs w:val="14"/>
                <w:lang w:eastAsia="es-CO"/>
              </w:rPr>
              <w:t>-</w:t>
            </w:r>
          </w:p>
        </w:tc>
        <w:tc>
          <w:tcPr>
            <w:tcW w:w="638" w:type="pct"/>
            <w:noWrap/>
            <w:vAlign w:val="center"/>
            <w:hideMark/>
          </w:tcPr>
          <w:p w14:paraId="35090A4C" w14:textId="10C3DD09" w:rsidR="004078AD" w:rsidRPr="00951AB1" w:rsidRDefault="004078AD" w:rsidP="000A5389">
            <w:pPr>
              <w:spacing w:line="240" w:lineRule="auto"/>
              <w:jc w:val="right"/>
              <w:rPr>
                <w:rFonts w:eastAsia="Times New Roman" w:cs="Times New Roman"/>
                <w:color w:val="000000"/>
                <w:sz w:val="14"/>
                <w:szCs w:val="14"/>
                <w:lang w:eastAsia="es-CO"/>
              </w:rPr>
            </w:pPr>
            <w:r w:rsidRPr="00951AB1">
              <w:rPr>
                <w:rFonts w:eastAsia="Times New Roman" w:cs="Times New Roman"/>
                <w:color w:val="000000"/>
                <w:sz w:val="14"/>
                <w:szCs w:val="14"/>
                <w:lang w:eastAsia="es-CO"/>
              </w:rPr>
              <w:t>-</w:t>
            </w:r>
          </w:p>
        </w:tc>
        <w:tc>
          <w:tcPr>
            <w:tcW w:w="638" w:type="pct"/>
            <w:noWrap/>
            <w:vAlign w:val="center"/>
            <w:hideMark/>
          </w:tcPr>
          <w:p w14:paraId="36DCC4A0" w14:textId="225C0ACF" w:rsidR="004078AD" w:rsidRPr="00951AB1" w:rsidRDefault="004078AD" w:rsidP="000A5389">
            <w:pPr>
              <w:spacing w:line="240" w:lineRule="auto"/>
              <w:jc w:val="right"/>
              <w:rPr>
                <w:rFonts w:eastAsia="Times New Roman" w:cs="Times New Roman"/>
                <w:color w:val="000000"/>
                <w:sz w:val="14"/>
                <w:szCs w:val="14"/>
                <w:lang w:eastAsia="es-CO"/>
              </w:rPr>
            </w:pPr>
            <w:r w:rsidRPr="00951AB1">
              <w:rPr>
                <w:rFonts w:eastAsia="Times New Roman" w:cs="Times New Roman"/>
                <w:color w:val="000000"/>
                <w:sz w:val="14"/>
                <w:szCs w:val="14"/>
                <w:lang w:eastAsia="es-CO"/>
              </w:rPr>
              <w:t>-</w:t>
            </w:r>
          </w:p>
        </w:tc>
        <w:tc>
          <w:tcPr>
            <w:tcW w:w="765" w:type="pct"/>
            <w:noWrap/>
            <w:vAlign w:val="center"/>
            <w:hideMark/>
          </w:tcPr>
          <w:p w14:paraId="4E6FFEBF" w14:textId="77777777" w:rsidR="004078AD" w:rsidRPr="00951AB1" w:rsidRDefault="004078AD" w:rsidP="000A5389">
            <w:pPr>
              <w:spacing w:line="240" w:lineRule="auto"/>
              <w:jc w:val="right"/>
              <w:rPr>
                <w:rFonts w:eastAsia="Times New Roman" w:cs="Times New Roman"/>
                <w:b/>
                <w:bCs/>
                <w:color w:val="000000"/>
                <w:sz w:val="14"/>
                <w:szCs w:val="14"/>
                <w:lang w:eastAsia="es-CO"/>
              </w:rPr>
            </w:pPr>
            <w:r w:rsidRPr="00951AB1">
              <w:rPr>
                <w:rFonts w:eastAsia="Times New Roman" w:cs="Times New Roman"/>
                <w:b/>
                <w:bCs/>
                <w:color w:val="000000"/>
                <w:sz w:val="14"/>
                <w:szCs w:val="14"/>
                <w:lang w:eastAsia="es-CO"/>
              </w:rPr>
              <w:t xml:space="preserve">          67.582.208.353 </w:t>
            </w:r>
          </w:p>
        </w:tc>
      </w:tr>
      <w:tr w:rsidR="004078AD" w:rsidRPr="00951AB1" w14:paraId="14CEA1CF" w14:textId="77777777" w:rsidTr="0071107B">
        <w:trPr>
          <w:trHeight w:val="465"/>
          <w:jc w:val="center"/>
        </w:trPr>
        <w:tc>
          <w:tcPr>
            <w:tcW w:w="437" w:type="pct"/>
            <w:noWrap/>
            <w:vAlign w:val="center"/>
            <w:hideMark/>
          </w:tcPr>
          <w:p w14:paraId="6A204841" w14:textId="77777777" w:rsidR="004078AD" w:rsidRPr="00951AB1" w:rsidRDefault="004078AD" w:rsidP="000A5389">
            <w:pPr>
              <w:spacing w:line="240" w:lineRule="auto"/>
              <w:rPr>
                <w:rFonts w:eastAsia="Times New Roman" w:cs="Times New Roman"/>
                <w:color w:val="000000"/>
                <w:sz w:val="14"/>
                <w:szCs w:val="14"/>
                <w:lang w:eastAsia="es-CO"/>
              </w:rPr>
            </w:pPr>
            <w:r w:rsidRPr="00951AB1">
              <w:rPr>
                <w:rFonts w:eastAsia="Times New Roman" w:cs="Times New Roman"/>
                <w:color w:val="000000"/>
                <w:sz w:val="14"/>
                <w:szCs w:val="14"/>
                <w:lang w:eastAsia="es-CO"/>
              </w:rPr>
              <w:t>900979054</w:t>
            </w:r>
          </w:p>
        </w:tc>
        <w:tc>
          <w:tcPr>
            <w:tcW w:w="919" w:type="pct"/>
            <w:vAlign w:val="center"/>
            <w:hideMark/>
          </w:tcPr>
          <w:p w14:paraId="7380D27B" w14:textId="28AF645F" w:rsidR="004078AD" w:rsidRPr="00951AB1" w:rsidRDefault="008515FA" w:rsidP="000A5389">
            <w:pPr>
              <w:spacing w:line="240" w:lineRule="auto"/>
              <w:rPr>
                <w:rFonts w:eastAsia="Times New Roman" w:cs="Times New Roman"/>
                <w:color w:val="000000"/>
                <w:sz w:val="14"/>
                <w:szCs w:val="14"/>
                <w:lang w:eastAsia="es-CO"/>
              </w:rPr>
            </w:pPr>
            <w:r w:rsidRPr="00951AB1">
              <w:rPr>
                <w:rFonts w:eastAsia="Times New Roman" w:cs="Times New Roman"/>
                <w:color w:val="000000"/>
                <w:sz w:val="14"/>
                <w:szCs w:val="14"/>
                <w:lang w:eastAsia="es-CO"/>
              </w:rPr>
              <w:t>Vía Pacifico S A S En Liquidación</w:t>
            </w:r>
          </w:p>
        </w:tc>
        <w:tc>
          <w:tcPr>
            <w:tcW w:w="803" w:type="pct"/>
            <w:noWrap/>
            <w:vAlign w:val="center"/>
            <w:hideMark/>
          </w:tcPr>
          <w:p w14:paraId="3017B5F7" w14:textId="0A143AF1" w:rsidR="004078AD" w:rsidRPr="00951AB1" w:rsidRDefault="004078AD" w:rsidP="000A5389">
            <w:pPr>
              <w:spacing w:line="240" w:lineRule="auto"/>
              <w:jc w:val="right"/>
              <w:rPr>
                <w:rFonts w:eastAsia="Times New Roman" w:cs="Times New Roman"/>
                <w:color w:val="000000"/>
                <w:sz w:val="14"/>
                <w:szCs w:val="14"/>
                <w:lang w:eastAsia="es-CO"/>
              </w:rPr>
            </w:pPr>
            <w:r w:rsidRPr="00951AB1">
              <w:rPr>
                <w:rFonts w:eastAsia="Times New Roman" w:cs="Times New Roman"/>
                <w:color w:val="000000"/>
                <w:sz w:val="14"/>
                <w:szCs w:val="14"/>
                <w:lang w:eastAsia="es-CO"/>
              </w:rPr>
              <w:t>60.365.934.801</w:t>
            </w:r>
          </w:p>
        </w:tc>
        <w:tc>
          <w:tcPr>
            <w:tcW w:w="799" w:type="pct"/>
            <w:noWrap/>
            <w:vAlign w:val="center"/>
            <w:hideMark/>
          </w:tcPr>
          <w:p w14:paraId="18AC932F" w14:textId="1350C19E" w:rsidR="004078AD" w:rsidRPr="00951AB1" w:rsidRDefault="004078AD" w:rsidP="000A5389">
            <w:pPr>
              <w:spacing w:line="240" w:lineRule="auto"/>
              <w:jc w:val="right"/>
              <w:rPr>
                <w:rFonts w:eastAsia="Times New Roman" w:cs="Times New Roman"/>
                <w:color w:val="000000"/>
                <w:sz w:val="14"/>
                <w:szCs w:val="14"/>
                <w:lang w:eastAsia="es-CO"/>
              </w:rPr>
            </w:pPr>
            <w:r w:rsidRPr="00951AB1">
              <w:rPr>
                <w:rFonts w:eastAsia="Times New Roman" w:cs="Times New Roman"/>
                <w:color w:val="000000"/>
                <w:sz w:val="14"/>
                <w:szCs w:val="14"/>
                <w:lang w:eastAsia="es-CO"/>
              </w:rPr>
              <w:t>-</w:t>
            </w:r>
          </w:p>
        </w:tc>
        <w:tc>
          <w:tcPr>
            <w:tcW w:w="638" w:type="pct"/>
            <w:noWrap/>
            <w:vAlign w:val="center"/>
            <w:hideMark/>
          </w:tcPr>
          <w:p w14:paraId="2F972C5F" w14:textId="0BC5F3C8" w:rsidR="004078AD" w:rsidRPr="00951AB1" w:rsidRDefault="004078AD" w:rsidP="000A5389">
            <w:pPr>
              <w:spacing w:line="240" w:lineRule="auto"/>
              <w:jc w:val="right"/>
              <w:rPr>
                <w:rFonts w:eastAsia="Times New Roman" w:cs="Times New Roman"/>
                <w:color w:val="000000"/>
                <w:sz w:val="14"/>
                <w:szCs w:val="14"/>
                <w:lang w:eastAsia="es-CO"/>
              </w:rPr>
            </w:pPr>
            <w:r w:rsidRPr="00951AB1">
              <w:rPr>
                <w:rFonts w:eastAsia="Times New Roman" w:cs="Times New Roman"/>
                <w:color w:val="000000"/>
                <w:sz w:val="14"/>
                <w:szCs w:val="14"/>
                <w:lang w:eastAsia="es-CO"/>
              </w:rPr>
              <w:t>-</w:t>
            </w:r>
          </w:p>
        </w:tc>
        <w:tc>
          <w:tcPr>
            <w:tcW w:w="638" w:type="pct"/>
            <w:noWrap/>
            <w:vAlign w:val="center"/>
            <w:hideMark/>
          </w:tcPr>
          <w:p w14:paraId="558DF820" w14:textId="19C343E6" w:rsidR="004078AD" w:rsidRPr="00951AB1" w:rsidRDefault="004078AD" w:rsidP="000A5389">
            <w:pPr>
              <w:spacing w:line="240" w:lineRule="auto"/>
              <w:jc w:val="right"/>
              <w:rPr>
                <w:rFonts w:eastAsia="Times New Roman" w:cs="Times New Roman"/>
                <w:color w:val="000000"/>
                <w:sz w:val="14"/>
                <w:szCs w:val="14"/>
                <w:lang w:eastAsia="es-CO"/>
              </w:rPr>
            </w:pPr>
            <w:r w:rsidRPr="00951AB1">
              <w:rPr>
                <w:rFonts w:eastAsia="Times New Roman" w:cs="Times New Roman"/>
                <w:color w:val="000000"/>
                <w:sz w:val="14"/>
                <w:szCs w:val="14"/>
                <w:lang w:eastAsia="es-CO"/>
              </w:rPr>
              <w:t>-</w:t>
            </w:r>
          </w:p>
        </w:tc>
        <w:tc>
          <w:tcPr>
            <w:tcW w:w="765" w:type="pct"/>
            <w:noWrap/>
            <w:vAlign w:val="center"/>
            <w:hideMark/>
          </w:tcPr>
          <w:p w14:paraId="4274C5A2" w14:textId="77777777" w:rsidR="004078AD" w:rsidRPr="00951AB1" w:rsidRDefault="004078AD" w:rsidP="000A5389">
            <w:pPr>
              <w:spacing w:line="240" w:lineRule="auto"/>
              <w:jc w:val="right"/>
              <w:rPr>
                <w:rFonts w:eastAsia="Times New Roman" w:cs="Times New Roman"/>
                <w:b/>
                <w:bCs/>
                <w:color w:val="000000"/>
                <w:sz w:val="14"/>
                <w:szCs w:val="14"/>
                <w:lang w:eastAsia="es-CO"/>
              </w:rPr>
            </w:pPr>
            <w:r w:rsidRPr="00951AB1">
              <w:rPr>
                <w:rFonts w:eastAsia="Times New Roman" w:cs="Times New Roman"/>
                <w:b/>
                <w:bCs/>
                <w:color w:val="000000"/>
                <w:sz w:val="14"/>
                <w:szCs w:val="14"/>
                <w:lang w:eastAsia="es-CO"/>
              </w:rPr>
              <w:t xml:space="preserve">          60.365.934.801 </w:t>
            </w:r>
          </w:p>
        </w:tc>
      </w:tr>
      <w:tr w:rsidR="004078AD" w:rsidRPr="00951AB1" w14:paraId="4F1D6362" w14:textId="77777777" w:rsidTr="0071107B">
        <w:trPr>
          <w:trHeight w:val="465"/>
          <w:jc w:val="center"/>
        </w:trPr>
        <w:tc>
          <w:tcPr>
            <w:tcW w:w="437" w:type="pct"/>
            <w:noWrap/>
            <w:vAlign w:val="center"/>
            <w:hideMark/>
          </w:tcPr>
          <w:p w14:paraId="56224064" w14:textId="77777777" w:rsidR="004078AD" w:rsidRPr="00951AB1" w:rsidRDefault="004078AD" w:rsidP="000A5389">
            <w:pPr>
              <w:spacing w:line="240" w:lineRule="auto"/>
              <w:rPr>
                <w:rFonts w:eastAsia="Times New Roman" w:cs="Times New Roman"/>
                <w:color w:val="000000"/>
                <w:sz w:val="14"/>
                <w:szCs w:val="14"/>
                <w:lang w:eastAsia="es-CO"/>
              </w:rPr>
            </w:pPr>
            <w:r w:rsidRPr="00951AB1">
              <w:rPr>
                <w:rFonts w:eastAsia="Times New Roman" w:cs="Times New Roman"/>
                <w:color w:val="000000"/>
                <w:sz w:val="14"/>
                <w:szCs w:val="14"/>
                <w:lang w:eastAsia="es-CO"/>
              </w:rPr>
              <w:t>900740893</w:t>
            </w:r>
          </w:p>
        </w:tc>
        <w:tc>
          <w:tcPr>
            <w:tcW w:w="919" w:type="pct"/>
            <w:vAlign w:val="center"/>
            <w:hideMark/>
          </w:tcPr>
          <w:p w14:paraId="7B0D0D06" w14:textId="005D974C" w:rsidR="004078AD" w:rsidRPr="00951AB1" w:rsidRDefault="008515FA" w:rsidP="000A5389">
            <w:pPr>
              <w:spacing w:line="240" w:lineRule="auto"/>
              <w:rPr>
                <w:rFonts w:eastAsia="Times New Roman" w:cs="Times New Roman"/>
                <w:color w:val="000000"/>
                <w:sz w:val="14"/>
                <w:szCs w:val="14"/>
                <w:lang w:eastAsia="es-CO"/>
              </w:rPr>
            </w:pPr>
            <w:r w:rsidRPr="00951AB1">
              <w:rPr>
                <w:rFonts w:eastAsia="Times New Roman" w:cs="Times New Roman"/>
                <w:color w:val="000000"/>
                <w:sz w:val="14"/>
                <w:szCs w:val="14"/>
                <w:lang w:eastAsia="es-CO"/>
              </w:rPr>
              <w:t>Concesión La Pintada S.A.S.</w:t>
            </w:r>
          </w:p>
        </w:tc>
        <w:tc>
          <w:tcPr>
            <w:tcW w:w="803" w:type="pct"/>
            <w:noWrap/>
            <w:vAlign w:val="center"/>
            <w:hideMark/>
          </w:tcPr>
          <w:p w14:paraId="3EB99112" w14:textId="4BAF7CDA" w:rsidR="004078AD" w:rsidRPr="00951AB1" w:rsidRDefault="004078AD" w:rsidP="000A5389">
            <w:pPr>
              <w:spacing w:line="240" w:lineRule="auto"/>
              <w:jc w:val="right"/>
              <w:rPr>
                <w:rFonts w:eastAsia="Times New Roman" w:cs="Times New Roman"/>
                <w:color w:val="000000"/>
                <w:sz w:val="14"/>
                <w:szCs w:val="14"/>
                <w:lang w:eastAsia="es-CO"/>
              </w:rPr>
            </w:pPr>
            <w:r w:rsidRPr="00951AB1">
              <w:rPr>
                <w:rFonts w:eastAsia="Times New Roman" w:cs="Times New Roman"/>
                <w:color w:val="000000"/>
                <w:sz w:val="14"/>
                <w:szCs w:val="14"/>
                <w:lang w:eastAsia="es-CO"/>
              </w:rPr>
              <w:t>43.018.638.314</w:t>
            </w:r>
          </w:p>
        </w:tc>
        <w:tc>
          <w:tcPr>
            <w:tcW w:w="799" w:type="pct"/>
            <w:noWrap/>
            <w:vAlign w:val="center"/>
            <w:hideMark/>
          </w:tcPr>
          <w:p w14:paraId="6FFF3CF9" w14:textId="56B4284C" w:rsidR="004078AD" w:rsidRPr="00951AB1" w:rsidRDefault="004078AD" w:rsidP="000A5389">
            <w:pPr>
              <w:spacing w:line="240" w:lineRule="auto"/>
              <w:jc w:val="right"/>
              <w:rPr>
                <w:rFonts w:eastAsia="Times New Roman" w:cs="Times New Roman"/>
                <w:color w:val="000000"/>
                <w:sz w:val="14"/>
                <w:szCs w:val="14"/>
                <w:lang w:eastAsia="es-CO"/>
              </w:rPr>
            </w:pPr>
            <w:r w:rsidRPr="00951AB1">
              <w:rPr>
                <w:rFonts w:eastAsia="Times New Roman" w:cs="Times New Roman"/>
                <w:color w:val="000000"/>
                <w:sz w:val="14"/>
                <w:szCs w:val="14"/>
                <w:lang w:eastAsia="es-CO"/>
              </w:rPr>
              <w:t>11.977.373.080</w:t>
            </w:r>
          </w:p>
        </w:tc>
        <w:tc>
          <w:tcPr>
            <w:tcW w:w="638" w:type="pct"/>
            <w:noWrap/>
            <w:vAlign w:val="center"/>
            <w:hideMark/>
          </w:tcPr>
          <w:p w14:paraId="2DD309B4" w14:textId="46792A4B" w:rsidR="004078AD" w:rsidRPr="00951AB1" w:rsidRDefault="004078AD" w:rsidP="000A5389">
            <w:pPr>
              <w:spacing w:line="240" w:lineRule="auto"/>
              <w:jc w:val="right"/>
              <w:rPr>
                <w:rFonts w:eastAsia="Times New Roman" w:cs="Times New Roman"/>
                <w:color w:val="000000"/>
                <w:sz w:val="14"/>
                <w:szCs w:val="14"/>
                <w:lang w:eastAsia="es-CO"/>
              </w:rPr>
            </w:pPr>
            <w:r w:rsidRPr="00951AB1">
              <w:rPr>
                <w:rFonts w:eastAsia="Times New Roman" w:cs="Times New Roman"/>
                <w:color w:val="000000"/>
                <w:sz w:val="14"/>
                <w:szCs w:val="14"/>
                <w:lang w:eastAsia="es-CO"/>
              </w:rPr>
              <w:t>-</w:t>
            </w:r>
          </w:p>
        </w:tc>
        <w:tc>
          <w:tcPr>
            <w:tcW w:w="638" w:type="pct"/>
            <w:noWrap/>
            <w:vAlign w:val="center"/>
            <w:hideMark/>
          </w:tcPr>
          <w:p w14:paraId="142811F0" w14:textId="7107984E" w:rsidR="004078AD" w:rsidRPr="00951AB1" w:rsidRDefault="004078AD" w:rsidP="000A5389">
            <w:pPr>
              <w:spacing w:line="240" w:lineRule="auto"/>
              <w:jc w:val="right"/>
              <w:rPr>
                <w:rFonts w:eastAsia="Times New Roman" w:cs="Times New Roman"/>
                <w:color w:val="000000"/>
                <w:sz w:val="14"/>
                <w:szCs w:val="14"/>
                <w:lang w:eastAsia="es-CO"/>
              </w:rPr>
            </w:pPr>
            <w:r w:rsidRPr="00951AB1">
              <w:rPr>
                <w:rFonts w:eastAsia="Times New Roman" w:cs="Times New Roman"/>
                <w:color w:val="000000"/>
                <w:sz w:val="14"/>
                <w:szCs w:val="14"/>
                <w:lang w:eastAsia="es-CO"/>
              </w:rPr>
              <w:t>-</w:t>
            </w:r>
          </w:p>
        </w:tc>
        <w:tc>
          <w:tcPr>
            <w:tcW w:w="765" w:type="pct"/>
            <w:noWrap/>
            <w:vAlign w:val="center"/>
            <w:hideMark/>
          </w:tcPr>
          <w:p w14:paraId="6044EBF8" w14:textId="77777777" w:rsidR="004078AD" w:rsidRPr="00951AB1" w:rsidRDefault="004078AD" w:rsidP="000A5389">
            <w:pPr>
              <w:spacing w:line="240" w:lineRule="auto"/>
              <w:jc w:val="right"/>
              <w:rPr>
                <w:rFonts w:eastAsia="Times New Roman" w:cs="Times New Roman"/>
                <w:b/>
                <w:bCs/>
                <w:color w:val="000000"/>
                <w:sz w:val="14"/>
                <w:szCs w:val="14"/>
                <w:lang w:eastAsia="es-CO"/>
              </w:rPr>
            </w:pPr>
            <w:r w:rsidRPr="00951AB1">
              <w:rPr>
                <w:rFonts w:eastAsia="Times New Roman" w:cs="Times New Roman"/>
                <w:b/>
                <w:bCs/>
                <w:color w:val="000000"/>
                <w:sz w:val="14"/>
                <w:szCs w:val="14"/>
                <w:lang w:eastAsia="es-CO"/>
              </w:rPr>
              <w:t xml:space="preserve">          54.996.011.394 </w:t>
            </w:r>
          </w:p>
        </w:tc>
      </w:tr>
      <w:tr w:rsidR="004078AD" w:rsidRPr="00951AB1" w14:paraId="63440785" w14:textId="77777777" w:rsidTr="0071107B">
        <w:trPr>
          <w:trHeight w:val="274"/>
          <w:jc w:val="center"/>
        </w:trPr>
        <w:tc>
          <w:tcPr>
            <w:tcW w:w="437" w:type="pct"/>
            <w:noWrap/>
            <w:vAlign w:val="center"/>
            <w:hideMark/>
          </w:tcPr>
          <w:p w14:paraId="357A7BB9" w14:textId="77777777" w:rsidR="004078AD" w:rsidRPr="00951AB1" w:rsidRDefault="004078AD" w:rsidP="000A5389">
            <w:pPr>
              <w:spacing w:line="240" w:lineRule="auto"/>
              <w:rPr>
                <w:rFonts w:eastAsia="Times New Roman" w:cs="Times New Roman"/>
                <w:color w:val="000000"/>
                <w:sz w:val="14"/>
                <w:szCs w:val="14"/>
                <w:lang w:eastAsia="es-CO"/>
              </w:rPr>
            </w:pPr>
            <w:r w:rsidRPr="00951AB1">
              <w:rPr>
                <w:rFonts w:eastAsia="Times New Roman" w:cs="Times New Roman"/>
                <w:color w:val="000000"/>
                <w:sz w:val="14"/>
                <w:szCs w:val="14"/>
                <w:lang w:eastAsia="es-CO"/>
              </w:rPr>
              <w:t>900164310</w:t>
            </w:r>
          </w:p>
        </w:tc>
        <w:tc>
          <w:tcPr>
            <w:tcW w:w="919" w:type="pct"/>
            <w:vAlign w:val="center"/>
            <w:hideMark/>
          </w:tcPr>
          <w:p w14:paraId="36E928DF" w14:textId="19F12D4D" w:rsidR="004078AD" w:rsidRPr="00951AB1" w:rsidRDefault="008515FA" w:rsidP="000A5389">
            <w:pPr>
              <w:spacing w:line="240" w:lineRule="auto"/>
              <w:rPr>
                <w:rFonts w:eastAsia="Times New Roman" w:cs="Times New Roman"/>
                <w:color w:val="000000"/>
                <w:sz w:val="14"/>
                <w:szCs w:val="14"/>
                <w:lang w:eastAsia="es-CO"/>
              </w:rPr>
            </w:pPr>
            <w:r w:rsidRPr="00951AB1">
              <w:rPr>
                <w:rFonts w:eastAsia="Times New Roman" w:cs="Times New Roman"/>
                <w:color w:val="000000"/>
                <w:sz w:val="14"/>
                <w:szCs w:val="14"/>
                <w:lang w:eastAsia="es-CO"/>
              </w:rPr>
              <w:t>Concesionaria San Rafael S.S.</w:t>
            </w:r>
          </w:p>
        </w:tc>
        <w:tc>
          <w:tcPr>
            <w:tcW w:w="803" w:type="pct"/>
            <w:noWrap/>
            <w:vAlign w:val="center"/>
            <w:hideMark/>
          </w:tcPr>
          <w:p w14:paraId="29D1C37D" w14:textId="5149EF67" w:rsidR="004078AD" w:rsidRPr="00951AB1" w:rsidRDefault="004078AD" w:rsidP="000A5389">
            <w:pPr>
              <w:spacing w:line="240" w:lineRule="auto"/>
              <w:jc w:val="right"/>
              <w:rPr>
                <w:rFonts w:eastAsia="Times New Roman" w:cs="Times New Roman"/>
                <w:color w:val="000000"/>
                <w:sz w:val="14"/>
                <w:szCs w:val="14"/>
                <w:lang w:eastAsia="es-CO"/>
              </w:rPr>
            </w:pPr>
            <w:r w:rsidRPr="00951AB1">
              <w:rPr>
                <w:rFonts w:eastAsia="Times New Roman" w:cs="Times New Roman"/>
                <w:color w:val="000000"/>
                <w:sz w:val="14"/>
                <w:szCs w:val="14"/>
                <w:lang w:eastAsia="es-CO"/>
              </w:rPr>
              <w:t>39.140.096.257</w:t>
            </w:r>
          </w:p>
        </w:tc>
        <w:tc>
          <w:tcPr>
            <w:tcW w:w="799" w:type="pct"/>
            <w:noWrap/>
            <w:vAlign w:val="center"/>
            <w:hideMark/>
          </w:tcPr>
          <w:p w14:paraId="6F454908" w14:textId="4A3D0774" w:rsidR="004078AD" w:rsidRPr="00951AB1" w:rsidRDefault="004078AD" w:rsidP="000A5389">
            <w:pPr>
              <w:spacing w:line="240" w:lineRule="auto"/>
              <w:jc w:val="right"/>
              <w:rPr>
                <w:rFonts w:eastAsia="Times New Roman" w:cs="Times New Roman"/>
                <w:color w:val="000000"/>
                <w:sz w:val="14"/>
                <w:szCs w:val="14"/>
                <w:lang w:eastAsia="es-CO"/>
              </w:rPr>
            </w:pPr>
            <w:r w:rsidRPr="00951AB1">
              <w:rPr>
                <w:rFonts w:eastAsia="Times New Roman" w:cs="Times New Roman"/>
                <w:color w:val="000000"/>
                <w:sz w:val="14"/>
                <w:szCs w:val="14"/>
                <w:lang w:eastAsia="es-CO"/>
              </w:rPr>
              <w:t>-</w:t>
            </w:r>
          </w:p>
        </w:tc>
        <w:tc>
          <w:tcPr>
            <w:tcW w:w="638" w:type="pct"/>
            <w:noWrap/>
            <w:vAlign w:val="center"/>
            <w:hideMark/>
          </w:tcPr>
          <w:p w14:paraId="500FA1B4" w14:textId="0597F775" w:rsidR="004078AD" w:rsidRPr="00951AB1" w:rsidRDefault="004078AD" w:rsidP="000A5389">
            <w:pPr>
              <w:spacing w:line="240" w:lineRule="auto"/>
              <w:jc w:val="right"/>
              <w:rPr>
                <w:rFonts w:eastAsia="Times New Roman" w:cs="Times New Roman"/>
                <w:color w:val="000000"/>
                <w:sz w:val="14"/>
                <w:szCs w:val="14"/>
                <w:lang w:eastAsia="es-CO"/>
              </w:rPr>
            </w:pPr>
            <w:r w:rsidRPr="00951AB1">
              <w:rPr>
                <w:rFonts w:eastAsia="Times New Roman" w:cs="Times New Roman"/>
                <w:color w:val="000000"/>
                <w:sz w:val="14"/>
                <w:szCs w:val="14"/>
                <w:lang w:eastAsia="es-CO"/>
              </w:rPr>
              <w:t>-</w:t>
            </w:r>
          </w:p>
        </w:tc>
        <w:tc>
          <w:tcPr>
            <w:tcW w:w="638" w:type="pct"/>
            <w:noWrap/>
            <w:vAlign w:val="center"/>
            <w:hideMark/>
          </w:tcPr>
          <w:p w14:paraId="02BB6284" w14:textId="19D948FE" w:rsidR="004078AD" w:rsidRPr="00951AB1" w:rsidRDefault="004078AD" w:rsidP="000A5389">
            <w:pPr>
              <w:spacing w:line="240" w:lineRule="auto"/>
              <w:jc w:val="right"/>
              <w:rPr>
                <w:rFonts w:eastAsia="Times New Roman" w:cs="Times New Roman"/>
                <w:color w:val="000000"/>
                <w:sz w:val="14"/>
                <w:szCs w:val="14"/>
                <w:lang w:eastAsia="es-CO"/>
              </w:rPr>
            </w:pPr>
            <w:r w:rsidRPr="00951AB1">
              <w:rPr>
                <w:rFonts w:eastAsia="Times New Roman" w:cs="Times New Roman"/>
                <w:color w:val="000000"/>
                <w:sz w:val="14"/>
                <w:szCs w:val="14"/>
                <w:lang w:eastAsia="es-CO"/>
              </w:rPr>
              <w:t>5.947.057.483</w:t>
            </w:r>
          </w:p>
        </w:tc>
        <w:tc>
          <w:tcPr>
            <w:tcW w:w="765" w:type="pct"/>
            <w:noWrap/>
            <w:vAlign w:val="center"/>
            <w:hideMark/>
          </w:tcPr>
          <w:p w14:paraId="69BF198C" w14:textId="77777777" w:rsidR="004078AD" w:rsidRPr="00951AB1" w:rsidRDefault="004078AD" w:rsidP="000A5389">
            <w:pPr>
              <w:spacing w:line="240" w:lineRule="auto"/>
              <w:jc w:val="right"/>
              <w:rPr>
                <w:rFonts w:eastAsia="Times New Roman" w:cs="Times New Roman"/>
                <w:b/>
                <w:bCs/>
                <w:color w:val="000000"/>
                <w:sz w:val="14"/>
                <w:szCs w:val="14"/>
                <w:lang w:eastAsia="es-CO"/>
              </w:rPr>
            </w:pPr>
            <w:r w:rsidRPr="00951AB1">
              <w:rPr>
                <w:rFonts w:eastAsia="Times New Roman" w:cs="Times New Roman"/>
                <w:b/>
                <w:bCs/>
                <w:color w:val="000000"/>
                <w:sz w:val="14"/>
                <w:szCs w:val="14"/>
                <w:lang w:eastAsia="es-CO"/>
              </w:rPr>
              <w:t xml:space="preserve">          45.087.153.740 </w:t>
            </w:r>
          </w:p>
        </w:tc>
      </w:tr>
      <w:tr w:rsidR="004078AD" w:rsidRPr="00951AB1" w14:paraId="796A28AA" w14:textId="77777777" w:rsidTr="0071107B">
        <w:trPr>
          <w:trHeight w:val="465"/>
          <w:jc w:val="center"/>
        </w:trPr>
        <w:tc>
          <w:tcPr>
            <w:tcW w:w="437" w:type="pct"/>
            <w:noWrap/>
            <w:vAlign w:val="center"/>
            <w:hideMark/>
          </w:tcPr>
          <w:p w14:paraId="43E16D3B" w14:textId="77777777" w:rsidR="004078AD" w:rsidRPr="00951AB1" w:rsidRDefault="004078AD" w:rsidP="000A5389">
            <w:pPr>
              <w:spacing w:line="240" w:lineRule="auto"/>
              <w:rPr>
                <w:rFonts w:eastAsia="Times New Roman" w:cs="Times New Roman"/>
                <w:color w:val="000000"/>
                <w:sz w:val="14"/>
                <w:szCs w:val="14"/>
                <w:lang w:eastAsia="es-CO"/>
              </w:rPr>
            </w:pPr>
            <w:r w:rsidRPr="00951AB1">
              <w:rPr>
                <w:rFonts w:eastAsia="Times New Roman" w:cs="Times New Roman"/>
                <w:color w:val="000000"/>
                <w:sz w:val="14"/>
                <w:szCs w:val="14"/>
                <w:lang w:eastAsia="es-CO"/>
              </w:rPr>
              <w:t>900871368</w:t>
            </w:r>
          </w:p>
        </w:tc>
        <w:tc>
          <w:tcPr>
            <w:tcW w:w="919" w:type="pct"/>
            <w:vAlign w:val="center"/>
            <w:hideMark/>
          </w:tcPr>
          <w:p w14:paraId="3A284A33" w14:textId="0FD3E5CF" w:rsidR="004078AD" w:rsidRPr="00951AB1" w:rsidRDefault="008515FA" w:rsidP="000A5389">
            <w:pPr>
              <w:spacing w:line="240" w:lineRule="auto"/>
              <w:rPr>
                <w:rFonts w:eastAsia="Times New Roman" w:cs="Times New Roman"/>
                <w:color w:val="000000"/>
                <w:sz w:val="14"/>
                <w:szCs w:val="14"/>
                <w:lang w:eastAsia="es-CO"/>
              </w:rPr>
            </w:pPr>
            <w:r w:rsidRPr="00951AB1">
              <w:rPr>
                <w:rFonts w:eastAsia="Times New Roman" w:cs="Times New Roman"/>
                <w:color w:val="000000"/>
                <w:sz w:val="14"/>
                <w:szCs w:val="14"/>
                <w:lang w:eastAsia="es-CO"/>
              </w:rPr>
              <w:t>Concesionaria Ruta Del Cacao S.A.S.</w:t>
            </w:r>
          </w:p>
        </w:tc>
        <w:tc>
          <w:tcPr>
            <w:tcW w:w="803" w:type="pct"/>
            <w:noWrap/>
            <w:vAlign w:val="center"/>
            <w:hideMark/>
          </w:tcPr>
          <w:p w14:paraId="36B3513B" w14:textId="42C3F629" w:rsidR="004078AD" w:rsidRPr="00951AB1" w:rsidRDefault="004078AD" w:rsidP="000A5389">
            <w:pPr>
              <w:spacing w:line="240" w:lineRule="auto"/>
              <w:jc w:val="right"/>
              <w:rPr>
                <w:rFonts w:eastAsia="Times New Roman" w:cs="Times New Roman"/>
                <w:color w:val="000000"/>
                <w:sz w:val="14"/>
                <w:szCs w:val="14"/>
                <w:lang w:eastAsia="es-CO"/>
              </w:rPr>
            </w:pPr>
            <w:r w:rsidRPr="00951AB1">
              <w:rPr>
                <w:rFonts w:eastAsia="Times New Roman" w:cs="Times New Roman"/>
                <w:color w:val="000000"/>
                <w:sz w:val="14"/>
                <w:szCs w:val="14"/>
                <w:lang w:eastAsia="es-CO"/>
              </w:rPr>
              <w:t>35.825.535.589</w:t>
            </w:r>
          </w:p>
        </w:tc>
        <w:tc>
          <w:tcPr>
            <w:tcW w:w="799" w:type="pct"/>
            <w:noWrap/>
            <w:vAlign w:val="center"/>
            <w:hideMark/>
          </w:tcPr>
          <w:p w14:paraId="184021F2" w14:textId="2E21E044" w:rsidR="004078AD" w:rsidRPr="00951AB1" w:rsidRDefault="004078AD" w:rsidP="000A5389">
            <w:pPr>
              <w:spacing w:line="240" w:lineRule="auto"/>
              <w:jc w:val="right"/>
              <w:rPr>
                <w:rFonts w:eastAsia="Times New Roman" w:cs="Times New Roman"/>
                <w:color w:val="000000"/>
                <w:sz w:val="14"/>
                <w:szCs w:val="14"/>
                <w:lang w:eastAsia="es-CO"/>
              </w:rPr>
            </w:pPr>
            <w:r w:rsidRPr="00951AB1">
              <w:rPr>
                <w:rFonts w:eastAsia="Times New Roman" w:cs="Times New Roman"/>
                <w:color w:val="000000"/>
                <w:sz w:val="14"/>
                <w:szCs w:val="14"/>
                <w:lang w:eastAsia="es-CO"/>
              </w:rPr>
              <w:t>-</w:t>
            </w:r>
          </w:p>
        </w:tc>
        <w:tc>
          <w:tcPr>
            <w:tcW w:w="638" w:type="pct"/>
            <w:noWrap/>
            <w:vAlign w:val="center"/>
            <w:hideMark/>
          </w:tcPr>
          <w:p w14:paraId="6F630EC3" w14:textId="3387BC34" w:rsidR="004078AD" w:rsidRPr="00951AB1" w:rsidRDefault="004078AD" w:rsidP="000A5389">
            <w:pPr>
              <w:spacing w:line="240" w:lineRule="auto"/>
              <w:jc w:val="right"/>
              <w:rPr>
                <w:rFonts w:eastAsia="Times New Roman" w:cs="Times New Roman"/>
                <w:color w:val="000000"/>
                <w:sz w:val="14"/>
                <w:szCs w:val="14"/>
                <w:lang w:eastAsia="es-CO"/>
              </w:rPr>
            </w:pPr>
            <w:r w:rsidRPr="00951AB1">
              <w:rPr>
                <w:rFonts w:eastAsia="Times New Roman" w:cs="Times New Roman"/>
                <w:color w:val="000000"/>
                <w:sz w:val="14"/>
                <w:szCs w:val="14"/>
                <w:lang w:eastAsia="es-CO"/>
              </w:rPr>
              <w:t>-</w:t>
            </w:r>
          </w:p>
        </w:tc>
        <w:tc>
          <w:tcPr>
            <w:tcW w:w="638" w:type="pct"/>
            <w:noWrap/>
            <w:vAlign w:val="center"/>
            <w:hideMark/>
          </w:tcPr>
          <w:p w14:paraId="463A447A" w14:textId="231F5A9F" w:rsidR="004078AD" w:rsidRPr="00951AB1" w:rsidRDefault="004078AD" w:rsidP="000A5389">
            <w:pPr>
              <w:spacing w:line="240" w:lineRule="auto"/>
              <w:jc w:val="right"/>
              <w:rPr>
                <w:rFonts w:eastAsia="Times New Roman" w:cs="Times New Roman"/>
                <w:color w:val="000000"/>
                <w:sz w:val="14"/>
                <w:szCs w:val="14"/>
                <w:lang w:eastAsia="es-CO"/>
              </w:rPr>
            </w:pPr>
            <w:r w:rsidRPr="00951AB1">
              <w:rPr>
                <w:rFonts w:eastAsia="Times New Roman" w:cs="Times New Roman"/>
                <w:color w:val="000000"/>
                <w:sz w:val="14"/>
                <w:szCs w:val="14"/>
                <w:lang w:eastAsia="es-CO"/>
              </w:rPr>
              <w:t>-</w:t>
            </w:r>
          </w:p>
        </w:tc>
        <w:tc>
          <w:tcPr>
            <w:tcW w:w="765" w:type="pct"/>
            <w:noWrap/>
            <w:vAlign w:val="center"/>
            <w:hideMark/>
          </w:tcPr>
          <w:p w14:paraId="4461DD0E" w14:textId="77777777" w:rsidR="004078AD" w:rsidRPr="00951AB1" w:rsidRDefault="004078AD" w:rsidP="000A5389">
            <w:pPr>
              <w:spacing w:line="240" w:lineRule="auto"/>
              <w:jc w:val="right"/>
              <w:rPr>
                <w:rFonts w:eastAsia="Times New Roman" w:cs="Times New Roman"/>
                <w:b/>
                <w:bCs/>
                <w:color w:val="000000"/>
                <w:sz w:val="14"/>
                <w:szCs w:val="14"/>
                <w:lang w:eastAsia="es-CO"/>
              </w:rPr>
            </w:pPr>
            <w:r w:rsidRPr="00951AB1">
              <w:rPr>
                <w:rFonts w:eastAsia="Times New Roman" w:cs="Times New Roman"/>
                <w:b/>
                <w:bCs/>
                <w:color w:val="000000"/>
                <w:sz w:val="14"/>
                <w:szCs w:val="14"/>
                <w:lang w:eastAsia="es-CO"/>
              </w:rPr>
              <w:t xml:space="preserve">          35.825.535.589 </w:t>
            </w:r>
          </w:p>
        </w:tc>
      </w:tr>
      <w:tr w:rsidR="004078AD" w:rsidRPr="00951AB1" w14:paraId="31510742" w14:textId="77777777" w:rsidTr="0071107B">
        <w:trPr>
          <w:trHeight w:val="465"/>
          <w:jc w:val="center"/>
        </w:trPr>
        <w:tc>
          <w:tcPr>
            <w:tcW w:w="437" w:type="pct"/>
            <w:noWrap/>
            <w:vAlign w:val="center"/>
            <w:hideMark/>
          </w:tcPr>
          <w:p w14:paraId="78A70601" w14:textId="77777777" w:rsidR="004078AD" w:rsidRPr="00951AB1" w:rsidRDefault="004078AD" w:rsidP="000A5389">
            <w:pPr>
              <w:spacing w:line="240" w:lineRule="auto"/>
              <w:rPr>
                <w:rFonts w:eastAsia="Times New Roman" w:cs="Times New Roman"/>
                <w:color w:val="000000"/>
                <w:sz w:val="14"/>
                <w:szCs w:val="14"/>
                <w:lang w:eastAsia="es-CO"/>
              </w:rPr>
            </w:pPr>
            <w:r w:rsidRPr="00951AB1">
              <w:rPr>
                <w:rFonts w:eastAsia="Times New Roman" w:cs="Times New Roman"/>
                <w:color w:val="000000"/>
                <w:sz w:val="14"/>
                <w:szCs w:val="14"/>
                <w:lang w:eastAsia="es-CO"/>
              </w:rPr>
              <w:t>800235872</w:t>
            </w:r>
          </w:p>
        </w:tc>
        <w:tc>
          <w:tcPr>
            <w:tcW w:w="919" w:type="pct"/>
            <w:vAlign w:val="center"/>
            <w:hideMark/>
          </w:tcPr>
          <w:p w14:paraId="3A9E4522" w14:textId="32F01F2E" w:rsidR="004078AD" w:rsidRPr="00951AB1" w:rsidRDefault="008515FA" w:rsidP="000A5389">
            <w:pPr>
              <w:spacing w:line="240" w:lineRule="auto"/>
              <w:rPr>
                <w:rFonts w:eastAsia="Times New Roman" w:cs="Times New Roman"/>
                <w:color w:val="000000"/>
                <w:sz w:val="14"/>
                <w:szCs w:val="14"/>
                <w:lang w:eastAsia="es-CO"/>
              </w:rPr>
            </w:pPr>
            <w:r w:rsidRPr="00951AB1">
              <w:rPr>
                <w:rFonts w:eastAsia="Times New Roman" w:cs="Times New Roman"/>
                <w:color w:val="000000"/>
                <w:sz w:val="14"/>
                <w:szCs w:val="14"/>
                <w:lang w:eastAsia="es-CO"/>
              </w:rPr>
              <w:t>Concesionaria Vial De Los Andes S.A.S. Coviandes S.A.S.</w:t>
            </w:r>
          </w:p>
        </w:tc>
        <w:tc>
          <w:tcPr>
            <w:tcW w:w="803" w:type="pct"/>
            <w:noWrap/>
            <w:vAlign w:val="center"/>
            <w:hideMark/>
          </w:tcPr>
          <w:p w14:paraId="64CEEB10" w14:textId="3D96EC0E" w:rsidR="004078AD" w:rsidRPr="00951AB1" w:rsidRDefault="004078AD" w:rsidP="000A5389">
            <w:pPr>
              <w:spacing w:line="240" w:lineRule="auto"/>
              <w:jc w:val="right"/>
              <w:rPr>
                <w:rFonts w:eastAsia="Times New Roman" w:cs="Times New Roman"/>
                <w:color w:val="000000"/>
                <w:sz w:val="14"/>
                <w:szCs w:val="14"/>
                <w:lang w:eastAsia="es-CO"/>
              </w:rPr>
            </w:pPr>
            <w:r w:rsidRPr="00951AB1">
              <w:rPr>
                <w:rFonts w:eastAsia="Times New Roman" w:cs="Times New Roman"/>
                <w:color w:val="000000"/>
                <w:sz w:val="14"/>
                <w:szCs w:val="14"/>
                <w:lang w:eastAsia="es-CO"/>
              </w:rPr>
              <w:t>19.690.256.281</w:t>
            </w:r>
          </w:p>
        </w:tc>
        <w:tc>
          <w:tcPr>
            <w:tcW w:w="799" w:type="pct"/>
            <w:noWrap/>
            <w:vAlign w:val="center"/>
            <w:hideMark/>
          </w:tcPr>
          <w:p w14:paraId="711CAA1D" w14:textId="49BAA96C" w:rsidR="004078AD" w:rsidRPr="00951AB1" w:rsidRDefault="004078AD" w:rsidP="000A5389">
            <w:pPr>
              <w:spacing w:line="240" w:lineRule="auto"/>
              <w:jc w:val="right"/>
              <w:rPr>
                <w:rFonts w:eastAsia="Times New Roman" w:cs="Times New Roman"/>
                <w:color w:val="000000"/>
                <w:sz w:val="14"/>
                <w:szCs w:val="14"/>
                <w:lang w:eastAsia="es-CO"/>
              </w:rPr>
            </w:pPr>
            <w:r w:rsidRPr="00951AB1">
              <w:rPr>
                <w:rFonts w:eastAsia="Times New Roman" w:cs="Times New Roman"/>
                <w:color w:val="000000"/>
                <w:sz w:val="14"/>
                <w:szCs w:val="14"/>
                <w:lang w:eastAsia="es-CO"/>
              </w:rPr>
              <w:t>-</w:t>
            </w:r>
          </w:p>
        </w:tc>
        <w:tc>
          <w:tcPr>
            <w:tcW w:w="638" w:type="pct"/>
            <w:noWrap/>
            <w:vAlign w:val="center"/>
            <w:hideMark/>
          </w:tcPr>
          <w:p w14:paraId="73B70A8D" w14:textId="3F50D00C" w:rsidR="004078AD" w:rsidRPr="00951AB1" w:rsidRDefault="004078AD" w:rsidP="000A5389">
            <w:pPr>
              <w:spacing w:line="240" w:lineRule="auto"/>
              <w:jc w:val="right"/>
              <w:rPr>
                <w:rFonts w:eastAsia="Times New Roman" w:cs="Times New Roman"/>
                <w:color w:val="000000"/>
                <w:sz w:val="14"/>
                <w:szCs w:val="14"/>
                <w:lang w:eastAsia="es-CO"/>
              </w:rPr>
            </w:pPr>
            <w:r w:rsidRPr="00951AB1">
              <w:rPr>
                <w:rFonts w:eastAsia="Times New Roman" w:cs="Times New Roman"/>
                <w:color w:val="000000"/>
                <w:sz w:val="14"/>
                <w:szCs w:val="14"/>
                <w:lang w:eastAsia="es-CO"/>
              </w:rPr>
              <w:t>-</w:t>
            </w:r>
          </w:p>
        </w:tc>
        <w:tc>
          <w:tcPr>
            <w:tcW w:w="638" w:type="pct"/>
            <w:noWrap/>
            <w:vAlign w:val="center"/>
            <w:hideMark/>
          </w:tcPr>
          <w:p w14:paraId="501CB257" w14:textId="4048ACFC" w:rsidR="004078AD" w:rsidRPr="00951AB1" w:rsidRDefault="004078AD" w:rsidP="000A5389">
            <w:pPr>
              <w:spacing w:line="240" w:lineRule="auto"/>
              <w:jc w:val="right"/>
              <w:rPr>
                <w:rFonts w:eastAsia="Times New Roman" w:cs="Times New Roman"/>
                <w:color w:val="000000"/>
                <w:sz w:val="14"/>
                <w:szCs w:val="14"/>
                <w:lang w:eastAsia="es-CO"/>
              </w:rPr>
            </w:pPr>
            <w:r w:rsidRPr="00951AB1">
              <w:rPr>
                <w:rFonts w:eastAsia="Times New Roman" w:cs="Times New Roman"/>
                <w:color w:val="000000"/>
                <w:sz w:val="14"/>
                <w:szCs w:val="14"/>
                <w:lang w:eastAsia="es-CO"/>
              </w:rPr>
              <w:t>3.015.690.773</w:t>
            </w:r>
          </w:p>
        </w:tc>
        <w:tc>
          <w:tcPr>
            <w:tcW w:w="765" w:type="pct"/>
            <w:noWrap/>
            <w:vAlign w:val="center"/>
            <w:hideMark/>
          </w:tcPr>
          <w:p w14:paraId="77F29BD4" w14:textId="77777777" w:rsidR="004078AD" w:rsidRPr="00951AB1" w:rsidRDefault="004078AD" w:rsidP="000A5389">
            <w:pPr>
              <w:spacing w:line="240" w:lineRule="auto"/>
              <w:jc w:val="right"/>
              <w:rPr>
                <w:rFonts w:eastAsia="Times New Roman" w:cs="Times New Roman"/>
                <w:b/>
                <w:bCs/>
                <w:color w:val="000000"/>
                <w:sz w:val="14"/>
                <w:szCs w:val="14"/>
                <w:lang w:eastAsia="es-CO"/>
              </w:rPr>
            </w:pPr>
            <w:r w:rsidRPr="00951AB1">
              <w:rPr>
                <w:rFonts w:eastAsia="Times New Roman" w:cs="Times New Roman"/>
                <w:b/>
                <w:bCs/>
                <w:color w:val="000000"/>
                <w:sz w:val="14"/>
                <w:szCs w:val="14"/>
                <w:lang w:eastAsia="es-CO"/>
              </w:rPr>
              <w:t xml:space="preserve">          22.705.947.054 </w:t>
            </w:r>
          </w:p>
        </w:tc>
      </w:tr>
      <w:tr w:rsidR="004078AD" w:rsidRPr="00951AB1" w14:paraId="382E345B" w14:textId="77777777" w:rsidTr="0071107B">
        <w:trPr>
          <w:trHeight w:val="390"/>
          <w:jc w:val="center"/>
        </w:trPr>
        <w:tc>
          <w:tcPr>
            <w:tcW w:w="437" w:type="pct"/>
            <w:noWrap/>
            <w:vAlign w:val="center"/>
            <w:hideMark/>
          </w:tcPr>
          <w:p w14:paraId="0C90308B" w14:textId="77777777" w:rsidR="004078AD" w:rsidRPr="00951AB1" w:rsidRDefault="004078AD" w:rsidP="000A5389">
            <w:pPr>
              <w:spacing w:line="240" w:lineRule="auto"/>
              <w:rPr>
                <w:rFonts w:eastAsia="Times New Roman" w:cs="Times New Roman"/>
                <w:color w:val="000000"/>
                <w:sz w:val="14"/>
                <w:szCs w:val="14"/>
                <w:lang w:eastAsia="es-CO"/>
              </w:rPr>
            </w:pPr>
            <w:r w:rsidRPr="00951AB1">
              <w:rPr>
                <w:rFonts w:eastAsia="Times New Roman" w:cs="Times New Roman"/>
                <w:color w:val="000000"/>
                <w:sz w:val="14"/>
                <w:szCs w:val="14"/>
                <w:lang w:eastAsia="es-CO"/>
              </w:rPr>
              <w:t>900164310</w:t>
            </w:r>
          </w:p>
        </w:tc>
        <w:tc>
          <w:tcPr>
            <w:tcW w:w="919" w:type="pct"/>
            <w:vAlign w:val="center"/>
            <w:hideMark/>
          </w:tcPr>
          <w:p w14:paraId="12A2F581" w14:textId="44CAFCF5" w:rsidR="004078AD" w:rsidRPr="00951AB1" w:rsidRDefault="008515FA" w:rsidP="000A5389">
            <w:pPr>
              <w:spacing w:line="240" w:lineRule="auto"/>
              <w:rPr>
                <w:rFonts w:eastAsia="Times New Roman" w:cs="Times New Roman"/>
                <w:color w:val="000000"/>
                <w:sz w:val="14"/>
                <w:szCs w:val="14"/>
                <w:lang w:eastAsia="es-CO"/>
              </w:rPr>
            </w:pPr>
            <w:r w:rsidRPr="00951AB1">
              <w:rPr>
                <w:rFonts w:eastAsia="Times New Roman" w:cs="Times New Roman"/>
                <w:color w:val="000000"/>
                <w:sz w:val="14"/>
                <w:szCs w:val="14"/>
                <w:lang w:eastAsia="es-CO"/>
              </w:rPr>
              <w:t>Concesionaria San Rafael S.S.</w:t>
            </w:r>
          </w:p>
        </w:tc>
        <w:tc>
          <w:tcPr>
            <w:tcW w:w="803" w:type="pct"/>
            <w:noWrap/>
            <w:vAlign w:val="center"/>
            <w:hideMark/>
          </w:tcPr>
          <w:p w14:paraId="10B10166" w14:textId="28E32774" w:rsidR="004078AD" w:rsidRPr="00951AB1" w:rsidRDefault="004078AD" w:rsidP="000A5389">
            <w:pPr>
              <w:spacing w:line="240" w:lineRule="auto"/>
              <w:jc w:val="right"/>
              <w:rPr>
                <w:rFonts w:eastAsia="Times New Roman" w:cs="Times New Roman"/>
                <w:color w:val="000000"/>
                <w:sz w:val="14"/>
                <w:szCs w:val="14"/>
                <w:lang w:eastAsia="es-CO"/>
              </w:rPr>
            </w:pPr>
            <w:r w:rsidRPr="00951AB1">
              <w:rPr>
                <w:rFonts w:eastAsia="Times New Roman" w:cs="Times New Roman"/>
                <w:color w:val="000000"/>
                <w:sz w:val="14"/>
                <w:szCs w:val="14"/>
                <w:lang w:eastAsia="es-CO"/>
              </w:rPr>
              <w:t>1.206.591.346</w:t>
            </w:r>
          </w:p>
        </w:tc>
        <w:tc>
          <w:tcPr>
            <w:tcW w:w="799" w:type="pct"/>
            <w:noWrap/>
            <w:vAlign w:val="center"/>
            <w:hideMark/>
          </w:tcPr>
          <w:p w14:paraId="718F6DFC" w14:textId="1B9A2AA6" w:rsidR="004078AD" w:rsidRPr="00951AB1" w:rsidRDefault="004078AD" w:rsidP="000A5389">
            <w:pPr>
              <w:spacing w:line="240" w:lineRule="auto"/>
              <w:jc w:val="right"/>
              <w:rPr>
                <w:rFonts w:eastAsia="Times New Roman" w:cs="Times New Roman"/>
                <w:color w:val="000000"/>
                <w:sz w:val="14"/>
                <w:szCs w:val="14"/>
                <w:lang w:eastAsia="es-CO"/>
              </w:rPr>
            </w:pPr>
            <w:r w:rsidRPr="00951AB1">
              <w:rPr>
                <w:rFonts w:eastAsia="Times New Roman" w:cs="Times New Roman"/>
                <w:color w:val="000000"/>
                <w:sz w:val="14"/>
                <w:szCs w:val="14"/>
                <w:lang w:eastAsia="es-CO"/>
              </w:rPr>
              <w:t>403.193.023</w:t>
            </w:r>
          </w:p>
        </w:tc>
        <w:tc>
          <w:tcPr>
            <w:tcW w:w="638" w:type="pct"/>
            <w:noWrap/>
            <w:vAlign w:val="center"/>
            <w:hideMark/>
          </w:tcPr>
          <w:p w14:paraId="267B44C6" w14:textId="0B655BBD" w:rsidR="004078AD" w:rsidRPr="00951AB1" w:rsidRDefault="004078AD" w:rsidP="000A5389">
            <w:pPr>
              <w:spacing w:line="240" w:lineRule="auto"/>
              <w:jc w:val="right"/>
              <w:rPr>
                <w:rFonts w:eastAsia="Times New Roman" w:cs="Times New Roman"/>
                <w:color w:val="000000"/>
                <w:sz w:val="14"/>
                <w:szCs w:val="14"/>
                <w:lang w:eastAsia="es-CO"/>
              </w:rPr>
            </w:pPr>
            <w:r w:rsidRPr="00951AB1">
              <w:rPr>
                <w:rFonts w:eastAsia="Times New Roman" w:cs="Times New Roman"/>
                <w:color w:val="000000"/>
                <w:sz w:val="14"/>
                <w:szCs w:val="14"/>
                <w:lang w:eastAsia="es-CO"/>
              </w:rPr>
              <w:t>-</w:t>
            </w:r>
          </w:p>
        </w:tc>
        <w:tc>
          <w:tcPr>
            <w:tcW w:w="638" w:type="pct"/>
            <w:noWrap/>
            <w:vAlign w:val="center"/>
            <w:hideMark/>
          </w:tcPr>
          <w:p w14:paraId="620A2CE1" w14:textId="348CCBF4" w:rsidR="004078AD" w:rsidRPr="00951AB1" w:rsidRDefault="004078AD" w:rsidP="000A5389">
            <w:pPr>
              <w:spacing w:line="240" w:lineRule="auto"/>
              <w:jc w:val="right"/>
              <w:rPr>
                <w:rFonts w:eastAsia="Times New Roman" w:cs="Times New Roman"/>
                <w:color w:val="000000"/>
                <w:sz w:val="14"/>
                <w:szCs w:val="14"/>
                <w:lang w:eastAsia="es-CO"/>
              </w:rPr>
            </w:pPr>
            <w:r w:rsidRPr="00951AB1">
              <w:rPr>
                <w:rFonts w:eastAsia="Times New Roman" w:cs="Times New Roman"/>
                <w:color w:val="000000"/>
                <w:sz w:val="14"/>
                <w:szCs w:val="14"/>
                <w:lang w:eastAsia="es-CO"/>
              </w:rPr>
              <w:t>7.399.136</w:t>
            </w:r>
          </w:p>
        </w:tc>
        <w:tc>
          <w:tcPr>
            <w:tcW w:w="765" w:type="pct"/>
            <w:noWrap/>
            <w:vAlign w:val="center"/>
            <w:hideMark/>
          </w:tcPr>
          <w:p w14:paraId="3B68A27C" w14:textId="77777777" w:rsidR="004078AD" w:rsidRPr="00951AB1" w:rsidRDefault="004078AD" w:rsidP="000A5389">
            <w:pPr>
              <w:spacing w:line="240" w:lineRule="auto"/>
              <w:jc w:val="right"/>
              <w:rPr>
                <w:rFonts w:eastAsia="Times New Roman" w:cs="Times New Roman"/>
                <w:b/>
                <w:bCs/>
                <w:color w:val="000000"/>
                <w:sz w:val="14"/>
                <w:szCs w:val="14"/>
                <w:lang w:eastAsia="es-CO"/>
              </w:rPr>
            </w:pPr>
            <w:r w:rsidRPr="00951AB1">
              <w:rPr>
                <w:rFonts w:eastAsia="Times New Roman" w:cs="Times New Roman"/>
                <w:b/>
                <w:bCs/>
                <w:color w:val="000000"/>
                <w:sz w:val="14"/>
                <w:szCs w:val="14"/>
                <w:lang w:eastAsia="es-CO"/>
              </w:rPr>
              <w:t xml:space="preserve">            1.617.183.505 </w:t>
            </w:r>
          </w:p>
        </w:tc>
      </w:tr>
      <w:tr w:rsidR="004078AD" w:rsidRPr="00951AB1" w14:paraId="11232E96" w14:textId="77777777" w:rsidTr="0071107B">
        <w:trPr>
          <w:trHeight w:val="465"/>
          <w:jc w:val="center"/>
        </w:trPr>
        <w:tc>
          <w:tcPr>
            <w:tcW w:w="437" w:type="pct"/>
            <w:noWrap/>
            <w:vAlign w:val="center"/>
            <w:hideMark/>
          </w:tcPr>
          <w:p w14:paraId="5F9B6192" w14:textId="77777777" w:rsidR="004078AD" w:rsidRPr="00951AB1" w:rsidRDefault="004078AD" w:rsidP="000A5389">
            <w:pPr>
              <w:spacing w:line="240" w:lineRule="auto"/>
              <w:rPr>
                <w:rFonts w:eastAsia="Times New Roman" w:cs="Times New Roman"/>
                <w:color w:val="000000"/>
                <w:sz w:val="14"/>
                <w:szCs w:val="14"/>
                <w:lang w:eastAsia="es-CO"/>
              </w:rPr>
            </w:pPr>
            <w:r w:rsidRPr="00951AB1">
              <w:rPr>
                <w:rFonts w:eastAsia="Times New Roman" w:cs="Times New Roman"/>
                <w:color w:val="000000"/>
                <w:sz w:val="14"/>
                <w:szCs w:val="14"/>
                <w:lang w:eastAsia="es-CO"/>
              </w:rPr>
              <w:t>900793991</w:t>
            </w:r>
          </w:p>
        </w:tc>
        <w:tc>
          <w:tcPr>
            <w:tcW w:w="919" w:type="pct"/>
            <w:vAlign w:val="center"/>
            <w:hideMark/>
          </w:tcPr>
          <w:p w14:paraId="66FB080F" w14:textId="3A0BC6E0" w:rsidR="004078AD" w:rsidRPr="00951AB1" w:rsidRDefault="008515FA" w:rsidP="000A5389">
            <w:pPr>
              <w:spacing w:line="240" w:lineRule="auto"/>
              <w:rPr>
                <w:rFonts w:eastAsia="Times New Roman" w:cs="Times New Roman"/>
                <w:color w:val="000000"/>
                <w:sz w:val="14"/>
                <w:szCs w:val="14"/>
                <w:lang w:eastAsia="es-CO"/>
              </w:rPr>
            </w:pPr>
            <w:r w:rsidRPr="00951AB1">
              <w:rPr>
                <w:rFonts w:eastAsia="Times New Roman" w:cs="Times New Roman"/>
                <w:color w:val="000000"/>
                <w:sz w:val="14"/>
                <w:szCs w:val="14"/>
                <w:lang w:eastAsia="es-CO"/>
              </w:rPr>
              <w:t>Autopistas Del Nordeste Sas</w:t>
            </w:r>
          </w:p>
        </w:tc>
        <w:tc>
          <w:tcPr>
            <w:tcW w:w="803" w:type="pct"/>
            <w:noWrap/>
            <w:vAlign w:val="center"/>
            <w:hideMark/>
          </w:tcPr>
          <w:p w14:paraId="4771287A" w14:textId="41A10D89" w:rsidR="004078AD" w:rsidRPr="00951AB1" w:rsidRDefault="004078AD" w:rsidP="000A5389">
            <w:pPr>
              <w:spacing w:line="240" w:lineRule="auto"/>
              <w:jc w:val="right"/>
              <w:rPr>
                <w:rFonts w:eastAsia="Times New Roman" w:cs="Times New Roman"/>
                <w:color w:val="000000"/>
                <w:sz w:val="14"/>
                <w:szCs w:val="14"/>
                <w:lang w:eastAsia="es-CO"/>
              </w:rPr>
            </w:pPr>
            <w:r w:rsidRPr="00951AB1">
              <w:rPr>
                <w:rFonts w:eastAsia="Times New Roman" w:cs="Times New Roman"/>
                <w:color w:val="000000"/>
                <w:sz w:val="14"/>
                <w:szCs w:val="14"/>
                <w:lang w:eastAsia="es-CO"/>
              </w:rPr>
              <w:t>482.570.708</w:t>
            </w:r>
          </w:p>
        </w:tc>
        <w:tc>
          <w:tcPr>
            <w:tcW w:w="799" w:type="pct"/>
            <w:noWrap/>
            <w:vAlign w:val="center"/>
            <w:hideMark/>
          </w:tcPr>
          <w:p w14:paraId="5B2AA1EA" w14:textId="61FF1718" w:rsidR="004078AD" w:rsidRPr="00951AB1" w:rsidRDefault="004078AD" w:rsidP="000A5389">
            <w:pPr>
              <w:spacing w:line="240" w:lineRule="auto"/>
              <w:jc w:val="right"/>
              <w:rPr>
                <w:rFonts w:eastAsia="Times New Roman" w:cs="Times New Roman"/>
                <w:color w:val="000000"/>
                <w:sz w:val="14"/>
                <w:szCs w:val="14"/>
                <w:lang w:eastAsia="es-CO"/>
              </w:rPr>
            </w:pPr>
            <w:r w:rsidRPr="00951AB1">
              <w:rPr>
                <w:rFonts w:eastAsia="Times New Roman" w:cs="Times New Roman"/>
                <w:color w:val="000000"/>
                <w:sz w:val="14"/>
                <w:szCs w:val="14"/>
                <w:lang w:eastAsia="es-CO"/>
              </w:rPr>
              <w:t>300.601.814</w:t>
            </w:r>
          </w:p>
        </w:tc>
        <w:tc>
          <w:tcPr>
            <w:tcW w:w="638" w:type="pct"/>
            <w:noWrap/>
            <w:vAlign w:val="center"/>
            <w:hideMark/>
          </w:tcPr>
          <w:p w14:paraId="0D9286CC" w14:textId="2C972F05" w:rsidR="004078AD" w:rsidRPr="00951AB1" w:rsidRDefault="004078AD" w:rsidP="000A5389">
            <w:pPr>
              <w:spacing w:line="240" w:lineRule="auto"/>
              <w:jc w:val="right"/>
              <w:rPr>
                <w:rFonts w:eastAsia="Times New Roman" w:cs="Times New Roman"/>
                <w:color w:val="000000"/>
                <w:sz w:val="14"/>
                <w:szCs w:val="14"/>
                <w:lang w:eastAsia="es-CO"/>
              </w:rPr>
            </w:pPr>
            <w:r w:rsidRPr="00951AB1">
              <w:rPr>
                <w:rFonts w:eastAsia="Times New Roman" w:cs="Times New Roman"/>
                <w:color w:val="000000"/>
                <w:sz w:val="14"/>
                <w:szCs w:val="14"/>
                <w:lang w:eastAsia="es-CO"/>
              </w:rPr>
              <w:t>-</w:t>
            </w:r>
          </w:p>
        </w:tc>
        <w:tc>
          <w:tcPr>
            <w:tcW w:w="638" w:type="pct"/>
            <w:noWrap/>
            <w:vAlign w:val="center"/>
            <w:hideMark/>
          </w:tcPr>
          <w:p w14:paraId="4949EC18" w14:textId="0C19D3F1" w:rsidR="004078AD" w:rsidRPr="00951AB1" w:rsidRDefault="004078AD" w:rsidP="000A5389">
            <w:pPr>
              <w:spacing w:line="240" w:lineRule="auto"/>
              <w:jc w:val="right"/>
              <w:rPr>
                <w:rFonts w:eastAsia="Times New Roman" w:cs="Times New Roman"/>
                <w:color w:val="000000"/>
                <w:sz w:val="14"/>
                <w:szCs w:val="14"/>
                <w:lang w:eastAsia="es-CO"/>
              </w:rPr>
            </w:pPr>
            <w:r w:rsidRPr="00951AB1">
              <w:rPr>
                <w:rFonts w:eastAsia="Times New Roman" w:cs="Times New Roman"/>
                <w:color w:val="000000"/>
                <w:sz w:val="14"/>
                <w:szCs w:val="14"/>
                <w:lang w:eastAsia="es-CO"/>
              </w:rPr>
              <w:t>-</w:t>
            </w:r>
          </w:p>
        </w:tc>
        <w:tc>
          <w:tcPr>
            <w:tcW w:w="765" w:type="pct"/>
            <w:noWrap/>
            <w:vAlign w:val="center"/>
            <w:hideMark/>
          </w:tcPr>
          <w:p w14:paraId="33F32019" w14:textId="77777777" w:rsidR="004078AD" w:rsidRPr="00951AB1" w:rsidRDefault="004078AD" w:rsidP="000A5389">
            <w:pPr>
              <w:spacing w:line="240" w:lineRule="auto"/>
              <w:jc w:val="right"/>
              <w:rPr>
                <w:rFonts w:eastAsia="Times New Roman" w:cs="Times New Roman"/>
                <w:b/>
                <w:bCs/>
                <w:color w:val="000000"/>
                <w:sz w:val="14"/>
                <w:szCs w:val="14"/>
                <w:lang w:eastAsia="es-CO"/>
              </w:rPr>
            </w:pPr>
            <w:r w:rsidRPr="00951AB1">
              <w:rPr>
                <w:rFonts w:eastAsia="Times New Roman" w:cs="Times New Roman"/>
                <w:b/>
                <w:bCs/>
                <w:color w:val="000000"/>
                <w:sz w:val="14"/>
                <w:szCs w:val="14"/>
                <w:lang w:eastAsia="es-CO"/>
              </w:rPr>
              <w:t xml:space="preserve">               783.172.522 </w:t>
            </w:r>
          </w:p>
        </w:tc>
      </w:tr>
      <w:tr w:rsidR="004078AD" w:rsidRPr="00951AB1" w14:paraId="728FD585" w14:textId="77777777" w:rsidTr="0071107B">
        <w:trPr>
          <w:trHeight w:val="225"/>
          <w:jc w:val="center"/>
        </w:trPr>
        <w:tc>
          <w:tcPr>
            <w:tcW w:w="1356" w:type="pct"/>
            <w:gridSpan w:val="2"/>
            <w:noWrap/>
            <w:vAlign w:val="bottom"/>
            <w:hideMark/>
          </w:tcPr>
          <w:p w14:paraId="0DBED942" w14:textId="77777777" w:rsidR="004078AD" w:rsidRPr="00951AB1" w:rsidRDefault="004078AD" w:rsidP="000A5389">
            <w:pPr>
              <w:spacing w:line="240" w:lineRule="auto"/>
              <w:jc w:val="center"/>
              <w:rPr>
                <w:rFonts w:eastAsia="Times New Roman" w:cs="Times New Roman"/>
                <w:b/>
                <w:bCs/>
                <w:color w:val="000000"/>
                <w:sz w:val="14"/>
                <w:szCs w:val="14"/>
                <w:lang w:eastAsia="es-CO"/>
              </w:rPr>
            </w:pPr>
            <w:r w:rsidRPr="00951AB1">
              <w:rPr>
                <w:rFonts w:eastAsia="Times New Roman" w:cs="Times New Roman"/>
                <w:b/>
                <w:bCs/>
                <w:color w:val="000000"/>
                <w:sz w:val="14"/>
                <w:szCs w:val="14"/>
                <w:lang w:eastAsia="es-CO"/>
              </w:rPr>
              <w:t>TOTAL</w:t>
            </w:r>
          </w:p>
        </w:tc>
        <w:tc>
          <w:tcPr>
            <w:tcW w:w="803" w:type="pct"/>
            <w:noWrap/>
            <w:vAlign w:val="center"/>
            <w:hideMark/>
          </w:tcPr>
          <w:p w14:paraId="6DA16542" w14:textId="5C45E8BB" w:rsidR="004078AD" w:rsidRPr="00951AB1" w:rsidRDefault="004078AD" w:rsidP="000A5389">
            <w:pPr>
              <w:spacing w:line="240" w:lineRule="auto"/>
              <w:jc w:val="right"/>
              <w:rPr>
                <w:rFonts w:eastAsia="Times New Roman" w:cs="Times New Roman"/>
                <w:b/>
                <w:bCs/>
                <w:color w:val="000000"/>
                <w:sz w:val="14"/>
                <w:szCs w:val="14"/>
                <w:lang w:eastAsia="es-CO"/>
              </w:rPr>
            </w:pPr>
            <w:r w:rsidRPr="3ADC7BEA">
              <w:rPr>
                <w:rFonts w:eastAsia="Times New Roman" w:cs="Times New Roman"/>
                <w:b/>
                <w:color w:val="000000" w:themeColor="text1"/>
                <w:sz w:val="14"/>
                <w:szCs w:val="14"/>
                <w:lang w:eastAsia="es-CO"/>
              </w:rPr>
              <w:t xml:space="preserve">    3.665.356.981.124 </w:t>
            </w:r>
          </w:p>
        </w:tc>
        <w:tc>
          <w:tcPr>
            <w:tcW w:w="799" w:type="pct"/>
            <w:noWrap/>
            <w:vAlign w:val="center"/>
            <w:hideMark/>
          </w:tcPr>
          <w:p w14:paraId="63B67C3A" w14:textId="1B7696FB" w:rsidR="004078AD" w:rsidRPr="00951AB1" w:rsidRDefault="004078AD" w:rsidP="000A5389">
            <w:pPr>
              <w:spacing w:line="240" w:lineRule="auto"/>
              <w:jc w:val="right"/>
              <w:rPr>
                <w:rFonts w:eastAsia="Times New Roman" w:cs="Times New Roman"/>
                <w:b/>
                <w:bCs/>
                <w:color w:val="000000"/>
                <w:sz w:val="14"/>
                <w:szCs w:val="14"/>
                <w:lang w:eastAsia="es-CO"/>
              </w:rPr>
            </w:pPr>
            <w:r w:rsidRPr="00951AB1">
              <w:rPr>
                <w:rFonts w:eastAsia="Times New Roman" w:cs="Times New Roman"/>
                <w:b/>
                <w:bCs/>
                <w:color w:val="000000"/>
                <w:sz w:val="14"/>
                <w:szCs w:val="14"/>
                <w:lang w:eastAsia="es-CO"/>
              </w:rPr>
              <w:t>97.664.436.521</w:t>
            </w:r>
          </w:p>
        </w:tc>
        <w:tc>
          <w:tcPr>
            <w:tcW w:w="638" w:type="pct"/>
            <w:noWrap/>
            <w:vAlign w:val="center"/>
            <w:hideMark/>
          </w:tcPr>
          <w:p w14:paraId="6AC8A299" w14:textId="59F6076C" w:rsidR="004078AD" w:rsidRPr="00951AB1" w:rsidRDefault="004078AD" w:rsidP="000A5389">
            <w:pPr>
              <w:spacing w:line="240" w:lineRule="auto"/>
              <w:jc w:val="right"/>
              <w:rPr>
                <w:rFonts w:eastAsia="Times New Roman" w:cs="Times New Roman"/>
                <w:b/>
                <w:bCs/>
                <w:color w:val="000000"/>
                <w:sz w:val="14"/>
                <w:szCs w:val="14"/>
                <w:lang w:eastAsia="es-CO"/>
              </w:rPr>
            </w:pPr>
            <w:r w:rsidRPr="00951AB1">
              <w:rPr>
                <w:rFonts w:eastAsia="Times New Roman" w:cs="Times New Roman"/>
                <w:b/>
                <w:bCs/>
                <w:color w:val="000000"/>
                <w:sz w:val="14"/>
                <w:szCs w:val="14"/>
                <w:lang w:eastAsia="es-CO"/>
              </w:rPr>
              <w:t>10.189.507.754</w:t>
            </w:r>
          </w:p>
        </w:tc>
        <w:tc>
          <w:tcPr>
            <w:tcW w:w="638" w:type="pct"/>
            <w:noWrap/>
            <w:vAlign w:val="center"/>
            <w:hideMark/>
          </w:tcPr>
          <w:p w14:paraId="2E12A625" w14:textId="04DB7767" w:rsidR="004078AD" w:rsidRPr="00951AB1" w:rsidRDefault="004078AD" w:rsidP="000A5389">
            <w:pPr>
              <w:spacing w:line="240" w:lineRule="auto"/>
              <w:jc w:val="right"/>
              <w:rPr>
                <w:rFonts w:eastAsia="Times New Roman" w:cs="Times New Roman"/>
                <w:b/>
                <w:bCs/>
                <w:color w:val="000000"/>
                <w:sz w:val="14"/>
                <w:szCs w:val="14"/>
                <w:lang w:eastAsia="es-CO"/>
              </w:rPr>
            </w:pPr>
            <w:r w:rsidRPr="00951AB1">
              <w:rPr>
                <w:rFonts w:eastAsia="Times New Roman" w:cs="Times New Roman"/>
                <w:b/>
                <w:bCs/>
                <w:color w:val="000000"/>
                <w:sz w:val="14"/>
                <w:szCs w:val="14"/>
                <w:lang w:eastAsia="es-CO"/>
              </w:rPr>
              <w:t>489.315.271.266</w:t>
            </w:r>
          </w:p>
        </w:tc>
        <w:tc>
          <w:tcPr>
            <w:tcW w:w="765" w:type="pct"/>
            <w:noWrap/>
            <w:vAlign w:val="center"/>
            <w:hideMark/>
          </w:tcPr>
          <w:p w14:paraId="1C7C95E9" w14:textId="05E49FEB" w:rsidR="004078AD" w:rsidRPr="00951AB1" w:rsidRDefault="004078AD" w:rsidP="000A5389">
            <w:pPr>
              <w:spacing w:line="240" w:lineRule="auto"/>
              <w:jc w:val="right"/>
              <w:rPr>
                <w:rFonts w:eastAsia="Times New Roman" w:cs="Times New Roman"/>
                <w:b/>
                <w:bCs/>
                <w:color w:val="000000"/>
                <w:sz w:val="14"/>
                <w:szCs w:val="14"/>
                <w:lang w:eastAsia="es-CO"/>
              </w:rPr>
            </w:pPr>
            <w:r w:rsidRPr="00951AB1">
              <w:rPr>
                <w:rFonts w:eastAsia="Times New Roman" w:cs="Times New Roman"/>
                <w:b/>
                <w:bCs/>
                <w:color w:val="000000"/>
                <w:sz w:val="14"/>
                <w:szCs w:val="14"/>
                <w:lang w:eastAsia="es-CO"/>
              </w:rPr>
              <w:t>4.262.526.196.665</w:t>
            </w:r>
          </w:p>
        </w:tc>
      </w:tr>
    </w:tbl>
    <w:p w14:paraId="12FF5345" w14:textId="77777777" w:rsidR="004078AD" w:rsidRPr="00951AB1" w:rsidRDefault="004078AD" w:rsidP="000A5389">
      <w:pPr>
        <w:spacing w:line="240" w:lineRule="auto"/>
        <w:rPr>
          <w:rFonts w:cs="Times New Roman"/>
          <w:sz w:val="14"/>
          <w:szCs w:val="14"/>
        </w:rPr>
      </w:pPr>
      <w:r w:rsidRPr="00951AB1">
        <w:rPr>
          <w:rFonts w:cs="Times New Roman"/>
          <w:sz w:val="14"/>
          <w:szCs w:val="14"/>
        </w:rPr>
        <w:t>Cifras expresadas en pesos</w:t>
      </w:r>
    </w:p>
    <w:p w14:paraId="682A2C98" w14:textId="77777777" w:rsidR="004078AD" w:rsidRPr="00951AB1" w:rsidRDefault="004078AD" w:rsidP="000A5389">
      <w:pPr>
        <w:pStyle w:val="Prrafodelista"/>
        <w:spacing w:line="240" w:lineRule="auto"/>
        <w:ind w:left="0"/>
        <w:rPr>
          <w:rFonts w:cs="Times New Roman"/>
          <w:szCs w:val="24"/>
        </w:rPr>
      </w:pPr>
    </w:p>
    <w:p w14:paraId="34FDBBB4" w14:textId="77777777" w:rsidR="004078AD" w:rsidRDefault="004078AD" w:rsidP="000A5389">
      <w:pPr>
        <w:pStyle w:val="Prrafodelista"/>
        <w:numPr>
          <w:ilvl w:val="0"/>
          <w:numId w:val="69"/>
        </w:numPr>
        <w:autoSpaceDE w:val="0"/>
        <w:autoSpaceDN w:val="0"/>
        <w:adjustRightInd w:val="0"/>
        <w:spacing w:line="240" w:lineRule="auto"/>
        <w:ind w:left="0" w:hanging="142"/>
        <w:rPr>
          <w:rFonts w:cs="Times New Roman"/>
          <w:szCs w:val="24"/>
        </w:rPr>
      </w:pPr>
      <w:r w:rsidRPr="00951AB1">
        <w:rPr>
          <w:rFonts w:cs="Times New Roman"/>
          <w:szCs w:val="24"/>
        </w:rPr>
        <w:t xml:space="preserve">Un valor de $1.749.929.807.754 (capital adeudado, condena en costas o agencias en derecho e intereses corrientes), por la deuda reconocida a nombre de Perimetral Oriental de Bogotá SAS, del proyecto Perimetral de Oriente de Cundinamarca, contrato de concesión APP No. 002 del 2014, por el Laudo Arbitral No. 01-20-0015-3123 ejecutoriado el 29-12-2025, en el que condenó a la entidad por los siguientes conceptos y valores: </w:t>
      </w:r>
    </w:p>
    <w:p w14:paraId="40629392" w14:textId="77777777" w:rsidR="00692C50" w:rsidRPr="00951AB1" w:rsidRDefault="00692C50" w:rsidP="00692C50">
      <w:pPr>
        <w:pStyle w:val="Prrafodelista"/>
        <w:autoSpaceDE w:val="0"/>
        <w:autoSpaceDN w:val="0"/>
        <w:adjustRightInd w:val="0"/>
        <w:spacing w:line="240" w:lineRule="auto"/>
        <w:ind w:left="0"/>
        <w:rPr>
          <w:rFonts w:cs="Times New Roman"/>
          <w:szCs w:val="24"/>
        </w:rPr>
      </w:pPr>
    </w:p>
    <w:p w14:paraId="0516C53B" w14:textId="77777777" w:rsidR="004078AD" w:rsidRPr="00951AB1" w:rsidRDefault="004078AD" w:rsidP="000A5389">
      <w:pPr>
        <w:autoSpaceDE w:val="0"/>
        <w:autoSpaceDN w:val="0"/>
        <w:adjustRightInd w:val="0"/>
        <w:spacing w:line="240" w:lineRule="auto"/>
        <w:ind w:left="567" w:right="900"/>
        <w:rPr>
          <w:rFonts w:cs="Times New Roman"/>
          <w:i/>
          <w:iCs/>
          <w:sz w:val="20"/>
          <w:szCs w:val="20"/>
        </w:rPr>
      </w:pPr>
      <w:r w:rsidRPr="00951AB1">
        <w:rPr>
          <w:rFonts w:cs="Times New Roman"/>
          <w:i/>
          <w:iCs/>
          <w:sz w:val="20"/>
          <w:szCs w:val="20"/>
        </w:rPr>
        <w:t>"174. Falla a favor de las Demandantes en cuanto a la reclamación de intereses pre-laudo, y ordena que la ANI pague a POB intereses previos al Laudo Parcial incurridos entre el 1 de octubre de 2021 y 19 de diciembre de 2024, la suma de COP $409.200.000.000.</w:t>
      </w:r>
    </w:p>
    <w:p w14:paraId="55991DEE" w14:textId="77777777" w:rsidR="004078AD" w:rsidRPr="00951AB1" w:rsidRDefault="004078AD" w:rsidP="000A5389">
      <w:pPr>
        <w:autoSpaceDE w:val="0"/>
        <w:autoSpaceDN w:val="0"/>
        <w:adjustRightInd w:val="0"/>
        <w:spacing w:line="240" w:lineRule="auto"/>
        <w:ind w:left="567" w:right="900"/>
        <w:rPr>
          <w:rFonts w:cs="Times New Roman"/>
          <w:i/>
          <w:iCs/>
          <w:sz w:val="20"/>
          <w:szCs w:val="20"/>
        </w:rPr>
      </w:pPr>
      <w:r w:rsidRPr="00951AB1">
        <w:rPr>
          <w:rFonts w:cs="Times New Roman"/>
          <w:i/>
          <w:iCs/>
          <w:sz w:val="20"/>
          <w:szCs w:val="20"/>
        </w:rPr>
        <w:t>175. Falla a favor de las Demandantes en cuanto a la reclamación de intereses post-laudo, y ordena que la ANI pague a POB intereses moratorios sobre una suma total de COP $1.332.305.900.000, correspondiente de COP $413.605.900.000 por los costos incurridos respecto a las UFs 4 y 5; COP $115.400.000.000, por la no reducción proporcional a la Subcuenta de Supervisión e Interventoría, junto con los otros costos de fondeo y con carácter de costos incurridos respecto de las UFs 4 y 5; y COP $803.300.000.000 por pérdida de utilidad respecto de las UFs 1-3.</w:t>
      </w:r>
    </w:p>
    <w:p w14:paraId="6E1E27D2" w14:textId="77777777" w:rsidR="004078AD" w:rsidRDefault="004078AD" w:rsidP="000A5389">
      <w:pPr>
        <w:autoSpaceDE w:val="0"/>
        <w:autoSpaceDN w:val="0"/>
        <w:adjustRightInd w:val="0"/>
        <w:spacing w:line="240" w:lineRule="auto"/>
        <w:ind w:left="567" w:right="900"/>
        <w:rPr>
          <w:rFonts w:cs="Times New Roman"/>
          <w:i/>
          <w:iCs/>
          <w:sz w:val="20"/>
          <w:szCs w:val="20"/>
        </w:rPr>
      </w:pPr>
      <w:r w:rsidRPr="00951AB1">
        <w:rPr>
          <w:rFonts w:cs="Times New Roman"/>
          <w:i/>
          <w:iCs/>
          <w:sz w:val="20"/>
          <w:szCs w:val="20"/>
        </w:rPr>
        <w:lastRenderedPageBreak/>
        <w:t>178. Falla a favor de las Demandantes en cuanto a la reclamación de costas, y ordena que la ANI pague a POB un monto por concepto de costas del arbitraje incurridas por las Demandantes”</w:t>
      </w:r>
    </w:p>
    <w:p w14:paraId="1FBEE1A1" w14:textId="77777777" w:rsidR="00692C50" w:rsidRPr="00951AB1" w:rsidRDefault="00692C50" w:rsidP="000A5389">
      <w:pPr>
        <w:autoSpaceDE w:val="0"/>
        <w:autoSpaceDN w:val="0"/>
        <w:adjustRightInd w:val="0"/>
        <w:spacing w:line="240" w:lineRule="auto"/>
        <w:ind w:left="567" w:right="900"/>
        <w:rPr>
          <w:rFonts w:cs="Times New Roman"/>
          <w:i/>
          <w:iCs/>
          <w:sz w:val="20"/>
          <w:szCs w:val="20"/>
        </w:rPr>
      </w:pPr>
    </w:p>
    <w:p w14:paraId="15EAA6DE" w14:textId="77777777" w:rsidR="004078AD" w:rsidRPr="00951AB1" w:rsidRDefault="004078AD" w:rsidP="000A5389">
      <w:pPr>
        <w:autoSpaceDE w:val="0"/>
        <w:autoSpaceDN w:val="0"/>
        <w:adjustRightInd w:val="0"/>
        <w:spacing w:line="240" w:lineRule="auto"/>
        <w:rPr>
          <w:rFonts w:cs="Times New Roman"/>
          <w:i/>
          <w:iCs/>
          <w:szCs w:val="24"/>
        </w:rPr>
      </w:pPr>
      <w:r w:rsidRPr="00951AB1">
        <w:rPr>
          <w:rFonts w:cs="Times New Roman"/>
          <w:b/>
          <w:bCs/>
          <w:i/>
          <w:iCs/>
          <w:szCs w:val="24"/>
        </w:rPr>
        <w:t>Condición contractual para el pago:</w:t>
      </w:r>
    </w:p>
    <w:p w14:paraId="661044A0" w14:textId="77777777" w:rsidR="004078AD" w:rsidRPr="00951AB1" w:rsidRDefault="004078AD" w:rsidP="000A5389">
      <w:pPr>
        <w:autoSpaceDE w:val="0"/>
        <w:autoSpaceDN w:val="0"/>
        <w:adjustRightInd w:val="0"/>
        <w:spacing w:line="240" w:lineRule="auto"/>
        <w:rPr>
          <w:rFonts w:cs="Times New Roman"/>
          <w:szCs w:val="24"/>
        </w:rPr>
      </w:pPr>
      <w:r w:rsidRPr="00951AB1">
        <w:rPr>
          <w:rFonts w:cs="Times New Roman"/>
          <w:b/>
          <w:bCs/>
          <w:szCs w:val="24"/>
        </w:rPr>
        <w:t> </w:t>
      </w:r>
      <w:r w:rsidRPr="00951AB1">
        <w:rPr>
          <w:rFonts w:cs="Times New Roman"/>
          <w:szCs w:val="24"/>
        </w:rPr>
        <w:t>La ANI quedó obligada a pagar a POB: </w:t>
      </w:r>
    </w:p>
    <w:p w14:paraId="19258DE3" w14:textId="77777777" w:rsidR="004078AD" w:rsidRPr="00951AB1" w:rsidRDefault="004078AD" w:rsidP="000A5389">
      <w:pPr>
        <w:pStyle w:val="Prrafodelista"/>
        <w:numPr>
          <w:ilvl w:val="0"/>
          <w:numId w:val="104"/>
        </w:numPr>
        <w:autoSpaceDE w:val="0"/>
        <w:autoSpaceDN w:val="0"/>
        <w:adjustRightInd w:val="0"/>
        <w:spacing w:line="240" w:lineRule="auto"/>
        <w:rPr>
          <w:rFonts w:cs="Times New Roman"/>
          <w:szCs w:val="24"/>
        </w:rPr>
      </w:pPr>
      <w:r w:rsidRPr="00951AB1">
        <w:rPr>
          <w:rFonts w:cs="Times New Roman"/>
          <w:szCs w:val="24"/>
        </w:rPr>
        <w:t>COP $413.605.900.000 – costos UFs 4 y 5</w:t>
      </w:r>
    </w:p>
    <w:p w14:paraId="50C0F62F" w14:textId="77777777" w:rsidR="004078AD" w:rsidRPr="00951AB1" w:rsidRDefault="004078AD" w:rsidP="000A5389">
      <w:pPr>
        <w:pStyle w:val="Prrafodelista"/>
        <w:numPr>
          <w:ilvl w:val="0"/>
          <w:numId w:val="104"/>
        </w:numPr>
        <w:autoSpaceDE w:val="0"/>
        <w:autoSpaceDN w:val="0"/>
        <w:adjustRightInd w:val="0"/>
        <w:spacing w:line="240" w:lineRule="auto"/>
        <w:rPr>
          <w:rFonts w:cs="Times New Roman"/>
          <w:szCs w:val="24"/>
        </w:rPr>
      </w:pPr>
      <w:r w:rsidRPr="00951AB1">
        <w:rPr>
          <w:rFonts w:cs="Times New Roman"/>
          <w:szCs w:val="24"/>
        </w:rPr>
        <w:t>COP $115.400.000.000 – no reducción Subcuenta Supervisión e Interventoría</w:t>
      </w:r>
    </w:p>
    <w:p w14:paraId="15B1562C" w14:textId="77777777" w:rsidR="004078AD" w:rsidRPr="00951AB1" w:rsidRDefault="004078AD" w:rsidP="000A5389">
      <w:pPr>
        <w:pStyle w:val="Prrafodelista"/>
        <w:numPr>
          <w:ilvl w:val="0"/>
          <w:numId w:val="104"/>
        </w:numPr>
        <w:autoSpaceDE w:val="0"/>
        <w:autoSpaceDN w:val="0"/>
        <w:adjustRightInd w:val="0"/>
        <w:spacing w:line="240" w:lineRule="auto"/>
        <w:rPr>
          <w:rFonts w:cs="Times New Roman"/>
          <w:szCs w:val="24"/>
        </w:rPr>
      </w:pPr>
      <w:r w:rsidRPr="00951AB1">
        <w:rPr>
          <w:rFonts w:cs="Times New Roman"/>
          <w:szCs w:val="24"/>
        </w:rPr>
        <w:t>COP $803.300.000.000 – pérdida de utilidad UFs 1–3</w:t>
      </w:r>
    </w:p>
    <w:p w14:paraId="3823AAC4" w14:textId="77777777" w:rsidR="003E521A" w:rsidRPr="00951AB1" w:rsidRDefault="003E521A" w:rsidP="000A5389">
      <w:pPr>
        <w:pStyle w:val="Prrafodelista"/>
        <w:numPr>
          <w:ilvl w:val="0"/>
          <w:numId w:val="104"/>
        </w:numPr>
        <w:autoSpaceDE w:val="0"/>
        <w:autoSpaceDN w:val="0"/>
        <w:adjustRightInd w:val="0"/>
        <w:spacing w:line="240" w:lineRule="auto"/>
        <w:rPr>
          <w:rFonts w:cs="Times New Roman"/>
          <w:szCs w:val="24"/>
        </w:rPr>
      </w:pPr>
    </w:p>
    <w:p w14:paraId="4F439B71" w14:textId="77777777" w:rsidR="004078AD" w:rsidRPr="00951AB1" w:rsidRDefault="004078AD" w:rsidP="000A5389">
      <w:pPr>
        <w:autoSpaceDE w:val="0"/>
        <w:autoSpaceDN w:val="0"/>
        <w:adjustRightInd w:val="0"/>
        <w:spacing w:line="240" w:lineRule="auto"/>
        <w:rPr>
          <w:rFonts w:cs="Times New Roman"/>
          <w:szCs w:val="24"/>
        </w:rPr>
      </w:pPr>
      <w:r w:rsidRPr="00951AB1">
        <w:rPr>
          <w:rFonts w:cs="Times New Roman"/>
          <w:b/>
          <w:bCs/>
          <w:szCs w:val="24"/>
        </w:rPr>
        <w:t>Total, Fallo Parcial: COP $1.332.305.900.000</w:t>
      </w:r>
      <w:r w:rsidRPr="00951AB1">
        <w:rPr>
          <w:rFonts w:cs="Times New Roman"/>
          <w:szCs w:val="24"/>
        </w:rPr>
        <w:t> </w:t>
      </w:r>
    </w:p>
    <w:p w14:paraId="6FAF2680" w14:textId="77777777" w:rsidR="004078AD" w:rsidRPr="00951AB1" w:rsidRDefault="004078AD" w:rsidP="000A5389">
      <w:pPr>
        <w:numPr>
          <w:ilvl w:val="0"/>
          <w:numId w:val="73"/>
        </w:numPr>
        <w:autoSpaceDE w:val="0"/>
        <w:autoSpaceDN w:val="0"/>
        <w:adjustRightInd w:val="0"/>
        <w:spacing w:line="240" w:lineRule="auto"/>
        <w:rPr>
          <w:rFonts w:cs="Times New Roman"/>
          <w:szCs w:val="24"/>
        </w:rPr>
      </w:pPr>
      <w:r w:rsidRPr="00951AB1">
        <w:rPr>
          <w:rFonts w:cs="Times New Roman"/>
          <w:szCs w:val="24"/>
        </w:rPr>
        <w:t>Intereses pre-laudo:</w:t>
      </w:r>
    </w:p>
    <w:p w14:paraId="2D64DE48" w14:textId="77777777" w:rsidR="004078AD" w:rsidRPr="00951AB1" w:rsidRDefault="004078AD" w:rsidP="000A5389">
      <w:pPr>
        <w:autoSpaceDE w:val="0"/>
        <w:autoSpaceDN w:val="0"/>
        <w:adjustRightInd w:val="0"/>
        <w:spacing w:line="240" w:lineRule="auto"/>
        <w:rPr>
          <w:rFonts w:cs="Times New Roman"/>
          <w:szCs w:val="24"/>
        </w:rPr>
      </w:pPr>
      <w:r w:rsidRPr="00951AB1">
        <w:rPr>
          <w:rFonts w:cs="Times New Roman"/>
          <w:szCs w:val="24"/>
        </w:rPr>
        <w:t>El Tribunal le dio la razón a POB y ordenó pagar: </w:t>
      </w:r>
    </w:p>
    <w:p w14:paraId="11B04BA6" w14:textId="77777777" w:rsidR="004078AD" w:rsidRPr="00951AB1" w:rsidRDefault="004078AD" w:rsidP="000A5389">
      <w:pPr>
        <w:pStyle w:val="Prrafodelista"/>
        <w:numPr>
          <w:ilvl w:val="0"/>
          <w:numId w:val="105"/>
        </w:numPr>
        <w:autoSpaceDE w:val="0"/>
        <w:autoSpaceDN w:val="0"/>
        <w:adjustRightInd w:val="0"/>
        <w:spacing w:line="240" w:lineRule="auto"/>
        <w:rPr>
          <w:rFonts w:cs="Times New Roman"/>
          <w:szCs w:val="24"/>
        </w:rPr>
      </w:pPr>
      <w:r w:rsidRPr="00951AB1">
        <w:rPr>
          <w:rFonts w:cs="Times New Roman"/>
          <w:szCs w:val="24"/>
        </w:rPr>
        <w:t>COP $409.200.000.000 </w:t>
      </w:r>
    </w:p>
    <w:p w14:paraId="3352CA77" w14:textId="77777777" w:rsidR="004078AD" w:rsidRPr="00951AB1" w:rsidRDefault="004078AD" w:rsidP="000A5389">
      <w:pPr>
        <w:numPr>
          <w:ilvl w:val="0"/>
          <w:numId w:val="74"/>
        </w:numPr>
        <w:autoSpaceDE w:val="0"/>
        <w:autoSpaceDN w:val="0"/>
        <w:adjustRightInd w:val="0"/>
        <w:spacing w:line="240" w:lineRule="auto"/>
        <w:rPr>
          <w:rFonts w:cs="Times New Roman"/>
          <w:szCs w:val="24"/>
        </w:rPr>
      </w:pPr>
      <w:r w:rsidRPr="00951AB1">
        <w:rPr>
          <w:rFonts w:cs="Times New Roman"/>
          <w:szCs w:val="24"/>
        </w:rPr>
        <w:t>Intereses post-laudo:  Primeros 10 meses (20-dic-2024 al 19 -octubre 2025) </w:t>
      </w:r>
    </w:p>
    <w:p w14:paraId="0A2E02B0" w14:textId="77777777" w:rsidR="004078AD" w:rsidRPr="00951AB1" w:rsidRDefault="004078AD" w:rsidP="000A5389">
      <w:pPr>
        <w:numPr>
          <w:ilvl w:val="0"/>
          <w:numId w:val="75"/>
        </w:numPr>
        <w:autoSpaceDE w:val="0"/>
        <w:autoSpaceDN w:val="0"/>
        <w:adjustRightInd w:val="0"/>
        <w:spacing w:line="240" w:lineRule="auto"/>
        <w:rPr>
          <w:rFonts w:cs="Times New Roman"/>
          <w:szCs w:val="24"/>
        </w:rPr>
      </w:pPr>
      <w:r w:rsidRPr="00951AB1">
        <w:rPr>
          <w:rFonts w:cs="Times New Roman"/>
          <w:szCs w:val="24"/>
        </w:rPr>
        <w:t>Interés moratorio post Laudo: </w:t>
      </w:r>
      <w:r w:rsidRPr="00951AB1">
        <w:rPr>
          <w:rFonts w:cs="Times New Roman"/>
          <w:b/>
          <w:bCs/>
          <w:szCs w:val="24"/>
        </w:rPr>
        <w:t xml:space="preserve">después de los diez meses (20-octubre 2025 – 31-dic-2025) </w:t>
      </w:r>
      <w:r w:rsidRPr="00951AB1">
        <w:rPr>
          <w:rFonts w:cs="Times New Roman"/>
          <w:szCs w:val="24"/>
        </w:rPr>
        <w:t>subsecuentes a la ejecutoria sin que se haya hecho el pago interés Moratorio  </w:t>
      </w:r>
    </w:p>
    <w:p w14:paraId="7E9EC35F" w14:textId="77777777" w:rsidR="003E521A" w:rsidRPr="00951AB1" w:rsidRDefault="003E521A" w:rsidP="000A5389">
      <w:pPr>
        <w:autoSpaceDE w:val="0"/>
        <w:autoSpaceDN w:val="0"/>
        <w:adjustRightInd w:val="0"/>
        <w:spacing w:line="240" w:lineRule="auto"/>
        <w:ind w:left="720"/>
        <w:rPr>
          <w:rFonts w:cs="Times New Roman"/>
          <w:szCs w:val="24"/>
        </w:rPr>
      </w:pPr>
    </w:p>
    <w:p w14:paraId="2229CA0B" w14:textId="77777777" w:rsidR="004078AD" w:rsidRPr="00951AB1" w:rsidRDefault="004078AD" w:rsidP="000A5389">
      <w:pPr>
        <w:autoSpaceDE w:val="0"/>
        <w:autoSpaceDN w:val="0"/>
        <w:adjustRightInd w:val="0"/>
        <w:spacing w:line="240" w:lineRule="auto"/>
        <w:rPr>
          <w:rFonts w:cs="Times New Roman"/>
          <w:szCs w:val="24"/>
        </w:rPr>
      </w:pPr>
      <w:r w:rsidRPr="00951AB1">
        <w:rPr>
          <w:rFonts w:cs="Times New Roman"/>
          <w:b/>
          <w:bCs/>
          <w:szCs w:val="24"/>
        </w:rPr>
        <w:t>Tasa de interés:</w:t>
      </w:r>
    </w:p>
    <w:p w14:paraId="3838D300" w14:textId="77777777" w:rsidR="004078AD" w:rsidRPr="00951AB1" w:rsidRDefault="004078AD" w:rsidP="000A5389">
      <w:pPr>
        <w:pStyle w:val="Prrafodelista"/>
        <w:numPr>
          <w:ilvl w:val="0"/>
          <w:numId w:val="105"/>
        </w:numPr>
        <w:autoSpaceDE w:val="0"/>
        <w:autoSpaceDN w:val="0"/>
        <w:adjustRightInd w:val="0"/>
        <w:spacing w:line="240" w:lineRule="auto"/>
        <w:rPr>
          <w:rFonts w:cs="Times New Roman"/>
          <w:szCs w:val="24"/>
        </w:rPr>
      </w:pPr>
      <w:r w:rsidRPr="00951AB1">
        <w:rPr>
          <w:rFonts w:cs="Times New Roman"/>
          <w:szCs w:val="24"/>
        </w:rPr>
        <w:t>Intereses moratorio Post Laudo: primeros 10 meses:   </w:t>
      </w:r>
      <w:r w:rsidRPr="00951AB1">
        <w:rPr>
          <w:rFonts w:cs="Times New Roman"/>
          <w:b/>
          <w:bCs/>
          <w:szCs w:val="24"/>
        </w:rPr>
        <w:t>se aplicará DTF</w:t>
      </w:r>
    </w:p>
    <w:p w14:paraId="77037A04" w14:textId="77777777" w:rsidR="004078AD" w:rsidRPr="00951AB1" w:rsidRDefault="004078AD" w:rsidP="000A5389">
      <w:pPr>
        <w:pStyle w:val="Prrafodelista"/>
        <w:numPr>
          <w:ilvl w:val="0"/>
          <w:numId w:val="105"/>
        </w:numPr>
        <w:autoSpaceDE w:val="0"/>
        <w:autoSpaceDN w:val="0"/>
        <w:adjustRightInd w:val="0"/>
        <w:spacing w:line="240" w:lineRule="auto"/>
        <w:rPr>
          <w:rFonts w:cs="Times New Roman"/>
          <w:szCs w:val="24"/>
        </w:rPr>
      </w:pPr>
      <w:r w:rsidRPr="00951AB1">
        <w:rPr>
          <w:rFonts w:cs="Times New Roman"/>
          <w:szCs w:val="24"/>
        </w:rPr>
        <w:t>Intereses moratorio Post Laudo: Después de los primeros 10 meses (20 octubre de 2025 – 31 diciembre 2025):  </w:t>
      </w:r>
      <w:r w:rsidRPr="00951AB1">
        <w:rPr>
          <w:rFonts w:cs="Times New Roman"/>
          <w:b/>
          <w:bCs/>
          <w:szCs w:val="24"/>
        </w:rPr>
        <w:t>DTF + 15. %</w:t>
      </w:r>
    </w:p>
    <w:p w14:paraId="1EEBF5CE" w14:textId="77777777" w:rsidR="000F229B" w:rsidRPr="00951AB1" w:rsidRDefault="000F229B" w:rsidP="000A5389">
      <w:pPr>
        <w:pStyle w:val="Prrafodelista"/>
        <w:autoSpaceDE w:val="0"/>
        <w:autoSpaceDN w:val="0"/>
        <w:adjustRightInd w:val="0"/>
        <w:spacing w:line="240" w:lineRule="auto"/>
        <w:rPr>
          <w:rFonts w:cs="Times New Roman"/>
          <w:szCs w:val="24"/>
        </w:rPr>
      </w:pPr>
    </w:p>
    <w:p w14:paraId="5B6CF58B" w14:textId="77777777" w:rsidR="004078AD" w:rsidRDefault="004078AD" w:rsidP="000A5389">
      <w:pPr>
        <w:autoSpaceDE w:val="0"/>
        <w:autoSpaceDN w:val="0"/>
        <w:adjustRightInd w:val="0"/>
        <w:spacing w:line="240" w:lineRule="auto"/>
        <w:ind w:right="49"/>
        <w:rPr>
          <w:rFonts w:cs="Times New Roman"/>
          <w:szCs w:val="24"/>
        </w:rPr>
      </w:pPr>
      <w:r w:rsidRPr="00951AB1">
        <w:rPr>
          <w:rFonts w:cs="Times New Roman"/>
          <w:szCs w:val="24"/>
        </w:rPr>
        <w:t>Teniendo en cuenta que el laudo moratorio post laudo fue en el mes de marzo de 2025 en el cual daba 10 meses para el pago, se puede inferir que, a 31 de diciembre de 2025, no se presenta incumplimiento de la obligación.</w:t>
      </w:r>
    </w:p>
    <w:p w14:paraId="26F44480" w14:textId="77777777" w:rsidR="00692C50" w:rsidRPr="00951AB1" w:rsidRDefault="00692C50" w:rsidP="000A5389">
      <w:pPr>
        <w:autoSpaceDE w:val="0"/>
        <w:autoSpaceDN w:val="0"/>
        <w:adjustRightInd w:val="0"/>
        <w:spacing w:line="240" w:lineRule="auto"/>
        <w:ind w:right="49"/>
        <w:rPr>
          <w:rFonts w:cs="Times New Roman"/>
          <w:szCs w:val="24"/>
        </w:rPr>
      </w:pPr>
    </w:p>
    <w:p w14:paraId="7E14CCB4" w14:textId="77777777" w:rsidR="004078AD" w:rsidRPr="00951AB1" w:rsidRDefault="004078AD" w:rsidP="000A5389">
      <w:pPr>
        <w:pStyle w:val="Prrafodelista"/>
        <w:numPr>
          <w:ilvl w:val="0"/>
          <w:numId w:val="69"/>
        </w:numPr>
        <w:autoSpaceDE w:val="0"/>
        <w:autoSpaceDN w:val="0"/>
        <w:adjustRightInd w:val="0"/>
        <w:spacing w:line="240" w:lineRule="auto"/>
        <w:ind w:left="0" w:hanging="142"/>
        <w:rPr>
          <w:rFonts w:cs="Times New Roman"/>
          <w:szCs w:val="24"/>
        </w:rPr>
      </w:pPr>
      <w:r w:rsidRPr="00951AB1">
        <w:rPr>
          <w:rFonts w:cs="Times New Roman"/>
          <w:szCs w:val="24"/>
        </w:rPr>
        <w:t xml:space="preserve">Un valor de $810.381.884.665 (capital adeudado, actualización de capital e intereses corrientes), por la deuda reconocida a nombre de Yuma Concesionaria S.A. – En reorganización, del proyecto Ruta del Sol Sector 3, contrato de concesión No. 007 de 2010, por el Laudo Arbitral No. 23250 y acuerdo No. 28291 del 03/09/2025 - 07/01/2026, respectivamente, en el que condenó a la entidad por lo siguiente: </w:t>
      </w:r>
    </w:p>
    <w:p w14:paraId="7EFE1537" w14:textId="77777777" w:rsidR="004078AD" w:rsidRPr="00951AB1" w:rsidRDefault="004078AD" w:rsidP="000A5389">
      <w:pPr>
        <w:pStyle w:val="Prrafodelista"/>
        <w:autoSpaceDE w:val="0"/>
        <w:autoSpaceDN w:val="0"/>
        <w:adjustRightInd w:val="0"/>
        <w:spacing w:line="240" w:lineRule="auto"/>
        <w:ind w:left="0"/>
        <w:rPr>
          <w:rFonts w:cs="Times New Roman"/>
          <w:szCs w:val="24"/>
          <w:highlight w:val="cyan"/>
        </w:rPr>
      </w:pPr>
    </w:p>
    <w:p w14:paraId="7480DAAF" w14:textId="77777777" w:rsidR="004078AD" w:rsidRDefault="004078AD" w:rsidP="000A5389">
      <w:pPr>
        <w:pStyle w:val="Prrafodelista"/>
        <w:spacing w:line="240" w:lineRule="auto"/>
        <w:ind w:left="567" w:right="900"/>
        <w:rPr>
          <w:rFonts w:cs="Times New Roman"/>
          <w:i/>
          <w:iCs/>
          <w:szCs w:val="24"/>
        </w:rPr>
      </w:pPr>
      <w:r w:rsidRPr="00951AB1">
        <w:rPr>
          <w:rFonts w:cs="Times New Roman"/>
          <w:i/>
          <w:iCs/>
          <w:szCs w:val="24"/>
        </w:rPr>
        <w:t>“Arbitraje internacional interpuesto por ruptura de equilibrio económico del contrato a partir de las obligaciones relacionadas con consultas previas, ola invernal, mantenimientos en el Tramo 8, manual de drenaje, empedrización y traslado de redes. Se suscribió Acuerdo Conciliatorio de cumplimiento del Laudo Internacional.”</w:t>
      </w:r>
    </w:p>
    <w:p w14:paraId="5A8919B7" w14:textId="77777777" w:rsidR="00692C50" w:rsidRPr="00951AB1" w:rsidRDefault="00692C50" w:rsidP="000A5389">
      <w:pPr>
        <w:pStyle w:val="Prrafodelista"/>
        <w:spacing w:line="240" w:lineRule="auto"/>
        <w:ind w:left="567" w:right="900"/>
        <w:rPr>
          <w:rFonts w:cs="Times New Roman"/>
          <w:i/>
          <w:iCs/>
          <w:szCs w:val="24"/>
        </w:rPr>
      </w:pPr>
    </w:p>
    <w:p w14:paraId="0E526795" w14:textId="77777777" w:rsidR="004078AD" w:rsidRPr="00951AB1" w:rsidRDefault="004078AD" w:rsidP="000A5389">
      <w:pPr>
        <w:autoSpaceDE w:val="0"/>
        <w:autoSpaceDN w:val="0"/>
        <w:adjustRightInd w:val="0"/>
        <w:spacing w:line="240" w:lineRule="auto"/>
        <w:rPr>
          <w:rFonts w:cs="Times New Roman"/>
          <w:b/>
          <w:bCs/>
          <w:i/>
          <w:iCs/>
          <w:szCs w:val="24"/>
        </w:rPr>
      </w:pPr>
      <w:r w:rsidRPr="00951AB1">
        <w:rPr>
          <w:rFonts w:cs="Times New Roman"/>
          <w:b/>
          <w:bCs/>
          <w:i/>
          <w:iCs/>
          <w:szCs w:val="24"/>
        </w:rPr>
        <w:t>Información de condiciones:</w:t>
      </w:r>
    </w:p>
    <w:p w14:paraId="0A5C8A49" w14:textId="77777777" w:rsidR="004078AD" w:rsidRPr="00951AB1" w:rsidRDefault="004078AD" w:rsidP="000A5389">
      <w:pPr>
        <w:autoSpaceDE w:val="0"/>
        <w:autoSpaceDN w:val="0"/>
        <w:adjustRightInd w:val="0"/>
        <w:spacing w:line="240" w:lineRule="auto"/>
        <w:rPr>
          <w:rFonts w:cs="Times New Roman"/>
          <w:b/>
          <w:bCs/>
          <w:szCs w:val="24"/>
        </w:rPr>
      </w:pPr>
      <w:r w:rsidRPr="00951AB1">
        <w:rPr>
          <w:rFonts w:cs="Times New Roman"/>
          <w:b/>
          <w:bCs/>
          <w:szCs w:val="24"/>
        </w:rPr>
        <w:t>Plazo: </w:t>
      </w:r>
    </w:p>
    <w:p w14:paraId="1B31CD1E" w14:textId="77777777" w:rsidR="004078AD" w:rsidRPr="00951AB1" w:rsidRDefault="004078AD" w:rsidP="000A5389">
      <w:pPr>
        <w:pStyle w:val="Prrafodelista"/>
        <w:numPr>
          <w:ilvl w:val="0"/>
          <w:numId w:val="106"/>
        </w:numPr>
        <w:autoSpaceDE w:val="0"/>
        <w:autoSpaceDN w:val="0"/>
        <w:adjustRightInd w:val="0"/>
        <w:spacing w:line="240" w:lineRule="auto"/>
        <w:rPr>
          <w:rFonts w:cs="Times New Roman"/>
          <w:szCs w:val="24"/>
        </w:rPr>
      </w:pPr>
      <w:r w:rsidRPr="00951AB1">
        <w:rPr>
          <w:rFonts w:cs="Times New Roman"/>
          <w:szCs w:val="24"/>
        </w:rPr>
        <w:t>50% del valor adeudado con cargo al cupo TES de 2026. </w:t>
      </w:r>
    </w:p>
    <w:p w14:paraId="6096AD05" w14:textId="77777777" w:rsidR="004078AD" w:rsidRPr="00951AB1" w:rsidRDefault="004078AD" w:rsidP="000A5389">
      <w:pPr>
        <w:pStyle w:val="Prrafodelista"/>
        <w:numPr>
          <w:ilvl w:val="0"/>
          <w:numId w:val="106"/>
        </w:numPr>
        <w:autoSpaceDE w:val="0"/>
        <w:autoSpaceDN w:val="0"/>
        <w:adjustRightInd w:val="0"/>
        <w:spacing w:line="240" w:lineRule="auto"/>
        <w:rPr>
          <w:rFonts w:cs="Times New Roman"/>
          <w:szCs w:val="24"/>
        </w:rPr>
      </w:pPr>
      <w:r w:rsidRPr="00951AB1">
        <w:rPr>
          <w:rFonts w:cs="Times New Roman"/>
          <w:szCs w:val="24"/>
        </w:rPr>
        <w:t>35% del valor adeudado con cargo al cupo TES de 2027. Incluye el valor de actualización que está determinado a partir del recalculo mediante IPC + TDI hasta la fecha de la oferta de pago y aceptación de pago por parte de YUMA.</w:t>
      </w:r>
    </w:p>
    <w:p w14:paraId="0F7890B4" w14:textId="77777777" w:rsidR="004078AD" w:rsidRPr="00951AB1" w:rsidRDefault="004078AD" w:rsidP="000A5389">
      <w:pPr>
        <w:pStyle w:val="Prrafodelista"/>
        <w:numPr>
          <w:ilvl w:val="0"/>
          <w:numId w:val="106"/>
        </w:numPr>
        <w:autoSpaceDE w:val="0"/>
        <w:autoSpaceDN w:val="0"/>
        <w:adjustRightInd w:val="0"/>
        <w:spacing w:line="240" w:lineRule="auto"/>
        <w:rPr>
          <w:rFonts w:cs="Times New Roman"/>
          <w:szCs w:val="24"/>
        </w:rPr>
      </w:pPr>
      <w:r w:rsidRPr="00951AB1">
        <w:rPr>
          <w:rFonts w:cs="Times New Roman"/>
          <w:szCs w:val="24"/>
        </w:rPr>
        <w:lastRenderedPageBreak/>
        <w:t>El 15% o valor restante con cargo al cupo TES de 2025. Incluye el valor de actualización que está determinado a partir del recalculo mediante IPC + TDI hasta la fecha de la oferta de pago y aceptación de pago por parte de YUMA.</w:t>
      </w:r>
    </w:p>
    <w:p w14:paraId="4DBDF046" w14:textId="77777777" w:rsidR="004505B7" w:rsidRPr="00951AB1" w:rsidRDefault="004505B7" w:rsidP="00692C50">
      <w:pPr>
        <w:pStyle w:val="Prrafodelista"/>
        <w:autoSpaceDE w:val="0"/>
        <w:autoSpaceDN w:val="0"/>
        <w:adjustRightInd w:val="0"/>
        <w:spacing w:line="240" w:lineRule="auto"/>
        <w:ind w:left="1080"/>
        <w:rPr>
          <w:rFonts w:cs="Times New Roman"/>
          <w:szCs w:val="24"/>
        </w:rPr>
      </w:pPr>
    </w:p>
    <w:p w14:paraId="1F5414D9" w14:textId="77777777" w:rsidR="004078AD" w:rsidRPr="00951AB1" w:rsidRDefault="004078AD" w:rsidP="000A5389">
      <w:pPr>
        <w:autoSpaceDE w:val="0"/>
        <w:autoSpaceDN w:val="0"/>
        <w:adjustRightInd w:val="0"/>
        <w:spacing w:line="240" w:lineRule="auto"/>
        <w:rPr>
          <w:rFonts w:cs="Times New Roman"/>
          <w:b/>
          <w:bCs/>
          <w:szCs w:val="24"/>
        </w:rPr>
      </w:pPr>
      <w:r w:rsidRPr="00951AB1">
        <w:rPr>
          <w:rFonts w:cs="Times New Roman"/>
          <w:b/>
          <w:bCs/>
          <w:szCs w:val="24"/>
        </w:rPr>
        <w:t>Tasa de interés: </w:t>
      </w:r>
    </w:p>
    <w:p w14:paraId="77B078EF" w14:textId="77777777" w:rsidR="004078AD" w:rsidRPr="00951AB1" w:rsidRDefault="004078AD" w:rsidP="000A5389">
      <w:pPr>
        <w:pStyle w:val="Prrafodelista"/>
        <w:numPr>
          <w:ilvl w:val="0"/>
          <w:numId w:val="107"/>
        </w:numPr>
        <w:autoSpaceDE w:val="0"/>
        <w:autoSpaceDN w:val="0"/>
        <w:adjustRightInd w:val="0"/>
        <w:spacing w:line="240" w:lineRule="auto"/>
        <w:rPr>
          <w:rFonts w:cs="Times New Roman"/>
          <w:szCs w:val="24"/>
        </w:rPr>
      </w:pPr>
      <w:r w:rsidRPr="00951AB1">
        <w:rPr>
          <w:rFonts w:cs="Times New Roman"/>
          <w:szCs w:val="24"/>
        </w:rPr>
        <w:t>Incluye el valor de actualización que está determinado a partir del recalculo mediante IPC + TDI hasta la fecha de la oferta de pago y aceptación de pago por parte de YUMA y con 4 meses de periodo de gracia a partir de la fecha de aceptación de las ofertas de pago por parte de la ANI. </w:t>
      </w:r>
    </w:p>
    <w:p w14:paraId="0BAB8946" w14:textId="77777777" w:rsidR="00E26C79" w:rsidRPr="00951AB1" w:rsidRDefault="00E26C79" w:rsidP="00692C50">
      <w:pPr>
        <w:pStyle w:val="Prrafodelista"/>
        <w:autoSpaceDE w:val="0"/>
        <w:autoSpaceDN w:val="0"/>
        <w:adjustRightInd w:val="0"/>
        <w:spacing w:line="240" w:lineRule="auto"/>
        <w:ind w:left="1080"/>
        <w:rPr>
          <w:rFonts w:cs="Times New Roman"/>
          <w:szCs w:val="24"/>
        </w:rPr>
      </w:pPr>
    </w:p>
    <w:p w14:paraId="481C5A31" w14:textId="77777777" w:rsidR="004505B7" w:rsidRPr="00951AB1" w:rsidRDefault="004078AD" w:rsidP="000A5389">
      <w:pPr>
        <w:autoSpaceDE w:val="0"/>
        <w:autoSpaceDN w:val="0"/>
        <w:adjustRightInd w:val="0"/>
        <w:spacing w:line="240" w:lineRule="auto"/>
        <w:rPr>
          <w:rFonts w:cs="Times New Roman"/>
          <w:b/>
          <w:bCs/>
          <w:szCs w:val="24"/>
        </w:rPr>
      </w:pPr>
      <w:r w:rsidRPr="00951AB1">
        <w:rPr>
          <w:rFonts w:cs="Times New Roman"/>
          <w:b/>
          <w:bCs/>
          <w:szCs w:val="24"/>
        </w:rPr>
        <w:t>Vencimiento: </w:t>
      </w:r>
    </w:p>
    <w:p w14:paraId="02BCDCE6" w14:textId="77777777" w:rsidR="004078AD" w:rsidRPr="00951AB1" w:rsidRDefault="004078AD" w:rsidP="000A5389">
      <w:pPr>
        <w:pStyle w:val="Prrafodelista"/>
        <w:numPr>
          <w:ilvl w:val="0"/>
          <w:numId w:val="107"/>
        </w:numPr>
        <w:autoSpaceDE w:val="0"/>
        <w:autoSpaceDN w:val="0"/>
        <w:adjustRightInd w:val="0"/>
        <w:spacing w:line="240" w:lineRule="auto"/>
        <w:rPr>
          <w:rFonts w:cs="Times New Roman"/>
          <w:b/>
          <w:bCs/>
          <w:szCs w:val="24"/>
        </w:rPr>
      </w:pPr>
      <w:r w:rsidRPr="00951AB1">
        <w:rPr>
          <w:rFonts w:cs="Times New Roman"/>
          <w:szCs w:val="24"/>
        </w:rPr>
        <w:t>A partir del 1 de agosto de 2028 se generarán intereses moratorios a la tasa indicada en la sección 19.01 del contrato y que corresponde al IBC+1/3.</w:t>
      </w:r>
    </w:p>
    <w:p w14:paraId="387ED9E4" w14:textId="77777777" w:rsidR="00E26C79" w:rsidRPr="00951AB1" w:rsidRDefault="00E26C79" w:rsidP="000A5389">
      <w:pPr>
        <w:pStyle w:val="Prrafodelista"/>
        <w:autoSpaceDE w:val="0"/>
        <w:autoSpaceDN w:val="0"/>
        <w:adjustRightInd w:val="0"/>
        <w:spacing w:line="240" w:lineRule="auto"/>
        <w:ind w:left="1080"/>
        <w:rPr>
          <w:rFonts w:cs="Times New Roman"/>
          <w:b/>
          <w:bCs/>
          <w:szCs w:val="24"/>
        </w:rPr>
      </w:pPr>
    </w:p>
    <w:p w14:paraId="227327E4" w14:textId="77777777" w:rsidR="004078AD" w:rsidRDefault="004078AD" w:rsidP="000A5389">
      <w:pPr>
        <w:autoSpaceDE w:val="0"/>
        <w:autoSpaceDN w:val="0"/>
        <w:adjustRightInd w:val="0"/>
        <w:spacing w:line="240" w:lineRule="auto"/>
        <w:rPr>
          <w:rFonts w:cs="Times New Roman"/>
          <w:szCs w:val="24"/>
        </w:rPr>
      </w:pPr>
      <w:r w:rsidRPr="00951AB1">
        <w:rPr>
          <w:rFonts w:cs="Times New Roman"/>
          <w:szCs w:val="24"/>
        </w:rPr>
        <w:t>En la cláusula tercera del acta de acuerdo conciliatorio del Laudo Arbitral Internacional 23250 se indica que la obligación podrá ser pagada con TES, o con cargo a recursos del Patrimonio Autónomo por concepto de Aportes INCO, o con Recursos propios de la Agencia Nacional de infraestructura, debidamente incorporados dentro de su presupuesto, por lo que para dar de baja la cuenta por pagar se informará al área del pago.</w:t>
      </w:r>
    </w:p>
    <w:p w14:paraId="36CE227C" w14:textId="77777777" w:rsidR="004078AD" w:rsidRDefault="004078AD" w:rsidP="000A5389">
      <w:pPr>
        <w:autoSpaceDE w:val="0"/>
        <w:autoSpaceDN w:val="0"/>
        <w:adjustRightInd w:val="0"/>
        <w:spacing w:line="240" w:lineRule="auto"/>
        <w:rPr>
          <w:rFonts w:cs="Times New Roman"/>
          <w:szCs w:val="24"/>
        </w:rPr>
      </w:pPr>
      <w:r w:rsidRPr="00951AB1">
        <w:rPr>
          <w:rFonts w:cs="Times New Roman"/>
          <w:szCs w:val="24"/>
        </w:rPr>
        <w:t>En la vigencia 2025, para esta deuda, no se realizó ningún pago ni abono.</w:t>
      </w:r>
    </w:p>
    <w:p w14:paraId="0F96480A" w14:textId="77777777" w:rsidR="00692C50" w:rsidRPr="00951AB1" w:rsidRDefault="00692C50" w:rsidP="000A5389">
      <w:pPr>
        <w:autoSpaceDE w:val="0"/>
        <w:autoSpaceDN w:val="0"/>
        <w:adjustRightInd w:val="0"/>
        <w:spacing w:line="240" w:lineRule="auto"/>
        <w:rPr>
          <w:rFonts w:cs="Times New Roman"/>
          <w:szCs w:val="24"/>
        </w:rPr>
      </w:pPr>
    </w:p>
    <w:p w14:paraId="1D0DB28F" w14:textId="77777777" w:rsidR="004078AD" w:rsidRPr="00951AB1" w:rsidRDefault="004078AD" w:rsidP="000A5389">
      <w:pPr>
        <w:pStyle w:val="Prrafodelista"/>
        <w:numPr>
          <w:ilvl w:val="0"/>
          <w:numId w:val="69"/>
        </w:numPr>
        <w:autoSpaceDE w:val="0"/>
        <w:autoSpaceDN w:val="0"/>
        <w:adjustRightInd w:val="0"/>
        <w:spacing w:line="240" w:lineRule="auto"/>
        <w:ind w:left="0" w:hanging="142"/>
        <w:rPr>
          <w:rFonts w:cs="Times New Roman"/>
          <w:szCs w:val="24"/>
        </w:rPr>
      </w:pPr>
      <w:r w:rsidRPr="00951AB1">
        <w:rPr>
          <w:rFonts w:cs="Times New Roman"/>
          <w:szCs w:val="24"/>
        </w:rPr>
        <w:t xml:space="preserve">Un valor de $795.752.941.128 (capital adeudado), por la deuda reconocida a nombre de la Unión Temporal Desarrollo Vial del Valle del Cauca y Cauca, del proyecto Malla Vial del Valle del Cauca y Cauca, contrato de concesión No. 005 de 1999, por el Laudo Arbitral No. 15811, Acta 30 Auto No. 43 del 7 de octubre de 2020, ejecutoriado el 9 de octubre de 2020. </w:t>
      </w:r>
    </w:p>
    <w:p w14:paraId="3187E4AD" w14:textId="77777777" w:rsidR="004078AD" w:rsidRPr="00951AB1" w:rsidRDefault="004078AD" w:rsidP="000A5389">
      <w:pPr>
        <w:pStyle w:val="Prrafodelista"/>
        <w:autoSpaceDE w:val="0"/>
        <w:autoSpaceDN w:val="0"/>
        <w:adjustRightInd w:val="0"/>
        <w:spacing w:line="240" w:lineRule="auto"/>
        <w:ind w:left="0"/>
        <w:rPr>
          <w:rFonts w:cs="Times New Roman"/>
          <w:szCs w:val="24"/>
        </w:rPr>
      </w:pPr>
    </w:p>
    <w:p w14:paraId="455C9AB0" w14:textId="77777777" w:rsidR="004078AD" w:rsidRPr="00951AB1" w:rsidRDefault="004078AD" w:rsidP="000A5389">
      <w:pPr>
        <w:pStyle w:val="Prrafodelista"/>
        <w:autoSpaceDE w:val="0"/>
        <w:autoSpaceDN w:val="0"/>
        <w:adjustRightInd w:val="0"/>
        <w:spacing w:line="240" w:lineRule="auto"/>
        <w:ind w:left="0"/>
        <w:rPr>
          <w:rFonts w:cs="Times New Roman"/>
          <w:szCs w:val="24"/>
        </w:rPr>
      </w:pPr>
      <w:r w:rsidRPr="00951AB1">
        <w:rPr>
          <w:rFonts w:cs="Times New Roman"/>
          <w:szCs w:val="24"/>
        </w:rPr>
        <w:t>El laudo resolvió la controversia entre la ANI y la Unión Temporal Desarrollo Vial del Valle del Cauca y Cauca sobre la validez, ejecución y liquidación del Contrato Adicional No.13 al Contrato de Concesión 005 de 1999. El Tribunal declaró la nulidad del contrato adicional, reconoció pagos por obras ejecutadas y ordenó aplicar la fórmula financiera prevista en el contrato principal para la liquidación.</w:t>
      </w:r>
    </w:p>
    <w:p w14:paraId="0CA7239D" w14:textId="77777777" w:rsidR="004078AD" w:rsidRPr="00951AB1" w:rsidRDefault="004078AD" w:rsidP="000A5389">
      <w:pPr>
        <w:pStyle w:val="Prrafodelista"/>
        <w:autoSpaceDE w:val="0"/>
        <w:autoSpaceDN w:val="0"/>
        <w:adjustRightInd w:val="0"/>
        <w:spacing w:line="240" w:lineRule="auto"/>
        <w:ind w:left="0"/>
        <w:rPr>
          <w:rFonts w:cs="Times New Roman"/>
          <w:szCs w:val="24"/>
        </w:rPr>
      </w:pPr>
      <w:r w:rsidRPr="00951AB1">
        <w:rPr>
          <w:rFonts w:cs="Times New Roman"/>
          <w:szCs w:val="24"/>
        </w:rPr>
        <w:t xml:space="preserve"> </w:t>
      </w:r>
    </w:p>
    <w:p w14:paraId="030DF111" w14:textId="77777777" w:rsidR="004078AD" w:rsidRPr="00951AB1" w:rsidRDefault="004078AD" w:rsidP="000A5389">
      <w:pPr>
        <w:autoSpaceDE w:val="0"/>
        <w:autoSpaceDN w:val="0"/>
        <w:adjustRightInd w:val="0"/>
        <w:spacing w:line="240" w:lineRule="auto"/>
        <w:rPr>
          <w:rFonts w:cs="Times New Roman"/>
          <w:szCs w:val="24"/>
        </w:rPr>
      </w:pPr>
      <w:r w:rsidRPr="00951AB1">
        <w:rPr>
          <w:rFonts w:cs="Times New Roman"/>
          <w:szCs w:val="24"/>
        </w:rPr>
        <w:t>La Tasa de interés pactada es DTF más cinco puntos porcentuales (5%) durante los primeros 18 meses, de acuerdo con lo previsto en la cláusula 53.3. del Contrato de Concesión.</w:t>
      </w:r>
    </w:p>
    <w:p w14:paraId="48E5C10A" w14:textId="77777777" w:rsidR="004078AD" w:rsidRPr="00951AB1" w:rsidRDefault="004078AD" w:rsidP="000A5389">
      <w:pPr>
        <w:autoSpaceDE w:val="0"/>
        <w:autoSpaceDN w:val="0"/>
        <w:adjustRightInd w:val="0"/>
        <w:spacing w:line="240" w:lineRule="auto"/>
        <w:rPr>
          <w:rFonts w:cs="Times New Roman"/>
          <w:szCs w:val="24"/>
        </w:rPr>
      </w:pPr>
      <w:r w:rsidRPr="00951AB1">
        <w:rPr>
          <w:rFonts w:cs="Times New Roman"/>
          <w:szCs w:val="24"/>
        </w:rPr>
        <w:t> </w:t>
      </w:r>
    </w:p>
    <w:p w14:paraId="312B6864" w14:textId="77777777" w:rsidR="004078AD" w:rsidRPr="00951AB1" w:rsidRDefault="004078AD" w:rsidP="000A5389">
      <w:pPr>
        <w:autoSpaceDE w:val="0"/>
        <w:autoSpaceDN w:val="0"/>
        <w:adjustRightInd w:val="0"/>
        <w:spacing w:line="240" w:lineRule="auto"/>
        <w:rPr>
          <w:rFonts w:cs="Times New Roman"/>
          <w:szCs w:val="24"/>
        </w:rPr>
      </w:pPr>
      <w:r w:rsidRPr="00951AB1">
        <w:rPr>
          <w:rFonts w:cs="Times New Roman"/>
          <w:szCs w:val="24"/>
        </w:rPr>
        <w:t>Los intereses moratorios, proceden únicamente si transcurren los 18 meses sin que se haya efectuado el reembolso, conforme a la Cláusula 52 del Contrato de Concesión (interés bancario corriente certificado por la Superintendencia Financiera).</w:t>
      </w:r>
    </w:p>
    <w:p w14:paraId="695080F1" w14:textId="77777777" w:rsidR="004078AD" w:rsidRPr="00951AB1" w:rsidRDefault="004078AD" w:rsidP="000A5389">
      <w:pPr>
        <w:autoSpaceDE w:val="0"/>
        <w:autoSpaceDN w:val="0"/>
        <w:adjustRightInd w:val="0"/>
        <w:spacing w:line="240" w:lineRule="auto"/>
        <w:rPr>
          <w:rFonts w:cs="Times New Roman"/>
          <w:szCs w:val="24"/>
        </w:rPr>
      </w:pPr>
    </w:p>
    <w:p w14:paraId="506F9BBB" w14:textId="77777777" w:rsidR="004078AD" w:rsidRPr="00951AB1" w:rsidRDefault="004078AD" w:rsidP="000A5389">
      <w:pPr>
        <w:autoSpaceDE w:val="0"/>
        <w:autoSpaceDN w:val="0"/>
        <w:adjustRightInd w:val="0"/>
        <w:spacing w:line="240" w:lineRule="auto"/>
        <w:ind w:right="49"/>
        <w:rPr>
          <w:rFonts w:eastAsia="OpenSymbol" w:cs="Times New Roman"/>
          <w:color w:val="000000"/>
          <w:szCs w:val="24"/>
          <w:lang w:eastAsia="es-CO"/>
        </w:rPr>
      </w:pPr>
      <w:r w:rsidRPr="00951AB1">
        <w:rPr>
          <w:rFonts w:eastAsia="OpenSymbol" w:cs="Times New Roman"/>
          <w:color w:val="000000"/>
          <w:szCs w:val="24"/>
          <w:lang w:eastAsia="es-CO"/>
        </w:rPr>
        <w:t xml:space="preserve">El 17 de enero de 2022 el Consejo de Estado notificó a la Agencia el fallo proferido en el marco del Recurso Extraordinario de Anulación del Laudo Arbitral del 25 de septiembre de 2020, corregido mediante Auto No. 43 del 7 de octubre de 2020, dejando sin efecto la orden de suspensión de cumplimiento del Laudo Arbitral en consecuencia, se debe dar </w:t>
      </w:r>
      <w:r w:rsidRPr="00951AB1">
        <w:rPr>
          <w:rFonts w:eastAsia="OpenSymbol" w:cs="Times New Roman"/>
          <w:color w:val="000000"/>
          <w:szCs w:val="24"/>
          <w:lang w:eastAsia="es-CO"/>
        </w:rPr>
        <w:lastRenderedPageBreak/>
        <w:t>cumplimiento al pago de lo ordenado en el referido Laudo en cuanto a pagar la suma decretada en el numeral séptimo.</w:t>
      </w:r>
    </w:p>
    <w:p w14:paraId="64B62A46" w14:textId="77777777" w:rsidR="004078AD" w:rsidRPr="00951AB1" w:rsidRDefault="004078AD" w:rsidP="000A5389">
      <w:pPr>
        <w:autoSpaceDE w:val="0"/>
        <w:autoSpaceDN w:val="0"/>
        <w:adjustRightInd w:val="0"/>
        <w:spacing w:line="240" w:lineRule="auto"/>
        <w:ind w:left="567" w:right="49"/>
        <w:rPr>
          <w:rFonts w:eastAsia="OpenSymbol" w:cs="Times New Roman"/>
          <w:color w:val="000000"/>
          <w:szCs w:val="24"/>
          <w:lang w:eastAsia="es-CO"/>
        </w:rPr>
      </w:pPr>
    </w:p>
    <w:p w14:paraId="3B80BB5D" w14:textId="77777777" w:rsidR="004078AD" w:rsidRPr="00951AB1" w:rsidRDefault="004078AD" w:rsidP="000A5389">
      <w:pPr>
        <w:autoSpaceDE w:val="0"/>
        <w:autoSpaceDN w:val="0"/>
        <w:adjustRightInd w:val="0"/>
        <w:spacing w:line="240" w:lineRule="auto"/>
        <w:ind w:right="49"/>
        <w:rPr>
          <w:rFonts w:eastAsia="OpenSymbol" w:cs="Times New Roman"/>
          <w:color w:val="000000"/>
          <w:szCs w:val="24"/>
          <w:lang w:eastAsia="es-CO"/>
        </w:rPr>
      </w:pPr>
      <w:r w:rsidRPr="00951AB1">
        <w:rPr>
          <w:rFonts w:eastAsia="OpenSymbol" w:cs="Times New Roman"/>
          <w:color w:val="000000"/>
          <w:szCs w:val="24"/>
          <w:lang w:eastAsia="es-CO"/>
        </w:rPr>
        <w:t>Se descuenta el valor del Laudo del 121886 25/04/2022, el cual es a favor de la ANI en $10,884,701,380</w:t>
      </w:r>
    </w:p>
    <w:p w14:paraId="54A0A2E5" w14:textId="77777777" w:rsidR="004078AD" w:rsidRPr="00951AB1" w:rsidRDefault="004078AD" w:rsidP="000A5389">
      <w:pPr>
        <w:autoSpaceDE w:val="0"/>
        <w:autoSpaceDN w:val="0"/>
        <w:adjustRightInd w:val="0"/>
        <w:spacing w:line="240" w:lineRule="auto"/>
        <w:ind w:right="49"/>
        <w:rPr>
          <w:rFonts w:eastAsia="OpenSymbol" w:cs="Times New Roman"/>
          <w:color w:val="000000"/>
          <w:szCs w:val="24"/>
          <w:lang w:eastAsia="es-CO"/>
        </w:rPr>
      </w:pPr>
    </w:p>
    <w:p w14:paraId="3196094D" w14:textId="77777777" w:rsidR="004078AD" w:rsidRPr="00951AB1" w:rsidRDefault="004078AD" w:rsidP="000A5389">
      <w:pPr>
        <w:autoSpaceDE w:val="0"/>
        <w:autoSpaceDN w:val="0"/>
        <w:adjustRightInd w:val="0"/>
        <w:spacing w:line="240" w:lineRule="auto"/>
        <w:ind w:right="49"/>
        <w:rPr>
          <w:rFonts w:eastAsia="OpenSymbol" w:cs="Times New Roman"/>
          <w:color w:val="000000"/>
          <w:szCs w:val="24"/>
          <w:lang w:eastAsia="es-CO"/>
        </w:rPr>
      </w:pPr>
      <w:r w:rsidRPr="00951AB1">
        <w:rPr>
          <w:rFonts w:eastAsia="OpenSymbol" w:cs="Times New Roman"/>
          <w:color w:val="000000"/>
          <w:szCs w:val="24"/>
          <w:lang w:eastAsia="es-CO"/>
        </w:rPr>
        <w:t>Se descuenta a capital, las siguientes compensaciones de deudas tributarias de beneficiarios según Resoluciones DIAN:</w:t>
      </w:r>
    </w:p>
    <w:p w14:paraId="63EFAE34" w14:textId="77777777" w:rsidR="004078AD" w:rsidRPr="00951AB1" w:rsidRDefault="004078AD" w:rsidP="000A5389">
      <w:pPr>
        <w:autoSpaceDE w:val="0"/>
        <w:autoSpaceDN w:val="0"/>
        <w:adjustRightInd w:val="0"/>
        <w:spacing w:line="240" w:lineRule="auto"/>
        <w:ind w:right="49"/>
        <w:rPr>
          <w:rFonts w:eastAsia="OpenSymbol" w:cs="Times New Roman"/>
          <w:color w:val="000000"/>
          <w:szCs w:val="24"/>
          <w:lang w:eastAsia="es-CO"/>
        </w:rPr>
      </w:pPr>
    </w:p>
    <w:p w14:paraId="7CFAFBEB" w14:textId="77777777" w:rsidR="004078AD" w:rsidRPr="00951AB1" w:rsidRDefault="004078AD" w:rsidP="000A5389">
      <w:pPr>
        <w:autoSpaceDE w:val="0"/>
        <w:autoSpaceDN w:val="0"/>
        <w:adjustRightInd w:val="0"/>
        <w:spacing w:line="240" w:lineRule="auto"/>
        <w:ind w:left="567" w:right="49"/>
        <w:rPr>
          <w:rFonts w:eastAsia="OpenSymbol" w:cs="Times New Roman"/>
          <w:color w:val="000000"/>
          <w:szCs w:val="24"/>
          <w:lang w:eastAsia="es-CO"/>
        </w:rPr>
      </w:pPr>
      <w:r w:rsidRPr="00951AB1">
        <w:rPr>
          <w:rFonts w:eastAsia="OpenSymbol" w:cs="Times New Roman"/>
          <w:color w:val="000000"/>
          <w:szCs w:val="24"/>
          <w:lang w:eastAsia="es-CO"/>
        </w:rPr>
        <w:t>Resolución 726 del 07/06/2024 Contribuyente: Solarte Viveros Luis Fernando Valor: $111.090.000</w:t>
      </w:r>
    </w:p>
    <w:p w14:paraId="439F7050" w14:textId="77777777" w:rsidR="004078AD" w:rsidRPr="00951AB1" w:rsidRDefault="004078AD" w:rsidP="000A5389">
      <w:pPr>
        <w:autoSpaceDE w:val="0"/>
        <w:autoSpaceDN w:val="0"/>
        <w:adjustRightInd w:val="0"/>
        <w:spacing w:line="240" w:lineRule="auto"/>
        <w:ind w:left="567" w:right="49"/>
        <w:rPr>
          <w:rFonts w:eastAsia="OpenSymbol" w:cs="Times New Roman"/>
          <w:color w:val="000000"/>
          <w:szCs w:val="24"/>
          <w:lang w:eastAsia="es-CO"/>
        </w:rPr>
      </w:pPr>
      <w:r w:rsidRPr="00951AB1">
        <w:rPr>
          <w:rFonts w:eastAsia="OpenSymbol" w:cs="Times New Roman"/>
          <w:color w:val="000000"/>
          <w:szCs w:val="24"/>
          <w:lang w:eastAsia="es-CO"/>
        </w:rPr>
        <w:t>Resolución 727 del 11/06/2024 Contribuyente: Solarte Viveros Gabriel David Valor: $103.064.000</w:t>
      </w:r>
    </w:p>
    <w:p w14:paraId="56A49656" w14:textId="77777777" w:rsidR="004078AD" w:rsidRPr="00951AB1" w:rsidRDefault="004078AD" w:rsidP="000A5389">
      <w:pPr>
        <w:autoSpaceDE w:val="0"/>
        <w:autoSpaceDN w:val="0"/>
        <w:adjustRightInd w:val="0"/>
        <w:spacing w:line="240" w:lineRule="auto"/>
        <w:ind w:left="567" w:right="49"/>
        <w:rPr>
          <w:rFonts w:eastAsia="OpenSymbol" w:cs="Times New Roman"/>
          <w:color w:val="000000"/>
          <w:szCs w:val="24"/>
          <w:lang w:eastAsia="es-CO"/>
        </w:rPr>
      </w:pPr>
    </w:p>
    <w:p w14:paraId="032842F4" w14:textId="77777777" w:rsidR="004078AD" w:rsidRPr="00951AB1" w:rsidRDefault="004078AD" w:rsidP="000A5389">
      <w:pPr>
        <w:autoSpaceDE w:val="0"/>
        <w:autoSpaceDN w:val="0"/>
        <w:adjustRightInd w:val="0"/>
        <w:spacing w:line="240" w:lineRule="auto"/>
        <w:ind w:right="49"/>
        <w:rPr>
          <w:rFonts w:eastAsia="OpenSymbol" w:cs="Times New Roman"/>
          <w:color w:val="000000"/>
          <w:szCs w:val="24"/>
          <w:lang w:eastAsia="es-CO"/>
        </w:rPr>
      </w:pPr>
      <w:r w:rsidRPr="00951AB1">
        <w:rPr>
          <w:rFonts w:eastAsia="OpenSymbol" w:cs="Times New Roman"/>
          <w:color w:val="000000"/>
          <w:szCs w:val="24"/>
          <w:lang w:eastAsia="es-CO"/>
        </w:rPr>
        <w:t>Es importante señalar que, mediante la Resolución No. 0001093 del 20 de agosto de 2024, la DIAN autorizó una compensación por concepto de deuda tributaria por valor de $340.593.000.-sociedad Renta 4 Global Fiduciaria S.A -, no obstante, dicha autorización fue posteriormente revocada mediante la Resolución No. 000632 del 24 de septiembre de 2024, razón por la cual el valor correspondiente no fue tenido en cuenta en la liquidación.”</w:t>
      </w:r>
    </w:p>
    <w:p w14:paraId="3A9D38B9" w14:textId="77777777" w:rsidR="004078AD" w:rsidRPr="00951AB1" w:rsidRDefault="004078AD" w:rsidP="000A5389">
      <w:pPr>
        <w:autoSpaceDE w:val="0"/>
        <w:autoSpaceDN w:val="0"/>
        <w:adjustRightInd w:val="0"/>
        <w:spacing w:line="240" w:lineRule="auto"/>
        <w:rPr>
          <w:rFonts w:cs="Times New Roman"/>
          <w:b/>
          <w:bCs/>
          <w:color w:val="EE0000"/>
          <w:szCs w:val="24"/>
          <w:highlight w:val="cyan"/>
        </w:rPr>
      </w:pPr>
    </w:p>
    <w:p w14:paraId="3C95DFE2" w14:textId="77777777" w:rsidR="004078AD" w:rsidRPr="00951AB1" w:rsidRDefault="004078AD" w:rsidP="000A5389">
      <w:pPr>
        <w:autoSpaceDE w:val="0"/>
        <w:autoSpaceDN w:val="0"/>
        <w:adjustRightInd w:val="0"/>
        <w:spacing w:line="240" w:lineRule="auto"/>
        <w:rPr>
          <w:rFonts w:cs="Times New Roman"/>
          <w:szCs w:val="24"/>
        </w:rPr>
      </w:pPr>
      <w:r w:rsidRPr="00951AB1">
        <w:rPr>
          <w:rFonts w:cs="Times New Roman"/>
          <w:szCs w:val="24"/>
        </w:rPr>
        <w:t>En la vigencia 2025, no se realizó algún trámite para pagar esta deuda, teniendo en cuenta que no se priorizó este laudo para pagarlo con cargo a TES y no se encontraron recursos adicionales para gestionar el pago. </w:t>
      </w:r>
    </w:p>
    <w:p w14:paraId="5CBAC74D" w14:textId="77777777" w:rsidR="004078AD" w:rsidRPr="00951AB1" w:rsidRDefault="004078AD" w:rsidP="000A5389">
      <w:pPr>
        <w:pStyle w:val="Prrafodelista"/>
        <w:numPr>
          <w:ilvl w:val="0"/>
          <w:numId w:val="69"/>
        </w:numPr>
        <w:autoSpaceDE w:val="0"/>
        <w:autoSpaceDN w:val="0"/>
        <w:adjustRightInd w:val="0"/>
        <w:spacing w:line="240" w:lineRule="auto"/>
        <w:ind w:left="0" w:hanging="142"/>
        <w:rPr>
          <w:rFonts w:cs="Times New Roman"/>
          <w:szCs w:val="24"/>
        </w:rPr>
      </w:pPr>
      <w:r w:rsidRPr="00951AB1">
        <w:rPr>
          <w:rFonts w:cs="Times New Roman"/>
          <w:szCs w:val="24"/>
        </w:rPr>
        <w:t>Un valor de $158.558.160.147 (capital adeudado e intereses corrientes), por la deuda reconocida a nombre Consorcio Vial Helios, del proyecto Ruta del Sol Sector 1, contrato de concesión No. 002 de 2010, por los valores adeudados del acuerdo conciliatorio del 15 de febrero de 2022 y por el Laudo Arbitral No. 131704 del 2/06/2022 y 5/06/2023, en el que condenó a la entidad por lo siguiente:</w:t>
      </w:r>
    </w:p>
    <w:p w14:paraId="047CCBE3" w14:textId="77777777" w:rsidR="004078AD" w:rsidRPr="00951AB1" w:rsidRDefault="004078AD" w:rsidP="000A5389">
      <w:pPr>
        <w:pStyle w:val="Prrafodelista"/>
        <w:autoSpaceDE w:val="0"/>
        <w:autoSpaceDN w:val="0"/>
        <w:adjustRightInd w:val="0"/>
        <w:spacing w:line="240" w:lineRule="auto"/>
        <w:ind w:left="0"/>
        <w:rPr>
          <w:rFonts w:cs="Times New Roman"/>
          <w:szCs w:val="24"/>
        </w:rPr>
      </w:pPr>
    </w:p>
    <w:p w14:paraId="42A6810E" w14:textId="77777777" w:rsidR="004078AD" w:rsidRPr="00951AB1" w:rsidRDefault="004078AD" w:rsidP="000A5389">
      <w:pPr>
        <w:spacing w:line="240" w:lineRule="auto"/>
        <w:ind w:left="142"/>
        <w:rPr>
          <w:rFonts w:cs="Times New Roman"/>
          <w:b/>
          <w:bCs/>
          <w:szCs w:val="24"/>
        </w:rPr>
      </w:pPr>
      <w:r w:rsidRPr="00951AB1">
        <w:rPr>
          <w:rFonts w:cs="Times New Roman"/>
          <w:b/>
          <w:bCs/>
          <w:szCs w:val="24"/>
        </w:rPr>
        <w:t>Acuerdo Conciliatorio:</w:t>
      </w:r>
    </w:p>
    <w:p w14:paraId="08B1DBC4" w14:textId="77777777" w:rsidR="004078AD" w:rsidRPr="00951AB1" w:rsidRDefault="004078AD" w:rsidP="000A5389">
      <w:pPr>
        <w:pStyle w:val="Prrafodelista"/>
        <w:spacing w:line="240" w:lineRule="auto"/>
        <w:ind w:left="142"/>
        <w:rPr>
          <w:rFonts w:cs="Times New Roman"/>
          <w:szCs w:val="24"/>
        </w:rPr>
      </w:pPr>
      <w:r w:rsidRPr="00951AB1">
        <w:rPr>
          <w:rFonts w:cs="Times New Roman"/>
          <w:szCs w:val="24"/>
        </w:rPr>
        <w:t>Acuerdo Segundo (Hito 81) $ 11.079.228.004</w:t>
      </w:r>
    </w:p>
    <w:p w14:paraId="2A48B456" w14:textId="77777777" w:rsidR="004078AD" w:rsidRPr="00951AB1" w:rsidRDefault="004078AD" w:rsidP="000A5389">
      <w:pPr>
        <w:pStyle w:val="Prrafodelista"/>
        <w:spacing w:line="240" w:lineRule="auto"/>
        <w:ind w:left="142"/>
        <w:rPr>
          <w:rFonts w:cs="Times New Roman"/>
          <w:szCs w:val="24"/>
        </w:rPr>
      </w:pPr>
      <w:r w:rsidRPr="00951AB1">
        <w:rPr>
          <w:rFonts w:cs="Times New Roman"/>
          <w:szCs w:val="24"/>
        </w:rPr>
        <w:t>Obras Adicionales $35.178.251.689</w:t>
      </w:r>
    </w:p>
    <w:p w14:paraId="1EB3945E" w14:textId="77777777" w:rsidR="00E26C79" w:rsidRPr="00951AB1" w:rsidRDefault="00E26C79" w:rsidP="000A5389">
      <w:pPr>
        <w:pStyle w:val="Prrafodelista"/>
        <w:spacing w:line="240" w:lineRule="auto"/>
        <w:ind w:left="142"/>
        <w:rPr>
          <w:rFonts w:cs="Times New Roman"/>
          <w:szCs w:val="24"/>
        </w:rPr>
      </w:pPr>
    </w:p>
    <w:p w14:paraId="423B21AE" w14:textId="77777777" w:rsidR="004078AD" w:rsidRPr="00951AB1" w:rsidRDefault="004078AD" w:rsidP="000A5389">
      <w:pPr>
        <w:spacing w:line="240" w:lineRule="auto"/>
        <w:ind w:left="142"/>
        <w:rPr>
          <w:rFonts w:cs="Times New Roman"/>
          <w:b/>
          <w:bCs/>
          <w:szCs w:val="24"/>
        </w:rPr>
      </w:pPr>
      <w:r w:rsidRPr="00951AB1">
        <w:rPr>
          <w:rFonts w:cs="Times New Roman"/>
          <w:b/>
          <w:bCs/>
          <w:szCs w:val="24"/>
        </w:rPr>
        <w:t>Laudo Arbitral:</w:t>
      </w:r>
    </w:p>
    <w:p w14:paraId="7187F343" w14:textId="77777777" w:rsidR="004078AD" w:rsidRPr="00951AB1" w:rsidRDefault="004078AD" w:rsidP="000A5389">
      <w:pPr>
        <w:pStyle w:val="Prrafodelista"/>
        <w:spacing w:line="240" w:lineRule="auto"/>
        <w:ind w:left="142"/>
        <w:rPr>
          <w:rFonts w:cs="Times New Roman"/>
          <w:szCs w:val="24"/>
        </w:rPr>
      </w:pPr>
      <w:r w:rsidRPr="00951AB1">
        <w:rPr>
          <w:rFonts w:cs="Times New Roman"/>
          <w:szCs w:val="24"/>
        </w:rPr>
        <w:t>- Rendimientos financieros generados en la Cuenta Aportes INCO que no fueron pagados según el laudo arbitral del 25 de mayo de 2023. $ 84.535.435.421.</w:t>
      </w:r>
    </w:p>
    <w:p w14:paraId="078C567E" w14:textId="77777777" w:rsidR="004078AD" w:rsidRPr="00951AB1" w:rsidRDefault="004078AD" w:rsidP="000A5389">
      <w:pPr>
        <w:pStyle w:val="Prrafodelista"/>
        <w:spacing w:line="240" w:lineRule="auto"/>
        <w:ind w:left="142"/>
        <w:rPr>
          <w:rFonts w:cs="Times New Roman"/>
          <w:szCs w:val="24"/>
        </w:rPr>
      </w:pPr>
    </w:p>
    <w:p w14:paraId="2DDECAB5" w14:textId="77777777" w:rsidR="004078AD" w:rsidRPr="00951AB1" w:rsidRDefault="004078AD" w:rsidP="000A5389">
      <w:pPr>
        <w:pStyle w:val="Prrafodelista"/>
        <w:spacing w:line="240" w:lineRule="auto"/>
        <w:ind w:left="142"/>
        <w:rPr>
          <w:rFonts w:cs="Times New Roman"/>
          <w:szCs w:val="24"/>
        </w:rPr>
      </w:pPr>
      <w:r w:rsidRPr="00951AB1">
        <w:rPr>
          <w:rFonts w:cs="Times New Roman"/>
          <w:szCs w:val="24"/>
        </w:rPr>
        <w:t>- Rendimientos financieros no generados y no pagados por el incumplimiento en el pago del aporte de la vigencia de 2019, suma que se ha actualizado a la fecha del laudo. (Laudo arbitral del 25 de mayo de 2023) (*) $ 6.335.494.586.</w:t>
      </w:r>
    </w:p>
    <w:p w14:paraId="57135EAA" w14:textId="77777777" w:rsidR="004078AD" w:rsidRPr="00951AB1" w:rsidRDefault="004078AD" w:rsidP="000A5389">
      <w:pPr>
        <w:pStyle w:val="Prrafodelista"/>
        <w:spacing w:line="240" w:lineRule="auto"/>
        <w:ind w:left="142"/>
        <w:rPr>
          <w:rFonts w:cs="Times New Roman"/>
          <w:szCs w:val="24"/>
        </w:rPr>
      </w:pPr>
    </w:p>
    <w:p w14:paraId="1D238297" w14:textId="77777777" w:rsidR="004078AD" w:rsidRPr="00951AB1" w:rsidRDefault="004078AD" w:rsidP="000A5389">
      <w:pPr>
        <w:pStyle w:val="Prrafodelista"/>
        <w:spacing w:line="240" w:lineRule="auto"/>
        <w:ind w:left="142"/>
        <w:rPr>
          <w:rFonts w:cs="Times New Roman"/>
          <w:szCs w:val="24"/>
        </w:rPr>
      </w:pPr>
      <w:r w:rsidRPr="00951AB1">
        <w:rPr>
          <w:rFonts w:cs="Times New Roman"/>
          <w:szCs w:val="24"/>
        </w:rPr>
        <w:t>- Rendimientos financieros no generados y no pagados por el incumplimiento en el pago de aportes de la vigencia 2020, suma que se ha actualizado a la fecha del laudo. (Laudo arbitral del 25 de mayo de 2023) (*) $ 768.636.278.</w:t>
      </w:r>
    </w:p>
    <w:p w14:paraId="4E9D9DE2" w14:textId="77777777" w:rsidR="004078AD" w:rsidRPr="00951AB1" w:rsidRDefault="004078AD" w:rsidP="000A5389">
      <w:pPr>
        <w:pStyle w:val="Prrafodelista"/>
        <w:spacing w:line="240" w:lineRule="auto"/>
        <w:ind w:left="142"/>
        <w:rPr>
          <w:rFonts w:cs="Times New Roman"/>
          <w:szCs w:val="24"/>
        </w:rPr>
      </w:pPr>
      <w:r w:rsidRPr="00951AB1">
        <w:rPr>
          <w:rFonts w:cs="Times New Roman"/>
          <w:szCs w:val="24"/>
        </w:rPr>
        <w:lastRenderedPageBreak/>
        <w:t xml:space="preserve">- Intereses moratorios sobre los rendimientos financieros generados en la Cuenta Aportes INCO que no fueron pagados respecto de los hitos señalados en la parte motiva de la providencia. (Laudo arbitral del 25 de mayo de 2023) (*) $ 44.041.648.293. </w:t>
      </w:r>
    </w:p>
    <w:p w14:paraId="0DDAEDDC" w14:textId="77777777" w:rsidR="00E26C79" w:rsidRPr="00951AB1" w:rsidRDefault="00E26C79" w:rsidP="000A5389">
      <w:pPr>
        <w:pStyle w:val="Prrafodelista"/>
        <w:spacing w:line="240" w:lineRule="auto"/>
        <w:ind w:left="142"/>
        <w:rPr>
          <w:rFonts w:cs="Times New Roman"/>
          <w:szCs w:val="24"/>
        </w:rPr>
      </w:pPr>
    </w:p>
    <w:p w14:paraId="0FBEBC00" w14:textId="77777777" w:rsidR="004078AD" w:rsidRPr="00951AB1" w:rsidRDefault="004078AD" w:rsidP="000A5389">
      <w:pPr>
        <w:autoSpaceDE w:val="0"/>
        <w:autoSpaceDN w:val="0"/>
        <w:adjustRightInd w:val="0"/>
        <w:spacing w:line="240" w:lineRule="auto"/>
        <w:ind w:right="49"/>
        <w:rPr>
          <w:rFonts w:eastAsia="OpenSymbol" w:cs="Times New Roman"/>
          <w:color w:val="000000"/>
          <w:szCs w:val="24"/>
          <w:lang w:eastAsia="es-CO"/>
        </w:rPr>
      </w:pPr>
      <w:r w:rsidRPr="00951AB1">
        <w:rPr>
          <w:rFonts w:eastAsia="OpenSymbol" w:cs="Times New Roman"/>
          <w:color w:val="000000"/>
          <w:szCs w:val="24"/>
          <w:lang w:eastAsia="es-CO"/>
        </w:rPr>
        <w:t>La obligación pendiente por pagar por concepto de vigencias futuras es de $6.514.996.754,13 a pesos de diciembre de 2008. (Acuerdo conciliatorio del 15-feb-2022).</w:t>
      </w:r>
    </w:p>
    <w:p w14:paraId="41B3AA50" w14:textId="77777777" w:rsidR="004078AD" w:rsidRPr="00951AB1" w:rsidRDefault="004078AD" w:rsidP="000A5389">
      <w:pPr>
        <w:autoSpaceDE w:val="0"/>
        <w:autoSpaceDN w:val="0"/>
        <w:adjustRightInd w:val="0"/>
        <w:spacing w:line="240" w:lineRule="auto"/>
        <w:ind w:right="49"/>
        <w:rPr>
          <w:rFonts w:eastAsia="OpenSymbol" w:cs="Times New Roman"/>
          <w:color w:val="000000"/>
          <w:szCs w:val="24"/>
          <w:lang w:eastAsia="es-CO"/>
        </w:rPr>
      </w:pPr>
      <w:r w:rsidRPr="00951AB1">
        <w:rPr>
          <w:rFonts w:eastAsia="OpenSymbol" w:cs="Times New Roman"/>
          <w:color w:val="000000"/>
          <w:szCs w:val="24"/>
          <w:lang w:eastAsia="es-CO"/>
        </w:rPr>
        <w:t>La obligación pendiente por pagar por actividades adicionales en el Tramo 1, según el acuerdo conciliatorio del 15-feb-2022 es de $27.464.359.859 a pesos de octubre de 2015.</w:t>
      </w:r>
    </w:p>
    <w:p w14:paraId="24999AED" w14:textId="77777777" w:rsidR="004078AD" w:rsidRPr="00951AB1" w:rsidRDefault="004078AD" w:rsidP="000A5389">
      <w:pPr>
        <w:autoSpaceDE w:val="0"/>
        <w:autoSpaceDN w:val="0"/>
        <w:adjustRightInd w:val="0"/>
        <w:spacing w:line="240" w:lineRule="auto"/>
        <w:ind w:left="567" w:right="49"/>
        <w:rPr>
          <w:rFonts w:eastAsia="OpenSymbol" w:cs="Times New Roman"/>
          <w:color w:val="000000"/>
          <w:szCs w:val="24"/>
          <w:lang w:eastAsia="es-CO"/>
        </w:rPr>
      </w:pPr>
    </w:p>
    <w:p w14:paraId="33D94419" w14:textId="77777777" w:rsidR="004078AD" w:rsidRPr="00951AB1" w:rsidRDefault="004078AD" w:rsidP="000A5389">
      <w:pPr>
        <w:autoSpaceDE w:val="0"/>
        <w:autoSpaceDN w:val="0"/>
        <w:adjustRightInd w:val="0"/>
        <w:spacing w:line="240" w:lineRule="auto"/>
        <w:ind w:right="49"/>
        <w:rPr>
          <w:rFonts w:eastAsia="OpenSymbol" w:cs="Times New Roman"/>
          <w:color w:val="000000"/>
          <w:szCs w:val="24"/>
          <w:lang w:eastAsia="es-CO"/>
        </w:rPr>
      </w:pPr>
      <w:r w:rsidRPr="00951AB1">
        <w:rPr>
          <w:rFonts w:eastAsia="OpenSymbol" w:cs="Times New Roman"/>
          <w:color w:val="000000"/>
          <w:szCs w:val="24"/>
          <w:lang w:eastAsia="es-CO"/>
        </w:rPr>
        <w:t>Se realizaron dos compensaciones de la deuda fiscal, una por valor de $13.969.939.000 corresponde a lo establecido en la Resolución de la DIAN N° 608-008467 del 13 de septiembre de 2022, y otra por valor de $7.502.387.000 corresponde a lo establecido en la Resolución de la DIAN N° 608-006766 del 16 de agosto de 2023.</w:t>
      </w:r>
    </w:p>
    <w:p w14:paraId="3116504B" w14:textId="77777777" w:rsidR="004078AD" w:rsidRPr="00951AB1" w:rsidRDefault="004078AD" w:rsidP="000A5389">
      <w:pPr>
        <w:autoSpaceDE w:val="0"/>
        <w:autoSpaceDN w:val="0"/>
        <w:adjustRightInd w:val="0"/>
        <w:spacing w:line="240" w:lineRule="auto"/>
        <w:ind w:left="567" w:right="49"/>
        <w:rPr>
          <w:rFonts w:eastAsia="OpenSymbol" w:cs="Times New Roman"/>
          <w:color w:val="000000"/>
          <w:szCs w:val="24"/>
          <w:highlight w:val="cyan"/>
          <w:lang w:eastAsia="es-CO"/>
        </w:rPr>
      </w:pPr>
    </w:p>
    <w:p w14:paraId="3995CB40" w14:textId="45D10CB5" w:rsidR="004078AD" w:rsidRPr="00951AB1" w:rsidRDefault="004078AD" w:rsidP="000A5389">
      <w:pPr>
        <w:autoSpaceDE w:val="0"/>
        <w:autoSpaceDN w:val="0"/>
        <w:adjustRightInd w:val="0"/>
        <w:spacing w:line="240" w:lineRule="auto"/>
        <w:ind w:right="49"/>
        <w:rPr>
          <w:rFonts w:eastAsia="OpenSymbol" w:cs="Times New Roman"/>
          <w:color w:val="000000"/>
          <w:szCs w:val="24"/>
          <w:lang w:eastAsia="es-CO"/>
        </w:rPr>
      </w:pPr>
      <w:r w:rsidRPr="00951AB1">
        <w:rPr>
          <w:rFonts w:eastAsia="OpenSymbol" w:cs="Times New Roman"/>
          <w:color w:val="000000"/>
          <w:szCs w:val="24"/>
          <w:lang w:eastAsia="es-CO"/>
        </w:rPr>
        <w:t>Se realizó un pago parcial con fecha 8 de marzo de 2024, con saldos del Patrimonio Autónomo, de acuerdo con el Acta de liquidación del 13 de febrero de 2024, por valor de $18.381.408.935.</w:t>
      </w:r>
    </w:p>
    <w:p w14:paraId="02A339A3" w14:textId="77777777" w:rsidR="00E26C79" w:rsidRPr="00951AB1" w:rsidRDefault="00E26C79" w:rsidP="000A5389">
      <w:pPr>
        <w:autoSpaceDE w:val="0"/>
        <w:autoSpaceDN w:val="0"/>
        <w:adjustRightInd w:val="0"/>
        <w:spacing w:line="240" w:lineRule="auto"/>
        <w:ind w:right="49"/>
        <w:rPr>
          <w:rFonts w:eastAsia="OpenSymbol" w:cs="Times New Roman"/>
          <w:color w:val="000000"/>
          <w:szCs w:val="24"/>
          <w:lang w:eastAsia="es-CO"/>
        </w:rPr>
      </w:pPr>
    </w:p>
    <w:p w14:paraId="42A33556" w14:textId="77777777" w:rsidR="004078AD" w:rsidRPr="00951AB1" w:rsidRDefault="004078AD" w:rsidP="000A5389">
      <w:pPr>
        <w:autoSpaceDE w:val="0"/>
        <w:autoSpaceDN w:val="0"/>
        <w:adjustRightInd w:val="0"/>
        <w:spacing w:line="240" w:lineRule="auto"/>
        <w:ind w:right="49"/>
        <w:rPr>
          <w:rFonts w:eastAsia="OpenSymbol" w:cs="Times New Roman"/>
          <w:color w:val="000000"/>
          <w:szCs w:val="24"/>
          <w:lang w:eastAsia="es-CO"/>
        </w:rPr>
      </w:pPr>
      <w:r w:rsidRPr="00951AB1">
        <w:rPr>
          <w:rFonts w:eastAsia="OpenSymbol" w:cs="Times New Roman"/>
          <w:color w:val="000000"/>
          <w:szCs w:val="24"/>
          <w:lang w:eastAsia="es-CO"/>
        </w:rPr>
        <w:t>Se relacionan intereses por los valores pendientes por pagar del acuerdo conciliatorio parcial del 15 de febrero de 2022, sin embargo es preciso aclarar que durante las vigencias 2022 y 2023, la ANI suscribió 4 resoluciones para pago con TES del total de los valores adeudados, pero no fue posible su pago en la vigencia 2022 por cuanto en la verificación de deudas de la DIAN, se encontró que uno de los integrantes del Consorcio Vial Helios (Concesionario), tenía deudas pendientes con la DIAN y sucedió lo mismo con otro de los integrantes del Consorcio durante la vigencia 2023, por lo cual los trámites fueron devueltos sucesivamente por el MHCP. Durante la vigencia 2024 se tramitó nuevamente el pago con TES ante el MHCP pero no tampoco se logró el pago a pesar de haberse entregado la documentación requerida en su totalidad.”</w:t>
      </w:r>
    </w:p>
    <w:p w14:paraId="0A41EAFA" w14:textId="77777777" w:rsidR="004078AD" w:rsidRPr="00951AB1" w:rsidRDefault="004078AD" w:rsidP="000A5389">
      <w:pPr>
        <w:autoSpaceDE w:val="0"/>
        <w:autoSpaceDN w:val="0"/>
        <w:adjustRightInd w:val="0"/>
        <w:spacing w:line="240" w:lineRule="auto"/>
        <w:ind w:left="567"/>
        <w:rPr>
          <w:rFonts w:eastAsia="OpenSymbol" w:cs="Times New Roman"/>
          <w:color w:val="000000"/>
          <w:szCs w:val="24"/>
          <w:lang w:eastAsia="es-CO"/>
        </w:rPr>
      </w:pPr>
    </w:p>
    <w:p w14:paraId="1DE03E48" w14:textId="77777777" w:rsidR="004078AD" w:rsidRPr="00951AB1" w:rsidRDefault="004078AD" w:rsidP="000A5389">
      <w:pPr>
        <w:autoSpaceDE w:val="0"/>
        <w:autoSpaceDN w:val="0"/>
        <w:adjustRightInd w:val="0"/>
        <w:spacing w:line="240" w:lineRule="auto"/>
        <w:rPr>
          <w:rFonts w:eastAsia="OpenSymbol" w:cs="Times New Roman"/>
          <w:color w:val="000000"/>
          <w:szCs w:val="24"/>
          <w:lang w:eastAsia="es-CO"/>
        </w:rPr>
      </w:pPr>
      <w:r w:rsidRPr="00951AB1">
        <w:rPr>
          <w:rFonts w:eastAsia="OpenSymbol" w:cs="Times New Roman"/>
          <w:color w:val="000000"/>
          <w:szCs w:val="24"/>
          <w:lang w:eastAsia="es-CO"/>
        </w:rPr>
        <w:t>La información relativa al plazo y tasa de interés se encuentra definida en la parte resolutiva de los respectivos laudos que imponen condena a la ANI, así como en lo dispuesto por el Código de Procedimiento Administrativo y de lo Contencioso Administrativo (CPACA) – Ley 1437 de 2011. </w:t>
      </w:r>
    </w:p>
    <w:p w14:paraId="3EC2123E" w14:textId="77777777" w:rsidR="004078AD" w:rsidRPr="00951AB1" w:rsidRDefault="004078AD" w:rsidP="000A5389">
      <w:pPr>
        <w:autoSpaceDE w:val="0"/>
        <w:autoSpaceDN w:val="0"/>
        <w:adjustRightInd w:val="0"/>
        <w:spacing w:line="240" w:lineRule="auto"/>
        <w:rPr>
          <w:rFonts w:eastAsia="OpenSymbol" w:cs="Times New Roman"/>
          <w:color w:val="000000"/>
          <w:szCs w:val="24"/>
          <w:lang w:eastAsia="es-CO"/>
        </w:rPr>
      </w:pPr>
      <w:r w:rsidRPr="00951AB1">
        <w:rPr>
          <w:rFonts w:eastAsia="OpenSymbol" w:cs="Times New Roman"/>
          <w:color w:val="000000"/>
          <w:szCs w:val="24"/>
          <w:lang w:eastAsia="es-CO"/>
        </w:rPr>
        <w:t> </w:t>
      </w:r>
    </w:p>
    <w:p w14:paraId="3642B64E" w14:textId="73C37600" w:rsidR="004078AD" w:rsidRPr="00951AB1" w:rsidRDefault="004078AD" w:rsidP="000A5389">
      <w:pPr>
        <w:autoSpaceDE w:val="0"/>
        <w:autoSpaceDN w:val="0"/>
        <w:adjustRightInd w:val="0"/>
        <w:spacing w:line="240" w:lineRule="auto"/>
        <w:rPr>
          <w:rFonts w:eastAsia="OpenSymbol" w:cs="Times New Roman"/>
          <w:color w:val="000000"/>
          <w:szCs w:val="24"/>
          <w:lang w:eastAsia="es-CO"/>
        </w:rPr>
      </w:pPr>
      <w:r w:rsidRPr="00951AB1">
        <w:rPr>
          <w:rFonts w:eastAsia="OpenSymbol" w:cs="Times New Roman"/>
          <w:color w:val="000000" w:themeColor="text1"/>
          <w:szCs w:val="24"/>
          <w:lang w:eastAsia="es-CO"/>
        </w:rPr>
        <w:t>En relación con el vencimiento de las cuentas por pagar, su reconocimiento se proyecta dentro de la respectiva vigencia fiscal. Para tal efecto, la ANI adelanta oportunamente todos los trámites presupuestales y financieros ante el Ministerio de Hacienda y Crédito Público (MHCP), con el fin de gestionar la asignación de recursos mediante la emisión de Títulos de Tesorería (TES), los cuales constituyen la fuente de recursos para el reconocimiento de sentencias y conciliaciones. </w:t>
      </w:r>
    </w:p>
    <w:p w14:paraId="3858A9C0" w14:textId="77777777" w:rsidR="004078AD" w:rsidRPr="00951AB1" w:rsidRDefault="004078AD" w:rsidP="000A5389">
      <w:pPr>
        <w:autoSpaceDE w:val="0"/>
        <w:autoSpaceDN w:val="0"/>
        <w:adjustRightInd w:val="0"/>
        <w:spacing w:line="240" w:lineRule="auto"/>
        <w:rPr>
          <w:rFonts w:eastAsia="OpenSymbol" w:cs="Times New Roman"/>
          <w:color w:val="000000"/>
          <w:szCs w:val="24"/>
          <w:lang w:eastAsia="es-CO"/>
        </w:rPr>
      </w:pPr>
      <w:r w:rsidRPr="00951AB1">
        <w:rPr>
          <w:rFonts w:eastAsia="OpenSymbol" w:cs="Times New Roman"/>
          <w:color w:val="000000"/>
          <w:szCs w:val="24"/>
          <w:lang w:eastAsia="es-CO"/>
        </w:rPr>
        <w:t> </w:t>
      </w:r>
    </w:p>
    <w:p w14:paraId="3C74F54E" w14:textId="77777777" w:rsidR="004078AD" w:rsidRPr="00951AB1" w:rsidRDefault="004078AD" w:rsidP="000A5389">
      <w:pPr>
        <w:autoSpaceDE w:val="0"/>
        <w:autoSpaceDN w:val="0"/>
        <w:adjustRightInd w:val="0"/>
        <w:spacing w:line="240" w:lineRule="auto"/>
        <w:rPr>
          <w:rFonts w:eastAsia="OpenSymbol" w:cs="Times New Roman"/>
          <w:color w:val="000000"/>
          <w:szCs w:val="24"/>
          <w:lang w:eastAsia="es-CO"/>
        </w:rPr>
      </w:pPr>
      <w:r w:rsidRPr="00951AB1">
        <w:rPr>
          <w:rFonts w:eastAsia="OpenSymbol" w:cs="Times New Roman"/>
          <w:color w:val="000000"/>
          <w:szCs w:val="24"/>
          <w:lang w:eastAsia="es-CO"/>
        </w:rPr>
        <w:t>No obstante, en ausencia de confirmación por parte del MHCP respecto de la correspondiente emisión, resulta necesario reiniciar el trámite en la siguiente vigencia fiscal, ajustando la programación presupuestal conforme a los tiempos del proceso de financiamiento. </w:t>
      </w:r>
    </w:p>
    <w:p w14:paraId="31A540BD" w14:textId="77777777" w:rsidR="004078AD" w:rsidRPr="00951AB1" w:rsidRDefault="004078AD" w:rsidP="000A5389">
      <w:pPr>
        <w:autoSpaceDE w:val="0"/>
        <w:autoSpaceDN w:val="0"/>
        <w:adjustRightInd w:val="0"/>
        <w:spacing w:line="240" w:lineRule="auto"/>
        <w:rPr>
          <w:rFonts w:eastAsia="OpenSymbol" w:cs="Times New Roman"/>
          <w:color w:val="000000"/>
          <w:szCs w:val="24"/>
          <w:lang w:eastAsia="es-CO"/>
        </w:rPr>
      </w:pPr>
      <w:r w:rsidRPr="00951AB1">
        <w:rPr>
          <w:rFonts w:eastAsia="OpenSymbol" w:cs="Times New Roman"/>
          <w:color w:val="000000"/>
          <w:szCs w:val="24"/>
          <w:lang w:eastAsia="es-CO"/>
        </w:rPr>
        <w:lastRenderedPageBreak/>
        <w:t>En el anteproyecto de presupuesto de 2025 la ANI solicitó 5.6 billones de pesos en lo relacionado con conciliaciones y sentencias derivadas de condenas a la ANI, que incluye tanto el capital conciliaciones como las estimaciones de intereses hasta el final del 2025, frente a lo cual el MHCP a través del decreto 1523 de diciembre de 2024 “Por medio del cual se decreta el presupuesto de rentas y recursos de capital y el presupuesto de gastos para la vigencia fiscal del 1 de enero al 31 de diciembre de 2025” asignó un cupo de emisión de bonos u otros títulos de deuda pública en condiciones de mercado hasta por $500.000.000.000 pesos para el reconocimiento “como deuda pública de obligaciones a cargo de la Agencia Nacional de Infraestructura (…) surgidas de los contratos de concesión por concepto de sentencias y conciliaciones” (artículo 61).  Los cuales durante la vigencia 2025 fueron tramitados por parte de la ANI ante el MHCP sin que   esta entidad se tuviera respuesta frente a la emisión de estos títulos para el cumplimiento parcial de la obligación, por lo tanto, durante la vigencia 2025 no se realizó amortización a la deuda de laudos y conciliaciones judiciales. </w:t>
      </w:r>
    </w:p>
    <w:p w14:paraId="2BB16143" w14:textId="77777777" w:rsidR="004078AD" w:rsidRPr="00951AB1" w:rsidRDefault="004078AD" w:rsidP="000A5389">
      <w:pPr>
        <w:autoSpaceDE w:val="0"/>
        <w:autoSpaceDN w:val="0"/>
        <w:adjustRightInd w:val="0"/>
        <w:spacing w:line="240" w:lineRule="auto"/>
        <w:rPr>
          <w:rFonts w:eastAsia="OpenSymbol" w:cs="Times New Roman"/>
          <w:color w:val="000000"/>
          <w:szCs w:val="24"/>
          <w:lang w:eastAsia="es-CO"/>
        </w:rPr>
      </w:pPr>
    </w:p>
    <w:p w14:paraId="4EED0F92" w14:textId="77777777" w:rsidR="004078AD" w:rsidRPr="00951AB1" w:rsidRDefault="004078AD" w:rsidP="000A5389">
      <w:pPr>
        <w:autoSpaceDE w:val="0"/>
        <w:autoSpaceDN w:val="0"/>
        <w:adjustRightInd w:val="0"/>
        <w:spacing w:line="240" w:lineRule="auto"/>
        <w:rPr>
          <w:rFonts w:eastAsia="OpenSymbol" w:cs="Times New Roman"/>
          <w:color w:val="000000"/>
          <w:szCs w:val="24"/>
          <w:lang w:eastAsia="es-CO"/>
        </w:rPr>
      </w:pPr>
      <w:r w:rsidRPr="00951AB1">
        <w:rPr>
          <w:rFonts w:eastAsia="OpenSymbol" w:cs="Times New Roman"/>
          <w:color w:val="000000"/>
          <w:szCs w:val="24"/>
          <w:lang w:eastAsia="es-CO"/>
        </w:rPr>
        <w:t>Teniendo en cuenta que para la vigencia 2026 se asignó nuevamente un cupo de $500.000.000.000 pesos a través de la Ley de presupuesto 2559 de 2025 se realizarán las negociaciones correspondientes con los beneficiarios de los Laudos Arbitrales con el fin de mitigar el efecto de los intereses moratorios. </w:t>
      </w:r>
    </w:p>
    <w:p w14:paraId="777B31C5" w14:textId="77777777" w:rsidR="004078AD" w:rsidRPr="00951AB1" w:rsidRDefault="004078AD" w:rsidP="000A5389">
      <w:pPr>
        <w:autoSpaceDE w:val="0"/>
        <w:autoSpaceDN w:val="0"/>
        <w:adjustRightInd w:val="0"/>
        <w:spacing w:line="240" w:lineRule="auto"/>
        <w:rPr>
          <w:rFonts w:eastAsia="OpenSymbol" w:cs="Times New Roman"/>
          <w:color w:val="000000"/>
          <w:szCs w:val="24"/>
          <w:lang w:eastAsia="es-CO"/>
        </w:rPr>
      </w:pPr>
    </w:p>
    <w:p w14:paraId="4C315BAF" w14:textId="77777777" w:rsidR="004078AD" w:rsidRPr="00951AB1" w:rsidRDefault="004078AD" w:rsidP="000A5389">
      <w:pPr>
        <w:spacing w:line="240" w:lineRule="auto"/>
        <w:rPr>
          <w:rFonts w:cs="Times New Roman"/>
          <w:szCs w:val="24"/>
        </w:rPr>
      </w:pPr>
      <w:r w:rsidRPr="00951AB1">
        <w:rPr>
          <w:rFonts w:cs="Times New Roman"/>
          <w:szCs w:val="24"/>
        </w:rPr>
        <w:t>Respecto al proyecto Ruta del Sol I, y de acuerdo con el recurso de reposición 656-984 de febrero de 2026, se tiene conocimiento de que mediante la Resolución No. 608-15657 del 29 de diciembre de 2025 se realizó la compensación de la obligación No. 100114000132169 por concepto del Impuesto sobre la Renta y Complementarios correspondiente al año 2014. No obstante, a la fecha la DIAN ni el concesionario han remitido la respectiva resolución. Es posible que esto esté relacionado con el recurso de apelación mencionado anteriormente. </w:t>
      </w:r>
    </w:p>
    <w:p w14:paraId="1C973200" w14:textId="77777777" w:rsidR="004078AD" w:rsidRPr="00951AB1" w:rsidRDefault="004078AD" w:rsidP="000A5389">
      <w:pPr>
        <w:pStyle w:val="Prrafodelista"/>
        <w:numPr>
          <w:ilvl w:val="0"/>
          <w:numId w:val="69"/>
        </w:numPr>
        <w:autoSpaceDE w:val="0"/>
        <w:autoSpaceDN w:val="0"/>
        <w:adjustRightInd w:val="0"/>
        <w:spacing w:line="240" w:lineRule="auto"/>
        <w:ind w:left="0" w:hanging="142"/>
        <w:rPr>
          <w:rFonts w:cs="Times New Roman"/>
          <w:szCs w:val="24"/>
        </w:rPr>
      </w:pPr>
      <w:r w:rsidRPr="00951AB1">
        <w:rPr>
          <w:rFonts w:cs="Times New Roman"/>
          <w:szCs w:val="24"/>
        </w:rPr>
        <w:t>Un valor de $129.124.036.659 (capital adeudado, condena en costas o agencias en derecho e intereses corrientes), por la deuda reconocida a nombre de Concesión Vías del Nus – Vinus S.A.S., del proyecto IP Vías del Nus, contrato de concesión No. 001 de 2016, por el Laudo Arbitral No. 142957 del 01/07/2025 ejecutoriado el 10/07/2025, en el que condenó, entre otras, a la entidad por lo siguiente:</w:t>
      </w:r>
    </w:p>
    <w:p w14:paraId="6F65F347" w14:textId="77777777" w:rsidR="004078AD" w:rsidRPr="00951AB1" w:rsidRDefault="004078AD" w:rsidP="000A5389">
      <w:pPr>
        <w:autoSpaceDE w:val="0"/>
        <w:autoSpaceDN w:val="0"/>
        <w:adjustRightInd w:val="0"/>
        <w:spacing w:line="240" w:lineRule="auto"/>
        <w:rPr>
          <w:rFonts w:cs="Times New Roman"/>
          <w:szCs w:val="24"/>
        </w:rPr>
      </w:pPr>
    </w:p>
    <w:p w14:paraId="3532DD5C" w14:textId="77777777" w:rsidR="004078AD" w:rsidRPr="00951AB1" w:rsidRDefault="004078AD" w:rsidP="000A5389">
      <w:pPr>
        <w:numPr>
          <w:ilvl w:val="0"/>
          <w:numId w:val="71"/>
        </w:numPr>
        <w:autoSpaceDE w:val="0"/>
        <w:autoSpaceDN w:val="0"/>
        <w:adjustRightInd w:val="0"/>
        <w:spacing w:line="240" w:lineRule="auto"/>
        <w:ind w:left="567" w:right="900"/>
        <w:rPr>
          <w:rFonts w:cs="Times New Roman"/>
          <w:i/>
          <w:iCs/>
          <w:sz w:val="20"/>
          <w:szCs w:val="20"/>
        </w:rPr>
      </w:pPr>
      <w:r w:rsidRPr="00951AB1">
        <w:rPr>
          <w:rFonts w:cs="Times New Roman"/>
          <w:i/>
          <w:iCs/>
          <w:sz w:val="20"/>
          <w:szCs w:val="20"/>
        </w:rPr>
        <w:t>“</w:t>
      </w:r>
      <w:r w:rsidRPr="00951AB1">
        <w:rPr>
          <w:rFonts w:cs="Times New Roman"/>
          <w:b/>
          <w:bCs/>
          <w:i/>
          <w:iCs/>
          <w:sz w:val="20"/>
          <w:szCs w:val="20"/>
        </w:rPr>
        <w:t>Trigésimo segundo:</w:t>
      </w:r>
      <w:r w:rsidRPr="00951AB1">
        <w:rPr>
          <w:rFonts w:cs="Times New Roman"/>
          <w:i/>
          <w:iCs/>
          <w:sz w:val="20"/>
          <w:szCs w:val="20"/>
        </w:rPr>
        <w:t xml:space="preserve"> Condenar a la </w:t>
      </w:r>
      <w:r w:rsidRPr="00951AB1">
        <w:rPr>
          <w:rFonts w:cs="Times New Roman"/>
          <w:b/>
          <w:bCs/>
          <w:i/>
          <w:iCs/>
          <w:sz w:val="20"/>
          <w:szCs w:val="20"/>
        </w:rPr>
        <w:t xml:space="preserve">AGENCIA NACIONAL DE INFRAESTRUCTURA – ANI </w:t>
      </w:r>
      <w:r w:rsidRPr="00951AB1">
        <w:rPr>
          <w:rFonts w:cs="Times New Roman"/>
          <w:i/>
          <w:iCs/>
          <w:sz w:val="20"/>
          <w:szCs w:val="20"/>
        </w:rPr>
        <w:t xml:space="preserve">a pagar a </w:t>
      </w:r>
      <w:r w:rsidRPr="00951AB1">
        <w:rPr>
          <w:rFonts w:cs="Times New Roman"/>
          <w:b/>
          <w:bCs/>
          <w:i/>
          <w:iCs/>
          <w:sz w:val="20"/>
          <w:szCs w:val="20"/>
        </w:rPr>
        <w:t xml:space="preserve">VINUS S.A.S. </w:t>
      </w:r>
      <w:r w:rsidRPr="00951AB1">
        <w:rPr>
          <w:rFonts w:cs="Times New Roman"/>
          <w:i/>
          <w:iCs/>
          <w:sz w:val="20"/>
          <w:szCs w:val="20"/>
        </w:rPr>
        <w:t xml:space="preserve">una vez cobre ejecutoria este Laudo, mediante traslado de la Subcuenta Recaudo de Peajes del PA VINUS al PA FINANCIACION, la suma de TREINTA Y DOS MIL DOSCIENTOS SETENTA Y SIETE MILLONES CIENTO SESENTA MIL SEISCIENTOS QUINCE PESOS ($32.277.160.615), correspondiente a la retribución causada a su favor durante el periodo comprendido entre el 16 de enero de 2023 y el 31 de enero de 2024. Esta suma actualizada con el IPC, por mandato del artículo 187 del CPACA, asciende a </w:t>
      </w:r>
      <w:r w:rsidRPr="00951AB1">
        <w:rPr>
          <w:rFonts w:cs="Times New Roman"/>
          <w:b/>
          <w:bCs/>
          <w:i/>
          <w:iCs/>
          <w:sz w:val="20"/>
          <w:szCs w:val="20"/>
        </w:rPr>
        <w:t>TREINTA Y CUATRO MIL OCHOCIENTOS SESENTA Y OCHO MILLONES NOVECIENTOS NOVENTA Y CUATRO MIL SETECIENTOS OCHENTA Y DOS PESOS ($34.868.994.782)</w:t>
      </w:r>
      <w:r w:rsidRPr="00951AB1">
        <w:rPr>
          <w:rFonts w:cs="Times New Roman"/>
          <w:i/>
          <w:iCs/>
          <w:sz w:val="20"/>
          <w:szCs w:val="20"/>
        </w:rPr>
        <w:t xml:space="preserve">, según se liquidó en la parte motiva. </w:t>
      </w:r>
    </w:p>
    <w:p w14:paraId="7B62E1EB" w14:textId="77777777" w:rsidR="004078AD" w:rsidRPr="00951AB1" w:rsidRDefault="004078AD" w:rsidP="000A5389">
      <w:pPr>
        <w:autoSpaceDE w:val="0"/>
        <w:autoSpaceDN w:val="0"/>
        <w:adjustRightInd w:val="0"/>
        <w:spacing w:line="240" w:lineRule="auto"/>
        <w:ind w:left="567" w:right="900"/>
        <w:rPr>
          <w:rFonts w:cs="Times New Roman"/>
          <w:i/>
          <w:iCs/>
          <w:sz w:val="20"/>
          <w:szCs w:val="20"/>
        </w:rPr>
      </w:pPr>
    </w:p>
    <w:p w14:paraId="1B81E9DC" w14:textId="77777777" w:rsidR="004078AD" w:rsidRPr="00951AB1" w:rsidRDefault="004078AD" w:rsidP="000A5389">
      <w:pPr>
        <w:numPr>
          <w:ilvl w:val="0"/>
          <w:numId w:val="72"/>
        </w:numPr>
        <w:autoSpaceDE w:val="0"/>
        <w:autoSpaceDN w:val="0"/>
        <w:adjustRightInd w:val="0"/>
        <w:spacing w:line="240" w:lineRule="auto"/>
        <w:ind w:left="567" w:right="900"/>
        <w:rPr>
          <w:rFonts w:cs="Times New Roman"/>
          <w:i/>
          <w:iCs/>
          <w:sz w:val="20"/>
          <w:szCs w:val="20"/>
        </w:rPr>
      </w:pPr>
      <w:r w:rsidRPr="00951AB1">
        <w:rPr>
          <w:rFonts w:cs="Times New Roman"/>
          <w:b/>
          <w:bCs/>
          <w:i/>
          <w:iCs/>
          <w:sz w:val="20"/>
          <w:szCs w:val="20"/>
        </w:rPr>
        <w:t xml:space="preserve">Trigésimo cuarto: </w:t>
      </w:r>
      <w:r w:rsidRPr="00951AB1">
        <w:rPr>
          <w:rFonts w:cs="Times New Roman"/>
          <w:i/>
          <w:iCs/>
          <w:sz w:val="20"/>
          <w:szCs w:val="20"/>
        </w:rPr>
        <w:t xml:space="preserve">Condenar a la </w:t>
      </w:r>
      <w:r w:rsidRPr="00951AB1">
        <w:rPr>
          <w:rFonts w:cs="Times New Roman"/>
          <w:b/>
          <w:bCs/>
          <w:i/>
          <w:iCs/>
          <w:sz w:val="20"/>
          <w:szCs w:val="20"/>
        </w:rPr>
        <w:t xml:space="preserve">AGENCIA NACIONAL DE INFRAESTRUCTURA – ANI </w:t>
      </w:r>
      <w:r w:rsidRPr="00951AB1">
        <w:rPr>
          <w:rFonts w:cs="Times New Roman"/>
          <w:i/>
          <w:iCs/>
          <w:sz w:val="20"/>
          <w:szCs w:val="20"/>
        </w:rPr>
        <w:t xml:space="preserve">a pagar a </w:t>
      </w:r>
      <w:r w:rsidRPr="00951AB1">
        <w:rPr>
          <w:rFonts w:cs="Times New Roman"/>
          <w:b/>
          <w:bCs/>
          <w:i/>
          <w:iCs/>
          <w:sz w:val="20"/>
          <w:szCs w:val="20"/>
        </w:rPr>
        <w:t xml:space="preserve">VINUS S.A.S. </w:t>
      </w:r>
      <w:r w:rsidRPr="00951AB1">
        <w:rPr>
          <w:rFonts w:cs="Times New Roman"/>
          <w:i/>
          <w:iCs/>
          <w:sz w:val="20"/>
          <w:szCs w:val="20"/>
        </w:rPr>
        <w:t xml:space="preserve">una vez cobre ejecutoria este Laudo, mediante traslado de la Subcuenta Recaudo de Peajes del PA VINUS al PA FINANCIACION, la suma de </w:t>
      </w:r>
      <w:r w:rsidRPr="00951AB1">
        <w:rPr>
          <w:rFonts w:cs="Times New Roman"/>
          <w:i/>
          <w:iCs/>
          <w:sz w:val="20"/>
          <w:szCs w:val="20"/>
        </w:rPr>
        <w:lastRenderedPageBreak/>
        <w:t xml:space="preserve">VEINTINUEVE MIL SETECIENTOS NOVENTA Y CUATRO MILLONES CIENTO NOVENTA Y NUEVE MIL QUINIENTOS PESOS ($29.794.199.500), que corresponde a la retribución que se causó a su favor desde el 1° de febrero de 2024 y hasta el 31 de diciembre de 2024, fecha en que se normalizaron integralmente las tarifas de peaje, calculada sobre las sumas de dinero que representan el menor ingreso que tuvo el Proyecto por efectos de la implementación de lo ordenado por el Decreto 050 de 2023 durante ese periodo. Esta suma actualizada con el IPC, por mandato del artículo 187 del CAPCA, asciende a </w:t>
      </w:r>
      <w:r w:rsidRPr="00951AB1">
        <w:rPr>
          <w:rFonts w:cs="Times New Roman"/>
          <w:b/>
          <w:bCs/>
          <w:i/>
          <w:iCs/>
          <w:sz w:val="20"/>
          <w:szCs w:val="20"/>
        </w:rPr>
        <w:t>TREINTA Y UN MIL DOSCIENTOS SESENTA Y DOS MILLONES NOVECIENTOS DIECIOCHO MIL NOVECIENTOS SETENTA Y SIETE PESOS ($31.262.918.977)</w:t>
      </w:r>
      <w:r w:rsidRPr="00951AB1">
        <w:rPr>
          <w:rFonts w:cs="Times New Roman"/>
          <w:i/>
          <w:iCs/>
          <w:sz w:val="20"/>
          <w:szCs w:val="20"/>
        </w:rPr>
        <w:t xml:space="preserve">, según se liquidó en la parte motiva. </w:t>
      </w:r>
    </w:p>
    <w:p w14:paraId="61F56F91" w14:textId="77777777" w:rsidR="004078AD" w:rsidRPr="00951AB1" w:rsidRDefault="004078AD" w:rsidP="000A5389">
      <w:pPr>
        <w:autoSpaceDE w:val="0"/>
        <w:autoSpaceDN w:val="0"/>
        <w:adjustRightInd w:val="0"/>
        <w:spacing w:line="240" w:lineRule="auto"/>
        <w:ind w:left="567" w:right="900"/>
        <w:rPr>
          <w:rFonts w:cs="Times New Roman"/>
          <w:i/>
          <w:iCs/>
          <w:sz w:val="20"/>
          <w:szCs w:val="20"/>
        </w:rPr>
      </w:pPr>
    </w:p>
    <w:p w14:paraId="1FC5F4EE" w14:textId="77777777" w:rsidR="004078AD" w:rsidRPr="00951AB1" w:rsidRDefault="004078AD" w:rsidP="000A5389">
      <w:pPr>
        <w:numPr>
          <w:ilvl w:val="0"/>
          <w:numId w:val="71"/>
        </w:numPr>
        <w:autoSpaceDE w:val="0"/>
        <w:autoSpaceDN w:val="0"/>
        <w:adjustRightInd w:val="0"/>
        <w:spacing w:line="240" w:lineRule="auto"/>
        <w:ind w:left="567" w:right="900"/>
        <w:rPr>
          <w:rFonts w:cs="Times New Roman"/>
          <w:i/>
          <w:iCs/>
          <w:sz w:val="20"/>
          <w:szCs w:val="20"/>
        </w:rPr>
      </w:pPr>
      <w:r w:rsidRPr="00951AB1">
        <w:rPr>
          <w:rFonts w:cs="Times New Roman"/>
          <w:b/>
          <w:bCs/>
          <w:i/>
          <w:iCs/>
          <w:sz w:val="20"/>
          <w:szCs w:val="20"/>
        </w:rPr>
        <w:t xml:space="preserve">Trigésimo noveno: </w:t>
      </w:r>
      <w:r w:rsidRPr="00951AB1">
        <w:rPr>
          <w:rFonts w:cs="Times New Roman"/>
          <w:i/>
          <w:iCs/>
          <w:sz w:val="20"/>
          <w:szCs w:val="20"/>
        </w:rPr>
        <w:t xml:space="preserve">Condenar a la </w:t>
      </w:r>
      <w:r w:rsidRPr="00951AB1">
        <w:rPr>
          <w:rFonts w:cs="Times New Roman"/>
          <w:b/>
          <w:bCs/>
          <w:i/>
          <w:iCs/>
          <w:sz w:val="20"/>
          <w:szCs w:val="20"/>
        </w:rPr>
        <w:t xml:space="preserve">AGENCIA NACIONAL DE INFRAESTRUCTURA – ANI </w:t>
      </w:r>
      <w:r w:rsidRPr="00951AB1">
        <w:rPr>
          <w:rFonts w:cs="Times New Roman"/>
          <w:i/>
          <w:iCs/>
          <w:sz w:val="20"/>
          <w:szCs w:val="20"/>
        </w:rPr>
        <w:t xml:space="preserve">a pagar a </w:t>
      </w:r>
      <w:r w:rsidRPr="00951AB1">
        <w:rPr>
          <w:rFonts w:cs="Times New Roman"/>
          <w:b/>
          <w:bCs/>
          <w:i/>
          <w:iCs/>
          <w:sz w:val="20"/>
          <w:szCs w:val="20"/>
        </w:rPr>
        <w:t xml:space="preserve">VINUS S.A.S. </w:t>
      </w:r>
      <w:r w:rsidRPr="00951AB1">
        <w:rPr>
          <w:rFonts w:cs="Times New Roman"/>
          <w:i/>
          <w:iCs/>
          <w:sz w:val="20"/>
          <w:szCs w:val="20"/>
        </w:rPr>
        <w:t xml:space="preserve">la suma de CINCUENTA Y SEIS MIL CUATROCIENTOS OCHENTA Y SIETE MILLONES QUINIENTOS CUARENTA Y CUATRO MIL QUINIENTOS NOVENTA Y TRES PESOS ($56.487.544.593), que corresponde a los ingresos no obtenidos por ella desde el 1° de abril de 2023 y el 31 de enero de 2024 por la ausencia de la estación de Peaje Niquia. Esta suma actualizada con el IPC, por mandato del artículo 187 del CPACA, asciende a </w:t>
      </w:r>
      <w:r w:rsidRPr="00951AB1">
        <w:rPr>
          <w:rFonts w:cs="Times New Roman"/>
          <w:b/>
          <w:bCs/>
          <w:i/>
          <w:iCs/>
          <w:sz w:val="20"/>
          <w:szCs w:val="20"/>
        </w:rPr>
        <w:t>SESENTA Y DOS MIL QUINIENTOS SETENTA Y CUATRO MILLONES SETECIENTOS CUARENTA Y SEIS MIL VEINTIOCHO PESOS ($62.574.746.028)</w:t>
      </w:r>
      <w:r w:rsidRPr="00951AB1">
        <w:rPr>
          <w:rFonts w:cs="Times New Roman"/>
          <w:i/>
          <w:iCs/>
          <w:sz w:val="20"/>
          <w:szCs w:val="20"/>
        </w:rPr>
        <w:t>, según se liquidó en la parte motiva.</w:t>
      </w:r>
    </w:p>
    <w:p w14:paraId="08520D7B" w14:textId="77777777" w:rsidR="004078AD" w:rsidRPr="00951AB1" w:rsidRDefault="004078AD" w:rsidP="000A5389">
      <w:pPr>
        <w:numPr>
          <w:ilvl w:val="0"/>
          <w:numId w:val="71"/>
        </w:numPr>
        <w:autoSpaceDE w:val="0"/>
        <w:autoSpaceDN w:val="0"/>
        <w:adjustRightInd w:val="0"/>
        <w:spacing w:line="240" w:lineRule="auto"/>
        <w:ind w:left="567" w:right="900"/>
        <w:rPr>
          <w:rFonts w:cs="Times New Roman"/>
          <w:i/>
          <w:iCs/>
          <w:sz w:val="20"/>
          <w:szCs w:val="20"/>
        </w:rPr>
      </w:pPr>
    </w:p>
    <w:p w14:paraId="4EDBD1F1" w14:textId="77777777" w:rsidR="004078AD" w:rsidRPr="00951AB1" w:rsidRDefault="004078AD" w:rsidP="000A5389">
      <w:pPr>
        <w:numPr>
          <w:ilvl w:val="0"/>
          <w:numId w:val="71"/>
        </w:numPr>
        <w:autoSpaceDE w:val="0"/>
        <w:autoSpaceDN w:val="0"/>
        <w:adjustRightInd w:val="0"/>
        <w:spacing w:line="240" w:lineRule="auto"/>
        <w:ind w:left="567" w:right="900"/>
        <w:rPr>
          <w:rFonts w:cs="Times New Roman"/>
          <w:i/>
          <w:iCs/>
          <w:color w:val="000000"/>
          <w:sz w:val="20"/>
          <w:szCs w:val="20"/>
        </w:rPr>
      </w:pPr>
      <w:r w:rsidRPr="00951AB1">
        <w:rPr>
          <w:rFonts w:cs="Times New Roman"/>
          <w:b/>
          <w:bCs/>
          <w:i/>
          <w:iCs/>
          <w:sz w:val="20"/>
          <w:szCs w:val="20"/>
        </w:rPr>
        <w:t>Quincuagésimo quinto</w:t>
      </w:r>
      <w:r w:rsidRPr="00951AB1">
        <w:rPr>
          <w:rFonts w:cs="Times New Roman"/>
          <w:i/>
          <w:iCs/>
          <w:color w:val="000000"/>
          <w:sz w:val="20"/>
          <w:szCs w:val="20"/>
        </w:rPr>
        <w:t xml:space="preserve">: Declarar que mientras el Contrato de Concesión 001 de 2016 se encuentre vigente y la </w:t>
      </w:r>
      <w:r w:rsidRPr="00951AB1">
        <w:rPr>
          <w:rFonts w:cs="Times New Roman"/>
          <w:b/>
          <w:bCs/>
          <w:i/>
          <w:iCs/>
          <w:color w:val="000000"/>
          <w:sz w:val="20"/>
          <w:szCs w:val="20"/>
        </w:rPr>
        <w:t xml:space="preserve">AGENCIA NACIONAL DE INFRAESTRUCTURA </w:t>
      </w:r>
      <w:r w:rsidRPr="00951AB1">
        <w:rPr>
          <w:rFonts w:cs="Times New Roman"/>
          <w:i/>
          <w:iCs/>
          <w:color w:val="000000"/>
          <w:sz w:val="20"/>
          <w:szCs w:val="20"/>
        </w:rPr>
        <w:t xml:space="preserve">no entregue la Estación de Peaje Niquía a </w:t>
      </w:r>
      <w:r w:rsidRPr="00951AB1">
        <w:rPr>
          <w:rFonts w:cs="Times New Roman"/>
          <w:b/>
          <w:bCs/>
          <w:i/>
          <w:iCs/>
          <w:color w:val="000000"/>
          <w:sz w:val="20"/>
          <w:szCs w:val="20"/>
        </w:rPr>
        <w:t>VINUS S.A.S.</w:t>
      </w:r>
      <w:r w:rsidRPr="00951AB1">
        <w:rPr>
          <w:rFonts w:cs="Times New Roman"/>
          <w:i/>
          <w:iCs/>
          <w:color w:val="000000"/>
          <w:sz w:val="20"/>
          <w:szCs w:val="20"/>
        </w:rPr>
        <w:t xml:space="preserve">, del valor que la Entidad deberá pagar al Concesionario por efecto del No recaudo en dicha estación de peaje, se deberá descontar el </w:t>
      </w:r>
      <w:r w:rsidRPr="00951AB1">
        <w:rPr>
          <w:rFonts w:cs="Times New Roman"/>
          <w:b/>
          <w:bCs/>
          <w:i/>
          <w:iCs/>
          <w:color w:val="000000"/>
          <w:sz w:val="20"/>
          <w:szCs w:val="20"/>
        </w:rPr>
        <w:t>DIEZ PUNTO DIECISÉIS POR CIENTO (10.16%)</w:t>
      </w:r>
      <w:r w:rsidRPr="00951AB1">
        <w:rPr>
          <w:rFonts w:cs="Times New Roman"/>
          <w:i/>
          <w:iCs/>
          <w:color w:val="000000"/>
          <w:sz w:val="20"/>
          <w:szCs w:val="20"/>
        </w:rPr>
        <w:t xml:space="preserve">, correspondiente al valor dejado de invertir por el Concesionario en operación y mantenimiento de dicho peaje. En consecuencia, </w:t>
      </w:r>
      <w:r w:rsidRPr="00951AB1">
        <w:rPr>
          <w:rFonts w:cs="Times New Roman"/>
          <w:b/>
          <w:bCs/>
          <w:i/>
          <w:iCs/>
          <w:color w:val="000000"/>
          <w:sz w:val="20"/>
          <w:szCs w:val="20"/>
        </w:rPr>
        <w:t xml:space="preserve">PROSPERA PARCIALMENTE </w:t>
      </w:r>
      <w:r w:rsidRPr="00951AB1">
        <w:rPr>
          <w:rFonts w:cs="Times New Roman"/>
          <w:i/>
          <w:iCs/>
          <w:color w:val="000000"/>
          <w:sz w:val="20"/>
          <w:szCs w:val="20"/>
        </w:rPr>
        <w:t xml:space="preserve">la pretensión </w:t>
      </w:r>
      <w:r w:rsidRPr="00951AB1">
        <w:rPr>
          <w:rFonts w:cs="Times New Roman"/>
          <w:b/>
          <w:bCs/>
          <w:i/>
          <w:iCs/>
          <w:color w:val="000000"/>
          <w:sz w:val="20"/>
          <w:szCs w:val="20"/>
        </w:rPr>
        <w:t xml:space="preserve">SEGUNDA </w:t>
      </w:r>
      <w:r w:rsidRPr="00951AB1">
        <w:rPr>
          <w:rFonts w:cs="Times New Roman"/>
          <w:i/>
          <w:iCs/>
          <w:color w:val="000000"/>
          <w:sz w:val="20"/>
          <w:szCs w:val="20"/>
        </w:rPr>
        <w:t xml:space="preserve">de la Demanda de Reconvención reformada, en los términos, con el preciso entendimiento y por todo lo expuesto en la parte motiva de esta providencia. </w:t>
      </w:r>
    </w:p>
    <w:p w14:paraId="6211F579" w14:textId="77777777" w:rsidR="004078AD" w:rsidRPr="00951AB1" w:rsidRDefault="004078AD" w:rsidP="000A5389">
      <w:pPr>
        <w:autoSpaceDE w:val="0"/>
        <w:autoSpaceDN w:val="0"/>
        <w:adjustRightInd w:val="0"/>
        <w:spacing w:line="240" w:lineRule="auto"/>
        <w:rPr>
          <w:rFonts w:cs="Times New Roman"/>
          <w:color w:val="000000"/>
          <w:szCs w:val="24"/>
        </w:rPr>
      </w:pPr>
    </w:p>
    <w:p w14:paraId="66030483" w14:textId="77777777" w:rsidR="004078AD" w:rsidRPr="00951AB1" w:rsidRDefault="004078AD" w:rsidP="000A5389">
      <w:pPr>
        <w:numPr>
          <w:ilvl w:val="0"/>
          <w:numId w:val="71"/>
        </w:numPr>
        <w:autoSpaceDE w:val="0"/>
        <w:autoSpaceDN w:val="0"/>
        <w:adjustRightInd w:val="0"/>
        <w:spacing w:line="240" w:lineRule="auto"/>
        <w:ind w:left="567" w:right="900"/>
        <w:rPr>
          <w:rFonts w:cs="Times New Roman"/>
          <w:i/>
          <w:iCs/>
          <w:sz w:val="20"/>
          <w:szCs w:val="20"/>
        </w:rPr>
      </w:pPr>
      <w:r w:rsidRPr="00951AB1">
        <w:rPr>
          <w:rFonts w:cs="Times New Roman"/>
          <w:b/>
          <w:bCs/>
          <w:i/>
          <w:iCs/>
          <w:sz w:val="20"/>
          <w:szCs w:val="20"/>
        </w:rPr>
        <w:t>Quincuagésimo octavo</w:t>
      </w:r>
      <w:r w:rsidRPr="00951AB1">
        <w:rPr>
          <w:rFonts w:cs="Times New Roman"/>
          <w:i/>
          <w:iCs/>
          <w:color w:val="000000"/>
          <w:sz w:val="20"/>
          <w:szCs w:val="20"/>
        </w:rPr>
        <w:t xml:space="preserve">: Condenar a la </w:t>
      </w:r>
      <w:r w:rsidRPr="00951AB1">
        <w:rPr>
          <w:rFonts w:cs="Times New Roman"/>
          <w:b/>
          <w:bCs/>
          <w:i/>
          <w:iCs/>
          <w:color w:val="000000"/>
          <w:sz w:val="20"/>
          <w:szCs w:val="20"/>
        </w:rPr>
        <w:t xml:space="preserve">AGENCIA NACIONAL DE INFRAESTRUCTURA - ANI </w:t>
      </w:r>
      <w:r w:rsidRPr="00951AB1">
        <w:rPr>
          <w:rFonts w:cs="Times New Roman"/>
          <w:i/>
          <w:iCs/>
          <w:color w:val="000000"/>
          <w:sz w:val="20"/>
          <w:szCs w:val="20"/>
        </w:rPr>
        <w:t xml:space="preserve">a pagar a </w:t>
      </w:r>
      <w:r w:rsidRPr="00951AB1">
        <w:rPr>
          <w:rFonts w:cs="Times New Roman"/>
          <w:b/>
          <w:bCs/>
          <w:i/>
          <w:iCs/>
          <w:color w:val="000000"/>
          <w:sz w:val="20"/>
          <w:szCs w:val="20"/>
        </w:rPr>
        <w:t xml:space="preserve">VINUS S.A.S. </w:t>
      </w:r>
      <w:r w:rsidRPr="00951AB1">
        <w:rPr>
          <w:rFonts w:cs="Times New Roman"/>
          <w:i/>
          <w:iCs/>
          <w:color w:val="000000"/>
          <w:sz w:val="20"/>
          <w:szCs w:val="20"/>
        </w:rPr>
        <w:t xml:space="preserve">a la ejecutoria de este Laudo, la suma de </w:t>
      </w:r>
      <w:r w:rsidRPr="00951AB1">
        <w:rPr>
          <w:rFonts w:cs="Times New Roman"/>
          <w:b/>
          <w:bCs/>
          <w:i/>
          <w:iCs/>
          <w:color w:val="000000"/>
          <w:sz w:val="20"/>
          <w:szCs w:val="20"/>
        </w:rPr>
        <w:t xml:space="preserve">MIL SETECIENTOS SESENTA Y CINCO MILLONES SEISCIENTOS MIL PESOS </w:t>
      </w:r>
      <w:r w:rsidRPr="00951AB1">
        <w:rPr>
          <w:rFonts w:cs="Times New Roman"/>
          <w:i/>
          <w:iCs/>
          <w:color w:val="000000"/>
          <w:sz w:val="20"/>
          <w:szCs w:val="20"/>
        </w:rPr>
        <w:t>(</w:t>
      </w:r>
      <w:r w:rsidRPr="00951AB1">
        <w:rPr>
          <w:rFonts w:cs="Times New Roman"/>
          <w:b/>
          <w:bCs/>
          <w:i/>
          <w:iCs/>
          <w:color w:val="000000"/>
          <w:sz w:val="20"/>
          <w:szCs w:val="20"/>
        </w:rPr>
        <w:t>$1.765.600.000)</w:t>
      </w:r>
      <w:r w:rsidRPr="00951AB1">
        <w:rPr>
          <w:rFonts w:cs="Times New Roman"/>
          <w:i/>
          <w:iCs/>
          <w:color w:val="000000"/>
          <w:sz w:val="20"/>
          <w:szCs w:val="20"/>
        </w:rPr>
        <w:t xml:space="preserve">, por concepto de costas del proceso; en tal sentido prosperan parcialmente las pretensiones </w:t>
      </w:r>
      <w:r w:rsidRPr="00951AB1">
        <w:rPr>
          <w:rFonts w:cs="Times New Roman"/>
          <w:b/>
          <w:bCs/>
          <w:i/>
          <w:iCs/>
          <w:color w:val="000000"/>
          <w:sz w:val="20"/>
          <w:szCs w:val="20"/>
        </w:rPr>
        <w:t xml:space="preserve">Décima de condena </w:t>
      </w:r>
      <w:r w:rsidRPr="00951AB1">
        <w:rPr>
          <w:rFonts w:cs="Times New Roman"/>
          <w:i/>
          <w:iCs/>
          <w:color w:val="000000"/>
          <w:sz w:val="20"/>
          <w:szCs w:val="20"/>
        </w:rPr>
        <w:t xml:space="preserve">de las pretensiones relativas a la expedición del Decreto 050 de 2023 y </w:t>
      </w:r>
      <w:r w:rsidRPr="00951AB1">
        <w:rPr>
          <w:rFonts w:cs="Times New Roman"/>
          <w:b/>
          <w:bCs/>
          <w:i/>
          <w:iCs/>
          <w:color w:val="000000"/>
          <w:sz w:val="20"/>
          <w:szCs w:val="20"/>
        </w:rPr>
        <w:t xml:space="preserve">Sexta de Condena </w:t>
      </w:r>
      <w:r w:rsidRPr="00951AB1">
        <w:rPr>
          <w:rFonts w:cs="Times New Roman"/>
          <w:i/>
          <w:iCs/>
          <w:color w:val="000000"/>
          <w:sz w:val="20"/>
          <w:szCs w:val="20"/>
        </w:rPr>
        <w:t>de las pretensiones relativas a la no entrega de la estación de peaje de Niquía, de acuerdo a la liquidación elaborada en la parte motiva de este Laudo y por lo expuesto en la misma.</w:t>
      </w:r>
      <w:r w:rsidRPr="00951AB1">
        <w:rPr>
          <w:rFonts w:cs="Times New Roman"/>
          <w:i/>
          <w:iCs/>
          <w:sz w:val="20"/>
          <w:szCs w:val="20"/>
        </w:rPr>
        <w:t xml:space="preserve">” </w:t>
      </w:r>
    </w:p>
    <w:p w14:paraId="1CD10277" w14:textId="77777777" w:rsidR="004078AD" w:rsidRPr="00951AB1" w:rsidRDefault="004078AD" w:rsidP="000A5389">
      <w:pPr>
        <w:pStyle w:val="Prrafodelista"/>
        <w:autoSpaceDE w:val="0"/>
        <w:autoSpaceDN w:val="0"/>
        <w:adjustRightInd w:val="0"/>
        <w:spacing w:line="240" w:lineRule="auto"/>
        <w:ind w:left="0"/>
        <w:rPr>
          <w:rFonts w:cs="Times New Roman"/>
          <w:szCs w:val="24"/>
        </w:rPr>
      </w:pPr>
    </w:p>
    <w:p w14:paraId="19583FC9" w14:textId="77777777" w:rsidR="004078AD" w:rsidRDefault="004078AD" w:rsidP="000A5389">
      <w:pPr>
        <w:autoSpaceDE w:val="0"/>
        <w:autoSpaceDN w:val="0"/>
        <w:adjustRightInd w:val="0"/>
        <w:spacing w:line="240" w:lineRule="auto"/>
        <w:rPr>
          <w:rFonts w:cs="Times New Roman"/>
          <w:szCs w:val="24"/>
        </w:rPr>
      </w:pPr>
      <w:r w:rsidRPr="00951AB1">
        <w:rPr>
          <w:rFonts w:cs="Times New Roman"/>
          <w:szCs w:val="24"/>
        </w:rPr>
        <w:t>La información relativa al plazo y tasa de interés se encuentra definida en la parte resolutiva de los respectivos laudos que imponen condena a la ANI, así como en lo dispuesto por el Código de Procedimiento Administrativo y de lo Contencioso Administrativo (CPACA) – Ley 1437 de 2011. </w:t>
      </w:r>
    </w:p>
    <w:p w14:paraId="03481916" w14:textId="77777777" w:rsidR="00692C50" w:rsidRPr="00951AB1" w:rsidRDefault="00692C50" w:rsidP="000A5389">
      <w:pPr>
        <w:autoSpaceDE w:val="0"/>
        <w:autoSpaceDN w:val="0"/>
        <w:adjustRightInd w:val="0"/>
        <w:spacing w:line="240" w:lineRule="auto"/>
        <w:rPr>
          <w:rFonts w:cs="Times New Roman"/>
          <w:szCs w:val="24"/>
        </w:rPr>
      </w:pPr>
    </w:p>
    <w:p w14:paraId="6993D078" w14:textId="25A373BE" w:rsidR="004078AD" w:rsidRDefault="004078AD" w:rsidP="000A5389">
      <w:pPr>
        <w:autoSpaceDE w:val="0"/>
        <w:autoSpaceDN w:val="0"/>
        <w:adjustRightInd w:val="0"/>
        <w:spacing w:line="240" w:lineRule="auto"/>
        <w:rPr>
          <w:rFonts w:cs="Times New Roman"/>
          <w:szCs w:val="24"/>
        </w:rPr>
      </w:pPr>
      <w:r w:rsidRPr="00951AB1">
        <w:rPr>
          <w:rFonts w:cs="Times New Roman"/>
          <w:szCs w:val="24"/>
        </w:rPr>
        <w:t xml:space="preserve">En relación con el vencimiento de las cuentas por pagar, su reconocimiento se proyecta dentro de la respectiva vigencia fiscal. Para tal efecto, la ANI adelanta oportunamente todos los trámites presupuestales y financieros ante el Ministerio de Hacienda y Crédito Público (MHCP), con el fin de gestionar la asignación de recursos mediante la </w:t>
      </w:r>
      <w:r w:rsidRPr="00951AB1">
        <w:rPr>
          <w:rFonts w:cs="Times New Roman"/>
          <w:szCs w:val="24"/>
        </w:rPr>
        <w:lastRenderedPageBreak/>
        <w:t>emisión de Títulos de Tesorería (TES), los cuales constituyen la fuente de recursos para el reconocimiento de sentencias y conciliaciones. </w:t>
      </w:r>
    </w:p>
    <w:p w14:paraId="432CC48A" w14:textId="77777777" w:rsidR="00692C50" w:rsidRPr="00951AB1" w:rsidRDefault="00692C50" w:rsidP="000A5389">
      <w:pPr>
        <w:autoSpaceDE w:val="0"/>
        <w:autoSpaceDN w:val="0"/>
        <w:adjustRightInd w:val="0"/>
        <w:spacing w:line="240" w:lineRule="auto"/>
        <w:rPr>
          <w:rFonts w:cs="Times New Roman"/>
          <w:szCs w:val="24"/>
        </w:rPr>
      </w:pPr>
    </w:p>
    <w:p w14:paraId="66B16C40" w14:textId="77777777" w:rsidR="004078AD" w:rsidRDefault="004078AD" w:rsidP="000A5389">
      <w:pPr>
        <w:autoSpaceDE w:val="0"/>
        <w:autoSpaceDN w:val="0"/>
        <w:adjustRightInd w:val="0"/>
        <w:spacing w:line="240" w:lineRule="auto"/>
        <w:rPr>
          <w:rFonts w:cs="Times New Roman"/>
          <w:szCs w:val="24"/>
        </w:rPr>
      </w:pPr>
      <w:r w:rsidRPr="00951AB1">
        <w:rPr>
          <w:rFonts w:cs="Times New Roman"/>
          <w:szCs w:val="24"/>
        </w:rPr>
        <w:t>No obstante, en ausencia de confirmación por parte del MHCP respecto de la correspondiente emisión, resulta necesario reiniciar el trámite en la siguiente vigencia fiscal, ajustando la programación presupuestal conforme a los tiempos del proceso de financiamiento. </w:t>
      </w:r>
    </w:p>
    <w:p w14:paraId="74EE2C07" w14:textId="77777777" w:rsidR="00692C50" w:rsidRPr="00951AB1" w:rsidRDefault="00692C50" w:rsidP="000A5389">
      <w:pPr>
        <w:autoSpaceDE w:val="0"/>
        <w:autoSpaceDN w:val="0"/>
        <w:adjustRightInd w:val="0"/>
        <w:spacing w:line="240" w:lineRule="auto"/>
        <w:rPr>
          <w:rFonts w:cs="Times New Roman"/>
          <w:szCs w:val="24"/>
        </w:rPr>
      </w:pPr>
    </w:p>
    <w:p w14:paraId="3F92B93A" w14:textId="77777777" w:rsidR="004078AD" w:rsidRDefault="004078AD" w:rsidP="000A5389">
      <w:pPr>
        <w:autoSpaceDE w:val="0"/>
        <w:autoSpaceDN w:val="0"/>
        <w:adjustRightInd w:val="0"/>
        <w:spacing w:line="240" w:lineRule="auto"/>
        <w:rPr>
          <w:rFonts w:cs="Times New Roman"/>
          <w:szCs w:val="24"/>
        </w:rPr>
      </w:pPr>
      <w:r w:rsidRPr="00951AB1">
        <w:rPr>
          <w:rFonts w:cs="Times New Roman"/>
          <w:szCs w:val="24"/>
        </w:rPr>
        <w:t>En el anteproyecto de presupuesto de 2025 la ANI solicitó 5.6 billones de pesos en lo relacionado con conciliaciones y sentencias derivadas de condenas a la ANI, que incluye tanto el capital conciliaciones como las estimaciones de intereses hasta el final del 2025, frente a lo cual el MHCP a través del decreto 1523 de diciembre de 2024 “Por medio del cual se decreta el presupuesto de rentas y recursos de capital y el presupuesto de gastos para la vigencia fiscal del 1 de enero al 31 de diciembre de 2025” asignó un cupo de emisión de bonos u otros títulos de deuda pública en condiciones de mercado hasta por $500.000.000.000 pesos para el reconocimiento “como deuda pública de obligaciones a cargo de la Agencia Nacional de Infraestructura (…) surgidas de los contratos de concesión por concepto de sentencias y conciliaciones” (artículo 61).  Los cuales durante la vigencia 2025 fueron tramitados por parte de la ANI ante el MHCP sin que   esta entidad se tuviera respuesta frente a la emisión de estos títulos para el cumplimiento parcial de la obligación, por lo tanto, durante la vigencia 2025 no se realizó amortización a la deuda de laudos y conciliaciones judiciales. </w:t>
      </w:r>
    </w:p>
    <w:p w14:paraId="7AD8C813" w14:textId="77777777" w:rsidR="004078AD" w:rsidRPr="00951AB1" w:rsidRDefault="004078AD" w:rsidP="000A5389">
      <w:pPr>
        <w:autoSpaceDE w:val="0"/>
        <w:autoSpaceDN w:val="0"/>
        <w:adjustRightInd w:val="0"/>
        <w:spacing w:line="240" w:lineRule="auto"/>
        <w:rPr>
          <w:rFonts w:cs="Times New Roman"/>
          <w:szCs w:val="24"/>
        </w:rPr>
      </w:pPr>
      <w:r w:rsidRPr="00951AB1">
        <w:rPr>
          <w:rFonts w:cs="Times New Roman"/>
          <w:szCs w:val="24"/>
        </w:rPr>
        <w:t>Teniendo en cuenta que para la vigencia 2026 se asignó nuevamente un cupo de $500.000.000.000 pesos a través de la Ley de presupuesto 2559 de 2025 se realizarán las negociaciones correspondientes con los beneficiarios de los Laudos Arbitrales con el fin de mitigar el efecto de los intereses moratorios. </w:t>
      </w:r>
    </w:p>
    <w:p w14:paraId="69807138" w14:textId="77777777" w:rsidR="004078AD" w:rsidRDefault="004078AD" w:rsidP="000A5389">
      <w:pPr>
        <w:autoSpaceDE w:val="0"/>
        <w:autoSpaceDN w:val="0"/>
        <w:adjustRightInd w:val="0"/>
        <w:spacing w:line="240" w:lineRule="auto"/>
        <w:rPr>
          <w:rFonts w:cs="Times New Roman"/>
          <w:szCs w:val="24"/>
        </w:rPr>
      </w:pPr>
      <w:r w:rsidRPr="00951AB1">
        <w:rPr>
          <w:rFonts w:cs="Times New Roman"/>
          <w:szCs w:val="24"/>
        </w:rPr>
        <w:t xml:space="preserve">Para esta cuenta por pagar, la Agencia no presenta incumplimiento en las condiciones de pago del principal, del plazo ni de los intereses, ni tampoco se ha realizado ningún pago a la deuda, toda vez que es un laudo arbitral ejecutoriado el 10 de julio de 2025. </w:t>
      </w:r>
    </w:p>
    <w:p w14:paraId="46F0E92D" w14:textId="77777777" w:rsidR="00F543A5" w:rsidRPr="00951AB1" w:rsidRDefault="00F543A5" w:rsidP="000A5389">
      <w:pPr>
        <w:autoSpaceDE w:val="0"/>
        <w:autoSpaceDN w:val="0"/>
        <w:adjustRightInd w:val="0"/>
        <w:spacing w:line="240" w:lineRule="auto"/>
        <w:rPr>
          <w:rFonts w:cs="Times New Roman"/>
          <w:szCs w:val="24"/>
        </w:rPr>
      </w:pPr>
    </w:p>
    <w:p w14:paraId="7F8455F8" w14:textId="77777777" w:rsidR="004078AD" w:rsidRPr="00951AB1" w:rsidRDefault="004078AD" w:rsidP="000A5389">
      <w:pPr>
        <w:pStyle w:val="Prrafodelista"/>
        <w:numPr>
          <w:ilvl w:val="0"/>
          <w:numId w:val="69"/>
        </w:numPr>
        <w:autoSpaceDE w:val="0"/>
        <w:autoSpaceDN w:val="0"/>
        <w:adjustRightInd w:val="0"/>
        <w:spacing w:line="240" w:lineRule="auto"/>
        <w:ind w:left="0" w:hanging="142"/>
        <w:rPr>
          <w:rFonts w:cs="Times New Roman"/>
          <w:color w:val="000000"/>
          <w:szCs w:val="24"/>
          <w:lang w:eastAsia="es-CO"/>
        </w:rPr>
      </w:pPr>
      <w:r w:rsidRPr="00951AB1">
        <w:rPr>
          <w:rFonts w:cs="Times New Roman"/>
          <w:szCs w:val="24"/>
        </w:rPr>
        <w:t xml:space="preserve">Un valor de $123.586.678.307 (capital adeudado y actualización de capital), </w:t>
      </w:r>
      <w:r w:rsidRPr="00951AB1">
        <w:rPr>
          <w:rFonts w:cs="Times New Roman"/>
          <w:color w:val="000000"/>
          <w:szCs w:val="24"/>
          <w:lang w:eastAsia="es-CO"/>
        </w:rPr>
        <w:t>por la deuda reconocida a nombre de BTS Concesionario S.A.S., del proyecto Briceño Tunja Sogamoso, contrato de concesión No. 0377 de 2002, por el Laudo Arbitral No. 4677 ejecutoriado el 01/02/2019, por concepto de fondeos adicionales efectuados por el concesionario en exceso del Presupuesto de Predios, declarados mediante Laudo Arbitral.</w:t>
      </w:r>
    </w:p>
    <w:p w14:paraId="12E30920" w14:textId="77777777" w:rsidR="004078AD" w:rsidRPr="00951AB1" w:rsidRDefault="004078AD" w:rsidP="000A5389">
      <w:pPr>
        <w:pStyle w:val="Prrafodelista"/>
        <w:autoSpaceDE w:val="0"/>
        <w:autoSpaceDN w:val="0"/>
        <w:adjustRightInd w:val="0"/>
        <w:spacing w:line="240" w:lineRule="auto"/>
        <w:ind w:left="0"/>
        <w:rPr>
          <w:rFonts w:cs="Times New Roman"/>
          <w:color w:val="000000"/>
          <w:szCs w:val="24"/>
          <w:lang w:eastAsia="es-CO"/>
        </w:rPr>
      </w:pPr>
    </w:p>
    <w:p w14:paraId="2AE1D82F" w14:textId="77777777" w:rsidR="004078AD" w:rsidRPr="00951AB1" w:rsidRDefault="004078AD" w:rsidP="000A5389">
      <w:pPr>
        <w:autoSpaceDE w:val="0"/>
        <w:autoSpaceDN w:val="0"/>
        <w:adjustRightInd w:val="0"/>
        <w:spacing w:line="240" w:lineRule="auto"/>
        <w:rPr>
          <w:rFonts w:cs="Times New Roman"/>
          <w:color w:val="000000"/>
          <w:szCs w:val="24"/>
          <w:lang w:eastAsia="es-CO"/>
        </w:rPr>
      </w:pPr>
      <w:r w:rsidRPr="00951AB1">
        <w:rPr>
          <w:rFonts w:cs="Times New Roman"/>
          <w:color w:val="000000"/>
          <w:szCs w:val="24"/>
          <w:lang w:eastAsia="es-CO"/>
        </w:rPr>
        <w:t>Conforme a la Cláusula 27.3 del Contrato de Concesión No. 0377 de 2002, el reembolso de dichos recursos se encuentra condicionado a la adquisición del último predio requerido para el proyecto.</w:t>
      </w:r>
    </w:p>
    <w:p w14:paraId="352F4875" w14:textId="77777777" w:rsidR="004078AD" w:rsidRPr="00951AB1" w:rsidRDefault="004078AD" w:rsidP="000A5389">
      <w:pPr>
        <w:pStyle w:val="Prrafodelista"/>
        <w:autoSpaceDE w:val="0"/>
        <w:autoSpaceDN w:val="0"/>
        <w:adjustRightInd w:val="0"/>
        <w:spacing w:line="240" w:lineRule="auto"/>
        <w:ind w:left="0"/>
        <w:rPr>
          <w:rFonts w:cs="Times New Roman"/>
          <w:color w:val="000000"/>
          <w:szCs w:val="24"/>
          <w:lang w:eastAsia="es-CO"/>
        </w:rPr>
      </w:pPr>
      <w:r w:rsidRPr="00951AB1">
        <w:rPr>
          <w:rFonts w:cs="Times New Roman"/>
          <w:color w:val="000000"/>
          <w:szCs w:val="24"/>
          <w:lang w:eastAsia="es-CO"/>
        </w:rPr>
        <w:t>De conformidad con lo establecido en la cláusula 27.3 del contrato, se procede a la actualización de los fondeos realizados en exceso por el concesionario, ajustando su valor por efecto de la inflación. Para tal efecto, el capital adeudado se expresa en pesos de diciembre de 2025, aplicando el IPC correspondiente a cada uno de los meses en que se efectuaron dichos fondeos.</w:t>
      </w:r>
    </w:p>
    <w:p w14:paraId="71FB91FC" w14:textId="77777777" w:rsidR="004078AD" w:rsidRPr="00951AB1" w:rsidRDefault="004078AD" w:rsidP="000A5389">
      <w:pPr>
        <w:pStyle w:val="Prrafodelista"/>
        <w:autoSpaceDE w:val="0"/>
        <w:autoSpaceDN w:val="0"/>
        <w:adjustRightInd w:val="0"/>
        <w:spacing w:line="240" w:lineRule="auto"/>
        <w:ind w:left="0"/>
        <w:rPr>
          <w:rFonts w:cs="Times New Roman"/>
          <w:color w:val="000000"/>
          <w:szCs w:val="24"/>
          <w:lang w:eastAsia="es-CO"/>
        </w:rPr>
      </w:pPr>
    </w:p>
    <w:p w14:paraId="5B1C5673" w14:textId="77777777" w:rsidR="004078AD" w:rsidRPr="00951AB1" w:rsidRDefault="004078AD" w:rsidP="000A5389">
      <w:pPr>
        <w:pStyle w:val="Prrafodelista"/>
        <w:autoSpaceDE w:val="0"/>
        <w:autoSpaceDN w:val="0"/>
        <w:adjustRightInd w:val="0"/>
        <w:spacing w:line="240" w:lineRule="auto"/>
        <w:ind w:left="0"/>
        <w:rPr>
          <w:rFonts w:cs="Times New Roman"/>
          <w:color w:val="000000"/>
          <w:szCs w:val="24"/>
          <w:lang w:eastAsia="es-CO"/>
        </w:rPr>
      </w:pPr>
      <w:r w:rsidRPr="00951AB1">
        <w:rPr>
          <w:rFonts w:cs="Times New Roman"/>
          <w:color w:val="000000"/>
          <w:szCs w:val="24"/>
          <w:lang w:eastAsia="es-CO"/>
        </w:rPr>
        <w:lastRenderedPageBreak/>
        <w:t>Se tiene un plazo de dieciocho (18) meses contados a partir del final del mes en el cual se adquiera el último predio.</w:t>
      </w:r>
    </w:p>
    <w:p w14:paraId="692D54D0" w14:textId="77777777" w:rsidR="004078AD" w:rsidRPr="00951AB1" w:rsidRDefault="004078AD" w:rsidP="000A5389">
      <w:pPr>
        <w:autoSpaceDE w:val="0"/>
        <w:autoSpaceDN w:val="0"/>
        <w:adjustRightInd w:val="0"/>
        <w:spacing w:line="240" w:lineRule="auto"/>
        <w:rPr>
          <w:rFonts w:cs="Times New Roman"/>
          <w:color w:val="000000"/>
          <w:szCs w:val="24"/>
          <w:lang w:eastAsia="es-CO"/>
        </w:rPr>
      </w:pPr>
    </w:p>
    <w:p w14:paraId="0B1BA401" w14:textId="77777777" w:rsidR="004078AD" w:rsidRPr="00951AB1" w:rsidRDefault="004078AD" w:rsidP="000A5389">
      <w:pPr>
        <w:autoSpaceDE w:val="0"/>
        <w:autoSpaceDN w:val="0"/>
        <w:adjustRightInd w:val="0"/>
        <w:spacing w:line="240" w:lineRule="auto"/>
        <w:rPr>
          <w:rFonts w:cs="Times New Roman"/>
          <w:color w:val="000000"/>
          <w:szCs w:val="24"/>
          <w:lang w:eastAsia="es-CO"/>
        </w:rPr>
      </w:pPr>
      <w:r w:rsidRPr="00951AB1">
        <w:rPr>
          <w:rFonts w:cs="Times New Roman"/>
          <w:color w:val="000000"/>
          <w:szCs w:val="24"/>
          <w:lang w:eastAsia="es-CO"/>
        </w:rPr>
        <w:t>La tasa de interés pactada es de DTF efectiva anual + cinco (5) puntos porcentuales, aplicable a partir del final del mes en que se adquiera el último predio.</w:t>
      </w:r>
    </w:p>
    <w:p w14:paraId="3E6F782E" w14:textId="77777777" w:rsidR="004078AD" w:rsidRDefault="004078AD" w:rsidP="000A5389">
      <w:pPr>
        <w:autoSpaceDE w:val="0"/>
        <w:autoSpaceDN w:val="0"/>
        <w:adjustRightInd w:val="0"/>
        <w:spacing w:line="240" w:lineRule="auto"/>
        <w:rPr>
          <w:rFonts w:cs="Times New Roman"/>
          <w:color w:val="000000"/>
          <w:szCs w:val="24"/>
          <w:lang w:eastAsia="es-CO"/>
        </w:rPr>
      </w:pPr>
      <w:r w:rsidRPr="00951AB1">
        <w:rPr>
          <w:rFonts w:cs="Times New Roman"/>
          <w:color w:val="000000"/>
          <w:szCs w:val="24"/>
          <w:lang w:eastAsia="es-CO"/>
        </w:rPr>
        <w:t>Con relación a los intereses moratorios, proceden únicamente si transcurren los 18 meses sin que se haya efectuado el reembolso, conforme a la Cláusula 49 del Contrato (interés bancario corriente certificado por la Superintendencia Financiera)</w:t>
      </w:r>
    </w:p>
    <w:p w14:paraId="3DA6A65D" w14:textId="77777777" w:rsidR="00F543A5" w:rsidRPr="00951AB1" w:rsidRDefault="00F543A5" w:rsidP="000A5389">
      <w:pPr>
        <w:autoSpaceDE w:val="0"/>
        <w:autoSpaceDN w:val="0"/>
        <w:adjustRightInd w:val="0"/>
        <w:spacing w:line="240" w:lineRule="auto"/>
        <w:rPr>
          <w:rFonts w:cs="Times New Roman"/>
          <w:color w:val="000000"/>
          <w:szCs w:val="24"/>
          <w:lang w:eastAsia="es-CO"/>
        </w:rPr>
      </w:pPr>
    </w:p>
    <w:p w14:paraId="556250EE" w14:textId="77777777" w:rsidR="004078AD" w:rsidRPr="00951AB1" w:rsidRDefault="004078AD" w:rsidP="000A5389">
      <w:pPr>
        <w:autoSpaceDE w:val="0"/>
        <w:autoSpaceDN w:val="0"/>
        <w:adjustRightInd w:val="0"/>
        <w:spacing w:line="240" w:lineRule="auto"/>
        <w:rPr>
          <w:rFonts w:cs="Times New Roman"/>
          <w:color w:val="000000"/>
          <w:szCs w:val="24"/>
          <w:lang w:eastAsia="es-CO"/>
        </w:rPr>
      </w:pPr>
      <w:r w:rsidRPr="00951AB1">
        <w:rPr>
          <w:rFonts w:cs="Times New Roman"/>
          <w:color w:val="000000"/>
          <w:szCs w:val="24"/>
          <w:lang w:eastAsia="es-CO"/>
        </w:rPr>
        <w:t>A fecha 31 de diciembre de 2025, el plazo no ha iniciado, toda vez que el concesionario no ha culminado la gestión predial (no se ha adquirido el último predio). En consecuencia, la obligación no es actualmente exigible y no tiene fecha de vencimiento en curso.</w:t>
      </w:r>
    </w:p>
    <w:p w14:paraId="37C79A98" w14:textId="77777777" w:rsidR="004078AD" w:rsidRPr="00951AB1" w:rsidRDefault="004078AD" w:rsidP="000A5389">
      <w:pPr>
        <w:autoSpaceDE w:val="0"/>
        <w:autoSpaceDN w:val="0"/>
        <w:adjustRightInd w:val="0"/>
        <w:spacing w:line="240" w:lineRule="auto"/>
        <w:rPr>
          <w:rFonts w:cs="Times New Roman"/>
          <w:color w:val="000000"/>
          <w:szCs w:val="24"/>
          <w:lang w:eastAsia="es-CO"/>
        </w:rPr>
      </w:pPr>
      <w:r w:rsidRPr="00951AB1">
        <w:rPr>
          <w:rFonts w:cs="Times New Roman"/>
          <w:color w:val="000000"/>
          <w:szCs w:val="24"/>
          <w:lang w:eastAsia="es-CO"/>
        </w:rPr>
        <w:t>A fecha 31 de diciembre de 2025: </w:t>
      </w:r>
    </w:p>
    <w:p w14:paraId="7F8294C7" w14:textId="77777777" w:rsidR="004078AD" w:rsidRPr="00951AB1" w:rsidRDefault="004078AD" w:rsidP="000A5389">
      <w:pPr>
        <w:pStyle w:val="Prrafodelista"/>
        <w:numPr>
          <w:ilvl w:val="0"/>
          <w:numId w:val="107"/>
        </w:numPr>
        <w:autoSpaceDE w:val="0"/>
        <w:autoSpaceDN w:val="0"/>
        <w:adjustRightInd w:val="0"/>
        <w:spacing w:line="240" w:lineRule="auto"/>
        <w:rPr>
          <w:rFonts w:cs="Times New Roman"/>
          <w:color w:val="000000"/>
          <w:szCs w:val="24"/>
          <w:lang w:eastAsia="es-CO"/>
        </w:rPr>
      </w:pPr>
      <w:r w:rsidRPr="00951AB1">
        <w:rPr>
          <w:rFonts w:cs="Times New Roman"/>
          <w:color w:val="000000"/>
          <w:szCs w:val="24"/>
          <w:lang w:eastAsia="es-CO"/>
        </w:rPr>
        <w:t>No existe incumplimiento por parte de la Entidad.</w:t>
      </w:r>
    </w:p>
    <w:p w14:paraId="4F929525" w14:textId="77777777" w:rsidR="004078AD" w:rsidRPr="00951AB1" w:rsidRDefault="004078AD" w:rsidP="000A5389">
      <w:pPr>
        <w:pStyle w:val="Prrafodelista"/>
        <w:numPr>
          <w:ilvl w:val="0"/>
          <w:numId w:val="107"/>
        </w:numPr>
        <w:autoSpaceDE w:val="0"/>
        <w:autoSpaceDN w:val="0"/>
        <w:adjustRightInd w:val="0"/>
        <w:spacing w:line="240" w:lineRule="auto"/>
        <w:rPr>
          <w:rFonts w:cs="Times New Roman"/>
          <w:color w:val="000000"/>
          <w:szCs w:val="24"/>
          <w:lang w:eastAsia="es-CO"/>
        </w:rPr>
      </w:pPr>
      <w:r w:rsidRPr="00951AB1">
        <w:rPr>
          <w:rFonts w:cs="Times New Roman"/>
          <w:color w:val="000000"/>
          <w:szCs w:val="24"/>
          <w:lang w:eastAsia="es-CO"/>
        </w:rPr>
        <w:t>No ha iniciado el plazo contractual de 18 meses.</w:t>
      </w:r>
    </w:p>
    <w:p w14:paraId="45709A36" w14:textId="77777777" w:rsidR="004078AD" w:rsidRPr="00951AB1" w:rsidRDefault="004078AD" w:rsidP="000A5389">
      <w:pPr>
        <w:pStyle w:val="Prrafodelista"/>
        <w:numPr>
          <w:ilvl w:val="0"/>
          <w:numId w:val="107"/>
        </w:numPr>
        <w:autoSpaceDE w:val="0"/>
        <w:autoSpaceDN w:val="0"/>
        <w:adjustRightInd w:val="0"/>
        <w:spacing w:line="240" w:lineRule="auto"/>
        <w:rPr>
          <w:rFonts w:cs="Times New Roman"/>
          <w:color w:val="000000"/>
          <w:szCs w:val="24"/>
          <w:lang w:eastAsia="es-CO"/>
        </w:rPr>
      </w:pPr>
      <w:r w:rsidRPr="00951AB1">
        <w:rPr>
          <w:rFonts w:cs="Times New Roman"/>
          <w:color w:val="000000"/>
          <w:szCs w:val="24"/>
          <w:lang w:eastAsia="es-CO"/>
        </w:rPr>
        <w:t>No se han causado intereses corrientes.</w:t>
      </w:r>
    </w:p>
    <w:p w14:paraId="0BD8E76E" w14:textId="77777777" w:rsidR="004078AD" w:rsidRPr="00951AB1" w:rsidRDefault="004078AD" w:rsidP="000A5389">
      <w:pPr>
        <w:pStyle w:val="Prrafodelista"/>
        <w:numPr>
          <w:ilvl w:val="0"/>
          <w:numId w:val="107"/>
        </w:numPr>
        <w:autoSpaceDE w:val="0"/>
        <w:autoSpaceDN w:val="0"/>
        <w:adjustRightInd w:val="0"/>
        <w:spacing w:line="240" w:lineRule="auto"/>
        <w:rPr>
          <w:rFonts w:cs="Times New Roman"/>
          <w:color w:val="000000"/>
          <w:szCs w:val="24"/>
          <w:lang w:eastAsia="es-CO"/>
        </w:rPr>
      </w:pPr>
      <w:r w:rsidRPr="00951AB1">
        <w:rPr>
          <w:rFonts w:cs="Times New Roman"/>
          <w:color w:val="000000" w:themeColor="text1"/>
          <w:szCs w:val="24"/>
          <w:lang w:eastAsia="es-CO"/>
        </w:rPr>
        <w:t>No se han configurado intereses moratorios.</w:t>
      </w:r>
    </w:p>
    <w:p w14:paraId="6D198AE3" w14:textId="77777777" w:rsidR="001B22E8" w:rsidRPr="00951AB1" w:rsidRDefault="001B22E8" w:rsidP="000A5389">
      <w:pPr>
        <w:pStyle w:val="Prrafodelista"/>
        <w:autoSpaceDE w:val="0"/>
        <w:autoSpaceDN w:val="0"/>
        <w:adjustRightInd w:val="0"/>
        <w:spacing w:line="240" w:lineRule="auto"/>
        <w:ind w:left="1080"/>
        <w:rPr>
          <w:rFonts w:cs="Times New Roman"/>
          <w:color w:val="000000"/>
          <w:szCs w:val="24"/>
          <w:lang w:eastAsia="es-CO"/>
        </w:rPr>
      </w:pPr>
    </w:p>
    <w:p w14:paraId="1B332A53" w14:textId="77777777" w:rsidR="004078AD" w:rsidRPr="00951AB1" w:rsidRDefault="004078AD" w:rsidP="000A5389">
      <w:pPr>
        <w:autoSpaceDE w:val="0"/>
        <w:autoSpaceDN w:val="0"/>
        <w:adjustRightInd w:val="0"/>
        <w:spacing w:line="240" w:lineRule="auto"/>
        <w:rPr>
          <w:rFonts w:cs="Times New Roman"/>
          <w:color w:val="000000"/>
          <w:szCs w:val="24"/>
          <w:lang w:eastAsia="es-CO"/>
        </w:rPr>
      </w:pPr>
      <w:r w:rsidRPr="00951AB1">
        <w:rPr>
          <w:rFonts w:cs="Times New Roman"/>
          <w:color w:val="000000"/>
          <w:szCs w:val="24"/>
          <w:lang w:eastAsia="es-CO"/>
        </w:rPr>
        <w:t>Lo anterior, en razón a que la obligación está sujeta a una condición suspensiva contractual que no se ha materializado.</w:t>
      </w:r>
    </w:p>
    <w:p w14:paraId="14EB70F2" w14:textId="77777777" w:rsidR="004078AD" w:rsidRDefault="004078AD" w:rsidP="000A5389">
      <w:pPr>
        <w:tabs>
          <w:tab w:val="num" w:pos="720"/>
        </w:tabs>
        <w:spacing w:line="240" w:lineRule="auto"/>
        <w:rPr>
          <w:rFonts w:cs="Times New Roman"/>
          <w:szCs w:val="24"/>
        </w:rPr>
      </w:pPr>
      <w:r w:rsidRPr="00951AB1">
        <w:rPr>
          <w:rFonts w:cs="Times New Roman"/>
          <w:szCs w:val="24"/>
        </w:rPr>
        <w:t>A 31 de diciembre de 2025, no se ha dado de baja la cuenta por pagar, no ha sido cancelada total ni parcialmente, y no ha operado pago a través de patrimonio autónomo, aseguradora o tercero.</w:t>
      </w:r>
    </w:p>
    <w:p w14:paraId="36EE5460" w14:textId="77777777" w:rsidR="00F543A5" w:rsidRPr="00951AB1" w:rsidRDefault="00F543A5" w:rsidP="000A5389">
      <w:pPr>
        <w:tabs>
          <w:tab w:val="num" w:pos="720"/>
        </w:tabs>
        <w:spacing w:line="240" w:lineRule="auto"/>
        <w:rPr>
          <w:rFonts w:cs="Times New Roman"/>
          <w:szCs w:val="24"/>
        </w:rPr>
      </w:pPr>
    </w:p>
    <w:p w14:paraId="2758AFA2" w14:textId="77777777" w:rsidR="004078AD" w:rsidRDefault="004078AD" w:rsidP="000A5389">
      <w:pPr>
        <w:autoSpaceDE w:val="0"/>
        <w:autoSpaceDN w:val="0"/>
        <w:adjustRightInd w:val="0"/>
        <w:spacing w:line="240" w:lineRule="auto"/>
        <w:rPr>
          <w:rFonts w:cs="Times New Roman"/>
          <w:color w:val="000000"/>
          <w:szCs w:val="24"/>
          <w:lang w:eastAsia="es-CO"/>
        </w:rPr>
      </w:pPr>
      <w:r w:rsidRPr="00951AB1">
        <w:rPr>
          <w:rFonts w:cs="Times New Roman"/>
          <w:color w:val="000000"/>
          <w:szCs w:val="24"/>
          <w:lang w:eastAsia="es-CO"/>
        </w:rPr>
        <w:t>La obligación permanece registrada contablemente en calidad de obligación condicionada, pendiente de la ocurrencia del hito contractual previsto en la Cláusula 27.3. En consecuencia, no existen infracciones ni procesos de renegociación asociados a esta cuenta por pagar.</w:t>
      </w:r>
    </w:p>
    <w:p w14:paraId="41A2CC6F" w14:textId="77777777" w:rsidR="00F543A5" w:rsidRPr="00951AB1" w:rsidRDefault="00F543A5" w:rsidP="000A5389">
      <w:pPr>
        <w:autoSpaceDE w:val="0"/>
        <w:autoSpaceDN w:val="0"/>
        <w:adjustRightInd w:val="0"/>
        <w:spacing w:line="240" w:lineRule="auto"/>
        <w:rPr>
          <w:rFonts w:cs="Times New Roman"/>
          <w:color w:val="000000"/>
          <w:szCs w:val="24"/>
          <w:lang w:eastAsia="es-CO"/>
        </w:rPr>
      </w:pPr>
    </w:p>
    <w:p w14:paraId="1056AAC7" w14:textId="77777777" w:rsidR="004078AD" w:rsidRDefault="004078AD" w:rsidP="000A5389">
      <w:pPr>
        <w:autoSpaceDE w:val="0"/>
        <w:autoSpaceDN w:val="0"/>
        <w:adjustRightInd w:val="0"/>
        <w:spacing w:line="240" w:lineRule="auto"/>
        <w:rPr>
          <w:rFonts w:eastAsia="OpenSymbol" w:cs="Times New Roman"/>
          <w:color w:val="000000"/>
          <w:szCs w:val="24"/>
          <w:lang w:eastAsia="es-CO"/>
        </w:rPr>
      </w:pPr>
      <w:r w:rsidRPr="00951AB1">
        <w:rPr>
          <w:rFonts w:eastAsia="OpenSymbol" w:cs="Times New Roman"/>
          <w:color w:val="000000"/>
          <w:szCs w:val="24"/>
          <w:lang w:eastAsia="es-CO"/>
        </w:rPr>
        <w:t>Adicionalmente, es relevante señalar que el Plan de Aportes aprobado por el Ministerio de Hacienda y Crédito Público para la cobertura del riesgo predial del proyecto asciende a la suma de $60.185.000.000, expresados en pesos constantes del mes de referencia. Al actualizar dicho valor a pesos de diciembre de 2025, el monto equivalente corresponde a $211.795.006.933,21. En consecuencia, se concluye que, a diciembre de 2025, los recursos aprobados y disponibles en el Fondo de Contingencias de las Entidades Estatales cuentan con cobertura suficiente y total para atender las obligaciones derivadas de este concepto, no obstante, de conformidad con la disposición contractual el pago de estos recursos debe realizarse una vez el concesionario adquiera el último predio del proyecto hito contractual que el concesionario no ha alcanzado.</w:t>
      </w:r>
    </w:p>
    <w:p w14:paraId="4431C2D3" w14:textId="77777777" w:rsidR="00F543A5" w:rsidRPr="00951AB1" w:rsidRDefault="00F543A5" w:rsidP="000A5389">
      <w:pPr>
        <w:autoSpaceDE w:val="0"/>
        <w:autoSpaceDN w:val="0"/>
        <w:adjustRightInd w:val="0"/>
        <w:spacing w:line="240" w:lineRule="auto"/>
        <w:rPr>
          <w:rFonts w:eastAsia="OpenSymbol" w:cs="Times New Roman"/>
          <w:color w:val="000000"/>
          <w:szCs w:val="24"/>
          <w:lang w:eastAsia="es-CO"/>
        </w:rPr>
      </w:pPr>
    </w:p>
    <w:p w14:paraId="67E24E5C" w14:textId="77777777" w:rsidR="004078AD" w:rsidRPr="00951AB1" w:rsidRDefault="004078AD" w:rsidP="000A5389">
      <w:pPr>
        <w:pStyle w:val="Prrafodelista"/>
        <w:numPr>
          <w:ilvl w:val="0"/>
          <w:numId w:val="69"/>
        </w:numPr>
        <w:autoSpaceDE w:val="0"/>
        <w:autoSpaceDN w:val="0"/>
        <w:adjustRightInd w:val="0"/>
        <w:spacing w:line="240" w:lineRule="auto"/>
        <w:ind w:left="0" w:hanging="142"/>
        <w:rPr>
          <w:rFonts w:cs="Times New Roman"/>
          <w:szCs w:val="24"/>
        </w:rPr>
      </w:pPr>
      <w:r w:rsidRPr="00951AB1">
        <w:rPr>
          <w:rFonts w:cs="Times New Roman"/>
          <w:szCs w:val="24"/>
        </w:rPr>
        <w:t>Un valor de $116.556.424.710 (capital adeudado), por la deuda reconocida a nombre de Yuma Concesionaria S A - En reorganización, del proyecto Ruta del Sol Sector 3, contrato de concesión No. 007 de 2010, por el Laudo Arbitral No. 5206 ejecutoriado el 15/05/2020, en el que condenó a la entidad por lo siguiente:</w:t>
      </w:r>
    </w:p>
    <w:p w14:paraId="6FE516DB" w14:textId="77777777" w:rsidR="004078AD" w:rsidRPr="00951AB1" w:rsidRDefault="004078AD" w:rsidP="000A5389">
      <w:pPr>
        <w:pStyle w:val="Prrafodelista"/>
        <w:autoSpaceDE w:val="0"/>
        <w:autoSpaceDN w:val="0"/>
        <w:adjustRightInd w:val="0"/>
        <w:spacing w:line="240" w:lineRule="auto"/>
        <w:ind w:left="0"/>
        <w:rPr>
          <w:rFonts w:cs="Times New Roman"/>
          <w:i/>
          <w:iCs/>
          <w:sz w:val="20"/>
          <w:szCs w:val="20"/>
        </w:rPr>
      </w:pPr>
    </w:p>
    <w:p w14:paraId="42AABDEE" w14:textId="77777777" w:rsidR="004078AD" w:rsidRPr="00951AB1" w:rsidRDefault="004078AD" w:rsidP="000A5389">
      <w:pPr>
        <w:pStyle w:val="Prrafodelista"/>
        <w:spacing w:line="240" w:lineRule="auto"/>
        <w:ind w:left="567" w:right="900"/>
        <w:rPr>
          <w:rFonts w:cs="Times New Roman"/>
          <w:i/>
          <w:iCs/>
          <w:sz w:val="20"/>
          <w:szCs w:val="20"/>
        </w:rPr>
      </w:pPr>
      <w:r w:rsidRPr="00951AB1">
        <w:rPr>
          <w:rFonts w:cs="Times New Roman"/>
          <w:i/>
          <w:iCs/>
          <w:sz w:val="20"/>
          <w:szCs w:val="20"/>
        </w:rPr>
        <w:lastRenderedPageBreak/>
        <w:t>“Pago a YUMA CONCESIONARIA S.A. la diferencia entre (i) el costo de las obras adicionales para construir las seis (6) variantes a reconocer (Cuatro Vientos, Copey, Loma del Bálsamo, La Gran Vía, Zawady y La Isabela) y (ii) el costo total de las obras de los correspondientes seis (6) pasos poblacionales, valor que se obtendrá mediante la metodología enunciada en la parte considerativa.”</w:t>
      </w:r>
    </w:p>
    <w:p w14:paraId="2B451C5E" w14:textId="77777777" w:rsidR="004078AD" w:rsidRPr="00951AB1" w:rsidRDefault="004078AD" w:rsidP="000A5389">
      <w:pPr>
        <w:autoSpaceDE w:val="0"/>
        <w:autoSpaceDN w:val="0"/>
        <w:adjustRightInd w:val="0"/>
        <w:spacing w:line="240" w:lineRule="auto"/>
        <w:rPr>
          <w:rFonts w:eastAsia="OpenSymbol" w:cs="Times New Roman"/>
          <w:color w:val="000000"/>
          <w:szCs w:val="24"/>
          <w:lang w:eastAsia="es-CO"/>
        </w:rPr>
      </w:pPr>
    </w:p>
    <w:p w14:paraId="155E11E0" w14:textId="77777777" w:rsidR="004078AD" w:rsidRPr="00951AB1" w:rsidRDefault="004078AD" w:rsidP="000A5389">
      <w:pPr>
        <w:tabs>
          <w:tab w:val="left" w:pos="7371"/>
        </w:tabs>
        <w:autoSpaceDE w:val="0"/>
        <w:autoSpaceDN w:val="0"/>
        <w:adjustRightInd w:val="0"/>
        <w:spacing w:line="240" w:lineRule="auto"/>
        <w:ind w:right="49"/>
        <w:rPr>
          <w:rFonts w:eastAsia="OpenSymbol" w:cs="Times New Roman"/>
          <w:color w:val="000000"/>
          <w:szCs w:val="24"/>
          <w:lang w:eastAsia="es-CO"/>
        </w:rPr>
      </w:pPr>
      <w:r w:rsidRPr="00951AB1">
        <w:rPr>
          <w:rFonts w:eastAsia="OpenSymbol" w:cs="Times New Roman"/>
          <w:color w:val="000000"/>
          <w:szCs w:val="24"/>
          <w:lang w:eastAsia="es-CO"/>
        </w:rPr>
        <w:t>El valor total de la Condena corresponde a un valor de referencia y estimado a precios INVIAS, toda vez que los valores a pagar por cada variante solo pueden establecerse una vez se suscriba acta de entrega de la infraestructura.</w:t>
      </w:r>
    </w:p>
    <w:p w14:paraId="54E07C0A" w14:textId="77777777" w:rsidR="004078AD" w:rsidRPr="00951AB1" w:rsidRDefault="004078AD" w:rsidP="000A5389">
      <w:pPr>
        <w:tabs>
          <w:tab w:val="left" w:pos="7371"/>
        </w:tabs>
        <w:autoSpaceDE w:val="0"/>
        <w:autoSpaceDN w:val="0"/>
        <w:adjustRightInd w:val="0"/>
        <w:spacing w:line="240" w:lineRule="auto"/>
        <w:ind w:right="49"/>
        <w:rPr>
          <w:rFonts w:eastAsia="OpenSymbol" w:cs="Times New Roman"/>
          <w:color w:val="000000"/>
          <w:szCs w:val="24"/>
          <w:lang w:eastAsia="es-CO"/>
        </w:rPr>
      </w:pPr>
    </w:p>
    <w:p w14:paraId="43037847" w14:textId="77777777" w:rsidR="004078AD" w:rsidRPr="00951AB1" w:rsidRDefault="004078AD" w:rsidP="000A5389">
      <w:pPr>
        <w:tabs>
          <w:tab w:val="left" w:pos="7371"/>
        </w:tabs>
        <w:autoSpaceDE w:val="0"/>
        <w:autoSpaceDN w:val="0"/>
        <w:adjustRightInd w:val="0"/>
        <w:spacing w:line="240" w:lineRule="auto"/>
        <w:ind w:right="49"/>
        <w:rPr>
          <w:rFonts w:eastAsia="OpenSymbol" w:cs="Times New Roman"/>
          <w:color w:val="000000"/>
          <w:szCs w:val="24"/>
          <w:lang w:eastAsia="es-CO"/>
        </w:rPr>
      </w:pPr>
      <w:r w:rsidRPr="00951AB1">
        <w:rPr>
          <w:rFonts w:eastAsia="OpenSymbol" w:cs="Times New Roman"/>
          <w:color w:val="000000"/>
          <w:szCs w:val="24"/>
          <w:lang w:eastAsia="es-CO"/>
        </w:rPr>
        <w:t>El valor informado como capital corresponde al valor diferencial o mayor valor a cargo de la ANI del Hito de Vía Nueva de la Variante El Copey de acuerdo con lo determinado por el Laudo arbitral.</w:t>
      </w:r>
    </w:p>
    <w:p w14:paraId="772A242A" w14:textId="77777777" w:rsidR="004078AD" w:rsidRPr="00951AB1" w:rsidRDefault="004078AD" w:rsidP="000A5389">
      <w:pPr>
        <w:tabs>
          <w:tab w:val="left" w:pos="7371"/>
        </w:tabs>
        <w:autoSpaceDE w:val="0"/>
        <w:autoSpaceDN w:val="0"/>
        <w:adjustRightInd w:val="0"/>
        <w:spacing w:line="240" w:lineRule="auto"/>
        <w:ind w:right="49"/>
        <w:rPr>
          <w:rFonts w:eastAsia="OpenSymbol" w:cs="Times New Roman"/>
          <w:color w:val="000000"/>
          <w:szCs w:val="24"/>
          <w:lang w:eastAsia="es-CO"/>
        </w:rPr>
      </w:pPr>
    </w:p>
    <w:p w14:paraId="26BA6070" w14:textId="77777777" w:rsidR="004078AD" w:rsidRPr="00951AB1" w:rsidRDefault="004078AD" w:rsidP="000A5389">
      <w:pPr>
        <w:tabs>
          <w:tab w:val="left" w:pos="7371"/>
        </w:tabs>
        <w:autoSpaceDE w:val="0"/>
        <w:autoSpaceDN w:val="0"/>
        <w:adjustRightInd w:val="0"/>
        <w:spacing w:line="240" w:lineRule="auto"/>
        <w:ind w:right="49"/>
        <w:rPr>
          <w:rFonts w:eastAsia="OpenSymbol" w:cs="Times New Roman"/>
          <w:b/>
          <w:bCs/>
          <w:color w:val="000000"/>
          <w:szCs w:val="24"/>
          <w:lang w:eastAsia="es-CO"/>
        </w:rPr>
      </w:pPr>
      <w:r w:rsidRPr="00951AB1">
        <w:rPr>
          <w:rFonts w:eastAsia="OpenSymbol" w:cs="Times New Roman"/>
          <w:b/>
          <w:bCs/>
          <w:color w:val="000000"/>
          <w:szCs w:val="24"/>
          <w:lang w:eastAsia="es-CO"/>
        </w:rPr>
        <w:t>Información de condiciones:</w:t>
      </w:r>
    </w:p>
    <w:p w14:paraId="571261DB" w14:textId="77777777" w:rsidR="004078AD" w:rsidRPr="00951AB1" w:rsidRDefault="004078AD" w:rsidP="000A5389">
      <w:pPr>
        <w:tabs>
          <w:tab w:val="left" w:pos="7371"/>
        </w:tabs>
        <w:autoSpaceDE w:val="0"/>
        <w:autoSpaceDN w:val="0"/>
        <w:adjustRightInd w:val="0"/>
        <w:spacing w:line="240" w:lineRule="auto"/>
        <w:ind w:right="49"/>
        <w:rPr>
          <w:rFonts w:eastAsia="OpenSymbol" w:cs="Times New Roman"/>
          <w:color w:val="000000"/>
          <w:szCs w:val="24"/>
          <w:lang w:eastAsia="es-CO"/>
        </w:rPr>
      </w:pPr>
    </w:p>
    <w:p w14:paraId="7740FF19" w14:textId="77777777" w:rsidR="004078AD" w:rsidRPr="00951AB1" w:rsidRDefault="004078AD" w:rsidP="000A5389">
      <w:pPr>
        <w:tabs>
          <w:tab w:val="left" w:pos="7371"/>
        </w:tabs>
        <w:autoSpaceDE w:val="0"/>
        <w:autoSpaceDN w:val="0"/>
        <w:adjustRightInd w:val="0"/>
        <w:spacing w:line="240" w:lineRule="auto"/>
        <w:ind w:right="49"/>
        <w:rPr>
          <w:rFonts w:eastAsia="OpenSymbol" w:cs="Times New Roman"/>
          <w:b/>
          <w:bCs/>
          <w:color w:val="000000"/>
          <w:szCs w:val="24"/>
          <w:lang w:eastAsia="es-CO"/>
        </w:rPr>
      </w:pPr>
      <w:r w:rsidRPr="00951AB1">
        <w:rPr>
          <w:rFonts w:eastAsia="OpenSymbol" w:cs="Times New Roman"/>
          <w:b/>
          <w:bCs/>
          <w:color w:val="000000"/>
          <w:szCs w:val="24"/>
          <w:lang w:eastAsia="es-CO"/>
        </w:rPr>
        <w:t>Plazo: </w:t>
      </w:r>
    </w:p>
    <w:p w14:paraId="13875B8B" w14:textId="77777777" w:rsidR="004078AD" w:rsidRPr="00951AB1" w:rsidRDefault="004078AD" w:rsidP="000A5389">
      <w:pPr>
        <w:pStyle w:val="Prrafodelista"/>
        <w:numPr>
          <w:ilvl w:val="0"/>
          <w:numId w:val="108"/>
        </w:numPr>
        <w:tabs>
          <w:tab w:val="left" w:pos="7371"/>
        </w:tabs>
        <w:autoSpaceDE w:val="0"/>
        <w:autoSpaceDN w:val="0"/>
        <w:adjustRightInd w:val="0"/>
        <w:spacing w:line="240" w:lineRule="auto"/>
        <w:ind w:right="49"/>
        <w:rPr>
          <w:rFonts w:eastAsia="OpenSymbol" w:cs="Times New Roman"/>
          <w:color w:val="000000"/>
          <w:szCs w:val="24"/>
          <w:lang w:eastAsia="es-CO"/>
        </w:rPr>
      </w:pPr>
      <w:r w:rsidRPr="00951AB1">
        <w:rPr>
          <w:rFonts w:eastAsia="OpenSymbol" w:cs="Times New Roman"/>
          <w:color w:val="000000"/>
          <w:szCs w:val="24"/>
          <w:lang w:eastAsia="es-CO"/>
        </w:rPr>
        <w:t>Hito 12BVN plazo máximo de 30 días luego de suscrita el acta de terminación que se dio el 11/09/2024 conforme lo indicado en la sección 19.01 del contrato de concesión.</w:t>
      </w:r>
    </w:p>
    <w:p w14:paraId="4ACFA7E8" w14:textId="04112AF3" w:rsidR="004078AD" w:rsidRPr="00951AB1" w:rsidRDefault="004078AD" w:rsidP="000A5389">
      <w:pPr>
        <w:pStyle w:val="Prrafodelista"/>
        <w:numPr>
          <w:ilvl w:val="0"/>
          <w:numId w:val="108"/>
        </w:numPr>
        <w:tabs>
          <w:tab w:val="left" w:pos="7371"/>
        </w:tabs>
        <w:autoSpaceDE w:val="0"/>
        <w:autoSpaceDN w:val="0"/>
        <w:adjustRightInd w:val="0"/>
        <w:spacing w:line="240" w:lineRule="auto"/>
        <w:ind w:right="49"/>
        <w:rPr>
          <w:rFonts w:eastAsia="OpenSymbol" w:cs="Times New Roman"/>
          <w:color w:val="000000"/>
          <w:szCs w:val="24"/>
          <w:lang w:eastAsia="es-CO"/>
        </w:rPr>
      </w:pPr>
      <w:r w:rsidRPr="00951AB1">
        <w:rPr>
          <w:rFonts w:eastAsia="OpenSymbol" w:cs="Times New Roman"/>
          <w:color w:val="000000" w:themeColor="text1"/>
          <w:szCs w:val="24"/>
          <w:lang w:eastAsia="es-CO"/>
        </w:rPr>
        <w:t>Hito 12B3 MJ plazo máximo de 30 días luego de suscrita el acta de terminación que se dio el 31/12/</w:t>
      </w:r>
      <w:r w:rsidR="001B22E8" w:rsidRPr="00951AB1">
        <w:rPr>
          <w:rFonts w:eastAsia="OpenSymbol" w:cs="Times New Roman"/>
          <w:color w:val="000000" w:themeColor="text1"/>
          <w:szCs w:val="24"/>
          <w:lang w:eastAsia="es-CO"/>
        </w:rPr>
        <w:t>2024 conforme</w:t>
      </w:r>
      <w:r w:rsidRPr="00951AB1">
        <w:rPr>
          <w:rFonts w:eastAsia="OpenSymbol" w:cs="Times New Roman"/>
          <w:color w:val="000000" w:themeColor="text1"/>
          <w:szCs w:val="24"/>
          <w:lang w:eastAsia="es-CO"/>
        </w:rPr>
        <w:t xml:space="preserve"> lo indicado en la sección 19.01 del contrato de concesión.</w:t>
      </w:r>
    </w:p>
    <w:p w14:paraId="1B6942E7" w14:textId="77777777" w:rsidR="004078AD" w:rsidRPr="00951AB1" w:rsidRDefault="004078AD" w:rsidP="000A5389">
      <w:pPr>
        <w:tabs>
          <w:tab w:val="left" w:pos="7371"/>
        </w:tabs>
        <w:autoSpaceDE w:val="0"/>
        <w:autoSpaceDN w:val="0"/>
        <w:adjustRightInd w:val="0"/>
        <w:spacing w:line="240" w:lineRule="auto"/>
        <w:ind w:right="49"/>
        <w:rPr>
          <w:rFonts w:eastAsia="OpenSymbol" w:cs="Times New Roman"/>
          <w:color w:val="000000"/>
          <w:szCs w:val="24"/>
          <w:lang w:eastAsia="es-CO"/>
        </w:rPr>
      </w:pPr>
    </w:p>
    <w:p w14:paraId="7EC78449" w14:textId="05EBE850" w:rsidR="004078AD" w:rsidRPr="00951AB1" w:rsidRDefault="004078AD" w:rsidP="000A5389">
      <w:pPr>
        <w:tabs>
          <w:tab w:val="left" w:pos="7371"/>
        </w:tabs>
        <w:autoSpaceDE w:val="0"/>
        <w:autoSpaceDN w:val="0"/>
        <w:adjustRightInd w:val="0"/>
        <w:spacing w:line="240" w:lineRule="auto"/>
        <w:ind w:right="49"/>
        <w:rPr>
          <w:rFonts w:eastAsia="OpenSymbol" w:cs="Times New Roman"/>
          <w:b/>
          <w:bCs/>
          <w:color w:val="000000"/>
          <w:szCs w:val="24"/>
          <w:lang w:eastAsia="es-CO"/>
        </w:rPr>
      </w:pPr>
      <w:r w:rsidRPr="00951AB1">
        <w:rPr>
          <w:rFonts w:eastAsia="OpenSymbol" w:cs="Times New Roman"/>
          <w:b/>
          <w:bCs/>
          <w:color w:val="000000"/>
          <w:szCs w:val="24"/>
          <w:lang w:eastAsia="es-CO"/>
        </w:rPr>
        <w:t>Tasa de interés: </w:t>
      </w:r>
    </w:p>
    <w:p w14:paraId="472AE060" w14:textId="77777777" w:rsidR="004078AD" w:rsidRPr="00951AB1" w:rsidRDefault="004078AD" w:rsidP="000A5389">
      <w:pPr>
        <w:numPr>
          <w:ilvl w:val="0"/>
          <w:numId w:val="108"/>
        </w:numPr>
        <w:tabs>
          <w:tab w:val="left" w:pos="7371"/>
        </w:tabs>
        <w:autoSpaceDE w:val="0"/>
        <w:autoSpaceDN w:val="0"/>
        <w:adjustRightInd w:val="0"/>
        <w:spacing w:line="240" w:lineRule="auto"/>
        <w:ind w:right="49"/>
        <w:rPr>
          <w:rFonts w:eastAsia="OpenSymbol" w:cs="Times New Roman"/>
          <w:color w:val="000000"/>
          <w:szCs w:val="24"/>
          <w:lang w:eastAsia="es-CO"/>
        </w:rPr>
      </w:pPr>
      <w:r w:rsidRPr="00951AB1">
        <w:rPr>
          <w:rFonts w:eastAsia="OpenSymbol" w:cs="Times New Roman"/>
          <w:color w:val="000000"/>
          <w:szCs w:val="24"/>
          <w:lang w:eastAsia="es-CO"/>
        </w:rPr>
        <w:t>El laudo no reconoce una tasa de interés sobre el capital, sin embargo, a partir del vencimiento del plazo se generan intereses de mora calculados con IBC+1/3 conforme lo señalado en la sección 19.01 del contrato y para lo que se precisa que en el formato se indica esto mismo </w:t>
      </w:r>
    </w:p>
    <w:p w14:paraId="52EEA674" w14:textId="77777777" w:rsidR="004078AD" w:rsidRPr="00951AB1" w:rsidRDefault="004078AD" w:rsidP="000A5389">
      <w:pPr>
        <w:tabs>
          <w:tab w:val="left" w:pos="7371"/>
        </w:tabs>
        <w:autoSpaceDE w:val="0"/>
        <w:autoSpaceDN w:val="0"/>
        <w:adjustRightInd w:val="0"/>
        <w:spacing w:line="240" w:lineRule="auto"/>
        <w:ind w:right="49"/>
        <w:rPr>
          <w:rFonts w:eastAsia="OpenSymbol" w:cs="Times New Roman"/>
          <w:color w:val="000000"/>
          <w:szCs w:val="24"/>
          <w:lang w:eastAsia="es-CO"/>
        </w:rPr>
      </w:pPr>
    </w:p>
    <w:p w14:paraId="1C2B7959" w14:textId="55847E46" w:rsidR="004078AD" w:rsidRPr="00951AB1" w:rsidRDefault="004078AD" w:rsidP="000A5389">
      <w:pPr>
        <w:tabs>
          <w:tab w:val="left" w:pos="7371"/>
        </w:tabs>
        <w:autoSpaceDE w:val="0"/>
        <w:autoSpaceDN w:val="0"/>
        <w:adjustRightInd w:val="0"/>
        <w:spacing w:line="240" w:lineRule="auto"/>
        <w:ind w:right="49"/>
        <w:rPr>
          <w:rFonts w:eastAsia="OpenSymbol" w:cs="Times New Roman"/>
          <w:b/>
          <w:bCs/>
          <w:color w:val="000000"/>
          <w:szCs w:val="24"/>
          <w:lang w:eastAsia="es-CO"/>
        </w:rPr>
      </w:pPr>
      <w:r w:rsidRPr="00951AB1">
        <w:rPr>
          <w:rFonts w:eastAsia="OpenSymbol" w:cs="Times New Roman"/>
          <w:b/>
          <w:bCs/>
          <w:color w:val="000000"/>
          <w:szCs w:val="24"/>
          <w:lang w:eastAsia="es-CO"/>
        </w:rPr>
        <w:t>Vencimiento:</w:t>
      </w:r>
    </w:p>
    <w:p w14:paraId="4ADAFD89" w14:textId="77777777" w:rsidR="004078AD" w:rsidRPr="00951AB1" w:rsidRDefault="004078AD" w:rsidP="000A5389">
      <w:pPr>
        <w:pStyle w:val="Prrafodelista"/>
        <w:numPr>
          <w:ilvl w:val="0"/>
          <w:numId w:val="108"/>
        </w:numPr>
        <w:tabs>
          <w:tab w:val="left" w:pos="7371"/>
        </w:tabs>
        <w:autoSpaceDE w:val="0"/>
        <w:autoSpaceDN w:val="0"/>
        <w:adjustRightInd w:val="0"/>
        <w:spacing w:line="240" w:lineRule="auto"/>
        <w:ind w:right="49"/>
        <w:rPr>
          <w:rFonts w:eastAsia="OpenSymbol" w:cs="Times New Roman"/>
          <w:color w:val="000000"/>
          <w:szCs w:val="24"/>
          <w:lang w:eastAsia="es-CO"/>
        </w:rPr>
      </w:pPr>
      <w:r w:rsidRPr="00951AB1">
        <w:rPr>
          <w:rFonts w:eastAsia="OpenSymbol" w:cs="Times New Roman"/>
          <w:color w:val="000000"/>
          <w:szCs w:val="24"/>
          <w:lang w:eastAsia="es-CO"/>
        </w:rPr>
        <w:t>Hito 12BVN plazo máximo el 12/10/2024</w:t>
      </w:r>
    </w:p>
    <w:p w14:paraId="4E3D3F12" w14:textId="77777777" w:rsidR="004078AD" w:rsidRPr="00951AB1" w:rsidRDefault="004078AD" w:rsidP="000A5389">
      <w:pPr>
        <w:pStyle w:val="Prrafodelista"/>
        <w:numPr>
          <w:ilvl w:val="0"/>
          <w:numId w:val="108"/>
        </w:numPr>
        <w:tabs>
          <w:tab w:val="left" w:pos="7371"/>
        </w:tabs>
        <w:autoSpaceDE w:val="0"/>
        <w:autoSpaceDN w:val="0"/>
        <w:adjustRightInd w:val="0"/>
        <w:spacing w:line="240" w:lineRule="auto"/>
        <w:ind w:right="49"/>
        <w:rPr>
          <w:rFonts w:eastAsia="OpenSymbol" w:cs="Times New Roman"/>
          <w:color w:val="000000"/>
          <w:szCs w:val="24"/>
          <w:lang w:eastAsia="es-CO"/>
        </w:rPr>
      </w:pPr>
      <w:r w:rsidRPr="00951AB1">
        <w:rPr>
          <w:rFonts w:eastAsia="OpenSymbol" w:cs="Times New Roman"/>
          <w:color w:val="000000"/>
          <w:szCs w:val="24"/>
          <w:lang w:eastAsia="es-CO"/>
        </w:rPr>
        <w:t>Hito 12B3 MJ plazo máximo el 31/01/2024</w:t>
      </w:r>
    </w:p>
    <w:p w14:paraId="1EA96843" w14:textId="77777777" w:rsidR="004078AD" w:rsidRPr="00951AB1" w:rsidRDefault="004078AD" w:rsidP="000A5389">
      <w:pPr>
        <w:tabs>
          <w:tab w:val="left" w:pos="7371"/>
        </w:tabs>
        <w:autoSpaceDE w:val="0"/>
        <w:autoSpaceDN w:val="0"/>
        <w:adjustRightInd w:val="0"/>
        <w:spacing w:line="240" w:lineRule="auto"/>
        <w:ind w:right="49"/>
        <w:rPr>
          <w:rFonts w:eastAsia="OpenSymbol" w:cs="Times New Roman"/>
          <w:color w:val="000000"/>
          <w:szCs w:val="24"/>
          <w:lang w:eastAsia="es-CO"/>
        </w:rPr>
      </w:pPr>
      <w:r w:rsidRPr="00951AB1">
        <w:rPr>
          <w:rFonts w:eastAsia="OpenSymbol" w:cs="Times New Roman"/>
          <w:color w:val="000000"/>
          <w:szCs w:val="24"/>
          <w:lang w:eastAsia="es-CO"/>
        </w:rPr>
        <w:t> </w:t>
      </w:r>
    </w:p>
    <w:p w14:paraId="64119A32" w14:textId="77777777" w:rsidR="004078AD" w:rsidRPr="00951AB1" w:rsidRDefault="004078AD" w:rsidP="000A5389">
      <w:pPr>
        <w:tabs>
          <w:tab w:val="left" w:pos="7371"/>
        </w:tabs>
        <w:autoSpaceDE w:val="0"/>
        <w:autoSpaceDN w:val="0"/>
        <w:adjustRightInd w:val="0"/>
        <w:spacing w:line="240" w:lineRule="auto"/>
        <w:ind w:right="49"/>
        <w:rPr>
          <w:rFonts w:eastAsia="OpenSymbol" w:cs="Times New Roman"/>
          <w:color w:val="000000"/>
          <w:szCs w:val="24"/>
          <w:lang w:eastAsia="es-CO"/>
        </w:rPr>
      </w:pPr>
      <w:r w:rsidRPr="00951AB1">
        <w:rPr>
          <w:rFonts w:eastAsia="OpenSymbol" w:cs="Times New Roman"/>
          <w:color w:val="000000"/>
          <w:szCs w:val="24"/>
          <w:lang w:eastAsia="es-CO"/>
        </w:rPr>
        <w:t>Si se infringe el plazo y teniendo en cuenta que el Laudo Arbitral no estableció un plazo específico para el pago de la condena, deben reconocerse los intereses de mora que se generen hasta que se realice el pago.</w:t>
      </w:r>
    </w:p>
    <w:p w14:paraId="1255516D" w14:textId="77777777" w:rsidR="004078AD" w:rsidRPr="00951AB1" w:rsidRDefault="004078AD" w:rsidP="000A5389">
      <w:pPr>
        <w:tabs>
          <w:tab w:val="left" w:pos="7371"/>
        </w:tabs>
        <w:autoSpaceDE w:val="0"/>
        <w:autoSpaceDN w:val="0"/>
        <w:adjustRightInd w:val="0"/>
        <w:spacing w:line="240" w:lineRule="auto"/>
        <w:ind w:right="49"/>
        <w:rPr>
          <w:rFonts w:eastAsia="OpenSymbol" w:cs="Times New Roman"/>
          <w:color w:val="000000"/>
          <w:szCs w:val="24"/>
          <w:lang w:eastAsia="es-CO"/>
        </w:rPr>
      </w:pPr>
    </w:p>
    <w:p w14:paraId="6E216D3B" w14:textId="77777777" w:rsidR="004078AD" w:rsidRPr="00951AB1" w:rsidRDefault="004078AD" w:rsidP="000A5389">
      <w:pPr>
        <w:tabs>
          <w:tab w:val="left" w:pos="7371"/>
        </w:tabs>
        <w:autoSpaceDE w:val="0"/>
        <w:autoSpaceDN w:val="0"/>
        <w:adjustRightInd w:val="0"/>
        <w:spacing w:line="240" w:lineRule="auto"/>
        <w:ind w:right="49"/>
        <w:rPr>
          <w:rFonts w:eastAsia="OpenSymbol" w:cs="Times New Roman"/>
          <w:color w:val="000000"/>
          <w:szCs w:val="24"/>
          <w:lang w:eastAsia="es-CO"/>
        </w:rPr>
      </w:pPr>
      <w:r w:rsidRPr="00951AB1">
        <w:rPr>
          <w:rFonts w:eastAsia="OpenSymbol" w:cs="Times New Roman"/>
          <w:color w:val="000000"/>
          <w:szCs w:val="24"/>
          <w:lang w:eastAsia="es-CO"/>
        </w:rPr>
        <w:t>En la cláusula tercera del acta de cumplimiento se indica que la obligación podrá ser pagada con cargo al cupo de TES que la Ley de presupuesto asigna a la ANI, o con cargo a recursos de la subcuenta de soporte contractual o Recursos de la Agencia Nacional de infraestructura, debidamente incorporados dentro de su presupuesto o con una o varias de las siguientes alternativas contenidas en el literal (c) de la Sección 14.04 Procedimiento para Restablecimiento del Equilibrio Económico, por lo que para dar de baja la cuenta por pagar se informará al área del pago.</w:t>
      </w:r>
    </w:p>
    <w:p w14:paraId="136857D6" w14:textId="77777777" w:rsidR="004078AD" w:rsidRPr="00951AB1" w:rsidRDefault="004078AD" w:rsidP="000A5389">
      <w:pPr>
        <w:tabs>
          <w:tab w:val="left" w:pos="7371"/>
        </w:tabs>
        <w:autoSpaceDE w:val="0"/>
        <w:autoSpaceDN w:val="0"/>
        <w:adjustRightInd w:val="0"/>
        <w:spacing w:line="240" w:lineRule="auto"/>
        <w:ind w:right="49"/>
        <w:rPr>
          <w:rFonts w:eastAsia="OpenSymbol" w:cs="Times New Roman"/>
          <w:color w:val="000000"/>
          <w:szCs w:val="24"/>
          <w:lang w:eastAsia="es-CO"/>
        </w:rPr>
      </w:pPr>
    </w:p>
    <w:p w14:paraId="24FE79B2" w14:textId="77777777" w:rsidR="004078AD" w:rsidRPr="00951AB1" w:rsidRDefault="004078AD" w:rsidP="000A5389">
      <w:pPr>
        <w:tabs>
          <w:tab w:val="left" w:pos="7371"/>
        </w:tabs>
        <w:autoSpaceDE w:val="0"/>
        <w:autoSpaceDN w:val="0"/>
        <w:adjustRightInd w:val="0"/>
        <w:spacing w:line="240" w:lineRule="auto"/>
        <w:ind w:right="49"/>
        <w:rPr>
          <w:rFonts w:eastAsia="OpenSymbol" w:cs="Times New Roman"/>
          <w:color w:val="000000"/>
          <w:szCs w:val="24"/>
          <w:lang w:eastAsia="es-CO"/>
        </w:rPr>
      </w:pPr>
      <w:r w:rsidRPr="00951AB1">
        <w:rPr>
          <w:rFonts w:eastAsia="OpenSymbol" w:cs="Times New Roman"/>
          <w:color w:val="000000"/>
          <w:szCs w:val="24"/>
          <w:lang w:eastAsia="es-CO"/>
        </w:rPr>
        <w:t>En la vigencia 2025, para esta deuda, no se realizó ningún pago ni abono.</w:t>
      </w:r>
    </w:p>
    <w:p w14:paraId="518F6A0B" w14:textId="77777777" w:rsidR="004078AD" w:rsidRPr="00951AB1" w:rsidRDefault="004078AD" w:rsidP="000A5389">
      <w:pPr>
        <w:tabs>
          <w:tab w:val="left" w:pos="7371"/>
        </w:tabs>
        <w:autoSpaceDE w:val="0"/>
        <w:autoSpaceDN w:val="0"/>
        <w:adjustRightInd w:val="0"/>
        <w:spacing w:line="240" w:lineRule="auto"/>
        <w:ind w:right="49"/>
        <w:rPr>
          <w:rFonts w:eastAsia="OpenSymbol" w:cs="Times New Roman"/>
          <w:color w:val="000000"/>
          <w:szCs w:val="24"/>
          <w:lang w:eastAsia="es-CO"/>
        </w:rPr>
      </w:pPr>
    </w:p>
    <w:p w14:paraId="05E413AC" w14:textId="77777777" w:rsidR="004078AD" w:rsidRPr="00951AB1" w:rsidRDefault="004078AD" w:rsidP="000A5389">
      <w:pPr>
        <w:pStyle w:val="Prrafodelista"/>
        <w:numPr>
          <w:ilvl w:val="0"/>
          <w:numId w:val="69"/>
        </w:numPr>
        <w:autoSpaceDE w:val="0"/>
        <w:autoSpaceDN w:val="0"/>
        <w:adjustRightInd w:val="0"/>
        <w:spacing w:line="240" w:lineRule="auto"/>
        <w:ind w:left="0" w:hanging="142"/>
        <w:rPr>
          <w:rFonts w:cs="Times New Roman"/>
          <w:szCs w:val="24"/>
        </w:rPr>
      </w:pPr>
      <w:r w:rsidRPr="00951AB1">
        <w:rPr>
          <w:rFonts w:cs="Times New Roman"/>
          <w:szCs w:val="24"/>
        </w:rPr>
        <w:t xml:space="preserve">Un valor de $89.673.116.337 (capital adeudado, actualización de capital e intereses corrientes), por la deuda reconocida a nombre de la Concesionaria Vial de los Andes S.A.S. COVIANDES S.A.S., del proyecto Bogotá Villavicencio, contrato de concesión No. 444 de 1994, por el Laudo Arbitral No. 128411 del 20 de diciembre de 2022. </w:t>
      </w:r>
    </w:p>
    <w:p w14:paraId="19D361A3" w14:textId="77777777" w:rsidR="004078AD" w:rsidRPr="00951AB1" w:rsidRDefault="004078AD" w:rsidP="000A5389">
      <w:pPr>
        <w:autoSpaceDE w:val="0"/>
        <w:autoSpaceDN w:val="0"/>
        <w:adjustRightInd w:val="0"/>
        <w:spacing w:line="240" w:lineRule="auto"/>
        <w:rPr>
          <w:rFonts w:cs="Times New Roman"/>
          <w:szCs w:val="24"/>
          <w:highlight w:val="yellow"/>
        </w:rPr>
      </w:pPr>
    </w:p>
    <w:p w14:paraId="5D556DE0" w14:textId="098229E0" w:rsidR="004078AD" w:rsidRPr="00951AB1" w:rsidRDefault="004078AD" w:rsidP="000A5389">
      <w:pPr>
        <w:autoSpaceDE w:val="0"/>
        <w:autoSpaceDN w:val="0"/>
        <w:adjustRightInd w:val="0"/>
        <w:spacing w:line="240" w:lineRule="auto"/>
        <w:rPr>
          <w:rFonts w:cs="Times New Roman"/>
          <w:szCs w:val="24"/>
        </w:rPr>
      </w:pPr>
      <w:r w:rsidRPr="00951AB1">
        <w:rPr>
          <w:rFonts w:cs="Times New Roman"/>
          <w:szCs w:val="24"/>
        </w:rPr>
        <w:t xml:space="preserve">El Laudo Arbitral del 20 de diciembre de 2022 CONDENÓ a la ANI, a reconocer y pagar a favor de COVIANDES S.A.S., de conformidad con lo acordado por las partes en la cláusula Décima Primera del Adicional No. 1 de 2010, la siguiente suma de dinero: $52.930.820.748 por el mayor valor de obra correspondiente a excavaciones y pre-soporte en la construcción de </w:t>
      </w:r>
      <w:r w:rsidR="6D367086" w:rsidRPr="00951AB1">
        <w:rPr>
          <w:rFonts w:cs="Times New Roman"/>
          <w:szCs w:val="24"/>
        </w:rPr>
        <w:t>los</w:t>
      </w:r>
      <w:r w:rsidRPr="00951AB1">
        <w:rPr>
          <w:rFonts w:cs="Times New Roman"/>
          <w:szCs w:val="24"/>
        </w:rPr>
        <w:t xml:space="preserve"> túneles, dejados de reconocer y pagar durante la ejecución contractual.</w:t>
      </w:r>
    </w:p>
    <w:p w14:paraId="3165050A" w14:textId="77777777" w:rsidR="004078AD" w:rsidRPr="00951AB1" w:rsidRDefault="004078AD" w:rsidP="000A5389">
      <w:pPr>
        <w:autoSpaceDE w:val="0"/>
        <w:autoSpaceDN w:val="0"/>
        <w:adjustRightInd w:val="0"/>
        <w:spacing w:line="240" w:lineRule="auto"/>
        <w:rPr>
          <w:rFonts w:cs="Times New Roman"/>
          <w:szCs w:val="24"/>
        </w:rPr>
      </w:pPr>
      <w:r w:rsidRPr="00951AB1">
        <w:rPr>
          <w:rFonts w:cs="Times New Roman"/>
          <w:szCs w:val="24"/>
        </w:rPr>
        <w:t> </w:t>
      </w:r>
    </w:p>
    <w:p w14:paraId="0B7F223C" w14:textId="77777777" w:rsidR="004078AD" w:rsidRPr="00951AB1" w:rsidRDefault="004078AD" w:rsidP="000A5389">
      <w:pPr>
        <w:autoSpaceDE w:val="0"/>
        <w:autoSpaceDN w:val="0"/>
        <w:adjustRightInd w:val="0"/>
        <w:spacing w:line="240" w:lineRule="auto"/>
        <w:rPr>
          <w:rFonts w:cs="Times New Roman"/>
          <w:szCs w:val="24"/>
        </w:rPr>
      </w:pPr>
      <w:r w:rsidRPr="00951AB1">
        <w:rPr>
          <w:rFonts w:cs="Times New Roman"/>
          <w:szCs w:val="24"/>
        </w:rPr>
        <w:t>En el Resuelve Cuarto del Laudo Arbitral, el Tribunal condenó a la Agencia Nacional de Infraestructura a reconocer y pagar al Concesionario las actividades asociadas a la construcción de túneles por concepto de excavación y pre-soporte. Así mismo, se dispuso que dichas sumas deben ser reconocidas con intereses a una tasa del 11,33% efectivo anual en términos reales.</w:t>
      </w:r>
    </w:p>
    <w:p w14:paraId="6A0DBAE7" w14:textId="77777777" w:rsidR="004078AD" w:rsidRPr="00951AB1" w:rsidRDefault="004078AD" w:rsidP="000A5389">
      <w:pPr>
        <w:autoSpaceDE w:val="0"/>
        <w:autoSpaceDN w:val="0"/>
        <w:adjustRightInd w:val="0"/>
        <w:spacing w:line="240" w:lineRule="auto"/>
        <w:rPr>
          <w:rFonts w:cs="Times New Roman"/>
          <w:szCs w:val="24"/>
        </w:rPr>
      </w:pPr>
      <w:r w:rsidRPr="00951AB1">
        <w:rPr>
          <w:rFonts w:cs="Times New Roman"/>
          <w:szCs w:val="24"/>
        </w:rPr>
        <w:t>El Laudo Arbitral no estableció un plazo específico para el pago de la condena. En consecuencia, la Entidad continúa reconociendo intereses a la tasa del 11,33% efectivo anual en términos reales, con corte al 31 de diciembre de 2025, hasta tanto se materialice el pago efectivo.</w:t>
      </w:r>
    </w:p>
    <w:p w14:paraId="2BC821A9" w14:textId="77777777" w:rsidR="004078AD" w:rsidRPr="00951AB1" w:rsidRDefault="004078AD" w:rsidP="000A5389">
      <w:pPr>
        <w:autoSpaceDE w:val="0"/>
        <w:autoSpaceDN w:val="0"/>
        <w:adjustRightInd w:val="0"/>
        <w:spacing w:line="240" w:lineRule="auto"/>
        <w:rPr>
          <w:rFonts w:cs="Times New Roman"/>
          <w:szCs w:val="24"/>
        </w:rPr>
      </w:pPr>
    </w:p>
    <w:p w14:paraId="37C01FE5" w14:textId="77777777" w:rsidR="004078AD" w:rsidRPr="00951AB1" w:rsidRDefault="004078AD" w:rsidP="000A5389">
      <w:pPr>
        <w:autoSpaceDE w:val="0"/>
        <w:autoSpaceDN w:val="0"/>
        <w:adjustRightInd w:val="0"/>
        <w:spacing w:line="240" w:lineRule="auto"/>
        <w:rPr>
          <w:rFonts w:cs="Times New Roman"/>
          <w:szCs w:val="24"/>
        </w:rPr>
      </w:pPr>
      <w:r w:rsidRPr="00951AB1">
        <w:rPr>
          <w:rFonts w:cs="Times New Roman"/>
          <w:szCs w:val="24"/>
        </w:rPr>
        <w:t>El equipo de seguimiento contractual del proyecto ha adelantado las gestiones necesarias para dar cumplimiento a los requerimientos del Ministerio de Hacienda y Crédito Público, con el fin de efectuar el pago de la condena mediante Títulos de Tesorería (TES). No obstante, por restricciones y efectos fiscales correspondientes a la vigencia 2025, no fue posible que el Ministerio de Hacienda realizara el pago al Concesionario durante dicha vigencia, situación que resulta ajena a la Agencia Nacional de Infraestructura.</w:t>
      </w:r>
    </w:p>
    <w:p w14:paraId="60946350" w14:textId="77777777" w:rsidR="004078AD" w:rsidRPr="00951AB1" w:rsidRDefault="004078AD" w:rsidP="000A5389">
      <w:pPr>
        <w:autoSpaceDE w:val="0"/>
        <w:autoSpaceDN w:val="0"/>
        <w:adjustRightInd w:val="0"/>
        <w:spacing w:line="240" w:lineRule="auto"/>
        <w:rPr>
          <w:rFonts w:cs="Times New Roman"/>
          <w:szCs w:val="24"/>
        </w:rPr>
      </w:pPr>
    </w:p>
    <w:p w14:paraId="37B2ED13" w14:textId="77777777" w:rsidR="004078AD" w:rsidRPr="00951AB1" w:rsidRDefault="004078AD" w:rsidP="000A5389">
      <w:pPr>
        <w:pStyle w:val="Prrafodelista"/>
        <w:numPr>
          <w:ilvl w:val="0"/>
          <w:numId w:val="70"/>
        </w:numPr>
        <w:autoSpaceDE w:val="0"/>
        <w:autoSpaceDN w:val="0"/>
        <w:adjustRightInd w:val="0"/>
        <w:spacing w:line="240" w:lineRule="auto"/>
        <w:ind w:left="0" w:hanging="142"/>
        <w:rPr>
          <w:rFonts w:cs="Times New Roman"/>
          <w:szCs w:val="24"/>
        </w:rPr>
      </w:pPr>
      <w:r w:rsidRPr="00951AB1">
        <w:rPr>
          <w:rFonts w:cs="Times New Roman"/>
          <w:szCs w:val="24"/>
        </w:rPr>
        <w:t xml:space="preserve">Un valor de $67.582.208.353 (capital adeudado), por la deuda reconocida a nombre de Concesión Santa Marta Paraguachón S.A., del proyecto Santa Marta Riohacha Paraguachón, contrato de concesión No. 445 de 1994, por el Laudo Arbitral No. 141971, Auto No. 86 del 26/05/2025 ejecutoriado el 30/05/2025. </w:t>
      </w:r>
    </w:p>
    <w:p w14:paraId="663DB2CA" w14:textId="77777777" w:rsidR="004078AD" w:rsidRPr="00951AB1" w:rsidRDefault="004078AD" w:rsidP="000A5389">
      <w:pPr>
        <w:pStyle w:val="Prrafodelista"/>
        <w:autoSpaceDE w:val="0"/>
        <w:autoSpaceDN w:val="0"/>
        <w:adjustRightInd w:val="0"/>
        <w:spacing w:line="240" w:lineRule="auto"/>
        <w:ind w:left="0"/>
        <w:rPr>
          <w:rFonts w:cs="Times New Roman"/>
          <w:szCs w:val="24"/>
        </w:rPr>
      </w:pPr>
    </w:p>
    <w:p w14:paraId="6800D4C2" w14:textId="77777777" w:rsidR="004078AD" w:rsidRPr="00951AB1" w:rsidRDefault="004078AD" w:rsidP="000A5389">
      <w:pPr>
        <w:autoSpaceDE w:val="0"/>
        <w:autoSpaceDN w:val="0"/>
        <w:adjustRightInd w:val="0"/>
        <w:spacing w:line="240" w:lineRule="auto"/>
        <w:ind w:right="49"/>
        <w:rPr>
          <w:rFonts w:cs="Times New Roman"/>
          <w:color w:val="000000"/>
          <w:szCs w:val="24"/>
        </w:rPr>
      </w:pPr>
      <w:r w:rsidRPr="00951AB1">
        <w:rPr>
          <w:rFonts w:cs="Times New Roman"/>
          <w:color w:val="000000"/>
          <w:szCs w:val="24"/>
        </w:rPr>
        <w:t>El 12 de mayo de 2025, el Tribunal de Arbitral de Concesión Santa Marta Paraguachón S.A. contra la Agencia Nacional de Infraestructura, profirió el Laudo Expediente No. 141971 y Auto Número 86 del 26 de mayo de 2025, mediante el cual sentenció a favor del Concesionario por $73.475.792.303 y a favor de la Agencia por $4.365.278.051, quedando un valor neto a favor de la Concesión por $69.110.514.252, una vez efectuado el proceso de compensación.</w:t>
      </w:r>
    </w:p>
    <w:p w14:paraId="02EF0D77" w14:textId="77777777" w:rsidR="004078AD" w:rsidRPr="00951AB1" w:rsidRDefault="004078AD" w:rsidP="000A5389">
      <w:pPr>
        <w:autoSpaceDE w:val="0"/>
        <w:autoSpaceDN w:val="0"/>
        <w:adjustRightInd w:val="0"/>
        <w:spacing w:line="240" w:lineRule="auto"/>
        <w:ind w:right="49"/>
        <w:rPr>
          <w:rFonts w:cs="Times New Roman"/>
          <w:color w:val="000000"/>
          <w:szCs w:val="24"/>
        </w:rPr>
      </w:pPr>
    </w:p>
    <w:p w14:paraId="27E452CB" w14:textId="77777777" w:rsidR="004078AD" w:rsidRPr="00951AB1" w:rsidRDefault="004078AD" w:rsidP="000A5389">
      <w:pPr>
        <w:autoSpaceDE w:val="0"/>
        <w:autoSpaceDN w:val="0"/>
        <w:adjustRightInd w:val="0"/>
        <w:spacing w:line="240" w:lineRule="auto"/>
        <w:ind w:right="49"/>
        <w:rPr>
          <w:rFonts w:cs="Times New Roman"/>
          <w:color w:val="000000"/>
          <w:szCs w:val="24"/>
        </w:rPr>
      </w:pPr>
      <w:r w:rsidRPr="00951AB1">
        <w:rPr>
          <w:rFonts w:cs="Times New Roman"/>
          <w:color w:val="000000"/>
          <w:szCs w:val="24"/>
        </w:rPr>
        <w:lastRenderedPageBreak/>
        <w:t>Para esta deuda, le Aplica los artículos 192 y 195 del Código de Procedimiento Administrativo y de lo Contencioso Administrativo – CPACA, con un DTF (rango de fecha) *: 31/05/2025 al 31/12/2025 (DTF Entre los 10 primeros meses)</w:t>
      </w:r>
    </w:p>
    <w:p w14:paraId="7D48F0F0" w14:textId="77777777" w:rsidR="004078AD" w:rsidRPr="00951AB1" w:rsidRDefault="004078AD" w:rsidP="000A5389">
      <w:pPr>
        <w:autoSpaceDE w:val="0"/>
        <w:autoSpaceDN w:val="0"/>
        <w:adjustRightInd w:val="0"/>
        <w:spacing w:line="240" w:lineRule="auto"/>
        <w:ind w:right="49"/>
        <w:rPr>
          <w:rFonts w:cs="Times New Roman"/>
          <w:color w:val="000000"/>
          <w:szCs w:val="24"/>
        </w:rPr>
      </w:pPr>
    </w:p>
    <w:p w14:paraId="72502B0F" w14:textId="77777777" w:rsidR="004078AD" w:rsidRPr="00951AB1" w:rsidRDefault="004078AD" w:rsidP="000A5389">
      <w:pPr>
        <w:autoSpaceDE w:val="0"/>
        <w:autoSpaceDN w:val="0"/>
        <w:adjustRightInd w:val="0"/>
        <w:spacing w:line="240" w:lineRule="auto"/>
        <w:ind w:right="49"/>
        <w:rPr>
          <w:rFonts w:cs="Times New Roman"/>
          <w:color w:val="000000"/>
          <w:szCs w:val="24"/>
        </w:rPr>
      </w:pPr>
      <w:r w:rsidRPr="00951AB1">
        <w:rPr>
          <w:rFonts w:cs="Times New Roman"/>
          <w:color w:val="000000"/>
          <w:szCs w:val="24"/>
        </w:rPr>
        <w:t xml:space="preserve">En la vigencia 2025, se realizaron dos abonos a esta deuda reconocida con recursos del Fondo de Contingencias de las Entidades Estatales, uno por valor de $1.239.737.799 realizado el 22 de septiembre de 2025, correspondiente al Acta No. 4 del Decreto 050, y otro por valor de $288.568.100 realizado en el mes de diciembre de 2025, con orden de pago 660, por la contingencia del pago Decreto 050, ambos abonos, informados en el formato GADF-F-120 Liquidación de la deuda con fines contables. </w:t>
      </w:r>
    </w:p>
    <w:p w14:paraId="0890D2AB" w14:textId="77777777" w:rsidR="004078AD" w:rsidRPr="00951AB1" w:rsidRDefault="004078AD" w:rsidP="000A5389">
      <w:pPr>
        <w:autoSpaceDE w:val="0"/>
        <w:autoSpaceDN w:val="0"/>
        <w:adjustRightInd w:val="0"/>
        <w:spacing w:line="240" w:lineRule="auto"/>
        <w:ind w:right="49"/>
        <w:rPr>
          <w:rFonts w:cs="Times New Roman"/>
          <w:color w:val="000000"/>
          <w:szCs w:val="24"/>
          <w:highlight w:val="cyan"/>
        </w:rPr>
      </w:pPr>
    </w:p>
    <w:p w14:paraId="36EE931C" w14:textId="77777777" w:rsidR="004078AD" w:rsidRPr="00951AB1" w:rsidRDefault="004078AD" w:rsidP="000A5389">
      <w:pPr>
        <w:pStyle w:val="Prrafodelista"/>
        <w:numPr>
          <w:ilvl w:val="0"/>
          <w:numId w:val="70"/>
        </w:numPr>
        <w:spacing w:line="240" w:lineRule="auto"/>
        <w:ind w:left="0" w:hanging="142"/>
        <w:rPr>
          <w:rFonts w:eastAsia="Arial" w:cs="Times New Roman"/>
          <w:szCs w:val="24"/>
        </w:rPr>
      </w:pPr>
      <w:r w:rsidRPr="00951AB1">
        <w:rPr>
          <w:rFonts w:cs="Times New Roman"/>
          <w:szCs w:val="24"/>
        </w:rPr>
        <w:t>Un valor de $60.365.934.801</w:t>
      </w:r>
      <w:r w:rsidRPr="00951AB1">
        <w:rPr>
          <w:rFonts w:eastAsia="Times New Roman" w:cs="Times New Roman"/>
          <w:b/>
          <w:bCs/>
          <w:color w:val="000000"/>
          <w:sz w:val="14"/>
          <w:szCs w:val="14"/>
          <w:lang w:eastAsia="es-CO"/>
        </w:rPr>
        <w:t xml:space="preserve"> </w:t>
      </w:r>
      <w:r w:rsidRPr="00951AB1">
        <w:rPr>
          <w:rFonts w:cs="Times New Roman"/>
          <w:szCs w:val="24"/>
        </w:rPr>
        <w:t>(capital adeudado)</w:t>
      </w:r>
      <w:r w:rsidRPr="00951AB1">
        <w:rPr>
          <w:rFonts w:eastAsia="Arial" w:cs="Times New Roman"/>
          <w:szCs w:val="24"/>
        </w:rPr>
        <w:t>, por la deuda reconocida a nombre de Vía Pacifico S A S En Liquidación, del proyecto Vía al Puerto, c</w:t>
      </w:r>
      <w:r w:rsidRPr="00951AB1">
        <w:rPr>
          <w:rFonts w:cs="Times New Roman"/>
          <w:szCs w:val="24"/>
        </w:rPr>
        <w:t xml:space="preserve">ontrato de concesión No. 003 </w:t>
      </w:r>
      <w:r w:rsidRPr="00951AB1">
        <w:rPr>
          <w:rFonts w:eastAsia="Arial" w:cs="Times New Roman"/>
          <w:szCs w:val="24"/>
        </w:rPr>
        <w:t>del 6 de julio de 2016, por el Laudo Arbitral No. 123019 del 08/07/2022, Auto 51 del 06/07/2022, ejecutoriado el 07/07/2022, en el que condenó a la entidad por concepto del ajuste a la liquidación del Contrato de Concesión.</w:t>
      </w:r>
    </w:p>
    <w:p w14:paraId="798E5A5B" w14:textId="77777777" w:rsidR="004078AD" w:rsidRPr="00951AB1" w:rsidRDefault="004078AD" w:rsidP="000A5389">
      <w:pPr>
        <w:pStyle w:val="Prrafodelista"/>
        <w:spacing w:line="240" w:lineRule="auto"/>
        <w:ind w:left="0"/>
        <w:rPr>
          <w:rFonts w:cs="Times New Roman"/>
          <w:szCs w:val="24"/>
        </w:rPr>
      </w:pPr>
    </w:p>
    <w:p w14:paraId="652D564F" w14:textId="77777777" w:rsidR="004078AD" w:rsidRPr="00951AB1" w:rsidRDefault="004078AD" w:rsidP="000A5389">
      <w:pPr>
        <w:spacing w:line="240" w:lineRule="auto"/>
        <w:rPr>
          <w:rFonts w:cs="Times New Roman"/>
          <w:szCs w:val="24"/>
        </w:rPr>
      </w:pPr>
      <w:r w:rsidRPr="00951AB1">
        <w:rPr>
          <w:rFonts w:cs="Times New Roman"/>
          <w:szCs w:val="24"/>
        </w:rPr>
        <w:t>El 19 de agosto de 2022, la Agencia Nacional de Infraestructura presentó Recurso de Anulación con solicitud de suspensión provisional de cumplimiento del mismo, contra el Laudo Arbitral de fecha 8 de junio de 2022, corregido el mismo mediante Acta No. 30 de 6 de agosto de 2022.</w:t>
      </w:r>
    </w:p>
    <w:p w14:paraId="1754FB47" w14:textId="77777777" w:rsidR="004078AD" w:rsidRPr="00951AB1" w:rsidRDefault="004078AD" w:rsidP="000A5389">
      <w:pPr>
        <w:spacing w:line="240" w:lineRule="auto"/>
        <w:rPr>
          <w:rFonts w:cs="Times New Roman"/>
          <w:szCs w:val="24"/>
        </w:rPr>
      </w:pPr>
      <w:r w:rsidRPr="00951AB1">
        <w:rPr>
          <w:rFonts w:cs="Times New Roman"/>
          <w:szCs w:val="24"/>
        </w:rPr>
        <w:t>Mediante Auto de 21 de noviembre de 2022, notificado el 29 de noviembre de del mismo año, el Consejo de Estado admitió el Recurso de Anulación presentado por la ANI, accediendo además a la solicitud provisional de cumplimiento de Laudo solicitado por la Entidad.</w:t>
      </w:r>
    </w:p>
    <w:p w14:paraId="32389FD2" w14:textId="77777777" w:rsidR="004078AD" w:rsidRDefault="004078AD" w:rsidP="000A5389">
      <w:pPr>
        <w:spacing w:line="240" w:lineRule="auto"/>
        <w:rPr>
          <w:rFonts w:cs="Times New Roman"/>
          <w:szCs w:val="24"/>
        </w:rPr>
      </w:pPr>
      <w:r w:rsidRPr="00951AB1">
        <w:rPr>
          <w:rFonts w:cs="Times New Roman"/>
          <w:szCs w:val="24"/>
        </w:rPr>
        <w:t>Mediante memorando 20237010123743 del 18 de agosto de 2023, el GIT de Defensa Judicial comunicó "con ocasión de la liquidación del Contrato de concesión N° 003 de 2016, se profirió laudo el 8 de junio de 2022, corregido mediante Auto 51 de 8 de julio de 2022, mediante el cual el Tribunal procede a corregir el numeral (74 ) de la parte resolutiva del laudo arbitral, condenando a la Entidad al pago de la suma de SESENTA Y UN MIL SEISCIENTOS SETENTA Y TRES MILLONES CIENTO VEINTIÚN MIL CIENTO NOVENTA Y NUEVE PESOS (COP $61.673.121.199) correspondiente al valor del ajuste a la liquidación del Contrato de Concesión N° 003 de 2016." y a su vez que "el día 16 de agosto de 2022, se notificó el fallo del Consejo de Estado dentro del proceso con radicado 11001-03-26-000-2022- 00174-00, en el que decidió lo siguiente:</w:t>
      </w:r>
    </w:p>
    <w:p w14:paraId="1917E0CF" w14:textId="77777777" w:rsidR="00F543A5" w:rsidRPr="00951AB1" w:rsidRDefault="00F543A5" w:rsidP="000A5389">
      <w:pPr>
        <w:spacing w:line="240" w:lineRule="auto"/>
        <w:rPr>
          <w:rFonts w:cs="Times New Roman"/>
          <w:szCs w:val="24"/>
        </w:rPr>
      </w:pPr>
    </w:p>
    <w:p w14:paraId="41580AA3" w14:textId="77777777" w:rsidR="004078AD" w:rsidRDefault="004078AD" w:rsidP="000A5389">
      <w:pPr>
        <w:pStyle w:val="Prrafodelista"/>
        <w:spacing w:line="240" w:lineRule="auto"/>
        <w:ind w:left="567" w:right="900"/>
        <w:rPr>
          <w:rFonts w:cs="Times New Roman"/>
          <w:i/>
          <w:iCs/>
          <w:sz w:val="20"/>
          <w:szCs w:val="20"/>
        </w:rPr>
      </w:pPr>
      <w:r w:rsidRPr="00951AB1">
        <w:rPr>
          <w:rFonts w:cs="Times New Roman"/>
          <w:i/>
          <w:iCs/>
          <w:sz w:val="20"/>
          <w:szCs w:val="20"/>
        </w:rPr>
        <w:t>“PRIMERO. DECLÁRASE INFUNDADO el recurso de anulación por la Agencia Nacional de Infraestructura-ANI contra el laudo arbitral proferido el 8 de junio de 2022, convocado para resolver las controversias entre la entidad y Vía Pacífico SAS."</w:t>
      </w:r>
    </w:p>
    <w:p w14:paraId="6FF542C9" w14:textId="77777777" w:rsidR="00F543A5" w:rsidRPr="00951AB1" w:rsidRDefault="00F543A5" w:rsidP="000A5389">
      <w:pPr>
        <w:pStyle w:val="Prrafodelista"/>
        <w:spacing w:line="240" w:lineRule="auto"/>
        <w:ind w:left="567" w:right="900"/>
        <w:rPr>
          <w:rFonts w:cs="Times New Roman"/>
          <w:i/>
          <w:iCs/>
          <w:sz w:val="20"/>
          <w:szCs w:val="20"/>
        </w:rPr>
      </w:pPr>
    </w:p>
    <w:p w14:paraId="699CF6C3" w14:textId="77777777" w:rsidR="004078AD" w:rsidRDefault="004078AD" w:rsidP="000A5389">
      <w:pPr>
        <w:spacing w:line="240" w:lineRule="auto"/>
        <w:rPr>
          <w:rFonts w:cs="Times New Roman"/>
          <w:i/>
          <w:iCs/>
          <w:szCs w:val="24"/>
        </w:rPr>
      </w:pPr>
      <w:r w:rsidRPr="00951AB1">
        <w:rPr>
          <w:rFonts w:cs="Times New Roman"/>
          <w:szCs w:val="24"/>
        </w:rPr>
        <w:t xml:space="preserve">Adicionalmente, mediante memorando 20247010097703 del 7 de junio de 2024, el GIT de Defensa Judicial comunicó con relación a los $86.171.343 cobrados por el Concesionario Vía Pacifico que "(...) la suma de $86.171.343 no es una obligación a cargo de la ANI derivada del laudo arbitral proferido en el trámite 123019 y su aclaración —en adelante, el laudo—. Si bien dicho laudo sí declaró que el concesionario había incurrido en gastos que </w:t>
      </w:r>
      <w:r w:rsidRPr="00951AB1">
        <w:rPr>
          <w:rFonts w:cs="Times New Roman"/>
          <w:szCs w:val="24"/>
        </w:rPr>
        <w:lastRenderedPageBreak/>
        <w:t>ascienden a dicha suma, lo cierto es que no hubo ninguna condena a la ANI para realizar ese pago a órdenes del concesionario. Lo anterior, porque ese numeral 66 de la parte resolutiva del (sic) inicia con la expresión</w:t>
      </w:r>
      <w:r w:rsidRPr="00951AB1">
        <w:rPr>
          <w:rFonts w:cs="Times New Roman"/>
          <w:i/>
          <w:iCs/>
          <w:szCs w:val="24"/>
        </w:rPr>
        <w:t xml:space="preserve"> “Declarar que la sociedad Vía Pacífico S.A.S. incurrió en costos y gastos”</w:t>
      </w:r>
      <w:r w:rsidRPr="00951AB1">
        <w:rPr>
          <w:rFonts w:cs="Times New Roman"/>
          <w:szCs w:val="24"/>
        </w:rPr>
        <w:t xml:space="preserve"> y, en consecuencia, </w:t>
      </w:r>
      <w:r w:rsidRPr="00951AB1">
        <w:rPr>
          <w:rFonts w:cs="Times New Roman"/>
          <w:i/>
          <w:iCs/>
          <w:szCs w:val="24"/>
        </w:rPr>
        <w:t>“prospera parcialmente la pretensión quincuagésima quinta de la reforma de la demanda”.</w:t>
      </w:r>
    </w:p>
    <w:p w14:paraId="17C1302A" w14:textId="77777777" w:rsidR="00F543A5" w:rsidRPr="00951AB1" w:rsidRDefault="00F543A5" w:rsidP="000A5389">
      <w:pPr>
        <w:spacing w:line="240" w:lineRule="auto"/>
        <w:rPr>
          <w:rFonts w:cs="Times New Roman"/>
          <w:i/>
          <w:iCs/>
          <w:szCs w:val="24"/>
        </w:rPr>
      </w:pPr>
    </w:p>
    <w:p w14:paraId="45B39817" w14:textId="77777777" w:rsidR="004078AD" w:rsidRPr="00951AB1" w:rsidRDefault="004078AD" w:rsidP="000A5389">
      <w:pPr>
        <w:tabs>
          <w:tab w:val="num" w:pos="720"/>
        </w:tabs>
        <w:spacing w:line="240" w:lineRule="auto"/>
        <w:rPr>
          <w:rFonts w:cs="Times New Roman"/>
          <w:szCs w:val="24"/>
        </w:rPr>
      </w:pPr>
      <w:r w:rsidRPr="00951AB1">
        <w:rPr>
          <w:rFonts w:cs="Times New Roman"/>
          <w:szCs w:val="24"/>
        </w:rPr>
        <w:t xml:space="preserve">La normatividad aplicable para esta deuda, son los artículos 192 y 195 del CPACA. </w:t>
      </w:r>
    </w:p>
    <w:p w14:paraId="15DE90DC" w14:textId="77777777" w:rsidR="004078AD" w:rsidRDefault="004078AD" w:rsidP="000A5389">
      <w:pPr>
        <w:tabs>
          <w:tab w:val="num" w:pos="720"/>
        </w:tabs>
        <w:spacing w:line="240" w:lineRule="auto"/>
        <w:rPr>
          <w:rFonts w:cs="Times New Roman"/>
          <w:szCs w:val="24"/>
        </w:rPr>
      </w:pPr>
      <w:r w:rsidRPr="00951AB1">
        <w:rPr>
          <w:rFonts w:cs="Times New Roman"/>
          <w:szCs w:val="24"/>
        </w:rPr>
        <w:t xml:space="preserve">El plazo mínimo legal es de un un (1) mes, conforme a lo establecido en el CPACA. </w:t>
      </w:r>
    </w:p>
    <w:p w14:paraId="5A6ECDA1" w14:textId="77777777" w:rsidR="00F543A5" w:rsidRPr="00951AB1" w:rsidRDefault="00F543A5" w:rsidP="000A5389">
      <w:pPr>
        <w:tabs>
          <w:tab w:val="num" w:pos="720"/>
        </w:tabs>
        <w:spacing w:line="240" w:lineRule="auto"/>
        <w:rPr>
          <w:rFonts w:cs="Times New Roman"/>
          <w:szCs w:val="24"/>
        </w:rPr>
      </w:pPr>
    </w:p>
    <w:p w14:paraId="16680DFC" w14:textId="77777777" w:rsidR="004078AD" w:rsidRDefault="004078AD" w:rsidP="000A5389">
      <w:pPr>
        <w:tabs>
          <w:tab w:val="num" w:pos="1440"/>
        </w:tabs>
        <w:spacing w:line="240" w:lineRule="auto"/>
        <w:rPr>
          <w:rFonts w:cs="Times New Roman"/>
          <w:szCs w:val="24"/>
        </w:rPr>
      </w:pPr>
      <w:r w:rsidRPr="00951AB1">
        <w:rPr>
          <w:rFonts w:cs="Times New Roman"/>
          <w:szCs w:val="24"/>
        </w:rPr>
        <w:t>La tasa aplicable, es DTF durante los primeros diez (10) meses posteriores a la ejecutoria. Posteriormente, Tasa de Interés Bancario Corriente, certificada por la Superintendencia Financiera de Colombia.</w:t>
      </w:r>
    </w:p>
    <w:p w14:paraId="3A269F35" w14:textId="77777777" w:rsidR="00F543A5" w:rsidRPr="00951AB1" w:rsidRDefault="00F543A5" w:rsidP="000A5389">
      <w:pPr>
        <w:tabs>
          <w:tab w:val="num" w:pos="1440"/>
        </w:tabs>
        <w:spacing w:line="240" w:lineRule="auto"/>
        <w:rPr>
          <w:rFonts w:cs="Times New Roman"/>
          <w:szCs w:val="24"/>
        </w:rPr>
      </w:pPr>
    </w:p>
    <w:p w14:paraId="30ED29A8" w14:textId="77777777" w:rsidR="004078AD" w:rsidRPr="00951AB1" w:rsidRDefault="004078AD" w:rsidP="000A5389">
      <w:pPr>
        <w:tabs>
          <w:tab w:val="num" w:pos="1440"/>
        </w:tabs>
        <w:spacing w:line="240" w:lineRule="auto"/>
        <w:rPr>
          <w:rFonts w:cs="Times New Roman"/>
          <w:szCs w:val="24"/>
        </w:rPr>
      </w:pPr>
      <w:r w:rsidRPr="00951AB1">
        <w:rPr>
          <w:rFonts w:cs="Times New Roman"/>
          <w:szCs w:val="24"/>
        </w:rPr>
        <w:t>El 18 de marzo de 2025 se realizó un abono a capital por $1.307.186.397 desde la cuenta de sentencias y conciliaciones, más $11.600.000 por condena de costas, a nombre del tercero Vía Pacifico S.A.S. en Liquidación.</w:t>
      </w:r>
    </w:p>
    <w:p w14:paraId="1563D2D9" w14:textId="77777777" w:rsidR="004078AD" w:rsidRPr="00951AB1" w:rsidRDefault="004078AD" w:rsidP="000A5389">
      <w:pPr>
        <w:autoSpaceDE w:val="0"/>
        <w:autoSpaceDN w:val="0"/>
        <w:adjustRightInd w:val="0"/>
        <w:spacing w:line="240" w:lineRule="auto"/>
        <w:ind w:left="567" w:right="900"/>
        <w:rPr>
          <w:rFonts w:cs="Times New Roman"/>
          <w:i/>
          <w:iCs/>
          <w:sz w:val="18"/>
          <w:szCs w:val="18"/>
        </w:rPr>
      </w:pPr>
    </w:p>
    <w:p w14:paraId="319C86E1" w14:textId="77777777" w:rsidR="004078AD" w:rsidRPr="00951AB1" w:rsidRDefault="004078AD" w:rsidP="000A5389">
      <w:pPr>
        <w:pStyle w:val="Prrafodelista"/>
        <w:numPr>
          <w:ilvl w:val="0"/>
          <w:numId w:val="70"/>
        </w:numPr>
        <w:spacing w:line="240" w:lineRule="auto"/>
        <w:ind w:left="0" w:hanging="142"/>
        <w:rPr>
          <w:rFonts w:eastAsia="Arial" w:cs="Times New Roman"/>
          <w:szCs w:val="24"/>
        </w:rPr>
      </w:pPr>
      <w:r w:rsidRPr="00951AB1">
        <w:rPr>
          <w:rFonts w:cs="Times New Roman"/>
          <w:szCs w:val="24"/>
        </w:rPr>
        <w:t>Un valor de $54.996.011.394</w:t>
      </w:r>
      <w:r w:rsidRPr="00951AB1">
        <w:rPr>
          <w:rFonts w:eastAsia="Times New Roman" w:cs="Times New Roman"/>
          <w:b/>
          <w:bCs/>
          <w:color w:val="000000"/>
          <w:sz w:val="14"/>
          <w:szCs w:val="14"/>
          <w:lang w:eastAsia="es-CO"/>
        </w:rPr>
        <w:t xml:space="preserve"> </w:t>
      </w:r>
      <w:r w:rsidRPr="00951AB1">
        <w:rPr>
          <w:rFonts w:cs="Times New Roman"/>
          <w:szCs w:val="24"/>
        </w:rPr>
        <w:t>(capital adeudado y actualización de capital)</w:t>
      </w:r>
      <w:r w:rsidRPr="00951AB1">
        <w:rPr>
          <w:rFonts w:eastAsia="Arial" w:cs="Times New Roman"/>
          <w:szCs w:val="24"/>
        </w:rPr>
        <w:t>, por la deuda reconocida a nombre de la Concesión La Pintada S.A.S., del proyecto Autopista Conexión Pacífico 2, c</w:t>
      </w:r>
      <w:r w:rsidRPr="00951AB1">
        <w:rPr>
          <w:rFonts w:cs="Times New Roman"/>
          <w:szCs w:val="24"/>
        </w:rPr>
        <w:t xml:space="preserve">ontrato de concesión No. 006 </w:t>
      </w:r>
      <w:r w:rsidRPr="00951AB1">
        <w:rPr>
          <w:rFonts w:eastAsia="Arial" w:cs="Times New Roman"/>
          <w:szCs w:val="24"/>
        </w:rPr>
        <w:t>de 2014, por el Laudo Arbitral Caso CIRD No. 01-23-0003-2916 ejecutoriado el 11/08/2025, en el que condenó a la entidad por concepto de la indemnización por los sobrecostos incurridos derivados del Evento Eximente de Responsabilidad del K39 en la Unidad Funcional 4.</w:t>
      </w:r>
    </w:p>
    <w:p w14:paraId="5CEF3A7B" w14:textId="77777777" w:rsidR="004078AD" w:rsidRPr="00951AB1" w:rsidRDefault="004078AD" w:rsidP="000A5389">
      <w:pPr>
        <w:spacing w:line="240" w:lineRule="auto"/>
        <w:rPr>
          <w:rFonts w:cs="Times New Roman"/>
          <w:szCs w:val="24"/>
        </w:rPr>
      </w:pPr>
    </w:p>
    <w:p w14:paraId="78559B82" w14:textId="459DCF1C" w:rsidR="004078AD" w:rsidRPr="00951AB1" w:rsidRDefault="004078AD" w:rsidP="000A5389">
      <w:pPr>
        <w:spacing w:line="240" w:lineRule="auto"/>
        <w:rPr>
          <w:rFonts w:cs="Times New Roman"/>
          <w:szCs w:val="24"/>
        </w:rPr>
      </w:pPr>
      <w:r w:rsidRPr="00951AB1">
        <w:rPr>
          <w:rFonts w:cs="Times New Roman"/>
          <w:szCs w:val="24"/>
        </w:rPr>
        <w:t>La decisión del tribunal en el resuelve, condena a la ANI a: </w:t>
      </w:r>
    </w:p>
    <w:p w14:paraId="073BCBB5" w14:textId="77777777" w:rsidR="004078AD" w:rsidRPr="00951AB1" w:rsidRDefault="004078AD" w:rsidP="000A5389">
      <w:pPr>
        <w:pStyle w:val="Prrafodelista"/>
        <w:numPr>
          <w:ilvl w:val="0"/>
          <w:numId w:val="109"/>
        </w:numPr>
        <w:spacing w:line="240" w:lineRule="auto"/>
        <w:rPr>
          <w:rFonts w:cs="Times New Roman"/>
          <w:szCs w:val="24"/>
        </w:rPr>
      </w:pPr>
      <w:r w:rsidRPr="00951AB1">
        <w:rPr>
          <w:rFonts w:cs="Times New Roman"/>
          <w:szCs w:val="24"/>
        </w:rPr>
        <w:t>Pagar a la Demandante una indemnización por la cantidad de COP $31.926.479.932. por concepto de los sobrecostos incurridos derivados del Evento K39.</w:t>
      </w:r>
    </w:p>
    <w:p w14:paraId="1C028D70" w14:textId="77777777" w:rsidR="004078AD" w:rsidRPr="00951AB1" w:rsidRDefault="004078AD" w:rsidP="000A5389">
      <w:pPr>
        <w:pStyle w:val="Prrafodelista"/>
        <w:numPr>
          <w:ilvl w:val="0"/>
          <w:numId w:val="109"/>
        </w:numPr>
        <w:spacing w:line="240" w:lineRule="auto"/>
        <w:rPr>
          <w:rFonts w:cs="Times New Roman"/>
          <w:szCs w:val="24"/>
        </w:rPr>
      </w:pPr>
      <w:r w:rsidRPr="00951AB1">
        <w:rPr>
          <w:rFonts w:cs="Times New Roman"/>
          <w:szCs w:val="24"/>
        </w:rPr>
        <w:t>Pagar la indexación del monto de la indemnización desde el momento de la causación hasta la fecha del Laudo, misma que asciende a COP $11.224.834.455 (este valor es la indexación hasta abril del 2025.</w:t>
      </w:r>
    </w:p>
    <w:p w14:paraId="28F8BB62" w14:textId="77777777" w:rsidR="00866BB4" w:rsidRPr="00951AB1" w:rsidRDefault="004078AD" w:rsidP="000A5389">
      <w:pPr>
        <w:pStyle w:val="Prrafodelista"/>
        <w:numPr>
          <w:ilvl w:val="0"/>
          <w:numId w:val="109"/>
        </w:numPr>
        <w:spacing w:line="240" w:lineRule="auto"/>
        <w:rPr>
          <w:rFonts w:cs="Times New Roman"/>
          <w:szCs w:val="24"/>
        </w:rPr>
      </w:pPr>
      <w:r w:rsidRPr="00951AB1">
        <w:rPr>
          <w:rFonts w:cs="Times New Roman"/>
          <w:szCs w:val="24"/>
        </w:rPr>
        <w:t>Pagar el costo de oportunidad de la cantidad indemnización desde el momento de la causación hasta la fecha del Laudo, misma que asciende a COP $11.092.158.382. (el Tribunal determina que la tasa DTF del Banco de la República de Colombia, refleja una tasa promedio de captación a término en el sistema financiero y por ende puede utilizarse como una referencia válida del costo de oportunidad del dinero en el mercado colombiano, especialmente cuando se aplica en términos reales o se acepta como una aproximación conservadora en ausencia de controversia específica). Este valor de acuerdo con la decisión del Tribunal es fijo.</w:t>
      </w:r>
    </w:p>
    <w:p w14:paraId="69397332" w14:textId="77777777" w:rsidR="004078AD" w:rsidRPr="00951AB1" w:rsidRDefault="004078AD" w:rsidP="000A5389">
      <w:pPr>
        <w:pStyle w:val="Prrafodelista"/>
        <w:numPr>
          <w:ilvl w:val="0"/>
          <w:numId w:val="109"/>
        </w:numPr>
        <w:spacing w:line="240" w:lineRule="auto"/>
        <w:rPr>
          <w:rFonts w:cs="Times New Roman"/>
          <w:szCs w:val="24"/>
        </w:rPr>
      </w:pPr>
      <w:r w:rsidRPr="00951AB1">
        <w:rPr>
          <w:rFonts w:cs="Times New Roman"/>
          <w:szCs w:val="24"/>
        </w:rPr>
        <w:t>La ANI debe actualizar la indexación hasta la fecha efectiva y completa del pago.</w:t>
      </w:r>
    </w:p>
    <w:p w14:paraId="5C0521C6" w14:textId="77777777" w:rsidR="004078AD" w:rsidRPr="00951AB1" w:rsidRDefault="004078AD" w:rsidP="000A5389">
      <w:pPr>
        <w:pStyle w:val="Prrafodelista"/>
        <w:spacing w:line="240" w:lineRule="auto"/>
        <w:ind w:left="0"/>
        <w:rPr>
          <w:rFonts w:cs="Times New Roman"/>
          <w:szCs w:val="24"/>
        </w:rPr>
      </w:pPr>
    </w:p>
    <w:p w14:paraId="4BED9640" w14:textId="77777777" w:rsidR="004078AD" w:rsidRPr="00951AB1" w:rsidRDefault="004078AD" w:rsidP="000A5389">
      <w:pPr>
        <w:spacing w:line="240" w:lineRule="auto"/>
        <w:rPr>
          <w:rFonts w:cs="Times New Roman"/>
          <w:szCs w:val="24"/>
        </w:rPr>
      </w:pPr>
      <w:r w:rsidRPr="00951AB1">
        <w:rPr>
          <w:rFonts w:cs="Times New Roman"/>
          <w:szCs w:val="24"/>
        </w:rPr>
        <w:t>El Laudo arbitral, no establece plazo, sin embargo, se tiene presente el plazo establecido en la ley Ley 1437 de 2011:</w:t>
      </w:r>
    </w:p>
    <w:p w14:paraId="74A9EF9C" w14:textId="77777777" w:rsidR="004078AD" w:rsidRPr="00951AB1" w:rsidRDefault="004078AD" w:rsidP="000A5389">
      <w:pPr>
        <w:spacing w:line="240" w:lineRule="auto"/>
        <w:ind w:left="567" w:right="900"/>
        <w:rPr>
          <w:rFonts w:cs="Times New Roman"/>
          <w:sz w:val="20"/>
          <w:szCs w:val="20"/>
        </w:rPr>
      </w:pPr>
      <w:r w:rsidRPr="00951AB1">
        <w:rPr>
          <w:rFonts w:cs="Times New Roman"/>
          <w:i/>
          <w:iCs/>
          <w:sz w:val="20"/>
          <w:szCs w:val="20"/>
        </w:rPr>
        <w:t>“ARTÍCULO 192.</w:t>
      </w:r>
    </w:p>
    <w:p w14:paraId="365A361F" w14:textId="77777777" w:rsidR="004078AD" w:rsidRPr="00951AB1" w:rsidRDefault="004078AD" w:rsidP="000A5389">
      <w:pPr>
        <w:spacing w:line="240" w:lineRule="auto"/>
        <w:ind w:left="567" w:right="900"/>
        <w:rPr>
          <w:rFonts w:cs="Times New Roman"/>
          <w:sz w:val="20"/>
          <w:szCs w:val="20"/>
        </w:rPr>
      </w:pPr>
      <w:r w:rsidRPr="00951AB1">
        <w:rPr>
          <w:rFonts w:cs="Times New Roman"/>
          <w:i/>
          <w:iCs/>
          <w:sz w:val="20"/>
          <w:szCs w:val="20"/>
        </w:rPr>
        <w:t>(…)</w:t>
      </w:r>
    </w:p>
    <w:p w14:paraId="3DDB263E" w14:textId="77777777" w:rsidR="004078AD" w:rsidRPr="00951AB1" w:rsidRDefault="004078AD" w:rsidP="000A5389">
      <w:pPr>
        <w:pStyle w:val="Prrafodelista"/>
        <w:spacing w:line="240" w:lineRule="auto"/>
        <w:ind w:left="567" w:right="900"/>
        <w:rPr>
          <w:rFonts w:cs="Times New Roman"/>
          <w:sz w:val="20"/>
          <w:szCs w:val="20"/>
        </w:rPr>
      </w:pPr>
      <w:r w:rsidRPr="00951AB1">
        <w:rPr>
          <w:rFonts w:cs="Times New Roman"/>
          <w:i/>
          <w:iCs/>
          <w:sz w:val="20"/>
          <w:szCs w:val="20"/>
        </w:rPr>
        <w:lastRenderedPageBreak/>
        <w:t>Las condenas impuestas a entidades públicas consistentes en el pago o devolución de una suma de dinero serán cumplidas en un plazo máximo de diez (10) meses, contados a partir de la fecha de la ejecutoria de la sentencia. Para tal efecto, el beneficiario deberá presentar la solicitud de pago correspondiente a la entidad obligada.”</w:t>
      </w:r>
    </w:p>
    <w:p w14:paraId="1B56F058" w14:textId="77777777" w:rsidR="004078AD" w:rsidRPr="00951AB1" w:rsidRDefault="004078AD" w:rsidP="000A5389">
      <w:pPr>
        <w:pStyle w:val="Prrafodelista"/>
        <w:spacing w:line="240" w:lineRule="auto"/>
        <w:ind w:left="0"/>
        <w:rPr>
          <w:rFonts w:cs="Times New Roman"/>
          <w:szCs w:val="24"/>
        </w:rPr>
      </w:pPr>
    </w:p>
    <w:p w14:paraId="714F0EF2" w14:textId="77777777" w:rsidR="004078AD" w:rsidRDefault="004078AD" w:rsidP="000A5389">
      <w:pPr>
        <w:spacing w:line="240" w:lineRule="auto"/>
        <w:rPr>
          <w:rFonts w:cs="Times New Roman"/>
          <w:szCs w:val="24"/>
        </w:rPr>
      </w:pPr>
      <w:r w:rsidRPr="00951AB1">
        <w:rPr>
          <w:rFonts w:cs="Times New Roman"/>
          <w:szCs w:val="24"/>
        </w:rPr>
        <w:t>Dado que el laudo no establece plazo para el pago de la condena, y teniendo en cuenta el plazo establecido por la ley indicada líneas arriba de 10 meses, al cierre de 31 de diciembre de 2025 no hay incumplimiento.</w:t>
      </w:r>
    </w:p>
    <w:p w14:paraId="553C5777" w14:textId="77777777" w:rsidR="00F543A5" w:rsidRPr="00951AB1" w:rsidRDefault="00F543A5" w:rsidP="000A5389">
      <w:pPr>
        <w:spacing w:line="240" w:lineRule="auto"/>
        <w:rPr>
          <w:rFonts w:cs="Times New Roman"/>
          <w:szCs w:val="24"/>
        </w:rPr>
      </w:pPr>
    </w:p>
    <w:p w14:paraId="00FD55DA" w14:textId="77777777" w:rsidR="004078AD" w:rsidRPr="00951AB1" w:rsidRDefault="004078AD" w:rsidP="000A5389">
      <w:pPr>
        <w:tabs>
          <w:tab w:val="num" w:pos="720"/>
        </w:tabs>
        <w:spacing w:line="240" w:lineRule="auto"/>
        <w:rPr>
          <w:rFonts w:cs="Times New Roman"/>
          <w:szCs w:val="24"/>
        </w:rPr>
      </w:pPr>
      <w:r w:rsidRPr="00951AB1">
        <w:rPr>
          <w:rFonts w:cs="Times New Roman"/>
          <w:szCs w:val="24"/>
        </w:rPr>
        <w:t>A 31 de diciembre de 2025, no se ha dado de baja la cuenta por pagar, no ha sido cancelada total ni parcialmente, y no ha operado pago a través de patrimonio autónomo, aseguradora o tercero.</w:t>
      </w:r>
    </w:p>
    <w:p w14:paraId="681D3FEE" w14:textId="77777777" w:rsidR="00F543A5" w:rsidRDefault="00F543A5" w:rsidP="000A5389">
      <w:pPr>
        <w:pStyle w:val="Prrafodelista"/>
        <w:spacing w:line="240" w:lineRule="auto"/>
        <w:ind w:left="0"/>
        <w:rPr>
          <w:rFonts w:cs="Times New Roman"/>
          <w:szCs w:val="24"/>
        </w:rPr>
      </w:pPr>
    </w:p>
    <w:p w14:paraId="11D32A18" w14:textId="06F46041" w:rsidR="004078AD" w:rsidRPr="00951AB1" w:rsidRDefault="004078AD" w:rsidP="000A5389">
      <w:pPr>
        <w:pStyle w:val="Prrafodelista"/>
        <w:spacing w:line="240" w:lineRule="auto"/>
        <w:ind w:left="0"/>
        <w:rPr>
          <w:rFonts w:cs="Times New Roman"/>
          <w:szCs w:val="24"/>
        </w:rPr>
      </w:pPr>
      <w:r w:rsidRPr="00951AB1">
        <w:rPr>
          <w:rFonts w:cs="Times New Roman"/>
          <w:szCs w:val="24"/>
        </w:rPr>
        <w:t xml:space="preserve">Un valor de $45.087.153.740 (capital adeudado e intereses corrientes), por la deuda reconocida a nombre de la Concesionaria San Rafael S.A., del proyecto Girardot Ibagué Cajamarca, contrato de concesión No. 007 del 13 de agosto de 2007, por el Laudo arbitral No. 130853 ejecutoriado el 23/03/2023. </w:t>
      </w:r>
    </w:p>
    <w:p w14:paraId="6D02A067" w14:textId="77777777" w:rsidR="004078AD" w:rsidRPr="00951AB1" w:rsidRDefault="004078AD" w:rsidP="000A5389">
      <w:pPr>
        <w:pStyle w:val="Prrafodelista"/>
        <w:spacing w:line="240" w:lineRule="auto"/>
        <w:ind w:left="0"/>
        <w:rPr>
          <w:rFonts w:cs="Times New Roman"/>
          <w:szCs w:val="24"/>
        </w:rPr>
      </w:pPr>
    </w:p>
    <w:p w14:paraId="18D071EA" w14:textId="77777777" w:rsidR="004078AD" w:rsidRPr="00951AB1" w:rsidRDefault="004078AD" w:rsidP="000A5389">
      <w:pPr>
        <w:pStyle w:val="Prrafodelista"/>
        <w:spacing w:line="240" w:lineRule="auto"/>
        <w:ind w:left="0"/>
        <w:rPr>
          <w:rFonts w:cs="Times New Roman"/>
          <w:szCs w:val="24"/>
        </w:rPr>
      </w:pPr>
      <w:r w:rsidRPr="00951AB1">
        <w:rPr>
          <w:rFonts w:cs="Times New Roman"/>
          <w:szCs w:val="24"/>
        </w:rPr>
        <w:t>Los valores reportados corresponden al fallo del Laudo Arbitral del 14 de marzo de 2023 en el cual se condena a la ANI a pagar al concesionario San Rafael por los siguientes conceptos:</w:t>
      </w:r>
    </w:p>
    <w:p w14:paraId="423401DF" w14:textId="77777777" w:rsidR="004078AD" w:rsidRPr="00951AB1" w:rsidRDefault="004078AD" w:rsidP="000A5389">
      <w:pPr>
        <w:spacing w:line="240" w:lineRule="auto"/>
        <w:rPr>
          <w:rFonts w:cs="Times New Roman"/>
          <w:szCs w:val="24"/>
        </w:rPr>
      </w:pPr>
      <w:r w:rsidRPr="00951AB1">
        <w:rPr>
          <w:rFonts w:cs="Times New Roman"/>
          <w:szCs w:val="24"/>
        </w:rPr>
        <w:t>COVID, SEGUNDA CALZADA, INDICE DE ESTADO y CICLORURA BUENOS AIRES. El valor debe actualizarse de acuerdo con el laudo hasta el reporte de la última disminución aplicada al concesionario por estos conceptos, razón por la cual este valor se actualiza a marzo de 2022 fecha en la cual se da la reversión del contrato de concesión.</w:t>
      </w:r>
    </w:p>
    <w:p w14:paraId="6038A825" w14:textId="77777777" w:rsidR="004078AD" w:rsidRPr="00951AB1" w:rsidRDefault="004078AD" w:rsidP="000A5389">
      <w:pPr>
        <w:spacing w:line="240" w:lineRule="auto"/>
        <w:rPr>
          <w:rFonts w:cs="Times New Roman"/>
          <w:szCs w:val="24"/>
        </w:rPr>
      </w:pPr>
    </w:p>
    <w:p w14:paraId="648A51DA" w14:textId="35764CB2" w:rsidR="004078AD" w:rsidRPr="00951AB1" w:rsidRDefault="004078AD" w:rsidP="000A5389">
      <w:pPr>
        <w:spacing w:line="240" w:lineRule="auto"/>
        <w:rPr>
          <w:rFonts w:cs="Times New Roman"/>
          <w:szCs w:val="24"/>
        </w:rPr>
      </w:pPr>
      <w:r w:rsidRPr="00951AB1">
        <w:rPr>
          <w:rFonts w:cs="Times New Roman"/>
          <w:szCs w:val="24"/>
        </w:rPr>
        <w:t>El laudo establece que los valores se deben actualizar con IPC a la fecha efectiva del pago, razón por la cual el valor de las disminuciones aplicadas a marzo de 2022, se actualiza a marzo de 2023 fecha en la cual queda ejecutoriado el laudo para un valor de capital de $58.105.888.384, más intereses calculados de conformidad con lo establecido en el numeral 4 del artículo 195 del CPACA que establece, que durante los primeros 90 días se causaran intereses ( DTF CONTRACTUAL) y en adelante intereses a la tasa de mora comercial de la Superfinanciera.</w:t>
      </w:r>
    </w:p>
    <w:p w14:paraId="5A3B0216" w14:textId="77777777" w:rsidR="00866BB4" w:rsidRPr="00951AB1" w:rsidRDefault="00866BB4" w:rsidP="000A5389">
      <w:pPr>
        <w:spacing w:line="240" w:lineRule="auto"/>
        <w:rPr>
          <w:rFonts w:cs="Times New Roman"/>
          <w:szCs w:val="24"/>
        </w:rPr>
      </w:pPr>
    </w:p>
    <w:p w14:paraId="297305F8" w14:textId="77777777" w:rsidR="004078AD" w:rsidRPr="00951AB1" w:rsidRDefault="004078AD" w:rsidP="000A5389">
      <w:pPr>
        <w:spacing w:line="240" w:lineRule="auto"/>
        <w:rPr>
          <w:rFonts w:cs="Times New Roman"/>
          <w:szCs w:val="24"/>
        </w:rPr>
      </w:pPr>
      <w:r w:rsidRPr="00951AB1">
        <w:rPr>
          <w:rFonts w:cs="Times New Roman"/>
          <w:szCs w:val="24"/>
        </w:rPr>
        <w:t>La Entidad el 10 de agosto de 2023 realiza un abono a la deuda total (capital + intereses) por valor de $ 23.440.000.000. Adicional teniendo en cuenta los intereses generados que cumplen con lo dispuesto en los artículos 192 de la Ley 1437 de 2011 CPACA, modificado por la Ley 2213 de 2022 y el 195 de la Ley 1437 de 2011 CPACA.</w:t>
      </w:r>
    </w:p>
    <w:p w14:paraId="3CB8B28B" w14:textId="77777777" w:rsidR="004078AD" w:rsidRPr="00951AB1" w:rsidRDefault="004078AD" w:rsidP="000A5389">
      <w:pPr>
        <w:spacing w:line="240" w:lineRule="auto"/>
        <w:rPr>
          <w:rFonts w:cs="Times New Roman"/>
          <w:szCs w:val="24"/>
        </w:rPr>
      </w:pPr>
    </w:p>
    <w:p w14:paraId="14A641DC" w14:textId="77777777" w:rsidR="004078AD" w:rsidRPr="00951AB1" w:rsidRDefault="004078AD" w:rsidP="000A5389">
      <w:pPr>
        <w:spacing w:line="240" w:lineRule="auto"/>
        <w:rPr>
          <w:rFonts w:cs="Times New Roman"/>
          <w:szCs w:val="24"/>
        </w:rPr>
      </w:pPr>
      <w:r w:rsidRPr="00951AB1">
        <w:rPr>
          <w:rFonts w:cs="Times New Roman"/>
          <w:szCs w:val="24"/>
        </w:rPr>
        <w:t>Dado a que el CPACA indica: “(…) Cumplidos tres (3) meses desde la ejecutoria de la providencia que imponga o liquide una condena o de la que apruebe una conciliación, sin que los beneficiarios hayan acudido ante la entidad responsable para hacerla efectiva, cesará la causación de intereses desde entonces hasta cuando se presente la solicitud.” Por lo tanto y dado a que el Concesionario no pasó su cuenta de cobro durante los 3 meses que concede el CPACA se para el cálculo de los intereses corrientes.</w:t>
      </w:r>
    </w:p>
    <w:p w14:paraId="493953B6" w14:textId="77777777" w:rsidR="004078AD" w:rsidRPr="00951AB1" w:rsidRDefault="004078AD" w:rsidP="000A5389">
      <w:pPr>
        <w:spacing w:line="240" w:lineRule="auto"/>
        <w:rPr>
          <w:rFonts w:cs="Times New Roman"/>
          <w:szCs w:val="24"/>
        </w:rPr>
      </w:pPr>
    </w:p>
    <w:p w14:paraId="374D4F33" w14:textId="77777777" w:rsidR="004078AD" w:rsidRPr="00951AB1" w:rsidRDefault="004078AD" w:rsidP="000A5389">
      <w:pPr>
        <w:spacing w:line="240" w:lineRule="auto"/>
        <w:rPr>
          <w:rFonts w:cs="Times New Roman"/>
          <w:szCs w:val="24"/>
        </w:rPr>
      </w:pPr>
      <w:r w:rsidRPr="00951AB1">
        <w:rPr>
          <w:rFonts w:cs="Times New Roman"/>
          <w:szCs w:val="24"/>
        </w:rPr>
        <w:lastRenderedPageBreak/>
        <w:t xml:space="preserve">En la vigencia 2025, para esta deuda, no se realizó ningún pago ni abono. </w:t>
      </w:r>
    </w:p>
    <w:p w14:paraId="2BE42874" w14:textId="77777777" w:rsidR="004078AD" w:rsidRPr="00951AB1" w:rsidRDefault="004078AD" w:rsidP="000A5389">
      <w:pPr>
        <w:spacing w:line="240" w:lineRule="auto"/>
        <w:rPr>
          <w:rFonts w:cs="Times New Roman"/>
          <w:szCs w:val="24"/>
        </w:rPr>
      </w:pPr>
    </w:p>
    <w:p w14:paraId="6AF0A435" w14:textId="77777777" w:rsidR="004078AD" w:rsidRPr="00951AB1" w:rsidRDefault="004078AD" w:rsidP="000A5389">
      <w:pPr>
        <w:pStyle w:val="Prrafodelista"/>
        <w:numPr>
          <w:ilvl w:val="0"/>
          <w:numId w:val="70"/>
        </w:numPr>
        <w:spacing w:line="240" w:lineRule="auto"/>
        <w:ind w:left="0" w:hanging="142"/>
        <w:rPr>
          <w:rFonts w:eastAsia="Arial" w:cs="Times New Roman"/>
          <w:szCs w:val="24"/>
        </w:rPr>
      </w:pPr>
      <w:r w:rsidRPr="00951AB1">
        <w:rPr>
          <w:rFonts w:cs="Times New Roman"/>
          <w:szCs w:val="24"/>
        </w:rPr>
        <w:t>Un valor de $35.825.535.589</w:t>
      </w:r>
      <w:r w:rsidRPr="00951AB1">
        <w:rPr>
          <w:rFonts w:eastAsia="Times New Roman" w:cs="Times New Roman"/>
          <w:b/>
          <w:bCs/>
          <w:color w:val="000000"/>
          <w:sz w:val="14"/>
          <w:szCs w:val="14"/>
          <w:lang w:eastAsia="es-CO"/>
        </w:rPr>
        <w:t xml:space="preserve"> </w:t>
      </w:r>
      <w:r w:rsidRPr="00951AB1">
        <w:rPr>
          <w:rFonts w:cs="Times New Roman"/>
          <w:szCs w:val="24"/>
        </w:rPr>
        <w:t>(capital adeudado)</w:t>
      </w:r>
      <w:r w:rsidRPr="00951AB1">
        <w:rPr>
          <w:rFonts w:eastAsia="Arial" w:cs="Times New Roman"/>
          <w:szCs w:val="24"/>
        </w:rPr>
        <w:t>, por la deuda reconocida a nombre de la Concesionaria Ruta del Cacao S.A.S., del proyecto Bucaramanga Barrancabermeja Yondó, c</w:t>
      </w:r>
      <w:r w:rsidRPr="00951AB1">
        <w:rPr>
          <w:rFonts w:cs="Times New Roman"/>
          <w:szCs w:val="24"/>
        </w:rPr>
        <w:t>ontrato de concesión No. 013 del 15 de agosto de 2015</w:t>
      </w:r>
      <w:r w:rsidRPr="00951AB1">
        <w:rPr>
          <w:rFonts w:eastAsia="Arial" w:cs="Times New Roman"/>
          <w:szCs w:val="24"/>
        </w:rPr>
        <w:t xml:space="preserve">, por el Laudo Arbitral No. 141913 ejecutoriado el 19/03/2025, en el que condenó a la entidad, por lo siguiente: </w:t>
      </w:r>
    </w:p>
    <w:p w14:paraId="2CD87CB1" w14:textId="77777777" w:rsidR="004078AD" w:rsidRPr="00951AB1" w:rsidRDefault="004078AD" w:rsidP="000A5389">
      <w:pPr>
        <w:pStyle w:val="Prrafodelista"/>
        <w:spacing w:line="240" w:lineRule="auto"/>
        <w:ind w:left="0"/>
        <w:rPr>
          <w:rFonts w:eastAsia="Arial" w:cs="Times New Roman"/>
          <w:szCs w:val="24"/>
        </w:rPr>
      </w:pPr>
    </w:p>
    <w:p w14:paraId="5B7F1145" w14:textId="028325CA" w:rsidR="004078AD" w:rsidRPr="00951AB1" w:rsidRDefault="004078AD" w:rsidP="000A5389">
      <w:pPr>
        <w:autoSpaceDE w:val="0"/>
        <w:autoSpaceDN w:val="0"/>
        <w:adjustRightInd w:val="0"/>
        <w:spacing w:line="240" w:lineRule="auto"/>
        <w:rPr>
          <w:rFonts w:cs="Times New Roman"/>
          <w:b/>
          <w:bCs/>
          <w:i/>
          <w:iCs/>
          <w:szCs w:val="24"/>
        </w:rPr>
      </w:pPr>
      <w:r w:rsidRPr="00951AB1">
        <w:rPr>
          <w:rFonts w:cs="Times New Roman"/>
          <w:b/>
          <w:bCs/>
          <w:i/>
          <w:iCs/>
          <w:szCs w:val="24"/>
        </w:rPr>
        <w:t>Pago Condena del Laudo.</w:t>
      </w:r>
    </w:p>
    <w:p w14:paraId="34C66AF2" w14:textId="77777777" w:rsidR="004078AD" w:rsidRPr="00951AB1" w:rsidRDefault="004078AD" w:rsidP="000A5389">
      <w:pPr>
        <w:autoSpaceDE w:val="0"/>
        <w:autoSpaceDN w:val="0"/>
        <w:adjustRightInd w:val="0"/>
        <w:spacing w:line="240" w:lineRule="auto"/>
        <w:rPr>
          <w:rFonts w:cs="Times New Roman"/>
          <w:b/>
          <w:bCs/>
          <w:i/>
          <w:iCs/>
          <w:szCs w:val="24"/>
        </w:rPr>
      </w:pPr>
      <w:r w:rsidRPr="00951AB1">
        <w:rPr>
          <w:rFonts w:cs="Times New Roman"/>
          <w:b/>
          <w:bCs/>
          <w:i/>
          <w:iCs/>
          <w:szCs w:val="24"/>
        </w:rPr>
        <w:t>Unidad Funcional 1</w:t>
      </w:r>
    </w:p>
    <w:p w14:paraId="3B018873" w14:textId="77777777" w:rsidR="004078AD" w:rsidRPr="00951AB1" w:rsidRDefault="004078AD" w:rsidP="000A5389">
      <w:pPr>
        <w:autoSpaceDE w:val="0"/>
        <w:autoSpaceDN w:val="0"/>
        <w:adjustRightInd w:val="0"/>
        <w:spacing w:line="240" w:lineRule="auto"/>
        <w:rPr>
          <w:rFonts w:cs="Times New Roman"/>
          <w:b/>
          <w:bCs/>
          <w:i/>
          <w:iCs/>
          <w:szCs w:val="24"/>
        </w:rPr>
      </w:pPr>
    </w:p>
    <w:p w14:paraId="44DC8901" w14:textId="77777777" w:rsidR="004078AD" w:rsidRPr="00951AB1" w:rsidRDefault="004078AD" w:rsidP="000A5389">
      <w:pPr>
        <w:autoSpaceDE w:val="0"/>
        <w:autoSpaceDN w:val="0"/>
        <w:adjustRightInd w:val="0"/>
        <w:spacing w:line="240" w:lineRule="auto"/>
        <w:rPr>
          <w:rFonts w:cs="Times New Roman"/>
          <w:szCs w:val="24"/>
        </w:rPr>
      </w:pPr>
      <w:r w:rsidRPr="00951AB1">
        <w:rPr>
          <w:rFonts w:cs="Times New Roman"/>
          <w:szCs w:val="24"/>
        </w:rPr>
        <w:t>Costos en los que incurrió hasta la presentación de la demanda, relacionados con las intervenciones imprevisibles y/o diferentes y/o adicionales y/o de mayor envergadura y/o frecuencia a las actividades y obras previstas para los Subsectores 1.2 y 1.3 de la Unidad Funcional 1, dirigidas al cumplimiento de los Indicadores del Apéndice Técnico No. 4 en los referidos subsectores.</w:t>
      </w:r>
    </w:p>
    <w:p w14:paraId="5B80D469" w14:textId="77777777" w:rsidR="004078AD" w:rsidRPr="00951AB1" w:rsidRDefault="004078AD" w:rsidP="000A5389">
      <w:pPr>
        <w:autoSpaceDE w:val="0"/>
        <w:autoSpaceDN w:val="0"/>
        <w:adjustRightInd w:val="0"/>
        <w:spacing w:line="240" w:lineRule="auto"/>
        <w:rPr>
          <w:rFonts w:cs="Times New Roman"/>
          <w:szCs w:val="24"/>
        </w:rPr>
      </w:pPr>
    </w:p>
    <w:p w14:paraId="7861B34E" w14:textId="77777777" w:rsidR="004078AD" w:rsidRPr="00951AB1" w:rsidRDefault="004078AD" w:rsidP="000A5389">
      <w:pPr>
        <w:autoSpaceDE w:val="0"/>
        <w:autoSpaceDN w:val="0"/>
        <w:adjustRightInd w:val="0"/>
        <w:spacing w:line="240" w:lineRule="auto"/>
        <w:rPr>
          <w:rFonts w:cs="Times New Roman"/>
          <w:szCs w:val="24"/>
        </w:rPr>
      </w:pPr>
      <w:r w:rsidRPr="00951AB1">
        <w:rPr>
          <w:rFonts w:cs="Times New Roman"/>
          <w:szCs w:val="24"/>
        </w:rPr>
        <w:t>Costos en los que incurrió relacionados con intervenciones imprevisibles y/o diferentes y/o adicionales y/o de mayor envergadura y/o frecuencia a las actividades y obras de los Subsectores 1.2 y 1.3 de la Unidad Funcional 1 realizados con posterioridad a la Presentación de la Demanda Arbitral dirigidas al cumplimiento de los Indicadores del Apéndice Técnico No. 4 en los referidos subsectores.</w:t>
      </w:r>
    </w:p>
    <w:p w14:paraId="5728BE81" w14:textId="77777777" w:rsidR="004078AD" w:rsidRPr="00951AB1" w:rsidRDefault="004078AD" w:rsidP="000A5389">
      <w:pPr>
        <w:autoSpaceDE w:val="0"/>
        <w:autoSpaceDN w:val="0"/>
        <w:adjustRightInd w:val="0"/>
        <w:spacing w:line="240" w:lineRule="auto"/>
        <w:rPr>
          <w:rFonts w:cs="Times New Roman"/>
          <w:szCs w:val="24"/>
        </w:rPr>
      </w:pPr>
    </w:p>
    <w:p w14:paraId="51214EC7" w14:textId="77777777" w:rsidR="004078AD" w:rsidRPr="00951AB1" w:rsidRDefault="004078AD" w:rsidP="000A5389">
      <w:pPr>
        <w:autoSpaceDE w:val="0"/>
        <w:autoSpaceDN w:val="0"/>
        <w:adjustRightInd w:val="0"/>
        <w:spacing w:line="240" w:lineRule="auto"/>
        <w:rPr>
          <w:rFonts w:cs="Times New Roman"/>
          <w:szCs w:val="24"/>
        </w:rPr>
      </w:pPr>
      <w:r w:rsidRPr="00951AB1">
        <w:rPr>
          <w:rFonts w:cs="Times New Roman"/>
          <w:szCs w:val="24"/>
        </w:rPr>
        <w:t>Valores que fueron objeto de Deducciones como resultado de las mediciones del Índice de Cumplimiento de las Actas de Compensación Especial por el incumplimiento de Indicadores del Apéndice técnico 4 en los subsectores 1.2 y 1.3 de la Unidad Funcional 1.</w:t>
      </w:r>
    </w:p>
    <w:p w14:paraId="05D80210" w14:textId="77777777" w:rsidR="004078AD" w:rsidRPr="00951AB1" w:rsidRDefault="004078AD" w:rsidP="000A5389">
      <w:pPr>
        <w:autoSpaceDE w:val="0"/>
        <w:autoSpaceDN w:val="0"/>
        <w:adjustRightInd w:val="0"/>
        <w:spacing w:line="240" w:lineRule="auto"/>
        <w:rPr>
          <w:rFonts w:cs="Times New Roman"/>
          <w:szCs w:val="24"/>
        </w:rPr>
      </w:pPr>
    </w:p>
    <w:p w14:paraId="4AD3C427" w14:textId="77777777" w:rsidR="004078AD" w:rsidRPr="00951AB1" w:rsidRDefault="004078AD" w:rsidP="000A5389">
      <w:pPr>
        <w:autoSpaceDE w:val="0"/>
        <w:autoSpaceDN w:val="0"/>
        <w:adjustRightInd w:val="0"/>
        <w:spacing w:line="240" w:lineRule="auto"/>
        <w:rPr>
          <w:rFonts w:cs="Times New Roman"/>
          <w:b/>
          <w:bCs/>
          <w:szCs w:val="24"/>
        </w:rPr>
      </w:pPr>
      <w:r w:rsidRPr="00951AB1">
        <w:rPr>
          <w:rFonts w:cs="Times New Roman"/>
          <w:b/>
          <w:bCs/>
          <w:szCs w:val="24"/>
        </w:rPr>
        <w:t>Unidad Funcional 9</w:t>
      </w:r>
    </w:p>
    <w:p w14:paraId="3918E9AE" w14:textId="77777777" w:rsidR="004078AD" w:rsidRPr="00951AB1" w:rsidRDefault="004078AD" w:rsidP="000A5389">
      <w:pPr>
        <w:autoSpaceDE w:val="0"/>
        <w:autoSpaceDN w:val="0"/>
        <w:adjustRightInd w:val="0"/>
        <w:spacing w:line="240" w:lineRule="auto"/>
        <w:rPr>
          <w:rFonts w:cs="Times New Roman"/>
          <w:b/>
          <w:bCs/>
          <w:szCs w:val="24"/>
        </w:rPr>
      </w:pPr>
    </w:p>
    <w:p w14:paraId="0BC98611" w14:textId="77777777" w:rsidR="004078AD" w:rsidRPr="00951AB1" w:rsidRDefault="004078AD" w:rsidP="000A5389">
      <w:pPr>
        <w:autoSpaceDE w:val="0"/>
        <w:autoSpaceDN w:val="0"/>
        <w:adjustRightInd w:val="0"/>
        <w:spacing w:line="240" w:lineRule="auto"/>
        <w:rPr>
          <w:rFonts w:cs="Times New Roman"/>
          <w:szCs w:val="24"/>
        </w:rPr>
      </w:pPr>
      <w:r w:rsidRPr="00951AB1">
        <w:rPr>
          <w:rFonts w:cs="Times New Roman"/>
          <w:szCs w:val="24"/>
        </w:rPr>
        <w:t>Costos administrativos de mayor permanencia en obra para la Unidad Funcional 9, derivando una mayor cantidad de obra, costos de estudios y diseños sobre el diseño alternativo y para la modificación de la licencia ambiental.</w:t>
      </w:r>
    </w:p>
    <w:p w14:paraId="4D28E316" w14:textId="77777777" w:rsidR="004078AD" w:rsidRPr="00951AB1" w:rsidRDefault="004078AD" w:rsidP="000A5389">
      <w:pPr>
        <w:autoSpaceDE w:val="0"/>
        <w:autoSpaceDN w:val="0"/>
        <w:adjustRightInd w:val="0"/>
        <w:spacing w:line="240" w:lineRule="auto"/>
        <w:rPr>
          <w:rFonts w:cs="Times New Roman"/>
          <w:szCs w:val="24"/>
        </w:rPr>
      </w:pPr>
    </w:p>
    <w:p w14:paraId="349CA393" w14:textId="77777777" w:rsidR="004078AD" w:rsidRPr="00951AB1" w:rsidRDefault="004078AD" w:rsidP="000A5389">
      <w:pPr>
        <w:autoSpaceDE w:val="0"/>
        <w:autoSpaceDN w:val="0"/>
        <w:adjustRightInd w:val="0"/>
        <w:spacing w:line="240" w:lineRule="auto"/>
        <w:rPr>
          <w:rFonts w:cs="Times New Roman"/>
          <w:szCs w:val="24"/>
        </w:rPr>
      </w:pPr>
      <w:r w:rsidRPr="00951AB1">
        <w:rPr>
          <w:rFonts w:cs="Times New Roman"/>
          <w:szCs w:val="24"/>
        </w:rPr>
        <w:t>Ajuste de precios del CAPEX y sobrecostos financieros.</w:t>
      </w:r>
    </w:p>
    <w:p w14:paraId="783C1D69" w14:textId="77777777" w:rsidR="004078AD" w:rsidRPr="00951AB1" w:rsidRDefault="004078AD" w:rsidP="000A5389">
      <w:pPr>
        <w:autoSpaceDE w:val="0"/>
        <w:autoSpaceDN w:val="0"/>
        <w:adjustRightInd w:val="0"/>
        <w:spacing w:line="240" w:lineRule="auto"/>
        <w:rPr>
          <w:rFonts w:cs="Times New Roman"/>
          <w:szCs w:val="24"/>
        </w:rPr>
      </w:pPr>
    </w:p>
    <w:p w14:paraId="35412B46" w14:textId="77777777" w:rsidR="004078AD" w:rsidRPr="00951AB1" w:rsidRDefault="004078AD" w:rsidP="000A5389">
      <w:pPr>
        <w:autoSpaceDE w:val="0"/>
        <w:autoSpaceDN w:val="0"/>
        <w:adjustRightInd w:val="0"/>
        <w:spacing w:line="240" w:lineRule="auto"/>
        <w:rPr>
          <w:rFonts w:cs="Times New Roman"/>
          <w:szCs w:val="24"/>
        </w:rPr>
      </w:pPr>
      <w:r w:rsidRPr="00951AB1">
        <w:rPr>
          <w:rFonts w:cs="Times New Roman"/>
          <w:szCs w:val="24"/>
        </w:rPr>
        <w:t>La información relativa al plazo y tasa de interés se encuentra definida en la parte resolutiva de los respectivos laudos que imponen condena a la ANI, así como en lo dispuesto por el Código de Procedimiento Administrativo y de lo Contencioso Administrativo (CPACA) – Ley 1437 de 2011. </w:t>
      </w:r>
    </w:p>
    <w:p w14:paraId="2025E616" w14:textId="77777777" w:rsidR="004078AD" w:rsidRPr="00951AB1" w:rsidRDefault="004078AD" w:rsidP="000A5389">
      <w:pPr>
        <w:autoSpaceDE w:val="0"/>
        <w:autoSpaceDN w:val="0"/>
        <w:adjustRightInd w:val="0"/>
        <w:spacing w:line="240" w:lineRule="auto"/>
        <w:rPr>
          <w:rFonts w:cs="Times New Roman"/>
          <w:szCs w:val="24"/>
        </w:rPr>
      </w:pPr>
      <w:r w:rsidRPr="00951AB1">
        <w:rPr>
          <w:rFonts w:cs="Times New Roman"/>
          <w:szCs w:val="24"/>
        </w:rPr>
        <w:t> </w:t>
      </w:r>
    </w:p>
    <w:p w14:paraId="68F8A2AC" w14:textId="55D4D038" w:rsidR="004078AD" w:rsidRPr="00951AB1" w:rsidRDefault="004078AD" w:rsidP="000A5389">
      <w:pPr>
        <w:autoSpaceDE w:val="0"/>
        <w:autoSpaceDN w:val="0"/>
        <w:adjustRightInd w:val="0"/>
        <w:spacing w:line="240" w:lineRule="auto"/>
        <w:rPr>
          <w:rFonts w:cs="Times New Roman"/>
          <w:szCs w:val="24"/>
        </w:rPr>
      </w:pPr>
      <w:r w:rsidRPr="00951AB1">
        <w:rPr>
          <w:rFonts w:cs="Times New Roman"/>
          <w:szCs w:val="24"/>
        </w:rPr>
        <w:t xml:space="preserve">En relación con el vencimiento de las cuentas por pagar, su reconocimiento se proyecta dentro de la respectiva vigencia fiscal. Para tal efecto, la ANI adelanta oportunamente todos los trámites presupuestales y financieros ante el Ministerio de Hacienda y Crédito Público (MHCP), con el fin de gestionar la asignación de recursos mediante la </w:t>
      </w:r>
      <w:r w:rsidRPr="00951AB1">
        <w:rPr>
          <w:rFonts w:cs="Times New Roman"/>
          <w:szCs w:val="24"/>
        </w:rPr>
        <w:lastRenderedPageBreak/>
        <w:t>emisión de Títulos de Tesorería (TES), los cuales constituyen la fuente de recursos para el reconocimiento de sentencias y conciliaciones. </w:t>
      </w:r>
    </w:p>
    <w:p w14:paraId="258581AB" w14:textId="77777777" w:rsidR="004078AD" w:rsidRPr="00951AB1" w:rsidRDefault="004078AD" w:rsidP="000A5389">
      <w:pPr>
        <w:autoSpaceDE w:val="0"/>
        <w:autoSpaceDN w:val="0"/>
        <w:adjustRightInd w:val="0"/>
        <w:spacing w:line="240" w:lineRule="auto"/>
        <w:rPr>
          <w:rFonts w:cs="Times New Roman"/>
          <w:szCs w:val="24"/>
        </w:rPr>
      </w:pPr>
      <w:r w:rsidRPr="00951AB1">
        <w:rPr>
          <w:rFonts w:cs="Times New Roman"/>
          <w:szCs w:val="24"/>
        </w:rPr>
        <w:t> </w:t>
      </w:r>
    </w:p>
    <w:p w14:paraId="0DCC4727" w14:textId="77777777" w:rsidR="004078AD" w:rsidRPr="00951AB1" w:rsidRDefault="004078AD" w:rsidP="000A5389">
      <w:pPr>
        <w:autoSpaceDE w:val="0"/>
        <w:autoSpaceDN w:val="0"/>
        <w:adjustRightInd w:val="0"/>
        <w:spacing w:line="240" w:lineRule="auto"/>
        <w:rPr>
          <w:rFonts w:cs="Times New Roman"/>
          <w:szCs w:val="24"/>
        </w:rPr>
      </w:pPr>
      <w:r w:rsidRPr="00951AB1">
        <w:rPr>
          <w:rFonts w:cs="Times New Roman"/>
          <w:szCs w:val="24"/>
        </w:rPr>
        <w:t>No obstante, en ausencia de confirmación por parte del MHCP respecto de la correspondiente emisión, resulta necesario reiniciar el trámite en la siguiente vigencia fiscal, ajustando la programación presupuestal conforme a los tiempos del proceso de financiamiento. </w:t>
      </w:r>
    </w:p>
    <w:p w14:paraId="70D26853" w14:textId="77777777" w:rsidR="004078AD" w:rsidRPr="00951AB1" w:rsidRDefault="004078AD" w:rsidP="000A5389">
      <w:pPr>
        <w:autoSpaceDE w:val="0"/>
        <w:autoSpaceDN w:val="0"/>
        <w:adjustRightInd w:val="0"/>
        <w:spacing w:line="240" w:lineRule="auto"/>
        <w:rPr>
          <w:rFonts w:cs="Times New Roman"/>
          <w:szCs w:val="24"/>
        </w:rPr>
      </w:pPr>
    </w:p>
    <w:p w14:paraId="52F92B17" w14:textId="77777777" w:rsidR="004078AD" w:rsidRPr="00951AB1" w:rsidRDefault="004078AD" w:rsidP="000A5389">
      <w:pPr>
        <w:autoSpaceDE w:val="0"/>
        <w:autoSpaceDN w:val="0"/>
        <w:adjustRightInd w:val="0"/>
        <w:spacing w:line="240" w:lineRule="auto"/>
        <w:rPr>
          <w:rFonts w:cs="Times New Roman"/>
          <w:szCs w:val="24"/>
        </w:rPr>
      </w:pPr>
      <w:r w:rsidRPr="00951AB1">
        <w:rPr>
          <w:rFonts w:cs="Times New Roman"/>
          <w:szCs w:val="24"/>
        </w:rPr>
        <w:t>En el anteproyecto de presupuesto de 2025 la ANI solicitó 5.6 billones de pesos en lo relacionado con conciliaciones y sentencias derivadas de condenas a la ANI, que incluye tanto el capital conciliaciones como las estimaciones de intereses hasta el final del 2025, frente a lo cual el MHCP a través del decreto 1523 de diciembre de 2024 “Por medio del cual se decreta el presupuesto de rentas y recursos de capital y el presupuesto de gastos para la vigencia fiscal del 1 de enero al 31 de diciembre de 2025” asignó un cupo de emisión de bonos u otros títulos de deuda pública en condiciones de mercado hasta por $500.000.000.000 pesos para el reconocimiento “como deuda pública de obligaciones a cargo de la Agencia Nacional de Infraestructura (…) surgidas de los contratos de concesión por concepto de sentencias y conciliaciones” (artículo 61).  Los cuales durante la vigencia 2025 fueron tramitados por parte de la ANI ante el MHCP sin que   esta entidad se tuviera respuesta frente a la emisión de estos títulos para el cumplimiento parcial de la obligación, por lo tanto, durante la vigencia 2025 no se realizó amortización a la deuda de laudos y conciliaciones judiciales. </w:t>
      </w:r>
    </w:p>
    <w:p w14:paraId="3BF703C6" w14:textId="77777777" w:rsidR="004078AD" w:rsidRPr="00951AB1" w:rsidRDefault="004078AD" w:rsidP="000A5389">
      <w:pPr>
        <w:autoSpaceDE w:val="0"/>
        <w:autoSpaceDN w:val="0"/>
        <w:adjustRightInd w:val="0"/>
        <w:spacing w:line="240" w:lineRule="auto"/>
        <w:rPr>
          <w:rFonts w:cs="Times New Roman"/>
          <w:szCs w:val="24"/>
        </w:rPr>
      </w:pPr>
    </w:p>
    <w:p w14:paraId="0E58846C" w14:textId="77777777" w:rsidR="004078AD" w:rsidRPr="00951AB1" w:rsidRDefault="004078AD" w:rsidP="000A5389">
      <w:pPr>
        <w:autoSpaceDE w:val="0"/>
        <w:autoSpaceDN w:val="0"/>
        <w:adjustRightInd w:val="0"/>
        <w:spacing w:line="240" w:lineRule="auto"/>
        <w:rPr>
          <w:rFonts w:cs="Times New Roman"/>
          <w:szCs w:val="24"/>
        </w:rPr>
      </w:pPr>
      <w:r w:rsidRPr="00951AB1">
        <w:rPr>
          <w:rFonts w:cs="Times New Roman"/>
          <w:szCs w:val="24"/>
        </w:rPr>
        <w:t>Teniendo en cuenta que para la vigencia 2026 se asignó nuevamente un cupo de $500.000.000.000 pesos a través de la Ley de presupuesto 2559 de 2025 se realizarán las negociaciones correspondientes con los beneficiarios de los Laudos Arbitrales con el fin de mitigar el efecto de los intereses moratorios. </w:t>
      </w:r>
    </w:p>
    <w:p w14:paraId="74DCCD44" w14:textId="77777777" w:rsidR="004078AD" w:rsidRPr="00951AB1" w:rsidRDefault="004078AD" w:rsidP="000A5389">
      <w:pPr>
        <w:autoSpaceDE w:val="0"/>
        <w:autoSpaceDN w:val="0"/>
        <w:adjustRightInd w:val="0"/>
        <w:spacing w:line="240" w:lineRule="auto"/>
        <w:rPr>
          <w:rFonts w:cs="Times New Roman"/>
          <w:szCs w:val="24"/>
        </w:rPr>
      </w:pPr>
    </w:p>
    <w:p w14:paraId="55BBA615" w14:textId="77777777" w:rsidR="004078AD" w:rsidRDefault="004078AD" w:rsidP="000A5389">
      <w:pPr>
        <w:tabs>
          <w:tab w:val="num" w:pos="720"/>
        </w:tabs>
        <w:spacing w:line="240" w:lineRule="auto"/>
        <w:rPr>
          <w:rFonts w:cs="Times New Roman"/>
          <w:szCs w:val="24"/>
        </w:rPr>
      </w:pPr>
      <w:r w:rsidRPr="00951AB1">
        <w:rPr>
          <w:rFonts w:cs="Times New Roman"/>
          <w:szCs w:val="24"/>
        </w:rPr>
        <w:t xml:space="preserve">A 31 de diciembre de 2025, no se dio de baja esta cuenta por pagar, y no se canceló total ni parcialmente. </w:t>
      </w:r>
    </w:p>
    <w:p w14:paraId="07E379F9" w14:textId="77777777" w:rsidR="00F543A5" w:rsidRPr="00951AB1" w:rsidRDefault="00F543A5" w:rsidP="000A5389">
      <w:pPr>
        <w:tabs>
          <w:tab w:val="num" w:pos="720"/>
        </w:tabs>
        <w:spacing w:line="240" w:lineRule="auto"/>
        <w:rPr>
          <w:rFonts w:cs="Times New Roman"/>
          <w:szCs w:val="24"/>
        </w:rPr>
      </w:pPr>
    </w:p>
    <w:p w14:paraId="1ADF618D" w14:textId="77777777" w:rsidR="004078AD" w:rsidRPr="00951AB1" w:rsidRDefault="004078AD" w:rsidP="000A5389">
      <w:pPr>
        <w:pStyle w:val="Prrafodelista"/>
        <w:numPr>
          <w:ilvl w:val="0"/>
          <w:numId w:val="69"/>
        </w:numPr>
        <w:autoSpaceDE w:val="0"/>
        <w:autoSpaceDN w:val="0"/>
        <w:adjustRightInd w:val="0"/>
        <w:spacing w:line="240" w:lineRule="auto"/>
        <w:ind w:left="0" w:hanging="142"/>
        <w:rPr>
          <w:rFonts w:cs="Times New Roman"/>
          <w:szCs w:val="24"/>
        </w:rPr>
      </w:pPr>
      <w:r w:rsidRPr="00951AB1">
        <w:rPr>
          <w:rFonts w:cs="Times New Roman"/>
          <w:szCs w:val="24"/>
        </w:rPr>
        <w:t xml:space="preserve">Un valor de $22.705.947.054 (capital adeudado e intereses corrientes), </w:t>
      </w:r>
      <w:r w:rsidRPr="00951AB1">
        <w:rPr>
          <w:rFonts w:eastAsia="Arial" w:cs="Times New Roman"/>
          <w:szCs w:val="24"/>
        </w:rPr>
        <w:t>por la deuda reconocida a nombre de la</w:t>
      </w:r>
      <w:r w:rsidRPr="00951AB1">
        <w:rPr>
          <w:rFonts w:cs="Times New Roman"/>
        </w:rPr>
        <w:t xml:space="preserve"> C</w:t>
      </w:r>
      <w:r w:rsidRPr="00951AB1">
        <w:rPr>
          <w:rFonts w:eastAsia="Arial" w:cs="Times New Roman"/>
          <w:szCs w:val="24"/>
        </w:rPr>
        <w:t>oncesionaria Vial de los Andes S.A.S. COVIANDES S.A.S., del proyecto Bogotá Villavicencio, c</w:t>
      </w:r>
      <w:r w:rsidRPr="00951AB1">
        <w:rPr>
          <w:rFonts w:cs="Times New Roman"/>
          <w:szCs w:val="24"/>
        </w:rPr>
        <w:t>ontrato de concesión No. 444 de 1994</w:t>
      </w:r>
      <w:r w:rsidRPr="00951AB1">
        <w:rPr>
          <w:rFonts w:eastAsia="Arial" w:cs="Times New Roman"/>
          <w:szCs w:val="24"/>
        </w:rPr>
        <w:t xml:space="preserve">, por el Laudo Arbitral No. 144059 ejecutoriado el 11/10/2024, en el que condenó a la entidad, </w:t>
      </w:r>
      <w:r w:rsidRPr="00951AB1">
        <w:rPr>
          <w:rFonts w:cs="Times New Roman"/>
          <w:szCs w:val="24"/>
        </w:rPr>
        <w:t>a reconocer y pagar a favor de la CONCESIONARIA VIAL DE LOS ANDES S.A.S - COVIANDES S.A.S., la suma de $19.690.256.281 que corresponde al valor no cubierto por concepto de diseños y no por mayores cantidades de obra de la contingencia indicada en el numeral Segundo, relacionada con los diseños del Sector 1A y con los diseños de la obra denominada Puente La Quiña perteneciente al Sector 2A.</w:t>
      </w:r>
    </w:p>
    <w:p w14:paraId="06AE239C" w14:textId="77777777" w:rsidR="004078AD" w:rsidRPr="00951AB1" w:rsidRDefault="004078AD" w:rsidP="000A5389">
      <w:pPr>
        <w:autoSpaceDE w:val="0"/>
        <w:autoSpaceDN w:val="0"/>
        <w:adjustRightInd w:val="0"/>
        <w:spacing w:line="240" w:lineRule="auto"/>
        <w:rPr>
          <w:rFonts w:cs="Times New Roman"/>
          <w:szCs w:val="24"/>
        </w:rPr>
      </w:pPr>
    </w:p>
    <w:p w14:paraId="6198D2CA" w14:textId="77777777" w:rsidR="004078AD" w:rsidRPr="00951AB1" w:rsidRDefault="004078AD" w:rsidP="000A5389">
      <w:pPr>
        <w:autoSpaceDE w:val="0"/>
        <w:autoSpaceDN w:val="0"/>
        <w:adjustRightInd w:val="0"/>
        <w:spacing w:line="240" w:lineRule="auto"/>
        <w:rPr>
          <w:rFonts w:cs="Times New Roman"/>
          <w:szCs w:val="24"/>
        </w:rPr>
      </w:pPr>
      <w:r w:rsidRPr="00951AB1">
        <w:rPr>
          <w:rFonts w:cs="Times New Roman"/>
          <w:szCs w:val="24"/>
        </w:rPr>
        <w:t>Así mismo, se dispuso que a dicha suma le será aplicable lo establecido en los artículos 192 y 195 del Código de Procedimiento Administrativo y de lo Contencioso Administrativo (CPACA), en materia de intereses.</w:t>
      </w:r>
    </w:p>
    <w:p w14:paraId="3EDB7549" w14:textId="77777777" w:rsidR="004078AD" w:rsidRPr="00951AB1" w:rsidRDefault="004078AD" w:rsidP="000A5389">
      <w:pPr>
        <w:autoSpaceDE w:val="0"/>
        <w:autoSpaceDN w:val="0"/>
        <w:adjustRightInd w:val="0"/>
        <w:spacing w:line="240" w:lineRule="auto"/>
        <w:rPr>
          <w:rFonts w:cs="Times New Roman"/>
          <w:szCs w:val="24"/>
        </w:rPr>
      </w:pPr>
    </w:p>
    <w:p w14:paraId="042F4C90" w14:textId="77777777" w:rsidR="004078AD" w:rsidRPr="00951AB1" w:rsidRDefault="004078AD" w:rsidP="000A5389">
      <w:pPr>
        <w:autoSpaceDE w:val="0"/>
        <w:autoSpaceDN w:val="0"/>
        <w:adjustRightInd w:val="0"/>
        <w:spacing w:line="240" w:lineRule="auto"/>
        <w:rPr>
          <w:rFonts w:cs="Times New Roman"/>
          <w:szCs w:val="24"/>
        </w:rPr>
      </w:pPr>
      <w:r w:rsidRPr="00951AB1">
        <w:rPr>
          <w:rFonts w:cs="Times New Roman"/>
          <w:szCs w:val="24"/>
        </w:rPr>
        <w:lastRenderedPageBreak/>
        <w:t>En aplicación de lo previsto en el CPACA, se reconocerán intereses a la tasa DTF durante los primeros diez (10) meses contados a partir de la ejecutoria del Auto, esto es, desde el 11/10/2024 hasta el 10/08/2025. A partir del 11/08/2025 y hasta la fecha en que se materialice el pago, se reconocerán intereses a la tasa de interés bancario corriente certificada por la Superintendencia Financiera de Colombia.</w:t>
      </w:r>
    </w:p>
    <w:p w14:paraId="2598D807" w14:textId="77777777" w:rsidR="004078AD" w:rsidRPr="00951AB1" w:rsidRDefault="004078AD" w:rsidP="000A5389">
      <w:pPr>
        <w:autoSpaceDE w:val="0"/>
        <w:autoSpaceDN w:val="0"/>
        <w:adjustRightInd w:val="0"/>
        <w:spacing w:line="240" w:lineRule="auto"/>
        <w:rPr>
          <w:rFonts w:cs="Times New Roman"/>
          <w:szCs w:val="24"/>
        </w:rPr>
      </w:pPr>
    </w:p>
    <w:p w14:paraId="73A4425B" w14:textId="77777777" w:rsidR="004078AD" w:rsidRPr="00951AB1" w:rsidRDefault="004078AD" w:rsidP="000A5389">
      <w:pPr>
        <w:pStyle w:val="Prrafodelista"/>
        <w:autoSpaceDE w:val="0"/>
        <w:autoSpaceDN w:val="0"/>
        <w:adjustRightInd w:val="0"/>
        <w:spacing w:line="240" w:lineRule="auto"/>
        <w:ind w:left="0"/>
        <w:rPr>
          <w:rFonts w:cs="Times New Roman"/>
          <w:szCs w:val="24"/>
        </w:rPr>
      </w:pPr>
      <w:r w:rsidRPr="00951AB1">
        <w:rPr>
          <w:rFonts w:cs="Times New Roman"/>
          <w:szCs w:val="24"/>
        </w:rPr>
        <w:t>La ANI formuló oferta de pago con TES por $21.052.147.962, con corte a 31 de agosto de 2025, aceptada por la Concesionaria el 31 de octubre de 2025. En consecuencia, se expidió la Resolución ANI No. 20255030015315 del 7 de noviembre de 2025 y se solicitó formalmente la expedición de TES al Ministerio de Hacienda mediante radicado ANI No. 20255050418921 del 13 de noviembre de 2025. El Ministerio de Hacienda formuló observaciones técnicas y formales, las cuales fueron atendidas integralmente por la ANI mediante radicado No. 20255050434381 del 26 de noviembre de 2025, quedando el trámite debidamente ajustado y radicado al cierre de la vigencia 2025. No obstante, pese a haberse acordado como fecha máxima de pago el 31 de diciembre de 2025, el MHCP no efectuó el pago del laudo dentro del plazo establecido.</w:t>
      </w:r>
    </w:p>
    <w:p w14:paraId="7F9297A3" w14:textId="77777777" w:rsidR="004078AD" w:rsidRPr="00951AB1" w:rsidRDefault="004078AD" w:rsidP="000A5389">
      <w:pPr>
        <w:autoSpaceDE w:val="0"/>
        <w:autoSpaceDN w:val="0"/>
        <w:adjustRightInd w:val="0"/>
        <w:spacing w:line="240" w:lineRule="auto"/>
        <w:rPr>
          <w:rFonts w:cs="Times New Roman"/>
          <w:szCs w:val="24"/>
        </w:rPr>
      </w:pPr>
    </w:p>
    <w:p w14:paraId="136877C2" w14:textId="5B3F83D6" w:rsidR="004078AD" w:rsidRPr="00951AB1" w:rsidRDefault="004078AD" w:rsidP="000A5389">
      <w:pPr>
        <w:autoSpaceDE w:val="0"/>
        <w:autoSpaceDN w:val="0"/>
        <w:adjustRightInd w:val="0"/>
        <w:spacing w:line="240" w:lineRule="auto"/>
        <w:rPr>
          <w:rFonts w:cs="Times New Roman"/>
          <w:szCs w:val="24"/>
        </w:rPr>
      </w:pPr>
      <w:r w:rsidRPr="00951AB1">
        <w:rPr>
          <w:rFonts w:cs="Times New Roman"/>
          <w:szCs w:val="24"/>
        </w:rPr>
        <w:t>El equipo de seguimiento contractual del proyecto ha adelantado las gestiones necesarias para atender los requerimientos del Ministerio de Hacienda y Crédito Público, con el fin de efectuar el pago de la condena mediante Títulos de Tesorería (TES). No obstante, por restricciones y efectos fiscales correspondientes a la vigencia 2025, no fue posible que el Ministerio de Hacienda realizara el pago durante dicha vigencia, situación ajena a la Agencia Nacional de Infraestructura.</w:t>
      </w:r>
    </w:p>
    <w:p w14:paraId="6B0AFE60" w14:textId="77777777" w:rsidR="00866BB4" w:rsidRPr="00951AB1" w:rsidRDefault="00866BB4" w:rsidP="000A5389">
      <w:pPr>
        <w:autoSpaceDE w:val="0"/>
        <w:autoSpaceDN w:val="0"/>
        <w:adjustRightInd w:val="0"/>
        <w:spacing w:line="240" w:lineRule="auto"/>
        <w:rPr>
          <w:rFonts w:cs="Times New Roman"/>
          <w:szCs w:val="24"/>
        </w:rPr>
      </w:pPr>
    </w:p>
    <w:p w14:paraId="29C70693" w14:textId="77777777" w:rsidR="004078AD" w:rsidRPr="00951AB1" w:rsidRDefault="004078AD" w:rsidP="000A5389">
      <w:pPr>
        <w:pStyle w:val="Prrafodelista"/>
        <w:spacing w:line="240" w:lineRule="auto"/>
        <w:ind w:left="0"/>
        <w:rPr>
          <w:rFonts w:cs="Times New Roman"/>
          <w:szCs w:val="24"/>
        </w:rPr>
      </w:pPr>
      <w:r w:rsidRPr="00951AB1">
        <w:rPr>
          <w:rFonts w:cs="Times New Roman"/>
          <w:szCs w:val="24"/>
        </w:rPr>
        <w:t>Un valor de $1.617.183.505 (capital adeudado, actualización de capital e intereses corrientes), por la deuda reconocida a nombre de la Concesionaria San Rafael S.A., del proyecto Girardot Ibagué Cajamarca, contrato de concesión No. 007 del 13 de agosto de 2007, por el Laudo Arbitral No. 116306 ejecutoriado el 26/04/2021.</w:t>
      </w:r>
    </w:p>
    <w:p w14:paraId="5353F89D" w14:textId="77777777" w:rsidR="004078AD" w:rsidRPr="00951AB1" w:rsidRDefault="004078AD" w:rsidP="000A5389">
      <w:pPr>
        <w:spacing w:line="240" w:lineRule="auto"/>
        <w:rPr>
          <w:rFonts w:cs="Times New Roman"/>
          <w:szCs w:val="24"/>
          <w:highlight w:val="cyan"/>
        </w:rPr>
      </w:pPr>
    </w:p>
    <w:p w14:paraId="57757640" w14:textId="77777777" w:rsidR="004078AD" w:rsidRPr="00951AB1" w:rsidRDefault="004078AD" w:rsidP="000A5389">
      <w:pPr>
        <w:spacing w:line="240" w:lineRule="auto"/>
        <w:rPr>
          <w:rFonts w:cs="Times New Roman"/>
          <w:szCs w:val="24"/>
        </w:rPr>
      </w:pPr>
      <w:r w:rsidRPr="00951AB1">
        <w:rPr>
          <w:rFonts w:cs="Times New Roman"/>
          <w:szCs w:val="24"/>
        </w:rPr>
        <w:t xml:space="preserve">El Laudo arbitral del 12 de abril de 2021, ordenó a la ANI pagar al Concesionario San Rafael S.A. el valor de las obras de la Avenida Pedro Tafur indexado con IPC de abril de 2021 que corresponde a la suma de $1.609.784.369. </w:t>
      </w:r>
    </w:p>
    <w:p w14:paraId="50465F93" w14:textId="77777777" w:rsidR="004078AD" w:rsidRPr="00951AB1" w:rsidRDefault="004078AD" w:rsidP="000A5389">
      <w:pPr>
        <w:spacing w:line="240" w:lineRule="auto"/>
        <w:rPr>
          <w:rFonts w:cs="Times New Roman"/>
          <w:szCs w:val="24"/>
        </w:rPr>
      </w:pPr>
    </w:p>
    <w:p w14:paraId="36CD5A94" w14:textId="77777777" w:rsidR="004078AD" w:rsidRPr="00951AB1" w:rsidRDefault="004078AD" w:rsidP="000A5389">
      <w:pPr>
        <w:spacing w:line="240" w:lineRule="auto"/>
        <w:rPr>
          <w:rFonts w:cs="Times New Roman"/>
          <w:szCs w:val="24"/>
        </w:rPr>
      </w:pPr>
      <w:r w:rsidRPr="00951AB1">
        <w:rPr>
          <w:rFonts w:cs="Times New Roman"/>
          <w:szCs w:val="24"/>
        </w:rPr>
        <w:t>Ahora, como quiera que el Laudo no fijó las reglas para liquidación de intereses, se debe dar aplicación a lo dispuesto en los artículos 192 y 195 de la Ley 1437 de 2011 (CPACA). En ese orden, la suma total a reconocer por este concepto, indexada hasta el mes de abril de 2021 por valor de $1.609.784.369 fecha límite de pago que tenía la ANI para realizar el pago de acuerdo con lo señalado en el artículo 192 y 195 del Código de Procedimiento Administrativo y de lo Contencioso Administrativo, y con sus respectivos interés calculados desde abril de 2021 por valor de $7.399.136 de conformidad con el numeral No 4 del artículo 195 del CPACA que establece que durante los primeros 90 días se calcularán intereses a la tasa (DTF).</w:t>
      </w:r>
    </w:p>
    <w:p w14:paraId="57C4610E" w14:textId="77777777" w:rsidR="00D6637F" w:rsidRPr="00951AB1" w:rsidRDefault="00D6637F" w:rsidP="000A5389">
      <w:pPr>
        <w:spacing w:line="240" w:lineRule="auto"/>
        <w:rPr>
          <w:rFonts w:cs="Times New Roman"/>
          <w:szCs w:val="24"/>
        </w:rPr>
      </w:pPr>
    </w:p>
    <w:p w14:paraId="7F18A0E0" w14:textId="77777777" w:rsidR="004078AD" w:rsidRPr="00951AB1" w:rsidRDefault="004078AD" w:rsidP="000A5389">
      <w:pPr>
        <w:spacing w:line="240" w:lineRule="auto"/>
        <w:rPr>
          <w:rFonts w:cs="Times New Roman"/>
          <w:szCs w:val="24"/>
        </w:rPr>
      </w:pPr>
      <w:r w:rsidRPr="00951AB1">
        <w:rPr>
          <w:rFonts w:cs="Times New Roman"/>
          <w:szCs w:val="24"/>
        </w:rPr>
        <w:lastRenderedPageBreak/>
        <w:t xml:space="preserve">Así mismo el Laudo ordenó a la ANI revocar la instrucción impartida a la Fiduciaria Colpatria S.A., dirigida a efectuar la disminución de la Ciclorruta T6. Sin embargo, este Laudo no indicó si la Entidad debía reintegrar dicho dinero al Concesionario. En este mismo sentido, teniendo en cuenta que el Concesionario solicitó el pago de esta disminución en la cuenta de cobro del Laudo del 14 de marzo de 2023, se indica que, si bien el panel de amigables componedores declaró la nulidad de los apartes indicados en la providencia, del numeral 26.3 del Contrato de Concesión, relativo al procedimiento de contradicción, por contrariar el artículo 17 de la Ley 1150 de 2007, en este trámite arbitral el Concesionario tuvo la oportunidad de poner en conocimiento cuales eran las disminuciones que quería que le fueran reconocidas, sin embargo, el Concesionario no develó la disminución realizada posterior a la firma del Otrosí No. 14 en la Ciclorruta T6. </w:t>
      </w:r>
    </w:p>
    <w:p w14:paraId="6EE0ABA8" w14:textId="77777777" w:rsidR="004078AD" w:rsidRPr="00951AB1" w:rsidRDefault="004078AD" w:rsidP="000A5389">
      <w:pPr>
        <w:spacing w:line="240" w:lineRule="auto"/>
        <w:rPr>
          <w:rFonts w:cs="Times New Roman"/>
          <w:szCs w:val="24"/>
        </w:rPr>
      </w:pPr>
    </w:p>
    <w:p w14:paraId="3C2636A8" w14:textId="77777777" w:rsidR="004078AD" w:rsidRPr="00951AB1" w:rsidRDefault="004078AD" w:rsidP="000A5389">
      <w:pPr>
        <w:spacing w:line="240" w:lineRule="auto"/>
        <w:rPr>
          <w:rFonts w:cs="Times New Roman"/>
          <w:szCs w:val="24"/>
        </w:rPr>
      </w:pPr>
      <w:r w:rsidRPr="00951AB1">
        <w:rPr>
          <w:rFonts w:cs="Times New Roman"/>
          <w:szCs w:val="24"/>
        </w:rPr>
        <w:t>Así mismo, cabe mencionar que el Laudo del 2023 le reconoció al Concesionario los valores correspondientes a las disminuciones realizadas por Segunda Calzada, Ciclorruta Buenos Aires-Gualanday e Índice de Estado, por estar incluidas en las pretensiones, por lo que el Concesionario tuvo la oportunidad de solicitar al panel de amigables, le fuera reconocida dicha disminución. Por lo anteriormente expuesto, dicho dinero no debe ser reintegrado al Concesionario, al no estar incluido en lo fallado en ninguno de los dos Laudos anteriormente referenciados.</w:t>
      </w:r>
    </w:p>
    <w:p w14:paraId="210B90CB" w14:textId="77777777" w:rsidR="004078AD" w:rsidRPr="00951AB1" w:rsidRDefault="004078AD" w:rsidP="000A5389">
      <w:pPr>
        <w:spacing w:line="240" w:lineRule="auto"/>
        <w:rPr>
          <w:rFonts w:cs="Times New Roman"/>
          <w:szCs w:val="24"/>
        </w:rPr>
      </w:pPr>
    </w:p>
    <w:p w14:paraId="53BE7358" w14:textId="77777777" w:rsidR="004078AD" w:rsidRPr="00951AB1" w:rsidRDefault="004078AD" w:rsidP="000A5389">
      <w:pPr>
        <w:spacing w:line="240" w:lineRule="auto"/>
        <w:rPr>
          <w:rFonts w:cs="Times New Roman"/>
          <w:szCs w:val="24"/>
        </w:rPr>
      </w:pPr>
      <w:r w:rsidRPr="00951AB1">
        <w:rPr>
          <w:rFonts w:cs="Times New Roman"/>
          <w:szCs w:val="24"/>
        </w:rPr>
        <w:t>Dado a que el CPACA indica: “(…) Cumplidos tres (3) meses desde la ejecutoria de la providencia que imponga o liquide una condena o de la que apruebe una conciliación, sin que los beneficiarios hayan acudido ante la entidad responsable para hacerla efectiva, cesará la causación de intereses desde entonces hasta cuando se presente la solicitud.” Por lo tanto y dado a que el Concesionario no pasó su cuenta de cobro durante los 3 meses que concede el CPACA se para el cálculo de los intereses DTF el 26 de julio 2021. La cuenta de cobro la pasaron el 31 de mayo 2022, por lo que a partir del primero de junio se reactiva el cálculo de los intereses bancario corriente.</w:t>
      </w:r>
    </w:p>
    <w:p w14:paraId="4C5BC844" w14:textId="77777777" w:rsidR="004078AD" w:rsidRPr="00951AB1" w:rsidRDefault="004078AD" w:rsidP="000A5389">
      <w:pPr>
        <w:spacing w:line="240" w:lineRule="auto"/>
        <w:rPr>
          <w:rFonts w:cs="Times New Roman"/>
          <w:szCs w:val="24"/>
        </w:rPr>
      </w:pPr>
    </w:p>
    <w:p w14:paraId="781EB59C" w14:textId="77777777" w:rsidR="004078AD" w:rsidRPr="00951AB1" w:rsidRDefault="004078AD" w:rsidP="000A5389">
      <w:pPr>
        <w:pStyle w:val="Prrafodelista"/>
        <w:autoSpaceDE w:val="0"/>
        <w:autoSpaceDN w:val="0"/>
        <w:adjustRightInd w:val="0"/>
        <w:spacing w:line="240" w:lineRule="auto"/>
        <w:ind w:left="0" w:right="190"/>
        <w:textAlignment w:val="top"/>
        <w:rPr>
          <w:rFonts w:cs="Times New Roman"/>
          <w:szCs w:val="24"/>
        </w:rPr>
      </w:pPr>
      <w:r w:rsidRPr="00951AB1">
        <w:rPr>
          <w:rFonts w:cs="Times New Roman"/>
          <w:szCs w:val="24"/>
        </w:rPr>
        <w:t>En la vigencia 2025, para esta deuda, no se realizó ningún pago ni abono.</w:t>
      </w:r>
    </w:p>
    <w:p w14:paraId="4D2A2ADD" w14:textId="77777777" w:rsidR="004078AD" w:rsidRPr="00951AB1" w:rsidRDefault="004078AD" w:rsidP="000A5389">
      <w:pPr>
        <w:pStyle w:val="Prrafodelista"/>
        <w:autoSpaceDE w:val="0"/>
        <w:autoSpaceDN w:val="0"/>
        <w:adjustRightInd w:val="0"/>
        <w:spacing w:line="240" w:lineRule="auto"/>
        <w:ind w:left="0" w:right="190"/>
        <w:textAlignment w:val="top"/>
        <w:rPr>
          <w:rFonts w:cs="Times New Roman"/>
          <w:szCs w:val="24"/>
        </w:rPr>
      </w:pPr>
    </w:p>
    <w:p w14:paraId="65BB509A" w14:textId="77777777" w:rsidR="004078AD" w:rsidRPr="00951AB1" w:rsidRDefault="004078AD" w:rsidP="000A5389">
      <w:pPr>
        <w:pStyle w:val="Prrafodelista"/>
        <w:numPr>
          <w:ilvl w:val="0"/>
          <w:numId w:val="70"/>
        </w:numPr>
        <w:autoSpaceDE w:val="0"/>
        <w:autoSpaceDN w:val="0"/>
        <w:adjustRightInd w:val="0"/>
        <w:spacing w:line="240" w:lineRule="auto"/>
        <w:ind w:left="0" w:right="190" w:hanging="142"/>
        <w:textAlignment w:val="top"/>
        <w:rPr>
          <w:rFonts w:cs="Times New Roman"/>
          <w:szCs w:val="24"/>
        </w:rPr>
      </w:pPr>
      <w:r w:rsidRPr="00951AB1">
        <w:rPr>
          <w:rFonts w:cs="Times New Roman"/>
          <w:szCs w:val="24"/>
        </w:rPr>
        <w:t>Un valor de $783.172.522 (capital adeudado y actualización de capital), correspondiente a la deuda reconocida a nombre de Autopistas del Nordeste S.A.S., del proyecto de concesión Autopista Conexión Norte, contrato de concesión No. 009 de 2014, por el Amigable componedor No. 15607 del 31/10/2018, en el que en el Resuelve Séptimo, declaró que la ANI debe reconocer al Concesionario, debidamente los valores actualizados de los gastos, costos y desembolsos en que haya incurrido en la elaboración de los estudios de hidráulica y socavación (Puente Carlos Lleras). No obstante, la decisión del panel no fijó un monto específico ni estableció una condena en cuantía determinada a cargo de la ANI.</w:t>
      </w:r>
    </w:p>
    <w:p w14:paraId="5E10087F" w14:textId="77777777" w:rsidR="004078AD" w:rsidRPr="00951AB1" w:rsidRDefault="004078AD" w:rsidP="000A5389">
      <w:pPr>
        <w:pStyle w:val="Prrafodelista"/>
        <w:autoSpaceDE w:val="0"/>
        <w:autoSpaceDN w:val="0"/>
        <w:adjustRightInd w:val="0"/>
        <w:spacing w:line="240" w:lineRule="auto"/>
        <w:ind w:left="0" w:right="190"/>
        <w:textAlignment w:val="top"/>
        <w:rPr>
          <w:rFonts w:cs="Times New Roman"/>
          <w:szCs w:val="24"/>
        </w:rPr>
      </w:pPr>
    </w:p>
    <w:p w14:paraId="2822E733" w14:textId="77777777" w:rsidR="004078AD" w:rsidRPr="00951AB1" w:rsidRDefault="004078AD" w:rsidP="000A5389">
      <w:pPr>
        <w:autoSpaceDE w:val="0"/>
        <w:autoSpaceDN w:val="0"/>
        <w:adjustRightInd w:val="0"/>
        <w:spacing w:line="240" w:lineRule="auto"/>
        <w:ind w:right="190"/>
        <w:textAlignment w:val="top"/>
        <w:rPr>
          <w:rFonts w:cs="Times New Roman"/>
          <w:szCs w:val="24"/>
        </w:rPr>
      </w:pPr>
      <w:r w:rsidRPr="00951AB1">
        <w:rPr>
          <w:rFonts w:cs="Times New Roman"/>
          <w:szCs w:val="24"/>
        </w:rPr>
        <w:t xml:space="preserve">En la decisión del Amigable Componedor, no se estableció un plazo específico para el pago, ni se determinó expresamente el reconocimiento de intereses de mora. Por lo tanto, para efectos del diligenciamiento del formato GADF-F-120 Liquidación de deuda con fines contables, únicamente se está aplicando la actualización con IPC sobre las erogaciones </w:t>
      </w:r>
      <w:r w:rsidRPr="00951AB1">
        <w:rPr>
          <w:rFonts w:cs="Times New Roman"/>
          <w:szCs w:val="24"/>
        </w:rPr>
        <w:lastRenderedPageBreak/>
        <w:t>reconocidas por el Amigable Componedor, sin que se estén liquidando intereses remuneratorios o moratorios.</w:t>
      </w:r>
    </w:p>
    <w:p w14:paraId="5E0C5B0E" w14:textId="77777777" w:rsidR="004078AD" w:rsidRPr="00951AB1" w:rsidRDefault="004078AD" w:rsidP="000A5389">
      <w:pPr>
        <w:autoSpaceDE w:val="0"/>
        <w:autoSpaceDN w:val="0"/>
        <w:adjustRightInd w:val="0"/>
        <w:spacing w:line="240" w:lineRule="auto"/>
        <w:rPr>
          <w:rFonts w:cs="Times New Roman"/>
          <w:szCs w:val="24"/>
        </w:rPr>
      </w:pPr>
      <w:r w:rsidRPr="00951AB1">
        <w:rPr>
          <w:rFonts w:cs="Times New Roman"/>
          <w:szCs w:val="24"/>
        </w:rPr>
        <w:t>A 31 de diciembre de 2025, esta obligación no ha sido cancelada al Concesionario, toda vez que no se ha logrado un acuerdo sobre el monto definitivo a reconocer. Adicionalmente, al no tratarse de un laudo arbitral ni de una condena con cuantía expresa, no es posible efectuar el pago mediante Títulos TES del Ministerio de Hacienda y Crédito Público. Se continúa evaluando la posibilidad de compensación o cruce con eventuales obligaciones a cargo del Concesionario, en caso de que proceda jurídicamente.</w:t>
      </w:r>
    </w:p>
    <w:p w14:paraId="1B0E0586" w14:textId="77777777" w:rsidR="004078AD" w:rsidRPr="00951AB1" w:rsidRDefault="004078AD" w:rsidP="000A5389">
      <w:pPr>
        <w:autoSpaceDE w:val="0"/>
        <w:autoSpaceDN w:val="0"/>
        <w:adjustRightInd w:val="0"/>
        <w:spacing w:line="240" w:lineRule="auto"/>
        <w:rPr>
          <w:rFonts w:cs="Times New Roman"/>
          <w:szCs w:val="24"/>
        </w:rPr>
      </w:pPr>
    </w:p>
    <w:p w14:paraId="03F6AC91" w14:textId="77777777" w:rsidR="004078AD" w:rsidRPr="00951AB1" w:rsidRDefault="004078AD" w:rsidP="000A5389">
      <w:pPr>
        <w:spacing w:line="240" w:lineRule="auto"/>
        <w:rPr>
          <w:rFonts w:cs="Times New Roman"/>
          <w:b/>
          <w:bCs/>
          <w:i/>
          <w:iCs/>
          <w:szCs w:val="24"/>
        </w:rPr>
      </w:pPr>
      <w:r w:rsidRPr="00951AB1">
        <w:rPr>
          <w:rFonts w:cs="Times New Roman"/>
          <w:b/>
          <w:bCs/>
          <w:i/>
          <w:iCs/>
          <w:szCs w:val="24"/>
        </w:rPr>
        <w:t>Cuentas por pagar por concepto de reembolsos de honorarios de los árbitros y secretaría y gastos administrativos de Tribunales de Arbitramento</w:t>
      </w:r>
    </w:p>
    <w:p w14:paraId="2946E3B6" w14:textId="77777777" w:rsidR="004078AD" w:rsidRPr="00951AB1" w:rsidRDefault="004078AD" w:rsidP="000A5389">
      <w:pPr>
        <w:pStyle w:val="Prrafodelista"/>
        <w:spacing w:line="240" w:lineRule="auto"/>
        <w:rPr>
          <w:rFonts w:cs="Times New Roman"/>
          <w:szCs w:val="24"/>
          <w:highlight w:val="cyan"/>
        </w:rPr>
      </w:pPr>
    </w:p>
    <w:p w14:paraId="1F9A76F7" w14:textId="77777777" w:rsidR="004078AD" w:rsidRPr="00951AB1" w:rsidRDefault="004078AD" w:rsidP="000A5389">
      <w:pPr>
        <w:pStyle w:val="Prrafodelista"/>
        <w:spacing w:line="240" w:lineRule="auto"/>
        <w:ind w:left="0"/>
        <w:rPr>
          <w:rFonts w:cs="Times New Roman"/>
          <w:szCs w:val="24"/>
        </w:rPr>
      </w:pPr>
      <w:r w:rsidRPr="00951AB1">
        <w:rPr>
          <w:rFonts w:cs="Times New Roman"/>
          <w:szCs w:val="24"/>
        </w:rPr>
        <w:t xml:space="preserve">A 31 de diciembre de 2025, se constituyeron las siguientes cuentas por pagar por valor de $5.211.238.969, por los reembolsos de honorarios de los árbitros y secretaría y gastos administrativos de Tribunales de Arbitramento, de los siguientes terceros: </w:t>
      </w:r>
    </w:p>
    <w:p w14:paraId="03D29DE7" w14:textId="77777777" w:rsidR="004078AD" w:rsidRPr="00951AB1" w:rsidRDefault="004078AD" w:rsidP="000A5389">
      <w:pPr>
        <w:pStyle w:val="Prrafodelista"/>
        <w:spacing w:line="240" w:lineRule="auto"/>
        <w:ind w:left="0"/>
        <w:rPr>
          <w:rFonts w:cs="Times New Roman"/>
          <w:szCs w:val="24"/>
        </w:rPr>
      </w:pPr>
    </w:p>
    <w:tbl>
      <w:tblPr>
        <w:tblW w:w="5000" w:type="pct"/>
        <w:jc w:val="center"/>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CellMar>
          <w:left w:w="70" w:type="dxa"/>
          <w:right w:w="70" w:type="dxa"/>
        </w:tblCellMar>
        <w:tblLook w:val="04A0" w:firstRow="1" w:lastRow="0" w:firstColumn="1" w:lastColumn="0" w:noHBand="0" w:noVBand="1"/>
      </w:tblPr>
      <w:tblGrid>
        <w:gridCol w:w="1072"/>
        <w:gridCol w:w="1845"/>
        <w:gridCol w:w="1864"/>
        <w:gridCol w:w="2444"/>
        <w:gridCol w:w="1603"/>
      </w:tblGrid>
      <w:tr w:rsidR="004078AD" w:rsidRPr="00F543A5" w14:paraId="2A8EBC57" w14:textId="77777777" w:rsidTr="00054048">
        <w:trPr>
          <w:trHeight w:val="630"/>
          <w:tblHeader/>
          <w:jc w:val="center"/>
        </w:trPr>
        <w:tc>
          <w:tcPr>
            <w:tcW w:w="607" w:type="pct"/>
            <w:vAlign w:val="center"/>
            <w:hideMark/>
          </w:tcPr>
          <w:p w14:paraId="420054ED" w14:textId="77777777" w:rsidR="004078AD" w:rsidRPr="00F543A5" w:rsidRDefault="004078AD" w:rsidP="000A5389">
            <w:pPr>
              <w:spacing w:line="240" w:lineRule="auto"/>
              <w:jc w:val="center"/>
              <w:rPr>
                <w:rFonts w:eastAsia="Times New Roman" w:cs="Times New Roman"/>
                <w:b/>
                <w:bCs/>
                <w:color w:val="000000"/>
                <w:sz w:val="18"/>
                <w:szCs w:val="18"/>
                <w:lang w:eastAsia="es-CO"/>
              </w:rPr>
            </w:pPr>
            <w:r w:rsidRPr="00F543A5">
              <w:rPr>
                <w:rFonts w:eastAsia="Times New Roman" w:cs="Times New Roman"/>
                <w:b/>
                <w:bCs/>
                <w:color w:val="000000"/>
                <w:sz w:val="18"/>
                <w:szCs w:val="18"/>
                <w:lang w:eastAsia="es-CO"/>
              </w:rPr>
              <w:t>NIT</w:t>
            </w:r>
          </w:p>
        </w:tc>
        <w:tc>
          <w:tcPr>
            <w:tcW w:w="1045" w:type="pct"/>
            <w:vAlign w:val="center"/>
            <w:hideMark/>
          </w:tcPr>
          <w:p w14:paraId="21C6CFCE" w14:textId="77777777" w:rsidR="004078AD" w:rsidRPr="00F543A5" w:rsidRDefault="004078AD" w:rsidP="000A5389">
            <w:pPr>
              <w:spacing w:line="240" w:lineRule="auto"/>
              <w:jc w:val="center"/>
              <w:rPr>
                <w:rFonts w:eastAsia="Times New Roman" w:cs="Times New Roman"/>
                <w:b/>
                <w:bCs/>
                <w:color w:val="000000"/>
                <w:sz w:val="18"/>
                <w:szCs w:val="18"/>
                <w:lang w:eastAsia="es-CO"/>
              </w:rPr>
            </w:pPr>
            <w:r w:rsidRPr="00F543A5">
              <w:rPr>
                <w:rFonts w:eastAsia="Times New Roman" w:cs="Times New Roman"/>
                <w:b/>
                <w:bCs/>
                <w:color w:val="000000"/>
                <w:sz w:val="18"/>
                <w:szCs w:val="18"/>
                <w:lang w:eastAsia="es-CO"/>
              </w:rPr>
              <w:t>TERCERO</w:t>
            </w:r>
          </w:p>
        </w:tc>
        <w:tc>
          <w:tcPr>
            <w:tcW w:w="1056" w:type="pct"/>
            <w:vAlign w:val="center"/>
            <w:hideMark/>
          </w:tcPr>
          <w:p w14:paraId="631EE528" w14:textId="77777777" w:rsidR="004078AD" w:rsidRPr="00F543A5" w:rsidRDefault="004078AD" w:rsidP="000A5389">
            <w:pPr>
              <w:spacing w:line="240" w:lineRule="auto"/>
              <w:jc w:val="center"/>
              <w:rPr>
                <w:rFonts w:eastAsia="Times New Roman" w:cs="Times New Roman"/>
                <w:b/>
                <w:bCs/>
                <w:color w:val="000000"/>
                <w:sz w:val="18"/>
                <w:szCs w:val="18"/>
                <w:lang w:eastAsia="es-CO"/>
              </w:rPr>
            </w:pPr>
            <w:r w:rsidRPr="00F543A5">
              <w:rPr>
                <w:rFonts w:eastAsia="Times New Roman" w:cs="Times New Roman"/>
                <w:b/>
                <w:bCs/>
                <w:color w:val="000000"/>
                <w:sz w:val="18"/>
                <w:szCs w:val="18"/>
                <w:lang w:eastAsia="es-CO"/>
              </w:rPr>
              <w:t>NO. TRÁMITE ARBITRAL</w:t>
            </w:r>
          </w:p>
        </w:tc>
        <w:tc>
          <w:tcPr>
            <w:tcW w:w="1384" w:type="pct"/>
            <w:vAlign w:val="center"/>
            <w:hideMark/>
          </w:tcPr>
          <w:p w14:paraId="334A08C6" w14:textId="77777777" w:rsidR="004078AD" w:rsidRPr="00F543A5" w:rsidRDefault="004078AD" w:rsidP="000A5389">
            <w:pPr>
              <w:spacing w:line="240" w:lineRule="auto"/>
              <w:jc w:val="center"/>
              <w:rPr>
                <w:rFonts w:eastAsia="Times New Roman" w:cs="Times New Roman"/>
                <w:b/>
                <w:bCs/>
                <w:color w:val="000000"/>
                <w:sz w:val="18"/>
                <w:szCs w:val="18"/>
                <w:lang w:eastAsia="es-CO"/>
              </w:rPr>
            </w:pPr>
            <w:r w:rsidRPr="00F543A5">
              <w:rPr>
                <w:rFonts w:eastAsia="Times New Roman" w:cs="Times New Roman"/>
                <w:b/>
                <w:bCs/>
                <w:color w:val="000000"/>
                <w:sz w:val="18"/>
                <w:szCs w:val="18"/>
                <w:lang w:eastAsia="es-CO"/>
              </w:rPr>
              <w:t>DOCUMENTO FIJACIÓN DE VALOR</w:t>
            </w:r>
          </w:p>
        </w:tc>
        <w:tc>
          <w:tcPr>
            <w:tcW w:w="908" w:type="pct"/>
            <w:vAlign w:val="center"/>
            <w:hideMark/>
          </w:tcPr>
          <w:p w14:paraId="3A3F5438" w14:textId="77777777" w:rsidR="004078AD" w:rsidRPr="00F543A5" w:rsidRDefault="004078AD" w:rsidP="000A5389">
            <w:pPr>
              <w:spacing w:line="240" w:lineRule="auto"/>
              <w:jc w:val="center"/>
              <w:rPr>
                <w:rFonts w:eastAsia="Times New Roman" w:cs="Times New Roman"/>
                <w:b/>
                <w:bCs/>
                <w:color w:val="000000"/>
                <w:sz w:val="18"/>
                <w:szCs w:val="18"/>
                <w:lang w:eastAsia="es-CO"/>
              </w:rPr>
            </w:pPr>
            <w:r w:rsidRPr="00F543A5">
              <w:rPr>
                <w:rFonts w:eastAsia="Times New Roman" w:cs="Times New Roman"/>
                <w:b/>
                <w:bCs/>
                <w:color w:val="000000"/>
                <w:sz w:val="18"/>
                <w:szCs w:val="18"/>
                <w:lang w:eastAsia="es-CO"/>
              </w:rPr>
              <w:t>VALOR</w:t>
            </w:r>
          </w:p>
        </w:tc>
      </w:tr>
      <w:tr w:rsidR="004078AD" w:rsidRPr="00F543A5" w14:paraId="27A582A9" w14:textId="77777777" w:rsidTr="00E12FCB">
        <w:trPr>
          <w:trHeight w:val="588"/>
          <w:jc w:val="center"/>
        </w:trPr>
        <w:tc>
          <w:tcPr>
            <w:tcW w:w="607" w:type="pct"/>
            <w:noWrap/>
            <w:vAlign w:val="center"/>
            <w:hideMark/>
          </w:tcPr>
          <w:p w14:paraId="40DC20D5" w14:textId="77777777" w:rsidR="004078AD" w:rsidRPr="00F543A5" w:rsidRDefault="004078AD" w:rsidP="000A5389">
            <w:pPr>
              <w:spacing w:line="240" w:lineRule="auto"/>
              <w:jc w:val="center"/>
              <w:rPr>
                <w:rFonts w:eastAsia="Times New Roman" w:cs="Times New Roman"/>
                <w:color w:val="000000"/>
                <w:sz w:val="18"/>
                <w:szCs w:val="18"/>
                <w:lang w:eastAsia="es-CO"/>
              </w:rPr>
            </w:pPr>
            <w:r w:rsidRPr="00F543A5">
              <w:rPr>
                <w:rFonts w:eastAsia="Times New Roman" w:cs="Times New Roman"/>
                <w:color w:val="000000"/>
                <w:sz w:val="18"/>
                <w:szCs w:val="18"/>
                <w:lang w:eastAsia="es-CO"/>
              </w:rPr>
              <w:t>900373783</w:t>
            </w:r>
          </w:p>
        </w:tc>
        <w:tc>
          <w:tcPr>
            <w:tcW w:w="1045" w:type="pct"/>
            <w:vAlign w:val="center"/>
            <w:hideMark/>
          </w:tcPr>
          <w:p w14:paraId="57E4734E" w14:textId="03D07CE6" w:rsidR="004078AD" w:rsidRPr="00F543A5" w:rsidRDefault="00866BB4" w:rsidP="000A5389">
            <w:pPr>
              <w:spacing w:line="240" w:lineRule="auto"/>
              <w:rPr>
                <w:rFonts w:eastAsia="Times New Roman" w:cs="Times New Roman"/>
                <w:color w:val="000000"/>
                <w:sz w:val="18"/>
                <w:szCs w:val="18"/>
                <w:lang w:eastAsia="es-CO"/>
              </w:rPr>
            </w:pPr>
            <w:r w:rsidRPr="00F543A5">
              <w:rPr>
                <w:rFonts w:eastAsia="Times New Roman" w:cs="Times New Roman"/>
                <w:color w:val="000000" w:themeColor="text1"/>
                <w:sz w:val="18"/>
                <w:szCs w:val="18"/>
                <w:lang w:eastAsia="es-CO"/>
              </w:rPr>
              <w:t xml:space="preserve">vías De Las </w:t>
            </w:r>
            <w:r w:rsidR="3B9DA97A" w:rsidRPr="00F543A5">
              <w:rPr>
                <w:rFonts w:eastAsia="Times New Roman" w:cs="Times New Roman"/>
                <w:color w:val="000000" w:themeColor="text1"/>
                <w:sz w:val="18"/>
                <w:szCs w:val="18"/>
                <w:lang w:eastAsia="es-CO"/>
              </w:rPr>
              <w:t>Américas</w:t>
            </w:r>
            <w:r w:rsidRPr="00F543A5">
              <w:rPr>
                <w:rFonts w:eastAsia="Times New Roman" w:cs="Times New Roman"/>
                <w:color w:val="000000" w:themeColor="text1"/>
                <w:sz w:val="18"/>
                <w:szCs w:val="18"/>
                <w:lang w:eastAsia="es-CO"/>
              </w:rPr>
              <w:t xml:space="preserve"> S.A.S.</w:t>
            </w:r>
          </w:p>
        </w:tc>
        <w:tc>
          <w:tcPr>
            <w:tcW w:w="1056" w:type="pct"/>
            <w:vAlign w:val="center"/>
            <w:hideMark/>
          </w:tcPr>
          <w:p w14:paraId="72284EB3" w14:textId="77777777" w:rsidR="004078AD" w:rsidRPr="00F543A5" w:rsidRDefault="004078AD" w:rsidP="000A5389">
            <w:pPr>
              <w:spacing w:line="240" w:lineRule="auto"/>
              <w:jc w:val="center"/>
              <w:rPr>
                <w:rFonts w:eastAsia="Times New Roman" w:cs="Times New Roman"/>
                <w:color w:val="000000"/>
                <w:sz w:val="18"/>
                <w:szCs w:val="18"/>
                <w:lang w:eastAsia="es-CO"/>
              </w:rPr>
            </w:pPr>
            <w:r w:rsidRPr="00F543A5">
              <w:rPr>
                <w:rFonts w:eastAsia="Times New Roman" w:cs="Times New Roman"/>
                <w:color w:val="000000"/>
                <w:sz w:val="18"/>
                <w:szCs w:val="18"/>
                <w:lang w:eastAsia="es-CO"/>
              </w:rPr>
              <w:t>147140</w:t>
            </w:r>
          </w:p>
        </w:tc>
        <w:tc>
          <w:tcPr>
            <w:tcW w:w="1384" w:type="pct"/>
            <w:vAlign w:val="center"/>
            <w:hideMark/>
          </w:tcPr>
          <w:p w14:paraId="0F60214A" w14:textId="77777777" w:rsidR="004078AD" w:rsidRPr="00F543A5" w:rsidRDefault="004078AD" w:rsidP="000A5389">
            <w:pPr>
              <w:spacing w:line="240" w:lineRule="auto"/>
              <w:rPr>
                <w:rFonts w:eastAsia="Times New Roman" w:cs="Times New Roman"/>
                <w:color w:val="000000"/>
                <w:sz w:val="18"/>
                <w:szCs w:val="18"/>
                <w:lang w:eastAsia="es-CO"/>
              </w:rPr>
            </w:pPr>
            <w:r w:rsidRPr="00F543A5">
              <w:rPr>
                <w:rFonts w:eastAsia="Times New Roman" w:cs="Times New Roman"/>
                <w:color w:val="000000"/>
                <w:sz w:val="18"/>
                <w:szCs w:val="18"/>
                <w:lang w:eastAsia="es-CO"/>
              </w:rPr>
              <w:t>Auto 19 (Acta 14) proferido el 15 de mayo de 2025</w:t>
            </w:r>
          </w:p>
        </w:tc>
        <w:tc>
          <w:tcPr>
            <w:tcW w:w="908" w:type="pct"/>
            <w:vAlign w:val="center"/>
            <w:hideMark/>
          </w:tcPr>
          <w:p w14:paraId="75E9DBE3" w14:textId="732D2B17" w:rsidR="004078AD" w:rsidRPr="00F543A5" w:rsidRDefault="004078AD" w:rsidP="000A5389">
            <w:pPr>
              <w:spacing w:line="240" w:lineRule="auto"/>
              <w:jc w:val="right"/>
              <w:rPr>
                <w:rFonts w:eastAsia="Times New Roman" w:cs="Times New Roman"/>
                <w:color w:val="000000"/>
                <w:sz w:val="18"/>
                <w:szCs w:val="18"/>
                <w:lang w:eastAsia="es-CO"/>
              </w:rPr>
            </w:pPr>
            <w:r w:rsidRPr="00F543A5">
              <w:rPr>
                <w:rFonts w:eastAsia="Times New Roman" w:cs="Times New Roman"/>
                <w:color w:val="000000"/>
                <w:sz w:val="18"/>
                <w:szCs w:val="18"/>
                <w:lang w:eastAsia="es-CO"/>
              </w:rPr>
              <w:t xml:space="preserve">3.359.386.298 </w:t>
            </w:r>
          </w:p>
        </w:tc>
      </w:tr>
      <w:tr w:rsidR="004078AD" w:rsidRPr="00F543A5" w14:paraId="59B06AC6" w14:textId="77777777" w:rsidTr="00E12FCB">
        <w:trPr>
          <w:trHeight w:val="412"/>
          <w:jc w:val="center"/>
        </w:trPr>
        <w:tc>
          <w:tcPr>
            <w:tcW w:w="607" w:type="pct"/>
            <w:noWrap/>
            <w:vAlign w:val="center"/>
            <w:hideMark/>
          </w:tcPr>
          <w:p w14:paraId="13925627" w14:textId="77777777" w:rsidR="004078AD" w:rsidRPr="00F543A5" w:rsidRDefault="004078AD" w:rsidP="000A5389">
            <w:pPr>
              <w:spacing w:line="240" w:lineRule="auto"/>
              <w:jc w:val="center"/>
              <w:rPr>
                <w:rFonts w:eastAsia="Times New Roman" w:cs="Times New Roman"/>
                <w:color w:val="000000"/>
                <w:sz w:val="18"/>
                <w:szCs w:val="18"/>
                <w:lang w:eastAsia="es-CO"/>
              </w:rPr>
            </w:pPr>
            <w:r w:rsidRPr="00F543A5">
              <w:rPr>
                <w:rFonts w:eastAsia="Times New Roman" w:cs="Times New Roman"/>
                <w:color w:val="000000"/>
                <w:sz w:val="18"/>
                <w:szCs w:val="18"/>
                <w:lang w:eastAsia="es-CO"/>
              </w:rPr>
              <w:t>900164310</w:t>
            </w:r>
          </w:p>
        </w:tc>
        <w:tc>
          <w:tcPr>
            <w:tcW w:w="1045" w:type="pct"/>
            <w:vAlign w:val="center"/>
            <w:hideMark/>
          </w:tcPr>
          <w:p w14:paraId="6FFFD7F4" w14:textId="299EE503" w:rsidR="004078AD" w:rsidRPr="00F543A5" w:rsidRDefault="00866BB4" w:rsidP="000A5389">
            <w:pPr>
              <w:spacing w:line="240" w:lineRule="auto"/>
              <w:rPr>
                <w:rFonts w:eastAsia="Times New Roman" w:cs="Times New Roman"/>
                <w:color w:val="000000"/>
                <w:sz w:val="18"/>
                <w:szCs w:val="18"/>
                <w:lang w:eastAsia="es-CO"/>
              </w:rPr>
            </w:pPr>
            <w:r w:rsidRPr="00F543A5">
              <w:rPr>
                <w:rFonts w:eastAsia="Times New Roman" w:cs="Times New Roman"/>
                <w:color w:val="000000"/>
                <w:sz w:val="18"/>
                <w:szCs w:val="18"/>
                <w:lang w:eastAsia="es-CO"/>
              </w:rPr>
              <w:t>Concesionaria San Rafael S.S.</w:t>
            </w:r>
          </w:p>
        </w:tc>
        <w:tc>
          <w:tcPr>
            <w:tcW w:w="1056" w:type="pct"/>
            <w:vAlign w:val="center"/>
            <w:hideMark/>
          </w:tcPr>
          <w:p w14:paraId="450C97E9" w14:textId="77777777" w:rsidR="004078AD" w:rsidRPr="00F543A5" w:rsidRDefault="004078AD" w:rsidP="000A5389">
            <w:pPr>
              <w:spacing w:line="240" w:lineRule="auto"/>
              <w:jc w:val="center"/>
              <w:rPr>
                <w:rFonts w:eastAsia="Times New Roman" w:cs="Times New Roman"/>
                <w:color w:val="000000"/>
                <w:sz w:val="18"/>
                <w:szCs w:val="18"/>
                <w:lang w:eastAsia="es-CO"/>
              </w:rPr>
            </w:pPr>
            <w:r w:rsidRPr="00F543A5">
              <w:rPr>
                <w:rFonts w:eastAsia="Times New Roman" w:cs="Times New Roman"/>
                <w:color w:val="000000"/>
                <w:sz w:val="18"/>
                <w:szCs w:val="18"/>
                <w:lang w:eastAsia="es-CO"/>
              </w:rPr>
              <w:t>149184 (Acumulado con el Caso 153636)</w:t>
            </w:r>
          </w:p>
        </w:tc>
        <w:tc>
          <w:tcPr>
            <w:tcW w:w="1384" w:type="pct"/>
            <w:vAlign w:val="center"/>
            <w:hideMark/>
          </w:tcPr>
          <w:p w14:paraId="0F2CB19F" w14:textId="77777777" w:rsidR="004078AD" w:rsidRPr="00F543A5" w:rsidRDefault="004078AD" w:rsidP="000A5389">
            <w:pPr>
              <w:spacing w:line="240" w:lineRule="auto"/>
              <w:rPr>
                <w:rFonts w:eastAsia="Times New Roman" w:cs="Times New Roman"/>
                <w:color w:val="000000"/>
                <w:sz w:val="18"/>
                <w:szCs w:val="18"/>
                <w:lang w:eastAsia="es-CO"/>
              </w:rPr>
            </w:pPr>
            <w:r w:rsidRPr="00F543A5">
              <w:rPr>
                <w:rFonts w:eastAsia="Times New Roman" w:cs="Times New Roman"/>
                <w:color w:val="000000"/>
                <w:sz w:val="18"/>
                <w:szCs w:val="18"/>
                <w:lang w:eastAsia="es-CO"/>
              </w:rPr>
              <w:t>Auto 25 (Acta 17) proferido el 22 de agosto de 2025</w:t>
            </w:r>
          </w:p>
        </w:tc>
        <w:tc>
          <w:tcPr>
            <w:tcW w:w="908" w:type="pct"/>
            <w:vAlign w:val="center"/>
            <w:hideMark/>
          </w:tcPr>
          <w:p w14:paraId="40A6CA6C" w14:textId="230855E6" w:rsidR="004078AD" w:rsidRPr="00F543A5" w:rsidRDefault="004078AD" w:rsidP="000A5389">
            <w:pPr>
              <w:spacing w:line="240" w:lineRule="auto"/>
              <w:jc w:val="right"/>
              <w:rPr>
                <w:rFonts w:eastAsia="Times New Roman" w:cs="Times New Roman"/>
                <w:color w:val="000000"/>
                <w:sz w:val="18"/>
                <w:szCs w:val="18"/>
                <w:lang w:eastAsia="es-CO"/>
              </w:rPr>
            </w:pPr>
            <w:r w:rsidRPr="00F543A5">
              <w:rPr>
                <w:rFonts w:eastAsia="Times New Roman" w:cs="Times New Roman"/>
                <w:color w:val="000000"/>
                <w:sz w:val="18"/>
                <w:szCs w:val="18"/>
                <w:lang w:eastAsia="es-CO"/>
              </w:rPr>
              <w:t xml:space="preserve">1.703.965.000 </w:t>
            </w:r>
          </w:p>
        </w:tc>
      </w:tr>
      <w:tr w:rsidR="004078AD" w:rsidRPr="00F543A5" w14:paraId="1D990390" w14:textId="77777777" w:rsidTr="00E12FCB">
        <w:trPr>
          <w:trHeight w:val="660"/>
          <w:jc w:val="center"/>
        </w:trPr>
        <w:tc>
          <w:tcPr>
            <w:tcW w:w="607" w:type="pct"/>
            <w:noWrap/>
            <w:vAlign w:val="center"/>
            <w:hideMark/>
          </w:tcPr>
          <w:p w14:paraId="5FFD0A17" w14:textId="77777777" w:rsidR="004078AD" w:rsidRPr="00F543A5" w:rsidRDefault="004078AD" w:rsidP="000A5389">
            <w:pPr>
              <w:spacing w:line="240" w:lineRule="auto"/>
              <w:jc w:val="center"/>
              <w:rPr>
                <w:rFonts w:eastAsia="Times New Roman" w:cs="Times New Roman"/>
                <w:color w:val="000000"/>
                <w:sz w:val="18"/>
                <w:szCs w:val="18"/>
                <w:lang w:eastAsia="es-CO"/>
              </w:rPr>
            </w:pPr>
            <w:r w:rsidRPr="00F543A5">
              <w:rPr>
                <w:rFonts w:eastAsia="Times New Roman" w:cs="Times New Roman"/>
                <w:color w:val="000000"/>
                <w:sz w:val="18"/>
                <w:szCs w:val="18"/>
                <w:lang w:eastAsia="es-CO"/>
              </w:rPr>
              <w:t>900894996</w:t>
            </w:r>
          </w:p>
        </w:tc>
        <w:tc>
          <w:tcPr>
            <w:tcW w:w="1045" w:type="pct"/>
            <w:vAlign w:val="center"/>
            <w:hideMark/>
          </w:tcPr>
          <w:p w14:paraId="0978FE3C" w14:textId="0ACDD709" w:rsidR="004078AD" w:rsidRPr="00F543A5" w:rsidRDefault="00866BB4" w:rsidP="000A5389">
            <w:pPr>
              <w:spacing w:line="240" w:lineRule="auto"/>
              <w:rPr>
                <w:rFonts w:eastAsia="Times New Roman" w:cs="Times New Roman"/>
                <w:color w:val="000000"/>
                <w:sz w:val="18"/>
                <w:szCs w:val="18"/>
                <w:lang w:eastAsia="es-CO"/>
              </w:rPr>
            </w:pPr>
            <w:r w:rsidRPr="00F543A5">
              <w:rPr>
                <w:rFonts w:eastAsia="Times New Roman" w:cs="Times New Roman"/>
                <w:color w:val="000000"/>
                <w:sz w:val="18"/>
                <w:szCs w:val="18"/>
                <w:lang w:eastAsia="es-CO"/>
              </w:rPr>
              <w:t>Concesión Ruta Al Mar S.A.S.</w:t>
            </w:r>
          </w:p>
        </w:tc>
        <w:tc>
          <w:tcPr>
            <w:tcW w:w="1056" w:type="pct"/>
            <w:vAlign w:val="center"/>
            <w:hideMark/>
          </w:tcPr>
          <w:p w14:paraId="01BDEA2A" w14:textId="77777777" w:rsidR="004078AD" w:rsidRPr="00F543A5" w:rsidRDefault="004078AD" w:rsidP="000A5389">
            <w:pPr>
              <w:spacing w:line="240" w:lineRule="auto"/>
              <w:jc w:val="center"/>
              <w:rPr>
                <w:rFonts w:eastAsia="Times New Roman" w:cs="Times New Roman"/>
                <w:color w:val="000000"/>
                <w:sz w:val="18"/>
                <w:szCs w:val="18"/>
                <w:lang w:eastAsia="es-CO"/>
              </w:rPr>
            </w:pPr>
            <w:r w:rsidRPr="00F543A5">
              <w:rPr>
                <w:rFonts w:eastAsia="Times New Roman" w:cs="Times New Roman"/>
                <w:color w:val="000000"/>
                <w:sz w:val="18"/>
                <w:szCs w:val="18"/>
                <w:lang w:eastAsia="es-CO"/>
              </w:rPr>
              <w:t>Case 01-23-0002-8303</w:t>
            </w:r>
          </w:p>
        </w:tc>
        <w:tc>
          <w:tcPr>
            <w:tcW w:w="1384" w:type="pct"/>
            <w:vAlign w:val="center"/>
            <w:hideMark/>
          </w:tcPr>
          <w:p w14:paraId="6DCD00BB" w14:textId="77777777" w:rsidR="004078AD" w:rsidRPr="00F543A5" w:rsidRDefault="004078AD" w:rsidP="000A5389">
            <w:pPr>
              <w:spacing w:line="240" w:lineRule="auto"/>
              <w:rPr>
                <w:rFonts w:eastAsia="Times New Roman" w:cs="Times New Roman"/>
                <w:color w:val="000000"/>
                <w:sz w:val="18"/>
                <w:szCs w:val="18"/>
                <w:lang w:eastAsia="es-CO"/>
              </w:rPr>
            </w:pPr>
            <w:r w:rsidRPr="00F543A5">
              <w:rPr>
                <w:rFonts w:eastAsia="Times New Roman" w:cs="Times New Roman"/>
                <w:color w:val="000000"/>
                <w:sz w:val="18"/>
                <w:szCs w:val="18"/>
                <w:lang w:eastAsia="es-CO"/>
              </w:rPr>
              <w:t>Orden Procesal No. 6 del 15 de agosto de 2025 emitida por el Tribunal.</w:t>
            </w:r>
          </w:p>
        </w:tc>
        <w:tc>
          <w:tcPr>
            <w:tcW w:w="908" w:type="pct"/>
            <w:vAlign w:val="center"/>
            <w:hideMark/>
          </w:tcPr>
          <w:p w14:paraId="6CA1FDF8" w14:textId="6A2C33D3" w:rsidR="004078AD" w:rsidRPr="00F543A5" w:rsidRDefault="004078AD" w:rsidP="000A5389">
            <w:pPr>
              <w:spacing w:line="240" w:lineRule="auto"/>
              <w:jc w:val="right"/>
              <w:rPr>
                <w:rFonts w:eastAsia="Times New Roman" w:cs="Times New Roman"/>
                <w:color w:val="000000"/>
                <w:sz w:val="18"/>
                <w:szCs w:val="18"/>
                <w:lang w:eastAsia="es-CO"/>
              </w:rPr>
            </w:pPr>
            <w:r w:rsidRPr="00F543A5">
              <w:rPr>
                <w:rFonts w:eastAsia="Times New Roman" w:cs="Times New Roman"/>
                <w:color w:val="000000"/>
                <w:sz w:val="18"/>
                <w:szCs w:val="18"/>
                <w:lang w:eastAsia="es-CO"/>
              </w:rPr>
              <w:t xml:space="preserve">147.887.671 </w:t>
            </w:r>
          </w:p>
        </w:tc>
      </w:tr>
      <w:tr w:rsidR="004078AD" w:rsidRPr="00F543A5" w14:paraId="3AA4AE62" w14:textId="77777777" w:rsidTr="00E12FCB">
        <w:trPr>
          <w:trHeight w:val="225"/>
          <w:jc w:val="center"/>
        </w:trPr>
        <w:tc>
          <w:tcPr>
            <w:tcW w:w="1652" w:type="pct"/>
            <w:gridSpan w:val="2"/>
            <w:noWrap/>
            <w:vAlign w:val="bottom"/>
            <w:hideMark/>
          </w:tcPr>
          <w:p w14:paraId="122A7785" w14:textId="77777777" w:rsidR="004078AD" w:rsidRPr="00F543A5" w:rsidRDefault="004078AD" w:rsidP="000A5389">
            <w:pPr>
              <w:spacing w:line="240" w:lineRule="auto"/>
              <w:jc w:val="center"/>
              <w:rPr>
                <w:rFonts w:eastAsia="Times New Roman" w:cs="Times New Roman"/>
                <w:b/>
                <w:bCs/>
                <w:color w:val="000000"/>
                <w:sz w:val="18"/>
                <w:szCs w:val="18"/>
                <w:lang w:eastAsia="es-CO"/>
              </w:rPr>
            </w:pPr>
            <w:r w:rsidRPr="00F543A5">
              <w:rPr>
                <w:rFonts w:eastAsia="Times New Roman" w:cs="Times New Roman"/>
                <w:b/>
                <w:bCs/>
                <w:color w:val="000000"/>
                <w:sz w:val="18"/>
                <w:szCs w:val="18"/>
                <w:lang w:eastAsia="es-CO"/>
              </w:rPr>
              <w:t>TOTAL</w:t>
            </w:r>
          </w:p>
        </w:tc>
        <w:tc>
          <w:tcPr>
            <w:tcW w:w="1056" w:type="pct"/>
            <w:noWrap/>
            <w:vAlign w:val="bottom"/>
            <w:hideMark/>
          </w:tcPr>
          <w:p w14:paraId="0237D262" w14:textId="77777777" w:rsidR="004078AD" w:rsidRPr="00F543A5" w:rsidRDefault="004078AD" w:rsidP="000A5389">
            <w:pPr>
              <w:spacing w:line="240" w:lineRule="auto"/>
              <w:jc w:val="center"/>
              <w:rPr>
                <w:rFonts w:eastAsia="Times New Roman" w:cs="Times New Roman"/>
                <w:b/>
                <w:bCs/>
                <w:color w:val="000000"/>
                <w:sz w:val="18"/>
                <w:szCs w:val="18"/>
                <w:lang w:eastAsia="es-CO"/>
              </w:rPr>
            </w:pPr>
            <w:r w:rsidRPr="00F543A5">
              <w:rPr>
                <w:rFonts w:eastAsia="Times New Roman" w:cs="Times New Roman"/>
                <w:b/>
                <w:bCs/>
                <w:color w:val="000000"/>
                <w:sz w:val="18"/>
                <w:szCs w:val="18"/>
                <w:lang w:eastAsia="es-CO"/>
              </w:rPr>
              <w:t> </w:t>
            </w:r>
          </w:p>
        </w:tc>
        <w:tc>
          <w:tcPr>
            <w:tcW w:w="1384" w:type="pct"/>
            <w:noWrap/>
            <w:vAlign w:val="bottom"/>
            <w:hideMark/>
          </w:tcPr>
          <w:p w14:paraId="328E9B65" w14:textId="77777777" w:rsidR="004078AD" w:rsidRPr="00F543A5" w:rsidRDefault="004078AD" w:rsidP="000A5389">
            <w:pPr>
              <w:spacing w:line="240" w:lineRule="auto"/>
              <w:jc w:val="center"/>
              <w:rPr>
                <w:rFonts w:eastAsia="Times New Roman" w:cs="Times New Roman"/>
                <w:b/>
                <w:bCs/>
                <w:color w:val="000000"/>
                <w:sz w:val="18"/>
                <w:szCs w:val="18"/>
                <w:lang w:eastAsia="es-CO"/>
              </w:rPr>
            </w:pPr>
            <w:r w:rsidRPr="00F543A5">
              <w:rPr>
                <w:rFonts w:eastAsia="Times New Roman" w:cs="Times New Roman"/>
                <w:b/>
                <w:bCs/>
                <w:color w:val="000000"/>
                <w:sz w:val="18"/>
                <w:szCs w:val="18"/>
                <w:lang w:eastAsia="es-CO"/>
              </w:rPr>
              <w:t> </w:t>
            </w:r>
          </w:p>
        </w:tc>
        <w:tc>
          <w:tcPr>
            <w:tcW w:w="908" w:type="pct"/>
            <w:noWrap/>
            <w:vAlign w:val="center"/>
            <w:hideMark/>
          </w:tcPr>
          <w:p w14:paraId="23EC4876" w14:textId="0B6A0B13" w:rsidR="004078AD" w:rsidRPr="00F543A5" w:rsidRDefault="004078AD" w:rsidP="000A5389">
            <w:pPr>
              <w:spacing w:line="240" w:lineRule="auto"/>
              <w:jc w:val="right"/>
              <w:rPr>
                <w:rFonts w:eastAsia="Times New Roman" w:cs="Times New Roman"/>
                <w:b/>
                <w:bCs/>
                <w:color w:val="000000"/>
                <w:sz w:val="18"/>
                <w:szCs w:val="18"/>
                <w:lang w:eastAsia="es-CO"/>
              </w:rPr>
            </w:pPr>
            <w:r w:rsidRPr="00F543A5">
              <w:rPr>
                <w:rFonts w:eastAsia="Times New Roman" w:cs="Times New Roman"/>
                <w:b/>
                <w:bCs/>
                <w:color w:val="000000"/>
                <w:sz w:val="18"/>
                <w:szCs w:val="18"/>
                <w:lang w:eastAsia="es-CO"/>
              </w:rPr>
              <w:t xml:space="preserve">5.211.238.969 </w:t>
            </w:r>
          </w:p>
        </w:tc>
      </w:tr>
    </w:tbl>
    <w:p w14:paraId="5AC2C56F" w14:textId="12BF814C" w:rsidR="004078AD" w:rsidRPr="00951AB1" w:rsidRDefault="004078AD" w:rsidP="000A5389">
      <w:pPr>
        <w:spacing w:line="240" w:lineRule="auto"/>
        <w:rPr>
          <w:rFonts w:cs="Times New Roman"/>
          <w:b/>
          <w:bCs/>
          <w:sz w:val="14"/>
          <w:szCs w:val="14"/>
        </w:rPr>
      </w:pPr>
      <w:r w:rsidRPr="00951AB1">
        <w:rPr>
          <w:rFonts w:cs="Times New Roman"/>
          <w:szCs w:val="24"/>
        </w:rPr>
        <w:t xml:space="preserve">   </w:t>
      </w:r>
      <w:r w:rsidRPr="00951AB1">
        <w:rPr>
          <w:rFonts w:cs="Times New Roman"/>
          <w:sz w:val="14"/>
          <w:szCs w:val="14"/>
        </w:rPr>
        <w:t>Cifras expresadas en pesos</w:t>
      </w:r>
    </w:p>
    <w:p w14:paraId="7D1D1960" w14:textId="17A71BF0" w:rsidR="004078AD" w:rsidRPr="00951AB1" w:rsidRDefault="004078AD" w:rsidP="000A5389">
      <w:pPr>
        <w:spacing w:line="240" w:lineRule="auto"/>
        <w:ind w:left="284"/>
        <w:rPr>
          <w:rFonts w:cs="Times New Roman"/>
          <w:b/>
          <w:szCs w:val="24"/>
          <w:highlight w:val="cyan"/>
        </w:rPr>
      </w:pPr>
    </w:p>
    <w:p w14:paraId="606360D9" w14:textId="77777777" w:rsidR="004078AD" w:rsidRPr="00951AB1" w:rsidRDefault="004078AD" w:rsidP="000A5389">
      <w:pPr>
        <w:spacing w:line="240" w:lineRule="auto"/>
        <w:rPr>
          <w:rFonts w:cs="Times New Roman"/>
          <w:szCs w:val="24"/>
        </w:rPr>
      </w:pPr>
      <w:r w:rsidRPr="00951AB1">
        <w:rPr>
          <w:rFonts w:cs="Times New Roman"/>
          <w:szCs w:val="24"/>
        </w:rPr>
        <w:t xml:space="preserve">Estas cuentas por pagar a 31 de diciembre de 2025 quedaron con Registro de Obligación Presupuestal y serán canceladas en el primer trimestre de 2026. </w:t>
      </w:r>
    </w:p>
    <w:p w14:paraId="5F87511A" w14:textId="77777777" w:rsidR="004078AD" w:rsidRPr="00951AB1" w:rsidRDefault="004078AD" w:rsidP="000A5389">
      <w:pPr>
        <w:spacing w:line="240" w:lineRule="auto"/>
        <w:rPr>
          <w:rFonts w:cs="Times New Roman"/>
          <w:szCs w:val="24"/>
        </w:rPr>
      </w:pPr>
    </w:p>
    <w:p w14:paraId="653F3E57" w14:textId="77777777" w:rsidR="004078AD" w:rsidRPr="00951AB1" w:rsidRDefault="004078AD" w:rsidP="000A5389">
      <w:pPr>
        <w:spacing w:line="240" w:lineRule="auto"/>
        <w:rPr>
          <w:rFonts w:cs="Times New Roman"/>
          <w:b/>
          <w:bCs/>
          <w:i/>
          <w:iCs/>
          <w:szCs w:val="24"/>
        </w:rPr>
      </w:pPr>
      <w:r w:rsidRPr="00951AB1">
        <w:rPr>
          <w:rFonts w:cs="Times New Roman"/>
          <w:b/>
          <w:bCs/>
          <w:i/>
          <w:iCs/>
          <w:szCs w:val="24"/>
        </w:rPr>
        <w:t>Laudos Arbitrales pagados en su totalidad y otros pagos realizados en la vigencia 2025</w:t>
      </w:r>
    </w:p>
    <w:p w14:paraId="3FE0E6D7" w14:textId="77777777" w:rsidR="004078AD" w:rsidRPr="00951AB1" w:rsidRDefault="004078AD" w:rsidP="000A5389">
      <w:pPr>
        <w:pStyle w:val="Prrafodelista"/>
        <w:autoSpaceDE w:val="0"/>
        <w:autoSpaceDN w:val="0"/>
        <w:adjustRightInd w:val="0"/>
        <w:spacing w:line="240" w:lineRule="auto"/>
        <w:ind w:left="0"/>
        <w:rPr>
          <w:rFonts w:eastAsia="Arial" w:cs="Times New Roman"/>
          <w:szCs w:val="24"/>
        </w:rPr>
      </w:pPr>
      <w:r w:rsidRPr="00951AB1">
        <w:rPr>
          <w:rFonts w:cs="Times New Roman"/>
          <w:szCs w:val="24"/>
        </w:rPr>
        <w:t>El saldo de la subcuenta contable 246003001 Laudos arbitrales, por valor de $37.878.917.586, a nombre de la Concesión Vías del Nus S.A.S, Nit 900.920.562, del proyecto IP Vías del Nus, contrato de concesión No. 001 de 2016, por el Laudo Arbitral No. 135526 del 07 de noviembre de 2023, y resolución de aclaraciones y complementaciones del 20 de noviembre de 2023</w:t>
      </w:r>
      <w:r w:rsidRPr="00951AB1">
        <w:rPr>
          <w:rFonts w:eastAsia="Arial" w:cs="Times New Roman"/>
          <w:szCs w:val="24"/>
        </w:rPr>
        <w:t xml:space="preserve">, fue cancelada en su totalidad en el mes de septiembre de 2025, con la Resolución No. 2458 del 29 de septiembre de 025 </w:t>
      </w:r>
      <w:r w:rsidRPr="00951AB1">
        <w:rPr>
          <w:rFonts w:eastAsia="Arial" w:cs="Times New Roman"/>
          <w:i/>
          <w:iCs/>
          <w:szCs w:val="24"/>
        </w:rPr>
        <w:t>“Por la cual se reconoce el saldo pendiente del valor total del laudo arbitral del 7 de noviembre de 2023, proferido dentro del trámite con radicación 135526, como deuda pública de la Nación y se ordena su pago mediante la emisión de «Títulos de Tesorería TES Clase B”.</w:t>
      </w:r>
    </w:p>
    <w:p w14:paraId="76C39538" w14:textId="77777777" w:rsidR="004078AD" w:rsidRPr="00951AB1" w:rsidRDefault="004078AD" w:rsidP="000A5389">
      <w:pPr>
        <w:autoSpaceDE w:val="0"/>
        <w:autoSpaceDN w:val="0"/>
        <w:adjustRightInd w:val="0"/>
        <w:spacing w:line="240" w:lineRule="auto"/>
        <w:rPr>
          <w:rFonts w:cs="Times New Roman"/>
          <w:color w:val="000000"/>
        </w:rPr>
      </w:pPr>
      <w:r w:rsidRPr="00951AB1">
        <w:rPr>
          <w:rFonts w:eastAsia="Arial" w:cs="Times New Roman"/>
          <w:szCs w:val="24"/>
        </w:rPr>
        <w:t xml:space="preserve">Así mismo, y con el pago total de la deuda, la </w:t>
      </w:r>
      <w:r w:rsidRPr="00951AB1">
        <w:rPr>
          <w:rFonts w:cs="Times New Roman"/>
          <w:color w:val="000000"/>
        </w:rPr>
        <w:t>Concesión Vías del Nus S.A.S Nit. 900.920.562, condonó los intereses corrientes que se tenían causado a 30 de septiembre de 2025 por valor de $9.214.856.608, y que se tenían registrados contablemente en la subcuenta contable 246092001-</w:t>
      </w:r>
      <w:r w:rsidRPr="00951AB1">
        <w:rPr>
          <w:rFonts w:cs="Times New Roman"/>
        </w:rPr>
        <w:t xml:space="preserve"> </w:t>
      </w:r>
      <w:r w:rsidRPr="00951AB1">
        <w:rPr>
          <w:rFonts w:cs="Times New Roman"/>
          <w:color w:val="000000"/>
        </w:rPr>
        <w:t xml:space="preserve">Intereses de laudos arbitrales y conciliaciones extrajudiciales. La </w:t>
      </w:r>
      <w:r w:rsidRPr="00951AB1">
        <w:rPr>
          <w:rFonts w:cs="Times New Roman"/>
          <w:color w:val="000000"/>
        </w:rPr>
        <w:lastRenderedPageBreak/>
        <w:t>contrapartida se produjo con las subcuentas contables 580453001- Intereses de laudos arbitrales y conciliaciones extrajudiciales por valor de $1.636.820.920 y 480220006 -</w:t>
      </w:r>
      <w:r w:rsidRPr="00951AB1">
        <w:rPr>
          <w:rFonts w:cs="Times New Roman"/>
        </w:rPr>
        <w:t xml:space="preserve"> </w:t>
      </w:r>
      <w:r w:rsidRPr="00951AB1">
        <w:rPr>
          <w:rFonts w:cs="Times New Roman"/>
          <w:color w:val="000000"/>
        </w:rPr>
        <w:t>Ganancia por bajas en cuentas de cuentas por pagar - Créditos Judiciales por valor de $7.578.035.688.</w:t>
      </w:r>
    </w:p>
    <w:p w14:paraId="48408D0A" w14:textId="77777777" w:rsidR="004078AD" w:rsidRPr="00951AB1" w:rsidRDefault="004078AD" w:rsidP="000A5389">
      <w:pPr>
        <w:pStyle w:val="Prrafodelista"/>
        <w:autoSpaceDE w:val="0"/>
        <w:autoSpaceDN w:val="0"/>
        <w:adjustRightInd w:val="0"/>
        <w:spacing w:line="240" w:lineRule="auto"/>
        <w:ind w:left="0"/>
        <w:rPr>
          <w:rFonts w:eastAsia="Arial" w:cs="Times New Roman"/>
          <w:szCs w:val="24"/>
        </w:rPr>
      </w:pPr>
    </w:p>
    <w:p w14:paraId="6F6F90AC" w14:textId="77777777" w:rsidR="004078AD" w:rsidRPr="00951AB1" w:rsidRDefault="004078AD" w:rsidP="000A5389">
      <w:pPr>
        <w:pStyle w:val="Prrafodelista"/>
        <w:spacing w:line="240" w:lineRule="auto"/>
        <w:ind w:left="0"/>
        <w:rPr>
          <w:rFonts w:cs="Times New Roman"/>
          <w:szCs w:val="24"/>
        </w:rPr>
      </w:pPr>
      <w:r w:rsidRPr="00951AB1">
        <w:rPr>
          <w:rFonts w:eastAsia="Arial" w:cs="Times New Roman"/>
          <w:szCs w:val="24"/>
        </w:rPr>
        <w:t>A la deuda reconocida a nombre de Vía Pacifico S A S En Liquidación, del proyecto Vía al Puerto, c</w:t>
      </w:r>
      <w:r w:rsidRPr="00951AB1">
        <w:rPr>
          <w:rFonts w:cs="Times New Roman"/>
          <w:szCs w:val="24"/>
        </w:rPr>
        <w:t xml:space="preserve">ontrato de concesión No. 003 </w:t>
      </w:r>
      <w:r w:rsidRPr="00951AB1">
        <w:rPr>
          <w:rFonts w:eastAsia="Arial" w:cs="Times New Roman"/>
          <w:szCs w:val="24"/>
        </w:rPr>
        <w:t>del 6 de julio de 2016, por el Laudo Arbitral No. 123019 del 08/07/2022, Auto 51 del 06/07/2022, ejecutoriado el 07/07/2022, el 18 de marzo de 2025, s</w:t>
      </w:r>
      <w:r w:rsidRPr="00951AB1">
        <w:rPr>
          <w:rFonts w:cs="Times New Roman"/>
          <w:szCs w:val="24"/>
        </w:rPr>
        <w:t xml:space="preserve">e le realizó un abono a capital por $1.307.186.397 desde la cuenta de sentencias y conciliaciones, más $11.600.000 por condena de costas. </w:t>
      </w:r>
    </w:p>
    <w:p w14:paraId="260E00BC" w14:textId="77777777" w:rsidR="004078AD" w:rsidRPr="00951AB1" w:rsidRDefault="004078AD" w:rsidP="000A5389">
      <w:pPr>
        <w:spacing w:line="240" w:lineRule="auto"/>
        <w:rPr>
          <w:rFonts w:cs="Times New Roman"/>
          <w:szCs w:val="24"/>
        </w:rPr>
      </w:pPr>
    </w:p>
    <w:p w14:paraId="023EF5A8" w14:textId="77777777" w:rsidR="004078AD" w:rsidRPr="00951AB1" w:rsidRDefault="004078AD" w:rsidP="000A5389">
      <w:pPr>
        <w:pStyle w:val="Prrafodelista"/>
        <w:autoSpaceDE w:val="0"/>
        <w:autoSpaceDN w:val="0"/>
        <w:adjustRightInd w:val="0"/>
        <w:spacing w:line="240" w:lineRule="auto"/>
        <w:ind w:left="0"/>
        <w:rPr>
          <w:rFonts w:cs="Times New Roman"/>
          <w:szCs w:val="24"/>
        </w:rPr>
      </w:pPr>
      <w:r w:rsidRPr="00951AB1">
        <w:rPr>
          <w:rFonts w:cs="Times New Roman"/>
          <w:szCs w:val="24"/>
        </w:rPr>
        <w:t xml:space="preserve">A la deuda reconocida a nombre de Concesión Santa Marta Paraguachón S.A., del proyecto Santa Marta Riohacha Paraguachón, contrato de concesión No. 445 de 1994, por el Laudo Arbitral No. 141971, Auto No. 86 del 26/05/2025 ejecutoriado el 30/05/2025, se </w:t>
      </w:r>
      <w:r w:rsidRPr="00951AB1">
        <w:rPr>
          <w:rFonts w:cs="Times New Roman"/>
          <w:color w:val="000000"/>
          <w:szCs w:val="24"/>
        </w:rPr>
        <w:t xml:space="preserve">le realizaron dos abonos con recursos del Fondo de Contingencias de las Entidades Estatales, uno por valor de $1.239.737.799 realizado el 22 de septiembre de 2025, correspondiente al Acta No. 4 del Decreto 050, y otro por valor de $288.568.100 realizado en el mes de diciembre de 2025, con orden de pago 660, por la contingencia del pago Decreto 050. </w:t>
      </w:r>
    </w:p>
    <w:p w14:paraId="502E5622" w14:textId="77777777" w:rsidR="004078AD" w:rsidRPr="00951AB1" w:rsidRDefault="004078AD" w:rsidP="000A5389">
      <w:pPr>
        <w:spacing w:line="240" w:lineRule="auto"/>
        <w:rPr>
          <w:rFonts w:cs="Times New Roman"/>
          <w:szCs w:val="24"/>
        </w:rPr>
      </w:pPr>
    </w:p>
    <w:p w14:paraId="5E006132" w14:textId="5BFFDEF2" w:rsidR="00DB5A0C" w:rsidRPr="00951AB1" w:rsidRDefault="00983643" w:rsidP="000A5389">
      <w:pPr>
        <w:pStyle w:val="Ttulo3"/>
        <w:numPr>
          <w:ilvl w:val="2"/>
          <w:numId w:val="27"/>
        </w:numPr>
        <w:tabs>
          <w:tab w:val="left" w:pos="851"/>
        </w:tabs>
        <w:spacing w:line="240" w:lineRule="auto"/>
        <w:rPr>
          <w:rFonts w:cs="Times New Roman"/>
          <w:color w:val="1F3864" w:themeColor="accent1" w:themeShade="80"/>
        </w:rPr>
      </w:pPr>
      <w:bookmarkStart w:id="528" w:name="_Toc191369537"/>
      <w:bookmarkStart w:id="529" w:name="_Toc191456867"/>
      <w:bookmarkStart w:id="530" w:name="_Toc191456977"/>
      <w:bookmarkStart w:id="531" w:name="_Toc191457087"/>
      <w:bookmarkStart w:id="532" w:name="_Toc191475714"/>
      <w:bookmarkStart w:id="533" w:name="_Toc191475823"/>
      <w:bookmarkStart w:id="534" w:name="_Toc191475932"/>
      <w:bookmarkStart w:id="535" w:name="_Toc191475455"/>
      <w:bookmarkStart w:id="536" w:name="_Toc191505831"/>
      <w:bookmarkStart w:id="537" w:name="_Toc222824139"/>
      <w:r w:rsidRPr="00951AB1">
        <w:rPr>
          <w:rFonts w:cs="Times New Roman"/>
          <w:color w:val="1F3864" w:themeColor="accent1" w:themeShade="80"/>
        </w:rPr>
        <w:t xml:space="preserve"> </w:t>
      </w:r>
      <w:r w:rsidRPr="00951AB1">
        <w:rPr>
          <w:rFonts w:cs="Times New Roman"/>
        </w:rPr>
        <w:tab/>
      </w:r>
      <w:bookmarkStart w:id="538" w:name="_Toc222955507"/>
      <w:r w:rsidR="00DB5A0C" w:rsidRPr="00951AB1">
        <w:rPr>
          <w:rFonts w:cs="Times New Roman"/>
          <w:color w:val="1F3864" w:themeColor="accent1" w:themeShade="80"/>
        </w:rPr>
        <w:t>Otras cuentas por pagar</w:t>
      </w:r>
      <w:bookmarkEnd w:id="528"/>
      <w:bookmarkEnd w:id="529"/>
      <w:bookmarkEnd w:id="530"/>
      <w:bookmarkEnd w:id="531"/>
      <w:bookmarkEnd w:id="532"/>
      <w:bookmarkEnd w:id="533"/>
      <w:bookmarkEnd w:id="534"/>
      <w:bookmarkEnd w:id="535"/>
      <w:bookmarkEnd w:id="536"/>
      <w:bookmarkEnd w:id="537"/>
      <w:bookmarkEnd w:id="538"/>
    </w:p>
    <w:p w14:paraId="4F9DA8EF" w14:textId="77777777" w:rsidR="00DB5A0C" w:rsidRPr="00951AB1" w:rsidRDefault="00DB5A0C" w:rsidP="000A5389">
      <w:pPr>
        <w:spacing w:line="240" w:lineRule="auto"/>
        <w:rPr>
          <w:rFonts w:cs="Times New Roman"/>
          <w:szCs w:val="24"/>
        </w:rPr>
      </w:pPr>
    </w:p>
    <w:p w14:paraId="54FB3672" w14:textId="773F901C" w:rsidR="00DB5A0C" w:rsidRPr="00951AB1" w:rsidRDefault="00DB5A0C" w:rsidP="000A5389">
      <w:pPr>
        <w:spacing w:line="240" w:lineRule="auto"/>
        <w:rPr>
          <w:rFonts w:cs="Times New Roman"/>
          <w:szCs w:val="24"/>
        </w:rPr>
      </w:pPr>
      <w:r w:rsidRPr="00951AB1">
        <w:rPr>
          <w:rFonts w:cs="Times New Roman"/>
          <w:szCs w:val="24"/>
        </w:rPr>
        <w:t>En otras cuentas por pagar se reflejan los siguientes conceptos:</w:t>
      </w:r>
    </w:p>
    <w:p w14:paraId="6DE6E20F" w14:textId="63D0EB49" w:rsidR="000C4FB1" w:rsidRPr="00951AB1" w:rsidRDefault="000C4FB1" w:rsidP="000A5389">
      <w:pPr>
        <w:spacing w:line="240" w:lineRule="auto"/>
        <w:rPr>
          <w:rFonts w:cs="Times New Roman"/>
          <w:szCs w:val="24"/>
        </w:rPr>
      </w:pPr>
    </w:p>
    <w:tbl>
      <w:tblPr>
        <w:tblW w:w="9151"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CellMar>
          <w:left w:w="70" w:type="dxa"/>
          <w:right w:w="70" w:type="dxa"/>
        </w:tblCellMar>
        <w:tblLook w:val="04A0" w:firstRow="1" w:lastRow="0" w:firstColumn="1" w:lastColumn="0" w:noHBand="0" w:noVBand="1"/>
      </w:tblPr>
      <w:tblGrid>
        <w:gridCol w:w="2087"/>
        <w:gridCol w:w="579"/>
        <w:gridCol w:w="1003"/>
        <w:gridCol w:w="1713"/>
        <w:gridCol w:w="709"/>
        <w:gridCol w:w="752"/>
        <w:gridCol w:w="1465"/>
        <w:gridCol w:w="843"/>
      </w:tblGrid>
      <w:tr w:rsidR="00240AB6" w:rsidRPr="00F543A5" w14:paraId="368C55EB" w14:textId="77777777" w:rsidTr="001B10F3">
        <w:trPr>
          <w:trHeight w:val="341"/>
          <w:tblHeader/>
        </w:trPr>
        <w:tc>
          <w:tcPr>
            <w:tcW w:w="5382" w:type="dxa"/>
            <w:gridSpan w:val="4"/>
            <w:vMerge w:val="restart"/>
            <w:vAlign w:val="center"/>
            <w:hideMark/>
          </w:tcPr>
          <w:p w14:paraId="480AA8A0" w14:textId="77777777" w:rsidR="002E4917" w:rsidRPr="00F543A5" w:rsidRDefault="002E4917" w:rsidP="000A5389">
            <w:pPr>
              <w:spacing w:line="240" w:lineRule="auto"/>
              <w:jc w:val="center"/>
              <w:rPr>
                <w:rFonts w:eastAsia="Times New Roman" w:cs="Times New Roman"/>
                <w:b/>
                <w:kern w:val="0"/>
                <w:sz w:val="16"/>
                <w:szCs w:val="16"/>
                <w:lang w:eastAsia="es-CO"/>
                <w14:ligatures w14:val="none"/>
              </w:rPr>
            </w:pPr>
            <w:r w:rsidRPr="00F543A5">
              <w:rPr>
                <w:rFonts w:eastAsia="Times New Roman" w:cs="Times New Roman"/>
                <w:b/>
                <w:kern w:val="0"/>
                <w:sz w:val="16"/>
                <w:szCs w:val="16"/>
                <w:lang w:eastAsia="es-CO"/>
                <w14:ligatures w14:val="none"/>
              </w:rPr>
              <w:t>ASOCIACIÓN DE DATOS</w:t>
            </w:r>
          </w:p>
        </w:tc>
        <w:tc>
          <w:tcPr>
            <w:tcW w:w="3769" w:type="dxa"/>
            <w:gridSpan w:val="4"/>
            <w:vAlign w:val="center"/>
            <w:hideMark/>
          </w:tcPr>
          <w:p w14:paraId="5BF3E45B" w14:textId="77777777" w:rsidR="002E4917" w:rsidRPr="00F543A5" w:rsidRDefault="002E4917" w:rsidP="000A5389">
            <w:pPr>
              <w:spacing w:line="240" w:lineRule="auto"/>
              <w:jc w:val="center"/>
              <w:rPr>
                <w:rFonts w:eastAsia="Times New Roman" w:cs="Times New Roman"/>
                <w:b/>
                <w:kern w:val="0"/>
                <w:sz w:val="16"/>
                <w:szCs w:val="16"/>
                <w:lang w:eastAsia="es-CO"/>
                <w14:ligatures w14:val="none"/>
              </w:rPr>
            </w:pPr>
            <w:r w:rsidRPr="00F543A5">
              <w:rPr>
                <w:rFonts w:eastAsia="Times New Roman" w:cs="Times New Roman"/>
                <w:b/>
                <w:kern w:val="0"/>
                <w:sz w:val="16"/>
                <w:szCs w:val="16"/>
                <w:lang w:eastAsia="es-CO"/>
                <w14:ligatures w14:val="none"/>
              </w:rPr>
              <w:t>DETALLES DE LA TRANSACCIÓN</w:t>
            </w:r>
            <w:r w:rsidRPr="00F543A5">
              <w:rPr>
                <w:rFonts w:eastAsia="Times New Roman" w:cs="Times New Roman"/>
                <w:b/>
                <w:kern w:val="0"/>
                <w:sz w:val="16"/>
                <w:szCs w:val="16"/>
                <w:lang w:eastAsia="es-CO"/>
                <w14:ligatures w14:val="none"/>
              </w:rPr>
              <w:br/>
              <w:t>(reporte agrupado por datos comunes de asociación)</w:t>
            </w:r>
          </w:p>
        </w:tc>
      </w:tr>
      <w:tr w:rsidR="007220B5" w:rsidRPr="00F543A5" w14:paraId="3DC62489" w14:textId="77777777" w:rsidTr="001B10F3">
        <w:trPr>
          <w:trHeight w:val="161"/>
        </w:trPr>
        <w:tc>
          <w:tcPr>
            <w:tcW w:w="5382" w:type="dxa"/>
            <w:gridSpan w:val="4"/>
            <w:vMerge/>
            <w:vAlign w:val="center"/>
            <w:hideMark/>
          </w:tcPr>
          <w:p w14:paraId="40C8F090" w14:textId="77777777" w:rsidR="002E4917" w:rsidRPr="00F543A5" w:rsidRDefault="002E4917" w:rsidP="000A5389">
            <w:pPr>
              <w:spacing w:line="240" w:lineRule="auto"/>
              <w:rPr>
                <w:rFonts w:eastAsia="Times New Roman" w:cs="Times New Roman"/>
                <w:b/>
                <w:kern w:val="0"/>
                <w:sz w:val="16"/>
                <w:szCs w:val="16"/>
                <w:lang w:eastAsia="es-CO"/>
                <w14:ligatures w14:val="none"/>
              </w:rPr>
            </w:pPr>
          </w:p>
        </w:tc>
        <w:tc>
          <w:tcPr>
            <w:tcW w:w="1461" w:type="dxa"/>
            <w:gridSpan w:val="2"/>
            <w:vAlign w:val="center"/>
            <w:hideMark/>
          </w:tcPr>
          <w:p w14:paraId="77C19622" w14:textId="77777777" w:rsidR="002E4917" w:rsidRPr="00F543A5" w:rsidRDefault="002E4917" w:rsidP="000A5389">
            <w:pPr>
              <w:spacing w:line="240" w:lineRule="auto"/>
              <w:jc w:val="center"/>
              <w:rPr>
                <w:rFonts w:eastAsia="Times New Roman" w:cs="Times New Roman"/>
                <w:b/>
                <w:kern w:val="0"/>
                <w:sz w:val="16"/>
                <w:szCs w:val="16"/>
                <w:lang w:eastAsia="es-CO"/>
                <w14:ligatures w14:val="none"/>
              </w:rPr>
            </w:pPr>
            <w:r w:rsidRPr="00F543A5">
              <w:rPr>
                <w:rFonts w:eastAsia="Times New Roman" w:cs="Times New Roman"/>
                <w:b/>
                <w:kern w:val="0"/>
                <w:sz w:val="16"/>
                <w:szCs w:val="16"/>
                <w:lang w:eastAsia="es-CO"/>
                <w14:ligatures w14:val="none"/>
              </w:rPr>
              <w:t>PLAZO</w:t>
            </w:r>
            <w:r w:rsidRPr="00F543A5">
              <w:rPr>
                <w:rFonts w:eastAsia="Times New Roman" w:cs="Times New Roman"/>
                <w:b/>
                <w:kern w:val="0"/>
                <w:sz w:val="16"/>
                <w:szCs w:val="16"/>
                <w:lang w:eastAsia="es-CO"/>
                <w14:ligatures w14:val="none"/>
              </w:rPr>
              <w:br/>
              <w:t>(rango en # meses)</w:t>
            </w:r>
          </w:p>
        </w:tc>
        <w:tc>
          <w:tcPr>
            <w:tcW w:w="1465" w:type="dxa"/>
            <w:vMerge w:val="restart"/>
            <w:vAlign w:val="center"/>
            <w:hideMark/>
          </w:tcPr>
          <w:p w14:paraId="58A97DAD" w14:textId="77777777" w:rsidR="002E4917" w:rsidRPr="00F543A5" w:rsidRDefault="002E4917" w:rsidP="000A5389">
            <w:pPr>
              <w:spacing w:line="240" w:lineRule="auto"/>
              <w:jc w:val="center"/>
              <w:rPr>
                <w:rFonts w:eastAsia="Times New Roman" w:cs="Times New Roman"/>
                <w:b/>
                <w:kern w:val="0"/>
                <w:sz w:val="16"/>
                <w:szCs w:val="16"/>
                <w:lang w:eastAsia="es-CO"/>
                <w14:ligatures w14:val="none"/>
              </w:rPr>
            </w:pPr>
            <w:r w:rsidRPr="00F543A5">
              <w:rPr>
                <w:rFonts w:eastAsia="Times New Roman" w:cs="Times New Roman"/>
                <w:b/>
                <w:kern w:val="0"/>
                <w:sz w:val="16"/>
                <w:szCs w:val="16"/>
                <w:lang w:eastAsia="es-CO"/>
                <w14:ligatures w14:val="none"/>
              </w:rPr>
              <w:t>RESTRICCIONES</w:t>
            </w:r>
          </w:p>
        </w:tc>
        <w:tc>
          <w:tcPr>
            <w:tcW w:w="843" w:type="dxa"/>
            <w:vMerge w:val="restart"/>
            <w:vAlign w:val="center"/>
            <w:hideMark/>
          </w:tcPr>
          <w:p w14:paraId="79474244" w14:textId="77777777" w:rsidR="002E4917" w:rsidRPr="00F543A5" w:rsidRDefault="002E4917" w:rsidP="000A5389">
            <w:pPr>
              <w:spacing w:line="240" w:lineRule="auto"/>
              <w:jc w:val="center"/>
              <w:rPr>
                <w:rFonts w:eastAsia="Times New Roman" w:cs="Times New Roman"/>
                <w:b/>
                <w:kern w:val="0"/>
                <w:sz w:val="16"/>
                <w:szCs w:val="16"/>
                <w:lang w:eastAsia="es-CO"/>
                <w14:ligatures w14:val="none"/>
              </w:rPr>
            </w:pPr>
            <w:r w:rsidRPr="00F543A5">
              <w:rPr>
                <w:rFonts w:eastAsia="Times New Roman" w:cs="Times New Roman"/>
                <w:b/>
                <w:kern w:val="0"/>
                <w:sz w:val="16"/>
                <w:szCs w:val="16"/>
                <w:lang w:eastAsia="es-CO"/>
                <w14:ligatures w14:val="none"/>
              </w:rPr>
              <w:t>TASA DE INTERES</w:t>
            </w:r>
            <w:r w:rsidRPr="00F543A5">
              <w:rPr>
                <w:rFonts w:eastAsia="Times New Roman" w:cs="Times New Roman"/>
                <w:b/>
                <w:kern w:val="0"/>
                <w:sz w:val="16"/>
                <w:szCs w:val="16"/>
                <w:lang w:eastAsia="es-CO"/>
                <w14:ligatures w14:val="none"/>
              </w:rPr>
              <w:br/>
              <w:t>(%)</w:t>
            </w:r>
          </w:p>
        </w:tc>
      </w:tr>
      <w:tr w:rsidR="00562DA2" w:rsidRPr="00F543A5" w14:paraId="6E3B6F73" w14:textId="77777777" w:rsidTr="001B10F3">
        <w:trPr>
          <w:trHeight w:val="391"/>
        </w:trPr>
        <w:tc>
          <w:tcPr>
            <w:tcW w:w="2087" w:type="dxa"/>
            <w:vAlign w:val="center"/>
            <w:hideMark/>
          </w:tcPr>
          <w:p w14:paraId="75748318" w14:textId="77777777" w:rsidR="002E4917" w:rsidRPr="00F543A5" w:rsidRDefault="002E4917" w:rsidP="000A5389">
            <w:pPr>
              <w:spacing w:line="240" w:lineRule="auto"/>
              <w:jc w:val="center"/>
              <w:rPr>
                <w:rFonts w:eastAsia="Times New Roman" w:cs="Times New Roman"/>
                <w:b/>
                <w:kern w:val="0"/>
                <w:sz w:val="16"/>
                <w:szCs w:val="16"/>
                <w:lang w:eastAsia="es-CO"/>
                <w14:ligatures w14:val="none"/>
              </w:rPr>
            </w:pPr>
            <w:r w:rsidRPr="00F543A5">
              <w:rPr>
                <w:rFonts w:eastAsia="Times New Roman" w:cs="Times New Roman"/>
                <w:b/>
                <w:kern w:val="0"/>
                <w:sz w:val="16"/>
                <w:szCs w:val="16"/>
                <w:lang w:eastAsia="es-CO"/>
                <w14:ligatures w14:val="none"/>
              </w:rPr>
              <w:t>TIPO DE TERCEROS</w:t>
            </w:r>
          </w:p>
        </w:tc>
        <w:tc>
          <w:tcPr>
            <w:tcW w:w="579" w:type="dxa"/>
            <w:vAlign w:val="center"/>
            <w:hideMark/>
          </w:tcPr>
          <w:p w14:paraId="11D61C11" w14:textId="77777777" w:rsidR="002E4917" w:rsidRPr="00F543A5" w:rsidRDefault="002E4917" w:rsidP="000A5389">
            <w:pPr>
              <w:spacing w:line="240" w:lineRule="auto"/>
              <w:jc w:val="center"/>
              <w:rPr>
                <w:rFonts w:eastAsia="Times New Roman" w:cs="Times New Roman"/>
                <w:b/>
                <w:kern w:val="0"/>
                <w:sz w:val="16"/>
                <w:szCs w:val="16"/>
                <w:lang w:eastAsia="es-CO"/>
                <w14:ligatures w14:val="none"/>
              </w:rPr>
            </w:pPr>
            <w:r w:rsidRPr="00F543A5">
              <w:rPr>
                <w:rFonts w:eastAsia="Times New Roman" w:cs="Times New Roman"/>
                <w:b/>
                <w:kern w:val="0"/>
                <w:sz w:val="16"/>
                <w:szCs w:val="16"/>
                <w:lang w:eastAsia="es-CO"/>
                <w14:ligatures w14:val="none"/>
              </w:rPr>
              <w:t>PN / PJ / ECP</w:t>
            </w:r>
          </w:p>
        </w:tc>
        <w:tc>
          <w:tcPr>
            <w:tcW w:w="1003" w:type="dxa"/>
            <w:vAlign w:val="center"/>
            <w:hideMark/>
          </w:tcPr>
          <w:p w14:paraId="5DFF84D3" w14:textId="77777777" w:rsidR="002E4917" w:rsidRPr="00F543A5" w:rsidRDefault="002E4917" w:rsidP="000A5389">
            <w:pPr>
              <w:spacing w:line="240" w:lineRule="auto"/>
              <w:jc w:val="center"/>
              <w:rPr>
                <w:rFonts w:eastAsia="Times New Roman" w:cs="Times New Roman"/>
                <w:b/>
                <w:kern w:val="0"/>
                <w:sz w:val="16"/>
                <w:szCs w:val="16"/>
                <w:lang w:eastAsia="es-CO"/>
                <w14:ligatures w14:val="none"/>
              </w:rPr>
            </w:pPr>
            <w:r w:rsidRPr="00F543A5">
              <w:rPr>
                <w:rFonts w:eastAsia="Times New Roman" w:cs="Times New Roman"/>
                <w:b/>
                <w:kern w:val="0"/>
                <w:sz w:val="16"/>
                <w:szCs w:val="16"/>
                <w:lang w:eastAsia="es-CO"/>
                <w14:ligatures w14:val="none"/>
              </w:rPr>
              <w:t>CANTIDAD</w:t>
            </w:r>
          </w:p>
        </w:tc>
        <w:tc>
          <w:tcPr>
            <w:tcW w:w="1713" w:type="dxa"/>
            <w:vAlign w:val="center"/>
            <w:hideMark/>
          </w:tcPr>
          <w:p w14:paraId="2E978BE3" w14:textId="77777777" w:rsidR="002E4917" w:rsidRPr="00F543A5" w:rsidRDefault="002E4917" w:rsidP="000A5389">
            <w:pPr>
              <w:spacing w:line="240" w:lineRule="auto"/>
              <w:jc w:val="center"/>
              <w:rPr>
                <w:rFonts w:eastAsia="Times New Roman" w:cs="Times New Roman"/>
                <w:b/>
                <w:kern w:val="0"/>
                <w:sz w:val="16"/>
                <w:szCs w:val="16"/>
                <w:lang w:eastAsia="es-CO"/>
                <w14:ligatures w14:val="none"/>
              </w:rPr>
            </w:pPr>
            <w:r w:rsidRPr="00F543A5">
              <w:rPr>
                <w:rFonts w:eastAsia="Times New Roman" w:cs="Times New Roman"/>
                <w:b/>
                <w:kern w:val="0"/>
                <w:sz w:val="16"/>
                <w:szCs w:val="16"/>
                <w:lang w:eastAsia="es-CO"/>
                <w14:ligatures w14:val="none"/>
              </w:rPr>
              <w:t>VALOR EN LIBROS</w:t>
            </w:r>
          </w:p>
        </w:tc>
        <w:tc>
          <w:tcPr>
            <w:tcW w:w="709" w:type="dxa"/>
            <w:vAlign w:val="center"/>
            <w:hideMark/>
          </w:tcPr>
          <w:p w14:paraId="06DE5943" w14:textId="5F13422C" w:rsidR="002E4917" w:rsidRPr="00F543A5" w:rsidRDefault="002E4917" w:rsidP="000A5389">
            <w:pPr>
              <w:spacing w:line="240" w:lineRule="auto"/>
              <w:jc w:val="center"/>
              <w:rPr>
                <w:rFonts w:eastAsia="Times New Roman" w:cs="Times New Roman"/>
                <w:b/>
                <w:kern w:val="0"/>
                <w:sz w:val="16"/>
                <w:szCs w:val="16"/>
                <w:lang w:eastAsia="es-CO"/>
                <w14:ligatures w14:val="none"/>
              </w:rPr>
            </w:pPr>
            <w:r w:rsidRPr="00F543A5">
              <w:rPr>
                <w:rFonts w:eastAsia="Times New Roman" w:cs="Times New Roman"/>
                <w:b/>
                <w:kern w:val="0"/>
                <w:sz w:val="16"/>
                <w:szCs w:val="16"/>
                <w:lang w:eastAsia="es-CO"/>
                <w14:ligatures w14:val="none"/>
              </w:rPr>
              <w:t>MÍN</w:t>
            </w:r>
          </w:p>
        </w:tc>
        <w:tc>
          <w:tcPr>
            <w:tcW w:w="752" w:type="dxa"/>
            <w:vAlign w:val="center"/>
            <w:hideMark/>
          </w:tcPr>
          <w:p w14:paraId="1B1311FE" w14:textId="21F9CCD0" w:rsidR="002E4917" w:rsidRPr="00F543A5" w:rsidRDefault="002E4917" w:rsidP="000A5389">
            <w:pPr>
              <w:spacing w:line="240" w:lineRule="auto"/>
              <w:jc w:val="center"/>
              <w:rPr>
                <w:rFonts w:eastAsia="Times New Roman" w:cs="Times New Roman"/>
                <w:b/>
                <w:kern w:val="0"/>
                <w:sz w:val="16"/>
                <w:szCs w:val="16"/>
                <w:lang w:eastAsia="es-CO"/>
                <w14:ligatures w14:val="none"/>
              </w:rPr>
            </w:pPr>
            <w:r w:rsidRPr="00F543A5">
              <w:rPr>
                <w:rFonts w:eastAsia="Times New Roman" w:cs="Times New Roman"/>
                <w:b/>
                <w:kern w:val="0"/>
                <w:sz w:val="16"/>
                <w:szCs w:val="16"/>
                <w:lang w:eastAsia="es-CO"/>
                <w14:ligatures w14:val="none"/>
              </w:rPr>
              <w:t>MÁX</w:t>
            </w:r>
          </w:p>
        </w:tc>
        <w:tc>
          <w:tcPr>
            <w:tcW w:w="1465" w:type="dxa"/>
            <w:vMerge/>
            <w:vAlign w:val="center"/>
            <w:hideMark/>
          </w:tcPr>
          <w:p w14:paraId="45A60F05" w14:textId="77777777" w:rsidR="002E4917" w:rsidRPr="00F543A5" w:rsidRDefault="002E4917" w:rsidP="000A5389">
            <w:pPr>
              <w:spacing w:line="240" w:lineRule="auto"/>
              <w:rPr>
                <w:rFonts w:eastAsia="Times New Roman" w:cs="Times New Roman"/>
                <w:b/>
                <w:kern w:val="0"/>
                <w:sz w:val="16"/>
                <w:szCs w:val="16"/>
                <w:lang w:eastAsia="es-CO"/>
                <w14:ligatures w14:val="none"/>
              </w:rPr>
            </w:pPr>
          </w:p>
        </w:tc>
        <w:tc>
          <w:tcPr>
            <w:tcW w:w="843" w:type="dxa"/>
            <w:vMerge/>
            <w:vAlign w:val="center"/>
            <w:hideMark/>
          </w:tcPr>
          <w:p w14:paraId="0E9B132D" w14:textId="77777777" w:rsidR="002E4917" w:rsidRPr="00F543A5" w:rsidRDefault="002E4917" w:rsidP="000A5389">
            <w:pPr>
              <w:spacing w:line="240" w:lineRule="auto"/>
              <w:rPr>
                <w:rFonts w:eastAsia="Times New Roman" w:cs="Times New Roman"/>
                <w:b/>
                <w:kern w:val="0"/>
                <w:sz w:val="16"/>
                <w:szCs w:val="16"/>
                <w:lang w:eastAsia="es-CO"/>
                <w14:ligatures w14:val="none"/>
              </w:rPr>
            </w:pPr>
          </w:p>
        </w:tc>
      </w:tr>
      <w:tr w:rsidR="007220B5" w:rsidRPr="00F543A5" w14:paraId="7086F394" w14:textId="77777777" w:rsidTr="001B10F3">
        <w:trPr>
          <w:trHeight w:val="195"/>
        </w:trPr>
        <w:tc>
          <w:tcPr>
            <w:tcW w:w="2087" w:type="dxa"/>
            <w:noWrap/>
            <w:vAlign w:val="center"/>
            <w:hideMark/>
          </w:tcPr>
          <w:p w14:paraId="792F8144" w14:textId="77777777" w:rsidR="002E4917" w:rsidRPr="00F543A5" w:rsidRDefault="002E4917" w:rsidP="000A5389">
            <w:pPr>
              <w:spacing w:line="240" w:lineRule="auto"/>
              <w:rPr>
                <w:rFonts w:eastAsia="Times New Roman" w:cs="Times New Roman"/>
                <w:b/>
                <w:kern w:val="0"/>
                <w:sz w:val="16"/>
                <w:szCs w:val="16"/>
                <w:lang w:eastAsia="es-CO"/>
                <w14:ligatures w14:val="none"/>
              </w:rPr>
            </w:pPr>
            <w:r w:rsidRPr="00F543A5">
              <w:rPr>
                <w:rFonts w:eastAsia="Times New Roman" w:cs="Times New Roman"/>
                <w:b/>
                <w:kern w:val="0"/>
                <w:sz w:val="16"/>
                <w:szCs w:val="16"/>
                <w:lang w:eastAsia="es-CO"/>
                <w14:ligatures w14:val="none"/>
              </w:rPr>
              <w:t>OTRAS CUENTAS POR PAGAR</w:t>
            </w:r>
          </w:p>
        </w:tc>
        <w:tc>
          <w:tcPr>
            <w:tcW w:w="579" w:type="dxa"/>
            <w:noWrap/>
            <w:vAlign w:val="center"/>
            <w:hideMark/>
          </w:tcPr>
          <w:p w14:paraId="2E7EFC86" w14:textId="77777777" w:rsidR="002E4917" w:rsidRPr="00F543A5" w:rsidRDefault="002E4917" w:rsidP="000A5389">
            <w:pPr>
              <w:spacing w:line="240" w:lineRule="auto"/>
              <w:rPr>
                <w:rFonts w:eastAsia="Times New Roman" w:cs="Times New Roman"/>
                <w:b/>
                <w:kern w:val="0"/>
                <w:sz w:val="16"/>
                <w:szCs w:val="16"/>
                <w:lang w:eastAsia="es-CO"/>
                <w14:ligatures w14:val="none"/>
              </w:rPr>
            </w:pPr>
            <w:r w:rsidRPr="00F543A5">
              <w:rPr>
                <w:rFonts w:eastAsia="Times New Roman" w:cs="Times New Roman"/>
                <w:b/>
                <w:kern w:val="0"/>
                <w:sz w:val="16"/>
                <w:szCs w:val="16"/>
                <w:lang w:eastAsia="es-CO"/>
                <w14:ligatures w14:val="none"/>
              </w:rPr>
              <w:t> </w:t>
            </w:r>
          </w:p>
        </w:tc>
        <w:tc>
          <w:tcPr>
            <w:tcW w:w="1003" w:type="dxa"/>
            <w:noWrap/>
            <w:vAlign w:val="center"/>
            <w:hideMark/>
          </w:tcPr>
          <w:p w14:paraId="58AA6D08" w14:textId="77777777" w:rsidR="002E4917" w:rsidRPr="00F543A5" w:rsidRDefault="002E4917" w:rsidP="000A5389">
            <w:pPr>
              <w:spacing w:line="240" w:lineRule="auto"/>
              <w:rPr>
                <w:rFonts w:eastAsia="Times New Roman" w:cs="Times New Roman"/>
                <w:b/>
                <w:kern w:val="0"/>
                <w:sz w:val="16"/>
                <w:szCs w:val="16"/>
                <w:lang w:eastAsia="es-CO"/>
                <w14:ligatures w14:val="none"/>
              </w:rPr>
            </w:pPr>
            <w:r w:rsidRPr="00F543A5">
              <w:rPr>
                <w:rFonts w:eastAsia="Times New Roman" w:cs="Times New Roman"/>
                <w:b/>
                <w:kern w:val="0"/>
                <w:sz w:val="16"/>
                <w:szCs w:val="16"/>
                <w:lang w:eastAsia="es-CO"/>
                <w14:ligatures w14:val="none"/>
              </w:rPr>
              <w:t> </w:t>
            </w:r>
          </w:p>
        </w:tc>
        <w:tc>
          <w:tcPr>
            <w:tcW w:w="1713" w:type="dxa"/>
            <w:noWrap/>
            <w:vAlign w:val="center"/>
            <w:hideMark/>
          </w:tcPr>
          <w:p w14:paraId="1D25A945" w14:textId="77777777" w:rsidR="002E4917" w:rsidRPr="00F543A5" w:rsidRDefault="002E4917" w:rsidP="000A5389">
            <w:pPr>
              <w:spacing w:line="240" w:lineRule="auto"/>
              <w:jc w:val="right"/>
              <w:rPr>
                <w:rFonts w:eastAsia="Times New Roman" w:cs="Times New Roman"/>
                <w:b/>
                <w:kern w:val="0"/>
                <w:sz w:val="16"/>
                <w:szCs w:val="16"/>
                <w:lang w:eastAsia="es-CO"/>
                <w14:ligatures w14:val="none"/>
              </w:rPr>
            </w:pPr>
            <w:r w:rsidRPr="00F543A5">
              <w:rPr>
                <w:rFonts w:eastAsia="Times New Roman" w:cs="Times New Roman"/>
                <w:b/>
                <w:kern w:val="0"/>
                <w:sz w:val="16"/>
                <w:szCs w:val="16"/>
                <w:lang w:eastAsia="es-CO"/>
                <w14:ligatures w14:val="none"/>
              </w:rPr>
              <w:t xml:space="preserve">1.587.483.324.916 </w:t>
            </w:r>
          </w:p>
        </w:tc>
        <w:tc>
          <w:tcPr>
            <w:tcW w:w="709" w:type="dxa"/>
            <w:noWrap/>
            <w:vAlign w:val="center"/>
            <w:hideMark/>
          </w:tcPr>
          <w:p w14:paraId="48DB7BFB" w14:textId="77777777" w:rsidR="002E4917" w:rsidRPr="00F543A5" w:rsidRDefault="002E4917" w:rsidP="000A5389">
            <w:pPr>
              <w:spacing w:line="240" w:lineRule="auto"/>
              <w:jc w:val="center"/>
              <w:rPr>
                <w:rFonts w:eastAsia="Times New Roman" w:cs="Times New Roman"/>
                <w:b/>
                <w:kern w:val="0"/>
                <w:sz w:val="16"/>
                <w:szCs w:val="16"/>
                <w:lang w:eastAsia="es-CO"/>
                <w14:ligatures w14:val="none"/>
              </w:rPr>
            </w:pPr>
            <w:r w:rsidRPr="00F543A5">
              <w:rPr>
                <w:rFonts w:eastAsia="Times New Roman" w:cs="Times New Roman"/>
                <w:b/>
                <w:kern w:val="0"/>
                <w:sz w:val="16"/>
                <w:szCs w:val="16"/>
                <w:lang w:eastAsia="es-CO"/>
                <w14:ligatures w14:val="none"/>
              </w:rPr>
              <w:t> </w:t>
            </w:r>
          </w:p>
        </w:tc>
        <w:tc>
          <w:tcPr>
            <w:tcW w:w="752" w:type="dxa"/>
            <w:noWrap/>
            <w:vAlign w:val="center"/>
            <w:hideMark/>
          </w:tcPr>
          <w:p w14:paraId="273023B4" w14:textId="77777777" w:rsidR="002E4917" w:rsidRPr="00F543A5" w:rsidRDefault="002E4917" w:rsidP="000A5389">
            <w:pPr>
              <w:spacing w:line="240" w:lineRule="auto"/>
              <w:jc w:val="center"/>
              <w:rPr>
                <w:rFonts w:eastAsia="Times New Roman" w:cs="Times New Roman"/>
                <w:b/>
                <w:kern w:val="0"/>
                <w:sz w:val="16"/>
                <w:szCs w:val="16"/>
                <w:lang w:eastAsia="es-CO"/>
                <w14:ligatures w14:val="none"/>
              </w:rPr>
            </w:pPr>
            <w:r w:rsidRPr="00F543A5">
              <w:rPr>
                <w:rFonts w:eastAsia="Times New Roman" w:cs="Times New Roman"/>
                <w:b/>
                <w:kern w:val="0"/>
                <w:sz w:val="16"/>
                <w:szCs w:val="16"/>
                <w:lang w:eastAsia="es-CO"/>
                <w14:ligatures w14:val="none"/>
              </w:rPr>
              <w:t> </w:t>
            </w:r>
          </w:p>
        </w:tc>
        <w:tc>
          <w:tcPr>
            <w:tcW w:w="1465" w:type="dxa"/>
            <w:noWrap/>
            <w:vAlign w:val="center"/>
            <w:hideMark/>
          </w:tcPr>
          <w:p w14:paraId="7CD669DB" w14:textId="77777777" w:rsidR="002E4917" w:rsidRPr="00F543A5" w:rsidRDefault="002E4917" w:rsidP="000A5389">
            <w:pPr>
              <w:spacing w:line="240" w:lineRule="auto"/>
              <w:rPr>
                <w:rFonts w:eastAsia="Times New Roman" w:cs="Times New Roman"/>
                <w:b/>
                <w:kern w:val="0"/>
                <w:sz w:val="16"/>
                <w:szCs w:val="16"/>
                <w:lang w:eastAsia="es-CO"/>
                <w14:ligatures w14:val="none"/>
              </w:rPr>
            </w:pPr>
            <w:r w:rsidRPr="00F543A5">
              <w:rPr>
                <w:rFonts w:eastAsia="Times New Roman" w:cs="Times New Roman"/>
                <w:b/>
                <w:kern w:val="0"/>
                <w:sz w:val="16"/>
                <w:szCs w:val="16"/>
                <w:lang w:eastAsia="es-CO"/>
                <w14:ligatures w14:val="none"/>
              </w:rPr>
              <w:t> </w:t>
            </w:r>
          </w:p>
        </w:tc>
        <w:tc>
          <w:tcPr>
            <w:tcW w:w="843" w:type="dxa"/>
            <w:noWrap/>
            <w:vAlign w:val="center"/>
            <w:hideMark/>
          </w:tcPr>
          <w:p w14:paraId="48A802F9" w14:textId="77777777" w:rsidR="002E4917" w:rsidRPr="00F543A5" w:rsidRDefault="002E4917" w:rsidP="000A5389">
            <w:pPr>
              <w:spacing w:line="240" w:lineRule="auto"/>
              <w:jc w:val="center"/>
              <w:rPr>
                <w:rFonts w:eastAsia="Times New Roman" w:cs="Times New Roman"/>
                <w:b/>
                <w:kern w:val="0"/>
                <w:sz w:val="16"/>
                <w:szCs w:val="16"/>
                <w:lang w:eastAsia="es-CO"/>
                <w14:ligatures w14:val="none"/>
              </w:rPr>
            </w:pPr>
            <w:r w:rsidRPr="00F543A5">
              <w:rPr>
                <w:rFonts w:eastAsia="Times New Roman" w:cs="Times New Roman"/>
                <w:b/>
                <w:kern w:val="0"/>
                <w:sz w:val="16"/>
                <w:szCs w:val="16"/>
                <w:lang w:eastAsia="es-CO"/>
                <w14:ligatures w14:val="none"/>
              </w:rPr>
              <w:t xml:space="preserve">0,0 </w:t>
            </w:r>
          </w:p>
        </w:tc>
      </w:tr>
      <w:tr w:rsidR="007220B5" w:rsidRPr="00F543A5" w14:paraId="65DFBE80" w14:textId="77777777" w:rsidTr="001B10F3">
        <w:trPr>
          <w:trHeight w:val="195"/>
        </w:trPr>
        <w:tc>
          <w:tcPr>
            <w:tcW w:w="2087" w:type="dxa"/>
            <w:noWrap/>
            <w:vAlign w:val="center"/>
            <w:hideMark/>
          </w:tcPr>
          <w:p w14:paraId="043B6EE7" w14:textId="77777777" w:rsidR="002E4917" w:rsidRPr="00F543A5" w:rsidRDefault="002E4917" w:rsidP="000A5389">
            <w:pPr>
              <w:spacing w:line="240" w:lineRule="auto"/>
              <w:rPr>
                <w:rFonts w:eastAsia="Times New Roman" w:cs="Times New Roman"/>
                <w:b/>
                <w:kern w:val="0"/>
                <w:sz w:val="16"/>
                <w:szCs w:val="16"/>
                <w:lang w:eastAsia="es-CO"/>
                <w14:ligatures w14:val="none"/>
              </w:rPr>
            </w:pPr>
            <w:r w:rsidRPr="00F543A5">
              <w:rPr>
                <w:rFonts w:eastAsia="Times New Roman" w:cs="Times New Roman"/>
                <w:b/>
                <w:kern w:val="0"/>
                <w:sz w:val="16"/>
                <w:szCs w:val="16"/>
                <w:lang w:eastAsia="es-CO"/>
                <w14:ligatures w14:val="none"/>
              </w:rPr>
              <w:t>Intereses de mora</w:t>
            </w:r>
          </w:p>
        </w:tc>
        <w:tc>
          <w:tcPr>
            <w:tcW w:w="579" w:type="dxa"/>
            <w:noWrap/>
            <w:vAlign w:val="center"/>
            <w:hideMark/>
          </w:tcPr>
          <w:p w14:paraId="771A4A63" w14:textId="77777777" w:rsidR="002E4917" w:rsidRPr="00F543A5" w:rsidRDefault="002E4917" w:rsidP="000A5389">
            <w:pPr>
              <w:spacing w:line="240" w:lineRule="auto"/>
              <w:rPr>
                <w:rFonts w:eastAsia="Times New Roman" w:cs="Times New Roman"/>
                <w:b/>
                <w:kern w:val="0"/>
                <w:sz w:val="16"/>
                <w:szCs w:val="16"/>
                <w:lang w:eastAsia="es-CO"/>
                <w14:ligatures w14:val="none"/>
              </w:rPr>
            </w:pPr>
            <w:r w:rsidRPr="00F543A5">
              <w:rPr>
                <w:rFonts w:eastAsia="Times New Roman" w:cs="Times New Roman"/>
                <w:b/>
                <w:kern w:val="0"/>
                <w:sz w:val="16"/>
                <w:szCs w:val="16"/>
                <w:lang w:eastAsia="es-CO"/>
                <w14:ligatures w14:val="none"/>
              </w:rPr>
              <w:t> </w:t>
            </w:r>
          </w:p>
        </w:tc>
        <w:tc>
          <w:tcPr>
            <w:tcW w:w="1003" w:type="dxa"/>
            <w:noWrap/>
            <w:vAlign w:val="center"/>
            <w:hideMark/>
          </w:tcPr>
          <w:p w14:paraId="46A4BA31" w14:textId="77777777" w:rsidR="002E4917" w:rsidRPr="00F543A5" w:rsidRDefault="002E4917" w:rsidP="000A5389">
            <w:pPr>
              <w:spacing w:line="240" w:lineRule="auto"/>
              <w:rPr>
                <w:rFonts w:eastAsia="Times New Roman" w:cs="Times New Roman"/>
                <w:b/>
                <w:kern w:val="0"/>
                <w:sz w:val="16"/>
                <w:szCs w:val="16"/>
                <w:lang w:eastAsia="es-CO"/>
                <w14:ligatures w14:val="none"/>
              </w:rPr>
            </w:pPr>
            <w:r w:rsidRPr="00F543A5">
              <w:rPr>
                <w:rFonts w:eastAsia="Times New Roman" w:cs="Times New Roman"/>
                <w:b/>
                <w:kern w:val="0"/>
                <w:sz w:val="16"/>
                <w:szCs w:val="16"/>
                <w:lang w:eastAsia="es-CO"/>
                <w14:ligatures w14:val="none"/>
              </w:rPr>
              <w:t> </w:t>
            </w:r>
          </w:p>
        </w:tc>
        <w:tc>
          <w:tcPr>
            <w:tcW w:w="1713" w:type="dxa"/>
            <w:noWrap/>
            <w:vAlign w:val="center"/>
            <w:hideMark/>
          </w:tcPr>
          <w:p w14:paraId="3887B7F4" w14:textId="77777777" w:rsidR="002E4917" w:rsidRPr="00F543A5" w:rsidRDefault="002E4917" w:rsidP="000A5389">
            <w:pPr>
              <w:spacing w:line="240" w:lineRule="auto"/>
              <w:jc w:val="right"/>
              <w:rPr>
                <w:rFonts w:eastAsia="Times New Roman" w:cs="Times New Roman"/>
                <w:b/>
                <w:kern w:val="0"/>
                <w:sz w:val="16"/>
                <w:szCs w:val="16"/>
                <w:lang w:eastAsia="es-CO"/>
                <w14:ligatures w14:val="none"/>
              </w:rPr>
            </w:pPr>
            <w:r w:rsidRPr="00F543A5">
              <w:rPr>
                <w:rFonts w:eastAsia="Times New Roman" w:cs="Times New Roman"/>
                <w:b/>
                <w:kern w:val="0"/>
                <w:sz w:val="16"/>
                <w:szCs w:val="16"/>
                <w:lang w:eastAsia="es-CO"/>
                <w14:ligatures w14:val="none"/>
              </w:rPr>
              <w:t xml:space="preserve">1.586.955.570.228 </w:t>
            </w:r>
          </w:p>
        </w:tc>
        <w:tc>
          <w:tcPr>
            <w:tcW w:w="709" w:type="dxa"/>
            <w:noWrap/>
            <w:vAlign w:val="center"/>
            <w:hideMark/>
          </w:tcPr>
          <w:p w14:paraId="49A8D06D" w14:textId="77777777" w:rsidR="002E4917" w:rsidRPr="00F543A5" w:rsidRDefault="002E4917" w:rsidP="000A5389">
            <w:pPr>
              <w:spacing w:line="240" w:lineRule="auto"/>
              <w:jc w:val="center"/>
              <w:rPr>
                <w:rFonts w:eastAsia="Times New Roman" w:cs="Times New Roman"/>
                <w:b/>
                <w:kern w:val="0"/>
                <w:sz w:val="16"/>
                <w:szCs w:val="16"/>
                <w:lang w:eastAsia="es-CO"/>
                <w14:ligatures w14:val="none"/>
              </w:rPr>
            </w:pPr>
            <w:r w:rsidRPr="00F543A5">
              <w:rPr>
                <w:rFonts w:eastAsia="Times New Roman" w:cs="Times New Roman"/>
                <w:b/>
                <w:kern w:val="0"/>
                <w:sz w:val="16"/>
                <w:szCs w:val="16"/>
                <w:lang w:eastAsia="es-CO"/>
                <w14:ligatures w14:val="none"/>
              </w:rPr>
              <w:t> </w:t>
            </w:r>
          </w:p>
        </w:tc>
        <w:tc>
          <w:tcPr>
            <w:tcW w:w="752" w:type="dxa"/>
            <w:noWrap/>
            <w:vAlign w:val="center"/>
            <w:hideMark/>
          </w:tcPr>
          <w:p w14:paraId="6C50B5B2" w14:textId="77777777" w:rsidR="002E4917" w:rsidRPr="00F543A5" w:rsidRDefault="002E4917" w:rsidP="000A5389">
            <w:pPr>
              <w:spacing w:line="240" w:lineRule="auto"/>
              <w:jc w:val="center"/>
              <w:rPr>
                <w:rFonts w:eastAsia="Times New Roman" w:cs="Times New Roman"/>
                <w:b/>
                <w:kern w:val="0"/>
                <w:sz w:val="16"/>
                <w:szCs w:val="16"/>
                <w:lang w:eastAsia="es-CO"/>
                <w14:ligatures w14:val="none"/>
              </w:rPr>
            </w:pPr>
            <w:r w:rsidRPr="00F543A5">
              <w:rPr>
                <w:rFonts w:eastAsia="Times New Roman" w:cs="Times New Roman"/>
                <w:b/>
                <w:kern w:val="0"/>
                <w:sz w:val="16"/>
                <w:szCs w:val="16"/>
                <w:lang w:eastAsia="es-CO"/>
                <w14:ligatures w14:val="none"/>
              </w:rPr>
              <w:t> </w:t>
            </w:r>
          </w:p>
        </w:tc>
        <w:tc>
          <w:tcPr>
            <w:tcW w:w="1465" w:type="dxa"/>
            <w:noWrap/>
            <w:vAlign w:val="center"/>
            <w:hideMark/>
          </w:tcPr>
          <w:p w14:paraId="6F574E2B" w14:textId="77777777" w:rsidR="002E4917" w:rsidRPr="00F543A5" w:rsidRDefault="002E4917" w:rsidP="000A5389">
            <w:pPr>
              <w:spacing w:line="240" w:lineRule="auto"/>
              <w:rPr>
                <w:rFonts w:eastAsia="Times New Roman" w:cs="Times New Roman"/>
                <w:b/>
                <w:kern w:val="0"/>
                <w:sz w:val="16"/>
                <w:szCs w:val="16"/>
                <w:lang w:eastAsia="es-CO"/>
                <w14:ligatures w14:val="none"/>
              </w:rPr>
            </w:pPr>
            <w:r w:rsidRPr="00F543A5">
              <w:rPr>
                <w:rFonts w:eastAsia="Times New Roman" w:cs="Times New Roman"/>
                <w:b/>
                <w:kern w:val="0"/>
                <w:sz w:val="16"/>
                <w:szCs w:val="16"/>
                <w:lang w:eastAsia="es-CO"/>
                <w14:ligatures w14:val="none"/>
              </w:rPr>
              <w:t> </w:t>
            </w:r>
          </w:p>
        </w:tc>
        <w:tc>
          <w:tcPr>
            <w:tcW w:w="843" w:type="dxa"/>
            <w:noWrap/>
            <w:vAlign w:val="center"/>
            <w:hideMark/>
          </w:tcPr>
          <w:p w14:paraId="035EC607" w14:textId="77777777" w:rsidR="002E4917" w:rsidRPr="00F543A5" w:rsidRDefault="002E4917" w:rsidP="000A5389">
            <w:pPr>
              <w:spacing w:line="240" w:lineRule="auto"/>
              <w:jc w:val="center"/>
              <w:rPr>
                <w:rFonts w:eastAsia="Times New Roman" w:cs="Times New Roman"/>
                <w:b/>
                <w:kern w:val="0"/>
                <w:sz w:val="16"/>
                <w:szCs w:val="16"/>
                <w:lang w:eastAsia="es-CO"/>
                <w14:ligatures w14:val="none"/>
              </w:rPr>
            </w:pPr>
            <w:r w:rsidRPr="00F543A5">
              <w:rPr>
                <w:rFonts w:eastAsia="Times New Roman" w:cs="Times New Roman"/>
                <w:b/>
                <w:kern w:val="0"/>
                <w:sz w:val="16"/>
                <w:szCs w:val="16"/>
                <w:lang w:eastAsia="es-CO"/>
                <w14:ligatures w14:val="none"/>
              </w:rPr>
              <w:t xml:space="preserve">0,0 </w:t>
            </w:r>
          </w:p>
        </w:tc>
      </w:tr>
      <w:tr w:rsidR="007220B5" w:rsidRPr="00F543A5" w14:paraId="2783FDB6" w14:textId="77777777" w:rsidTr="001B10F3">
        <w:trPr>
          <w:trHeight w:val="209"/>
        </w:trPr>
        <w:tc>
          <w:tcPr>
            <w:tcW w:w="2087" w:type="dxa"/>
            <w:vAlign w:val="center"/>
            <w:hideMark/>
          </w:tcPr>
          <w:p w14:paraId="539C2B09" w14:textId="77777777" w:rsidR="002E4917" w:rsidRPr="00F543A5" w:rsidRDefault="002E4917" w:rsidP="000A5389">
            <w:pPr>
              <w:spacing w:line="240" w:lineRule="auto"/>
              <w:rPr>
                <w:rFonts w:eastAsia="Times New Roman" w:cs="Times New Roman"/>
                <w:kern w:val="0"/>
                <w:sz w:val="16"/>
                <w:szCs w:val="16"/>
                <w:lang w:eastAsia="es-CO"/>
                <w14:ligatures w14:val="none"/>
              </w:rPr>
            </w:pPr>
            <w:r w:rsidRPr="00F543A5">
              <w:rPr>
                <w:rFonts w:eastAsia="Times New Roman" w:cs="Times New Roman"/>
                <w:kern w:val="0"/>
                <w:sz w:val="16"/>
                <w:szCs w:val="16"/>
                <w:lang w:eastAsia="es-CO"/>
                <w14:ligatures w14:val="none"/>
              </w:rPr>
              <w:t>Nacionales</w:t>
            </w:r>
          </w:p>
        </w:tc>
        <w:tc>
          <w:tcPr>
            <w:tcW w:w="579" w:type="dxa"/>
            <w:noWrap/>
            <w:vAlign w:val="center"/>
            <w:hideMark/>
          </w:tcPr>
          <w:p w14:paraId="292BDFBF" w14:textId="77777777" w:rsidR="002E4917" w:rsidRPr="00F543A5" w:rsidRDefault="002E4917" w:rsidP="000A5389">
            <w:pPr>
              <w:spacing w:line="240" w:lineRule="auto"/>
              <w:jc w:val="center"/>
              <w:rPr>
                <w:rFonts w:eastAsia="Times New Roman" w:cs="Times New Roman"/>
                <w:kern w:val="0"/>
                <w:sz w:val="16"/>
                <w:szCs w:val="16"/>
                <w:lang w:eastAsia="es-CO"/>
                <w14:ligatures w14:val="none"/>
              </w:rPr>
            </w:pPr>
            <w:r w:rsidRPr="00F543A5">
              <w:rPr>
                <w:rFonts w:eastAsia="Times New Roman" w:cs="Times New Roman"/>
                <w:kern w:val="0"/>
                <w:sz w:val="16"/>
                <w:szCs w:val="16"/>
                <w:lang w:eastAsia="es-CO"/>
                <w14:ligatures w14:val="none"/>
              </w:rPr>
              <w:t>PJ</w:t>
            </w:r>
          </w:p>
        </w:tc>
        <w:tc>
          <w:tcPr>
            <w:tcW w:w="1003" w:type="dxa"/>
            <w:noWrap/>
            <w:vAlign w:val="center"/>
            <w:hideMark/>
          </w:tcPr>
          <w:p w14:paraId="1333764F" w14:textId="77777777" w:rsidR="002E4917" w:rsidRPr="00F543A5" w:rsidRDefault="002E4917" w:rsidP="000A5389">
            <w:pPr>
              <w:spacing w:line="240" w:lineRule="auto"/>
              <w:jc w:val="center"/>
              <w:rPr>
                <w:rFonts w:eastAsia="Times New Roman" w:cs="Times New Roman"/>
                <w:kern w:val="0"/>
                <w:sz w:val="16"/>
                <w:szCs w:val="16"/>
                <w:lang w:eastAsia="es-CO"/>
                <w14:ligatures w14:val="none"/>
              </w:rPr>
            </w:pPr>
            <w:r w:rsidRPr="00F543A5">
              <w:rPr>
                <w:rFonts w:eastAsia="Times New Roman" w:cs="Times New Roman"/>
                <w:kern w:val="0"/>
                <w:sz w:val="16"/>
                <w:szCs w:val="16"/>
                <w:lang w:eastAsia="es-CO"/>
                <w14:ligatures w14:val="none"/>
              </w:rPr>
              <w:t>9</w:t>
            </w:r>
          </w:p>
        </w:tc>
        <w:tc>
          <w:tcPr>
            <w:tcW w:w="1713" w:type="dxa"/>
            <w:noWrap/>
            <w:vAlign w:val="center"/>
            <w:hideMark/>
          </w:tcPr>
          <w:p w14:paraId="384E78F6" w14:textId="77777777" w:rsidR="002E4917" w:rsidRPr="00F543A5" w:rsidRDefault="002E4917" w:rsidP="000A5389">
            <w:pPr>
              <w:spacing w:line="240" w:lineRule="auto"/>
              <w:jc w:val="right"/>
              <w:rPr>
                <w:rFonts w:eastAsia="Times New Roman" w:cs="Times New Roman"/>
                <w:kern w:val="0"/>
                <w:sz w:val="16"/>
                <w:szCs w:val="16"/>
                <w:lang w:eastAsia="es-CO"/>
                <w14:ligatures w14:val="none"/>
              </w:rPr>
            </w:pPr>
            <w:r w:rsidRPr="00F543A5">
              <w:rPr>
                <w:rFonts w:eastAsia="Times New Roman" w:cs="Times New Roman"/>
                <w:kern w:val="0"/>
                <w:sz w:val="16"/>
                <w:szCs w:val="16"/>
                <w:lang w:eastAsia="es-CO"/>
                <w14:ligatures w14:val="none"/>
              </w:rPr>
              <w:t xml:space="preserve">1.586.955.570.228 </w:t>
            </w:r>
          </w:p>
        </w:tc>
        <w:tc>
          <w:tcPr>
            <w:tcW w:w="709" w:type="dxa"/>
            <w:noWrap/>
            <w:vAlign w:val="center"/>
            <w:hideMark/>
          </w:tcPr>
          <w:p w14:paraId="35833B0D" w14:textId="77777777" w:rsidR="002E4917" w:rsidRPr="00F543A5" w:rsidRDefault="002E4917" w:rsidP="000A5389">
            <w:pPr>
              <w:spacing w:line="240" w:lineRule="auto"/>
              <w:jc w:val="center"/>
              <w:rPr>
                <w:rFonts w:eastAsia="Times New Roman" w:cs="Times New Roman"/>
                <w:kern w:val="0"/>
                <w:sz w:val="16"/>
                <w:szCs w:val="16"/>
                <w:lang w:eastAsia="es-CO"/>
                <w14:ligatures w14:val="none"/>
              </w:rPr>
            </w:pPr>
            <w:r w:rsidRPr="00F543A5">
              <w:rPr>
                <w:rFonts w:eastAsia="Times New Roman" w:cs="Times New Roman"/>
                <w:kern w:val="0"/>
                <w:sz w:val="16"/>
                <w:szCs w:val="16"/>
                <w:lang w:eastAsia="es-CO"/>
                <w14:ligatures w14:val="none"/>
              </w:rPr>
              <w:t>0</w:t>
            </w:r>
          </w:p>
        </w:tc>
        <w:tc>
          <w:tcPr>
            <w:tcW w:w="752" w:type="dxa"/>
            <w:noWrap/>
            <w:vAlign w:val="center"/>
            <w:hideMark/>
          </w:tcPr>
          <w:p w14:paraId="067D38B8" w14:textId="77777777" w:rsidR="002E4917" w:rsidRPr="00F543A5" w:rsidRDefault="002E4917" w:rsidP="000A5389">
            <w:pPr>
              <w:spacing w:line="240" w:lineRule="auto"/>
              <w:jc w:val="center"/>
              <w:rPr>
                <w:rFonts w:eastAsia="Times New Roman" w:cs="Times New Roman"/>
                <w:kern w:val="0"/>
                <w:sz w:val="16"/>
                <w:szCs w:val="16"/>
                <w:lang w:eastAsia="es-CO"/>
                <w14:ligatures w14:val="none"/>
              </w:rPr>
            </w:pPr>
            <w:r w:rsidRPr="00F543A5">
              <w:rPr>
                <w:rFonts w:eastAsia="Times New Roman" w:cs="Times New Roman"/>
                <w:kern w:val="0"/>
                <w:sz w:val="16"/>
                <w:szCs w:val="16"/>
                <w:lang w:eastAsia="es-CO"/>
                <w14:ligatures w14:val="none"/>
              </w:rPr>
              <w:t>1</w:t>
            </w:r>
          </w:p>
        </w:tc>
        <w:tc>
          <w:tcPr>
            <w:tcW w:w="1465" w:type="dxa"/>
            <w:noWrap/>
            <w:vAlign w:val="center"/>
            <w:hideMark/>
          </w:tcPr>
          <w:p w14:paraId="0CF599E7" w14:textId="77777777" w:rsidR="002E4917" w:rsidRPr="00F543A5" w:rsidRDefault="002E4917" w:rsidP="000A5389">
            <w:pPr>
              <w:spacing w:line="240" w:lineRule="auto"/>
              <w:jc w:val="center"/>
              <w:rPr>
                <w:rFonts w:eastAsia="Times New Roman" w:cs="Times New Roman"/>
                <w:kern w:val="0"/>
                <w:sz w:val="16"/>
                <w:szCs w:val="16"/>
                <w:lang w:eastAsia="es-CO"/>
                <w14:ligatures w14:val="none"/>
              </w:rPr>
            </w:pPr>
            <w:r w:rsidRPr="00F543A5">
              <w:rPr>
                <w:rFonts w:eastAsia="Times New Roman" w:cs="Times New Roman"/>
                <w:kern w:val="0"/>
                <w:sz w:val="16"/>
                <w:szCs w:val="16"/>
                <w:lang w:eastAsia="es-CO"/>
                <w14:ligatures w14:val="none"/>
              </w:rPr>
              <w:t>No aplica</w:t>
            </w:r>
          </w:p>
        </w:tc>
        <w:tc>
          <w:tcPr>
            <w:tcW w:w="843" w:type="dxa"/>
            <w:noWrap/>
            <w:vAlign w:val="center"/>
            <w:hideMark/>
          </w:tcPr>
          <w:p w14:paraId="451DE917" w14:textId="77777777" w:rsidR="002E4917" w:rsidRPr="00F543A5" w:rsidRDefault="002E4917" w:rsidP="000A5389">
            <w:pPr>
              <w:spacing w:line="240" w:lineRule="auto"/>
              <w:jc w:val="center"/>
              <w:rPr>
                <w:rFonts w:eastAsia="Times New Roman" w:cs="Times New Roman"/>
                <w:kern w:val="0"/>
                <w:sz w:val="16"/>
                <w:szCs w:val="16"/>
                <w:lang w:eastAsia="es-CO"/>
                <w14:ligatures w14:val="none"/>
              </w:rPr>
            </w:pPr>
            <w:r w:rsidRPr="00F543A5">
              <w:rPr>
                <w:rFonts w:eastAsia="Times New Roman" w:cs="Times New Roman"/>
                <w:kern w:val="0"/>
                <w:sz w:val="16"/>
                <w:szCs w:val="16"/>
                <w:lang w:eastAsia="es-CO"/>
                <w14:ligatures w14:val="none"/>
              </w:rPr>
              <w:t> </w:t>
            </w:r>
          </w:p>
        </w:tc>
      </w:tr>
      <w:tr w:rsidR="007220B5" w:rsidRPr="00F543A5" w14:paraId="270ADC39" w14:textId="77777777" w:rsidTr="001B10F3">
        <w:trPr>
          <w:trHeight w:val="195"/>
        </w:trPr>
        <w:tc>
          <w:tcPr>
            <w:tcW w:w="2087" w:type="dxa"/>
            <w:noWrap/>
            <w:vAlign w:val="center"/>
            <w:hideMark/>
          </w:tcPr>
          <w:p w14:paraId="0DA8E73E" w14:textId="77777777" w:rsidR="002E4917" w:rsidRPr="00F543A5" w:rsidRDefault="002E4917" w:rsidP="000A5389">
            <w:pPr>
              <w:spacing w:line="240" w:lineRule="auto"/>
              <w:rPr>
                <w:rFonts w:eastAsia="Times New Roman" w:cs="Times New Roman"/>
                <w:b/>
                <w:kern w:val="0"/>
                <w:sz w:val="16"/>
                <w:szCs w:val="16"/>
                <w:lang w:eastAsia="es-CO"/>
                <w14:ligatures w14:val="none"/>
              </w:rPr>
            </w:pPr>
            <w:r w:rsidRPr="00F543A5">
              <w:rPr>
                <w:rFonts w:eastAsia="Times New Roman" w:cs="Times New Roman"/>
                <w:b/>
                <w:kern w:val="0"/>
                <w:sz w:val="16"/>
                <w:szCs w:val="16"/>
                <w:lang w:eastAsia="es-CO"/>
                <w14:ligatures w14:val="none"/>
              </w:rPr>
              <w:t>Servicios</w:t>
            </w:r>
          </w:p>
        </w:tc>
        <w:tc>
          <w:tcPr>
            <w:tcW w:w="579" w:type="dxa"/>
            <w:noWrap/>
            <w:vAlign w:val="center"/>
            <w:hideMark/>
          </w:tcPr>
          <w:p w14:paraId="23BBEAE0" w14:textId="77777777" w:rsidR="002E4917" w:rsidRPr="00F543A5" w:rsidRDefault="002E4917" w:rsidP="000A5389">
            <w:pPr>
              <w:spacing w:line="240" w:lineRule="auto"/>
              <w:rPr>
                <w:rFonts w:eastAsia="Times New Roman" w:cs="Times New Roman"/>
                <w:b/>
                <w:kern w:val="0"/>
                <w:sz w:val="16"/>
                <w:szCs w:val="16"/>
                <w:lang w:eastAsia="es-CO"/>
                <w14:ligatures w14:val="none"/>
              </w:rPr>
            </w:pPr>
            <w:r w:rsidRPr="00F543A5">
              <w:rPr>
                <w:rFonts w:eastAsia="Times New Roman" w:cs="Times New Roman"/>
                <w:b/>
                <w:kern w:val="0"/>
                <w:sz w:val="16"/>
                <w:szCs w:val="16"/>
                <w:lang w:eastAsia="es-CO"/>
                <w14:ligatures w14:val="none"/>
              </w:rPr>
              <w:t> </w:t>
            </w:r>
          </w:p>
        </w:tc>
        <w:tc>
          <w:tcPr>
            <w:tcW w:w="1003" w:type="dxa"/>
            <w:noWrap/>
            <w:vAlign w:val="center"/>
            <w:hideMark/>
          </w:tcPr>
          <w:p w14:paraId="7B2E536F" w14:textId="77777777" w:rsidR="002E4917" w:rsidRPr="00F543A5" w:rsidRDefault="002E4917" w:rsidP="000A5389">
            <w:pPr>
              <w:spacing w:line="240" w:lineRule="auto"/>
              <w:rPr>
                <w:rFonts w:eastAsia="Times New Roman" w:cs="Times New Roman"/>
                <w:b/>
                <w:kern w:val="0"/>
                <w:sz w:val="16"/>
                <w:szCs w:val="16"/>
                <w:lang w:eastAsia="es-CO"/>
                <w14:ligatures w14:val="none"/>
              </w:rPr>
            </w:pPr>
            <w:r w:rsidRPr="00F543A5">
              <w:rPr>
                <w:rFonts w:eastAsia="Times New Roman" w:cs="Times New Roman"/>
                <w:b/>
                <w:kern w:val="0"/>
                <w:sz w:val="16"/>
                <w:szCs w:val="16"/>
                <w:lang w:eastAsia="es-CO"/>
                <w14:ligatures w14:val="none"/>
              </w:rPr>
              <w:t> </w:t>
            </w:r>
          </w:p>
        </w:tc>
        <w:tc>
          <w:tcPr>
            <w:tcW w:w="1713" w:type="dxa"/>
            <w:noWrap/>
            <w:vAlign w:val="center"/>
            <w:hideMark/>
          </w:tcPr>
          <w:p w14:paraId="3B43D524" w14:textId="77777777" w:rsidR="002E4917" w:rsidRPr="00F543A5" w:rsidRDefault="002E4917" w:rsidP="000A5389">
            <w:pPr>
              <w:spacing w:line="240" w:lineRule="auto"/>
              <w:jc w:val="right"/>
              <w:rPr>
                <w:rFonts w:eastAsia="Times New Roman" w:cs="Times New Roman"/>
                <w:b/>
                <w:kern w:val="0"/>
                <w:sz w:val="16"/>
                <w:szCs w:val="16"/>
                <w:lang w:eastAsia="es-CO"/>
                <w14:ligatures w14:val="none"/>
              </w:rPr>
            </w:pPr>
            <w:r w:rsidRPr="00F543A5">
              <w:rPr>
                <w:rFonts w:eastAsia="Times New Roman" w:cs="Times New Roman"/>
                <w:b/>
                <w:kern w:val="0"/>
                <w:sz w:val="16"/>
                <w:szCs w:val="16"/>
                <w:lang w:eastAsia="es-CO"/>
                <w14:ligatures w14:val="none"/>
              </w:rPr>
              <w:t xml:space="preserve">489.562.604 </w:t>
            </w:r>
          </w:p>
        </w:tc>
        <w:tc>
          <w:tcPr>
            <w:tcW w:w="709" w:type="dxa"/>
            <w:noWrap/>
            <w:vAlign w:val="center"/>
            <w:hideMark/>
          </w:tcPr>
          <w:p w14:paraId="34549DD2" w14:textId="77777777" w:rsidR="002E4917" w:rsidRPr="00F543A5" w:rsidRDefault="002E4917" w:rsidP="000A5389">
            <w:pPr>
              <w:spacing w:line="240" w:lineRule="auto"/>
              <w:jc w:val="center"/>
              <w:rPr>
                <w:rFonts w:eastAsia="Times New Roman" w:cs="Times New Roman"/>
                <w:b/>
                <w:kern w:val="0"/>
                <w:sz w:val="16"/>
                <w:szCs w:val="16"/>
                <w:lang w:eastAsia="es-CO"/>
                <w14:ligatures w14:val="none"/>
              </w:rPr>
            </w:pPr>
            <w:r w:rsidRPr="00F543A5">
              <w:rPr>
                <w:rFonts w:eastAsia="Times New Roman" w:cs="Times New Roman"/>
                <w:b/>
                <w:kern w:val="0"/>
                <w:sz w:val="16"/>
                <w:szCs w:val="16"/>
                <w:lang w:eastAsia="es-CO"/>
                <w14:ligatures w14:val="none"/>
              </w:rPr>
              <w:t> </w:t>
            </w:r>
          </w:p>
        </w:tc>
        <w:tc>
          <w:tcPr>
            <w:tcW w:w="752" w:type="dxa"/>
            <w:noWrap/>
            <w:vAlign w:val="center"/>
            <w:hideMark/>
          </w:tcPr>
          <w:p w14:paraId="2D374FAA" w14:textId="77777777" w:rsidR="002E4917" w:rsidRPr="00F543A5" w:rsidRDefault="002E4917" w:rsidP="000A5389">
            <w:pPr>
              <w:spacing w:line="240" w:lineRule="auto"/>
              <w:jc w:val="center"/>
              <w:rPr>
                <w:rFonts w:eastAsia="Times New Roman" w:cs="Times New Roman"/>
                <w:b/>
                <w:kern w:val="0"/>
                <w:sz w:val="16"/>
                <w:szCs w:val="16"/>
                <w:lang w:eastAsia="es-CO"/>
                <w14:ligatures w14:val="none"/>
              </w:rPr>
            </w:pPr>
            <w:r w:rsidRPr="00F543A5">
              <w:rPr>
                <w:rFonts w:eastAsia="Times New Roman" w:cs="Times New Roman"/>
                <w:b/>
                <w:kern w:val="0"/>
                <w:sz w:val="16"/>
                <w:szCs w:val="16"/>
                <w:lang w:eastAsia="es-CO"/>
                <w14:ligatures w14:val="none"/>
              </w:rPr>
              <w:t> </w:t>
            </w:r>
          </w:p>
        </w:tc>
        <w:tc>
          <w:tcPr>
            <w:tcW w:w="1465" w:type="dxa"/>
            <w:noWrap/>
            <w:vAlign w:val="center"/>
            <w:hideMark/>
          </w:tcPr>
          <w:p w14:paraId="3DF80673" w14:textId="77777777" w:rsidR="002E4917" w:rsidRPr="00F543A5" w:rsidRDefault="002E4917" w:rsidP="000A5389">
            <w:pPr>
              <w:spacing w:line="240" w:lineRule="auto"/>
              <w:rPr>
                <w:rFonts w:eastAsia="Times New Roman" w:cs="Times New Roman"/>
                <w:b/>
                <w:kern w:val="0"/>
                <w:sz w:val="16"/>
                <w:szCs w:val="16"/>
                <w:lang w:eastAsia="es-CO"/>
                <w14:ligatures w14:val="none"/>
              </w:rPr>
            </w:pPr>
            <w:r w:rsidRPr="00F543A5">
              <w:rPr>
                <w:rFonts w:eastAsia="Times New Roman" w:cs="Times New Roman"/>
                <w:b/>
                <w:kern w:val="0"/>
                <w:sz w:val="16"/>
                <w:szCs w:val="16"/>
                <w:lang w:eastAsia="es-CO"/>
                <w14:ligatures w14:val="none"/>
              </w:rPr>
              <w:t> </w:t>
            </w:r>
          </w:p>
        </w:tc>
        <w:tc>
          <w:tcPr>
            <w:tcW w:w="843" w:type="dxa"/>
            <w:noWrap/>
            <w:vAlign w:val="center"/>
            <w:hideMark/>
          </w:tcPr>
          <w:p w14:paraId="6F1C2D83" w14:textId="77777777" w:rsidR="002E4917" w:rsidRPr="00F543A5" w:rsidRDefault="002E4917" w:rsidP="000A5389">
            <w:pPr>
              <w:spacing w:line="240" w:lineRule="auto"/>
              <w:jc w:val="center"/>
              <w:rPr>
                <w:rFonts w:eastAsia="Times New Roman" w:cs="Times New Roman"/>
                <w:b/>
                <w:kern w:val="0"/>
                <w:sz w:val="16"/>
                <w:szCs w:val="16"/>
                <w:lang w:eastAsia="es-CO"/>
                <w14:ligatures w14:val="none"/>
              </w:rPr>
            </w:pPr>
            <w:r w:rsidRPr="00F543A5">
              <w:rPr>
                <w:rFonts w:eastAsia="Times New Roman" w:cs="Times New Roman"/>
                <w:b/>
                <w:kern w:val="0"/>
                <w:sz w:val="16"/>
                <w:szCs w:val="16"/>
                <w:lang w:eastAsia="es-CO"/>
                <w14:ligatures w14:val="none"/>
              </w:rPr>
              <w:t xml:space="preserve">0,0 </w:t>
            </w:r>
          </w:p>
        </w:tc>
      </w:tr>
      <w:tr w:rsidR="007220B5" w:rsidRPr="00F543A5" w14:paraId="0FD19889" w14:textId="77777777" w:rsidTr="001B10F3">
        <w:trPr>
          <w:trHeight w:val="209"/>
        </w:trPr>
        <w:tc>
          <w:tcPr>
            <w:tcW w:w="2087" w:type="dxa"/>
            <w:vAlign w:val="center"/>
            <w:hideMark/>
          </w:tcPr>
          <w:p w14:paraId="66AF4441" w14:textId="77777777" w:rsidR="002E4917" w:rsidRPr="00F543A5" w:rsidRDefault="002E4917" w:rsidP="000A5389">
            <w:pPr>
              <w:spacing w:line="240" w:lineRule="auto"/>
              <w:rPr>
                <w:rFonts w:eastAsia="Times New Roman" w:cs="Times New Roman"/>
                <w:kern w:val="0"/>
                <w:sz w:val="16"/>
                <w:szCs w:val="16"/>
                <w:lang w:eastAsia="es-CO"/>
                <w14:ligatures w14:val="none"/>
              </w:rPr>
            </w:pPr>
            <w:r w:rsidRPr="00F543A5">
              <w:rPr>
                <w:rFonts w:eastAsia="Times New Roman" w:cs="Times New Roman"/>
                <w:kern w:val="0"/>
                <w:sz w:val="16"/>
                <w:szCs w:val="16"/>
                <w:lang w:eastAsia="es-CO"/>
                <w14:ligatures w14:val="none"/>
              </w:rPr>
              <w:t>Nacionales</w:t>
            </w:r>
          </w:p>
        </w:tc>
        <w:tc>
          <w:tcPr>
            <w:tcW w:w="579" w:type="dxa"/>
            <w:noWrap/>
            <w:vAlign w:val="center"/>
            <w:hideMark/>
          </w:tcPr>
          <w:p w14:paraId="6CDA71BD" w14:textId="77777777" w:rsidR="002E4917" w:rsidRPr="00F543A5" w:rsidRDefault="002E4917" w:rsidP="000A5389">
            <w:pPr>
              <w:spacing w:line="240" w:lineRule="auto"/>
              <w:jc w:val="center"/>
              <w:rPr>
                <w:rFonts w:eastAsia="Times New Roman" w:cs="Times New Roman"/>
                <w:kern w:val="0"/>
                <w:sz w:val="16"/>
                <w:szCs w:val="16"/>
                <w:lang w:eastAsia="es-CO"/>
                <w14:ligatures w14:val="none"/>
              </w:rPr>
            </w:pPr>
            <w:r w:rsidRPr="00F543A5">
              <w:rPr>
                <w:rFonts w:eastAsia="Times New Roman" w:cs="Times New Roman"/>
                <w:kern w:val="0"/>
                <w:sz w:val="16"/>
                <w:szCs w:val="16"/>
                <w:lang w:eastAsia="es-CO"/>
                <w14:ligatures w14:val="none"/>
              </w:rPr>
              <w:t>PN</w:t>
            </w:r>
          </w:p>
        </w:tc>
        <w:tc>
          <w:tcPr>
            <w:tcW w:w="1003" w:type="dxa"/>
            <w:noWrap/>
            <w:vAlign w:val="center"/>
            <w:hideMark/>
          </w:tcPr>
          <w:p w14:paraId="134A50BB" w14:textId="77777777" w:rsidR="002E4917" w:rsidRPr="00F543A5" w:rsidRDefault="002E4917" w:rsidP="000A5389">
            <w:pPr>
              <w:spacing w:line="240" w:lineRule="auto"/>
              <w:jc w:val="center"/>
              <w:rPr>
                <w:rFonts w:eastAsia="Times New Roman" w:cs="Times New Roman"/>
                <w:kern w:val="0"/>
                <w:sz w:val="16"/>
                <w:szCs w:val="16"/>
                <w:lang w:eastAsia="es-CO"/>
                <w14:ligatures w14:val="none"/>
              </w:rPr>
            </w:pPr>
            <w:r w:rsidRPr="00F543A5">
              <w:rPr>
                <w:rFonts w:eastAsia="Times New Roman" w:cs="Times New Roman"/>
                <w:kern w:val="0"/>
                <w:sz w:val="16"/>
                <w:szCs w:val="16"/>
                <w:lang w:eastAsia="es-CO"/>
                <w14:ligatures w14:val="none"/>
              </w:rPr>
              <w:t>32</w:t>
            </w:r>
          </w:p>
        </w:tc>
        <w:tc>
          <w:tcPr>
            <w:tcW w:w="1713" w:type="dxa"/>
            <w:noWrap/>
            <w:vAlign w:val="center"/>
            <w:hideMark/>
          </w:tcPr>
          <w:p w14:paraId="2507CD28" w14:textId="77777777" w:rsidR="002E4917" w:rsidRPr="00F543A5" w:rsidRDefault="002E4917" w:rsidP="000A5389">
            <w:pPr>
              <w:spacing w:line="240" w:lineRule="auto"/>
              <w:jc w:val="right"/>
              <w:rPr>
                <w:rFonts w:eastAsia="Times New Roman" w:cs="Times New Roman"/>
                <w:kern w:val="0"/>
                <w:sz w:val="16"/>
                <w:szCs w:val="16"/>
                <w:lang w:eastAsia="es-CO"/>
                <w14:ligatures w14:val="none"/>
              </w:rPr>
            </w:pPr>
            <w:r w:rsidRPr="00F543A5">
              <w:rPr>
                <w:rFonts w:eastAsia="Times New Roman" w:cs="Times New Roman"/>
                <w:kern w:val="0"/>
                <w:sz w:val="16"/>
                <w:szCs w:val="16"/>
                <w:lang w:eastAsia="es-CO"/>
                <w14:ligatures w14:val="none"/>
              </w:rPr>
              <w:t xml:space="preserve">15.969.552 </w:t>
            </w:r>
          </w:p>
        </w:tc>
        <w:tc>
          <w:tcPr>
            <w:tcW w:w="709" w:type="dxa"/>
            <w:noWrap/>
            <w:vAlign w:val="center"/>
            <w:hideMark/>
          </w:tcPr>
          <w:p w14:paraId="37564C5A" w14:textId="77777777" w:rsidR="002E4917" w:rsidRPr="00F543A5" w:rsidRDefault="002E4917" w:rsidP="000A5389">
            <w:pPr>
              <w:spacing w:line="240" w:lineRule="auto"/>
              <w:jc w:val="center"/>
              <w:rPr>
                <w:rFonts w:eastAsia="Times New Roman" w:cs="Times New Roman"/>
                <w:kern w:val="0"/>
                <w:sz w:val="16"/>
                <w:szCs w:val="16"/>
                <w:lang w:eastAsia="es-CO"/>
                <w14:ligatures w14:val="none"/>
              </w:rPr>
            </w:pPr>
            <w:r w:rsidRPr="00F543A5">
              <w:rPr>
                <w:rFonts w:eastAsia="Times New Roman" w:cs="Times New Roman"/>
                <w:kern w:val="0"/>
                <w:sz w:val="16"/>
                <w:szCs w:val="16"/>
                <w:lang w:eastAsia="es-CO"/>
                <w14:ligatures w14:val="none"/>
              </w:rPr>
              <w:t>0</w:t>
            </w:r>
          </w:p>
        </w:tc>
        <w:tc>
          <w:tcPr>
            <w:tcW w:w="752" w:type="dxa"/>
            <w:noWrap/>
            <w:vAlign w:val="center"/>
            <w:hideMark/>
          </w:tcPr>
          <w:p w14:paraId="04BBE3DA" w14:textId="77777777" w:rsidR="002E4917" w:rsidRPr="00F543A5" w:rsidRDefault="002E4917" w:rsidP="000A5389">
            <w:pPr>
              <w:spacing w:line="240" w:lineRule="auto"/>
              <w:jc w:val="center"/>
              <w:rPr>
                <w:rFonts w:eastAsia="Times New Roman" w:cs="Times New Roman"/>
                <w:kern w:val="0"/>
                <w:sz w:val="16"/>
                <w:szCs w:val="16"/>
                <w:lang w:eastAsia="es-CO"/>
                <w14:ligatures w14:val="none"/>
              </w:rPr>
            </w:pPr>
            <w:r w:rsidRPr="00F543A5">
              <w:rPr>
                <w:rFonts w:eastAsia="Times New Roman" w:cs="Times New Roman"/>
                <w:kern w:val="0"/>
                <w:sz w:val="16"/>
                <w:szCs w:val="16"/>
                <w:lang w:eastAsia="es-CO"/>
                <w14:ligatures w14:val="none"/>
              </w:rPr>
              <w:t>1</w:t>
            </w:r>
          </w:p>
        </w:tc>
        <w:tc>
          <w:tcPr>
            <w:tcW w:w="1465" w:type="dxa"/>
            <w:noWrap/>
            <w:vAlign w:val="center"/>
            <w:hideMark/>
          </w:tcPr>
          <w:p w14:paraId="3720DCCA" w14:textId="77777777" w:rsidR="002E4917" w:rsidRPr="00F543A5" w:rsidRDefault="002E4917" w:rsidP="000A5389">
            <w:pPr>
              <w:spacing w:line="240" w:lineRule="auto"/>
              <w:jc w:val="center"/>
              <w:rPr>
                <w:rFonts w:eastAsia="Times New Roman" w:cs="Times New Roman"/>
                <w:kern w:val="0"/>
                <w:sz w:val="16"/>
                <w:szCs w:val="16"/>
                <w:lang w:eastAsia="es-CO"/>
                <w14:ligatures w14:val="none"/>
              </w:rPr>
            </w:pPr>
            <w:r w:rsidRPr="00F543A5">
              <w:rPr>
                <w:rFonts w:eastAsia="Times New Roman" w:cs="Times New Roman"/>
                <w:kern w:val="0"/>
                <w:sz w:val="16"/>
                <w:szCs w:val="16"/>
                <w:lang w:eastAsia="es-CO"/>
                <w14:ligatures w14:val="none"/>
              </w:rPr>
              <w:t>No aplica</w:t>
            </w:r>
          </w:p>
        </w:tc>
        <w:tc>
          <w:tcPr>
            <w:tcW w:w="843" w:type="dxa"/>
            <w:noWrap/>
            <w:vAlign w:val="center"/>
            <w:hideMark/>
          </w:tcPr>
          <w:p w14:paraId="02C30CE0" w14:textId="77777777" w:rsidR="002E4917" w:rsidRPr="00F543A5" w:rsidRDefault="002E4917" w:rsidP="000A5389">
            <w:pPr>
              <w:spacing w:line="240" w:lineRule="auto"/>
              <w:jc w:val="center"/>
              <w:rPr>
                <w:rFonts w:eastAsia="Times New Roman" w:cs="Times New Roman"/>
                <w:kern w:val="0"/>
                <w:sz w:val="16"/>
                <w:szCs w:val="16"/>
                <w:lang w:eastAsia="es-CO"/>
                <w14:ligatures w14:val="none"/>
              </w:rPr>
            </w:pPr>
            <w:r w:rsidRPr="00F543A5">
              <w:rPr>
                <w:rFonts w:eastAsia="Times New Roman" w:cs="Times New Roman"/>
                <w:kern w:val="0"/>
                <w:sz w:val="16"/>
                <w:szCs w:val="16"/>
                <w:lang w:eastAsia="es-CO"/>
                <w14:ligatures w14:val="none"/>
              </w:rPr>
              <w:t>0</w:t>
            </w:r>
          </w:p>
        </w:tc>
      </w:tr>
      <w:tr w:rsidR="007220B5" w:rsidRPr="00F543A5" w14:paraId="30D308E1" w14:textId="77777777" w:rsidTr="001B10F3">
        <w:trPr>
          <w:trHeight w:val="209"/>
        </w:trPr>
        <w:tc>
          <w:tcPr>
            <w:tcW w:w="2087" w:type="dxa"/>
            <w:vAlign w:val="center"/>
            <w:hideMark/>
          </w:tcPr>
          <w:p w14:paraId="76D58B39" w14:textId="77777777" w:rsidR="002E4917" w:rsidRPr="00F543A5" w:rsidRDefault="002E4917" w:rsidP="000A5389">
            <w:pPr>
              <w:spacing w:line="240" w:lineRule="auto"/>
              <w:rPr>
                <w:rFonts w:eastAsia="Times New Roman" w:cs="Times New Roman"/>
                <w:kern w:val="0"/>
                <w:sz w:val="16"/>
                <w:szCs w:val="16"/>
                <w:lang w:eastAsia="es-CO"/>
                <w14:ligatures w14:val="none"/>
              </w:rPr>
            </w:pPr>
            <w:r w:rsidRPr="00F543A5">
              <w:rPr>
                <w:rFonts w:eastAsia="Times New Roman" w:cs="Times New Roman"/>
                <w:kern w:val="0"/>
                <w:sz w:val="16"/>
                <w:szCs w:val="16"/>
                <w:lang w:eastAsia="es-CO"/>
                <w14:ligatures w14:val="none"/>
              </w:rPr>
              <w:t>Nacionales</w:t>
            </w:r>
          </w:p>
        </w:tc>
        <w:tc>
          <w:tcPr>
            <w:tcW w:w="579" w:type="dxa"/>
            <w:noWrap/>
            <w:vAlign w:val="center"/>
            <w:hideMark/>
          </w:tcPr>
          <w:p w14:paraId="794AF72D" w14:textId="77777777" w:rsidR="002E4917" w:rsidRPr="00F543A5" w:rsidRDefault="002E4917" w:rsidP="000A5389">
            <w:pPr>
              <w:spacing w:line="240" w:lineRule="auto"/>
              <w:jc w:val="center"/>
              <w:rPr>
                <w:rFonts w:eastAsia="Times New Roman" w:cs="Times New Roman"/>
                <w:kern w:val="0"/>
                <w:sz w:val="16"/>
                <w:szCs w:val="16"/>
                <w:lang w:eastAsia="es-CO"/>
                <w14:ligatures w14:val="none"/>
              </w:rPr>
            </w:pPr>
            <w:r w:rsidRPr="00F543A5">
              <w:rPr>
                <w:rFonts w:eastAsia="Times New Roman" w:cs="Times New Roman"/>
                <w:kern w:val="0"/>
                <w:sz w:val="16"/>
                <w:szCs w:val="16"/>
                <w:lang w:eastAsia="es-CO"/>
                <w14:ligatures w14:val="none"/>
              </w:rPr>
              <w:t>PJ</w:t>
            </w:r>
          </w:p>
        </w:tc>
        <w:tc>
          <w:tcPr>
            <w:tcW w:w="1003" w:type="dxa"/>
            <w:noWrap/>
            <w:vAlign w:val="center"/>
            <w:hideMark/>
          </w:tcPr>
          <w:p w14:paraId="4BF961B9" w14:textId="77777777" w:rsidR="002E4917" w:rsidRPr="00F543A5" w:rsidRDefault="002E4917" w:rsidP="000A5389">
            <w:pPr>
              <w:spacing w:line="240" w:lineRule="auto"/>
              <w:jc w:val="center"/>
              <w:rPr>
                <w:rFonts w:eastAsia="Times New Roman" w:cs="Times New Roman"/>
                <w:kern w:val="0"/>
                <w:sz w:val="16"/>
                <w:szCs w:val="16"/>
                <w:lang w:eastAsia="es-CO"/>
                <w14:ligatures w14:val="none"/>
              </w:rPr>
            </w:pPr>
            <w:r w:rsidRPr="00F543A5">
              <w:rPr>
                <w:rFonts w:eastAsia="Times New Roman" w:cs="Times New Roman"/>
                <w:kern w:val="0"/>
                <w:sz w:val="16"/>
                <w:szCs w:val="16"/>
                <w:lang w:eastAsia="es-CO"/>
                <w14:ligatures w14:val="none"/>
              </w:rPr>
              <w:t>9</w:t>
            </w:r>
          </w:p>
        </w:tc>
        <w:tc>
          <w:tcPr>
            <w:tcW w:w="1713" w:type="dxa"/>
            <w:noWrap/>
            <w:vAlign w:val="center"/>
            <w:hideMark/>
          </w:tcPr>
          <w:p w14:paraId="3926D119" w14:textId="77777777" w:rsidR="002E4917" w:rsidRPr="00F543A5" w:rsidRDefault="002E4917" w:rsidP="000A5389">
            <w:pPr>
              <w:spacing w:line="240" w:lineRule="auto"/>
              <w:jc w:val="right"/>
              <w:rPr>
                <w:rFonts w:eastAsia="Times New Roman" w:cs="Times New Roman"/>
                <w:kern w:val="0"/>
                <w:sz w:val="16"/>
                <w:szCs w:val="16"/>
                <w:lang w:eastAsia="es-CO"/>
                <w14:ligatures w14:val="none"/>
              </w:rPr>
            </w:pPr>
            <w:r w:rsidRPr="00F543A5">
              <w:rPr>
                <w:rFonts w:eastAsia="Times New Roman" w:cs="Times New Roman"/>
                <w:kern w:val="0"/>
                <w:sz w:val="16"/>
                <w:szCs w:val="16"/>
                <w:lang w:eastAsia="es-CO"/>
                <w14:ligatures w14:val="none"/>
              </w:rPr>
              <w:t xml:space="preserve">473.593.052 </w:t>
            </w:r>
          </w:p>
        </w:tc>
        <w:tc>
          <w:tcPr>
            <w:tcW w:w="709" w:type="dxa"/>
            <w:noWrap/>
            <w:vAlign w:val="center"/>
            <w:hideMark/>
          </w:tcPr>
          <w:p w14:paraId="21306C39" w14:textId="77777777" w:rsidR="002E4917" w:rsidRPr="00F543A5" w:rsidRDefault="002E4917" w:rsidP="000A5389">
            <w:pPr>
              <w:spacing w:line="240" w:lineRule="auto"/>
              <w:jc w:val="center"/>
              <w:rPr>
                <w:rFonts w:eastAsia="Times New Roman" w:cs="Times New Roman"/>
                <w:kern w:val="0"/>
                <w:sz w:val="16"/>
                <w:szCs w:val="16"/>
                <w:lang w:eastAsia="es-CO"/>
                <w14:ligatures w14:val="none"/>
              </w:rPr>
            </w:pPr>
            <w:r w:rsidRPr="00F543A5">
              <w:rPr>
                <w:rFonts w:eastAsia="Times New Roman" w:cs="Times New Roman"/>
                <w:kern w:val="0"/>
                <w:sz w:val="16"/>
                <w:szCs w:val="16"/>
                <w:lang w:eastAsia="es-CO"/>
                <w14:ligatures w14:val="none"/>
              </w:rPr>
              <w:t>0</w:t>
            </w:r>
          </w:p>
        </w:tc>
        <w:tc>
          <w:tcPr>
            <w:tcW w:w="752" w:type="dxa"/>
            <w:noWrap/>
            <w:vAlign w:val="center"/>
            <w:hideMark/>
          </w:tcPr>
          <w:p w14:paraId="59B48CC4" w14:textId="77777777" w:rsidR="002E4917" w:rsidRPr="00F543A5" w:rsidRDefault="002E4917" w:rsidP="000A5389">
            <w:pPr>
              <w:spacing w:line="240" w:lineRule="auto"/>
              <w:jc w:val="center"/>
              <w:rPr>
                <w:rFonts w:eastAsia="Times New Roman" w:cs="Times New Roman"/>
                <w:kern w:val="0"/>
                <w:sz w:val="16"/>
                <w:szCs w:val="16"/>
                <w:lang w:eastAsia="es-CO"/>
                <w14:ligatures w14:val="none"/>
              </w:rPr>
            </w:pPr>
            <w:r w:rsidRPr="00F543A5">
              <w:rPr>
                <w:rFonts w:eastAsia="Times New Roman" w:cs="Times New Roman"/>
                <w:kern w:val="0"/>
                <w:sz w:val="16"/>
                <w:szCs w:val="16"/>
                <w:lang w:eastAsia="es-CO"/>
                <w14:ligatures w14:val="none"/>
              </w:rPr>
              <w:t>1</w:t>
            </w:r>
          </w:p>
        </w:tc>
        <w:tc>
          <w:tcPr>
            <w:tcW w:w="1465" w:type="dxa"/>
            <w:noWrap/>
            <w:vAlign w:val="center"/>
            <w:hideMark/>
          </w:tcPr>
          <w:p w14:paraId="7E890EAB" w14:textId="77777777" w:rsidR="002E4917" w:rsidRPr="00F543A5" w:rsidRDefault="002E4917" w:rsidP="000A5389">
            <w:pPr>
              <w:spacing w:line="240" w:lineRule="auto"/>
              <w:jc w:val="center"/>
              <w:rPr>
                <w:rFonts w:eastAsia="Times New Roman" w:cs="Times New Roman"/>
                <w:kern w:val="0"/>
                <w:sz w:val="16"/>
                <w:szCs w:val="16"/>
                <w:lang w:eastAsia="es-CO"/>
                <w14:ligatures w14:val="none"/>
              </w:rPr>
            </w:pPr>
            <w:r w:rsidRPr="00F543A5">
              <w:rPr>
                <w:rFonts w:eastAsia="Times New Roman" w:cs="Times New Roman"/>
                <w:kern w:val="0"/>
                <w:sz w:val="16"/>
                <w:szCs w:val="16"/>
                <w:lang w:eastAsia="es-CO"/>
                <w14:ligatures w14:val="none"/>
              </w:rPr>
              <w:t>No aplica</w:t>
            </w:r>
          </w:p>
        </w:tc>
        <w:tc>
          <w:tcPr>
            <w:tcW w:w="843" w:type="dxa"/>
            <w:noWrap/>
            <w:vAlign w:val="center"/>
            <w:hideMark/>
          </w:tcPr>
          <w:p w14:paraId="6B04C3A9" w14:textId="77777777" w:rsidR="002E4917" w:rsidRPr="00F543A5" w:rsidRDefault="002E4917" w:rsidP="000A5389">
            <w:pPr>
              <w:spacing w:line="240" w:lineRule="auto"/>
              <w:jc w:val="center"/>
              <w:rPr>
                <w:rFonts w:eastAsia="Times New Roman" w:cs="Times New Roman"/>
                <w:kern w:val="0"/>
                <w:sz w:val="16"/>
                <w:szCs w:val="16"/>
                <w:lang w:eastAsia="es-CO"/>
                <w14:ligatures w14:val="none"/>
              </w:rPr>
            </w:pPr>
            <w:r w:rsidRPr="00F543A5">
              <w:rPr>
                <w:rFonts w:eastAsia="Times New Roman" w:cs="Times New Roman"/>
                <w:kern w:val="0"/>
                <w:sz w:val="16"/>
                <w:szCs w:val="16"/>
                <w:lang w:eastAsia="es-CO"/>
                <w14:ligatures w14:val="none"/>
              </w:rPr>
              <w:t>0</w:t>
            </w:r>
          </w:p>
        </w:tc>
      </w:tr>
      <w:tr w:rsidR="007220B5" w:rsidRPr="00F543A5" w14:paraId="173DB428" w14:textId="77777777" w:rsidTr="001B10F3">
        <w:trPr>
          <w:trHeight w:val="195"/>
        </w:trPr>
        <w:tc>
          <w:tcPr>
            <w:tcW w:w="2087" w:type="dxa"/>
            <w:noWrap/>
            <w:vAlign w:val="center"/>
            <w:hideMark/>
          </w:tcPr>
          <w:p w14:paraId="2B087B87" w14:textId="77777777" w:rsidR="002E4917" w:rsidRPr="00F543A5" w:rsidRDefault="002E4917" w:rsidP="000A5389">
            <w:pPr>
              <w:spacing w:line="240" w:lineRule="auto"/>
              <w:rPr>
                <w:rFonts w:eastAsia="Times New Roman" w:cs="Times New Roman"/>
                <w:b/>
                <w:kern w:val="0"/>
                <w:sz w:val="16"/>
                <w:szCs w:val="16"/>
                <w:lang w:eastAsia="es-CO"/>
                <w14:ligatures w14:val="none"/>
              </w:rPr>
            </w:pPr>
            <w:r w:rsidRPr="00F543A5">
              <w:rPr>
                <w:rFonts w:eastAsia="Times New Roman" w:cs="Times New Roman"/>
                <w:b/>
                <w:kern w:val="0"/>
                <w:sz w:val="16"/>
                <w:szCs w:val="16"/>
                <w:lang w:eastAsia="es-CO"/>
                <w14:ligatures w14:val="none"/>
              </w:rPr>
              <w:t>Honorarios</w:t>
            </w:r>
          </w:p>
        </w:tc>
        <w:tc>
          <w:tcPr>
            <w:tcW w:w="579" w:type="dxa"/>
            <w:noWrap/>
            <w:vAlign w:val="center"/>
            <w:hideMark/>
          </w:tcPr>
          <w:p w14:paraId="7F77B112" w14:textId="77777777" w:rsidR="002E4917" w:rsidRPr="00F543A5" w:rsidRDefault="002E4917" w:rsidP="000A5389">
            <w:pPr>
              <w:spacing w:line="240" w:lineRule="auto"/>
              <w:rPr>
                <w:rFonts w:eastAsia="Times New Roman" w:cs="Times New Roman"/>
                <w:b/>
                <w:kern w:val="0"/>
                <w:sz w:val="16"/>
                <w:szCs w:val="16"/>
                <w:lang w:eastAsia="es-CO"/>
                <w14:ligatures w14:val="none"/>
              </w:rPr>
            </w:pPr>
            <w:r w:rsidRPr="00F543A5">
              <w:rPr>
                <w:rFonts w:eastAsia="Times New Roman" w:cs="Times New Roman"/>
                <w:b/>
                <w:kern w:val="0"/>
                <w:sz w:val="16"/>
                <w:szCs w:val="16"/>
                <w:lang w:eastAsia="es-CO"/>
                <w14:ligatures w14:val="none"/>
              </w:rPr>
              <w:t> </w:t>
            </w:r>
          </w:p>
        </w:tc>
        <w:tc>
          <w:tcPr>
            <w:tcW w:w="1003" w:type="dxa"/>
            <w:noWrap/>
            <w:vAlign w:val="center"/>
            <w:hideMark/>
          </w:tcPr>
          <w:p w14:paraId="2DD1073C" w14:textId="77777777" w:rsidR="002E4917" w:rsidRPr="00F543A5" w:rsidRDefault="002E4917" w:rsidP="000A5389">
            <w:pPr>
              <w:spacing w:line="240" w:lineRule="auto"/>
              <w:rPr>
                <w:rFonts w:eastAsia="Times New Roman" w:cs="Times New Roman"/>
                <w:b/>
                <w:kern w:val="0"/>
                <w:sz w:val="16"/>
                <w:szCs w:val="16"/>
                <w:lang w:eastAsia="es-CO"/>
                <w14:ligatures w14:val="none"/>
              </w:rPr>
            </w:pPr>
            <w:r w:rsidRPr="00F543A5">
              <w:rPr>
                <w:rFonts w:eastAsia="Times New Roman" w:cs="Times New Roman"/>
                <w:b/>
                <w:kern w:val="0"/>
                <w:sz w:val="16"/>
                <w:szCs w:val="16"/>
                <w:lang w:eastAsia="es-CO"/>
                <w14:ligatures w14:val="none"/>
              </w:rPr>
              <w:t> </w:t>
            </w:r>
          </w:p>
        </w:tc>
        <w:tc>
          <w:tcPr>
            <w:tcW w:w="1713" w:type="dxa"/>
            <w:noWrap/>
            <w:vAlign w:val="center"/>
            <w:hideMark/>
          </w:tcPr>
          <w:p w14:paraId="470F60D6" w14:textId="77777777" w:rsidR="002E4917" w:rsidRPr="00F543A5" w:rsidRDefault="002E4917" w:rsidP="000A5389">
            <w:pPr>
              <w:spacing w:line="240" w:lineRule="auto"/>
              <w:jc w:val="right"/>
              <w:rPr>
                <w:rFonts w:eastAsia="Times New Roman" w:cs="Times New Roman"/>
                <w:b/>
                <w:kern w:val="0"/>
                <w:sz w:val="16"/>
                <w:szCs w:val="16"/>
                <w:lang w:eastAsia="es-CO"/>
                <w14:ligatures w14:val="none"/>
              </w:rPr>
            </w:pPr>
            <w:r w:rsidRPr="00F543A5">
              <w:rPr>
                <w:rFonts w:eastAsia="Times New Roman" w:cs="Times New Roman"/>
                <w:b/>
                <w:kern w:val="0"/>
                <w:sz w:val="16"/>
                <w:szCs w:val="16"/>
                <w:lang w:eastAsia="es-CO"/>
                <w14:ligatures w14:val="none"/>
              </w:rPr>
              <w:t xml:space="preserve">34.294.624 </w:t>
            </w:r>
          </w:p>
        </w:tc>
        <w:tc>
          <w:tcPr>
            <w:tcW w:w="709" w:type="dxa"/>
            <w:noWrap/>
            <w:vAlign w:val="center"/>
            <w:hideMark/>
          </w:tcPr>
          <w:p w14:paraId="3402DBFE" w14:textId="77777777" w:rsidR="002E4917" w:rsidRPr="00F543A5" w:rsidRDefault="002E4917" w:rsidP="000A5389">
            <w:pPr>
              <w:spacing w:line="240" w:lineRule="auto"/>
              <w:jc w:val="center"/>
              <w:rPr>
                <w:rFonts w:eastAsia="Times New Roman" w:cs="Times New Roman"/>
                <w:b/>
                <w:kern w:val="0"/>
                <w:sz w:val="16"/>
                <w:szCs w:val="16"/>
                <w:lang w:eastAsia="es-CO"/>
                <w14:ligatures w14:val="none"/>
              </w:rPr>
            </w:pPr>
            <w:r w:rsidRPr="00F543A5">
              <w:rPr>
                <w:rFonts w:eastAsia="Times New Roman" w:cs="Times New Roman"/>
                <w:b/>
                <w:kern w:val="0"/>
                <w:sz w:val="16"/>
                <w:szCs w:val="16"/>
                <w:lang w:eastAsia="es-CO"/>
                <w14:ligatures w14:val="none"/>
              </w:rPr>
              <w:t> </w:t>
            </w:r>
          </w:p>
        </w:tc>
        <w:tc>
          <w:tcPr>
            <w:tcW w:w="752" w:type="dxa"/>
            <w:noWrap/>
            <w:vAlign w:val="center"/>
            <w:hideMark/>
          </w:tcPr>
          <w:p w14:paraId="6CBE687A" w14:textId="77777777" w:rsidR="002E4917" w:rsidRPr="00F543A5" w:rsidRDefault="002E4917" w:rsidP="000A5389">
            <w:pPr>
              <w:spacing w:line="240" w:lineRule="auto"/>
              <w:jc w:val="center"/>
              <w:rPr>
                <w:rFonts w:eastAsia="Times New Roman" w:cs="Times New Roman"/>
                <w:b/>
                <w:kern w:val="0"/>
                <w:sz w:val="16"/>
                <w:szCs w:val="16"/>
                <w:lang w:eastAsia="es-CO"/>
                <w14:ligatures w14:val="none"/>
              </w:rPr>
            </w:pPr>
            <w:r w:rsidRPr="00F543A5">
              <w:rPr>
                <w:rFonts w:eastAsia="Times New Roman" w:cs="Times New Roman"/>
                <w:b/>
                <w:kern w:val="0"/>
                <w:sz w:val="16"/>
                <w:szCs w:val="16"/>
                <w:lang w:eastAsia="es-CO"/>
                <w14:ligatures w14:val="none"/>
              </w:rPr>
              <w:t> </w:t>
            </w:r>
          </w:p>
        </w:tc>
        <w:tc>
          <w:tcPr>
            <w:tcW w:w="1465" w:type="dxa"/>
            <w:noWrap/>
            <w:vAlign w:val="center"/>
            <w:hideMark/>
          </w:tcPr>
          <w:p w14:paraId="5FBAFBEA" w14:textId="77777777" w:rsidR="002E4917" w:rsidRPr="00F543A5" w:rsidRDefault="002E4917" w:rsidP="000A5389">
            <w:pPr>
              <w:spacing w:line="240" w:lineRule="auto"/>
              <w:rPr>
                <w:rFonts w:eastAsia="Times New Roman" w:cs="Times New Roman"/>
                <w:b/>
                <w:kern w:val="0"/>
                <w:sz w:val="16"/>
                <w:szCs w:val="16"/>
                <w:lang w:eastAsia="es-CO"/>
                <w14:ligatures w14:val="none"/>
              </w:rPr>
            </w:pPr>
            <w:r w:rsidRPr="00F543A5">
              <w:rPr>
                <w:rFonts w:eastAsia="Times New Roman" w:cs="Times New Roman"/>
                <w:b/>
                <w:kern w:val="0"/>
                <w:sz w:val="16"/>
                <w:szCs w:val="16"/>
                <w:lang w:eastAsia="es-CO"/>
                <w14:ligatures w14:val="none"/>
              </w:rPr>
              <w:t> </w:t>
            </w:r>
          </w:p>
        </w:tc>
        <w:tc>
          <w:tcPr>
            <w:tcW w:w="843" w:type="dxa"/>
            <w:noWrap/>
            <w:vAlign w:val="center"/>
            <w:hideMark/>
          </w:tcPr>
          <w:p w14:paraId="235F39EB" w14:textId="77777777" w:rsidR="002E4917" w:rsidRPr="00F543A5" w:rsidRDefault="002E4917" w:rsidP="000A5389">
            <w:pPr>
              <w:spacing w:line="240" w:lineRule="auto"/>
              <w:jc w:val="center"/>
              <w:rPr>
                <w:rFonts w:eastAsia="Times New Roman" w:cs="Times New Roman"/>
                <w:b/>
                <w:kern w:val="0"/>
                <w:sz w:val="16"/>
                <w:szCs w:val="16"/>
                <w:lang w:eastAsia="es-CO"/>
                <w14:ligatures w14:val="none"/>
              </w:rPr>
            </w:pPr>
            <w:r w:rsidRPr="00F543A5">
              <w:rPr>
                <w:rFonts w:eastAsia="Times New Roman" w:cs="Times New Roman"/>
                <w:b/>
                <w:kern w:val="0"/>
                <w:sz w:val="16"/>
                <w:szCs w:val="16"/>
                <w:lang w:eastAsia="es-CO"/>
                <w14:ligatures w14:val="none"/>
              </w:rPr>
              <w:t xml:space="preserve">0,0 </w:t>
            </w:r>
          </w:p>
        </w:tc>
      </w:tr>
      <w:tr w:rsidR="007220B5" w:rsidRPr="00F543A5" w14:paraId="25DEAE79" w14:textId="77777777" w:rsidTr="001B10F3">
        <w:trPr>
          <w:trHeight w:val="209"/>
        </w:trPr>
        <w:tc>
          <w:tcPr>
            <w:tcW w:w="2087" w:type="dxa"/>
            <w:vAlign w:val="center"/>
            <w:hideMark/>
          </w:tcPr>
          <w:p w14:paraId="35351675" w14:textId="77777777" w:rsidR="002E4917" w:rsidRPr="00F543A5" w:rsidRDefault="002E4917" w:rsidP="000A5389">
            <w:pPr>
              <w:spacing w:line="240" w:lineRule="auto"/>
              <w:rPr>
                <w:rFonts w:eastAsia="Times New Roman" w:cs="Times New Roman"/>
                <w:kern w:val="0"/>
                <w:sz w:val="16"/>
                <w:szCs w:val="16"/>
                <w:lang w:eastAsia="es-CO"/>
                <w14:ligatures w14:val="none"/>
              </w:rPr>
            </w:pPr>
            <w:r w:rsidRPr="00F543A5">
              <w:rPr>
                <w:rFonts w:eastAsia="Times New Roman" w:cs="Times New Roman"/>
                <w:kern w:val="0"/>
                <w:sz w:val="16"/>
                <w:szCs w:val="16"/>
                <w:lang w:eastAsia="es-CO"/>
                <w14:ligatures w14:val="none"/>
              </w:rPr>
              <w:t>Nacionales</w:t>
            </w:r>
          </w:p>
        </w:tc>
        <w:tc>
          <w:tcPr>
            <w:tcW w:w="579" w:type="dxa"/>
            <w:noWrap/>
            <w:vAlign w:val="center"/>
            <w:hideMark/>
          </w:tcPr>
          <w:p w14:paraId="50AB5B9F" w14:textId="77777777" w:rsidR="002E4917" w:rsidRPr="00F543A5" w:rsidRDefault="002E4917" w:rsidP="000A5389">
            <w:pPr>
              <w:spacing w:line="240" w:lineRule="auto"/>
              <w:jc w:val="center"/>
              <w:rPr>
                <w:rFonts w:eastAsia="Times New Roman" w:cs="Times New Roman"/>
                <w:kern w:val="0"/>
                <w:sz w:val="16"/>
                <w:szCs w:val="16"/>
                <w:lang w:eastAsia="es-CO"/>
                <w14:ligatures w14:val="none"/>
              </w:rPr>
            </w:pPr>
            <w:r w:rsidRPr="00F543A5">
              <w:rPr>
                <w:rFonts w:eastAsia="Times New Roman" w:cs="Times New Roman"/>
                <w:kern w:val="0"/>
                <w:sz w:val="16"/>
                <w:szCs w:val="16"/>
                <w:lang w:eastAsia="es-CO"/>
                <w14:ligatures w14:val="none"/>
              </w:rPr>
              <w:t>PJ</w:t>
            </w:r>
          </w:p>
        </w:tc>
        <w:tc>
          <w:tcPr>
            <w:tcW w:w="1003" w:type="dxa"/>
            <w:noWrap/>
            <w:vAlign w:val="center"/>
            <w:hideMark/>
          </w:tcPr>
          <w:p w14:paraId="58E6C9C9" w14:textId="77777777" w:rsidR="002E4917" w:rsidRPr="00F543A5" w:rsidRDefault="002E4917" w:rsidP="000A5389">
            <w:pPr>
              <w:spacing w:line="240" w:lineRule="auto"/>
              <w:jc w:val="center"/>
              <w:rPr>
                <w:rFonts w:eastAsia="Times New Roman" w:cs="Times New Roman"/>
                <w:kern w:val="0"/>
                <w:sz w:val="16"/>
                <w:szCs w:val="16"/>
                <w:lang w:eastAsia="es-CO"/>
                <w14:ligatures w14:val="none"/>
              </w:rPr>
            </w:pPr>
            <w:r w:rsidRPr="00F543A5">
              <w:rPr>
                <w:rFonts w:eastAsia="Times New Roman" w:cs="Times New Roman"/>
                <w:kern w:val="0"/>
                <w:sz w:val="16"/>
                <w:szCs w:val="16"/>
                <w:lang w:eastAsia="es-CO"/>
                <w14:ligatures w14:val="none"/>
              </w:rPr>
              <w:t>14</w:t>
            </w:r>
          </w:p>
        </w:tc>
        <w:tc>
          <w:tcPr>
            <w:tcW w:w="1713" w:type="dxa"/>
            <w:noWrap/>
            <w:vAlign w:val="center"/>
            <w:hideMark/>
          </w:tcPr>
          <w:p w14:paraId="28D81ADC" w14:textId="77777777" w:rsidR="002E4917" w:rsidRPr="00F543A5" w:rsidRDefault="002E4917" w:rsidP="000A5389">
            <w:pPr>
              <w:spacing w:line="240" w:lineRule="auto"/>
              <w:jc w:val="right"/>
              <w:rPr>
                <w:rFonts w:eastAsia="Times New Roman" w:cs="Times New Roman"/>
                <w:kern w:val="0"/>
                <w:sz w:val="16"/>
                <w:szCs w:val="16"/>
                <w:lang w:eastAsia="es-CO"/>
                <w14:ligatures w14:val="none"/>
              </w:rPr>
            </w:pPr>
            <w:r w:rsidRPr="00F543A5">
              <w:rPr>
                <w:rFonts w:eastAsia="Times New Roman" w:cs="Times New Roman"/>
                <w:kern w:val="0"/>
                <w:sz w:val="16"/>
                <w:szCs w:val="16"/>
                <w:lang w:eastAsia="es-CO"/>
                <w14:ligatures w14:val="none"/>
              </w:rPr>
              <w:t xml:space="preserve">34.294.624 </w:t>
            </w:r>
          </w:p>
        </w:tc>
        <w:tc>
          <w:tcPr>
            <w:tcW w:w="709" w:type="dxa"/>
            <w:noWrap/>
            <w:vAlign w:val="center"/>
            <w:hideMark/>
          </w:tcPr>
          <w:p w14:paraId="058B208C" w14:textId="77777777" w:rsidR="002E4917" w:rsidRPr="00F543A5" w:rsidRDefault="002E4917" w:rsidP="000A5389">
            <w:pPr>
              <w:spacing w:line="240" w:lineRule="auto"/>
              <w:jc w:val="center"/>
              <w:rPr>
                <w:rFonts w:eastAsia="Times New Roman" w:cs="Times New Roman"/>
                <w:kern w:val="0"/>
                <w:sz w:val="16"/>
                <w:szCs w:val="16"/>
                <w:lang w:eastAsia="es-CO"/>
                <w14:ligatures w14:val="none"/>
              </w:rPr>
            </w:pPr>
            <w:r w:rsidRPr="00F543A5">
              <w:rPr>
                <w:rFonts w:eastAsia="Times New Roman" w:cs="Times New Roman"/>
                <w:kern w:val="0"/>
                <w:sz w:val="16"/>
                <w:szCs w:val="16"/>
                <w:lang w:eastAsia="es-CO"/>
                <w14:ligatures w14:val="none"/>
              </w:rPr>
              <w:t>0</w:t>
            </w:r>
          </w:p>
        </w:tc>
        <w:tc>
          <w:tcPr>
            <w:tcW w:w="752" w:type="dxa"/>
            <w:noWrap/>
            <w:vAlign w:val="center"/>
            <w:hideMark/>
          </w:tcPr>
          <w:p w14:paraId="456C5E4B" w14:textId="77777777" w:rsidR="002E4917" w:rsidRPr="00F543A5" w:rsidRDefault="002E4917" w:rsidP="000A5389">
            <w:pPr>
              <w:spacing w:line="240" w:lineRule="auto"/>
              <w:jc w:val="center"/>
              <w:rPr>
                <w:rFonts w:eastAsia="Times New Roman" w:cs="Times New Roman"/>
                <w:kern w:val="0"/>
                <w:sz w:val="16"/>
                <w:szCs w:val="16"/>
                <w:lang w:eastAsia="es-CO"/>
                <w14:ligatures w14:val="none"/>
              </w:rPr>
            </w:pPr>
            <w:r w:rsidRPr="00F543A5">
              <w:rPr>
                <w:rFonts w:eastAsia="Times New Roman" w:cs="Times New Roman"/>
                <w:kern w:val="0"/>
                <w:sz w:val="16"/>
                <w:szCs w:val="16"/>
                <w:lang w:eastAsia="es-CO"/>
                <w14:ligatures w14:val="none"/>
              </w:rPr>
              <w:t>1</w:t>
            </w:r>
          </w:p>
        </w:tc>
        <w:tc>
          <w:tcPr>
            <w:tcW w:w="1465" w:type="dxa"/>
            <w:noWrap/>
            <w:vAlign w:val="center"/>
            <w:hideMark/>
          </w:tcPr>
          <w:p w14:paraId="696A4F5E" w14:textId="77777777" w:rsidR="002E4917" w:rsidRPr="00F543A5" w:rsidRDefault="002E4917" w:rsidP="000A5389">
            <w:pPr>
              <w:spacing w:line="240" w:lineRule="auto"/>
              <w:jc w:val="center"/>
              <w:rPr>
                <w:rFonts w:eastAsia="Times New Roman" w:cs="Times New Roman"/>
                <w:kern w:val="0"/>
                <w:sz w:val="16"/>
                <w:szCs w:val="16"/>
                <w:lang w:eastAsia="es-CO"/>
                <w14:ligatures w14:val="none"/>
              </w:rPr>
            </w:pPr>
            <w:r w:rsidRPr="00F543A5">
              <w:rPr>
                <w:rFonts w:eastAsia="Times New Roman" w:cs="Times New Roman"/>
                <w:kern w:val="0"/>
                <w:sz w:val="16"/>
                <w:szCs w:val="16"/>
                <w:lang w:eastAsia="es-CO"/>
                <w14:ligatures w14:val="none"/>
              </w:rPr>
              <w:t>No aplica</w:t>
            </w:r>
          </w:p>
        </w:tc>
        <w:tc>
          <w:tcPr>
            <w:tcW w:w="843" w:type="dxa"/>
            <w:noWrap/>
            <w:vAlign w:val="center"/>
            <w:hideMark/>
          </w:tcPr>
          <w:p w14:paraId="2E73A71C" w14:textId="77777777" w:rsidR="002E4917" w:rsidRPr="00F543A5" w:rsidRDefault="002E4917" w:rsidP="000A5389">
            <w:pPr>
              <w:spacing w:line="240" w:lineRule="auto"/>
              <w:jc w:val="center"/>
              <w:rPr>
                <w:rFonts w:eastAsia="Times New Roman" w:cs="Times New Roman"/>
                <w:kern w:val="0"/>
                <w:sz w:val="16"/>
                <w:szCs w:val="16"/>
                <w:lang w:eastAsia="es-CO"/>
                <w14:ligatures w14:val="none"/>
              </w:rPr>
            </w:pPr>
            <w:r w:rsidRPr="00F543A5">
              <w:rPr>
                <w:rFonts w:eastAsia="Times New Roman" w:cs="Times New Roman"/>
                <w:kern w:val="0"/>
                <w:sz w:val="16"/>
                <w:szCs w:val="16"/>
                <w:lang w:eastAsia="es-CO"/>
                <w14:ligatures w14:val="none"/>
              </w:rPr>
              <w:t>0</w:t>
            </w:r>
          </w:p>
        </w:tc>
      </w:tr>
      <w:tr w:rsidR="007220B5" w:rsidRPr="00F543A5" w14:paraId="7E826E00" w14:textId="77777777" w:rsidTr="001B10F3">
        <w:trPr>
          <w:trHeight w:val="195"/>
        </w:trPr>
        <w:tc>
          <w:tcPr>
            <w:tcW w:w="2087" w:type="dxa"/>
            <w:noWrap/>
            <w:vAlign w:val="center"/>
            <w:hideMark/>
          </w:tcPr>
          <w:p w14:paraId="6AD80E81" w14:textId="77777777" w:rsidR="002E4917" w:rsidRPr="00F543A5" w:rsidRDefault="002E4917" w:rsidP="000A5389">
            <w:pPr>
              <w:spacing w:line="240" w:lineRule="auto"/>
              <w:rPr>
                <w:rFonts w:eastAsia="Times New Roman" w:cs="Times New Roman"/>
                <w:b/>
                <w:kern w:val="0"/>
                <w:sz w:val="16"/>
                <w:szCs w:val="16"/>
                <w:lang w:eastAsia="es-CO"/>
                <w14:ligatures w14:val="none"/>
              </w:rPr>
            </w:pPr>
            <w:r w:rsidRPr="00F543A5">
              <w:rPr>
                <w:rFonts w:eastAsia="Times New Roman" w:cs="Times New Roman"/>
                <w:b/>
                <w:kern w:val="0"/>
                <w:sz w:val="16"/>
                <w:szCs w:val="16"/>
                <w:lang w:eastAsia="es-CO"/>
                <w14:ligatures w14:val="none"/>
              </w:rPr>
              <w:t>Otras cuentas por pagar</w:t>
            </w:r>
          </w:p>
        </w:tc>
        <w:tc>
          <w:tcPr>
            <w:tcW w:w="579" w:type="dxa"/>
            <w:noWrap/>
            <w:vAlign w:val="center"/>
            <w:hideMark/>
          </w:tcPr>
          <w:p w14:paraId="7DB14DB1" w14:textId="77777777" w:rsidR="002E4917" w:rsidRPr="00F543A5" w:rsidRDefault="002E4917" w:rsidP="000A5389">
            <w:pPr>
              <w:spacing w:line="240" w:lineRule="auto"/>
              <w:rPr>
                <w:rFonts w:eastAsia="Times New Roman" w:cs="Times New Roman"/>
                <w:b/>
                <w:kern w:val="0"/>
                <w:sz w:val="16"/>
                <w:szCs w:val="16"/>
                <w:lang w:eastAsia="es-CO"/>
                <w14:ligatures w14:val="none"/>
              </w:rPr>
            </w:pPr>
            <w:r w:rsidRPr="00F543A5">
              <w:rPr>
                <w:rFonts w:eastAsia="Times New Roman" w:cs="Times New Roman"/>
                <w:b/>
                <w:kern w:val="0"/>
                <w:sz w:val="16"/>
                <w:szCs w:val="16"/>
                <w:lang w:eastAsia="es-CO"/>
                <w14:ligatures w14:val="none"/>
              </w:rPr>
              <w:t> </w:t>
            </w:r>
          </w:p>
        </w:tc>
        <w:tc>
          <w:tcPr>
            <w:tcW w:w="1003" w:type="dxa"/>
            <w:noWrap/>
            <w:vAlign w:val="center"/>
            <w:hideMark/>
          </w:tcPr>
          <w:p w14:paraId="15FE6F9F" w14:textId="77777777" w:rsidR="002E4917" w:rsidRPr="00F543A5" w:rsidRDefault="002E4917" w:rsidP="000A5389">
            <w:pPr>
              <w:spacing w:line="240" w:lineRule="auto"/>
              <w:rPr>
                <w:rFonts w:eastAsia="Times New Roman" w:cs="Times New Roman"/>
                <w:b/>
                <w:kern w:val="0"/>
                <w:sz w:val="16"/>
                <w:szCs w:val="16"/>
                <w:lang w:eastAsia="es-CO"/>
                <w14:ligatures w14:val="none"/>
              </w:rPr>
            </w:pPr>
            <w:r w:rsidRPr="00F543A5">
              <w:rPr>
                <w:rFonts w:eastAsia="Times New Roman" w:cs="Times New Roman"/>
                <w:b/>
                <w:kern w:val="0"/>
                <w:sz w:val="16"/>
                <w:szCs w:val="16"/>
                <w:lang w:eastAsia="es-CO"/>
                <w14:ligatures w14:val="none"/>
              </w:rPr>
              <w:t> </w:t>
            </w:r>
          </w:p>
        </w:tc>
        <w:tc>
          <w:tcPr>
            <w:tcW w:w="1713" w:type="dxa"/>
            <w:noWrap/>
            <w:vAlign w:val="center"/>
            <w:hideMark/>
          </w:tcPr>
          <w:p w14:paraId="5D0CE507" w14:textId="77777777" w:rsidR="002E4917" w:rsidRPr="00F543A5" w:rsidRDefault="002E4917" w:rsidP="000A5389">
            <w:pPr>
              <w:spacing w:line="240" w:lineRule="auto"/>
              <w:jc w:val="right"/>
              <w:rPr>
                <w:rFonts w:eastAsia="Times New Roman" w:cs="Times New Roman"/>
                <w:b/>
                <w:kern w:val="0"/>
                <w:sz w:val="16"/>
                <w:szCs w:val="16"/>
                <w:lang w:eastAsia="es-CO"/>
                <w14:ligatures w14:val="none"/>
              </w:rPr>
            </w:pPr>
            <w:r w:rsidRPr="00F543A5">
              <w:rPr>
                <w:rFonts w:eastAsia="Times New Roman" w:cs="Times New Roman"/>
                <w:b/>
                <w:kern w:val="0"/>
                <w:sz w:val="16"/>
                <w:szCs w:val="16"/>
                <w:lang w:eastAsia="es-CO"/>
                <w14:ligatures w14:val="none"/>
              </w:rPr>
              <w:t xml:space="preserve">2.997.003 </w:t>
            </w:r>
          </w:p>
        </w:tc>
        <w:tc>
          <w:tcPr>
            <w:tcW w:w="709" w:type="dxa"/>
            <w:noWrap/>
            <w:vAlign w:val="center"/>
            <w:hideMark/>
          </w:tcPr>
          <w:p w14:paraId="52BB1535" w14:textId="77777777" w:rsidR="002E4917" w:rsidRPr="00F543A5" w:rsidRDefault="002E4917" w:rsidP="000A5389">
            <w:pPr>
              <w:spacing w:line="240" w:lineRule="auto"/>
              <w:jc w:val="center"/>
              <w:rPr>
                <w:rFonts w:eastAsia="Times New Roman" w:cs="Times New Roman"/>
                <w:b/>
                <w:kern w:val="0"/>
                <w:sz w:val="16"/>
                <w:szCs w:val="16"/>
                <w:lang w:eastAsia="es-CO"/>
                <w14:ligatures w14:val="none"/>
              </w:rPr>
            </w:pPr>
            <w:r w:rsidRPr="00F543A5">
              <w:rPr>
                <w:rFonts w:eastAsia="Times New Roman" w:cs="Times New Roman"/>
                <w:b/>
                <w:kern w:val="0"/>
                <w:sz w:val="16"/>
                <w:szCs w:val="16"/>
                <w:lang w:eastAsia="es-CO"/>
                <w14:ligatures w14:val="none"/>
              </w:rPr>
              <w:t> </w:t>
            </w:r>
          </w:p>
        </w:tc>
        <w:tc>
          <w:tcPr>
            <w:tcW w:w="752" w:type="dxa"/>
            <w:noWrap/>
            <w:vAlign w:val="center"/>
            <w:hideMark/>
          </w:tcPr>
          <w:p w14:paraId="6E298005" w14:textId="77777777" w:rsidR="002E4917" w:rsidRPr="00F543A5" w:rsidRDefault="002E4917" w:rsidP="000A5389">
            <w:pPr>
              <w:spacing w:line="240" w:lineRule="auto"/>
              <w:jc w:val="center"/>
              <w:rPr>
                <w:rFonts w:eastAsia="Times New Roman" w:cs="Times New Roman"/>
                <w:b/>
                <w:kern w:val="0"/>
                <w:sz w:val="16"/>
                <w:szCs w:val="16"/>
                <w:lang w:eastAsia="es-CO"/>
                <w14:ligatures w14:val="none"/>
              </w:rPr>
            </w:pPr>
            <w:r w:rsidRPr="00F543A5">
              <w:rPr>
                <w:rFonts w:eastAsia="Times New Roman" w:cs="Times New Roman"/>
                <w:b/>
                <w:kern w:val="0"/>
                <w:sz w:val="16"/>
                <w:szCs w:val="16"/>
                <w:lang w:eastAsia="es-CO"/>
                <w14:ligatures w14:val="none"/>
              </w:rPr>
              <w:t> </w:t>
            </w:r>
          </w:p>
        </w:tc>
        <w:tc>
          <w:tcPr>
            <w:tcW w:w="1465" w:type="dxa"/>
            <w:noWrap/>
            <w:vAlign w:val="center"/>
            <w:hideMark/>
          </w:tcPr>
          <w:p w14:paraId="492143FD" w14:textId="77777777" w:rsidR="002E4917" w:rsidRPr="00F543A5" w:rsidRDefault="002E4917" w:rsidP="000A5389">
            <w:pPr>
              <w:spacing w:line="240" w:lineRule="auto"/>
              <w:rPr>
                <w:rFonts w:eastAsia="Times New Roman" w:cs="Times New Roman"/>
                <w:b/>
                <w:kern w:val="0"/>
                <w:sz w:val="16"/>
                <w:szCs w:val="16"/>
                <w:lang w:eastAsia="es-CO"/>
                <w14:ligatures w14:val="none"/>
              </w:rPr>
            </w:pPr>
            <w:r w:rsidRPr="00F543A5">
              <w:rPr>
                <w:rFonts w:eastAsia="Times New Roman" w:cs="Times New Roman"/>
                <w:b/>
                <w:kern w:val="0"/>
                <w:sz w:val="16"/>
                <w:szCs w:val="16"/>
                <w:lang w:eastAsia="es-CO"/>
                <w14:ligatures w14:val="none"/>
              </w:rPr>
              <w:t> </w:t>
            </w:r>
          </w:p>
        </w:tc>
        <w:tc>
          <w:tcPr>
            <w:tcW w:w="843" w:type="dxa"/>
            <w:noWrap/>
            <w:vAlign w:val="center"/>
            <w:hideMark/>
          </w:tcPr>
          <w:p w14:paraId="1C3A2AA3" w14:textId="77777777" w:rsidR="002E4917" w:rsidRPr="00F543A5" w:rsidRDefault="002E4917" w:rsidP="000A5389">
            <w:pPr>
              <w:spacing w:line="240" w:lineRule="auto"/>
              <w:jc w:val="center"/>
              <w:rPr>
                <w:rFonts w:eastAsia="Times New Roman" w:cs="Times New Roman"/>
                <w:b/>
                <w:kern w:val="0"/>
                <w:sz w:val="16"/>
                <w:szCs w:val="16"/>
                <w:lang w:eastAsia="es-CO"/>
                <w14:ligatures w14:val="none"/>
              </w:rPr>
            </w:pPr>
            <w:r w:rsidRPr="00F543A5">
              <w:rPr>
                <w:rFonts w:eastAsia="Times New Roman" w:cs="Times New Roman"/>
                <w:b/>
                <w:kern w:val="0"/>
                <w:sz w:val="16"/>
                <w:szCs w:val="16"/>
                <w:lang w:eastAsia="es-CO"/>
                <w14:ligatures w14:val="none"/>
              </w:rPr>
              <w:t xml:space="preserve">0,0 </w:t>
            </w:r>
          </w:p>
        </w:tc>
      </w:tr>
      <w:tr w:rsidR="007220B5" w:rsidRPr="00F543A5" w14:paraId="79D8B5E8" w14:textId="77777777" w:rsidTr="001B10F3">
        <w:trPr>
          <w:trHeight w:val="209"/>
        </w:trPr>
        <w:tc>
          <w:tcPr>
            <w:tcW w:w="2087" w:type="dxa"/>
            <w:vAlign w:val="center"/>
            <w:hideMark/>
          </w:tcPr>
          <w:p w14:paraId="6CC2FE71" w14:textId="77777777" w:rsidR="002E4917" w:rsidRPr="00F543A5" w:rsidRDefault="002E4917" w:rsidP="000A5389">
            <w:pPr>
              <w:spacing w:line="240" w:lineRule="auto"/>
              <w:rPr>
                <w:rFonts w:eastAsia="Times New Roman" w:cs="Times New Roman"/>
                <w:kern w:val="0"/>
                <w:sz w:val="16"/>
                <w:szCs w:val="16"/>
                <w:lang w:eastAsia="es-CO"/>
                <w14:ligatures w14:val="none"/>
              </w:rPr>
            </w:pPr>
            <w:r w:rsidRPr="00F543A5">
              <w:rPr>
                <w:rFonts w:eastAsia="Times New Roman" w:cs="Times New Roman"/>
                <w:kern w:val="0"/>
                <w:sz w:val="16"/>
                <w:szCs w:val="16"/>
                <w:lang w:eastAsia="es-CO"/>
                <w14:ligatures w14:val="none"/>
              </w:rPr>
              <w:t>Nacionales</w:t>
            </w:r>
          </w:p>
        </w:tc>
        <w:tc>
          <w:tcPr>
            <w:tcW w:w="579" w:type="dxa"/>
            <w:noWrap/>
            <w:vAlign w:val="center"/>
            <w:hideMark/>
          </w:tcPr>
          <w:p w14:paraId="0FA82C6A" w14:textId="77777777" w:rsidR="002E4917" w:rsidRPr="00F543A5" w:rsidRDefault="002E4917" w:rsidP="000A5389">
            <w:pPr>
              <w:spacing w:line="240" w:lineRule="auto"/>
              <w:jc w:val="center"/>
              <w:rPr>
                <w:rFonts w:eastAsia="Times New Roman" w:cs="Times New Roman"/>
                <w:kern w:val="0"/>
                <w:sz w:val="16"/>
                <w:szCs w:val="16"/>
                <w:lang w:eastAsia="es-CO"/>
                <w14:ligatures w14:val="none"/>
              </w:rPr>
            </w:pPr>
            <w:r w:rsidRPr="00F543A5">
              <w:rPr>
                <w:rFonts w:eastAsia="Times New Roman" w:cs="Times New Roman"/>
                <w:kern w:val="0"/>
                <w:sz w:val="16"/>
                <w:szCs w:val="16"/>
                <w:lang w:eastAsia="es-CO"/>
                <w14:ligatures w14:val="none"/>
              </w:rPr>
              <w:t>PJ</w:t>
            </w:r>
          </w:p>
        </w:tc>
        <w:tc>
          <w:tcPr>
            <w:tcW w:w="1003" w:type="dxa"/>
            <w:noWrap/>
            <w:vAlign w:val="center"/>
            <w:hideMark/>
          </w:tcPr>
          <w:p w14:paraId="41BC9F9F" w14:textId="77777777" w:rsidR="002E4917" w:rsidRPr="00F543A5" w:rsidRDefault="002E4917" w:rsidP="000A5389">
            <w:pPr>
              <w:spacing w:line="240" w:lineRule="auto"/>
              <w:jc w:val="center"/>
              <w:rPr>
                <w:rFonts w:eastAsia="Times New Roman" w:cs="Times New Roman"/>
                <w:kern w:val="0"/>
                <w:sz w:val="16"/>
                <w:szCs w:val="16"/>
                <w:lang w:eastAsia="es-CO"/>
                <w14:ligatures w14:val="none"/>
              </w:rPr>
            </w:pPr>
            <w:r w:rsidRPr="00F543A5">
              <w:rPr>
                <w:rFonts w:eastAsia="Times New Roman" w:cs="Times New Roman"/>
                <w:kern w:val="0"/>
                <w:sz w:val="16"/>
                <w:szCs w:val="16"/>
                <w:lang w:eastAsia="es-CO"/>
                <w14:ligatures w14:val="none"/>
              </w:rPr>
              <w:t>1</w:t>
            </w:r>
          </w:p>
        </w:tc>
        <w:tc>
          <w:tcPr>
            <w:tcW w:w="1713" w:type="dxa"/>
            <w:noWrap/>
            <w:vAlign w:val="center"/>
            <w:hideMark/>
          </w:tcPr>
          <w:p w14:paraId="7C446AAE" w14:textId="77777777" w:rsidR="002E4917" w:rsidRPr="00F543A5" w:rsidRDefault="002E4917" w:rsidP="000A5389">
            <w:pPr>
              <w:spacing w:line="240" w:lineRule="auto"/>
              <w:jc w:val="right"/>
              <w:rPr>
                <w:rFonts w:eastAsia="Times New Roman" w:cs="Times New Roman"/>
                <w:kern w:val="0"/>
                <w:sz w:val="16"/>
                <w:szCs w:val="16"/>
                <w:lang w:eastAsia="es-CO"/>
                <w14:ligatures w14:val="none"/>
              </w:rPr>
            </w:pPr>
            <w:r w:rsidRPr="00F543A5">
              <w:rPr>
                <w:rFonts w:eastAsia="Times New Roman" w:cs="Times New Roman"/>
                <w:kern w:val="0"/>
                <w:sz w:val="16"/>
                <w:szCs w:val="16"/>
                <w:lang w:eastAsia="es-CO"/>
                <w14:ligatures w14:val="none"/>
              </w:rPr>
              <w:t xml:space="preserve">2.997.003 </w:t>
            </w:r>
          </w:p>
        </w:tc>
        <w:tc>
          <w:tcPr>
            <w:tcW w:w="709" w:type="dxa"/>
            <w:noWrap/>
            <w:vAlign w:val="center"/>
            <w:hideMark/>
          </w:tcPr>
          <w:p w14:paraId="67BD7FD5" w14:textId="77777777" w:rsidR="002E4917" w:rsidRPr="00F543A5" w:rsidRDefault="002E4917" w:rsidP="000A5389">
            <w:pPr>
              <w:spacing w:line="240" w:lineRule="auto"/>
              <w:jc w:val="center"/>
              <w:rPr>
                <w:rFonts w:eastAsia="Times New Roman" w:cs="Times New Roman"/>
                <w:kern w:val="0"/>
                <w:sz w:val="16"/>
                <w:szCs w:val="16"/>
                <w:lang w:eastAsia="es-CO"/>
                <w14:ligatures w14:val="none"/>
              </w:rPr>
            </w:pPr>
            <w:r w:rsidRPr="00F543A5">
              <w:rPr>
                <w:rFonts w:eastAsia="Times New Roman" w:cs="Times New Roman"/>
                <w:kern w:val="0"/>
                <w:sz w:val="16"/>
                <w:szCs w:val="16"/>
                <w:lang w:eastAsia="es-CO"/>
                <w14:ligatures w14:val="none"/>
              </w:rPr>
              <w:t>0</w:t>
            </w:r>
          </w:p>
        </w:tc>
        <w:tc>
          <w:tcPr>
            <w:tcW w:w="752" w:type="dxa"/>
            <w:noWrap/>
            <w:vAlign w:val="center"/>
            <w:hideMark/>
          </w:tcPr>
          <w:p w14:paraId="6BDDFA80" w14:textId="77777777" w:rsidR="002E4917" w:rsidRPr="00F543A5" w:rsidRDefault="002E4917" w:rsidP="000A5389">
            <w:pPr>
              <w:spacing w:line="240" w:lineRule="auto"/>
              <w:jc w:val="center"/>
              <w:rPr>
                <w:rFonts w:eastAsia="Times New Roman" w:cs="Times New Roman"/>
                <w:kern w:val="0"/>
                <w:sz w:val="16"/>
                <w:szCs w:val="16"/>
                <w:lang w:eastAsia="es-CO"/>
                <w14:ligatures w14:val="none"/>
              </w:rPr>
            </w:pPr>
            <w:r w:rsidRPr="00F543A5">
              <w:rPr>
                <w:rFonts w:eastAsia="Times New Roman" w:cs="Times New Roman"/>
                <w:kern w:val="0"/>
                <w:sz w:val="16"/>
                <w:szCs w:val="16"/>
                <w:lang w:eastAsia="es-CO"/>
                <w14:ligatures w14:val="none"/>
              </w:rPr>
              <w:t>1</w:t>
            </w:r>
          </w:p>
        </w:tc>
        <w:tc>
          <w:tcPr>
            <w:tcW w:w="1465" w:type="dxa"/>
            <w:noWrap/>
            <w:vAlign w:val="center"/>
            <w:hideMark/>
          </w:tcPr>
          <w:p w14:paraId="3DDFDE76" w14:textId="77777777" w:rsidR="002E4917" w:rsidRPr="00F543A5" w:rsidRDefault="002E4917" w:rsidP="000A5389">
            <w:pPr>
              <w:spacing w:line="240" w:lineRule="auto"/>
              <w:jc w:val="center"/>
              <w:rPr>
                <w:rFonts w:eastAsia="Times New Roman" w:cs="Times New Roman"/>
                <w:kern w:val="0"/>
                <w:sz w:val="16"/>
                <w:szCs w:val="16"/>
                <w:lang w:eastAsia="es-CO"/>
                <w14:ligatures w14:val="none"/>
              </w:rPr>
            </w:pPr>
            <w:r w:rsidRPr="00F543A5">
              <w:rPr>
                <w:rFonts w:eastAsia="Times New Roman" w:cs="Times New Roman"/>
                <w:kern w:val="0"/>
                <w:sz w:val="16"/>
                <w:szCs w:val="16"/>
                <w:lang w:eastAsia="es-CO"/>
                <w14:ligatures w14:val="none"/>
              </w:rPr>
              <w:t>No aplica</w:t>
            </w:r>
          </w:p>
        </w:tc>
        <w:tc>
          <w:tcPr>
            <w:tcW w:w="843" w:type="dxa"/>
            <w:noWrap/>
            <w:vAlign w:val="center"/>
            <w:hideMark/>
          </w:tcPr>
          <w:p w14:paraId="50662650" w14:textId="77777777" w:rsidR="002E4917" w:rsidRPr="00F543A5" w:rsidRDefault="002E4917" w:rsidP="000A5389">
            <w:pPr>
              <w:spacing w:line="240" w:lineRule="auto"/>
              <w:jc w:val="center"/>
              <w:rPr>
                <w:rFonts w:eastAsia="Times New Roman" w:cs="Times New Roman"/>
                <w:kern w:val="0"/>
                <w:sz w:val="16"/>
                <w:szCs w:val="16"/>
                <w:lang w:eastAsia="es-CO"/>
                <w14:ligatures w14:val="none"/>
              </w:rPr>
            </w:pPr>
            <w:r w:rsidRPr="00F543A5">
              <w:rPr>
                <w:rFonts w:eastAsia="Times New Roman" w:cs="Times New Roman"/>
                <w:kern w:val="0"/>
                <w:sz w:val="16"/>
                <w:szCs w:val="16"/>
                <w:lang w:eastAsia="es-CO"/>
                <w14:ligatures w14:val="none"/>
              </w:rPr>
              <w:t>0</w:t>
            </w:r>
          </w:p>
        </w:tc>
      </w:tr>
      <w:tr w:rsidR="007220B5" w:rsidRPr="00F543A5" w14:paraId="17F31551" w14:textId="77777777" w:rsidTr="001B10F3">
        <w:trPr>
          <w:trHeight w:val="195"/>
        </w:trPr>
        <w:tc>
          <w:tcPr>
            <w:tcW w:w="2087" w:type="dxa"/>
            <w:noWrap/>
            <w:vAlign w:val="center"/>
            <w:hideMark/>
          </w:tcPr>
          <w:p w14:paraId="09C7863D" w14:textId="210406CC" w:rsidR="002E4917" w:rsidRPr="00F543A5" w:rsidRDefault="002E4917" w:rsidP="000A5389">
            <w:pPr>
              <w:spacing w:line="240" w:lineRule="auto"/>
              <w:rPr>
                <w:rFonts w:eastAsia="Times New Roman" w:cs="Times New Roman"/>
                <w:b/>
                <w:kern w:val="0"/>
                <w:sz w:val="16"/>
                <w:szCs w:val="16"/>
                <w:lang w:eastAsia="es-CO"/>
                <w14:ligatures w14:val="none"/>
              </w:rPr>
            </w:pPr>
            <w:r w:rsidRPr="00F543A5">
              <w:rPr>
                <w:rFonts w:eastAsia="Times New Roman" w:cs="Times New Roman"/>
                <w:b/>
                <w:kern w:val="0"/>
                <w:sz w:val="16"/>
                <w:szCs w:val="16"/>
                <w:lang w:eastAsia="es-CO"/>
                <w14:ligatures w14:val="none"/>
              </w:rPr>
              <w:t xml:space="preserve">Aportes al </w:t>
            </w:r>
            <w:r w:rsidR="00E34EC4" w:rsidRPr="00F543A5">
              <w:rPr>
                <w:rFonts w:eastAsia="Times New Roman" w:cs="Times New Roman"/>
                <w:b/>
                <w:kern w:val="0"/>
                <w:sz w:val="16"/>
                <w:szCs w:val="16"/>
                <w:lang w:eastAsia="es-CO"/>
                <w14:ligatures w14:val="none"/>
              </w:rPr>
              <w:t>ICBF</w:t>
            </w:r>
            <w:r w:rsidRPr="00F543A5">
              <w:rPr>
                <w:rFonts w:eastAsia="Times New Roman" w:cs="Times New Roman"/>
                <w:b/>
                <w:kern w:val="0"/>
                <w:sz w:val="16"/>
                <w:szCs w:val="16"/>
                <w:lang w:eastAsia="es-CO"/>
                <w14:ligatures w14:val="none"/>
              </w:rPr>
              <w:t xml:space="preserve"> y </w:t>
            </w:r>
            <w:r w:rsidR="00E34EC4" w:rsidRPr="00F543A5">
              <w:rPr>
                <w:rFonts w:eastAsia="Times New Roman" w:cs="Times New Roman"/>
                <w:b/>
                <w:kern w:val="0"/>
                <w:sz w:val="16"/>
                <w:szCs w:val="16"/>
                <w:lang w:eastAsia="es-CO"/>
                <w14:ligatures w14:val="none"/>
              </w:rPr>
              <w:t>SENA</w:t>
            </w:r>
          </w:p>
        </w:tc>
        <w:tc>
          <w:tcPr>
            <w:tcW w:w="579" w:type="dxa"/>
            <w:noWrap/>
            <w:vAlign w:val="center"/>
            <w:hideMark/>
          </w:tcPr>
          <w:p w14:paraId="46757680" w14:textId="77777777" w:rsidR="002E4917" w:rsidRPr="00F543A5" w:rsidRDefault="002E4917" w:rsidP="000A5389">
            <w:pPr>
              <w:spacing w:line="240" w:lineRule="auto"/>
              <w:rPr>
                <w:rFonts w:eastAsia="Times New Roman" w:cs="Times New Roman"/>
                <w:b/>
                <w:kern w:val="0"/>
                <w:sz w:val="16"/>
                <w:szCs w:val="16"/>
                <w:lang w:eastAsia="es-CO"/>
                <w14:ligatures w14:val="none"/>
              </w:rPr>
            </w:pPr>
            <w:r w:rsidRPr="00F543A5">
              <w:rPr>
                <w:rFonts w:eastAsia="Times New Roman" w:cs="Times New Roman"/>
                <w:b/>
                <w:kern w:val="0"/>
                <w:sz w:val="16"/>
                <w:szCs w:val="16"/>
                <w:lang w:eastAsia="es-CO"/>
                <w14:ligatures w14:val="none"/>
              </w:rPr>
              <w:t> </w:t>
            </w:r>
          </w:p>
        </w:tc>
        <w:tc>
          <w:tcPr>
            <w:tcW w:w="1003" w:type="dxa"/>
            <w:noWrap/>
            <w:vAlign w:val="center"/>
            <w:hideMark/>
          </w:tcPr>
          <w:p w14:paraId="234FEA03" w14:textId="77777777" w:rsidR="002E4917" w:rsidRPr="00F543A5" w:rsidRDefault="002E4917" w:rsidP="000A5389">
            <w:pPr>
              <w:spacing w:line="240" w:lineRule="auto"/>
              <w:rPr>
                <w:rFonts w:eastAsia="Times New Roman" w:cs="Times New Roman"/>
                <w:b/>
                <w:kern w:val="0"/>
                <w:sz w:val="16"/>
                <w:szCs w:val="16"/>
                <w:lang w:eastAsia="es-CO"/>
                <w14:ligatures w14:val="none"/>
              </w:rPr>
            </w:pPr>
            <w:r w:rsidRPr="00F543A5">
              <w:rPr>
                <w:rFonts w:eastAsia="Times New Roman" w:cs="Times New Roman"/>
                <w:b/>
                <w:kern w:val="0"/>
                <w:sz w:val="16"/>
                <w:szCs w:val="16"/>
                <w:lang w:eastAsia="es-CO"/>
                <w14:ligatures w14:val="none"/>
              </w:rPr>
              <w:t> </w:t>
            </w:r>
          </w:p>
        </w:tc>
        <w:tc>
          <w:tcPr>
            <w:tcW w:w="1713" w:type="dxa"/>
            <w:noWrap/>
            <w:vAlign w:val="center"/>
            <w:hideMark/>
          </w:tcPr>
          <w:p w14:paraId="4BD142F1" w14:textId="77777777" w:rsidR="002E4917" w:rsidRPr="00F543A5" w:rsidRDefault="002E4917" w:rsidP="000A5389">
            <w:pPr>
              <w:spacing w:line="240" w:lineRule="auto"/>
              <w:jc w:val="right"/>
              <w:rPr>
                <w:rFonts w:eastAsia="Times New Roman" w:cs="Times New Roman"/>
                <w:b/>
                <w:kern w:val="0"/>
                <w:sz w:val="16"/>
                <w:szCs w:val="16"/>
                <w:lang w:eastAsia="es-CO"/>
                <w14:ligatures w14:val="none"/>
              </w:rPr>
            </w:pPr>
            <w:r w:rsidRPr="00F543A5">
              <w:rPr>
                <w:rFonts w:eastAsia="Times New Roman" w:cs="Times New Roman"/>
                <w:b/>
                <w:kern w:val="0"/>
                <w:sz w:val="16"/>
                <w:szCs w:val="16"/>
                <w:lang w:eastAsia="es-CO"/>
                <w14:ligatures w14:val="none"/>
              </w:rPr>
              <w:t xml:space="preserve">899.700 </w:t>
            </w:r>
          </w:p>
        </w:tc>
        <w:tc>
          <w:tcPr>
            <w:tcW w:w="709" w:type="dxa"/>
            <w:noWrap/>
            <w:vAlign w:val="center"/>
            <w:hideMark/>
          </w:tcPr>
          <w:p w14:paraId="3601E6D3" w14:textId="77777777" w:rsidR="002E4917" w:rsidRPr="00F543A5" w:rsidRDefault="002E4917" w:rsidP="000A5389">
            <w:pPr>
              <w:spacing w:line="240" w:lineRule="auto"/>
              <w:jc w:val="center"/>
              <w:rPr>
                <w:rFonts w:eastAsia="Times New Roman" w:cs="Times New Roman"/>
                <w:b/>
                <w:kern w:val="0"/>
                <w:sz w:val="16"/>
                <w:szCs w:val="16"/>
                <w:lang w:eastAsia="es-CO"/>
                <w14:ligatures w14:val="none"/>
              </w:rPr>
            </w:pPr>
            <w:r w:rsidRPr="00F543A5">
              <w:rPr>
                <w:rFonts w:eastAsia="Times New Roman" w:cs="Times New Roman"/>
                <w:b/>
                <w:kern w:val="0"/>
                <w:sz w:val="16"/>
                <w:szCs w:val="16"/>
                <w:lang w:eastAsia="es-CO"/>
                <w14:ligatures w14:val="none"/>
              </w:rPr>
              <w:t> </w:t>
            </w:r>
          </w:p>
        </w:tc>
        <w:tc>
          <w:tcPr>
            <w:tcW w:w="752" w:type="dxa"/>
            <w:noWrap/>
            <w:vAlign w:val="center"/>
            <w:hideMark/>
          </w:tcPr>
          <w:p w14:paraId="02010D3D" w14:textId="77777777" w:rsidR="002E4917" w:rsidRPr="00F543A5" w:rsidRDefault="002E4917" w:rsidP="000A5389">
            <w:pPr>
              <w:spacing w:line="240" w:lineRule="auto"/>
              <w:jc w:val="center"/>
              <w:rPr>
                <w:rFonts w:eastAsia="Times New Roman" w:cs="Times New Roman"/>
                <w:b/>
                <w:kern w:val="0"/>
                <w:sz w:val="16"/>
                <w:szCs w:val="16"/>
                <w:lang w:eastAsia="es-CO"/>
                <w14:ligatures w14:val="none"/>
              </w:rPr>
            </w:pPr>
            <w:r w:rsidRPr="00F543A5">
              <w:rPr>
                <w:rFonts w:eastAsia="Times New Roman" w:cs="Times New Roman"/>
                <w:b/>
                <w:kern w:val="0"/>
                <w:sz w:val="16"/>
                <w:szCs w:val="16"/>
                <w:lang w:eastAsia="es-CO"/>
                <w14:ligatures w14:val="none"/>
              </w:rPr>
              <w:t> </w:t>
            </w:r>
          </w:p>
        </w:tc>
        <w:tc>
          <w:tcPr>
            <w:tcW w:w="1465" w:type="dxa"/>
            <w:noWrap/>
            <w:vAlign w:val="center"/>
            <w:hideMark/>
          </w:tcPr>
          <w:p w14:paraId="7D6595CD" w14:textId="77777777" w:rsidR="002E4917" w:rsidRPr="00F543A5" w:rsidRDefault="002E4917" w:rsidP="000A5389">
            <w:pPr>
              <w:spacing w:line="240" w:lineRule="auto"/>
              <w:rPr>
                <w:rFonts w:eastAsia="Times New Roman" w:cs="Times New Roman"/>
                <w:b/>
                <w:kern w:val="0"/>
                <w:sz w:val="16"/>
                <w:szCs w:val="16"/>
                <w:lang w:eastAsia="es-CO"/>
                <w14:ligatures w14:val="none"/>
              </w:rPr>
            </w:pPr>
            <w:r w:rsidRPr="00F543A5">
              <w:rPr>
                <w:rFonts w:eastAsia="Times New Roman" w:cs="Times New Roman"/>
                <w:b/>
                <w:kern w:val="0"/>
                <w:sz w:val="16"/>
                <w:szCs w:val="16"/>
                <w:lang w:eastAsia="es-CO"/>
                <w14:ligatures w14:val="none"/>
              </w:rPr>
              <w:t> </w:t>
            </w:r>
          </w:p>
        </w:tc>
        <w:tc>
          <w:tcPr>
            <w:tcW w:w="843" w:type="dxa"/>
            <w:noWrap/>
            <w:vAlign w:val="center"/>
            <w:hideMark/>
          </w:tcPr>
          <w:p w14:paraId="3D30E5F7" w14:textId="77777777" w:rsidR="002E4917" w:rsidRPr="00F543A5" w:rsidRDefault="002E4917" w:rsidP="000A5389">
            <w:pPr>
              <w:spacing w:line="240" w:lineRule="auto"/>
              <w:jc w:val="center"/>
              <w:rPr>
                <w:rFonts w:eastAsia="Times New Roman" w:cs="Times New Roman"/>
                <w:b/>
                <w:kern w:val="0"/>
                <w:sz w:val="16"/>
                <w:szCs w:val="16"/>
                <w:lang w:eastAsia="es-CO"/>
                <w14:ligatures w14:val="none"/>
              </w:rPr>
            </w:pPr>
            <w:r w:rsidRPr="00F543A5">
              <w:rPr>
                <w:rFonts w:eastAsia="Times New Roman" w:cs="Times New Roman"/>
                <w:b/>
                <w:kern w:val="0"/>
                <w:sz w:val="16"/>
                <w:szCs w:val="16"/>
                <w:lang w:eastAsia="es-CO"/>
                <w14:ligatures w14:val="none"/>
              </w:rPr>
              <w:t xml:space="preserve">0,0 </w:t>
            </w:r>
          </w:p>
        </w:tc>
      </w:tr>
      <w:tr w:rsidR="007220B5" w:rsidRPr="00F543A5" w14:paraId="49C56EA4" w14:textId="77777777" w:rsidTr="001B10F3">
        <w:trPr>
          <w:trHeight w:val="209"/>
        </w:trPr>
        <w:tc>
          <w:tcPr>
            <w:tcW w:w="2087" w:type="dxa"/>
            <w:vAlign w:val="center"/>
            <w:hideMark/>
          </w:tcPr>
          <w:p w14:paraId="63857D12" w14:textId="77777777" w:rsidR="002E4917" w:rsidRPr="00F543A5" w:rsidRDefault="002E4917" w:rsidP="000A5389">
            <w:pPr>
              <w:spacing w:line="240" w:lineRule="auto"/>
              <w:rPr>
                <w:rFonts w:eastAsia="Times New Roman" w:cs="Times New Roman"/>
                <w:kern w:val="0"/>
                <w:sz w:val="16"/>
                <w:szCs w:val="16"/>
                <w:lang w:eastAsia="es-CO"/>
                <w14:ligatures w14:val="none"/>
              </w:rPr>
            </w:pPr>
            <w:r w:rsidRPr="00F543A5">
              <w:rPr>
                <w:rFonts w:eastAsia="Times New Roman" w:cs="Times New Roman"/>
                <w:kern w:val="0"/>
                <w:sz w:val="16"/>
                <w:szCs w:val="16"/>
                <w:lang w:eastAsia="es-CO"/>
                <w14:ligatures w14:val="none"/>
              </w:rPr>
              <w:t>Nacionales</w:t>
            </w:r>
          </w:p>
        </w:tc>
        <w:tc>
          <w:tcPr>
            <w:tcW w:w="579" w:type="dxa"/>
            <w:noWrap/>
            <w:vAlign w:val="center"/>
            <w:hideMark/>
          </w:tcPr>
          <w:p w14:paraId="131C01AB" w14:textId="77777777" w:rsidR="002E4917" w:rsidRPr="00F543A5" w:rsidRDefault="002E4917" w:rsidP="000A5389">
            <w:pPr>
              <w:spacing w:line="240" w:lineRule="auto"/>
              <w:jc w:val="center"/>
              <w:rPr>
                <w:rFonts w:eastAsia="Times New Roman" w:cs="Times New Roman"/>
                <w:kern w:val="0"/>
                <w:sz w:val="16"/>
                <w:szCs w:val="16"/>
                <w:lang w:eastAsia="es-CO"/>
                <w14:ligatures w14:val="none"/>
              </w:rPr>
            </w:pPr>
            <w:r w:rsidRPr="00F543A5">
              <w:rPr>
                <w:rFonts w:eastAsia="Times New Roman" w:cs="Times New Roman"/>
                <w:kern w:val="0"/>
                <w:sz w:val="16"/>
                <w:szCs w:val="16"/>
                <w:lang w:eastAsia="es-CO"/>
                <w14:ligatures w14:val="none"/>
              </w:rPr>
              <w:t>PJ</w:t>
            </w:r>
          </w:p>
        </w:tc>
        <w:tc>
          <w:tcPr>
            <w:tcW w:w="1003" w:type="dxa"/>
            <w:noWrap/>
            <w:vAlign w:val="center"/>
            <w:hideMark/>
          </w:tcPr>
          <w:p w14:paraId="3478C6B4" w14:textId="77777777" w:rsidR="002E4917" w:rsidRPr="00F543A5" w:rsidRDefault="002E4917" w:rsidP="000A5389">
            <w:pPr>
              <w:spacing w:line="240" w:lineRule="auto"/>
              <w:jc w:val="center"/>
              <w:rPr>
                <w:rFonts w:eastAsia="Times New Roman" w:cs="Times New Roman"/>
                <w:kern w:val="0"/>
                <w:sz w:val="16"/>
                <w:szCs w:val="16"/>
                <w:lang w:eastAsia="es-CO"/>
                <w14:ligatures w14:val="none"/>
              </w:rPr>
            </w:pPr>
            <w:r w:rsidRPr="00F543A5">
              <w:rPr>
                <w:rFonts w:eastAsia="Times New Roman" w:cs="Times New Roman"/>
                <w:kern w:val="0"/>
                <w:sz w:val="16"/>
                <w:szCs w:val="16"/>
                <w:lang w:eastAsia="es-CO"/>
                <w14:ligatures w14:val="none"/>
              </w:rPr>
              <w:t>2</w:t>
            </w:r>
          </w:p>
        </w:tc>
        <w:tc>
          <w:tcPr>
            <w:tcW w:w="1713" w:type="dxa"/>
            <w:noWrap/>
            <w:vAlign w:val="center"/>
            <w:hideMark/>
          </w:tcPr>
          <w:p w14:paraId="186BA91B" w14:textId="77777777" w:rsidR="002E4917" w:rsidRPr="00F543A5" w:rsidRDefault="002E4917" w:rsidP="000A5389">
            <w:pPr>
              <w:spacing w:line="240" w:lineRule="auto"/>
              <w:jc w:val="right"/>
              <w:rPr>
                <w:rFonts w:eastAsia="Times New Roman" w:cs="Times New Roman"/>
                <w:kern w:val="0"/>
                <w:sz w:val="16"/>
                <w:szCs w:val="16"/>
                <w:lang w:eastAsia="es-CO"/>
                <w14:ligatures w14:val="none"/>
              </w:rPr>
            </w:pPr>
            <w:r w:rsidRPr="00F543A5">
              <w:rPr>
                <w:rFonts w:eastAsia="Times New Roman" w:cs="Times New Roman"/>
                <w:kern w:val="0"/>
                <w:sz w:val="16"/>
                <w:szCs w:val="16"/>
                <w:lang w:eastAsia="es-CO"/>
                <w14:ligatures w14:val="none"/>
              </w:rPr>
              <w:t xml:space="preserve">899.700 </w:t>
            </w:r>
          </w:p>
        </w:tc>
        <w:tc>
          <w:tcPr>
            <w:tcW w:w="709" w:type="dxa"/>
            <w:noWrap/>
            <w:vAlign w:val="center"/>
            <w:hideMark/>
          </w:tcPr>
          <w:p w14:paraId="75432FBF" w14:textId="77777777" w:rsidR="002E4917" w:rsidRPr="00F543A5" w:rsidRDefault="002E4917" w:rsidP="000A5389">
            <w:pPr>
              <w:spacing w:line="240" w:lineRule="auto"/>
              <w:jc w:val="center"/>
              <w:rPr>
                <w:rFonts w:eastAsia="Times New Roman" w:cs="Times New Roman"/>
                <w:kern w:val="0"/>
                <w:sz w:val="16"/>
                <w:szCs w:val="16"/>
                <w:lang w:eastAsia="es-CO"/>
                <w14:ligatures w14:val="none"/>
              </w:rPr>
            </w:pPr>
            <w:r w:rsidRPr="00F543A5">
              <w:rPr>
                <w:rFonts w:eastAsia="Times New Roman" w:cs="Times New Roman"/>
                <w:kern w:val="0"/>
                <w:sz w:val="16"/>
                <w:szCs w:val="16"/>
                <w:lang w:eastAsia="es-CO"/>
                <w14:ligatures w14:val="none"/>
              </w:rPr>
              <w:t>0</w:t>
            </w:r>
          </w:p>
        </w:tc>
        <w:tc>
          <w:tcPr>
            <w:tcW w:w="752" w:type="dxa"/>
            <w:noWrap/>
            <w:vAlign w:val="center"/>
            <w:hideMark/>
          </w:tcPr>
          <w:p w14:paraId="2D8BA268" w14:textId="77777777" w:rsidR="002E4917" w:rsidRPr="00F543A5" w:rsidRDefault="002E4917" w:rsidP="000A5389">
            <w:pPr>
              <w:spacing w:line="240" w:lineRule="auto"/>
              <w:jc w:val="center"/>
              <w:rPr>
                <w:rFonts w:eastAsia="Times New Roman" w:cs="Times New Roman"/>
                <w:kern w:val="0"/>
                <w:sz w:val="16"/>
                <w:szCs w:val="16"/>
                <w:lang w:eastAsia="es-CO"/>
                <w14:ligatures w14:val="none"/>
              </w:rPr>
            </w:pPr>
            <w:r w:rsidRPr="00F543A5">
              <w:rPr>
                <w:rFonts w:eastAsia="Times New Roman" w:cs="Times New Roman"/>
                <w:kern w:val="0"/>
                <w:sz w:val="16"/>
                <w:szCs w:val="16"/>
                <w:lang w:eastAsia="es-CO"/>
                <w14:ligatures w14:val="none"/>
              </w:rPr>
              <w:t>1</w:t>
            </w:r>
          </w:p>
        </w:tc>
        <w:tc>
          <w:tcPr>
            <w:tcW w:w="1465" w:type="dxa"/>
            <w:noWrap/>
            <w:vAlign w:val="center"/>
            <w:hideMark/>
          </w:tcPr>
          <w:p w14:paraId="60E23889" w14:textId="77777777" w:rsidR="002E4917" w:rsidRPr="00F543A5" w:rsidRDefault="002E4917" w:rsidP="000A5389">
            <w:pPr>
              <w:spacing w:line="240" w:lineRule="auto"/>
              <w:jc w:val="center"/>
              <w:rPr>
                <w:rFonts w:eastAsia="Times New Roman" w:cs="Times New Roman"/>
                <w:kern w:val="0"/>
                <w:sz w:val="16"/>
                <w:szCs w:val="16"/>
                <w:lang w:eastAsia="es-CO"/>
                <w14:ligatures w14:val="none"/>
              </w:rPr>
            </w:pPr>
            <w:r w:rsidRPr="00F543A5">
              <w:rPr>
                <w:rFonts w:eastAsia="Times New Roman" w:cs="Times New Roman"/>
                <w:kern w:val="0"/>
                <w:sz w:val="16"/>
                <w:szCs w:val="16"/>
                <w:lang w:eastAsia="es-CO"/>
                <w14:ligatures w14:val="none"/>
              </w:rPr>
              <w:t>No aplica</w:t>
            </w:r>
          </w:p>
        </w:tc>
        <w:tc>
          <w:tcPr>
            <w:tcW w:w="843" w:type="dxa"/>
            <w:noWrap/>
            <w:vAlign w:val="center"/>
            <w:hideMark/>
          </w:tcPr>
          <w:p w14:paraId="619FC7EB" w14:textId="77777777" w:rsidR="002E4917" w:rsidRPr="00F543A5" w:rsidRDefault="002E4917" w:rsidP="000A5389">
            <w:pPr>
              <w:spacing w:line="240" w:lineRule="auto"/>
              <w:jc w:val="center"/>
              <w:rPr>
                <w:rFonts w:eastAsia="Times New Roman" w:cs="Times New Roman"/>
                <w:kern w:val="0"/>
                <w:sz w:val="16"/>
                <w:szCs w:val="16"/>
                <w:lang w:eastAsia="es-CO"/>
                <w14:ligatures w14:val="none"/>
              </w:rPr>
            </w:pPr>
            <w:r w:rsidRPr="00F543A5">
              <w:rPr>
                <w:rFonts w:eastAsia="Times New Roman" w:cs="Times New Roman"/>
                <w:kern w:val="0"/>
                <w:sz w:val="16"/>
                <w:szCs w:val="16"/>
                <w:lang w:eastAsia="es-CO"/>
                <w14:ligatures w14:val="none"/>
              </w:rPr>
              <w:t>0</w:t>
            </w:r>
          </w:p>
        </w:tc>
      </w:tr>
      <w:tr w:rsidR="007220B5" w:rsidRPr="00F543A5" w14:paraId="7C4AA7BB" w14:textId="77777777" w:rsidTr="001B10F3">
        <w:trPr>
          <w:trHeight w:val="195"/>
        </w:trPr>
        <w:tc>
          <w:tcPr>
            <w:tcW w:w="2087" w:type="dxa"/>
            <w:noWrap/>
            <w:vAlign w:val="center"/>
            <w:hideMark/>
          </w:tcPr>
          <w:p w14:paraId="3632757A" w14:textId="77777777" w:rsidR="002E4917" w:rsidRPr="00F543A5" w:rsidRDefault="002E4917" w:rsidP="000A5389">
            <w:pPr>
              <w:spacing w:line="240" w:lineRule="auto"/>
              <w:rPr>
                <w:rFonts w:eastAsia="Times New Roman" w:cs="Times New Roman"/>
                <w:b/>
                <w:kern w:val="0"/>
                <w:sz w:val="16"/>
                <w:szCs w:val="16"/>
                <w:lang w:eastAsia="es-CO"/>
                <w14:ligatures w14:val="none"/>
              </w:rPr>
            </w:pPr>
            <w:r w:rsidRPr="00F543A5">
              <w:rPr>
                <w:rFonts w:eastAsia="Times New Roman" w:cs="Times New Roman"/>
                <w:b/>
                <w:kern w:val="0"/>
                <w:sz w:val="16"/>
                <w:szCs w:val="16"/>
                <w:lang w:eastAsia="es-CO"/>
                <w14:ligatures w14:val="none"/>
              </w:rPr>
              <w:t>Saldos a favor de beneficiarios</w:t>
            </w:r>
          </w:p>
        </w:tc>
        <w:tc>
          <w:tcPr>
            <w:tcW w:w="579" w:type="dxa"/>
            <w:noWrap/>
            <w:vAlign w:val="center"/>
            <w:hideMark/>
          </w:tcPr>
          <w:p w14:paraId="48D19260" w14:textId="77777777" w:rsidR="002E4917" w:rsidRPr="00F543A5" w:rsidRDefault="002E4917" w:rsidP="000A5389">
            <w:pPr>
              <w:spacing w:line="240" w:lineRule="auto"/>
              <w:rPr>
                <w:rFonts w:eastAsia="Times New Roman" w:cs="Times New Roman"/>
                <w:b/>
                <w:kern w:val="0"/>
                <w:sz w:val="16"/>
                <w:szCs w:val="16"/>
                <w:lang w:eastAsia="es-CO"/>
                <w14:ligatures w14:val="none"/>
              </w:rPr>
            </w:pPr>
            <w:r w:rsidRPr="00F543A5">
              <w:rPr>
                <w:rFonts w:eastAsia="Times New Roman" w:cs="Times New Roman"/>
                <w:b/>
                <w:kern w:val="0"/>
                <w:sz w:val="16"/>
                <w:szCs w:val="16"/>
                <w:lang w:eastAsia="es-CO"/>
                <w14:ligatures w14:val="none"/>
              </w:rPr>
              <w:t> </w:t>
            </w:r>
          </w:p>
        </w:tc>
        <w:tc>
          <w:tcPr>
            <w:tcW w:w="1003" w:type="dxa"/>
            <w:noWrap/>
            <w:vAlign w:val="center"/>
            <w:hideMark/>
          </w:tcPr>
          <w:p w14:paraId="2AE94A89" w14:textId="77777777" w:rsidR="002E4917" w:rsidRPr="00F543A5" w:rsidRDefault="002E4917" w:rsidP="000A5389">
            <w:pPr>
              <w:spacing w:line="240" w:lineRule="auto"/>
              <w:rPr>
                <w:rFonts w:eastAsia="Times New Roman" w:cs="Times New Roman"/>
                <w:b/>
                <w:kern w:val="0"/>
                <w:sz w:val="16"/>
                <w:szCs w:val="16"/>
                <w:lang w:eastAsia="es-CO"/>
                <w14:ligatures w14:val="none"/>
              </w:rPr>
            </w:pPr>
            <w:r w:rsidRPr="00F543A5">
              <w:rPr>
                <w:rFonts w:eastAsia="Times New Roman" w:cs="Times New Roman"/>
                <w:b/>
                <w:kern w:val="0"/>
                <w:sz w:val="16"/>
                <w:szCs w:val="16"/>
                <w:lang w:eastAsia="es-CO"/>
                <w14:ligatures w14:val="none"/>
              </w:rPr>
              <w:t> </w:t>
            </w:r>
          </w:p>
        </w:tc>
        <w:tc>
          <w:tcPr>
            <w:tcW w:w="1713" w:type="dxa"/>
            <w:noWrap/>
            <w:vAlign w:val="center"/>
            <w:hideMark/>
          </w:tcPr>
          <w:p w14:paraId="52DD458E" w14:textId="77777777" w:rsidR="002E4917" w:rsidRPr="00F543A5" w:rsidRDefault="002E4917" w:rsidP="000A5389">
            <w:pPr>
              <w:spacing w:line="240" w:lineRule="auto"/>
              <w:jc w:val="right"/>
              <w:rPr>
                <w:rFonts w:eastAsia="Times New Roman" w:cs="Times New Roman"/>
                <w:b/>
                <w:kern w:val="0"/>
                <w:sz w:val="16"/>
                <w:szCs w:val="16"/>
                <w:lang w:eastAsia="es-CO"/>
                <w14:ligatures w14:val="none"/>
              </w:rPr>
            </w:pPr>
            <w:r w:rsidRPr="00F543A5">
              <w:rPr>
                <w:rFonts w:eastAsia="Times New Roman" w:cs="Times New Roman"/>
                <w:b/>
                <w:kern w:val="0"/>
                <w:sz w:val="16"/>
                <w:szCs w:val="16"/>
                <w:lang w:eastAsia="es-CO"/>
                <w14:ligatures w14:val="none"/>
              </w:rPr>
              <w:t xml:space="preserve">746 </w:t>
            </w:r>
          </w:p>
        </w:tc>
        <w:tc>
          <w:tcPr>
            <w:tcW w:w="709" w:type="dxa"/>
            <w:noWrap/>
            <w:vAlign w:val="center"/>
            <w:hideMark/>
          </w:tcPr>
          <w:p w14:paraId="0DC245FC" w14:textId="77777777" w:rsidR="002E4917" w:rsidRPr="00F543A5" w:rsidRDefault="002E4917" w:rsidP="000A5389">
            <w:pPr>
              <w:spacing w:line="240" w:lineRule="auto"/>
              <w:jc w:val="center"/>
              <w:rPr>
                <w:rFonts w:eastAsia="Times New Roman" w:cs="Times New Roman"/>
                <w:b/>
                <w:kern w:val="0"/>
                <w:sz w:val="16"/>
                <w:szCs w:val="16"/>
                <w:lang w:eastAsia="es-CO"/>
                <w14:ligatures w14:val="none"/>
              </w:rPr>
            </w:pPr>
            <w:r w:rsidRPr="00F543A5">
              <w:rPr>
                <w:rFonts w:eastAsia="Times New Roman" w:cs="Times New Roman"/>
                <w:b/>
                <w:kern w:val="0"/>
                <w:sz w:val="16"/>
                <w:szCs w:val="16"/>
                <w:lang w:eastAsia="es-CO"/>
                <w14:ligatures w14:val="none"/>
              </w:rPr>
              <w:t> </w:t>
            </w:r>
          </w:p>
        </w:tc>
        <w:tc>
          <w:tcPr>
            <w:tcW w:w="752" w:type="dxa"/>
            <w:noWrap/>
            <w:vAlign w:val="center"/>
            <w:hideMark/>
          </w:tcPr>
          <w:p w14:paraId="71038F83" w14:textId="77777777" w:rsidR="002E4917" w:rsidRPr="00F543A5" w:rsidRDefault="002E4917" w:rsidP="000A5389">
            <w:pPr>
              <w:spacing w:line="240" w:lineRule="auto"/>
              <w:jc w:val="center"/>
              <w:rPr>
                <w:rFonts w:eastAsia="Times New Roman" w:cs="Times New Roman"/>
                <w:b/>
                <w:kern w:val="0"/>
                <w:sz w:val="16"/>
                <w:szCs w:val="16"/>
                <w:lang w:eastAsia="es-CO"/>
                <w14:ligatures w14:val="none"/>
              </w:rPr>
            </w:pPr>
            <w:r w:rsidRPr="00F543A5">
              <w:rPr>
                <w:rFonts w:eastAsia="Times New Roman" w:cs="Times New Roman"/>
                <w:b/>
                <w:kern w:val="0"/>
                <w:sz w:val="16"/>
                <w:szCs w:val="16"/>
                <w:lang w:eastAsia="es-CO"/>
                <w14:ligatures w14:val="none"/>
              </w:rPr>
              <w:t> </w:t>
            </w:r>
          </w:p>
        </w:tc>
        <w:tc>
          <w:tcPr>
            <w:tcW w:w="1465" w:type="dxa"/>
            <w:noWrap/>
            <w:vAlign w:val="center"/>
            <w:hideMark/>
          </w:tcPr>
          <w:p w14:paraId="30A592EC" w14:textId="77777777" w:rsidR="002E4917" w:rsidRPr="00F543A5" w:rsidRDefault="002E4917" w:rsidP="000A5389">
            <w:pPr>
              <w:spacing w:line="240" w:lineRule="auto"/>
              <w:rPr>
                <w:rFonts w:eastAsia="Times New Roman" w:cs="Times New Roman"/>
                <w:b/>
                <w:kern w:val="0"/>
                <w:sz w:val="16"/>
                <w:szCs w:val="16"/>
                <w:lang w:eastAsia="es-CO"/>
                <w14:ligatures w14:val="none"/>
              </w:rPr>
            </w:pPr>
            <w:r w:rsidRPr="00F543A5">
              <w:rPr>
                <w:rFonts w:eastAsia="Times New Roman" w:cs="Times New Roman"/>
                <w:b/>
                <w:kern w:val="0"/>
                <w:sz w:val="16"/>
                <w:szCs w:val="16"/>
                <w:lang w:eastAsia="es-CO"/>
                <w14:ligatures w14:val="none"/>
              </w:rPr>
              <w:t> </w:t>
            </w:r>
          </w:p>
        </w:tc>
        <w:tc>
          <w:tcPr>
            <w:tcW w:w="843" w:type="dxa"/>
            <w:noWrap/>
            <w:vAlign w:val="center"/>
            <w:hideMark/>
          </w:tcPr>
          <w:p w14:paraId="5B0224CD" w14:textId="77777777" w:rsidR="002E4917" w:rsidRPr="00F543A5" w:rsidRDefault="002E4917" w:rsidP="000A5389">
            <w:pPr>
              <w:spacing w:line="240" w:lineRule="auto"/>
              <w:jc w:val="center"/>
              <w:rPr>
                <w:rFonts w:eastAsia="Times New Roman" w:cs="Times New Roman"/>
                <w:b/>
                <w:kern w:val="0"/>
                <w:sz w:val="16"/>
                <w:szCs w:val="16"/>
                <w:lang w:eastAsia="es-CO"/>
                <w14:ligatures w14:val="none"/>
              </w:rPr>
            </w:pPr>
            <w:r w:rsidRPr="00F543A5">
              <w:rPr>
                <w:rFonts w:eastAsia="Times New Roman" w:cs="Times New Roman"/>
                <w:b/>
                <w:kern w:val="0"/>
                <w:sz w:val="16"/>
                <w:szCs w:val="16"/>
                <w:lang w:eastAsia="es-CO"/>
                <w14:ligatures w14:val="none"/>
              </w:rPr>
              <w:t xml:space="preserve">0,0 </w:t>
            </w:r>
          </w:p>
        </w:tc>
      </w:tr>
      <w:tr w:rsidR="007220B5" w:rsidRPr="00F543A5" w14:paraId="7A36B897" w14:textId="77777777" w:rsidTr="001B10F3">
        <w:trPr>
          <w:trHeight w:val="209"/>
        </w:trPr>
        <w:tc>
          <w:tcPr>
            <w:tcW w:w="2087" w:type="dxa"/>
            <w:vAlign w:val="center"/>
            <w:hideMark/>
          </w:tcPr>
          <w:p w14:paraId="5711BA47" w14:textId="77777777" w:rsidR="002E4917" w:rsidRPr="00F543A5" w:rsidRDefault="002E4917" w:rsidP="000A5389">
            <w:pPr>
              <w:spacing w:line="240" w:lineRule="auto"/>
              <w:rPr>
                <w:rFonts w:eastAsia="Times New Roman" w:cs="Times New Roman"/>
                <w:kern w:val="0"/>
                <w:sz w:val="16"/>
                <w:szCs w:val="16"/>
                <w:lang w:eastAsia="es-CO"/>
                <w14:ligatures w14:val="none"/>
              </w:rPr>
            </w:pPr>
            <w:r w:rsidRPr="00F543A5">
              <w:rPr>
                <w:rFonts w:eastAsia="Times New Roman" w:cs="Times New Roman"/>
                <w:kern w:val="0"/>
                <w:sz w:val="16"/>
                <w:szCs w:val="16"/>
                <w:lang w:eastAsia="es-CO"/>
                <w14:ligatures w14:val="none"/>
              </w:rPr>
              <w:t>Nacionales</w:t>
            </w:r>
          </w:p>
        </w:tc>
        <w:tc>
          <w:tcPr>
            <w:tcW w:w="579" w:type="dxa"/>
            <w:noWrap/>
            <w:vAlign w:val="center"/>
            <w:hideMark/>
          </w:tcPr>
          <w:p w14:paraId="5E240DAF" w14:textId="77777777" w:rsidR="002E4917" w:rsidRPr="00F543A5" w:rsidRDefault="002E4917" w:rsidP="000A5389">
            <w:pPr>
              <w:spacing w:line="240" w:lineRule="auto"/>
              <w:jc w:val="center"/>
              <w:rPr>
                <w:rFonts w:eastAsia="Times New Roman" w:cs="Times New Roman"/>
                <w:kern w:val="0"/>
                <w:sz w:val="16"/>
                <w:szCs w:val="16"/>
                <w:lang w:eastAsia="es-CO"/>
                <w14:ligatures w14:val="none"/>
              </w:rPr>
            </w:pPr>
            <w:r w:rsidRPr="00F543A5">
              <w:rPr>
                <w:rFonts w:eastAsia="Times New Roman" w:cs="Times New Roman"/>
                <w:kern w:val="0"/>
                <w:sz w:val="16"/>
                <w:szCs w:val="16"/>
                <w:lang w:eastAsia="es-CO"/>
                <w14:ligatures w14:val="none"/>
              </w:rPr>
              <w:t>PN</w:t>
            </w:r>
          </w:p>
        </w:tc>
        <w:tc>
          <w:tcPr>
            <w:tcW w:w="1003" w:type="dxa"/>
            <w:noWrap/>
            <w:vAlign w:val="center"/>
            <w:hideMark/>
          </w:tcPr>
          <w:p w14:paraId="282DCEE3" w14:textId="77777777" w:rsidR="002E4917" w:rsidRPr="00F543A5" w:rsidRDefault="002E4917" w:rsidP="000A5389">
            <w:pPr>
              <w:spacing w:line="240" w:lineRule="auto"/>
              <w:jc w:val="center"/>
              <w:rPr>
                <w:rFonts w:eastAsia="Times New Roman" w:cs="Times New Roman"/>
                <w:kern w:val="0"/>
                <w:sz w:val="16"/>
                <w:szCs w:val="16"/>
                <w:lang w:eastAsia="es-CO"/>
                <w14:ligatures w14:val="none"/>
              </w:rPr>
            </w:pPr>
            <w:r w:rsidRPr="00F543A5">
              <w:rPr>
                <w:rFonts w:eastAsia="Times New Roman" w:cs="Times New Roman"/>
                <w:kern w:val="0"/>
                <w:sz w:val="16"/>
                <w:szCs w:val="16"/>
                <w:lang w:eastAsia="es-CO"/>
                <w14:ligatures w14:val="none"/>
              </w:rPr>
              <w:t>1</w:t>
            </w:r>
          </w:p>
        </w:tc>
        <w:tc>
          <w:tcPr>
            <w:tcW w:w="1713" w:type="dxa"/>
            <w:noWrap/>
            <w:vAlign w:val="center"/>
            <w:hideMark/>
          </w:tcPr>
          <w:p w14:paraId="0066ABEB" w14:textId="77777777" w:rsidR="002E4917" w:rsidRPr="00F543A5" w:rsidRDefault="002E4917" w:rsidP="000A5389">
            <w:pPr>
              <w:spacing w:line="240" w:lineRule="auto"/>
              <w:jc w:val="right"/>
              <w:rPr>
                <w:rFonts w:eastAsia="Times New Roman" w:cs="Times New Roman"/>
                <w:kern w:val="0"/>
                <w:sz w:val="16"/>
                <w:szCs w:val="16"/>
                <w:lang w:eastAsia="es-CO"/>
                <w14:ligatures w14:val="none"/>
              </w:rPr>
            </w:pPr>
            <w:r w:rsidRPr="00F543A5">
              <w:rPr>
                <w:rFonts w:eastAsia="Times New Roman" w:cs="Times New Roman"/>
                <w:kern w:val="0"/>
                <w:sz w:val="16"/>
                <w:szCs w:val="16"/>
                <w:lang w:eastAsia="es-CO"/>
                <w14:ligatures w14:val="none"/>
              </w:rPr>
              <w:t xml:space="preserve">746 </w:t>
            </w:r>
          </w:p>
        </w:tc>
        <w:tc>
          <w:tcPr>
            <w:tcW w:w="709" w:type="dxa"/>
            <w:noWrap/>
            <w:vAlign w:val="center"/>
            <w:hideMark/>
          </w:tcPr>
          <w:p w14:paraId="7DDDF47D" w14:textId="77777777" w:rsidR="002E4917" w:rsidRPr="00F543A5" w:rsidRDefault="002E4917" w:rsidP="000A5389">
            <w:pPr>
              <w:spacing w:line="240" w:lineRule="auto"/>
              <w:jc w:val="center"/>
              <w:rPr>
                <w:rFonts w:eastAsia="Times New Roman" w:cs="Times New Roman"/>
                <w:kern w:val="0"/>
                <w:sz w:val="16"/>
                <w:szCs w:val="16"/>
                <w:lang w:eastAsia="es-CO"/>
                <w14:ligatures w14:val="none"/>
              </w:rPr>
            </w:pPr>
            <w:r w:rsidRPr="00F543A5">
              <w:rPr>
                <w:rFonts w:eastAsia="Times New Roman" w:cs="Times New Roman"/>
                <w:kern w:val="0"/>
                <w:sz w:val="16"/>
                <w:szCs w:val="16"/>
                <w:lang w:eastAsia="es-CO"/>
                <w14:ligatures w14:val="none"/>
              </w:rPr>
              <w:t>0</w:t>
            </w:r>
          </w:p>
        </w:tc>
        <w:tc>
          <w:tcPr>
            <w:tcW w:w="752" w:type="dxa"/>
            <w:noWrap/>
            <w:vAlign w:val="center"/>
            <w:hideMark/>
          </w:tcPr>
          <w:p w14:paraId="46F9605D" w14:textId="77777777" w:rsidR="002E4917" w:rsidRPr="00F543A5" w:rsidRDefault="002E4917" w:rsidP="000A5389">
            <w:pPr>
              <w:spacing w:line="240" w:lineRule="auto"/>
              <w:jc w:val="center"/>
              <w:rPr>
                <w:rFonts w:eastAsia="Times New Roman" w:cs="Times New Roman"/>
                <w:kern w:val="0"/>
                <w:sz w:val="16"/>
                <w:szCs w:val="16"/>
                <w:lang w:eastAsia="es-CO"/>
                <w14:ligatures w14:val="none"/>
              </w:rPr>
            </w:pPr>
            <w:r w:rsidRPr="00F543A5">
              <w:rPr>
                <w:rFonts w:eastAsia="Times New Roman" w:cs="Times New Roman"/>
                <w:kern w:val="0"/>
                <w:sz w:val="16"/>
                <w:szCs w:val="16"/>
                <w:lang w:eastAsia="es-CO"/>
                <w14:ligatures w14:val="none"/>
              </w:rPr>
              <w:t>1</w:t>
            </w:r>
          </w:p>
        </w:tc>
        <w:tc>
          <w:tcPr>
            <w:tcW w:w="1465" w:type="dxa"/>
            <w:noWrap/>
            <w:vAlign w:val="center"/>
            <w:hideMark/>
          </w:tcPr>
          <w:p w14:paraId="67F2A8DF" w14:textId="77777777" w:rsidR="002E4917" w:rsidRPr="00F543A5" w:rsidRDefault="002E4917" w:rsidP="000A5389">
            <w:pPr>
              <w:spacing w:line="240" w:lineRule="auto"/>
              <w:jc w:val="center"/>
              <w:rPr>
                <w:rFonts w:eastAsia="Times New Roman" w:cs="Times New Roman"/>
                <w:kern w:val="0"/>
                <w:sz w:val="16"/>
                <w:szCs w:val="16"/>
                <w:lang w:eastAsia="es-CO"/>
                <w14:ligatures w14:val="none"/>
              </w:rPr>
            </w:pPr>
            <w:r w:rsidRPr="00F543A5">
              <w:rPr>
                <w:rFonts w:eastAsia="Times New Roman" w:cs="Times New Roman"/>
                <w:kern w:val="0"/>
                <w:sz w:val="16"/>
                <w:szCs w:val="16"/>
                <w:lang w:eastAsia="es-CO"/>
                <w14:ligatures w14:val="none"/>
              </w:rPr>
              <w:t>No aplica</w:t>
            </w:r>
          </w:p>
        </w:tc>
        <w:tc>
          <w:tcPr>
            <w:tcW w:w="843" w:type="dxa"/>
            <w:noWrap/>
            <w:vAlign w:val="center"/>
            <w:hideMark/>
          </w:tcPr>
          <w:p w14:paraId="63457217" w14:textId="77777777" w:rsidR="002E4917" w:rsidRPr="00F543A5" w:rsidRDefault="002E4917" w:rsidP="000A5389">
            <w:pPr>
              <w:spacing w:line="240" w:lineRule="auto"/>
              <w:jc w:val="center"/>
              <w:rPr>
                <w:rFonts w:eastAsia="Times New Roman" w:cs="Times New Roman"/>
                <w:kern w:val="0"/>
                <w:sz w:val="16"/>
                <w:szCs w:val="16"/>
                <w:lang w:eastAsia="es-CO"/>
                <w14:ligatures w14:val="none"/>
              </w:rPr>
            </w:pPr>
            <w:r w:rsidRPr="00F543A5">
              <w:rPr>
                <w:rFonts w:eastAsia="Times New Roman" w:cs="Times New Roman"/>
                <w:kern w:val="0"/>
                <w:sz w:val="16"/>
                <w:szCs w:val="16"/>
                <w:lang w:eastAsia="es-CO"/>
                <w14:ligatures w14:val="none"/>
              </w:rPr>
              <w:t> </w:t>
            </w:r>
          </w:p>
        </w:tc>
      </w:tr>
      <w:tr w:rsidR="007220B5" w:rsidRPr="00F543A5" w14:paraId="0447A3E5" w14:textId="77777777" w:rsidTr="001B10F3">
        <w:trPr>
          <w:trHeight w:val="195"/>
        </w:trPr>
        <w:tc>
          <w:tcPr>
            <w:tcW w:w="2087" w:type="dxa"/>
            <w:noWrap/>
            <w:vAlign w:val="center"/>
            <w:hideMark/>
          </w:tcPr>
          <w:p w14:paraId="205469B3" w14:textId="77777777" w:rsidR="002E4917" w:rsidRPr="00F543A5" w:rsidRDefault="002E4917" w:rsidP="000A5389">
            <w:pPr>
              <w:spacing w:line="240" w:lineRule="auto"/>
              <w:rPr>
                <w:rFonts w:eastAsia="Times New Roman" w:cs="Times New Roman"/>
                <w:b/>
                <w:kern w:val="0"/>
                <w:sz w:val="16"/>
                <w:szCs w:val="16"/>
                <w:lang w:eastAsia="es-CO"/>
                <w14:ligatures w14:val="none"/>
              </w:rPr>
            </w:pPr>
            <w:r w:rsidRPr="00F543A5">
              <w:rPr>
                <w:rFonts w:eastAsia="Times New Roman" w:cs="Times New Roman"/>
                <w:b/>
                <w:kern w:val="0"/>
                <w:sz w:val="16"/>
                <w:szCs w:val="16"/>
                <w:lang w:eastAsia="es-CO"/>
                <w14:ligatures w14:val="none"/>
              </w:rPr>
              <w:t>Arrendamiento operativo</w:t>
            </w:r>
          </w:p>
        </w:tc>
        <w:tc>
          <w:tcPr>
            <w:tcW w:w="579" w:type="dxa"/>
            <w:noWrap/>
            <w:vAlign w:val="center"/>
            <w:hideMark/>
          </w:tcPr>
          <w:p w14:paraId="6167C0C8" w14:textId="77777777" w:rsidR="002E4917" w:rsidRPr="00F543A5" w:rsidRDefault="002E4917" w:rsidP="000A5389">
            <w:pPr>
              <w:spacing w:line="240" w:lineRule="auto"/>
              <w:rPr>
                <w:rFonts w:eastAsia="Times New Roman" w:cs="Times New Roman"/>
                <w:b/>
                <w:kern w:val="0"/>
                <w:sz w:val="16"/>
                <w:szCs w:val="16"/>
                <w:lang w:eastAsia="es-CO"/>
                <w14:ligatures w14:val="none"/>
              </w:rPr>
            </w:pPr>
            <w:r w:rsidRPr="00F543A5">
              <w:rPr>
                <w:rFonts w:eastAsia="Times New Roman" w:cs="Times New Roman"/>
                <w:b/>
                <w:kern w:val="0"/>
                <w:sz w:val="16"/>
                <w:szCs w:val="16"/>
                <w:lang w:eastAsia="es-CO"/>
                <w14:ligatures w14:val="none"/>
              </w:rPr>
              <w:t> </w:t>
            </w:r>
          </w:p>
        </w:tc>
        <w:tc>
          <w:tcPr>
            <w:tcW w:w="1003" w:type="dxa"/>
            <w:noWrap/>
            <w:vAlign w:val="center"/>
            <w:hideMark/>
          </w:tcPr>
          <w:p w14:paraId="645BA0CE" w14:textId="77777777" w:rsidR="002E4917" w:rsidRPr="00F543A5" w:rsidRDefault="002E4917" w:rsidP="000A5389">
            <w:pPr>
              <w:spacing w:line="240" w:lineRule="auto"/>
              <w:rPr>
                <w:rFonts w:eastAsia="Times New Roman" w:cs="Times New Roman"/>
                <w:b/>
                <w:kern w:val="0"/>
                <w:sz w:val="16"/>
                <w:szCs w:val="16"/>
                <w:lang w:eastAsia="es-CO"/>
                <w14:ligatures w14:val="none"/>
              </w:rPr>
            </w:pPr>
            <w:r w:rsidRPr="00F543A5">
              <w:rPr>
                <w:rFonts w:eastAsia="Times New Roman" w:cs="Times New Roman"/>
                <w:b/>
                <w:kern w:val="0"/>
                <w:sz w:val="16"/>
                <w:szCs w:val="16"/>
                <w:lang w:eastAsia="es-CO"/>
                <w14:ligatures w14:val="none"/>
              </w:rPr>
              <w:t> </w:t>
            </w:r>
          </w:p>
        </w:tc>
        <w:tc>
          <w:tcPr>
            <w:tcW w:w="1713" w:type="dxa"/>
            <w:noWrap/>
            <w:vAlign w:val="center"/>
            <w:hideMark/>
          </w:tcPr>
          <w:p w14:paraId="2A34EB1C" w14:textId="77777777" w:rsidR="002E4917" w:rsidRPr="00F543A5" w:rsidRDefault="002E4917" w:rsidP="000A5389">
            <w:pPr>
              <w:spacing w:line="240" w:lineRule="auto"/>
              <w:jc w:val="right"/>
              <w:rPr>
                <w:rFonts w:eastAsia="Times New Roman" w:cs="Times New Roman"/>
                <w:b/>
                <w:kern w:val="0"/>
                <w:sz w:val="16"/>
                <w:szCs w:val="16"/>
                <w:lang w:eastAsia="es-CO"/>
                <w14:ligatures w14:val="none"/>
              </w:rPr>
            </w:pPr>
            <w:r w:rsidRPr="00F543A5">
              <w:rPr>
                <w:rFonts w:eastAsia="Times New Roman" w:cs="Times New Roman"/>
                <w:b/>
                <w:kern w:val="0"/>
                <w:sz w:val="16"/>
                <w:szCs w:val="16"/>
                <w:lang w:eastAsia="es-CO"/>
                <w14:ligatures w14:val="none"/>
              </w:rPr>
              <w:t xml:space="preserve">11 </w:t>
            </w:r>
          </w:p>
        </w:tc>
        <w:tc>
          <w:tcPr>
            <w:tcW w:w="709" w:type="dxa"/>
            <w:noWrap/>
            <w:vAlign w:val="center"/>
            <w:hideMark/>
          </w:tcPr>
          <w:p w14:paraId="4B2C56B4" w14:textId="77777777" w:rsidR="002E4917" w:rsidRPr="00F543A5" w:rsidRDefault="002E4917" w:rsidP="000A5389">
            <w:pPr>
              <w:spacing w:line="240" w:lineRule="auto"/>
              <w:jc w:val="center"/>
              <w:rPr>
                <w:rFonts w:eastAsia="Times New Roman" w:cs="Times New Roman"/>
                <w:b/>
                <w:kern w:val="0"/>
                <w:sz w:val="16"/>
                <w:szCs w:val="16"/>
                <w:lang w:eastAsia="es-CO"/>
                <w14:ligatures w14:val="none"/>
              </w:rPr>
            </w:pPr>
            <w:r w:rsidRPr="00F543A5">
              <w:rPr>
                <w:rFonts w:eastAsia="Times New Roman" w:cs="Times New Roman"/>
                <w:b/>
                <w:kern w:val="0"/>
                <w:sz w:val="16"/>
                <w:szCs w:val="16"/>
                <w:lang w:eastAsia="es-CO"/>
                <w14:ligatures w14:val="none"/>
              </w:rPr>
              <w:t> </w:t>
            </w:r>
          </w:p>
        </w:tc>
        <w:tc>
          <w:tcPr>
            <w:tcW w:w="752" w:type="dxa"/>
            <w:noWrap/>
            <w:vAlign w:val="center"/>
            <w:hideMark/>
          </w:tcPr>
          <w:p w14:paraId="7F0726CE" w14:textId="77777777" w:rsidR="002E4917" w:rsidRPr="00F543A5" w:rsidRDefault="002E4917" w:rsidP="000A5389">
            <w:pPr>
              <w:spacing w:line="240" w:lineRule="auto"/>
              <w:jc w:val="center"/>
              <w:rPr>
                <w:rFonts w:eastAsia="Times New Roman" w:cs="Times New Roman"/>
                <w:b/>
                <w:kern w:val="0"/>
                <w:sz w:val="16"/>
                <w:szCs w:val="16"/>
                <w:lang w:eastAsia="es-CO"/>
                <w14:ligatures w14:val="none"/>
              </w:rPr>
            </w:pPr>
            <w:r w:rsidRPr="00F543A5">
              <w:rPr>
                <w:rFonts w:eastAsia="Times New Roman" w:cs="Times New Roman"/>
                <w:b/>
                <w:kern w:val="0"/>
                <w:sz w:val="16"/>
                <w:szCs w:val="16"/>
                <w:lang w:eastAsia="es-CO"/>
                <w14:ligatures w14:val="none"/>
              </w:rPr>
              <w:t> </w:t>
            </w:r>
          </w:p>
        </w:tc>
        <w:tc>
          <w:tcPr>
            <w:tcW w:w="1465" w:type="dxa"/>
            <w:noWrap/>
            <w:vAlign w:val="center"/>
            <w:hideMark/>
          </w:tcPr>
          <w:p w14:paraId="5068B0DC" w14:textId="77777777" w:rsidR="002E4917" w:rsidRPr="00F543A5" w:rsidRDefault="002E4917" w:rsidP="000A5389">
            <w:pPr>
              <w:spacing w:line="240" w:lineRule="auto"/>
              <w:rPr>
                <w:rFonts w:eastAsia="Times New Roman" w:cs="Times New Roman"/>
                <w:b/>
                <w:kern w:val="0"/>
                <w:sz w:val="16"/>
                <w:szCs w:val="16"/>
                <w:lang w:eastAsia="es-CO"/>
                <w14:ligatures w14:val="none"/>
              </w:rPr>
            </w:pPr>
            <w:r w:rsidRPr="00F543A5">
              <w:rPr>
                <w:rFonts w:eastAsia="Times New Roman" w:cs="Times New Roman"/>
                <w:b/>
                <w:kern w:val="0"/>
                <w:sz w:val="16"/>
                <w:szCs w:val="16"/>
                <w:lang w:eastAsia="es-CO"/>
                <w14:ligatures w14:val="none"/>
              </w:rPr>
              <w:t> </w:t>
            </w:r>
          </w:p>
        </w:tc>
        <w:tc>
          <w:tcPr>
            <w:tcW w:w="843" w:type="dxa"/>
            <w:noWrap/>
            <w:vAlign w:val="center"/>
            <w:hideMark/>
          </w:tcPr>
          <w:p w14:paraId="5B55C3DC" w14:textId="77777777" w:rsidR="002E4917" w:rsidRPr="00F543A5" w:rsidRDefault="002E4917" w:rsidP="000A5389">
            <w:pPr>
              <w:spacing w:line="240" w:lineRule="auto"/>
              <w:jc w:val="center"/>
              <w:rPr>
                <w:rFonts w:eastAsia="Times New Roman" w:cs="Times New Roman"/>
                <w:b/>
                <w:kern w:val="0"/>
                <w:sz w:val="16"/>
                <w:szCs w:val="16"/>
                <w:lang w:eastAsia="es-CO"/>
                <w14:ligatures w14:val="none"/>
              </w:rPr>
            </w:pPr>
            <w:r w:rsidRPr="00F543A5">
              <w:rPr>
                <w:rFonts w:eastAsia="Times New Roman" w:cs="Times New Roman"/>
                <w:b/>
                <w:kern w:val="0"/>
                <w:sz w:val="16"/>
                <w:szCs w:val="16"/>
                <w:lang w:eastAsia="es-CO"/>
                <w14:ligatures w14:val="none"/>
              </w:rPr>
              <w:t xml:space="preserve">0,0 </w:t>
            </w:r>
          </w:p>
        </w:tc>
      </w:tr>
      <w:tr w:rsidR="007220B5" w:rsidRPr="00F543A5" w14:paraId="742198FC" w14:textId="77777777" w:rsidTr="001B10F3">
        <w:trPr>
          <w:trHeight w:val="209"/>
        </w:trPr>
        <w:tc>
          <w:tcPr>
            <w:tcW w:w="2087" w:type="dxa"/>
            <w:vAlign w:val="center"/>
            <w:hideMark/>
          </w:tcPr>
          <w:p w14:paraId="4B673AEB" w14:textId="77777777" w:rsidR="002E4917" w:rsidRPr="00F543A5" w:rsidRDefault="002E4917" w:rsidP="000A5389">
            <w:pPr>
              <w:spacing w:line="240" w:lineRule="auto"/>
              <w:rPr>
                <w:rFonts w:eastAsia="Times New Roman" w:cs="Times New Roman"/>
                <w:kern w:val="0"/>
                <w:sz w:val="16"/>
                <w:szCs w:val="16"/>
                <w:lang w:eastAsia="es-CO"/>
                <w14:ligatures w14:val="none"/>
              </w:rPr>
            </w:pPr>
            <w:r w:rsidRPr="00F543A5">
              <w:rPr>
                <w:rFonts w:eastAsia="Times New Roman" w:cs="Times New Roman"/>
                <w:kern w:val="0"/>
                <w:sz w:val="16"/>
                <w:szCs w:val="16"/>
                <w:lang w:eastAsia="es-CO"/>
                <w14:ligatures w14:val="none"/>
              </w:rPr>
              <w:t>Nacionales</w:t>
            </w:r>
          </w:p>
        </w:tc>
        <w:tc>
          <w:tcPr>
            <w:tcW w:w="579" w:type="dxa"/>
            <w:noWrap/>
            <w:vAlign w:val="center"/>
            <w:hideMark/>
          </w:tcPr>
          <w:p w14:paraId="524C2216" w14:textId="77777777" w:rsidR="002E4917" w:rsidRPr="00F543A5" w:rsidRDefault="002E4917" w:rsidP="000A5389">
            <w:pPr>
              <w:spacing w:line="240" w:lineRule="auto"/>
              <w:jc w:val="center"/>
              <w:rPr>
                <w:rFonts w:eastAsia="Times New Roman" w:cs="Times New Roman"/>
                <w:kern w:val="0"/>
                <w:sz w:val="16"/>
                <w:szCs w:val="16"/>
                <w:lang w:eastAsia="es-CO"/>
                <w14:ligatures w14:val="none"/>
              </w:rPr>
            </w:pPr>
            <w:r w:rsidRPr="00F543A5">
              <w:rPr>
                <w:rFonts w:eastAsia="Times New Roman" w:cs="Times New Roman"/>
                <w:kern w:val="0"/>
                <w:sz w:val="16"/>
                <w:szCs w:val="16"/>
                <w:lang w:eastAsia="es-CO"/>
                <w14:ligatures w14:val="none"/>
              </w:rPr>
              <w:t>PJ</w:t>
            </w:r>
          </w:p>
        </w:tc>
        <w:tc>
          <w:tcPr>
            <w:tcW w:w="1003" w:type="dxa"/>
            <w:noWrap/>
            <w:vAlign w:val="center"/>
            <w:hideMark/>
          </w:tcPr>
          <w:p w14:paraId="4DC4823A" w14:textId="77777777" w:rsidR="002E4917" w:rsidRPr="00F543A5" w:rsidRDefault="002E4917" w:rsidP="000A5389">
            <w:pPr>
              <w:spacing w:line="240" w:lineRule="auto"/>
              <w:jc w:val="center"/>
              <w:rPr>
                <w:rFonts w:eastAsia="Times New Roman" w:cs="Times New Roman"/>
                <w:kern w:val="0"/>
                <w:sz w:val="16"/>
                <w:szCs w:val="16"/>
                <w:lang w:eastAsia="es-CO"/>
                <w14:ligatures w14:val="none"/>
              </w:rPr>
            </w:pPr>
            <w:r w:rsidRPr="00F543A5">
              <w:rPr>
                <w:rFonts w:eastAsia="Times New Roman" w:cs="Times New Roman"/>
                <w:kern w:val="0"/>
                <w:sz w:val="16"/>
                <w:szCs w:val="16"/>
                <w:lang w:eastAsia="es-CO"/>
                <w14:ligatures w14:val="none"/>
              </w:rPr>
              <w:t>1</w:t>
            </w:r>
          </w:p>
        </w:tc>
        <w:tc>
          <w:tcPr>
            <w:tcW w:w="1713" w:type="dxa"/>
            <w:noWrap/>
            <w:vAlign w:val="center"/>
            <w:hideMark/>
          </w:tcPr>
          <w:p w14:paraId="06C4DBEB" w14:textId="77777777" w:rsidR="002E4917" w:rsidRPr="00F543A5" w:rsidRDefault="002E4917" w:rsidP="000A5389">
            <w:pPr>
              <w:spacing w:line="240" w:lineRule="auto"/>
              <w:jc w:val="right"/>
              <w:rPr>
                <w:rFonts w:eastAsia="Times New Roman" w:cs="Times New Roman"/>
                <w:kern w:val="0"/>
                <w:sz w:val="16"/>
                <w:szCs w:val="16"/>
                <w:lang w:eastAsia="es-CO"/>
                <w14:ligatures w14:val="none"/>
              </w:rPr>
            </w:pPr>
            <w:r w:rsidRPr="00F543A5">
              <w:rPr>
                <w:rFonts w:eastAsia="Times New Roman" w:cs="Times New Roman"/>
                <w:kern w:val="0"/>
                <w:sz w:val="16"/>
                <w:szCs w:val="16"/>
                <w:lang w:eastAsia="es-CO"/>
                <w14:ligatures w14:val="none"/>
              </w:rPr>
              <w:t xml:space="preserve">11 </w:t>
            </w:r>
          </w:p>
        </w:tc>
        <w:tc>
          <w:tcPr>
            <w:tcW w:w="709" w:type="dxa"/>
            <w:noWrap/>
            <w:vAlign w:val="center"/>
            <w:hideMark/>
          </w:tcPr>
          <w:p w14:paraId="4935689D" w14:textId="77777777" w:rsidR="002E4917" w:rsidRPr="00F543A5" w:rsidRDefault="002E4917" w:rsidP="000A5389">
            <w:pPr>
              <w:spacing w:line="240" w:lineRule="auto"/>
              <w:jc w:val="center"/>
              <w:rPr>
                <w:rFonts w:eastAsia="Times New Roman" w:cs="Times New Roman"/>
                <w:kern w:val="0"/>
                <w:sz w:val="16"/>
                <w:szCs w:val="16"/>
                <w:lang w:eastAsia="es-CO"/>
                <w14:ligatures w14:val="none"/>
              </w:rPr>
            </w:pPr>
            <w:r w:rsidRPr="00F543A5">
              <w:rPr>
                <w:rFonts w:eastAsia="Times New Roman" w:cs="Times New Roman"/>
                <w:kern w:val="0"/>
                <w:sz w:val="16"/>
                <w:szCs w:val="16"/>
                <w:lang w:eastAsia="es-CO"/>
                <w14:ligatures w14:val="none"/>
              </w:rPr>
              <w:t>0</w:t>
            </w:r>
          </w:p>
        </w:tc>
        <w:tc>
          <w:tcPr>
            <w:tcW w:w="752" w:type="dxa"/>
            <w:noWrap/>
            <w:vAlign w:val="center"/>
            <w:hideMark/>
          </w:tcPr>
          <w:p w14:paraId="20FB2940" w14:textId="77777777" w:rsidR="002E4917" w:rsidRPr="00F543A5" w:rsidRDefault="002E4917" w:rsidP="000A5389">
            <w:pPr>
              <w:spacing w:line="240" w:lineRule="auto"/>
              <w:jc w:val="center"/>
              <w:rPr>
                <w:rFonts w:eastAsia="Times New Roman" w:cs="Times New Roman"/>
                <w:kern w:val="0"/>
                <w:sz w:val="16"/>
                <w:szCs w:val="16"/>
                <w:lang w:eastAsia="es-CO"/>
                <w14:ligatures w14:val="none"/>
              </w:rPr>
            </w:pPr>
            <w:r w:rsidRPr="00F543A5">
              <w:rPr>
                <w:rFonts w:eastAsia="Times New Roman" w:cs="Times New Roman"/>
                <w:kern w:val="0"/>
                <w:sz w:val="16"/>
                <w:szCs w:val="16"/>
                <w:lang w:eastAsia="es-CO"/>
                <w14:ligatures w14:val="none"/>
              </w:rPr>
              <w:t>1</w:t>
            </w:r>
          </w:p>
        </w:tc>
        <w:tc>
          <w:tcPr>
            <w:tcW w:w="1465" w:type="dxa"/>
            <w:noWrap/>
            <w:vAlign w:val="center"/>
            <w:hideMark/>
          </w:tcPr>
          <w:p w14:paraId="5E6A4A66" w14:textId="77777777" w:rsidR="002E4917" w:rsidRPr="00F543A5" w:rsidRDefault="002E4917" w:rsidP="000A5389">
            <w:pPr>
              <w:spacing w:line="240" w:lineRule="auto"/>
              <w:jc w:val="center"/>
              <w:rPr>
                <w:rFonts w:eastAsia="Times New Roman" w:cs="Times New Roman"/>
                <w:kern w:val="0"/>
                <w:sz w:val="16"/>
                <w:szCs w:val="16"/>
                <w:lang w:eastAsia="es-CO"/>
                <w14:ligatures w14:val="none"/>
              </w:rPr>
            </w:pPr>
            <w:r w:rsidRPr="00F543A5">
              <w:rPr>
                <w:rFonts w:eastAsia="Times New Roman" w:cs="Times New Roman"/>
                <w:kern w:val="0"/>
                <w:sz w:val="16"/>
                <w:szCs w:val="16"/>
                <w:lang w:eastAsia="es-CO"/>
                <w14:ligatures w14:val="none"/>
              </w:rPr>
              <w:t>No aplica</w:t>
            </w:r>
          </w:p>
        </w:tc>
        <w:tc>
          <w:tcPr>
            <w:tcW w:w="843" w:type="dxa"/>
            <w:noWrap/>
            <w:vAlign w:val="center"/>
            <w:hideMark/>
          </w:tcPr>
          <w:p w14:paraId="2EB51634" w14:textId="77777777" w:rsidR="002E4917" w:rsidRPr="00F543A5" w:rsidRDefault="002E4917" w:rsidP="000A5389">
            <w:pPr>
              <w:spacing w:line="240" w:lineRule="auto"/>
              <w:jc w:val="center"/>
              <w:rPr>
                <w:rFonts w:eastAsia="Times New Roman" w:cs="Times New Roman"/>
                <w:kern w:val="0"/>
                <w:sz w:val="16"/>
                <w:szCs w:val="16"/>
                <w:lang w:eastAsia="es-CO"/>
                <w14:ligatures w14:val="none"/>
              </w:rPr>
            </w:pPr>
            <w:r w:rsidRPr="00F543A5">
              <w:rPr>
                <w:rFonts w:eastAsia="Times New Roman" w:cs="Times New Roman"/>
                <w:kern w:val="0"/>
                <w:sz w:val="16"/>
                <w:szCs w:val="16"/>
                <w:lang w:eastAsia="es-CO"/>
                <w14:ligatures w14:val="none"/>
              </w:rPr>
              <w:t>0</w:t>
            </w:r>
          </w:p>
        </w:tc>
      </w:tr>
    </w:tbl>
    <w:p w14:paraId="6CC3FBF7" w14:textId="77777777" w:rsidR="0022505D" w:rsidRPr="00951AB1" w:rsidRDefault="0022505D" w:rsidP="000A5389">
      <w:pPr>
        <w:spacing w:line="240" w:lineRule="auto"/>
        <w:rPr>
          <w:rFonts w:cs="Times New Roman"/>
        </w:rPr>
      </w:pPr>
      <w:r w:rsidRPr="00951AB1">
        <w:rPr>
          <w:rFonts w:eastAsia="Times New Roman" w:cs="Times New Roman"/>
          <w:sz w:val="14"/>
          <w:szCs w:val="14"/>
        </w:rPr>
        <w:t>Cifras expresadas en pesos</w:t>
      </w:r>
    </w:p>
    <w:p w14:paraId="4C2AF6AC" w14:textId="77777777" w:rsidR="000C4FB1" w:rsidRPr="00951AB1" w:rsidRDefault="000C4FB1" w:rsidP="000A5389">
      <w:pPr>
        <w:spacing w:line="240" w:lineRule="auto"/>
        <w:rPr>
          <w:rFonts w:cs="Times New Roman"/>
          <w:szCs w:val="24"/>
        </w:rPr>
      </w:pPr>
    </w:p>
    <w:p w14:paraId="0D059F5D" w14:textId="77777777" w:rsidR="00A24EB9" w:rsidRDefault="00A24EB9" w:rsidP="000A5389">
      <w:pPr>
        <w:spacing w:line="240" w:lineRule="auto"/>
        <w:rPr>
          <w:rFonts w:cs="Times New Roman"/>
          <w:szCs w:val="24"/>
        </w:rPr>
      </w:pPr>
      <w:r w:rsidRPr="00951AB1">
        <w:rPr>
          <w:rFonts w:cs="Times New Roman"/>
          <w:szCs w:val="24"/>
        </w:rPr>
        <w:lastRenderedPageBreak/>
        <w:t xml:space="preserve">El saldo al cierre de la vigencia 2025 de la subcuenta contable 249044001 Otros intereses de mora por valor de $1.586.955.570.228, corresponden a los intereses moratorios reportados por la Vicepresidencia Ejecutiva en el formato GADF-F-120 LIQUIDACIÓN DE LA DEUDA CON FINES CONTABLES, por las deudas reconocidas por los laudos arbitrales ejecutoriados. </w:t>
      </w:r>
    </w:p>
    <w:p w14:paraId="03F5C020" w14:textId="77777777" w:rsidR="00F543A5" w:rsidRPr="00951AB1" w:rsidRDefault="00F543A5" w:rsidP="000A5389">
      <w:pPr>
        <w:spacing w:line="240" w:lineRule="auto"/>
        <w:rPr>
          <w:rFonts w:cs="Times New Roman"/>
          <w:szCs w:val="24"/>
        </w:rPr>
      </w:pPr>
    </w:p>
    <w:p w14:paraId="67CE9501" w14:textId="262F0398" w:rsidR="00A24EB9" w:rsidRDefault="00A24EB9" w:rsidP="000A5389">
      <w:pPr>
        <w:spacing w:line="240" w:lineRule="auto"/>
        <w:rPr>
          <w:rFonts w:cs="Times New Roman"/>
          <w:szCs w:val="24"/>
        </w:rPr>
      </w:pPr>
      <w:r w:rsidRPr="00951AB1">
        <w:rPr>
          <w:rFonts w:cs="Times New Roman"/>
          <w:szCs w:val="24"/>
        </w:rPr>
        <w:t xml:space="preserve">Su composición es la siguiente: </w:t>
      </w:r>
    </w:p>
    <w:p w14:paraId="53CB9C2F" w14:textId="77777777" w:rsidR="00F543A5" w:rsidRPr="00951AB1" w:rsidRDefault="00F543A5" w:rsidP="000A5389">
      <w:pPr>
        <w:spacing w:line="240" w:lineRule="auto"/>
        <w:rPr>
          <w:rFonts w:cs="Times New Roman"/>
          <w:szCs w:val="24"/>
        </w:rPr>
      </w:pPr>
    </w:p>
    <w:tbl>
      <w:tblPr>
        <w:tblW w:w="4942" w:type="pct"/>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CellMar>
          <w:left w:w="70" w:type="dxa"/>
          <w:right w:w="70" w:type="dxa"/>
        </w:tblCellMar>
        <w:tblLook w:val="04A0" w:firstRow="1" w:lastRow="0" w:firstColumn="1" w:lastColumn="0" w:noHBand="0" w:noVBand="1"/>
      </w:tblPr>
      <w:tblGrid>
        <w:gridCol w:w="1130"/>
        <w:gridCol w:w="1134"/>
        <w:gridCol w:w="1276"/>
        <w:gridCol w:w="525"/>
        <w:gridCol w:w="532"/>
        <w:gridCol w:w="1921"/>
        <w:gridCol w:w="2208"/>
      </w:tblGrid>
      <w:tr w:rsidR="00A24EB9" w:rsidRPr="00F543A5" w14:paraId="58343E1B" w14:textId="77777777" w:rsidTr="00BA12EC">
        <w:trPr>
          <w:trHeight w:val="316"/>
          <w:tblHeader/>
        </w:trPr>
        <w:tc>
          <w:tcPr>
            <w:tcW w:w="2028" w:type="pct"/>
            <w:gridSpan w:val="3"/>
            <w:vMerge w:val="restart"/>
            <w:vAlign w:val="center"/>
            <w:hideMark/>
          </w:tcPr>
          <w:p w14:paraId="7B3725C5" w14:textId="77777777" w:rsidR="00A24EB9" w:rsidRPr="00F543A5" w:rsidRDefault="00A24EB9" w:rsidP="000A5389">
            <w:pPr>
              <w:spacing w:line="240" w:lineRule="auto"/>
              <w:jc w:val="center"/>
              <w:rPr>
                <w:rFonts w:eastAsia="Times New Roman" w:cs="Times New Roman"/>
                <w:b/>
                <w:bCs/>
                <w:sz w:val="16"/>
                <w:szCs w:val="16"/>
                <w:lang w:eastAsia="es-CO"/>
              </w:rPr>
            </w:pPr>
            <w:r w:rsidRPr="00F543A5">
              <w:rPr>
                <w:rFonts w:eastAsia="Times New Roman" w:cs="Times New Roman"/>
                <w:b/>
                <w:bCs/>
                <w:sz w:val="16"/>
                <w:szCs w:val="16"/>
                <w:lang w:eastAsia="es-CO"/>
              </w:rPr>
              <w:t>ASOCIACIÓN DE DATOS</w:t>
            </w:r>
          </w:p>
        </w:tc>
        <w:tc>
          <w:tcPr>
            <w:tcW w:w="2972" w:type="pct"/>
            <w:gridSpan w:val="4"/>
            <w:vAlign w:val="center"/>
            <w:hideMark/>
          </w:tcPr>
          <w:p w14:paraId="0DB0F1AD" w14:textId="77777777" w:rsidR="00A24EB9" w:rsidRPr="00F543A5" w:rsidRDefault="00A24EB9" w:rsidP="000A5389">
            <w:pPr>
              <w:spacing w:line="240" w:lineRule="auto"/>
              <w:jc w:val="center"/>
              <w:rPr>
                <w:rFonts w:eastAsia="Times New Roman" w:cs="Times New Roman"/>
                <w:b/>
                <w:bCs/>
                <w:sz w:val="16"/>
                <w:szCs w:val="16"/>
                <w:lang w:eastAsia="es-CO"/>
              </w:rPr>
            </w:pPr>
            <w:r w:rsidRPr="00F543A5">
              <w:rPr>
                <w:rFonts w:eastAsia="Times New Roman" w:cs="Times New Roman"/>
                <w:b/>
                <w:bCs/>
                <w:sz w:val="16"/>
                <w:szCs w:val="16"/>
                <w:lang w:eastAsia="es-CO"/>
              </w:rPr>
              <w:t>DETALLES DE LA TRANSACCIÓN</w:t>
            </w:r>
            <w:r w:rsidRPr="00F543A5">
              <w:rPr>
                <w:rFonts w:eastAsia="Times New Roman" w:cs="Times New Roman"/>
                <w:b/>
                <w:bCs/>
                <w:sz w:val="16"/>
                <w:szCs w:val="16"/>
                <w:lang w:eastAsia="es-CO"/>
              </w:rPr>
              <w:br/>
              <w:t>(reporte agrupado por datos comunes de asociación)</w:t>
            </w:r>
          </w:p>
        </w:tc>
      </w:tr>
      <w:tr w:rsidR="00A24EB9" w:rsidRPr="00F543A5" w14:paraId="11D769F7" w14:textId="77777777" w:rsidTr="00BA12EC">
        <w:trPr>
          <w:trHeight w:val="300"/>
          <w:tblHeader/>
        </w:trPr>
        <w:tc>
          <w:tcPr>
            <w:tcW w:w="2028" w:type="pct"/>
            <w:gridSpan w:val="3"/>
            <w:vMerge/>
            <w:vAlign w:val="center"/>
            <w:hideMark/>
          </w:tcPr>
          <w:p w14:paraId="673F7DDA" w14:textId="77777777" w:rsidR="00A24EB9" w:rsidRPr="00F543A5" w:rsidRDefault="00A24EB9" w:rsidP="000A5389">
            <w:pPr>
              <w:spacing w:line="240" w:lineRule="auto"/>
              <w:rPr>
                <w:rFonts w:eastAsia="Times New Roman" w:cs="Times New Roman"/>
                <w:b/>
                <w:bCs/>
                <w:sz w:val="16"/>
                <w:szCs w:val="16"/>
                <w:lang w:eastAsia="es-CO"/>
              </w:rPr>
            </w:pPr>
          </w:p>
        </w:tc>
        <w:tc>
          <w:tcPr>
            <w:tcW w:w="606" w:type="pct"/>
            <w:gridSpan w:val="2"/>
            <w:vAlign w:val="center"/>
            <w:hideMark/>
          </w:tcPr>
          <w:p w14:paraId="09CC118E" w14:textId="77777777" w:rsidR="00A24EB9" w:rsidRPr="00F543A5" w:rsidRDefault="00A24EB9" w:rsidP="000A5389">
            <w:pPr>
              <w:spacing w:line="240" w:lineRule="auto"/>
              <w:jc w:val="center"/>
              <w:rPr>
                <w:rFonts w:eastAsia="Times New Roman" w:cs="Times New Roman"/>
                <w:b/>
                <w:bCs/>
                <w:sz w:val="16"/>
                <w:szCs w:val="16"/>
                <w:lang w:eastAsia="es-CO"/>
              </w:rPr>
            </w:pPr>
            <w:r w:rsidRPr="00F543A5">
              <w:rPr>
                <w:rFonts w:eastAsia="Times New Roman" w:cs="Times New Roman"/>
                <w:b/>
                <w:bCs/>
                <w:sz w:val="16"/>
                <w:szCs w:val="16"/>
                <w:lang w:eastAsia="es-CO"/>
              </w:rPr>
              <w:t>PLAZO</w:t>
            </w:r>
            <w:r w:rsidRPr="00F543A5">
              <w:rPr>
                <w:rFonts w:eastAsia="Times New Roman" w:cs="Times New Roman"/>
                <w:b/>
                <w:bCs/>
                <w:sz w:val="16"/>
                <w:szCs w:val="16"/>
                <w:lang w:eastAsia="es-CO"/>
              </w:rPr>
              <w:br/>
              <w:t>(rango en # meses)</w:t>
            </w:r>
          </w:p>
        </w:tc>
        <w:tc>
          <w:tcPr>
            <w:tcW w:w="1101" w:type="pct"/>
            <w:vMerge w:val="restart"/>
            <w:vAlign w:val="center"/>
            <w:hideMark/>
          </w:tcPr>
          <w:p w14:paraId="74CA23A3" w14:textId="77777777" w:rsidR="00A24EB9" w:rsidRPr="00F543A5" w:rsidRDefault="00A24EB9" w:rsidP="000A5389">
            <w:pPr>
              <w:spacing w:line="240" w:lineRule="auto"/>
              <w:jc w:val="center"/>
              <w:rPr>
                <w:rFonts w:eastAsia="Times New Roman" w:cs="Times New Roman"/>
                <w:b/>
                <w:bCs/>
                <w:sz w:val="16"/>
                <w:szCs w:val="16"/>
                <w:lang w:eastAsia="es-CO"/>
              </w:rPr>
            </w:pPr>
            <w:r w:rsidRPr="00F543A5">
              <w:rPr>
                <w:rFonts w:eastAsia="Times New Roman" w:cs="Times New Roman"/>
                <w:b/>
                <w:bCs/>
                <w:sz w:val="16"/>
                <w:szCs w:val="16"/>
                <w:lang w:eastAsia="es-CO"/>
              </w:rPr>
              <w:t>DETALLE DE LAS CONDICIONES DE LA CUENTA POR PAGAR</w:t>
            </w:r>
          </w:p>
        </w:tc>
        <w:tc>
          <w:tcPr>
            <w:tcW w:w="1265" w:type="pct"/>
            <w:vMerge w:val="restart"/>
            <w:vAlign w:val="center"/>
            <w:hideMark/>
          </w:tcPr>
          <w:p w14:paraId="09C6271E" w14:textId="77777777" w:rsidR="00A24EB9" w:rsidRPr="00F543A5" w:rsidRDefault="00A24EB9" w:rsidP="000A5389">
            <w:pPr>
              <w:spacing w:line="240" w:lineRule="auto"/>
              <w:jc w:val="center"/>
              <w:rPr>
                <w:rFonts w:eastAsia="Times New Roman" w:cs="Times New Roman"/>
                <w:b/>
                <w:bCs/>
                <w:sz w:val="16"/>
                <w:szCs w:val="16"/>
                <w:lang w:eastAsia="es-CO"/>
              </w:rPr>
            </w:pPr>
            <w:r w:rsidRPr="00F543A5">
              <w:rPr>
                <w:rFonts w:eastAsia="Times New Roman" w:cs="Times New Roman"/>
                <w:b/>
                <w:bCs/>
                <w:sz w:val="16"/>
                <w:szCs w:val="16"/>
                <w:lang w:eastAsia="es-CO"/>
              </w:rPr>
              <w:t>TASA DE INTERES</w:t>
            </w:r>
            <w:r w:rsidRPr="00F543A5">
              <w:rPr>
                <w:rFonts w:eastAsia="Times New Roman" w:cs="Times New Roman"/>
                <w:b/>
                <w:bCs/>
                <w:sz w:val="16"/>
                <w:szCs w:val="16"/>
                <w:lang w:eastAsia="es-CO"/>
              </w:rPr>
              <w:br/>
              <w:t>(%)</w:t>
            </w:r>
          </w:p>
        </w:tc>
      </w:tr>
      <w:tr w:rsidR="00A24EB9" w:rsidRPr="00F543A5" w14:paraId="709C4BD5" w14:textId="77777777" w:rsidTr="00BA12EC">
        <w:trPr>
          <w:trHeight w:val="300"/>
          <w:tblHeader/>
        </w:trPr>
        <w:tc>
          <w:tcPr>
            <w:tcW w:w="647" w:type="pct"/>
            <w:vAlign w:val="center"/>
            <w:hideMark/>
          </w:tcPr>
          <w:p w14:paraId="1008E7D3" w14:textId="77777777" w:rsidR="00A24EB9" w:rsidRPr="00F543A5" w:rsidRDefault="00A24EB9" w:rsidP="000A5389">
            <w:pPr>
              <w:spacing w:line="240" w:lineRule="auto"/>
              <w:jc w:val="center"/>
              <w:rPr>
                <w:rFonts w:eastAsia="Times New Roman" w:cs="Times New Roman"/>
                <w:b/>
                <w:bCs/>
                <w:sz w:val="16"/>
                <w:szCs w:val="16"/>
                <w:lang w:eastAsia="es-CO"/>
              </w:rPr>
            </w:pPr>
            <w:r w:rsidRPr="00F543A5">
              <w:rPr>
                <w:rFonts w:eastAsia="Times New Roman" w:cs="Times New Roman"/>
                <w:b/>
                <w:bCs/>
                <w:sz w:val="16"/>
                <w:szCs w:val="16"/>
                <w:lang w:eastAsia="es-CO"/>
              </w:rPr>
              <w:t>NIT/CC</w:t>
            </w:r>
          </w:p>
        </w:tc>
        <w:tc>
          <w:tcPr>
            <w:tcW w:w="650" w:type="pct"/>
            <w:vAlign w:val="center"/>
            <w:hideMark/>
          </w:tcPr>
          <w:p w14:paraId="40B23AE1" w14:textId="77777777" w:rsidR="00A24EB9" w:rsidRPr="00F543A5" w:rsidRDefault="00A24EB9" w:rsidP="000A5389">
            <w:pPr>
              <w:spacing w:line="240" w:lineRule="auto"/>
              <w:jc w:val="center"/>
              <w:rPr>
                <w:rFonts w:eastAsia="Times New Roman" w:cs="Times New Roman"/>
                <w:b/>
                <w:bCs/>
                <w:sz w:val="16"/>
                <w:szCs w:val="16"/>
                <w:lang w:eastAsia="es-CO"/>
              </w:rPr>
            </w:pPr>
            <w:r w:rsidRPr="00F543A5">
              <w:rPr>
                <w:rFonts w:eastAsia="Times New Roman" w:cs="Times New Roman"/>
                <w:b/>
                <w:bCs/>
                <w:sz w:val="16"/>
                <w:szCs w:val="16"/>
                <w:lang w:eastAsia="es-CO"/>
              </w:rPr>
              <w:t>RAZÓN SOCIAL</w:t>
            </w:r>
          </w:p>
        </w:tc>
        <w:tc>
          <w:tcPr>
            <w:tcW w:w="731" w:type="pct"/>
            <w:vAlign w:val="center"/>
            <w:hideMark/>
          </w:tcPr>
          <w:p w14:paraId="1089B08B" w14:textId="77777777" w:rsidR="00A24EB9" w:rsidRPr="00F543A5" w:rsidRDefault="00A24EB9" w:rsidP="000A5389">
            <w:pPr>
              <w:spacing w:line="240" w:lineRule="auto"/>
              <w:jc w:val="center"/>
              <w:rPr>
                <w:rFonts w:eastAsia="Times New Roman" w:cs="Times New Roman"/>
                <w:b/>
                <w:bCs/>
                <w:sz w:val="16"/>
                <w:szCs w:val="16"/>
                <w:lang w:eastAsia="es-CO"/>
              </w:rPr>
            </w:pPr>
            <w:r w:rsidRPr="00F543A5">
              <w:rPr>
                <w:rFonts w:eastAsia="Times New Roman" w:cs="Times New Roman"/>
                <w:b/>
                <w:bCs/>
                <w:sz w:val="16"/>
                <w:szCs w:val="16"/>
                <w:lang w:eastAsia="es-CO"/>
              </w:rPr>
              <w:t xml:space="preserve"> VALOR EN LIBROS </w:t>
            </w:r>
          </w:p>
        </w:tc>
        <w:tc>
          <w:tcPr>
            <w:tcW w:w="301" w:type="pct"/>
            <w:vAlign w:val="center"/>
            <w:hideMark/>
          </w:tcPr>
          <w:p w14:paraId="0D468011" w14:textId="77777777" w:rsidR="00A24EB9" w:rsidRPr="00F543A5" w:rsidRDefault="00A24EB9" w:rsidP="000A5389">
            <w:pPr>
              <w:spacing w:line="240" w:lineRule="auto"/>
              <w:jc w:val="center"/>
              <w:rPr>
                <w:rFonts w:eastAsia="Times New Roman" w:cs="Times New Roman"/>
                <w:b/>
                <w:bCs/>
                <w:sz w:val="16"/>
                <w:szCs w:val="16"/>
                <w:lang w:eastAsia="es-CO"/>
              </w:rPr>
            </w:pPr>
            <w:r w:rsidRPr="00F543A5">
              <w:rPr>
                <w:rFonts w:eastAsia="Times New Roman" w:cs="Times New Roman"/>
                <w:b/>
                <w:bCs/>
                <w:sz w:val="16"/>
                <w:szCs w:val="16"/>
                <w:lang w:eastAsia="es-CO"/>
              </w:rPr>
              <w:t>MÍN.</w:t>
            </w:r>
          </w:p>
        </w:tc>
        <w:tc>
          <w:tcPr>
            <w:tcW w:w="305" w:type="pct"/>
            <w:vAlign w:val="center"/>
            <w:hideMark/>
          </w:tcPr>
          <w:p w14:paraId="64ABCF29" w14:textId="77777777" w:rsidR="00A24EB9" w:rsidRPr="00F543A5" w:rsidRDefault="00A24EB9" w:rsidP="000A5389">
            <w:pPr>
              <w:spacing w:line="240" w:lineRule="auto"/>
              <w:jc w:val="center"/>
              <w:rPr>
                <w:rFonts w:eastAsia="Times New Roman" w:cs="Times New Roman"/>
                <w:b/>
                <w:bCs/>
                <w:sz w:val="16"/>
                <w:szCs w:val="16"/>
                <w:lang w:eastAsia="es-CO"/>
              </w:rPr>
            </w:pPr>
            <w:r w:rsidRPr="00F543A5">
              <w:rPr>
                <w:rFonts w:eastAsia="Times New Roman" w:cs="Times New Roman"/>
                <w:b/>
                <w:bCs/>
                <w:sz w:val="16"/>
                <w:szCs w:val="16"/>
                <w:lang w:eastAsia="es-CO"/>
              </w:rPr>
              <w:t>MÁX.</w:t>
            </w:r>
          </w:p>
        </w:tc>
        <w:tc>
          <w:tcPr>
            <w:tcW w:w="1101" w:type="pct"/>
            <w:vMerge/>
            <w:vAlign w:val="center"/>
            <w:hideMark/>
          </w:tcPr>
          <w:p w14:paraId="2E374092" w14:textId="77777777" w:rsidR="00A24EB9" w:rsidRPr="00F543A5" w:rsidRDefault="00A24EB9" w:rsidP="000A5389">
            <w:pPr>
              <w:spacing w:line="240" w:lineRule="auto"/>
              <w:rPr>
                <w:rFonts w:eastAsia="Times New Roman" w:cs="Times New Roman"/>
                <w:b/>
                <w:bCs/>
                <w:sz w:val="16"/>
                <w:szCs w:val="16"/>
                <w:lang w:eastAsia="es-CO"/>
              </w:rPr>
            </w:pPr>
          </w:p>
        </w:tc>
        <w:tc>
          <w:tcPr>
            <w:tcW w:w="1265" w:type="pct"/>
            <w:vMerge/>
            <w:vAlign w:val="center"/>
            <w:hideMark/>
          </w:tcPr>
          <w:p w14:paraId="18B4F15D" w14:textId="77777777" w:rsidR="00A24EB9" w:rsidRPr="00F543A5" w:rsidRDefault="00A24EB9" w:rsidP="000A5389">
            <w:pPr>
              <w:spacing w:line="240" w:lineRule="auto"/>
              <w:rPr>
                <w:rFonts w:eastAsia="Times New Roman" w:cs="Times New Roman"/>
                <w:b/>
                <w:bCs/>
                <w:sz w:val="16"/>
                <w:szCs w:val="16"/>
                <w:lang w:eastAsia="es-CO"/>
              </w:rPr>
            </w:pPr>
          </w:p>
        </w:tc>
      </w:tr>
      <w:tr w:rsidR="00A24EB9" w:rsidRPr="00F543A5" w14:paraId="1D79E96B" w14:textId="77777777" w:rsidTr="00BA12EC">
        <w:trPr>
          <w:trHeight w:val="300"/>
        </w:trPr>
        <w:tc>
          <w:tcPr>
            <w:tcW w:w="1297" w:type="pct"/>
            <w:gridSpan w:val="2"/>
            <w:vAlign w:val="center"/>
            <w:hideMark/>
          </w:tcPr>
          <w:p w14:paraId="37161C6C" w14:textId="5A8A2E6F" w:rsidR="00A24EB9" w:rsidRPr="00F543A5" w:rsidRDefault="00BA12EC" w:rsidP="000A5389">
            <w:pPr>
              <w:spacing w:line="240" w:lineRule="auto"/>
              <w:jc w:val="center"/>
              <w:rPr>
                <w:rFonts w:eastAsia="Times New Roman" w:cs="Times New Roman"/>
                <w:b/>
                <w:bCs/>
                <w:sz w:val="16"/>
                <w:szCs w:val="16"/>
                <w:lang w:eastAsia="es-CO"/>
              </w:rPr>
            </w:pPr>
            <w:r w:rsidRPr="00F543A5">
              <w:rPr>
                <w:rFonts w:eastAsia="Times New Roman" w:cs="Times New Roman"/>
                <w:b/>
                <w:bCs/>
                <w:sz w:val="16"/>
                <w:szCs w:val="16"/>
                <w:lang w:eastAsia="es-CO"/>
              </w:rPr>
              <w:t>Total,</w:t>
            </w:r>
            <w:r w:rsidR="00A24EB9" w:rsidRPr="00F543A5">
              <w:rPr>
                <w:rFonts w:eastAsia="Times New Roman" w:cs="Times New Roman"/>
                <w:b/>
                <w:bCs/>
                <w:sz w:val="16"/>
                <w:szCs w:val="16"/>
                <w:lang w:eastAsia="es-CO"/>
              </w:rPr>
              <w:t xml:space="preserve"> Otros intereses de mora</w:t>
            </w:r>
          </w:p>
        </w:tc>
        <w:tc>
          <w:tcPr>
            <w:tcW w:w="731" w:type="pct"/>
            <w:noWrap/>
            <w:vAlign w:val="center"/>
            <w:hideMark/>
          </w:tcPr>
          <w:p w14:paraId="664D2064" w14:textId="77777777" w:rsidR="00A24EB9" w:rsidRPr="00F543A5" w:rsidRDefault="00A24EB9" w:rsidP="000A5389">
            <w:pPr>
              <w:spacing w:line="240" w:lineRule="auto"/>
              <w:jc w:val="right"/>
              <w:rPr>
                <w:rFonts w:eastAsia="Times New Roman" w:cs="Times New Roman"/>
                <w:b/>
                <w:bCs/>
                <w:sz w:val="16"/>
                <w:szCs w:val="16"/>
                <w:lang w:eastAsia="es-CO"/>
              </w:rPr>
            </w:pPr>
            <w:r w:rsidRPr="00F543A5">
              <w:rPr>
                <w:rFonts w:eastAsia="Times New Roman" w:cs="Times New Roman"/>
                <w:b/>
                <w:bCs/>
                <w:sz w:val="16"/>
                <w:szCs w:val="16"/>
                <w:lang w:eastAsia="es-CO"/>
              </w:rPr>
              <w:t xml:space="preserve">           1.586.955.570.228 </w:t>
            </w:r>
          </w:p>
        </w:tc>
        <w:tc>
          <w:tcPr>
            <w:tcW w:w="301" w:type="pct"/>
            <w:vAlign w:val="center"/>
            <w:hideMark/>
          </w:tcPr>
          <w:p w14:paraId="37E08F45" w14:textId="77777777" w:rsidR="00A24EB9" w:rsidRPr="00F543A5" w:rsidRDefault="00A24EB9" w:rsidP="000A5389">
            <w:pPr>
              <w:spacing w:line="240" w:lineRule="auto"/>
              <w:jc w:val="center"/>
              <w:rPr>
                <w:rFonts w:eastAsia="Times New Roman" w:cs="Times New Roman"/>
                <w:b/>
                <w:bCs/>
                <w:sz w:val="16"/>
                <w:szCs w:val="16"/>
                <w:lang w:eastAsia="es-CO"/>
              </w:rPr>
            </w:pPr>
            <w:r w:rsidRPr="00F543A5">
              <w:rPr>
                <w:rFonts w:eastAsia="Times New Roman" w:cs="Times New Roman"/>
                <w:b/>
                <w:bCs/>
                <w:sz w:val="16"/>
                <w:szCs w:val="16"/>
                <w:lang w:eastAsia="es-CO"/>
              </w:rPr>
              <w:t> </w:t>
            </w:r>
          </w:p>
        </w:tc>
        <w:tc>
          <w:tcPr>
            <w:tcW w:w="305" w:type="pct"/>
            <w:vAlign w:val="center"/>
            <w:hideMark/>
          </w:tcPr>
          <w:p w14:paraId="3CE515F8" w14:textId="77777777" w:rsidR="00A24EB9" w:rsidRPr="00F543A5" w:rsidRDefault="00A24EB9" w:rsidP="000A5389">
            <w:pPr>
              <w:spacing w:line="240" w:lineRule="auto"/>
              <w:jc w:val="center"/>
              <w:rPr>
                <w:rFonts w:eastAsia="Times New Roman" w:cs="Times New Roman"/>
                <w:b/>
                <w:bCs/>
                <w:sz w:val="16"/>
                <w:szCs w:val="16"/>
                <w:lang w:eastAsia="es-CO"/>
              </w:rPr>
            </w:pPr>
            <w:r w:rsidRPr="00F543A5">
              <w:rPr>
                <w:rFonts w:eastAsia="Times New Roman" w:cs="Times New Roman"/>
                <w:b/>
                <w:bCs/>
                <w:sz w:val="16"/>
                <w:szCs w:val="16"/>
                <w:lang w:eastAsia="es-CO"/>
              </w:rPr>
              <w:t> </w:t>
            </w:r>
          </w:p>
        </w:tc>
        <w:tc>
          <w:tcPr>
            <w:tcW w:w="1101" w:type="pct"/>
            <w:vAlign w:val="center"/>
            <w:hideMark/>
          </w:tcPr>
          <w:p w14:paraId="3B88A502" w14:textId="77777777" w:rsidR="00A24EB9" w:rsidRPr="00F543A5" w:rsidRDefault="00A24EB9" w:rsidP="000A5389">
            <w:pPr>
              <w:spacing w:line="240" w:lineRule="auto"/>
              <w:jc w:val="center"/>
              <w:rPr>
                <w:rFonts w:eastAsia="Times New Roman" w:cs="Times New Roman"/>
                <w:b/>
                <w:bCs/>
                <w:sz w:val="16"/>
                <w:szCs w:val="16"/>
                <w:lang w:eastAsia="es-CO"/>
              </w:rPr>
            </w:pPr>
            <w:r w:rsidRPr="00F543A5">
              <w:rPr>
                <w:rFonts w:eastAsia="Times New Roman" w:cs="Times New Roman"/>
                <w:b/>
                <w:bCs/>
                <w:sz w:val="16"/>
                <w:szCs w:val="16"/>
                <w:lang w:eastAsia="es-CO"/>
              </w:rPr>
              <w:t> </w:t>
            </w:r>
          </w:p>
        </w:tc>
        <w:tc>
          <w:tcPr>
            <w:tcW w:w="1265" w:type="pct"/>
            <w:vAlign w:val="center"/>
            <w:hideMark/>
          </w:tcPr>
          <w:p w14:paraId="042F165F" w14:textId="77777777" w:rsidR="00A24EB9" w:rsidRPr="00F543A5" w:rsidRDefault="00A24EB9" w:rsidP="000A5389">
            <w:pPr>
              <w:spacing w:line="240" w:lineRule="auto"/>
              <w:jc w:val="center"/>
              <w:rPr>
                <w:rFonts w:eastAsia="Times New Roman" w:cs="Times New Roman"/>
                <w:b/>
                <w:bCs/>
                <w:sz w:val="16"/>
                <w:szCs w:val="16"/>
                <w:lang w:eastAsia="es-CO"/>
              </w:rPr>
            </w:pPr>
            <w:r w:rsidRPr="00F543A5">
              <w:rPr>
                <w:rFonts w:eastAsia="Times New Roman" w:cs="Times New Roman"/>
                <w:b/>
                <w:bCs/>
                <w:sz w:val="16"/>
                <w:szCs w:val="16"/>
                <w:lang w:eastAsia="es-CO"/>
              </w:rPr>
              <w:t> </w:t>
            </w:r>
          </w:p>
        </w:tc>
      </w:tr>
      <w:tr w:rsidR="00A24EB9" w:rsidRPr="00F543A5" w14:paraId="6A5926DE" w14:textId="77777777" w:rsidTr="00BA12EC">
        <w:trPr>
          <w:trHeight w:val="1528"/>
        </w:trPr>
        <w:tc>
          <w:tcPr>
            <w:tcW w:w="647" w:type="pct"/>
            <w:noWrap/>
            <w:vAlign w:val="center"/>
            <w:hideMark/>
          </w:tcPr>
          <w:p w14:paraId="68FC7C78" w14:textId="77777777" w:rsidR="00A24EB9" w:rsidRPr="00F543A5" w:rsidRDefault="00A24EB9" w:rsidP="000A5389">
            <w:pPr>
              <w:spacing w:line="240" w:lineRule="auto"/>
              <w:jc w:val="right"/>
              <w:rPr>
                <w:rFonts w:eastAsia="Times New Roman" w:cs="Times New Roman"/>
                <w:sz w:val="16"/>
                <w:szCs w:val="16"/>
                <w:lang w:eastAsia="es-CO"/>
              </w:rPr>
            </w:pPr>
            <w:r w:rsidRPr="00F543A5">
              <w:rPr>
                <w:rFonts w:eastAsia="Times New Roman" w:cs="Times New Roman"/>
                <w:sz w:val="16"/>
                <w:szCs w:val="16"/>
                <w:lang w:eastAsia="es-CO"/>
              </w:rPr>
              <w:t>830059605</w:t>
            </w:r>
          </w:p>
        </w:tc>
        <w:tc>
          <w:tcPr>
            <w:tcW w:w="650" w:type="pct"/>
            <w:vAlign w:val="center"/>
            <w:hideMark/>
          </w:tcPr>
          <w:p w14:paraId="393FF630" w14:textId="2BEA8170" w:rsidR="00A24EB9" w:rsidRPr="00F543A5" w:rsidRDefault="00866BB4" w:rsidP="00BA12EC">
            <w:pPr>
              <w:spacing w:line="240" w:lineRule="auto"/>
              <w:jc w:val="left"/>
              <w:rPr>
                <w:rFonts w:eastAsia="Times New Roman" w:cs="Times New Roman"/>
                <w:sz w:val="16"/>
                <w:szCs w:val="16"/>
                <w:lang w:eastAsia="es-CO"/>
              </w:rPr>
            </w:pPr>
            <w:r w:rsidRPr="00F543A5">
              <w:rPr>
                <w:rFonts w:eastAsia="Times New Roman" w:cs="Times New Roman"/>
                <w:sz w:val="16"/>
                <w:szCs w:val="16"/>
                <w:lang w:eastAsia="es-CO"/>
              </w:rPr>
              <w:t>Union Temporal Desarrollo Vial Del Valle Del Cauca Y Cauca</w:t>
            </w:r>
          </w:p>
        </w:tc>
        <w:tc>
          <w:tcPr>
            <w:tcW w:w="731" w:type="pct"/>
            <w:noWrap/>
            <w:vAlign w:val="center"/>
            <w:hideMark/>
          </w:tcPr>
          <w:p w14:paraId="65D46D2C" w14:textId="77777777" w:rsidR="00A24EB9" w:rsidRPr="00F543A5" w:rsidRDefault="00A24EB9" w:rsidP="000A5389">
            <w:pPr>
              <w:spacing w:line="240" w:lineRule="auto"/>
              <w:jc w:val="right"/>
              <w:rPr>
                <w:rFonts w:eastAsia="Times New Roman" w:cs="Times New Roman"/>
                <w:sz w:val="16"/>
                <w:szCs w:val="16"/>
                <w:lang w:eastAsia="es-CO"/>
              </w:rPr>
            </w:pPr>
            <w:r w:rsidRPr="00F543A5">
              <w:rPr>
                <w:rFonts w:eastAsia="Times New Roman" w:cs="Times New Roman"/>
                <w:sz w:val="16"/>
                <w:szCs w:val="16"/>
                <w:lang w:eastAsia="es-CO"/>
              </w:rPr>
              <w:t xml:space="preserve">                            844.356.588.868 </w:t>
            </w:r>
          </w:p>
        </w:tc>
        <w:tc>
          <w:tcPr>
            <w:tcW w:w="301" w:type="pct"/>
            <w:noWrap/>
            <w:vAlign w:val="center"/>
            <w:hideMark/>
          </w:tcPr>
          <w:p w14:paraId="216D13BE" w14:textId="77777777" w:rsidR="00A24EB9" w:rsidRPr="00F543A5" w:rsidRDefault="00A24EB9" w:rsidP="000A5389">
            <w:pPr>
              <w:spacing w:line="240" w:lineRule="auto"/>
              <w:jc w:val="center"/>
              <w:rPr>
                <w:rFonts w:eastAsia="Times New Roman" w:cs="Times New Roman"/>
                <w:sz w:val="16"/>
                <w:szCs w:val="16"/>
                <w:lang w:eastAsia="es-CO"/>
              </w:rPr>
            </w:pPr>
            <w:r w:rsidRPr="00F543A5">
              <w:rPr>
                <w:rFonts w:eastAsia="Times New Roman" w:cs="Times New Roman"/>
                <w:sz w:val="16"/>
                <w:szCs w:val="16"/>
                <w:lang w:eastAsia="es-CO"/>
              </w:rPr>
              <w:t>1</w:t>
            </w:r>
          </w:p>
        </w:tc>
        <w:tc>
          <w:tcPr>
            <w:tcW w:w="305" w:type="pct"/>
            <w:noWrap/>
            <w:vAlign w:val="center"/>
            <w:hideMark/>
          </w:tcPr>
          <w:p w14:paraId="709B22EF" w14:textId="77777777" w:rsidR="00A24EB9" w:rsidRPr="00F543A5" w:rsidRDefault="00A24EB9" w:rsidP="000A5389">
            <w:pPr>
              <w:spacing w:line="240" w:lineRule="auto"/>
              <w:jc w:val="center"/>
              <w:rPr>
                <w:rFonts w:eastAsia="Times New Roman" w:cs="Times New Roman"/>
                <w:sz w:val="16"/>
                <w:szCs w:val="16"/>
                <w:lang w:eastAsia="es-CO"/>
              </w:rPr>
            </w:pPr>
            <w:r w:rsidRPr="00F543A5">
              <w:rPr>
                <w:rFonts w:eastAsia="Times New Roman" w:cs="Times New Roman"/>
                <w:sz w:val="16"/>
                <w:szCs w:val="16"/>
                <w:lang w:eastAsia="es-CO"/>
              </w:rPr>
              <w:t>10</w:t>
            </w:r>
          </w:p>
        </w:tc>
        <w:tc>
          <w:tcPr>
            <w:tcW w:w="1101" w:type="pct"/>
            <w:vAlign w:val="center"/>
            <w:hideMark/>
          </w:tcPr>
          <w:p w14:paraId="0A980C89" w14:textId="77777777" w:rsidR="00A24EB9" w:rsidRPr="00F543A5" w:rsidRDefault="00A24EB9" w:rsidP="000A5389">
            <w:pPr>
              <w:spacing w:line="240" w:lineRule="auto"/>
              <w:rPr>
                <w:rFonts w:eastAsia="Times New Roman" w:cs="Times New Roman"/>
                <w:sz w:val="16"/>
                <w:szCs w:val="16"/>
                <w:lang w:eastAsia="es-CO"/>
              </w:rPr>
            </w:pPr>
            <w:r w:rsidRPr="00F543A5">
              <w:rPr>
                <w:rFonts w:eastAsia="Times New Roman" w:cs="Times New Roman"/>
                <w:sz w:val="16"/>
                <w:szCs w:val="16"/>
                <w:lang w:eastAsia="es-CO"/>
              </w:rPr>
              <w:t>Aplica los artículos 192 y 195 del Código de Procedimiento Administrativo y de lo Contencioso</w:t>
            </w:r>
            <w:r w:rsidRPr="00F543A5">
              <w:rPr>
                <w:rFonts w:eastAsia="Times New Roman" w:cs="Times New Roman"/>
                <w:sz w:val="16"/>
                <w:szCs w:val="16"/>
                <w:lang w:eastAsia="es-CO"/>
              </w:rPr>
              <w:br/>
              <w:t>Administrativo - CPACA</w:t>
            </w:r>
          </w:p>
        </w:tc>
        <w:tc>
          <w:tcPr>
            <w:tcW w:w="1265" w:type="pct"/>
            <w:vAlign w:val="center"/>
            <w:hideMark/>
          </w:tcPr>
          <w:p w14:paraId="062591DB" w14:textId="77777777" w:rsidR="00A24EB9" w:rsidRPr="00F543A5" w:rsidRDefault="00A24EB9" w:rsidP="000A5389">
            <w:pPr>
              <w:spacing w:line="240" w:lineRule="auto"/>
              <w:rPr>
                <w:rFonts w:eastAsia="Times New Roman" w:cs="Times New Roman"/>
                <w:sz w:val="16"/>
                <w:szCs w:val="16"/>
                <w:lang w:eastAsia="es-CO"/>
              </w:rPr>
            </w:pPr>
            <w:r w:rsidRPr="00F543A5">
              <w:rPr>
                <w:rFonts w:eastAsia="Times New Roman" w:cs="Times New Roman"/>
                <w:b/>
                <w:bCs/>
                <w:sz w:val="16"/>
                <w:szCs w:val="16"/>
                <w:lang w:eastAsia="es-CO"/>
              </w:rPr>
              <w:t>DTF (rango de fecha) *:</w:t>
            </w:r>
            <w:r w:rsidRPr="00F543A5">
              <w:rPr>
                <w:rFonts w:eastAsia="Times New Roman" w:cs="Times New Roman"/>
                <w:sz w:val="16"/>
                <w:szCs w:val="16"/>
                <w:lang w:eastAsia="es-CO"/>
              </w:rPr>
              <w:t xml:space="preserve"> 09/oct/2020 -17/may/2022</w:t>
            </w:r>
            <w:r w:rsidRPr="00F543A5">
              <w:rPr>
                <w:rFonts w:eastAsia="Times New Roman" w:cs="Times New Roman"/>
                <w:sz w:val="16"/>
                <w:szCs w:val="16"/>
                <w:lang w:eastAsia="es-CO"/>
              </w:rPr>
              <w:br/>
              <w:t>*Se aplica DTF entre los 10 primeros meses</w:t>
            </w:r>
            <w:r w:rsidRPr="00F543A5">
              <w:rPr>
                <w:rFonts w:eastAsia="Times New Roman" w:cs="Times New Roman"/>
                <w:sz w:val="16"/>
                <w:szCs w:val="16"/>
                <w:lang w:eastAsia="es-CO"/>
              </w:rPr>
              <w:br/>
            </w:r>
            <w:r w:rsidRPr="00F543A5">
              <w:rPr>
                <w:rFonts w:eastAsia="Times New Roman" w:cs="Times New Roman"/>
                <w:b/>
                <w:bCs/>
                <w:sz w:val="16"/>
                <w:szCs w:val="16"/>
                <w:lang w:eastAsia="es-CO"/>
              </w:rPr>
              <w:t>Tasa de interés bancario corriente (rango de fecha) *:</w:t>
            </w:r>
            <w:r w:rsidRPr="00F543A5">
              <w:rPr>
                <w:rFonts w:eastAsia="Times New Roman" w:cs="Times New Roman"/>
                <w:sz w:val="16"/>
                <w:szCs w:val="16"/>
                <w:lang w:eastAsia="es-CO"/>
              </w:rPr>
              <w:t xml:space="preserve"> 18/may/2022-31/dic/2025</w:t>
            </w:r>
            <w:r w:rsidRPr="00F543A5">
              <w:rPr>
                <w:rFonts w:eastAsia="Times New Roman" w:cs="Times New Roman"/>
                <w:sz w:val="16"/>
                <w:szCs w:val="16"/>
                <w:lang w:eastAsia="es-CO"/>
              </w:rPr>
              <w:br/>
              <w:t>*Se aplica Tasa de interés bancario corriente, después de los 10 meses conforme lo establecido en el</w:t>
            </w:r>
            <w:r w:rsidRPr="00F543A5">
              <w:rPr>
                <w:rFonts w:eastAsia="Times New Roman" w:cs="Times New Roman"/>
                <w:sz w:val="16"/>
                <w:szCs w:val="16"/>
                <w:lang w:eastAsia="es-CO"/>
              </w:rPr>
              <w:br/>
              <w:t>artículo 195 del CPACA.</w:t>
            </w:r>
          </w:p>
        </w:tc>
      </w:tr>
      <w:tr w:rsidR="00A24EB9" w:rsidRPr="00F543A5" w14:paraId="54F12254" w14:textId="77777777" w:rsidTr="00BA12EC">
        <w:trPr>
          <w:trHeight w:val="1724"/>
        </w:trPr>
        <w:tc>
          <w:tcPr>
            <w:tcW w:w="647" w:type="pct"/>
            <w:noWrap/>
            <w:vAlign w:val="center"/>
            <w:hideMark/>
          </w:tcPr>
          <w:p w14:paraId="79350835" w14:textId="77777777" w:rsidR="00A24EB9" w:rsidRPr="00F543A5" w:rsidRDefault="00A24EB9" w:rsidP="000A5389">
            <w:pPr>
              <w:spacing w:line="240" w:lineRule="auto"/>
              <w:jc w:val="right"/>
              <w:rPr>
                <w:rFonts w:eastAsia="Times New Roman" w:cs="Times New Roman"/>
                <w:sz w:val="16"/>
                <w:szCs w:val="16"/>
                <w:lang w:eastAsia="es-CO"/>
              </w:rPr>
            </w:pPr>
            <w:r w:rsidRPr="00F543A5">
              <w:rPr>
                <w:rFonts w:eastAsia="Times New Roman" w:cs="Times New Roman"/>
                <w:sz w:val="16"/>
                <w:szCs w:val="16"/>
                <w:lang w:eastAsia="es-CO"/>
              </w:rPr>
              <w:t>900761657</w:t>
            </w:r>
          </w:p>
        </w:tc>
        <w:tc>
          <w:tcPr>
            <w:tcW w:w="650" w:type="pct"/>
            <w:vAlign w:val="center"/>
            <w:hideMark/>
          </w:tcPr>
          <w:p w14:paraId="0288D93C" w14:textId="3C125128" w:rsidR="00A24EB9" w:rsidRPr="00F543A5" w:rsidRDefault="00866BB4" w:rsidP="00BA12EC">
            <w:pPr>
              <w:spacing w:line="240" w:lineRule="auto"/>
              <w:jc w:val="left"/>
              <w:rPr>
                <w:rFonts w:eastAsia="Times New Roman" w:cs="Times New Roman"/>
                <w:sz w:val="16"/>
                <w:szCs w:val="16"/>
                <w:lang w:eastAsia="es-CO"/>
              </w:rPr>
            </w:pPr>
            <w:r w:rsidRPr="00F543A5">
              <w:rPr>
                <w:rFonts w:eastAsia="Times New Roman" w:cs="Times New Roman"/>
                <w:sz w:val="16"/>
                <w:szCs w:val="16"/>
                <w:lang w:eastAsia="es-CO"/>
              </w:rPr>
              <w:t xml:space="preserve">Perimetral Oriental De </w:t>
            </w:r>
            <w:r w:rsidR="00BA12EC" w:rsidRPr="00F543A5">
              <w:rPr>
                <w:rFonts w:eastAsia="Times New Roman" w:cs="Times New Roman"/>
                <w:sz w:val="16"/>
                <w:szCs w:val="16"/>
                <w:lang w:eastAsia="es-CO"/>
              </w:rPr>
              <w:t>Bogotá</w:t>
            </w:r>
            <w:r w:rsidRPr="00F543A5">
              <w:rPr>
                <w:rFonts w:eastAsia="Times New Roman" w:cs="Times New Roman"/>
                <w:sz w:val="16"/>
                <w:szCs w:val="16"/>
                <w:lang w:eastAsia="es-CO"/>
              </w:rPr>
              <w:t xml:space="preserve"> Sas</w:t>
            </w:r>
          </w:p>
        </w:tc>
        <w:tc>
          <w:tcPr>
            <w:tcW w:w="731" w:type="pct"/>
            <w:noWrap/>
            <w:vAlign w:val="center"/>
            <w:hideMark/>
          </w:tcPr>
          <w:p w14:paraId="57028F90" w14:textId="77777777" w:rsidR="00A24EB9" w:rsidRPr="00F543A5" w:rsidRDefault="00A24EB9" w:rsidP="000A5389">
            <w:pPr>
              <w:spacing w:line="240" w:lineRule="auto"/>
              <w:jc w:val="right"/>
              <w:rPr>
                <w:rFonts w:eastAsia="Times New Roman" w:cs="Times New Roman"/>
                <w:sz w:val="16"/>
                <w:szCs w:val="16"/>
                <w:lang w:eastAsia="es-CO"/>
              </w:rPr>
            </w:pPr>
            <w:r w:rsidRPr="00F543A5">
              <w:rPr>
                <w:rFonts w:eastAsia="Times New Roman" w:cs="Times New Roman"/>
                <w:sz w:val="16"/>
                <w:szCs w:val="16"/>
                <w:lang w:eastAsia="es-CO"/>
              </w:rPr>
              <w:t>566.155.199.357</w:t>
            </w:r>
          </w:p>
        </w:tc>
        <w:tc>
          <w:tcPr>
            <w:tcW w:w="301" w:type="pct"/>
            <w:noWrap/>
            <w:vAlign w:val="center"/>
            <w:hideMark/>
          </w:tcPr>
          <w:p w14:paraId="184A6D12" w14:textId="77777777" w:rsidR="00A24EB9" w:rsidRPr="00F543A5" w:rsidRDefault="00A24EB9" w:rsidP="000A5389">
            <w:pPr>
              <w:spacing w:line="240" w:lineRule="auto"/>
              <w:jc w:val="center"/>
              <w:rPr>
                <w:rFonts w:eastAsia="Times New Roman" w:cs="Times New Roman"/>
                <w:sz w:val="16"/>
                <w:szCs w:val="16"/>
                <w:lang w:eastAsia="es-CO"/>
              </w:rPr>
            </w:pPr>
            <w:r w:rsidRPr="00F543A5">
              <w:rPr>
                <w:rFonts w:eastAsia="Times New Roman" w:cs="Times New Roman"/>
                <w:sz w:val="16"/>
                <w:szCs w:val="16"/>
                <w:lang w:eastAsia="es-CO"/>
              </w:rPr>
              <w:t>1</w:t>
            </w:r>
          </w:p>
        </w:tc>
        <w:tc>
          <w:tcPr>
            <w:tcW w:w="305" w:type="pct"/>
            <w:noWrap/>
            <w:vAlign w:val="center"/>
            <w:hideMark/>
          </w:tcPr>
          <w:p w14:paraId="7A470947" w14:textId="77777777" w:rsidR="00A24EB9" w:rsidRPr="00F543A5" w:rsidRDefault="00A24EB9" w:rsidP="000A5389">
            <w:pPr>
              <w:spacing w:line="240" w:lineRule="auto"/>
              <w:jc w:val="center"/>
              <w:rPr>
                <w:rFonts w:eastAsia="Times New Roman" w:cs="Times New Roman"/>
                <w:sz w:val="16"/>
                <w:szCs w:val="16"/>
                <w:lang w:eastAsia="es-CO"/>
              </w:rPr>
            </w:pPr>
            <w:r w:rsidRPr="00F543A5">
              <w:rPr>
                <w:rFonts w:eastAsia="Times New Roman" w:cs="Times New Roman"/>
                <w:sz w:val="16"/>
                <w:szCs w:val="16"/>
                <w:lang w:eastAsia="es-CO"/>
              </w:rPr>
              <w:t>10</w:t>
            </w:r>
          </w:p>
        </w:tc>
        <w:tc>
          <w:tcPr>
            <w:tcW w:w="1101" w:type="pct"/>
            <w:vAlign w:val="center"/>
            <w:hideMark/>
          </w:tcPr>
          <w:p w14:paraId="123BDC69" w14:textId="77777777" w:rsidR="00A24EB9" w:rsidRPr="00F543A5" w:rsidRDefault="00A24EB9" w:rsidP="000A5389">
            <w:pPr>
              <w:spacing w:line="240" w:lineRule="auto"/>
              <w:rPr>
                <w:rFonts w:eastAsia="Times New Roman" w:cs="Times New Roman"/>
                <w:sz w:val="16"/>
                <w:szCs w:val="16"/>
                <w:lang w:eastAsia="es-CO"/>
              </w:rPr>
            </w:pPr>
            <w:r w:rsidRPr="00F543A5">
              <w:rPr>
                <w:rFonts w:eastAsia="Times New Roman" w:cs="Times New Roman"/>
                <w:sz w:val="16"/>
                <w:szCs w:val="16"/>
                <w:lang w:eastAsia="es-CO"/>
              </w:rPr>
              <w:t>Aplica los artículos 192 y 195 del Código de Procedimiento Administrativo y de lo Contencioso</w:t>
            </w:r>
            <w:r w:rsidRPr="00F543A5">
              <w:rPr>
                <w:rFonts w:eastAsia="Times New Roman" w:cs="Times New Roman"/>
                <w:sz w:val="16"/>
                <w:szCs w:val="16"/>
                <w:lang w:eastAsia="es-CO"/>
              </w:rPr>
              <w:br/>
              <w:t>Administrativo - CPACA</w:t>
            </w:r>
          </w:p>
        </w:tc>
        <w:tc>
          <w:tcPr>
            <w:tcW w:w="1265" w:type="pct"/>
            <w:vAlign w:val="center"/>
            <w:hideMark/>
          </w:tcPr>
          <w:p w14:paraId="1D83661D" w14:textId="77777777" w:rsidR="00A24EB9" w:rsidRPr="00F543A5" w:rsidRDefault="00A24EB9" w:rsidP="000A5389">
            <w:pPr>
              <w:spacing w:line="240" w:lineRule="auto"/>
              <w:rPr>
                <w:rFonts w:eastAsia="Times New Roman" w:cs="Times New Roman"/>
                <w:sz w:val="16"/>
                <w:szCs w:val="16"/>
                <w:lang w:eastAsia="es-CO"/>
              </w:rPr>
            </w:pPr>
            <w:r w:rsidRPr="00F543A5">
              <w:rPr>
                <w:rFonts w:eastAsia="Times New Roman" w:cs="Times New Roman"/>
                <w:b/>
                <w:bCs/>
                <w:sz w:val="16"/>
                <w:szCs w:val="16"/>
                <w:lang w:eastAsia="es-CO"/>
              </w:rPr>
              <w:t>DTF (rango de fecha) *:</w:t>
            </w:r>
            <w:r w:rsidRPr="00F543A5">
              <w:rPr>
                <w:rFonts w:eastAsia="Times New Roman" w:cs="Times New Roman"/>
                <w:sz w:val="16"/>
                <w:szCs w:val="16"/>
                <w:lang w:eastAsia="es-CO"/>
              </w:rPr>
              <w:t xml:space="preserve"> 19/12/2024 - 19/10/2025</w:t>
            </w:r>
            <w:r w:rsidRPr="00F543A5">
              <w:rPr>
                <w:rFonts w:eastAsia="Times New Roman" w:cs="Times New Roman"/>
                <w:sz w:val="16"/>
                <w:szCs w:val="16"/>
                <w:lang w:eastAsia="es-CO"/>
              </w:rPr>
              <w:br/>
              <w:t>*Se aplica DTF entre los 10 primeros meses</w:t>
            </w:r>
            <w:r w:rsidRPr="00F543A5">
              <w:rPr>
                <w:rFonts w:eastAsia="Times New Roman" w:cs="Times New Roman"/>
                <w:sz w:val="16"/>
                <w:szCs w:val="16"/>
                <w:lang w:eastAsia="es-CO"/>
              </w:rPr>
              <w:br/>
            </w:r>
            <w:r w:rsidRPr="00F543A5">
              <w:rPr>
                <w:rFonts w:eastAsia="Times New Roman" w:cs="Times New Roman"/>
                <w:b/>
                <w:bCs/>
                <w:sz w:val="16"/>
                <w:szCs w:val="16"/>
                <w:lang w:eastAsia="es-CO"/>
              </w:rPr>
              <w:t>Tasa de interés bancario corriente (rango de fecha) *:</w:t>
            </w:r>
            <w:r w:rsidRPr="00F543A5">
              <w:rPr>
                <w:rFonts w:eastAsia="Times New Roman" w:cs="Times New Roman"/>
                <w:sz w:val="16"/>
                <w:szCs w:val="16"/>
                <w:lang w:eastAsia="es-CO"/>
              </w:rPr>
              <w:t xml:space="preserve"> 20/10/2025 31/12/2025</w:t>
            </w:r>
            <w:r w:rsidRPr="00F543A5">
              <w:rPr>
                <w:rFonts w:eastAsia="Times New Roman" w:cs="Times New Roman"/>
                <w:sz w:val="16"/>
                <w:szCs w:val="16"/>
                <w:lang w:eastAsia="es-CO"/>
              </w:rPr>
              <w:br/>
              <w:t>*Se aplica Tasa de interés bancario corriente, después de los 10 meses conforme lo establecido en el</w:t>
            </w:r>
            <w:r w:rsidRPr="00F543A5">
              <w:rPr>
                <w:rFonts w:eastAsia="Times New Roman" w:cs="Times New Roman"/>
                <w:sz w:val="16"/>
                <w:szCs w:val="16"/>
                <w:lang w:eastAsia="es-CO"/>
              </w:rPr>
              <w:br/>
              <w:t>artículo 195 del CPACA.</w:t>
            </w:r>
          </w:p>
        </w:tc>
      </w:tr>
      <w:tr w:rsidR="00A24EB9" w:rsidRPr="00F543A5" w14:paraId="3FF14BDF" w14:textId="77777777" w:rsidTr="00BA12EC">
        <w:trPr>
          <w:trHeight w:val="801"/>
        </w:trPr>
        <w:tc>
          <w:tcPr>
            <w:tcW w:w="647" w:type="pct"/>
            <w:noWrap/>
            <w:vAlign w:val="center"/>
            <w:hideMark/>
          </w:tcPr>
          <w:p w14:paraId="41BEC868" w14:textId="77777777" w:rsidR="00A24EB9" w:rsidRPr="00F543A5" w:rsidRDefault="00A24EB9" w:rsidP="000A5389">
            <w:pPr>
              <w:spacing w:line="240" w:lineRule="auto"/>
              <w:jc w:val="right"/>
              <w:rPr>
                <w:rFonts w:eastAsia="Times New Roman" w:cs="Times New Roman"/>
                <w:sz w:val="16"/>
                <w:szCs w:val="16"/>
                <w:lang w:eastAsia="es-CO"/>
              </w:rPr>
            </w:pPr>
            <w:r w:rsidRPr="00F543A5">
              <w:rPr>
                <w:rFonts w:eastAsia="Times New Roman" w:cs="Times New Roman"/>
                <w:sz w:val="16"/>
                <w:szCs w:val="16"/>
                <w:lang w:eastAsia="es-CO"/>
              </w:rPr>
              <w:t>900330374</w:t>
            </w:r>
          </w:p>
        </w:tc>
        <w:tc>
          <w:tcPr>
            <w:tcW w:w="650" w:type="pct"/>
            <w:vAlign w:val="center"/>
            <w:hideMark/>
          </w:tcPr>
          <w:p w14:paraId="4F1B1A18" w14:textId="4657DCE3" w:rsidR="00A24EB9" w:rsidRPr="00F543A5" w:rsidRDefault="00866BB4" w:rsidP="00BA12EC">
            <w:pPr>
              <w:spacing w:line="240" w:lineRule="auto"/>
              <w:jc w:val="left"/>
              <w:rPr>
                <w:rFonts w:eastAsia="Times New Roman" w:cs="Times New Roman"/>
                <w:sz w:val="16"/>
                <w:szCs w:val="16"/>
                <w:lang w:eastAsia="es-CO"/>
              </w:rPr>
            </w:pPr>
            <w:r w:rsidRPr="00F543A5">
              <w:rPr>
                <w:rFonts w:eastAsia="Times New Roman" w:cs="Times New Roman"/>
                <w:sz w:val="16"/>
                <w:szCs w:val="16"/>
                <w:lang w:eastAsia="es-CO"/>
              </w:rPr>
              <w:t>Consorcio Vial Helios</w:t>
            </w:r>
          </w:p>
        </w:tc>
        <w:tc>
          <w:tcPr>
            <w:tcW w:w="731" w:type="pct"/>
            <w:noWrap/>
            <w:vAlign w:val="center"/>
            <w:hideMark/>
          </w:tcPr>
          <w:p w14:paraId="5DC4DC2A" w14:textId="77777777" w:rsidR="00A24EB9" w:rsidRPr="00F543A5" w:rsidRDefault="00A24EB9" w:rsidP="000A5389">
            <w:pPr>
              <w:spacing w:line="240" w:lineRule="auto"/>
              <w:jc w:val="right"/>
              <w:rPr>
                <w:rFonts w:eastAsia="Times New Roman" w:cs="Times New Roman"/>
                <w:sz w:val="16"/>
                <w:szCs w:val="16"/>
                <w:lang w:eastAsia="es-CO"/>
              </w:rPr>
            </w:pPr>
            <w:r w:rsidRPr="00F543A5">
              <w:rPr>
                <w:rFonts w:eastAsia="Times New Roman" w:cs="Times New Roman"/>
                <w:sz w:val="16"/>
                <w:szCs w:val="16"/>
                <w:lang w:eastAsia="es-CO"/>
              </w:rPr>
              <w:t xml:space="preserve">                               74.072.060.766 </w:t>
            </w:r>
          </w:p>
        </w:tc>
        <w:tc>
          <w:tcPr>
            <w:tcW w:w="301" w:type="pct"/>
            <w:noWrap/>
            <w:vAlign w:val="center"/>
            <w:hideMark/>
          </w:tcPr>
          <w:p w14:paraId="643F221B" w14:textId="77777777" w:rsidR="00A24EB9" w:rsidRPr="00F543A5" w:rsidRDefault="00A24EB9" w:rsidP="000A5389">
            <w:pPr>
              <w:spacing w:line="240" w:lineRule="auto"/>
              <w:jc w:val="center"/>
              <w:rPr>
                <w:rFonts w:eastAsia="Times New Roman" w:cs="Times New Roman"/>
                <w:sz w:val="16"/>
                <w:szCs w:val="16"/>
                <w:lang w:eastAsia="es-CO"/>
              </w:rPr>
            </w:pPr>
            <w:r w:rsidRPr="00F543A5">
              <w:rPr>
                <w:rFonts w:eastAsia="Times New Roman" w:cs="Times New Roman"/>
                <w:sz w:val="16"/>
                <w:szCs w:val="16"/>
                <w:lang w:eastAsia="es-CO"/>
              </w:rPr>
              <w:t>1</w:t>
            </w:r>
          </w:p>
        </w:tc>
        <w:tc>
          <w:tcPr>
            <w:tcW w:w="305" w:type="pct"/>
            <w:noWrap/>
            <w:vAlign w:val="center"/>
            <w:hideMark/>
          </w:tcPr>
          <w:p w14:paraId="650C4065" w14:textId="77777777" w:rsidR="00A24EB9" w:rsidRPr="00F543A5" w:rsidRDefault="00A24EB9" w:rsidP="000A5389">
            <w:pPr>
              <w:spacing w:line="240" w:lineRule="auto"/>
              <w:jc w:val="center"/>
              <w:rPr>
                <w:rFonts w:eastAsia="Times New Roman" w:cs="Times New Roman"/>
                <w:sz w:val="16"/>
                <w:szCs w:val="16"/>
                <w:lang w:eastAsia="es-CO"/>
              </w:rPr>
            </w:pPr>
            <w:r w:rsidRPr="00F543A5">
              <w:rPr>
                <w:rFonts w:eastAsia="Times New Roman" w:cs="Times New Roman"/>
                <w:sz w:val="16"/>
                <w:szCs w:val="16"/>
                <w:lang w:eastAsia="es-CO"/>
              </w:rPr>
              <w:t>10</w:t>
            </w:r>
          </w:p>
        </w:tc>
        <w:tc>
          <w:tcPr>
            <w:tcW w:w="1101" w:type="pct"/>
            <w:vAlign w:val="center"/>
            <w:hideMark/>
          </w:tcPr>
          <w:p w14:paraId="220F53AF" w14:textId="77777777" w:rsidR="00A24EB9" w:rsidRPr="00F543A5" w:rsidRDefault="00A24EB9" w:rsidP="000A5389">
            <w:pPr>
              <w:spacing w:line="240" w:lineRule="auto"/>
              <w:rPr>
                <w:rFonts w:eastAsia="Times New Roman" w:cs="Times New Roman"/>
                <w:sz w:val="16"/>
                <w:szCs w:val="16"/>
                <w:lang w:eastAsia="es-CO"/>
              </w:rPr>
            </w:pPr>
            <w:r w:rsidRPr="00F543A5">
              <w:rPr>
                <w:rFonts w:eastAsia="Times New Roman" w:cs="Times New Roman"/>
                <w:sz w:val="16"/>
                <w:szCs w:val="16"/>
                <w:lang w:eastAsia="es-CO"/>
              </w:rPr>
              <w:t>Aplica los artículos 192 y 195 del Código de Procedimiento Administrativo y de lo Contencioso</w:t>
            </w:r>
            <w:r w:rsidRPr="00F543A5">
              <w:rPr>
                <w:rFonts w:eastAsia="Times New Roman" w:cs="Times New Roman"/>
                <w:sz w:val="16"/>
                <w:szCs w:val="16"/>
                <w:lang w:eastAsia="es-CO"/>
              </w:rPr>
              <w:br/>
              <w:t>Administrativo - CPACA</w:t>
            </w:r>
          </w:p>
        </w:tc>
        <w:tc>
          <w:tcPr>
            <w:tcW w:w="1265" w:type="pct"/>
            <w:vAlign w:val="center"/>
            <w:hideMark/>
          </w:tcPr>
          <w:p w14:paraId="410A371E" w14:textId="77777777" w:rsidR="00A24EB9" w:rsidRPr="00F543A5" w:rsidRDefault="00A24EB9" w:rsidP="000A5389">
            <w:pPr>
              <w:spacing w:line="240" w:lineRule="auto"/>
              <w:rPr>
                <w:rFonts w:eastAsia="Times New Roman" w:cs="Times New Roman"/>
                <w:sz w:val="16"/>
                <w:szCs w:val="16"/>
                <w:lang w:eastAsia="es-CO"/>
              </w:rPr>
            </w:pPr>
            <w:r w:rsidRPr="00F543A5">
              <w:rPr>
                <w:rFonts w:eastAsia="Times New Roman" w:cs="Times New Roman"/>
                <w:b/>
                <w:bCs/>
                <w:sz w:val="16"/>
                <w:szCs w:val="16"/>
                <w:lang w:eastAsia="es-CO"/>
              </w:rPr>
              <w:t>DTF (rango de fecha) *:</w:t>
            </w:r>
            <w:r w:rsidRPr="00F543A5">
              <w:rPr>
                <w:rFonts w:eastAsia="Times New Roman" w:cs="Times New Roman"/>
                <w:sz w:val="16"/>
                <w:szCs w:val="16"/>
                <w:lang w:eastAsia="es-CO"/>
              </w:rPr>
              <w:t xml:space="preserve"> 2/6/22 al 1/4/23 y 5/6/23 al 4/4/24</w:t>
            </w:r>
            <w:r w:rsidRPr="00F543A5">
              <w:rPr>
                <w:rFonts w:eastAsia="Times New Roman" w:cs="Times New Roman"/>
                <w:sz w:val="16"/>
                <w:szCs w:val="16"/>
                <w:lang w:eastAsia="es-CO"/>
              </w:rPr>
              <w:br/>
              <w:t>*Se aplica DTF entre los 10 primeros meses</w:t>
            </w:r>
            <w:r w:rsidRPr="00F543A5">
              <w:rPr>
                <w:rFonts w:eastAsia="Times New Roman" w:cs="Times New Roman"/>
                <w:sz w:val="16"/>
                <w:szCs w:val="16"/>
                <w:lang w:eastAsia="es-CO"/>
              </w:rPr>
              <w:br/>
            </w:r>
            <w:r w:rsidRPr="00F543A5">
              <w:rPr>
                <w:rFonts w:eastAsia="Times New Roman" w:cs="Times New Roman"/>
                <w:b/>
                <w:bCs/>
                <w:sz w:val="16"/>
                <w:szCs w:val="16"/>
                <w:lang w:eastAsia="es-CO"/>
              </w:rPr>
              <w:t>Tasa de interés bancario corriente (rango de fecha) *:</w:t>
            </w:r>
            <w:r w:rsidRPr="00F543A5">
              <w:rPr>
                <w:rFonts w:eastAsia="Times New Roman" w:cs="Times New Roman"/>
                <w:sz w:val="16"/>
                <w:szCs w:val="16"/>
                <w:lang w:eastAsia="es-CO"/>
              </w:rPr>
              <w:t xml:space="preserve"> 2/4/23 al 30/6/25 y 5/4/24 al 30/6/25</w:t>
            </w:r>
            <w:r w:rsidRPr="00F543A5">
              <w:rPr>
                <w:rFonts w:eastAsia="Times New Roman" w:cs="Times New Roman"/>
                <w:sz w:val="16"/>
                <w:szCs w:val="16"/>
                <w:lang w:eastAsia="es-CO"/>
              </w:rPr>
              <w:br/>
              <w:t>*Se aplica Tasa de interés bancario corriente, después de los 10 meses conforme lo establecido en el</w:t>
            </w:r>
            <w:r w:rsidRPr="00F543A5">
              <w:rPr>
                <w:rFonts w:eastAsia="Times New Roman" w:cs="Times New Roman"/>
                <w:sz w:val="16"/>
                <w:szCs w:val="16"/>
                <w:lang w:eastAsia="es-CO"/>
              </w:rPr>
              <w:br/>
              <w:t>artículo 195 del CPACA.</w:t>
            </w:r>
          </w:p>
        </w:tc>
      </w:tr>
      <w:tr w:rsidR="00A24EB9" w:rsidRPr="00F543A5" w14:paraId="4512A584" w14:textId="77777777" w:rsidTr="00BA12EC">
        <w:trPr>
          <w:trHeight w:val="1845"/>
        </w:trPr>
        <w:tc>
          <w:tcPr>
            <w:tcW w:w="647" w:type="pct"/>
            <w:noWrap/>
            <w:vAlign w:val="center"/>
            <w:hideMark/>
          </w:tcPr>
          <w:p w14:paraId="26F878EA" w14:textId="77777777" w:rsidR="00A24EB9" w:rsidRPr="00F543A5" w:rsidRDefault="00A24EB9" w:rsidP="000A5389">
            <w:pPr>
              <w:spacing w:line="240" w:lineRule="auto"/>
              <w:jc w:val="right"/>
              <w:rPr>
                <w:rFonts w:eastAsia="Times New Roman" w:cs="Times New Roman"/>
                <w:sz w:val="16"/>
                <w:szCs w:val="16"/>
                <w:lang w:eastAsia="es-CO"/>
              </w:rPr>
            </w:pPr>
            <w:r w:rsidRPr="00F543A5">
              <w:rPr>
                <w:rFonts w:eastAsia="Times New Roman" w:cs="Times New Roman"/>
                <w:sz w:val="16"/>
                <w:szCs w:val="16"/>
                <w:lang w:eastAsia="es-CO"/>
              </w:rPr>
              <w:lastRenderedPageBreak/>
              <w:t>900979054</w:t>
            </w:r>
          </w:p>
        </w:tc>
        <w:tc>
          <w:tcPr>
            <w:tcW w:w="650" w:type="pct"/>
            <w:vAlign w:val="center"/>
            <w:hideMark/>
          </w:tcPr>
          <w:p w14:paraId="254366C0" w14:textId="73C20D31" w:rsidR="00A24EB9" w:rsidRPr="00F543A5" w:rsidRDefault="00BA12EC" w:rsidP="00BA12EC">
            <w:pPr>
              <w:spacing w:line="240" w:lineRule="auto"/>
              <w:jc w:val="left"/>
              <w:rPr>
                <w:rFonts w:eastAsia="Times New Roman" w:cs="Times New Roman"/>
                <w:sz w:val="16"/>
                <w:szCs w:val="16"/>
                <w:lang w:eastAsia="es-CO"/>
              </w:rPr>
            </w:pPr>
            <w:r w:rsidRPr="00F543A5">
              <w:rPr>
                <w:rFonts w:eastAsia="Times New Roman" w:cs="Times New Roman"/>
                <w:sz w:val="16"/>
                <w:szCs w:val="16"/>
                <w:lang w:eastAsia="es-CO"/>
              </w:rPr>
              <w:t>vía</w:t>
            </w:r>
            <w:r w:rsidR="00866BB4" w:rsidRPr="00F543A5">
              <w:rPr>
                <w:rFonts w:eastAsia="Times New Roman" w:cs="Times New Roman"/>
                <w:sz w:val="16"/>
                <w:szCs w:val="16"/>
                <w:lang w:eastAsia="es-CO"/>
              </w:rPr>
              <w:t xml:space="preserve"> Pacifico S A S En </w:t>
            </w:r>
            <w:r w:rsidRPr="00F543A5">
              <w:rPr>
                <w:rFonts w:eastAsia="Times New Roman" w:cs="Times New Roman"/>
                <w:sz w:val="16"/>
                <w:szCs w:val="16"/>
                <w:lang w:eastAsia="es-CO"/>
              </w:rPr>
              <w:t>liquidación</w:t>
            </w:r>
          </w:p>
        </w:tc>
        <w:tc>
          <w:tcPr>
            <w:tcW w:w="731" w:type="pct"/>
            <w:noWrap/>
            <w:vAlign w:val="center"/>
            <w:hideMark/>
          </w:tcPr>
          <w:p w14:paraId="25C9A101" w14:textId="77777777" w:rsidR="00A24EB9" w:rsidRPr="00F543A5" w:rsidRDefault="00A24EB9" w:rsidP="000A5389">
            <w:pPr>
              <w:spacing w:line="240" w:lineRule="auto"/>
              <w:jc w:val="right"/>
              <w:rPr>
                <w:rFonts w:eastAsia="Times New Roman" w:cs="Times New Roman"/>
                <w:sz w:val="16"/>
                <w:szCs w:val="16"/>
                <w:lang w:eastAsia="es-CO"/>
              </w:rPr>
            </w:pPr>
            <w:r w:rsidRPr="00F543A5">
              <w:rPr>
                <w:rFonts w:eastAsia="Times New Roman" w:cs="Times New Roman"/>
                <w:sz w:val="16"/>
                <w:szCs w:val="16"/>
                <w:lang w:eastAsia="es-CO"/>
              </w:rPr>
              <w:t xml:space="preserve">                                50.126.455.625 </w:t>
            </w:r>
          </w:p>
        </w:tc>
        <w:tc>
          <w:tcPr>
            <w:tcW w:w="301" w:type="pct"/>
            <w:noWrap/>
            <w:vAlign w:val="center"/>
            <w:hideMark/>
          </w:tcPr>
          <w:p w14:paraId="43326141" w14:textId="77777777" w:rsidR="00A24EB9" w:rsidRPr="00F543A5" w:rsidRDefault="00A24EB9" w:rsidP="000A5389">
            <w:pPr>
              <w:spacing w:line="240" w:lineRule="auto"/>
              <w:jc w:val="center"/>
              <w:rPr>
                <w:rFonts w:eastAsia="Times New Roman" w:cs="Times New Roman"/>
                <w:sz w:val="16"/>
                <w:szCs w:val="16"/>
                <w:lang w:eastAsia="es-CO"/>
              </w:rPr>
            </w:pPr>
            <w:r w:rsidRPr="00F543A5">
              <w:rPr>
                <w:rFonts w:eastAsia="Times New Roman" w:cs="Times New Roman"/>
                <w:sz w:val="16"/>
                <w:szCs w:val="16"/>
                <w:lang w:eastAsia="es-CO"/>
              </w:rPr>
              <w:t>1</w:t>
            </w:r>
          </w:p>
        </w:tc>
        <w:tc>
          <w:tcPr>
            <w:tcW w:w="305" w:type="pct"/>
            <w:noWrap/>
            <w:vAlign w:val="center"/>
            <w:hideMark/>
          </w:tcPr>
          <w:p w14:paraId="7EC9D5CC" w14:textId="77777777" w:rsidR="00A24EB9" w:rsidRPr="00F543A5" w:rsidRDefault="00A24EB9" w:rsidP="000A5389">
            <w:pPr>
              <w:spacing w:line="240" w:lineRule="auto"/>
              <w:jc w:val="center"/>
              <w:rPr>
                <w:rFonts w:eastAsia="Times New Roman" w:cs="Times New Roman"/>
                <w:sz w:val="16"/>
                <w:szCs w:val="16"/>
                <w:lang w:eastAsia="es-CO"/>
              </w:rPr>
            </w:pPr>
            <w:r w:rsidRPr="00F543A5">
              <w:rPr>
                <w:rFonts w:eastAsia="Times New Roman" w:cs="Times New Roman"/>
                <w:sz w:val="16"/>
                <w:szCs w:val="16"/>
                <w:lang w:eastAsia="es-CO"/>
              </w:rPr>
              <w:t>10</w:t>
            </w:r>
          </w:p>
        </w:tc>
        <w:tc>
          <w:tcPr>
            <w:tcW w:w="1101" w:type="pct"/>
            <w:vAlign w:val="center"/>
            <w:hideMark/>
          </w:tcPr>
          <w:p w14:paraId="201BF57D" w14:textId="77777777" w:rsidR="00A24EB9" w:rsidRPr="00F543A5" w:rsidRDefault="00A24EB9" w:rsidP="000A5389">
            <w:pPr>
              <w:spacing w:line="240" w:lineRule="auto"/>
              <w:rPr>
                <w:rFonts w:eastAsia="Times New Roman" w:cs="Times New Roman"/>
                <w:sz w:val="16"/>
                <w:szCs w:val="16"/>
                <w:lang w:eastAsia="es-CO"/>
              </w:rPr>
            </w:pPr>
            <w:r w:rsidRPr="00F543A5">
              <w:rPr>
                <w:rFonts w:eastAsia="Times New Roman" w:cs="Times New Roman"/>
                <w:sz w:val="16"/>
                <w:szCs w:val="16"/>
                <w:lang w:eastAsia="es-CO"/>
              </w:rPr>
              <w:t>Aplica los artículos 192 y 195 del Código de Procedimiento Administrativo y de lo Contencioso</w:t>
            </w:r>
            <w:r w:rsidRPr="00F543A5">
              <w:rPr>
                <w:rFonts w:eastAsia="Times New Roman" w:cs="Times New Roman"/>
                <w:sz w:val="16"/>
                <w:szCs w:val="16"/>
                <w:lang w:eastAsia="es-CO"/>
              </w:rPr>
              <w:br/>
              <w:t>Administrativo - CPACA</w:t>
            </w:r>
          </w:p>
        </w:tc>
        <w:tc>
          <w:tcPr>
            <w:tcW w:w="1265" w:type="pct"/>
            <w:vAlign w:val="center"/>
            <w:hideMark/>
          </w:tcPr>
          <w:p w14:paraId="6BA571FB" w14:textId="77777777" w:rsidR="00A24EB9" w:rsidRPr="00F543A5" w:rsidRDefault="00A24EB9" w:rsidP="000A5389">
            <w:pPr>
              <w:spacing w:line="240" w:lineRule="auto"/>
              <w:rPr>
                <w:rFonts w:eastAsia="Times New Roman" w:cs="Times New Roman"/>
                <w:sz w:val="16"/>
                <w:szCs w:val="16"/>
                <w:lang w:eastAsia="es-CO"/>
              </w:rPr>
            </w:pPr>
            <w:r w:rsidRPr="00F543A5">
              <w:rPr>
                <w:rFonts w:eastAsia="Times New Roman" w:cs="Times New Roman"/>
                <w:b/>
                <w:bCs/>
                <w:sz w:val="16"/>
                <w:szCs w:val="16"/>
                <w:lang w:eastAsia="es-CO"/>
              </w:rPr>
              <w:t>DTF (rango de fecha) *:</w:t>
            </w:r>
            <w:r w:rsidRPr="00F543A5">
              <w:rPr>
                <w:rFonts w:eastAsia="Times New Roman" w:cs="Times New Roman"/>
                <w:sz w:val="16"/>
                <w:szCs w:val="16"/>
                <w:lang w:eastAsia="es-CO"/>
              </w:rPr>
              <w:t xml:space="preserve"> 7/07/2022 al 6/05/2023</w:t>
            </w:r>
            <w:r w:rsidRPr="00F543A5">
              <w:rPr>
                <w:rFonts w:eastAsia="Times New Roman" w:cs="Times New Roman"/>
                <w:sz w:val="16"/>
                <w:szCs w:val="16"/>
                <w:lang w:eastAsia="es-CO"/>
              </w:rPr>
              <w:br/>
              <w:t>*Se aplica DTF entre los 10 primeros meses</w:t>
            </w:r>
            <w:r w:rsidRPr="00F543A5">
              <w:rPr>
                <w:rFonts w:eastAsia="Times New Roman" w:cs="Times New Roman"/>
                <w:sz w:val="16"/>
                <w:szCs w:val="16"/>
                <w:lang w:eastAsia="es-CO"/>
              </w:rPr>
              <w:br/>
            </w:r>
            <w:r w:rsidRPr="00F543A5">
              <w:rPr>
                <w:rFonts w:eastAsia="Times New Roman" w:cs="Times New Roman"/>
                <w:b/>
                <w:bCs/>
                <w:sz w:val="16"/>
                <w:szCs w:val="16"/>
                <w:lang w:eastAsia="es-CO"/>
              </w:rPr>
              <w:t>Tasa de interés bancario corriente (rango de fecha) *:</w:t>
            </w:r>
            <w:r w:rsidRPr="00F543A5">
              <w:rPr>
                <w:rFonts w:eastAsia="Times New Roman" w:cs="Times New Roman"/>
                <w:sz w:val="16"/>
                <w:szCs w:val="16"/>
                <w:lang w:eastAsia="es-CO"/>
              </w:rPr>
              <w:t xml:space="preserve"> 7/05/2023 al 31/12/2025</w:t>
            </w:r>
            <w:r w:rsidRPr="00F543A5">
              <w:rPr>
                <w:rFonts w:eastAsia="Times New Roman" w:cs="Times New Roman"/>
                <w:sz w:val="16"/>
                <w:szCs w:val="16"/>
                <w:lang w:eastAsia="es-CO"/>
              </w:rPr>
              <w:br/>
              <w:t>*Se aplica Tasa de interés bancario corriente, después de los 10 meses conforme lo establecido en el</w:t>
            </w:r>
            <w:r w:rsidRPr="00F543A5">
              <w:rPr>
                <w:rFonts w:eastAsia="Times New Roman" w:cs="Times New Roman"/>
                <w:sz w:val="16"/>
                <w:szCs w:val="16"/>
                <w:lang w:eastAsia="es-CO"/>
              </w:rPr>
              <w:br/>
              <w:t>artículo 195 del CPACA.</w:t>
            </w:r>
          </w:p>
        </w:tc>
      </w:tr>
      <w:tr w:rsidR="00A24EB9" w:rsidRPr="00F543A5" w14:paraId="4F4BFB7C" w14:textId="77777777" w:rsidTr="00BA12EC">
        <w:trPr>
          <w:trHeight w:val="600"/>
        </w:trPr>
        <w:tc>
          <w:tcPr>
            <w:tcW w:w="647" w:type="pct"/>
            <w:noWrap/>
            <w:vAlign w:val="center"/>
            <w:hideMark/>
          </w:tcPr>
          <w:p w14:paraId="77649231" w14:textId="77777777" w:rsidR="00A24EB9" w:rsidRPr="00F543A5" w:rsidRDefault="00A24EB9" w:rsidP="000A5389">
            <w:pPr>
              <w:spacing w:line="240" w:lineRule="auto"/>
              <w:jc w:val="right"/>
              <w:rPr>
                <w:rFonts w:eastAsia="Times New Roman" w:cs="Times New Roman"/>
                <w:sz w:val="16"/>
                <w:szCs w:val="16"/>
                <w:lang w:eastAsia="es-CO"/>
              </w:rPr>
            </w:pPr>
            <w:r w:rsidRPr="00F543A5">
              <w:rPr>
                <w:rFonts w:eastAsia="Times New Roman" w:cs="Times New Roman"/>
                <w:sz w:val="16"/>
                <w:szCs w:val="16"/>
                <w:lang w:eastAsia="es-CO"/>
              </w:rPr>
              <w:t>900373092</w:t>
            </w:r>
          </w:p>
        </w:tc>
        <w:tc>
          <w:tcPr>
            <w:tcW w:w="650" w:type="pct"/>
            <w:vAlign w:val="center"/>
            <w:hideMark/>
          </w:tcPr>
          <w:p w14:paraId="68494873" w14:textId="53409FB2" w:rsidR="00A24EB9" w:rsidRPr="00F543A5" w:rsidRDefault="00866BB4" w:rsidP="00BA12EC">
            <w:pPr>
              <w:spacing w:line="240" w:lineRule="auto"/>
              <w:jc w:val="left"/>
              <w:rPr>
                <w:rFonts w:eastAsia="Times New Roman" w:cs="Times New Roman"/>
                <w:sz w:val="16"/>
                <w:szCs w:val="16"/>
                <w:lang w:eastAsia="es-CO"/>
              </w:rPr>
            </w:pPr>
            <w:r w:rsidRPr="00F543A5">
              <w:rPr>
                <w:rFonts w:eastAsia="Times New Roman" w:cs="Times New Roman"/>
                <w:sz w:val="16"/>
                <w:szCs w:val="16"/>
                <w:lang w:eastAsia="es-CO"/>
              </w:rPr>
              <w:t xml:space="preserve">Yuma Concesionaria S A - En </w:t>
            </w:r>
            <w:r w:rsidR="00BA12EC" w:rsidRPr="00F543A5">
              <w:rPr>
                <w:rFonts w:eastAsia="Times New Roman" w:cs="Times New Roman"/>
                <w:sz w:val="16"/>
                <w:szCs w:val="16"/>
                <w:lang w:eastAsia="es-CO"/>
              </w:rPr>
              <w:t>Reorganización</w:t>
            </w:r>
          </w:p>
        </w:tc>
        <w:tc>
          <w:tcPr>
            <w:tcW w:w="731" w:type="pct"/>
            <w:noWrap/>
            <w:vAlign w:val="center"/>
            <w:hideMark/>
          </w:tcPr>
          <w:p w14:paraId="5E6D5E49" w14:textId="77777777" w:rsidR="00A24EB9" w:rsidRPr="00F543A5" w:rsidRDefault="00A24EB9" w:rsidP="000A5389">
            <w:pPr>
              <w:spacing w:line="240" w:lineRule="auto"/>
              <w:jc w:val="right"/>
              <w:rPr>
                <w:rFonts w:eastAsia="Times New Roman" w:cs="Times New Roman"/>
                <w:sz w:val="16"/>
                <w:szCs w:val="16"/>
                <w:lang w:eastAsia="es-CO"/>
              </w:rPr>
            </w:pPr>
            <w:r w:rsidRPr="00F543A5">
              <w:rPr>
                <w:rFonts w:eastAsia="Times New Roman" w:cs="Times New Roman"/>
                <w:sz w:val="16"/>
                <w:szCs w:val="16"/>
                <w:lang w:eastAsia="es-CO"/>
              </w:rPr>
              <w:t xml:space="preserve">                                25.479.676.931 </w:t>
            </w:r>
          </w:p>
        </w:tc>
        <w:tc>
          <w:tcPr>
            <w:tcW w:w="301" w:type="pct"/>
            <w:noWrap/>
            <w:vAlign w:val="center"/>
            <w:hideMark/>
          </w:tcPr>
          <w:p w14:paraId="24C6EFB0" w14:textId="77777777" w:rsidR="00A24EB9" w:rsidRPr="00F543A5" w:rsidRDefault="00A24EB9" w:rsidP="000A5389">
            <w:pPr>
              <w:spacing w:line="240" w:lineRule="auto"/>
              <w:jc w:val="center"/>
              <w:rPr>
                <w:rFonts w:eastAsia="Times New Roman" w:cs="Times New Roman"/>
                <w:sz w:val="16"/>
                <w:szCs w:val="16"/>
                <w:lang w:eastAsia="es-CO"/>
              </w:rPr>
            </w:pPr>
            <w:r w:rsidRPr="00F543A5">
              <w:rPr>
                <w:rFonts w:eastAsia="Times New Roman" w:cs="Times New Roman"/>
                <w:sz w:val="16"/>
                <w:szCs w:val="16"/>
                <w:lang w:eastAsia="es-CO"/>
              </w:rPr>
              <w:t> </w:t>
            </w:r>
          </w:p>
        </w:tc>
        <w:tc>
          <w:tcPr>
            <w:tcW w:w="305" w:type="pct"/>
            <w:noWrap/>
            <w:vAlign w:val="center"/>
            <w:hideMark/>
          </w:tcPr>
          <w:p w14:paraId="7EE5EC41" w14:textId="77777777" w:rsidR="00A24EB9" w:rsidRPr="00F543A5" w:rsidRDefault="00A24EB9" w:rsidP="000A5389">
            <w:pPr>
              <w:spacing w:line="240" w:lineRule="auto"/>
              <w:jc w:val="center"/>
              <w:rPr>
                <w:rFonts w:eastAsia="Times New Roman" w:cs="Times New Roman"/>
                <w:sz w:val="16"/>
                <w:szCs w:val="16"/>
                <w:lang w:eastAsia="es-CO"/>
              </w:rPr>
            </w:pPr>
            <w:r w:rsidRPr="00F543A5">
              <w:rPr>
                <w:rFonts w:eastAsia="Times New Roman" w:cs="Times New Roman"/>
                <w:sz w:val="16"/>
                <w:szCs w:val="16"/>
                <w:lang w:eastAsia="es-CO"/>
              </w:rPr>
              <w:t> </w:t>
            </w:r>
          </w:p>
        </w:tc>
        <w:tc>
          <w:tcPr>
            <w:tcW w:w="1101" w:type="pct"/>
            <w:vAlign w:val="center"/>
            <w:hideMark/>
          </w:tcPr>
          <w:p w14:paraId="55A57817" w14:textId="77777777" w:rsidR="00A24EB9" w:rsidRPr="00F543A5" w:rsidRDefault="00A24EB9" w:rsidP="000A5389">
            <w:pPr>
              <w:spacing w:line="240" w:lineRule="auto"/>
              <w:rPr>
                <w:rFonts w:eastAsia="Times New Roman" w:cs="Times New Roman"/>
                <w:sz w:val="16"/>
                <w:szCs w:val="16"/>
                <w:lang w:eastAsia="es-CO"/>
              </w:rPr>
            </w:pPr>
            <w:r w:rsidRPr="00F543A5">
              <w:rPr>
                <w:rFonts w:eastAsia="Times New Roman" w:cs="Times New Roman"/>
                <w:sz w:val="16"/>
                <w:szCs w:val="16"/>
                <w:lang w:eastAsia="es-CO"/>
              </w:rPr>
              <w:t>Conforme a los términos que aplica el contrato.</w:t>
            </w:r>
          </w:p>
        </w:tc>
        <w:tc>
          <w:tcPr>
            <w:tcW w:w="1265" w:type="pct"/>
            <w:vAlign w:val="center"/>
            <w:hideMark/>
          </w:tcPr>
          <w:p w14:paraId="47FCFB92" w14:textId="77777777" w:rsidR="00A24EB9" w:rsidRPr="00F543A5" w:rsidRDefault="00A24EB9" w:rsidP="000A5389">
            <w:pPr>
              <w:spacing w:line="240" w:lineRule="auto"/>
              <w:rPr>
                <w:rFonts w:eastAsia="Times New Roman" w:cs="Times New Roman"/>
                <w:sz w:val="16"/>
                <w:szCs w:val="16"/>
                <w:lang w:eastAsia="es-CO"/>
              </w:rPr>
            </w:pPr>
            <w:r w:rsidRPr="00F543A5">
              <w:rPr>
                <w:rFonts w:eastAsia="Times New Roman" w:cs="Times New Roman"/>
                <w:sz w:val="16"/>
                <w:szCs w:val="16"/>
                <w:lang w:eastAsia="es-CO"/>
              </w:rPr>
              <w:t>IBC + 1/3</w:t>
            </w:r>
          </w:p>
        </w:tc>
      </w:tr>
      <w:tr w:rsidR="00A24EB9" w:rsidRPr="00F543A5" w14:paraId="459EA56B" w14:textId="77777777" w:rsidTr="00BA12EC">
        <w:trPr>
          <w:trHeight w:val="1660"/>
        </w:trPr>
        <w:tc>
          <w:tcPr>
            <w:tcW w:w="647" w:type="pct"/>
            <w:noWrap/>
            <w:vAlign w:val="center"/>
            <w:hideMark/>
          </w:tcPr>
          <w:p w14:paraId="30FBB005" w14:textId="77777777" w:rsidR="00A24EB9" w:rsidRPr="00F543A5" w:rsidRDefault="00A24EB9" w:rsidP="000A5389">
            <w:pPr>
              <w:spacing w:line="240" w:lineRule="auto"/>
              <w:jc w:val="right"/>
              <w:rPr>
                <w:rFonts w:eastAsia="Times New Roman" w:cs="Times New Roman"/>
                <w:sz w:val="16"/>
                <w:szCs w:val="16"/>
                <w:lang w:eastAsia="es-CO"/>
              </w:rPr>
            </w:pPr>
            <w:r w:rsidRPr="00F543A5">
              <w:rPr>
                <w:rFonts w:eastAsia="Times New Roman" w:cs="Times New Roman"/>
                <w:sz w:val="16"/>
                <w:szCs w:val="16"/>
                <w:lang w:eastAsia="es-CO"/>
              </w:rPr>
              <w:t>900164310</w:t>
            </w:r>
          </w:p>
        </w:tc>
        <w:tc>
          <w:tcPr>
            <w:tcW w:w="650" w:type="pct"/>
            <w:vAlign w:val="center"/>
            <w:hideMark/>
          </w:tcPr>
          <w:p w14:paraId="429C7FD7" w14:textId="62997BE5" w:rsidR="00A24EB9" w:rsidRPr="00F543A5" w:rsidRDefault="00866BB4" w:rsidP="00BA12EC">
            <w:pPr>
              <w:spacing w:line="240" w:lineRule="auto"/>
              <w:jc w:val="left"/>
              <w:rPr>
                <w:rFonts w:eastAsia="Times New Roman" w:cs="Times New Roman"/>
                <w:sz w:val="16"/>
                <w:szCs w:val="16"/>
                <w:lang w:eastAsia="es-CO"/>
              </w:rPr>
            </w:pPr>
            <w:r w:rsidRPr="00F543A5">
              <w:rPr>
                <w:rFonts w:eastAsia="Times New Roman" w:cs="Times New Roman"/>
                <w:sz w:val="16"/>
                <w:szCs w:val="16"/>
                <w:lang w:eastAsia="es-CO"/>
              </w:rPr>
              <w:t>Concesionaria San Rafael S.S.</w:t>
            </w:r>
          </w:p>
        </w:tc>
        <w:tc>
          <w:tcPr>
            <w:tcW w:w="731" w:type="pct"/>
            <w:noWrap/>
            <w:vAlign w:val="center"/>
            <w:hideMark/>
          </w:tcPr>
          <w:p w14:paraId="08E134A6" w14:textId="77777777" w:rsidR="00A24EB9" w:rsidRPr="00F543A5" w:rsidRDefault="00A24EB9" w:rsidP="000A5389">
            <w:pPr>
              <w:spacing w:line="240" w:lineRule="auto"/>
              <w:jc w:val="right"/>
              <w:rPr>
                <w:rFonts w:eastAsia="Times New Roman" w:cs="Times New Roman"/>
                <w:sz w:val="16"/>
                <w:szCs w:val="16"/>
                <w:lang w:eastAsia="es-CO"/>
              </w:rPr>
            </w:pPr>
            <w:r w:rsidRPr="00F543A5">
              <w:rPr>
                <w:rFonts w:eastAsia="Times New Roman" w:cs="Times New Roman"/>
                <w:sz w:val="16"/>
                <w:szCs w:val="16"/>
                <w:lang w:eastAsia="es-CO"/>
              </w:rPr>
              <w:t xml:space="preserve">                                 19.225.192.323 </w:t>
            </w:r>
          </w:p>
        </w:tc>
        <w:tc>
          <w:tcPr>
            <w:tcW w:w="301" w:type="pct"/>
            <w:noWrap/>
            <w:vAlign w:val="center"/>
            <w:hideMark/>
          </w:tcPr>
          <w:p w14:paraId="42AD7A1A" w14:textId="77777777" w:rsidR="00A24EB9" w:rsidRPr="00F543A5" w:rsidRDefault="00A24EB9" w:rsidP="000A5389">
            <w:pPr>
              <w:spacing w:line="240" w:lineRule="auto"/>
              <w:jc w:val="center"/>
              <w:rPr>
                <w:rFonts w:eastAsia="Times New Roman" w:cs="Times New Roman"/>
                <w:sz w:val="16"/>
                <w:szCs w:val="16"/>
                <w:lang w:eastAsia="es-CO"/>
              </w:rPr>
            </w:pPr>
            <w:r w:rsidRPr="00F543A5">
              <w:rPr>
                <w:rFonts w:eastAsia="Times New Roman" w:cs="Times New Roman"/>
                <w:sz w:val="16"/>
                <w:szCs w:val="16"/>
                <w:lang w:eastAsia="es-CO"/>
              </w:rPr>
              <w:t>1</w:t>
            </w:r>
          </w:p>
        </w:tc>
        <w:tc>
          <w:tcPr>
            <w:tcW w:w="305" w:type="pct"/>
            <w:noWrap/>
            <w:vAlign w:val="center"/>
            <w:hideMark/>
          </w:tcPr>
          <w:p w14:paraId="14322152" w14:textId="77777777" w:rsidR="00A24EB9" w:rsidRPr="00F543A5" w:rsidRDefault="00A24EB9" w:rsidP="000A5389">
            <w:pPr>
              <w:spacing w:line="240" w:lineRule="auto"/>
              <w:jc w:val="center"/>
              <w:rPr>
                <w:rFonts w:eastAsia="Times New Roman" w:cs="Times New Roman"/>
                <w:sz w:val="16"/>
                <w:szCs w:val="16"/>
                <w:lang w:eastAsia="es-CO"/>
              </w:rPr>
            </w:pPr>
            <w:r w:rsidRPr="00F543A5">
              <w:rPr>
                <w:rFonts w:eastAsia="Times New Roman" w:cs="Times New Roman"/>
                <w:sz w:val="16"/>
                <w:szCs w:val="16"/>
                <w:lang w:eastAsia="es-CO"/>
              </w:rPr>
              <w:t>3</w:t>
            </w:r>
          </w:p>
        </w:tc>
        <w:tc>
          <w:tcPr>
            <w:tcW w:w="1101" w:type="pct"/>
            <w:vAlign w:val="center"/>
            <w:hideMark/>
          </w:tcPr>
          <w:p w14:paraId="62351384" w14:textId="77777777" w:rsidR="00A24EB9" w:rsidRPr="00F543A5" w:rsidRDefault="00A24EB9" w:rsidP="000A5389">
            <w:pPr>
              <w:spacing w:line="240" w:lineRule="auto"/>
              <w:rPr>
                <w:rFonts w:eastAsia="Times New Roman" w:cs="Times New Roman"/>
                <w:sz w:val="16"/>
                <w:szCs w:val="16"/>
                <w:lang w:eastAsia="es-CO"/>
              </w:rPr>
            </w:pPr>
            <w:r w:rsidRPr="00F543A5">
              <w:rPr>
                <w:rFonts w:eastAsia="Times New Roman" w:cs="Times New Roman"/>
                <w:sz w:val="16"/>
                <w:szCs w:val="16"/>
                <w:lang w:eastAsia="es-CO"/>
              </w:rPr>
              <w:t>Aplica los artículos 192 y 195 del Código de Procedimiento Administrativo y de lo Contencioso</w:t>
            </w:r>
            <w:r w:rsidRPr="00F543A5">
              <w:rPr>
                <w:rFonts w:eastAsia="Times New Roman" w:cs="Times New Roman"/>
                <w:sz w:val="16"/>
                <w:szCs w:val="16"/>
                <w:lang w:eastAsia="es-CO"/>
              </w:rPr>
              <w:br/>
              <w:t>Administrativo - CPACA</w:t>
            </w:r>
          </w:p>
        </w:tc>
        <w:tc>
          <w:tcPr>
            <w:tcW w:w="1265" w:type="pct"/>
            <w:vAlign w:val="center"/>
            <w:hideMark/>
          </w:tcPr>
          <w:p w14:paraId="293A88CB" w14:textId="77777777" w:rsidR="00A24EB9" w:rsidRPr="00F543A5" w:rsidRDefault="00A24EB9" w:rsidP="000A5389">
            <w:pPr>
              <w:spacing w:line="240" w:lineRule="auto"/>
              <w:rPr>
                <w:rFonts w:eastAsia="Times New Roman" w:cs="Times New Roman"/>
                <w:sz w:val="16"/>
                <w:szCs w:val="16"/>
                <w:lang w:eastAsia="es-CO"/>
              </w:rPr>
            </w:pPr>
            <w:r w:rsidRPr="00F543A5">
              <w:rPr>
                <w:rFonts w:eastAsia="Times New Roman" w:cs="Times New Roman"/>
                <w:b/>
                <w:bCs/>
                <w:sz w:val="16"/>
                <w:szCs w:val="16"/>
                <w:lang w:eastAsia="es-CO"/>
              </w:rPr>
              <w:t xml:space="preserve">DTF (rango de fecha) *: </w:t>
            </w:r>
            <w:r w:rsidRPr="00F543A5">
              <w:rPr>
                <w:rFonts w:eastAsia="Times New Roman" w:cs="Times New Roman"/>
                <w:sz w:val="16"/>
                <w:szCs w:val="16"/>
                <w:lang w:eastAsia="es-CO"/>
              </w:rPr>
              <w:t>24/03/2023 hasta 23/06/2023</w:t>
            </w:r>
            <w:r w:rsidRPr="00F543A5">
              <w:rPr>
                <w:rFonts w:eastAsia="Times New Roman" w:cs="Times New Roman"/>
                <w:sz w:val="16"/>
                <w:szCs w:val="16"/>
                <w:lang w:eastAsia="es-CO"/>
              </w:rPr>
              <w:br/>
              <w:t>*Se aplica DTF entre los 10 primeros meses</w:t>
            </w:r>
            <w:r w:rsidRPr="00F543A5">
              <w:rPr>
                <w:rFonts w:eastAsia="Times New Roman" w:cs="Times New Roman"/>
                <w:sz w:val="16"/>
                <w:szCs w:val="16"/>
                <w:lang w:eastAsia="es-CO"/>
              </w:rPr>
              <w:br/>
            </w:r>
            <w:r w:rsidRPr="00F543A5">
              <w:rPr>
                <w:rFonts w:eastAsia="Times New Roman" w:cs="Times New Roman"/>
                <w:b/>
                <w:bCs/>
                <w:sz w:val="16"/>
                <w:szCs w:val="16"/>
                <w:lang w:eastAsia="es-CO"/>
              </w:rPr>
              <w:t>Tasa de interés bancario corriente (rango de fecha) *:</w:t>
            </w:r>
            <w:r w:rsidRPr="00F543A5">
              <w:rPr>
                <w:rFonts w:eastAsia="Times New Roman" w:cs="Times New Roman"/>
                <w:sz w:val="16"/>
                <w:szCs w:val="16"/>
                <w:lang w:eastAsia="es-CO"/>
              </w:rPr>
              <w:t xml:space="preserve"> 24/06/2023 hasta 31/12/2025</w:t>
            </w:r>
            <w:r w:rsidRPr="00F543A5">
              <w:rPr>
                <w:rFonts w:eastAsia="Times New Roman" w:cs="Times New Roman"/>
                <w:sz w:val="16"/>
                <w:szCs w:val="16"/>
                <w:lang w:eastAsia="es-CO"/>
              </w:rPr>
              <w:br/>
              <w:t>*Se aplica Tasa de interés bancario corriente, después de los 10 meses conforme lo establecido en el</w:t>
            </w:r>
            <w:r w:rsidRPr="00F543A5">
              <w:rPr>
                <w:rFonts w:eastAsia="Times New Roman" w:cs="Times New Roman"/>
                <w:sz w:val="16"/>
                <w:szCs w:val="16"/>
                <w:lang w:eastAsia="es-CO"/>
              </w:rPr>
              <w:br/>
              <w:t>artículo 195 del CPACA.</w:t>
            </w:r>
          </w:p>
        </w:tc>
      </w:tr>
      <w:tr w:rsidR="00A24EB9" w:rsidRPr="00F543A5" w14:paraId="3CE4A7CC" w14:textId="77777777" w:rsidTr="00BA12EC">
        <w:trPr>
          <w:trHeight w:val="720"/>
        </w:trPr>
        <w:tc>
          <w:tcPr>
            <w:tcW w:w="647" w:type="pct"/>
            <w:noWrap/>
            <w:vAlign w:val="center"/>
            <w:hideMark/>
          </w:tcPr>
          <w:p w14:paraId="723CD342" w14:textId="77777777" w:rsidR="00A24EB9" w:rsidRPr="00F543A5" w:rsidRDefault="00A24EB9" w:rsidP="000A5389">
            <w:pPr>
              <w:spacing w:line="240" w:lineRule="auto"/>
              <w:jc w:val="right"/>
              <w:rPr>
                <w:rFonts w:eastAsia="Times New Roman" w:cs="Times New Roman"/>
                <w:sz w:val="16"/>
                <w:szCs w:val="16"/>
                <w:lang w:eastAsia="es-CO"/>
              </w:rPr>
            </w:pPr>
            <w:r w:rsidRPr="00F543A5">
              <w:rPr>
                <w:rFonts w:eastAsia="Times New Roman" w:cs="Times New Roman"/>
                <w:sz w:val="16"/>
                <w:szCs w:val="16"/>
                <w:lang w:eastAsia="es-CO"/>
              </w:rPr>
              <w:t>800235278</w:t>
            </w:r>
          </w:p>
        </w:tc>
        <w:tc>
          <w:tcPr>
            <w:tcW w:w="650" w:type="pct"/>
            <w:vAlign w:val="center"/>
            <w:hideMark/>
          </w:tcPr>
          <w:p w14:paraId="22817F91" w14:textId="519E37DD" w:rsidR="00A24EB9" w:rsidRPr="00F543A5" w:rsidRDefault="00BA12EC" w:rsidP="00BA12EC">
            <w:pPr>
              <w:spacing w:line="240" w:lineRule="auto"/>
              <w:jc w:val="left"/>
              <w:rPr>
                <w:rFonts w:eastAsia="Times New Roman" w:cs="Times New Roman"/>
                <w:sz w:val="16"/>
                <w:szCs w:val="16"/>
                <w:lang w:eastAsia="es-CO"/>
              </w:rPr>
            </w:pPr>
            <w:r w:rsidRPr="00F543A5">
              <w:rPr>
                <w:rFonts w:eastAsia="Times New Roman" w:cs="Times New Roman"/>
                <w:sz w:val="16"/>
                <w:szCs w:val="16"/>
                <w:lang w:eastAsia="es-CO"/>
              </w:rPr>
              <w:t>Concesión</w:t>
            </w:r>
            <w:r w:rsidR="00866BB4" w:rsidRPr="00F543A5">
              <w:rPr>
                <w:rFonts w:eastAsia="Times New Roman" w:cs="Times New Roman"/>
                <w:sz w:val="16"/>
                <w:szCs w:val="16"/>
                <w:lang w:eastAsia="es-CO"/>
              </w:rPr>
              <w:t xml:space="preserve"> Santa Marta Paraguachon S.A.</w:t>
            </w:r>
          </w:p>
        </w:tc>
        <w:tc>
          <w:tcPr>
            <w:tcW w:w="731" w:type="pct"/>
            <w:noWrap/>
            <w:vAlign w:val="center"/>
            <w:hideMark/>
          </w:tcPr>
          <w:p w14:paraId="5D07A96D" w14:textId="77777777" w:rsidR="00A24EB9" w:rsidRPr="00F543A5" w:rsidRDefault="00A24EB9" w:rsidP="000A5389">
            <w:pPr>
              <w:spacing w:line="240" w:lineRule="auto"/>
              <w:jc w:val="right"/>
              <w:rPr>
                <w:rFonts w:eastAsia="Times New Roman" w:cs="Times New Roman"/>
                <w:sz w:val="16"/>
                <w:szCs w:val="16"/>
                <w:lang w:eastAsia="es-CO"/>
              </w:rPr>
            </w:pPr>
            <w:r w:rsidRPr="00F543A5">
              <w:rPr>
                <w:rFonts w:eastAsia="Times New Roman" w:cs="Times New Roman"/>
                <w:sz w:val="16"/>
                <w:szCs w:val="16"/>
                <w:lang w:eastAsia="es-CO"/>
              </w:rPr>
              <w:t xml:space="preserve">                                  3.406.192.659 </w:t>
            </w:r>
          </w:p>
        </w:tc>
        <w:tc>
          <w:tcPr>
            <w:tcW w:w="301" w:type="pct"/>
            <w:noWrap/>
            <w:vAlign w:val="center"/>
            <w:hideMark/>
          </w:tcPr>
          <w:p w14:paraId="09FBACF1" w14:textId="77777777" w:rsidR="00A24EB9" w:rsidRPr="00F543A5" w:rsidRDefault="00A24EB9" w:rsidP="000A5389">
            <w:pPr>
              <w:spacing w:line="240" w:lineRule="auto"/>
              <w:jc w:val="center"/>
              <w:rPr>
                <w:rFonts w:eastAsia="Times New Roman" w:cs="Times New Roman"/>
                <w:sz w:val="16"/>
                <w:szCs w:val="16"/>
                <w:lang w:eastAsia="es-CO"/>
              </w:rPr>
            </w:pPr>
            <w:r w:rsidRPr="00F543A5">
              <w:rPr>
                <w:rFonts w:eastAsia="Times New Roman" w:cs="Times New Roman"/>
                <w:sz w:val="16"/>
                <w:szCs w:val="16"/>
                <w:lang w:eastAsia="es-CO"/>
              </w:rPr>
              <w:t>1</w:t>
            </w:r>
          </w:p>
        </w:tc>
        <w:tc>
          <w:tcPr>
            <w:tcW w:w="305" w:type="pct"/>
            <w:noWrap/>
            <w:vAlign w:val="center"/>
            <w:hideMark/>
          </w:tcPr>
          <w:p w14:paraId="17265413" w14:textId="77777777" w:rsidR="00A24EB9" w:rsidRPr="00F543A5" w:rsidRDefault="00A24EB9" w:rsidP="000A5389">
            <w:pPr>
              <w:spacing w:line="240" w:lineRule="auto"/>
              <w:jc w:val="center"/>
              <w:rPr>
                <w:rFonts w:eastAsia="Times New Roman" w:cs="Times New Roman"/>
                <w:sz w:val="16"/>
                <w:szCs w:val="16"/>
                <w:lang w:eastAsia="es-CO"/>
              </w:rPr>
            </w:pPr>
            <w:r w:rsidRPr="00F543A5">
              <w:rPr>
                <w:rFonts w:eastAsia="Times New Roman" w:cs="Times New Roman"/>
                <w:sz w:val="16"/>
                <w:szCs w:val="16"/>
                <w:lang w:eastAsia="es-CO"/>
              </w:rPr>
              <w:t>10</w:t>
            </w:r>
          </w:p>
        </w:tc>
        <w:tc>
          <w:tcPr>
            <w:tcW w:w="1101" w:type="pct"/>
            <w:vAlign w:val="center"/>
            <w:hideMark/>
          </w:tcPr>
          <w:p w14:paraId="34740B0F" w14:textId="77777777" w:rsidR="00A24EB9" w:rsidRPr="00F543A5" w:rsidRDefault="00A24EB9" w:rsidP="000A5389">
            <w:pPr>
              <w:spacing w:line="240" w:lineRule="auto"/>
              <w:rPr>
                <w:rFonts w:eastAsia="Times New Roman" w:cs="Times New Roman"/>
                <w:sz w:val="16"/>
                <w:szCs w:val="16"/>
                <w:lang w:eastAsia="es-CO"/>
              </w:rPr>
            </w:pPr>
            <w:r w:rsidRPr="00F543A5">
              <w:rPr>
                <w:rFonts w:eastAsia="Times New Roman" w:cs="Times New Roman"/>
                <w:sz w:val="16"/>
                <w:szCs w:val="16"/>
                <w:lang w:eastAsia="es-CO"/>
              </w:rPr>
              <w:t>Aplica los artículos 192 y 195 del Código de Procedimiento Administrativo y de lo Contencioso</w:t>
            </w:r>
            <w:r w:rsidRPr="00F543A5">
              <w:rPr>
                <w:rFonts w:eastAsia="Times New Roman" w:cs="Times New Roman"/>
                <w:sz w:val="16"/>
                <w:szCs w:val="16"/>
                <w:lang w:eastAsia="es-CO"/>
              </w:rPr>
              <w:br/>
              <w:t>Administrativo - CPACA</w:t>
            </w:r>
          </w:p>
        </w:tc>
        <w:tc>
          <w:tcPr>
            <w:tcW w:w="1265" w:type="pct"/>
            <w:vAlign w:val="center"/>
            <w:hideMark/>
          </w:tcPr>
          <w:p w14:paraId="62D91417" w14:textId="77777777" w:rsidR="00A24EB9" w:rsidRPr="00F543A5" w:rsidRDefault="00A24EB9" w:rsidP="000A5389">
            <w:pPr>
              <w:spacing w:line="240" w:lineRule="auto"/>
              <w:rPr>
                <w:rFonts w:eastAsia="Times New Roman" w:cs="Times New Roman"/>
                <w:sz w:val="16"/>
                <w:szCs w:val="16"/>
                <w:lang w:eastAsia="es-CO"/>
              </w:rPr>
            </w:pPr>
            <w:r w:rsidRPr="00F543A5">
              <w:rPr>
                <w:rFonts w:eastAsia="Times New Roman" w:cs="Times New Roman"/>
                <w:b/>
                <w:bCs/>
                <w:sz w:val="16"/>
                <w:szCs w:val="16"/>
                <w:lang w:eastAsia="es-CO"/>
              </w:rPr>
              <w:t xml:space="preserve">DTF (rango de fecha) *: </w:t>
            </w:r>
            <w:r w:rsidRPr="00F543A5">
              <w:rPr>
                <w:rFonts w:eastAsia="Times New Roman" w:cs="Times New Roman"/>
                <w:sz w:val="16"/>
                <w:szCs w:val="16"/>
                <w:lang w:eastAsia="es-CO"/>
              </w:rPr>
              <w:t>31/05/2025 al 31/12/2025</w:t>
            </w:r>
            <w:r w:rsidRPr="00F543A5">
              <w:rPr>
                <w:rFonts w:eastAsia="Times New Roman" w:cs="Times New Roman"/>
                <w:sz w:val="16"/>
                <w:szCs w:val="16"/>
                <w:lang w:eastAsia="es-CO"/>
              </w:rPr>
              <w:br/>
              <w:t>*Se aplica DTF entre los 10 primeros meses</w:t>
            </w:r>
          </w:p>
        </w:tc>
      </w:tr>
      <w:tr w:rsidR="00A24EB9" w:rsidRPr="00F543A5" w14:paraId="3D246630" w14:textId="77777777" w:rsidTr="00BA12EC">
        <w:trPr>
          <w:trHeight w:val="917"/>
        </w:trPr>
        <w:tc>
          <w:tcPr>
            <w:tcW w:w="647" w:type="pct"/>
            <w:noWrap/>
            <w:vAlign w:val="center"/>
            <w:hideMark/>
          </w:tcPr>
          <w:p w14:paraId="2B06171A" w14:textId="77777777" w:rsidR="00A24EB9" w:rsidRPr="00F543A5" w:rsidRDefault="00A24EB9" w:rsidP="000A5389">
            <w:pPr>
              <w:spacing w:line="240" w:lineRule="auto"/>
              <w:jc w:val="right"/>
              <w:rPr>
                <w:rFonts w:eastAsia="Times New Roman" w:cs="Times New Roman"/>
                <w:sz w:val="16"/>
                <w:szCs w:val="16"/>
                <w:lang w:eastAsia="es-CO"/>
              </w:rPr>
            </w:pPr>
            <w:r w:rsidRPr="00F543A5">
              <w:rPr>
                <w:rFonts w:eastAsia="Times New Roman" w:cs="Times New Roman"/>
                <w:sz w:val="16"/>
                <w:szCs w:val="16"/>
                <w:lang w:eastAsia="es-CO"/>
              </w:rPr>
              <w:t>900871368</w:t>
            </w:r>
          </w:p>
        </w:tc>
        <w:tc>
          <w:tcPr>
            <w:tcW w:w="650" w:type="pct"/>
            <w:vAlign w:val="center"/>
            <w:hideMark/>
          </w:tcPr>
          <w:p w14:paraId="23B0F9B1" w14:textId="7159C864" w:rsidR="00A24EB9" w:rsidRPr="00F543A5" w:rsidRDefault="00866BB4" w:rsidP="00BA12EC">
            <w:pPr>
              <w:spacing w:line="240" w:lineRule="auto"/>
              <w:jc w:val="left"/>
              <w:rPr>
                <w:rFonts w:eastAsia="Times New Roman" w:cs="Times New Roman"/>
                <w:sz w:val="16"/>
                <w:szCs w:val="16"/>
                <w:lang w:eastAsia="es-CO"/>
              </w:rPr>
            </w:pPr>
            <w:r w:rsidRPr="00F543A5">
              <w:rPr>
                <w:rFonts w:eastAsia="Times New Roman" w:cs="Times New Roman"/>
                <w:sz w:val="16"/>
                <w:szCs w:val="16"/>
                <w:lang w:eastAsia="es-CO"/>
              </w:rPr>
              <w:t>Concesionaria Ruta Del Cacao S.A.S.</w:t>
            </w:r>
          </w:p>
        </w:tc>
        <w:tc>
          <w:tcPr>
            <w:tcW w:w="731" w:type="pct"/>
            <w:noWrap/>
            <w:vAlign w:val="center"/>
            <w:hideMark/>
          </w:tcPr>
          <w:p w14:paraId="5767CC72" w14:textId="77777777" w:rsidR="00A24EB9" w:rsidRPr="00F543A5" w:rsidRDefault="00A24EB9" w:rsidP="000A5389">
            <w:pPr>
              <w:spacing w:line="240" w:lineRule="auto"/>
              <w:jc w:val="right"/>
              <w:rPr>
                <w:rFonts w:eastAsia="Times New Roman" w:cs="Times New Roman"/>
                <w:sz w:val="16"/>
                <w:szCs w:val="16"/>
                <w:lang w:eastAsia="es-CO"/>
              </w:rPr>
            </w:pPr>
            <w:r w:rsidRPr="00F543A5">
              <w:rPr>
                <w:rFonts w:eastAsia="Times New Roman" w:cs="Times New Roman"/>
                <w:sz w:val="16"/>
                <w:szCs w:val="16"/>
                <w:lang w:eastAsia="es-CO"/>
              </w:rPr>
              <w:t xml:space="preserve">                                   2.407.161.869 </w:t>
            </w:r>
          </w:p>
        </w:tc>
        <w:tc>
          <w:tcPr>
            <w:tcW w:w="301" w:type="pct"/>
            <w:noWrap/>
            <w:vAlign w:val="center"/>
            <w:hideMark/>
          </w:tcPr>
          <w:p w14:paraId="441B26C0" w14:textId="77777777" w:rsidR="00A24EB9" w:rsidRPr="00F543A5" w:rsidRDefault="00A24EB9" w:rsidP="000A5389">
            <w:pPr>
              <w:spacing w:line="240" w:lineRule="auto"/>
              <w:jc w:val="center"/>
              <w:rPr>
                <w:rFonts w:eastAsia="Times New Roman" w:cs="Times New Roman"/>
                <w:sz w:val="16"/>
                <w:szCs w:val="16"/>
                <w:lang w:eastAsia="es-CO"/>
              </w:rPr>
            </w:pPr>
            <w:r w:rsidRPr="00F543A5">
              <w:rPr>
                <w:rFonts w:eastAsia="Times New Roman" w:cs="Times New Roman"/>
                <w:sz w:val="16"/>
                <w:szCs w:val="16"/>
                <w:lang w:eastAsia="es-CO"/>
              </w:rPr>
              <w:t>1</w:t>
            </w:r>
          </w:p>
        </w:tc>
        <w:tc>
          <w:tcPr>
            <w:tcW w:w="305" w:type="pct"/>
            <w:noWrap/>
            <w:vAlign w:val="center"/>
            <w:hideMark/>
          </w:tcPr>
          <w:p w14:paraId="60AA7ED2" w14:textId="77777777" w:rsidR="00A24EB9" w:rsidRPr="00F543A5" w:rsidRDefault="00A24EB9" w:rsidP="000A5389">
            <w:pPr>
              <w:spacing w:line="240" w:lineRule="auto"/>
              <w:jc w:val="center"/>
              <w:rPr>
                <w:rFonts w:eastAsia="Times New Roman" w:cs="Times New Roman"/>
                <w:sz w:val="16"/>
                <w:szCs w:val="16"/>
                <w:lang w:eastAsia="es-CO"/>
              </w:rPr>
            </w:pPr>
            <w:r w:rsidRPr="00F543A5">
              <w:rPr>
                <w:rFonts w:eastAsia="Times New Roman" w:cs="Times New Roman"/>
                <w:sz w:val="16"/>
                <w:szCs w:val="16"/>
                <w:lang w:eastAsia="es-CO"/>
              </w:rPr>
              <w:t>10</w:t>
            </w:r>
          </w:p>
        </w:tc>
        <w:tc>
          <w:tcPr>
            <w:tcW w:w="1101" w:type="pct"/>
            <w:vAlign w:val="center"/>
            <w:hideMark/>
          </w:tcPr>
          <w:p w14:paraId="07D02DC9" w14:textId="77777777" w:rsidR="00A24EB9" w:rsidRPr="00F543A5" w:rsidRDefault="00A24EB9" w:rsidP="000A5389">
            <w:pPr>
              <w:spacing w:line="240" w:lineRule="auto"/>
              <w:rPr>
                <w:rFonts w:eastAsia="Times New Roman" w:cs="Times New Roman"/>
                <w:sz w:val="16"/>
                <w:szCs w:val="16"/>
                <w:lang w:eastAsia="es-CO"/>
              </w:rPr>
            </w:pPr>
            <w:r w:rsidRPr="00F543A5">
              <w:rPr>
                <w:rFonts w:eastAsia="Times New Roman" w:cs="Times New Roman"/>
                <w:sz w:val="16"/>
                <w:szCs w:val="16"/>
                <w:lang w:eastAsia="es-CO"/>
              </w:rPr>
              <w:t>Aplica los artículos 192 y 195 del Código de Procedimiento Administrativo y de lo Contencioso</w:t>
            </w:r>
            <w:r w:rsidRPr="00F543A5">
              <w:rPr>
                <w:rFonts w:eastAsia="Times New Roman" w:cs="Times New Roman"/>
                <w:sz w:val="16"/>
                <w:szCs w:val="16"/>
                <w:lang w:eastAsia="es-CO"/>
              </w:rPr>
              <w:br/>
              <w:t>Administrativo - CPACA</w:t>
            </w:r>
          </w:p>
        </w:tc>
        <w:tc>
          <w:tcPr>
            <w:tcW w:w="1265" w:type="pct"/>
            <w:vAlign w:val="center"/>
            <w:hideMark/>
          </w:tcPr>
          <w:p w14:paraId="58793649" w14:textId="77777777" w:rsidR="00A24EB9" w:rsidRPr="00F543A5" w:rsidRDefault="00A24EB9" w:rsidP="000A5389">
            <w:pPr>
              <w:spacing w:line="240" w:lineRule="auto"/>
              <w:rPr>
                <w:rFonts w:eastAsia="Times New Roman" w:cs="Times New Roman"/>
                <w:sz w:val="16"/>
                <w:szCs w:val="16"/>
                <w:lang w:eastAsia="es-CO"/>
              </w:rPr>
            </w:pPr>
            <w:r w:rsidRPr="00F543A5">
              <w:rPr>
                <w:rFonts w:eastAsia="Times New Roman" w:cs="Times New Roman"/>
                <w:b/>
                <w:bCs/>
                <w:sz w:val="16"/>
                <w:szCs w:val="16"/>
                <w:lang w:eastAsia="es-CO"/>
              </w:rPr>
              <w:t xml:space="preserve">DTF (rango de fecha) *: </w:t>
            </w:r>
            <w:r w:rsidRPr="00F543A5">
              <w:rPr>
                <w:rFonts w:eastAsia="Times New Roman" w:cs="Times New Roman"/>
                <w:sz w:val="16"/>
                <w:szCs w:val="16"/>
                <w:lang w:eastAsia="es-CO"/>
              </w:rPr>
              <w:t>19 de marzo de 2025 al 30 de junio de 2025</w:t>
            </w:r>
            <w:r w:rsidRPr="00F543A5">
              <w:rPr>
                <w:rFonts w:eastAsia="Times New Roman" w:cs="Times New Roman"/>
                <w:sz w:val="16"/>
                <w:szCs w:val="16"/>
                <w:lang w:eastAsia="es-CO"/>
              </w:rPr>
              <w:br/>
              <w:t>*Se aplica DTF entre los 10 primeros meses</w:t>
            </w:r>
          </w:p>
        </w:tc>
      </w:tr>
      <w:tr w:rsidR="00A24EB9" w:rsidRPr="00F543A5" w14:paraId="4A0C9E8D" w14:textId="77777777" w:rsidTr="00BA12EC">
        <w:trPr>
          <w:trHeight w:val="1681"/>
        </w:trPr>
        <w:tc>
          <w:tcPr>
            <w:tcW w:w="647" w:type="pct"/>
            <w:noWrap/>
            <w:vAlign w:val="center"/>
            <w:hideMark/>
          </w:tcPr>
          <w:p w14:paraId="387106D8" w14:textId="77777777" w:rsidR="00A24EB9" w:rsidRPr="00F543A5" w:rsidRDefault="00A24EB9" w:rsidP="000A5389">
            <w:pPr>
              <w:spacing w:line="240" w:lineRule="auto"/>
              <w:jc w:val="right"/>
              <w:rPr>
                <w:rFonts w:eastAsia="Times New Roman" w:cs="Times New Roman"/>
                <w:sz w:val="16"/>
                <w:szCs w:val="16"/>
                <w:lang w:eastAsia="es-CO"/>
              </w:rPr>
            </w:pPr>
            <w:r w:rsidRPr="00F543A5">
              <w:rPr>
                <w:rFonts w:eastAsia="Times New Roman" w:cs="Times New Roman"/>
                <w:sz w:val="16"/>
                <w:szCs w:val="16"/>
                <w:lang w:eastAsia="es-CO"/>
              </w:rPr>
              <w:t>900164310</w:t>
            </w:r>
          </w:p>
        </w:tc>
        <w:tc>
          <w:tcPr>
            <w:tcW w:w="650" w:type="pct"/>
            <w:vAlign w:val="center"/>
            <w:hideMark/>
          </w:tcPr>
          <w:p w14:paraId="63206A47" w14:textId="198C81BE" w:rsidR="00A24EB9" w:rsidRPr="00F543A5" w:rsidRDefault="00866BB4" w:rsidP="00BA12EC">
            <w:pPr>
              <w:spacing w:line="240" w:lineRule="auto"/>
              <w:jc w:val="left"/>
              <w:rPr>
                <w:rFonts w:eastAsia="Times New Roman" w:cs="Times New Roman"/>
                <w:sz w:val="16"/>
                <w:szCs w:val="16"/>
                <w:lang w:eastAsia="es-CO"/>
              </w:rPr>
            </w:pPr>
            <w:r w:rsidRPr="00F543A5">
              <w:rPr>
                <w:rFonts w:eastAsia="Times New Roman" w:cs="Times New Roman"/>
                <w:sz w:val="16"/>
                <w:szCs w:val="16"/>
                <w:lang w:eastAsia="es-CO"/>
              </w:rPr>
              <w:t>Concesionaria San Rafael S.S.</w:t>
            </w:r>
          </w:p>
        </w:tc>
        <w:tc>
          <w:tcPr>
            <w:tcW w:w="731" w:type="pct"/>
            <w:noWrap/>
            <w:vAlign w:val="center"/>
            <w:hideMark/>
          </w:tcPr>
          <w:p w14:paraId="6D9A0F84" w14:textId="77777777" w:rsidR="00A24EB9" w:rsidRPr="00F543A5" w:rsidRDefault="00A24EB9" w:rsidP="000A5389">
            <w:pPr>
              <w:spacing w:line="240" w:lineRule="auto"/>
              <w:jc w:val="right"/>
              <w:rPr>
                <w:rFonts w:eastAsia="Times New Roman" w:cs="Times New Roman"/>
                <w:sz w:val="16"/>
                <w:szCs w:val="16"/>
                <w:lang w:eastAsia="es-CO"/>
              </w:rPr>
            </w:pPr>
            <w:r w:rsidRPr="00F543A5">
              <w:rPr>
                <w:rFonts w:eastAsia="Times New Roman" w:cs="Times New Roman"/>
                <w:sz w:val="16"/>
                <w:szCs w:val="16"/>
                <w:lang w:eastAsia="es-CO"/>
              </w:rPr>
              <w:t xml:space="preserve">                                     1.619.441.981 </w:t>
            </w:r>
          </w:p>
        </w:tc>
        <w:tc>
          <w:tcPr>
            <w:tcW w:w="301" w:type="pct"/>
            <w:noWrap/>
            <w:vAlign w:val="center"/>
            <w:hideMark/>
          </w:tcPr>
          <w:p w14:paraId="4A52201B" w14:textId="77777777" w:rsidR="00A24EB9" w:rsidRPr="00F543A5" w:rsidRDefault="00A24EB9" w:rsidP="000A5389">
            <w:pPr>
              <w:spacing w:line="240" w:lineRule="auto"/>
              <w:jc w:val="center"/>
              <w:rPr>
                <w:rFonts w:eastAsia="Times New Roman" w:cs="Times New Roman"/>
                <w:sz w:val="16"/>
                <w:szCs w:val="16"/>
                <w:lang w:eastAsia="es-CO"/>
              </w:rPr>
            </w:pPr>
            <w:r w:rsidRPr="00F543A5">
              <w:rPr>
                <w:rFonts w:eastAsia="Times New Roman" w:cs="Times New Roman"/>
                <w:sz w:val="16"/>
                <w:szCs w:val="16"/>
                <w:lang w:eastAsia="es-CO"/>
              </w:rPr>
              <w:t>1</w:t>
            </w:r>
          </w:p>
        </w:tc>
        <w:tc>
          <w:tcPr>
            <w:tcW w:w="305" w:type="pct"/>
            <w:noWrap/>
            <w:vAlign w:val="center"/>
            <w:hideMark/>
          </w:tcPr>
          <w:p w14:paraId="4BA68E0A" w14:textId="77777777" w:rsidR="00A24EB9" w:rsidRPr="00F543A5" w:rsidRDefault="00A24EB9" w:rsidP="000A5389">
            <w:pPr>
              <w:spacing w:line="240" w:lineRule="auto"/>
              <w:jc w:val="center"/>
              <w:rPr>
                <w:rFonts w:eastAsia="Times New Roman" w:cs="Times New Roman"/>
                <w:sz w:val="16"/>
                <w:szCs w:val="16"/>
                <w:lang w:eastAsia="es-CO"/>
              </w:rPr>
            </w:pPr>
            <w:r w:rsidRPr="00F543A5">
              <w:rPr>
                <w:rFonts w:eastAsia="Times New Roman" w:cs="Times New Roman"/>
                <w:sz w:val="16"/>
                <w:szCs w:val="16"/>
                <w:lang w:eastAsia="es-CO"/>
              </w:rPr>
              <w:t>3</w:t>
            </w:r>
          </w:p>
        </w:tc>
        <w:tc>
          <w:tcPr>
            <w:tcW w:w="1101" w:type="pct"/>
            <w:vAlign w:val="center"/>
            <w:hideMark/>
          </w:tcPr>
          <w:p w14:paraId="4FA3F47E" w14:textId="77777777" w:rsidR="00A24EB9" w:rsidRPr="00F543A5" w:rsidRDefault="00A24EB9" w:rsidP="000A5389">
            <w:pPr>
              <w:spacing w:line="240" w:lineRule="auto"/>
              <w:rPr>
                <w:rFonts w:eastAsia="Times New Roman" w:cs="Times New Roman"/>
                <w:sz w:val="16"/>
                <w:szCs w:val="16"/>
                <w:lang w:eastAsia="es-CO"/>
              </w:rPr>
            </w:pPr>
            <w:r w:rsidRPr="00F543A5">
              <w:rPr>
                <w:rFonts w:eastAsia="Times New Roman" w:cs="Times New Roman"/>
                <w:sz w:val="16"/>
                <w:szCs w:val="16"/>
                <w:lang w:eastAsia="es-CO"/>
              </w:rPr>
              <w:t>Aplica los artículos 192 y 195 del Código de Procedimiento Administrativo y de lo Contencioso</w:t>
            </w:r>
            <w:r w:rsidRPr="00F543A5">
              <w:rPr>
                <w:rFonts w:eastAsia="Times New Roman" w:cs="Times New Roman"/>
                <w:sz w:val="16"/>
                <w:szCs w:val="16"/>
                <w:lang w:eastAsia="es-CO"/>
              </w:rPr>
              <w:br/>
              <w:t>Administrativo - CPACA</w:t>
            </w:r>
          </w:p>
        </w:tc>
        <w:tc>
          <w:tcPr>
            <w:tcW w:w="1265" w:type="pct"/>
            <w:vAlign w:val="center"/>
            <w:hideMark/>
          </w:tcPr>
          <w:p w14:paraId="5FE75DF6" w14:textId="77777777" w:rsidR="00A24EB9" w:rsidRPr="00F543A5" w:rsidRDefault="00A24EB9" w:rsidP="000A5389">
            <w:pPr>
              <w:spacing w:line="240" w:lineRule="auto"/>
              <w:rPr>
                <w:rFonts w:eastAsia="Times New Roman" w:cs="Times New Roman"/>
                <w:sz w:val="16"/>
                <w:szCs w:val="16"/>
                <w:lang w:eastAsia="es-CO"/>
              </w:rPr>
            </w:pPr>
            <w:r w:rsidRPr="00F543A5">
              <w:rPr>
                <w:rFonts w:eastAsia="Times New Roman" w:cs="Times New Roman"/>
                <w:b/>
                <w:bCs/>
                <w:sz w:val="16"/>
                <w:szCs w:val="16"/>
                <w:lang w:eastAsia="es-CO"/>
              </w:rPr>
              <w:t xml:space="preserve">DTF (rango de fecha) *: </w:t>
            </w:r>
            <w:r w:rsidRPr="00F543A5">
              <w:rPr>
                <w:rFonts w:eastAsia="Times New Roman" w:cs="Times New Roman"/>
                <w:sz w:val="16"/>
                <w:szCs w:val="16"/>
                <w:lang w:eastAsia="es-CO"/>
              </w:rPr>
              <w:t>27/04/2021 hasta 26/07/2021</w:t>
            </w:r>
            <w:r w:rsidRPr="00F543A5">
              <w:rPr>
                <w:rFonts w:eastAsia="Times New Roman" w:cs="Times New Roman"/>
                <w:sz w:val="16"/>
                <w:szCs w:val="16"/>
                <w:lang w:eastAsia="es-CO"/>
              </w:rPr>
              <w:br/>
              <w:t>*Se aplica DTF entre los 10 primeros meses</w:t>
            </w:r>
            <w:r w:rsidRPr="00F543A5">
              <w:rPr>
                <w:rFonts w:eastAsia="Times New Roman" w:cs="Times New Roman"/>
                <w:sz w:val="16"/>
                <w:szCs w:val="16"/>
                <w:lang w:eastAsia="es-CO"/>
              </w:rPr>
              <w:br/>
            </w:r>
            <w:r w:rsidRPr="00F543A5">
              <w:rPr>
                <w:rFonts w:eastAsia="Times New Roman" w:cs="Times New Roman"/>
                <w:b/>
                <w:bCs/>
                <w:sz w:val="16"/>
                <w:szCs w:val="16"/>
                <w:lang w:eastAsia="es-CO"/>
              </w:rPr>
              <w:t>Tasa de interés bancario corriente (rango de fecha) *:</w:t>
            </w:r>
            <w:r w:rsidRPr="00F543A5">
              <w:rPr>
                <w:rFonts w:eastAsia="Times New Roman" w:cs="Times New Roman"/>
                <w:sz w:val="16"/>
                <w:szCs w:val="16"/>
                <w:lang w:eastAsia="es-CO"/>
              </w:rPr>
              <w:t xml:space="preserve"> 1/06/2022 hasta 31/12/2025</w:t>
            </w:r>
            <w:r w:rsidRPr="00F543A5">
              <w:rPr>
                <w:rFonts w:eastAsia="Times New Roman" w:cs="Times New Roman"/>
                <w:sz w:val="16"/>
                <w:szCs w:val="16"/>
                <w:lang w:eastAsia="es-CO"/>
              </w:rPr>
              <w:br/>
              <w:t>*Se aplica Tasa de interés bancario corriente, después de los 10 meses conforme lo establecido en el</w:t>
            </w:r>
            <w:r w:rsidRPr="00F543A5">
              <w:rPr>
                <w:rFonts w:eastAsia="Times New Roman" w:cs="Times New Roman"/>
                <w:sz w:val="16"/>
                <w:szCs w:val="16"/>
                <w:lang w:eastAsia="es-CO"/>
              </w:rPr>
              <w:br/>
              <w:t>artículo 195 del CPACA.</w:t>
            </w:r>
          </w:p>
        </w:tc>
      </w:tr>
      <w:tr w:rsidR="00A24EB9" w:rsidRPr="00F543A5" w14:paraId="1478A9E1" w14:textId="77777777" w:rsidTr="00BA12EC">
        <w:trPr>
          <w:trHeight w:val="481"/>
        </w:trPr>
        <w:tc>
          <w:tcPr>
            <w:tcW w:w="647" w:type="pct"/>
            <w:noWrap/>
            <w:vAlign w:val="center"/>
            <w:hideMark/>
          </w:tcPr>
          <w:p w14:paraId="612B6E8C" w14:textId="77777777" w:rsidR="00A24EB9" w:rsidRPr="00F543A5" w:rsidRDefault="00A24EB9" w:rsidP="000A5389">
            <w:pPr>
              <w:spacing w:line="240" w:lineRule="auto"/>
              <w:jc w:val="right"/>
              <w:rPr>
                <w:rFonts w:eastAsia="Times New Roman" w:cs="Times New Roman"/>
                <w:sz w:val="16"/>
                <w:szCs w:val="16"/>
                <w:lang w:eastAsia="es-CO"/>
              </w:rPr>
            </w:pPr>
            <w:r w:rsidRPr="00F543A5">
              <w:rPr>
                <w:rFonts w:eastAsia="Times New Roman" w:cs="Times New Roman"/>
                <w:sz w:val="16"/>
                <w:szCs w:val="16"/>
                <w:lang w:eastAsia="es-CO"/>
              </w:rPr>
              <w:t>800242642</w:t>
            </w:r>
          </w:p>
        </w:tc>
        <w:tc>
          <w:tcPr>
            <w:tcW w:w="650" w:type="pct"/>
            <w:vAlign w:val="center"/>
            <w:hideMark/>
          </w:tcPr>
          <w:p w14:paraId="5A3CDD34" w14:textId="21504C79" w:rsidR="00A24EB9" w:rsidRPr="00F543A5" w:rsidRDefault="00866BB4" w:rsidP="00BA12EC">
            <w:pPr>
              <w:spacing w:line="240" w:lineRule="auto"/>
              <w:jc w:val="left"/>
              <w:rPr>
                <w:rFonts w:eastAsia="Times New Roman" w:cs="Times New Roman"/>
                <w:sz w:val="16"/>
                <w:szCs w:val="16"/>
                <w:lang w:eastAsia="es-CO"/>
              </w:rPr>
            </w:pPr>
            <w:r w:rsidRPr="00F543A5">
              <w:rPr>
                <w:rFonts w:eastAsia="Times New Roman" w:cs="Times New Roman"/>
                <w:sz w:val="16"/>
                <w:szCs w:val="16"/>
                <w:lang w:eastAsia="es-CO"/>
              </w:rPr>
              <w:t>Consorcio Integrado Por Consultores Del Desarrollo S A Y Edgardo Navarro Vives</w:t>
            </w:r>
          </w:p>
        </w:tc>
        <w:tc>
          <w:tcPr>
            <w:tcW w:w="731" w:type="pct"/>
            <w:noWrap/>
            <w:vAlign w:val="center"/>
            <w:hideMark/>
          </w:tcPr>
          <w:p w14:paraId="6BFF06C1" w14:textId="77777777" w:rsidR="00A24EB9" w:rsidRPr="00F543A5" w:rsidRDefault="00A24EB9" w:rsidP="000A5389">
            <w:pPr>
              <w:spacing w:line="240" w:lineRule="auto"/>
              <w:jc w:val="right"/>
              <w:rPr>
                <w:rFonts w:eastAsia="Times New Roman" w:cs="Times New Roman"/>
                <w:sz w:val="16"/>
                <w:szCs w:val="16"/>
                <w:lang w:eastAsia="es-CO"/>
              </w:rPr>
            </w:pPr>
            <w:r w:rsidRPr="00F543A5">
              <w:rPr>
                <w:rFonts w:eastAsia="Times New Roman" w:cs="Times New Roman"/>
                <w:sz w:val="16"/>
                <w:szCs w:val="16"/>
                <w:lang w:eastAsia="es-CO"/>
              </w:rPr>
              <w:t xml:space="preserve">                                      107.599.849 </w:t>
            </w:r>
          </w:p>
        </w:tc>
        <w:tc>
          <w:tcPr>
            <w:tcW w:w="301" w:type="pct"/>
            <w:noWrap/>
            <w:vAlign w:val="center"/>
            <w:hideMark/>
          </w:tcPr>
          <w:p w14:paraId="31B30569" w14:textId="77777777" w:rsidR="00A24EB9" w:rsidRPr="00F543A5" w:rsidRDefault="00A24EB9" w:rsidP="000A5389">
            <w:pPr>
              <w:spacing w:line="240" w:lineRule="auto"/>
              <w:jc w:val="center"/>
              <w:rPr>
                <w:rFonts w:eastAsia="Times New Roman" w:cs="Times New Roman"/>
                <w:sz w:val="16"/>
                <w:szCs w:val="16"/>
                <w:lang w:eastAsia="es-CO"/>
              </w:rPr>
            </w:pPr>
            <w:r w:rsidRPr="00F543A5">
              <w:rPr>
                <w:rFonts w:eastAsia="Times New Roman" w:cs="Times New Roman"/>
                <w:sz w:val="16"/>
                <w:szCs w:val="16"/>
                <w:lang w:eastAsia="es-CO"/>
              </w:rPr>
              <w:t>1</w:t>
            </w:r>
          </w:p>
        </w:tc>
        <w:tc>
          <w:tcPr>
            <w:tcW w:w="305" w:type="pct"/>
            <w:noWrap/>
            <w:vAlign w:val="center"/>
            <w:hideMark/>
          </w:tcPr>
          <w:p w14:paraId="3BE36B2E" w14:textId="77777777" w:rsidR="00A24EB9" w:rsidRPr="00F543A5" w:rsidRDefault="00A24EB9" w:rsidP="000A5389">
            <w:pPr>
              <w:spacing w:line="240" w:lineRule="auto"/>
              <w:jc w:val="center"/>
              <w:rPr>
                <w:rFonts w:eastAsia="Times New Roman" w:cs="Times New Roman"/>
                <w:sz w:val="16"/>
                <w:szCs w:val="16"/>
                <w:lang w:eastAsia="es-CO"/>
              </w:rPr>
            </w:pPr>
            <w:r w:rsidRPr="00F543A5">
              <w:rPr>
                <w:rFonts w:eastAsia="Times New Roman" w:cs="Times New Roman"/>
                <w:sz w:val="16"/>
                <w:szCs w:val="16"/>
                <w:lang w:eastAsia="es-CO"/>
              </w:rPr>
              <w:t>1</w:t>
            </w:r>
          </w:p>
        </w:tc>
        <w:tc>
          <w:tcPr>
            <w:tcW w:w="1101" w:type="pct"/>
            <w:vAlign w:val="center"/>
            <w:hideMark/>
          </w:tcPr>
          <w:p w14:paraId="1E939BFB" w14:textId="77777777" w:rsidR="00A24EB9" w:rsidRPr="00F543A5" w:rsidRDefault="00A24EB9" w:rsidP="000A5389">
            <w:pPr>
              <w:spacing w:line="240" w:lineRule="auto"/>
              <w:rPr>
                <w:rFonts w:eastAsia="Times New Roman" w:cs="Times New Roman"/>
                <w:sz w:val="16"/>
                <w:szCs w:val="16"/>
                <w:lang w:eastAsia="es-CO"/>
              </w:rPr>
            </w:pPr>
            <w:r w:rsidRPr="00F543A5">
              <w:rPr>
                <w:rFonts w:eastAsia="Times New Roman" w:cs="Times New Roman"/>
                <w:sz w:val="16"/>
                <w:szCs w:val="16"/>
                <w:lang w:eastAsia="es-CO"/>
              </w:rPr>
              <w:t>Artículo 27 de Ley 1563 de 20I2 (Ley de Arbitraje)</w:t>
            </w:r>
          </w:p>
        </w:tc>
        <w:tc>
          <w:tcPr>
            <w:tcW w:w="1265" w:type="pct"/>
            <w:vAlign w:val="center"/>
            <w:hideMark/>
          </w:tcPr>
          <w:p w14:paraId="1FD39E9D" w14:textId="77777777" w:rsidR="00A24EB9" w:rsidRPr="00F543A5" w:rsidRDefault="00A24EB9" w:rsidP="000A5389">
            <w:pPr>
              <w:spacing w:line="240" w:lineRule="auto"/>
              <w:rPr>
                <w:rFonts w:eastAsia="Times New Roman" w:cs="Times New Roman"/>
                <w:sz w:val="16"/>
                <w:szCs w:val="16"/>
                <w:lang w:eastAsia="es-CO"/>
              </w:rPr>
            </w:pPr>
            <w:r w:rsidRPr="00F543A5">
              <w:rPr>
                <w:rFonts w:eastAsia="Times New Roman" w:cs="Times New Roman"/>
                <w:sz w:val="16"/>
                <w:szCs w:val="16"/>
                <w:lang w:eastAsia="es-CO"/>
              </w:rPr>
              <w:t>Se causan intereses de mora a la tasa más alta autorizada</w:t>
            </w:r>
          </w:p>
        </w:tc>
      </w:tr>
    </w:tbl>
    <w:p w14:paraId="7419E318" w14:textId="77777777" w:rsidR="00866BB4" w:rsidRPr="00951AB1" w:rsidRDefault="00866BB4" w:rsidP="000A5389">
      <w:pPr>
        <w:pStyle w:val="Prrafodelista"/>
        <w:autoSpaceDE w:val="0"/>
        <w:autoSpaceDN w:val="0"/>
        <w:adjustRightInd w:val="0"/>
        <w:spacing w:line="240" w:lineRule="auto"/>
        <w:ind w:left="0"/>
        <w:rPr>
          <w:rFonts w:cs="Times New Roman"/>
          <w:szCs w:val="24"/>
        </w:rPr>
      </w:pPr>
    </w:p>
    <w:p w14:paraId="2029FF11" w14:textId="77777777" w:rsidR="00A24EB9" w:rsidRPr="00951AB1" w:rsidRDefault="00A24EB9" w:rsidP="000A5389">
      <w:pPr>
        <w:pStyle w:val="Prrafodelista"/>
        <w:autoSpaceDE w:val="0"/>
        <w:autoSpaceDN w:val="0"/>
        <w:adjustRightInd w:val="0"/>
        <w:spacing w:line="240" w:lineRule="auto"/>
        <w:ind w:left="0"/>
        <w:rPr>
          <w:rFonts w:cs="Times New Roman"/>
          <w:szCs w:val="24"/>
        </w:rPr>
      </w:pPr>
      <w:r w:rsidRPr="00951AB1">
        <w:rPr>
          <w:rFonts w:cs="Times New Roman"/>
          <w:szCs w:val="24"/>
        </w:rPr>
        <w:t xml:space="preserve">Un valor de $844.356.588.868, por concepto de intereses moratorios, por la deuda reconocida a nombre de la Unión Temporal Desarrollo Vial del Valle del Cauca y Cauca, del proyecto Malla Vial del Valle del Cauca y Cauca, contrato de concesión No. 005 de 1999, por el Laudo Arbitral No. 15811, Acta 30 Auto No. 43 del 7 de octubre de 2020, ejecutoriado el 9 de octubre de 2020, por medio del cual se liquida el Adicional No. 13 al Contrato de concesión No. 005 de 1999 y sus Otrosíes, el cual fue declarado Nulo de oficio en 2016. </w:t>
      </w:r>
    </w:p>
    <w:p w14:paraId="062ADFA9" w14:textId="77777777" w:rsidR="00A24EB9" w:rsidRPr="00951AB1" w:rsidRDefault="00A24EB9" w:rsidP="000A5389">
      <w:pPr>
        <w:pStyle w:val="Prrafodelista"/>
        <w:autoSpaceDE w:val="0"/>
        <w:autoSpaceDN w:val="0"/>
        <w:adjustRightInd w:val="0"/>
        <w:spacing w:line="240" w:lineRule="auto"/>
        <w:ind w:left="0"/>
        <w:rPr>
          <w:rFonts w:cs="Times New Roman"/>
          <w:szCs w:val="24"/>
        </w:rPr>
      </w:pPr>
    </w:p>
    <w:p w14:paraId="35D2F784" w14:textId="77777777" w:rsidR="00A24EB9" w:rsidRDefault="00A24EB9" w:rsidP="000A5389">
      <w:pPr>
        <w:pStyle w:val="Prrafodelista"/>
        <w:autoSpaceDE w:val="0"/>
        <w:autoSpaceDN w:val="0"/>
        <w:adjustRightInd w:val="0"/>
        <w:spacing w:line="240" w:lineRule="auto"/>
        <w:ind w:left="0"/>
        <w:rPr>
          <w:rFonts w:cs="Times New Roman"/>
          <w:szCs w:val="24"/>
        </w:rPr>
      </w:pPr>
      <w:r w:rsidRPr="00951AB1">
        <w:rPr>
          <w:rFonts w:cs="Times New Roman"/>
          <w:szCs w:val="24"/>
        </w:rPr>
        <w:t xml:space="preserve">Un valor de $566.155.199.357, por concepto de intereses moratorios, por la deuda reconocida a nombre de Perimetral Oriental de Bogotá SAS, del proyecto Perimetral de Oriente de Cundinamarca, contrato de concesión APP No. 002 del 2014, por el Laudo Arbitral No. 01-20-0015-3123 ejecutoriado el 29-12-2025, en el que condenó a la entidad por los siguientes conceptos y valores: </w:t>
      </w:r>
    </w:p>
    <w:p w14:paraId="09970C41" w14:textId="77777777" w:rsidR="00BA12EC" w:rsidRPr="00951AB1" w:rsidRDefault="00BA12EC" w:rsidP="000A5389">
      <w:pPr>
        <w:pStyle w:val="Prrafodelista"/>
        <w:autoSpaceDE w:val="0"/>
        <w:autoSpaceDN w:val="0"/>
        <w:adjustRightInd w:val="0"/>
        <w:spacing w:line="240" w:lineRule="auto"/>
        <w:ind w:left="0"/>
        <w:rPr>
          <w:rFonts w:cs="Times New Roman"/>
          <w:szCs w:val="24"/>
        </w:rPr>
      </w:pPr>
    </w:p>
    <w:p w14:paraId="796E415D" w14:textId="77777777" w:rsidR="00A24EB9" w:rsidRPr="00951AB1" w:rsidRDefault="00A24EB9" w:rsidP="000A5389">
      <w:pPr>
        <w:autoSpaceDE w:val="0"/>
        <w:autoSpaceDN w:val="0"/>
        <w:adjustRightInd w:val="0"/>
        <w:spacing w:line="240" w:lineRule="auto"/>
        <w:ind w:left="567" w:right="900"/>
        <w:rPr>
          <w:rFonts w:cs="Times New Roman"/>
          <w:i/>
          <w:iCs/>
          <w:sz w:val="20"/>
          <w:szCs w:val="20"/>
        </w:rPr>
      </w:pPr>
      <w:r w:rsidRPr="00951AB1">
        <w:rPr>
          <w:rFonts w:cs="Times New Roman"/>
          <w:i/>
          <w:iCs/>
          <w:sz w:val="20"/>
          <w:szCs w:val="20"/>
        </w:rPr>
        <w:t>"174. Falla a favor de las Demandantes en cuanto a la reclamación de intereses pre-laudo, y ordena que la ANI pague a POB intereses previos al Laudo Parcial incurridos entre el 1 de octubre de 2021 y 19 de diciembre de 2024, la suma de COP $409.200.000.000.</w:t>
      </w:r>
    </w:p>
    <w:p w14:paraId="15CE98C1" w14:textId="77777777" w:rsidR="00A24EB9" w:rsidRPr="00951AB1" w:rsidRDefault="00A24EB9" w:rsidP="000A5389">
      <w:pPr>
        <w:autoSpaceDE w:val="0"/>
        <w:autoSpaceDN w:val="0"/>
        <w:adjustRightInd w:val="0"/>
        <w:spacing w:line="240" w:lineRule="auto"/>
        <w:ind w:left="567" w:right="900"/>
        <w:rPr>
          <w:rFonts w:cs="Times New Roman"/>
          <w:i/>
          <w:iCs/>
          <w:sz w:val="20"/>
          <w:szCs w:val="20"/>
        </w:rPr>
      </w:pPr>
      <w:r w:rsidRPr="00951AB1">
        <w:rPr>
          <w:rFonts w:cs="Times New Roman"/>
          <w:i/>
          <w:iCs/>
          <w:sz w:val="20"/>
          <w:szCs w:val="20"/>
        </w:rPr>
        <w:t>175. Falla a favor de las Demandantes en cuanto a la reclamación de intereses post-laudo, y ordena que la ANI pague a POB intereses moratorios sobre una suma total de COP $1.332.305.900.000, correspondiente de COP $413.605.900.000 por los costos incurridos respecto a las UFs 4 y 5; COP $115.400.000.000, por la no reducción proporcional a la Subcuenta de Supervisión e Interventoría, junto con los otros costos de fondeo y con carácter de costos incurridos respecto de las UFs 4 y 5; y COP $803.300.000.000 por pérdida de utilidad respecto de las UFs 1-3.</w:t>
      </w:r>
    </w:p>
    <w:p w14:paraId="31C6E347" w14:textId="77777777" w:rsidR="00A24EB9" w:rsidRDefault="00A24EB9" w:rsidP="000A5389">
      <w:pPr>
        <w:autoSpaceDE w:val="0"/>
        <w:autoSpaceDN w:val="0"/>
        <w:adjustRightInd w:val="0"/>
        <w:spacing w:line="240" w:lineRule="auto"/>
        <w:ind w:left="567" w:right="900"/>
        <w:rPr>
          <w:rFonts w:cs="Times New Roman"/>
          <w:i/>
          <w:iCs/>
          <w:sz w:val="20"/>
          <w:szCs w:val="20"/>
        </w:rPr>
      </w:pPr>
      <w:r w:rsidRPr="00951AB1">
        <w:rPr>
          <w:rFonts w:cs="Times New Roman"/>
          <w:i/>
          <w:iCs/>
          <w:sz w:val="20"/>
          <w:szCs w:val="20"/>
        </w:rPr>
        <w:t>178. Falla a favor de las Demandantes en cuanto a la reclamación de costas, y ordena que la ANI pague a POB un monto por concepto de costas del arbitraje incurridas por las Demandantes”</w:t>
      </w:r>
    </w:p>
    <w:p w14:paraId="4469746F" w14:textId="77777777" w:rsidR="00BA12EC" w:rsidRPr="00951AB1" w:rsidRDefault="00BA12EC" w:rsidP="000A5389">
      <w:pPr>
        <w:autoSpaceDE w:val="0"/>
        <w:autoSpaceDN w:val="0"/>
        <w:adjustRightInd w:val="0"/>
        <w:spacing w:line="240" w:lineRule="auto"/>
        <w:ind w:left="567" w:right="900"/>
        <w:rPr>
          <w:rFonts w:cs="Times New Roman"/>
          <w:i/>
          <w:iCs/>
          <w:sz w:val="20"/>
          <w:szCs w:val="20"/>
        </w:rPr>
      </w:pPr>
    </w:p>
    <w:p w14:paraId="3609F95A" w14:textId="77777777" w:rsidR="00A24EB9" w:rsidRPr="00951AB1" w:rsidRDefault="00A24EB9" w:rsidP="000A5389">
      <w:pPr>
        <w:pStyle w:val="Prrafodelista"/>
        <w:autoSpaceDE w:val="0"/>
        <w:autoSpaceDN w:val="0"/>
        <w:adjustRightInd w:val="0"/>
        <w:spacing w:line="240" w:lineRule="auto"/>
        <w:ind w:left="0"/>
        <w:rPr>
          <w:rFonts w:cs="Times New Roman"/>
          <w:szCs w:val="24"/>
        </w:rPr>
      </w:pPr>
      <w:r w:rsidRPr="00951AB1">
        <w:rPr>
          <w:rFonts w:cs="Times New Roman"/>
          <w:szCs w:val="24"/>
        </w:rPr>
        <w:t>Un valor de $74.072.060.766, por concepto de intereses moratorios, por la deuda reconocida a nombre Consorcio Vial Helios, del proyecto Ruta del Sol Sector 1, contrato de concesión No. 002 de 2010, por los valores adeudados del acuerdo conciliatorio del 15 de febrero de 2022 y por el Laudo Arbitral No. 131704 del 2/06/2022 y 5/06/2023, en el que condenó a la entidad por lo siguiente:</w:t>
      </w:r>
    </w:p>
    <w:p w14:paraId="37AFD460" w14:textId="77777777" w:rsidR="00866BB4" w:rsidRPr="00951AB1" w:rsidRDefault="00866BB4" w:rsidP="000A5389">
      <w:pPr>
        <w:spacing w:line="240" w:lineRule="auto"/>
        <w:rPr>
          <w:rFonts w:cs="Times New Roman"/>
          <w:b/>
          <w:bCs/>
          <w:szCs w:val="24"/>
        </w:rPr>
      </w:pPr>
    </w:p>
    <w:p w14:paraId="6F73492E" w14:textId="77777777" w:rsidR="00A24EB9" w:rsidRPr="00951AB1" w:rsidRDefault="00A24EB9" w:rsidP="000A5389">
      <w:pPr>
        <w:spacing w:line="240" w:lineRule="auto"/>
        <w:rPr>
          <w:rFonts w:cs="Times New Roman"/>
          <w:b/>
          <w:bCs/>
          <w:i/>
          <w:iCs/>
          <w:szCs w:val="24"/>
        </w:rPr>
      </w:pPr>
      <w:r w:rsidRPr="00951AB1">
        <w:rPr>
          <w:rFonts w:cs="Times New Roman"/>
          <w:b/>
          <w:bCs/>
          <w:i/>
          <w:iCs/>
          <w:szCs w:val="24"/>
        </w:rPr>
        <w:t>Acuerdo Conciliatorio:</w:t>
      </w:r>
    </w:p>
    <w:p w14:paraId="34CB4F8A" w14:textId="77777777" w:rsidR="00A24EB9" w:rsidRPr="00951AB1" w:rsidRDefault="00A24EB9" w:rsidP="000A5389">
      <w:pPr>
        <w:pStyle w:val="Prrafodelista"/>
        <w:spacing w:line="240" w:lineRule="auto"/>
        <w:ind w:left="284" w:hanging="142"/>
        <w:rPr>
          <w:rFonts w:cs="Times New Roman"/>
          <w:szCs w:val="24"/>
        </w:rPr>
      </w:pPr>
      <w:r w:rsidRPr="00951AB1">
        <w:rPr>
          <w:rFonts w:cs="Times New Roman"/>
          <w:szCs w:val="24"/>
        </w:rPr>
        <w:t>Acuerdo Segundo (Hito 81) $ 11.079.228.004</w:t>
      </w:r>
    </w:p>
    <w:p w14:paraId="76B73546" w14:textId="77777777" w:rsidR="00866BB4" w:rsidRPr="00951AB1" w:rsidRDefault="00A24EB9" w:rsidP="000A5389">
      <w:pPr>
        <w:pStyle w:val="Prrafodelista"/>
        <w:spacing w:line="240" w:lineRule="auto"/>
        <w:ind w:left="284" w:hanging="142"/>
        <w:rPr>
          <w:rFonts w:cs="Times New Roman"/>
          <w:szCs w:val="24"/>
        </w:rPr>
      </w:pPr>
      <w:r w:rsidRPr="00951AB1">
        <w:rPr>
          <w:rFonts w:cs="Times New Roman"/>
          <w:szCs w:val="24"/>
        </w:rPr>
        <w:t>Obras Adicionales $35.178.251.689</w:t>
      </w:r>
    </w:p>
    <w:p w14:paraId="6D83BDF5" w14:textId="77777777" w:rsidR="00A24EB9" w:rsidRPr="00951AB1" w:rsidRDefault="00A24EB9" w:rsidP="000A5389">
      <w:pPr>
        <w:pStyle w:val="Prrafodelista"/>
        <w:spacing w:line="240" w:lineRule="auto"/>
        <w:ind w:left="142" w:hanging="142"/>
        <w:rPr>
          <w:rFonts w:cs="Times New Roman"/>
          <w:i/>
          <w:iCs/>
          <w:szCs w:val="24"/>
        </w:rPr>
      </w:pPr>
      <w:r w:rsidRPr="00951AB1">
        <w:rPr>
          <w:rFonts w:cs="Times New Roman"/>
          <w:b/>
          <w:bCs/>
          <w:i/>
          <w:iCs/>
          <w:szCs w:val="24"/>
        </w:rPr>
        <w:t>Laudo Arbitral:</w:t>
      </w:r>
    </w:p>
    <w:p w14:paraId="1A6CDADF" w14:textId="120A8B3E" w:rsidR="00A24EB9" w:rsidRPr="00951AB1" w:rsidRDefault="00A24EB9" w:rsidP="000A5389">
      <w:pPr>
        <w:pStyle w:val="Prrafodelista"/>
        <w:spacing w:line="240" w:lineRule="auto"/>
        <w:ind w:left="284" w:hanging="142"/>
        <w:rPr>
          <w:rFonts w:cs="Times New Roman"/>
          <w:szCs w:val="24"/>
        </w:rPr>
      </w:pPr>
      <w:r w:rsidRPr="00951AB1">
        <w:rPr>
          <w:rFonts w:cs="Times New Roman"/>
          <w:szCs w:val="24"/>
        </w:rPr>
        <w:t>- Rendimientos financieros generados en la Cuenta Aportes INCO que no fueron pagados según el laudo arbitral del 25 de mayo de 2023. $ 84.535.435.421.</w:t>
      </w:r>
    </w:p>
    <w:p w14:paraId="5D1566AA" w14:textId="77777777" w:rsidR="00A24EB9" w:rsidRPr="00951AB1" w:rsidRDefault="00A24EB9" w:rsidP="000A5389">
      <w:pPr>
        <w:pStyle w:val="Prrafodelista"/>
        <w:spacing w:line="240" w:lineRule="auto"/>
        <w:ind w:left="284" w:hanging="142"/>
        <w:rPr>
          <w:rFonts w:cs="Times New Roman"/>
          <w:szCs w:val="24"/>
        </w:rPr>
      </w:pPr>
      <w:r w:rsidRPr="00951AB1">
        <w:rPr>
          <w:rFonts w:cs="Times New Roman"/>
          <w:szCs w:val="24"/>
        </w:rPr>
        <w:t>- Rendimientos financieros no generados y no pagados por el incumplimiento en el pago del aporte de la vigencia de 2019, suma que se ha actualizado a la fecha del laudo. (Laudo arbitral del 25 de mayo de 2023) (*) $ 6.335.494.586.</w:t>
      </w:r>
    </w:p>
    <w:p w14:paraId="191076CE" w14:textId="77777777" w:rsidR="00A24EB9" w:rsidRPr="00951AB1" w:rsidRDefault="00A24EB9" w:rsidP="000A5389">
      <w:pPr>
        <w:pStyle w:val="Prrafodelista"/>
        <w:spacing w:line="240" w:lineRule="auto"/>
        <w:ind w:left="284" w:hanging="142"/>
        <w:rPr>
          <w:rFonts w:cs="Times New Roman"/>
          <w:szCs w:val="24"/>
        </w:rPr>
      </w:pPr>
    </w:p>
    <w:p w14:paraId="51BD320F" w14:textId="4919D145" w:rsidR="00A24EB9" w:rsidRPr="00951AB1" w:rsidRDefault="00A24EB9" w:rsidP="000A5389">
      <w:pPr>
        <w:pStyle w:val="Prrafodelista"/>
        <w:spacing w:line="240" w:lineRule="auto"/>
        <w:ind w:left="284" w:hanging="142"/>
        <w:rPr>
          <w:rFonts w:cs="Times New Roman"/>
          <w:szCs w:val="24"/>
        </w:rPr>
      </w:pPr>
      <w:r w:rsidRPr="00951AB1">
        <w:rPr>
          <w:rFonts w:cs="Times New Roman"/>
          <w:szCs w:val="24"/>
        </w:rPr>
        <w:lastRenderedPageBreak/>
        <w:t>- Rendimientos financieros no generados y no pagados por el incumplimiento en el pago de aportes de la vigencia 2020, suma que se ha actualizado a la fecha del laudo. (Laudo arbitral del 25 de mayo de 2023) (*) $ 768.636.278.</w:t>
      </w:r>
    </w:p>
    <w:p w14:paraId="623654F8" w14:textId="77777777" w:rsidR="00A24EB9" w:rsidRPr="00951AB1" w:rsidRDefault="00A24EB9" w:rsidP="000A5389">
      <w:pPr>
        <w:pStyle w:val="Prrafodelista"/>
        <w:spacing w:line="240" w:lineRule="auto"/>
        <w:ind w:left="284" w:hanging="142"/>
        <w:rPr>
          <w:rFonts w:cs="Times New Roman"/>
          <w:szCs w:val="24"/>
        </w:rPr>
      </w:pPr>
      <w:r w:rsidRPr="00951AB1">
        <w:rPr>
          <w:rFonts w:cs="Times New Roman"/>
          <w:szCs w:val="24"/>
        </w:rPr>
        <w:t xml:space="preserve">- Intereses moratorios sobre los rendimientos financieros generados en la Cuenta Aportes INCO que no fueron pagados respecto de los hitos señalados en la parte motiva de la providencia. (Laudo arbitral del 25 de mayo de 2023) (*) $ 44.041.648.293. </w:t>
      </w:r>
    </w:p>
    <w:p w14:paraId="5966A108" w14:textId="77777777" w:rsidR="00A24EB9" w:rsidRPr="00951AB1" w:rsidRDefault="00A24EB9" w:rsidP="000A5389">
      <w:pPr>
        <w:pStyle w:val="Prrafodelista"/>
        <w:spacing w:line="240" w:lineRule="auto"/>
        <w:ind w:left="0"/>
        <w:rPr>
          <w:rFonts w:cs="Times New Roman"/>
          <w:szCs w:val="24"/>
        </w:rPr>
      </w:pPr>
    </w:p>
    <w:p w14:paraId="513CA22C" w14:textId="77777777" w:rsidR="00A24EB9" w:rsidRPr="00951AB1" w:rsidRDefault="00A24EB9" w:rsidP="000A5389">
      <w:pPr>
        <w:pStyle w:val="Prrafodelista"/>
        <w:spacing w:line="240" w:lineRule="auto"/>
        <w:ind w:left="0"/>
        <w:rPr>
          <w:rFonts w:eastAsia="Arial" w:cs="Times New Roman"/>
          <w:szCs w:val="24"/>
        </w:rPr>
      </w:pPr>
      <w:r w:rsidRPr="00951AB1">
        <w:rPr>
          <w:rFonts w:cs="Times New Roman"/>
          <w:szCs w:val="24"/>
        </w:rPr>
        <w:t>Un valor de $50.126.455.625, por concepto de intereses moratorios</w:t>
      </w:r>
      <w:r w:rsidRPr="00951AB1">
        <w:rPr>
          <w:rFonts w:eastAsia="Arial" w:cs="Times New Roman"/>
          <w:szCs w:val="24"/>
        </w:rPr>
        <w:t>, por la deuda reconocida a nombre de Vía Pacifico S A S En Liquidación, del proyecto Vía al Puerto, c</w:t>
      </w:r>
      <w:r w:rsidRPr="00951AB1">
        <w:rPr>
          <w:rFonts w:cs="Times New Roman"/>
          <w:szCs w:val="24"/>
        </w:rPr>
        <w:t xml:space="preserve">ontrato de concesión No. 003 </w:t>
      </w:r>
      <w:r w:rsidRPr="00951AB1">
        <w:rPr>
          <w:rFonts w:eastAsia="Arial" w:cs="Times New Roman"/>
          <w:szCs w:val="24"/>
        </w:rPr>
        <w:t>del 6 de julio de 2016, por el Laudo Arbitral No. 123019 del 08/07/2022, Auto 51 del 06/07/2022, ejecutoriado el 07/07/2022, en el que condenó a la entidad por concepto del ajuste a la liquidación del Contrato de Concesión.</w:t>
      </w:r>
    </w:p>
    <w:p w14:paraId="1E264BE7" w14:textId="77777777" w:rsidR="00A24EB9" w:rsidRPr="00951AB1" w:rsidRDefault="00A24EB9" w:rsidP="000A5389">
      <w:pPr>
        <w:spacing w:line="240" w:lineRule="auto"/>
        <w:rPr>
          <w:rFonts w:cs="Times New Roman"/>
          <w:szCs w:val="24"/>
        </w:rPr>
      </w:pPr>
    </w:p>
    <w:p w14:paraId="3E3A8F32" w14:textId="77777777" w:rsidR="00A24EB9" w:rsidRPr="00951AB1" w:rsidRDefault="00A24EB9" w:rsidP="000A5389">
      <w:pPr>
        <w:pStyle w:val="Prrafodelista"/>
        <w:autoSpaceDE w:val="0"/>
        <w:autoSpaceDN w:val="0"/>
        <w:adjustRightInd w:val="0"/>
        <w:spacing w:line="240" w:lineRule="auto"/>
        <w:ind w:left="0"/>
        <w:rPr>
          <w:rFonts w:cs="Times New Roman"/>
          <w:szCs w:val="24"/>
        </w:rPr>
      </w:pPr>
      <w:r w:rsidRPr="00951AB1">
        <w:rPr>
          <w:rFonts w:cs="Times New Roman"/>
          <w:szCs w:val="24"/>
        </w:rPr>
        <w:t>Un valor de $25.479.676.931, por concepto de intereses moratorios, por la deuda reconocida a nombre de Yuma Concesionaria S A - En reorganización, del proyecto Ruta del Sol Sector 3, contrato de concesión No. 007 de 2010, por el Laudo Arbitral No. 5206 ejecutoriado el 15/05/2020, en el que condenó a la entidad por lo siguiente:</w:t>
      </w:r>
    </w:p>
    <w:p w14:paraId="6794466E" w14:textId="77777777" w:rsidR="00A24EB9" w:rsidRPr="00951AB1" w:rsidRDefault="00A24EB9" w:rsidP="000A5389">
      <w:pPr>
        <w:pStyle w:val="Prrafodelista"/>
        <w:autoSpaceDE w:val="0"/>
        <w:autoSpaceDN w:val="0"/>
        <w:adjustRightInd w:val="0"/>
        <w:spacing w:line="240" w:lineRule="auto"/>
        <w:ind w:left="0"/>
        <w:rPr>
          <w:rFonts w:cs="Times New Roman"/>
          <w:i/>
          <w:iCs/>
          <w:sz w:val="20"/>
          <w:szCs w:val="20"/>
        </w:rPr>
      </w:pPr>
    </w:p>
    <w:p w14:paraId="3E5EDEED" w14:textId="77777777" w:rsidR="00A24EB9" w:rsidRPr="00951AB1" w:rsidRDefault="00A24EB9" w:rsidP="000A5389">
      <w:pPr>
        <w:pStyle w:val="Prrafodelista"/>
        <w:spacing w:line="240" w:lineRule="auto"/>
        <w:ind w:left="567" w:right="900"/>
        <w:rPr>
          <w:rFonts w:cs="Times New Roman"/>
          <w:i/>
          <w:iCs/>
          <w:sz w:val="20"/>
          <w:szCs w:val="20"/>
        </w:rPr>
      </w:pPr>
      <w:r w:rsidRPr="00951AB1">
        <w:rPr>
          <w:rFonts w:cs="Times New Roman"/>
          <w:i/>
          <w:iCs/>
          <w:sz w:val="20"/>
          <w:szCs w:val="20"/>
        </w:rPr>
        <w:t>“Pago a YUMA CONCESIONARIA S.A. la diferencia entre (i) el costo de las obras adicionales para construir las seis (6) variantes a reconocer (Cuatro Vientos, Copey, Loma del Bálsamo, La Gran Vía, Zawady y La Isabela) y (ii) el costo total de las obras de los correspondientes seis (6) pasos poblacionales, valor que se obtendrá mediante la metodología enunciada en la parte considerativa.”</w:t>
      </w:r>
    </w:p>
    <w:p w14:paraId="589AF254" w14:textId="77777777" w:rsidR="00A24EB9" w:rsidRPr="00951AB1" w:rsidRDefault="00A24EB9" w:rsidP="000A5389">
      <w:pPr>
        <w:pStyle w:val="Prrafodelista"/>
        <w:spacing w:line="240" w:lineRule="auto"/>
        <w:ind w:left="567" w:right="900"/>
        <w:rPr>
          <w:rFonts w:cs="Times New Roman"/>
          <w:i/>
          <w:iCs/>
          <w:sz w:val="20"/>
          <w:szCs w:val="20"/>
        </w:rPr>
      </w:pPr>
    </w:p>
    <w:p w14:paraId="4B4F5E40" w14:textId="77777777" w:rsidR="00A24EB9" w:rsidRPr="00951AB1" w:rsidRDefault="00A24EB9" w:rsidP="000A5389">
      <w:pPr>
        <w:pStyle w:val="Prrafodelista"/>
        <w:spacing w:line="240" w:lineRule="auto"/>
        <w:ind w:left="0"/>
        <w:rPr>
          <w:rFonts w:cs="Times New Roman"/>
          <w:szCs w:val="24"/>
        </w:rPr>
      </w:pPr>
      <w:r w:rsidRPr="00951AB1">
        <w:rPr>
          <w:rFonts w:cs="Times New Roman"/>
          <w:szCs w:val="24"/>
        </w:rPr>
        <w:t xml:space="preserve">Un valor de $19.225.192.323, por concepto de intereses moratorios, por la deuda reconocida a nombre de la Concesionaria San Rafael S.A., del proyecto Girardot Ibagué Cajamarca, contrato de concesión No. 007 del 13 de agosto de 2007, por el Laudo arbitral No. 130853 ejecutoriado el 23/03/2023, por los conceptos de: COVID, segunda calzada, índice de estado y ciclo ruta buenos aires. </w:t>
      </w:r>
    </w:p>
    <w:p w14:paraId="3EDFA002" w14:textId="77777777" w:rsidR="00A24EB9" w:rsidRPr="00951AB1" w:rsidRDefault="00A24EB9" w:rsidP="000A5389">
      <w:pPr>
        <w:pStyle w:val="Prrafodelista"/>
        <w:spacing w:line="240" w:lineRule="auto"/>
        <w:ind w:left="0"/>
        <w:rPr>
          <w:rFonts w:cs="Times New Roman"/>
          <w:szCs w:val="24"/>
        </w:rPr>
      </w:pPr>
    </w:p>
    <w:p w14:paraId="240A2FA4" w14:textId="77777777" w:rsidR="00A24EB9" w:rsidRPr="00951AB1" w:rsidRDefault="00A24EB9" w:rsidP="000A5389">
      <w:pPr>
        <w:pStyle w:val="Prrafodelista"/>
        <w:autoSpaceDE w:val="0"/>
        <w:autoSpaceDN w:val="0"/>
        <w:adjustRightInd w:val="0"/>
        <w:spacing w:line="240" w:lineRule="auto"/>
        <w:ind w:left="0"/>
        <w:rPr>
          <w:rFonts w:cs="Times New Roman"/>
          <w:szCs w:val="24"/>
        </w:rPr>
      </w:pPr>
      <w:r w:rsidRPr="00951AB1">
        <w:rPr>
          <w:rFonts w:cs="Times New Roman"/>
          <w:szCs w:val="24"/>
        </w:rPr>
        <w:t xml:space="preserve">Un valor de $3.406.192.659, por concepto de intereses moratorios, por la deuda reconocida a nombre de Concesión Santa Marta Paraguachón S.A., del proyecto Santa Marta Riohacha Paraguachón, contrato de concesión No. 445 de 1994, por el Laudo Arbitral No. 141971, Auto No. 86 del 26/05/2025 ejecutoriado el 30/05/2025. </w:t>
      </w:r>
    </w:p>
    <w:p w14:paraId="35D261EC" w14:textId="77777777" w:rsidR="00A24EB9" w:rsidRPr="00951AB1" w:rsidRDefault="00A24EB9" w:rsidP="000A5389">
      <w:pPr>
        <w:pStyle w:val="Prrafodelista"/>
        <w:autoSpaceDE w:val="0"/>
        <w:autoSpaceDN w:val="0"/>
        <w:adjustRightInd w:val="0"/>
        <w:spacing w:line="240" w:lineRule="auto"/>
        <w:ind w:left="0"/>
        <w:rPr>
          <w:rFonts w:cs="Times New Roman"/>
          <w:szCs w:val="24"/>
        </w:rPr>
      </w:pPr>
    </w:p>
    <w:p w14:paraId="63036F2D" w14:textId="77777777" w:rsidR="00A24EB9" w:rsidRPr="00951AB1" w:rsidRDefault="00A24EB9" w:rsidP="000A5389">
      <w:pPr>
        <w:pStyle w:val="Prrafodelista"/>
        <w:spacing w:line="240" w:lineRule="auto"/>
        <w:ind w:left="0"/>
        <w:rPr>
          <w:rFonts w:eastAsia="Arial" w:cs="Times New Roman"/>
          <w:szCs w:val="24"/>
        </w:rPr>
      </w:pPr>
      <w:r w:rsidRPr="00951AB1">
        <w:rPr>
          <w:rFonts w:cs="Times New Roman"/>
          <w:szCs w:val="24"/>
        </w:rPr>
        <w:t>Un valor de $2.407.161.869, por concepto de intereses moratorios</w:t>
      </w:r>
      <w:r w:rsidRPr="00951AB1">
        <w:rPr>
          <w:rFonts w:eastAsia="Arial" w:cs="Times New Roman"/>
          <w:szCs w:val="24"/>
        </w:rPr>
        <w:t>, por la deuda reconocida a nombre de la Concesionaria Ruta del Cacao S.A.S., del proyecto Bucaramanga Barrancabermeja Yondó, c</w:t>
      </w:r>
      <w:r w:rsidRPr="00951AB1">
        <w:rPr>
          <w:rFonts w:cs="Times New Roman"/>
          <w:szCs w:val="24"/>
        </w:rPr>
        <w:t>ontrato de concesión No. 013 del 15 de agosto de 2015</w:t>
      </w:r>
      <w:r w:rsidRPr="00951AB1">
        <w:rPr>
          <w:rFonts w:eastAsia="Arial" w:cs="Times New Roman"/>
          <w:szCs w:val="24"/>
        </w:rPr>
        <w:t xml:space="preserve">, por el Laudo Arbitral No. 141913 ejecutoriado el 19/03/2025, en el que condenó a la entidad, por lo siguiente: </w:t>
      </w:r>
    </w:p>
    <w:p w14:paraId="15CD0663" w14:textId="77777777" w:rsidR="00A24EB9" w:rsidRPr="00951AB1" w:rsidRDefault="00A24EB9" w:rsidP="000A5389">
      <w:pPr>
        <w:pStyle w:val="Prrafodelista"/>
        <w:spacing w:line="240" w:lineRule="auto"/>
        <w:ind w:left="0"/>
        <w:rPr>
          <w:rFonts w:eastAsia="Arial" w:cs="Times New Roman"/>
          <w:szCs w:val="24"/>
        </w:rPr>
      </w:pPr>
    </w:p>
    <w:p w14:paraId="0403CBE0" w14:textId="5D1D3704" w:rsidR="00A24EB9" w:rsidRPr="00951AB1" w:rsidRDefault="00A24EB9" w:rsidP="000A5389">
      <w:pPr>
        <w:autoSpaceDE w:val="0"/>
        <w:autoSpaceDN w:val="0"/>
        <w:adjustRightInd w:val="0"/>
        <w:spacing w:line="240" w:lineRule="auto"/>
        <w:rPr>
          <w:rFonts w:cs="Times New Roman"/>
          <w:b/>
          <w:bCs/>
          <w:i/>
          <w:iCs/>
          <w:szCs w:val="24"/>
        </w:rPr>
      </w:pPr>
      <w:r w:rsidRPr="00951AB1">
        <w:rPr>
          <w:rFonts w:cs="Times New Roman"/>
          <w:b/>
          <w:bCs/>
          <w:i/>
          <w:iCs/>
          <w:szCs w:val="24"/>
        </w:rPr>
        <w:t>Pago Condena del Laudo.</w:t>
      </w:r>
    </w:p>
    <w:p w14:paraId="20B10D25" w14:textId="77777777" w:rsidR="00A24EB9" w:rsidRPr="00951AB1" w:rsidRDefault="00A24EB9" w:rsidP="000A5389">
      <w:pPr>
        <w:autoSpaceDE w:val="0"/>
        <w:autoSpaceDN w:val="0"/>
        <w:adjustRightInd w:val="0"/>
        <w:spacing w:line="240" w:lineRule="auto"/>
        <w:rPr>
          <w:rFonts w:cs="Times New Roman"/>
          <w:b/>
          <w:bCs/>
          <w:i/>
          <w:iCs/>
          <w:szCs w:val="24"/>
        </w:rPr>
      </w:pPr>
      <w:r w:rsidRPr="00951AB1">
        <w:rPr>
          <w:rFonts w:cs="Times New Roman"/>
          <w:b/>
          <w:bCs/>
          <w:i/>
          <w:iCs/>
          <w:szCs w:val="24"/>
        </w:rPr>
        <w:t>Unidad Funcional 1</w:t>
      </w:r>
    </w:p>
    <w:p w14:paraId="435203D5" w14:textId="77777777" w:rsidR="00A24EB9" w:rsidRPr="00951AB1" w:rsidRDefault="00A24EB9" w:rsidP="000A5389">
      <w:pPr>
        <w:autoSpaceDE w:val="0"/>
        <w:autoSpaceDN w:val="0"/>
        <w:adjustRightInd w:val="0"/>
        <w:spacing w:line="240" w:lineRule="auto"/>
        <w:rPr>
          <w:rFonts w:cs="Times New Roman"/>
          <w:b/>
          <w:bCs/>
          <w:i/>
          <w:iCs/>
          <w:szCs w:val="24"/>
        </w:rPr>
      </w:pPr>
    </w:p>
    <w:p w14:paraId="3C69CF7B" w14:textId="77777777" w:rsidR="00A24EB9" w:rsidRPr="00951AB1" w:rsidRDefault="00A24EB9" w:rsidP="000A5389">
      <w:pPr>
        <w:autoSpaceDE w:val="0"/>
        <w:autoSpaceDN w:val="0"/>
        <w:adjustRightInd w:val="0"/>
        <w:spacing w:line="240" w:lineRule="auto"/>
        <w:rPr>
          <w:rFonts w:cs="Times New Roman"/>
          <w:szCs w:val="24"/>
        </w:rPr>
      </w:pPr>
      <w:r w:rsidRPr="00951AB1">
        <w:rPr>
          <w:rFonts w:cs="Times New Roman"/>
          <w:szCs w:val="24"/>
        </w:rPr>
        <w:lastRenderedPageBreak/>
        <w:t>Costos en los que incurrió hasta la presentación de la demanda, relacionados con las intervenciones imprevisibles y/o diferentes y/o adicionales y/o de mayor envergadura y/o frecuencia a las actividades y obras previstas para los Subsectores 1.2 y 1.3 de la Unidad Funcional 1, dirigidas al cumplimiento de los Indicadores del Apéndice Técnico No. 4 en los referidos subsectores.</w:t>
      </w:r>
    </w:p>
    <w:p w14:paraId="42497800" w14:textId="77777777" w:rsidR="00A24EB9" w:rsidRPr="00951AB1" w:rsidRDefault="00A24EB9" w:rsidP="000A5389">
      <w:pPr>
        <w:autoSpaceDE w:val="0"/>
        <w:autoSpaceDN w:val="0"/>
        <w:adjustRightInd w:val="0"/>
        <w:spacing w:line="240" w:lineRule="auto"/>
        <w:rPr>
          <w:rFonts w:cs="Times New Roman"/>
          <w:szCs w:val="24"/>
        </w:rPr>
      </w:pPr>
    </w:p>
    <w:p w14:paraId="178D7B6F" w14:textId="77777777" w:rsidR="00A24EB9" w:rsidRPr="00951AB1" w:rsidRDefault="00A24EB9" w:rsidP="000A5389">
      <w:pPr>
        <w:autoSpaceDE w:val="0"/>
        <w:autoSpaceDN w:val="0"/>
        <w:adjustRightInd w:val="0"/>
        <w:spacing w:line="240" w:lineRule="auto"/>
        <w:rPr>
          <w:rFonts w:cs="Times New Roman"/>
          <w:szCs w:val="24"/>
        </w:rPr>
      </w:pPr>
      <w:r w:rsidRPr="00951AB1">
        <w:rPr>
          <w:rFonts w:cs="Times New Roman"/>
          <w:szCs w:val="24"/>
        </w:rPr>
        <w:t>Costos en los que incurrió relacionados con intervenciones imprevisibles y/o diferentes y/o adicionales y/o de mayor envergadura y/o frecuencia a las actividades y obras de los Subsectores 1.2 y 1.3 de la Unidad Funcional 1 realizados con posterioridad a la Presentación de la Demanda Arbitral dirigidas al cumplimiento de los Indicadores del Apéndice Técnico No. 4 en los referidos subsectores.</w:t>
      </w:r>
    </w:p>
    <w:p w14:paraId="29C5063A" w14:textId="77777777" w:rsidR="00A24EB9" w:rsidRPr="00951AB1" w:rsidRDefault="00A24EB9" w:rsidP="000A5389">
      <w:pPr>
        <w:autoSpaceDE w:val="0"/>
        <w:autoSpaceDN w:val="0"/>
        <w:adjustRightInd w:val="0"/>
        <w:spacing w:line="240" w:lineRule="auto"/>
        <w:rPr>
          <w:rFonts w:cs="Times New Roman"/>
          <w:szCs w:val="24"/>
        </w:rPr>
      </w:pPr>
    </w:p>
    <w:p w14:paraId="068C9BB1" w14:textId="77777777" w:rsidR="00A24EB9" w:rsidRPr="00951AB1" w:rsidRDefault="00A24EB9" w:rsidP="000A5389">
      <w:pPr>
        <w:autoSpaceDE w:val="0"/>
        <w:autoSpaceDN w:val="0"/>
        <w:adjustRightInd w:val="0"/>
        <w:spacing w:line="240" w:lineRule="auto"/>
        <w:rPr>
          <w:rFonts w:cs="Times New Roman"/>
          <w:szCs w:val="24"/>
        </w:rPr>
      </w:pPr>
      <w:r w:rsidRPr="00951AB1">
        <w:rPr>
          <w:rFonts w:cs="Times New Roman"/>
          <w:szCs w:val="24"/>
        </w:rPr>
        <w:t>Valores que fueron objeto de Deducciones como resultado de las mediciones del Índice de Cumplimiento de las Actas de Compensación Especial por el incumplimiento de Indicadores del Apéndice técnico 4 en los subsectores 1.2 y 1.3 de la Unidad Funcional 1.</w:t>
      </w:r>
    </w:p>
    <w:p w14:paraId="5B3D86C1" w14:textId="77777777" w:rsidR="00A24EB9" w:rsidRPr="00951AB1" w:rsidRDefault="00A24EB9" w:rsidP="000A5389">
      <w:pPr>
        <w:autoSpaceDE w:val="0"/>
        <w:autoSpaceDN w:val="0"/>
        <w:adjustRightInd w:val="0"/>
        <w:spacing w:line="240" w:lineRule="auto"/>
        <w:rPr>
          <w:rFonts w:cs="Times New Roman"/>
          <w:szCs w:val="24"/>
        </w:rPr>
      </w:pPr>
    </w:p>
    <w:p w14:paraId="62676F74" w14:textId="77777777" w:rsidR="00A24EB9" w:rsidRPr="00951AB1" w:rsidRDefault="00A24EB9" w:rsidP="000A5389">
      <w:pPr>
        <w:autoSpaceDE w:val="0"/>
        <w:autoSpaceDN w:val="0"/>
        <w:adjustRightInd w:val="0"/>
        <w:spacing w:line="240" w:lineRule="auto"/>
        <w:rPr>
          <w:rFonts w:cs="Times New Roman"/>
          <w:b/>
          <w:bCs/>
          <w:szCs w:val="24"/>
        </w:rPr>
      </w:pPr>
      <w:r w:rsidRPr="00951AB1">
        <w:rPr>
          <w:rFonts w:cs="Times New Roman"/>
          <w:b/>
          <w:bCs/>
          <w:szCs w:val="24"/>
        </w:rPr>
        <w:t>Unidad Funcional 9</w:t>
      </w:r>
    </w:p>
    <w:p w14:paraId="352BB113" w14:textId="77777777" w:rsidR="00A24EB9" w:rsidRPr="00951AB1" w:rsidRDefault="00A24EB9" w:rsidP="000A5389">
      <w:pPr>
        <w:autoSpaceDE w:val="0"/>
        <w:autoSpaceDN w:val="0"/>
        <w:adjustRightInd w:val="0"/>
        <w:spacing w:line="240" w:lineRule="auto"/>
        <w:rPr>
          <w:rFonts w:cs="Times New Roman"/>
          <w:b/>
          <w:bCs/>
          <w:szCs w:val="24"/>
        </w:rPr>
      </w:pPr>
    </w:p>
    <w:p w14:paraId="6834EA03" w14:textId="77777777" w:rsidR="00A24EB9" w:rsidRPr="00951AB1" w:rsidRDefault="00A24EB9" w:rsidP="000A5389">
      <w:pPr>
        <w:autoSpaceDE w:val="0"/>
        <w:autoSpaceDN w:val="0"/>
        <w:adjustRightInd w:val="0"/>
        <w:spacing w:line="240" w:lineRule="auto"/>
        <w:rPr>
          <w:rFonts w:cs="Times New Roman"/>
          <w:szCs w:val="24"/>
        </w:rPr>
      </w:pPr>
      <w:r w:rsidRPr="00951AB1">
        <w:rPr>
          <w:rFonts w:cs="Times New Roman"/>
          <w:szCs w:val="24"/>
        </w:rPr>
        <w:t>Costos administrativos de mayor permanencia en obra para la Unidad Funcional 9, derivando una mayor cantidad de obra, costos de estudios y diseños sobre el diseño alternativo y para la modificación de la licencia ambiental.</w:t>
      </w:r>
    </w:p>
    <w:p w14:paraId="51025333" w14:textId="77777777" w:rsidR="00A24EB9" w:rsidRPr="00951AB1" w:rsidRDefault="00A24EB9" w:rsidP="000A5389">
      <w:pPr>
        <w:autoSpaceDE w:val="0"/>
        <w:autoSpaceDN w:val="0"/>
        <w:adjustRightInd w:val="0"/>
        <w:spacing w:line="240" w:lineRule="auto"/>
        <w:rPr>
          <w:rFonts w:cs="Times New Roman"/>
          <w:szCs w:val="24"/>
        </w:rPr>
      </w:pPr>
    </w:p>
    <w:p w14:paraId="613EAAC2" w14:textId="77777777" w:rsidR="00A24EB9" w:rsidRPr="00951AB1" w:rsidRDefault="00A24EB9" w:rsidP="000A5389">
      <w:pPr>
        <w:autoSpaceDE w:val="0"/>
        <w:autoSpaceDN w:val="0"/>
        <w:adjustRightInd w:val="0"/>
        <w:spacing w:line="240" w:lineRule="auto"/>
        <w:rPr>
          <w:rFonts w:cs="Times New Roman"/>
          <w:szCs w:val="24"/>
        </w:rPr>
      </w:pPr>
      <w:r w:rsidRPr="00951AB1">
        <w:rPr>
          <w:rFonts w:cs="Times New Roman"/>
          <w:szCs w:val="24"/>
        </w:rPr>
        <w:t>Ajuste de precios del CAPEX y sobrecostos financieros.</w:t>
      </w:r>
    </w:p>
    <w:p w14:paraId="3C29CF82" w14:textId="77777777" w:rsidR="00A24EB9" w:rsidRPr="00951AB1" w:rsidRDefault="00A24EB9" w:rsidP="000A5389">
      <w:pPr>
        <w:autoSpaceDE w:val="0"/>
        <w:autoSpaceDN w:val="0"/>
        <w:adjustRightInd w:val="0"/>
        <w:spacing w:line="240" w:lineRule="auto"/>
        <w:rPr>
          <w:rFonts w:cs="Times New Roman"/>
          <w:szCs w:val="24"/>
        </w:rPr>
      </w:pPr>
    </w:p>
    <w:p w14:paraId="2B0A91CF" w14:textId="77777777" w:rsidR="00A24EB9" w:rsidRPr="00951AB1" w:rsidRDefault="00A24EB9" w:rsidP="000A5389">
      <w:pPr>
        <w:pStyle w:val="Prrafodelista"/>
        <w:spacing w:line="240" w:lineRule="auto"/>
        <w:ind w:left="0"/>
        <w:rPr>
          <w:rFonts w:cs="Times New Roman"/>
          <w:szCs w:val="24"/>
        </w:rPr>
      </w:pPr>
      <w:r w:rsidRPr="00951AB1">
        <w:rPr>
          <w:rFonts w:cs="Times New Roman"/>
          <w:szCs w:val="24"/>
        </w:rPr>
        <w:t xml:space="preserve">Un valor de $1.619.441.981, por concepto de intereses moratorios, por la deuda reconocida a nombre de la Concesionaria San Rafael S.A., del proyecto Girardot Ibagué Cajamarca, contrato de concesión No. 007 del 13 de agosto de 2007, por el Laudo Arbitral No. 116306 ejecutoriado el 26/04/2021, en el que ordenó a la ANI pagar al Concesionario San Rafael S.A. el valor de las obras de la Avenida Pedro Tafur indexado con IPC de abril de 2021. </w:t>
      </w:r>
    </w:p>
    <w:p w14:paraId="4F887509" w14:textId="77777777" w:rsidR="00A24EB9" w:rsidRPr="00951AB1" w:rsidRDefault="00A24EB9" w:rsidP="000A5389">
      <w:pPr>
        <w:pStyle w:val="Prrafodelista"/>
        <w:spacing w:line="240" w:lineRule="auto"/>
        <w:ind w:left="0"/>
        <w:rPr>
          <w:rFonts w:cs="Times New Roman"/>
          <w:szCs w:val="24"/>
        </w:rPr>
      </w:pPr>
    </w:p>
    <w:p w14:paraId="40FEB502" w14:textId="77777777" w:rsidR="00A24EB9" w:rsidRPr="00951AB1" w:rsidRDefault="00A24EB9" w:rsidP="000A5389">
      <w:pPr>
        <w:pStyle w:val="Prrafodelista"/>
        <w:spacing w:line="240" w:lineRule="auto"/>
        <w:ind w:left="0"/>
        <w:rPr>
          <w:rFonts w:cs="Times New Roman"/>
          <w:szCs w:val="24"/>
        </w:rPr>
      </w:pPr>
      <w:r w:rsidRPr="00951AB1">
        <w:rPr>
          <w:rFonts w:cs="Times New Roman"/>
          <w:szCs w:val="24"/>
        </w:rPr>
        <w:t>Un valor de $107.599.849, por concepto de intereses moratorios, por la deuda reconocida a nombre de Consorcio Integrado por Consultores del Desarrollo SA y Edgardo Navarro Vives, por concepto de los intereses no condonados derivados del reembolso de honorarios de árbitros y secretaria, y gastos administrativos del trámite arbitral No. 148966.</w:t>
      </w:r>
    </w:p>
    <w:p w14:paraId="0672E64C" w14:textId="77777777" w:rsidR="00A24EB9" w:rsidRPr="00951AB1" w:rsidRDefault="00A24EB9" w:rsidP="000A5389">
      <w:pPr>
        <w:pStyle w:val="Prrafodelista"/>
        <w:spacing w:line="240" w:lineRule="auto"/>
        <w:ind w:left="0"/>
        <w:rPr>
          <w:rFonts w:cs="Times New Roman"/>
          <w:szCs w:val="24"/>
        </w:rPr>
      </w:pPr>
    </w:p>
    <w:p w14:paraId="00F9998D" w14:textId="77777777" w:rsidR="00A24EB9" w:rsidRPr="00951AB1" w:rsidRDefault="00A24EB9" w:rsidP="000A5389">
      <w:pPr>
        <w:spacing w:line="240" w:lineRule="auto"/>
        <w:rPr>
          <w:rFonts w:cs="Times New Roman"/>
          <w:szCs w:val="24"/>
        </w:rPr>
      </w:pPr>
      <w:r w:rsidRPr="00951AB1">
        <w:rPr>
          <w:rFonts w:cs="Times New Roman"/>
          <w:szCs w:val="24"/>
        </w:rPr>
        <w:t>El artículo 27 de Ley 1563 de 20I2 (Ley de Arbitraje), indica que, se causarán intereses de </w:t>
      </w:r>
      <w:r w:rsidRPr="00951AB1">
        <w:rPr>
          <w:rFonts w:cs="Times New Roman"/>
          <w:b/>
          <w:bCs/>
          <w:szCs w:val="24"/>
        </w:rPr>
        <w:t>mora </w:t>
      </w:r>
      <w:r w:rsidRPr="00951AB1">
        <w:rPr>
          <w:rFonts w:cs="Times New Roman"/>
          <w:szCs w:val="24"/>
        </w:rPr>
        <w:t>desde el vencimiento del plazo para consignar y hasta el momento en que cancele la totalidad de las sumas debidas.  </w:t>
      </w:r>
    </w:p>
    <w:p w14:paraId="4FEF8464" w14:textId="7AEE69FE" w:rsidR="00A24EB9" w:rsidRPr="00951AB1" w:rsidRDefault="00A24EB9" w:rsidP="000A5389">
      <w:pPr>
        <w:pStyle w:val="Prrafodelista"/>
        <w:spacing w:line="240" w:lineRule="auto"/>
        <w:ind w:left="0"/>
        <w:rPr>
          <w:rFonts w:cs="Times New Roman"/>
          <w:i/>
          <w:iCs/>
          <w:szCs w:val="24"/>
        </w:rPr>
      </w:pPr>
      <w:r w:rsidRPr="00951AB1">
        <w:rPr>
          <w:rFonts w:cs="Times New Roman"/>
          <w:szCs w:val="24"/>
        </w:rPr>
        <w:t xml:space="preserve">Finalmente, se informa que las condiciones de la cuenta por pagar, tales como plazo, tasa de interés, vencimiento, incumplimientos del pago del principal o de los intereses, y los pagos realizados a las deudas reconocidas por los laudos arbitrales ejecutoriados, fueron informados en su totalidad en la NOTA 22. CUENTAS POR PAGAR, cuenta contable Créditos judiciales, subtitulo </w:t>
      </w:r>
      <w:r w:rsidRPr="00951AB1">
        <w:rPr>
          <w:rFonts w:cs="Times New Roman"/>
          <w:i/>
          <w:iCs/>
          <w:szCs w:val="24"/>
        </w:rPr>
        <w:t>“i) Laudos arbitrales ejecutoriados, que se compone de: capital adeudado, actualización de capital, condena en costas o agencias en derecho e intereses corrientes.”</w:t>
      </w:r>
    </w:p>
    <w:p w14:paraId="21CB7F81" w14:textId="6C23A9B1" w:rsidR="00D2214B" w:rsidRPr="00951AB1" w:rsidRDefault="00E22368" w:rsidP="000A5389">
      <w:pPr>
        <w:spacing w:line="240" w:lineRule="auto"/>
        <w:rPr>
          <w:rFonts w:cs="Times New Roman"/>
          <w:szCs w:val="24"/>
        </w:rPr>
      </w:pPr>
      <w:r w:rsidRPr="00951AB1">
        <w:rPr>
          <w:rFonts w:cs="Times New Roman"/>
          <w:szCs w:val="24"/>
        </w:rPr>
        <w:lastRenderedPageBreak/>
        <w:t xml:space="preserve">El resto de las Otras Cuentas por pagar con valores pendientes a 31 de diciembre de bienes o servicios recibidos a satisfacción corresponden: 1) prestación de servicios para el desarrollo de las actividades previstas en el programa de bienestar social; 2) </w:t>
      </w:r>
      <w:r w:rsidR="005E3863" w:rsidRPr="00951AB1">
        <w:rPr>
          <w:rFonts w:cs="Times New Roman"/>
          <w:szCs w:val="24"/>
        </w:rPr>
        <w:t>prestación del servicio de vigilancia y seguridad privada</w:t>
      </w:r>
      <w:r w:rsidR="002F6541" w:rsidRPr="00951AB1">
        <w:rPr>
          <w:rFonts w:cs="Times New Roman"/>
          <w:szCs w:val="24"/>
        </w:rPr>
        <w:t>; 3)</w:t>
      </w:r>
      <w:r w:rsidR="00450F82" w:rsidRPr="00951AB1">
        <w:rPr>
          <w:rFonts w:cs="Times New Roman"/>
        </w:rPr>
        <w:t xml:space="preserve"> </w:t>
      </w:r>
      <w:r w:rsidR="00C31D62" w:rsidRPr="00951AB1">
        <w:rPr>
          <w:rFonts w:cs="Times New Roman"/>
          <w:szCs w:val="24"/>
        </w:rPr>
        <w:t>fondo en administración destinados a otorgar subsidios</w:t>
      </w:r>
      <w:r w:rsidR="000911A8" w:rsidRPr="00951AB1">
        <w:rPr>
          <w:rFonts w:cs="Times New Roman"/>
          <w:szCs w:val="24"/>
        </w:rPr>
        <w:t xml:space="preserve"> educativos;</w:t>
      </w:r>
      <w:r w:rsidR="00C31D62" w:rsidRPr="00951AB1">
        <w:rPr>
          <w:rFonts w:cs="Times New Roman"/>
          <w:szCs w:val="24"/>
        </w:rPr>
        <w:t xml:space="preserve"> 4)</w:t>
      </w:r>
      <w:r w:rsidR="000911A8" w:rsidRPr="00951AB1">
        <w:rPr>
          <w:rFonts w:cs="Times New Roman"/>
          <w:szCs w:val="24"/>
        </w:rPr>
        <w:t xml:space="preserve"> </w:t>
      </w:r>
      <w:r w:rsidR="00450F82" w:rsidRPr="00951AB1">
        <w:rPr>
          <w:rFonts w:cs="Times New Roman"/>
          <w:szCs w:val="24"/>
        </w:rPr>
        <w:t>presta</w:t>
      </w:r>
      <w:r w:rsidR="00202885" w:rsidRPr="00951AB1">
        <w:rPr>
          <w:rFonts w:cs="Times New Roman"/>
          <w:szCs w:val="24"/>
        </w:rPr>
        <w:t>ción se servicios de</w:t>
      </w:r>
      <w:r w:rsidR="00450F82" w:rsidRPr="00951AB1">
        <w:rPr>
          <w:rFonts w:cs="Times New Roman"/>
          <w:szCs w:val="24"/>
        </w:rPr>
        <w:t xml:space="preserve"> mensajería</w:t>
      </w:r>
      <w:r w:rsidR="00202885" w:rsidRPr="00951AB1">
        <w:rPr>
          <w:rFonts w:cs="Times New Roman"/>
          <w:szCs w:val="24"/>
        </w:rPr>
        <w:t xml:space="preserve"> y correspondencia</w:t>
      </w:r>
      <w:r w:rsidR="00B153A1" w:rsidRPr="00951AB1">
        <w:rPr>
          <w:rFonts w:cs="Times New Roman"/>
          <w:szCs w:val="24"/>
        </w:rPr>
        <w:t>; 4) servicios de aseo y cafetería, entre otros</w:t>
      </w:r>
      <w:r w:rsidR="00202885" w:rsidRPr="00951AB1">
        <w:rPr>
          <w:rFonts w:cs="Times New Roman"/>
          <w:szCs w:val="24"/>
        </w:rPr>
        <w:t>.</w:t>
      </w:r>
    </w:p>
    <w:p w14:paraId="2C251D08" w14:textId="1308F045" w:rsidR="004522A5" w:rsidRPr="00951AB1" w:rsidRDefault="004522A5" w:rsidP="000A5389">
      <w:pPr>
        <w:spacing w:line="240" w:lineRule="auto"/>
        <w:rPr>
          <w:rFonts w:cs="Times New Roman"/>
          <w:szCs w:val="24"/>
        </w:rPr>
      </w:pPr>
    </w:p>
    <w:p w14:paraId="5A07C7FF" w14:textId="0D28EC99" w:rsidR="004522A5" w:rsidRPr="00951AB1" w:rsidRDefault="00983643" w:rsidP="000A5389">
      <w:pPr>
        <w:pStyle w:val="Ttulo3"/>
        <w:numPr>
          <w:ilvl w:val="2"/>
          <w:numId w:val="27"/>
        </w:numPr>
        <w:spacing w:line="240" w:lineRule="auto"/>
        <w:ind w:left="709" w:hanging="709"/>
        <w:rPr>
          <w:rFonts w:cs="Times New Roman"/>
          <w:color w:val="1F3864" w:themeColor="accent1" w:themeShade="80"/>
        </w:rPr>
      </w:pPr>
      <w:bookmarkStart w:id="539" w:name="_Toc222824140"/>
      <w:r w:rsidRPr="00951AB1">
        <w:rPr>
          <w:rFonts w:cs="Times New Roman"/>
          <w:color w:val="1F3864" w:themeColor="accent1" w:themeShade="80"/>
        </w:rPr>
        <w:t xml:space="preserve"> </w:t>
      </w:r>
      <w:r w:rsidRPr="00951AB1">
        <w:rPr>
          <w:rFonts w:cs="Times New Roman"/>
        </w:rPr>
        <w:tab/>
      </w:r>
      <w:bookmarkStart w:id="540" w:name="_Toc222955508"/>
      <w:r w:rsidR="004522A5" w:rsidRPr="00951AB1">
        <w:rPr>
          <w:rFonts w:cs="Times New Roman"/>
          <w:color w:val="1F3864" w:themeColor="accent1" w:themeShade="80"/>
        </w:rPr>
        <w:t>Recursos a favor de terceros</w:t>
      </w:r>
      <w:bookmarkEnd w:id="539"/>
      <w:bookmarkEnd w:id="540"/>
    </w:p>
    <w:p w14:paraId="77907459" w14:textId="77777777" w:rsidR="004522A5" w:rsidRPr="00951AB1" w:rsidRDefault="004522A5" w:rsidP="000A5389">
      <w:pPr>
        <w:spacing w:line="240" w:lineRule="auto"/>
        <w:rPr>
          <w:rFonts w:cs="Times New Roman"/>
        </w:rPr>
      </w:pPr>
    </w:p>
    <w:p w14:paraId="7BCC7E0D" w14:textId="77777777" w:rsidR="004522A5" w:rsidRPr="00951AB1" w:rsidRDefault="004522A5" w:rsidP="000A5389">
      <w:pPr>
        <w:spacing w:line="240" w:lineRule="auto"/>
        <w:rPr>
          <w:rFonts w:cs="Times New Roman"/>
          <w:szCs w:val="24"/>
        </w:rPr>
      </w:pPr>
      <w:r w:rsidRPr="00951AB1">
        <w:rPr>
          <w:rFonts w:cs="Times New Roman"/>
          <w:szCs w:val="24"/>
        </w:rPr>
        <w:t>Al cierre del período contable, se presenta el siguiente saldo:</w:t>
      </w:r>
    </w:p>
    <w:p w14:paraId="0E884970" w14:textId="77777777" w:rsidR="00FD5EEA" w:rsidRPr="00951AB1" w:rsidRDefault="00FD5EEA" w:rsidP="000A5389">
      <w:pPr>
        <w:spacing w:line="240" w:lineRule="auto"/>
        <w:rPr>
          <w:rFonts w:cs="Times New Roman"/>
          <w:szCs w:val="24"/>
        </w:rPr>
      </w:pPr>
    </w:p>
    <w:tbl>
      <w:tblPr>
        <w:tblW w:w="5000" w:type="pct"/>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CellMar>
          <w:left w:w="70" w:type="dxa"/>
          <w:right w:w="70" w:type="dxa"/>
        </w:tblCellMar>
        <w:tblLook w:val="04A0" w:firstRow="1" w:lastRow="0" w:firstColumn="1" w:lastColumn="0" w:noHBand="0" w:noVBand="1"/>
      </w:tblPr>
      <w:tblGrid>
        <w:gridCol w:w="2959"/>
        <w:gridCol w:w="460"/>
        <w:gridCol w:w="1003"/>
        <w:gridCol w:w="1060"/>
        <w:gridCol w:w="469"/>
        <w:gridCol w:w="569"/>
        <w:gridCol w:w="1465"/>
        <w:gridCol w:w="843"/>
      </w:tblGrid>
      <w:tr w:rsidR="00240AB6" w:rsidRPr="0039091F" w14:paraId="30253BC4" w14:textId="77777777" w:rsidTr="00BA12EC">
        <w:trPr>
          <w:trHeight w:val="539"/>
        </w:trPr>
        <w:tc>
          <w:tcPr>
            <w:tcW w:w="3122" w:type="pct"/>
            <w:gridSpan w:val="4"/>
            <w:vMerge w:val="restart"/>
            <w:vAlign w:val="center"/>
            <w:hideMark/>
          </w:tcPr>
          <w:p w14:paraId="3A3E17CE" w14:textId="77777777" w:rsidR="00FD5EEA" w:rsidRPr="0039091F" w:rsidRDefault="00FD5EEA" w:rsidP="000A5389">
            <w:pPr>
              <w:spacing w:line="240" w:lineRule="auto"/>
              <w:jc w:val="center"/>
              <w:rPr>
                <w:rFonts w:eastAsia="Times New Roman" w:cs="Times New Roman"/>
                <w:b/>
                <w:kern w:val="0"/>
                <w:sz w:val="16"/>
                <w:szCs w:val="16"/>
                <w:lang w:eastAsia="es-CO"/>
                <w14:ligatures w14:val="none"/>
              </w:rPr>
            </w:pPr>
            <w:r w:rsidRPr="0039091F">
              <w:rPr>
                <w:rFonts w:eastAsia="Times New Roman" w:cs="Times New Roman"/>
                <w:b/>
                <w:kern w:val="0"/>
                <w:sz w:val="16"/>
                <w:szCs w:val="16"/>
                <w:lang w:eastAsia="es-CO"/>
                <w14:ligatures w14:val="none"/>
              </w:rPr>
              <w:t>ASOCIACIÓN DE DATOS</w:t>
            </w:r>
          </w:p>
        </w:tc>
        <w:tc>
          <w:tcPr>
            <w:tcW w:w="1878" w:type="pct"/>
            <w:gridSpan w:val="4"/>
            <w:vAlign w:val="center"/>
            <w:hideMark/>
          </w:tcPr>
          <w:p w14:paraId="7B2406C9" w14:textId="77777777" w:rsidR="00FD5EEA" w:rsidRPr="0039091F" w:rsidRDefault="00FD5EEA" w:rsidP="000A5389">
            <w:pPr>
              <w:spacing w:line="240" w:lineRule="auto"/>
              <w:jc w:val="center"/>
              <w:rPr>
                <w:rFonts w:eastAsia="Times New Roman" w:cs="Times New Roman"/>
                <w:b/>
                <w:kern w:val="0"/>
                <w:sz w:val="16"/>
                <w:szCs w:val="16"/>
                <w:lang w:eastAsia="es-CO"/>
                <w14:ligatures w14:val="none"/>
              </w:rPr>
            </w:pPr>
            <w:r w:rsidRPr="0039091F">
              <w:rPr>
                <w:rFonts w:eastAsia="Times New Roman" w:cs="Times New Roman"/>
                <w:b/>
                <w:kern w:val="0"/>
                <w:sz w:val="16"/>
                <w:szCs w:val="16"/>
                <w:lang w:eastAsia="es-CO"/>
                <w14:ligatures w14:val="none"/>
              </w:rPr>
              <w:t>DETALLES DE LA TRANSACCIÓN</w:t>
            </w:r>
            <w:r w:rsidRPr="0039091F">
              <w:rPr>
                <w:rFonts w:eastAsia="Times New Roman" w:cs="Times New Roman"/>
                <w:b/>
                <w:kern w:val="0"/>
                <w:sz w:val="16"/>
                <w:szCs w:val="16"/>
                <w:lang w:eastAsia="es-CO"/>
                <w14:ligatures w14:val="none"/>
              </w:rPr>
              <w:br/>
              <w:t>(reporte agrupado por datos comunes de asociación)</w:t>
            </w:r>
          </w:p>
        </w:tc>
      </w:tr>
      <w:tr w:rsidR="00346E6B" w:rsidRPr="0039091F" w14:paraId="7287184F" w14:textId="77777777" w:rsidTr="0039091F">
        <w:trPr>
          <w:trHeight w:val="276"/>
        </w:trPr>
        <w:tc>
          <w:tcPr>
            <w:tcW w:w="3122" w:type="pct"/>
            <w:gridSpan w:val="4"/>
            <w:vMerge/>
            <w:vAlign w:val="center"/>
            <w:hideMark/>
          </w:tcPr>
          <w:p w14:paraId="1F7293AA" w14:textId="77777777" w:rsidR="00FD5EEA" w:rsidRPr="0039091F" w:rsidRDefault="00FD5EEA" w:rsidP="000A5389">
            <w:pPr>
              <w:spacing w:line="240" w:lineRule="auto"/>
              <w:rPr>
                <w:rFonts w:eastAsia="Times New Roman" w:cs="Times New Roman"/>
                <w:b/>
                <w:kern w:val="0"/>
                <w:sz w:val="16"/>
                <w:szCs w:val="16"/>
                <w:lang w:eastAsia="es-CO"/>
                <w14:ligatures w14:val="none"/>
              </w:rPr>
            </w:pPr>
          </w:p>
        </w:tc>
        <w:tc>
          <w:tcPr>
            <w:tcW w:w="809" w:type="pct"/>
            <w:gridSpan w:val="2"/>
            <w:vAlign w:val="center"/>
            <w:hideMark/>
          </w:tcPr>
          <w:p w14:paraId="0997A2D9" w14:textId="77777777" w:rsidR="00FD5EEA" w:rsidRPr="0039091F" w:rsidRDefault="00FD5EEA" w:rsidP="000A5389">
            <w:pPr>
              <w:spacing w:line="240" w:lineRule="auto"/>
              <w:jc w:val="center"/>
              <w:rPr>
                <w:rFonts w:eastAsia="Times New Roman" w:cs="Times New Roman"/>
                <w:b/>
                <w:kern w:val="0"/>
                <w:sz w:val="16"/>
                <w:szCs w:val="16"/>
                <w:lang w:eastAsia="es-CO"/>
                <w14:ligatures w14:val="none"/>
              </w:rPr>
            </w:pPr>
            <w:r w:rsidRPr="0039091F">
              <w:rPr>
                <w:rFonts w:eastAsia="Times New Roman" w:cs="Times New Roman"/>
                <w:b/>
                <w:kern w:val="0"/>
                <w:sz w:val="16"/>
                <w:szCs w:val="16"/>
                <w:lang w:eastAsia="es-CO"/>
                <w14:ligatures w14:val="none"/>
              </w:rPr>
              <w:t>PLAZO</w:t>
            </w:r>
            <w:r w:rsidRPr="0039091F">
              <w:rPr>
                <w:rFonts w:eastAsia="Times New Roman" w:cs="Times New Roman"/>
                <w:b/>
                <w:kern w:val="0"/>
                <w:sz w:val="16"/>
                <w:szCs w:val="16"/>
                <w:lang w:eastAsia="es-CO"/>
                <w14:ligatures w14:val="none"/>
              </w:rPr>
              <w:br/>
              <w:t>(rango en # meses)</w:t>
            </w:r>
          </w:p>
        </w:tc>
        <w:tc>
          <w:tcPr>
            <w:tcW w:w="589" w:type="pct"/>
            <w:vMerge w:val="restart"/>
            <w:vAlign w:val="center"/>
            <w:hideMark/>
          </w:tcPr>
          <w:p w14:paraId="194F1A41" w14:textId="77777777" w:rsidR="00FD5EEA" w:rsidRPr="0039091F" w:rsidRDefault="00FD5EEA" w:rsidP="000A5389">
            <w:pPr>
              <w:spacing w:line="240" w:lineRule="auto"/>
              <w:jc w:val="center"/>
              <w:rPr>
                <w:rFonts w:eastAsia="Times New Roman" w:cs="Times New Roman"/>
                <w:b/>
                <w:kern w:val="0"/>
                <w:sz w:val="16"/>
                <w:szCs w:val="16"/>
                <w:lang w:eastAsia="es-CO"/>
                <w14:ligatures w14:val="none"/>
              </w:rPr>
            </w:pPr>
            <w:r w:rsidRPr="0039091F">
              <w:rPr>
                <w:rFonts w:eastAsia="Times New Roman" w:cs="Times New Roman"/>
                <w:b/>
                <w:kern w:val="0"/>
                <w:sz w:val="16"/>
                <w:szCs w:val="16"/>
                <w:lang w:eastAsia="es-CO"/>
                <w14:ligatures w14:val="none"/>
              </w:rPr>
              <w:t>RESTRICCIONES</w:t>
            </w:r>
          </w:p>
        </w:tc>
        <w:tc>
          <w:tcPr>
            <w:tcW w:w="480" w:type="pct"/>
            <w:vMerge w:val="restart"/>
            <w:vAlign w:val="center"/>
            <w:hideMark/>
          </w:tcPr>
          <w:p w14:paraId="0AAEE4AB" w14:textId="77777777" w:rsidR="00FD5EEA" w:rsidRPr="0039091F" w:rsidRDefault="00FD5EEA" w:rsidP="000A5389">
            <w:pPr>
              <w:spacing w:line="240" w:lineRule="auto"/>
              <w:jc w:val="center"/>
              <w:rPr>
                <w:rFonts w:eastAsia="Times New Roman" w:cs="Times New Roman"/>
                <w:b/>
                <w:kern w:val="0"/>
                <w:sz w:val="16"/>
                <w:szCs w:val="16"/>
                <w:lang w:eastAsia="es-CO"/>
                <w14:ligatures w14:val="none"/>
              </w:rPr>
            </w:pPr>
            <w:r w:rsidRPr="0039091F">
              <w:rPr>
                <w:rFonts w:eastAsia="Times New Roman" w:cs="Times New Roman"/>
                <w:b/>
                <w:kern w:val="0"/>
                <w:sz w:val="16"/>
                <w:szCs w:val="16"/>
                <w:lang w:eastAsia="es-CO"/>
                <w14:ligatures w14:val="none"/>
              </w:rPr>
              <w:t>TASA DE INTERES</w:t>
            </w:r>
            <w:r w:rsidRPr="0039091F">
              <w:rPr>
                <w:rFonts w:eastAsia="Times New Roman" w:cs="Times New Roman"/>
                <w:b/>
                <w:kern w:val="0"/>
                <w:sz w:val="16"/>
                <w:szCs w:val="16"/>
                <w:lang w:eastAsia="es-CO"/>
                <w14:ligatures w14:val="none"/>
              </w:rPr>
              <w:br/>
              <w:t>(%)</w:t>
            </w:r>
          </w:p>
        </w:tc>
      </w:tr>
      <w:tr w:rsidR="00346E6B" w:rsidRPr="0039091F" w14:paraId="53EAEB3F" w14:textId="77777777" w:rsidTr="0039091F">
        <w:trPr>
          <w:trHeight w:val="402"/>
        </w:trPr>
        <w:tc>
          <w:tcPr>
            <w:tcW w:w="1686" w:type="pct"/>
            <w:vAlign w:val="center"/>
            <w:hideMark/>
          </w:tcPr>
          <w:p w14:paraId="43BC84A3" w14:textId="77777777" w:rsidR="00FD5EEA" w:rsidRPr="0039091F" w:rsidRDefault="00FD5EEA" w:rsidP="000A5389">
            <w:pPr>
              <w:spacing w:line="240" w:lineRule="auto"/>
              <w:jc w:val="center"/>
              <w:rPr>
                <w:rFonts w:eastAsia="Times New Roman" w:cs="Times New Roman"/>
                <w:b/>
                <w:kern w:val="0"/>
                <w:sz w:val="16"/>
                <w:szCs w:val="16"/>
                <w:lang w:eastAsia="es-CO"/>
                <w14:ligatures w14:val="none"/>
              </w:rPr>
            </w:pPr>
            <w:r w:rsidRPr="0039091F">
              <w:rPr>
                <w:rFonts w:eastAsia="Times New Roman" w:cs="Times New Roman"/>
                <w:b/>
                <w:kern w:val="0"/>
                <w:sz w:val="16"/>
                <w:szCs w:val="16"/>
                <w:lang w:eastAsia="es-CO"/>
                <w14:ligatures w14:val="none"/>
              </w:rPr>
              <w:t>TIPO DE TERCEROS</w:t>
            </w:r>
          </w:p>
        </w:tc>
        <w:tc>
          <w:tcPr>
            <w:tcW w:w="262" w:type="pct"/>
            <w:vAlign w:val="center"/>
            <w:hideMark/>
          </w:tcPr>
          <w:p w14:paraId="32393775" w14:textId="77777777" w:rsidR="00FD5EEA" w:rsidRPr="0039091F" w:rsidRDefault="00FD5EEA" w:rsidP="000A5389">
            <w:pPr>
              <w:spacing w:line="240" w:lineRule="auto"/>
              <w:jc w:val="center"/>
              <w:rPr>
                <w:rFonts w:eastAsia="Times New Roman" w:cs="Times New Roman"/>
                <w:b/>
                <w:kern w:val="0"/>
                <w:sz w:val="16"/>
                <w:szCs w:val="16"/>
                <w:lang w:eastAsia="es-CO"/>
                <w14:ligatures w14:val="none"/>
              </w:rPr>
            </w:pPr>
            <w:r w:rsidRPr="0039091F">
              <w:rPr>
                <w:rFonts w:eastAsia="Times New Roman" w:cs="Times New Roman"/>
                <w:b/>
                <w:kern w:val="0"/>
                <w:sz w:val="16"/>
                <w:szCs w:val="16"/>
                <w:lang w:eastAsia="es-CO"/>
                <w14:ligatures w14:val="none"/>
              </w:rPr>
              <w:t>PN / PJ / ECP</w:t>
            </w:r>
          </w:p>
        </w:tc>
        <w:tc>
          <w:tcPr>
            <w:tcW w:w="571" w:type="pct"/>
            <w:vAlign w:val="center"/>
            <w:hideMark/>
          </w:tcPr>
          <w:p w14:paraId="58115FF7" w14:textId="77777777" w:rsidR="00FD5EEA" w:rsidRPr="0039091F" w:rsidRDefault="00FD5EEA" w:rsidP="000A5389">
            <w:pPr>
              <w:spacing w:line="240" w:lineRule="auto"/>
              <w:jc w:val="center"/>
              <w:rPr>
                <w:rFonts w:eastAsia="Times New Roman" w:cs="Times New Roman"/>
                <w:b/>
                <w:kern w:val="0"/>
                <w:sz w:val="16"/>
                <w:szCs w:val="16"/>
                <w:lang w:eastAsia="es-CO"/>
                <w14:ligatures w14:val="none"/>
              </w:rPr>
            </w:pPr>
            <w:r w:rsidRPr="0039091F">
              <w:rPr>
                <w:rFonts w:eastAsia="Times New Roman" w:cs="Times New Roman"/>
                <w:b/>
                <w:kern w:val="0"/>
                <w:sz w:val="16"/>
                <w:szCs w:val="16"/>
                <w:lang w:eastAsia="es-CO"/>
                <w14:ligatures w14:val="none"/>
              </w:rPr>
              <w:t>CANTIDAD</w:t>
            </w:r>
          </w:p>
        </w:tc>
        <w:tc>
          <w:tcPr>
            <w:tcW w:w="604" w:type="pct"/>
            <w:vAlign w:val="center"/>
            <w:hideMark/>
          </w:tcPr>
          <w:p w14:paraId="2D9B661E" w14:textId="77777777" w:rsidR="00FD5EEA" w:rsidRPr="0039091F" w:rsidRDefault="00FD5EEA" w:rsidP="000A5389">
            <w:pPr>
              <w:spacing w:line="240" w:lineRule="auto"/>
              <w:jc w:val="center"/>
              <w:rPr>
                <w:rFonts w:eastAsia="Times New Roman" w:cs="Times New Roman"/>
                <w:b/>
                <w:kern w:val="0"/>
                <w:sz w:val="16"/>
                <w:szCs w:val="16"/>
                <w:lang w:eastAsia="es-CO"/>
                <w14:ligatures w14:val="none"/>
              </w:rPr>
            </w:pPr>
            <w:r w:rsidRPr="0039091F">
              <w:rPr>
                <w:rFonts w:eastAsia="Times New Roman" w:cs="Times New Roman"/>
                <w:b/>
                <w:kern w:val="0"/>
                <w:sz w:val="16"/>
                <w:szCs w:val="16"/>
                <w:lang w:eastAsia="es-CO"/>
                <w14:ligatures w14:val="none"/>
              </w:rPr>
              <w:t>VALOR EN LIBROS</w:t>
            </w:r>
          </w:p>
        </w:tc>
        <w:tc>
          <w:tcPr>
            <w:tcW w:w="267" w:type="pct"/>
            <w:vAlign w:val="center"/>
            <w:hideMark/>
          </w:tcPr>
          <w:p w14:paraId="3DA94924" w14:textId="50115B0E" w:rsidR="00FD5EEA" w:rsidRPr="0039091F" w:rsidRDefault="00FD5EEA" w:rsidP="000A5389">
            <w:pPr>
              <w:spacing w:line="240" w:lineRule="auto"/>
              <w:jc w:val="center"/>
              <w:rPr>
                <w:rFonts w:eastAsia="Times New Roman" w:cs="Times New Roman"/>
                <w:b/>
                <w:kern w:val="0"/>
                <w:sz w:val="16"/>
                <w:szCs w:val="16"/>
                <w:lang w:eastAsia="es-CO"/>
                <w14:ligatures w14:val="none"/>
              </w:rPr>
            </w:pPr>
            <w:r w:rsidRPr="0039091F">
              <w:rPr>
                <w:rFonts w:eastAsia="Times New Roman" w:cs="Times New Roman"/>
                <w:b/>
                <w:kern w:val="0"/>
                <w:sz w:val="16"/>
                <w:szCs w:val="16"/>
                <w:lang w:eastAsia="es-CO"/>
                <w14:ligatures w14:val="none"/>
              </w:rPr>
              <w:t>MÍN</w:t>
            </w:r>
          </w:p>
        </w:tc>
        <w:tc>
          <w:tcPr>
            <w:tcW w:w="543" w:type="pct"/>
            <w:vAlign w:val="center"/>
            <w:hideMark/>
          </w:tcPr>
          <w:p w14:paraId="2267C56B" w14:textId="6CADF1A5" w:rsidR="00FD5EEA" w:rsidRPr="0039091F" w:rsidRDefault="00FD5EEA" w:rsidP="000A5389">
            <w:pPr>
              <w:spacing w:line="240" w:lineRule="auto"/>
              <w:jc w:val="center"/>
              <w:rPr>
                <w:rFonts w:eastAsia="Times New Roman" w:cs="Times New Roman"/>
                <w:b/>
                <w:kern w:val="0"/>
                <w:sz w:val="16"/>
                <w:szCs w:val="16"/>
                <w:lang w:eastAsia="es-CO"/>
                <w14:ligatures w14:val="none"/>
              </w:rPr>
            </w:pPr>
            <w:r w:rsidRPr="0039091F">
              <w:rPr>
                <w:rFonts w:eastAsia="Times New Roman" w:cs="Times New Roman"/>
                <w:b/>
                <w:kern w:val="0"/>
                <w:sz w:val="16"/>
                <w:szCs w:val="16"/>
                <w:lang w:eastAsia="es-CO"/>
                <w14:ligatures w14:val="none"/>
              </w:rPr>
              <w:t>MÁX</w:t>
            </w:r>
          </w:p>
        </w:tc>
        <w:tc>
          <w:tcPr>
            <w:tcW w:w="589" w:type="pct"/>
            <w:vMerge/>
            <w:vAlign w:val="center"/>
            <w:hideMark/>
          </w:tcPr>
          <w:p w14:paraId="020D5D76" w14:textId="77777777" w:rsidR="00FD5EEA" w:rsidRPr="0039091F" w:rsidRDefault="00FD5EEA" w:rsidP="000A5389">
            <w:pPr>
              <w:spacing w:line="240" w:lineRule="auto"/>
              <w:rPr>
                <w:rFonts w:eastAsia="Times New Roman" w:cs="Times New Roman"/>
                <w:b/>
                <w:kern w:val="0"/>
                <w:sz w:val="16"/>
                <w:szCs w:val="16"/>
                <w:lang w:eastAsia="es-CO"/>
                <w14:ligatures w14:val="none"/>
              </w:rPr>
            </w:pPr>
          </w:p>
        </w:tc>
        <w:tc>
          <w:tcPr>
            <w:tcW w:w="480" w:type="pct"/>
            <w:vMerge/>
            <w:vAlign w:val="center"/>
            <w:hideMark/>
          </w:tcPr>
          <w:p w14:paraId="55C72533" w14:textId="77777777" w:rsidR="00FD5EEA" w:rsidRPr="0039091F" w:rsidRDefault="00FD5EEA" w:rsidP="000A5389">
            <w:pPr>
              <w:spacing w:line="240" w:lineRule="auto"/>
              <w:rPr>
                <w:rFonts w:eastAsia="Times New Roman" w:cs="Times New Roman"/>
                <w:b/>
                <w:kern w:val="0"/>
                <w:sz w:val="16"/>
                <w:szCs w:val="16"/>
                <w:lang w:eastAsia="es-CO"/>
                <w14:ligatures w14:val="none"/>
              </w:rPr>
            </w:pPr>
          </w:p>
        </w:tc>
      </w:tr>
      <w:tr w:rsidR="00346E6B" w:rsidRPr="0039091F" w14:paraId="186F1877" w14:textId="77777777" w:rsidTr="0039091F">
        <w:trPr>
          <w:trHeight w:val="201"/>
        </w:trPr>
        <w:tc>
          <w:tcPr>
            <w:tcW w:w="1686" w:type="pct"/>
            <w:noWrap/>
            <w:vAlign w:val="center"/>
            <w:hideMark/>
          </w:tcPr>
          <w:p w14:paraId="764FB8EF" w14:textId="77777777" w:rsidR="00FD5EEA" w:rsidRPr="0039091F" w:rsidRDefault="00FD5EEA" w:rsidP="000A5389">
            <w:pPr>
              <w:spacing w:line="240" w:lineRule="auto"/>
              <w:rPr>
                <w:rFonts w:eastAsia="Times New Roman" w:cs="Times New Roman"/>
                <w:b/>
                <w:kern w:val="0"/>
                <w:sz w:val="16"/>
                <w:szCs w:val="16"/>
                <w:lang w:eastAsia="es-CO"/>
                <w14:ligatures w14:val="none"/>
              </w:rPr>
            </w:pPr>
            <w:r w:rsidRPr="0039091F">
              <w:rPr>
                <w:rFonts w:eastAsia="Times New Roman" w:cs="Times New Roman"/>
                <w:b/>
                <w:kern w:val="0"/>
                <w:sz w:val="16"/>
                <w:szCs w:val="16"/>
                <w:lang w:eastAsia="es-CO"/>
                <w14:ligatures w14:val="none"/>
              </w:rPr>
              <w:t>RECURSOS A FAVOR DE TERCEROS</w:t>
            </w:r>
          </w:p>
        </w:tc>
        <w:tc>
          <w:tcPr>
            <w:tcW w:w="262" w:type="pct"/>
            <w:noWrap/>
            <w:vAlign w:val="center"/>
            <w:hideMark/>
          </w:tcPr>
          <w:p w14:paraId="6B769BFD" w14:textId="77777777" w:rsidR="00FD5EEA" w:rsidRPr="0039091F" w:rsidRDefault="00FD5EEA" w:rsidP="000A5389">
            <w:pPr>
              <w:spacing w:line="240" w:lineRule="auto"/>
              <w:rPr>
                <w:rFonts w:eastAsia="Times New Roman" w:cs="Times New Roman"/>
                <w:b/>
                <w:kern w:val="0"/>
                <w:sz w:val="16"/>
                <w:szCs w:val="16"/>
                <w:lang w:eastAsia="es-CO"/>
                <w14:ligatures w14:val="none"/>
              </w:rPr>
            </w:pPr>
            <w:r w:rsidRPr="0039091F">
              <w:rPr>
                <w:rFonts w:eastAsia="Times New Roman" w:cs="Times New Roman"/>
                <w:b/>
                <w:kern w:val="0"/>
                <w:sz w:val="16"/>
                <w:szCs w:val="16"/>
                <w:lang w:eastAsia="es-CO"/>
                <w14:ligatures w14:val="none"/>
              </w:rPr>
              <w:t> </w:t>
            </w:r>
          </w:p>
        </w:tc>
        <w:tc>
          <w:tcPr>
            <w:tcW w:w="571" w:type="pct"/>
            <w:noWrap/>
            <w:vAlign w:val="center"/>
            <w:hideMark/>
          </w:tcPr>
          <w:p w14:paraId="404B19CB" w14:textId="77777777" w:rsidR="00FD5EEA" w:rsidRPr="0039091F" w:rsidRDefault="00FD5EEA" w:rsidP="000A5389">
            <w:pPr>
              <w:spacing w:line="240" w:lineRule="auto"/>
              <w:jc w:val="center"/>
              <w:rPr>
                <w:rFonts w:eastAsia="Times New Roman" w:cs="Times New Roman"/>
                <w:b/>
                <w:kern w:val="0"/>
                <w:sz w:val="16"/>
                <w:szCs w:val="16"/>
                <w:lang w:eastAsia="es-CO"/>
                <w14:ligatures w14:val="none"/>
              </w:rPr>
            </w:pPr>
            <w:r w:rsidRPr="0039091F">
              <w:rPr>
                <w:rFonts w:eastAsia="Times New Roman" w:cs="Times New Roman"/>
                <w:b/>
                <w:kern w:val="0"/>
                <w:sz w:val="16"/>
                <w:szCs w:val="16"/>
                <w:lang w:eastAsia="es-CO"/>
                <w14:ligatures w14:val="none"/>
              </w:rPr>
              <w:t> </w:t>
            </w:r>
          </w:p>
        </w:tc>
        <w:tc>
          <w:tcPr>
            <w:tcW w:w="604" w:type="pct"/>
            <w:noWrap/>
            <w:vAlign w:val="center"/>
            <w:hideMark/>
          </w:tcPr>
          <w:p w14:paraId="1C295558" w14:textId="77777777" w:rsidR="00FD5EEA" w:rsidRPr="0039091F" w:rsidRDefault="00FD5EEA" w:rsidP="000A5389">
            <w:pPr>
              <w:spacing w:line="240" w:lineRule="auto"/>
              <w:jc w:val="right"/>
              <w:rPr>
                <w:rFonts w:eastAsia="Times New Roman" w:cs="Times New Roman"/>
                <w:b/>
                <w:kern w:val="0"/>
                <w:sz w:val="16"/>
                <w:szCs w:val="16"/>
                <w:lang w:eastAsia="es-CO"/>
                <w14:ligatures w14:val="none"/>
              </w:rPr>
            </w:pPr>
            <w:r w:rsidRPr="0039091F">
              <w:rPr>
                <w:rFonts w:eastAsia="Times New Roman" w:cs="Times New Roman"/>
                <w:b/>
                <w:kern w:val="0"/>
                <w:sz w:val="16"/>
                <w:szCs w:val="16"/>
                <w:lang w:eastAsia="es-CO"/>
                <w14:ligatures w14:val="none"/>
              </w:rPr>
              <w:t xml:space="preserve">6.987.097.457 </w:t>
            </w:r>
          </w:p>
        </w:tc>
        <w:tc>
          <w:tcPr>
            <w:tcW w:w="267" w:type="pct"/>
            <w:noWrap/>
            <w:vAlign w:val="center"/>
            <w:hideMark/>
          </w:tcPr>
          <w:p w14:paraId="78BBC737" w14:textId="77777777" w:rsidR="00FD5EEA" w:rsidRPr="0039091F" w:rsidRDefault="00FD5EEA" w:rsidP="000A5389">
            <w:pPr>
              <w:spacing w:line="240" w:lineRule="auto"/>
              <w:rPr>
                <w:rFonts w:eastAsia="Times New Roman" w:cs="Times New Roman"/>
                <w:b/>
                <w:kern w:val="0"/>
                <w:sz w:val="16"/>
                <w:szCs w:val="16"/>
                <w:lang w:eastAsia="es-CO"/>
                <w14:ligatures w14:val="none"/>
              </w:rPr>
            </w:pPr>
            <w:r w:rsidRPr="0039091F">
              <w:rPr>
                <w:rFonts w:eastAsia="Times New Roman" w:cs="Times New Roman"/>
                <w:b/>
                <w:kern w:val="0"/>
                <w:sz w:val="16"/>
                <w:szCs w:val="16"/>
                <w:lang w:eastAsia="es-CO"/>
                <w14:ligatures w14:val="none"/>
              </w:rPr>
              <w:t> </w:t>
            </w:r>
          </w:p>
        </w:tc>
        <w:tc>
          <w:tcPr>
            <w:tcW w:w="543" w:type="pct"/>
            <w:noWrap/>
            <w:vAlign w:val="center"/>
            <w:hideMark/>
          </w:tcPr>
          <w:p w14:paraId="56D6764D" w14:textId="77777777" w:rsidR="00FD5EEA" w:rsidRPr="0039091F" w:rsidRDefault="00FD5EEA" w:rsidP="000A5389">
            <w:pPr>
              <w:spacing w:line="240" w:lineRule="auto"/>
              <w:jc w:val="center"/>
              <w:rPr>
                <w:rFonts w:eastAsia="Times New Roman" w:cs="Times New Roman"/>
                <w:b/>
                <w:kern w:val="0"/>
                <w:sz w:val="16"/>
                <w:szCs w:val="16"/>
                <w:lang w:eastAsia="es-CO"/>
                <w14:ligatures w14:val="none"/>
              </w:rPr>
            </w:pPr>
            <w:r w:rsidRPr="0039091F">
              <w:rPr>
                <w:rFonts w:eastAsia="Times New Roman" w:cs="Times New Roman"/>
                <w:b/>
                <w:kern w:val="0"/>
                <w:sz w:val="16"/>
                <w:szCs w:val="16"/>
                <w:lang w:eastAsia="es-CO"/>
                <w14:ligatures w14:val="none"/>
              </w:rPr>
              <w:t> </w:t>
            </w:r>
          </w:p>
        </w:tc>
        <w:tc>
          <w:tcPr>
            <w:tcW w:w="589" w:type="pct"/>
            <w:noWrap/>
            <w:vAlign w:val="center"/>
            <w:hideMark/>
          </w:tcPr>
          <w:p w14:paraId="7C854268" w14:textId="77777777" w:rsidR="00FD5EEA" w:rsidRPr="0039091F" w:rsidRDefault="00FD5EEA" w:rsidP="000A5389">
            <w:pPr>
              <w:spacing w:line="240" w:lineRule="auto"/>
              <w:rPr>
                <w:rFonts w:eastAsia="Times New Roman" w:cs="Times New Roman"/>
                <w:b/>
                <w:kern w:val="0"/>
                <w:sz w:val="16"/>
                <w:szCs w:val="16"/>
                <w:lang w:eastAsia="es-CO"/>
                <w14:ligatures w14:val="none"/>
              </w:rPr>
            </w:pPr>
            <w:r w:rsidRPr="0039091F">
              <w:rPr>
                <w:rFonts w:eastAsia="Times New Roman" w:cs="Times New Roman"/>
                <w:b/>
                <w:kern w:val="0"/>
                <w:sz w:val="16"/>
                <w:szCs w:val="16"/>
                <w:lang w:eastAsia="es-CO"/>
                <w14:ligatures w14:val="none"/>
              </w:rPr>
              <w:t> </w:t>
            </w:r>
          </w:p>
        </w:tc>
        <w:tc>
          <w:tcPr>
            <w:tcW w:w="480" w:type="pct"/>
            <w:noWrap/>
            <w:vAlign w:val="center"/>
            <w:hideMark/>
          </w:tcPr>
          <w:p w14:paraId="1F519934" w14:textId="77777777" w:rsidR="00FD5EEA" w:rsidRPr="0039091F" w:rsidRDefault="00FD5EEA" w:rsidP="000A5389">
            <w:pPr>
              <w:spacing w:line="240" w:lineRule="auto"/>
              <w:jc w:val="center"/>
              <w:rPr>
                <w:rFonts w:eastAsia="Times New Roman" w:cs="Times New Roman"/>
                <w:b/>
                <w:kern w:val="0"/>
                <w:sz w:val="16"/>
                <w:szCs w:val="16"/>
                <w:lang w:eastAsia="es-CO"/>
                <w14:ligatures w14:val="none"/>
              </w:rPr>
            </w:pPr>
            <w:r w:rsidRPr="0039091F">
              <w:rPr>
                <w:rFonts w:eastAsia="Times New Roman" w:cs="Times New Roman"/>
                <w:b/>
                <w:kern w:val="0"/>
                <w:sz w:val="16"/>
                <w:szCs w:val="16"/>
                <w:lang w:eastAsia="es-CO"/>
                <w14:ligatures w14:val="none"/>
              </w:rPr>
              <w:t xml:space="preserve">0,0 </w:t>
            </w:r>
          </w:p>
        </w:tc>
      </w:tr>
      <w:tr w:rsidR="00346E6B" w:rsidRPr="0039091F" w14:paraId="5E2DBA00" w14:textId="77777777" w:rsidTr="0039091F">
        <w:trPr>
          <w:trHeight w:val="201"/>
        </w:trPr>
        <w:tc>
          <w:tcPr>
            <w:tcW w:w="1686" w:type="pct"/>
            <w:noWrap/>
            <w:vAlign w:val="center"/>
            <w:hideMark/>
          </w:tcPr>
          <w:p w14:paraId="790A4606" w14:textId="77777777" w:rsidR="00FD5EEA" w:rsidRPr="0039091F" w:rsidRDefault="00FD5EEA" w:rsidP="000A5389">
            <w:pPr>
              <w:spacing w:line="240" w:lineRule="auto"/>
              <w:rPr>
                <w:rFonts w:eastAsia="Times New Roman" w:cs="Times New Roman"/>
                <w:b/>
                <w:kern w:val="0"/>
                <w:sz w:val="16"/>
                <w:szCs w:val="16"/>
                <w:lang w:eastAsia="es-CO"/>
                <w14:ligatures w14:val="none"/>
              </w:rPr>
            </w:pPr>
            <w:r w:rsidRPr="0039091F">
              <w:rPr>
                <w:rFonts w:eastAsia="Times New Roman" w:cs="Times New Roman"/>
                <w:b/>
                <w:kern w:val="0"/>
                <w:sz w:val="16"/>
                <w:szCs w:val="16"/>
                <w:lang w:eastAsia="es-CO"/>
                <w14:ligatures w14:val="none"/>
              </w:rPr>
              <w:t>Otros recursos a favor de terceros</w:t>
            </w:r>
          </w:p>
        </w:tc>
        <w:tc>
          <w:tcPr>
            <w:tcW w:w="262" w:type="pct"/>
            <w:noWrap/>
            <w:vAlign w:val="center"/>
            <w:hideMark/>
          </w:tcPr>
          <w:p w14:paraId="1A2D483F" w14:textId="77777777" w:rsidR="00FD5EEA" w:rsidRPr="0039091F" w:rsidRDefault="00FD5EEA" w:rsidP="000A5389">
            <w:pPr>
              <w:spacing w:line="240" w:lineRule="auto"/>
              <w:rPr>
                <w:rFonts w:eastAsia="Times New Roman" w:cs="Times New Roman"/>
                <w:b/>
                <w:kern w:val="0"/>
                <w:sz w:val="16"/>
                <w:szCs w:val="16"/>
                <w:lang w:eastAsia="es-CO"/>
                <w14:ligatures w14:val="none"/>
              </w:rPr>
            </w:pPr>
            <w:r w:rsidRPr="0039091F">
              <w:rPr>
                <w:rFonts w:eastAsia="Times New Roman" w:cs="Times New Roman"/>
                <w:b/>
                <w:kern w:val="0"/>
                <w:sz w:val="16"/>
                <w:szCs w:val="16"/>
                <w:lang w:eastAsia="es-CO"/>
                <w14:ligatures w14:val="none"/>
              </w:rPr>
              <w:t> </w:t>
            </w:r>
          </w:p>
        </w:tc>
        <w:tc>
          <w:tcPr>
            <w:tcW w:w="571" w:type="pct"/>
            <w:noWrap/>
            <w:vAlign w:val="center"/>
            <w:hideMark/>
          </w:tcPr>
          <w:p w14:paraId="56395A4C" w14:textId="77777777" w:rsidR="00FD5EEA" w:rsidRPr="0039091F" w:rsidRDefault="00FD5EEA" w:rsidP="000A5389">
            <w:pPr>
              <w:spacing w:line="240" w:lineRule="auto"/>
              <w:jc w:val="center"/>
              <w:rPr>
                <w:rFonts w:eastAsia="Times New Roman" w:cs="Times New Roman"/>
                <w:b/>
                <w:kern w:val="0"/>
                <w:sz w:val="16"/>
                <w:szCs w:val="16"/>
                <w:lang w:eastAsia="es-CO"/>
                <w14:ligatures w14:val="none"/>
              </w:rPr>
            </w:pPr>
            <w:r w:rsidRPr="0039091F">
              <w:rPr>
                <w:rFonts w:eastAsia="Times New Roman" w:cs="Times New Roman"/>
                <w:b/>
                <w:kern w:val="0"/>
                <w:sz w:val="16"/>
                <w:szCs w:val="16"/>
                <w:lang w:eastAsia="es-CO"/>
                <w14:ligatures w14:val="none"/>
              </w:rPr>
              <w:t> </w:t>
            </w:r>
          </w:p>
        </w:tc>
        <w:tc>
          <w:tcPr>
            <w:tcW w:w="604" w:type="pct"/>
            <w:noWrap/>
            <w:vAlign w:val="center"/>
            <w:hideMark/>
          </w:tcPr>
          <w:p w14:paraId="714A0566" w14:textId="77777777" w:rsidR="00FD5EEA" w:rsidRPr="0039091F" w:rsidRDefault="00FD5EEA" w:rsidP="000A5389">
            <w:pPr>
              <w:spacing w:line="240" w:lineRule="auto"/>
              <w:jc w:val="right"/>
              <w:rPr>
                <w:rFonts w:eastAsia="Times New Roman" w:cs="Times New Roman"/>
                <w:b/>
                <w:kern w:val="0"/>
                <w:sz w:val="16"/>
                <w:szCs w:val="16"/>
                <w:lang w:eastAsia="es-CO"/>
                <w14:ligatures w14:val="none"/>
              </w:rPr>
            </w:pPr>
            <w:r w:rsidRPr="0039091F">
              <w:rPr>
                <w:rFonts w:eastAsia="Times New Roman" w:cs="Times New Roman"/>
                <w:b/>
                <w:kern w:val="0"/>
                <w:sz w:val="16"/>
                <w:szCs w:val="16"/>
                <w:lang w:eastAsia="es-CO"/>
                <w14:ligatures w14:val="none"/>
              </w:rPr>
              <w:t xml:space="preserve">4.290.006.526 </w:t>
            </w:r>
          </w:p>
        </w:tc>
        <w:tc>
          <w:tcPr>
            <w:tcW w:w="267" w:type="pct"/>
            <w:noWrap/>
            <w:vAlign w:val="center"/>
            <w:hideMark/>
          </w:tcPr>
          <w:p w14:paraId="3FBE1A8F" w14:textId="77777777" w:rsidR="00FD5EEA" w:rsidRPr="0039091F" w:rsidRDefault="00FD5EEA" w:rsidP="000A5389">
            <w:pPr>
              <w:spacing w:line="240" w:lineRule="auto"/>
              <w:rPr>
                <w:rFonts w:eastAsia="Times New Roman" w:cs="Times New Roman"/>
                <w:b/>
                <w:kern w:val="0"/>
                <w:sz w:val="16"/>
                <w:szCs w:val="16"/>
                <w:lang w:eastAsia="es-CO"/>
                <w14:ligatures w14:val="none"/>
              </w:rPr>
            </w:pPr>
            <w:r w:rsidRPr="0039091F">
              <w:rPr>
                <w:rFonts w:eastAsia="Times New Roman" w:cs="Times New Roman"/>
                <w:b/>
                <w:kern w:val="0"/>
                <w:sz w:val="16"/>
                <w:szCs w:val="16"/>
                <w:lang w:eastAsia="es-CO"/>
                <w14:ligatures w14:val="none"/>
              </w:rPr>
              <w:t> </w:t>
            </w:r>
          </w:p>
        </w:tc>
        <w:tc>
          <w:tcPr>
            <w:tcW w:w="543" w:type="pct"/>
            <w:noWrap/>
            <w:vAlign w:val="center"/>
            <w:hideMark/>
          </w:tcPr>
          <w:p w14:paraId="7B0DA734" w14:textId="77777777" w:rsidR="00FD5EEA" w:rsidRPr="0039091F" w:rsidRDefault="00FD5EEA" w:rsidP="000A5389">
            <w:pPr>
              <w:spacing w:line="240" w:lineRule="auto"/>
              <w:jc w:val="center"/>
              <w:rPr>
                <w:rFonts w:eastAsia="Times New Roman" w:cs="Times New Roman"/>
                <w:b/>
                <w:kern w:val="0"/>
                <w:sz w:val="16"/>
                <w:szCs w:val="16"/>
                <w:lang w:eastAsia="es-CO"/>
                <w14:ligatures w14:val="none"/>
              </w:rPr>
            </w:pPr>
            <w:r w:rsidRPr="0039091F">
              <w:rPr>
                <w:rFonts w:eastAsia="Times New Roman" w:cs="Times New Roman"/>
                <w:b/>
                <w:kern w:val="0"/>
                <w:sz w:val="16"/>
                <w:szCs w:val="16"/>
                <w:lang w:eastAsia="es-CO"/>
                <w14:ligatures w14:val="none"/>
              </w:rPr>
              <w:t> </w:t>
            </w:r>
          </w:p>
        </w:tc>
        <w:tc>
          <w:tcPr>
            <w:tcW w:w="589" w:type="pct"/>
            <w:noWrap/>
            <w:vAlign w:val="center"/>
            <w:hideMark/>
          </w:tcPr>
          <w:p w14:paraId="55D46C20" w14:textId="77777777" w:rsidR="00FD5EEA" w:rsidRPr="0039091F" w:rsidRDefault="00FD5EEA" w:rsidP="000A5389">
            <w:pPr>
              <w:spacing w:line="240" w:lineRule="auto"/>
              <w:rPr>
                <w:rFonts w:eastAsia="Times New Roman" w:cs="Times New Roman"/>
                <w:b/>
                <w:kern w:val="0"/>
                <w:sz w:val="16"/>
                <w:szCs w:val="16"/>
                <w:lang w:eastAsia="es-CO"/>
                <w14:ligatures w14:val="none"/>
              </w:rPr>
            </w:pPr>
            <w:r w:rsidRPr="0039091F">
              <w:rPr>
                <w:rFonts w:eastAsia="Times New Roman" w:cs="Times New Roman"/>
                <w:b/>
                <w:kern w:val="0"/>
                <w:sz w:val="16"/>
                <w:szCs w:val="16"/>
                <w:lang w:eastAsia="es-CO"/>
                <w14:ligatures w14:val="none"/>
              </w:rPr>
              <w:t> </w:t>
            </w:r>
          </w:p>
        </w:tc>
        <w:tc>
          <w:tcPr>
            <w:tcW w:w="480" w:type="pct"/>
            <w:noWrap/>
            <w:vAlign w:val="center"/>
            <w:hideMark/>
          </w:tcPr>
          <w:p w14:paraId="5144F9BD" w14:textId="77777777" w:rsidR="00FD5EEA" w:rsidRPr="0039091F" w:rsidRDefault="00FD5EEA" w:rsidP="000A5389">
            <w:pPr>
              <w:spacing w:line="240" w:lineRule="auto"/>
              <w:jc w:val="center"/>
              <w:rPr>
                <w:rFonts w:eastAsia="Times New Roman" w:cs="Times New Roman"/>
                <w:b/>
                <w:kern w:val="0"/>
                <w:sz w:val="16"/>
                <w:szCs w:val="16"/>
                <w:lang w:eastAsia="es-CO"/>
                <w14:ligatures w14:val="none"/>
              </w:rPr>
            </w:pPr>
            <w:r w:rsidRPr="0039091F">
              <w:rPr>
                <w:rFonts w:eastAsia="Times New Roman" w:cs="Times New Roman"/>
                <w:b/>
                <w:kern w:val="0"/>
                <w:sz w:val="16"/>
                <w:szCs w:val="16"/>
                <w:lang w:eastAsia="es-CO"/>
                <w14:ligatures w14:val="none"/>
              </w:rPr>
              <w:t xml:space="preserve">0,0 </w:t>
            </w:r>
          </w:p>
        </w:tc>
      </w:tr>
      <w:tr w:rsidR="00346E6B" w:rsidRPr="0039091F" w14:paraId="208C5FA3" w14:textId="77777777" w:rsidTr="0039091F">
        <w:trPr>
          <w:trHeight w:val="214"/>
        </w:trPr>
        <w:tc>
          <w:tcPr>
            <w:tcW w:w="1686" w:type="pct"/>
            <w:vAlign w:val="center"/>
            <w:hideMark/>
          </w:tcPr>
          <w:p w14:paraId="1B4572E3" w14:textId="77777777" w:rsidR="00FD5EEA" w:rsidRPr="0039091F" w:rsidRDefault="00FD5EEA" w:rsidP="000A5389">
            <w:pPr>
              <w:spacing w:line="240" w:lineRule="auto"/>
              <w:rPr>
                <w:rFonts w:eastAsia="Times New Roman" w:cs="Times New Roman"/>
                <w:kern w:val="0"/>
                <w:sz w:val="16"/>
                <w:szCs w:val="16"/>
                <w:lang w:eastAsia="es-CO"/>
                <w14:ligatures w14:val="none"/>
              </w:rPr>
            </w:pPr>
            <w:r w:rsidRPr="0039091F">
              <w:rPr>
                <w:rFonts w:eastAsia="Times New Roman" w:cs="Times New Roman"/>
                <w:kern w:val="0"/>
                <w:sz w:val="16"/>
                <w:szCs w:val="16"/>
                <w:lang w:eastAsia="es-CO"/>
                <w14:ligatures w14:val="none"/>
              </w:rPr>
              <w:t>Nacionales</w:t>
            </w:r>
          </w:p>
        </w:tc>
        <w:tc>
          <w:tcPr>
            <w:tcW w:w="262" w:type="pct"/>
            <w:noWrap/>
            <w:vAlign w:val="center"/>
            <w:hideMark/>
          </w:tcPr>
          <w:p w14:paraId="52551C9F" w14:textId="77777777" w:rsidR="00FD5EEA" w:rsidRPr="0039091F" w:rsidRDefault="00FD5EEA" w:rsidP="000A5389">
            <w:pPr>
              <w:spacing w:line="240" w:lineRule="auto"/>
              <w:jc w:val="center"/>
              <w:rPr>
                <w:rFonts w:eastAsia="Times New Roman" w:cs="Times New Roman"/>
                <w:kern w:val="0"/>
                <w:sz w:val="16"/>
                <w:szCs w:val="16"/>
                <w:lang w:eastAsia="es-CO"/>
                <w14:ligatures w14:val="none"/>
              </w:rPr>
            </w:pPr>
            <w:r w:rsidRPr="0039091F">
              <w:rPr>
                <w:rFonts w:eastAsia="Times New Roman" w:cs="Times New Roman"/>
                <w:kern w:val="0"/>
                <w:sz w:val="16"/>
                <w:szCs w:val="16"/>
                <w:lang w:eastAsia="es-CO"/>
                <w14:ligatures w14:val="none"/>
              </w:rPr>
              <w:t>PJ</w:t>
            </w:r>
          </w:p>
        </w:tc>
        <w:tc>
          <w:tcPr>
            <w:tcW w:w="571" w:type="pct"/>
            <w:noWrap/>
            <w:vAlign w:val="center"/>
            <w:hideMark/>
          </w:tcPr>
          <w:p w14:paraId="2637D568" w14:textId="77777777" w:rsidR="00FD5EEA" w:rsidRPr="0039091F" w:rsidRDefault="00FD5EEA" w:rsidP="000A5389">
            <w:pPr>
              <w:spacing w:line="240" w:lineRule="auto"/>
              <w:jc w:val="center"/>
              <w:rPr>
                <w:rFonts w:eastAsia="Times New Roman" w:cs="Times New Roman"/>
                <w:kern w:val="0"/>
                <w:sz w:val="16"/>
                <w:szCs w:val="16"/>
                <w:lang w:eastAsia="es-CO"/>
                <w14:ligatures w14:val="none"/>
              </w:rPr>
            </w:pPr>
            <w:r w:rsidRPr="0039091F">
              <w:rPr>
                <w:rFonts w:eastAsia="Times New Roman" w:cs="Times New Roman"/>
                <w:kern w:val="0"/>
                <w:sz w:val="16"/>
                <w:szCs w:val="16"/>
                <w:lang w:eastAsia="es-CO"/>
                <w14:ligatures w14:val="none"/>
              </w:rPr>
              <w:t>1</w:t>
            </w:r>
          </w:p>
        </w:tc>
        <w:tc>
          <w:tcPr>
            <w:tcW w:w="604" w:type="pct"/>
            <w:noWrap/>
            <w:vAlign w:val="center"/>
            <w:hideMark/>
          </w:tcPr>
          <w:p w14:paraId="4702C1DC" w14:textId="77777777" w:rsidR="00FD5EEA" w:rsidRPr="0039091F" w:rsidRDefault="00FD5EEA" w:rsidP="000A5389">
            <w:pPr>
              <w:spacing w:line="240" w:lineRule="auto"/>
              <w:jc w:val="right"/>
              <w:rPr>
                <w:rFonts w:eastAsia="Times New Roman" w:cs="Times New Roman"/>
                <w:kern w:val="0"/>
                <w:sz w:val="16"/>
                <w:szCs w:val="16"/>
                <w:lang w:eastAsia="es-CO"/>
                <w14:ligatures w14:val="none"/>
              </w:rPr>
            </w:pPr>
            <w:r w:rsidRPr="0039091F">
              <w:rPr>
                <w:rFonts w:eastAsia="Times New Roman" w:cs="Times New Roman"/>
                <w:kern w:val="0"/>
                <w:sz w:val="16"/>
                <w:szCs w:val="16"/>
                <w:lang w:eastAsia="es-CO"/>
                <w14:ligatures w14:val="none"/>
              </w:rPr>
              <w:t xml:space="preserve">4.286.031.776 </w:t>
            </w:r>
          </w:p>
        </w:tc>
        <w:tc>
          <w:tcPr>
            <w:tcW w:w="267" w:type="pct"/>
            <w:noWrap/>
            <w:vAlign w:val="center"/>
            <w:hideMark/>
          </w:tcPr>
          <w:p w14:paraId="4FD3EEE9" w14:textId="77777777" w:rsidR="00FD5EEA" w:rsidRPr="0039091F" w:rsidRDefault="00FD5EEA" w:rsidP="000A5389">
            <w:pPr>
              <w:spacing w:line="240" w:lineRule="auto"/>
              <w:jc w:val="center"/>
              <w:rPr>
                <w:rFonts w:eastAsia="Times New Roman" w:cs="Times New Roman"/>
                <w:kern w:val="0"/>
                <w:sz w:val="16"/>
                <w:szCs w:val="16"/>
                <w:lang w:eastAsia="es-CO"/>
                <w14:ligatures w14:val="none"/>
              </w:rPr>
            </w:pPr>
            <w:r w:rsidRPr="0039091F">
              <w:rPr>
                <w:rFonts w:eastAsia="Times New Roman" w:cs="Times New Roman"/>
                <w:kern w:val="0"/>
                <w:sz w:val="16"/>
                <w:szCs w:val="16"/>
                <w:lang w:eastAsia="es-CO"/>
                <w14:ligatures w14:val="none"/>
              </w:rPr>
              <w:t>NA</w:t>
            </w:r>
          </w:p>
        </w:tc>
        <w:tc>
          <w:tcPr>
            <w:tcW w:w="543" w:type="pct"/>
            <w:noWrap/>
            <w:vAlign w:val="center"/>
            <w:hideMark/>
          </w:tcPr>
          <w:p w14:paraId="10814042" w14:textId="77777777" w:rsidR="00FD5EEA" w:rsidRPr="0039091F" w:rsidRDefault="00FD5EEA" w:rsidP="000A5389">
            <w:pPr>
              <w:spacing w:line="240" w:lineRule="auto"/>
              <w:jc w:val="center"/>
              <w:rPr>
                <w:rFonts w:eastAsia="Times New Roman" w:cs="Times New Roman"/>
                <w:kern w:val="0"/>
                <w:sz w:val="16"/>
                <w:szCs w:val="16"/>
                <w:lang w:eastAsia="es-CO"/>
                <w14:ligatures w14:val="none"/>
              </w:rPr>
            </w:pPr>
            <w:r w:rsidRPr="0039091F">
              <w:rPr>
                <w:rFonts w:eastAsia="Times New Roman" w:cs="Times New Roman"/>
                <w:kern w:val="0"/>
                <w:sz w:val="16"/>
                <w:szCs w:val="16"/>
                <w:lang w:eastAsia="es-CO"/>
                <w14:ligatures w14:val="none"/>
              </w:rPr>
              <w:t>NA</w:t>
            </w:r>
          </w:p>
        </w:tc>
        <w:tc>
          <w:tcPr>
            <w:tcW w:w="589" w:type="pct"/>
            <w:noWrap/>
            <w:vAlign w:val="center"/>
            <w:hideMark/>
          </w:tcPr>
          <w:p w14:paraId="498ACEC3" w14:textId="77777777" w:rsidR="00FD5EEA" w:rsidRPr="0039091F" w:rsidRDefault="00FD5EEA" w:rsidP="000A5389">
            <w:pPr>
              <w:spacing w:line="240" w:lineRule="auto"/>
              <w:jc w:val="center"/>
              <w:rPr>
                <w:rFonts w:eastAsia="Times New Roman" w:cs="Times New Roman"/>
                <w:kern w:val="0"/>
                <w:sz w:val="16"/>
                <w:szCs w:val="16"/>
                <w:lang w:eastAsia="es-CO"/>
                <w14:ligatures w14:val="none"/>
              </w:rPr>
            </w:pPr>
            <w:r w:rsidRPr="0039091F">
              <w:rPr>
                <w:rFonts w:eastAsia="Times New Roman" w:cs="Times New Roman"/>
                <w:kern w:val="0"/>
                <w:sz w:val="16"/>
                <w:szCs w:val="16"/>
                <w:lang w:eastAsia="es-CO"/>
                <w14:ligatures w14:val="none"/>
              </w:rPr>
              <w:t>No aplica</w:t>
            </w:r>
          </w:p>
        </w:tc>
        <w:tc>
          <w:tcPr>
            <w:tcW w:w="480" w:type="pct"/>
            <w:noWrap/>
            <w:vAlign w:val="center"/>
            <w:hideMark/>
          </w:tcPr>
          <w:p w14:paraId="6D2ADDD0" w14:textId="77777777" w:rsidR="00FD5EEA" w:rsidRPr="0039091F" w:rsidRDefault="00FD5EEA" w:rsidP="000A5389">
            <w:pPr>
              <w:spacing w:line="240" w:lineRule="auto"/>
              <w:jc w:val="center"/>
              <w:rPr>
                <w:rFonts w:eastAsia="Times New Roman" w:cs="Times New Roman"/>
                <w:kern w:val="0"/>
                <w:sz w:val="16"/>
                <w:szCs w:val="16"/>
                <w:lang w:eastAsia="es-CO"/>
                <w14:ligatures w14:val="none"/>
              </w:rPr>
            </w:pPr>
            <w:r w:rsidRPr="0039091F">
              <w:rPr>
                <w:rFonts w:eastAsia="Times New Roman" w:cs="Times New Roman"/>
                <w:kern w:val="0"/>
                <w:sz w:val="16"/>
                <w:szCs w:val="16"/>
                <w:lang w:eastAsia="es-CO"/>
                <w14:ligatures w14:val="none"/>
              </w:rPr>
              <w:t>NA</w:t>
            </w:r>
          </w:p>
        </w:tc>
      </w:tr>
      <w:tr w:rsidR="00346E6B" w:rsidRPr="0039091F" w14:paraId="58F30ED9" w14:textId="77777777" w:rsidTr="0039091F">
        <w:trPr>
          <w:trHeight w:val="287"/>
        </w:trPr>
        <w:tc>
          <w:tcPr>
            <w:tcW w:w="1686" w:type="pct"/>
            <w:vAlign w:val="center"/>
            <w:hideMark/>
          </w:tcPr>
          <w:p w14:paraId="443DB96B" w14:textId="77777777" w:rsidR="00FD5EEA" w:rsidRPr="0039091F" w:rsidRDefault="00FD5EEA" w:rsidP="000A5389">
            <w:pPr>
              <w:spacing w:line="240" w:lineRule="auto"/>
              <w:rPr>
                <w:rFonts w:eastAsia="Times New Roman" w:cs="Times New Roman"/>
                <w:kern w:val="0"/>
                <w:sz w:val="16"/>
                <w:szCs w:val="16"/>
                <w:lang w:eastAsia="es-CO"/>
                <w14:ligatures w14:val="none"/>
              </w:rPr>
            </w:pPr>
            <w:r w:rsidRPr="0039091F">
              <w:rPr>
                <w:rFonts w:eastAsia="Times New Roman" w:cs="Times New Roman"/>
                <w:kern w:val="0"/>
                <w:sz w:val="16"/>
                <w:szCs w:val="16"/>
                <w:lang w:eastAsia="es-CO"/>
                <w14:ligatures w14:val="none"/>
              </w:rPr>
              <w:t>Nacionales</w:t>
            </w:r>
          </w:p>
        </w:tc>
        <w:tc>
          <w:tcPr>
            <w:tcW w:w="262" w:type="pct"/>
            <w:noWrap/>
            <w:vAlign w:val="center"/>
            <w:hideMark/>
          </w:tcPr>
          <w:p w14:paraId="0EFF2979" w14:textId="77777777" w:rsidR="00FD5EEA" w:rsidRPr="0039091F" w:rsidRDefault="00FD5EEA" w:rsidP="000A5389">
            <w:pPr>
              <w:spacing w:line="240" w:lineRule="auto"/>
              <w:jc w:val="center"/>
              <w:rPr>
                <w:rFonts w:eastAsia="Times New Roman" w:cs="Times New Roman"/>
                <w:kern w:val="0"/>
                <w:sz w:val="16"/>
                <w:szCs w:val="16"/>
                <w:lang w:eastAsia="es-CO"/>
                <w14:ligatures w14:val="none"/>
              </w:rPr>
            </w:pPr>
            <w:r w:rsidRPr="0039091F">
              <w:rPr>
                <w:rFonts w:eastAsia="Times New Roman" w:cs="Times New Roman"/>
                <w:kern w:val="0"/>
                <w:sz w:val="16"/>
                <w:szCs w:val="16"/>
                <w:lang w:eastAsia="es-CO"/>
                <w14:ligatures w14:val="none"/>
              </w:rPr>
              <w:t>PN</w:t>
            </w:r>
          </w:p>
        </w:tc>
        <w:tc>
          <w:tcPr>
            <w:tcW w:w="571" w:type="pct"/>
            <w:noWrap/>
            <w:vAlign w:val="center"/>
            <w:hideMark/>
          </w:tcPr>
          <w:p w14:paraId="6DE6B423" w14:textId="77777777" w:rsidR="00FD5EEA" w:rsidRPr="0039091F" w:rsidRDefault="00FD5EEA" w:rsidP="000A5389">
            <w:pPr>
              <w:spacing w:line="240" w:lineRule="auto"/>
              <w:jc w:val="center"/>
              <w:rPr>
                <w:rFonts w:eastAsia="Times New Roman" w:cs="Times New Roman"/>
                <w:kern w:val="0"/>
                <w:sz w:val="16"/>
                <w:szCs w:val="16"/>
                <w:lang w:eastAsia="es-CO"/>
                <w14:ligatures w14:val="none"/>
              </w:rPr>
            </w:pPr>
            <w:r w:rsidRPr="0039091F">
              <w:rPr>
                <w:rFonts w:eastAsia="Times New Roman" w:cs="Times New Roman"/>
                <w:kern w:val="0"/>
                <w:sz w:val="16"/>
                <w:szCs w:val="16"/>
                <w:lang w:eastAsia="es-CO"/>
                <w14:ligatures w14:val="none"/>
              </w:rPr>
              <w:t>1</w:t>
            </w:r>
          </w:p>
        </w:tc>
        <w:tc>
          <w:tcPr>
            <w:tcW w:w="604" w:type="pct"/>
            <w:noWrap/>
            <w:vAlign w:val="center"/>
            <w:hideMark/>
          </w:tcPr>
          <w:p w14:paraId="469990DC" w14:textId="77777777" w:rsidR="00FD5EEA" w:rsidRPr="0039091F" w:rsidRDefault="00FD5EEA" w:rsidP="000A5389">
            <w:pPr>
              <w:spacing w:line="240" w:lineRule="auto"/>
              <w:jc w:val="right"/>
              <w:rPr>
                <w:rFonts w:eastAsia="Times New Roman" w:cs="Times New Roman"/>
                <w:kern w:val="0"/>
                <w:sz w:val="16"/>
                <w:szCs w:val="16"/>
                <w:lang w:eastAsia="es-CO"/>
                <w14:ligatures w14:val="none"/>
              </w:rPr>
            </w:pPr>
            <w:r w:rsidRPr="0039091F">
              <w:rPr>
                <w:rFonts w:eastAsia="Times New Roman" w:cs="Times New Roman"/>
                <w:kern w:val="0"/>
                <w:sz w:val="16"/>
                <w:szCs w:val="16"/>
                <w:lang w:eastAsia="es-CO"/>
                <w14:ligatures w14:val="none"/>
              </w:rPr>
              <w:t xml:space="preserve">3.974.750 </w:t>
            </w:r>
          </w:p>
        </w:tc>
        <w:tc>
          <w:tcPr>
            <w:tcW w:w="267" w:type="pct"/>
            <w:noWrap/>
            <w:vAlign w:val="center"/>
            <w:hideMark/>
          </w:tcPr>
          <w:p w14:paraId="0C57225D" w14:textId="77777777" w:rsidR="00FD5EEA" w:rsidRPr="0039091F" w:rsidRDefault="00FD5EEA" w:rsidP="000A5389">
            <w:pPr>
              <w:spacing w:line="240" w:lineRule="auto"/>
              <w:rPr>
                <w:rFonts w:eastAsia="Times New Roman" w:cs="Times New Roman"/>
                <w:kern w:val="0"/>
                <w:sz w:val="16"/>
                <w:szCs w:val="16"/>
                <w:lang w:eastAsia="es-CO"/>
                <w14:ligatures w14:val="none"/>
              </w:rPr>
            </w:pPr>
            <w:r w:rsidRPr="0039091F">
              <w:rPr>
                <w:rFonts w:eastAsia="Times New Roman" w:cs="Times New Roman"/>
                <w:kern w:val="0"/>
                <w:sz w:val="16"/>
                <w:szCs w:val="16"/>
                <w:lang w:eastAsia="es-CO"/>
                <w14:ligatures w14:val="none"/>
              </w:rPr>
              <w:t> </w:t>
            </w:r>
          </w:p>
        </w:tc>
        <w:tc>
          <w:tcPr>
            <w:tcW w:w="543" w:type="pct"/>
            <w:noWrap/>
            <w:vAlign w:val="center"/>
            <w:hideMark/>
          </w:tcPr>
          <w:p w14:paraId="05CE067B" w14:textId="77777777" w:rsidR="00FD5EEA" w:rsidRPr="0039091F" w:rsidRDefault="00FD5EEA" w:rsidP="000A5389">
            <w:pPr>
              <w:spacing w:line="240" w:lineRule="auto"/>
              <w:jc w:val="center"/>
              <w:rPr>
                <w:rFonts w:eastAsia="Times New Roman" w:cs="Times New Roman"/>
                <w:kern w:val="0"/>
                <w:sz w:val="16"/>
                <w:szCs w:val="16"/>
                <w:lang w:eastAsia="es-CO"/>
                <w14:ligatures w14:val="none"/>
              </w:rPr>
            </w:pPr>
            <w:r w:rsidRPr="0039091F">
              <w:rPr>
                <w:rFonts w:eastAsia="Times New Roman" w:cs="Times New Roman"/>
                <w:kern w:val="0"/>
                <w:sz w:val="16"/>
                <w:szCs w:val="16"/>
                <w:lang w:eastAsia="es-CO"/>
                <w14:ligatures w14:val="none"/>
              </w:rPr>
              <w:t> </w:t>
            </w:r>
          </w:p>
        </w:tc>
        <w:tc>
          <w:tcPr>
            <w:tcW w:w="589" w:type="pct"/>
            <w:noWrap/>
            <w:vAlign w:val="center"/>
            <w:hideMark/>
          </w:tcPr>
          <w:p w14:paraId="4BDB551B" w14:textId="77777777" w:rsidR="00FD5EEA" w:rsidRPr="0039091F" w:rsidRDefault="00FD5EEA" w:rsidP="000A5389">
            <w:pPr>
              <w:spacing w:line="240" w:lineRule="auto"/>
              <w:rPr>
                <w:rFonts w:eastAsia="Times New Roman" w:cs="Times New Roman"/>
                <w:kern w:val="0"/>
                <w:sz w:val="16"/>
                <w:szCs w:val="16"/>
                <w:lang w:eastAsia="es-CO"/>
                <w14:ligatures w14:val="none"/>
              </w:rPr>
            </w:pPr>
            <w:r w:rsidRPr="0039091F">
              <w:rPr>
                <w:rFonts w:eastAsia="Times New Roman" w:cs="Times New Roman"/>
                <w:kern w:val="0"/>
                <w:sz w:val="16"/>
                <w:szCs w:val="16"/>
                <w:lang w:eastAsia="es-CO"/>
                <w14:ligatures w14:val="none"/>
              </w:rPr>
              <w:t> </w:t>
            </w:r>
          </w:p>
        </w:tc>
        <w:tc>
          <w:tcPr>
            <w:tcW w:w="480" w:type="pct"/>
            <w:noWrap/>
            <w:vAlign w:val="center"/>
            <w:hideMark/>
          </w:tcPr>
          <w:p w14:paraId="385CBE08" w14:textId="77777777" w:rsidR="00FD5EEA" w:rsidRPr="0039091F" w:rsidRDefault="00FD5EEA" w:rsidP="000A5389">
            <w:pPr>
              <w:spacing w:line="240" w:lineRule="auto"/>
              <w:jc w:val="center"/>
              <w:rPr>
                <w:rFonts w:eastAsia="Times New Roman" w:cs="Times New Roman"/>
                <w:kern w:val="0"/>
                <w:sz w:val="16"/>
                <w:szCs w:val="16"/>
                <w:lang w:eastAsia="es-CO"/>
                <w14:ligatures w14:val="none"/>
              </w:rPr>
            </w:pPr>
            <w:r w:rsidRPr="0039091F">
              <w:rPr>
                <w:rFonts w:eastAsia="Times New Roman" w:cs="Times New Roman"/>
                <w:kern w:val="0"/>
                <w:sz w:val="16"/>
                <w:szCs w:val="16"/>
                <w:lang w:eastAsia="es-CO"/>
                <w14:ligatures w14:val="none"/>
              </w:rPr>
              <w:t> </w:t>
            </w:r>
          </w:p>
        </w:tc>
      </w:tr>
      <w:tr w:rsidR="00346E6B" w:rsidRPr="0039091F" w14:paraId="4F3A5E47" w14:textId="77777777" w:rsidTr="0039091F">
        <w:trPr>
          <w:trHeight w:val="201"/>
        </w:trPr>
        <w:tc>
          <w:tcPr>
            <w:tcW w:w="1686" w:type="pct"/>
            <w:noWrap/>
            <w:vAlign w:val="center"/>
            <w:hideMark/>
          </w:tcPr>
          <w:p w14:paraId="7F8D81C8" w14:textId="77777777" w:rsidR="00FD5EEA" w:rsidRPr="0039091F" w:rsidRDefault="00FD5EEA" w:rsidP="000A5389">
            <w:pPr>
              <w:spacing w:line="240" w:lineRule="auto"/>
              <w:rPr>
                <w:rFonts w:eastAsia="Times New Roman" w:cs="Times New Roman"/>
                <w:b/>
                <w:kern w:val="0"/>
                <w:sz w:val="16"/>
                <w:szCs w:val="16"/>
                <w:lang w:eastAsia="es-CO"/>
                <w14:ligatures w14:val="none"/>
              </w:rPr>
            </w:pPr>
            <w:r w:rsidRPr="0039091F">
              <w:rPr>
                <w:rFonts w:eastAsia="Times New Roman" w:cs="Times New Roman"/>
                <w:b/>
                <w:kern w:val="0"/>
                <w:sz w:val="16"/>
                <w:szCs w:val="16"/>
                <w:lang w:eastAsia="es-CO"/>
                <w14:ligatures w14:val="none"/>
              </w:rPr>
              <w:t>Recaudos por clasificar</w:t>
            </w:r>
          </w:p>
        </w:tc>
        <w:tc>
          <w:tcPr>
            <w:tcW w:w="262" w:type="pct"/>
            <w:noWrap/>
            <w:vAlign w:val="center"/>
            <w:hideMark/>
          </w:tcPr>
          <w:p w14:paraId="72B8C585" w14:textId="77777777" w:rsidR="00FD5EEA" w:rsidRPr="0039091F" w:rsidRDefault="00FD5EEA" w:rsidP="000A5389">
            <w:pPr>
              <w:spacing w:line="240" w:lineRule="auto"/>
              <w:rPr>
                <w:rFonts w:eastAsia="Times New Roman" w:cs="Times New Roman"/>
                <w:b/>
                <w:kern w:val="0"/>
                <w:sz w:val="16"/>
                <w:szCs w:val="16"/>
                <w:lang w:eastAsia="es-CO"/>
                <w14:ligatures w14:val="none"/>
              </w:rPr>
            </w:pPr>
            <w:r w:rsidRPr="0039091F">
              <w:rPr>
                <w:rFonts w:eastAsia="Times New Roman" w:cs="Times New Roman"/>
                <w:b/>
                <w:kern w:val="0"/>
                <w:sz w:val="16"/>
                <w:szCs w:val="16"/>
                <w:lang w:eastAsia="es-CO"/>
                <w14:ligatures w14:val="none"/>
              </w:rPr>
              <w:t> </w:t>
            </w:r>
          </w:p>
        </w:tc>
        <w:tc>
          <w:tcPr>
            <w:tcW w:w="571" w:type="pct"/>
            <w:noWrap/>
            <w:vAlign w:val="center"/>
            <w:hideMark/>
          </w:tcPr>
          <w:p w14:paraId="357E86DD" w14:textId="77777777" w:rsidR="00FD5EEA" w:rsidRPr="0039091F" w:rsidRDefault="00FD5EEA" w:rsidP="000A5389">
            <w:pPr>
              <w:spacing w:line="240" w:lineRule="auto"/>
              <w:jc w:val="center"/>
              <w:rPr>
                <w:rFonts w:eastAsia="Times New Roman" w:cs="Times New Roman"/>
                <w:b/>
                <w:kern w:val="0"/>
                <w:sz w:val="16"/>
                <w:szCs w:val="16"/>
                <w:lang w:eastAsia="es-CO"/>
                <w14:ligatures w14:val="none"/>
              </w:rPr>
            </w:pPr>
            <w:r w:rsidRPr="0039091F">
              <w:rPr>
                <w:rFonts w:eastAsia="Times New Roman" w:cs="Times New Roman"/>
                <w:b/>
                <w:kern w:val="0"/>
                <w:sz w:val="16"/>
                <w:szCs w:val="16"/>
                <w:lang w:eastAsia="es-CO"/>
                <w14:ligatures w14:val="none"/>
              </w:rPr>
              <w:t> </w:t>
            </w:r>
          </w:p>
        </w:tc>
        <w:tc>
          <w:tcPr>
            <w:tcW w:w="604" w:type="pct"/>
            <w:noWrap/>
            <w:vAlign w:val="center"/>
            <w:hideMark/>
          </w:tcPr>
          <w:p w14:paraId="52089663" w14:textId="77777777" w:rsidR="00FD5EEA" w:rsidRPr="0039091F" w:rsidRDefault="00FD5EEA" w:rsidP="000A5389">
            <w:pPr>
              <w:spacing w:line="240" w:lineRule="auto"/>
              <w:jc w:val="right"/>
              <w:rPr>
                <w:rFonts w:eastAsia="Times New Roman" w:cs="Times New Roman"/>
                <w:b/>
                <w:kern w:val="0"/>
                <w:sz w:val="16"/>
                <w:szCs w:val="16"/>
                <w:lang w:eastAsia="es-CO"/>
                <w14:ligatures w14:val="none"/>
              </w:rPr>
            </w:pPr>
            <w:r w:rsidRPr="0039091F">
              <w:rPr>
                <w:rFonts w:eastAsia="Times New Roman" w:cs="Times New Roman"/>
                <w:b/>
                <w:kern w:val="0"/>
                <w:sz w:val="16"/>
                <w:szCs w:val="16"/>
                <w:lang w:eastAsia="es-CO"/>
                <w14:ligatures w14:val="none"/>
              </w:rPr>
              <w:t xml:space="preserve">2.697.090.931 </w:t>
            </w:r>
          </w:p>
        </w:tc>
        <w:tc>
          <w:tcPr>
            <w:tcW w:w="267" w:type="pct"/>
            <w:noWrap/>
            <w:vAlign w:val="center"/>
            <w:hideMark/>
          </w:tcPr>
          <w:p w14:paraId="2E7E4675" w14:textId="77777777" w:rsidR="00FD5EEA" w:rsidRPr="0039091F" w:rsidRDefault="00FD5EEA" w:rsidP="000A5389">
            <w:pPr>
              <w:spacing w:line="240" w:lineRule="auto"/>
              <w:rPr>
                <w:rFonts w:eastAsia="Times New Roman" w:cs="Times New Roman"/>
                <w:b/>
                <w:kern w:val="0"/>
                <w:sz w:val="16"/>
                <w:szCs w:val="16"/>
                <w:lang w:eastAsia="es-CO"/>
                <w14:ligatures w14:val="none"/>
              </w:rPr>
            </w:pPr>
            <w:r w:rsidRPr="0039091F">
              <w:rPr>
                <w:rFonts w:eastAsia="Times New Roman" w:cs="Times New Roman"/>
                <w:b/>
                <w:kern w:val="0"/>
                <w:sz w:val="16"/>
                <w:szCs w:val="16"/>
                <w:lang w:eastAsia="es-CO"/>
                <w14:ligatures w14:val="none"/>
              </w:rPr>
              <w:t> </w:t>
            </w:r>
          </w:p>
        </w:tc>
        <w:tc>
          <w:tcPr>
            <w:tcW w:w="543" w:type="pct"/>
            <w:noWrap/>
            <w:vAlign w:val="center"/>
            <w:hideMark/>
          </w:tcPr>
          <w:p w14:paraId="3D61BEF6" w14:textId="77777777" w:rsidR="00FD5EEA" w:rsidRPr="0039091F" w:rsidRDefault="00FD5EEA" w:rsidP="000A5389">
            <w:pPr>
              <w:spacing w:line="240" w:lineRule="auto"/>
              <w:jc w:val="center"/>
              <w:rPr>
                <w:rFonts w:eastAsia="Times New Roman" w:cs="Times New Roman"/>
                <w:b/>
                <w:kern w:val="0"/>
                <w:sz w:val="16"/>
                <w:szCs w:val="16"/>
                <w:lang w:eastAsia="es-CO"/>
                <w14:ligatures w14:val="none"/>
              </w:rPr>
            </w:pPr>
            <w:r w:rsidRPr="0039091F">
              <w:rPr>
                <w:rFonts w:eastAsia="Times New Roman" w:cs="Times New Roman"/>
                <w:b/>
                <w:kern w:val="0"/>
                <w:sz w:val="16"/>
                <w:szCs w:val="16"/>
                <w:lang w:eastAsia="es-CO"/>
                <w14:ligatures w14:val="none"/>
              </w:rPr>
              <w:t> </w:t>
            </w:r>
          </w:p>
        </w:tc>
        <w:tc>
          <w:tcPr>
            <w:tcW w:w="589" w:type="pct"/>
            <w:noWrap/>
            <w:vAlign w:val="center"/>
            <w:hideMark/>
          </w:tcPr>
          <w:p w14:paraId="69E7AFA4" w14:textId="77777777" w:rsidR="00FD5EEA" w:rsidRPr="0039091F" w:rsidRDefault="00FD5EEA" w:rsidP="000A5389">
            <w:pPr>
              <w:spacing w:line="240" w:lineRule="auto"/>
              <w:rPr>
                <w:rFonts w:eastAsia="Times New Roman" w:cs="Times New Roman"/>
                <w:b/>
                <w:kern w:val="0"/>
                <w:sz w:val="16"/>
                <w:szCs w:val="16"/>
                <w:lang w:eastAsia="es-CO"/>
                <w14:ligatures w14:val="none"/>
              </w:rPr>
            </w:pPr>
            <w:r w:rsidRPr="0039091F">
              <w:rPr>
                <w:rFonts w:eastAsia="Times New Roman" w:cs="Times New Roman"/>
                <w:b/>
                <w:kern w:val="0"/>
                <w:sz w:val="16"/>
                <w:szCs w:val="16"/>
                <w:lang w:eastAsia="es-CO"/>
                <w14:ligatures w14:val="none"/>
              </w:rPr>
              <w:t> </w:t>
            </w:r>
          </w:p>
        </w:tc>
        <w:tc>
          <w:tcPr>
            <w:tcW w:w="480" w:type="pct"/>
            <w:noWrap/>
            <w:vAlign w:val="center"/>
            <w:hideMark/>
          </w:tcPr>
          <w:p w14:paraId="784A2355" w14:textId="77777777" w:rsidR="00FD5EEA" w:rsidRPr="0039091F" w:rsidRDefault="00FD5EEA" w:rsidP="000A5389">
            <w:pPr>
              <w:spacing w:line="240" w:lineRule="auto"/>
              <w:jc w:val="center"/>
              <w:rPr>
                <w:rFonts w:eastAsia="Times New Roman" w:cs="Times New Roman"/>
                <w:b/>
                <w:kern w:val="0"/>
                <w:sz w:val="16"/>
                <w:szCs w:val="16"/>
                <w:lang w:eastAsia="es-CO"/>
                <w14:ligatures w14:val="none"/>
              </w:rPr>
            </w:pPr>
            <w:r w:rsidRPr="0039091F">
              <w:rPr>
                <w:rFonts w:eastAsia="Times New Roman" w:cs="Times New Roman"/>
                <w:b/>
                <w:kern w:val="0"/>
                <w:sz w:val="16"/>
                <w:szCs w:val="16"/>
                <w:lang w:eastAsia="es-CO"/>
                <w14:ligatures w14:val="none"/>
              </w:rPr>
              <w:t xml:space="preserve">0,0 </w:t>
            </w:r>
          </w:p>
        </w:tc>
      </w:tr>
      <w:tr w:rsidR="00346E6B" w:rsidRPr="0039091F" w14:paraId="09630C97" w14:textId="77777777" w:rsidTr="0039091F">
        <w:trPr>
          <w:trHeight w:val="214"/>
        </w:trPr>
        <w:tc>
          <w:tcPr>
            <w:tcW w:w="1686" w:type="pct"/>
            <w:vAlign w:val="center"/>
            <w:hideMark/>
          </w:tcPr>
          <w:p w14:paraId="0D3FA0F0" w14:textId="77777777" w:rsidR="00FD5EEA" w:rsidRPr="0039091F" w:rsidRDefault="00FD5EEA" w:rsidP="000A5389">
            <w:pPr>
              <w:spacing w:line="240" w:lineRule="auto"/>
              <w:rPr>
                <w:rFonts w:eastAsia="Times New Roman" w:cs="Times New Roman"/>
                <w:kern w:val="0"/>
                <w:sz w:val="16"/>
                <w:szCs w:val="16"/>
                <w:lang w:eastAsia="es-CO"/>
                <w14:ligatures w14:val="none"/>
              </w:rPr>
            </w:pPr>
            <w:r w:rsidRPr="0039091F">
              <w:rPr>
                <w:rFonts w:eastAsia="Times New Roman" w:cs="Times New Roman"/>
                <w:kern w:val="0"/>
                <w:sz w:val="16"/>
                <w:szCs w:val="16"/>
                <w:lang w:eastAsia="es-CO"/>
                <w14:ligatures w14:val="none"/>
              </w:rPr>
              <w:t>Nacionales</w:t>
            </w:r>
          </w:p>
        </w:tc>
        <w:tc>
          <w:tcPr>
            <w:tcW w:w="262" w:type="pct"/>
            <w:noWrap/>
            <w:vAlign w:val="center"/>
            <w:hideMark/>
          </w:tcPr>
          <w:p w14:paraId="5D0DD42D" w14:textId="77777777" w:rsidR="00FD5EEA" w:rsidRPr="0039091F" w:rsidRDefault="00FD5EEA" w:rsidP="000A5389">
            <w:pPr>
              <w:spacing w:line="240" w:lineRule="auto"/>
              <w:jc w:val="center"/>
              <w:rPr>
                <w:rFonts w:eastAsia="Times New Roman" w:cs="Times New Roman"/>
                <w:kern w:val="0"/>
                <w:sz w:val="16"/>
                <w:szCs w:val="16"/>
                <w:lang w:eastAsia="es-CO"/>
                <w14:ligatures w14:val="none"/>
              </w:rPr>
            </w:pPr>
            <w:r w:rsidRPr="0039091F">
              <w:rPr>
                <w:rFonts w:eastAsia="Times New Roman" w:cs="Times New Roman"/>
                <w:kern w:val="0"/>
                <w:sz w:val="16"/>
                <w:szCs w:val="16"/>
                <w:lang w:eastAsia="es-CO"/>
                <w14:ligatures w14:val="none"/>
              </w:rPr>
              <w:t>PJ</w:t>
            </w:r>
          </w:p>
        </w:tc>
        <w:tc>
          <w:tcPr>
            <w:tcW w:w="571" w:type="pct"/>
            <w:noWrap/>
            <w:vAlign w:val="center"/>
            <w:hideMark/>
          </w:tcPr>
          <w:p w14:paraId="7691BD01" w14:textId="77777777" w:rsidR="00FD5EEA" w:rsidRPr="0039091F" w:rsidRDefault="00FD5EEA" w:rsidP="000A5389">
            <w:pPr>
              <w:spacing w:line="240" w:lineRule="auto"/>
              <w:jc w:val="center"/>
              <w:rPr>
                <w:rFonts w:eastAsia="Times New Roman" w:cs="Times New Roman"/>
                <w:kern w:val="0"/>
                <w:sz w:val="16"/>
                <w:szCs w:val="16"/>
                <w:lang w:eastAsia="es-CO"/>
                <w14:ligatures w14:val="none"/>
              </w:rPr>
            </w:pPr>
            <w:r w:rsidRPr="0039091F">
              <w:rPr>
                <w:rFonts w:eastAsia="Times New Roman" w:cs="Times New Roman"/>
                <w:kern w:val="0"/>
                <w:sz w:val="16"/>
                <w:szCs w:val="16"/>
                <w:lang w:eastAsia="es-CO"/>
                <w14:ligatures w14:val="none"/>
              </w:rPr>
              <w:t>1</w:t>
            </w:r>
          </w:p>
        </w:tc>
        <w:tc>
          <w:tcPr>
            <w:tcW w:w="604" w:type="pct"/>
            <w:noWrap/>
            <w:vAlign w:val="center"/>
            <w:hideMark/>
          </w:tcPr>
          <w:p w14:paraId="500CB677" w14:textId="77777777" w:rsidR="00FD5EEA" w:rsidRPr="0039091F" w:rsidRDefault="00FD5EEA" w:rsidP="000A5389">
            <w:pPr>
              <w:spacing w:line="240" w:lineRule="auto"/>
              <w:jc w:val="right"/>
              <w:rPr>
                <w:rFonts w:eastAsia="Times New Roman" w:cs="Times New Roman"/>
                <w:kern w:val="0"/>
                <w:sz w:val="16"/>
                <w:szCs w:val="16"/>
                <w:lang w:eastAsia="es-CO"/>
                <w14:ligatures w14:val="none"/>
              </w:rPr>
            </w:pPr>
            <w:r w:rsidRPr="0039091F">
              <w:rPr>
                <w:rFonts w:eastAsia="Times New Roman" w:cs="Times New Roman"/>
                <w:kern w:val="0"/>
                <w:sz w:val="16"/>
                <w:szCs w:val="16"/>
                <w:lang w:eastAsia="es-CO"/>
                <w14:ligatures w14:val="none"/>
              </w:rPr>
              <w:t xml:space="preserve">2.697.090.931 </w:t>
            </w:r>
          </w:p>
        </w:tc>
        <w:tc>
          <w:tcPr>
            <w:tcW w:w="267" w:type="pct"/>
            <w:noWrap/>
            <w:vAlign w:val="center"/>
            <w:hideMark/>
          </w:tcPr>
          <w:p w14:paraId="12C0CAAD" w14:textId="77777777" w:rsidR="00FD5EEA" w:rsidRPr="0039091F" w:rsidRDefault="00FD5EEA" w:rsidP="000A5389">
            <w:pPr>
              <w:spacing w:line="240" w:lineRule="auto"/>
              <w:jc w:val="center"/>
              <w:rPr>
                <w:rFonts w:eastAsia="Times New Roman" w:cs="Times New Roman"/>
                <w:kern w:val="0"/>
                <w:sz w:val="16"/>
                <w:szCs w:val="16"/>
                <w:lang w:eastAsia="es-CO"/>
                <w14:ligatures w14:val="none"/>
              </w:rPr>
            </w:pPr>
            <w:r w:rsidRPr="0039091F">
              <w:rPr>
                <w:rFonts w:eastAsia="Times New Roman" w:cs="Times New Roman"/>
                <w:kern w:val="0"/>
                <w:sz w:val="16"/>
                <w:szCs w:val="16"/>
                <w:lang w:eastAsia="es-CO"/>
                <w14:ligatures w14:val="none"/>
              </w:rPr>
              <w:t>NA</w:t>
            </w:r>
          </w:p>
        </w:tc>
        <w:tc>
          <w:tcPr>
            <w:tcW w:w="543" w:type="pct"/>
            <w:noWrap/>
            <w:vAlign w:val="center"/>
            <w:hideMark/>
          </w:tcPr>
          <w:p w14:paraId="092C015A" w14:textId="77777777" w:rsidR="00FD5EEA" w:rsidRPr="0039091F" w:rsidRDefault="00FD5EEA" w:rsidP="000A5389">
            <w:pPr>
              <w:spacing w:line="240" w:lineRule="auto"/>
              <w:jc w:val="center"/>
              <w:rPr>
                <w:rFonts w:eastAsia="Times New Roman" w:cs="Times New Roman"/>
                <w:kern w:val="0"/>
                <w:sz w:val="16"/>
                <w:szCs w:val="16"/>
                <w:lang w:eastAsia="es-CO"/>
                <w14:ligatures w14:val="none"/>
              </w:rPr>
            </w:pPr>
            <w:r w:rsidRPr="0039091F">
              <w:rPr>
                <w:rFonts w:eastAsia="Times New Roman" w:cs="Times New Roman"/>
                <w:kern w:val="0"/>
                <w:sz w:val="16"/>
                <w:szCs w:val="16"/>
                <w:lang w:eastAsia="es-CO"/>
                <w14:ligatures w14:val="none"/>
              </w:rPr>
              <w:t>NA</w:t>
            </w:r>
          </w:p>
        </w:tc>
        <w:tc>
          <w:tcPr>
            <w:tcW w:w="589" w:type="pct"/>
            <w:noWrap/>
            <w:vAlign w:val="center"/>
            <w:hideMark/>
          </w:tcPr>
          <w:p w14:paraId="783C9D81" w14:textId="77777777" w:rsidR="00FD5EEA" w:rsidRPr="0039091F" w:rsidRDefault="00FD5EEA" w:rsidP="000A5389">
            <w:pPr>
              <w:spacing w:line="240" w:lineRule="auto"/>
              <w:jc w:val="center"/>
              <w:rPr>
                <w:rFonts w:eastAsia="Times New Roman" w:cs="Times New Roman"/>
                <w:kern w:val="0"/>
                <w:sz w:val="16"/>
                <w:szCs w:val="16"/>
                <w:lang w:eastAsia="es-CO"/>
                <w14:ligatures w14:val="none"/>
              </w:rPr>
            </w:pPr>
            <w:r w:rsidRPr="0039091F">
              <w:rPr>
                <w:rFonts w:eastAsia="Times New Roman" w:cs="Times New Roman"/>
                <w:kern w:val="0"/>
                <w:sz w:val="16"/>
                <w:szCs w:val="16"/>
                <w:lang w:eastAsia="es-CO"/>
                <w14:ligatures w14:val="none"/>
              </w:rPr>
              <w:t>No aplica</w:t>
            </w:r>
          </w:p>
        </w:tc>
        <w:tc>
          <w:tcPr>
            <w:tcW w:w="480" w:type="pct"/>
            <w:noWrap/>
            <w:vAlign w:val="center"/>
            <w:hideMark/>
          </w:tcPr>
          <w:p w14:paraId="48734677" w14:textId="77777777" w:rsidR="00FD5EEA" w:rsidRPr="0039091F" w:rsidRDefault="00FD5EEA" w:rsidP="000A5389">
            <w:pPr>
              <w:spacing w:line="240" w:lineRule="auto"/>
              <w:jc w:val="center"/>
              <w:rPr>
                <w:rFonts w:eastAsia="Times New Roman" w:cs="Times New Roman"/>
                <w:kern w:val="0"/>
                <w:sz w:val="16"/>
                <w:szCs w:val="16"/>
                <w:lang w:eastAsia="es-CO"/>
                <w14:ligatures w14:val="none"/>
              </w:rPr>
            </w:pPr>
            <w:r w:rsidRPr="0039091F">
              <w:rPr>
                <w:rFonts w:eastAsia="Times New Roman" w:cs="Times New Roman"/>
                <w:kern w:val="0"/>
                <w:sz w:val="16"/>
                <w:szCs w:val="16"/>
                <w:lang w:eastAsia="es-CO"/>
                <w14:ligatures w14:val="none"/>
              </w:rPr>
              <w:t>NA</w:t>
            </w:r>
          </w:p>
        </w:tc>
      </w:tr>
    </w:tbl>
    <w:p w14:paraId="43253632" w14:textId="77777777" w:rsidR="0022505D" w:rsidRPr="00951AB1" w:rsidRDefault="0022505D" w:rsidP="000A5389">
      <w:pPr>
        <w:spacing w:line="240" w:lineRule="auto"/>
        <w:rPr>
          <w:rFonts w:cs="Times New Roman"/>
        </w:rPr>
      </w:pPr>
      <w:r w:rsidRPr="00951AB1">
        <w:rPr>
          <w:rFonts w:eastAsia="Times New Roman" w:cs="Times New Roman"/>
          <w:sz w:val="14"/>
          <w:szCs w:val="14"/>
        </w:rPr>
        <w:t>Cifras expresadas en pesos</w:t>
      </w:r>
    </w:p>
    <w:p w14:paraId="01ADB7C2" w14:textId="77777777" w:rsidR="00FD5EEA" w:rsidRPr="00951AB1" w:rsidRDefault="00FD5EEA" w:rsidP="000A5389">
      <w:pPr>
        <w:spacing w:line="240" w:lineRule="auto"/>
        <w:rPr>
          <w:rFonts w:cs="Times New Roman"/>
          <w:szCs w:val="24"/>
        </w:rPr>
      </w:pPr>
    </w:p>
    <w:p w14:paraId="01E09528" w14:textId="23763365" w:rsidR="00A93954" w:rsidRPr="00951AB1" w:rsidRDefault="00E659D0" w:rsidP="000A5389">
      <w:pPr>
        <w:spacing w:line="240" w:lineRule="auto"/>
        <w:rPr>
          <w:rFonts w:cs="Times New Roman"/>
          <w:szCs w:val="24"/>
        </w:rPr>
      </w:pPr>
      <w:r w:rsidRPr="00951AB1">
        <w:rPr>
          <w:rFonts w:cs="Times New Roman"/>
          <w:szCs w:val="24"/>
        </w:rPr>
        <w:t xml:space="preserve">El valor </w:t>
      </w:r>
      <w:r w:rsidR="00EC0AFD" w:rsidRPr="00951AB1">
        <w:rPr>
          <w:rFonts w:cs="Times New Roman"/>
          <w:szCs w:val="24"/>
        </w:rPr>
        <w:t xml:space="preserve">más representativo </w:t>
      </w:r>
      <w:r w:rsidR="002C0971" w:rsidRPr="00951AB1">
        <w:rPr>
          <w:rFonts w:cs="Times New Roman"/>
          <w:szCs w:val="24"/>
        </w:rPr>
        <w:t>de la cuenta de Otros recursos a favor de terceros</w:t>
      </w:r>
      <w:r w:rsidR="00170E65" w:rsidRPr="00951AB1">
        <w:rPr>
          <w:rFonts w:cs="Times New Roman"/>
          <w:szCs w:val="24"/>
        </w:rPr>
        <w:t xml:space="preserve"> c</w:t>
      </w:r>
      <w:r w:rsidR="00A93954" w:rsidRPr="00951AB1">
        <w:rPr>
          <w:rFonts w:cs="Times New Roman"/>
          <w:szCs w:val="24"/>
        </w:rPr>
        <w:t xml:space="preserve">orresponde al reconocimiento de cruce de cuentas por mayor valor pagado de la </w:t>
      </w:r>
      <w:r w:rsidR="00170E65" w:rsidRPr="00951AB1">
        <w:rPr>
          <w:rFonts w:cs="Times New Roman"/>
          <w:szCs w:val="24"/>
        </w:rPr>
        <w:t>c</w:t>
      </w:r>
      <w:r w:rsidR="00A93954" w:rsidRPr="00951AB1">
        <w:rPr>
          <w:rFonts w:cs="Times New Roman"/>
          <w:szCs w:val="24"/>
        </w:rPr>
        <w:t>ontraprestación aeroportuaria del tercero Aeropuerto Cartagena durante la vigencia según información reportada por VGCON Memorando No.20263080042333 de fecha 12-02-2026.</w:t>
      </w:r>
    </w:p>
    <w:p w14:paraId="28A57065" w14:textId="77777777" w:rsidR="00A93954" w:rsidRPr="00951AB1" w:rsidRDefault="00A93954" w:rsidP="000A5389">
      <w:pPr>
        <w:spacing w:line="240" w:lineRule="auto"/>
        <w:rPr>
          <w:rFonts w:cs="Times New Roman"/>
          <w:szCs w:val="24"/>
        </w:rPr>
      </w:pPr>
    </w:p>
    <w:p w14:paraId="0E48D585" w14:textId="77777777" w:rsidR="004522A5" w:rsidRPr="00951AB1" w:rsidRDefault="004522A5" w:rsidP="000A5389">
      <w:pPr>
        <w:spacing w:line="240" w:lineRule="auto"/>
        <w:rPr>
          <w:rFonts w:cs="Times New Roman"/>
          <w:szCs w:val="24"/>
          <w:highlight w:val="yellow"/>
        </w:rPr>
      </w:pPr>
      <w:r w:rsidRPr="00951AB1">
        <w:rPr>
          <w:rFonts w:cs="Times New Roman"/>
          <w:szCs w:val="24"/>
        </w:rPr>
        <w:t xml:space="preserve">El valor de $2.697.090.931 que se encuentra en </w:t>
      </w:r>
      <w:r w:rsidRPr="00951AB1">
        <w:rPr>
          <w:rFonts w:cs="Times New Roman"/>
          <w:i/>
          <w:szCs w:val="24"/>
        </w:rPr>
        <w:t>recaudos por reclasificar</w:t>
      </w:r>
      <w:r w:rsidRPr="00951AB1">
        <w:rPr>
          <w:rFonts w:cs="Times New Roman"/>
          <w:szCs w:val="24"/>
        </w:rPr>
        <w:t xml:space="preserve"> obedece, como su nombre lo indica, a partidas que se encuentran sin clasificar dado que, se desconoce el origen de algunos recursos y/o las cuentas bancarias para las devoluciones que correspondan. </w:t>
      </w:r>
    </w:p>
    <w:p w14:paraId="1B3415D4" w14:textId="77777777" w:rsidR="004522A5" w:rsidRPr="00951AB1" w:rsidRDefault="004522A5" w:rsidP="000A5389">
      <w:pPr>
        <w:spacing w:line="240" w:lineRule="auto"/>
        <w:rPr>
          <w:rFonts w:cs="Times New Roman"/>
          <w:szCs w:val="24"/>
          <w:highlight w:val="yellow"/>
        </w:rPr>
      </w:pPr>
    </w:p>
    <w:p w14:paraId="38361692" w14:textId="77777777" w:rsidR="004522A5" w:rsidRPr="00951AB1" w:rsidRDefault="004522A5" w:rsidP="000A5389">
      <w:pPr>
        <w:spacing w:line="240" w:lineRule="auto"/>
        <w:rPr>
          <w:rFonts w:cs="Times New Roman"/>
          <w:szCs w:val="24"/>
        </w:rPr>
      </w:pPr>
      <w:r w:rsidRPr="00951AB1">
        <w:rPr>
          <w:rFonts w:cs="Times New Roman"/>
          <w:szCs w:val="24"/>
        </w:rPr>
        <w:t>Esta cuenta contable de recaudos por clasificar no tiene restricciones, no aplica tasa de interés, no requiere seguimiento a cumplimiento de infracciones, ni detalles de la renegociación o corrección de la infracción, tampoco aplica nuevas restricciones, plazo mínimo y máximo y nueva tasa de interés.</w:t>
      </w:r>
    </w:p>
    <w:p w14:paraId="0456A7AF" w14:textId="701F0CED" w:rsidR="003443AB" w:rsidRPr="00951AB1" w:rsidRDefault="00983643" w:rsidP="000A5389">
      <w:pPr>
        <w:pStyle w:val="Ttulo3"/>
        <w:numPr>
          <w:ilvl w:val="2"/>
          <w:numId w:val="27"/>
        </w:numPr>
        <w:spacing w:line="240" w:lineRule="auto"/>
        <w:ind w:left="709" w:hanging="709"/>
        <w:rPr>
          <w:rFonts w:cs="Times New Roman"/>
          <w:color w:val="1F3864" w:themeColor="accent1" w:themeShade="80"/>
        </w:rPr>
      </w:pPr>
      <w:bookmarkStart w:id="541" w:name="_Toc191369532"/>
      <w:bookmarkStart w:id="542" w:name="_Toc191456862"/>
      <w:bookmarkStart w:id="543" w:name="_Toc191456972"/>
      <w:bookmarkStart w:id="544" w:name="_Toc191457082"/>
      <w:bookmarkStart w:id="545" w:name="_Toc191475709"/>
      <w:bookmarkStart w:id="546" w:name="_Toc191475818"/>
      <w:bookmarkStart w:id="547" w:name="_Toc191475927"/>
      <w:bookmarkStart w:id="548" w:name="_Toc191475450"/>
      <w:bookmarkStart w:id="549" w:name="_Toc191505826"/>
      <w:bookmarkStart w:id="550" w:name="_Toc222824141"/>
      <w:r w:rsidRPr="00951AB1">
        <w:rPr>
          <w:rFonts w:cs="Times New Roman"/>
          <w:color w:val="1F3864" w:themeColor="accent1" w:themeShade="80"/>
        </w:rPr>
        <w:t xml:space="preserve"> </w:t>
      </w:r>
      <w:r w:rsidRPr="00951AB1">
        <w:rPr>
          <w:rFonts w:cs="Times New Roman"/>
        </w:rPr>
        <w:tab/>
      </w:r>
      <w:bookmarkStart w:id="551" w:name="_Toc222955509"/>
      <w:r w:rsidR="003443AB" w:rsidRPr="00951AB1">
        <w:rPr>
          <w:rFonts w:cs="Times New Roman"/>
          <w:color w:val="1F3864" w:themeColor="accent1" w:themeShade="80"/>
        </w:rPr>
        <w:t>Adquisición de bienes y servicios nacionales</w:t>
      </w:r>
      <w:bookmarkEnd w:id="541"/>
      <w:bookmarkEnd w:id="542"/>
      <w:bookmarkEnd w:id="543"/>
      <w:bookmarkEnd w:id="544"/>
      <w:bookmarkEnd w:id="545"/>
      <w:bookmarkEnd w:id="546"/>
      <w:bookmarkEnd w:id="547"/>
      <w:bookmarkEnd w:id="548"/>
      <w:bookmarkEnd w:id="549"/>
      <w:bookmarkEnd w:id="550"/>
      <w:bookmarkEnd w:id="551"/>
    </w:p>
    <w:p w14:paraId="0B6BA1F2" w14:textId="77777777" w:rsidR="003443AB" w:rsidRPr="00951AB1" w:rsidRDefault="003443AB" w:rsidP="000A5389">
      <w:pPr>
        <w:spacing w:line="240" w:lineRule="auto"/>
        <w:rPr>
          <w:rFonts w:cs="Times New Roman"/>
          <w:szCs w:val="24"/>
          <w:u w:val="single"/>
        </w:rPr>
      </w:pPr>
    </w:p>
    <w:p w14:paraId="3B306B53" w14:textId="77777777" w:rsidR="003443AB" w:rsidRPr="00951AB1" w:rsidRDefault="003443AB" w:rsidP="000A5389">
      <w:pPr>
        <w:spacing w:line="240" w:lineRule="auto"/>
        <w:rPr>
          <w:rFonts w:cs="Times New Roman"/>
          <w:szCs w:val="24"/>
        </w:rPr>
      </w:pPr>
      <w:r w:rsidRPr="00951AB1">
        <w:rPr>
          <w:rFonts w:cs="Times New Roman"/>
          <w:szCs w:val="24"/>
        </w:rPr>
        <w:t>A continuación, se detalla el concepto correspondiente a adquisición de bienes y servicios el cual se discrimina así:</w:t>
      </w:r>
    </w:p>
    <w:p w14:paraId="4B9221A6" w14:textId="41E64182" w:rsidR="003443AB" w:rsidRPr="00951AB1" w:rsidRDefault="003443AB" w:rsidP="000A5389">
      <w:pPr>
        <w:spacing w:line="240" w:lineRule="auto"/>
        <w:rPr>
          <w:rFonts w:cs="Times New Roman"/>
          <w:szCs w:val="24"/>
        </w:rPr>
      </w:pPr>
    </w:p>
    <w:tbl>
      <w:tblPr>
        <w:tblW w:w="5000" w:type="pct"/>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CellMar>
          <w:left w:w="70" w:type="dxa"/>
          <w:right w:w="70" w:type="dxa"/>
        </w:tblCellMar>
        <w:tblLook w:val="04A0" w:firstRow="1" w:lastRow="0" w:firstColumn="1" w:lastColumn="0" w:noHBand="0" w:noVBand="1"/>
      </w:tblPr>
      <w:tblGrid>
        <w:gridCol w:w="2053"/>
        <w:gridCol w:w="920"/>
        <w:gridCol w:w="992"/>
        <w:gridCol w:w="1418"/>
        <w:gridCol w:w="849"/>
        <w:gridCol w:w="712"/>
        <w:gridCol w:w="941"/>
        <w:gridCol w:w="943"/>
      </w:tblGrid>
      <w:tr w:rsidR="00934AB7" w:rsidRPr="0039091F" w14:paraId="2B3846DD" w14:textId="77777777" w:rsidTr="001B10F3">
        <w:trPr>
          <w:trHeight w:val="381"/>
          <w:tblHeader/>
        </w:trPr>
        <w:tc>
          <w:tcPr>
            <w:tcW w:w="3048" w:type="pct"/>
            <w:gridSpan w:val="4"/>
            <w:vMerge w:val="restart"/>
            <w:shd w:val="clear" w:color="auto" w:fill="FFFFFF" w:themeFill="background1"/>
            <w:vAlign w:val="center"/>
            <w:hideMark/>
          </w:tcPr>
          <w:p w14:paraId="6A759A43" w14:textId="77777777" w:rsidR="003F65B7" w:rsidRPr="0039091F" w:rsidRDefault="003F65B7" w:rsidP="000A5389">
            <w:pPr>
              <w:spacing w:line="240" w:lineRule="auto"/>
              <w:jc w:val="center"/>
              <w:rPr>
                <w:rFonts w:eastAsia="Times New Roman" w:cs="Times New Roman"/>
                <w:b/>
                <w:kern w:val="0"/>
                <w:sz w:val="18"/>
                <w:szCs w:val="18"/>
                <w:lang w:eastAsia="es-CO"/>
                <w14:ligatures w14:val="none"/>
              </w:rPr>
            </w:pPr>
            <w:r w:rsidRPr="0039091F">
              <w:rPr>
                <w:rFonts w:eastAsia="Times New Roman" w:cs="Times New Roman"/>
                <w:b/>
                <w:kern w:val="0"/>
                <w:sz w:val="18"/>
                <w:szCs w:val="18"/>
                <w:lang w:eastAsia="es-CO"/>
                <w14:ligatures w14:val="none"/>
              </w:rPr>
              <w:lastRenderedPageBreak/>
              <w:t>ASOCIACIÓN DE DATOS</w:t>
            </w:r>
          </w:p>
        </w:tc>
        <w:tc>
          <w:tcPr>
            <w:tcW w:w="1952" w:type="pct"/>
            <w:gridSpan w:val="4"/>
            <w:shd w:val="clear" w:color="auto" w:fill="FFFFFF" w:themeFill="background1"/>
            <w:vAlign w:val="center"/>
            <w:hideMark/>
          </w:tcPr>
          <w:p w14:paraId="3CABF08E" w14:textId="77777777" w:rsidR="003F65B7" w:rsidRPr="0039091F" w:rsidRDefault="003F65B7" w:rsidP="000A5389">
            <w:pPr>
              <w:spacing w:line="240" w:lineRule="auto"/>
              <w:jc w:val="center"/>
              <w:rPr>
                <w:rFonts w:eastAsia="Times New Roman" w:cs="Times New Roman"/>
                <w:b/>
                <w:kern w:val="0"/>
                <w:sz w:val="18"/>
                <w:szCs w:val="18"/>
                <w:lang w:eastAsia="es-CO"/>
                <w14:ligatures w14:val="none"/>
              </w:rPr>
            </w:pPr>
            <w:r w:rsidRPr="0039091F">
              <w:rPr>
                <w:rFonts w:eastAsia="Times New Roman" w:cs="Times New Roman"/>
                <w:b/>
                <w:kern w:val="0"/>
                <w:sz w:val="18"/>
                <w:szCs w:val="18"/>
                <w:lang w:eastAsia="es-CO"/>
                <w14:ligatures w14:val="none"/>
              </w:rPr>
              <w:t>DETALLES DE LA TRANSACCIÓN</w:t>
            </w:r>
            <w:r w:rsidRPr="0039091F">
              <w:rPr>
                <w:rFonts w:eastAsia="Times New Roman" w:cs="Times New Roman"/>
                <w:b/>
                <w:kern w:val="0"/>
                <w:sz w:val="18"/>
                <w:szCs w:val="18"/>
                <w:lang w:eastAsia="es-CO"/>
                <w14:ligatures w14:val="none"/>
              </w:rPr>
              <w:br/>
              <w:t>(reporte agrupado por datos comunes de asociación)</w:t>
            </w:r>
          </w:p>
        </w:tc>
      </w:tr>
      <w:tr w:rsidR="00562DA2" w:rsidRPr="0039091F" w14:paraId="611168FA" w14:textId="77777777" w:rsidTr="001B10F3">
        <w:trPr>
          <w:trHeight w:val="306"/>
          <w:tblHeader/>
        </w:trPr>
        <w:tc>
          <w:tcPr>
            <w:tcW w:w="3048" w:type="pct"/>
            <w:gridSpan w:val="4"/>
            <w:vMerge/>
            <w:vAlign w:val="center"/>
            <w:hideMark/>
          </w:tcPr>
          <w:p w14:paraId="29034682" w14:textId="77777777" w:rsidR="003F65B7" w:rsidRPr="0039091F" w:rsidRDefault="003F65B7" w:rsidP="000A5389">
            <w:pPr>
              <w:spacing w:line="240" w:lineRule="auto"/>
              <w:rPr>
                <w:rFonts w:eastAsia="Times New Roman" w:cs="Times New Roman"/>
                <w:b/>
                <w:kern w:val="0"/>
                <w:sz w:val="18"/>
                <w:szCs w:val="18"/>
                <w:lang w:eastAsia="es-CO"/>
                <w14:ligatures w14:val="none"/>
              </w:rPr>
            </w:pPr>
          </w:p>
        </w:tc>
        <w:tc>
          <w:tcPr>
            <w:tcW w:w="884" w:type="pct"/>
            <w:gridSpan w:val="2"/>
            <w:shd w:val="clear" w:color="auto" w:fill="FFFFFF" w:themeFill="background1"/>
            <w:vAlign w:val="center"/>
            <w:hideMark/>
          </w:tcPr>
          <w:p w14:paraId="7DB4A1DE" w14:textId="77777777" w:rsidR="003F65B7" w:rsidRPr="0039091F" w:rsidRDefault="003F65B7" w:rsidP="000A5389">
            <w:pPr>
              <w:spacing w:line="240" w:lineRule="auto"/>
              <w:jc w:val="center"/>
              <w:rPr>
                <w:rFonts w:eastAsia="Times New Roman" w:cs="Times New Roman"/>
                <w:b/>
                <w:kern w:val="0"/>
                <w:sz w:val="18"/>
                <w:szCs w:val="18"/>
                <w:lang w:eastAsia="es-CO"/>
                <w14:ligatures w14:val="none"/>
              </w:rPr>
            </w:pPr>
            <w:r w:rsidRPr="0039091F">
              <w:rPr>
                <w:rFonts w:eastAsia="Times New Roman" w:cs="Times New Roman"/>
                <w:b/>
                <w:kern w:val="0"/>
                <w:sz w:val="18"/>
                <w:szCs w:val="18"/>
                <w:lang w:eastAsia="es-CO"/>
                <w14:ligatures w14:val="none"/>
              </w:rPr>
              <w:t>PLAZO</w:t>
            </w:r>
            <w:r w:rsidRPr="0039091F">
              <w:rPr>
                <w:rFonts w:eastAsia="Times New Roman" w:cs="Times New Roman"/>
                <w:b/>
                <w:kern w:val="0"/>
                <w:sz w:val="18"/>
                <w:szCs w:val="18"/>
                <w:lang w:eastAsia="es-CO"/>
                <w14:ligatures w14:val="none"/>
              </w:rPr>
              <w:br/>
              <w:t>(rango en # meses)</w:t>
            </w:r>
          </w:p>
        </w:tc>
        <w:tc>
          <w:tcPr>
            <w:tcW w:w="533" w:type="pct"/>
            <w:vMerge w:val="restart"/>
            <w:shd w:val="clear" w:color="auto" w:fill="FFFFFF" w:themeFill="background1"/>
            <w:vAlign w:val="center"/>
            <w:hideMark/>
          </w:tcPr>
          <w:p w14:paraId="15B2CE24" w14:textId="77777777" w:rsidR="003F65B7" w:rsidRPr="0039091F" w:rsidRDefault="003F65B7" w:rsidP="000A5389">
            <w:pPr>
              <w:spacing w:line="240" w:lineRule="auto"/>
              <w:jc w:val="center"/>
              <w:rPr>
                <w:rFonts w:eastAsia="Times New Roman" w:cs="Times New Roman"/>
                <w:b/>
                <w:kern w:val="0"/>
                <w:sz w:val="18"/>
                <w:szCs w:val="18"/>
                <w:lang w:eastAsia="es-CO"/>
                <w14:ligatures w14:val="none"/>
              </w:rPr>
            </w:pPr>
            <w:r w:rsidRPr="0039091F">
              <w:rPr>
                <w:rFonts w:eastAsia="Times New Roman" w:cs="Times New Roman"/>
                <w:b/>
                <w:kern w:val="0"/>
                <w:sz w:val="18"/>
                <w:szCs w:val="18"/>
                <w:lang w:eastAsia="es-CO"/>
                <w14:ligatures w14:val="none"/>
              </w:rPr>
              <w:t>RESTRICCIONES</w:t>
            </w:r>
          </w:p>
        </w:tc>
        <w:tc>
          <w:tcPr>
            <w:tcW w:w="535" w:type="pct"/>
            <w:vMerge w:val="restart"/>
            <w:shd w:val="clear" w:color="auto" w:fill="FFFFFF" w:themeFill="background1"/>
            <w:vAlign w:val="center"/>
            <w:hideMark/>
          </w:tcPr>
          <w:p w14:paraId="079B04BD" w14:textId="77777777" w:rsidR="003F65B7" w:rsidRPr="0039091F" w:rsidRDefault="003F65B7" w:rsidP="000A5389">
            <w:pPr>
              <w:spacing w:line="240" w:lineRule="auto"/>
              <w:jc w:val="center"/>
              <w:rPr>
                <w:rFonts w:eastAsia="Times New Roman" w:cs="Times New Roman"/>
                <w:b/>
                <w:kern w:val="0"/>
                <w:sz w:val="18"/>
                <w:szCs w:val="18"/>
                <w:lang w:eastAsia="es-CO"/>
                <w14:ligatures w14:val="none"/>
              </w:rPr>
            </w:pPr>
            <w:r w:rsidRPr="0039091F">
              <w:rPr>
                <w:rFonts w:eastAsia="Times New Roman" w:cs="Times New Roman"/>
                <w:b/>
                <w:kern w:val="0"/>
                <w:sz w:val="18"/>
                <w:szCs w:val="18"/>
                <w:lang w:eastAsia="es-CO"/>
                <w14:ligatures w14:val="none"/>
              </w:rPr>
              <w:t>TASA DE INTERES</w:t>
            </w:r>
            <w:r w:rsidRPr="0039091F">
              <w:rPr>
                <w:rFonts w:eastAsia="Times New Roman" w:cs="Times New Roman"/>
                <w:b/>
                <w:kern w:val="0"/>
                <w:sz w:val="18"/>
                <w:szCs w:val="18"/>
                <w:lang w:eastAsia="es-CO"/>
                <w14:ligatures w14:val="none"/>
              </w:rPr>
              <w:br/>
              <w:t>(%)</w:t>
            </w:r>
          </w:p>
        </w:tc>
      </w:tr>
      <w:tr w:rsidR="0026612B" w:rsidRPr="0039091F" w14:paraId="054ED6E7" w14:textId="77777777" w:rsidTr="001B10F3">
        <w:trPr>
          <w:trHeight w:val="136"/>
          <w:tblHeader/>
        </w:trPr>
        <w:tc>
          <w:tcPr>
            <w:tcW w:w="1163" w:type="pct"/>
            <w:shd w:val="clear" w:color="auto" w:fill="FFFFFF" w:themeFill="background1"/>
            <w:vAlign w:val="center"/>
            <w:hideMark/>
          </w:tcPr>
          <w:p w14:paraId="73F52000" w14:textId="77777777" w:rsidR="003F65B7" w:rsidRPr="0039091F" w:rsidRDefault="003F65B7" w:rsidP="000A5389">
            <w:pPr>
              <w:spacing w:line="240" w:lineRule="auto"/>
              <w:jc w:val="center"/>
              <w:rPr>
                <w:rFonts w:eastAsia="Times New Roman" w:cs="Times New Roman"/>
                <w:b/>
                <w:kern w:val="0"/>
                <w:sz w:val="18"/>
                <w:szCs w:val="18"/>
                <w:lang w:eastAsia="es-CO"/>
                <w14:ligatures w14:val="none"/>
              </w:rPr>
            </w:pPr>
            <w:r w:rsidRPr="0039091F">
              <w:rPr>
                <w:rFonts w:eastAsia="Times New Roman" w:cs="Times New Roman"/>
                <w:b/>
                <w:kern w:val="0"/>
                <w:sz w:val="18"/>
                <w:szCs w:val="18"/>
                <w:lang w:eastAsia="es-CO"/>
                <w14:ligatures w14:val="none"/>
              </w:rPr>
              <w:t>TIPO DE TERCEROS</w:t>
            </w:r>
          </w:p>
        </w:tc>
        <w:tc>
          <w:tcPr>
            <w:tcW w:w="521" w:type="pct"/>
            <w:shd w:val="clear" w:color="auto" w:fill="FFFFFF" w:themeFill="background1"/>
            <w:vAlign w:val="center"/>
            <w:hideMark/>
          </w:tcPr>
          <w:p w14:paraId="1DD99065" w14:textId="77777777" w:rsidR="003F65B7" w:rsidRPr="0039091F" w:rsidRDefault="003F65B7" w:rsidP="000A5389">
            <w:pPr>
              <w:spacing w:line="240" w:lineRule="auto"/>
              <w:jc w:val="center"/>
              <w:rPr>
                <w:rFonts w:eastAsia="Times New Roman" w:cs="Times New Roman"/>
                <w:b/>
                <w:kern w:val="0"/>
                <w:sz w:val="18"/>
                <w:szCs w:val="18"/>
                <w:lang w:eastAsia="es-CO"/>
                <w14:ligatures w14:val="none"/>
              </w:rPr>
            </w:pPr>
            <w:r w:rsidRPr="0039091F">
              <w:rPr>
                <w:rFonts w:eastAsia="Times New Roman" w:cs="Times New Roman"/>
                <w:b/>
                <w:kern w:val="0"/>
                <w:sz w:val="18"/>
                <w:szCs w:val="18"/>
                <w:lang w:eastAsia="es-CO"/>
                <w14:ligatures w14:val="none"/>
              </w:rPr>
              <w:t>PN / PJ / ECP</w:t>
            </w:r>
          </w:p>
        </w:tc>
        <w:tc>
          <w:tcPr>
            <w:tcW w:w="562" w:type="pct"/>
            <w:shd w:val="clear" w:color="auto" w:fill="FFFFFF" w:themeFill="background1"/>
            <w:vAlign w:val="center"/>
            <w:hideMark/>
          </w:tcPr>
          <w:p w14:paraId="3E8537DA" w14:textId="77777777" w:rsidR="003F65B7" w:rsidRPr="0039091F" w:rsidRDefault="003F65B7" w:rsidP="000A5389">
            <w:pPr>
              <w:spacing w:line="240" w:lineRule="auto"/>
              <w:jc w:val="center"/>
              <w:rPr>
                <w:rFonts w:eastAsia="Times New Roman" w:cs="Times New Roman"/>
                <w:b/>
                <w:kern w:val="0"/>
                <w:sz w:val="18"/>
                <w:szCs w:val="18"/>
                <w:lang w:eastAsia="es-CO"/>
                <w14:ligatures w14:val="none"/>
              </w:rPr>
            </w:pPr>
            <w:r w:rsidRPr="0039091F">
              <w:rPr>
                <w:rFonts w:eastAsia="Times New Roman" w:cs="Times New Roman"/>
                <w:b/>
                <w:kern w:val="0"/>
                <w:sz w:val="18"/>
                <w:szCs w:val="18"/>
                <w:lang w:eastAsia="es-CO"/>
                <w14:ligatures w14:val="none"/>
              </w:rPr>
              <w:t>CANTIDAD</w:t>
            </w:r>
          </w:p>
        </w:tc>
        <w:tc>
          <w:tcPr>
            <w:tcW w:w="803" w:type="pct"/>
            <w:shd w:val="clear" w:color="auto" w:fill="FFFFFF" w:themeFill="background1"/>
            <w:vAlign w:val="center"/>
            <w:hideMark/>
          </w:tcPr>
          <w:p w14:paraId="17BC72C6" w14:textId="77777777" w:rsidR="003F65B7" w:rsidRPr="0039091F" w:rsidRDefault="003F65B7" w:rsidP="000A5389">
            <w:pPr>
              <w:spacing w:line="240" w:lineRule="auto"/>
              <w:jc w:val="center"/>
              <w:rPr>
                <w:rFonts w:eastAsia="Times New Roman" w:cs="Times New Roman"/>
                <w:b/>
                <w:kern w:val="0"/>
                <w:sz w:val="18"/>
                <w:szCs w:val="18"/>
                <w:lang w:eastAsia="es-CO"/>
                <w14:ligatures w14:val="none"/>
              </w:rPr>
            </w:pPr>
            <w:r w:rsidRPr="0039091F">
              <w:rPr>
                <w:rFonts w:eastAsia="Times New Roman" w:cs="Times New Roman"/>
                <w:b/>
                <w:kern w:val="0"/>
                <w:sz w:val="18"/>
                <w:szCs w:val="18"/>
                <w:lang w:eastAsia="es-CO"/>
                <w14:ligatures w14:val="none"/>
              </w:rPr>
              <w:t>VALOR EN LIBROS</w:t>
            </w:r>
          </w:p>
        </w:tc>
        <w:tc>
          <w:tcPr>
            <w:tcW w:w="481" w:type="pct"/>
            <w:shd w:val="clear" w:color="auto" w:fill="FFFFFF" w:themeFill="background1"/>
            <w:vAlign w:val="center"/>
            <w:hideMark/>
          </w:tcPr>
          <w:p w14:paraId="338BE1D5" w14:textId="4FEB149B" w:rsidR="003F65B7" w:rsidRPr="0039091F" w:rsidRDefault="003F65B7" w:rsidP="000A5389">
            <w:pPr>
              <w:spacing w:line="240" w:lineRule="auto"/>
              <w:jc w:val="center"/>
              <w:rPr>
                <w:rFonts w:eastAsia="Times New Roman" w:cs="Times New Roman"/>
                <w:b/>
                <w:kern w:val="0"/>
                <w:sz w:val="18"/>
                <w:szCs w:val="18"/>
                <w:lang w:eastAsia="es-CO"/>
                <w14:ligatures w14:val="none"/>
              </w:rPr>
            </w:pPr>
            <w:r w:rsidRPr="0039091F">
              <w:rPr>
                <w:rFonts w:eastAsia="Times New Roman" w:cs="Times New Roman"/>
                <w:b/>
                <w:kern w:val="0"/>
                <w:sz w:val="18"/>
                <w:szCs w:val="18"/>
                <w:lang w:eastAsia="es-CO"/>
                <w14:ligatures w14:val="none"/>
              </w:rPr>
              <w:t>MÍN</w:t>
            </w:r>
          </w:p>
        </w:tc>
        <w:tc>
          <w:tcPr>
            <w:tcW w:w="402" w:type="pct"/>
            <w:shd w:val="clear" w:color="auto" w:fill="FFFFFF" w:themeFill="background1"/>
            <w:vAlign w:val="center"/>
            <w:hideMark/>
          </w:tcPr>
          <w:p w14:paraId="1863824C" w14:textId="0882662A" w:rsidR="003F65B7" w:rsidRPr="0039091F" w:rsidRDefault="003F65B7" w:rsidP="000A5389">
            <w:pPr>
              <w:spacing w:line="240" w:lineRule="auto"/>
              <w:jc w:val="center"/>
              <w:rPr>
                <w:rFonts w:eastAsia="Times New Roman" w:cs="Times New Roman"/>
                <w:b/>
                <w:kern w:val="0"/>
                <w:sz w:val="18"/>
                <w:szCs w:val="18"/>
                <w:lang w:eastAsia="es-CO"/>
                <w14:ligatures w14:val="none"/>
              </w:rPr>
            </w:pPr>
            <w:r w:rsidRPr="0039091F">
              <w:rPr>
                <w:rFonts w:eastAsia="Times New Roman" w:cs="Times New Roman"/>
                <w:b/>
                <w:kern w:val="0"/>
                <w:sz w:val="18"/>
                <w:szCs w:val="18"/>
                <w:lang w:eastAsia="es-CO"/>
                <w14:ligatures w14:val="none"/>
              </w:rPr>
              <w:t>MÁX</w:t>
            </w:r>
          </w:p>
        </w:tc>
        <w:tc>
          <w:tcPr>
            <w:tcW w:w="533" w:type="pct"/>
            <w:vMerge/>
            <w:vAlign w:val="center"/>
            <w:hideMark/>
          </w:tcPr>
          <w:p w14:paraId="3C8A4FE3" w14:textId="77777777" w:rsidR="003F65B7" w:rsidRPr="0039091F" w:rsidRDefault="003F65B7" w:rsidP="000A5389">
            <w:pPr>
              <w:spacing w:line="240" w:lineRule="auto"/>
              <w:rPr>
                <w:rFonts w:eastAsia="Times New Roman" w:cs="Times New Roman"/>
                <w:b/>
                <w:kern w:val="0"/>
                <w:sz w:val="18"/>
                <w:szCs w:val="18"/>
                <w:lang w:eastAsia="es-CO"/>
                <w14:ligatures w14:val="none"/>
              </w:rPr>
            </w:pPr>
          </w:p>
        </w:tc>
        <w:tc>
          <w:tcPr>
            <w:tcW w:w="535" w:type="pct"/>
            <w:vMerge/>
            <w:vAlign w:val="center"/>
            <w:hideMark/>
          </w:tcPr>
          <w:p w14:paraId="21278CBC" w14:textId="77777777" w:rsidR="003F65B7" w:rsidRPr="0039091F" w:rsidRDefault="003F65B7" w:rsidP="000A5389">
            <w:pPr>
              <w:spacing w:line="240" w:lineRule="auto"/>
              <w:rPr>
                <w:rFonts w:eastAsia="Times New Roman" w:cs="Times New Roman"/>
                <w:b/>
                <w:kern w:val="0"/>
                <w:sz w:val="18"/>
                <w:szCs w:val="18"/>
                <w:lang w:eastAsia="es-CO"/>
                <w14:ligatures w14:val="none"/>
              </w:rPr>
            </w:pPr>
          </w:p>
        </w:tc>
      </w:tr>
      <w:tr w:rsidR="0026612B" w:rsidRPr="0039091F" w14:paraId="35DEB874" w14:textId="77777777" w:rsidTr="001B10F3">
        <w:trPr>
          <w:trHeight w:val="617"/>
        </w:trPr>
        <w:tc>
          <w:tcPr>
            <w:tcW w:w="1163" w:type="pct"/>
            <w:shd w:val="clear" w:color="auto" w:fill="FFFFFF" w:themeFill="background1"/>
            <w:vAlign w:val="center"/>
            <w:hideMark/>
          </w:tcPr>
          <w:p w14:paraId="3C96FDC9" w14:textId="77777777" w:rsidR="003F65B7" w:rsidRPr="0039091F" w:rsidRDefault="003F65B7" w:rsidP="000A5389">
            <w:pPr>
              <w:spacing w:line="240" w:lineRule="auto"/>
              <w:rPr>
                <w:rFonts w:eastAsia="Times New Roman" w:cs="Times New Roman"/>
                <w:b/>
                <w:kern w:val="0"/>
                <w:sz w:val="18"/>
                <w:szCs w:val="18"/>
                <w:lang w:eastAsia="es-CO"/>
                <w14:ligatures w14:val="none"/>
              </w:rPr>
            </w:pPr>
            <w:r w:rsidRPr="0039091F">
              <w:rPr>
                <w:rFonts w:eastAsia="Times New Roman" w:cs="Times New Roman"/>
                <w:b/>
                <w:kern w:val="0"/>
                <w:sz w:val="18"/>
                <w:szCs w:val="18"/>
                <w:lang w:eastAsia="es-CO"/>
                <w14:ligatures w14:val="none"/>
              </w:rPr>
              <w:t>ADQUISICIÓN DE BIENES Y SERVICIOS NACIONALES</w:t>
            </w:r>
          </w:p>
        </w:tc>
        <w:tc>
          <w:tcPr>
            <w:tcW w:w="521" w:type="pct"/>
            <w:shd w:val="clear" w:color="auto" w:fill="FFFFFF" w:themeFill="background1"/>
            <w:noWrap/>
            <w:vAlign w:val="center"/>
            <w:hideMark/>
          </w:tcPr>
          <w:p w14:paraId="0792E5C2" w14:textId="77777777" w:rsidR="003F65B7" w:rsidRPr="0039091F" w:rsidRDefault="003F65B7" w:rsidP="000A5389">
            <w:pPr>
              <w:spacing w:line="240" w:lineRule="auto"/>
              <w:rPr>
                <w:rFonts w:eastAsia="Times New Roman" w:cs="Times New Roman"/>
                <w:b/>
                <w:kern w:val="0"/>
                <w:sz w:val="18"/>
                <w:szCs w:val="18"/>
                <w:lang w:eastAsia="es-CO"/>
                <w14:ligatures w14:val="none"/>
              </w:rPr>
            </w:pPr>
            <w:r w:rsidRPr="0039091F">
              <w:rPr>
                <w:rFonts w:eastAsia="Times New Roman" w:cs="Times New Roman"/>
                <w:b/>
                <w:kern w:val="0"/>
                <w:sz w:val="18"/>
                <w:szCs w:val="18"/>
                <w:lang w:eastAsia="es-CO"/>
                <w14:ligatures w14:val="none"/>
              </w:rPr>
              <w:t> </w:t>
            </w:r>
          </w:p>
        </w:tc>
        <w:tc>
          <w:tcPr>
            <w:tcW w:w="562" w:type="pct"/>
            <w:shd w:val="clear" w:color="auto" w:fill="FFFFFF" w:themeFill="background1"/>
            <w:noWrap/>
            <w:vAlign w:val="center"/>
            <w:hideMark/>
          </w:tcPr>
          <w:p w14:paraId="2984FFDF" w14:textId="77777777" w:rsidR="003F65B7" w:rsidRPr="0039091F" w:rsidRDefault="003F65B7" w:rsidP="000A5389">
            <w:pPr>
              <w:spacing w:line="240" w:lineRule="auto"/>
              <w:rPr>
                <w:rFonts w:eastAsia="Times New Roman" w:cs="Times New Roman"/>
                <w:b/>
                <w:kern w:val="0"/>
                <w:sz w:val="18"/>
                <w:szCs w:val="18"/>
                <w:lang w:eastAsia="es-CO"/>
                <w14:ligatures w14:val="none"/>
              </w:rPr>
            </w:pPr>
            <w:r w:rsidRPr="0039091F">
              <w:rPr>
                <w:rFonts w:eastAsia="Times New Roman" w:cs="Times New Roman"/>
                <w:b/>
                <w:kern w:val="0"/>
                <w:sz w:val="18"/>
                <w:szCs w:val="18"/>
                <w:lang w:eastAsia="es-CO"/>
                <w14:ligatures w14:val="none"/>
              </w:rPr>
              <w:t> </w:t>
            </w:r>
          </w:p>
        </w:tc>
        <w:tc>
          <w:tcPr>
            <w:tcW w:w="803" w:type="pct"/>
            <w:shd w:val="clear" w:color="auto" w:fill="FFFFFF" w:themeFill="background1"/>
            <w:noWrap/>
            <w:vAlign w:val="center"/>
            <w:hideMark/>
          </w:tcPr>
          <w:p w14:paraId="6E58D0EC" w14:textId="77777777" w:rsidR="003F65B7" w:rsidRPr="0039091F" w:rsidRDefault="003F65B7" w:rsidP="000A5389">
            <w:pPr>
              <w:spacing w:line="240" w:lineRule="auto"/>
              <w:jc w:val="right"/>
              <w:rPr>
                <w:rFonts w:eastAsia="Times New Roman" w:cs="Times New Roman"/>
                <w:b/>
                <w:kern w:val="0"/>
                <w:sz w:val="18"/>
                <w:szCs w:val="18"/>
                <w:lang w:eastAsia="es-CO"/>
                <w14:ligatures w14:val="none"/>
              </w:rPr>
            </w:pPr>
            <w:r w:rsidRPr="0039091F">
              <w:rPr>
                <w:rFonts w:eastAsia="Times New Roman" w:cs="Times New Roman"/>
                <w:b/>
                <w:kern w:val="0"/>
                <w:sz w:val="18"/>
                <w:szCs w:val="18"/>
                <w:lang w:eastAsia="es-CO"/>
                <w14:ligatures w14:val="none"/>
              </w:rPr>
              <w:t xml:space="preserve">5.734.430.663 </w:t>
            </w:r>
          </w:p>
        </w:tc>
        <w:tc>
          <w:tcPr>
            <w:tcW w:w="481" w:type="pct"/>
            <w:shd w:val="clear" w:color="auto" w:fill="FFFFFF" w:themeFill="background1"/>
            <w:noWrap/>
            <w:vAlign w:val="center"/>
            <w:hideMark/>
          </w:tcPr>
          <w:p w14:paraId="6053CF70" w14:textId="77777777" w:rsidR="003F65B7" w:rsidRPr="0039091F" w:rsidRDefault="003F65B7" w:rsidP="000A5389">
            <w:pPr>
              <w:spacing w:line="240" w:lineRule="auto"/>
              <w:rPr>
                <w:rFonts w:eastAsia="Times New Roman" w:cs="Times New Roman"/>
                <w:b/>
                <w:kern w:val="0"/>
                <w:sz w:val="18"/>
                <w:szCs w:val="18"/>
                <w:lang w:eastAsia="es-CO"/>
                <w14:ligatures w14:val="none"/>
              </w:rPr>
            </w:pPr>
            <w:r w:rsidRPr="0039091F">
              <w:rPr>
                <w:rFonts w:eastAsia="Times New Roman" w:cs="Times New Roman"/>
                <w:b/>
                <w:kern w:val="0"/>
                <w:sz w:val="18"/>
                <w:szCs w:val="18"/>
                <w:lang w:eastAsia="es-CO"/>
                <w14:ligatures w14:val="none"/>
              </w:rPr>
              <w:t> </w:t>
            </w:r>
          </w:p>
        </w:tc>
        <w:tc>
          <w:tcPr>
            <w:tcW w:w="402" w:type="pct"/>
            <w:shd w:val="clear" w:color="auto" w:fill="FFFFFF" w:themeFill="background1"/>
            <w:noWrap/>
            <w:vAlign w:val="center"/>
            <w:hideMark/>
          </w:tcPr>
          <w:p w14:paraId="0A49F680" w14:textId="77777777" w:rsidR="003F65B7" w:rsidRPr="0039091F" w:rsidRDefault="003F65B7" w:rsidP="000A5389">
            <w:pPr>
              <w:spacing w:line="240" w:lineRule="auto"/>
              <w:jc w:val="center"/>
              <w:rPr>
                <w:rFonts w:eastAsia="Times New Roman" w:cs="Times New Roman"/>
                <w:b/>
                <w:kern w:val="0"/>
                <w:sz w:val="18"/>
                <w:szCs w:val="18"/>
                <w:lang w:eastAsia="es-CO"/>
                <w14:ligatures w14:val="none"/>
              </w:rPr>
            </w:pPr>
            <w:r w:rsidRPr="0039091F">
              <w:rPr>
                <w:rFonts w:eastAsia="Times New Roman" w:cs="Times New Roman"/>
                <w:b/>
                <w:kern w:val="0"/>
                <w:sz w:val="18"/>
                <w:szCs w:val="18"/>
                <w:lang w:eastAsia="es-CO"/>
                <w14:ligatures w14:val="none"/>
              </w:rPr>
              <w:t> </w:t>
            </w:r>
          </w:p>
        </w:tc>
        <w:tc>
          <w:tcPr>
            <w:tcW w:w="533" w:type="pct"/>
            <w:shd w:val="clear" w:color="auto" w:fill="FFFFFF" w:themeFill="background1"/>
            <w:noWrap/>
            <w:vAlign w:val="center"/>
            <w:hideMark/>
          </w:tcPr>
          <w:p w14:paraId="528234D0" w14:textId="273B453C" w:rsidR="003F65B7" w:rsidRPr="0039091F" w:rsidRDefault="003F65B7" w:rsidP="000A5389">
            <w:pPr>
              <w:spacing w:line="240" w:lineRule="auto"/>
              <w:jc w:val="center"/>
              <w:rPr>
                <w:rFonts w:eastAsia="Times New Roman" w:cs="Times New Roman"/>
                <w:b/>
                <w:kern w:val="0"/>
                <w:sz w:val="18"/>
                <w:szCs w:val="18"/>
                <w:lang w:eastAsia="es-CO"/>
                <w14:ligatures w14:val="none"/>
              </w:rPr>
            </w:pPr>
          </w:p>
        </w:tc>
        <w:tc>
          <w:tcPr>
            <w:tcW w:w="535" w:type="pct"/>
            <w:shd w:val="clear" w:color="auto" w:fill="FFFFFF" w:themeFill="background1"/>
            <w:noWrap/>
            <w:vAlign w:val="center"/>
            <w:hideMark/>
          </w:tcPr>
          <w:p w14:paraId="6830DEC2" w14:textId="77777777" w:rsidR="003F65B7" w:rsidRPr="0039091F" w:rsidRDefault="003F65B7" w:rsidP="000A5389">
            <w:pPr>
              <w:spacing w:line="240" w:lineRule="auto"/>
              <w:jc w:val="center"/>
              <w:rPr>
                <w:rFonts w:eastAsia="Times New Roman" w:cs="Times New Roman"/>
                <w:b/>
                <w:kern w:val="0"/>
                <w:sz w:val="18"/>
                <w:szCs w:val="18"/>
                <w:lang w:eastAsia="es-CO"/>
                <w14:ligatures w14:val="none"/>
              </w:rPr>
            </w:pPr>
            <w:r w:rsidRPr="0039091F">
              <w:rPr>
                <w:rFonts w:eastAsia="Times New Roman" w:cs="Times New Roman"/>
                <w:b/>
                <w:kern w:val="0"/>
                <w:sz w:val="18"/>
                <w:szCs w:val="18"/>
                <w:lang w:eastAsia="es-CO"/>
                <w14:ligatures w14:val="none"/>
              </w:rPr>
              <w:t xml:space="preserve">0,0 </w:t>
            </w:r>
          </w:p>
        </w:tc>
      </w:tr>
      <w:tr w:rsidR="0026612B" w:rsidRPr="0039091F" w14:paraId="46586EDC" w14:textId="77777777" w:rsidTr="001B10F3">
        <w:trPr>
          <w:trHeight w:val="205"/>
        </w:trPr>
        <w:tc>
          <w:tcPr>
            <w:tcW w:w="1163" w:type="pct"/>
            <w:shd w:val="clear" w:color="auto" w:fill="FFFFFF" w:themeFill="background1"/>
            <w:noWrap/>
            <w:vAlign w:val="center"/>
            <w:hideMark/>
          </w:tcPr>
          <w:p w14:paraId="3C571D45" w14:textId="77777777" w:rsidR="003F65B7" w:rsidRPr="0039091F" w:rsidRDefault="003F65B7" w:rsidP="000A5389">
            <w:pPr>
              <w:spacing w:line="240" w:lineRule="auto"/>
              <w:rPr>
                <w:rFonts w:eastAsia="Times New Roman" w:cs="Times New Roman"/>
                <w:b/>
                <w:kern w:val="0"/>
                <w:sz w:val="18"/>
                <w:szCs w:val="18"/>
                <w:lang w:eastAsia="es-CO"/>
                <w14:ligatures w14:val="none"/>
              </w:rPr>
            </w:pPr>
            <w:r w:rsidRPr="0039091F">
              <w:rPr>
                <w:rFonts w:eastAsia="Times New Roman" w:cs="Times New Roman"/>
                <w:b/>
                <w:kern w:val="0"/>
                <w:sz w:val="18"/>
                <w:szCs w:val="18"/>
                <w:lang w:eastAsia="es-CO"/>
                <w14:ligatures w14:val="none"/>
              </w:rPr>
              <w:t>Proyectos de inversión</w:t>
            </w:r>
          </w:p>
        </w:tc>
        <w:tc>
          <w:tcPr>
            <w:tcW w:w="521" w:type="pct"/>
            <w:shd w:val="clear" w:color="auto" w:fill="FFFFFF" w:themeFill="background1"/>
            <w:noWrap/>
            <w:vAlign w:val="center"/>
            <w:hideMark/>
          </w:tcPr>
          <w:p w14:paraId="750AC5D1" w14:textId="77777777" w:rsidR="003F65B7" w:rsidRPr="0039091F" w:rsidRDefault="003F65B7" w:rsidP="000A5389">
            <w:pPr>
              <w:spacing w:line="240" w:lineRule="auto"/>
              <w:rPr>
                <w:rFonts w:eastAsia="Times New Roman" w:cs="Times New Roman"/>
                <w:b/>
                <w:kern w:val="0"/>
                <w:sz w:val="18"/>
                <w:szCs w:val="18"/>
                <w:lang w:eastAsia="es-CO"/>
                <w14:ligatures w14:val="none"/>
              </w:rPr>
            </w:pPr>
            <w:r w:rsidRPr="0039091F">
              <w:rPr>
                <w:rFonts w:eastAsia="Times New Roman" w:cs="Times New Roman"/>
                <w:b/>
                <w:kern w:val="0"/>
                <w:sz w:val="18"/>
                <w:szCs w:val="18"/>
                <w:lang w:eastAsia="es-CO"/>
                <w14:ligatures w14:val="none"/>
              </w:rPr>
              <w:t> </w:t>
            </w:r>
          </w:p>
        </w:tc>
        <w:tc>
          <w:tcPr>
            <w:tcW w:w="562" w:type="pct"/>
            <w:shd w:val="clear" w:color="auto" w:fill="FFFFFF" w:themeFill="background1"/>
            <w:noWrap/>
            <w:vAlign w:val="center"/>
            <w:hideMark/>
          </w:tcPr>
          <w:p w14:paraId="3953D664" w14:textId="77777777" w:rsidR="003F65B7" w:rsidRPr="0039091F" w:rsidRDefault="003F65B7" w:rsidP="000A5389">
            <w:pPr>
              <w:spacing w:line="240" w:lineRule="auto"/>
              <w:rPr>
                <w:rFonts w:eastAsia="Times New Roman" w:cs="Times New Roman"/>
                <w:b/>
                <w:kern w:val="0"/>
                <w:sz w:val="18"/>
                <w:szCs w:val="18"/>
                <w:lang w:eastAsia="es-CO"/>
                <w14:ligatures w14:val="none"/>
              </w:rPr>
            </w:pPr>
            <w:r w:rsidRPr="0039091F">
              <w:rPr>
                <w:rFonts w:eastAsia="Times New Roman" w:cs="Times New Roman"/>
                <w:b/>
                <w:kern w:val="0"/>
                <w:sz w:val="18"/>
                <w:szCs w:val="18"/>
                <w:lang w:eastAsia="es-CO"/>
                <w14:ligatures w14:val="none"/>
              </w:rPr>
              <w:t> </w:t>
            </w:r>
          </w:p>
        </w:tc>
        <w:tc>
          <w:tcPr>
            <w:tcW w:w="803" w:type="pct"/>
            <w:shd w:val="clear" w:color="auto" w:fill="FFFFFF" w:themeFill="background1"/>
            <w:noWrap/>
            <w:vAlign w:val="center"/>
            <w:hideMark/>
          </w:tcPr>
          <w:p w14:paraId="605490B8" w14:textId="77777777" w:rsidR="003F65B7" w:rsidRPr="0039091F" w:rsidRDefault="003F65B7" w:rsidP="000A5389">
            <w:pPr>
              <w:spacing w:line="240" w:lineRule="auto"/>
              <w:jc w:val="right"/>
              <w:rPr>
                <w:rFonts w:eastAsia="Times New Roman" w:cs="Times New Roman"/>
                <w:b/>
                <w:kern w:val="0"/>
                <w:sz w:val="18"/>
                <w:szCs w:val="18"/>
                <w:lang w:eastAsia="es-CO"/>
                <w14:ligatures w14:val="none"/>
              </w:rPr>
            </w:pPr>
            <w:r w:rsidRPr="0039091F">
              <w:rPr>
                <w:rFonts w:eastAsia="Times New Roman" w:cs="Times New Roman"/>
                <w:b/>
                <w:kern w:val="0"/>
                <w:sz w:val="18"/>
                <w:szCs w:val="18"/>
                <w:lang w:eastAsia="es-CO"/>
                <w14:ligatures w14:val="none"/>
              </w:rPr>
              <w:t xml:space="preserve">5.469.093.668 </w:t>
            </w:r>
          </w:p>
        </w:tc>
        <w:tc>
          <w:tcPr>
            <w:tcW w:w="481" w:type="pct"/>
            <w:shd w:val="clear" w:color="auto" w:fill="FFFFFF" w:themeFill="background1"/>
            <w:noWrap/>
            <w:vAlign w:val="center"/>
            <w:hideMark/>
          </w:tcPr>
          <w:p w14:paraId="2740CD3E" w14:textId="77777777" w:rsidR="003F65B7" w:rsidRPr="0039091F" w:rsidRDefault="003F65B7" w:rsidP="000A5389">
            <w:pPr>
              <w:spacing w:line="240" w:lineRule="auto"/>
              <w:rPr>
                <w:rFonts w:eastAsia="Times New Roman" w:cs="Times New Roman"/>
                <w:b/>
                <w:kern w:val="0"/>
                <w:sz w:val="18"/>
                <w:szCs w:val="18"/>
                <w:lang w:eastAsia="es-CO"/>
                <w14:ligatures w14:val="none"/>
              </w:rPr>
            </w:pPr>
            <w:r w:rsidRPr="0039091F">
              <w:rPr>
                <w:rFonts w:eastAsia="Times New Roman" w:cs="Times New Roman"/>
                <w:b/>
                <w:kern w:val="0"/>
                <w:sz w:val="18"/>
                <w:szCs w:val="18"/>
                <w:lang w:eastAsia="es-CO"/>
                <w14:ligatures w14:val="none"/>
              </w:rPr>
              <w:t> </w:t>
            </w:r>
          </w:p>
        </w:tc>
        <w:tc>
          <w:tcPr>
            <w:tcW w:w="402" w:type="pct"/>
            <w:shd w:val="clear" w:color="auto" w:fill="FFFFFF" w:themeFill="background1"/>
            <w:noWrap/>
            <w:vAlign w:val="center"/>
            <w:hideMark/>
          </w:tcPr>
          <w:p w14:paraId="7C0E9AA9" w14:textId="77777777" w:rsidR="003F65B7" w:rsidRPr="0039091F" w:rsidRDefault="003F65B7" w:rsidP="000A5389">
            <w:pPr>
              <w:spacing w:line="240" w:lineRule="auto"/>
              <w:jc w:val="center"/>
              <w:rPr>
                <w:rFonts w:eastAsia="Times New Roman" w:cs="Times New Roman"/>
                <w:b/>
                <w:kern w:val="0"/>
                <w:sz w:val="18"/>
                <w:szCs w:val="18"/>
                <w:lang w:eastAsia="es-CO"/>
                <w14:ligatures w14:val="none"/>
              </w:rPr>
            </w:pPr>
            <w:r w:rsidRPr="0039091F">
              <w:rPr>
                <w:rFonts w:eastAsia="Times New Roman" w:cs="Times New Roman"/>
                <w:b/>
                <w:kern w:val="0"/>
                <w:sz w:val="18"/>
                <w:szCs w:val="18"/>
                <w:lang w:eastAsia="es-CO"/>
                <w14:ligatures w14:val="none"/>
              </w:rPr>
              <w:t> </w:t>
            </w:r>
          </w:p>
        </w:tc>
        <w:tc>
          <w:tcPr>
            <w:tcW w:w="533" w:type="pct"/>
            <w:shd w:val="clear" w:color="auto" w:fill="FFFFFF" w:themeFill="background1"/>
            <w:noWrap/>
            <w:vAlign w:val="center"/>
            <w:hideMark/>
          </w:tcPr>
          <w:p w14:paraId="57504F1D" w14:textId="27DBD6E1" w:rsidR="003F65B7" w:rsidRPr="0039091F" w:rsidRDefault="003F65B7" w:rsidP="000A5389">
            <w:pPr>
              <w:spacing w:line="240" w:lineRule="auto"/>
              <w:jc w:val="center"/>
              <w:rPr>
                <w:rFonts w:eastAsia="Times New Roman" w:cs="Times New Roman"/>
                <w:b/>
                <w:kern w:val="0"/>
                <w:sz w:val="18"/>
                <w:szCs w:val="18"/>
                <w:lang w:eastAsia="es-CO"/>
                <w14:ligatures w14:val="none"/>
              </w:rPr>
            </w:pPr>
          </w:p>
        </w:tc>
        <w:tc>
          <w:tcPr>
            <w:tcW w:w="535" w:type="pct"/>
            <w:shd w:val="clear" w:color="auto" w:fill="FFFFFF" w:themeFill="background1"/>
            <w:noWrap/>
            <w:vAlign w:val="center"/>
            <w:hideMark/>
          </w:tcPr>
          <w:p w14:paraId="3EF7DFFB" w14:textId="77777777" w:rsidR="003F65B7" w:rsidRPr="0039091F" w:rsidRDefault="003F65B7" w:rsidP="000A5389">
            <w:pPr>
              <w:spacing w:line="240" w:lineRule="auto"/>
              <w:jc w:val="center"/>
              <w:rPr>
                <w:rFonts w:eastAsia="Times New Roman" w:cs="Times New Roman"/>
                <w:b/>
                <w:kern w:val="0"/>
                <w:sz w:val="18"/>
                <w:szCs w:val="18"/>
                <w:lang w:eastAsia="es-CO"/>
                <w14:ligatures w14:val="none"/>
              </w:rPr>
            </w:pPr>
            <w:r w:rsidRPr="0039091F">
              <w:rPr>
                <w:rFonts w:eastAsia="Times New Roman" w:cs="Times New Roman"/>
                <w:b/>
                <w:kern w:val="0"/>
                <w:sz w:val="18"/>
                <w:szCs w:val="18"/>
                <w:lang w:eastAsia="es-CO"/>
                <w14:ligatures w14:val="none"/>
              </w:rPr>
              <w:t xml:space="preserve">0,0 </w:t>
            </w:r>
          </w:p>
        </w:tc>
      </w:tr>
      <w:tr w:rsidR="0026612B" w:rsidRPr="0039091F" w14:paraId="499C56A4" w14:textId="77777777" w:rsidTr="001B10F3">
        <w:trPr>
          <w:trHeight w:val="220"/>
        </w:trPr>
        <w:tc>
          <w:tcPr>
            <w:tcW w:w="1163" w:type="pct"/>
            <w:shd w:val="clear" w:color="auto" w:fill="FFFFFF" w:themeFill="background1"/>
            <w:vAlign w:val="center"/>
            <w:hideMark/>
          </w:tcPr>
          <w:p w14:paraId="49A1BD1F" w14:textId="77777777" w:rsidR="003F65B7" w:rsidRPr="0039091F" w:rsidRDefault="003F65B7" w:rsidP="000A5389">
            <w:pPr>
              <w:spacing w:line="240" w:lineRule="auto"/>
              <w:rPr>
                <w:rFonts w:eastAsia="Times New Roman" w:cs="Times New Roman"/>
                <w:kern w:val="0"/>
                <w:sz w:val="18"/>
                <w:szCs w:val="18"/>
                <w:lang w:eastAsia="es-CO"/>
                <w14:ligatures w14:val="none"/>
              </w:rPr>
            </w:pPr>
            <w:r w:rsidRPr="0039091F">
              <w:rPr>
                <w:rFonts w:eastAsia="Times New Roman" w:cs="Times New Roman"/>
                <w:kern w:val="0"/>
                <w:sz w:val="18"/>
                <w:szCs w:val="18"/>
                <w:lang w:eastAsia="es-CO"/>
                <w14:ligatures w14:val="none"/>
              </w:rPr>
              <w:t>Nacionales</w:t>
            </w:r>
          </w:p>
        </w:tc>
        <w:tc>
          <w:tcPr>
            <w:tcW w:w="521" w:type="pct"/>
            <w:shd w:val="clear" w:color="auto" w:fill="FFFFFF" w:themeFill="background1"/>
            <w:noWrap/>
            <w:vAlign w:val="center"/>
            <w:hideMark/>
          </w:tcPr>
          <w:p w14:paraId="5CE127E0" w14:textId="77777777" w:rsidR="003F65B7" w:rsidRPr="0039091F" w:rsidRDefault="003F65B7" w:rsidP="000A5389">
            <w:pPr>
              <w:spacing w:line="240" w:lineRule="auto"/>
              <w:jc w:val="center"/>
              <w:rPr>
                <w:rFonts w:eastAsia="Times New Roman" w:cs="Times New Roman"/>
                <w:kern w:val="0"/>
                <w:sz w:val="18"/>
                <w:szCs w:val="18"/>
                <w:lang w:eastAsia="es-CO"/>
                <w14:ligatures w14:val="none"/>
              </w:rPr>
            </w:pPr>
            <w:r w:rsidRPr="0039091F">
              <w:rPr>
                <w:rFonts w:eastAsia="Times New Roman" w:cs="Times New Roman"/>
                <w:kern w:val="0"/>
                <w:sz w:val="18"/>
                <w:szCs w:val="18"/>
                <w:lang w:eastAsia="es-CO"/>
                <w14:ligatures w14:val="none"/>
              </w:rPr>
              <w:t>PJ</w:t>
            </w:r>
          </w:p>
        </w:tc>
        <w:tc>
          <w:tcPr>
            <w:tcW w:w="562" w:type="pct"/>
            <w:shd w:val="clear" w:color="auto" w:fill="FFFFFF" w:themeFill="background1"/>
            <w:noWrap/>
            <w:vAlign w:val="center"/>
            <w:hideMark/>
          </w:tcPr>
          <w:p w14:paraId="44C39F81" w14:textId="77777777" w:rsidR="003F65B7" w:rsidRPr="0039091F" w:rsidRDefault="003F65B7" w:rsidP="000A5389">
            <w:pPr>
              <w:spacing w:line="240" w:lineRule="auto"/>
              <w:jc w:val="center"/>
              <w:rPr>
                <w:rFonts w:eastAsia="Times New Roman" w:cs="Times New Roman"/>
                <w:kern w:val="0"/>
                <w:sz w:val="18"/>
                <w:szCs w:val="18"/>
                <w:lang w:eastAsia="es-CO"/>
                <w14:ligatures w14:val="none"/>
              </w:rPr>
            </w:pPr>
            <w:r w:rsidRPr="0039091F">
              <w:rPr>
                <w:rFonts w:eastAsia="Times New Roman" w:cs="Times New Roman"/>
                <w:kern w:val="0"/>
                <w:sz w:val="18"/>
                <w:szCs w:val="18"/>
                <w:lang w:eastAsia="es-CO"/>
                <w14:ligatures w14:val="none"/>
              </w:rPr>
              <w:t>14</w:t>
            </w:r>
          </w:p>
        </w:tc>
        <w:tc>
          <w:tcPr>
            <w:tcW w:w="803" w:type="pct"/>
            <w:shd w:val="clear" w:color="auto" w:fill="FFFFFF" w:themeFill="background1"/>
            <w:noWrap/>
            <w:vAlign w:val="center"/>
            <w:hideMark/>
          </w:tcPr>
          <w:p w14:paraId="1FCAFD9E" w14:textId="77777777" w:rsidR="003F65B7" w:rsidRPr="0039091F" w:rsidRDefault="003F65B7" w:rsidP="000A5389">
            <w:pPr>
              <w:spacing w:line="240" w:lineRule="auto"/>
              <w:jc w:val="right"/>
              <w:rPr>
                <w:rFonts w:eastAsia="Times New Roman" w:cs="Times New Roman"/>
                <w:kern w:val="0"/>
                <w:sz w:val="18"/>
                <w:szCs w:val="18"/>
                <w:lang w:eastAsia="es-CO"/>
                <w14:ligatures w14:val="none"/>
              </w:rPr>
            </w:pPr>
            <w:r w:rsidRPr="0039091F">
              <w:rPr>
                <w:rFonts w:eastAsia="Times New Roman" w:cs="Times New Roman"/>
                <w:kern w:val="0"/>
                <w:sz w:val="18"/>
                <w:szCs w:val="18"/>
                <w:lang w:eastAsia="es-CO"/>
                <w14:ligatures w14:val="none"/>
              </w:rPr>
              <w:t xml:space="preserve">5.050.146.147 </w:t>
            </w:r>
          </w:p>
        </w:tc>
        <w:tc>
          <w:tcPr>
            <w:tcW w:w="481" w:type="pct"/>
            <w:shd w:val="clear" w:color="auto" w:fill="FFFFFF" w:themeFill="background1"/>
            <w:noWrap/>
            <w:vAlign w:val="center"/>
            <w:hideMark/>
          </w:tcPr>
          <w:p w14:paraId="49706380" w14:textId="77777777" w:rsidR="003F65B7" w:rsidRPr="0039091F" w:rsidRDefault="003F65B7" w:rsidP="000A5389">
            <w:pPr>
              <w:spacing w:line="240" w:lineRule="auto"/>
              <w:rPr>
                <w:rFonts w:eastAsia="Times New Roman" w:cs="Times New Roman"/>
                <w:kern w:val="0"/>
                <w:sz w:val="18"/>
                <w:szCs w:val="18"/>
                <w:lang w:eastAsia="es-CO"/>
                <w14:ligatures w14:val="none"/>
              </w:rPr>
            </w:pPr>
            <w:r w:rsidRPr="0039091F">
              <w:rPr>
                <w:rFonts w:eastAsia="Times New Roman" w:cs="Times New Roman"/>
                <w:kern w:val="0"/>
                <w:sz w:val="18"/>
                <w:szCs w:val="18"/>
                <w:lang w:eastAsia="es-CO"/>
                <w14:ligatures w14:val="none"/>
              </w:rPr>
              <w:t> </w:t>
            </w:r>
          </w:p>
        </w:tc>
        <w:tc>
          <w:tcPr>
            <w:tcW w:w="402" w:type="pct"/>
            <w:shd w:val="clear" w:color="auto" w:fill="FFFFFF" w:themeFill="background1"/>
            <w:noWrap/>
            <w:vAlign w:val="center"/>
            <w:hideMark/>
          </w:tcPr>
          <w:p w14:paraId="77A5FBD0" w14:textId="77777777" w:rsidR="003F65B7" w:rsidRPr="0039091F" w:rsidRDefault="003F65B7" w:rsidP="000A5389">
            <w:pPr>
              <w:spacing w:line="240" w:lineRule="auto"/>
              <w:jc w:val="center"/>
              <w:rPr>
                <w:rFonts w:eastAsia="Times New Roman" w:cs="Times New Roman"/>
                <w:kern w:val="0"/>
                <w:sz w:val="18"/>
                <w:szCs w:val="18"/>
                <w:lang w:eastAsia="es-CO"/>
                <w14:ligatures w14:val="none"/>
              </w:rPr>
            </w:pPr>
            <w:r w:rsidRPr="0039091F">
              <w:rPr>
                <w:rFonts w:eastAsia="Times New Roman" w:cs="Times New Roman"/>
                <w:kern w:val="0"/>
                <w:sz w:val="18"/>
                <w:szCs w:val="18"/>
                <w:lang w:eastAsia="es-CO"/>
                <w14:ligatures w14:val="none"/>
              </w:rPr>
              <w:t>1</w:t>
            </w:r>
          </w:p>
        </w:tc>
        <w:tc>
          <w:tcPr>
            <w:tcW w:w="533" w:type="pct"/>
            <w:shd w:val="clear" w:color="auto" w:fill="FFFFFF" w:themeFill="background1"/>
            <w:noWrap/>
            <w:vAlign w:val="center"/>
            <w:hideMark/>
          </w:tcPr>
          <w:p w14:paraId="35BA645B" w14:textId="77777777" w:rsidR="003F65B7" w:rsidRPr="0039091F" w:rsidRDefault="003F65B7" w:rsidP="000A5389">
            <w:pPr>
              <w:spacing w:line="240" w:lineRule="auto"/>
              <w:jc w:val="center"/>
              <w:rPr>
                <w:rFonts w:eastAsia="Times New Roman" w:cs="Times New Roman"/>
                <w:kern w:val="0"/>
                <w:sz w:val="18"/>
                <w:szCs w:val="18"/>
                <w:lang w:eastAsia="es-CO"/>
                <w14:ligatures w14:val="none"/>
              </w:rPr>
            </w:pPr>
            <w:r w:rsidRPr="0039091F">
              <w:rPr>
                <w:rFonts w:eastAsia="Times New Roman" w:cs="Times New Roman"/>
                <w:kern w:val="0"/>
                <w:sz w:val="18"/>
                <w:szCs w:val="18"/>
                <w:lang w:eastAsia="es-CO"/>
                <w14:ligatures w14:val="none"/>
              </w:rPr>
              <w:t>No aplica</w:t>
            </w:r>
          </w:p>
        </w:tc>
        <w:tc>
          <w:tcPr>
            <w:tcW w:w="535" w:type="pct"/>
            <w:shd w:val="clear" w:color="auto" w:fill="FFFFFF" w:themeFill="background1"/>
            <w:noWrap/>
            <w:vAlign w:val="center"/>
            <w:hideMark/>
          </w:tcPr>
          <w:p w14:paraId="4AA8D265" w14:textId="77777777" w:rsidR="003F65B7" w:rsidRPr="0039091F" w:rsidRDefault="003F65B7" w:rsidP="000A5389">
            <w:pPr>
              <w:spacing w:line="240" w:lineRule="auto"/>
              <w:jc w:val="center"/>
              <w:rPr>
                <w:rFonts w:eastAsia="Times New Roman" w:cs="Times New Roman"/>
                <w:kern w:val="0"/>
                <w:sz w:val="18"/>
                <w:szCs w:val="18"/>
                <w:lang w:eastAsia="es-CO"/>
                <w14:ligatures w14:val="none"/>
              </w:rPr>
            </w:pPr>
            <w:r w:rsidRPr="0039091F">
              <w:rPr>
                <w:rFonts w:eastAsia="Times New Roman" w:cs="Times New Roman"/>
                <w:kern w:val="0"/>
                <w:sz w:val="18"/>
                <w:szCs w:val="18"/>
                <w:lang w:eastAsia="es-CO"/>
                <w14:ligatures w14:val="none"/>
              </w:rPr>
              <w:t> </w:t>
            </w:r>
          </w:p>
        </w:tc>
      </w:tr>
      <w:tr w:rsidR="0026612B" w:rsidRPr="0039091F" w14:paraId="400A8F80" w14:textId="77777777" w:rsidTr="001B10F3">
        <w:trPr>
          <w:trHeight w:val="220"/>
        </w:trPr>
        <w:tc>
          <w:tcPr>
            <w:tcW w:w="1163" w:type="pct"/>
            <w:shd w:val="clear" w:color="auto" w:fill="FFFFFF" w:themeFill="background1"/>
            <w:vAlign w:val="center"/>
            <w:hideMark/>
          </w:tcPr>
          <w:p w14:paraId="0DB4A547" w14:textId="77777777" w:rsidR="003F65B7" w:rsidRPr="0039091F" w:rsidRDefault="003F65B7" w:rsidP="000A5389">
            <w:pPr>
              <w:spacing w:line="240" w:lineRule="auto"/>
              <w:rPr>
                <w:rFonts w:eastAsia="Times New Roman" w:cs="Times New Roman"/>
                <w:kern w:val="0"/>
                <w:sz w:val="18"/>
                <w:szCs w:val="18"/>
                <w:lang w:eastAsia="es-CO"/>
                <w14:ligatures w14:val="none"/>
              </w:rPr>
            </w:pPr>
            <w:r w:rsidRPr="0039091F">
              <w:rPr>
                <w:rFonts w:eastAsia="Times New Roman" w:cs="Times New Roman"/>
                <w:kern w:val="0"/>
                <w:sz w:val="18"/>
                <w:szCs w:val="18"/>
                <w:lang w:eastAsia="es-CO"/>
                <w14:ligatures w14:val="none"/>
              </w:rPr>
              <w:t>Nacionales</w:t>
            </w:r>
          </w:p>
        </w:tc>
        <w:tc>
          <w:tcPr>
            <w:tcW w:w="521" w:type="pct"/>
            <w:shd w:val="clear" w:color="auto" w:fill="FFFFFF" w:themeFill="background1"/>
            <w:noWrap/>
            <w:vAlign w:val="center"/>
            <w:hideMark/>
          </w:tcPr>
          <w:p w14:paraId="66354425" w14:textId="77777777" w:rsidR="003F65B7" w:rsidRPr="0039091F" w:rsidRDefault="003F65B7" w:rsidP="000A5389">
            <w:pPr>
              <w:spacing w:line="240" w:lineRule="auto"/>
              <w:jc w:val="center"/>
              <w:rPr>
                <w:rFonts w:eastAsia="Times New Roman" w:cs="Times New Roman"/>
                <w:kern w:val="0"/>
                <w:sz w:val="18"/>
                <w:szCs w:val="18"/>
                <w:lang w:eastAsia="es-CO"/>
                <w14:ligatures w14:val="none"/>
              </w:rPr>
            </w:pPr>
            <w:r w:rsidRPr="0039091F">
              <w:rPr>
                <w:rFonts w:eastAsia="Times New Roman" w:cs="Times New Roman"/>
                <w:kern w:val="0"/>
                <w:sz w:val="18"/>
                <w:szCs w:val="18"/>
                <w:lang w:eastAsia="es-CO"/>
                <w14:ligatures w14:val="none"/>
              </w:rPr>
              <w:t>PN</w:t>
            </w:r>
          </w:p>
        </w:tc>
        <w:tc>
          <w:tcPr>
            <w:tcW w:w="562" w:type="pct"/>
            <w:shd w:val="clear" w:color="auto" w:fill="FFFFFF" w:themeFill="background1"/>
            <w:noWrap/>
            <w:vAlign w:val="center"/>
            <w:hideMark/>
          </w:tcPr>
          <w:p w14:paraId="248437DA" w14:textId="77777777" w:rsidR="003F65B7" w:rsidRPr="0039091F" w:rsidRDefault="003F65B7" w:rsidP="000A5389">
            <w:pPr>
              <w:spacing w:line="240" w:lineRule="auto"/>
              <w:jc w:val="center"/>
              <w:rPr>
                <w:rFonts w:eastAsia="Times New Roman" w:cs="Times New Roman"/>
                <w:kern w:val="0"/>
                <w:sz w:val="18"/>
                <w:szCs w:val="18"/>
                <w:lang w:eastAsia="es-CO"/>
                <w14:ligatures w14:val="none"/>
              </w:rPr>
            </w:pPr>
            <w:r w:rsidRPr="0039091F">
              <w:rPr>
                <w:rFonts w:eastAsia="Times New Roman" w:cs="Times New Roman"/>
                <w:kern w:val="0"/>
                <w:sz w:val="18"/>
                <w:szCs w:val="18"/>
                <w:lang w:eastAsia="es-CO"/>
                <w14:ligatures w14:val="none"/>
              </w:rPr>
              <w:t>27</w:t>
            </w:r>
          </w:p>
        </w:tc>
        <w:tc>
          <w:tcPr>
            <w:tcW w:w="803" w:type="pct"/>
            <w:shd w:val="clear" w:color="auto" w:fill="FFFFFF" w:themeFill="background1"/>
            <w:noWrap/>
            <w:vAlign w:val="center"/>
            <w:hideMark/>
          </w:tcPr>
          <w:p w14:paraId="7F5F7C0F" w14:textId="77777777" w:rsidR="003F65B7" w:rsidRPr="0039091F" w:rsidRDefault="003F65B7" w:rsidP="000A5389">
            <w:pPr>
              <w:spacing w:line="240" w:lineRule="auto"/>
              <w:jc w:val="right"/>
              <w:rPr>
                <w:rFonts w:eastAsia="Times New Roman" w:cs="Times New Roman"/>
                <w:kern w:val="0"/>
                <w:sz w:val="18"/>
                <w:szCs w:val="18"/>
                <w:lang w:eastAsia="es-CO"/>
                <w14:ligatures w14:val="none"/>
              </w:rPr>
            </w:pPr>
            <w:r w:rsidRPr="0039091F">
              <w:rPr>
                <w:rFonts w:eastAsia="Times New Roman" w:cs="Times New Roman"/>
                <w:kern w:val="0"/>
                <w:sz w:val="18"/>
                <w:szCs w:val="18"/>
                <w:lang w:eastAsia="es-CO"/>
                <w14:ligatures w14:val="none"/>
              </w:rPr>
              <w:t xml:space="preserve">418.947.521 </w:t>
            </w:r>
          </w:p>
        </w:tc>
        <w:tc>
          <w:tcPr>
            <w:tcW w:w="481" w:type="pct"/>
            <w:shd w:val="clear" w:color="auto" w:fill="FFFFFF" w:themeFill="background1"/>
            <w:noWrap/>
            <w:vAlign w:val="center"/>
            <w:hideMark/>
          </w:tcPr>
          <w:p w14:paraId="0D2751CD" w14:textId="77777777" w:rsidR="003F65B7" w:rsidRPr="0039091F" w:rsidRDefault="003F65B7" w:rsidP="000A5389">
            <w:pPr>
              <w:spacing w:line="240" w:lineRule="auto"/>
              <w:rPr>
                <w:rFonts w:eastAsia="Times New Roman" w:cs="Times New Roman"/>
                <w:kern w:val="0"/>
                <w:sz w:val="18"/>
                <w:szCs w:val="18"/>
                <w:lang w:eastAsia="es-CO"/>
                <w14:ligatures w14:val="none"/>
              </w:rPr>
            </w:pPr>
            <w:r w:rsidRPr="0039091F">
              <w:rPr>
                <w:rFonts w:eastAsia="Times New Roman" w:cs="Times New Roman"/>
                <w:kern w:val="0"/>
                <w:sz w:val="18"/>
                <w:szCs w:val="18"/>
                <w:lang w:eastAsia="es-CO"/>
                <w14:ligatures w14:val="none"/>
              </w:rPr>
              <w:t> </w:t>
            </w:r>
          </w:p>
        </w:tc>
        <w:tc>
          <w:tcPr>
            <w:tcW w:w="402" w:type="pct"/>
            <w:shd w:val="clear" w:color="auto" w:fill="FFFFFF" w:themeFill="background1"/>
            <w:noWrap/>
            <w:vAlign w:val="center"/>
            <w:hideMark/>
          </w:tcPr>
          <w:p w14:paraId="3879CCD0" w14:textId="77777777" w:rsidR="003F65B7" w:rsidRPr="0039091F" w:rsidRDefault="003F65B7" w:rsidP="000A5389">
            <w:pPr>
              <w:spacing w:line="240" w:lineRule="auto"/>
              <w:jc w:val="center"/>
              <w:rPr>
                <w:rFonts w:eastAsia="Times New Roman" w:cs="Times New Roman"/>
                <w:kern w:val="0"/>
                <w:sz w:val="18"/>
                <w:szCs w:val="18"/>
                <w:lang w:eastAsia="es-CO"/>
                <w14:ligatures w14:val="none"/>
              </w:rPr>
            </w:pPr>
            <w:r w:rsidRPr="0039091F">
              <w:rPr>
                <w:rFonts w:eastAsia="Times New Roman" w:cs="Times New Roman"/>
                <w:kern w:val="0"/>
                <w:sz w:val="18"/>
                <w:szCs w:val="18"/>
                <w:lang w:eastAsia="es-CO"/>
                <w14:ligatures w14:val="none"/>
              </w:rPr>
              <w:t>1</w:t>
            </w:r>
          </w:p>
        </w:tc>
        <w:tc>
          <w:tcPr>
            <w:tcW w:w="533" w:type="pct"/>
            <w:shd w:val="clear" w:color="auto" w:fill="FFFFFF" w:themeFill="background1"/>
            <w:noWrap/>
            <w:vAlign w:val="center"/>
            <w:hideMark/>
          </w:tcPr>
          <w:p w14:paraId="33B308E7" w14:textId="77777777" w:rsidR="003F65B7" w:rsidRPr="0039091F" w:rsidRDefault="003F65B7" w:rsidP="000A5389">
            <w:pPr>
              <w:spacing w:line="240" w:lineRule="auto"/>
              <w:jc w:val="center"/>
              <w:rPr>
                <w:rFonts w:eastAsia="Times New Roman" w:cs="Times New Roman"/>
                <w:kern w:val="0"/>
                <w:sz w:val="18"/>
                <w:szCs w:val="18"/>
                <w:lang w:eastAsia="es-CO"/>
                <w14:ligatures w14:val="none"/>
              </w:rPr>
            </w:pPr>
            <w:r w:rsidRPr="0039091F">
              <w:rPr>
                <w:rFonts w:eastAsia="Times New Roman" w:cs="Times New Roman"/>
                <w:kern w:val="0"/>
                <w:sz w:val="18"/>
                <w:szCs w:val="18"/>
                <w:lang w:eastAsia="es-CO"/>
                <w14:ligatures w14:val="none"/>
              </w:rPr>
              <w:t>No aplica</w:t>
            </w:r>
          </w:p>
        </w:tc>
        <w:tc>
          <w:tcPr>
            <w:tcW w:w="535" w:type="pct"/>
            <w:shd w:val="clear" w:color="auto" w:fill="FFFFFF" w:themeFill="background1"/>
            <w:noWrap/>
            <w:vAlign w:val="center"/>
            <w:hideMark/>
          </w:tcPr>
          <w:p w14:paraId="76694860" w14:textId="77777777" w:rsidR="003F65B7" w:rsidRPr="0039091F" w:rsidRDefault="003F65B7" w:rsidP="000A5389">
            <w:pPr>
              <w:spacing w:line="240" w:lineRule="auto"/>
              <w:jc w:val="center"/>
              <w:rPr>
                <w:rFonts w:eastAsia="Times New Roman" w:cs="Times New Roman"/>
                <w:kern w:val="0"/>
                <w:sz w:val="18"/>
                <w:szCs w:val="18"/>
                <w:lang w:eastAsia="es-CO"/>
                <w14:ligatures w14:val="none"/>
              </w:rPr>
            </w:pPr>
            <w:r w:rsidRPr="0039091F">
              <w:rPr>
                <w:rFonts w:eastAsia="Times New Roman" w:cs="Times New Roman"/>
                <w:kern w:val="0"/>
                <w:sz w:val="18"/>
                <w:szCs w:val="18"/>
                <w:lang w:eastAsia="es-CO"/>
                <w14:ligatures w14:val="none"/>
              </w:rPr>
              <w:t> </w:t>
            </w:r>
          </w:p>
        </w:tc>
      </w:tr>
      <w:tr w:rsidR="0026612B" w:rsidRPr="0039091F" w14:paraId="44DE4AA2" w14:textId="77777777" w:rsidTr="001B10F3">
        <w:trPr>
          <w:trHeight w:val="205"/>
        </w:trPr>
        <w:tc>
          <w:tcPr>
            <w:tcW w:w="1163" w:type="pct"/>
            <w:shd w:val="clear" w:color="auto" w:fill="FFFFFF" w:themeFill="background1"/>
            <w:noWrap/>
            <w:vAlign w:val="center"/>
            <w:hideMark/>
          </w:tcPr>
          <w:p w14:paraId="702FE874" w14:textId="77777777" w:rsidR="003F65B7" w:rsidRPr="0039091F" w:rsidRDefault="003F65B7" w:rsidP="000A5389">
            <w:pPr>
              <w:spacing w:line="240" w:lineRule="auto"/>
              <w:rPr>
                <w:rFonts w:eastAsia="Times New Roman" w:cs="Times New Roman"/>
                <w:b/>
                <w:kern w:val="0"/>
                <w:sz w:val="18"/>
                <w:szCs w:val="18"/>
                <w:lang w:eastAsia="es-CO"/>
                <w14:ligatures w14:val="none"/>
              </w:rPr>
            </w:pPr>
            <w:r w:rsidRPr="0039091F">
              <w:rPr>
                <w:rFonts w:eastAsia="Times New Roman" w:cs="Times New Roman"/>
                <w:b/>
                <w:kern w:val="0"/>
                <w:sz w:val="18"/>
                <w:szCs w:val="18"/>
                <w:lang w:eastAsia="es-CO"/>
                <w14:ligatures w14:val="none"/>
              </w:rPr>
              <w:t>Bienes y servicios</w:t>
            </w:r>
          </w:p>
        </w:tc>
        <w:tc>
          <w:tcPr>
            <w:tcW w:w="521" w:type="pct"/>
            <w:shd w:val="clear" w:color="auto" w:fill="FFFFFF" w:themeFill="background1"/>
            <w:noWrap/>
            <w:vAlign w:val="center"/>
            <w:hideMark/>
          </w:tcPr>
          <w:p w14:paraId="78F5AADD" w14:textId="77777777" w:rsidR="003F65B7" w:rsidRPr="0039091F" w:rsidRDefault="003F65B7" w:rsidP="000A5389">
            <w:pPr>
              <w:spacing w:line="240" w:lineRule="auto"/>
              <w:rPr>
                <w:rFonts w:eastAsia="Times New Roman" w:cs="Times New Roman"/>
                <w:b/>
                <w:kern w:val="0"/>
                <w:sz w:val="18"/>
                <w:szCs w:val="18"/>
                <w:lang w:eastAsia="es-CO"/>
                <w14:ligatures w14:val="none"/>
              </w:rPr>
            </w:pPr>
            <w:r w:rsidRPr="0039091F">
              <w:rPr>
                <w:rFonts w:eastAsia="Times New Roman" w:cs="Times New Roman"/>
                <w:b/>
                <w:kern w:val="0"/>
                <w:sz w:val="18"/>
                <w:szCs w:val="18"/>
                <w:lang w:eastAsia="es-CO"/>
                <w14:ligatures w14:val="none"/>
              </w:rPr>
              <w:t> </w:t>
            </w:r>
          </w:p>
        </w:tc>
        <w:tc>
          <w:tcPr>
            <w:tcW w:w="562" w:type="pct"/>
            <w:shd w:val="clear" w:color="auto" w:fill="FFFFFF" w:themeFill="background1"/>
            <w:noWrap/>
            <w:vAlign w:val="center"/>
            <w:hideMark/>
          </w:tcPr>
          <w:p w14:paraId="03A8E2E4" w14:textId="77777777" w:rsidR="003F65B7" w:rsidRPr="0039091F" w:rsidRDefault="003F65B7" w:rsidP="000A5389">
            <w:pPr>
              <w:spacing w:line="240" w:lineRule="auto"/>
              <w:rPr>
                <w:rFonts w:eastAsia="Times New Roman" w:cs="Times New Roman"/>
                <w:b/>
                <w:kern w:val="0"/>
                <w:sz w:val="18"/>
                <w:szCs w:val="18"/>
                <w:lang w:eastAsia="es-CO"/>
                <w14:ligatures w14:val="none"/>
              </w:rPr>
            </w:pPr>
            <w:r w:rsidRPr="0039091F">
              <w:rPr>
                <w:rFonts w:eastAsia="Times New Roman" w:cs="Times New Roman"/>
                <w:b/>
                <w:kern w:val="0"/>
                <w:sz w:val="18"/>
                <w:szCs w:val="18"/>
                <w:lang w:eastAsia="es-CO"/>
                <w14:ligatures w14:val="none"/>
              </w:rPr>
              <w:t> </w:t>
            </w:r>
          </w:p>
        </w:tc>
        <w:tc>
          <w:tcPr>
            <w:tcW w:w="803" w:type="pct"/>
            <w:shd w:val="clear" w:color="auto" w:fill="FFFFFF" w:themeFill="background1"/>
            <w:noWrap/>
            <w:vAlign w:val="center"/>
            <w:hideMark/>
          </w:tcPr>
          <w:p w14:paraId="0114E906" w14:textId="77777777" w:rsidR="003F65B7" w:rsidRPr="0039091F" w:rsidRDefault="003F65B7" w:rsidP="000A5389">
            <w:pPr>
              <w:spacing w:line="240" w:lineRule="auto"/>
              <w:jc w:val="right"/>
              <w:rPr>
                <w:rFonts w:eastAsia="Times New Roman" w:cs="Times New Roman"/>
                <w:b/>
                <w:kern w:val="0"/>
                <w:sz w:val="18"/>
                <w:szCs w:val="18"/>
                <w:lang w:eastAsia="es-CO"/>
                <w14:ligatures w14:val="none"/>
              </w:rPr>
            </w:pPr>
            <w:r w:rsidRPr="0039091F">
              <w:rPr>
                <w:rFonts w:eastAsia="Times New Roman" w:cs="Times New Roman"/>
                <w:b/>
                <w:kern w:val="0"/>
                <w:sz w:val="18"/>
                <w:szCs w:val="18"/>
                <w:lang w:eastAsia="es-CO"/>
                <w14:ligatures w14:val="none"/>
              </w:rPr>
              <w:t xml:space="preserve">265.336.994 </w:t>
            </w:r>
          </w:p>
        </w:tc>
        <w:tc>
          <w:tcPr>
            <w:tcW w:w="481" w:type="pct"/>
            <w:shd w:val="clear" w:color="auto" w:fill="FFFFFF" w:themeFill="background1"/>
            <w:noWrap/>
            <w:vAlign w:val="center"/>
            <w:hideMark/>
          </w:tcPr>
          <w:p w14:paraId="1A3C3465" w14:textId="77777777" w:rsidR="003F65B7" w:rsidRPr="0039091F" w:rsidRDefault="003F65B7" w:rsidP="000A5389">
            <w:pPr>
              <w:spacing w:line="240" w:lineRule="auto"/>
              <w:rPr>
                <w:rFonts w:eastAsia="Times New Roman" w:cs="Times New Roman"/>
                <w:b/>
                <w:kern w:val="0"/>
                <w:sz w:val="18"/>
                <w:szCs w:val="18"/>
                <w:lang w:eastAsia="es-CO"/>
                <w14:ligatures w14:val="none"/>
              </w:rPr>
            </w:pPr>
            <w:r w:rsidRPr="0039091F">
              <w:rPr>
                <w:rFonts w:eastAsia="Times New Roman" w:cs="Times New Roman"/>
                <w:b/>
                <w:kern w:val="0"/>
                <w:sz w:val="18"/>
                <w:szCs w:val="18"/>
                <w:lang w:eastAsia="es-CO"/>
                <w14:ligatures w14:val="none"/>
              </w:rPr>
              <w:t> </w:t>
            </w:r>
          </w:p>
        </w:tc>
        <w:tc>
          <w:tcPr>
            <w:tcW w:w="402" w:type="pct"/>
            <w:shd w:val="clear" w:color="auto" w:fill="FFFFFF" w:themeFill="background1"/>
            <w:noWrap/>
            <w:vAlign w:val="center"/>
            <w:hideMark/>
          </w:tcPr>
          <w:p w14:paraId="12B2B66D" w14:textId="77777777" w:rsidR="003F65B7" w:rsidRPr="0039091F" w:rsidRDefault="003F65B7" w:rsidP="000A5389">
            <w:pPr>
              <w:spacing w:line="240" w:lineRule="auto"/>
              <w:jc w:val="center"/>
              <w:rPr>
                <w:rFonts w:eastAsia="Times New Roman" w:cs="Times New Roman"/>
                <w:b/>
                <w:kern w:val="0"/>
                <w:sz w:val="18"/>
                <w:szCs w:val="18"/>
                <w:lang w:eastAsia="es-CO"/>
                <w14:ligatures w14:val="none"/>
              </w:rPr>
            </w:pPr>
            <w:r w:rsidRPr="0039091F">
              <w:rPr>
                <w:rFonts w:eastAsia="Times New Roman" w:cs="Times New Roman"/>
                <w:b/>
                <w:kern w:val="0"/>
                <w:sz w:val="18"/>
                <w:szCs w:val="18"/>
                <w:lang w:eastAsia="es-CO"/>
                <w14:ligatures w14:val="none"/>
              </w:rPr>
              <w:t> </w:t>
            </w:r>
          </w:p>
        </w:tc>
        <w:tc>
          <w:tcPr>
            <w:tcW w:w="533" w:type="pct"/>
            <w:shd w:val="clear" w:color="auto" w:fill="FFFFFF" w:themeFill="background1"/>
            <w:noWrap/>
            <w:vAlign w:val="center"/>
            <w:hideMark/>
          </w:tcPr>
          <w:p w14:paraId="6D0D2742" w14:textId="37CF458A" w:rsidR="003F65B7" w:rsidRPr="0039091F" w:rsidRDefault="003F65B7" w:rsidP="000A5389">
            <w:pPr>
              <w:spacing w:line="240" w:lineRule="auto"/>
              <w:jc w:val="center"/>
              <w:rPr>
                <w:rFonts w:eastAsia="Times New Roman" w:cs="Times New Roman"/>
                <w:b/>
                <w:kern w:val="0"/>
                <w:sz w:val="18"/>
                <w:szCs w:val="18"/>
                <w:lang w:eastAsia="es-CO"/>
                <w14:ligatures w14:val="none"/>
              </w:rPr>
            </w:pPr>
          </w:p>
        </w:tc>
        <w:tc>
          <w:tcPr>
            <w:tcW w:w="535" w:type="pct"/>
            <w:shd w:val="clear" w:color="auto" w:fill="FFFFFF" w:themeFill="background1"/>
            <w:noWrap/>
            <w:vAlign w:val="center"/>
            <w:hideMark/>
          </w:tcPr>
          <w:p w14:paraId="2CA80541" w14:textId="77777777" w:rsidR="003F65B7" w:rsidRPr="0039091F" w:rsidRDefault="003F65B7" w:rsidP="000A5389">
            <w:pPr>
              <w:spacing w:line="240" w:lineRule="auto"/>
              <w:jc w:val="center"/>
              <w:rPr>
                <w:rFonts w:eastAsia="Times New Roman" w:cs="Times New Roman"/>
                <w:b/>
                <w:kern w:val="0"/>
                <w:sz w:val="18"/>
                <w:szCs w:val="18"/>
                <w:lang w:eastAsia="es-CO"/>
                <w14:ligatures w14:val="none"/>
              </w:rPr>
            </w:pPr>
            <w:r w:rsidRPr="0039091F">
              <w:rPr>
                <w:rFonts w:eastAsia="Times New Roman" w:cs="Times New Roman"/>
                <w:b/>
                <w:kern w:val="0"/>
                <w:sz w:val="18"/>
                <w:szCs w:val="18"/>
                <w:lang w:eastAsia="es-CO"/>
                <w14:ligatures w14:val="none"/>
              </w:rPr>
              <w:t xml:space="preserve">0,0 </w:t>
            </w:r>
          </w:p>
        </w:tc>
      </w:tr>
      <w:tr w:rsidR="0026612B" w:rsidRPr="0039091F" w14:paraId="45060FD8" w14:textId="77777777" w:rsidTr="001B10F3">
        <w:trPr>
          <w:trHeight w:val="220"/>
        </w:trPr>
        <w:tc>
          <w:tcPr>
            <w:tcW w:w="1163" w:type="pct"/>
            <w:shd w:val="clear" w:color="auto" w:fill="FFFFFF" w:themeFill="background1"/>
            <w:vAlign w:val="center"/>
            <w:hideMark/>
          </w:tcPr>
          <w:p w14:paraId="1EE1EF49" w14:textId="77777777" w:rsidR="003F65B7" w:rsidRPr="0039091F" w:rsidRDefault="003F65B7" w:rsidP="000A5389">
            <w:pPr>
              <w:spacing w:line="240" w:lineRule="auto"/>
              <w:rPr>
                <w:rFonts w:eastAsia="Times New Roman" w:cs="Times New Roman"/>
                <w:kern w:val="0"/>
                <w:sz w:val="18"/>
                <w:szCs w:val="18"/>
                <w:lang w:eastAsia="es-CO"/>
                <w14:ligatures w14:val="none"/>
              </w:rPr>
            </w:pPr>
            <w:r w:rsidRPr="0039091F">
              <w:rPr>
                <w:rFonts w:eastAsia="Times New Roman" w:cs="Times New Roman"/>
                <w:kern w:val="0"/>
                <w:sz w:val="18"/>
                <w:szCs w:val="18"/>
                <w:lang w:eastAsia="es-CO"/>
                <w14:ligatures w14:val="none"/>
              </w:rPr>
              <w:t>Nacionales</w:t>
            </w:r>
          </w:p>
        </w:tc>
        <w:tc>
          <w:tcPr>
            <w:tcW w:w="521" w:type="pct"/>
            <w:shd w:val="clear" w:color="auto" w:fill="FFFFFF" w:themeFill="background1"/>
            <w:noWrap/>
            <w:vAlign w:val="center"/>
            <w:hideMark/>
          </w:tcPr>
          <w:p w14:paraId="5CA59377" w14:textId="77777777" w:rsidR="003F65B7" w:rsidRPr="0039091F" w:rsidRDefault="003F65B7" w:rsidP="000A5389">
            <w:pPr>
              <w:spacing w:line="240" w:lineRule="auto"/>
              <w:jc w:val="center"/>
              <w:rPr>
                <w:rFonts w:eastAsia="Times New Roman" w:cs="Times New Roman"/>
                <w:kern w:val="0"/>
                <w:sz w:val="18"/>
                <w:szCs w:val="18"/>
                <w:lang w:eastAsia="es-CO"/>
                <w14:ligatures w14:val="none"/>
              </w:rPr>
            </w:pPr>
            <w:r w:rsidRPr="0039091F">
              <w:rPr>
                <w:rFonts w:eastAsia="Times New Roman" w:cs="Times New Roman"/>
                <w:kern w:val="0"/>
                <w:sz w:val="18"/>
                <w:szCs w:val="18"/>
                <w:lang w:eastAsia="es-CO"/>
                <w14:ligatures w14:val="none"/>
              </w:rPr>
              <w:t>PJ</w:t>
            </w:r>
          </w:p>
        </w:tc>
        <w:tc>
          <w:tcPr>
            <w:tcW w:w="562" w:type="pct"/>
            <w:shd w:val="clear" w:color="auto" w:fill="FFFFFF" w:themeFill="background1"/>
            <w:noWrap/>
            <w:vAlign w:val="center"/>
            <w:hideMark/>
          </w:tcPr>
          <w:p w14:paraId="5717352A" w14:textId="77777777" w:rsidR="003F65B7" w:rsidRPr="0039091F" w:rsidRDefault="003F65B7" w:rsidP="000A5389">
            <w:pPr>
              <w:spacing w:line="240" w:lineRule="auto"/>
              <w:jc w:val="center"/>
              <w:rPr>
                <w:rFonts w:eastAsia="Times New Roman" w:cs="Times New Roman"/>
                <w:kern w:val="0"/>
                <w:sz w:val="18"/>
                <w:szCs w:val="18"/>
                <w:lang w:eastAsia="es-CO"/>
                <w14:ligatures w14:val="none"/>
              </w:rPr>
            </w:pPr>
            <w:r w:rsidRPr="0039091F">
              <w:rPr>
                <w:rFonts w:eastAsia="Times New Roman" w:cs="Times New Roman"/>
                <w:kern w:val="0"/>
                <w:sz w:val="18"/>
                <w:szCs w:val="18"/>
                <w:lang w:eastAsia="es-CO"/>
                <w14:ligatures w14:val="none"/>
              </w:rPr>
              <w:t>6</w:t>
            </w:r>
          </w:p>
        </w:tc>
        <w:tc>
          <w:tcPr>
            <w:tcW w:w="803" w:type="pct"/>
            <w:shd w:val="clear" w:color="auto" w:fill="FFFFFF" w:themeFill="background1"/>
            <w:noWrap/>
            <w:vAlign w:val="center"/>
            <w:hideMark/>
          </w:tcPr>
          <w:p w14:paraId="305F6C8B" w14:textId="77777777" w:rsidR="003F65B7" w:rsidRPr="0039091F" w:rsidRDefault="003F65B7" w:rsidP="000A5389">
            <w:pPr>
              <w:spacing w:line="240" w:lineRule="auto"/>
              <w:jc w:val="right"/>
              <w:rPr>
                <w:rFonts w:eastAsia="Times New Roman" w:cs="Times New Roman"/>
                <w:kern w:val="0"/>
                <w:sz w:val="18"/>
                <w:szCs w:val="18"/>
                <w:lang w:eastAsia="es-CO"/>
                <w14:ligatures w14:val="none"/>
              </w:rPr>
            </w:pPr>
            <w:r w:rsidRPr="0039091F">
              <w:rPr>
                <w:rFonts w:eastAsia="Times New Roman" w:cs="Times New Roman"/>
                <w:kern w:val="0"/>
                <w:sz w:val="18"/>
                <w:szCs w:val="18"/>
                <w:lang w:eastAsia="es-CO"/>
                <w14:ligatures w14:val="none"/>
              </w:rPr>
              <w:t xml:space="preserve">265.336.994 </w:t>
            </w:r>
          </w:p>
        </w:tc>
        <w:tc>
          <w:tcPr>
            <w:tcW w:w="481" w:type="pct"/>
            <w:shd w:val="clear" w:color="auto" w:fill="FFFFFF" w:themeFill="background1"/>
            <w:noWrap/>
            <w:vAlign w:val="center"/>
            <w:hideMark/>
          </w:tcPr>
          <w:p w14:paraId="57D3D3A1" w14:textId="77777777" w:rsidR="003F65B7" w:rsidRPr="0039091F" w:rsidRDefault="003F65B7" w:rsidP="000A5389">
            <w:pPr>
              <w:spacing w:line="240" w:lineRule="auto"/>
              <w:rPr>
                <w:rFonts w:eastAsia="Times New Roman" w:cs="Times New Roman"/>
                <w:kern w:val="0"/>
                <w:sz w:val="18"/>
                <w:szCs w:val="18"/>
                <w:lang w:eastAsia="es-CO"/>
                <w14:ligatures w14:val="none"/>
              </w:rPr>
            </w:pPr>
            <w:r w:rsidRPr="0039091F">
              <w:rPr>
                <w:rFonts w:eastAsia="Times New Roman" w:cs="Times New Roman"/>
                <w:kern w:val="0"/>
                <w:sz w:val="18"/>
                <w:szCs w:val="18"/>
                <w:lang w:eastAsia="es-CO"/>
                <w14:ligatures w14:val="none"/>
              </w:rPr>
              <w:t> </w:t>
            </w:r>
          </w:p>
        </w:tc>
        <w:tc>
          <w:tcPr>
            <w:tcW w:w="402" w:type="pct"/>
            <w:shd w:val="clear" w:color="auto" w:fill="FFFFFF" w:themeFill="background1"/>
            <w:noWrap/>
            <w:vAlign w:val="center"/>
            <w:hideMark/>
          </w:tcPr>
          <w:p w14:paraId="746ABE19" w14:textId="77777777" w:rsidR="003F65B7" w:rsidRPr="0039091F" w:rsidRDefault="003F65B7" w:rsidP="000A5389">
            <w:pPr>
              <w:spacing w:line="240" w:lineRule="auto"/>
              <w:jc w:val="center"/>
              <w:rPr>
                <w:rFonts w:eastAsia="Times New Roman" w:cs="Times New Roman"/>
                <w:kern w:val="0"/>
                <w:sz w:val="18"/>
                <w:szCs w:val="18"/>
                <w:lang w:eastAsia="es-CO"/>
                <w14:ligatures w14:val="none"/>
              </w:rPr>
            </w:pPr>
            <w:r w:rsidRPr="0039091F">
              <w:rPr>
                <w:rFonts w:eastAsia="Times New Roman" w:cs="Times New Roman"/>
                <w:kern w:val="0"/>
                <w:sz w:val="18"/>
                <w:szCs w:val="18"/>
                <w:lang w:eastAsia="es-CO"/>
                <w14:ligatures w14:val="none"/>
              </w:rPr>
              <w:t>1</w:t>
            </w:r>
          </w:p>
        </w:tc>
        <w:tc>
          <w:tcPr>
            <w:tcW w:w="533" w:type="pct"/>
            <w:shd w:val="clear" w:color="auto" w:fill="FFFFFF" w:themeFill="background1"/>
            <w:noWrap/>
            <w:vAlign w:val="center"/>
            <w:hideMark/>
          </w:tcPr>
          <w:p w14:paraId="3E0BB387" w14:textId="77777777" w:rsidR="003F65B7" w:rsidRPr="0039091F" w:rsidRDefault="003F65B7" w:rsidP="000A5389">
            <w:pPr>
              <w:spacing w:line="240" w:lineRule="auto"/>
              <w:jc w:val="center"/>
              <w:rPr>
                <w:rFonts w:eastAsia="Times New Roman" w:cs="Times New Roman"/>
                <w:kern w:val="0"/>
                <w:sz w:val="18"/>
                <w:szCs w:val="18"/>
                <w:lang w:eastAsia="es-CO"/>
                <w14:ligatures w14:val="none"/>
              </w:rPr>
            </w:pPr>
            <w:r w:rsidRPr="0039091F">
              <w:rPr>
                <w:rFonts w:eastAsia="Times New Roman" w:cs="Times New Roman"/>
                <w:kern w:val="0"/>
                <w:sz w:val="18"/>
                <w:szCs w:val="18"/>
                <w:lang w:eastAsia="es-CO"/>
                <w14:ligatures w14:val="none"/>
              </w:rPr>
              <w:t>No aplica</w:t>
            </w:r>
          </w:p>
        </w:tc>
        <w:tc>
          <w:tcPr>
            <w:tcW w:w="535" w:type="pct"/>
            <w:shd w:val="clear" w:color="auto" w:fill="FFFFFF" w:themeFill="background1"/>
            <w:noWrap/>
            <w:vAlign w:val="center"/>
            <w:hideMark/>
          </w:tcPr>
          <w:p w14:paraId="61F311FD" w14:textId="77777777" w:rsidR="003F65B7" w:rsidRPr="0039091F" w:rsidRDefault="003F65B7" w:rsidP="000A5389">
            <w:pPr>
              <w:spacing w:line="240" w:lineRule="auto"/>
              <w:jc w:val="center"/>
              <w:rPr>
                <w:rFonts w:eastAsia="Times New Roman" w:cs="Times New Roman"/>
                <w:kern w:val="0"/>
                <w:sz w:val="18"/>
                <w:szCs w:val="18"/>
                <w:lang w:eastAsia="es-CO"/>
                <w14:ligatures w14:val="none"/>
              </w:rPr>
            </w:pPr>
            <w:r w:rsidRPr="0039091F">
              <w:rPr>
                <w:rFonts w:eastAsia="Times New Roman" w:cs="Times New Roman"/>
                <w:kern w:val="0"/>
                <w:sz w:val="18"/>
                <w:szCs w:val="18"/>
                <w:lang w:eastAsia="es-CO"/>
                <w14:ligatures w14:val="none"/>
              </w:rPr>
              <w:t> </w:t>
            </w:r>
          </w:p>
        </w:tc>
      </w:tr>
    </w:tbl>
    <w:p w14:paraId="7B50719B" w14:textId="77777777" w:rsidR="003443AB" w:rsidRPr="00951AB1" w:rsidRDefault="003443AB" w:rsidP="000A5389">
      <w:pPr>
        <w:spacing w:line="240" w:lineRule="auto"/>
        <w:rPr>
          <w:rFonts w:cs="Times New Roman"/>
        </w:rPr>
      </w:pPr>
      <w:r w:rsidRPr="00951AB1">
        <w:rPr>
          <w:rFonts w:eastAsia="Times New Roman" w:cs="Times New Roman"/>
          <w:sz w:val="14"/>
          <w:szCs w:val="14"/>
        </w:rPr>
        <w:t>Cifras expresadas en pesos</w:t>
      </w:r>
    </w:p>
    <w:p w14:paraId="38559DCD" w14:textId="77777777" w:rsidR="009906A6" w:rsidRPr="00951AB1" w:rsidRDefault="009906A6" w:rsidP="000A5389">
      <w:pPr>
        <w:spacing w:line="240" w:lineRule="auto"/>
        <w:rPr>
          <w:rFonts w:eastAsia="Times New Roman" w:cs="Times New Roman"/>
          <w:szCs w:val="24"/>
          <w:lang w:val="es-ES"/>
        </w:rPr>
      </w:pPr>
      <w:r w:rsidRPr="00951AB1">
        <w:rPr>
          <w:rFonts w:eastAsia="Times New Roman" w:cs="Times New Roman"/>
          <w:szCs w:val="24"/>
          <w:shd w:val="clear" w:color="auto" w:fill="FFFFFF" w:themeFill="background1"/>
          <w:lang w:val="es-ES"/>
        </w:rPr>
        <w:t>Proyectos de inversión por valor de $5.469.093.668, corresponden al registro de las obligaciones contractuales</w:t>
      </w:r>
      <w:r w:rsidRPr="00951AB1">
        <w:rPr>
          <w:rFonts w:eastAsia="Times New Roman" w:cs="Times New Roman"/>
          <w:szCs w:val="24"/>
          <w:lang w:val="es-ES"/>
        </w:rPr>
        <w:t xml:space="preserve"> adquiridas y pendientes de pago a 31 de diciembre de 2025, entre las que están: 1) honorarios asociados a contratos de prestación de servicios; 2) interventorías y consultorías especializadas; 3) actividades de seguimiento y monitoreo de instrumentos de control y manejo ambiental; 4) adquisición de software de nómina e inventarios; entre otros.</w:t>
      </w:r>
    </w:p>
    <w:p w14:paraId="0F2DC74C" w14:textId="4372CE2C" w:rsidR="009906A6" w:rsidRPr="00951AB1" w:rsidRDefault="009906A6" w:rsidP="000A5389">
      <w:pPr>
        <w:spacing w:line="240" w:lineRule="auto"/>
        <w:rPr>
          <w:rFonts w:eastAsia="Times New Roman" w:cs="Times New Roman"/>
          <w:szCs w:val="24"/>
          <w:shd w:val="clear" w:color="auto" w:fill="FFFFFF" w:themeFill="background1"/>
          <w:lang w:val="es-ES"/>
        </w:rPr>
      </w:pPr>
    </w:p>
    <w:p w14:paraId="5CF6D8D9" w14:textId="77777777" w:rsidR="003443AB" w:rsidRPr="00951AB1" w:rsidRDefault="003443AB" w:rsidP="000A5389">
      <w:pPr>
        <w:spacing w:line="240" w:lineRule="auto"/>
        <w:rPr>
          <w:rFonts w:eastAsia="Times New Roman" w:cs="Times New Roman"/>
          <w:szCs w:val="24"/>
          <w:lang w:val="es-ES"/>
        </w:rPr>
      </w:pPr>
      <w:r w:rsidRPr="00951AB1">
        <w:rPr>
          <w:rFonts w:eastAsia="Times New Roman" w:cs="Times New Roman"/>
          <w:szCs w:val="24"/>
          <w:shd w:val="clear" w:color="auto" w:fill="FFFFFF" w:themeFill="background1"/>
          <w:lang w:val="es-ES"/>
        </w:rPr>
        <w:t>En Adquisición de bienes y servicios nacionales se registra la compra de bienes y servicios pendientes de pago que fueron recibidos a satisfacción, entre los que se encuentran: 1) adquisición de elementos para el desarrollo de labores administrativas y para la implementación del sistema de Gestión Documental; 2) adquisición de dispositivos biomédicos y elementos de emergencias en el marco del programa de seguridad y salud en el trabajo; 3) adquisición de equipos audiovisuales para el diseño, producción y difusión de contenidos que soporten los procesos de comunicación interna y externa de la Agencia; 4) prestación</w:t>
      </w:r>
      <w:r w:rsidRPr="00951AB1">
        <w:rPr>
          <w:rFonts w:eastAsia="Times New Roman" w:cs="Times New Roman"/>
          <w:szCs w:val="24"/>
          <w:lang w:val="es-ES"/>
        </w:rPr>
        <w:t xml:space="preserve"> del servicio de aseo y cafetería, con el suministro de equipos e insumos, entre otros.</w:t>
      </w:r>
    </w:p>
    <w:p w14:paraId="06F7E35F" w14:textId="2AD8F3E0" w:rsidR="003443AB" w:rsidRPr="00951AB1" w:rsidRDefault="003443AB" w:rsidP="000A5389">
      <w:pPr>
        <w:spacing w:line="240" w:lineRule="auto"/>
        <w:rPr>
          <w:rFonts w:eastAsia="Times New Roman" w:cs="Times New Roman"/>
          <w:szCs w:val="24"/>
          <w:lang w:val="es-ES"/>
        </w:rPr>
      </w:pPr>
    </w:p>
    <w:p w14:paraId="52D5B22F" w14:textId="383B9E2B" w:rsidR="009A51CE" w:rsidRPr="00951AB1" w:rsidRDefault="00983643" w:rsidP="000A5389">
      <w:pPr>
        <w:pStyle w:val="Ttulo3"/>
        <w:numPr>
          <w:ilvl w:val="2"/>
          <w:numId w:val="27"/>
        </w:numPr>
        <w:spacing w:line="240" w:lineRule="auto"/>
        <w:ind w:left="709" w:hanging="709"/>
        <w:rPr>
          <w:rFonts w:cs="Times New Roman"/>
          <w:color w:val="1F3864" w:themeColor="accent1" w:themeShade="80"/>
        </w:rPr>
      </w:pPr>
      <w:bookmarkStart w:id="552" w:name="_Toc191369535"/>
      <w:bookmarkStart w:id="553" w:name="_Toc191456865"/>
      <w:bookmarkStart w:id="554" w:name="_Toc191456975"/>
      <w:bookmarkStart w:id="555" w:name="_Toc191457085"/>
      <w:bookmarkStart w:id="556" w:name="_Toc191475712"/>
      <w:bookmarkStart w:id="557" w:name="_Toc191475821"/>
      <w:bookmarkStart w:id="558" w:name="_Toc191475930"/>
      <w:bookmarkStart w:id="559" w:name="_Toc191475453"/>
      <w:bookmarkStart w:id="560" w:name="_Toc191505829"/>
      <w:bookmarkStart w:id="561" w:name="_Toc222824142"/>
      <w:r w:rsidRPr="00951AB1">
        <w:rPr>
          <w:rFonts w:cs="Times New Roman"/>
          <w:color w:val="1F3864" w:themeColor="accent1" w:themeShade="80"/>
        </w:rPr>
        <w:t xml:space="preserve"> </w:t>
      </w:r>
      <w:r w:rsidRPr="00951AB1">
        <w:rPr>
          <w:rFonts w:cs="Times New Roman"/>
        </w:rPr>
        <w:tab/>
      </w:r>
      <w:bookmarkStart w:id="562" w:name="_Toc222955510"/>
      <w:r w:rsidR="009A51CE" w:rsidRPr="00951AB1">
        <w:rPr>
          <w:rFonts w:cs="Times New Roman"/>
          <w:color w:val="1F3864" w:themeColor="accent1" w:themeShade="80"/>
        </w:rPr>
        <w:t>Impuestos, Contribuciones y Tasas</w:t>
      </w:r>
      <w:bookmarkEnd w:id="552"/>
      <w:bookmarkEnd w:id="553"/>
      <w:bookmarkEnd w:id="554"/>
      <w:bookmarkEnd w:id="555"/>
      <w:bookmarkEnd w:id="556"/>
      <w:bookmarkEnd w:id="557"/>
      <w:bookmarkEnd w:id="558"/>
      <w:bookmarkEnd w:id="559"/>
      <w:bookmarkEnd w:id="560"/>
      <w:bookmarkEnd w:id="561"/>
      <w:bookmarkEnd w:id="562"/>
    </w:p>
    <w:p w14:paraId="6B219DF9" w14:textId="77777777" w:rsidR="009A51CE" w:rsidRPr="00951AB1" w:rsidRDefault="009A51CE" w:rsidP="000A5389">
      <w:pPr>
        <w:spacing w:line="240" w:lineRule="auto"/>
        <w:rPr>
          <w:rFonts w:cs="Times New Roman"/>
        </w:rPr>
      </w:pPr>
    </w:p>
    <w:tbl>
      <w:tblPr>
        <w:tblW w:w="9331"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CellMar>
          <w:left w:w="70" w:type="dxa"/>
          <w:right w:w="70" w:type="dxa"/>
        </w:tblCellMar>
        <w:tblLook w:val="04A0" w:firstRow="1" w:lastRow="0" w:firstColumn="1" w:lastColumn="0" w:noHBand="0" w:noVBand="1"/>
      </w:tblPr>
      <w:tblGrid>
        <w:gridCol w:w="2220"/>
        <w:gridCol w:w="1053"/>
        <w:gridCol w:w="1103"/>
        <w:gridCol w:w="1289"/>
        <w:gridCol w:w="709"/>
        <w:gridCol w:w="649"/>
        <w:gridCol w:w="1465"/>
        <w:gridCol w:w="843"/>
      </w:tblGrid>
      <w:tr w:rsidR="002B02CE" w:rsidRPr="0039091F" w14:paraId="7F47AECB" w14:textId="77777777" w:rsidTr="0039091F">
        <w:trPr>
          <w:trHeight w:val="610"/>
          <w:tblHeader/>
        </w:trPr>
        <w:tc>
          <w:tcPr>
            <w:tcW w:w="5665" w:type="dxa"/>
            <w:gridSpan w:val="4"/>
            <w:vMerge w:val="restart"/>
            <w:vAlign w:val="center"/>
            <w:hideMark/>
          </w:tcPr>
          <w:p w14:paraId="03B63EB0" w14:textId="77777777" w:rsidR="009A51CE" w:rsidRPr="0039091F" w:rsidRDefault="009A51CE" w:rsidP="000A5389">
            <w:pPr>
              <w:spacing w:line="240" w:lineRule="auto"/>
              <w:jc w:val="center"/>
              <w:rPr>
                <w:rFonts w:eastAsia="Times New Roman" w:cs="Times New Roman"/>
                <w:b/>
                <w:kern w:val="0"/>
                <w:sz w:val="16"/>
                <w:szCs w:val="16"/>
                <w:lang w:eastAsia="es-CO"/>
                <w14:ligatures w14:val="none"/>
              </w:rPr>
            </w:pPr>
            <w:r w:rsidRPr="0039091F">
              <w:rPr>
                <w:rFonts w:eastAsia="Times New Roman" w:cs="Times New Roman"/>
                <w:b/>
                <w:kern w:val="0"/>
                <w:sz w:val="16"/>
                <w:szCs w:val="16"/>
                <w:lang w:eastAsia="es-CO"/>
                <w14:ligatures w14:val="none"/>
              </w:rPr>
              <w:t>ASOCIACIÓN DE DATOS</w:t>
            </w:r>
          </w:p>
        </w:tc>
        <w:tc>
          <w:tcPr>
            <w:tcW w:w="3666" w:type="dxa"/>
            <w:gridSpan w:val="4"/>
            <w:vAlign w:val="center"/>
            <w:hideMark/>
          </w:tcPr>
          <w:p w14:paraId="018FA8B4" w14:textId="77777777" w:rsidR="009A51CE" w:rsidRPr="0039091F" w:rsidRDefault="009A51CE" w:rsidP="000A5389">
            <w:pPr>
              <w:spacing w:line="240" w:lineRule="auto"/>
              <w:jc w:val="center"/>
              <w:rPr>
                <w:rFonts w:eastAsia="Times New Roman" w:cs="Times New Roman"/>
                <w:b/>
                <w:kern w:val="0"/>
                <w:sz w:val="16"/>
                <w:szCs w:val="16"/>
                <w:lang w:eastAsia="es-CO"/>
                <w14:ligatures w14:val="none"/>
              </w:rPr>
            </w:pPr>
            <w:r w:rsidRPr="0039091F">
              <w:rPr>
                <w:rFonts w:eastAsia="Times New Roman" w:cs="Times New Roman"/>
                <w:b/>
                <w:kern w:val="0"/>
                <w:sz w:val="16"/>
                <w:szCs w:val="16"/>
                <w:lang w:eastAsia="es-CO"/>
                <w14:ligatures w14:val="none"/>
              </w:rPr>
              <w:t>DETALLES DE LA TRANSACCIÓN</w:t>
            </w:r>
            <w:r w:rsidRPr="0039091F">
              <w:rPr>
                <w:rFonts w:eastAsia="Times New Roman" w:cs="Times New Roman"/>
                <w:b/>
                <w:kern w:val="0"/>
                <w:sz w:val="16"/>
                <w:szCs w:val="16"/>
                <w:lang w:eastAsia="es-CO"/>
                <w14:ligatures w14:val="none"/>
              </w:rPr>
              <w:br/>
              <w:t>(reporte agrupado por datos comunes de asociación)</w:t>
            </w:r>
          </w:p>
        </w:tc>
      </w:tr>
      <w:tr w:rsidR="00423A11" w:rsidRPr="0039091F" w14:paraId="2D953C6D" w14:textId="77777777" w:rsidTr="001B10F3">
        <w:trPr>
          <w:trHeight w:val="267"/>
        </w:trPr>
        <w:tc>
          <w:tcPr>
            <w:tcW w:w="5665" w:type="dxa"/>
            <w:gridSpan w:val="4"/>
            <w:vMerge/>
            <w:vAlign w:val="center"/>
            <w:hideMark/>
          </w:tcPr>
          <w:p w14:paraId="7C09A4CB" w14:textId="77777777" w:rsidR="009A51CE" w:rsidRPr="0039091F" w:rsidRDefault="009A51CE" w:rsidP="000A5389">
            <w:pPr>
              <w:spacing w:line="240" w:lineRule="auto"/>
              <w:rPr>
                <w:rFonts w:eastAsia="Times New Roman" w:cs="Times New Roman"/>
                <w:b/>
                <w:kern w:val="0"/>
                <w:sz w:val="16"/>
                <w:szCs w:val="16"/>
                <w:lang w:eastAsia="es-CO"/>
                <w14:ligatures w14:val="none"/>
              </w:rPr>
            </w:pPr>
          </w:p>
        </w:tc>
        <w:tc>
          <w:tcPr>
            <w:tcW w:w="1358" w:type="dxa"/>
            <w:gridSpan w:val="2"/>
            <w:vAlign w:val="center"/>
            <w:hideMark/>
          </w:tcPr>
          <w:p w14:paraId="1903FFA7" w14:textId="77777777" w:rsidR="009A51CE" w:rsidRPr="0039091F" w:rsidRDefault="009A51CE" w:rsidP="000A5389">
            <w:pPr>
              <w:spacing w:line="240" w:lineRule="auto"/>
              <w:jc w:val="center"/>
              <w:rPr>
                <w:rFonts w:eastAsia="Times New Roman" w:cs="Times New Roman"/>
                <w:b/>
                <w:kern w:val="0"/>
                <w:sz w:val="16"/>
                <w:szCs w:val="16"/>
                <w:lang w:eastAsia="es-CO"/>
                <w14:ligatures w14:val="none"/>
              </w:rPr>
            </w:pPr>
            <w:r w:rsidRPr="0039091F">
              <w:rPr>
                <w:rFonts w:eastAsia="Times New Roman" w:cs="Times New Roman"/>
                <w:b/>
                <w:kern w:val="0"/>
                <w:sz w:val="16"/>
                <w:szCs w:val="16"/>
                <w:lang w:eastAsia="es-CO"/>
                <w14:ligatures w14:val="none"/>
              </w:rPr>
              <w:t>PLAZO</w:t>
            </w:r>
            <w:r w:rsidRPr="0039091F">
              <w:rPr>
                <w:rFonts w:eastAsia="Times New Roman" w:cs="Times New Roman"/>
                <w:b/>
                <w:kern w:val="0"/>
                <w:sz w:val="16"/>
                <w:szCs w:val="16"/>
                <w:lang w:eastAsia="es-CO"/>
                <w14:ligatures w14:val="none"/>
              </w:rPr>
              <w:br/>
              <w:t>(rango en # meses)</w:t>
            </w:r>
          </w:p>
        </w:tc>
        <w:tc>
          <w:tcPr>
            <w:tcW w:w="1465" w:type="dxa"/>
            <w:vMerge w:val="restart"/>
            <w:vAlign w:val="center"/>
            <w:hideMark/>
          </w:tcPr>
          <w:p w14:paraId="49735F8B" w14:textId="77777777" w:rsidR="009A51CE" w:rsidRPr="0039091F" w:rsidRDefault="009A51CE" w:rsidP="000A5389">
            <w:pPr>
              <w:spacing w:line="240" w:lineRule="auto"/>
              <w:jc w:val="center"/>
              <w:rPr>
                <w:rFonts w:eastAsia="Times New Roman" w:cs="Times New Roman"/>
                <w:b/>
                <w:kern w:val="0"/>
                <w:sz w:val="16"/>
                <w:szCs w:val="16"/>
                <w:lang w:eastAsia="es-CO"/>
                <w14:ligatures w14:val="none"/>
              </w:rPr>
            </w:pPr>
            <w:r w:rsidRPr="0039091F">
              <w:rPr>
                <w:rFonts w:eastAsia="Times New Roman" w:cs="Times New Roman"/>
                <w:b/>
                <w:kern w:val="0"/>
                <w:sz w:val="16"/>
                <w:szCs w:val="16"/>
                <w:lang w:eastAsia="es-CO"/>
                <w14:ligatures w14:val="none"/>
              </w:rPr>
              <w:t>RESTRICCIONES</w:t>
            </w:r>
          </w:p>
        </w:tc>
        <w:tc>
          <w:tcPr>
            <w:tcW w:w="843" w:type="dxa"/>
            <w:vMerge w:val="restart"/>
            <w:vAlign w:val="center"/>
            <w:hideMark/>
          </w:tcPr>
          <w:p w14:paraId="6A2521F9" w14:textId="77777777" w:rsidR="009A51CE" w:rsidRPr="0039091F" w:rsidRDefault="009A51CE" w:rsidP="000A5389">
            <w:pPr>
              <w:spacing w:line="240" w:lineRule="auto"/>
              <w:jc w:val="center"/>
              <w:rPr>
                <w:rFonts w:eastAsia="Times New Roman" w:cs="Times New Roman"/>
                <w:b/>
                <w:kern w:val="0"/>
                <w:sz w:val="16"/>
                <w:szCs w:val="16"/>
                <w:lang w:eastAsia="es-CO"/>
                <w14:ligatures w14:val="none"/>
              </w:rPr>
            </w:pPr>
            <w:r w:rsidRPr="0039091F">
              <w:rPr>
                <w:rFonts w:eastAsia="Times New Roman" w:cs="Times New Roman"/>
                <w:b/>
                <w:kern w:val="0"/>
                <w:sz w:val="16"/>
                <w:szCs w:val="16"/>
                <w:lang w:eastAsia="es-CO"/>
                <w14:ligatures w14:val="none"/>
              </w:rPr>
              <w:t>TASA DE INTERES</w:t>
            </w:r>
            <w:r w:rsidRPr="0039091F">
              <w:rPr>
                <w:rFonts w:eastAsia="Times New Roman" w:cs="Times New Roman"/>
                <w:b/>
                <w:kern w:val="0"/>
                <w:sz w:val="16"/>
                <w:szCs w:val="16"/>
                <w:lang w:eastAsia="es-CO"/>
                <w14:ligatures w14:val="none"/>
              </w:rPr>
              <w:br/>
              <w:t>(%)</w:t>
            </w:r>
          </w:p>
        </w:tc>
      </w:tr>
      <w:tr w:rsidR="00346E6B" w:rsidRPr="0039091F" w14:paraId="14AAE2DB" w14:textId="77777777" w:rsidTr="001B10F3">
        <w:trPr>
          <w:trHeight w:val="427"/>
        </w:trPr>
        <w:tc>
          <w:tcPr>
            <w:tcW w:w="2220" w:type="dxa"/>
            <w:vAlign w:val="center"/>
            <w:hideMark/>
          </w:tcPr>
          <w:p w14:paraId="513BFBD0" w14:textId="77777777" w:rsidR="009A51CE" w:rsidRPr="0039091F" w:rsidRDefault="009A51CE" w:rsidP="000A5389">
            <w:pPr>
              <w:spacing w:line="240" w:lineRule="auto"/>
              <w:jc w:val="center"/>
              <w:rPr>
                <w:rFonts w:eastAsia="Times New Roman" w:cs="Times New Roman"/>
                <w:b/>
                <w:kern w:val="0"/>
                <w:sz w:val="16"/>
                <w:szCs w:val="16"/>
                <w:lang w:eastAsia="es-CO"/>
                <w14:ligatures w14:val="none"/>
              </w:rPr>
            </w:pPr>
            <w:r w:rsidRPr="0039091F">
              <w:rPr>
                <w:rFonts w:eastAsia="Times New Roman" w:cs="Times New Roman"/>
                <w:b/>
                <w:kern w:val="0"/>
                <w:sz w:val="16"/>
                <w:szCs w:val="16"/>
                <w:lang w:eastAsia="es-CO"/>
                <w14:ligatures w14:val="none"/>
              </w:rPr>
              <w:t>TIPO DE TERCEROS</w:t>
            </w:r>
          </w:p>
        </w:tc>
        <w:tc>
          <w:tcPr>
            <w:tcW w:w="1053" w:type="dxa"/>
            <w:vAlign w:val="center"/>
            <w:hideMark/>
          </w:tcPr>
          <w:p w14:paraId="053828B7" w14:textId="77777777" w:rsidR="009A51CE" w:rsidRPr="0039091F" w:rsidRDefault="009A51CE" w:rsidP="000A5389">
            <w:pPr>
              <w:spacing w:line="240" w:lineRule="auto"/>
              <w:jc w:val="center"/>
              <w:rPr>
                <w:rFonts w:eastAsia="Times New Roman" w:cs="Times New Roman"/>
                <w:b/>
                <w:kern w:val="0"/>
                <w:sz w:val="16"/>
                <w:szCs w:val="16"/>
                <w:lang w:eastAsia="es-CO"/>
                <w14:ligatures w14:val="none"/>
              </w:rPr>
            </w:pPr>
            <w:r w:rsidRPr="0039091F">
              <w:rPr>
                <w:rFonts w:eastAsia="Times New Roman" w:cs="Times New Roman"/>
                <w:b/>
                <w:kern w:val="0"/>
                <w:sz w:val="16"/>
                <w:szCs w:val="16"/>
                <w:lang w:eastAsia="es-CO"/>
                <w14:ligatures w14:val="none"/>
              </w:rPr>
              <w:t>PN / PJ / ECP</w:t>
            </w:r>
          </w:p>
        </w:tc>
        <w:tc>
          <w:tcPr>
            <w:tcW w:w="1103" w:type="dxa"/>
            <w:vAlign w:val="center"/>
            <w:hideMark/>
          </w:tcPr>
          <w:p w14:paraId="567EB943" w14:textId="77777777" w:rsidR="009A51CE" w:rsidRPr="0039091F" w:rsidRDefault="009A51CE" w:rsidP="000A5389">
            <w:pPr>
              <w:spacing w:line="240" w:lineRule="auto"/>
              <w:jc w:val="center"/>
              <w:rPr>
                <w:rFonts w:eastAsia="Times New Roman" w:cs="Times New Roman"/>
                <w:b/>
                <w:kern w:val="0"/>
                <w:sz w:val="16"/>
                <w:szCs w:val="16"/>
                <w:lang w:eastAsia="es-CO"/>
                <w14:ligatures w14:val="none"/>
              </w:rPr>
            </w:pPr>
            <w:r w:rsidRPr="0039091F">
              <w:rPr>
                <w:rFonts w:eastAsia="Times New Roman" w:cs="Times New Roman"/>
                <w:b/>
                <w:kern w:val="0"/>
                <w:sz w:val="16"/>
                <w:szCs w:val="16"/>
                <w:lang w:eastAsia="es-CO"/>
                <w14:ligatures w14:val="none"/>
              </w:rPr>
              <w:t>CANTIDAD</w:t>
            </w:r>
          </w:p>
        </w:tc>
        <w:tc>
          <w:tcPr>
            <w:tcW w:w="1289" w:type="dxa"/>
            <w:vAlign w:val="center"/>
            <w:hideMark/>
          </w:tcPr>
          <w:p w14:paraId="569635CD" w14:textId="77777777" w:rsidR="009A51CE" w:rsidRPr="0039091F" w:rsidRDefault="009A51CE" w:rsidP="000A5389">
            <w:pPr>
              <w:spacing w:line="240" w:lineRule="auto"/>
              <w:jc w:val="center"/>
              <w:rPr>
                <w:rFonts w:eastAsia="Times New Roman" w:cs="Times New Roman"/>
                <w:b/>
                <w:kern w:val="0"/>
                <w:sz w:val="16"/>
                <w:szCs w:val="16"/>
                <w:lang w:eastAsia="es-CO"/>
                <w14:ligatures w14:val="none"/>
              </w:rPr>
            </w:pPr>
            <w:r w:rsidRPr="0039091F">
              <w:rPr>
                <w:rFonts w:eastAsia="Times New Roman" w:cs="Times New Roman"/>
                <w:b/>
                <w:kern w:val="0"/>
                <w:sz w:val="16"/>
                <w:szCs w:val="16"/>
                <w:lang w:eastAsia="es-CO"/>
                <w14:ligatures w14:val="none"/>
              </w:rPr>
              <w:t>VALOR EN LIBROS</w:t>
            </w:r>
          </w:p>
        </w:tc>
        <w:tc>
          <w:tcPr>
            <w:tcW w:w="709" w:type="dxa"/>
            <w:vAlign w:val="center"/>
            <w:hideMark/>
          </w:tcPr>
          <w:p w14:paraId="5B9AD9FB" w14:textId="729E2BC3" w:rsidR="009A51CE" w:rsidRPr="0039091F" w:rsidRDefault="009A51CE" w:rsidP="000A5389">
            <w:pPr>
              <w:spacing w:line="240" w:lineRule="auto"/>
              <w:jc w:val="center"/>
              <w:rPr>
                <w:rFonts w:eastAsia="Times New Roman" w:cs="Times New Roman"/>
                <w:b/>
                <w:kern w:val="0"/>
                <w:sz w:val="16"/>
                <w:szCs w:val="16"/>
                <w:lang w:eastAsia="es-CO"/>
                <w14:ligatures w14:val="none"/>
              </w:rPr>
            </w:pPr>
            <w:r w:rsidRPr="0039091F">
              <w:rPr>
                <w:rFonts w:eastAsia="Times New Roman" w:cs="Times New Roman"/>
                <w:b/>
                <w:kern w:val="0"/>
                <w:sz w:val="16"/>
                <w:szCs w:val="16"/>
                <w:lang w:eastAsia="es-CO"/>
                <w14:ligatures w14:val="none"/>
              </w:rPr>
              <w:t>MÍN</w:t>
            </w:r>
          </w:p>
        </w:tc>
        <w:tc>
          <w:tcPr>
            <w:tcW w:w="649" w:type="dxa"/>
            <w:vAlign w:val="center"/>
            <w:hideMark/>
          </w:tcPr>
          <w:p w14:paraId="5EA94A39" w14:textId="1010E141" w:rsidR="009A51CE" w:rsidRPr="0039091F" w:rsidRDefault="009A51CE" w:rsidP="000A5389">
            <w:pPr>
              <w:spacing w:line="240" w:lineRule="auto"/>
              <w:jc w:val="center"/>
              <w:rPr>
                <w:rFonts w:eastAsia="Times New Roman" w:cs="Times New Roman"/>
                <w:b/>
                <w:kern w:val="0"/>
                <w:sz w:val="16"/>
                <w:szCs w:val="16"/>
                <w:lang w:eastAsia="es-CO"/>
                <w14:ligatures w14:val="none"/>
              </w:rPr>
            </w:pPr>
            <w:r w:rsidRPr="0039091F">
              <w:rPr>
                <w:rFonts w:eastAsia="Times New Roman" w:cs="Times New Roman"/>
                <w:b/>
                <w:kern w:val="0"/>
                <w:sz w:val="16"/>
                <w:szCs w:val="16"/>
                <w:lang w:eastAsia="es-CO"/>
                <w14:ligatures w14:val="none"/>
              </w:rPr>
              <w:t>MÁX</w:t>
            </w:r>
          </w:p>
        </w:tc>
        <w:tc>
          <w:tcPr>
            <w:tcW w:w="1465" w:type="dxa"/>
            <w:vMerge/>
            <w:vAlign w:val="center"/>
            <w:hideMark/>
          </w:tcPr>
          <w:p w14:paraId="1F9156F5" w14:textId="77777777" w:rsidR="009A51CE" w:rsidRPr="0039091F" w:rsidRDefault="009A51CE" w:rsidP="000A5389">
            <w:pPr>
              <w:spacing w:line="240" w:lineRule="auto"/>
              <w:rPr>
                <w:rFonts w:eastAsia="Times New Roman" w:cs="Times New Roman"/>
                <w:b/>
                <w:kern w:val="0"/>
                <w:sz w:val="16"/>
                <w:szCs w:val="16"/>
                <w:lang w:eastAsia="es-CO"/>
                <w14:ligatures w14:val="none"/>
              </w:rPr>
            </w:pPr>
          </w:p>
        </w:tc>
        <w:tc>
          <w:tcPr>
            <w:tcW w:w="843" w:type="dxa"/>
            <w:vMerge/>
            <w:vAlign w:val="center"/>
            <w:hideMark/>
          </w:tcPr>
          <w:p w14:paraId="25C1BE36" w14:textId="77777777" w:rsidR="009A51CE" w:rsidRPr="0039091F" w:rsidRDefault="009A51CE" w:rsidP="000A5389">
            <w:pPr>
              <w:spacing w:line="240" w:lineRule="auto"/>
              <w:rPr>
                <w:rFonts w:eastAsia="Times New Roman" w:cs="Times New Roman"/>
                <w:b/>
                <w:kern w:val="0"/>
                <w:sz w:val="16"/>
                <w:szCs w:val="16"/>
                <w:lang w:eastAsia="es-CO"/>
                <w14:ligatures w14:val="none"/>
              </w:rPr>
            </w:pPr>
          </w:p>
        </w:tc>
      </w:tr>
      <w:tr w:rsidR="00346E6B" w:rsidRPr="0039091F" w14:paraId="005A7A61" w14:textId="77777777" w:rsidTr="001B10F3">
        <w:trPr>
          <w:trHeight w:val="213"/>
        </w:trPr>
        <w:tc>
          <w:tcPr>
            <w:tcW w:w="2220" w:type="dxa"/>
            <w:noWrap/>
            <w:vAlign w:val="center"/>
            <w:hideMark/>
          </w:tcPr>
          <w:p w14:paraId="7ACD98BD" w14:textId="77777777" w:rsidR="009A51CE" w:rsidRPr="0039091F" w:rsidRDefault="009A51CE" w:rsidP="000A5389">
            <w:pPr>
              <w:spacing w:line="240" w:lineRule="auto"/>
              <w:rPr>
                <w:rFonts w:eastAsia="Times New Roman" w:cs="Times New Roman"/>
                <w:b/>
                <w:kern w:val="0"/>
                <w:sz w:val="16"/>
                <w:szCs w:val="16"/>
                <w:lang w:eastAsia="es-CO"/>
                <w14:ligatures w14:val="none"/>
              </w:rPr>
            </w:pPr>
            <w:r w:rsidRPr="0039091F">
              <w:rPr>
                <w:rFonts w:eastAsia="Times New Roman" w:cs="Times New Roman"/>
                <w:b/>
                <w:kern w:val="0"/>
                <w:sz w:val="16"/>
                <w:szCs w:val="16"/>
                <w:lang w:eastAsia="es-CO"/>
                <w14:ligatures w14:val="none"/>
              </w:rPr>
              <w:t>IMPUESTOS, CONTRIBUCIONES Y TASAS</w:t>
            </w:r>
          </w:p>
        </w:tc>
        <w:tc>
          <w:tcPr>
            <w:tcW w:w="1053" w:type="dxa"/>
            <w:noWrap/>
            <w:vAlign w:val="center"/>
            <w:hideMark/>
          </w:tcPr>
          <w:p w14:paraId="3C6978CE" w14:textId="77777777" w:rsidR="009A51CE" w:rsidRPr="0039091F" w:rsidRDefault="009A51CE" w:rsidP="000A5389">
            <w:pPr>
              <w:spacing w:line="240" w:lineRule="auto"/>
              <w:rPr>
                <w:rFonts w:eastAsia="Times New Roman" w:cs="Times New Roman"/>
                <w:b/>
                <w:kern w:val="0"/>
                <w:sz w:val="16"/>
                <w:szCs w:val="16"/>
                <w:lang w:eastAsia="es-CO"/>
                <w14:ligatures w14:val="none"/>
              </w:rPr>
            </w:pPr>
            <w:r w:rsidRPr="0039091F">
              <w:rPr>
                <w:rFonts w:eastAsia="Times New Roman" w:cs="Times New Roman"/>
                <w:b/>
                <w:kern w:val="0"/>
                <w:sz w:val="16"/>
                <w:szCs w:val="16"/>
                <w:lang w:eastAsia="es-CO"/>
                <w14:ligatures w14:val="none"/>
              </w:rPr>
              <w:t> </w:t>
            </w:r>
          </w:p>
        </w:tc>
        <w:tc>
          <w:tcPr>
            <w:tcW w:w="1103" w:type="dxa"/>
            <w:noWrap/>
            <w:vAlign w:val="center"/>
            <w:hideMark/>
          </w:tcPr>
          <w:p w14:paraId="354C5146" w14:textId="77777777" w:rsidR="009A51CE" w:rsidRPr="0039091F" w:rsidRDefault="009A51CE" w:rsidP="000A5389">
            <w:pPr>
              <w:spacing w:line="240" w:lineRule="auto"/>
              <w:rPr>
                <w:rFonts w:eastAsia="Times New Roman" w:cs="Times New Roman"/>
                <w:b/>
                <w:kern w:val="0"/>
                <w:sz w:val="16"/>
                <w:szCs w:val="16"/>
                <w:lang w:eastAsia="es-CO"/>
                <w14:ligatures w14:val="none"/>
              </w:rPr>
            </w:pPr>
            <w:r w:rsidRPr="0039091F">
              <w:rPr>
                <w:rFonts w:eastAsia="Times New Roman" w:cs="Times New Roman"/>
                <w:b/>
                <w:kern w:val="0"/>
                <w:sz w:val="16"/>
                <w:szCs w:val="16"/>
                <w:lang w:eastAsia="es-CO"/>
                <w14:ligatures w14:val="none"/>
              </w:rPr>
              <w:t> </w:t>
            </w:r>
          </w:p>
        </w:tc>
        <w:tc>
          <w:tcPr>
            <w:tcW w:w="1289" w:type="dxa"/>
            <w:noWrap/>
            <w:vAlign w:val="center"/>
            <w:hideMark/>
          </w:tcPr>
          <w:p w14:paraId="4BD6CD7C" w14:textId="77777777" w:rsidR="009A51CE" w:rsidRPr="0039091F" w:rsidRDefault="009A51CE" w:rsidP="000A5389">
            <w:pPr>
              <w:spacing w:line="240" w:lineRule="auto"/>
              <w:jc w:val="right"/>
              <w:rPr>
                <w:rFonts w:eastAsia="Times New Roman" w:cs="Times New Roman"/>
                <w:b/>
                <w:kern w:val="0"/>
                <w:sz w:val="16"/>
                <w:szCs w:val="16"/>
                <w:lang w:eastAsia="es-CO"/>
                <w14:ligatures w14:val="none"/>
              </w:rPr>
            </w:pPr>
            <w:r w:rsidRPr="0039091F">
              <w:rPr>
                <w:rFonts w:eastAsia="Times New Roman" w:cs="Times New Roman"/>
                <w:b/>
                <w:kern w:val="0"/>
                <w:sz w:val="16"/>
                <w:szCs w:val="16"/>
                <w:lang w:eastAsia="es-CO"/>
                <w14:ligatures w14:val="none"/>
              </w:rPr>
              <w:t xml:space="preserve">63.908.090 </w:t>
            </w:r>
          </w:p>
        </w:tc>
        <w:tc>
          <w:tcPr>
            <w:tcW w:w="709" w:type="dxa"/>
            <w:noWrap/>
            <w:vAlign w:val="center"/>
            <w:hideMark/>
          </w:tcPr>
          <w:p w14:paraId="0A95ECD6" w14:textId="77777777" w:rsidR="009A51CE" w:rsidRPr="0039091F" w:rsidRDefault="009A51CE" w:rsidP="000A5389">
            <w:pPr>
              <w:spacing w:line="240" w:lineRule="auto"/>
              <w:rPr>
                <w:rFonts w:eastAsia="Times New Roman" w:cs="Times New Roman"/>
                <w:b/>
                <w:kern w:val="0"/>
                <w:sz w:val="16"/>
                <w:szCs w:val="16"/>
                <w:lang w:eastAsia="es-CO"/>
                <w14:ligatures w14:val="none"/>
              </w:rPr>
            </w:pPr>
            <w:r w:rsidRPr="0039091F">
              <w:rPr>
                <w:rFonts w:eastAsia="Times New Roman" w:cs="Times New Roman"/>
                <w:b/>
                <w:kern w:val="0"/>
                <w:sz w:val="16"/>
                <w:szCs w:val="16"/>
                <w:lang w:eastAsia="es-CO"/>
                <w14:ligatures w14:val="none"/>
              </w:rPr>
              <w:t> </w:t>
            </w:r>
          </w:p>
        </w:tc>
        <w:tc>
          <w:tcPr>
            <w:tcW w:w="649" w:type="dxa"/>
            <w:noWrap/>
            <w:vAlign w:val="center"/>
            <w:hideMark/>
          </w:tcPr>
          <w:p w14:paraId="34AB789A" w14:textId="77777777" w:rsidR="009A51CE" w:rsidRPr="0039091F" w:rsidRDefault="009A51CE" w:rsidP="000A5389">
            <w:pPr>
              <w:spacing w:line="240" w:lineRule="auto"/>
              <w:rPr>
                <w:rFonts w:eastAsia="Times New Roman" w:cs="Times New Roman"/>
                <w:b/>
                <w:kern w:val="0"/>
                <w:sz w:val="16"/>
                <w:szCs w:val="16"/>
                <w:lang w:eastAsia="es-CO"/>
                <w14:ligatures w14:val="none"/>
              </w:rPr>
            </w:pPr>
            <w:r w:rsidRPr="0039091F">
              <w:rPr>
                <w:rFonts w:eastAsia="Times New Roman" w:cs="Times New Roman"/>
                <w:b/>
                <w:kern w:val="0"/>
                <w:sz w:val="16"/>
                <w:szCs w:val="16"/>
                <w:lang w:eastAsia="es-CO"/>
                <w14:ligatures w14:val="none"/>
              </w:rPr>
              <w:t> </w:t>
            </w:r>
          </w:p>
        </w:tc>
        <w:tc>
          <w:tcPr>
            <w:tcW w:w="1465" w:type="dxa"/>
            <w:noWrap/>
            <w:vAlign w:val="center"/>
            <w:hideMark/>
          </w:tcPr>
          <w:p w14:paraId="313E81E4" w14:textId="77777777" w:rsidR="009A51CE" w:rsidRPr="0039091F" w:rsidRDefault="009A51CE" w:rsidP="000A5389">
            <w:pPr>
              <w:spacing w:line="240" w:lineRule="auto"/>
              <w:rPr>
                <w:rFonts w:eastAsia="Times New Roman" w:cs="Times New Roman"/>
                <w:b/>
                <w:kern w:val="0"/>
                <w:sz w:val="16"/>
                <w:szCs w:val="16"/>
                <w:lang w:eastAsia="es-CO"/>
                <w14:ligatures w14:val="none"/>
              </w:rPr>
            </w:pPr>
            <w:r w:rsidRPr="0039091F">
              <w:rPr>
                <w:rFonts w:eastAsia="Times New Roman" w:cs="Times New Roman"/>
                <w:b/>
                <w:kern w:val="0"/>
                <w:sz w:val="16"/>
                <w:szCs w:val="16"/>
                <w:lang w:eastAsia="es-CO"/>
                <w14:ligatures w14:val="none"/>
              </w:rPr>
              <w:t> </w:t>
            </w:r>
          </w:p>
        </w:tc>
        <w:tc>
          <w:tcPr>
            <w:tcW w:w="843" w:type="dxa"/>
            <w:noWrap/>
            <w:vAlign w:val="center"/>
            <w:hideMark/>
          </w:tcPr>
          <w:p w14:paraId="4609C86B" w14:textId="77777777" w:rsidR="009A51CE" w:rsidRPr="0039091F" w:rsidRDefault="009A51CE" w:rsidP="000A5389">
            <w:pPr>
              <w:spacing w:line="240" w:lineRule="auto"/>
              <w:jc w:val="center"/>
              <w:rPr>
                <w:rFonts w:eastAsia="Times New Roman" w:cs="Times New Roman"/>
                <w:b/>
                <w:kern w:val="0"/>
                <w:sz w:val="16"/>
                <w:szCs w:val="16"/>
                <w:lang w:eastAsia="es-CO"/>
                <w14:ligatures w14:val="none"/>
              </w:rPr>
            </w:pPr>
            <w:r w:rsidRPr="0039091F">
              <w:rPr>
                <w:rFonts w:eastAsia="Times New Roman" w:cs="Times New Roman"/>
                <w:b/>
                <w:kern w:val="0"/>
                <w:sz w:val="16"/>
                <w:szCs w:val="16"/>
                <w:lang w:eastAsia="es-CO"/>
                <w14:ligatures w14:val="none"/>
              </w:rPr>
              <w:t xml:space="preserve">0,0 </w:t>
            </w:r>
          </w:p>
        </w:tc>
      </w:tr>
      <w:tr w:rsidR="00346E6B" w:rsidRPr="0039091F" w14:paraId="67661D8F" w14:textId="77777777" w:rsidTr="001B10F3">
        <w:trPr>
          <w:trHeight w:val="213"/>
        </w:trPr>
        <w:tc>
          <w:tcPr>
            <w:tcW w:w="2220" w:type="dxa"/>
            <w:noWrap/>
            <w:vAlign w:val="center"/>
            <w:hideMark/>
          </w:tcPr>
          <w:p w14:paraId="2A1595FC" w14:textId="77777777" w:rsidR="009A51CE" w:rsidRPr="0039091F" w:rsidRDefault="009A51CE" w:rsidP="000A5389">
            <w:pPr>
              <w:spacing w:line="240" w:lineRule="auto"/>
              <w:rPr>
                <w:rFonts w:eastAsia="Times New Roman" w:cs="Times New Roman"/>
                <w:b/>
                <w:kern w:val="0"/>
                <w:sz w:val="16"/>
                <w:szCs w:val="16"/>
                <w:lang w:eastAsia="es-CO"/>
                <w14:ligatures w14:val="none"/>
              </w:rPr>
            </w:pPr>
            <w:r w:rsidRPr="0039091F">
              <w:rPr>
                <w:rFonts w:eastAsia="Times New Roman" w:cs="Times New Roman"/>
                <w:b/>
                <w:kern w:val="0"/>
                <w:sz w:val="16"/>
                <w:szCs w:val="16"/>
                <w:lang w:eastAsia="es-CO"/>
                <w14:ligatures w14:val="none"/>
              </w:rPr>
              <w:t>Tasas</w:t>
            </w:r>
          </w:p>
        </w:tc>
        <w:tc>
          <w:tcPr>
            <w:tcW w:w="1053" w:type="dxa"/>
            <w:noWrap/>
            <w:vAlign w:val="center"/>
            <w:hideMark/>
          </w:tcPr>
          <w:p w14:paraId="1927A79D" w14:textId="77777777" w:rsidR="009A51CE" w:rsidRPr="0039091F" w:rsidRDefault="009A51CE" w:rsidP="000A5389">
            <w:pPr>
              <w:spacing w:line="240" w:lineRule="auto"/>
              <w:rPr>
                <w:rFonts w:eastAsia="Times New Roman" w:cs="Times New Roman"/>
                <w:b/>
                <w:kern w:val="0"/>
                <w:sz w:val="16"/>
                <w:szCs w:val="16"/>
                <w:lang w:eastAsia="es-CO"/>
                <w14:ligatures w14:val="none"/>
              </w:rPr>
            </w:pPr>
            <w:r w:rsidRPr="0039091F">
              <w:rPr>
                <w:rFonts w:eastAsia="Times New Roman" w:cs="Times New Roman"/>
                <w:b/>
                <w:kern w:val="0"/>
                <w:sz w:val="16"/>
                <w:szCs w:val="16"/>
                <w:lang w:eastAsia="es-CO"/>
                <w14:ligatures w14:val="none"/>
              </w:rPr>
              <w:t> </w:t>
            </w:r>
          </w:p>
        </w:tc>
        <w:tc>
          <w:tcPr>
            <w:tcW w:w="1103" w:type="dxa"/>
            <w:noWrap/>
            <w:vAlign w:val="center"/>
            <w:hideMark/>
          </w:tcPr>
          <w:p w14:paraId="2155E357" w14:textId="77777777" w:rsidR="009A51CE" w:rsidRPr="0039091F" w:rsidRDefault="009A51CE" w:rsidP="000A5389">
            <w:pPr>
              <w:spacing w:line="240" w:lineRule="auto"/>
              <w:rPr>
                <w:rFonts w:eastAsia="Times New Roman" w:cs="Times New Roman"/>
                <w:b/>
                <w:kern w:val="0"/>
                <w:sz w:val="16"/>
                <w:szCs w:val="16"/>
                <w:lang w:eastAsia="es-CO"/>
                <w14:ligatures w14:val="none"/>
              </w:rPr>
            </w:pPr>
            <w:r w:rsidRPr="0039091F">
              <w:rPr>
                <w:rFonts w:eastAsia="Times New Roman" w:cs="Times New Roman"/>
                <w:b/>
                <w:kern w:val="0"/>
                <w:sz w:val="16"/>
                <w:szCs w:val="16"/>
                <w:lang w:eastAsia="es-CO"/>
                <w14:ligatures w14:val="none"/>
              </w:rPr>
              <w:t> </w:t>
            </w:r>
          </w:p>
        </w:tc>
        <w:tc>
          <w:tcPr>
            <w:tcW w:w="1289" w:type="dxa"/>
            <w:noWrap/>
            <w:vAlign w:val="center"/>
            <w:hideMark/>
          </w:tcPr>
          <w:p w14:paraId="76FF4802" w14:textId="77777777" w:rsidR="009A51CE" w:rsidRPr="0039091F" w:rsidRDefault="009A51CE" w:rsidP="000A5389">
            <w:pPr>
              <w:spacing w:line="240" w:lineRule="auto"/>
              <w:jc w:val="right"/>
              <w:rPr>
                <w:rFonts w:eastAsia="Times New Roman" w:cs="Times New Roman"/>
                <w:b/>
                <w:kern w:val="0"/>
                <w:sz w:val="16"/>
                <w:szCs w:val="16"/>
                <w:lang w:eastAsia="es-CO"/>
                <w14:ligatures w14:val="none"/>
              </w:rPr>
            </w:pPr>
            <w:r w:rsidRPr="0039091F">
              <w:rPr>
                <w:rFonts w:eastAsia="Times New Roman" w:cs="Times New Roman"/>
                <w:b/>
                <w:kern w:val="0"/>
                <w:sz w:val="16"/>
                <w:szCs w:val="16"/>
                <w:lang w:eastAsia="es-CO"/>
                <w14:ligatures w14:val="none"/>
              </w:rPr>
              <w:t xml:space="preserve">63.908.090 </w:t>
            </w:r>
          </w:p>
        </w:tc>
        <w:tc>
          <w:tcPr>
            <w:tcW w:w="709" w:type="dxa"/>
            <w:noWrap/>
            <w:vAlign w:val="center"/>
            <w:hideMark/>
          </w:tcPr>
          <w:p w14:paraId="3A7A78E7" w14:textId="77777777" w:rsidR="009A51CE" w:rsidRPr="0039091F" w:rsidRDefault="009A51CE" w:rsidP="000A5389">
            <w:pPr>
              <w:spacing w:line="240" w:lineRule="auto"/>
              <w:rPr>
                <w:rFonts w:eastAsia="Times New Roman" w:cs="Times New Roman"/>
                <w:b/>
                <w:kern w:val="0"/>
                <w:sz w:val="16"/>
                <w:szCs w:val="16"/>
                <w:lang w:eastAsia="es-CO"/>
                <w14:ligatures w14:val="none"/>
              </w:rPr>
            </w:pPr>
            <w:r w:rsidRPr="0039091F">
              <w:rPr>
                <w:rFonts w:eastAsia="Times New Roman" w:cs="Times New Roman"/>
                <w:b/>
                <w:kern w:val="0"/>
                <w:sz w:val="16"/>
                <w:szCs w:val="16"/>
                <w:lang w:eastAsia="es-CO"/>
                <w14:ligatures w14:val="none"/>
              </w:rPr>
              <w:t> </w:t>
            </w:r>
          </w:p>
        </w:tc>
        <w:tc>
          <w:tcPr>
            <w:tcW w:w="649" w:type="dxa"/>
            <w:noWrap/>
            <w:vAlign w:val="center"/>
            <w:hideMark/>
          </w:tcPr>
          <w:p w14:paraId="077CF948" w14:textId="77777777" w:rsidR="009A51CE" w:rsidRPr="0039091F" w:rsidRDefault="009A51CE" w:rsidP="000A5389">
            <w:pPr>
              <w:spacing w:line="240" w:lineRule="auto"/>
              <w:jc w:val="center"/>
              <w:rPr>
                <w:rFonts w:eastAsia="Times New Roman" w:cs="Times New Roman"/>
                <w:b/>
                <w:kern w:val="0"/>
                <w:sz w:val="16"/>
                <w:szCs w:val="16"/>
                <w:lang w:eastAsia="es-CO"/>
                <w14:ligatures w14:val="none"/>
              </w:rPr>
            </w:pPr>
            <w:r w:rsidRPr="0039091F">
              <w:rPr>
                <w:rFonts w:eastAsia="Times New Roman" w:cs="Times New Roman"/>
                <w:b/>
                <w:kern w:val="0"/>
                <w:sz w:val="16"/>
                <w:szCs w:val="16"/>
                <w:lang w:eastAsia="es-CO"/>
                <w14:ligatures w14:val="none"/>
              </w:rPr>
              <w:t> </w:t>
            </w:r>
          </w:p>
        </w:tc>
        <w:tc>
          <w:tcPr>
            <w:tcW w:w="1465" w:type="dxa"/>
            <w:noWrap/>
            <w:vAlign w:val="center"/>
            <w:hideMark/>
          </w:tcPr>
          <w:p w14:paraId="6073FDF2" w14:textId="77777777" w:rsidR="009A51CE" w:rsidRPr="0039091F" w:rsidRDefault="009A51CE" w:rsidP="000A5389">
            <w:pPr>
              <w:spacing w:line="240" w:lineRule="auto"/>
              <w:rPr>
                <w:rFonts w:eastAsia="Times New Roman" w:cs="Times New Roman"/>
                <w:b/>
                <w:kern w:val="0"/>
                <w:sz w:val="16"/>
                <w:szCs w:val="16"/>
                <w:lang w:eastAsia="es-CO"/>
                <w14:ligatures w14:val="none"/>
              </w:rPr>
            </w:pPr>
            <w:r w:rsidRPr="0039091F">
              <w:rPr>
                <w:rFonts w:eastAsia="Times New Roman" w:cs="Times New Roman"/>
                <w:b/>
                <w:kern w:val="0"/>
                <w:sz w:val="16"/>
                <w:szCs w:val="16"/>
                <w:lang w:eastAsia="es-CO"/>
                <w14:ligatures w14:val="none"/>
              </w:rPr>
              <w:t> </w:t>
            </w:r>
          </w:p>
        </w:tc>
        <w:tc>
          <w:tcPr>
            <w:tcW w:w="843" w:type="dxa"/>
            <w:noWrap/>
            <w:vAlign w:val="center"/>
            <w:hideMark/>
          </w:tcPr>
          <w:p w14:paraId="5CE20EFE" w14:textId="77777777" w:rsidR="009A51CE" w:rsidRPr="0039091F" w:rsidRDefault="009A51CE" w:rsidP="000A5389">
            <w:pPr>
              <w:spacing w:line="240" w:lineRule="auto"/>
              <w:jc w:val="center"/>
              <w:rPr>
                <w:rFonts w:eastAsia="Times New Roman" w:cs="Times New Roman"/>
                <w:b/>
                <w:kern w:val="0"/>
                <w:sz w:val="16"/>
                <w:szCs w:val="16"/>
                <w:lang w:eastAsia="es-CO"/>
                <w14:ligatures w14:val="none"/>
              </w:rPr>
            </w:pPr>
            <w:r w:rsidRPr="0039091F">
              <w:rPr>
                <w:rFonts w:eastAsia="Times New Roman" w:cs="Times New Roman"/>
                <w:b/>
                <w:kern w:val="0"/>
                <w:sz w:val="16"/>
                <w:szCs w:val="16"/>
                <w:lang w:eastAsia="es-CO"/>
                <w14:ligatures w14:val="none"/>
              </w:rPr>
              <w:t xml:space="preserve">0,0 </w:t>
            </w:r>
          </w:p>
        </w:tc>
      </w:tr>
      <w:tr w:rsidR="00346E6B" w:rsidRPr="0039091F" w14:paraId="536981AC" w14:textId="77777777" w:rsidTr="001B10F3">
        <w:trPr>
          <w:trHeight w:val="229"/>
        </w:trPr>
        <w:tc>
          <w:tcPr>
            <w:tcW w:w="2220" w:type="dxa"/>
            <w:vAlign w:val="center"/>
            <w:hideMark/>
          </w:tcPr>
          <w:p w14:paraId="5388D762" w14:textId="77777777" w:rsidR="009A51CE" w:rsidRPr="0039091F" w:rsidRDefault="009A51CE" w:rsidP="000A5389">
            <w:pPr>
              <w:spacing w:line="240" w:lineRule="auto"/>
              <w:rPr>
                <w:rFonts w:eastAsia="Times New Roman" w:cs="Times New Roman"/>
                <w:kern w:val="0"/>
                <w:sz w:val="16"/>
                <w:szCs w:val="16"/>
                <w:lang w:eastAsia="es-CO"/>
                <w14:ligatures w14:val="none"/>
              </w:rPr>
            </w:pPr>
            <w:r w:rsidRPr="0039091F">
              <w:rPr>
                <w:rFonts w:eastAsia="Times New Roman" w:cs="Times New Roman"/>
                <w:kern w:val="0"/>
                <w:sz w:val="16"/>
                <w:szCs w:val="16"/>
                <w:lang w:eastAsia="es-CO"/>
                <w14:ligatures w14:val="none"/>
              </w:rPr>
              <w:t>Nacionales</w:t>
            </w:r>
          </w:p>
        </w:tc>
        <w:tc>
          <w:tcPr>
            <w:tcW w:w="1053" w:type="dxa"/>
            <w:noWrap/>
            <w:vAlign w:val="center"/>
            <w:hideMark/>
          </w:tcPr>
          <w:p w14:paraId="43BB9BAD" w14:textId="77777777" w:rsidR="009A51CE" w:rsidRPr="0039091F" w:rsidRDefault="009A51CE" w:rsidP="000A5389">
            <w:pPr>
              <w:spacing w:line="240" w:lineRule="auto"/>
              <w:jc w:val="center"/>
              <w:rPr>
                <w:rFonts w:eastAsia="Times New Roman" w:cs="Times New Roman"/>
                <w:kern w:val="0"/>
                <w:sz w:val="16"/>
                <w:szCs w:val="16"/>
                <w:lang w:eastAsia="es-CO"/>
                <w14:ligatures w14:val="none"/>
              </w:rPr>
            </w:pPr>
            <w:r w:rsidRPr="0039091F">
              <w:rPr>
                <w:rFonts w:eastAsia="Times New Roman" w:cs="Times New Roman"/>
                <w:kern w:val="0"/>
                <w:sz w:val="16"/>
                <w:szCs w:val="16"/>
                <w:lang w:eastAsia="es-CO"/>
                <w14:ligatures w14:val="none"/>
              </w:rPr>
              <w:t>PJ</w:t>
            </w:r>
          </w:p>
        </w:tc>
        <w:tc>
          <w:tcPr>
            <w:tcW w:w="1103" w:type="dxa"/>
            <w:noWrap/>
            <w:vAlign w:val="center"/>
            <w:hideMark/>
          </w:tcPr>
          <w:p w14:paraId="0F5003DB" w14:textId="77777777" w:rsidR="009A51CE" w:rsidRPr="0039091F" w:rsidRDefault="009A51CE" w:rsidP="000A5389">
            <w:pPr>
              <w:spacing w:line="240" w:lineRule="auto"/>
              <w:jc w:val="center"/>
              <w:rPr>
                <w:rFonts w:eastAsia="Times New Roman" w:cs="Times New Roman"/>
                <w:kern w:val="0"/>
                <w:sz w:val="16"/>
                <w:szCs w:val="16"/>
                <w:lang w:eastAsia="es-CO"/>
                <w14:ligatures w14:val="none"/>
              </w:rPr>
            </w:pPr>
            <w:r w:rsidRPr="0039091F">
              <w:rPr>
                <w:rFonts w:eastAsia="Times New Roman" w:cs="Times New Roman"/>
                <w:kern w:val="0"/>
                <w:sz w:val="16"/>
                <w:szCs w:val="16"/>
                <w:lang w:eastAsia="es-CO"/>
                <w14:ligatures w14:val="none"/>
              </w:rPr>
              <w:t>1</w:t>
            </w:r>
          </w:p>
        </w:tc>
        <w:tc>
          <w:tcPr>
            <w:tcW w:w="1289" w:type="dxa"/>
            <w:noWrap/>
            <w:vAlign w:val="center"/>
            <w:hideMark/>
          </w:tcPr>
          <w:p w14:paraId="0BB0B164" w14:textId="77777777" w:rsidR="009A51CE" w:rsidRPr="0039091F" w:rsidRDefault="009A51CE" w:rsidP="000A5389">
            <w:pPr>
              <w:spacing w:line="240" w:lineRule="auto"/>
              <w:jc w:val="right"/>
              <w:rPr>
                <w:rFonts w:eastAsia="Times New Roman" w:cs="Times New Roman"/>
                <w:kern w:val="0"/>
                <w:sz w:val="16"/>
                <w:szCs w:val="16"/>
                <w:lang w:eastAsia="es-CO"/>
                <w14:ligatures w14:val="none"/>
              </w:rPr>
            </w:pPr>
            <w:r w:rsidRPr="0039091F">
              <w:rPr>
                <w:rFonts w:eastAsia="Times New Roman" w:cs="Times New Roman"/>
                <w:kern w:val="0"/>
                <w:sz w:val="16"/>
                <w:szCs w:val="16"/>
                <w:lang w:eastAsia="es-CO"/>
                <w14:ligatures w14:val="none"/>
              </w:rPr>
              <w:t xml:space="preserve">63.908.090,0 </w:t>
            </w:r>
          </w:p>
        </w:tc>
        <w:tc>
          <w:tcPr>
            <w:tcW w:w="709" w:type="dxa"/>
            <w:noWrap/>
            <w:vAlign w:val="center"/>
            <w:hideMark/>
          </w:tcPr>
          <w:p w14:paraId="14921216" w14:textId="77777777" w:rsidR="009A51CE" w:rsidRPr="0039091F" w:rsidRDefault="009A51CE" w:rsidP="000A5389">
            <w:pPr>
              <w:spacing w:line="240" w:lineRule="auto"/>
              <w:rPr>
                <w:rFonts w:eastAsia="Times New Roman" w:cs="Times New Roman"/>
                <w:kern w:val="0"/>
                <w:sz w:val="16"/>
                <w:szCs w:val="16"/>
                <w:lang w:eastAsia="es-CO"/>
                <w14:ligatures w14:val="none"/>
              </w:rPr>
            </w:pPr>
            <w:r w:rsidRPr="0039091F">
              <w:rPr>
                <w:rFonts w:eastAsia="Times New Roman" w:cs="Times New Roman"/>
                <w:kern w:val="0"/>
                <w:sz w:val="16"/>
                <w:szCs w:val="16"/>
                <w:lang w:eastAsia="es-CO"/>
                <w14:ligatures w14:val="none"/>
              </w:rPr>
              <w:t> </w:t>
            </w:r>
          </w:p>
        </w:tc>
        <w:tc>
          <w:tcPr>
            <w:tcW w:w="649" w:type="dxa"/>
            <w:noWrap/>
            <w:vAlign w:val="center"/>
            <w:hideMark/>
          </w:tcPr>
          <w:p w14:paraId="42CC97C8" w14:textId="77777777" w:rsidR="009A51CE" w:rsidRPr="0039091F" w:rsidRDefault="009A51CE" w:rsidP="000A5389">
            <w:pPr>
              <w:spacing w:line="240" w:lineRule="auto"/>
              <w:jc w:val="center"/>
              <w:rPr>
                <w:rFonts w:eastAsia="Times New Roman" w:cs="Times New Roman"/>
                <w:kern w:val="0"/>
                <w:sz w:val="16"/>
                <w:szCs w:val="16"/>
                <w:lang w:eastAsia="es-CO"/>
                <w14:ligatures w14:val="none"/>
              </w:rPr>
            </w:pPr>
            <w:r w:rsidRPr="0039091F">
              <w:rPr>
                <w:rFonts w:eastAsia="Times New Roman" w:cs="Times New Roman"/>
                <w:kern w:val="0"/>
                <w:sz w:val="16"/>
                <w:szCs w:val="16"/>
                <w:lang w:eastAsia="es-CO"/>
                <w14:ligatures w14:val="none"/>
              </w:rPr>
              <w:t>1</w:t>
            </w:r>
          </w:p>
        </w:tc>
        <w:tc>
          <w:tcPr>
            <w:tcW w:w="1465" w:type="dxa"/>
            <w:noWrap/>
            <w:vAlign w:val="center"/>
            <w:hideMark/>
          </w:tcPr>
          <w:p w14:paraId="3DE79991" w14:textId="77777777" w:rsidR="009A51CE" w:rsidRPr="0039091F" w:rsidRDefault="009A51CE" w:rsidP="000A5389">
            <w:pPr>
              <w:spacing w:line="240" w:lineRule="auto"/>
              <w:jc w:val="center"/>
              <w:rPr>
                <w:rFonts w:eastAsia="Times New Roman" w:cs="Times New Roman"/>
                <w:kern w:val="0"/>
                <w:sz w:val="16"/>
                <w:szCs w:val="16"/>
                <w:lang w:eastAsia="es-CO"/>
                <w14:ligatures w14:val="none"/>
              </w:rPr>
            </w:pPr>
            <w:r w:rsidRPr="0039091F">
              <w:rPr>
                <w:rFonts w:eastAsia="Times New Roman" w:cs="Times New Roman"/>
                <w:kern w:val="0"/>
                <w:sz w:val="16"/>
                <w:szCs w:val="16"/>
                <w:lang w:eastAsia="es-CO"/>
                <w14:ligatures w14:val="none"/>
              </w:rPr>
              <w:t>No aplica</w:t>
            </w:r>
          </w:p>
        </w:tc>
        <w:tc>
          <w:tcPr>
            <w:tcW w:w="843" w:type="dxa"/>
            <w:noWrap/>
            <w:vAlign w:val="center"/>
            <w:hideMark/>
          </w:tcPr>
          <w:p w14:paraId="78FB1535" w14:textId="77777777" w:rsidR="009A51CE" w:rsidRPr="0039091F" w:rsidRDefault="009A51CE" w:rsidP="000A5389">
            <w:pPr>
              <w:spacing w:line="240" w:lineRule="auto"/>
              <w:jc w:val="center"/>
              <w:rPr>
                <w:rFonts w:eastAsia="Times New Roman" w:cs="Times New Roman"/>
                <w:kern w:val="0"/>
                <w:sz w:val="16"/>
                <w:szCs w:val="16"/>
                <w:lang w:eastAsia="es-CO"/>
                <w14:ligatures w14:val="none"/>
              </w:rPr>
            </w:pPr>
            <w:r w:rsidRPr="0039091F">
              <w:rPr>
                <w:rFonts w:eastAsia="Times New Roman" w:cs="Times New Roman"/>
                <w:kern w:val="0"/>
                <w:sz w:val="16"/>
                <w:szCs w:val="16"/>
                <w:lang w:eastAsia="es-CO"/>
                <w14:ligatures w14:val="none"/>
              </w:rPr>
              <w:t> </w:t>
            </w:r>
          </w:p>
        </w:tc>
      </w:tr>
    </w:tbl>
    <w:p w14:paraId="71D8730F" w14:textId="77777777" w:rsidR="0022505D" w:rsidRDefault="0022505D" w:rsidP="000A5389">
      <w:pPr>
        <w:spacing w:line="240" w:lineRule="auto"/>
        <w:rPr>
          <w:rFonts w:eastAsia="Times New Roman" w:cs="Times New Roman"/>
          <w:sz w:val="14"/>
          <w:szCs w:val="14"/>
        </w:rPr>
      </w:pPr>
      <w:r w:rsidRPr="00951AB1">
        <w:rPr>
          <w:rFonts w:eastAsia="Times New Roman" w:cs="Times New Roman"/>
          <w:sz w:val="14"/>
          <w:szCs w:val="14"/>
        </w:rPr>
        <w:t>Cifras expresadas en pesos</w:t>
      </w:r>
    </w:p>
    <w:p w14:paraId="4B402EBD" w14:textId="77777777" w:rsidR="0039091F" w:rsidRPr="00951AB1" w:rsidRDefault="0039091F" w:rsidP="000A5389">
      <w:pPr>
        <w:spacing w:line="240" w:lineRule="auto"/>
        <w:rPr>
          <w:rFonts w:cs="Times New Roman"/>
        </w:rPr>
      </w:pPr>
    </w:p>
    <w:p w14:paraId="558A2419" w14:textId="77777777" w:rsidR="009A51CE" w:rsidRPr="00951AB1" w:rsidRDefault="009A51CE" w:rsidP="000A5389">
      <w:pPr>
        <w:spacing w:line="240" w:lineRule="auto"/>
        <w:rPr>
          <w:rFonts w:cs="Times New Roman"/>
        </w:rPr>
      </w:pPr>
      <w:r w:rsidRPr="00951AB1">
        <w:rPr>
          <w:rFonts w:eastAsia="Times New Roman" w:cs="Times New Roman"/>
          <w:szCs w:val="24"/>
          <w:lang w:val="es-ES"/>
        </w:rPr>
        <w:t>En Impuestos, Contribuciones y Tasas, se reconoce el valor pendiente de pago por concepto d</w:t>
      </w:r>
      <w:r w:rsidRPr="00951AB1">
        <w:rPr>
          <w:rFonts w:eastAsia="Times New Roman" w:cs="Times New Roman"/>
          <w:szCs w:val="24"/>
        </w:rPr>
        <w:t xml:space="preserve">e seguimiento integral para el año 2025, en el desarrollo del Instrumento de Manejo y </w:t>
      </w:r>
      <w:r w:rsidRPr="00951AB1">
        <w:rPr>
          <w:rFonts w:eastAsia="Times New Roman" w:cs="Times New Roman"/>
          <w:szCs w:val="24"/>
        </w:rPr>
        <w:lastRenderedPageBreak/>
        <w:t>Control Ambiental p</w:t>
      </w:r>
      <w:r w:rsidRPr="00951AB1">
        <w:rPr>
          <w:rFonts w:eastAsia="Times New Roman" w:cs="Times New Roman"/>
          <w:szCs w:val="24"/>
          <w:lang w:val="es-ES"/>
        </w:rPr>
        <w:t>or valor de $63.908.090 a favor de Fondo Nacional Ambiental -FONAM, esta cuenta por pagar generó operación reciproca y a 31 de diciembre de 2025. Esta cuenta por pagar no tiene restricciones y tampoco se tiene contractualmente pactado tasa de interés.</w:t>
      </w:r>
    </w:p>
    <w:p w14:paraId="6C1E4E6B" w14:textId="77777777" w:rsidR="009A51CE" w:rsidRPr="00951AB1" w:rsidRDefault="009A51CE" w:rsidP="000A5389">
      <w:pPr>
        <w:spacing w:line="240" w:lineRule="auto"/>
        <w:rPr>
          <w:rFonts w:cs="Times New Roman"/>
        </w:rPr>
      </w:pPr>
    </w:p>
    <w:p w14:paraId="5055ADD4" w14:textId="37C8B8EE" w:rsidR="003443AB" w:rsidRPr="00951AB1" w:rsidRDefault="00983643" w:rsidP="000A5389">
      <w:pPr>
        <w:pStyle w:val="Ttulo3"/>
        <w:numPr>
          <w:ilvl w:val="2"/>
          <w:numId w:val="27"/>
        </w:numPr>
        <w:spacing w:line="240" w:lineRule="auto"/>
        <w:ind w:left="709" w:hanging="709"/>
        <w:rPr>
          <w:rFonts w:cs="Times New Roman"/>
          <w:color w:val="1F3864" w:themeColor="accent1" w:themeShade="80"/>
        </w:rPr>
      </w:pPr>
      <w:bookmarkStart w:id="563" w:name="_Toc191369534"/>
      <w:bookmarkStart w:id="564" w:name="_Toc191456864"/>
      <w:bookmarkStart w:id="565" w:name="_Toc191456974"/>
      <w:bookmarkStart w:id="566" w:name="_Toc191457084"/>
      <w:bookmarkStart w:id="567" w:name="_Toc191475711"/>
      <w:bookmarkStart w:id="568" w:name="_Toc191475820"/>
      <w:bookmarkStart w:id="569" w:name="_Toc191475929"/>
      <w:bookmarkStart w:id="570" w:name="_Toc191475452"/>
      <w:bookmarkStart w:id="571" w:name="_Toc191505828"/>
      <w:bookmarkStart w:id="572" w:name="_Toc222824143"/>
      <w:r w:rsidRPr="00951AB1">
        <w:rPr>
          <w:rFonts w:cs="Times New Roman"/>
          <w:color w:val="1F3864" w:themeColor="accent1" w:themeShade="80"/>
        </w:rPr>
        <w:t xml:space="preserve"> </w:t>
      </w:r>
      <w:r w:rsidRPr="00951AB1">
        <w:rPr>
          <w:rFonts w:cs="Times New Roman"/>
        </w:rPr>
        <w:tab/>
      </w:r>
      <w:bookmarkStart w:id="573" w:name="_Toc222955511"/>
      <w:r w:rsidR="003443AB" w:rsidRPr="00951AB1">
        <w:rPr>
          <w:rFonts w:cs="Times New Roman"/>
          <w:color w:val="1F3864" w:themeColor="accent1" w:themeShade="80"/>
        </w:rPr>
        <w:t>Descuentos de nomina</w:t>
      </w:r>
      <w:bookmarkEnd w:id="563"/>
      <w:bookmarkEnd w:id="564"/>
      <w:bookmarkEnd w:id="565"/>
      <w:bookmarkEnd w:id="566"/>
      <w:bookmarkEnd w:id="567"/>
      <w:bookmarkEnd w:id="568"/>
      <w:bookmarkEnd w:id="569"/>
      <w:bookmarkEnd w:id="570"/>
      <w:bookmarkEnd w:id="571"/>
      <w:bookmarkEnd w:id="572"/>
      <w:bookmarkEnd w:id="573"/>
    </w:p>
    <w:p w14:paraId="01FA7F6D" w14:textId="77777777" w:rsidR="003443AB" w:rsidRPr="00951AB1" w:rsidRDefault="003443AB" w:rsidP="000A5389">
      <w:pPr>
        <w:spacing w:line="240" w:lineRule="auto"/>
        <w:rPr>
          <w:rFonts w:cs="Times New Roman"/>
        </w:rPr>
      </w:pPr>
    </w:p>
    <w:p w14:paraId="01F7312C" w14:textId="77777777" w:rsidR="003443AB" w:rsidRPr="00951AB1" w:rsidRDefault="003443AB" w:rsidP="000A5389">
      <w:pPr>
        <w:spacing w:line="240" w:lineRule="auto"/>
        <w:rPr>
          <w:rFonts w:cs="Times New Roman"/>
          <w:szCs w:val="24"/>
        </w:rPr>
      </w:pPr>
      <w:r w:rsidRPr="00951AB1">
        <w:rPr>
          <w:rFonts w:cs="Times New Roman"/>
          <w:szCs w:val="24"/>
        </w:rPr>
        <w:t>La composición de descuentos de nómina es la siguiente:</w:t>
      </w:r>
    </w:p>
    <w:p w14:paraId="0CC62E4B" w14:textId="77777777" w:rsidR="00BB0056" w:rsidRPr="00951AB1" w:rsidRDefault="00BB0056" w:rsidP="000A5389">
      <w:pPr>
        <w:spacing w:line="240" w:lineRule="auto"/>
        <w:rPr>
          <w:rFonts w:cs="Times New Roman"/>
          <w:szCs w:val="24"/>
        </w:rPr>
      </w:pPr>
    </w:p>
    <w:tbl>
      <w:tblPr>
        <w:tblW w:w="5000" w:type="pct"/>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CellMar>
          <w:left w:w="70" w:type="dxa"/>
          <w:right w:w="70" w:type="dxa"/>
        </w:tblCellMar>
        <w:tblLook w:val="04A0" w:firstRow="1" w:lastRow="0" w:firstColumn="1" w:lastColumn="0" w:noHBand="0" w:noVBand="1"/>
      </w:tblPr>
      <w:tblGrid>
        <w:gridCol w:w="2261"/>
        <w:gridCol w:w="710"/>
        <w:gridCol w:w="1135"/>
        <w:gridCol w:w="1277"/>
        <w:gridCol w:w="772"/>
        <w:gridCol w:w="731"/>
        <w:gridCol w:w="1227"/>
        <w:gridCol w:w="715"/>
      </w:tblGrid>
      <w:tr w:rsidR="007220B5" w:rsidRPr="0039091F" w14:paraId="26FBD560" w14:textId="77777777" w:rsidTr="001B10F3">
        <w:trPr>
          <w:trHeight w:val="517"/>
        </w:trPr>
        <w:tc>
          <w:tcPr>
            <w:tcW w:w="3049" w:type="pct"/>
            <w:gridSpan w:val="4"/>
            <w:vMerge w:val="restart"/>
            <w:vAlign w:val="center"/>
            <w:hideMark/>
          </w:tcPr>
          <w:p w14:paraId="3F1FF9AC" w14:textId="77777777" w:rsidR="00BB0056" w:rsidRPr="0039091F" w:rsidRDefault="00BB0056" w:rsidP="000A5389">
            <w:pPr>
              <w:spacing w:line="240" w:lineRule="auto"/>
              <w:jc w:val="center"/>
              <w:rPr>
                <w:rFonts w:eastAsia="Times New Roman" w:cs="Times New Roman"/>
                <w:b/>
                <w:kern w:val="0"/>
                <w:sz w:val="18"/>
                <w:szCs w:val="18"/>
                <w:lang w:eastAsia="es-CO"/>
                <w14:ligatures w14:val="none"/>
              </w:rPr>
            </w:pPr>
            <w:r w:rsidRPr="0039091F">
              <w:rPr>
                <w:rFonts w:eastAsia="Times New Roman" w:cs="Times New Roman"/>
                <w:b/>
                <w:kern w:val="0"/>
                <w:sz w:val="18"/>
                <w:szCs w:val="18"/>
                <w:lang w:eastAsia="es-CO"/>
                <w14:ligatures w14:val="none"/>
              </w:rPr>
              <w:t>ASOCIACIÓN DE DATOS</w:t>
            </w:r>
          </w:p>
        </w:tc>
        <w:tc>
          <w:tcPr>
            <w:tcW w:w="1951" w:type="pct"/>
            <w:gridSpan w:val="4"/>
            <w:vAlign w:val="center"/>
            <w:hideMark/>
          </w:tcPr>
          <w:p w14:paraId="48BA1D1E" w14:textId="77777777" w:rsidR="00BB0056" w:rsidRPr="0039091F" w:rsidRDefault="00BB0056" w:rsidP="000A5389">
            <w:pPr>
              <w:spacing w:line="240" w:lineRule="auto"/>
              <w:jc w:val="center"/>
              <w:rPr>
                <w:rFonts w:eastAsia="Times New Roman" w:cs="Times New Roman"/>
                <w:b/>
                <w:kern w:val="0"/>
                <w:sz w:val="18"/>
                <w:szCs w:val="18"/>
                <w:lang w:eastAsia="es-CO"/>
                <w14:ligatures w14:val="none"/>
              </w:rPr>
            </w:pPr>
            <w:r w:rsidRPr="0039091F">
              <w:rPr>
                <w:rFonts w:eastAsia="Times New Roman" w:cs="Times New Roman"/>
                <w:b/>
                <w:kern w:val="0"/>
                <w:sz w:val="18"/>
                <w:szCs w:val="18"/>
                <w:lang w:eastAsia="es-CO"/>
                <w14:ligatures w14:val="none"/>
              </w:rPr>
              <w:t>DETALLES DE LA TRANSACCIÓN</w:t>
            </w:r>
            <w:r w:rsidRPr="0039091F">
              <w:rPr>
                <w:rFonts w:eastAsia="Times New Roman" w:cs="Times New Roman"/>
                <w:b/>
                <w:kern w:val="0"/>
                <w:sz w:val="18"/>
                <w:szCs w:val="18"/>
                <w:lang w:eastAsia="es-CO"/>
                <w14:ligatures w14:val="none"/>
              </w:rPr>
              <w:br/>
              <w:t>(reporte agrupado por datos comunes de asociación)</w:t>
            </w:r>
          </w:p>
        </w:tc>
      </w:tr>
      <w:tr w:rsidR="007220B5" w:rsidRPr="0039091F" w14:paraId="2FE27D49" w14:textId="77777777" w:rsidTr="001B10F3">
        <w:trPr>
          <w:trHeight w:val="517"/>
        </w:trPr>
        <w:tc>
          <w:tcPr>
            <w:tcW w:w="3049" w:type="pct"/>
            <w:gridSpan w:val="4"/>
            <w:vMerge/>
            <w:vAlign w:val="center"/>
            <w:hideMark/>
          </w:tcPr>
          <w:p w14:paraId="263596AC" w14:textId="77777777" w:rsidR="00BB0056" w:rsidRPr="0039091F" w:rsidRDefault="00BB0056" w:rsidP="000A5389">
            <w:pPr>
              <w:spacing w:line="240" w:lineRule="auto"/>
              <w:rPr>
                <w:rFonts w:eastAsia="Times New Roman" w:cs="Times New Roman"/>
                <w:b/>
                <w:kern w:val="0"/>
                <w:sz w:val="18"/>
                <w:szCs w:val="18"/>
                <w:lang w:eastAsia="es-CO"/>
                <w14:ligatures w14:val="none"/>
              </w:rPr>
            </w:pPr>
          </w:p>
        </w:tc>
        <w:tc>
          <w:tcPr>
            <w:tcW w:w="851" w:type="pct"/>
            <w:gridSpan w:val="2"/>
            <w:vAlign w:val="center"/>
            <w:hideMark/>
          </w:tcPr>
          <w:p w14:paraId="70E2134E" w14:textId="77777777" w:rsidR="00BB0056" w:rsidRPr="0039091F" w:rsidRDefault="00BB0056" w:rsidP="000A5389">
            <w:pPr>
              <w:spacing w:line="240" w:lineRule="auto"/>
              <w:jc w:val="center"/>
              <w:rPr>
                <w:rFonts w:eastAsia="Times New Roman" w:cs="Times New Roman"/>
                <w:b/>
                <w:kern w:val="0"/>
                <w:sz w:val="18"/>
                <w:szCs w:val="18"/>
                <w:lang w:eastAsia="es-CO"/>
                <w14:ligatures w14:val="none"/>
              </w:rPr>
            </w:pPr>
            <w:r w:rsidRPr="0039091F">
              <w:rPr>
                <w:rFonts w:eastAsia="Times New Roman" w:cs="Times New Roman"/>
                <w:b/>
                <w:kern w:val="0"/>
                <w:sz w:val="18"/>
                <w:szCs w:val="18"/>
                <w:lang w:eastAsia="es-CO"/>
                <w14:ligatures w14:val="none"/>
              </w:rPr>
              <w:t>PLAZO</w:t>
            </w:r>
            <w:r w:rsidRPr="0039091F">
              <w:rPr>
                <w:rFonts w:eastAsia="Times New Roman" w:cs="Times New Roman"/>
                <w:b/>
                <w:kern w:val="0"/>
                <w:sz w:val="18"/>
                <w:szCs w:val="18"/>
                <w:lang w:eastAsia="es-CO"/>
                <w14:ligatures w14:val="none"/>
              </w:rPr>
              <w:br/>
              <w:t>(rango en # meses)</w:t>
            </w:r>
          </w:p>
        </w:tc>
        <w:tc>
          <w:tcPr>
            <w:tcW w:w="695" w:type="pct"/>
            <w:vMerge w:val="restart"/>
            <w:vAlign w:val="center"/>
            <w:hideMark/>
          </w:tcPr>
          <w:p w14:paraId="2C0B9AD6" w14:textId="77777777" w:rsidR="00BB0056" w:rsidRPr="0039091F" w:rsidRDefault="00BB0056" w:rsidP="000A5389">
            <w:pPr>
              <w:spacing w:line="240" w:lineRule="auto"/>
              <w:jc w:val="center"/>
              <w:rPr>
                <w:rFonts w:eastAsia="Times New Roman" w:cs="Times New Roman"/>
                <w:b/>
                <w:kern w:val="0"/>
                <w:sz w:val="18"/>
                <w:szCs w:val="18"/>
                <w:lang w:eastAsia="es-CO"/>
                <w14:ligatures w14:val="none"/>
              </w:rPr>
            </w:pPr>
            <w:r w:rsidRPr="0039091F">
              <w:rPr>
                <w:rFonts w:eastAsia="Times New Roman" w:cs="Times New Roman"/>
                <w:b/>
                <w:kern w:val="0"/>
                <w:sz w:val="18"/>
                <w:szCs w:val="18"/>
                <w:lang w:eastAsia="es-CO"/>
                <w14:ligatures w14:val="none"/>
              </w:rPr>
              <w:t>RESTRICCIONES</w:t>
            </w:r>
          </w:p>
        </w:tc>
        <w:tc>
          <w:tcPr>
            <w:tcW w:w="405" w:type="pct"/>
            <w:vMerge w:val="restart"/>
            <w:vAlign w:val="center"/>
            <w:hideMark/>
          </w:tcPr>
          <w:p w14:paraId="543FD530" w14:textId="77777777" w:rsidR="00BB0056" w:rsidRPr="0039091F" w:rsidRDefault="00BB0056" w:rsidP="000A5389">
            <w:pPr>
              <w:spacing w:line="240" w:lineRule="auto"/>
              <w:jc w:val="center"/>
              <w:rPr>
                <w:rFonts w:eastAsia="Times New Roman" w:cs="Times New Roman"/>
                <w:b/>
                <w:kern w:val="0"/>
                <w:sz w:val="18"/>
                <w:szCs w:val="18"/>
                <w:lang w:eastAsia="es-CO"/>
                <w14:ligatures w14:val="none"/>
              </w:rPr>
            </w:pPr>
            <w:r w:rsidRPr="0039091F">
              <w:rPr>
                <w:rFonts w:eastAsia="Times New Roman" w:cs="Times New Roman"/>
                <w:b/>
                <w:kern w:val="0"/>
                <w:sz w:val="18"/>
                <w:szCs w:val="18"/>
                <w:lang w:eastAsia="es-CO"/>
                <w14:ligatures w14:val="none"/>
              </w:rPr>
              <w:t>TASA DE INTERES</w:t>
            </w:r>
            <w:r w:rsidRPr="0039091F">
              <w:rPr>
                <w:rFonts w:eastAsia="Times New Roman" w:cs="Times New Roman"/>
                <w:b/>
                <w:kern w:val="0"/>
                <w:sz w:val="18"/>
                <w:szCs w:val="18"/>
                <w:lang w:eastAsia="es-CO"/>
                <w14:ligatures w14:val="none"/>
              </w:rPr>
              <w:br/>
              <w:t>(%)</w:t>
            </w:r>
          </w:p>
        </w:tc>
      </w:tr>
      <w:tr w:rsidR="007220B5" w:rsidRPr="0039091F" w14:paraId="772AAB42" w14:textId="77777777" w:rsidTr="001B10F3">
        <w:trPr>
          <w:trHeight w:val="361"/>
        </w:trPr>
        <w:tc>
          <w:tcPr>
            <w:tcW w:w="1281" w:type="pct"/>
            <w:vAlign w:val="center"/>
            <w:hideMark/>
          </w:tcPr>
          <w:p w14:paraId="1EED341C" w14:textId="77777777" w:rsidR="00BB0056" w:rsidRPr="0039091F" w:rsidRDefault="00BB0056" w:rsidP="000A5389">
            <w:pPr>
              <w:spacing w:line="240" w:lineRule="auto"/>
              <w:jc w:val="center"/>
              <w:rPr>
                <w:rFonts w:eastAsia="Times New Roman" w:cs="Times New Roman"/>
                <w:b/>
                <w:kern w:val="0"/>
                <w:sz w:val="18"/>
                <w:szCs w:val="18"/>
                <w:lang w:eastAsia="es-CO"/>
                <w14:ligatures w14:val="none"/>
              </w:rPr>
            </w:pPr>
            <w:r w:rsidRPr="0039091F">
              <w:rPr>
                <w:rFonts w:eastAsia="Times New Roman" w:cs="Times New Roman"/>
                <w:b/>
                <w:kern w:val="0"/>
                <w:sz w:val="18"/>
                <w:szCs w:val="18"/>
                <w:lang w:eastAsia="es-CO"/>
                <w14:ligatures w14:val="none"/>
              </w:rPr>
              <w:t>TIPO DE TERCEROS</w:t>
            </w:r>
          </w:p>
        </w:tc>
        <w:tc>
          <w:tcPr>
            <w:tcW w:w="402" w:type="pct"/>
            <w:vAlign w:val="center"/>
            <w:hideMark/>
          </w:tcPr>
          <w:p w14:paraId="0CF4E0CE" w14:textId="77777777" w:rsidR="00BB0056" w:rsidRPr="0039091F" w:rsidRDefault="00BB0056" w:rsidP="000A5389">
            <w:pPr>
              <w:spacing w:line="240" w:lineRule="auto"/>
              <w:jc w:val="center"/>
              <w:rPr>
                <w:rFonts w:eastAsia="Times New Roman" w:cs="Times New Roman"/>
                <w:b/>
                <w:kern w:val="0"/>
                <w:sz w:val="18"/>
                <w:szCs w:val="18"/>
                <w:lang w:eastAsia="es-CO"/>
                <w14:ligatures w14:val="none"/>
              </w:rPr>
            </w:pPr>
            <w:r w:rsidRPr="0039091F">
              <w:rPr>
                <w:rFonts w:eastAsia="Times New Roman" w:cs="Times New Roman"/>
                <w:b/>
                <w:kern w:val="0"/>
                <w:sz w:val="18"/>
                <w:szCs w:val="18"/>
                <w:lang w:eastAsia="es-CO"/>
                <w14:ligatures w14:val="none"/>
              </w:rPr>
              <w:t>PN / PJ / ECP</w:t>
            </w:r>
          </w:p>
        </w:tc>
        <w:tc>
          <w:tcPr>
            <w:tcW w:w="643" w:type="pct"/>
            <w:vAlign w:val="center"/>
            <w:hideMark/>
          </w:tcPr>
          <w:p w14:paraId="2960EF04" w14:textId="77777777" w:rsidR="00BB0056" w:rsidRPr="0039091F" w:rsidRDefault="00BB0056" w:rsidP="000A5389">
            <w:pPr>
              <w:spacing w:line="240" w:lineRule="auto"/>
              <w:jc w:val="center"/>
              <w:rPr>
                <w:rFonts w:eastAsia="Times New Roman" w:cs="Times New Roman"/>
                <w:b/>
                <w:kern w:val="0"/>
                <w:sz w:val="18"/>
                <w:szCs w:val="18"/>
                <w:lang w:eastAsia="es-CO"/>
                <w14:ligatures w14:val="none"/>
              </w:rPr>
            </w:pPr>
            <w:r w:rsidRPr="0039091F">
              <w:rPr>
                <w:rFonts w:eastAsia="Times New Roman" w:cs="Times New Roman"/>
                <w:b/>
                <w:kern w:val="0"/>
                <w:sz w:val="18"/>
                <w:szCs w:val="18"/>
                <w:lang w:eastAsia="es-CO"/>
                <w14:ligatures w14:val="none"/>
              </w:rPr>
              <w:t>CANTIDAD</w:t>
            </w:r>
          </w:p>
        </w:tc>
        <w:tc>
          <w:tcPr>
            <w:tcW w:w="723" w:type="pct"/>
            <w:vAlign w:val="center"/>
            <w:hideMark/>
          </w:tcPr>
          <w:p w14:paraId="06BE3E6E" w14:textId="77777777" w:rsidR="00BB0056" w:rsidRPr="0039091F" w:rsidRDefault="00BB0056" w:rsidP="000A5389">
            <w:pPr>
              <w:spacing w:line="240" w:lineRule="auto"/>
              <w:jc w:val="center"/>
              <w:rPr>
                <w:rFonts w:eastAsia="Times New Roman" w:cs="Times New Roman"/>
                <w:b/>
                <w:kern w:val="0"/>
                <w:sz w:val="18"/>
                <w:szCs w:val="18"/>
                <w:lang w:eastAsia="es-CO"/>
                <w14:ligatures w14:val="none"/>
              </w:rPr>
            </w:pPr>
            <w:r w:rsidRPr="0039091F">
              <w:rPr>
                <w:rFonts w:eastAsia="Times New Roman" w:cs="Times New Roman"/>
                <w:b/>
                <w:kern w:val="0"/>
                <w:sz w:val="18"/>
                <w:szCs w:val="18"/>
                <w:lang w:eastAsia="es-CO"/>
                <w14:ligatures w14:val="none"/>
              </w:rPr>
              <w:t>VALOR EN LIBROS</w:t>
            </w:r>
          </w:p>
        </w:tc>
        <w:tc>
          <w:tcPr>
            <w:tcW w:w="437" w:type="pct"/>
            <w:vAlign w:val="center"/>
            <w:hideMark/>
          </w:tcPr>
          <w:p w14:paraId="4B6DAA7F" w14:textId="2E4D9839" w:rsidR="00BB0056" w:rsidRPr="0039091F" w:rsidRDefault="00BB0056" w:rsidP="000A5389">
            <w:pPr>
              <w:spacing w:line="240" w:lineRule="auto"/>
              <w:jc w:val="center"/>
              <w:rPr>
                <w:rFonts w:eastAsia="Times New Roman" w:cs="Times New Roman"/>
                <w:b/>
                <w:kern w:val="0"/>
                <w:sz w:val="18"/>
                <w:szCs w:val="18"/>
                <w:lang w:eastAsia="es-CO"/>
                <w14:ligatures w14:val="none"/>
              </w:rPr>
            </w:pPr>
            <w:r w:rsidRPr="0039091F">
              <w:rPr>
                <w:rFonts w:eastAsia="Times New Roman" w:cs="Times New Roman"/>
                <w:b/>
                <w:kern w:val="0"/>
                <w:sz w:val="18"/>
                <w:szCs w:val="18"/>
                <w:lang w:eastAsia="es-CO"/>
                <w14:ligatures w14:val="none"/>
              </w:rPr>
              <w:t>MÍN</w:t>
            </w:r>
          </w:p>
        </w:tc>
        <w:tc>
          <w:tcPr>
            <w:tcW w:w="414" w:type="pct"/>
            <w:vAlign w:val="center"/>
            <w:hideMark/>
          </w:tcPr>
          <w:p w14:paraId="4932AE3E" w14:textId="0F8A8BF2" w:rsidR="00BB0056" w:rsidRPr="0039091F" w:rsidRDefault="00BB0056" w:rsidP="000A5389">
            <w:pPr>
              <w:spacing w:line="240" w:lineRule="auto"/>
              <w:jc w:val="center"/>
              <w:rPr>
                <w:rFonts w:eastAsia="Times New Roman" w:cs="Times New Roman"/>
                <w:b/>
                <w:kern w:val="0"/>
                <w:sz w:val="18"/>
                <w:szCs w:val="18"/>
                <w:lang w:eastAsia="es-CO"/>
                <w14:ligatures w14:val="none"/>
              </w:rPr>
            </w:pPr>
            <w:r w:rsidRPr="0039091F">
              <w:rPr>
                <w:rFonts w:eastAsia="Times New Roman" w:cs="Times New Roman"/>
                <w:b/>
                <w:kern w:val="0"/>
                <w:sz w:val="18"/>
                <w:szCs w:val="18"/>
                <w:lang w:eastAsia="es-CO"/>
                <w14:ligatures w14:val="none"/>
              </w:rPr>
              <w:t>MÁX</w:t>
            </w:r>
          </w:p>
        </w:tc>
        <w:tc>
          <w:tcPr>
            <w:tcW w:w="695" w:type="pct"/>
            <w:vMerge/>
            <w:vAlign w:val="center"/>
            <w:hideMark/>
          </w:tcPr>
          <w:p w14:paraId="38534DC6" w14:textId="77777777" w:rsidR="00BB0056" w:rsidRPr="0039091F" w:rsidRDefault="00BB0056" w:rsidP="000A5389">
            <w:pPr>
              <w:spacing w:line="240" w:lineRule="auto"/>
              <w:rPr>
                <w:rFonts w:eastAsia="Times New Roman" w:cs="Times New Roman"/>
                <w:b/>
                <w:kern w:val="0"/>
                <w:sz w:val="18"/>
                <w:szCs w:val="18"/>
                <w:lang w:eastAsia="es-CO"/>
                <w14:ligatures w14:val="none"/>
              </w:rPr>
            </w:pPr>
          </w:p>
        </w:tc>
        <w:tc>
          <w:tcPr>
            <w:tcW w:w="405" w:type="pct"/>
            <w:vMerge/>
            <w:vAlign w:val="center"/>
            <w:hideMark/>
          </w:tcPr>
          <w:p w14:paraId="6EDB892E" w14:textId="77777777" w:rsidR="00BB0056" w:rsidRPr="0039091F" w:rsidRDefault="00BB0056" w:rsidP="000A5389">
            <w:pPr>
              <w:spacing w:line="240" w:lineRule="auto"/>
              <w:rPr>
                <w:rFonts w:eastAsia="Times New Roman" w:cs="Times New Roman"/>
                <w:b/>
                <w:kern w:val="0"/>
                <w:sz w:val="18"/>
                <w:szCs w:val="18"/>
                <w:lang w:eastAsia="es-CO"/>
                <w14:ligatures w14:val="none"/>
              </w:rPr>
            </w:pPr>
          </w:p>
        </w:tc>
      </w:tr>
      <w:tr w:rsidR="0026612B" w:rsidRPr="0039091F" w14:paraId="72452F36" w14:textId="77777777" w:rsidTr="001B10F3">
        <w:trPr>
          <w:trHeight w:val="180"/>
        </w:trPr>
        <w:tc>
          <w:tcPr>
            <w:tcW w:w="1281" w:type="pct"/>
            <w:noWrap/>
            <w:vAlign w:val="center"/>
            <w:hideMark/>
          </w:tcPr>
          <w:p w14:paraId="3AF9056D" w14:textId="77777777" w:rsidR="00BB0056" w:rsidRPr="0039091F" w:rsidRDefault="00BB0056" w:rsidP="000A5389">
            <w:pPr>
              <w:spacing w:line="240" w:lineRule="auto"/>
              <w:rPr>
                <w:rFonts w:eastAsia="Times New Roman" w:cs="Times New Roman"/>
                <w:b/>
                <w:kern w:val="0"/>
                <w:sz w:val="18"/>
                <w:szCs w:val="18"/>
                <w:lang w:eastAsia="es-CO"/>
                <w14:ligatures w14:val="none"/>
              </w:rPr>
            </w:pPr>
            <w:r w:rsidRPr="0039091F">
              <w:rPr>
                <w:rFonts w:eastAsia="Times New Roman" w:cs="Times New Roman"/>
                <w:b/>
                <w:kern w:val="0"/>
                <w:sz w:val="18"/>
                <w:szCs w:val="18"/>
                <w:lang w:eastAsia="es-CO"/>
                <w14:ligatures w14:val="none"/>
              </w:rPr>
              <w:t>DESCUENTOS DE NÓMINA</w:t>
            </w:r>
          </w:p>
        </w:tc>
        <w:tc>
          <w:tcPr>
            <w:tcW w:w="402" w:type="pct"/>
            <w:noWrap/>
            <w:vAlign w:val="center"/>
            <w:hideMark/>
          </w:tcPr>
          <w:p w14:paraId="7E520993" w14:textId="77777777" w:rsidR="00BB0056" w:rsidRPr="0039091F" w:rsidRDefault="00BB0056" w:rsidP="000A5389">
            <w:pPr>
              <w:spacing w:line="240" w:lineRule="auto"/>
              <w:rPr>
                <w:rFonts w:eastAsia="Times New Roman" w:cs="Times New Roman"/>
                <w:b/>
                <w:kern w:val="0"/>
                <w:sz w:val="18"/>
                <w:szCs w:val="18"/>
                <w:lang w:eastAsia="es-CO"/>
                <w14:ligatures w14:val="none"/>
              </w:rPr>
            </w:pPr>
            <w:r w:rsidRPr="0039091F">
              <w:rPr>
                <w:rFonts w:eastAsia="Times New Roman" w:cs="Times New Roman"/>
                <w:b/>
                <w:kern w:val="0"/>
                <w:sz w:val="18"/>
                <w:szCs w:val="18"/>
                <w:lang w:eastAsia="es-CO"/>
                <w14:ligatures w14:val="none"/>
              </w:rPr>
              <w:t> </w:t>
            </w:r>
          </w:p>
        </w:tc>
        <w:tc>
          <w:tcPr>
            <w:tcW w:w="643" w:type="pct"/>
            <w:noWrap/>
            <w:vAlign w:val="center"/>
            <w:hideMark/>
          </w:tcPr>
          <w:p w14:paraId="2C464A95" w14:textId="77777777" w:rsidR="00BB0056" w:rsidRPr="0039091F" w:rsidRDefault="00BB0056" w:rsidP="000A5389">
            <w:pPr>
              <w:spacing w:line="240" w:lineRule="auto"/>
              <w:rPr>
                <w:rFonts w:eastAsia="Times New Roman" w:cs="Times New Roman"/>
                <w:b/>
                <w:kern w:val="0"/>
                <w:sz w:val="18"/>
                <w:szCs w:val="18"/>
                <w:lang w:eastAsia="es-CO"/>
                <w14:ligatures w14:val="none"/>
              </w:rPr>
            </w:pPr>
            <w:r w:rsidRPr="0039091F">
              <w:rPr>
                <w:rFonts w:eastAsia="Times New Roman" w:cs="Times New Roman"/>
                <w:b/>
                <w:kern w:val="0"/>
                <w:sz w:val="18"/>
                <w:szCs w:val="18"/>
                <w:lang w:eastAsia="es-CO"/>
                <w14:ligatures w14:val="none"/>
              </w:rPr>
              <w:t> </w:t>
            </w:r>
          </w:p>
        </w:tc>
        <w:tc>
          <w:tcPr>
            <w:tcW w:w="723" w:type="pct"/>
            <w:noWrap/>
            <w:vAlign w:val="center"/>
            <w:hideMark/>
          </w:tcPr>
          <w:p w14:paraId="1FA80B79" w14:textId="77777777" w:rsidR="00BB0056" w:rsidRPr="0039091F" w:rsidRDefault="00BB0056" w:rsidP="000A5389">
            <w:pPr>
              <w:spacing w:line="240" w:lineRule="auto"/>
              <w:jc w:val="right"/>
              <w:rPr>
                <w:rFonts w:eastAsia="Times New Roman" w:cs="Times New Roman"/>
                <w:b/>
                <w:kern w:val="0"/>
                <w:sz w:val="18"/>
                <w:szCs w:val="18"/>
                <w:lang w:eastAsia="es-CO"/>
                <w14:ligatures w14:val="none"/>
              </w:rPr>
            </w:pPr>
            <w:r w:rsidRPr="0039091F">
              <w:rPr>
                <w:rFonts w:eastAsia="Times New Roman" w:cs="Times New Roman"/>
                <w:b/>
                <w:kern w:val="0"/>
                <w:sz w:val="18"/>
                <w:szCs w:val="18"/>
                <w:lang w:eastAsia="es-CO"/>
                <w14:ligatures w14:val="none"/>
              </w:rPr>
              <w:t xml:space="preserve">12.722.314 </w:t>
            </w:r>
          </w:p>
        </w:tc>
        <w:tc>
          <w:tcPr>
            <w:tcW w:w="437" w:type="pct"/>
            <w:noWrap/>
            <w:vAlign w:val="center"/>
            <w:hideMark/>
          </w:tcPr>
          <w:p w14:paraId="0CCCF687" w14:textId="77777777" w:rsidR="00BB0056" w:rsidRPr="0039091F" w:rsidRDefault="00BB0056" w:rsidP="000A5389">
            <w:pPr>
              <w:spacing w:line="240" w:lineRule="auto"/>
              <w:rPr>
                <w:rFonts w:eastAsia="Times New Roman" w:cs="Times New Roman"/>
                <w:b/>
                <w:kern w:val="0"/>
                <w:sz w:val="18"/>
                <w:szCs w:val="18"/>
                <w:lang w:eastAsia="es-CO"/>
                <w14:ligatures w14:val="none"/>
              </w:rPr>
            </w:pPr>
            <w:r w:rsidRPr="0039091F">
              <w:rPr>
                <w:rFonts w:eastAsia="Times New Roman" w:cs="Times New Roman"/>
                <w:b/>
                <w:kern w:val="0"/>
                <w:sz w:val="18"/>
                <w:szCs w:val="18"/>
                <w:lang w:eastAsia="es-CO"/>
                <w14:ligatures w14:val="none"/>
              </w:rPr>
              <w:t> </w:t>
            </w:r>
          </w:p>
        </w:tc>
        <w:tc>
          <w:tcPr>
            <w:tcW w:w="414" w:type="pct"/>
            <w:noWrap/>
            <w:vAlign w:val="center"/>
            <w:hideMark/>
          </w:tcPr>
          <w:p w14:paraId="2E1A5D27" w14:textId="77777777" w:rsidR="00BB0056" w:rsidRPr="0039091F" w:rsidRDefault="00BB0056" w:rsidP="000A5389">
            <w:pPr>
              <w:spacing w:line="240" w:lineRule="auto"/>
              <w:rPr>
                <w:rFonts w:eastAsia="Times New Roman" w:cs="Times New Roman"/>
                <w:b/>
                <w:kern w:val="0"/>
                <w:sz w:val="18"/>
                <w:szCs w:val="18"/>
                <w:lang w:eastAsia="es-CO"/>
                <w14:ligatures w14:val="none"/>
              </w:rPr>
            </w:pPr>
            <w:r w:rsidRPr="0039091F">
              <w:rPr>
                <w:rFonts w:eastAsia="Times New Roman" w:cs="Times New Roman"/>
                <w:b/>
                <w:kern w:val="0"/>
                <w:sz w:val="18"/>
                <w:szCs w:val="18"/>
                <w:lang w:eastAsia="es-CO"/>
                <w14:ligatures w14:val="none"/>
              </w:rPr>
              <w:t> </w:t>
            </w:r>
          </w:p>
        </w:tc>
        <w:tc>
          <w:tcPr>
            <w:tcW w:w="695" w:type="pct"/>
            <w:noWrap/>
            <w:vAlign w:val="center"/>
            <w:hideMark/>
          </w:tcPr>
          <w:p w14:paraId="44747F47" w14:textId="77777777" w:rsidR="00BB0056" w:rsidRPr="0039091F" w:rsidRDefault="00BB0056" w:rsidP="000A5389">
            <w:pPr>
              <w:spacing w:line="240" w:lineRule="auto"/>
              <w:rPr>
                <w:rFonts w:eastAsia="Times New Roman" w:cs="Times New Roman"/>
                <w:b/>
                <w:kern w:val="0"/>
                <w:sz w:val="18"/>
                <w:szCs w:val="18"/>
                <w:lang w:eastAsia="es-CO"/>
                <w14:ligatures w14:val="none"/>
              </w:rPr>
            </w:pPr>
            <w:r w:rsidRPr="0039091F">
              <w:rPr>
                <w:rFonts w:eastAsia="Times New Roman" w:cs="Times New Roman"/>
                <w:b/>
                <w:kern w:val="0"/>
                <w:sz w:val="18"/>
                <w:szCs w:val="18"/>
                <w:lang w:eastAsia="es-CO"/>
                <w14:ligatures w14:val="none"/>
              </w:rPr>
              <w:t> </w:t>
            </w:r>
          </w:p>
        </w:tc>
        <w:tc>
          <w:tcPr>
            <w:tcW w:w="405" w:type="pct"/>
            <w:noWrap/>
            <w:vAlign w:val="center"/>
            <w:hideMark/>
          </w:tcPr>
          <w:p w14:paraId="4443A607" w14:textId="77777777" w:rsidR="00BB0056" w:rsidRPr="0039091F" w:rsidRDefault="00BB0056" w:rsidP="000A5389">
            <w:pPr>
              <w:spacing w:line="240" w:lineRule="auto"/>
              <w:jc w:val="center"/>
              <w:rPr>
                <w:rFonts w:eastAsia="Times New Roman" w:cs="Times New Roman"/>
                <w:b/>
                <w:kern w:val="0"/>
                <w:sz w:val="18"/>
                <w:szCs w:val="18"/>
                <w:lang w:eastAsia="es-CO"/>
                <w14:ligatures w14:val="none"/>
              </w:rPr>
            </w:pPr>
            <w:r w:rsidRPr="0039091F">
              <w:rPr>
                <w:rFonts w:eastAsia="Times New Roman" w:cs="Times New Roman"/>
                <w:b/>
                <w:kern w:val="0"/>
                <w:sz w:val="18"/>
                <w:szCs w:val="18"/>
                <w:lang w:eastAsia="es-CO"/>
                <w14:ligatures w14:val="none"/>
              </w:rPr>
              <w:t xml:space="preserve">0,0 </w:t>
            </w:r>
          </w:p>
        </w:tc>
      </w:tr>
      <w:tr w:rsidR="0026612B" w:rsidRPr="0039091F" w14:paraId="7BD11289" w14:textId="77777777" w:rsidTr="001B10F3">
        <w:trPr>
          <w:trHeight w:val="180"/>
        </w:trPr>
        <w:tc>
          <w:tcPr>
            <w:tcW w:w="1281" w:type="pct"/>
            <w:noWrap/>
            <w:vAlign w:val="center"/>
            <w:hideMark/>
          </w:tcPr>
          <w:p w14:paraId="63310E32" w14:textId="7B1F946A" w:rsidR="00BB0056" w:rsidRPr="0039091F" w:rsidRDefault="00BB0056" w:rsidP="000A5389">
            <w:pPr>
              <w:spacing w:line="240" w:lineRule="auto"/>
              <w:rPr>
                <w:rFonts w:eastAsia="Times New Roman" w:cs="Times New Roman"/>
                <w:b/>
                <w:kern w:val="0"/>
                <w:sz w:val="18"/>
                <w:szCs w:val="18"/>
                <w:lang w:eastAsia="es-CO"/>
                <w14:ligatures w14:val="none"/>
              </w:rPr>
            </w:pPr>
            <w:r w:rsidRPr="0039091F">
              <w:rPr>
                <w:rFonts w:eastAsia="Times New Roman" w:cs="Times New Roman"/>
                <w:b/>
                <w:kern w:val="0"/>
                <w:sz w:val="18"/>
                <w:szCs w:val="18"/>
                <w:lang w:eastAsia="es-CO"/>
                <w14:ligatures w14:val="none"/>
              </w:rPr>
              <w:t>Cuenta de ahorro para el fomento de la construcción (AFC)</w:t>
            </w:r>
          </w:p>
        </w:tc>
        <w:tc>
          <w:tcPr>
            <w:tcW w:w="402" w:type="pct"/>
            <w:noWrap/>
            <w:vAlign w:val="center"/>
            <w:hideMark/>
          </w:tcPr>
          <w:p w14:paraId="6BFA7D70" w14:textId="77777777" w:rsidR="00BB0056" w:rsidRPr="0039091F" w:rsidRDefault="00BB0056" w:rsidP="000A5389">
            <w:pPr>
              <w:spacing w:line="240" w:lineRule="auto"/>
              <w:rPr>
                <w:rFonts w:eastAsia="Times New Roman" w:cs="Times New Roman"/>
                <w:b/>
                <w:kern w:val="0"/>
                <w:sz w:val="18"/>
                <w:szCs w:val="18"/>
                <w:lang w:eastAsia="es-CO"/>
                <w14:ligatures w14:val="none"/>
              </w:rPr>
            </w:pPr>
            <w:r w:rsidRPr="0039091F">
              <w:rPr>
                <w:rFonts w:eastAsia="Times New Roman" w:cs="Times New Roman"/>
                <w:b/>
                <w:kern w:val="0"/>
                <w:sz w:val="18"/>
                <w:szCs w:val="18"/>
                <w:lang w:eastAsia="es-CO"/>
                <w14:ligatures w14:val="none"/>
              </w:rPr>
              <w:t> </w:t>
            </w:r>
          </w:p>
        </w:tc>
        <w:tc>
          <w:tcPr>
            <w:tcW w:w="643" w:type="pct"/>
            <w:noWrap/>
            <w:vAlign w:val="center"/>
            <w:hideMark/>
          </w:tcPr>
          <w:p w14:paraId="03AB1366" w14:textId="77777777" w:rsidR="00BB0056" w:rsidRPr="0039091F" w:rsidRDefault="00BB0056" w:rsidP="000A5389">
            <w:pPr>
              <w:spacing w:line="240" w:lineRule="auto"/>
              <w:rPr>
                <w:rFonts w:eastAsia="Times New Roman" w:cs="Times New Roman"/>
                <w:b/>
                <w:kern w:val="0"/>
                <w:sz w:val="18"/>
                <w:szCs w:val="18"/>
                <w:lang w:eastAsia="es-CO"/>
                <w14:ligatures w14:val="none"/>
              </w:rPr>
            </w:pPr>
            <w:r w:rsidRPr="0039091F">
              <w:rPr>
                <w:rFonts w:eastAsia="Times New Roman" w:cs="Times New Roman"/>
                <w:b/>
                <w:kern w:val="0"/>
                <w:sz w:val="18"/>
                <w:szCs w:val="18"/>
                <w:lang w:eastAsia="es-CO"/>
                <w14:ligatures w14:val="none"/>
              </w:rPr>
              <w:t> </w:t>
            </w:r>
          </w:p>
        </w:tc>
        <w:tc>
          <w:tcPr>
            <w:tcW w:w="723" w:type="pct"/>
            <w:noWrap/>
            <w:vAlign w:val="center"/>
            <w:hideMark/>
          </w:tcPr>
          <w:p w14:paraId="5513DE22" w14:textId="77777777" w:rsidR="00BB0056" w:rsidRPr="0039091F" w:rsidRDefault="00BB0056" w:rsidP="000A5389">
            <w:pPr>
              <w:spacing w:line="240" w:lineRule="auto"/>
              <w:jc w:val="right"/>
              <w:rPr>
                <w:rFonts w:eastAsia="Times New Roman" w:cs="Times New Roman"/>
                <w:b/>
                <w:kern w:val="0"/>
                <w:sz w:val="18"/>
                <w:szCs w:val="18"/>
                <w:lang w:eastAsia="es-CO"/>
                <w14:ligatures w14:val="none"/>
              </w:rPr>
            </w:pPr>
            <w:r w:rsidRPr="0039091F">
              <w:rPr>
                <w:rFonts w:eastAsia="Times New Roman" w:cs="Times New Roman"/>
                <w:b/>
                <w:kern w:val="0"/>
                <w:sz w:val="18"/>
                <w:szCs w:val="18"/>
                <w:lang w:eastAsia="es-CO"/>
                <w14:ligatures w14:val="none"/>
              </w:rPr>
              <w:t xml:space="preserve">8.000.000 </w:t>
            </w:r>
          </w:p>
        </w:tc>
        <w:tc>
          <w:tcPr>
            <w:tcW w:w="437" w:type="pct"/>
            <w:noWrap/>
            <w:vAlign w:val="center"/>
            <w:hideMark/>
          </w:tcPr>
          <w:p w14:paraId="763DB363" w14:textId="77777777" w:rsidR="00BB0056" w:rsidRPr="0039091F" w:rsidRDefault="00BB0056" w:rsidP="000A5389">
            <w:pPr>
              <w:spacing w:line="240" w:lineRule="auto"/>
              <w:jc w:val="center"/>
              <w:rPr>
                <w:rFonts w:eastAsia="Times New Roman" w:cs="Times New Roman"/>
                <w:b/>
                <w:kern w:val="0"/>
                <w:sz w:val="18"/>
                <w:szCs w:val="18"/>
                <w:lang w:eastAsia="es-CO"/>
                <w14:ligatures w14:val="none"/>
              </w:rPr>
            </w:pPr>
            <w:r w:rsidRPr="0039091F">
              <w:rPr>
                <w:rFonts w:eastAsia="Times New Roman" w:cs="Times New Roman"/>
                <w:b/>
                <w:kern w:val="0"/>
                <w:sz w:val="18"/>
                <w:szCs w:val="18"/>
                <w:lang w:eastAsia="es-CO"/>
                <w14:ligatures w14:val="none"/>
              </w:rPr>
              <w:t> </w:t>
            </w:r>
          </w:p>
        </w:tc>
        <w:tc>
          <w:tcPr>
            <w:tcW w:w="414" w:type="pct"/>
            <w:noWrap/>
            <w:vAlign w:val="center"/>
            <w:hideMark/>
          </w:tcPr>
          <w:p w14:paraId="3817D287" w14:textId="77777777" w:rsidR="00BB0056" w:rsidRPr="0039091F" w:rsidRDefault="00BB0056" w:rsidP="000A5389">
            <w:pPr>
              <w:spacing w:line="240" w:lineRule="auto"/>
              <w:jc w:val="center"/>
              <w:rPr>
                <w:rFonts w:eastAsia="Times New Roman" w:cs="Times New Roman"/>
                <w:b/>
                <w:kern w:val="0"/>
                <w:sz w:val="18"/>
                <w:szCs w:val="18"/>
                <w:lang w:eastAsia="es-CO"/>
                <w14:ligatures w14:val="none"/>
              </w:rPr>
            </w:pPr>
            <w:r w:rsidRPr="0039091F">
              <w:rPr>
                <w:rFonts w:eastAsia="Times New Roman" w:cs="Times New Roman"/>
                <w:b/>
                <w:kern w:val="0"/>
                <w:sz w:val="18"/>
                <w:szCs w:val="18"/>
                <w:lang w:eastAsia="es-CO"/>
                <w14:ligatures w14:val="none"/>
              </w:rPr>
              <w:t> </w:t>
            </w:r>
          </w:p>
        </w:tc>
        <w:tc>
          <w:tcPr>
            <w:tcW w:w="695" w:type="pct"/>
            <w:noWrap/>
            <w:vAlign w:val="center"/>
            <w:hideMark/>
          </w:tcPr>
          <w:p w14:paraId="04F45EBC" w14:textId="77777777" w:rsidR="00BB0056" w:rsidRPr="0039091F" w:rsidRDefault="00BB0056" w:rsidP="000A5389">
            <w:pPr>
              <w:spacing w:line="240" w:lineRule="auto"/>
              <w:rPr>
                <w:rFonts w:eastAsia="Times New Roman" w:cs="Times New Roman"/>
                <w:b/>
                <w:kern w:val="0"/>
                <w:sz w:val="18"/>
                <w:szCs w:val="18"/>
                <w:lang w:eastAsia="es-CO"/>
                <w14:ligatures w14:val="none"/>
              </w:rPr>
            </w:pPr>
            <w:r w:rsidRPr="0039091F">
              <w:rPr>
                <w:rFonts w:eastAsia="Times New Roman" w:cs="Times New Roman"/>
                <w:b/>
                <w:kern w:val="0"/>
                <w:sz w:val="18"/>
                <w:szCs w:val="18"/>
                <w:lang w:eastAsia="es-CO"/>
                <w14:ligatures w14:val="none"/>
              </w:rPr>
              <w:t> </w:t>
            </w:r>
          </w:p>
        </w:tc>
        <w:tc>
          <w:tcPr>
            <w:tcW w:w="405" w:type="pct"/>
            <w:noWrap/>
            <w:vAlign w:val="center"/>
            <w:hideMark/>
          </w:tcPr>
          <w:p w14:paraId="2DE31609" w14:textId="77777777" w:rsidR="00BB0056" w:rsidRPr="0039091F" w:rsidRDefault="00BB0056" w:rsidP="000A5389">
            <w:pPr>
              <w:spacing w:line="240" w:lineRule="auto"/>
              <w:jc w:val="center"/>
              <w:rPr>
                <w:rFonts w:eastAsia="Times New Roman" w:cs="Times New Roman"/>
                <w:b/>
                <w:kern w:val="0"/>
                <w:sz w:val="18"/>
                <w:szCs w:val="18"/>
                <w:lang w:eastAsia="es-CO"/>
                <w14:ligatures w14:val="none"/>
              </w:rPr>
            </w:pPr>
            <w:r w:rsidRPr="0039091F">
              <w:rPr>
                <w:rFonts w:eastAsia="Times New Roman" w:cs="Times New Roman"/>
                <w:b/>
                <w:kern w:val="0"/>
                <w:sz w:val="18"/>
                <w:szCs w:val="18"/>
                <w:lang w:eastAsia="es-CO"/>
                <w14:ligatures w14:val="none"/>
              </w:rPr>
              <w:t xml:space="preserve">0,0 </w:t>
            </w:r>
          </w:p>
        </w:tc>
      </w:tr>
      <w:tr w:rsidR="0026612B" w:rsidRPr="0039091F" w14:paraId="0CD68D73" w14:textId="77777777" w:rsidTr="001B10F3">
        <w:trPr>
          <w:trHeight w:val="193"/>
        </w:trPr>
        <w:tc>
          <w:tcPr>
            <w:tcW w:w="1281" w:type="pct"/>
            <w:vAlign w:val="center"/>
            <w:hideMark/>
          </w:tcPr>
          <w:p w14:paraId="1EC1059C" w14:textId="77777777" w:rsidR="00BB0056" w:rsidRPr="0039091F" w:rsidRDefault="00BB0056" w:rsidP="000A5389">
            <w:pPr>
              <w:spacing w:line="240" w:lineRule="auto"/>
              <w:rPr>
                <w:rFonts w:eastAsia="Times New Roman" w:cs="Times New Roman"/>
                <w:kern w:val="0"/>
                <w:sz w:val="18"/>
                <w:szCs w:val="18"/>
                <w:lang w:eastAsia="es-CO"/>
                <w14:ligatures w14:val="none"/>
              </w:rPr>
            </w:pPr>
            <w:r w:rsidRPr="0039091F">
              <w:rPr>
                <w:rFonts w:eastAsia="Times New Roman" w:cs="Times New Roman"/>
                <w:kern w:val="0"/>
                <w:sz w:val="18"/>
                <w:szCs w:val="18"/>
                <w:lang w:eastAsia="es-CO"/>
                <w14:ligatures w14:val="none"/>
              </w:rPr>
              <w:t>Nacionales</w:t>
            </w:r>
          </w:p>
        </w:tc>
        <w:tc>
          <w:tcPr>
            <w:tcW w:w="402" w:type="pct"/>
            <w:noWrap/>
            <w:vAlign w:val="center"/>
            <w:hideMark/>
          </w:tcPr>
          <w:p w14:paraId="6E01049D" w14:textId="77777777" w:rsidR="00BB0056" w:rsidRPr="0039091F" w:rsidRDefault="00BB0056" w:rsidP="000A5389">
            <w:pPr>
              <w:spacing w:line="240" w:lineRule="auto"/>
              <w:jc w:val="center"/>
              <w:rPr>
                <w:rFonts w:eastAsia="Times New Roman" w:cs="Times New Roman"/>
                <w:kern w:val="0"/>
                <w:sz w:val="18"/>
                <w:szCs w:val="18"/>
                <w:lang w:eastAsia="es-CO"/>
                <w14:ligatures w14:val="none"/>
              </w:rPr>
            </w:pPr>
            <w:r w:rsidRPr="0039091F">
              <w:rPr>
                <w:rFonts w:eastAsia="Times New Roman" w:cs="Times New Roman"/>
                <w:kern w:val="0"/>
                <w:sz w:val="18"/>
                <w:szCs w:val="18"/>
                <w:lang w:eastAsia="es-CO"/>
                <w14:ligatures w14:val="none"/>
              </w:rPr>
              <w:t>PJ</w:t>
            </w:r>
          </w:p>
        </w:tc>
        <w:tc>
          <w:tcPr>
            <w:tcW w:w="643" w:type="pct"/>
            <w:noWrap/>
            <w:vAlign w:val="center"/>
            <w:hideMark/>
          </w:tcPr>
          <w:p w14:paraId="381AFE29" w14:textId="77777777" w:rsidR="00BB0056" w:rsidRPr="0039091F" w:rsidRDefault="00BB0056" w:rsidP="000A5389">
            <w:pPr>
              <w:spacing w:line="240" w:lineRule="auto"/>
              <w:jc w:val="center"/>
              <w:rPr>
                <w:rFonts w:eastAsia="Times New Roman" w:cs="Times New Roman"/>
                <w:kern w:val="0"/>
                <w:sz w:val="18"/>
                <w:szCs w:val="18"/>
                <w:lang w:eastAsia="es-CO"/>
                <w14:ligatures w14:val="none"/>
              </w:rPr>
            </w:pPr>
            <w:r w:rsidRPr="0039091F">
              <w:rPr>
                <w:rFonts w:eastAsia="Times New Roman" w:cs="Times New Roman"/>
                <w:kern w:val="0"/>
                <w:sz w:val="18"/>
                <w:szCs w:val="18"/>
                <w:lang w:eastAsia="es-CO"/>
                <w14:ligatures w14:val="none"/>
              </w:rPr>
              <w:t>3</w:t>
            </w:r>
          </w:p>
        </w:tc>
        <w:tc>
          <w:tcPr>
            <w:tcW w:w="723" w:type="pct"/>
            <w:noWrap/>
            <w:vAlign w:val="center"/>
            <w:hideMark/>
          </w:tcPr>
          <w:p w14:paraId="7E953FEF" w14:textId="77777777" w:rsidR="00BB0056" w:rsidRPr="0039091F" w:rsidRDefault="00BB0056" w:rsidP="000A5389">
            <w:pPr>
              <w:spacing w:line="240" w:lineRule="auto"/>
              <w:jc w:val="right"/>
              <w:rPr>
                <w:rFonts w:eastAsia="Times New Roman" w:cs="Times New Roman"/>
                <w:kern w:val="0"/>
                <w:sz w:val="18"/>
                <w:szCs w:val="18"/>
                <w:lang w:eastAsia="es-CO"/>
                <w14:ligatures w14:val="none"/>
              </w:rPr>
            </w:pPr>
            <w:r w:rsidRPr="0039091F">
              <w:rPr>
                <w:rFonts w:eastAsia="Times New Roman" w:cs="Times New Roman"/>
                <w:kern w:val="0"/>
                <w:sz w:val="18"/>
                <w:szCs w:val="18"/>
                <w:lang w:eastAsia="es-CO"/>
                <w14:ligatures w14:val="none"/>
              </w:rPr>
              <w:t xml:space="preserve">8.000.000 </w:t>
            </w:r>
          </w:p>
        </w:tc>
        <w:tc>
          <w:tcPr>
            <w:tcW w:w="437" w:type="pct"/>
            <w:noWrap/>
            <w:vAlign w:val="center"/>
            <w:hideMark/>
          </w:tcPr>
          <w:p w14:paraId="3EC2BA3F" w14:textId="77777777" w:rsidR="00BB0056" w:rsidRPr="0039091F" w:rsidRDefault="00BB0056" w:rsidP="000A5389">
            <w:pPr>
              <w:spacing w:line="240" w:lineRule="auto"/>
              <w:jc w:val="center"/>
              <w:rPr>
                <w:rFonts w:eastAsia="Times New Roman" w:cs="Times New Roman"/>
                <w:kern w:val="0"/>
                <w:sz w:val="18"/>
                <w:szCs w:val="18"/>
                <w:lang w:eastAsia="es-CO"/>
                <w14:ligatures w14:val="none"/>
              </w:rPr>
            </w:pPr>
            <w:r w:rsidRPr="0039091F">
              <w:rPr>
                <w:rFonts w:eastAsia="Times New Roman" w:cs="Times New Roman"/>
                <w:kern w:val="0"/>
                <w:sz w:val="18"/>
                <w:szCs w:val="18"/>
                <w:lang w:eastAsia="es-CO"/>
                <w14:ligatures w14:val="none"/>
              </w:rPr>
              <w:t>0</w:t>
            </w:r>
          </w:p>
        </w:tc>
        <w:tc>
          <w:tcPr>
            <w:tcW w:w="414" w:type="pct"/>
            <w:noWrap/>
            <w:vAlign w:val="center"/>
            <w:hideMark/>
          </w:tcPr>
          <w:p w14:paraId="4F6FD7A1" w14:textId="77777777" w:rsidR="00BB0056" w:rsidRPr="0039091F" w:rsidRDefault="00BB0056" w:rsidP="000A5389">
            <w:pPr>
              <w:spacing w:line="240" w:lineRule="auto"/>
              <w:jc w:val="center"/>
              <w:rPr>
                <w:rFonts w:eastAsia="Times New Roman" w:cs="Times New Roman"/>
                <w:kern w:val="0"/>
                <w:sz w:val="18"/>
                <w:szCs w:val="18"/>
                <w:lang w:eastAsia="es-CO"/>
                <w14:ligatures w14:val="none"/>
              </w:rPr>
            </w:pPr>
            <w:r w:rsidRPr="0039091F">
              <w:rPr>
                <w:rFonts w:eastAsia="Times New Roman" w:cs="Times New Roman"/>
                <w:kern w:val="0"/>
                <w:sz w:val="18"/>
                <w:szCs w:val="18"/>
                <w:lang w:eastAsia="es-CO"/>
                <w14:ligatures w14:val="none"/>
              </w:rPr>
              <w:t>1</w:t>
            </w:r>
          </w:p>
        </w:tc>
        <w:tc>
          <w:tcPr>
            <w:tcW w:w="695" w:type="pct"/>
            <w:noWrap/>
            <w:vAlign w:val="center"/>
            <w:hideMark/>
          </w:tcPr>
          <w:p w14:paraId="10B0260A" w14:textId="77777777" w:rsidR="00BB0056" w:rsidRPr="0039091F" w:rsidRDefault="00BB0056" w:rsidP="000A5389">
            <w:pPr>
              <w:spacing w:line="240" w:lineRule="auto"/>
              <w:jc w:val="center"/>
              <w:rPr>
                <w:rFonts w:eastAsia="Times New Roman" w:cs="Times New Roman"/>
                <w:kern w:val="0"/>
                <w:sz w:val="18"/>
                <w:szCs w:val="18"/>
                <w:lang w:eastAsia="es-CO"/>
                <w14:ligatures w14:val="none"/>
              </w:rPr>
            </w:pPr>
            <w:r w:rsidRPr="0039091F">
              <w:rPr>
                <w:rFonts w:eastAsia="Times New Roman" w:cs="Times New Roman"/>
                <w:kern w:val="0"/>
                <w:sz w:val="18"/>
                <w:szCs w:val="18"/>
                <w:lang w:eastAsia="es-CO"/>
                <w14:ligatures w14:val="none"/>
              </w:rPr>
              <w:t>No aplica</w:t>
            </w:r>
          </w:p>
        </w:tc>
        <w:tc>
          <w:tcPr>
            <w:tcW w:w="405" w:type="pct"/>
            <w:noWrap/>
            <w:vAlign w:val="center"/>
            <w:hideMark/>
          </w:tcPr>
          <w:p w14:paraId="50B00C59" w14:textId="77777777" w:rsidR="00BB0056" w:rsidRPr="0039091F" w:rsidRDefault="00BB0056" w:rsidP="000A5389">
            <w:pPr>
              <w:spacing w:line="240" w:lineRule="auto"/>
              <w:jc w:val="center"/>
              <w:rPr>
                <w:rFonts w:eastAsia="Times New Roman" w:cs="Times New Roman"/>
                <w:kern w:val="0"/>
                <w:sz w:val="18"/>
                <w:szCs w:val="18"/>
                <w:lang w:eastAsia="es-CO"/>
                <w14:ligatures w14:val="none"/>
              </w:rPr>
            </w:pPr>
            <w:r w:rsidRPr="0039091F">
              <w:rPr>
                <w:rFonts w:eastAsia="Times New Roman" w:cs="Times New Roman"/>
                <w:kern w:val="0"/>
                <w:sz w:val="18"/>
                <w:szCs w:val="18"/>
                <w:lang w:eastAsia="es-CO"/>
                <w14:ligatures w14:val="none"/>
              </w:rPr>
              <w:t>0</w:t>
            </w:r>
          </w:p>
        </w:tc>
      </w:tr>
      <w:tr w:rsidR="0026612B" w:rsidRPr="0039091F" w14:paraId="2A977A3E" w14:textId="77777777" w:rsidTr="001B10F3">
        <w:trPr>
          <w:trHeight w:val="180"/>
        </w:trPr>
        <w:tc>
          <w:tcPr>
            <w:tcW w:w="1281" w:type="pct"/>
            <w:noWrap/>
            <w:vAlign w:val="center"/>
            <w:hideMark/>
          </w:tcPr>
          <w:p w14:paraId="1DFD2376" w14:textId="77777777" w:rsidR="00BB0056" w:rsidRPr="0039091F" w:rsidRDefault="00BB0056" w:rsidP="000A5389">
            <w:pPr>
              <w:spacing w:line="240" w:lineRule="auto"/>
              <w:rPr>
                <w:rFonts w:eastAsia="Times New Roman" w:cs="Times New Roman"/>
                <w:b/>
                <w:kern w:val="0"/>
                <w:sz w:val="18"/>
                <w:szCs w:val="18"/>
                <w:lang w:eastAsia="es-CO"/>
                <w14:ligatures w14:val="none"/>
              </w:rPr>
            </w:pPr>
            <w:r w:rsidRPr="0039091F">
              <w:rPr>
                <w:rFonts w:eastAsia="Times New Roman" w:cs="Times New Roman"/>
                <w:b/>
                <w:kern w:val="0"/>
                <w:sz w:val="18"/>
                <w:szCs w:val="18"/>
                <w:lang w:eastAsia="es-CO"/>
                <w14:ligatures w14:val="none"/>
              </w:rPr>
              <w:t>Aportes a fondos pensionales</w:t>
            </w:r>
          </w:p>
        </w:tc>
        <w:tc>
          <w:tcPr>
            <w:tcW w:w="402" w:type="pct"/>
            <w:noWrap/>
            <w:vAlign w:val="center"/>
            <w:hideMark/>
          </w:tcPr>
          <w:p w14:paraId="13461F91" w14:textId="77777777" w:rsidR="00BB0056" w:rsidRPr="0039091F" w:rsidRDefault="00BB0056" w:rsidP="000A5389">
            <w:pPr>
              <w:spacing w:line="240" w:lineRule="auto"/>
              <w:rPr>
                <w:rFonts w:eastAsia="Times New Roman" w:cs="Times New Roman"/>
                <w:b/>
                <w:kern w:val="0"/>
                <w:sz w:val="18"/>
                <w:szCs w:val="18"/>
                <w:lang w:eastAsia="es-CO"/>
                <w14:ligatures w14:val="none"/>
              </w:rPr>
            </w:pPr>
            <w:r w:rsidRPr="0039091F">
              <w:rPr>
                <w:rFonts w:eastAsia="Times New Roman" w:cs="Times New Roman"/>
                <w:b/>
                <w:kern w:val="0"/>
                <w:sz w:val="18"/>
                <w:szCs w:val="18"/>
                <w:lang w:eastAsia="es-CO"/>
                <w14:ligatures w14:val="none"/>
              </w:rPr>
              <w:t> </w:t>
            </w:r>
          </w:p>
        </w:tc>
        <w:tc>
          <w:tcPr>
            <w:tcW w:w="643" w:type="pct"/>
            <w:noWrap/>
            <w:vAlign w:val="center"/>
            <w:hideMark/>
          </w:tcPr>
          <w:p w14:paraId="0435ABE9" w14:textId="77777777" w:rsidR="00BB0056" w:rsidRPr="0039091F" w:rsidRDefault="00BB0056" w:rsidP="000A5389">
            <w:pPr>
              <w:spacing w:line="240" w:lineRule="auto"/>
              <w:rPr>
                <w:rFonts w:eastAsia="Times New Roman" w:cs="Times New Roman"/>
                <w:b/>
                <w:kern w:val="0"/>
                <w:sz w:val="18"/>
                <w:szCs w:val="18"/>
                <w:lang w:eastAsia="es-CO"/>
                <w14:ligatures w14:val="none"/>
              </w:rPr>
            </w:pPr>
            <w:r w:rsidRPr="0039091F">
              <w:rPr>
                <w:rFonts w:eastAsia="Times New Roman" w:cs="Times New Roman"/>
                <w:b/>
                <w:kern w:val="0"/>
                <w:sz w:val="18"/>
                <w:szCs w:val="18"/>
                <w:lang w:eastAsia="es-CO"/>
                <w14:ligatures w14:val="none"/>
              </w:rPr>
              <w:t> </w:t>
            </w:r>
          </w:p>
        </w:tc>
        <w:tc>
          <w:tcPr>
            <w:tcW w:w="723" w:type="pct"/>
            <w:noWrap/>
            <w:vAlign w:val="center"/>
            <w:hideMark/>
          </w:tcPr>
          <w:p w14:paraId="1A10BFE5" w14:textId="77777777" w:rsidR="00BB0056" w:rsidRPr="0039091F" w:rsidRDefault="00BB0056" w:rsidP="000A5389">
            <w:pPr>
              <w:spacing w:line="240" w:lineRule="auto"/>
              <w:jc w:val="right"/>
              <w:rPr>
                <w:rFonts w:eastAsia="Times New Roman" w:cs="Times New Roman"/>
                <w:b/>
                <w:kern w:val="0"/>
                <w:sz w:val="18"/>
                <w:szCs w:val="18"/>
                <w:lang w:eastAsia="es-CO"/>
                <w14:ligatures w14:val="none"/>
              </w:rPr>
            </w:pPr>
            <w:r w:rsidRPr="0039091F">
              <w:rPr>
                <w:rFonts w:eastAsia="Times New Roman" w:cs="Times New Roman"/>
                <w:b/>
                <w:kern w:val="0"/>
                <w:sz w:val="18"/>
                <w:szCs w:val="18"/>
                <w:lang w:eastAsia="es-CO"/>
                <w14:ligatures w14:val="none"/>
              </w:rPr>
              <w:t xml:space="preserve">1.591.500 </w:t>
            </w:r>
          </w:p>
        </w:tc>
        <w:tc>
          <w:tcPr>
            <w:tcW w:w="437" w:type="pct"/>
            <w:noWrap/>
            <w:vAlign w:val="center"/>
            <w:hideMark/>
          </w:tcPr>
          <w:p w14:paraId="0F9E7B27" w14:textId="77777777" w:rsidR="00BB0056" w:rsidRPr="0039091F" w:rsidRDefault="00BB0056" w:rsidP="000A5389">
            <w:pPr>
              <w:spacing w:line="240" w:lineRule="auto"/>
              <w:rPr>
                <w:rFonts w:eastAsia="Times New Roman" w:cs="Times New Roman"/>
                <w:b/>
                <w:kern w:val="0"/>
                <w:sz w:val="18"/>
                <w:szCs w:val="18"/>
                <w:lang w:eastAsia="es-CO"/>
                <w14:ligatures w14:val="none"/>
              </w:rPr>
            </w:pPr>
            <w:r w:rsidRPr="0039091F">
              <w:rPr>
                <w:rFonts w:eastAsia="Times New Roman" w:cs="Times New Roman"/>
                <w:b/>
                <w:kern w:val="0"/>
                <w:sz w:val="18"/>
                <w:szCs w:val="18"/>
                <w:lang w:eastAsia="es-CO"/>
                <w14:ligatures w14:val="none"/>
              </w:rPr>
              <w:t> </w:t>
            </w:r>
          </w:p>
        </w:tc>
        <w:tc>
          <w:tcPr>
            <w:tcW w:w="414" w:type="pct"/>
            <w:noWrap/>
            <w:vAlign w:val="center"/>
            <w:hideMark/>
          </w:tcPr>
          <w:p w14:paraId="4DE73B2B" w14:textId="77777777" w:rsidR="00BB0056" w:rsidRPr="0039091F" w:rsidRDefault="00BB0056" w:rsidP="000A5389">
            <w:pPr>
              <w:spacing w:line="240" w:lineRule="auto"/>
              <w:rPr>
                <w:rFonts w:eastAsia="Times New Roman" w:cs="Times New Roman"/>
                <w:b/>
                <w:kern w:val="0"/>
                <w:sz w:val="18"/>
                <w:szCs w:val="18"/>
                <w:lang w:eastAsia="es-CO"/>
                <w14:ligatures w14:val="none"/>
              </w:rPr>
            </w:pPr>
            <w:r w:rsidRPr="0039091F">
              <w:rPr>
                <w:rFonts w:eastAsia="Times New Roman" w:cs="Times New Roman"/>
                <w:b/>
                <w:kern w:val="0"/>
                <w:sz w:val="18"/>
                <w:szCs w:val="18"/>
                <w:lang w:eastAsia="es-CO"/>
                <w14:ligatures w14:val="none"/>
              </w:rPr>
              <w:t> </w:t>
            </w:r>
          </w:p>
        </w:tc>
        <w:tc>
          <w:tcPr>
            <w:tcW w:w="695" w:type="pct"/>
            <w:noWrap/>
            <w:vAlign w:val="center"/>
            <w:hideMark/>
          </w:tcPr>
          <w:p w14:paraId="3AD5BCB5" w14:textId="77777777" w:rsidR="00BB0056" w:rsidRPr="0039091F" w:rsidRDefault="00BB0056" w:rsidP="000A5389">
            <w:pPr>
              <w:spacing w:line="240" w:lineRule="auto"/>
              <w:rPr>
                <w:rFonts w:eastAsia="Times New Roman" w:cs="Times New Roman"/>
                <w:b/>
                <w:kern w:val="0"/>
                <w:sz w:val="18"/>
                <w:szCs w:val="18"/>
                <w:lang w:eastAsia="es-CO"/>
                <w14:ligatures w14:val="none"/>
              </w:rPr>
            </w:pPr>
            <w:r w:rsidRPr="0039091F">
              <w:rPr>
                <w:rFonts w:eastAsia="Times New Roman" w:cs="Times New Roman"/>
                <w:b/>
                <w:kern w:val="0"/>
                <w:sz w:val="18"/>
                <w:szCs w:val="18"/>
                <w:lang w:eastAsia="es-CO"/>
                <w14:ligatures w14:val="none"/>
              </w:rPr>
              <w:t> </w:t>
            </w:r>
          </w:p>
        </w:tc>
        <w:tc>
          <w:tcPr>
            <w:tcW w:w="405" w:type="pct"/>
            <w:noWrap/>
            <w:vAlign w:val="center"/>
            <w:hideMark/>
          </w:tcPr>
          <w:p w14:paraId="34B54EA9" w14:textId="77777777" w:rsidR="00BB0056" w:rsidRPr="0039091F" w:rsidRDefault="00BB0056" w:rsidP="000A5389">
            <w:pPr>
              <w:spacing w:line="240" w:lineRule="auto"/>
              <w:jc w:val="center"/>
              <w:rPr>
                <w:rFonts w:eastAsia="Times New Roman" w:cs="Times New Roman"/>
                <w:b/>
                <w:kern w:val="0"/>
                <w:sz w:val="18"/>
                <w:szCs w:val="18"/>
                <w:lang w:eastAsia="es-CO"/>
                <w14:ligatures w14:val="none"/>
              </w:rPr>
            </w:pPr>
            <w:r w:rsidRPr="0039091F">
              <w:rPr>
                <w:rFonts w:eastAsia="Times New Roman" w:cs="Times New Roman"/>
                <w:b/>
                <w:kern w:val="0"/>
                <w:sz w:val="18"/>
                <w:szCs w:val="18"/>
                <w:lang w:eastAsia="es-CO"/>
                <w14:ligatures w14:val="none"/>
              </w:rPr>
              <w:t xml:space="preserve">0,0 </w:t>
            </w:r>
          </w:p>
        </w:tc>
      </w:tr>
      <w:tr w:rsidR="0026612B" w:rsidRPr="0039091F" w14:paraId="1432074C" w14:textId="77777777" w:rsidTr="001B10F3">
        <w:trPr>
          <w:trHeight w:val="193"/>
        </w:trPr>
        <w:tc>
          <w:tcPr>
            <w:tcW w:w="1281" w:type="pct"/>
            <w:vAlign w:val="center"/>
            <w:hideMark/>
          </w:tcPr>
          <w:p w14:paraId="103975FE" w14:textId="77777777" w:rsidR="00BB0056" w:rsidRPr="0039091F" w:rsidRDefault="00BB0056" w:rsidP="000A5389">
            <w:pPr>
              <w:spacing w:line="240" w:lineRule="auto"/>
              <w:rPr>
                <w:rFonts w:eastAsia="Times New Roman" w:cs="Times New Roman"/>
                <w:kern w:val="0"/>
                <w:sz w:val="18"/>
                <w:szCs w:val="18"/>
                <w:lang w:eastAsia="es-CO"/>
                <w14:ligatures w14:val="none"/>
              </w:rPr>
            </w:pPr>
            <w:r w:rsidRPr="0039091F">
              <w:rPr>
                <w:rFonts w:eastAsia="Times New Roman" w:cs="Times New Roman"/>
                <w:kern w:val="0"/>
                <w:sz w:val="18"/>
                <w:szCs w:val="18"/>
                <w:lang w:eastAsia="es-CO"/>
                <w14:ligatures w14:val="none"/>
              </w:rPr>
              <w:t>Nacionales</w:t>
            </w:r>
          </w:p>
        </w:tc>
        <w:tc>
          <w:tcPr>
            <w:tcW w:w="402" w:type="pct"/>
            <w:noWrap/>
            <w:vAlign w:val="center"/>
            <w:hideMark/>
          </w:tcPr>
          <w:p w14:paraId="0770401B" w14:textId="77777777" w:rsidR="00BB0056" w:rsidRPr="0039091F" w:rsidRDefault="00BB0056" w:rsidP="000A5389">
            <w:pPr>
              <w:spacing w:line="240" w:lineRule="auto"/>
              <w:jc w:val="center"/>
              <w:rPr>
                <w:rFonts w:eastAsia="Times New Roman" w:cs="Times New Roman"/>
                <w:kern w:val="0"/>
                <w:sz w:val="18"/>
                <w:szCs w:val="18"/>
                <w:lang w:eastAsia="es-CO"/>
                <w14:ligatures w14:val="none"/>
              </w:rPr>
            </w:pPr>
            <w:r w:rsidRPr="0039091F">
              <w:rPr>
                <w:rFonts w:eastAsia="Times New Roman" w:cs="Times New Roman"/>
                <w:kern w:val="0"/>
                <w:sz w:val="18"/>
                <w:szCs w:val="18"/>
                <w:lang w:eastAsia="es-CO"/>
                <w14:ligatures w14:val="none"/>
              </w:rPr>
              <w:t>PJ</w:t>
            </w:r>
          </w:p>
        </w:tc>
        <w:tc>
          <w:tcPr>
            <w:tcW w:w="643" w:type="pct"/>
            <w:noWrap/>
            <w:vAlign w:val="center"/>
            <w:hideMark/>
          </w:tcPr>
          <w:p w14:paraId="78581370" w14:textId="77777777" w:rsidR="00BB0056" w:rsidRPr="0039091F" w:rsidRDefault="00BB0056" w:rsidP="000A5389">
            <w:pPr>
              <w:spacing w:line="240" w:lineRule="auto"/>
              <w:jc w:val="center"/>
              <w:rPr>
                <w:rFonts w:eastAsia="Times New Roman" w:cs="Times New Roman"/>
                <w:kern w:val="0"/>
                <w:sz w:val="18"/>
                <w:szCs w:val="18"/>
                <w:lang w:eastAsia="es-CO"/>
                <w14:ligatures w14:val="none"/>
              </w:rPr>
            </w:pPr>
            <w:r w:rsidRPr="0039091F">
              <w:rPr>
                <w:rFonts w:eastAsia="Times New Roman" w:cs="Times New Roman"/>
                <w:kern w:val="0"/>
                <w:sz w:val="18"/>
                <w:szCs w:val="18"/>
                <w:lang w:eastAsia="es-CO"/>
                <w14:ligatures w14:val="none"/>
              </w:rPr>
              <w:t>2</w:t>
            </w:r>
          </w:p>
        </w:tc>
        <w:tc>
          <w:tcPr>
            <w:tcW w:w="723" w:type="pct"/>
            <w:noWrap/>
            <w:vAlign w:val="center"/>
            <w:hideMark/>
          </w:tcPr>
          <w:p w14:paraId="65EEA267" w14:textId="77777777" w:rsidR="00BB0056" w:rsidRPr="0039091F" w:rsidRDefault="00BB0056" w:rsidP="000A5389">
            <w:pPr>
              <w:spacing w:line="240" w:lineRule="auto"/>
              <w:jc w:val="right"/>
              <w:rPr>
                <w:rFonts w:eastAsia="Times New Roman" w:cs="Times New Roman"/>
                <w:kern w:val="0"/>
                <w:sz w:val="18"/>
                <w:szCs w:val="18"/>
                <w:lang w:eastAsia="es-CO"/>
                <w14:ligatures w14:val="none"/>
              </w:rPr>
            </w:pPr>
            <w:r w:rsidRPr="0039091F">
              <w:rPr>
                <w:rFonts w:eastAsia="Times New Roman" w:cs="Times New Roman"/>
                <w:kern w:val="0"/>
                <w:sz w:val="18"/>
                <w:szCs w:val="18"/>
                <w:lang w:eastAsia="es-CO"/>
                <w14:ligatures w14:val="none"/>
              </w:rPr>
              <w:t xml:space="preserve">1.591.500 </w:t>
            </w:r>
          </w:p>
        </w:tc>
        <w:tc>
          <w:tcPr>
            <w:tcW w:w="437" w:type="pct"/>
            <w:noWrap/>
            <w:vAlign w:val="center"/>
            <w:hideMark/>
          </w:tcPr>
          <w:p w14:paraId="0ED926DB" w14:textId="77777777" w:rsidR="00BB0056" w:rsidRPr="0039091F" w:rsidRDefault="00BB0056" w:rsidP="000A5389">
            <w:pPr>
              <w:spacing w:line="240" w:lineRule="auto"/>
              <w:jc w:val="center"/>
              <w:rPr>
                <w:rFonts w:eastAsia="Times New Roman" w:cs="Times New Roman"/>
                <w:kern w:val="0"/>
                <w:sz w:val="18"/>
                <w:szCs w:val="18"/>
                <w:lang w:eastAsia="es-CO"/>
                <w14:ligatures w14:val="none"/>
              </w:rPr>
            </w:pPr>
            <w:r w:rsidRPr="0039091F">
              <w:rPr>
                <w:rFonts w:eastAsia="Times New Roman" w:cs="Times New Roman"/>
                <w:kern w:val="0"/>
                <w:sz w:val="18"/>
                <w:szCs w:val="18"/>
                <w:lang w:eastAsia="es-CO"/>
                <w14:ligatures w14:val="none"/>
              </w:rPr>
              <w:t>0</w:t>
            </w:r>
          </w:p>
        </w:tc>
        <w:tc>
          <w:tcPr>
            <w:tcW w:w="414" w:type="pct"/>
            <w:noWrap/>
            <w:vAlign w:val="center"/>
            <w:hideMark/>
          </w:tcPr>
          <w:p w14:paraId="3BB46671" w14:textId="77777777" w:rsidR="00BB0056" w:rsidRPr="0039091F" w:rsidRDefault="00BB0056" w:rsidP="000A5389">
            <w:pPr>
              <w:spacing w:line="240" w:lineRule="auto"/>
              <w:jc w:val="center"/>
              <w:rPr>
                <w:rFonts w:eastAsia="Times New Roman" w:cs="Times New Roman"/>
                <w:kern w:val="0"/>
                <w:sz w:val="18"/>
                <w:szCs w:val="18"/>
                <w:lang w:eastAsia="es-CO"/>
                <w14:ligatures w14:val="none"/>
              </w:rPr>
            </w:pPr>
            <w:r w:rsidRPr="0039091F">
              <w:rPr>
                <w:rFonts w:eastAsia="Times New Roman" w:cs="Times New Roman"/>
                <w:kern w:val="0"/>
                <w:sz w:val="18"/>
                <w:szCs w:val="18"/>
                <w:lang w:eastAsia="es-CO"/>
                <w14:ligatures w14:val="none"/>
              </w:rPr>
              <w:t>1</w:t>
            </w:r>
          </w:p>
        </w:tc>
        <w:tc>
          <w:tcPr>
            <w:tcW w:w="695" w:type="pct"/>
            <w:noWrap/>
            <w:vAlign w:val="center"/>
            <w:hideMark/>
          </w:tcPr>
          <w:p w14:paraId="12CAD073" w14:textId="77777777" w:rsidR="00BB0056" w:rsidRPr="0039091F" w:rsidRDefault="00BB0056" w:rsidP="000A5389">
            <w:pPr>
              <w:spacing w:line="240" w:lineRule="auto"/>
              <w:jc w:val="center"/>
              <w:rPr>
                <w:rFonts w:eastAsia="Times New Roman" w:cs="Times New Roman"/>
                <w:kern w:val="0"/>
                <w:sz w:val="18"/>
                <w:szCs w:val="18"/>
                <w:lang w:eastAsia="es-CO"/>
                <w14:ligatures w14:val="none"/>
              </w:rPr>
            </w:pPr>
            <w:r w:rsidRPr="0039091F">
              <w:rPr>
                <w:rFonts w:eastAsia="Times New Roman" w:cs="Times New Roman"/>
                <w:kern w:val="0"/>
                <w:sz w:val="18"/>
                <w:szCs w:val="18"/>
                <w:lang w:eastAsia="es-CO"/>
                <w14:ligatures w14:val="none"/>
              </w:rPr>
              <w:t>No aplica</w:t>
            </w:r>
          </w:p>
        </w:tc>
        <w:tc>
          <w:tcPr>
            <w:tcW w:w="405" w:type="pct"/>
            <w:noWrap/>
            <w:vAlign w:val="center"/>
            <w:hideMark/>
          </w:tcPr>
          <w:p w14:paraId="09AB85A0" w14:textId="77777777" w:rsidR="00BB0056" w:rsidRPr="0039091F" w:rsidRDefault="00BB0056" w:rsidP="000A5389">
            <w:pPr>
              <w:spacing w:line="240" w:lineRule="auto"/>
              <w:jc w:val="center"/>
              <w:rPr>
                <w:rFonts w:eastAsia="Times New Roman" w:cs="Times New Roman"/>
                <w:kern w:val="0"/>
                <w:sz w:val="18"/>
                <w:szCs w:val="18"/>
                <w:lang w:eastAsia="es-CO"/>
                <w14:ligatures w14:val="none"/>
              </w:rPr>
            </w:pPr>
            <w:r w:rsidRPr="0039091F">
              <w:rPr>
                <w:rFonts w:eastAsia="Times New Roman" w:cs="Times New Roman"/>
                <w:kern w:val="0"/>
                <w:sz w:val="18"/>
                <w:szCs w:val="18"/>
                <w:lang w:eastAsia="es-CO"/>
                <w14:ligatures w14:val="none"/>
              </w:rPr>
              <w:t>0</w:t>
            </w:r>
          </w:p>
        </w:tc>
      </w:tr>
      <w:tr w:rsidR="0026612B" w:rsidRPr="0039091F" w14:paraId="2769BD05" w14:textId="77777777" w:rsidTr="001B10F3">
        <w:trPr>
          <w:trHeight w:val="180"/>
        </w:trPr>
        <w:tc>
          <w:tcPr>
            <w:tcW w:w="1281" w:type="pct"/>
            <w:noWrap/>
            <w:vAlign w:val="center"/>
            <w:hideMark/>
          </w:tcPr>
          <w:p w14:paraId="5E4E9C9D" w14:textId="77777777" w:rsidR="00BB0056" w:rsidRPr="0039091F" w:rsidRDefault="00BB0056" w:rsidP="000A5389">
            <w:pPr>
              <w:spacing w:line="240" w:lineRule="auto"/>
              <w:rPr>
                <w:rFonts w:eastAsia="Times New Roman" w:cs="Times New Roman"/>
                <w:b/>
                <w:kern w:val="0"/>
                <w:sz w:val="18"/>
                <w:szCs w:val="18"/>
                <w:lang w:eastAsia="es-CO"/>
                <w14:ligatures w14:val="none"/>
              </w:rPr>
            </w:pPr>
            <w:r w:rsidRPr="0039091F">
              <w:rPr>
                <w:rFonts w:eastAsia="Times New Roman" w:cs="Times New Roman"/>
                <w:b/>
                <w:kern w:val="0"/>
                <w:sz w:val="18"/>
                <w:szCs w:val="18"/>
                <w:lang w:eastAsia="es-CO"/>
                <w14:ligatures w14:val="none"/>
              </w:rPr>
              <w:t>Libranzas</w:t>
            </w:r>
          </w:p>
        </w:tc>
        <w:tc>
          <w:tcPr>
            <w:tcW w:w="402" w:type="pct"/>
            <w:noWrap/>
            <w:vAlign w:val="center"/>
            <w:hideMark/>
          </w:tcPr>
          <w:p w14:paraId="08DB211C" w14:textId="77777777" w:rsidR="00BB0056" w:rsidRPr="0039091F" w:rsidRDefault="00BB0056" w:rsidP="000A5389">
            <w:pPr>
              <w:spacing w:line="240" w:lineRule="auto"/>
              <w:rPr>
                <w:rFonts w:eastAsia="Times New Roman" w:cs="Times New Roman"/>
                <w:b/>
                <w:kern w:val="0"/>
                <w:sz w:val="18"/>
                <w:szCs w:val="18"/>
                <w:lang w:eastAsia="es-CO"/>
                <w14:ligatures w14:val="none"/>
              </w:rPr>
            </w:pPr>
            <w:r w:rsidRPr="0039091F">
              <w:rPr>
                <w:rFonts w:eastAsia="Times New Roman" w:cs="Times New Roman"/>
                <w:b/>
                <w:kern w:val="0"/>
                <w:sz w:val="18"/>
                <w:szCs w:val="18"/>
                <w:lang w:eastAsia="es-CO"/>
                <w14:ligatures w14:val="none"/>
              </w:rPr>
              <w:t> </w:t>
            </w:r>
          </w:p>
        </w:tc>
        <w:tc>
          <w:tcPr>
            <w:tcW w:w="643" w:type="pct"/>
            <w:noWrap/>
            <w:vAlign w:val="center"/>
            <w:hideMark/>
          </w:tcPr>
          <w:p w14:paraId="5991DC21" w14:textId="77777777" w:rsidR="00BB0056" w:rsidRPr="0039091F" w:rsidRDefault="00BB0056" w:rsidP="000A5389">
            <w:pPr>
              <w:spacing w:line="240" w:lineRule="auto"/>
              <w:rPr>
                <w:rFonts w:eastAsia="Times New Roman" w:cs="Times New Roman"/>
                <w:b/>
                <w:kern w:val="0"/>
                <w:sz w:val="18"/>
                <w:szCs w:val="18"/>
                <w:lang w:eastAsia="es-CO"/>
                <w14:ligatures w14:val="none"/>
              </w:rPr>
            </w:pPr>
            <w:r w:rsidRPr="0039091F">
              <w:rPr>
                <w:rFonts w:eastAsia="Times New Roman" w:cs="Times New Roman"/>
                <w:b/>
                <w:kern w:val="0"/>
                <w:sz w:val="18"/>
                <w:szCs w:val="18"/>
                <w:lang w:eastAsia="es-CO"/>
                <w14:ligatures w14:val="none"/>
              </w:rPr>
              <w:t> </w:t>
            </w:r>
          </w:p>
        </w:tc>
        <w:tc>
          <w:tcPr>
            <w:tcW w:w="723" w:type="pct"/>
            <w:noWrap/>
            <w:vAlign w:val="center"/>
            <w:hideMark/>
          </w:tcPr>
          <w:p w14:paraId="4BB6B73A" w14:textId="77777777" w:rsidR="00BB0056" w:rsidRPr="0039091F" w:rsidRDefault="00BB0056" w:rsidP="000A5389">
            <w:pPr>
              <w:spacing w:line="240" w:lineRule="auto"/>
              <w:jc w:val="right"/>
              <w:rPr>
                <w:rFonts w:eastAsia="Times New Roman" w:cs="Times New Roman"/>
                <w:b/>
                <w:kern w:val="0"/>
                <w:sz w:val="18"/>
                <w:szCs w:val="18"/>
                <w:lang w:eastAsia="es-CO"/>
                <w14:ligatures w14:val="none"/>
              </w:rPr>
            </w:pPr>
            <w:r w:rsidRPr="0039091F">
              <w:rPr>
                <w:rFonts w:eastAsia="Times New Roman" w:cs="Times New Roman"/>
                <w:b/>
                <w:kern w:val="0"/>
                <w:sz w:val="18"/>
                <w:szCs w:val="18"/>
                <w:lang w:eastAsia="es-CO"/>
                <w14:ligatures w14:val="none"/>
              </w:rPr>
              <w:t xml:space="preserve">1.084.714 </w:t>
            </w:r>
          </w:p>
        </w:tc>
        <w:tc>
          <w:tcPr>
            <w:tcW w:w="437" w:type="pct"/>
            <w:noWrap/>
            <w:vAlign w:val="center"/>
            <w:hideMark/>
          </w:tcPr>
          <w:p w14:paraId="3BA012B9" w14:textId="77777777" w:rsidR="00BB0056" w:rsidRPr="0039091F" w:rsidRDefault="00BB0056" w:rsidP="000A5389">
            <w:pPr>
              <w:spacing w:line="240" w:lineRule="auto"/>
              <w:jc w:val="center"/>
              <w:rPr>
                <w:rFonts w:eastAsia="Times New Roman" w:cs="Times New Roman"/>
                <w:b/>
                <w:kern w:val="0"/>
                <w:sz w:val="18"/>
                <w:szCs w:val="18"/>
                <w:lang w:eastAsia="es-CO"/>
                <w14:ligatures w14:val="none"/>
              </w:rPr>
            </w:pPr>
            <w:r w:rsidRPr="0039091F">
              <w:rPr>
                <w:rFonts w:eastAsia="Times New Roman" w:cs="Times New Roman"/>
                <w:b/>
                <w:kern w:val="0"/>
                <w:sz w:val="18"/>
                <w:szCs w:val="18"/>
                <w:lang w:eastAsia="es-CO"/>
                <w14:ligatures w14:val="none"/>
              </w:rPr>
              <w:t> </w:t>
            </w:r>
          </w:p>
        </w:tc>
        <w:tc>
          <w:tcPr>
            <w:tcW w:w="414" w:type="pct"/>
            <w:noWrap/>
            <w:vAlign w:val="center"/>
            <w:hideMark/>
          </w:tcPr>
          <w:p w14:paraId="06FB1735" w14:textId="77777777" w:rsidR="00BB0056" w:rsidRPr="0039091F" w:rsidRDefault="00BB0056" w:rsidP="000A5389">
            <w:pPr>
              <w:spacing w:line="240" w:lineRule="auto"/>
              <w:jc w:val="center"/>
              <w:rPr>
                <w:rFonts w:eastAsia="Times New Roman" w:cs="Times New Roman"/>
                <w:b/>
                <w:kern w:val="0"/>
                <w:sz w:val="18"/>
                <w:szCs w:val="18"/>
                <w:lang w:eastAsia="es-CO"/>
                <w14:ligatures w14:val="none"/>
              </w:rPr>
            </w:pPr>
            <w:r w:rsidRPr="0039091F">
              <w:rPr>
                <w:rFonts w:eastAsia="Times New Roman" w:cs="Times New Roman"/>
                <w:b/>
                <w:kern w:val="0"/>
                <w:sz w:val="18"/>
                <w:szCs w:val="18"/>
                <w:lang w:eastAsia="es-CO"/>
                <w14:ligatures w14:val="none"/>
              </w:rPr>
              <w:t> </w:t>
            </w:r>
          </w:p>
        </w:tc>
        <w:tc>
          <w:tcPr>
            <w:tcW w:w="695" w:type="pct"/>
            <w:noWrap/>
            <w:vAlign w:val="center"/>
            <w:hideMark/>
          </w:tcPr>
          <w:p w14:paraId="69B5F11E" w14:textId="77777777" w:rsidR="00BB0056" w:rsidRPr="0039091F" w:rsidRDefault="00BB0056" w:rsidP="000A5389">
            <w:pPr>
              <w:spacing w:line="240" w:lineRule="auto"/>
              <w:rPr>
                <w:rFonts w:eastAsia="Times New Roman" w:cs="Times New Roman"/>
                <w:b/>
                <w:kern w:val="0"/>
                <w:sz w:val="18"/>
                <w:szCs w:val="18"/>
                <w:lang w:eastAsia="es-CO"/>
                <w14:ligatures w14:val="none"/>
              </w:rPr>
            </w:pPr>
            <w:r w:rsidRPr="0039091F">
              <w:rPr>
                <w:rFonts w:eastAsia="Times New Roman" w:cs="Times New Roman"/>
                <w:b/>
                <w:kern w:val="0"/>
                <w:sz w:val="18"/>
                <w:szCs w:val="18"/>
                <w:lang w:eastAsia="es-CO"/>
                <w14:ligatures w14:val="none"/>
              </w:rPr>
              <w:t> </w:t>
            </w:r>
          </w:p>
        </w:tc>
        <w:tc>
          <w:tcPr>
            <w:tcW w:w="405" w:type="pct"/>
            <w:noWrap/>
            <w:vAlign w:val="center"/>
            <w:hideMark/>
          </w:tcPr>
          <w:p w14:paraId="03EFF3D4" w14:textId="77777777" w:rsidR="00BB0056" w:rsidRPr="0039091F" w:rsidRDefault="00BB0056" w:rsidP="000A5389">
            <w:pPr>
              <w:spacing w:line="240" w:lineRule="auto"/>
              <w:jc w:val="center"/>
              <w:rPr>
                <w:rFonts w:eastAsia="Times New Roman" w:cs="Times New Roman"/>
                <w:b/>
                <w:kern w:val="0"/>
                <w:sz w:val="18"/>
                <w:szCs w:val="18"/>
                <w:lang w:eastAsia="es-CO"/>
                <w14:ligatures w14:val="none"/>
              </w:rPr>
            </w:pPr>
            <w:r w:rsidRPr="0039091F">
              <w:rPr>
                <w:rFonts w:eastAsia="Times New Roman" w:cs="Times New Roman"/>
                <w:b/>
                <w:kern w:val="0"/>
                <w:sz w:val="18"/>
                <w:szCs w:val="18"/>
                <w:lang w:eastAsia="es-CO"/>
                <w14:ligatures w14:val="none"/>
              </w:rPr>
              <w:t xml:space="preserve">0,0 </w:t>
            </w:r>
          </w:p>
        </w:tc>
      </w:tr>
      <w:tr w:rsidR="0026612B" w:rsidRPr="0039091F" w14:paraId="4D072CE6" w14:textId="77777777" w:rsidTr="001B10F3">
        <w:trPr>
          <w:trHeight w:val="193"/>
        </w:trPr>
        <w:tc>
          <w:tcPr>
            <w:tcW w:w="1281" w:type="pct"/>
            <w:vAlign w:val="center"/>
            <w:hideMark/>
          </w:tcPr>
          <w:p w14:paraId="1E853AB7" w14:textId="77777777" w:rsidR="00BB0056" w:rsidRPr="0039091F" w:rsidRDefault="00BB0056" w:rsidP="000A5389">
            <w:pPr>
              <w:spacing w:line="240" w:lineRule="auto"/>
              <w:rPr>
                <w:rFonts w:eastAsia="Times New Roman" w:cs="Times New Roman"/>
                <w:kern w:val="0"/>
                <w:sz w:val="18"/>
                <w:szCs w:val="18"/>
                <w:lang w:eastAsia="es-CO"/>
                <w14:ligatures w14:val="none"/>
              </w:rPr>
            </w:pPr>
            <w:r w:rsidRPr="0039091F">
              <w:rPr>
                <w:rFonts w:eastAsia="Times New Roman" w:cs="Times New Roman"/>
                <w:kern w:val="0"/>
                <w:sz w:val="18"/>
                <w:szCs w:val="18"/>
                <w:lang w:eastAsia="es-CO"/>
                <w14:ligatures w14:val="none"/>
              </w:rPr>
              <w:t>Nacionales</w:t>
            </w:r>
          </w:p>
        </w:tc>
        <w:tc>
          <w:tcPr>
            <w:tcW w:w="402" w:type="pct"/>
            <w:noWrap/>
            <w:vAlign w:val="center"/>
            <w:hideMark/>
          </w:tcPr>
          <w:p w14:paraId="782A4669" w14:textId="77777777" w:rsidR="00BB0056" w:rsidRPr="0039091F" w:rsidRDefault="00BB0056" w:rsidP="000A5389">
            <w:pPr>
              <w:spacing w:line="240" w:lineRule="auto"/>
              <w:jc w:val="center"/>
              <w:rPr>
                <w:rFonts w:eastAsia="Times New Roman" w:cs="Times New Roman"/>
                <w:kern w:val="0"/>
                <w:sz w:val="18"/>
                <w:szCs w:val="18"/>
                <w:lang w:eastAsia="es-CO"/>
                <w14:ligatures w14:val="none"/>
              </w:rPr>
            </w:pPr>
            <w:r w:rsidRPr="0039091F">
              <w:rPr>
                <w:rFonts w:eastAsia="Times New Roman" w:cs="Times New Roman"/>
                <w:kern w:val="0"/>
                <w:sz w:val="18"/>
                <w:szCs w:val="18"/>
                <w:lang w:eastAsia="es-CO"/>
                <w14:ligatures w14:val="none"/>
              </w:rPr>
              <w:t>PJ</w:t>
            </w:r>
          </w:p>
        </w:tc>
        <w:tc>
          <w:tcPr>
            <w:tcW w:w="643" w:type="pct"/>
            <w:noWrap/>
            <w:vAlign w:val="center"/>
            <w:hideMark/>
          </w:tcPr>
          <w:p w14:paraId="08DC1260" w14:textId="77777777" w:rsidR="00BB0056" w:rsidRPr="0039091F" w:rsidRDefault="00BB0056" w:rsidP="000A5389">
            <w:pPr>
              <w:spacing w:line="240" w:lineRule="auto"/>
              <w:jc w:val="center"/>
              <w:rPr>
                <w:rFonts w:eastAsia="Times New Roman" w:cs="Times New Roman"/>
                <w:kern w:val="0"/>
                <w:sz w:val="18"/>
                <w:szCs w:val="18"/>
                <w:lang w:eastAsia="es-CO"/>
                <w14:ligatures w14:val="none"/>
              </w:rPr>
            </w:pPr>
            <w:r w:rsidRPr="0039091F">
              <w:rPr>
                <w:rFonts w:eastAsia="Times New Roman" w:cs="Times New Roman"/>
                <w:kern w:val="0"/>
                <w:sz w:val="18"/>
                <w:szCs w:val="18"/>
                <w:lang w:eastAsia="es-CO"/>
                <w14:ligatures w14:val="none"/>
              </w:rPr>
              <w:t>1</w:t>
            </w:r>
          </w:p>
        </w:tc>
        <w:tc>
          <w:tcPr>
            <w:tcW w:w="723" w:type="pct"/>
            <w:noWrap/>
            <w:vAlign w:val="center"/>
            <w:hideMark/>
          </w:tcPr>
          <w:p w14:paraId="7DB99376" w14:textId="77777777" w:rsidR="00BB0056" w:rsidRPr="0039091F" w:rsidRDefault="00BB0056" w:rsidP="000A5389">
            <w:pPr>
              <w:spacing w:line="240" w:lineRule="auto"/>
              <w:jc w:val="right"/>
              <w:rPr>
                <w:rFonts w:eastAsia="Times New Roman" w:cs="Times New Roman"/>
                <w:kern w:val="0"/>
                <w:sz w:val="18"/>
                <w:szCs w:val="18"/>
                <w:lang w:eastAsia="es-CO"/>
                <w14:ligatures w14:val="none"/>
              </w:rPr>
            </w:pPr>
            <w:r w:rsidRPr="0039091F">
              <w:rPr>
                <w:rFonts w:eastAsia="Times New Roman" w:cs="Times New Roman"/>
                <w:kern w:val="0"/>
                <w:sz w:val="18"/>
                <w:szCs w:val="18"/>
                <w:lang w:eastAsia="es-CO"/>
                <w14:ligatures w14:val="none"/>
              </w:rPr>
              <w:t xml:space="preserve">1.084.714 </w:t>
            </w:r>
          </w:p>
        </w:tc>
        <w:tc>
          <w:tcPr>
            <w:tcW w:w="437" w:type="pct"/>
            <w:noWrap/>
            <w:vAlign w:val="center"/>
            <w:hideMark/>
          </w:tcPr>
          <w:p w14:paraId="535B049C" w14:textId="77777777" w:rsidR="00BB0056" w:rsidRPr="0039091F" w:rsidRDefault="00BB0056" w:rsidP="000A5389">
            <w:pPr>
              <w:spacing w:line="240" w:lineRule="auto"/>
              <w:jc w:val="center"/>
              <w:rPr>
                <w:rFonts w:eastAsia="Times New Roman" w:cs="Times New Roman"/>
                <w:kern w:val="0"/>
                <w:sz w:val="18"/>
                <w:szCs w:val="18"/>
                <w:lang w:eastAsia="es-CO"/>
                <w14:ligatures w14:val="none"/>
              </w:rPr>
            </w:pPr>
            <w:r w:rsidRPr="0039091F">
              <w:rPr>
                <w:rFonts w:eastAsia="Times New Roman" w:cs="Times New Roman"/>
                <w:kern w:val="0"/>
                <w:sz w:val="18"/>
                <w:szCs w:val="18"/>
                <w:lang w:eastAsia="es-CO"/>
                <w14:ligatures w14:val="none"/>
              </w:rPr>
              <w:t>0</w:t>
            </w:r>
          </w:p>
        </w:tc>
        <w:tc>
          <w:tcPr>
            <w:tcW w:w="414" w:type="pct"/>
            <w:noWrap/>
            <w:vAlign w:val="center"/>
            <w:hideMark/>
          </w:tcPr>
          <w:p w14:paraId="65CCC07E" w14:textId="77777777" w:rsidR="00BB0056" w:rsidRPr="0039091F" w:rsidRDefault="00BB0056" w:rsidP="000A5389">
            <w:pPr>
              <w:spacing w:line="240" w:lineRule="auto"/>
              <w:jc w:val="center"/>
              <w:rPr>
                <w:rFonts w:eastAsia="Times New Roman" w:cs="Times New Roman"/>
                <w:kern w:val="0"/>
                <w:sz w:val="18"/>
                <w:szCs w:val="18"/>
                <w:lang w:eastAsia="es-CO"/>
                <w14:ligatures w14:val="none"/>
              </w:rPr>
            </w:pPr>
            <w:r w:rsidRPr="0039091F">
              <w:rPr>
                <w:rFonts w:eastAsia="Times New Roman" w:cs="Times New Roman"/>
                <w:kern w:val="0"/>
                <w:sz w:val="18"/>
                <w:szCs w:val="18"/>
                <w:lang w:eastAsia="es-CO"/>
                <w14:ligatures w14:val="none"/>
              </w:rPr>
              <w:t>1</w:t>
            </w:r>
          </w:p>
        </w:tc>
        <w:tc>
          <w:tcPr>
            <w:tcW w:w="695" w:type="pct"/>
            <w:noWrap/>
            <w:vAlign w:val="center"/>
            <w:hideMark/>
          </w:tcPr>
          <w:p w14:paraId="7B018A38" w14:textId="77777777" w:rsidR="00BB0056" w:rsidRPr="0039091F" w:rsidRDefault="00BB0056" w:rsidP="000A5389">
            <w:pPr>
              <w:spacing w:line="240" w:lineRule="auto"/>
              <w:jc w:val="center"/>
              <w:rPr>
                <w:rFonts w:eastAsia="Times New Roman" w:cs="Times New Roman"/>
                <w:kern w:val="0"/>
                <w:sz w:val="18"/>
                <w:szCs w:val="18"/>
                <w:lang w:eastAsia="es-CO"/>
                <w14:ligatures w14:val="none"/>
              </w:rPr>
            </w:pPr>
            <w:r w:rsidRPr="0039091F">
              <w:rPr>
                <w:rFonts w:eastAsia="Times New Roman" w:cs="Times New Roman"/>
                <w:kern w:val="0"/>
                <w:sz w:val="18"/>
                <w:szCs w:val="18"/>
                <w:lang w:eastAsia="es-CO"/>
                <w14:ligatures w14:val="none"/>
              </w:rPr>
              <w:t>No aplica</w:t>
            </w:r>
          </w:p>
        </w:tc>
        <w:tc>
          <w:tcPr>
            <w:tcW w:w="405" w:type="pct"/>
            <w:noWrap/>
            <w:vAlign w:val="center"/>
            <w:hideMark/>
          </w:tcPr>
          <w:p w14:paraId="05208E7E" w14:textId="77777777" w:rsidR="00BB0056" w:rsidRPr="0039091F" w:rsidRDefault="00BB0056" w:rsidP="000A5389">
            <w:pPr>
              <w:spacing w:line="240" w:lineRule="auto"/>
              <w:jc w:val="center"/>
              <w:rPr>
                <w:rFonts w:eastAsia="Times New Roman" w:cs="Times New Roman"/>
                <w:kern w:val="0"/>
                <w:sz w:val="18"/>
                <w:szCs w:val="18"/>
                <w:lang w:eastAsia="es-CO"/>
                <w14:ligatures w14:val="none"/>
              </w:rPr>
            </w:pPr>
            <w:r w:rsidRPr="0039091F">
              <w:rPr>
                <w:rFonts w:eastAsia="Times New Roman" w:cs="Times New Roman"/>
                <w:kern w:val="0"/>
                <w:sz w:val="18"/>
                <w:szCs w:val="18"/>
                <w:lang w:eastAsia="es-CO"/>
                <w14:ligatures w14:val="none"/>
              </w:rPr>
              <w:t> </w:t>
            </w:r>
          </w:p>
        </w:tc>
      </w:tr>
      <w:tr w:rsidR="0026612B" w:rsidRPr="0039091F" w14:paraId="2CF00563" w14:textId="77777777" w:rsidTr="001B10F3">
        <w:trPr>
          <w:trHeight w:val="180"/>
        </w:trPr>
        <w:tc>
          <w:tcPr>
            <w:tcW w:w="1281" w:type="pct"/>
            <w:noWrap/>
            <w:vAlign w:val="center"/>
            <w:hideMark/>
          </w:tcPr>
          <w:p w14:paraId="27524514" w14:textId="77777777" w:rsidR="00BB0056" w:rsidRPr="0039091F" w:rsidRDefault="00BB0056" w:rsidP="000A5389">
            <w:pPr>
              <w:spacing w:line="240" w:lineRule="auto"/>
              <w:rPr>
                <w:rFonts w:eastAsia="Times New Roman" w:cs="Times New Roman"/>
                <w:b/>
                <w:kern w:val="0"/>
                <w:sz w:val="18"/>
                <w:szCs w:val="18"/>
                <w:lang w:eastAsia="es-CO"/>
                <w14:ligatures w14:val="none"/>
              </w:rPr>
            </w:pPr>
            <w:r w:rsidRPr="0039091F">
              <w:rPr>
                <w:rFonts w:eastAsia="Times New Roman" w:cs="Times New Roman"/>
                <w:b/>
                <w:kern w:val="0"/>
                <w:sz w:val="18"/>
                <w:szCs w:val="18"/>
                <w:lang w:eastAsia="es-CO"/>
                <w14:ligatures w14:val="none"/>
              </w:rPr>
              <w:t>Aportes a seguridad social en salud</w:t>
            </w:r>
          </w:p>
        </w:tc>
        <w:tc>
          <w:tcPr>
            <w:tcW w:w="402" w:type="pct"/>
            <w:noWrap/>
            <w:vAlign w:val="center"/>
            <w:hideMark/>
          </w:tcPr>
          <w:p w14:paraId="1A30DBB9" w14:textId="77777777" w:rsidR="00BB0056" w:rsidRPr="0039091F" w:rsidRDefault="00BB0056" w:rsidP="000A5389">
            <w:pPr>
              <w:spacing w:line="240" w:lineRule="auto"/>
              <w:rPr>
                <w:rFonts w:eastAsia="Times New Roman" w:cs="Times New Roman"/>
                <w:b/>
                <w:kern w:val="0"/>
                <w:sz w:val="18"/>
                <w:szCs w:val="18"/>
                <w:lang w:eastAsia="es-CO"/>
                <w14:ligatures w14:val="none"/>
              </w:rPr>
            </w:pPr>
            <w:r w:rsidRPr="0039091F">
              <w:rPr>
                <w:rFonts w:eastAsia="Times New Roman" w:cs="Times New Roman"/>
                <w:b/>
                <w:kern w:val="0"/>
                <w:sz w:val="18"/>
                <w:szCs w:val="18"/>
                <w:lang w:eastAsia="es-CO"/>
                <w14:ligatures w14:val="none"/>
              </w:rPr>
              <w:t> </w:t>
            </w:r>
          </w:p>
        </w:tc>
        <w:tc>
          <w:tcPr>
            <w:tcW w:w="643" w:type="pct"/>
            <w:noWrap/>
            <w:vAlign w:val="center"/>
            <w:hideMark/>
          </w:tcPr>
          <w:p w14:paraId="5F69F84F" w14:textId="77777777" w:rsidR="00BB0056" w:rsidRPr="0039091F" w:rsidRDefault="00BB0056" w:rsidP="000A5389">
            <w:pPr>
              <w:spacing w:line="240" w:lineRule="auto"/>
              <w:rPr>
                <w:rFonts w:eastAsia="Times New Roman" w:cs="Times New Roman"/>
                <w:b/>
                <w:kern w:val="0"/>
                <w:sz w:val="18"/>
                <w:szCs w:val="18"/>
                <w:lang w:eastAsia="es-CO"/>
                <w14:ligatures w14:val="none"/>
              </w:rPr>
            </w:pPr>
            <w:r w:rsidRPr="0039091F">
              <w:rPr>
                <w:rFonts w:eastAsia="Times New Roman" w:cs="Times New Roman"/>
                <w:b/>
                <w:kern w:val="0"/>
                <w:sz w:val="18"/>
                <w:szCs w:val="18"/>
                <w:lang w:eastAsia="es-CO"/>
                <w14:ligatures w14:val="none"/>
              </w:rPr>
              <w:t> </w:t>
            </w:r>
          </w:p>
        </w:tc>
        <w:tc>
          <w:tcPr>
            <w:tcW w:w="723" w:type="pct"/>
            <w:noWrap/>
            <w:vAlign w:val="center"/>
            <w:hideMark/>
          </w:tcPr>
          <w:p w14:paraId="7F67E010" w14:textId="77777777" w:rsidR="00BB0056" w:rsidRPr="0039091F" w:rsidRDefault="00BB0056" w:rsidP="000A5389">
            <w:pPr>
              <w:spacing w:line="240" w:lineRule="auto"/>
              <w:jc w:val="right"/>
              <w:rPr>
                <w:rFonts w:eastAsia="Times New Roman" w:cs="Times New Roman"/>
                <w:b/>
                <w:kern w:val="0"/>
                <w:sz w:val="18"/>
                <w:szCs w:val="18"/>
                <w:lang w:eastAsia="es-CO"/>
                <w14:ligatures w14:val="none"/>
              </w:rPr>
            </w:pPr>
            <w:r w:rsidRPr="0039091F">
              <w:rPr>
                <w:rFonts w:eastAsia="Times New Roman" w:cs="Times New Roman"/>
                <w:b/>
                <w:kern w:val="0"/>
                <w:sz w:val="18"/>
                <w:szCs w:val="18"/>
                <w:lang w:eastAsia="es-CO"/>
                <w14:ligatures w14:val="none"/>
              </w:rPr>
              <w:t xml:space="preserve">1.046.100 </w:t>
            </w:r>
          </w:p>
        </w:tc>
        <w:tc>
          <w:tcPr>
            <w:tcW w:w="437" w:type="pct"/>
            <w:noWrap/>
            <w:vAlign w:val="center"/>
            <w:hideMark/>
          </w:tcPr>
          <w:p w14:paraId="4F0BBF32" w14:textId="77777777" w:rsidR="00BB0056" w:rsidRPr="0039091F" w:rsidRDefault="00BB0056" w:rsidP="000A5389">
            <w:pPr>
              <w:spacing w:line="240" w:lineRule="auto"/>
              <w:jc w:val="center"/>
              <w:rPr>
                <w:rFonts w:eastAsia="Times New Roman" w:cs="Times New Roman"/>
                <w:b/>
                <w:kern w:val="0"/>
                <w:sz w:val="18"/>
                <w:szCs w:val="18"/>
                <w:lang w:eastAsia="es-CO"/>
                <w14:ligatures w14:val="none"/>
              </w:rPr>
            </w:pPr>
            <w:r w:rsidRPr="0039091F">
              <w:rPr>
                <w:rFonts w:eastAsia="Times New Roman" w:cs="Times New Roman"/>
                <w:b/>
                <w:kern w:val="0"/>
                <w:sz w:val="18"/>
                <w:szCs w:val="18"/>
                <w:lang w:eastAsia="es-CO"/>
                <w14:ligatures w14:val="none"/>
              </w:rPr>
              <w:t> </w:t>
            </w:r>
          </w:p>
        </w:tc>
        <w:tc>
          <w:tcPr>
            <w:tcW w:w="414" w:type="pct"/>
            <w:noWrap/>
            <w:vAlign w:val="center"/>
            <w:hideMark/>
          </w:tcPr>
          <w:p w14:paraId="10B2C4E6" w14:textId="77777777" w:rsidR="00BB0056" w:rsidRPr="0039091F" w:rsidRDefault="00BB0056" w:rsidP="000A5389">
            <w:pPr>
              <w:spacing w:line="240" w:lineRule="auto"/>
              <w:jc w:val="center"/>
              <w:rPr>
                <w:rFonts w:eastAsia="Times New Roman" w:cs="Times New Roman"/>
                <w:b/>
                <w:kern w:val="0"/>
                <w:sz w:val="18"/>
                <w:szCs w:val="18"/>
                <w:lang w:eastAsia="es-CO"/>
                <w14:ligatures w14:val="none"/>
              </w:rPr>
            </w:pPr>
            <w:r w:rsidRPr="0039091F">
              <w:rPr>
                <w:rFonts w:eastAsia="Times New Roman" w:cs="Times New Roman"/>
                <w:b/>
                <w:kern w:val="0"/>
                <w:sz w:val="18"/>
                <w:szCs w:val="18"/>
                <w:lang w:eastAsia="es-CO"/>
                <w14:ligatures w14:val="none"/>
              </w:rPr>
              <w:t> </w:t>
            </w:r>
          </w:p>
        </w:tc>
        <w:tc>
          <w:tcPr>
            <w:tcW w:w="695" w:type="pct"/>
            <w:noWrap/>
            <w:vAlign w:val="center"/>
            <w:hideMark/>
          </w:tcPr>
          <w:p w14:paraId="353855F7" w14:textId="77777777" w:rsidR="00BB0056" w:rsidRPr="0039091F" w:rsidRDefault="00BB0056" w:rsidP="000A5389">
            <w:pPr>
              <w:spacing w:line="240" w:lineRule="auto"/>
              <w:rPr>
                <w:rFonts w:eastAsia="Times New Roman" w:cs="Times New Roman"/>
                <w:b/>
                <w:kern w:val="0"/>
                <w:sz w:val="18"/>
                <w:szCs w:val="18"/>
                <w:lang w:eastAsia="es-CO"/>
                <w14:ligatures w14:val="none"/>
              </w:rPr>
            </w:pPr>
            <w:r w:rsidRPr="0039091F">
              <w:rPr>
                <w:rFonts w:eastAsia="Times New Roman" w:cs="Times New Roman"/>
                <w:b/>
                <w:kern w:val="0"/>
                <w:sz w:val="18"/>
                <w:szCs w:val="18"/>
                <w:lang w:eastAsia="es-CO"/>
                <w14:ligatures w14:val="none"/>
              </w:rPr>
              <w:t> </w:t>
            </w:r>
          </w:p>
        </w:tc>
        <w:tc>
          <w:tcPr>
            <w:tcW w:w="405" w:type="pct"/>
            <w:noWrap/>
            <w:vAlign w:val="center"/>
            <w:hideMark/>
          </w:tcPr>
          <w:p w14:paraId="4D46B73A" w14:textId="77777777" w:rsidR="00BB0056" w:rsidRPr="0039091F" w:rsidRDefault="00BB0056" w:rsidP="000A5389">
            <w:pPr>
              <w:spacing w:line="240" w:lineRule="auto"/>
              <w:jc w:val="center"/>
              <w:rPr>
                <w:rFonts w:eastAsia="Times New Roman" w:cs="Times New Roman"/>
                <w:b/>
                <w:kern w:val="0"/>
                <w:sz w:val="18"/>
                <w:szCs w:val="18"/>
                <w:lang w:eastAsia="es-CO"/>
                <w14:ligatures w14:val="none"/>
              </w:rPr>
            </w:pPr>
            <w:r w:rsidRPr="0039091F">
              <w:rPr>
                <w:rFonts w:eastAsia="Times New Roman" w:cs="Times New Roman"/>
                <w:b/>
                <w:kern w:val="0"/>
                <w:sz w:val="18"/>
                <w:szCs w:val="18"/>
                <w:lang w:eastAsia="es-CO"/>
                <w14:ligatures w14:val="none"/>
              </w:rPr>
              <w:t xml:space="preserve">0,0 </w:t>
            </w:r>
          </w:p>
        </w:tc>
      </w:tr>
      <w:tr w:rsidR="0026612B" w:rsidRPr="0039091F" w14:paraId="1523ABC6" w14:textId="77777777" w:rsidTr="001B10F3">
        <w:trPr>
          <w:trHeight w:val="193"/>
        </w:trPr>
        <w:tc>
          <w:tcPr>
            <w:tcW w:w="1281" w:type="pct"/>
            <w:vAlign w:val="center"/>
            <w:hideMark/>
          </w:tcPr>
          <w:p w14:paraId="0F0B6E3A" w14:textId="77777777" w:rsidR="00BB0056" w:rsidRPr="0039091F" w:rsidRDefault="00BB0056" w:rsidP="000A5389">
            <w:pPr>
              <w:spacing w:line="240" w:lineRule="auto"/>
              <w:rPr>
                <w:rFonts w:eastAsia="Times New Roman" w:cs="Times New Roman"/>
                <w:kern w:val="0"/>
                <w:sz w:val="18"/>
                <w:szCs w:val="18"/>
                <w:lang w:eastAsia="es-CO"/>
                <w14:ligatures w14:val="none"/>
              </w:rPr>
            </w:pPr>
            <w:r w:rsidRPr="0039091F">
              <w:rPr>
                <w:rFonts w:eastAsia="Times New Roman" w:cs="Times New Roman"/>
                <w:kern w:val="0"/>
                <w:sz w:val="18"/>
                <w:szCs w:val="18"/>
                <w:lang w:eastAsia="es-CO"/>
                <w14:ligatures w14:val="none"/>
              </w:rPr>
              <w:t>Nacionales</w:t>
            </w:r>
          </w:p>
        </w:tc>
        <w:tc>
          <w:tcPr>
            <w:tcW w:w="402" w:type="pct"/>
            <w:noWrap/>
            <w:vAlign w:val="center"/>
            <w:hideMark/>
          </w:tcPr>
          <w:p w14:paraId="44905095" w14:textId="77777777" w:rsidR="00BB0056" w:rsidRPr="0039091F" w:rsidRDefault="00BB0056" w:rsidP="000A5389">
            <w:pPr>
              <w:spacing w:line="240" w:lineRule="auto"/>
              <w:jc w:val="center"/>
              <w:rPr>
                <w:rFonts w:eastAsia="Times New Roman" w:cs="Times New Roman"/>
                <w:kern w:val="0"/>
                <w:sz w:val="18"/>
                <w:szCs w:val="18"/>
                <w:lang w:eastAsia="es-CO"/>
                <w14:ligatures w14:val="none"/>
              </w:rPr>
            </w:pPr>
            <w:r w:rsidRPr="0039091F">
              <w:rPr>
                <w:rFonts w:eastAsia="Times New Roman" w:cs="Times New Roman"/>
                <w:kern w:val="0"/>
                <w:sz w:val="18"/>
                <w:szCs w:val="18"/>
                <w:lang w:eastAsia="es-CO"/>
                <w14:ligatures w14:val="none"/>
              </w:rPr>
              <w:t>PJ</w:t>
            </w:r>
          </w:p>
        </w:tc>
        <w:tc>
          <w:tcPr>
            <w:tcW w:w="643" w:type="pct"/>
            <w:noWrap/>
            <w:vAlign w:val="center"/>
            <w:hideMark/>
          </w:tcPr>
          <w:p w14:paraId="6F702FBB" w14:textId="77777777" w:rsidR="00BB0056" w:rsidRPr="0039091F" w:rsidRDefault="00BB0056" w:rsidP="000A5389">
            <w:pPr>
              <w:spacing w:line="240" w:lineRule="auto"/>
              <w:jc w:val="center"/>
              <w:rPr>
                <w:rFonts w:eastAsia="Times New Roman" w:cs="Times New Roman"/>
                <w:kern w:val="0"/>
                <w:sz w:val="18"/>
                <w:szCs w:val="18"/>
                <w:lang w:eastAsia="es-CO"/>
                <w14:ligatures w14:val="none"/>
              </w:rPr>
            </w:pPr>
            <w:r w:rsidRPr="0039091F">
              <w:rPr>
                <w:rFonts w:eastAsia="Times New Roman" w:cs="Times New Roman"/>
                <w:kern w:val="0"/>
                <w:sz w:val="18"/>
                <w:szCs w:val="18"/>
                <w:lang w:eastAsia="es-CO"/>
                <w14:ligatures w14:val="none"/>
              </w:rPr>
              <w:t>5</w:t>
            </w:r>
          </w:p>
        </w:tc>
        <w:tc>
          <w:tcPr>
            <w:tcW w:w="723" w:type="pct"/>
            <w:noWrap/>
            <w:vAlign w:val="center"/>
            <w:hideMark/>
          </w:tcPr>
          <w:p w14:paraId="3DE3FD57" w14:textId="77777777" w:rsidR="00BB0056" w:rsidRPr="0039091F" w:rsidRDefault="00BB0056" w:rsidP="000A5389">
            <w:pPr>
              <w:spacing w:line="240" w:lineRule="auto"/>
              <w:jc w:val="right"/>
              <w:rPr>
                <w:rFonts w:eastAsia="Times New Roman" w:cs="Times New Roman"/>
                <w:kern w:val="0"/>
                <w:sz w:val="18"/>
                <w:szCs w:val="18"/>
                <w:lang w:eastAsia="es-CO"/>
                <w14:ligatures w14:val="none"/>
              </w:rPr>
            </w:pPr>
            <w:r w:rsidRPr="0039091F">
              <w:rPr>
                <w:rFonts w:eastAsia="Times New Roman" w:cs="Times New Roman"/>
                <w:kern w:val="0"/>
                <w:sz w:val="18"/>
                <w:szCs w:val="18"/>
                <w:lang w:eastAsia="es-CO"/>
                <w14:ligatures w14:val="none"/>
              </w:rPr>
              <w:t xml:space="preserve">1.046.100 </w:t>
            </w:r>
          </w:p>
        </w:tc>
        <w:tc>
          <w:tcPr>
            <w:tcW w:w="437" w:type="pct"/>
            <w:noWrap/>
            <w:vAlign w:val="center"/>
            <w:hideMark/>
          </w:tcPr>
          <w:p w14:paraId="6E7AB55D" w14:textId="77777777" w:rsidR="00BB0056" w:rsidRPr="0039091F" w:rsidRDefault="00BB0056" w:rsidP="000A5389">
            <w:pPr>
              <w:spacing w:line="240" w:lineRule="auto"/>
              <w:jc w:val="center"/>
              <w:rPr>
                <w:rFonts w:eastAsia="Times New Roman" w:cs="Times New Roman"/>
                <w:kern w:val="0"/>
                <w:sz w:val="18"/>
                <w:szCs w:val="18"/>
                <w:lang w:eastAsia="es-CO"/>
                <w14:ligatures w14:val="none"/>
              </w:rPr>
            </w:pPr>
            <w:r w:rsidRPr="0039091F">
              <w:rPr>
                <w:rFonts w:eastAsia="Times New Roman" w:cs="Times New Roman"/>
                <w:kern w:val="0"/>
                <w:sz w:val="18"/>
                <w:szCs w:val="18"/>
                <w:lang w:eastAsia="es-CO"/>
                <w14:ligatures w14:val="none"/>
              </w:rPr>
              <w:t>0</w:t>
            </w:r>
          </w:p>
        </w:tc>
        <w:tc>
          <w:tcPr>
            <w:tcW w:w="414" w:type="pct"/>
            <w:noWrap/>
            <w:vAlign w:val="center"/>
            <w:hideMark/>
          </w:tcPr>
          <w:p w14:paraId="748CAAEA" w14:textId="77777777" w:rsidR="00BB0056" w:rsidRPr="0039091F" w:rsidRDefault="00BB0056" w:rsidP="000A5389">
            <w:pPr>
              <w:spacing w:line="240" w:lineRule="auto"/>
              <w:jc w:val="center"/>
              <w:rPr>
                <w:rFonts w:eastAsia="Times New Roman" w:cs="Times New Roman"/>
                <w:kern w:val="0"/>
                <w:sz w:val="18"/>
                <w:szCs w:val="18"/>
                <w:lang w:eastAsia="es-CO"/>
                <w14:ligatures w14:val="none"/>
              </w:rPr>
            </w:pPr>
            <w:r w:rsidRPr="0039091F">
              <w:rPr>
                <w:rFonts w:eastAsia="Times New Roman" w:cs="Times New Roman"/>
                <w:kern w:val="0"/>
                <w:sz w:val="18"/>
                <w:szCs w:val="18"/>
                <w:lang w:eastAsia="es-CO"/>
                <w14:ligatures w14:val="none"/>
              </w:rPr>
              <w:t>1</w:t>
            </w:r>
          </w:p>
        </w:tc>
        <w:tc>
          <w:tcPr>
            <w:tcW w:w="695" w:type="pct"/>
            <w:noWrap/>
            <w:vAlign w:val="center"/>
            <w:hideMark/>
          </w:tcPr>
          <w:p w14:paraId="5385D635" w14:textId="77777777" w:rsidR="00BB0056" w:rsidRPr="0039091F" w:rsidRDefault="00BB0056" w:rsidP="000A5389">
            <w:pPr>
              <w:spacing w:line="240" w:lineRule="auto"/>
              <w:jc w:val="center"/>
              <w:rPr>
                <w:rFonts w:eastAsia="Times New Roman" w:cs="Times New Roman"/>
                <w:kern w:val="0"/>
                <w:sz w:val="18"/>
                <w:szCs w:val="18"/>
                <w:lang w:eastAsia="es-CO"/>
                <w14:ligatures w14:val="none"/>
              </w:rPr>
            </w:pPr>
            <w:r w:rsidRPr="0039091F">
              <w:rPr>
                <w:rFonts w:eastAsia="Times New Roman" w:cs="Times New Roman"/>
                <w:kern w:val="0"/>
                <w:sz w:val="18"/>
                <w:szCs w:val="18"/>
                <w:lang w:eastAsia="es-CO"/>
                <w14:ligatures w14:val="none"/>
              </w:rPr>
              <w:t>No aplica</w:t>
            </w:r>
          </w:p>
        </w:tc>
        <w:tc>
          <w:tcPr>
            <w:tcW w:w="405" w:type="pct"/>
            <w:noWrap/>
            <w:vAlign w:val="center"/>
            <w:hideMark/>
          </w:tcPr>
          <w:p w14:paraId="50778B31" w14:textId="77777777" w:rsidR="00BB0056" w:rsidRPr="0039091F" w:rsidRDefault="00BB0056" w:rsidP="000A5389">
            <w:pPr>
              <w:spacing w:line="240" w:lineRule="auto"/>
              <w:jc w:val="center"/>
              <w:rPr>
                <w:rFonts w:eastAsia="Times New Roman" w:cs="Times New Roman"/>
                <w:kern w:val="0"/>
                <w:sz w:val="18"/>
                <w:szCs w:val="18"/>
                <w:lang w:eastAsia="es-CO"/>
                <w14:ligatures w14:val="none"/>
              </w:rPr>
            </w:pPr>
            <w:r w:rsidRPr="0039091F">
              <w:rPr>
                <w:rFonts w:eastAsia="Times New Roman" w:cs="Times New Roman"/>
                <w:kern w:val="0"/>
                <w:sz w:val="18"/>
                <w:szCs w:val="18"/>
                <w:lang w:eastAsia="es-CO"/>
                <w14:ligatures w14:val="none"/>
              </w:rPr>
              <w:t>0</w:t>
            </w:r>
          </w:p>
        </w:tc>
      </w:tr>
      <w:tr w:rsidR="0026612B" w:rsidRPr="0039091F" w14:paraId="2CACE9B9" w14:textId="77777777" w:rsidTr="001B10F3">
        <w:trPr>
          <w:trHeight w:val="180"/>
        </w:trPr>
        <w:tc>
          <w:tcPr>
            <w:tcW w:w="1281" w:type="pct"/>
            <w:noWrap/>
            <w:vAlign w:val="center"/>
            <w:hideMark/>
          </w:tcPr>
          <w:p w14:paraId="14817DA9" w14:textId="77777777" w:rsidR="00BB0056" w:rsidRPr="0039091F" w:rsidRDefault="00BB0056" w:rsidP="000A5389">
            <w:pPr>
              <w:spacing w:line="240" w:lineRule="auto"/>
              <w:rPr>
                <w:rFonts w:eastAsia="Times New Roman" w:cs="Times New Roman"/>
                <w:b/>
                <w:kern w:val="0"/>
                <w:sz w:val="18"/>
                <w:szCs w:val="18"/>
                <w:lang w:eastAsia="es-CO"/>
                <w14:ligatures w14:val="none"/>
              </w:rPr>
            </w:pPr>
            <w:r w:rsidRPr="0039091F">
              <w:rPr>
                <w:rFonts w:eastAsia="Times New Roman" w:cs="Times New Roman"/>
                <w:b/>
                <w:kern w:val="0"/>
                <w:sz w:val="18"/>
                <w:szCs w:val="18"/>
                <w:lang w:eastAsia="es-CO"/>
                <w14:ligatures w14:val="none"/>
              </w:rPr>
              <w:t>Fondos de empleados</w:t>
            </w:r>
          </w:p>
        </w:tc>
        <w:tc>
          <w:tcPr>
            <w:tcW w:w="402" w:type="pct"/>
            <w:noWrap/>
            <w:vAlign w:val="center"/>
            <w:hideMark/>
          </w:tcPr>
          <w:p w14:paraId="46BE6EBF" w14:textId="77777777" w:rsidR="00BB0056" w:rsidRPr="0039091F" w:rsidRDefault="00BB0056" w:rsidP="000A5389">
            <w:pPr>
              <w:spacing w:line="240" w:lineRule="auto"/>
              <w:rPr>
                <w:rFonts w:eastAsia="Times New Roman" w:cs="Times New Roman"/>
                <w:b/>
                <w:kern w:val="0"/>
                <w:sz w:val="18"/>
                <w:szCs w:val="18"/>
                <w:lang w:eastAsia="es-CO"/>
                <w14:ligatures w14:val="none"/>
              </w:rPr>
            </w:pPr>
            <w:r w:rsidRPr="0039091F">
              <w:rPr>
                <w:rFonts w:eastAsia="Times New Roman" w:cs="Times New Roman"/>
                <w:b/>
                <w:kern w:val="0"/>
                <w:sz w:val="18"/>
                <w:szCs w:val="18"/>
                <w:lang w:eastAsia="es-CO"/>
                <w14:ligatures w14:val="none"/>
              </w:rPr>
              <w:t> </w:t>
            </w:r>
          </w:p>
        </w:tc>
        <w:tc>
          <w:tcPr>
            <w:tcW w:w="643" w:type="pct"/>
            <w:noWrap/>
            <w:vAlign w:val="center"/>
            <w:hideMark/>
          </w:tcPr>
          <w:p w14:paraId="12AB71A0" w14:textId="77777777" w:rsidR="00BB0056" w:rsidRPr="0039091F" w:rsidRDefault="00BB0056" w:rsidP="000A5389">
            <w:pPr>
              <w:spacing w:line="240" w:lineRule="auto"/>
              <w:rPr>
                <w:rFonts w:eastAsia="Times New Roman" w:cs="Times New Roman"/>
                <w:b/>
                <w:kern w:val="0"/>
                <w:sz w:val="18"/>
                <w:szCs w:val="18"/>
                <w:lang w:eastAsia="es-CO"/>
                <w14:ligatures w14:val="none"/>
              </w:rPr>
            </w:pPr>
            <w:r w:rsidRPr="0039091F">
              <w:rPr>
                <w:rFonts w:eastAsia="Times New Roman" w:cs="Times New Roman"/>
                <w:b/>
                <w:kern w:val="0"/>
                <w:sz w:val="18"/>
                <w:szCs w:val="18"/>
                <w:lang w:eastAsia="es-CO"/>
                <w14:ligatures w14:val="none"/>
              </w:rPr>
              <w:t> </w:t>
            </w:r>
          </w:p>
        </w:tc>
        <w:tc>
          <w:tcPr>
            <w:tcW w:w="723" w:type="pct"/>
            <w:noWrap/>
            <w:vAlign w:val="center"/>
            <w:hideMark/>
          </w:tcPr>
          <w:p w14:paraId="5632D19A" w14:textId="77777777" w:rsidR="00BB0056" w:rsidRPr="0039091F" w:rsidRDefault="00BB0056" w:rsidP="000A5389">
            <w:pPr>
              <w:spacing w:line="240" w:lineRule="auto"/>
              <w:jc w:val="right"/>
              <w:rPr>
                <w:rFonts w:eastAsia="Times New Roman" w:cs="Times New Roman"/>
                <w:b/>
                <w:kern w:val="0"/>
                <w:sz w:val="18"/>
                <w:szCs w:val="18"/>
                <w:lang w:eastAsia="es-CO"/>
                <w14:ligatures w14:val="none"/>
              </w:rPr>
            </w:pPr>
            <w:r w:rsidRPr="0039091F">
              <w:rPr>
                <w:rFonts w:eastAsia="Times New Roman" w:cs="Times New Roman"/>
                <w:b/>
                <w:kern w:val="0"/>
                <w:sz w:val="18"/>
                <w:szCs w:val="18"/>
                <w:lang w:eastAsia="es-CO"/>
                <w14:ligatures w14:val="none"/>
              </w:rPr>
              <w:t xml:space="preserve">1.000.000 </w:t>
            </w:r>
          </w:p>
        </w:tc>
        <w:tc>
          <w:tcPr>
            <w:tcW w:w="437" w:type="pct"/>
            <w:noWrap/>
            <w:vAlign w:val="center"/>
            <w:hideMark/>
          </w:tcPr>
          <w:p w14:paraId="769FEFE9" w14:textId="77777777" w:rsidR="00BB0056" w:rsidRPr="0039091F" w:rsidRDefault="00BB0056" w:rsidP="000A5389">
            <w:pPr>
              <w:spacing w:line="240" w:lineRule="auto"/>
              <w:jc w:val="center"/>
              <w:rPr>
                <w:rFonts w:eastAsia="Times New Roman" w:cs="Times New Roman"/>
                <w:b/>
                <w:kern w:val="0"/>
                <w:sz w:val="18"/>
                <w:szCs w:val="18"/>
                <w:lang w:eastAsia="es-CO"/>
                <w14:ligatures w14:val="none"/>
              </w:rPr>
            </w:pPr>
            <w:r w:rsidRPr="0039091F">
              <w:rPr>
                <w:rFonts w:eastAsia="Times New Roman" w:cs="Times New Roman"/>
                <w:b/>
                <w:kern w:val="0"/>
                <w:sz w:val="18"/>
                <w:szCs w:val="18"/>
                <w:lang w:eastAsia="es-CO"/>
                <w14:ligatures w14:val="none"/>
              </w:rPr>
              <w:t> </w:t>
            </w:r>
          </w:p>
        </w:tc>
        <w:tc>
          <w:tcPr>
            <w:tcW w:w="414" w:type="pct"/>
            <w:noWrap/>
            <w:vAlign w:val="center"/>
            <w:hideMark/>
          </w:tcPr>
          <w:p w14:paraId="70C3BE38" w14:textId="77777777" w:rsidR="00BB0056" w:rsidRPr="0039091F" w:rsidRDefault="00BB0056" w:rsidP="000A5389">
            <w:pPr>
              <w:spacing w:line="240" w:lineRule="auto"/>
              <w:jc w:val="center"/>
              <w:rPr>
                <w:rFonts w:eastAsia="Times New Roman" w:cs="Times New Roman"/>
                <w:b/>
                <w:kern w:val="0"/>
                <w:sz w:val="18"/>
                <w:szCs w:val="18"/>
                <w:lang w:eastAsia="es-CO"/>
                <w14:ligatures w14:val="none"/>
              </w:rPr>
            </w:pPr>
            <w:r w:rsidRPr="0039091F">
              <w:rPr>
                <w:rFonts w:eastAsia="Times New Roman" w:cs="Times New Roman"/>
                <w:b/>
                <w:kern w:val="0"/>
                <w:sz w:val="18"/>
                <w:szCs w:val="18"/>
                <w:lang w:eastAsia="es-CO"/>
                <w14:ligatures w14:val="none"/>
              </w:rPr>
              <w:t> </w:t>
            </w:r>
          </w:p>
        </w:tc>
        <w:tc>
          <w:tcPr>
            <w:tcW w:w="695" w:type="pct"/>
            <w:noWrap/>
            <w:vAlign w:val="center"/>
            <w:hideMark/>
          </w:tcPr>
          <w:p w14:paraId="20655EDC" w14:textId="77777777" w:rsidR="00BB0056" w:rsidRPr="0039091F" w:rsidRDefault="00BB0056" w:rsidP="000A5389">
            <w:pPr>
              <w:spacing w:line="240" w:lineRule="auto"/>
              <w:rPr>
                <w:rFonts w:eastAsia="Times New Roman" w:cs="Times New Roman"/>
                <w:b/>
                <w:kern w:val="0"/>
                <w:sz w:val="18"/>
                <w:szCs w:val="18"/>
                <w:lang w:eastAsia="es-CO"/>
                <w14:ligatures w14:val="none"/>
              </w:rPr>
            </w:pPr>
            <w:r w:rsidRPr="0039091F">
              <w:rPr>
                <w:rFonts w:eastAsia="Times New Roman" w:cs="Times New Roman"/>
                <w:b/>
                <w:kern w:val="0"/>
                <w:sz w:val="18"/>
                <w:szCs w:val="18"/>
                <w:lang w:eastAsia="es-CO"/>
                <w14:ligatures w14:val="none"/>
              </w:rPr>
              <w:t> </w:t>
            </w:r>
          </w:p>
        </w:tc>
        <w:tc>
          <w:tcPr>
            <w:tcW w:w="405" w:type="pct"/>
            <w:noWrap/>
            <w:vAlign w:val="center"/>
            <w:hideMark/>
          </w:tcPr>
          <w:p w14:paraId="6BF4E2C7" w14:textId="77777777" w:rsidR="00BB0056" w:rsidRPr="0039091F" w:rsidRDefault="00BB0056" w:rsidP="000A5389">
            <w:pPr>
              <w:spacing w:line="240" w:lineRule="auto"/>
              <w:jc w:val="center"/>
              <w:rPr>
                <w:rFonts w:eastAsia="Times New Roman" w:cs="Times New Roman"/>
                <w:b/>
                <w:kern w:val="0"/>
                <w:sz w:val="18"/>
                <w:szCs w:val="18"/>
                <w:lang w:eastAsia="es-CO"/>
                <w14:ligatures w14:val="none"/>
              </w:rPr>
            </w:pPr>
            <w:r w:rsidRPr="0039091F">
              <w:rPr>
                <w:rFonts w:eastAsia="Times New Roman" w:cs="Times New Roman"/>
                <w:b/>
                <w:kern w:val="0"/>
                <w:sz w:val="18"/>
                <w:szCs w:val="18"/>
                <w:lang w:eastAsia="es-CO"/>
                <w14:ligatures w14:val="none"/>
              </w:rPr>
              <w:t xml:space="preserve">0,0 </w:t>
            </w:r>
          </w:p>
        </w:tc>
      </w:tr>
      <w:tr w:rsidR="0026612B" w:rsidRPr="0039091F" w14:paraId="2AE7169A" w14:textId="77777777" w:rsidTr="001B10F3">
        <w:trPr>
          <w:trHeight w:val="193"/>
        </w:trPr>
        <w:tc>
          <w:tcPr>
            <w:tcW w:w="1281" w:type="pct"/>
            <w:vAlign w:val="center"/>
            <w:hideMark/>
          </w:tcPr>
          <w:p w14:paraId="008F3ABF" w14:textId="77777777" w:rsidR="00BB0056" w:rsidRPr="0039091F" w:rsidRDefault="00BB0056" w:rsidP="000A5389">
            <w:pPr>
              <w:spacing w:line="240" w:lineRule="auto"/>
              <w:rPr>
                <w:rFonts w:eastAsia="Times New Roman" w:cs="Times New Roman"/>
                <w:kern w:val="0"/>
                <w:sz w:val="18"/>
                <w:szCs w:val="18"/>
                <w:lang w:eastAsia="es-CO"/>
                <w14:ligatures w14:val="none"/>
              </w:rPr>
            </w:pPr>
            <w:r w:rsidRPr="0039091F">
              <w:rPr>
                <w:rFonts w:eastAsia="Times New Roman" w:cs="Times New Roman"/>
                <w:kern w:val="0"/>
                <w:sz w:val="18"/>
                <w:szCs w:val="18"/>
                <w:lang w:eastAsia="es-CO"/>
                <w14:ligatures w14:val="none"/>
              </w:rPr>
              <w:t>Nacionales</w:t>
            </w:r>
          </w:p>
        </w:tc>
        <w:tc>
          <w:tcPr>
            <w:tcW w:w="402" w:type="pct"/>
            <w:noWrap/>
            <w:vAlign w:val="center"/>
            <w:hideMark/>
          </w:tcPr>
          <w:p w14:paraId="11CD7161" w14:textId="77777777" w:rsidR="00BB0056" w:rsidRPr="0039091F" w:rsidRDefault="00BB0056" w:rsidP="000A5389">
            <w:pPr>
              <w:spacing w:line="240" w:lineRule="auto"/>
              <w:jc w:val="center"/>
              <w:rPr>
                <w:rFonts w:eastAsia="Times New Roman" w:cs="Times New Roman"/>
                <w:kern w:val="0"/>
                <w:sz w:val="18"/>
                <w:szCs w:val="18"/>
                <w:lang w:eastAsia="es-CO"/>
                <w14:ligatures w14:val="none"/>
              </w:rPr>
            </w:pPr>
            <w:r w:rsidRPr="0039091F">
              <w:rPr>
                <w:rFonts w:eastAsia="Times New Roman" w:cs="Times New Roman"/>
                <w:kern w:val="0"/>
                <w:sz w:val="18"/>
                <w:szCs w:val="18"/>
                <w:lang w:eastAsia="es-CO"/>
                <w14:ligatures w14:val="none"/>
              </w:rPr>
              <w:t>PJ</w:t>
            </w:r>
          </w:p>
        </w:tc>
        <w:tc>
          <w:tcPr>
            <w:tcW w:w="643" w:type="pct"/>
            <w:noWrap/>
            <w:vAlign w:val="center"/>
            <w:hideMark/>
          </w:tcPr>
          <w:p w14:paraId="11834E5D" w14:textId="77777777" w:rsidR="00BB0056" w:rsidRPr="0039091F" w:rsidRDefault="00BB0056" w:rsidP="000A5389">
            <w:pPr>
              <w:spacing w:line="240" w:lineRule="auto"/>
              <w:jc w:val="center"/>
              <w:rPr>
                <w:rFonts w:eastAsia="Times New Roman" w:cs="Times New Roman"/>
                <w:kern w:val="0"/>
                <w:sz w:val="18"/>
                <w:szCs w:val="18"/>
                <w:lang w:eastAsia="es-CO"/>
                <w14:ligatures w14:val="none"/>
              </w:rPr>
            </w:pPr>
            <w:r w:rsidRPr="0039091F">
              <w:rPr>
                <w:rFonts w:eastAsia="Times New Roman" w:cs="Times New Roman"/>
                <w:kern w:val="0"/>
                <w:sz w:val="18"/>
                <w:szCs w:val="18"/>
                <w:lang w:eastAsia="es-CO"/>
                <w14:ligatures w14:val="none"/>
              </w:rPr>
              <w:t>1</w:t>
            </w:r>
          </w:p>
        </w:tc>
        <w:tc>
          <w:tcPr>
            <w:tcW w:w="723" w:type="pct"/>
            <w:noWrap/>
            <w:vAlign w:val="center"/>
            <w:hideMark/>
          </w:tcPr>
          <w:p w14:paraId="756206A2" w14:textId="77777777" w:rsidR="00BB0056" w:rsidRPr="0039091F" w:rsidRDefault="00BB0056" w:rsidP="000A5389">
            <w:pPr>
              <w:spacing w:line="240" w:lineRule="auto"/>
              <w:jc w:val="right"/>
              <w:rPr>
                <w:rFonts w:eastAsia="Times New Roman" w:cs="Times New Roman"/>
                <w:kern w:val="0"/>
                <w:sz w:val="18"/>
                <w:szCs w:val="18"/>
                <w:lang w:eastAsia="es-CO"/>
                <w14:ligatures w14:val="none"/>
              </w:rPr>
            </w:pPr>
            <w:r w:rsidRPr="0039091F">
              <w:rPr>
                <w:rFonts w:eastAsia="Times New Roman" w:cs="Times New Roman"/>
                <w:kern w:val="0"/>
                <w:sz w:val="18"/>
                <w:szCs w:val="18"/>
                <w:lang w:eastAsia="es-CO"/>
                <w14:ligatures w14:val="none"/>
              </w:rPr>
              <w:t xml:space="preserve">1.000.000 </w:t>
            </w:r>
          </w:p>
        </w:tc>
        <w:tc>
          <w:tcPr>
            <w:tcW w:w="437" w:type="pct"/>
            <w:noWrap/>
            <w:vAlign w:val="center"/>
            <w:hideMark/>
          </w:tcPr>
          <w:p w14:paraId="4CA569ED" w14:textId="77777777" w:rsidR="00BB0056" w:rsidRPr="0039091F" w:rsidRDefault="00BB0056" w:rsidP="000A5389">
            <w:pPr>
              <w:spacing w:line="240" w:lineRule="auto"/>
              <w:jc w:val="center"/>
              <w:rPr>
                <w:rFonts w:eastAsia="Times New Roman" w:cs="Times New Roman"/>
                <w:kern w:val="0"/>
                <w:sz w:val="18"/>
                <w:szCs w:val="18"/>
                <w:lang w:eastAsia="es-CO"/>
                <w14:ligatures w14:val="none"/>
              </w:rPr>
            </w:pPr>
            <w:r w:rsidRPr="0039091F">
              <w:rPr>
                <w:rFonts w:eastAsia="Times New Roman" w:cs="Times New Roman"/>
                <w:kern w:val="0"/>
                <w:sz w:val="18"/>
                <w:szCs w:val="18"/>
                <w:lang w:eastAsia="es-CO"/>
                <w14:ligatures w14:val="none"/>
              </w:rPr>
              <w:t>0</w:t>
            </w:r>
          </w:p>
        </w:tc>
        <w:tc>
          <w:tcPr>
            <w:tcW w:w="414" w:type="pct"/>
            <w:noWrap/>
            <w:vAlign w:val="center"/>
            <w:hideMark/>
          </w:tcPr>
          <w:p w14:paraId="00DD8F14" w14:textId="77777777" w:rsidR="00BB0056" w:rsidRPr="0039091F" w:rsidRDefault="00BB0056" w:rsidP="000A5389">
            <w:pPr>
              <w:spacing w:line="240" w:lineRule="auto"/>
              <w:jc w:val="center"/>
              <w:rPr>
                <w:rFonts w:eastAsia="Times New Roman" w:cs="Times New Roman"/>
                <w:kern w:val="0"/>
                <w:sz w:val="18"/>
                <w:szCs w:val="18"/>
                <w:lang w:eastAsia="es-CO"/>
                <w14:ligatures w14:val="none"/>
              </w:rPr>
            </w:pPr>
            <w:r w:rsidRPr="0039091F">
              <w:rPr>
                <w:rFonts w:eastAsia="Times New Roman" w:cs="Times New Roman"/>
                <w:kern w:val="0"/>
                <w:sz w:val="18"/>
                <w:szCs w:val="18"/>
                <w:lang w:eastAsia="es-CO"/>
                <w14:ligatures w14:val="none"/>
              </w:rPr>
              <w:t>1</w:t>
            </w:r>
          </w:p>
        </w:tc>
        <w:tc>
          <w:tcPr>
            <w:tcW w:w="695" w:type="pct"/>
            <w:noWrap/>
            <w:vAlign w:val="center"/>
            <w:hideMark/>
          </w:tcPr>
          <w:p w14:paraId="4EC6ADE8" w14:textId="77777777" w:rsidR="00BB0056" w:rsidRPr="0039091F" w:rsidRDefault="00BB0056" w:rsidP="000A5389">
            <w:pPr>
              <w:spacing w:line="240" w:lineRule="auto"/>
              <w:jc w:val="center"/>
              <w:rPr>
                <w:rFonts w:eastAsia="Times New Roman" w:cs="Times New Roman"/>
                <w:kern w:val="0"/>
                <w:sz w:val="18"/>
                <w:szCs w:val="18"/>
                <w:lang w:eastAsia="es-CO"/>
                <w14:ligatures w14:val="none"/>
              </w:rPr>
            </w:pPr>
            <w:r w:rsidRPr="0039091F">
              <w:rPr>
                <w:rFonts w:eastAsia="Times New Roman" w:cs="Times New Roman"/>
                <w:kern w:val="0"/>
                <w:sz w:val="18"/>
                <w:szCs w:val="18"/>
                <w:lang w:eastAsia="es-CO"/>
                <w14:ligatures w14:val="none"/>
              </w:rPr>
              <w:t>No aplica</w:t>
            </w:r>
          </w:p>
        </w:tc>
        <w:tc>
          <w:tcPr>
            <w:tcW w:w="405" w:type="pct"/>
            <w:noWrap/>
            <w:vAlign w:val="center"/>
            <w:hideMark/>
          </w:tcPr>
          <w:p w14:paraId="370A8D9A" w14:textId="77777777" w:rsidR="00BB0056" w:rsidRPr="0039091F" w:rsidRDefault="00BB0056" w:rsidP="000A5389">
            <w:pPr>
              <w:spacing w:line="240" w:lineRule="auto"/>
              <w:jc w:val="center"/>
              <w:rPr>
                <w:rFonts w:eastAsia="Times New Roman" w:cs="Times New Roman"/>
                <w:kern w:val="0"/>
                <w:sz w:val="18"/>
                <w:szCs w:val="18"/>
                <w:lang w:eastAsia="es-CO"/>
                <w14:ligatures w14:val="none"/>
              </w:rPr>
            </w:pPr>
            <w:r w:rsidRPr="0039091F">
              <w:rPr>
                <w:rFonts w:eastAsia="Times New Roman" w:cs="Times New Roman"/>
                <w:kern w:val="0"/>
                <w:sz w:val="18"/>
                <w:szCs w:val="18"/>
                <w:lang w:eastAsia="es-CO"/>
                <w14:ligatures w14:val="none"/>
              </w:rPr>
              <w:t> </w:t>
            </w:r>
          </w:p>
        </w:tc>
      </w:tr>
    </w:tbl>
    <w:p w14:paraId="2D1D0649" w14:textId="77777777" w:rsidR="0022505D" w:rsidRPr="00951AB1" w:rsidRDefault="0022505D" w:rsidP="000A5389">
      <w:pPr>
        <w:spacing w:line="240" w:lineRule="auto"/>
        <w:rPr>
          <w:rFonts w:cs="Times New Roman"/>
        </w:rPr>
      </w:pPr>
      <w:r w:rsidRPr="00951AB1">
        <w:rPr>
          <w:rFonts w:eastAsia="Times New Roman" w:cs="Times New Roman"/>
          <w:sz w:val="14"/>
          <w:szCs w:val="14"/>
        </w:rPr>
        <w:t>Cifras expresadas en pesos</w:t>
      </w:r>
    </w:p>
    <w:p w14:paraId="03261DC9" w14:textId="77777777" w:rsidR="003443AB" w:rsidRPr="00951AB1" w:rsidRDefault="003443AB" w:rsidP="000A5389">
      <w:pPr>
        <w:spacing w:line="240" w:lineRule="auto"/>
        <w:rPr>
          <w:rFonts w:cs="Times New Roman"/>
        </w:rPr>
      </w:pPr>
    </w:p>
    <w:p w14:paraId="359BACE0" w14:textId="77777777" w:rsidR="003443AB" w:rsidRDefault="003443AB" w:rsidP="000A5389">
      <w:pPr>
        <w:spacing w:line="240" w:lineRule="auto"/>
        <w:ind w:firstLine="1"/>
        <w:rPr>
          <w:rFonts w:cs="Times New Roman"/>
          <w:szCs w:val="24"/>
        </w:rPr>
      </w:pPr>
      <w:r w:rsidRPr="00951AB1">
        <w:rPr>
          <w:rFonts w:cs="Times New Roman"/>
          <w:szCs w:val="24"/>
        </w:rPr>
        <w:t>El valor de $8.000.000</w:t>
      </w:r>
      <w:r w:rsidRPr="00951AB1">
        <w:rPr>
          <w:rFonts w:eastAsia="Times New Roman" w:cs="Times New Roman"/>
          <w:szCs w:val="24"/>
          <w:lang w:val="es-ES"/>
        </w:rPr>
        <w:t xml:space="preserve"> en la cuenta descuentos de nómina, corresponde al registro de las obligaciones adquiridas referente a cuentas de ahorro para el fomento de la construcción (AFC) que solicitan los contratistas de la entidad, los cuales son consignados en el mes de enero del año siguiente, a la cuenta que corresponda.  </w:t>
      </w:r>
      <w:r w:rsidRPr="00951AB1">
        <w:rPr>
          <w:rFonts w:cs="Times New Roman"/>
          <w:szCs w:val="24"/>
        </w:rPr>
        <w:t>Los valores registrados, no tienen restricciones y tampoco se tiene contractualmente pactado tasa de interés.</w:t>
      </w:r>
    </w:p>
    <w:p w14:paraId="27246746" w14:textId="77777777" w:rsidR="0039091F" w:rsidRPr="00951AB1" w:rsidRDefault="0039091F" w:rsidP="000A5389">
      <w:pPr>
        <w:spacing w:line="240" w:lineRule="auto"/>
        <w:ind w:firstLine="1"/>
        <w:rPr>
          <w:rFonts w:cs="Times New Roman"/>
          <w:szCs w:val="24"/>
        </w:rPr>
      </w:pPr>
    </w:p>
    <w:p w14:paraId="3043D77B" w14:textId="77777777" w:rsidR="003443AB" w:rsidRPr="00951AB1" w:rsidRDefault="003443AB" w:rsidP="000A5389">
      <w:pPr>
        <w:spacing w:line="240" w:lineRule="auto"/>
        <w:rPr>
          <w:rFonts w:cs="Times New Roman"/>
        </w:rPr>
      </w:pPr>
    </w:p>
    <w:p w14:paraId="42184EF6" w14:textId="10F45B20" w:rsidR="00AD1768" w:rsidRPr="00951AB1" w:rsidRDefault="00AD1768" w:rsidP="000A5389">
      <w:pPr>
        <w:pStyle w:val="Ttulo1"/>
        <w:spacing w:line="240" w:lineRule="auto"/>
        <w:rPr>
          <w:rFonts w:cs="Times New Roman"/>
        </w:rPr>
      </w:pPr>
      <w:bookmarkStart w:id="574" w:name="_Toc191369538"/>
      <w:bookmarkStart w:id="575" w:name="_Toc191456868"/>
      <w:bookmarkStart w:id="576" w:name="_Toc191456978"/>
      <w:bookmarkStart w:id="577" w:name="_Toc191457088"/>
      <w:bookmarkStart w:id="578" w:name="_Toc191475715"/>
      <w:bookmarkStart w:id="579" w:name="_Toc191475824"/>
      <w:bookmarkStart w:id="580" w:name="_Toc191475933"/>
      <w:bookmarkStart w:id="581" w:name="_Toc191475456"/>
      <w:bookmarkStart w:id="582" w:name="_Toc191505832"/>
      <w:bookmarkStart w:id="583" w:name="_Toc222824144"/>
      <w:bookmarkStart w:id="584" w:name="_Toc222955512"/>
      <w:r w:rsidRPr="00951AB1">
        <w:rPr>
          <w:rFonts w:cs="Times New Roman"/>
        </w:rPr>
        <w:t>NOTA 2</w:t>
      </w:r>
      <w:r w:rsidR="003F09AF" w:rsidRPr="00951AB1">
        <w:rPr>
          <w:rFonts w:cs="Times New Roman"/>
        </w:rPr>
        <w:t>3</w:t>
      </w:r>
      <w:r w:rsidRPr="00951AB1">
        <w:rPr>
          <w:rFonts w:cs="Times New Roman"/>
        </w:rPr>
        <w:t>. BENEFICIOS A LOS EMPLEADOS</w:t>
      </w:r>
      <w:bookmarkEnd w:id="574"/>
      <w:bookmarkEnd w:id="575"/>
      <w:bookmarkEnd w:id="576"/>
      <w:bookmarkEnd w:id="577"/>
      <w:bookmarkEnd w:id="578"/>
      <w:bookmarkEnd w:id="579"/>
      <w:bookmarkEnd w:id="580"/>
      <w:bookmarkEnd w:id="581"/>
      <w:bookmarkEnd w:id="582"/>
      <w:bookmarkEnd w:id="583"/>
      <w:bookmarkEnd w:id="584"/>
      <w:r w:rsidR="003F09AF" w:rsidRPr="00951AB1">
        <w:rPr>
          <w:rFonts w:cs="Times New Roman"/>
        </w:rPr>
        <w:t xml:space="preserve"> </w:t>
      </w:r>
    </w:p>
    <w:p w14:paraId="399A10A7" w14:textId="77777777" w:rsidR="00AD1768" w:rsidRPr="00951AB1" w:rsidRDefault="00AD1768" w:rsidP="000A5389">
      <w:pPr>
        <w:spacing w:line="240" w:lineRule="auto"/>
        <w:rPr>
          <w:rFonts w:cs="Times New Roman"/>
          <w:b/>
          <w:szCs w:val="24"/>
        </w:rPr>
      </w:pPr>
    </w:p>
    <w:p w14:paraId="667DB5FA" w14:textId="77777777" w:rsidR="00AD1768" w:rsidRPr="00951AB1" w:rsidRDefault="00AD1768" w:rsidP="000A5389">
      <w:pPr>
        <w:pStyle w:val="Ttulo2"/>
        <w:numPr>
          <w:ilvl w:val="0"/>
          <w:numId w:val="0"/>
        </w:numPr>
        <w:spacing w:line="240" w:lineRule="auto"/>
        <w:rPr>
          <w:rFonts w:cs="Times New Roman"/>
          <w:szCs w:val="22"/>
        </w:rPr>
      </w:pPr>
      <w:bookmarkStart w:id="585" w:name="_Toc191369539"/>
      <w:bookmarkStart w:id="586" w:name="_Toc191456869"/>
      <w:bookmarkStart w:id="587" w:name="_Toc191456979"/>
      <w:bookmarkStart w:id="588" w:name="_Toc191457089"/>
      <w:bookmarkStart w:id="589" w:name="_Toc191475716"/>
      <w:bookmarkStart w:id="590" w:name="_Toc191475825"/>
      <w:bookmarkStart w:id="591" w:name="_Toc191475934"/>
      <w:bookmarkStart w:id="592" w:name="_Toc191475457"/>
      <w:bookmarkStart w:id="593" w:name="_Toc191505833"/>
      <w:bookmarkStart w:id="594" w:name="_Toc222824145"/>
      <w:bookmarkStart w:id="595" w:name="_Toc222955513"/>
      <w:r w:rsidRPr="00951AB1">
        <w:rPr>
          <w:rFonts w:cs="Times New Roman"/>
          <w:szCs w:val="22"/>
        </w:rPr>
        <w:t>Composición</w:t>
      </w:r>
      <w:bookmarkEnd w:id="585"/>
      <w:bookmarkEnd w:id="586"/>
      <w:bookmarkEnd w:id="587"/>
      <w:bookmarkEnd w:id="588"/>
      <w:bookmarkEnd w:id="589"/>
      <w:bookmarkEnd w:id="590"/>
      <w:bookmarkEnd w:id="591"/>
      <w:bookmarkEnd w:id="592"/>
      <w:bookmarkEnd w:id="593"/>
      <w:bookmarkEnd w:id="594"/>
      <w:bookmarkEnd w:id="595"/>
    </w:p>
    <w:p w14:paraId="7FBB1374" w14:textId="77777777" w:rsidR="00AD1768" w:rsidRPr="00951AB1" w:rsidRDefault="00AD1768" w:rsidP="000A5389">
      <w:pPr>
        <w:spacing w:line="240" w:lineRule="auto"/>
        <w:rPr>
          <w:rFonts w:cs="Times New Roman"/>
          <w:szCs w:val="24"/>
          <w:u w:val="single"/>
        </w:rPr>
      </w:pPr>
    </w:p>
    <w:p w14:paraId="46E64EF6" w14:textId="77777777" w:rsidR="00AD1768" w:rsidRPr="00951AB1" w:rsidRDefault="00AD1768" w:rsidP="000A5389">
      <w:pPr>
        <w:spacing w:line="240" w:lineRule="auto"/>
        <w:rPr>
          <w:rFonts w:cs="Times New Roman"/>
          <w:szCs w:val="24"/>
        </w:rPr>
      </w:pPr>
      <w:r w:rsidRPr="00951AB1">
        <w:rPr>
          <w:rFonts w:cs="Times New Roman"/>
          <w:szCs w:val="20"/>
        </w:rPr>
        <w:t xml:space="preserve">Son las retribuciones que la entidad proporciona a sus trabajadores a cambio de sus servicios, incluyendo, cuando haya lugar, beneficios por terminación del vínculo laboral o contractual. Incluyen los beneficios suministrados directamente a los empleados, como los que se </w:t>
      </w:r>
      <w:r w:rsidRPr="00951AB1">
        <w:rPr>
          <w:rFonts w:cs="Times New Roman"/>
          <w:szCs w:val="20"/>
        </w:rPr>
        <w:lastRenderedPageBreak/>
        <w:t>proporcionan a sus sobrevivientes, beneficiarios y/o sustitutos, según lo establecido en la normatividad vigente, en los acuerdos contractuales o en las obligaciones implícitas que dan origen al beneficio.</w:t>
      </w:r>
    </w:p>
    <w:p w14:paraId="0C701D18" w14:textId="77777777" w:rsidR="00AD1768" w:rsidRPr="00951AB1" w:rsidRDefault="00AD1768" w:rsidP="000A5389">
      <w:pPr>
        <w:spacing w:line="240" w:lineRule="auto"/>
        <w:rPr>
          <w:rFonts w:cs="Times New Roman"/>
          <w:szCs w:val="20"/>
        </w:rPr>
      </w:pPr>
    </w:p>
    <w:p w14:paraId="2CCF1840" w14:textId="50E607CE" w:rsidR="00AD1768" w:rsidRDefault="00AD1768" w:rsidP="000A5389">
      <w:pPr>
        <w:spacing w:line="240" w:lineRule="auto"/>
        <w:rPr>
          <w:rFonts w:cs="Times New Roman"/>
          <w:szCs w:val="20"/>
        </w:rPr>
      </w:pPr>
      <w:r w:rsidRPr="00951AB1">
        <w:rPr>
          <w:rFonts w:cs="Times New Roman"/>
          <w:szCs w:val="20"/>
        </w:rPr>
        <w:t>De la clasificación de beneficios a empleados definida en el Marco Normativo, la entidad cuenta únicamente con los de corto plazo que incluyen a los empleados de nómina de planta.</w:t>
      </w:r>
    </w:p>
    <w:p w14:paraId="496054B0" w14:textId="77777777" w:rsidR="00FA3856" w:rsidRPr="00951AB1" w:rsidRDefault="00FA3856" w:rsidP="000A5389">
      <w:pPr>
        <w:spacing w:line="240" w:lineRule="auto"/>
        <w:rPr>
          <w:rFonts w:cs="Times New Roman"/>
          <w:szCs w:val="24"/>
        </w:rPr>
      </w:pPr>
    </w:p>
    <w:p w14:paraId="5CBE39CB" w14:textId="5D908D48" w:rsidR="00CC41F5" w:rsidRPr="00951AB1" w:rsidRDefault="00CC41F5" w:rsidP="000A5389">
      <w:pPr>
        <w:spacing w:line="240" w:lineRule="auto"/>
        <w:rPr>
          <w:rFonts w:cs="Times New Roman"/>
        </w:rPr>
      </w:pPr>
    </w:p>
    <w:tbl>
      <w:tblPr>
        <w:tblW w:w="8818"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699"/>
        <w:gridCol w:w="670"/>
        <w:gridCol w:w="3585"/>
        <w:gridCol w:w="1416"/>
        <w:gridCol w:w="1268"/>
        <w:gridCol w:w="1180"/>
      </w:tblGrid>
      <w:tr w:rsidR="00CB09BB" w:rsidRPr="00951AB1" w14:paraId="0080F6D5" w14:textId="77777777" w:rsidTr="001B10F3">
        <w:trPr>
          <w:trHeight w:val="340"/>
        </w:trPr>
        <w:tc>
          <w:tcPr>
            <w:tcW w:w="4954" w:type="dxa"/>
            <w:gridSpan w:val="3"/>
            <w:tcMar>
              <w:left w:w="70" w:type="dxa"/>
              <w:right w:w="70" w:type="dxa"/>
            </w:tcMar>
            <w:vAlign w:val="center"/>
          </w:tcPr>
          <w:p w14:paraId="121D97EB" w14:textId="63BCD92A" w:rsidR="0EA865B6" w:rsidRPr="00951AB1" w:rsidRDefault="0EA865B6" w:rsidP="000A5389">
            <w:pPr>
              <w:spacing w:line="240" w:lineRule="auto"/>
              <w:jc w:val="center"/>
              <w:rPr>
                <w:rFonts w:cs="Times New Roman"/>
                <w:sz w:val="18"/>
                <w:szCs w:val="18"/>
              </w:rPr>
            </w:pPr>
            <w:r w:rsidRPr="00951AB1">
              <w:rPr>
                <w:rFonts w:eastAsia="Times New Roman" w:cs="Times New Roman"/>
                <w:b/>
                <w:bCs/>
                <w:sz w:val="18"/>
                <w:szCs w:val="18"/>
              </w:rPr>
              <w:t>CONCEPTO</w:t>
            </w:r>
          </w:p>
        </w:tc>
        <w:tc>
          <w:tcPr>
            <w:tcW w:w="1416" w:type="dxa"/>
            <w:tcMar>
              <w:left w:w="70" w:type="dxa"/>
              <w:right w:w="70" w:type="dxa"/>
            </w:tcMar>
            <w:vAlign w:val="center"/>
          </w:tcPr>
          <w:p w14:paraId="4E428745" w14:textId="1B2911D0" w:rsidR="0EA865B6" w:rsidRPr="00951AB1" w:rsidRDefault="0EA865B6" w:rsidP="000A5389">
            <w:pPr>
              <w:spacing w:line="240" w:lineRule="auto"/>
              <w:jc w:val="center"/>
              <w:rPr>
                <w:rFonts w:cs="Times New Roman"/>
                <w:sz w:val="18"/>
                <w:szCs w:val="18"/>
              </w:rPr>
            </w:pPr>
            <w:r w:rsidRPr="00951AB1">
              <w:rPr>
                <w:rFonts w:eastAsia="Times New Roman" w:cs="Times New Roman"/>
                <w:b/>
                <w:bCs/>
                <w:sz w:val="18"/>
                <w:szCs w:val="18"/>
              </w:rPr>
              <w:t xml:space="preserve">2025 </w:t>
            </w:r>
          </w:p>
        </w:tc>
        <w:tc>
          <w:tcPr>
            <w:tcW w:w="1268" w:type="dxa"/>
            <w:tcMar>
              <w:left w:w="70" w:type="dxa"/>
              <w:right w:w="70" w:type="dxa"/>
            </w:tcMar>
            <w:vAlign w:val="center"/>
          </w:tcPr>
          <w:p w14:paraId="48220845" w14:textId="63839F4D" w:rsidR="0EA865B6" w:rsidRPr="00951AB1" w:rsidRDefault="0EA865B6" w:rsidP="000A5389">
            <w:pPr>
              <w:spacing w:line="240" w:lineRule="auto"/>
              <w:jc w:val="center"/>
              <w:rPr>
                <w:rFonts w:cs="Times New Roman"/>
                <w:sz w:val="18"/>
                <w:szCs w:val="18"/>
              </w:rPr>
            </w:pPr>
            <w:r w:rsidRPr="00951AB1">
              <w:rPr>
                <w:rFonts w:eastAsia="Times New Roman" w:cs="Times New Roman"/>
                <w:b/>
                <w:bCs/>
                <w:sz w:val="18"/>
                <w:szCs w:val="18"/>
              </w:rPr>
              <w:t xml:space="preserve">2024 </w:t>
            </w:r>
          </w:p>
        </w:tc>
        <w:tc>
          <w:tcPr>
            <w:tcW w:w="1180" w:type="dxa"/>
            <w:tcMar>
              <w:left w:w="70" w:type="dxa"/>
              <w:right w:w="70" w:type="dxa"/>
            </w:tcMar>
            <w:vAlign w:val="center"/>
          </w:tcPr>
          <w:p w14:paraId="70BA2366" w14:textId="02ADE05E" w:rsidR="0EA865B6" w:rsidRPr="00951AB1" w:rsidRDefault="0EA865B6" w:rsidP="000A5389">
            <w:pPr>
              <w:spacing w:line="240" w:lineRule="auto"/>
              <w:jc w:val="center"/>
              <w:rPr>
                <w:rFonts w:cs="Times New Roman"/>
                <w:sz w:val="18"/>
                <w:szCs w:val="18"/>
              </w:rPr>
            </w:pPr>
            <w:r w:rsidRPr="00951AB1">
              <w:rPr>
                <w:rFonts w:eastAsia="Times New Roman" w:cs="Times New Roman"/>
                <w:b/>
                <w:bCs/>
                <w:sz w:val="18"/>
                <w:szCs w:val="18"/>
              </w:rPr>
              <w:t>VARIACIÓN</w:t>
            </w:r>
          </w:p>
        </w:tc>
      </w:tr>
      <w:tr w:rsidR="00E65B95" w:rsidRPr="00951AB1" w14:paraId="388ED04A" w14:textId="77777777" w:rsidTr="001B10F3">
        <w:trPr>
          <w:trHeight w:val="340"/>
        </w:trPr>
        <w:tc>
          <w:tcPr>
            <w:tcW w:w="699" w:type="dxa"/>
            <w:tcMar>
              <w:left w:w="70" w:type="dxa"/>
              <w:right w:w="70" w:type="dxa"/>
            </w:tcMar>
            <w:vAlign w:val="center"/>
          </w:tcPr>
          <w:p w14:paraId="4005AB18" w14:textId="3B3E2895" w:rsidR="0EA865B6" w:rsidRPr="00951AB1" w:rsidRDefault="0EA865B6" w:rsidP="000A5389">
            <w:pPr>
              <w:spacing w:line="240" w:lineRule="auto"/>
              <w:rPr>
                <w:rFonts w:cs="Times New Roman"/>
                <w:sz w:val="18"/>
                <w:szCs w:val="18"/>
              </w:rPr>
            </w:pPr>
            <w:r w:rsidRPr="00951AB1">
              <w:rPr>
                <w:rFonts w:eastAsia="Times New Roman" w:cs="Times New Roman"/>
                <w:b/>
                <w:bCs/>
                <w:sz w:val="18"/>
                <w:szCs w:val="18"/>
              </w:rPr>
              <w:t>2.5</w:t>
            </w:r>
          </w:p>
        </w:tc>
        <w:tc>
          <w:tcPr>
            <w:tcW w:w="670" w:type="dxa"/>
            <w:tcMar>
              <w:left w:w="70" w:type="dxa"/>
              <w:right w:w="70" w:type="dxa"/>
            </w:tcMar>
            <w:vAlign w:val="center"/>
          </w:tcPr>
          <w:p w14:paraId="63D06DB5" w14:textId="6A5D51E3" w:rsidR="0EA865B6" w:rsidRPr="00951AB1" w:rsidRDefault="0EA865B6" w:rsidP="000A5389">
            <w:pPr>
              <w:spacing w:line="240" w:lineRule="auto"/>
              <w:jc w:val="center"/>
              <w:rPr>
                <w:rFonts w:cs="Times New Roman"/>
                <w:sz w:val="18"/>
                <w:szCs w:val="18"/>
              </w:rPr>
            </w:pPr>
            <w:r w:rsidRPr="00951AB1">
              <w:rPr>
                <w:rFonts w:eastAsia="Times New Roman" w:cs="Times New Roman"/>
                <w:b/>
                <w:bCs/>
                <w:sz w:val="18"/>
                <w:szCs w:val="18"/>
              </w:rPr>
              <w:t>Cr</w:t>
            </w:r>
          </w:p>
        </w:tc>
        <w:tc>
          <w:tcPr>
            <w:tcW w:w="3585" w:type="dxa"/>
            <w:tcMar>
              <w:left w:w="70" w:type="dxa"/>
              <w:right w:w="70" w:type="dxa"/>
            </w:tcMar>
            <w:vAlign w:val="center"/>
          </w:tcPr>
          <w:p w14:paraId="1B16D1F0" w14:textId="68545C34" w:rsidR="0EA865B6" w:rsidRPr="00951AB1" w:rsidRDefault="0EA865B6" w:rsidP="000A5389">
            <w:pPr>
              <w:spacing w:line="240" w:lineRule="auto"/>
              <w:jc w:val="center"/>
              <w:rPr>
                <w:rFonts w:cs="Times New Roman"/>
                <w:sz w:val="18"/>
                <w:szCs w:val="18"/>
              </w:rPr>
            </w:pPr>
            <w:r w:rsidRPr="00951AB1">
              <w:rPr>
                <w:rFonts w:eastAsia="Times New Roman" w:cs="Times New Roman"/>
                <w:b/>
                <w:bCs/>
                <w:sz w:val="18"/>
                <w:szCs w:val="18"/>
              </w:rPr>
              <w:t>BENEFICIOS A LOS EMPLEADOS</w:t>
            </w:r>
          </w:p>
        </w:tc>
        <w:tc>
          <w:tcPr>
            <w:tcW w:w="1416" w:type="dxa"/>
            <w:tcMar>
              <w:left w:w="70" w:type="dxa"/>
              <w:right w:w="70" w:type="dxa"/>
            </w:tcMar>
            <w:vAlign w:val="center"/>
          </w:tcPr>
          <w:p w14:paraId="0E9C3EFE" w14:textId="14A82B16" w:rsidR="0EA865B6" w:rsidRPr="00951AB1" w:rsidRDefault="0EA865B6" w:rsidP="000A5389">
            <w:pPr>
              <w:spacing w:line="240" w:lineRule="auto"/>
              <w:jc w:val="right"/>
              <w:rPr>
                <w:rFonts w:cs="Times New Roman"/>
                <w:sz w:val="18"/>
                <w:szCs w:val="18"/>
              </w:rPr>
            </w:pPr>
            <w:r w:rsidRPr="00951AB1">
              <w:rPr>
                <w:rFonts w:eastAsia="Times New Roman" w:cs="Times New Roman"/>
                <w:b/>
                <w:bCs/>
                <w:sz w:val="18"/>
                <w:szCs w:val="18"/>
              </w:rPr>
              <w:t>6.612.573.756</w:t>
            </w:r>
          </w:p>
        </w:tc>
        <w:tc>
          <w:tcPr>
            <w:tcW w:w="1268" w:type="dxa"/>
            <w:tcMar>
              <w:left w:w="70" w:type="dxa"/>
              <w:right w:w="70" w:type="dxa"/>
            </w:tcMar>
            <w:vAlign w:val="center"/>
          </w:tcPr>
          <w:p w14:paraId="4C64784C" w14:textId="43B81AA1" w:rsidR="0EA865B6" w:rsidRPr="00951AB1" w:rsidRDefault="0EA865B6" w:rsidP="000A5389">
            <w:pPr>
              <w:spacing w:line="240" w:lineRule="auto"/>
              <w:jc w:val="right"/>
              <w:rPr>
                <w:rFonts w:cs="Times New Roman"/>
                <w:sz w:val="18"/>
                <w:szCs w:val="18"/>
              </w:rPr>
            </w:pPr>
            <w:r w:rsidRPr="00951AB1">
              <w:rPr>
                <w:rFonts w:eastAsia="Times New Roman" w:cs="Times New Roman"/>
                <w:b/>
                <w:bCs/>
                <w:sz w:val="18"/>
                <w:szCs w:val="18"/>
              </w:rPr>
              <w:t>6.319.510.032</w:t>
            </w:r>
          </w:p>
        </w:tc>
        <w:tc>
          <w:tcPr>
            <w:tcW w:w="1180" w:type="dxa"/>
            <w:tcMar>
              <w:left w:w="70" w:type="dxa"/>
              <w:right w:w="70" w:type="dxa"/>
            </w:tcMar>
            <w:vAlign w:val="center"/>
          </w:tcPr>
          <w:p w14:paraId="7B29EE50" w14:textId="7244784A" w:rsidR="0EA865B6" w:rsidRPr="00951AB1" w:rsidRDefault="0EA865B6" w:rsidP="000A5389">
            <w:pPr>
              <w:spacing w:line="240" w:lineRule="auto"/>
              <w:jc w:val="right"/>
              <w:rPr>
                <w:rFonts w:cs="Times New Roman"/>
                <w:sz w:val="18"/>
                <w:szCs w:val="18"/>
              </w:rPr>
            </w:pPr>
            <w:r w:rsidRPr="00951AB1">
              <w:rPr>
                <w:rFonts w:eastAsia="Times New Roman" w:cs="Times New Roman"/>
                <w:b/>
                <w:bCs/>
                <w:sz w:val="18"/>
                <w:szCs w:val="18"/>
              </w:rPr>
              <w:t>293.063.724</w:t>
            </w:r>
          </w:p>
        </w:tc>
      </w:tr>
      <w:tr w:rsidR="00E65B95" w:rsidRPr="00951AB1" w14:paraId="38D3A802" w14:textId="77777777" w:rsidTr="001B10F3">
        <w:trPr>
          <w:trHeight w:val="340"/>
        </w:trPr>
        <w:tc>
          <w:tcPr>
            <w:tcW w:w="699" w:type="dxa"/>
            <w:tcMar>
              <w:left w:w="70" w:type="dxa"/>
              <w:right w:w="70" w:type="dxa"/>
            </w:tcMar>
            <w:vAlign w:val="center"/>
          </w:tcPr>
          <w:p w14:paraId="60B884C3" w14:textId="3018A76C" w:rsidR="0EA865B6" w:rsidRPr="00951AB1" w:rsidRDefault="0EA865B6" w:rsidP="000A5389">
            <w:pPr>
              <w:spacing w:line="240" w:lineRule="auto"/>
              <w:rPr>
                <w:rFonts w:cs="Times New Roman"/>
                <w:sz w:val="18"/>
                <w:szCs w:val="18"/>
              </w:rPr>
            </w:pPr>
            <w:r w:rsidRPr="00951AB1">
              <w:rPr>
                <w:rFonts w:eastAsia="Times New Roman" w:cs="Times New Roman"/>
                <w:sz w:val="18"/>
                <w:szCs w:val="18"/>
              </w:rPr>
              <w:t>2.5.11</w:t>
            </w:r>
          </w:p>
        </w:tc>
        <w:tc>
          <w:tcPr>
            <w:tcW w:w="670" w:type="dxa"/>
            <w:tcMar>
              <w:left w:w="70" w:type="dxa"/>
              <w:right w:w="70" w:type="dxa"/>
            </w:tcMar>
            <w:vAlign w:val="center"/>
          </w:tcPr>
          <w:p w14:paraId="17102909" w14:textId="5BB96E5A" w:rsidR="0EA865B6" w:rsidRPr="00951AB1" w:rsidRDefault="0EA865B6" w:rsidP="000A5389">
            <w:pPr>
              <w:spacing w:line="240" w:lineRule="auto"/>
              <w:jc w:val="center"/>
              <w:rPr>
                <w:rFonts w:cs="Times New Roman"/>
                <w:sz w:val="18"/>
                <w:szCs w:val="18"/>
              </w:rPr>
            </w:pPr>
            <w:r w:rsidRPr="00951AB1">
              <w:rPr>
                <w:rFonts w:eastAsia="Times New Roman" w:cs="Times New Roman"/>
                <w:sz w:val="18"/>
                <w:szCs w:val="18"/>
              </w:rPr>
              <w:t>Cr</w:t>
            </w:r>
          </w:p>
        </w:tc>
        <w:tc>
          <w:tcPr>
            <w:tcW w:w="3585" w:type="dxa"/>
            <w:tcMar>
              <w:left w:w="70" w:type="dxa"/>
              <w:right w:w="70" w:type="dxa"/>
            </w:tcMar>
            <w:vAlign w:val="center"/>
          </w:tcPr>
          <w:p w14:paraId="0F6C4C12" w14:textId="51494D06" w:rsidR="0EA865B6" w:rsidRPr="00951AB1" w:rsidRDefault="0EA865B6" w:rsidP="000A5389">
            <w:pPr>
              <w:spacing w:line="240" w:lineRule="auto"/>
              <w:rPr>
                <w:rFonts w:cs="Times New Roman"/>
                <w:sz w:val="18"/>
                <w:szCs w:val="18"/>
              </w:rPr>
            </w:pPr>
            <w:r w:rsidRPr="00951AB1">
              <w:rPr>
                <w:rFonts w:eastAsia="Times New Roman" w:cs="Times New Roman"/>
                <w:sz w:val="18"/>
                <w:szCs w:val="18"/>
              </w:rPr>
              <w:t>Beneficios a los empleados a corto plazo</w:t>
            </w:r>
          </w:p>
        </w:tc>
        <w:tc>
          <w:tcPr>
            <w:tcW w:w="1416" w:type="dxa"/>
            <w:tcMar>
              <w:left w:w="70" w:type="dxa"/>
              <w:right w:w="70" w:type="dxa"/>
            </w:tcMar>
            <w:vAlign w:val="center"/>
          </w:tcPr>
          <w:p w14:paraId="14FABB83" w14:textId="57E8DA74" w:rsidR="0EA865B6" w:rsidRPr="00951AB1" w:rsidRDefault="0EA865B6" w:rsidP="000A5389">
            <w:pPr>
              <w:spacing w:line="240" w:lineRule="auto"/>
              <w:jc w:val="right"/>
              <w:rPr>
                <w:rFonts w:cs="Times New Roman"/>
                <w:sz w:val="18"/>
                <w:szCs w:val="18"/>
              </w:rPr>
            </w:pPr>
            <w:r w:rsidRPr="00951AB1">
              <w:rPr>
                <w:rFonts w:eastAsia="Times New Roman" w:cs="Times New Roman"/>
                <w:sz w:val="18"/>
                <w:szCs w:val="18"/>
              </w:rPr>
              <w:t>6.612.573.756</w:t>
            </w:r>
          </w:p>
        </w:tc>
        <w:tc>
          <w:tcPr>
            <w:tcW w:w="1268" w:type="dxa"/>
            <w:tcMar>
              <w:left w:w="70" w:type="dxa"/>
              <w:right w:w="70" w:type="dxa"/>
            </w:tcMar>
            <w:vAlign w:val="center"/>
          </w:tcPr>
          <w:p w14:paraId="385800E6" w14:textId="5E480981" w:rsidR="0EA865B6" w:rsidRPr="00951AB1" w:rsidRDefault="0EA865B6" w:rsidP="000A5389">
            <w:pPr>
              <w:spacing w:line="240" w:lineRule="auto"/>
              <w:jc w:val="right"/>
              <w:rPr>
                <w:rFonts w:cs="Times New Roman"/>
                <w:sz w:val="18"/>
                <w:szCs w:val="18"/>
              </w:rPr>
            </w:pPr>
            <w:r w:rsidRPr="00951AB1">
              <w:rPr>
                <w:rFonts w:eastAsia="Times New Roman" w:cs="Times New Roman"/>
                <w:sz w:val="18"/>
                <w:szCs w:val="18"/>
              </w:rPr>
              <w:t>6.319.510.032</w:t>
            </w:r>
          </w:p>
        </w:tc>
        <w:tc>
          <w:tcPr>
            <w:tcW w:w="1180" w:type="dxa"/>
            <w:tcMar>
              <w:left w:w="70" w:type="dxa"/>
              <w:right w:w="70" w:type="dxa"/>
            </w:tcMar>
            <w:vAlign w:val="center"/>
          </w:tcPr>
          <w:p w14:paraId="2D902150" w14:textId="66089245" w:rsidR="0EA865B6" w:rsidRPr="00951AB1" w:rsidRDefault="0EA865B6" w:rsidP="000A5389">
            <w:pPr>
              <w:spacing w:line="240" w:lineRule="auto"/>
              <w:jc w:val="right"/>
              <w:rPr>
                <w:rFonts w:cs="Times New Roman"/>
                <w:sz w:val="18"/>
                <w:szCs w:val="18"/>
              </w:rPr>
            </w:pPr>
            <w:r w:rsidRPr="00951AB1">
              <w:rPr>
                <w:rFonts w:eastAsia="Times New Roman" w:cs="Times New Roman"/>
                <w:sz w:val="18"/>
                <w:szCs w:val="18"/>
              </w:rPr>
              <w:t>293.063.724</w:t>
            </w:r>
          </w:p>
        </w:tc>
      </w:tr>
      <w:tr w:rsidR="005A73C0" w:rsidRPr="00951AB1" w14:paraId="494B6E92" w14:textId="77777777" w:rsidTr="001B10F3">
        <w:trPr>
          <w:trHeight w:val="340"/>
        </w:trPr>
        <w:tc>
          <w:tcPr>
            <w:tcW w:w="1369" w:type="dxa"/>
            <w:gridSpan w:val="2"/>
            <w:vMerge w:val="restart"/>
            <w:tcMar>
              <w:left w:w="70" w:type="dxa"/>
              <w:right w:w="70" w:type="dxa"/>
            </w:tcMar>
            <w:vAlign w:val="center"/>
          </w:tcPr>
          <w:p w14:paraId="50DF6F34" w14:textId="3B6A76E7" w:rsidR="003E0200" w:rsidRPr="00951AB1" w:rsidRDefault="0EA865B6" w:rsidP="000A5389">
            <w:pPr>
              <w:spacing w:line="240" w:lineRule="auto"/>
              <w:rPr>
                <w:rFonts w:eastAsia="Times New Roman" w:cs="Times New Roman"/>
                <w:b/>
                <w:sz w:val="18"/>
                <w:szCs w:val="18"/>
              </w:rPr>
            </w:pPr>
            <w:r w:rsidRPr="00951AB1">
              <w:rPr>
                <w:rFonts w:eastAsia="Times New Roman" w:cs="Times New Roman"/>
                <w:b/>
                <w:sz w:val="14"/>
                <w:szCs w:val="14"/>
              </w:rPr>
              <w:t>(+) Beneficios</w:t>
            </w:r>
            <w:r>
              <w:br/>
            </w:r>
            <w:r w:rsidRPr="00951AB1">
              <w:rPr>
                <w:rFonts w:eastAsia="Times New Roman" w:cs="Times New Roman"/>
                <w:b/>
                <w:sz w:val="14"/>
                <w:szCs w:val="14"/>
              </w:rPr>
              <w:t>(-) Plan de Activos</w:t>
            </w:r>
          </w:p>
          <w:p w14:paraId="72F731FE" w14:textId="337732B2" w:rsidR="0EA865B6" w:rsidRPr="00951AB1" w:rsidRDefault="0EA865B6" w:rsidP="000A5389">
            <w:pPr>
              <w:spacing w:line="240" w:lineRule="auto"/>
              <w:rPr>
                <w:rFonts w:cs="Times New Roman"/>
                <w:sz w:val="18"/>
                <w:szCs w:val="18"/>
              </w:rPr>
            </w:pPr>
            <w:r w:rsidRPr="00951AB1">
              <w:rPr>
                <w:rFonts w:eastAsia="Times New Roman" w:cs="Times New Roman"/>
                <w:b/>
                <w:sz w:val="14"/>
                <w:szCs w:val="14"/>
              </w:rPr>
              <w:t>(=) NETO</w:t>
            </w:r>
          </w:p>
        </w:tc>
        <w:tc>
          <w:tcPr>
            <w:tcW w:w="3585" w:type="dxa"/>
            <w:tcMar>
              <w:left w:w="70" w:type="dxa"/>
              <w:right w:w="70" w:type="dxa"/>
            </w:tcMar>
            <w:vAlign w:val="center"/>
          </w:tcPr>
          <w:p w14:paraId="7BCC1518" w14:textId="06796780" w:rsidR="0EA865B6" w:rsidRPr="00951AB1" w:rsidRDefault="0EA865B6" w:rsidP="000A5389">
            <w:pPr>
              <w:spacing w:line="240" w:lineRule="auto"/>
              <w:jc w:val="center"/>
              <w:rPr>
                <w:rFonts w:cs="Times New Roman"/>
                <w:sz w:val="18"/>
                <w:szCs w:val="18"/>
              </w:rPr>
            </w:pPr>
            <w:r w:rsidRPr="00951AB1">
              <w:rPr>
                <w:rFonts w:eastAsia="Times New Roman" w:cs="Times New Roman"/>
                <w:b/>
                <w:bCs/>
                <w:sz w:val="18"/>
                <w:szCs w:val="18"/>
              </w:rPr>
              <w:t>RESULTADO NETO DE LOS BENEFICIOS</w:t>
            </w:r>
          </w:p>
        </w:tc>
        <w:tc>
          <w:tcPr>
            <w:tcW w:w="1416" w:type="dxa"/>
            <w:tcMar>
              <w:left w:w="70" w:type="dxa"/>
              <w:right w:w="70" w:type="dxa"/>
            </w:tcMar>
            <w:vAlign w:val="center"/>
          </w:tcPr>
          <w:p w14:paraId="6FFC4D85" w14:textId="521A6555" w:rsidR="0EA865B6" w:rsidRPr="00951AB1" w:rsidRDefault="0EA865B6" w:rsidP="000A5389">
            <w:pPr>
              <w:spacing w:line="240" w:lineRule="auto"/>
              <w:jc w:val="right"/>
              <w:rPr>
                <w:rFonts w:cs="Times New Roman"/>
                <w:sz w:val="18"/>
                <w:szCs w:val="18"/>
              </w:rPr>
            </w:pPr>
            <w:r w:rsidRPr="00951AB1">
              <w:rPr>
                <w:rFonts w:eastAsia="Times New Roman" w:cs="Times New Roman"/>
                <w:b/>
                <w:bCs/>
                <w:sz w:val="18"/>
                <w:szCs w:val="18"/>
              </w:rPr>
              <w:t>6.612.573.756</w:t>
            </w:r>
          </w:p>
        </w:tc>
        <w:tc>
          <w:tcPr>
            <w:tcW w:w="1268" w:type="dxa"/>
            <w:tcMar>
              <w:left w:w="70" w:type="dxa"/>
              <w:right w:w="70" w:type="dxa"/>
            </w:tcMar>
            <w:vAlign w:val="center"/>
          </w:tcPr>
          <w:p w14:paraId="6C2F1C02" w14:textId="5DA1507A" w:rsidR="0EA865B6" w:rsidRPr="00951AB1" w:rsidRDefault="0EA865B6" w:rsidP="000A5389">
            <w:pPr>
              <w:spacing w:line="240" w:lineRule="auto"/>
              <w:jc w:val="right"/>
              <w:rPr>
                <w:rFonts w:cs="Times New Roman"/>
                <w:sz w:val="18"/>
                <w:szCs w:val="18"/>
              </w:rPr>
            </w:pPr>
            <w:r w:rsidRPr="00951AB1">
              <w:rPr>
                <w:rFonts w:eastAsia="Times New Roman" w:cs="Times New Roman"/>
                <w:b/>
                <w:bCs/>
                <w:sz w:val="18"/>
                <w:szCs w:val="18"/>
              </w:rPr>
              <w:t>6.319.510.032</w:t>
            </w:r>
          </w:p>
        </w:tc>
        <w:tc>
          <w:tcPr>
            <w:tcW w:w="1180" w:type="dxa"/>
            <w:tcMar>
              <w:left w:w="70" w:type="dxa"/>
              <w:right w:w="70" w:type="dxa"/>
            </w:tcMar>
            <w:vAlign w:val="center"/>
          </w:tcPr>
          <w:p w14:paraId="18B8F763" w14:textId="7B290493" w:rsidR="0EA865B6" w:rsidRPr="00951AB1" w:rsidRDefault="0EA865B6" w:rsidP="000A5389">
            <w:pPr>
              <w:spacing w:line="240" w:lineRule="auto"/>
              <w:jc w:val="right"/>
              <w:rPr>
                <w:rFonts w:cs="Times New Roman"/>
                <w:sz w:val="18"/>
                <w:szCs w:val="18"/>
              </w:rPr>
            </w:pPr>
            <w:r w:rsidRPr="00951AB1">
              <w:rPr>
                <w:rFonts w:eastAsia="Times New Roman" w:cs="Times New Roman"/>
                <w:b/>
                <w:bCs/>
                <w:sz w:val="18"/>
                <w:szCs w:val="18"/>
              </w:rPr>
              <w:t>293.063.724</w:t>
            </w:r>
          </w:p>
        </w:tc>
      </w:tr>
      <w:tr w:rsidR="005A73C0" w:rsidRPr="00951AB1" w14:paraId="1330C0FD" w14:textId="77777777" w:rsidTr="001B10F3">
        <w:trPr>
          <w:trHeight w:val="532"/>
        </w:trPr>
        <w:tc>
          <w:tcPr>
            <w:tcW w:w="1369" w:type="dxa"/>
            <w:gridSpan w:val="2"/>
            <w:vMerge/>
            <w:vAlign w:val="center"/>
          </w:tcPr>
          <w:p w14:paraId="6ABF0405" w14:textId="77777777" w:rsidR="00953774" w:rsidRPr="00951AB1" w:rsidRDefault="00953774" w:rsidP="000A5389">
            <w:pPr>
              <w:spacing w:line="240" w:lineRule="auto"/>
              <w:rPr>
                <w:rFonts w:cs="Times New Roman"/>
              </w:rPr>
            </w:pPr>
          </w:p>
        </w:tc>
        <w:tc>
          <w:tcPr>
            <w:tcW w:w="3585" w:type="dxa"/>
            <w:tcMar>
              <w:left w:w="70" w:type="dxa"/>
              <w:right w:w="70" w:type="dxa"/>
            </w:tcMar>
            <w:vAlign w:val="center"/>
          </w:tcPr>
          <w:p w14:paraId="140F2768" w14:textId="42CE2B03" w:rsidR="0EA865B6" w:rsidRPr="00951AB1" w:rsidRDefault="0EA865B6" w:rsidP="000A5389">
            <w:pPr>
              <w:spacing w:line="240" w:lineRule="auto"/>
              <w:rPr>
                <w:rFonts w:cs="Times New Roman"/>
                <w:sz w:val="18"/>
                <w:szCs w:val="18"/>
              </w:rPr>
            </w:pPr>
            <w:r w:rsidRPr="00951AB1">
              <w:rPr>
                <w:rFonts w:eastAsia="Times New Roman" w:cs="Times New Roman"/>
                <w:sz w:val="18"/>
                <w:szCs w:val="18"/>
              </w:rPr>
              <w:t>A corto plazo</w:t>
            </w:r>
          </w:p>
        </w:tc>
        <w:tc>
          <w:tcPr>
            <w:tcW w:w="1416" w:type="dxa"/>
            <w:tcMar>
              <w:left w:w="70" w:type="dxa"/>
              <w:right w:w="70" w:type="dxa"/>
            </w:tcMar>
            <w:vAlign w:val="center"/>
          </w:tcPr>
          <w:p w14:paraId="7B7DF5BE" w14:textId="1DEB7F28" w:rsidR="0EA865B6" w:rsidRPr="00951AB1" w:rsidRDefault="0EA865B6" w:rsidP="000A5389">
            <w:pPr>
              <w:spacing w:line="240" w:lineRule="auto"/>
              <w:jc w:val="right"/>
              <w:rPr>
                <w:rFonts w:cs="Times New Roman"/>
                <w:sz w:val="18"/>
                <w:szCs w:val="18"/>
              </w:rPr>
            </w:pPr>
            <w:r w:rsidRPr="00951AB1">
              <w:rPr>
                <w:rFonts w:eastAsia="Times New Roman" w:cs="Times New Roman"/>
                <w:sz w:val="18"/>
                <w:szCs w:val="18"/>
              </w:rPr>
              <w:t>6.612.573.756</w:t>
            </w:r>
          </w:p>
        </w:tc>
        <w:tc>
          <w:tcPr>
            <w:tcW w:w="1268" w:type="dxa"/>
            <w:tcMar>
              <w:left w:w="70" w:type="dxa"/>
              <w:right w:w="70" w:type="dxa"/>
            </w:tcMar>
            <w:vAlign w:val="center"/>
          </w:tcPr>
          <w:p w14:paraId="29BE60FB" w14:textId="20B56FA5" w:rsidR="0EA865B6" w:rsidRPr="00951AB1" w:rsidRDefault="0EA865B6" w:rsidP="000A5389">
            <w:pPr>
              <w:spacing w:line="240" w:lineRule="auto"/>
              <w:jc w:val="right"/>
              <w:rPr>
                <w:rFonts w:cs="Times New Roman"/>
                <w:sz w:val="18"/>
                <w:szCs w:val="18"/>
              </w:rPr>
            </w:pPr>
            <w:r w:rsidRPr="00951AB1">
              <w:rPr>
                <w:rFonts w:eastAsia="Times New Roman" w:cs="Times New Roman"/>
                <w:sz w:val="18"/>
                <w:szCs w:val="18"/>
              </w:rPr>
              <w:t>6.319.510.032</w:t>
            </w:r>
          </w:p>
        </w:tc>
        <w:tc>
          <w:tcPr>
            <w:tcW w:w="1180" w:type="dxa"/>
            <w:tcMar>
              <w:left w:w="70" w:type="dxa"/>
              <w:right w:w="70" w:type="dxa"/>
            </w:tcMar>
            <w:vAlign w:val="center"/>
          </w:tcPr>
          <w:p w14:paraId="5C83D92A" w14:textId="3FF2A992" w:rsidR="0EA865B6" w:rsidRPr="00951AB1" w:rsidRDefault="0EA865B6" w:rsidP="000A5389">
            <w:pPr>
              <w:spacing w:line="240" w:lineRule="auto"/>
              <w:jc w:val="right"/>
              <w:rPr>
                <w:rFonts w:cs="Times New Roman"/>
                <w:sz w:val="18"/>
                <w:szCs w:val="18"/>
              </w:rPr>
            </w:pPr>
            <w:r w:rsidRPr="00951AB1">
              <w:rPr>
                <w:rFonts w:eastAsia="Times New Roman" w:cs="Times New Roman"/>
                <w:sz w:val="18"/>
                <w:szCs w:val="18"/>
              </w:rPr>
              <w:t>293.063.724</w:t>
            </w:r>
          </w:p>
        </w:tc>
      </w:tr>
    </w:tbl>
    <w:p w14:paraId="7A8FCD33" w14:textId="0D88D847" w:rsidR="009C4F5F" w:rsidRDefault="005813BF" w:rsidP="000A5389">
      <w:pPr>
        <w:spacing w:line="240" w:lineRule="auto"/>
        <w:rPr>
          <w:rFonts w:eastAsia="Times New Roman" w:cs="Times New Roman"/>
          <w:sz w:val="14"/>
          <w:szCs w:val="14"/>
        </w:rPr>
      </w:pPr>
      <w:r w:rsidRPr="00951AB1">
        <w:rPr>
          <w:rFonts w:eastAsia="Times New Roman" w:cs="Times New Roman"/>
          <w:sz w:val="14"/>
          <w:szCs w:val="14"/>
        </w:rPr>
        <w:t>Cifras expresadas en pesos</w:t>
      </w:r>
    </w:p>
    <w:p w14:paraId="5D696AC1" w14:textId="77777777" w:rsidR="0039091F" w:rsidRDefault="0039091F" w:rsidP="000A5389">
      <w:pPr>
        <w:spacing w:line="240" w:lineRule="auto"/>
        <w:rPr>
          <w:rFonts w:eastAsia="Times New Roman" w:cs="Times New Roman"/>
          <w:sz w:val="14"/>
          <w:szCs w:val="14"/>
        </w:rPr>
      </w:pPr>
    </w:p>
    <w:p w14:paraId="715C8260" w14:textId="77777777" w:rsidR="0039091F" w:rsidRPr="00951AB1" w:rsidRDefault="0039091F" w:rsidP="000A5389">
      <w:pPr>
        <w:spacing w:line="240" w:lineRule="auto"/>
        <w:rPr>
          <w:rFonts w:cs="Times New Roman"/>
        </w:rPr>
      </w:pPr>
    </w:p>
    <w:p w14:paraId="79C0279E" w14:textId="397422A9" w:rsidR="009C4F5F" w:rsidRPr="00951AB1" w:rsidRDefault="00983643" w:rsidP="000A5389">
      <w:pPr>
        <w:pStyle w:val="Ttulo2"/>
        <w:numPr>
          <w:ilvl w:val="1"/>
          <w:numId w:val="53"/>
        </w:numPr>
        <w:spacing w:line="240" w:lineRule="auto"/>
        <w:rPr>
          <w:rFonts w:cs="Times New Roman"/>
          <w:szCs w:val="22"/>
        </w:rPr>
      </w:pPr>
      <w:bookmarkStart w:id="596" w:name="_Toc191369540"/>
      <w:bookmarkStart w:id="597" w:name="_Toc191456870"/>
      <w:bookmarkStart w:id="598" w:name="_Toc191456980"/>
      <w:bookmarkStart w:id="599" w:name="_Toc191457090"/>
      <w:bookmarkStart w:id="600" w:name="_Toc191475717"/>
      <w:bookmarkStart w:id="601" w:name="_Toc191475826"/>
      <w:bookmarkStart w:id="602" w:name="_Toc191475935"/>
      <w:bookmarkStart w:id="603" w:name="_Toc191475458"/>
      <w:bookmarkStart w:id="604" w:name="_Toc191505834"/>
      <w:bookmarkStart w:id="605" w:name="_Toc222824146"/>
      <w:r w:rsidRPr="00951AB1">
        <w:rPr>
          <w:rFonts w:cs="Times New Roman"/>
          <w:szCs w:val="22"/>
        </w:rPr>
        <w:t xml:space="preserve"> </w:t>
      </w:r>
      <w:r w:rsidRPr="00951AB1">
        <w:rPr>
          <w:rFonts w:cs="Times New Roman"/>
          <w:szCs w:val="22"/>
        </w:rPr>
        <w:tab/>
      </w:r>
      <w:bookmarkStart w:id="606" w:name="_Toc222955514"/>
      <w:r w:rsidR="009C4F5F" w:rsidRPr="00951AB1">
        <w:rPr>
          <w:rFonts w:cs="Times New Roman"/>
          <w:szCs w:val="22"/>
        </w:rPr>
        <w:t>Beneficios a los empleados a corto plazo</w:t>
      </w:r>
      <w:bookmarkEnd w:id="596"/>
      <w:bookmarkEnd w:id="597"/>
      <w:bookmarkEnd w:id="598"/>
      <w:bookmarkEnd w:id="599"/>
      <w:bookmarkEnd w:id="600"/>
      <w:bookmarkEnd w:id="601"/>
      <w:bookmarkEnd w:id="602"/>
      <w:bookmarkEnd w:id="603"/>
      <w:bookmarkEnd w:id="604"/>
      <w:bookmarkEnd w:id="605"/>
      <w:bookmarkEnd w:id="606"/>
    </w:p>
    <w:p w14:paraId="5BBCCF9C" w14:textId="77777777" w:rsidR="009C4F5F" w:rsidRPr="00951AB1" w:rsidRDefault="009C4F5F" w:rsidP="000A5389">
      <w:pPr>
        <w:spacing w:line="240" w:lineRule="auto"/>
        <w:rPr>
          <w:rFonts w:cs="Times New Roman"/>
        </w:rPr>
      </w:pPr>
    </w:p>
    <w:p w14:paraId="75756D35" w14:textId="77777777" w:rsidR="009C4F5F" w:rsidRPr="00951AB1" w:rsidRDefault="009C4F5F" w:rsidP="000A5389">
      <w:pPr>
        <w:spacing w:line="240" w:lineRule="auto"/>
        <w:rPr>
          <w:rFonts w:cs="Times New Roman"/>
          <w:szCs w:val="24"/>
          <w:lang w:val="es-MX"/>
        </w:rPr>
      </w:pPr>
      <w:r w:rsidRPr="00951AB1">
        <w:rPr>
          <w:rFonts w:cs="Times New Roman"/>
          <w:szCs w:val="24"/>
          <w:lang w:val="es-MX"/>
        </w:rPr>
        <w:t>Los beneficios a los empleados a corto plazo son aquellos otorgados a los trabajadores que hayan prestado sus servicios a la entidad durante el periodo contable y cuya obligación de pago vence dentro de los 12 meses siguientes al cierre de dicho periodo.</w:t>
      </w:r>
    </w:p>
    <w:p w14:paraId="34EB8CC8" w14:textId="77777777" w:rsidR="009C4F5F" w:rsidRPr="00951AB1" w:rsidRDefault="009C4F5F" w:rsidP="000A5389">
      <w:pPr>
        <w:spacing w:line="240" w:lineRule="auto"/>
        <w:rPr>
          <w:rFonts w:cs="Times New Roman"/>
          <w:szCs w:val="24"/>
          <w:lang w:val="es-MX"/>
        </w:rPr>
      </w:pPr>
    </w:p>
    <w:p w14:paraId="4B849851" w14:textId="77777777" w:rsidR="009C4F5F" w:rsidRPr="00951AB1" w:rsidRDefault="009C4F5F" w:rsidP="000A5389">
      <w:pPr>
        <w:spacing w:line="240" w:lineRule="auto"/>
        <w:rPr>
          <w:rFonts w:cs="Times New Roman"/>
          <w:szCs w:val="24"/>
          <w:lang w:val="es-MX"/>
        </w:rPr>
      </w:pPr>
      <w:r w:rsidRPr="00951AB1">
        <w:rPr>
          <w:rFonts w:cs="Times New Roman"/>
          <w:szCs w:val="24"/>
          <w:lang w:val="es-MX"/>
        </w:rPr>
        <w:t>Estos beneficios están representados en los siguientes conceptos: sueldos y salarios (horas extras y festivos, prima técnica, bonificaciones, auxilio de transporte y subsidio de alimentación), cesantías, vacaciones, prima de vacaciones, prima de servicios, prima de navidad, licencias, bonificaciones, aportes a riesgos laborales, capacitación, bienestar social y estímulos, aportes a fondos pensionales, seguridad social en salud y cajas de compensación familiar e incapacidades.</w:t>
      </w:r>
    </w:p>
    <w:p w14:paraId="6E88200F" w14:textId="7B363B20" w:rsidR="009C4F5F" w:rsidRPr="00951AB1" w:rsidRDefault="009C4F5F" w:rsidP="000A5389">
      <w:pPr>
        <w:spacing w:line="240" w:lineRule="auto"/>
        <w:rPr>
          <w:rFonts w:cs="Times New Roman"/>
          <w:szCs w:val="24"/>
          <w:lang w:val="es-MX"/>
        </w:rPr>
      </w:pPr>
      <w:r w:rsidRPr="00951AB1">
        <w:rPr>
          <w:rFonts w:cs="Times New Roman"/>
          <w:szCs w:val="24"/>
          <w:lang w:val="es-MX"/>
        </w:rPr>
        <w:t>A continuación, se detallan los valores que afectaran el resultado:</w:t>
      </w:r>
    </w:p>
    <w:p w14:paraId="33436F11" w14:textId="77777777" w:rsidR="006125A6" w:rsidRPr="00951AB1" w:rsidRDefault="006125A6" w:rsidP="000A5389">
      <w:pPr>
        <w:spacing w:line="240" w:lineRule="auto"/>
        <w:rPr>
          <w:rFonts w:cs="Times New Roman"/>
          <w:szCs w:val="24"/>
          <w:lang w:val="es-MX"/>
        </w:rPr>
      </w:pPr>
    </w:p>
    <w:tbl>
      <w:tblPr>
        <w:tblW w:w="8894" w:type="dxa"/>
        <w:tblCellMar>
          <w:left w:w="70" w:type="dxa"/>
          <w:right w:w="70" w:type="dxa"/>
        </w:tblCellMar>
        <w:tblLook w:val="04A0" w:firstRow="1" w:lastRow="0" w:firstColumn="1" w:lastColumn="0" w:noHBand="0" w:noVBand="1"/>
      </w:tblPr>
      <w:tblGrid>
        <w:gridCol w:w="2972"/>
        <w:gridCol w:w="1347"/>
        <w:gridCol w:w="210"/>
        <w:gridCol w:w="3120"/>
        <w:gridCol w:w="1245"/>
      </w:tblGrid>
      <w:tr w:rsidR="008477F3" w:rsidRPr="00951AB1" w14:paraId="16CDB1B4" w14:textId="77777777" w:rsidTr="2A085367">
        <w:trPr>
          <w:trHeight w:val="283"/>
          <w:tblHeader/>
        </w:trPr>
        <w:tc>
          <w:tcPr>
            <w:tcW w:w="297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hideMark/>
          </w:tcPr>
          <w:p w14:paraId="28D32D18" w14:textId="77777777" w:rsidR="006125A6" w:rsidRPr="00951AB1" w:rsidRDefault="006125A6" w:rsidP="000A5389">
            <w:pPr>
              <w:spacing w:line="240" w:lineRule="auto"/>
              <w:jc w:val="center"/>
              <w:rPr>
                <w:rFonts w:eastAsia="Times New Roman" w:cs="Times New Roman"/>
                <w:b/>
                <w:color w:val="000000"/>
                <w:kern w:val="0"/>
                <w:sz w:val="18"/>
                <w:szCs w:val="18"/>
                <w:lang w:eastAsia="es-CO"/>
                <w14:ligatures w14:val="none"/>
              </w:rPr>
            </w:pPr>
            <w:r w:rsidRPr="00951AB1">
              <w:rPr>
                <w:rFonts w:eastAsia="Times New Roman" w:cs="Times New Roman"/>
                <w:b/>
                <w:color w:val="000000"/>
                <w:kern w:val="0"/>
                <w:sz w:val="18"/>
                <w:szCs w:val="18"/>
                <w:lang w:eastAsia="es-CO"/>
                <w14:ligatures w14:val="none"/>
              </w:rPr>
              <w:t>CONCEPTO</w:t>
            </w:r>
          </w:p>
        </w:tc>
        <w:tc>
          <w:tcPr>
            <w:tcW w:w="1347" w:type="dxa"/>
            <w:tcBorders>
              <w:top w:val="single" w:sz="4" w:space="0" w:color="A6A6A6" w:themeColor="background1" w:themeShade="A6"/>
              <w:left w:val="nil"/>
              <w:bottom w:val="single" w:sz="4" w:space="0" w:color="A6A6A6" w:themeColor="background1" w:themeShade="A6"/>
              <w:right w:val="single" w:sz="4" w:space="0" w:color="A6A6A6" w:themeColor="background1" w:themeShade="A6"/>
            </w:tcBorders>
            <w:vAlign w:val="center"/>
            <w:hideMark/>
          </w:tcPr>
          <w:p w14:paraId="4875C3B1" w14:textId="77777777" w:rsidR="006125A6" w:rsidRPr="00951AB1" w:rsidRDefault="006125A6" w:rsidP="000A5389">
            <w:pPr>
              <w:spacing w:line="240" w:lineRule="auto"/>
              <w:jc w:val="center"/>
              <w:rPr>
                <w:rFonts w:eastAsia="Times New Roman" w:cs="Times New Roman"/>
                <w:b/>
                <w:color w:val="000000"/>
                <w:kern w:val="0"/>
                <w:sz w:val="18"/>
                <w:szCs w:val="18"/>
                <w:lang w:eastAsia="es-CO"/>
                <w14:ligatures w14:val="none"/>
              </w:rPr>
            </w:pPr>
            <w:r w:rsidRPr="00951AB1">
              <w:rPr>
                <w:rFonts w:eastAsia="Times New Roman" w:cs="Times New Roman"/>
                <w:b/>
                <w:color w:val="000000"/>
                <w:kern w:val="0"/>
                <w:sz w:val="18"/>
                <w:szCs w:val="18"/>
                <w:lang w:eastAsia="es-CO"/>
                <w14:ligatures w14:val="none"/>
              </w:rPr>
              <w:t>VALOR</w:t>
            </w:r>
          </w:p>
        </w:tc>
        <w:tc>
          <w:tcPr>
            <w:tcW w:w="210" w:type="dxa"/>
            <w:tcBorders>
              <w:top w:val="nil"/>
              <w:left w:val="nil"/>
              <w:bottom w:val="nil"/>
              <w:right w:val="nil"/>
            </w:tcBorders>
            <w:noWrap/>
            <w:vAlign w:val="center"/>
            <w:hideMark/>
          </w:tcPr>
          <w:p w14:paraId="68E12C33" w14:textId="77777777" w:rsidR="006125A6" w:rsidRPr="00951AB1" w:rsidRDefault="006125A6" w:rsidP="000A5389">
            <w:pPr>
              <w:spacing w:line="240" w:lineRule="auto"/>
              <w:jc w:val="center"/>
              <w:rPr>
                <w:rFonts w:eastAsia="Times New Roman" w:cs="Times New Roman"/>
                <w:b/>
                <w:color w:val="000000"/>
                <w:kern w:val="0"/>
                <w:sz w:val="18"/>
                <w:szCs w:val="18"/>
                <w:lang w:eastAsia="es-CO"/>
                <w14:ligatures w14:val="none"/>
              </w:rPr>
            </w:pPr>
          </w:p>
        </w:tc>
        <w:tc>
          <w:tcPr>
            <w:tcW w:w="312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hideMark/>
          </w:tcPr>
          <w:p w14:paraId="216984A2" w14:textId="77777777" w:rsidR="006125A6" w:rsidRPr="00951AB1" w:rsidRDefault="006125A6" w:rsidP="000A5389">
            <w:pPr>
              <w:spacing w:line="240" w:lineRule="auto"/>
              <w:jc w:val="center"/>
              <w:rPr>
                <w:rFonts w:eastAsia="Times New Roman" w:cs="Times New Roman"/>
                <w:b/>
                <w:color w:val="000000"/>
                <w:kern w:val="0"/>
                <w:sz w:val="18"/>
                <w:szCs w:val="18"/>
                <w:lang w:eastAsia="es-CO"/>
                <w14:ligatures w14:val="none"/>
              </w:rPr>
            </w:pPr>
            <w:r w:rsidRPr="00951AB1">
              <w:rPr>
                <w:rFonts w:eastAsia="Times New Roman" w:cs="Times New Roman"/>
                <w:b/>
                <w:color w:val="000000"/>
                <w:kern w:val="0"/>
                <w:sz w:val="18"/>
                <w:szCs w:val="18"/>
                <w:lang w:eastAsia="es-CO"/>
                <w14:ligatures w14:val="none"/>
              </w:rPr>
              <w:t>CONCEPTO</w:t>
            </w:r>
          </w:p>
        </w:tc>
        <w:tc>
          <w:tcPr>
            <w:tcW w:w="1245" w:type="dxa"/>
            <w:tcBorders>
              <w:top w:val="single" w:sz="4" w:space="0" w:color="A6A6A6" w:themeColor="background1" w:themeShade="A6"/>
              <w:left w:val="nil"/>
              <w:bottom w:val="single" w:sz="4" w:space="0" w:color="A6A6A6" w:themeColor="background1" w:themeShade="A6"/>
              <w:right w:val="single" w:sz="4" w:space="0" w:color="A6A6A6" w:themeColor="background1" w:themeShade="A6"/>
            </w:tcBorders>
            <w:vAlign w:val="center"/>
            <w:hideMark/>
          </w:tcPr>
          <w:p w14:paraId="6812081A" w14:textId="77777777" w:rsidR="006125A6" w:rsidRPr="00951AB1" w:rsidRDefault="006125A6" w:rsidP="000A5389">
            <w:pPr>
              <w:spacing w:line="240" w:lineRule="auto"/>
              <w:jc w:val="center"/>
              <w:rPr>
                <w:rFonts w:eastAsia="Times New Roman" w:cs="Times New Roman"/>
                <w:b/>
                <w:color w:val="000000"/>
                <w:kern w:val="0"/>
                <w:sz w:val="18"/>
                <w:szCs w:val="18"/>
                <w:lang w:eastAsia="es-CO"/>
                <w14:ligatures w14:val="none"/>
              </w:rPr>
            </w:pPr>
            <w:r w:rsidRPr="00951AB1">
              <w:rPr>
                <w:rFonts w:eastAsia="Times New Roman" w:cs="Times New Roman"/>
                <w:b/>
                <w:color w:val="000000"/>
                <w:kern w:val="0"/>
                <w:sz w:val="18"/>
                <w:szCs w:val="18"/>
                <w:lang w:eastAsia="es-CO"/>
                <w14:ligatures w14:val="none"/>
              </w:rPr>
              <w:t>VALOR</w:t>
            </w:r>
          </w:p>
        </w:tc>
      </w:tr>
      <w:tr w:rsidR="00D83BA9" w:rsidRPr="00951AB1" w14:paraId="670503EB" w14:textId="77777777" w:rsidTr="2A085367">
        <w:trPr>
          <w:trHeight w:val="283"/>
        </w:trPr>
        <w:tc>
          <w:tcPr>
            <w:tcW w:w="2972" w:type="dxa"/>
            <w:tcBorders>
              <w:top w:val="nil"/>
              <w:left w:val="single" w:sz="4" w:space="0" w:color="A6A6A6" w:themeColor="background1" w:themeShade="A6"/>
              <w:bottom w:val="single" w:sz="4" w:space="0" w:color="A6A6A6" w:themeColor="background1" w:themeShade="A6"/>
              <w:right w:val="single" w:sz="4" w:space="0" w:color="A6A6A6" w:themeColor="background1" w:themeShade="A6"/>
            </w:tcBorders>
            <w:vAlign w:val="center"/>
            <w:hideMark/>
          </w:tcPr>
          <w:p w14:paraId="6C26FB36" w14:textId="77777777" w:rsidR="006125A6" w:rsidRPr="00951AB1" w:rsidRDefault="006125A6" w:rsidP="000A5389">
            <w:pPr>
              <w:spacing w:line="240" w:lineRule="auto"/>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Sueldos</w:t>
            </w:r>
          </w:p>
        </w:tc>
        <w:tc>
          <w:tcPr>
            <w:tcW w:w="1347" w:type="dxa"/>
            <w:tcBorders>
              <w:top w:val="nil"/>
              <w:left w:val="nil"/>
              <w:bottom w:val="single" w:sz="4" w:space="0" w:color="A6A6A6" w:themeColor="background1" w:themeShade="A6"/>
              <w:right w:val="single" w:sz="4" w:space="0" w:color="A6A6A6" w:themeColor="background1" w:themeShade="A6"/>
            </w:tcBorders>
            <w:vAlign w:val="center"/>
            <w:hideMark/>
          </w:tcPr>
          <w:p w14:paraId="2E8048FE" w14:textId="77777777" w:rsidR="006125A6" w:rsidRPr="00951AB1" w:rsidRDefault="006125A6"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 xml:space="preserve">      33.985.147.744 </w:t>
            </w:r>
          </w:p>
        </w:tc>
        <w:tc>
          <w:tcPr>
            <w:tcW w:w="210" w:type="dxa"/>
            <w:tcBorders>
              <w:top w:val="nil"/>
              <w:left w:val="nil"/>
              <w:bottom w:val="nil"/>
              <w:right w:val="nil"/>
            </w:tcBorders>
            <w:noWrap/>
            <w:vAlign w:val="center"/>
            <w:hideMark/>
          </w:tcPr>
          <w:p w14:paraId="0A7D1437" w14:textId="77777777" w:rsidR="006125A6" w:rsidRPr="00951AB1" w:rsidRDefault="006125A6" w:rsidP="000A5389">
            <w:pPr>
              <w:spacing w:line="240" w:lineRule="auto"/>
              <w:jc w:val="right"/>
              <w:rPr>
                <w:rFonts w:eastAsia="Times New Roman" w:cs="Times New Roman"/>
                <w:color w:val="000000"/>
                <w:kern w:val="0"/>
                <w:sz w:val="18"/>
                <w:szCs w:val="18"/>
                <w:lang w:eastAsia="es-CO"/>
                <w14:ligatures w14:val="none"/>
              </w:rPr>
            </w:pPr>
          </w:p>
        </w:tc>
        <w:tc>
          <w:tcPr>
            <w:tcW w:w="3120" w:type="dxa"/>
            <w:tcBorders>
              <w:top w:val="nil"/>
              <w:left w:val="single" w:sz="4" w:space="0" w:color="A6A6A6" w:themeColor="background1" w:themeShade="A6"/>
              <w:bottom w:val="single" w:sz="4" w:space="0" w:color="A6A6A6" w:themeColor="background1" w:themeShade="A6"/>
              <w:right w:val="single" w:sz="4" w:space="0" w:color="A6A6A6" w:themeColor="background1" w:themeShade="A6"/>
            </w:tcBorders>
            <w:vAlign w:val="center"/>
            <w:hideMark/>
          </w:tcPr>
          <w:p w14:paraId="7B7D3095" w14:textId="77777777" w:rsidR="006125A6" w:rsidRPr="00951AB1" w:rsidRDefault="006125A6" w:rsidP="000A5389">
            <w:pPr>
              <w:spacing w:line="240" w:lineRule="auto"/>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Bonificaciones - corto plazo</w:t>
            </w:r>
          </w:p>
        </w:tc>
        <w:tc>
          <w:tcPr>
            <w:tcW w:w="1245" w:type="dxa"/>
            <w:tcBorders>
              <w:top w:val="nil"/>
              <w:left w:val="nil"/>
              <w:bottom w:val="single" w:sz="4" w:space="0" w:color="A6A6A6" w:themeColor="background1" w:themeShade="A6"/>
              <w:right w:val="single" w:sz="4" w:space="0" w:color="A6A6A6" w:themeColor="background1" w:themeShade="A6"/>
            </w:tcBorders>
            <w:vAlign w:val="center"/>
            <w:hideMark/>
          </w:tcPr>
          <w:p w14:paraId="0CBDC396" w14:textId="77777777" w:rsidR="006125A6" w:rsidRPr="00951AB1" w:rsidRDefault="006125A6"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 xml:space="preserve"> 1.358.500.105 </w:t>
            </w:r>
          </w:p>
        </w:tc>
      </w:tr>
      <w:tr w:rsidR="00D83BA9" w:rsidRPr="00951AB1" w14:paraId="259C5616" w14:textId="77777777" w:rsidTr="2A085367">
        <w:trPr>
          <w:trHeight w:val="283"/>
        </w:trPr>
        <w:tc>
          <w:tcPr>
            <w:tcW w:w="2972" w:type="dxa"/>
            <w:tcBorders>
              <w:top w:val="nil"/>
              <w:left w:val="single" w:sz="4" w:space="0" w:color="A6A6A6" w:themeColor="background1" w:themeShade="A6"/>
              <w:bottom w:val="single" w:sz="4" w:space="0" w:color="A6A6A6" w:themeColor="background1" w:themeShade="A6"/>
              <w:right w:val="single" w:sz="4" w:space="0" w:color="A6A6A6" w:themeColor="background1" w:themeShade="A6"/>
            </w:tcBorders>
            <w:vAlign w:val="center"/>
            <w:hideMark/>
          </w:tcPr>
          <w:p w14:paraId="46743193" w14:textId="77777777" w:rsidR="006125A6" w:rsidRPr="00951AB1" w:rsidRDefault="006125A6" w:rsidP="000A5389">
            <w:pPr>
              <w:spacing w:line="240" w:lineRule="auto"/>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Prima técnica</w:t>
            </w:r>
          </w:p>
        </w:tc>
        <w:tc>
          <w:tcPr>
            <w:tcW w:w="1347" w:type="dxa"/>
            <w:tcBorders>
              <w:top w:val="nil"/>
              <w:left w:val="nil"/>
              <w:bottom w:val="single" w:sz="4" w:space="0" w:color="A6A6A6" w:themeColor="background1" w:themeShade="A6"/>
              <w:right w:val="single" w:sz="4" w:space="0" w:color="A6A6A6" w:themeColor="background1" w:themeShade="A6"/>
            </w:tcBorders>
            <w:vAlign w:val="center"/>
            <w:hideMark/>
          </w:tcPr>
          <w:p w14:paraId="729EC11F" w14:textId="77777777" w:rsidR="006125A6" w:rsidRPr="00951AB1" w:rsidRDefault="006125A6"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 xml:space="preserve">        5.471.468.359 </w:t>
            </w:r>
          </w:p>
        </w:tc>
        <w:tc>
          <w:tcPr>
            <w:tcW w:w="210" w:type="dxa"/>
            <w:tcBorders>
              <w:top w:val="nil"/>
              <w:left w:val="nil"/>
              <w:bottom w:val="nil"/>
              <w:right w:val="nil"/>
            </w:tcBorders>
            <w:noWrap/>
            <w:vAlign w:val="center"/>
            <w:hideMark/>
          </w:tcPr>
          <w:p w14:paraId="4F63B19B" w14:textId="77777777" w:rsidR="006125A6" w:rsidRPr="00951AB1" w:rsidRDefault="006125A6" w:rsidP="000A5389">
            <w:pPr>
              <w:spacing w:line="240" w:lineRule="auto"/>
              <w:jc w:val="right"/>
              <w:rPr>
                <w:rFonts w:eastAsia="Times New Roman" w:cs="Times New Roman"/>
                <w:color w:val="000000"/>
                <w:kern w:val="0"/>
                <w:sz w:val="18"/>
                <w:szCs w:val="18"/>
                <w:lang w:eastAsia="es-CO"/>
                <w14:ligatures w14:val="none"/>
              </w:rPr>
            </w:pPr>
          </w:p>
        </w:tc>
        <w:tc>
          <w:tcPr>
            <w:tcW w:w="3120" w:type="dxa"/>
            <w:tcBorders>
              <w:top w:val="nil"/>
              <w:left w:val="single" w:sz="4" w:space="0" w:color="A6A6A6" w:themeColor="background1" w:themeShade="A6"/>
              <w:bottom w:val="single" w:sz="4" w:space="0" w:color="A6A6A6" w:themeColor="background1" w:themeShade="A6"/>
              <w:right w:val="single" w:sz="4" w:space="0" w:color="A6A6A6" w:themeColor="background1" w:themeShade="A6"/>
            </w:tcBorders>
            <w:vAlign w:val="center"/>
            <w:hideMark/>
          </w:tcPr>
          <w:p w14:paraId="3EA15E27" w14:textId="77777777" w:rsidR="006125A6" w:rsidRPr="00951AB1" w:rsidRDefault="006125A6" w:rsidP="000A5389">
            <w:pPr>
              <w:spacing w:line="240" w:lineRule="auto"/>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Aportes al ICBF</w:t>
            </w:r>
          </w:p>
        </w:tc>
        <w:tc>
          <w:tcPr>
            <w:tcW w:w="1245" w:type="dxa"/>
            <w:tcBorders>
              <w:top w:val="nil"/>
              <w:left w:val="nil"/>
              <w:bottom w:val="single" w:sz="4" w:space="0" w:color="A6A6A6" w:themeColor="background1" w:themeShade="A6"/>
              <w:right w:val="single" w:sz="4" w:space="0" w:color="A6A6A6" w:themeColor="background1" w:themeShade="A6"/>
            </w:tcBorders>
            <w:vAlign w:val="center"/>
            <w:hideMark/>
          </w:tcPr>
          <w:p w14:paraId="4FA5C5A6" w14:textId="77777777" w:rsidR="006125A6" w:rsidRPr="00951AB1" w:rsidRDefault="006125A6"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 xml:space="preserve"> 1.302.122.000 </w:t>
            </w:r>
          </w:p>
        </w:tc>
      </w:tr>
      <w:tr w:rsidR="00D83BA9" w:rsidRPr="00951AB1" w14:paraId="7EC5BFA6" w14:textId="77777777" w:rsidTr="2A085367">
        <w:trPr>
          <w:trHeight w:val="283"/>
        </w:trPr>
        <w:tc>
          <w:tcPr>
            <w:tcW w:w="2972" w:type="dxa"/>
            <w:tcBorders>
              <w:top w:val="nil"/>
              <w:left w:val="single" w:sz="4" w:space="0" w:color="A6A6A6" w:themeColor="background1" w:themeShade="A6"/>
              <w:bottom w:val="single" w:sz="4" w:space="0" w:color="A6A6A6" w:themeColor="background1" w:themeShade="A6"/>
              <w:right w:val="single" w:sz="4" w:space="0" w:color="A6A6A6" w:themeColor="background1" w:themeShade="A6"/>
            </w:tcBorders>
            <w:vAlign w:val="center"/>
            <w:hideMark/>
          </w:tcPr>
          <w:p w14:paraId="799F493A" w14:textId="77777777" w:rsidR="006125A6" w:rsidRPr="00951AB1" w:rsidRDefault="006125A6" w:rsidP="000A5389">
            <w:pPr>
              <w:spacing w:line="240" w:lineRule="auto"/>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Cotizaciones a entidades administradoras del régimen de ahorro individual</w:t>
            </w:r>
          </w:p>
        </w:tc>
        <w:tc>
          <w:tcPr>
            <w:tcW w:w="1347" w:type="dxa"/>
            <w:tcBorders>
              <w:top w:val="nil"/>
              <w:left w:val="nil"/>
              <w:bottom w:val="single" w:sz="4" w:space="0" w:color="A6A6A6" w:themeColor="background1" w:themeShade="A6"/>
              <w:right w:val="single" w:sz="4" w:space="0" w:color="A6A6A6" w:themeColor="background1" w:themeShade="A6"/>
            </w:tcBorders>
            <w:vAlign w:val="center"/>
            <w:hideMark/>
          </w:tcPr>
          <w:p w14:paraId="6EC941F5" w14:textId="77777777" w:rsidR="006125A6" w:rsidRPr="00951AB1" w:rsidRDefault="006125A6"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 xml:space="preserve">        4.881.023.690 </w:t>
            </w:r>
          </w:p>
        </w:tc>
        <w:tc>
          <w:tcPr>
            <w:tcW w:w="210" w:type="dxa"/>
            <w:tcBorders>
              <w:top w:val="nil"/>
              <w:left w:val="nil"/>
              <w:bottom w:val="nil"/>
              <w:right w:val="nil"/>
            </w:tcBorders>
            <w:noWrap/>
            <w:vAlign w:val="center"/>
            <w:hideMark/>
          </w:tcPr>
          <w:p w14:paraId="39F45901" w14:textId="77777777" w:rsidR="006125A6" w:rsidRPr="00951AB1" w:rsidRDefault="006125A6" w:rsidP="000A5389">
            <w:pPr>
              <w:spacing w:line="240" w:lineRule="auto"/>
              <w:jc w:val="right"/>
              <w:rPr>
                <w:rFonts w:eastAsia="Times New Roman" w:cs="Times New Roman"/>
                <w:color w:val="000000"/>
                <w:kern w:val="0"/>
                <w:sz w:val="18"/>
                <w:szCs w:val="18"/>
                <w:lang w:eastAsia="es-CO"/>
                <w14:ligatures w14:val="none"/>
              </w:rPr>
            </w:pPr>
          </w:p>
        </w:tc>
        <w:tc>
          <w:tcPr>
            <w:tcW w:w="3120" w:type="dxa"/>
            <w:tcBorders>
              <w:top w:val="nil"/>
              <w:left w:val="single" w:sz="4" w:space="0" w:color="A6A6A6" w:themeColor="background1" w:themeShade="A6"/>
              <w:bottom w:val="single" w:sz="4" w:space="0" w:color="A6A6A6" w:themeColor="background1" w:themeShade="A6"/>
              <w:right w:val="single" w:sz="4" w:space="0" w:color="A6A6A6" w:themeColor="background1" w:themeShade="A6"/>
            </w:tcBorders>
            <w:vAlign w:val="center"/>
            <w:hideMark/>
          </w:tcPr>
          <w:p w14:paraId="6E073EB9" w14:textId="77777777" w:rsidR="006125A6" w:rsidRPr="00951AB1" w:rsidRDefault="006125A6" w:rsidP="000A5389">
            <w:pPr>
              <w:spacing w:line="240" w:lineRule="auto"/>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Capacitación, bienestar social y estímulos - corto plazo</w:t>
            </w:r>
          </w:p>
        </w:tc>
        <w:tc>
          <w:tcPr>
            <w:tcW w:w="1245" w:type="dxa"/>
            <w:tcBorders>
              <w:top w:val="nil"/>
              <w:left w:val="nil"/>
              <w:bottom w:val="single" w:sz="4" w:space="0" w:color="A6A6A6" w:themeColor="background1" w:themeShade="A6"/>
              <w:right w:val="single" w:sz="4" w:space="0" w:color="A6A6A6" w:themeColor="background1" w:themeShade="A6"/>
            </w:tcBorders>
            <w:vAlign w:val="center"/>
            <w:hideMark/>
          </w:tcPr>
          <w:p w14:paraId="26FE245D" w14:textId="77777777" w:rsidR="006125A6" w:rsidRPr="00951AB1" w:rsidRDefault="006125A6"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 xml:space="preserve">    959.399.255 </w:t>
            </w:r>
          </w:p>
        </w:tc>
      </w:tr>
      <w:tr w:rsidR="00D83BA9" w:rsidRPr="00951AB1" w14:paraId="322D1DD4" w14:textId="77777777" w:rsidTr="2A085367">
        <w:trPr>
          <w:trHeight w:val="283"/>
        </w:trPr>
        <w:tc>
          <w:tcPr>
            <w:tcW w:w="2972" w:type="dxa"/>
            <w:tcBorders>
              <w:top w:val="nil"/>
              <w:left w:val="single" w:sz="4" w:space="0" w:color="A6A6A6" w:themeColor="background1" w:themeShade="A6"/>
              <w:bottom w:val="single" w:sz="4" w:space="0" w:color="A6A6A6" w:themeColor="background1" w:themeShade="A6"/>
              <w:right w:val="single" w:sz="4" w:space="0" w:color="A6A6A6" w:themeColor="background1" w:themeShade="A6"/>
            </w:tcBorders>
            <w:vAlign w:val="center"/>
            <w:hideMark/>
          </w:tcPr>
          <w:p w14:paraId="03564888" w14:textId="77777777" w:rsidR="006125A6" w:rsidRPr="00951AB1" w:rsidRDefault="006125A6" w:rsidP="000A5389">
            <w:pPr>
              <w:spacing w:line="240" w:lineRule="auto"/>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Cesantías</w:t>
            </w:r>
          </w:p>
        </w:tc>
        <w:tc>
          <w:tcPr>
            <w:tcW w:w="1347" w:type="dxa"/>
            <w:tcBorders>
              <w:top w:val="nil"/>
              <w:left w:val="nil"/>
              <w:bottom w:val="single" w:sz="4" w:space="0" w:color="A6A6A6" w:themeColor="background1" w:themeShade="A6"/>
              <w:right w:val="single" w:sz="4" w:space="0" w:color="A6A6A6" w:themeColor="background1" w:themeShade="A6"/>
            </w:tcBorders>
            <w:vAlign w:val="center"/>
            <w:hideMark/>
          </w:tcPr>
          <w:p w14:paraId="20293B63" w14:textId="77777777" w:rsidR="006125A6" w:rsidRPr="00951AB1" w:rsidRDefault="006125A6"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 xml:space="preserve">        4.071.210.021 </w:t>
            </w:r>
          </w:p>
        </w:tc>
        <w:tc>
          <w:tcPr>
            <w:tcW w:w="210" w:type="dxa"/>
            <w:tcBorders>
              <w:top w:val="nil"/>
              <w:left w:val="nil"/>
              <w:bottom w:val="nil"/>
              <w:right w:val="nil"/>
            </w:tcBorders>
            <w:noWrap/>
            <w:vAlign w:val="center"/>
            <w:hideMark/>
          </w:tcPr>
          <w:p w14:paraId="68D7FE5C" w14:textId="77777777" w:rsidR="006125A6" w:rsidRPr="00951AB1" w:rsidRDefault="006125A6" w:rsidP="000A5389">
            <w:pPr>
              <w:spacing w:line="240" w:lineRule="auto"/>
              <w:jc w:val="right"/>
              <w:rPr>
                <w:rFonts w:eastAsia="Times New Roman" w:cs="Times New Roman"/>
                <w:color w:val="000000"/>
                <w:kern w:val="0"/>
                <w:sz w:val="18"/>
                <w:szCs w:val="18"/>
                <w:lang w:eastAsia="es-CO"/>
                <w14:ligatures w14:val="none"/>
              </w:rPr>
            </w:pPr>
          </w:p>
        </w:tc>
        <w:tc>
          <w:tcPr>
            <w:tcW w:w="3120" w:type="dxa"/>
            <w:tcBorders>
              <w:top w:val="nil"/>
              <w:left w:val="single" w:sz="4" w:space="0" w:color="A6A6A6" w:themeColor="background1" w:themeShade="A6"/>
              <w:bottom w:val="single" w:sz="4" w:space="0" w:color="A6A6A6" w:themeColor="background1" w:themeShade="A6"/>
              <w:right w:val="single" w:sz="4" w:space="0" w:color="A6A6A6" w:themeColor="background1" w:themeShade="A6"/>
            </w:tcBorders>
            <w:vAlign w:val="center"/>
            <w:hideMark/>
          </w:tcPr>
          <w:p w14:paraId="4145EE82" w14:textId="77777777" w:rsidR="006125A6" w:rsidRPr="00951AB1" w:rsidRDefault="006125A6" w:rsidP="000A5389">
            <w:pPr>
              <w:spacing w:line="240" w:lineRule="auto"/>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Aportes al SENA</w:t>
            </w:r>
          </w:p>
        </w:tc>
        <w:tc>
          <w:tcPr>
            <w:tcW w:w="1245" w:type="dxa"/>
            <w:tcBorders>
              <w:top w:val="nil"/>
              <w:left w:val="nil"/>
              <w:bottom w:val="single" w:sz="4" w:space="0" w:color="A6A6A6" w:themeColor="background1" w:themeShade="A6"/>
              <w:right w:val="single" w:sz="4" w:space="0" w:color="A6A6A6" w:themeColor="background1" w:themeShade="A6"/>
            </w:tcBorders>
            <w:vAlign w:val="center"/>
            <w:hideMark/>
          </w:tcPr>
          <w:p w14:paraId="32DBB7F6" w14:textId="77777777" w:rsidR="006125A6" w:rsidRPr="00951AB1" w:rsidRDefault="006125A6"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 xml:space="preserve">    868.103.400 </w:t>
            </w:r>
          </w:p>
        </w:tc>
      </w:tr>
      <w:tr w:rsidR="00D83BA9" w:rsidRPr="00951AB1" w14:paraId="5687B547" w14:textId="77777777" w:rsidTr="2A085367">
        <w:trPr>
          <w:trHeight w:val="283"/>
        </w:trPr>
        <w:tc>
          <w:tcPr>
            <w:tcW w:w="2972" w:type="dxa"/>
            <w:tcBorders>
              <w:top w:val="nil"/>
              <w:left w:val="single" w:sz="4" w:space="0" w:color="A6A6A6" w:themeColor="background1" w:themeShade="A6"/>
              <w:bottom w:val="single" w:sz="4" w:space="0" w:color="A6A6A6" w:themeColor="background1" w:themeShade="A6"/>
              <w:right w:val="single" w:sz="4" w:space="0" w:color="A6A6A6" w:themeColor="background1" w:themeShade="A6"/>
            </w:tcBorders>
            <w:vAlign w:val="center"/>
            <w:hideMark/>
          </w:tcPr>
          <w:p w14:paraId="07DE101B" w14:textId="77777777" w:rsidR="006125A6" w:rsidRPr="00951AB1" w:rsidRDefault="006125A6" w:rsidP="000A5389">
            <w:pPr>
              <w:spacing w:line="240" w:lineRule="auto"/>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Prima de navidad</w:t>
            </w:r>
          </w:p>
        </w:tc>
        <w:tc>
          <w:tcPr>
            <w:tcW w:w="1347" w:type="dxa"/>
            <w:tcBorders>
              <w:top w:val="nil"/>
              <w:left w:val="nil"/>
              <w:bottom w:val="single" w:sz="4" w:space="0" w:color="A6A6A6" w:themeColor="background1" w:themeShade="A6"/>
              <w:right w:val="single" w:sz="4" w:space="0" w:color="A6A6A6" w:themeColor="background1" w:themeShade="A6"/>
            </w:tcBorders>
            <w:vAlign w:val="center"/>
            <w:hideMark/>
          </w:tcPr>
          <w:p w14:paraId="6D1C9739" w14:textId="77777777" w:rsidR="006125A6" w:rsidRPr="00951AB1" w:rsidRDefault="006125A6"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 xml:space="preserve">        3.657.775.859 </w:t>
            </w:r>
          </w:p>
        </w:tc>
        <w:tc>
          <w:tcPr>
            <w:tcW w:w="210" w:type="dxa"/>
            <w:tcBorders>
              <w:top w:val="nil"/>
              <w:left w:val="nil"/>
              <w:bottom w:val="nil"/>
              <w:right w:val="nil"/>
            </w:tcBorders>
            <w:noWrap/>
            <w:vAlign w:val="center"/>
            <w:hideMark/>
          </w:tcPr>
          <w:p w14:paraId="7CE2677B" w14:textId="77777777" w:rsidR="006125A6" w:rsidRPr="00951AB1" w:rsidRDefault="006125A6" w:rsidP="000A5389">
            <w:pPr>
              <w:spacing w:line="240" w:lineRule="auto"/>
              <w:jc w:val="right"/>
              <w:rPr>
                <w:rFonts w:eastAsia="Times New Roman" w:cs="Times New Roman"/>
                <w:color w:val="000000"/>
                <w:kern w:val="0"/>
                <w:sz w:val="18"/>
                <w:szCs w:val="18"/>
                <w:lang w:eastAsia="es-CO"/>
                <w14:ligatures w14:val="none"/>
              </w:rPr>
            </w:pPr>
          </w:p>
        </w:tc>
        <w:tc>
          <w:tcPr>
            <w:tcW w:w="3120" w:type="dxa"/>
            <w:tcBorders>
              <w:top w:val="nil"/>
              <w:left w:val="single" w:sz="4" w:space="0" w:color="A6A6A6" w:themeColor="background1" w:themeShade="A6"/>
              <w:bottom w:val="single" w:sz="4" w:space="0" w:color="A6A6A6" w:themeColor="background1" w:themeShade="A6"/>
              <w:right w:val="single" w:sz="4" w:space="0" w:color="A6A6A6" w:themeColor="background1" w:themeShade="A6"/>
            </w:tcBorders>
            <w:vAlign w:val="center"/>
            <w:hideMark/>
          </w:tcPr>
          <w:p w14:paraId="14A8CA9A" w14:textId="77777777" w:rsidR="006125A6" w:rsidRPr="00951AB1" w:rsidRDefault="006125A6" w:rsidP="000A5389">
            <w:pPr>
              <w:spacing w:line="240" w:lineRule="auto"/>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Cotizaciones a riesgos laborales</w:t>
            </w:r>
          </w:p>
        </w:tc>
        <w:tc>
          <w:tcPr>
            <w:tcW w:w="1245" w:type="dxa"/>
            <w:tcBorders>
              <w:top w:val="nil"/>
              <w:left w:val="nil"/>
              <w:bottom w:val="single" w:sz="4" w:space="0" w:color="A6A6A6" w:themeColor="background1" w:themeShade="A6"/>
              <w:right w:val="single" w:sz="4" w:space="0" w:color="A6A6A6" w:themeColor="background1" w:themeShade="A6"/>
            </w:tcBorders>
            <w:vAlign w:val="center"/>
            <w:hideMark/>
          </w:tcPr>
          <w:p w14:paraId="2A714599" w14:textId="77777777" w:rsidR="006125A6" w:rsidRPr="00951AB1" w:rsidRDefault="006125A6"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 xml:space="preserve">    236.889.900 </w:t>
            </w:r>
          </w:p>
        </w:tc>
      </w:tr>
      <w:tr w:rsidR="00D83BA9" w:rsidRPr="00951AB1" w14:paraId="0206E25B" w14:textId="77777777" w:rsidTr="2A085367">
        <w:trPr>
          <w:trHeight w:val="283"/>
        </w:trPr>
        <w:tc>
          <w:tcPr>
            <w:tcW w:w="2972" w:type="dxa"/>
            <w:tcBorders>
              <w:top w:val="nil"/>
              <w:left w:val="single" w:sz="4" w:space="0" w:color="A6A6A6" w:themeColor="background1" w:themeShade="A6"/>
              <w:bottom w:val="single" w:sz="4" w:space="0" w:color="A6A6A6" w:themeColor="background1" w:themeShade="A6"/>
              <w:right w:val="single" w:sz="4" w:space="0" w:color="A6A6A6" w:themeColor="background1" w:themeShade="A6"/>
            </w:tcBorders>
            <w:vAlign w:val="center"/>
            <w:hideMark/>
          </w:tcPr>
          <w:p w14:paraId="2F425590" w14:textId="77777777" w:rsidR="006125A6" w:rsidRPr="00951AB1" w:rsidRDefault="006125A6" w:rsidP="000A5389">
            <w:pPr>
              <w:spacing w:line="240" w:lineRule="auto"/>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Cotizaciones a seguridad social en salud</w:t>
            </w:r>
          </w:p>
        </w:tc>
        <w:tc>
          <w:tcPr>
            <w:tcW w:w="1347" w:type="dxa"/>
            <w:tcBorders>
              <w:top w:val="nil"/>
              <w:left w:val="nil"/>
              <w:bottom w:val="single" w:sz="4" w:space="0" w:color="A6A6A6" w:themeColor="background1" w:themeShade="A6"/>
              <w:right w:val="single" w:sz="4" w:space="0" w:color="A6A6A6" w:themeColor="background1" w:themeShade="A6"/>
            </w:tcBorders>
            <w:vAlign w:val="center"/>
            <w:hideMark/>
          </w:tcPr>
          <w:p w14:paraId="1ED936F4" w14:textId="77777777" w:rsidR="006125A6" w:rsidRPr="00951AB1" w:rsidRDefault="006125A6"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 xml:space="preserve">        3.457.684.043 </w:t>
            </w:r>
          </w:p>
        </w:tc>
        <w:tc>
          <w:tcPr>
            <w:tcW w:w="210" w:type="dxa"/>
            <w:tcBorders>
              <w:top w:val="nil"/>
              <w:left w:val="nil"/>
              <w:bottom w:val="nil"/>
              <w:right w:val="nil"/>
            </w:tcBorders>
            <w:noWrap/>
            <w:vAlign w:val="center"/>
            <w:hideMark/>
          </w:tcPr>
          <w:p w14:paraId="0E1DE69E" w14:textId="77777777" w:rsidR="006125A6" w:rsidRPr="00951AB1" w:rsidRDefault="006125A6" w:rsidP="000A5389">
            <w:pPr>
              <w:spacing w:line="240" w:lineRule="auto"/>
              <w:jc w:val="right"/>
              <w:rPr>
                <w:rFonts w:eastAsia="Times New Roman" w:cs="Times New Roman"/>
                <w:color w:val="000000"/>
                <w:kern w:val="0"/>
                <w:sz w:val="18"/>
                <w:szCs w:val="18"/>
                <w:lang w:eastAsia="es-CO"/>
                <w14:ligatures w14:val="none"/>
              </w:rPr>
            </w:pPr>
          </w:p>
        </w:tc>
        <w:tc>
          <w:tcPr>
            <w:tcW w:w="3120" w:type="dxa"/>
            <w:tcBorders>
              <w:top w:val="nil"/>
              <w:left w:val="single" w:sz="4" w:space="0" w:color="A6A6A6" w:themeColor="background1" w:themeShade="A6"/>
              <w:bottom w:val="single" w:sz="4" w:space="0" w:color="A6A6A6" w:themeColor="background1" w:themeShade="A6"/>
              <w:right w:val="single" w:sz="4" w:space="0" w:color="A6A6A6" w:themeColor="background1" w:themeShade="A6"/>
            </w:tcBorders>
            <w:vAlign w:val="center"/>
            <w:hideMark/>
          </w:tcPr>
          <w:p w14:paraId="2C24E2D0" w14:textId="77777777" w:rsidR="006125A6" w:rsidRPr="00951AB1" w:rsidRDefault="006125A6" w:rsidP="000A5389">
            <w:pPr>
              <w:spacing w:line="240" w:lineRule="auto"/>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Bonificación especial de recreación</w:t>
            </w:r>
          </w:p>
        </w:tc>
        <w:tc>
          <w:tcPr>
            <w:tcW w:w="1245" w:type="dxa"/>
            <w:tcBorders>
              <w:top w:val="nil"/>
              <w:left w:val="nil"/>
              <w:bottom w:val="single" w:sz="4" w:space="0" w:color="A6A6A6" w:themeColor="background1" w:themeShade="A6"/>
              <w:right w:val="single" w:sz="4" w:space="0" w:color="A6A6A6" w:themeColor="background1" w:themeShade="A6"/>
            </w:tcBorders>
            <w:vAlign w:val="center"/>
            <w:hideMark/>
          </w:tcPr>
          <w:p w14:paraId="1E1E0DDF" w14:textId="77777777" w:rsidR="006125A6" w:rsidRPr="00951AB1" w:rsidRDefault="006125A6"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 xml:space="preserve">    218.504.510 </w:t>
            </w:r>
          </w:p>
        </w:tc>
      </w:tr>
      <w:tr w:rsidR="00D83BA9" w:rsidRPr="00951AB1" w14:paraId="28C9A81A" w14:textId="77777777" w:rsidTr="2A085367">
        <w:trPr>
          <w:trHeight w:val="283"/>
        </w:trPr>
        <w:tc>
          <w:tcPr>
            <w:tcW w:w="2972" w:type="dxa"/>
            <w:tcBorders>
              <w:top w:val="nil"/>
              <w:left w:val="single" w:sz="4" w:space="0" w:color="A6A6A6" w:themeColor="background1" w:themeShade="A6"/>
              <w:bottom w:val="single" w:sz="4" w:space="0" w:color="A6A6A6" w:themeColor="background1" w:themeShade="A6"/>
              <w:right w:val="single" w:sz="4" w:space="0" w:color="A6A6A6" w:themeColor="background1" w:themeShade="A6"/>
            </w:tcBorders>
            <w:vAlign w:val="center"/>
            <w:hideMark/>
          </w:tcPr>
          <w:p w14:paraId="5D267554" w14:textId="77777777" w:rsidR="006125A6" w:rsidRPr="00951AB1" w:rsidRDefault="006125A6" w:rsidP="000A5389">
            <w:pPr>
              <w:spacing w:line="240" w:lineRule="auto"/>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Vacaciones</w:t>
            </w:r>
          </w:p>
        </w:tc>
        <w:tc>
          <w:tcPr>
            <w:tcW w:w="1347" w:type="dxa"/>
            <w:tcBorders>
              <w:top w:val="nil"/>
              <w:left w:val="nil"/>
              <w:bottom w:val="single" w:sz="4" w:space="0" w:color="A6A6A6" w:themeColor="background1" w:themeShade="A6"/>
              <w:right w:val="single" w:sz="4" w:space="0" w:color="A6A6A6" w:themeColor="background1" w:themeShade="A6"/>
            </w:tcBorders>
            <w:vAlign w:val="center"/>
            <w:hideMark/>
          </w:tcPr>
          <w:p w14:paraId="2770012B" w14:textId="77777777" w:rsidR="006125A6" w:rsidRPr="00951AB1" w:rsidRDefault="006125A6"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 xml:space="preserve">        2.818.175.576 </w:t>
            </w:r>
          </w:p>
        </w:tc>
        <w:tc>
          <w:tcPr>
            <w:tcW w:w="210" w:type="dxa"/>
            <w:tcBorders>
              <w:top w:val="nil"/>
              <w:left w:val="nil"/>
              <w:bottom w:val="nil"/>
              <w:right w:val="nil"/>
            </w:tcBorders>
            <w:noWrap/>
            <w:vAlign w:val="center"/>
            <w:hideMark/>
          </w:tcPr>
          <w:p w14:paraId="0EE99D73" w14:textId="77777777" w:rsidR="006125A6" w:rsidRPr="00951AB1" w:rsidRDefault="006125A6" w:rsidP="000A5389">
            <w:pPr>
              <w:spacing w:line="240" w:lineRule="auto"/>
              <w:jc w:val="right"/>
              <w:rPr>
                <w:rFonts w:eastAsia="Times New Roman" w:cs="Times New Roman"/>
                <w:color w:val="000000"/>
                <w:kern w:val="0"/>
                <w:sz w:val="18"/>
                <w:szCs w:val="18"/>
                <w:lang w:eastAsia="es-CO"/>
                <w14:ligatures w14:val="none"/>
              </w:rPr>
            </w:pPr>
          </w:p>
        </w:tc>
        <w:tc>
          <w:tcPr>
            <w:tcW w:w="3120" w:type="dxa"/>
            <w:tcBorders>
              <w:top w:val="nil"/>
              <w:left w:val="single" w:sz="4" w:space="0" w:color="A6A6A6" w:themeColor="background1" w:themeShade="A6"/>
              <w:bottom w:val="single" w:sz="4" w:space="0" w:color="A6A6A6" w:themeColor="background1" w:themeShade="A6"/>
              <w:right w:val="single" w:sz="4" w:space="0" w:color="A6A6A6" w:themeColor="background1" w:themeShade="A6"/>
            </w:tcBorders>
            <w:vAlign w:val="center"/>
            <w:hideMark/>
          </w:tcPr>
          <w:p w14:paraId="3349FB8D" w14:textId="77777777" w:rsidR="006125A6" w:rsidRPr="00951AB1" w:rsidRDefault="006125A6" w:rsidP="000A5389">
            <w:pPr>
              <w:spacing w:line="240" w:lineRule="auto"/>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Horas extras y festivos</w:t>
            </w:r>
          </w:p>
        </w:tc>
        <w:tc>
          <w:tcPr>
            <w:tcW w:w="1245" w:type="dxa"/>
            <w:tcBorders>
              <w:top w:val="nil"/>
              <w:left w:val="nil"/>
              <w:bottom w:val="single" w:sz="4" w:space="0" w:color="A6A6A6" w:themeColor="background1" w:themeShade="A6"/>
              <w:right w:val="single" w:sz="4" w:space="0" w:color="A6A6A6" w:themeColor="background1" w:themeShade="A6"/>
            </w:tcBorders>
            <w:vAlign w:val="center"/>
            <w:hideMark/>
          </w:tcPr>
          <w:p w14:paraId="38442198" w14:textId="77777777" w:rsidR="006125A6" w:rsidRPr="00951AB1" w:rsidRDefault="006125A6"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 xml:space="preserve">    138.058.513 </w:t>
            </w:r>
          </w:p>
        </w:tc>
      </w:tr>
      <w:tr w:rsidR="00D83BA9" w:rsidRPr="00951AB1" w14:paraId="76973C68" w14:textId="77777777" w:rsidTr="2A085367">
        <w:trPr>
          <w:trHeight w:val="283"/>
        </w:trPr>
        <w:tc>
          <w:tcPr>
            <w:tcW w:w="2972" w:type="dxa"/>
            <w:tcBorders>
              <w:top w:val="nil"/>
              <w:left w:val="single" w:sz="4" w:space="0" w:color="A6A6A6" w:themeColor="background1" w:themeShade="A6"/>
              <w:bottom w:val="single" w:sz="4" w:space="0" w:color="A6A6A6" w:themeColor="background1" w:themeShade="A6"/>
              <w:right w:val="single" w:sz="4" w:space="0" w:color="A6A6A6" w:themeColor="background1" w:themeShade="A6"/>
            </w:tcBorders>
            <w:vAlign w:val="center"/>
            <w:hideMark/>
          </w:tcPr>
          <w:p w14:paraId="5B42A5CA" w14:textId="77777777" w:rsidR="006125A6" w:rsidRPr="00951AB1" w:rsidRDefault="006125A6" w:rsidP="000A5389">
            <w:pPr>
              <w:spacing w:line="240" w:lineRule="auto"/>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lastRenderedPageBreak/>
              <w:t>Prima de vacaciones</w:t>
            </w:r>
          </w:p>
        </w:tc>
        <w:tc>
          <w:tcPr>
            <w:tcW w:w="1347" w:type="dxa"/>
            <w:tcBorders>
              <w:top w:val="nil"/>
              <w:left w:val="nil"/>
              <w:bottom w:val="single" w:sz="4" w:space="0" w:color="A6A6A6" w:themeColor="background1" w:themeShade="A6"/>
              <w:right w:val="single" w:sz="4" w:space="0" w:color="A6A6A6" w:themeColor="background1" w:themeShade="A6"/>
            </w:tcBorders>
            <w:vAlign w:val="center"/>
            <w:hideMark/>
          </w:tcPr>
          <w:p w14:paraId="26DF2700" w14:textId="77777777" w:rsidR="006125A6" w:rsidRPr="00951AB1" w:rsidRDefault="006125A6"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 xml:space="preserve">        1.931.025.897 </w:t>
            </w:r>
          </w:p>
        </w:tc>
        <w:tc>
          <w:tcPr>
            <w:tcW w:w="210" w:type="dxa"/>
            <w:tcBorders>
              <w:top w:val="nil"/>
              <w:left w:val="nil"/>
              <w:bottom w:val="nil"/>
              <w:right w:val="nil"/>
            </w:tcBorders>
            <w:noWrap/>
            <w:vAlign w:val="center"/>
            <w:hideMark/>
          </w:tcPr>
          <w:p w14:paraId="59E80510" w14:textId="77777777" w:rsidR="006125A6" w:rsidRPr="00951AB1" w:rsidRDefault="006125A6" w:rsidP="000A5389">
            <w:pPr>
              <w:spacing w:line="240" w:lineRule="auto"/>
              <w:jc w:val="right"/>
              <w:rPr>
                <w:rFonts w:eastAsia="Times New Roman" w:cs="Times New Roman"/>
                <w:color w:val="000000"/>
                <w:kern w:val="0"/>
                <w:sz w:val="18"/>
                <w:szCs w:val="18"/>
                <w:lang w:eastAsia="es-CO"/>
                <w14:ligatures w14:val="none"/>
              </w:rPr>
            </w:pPr>
          </w:p>
        </w:tc>
        <w:tc>
          <w:tcPr>
            <w:tcW w:w="3120" w:type="dxa"/>
            <w:tcBorders>
              <w:top w:val="nil"/>
              <w:left w:val="single" w:sz="4" w:space="0" w:color="A6A6A6" w:themeColor="background1" w:themeShade="A6"/>
              <w:bottom w:val="single" w:sz="4" w:space="0" w:color="A6A6A6" w:themeColor="background1" w:themeShade="A6"/>
              <w:right w:val="single" w:sz="4" w:space="0" w:color="A6A6A6" w:themeColor="background1" w:themeShade="A6"/>
            </w:tcBorders>
            <w:vAlign w:val="center"/>
            <w:hideMark/>
          </w:tcPr>
          <w:p w14:paraId="35171D64" w14:textId="77777777" w:rsidR="006125A6" w:rsidRPr="00951AB1" w:rsidRDefault="006125A6" w:rsidP="000A5389">
            <w:pPr>
              <w:spacing w:line="240" w:lineRule="auto"/>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Dotación y suministro a trabajadores</w:t>
            </w:r>
          </w:p>
        </w:tc>
        <w:tc>
          <w:tcPr>
            <w:tcW w:w="1245" w:type="dxa"/>
            <w:tcBorders>
              <w:top w:val="nil"/>
              <w:left w:val="nil"/>
              <w:bottom w:val="single" w:sz="4" w:space="0" w:color="A6A6A6" w:themeColor="background1" w:themeShade="A6"/>
              <w:right w:val="single" w:sz="4" w:space="0" w:color="A6A6A6" w:themeColor="background1" w:themeShade="A6"/>
            </w:tcBorders>
            <w:vAlign w:val="center"/>
            <w:hideMark/>
          </w:tcPr>
          <w:p w14:paraId="52CF525B" w14:textId="77777777" w:rsidR="006125A6" w:rsidRPr="00951AB1" w:rsidRDefault="006125A6"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 xml:space="preserve">        5.310.000 </w:t>
            </w:r>
          </w:p>
        </w:tc>
      </w:tr>
      <w:tr w:rsidR="00D83BA9" w:rsidRPr="00951AB1" w14:paraId="059A6DD3" w14:textId="77777777" w:rsidTr="2A085367">
        <w:trPr>
          <w:trHeight w:val="283"/>
        </w:trPr>
        <w:tc>
          <w:tcPr>
            <w:tcW w:w="2972" w:type="dxa"/>
            <w:tcBorders>
              <w:top w:val="nil"/>
              <w:left w:val="single" w:sz="4" w:space="0" w:color="A6A6A6" w:themeColor="background1" w:themeShade="A6"/>
              <w:bottom w:val="single" w:sz="4" w:space="0" w:color="A6A6A6" w:themeColor="background1" w:themeShade="A6"/>
              <w:right w:val="single" w:sz="4" w:space="0" w:color="A6A6A6" w:themeColor="background1" w:themeShade="A6"/>
            </w:tcBorders>
            <w:vAlign w:val="center"/>
            <w:hideMark/>
          </w:tcPr>
          <w:p w14:paraId="22F54956" w14:textId="77777777" w:rsidR="006125A6" w:rsidRPr="00951AB1" w:rsidRDefault="006125A6" w:rsidP="000A5389">
            <w:pPr>
              <w:spacing w:line="240" w:lineRule="auto"/>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Prima de servicios</w:t>
            </w:r>
          </w:p>
        </w:tc>
        <w:tc>
          <w:tcPr>
            <w:tcW w:w="1347" w:type="dxa"/>
            <w:tcBorders>
              <w:top w:val="nil"/>
              <w:left w:val="nil"/>
              <w:bottom w:val="single" w:sz="4" w:space="0" w:color="A6A6A6" w:themeColor="background1" w:themeShade="A6"/>
              <w:right w:val="single" w:sz="4" w:space="0" w:color="A6A6A6" w:themeColor="background1" w:themeShade="A6"/>
            </w:tcBorders>
            <w:vAlign w:val="center"/>
            <w:hideMark/>
          </w:tcPr>
          <w:p w14:paraId="370B1CEB" w14:textId="77777777" w:rsidR="006125A6" w:rsidRPr="00951AB1" w:rsidRDefault="006125A6"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 xml:space="preserve">        1.753.437.240 </w:t>
            </w:r>
          </w:p>
        </w:tc>
        <w:tc>
          <w:tcPr>
            <w:tcW w:w="210" w:type="dxa"/>
            <w:tcBorders>
              <w:top w:val="nil"/>
              <w:left w:val="nil"/>
              <w:bottom w:val="nil"/>
              <w:right w:val="nil"/>
            </w:tcBorders>
            <w:noWrap/>
            <w:vAlign w:val="center"/>
            <w:hideMark/>
          </w:tcPr>
          <w:p w14:paraId="40613172" w14:textId="77777777" w:rsidR="006125A6" w:rsidRPr="00951AB1" w:rsidRDefault="006125A6" w:rsidP="000A5389">
            <w:pPr>
              <w:spacing w:line="240" w:lineRule="auto"/>
              <w:jc w:val="right"/>
              <w:rPr>
                <w:rFonts w:eastAsia="Times New Roman" w:cs="Times New Roman"/>
                <w:color w:val="000000"/>
                <w:kern w:val="0"/>
                <w:sz w:val="18"/>
                <w:szCs w:val="18"/>
                <w:lang w:eastAsia="es-CO"/>
                <w14:ligatures w14:val="none"/>
              </w:rPr>
            </w:pPr>
          </w:p>
        </w:tc>
        <w:tc>
          <w:tcPr>
            <w:tcW w:w="3120" w:type="dxa"/>
            <w:tcBorders>
              <w:top w:val="nil"/>
              <w:left w:val="single" w:sz="4" w:space="0" w:color="A6A6A6" w:themeColor="background1" w:themeShade="A6"/>
              <w:bottom w:val="single" w:sz="4" w:space="0" w:color="A6A6A6" w:themeColor="background1" w:themeShade="A6"/>
              <w:right w:val="single" w:sz="4" w:space="0" w:color="A6A6A6" w:themeColor="background1" w:themeShade="A6"/>
            </w:tcBorders>
            <w:vAlign w:val="center"/>
            <w:hideMark/>
          </w:tcPr>
          <w:p w14:paraId="6BB2C697" w14:textId="77777777" w:rsidR="006125A6" w:rsidRPr="00951AB1" w:rsidRDefault="006125A6" w:rsidP="000A5389">
            <w:pPr>
              <w:spacing w:line="240" w:lineRule="auto"/>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Auxilio de transporte</w:t>
            </w:r>
          </w:p>
        </w:tc>
        <w:tc>
          <w:tcPr>
            <w:tcW w:w="1245" w:type="dxa"/>
            <w:tcBorders>
              <w:top w:val="nil"/>
              <w:left w:val="nil"/>
              <w:bottom w:val="single" w:sz="4" w:space="0" w:color="A6A6A6" w:themeColor="background1" w:themeShade="A6"/>
              <w:right w:val="single" w:sz="4" w:space="0" w:color="A6A6A6" w:themeColor="background1" w:themeShade="A6"/>
            </w:tcBorders>
            <w:vAlign w:val="center"/>
            <w:hideMark/>
          </w:tcPr>
          <w:p w14:paraId="44798970" w14:textId="77777777" w:rsidR="006125A6" w:rsidRPr="00951AB1" w:rsidRDefault="006125A6"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 xml:space="preserve">        4.413.334 </w:t>
            </w:r>
          </w:p>
        </w:tc>
      </w:tr>
      <w:tr w:rsidR="00D83BA9" w:rsidRPr="00951AB1" w14:paraId="6BF6E167" w14:textId="77777777" w:rsidTr="2A085367">
        <w:trPr>
          <w:trHeight w:val="283"/>
        </w:trPr>
        <w:tc>
          <w:tcPr>
            <w:tcW w:w="2972" w:type="dxa"/>
            <w:tcBorders>
              <w:top w:val="nil"/>
              <w:left w:val="single" w:sz="4" w:space="0" w:color="A6A6A6" w:themeColor="background1" w:themeShade="A6"/>
              <w:bottom w:val="single" w:sz="4" w:space="0" w:color="A6A6A6" w:themeColor="background1" w:themeShade="A6"/>
              <w:right w:val="single" w:sz="4" w:space="0" w:color="A6A6A6" w:themeColor="background1" w:themeShade="A6"/>
            </w:tcBorders>
            <w:vAlign w:val="center"/>
            <w:hideMark/>
          </w:tcPr>
          <w:p w14:paraId="1073ECDB" w14:textId="77777777" w:rsidR="006125A6" w:rsidRPr="00951AB1" w:rsidRDefault="006125A6" w:rsidP="000A5389">
            <w:pPr>
              <w:spacing w:line="240" w:lineRule="auto"/>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Aportes a cajas de compensación familiar</w:t>
            </w:r>
          </w:p>
        </w:tc>
        <w:tc>
          <w:tcPr>
            <w:tcW w:w="1347" w:type="dxa"/>
            <w:tcBorders>
              <w:top w:val="nil"/>
              <w:left w:val="nil"/>
              <w:bottom w:val="single" w:sz="4" w:space="0" w:color="A6A6A6" w:themeColor="background1" w:themeShade="A6"/>
              <w:right w:val="single" w:sz="4" w:space="0" w:color="A6A6A6" w:themeColor="background1" w:themeShade="A6"/>
            </w:tcBorders>
            <w:vAlign w:val="center"/>
            <w:hideMark/>
          </w:tcPr>
          <w:p w14:paraId="4A523FAF" w14:textId="77777777" w:rsidR="006125A6" w:rsidRPr="00951AB1" w:rsidRDefault="006125A6"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 xml:space="preserve">        1.736.089.900 </w:t>
            </w:r>
          </w:p>
        </w:tc>
        <w:tc>
          <w:tcPr>
            <w:tcW w:w="210" w:type="dxa"/>
            <w:tcBorders>
              <w:top w:val="nil"/>
              <w:left w:val="nil"/>
              <w:bottom w:val="nil"/>
              <w:right w:val="nil"/>
            </w:tcBorders>
            <w:noWrap/>
            <w:vAlign w:val="center"/>
            <w:hideMark/>
          </w:tcPr>
          <w:p w14:paraId="50620A45" w14:textId="77777777" w:rsidR="006125A6" w:rsidRPr="00951AB1" w:rsidRDefault="006125A6" w:rsidP="000A5389">
            <w:pPr>
              <w:spacing w:line="240" w:lineRule="auto"/>
              <w:jc w:val="right"/>
              <w:rPr>
                <w:rFonts w:eastAsia="Times New Roman" w:cs="Times New Roman"/>
                <w:color w:val="000000"/>
                <w:kern w:val="0"/>
                <w:sz w:val="18"/>
                <w:szCs w:val="18"/>
                <w:lang w:eastAsia="es-CO"/>
                <w14:ligatures w14:val="none"/>
              </w:rPr>
            </w:pPr>
          </w:p>
        </w:tc>
        <w:tc>
          <w:tcPr>
            <w:tcW w:w="3120" w:type="dxa"/>
            <w:tcBorders>
              <w:top w:val="nil"/>
              <w:left w:val="single" w:sz="4" w:space="0" w:color="A6A6A6" w:themeColor="background1" w:themeShade="A6"/>
              <w:bottom w:val="single" w:sz="4" w:space="0" w:color="A6A6A6" w:themeColor="background1" w:themeShade="A6"/>
              <w:right w:val="single" w:sz="4" w:space="0" w:color="A6A6A6" w:themeColor="background1" w:themeShade="A6"/>
            </w:tcBorders>
            <w:vAlign w:val="center"/>
            <w:hideMark/>
          </w:tcPr>
          <w:p w14:paraId="5C30CFE8" w14:textId="77777777" w:rsidR="006125A6" w:rsidRPr="00951AB1" w:rsidRDefault="006125A6" w:rsidP="000A5389">
            <w:pPr>
              <w:spacing w:line="240" w:lineRule="auto"/>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Subsidio de alimentación</w:t>
            </w:r>
          </w:p>
        </w:tc>
        <w:tc>
          <w:tcPr>
            <w:tcW w:w="1245" w:type="dxa"/>
            <w:tcBorders>
              <w:top w:val="nil"/>
              <w:left w:val="nil"/>
              <w:bottom w:val="single" w:sz="4" w:space="0" w:color="A6A6A6" w:themeColor="background1" w:themeShade="A6"/>
              <w:right w:val="single" w:sz="4" w:space="0" w:color="A6A6A6" w:themeColor="background1" w:themeShade="A6"/>
            </w:tcBorders>
            <w:vAlign w:val="center"/>
            <w:hideMark/>
          </w:tcPr>
          <w:p w14:paraId="57A4E520" w14:textId="77777777" w:rsidR="006125A6" w:rsidRPr="00951AB1" w:rsidRDefault="006125A6"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 xml:space="preserve">        2.183.077 </w:t>
            </w:r>
          </w:p>
        </w:tc>
      </w:tr>
    </w:tbl>
    <w:p w14:paraId="5FBBB963" w14:textId="77777777" w:rsidR="00CC41F5" w:rsidRPr="00951AB1" w:rsidRDefault="00CC41F5" w:rsidP="000A5389">
      <w:pPr>
        <w:spacing w:line="240" w:lineRule="auto"/>
        <w:rPr>
          <w:rFonts w:cs="Times New Roman"/>
        </w:rPr>
      </w:pPr>
      <w:r w:rsidRPr="00951AB1">
        <w:rPr>
          <w:rFonts w:eastAsia="Times New Roman" w:cs="Times New Roman"/>
          <w:sz w:val="14"/>
          <w:szCs w:val="14"/>
        </w:rPr>
        <w:t>Cifras expresadas en pesos</w:t>
      </w:r>
    </w:p>
    <w:p w14:paraId="17829DB2" w14:textId="77777777" w:rsidR="003F09AF" w:rsidRPr="00951AB1" w:rsidRDefault="003F09AF" w:rsidP="000A5389">
      <w:pPr>
        <w:spacing w:line="240" w:lineRule="auto"/>
        <w:rPr>
          <w:rFonts w:cs="Times New Roman"/>
          <w:szCs w:val="24"/>
          <w:lang w:val="es-MX"/>
        </w:rPr>
      </w:pPr>
    </w:p>
    <w:p w14:paraId="772E220F" w14:textId="1E253464" w:rsidR="009C4F5F" w:rsidRPr="00951AB1" w:rsidRDefault="00781C90" w:rsidP="000A5389">
      <w:pPr>
        <w:spacing w:line="240" w:lineRule="auto"/>
        <w:rPr>
          <w:rFonts w:cs="Times New Roman"/>
          <w:highlight w:val="yellow"/>
        </w:rPr>
      </w:pPr>
      <w:r w:rsidRPr="00951AB1">
        <w:rPr>
          <w:rFonts w:cs="Times New Roman"/>
          <w:szCs w:val="24"/>
          <w:lang w:val="es-MX"/>
        </w:rPr>
        <w:t>Y los valores pendientes por pagar así:</w:t>
      </w:r>
    </w:p>
    <w:p w14:paraId="04306EA0" w14:textId="00E7784A" w:rsidR="00CC41F5" w:rsidRPr="00951AB1" w:rsidRDefault="00CC41F5" w:rsidP="000A5389">
      <w:pPr>
        <w:spacing w:line="240" w:lineRule="auto"/>
        <w:rPr>
          <w:rFonts w:cs="Times New Roman"/>
        </w:rPr>
      </w:pPr>
    </w:p>
    <w:tbl>
      <w:tblPr>
        <w:tblW w:w="0" w:type="auto"/>
        <w:tbl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insideH w:val="single" w:sz="2" w:space="0" w:color="A6A6A6" w:themeColor="background1" w:themeShade="A6"/>
          <w:insideV w:val="single" w:sz="2" w:space="0" w:color="A6A6A6" w:themeColor="background1" w:themeShade="A6"/>
        </w:tblBorders>
        <w:tblLook w:val="04A0" w:firstRow="1" w:lastRow="0" w:firstColumn="1" w:lastColumn="0" w:noHBand="0" w:noVBand="1"/>
      </w:tblPr>
      <w:tblGrid>
        <w:gridCol w:w="884"/>
        <w:gridCol w:w="821"/>
        <w:gridCol w:w="5540"/>
        <w:gridCol w:w="1573"/>
      </w:tblGrid>
      <w:tr w:rsidR="00CB09BB" w:rsidRPr="00336FA0" w14:paraId="35EE390A" w14:textId="77777777" w:rsidTr="00FA3856">
        <w:trPr>
          <w:trHeight w:val="570"/>
        </w:trPr>
        <w:tc>
          <w:tcPr>
            <w:tcW w:w="7245" w:type="dxa"/>
            <w:gridSpan w:val="3"/>
            <w:tcMar>
              <w:left w:w="70" w:type="dxa"/>
              <w:right w:w="70" w:type="dxa"/>
            </w:tcMar>
            <w:vAlign w:val="center"/>
          </w:tcPr>
          <w:p w14:paraId="31AA5FEA" w14:textId="139349DE" w:rsidR="25BD33D2" w:rsidRPr="00336FA0" w:rsidRDefault="25BD33D2" w:rsidP="000A5389">
            <w:pPr>
              <w:spacing w:line="240" w:lineRule="auto"/>
              <w:jc w:val="center"/>
              <w:rPr>
                <w:rFonts w:eastAsia="Times New Roman" w:cs="Times New Roman"/>
                <w:b/>
                <w:sz w:val="18"/>
                <w:szCs w:val="18"/>
              </w:rPr>
            </w:pPr>
            <w:r w:rsidRPr="00336FA0">
              <w:rPr>
                <w:rFonts w:eastAsia="Times New Roman" w:cs="Times New Roman"/>
                <w:b/>
                <w:sz w:val="18"/>
                <w:szCs w:val="18"/>
              </w:rPr>
              <w:t>CONCEPTO</w:t>
            </w:r>
          </w:p>
        </w:tc>
        <w:tc>
          <w:tcPr>
            <w:tcW w:w="1573" w:type="dxa"/>
            <w:tcMar>
              <w:left w:w="70" w:type="dxa"/>
              <w:right w:w="70" w:type="dxa"/>
            </w:tcMar>
            <w:vAlign w:val="center"/>
          </w:tcPr>
          <w:p w14:paraId="751C2601" w14:textId="1DC20987" w:rsidR="25BD33D2" w:rsidRPr="00336FA0" w:rsidRDefault="25BD33D2" w:rsidP="000A5389">
            <w:pPr>
              <w:spacing w:line="240" w:lineRule="auto"/>
              <w:jc w:val="center"/>
              <w:rPr>
                <w:rFonts w:eastAsia="Times New Roman" w:cs="Times New Roman"/>
                <w:b/>
                <w:sz w:val="18"/>
                <w:szCs w:val="18"/>
              </w:rPr>
            </w:pPr>
            <w:r w:rsidRPr="00336FA0">
              <w:rPr>
                <w:rFonts w:eastAsia="Times New Roman" w:cs="Times New Roman"/>
                <w:b/>
                <w:sz w:val="18"/>
                <w:szCs w:val="18"/>
              </w:rPr>
              <w:t>VALOR EN LIBROS</w:t>
            </w:r>
          </w:p>
        </w:tc>
      </w:tr>
      <w:tr w:rsidR="00CB09BB" w:rsidRPr="00336FA0" w14:paraId="37D6A94C" w14:textId="77777777" w:rsidTr="00FA3856">
        <w:trPr>
          <w:trHeight w:val="300"/>
        </w:trPr>
        <w:tc>
          <w:tcPr>
            <w:tcW w:w="884" w:type="dxa"/>
            <w:tcMar>
              <w:left w:w="70" w:type="dxa"/>
              <w:right w:w="70" w:type="dxa"/>
            </w:tcMar>
            <w:vAlign w:val="center"/>
          </w:tcPr>
          <w:p w14:paraId="4245B5DC" w14:textId="16B670AF" w:rsidR="25BD33D2" w:rsidRPr="00336FA0" w:rsidRDefault="25BD33D2" w:rsidP="000A5389">
            <w:pPr>
              <w:spacing w:line="240" w:lineRule="auto"/>
              <w:rPr>
                <w:rFonts w:eastAsia="Times New Roman" w:cs="Times New Roman"/>
                <w:b/>
                <w:sz w:val="18"/>
                <w:szCs w:val="18"/>
              </w:rPr>
            </w:pPr>
            <w:r w:rsidRPr="00336FA0">
              <w:rPr>
                <w:rFonts w:eastAsia="Times New Roman" w:cs="Times New Roman"/>
                <w:b/>
                <w:sz w:val="18"/>
                <w:szCs w:val="18"/>
              </w:rPr>
              <w:t>2.5.11</w:t>
            </w:r>
          </w:p>
        </w:tc>
        <w:tc>
          <w:tcPr>
            <w:tcW w:w="821" w:type="dxa"/>
            <w:tcMar>
              <w:left w:w="70" w:type="dxa"/>
              <w:right w:w="70" w:type="dxa"/>
            </w:tcMar>
            <w:vAlign w:val="center"/>
          </w:tcPr>
          <w:p w14:paraId="52516575" w14:textId="38FFEFC3" w:rsidR="25BD33D2" w:rsidRPr="00336FA0" w:rsidRDefault="25BD33D2" w:rsidP="000A5389">
            <w:pPr>
              <w:spacing w:line="240" w:lineRule="auto"/>
              <w:jc w:val="center"/>
              <w:rPr>
                <w:rFonts w:eastAsia="Times New Roman" w:cs="Times New Roman"/>
                <w:b/>
                <w:sz w:val="18"/>
                <w:szCs w:val="18"/>
              </w:rPr>
            </w:pPr>
            <w:r w:rsidRPr="00336FA0">
              <w:rPr>
                <w:rFonts w:eastAsia="Times New Roman" w:cs="Times New Roman"/>
                <w:b/>
                <w:sz w:val="18"/>
                <w:szCs w:val="18"/>
              </w:rPr>
              <w:t>Cr</w:t>
            </w:r>
          </w:p>
        </w:tc>
        <w:tc>
          <w:tcPr>
            <w:tcW w:w="5540" w:type="dxa"/>
            <w:tcMar>
              <w:left w:w="70" w:type="dxa"/>
              <w:right w:w="70" w:type="dxa"/>
            </w:tcMar>
            <w:vAlign w:val="center"/>
          </w:tcPr>
          <w:p w14:paraId="351561FC" w14:textId="50B12169" w:rsidR="25BD33D2" w:rsidRPr="00336FA0" w:rsidRDefault="25BD33D2" w:rsidP="000A5389">
            <w:pPr>
              <w:spacing w:line="240" w:lineRule="auto"/>
              <w:rPr>
                <w:rFonts w:eastAsia="Times New Roman" w:cs="Times New Roman"/>
                <w:b/>
                <w:sz w:val="18"/>
                <w:szCs w:val="18"/>
              </w:rPr>
            </w:pPr>
            <w:r w:rsidRPr="00336FA0">
              <w:rPr>
                <w:rFonts w:eastAsia="Times New Roman" w:cs="Times New Roman"/>
                <w:b/>
                <w:sz w:val="18"/>
                <w:szCs w:val="18"/>
              </w:rPr>
              <w:t>BENEFICIOS A LOS EMPLEADOS A CORTO PLAZO</w:t>
            </w:r>
          </w:p>
        </w:tc>
        <w:tc>
          <w:tcPr>
            <w:tcW w:w="1573" w:type="dxa"/>
            <w:tcMar>
              <w:left w:w="70" w:type="dxa"/>
              <w:right w:w="70" w:type="dxa"/>
            </w:tcMar>
            <w:vAlign w:val="center"/>
          </w:tcPr>
          <w:p w14:paraId="08785D51" w14:textId="00691EFE" w:rsidR="25BD33D2" w:rsidRPr="00336FA0" w:rsidRDefault="25BD33D2" w:rsidP="000A5389">
            <w:pPr>
              <w:spacing w:line="240" w:lineRule="auto"/>
              <w:jc w:val="right"/>
              <w:rPr>
                <w:rFonts w:eastAsia="Times New Roman" w:cs="Times New Roman"/>
                <w:b/>
                <w:sz w:val="18"/>
                <w:szCs w:val="18"/>
              </w:rPr>
            </w:pPr>
            <w:r w:rsidRPr="00336FA0">
              <w:rPr>
                <w:rFonts w:eastAsia="Times New Roman" w:cs="Times New Roman"/>
                <w:b/>
                <w:sz w:val="18"/>
                <w:szCs w:val="18"/>
              </w:rPr>
              <w:t xml:space="preserve">6.612.573.756 </w:t>
            </w:r>
          </w:p>
        </w:tc>
      </w:tr>
      <w:tr w:rsidR="00CB09BB" w:rsidRPr="00336FA0" w14:paraId="64A7A145" w14:textId="77777777" w:rsidTr="00FA3856">
        <w:trPr>
          <w:trHeight w:val="300"/>
        </w:trPr>
        <w:tc>
          <w:tcPr>
            <w:tcW w:w="884" w:type="dxa"/>
            <w:tcMar>
              <w:left w:w="70" w:type="dxa"/>
              <w:right w:w="70" w:type="dxa"/>
            </w:tcMar>
            <w:vAlign w:val="center"/>
          </w:tcPr>
          <w:p w14:paraId="43212051" w14:textId="2F9862C0" w:rsidR="25BD33D2" w:rsidRPr="00336FA0" w:rsidRDefault="25BD33D2" w:rsidP="000A5389">
            <w:pPr>
              <w:spacing w:line="240" w:lineRule="auto"/>
              <w:rPr>
                <w:rFonts w:eastAsia="Times New Roman" w:cs="Times New Roman"/>
                <w:sz w:val="18"/>
                <w:szCs w:val="18"/>
              </w:rPr>
            </w:pPr>
            <w:r w:rsidRPr="00336FA0">
              <w:rPr>
                <w:rFonts w:eastAsia="Times New Roman" w:cs="Times New Roman"/>
                <w:sz w:val="18"/>
                <w:szCs w:val="18"/>
              </w:rPr>
              <w:t>2.5.11.04</w:t>
            </w:r>
          </w:p>
        </w:tc>
        <w:tc>
          <w:tcPr>
            <w:tcW w:w="821" w:type="dxa"/>
            <w:tcMar>
              <w:left w:w="70" w:type="dxa"/>
              <w:right w:w="70" w:type="dxa"/>
            </w:tcMar>
            <w:vAlign w:val="center"/>
          </w:tcPr>
          <w:p w14:paraId="017948BA" w14:textId="43CBC476" w:rsidR="25BD33D2" w:rsidRPr="00336FA0" w:rsidRDefault="25BD33D2" w:rsidP="000A5389">
            <w:pPr>
              <w:spacing w:line="240" w:lineRule="auto"/>
              <w:jc w:val="center"/>
              <w:rPr>
                <w:rFonts w:eastAsia="Times New Roman" w:cs="Times New Roman"/>
                <w:sz w:val="18"/>
                <w:szCs w:val="18"/>
              </w:rPr>
            </w:pPr>
            <w:r w:rsidRPr="00336FA0">
              <w:rPr>
                <w:rFonts w:eastAsia="Times New Roman" w:cs="Times New Roman"/>
                <w:sz w:val="18"/>
                <w:szCs w:val="18"/>
              </w:rPr>
              <w:t>Cr</w:t>
            </w:r>
          </w:p>
        </w:tc>
        <w:tc>
          <w:tcPr>
            <w:tcW w:w="5540" w:type="dxa"/>
            <w:tcMar>
              <w:left w:w="70" w:type="dxa"/>
              <w:right w:w="70" w:type="dxa"/>
            </w:tcMar>
            <w:vAlign w:val="center"/>
          </w:tcPr>
          <w:p w14:paraId="2E9634A0" w14:textId="0791220C" w:rsidR="25BD33D2" w:rsidRPr="00336FA0" w:rsidRDefault="25BD33D2" w:rsidP="000A5389">
            <w:pPr>
              <w:spacing w:line="240" w:lineRule="auto"/>
              <w:rPr>
                <w:rFonts w:eastAsia="Times New Roman" w:cs="Times New Roman"/>
                <w:sz w:val="18"/>
                <w:szCs w:val="18"/>
              </w:rPr>
            </w:pPr>
            <w:r w:rsidRPr="00336FA0">
              <w:rPr>
                <w:rFonts w:eastAsia="Times New Roman" w:cs="Times New Roman"/>
                <w:sz w:val="18"/>
                <w:szCs w:val="18"/>
              </w:rPr>
              <w:t>Vacaciones</w:t>
            </w:r>
          </w:p>
        </w:tc>
        <w:tc>
          <w:tcPr>
            <w:tcW w:w="1573" w:type="dxa"/>
            <w:tcMar>
              <w:left w:w="70" w:type="dxa"/>
              <w:right w:w="70" w:type="dxa"/>
            </w:tcMar>
            <w:vAlign w:val="center"/>
          </w:tcPr>
          <w:p w14:paraId="311EC986" w14:textId="0C56EA35" w:rsidR="25BD33D2" w:rsidRPr="00336FA0" w:rsidRDefault="25BD33D2" w:rsidP="000A5389">
            <w:pPr>
              <w:spacing w:line="240" w:lineRule="auto"/>
              <w:jc w:val="right"/>
              <w:rPr>
                <w:rFonts w:eastAsia="Times New Roman" w:cs="Times New Roman"/>
                <w:sz w:val="18"/>
                <w:szCs w:val="18"/>
              </w:rPr>
            </w:pPr>
            <w:r w:rsidRPr="00336FA0">
              <w:rPr>
                <w:rFonts w:eastAsia="Times New Roman" w:cs="Times New Roman"/>
                <w:sz w:val="18"/>
                <w:szCs w:val="18"/>
              </w:rPr>
              <w:t xml:space="preserve">2.899.530.140 </w:t>
            </w:r>
          </w:p>
        </w:tc>
      </w:tr>
      <w:tr w:rsidR="00CB09BB" w:rsidRPr="00336FA0" w14:paraId="71839588" w14:textId="77777777" w:rsidTr="00FA3856">
        <w:trPr>
          <w:trHeight w:val="300"/>
        </w:trPr>
        <w:tc>
          <w:tcPr>
            <w:tcW w:w="884" w:type="dxa"/>
            <w:tcMar>
              <w:left w:w="70" w:type="dxa"/>
              <w:right w:w="70" w:type="dxa"/>
            </w:tcMar>
            <w:vAlign w:val="center"/>
          </w:tcPr>
          <w:p w14:paraId="3CBAFA3E" w14:textId="6B62B022" w:rsidR="25BD33D2" w:rsidRPr="00336FA0" w:rsidRDefault="25BD33D2" w:rsidP="000A5389">
            <w:pPr>
              <w:spacing w:line="240" w:lineRule="auto"/>
              <w:rPr>
                <w:rFonts w:eastAsia="Times New Roman" w:cs="Times New Roman"/>
                <w:sz w:val="18"/>
                <w:szCs w:val="18"/>
              </w:rPr>
            </w:pPr>
            <w:r w:rsidRPr="00336FA0">
              <w:rPr>
                <w:rFonts w:eastAsia="Times New Roman" w:cs="Times New Roman"/>
                <w:sz w:val="18"/>
                <w:szCs w:val="18"/>
              </w:rPr>
              <w:t>2.5.11.05</w:t>
            </w:r>
          </w:p>
        </w:tc>
        <w:tc>
          <w:tcPr>
            <w:tcW w:w="821" w:type="dxa"/>
            <w:tcMar>
              <w:left w:w="70" w:type="dxa"/>
              <w:right w:w="70" w:type="dxa"/>
            </w:tcMar>
            <w:vAlign w:val="center"/>
          </w:tcPr>
          <w:p w14:paraId="45E3CF46" w14:textId="0D47437B" w:rsidR="25BD33D2" w:rsidRPr="00336FA0" w:rsidRDefault="25BD33D2" w:rsidP="000A5389">
            <w:pPr>
              <w:spacing w:line="240" w:lineRule="auto"/>
              <w:jc w:val="center"/>
              <w:rPr>
                <w:rFonts w:eastAsia="Times New Roman" w:cs="Times New Roman"/>
                <w:sz w:val="18"/>
                <w:szCs w:val="18"/>
              </w:rPr>
            </w:pPr>
            <w:r w:rsidRPr="00336FA0">
              <w:rPr>
                <w:rFonts w:eastAsia="Times New Roman" w:cs="Times New Roman"/>
                <w:sz w:val="18"/>
                <w:szCs w:val="18"/>
              </w:rPr>
              <w:t>Cr</w:t>
            </w:r>
          </w:p>
        </w:tc>
        <w:tc>
          <w:tcPr>
            <w:tcW w:w="5540" w:type="dxa"/>
            <w:tcMar>
              <w:left w:w="70" w:type="dxa"/>
              <w:right w:w="70" w:type="dxa"/>
            </w:tcMar>
            <w:vAlign w:val="center"/>
          </w:tcPr>
          <w:p w14:paraId="2238297C" w14:textId="1EFF5F93" w:rsidR="25BD33D2" w:rsidRPr="00336FA0" w:rsidRDefault="25BD33D2" w:rsidP="000A5389">
            <w:pPr>
              <w:spacing w:line="240" w:lineRule="auto"/>
              <w:rPr>
                <w:rFonts w:eastAsia="Times New Roman" w:cs="Times New Roman"/>
                <w:sz w:val="18"/>
                <w:szCs w:val="18"/>
              </w:rPr>
            </w:pPr>
            <w:r w:rsidRPr="00336FA0">
              <w:rPr>
                <w:rFonts w:eastAsia="Times New Roman" w:cs="Times New Roman"/>
                <w:sz w:val="18"/>
                <w:szCs w:val="18"/>
              </w:rPr>
              <w:t>Prima de vacaciones</w:t>
            </w:r>
          </w:p>
        </w:tc>
        <w:tc>
          <w:tcPr>
            <w:tcW w:w="1573" w:type="dxa"/>
            <w:tcMar>
              <w:left w:w="70" w:type="dxa"/>
              <w:right w:w="70" w:type="dxa"/>
            </w:tcMar>
            <w:vAlign w:val="center"/>
          </w:tcPr>
          <w:p w14:paraId="70577DA9" w14:textId="4BA393C4" w:rsidR="25BD33D2" w:rsidRPr="00336FA0" w:rsidRDefault="25BD33D2" w:rsidP="000A5389">
            <w:pPr>
              <w:spacing w:line="240" w:lineRule="auto"/>
              <w:jc w:val="right"/>
              <w:rPr>
                <w:rFonts w:eastAsia="Times New Roman" w:cs="Times New Roman"/>
                <w:sz w:val="18"/>
                <w:szCs w:val="18"/>
              </w:rPr>
            </w:pPr>
            <w:r w:rsidRPr="00336FA0">
              <w:rPr>
                <w:rFonts w:eastAsia="Times New Roman" w:cs="Times New Roman"/>
                <w:sz w:val="18"/>
                <w:szCs w:val="18"/>
              </w:rPr>
              <w:t xml:space="preserve">2.071.101.060 </w:t>
            </w:r>
          </w:p>
        </w:tc>
      </w:tr>
      <w:tr w:rsidR="00CB09BB" w:rsidRPr="00336FA0" w14:paraId="0AA1CEDB" w14:textId="77777777" w:rsidTr="00FA3856">
        <w:trPr>
          <w:trHeight w:val="300"/>
        </w:trPr>
        <w:tc>
          <w:tcPr>
            <w:tcW w:w="884" w:type="dxa"/>
            <w:tcMar>
              <w:left w:w="70" w:type="dxa"/>
              <w:right w:w="70" w:type="dxa"/>
            </w:tcMar>
            <w:vAlign w:val="center"/>
          </w:tcPr>
          <w:p w14:paraId="6A7D03D8" w14:textId="7CAE3B5C" w:rsidR="25BD33D2" w:rsidRPr="00336FA0" w:rsidRDefault="25BD33D2" w:rsidP="000A5389">
            <w:pPr>
              <w:spacing w:line="240" w:lineRule="auto"/>
              <w:rPr>
                <w:rFonts w:eastAsia="Times New Roman" w:cs="Times New Roman"/>
                <w:sz w:val="18"/>
                <w:szCs w:val="18"/>
              </w:rPr>
            </w:pPr>
            <w:r w:rsidRPr="00336FA0">
              <w:rPr>
                <w:rFonts w:eastAsia="Times New Roman" w:cs="Times New Roman"/>
                <w:sz w:val="18"/>
                <w:szCs w:val="18"/>
              </w:rPr>
              <w:t>2.5.11.06</w:t>
            </w:r>
          </w:p>
        </w:tc>
        <w:tc>
          <w:tcPr>
            <w:tcW w:w="821" w:type="dxa"/>
            <w:tcMar>
              <w:left w:w="70" w:type="dxa"/>
              <w:right w:w="70" w:type="dxa"/>
            </w:tcMar>
            <w:vAlign w:val="center"/>
          </w:tcPr>
          <w:p w14:paraId="5A64D6B6" w14:textId="232B7728" w:rsidR="25BD33D2" w:rsidRPr="00336FA0" w:rsidRDefault="25BD33D2" w:rsidP="000A5389">
            <w:pPr>
              <w:spacing w:line="240" w:lineRule="auto"/>
              <w:jc w:val="center"/>
              <w:rPr>
                <w:rFonts w:eastAsia="Times New Roman" w:cs="Times New Roman"/>
                <w:sz w:val="18"/>
                <w:szCs w:val="18"/>
              </w:rPr>
            </w:pPr>
            <w:r w:rsidRPr="00336FA0">
              <w:rPr>
                <w:rFonts w:eastAsia="Times New Roman" w:cs="Times New Roman"/>
                <w:sz w:val="18"/>
                <w:szCs w:val="18"/>
              </w:rPr>
              <w:t>Cr</w:t>
            </w:r>
          </w:p>
        </w:tc>
        <w:tc>
          <w:tcPr>
            <w:tcW w:w="5540" w:type="dxa"/>
            <w:tcMar>
              <w:left w:w="70" w:type="dxa"/>
              <w:right w:w="70" w:type="dxa"/>
            </w:tcMar>
            <w:vAlign w:val="center"/>
          </w:tcPr>
          <w:p w14:paraId="5FB50D6D" w14:textId="501F0C38" w:rsidR="25BD33D2" w:rsidRPr="00336FA0" w:rsidRDefault="25BD33D2" w:rsidP="000A5389">
            <w:pPr>
              <w:spacing w:line="240" w:lineRule="auto"/>
              <w:rPr>
                <w:rFonts w:eastAsia="Times New Roman" w:cs="Times New Roman"/>
                <w:sz w:val="18"/>
                <w:szCs w:val="18"/>
              </w:rPr>
            </w:pPr>
            <w:r w:rsidRPr="00336FA0">
              <w:rPr>
                <w:rFonts w:eastAsia="Times New Roman" w:cs="Times New Roman"/>
                <w:sz w:val="18"/>
                <w:szCs w:val="18"/>
              </w:rPr>
              <w:t>Prima de servicios</w:t>
            </w:r>
          </w:p>
        </w:tc>
        <w:tc>
          <w:tcPr>
            <w:tcW w:w="1573" w:type="dxa"/>
            <w:tcMar>
              <w:left w:w="70" w:type="dxa"/>
              <w:right w:w="70" w:type="dxa"/>
            </w:tcMar>
            <w:vAlign w:val="center"/>
          </w:tcPr>
          <w:p w14:paraId="6F9E6688" w14:textId="1FD2F900" w:rsidR="25BD33D2" w:rsidRPr="00336FA0" w:rsidRDefault="25BD33D2" w:rsidP="000A5389">
            <w:pPr>
              <w:spacing w:line="240" w:lineRule="auto"/>
              <w:jc w:val="right"/>
              <w:rPr>
                <w:rFonts w:eastAsia="Times New Roman" w:cs="Times New Roman"/>
                <w:sz w:val="18"/>
                <w:szCs w:val="18"/>
              </w:rPr>
            </w:pPr>
            <w:r w:rsidRPr="00336FA0">
              <w:rPr>
                <w:rFonts w:eastAsia="Times New Roman" w:cs="Times New Roman"/>
                <w:sz w:val="18"/>
                <w:szCs w:val="18"/>
              </w:rPr>
              <w:t xml:space="preserve">816.009.304 </w:t>
            </w:r>
          </w:p>
        </w:tc>
      </w:tr>
      <w:tr w:rsidR="00CB09BB" w:rsidRPr="00336FA0" w14:paraId="2F1A9EAC" w14:textId="77777777" w:rsidTr="00FA3856">
        <w:trPr>
          <w:trHeight w:val="300"/>
        </w:trPr>
        <w:tc>
          <w:tcPr>
            <w:tcW w:w="884" w:type="dxa"/>
            <w:tcMar>
              <w:left w:w="70" w:type="dxa"/>
              <w:right w:w="70" w:type="dxa"/>
            </w:tcMar>
            <w:vAlign w:val="center"/>
          </w:tcPr>
          <w:p w14:paraId="0E159ADA" w14:textId="11EAD3E1" w:rsidR="25BD33D2" w:rsidRPr="00336FA0" w:rsidRDefault="25BD33D2" w:rsidP="000A5389">
            <w:pPr>
              <w:spacing w:line="240" w:lineRule="auto"/>
              <w:rPr>
                <w:rFonts w:eastAsia="Times New Roman" w:cs="Times New Roman"/>
                <w:sz w:val="18"/>
                <w:szCs w:val="18"/>
              </w:rPr>
            </w:pPr>
            <w:r w:rsidRPr="00336FA0">
              <w:rPr>
                <w:rFonts w:eastAsia="Times New Roman" w:cs="Times New Roman"/>
                <w:sz w:val="18"/>
                <w:szCs w:val="18"/>
              </w:rPr>
              <w:t>2.5.11.09</w:t>
            </w:r>
          </w:p>
        </w:tc>
        <w:tc>
          <w:tcPr>
            <w:tcW w:w="821" w:type="dxa"/>
            <w:tcMar>
              <w:left w:w="70" w:type="dxa"/>
              <w:right w:w="70" w:type="dxa"/>
            </w:tcMar>
            <w:vAlign w:val="center"/>
          </w:tcPr>
          <w:p w14:paraId="3FE63E5D" w14:textId="17EFC339" w:rsidR="25BD33D2" w:rsidRPr="00336FA0" w:rsidRDefault="25BD33D2" w:rsidP="000A5389">
            <w:pPr>
              <w:spacing w:line="240" w:lineRule="auto"/>
              <w:jc w:val="center"/>
              <w:rPr>
                <w:rFonts w:eastAsia="Times New Roman" w:cs="Times New Roman"/>
                <w:sz w:val="18"/>
                <w:szCs w:val="18"/>
              </w:rPr>
            </w:pPr>
            <w:r w:rsidRPr="00336FA0">
              <w:rPr>
                <w:rFonts w:eastAsia="Times New Roman" w:cs="Times New Roman"/>
                <w:sz w:val="18"/>
                <w:szCs w:val="18"/>
              </w:rPr>
              <w:t>Cr</w:t>
            </w:r>
          </w:p>
        </w:tc>
        <w:tc>
          <w:tcPr>
            <w:tcW w:w="5540" w:type="dxa"/>
            <w:tcMar>
              <w:left w:w="70" w:type="dxa"/>
              <w:right w:w="70" w:type="dxa"/>
            </w:tcMar>
            <w:vAlign w:val="center"/>
          </w:tcPr>
          <w:p w14:paraId="3BBBA0CB" w14:textId="5FA7814A" w:rsidR="25BD33D2" w:rsidRPr="00336FA0" w:rsidRDefault="25BD33D2" w:rsidP="000A5389">
            <w:pPr>
              <w:spacing w:line="240" w:lineRule="auto"/>
              <w:rPr>
                <w:rFonts w:eastAsia="Times New Roman" w:cs="Times New Roman"/>
                <w:sz w:val="18"/>
                <w:szCs w:val="18"/>
              </w:rPr>
            </w:pPr>
            <w:r w:rsidRPr="00336FA0">
              <w:rPr>
                <w:rFonts w:eastAsia="Times New Roman" w:cs="Times New Roman"/>
                <w:sz w:val="18"/>
                <w:szCs w:val="18"/>
              </w:rPr>
              <w:t>Bonificaciones</w:t>
            </w:r>
          </w:p>
        </w:tc>
        <w:tc>
          <w:tcPr>
            <w:tcW w:w="1573" w:type="dxa"/>
            <w:tcMar>
              <w:left w:w="70" w:type="dxa"/>
              <w:right w:w="70" w:type="dxa"/>
            </w:tcMar>
            <w:vAlign w:val="center"/>
          </w:tcPr>
          <w:p w14:paraId="5FFD2525" w14:textId="00E7E313" w:rsidR="25BD33D2" w:rsidRPr="00336FA0" w:rsidRDefault="25BD33D2" w:rsidP="000A5389">
            <w:pPr>
              <w:spacing w:line="240" w:lineRule="auto"/>
              <w:jc w:val="right"/>
              <w:rPr>
                <w:rFonts w:eastAsia="Times New Roman" w:cs="Times New Roman"/>
                <w:sz w:val="18"/>
                <w:szCs w:val="18"/>
              </w:rPr>
            </w:pPr>
            <w:r w:rsidRPr="00336FA0">
              <w:rPr>
                <w:rFonts w:eastAsia="Times New Roman" w:cs="Times New Roman"/>
                <w:sz w:val="18"/>
                <w:szCs w:val="18"/>
              </w:rPr>
              <w:t xml:space="preserve">779.098.879 </w:t>
            </w:r>
          </w:p>
        </w:tc>
      </w:tr>
      <w:tr w:rsidR="00CB09BB" w:rsidRPr="00336FA0" w14:paraId="58685AD8" w14:textId="77777777" w:rsidTr="00FA3856">
        <w:trPr>
          <w:trHeight w:val="300"/>
        </w:trPr>
        <w:tc>
          <w:tcPr>
            <w:tcW w:w="884" w:type="dxa"/>
            <w:tcMar>
              <w:left w:w="70" w:type="dxa"/>
              <w:right w:w="70" w:type="dxa"/>
            </w:tcMar>
            <w:vAlign w:val="center"/>
          </w:tcPr>
          <w:p w14:paraId="44469E5A" w14:textId="4D0B44CB" w:rsidR="25BD33D2" w:rsidRPr="00336FA0" w:rsidRDefault="25BD33D2" w:rsidP="000A5389">
            <w:pPr>
              <w:spacing w:line="240" w:lineRule="auto"/>
              <w:rPr>
                <w:rFonts w:eastAsia="Times New Roman" w:cs="Times New Roman"/>
                <w:sz w:val="18"/>
                <w:szCs w:val="18"/>
              </w:rPr>
            </w:pPr>
            <w:r w:rsidRPr="00336FA0">
              <w:rPr>
                <w:rFonts w:eastAsia="Times New Roman" w:cs="Times New Roman"/>
                <w:sz w:val="18"/>
                <w:szCs w:val="18"/>
              </w:rPr>
              <w:t>2.5.11.07</w:t>
            </w:r>
          </w:p>
        </w:tc>
        <w:tc>
          <w:tcPr>
            <w:tcW w:w="821" w:type="dxa"/>
            <w:tcMar>
              <w:left w:w="70" w:type="dxa"/>
              <w:right w:w="70" w:type="dxa"/>
            </w:tcMar>
            <w:vAlign w:val="center"/>
          </w:tcPr>
          <w:p w14:paraId="00397109" w14:textId="032598D4" w:rsidR="25BD33D2" w:rsidRPr="00336FA0" w:rsidRDefault="25BD33D2" w:rsidP="000A5389">
            <w:pPr>
              <w:spacing w:line="240" w:lineRule="auto"/>
              <w:jc w:val="center"/>
              <w:rPr>
                <w:rFonts w:eastAsia="Times New Roman" w:cs="Times New Roman"/>
                <w:sz w:val="18"/>
                <w:szCs w:val="18"/>
              </w:rPr>
            </w:pPr>
            <w:r w:rsidRPr="00336FA0">
              <w:rPr>
                <w:rFonts w:eastAsia="Times New Roman" w:cs="Times New Roman"/>
                <w:sz w:val="18"/>
                <w:szCs w:val="18"/>
              </w:rPr>
              <w:t>Cr</w:t>
            </w:r>
          </w:p>
        </w:tc>
        <w:tc>
          <w:tcPr>
            <w:tcW w:w="5540" w:type="dxa"/>
            <w:tcMar>
              <w:left w:w="70" w:type="dxa"/>
              <w:right w:w="70" w:type="dxa"/>
            </w:tcMar>
            <w:vAlign w:val="center"/>
          </w:tcPr>
          <w:p w14:paraId="14559AC5" w14:textId="55635E31" w:rsidR="25BD33D2" w:rsidRPr="00336FA0" w:rsidRDefault="25BD33D2" w:rsidP="000A5389">
            <w:pPr>
              <w:spacing w:line="240" w:lineRule="auto"/>
              <w:rPr>
                <w:rFonts w:eastAsia="Times New Roman" w:cs="Times New Roman"/>
                <w:sz w:val="18"/>
                <w:szCs w:val="18"/>
              </w:rPr>
            </w:pPr>
            <w:r w:rsidRPr="00336FA0">
              <w:rPr>
                <w:rFonts w:eastAsia="Times New Roman" w:cs="Times New Roman"/>
                <w:sz w:val="18"/>
                <w:szCs w:val="18"/>
              </w:rPr>
              <w:t>Prima de navidad</w:t>
            </w:r>
          </w:p>
        </w:tc>
        <w:tc>
          <w:tcPr>
            <w:tcW w:w="1573" w:type="dxa"/>
            <w:tcMar>
              <w:left w:w="70" w:type="dxa"/>
              <w:right w:w="70" w:type="dxa"/>
            </w:tcMar>
            <w:vAlign w:val="center"/>
          </w:tcPr>
          <w:p w14:paraId="2BC96148" w14:textId="0853D187" w:rsidR="25BD33D2" w:rsidRPr="00336FA0" w:rsidRDefault="25BD33D2" w:rsidP="000A5389">
            <w:pPr>
              <w:spacing w:line="240" w:lineRule="auto"/>
              <w:jc w:val="right"/>
              <w:rPr>
                <w:rFonts w:eastAsia="Times New Roman" w:cs="Times New Roman"/>
                <w:sz w:val="18"/>
                <w:szCs w:val="18"/>
              </w:rPr>
            </w:pPr>
            <w:r w:rsidRPr="00336FA0">
              <w:rPr>
                <w:rFonts w:eastAsia="Times New Roman" w:cs="Times New Roman"/>
                <w:sz w:val="18"/>
                <w:szCs w:val="18"/>
              </w:rPr>
              <w:t xml:space="preserve">26.516.773 </w:t>
            </w:r>
          </w:p>
        </w:tc>
      </w:tr>
      <w:tr w:rsidR="00CB09BB" w:rsidRPr="00336FA0" w14:paraId="64494BAE" w14:textId="77777777" w:rsidTr="00FA3856">
        <w:trPr>
          <w:trHeight w:val="300"/>
        </w:trPr>
        <w:tc>
          <w:tcPr>
            <w:tcW w:w="884" w:type="dxa"/>
            <w:tcMar>
              <w:left w:w="70" w:type="dxa"/>
              <w:right w:w="70" w:type="dxa"/>
            </w:tcMar>
            <w:vAlign w:val="center"/>
          </w:tcPr>
          <w:p w14:paraId="58C9BA69" w14:textId="30733683" w:rsidR="25BD33D2" w:rsidRPr="00336FA0" w:rsidRDefault="25BD33D2" w:rsidP="000A5389">
            <w:pPr>
              <w:spacing w:line="240" w:lineRule="auto"/>
              <w:rPr>
                <w:rFonts w:eastAsia="Times New Roman" w:cs="Times New Roman"/>
                <w:sz w:val="18"/>
                <w:szCs w:val="18"/>
              </w:rPr>
            </w:pPr>
            <w:r w:rsidRPr="00336FA0">
              <w:rPr>
                <w:rFonts w:eastAsia="Times New Roman" w:cs="Times New Roman"/>
                <w:sz w:val="18"/>
                <w:szCs w:val="18"/>
              </w:rPr>
              <w:t>2.5.11.01</w:t>
            </w:r>
          </w:p>
        </w:tc>
        <w:tc>
          <w:tcPr>
            <w:tcW w:w="821" w:type="dxa"/>
            <w:tcMar>
              <w:left w:w="70" w:type="dxa"/>
              <w:right w:w="70" w:type="dxa"/>
            </w:tcMar>
            <w:vAlign w:val="center"/>
          </w:tcPr>
          <w:p w14:paraId="4FE5BFF0" w14:textId="51C4785F" w:rsidR="25BD33D2" w:rsidRPr="00336FA0" w:rsidRDefault="25BD33D2" w:rsidP="000A5389">
            <w:pPr>
              <w:spacing w:line="240" w:lineRule="auto"/>
              <w:jc w:val="center"/>
              <w:rPr>
                <w:rFonts w:eastAsia="Times New Roman" w:cs="Times New Roman"/>
                <w:sz w:val="18"/>
                <w:szCs w:val="18"/>
              </w:rPr>
            </w:pPr>
            <w:r w:rsidRPr="00336FA0">
              <w:rPr>
                <w:rFonts w:eastAsia="Times New Roman" w:cs="Times New Roman"/>
                <w:sz w:val="18"/>
                <w:szCs w:val="18"/>
              </w:rPr>
              <w:t>Cr</w:t>
            </w:r>
          </w:p>
        </w:tc>
        <w:tc>
          <w:tcPr>
            <w:tcW w:w="5540" w:type="dxa"/>
            <w:tcMar>
              <w:left w:w="70" w:type="dxa"/>
              <w:right w:w="70" w:type="dxa"/>
            </w:tcMar>
            <w:vAlign w:val="center"/>
          </w:tcPr>
          <w:p w14:paraId="2989DB57" w14:textId="3D15850C" w:rsidR="25BD33D2" w:rsidRPr="00336FA0" w:rsidRDefault="25BD33D2" w:rsidP="000A5389">
            <w:pPr>
              <w:spacing w:line="240" w:lineRule="auto"/>
              <w:rPr>
                <w:rFonts w:eastAsia="Times New Roman" w:cs="Times New Roman"/>
                <w:sz w:val="18"/>
                <w:szCs w:val="18"/>
              </w:rPr>
            </w:pPr>
            <w:r w:rsidRPr="00336FA0">
              <w:rPr>
                <w:rFonts w:eastAsia="Times New Roman" w:cs="Times New Roman"/>
                <w:sz w:val="18"/>
                <w:szCs w:val="18"/>
              </w:rPr>
              <w:t>Nómina por pagar</w:t>
            </w:r>
          </w:p>
        </w:tc>
        <w:tc>
          <w:tcPr>
            <w:tcW w:w="1573" w:type="dxa"/>
            <w:tcMar>
              <w:left w:w="70" w:type="dxa"/>
              <w:right w:w="70" w:type="dxa"/>
            </w:tcMar>
            <w:vAlign w:val="center"/>
          </w:tcPr>
          <w:p w14:paraId="7DA2E12F" w14:textId="590A8036" w:rsidR="25BD33D2" w:rsidRPr="00336FA0" w:rsidRDefault="25BD33D2" w:rsidP="000A5389">
            <w:pPr>
              <w:spacing w:line="240" w:lineRule="auto"/>
              <w:jc w:val="right"/>
              <w:rPr>
                <w:rFonts w:eastAsia="Times New Roman" w:cs="Times New Roman"/>
                <w:sz w:val="18"/>
                <w:szCs w:val="18"/>
              </w:rPr>
            </w:pPr>
            <w:r w:rsidRPr="00336FA0">
              <w:rPr>
                <w:rFonts w:eastAsia="Times New Roman" w:cs="Times New Roman"/>
                <w:sz w:val="18"/>
                <w:szCs w:val="18"/>
              </w:rPr>
              <w:t xml:space="preserve">14.315.031 </w:t>
            </w:r>
          </w:p>
        </w:tc>
      </w:tr>
      <w:tr w:rsidR="00CB09BB" w:rsidRPr="00336FA0" w14:paraId="26EA863E" w14:textId="77777777" w:rsidTr="00FA3856">
        <w:trPr>
          <w:trHeight w:val="300"/>
        </w:trPr>
        <w:tc>
          <w:tcPr>
            <w:tcW w:w="884" w:type="dxa"/>
            <w:tcMar>
              <w:left w:w="70" w:type="dxa"/>
              <w:right w:w="70" w:type="dxa"/>
            </w:tcMar>
            <w:vAlign w:val="center"/>
          </w:tcPr>
          <w:p w14:paraId="5B876C19" w14:textId="0973CA16" w:rsidR="25BD33D2" w:rsidRPr="00336FA0" w:rsidRDefault="25BD33D2" w:rsidP="000A5389">
            <w:pPr>
              <w:spacing w:line="240" w:lineRule="auto"/>
              <w:rPr>
                <w:rFonts w:eastAsia="Times New Roman" w:cs="Times New Roman"/>
                <w:sz w:val="18"/>
                <w:szCs w:val="18"/>
              </w:rPr>
            </w:pPr>
            <w:r w:rsidRPr="00336FA0">
              <w:rPr>
                <w:rFonts w:eastAsia="Times New Roman" w:cs="Times New Roman"/>
                <w:sz w:val="18"/>
                <w:szCs w:val="18"/>
              </w:rPr>
              <w:t>2.5.11.22</w:t>
            </w:r>
          </w:p>
        </w:tc>
        <w:tc>
          <w:tcPr>
            <w:tcW w:w="821" w:type="dxa"/>
            <w:tcMar>
              <w:left w:w="70" w:type="dxa"/>
              <w:right w:w="70" w:type="dxa"/>
            </w:tcMar>
            <w:vAlign w:val="center"/>
          </w:tcPr>
          <w:p w14:paraId="239BBAA9" w14:textId="05C5274E" w:rsidR="25BD33D2" w:rsidRPr="00336FA0" w:rsidRDefault="25BD33D2" w:rsidP="000A5389">
            <w:pPr>
              <w:spacing w:line="240" w:lineRule="auto"/>
              <w:jc w:val="center"/>
              <w:rPr>
                <w:rFonts w:eastAsia="Times New Roman" w:cs="Times New Roman"/>
                <w:sz w:val="18"/>
                <w:szCs w:val="18"/>
              </w:rPr>
            </w:pPr>
            <w:r w:rsidRPr="00336FA0">
              <w:rPr>
                <w:rFonts w:eastAsia="Times New Roman" w:cs="Times New Roman"/>
                <w:sz w:val="18"/>
                <w:szCs w:val="18"/>
              </w:rPr>
              <w:t>Cr</w:t>
            </w:r>
          </w:p>
        </w:tc>
        <w:tc>
          <w:tcPr>
            <w:tcW w:w="5540" w:type="dxa"/>
            <w:tcMar>
              <w:left w:w="70" w:type="dxa"/>
              <w:right w:w="70" w:type="dxa"/>
            </w:tcMar>
            <w:vAlign w:val="center"/>
          </w:tcPr>
          <w:p w14:paraId="42A1D85F" w14:textId="377428C4" w:rsidR="25BD33D2" w:rsidRPr="00336FA0" w:rsidRDefault="25BD33D2" w:rsidP="000A5389">
            <w:pPr>
              <w:spacing w:line="240" w:lineRule="auto"/>
              <w:rPr>
                <w:rFonts w:eastAsia="Times New Roman" w:cs="Times New Roman"/>
                <w:sz w:val="18"/>
                <w:szCs w:val="18"/>
              </w:rPr>
            </w:pPr>
            <w:r w:rsidRPr="00336FA0">
              <w:rPr>
                <w:rFonts w:eastAsia="Times New Roman" w:cs="Times New Roman"/>
                <w:sz w:val="18"/>
                <w:szCs w:val="18"/>
              </w:rPr>
              <w:t>Aportes a fondos pensionales - empleador</w:t>
            </w:r>
          </w:p>
        </w:tc>
        <w:tc>
          <w:tcPr>
            <w:tcW w:w="1573" w:type="dxa"/>
            <w:tcMar>
              <w:left w:w="70" w:type="dxa"/>
              <w:right w:w="70" w:type="dxa"/>
            </w:tcMar>
            <w:vAlign w:val="center"/>
          </w:tcPr>
          <w:p w14:paraId="00F4ABE0" w14:textId="00B9C82A" w:rsidR="25BD33D2" w:rsidRPr="00336FA0" w:rsidRDefault="25BD33D2" w:rsidP="000A5389">
            <w:pPr>
              <w:spacing w:line="240" w:lineRule="auto"/>
              <w:jc w:val="right"/>
              <w:rPr>
                <w:rFonts w:eastAsia="Times New Roman" w:cs="Times New Roman"/>
                <w:sz w:val="18"/>
                <w:szCs w:val="18"/>
              </w:rPr>
            </w:pPr>
            <w:r w:rsidRPr="00336FA0">
              <w:rPr>
                <w:rFonts w:eastAsia="Times New Roman" w:cs="Times New Roman"/>
                <w:sz w:val="18"/>
                <w:szCs w:val="18"/>
              </w:rPr>
              <w:t xml:space="preserve">2.159.400 </w:t>
            </w:r>
          </w:p>
        </w:tc>
      </w:tr>
      <w:tr w:rsidR="00CB09BB" w:rsidRPr="00336FA0" w14:paraId="2549F865" w14:textId="77777777" w:rsidTr="00FA3856">
        <w:trPr>
          <w:trHeight w:val="300"/>
        </w:trPr>
        <w:tc>
          <w:tcPr>
            <w:tcW w:w="884" w:type="dxa"/>
            <w:tcMar>
              <w:left w:w="70" w:type="dxa"/>
              <w:right w:w="70" w:type="dxa"/>
            </w:tcMar>
            <w:vAlign w:val="center"/>
          </w:tcPr>
          <w:p w14:paraId="0AA27E62" w14:textId="3650551E" w:rsidR="25BD33D2" w:rsidRPr="00336FA0" w:rsidRDefault="25BD33D2" w:rsidP="000A5389">
            <w:pPr>
              <w:spacing w:line="240" w:lineRule="auto"/>
              <w:rPr>
                <w:rFonts w:eastAsia="Times New Roman" w:cs="Times New Roman"/>
                <w:sz w:val="18"/>
                <w:szCs w:val="18"/>
              </w:rPr>
            </w:pPr>
            <w:r w:rsidRPr="00336FA0">
              <w:rPr>
                <w:rFonts w:eastAsia="Times New Roman" w:cs="Times New Roman"/>
                <w:sz w:val="18"/>
                <w:szCs w:val="18"/>
              </w:rPr>
              <w:t>2.5.11.23</w:t>
            </w:r>
          </w:p>
        </w:tc>
        <w:tc>
          <w:tcPr>
            <w:tcW w:w="821" w:type="dxa"/>
            <w:tcMar>
              <w:left w:w="70" w:type="dxa"/>
              <w:right w:w="70" w:type="dxa"/>
            </w:tcMar>
            <w:vAlign w:val="center"/>
          </w:tcPr>
          <w:p w14:paraId="2EE74283" w14:textId="2221AEA8" w:rsidR="25BD33D2" w:rsidRPr="00336FA0" w:rsidRDefault="25BD33D2" w:rsidP="000A5389">
            <w:pPr>
              <w:spacing w:line="240" w:lineRule="auto"/>
              <w:jc w:val="center"/>
              <w:rPr>
                <w:rFonts w:eastAsia="Times New Roman" w:cs="Times New Roman"/>
                <w:sz w:val="18"/>
                <w:szCs w:val="18"/>
              </w:rPr>
            </w:pPr>
            <w:r w:rsidRPr="00336FA0">
              <w:rPr>
                <w:rFonts w:eastAsia="Times New Roman" w:cs="Times New Roman"/>
                <w:sz w:val="18"/>
                <w:szCs w:val="18"/>
              </w:rPr>
              <w:t>Cr</w:t>
            </w:r>
          </w:p>
        </w:tc>
        <w:tc>
          <w:tcPr>
            <w:tcW w:w="5540" w:type="dxa"/>
            <w:tcMar>
              <w:left w:w="70" w:type="dxa"/>
              <w:right w:w="70" w:type="dxa"/>
            </w:tcMar>
            <w:vAlign w:val="center"/>
          </w:tcPr>
          <w:p w14:paraId="4EF98DE0" w14:textId="408F6BF3" w:rsidR="25BD33D2" w:rsidRPr="00336FA0" w:rsidRDefault="25BD33D2" w:rsidP="000A5389">
            <w:pPr>
              <w:spacing w:line="240" w:lineRule="auto"/>
              <w:rPr>
                <w:rFonts w:eastAsia="Times New Roman" w:cs="Times New Roman"/>
                <w:sz w:val="18"/>
                <w:szCs w:val="18"/>
              </w:rPr>
            </w:pPr>
            <w:r w:rsidRPr="00336FA0">
              <w:rPr>
                <w:rFonts w:eastAsia="Times New Roman" w:cs="Times New Roman"/>
                <w:sz w:val="18"/>
                <w:szCs w:val="18"/>
              </w:rPr>
              <w:t>Aportes a seguridad social en salud - empleador</w:t>
            </w:r>
          </w:p>
        </w:tc>
        <w:tc>
          <w:tcPr>
            <w:tcW w:w="1573" w:type="dxa"/>
            <w:tcMar>
              <w:left w:w="70" w:type="dxa"/>
              <w:right w:w="70" w:type="dxa"/>
            </w:tcMar>
            <w:vAlign w:val="center"/>
          </w:tcPr>
          <w:p w14:paraId="7A85E6B1" w14:textId="521F4C54" w:rsidR="25BD33D2" w:rsidRPr="00336FA0" w:rsidRDefault="25BD33D2" w:rsidP="000A5389">
            <w:pPr>
              <w:spacing w:line="240" w:lineRule="auto"/>
              <w:jc w:val="right"/>
              <w:rPr>
                <w:rFonts w:eastAsia="Times New Roman" w:cs="Times New Roman"/>
                <w:sz w:val="18"/>
                <w:szCs w:val="18"/>
              </w:rPr>
            </w:pPr>
            <w:r w:rsidRPr="00336FA0">
              <w:rPr>
                <w:rFonts w:eastAsia="Times New Roman" w:cs="Times New Roman"/>
                <w:sz w:val="18"/>
                <w:szCs w:val="18"/>
              </w:rPr>
              <w:t xml:space="preserve">1.529.500 </w:t>
            </w:r>
          </w:p>
        </w:tc>
      </w:tr>
      <w:tr w:rsidR="00CB09BB" w:rsidRPr="00336FA0" w14:paraId="4FB2B0D1" w14:textId="77777777" w:rsidTr="00FA3856">
        <w:trPr>
          <w:trHeight w:val="300"/>
        </w:trPr>
        <w:tc>
          <w:tcPr>
            <w:tcW w:w="884" w:type="dxa"/>
            <w:tcMar>
              <w:left w:w="70" w:type="dxa"/>
              <w:right w:w="70" w:type="dxa"/>
            </w:tcMar>
            <w:vAlign w:val="center"/>
          </w:tcPr>
          <w:p w14:paraId="510CD15B" w14:textId="2293C8DE" w:rsidR="25BD33D2" w:rsidRPr="00336FA0" w:rsidRDefault="25BD33D2" w:rsidP="000A5389">
            <w:pPr>
              <w:spacing w:line="240" w:lineRule="auto"/>
              <w:rPr>
                <w:rFonts w:eastAsia="Times New Roman" w:cs="Times New Roman"/>
                <w:sz w:val="18"/>
                <w:szCs w:val="18"/>
              </w:rPr>
            </w:pPr>
            <w:r w:rsidRPr="00336FA0">
              <w:rPr>
                <w:rFonts w:eastAsia="Times New Roman" w:cs="Times New Roman"/>
                <w:sz w:val="18"/>
                <w:szCs w:val="18"/>
              </w:rPr>
              <w:t>2.5.11.02</w:t>
            </w:r>
          </w:p>
        </w:tc>
        <w:tc>
          <w:tcPr>
            <w:tcW w:w="821" w:type="dxa"/>
            <w:tcMar>
              <w:left w:w="70" w:type="dxa"/>
              <w:right w:w="70" w:type="dxa"/>
            </w:tcMar>
            <w:vAlign w:val="center"/>
          </w:tcPr>
          <w:p w14:paraId="41CCBACE" w14:textId="2B41F40F" w:rsidR="25BD33D2" w:rsidRPr="00336FA0" w:rsidRDefault="25BD33D2" w:rsidP="000A5389">
            <w:pPr>
              <w:spacing w:line="240" w:lineRule="auto"/>
              <w:jc w:val="center"/>
              <w:rPr>
                <w:rFonts w:eastAsia="Times New Roman" w:cs="Times New Roman"/>
                <w:sz w:val="18"/>
                <w:szCs w:val="18"/>
              </w:rPr>
            </w:pPr>
            <w:r w:rsidRPr="00336FA0">
              <w:rPr>
                <w:rFonts w:eastAsia="Times New Roman" w:cs="Times New Roman"/>
                <w:sz w:val="18"/>
                <w:szCs w:val="18"/>
              </w:rPr>
              <w:t>Cr</w:t>
            </w:r>
          </w:p>
        </w:tc>
        <w:tc>
          <w:tcPr>
            <w:tcW w:w="5540" w:type="dxa"/>
            <w:tcMar>
              <w:left w:w="70" w:type="dxa"/>
              <w:right w:w="70" w:type="dxa"/>
            </w:tcMar>
            <w:vAlign w:val="center"/>
          </w:tcPr>
          <w:p w14:paraId="10438E64" w14:textId="7F5BEBCF" w:rsidR="25BD33D2" w:rsidRPr="00336FA0" w:rsidRDefault="25BD33D2" w:rsidP="000A5389">
            <w:pPr>
              <w:spacing w:line="240" w:lineRule="auto"/>
              <w:rPr>
                <w:rFonts w:eastAsia="Times New Roman" w:cs="Times New Roman"/>
                <w:sz w:val="18"/>
                <w:szCs w:val="18"/>
              </w:rPr>
            </w:pPr>
            <w:r w:rsidRPr="00336FA0">
              <w:rPr>
                <w:rFonts w:eastAsia="Times New Roman" w:cs="Times New Roman"/>
                <w:sz w:val="18"/>
                <w:szCs w:val="18"/>
              </w:rPr>
              <w:t>Cesantías</w:t>
            </w:r>
          </w:p>
        </w:tc>
        <w:tc>
          <w:tcPr>
            <w:tcW w:w="1573" w:type="dxa"/>
            <w:tcMar>
              <w:left w:w="70" w:type="dxa"/>
              <w:right w:w="70" w:type="dxa"/>
            </w:tcMar>
            <w:vAlign w:val="center"/>
          </w:tcPr>
          <w:p w14:paraId="3BB5644E" w14:textId="493D8D96" w:rsidR="25BD33D2" w:rsidRPr="00336FA0" w:rsidRDefault="25BD33D2" w:rsidP="000A5389">
            <w:pPr>
              <w:spacing w:line="240" w:lineRule="auto"/>
              <w:jc w:val="right"/>
              <w:rPr>
                <w:rFonts w:eastAsia="Times New Roman" w:cs="Times New Roman"/>
                <w:sz w:val="18"/>
                <w:szCs w:val="18"/>
              </w:rPr>
            </w:pPr>
            <w:r w:rsidRPr="00336FA0">
              <w:rPr>
                <w:rFonts w:eastAsia="Times New Roman" w:cs="Times New Roman"/>
                <w:sz w:val="18"/>
                <w:szCs w:val="18"/>
              </w:rPr>
              <w:t xml:space="preserve">1.499.869 </w:t>
            </w:r>
          </w:p>
        </w:tc>
      </w:tr>
      <w:tr w:rsidR="00CB09BB" w:rsidRPr="00336FA0" w14:paraId="49A62ECE" w14:textId="77777777" w:rsidTr="00FA3856">
        <w:trPr>
          <w:trHeight w:val="300"/>
        </w:trPr>
        <w:tc>
          <w:tcPr>
            <w:tcW w:w="884" w:type="dxa"/>
            <w:tcMar>
              <w:left w:w="70" w:type="dxa"/>
              <w:right w:w="70" w:type="dxa"/>
            </w:tcMar>
            <w:vAlign w:val="center"/>
          </w:tcPr>
          <w:p w14:paraId="0D7CAAC2" w14:textId="41AFCDDF" w:rsidR="25BD33D2" w:rsidRPr="00336FA0" w:rsidRDefault="25BD33D2" w:rsidP="000A5389">
            <w:pPr>
              <w:spacing w:line="240" w:lineRule="auto"/>
              <w:rPr>
                <w:rFonts w:eastAsia="Times New Roman" w:cs="Times New Roman"/>
                <w:sz w:val="18"/>
                <w:szCs w:val="18"/>
              </w:rPr>
            </w:pPr>
            <w:r w:rsidRPr="00336FA0">
              <w:rPr>
                <w:rFonts w:eastAsia="Times New Roman" w:cs="Times New Roman"/>
                <w:sz w:val="18"/>
                <w:szCs w:val="18"/>
              </w:rPr>
              <w:t>2.5.11.24</w:t>
            </w:r>
          </w:p>
        </w:tc>
        <w:tc>
          <w:tcPr>
            <w:tcW w:w="821" w:type="dxa"/>
            <w:tcMar>
              <w:left w:w="70" w:type="dxa"/>
              <w:right w:w="70" w:type="dxa"/>
            </w:tcMar>
            <w:vAlign w:val="center"/>
          </w:tcPr>
          <w:p w14:paraId="7DD7D707" w14:textId="47DCBABB" w:rsidR="25BD33D2" w:rsidRPr="00336FA0" w:rsidRDefault="25BD33D2" w:rsidP="000A5389">
            <w:pPr>
              <w:spacing w:line="240" w:lineRule="auto"/>
              <w:jc w:val="center"/>
              <w:rPr>
                <w:rFonts w:eastAsia="Times New Roman" w:cs="Times New Roman"/>
                <w:sz w:val="18"/>
                <w:szCs w:val="18"/>
              </w:rPr>
            </w:pPr>
            <w:r w:rsidRPr="00336FA0">
              <w:rPr>
                <w:rFonts w:eastAsia="Times New Roman" w:cs="Times New Roman"/>
                <w:sz w:val="18"/>
                <w:szCs w:val="18"/>
              </w:rPr>
              <w:t>Cr</w:t>
            </w:r>
          </w:p>
        </w:tc>
        <w:tc>
          <w:tcPr>
            <w:tcW w:w="5540" w:type="dxa"/>
            <w:tcMar>
              <w:left w:w="70" w:type="dxa"/>
              <w:right w:w="70" w:type="dxa"/>
            </w:tcMar>
            <w:vAlign w:val="center"/>
          </w:tcPr>
          <w:p w14:paraId="3C723157" w14:textId="026D9587" w:rsidR="25BD33D2" w:rsidRPr="00336FA0" w:rsidRDefault="25BD33D2" w:rsidP="000A5389">
            <w:pPr>
              <w:spacing w:line="240" w:lineRule="auto"/>
              <w:rPr>
                <w:rFonts w:eastAsia="Times New Roman" w:cs="Times New Roman"/>
                <w:sz w:val="18"/>
                <w:szCs w:val="18"/>
              </w:rPr>
            </w:pPr>
            <w:r w:rsidRPr="00336FA0">
              <w:rPr>
                <w:rFonts w:eastAsia="Times New Roman" w:cs="Times New Roman"/>
                <w:sz w:val="18"/>
                <w:szCs w:val="18"/>
              </w:rPr>
              <w:t>Aportes a cajas de compensación familiar</w:t>
            </w:r>
          </w:p>
        </w:tc>
        <w:tc>
          <w:tcPr>
            <w:tcW w:w="1573" w:type="dxa"/>
            <w:tcMar>
              <w:left w:w="70" w:type="dxa"/>
              <w:right w:w="70" w:type="dxa"/>
            </w:tcMar>
            <w:vAlign w:val="center"/>
          </w:tcPr>
          <w:p w14:paraId="1933F248" w14:textId="1F935FC4" w:rsidR="25BD33D2" w:rsidRPr="00336FA0" w:rsidRDefault="25BD33D2" w:rsidP="000A5389">
            <w:pPr>
              <w:spacing w:line="240" w:lineRule="auto"/>
              <w:jc w:val="right"/>
              <w:rPr>
                <w:rFonts w:eastAsia="Times New Roman" w:cs="Times New Roman"/>
                <w:sz w:val="18"/>
                <w:szCs w:val="18"/>
              </w:rPr>
            </w:pPr>
            <w:r w:rsidRPr="00336FA0">
              <w:rPr>
                <w:rFonts w:eastAsia="Times New Roman" w:cs="Times New Roman"/>
                <w:sz w:val="18"/>
                <w:szCs w:val="18"/>
              </w:rPr>
              <w:t xml:space="preserve">719.900 </w:t>
            </w:r>
          </w:p>
        </w:tc>
      </w:tr>
      <w:tr w:rsidR="00CB09BB" w:rsidRPr="00336FA0" w14:paraId="20CCAA96" w14:textId="77777777" w:rsidTr="00FA3856">
        <w:trPr>
          <w:trHeight w:val="300"/>
        </w:trPr>
        <w:tc>
          <w:tcPr>
            <w:tcW w:w="884" w:type="dxa"/>
            <w:tcMar>
              <w:left w:w="70" w:type="dxa"/>
              <w:right w:w="70" w:type="dxa"/>
            </w:tcMar>
            <w:vAlign w:val="center"/>
          </w:tcPr>
          <w:p w14:paraId="63ADA2E8" w14:textId="78194762" w:rsidR="25BD33D2" w:rsidRPr="00336FA0" w:rsidRDefault="25BD33D2" w:rsidP="000A5389">
            <w:pPr>
              <w:spacing w:line="240" w:lineRule="auto"/>
              <w:rPr>
                <w:rFonts w:eastAsia="Times New Roman" w:cs="Times New Roman"/>
                <w:sz w:val="18"/>
                <w:szCs w:val="18"/>
              </w:rPr>
            </w:pPr>
            <w:r w:rsidRPr="00336FA0">
              <w:rPr>
                <w:rFonts w:eastAsia="Times New Roman" w:cs="Times New Roman"/>
                <w:sz w:val="18"/>
                <w:szCs w:val="18"/>
              </w:rPr>
              <w:t>2.5.11.11</w:t>
            </w:r>
          </w:p>
        </w:tc>
        <w:tc>
          <w:tcPr>
            <w:tcW w:w="821" w:type="dxa"/>
            <w:tcMar>
              <w:left w:w="70" w:type="dxa"/>
              <w:right w:w="70" w:type="dxa"/>
            </w:tcMar>
            <w:vAlign w:val="center"/>
          </w:tcPr>
          <w:p w14:paraId="3207BFE9" w14:textId="39086532" w:rsidR="25BD33D2" w:rsidRPr="00336FA0" w:rsidRDefault="25BD33D2" w:rsidP="000A5389">
            <w:pPr>
              <w:spacing w:line="240" w:lineRule="auto"/>
              <w:jc w:val="center"/>
              <w:rPr>
                <w:rFonts w:eastAsia="Times New Roman" w:cs="Times New Roman"/>
                <w:sz w:val="18"/>
                <w:szCs w:val="18"/>
              </w:rPr>
            </w:pPr>
            <w:r w:rsidRPr="00336FA0">
              <w:rPr>
                <w:rFonts w:eastAsia="Times New Roman" w:cs="Times New Roman"/>
                <w:sz w:val="18"/>
                <w:szCs w:val="18"/>
              </w:rPr>
              <w:t>Cr</w:t>
            </w:r>
          </w:p>
        </w:tc>
        <w:tc>
          <w:tcPr>
            <w:tcW w:w="5540" w:type="dxa"/>
            <w:tcMar>
              <w:left w:w="70" w:type="dxa"/>
              <w:right w:w="70" w:type="dxa"/>
            </w:tcMar>
            <w:vAlign w:val="center"/>
          </w:tcPr>
          <w:p w14:paraId="0C764067" w14:textId="05418B1D" w:rsidR="25BD33D2" w:rsidRPr="00336FA0" w:rsidRDefault="25BD33D2" w:rsidP="000A5389">
            <w:pPr>
              <w:spacing w:line="240" w:lineRule="auto"/>
              <w:rPr>
                <w:rFonts w:eastAsia="Times New Roman" w:cs="Times New Roman"/>
                <w:sz w:val="18"/>
                <w:szCs w:val="18"/>
              </w:rPr>
            </w:pPr>
            <w:r w:rsidRPr="00336FA0">
              <w:rPr>
                <w:rFonts w:eastAsia="Times New Roman" w:cs="Times New Roman"/>
                <w:sz w:val="18"/>
                <w:szCs w:val="18"/>
              </w:rPr>
              <w:t>Aportes a riesgos laborales</w:t>
            </w:r>
          </w:p>
        </w:tc>
        <w:tc>
          <w:tcPr>
            <w:tcW w:w="1573" w:type="dxa"/>
            <w:tcMar>
              <w:left w:w="70" w:type="dxa"/>
              <w:right w:w="70" w:type="dxa"/>
            </w:tcMar>
            <w:vAlign w:val="center"/>
          </w:tcPr>
          <w:p w14:paraId="1CBB16A9" w14:textId="2CA93BEB" w:rsidR="25BD33D2" w:rsidRPr="00336FA0" w:rsidRDefault="25BD33D2" w:rsidP="000A5389">
            <w:pPr>
              <w:spacing w:line="240" w:lineRule="auto"/>
              <w:jc w:val="right"/>
              <w:rPr>
                <w:rFonts w:eastAsia="Times New Roman" w:cs="Times New Roman"/>
                <w:sz w:val="18"/>
                <w:szCs w:val="18"/>
              </w:rPr>
            </w:pPr>
            <w:r w:rsidRPr="00336FA0">
              <w:rPr>
                <w:rFonts w:eastAsia="Times New Roman" w:cs="Times New Roman"/>
                <w:sz w:val="18"/>
                <w:szCs w:val="18"/>
              </w:rPr>
              <w:t>93.900</w:t>
            </w:r>
          </w:p>
        </w:tc>
      </w:tr>
    </w:tbl>
    <w:p w14:paraId="3381B5F4" w14:textId="4AFE64E8" w:rsidR="007A0581" w:rsidRPr="00951AB1" w:rsidRDefault="005813BF" w:rsidP="000A5389">
      <w:pPr>
        <w:spacing w:line="240" w:lineRule="auto"/>
        <w:rPr>
          <w:rFonts w:eastAsia="Times New Roman" w:cs="Times New Roman"/>
          <w:sz w:val="14"/>
          <w:szCs w:val="14"/>
        </w:rPr>
      </w:pPr>
      <w:r w:rsidRPr="00951AB1">
        <w:rPr>
          <w:rFonts w:eastAsia="Times New Roman" w:cs="Times New Roman"/>
          <w:sz w:val="14"/>
          <w:szCs w:val="14"/>
        </w:rPr>
        <w:t>Cifras expresadas en pesos</w:t>
      </w:r>
    </w:p>
    <w:p w14:paraId="5A2BCEDA" w14:textId="77777777" w:rsidR="005813BF" w:rsidRPr="00951AB1" w:rsidRDefault="005813BF" w:rsidP="000A5389">
      <w:pPr>
        <w:spacing w:line="240" w:lineRule="auto"/>
        <w:rPr>
          <w:rFonts w:cs="Times New Roman"/>
        </w:rPr>
      </w:pPr>
    </w:p>
    <w:p w14:paraId="29A763E1" w14:textId="61653689" w:rsidR="481EA49C" w:rsidRPr="00951AB1" w:rsidRDefault="481EA49C" w:rsidP="000A5389">
      <w:pPr>
        <w:spacing w:line="240" w:lineRule="auto"/>
        <w:rPr>
          <w:rFonts w:cs="Times New Roman"/>
        </w:rPr>
      </w:pPr>
      <w:r w:rsidRPr="00951AB1">
        <w:rPr>
          <w:rFonts w:eastAsia="Times New Roman" w:cs="Times New Roman"/>
          <w:szCs w:val="24"/>
        </w:rPr>
        <w:t xml:space="preserve">Dentro de los beneficios a corto plazo por </w:t>
      </w:r>
      <w:r w:rsidRPr="00951AB1">
        <w:rPr>
          <w:rFonts w:eastAsia="Times New Roman" w:cs="Times New Roman"/>
          <w:szCs w:val="24"/>
          <w:lang w:val="es-MX"/>
        </w:rPr>
        <w:t xml:space="preserve">capacitación, bienestar social y estímulos, la Agencia otorgó mediante Resoluciones No 20254030013915 del 02 de octubre de 2025, 20254030016105 del 14 de noviembre de 2025 y 20254030018985 del 29 de diciembre de 2025 reconoció estímulos educativos a 59 </w:t>
      </w:r>
      <w:r w:rsidRPr="00951AB1">
        <w:rPr>
          <w:rFonts w:eastAsia="Times New Roman" w:cs="Times New Roman"/>
          <w:szCs w:val="24"/>
          <w:lang w:val="es"/>
        </w:rPr>
        <w:t>servidores de carrera administrativa, libre nombramiento y remoción y provisionales por valor total de $267.923.875</w:t>
      </w:r>
    </w:p>
    <w:p w14:paraId="1DCACBB5" w14:textId="502B5495" w:rsidR="481EA49C" w:rsidRPr="00951AB1" w:rsidRDefault="481EA49C" w:rsidP="000A5389">
      <w:pPr>
        <w:spacing w:line="240" w:lineRule="auto"/>
        <w:rPr>
          <w:rFonts w:cs="Times New Roman"/>
        </w:rPr>
      </w:pPr>
      <w:r w:rsidRPr="00951AB1">
        <w:rPr>
          <w:rFonts w:eastAsia="Times New Roman" w:cs="Times New Roman"/>
          <w:szCs w:val="24"/>
          <w:lang w:val="es"/>
        </w:rPr>
        <w:t xml:space="preserve"> </w:t>
      </w:r>
    </w:p>
    <w:p w14:paraId="1C568016" w14:textId="65A06771" w:rsidR="481EA49C" w:rsidRPr="00951AB1" w:rsidRDefault="481EA49C" w:rsidP="000A5389">
      <w:pPr>
        <w:spacing w:line="240" w:lineRule="auto"/>
        <w:rPr>
          <w:rFonts w:cs="Times New Roman"/>
        </w:rPr>
      </w:pPr>
      <w:r w:rsidRPr="00951AB1">
        <w:rPr>
          <w:rFonts w:eastAsia="Times New Roman" w:cs="Times New Roman"/>
          <w:szCs w:val="24"/>
          <w:lang w:val="es"/>
        </w:rPr>
        <w:t>La convocatoria fue elaborada por el GIT de Talento Humano y presentada ante la Comisión de Personal, en ejercicio de la facultad legal que le permite participar en su formulación. En sesión ordinaria celebrada en junio de 2025, la Comisión aprobó de manera unánime los porcentajes de otorgamiento del estímulo educativo conforme a las lecciones aprendidas y recomendaciones de los servidores públicos los cuales quedaron establecidos de la siguiente manera:</w:t>
      </w:r>
    </w:p>
    <w:p w14:paraId="73CA1851" w14:textId="6A347040" w:rsidR="1B206E7B" w:rsidRPr="00951AB1" w:rsidRDefault="1B206E7B" w:rsidP="000A5389">
      <w:pPr>
        <w:spacing w:line="240" w:lineRule="auto"/>
        <w:rPr>
          <w:rFonts w:cs="Times New Roman"/>
        </w:rPr>
      </w:pPr>
    </w:p>
    <w:tbl>
      <w:tblPr>
        <w:tblStyle w:val="Tablaconcuadrcula"/>
        <w:tblW w:w="5000" w:type="pct"/>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4271"/>
        <w:gridCol w:w="4557"/>
      </w:tblGrid>
      <w:tr w:rsidR="001D2434" w:rsidRPr="0039091F" w14:paraId="043F64F4" w14:textId="77777777" w:rsidTr="00A02737">
        <w:trPr>
          <w:trHeight w:val="300"/>
          <w:tblHeader/>
        </w:trPr>
        <w:tc>
          <w:tcPr>
            <w:tcW w:w="5000" w:type="pct"/>
            <w:gridSpan w:val="2"/>
            <w:tcMar>
              <w:left w:w="108" w:type="dxa"/>
              <w:right w:w="108" w:type="dxa"/>
            </w:tcMar>
            <w:vAlign w:val="center"/>
          </w:tcPr>
          <w:p w14:paraId="3527E56F" w14:textId="67439FF0" w:rsidR="16E19B70" w:rsidRPr="0039091F" w:rsidRDefault="16E19B70" w:rsidP="000A5389">
            <w:pPr>
              <w:spacing w:line="240" w:lineRule="auto"/>
              <w:jc w:val="center"/>
              <w:rPr>
                <w:rFonts w:cs="Times New Roman"/>
                <w:sz w:val="20"/>
                <w:szCs w:val="20"/>
              </w:rPr>
            </w:pPr>
            <w:r w:rsidRPr="0039091F">
              <w:rPr>
                <w:rFonts w:eastAsia="Times New Roman" w:cs="Times New Roman"/>
                <w:b/>
                <w:bCs/>
                <w:sz w:val="20"/>
                <w:szCs w:val="20"/>
              </w:rPr>
              <w:t xml:space="preserve">Porcentaje del apoyo para educación formal y no formal para servidores público </w:t>
            </w:r>
          </w:p>
        </w:tc>
      </w:tr>
      <w:tr w:rsidR="00240AB6" w:rsidRPr="0039091F" w14:paraId="5E9F0695" w14:textId="77777777" w:rsidTr="00A02737">
        <w:trPr>
          <w:trHeight w:val="225"/>
        </w:trPr>
        <w:tc>
          <w:tcPr>
            <w:tcW w:w="2419" w:type="pct"/>
            <w:tcMar>
              <w:left w:w="108" w:type="dxa"/>
              <w:right w:w="108" w:type="dxa"/>
            </w:tcMar>
            <w:vAlign w:val="center"/>
          </w:tcPr>
          <w:p w14:paraId="1609FFE9" w14:textId="13D2F728" w:rsidR="16E19B70" w:rsidRPr="0039091F" w:rsidRDefault="16E19B70" w:rsidP="000A5389">
            <w:pPr>
              <w:spacing w:line="240" w:lineRule="auto"/>
              <w:jc w:val="center"/>
              <w:rPr>
                <w:rFonts w:cs="Times New Roman"/>
                <w:sz w:val="20"/>
                <w:szCs w:val="20"/>
              </w:rPr>
            </w:pPr>
            <w:r w:rsidRPr="0039091F">
              <w:rPr>
                <w:rFonts w:eastAsia="Times New Roman" w:cs="Times New Roman"/>
                <w:b/>
                <w:bCs/>
                <w:sz w:val="20"/>
                <w:szCs w:val="20"/>
              </w:rPr>
              <w:t>Cargo</w:t>
            </w:r>
          </w:p>
        </w:tc>
        <w:tc>
          <w:tcPr>
            <w:tcW w:w="2581" w:type="pct"/>
            <w:tcMar>
              <w:left w:w="108" w:type="dxa"/>
              <w:right w:w="108" w:type="dxa"/>
            </w:tcMar>
            <w:vAlign w:val="center"/>
          </w:tcPr>
          <w:p w14:paraId="4962CF47" w14:textId="222C3C6E" w:rsidR="16E19B70" w:rsidRPr="0039091F" w:rsidRDefault="16E19B70" w:rsidP="000A5389">
            <w:pPr>
              <w:spacing w:line="240" w:lineRule="auto"/>
              <w:jc w:val="center"/>
              <w:rPr>
                <w:rFonts w:cs="Times New Roman"/>
                <w:sz w:val="20"/>
                <w:szCs w:val="20"/>
              </w:rPr>
            </w:pPr>
            <w:r w:rsidRPr="0039091F">
              <w:rPr>
                <w:rFonts w:eastAsia="Times New Roman" w:cs="Times New Roman"/>
                <w:b/>
                <w:bCs/>
                <w:sz w:val="20"/>
                <w:szCs w:val="20"/>
              </w:rPr>
              <w:t>Porcentaje</w:t>
            </w:r>
          </w:p>
        </w:tc>
      </w:tr>
      <w:tr w:rsidR="004811C3" w:rsidRPr="0039091F" w14:paraId="06AB34A9" w14:textId="77777777" w:rsidTr="00A02737">
        <w:trPr>
          <w:trHeight w:val="240"/>
        </w:trPr>
        <w:tc>
          <w:tcPr>
            <w:tcW w:w="2419" w:type="pct"/>
            <w:tcMar>
              <w:left w:w="108" w:type="dxa"/>
              <w:right w:w="108" w:type="dxa"/>
            </w:tcMar>
            <w:vAlign w:val="center"/>
          </w:tcPr>
          <w:p w14:paraId="44736BF8" w14:textId="45254B80" w:rsidR="16E19B70" w:rsidRPr="0039091F" w:rsidRDefault="16E19B70" w:rsidP="000A5389">
            <w:pPr>
              <w:spacing w:line="240" w:lineRule="auto"/>
              <w:jc w:val="center"/>
              <w:rPr>
                <w:rFonts w:cs="Times New Roman"/>
                <w:sz w:val="20"/>
                <w:szCs w:val="20"/>
              </w:rPr>
            </w:pPr>
            <w:r w:rsidRPr="0039091F">
              <w:rPr>
                <w:rFonts w:eastAsia="Times New Roman" w:cs="Times New Roman"/>
                <w:sz w:val="20"/>
                <w:szCs w:val="20"/>
              </w:rPr>
              <w:t>Directivo</w:t>
            </w:r>
          </w:p>
        </w:tc>
        <w:tc>
          <w:tcPr>
            <w:tcW w:w="2581" w:type="pct"/>
            <w:tcMar>
              <w:left w:w="108" w:type="dxa"/>
              <w:right w:w="108" w:type="dxa"/>
            </w:tcMar>
            <w:vAlign w:val="center"/>
          </w:tcPr>
          <w:p w14:paraId="09345477" w14:textId="550E788F" w:rsidR="16E19B70" w:rsidRPr="0039091F" w:rsidRDefault="16E19B70" w:rsidP="000A5389">
            <w:pPr>
              <w:spacing w:line="240" w:lineRule="auto"/>
              <w:jc w:val="center"/>
              <w:rPr>
                <w:rFonts w:cs="Times New Roman"/>
                <w:sz w:val="20"/>
                <w:szCs w:val="20"/>
              </w:rPr>
            </w:pPr>
            <w:r w:rsidRPr="0039091F">
              <w:rPr>
                <w:rFonts w:eastAsia="Times New Roman" w:cs="Times New Roman"/>
                <w:sz w:val="20"/>
                <w:szCs w:val="20"/>
              </w:rPr>
              <w:t>5%</w:t>
            </w:r>
          </w:p>
        </w:tc>
      </w:tr>
      <w:tr w:rsidR="004811C3" w:rsidRPr="0039091F" w14:paraId="3AEE2B37" w14:textId="77777777" w:rsidTr="00A02737">
        <w:trPr>
          <w:trHeight w:val="240"/>
        </w:trPr>
        <w:tc>
          <w:tcPr>
            <w:tcW w:w="2419" w:type="pct"/>
            <w:tcMar>
              <w:left w:w="108" w:type="dxa"/>
              <w:right w:w="108" w:type="dxa"/>
            </w:tcMar>
            <w:vAlign w:val="center"/>
          </w:tcPr>
          <w:p w14:paraId="0181CA8A" w14:textId="60791A60" w:rsidR="16E19B70" w:rsidRPr="0039091F" w:rsidRDefault="16E19B70" w:rsidP="000A5389">
            <w:pPr>
              <w:spacing w:line="240" w:lineRule="auto"/>
              <w:jc w:val="center"/>
              <w:rPr>
                <w:rFonts w:cs="Times New Roman"/>
                <w:sz w:val="20"/>
                <w:szCs w:val="20"/>
              </w:rPr>
            </w:pPr>
            <w:r w:rsidRPr="0039091F">
              <w:rPr>
                <w:rFonts w:eastAsia="Times New Roman" w:cs="Times New Roman"/>
                <w:sz w:val="20"/>
                <w:szCs w:val="20"/>
              </w:rPr>
              <w:t>Asesor de Libre Nombramiento y Remoción</w:t>
            </w:r>
          </w:p>
        </w:tc>
        <w:tc>
          <w:tcPr>
            <w:tcW w:w="2581" w:type="pct"/>
            <w:tcMar>
              <w:left w:w="108" w:type="dxa"/>
              <w:right w:w="108" w:type="dxa"/>
            </w:tcMar>
            <w:vAlign w:val="center"/>
          </w:tcPr>
          <w:p w14:paraId="36845F6A" w14:textId="557C3D5D" w:rsidR="16E19B70" w:rsidRPr="0039091F" w:rsidRDefault="16E19B70" w:rsidP="000A5389">
            <w:pPr>
              <w:spacing w:line="240" w:lineRule="auto"/>
              <w:jc w:val="center"/>
              <w:rPr>
                <w:rFonts w:cs="Times New Roman"/>
                <w:sz w:val="20"/>
                <w:szCs w:val="20"/>
              </w:rPr>
            </w:pPr>
            <w:r w:rsidRPr="0039091F">
              <w:rPr>
                <w:rFonts w:eastAsia="Times New Roman" w:cs="Times New Roman"/>
                <w:sz w:val="20"/>
                <w:szCs w:val="20"/>
              </w:rPr>
              <w:t>10%</w:t>
            </w:r>
          </w:p>
        </w:tc>
      </w:tr>
      <w:tr w:rsidR="004811C3" w:rsidRPr="0039091F" w14:paraId="276B792A" w14:textId="77777777" w:rsidTr="00A02737">
        <w:trPr>
          <w:trHeight w:val="240"/>
        </w:trPr>
        <w:tc>
          <w:tcPr>
            <w:tcW w:w="2419" w:type="pct"/>
            <w:tcMar>
              <w:left w:w="108" w:type="dxa"/>
              <w:right w:w="108" w:type="dxa"/>
            </w:tcMar>
            <w:vAlign w:val="center"/>
          </w:tcPr>
          <w:p w14:paraId="46306465" w14:textId="2246453A" w:rsidR="16E19B70" w:rsidRPr="0039091F" w:rsidRDefault="16E19B70" w:rsidP="000A5389">
            <w:pPr>
              <w:spacing w:line="240" w:lineRule="auto"/>
              <w:jc w:val="center"/>
              <w:rPr>
                <w:rFonts w:cs="Times New Roman"/>
                <w:sz w:val="20"/>
                <w:szCs w:val="20"/>
              </w:rPr>
            </w:pPr>
            <w:r w:rsidRPr="0039091F">
              <w:rPr>
                <w:rFonts w:eastAsia="Times New Roman" w:cs="Times New Roman"/>
                <w:sz w:val="20"/>
                <w:szCs w:val="20"/>
              </w:rPr>
              <w:t>Asesor de Carrera Administrativa</w:t>
            </w:r>
          </w:p>
        </w:tc>
        <w:tc>
          <w:tcPr>
            <w:tcW w:w="2581" w:type="pct"/>
            <w:tcMar>
              <w:left w:w="108" w:type="dxa"/>
              <w:right w:w="108" w:type="dxa"/>
            </w:tcMar>
            <w:vAlign w:val="center"/>
          </w:tcPr>
          <w:p w14:paraId="20E5BBDC" w14:textId="79BFB5FE" w:rsidR="16E19B70" w:rsidRPr="0039091F" w:rsidRDefault="16E19B70" w:rsidP="000A5389">
            <w:pPr>
              <w:spacing w:line="240" w:lineRule="auto"/>
              <w:jc w:val="center"/>
              <w:rPr>
                <w:rFonts w:cs="Times New Roman"/>
                <w:sz w:val="20"/>
                <w:szCs w:val="20"/>
              </w:rPr>
            </w:pPr>
            <w:r w:rsidRPr="0039091F">
              <w:rPr>
                <w:rFonts w:eastAsia="Times New Roman" w:cs="Times New Roman"/>
                <w:sz w:val="20"/>
                <w:szCs w:val="20"/>
              </w:rPr>
              <w:t>25%</w:t>
            </w:r>
          </w:p>
        </w:tc>
      </w:tr>
      <w:tr w:rsidR="004811C3" w:rsidRPr="0039091F" w14:paraId="77C26E6B" w14:textId="77777777" w:rsidTr="00A02737">
        <w:trPr>
          <w:trHeight w:val="240"/>
        </w:trPr>
        <w:tc>
          <w:tcPr>
            <w:tcW w:w="2419" w:type="pct"/>
            <w:tcMar>
              <w:left w:w="108" w:type="dxa"/>
              <w:right w:w="108" w:type="dxa"/>
            </w:tcMar>
            <w:vAlign w:val="center"/>
          </w:tcPr>
          <w:p w14:paraId="6C503439" w14:textId="1E60EF3C" w:rsidR="16E19B70" w:rsidRPr="0039091F" w:rsidRDefault="16E19B70" w:rsidP="000A5389">
            <w:pPr>
              <w:spacing w:line="240" w:lineRule="auto"/>
              <w:jc w:val="center"/>
              <w:rPr>
                <w:rFonts w:cs="Times New Roman"/>
                <w:sz w:val="20"/>
                <w:szCs w:val="20"/>
              </w:rPr>
            </w:pPr>
            <w:r w:rsidRPr="0039091F">
              <w:rPr>
                <w:rFonts w:eastAsia="Times New Roman" w:cs="Times New Roman"/>
                <w:sz w:val="20"/>
                <w:szCs w:val="20"/>
              </w:rPr>
              <w:lastRenderedPageBreak/>
              <w:t>Profesional</w:t>
            </w:r>
          </w:p>
        </w:tc>
        <w:tc>
          <w:tcPr>
            <w:tcW w:w="2581" w:type="pct"/>
            <w:tcMar>
              <w:left w:w="108" w:type="dxa"/>
              <w:right w:w="108" w:type="dxa"/>
            </w:tcMar>
            <w:vAlign w:val="center"/>
          </w:tcPr>
          <w:p w14:paraId="3FC41D9A" w14:textId="684D90D2" w:rsidR="16E19B70" w:rsidRPr="0039091F" w:rsidRDefault="16E19B70" w:rsidP="000A5389">
            <w:pPr>
              <w:spacing w:line="240" w:lineRule="auto"/>
              <w:jc w:val="center"/>
              <w:rPr>
                <w:rFonts w:cs="Times New Roman"/>
                <w:sz w:val="20"/>
                <w:szCs w:val="20"/>
              </w:rPr>
            </w:pPr>
            <w:r w:rsidRPr="0039091F">
              <w:rPr>
                <w:rFonts w:eastAsia="Times New Roman" w:cs="Times New Roman"/>
                <w:sz w:val="20"/>
                <w:szCs w:val="20"/>
              </w:rPr>
              <w:t>50%</w:t>
            </w:r>
          </w:p>
        </w:tc>
      </w:tr>
      <w:tr w:rsidR="004811C3" w:rsidRPr="0039091F" w14:paraId="707ACFBF" w14:textId="77777777" w:rsidTr="00A02737">
        <w:trPr>
          <w:trHeight w:val="240"/>
        </w:trPr>
        <w:tc>
          <w:tcPr>
            <w:tcW w:w="2419" w:type="pct"/>
            <w:tcMar>
              <w:left w:w="108" w:type="dxa"/>
              <w:right w:w="108" w:type="dxa"/>
            </w:tcMar>
            <w:vAlign w:val="center"/>
          </w:tcPr>
          <w:p w14:paraId="723BE370" w14:textId="56B7BD30" w:rsidR="16E19B70" w:rsidRPr="0039091F" w:rsidRDefault="16E19B70" w:rsidP="000A5389">
            <w:pPr>
              <w:spacing w:line="240" w:lineRule="auto"/>
              <w:jc w:val="center"/>
              <w:rPr>
                <w:rFonts w:cs="Times New Roman"/>
                <w:sz w:val="20"/>
                <w:szCs w:val="20"/>
              </w:rPr>
            </w:pPr>
            <w:r w:rsidRPr="0039091F">
              <w:rPr>
                <w:rFonts w:eastAsia="Times New Roman" w:cs="Times New Roman"/>
                <w:sz w:val="20"/>
                <w:szCs w:val="20"/>
              </w:rPr>
              <w:t>Técnico Asistencial</w:t>
            </w:r>
          </w:p>
        </w:tc>
        <w:tc>
          <w:tcPr>
            <w:tcW w:w="2581" w:type="pct"/>
            <w:tcMar>
              <w:left w:w="108" w:type="dxa"/>
              <w:right w:w="108" w:type="dxa"/>
            </w:tcMar>
            <w:vAlign w:val="center"/>
          </w:tcPr>
          <w:p w14:paraId="043191A1" w14:textId="303C0C04" w:rsidR="16E19B70" w:rsidRPr="0039091F" w:rsidRDefault="16E19B70" w:rsidP="000A5389">
            <w:pPr>
              <w:spacing w:line="240" w:lineRule="auto"/>
              <w:jc w:val="center"/>
              <w:rPr>
                <w:rFonts w:cs="Times New Roman"/>
                <w:sz w:val="20"/>
                <w:szCs w:val="20"/>
              </w:rPr>
            </w:pPr>
            <w:r w:rsidRPr="0039091F">
              <w:rPr>
                <w:rFonts w:eastAsia="Times New Roman" w:cs="Times New Roman"/>
                <w:sz w:val="20"/>
                <w:szCs w:val="20"/>
              </w:rPr>
              <w:t>70%</w:t>
            </w:r>
          </w:p>
        </w:tc>
      </w:tr>
    </w:tbl>
    <w:p w14:paraId="434A2EED" w14:textId="73C0BDC3" w:rsidR="1B206E7B" w:rsidRDefault="1B206E7B" w:rsidP="000A5389">
      <w:pPr>
        <w:spacing w:line="240" w:lineRule="auto"/>
        <w:rPr>
          <w:rFonts w:cs="Times New Roman"/>
        </w:rPr>
      </w:pPr>
    </w:p>
    <w:p w14:paraId="0487D9A4" w14:textId="32ACCDA9" w:rsidR="1815DD2A" w:rsidRPr="00951AB1" w:rsidRDefault="1815DD2A" w:rsidP="000A5389">
      <w:pPr>
        <w:spacing w:line="240" w:lineRule="auto"/>
        <w:rPr>
          <w:rFonts w:cs="Times New Roman"/>
        </w:rPr>
      </w:pPr>
    </w:p>
    <w:tbl>
      <w:tblPr>
        <w:tblStyle w:val="Tablaconcuadrcula"/>
        <w:tblW w:w="0" w:type="auto"/>
        <w:tbl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insideH w:val="single" w:sz="2" w:space="0" w:color="A6A6A6" w:themeColor="background1" w:themeShade="A6"/>
          <w:insideV w:val="single" w:sz="2" w:space="0" w:color="A6A6A6" w:themeColor="background1" w:themeShade="A6"/>
        </w:tblBorders>
        <w:tblLook w:val="04A0" w:firstRow="1" w:lastRow="0" w:firstColumn="1" w:lastColumn="0" w:noHBand="0" w:noVBand="1"/>
      </w:tblPr>
      <w:tblGrid>
        <w:gridCol w:w="4273"/>
        <w:gridCol w:w="4559"/>
      </w:tblGrid>
      <w:tr w:rsidR="002B02CE" w:rsidRPr="0039091F" w14:paraId="1926E879" w14:textId="77777777" w:rsidTr="00336FA0">
        <w:trPr>
          <w:trHeight w:val="348"/>
          <w:tblHeader/>
        </w:trPr>
        <w:tc>
          <w:tcPr>
            <w:tcW w:w="8835" w:type="dxa"/>
            <w:gridSpan w:val="2"/>
            <w:tcMar>
              <w:left w:w="108" w:type="dxa"/>
              <w:right w:w="108" w:type="dxa"/>
            </w:tcMar>
            <w:vAlign w:val="center"/>
          </w:tcPr>
          <w:p w14:paraId="7B5E830B" w14:textId="6091C98A" w:rsidR="1815DD2A" w:rsidRPr="0039091F" w:rsidRDefault="1815DD2A" w:rsidP="000A5389">
            <w:pPr>
              <w:spacing w:line="240" w:lineRule="auto"/>
              <w:jc w:val="center"/>
              <w:rPr>
                <w:rFonts w:cs="Times New Roman"/>
                <w:sz w:val="20"/>
                <w:szCs w:val="20"/>
              </w:rPr>
            </w:pPr>
            <w:r w:rsidRPr="0039091F">
              <w:rPr>
                <w:rFonts w:eastAsia="Times New Roman" w:cs="Times New Roman"/>
                <w:b/>
                <w:bCs/>
                <w:sz w:val="20"/>
                <w:szCs w:val="20"/>
              </w:rPr>
              <w:t>Porcentaje estímulo educativo para hijos</w:t>
            </w:r>
          </w:p>
        </w:tc>
      </w:tr>
      <w:tr w:rsidR="00423A11" w:rsidRPr="0039091F" w14:paraId="62F05650" w14:textId="77777777" w:rsidTr="00336FA0">
        <w:trPr>
          <w:trHeight w:val="282"/>
          <w:tblHeader/>
        </w:trPr>
        <w:tc>
          <w:tcPr>
            <w:tcW w:w="4274" w:type="dxa"/>
            <w:tcMar>
              <w:left w:w="108" w:type="dxa"/>
              <w:right w:w="108" w:type="dxa"/>
            </w:tcMar>
            <w:vAlign w:val="center"/>
          </w:tcPr>
          <w:p w14:paraId="31FCB2A0" w14:textId="37725CF2" w:rsidR="1815DD2A" w:rsidRPr="0039091F" w:rsidRDefault="1815DD2A" w:rsidP="000A5389">
            <w:pPr>
              <w:spacing w:line="240" w:lineRule="auto"/>
              <w:jc w:val="center"/>
              <w:rPr>
                <w:rFonts w:cs="Times New Roman"/>
                <w:sz w:val="20"/>
                <w:szCs w:val="20"/>
              </w:rPr>
            </w:pPr>
            <w:r w:rsidRPr="0039091F">
              <w:rPr>
                <w:rFonts w:eastAsia="Times New Roman" w:cs="Times New Roman"/>
                <w:b/>
                <w:bCs/>
                <w:sz w:val="20"/>
                <w:szCs w:val="20"/>
              </w:rPr>
              <w:t>Cargo</w:t>
            </w:r>
          </w:p>
        </w:tc>
        <w:tc>
          <w:tcPr>
            <w:tcW w:w="4561" w:type="dxa"/>
            <w:tcMar>
              <w:left w:w="108" w:type="dxa"/>
              <w:right w:w="108" w:type="dxa"/>
            </w:tcMar>
            <w:vAlign w:val="center"/>
          </w:tcPr>
          <w:p w14:paraId="008AC9B1" w14:textId="53253BD6" w:rsidR="1815DD2A" w:rsidRPr="0039091F" w:rsidRDefault="1815DD2A" w:rsidP="000A5389">
            <w:pPr>
              <w:spacing w:line="240" w:lineRule="auto"/>
              <w:jc w:val="center"/>
              <w:rPr>
                <w:rFonts w:cs="Times New Roman"/>
                <w:sz w:val="20"/>
                <w:szCs w:val="20"/>
              </w:rPr>
            </w:pPr>
            <w:r w:rsidRPr="0039091F">
              <w:rPr>
                <w:rFonts w:eastAsia="Times New Roman" w:cs="Times New Roman"/>
                <w:b/>
                <w:bCs/>
                <w:sz w:val="20"/>
                <w:szCs w:val="20"/>
              </w:rPr>
              <w:t>Porcentaje</w:t>
            </w:r>
          </w:p>
        </w:tc>
      </w:tr>
      <w:tr w:rsidR="00423A11" w:rsidRPr="0039091F" w14:paraId="220911D0" w14:textId="77777777" w:rsidTr="00336FA0">
        <w:trPr>
          <w:trHeight w:val="300"/>
        </w:trPr>
        <w:tc>
          <w:tcPr>
            <w:tcW w:w="4274" w:type="dxa"/>
            <w:tcMar>
              <w:left w:w="108" w:type="dxa"/>
              <w:right w:w="108" w:type="dxa"/>
            </w:tcMar>
            <w:vAlign w:val="center"/>
          </w:tcPr>
          <w:p w14:paraId="3F6A5EDD" w14:textId="0B12121E" w:rsidR="1815DD2A" w:rsidRPr="0039091F" w:rsidRDefault="1815DD2A" w:rsidP="000A5389">
            <w:pPr>
              <w:spacing w:line="240" w:lineRule="auto"/>
              <w:jc w:val="center"/>
              <w:rPr>
                <w:rFonts w:cs="Times New Roman"/>
                <w:sz w:val="20"/>
                <w:szCs w:val="20"/>
              </w:rPr>
            </w:pPr>
            <w:r w:rsidRPr="0039091F">
              <w:rPr>
                <w:rFonts w:eastAsia="Times New Roman" w:cs="Times New Roman"/>
                <w:sz w:val="20"/>
                <w:szCs w:val="20"/>
              </w:rPr>
              <w:t>Asesor de libre nombramiento y Remoción</w:t>
            </w:r>
          </w:p>
        </w:tc>
        <w:tc>
          <w:tcPr>
            <w:tcW w:w="4561" w:type="dxa"/>
            <w:tcMar>
              <w:left w:w="108" w:type="dxa"/>
              <w:right w:w="108" w:type="dxa"/>
            </w:tcMar>
            <w:vAlign w:val="center"/>
          </w:tcPr>
          <w:p w14:paraId="7C8E19B1" w14:textId="0FF3DC66" w:rsidR="1815DD2A" w:rsidRPr="0039091F" w:rsidRDefault="1815DD2A" w:rsidP="000A5389">
            <w:pPr>
              <w:spacing w:line="240" w:lineRule="auto"/>
              <w:jc w:val="center"/>
              <w:rPr>
                <w:rFonts w:cs="Times New Roman"/>
                <w:sz w:val="20"/>
                <w:szCs w:val="20"/>
              </w:rPr>
            </w:pPr>
            <w:r w:rsidRPr="0039091F">
              <w:rPr>
                <w:rFonts w:eastAsia="Times New Roman" w:cs="Times New Roman"/>
                <w:sz w:val="20"/>
                <w:szCs w:val="20"/>
              </w:rPr>
              <w:t>10%</w:t>
            </w:r>
          </w:p>
        </w:tc>
      </w:tr>
      <w:tr w:rsidR="00423A11" w:rsidRPr="0039091F" w14:paraId="035A738F" w14:textId="77777777" w:rsidTr="00336FA0">
        <w:trPr>
          <w:trHeight w:val="300"/>
        </w:trPr>
        <w:tc>
          <w:tcPr>
            <w:tcW w:w="4274" w:type="dxa"/>
            <w:tcMar>
              <w:left w:w="108" w:type="dxa"/>
              <w:right w:w="108" w:type="dxa"/>
            </w:tcMar>
          </w:tcPr>
          <w:p w14:paraId="6B6E144B" w14:textId="2BE20B5B" w:rsidR="1815DD2A" w:rsidRPr="0039091F" w:rsidRDefault="1815DD2A" w:rsidP="000A5389">
            <w:pPr>
              <w:spacing w:line="240" w:lineRule="auto"/>
              <w:jc w:val="center"/>
              <w:rPr>
                <w:rFonts w:cs="Times New Roman"/>
                <w:sz w:val="20"/>
                <w:szCs w:val="20"/>
              </w:rPr>
            </w:pPr>
            <w:r w:rsidRPr="0039091F">
              <w:rPr>
                <w:rFonts w:eastAsia="Times New Roman" w:cs="Times New Roman"/>
                <w:sz w:val="20"/>
                <w:szCs w:val="20"/>
              </w:rPr>
              <w:t>Asesor de Carrera Administrativa</w:t>
            </w:r>
          </w:p>
        </w:tc>
        <w:tc>
          <w:tcPr>
            <w:tcW w:w="4561" w:type="dxa"/>
            <w:tcMar>
              <w:left w:w="108" w:type="dxa"/>
              <w:right w:w="108" w:type="dxa"/>
            </w:tcMar>
          </w:tcPr>
          <w:p w14:paraId="244ED026" w14:textId="4C4B5790" w:rsidR="1815DD2A" w:rsidRPr="0039091F" w:rsidRDefault="1815DD2A" w:rsidP="000A5389">
            <w:pPr>
              <w:spacing w:line="240" w:lineRule="auto"/>
              <w:jc w:val="center"/>
              <w:rPr>
                <w:rFonts w:cs="Times New Roman"/>
                <w:sz w:val="20"/>
                <w:szCs w:val="20"/>
              </w:rPr>
            </w:pPr>
            <w:r w:rsidRPr="0039091F">
              <w:rPr>
                <w:rFonts w:eastAsia="Times New Roman" w:cs="Times New Roman"/>
                <w:sz w:val="20"/>
                <w:szCs w:val="20"/>
              </w:rPr>
              <w:t>25%</w:t>
            </w:r>
          </w:p>
        </w:tc>
      </w:tr>
      <w:tr w:rsidR="00423A11" w:rsidRPr="0039091F" w14:paraId="3D776A57" w14:textId="77777777" w:rsidTr="00336FA0">
        <w:trPr>
          <w:trHeight w:val="300"/>
        </w:trPr>
        <w:tc>
          <w:tcPr>
            <w:tcW w:w="4274" w:type="dxa"/>
            <w:tcMar>
              <w:left w:w="108" w:type="dxa"/>
              <w:right w:w="108" w:type="dxa"/>
            </w:tcMar>
          </w:tcPr>
          <w:p w14:paraId="62AB973C" w14:textId="22D5B0DF" w:rsidR="1815DD2A" w:rsidRPr="0039091F" w:rsidRDefault="1815DD2A" w:rsidP="000A5389">
            <w:pPr>
              <w:spacing w:line="240" w:lineRule="auto"/>
              <w:jc w:val="center"/>
              <w:rPr>
                <w:rFonts w:cs="Times New Roman"/>
                <w:sz w:val="20"/>
                <w:szCs w:val="20"/>
              </w:rPr>
            </w:pPr>
            <w:r w:rsidRPr="0039091F">
              <w:rPr>
                <w:rFonts w:eastAsia="Times New Roman" w:cs="Times New Roman"/>
                <w:sz w:val="20"/>
                <w:szCs w:val="20"/>
              </w:rPr>
              <w:t>Profesional de carrera administrativa</w:t>
            </w:r>
          </w:p>
        </w:tc>
        <w:tc>
          <w:tcPr>
            <w:tcW w:w="4561" w:type="dxa"/>
            <w:tcMar>
              <w:left w:w="108" w:type="dxa"/>
              <w:right w:w="108" w:type="dxa"/>
            </w:tcMar>
          </w:tcPr>
          <w:p w14:paraId="3F256122" w14:textId="55D42281" w:rsidR="1815DD2A" w:rsidRPr="0039091F" w:rsidRDefault="1815DD2A" w:rsidP="000A5389">
            <w:pPr>
              <w:spacing w:line="240" w:lineRule="auto"/>
              <w:jc w:val="center"/>
              <w:rPr>
                <w:rFonts w:cs="Times New Roman"/>
                <w:sz w:val="20"/>
                <w:szCs w:val="20"/>
              </w:rPr>
            </w:pPr>
            <w:r w:rsidRPr="0039091F">
              <w:rPr>
                <w:rFonts w:eastAsia="Times New Roman" w:cs="Times New Roman"/>
                <w:sz w:val="20"/>
                <w:szCs w:val="20"/>
              </w:rPr>
              <w:t>50%</w:t>
            </w:r>
          </w:p>
        </w:tc>
      </w:tr>
      <w:tr w:rsidR="00423A11" w:rsidRPr="0039091F" w14:paraId="1E9043C5" w14:textId="77777777" w:rsidTr="00336FA0">
        <w:trPr>
          <w:trHeight w:val="300"/>
        </w:trPr>
        <w:tc>
          <w:tcPr>
            <w:tcW w:w="4274" w:type="dxa"/>
            <w:tcMar>
              <w:left w:w="108" w:type="dxa"/>
              <w:right w:w="108" w:type="dxa"/>
            </w:tcMar>
          </w:tcPr>
          <w:p w14:paraId="076AB988" w14:textId="5A159ED9" w:rsidR="1815DD2A" w:rsidRPr="0039091F" w:rsidRDefault="1815DD2A" w:rsidP="000A5389">
            <w:pPr>
              <w:spacing w:line="240" w:lineRule="auto"/>
              <w:jc w:val="center"/>
              <w:rPr>
                <w:rFonts w:cs="Times New Roman"/>
                <w:sz w:val="20"/>
                <w:szCs w:val="20"/>
              </w:rPr>
            </w:pPr>
            <w:r w:rsidRPr="0039091F">
              <w:rPr>
                <w:rFonts w:eastAsia="Times New Roman" w:cs="Times New Roman"/>
                <w:sz w:val="20"/>
                <w:szCs w:val="20"/>
              </w:rPr>
              <w:t>Profesional Provisional</w:t>
            </w:r>
          </w:p>
        </w:tc>
        <w:tc>
          <w:tcPr>
            <w:tcW w:w="4561" w:type="dxa"/>
            <w:tcMar>
              <w:left w:w="108" w:type="dxa"/>
              <w:right w:w="108" w:type="dxa"/>
            </w:tcMar>
          </w:tcPr>
          <w:p w14:paraId="426B8860" w14:textId="46EAD51F" w:rsidR="1815DD2A" w:rsidRPr="0039091F" w:rsidRDefault="1815DD2A" w:rsidP="000A5389">
            <w:pPr>
              <w:spacing w:line="240" w:lineRule="auto"/>
              <w:jc w:val="center"/>
              <w:rPr>
                <w:rFonts w:cs="Times New Roman"/>
                <w:sz w:val="20"/>
                <w:szCs w:val="20"/>
              </w:rPr>
            </w:pPr>
            <w:r w:rsidRPr="0039091F">
              <w:rPr>
                <w:rFonts w:eastAsia="Times New Roman" w:cs="Times New Roman"/>
                <w:sz w:val="20"/>
                <w:szCs w:val="20"/>
              </w:rPr>
              <w:t>10%</w:t>
            </w:r>
          </w:p>
        </w:tc>
      </w:tr>
      <w:tr w:rsidR="00423A11" w:rsidRPr="0039091F" w14:paraId="6A1F3312" w14:textId="77777777" w:rsidTr="00336FA0">
        <w:trPr>
          <w:trHeight w:val="300"/>
        </w:trPr>
        <w:tc>
          <w:tcPr>
            <w:tcW w:w="4274" w:type="dxa"/>
            <w:tcMar>
              <w:left w:w="108" w:type="dxa"/>
              <w:right w:w="108" w:type="dxa"/>
            </w:tcMar>
          </w:tcPr>
          <w:p w14:paraId="49D170FB" w14:textId="648B0E86" w:rsidR="1815DD2A" w:rsidRPr="0039091F" w:rsidRDefault="1815DD2A" w:rsidP="000A5389">
            <w:pPr>
              <w:spacing w:line="240" w:lineRule="auto"/>
              <w:jc w:val="center"/>
              <w:rPr>
                <w:rFonts w:cs="Times New Roman"/>
                <w:sz w:val="20"/>
                <w:szCs w:val="20"/>
              </w:rPr>
            </w:pPr>
            <w:r w:rsidRPr="0039091F">
              <w:rPr>
                <w:rFonts w:eastAsia="Times New Roman" w:cs="Times New Roman"/>
                <w:sz w:val="20"/>
                <w:szCs w:val="20"/>
              </w:rPr>
              <w:t>Técnico Asistencial de carrera administrativa</w:t>
            </w:r>
          </w:p>
        </w:tc>
        <w:tc>
          <w:tcPr>
            <w:tcW w:w="4561" w:type="dxa"/>
            <w:tcMar>
              <w:left w:w="108" w:type="dxa"/>
              <w:right w:w="108" w:type="dxa"/>
            </w:tcMar>
          </w:tcPr>
          <w:p w14:paraId="22A45E53" w14:textId="64036F0F" w:rsidR="1815DD2A" w:rsidRPr="0039091F" w:rsidRDefault="1815DD2A" w:rsidP="000A5389">
            <w:pPr>
              <w:spacing w:line="240" w:lineRule="auto"/>
              <w:jc w:val="center"/>
              <w:rPr>
                <w:rFonts w:cs="Times New Roman"/>
                <w:sz w:val="20"/>
                <w:szCs w:val="20"/>
              </w:rPr>
            </w:pPr>
            <w:r w:rsidRPr="0039091F">
              <w:rPr>
                <w:rFonts w:eastAsia="Times New Roman" w:cs="Times New Roman"/>
                <w:sz w:val="20"/>
                <w:szCs w:val="20"/>
              </w:rPr>
              <w:t>70%</w:t>
            </w:r>
          </w:p>
        </w:tc>
      </w:tr>
      <w:tr w:rsidR="00423A11" w:rsidRPr="0039091F" w14:paraId="2C22C6BF" w14:textId="77777777" w:rsidTr="00336FA0">
        <w:trPr>
          <w:trHeight w:val="300"/>
        </w:trPr>
        <w:tc>
          <w:tcPr>
            <w:tcW w:w="4274" w:type="dxa"/>
            <w:tcMar>
              <w:left w:w="108" w:type="dxa"/>
              <w:right w:w="108" w:type="dxa"/>
            </w:tcMar>
          </w:tcPr>
          <w:p w14:paraId="1186700C" w14:textId="7FA60CAA" w:rsidR="1815DD2A" w:rsidRPr="0039091F" w:rsidRDefault="1815DD2A" w:rsidP="000A5389">
            <w:pPr>
              <w:spacing w:line="240" w:lineRule="auto"/>
              <w:jc w:val="center"/>
              <w:rPr>
                <w:rFonts w:cs="Times New Roman"/>
                <w:sz w:val="20"/>
                <w:szCs w:val="20"/>
              </w:rPr>
            </w:pPr>
            <w:r w:rsidRPr="0039091F">
              <w:rPr>
                <w:rFonts w:eastAsia="Times New Roman" w:cs="Times New Roman"/>
                <w:sz w:val="20"/>
                <w:szCs w:val="20"/>
              </w:rPr>
              <w:t>Técnico asistencial Provisional</w:t>
            </w:r>
          </w:p>
        </w:tc>
        <w:tc>
          <w:tcPr>
            <w:tcW w:w="4561" w:type="dxa"/>
            <w:tcMar>
              <w:left w:w="108" w:type="dxa"/>
              <w:right w:w="108" w:type="dxa"/>
            </w:tcMar>
          </w:tcPr>
          <w:p w14:paraId="6DEC8785" w14:textId="65548FD2" w:rsidR="1815DD2A" w:rsidRPr="0039091F" w:rsidRDefault="1815DD2A" w:rsidP="000A5389">
            <w:pPr>
              <w:spacing w:line="240" w:lineRule="auto"/>
              <w:jc w:val="center"/>
              <w:rPr>
                <w:rFonts w:cs="Times New Roman"/>
                <w:sz w:val="20"/>
                <w:szCs w:val="20"/>
              </w:rPr>
            </w:pPr>
            <w:r w:rsidRPr="0039091F">
              <w:rPr>
                <w:rFonts w:eastAsia="Times New Roman" w:cs="Times New Roman"/>
                <w:sz w:val="20"/>
                <w:szCs w:val="20"/>
              </w:rPr>
              <w:t>10%</w:t>
            </w:r>
          </w:p>
        </w:tc>
      </w:tr>
      <w:tr w:rsidR="00423A11" w:rsidRPr="0039091F" w14:paraId="5FEF7E14" w14:textId="77777777" w:rsidTr="00336FA0">
        <w:trPr>
          <w:trHeight w:val="300"/>
        </w:trPr>
        <w:tc>
          <w:tcPr>
            <w:tcW w:w="4274" w:type="dxa"/>
            <w:tcMar>
              <w:left w:w="108" w:type="dxa"/>
              <w:right w:w="108" w:type="dxa"/>
            </w:tcMar>
          </w:tcPr>
          <w:p w14:paraId="7040C526" w14:textId="03C2EF86" w:rsidR="1815DD2A" w:rsidRPr="0039091F" w:rsidRDefault="1815DD2A" w:rsidP="000A5389">
            <w:pPr>
              <w:spacing w:line="240" w:lineRule="auto"/>
              <w:jc w:val="center"/>
              <w:rPr>
                <w:rFonts w:cs="Times New Roman"/>
                <w:sz w:val="20"/>
                <w:szCs w:val="20"/>
              </w:rPr>
            </w:pPr>
            <w:r w:rsidRPr="0039091F">
              <w:rPr>
                <w:rFonts w:eastAsia="Times New Roman" w:cs="Times New Roman"/>
                <w:sz w:val="20"/>
                <w:szCs w:val="20"/>
              </w:rPr>
              <w:t>Técnico Asistencial Libre Nombramiento y Remoción</w:t>
            </w:r>
          </w:p>
        </w:tc>
        <w:tc>
          <w:tcPr>
            <w:tcW w:w="4561" w:type="dxa"/>
            <w:tcMar>
              <w:left w:w="108" w:type="dxa"/>
              <w:right w:w="108" w:type="dxa"/>
            </w:tcMar>
          </w:tcPr>
          <w:p w14:paraId="412DBCA0" w14:textId="36A73E24" w:rsidR="1815DD2A" w:rsidRPr="0039091F" w:rsidRDefault="1815DD2A" w:rsidP="000A5389">
            <w:pPr>
              <w:spacing w:line="240" w:lineRule="auto"/>
              <w:jc w:val="center"/>
              <w:rPr>
                <w:rFonts w:cs="Times New Roman"/>
                <w:sz w:val="20"/>
                <w:szCs w:val="20"/>
              </w:rPr>
            </w:pPr>
            <w:r w:rsidRPr="0039091F">
              <w:rPr>
                <w:rFonts w:eastAsia="Times New Roman" w:cs="Times New Roman"/>
                <w:sz w:val="20"/>
                <w:szCs w:val="20"/>
              </w:rPr>
              <w:t>10%</w:t>
            </w:r>
          </w:p>
        </w:tc>
      </w:tr>
    </w:tbl>
    <w:p w14:paraId="3D841EC7" w14:textId="0E0FC570" w:rsidR="1815DD2A" w:rsidRPr="00951AB1" w:rsidRDefault="1815DD2A" w:rsidP="000A5389">
      <w:pPr>
        <w:spacing w:line="240" w:lineRule="auto"/>
        <w:rPr>
          <w:rFonts w:cs="Times New Roman"/>
        </w:rPr>
      </w:pPr>
    </w:p>
    <w:p w14:paraId="17807615" w14:textId="3339A9A9" w:rsidR="6A30012E" w:rsidRPr="00951AB1" w:rsidRDefault="6A30012E" w:rsidP="000A5389">
      <w:pPr>
        <w:spacing w:line="240" w:lineRule="auto"/>
        <w:rPr>
          <w:rFonts w:cs="Times New Roman"/>
        </w:rPr>
      </w:pPr>
      <w:r w:rsidRPr="00951AB1">
        <w:rPr>
          <w:rFonts w:eastAsia="Times New Roman" w:cs="Times New Roman"/>
          <w:szCs w:val="24"/>
          <w:lang w:val="es"/>
        </w:rPr>
        <w:t>El 2 de julio de 2025 se publicó la convocatoria de estímulos e incentivos, como fecha límite de postulación el 24 de julio de 2025. No obstante, por petición del Sindicato de Empleados Públicos de la Agencia Nacional de Infraestructura SÉANI el 14 de julio de 2025 se amplió el plazo para que una mayor cantidad de servidores públicos se pudieran postular a la misma hasta el 15 de agosto del presente año.</w:t>
      </w:r>
    </w:p>
    <w:p w14:paraId="2E59260A" w14:textId="4F921DC5" w:rsidR="504DAA7A" w:rsidRPr="00951AB1" w:rsidRDefault="504DAA7A" w:rsidP="000A5389">
      <w:pPr>
        <w:spacing w:line="240" w:lineRule="auto"/>
        <w:rPr>
          <w:rFonts w:eastAsia="Times New Roman" w:cs="Times New Roman"/>
          <w:szCs w:val="24"/>
        </w:rPr>
      </w:pPr>
    </w:p>
    <w:p w14:paraId="4A64FB52" w14:textId="681AF30C" w:rsidR="6A30012E" w:rsidRPr="00951AB1" w:rsidRDefault="6A30012E" w:rsidP="000A5389">
      <w:pPr>
        <w:spacing w:line="240" w:lineRule="auto"/>
        <w:rPr>
          <w:rFonts w:cs="Times New Roman"/>
        </w:rPr>
      </w:pPr>
      <w:r w:rsidRPr="00951AB1">
        <w:rPr>
          <w:rFonts w:eastAsia="Times New Roman" w:cs="Times New Roman"/>
          <w:szCs w:val="24"/>
        </w:rPr>
        <w:t>Mediante resolución 20254030016085 de 13 de noviembre de 2025 otorgó incentivos institucionales no pecuniario al mejor servidor público de carrera administrativa, por nivel jerárquico, y de libre nombramiento y remoción.</w:t>
      </w:r>
    </w:p>
    <w:p w14:paraId="72A0C180" w14:textId="1209BC3A" w:rsidR="6A30012E" w:rsidRPr="00951AB1" w:rsidRDefault="6A30012E" w:rsidP="000A5389">
      <w:pPr>
        <w:spacing w:line="240" w:lineRule="auto"/>
        <w:rPr>
          <w:rFonts w:cs="Times New Roman"/>
        </w:rPr>
      </w:pPr>
      <w:r w:rsidRPr="00951AB1">
        <w:rPr>
          <w:rFonts w:eastAsia="Times New Roman" w:cs="Times New Roman"/>
          <w:szCs w:val="24"/>
          <w:lang w:val="es-MX"/>
        </w:rPr>
        <w:t xml:space="preserve"> </w:t>
      </w:r>
    </w:p>
    <w:p w14:paraId="2B67AB2E" w14:textId="14D48A9F" w:rsidR="6A30012E" w:rsidRPr="00951AB1" w:rsidRDefault="6A30012E" w:rsidP="000A5389">
      <w:pPr>
        <w:spacing w:line="240" w:lineRule="auto"/>
        <w:rPr>
          <w:rFonts w:eastAsia="Times New Roman" w:cs="Times New Roman"/>
          <w:szCs w:val="24"/>
          <w:lang w:val="es-MX"/>
        </w:rPr>
      </w:pPr>
      <w:r w:rsidRPr="00951AB1">
        <w:rPr>
          <w:rFonts w:eastAsia="Times New Roman" w:cs="Times New Roman"/>
          <w:szCs w:val="24"/>
          <w:lang w:val="es-MX"/>
        </w:rPr>
        <w:t>El Grupo Interno de Trabajo de Talento Humano de acuerdo con los requisitos establecidos, presentó sesión del mes de noviembre de 2025 ante la Comisión de Personal la base de datos de los servidores públicos de la planta de personal en cada uno de sus niveles, información que permitió verificar el cumplimiento de los requisitos, obteniendo como resultados ciento cincuenta y nueve (159) servidores públicos así:</w:t>
      </w:r>
    </w:p>
    <w:p w14:paraId="61C6FEDB" w14:textId="6F1A74C6" w:rsidR="005813BF" w:rsidRPr="00951AB1" w:rsidRDefault="005813BF" w:rsidP="000A5389">
      <w:pPr>
        <w:spacing w:line="240" w:lineRule="auto"/>
        <w:rPr>
          <w:rFonts w:cs="Times New Roman"/>
        </w:rPr>
      </w:pPr>
    </w:p>
    <w:tbl>
      <w:tblPr>
        <w:tblStyle w:val="Tablaconcuadrcula"/>
        <w:tblW w:w="0" w:type="auto"/>
        <w:tblLook w:val="01E0" w:firstRow="1" w:lastRow="1" w:firstColumn="1" w:lastColumn="1" w:noHBand="0" w:noVBand="0"/>
      </w:tblPr>
      <w:tblGrid>
        <w:gridCol w:w="6080"/>
        <w:gridCol w:w="2738"/>
      </w:tblGrid>
      <w:tr w:rsidR="00562DA2" w:rsidRPr="0039091F" w14:paraId="253268F9" w14:textId="77777777" w:rsidTr="005813BF">
        <w:trPr>
          <w:trHeight w:val="482"/>
        </w:trPr>
        <w:tc>
          <w:tcPr>
            <w:tcW w:w="6080" w:type="dxa"/>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tcMar>
              <w:left w:w="108" w:type="dxa"/>
              <w:right w:w="108" w:type="dxa"/>
            </w:tcMar>
          </w:tcPr>
          <w:p w14:paraId="7DA04F81" w14:textId="73C35CEA" w:rsidR="192D4B55" w:rsidRPr="0039091F" w:rsidRDefault="192D4B55" w:rsidP="000A5389">
            <w:pPr>
              <w:spacing w:before="212" w:line="240" w:lineRule="auto"/>
              <w:ind w:left="20"/>
              <w:jc w:val="center"/>
              <w:rPr>
                <w:rFonts w:cs="Times New Roman"/>
                <w:sz w:val="20"/>
                <w:szCs w:val="20"/>
              </w:rPr>
            </w:pPr>
            <w:r w:rsidRPr="0039091F">
              <w:rPr>
                <w:rFonts w:eastAsia="Times New Roman" w:cs="Times New Roman"/>
                <w:b/>
                <w:bCs/>
                <w:sz w:val="20"/>
                <w:szCs w:val="20"/>
                <w:lang w:val="es"/>
              </w:rPr>
              <w:t>Categoría</w:t>
            </w:r>
          </w:p>
        </w:tc>
        <w:tc>
          <w:tcPr>
            <w:tcW w:w="2738" w:type="dxa"/>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tcMar>
              <w:left w:w="108" w:type="dxa"/>
              <w:right w:w="108" w:type="dxa"/>
            </w:tcMar>
          </w:tcPr>
          <w:p w14:paraId="510E1D6B" w14:textId="70A69438" w:rsidR="192D4B55" w:rsidRPr="0039091F" w:rsidRDefault="192D4B55" w:rsidP="000A5389">
            <w:pPr>
              <w:spacing w:before="78" w:line="240" w:lineRule="auto"/>
              <w:ind w:left="256" w:right="169" w:hanging="64"/>
              <w:jc w:val="center"/>
              <w:rPr>
                <w:rFonts w:cs="Times New Roman"/>
                <w:sz w:val="20"/>
                <w:szCs w:val="20"/>
              </w:rPr>
            </w:pPr>
            <w:r w:rsidRPr="0039091F">
              <w:rPr>
                <w:rFonts w:eastAsia="Times New Roman" w:cs="Times New Roman"/>
                <w:b/>
                <w:bCs/>
                <w:sz w:val="20"/>
                <w:szCs w:val="20"/>
                <w:lang w:val="es"/>
              </w:rPr>
              <w:t>No. de funcionarios que cumplen los requisitos</w:t>
            </w:r>
          </w:p>
        </w:tc>
      </w:tr>
      <w:tr w:rsidR="001D2434" w:rsidRPr="0039091F" w14:paraId="4CE892B5" w14:textId="77777777" w:rsidTr="00336FA0">
        <w:trPr>
          <w:trHeight w:val="223"/>
        </w:trPr>
        <w:tc>
          <w:tcPr>
            <w:tcW w:w="6080" w:type="dxa"/>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tcMar>
              <w:left w:w="108" w:type="dxa"/>
              <w:right w:w="108" w:type="dxa"/>
            </w:tcMar>
          </w:tcPr>
          <w:p w14:paraId="49912097" w14:textId="73F4F4BF" w:rsidR="192D4B55" w:rsidRPr="0039091F" w:rsidRDefault="192D4B55" w:rsidP="000A5389">
            <w:pPr>
              <w:spacing w:before="39" w:line="240" w:lineRule="auto"/>
              <w:ind w:left="71"/>
              <w:rPr>
                <w:rFonts w:cs="Times New Roman"/>
                <w:sz w:val="20"/>
                <w:szCs w:val="20"/>
              </w:rPr>
            </w:pPr>
            <w:r w:rsidRPr="0039091F">
              <w:rPr>
                <w:rFonts w:eastAsia="Times New Roman" w:cs="Times New Roman"/>
                <w:sz w:val="20"/>
                <w:szCs w:val="20"/>
                <w:lang w:val="es"/>
              </w:rPr>
              <w:t>Mejor Servidor Público de Carrera Administrativa</w:t>
            </w:r>
          </w:p>
        </w:tc>
        <w:tc>
          <w:tcPr>
            <w:tcW w:w="2738" w:type="dxa"/>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tcMar>
              <w:left w:w="108" w:type="dxa"/>
              <w:right w:w="108" w:type="dxa"/>
            </w:tcMar>
          </w:tcPr>
          <w:p w14:paraId="32E51BA0" w14:textId="1F351FB5" w:rsidR="192D4B55" w:rsidRPr="0039091F" w:rsidRDefault="192D4B55" w:rsidP="000A5389">
            <w:pPr>
              <w:spacing w:before="39" w:line="240" w:lineRule="auto"/>
              <w:ind w:left="22"/>
              <w:jc w:val="center"/>
              <w:rPr>
                <w:rFonts w:cs="Times New Roman"/>
                <w:sz w:val="20"/>
                <w:szCs w:val="20"/>
              </w:rPr>
            </w:pPr>
            <w:r w:rsidRPr="0039091F">
              <w:rPr>
                <w:rFonts w:eastAsia="Times New Roman" w:cs="Times New Roman"/>
                <w:sz w:val="20"/>
                <w:szCs w:val="20"/>
                <w:lang w:val="es"/>
              </w:rPr>
              <w:t xml:space="preserve"> 130</w:t>
            </w:r>
          </w:p>
        </w:tc>
      </w:tr>
      <w:tr w:rsidR="001D2434" w:rsidRPr="0039091F" w14:paraId="2CAE25EA" w14:textId="77777777" w:rsidTr="005813BF">
        <w:trPr>
          <w:trHeight w:val="15"/>
        </w:trPr>
        <w:tc>
          <w:tcPr>
            <w:tcW w:w="6080" w:type="dxa"/>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tcMar>
              <w:left w:w="108" w:type="dxa"/>
              <w:right w:w="108" w:type="dxa"/>
            </w:tcMar>
          </w:tcPr>
          <w:p w14:paraId="631CEF4F" w14:textId="1020F1A4" w:rsidR="192D4B55" w:rsidRPr="0039091F" w:rsidRDefault="192D4B55" w:rsidP="000A5389">
            <w:pPr>
              <w:spacing w:before="39" w:line="240" w:lineRule="auto"/>
              <w:ind w:left="71"/>
              <w:rPr>
                <w:rFonts w:cs="Times New Roman"/>
                <w:sz w:val="20"/>
                <w:szCs w:val="20"/>
              </w:rPr>
            </w:pPr>
            <w:r w:rsidRPr="0039091F">
              <w:rPr>
                <w:rFonts w:eastAsia="Times New Roman" w:cs="Times New Roman"/>
                <w:sz w:val="20"/>
                <w:szCs w:val="20"/>
                <w:lang w:val="es"/>
              </w:rPr>
              <w:t>Mejor Servidor Público de Carrera Administrativa - Nivel asesor</w:t>
            </w:r>
          </w:p>
        </w:tc>
        <w:tc>
          <w:tcPr>
            <w:tcW w:w="2738" w:type="dxa"/>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tcMar>
              <w:left w:w="108" w:type="dxa"/>
              <w:right w:w="108" w:type="dxa"/>
            </w:tcMar>
          </w:tcPr>
          <w:p w14:paraId="68BA51AD" w14:textId="4BFD10AA" w:rsidR="192D4B55" w:rsidRPr="0039091F" w:rsidRDefault="192D4B55" w:rsidP="000A5389">
            <w:pPr>
              <w:spacing w:before="39" w:line="240" w:lineRule="auto"/>
              <w:ind w:left="22"/>
              <w:jc w:val="center"/>
              <w:rPr>
                <w:rFonts w:cs="Times New Roman"/>
                <w:sz w:val="20"/>
                <w:szCs w:val="20"/>
              </w:rPr>
            </w:pPr>
            <w:r w:rsidRPr="0039091F">
              <w:rPr>
                <w:rFonts w:eastAsia="Times New Roman" w:cs="Times New Roman"/>
                <w:sz w:val="20"/>
                <w:szCs w:val="20"/>
                <w:lang w:val="es"/>
              </w:rPr>
              <w:t>100</w:t>
            </w:r>
          </w:p>
        </w:tc>
      </w:tr>
      <w:tr w:rsidR="001D2434" w:rsidRPr="0039091F" w14:paraId="05CE0DA5" w14:textId="77777777" w:rsidTr="005813BF">
        <w:trPr>
          <w:trHeight w:val="15"/>
        </w:trPr>
        <w:tc>
          <w:tcPr>
            <w:tcW w:w="6080" w:type="dxa"/>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tcMar>
              <w:left w:w="108" w:type="dxa"/>
              <w:right w:w="108" w:type="dxa"/>
            </w:tcMar>
          </w:tcPr>
          <w:p w14:paraId="53C6D24A" w14:textId="32614F97" w:rsidR="192D4B55" w:rsidRPr="0039091F" w:rsidRDefault="192D4B55" w:rsidP="000A5389">
            <w:pPr>
              <w:spacing w:before="39" w:line="240" w:lineRule="auto"/>
              <w:ind w:left="71"/>
              <w:rPr>
                <w:rFonts w:cs="Times New Roman"/>
                <w:sz w:val="20"/>
                <w:szCs w:val="20"/>
              </w:rPr>
            </w:pPr>
            <w:r w:rsidRPr="0039091F">
              <w:rPr>
                <w:rFonts w:eastAsia="Times New Roman" w:cs="Times New Roman"/>
                <w:sz w:val="20"/>
                <w:szCs w:val="20"/>
                <w:lang w:val="es"/>
              </w:rPr>
              <w:t>Mejor Servidor Público de Carrera Administrativa - Nivel profesional</w:t>
            </w:r>
          </w:p>
        </w:tc>
        <w:tc>
          <w:tcPr>
            <w:tcW w:w="2738" w:type="dxa"/>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tcMar>
              <w:left w:w="108" w:type="dxa"/>
              <w:right w:w="108" w:type="dxa"/>
            </w:tcMar>
          </w:tcPr>
          <w:p w14:paraId="7D2878ED" w14:textId="5A748FE3" w:rsidR="192D4B55" w:rsidRPr="0039091F" w:rsidRDefault="192D4B55" w:rsidP="000A5389">
            <w:pPr>
              <w:spacing w:before="39" w:line="240" w:lineRule="auto"/>
              <w:ind w:left="22"/>
              <w:jc w:val="center"/>
              <w:rPr>
                <w:rFonts w:cs="Times New Roman"/>
                <w:sz w:val="20"/>
                <w:szCs w:val="20"/>
              </w:rPr>
            </w:pPr>
            <w:r w:rsidRPr="0039091F">
              <w:rPr>
                <w:rFonts w:eastAsia="Times New Roman" w:cs="Times New Roman"/>
                <w:sz w:val="20"/>
                <w:szCs w:val="20"/>
                <w:lang w:val="es"/>
              </w:rPr>
              <w:t>16</w:t>
            </w:r>
          </w:p>
        </w:tc>
      </w:tr>
      <w:tr w:rsidR="001D2434" w:rsidRPr="0039091F" w14:paraId="3A45B03D" w14:textId="77777777" w:rsidTr="005813BF">
        <w:trPr>
          <w:trHeight w:val="15"/>
        </w:trPr>
        <w:tc>
          <w:tcPr>
            <w:tcW w:w="6080" w:type="dxa"/>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tcMar>
              <w:left w:w="108" w:type="dxa"/>
              <w:right w:w="108" w:type="dxa"/>
            </w:tcMar>
          </w:tcPr>
          <w:p w14:paraId="15EADC6B" w14:textId="6E22F942" w:rsidR="192D4B55" w:rsidRPr="0039091F" w:rsidRDefault="192D4B55" w:rsidP="000A5389">
            <w:pPr>
              <w:spacing w:before="39" w:line="240" w:lineRule="auto"/>
              <w:ind w:left="71"/>
              <w:rPr>
                <w:rFonts w:cs="Times New Roman"/>
                <w:sz w:val="20"/>
                <w:szCs w:val="20"/>
              </w:rPr>
            </w:pPr>
            <w:r w:rsidRPr="0039091F">
              <w:rPr>
                <w:rFonts w:eastAsia="Times New Roman" w:cs="Times New Roman"/>
                <w:sz w:val="20"/>
                <w:szCs w:val="20"/>
                <w:lang w:val="es"/>
              </w:rPr>
              <w:t>Mejor Servidor Público de Carrera Administrativa - Nivel técnico</w:t>
            </w:r>
          </w:p>
        </w:tc>
        <w:tc>
          <w:tcPr>
            <w:tcW w:w="2738" w:type="dxa"/>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tcMar>
              <w:left w:w="108" w:type="dxa"/>
              <w:right w:w="108" w:type="dxa"/>
            </w:tcMar>
          </w:tcPr>
          <w:p w14:paraId="6FDD2921" w14:textId="43C0C47C" w:rsidR="192D4B55" w:rsidRPr="0039091F" w:rsidRDefault="192D4B55" w:rsidP="000A5389">
            <w:pPr>
              <w:spacing w:before="39" w:line="240" w:lineRule="auto"/>
              <w:ind w:left="22"/>
              <w:jc w:val="center"/>
              <w:rPr>
                <w:rFonts w:cs="Times New Roman"/>
                <w:sz w:val="20"/>
                <w:szCs w:val="20"/>
              </w:rPr>
            </w:pPr>
            <w:r w:rsidRPr="0039091F">
              <w:rPr>
                <w:rFonts w:eastAsia="Times New Roman" w:cs="Times New Roman"/>
                <w:sz w:val="20"/>
                <w:szCs w:val="20"/>
                <w:lang w:val="es"/>
              </w:rPr>
              <w:t>14</w:t>
            </w:r>
          </w:p>
        </w:tc>
      </w:tr>
      <w:tr w:rsidR="001D2434" w:rsidRPr="0039091F" w14:paraId="1A208FDB" w14:textId="77777777" w:rsidTr="005813BF">
        <w:trPr>
          <w:trHeight w:val="15"/>
        </w:trPr>
        <w:tc>
          <w:tcPr>
            <w:tcW w:w="6080" w:type="dxa"/>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tcMar>
              <w:left w:w="108" w:type="dxa"/>
              <w:right w:w="108" w:type="dxa"/>
            </w:tcMar>
          </w:tcPr>
          <w:p w14:paraId="129F9DD0" w14:textId="53AA1B96" w:rsidR="192D4B55" w:rsidRPr="0039091F" w:rsidRDefault="192D4B55" w:rsidP="000A5389">
            <w:pPr>
              <w:spacing w:before="55" w:line="240" w:lineRule="auto"/>
              <w:ind w:left="71"/>
              <w:rPr>
                <w:rFonts w:cs="Times New Roman"/>
                <w:sz w:val="20"/>
                <w:szCs w:val="20"/>
              </w:rPr>
            </w:pPr>
            <w:r w:rsidRPr="0039091F">
              <w:rPr>
                <w:rFonts w:eastAsia="Times New Roman" w:cs="Times New Roman"/>
                <w:sz w:val="20"/>
                <w:szCs w:val="20"/>
                <w:lang w:val="es"/>
              </w:rPr>
              <w:t>Mejor Servidor Público de LNR</w:t>
            </w:r>
          </w:p>
        </w:tc>
        <w:tc>
          <w:tcPr>
            <w:tcW w:w="2738" w:type="dxa"/>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tcMar>
              <w:left w:w="108" w:type="dxa"/>
              <w:right w:w="108" w:type="dxa"/>
            </w:tcMar>
          </w:tcPr>
          <w:p w14:paraId="0F29A7E3" w14:textId="65C84B50" w:rsidR="192D4B55" w:rsidRPr="0039091F" w:rsidRDefault="192D4B55" w:rsidP="000A5389">
            <w:pPr>
              <w:spacing w:before="55" w:line="240" w:lineRule="auto"/>
              <w:ind w:left="22"/>
              <w:jc w:val="center"/>
              <w:rPr>
                <w:rFonts w:cs="Times New Roman"/>
                <w:sz w:val="20"/>
                <w:szCs w:val="20"/>
              </w:rPr>
            </w:pPr>
            <w:r w:rsidRPr="0039091F">
              <w:rPr>
                <w:rFonts w:eastAsia="Times New Roman" w:cs="Times New Roman"/>
                <w:sz w:val="20"/>
                <w:szCs w:val="20"/>
                <w:lang w:val="es"/>
              </w:rPr>
              <w:t>29</w:t>
            </w:r>
          </w:p>
        </w:tc>
      </w:tr>
    </w:tbl>
    <w:p w14:paraId="5ACB761F" w14:textId="6F791DC3" w:rsidR="618EDDE8" w:rsidRPr="00951AB1" w:rsidRDefault="618EDDE8" w:rsidP="000A5389">
      <w:pPr>
        <w:spacing w:line="240" w:lineRule="auto"/>
        <w:rPr>
          <w:rFonts w:cs="Times New Roman"/>
        </w:rPr>
      </w:pPr>
    </w:p>
    <w:p w14:paraId="5FA425EF" w14:textId="21D594AB" w:rsidR="1A1CCD61" w:rsidRPr="00951AB1" w:rsidRDefault="1A1CCD61" w:rsidP="000A5389">
      <w:pPr>
        <w:spacing w:line="240" w:lineRule="auto"/>
        <w:rPr>
          <w:rFonts w:cs="Times New Roman"/>
        </w:rPr>
      </w:pPr>
      <w:r w:rsidRPr="00951AB1">
        <w:rPr>
          <w:rFonts w:eastAsia="Times New Roman" w:cs="Times New Roman"/>
          <w:szCs w:val="24"/>
          <w:lang w:val="es"/>
        </w:rPr>
        <w:t xml:space="preserve">Que, para las categorías de mejor servidor público de carrera administrativa de Nivel Técnico y Profesional y mejor servidor público de Libre Nombramiento y Remoción, una vez aplicados los factores se presentó un empate, por lo que se realizó sorteo a través del sistema </w:t>
      </w:r>
      <w:r w:rsidRPr="00951AB1">
        <w:rPr>
          <w:rFonts w:eastAsia="Times New Roman" w:cs="Times New Roman"/>
          <w:szCs w:val="24"/>
          <w:lang w:val="es"/>
        </w:rPr>
        <w:lastRenderedPageBreak/>
        <w:t>de balotas en presencia de los empleados candidatos a ser seleccionados y a la Comisión de Personal en sesión extraordinaria del 10 de noviembre de 2025.</w:t>
      </w:r>
    </w:p>
    <w:p w14:paraId="6D401F07" w14:textId="6380D623" w:rsidR="1A1CCD61" w:rsidRPr="00951AB1" w:rsidRDefault="1A1CCD61" w:rsidP="000A5389">
      <w:pPr>
        <w:spacing w:line="240" w:lineRule="auto"/>
        <w:rPr>
          <w:rFonts w:cs="Times New Roman"/>
        </w:rPr>
      </w:pPr>
      <w:r w:rsidRPr="00951AB1">
        <w:rPr>
          <w:rFonts w:eastAsia="Times New Roman" w:cs="Times New Roman"/>
          <w:szCs w:val="24"/>
          <w:lang w:val="es"/>
        </w:rPr>
        <w:t xml:space="preserve"> </w:t>
      </w:r>
    </w:p>
    <w:p w14:paraId="2DE2E653" w14:textId="54D4A802" w:rsidR="1A1CCD61" w:rsidRPr="00951AB1" w:rsidRDefault="1A1CCD61" w:rsidP="000A5389">
      <w:pPr>
        <w:spacing w:line="240" w:lineRule="auto"/>
        <w:rPr>
          <w:rFonts w:cs="Times New Roman"/>
        </w:rPr>
      </w:pPr>
      <w:r w:rsidRPr="00951AB1">
        <w:rPr>
          <w:rFonts w:eastAsia="Times New Roman" w:cs="Times New Roman"/>
          <w:szCs w:val="24"/>
          <w:lang w:val="es"/>
        </w:rPr>
        <w:t>Que una vez aplicado todo el procedimiento los servidores públicos seleccionados en cada una de las categorías son los siguientes:</w:t>
      </w:r>
    </w:p>
    <w:p w14:paraId="0451E910" w14:textId="61A68534" w:rsidR="1A1CCD61" w:rsidRPr="00951AB1" w:rsidRDefault="1A1CCD61" w:rsidP="000A5389">
      <w:pPr>
        <w:spacing w:line="240" w:lineRule="auto"/>
        <w:rPr>
          <w:rFonts w:cs="Times New Roman"/>
        </w:rPr>
      </w:pPr>
      <w:r w:rsidRPr="00951AB1">
        <w:rPr>
          <w:rFonts w:eastAsia="Times New Roman" w:cs="Times New Roman"/>
          <w:szCs w:val="24"/>
          <w:lang w:val="es"/>
        </w:rPr>
        <w:t xml:space="preserve"> </w:t>
      </w:r>
    </w:p>
    <w:p w14:paraId="53FD2391" w14:textId="4AB8D0B6" w:rsidR="1A1CCD61" w:rsidRPr="00951AB1" w:rsidRDefault="1A1CCD61" w:rsidP="000A5389">
      <w:pPr>
        <w:spacing w:line="240" w:lineRule="auto"/>
        <w:rPr>
          <w:rFonts w:cs="Times New Roman"/>
        </w:rPr>
      </w:pPr>
      <w:r w:rsidRPr="00951AB1">
        <w:rPr>
          <w:rFonts w:eastAsia="Times New Roman" w:cs="Times New Roman"/>
          <w:b/>
          <w:bCs/>
          <w:szCs w:val="24"/>
          <w:lang w:val="es"/>
        </w:rPr>
        <w:t>Mejor empleado de carrera administrativa</w:t>
      </w:r>
    </w:p>
    <w:p w14:paraId="14C472DF" w14:textId="294FC861" w:rsidR="1A1CCD61" w:rsidRPr="00951AB1" w:rsidRDefault="1A1CCD61" w:rsidP="000A5389">
      <w:pPr>
        <w:spacing w:line="240" w:lineRule="auto"/>
        <w:rPr>
          <w:rFonts w:cs="Times New Roman"/>
        </w:rPr>
      </w:pPr>
      <w:r w:rsidRPr="00951AB1">
        <w:rPr>
          <w:rFonts w:eastAsia="Times New Roman" w:cs="Times New Roman"/>
          <w:szCs w:val="24"/>
          <w:lang w:val="es"/>
        </w:rPr>
        <w:t>Oscar Sáenz Chacón identificado con la cédula de ciudadanía No. 80.241.340 quien desempeña el empleo de Técnico Asistencial, Código O1, Grado 05</w:t>
      </w:r>
    </w:p>
    <w:p w14:paraId="66C49177" w14:textId="77777777" w:rsidR="00054048" w:rsidRDefault="1A1CCD61" w:rsidP="000A5389">
      <w:pPr>
        <w:spacing w:line="240" w:lineRule="auto"/>
        <w:rPr>
          <w:rFonts w:eastAsia="Times New Roman" w:cs="Times New Roman"/>
          <w:szCs w:val="24"/>
          <w:lang w:val="es"/>
        </w:rPr>
      </w:pPr>
      <w:r w:rsidRPr="00951AB1">
        <w:rPr>
          <w:rFonts w:eastAsia="Times New Roman" w:cs="Times New Roman"/>
          <w:szCs w:val="24"/>
          <w:lang w:val="es"/>
        </w:rPr>
        <w:t xml:space="preserve"> </w:t>
      </w:r>
    </w:p>
    <w:p w14:paraId="30FFEE23" w14:textId="4E2E717C" w:rsidR="1A1CCD61" w:rsidRPr="00951AB1" w:rsidRDefault="1A1CCD61" w:rsidP="000A5389">
      <w:pPr>
        <w:spacing w:line="240" w:lineRule="auto"/>
        <w:rPr>
          <w:rFonts w:cs="Times New Roman"/>
        </w:rPr>
      </w:pPr>
      <w:r w:rsidRPr="00951AB1">
        <w:rPr>
          <w:rFonts w:eastAsia="Times New Roman" w:cs="Times New Roman"/>
          <w:b/>
          <w:bCs/>
          <w:szCs w:val="24"/>
          <w:lang w:val="es"/>
        </w:rPr>
        <w:t>Mejor empleado de carrera administrativa nivel asesor:</w:t>
      </w:r>
    </w:p>
    <w:p w14:paraId="29831B31" w14:textId="4B13C203" w:rsidR="1A1CCD61" w:rsidRPr="00951AB1" w:rsidRDefault="1A1CCD61" w:rsidP="000A5389">
      <w:pPr>
        <w:tabs>
          <w:tab w:val="left" w:pos="720"/>
        </w:tabs>
        <w:spacing w:line="240" w:lineRule="auto"/>
        <w:rPr>
          <w:rFonts w:cs="Times New Roman"/>
        </w:rPr>
      </w:pPr>
      <w:r w:rsidRPr="00951AB1">
        <w:rPr>
          <w:rFonts w:eastAsia="Times New Roman" w:cs="Times New Roman"/>
          <w:szCs w:val="24"/>
          <w:lang w:val="es-ES"/>
        </w:rPr>
        <w:t>Cindy Esperanza Bulla Berdugo identificado con la cédula de ciudadanía No. 1.013.601.154 quien desempeña el empleo de Experto, Código G3, Grado 07.</w:t>
      </w:r>
    </w:p>
    <w:p w14:paraId="42E2300A" w14:textId="22C0E4F2" w:rsidR="1A1CCD61" w:rsidRPr="00951AB1" w:rsidRDefault="1A1CCD61" w:rsidP="000A5389">
      <w:pPr>
        <w:tabs>
          <w:tab w:val="left" w:pos="720"/>
        </w:tabs>
        <w:spacing w:line="240" w:lineRule="auto"/>
        <w:rPr>
          <w:rFonts w:cs="Times New Roman"/>
        </w:rPr>
      </w:pPr>
      <w:r w:rsidRPr="00951AB1">
        <w:rPr>
          <w:rFonts w:eastAsia="Times New Roman" w:cs="Times New Roman"/>
          <w:szCs w:val="24"/>
          <w:lang w:val="es"/>
        </w:rPr>
        <w:t xml:space="preserve"> </w:t>
      </w:r>
    </w:p>
    <w:p w14:paraId="130762C4" w14:textId="2DD9DABC" w:rsidR="1A1CCD61" w:rsidRPr="00951AB1" w:rsidRDefault="1A1CCD61" w:rsidP="000A5389">
      <w:pPr>
        <w:spacing w:line="240" w:lineRule="auto"/>
        <w:rPr>
          <w:rFonts w:cs="Times New Roman"/>
        </w:rPr>
      </w:pPr>
      <w:r w:rsidRPr="00951AB1">
        <w:rPr>
          <w:rFonts w:eastAsia="Times New Roman" w:cs="Times New Roman"/>
          <w:b/>
          <w:bCs/>
          <w:szCs w:val="24"/>
          <w:lang w:val="es"/>
        </w:rPr>
        <w:t xml:space="preserve">Mejor empleado de carrera administrativa nivel profesional: </w:t>
      </w:r>
    </w:p>
    <w:p w14:paraId="4C55D4B1" w14:textId="336E27A7" w:rsidR="1A1CCD61" w:rsidRPr="00951AB1" w:rsidRDefault="1A1CCD61" w:rsidP="000A5389">
      <w:pPr>
        <w:spacing w:line="240" w:lineRule="auto"/>
        <w:rPr>
          <w:rFonts w:cs="Times New Roman"/>
        </w:rPr>
      </w:pPr>
      <w:r w:rsidRPr="00951AB1">
        <w:rPr>
          <w:rFonts w:eastAsia="Times New Roman" w:cs="Times New Roman"/>
          <w:szCs w:val="24"/>
          <w:lang w:val="es-ES"/>
        </w:rPr>
        <w:t>Connie Alejandra Guerrero Jacome identificada con cédula de ciudadanía 1.136.881.595, quien desempeña el empleo Gestor, Código T1, Grado 07</w:t>
      </w:r>
    </w:p>
    <w:p w14:paraId="5A62705B" w14:textId="6EA20D9B" w:rsidR="1A1CCD61" w:rsidRPr="00951AB1" w:rsidRDefault="1A1CCD61" w:rsidP="000A5389">
      <w:pPr>
        <w:spacing w:line="240" w:lineRule="auto"/>
        <w:rPr>
          <w:rFonts w:cs="Times New Roman"/>
        </w:rPr>
      </w:pPr>
      <w:r w:rsidRPr="00951AB1">
        <w:rPr>
          <w:rFonts w:eastAsia="Times New Roman" w:cs="Times New Roman"/>
          <w:szCs w:val="24"/>
          <w:lang w:val="es"/>
        </w:rPr>
        <w:t xml:space="preserve"> </w:t>
      </w:r>
    </w:p>
    <w:p w14:paraId="1167FD25" w14:textId="575368DB" w:rsidR="1A1CCD61" w:rsidRPr="00951AB1" w:rsidRDefault="1A1CCD61" w:rsidP="000A5389">
      <w:pPr>
        <w:spacing w:line="240" w:lineRule="auto"/>
        <w:rPr>
          <w:rFonts w:cs="Times New Roman"/>
        </w:rPr>
      </w:pPr>
      <w:r w:rsidRPr="00951AB1">
        <w:rPr>
          <w:rFonts w:eastAsia="Times New Roman" w:cs="Times New Roman"/>
          <w:b/>
          <w:bCs/>
          <w:szCs w:val="24"/>
          <w:lang w:val="es"/>
        </w:rPr>
        <w:t>Mejor empleado de carrera administrativa nivel técnico – asistencial</w:t>
      </w:r>
    </w:p>
    <w:p w14:paraId="54B37619" w14:textId="13510DAD" w:rsidR="1A1CCD61" w:rsidRPr="00951AB1" w:rsidRDefault="1A1CCD61" w:rsidP="000A5389">
      <w:pPr>
        <w:spacing w:line="240" w:lineRule="auto"/>
        <w:rPr>
          <w:rFonts w:cs="Times New Roman"/>
        </w:rPr>
      </w:pPr>
      <w:r w:rsidRPr="00951AB1">
        <w:rPr>
          <w:rFonts w:eastAsia="Times New Roman" w:cs="Times New Roman"/>
          <w:szCs w:val="24"/>
          <w:lang w:val="es-ES"/>
        </w:rPr>
        <w:t>Edward Norvey Verano Bohórquez identificado con cedula de ciudadanía 1.030.563.033, quien desempeña el empleo de Técnico Asistencial, Código O1, Grado 05.</w:t>
      </w:r>
    </w:p>
    <w:p w14:paraId="7A81BF15" w14:textId="05E43682" w:rsidR="1A1CCD61" w:rsidRPr="00951AB1" w:rsidRDefault="1A1CCD61" w:rsidP="000A5389">
      <w:pPr>
        <w:spacing w:line="240" w:lineRule="auto"/>
        <w:rPr>
          <w:rFonts w:cs="Times New Roman"/>
        </w:rPr>
      </w:pPr>
      <w:r w:rsidRPr="00951AB1">
        <w:rPr>
          <w:rFonts w:eastAsia="Times New Roman" w:cs="Times New Roman"/>
          <w:szCs w:val="24"/>
          <w:lang w:val="es"/>
        </w:rPr>
        <w:t xml:space="preserve"> </w:t>
      </w:r>
    </w:p>
    <w:p w14:paraId="7A9C0B2F" w14:textId="70886407" w:rsidR="1A1CCD61" w:rsidRPr="00951AB1" w:rsidRDefault="1A1CCD61" w:rsidP="000A5389">
      <w:pPr>
        <w:spacing w:line="240" w:lineRule="auto"/>
        <w:rPr>
          <w:rFonts w:cs="Times New Roman"/>
        </w:rPr>
      </w:pPr>
      <w:r w:rsidRPr="00951AB1">
        <w:rPr>
          <w:rFonts w:eastAsia="Times New Roman" w:cs="Times New Roman"/>
          <w:b/>
          <w:bCs/>
          <w:szCs w:val="24"/>
          <w:lang w:val="es"/>
        </w:rPr>
        <w:t>Mejor empleado de libre nombramiento y remoción</w:t>
      </w:r>
    </w:p>
    <w:p w14:paraId="7B8F2016" w14:textId="29E75497" w:rsidR="1A1CCD61" w:rsidRPr="00951AB1" w:rsidRDefault="1A1CCD61" w:rsidP="000A5389">
      <w:pPr>
        <w:spacing w:line="240" w:lineRule="auto"/>
        <w:rPr>
          <w:rFonts w:cs="Times New Roman"/>
        </w:rPr>
      </w:pPr>
      <w:r w:rsidRPr="00951AB1">
        <w:rPr>
          <w:rFonts w:eastAsia="Times New Roman" w:cs="Times New Roman"/>
          <w:szCs w:val="24"/>
          <w:lang w:val="es"/>
        </w:rPr>
        <w:t>Sandra Patricia Pachón Bernal identificada con cedula 20.444.873, quien desempeña el empleo de Gerente de Proyectos o Funcional, Código G2, Grado 09</w:t>
      </w:r>
    </w:p>
    <w:p w14:paraId="185AF74B" w14:textId="79600D6C" w:rsidR="1A1CCD61" w:rsidRPr="00951AB1" w:rsidRDefault="1A1CCD61" w:rsidP="000A5389">
      <w:pPr>
        <w:spacing w:line="240" w:lineRule="auto"/>
        <w:rPr>
          <w:rFonts w:cs="Times New Roman"/>
        </w:rPr>
      </w:pPr>
      <w:r w:rsidRPr="00951AB1">
        <w:rPr>
          <w:rFonts w:eastAsia="Calibri" w:cs="Times New Roman"/>
        </w:rPr>
        <w:t xml:space="preserve"> </w:t>
      </w:r>
    </w:p>
    <w:p w14:paraId="640BF95A" w14:textId="6C68974E" w:rsidR="74F136DA" w:rsidRPr="00951AB1" w:rsidRDefault="1A1CCD61" w:rsidP="000A5389">
      <w:pPr>
        <w:spacing w:line="240" w:lineRule="auto"/>
        <w:rPr>
          <w:rFonts w:eastAsia="Times New Roman" w:cs="Times New Roman"/>
          <w:i/>
          <w:iCs/>
          <w:color w:val="000000" w:themeColor="text1"/>
          <w:szCs w:val="24"/>
        </w:rPr>
      </w:pPr>
      <w:r w:rsidRPr="00951AB1">
        <w:rPr>
          <w:rFonts w:eastAsia="Times New Roman" w:cs="Times New Roman"/>
          <w:szCs w:val="24"/>
          <w:lang w:val="es-MX"/>
        </w:rPr>
        <w:t xml:space="preserve">La cuantía de las remuneraciones del personal directivo de la Agencia como los sueldos, Prima Técnica No Factor Salarial y Prima Alta Dirección No Factor Salaria Semestral se rigen por lo establecido en el decreto0611 de 2025: </w:t>
      </w:r>
      <w:r w:rsidRPr="00951AB1">
        <w:rPr>
          <w:rFonts w:eastAsia="Times New Roman" w:cs="Times New Roman"/>
          <w:i/>
          <w:iCs/>
          <w:szCs w:val="24"/>
          <w:lang w:val="es-MX"/>
        </w:rPr>
        <w:t>“</w:t>
      </w:r>
      <w:r w:rsidRPr="00951AB1">
        <w:rPr>
          <w:rFonts w:eastAsia="Times New Roman" w:cs="Times New Roman"/>
          <w:i/>
          <w:iCs/>
          <w:color w:val="000000" w:themeColor="text1"/>
          <w:szCs w:val="24"/>
        </w:rPr>
        <w:t>Por el cual se fijan las remuneraciones de los empleos que sean desempeñados por empleados públicos de la Rama Ejecutiva, Corporaciones Autónomas Regionales y de Desarrollo Sostenible, y se dictan otras disposiciones.”</w:t>
      </w:r>
    </w:p>
    <w:p w14:paraId="05F03418" w14:textId="3201BE3F" w:rsidR="618EDDE8" w:rsidRPr="00951AB1" w:rsidRDefault="618EDDE8" w:rsidP="000A5389">
      <w:pPr>
        <w:spacing w:line="240" w:lineRule="auto"/>
        <w:rPr>
          <w:rFonts w:eastAsia="Times New Roman" w:cs="Times New Roman"/>
          <w:color w:val="000000" w:themeColor="text1"/>
          <w:szCs w:val="24"/>
        </w:rPr>
      </w:pPr>
    </w:p>
    <w:tbl>
      <w:tblPr>
        <w:tblStyle w:val="Tablaconcuadrcula"/>
        <w:tblW w:w="0" w:type="auto"/>
        <w:tbl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insideH w:val="single" w:sz="2" w:space="0" w:color="A6A6A6" w:themeColor="background1" w:themeShade="A6"/>
          <w:insideV w:val="single" w:sz="2" w:space="0" w:color="A6A6A6" w:themeColor="background1" w:themeShade="A6"/>
        </w:tblBorders>
        <w:tblLook w:val="04A0" w:firstRow="1" w:lastRow="0" w:firstColumn="1" w:lastColumn="0" w:noHBand="0" w:noVBand="1"/>
      </w:tblPr>
      <w:tblGrid>
        <w:gridCol w:w="3079"/>
        <w:gridCol w:w="4005"/>
        <w:gridCol w:w="1748"/>
      </w:tblGrid>
      <w:tr w:rsidR="001D1FA8" w:rsidRPr="0039091F" w14:paraId="585EFB5F" w14:textId="77777777" w:rsidTr="00336FA0">
        <w:trPr>
          <w:trHeight w:val="210"/>
          <w:tblHeader/>
        </w:trPr>
        <w:tc>
          <w:tcPr>
            <w:tcW w:w="3116" w:type="dxa"/>
            <w:tcMar>
              <w:left w:w="70" w:type="dxa"/>
              <w:right w:w="70" w:type="dxa"/>
            </w:tcMar>
            <w:vAlign w:val="center"/>
          </w:tcPr>
          <w:p w14:paraId="753DB172" w14:textId="0BE48982" w:rsidR="74F136DA" w:rsidRPr="0039091F" w:rsidRDefault="74F136DA" w:rsidP="000A5389">
            <w:pPr>
              <w:spacing w:line="240" w:lineRule="auto"/>
              <w:jc w:val="center"/>
              <w:rPr>
                <w:rFonts w:cs="Times New Roman"/>
                <w:sz w:val="20"/>
                <w:szCs w:val="20"/>
              </w:rPr>
            </w:pPr>
            <w:r w:rsidRPr="0039091F">
              <w:rPr>
                <w:rFonts w:eastAsia="Times New Roman" w:cs="Times New Roman"/>
                <w:b/>
                <w:bCs/>
                <w:color w:val="000000" w:themeColor="text1"/>
                <w:sz w:val="20"/>
                <w:szCs w:val="20"/>
              </w:rPr>
              <w:t>CARGO</w:t>
            </w:r>
          </w:p>
        </w:tc>
        <w:tc>
          <w:tcPr>
            <w:tcW w:w="4058" w:type="dxa"/>
            <w:tcMar>
              <w:left w:w="70" w:type="dxa"/>
              <w:right w:w="70" w:type="dxa"/>
            </w:tcMar>
            <w:vAlign w:val="center"/>
          </w:tcPr>
          <w:p w14:paraId="6FE5533F" w14:textId="6D748CB1" w:rsidR="74F136DA" w:rsidRPr="0039091F" w:rsidRDefault="74F136DA" w:rsidP="000A5389">
            <w:pPr>
              <w:spacing w:line="240" w:lineRule="auto"/>
              <w:jc w:val="center"/>
              <w:rPr>
                <w:rFonts w:cs="Times New Roman"/>
                <w:sz w:val="20"/>
                <w:szCs w:val="20"/>
              </w:rPr>
            </w:pPr>
            <w:r w:rsidRPr="0039091F">
              <w:rPr>
                <w:rFonts w:eastAsia="Times New Roman" w:cs="Times New Roman"/>
                <w:b/>
                <w:bCs/>
                <w:color w:val="000000" w:themeColor="text1"/>
                <w:sz w:val="20"/>
                <w:szCs w:val="20"/>
              </w:rPr>
              <w:t>NATURALEZA</w:t>
            </w:r>
          </w:p>
        </w:tc>
        <w:tc>
          <w:tcPr>
            <w:tcW w:w="0" w:type="auto"/>
            <w:tcMar>
              <w:left w:w="70" w:type="dxa"/>
              <w:right w:w="70" w:type="dxa"/>
            </w:tcMar>
            <w:vAlign w:val="center"/>
          </w:tcPr>
          <w:p w14:paraId="366F36D9" w14:textId="6D6B4088" w:rsidR="74F136DA" w:rsidRPr="0039091F" w:rsidRDefault="74F136DA" w:rsidP="000A5389">
            <w:pPr>
              <w:spacing w:line="240" w:lineRule="auto"/>
              <w:jc w:val="center"/>
              <w:rPr>
                <w:rFonts w:cs="Times New Roman"/>
                <w:sz w:val="20"/>
                <w:szCs w:val="20"/>
              </w:rPr>
            </w:pPr>
            <w:r w:rsidRPr="0039091F">
              <w:rPr>
                <w:rFonts w:eastAsia="Times New Roman" w:cs="Times New Roman"/>
                <w:b/>
                <w:bCs/>
                <w:color w:val="000000" w:themeColor="text1"/>
                <w:sz w:val="20"/>
                <w:szCs w:val="20"/>
              </w:rPr>
              <w:t>CUANTÍA</w:t>
            </w:r>
          </w:p>
        </w:tc>
      </w:tr>
      <w:tr w:rsidR="00ED3219" w:rsidRPr="0039091F" w14:paraId="6F3D94D8" w14:textId="77777777" w:rsidTr="00200A5D">
        <w:trPr>
          <w:trHeight w:val="210"/>
        </w:trPr>
        <w:tc>
          <w:tcPr>
            <w:tcW w:w="3116" w:type="dxa"/>
            <w:vMerge w:val="restart"/>
            <w:tcMar>
              <w:left w:w="70" w:type="dxa"/>
              <w:right w:w="70" w:type="dxa"/>
            </w:tcMar>
            <w:vAlign w:val="center"/>
          </w:tcPr>
          <w:p w14:paraId="5AE1B7CA" w14:textId="6371AFD8" w:rsidR="74F136DA" w:rsidRPr="0039091F" w:rsidRDefault="74F136DA" w:rsidP="000A5389">
            <w:pPr>
              <w:spacing w:line="240" w:lineRule="auto"/>
              <w:rPr>
                <w:rFonts w:cs="Times New Roman"/>
                <w:sz w:val="20"/>
                <w:szCs w:val="20"/>
              </w:rPr>
            </w:pPr>
            <w:r w:rsidRPr="0039091F">
              <w:rPr>
                <w:rFonts w:eastAsia="Times New Roman" w:cs="Times New Roman"/>
                <w:color w:val="000000" w:themeColor="text1"/>
                <w:sz w:val="20"/>
                <w:szCs w:val="20"/>
              </w:rPr>
              <w:t>Presidente De La Agencia E1 – 07</w:t>
            </w:r>
          </w:p>
        </w:tc>
        <w:tc>
          <w:tcPr>
            <w:tcW w:w="4058" w:type="dxa"/>
            <w:tcMar>
              <w:left w:w="70" w:type="dxa"/>
              <w:right w:w="70" w:type="dxa"/>
            </w:tcMar>
            <w:vAlign w:val="center"/>
          </w:tcPr>
          <w:p w14:paraId="114F27DF" w14:textId="6493BD44" w:rsidR="74F136DA" w:rsidRPr="0039091F" w:rsidRDefault="74F136DA" w:rsidP="000A5389">
            <w:pPr>
              <w:spacing w:line="240" w:lineRule="auto"/>
              <w:rPr>
                <w:rFonts w:cs="Times New Roman"/>
                <w:sz w:val="20"/>
                <w:szCs w:val="20"/>
              </w:rPr>
            </w:pPr>
            <w:r w:rsidRPr="0039091F">
              <w:rPr>
                <w:rFonts w:eastAsia="Times New Roman" w:cs="Times New Roman"/>
                <w:color w:val="000000" w:themeColor="text1"/>
                <w:sz w:val="20"/>
                <w:szCs w:val="20"/>
              </w:rPr>
              <w:t>Sueldo Básico</w:t>
            </w:r>
          </w:p>
        </w:tc>
        <w:tc>
          <w:tcPr>
            <w:tcW w:w="0" w:type="auto"/>
            <w:tcMar>
              <w:left w:w="70" w:type="dxa"/>
              <w:right w:w="70" w:type="dxa"/>
            </w:tcMar>
            <w:vAlign w:val="center"/>
          </w:tcPr>
          <w:p w14:paraId="461B0525" w14:textId="3C86AD5F" w:rsidR="74F136DA" w:rsidRPr="0039091F" w:rsidRDefault="74F136DA" w:rsidP="000A5389">
            <w:pPr>
              <w:spacing w:line="240" w:lineRule="auto"/>
              <w:jc w:val="right"/>
              <w:rPr>
                <w:rFonts w:cs="Times New Roman"/>
                <w:sz w:val="20"/>
                <w:szCs w:val="20"/>
              </w:rPr>
            </w:pPr>
            <w:r w:rsidRPr="0039091F">
              <w:rPr>
                <w:rFonts w:eastAsia="Times New Roman" w:cs="Times New Roman"/>
                <w:color w:val="000000" w:themeColor="text1"/>
                <w:sz w:val="20"/>
                <w:szCs w:val="20"/>
              </w:rPr>
              <w:t>$ 28.757.232</w:t>
            </w:r>
          </w:p>
        </w:tc>
      </w:tr>
      <w:tr w:rsidR="00ED3219" w:rsidRPr="0039091F" w14:paraId="58C5797C" w14:textId="77777777" w:rsidTr="00200A5D">
        <w:trPr>
          <w:trHeight w:val="210"/>
        </w:trPr>
        <w:tc>
          <w:tcPr>
            <w:tcW w:w="3116" w:type="dxa"/>
            <w:vMerge/>
            <w:tcMar>
              <w:left w:w="70" w:type="dxa"/>
              <w:right w:w="70" w:type="dxa"/>
            </w:tcMar>
            <w:vAlign w:val="center"/>
          </w:tcPr>
          <w:p w14:paraId="1C3DB9E5" w14:textId="77777777" w:rsidR="00714A88" w:rsidRPr="0039091F" w:rsidRDefault="00714A88" w:rsidP="000A5389">
            <w:pPr>
              <w:spacing w:line="240" w:lineRule="auto"/>
              <w:rPr>
                <w:rFonts w:cs="Times New Roman"/>
                <w:sz w:val="20"/>
                <w:szCs w:val="20"/>
              </w:rPr>
            </w:pPr>
          </w:p>
        </w:tc>
        <w:tc>
          <w:tcPr>
            <w:tcW w:w="4058" w:type="dxa"/>
            <w:tcMar>
              <w:left w:w="70" w:type="dxa"/>
              <w:right w:w="70" w:type="dxa"/>
            </w:tcMar>
            <w:vAlign w:val="center"/>
          </w:tcPr>
          <w:p w14:paraId="1B056EE1" w14:textId="55C019F0" w:rsidR="74F136DA" w:rsidRPr="0039091F" w:rsidRDefault="74F136DA" w:rsidP="000A5389">
            <w:pPr>
              <w:spacing w:line="240" w:lineRule="auto"/>
              <w:rPr>
                <w:rFonts w:cs="Times New Roman"/>
                <w:sz w:val="20"/>
                <w:szCs w:val="20"/>
              </w:rPr>
            </w:pPr>
            <w:r w:rsidRPr="0039091F">
              <w:rPr>
                <w:rFonts w:eastAsia="Times New Roman" w:cs="Times New Roman"/>
                <w:color w:val="000000" w:themeColor="text1"/>
                <w:sz w:val="20"/>
                <w:szCs w:val="20"/>
              </w:rPr>
              <w:t>Prima Técnica Factor Salarial</w:t>
            </w:r>
          </w:p>
        </w:tc>
        <w:tc>
          <w:tcPr>
            <w:tcW w:w="0" w:type="auto"/>
            <w:tcMar>
              <w:left w:w="70" w:type="dxa"/>
              <w:right w:w="70" w:type="dxa"/>
            </w:tcMar>
          </w:tcPr>
          <w:p w14:paraId="3144EADB" w14:textId="5DE9E78A" w:rsidR="74F136DA" w:rsidRPr="0039091F" w:rsidRDefault="74F136DA" w:rsidP="000A5389">
            <w:pPr>
              <w:spacing w:line="240" w:lineRule="auto"/>
              <w:ind w:left="708" w:hanging="708"/>
              <w:jc w:val="right"/>
              <w:rPr>
                <w:rFonts w:cs="Times New Roman"/>
                <w:sz w:val="20"/>
                <w:szCs w:val="20"/>
              </w:rPr>
            </w:pPr>
            <w:r w:rsidRPr="0039091F">
              <w:rPr>
                <w:rFonts w:eastAsia="Times New Roman" w:cs="Times New Roman"/>
                <w:color w:val="000000" w:themeColor="text1"/>
                <w:sz w:val="20"/>
                <w:szCs w:val="20"/>
              </w:rPr>
              <w:t>$ 20.130.062</w:t>
            </w:r>
          </w:p>
        </w:tc>
      </w:tr>
      <w:tr w:rsidR="00ED3219" w:rsidRPr="0039091F" w14:paraId="634EB004" w14:textId="77777777" w:rsidTr="00200A5D">
        <w:trPr>
          <w:trHeight w:val="345"/>
        </w:trPr>
        <w:tc>
          <w:tcPr>
            <w:tcW w:w="3116" w:type="dxa"/>
            <w:vMerge/>
            <w:tcMar>
              <w:left w:w="70" w:type="dxa"/>
              <w:right w:w="70" w:type="dxa"/>
            </w:tcMar>
            <w:vAlign w:val="center"/>
          </w:tcPr>
          <w:p w14:paraId="15772483" w14:textId="77777777" w:rsidR="00714A88" w:rsidRPr="0039091F" w:rsidRDefault="00714A88" w:rsidP="000A5389">
            <w:pPr>
              <w:spacing w:line="240" w:lineRule="auto"/>
              <w:rPr>
                <w:rFonts w:cs="Times New Roman"/>
                <w:sz w:val="20"/>
                <w:szCs w:val="20"/>
              </w:rPr>
            </w:pPr>
          </w:p>
        </w:tc>
        <w:tc>
          <w:tcPr>
            <w:tcW w:w="4058" w:type="dxa"/>
            <w:tcMar>
              <w:left w:w="70" w:type="dxa"/>
              <w:right w:w="70" w:type="dxa"/>
            </w:tcMar>
            <w:vAlign w:val="center"/>
          </w:tcPr>
          <w:p w14:paraId="06D7F5BC" w14:textId="6DE48D7C" w:rsidR="74F136DA" w:rsidRPr="0039091F" w:rsidRDefault="74F136DA" w:rsidP="000A5389">
            <w:pPr>
              <w:spacing w:line="240" w:lineRule="auto"/>
              <w:rPr>
                <w:rFonts w:cs="Times New Roman"/>
                <w:sz w:val="20"/>
                <w:szCs w:val="20"/>
              </w:rPr>
            </w:pPr>
            <w:r w:rsidRPr="0039091F">
              <w:rPr>
                <w:rFonts w:eastAsia="Times New Roman" w:cs="Times New Roman"/>
                <w:color w:val="000000" w:themeColor="text1"/>
                <w:sz w:val="20"/>
                <w:szCs w:val="20"/>
              </w:rPr>
              <w:t xml:space="preserve">Prima Alta Dirección No Factor Salarial Semestral </w:t>
            </w:r>
          </w:p>
        </w:tc>
        <w:tc>
          <w:tcPr>
            <w:tcW w:w="0" w:type="auto"/>
            <w:tcMar>
              <w:left w:w="70" w:type="dxa"/>
              <w:right w:w="70" w:type="dxa"/>
            </w:tcMar>
            <w:vAlign w:val="center"/>
          </w:tcPr>
          <w:p w14:paraId="4648CDBF" w14:textId="2E5600D1" w:rsidR="74F136DA" w:rsidRPr="0039091F" w:rsidRDefault="74F136DA" w:rsidP="000A5389">
            <w:pPr>
              <w:spacing w:line="240" w:lineRule="auto"/>
              <w:jc w:val="right"/>
              <w:rPr>
                <w:rFonts w:cs="Times New Roman"/>
                <w:sz w:val="20"/>
                <w:szCs w:val="20"/>
              </w:rPr>
            </w:pPr>
            <w:r w:rsidRPr="0039091F">
              <w:rPr>
                <w:rFonts w:eastAsia="Times New Roman" w:cs="Times New Roman"/>
                <w:color w:val="000000" w:themeColor="text1"/>
                <w:sz w:val="20"/>
                <w:szCs w:val="20"/>
              </w:rPr>
              <w:t>$ 97.774.588</w:t>
            </w:r>
          </w:p>
        </w:tc>
      </w:tr>
      <w:tr w:rsidR="00562DA2" w:rsidRPr="0039091F" w14:paraId="53CFD98D" w14:textId="77777777" w:rsidTr="00200A5D">
        <w:trPr>
          <w:trHeight w:val="210"/>
        </w:trPr>
        <w:tc>
          <w:tcPr>
            <w:tcW w:w="3116" w:type="dxa"/>
            <w:vMerge w:val="restart"/>
            <w:tcMar>
              <w:left w:w="70" w:type="dxa"/>
              <w:right w:w="70" w:type="dxa"/>
            </w:tcMar>
            <w:vAlign w:val="center"/>
          </w:tcPr>
          <w:p w14:paraId="789A0231" w14:textId="63FCE736" w:rsidR="74F136DA" w:rsidRPr="0039091F" w:rsidRDefault="74F136DA" w:rsidP="000A5389">
            <w:pPr>
              <w:spacing w:line="240" w:lineRule="auto"/>
              <w:rPr>
                <w:rFonts w:cs="Times New Roman"/>
                <w:sz w:val="20"/>
                <w:szCs w:val="20"/>
              </w:rPr>
            </w:pPr>
            <w:r w:rsidRPr="0039091F">
              <w:rPr>
                <w:rFonts w:eastAsia="Times New Roman" w:cs="Times New Roman"/>
                <w:color w:val="000000" w:themeColor="text1"/>
                <w:sz w:val="20"/>
                <w:szCs w:val="20"/>
              </w:rPr>
              <w:t>Vicepresidente De Planeación, Riesgos Y Entorno E2 -05</w:t>
            </w:r>
          </w:p>
        </w:tc>
        <w:tc>
          <w:tcPr>
            <w:tcW w:w="4058" w:type="dxa"/>
            <w:tcMar>
              <w:left w:w="70" w:type="dxa"/>
              <w:right w:w="70" w:type="dxa"/>
            </w:tcMar>
            <w:vAlign w:val="center"/>
          </w:tcPr>
          <w:p w14:paraId="3AA5A31B" w14:textId="6BA43DE8" w:rsidR="74F136DA" w:rsidRPr="0039091F" w:rsidRDefault="74F136DA" w:rsidP="000A5389">
            <w:pPr>
              <w:spacing w:line="240" w:lineRule="auto"/>
              <w:rPr>
                <w:rFonts w:cs="Times New Roman"/>
                <w:sz w:val="20"/>
                <w:szCs w:val="20"/>
              </w:rPr>
            </w:pPr>
            <w:r w:rsidRPr="0039091F">
              <w:rPr>
                <w:rFonts w:eastAsia="Times New Roman" w:cs="Times New Roman"/>
                <w:color w:val="000000" w:themeColor="text1"/>
                <w:sz w:val="20"/>
                <w:szCs w:val="20"/>
              </w:rPr>
              <w:t>Sueldo Básico</w:t>
            </w:r>
          </w:p>
        </w:tc>
        <w:tc>
          <w:tcPr>
            <w:tcW w:w="0" w:type="auto"/>
            <w:tcMar>
              <w:left w:w="70" w:type="dxa"/>
              <w:right w:w="70" w:type="dxa"/>
            </w:tcMar>
            <w:vAlign w:val="center"/>
          </w:tcPr>
          <w:p w14:paraId="66D61EF1" w14:textId="22CF3F1E" w:rsidR="74F136DA" w:rsidRPr="0039091F" w:rsidRDefault="74F136DA" w:rsidP="000A5389">
            <w:pPr>
              <w:spacing w:line="240" w:lineRule="auto"/>
              <w:jc w:val="right"/>
              <w:rPr>
                <w:rFonts w:cs="Times New Roman"/>
                <w:sz w:val="20"/>
                <w:szCs w:val="20"/>
              </w:rPr>
            </w:pPr>
            <w:r w:rsidRPr="0039091F">
              <w:rPr>
                <w:rFonts w:eastAsia="Times New Roman" w:cs="Times New Roman"/>
                <w:color w:val="000000" w:themeColor="text1"/>
                <w:sz w:val="20"/>
                <w:szCs w:val="20"/>
              </w:rPr>
              <w:t>$ 24.540.396</w:t>
            </w:r>
          </w:p>
        </w:tc>
      </w:tr>
      <w:tr w:rsidR="00ED3219" w:rsidRPr="0039091F" w14:paraId="54C9E647" w14:textId="77777777" w:rsidTr="00200A5D">
        <w:trPr>
          <w:trHeight w:val="210"/>
        </w:trPr>
        <w:tc>
          <w:tcPr>
            <w:tcW w:w="3116" w:type="dxa"/>
            <w:vMerge/>
            <w:tcMar>
              <w:left w:w="70" w:type="dxa"/>
              <w:right w:w="70" w:type="dxa"/>
            </w:tcMar>
            <w:vAlign w:val="center"/>
          </w:tcPr>
          <w:p w14:paraId="1C1D4A24" w14:textId="77777777" w:rsidR="00714A88" w:rsidRPr="0039091F" w:rsidRDefault="00714A88" w:rsidP="000A5389">
            <w:pPr>
              <w:spacing w:line="240" w:lineRule="auto"/>
              <w:rPr>
                <w:rFonts w:cs="Times New Roman"/>
                <w:sz w:val="20"/>
                <w:szCs w:val="20"/>
              </w:rPr>
            </w:pPr>
          </w:p>
        </w:tc>
        <w:tc>
          <w:tcPr>
            <w:tcW w:w="4058" w:type="dxa"/>
            <w:tcMar>
              <w:left w:w="70" w:type="dxa"/>
              <w:right w:w="70" w:type="dxa"/>
            </w:tcMar>
            <w:vAlign w:val="center"/>
          </w:tcPr>
          <w:p w14:paraId="3C99A68D" w14:textId="383F0910" w:rsidR="74F136DA" w:rsidRPr="0039091F" w:rsidRDefault="74F136DA" w:rsidP="000A5389">
            <w:pPr>
              <w:spacing w:line="240" w:lineRule="auto"/>
              <w:rPr>
                <w:rFonts w:cs="Times New Roman"/>
                <w:sz w:val="20"/>
                <w:szCs w:val="20"/>
              </w:rPr>
            </w:pPr>
            <w:r w:rsidRPr="0039091F">
              <w:rPr>
                <w:rFonts w:eastAsia="Times New Roman" w:cs="Times New Roman"/>
                <w:color w:val="000000" w:themeColor="text1"/>
                <w:sz w:val="20"/>
                <w:szCs w:val="20"/>
              </w:rPr>
              <w:t>Prima Técnica No Factor Salarial</w:t>
            </w:r>
          </w:p>
        </w:tc>
        <w:tc>
          <w:tcPr>
            <w:tcW w:w="0" w:type="auto"/>
            <w:tcMar>
              <w:left w:w="70" w:type="dxa"/>
              <w:right w:w="70" w:type="dxa"/>
            </w:tcMar>
            <w:vAlign w:val="center"/>
          </w:tcPr>
          <w:p w14:paraId="5FA2EAF6" w14:textId="72F358C3" w:rsidR="74F136DA" w:rsidRPr="0039091F" w:rsidRDefault="74F136DA" w:rsidP="000A5389">
            <w:pPr>
              <w:spacing w:line="240" w:lineRule="auto"/>
              <w:jc w:val="right"/>
              <w:rPr>
                <w:rFonts w:cs="Times New Roman"/>
                <w:sz w:val="20"/>
                <w:szCs w:val="20"/>
              </w:rPr>
            </w:pPr>
            <w:r w:rsidRPr="0039091F">
              <w:rPr>
                <w:rFonts w:eastAsia="Times New Roman" w:cs="Times New Roman"/>
                <w:color w:val="000000" w:themeColor="text1"/>
                <w:sz w:val="20"/>
                <w:szCs w:val="20"/>
              </w:rPr>
              <w:t>$ 12.270.198</w:t>
            </w:r>
          </w:p>
        </w:tc>
      </w:tr>
      <w:tr w:rsidR="0026612B" w:rsidRPr="0039091F" w14:paraId="18F61730" w14:textId="77777777" w:rsidTr="00200A5D">
        <w:trPr>
          <w:trHeight w:val="300"/>
        </w:trPr>
        <w:tc>
          <w:tcPr>
            <w:tcW w:w="3116" w:type="dxa"/>
            <w:vMerge w:val="restart"/>
            <w:tcMar>
              <w:left w:w="70" w:type="dxa"/>
              <w:right w:w="70" w:type="dxa"/>
            </w:tcMar>
            <w:vAlign w:val="center"/>
          </w:tcPr>
          <w:p w14:paraId="72A57430" w14:textId="6731994F" w:rsidR="74F136DA" w:rsidRPr="0039091F" w:rsidRDefault="74F136DA" w:rsidP="000A5389">
            <w:pPr>
              <w:spacing w:line="240" w:lineRule="auto"/>
              <w:rPr>
                <w:rFonts w:cs="Times New Roman"/>
                <w:sz w:val="20"/>
                <w:szCs w:val="20"/>
              </w:rPr>
            </w:pPr>
            <w:r w:rsidRPr="0039091F">
              <w:rPr>
                <w:rFonts w:eastAsia="Times New Roman" w:cs="Times New Roman"/>
                <w:color w:val="000000" w:themeColor="text1"/>
                <w:sz w:val="20"/>
                <w:szCs w:val="20"/>
              </w:rPr>
              <w:t>Vicepresidente De Estructuración E2 -05</w:t>
            </w:r>
          </w:p>
        </w:tc>
        <w:tc>
          <w:tcPr>
            <w:tcW w:w="4058" w:type="dxa"/>
            <w:tcMar>
              <w:left w:w="70" w:type="dxa"/>
              <w:right w:w="70" w:type="dxa"/>
            </w:tcMar>
            <w:vAlign w:val="center"/>
          </w:tcPr>
          <w:p w14:paraId="03FA03D5" w14:textId="22ECAB1E" w:rsidR="74F136DA" w:rsidRPr="0039091F" w:rsidRDefault="74F136DA" w:rsidP="000A5389">
            <w:pPr>
              <w:spacing w:line="240" w:lineRule="auto"/>
              <w:rPr>
                <w:rFonts w:cs="Times New Roman"/>
                <w:sz w:val="20"/>
                <w:szCs w:val="20"/>
              </w:rPr>
            </w:pPr>
            <w:r w:rsidRPr="0039091F">
              <w:rPr>
                <w:rFonts w:eastAsia="Times New Roman" w:cs="Times New Roman"/>
                <w:color w:val="000000" w:themeColor="text1"/>
                <w:sz w:val="20"/>
                <w:szCs w:val="20"/>
              </w:rPr>
              <w:t>Sueldo Básico</w:t>
            </w:r>
          </w:p>
        </w:tc>
        <w:tc>
          <w:tcPr>
            <w:tcW w:w="0" w:type="auto"/>
            <w:tcMar>
              <w:left w:w="70" w:type="dxa"/>
              <w:right w:w="70" w:type="dxa"/>
            </w:tcMar>
            <w:vAlign w:val="center"/>
          </w:tcPr>
          <w:p w14:paraId="0D3993F8" w14:textId="10B0D8BA" w:rsidR="74F136DA" w:rsidRPr="0039091F" w:rsidRDefault="74F136DA" w:rsidP="000A5389">
            <w:pPr>
              <w:spacing w:line="240" w:lineRule="auto"/>
              <w:jc w:val="right"/>
              <w:rPr>
                <w:rFonts w:cs="Times New Roman"/>
                <w:sz w:val="20"/>
                <w:szCs w:val="20"/>
              </w:rPr>
            </w:pPr>
            <w:r w:rsidRPr="0039091F">
              <w:rPr>
                <w:rFonts w:eastAsia="Times New Roman" w:cs="Times New Roman"/>
                <w:color w:val="000000" w:themeColor="text1"/>
                <w:sz w:val="20"/>
                <w:szCs w:val="20"/>
              </w:rPr>
              <w:t>$ 24.540.396</w:t>
            </w:r>
          </w:p>
        </w:tc>
      </w:tr>
      <w:tr w:rsidR="00ED3219" w:rsidRPr="0039091F" w14:paraId="0CE3C692" w14:textId="77777777" w:rsidTr="00200A5D">
        <w:trPr>
          <w:trHeight w:val="210"/>
        </w:trPr>
        <w:tc>
          <w:tcPr>
            <w:tcW w:w="3116" w:type="dxa"/>
            <w:vMerge/>
            <w:tcMar>
              <w:left w:w="70" w:type="dxa"/>
              <w:right w:w="70" w:type="dxa"/>
            </w:tcMar>
            <w:vAlign w:val="center"/>
          </w:tcPr>
          <w:p w14:paraId="4F7EAB18" w14:textId="77777777" w:rsidR="00714A88" w:rsidRPr="0039091F" w:rsidRDefault="00714A88" w:rsidP="000A5389">
            <w:pPr>
              <w:spacing w:line="240" w:lineRule="auto"/>
              <w:rPr>
                <w:rFonts w:cs="Times New Roman"/>
                <w:sz w:val="20"/>
                <w:szCs w:val="20"/>
              </w:rPr>
            </w:pPr>
          </w:p>
        </w:tc>
        <w:tc>
          <w:tcPr>
            <w:tcW w:w="4058" w:type="dxa"/>
            <w:tcMar>
              <w:left w:w="70" w:type="dxa"/>
              <w:right w:w="70" w:type="dxa"/>
            </w:tcMar>
            <w:vAlign w:val="center"/>
          </w:tcPr>
          <w:p w14:paraId="3817B83E" w14:textId="09D85863" w:rsidR="74F136DA" w:rsidRPr="0039091F" w:rsidRDefault="74F136DA" w:rsidP="000A5389">
            <w:pPr>
              <w:spacing w:line="240" w:lineRule="auto"/>
              <w:rPr>
                <w:rFonts w:cs="Times New Roman"/>
                <w:sz w:val="20"/>
                <w:szCs w:val="20"/>
              </w:rPr>
            </w:pPr>
            <w:r w:rsidRPr="0039091F">
              <w:rPr>
                <w:rFonts w:eastAsia="Times New Roman" w:cs="Times New Roman"/>
                <w:color w:val="000000" w:themeColor="text1"/>
                <w:sz w:val="20"/>
                <w:szCs w:val="20"/>
              </w:rPr>
              <w:t>Prima Técnica No Factor Salarial</w:t>
            </w:r>
          </w:p>
        </w:tc>
        <w:tc>
          <w:tcPr>
            <w:tcW w:w="0" w:type="auto"/>
            <w:tcMar>
              <w:left w:w="70" w:type="dxa"/>
              <w:right w:w="70" w:type="dxa"/>
            </w:tcMar>
            <w:vAlign w:val="center"/>
          </w:tcPr>
          <w:p w14:paraId="72EC0FF6" w14:textId="3A135F18" w:rsidR="74F136DA" w:rsidRPr="0039091F" w:rsidRDefault="74F136DA" w:rsidP="000A5389">
            <w:pPr>
              <w:spacing w:line="240" w:lineRule="auto"/>
              <w:jc w:val="right"/>
              <w:rPr>
                <w:rFonts w:cs="Times New Roman"/>
                <w:sz w:val="20"/>
                <w:szCs w:val="20"/>
              </w:rPr>
            </w:pPr>
            <w:r w:rsidRPr="0039091F">
              <w:rPr>
                <w:rFonts w:eastAsia="Times New Roman" w:cs="Times New Roman"/>
                <w:color w:val="000000" w:themeColor="text1"/>
                <w:sz w:val="20"/>
                <w:szCs w:val="20"/>
              </w:rPr>
              <w:t>$ 12.270.198</w:t>
            </w:r>
          </w:p>
        </w:tc>
      </w:tr>
      <w:tr w:rsidR="00562DA2" w:rsidRPr="0039091F" w14:paraId="25F0BDAC" w14:textId="77777777" w:rsidTr="00200A5D">
        <w:trPr>
          <w:trHeight w:val="210"/>
        </w:trPr>
        <w:tc>
          <w:tcPr>
            <w:tcW w:w="3116" w:type="dxa"/>
            <w:vMerge w:val="restart"/>
            <w:tcMar>
              <w:left w:w="70" w:type="dxa"/>
              <w:right w:w="70" w:type="dxa"/>
            </w:tcMar>
            <w:vAlign w:val="center"/>
          </w:tcPr>
          <w:p w14:paraId="52F382A0" w14:textId="7ACB8B8F" w:rsidR="74F136DA" w:rsidRPr="0039091F" w:rsidRDefault="74F136DA" w:rsidP="000A5389">
            <w:pPr>
              <w:spacing w:line="240" w:lineRule="auto"/>
              <w:rPr>
                <w:rFonts w:cs="Times New Roman"/>
                <w:sz w:val="20"/>
                <w:szCs w:val="20"/>
              </w:rPr>
            </w:pPr>
            <w:r w:rsidRPr="0039091F">
              <w:rPr>
                <w:rFonts w:eastAsia="Times New Roman" w:cs="Times New Roman"/>
                <w:color w:val="000000" w:themeColor="text1"/>
                <w:sz w:val="20"/>
                <w:szCs w:val="20"/>
              </w:rPr>
              <w:t>Vicepresidente Ejecutivo E2 -05</w:t>
            </w:r>
          </w:p>
        </w:tc>
        <w:tc>
          <w:tcPr>
            <w:tcW w:w="4058" w:type="dxa"/>
            <w:tcMar>
              <w:left w:w="70" w:type="dxa"/>
              <w:right w:w="70" w:type="dxa"/>
            </w:tcMar>
            <w:vAlign w:val="center"/>
          </w:tcPr>
          <w:p w14:paraId="1AEEDAE4" w14:textId="04A70EB2" w:rsidR="74F136DA" w:rsidRPr="0039091F" w:rsidRDefault="74F136DA" w:rsidP="000A5389">
            <w:pPr>
              <w:spacing w:line="240" w:lineRule="auto"/>
              <w:rPr>
                <w:rFonts w:cs="Times New Roman"/>
                <w:sz w:val="20"/>
                <w:szCs w:val="20"/>
              </w:rPr>
            </w:pPr>
            <w:r w:rsidRPr="0039091F">
              <w:rPr>
                <w:rFonts w:eastAsia="Times New Roman" w:cs="Times New Roman"/>
                <w:color w:val="000000" w:themeColor="text1"/>
                <w:sz w:val="20"/>
                <w:szCs w:val="20"/>
              </w:rPr>
              <w:t>Sueldo Básico</w:t>
            </w:r>
          </w:p>
        </w:tc>
        <w:tc>
          <w:tcPr>
            <w:tcW w:w="0" w:type="auto"/>
            <w:tcMar>
              <w:left w:w="70" w:type="dxa"/>
              <w:right w:w="70" w:type="dxa"/>
            </w:tcMar>
            <w:vAlign w:val="center"/>
          </w:tcPr>
          <w:p w14:paraId="2A0CCECE" w14:textId="7228472C" w:rsidR="74F136DA" w:rsidRPr="0039091F" w:rsidRDefault="74F136DA" w:rsidP="000A5389">
            <w:pPr>
              <w:spacing w:line="240" w:lineRule="auto"/>
              <w:jc w:val="right"/>
              <w:rPr>
                <w:rFonts w:cs="Times New Roman"/>
                <w:sz w:val="20"/>
                <w:szCs w:val="20"/>
              </w:rPr>
            </w:pPr>
            <w:r w:rsidRPr="0039091F">
              <w:rPr>
                <w:rFonts w:eastAsia="Times New Roman" w:cs="Times New Roman"/>
                <w:color w:val="000000" w:themeColor="text1"/>
                <w:sz w:val="20"/>
                <w:szCs w:val="20"/>
              </w:rPr>
              <w:t>$ 24.540.396</w:t>
            </w:r>
          </w:p>
        </w:tc>
      </w:tr>
      <w:tr w:rsidR="00ED3219" w:rsidRPr="0039091F" w14:paraId="3F9C183B" w14:textId="77777777" w:rsidTr="00200A5D">
        <w:trPr>
          <w:trHeight w:val="210"/>
        </w:trPr>
        <w:tc>
          <w:tcPr>
            <w:tcW w:w="3116" w:type="dxa"/>
            <w:vMerge/>
            <w:tcMar>
              <w:left w:w="70" w:type="dxa"/>
              <w:right w:w="70" w:type="dxa"/>
            </w:tcMar>
            <w:vAlign w:val="center"/>
          </w:tcPr>
          <w:p w14:paraId="3961A809" w14:textId="77777777" w:rsidR="00714A88" w:rsidRPr="0039091F" w:rsidRDefault="00714A88" w:rsidP="000A5389">
            <w:pPr>
              <w:spacing w:line="240" w:lineRule="auto"/>
              <w:rPr>
                <w:rFonts w:cs="Times New Roman"/>
                <w:sz w:val="20"/>
                <w:szCs w:val="20"/>
              </w:rPr>
            </w:pPr>
          </w:p>
        </w:tc>
        <w:tc>
          <w:tcPr>
            <w:tcW w:w="4058" w:type="dxa"/>
            <w:tcMar>
              <w:left w:w="70" w:type="dxa"/>
              <w:right w:w="70" w:type="dxa"/>
            </w:tcMar>
            <w:vAlign w:val="center"/>
          </w:tcPr>
          <w:p w14:paraId="2BEADC41" w14:textId="3B6B74AF" w:rsidR="74F136DA" w:rsidRPr="0039091F" w:rsidRDefault="74F136DA" w:rsidP="000A5389">
            <w:pPr>
              <w:spacing w:line="240" w:lineRule="auto"/>
              <w:rPr>
                <w:rFonts w:cs="Times New Roman"/>
                <w:sz w:val="20"/>
                <w:szCs w:val="20"/>
              </w:rPr>
            </w:pPr>
            <w:r w:rsidRPr="0039091F">
              <w:rPr>
                <w:rFonts w:eastAsia="Times New Roman" w:cs="Times New Roman"/>
                <w:color w:val="000000" w:themeColor="text1"/>
                <w:sz w:val="20"/>
                <w:szCs w:val="20"/>
              </w:rPr>
              <w:t>Prima Técnica No Factor Salarial</w:t>
            </w:r>
          </w:p>
        </w:tc>
        <w:tc>
          <w:tcPr>
            <w:tcW w:w="0" w:type="auto"/>
            <w:tcMar>
              <w:left w:w="70" w:type="dxa"/>
              <w:right w:w="70" w:type="dxa"/>
            </w:tcMar>
            <w:vAlign w:val="center"/>
          </w:tcPr>
          <w:p w14:paraId="1BA0416E" w14:textId="0FB61BEE" w:rsidR="74F136DA" w:rsidRPr="0039091F" w:rsidRDefault="74F136DA" w:rsidP="000A5389">
            <w:pPr>
              <w:spacing w:line="240" w:lineRule="auto"/>
              <w:jc w:val="right"/>
              <w:rPr>
                <w:rFonts w:cs="Times New Roman"/>
                <w:sz w:val="20"/>
                <w:szCs w:val="20"/>
              </w:rPr>
            </w:pPr>
            <w:r w:rsidRPr="0039091F">
              <w:rPr>
                <w:rFonts w:eastAsia="Times New Roman" w:cs="Times New Roman"/>
                <w:color w:val="000000" w:themeColor="text1"/>
                <w:sz w:val="20"/>
                <w:szCs w:val="20"/>
              </w:rPr>
              <w:t>$ 12.270.198</w:t>
            </w:r>
          </w:p>
        </w:tc>
      </w:tr>
      <w:tr w:rsidR="0026612B" w:rsidRPr="0039091F" w14:paraId="540B2C8D" w14:textId="77777777" w:rsidTr="00200A5D">
        <w:trPr>
          <w:trHeight w:val="300"/>
        </w:trPr>
        <w:tc>
          <w:tcPr>
            <w:tcW w:w="3116" w:type="dxa"/>
            <w:vMerge w:val="restart"/>
            <w:tcMar>
              <w:left w:w="70" w:type="dxa"/>
              <w:right w:w="70" w:type="dxa"/>
            </w:tcMar>
            <w:vAlign w:val="center"/>
          </w:tcPr>
          <w:p w14:paraId="40F6437C" w14:textId="3285CC31" w:rsidR="74F136DA" w:rsidRPr="0039091F" w:rsidRDefault="74F136DA" w:rsidP="000A5389">
            <w:pPr>
              <w:spacing w:line="240" w:lineRule="auto"/>
              <w:rPr>
                <w:rFonts w:cs="Times New Roman"/>
                <w:sz w:val="20"/>
                <w:szCs w:val="20"/>
              </w:rPr>
            </w:pPr>
            <w:r w:rsidRPr="0039091F">
              <w:rPr>
                <w:rFonts w:eastAsia="Times New Roman" w:cs="Times New Roman"/>
                <w:color w:val="000000" w:themeColor="text1"/>
                <w:sz w:val="20"/>
                <w:szCs w:val="20"/>
              </w:rPr>
              <w:t>Vicepresidente De Gestión Contractual E2 -05</w:t>
            </w:r>
          </w:p>
        </w:tc>
        <w:tc>
          <w:tcPr>
            <w:tcW w:w="4058" w:type="dxa"/>
            <w:tcMar>
              <w:left w:w="70" w:type="dxa"/>
              <w:right w:w="70" w:type="dxa"/>
            </w:tcMar>
            <w:vAlign w:val="center"/>
          </w:tcPr>
          <w:p w14:paraId="72B1A392" w14:textId="0A347B12" w:rsidR="74F136DA" w:rsidRPr="0039091F" w:rsidRDefault="74F136DA" w:rsidP="000A5389">
            <w:pPr>
              <w:spacing w:line="240" w:lineRule="auto"/>
              <w:rPr>
                <w:rFonts w:cs="Times New Roman"/>
                <w:sz w:val="20"/>
                <w:szCs w:val="20"/>
              </w:rPr>
            </w:pPr>
            <w:r w:rsidRPr="0039091F">
              <w:rPr>
                <w:rFonts w:eastAsia="Times New Roman" w:cs="Times New Roman"/>
                <w:color w:val="000000" w:themeColor="text1"/>
                <w:sz w:val="20"/>
                <w:szCs w:val="20"/>
              </w:rPr>
              <w:t>Sueldo Básico</w:t>
            </w:r>
          </w:p>
        </w:tc>
        <w:tc>
          <w:tcPr>
            <w:tcW w:w="0" w:type="auto"/>
            <w:tcMar>
              <w:left w:w="70" w:type="dxa"/>
              <w:right w:w="70" w:type="dxa"/>
            </w:tcMar>
            <w:vAlign w:val="center"/>
          </w:tcPr>
          <w:p w14:paraId="2C8FB4D2" w14:textId="5C1BAE30" w:rsidR="74F136DA" w:rsidRPr="0039091F" w:rsidRDefault="74F136DA" w:rsidP="000A5389">
            <w:pPr>
              <w:spacing w:line="240" w:lineRule="auto"/>
              <w:jc w:val="right"/>
              <w:rPr>
                <w:rFonts w:cs="Times New Roman"/>
                <w:sz w:val="20"/>
                <w:szCs w:val="20"/>
              </w:rPr>
            </w:pPr>
            <w:r w:rsidRPr="0039091F">
              <w:rPr>
                <w:rFonts w:eastAsia="Times New Roman" w:cs="Times New Roman"/>
                <w:color w:val="000000" w:themeColor="text1"/>
                <w:sz w:val="20"/>
                <w:szCs w:val="20"/>
              </w:rPr>
              <w:t>$ 24.540.396</w:t>
            </w:r>
          </w:p>
        </w:tc>
      </w:tr>
      <w:tr w:rsidR="00ED3219" w:rsidRPr="0039091F" w14:paraId="06AF29CC" w14:textId="77777777" w:rsidTr="00200A5D">
        <w:trPr>
          <w:trHeight w:val="210"/>
        </w:trPr>
        <w:tc>
          <w:tcPr>
            <w:tcW w:w="3116" w:type="dxa"/>
            <w:vMerge/>
            <w:tcMar>
              <w:left w:w="70" w:type="dxa"/>
              <w:right w:w="70" w:type="dxa"/>
            </w:tcMar>
            <w:vAlign w:val="center"/>
          </w:tcPr>
          <w:p w14:paraId="6E3E043B" w14:textId="77777777" w:rsidR="00714A88" w:rsidRPr="0039091F" w:rsidRDefault="00714A88" w:rsidP="000A5389">
            <w:pPr>
              <w:spacing w:line="240" w:lineRule="auto"/>
              <w:rPr>
                <w:rFonts w:cs="Times New Roman"/>
                <w:sz w:val="20"/>
                <w:szCs w:val="20"/>
              </w:rPr>
            </w:pPr>
          </w:p>
        </w:tc>
        <w:tc>
          <w:tcPr>
            <w:tcW w:w="4058" w:type="dxa"/>
            <w:tcMar>
              <w:left w:w="70" w:type="dxa"/>
              <w:right w:w="70" w:type="dxa"/>
            </w:tcMar>
            <w:vAlign w:val="center"/>
          </w:tcPr>
          <w:p w14:paraId="747C2F6B" w14:textId="51124062" w:rsidR="74F136DA" w:rsidRPr="0039091F" w:rsidRDefault="74F136DA" w:rsidP="000A5389">
            <w:pPr>
              <w:spacing w:line="240" w:lineRule="auto"/>
              <w:rPr>
                <w:rFonts w:cs="Times New Roman"/>
                <w:sz w:val="20"/>
                <w:szCs w:val="20"/>
              </w:rPr>
            </w:pPr>
            <w:r w:rsidRPr="0039091F">
              <w:rPr>
                <w:rFonts w:eastAsia="Times New Roman" w:cs="Times New Roman"/>
                <w:color w:val="000000" w:themeColor="text1"/>
                <w:sz w:val="20"/>
                <w:szCs w:val="20"/>
              </w:rPr>
              <w:t>Prima Técnica No Factor Salarial</w:t>
            </w:r>
          </w:p>
        </w:tc>
        <w:tc>
          <w:tcPr>
            <w:tcW w:w="0" w:type="auto"/>
            <w:tcMar>
              <w:left w:w="70" w:type="dxa"/>
              <w:right w:w="70" w:type="dxa"/>
            </w:tcMar>
            <w:vAlign w:val="center"/>
          </w:tcPr>
          <w:p w14:paraId="22C96D6C" w14:textId="76DB7B41" w:rsidR="74F136DA" w:rsidRPr="0039091F" w:rsidRDefault="74F136DA" w:rsidP="000A5389">
            <w:pPr>
              <w:spacing w:line="240" w:lineRule="auto"/>
              <w:jc w:val="right"/>
              <w:rPr>
                <w:rFonts w:cs="Times New Roman"/>
                <w:sz w:val="20"/>
                <w:szCs w:val="20"/>
              </w:rPr>
            </w:pPr>
            <w:r w:rsidRPr="0039091F">
              <w:rPr>
                <w:rFonts w:eastAsia="Times New Roman" w:cs="Times New Roman"/>
                <w:color w:val="000000" w:themeColor="text1"/>
                <w:sz w:val="20"/>
                <w:szCs w:val="20"/>
              </w:rPr>
              <w:t>$ 12.270.198</w:t>
            </w:r>
          </w:p>
        </w:tc>
      </w:tr>
      <w:tr w:rsidR="00562DA2" w:rsidRPr="0039091F" w14:paraId="00CAF346" w14:textId="77777777" w:rsidTr="00200A5D">
        <w:trPr>
          <w:trHeight w:val="210"/>
        </w:trPr>
        <w:tc>
          <w:tcPr>
            <w:tcW w:w="3116" w:type="dxa"/>
            <w:vMerge w:val="restart"/>
            <w:tcMar>
              <w:left w:w="70" w:type="dxa"/>
              <w:right w:w="70" w:type="dxa"/>
            </w:tcMar>
            <w:vAlign w:val="center"/>
          </w:tcPr>
          <w:p w14:paraId="59A646E2" w14:textId="63C45D9F" w:rsidR="74F136DA" w:rsidRPr="0039091F" w:rsidRDefault="74F136DA" w:rsidP="000A5389">
            <w:pPr>
              <w:spacing w:line="240" w:lineRule="auto"/>
              <w:rPr>
                <w:rFonts w:cs="Times New Roman"/>
                <w:sz w:val="20"/>
                <w:szCs w:val="20"/>
              </w:rPr>
            </w:pPr>
            <w:r w:rsidRPr="0039091F">
              <w:rPr>
                <w:rFonts w:eastAsia="Times New Roman" w:cs="Times New Roman"/>
                <w:color w:val="000000" w:themeColor="text1"/>
                <w:sz w:val="20"/>
                <w:szCs w:val="20"/>
              </w:rPr>
              <w:t>Vicepresidente Jurídico E2 -05</w:t>
            </w:r>
          </w:p>
        </w:tc>
        <w:tc>
          <w:tcPr>
            <w:tcW w:w="4058" w:type="dxa"/>
            <w:tcMar>
              <w:left w:w="70" w:type="dxa"/>
              <w:right w:w="70" w:type="dxa"/>
            </w:tcMar>
            <w:vAlign w:val="center"/>
          </w:tcPr>
          <w:p w14:paraId="7E5BA95C" w14:textId="682C061E" w:rsidR="74F136DA" w:rsidRPr="0039091F" w:rsidRDefault="74F136DA" w:rsidP="000A5389">
            <w:pPr>
              <w:spacing w:line="240" w:lineRule="auto"/>
              <w:rPr>
                <w:rFonts w:cs="Times New Roman"/>
                <w:sz w:val="20"/>
                <w:szCs w:val="20"/>
              </w:rPr>
            </w:pPr>
            <w:r w:rsidRPr="0039091F">
              <w:rPr>
                <w:rFonts w:eastAsia="Times New Roman" w:cs="Times New Roman"/>
                <w:color w:val="000000" w:themeColor="text1"/>
                <w:sz w:val="20"/>
                <w:szCs w:val="20"/>
              </w:rPr>
              <w:t>Sueldo Básico</w:t>
            </w:r>
          </w:p>
        </w:tc>
        <w:tc>
          <w:tcPr>
            <w:tcW w:w="0" w:type="auto"/>
            <w:tcMar>
              <w:left w:w="70" w:type="dxa"/>
              <w:right w:w="70" w:type="dxa"/>
            </w:tcMar>
            <w:vAlign w:val="center"/>
          </w:tcPr>
          <w:p w14:paraId="4974F508" w14:textId="5C244010" w:rsidR="74F136DA" w:rsidRPr="0039091F" w:rsidRDefault="74F136DA" w:rsidP="000A5389">
            <w:pPr>
              <w:spacing w:line="240" w:lineRule="auto"/>
              <w:jc w:val="right"/>
              <w:rPr>
                <w:rFonts w:cs="Times New Roman"/>
                <w:sz w:val="20"/>
                <w:szCs w:val="20"/>
              </w:rPr>
            </w:pPr>
            <w:r w:rsidRPr="0039091F">
              <w:rPr>
                <w:rFonts w:eastAsia="Times New Roman" w:cs="Times New Roman"/>
                <w:color w:val="000000" w:themeColor="text1"/>
                <w:sz w:val="20"/>
                <w:szCs w:val="20"/>
              </w:rPr>
              <w:t>$ 24.540.396</w:t>
            </w:r>
          </w:p>
        </w:tc>
      </w:tr>
      <w:tr w:rsidR="00ED3219" w:rsidRPr="0039091F" w14:paraId="7CD437F7" w14:textId="77777777" w:rsidTr="00200A5D">
        <w:trPr>
          <w:trHeight w:val="210"/>
        </w:trPr>
        <w:tc>
          <w:tcPr>
            <w:tcW w:w="3116" w:type="dxa"/>
            <w:vMerge/>
            <w:tcMar>
              <w:left w:w="70" w:type="dxa"/>
              <w:right w:w="70" w:type="dxa"/>
            </w:tcMar>
            <w:vAlign w:val="center"/>
          </w:tcPr>
          <w:p w14:paraId="5D41B4F3" w14:textId="77777777" w:rsidR="00714A88" w:rsidRPr="0039091F" w:rsidRDefault="00714A88" w:rsidP="000A5389">
            <w:pPr>
              <w:spacing w:line="240" w:lineRule="auto"/>
              <w:rPr>
                <w:rFonts w:cs="Times New Roman"/>
                <w:sz w:val="20"/>
                <w:szCs w:val="20"/>
              </w:rPr>
            </w:pPr>
          </w:p>
        </w:tc>
        <w:tc>
          <w:tcPr>
            <w:tcW w:w="4058" w:type="dxa"/>
            <w:tcMar>
              <w:left w:w="70" w:type="dxa"/>
              <w:right w:w="70" w:type="dxa"/>
            </w:tcMar>
            <w:vAlign w:val="center"/>
          </w:tcPr>
          <w:p w14:paraId="0BDFA56C" w14:textId="1457E3FD" w:rsidR="74F136DA" w:rsidRPr="0039091F" w:rsidRDefault="74F136DA" w:rsidP="000A5389">
            <w:pPr>
              <w:spacing w:line="240" w:lineRule="auto"/>
              <w:rPr>
                <w:rFonts w:cs="Times New Roman"/>
                <w:sz w:val="20"/>
                <w:szCs w:val="20"/>
              </w:rPr>
            </w:pPr>
            <w:r w:rsidRPr="0039091F">
              <w:rPr>
                <w:rFonts w:eastAsia="Times New Roman" w:cs="Times New Roman"/>
                <w:color w:val="000000" w:themeColor="text1"/>
                <w:sz w:val="20"/>
                <w:szCs w:val="20"/>
              </w:rPr>
              <w:t>Prima Técnica Factor Salarial</w:t>
            </w:r>
          </w:p>
        </w:tc>
        <w:tc>
          <w:tcPr>
            <w:tcW w:w="0" w:type="auto"/>
            <w:tcMar>
              <w:left w:w="70" w:type="dxa"/>
              <w:right w:w="70" w:type="dxa"/>
            </w:tcMar>
            <w:vAlign w:val="center"/>
          </w:tcPr>
          <w:p w14:paraId="027E423A" w14:textId="5D886D8B" w:rsidR="74F136DA" w:rsidRPr="0039091F" w:rsidRDefault="74F136DA" w:rsidP="000A5389">
            <w:pPr>
              <w:spacing w:line="240" w:lineRule="auto"/>
              <w:jc w:val="right"/>
              <w:rPr>
                <w:rFonts w:cs="Times New Roman"/>
                <w:sz w:val="20"/>
                <w:szCs w:val="20"/>
              </w:rPr>
            </w:pPr>
            <w:r w:rsidRPr="0039091F">
              <w:rPr>
                <w:rFonts w:eastAsia="Times New Roman" w:cs="Times New Roman"/>
                <w:color w:val="000000" w:themeColor="text1"/>
                <w:sz w:val="20"/>
                <w:szCs w:val="20"/>
              </w:rPr>
              <w:t>$ 12.270.198</w:t>
            </w:r>
          </w:p>
        </w:tc>
      </w:tr>
      <w:tr w:rsidR="00562DA2" w:rsidRPr="0039091F" w14:paraId="4682F058" w14:textId="77777777" w:rsidTr="00200A5D">
        <w:trPr>
          <w:trHeight w:val="210"/>
        </w:trPr>
        <w:tc>
          <w:tcPr>
            <w:tcW w:w="3116" w:type="dxa"/>
            <w:vMerge w:val="restart"/>
            <w:tcMar>
              <w:left w:w="70" w:type="dxa"/>
              <w:right w:w="70" w:type="dxa"/>
            </w:tcMar>
            <w:vAlign w:val="center"/>
          </w:tcPr>
          <w:p w14:paraId="23D3ABBA" w14:textId="5FE8C010" w:rsidR="74F136DA" w:rsidRPr="0039091F" w:rsidRDefault="74F136DA" w:rsidP="000A5389">
            <w:pPr>
              <w:spacing w:line="240" w:lineRule="auto"/>
              <w:rPr>
                <w:rFonts w:cs="Times New Roman"/>
                <w:sz w:val="20"/>
                <w:szCs w:val="20"/>
              </w:rPr>
            </w:pPr>
            <w:r w:rsidRPr="0039091F">
              <w:rPr>
                <w:rFonts w:eastAsia="Times New Roman" w:cs="Times New Roman"/>
                <w:color w:val="000000" w:themeColor="text1"/>
                <w:sz w:val="20"/>
                <w:szCs w:val="20"/>
              </w:rPr>
              <w:t>Vicepresidente De Gestión Corporativa E2 -05</w:t>
            </w:r>
          </w:p>
        </w:tc>
        <w:tc>
          <w:tcPr>
            <w:tcW w:w="4058" w:type="dxa"/>
            <w:tcMar>
              <w:left w:w="70" w:type="dxa"/>
              <w:right w:w="70" w:type="dxa"/>
            </w:tcMar>
            <w:vAlign w:val="center"/>
          </w:tcPr>
          <w:p w14:paraId="35B4DA84" w14:textId="4E8E6124" w:rsidR="74F136DA" w:rsidRPr="0039091F" w:rsidRDefault="74F136DA" w:rsidP="000A5389">
            <w:pPr>
              <w:spacing w:line="240" w:lineRule="auto"/>
              <w:rPr>
                <w:rFonts w:cs="Times New Roman"/>
                <w:sz w:val="20"/>
                <w:szCs w:val="20"/>
              </w:rPr>
            </w:pPr>
            <w:r w:rsidRPr="0039091F">
              <w:rPr>
                <w:rFonts w:eastAsia="Times New Roman" w:cs="Times New Roman"/>
                <w:color w:val="000000" w:themeColor="text1"/>
                <w:sz w:val="20"/>
                <w:szCs w:val="20"/>
              </w:rPr>
              <w:t>Sueldo Básico</w:t>
            </w:r>
          </w:p>
        </w:tc>
        <w:tc>
          <w:tcPr>
            <w:tcW w:w="0" w:type="auto"/>
            <w:tcMar>
              <w:left w:w="70" w:type="dxa"/>
              <w:right w:w="70" w:type="dxa"/>
            </w:tcMar>
            <w:vAlign w:val="center"/>
          </w:tcPr>
          <w:p w14:paraId="5266DEE8" w14:textId="577613B2" w:rsidR="74F136DA" w:rsidRPr="0039091F" w:rsidRDefault="74F136DA" w:rsidP="000A5389">
            <w:pPr>
              <w:spacing w:line="240" w:lineRule="auto"/>
              <w:jc w:val="right"/>
              <w:rPr>
                <w:rFonts w:cs="Times New Roman"/>
                <w:sz w:val="20"/>
                <w:szCs w:val="20"/>
              </w:rPr>
            </w:pPr>
            <w:r w:rsidRPr="0039091F">
              <w:rPr>
                <w:rFonts w:eastAsia="Times New Roman" w:cs="Times New Roman"/>
                <w:color w:val="000000" w:themeColor="text1"/>
                <w:sz w:val="20"/>
                <w:szCs w:val="20"/>
              </w:rPr>
              <w:t>$ 24.540.396</w:t>
            </w:r>
          </w:p>
        </w:tc>
      </w:tr>
      <w:tr w:rsidR="00ED3219" w:rsidRPr="0039091F" w14:paraId="2354532D" w14:textId="77777777" w:rsidTr="00200A5D">
        <w:trPr>
          <w:trHeight w:val="210"/>
        </w:trPr>
        <w:tc>
          <w:tcPr>
            <w:tcW w:w="3116" w:type="dxa"/>
            <w:vMerge/>
            <w:tcMar>
              <w:left w:w="70" w:type="dxa"/>
              <w:right w:w="70" w:type="dxa"/>
            </w:tcMar>
            <w:vAlign w:val="center"/>
          </w:tcPr>
          <w:p w14:paraId="6FEEF32F" w14:textId="77777777" w:rsidR="00714A88" w:rsidRPr="0039091F" w:rsidRDefault="00714A88" w:rsidP="000A5389">
            <w:pPr>
              <w:spacing w:line="240" w:lineRule="auto"/>
              <w:rPr>
                <w:rFonts w:cs="Times New Roman"/>
                <w:sz w:val="20"/>
                <w:szCs w:val="20"/>
              </w:rPr>
            </w:pPr>
          </w:p>
        </w:tc>
        <w:tc>
          <w:tcPr>
            <w:tcW w:w="4058" w:type="dxa"/>
            <w:tcMar>
              <w:left w:w="70" w:type="dxa"/>
              <w:right w:w="70" w:type="dxa"/>
            </w:tcMar>
            <w:vAlign w:val="center"/>
          </w:tcPr>
          <w:p w14:paraId="043B56D6" w14:textId="621DFEFE" w:rsidR="74F136DA" w:rsidRPr="0039091F" w:rsidRDefault="74F136DA" w:rsidP="000A5389">
            <w:pPr>
              <w:spacing w:line="240" w:lineRule="auto"/>
              <w:rPr>
                <w:rFonts w:cs="Times New Roman"/>
                <w:sz w:val="20"/>
                <w:szCs w:val="20"/>
              </w:rPr>
            </w:pPr>
            <w:r w:rsidRPr="0039091F">
              <w:rPr>
                <w:rFonts w:eastAsia="Times New Roman" w:cs="Times New Roman"/>
                <w:color w:val="000000" w:themeColor="text1"/>
                <w:sz w:val="20"/>
                <w:szCs w:val="20"/>
              </w:rPr>
              <w:t>Prima Técnica Factor Salarial</w:t>
            </w:r>
          </w:p>
        </w:tc>
        <w:tc>
          <w:tcPr>
            <w:tcW w:w="0" w:type="auto"/>
            <w:tcMar>
              <w:left w:w="70" w:type="dxa"/>
              <w:right w:w="70" w:type="dxa"/>
            </w:tcMar>
            <w:vAlign w:val="center"/>
          </w:tcPr>
          <w:p w14:paraId="09E6DE78" w14:textId="05C5E581" w:rsidR="74F136DA" w:rsidRPr="0039091F" w:rsidRDefault="74F136DA" w:rsidP="000A5389">
            <w:pPr>
              <w:spacing w:line="240" w:lineRule="auto"/>
              <w:jc w:val="right"/>
              <w:rPr>
                <w:rFonts w:cs="Times New Roman"/>
                <w:sz w:val="20"/>
                <w:szCs w:val="20"/>
              </w:rPr>
            </w:pPr>
            <w:r w:rsidRPr="0039091F">
              <w:rPr>
                <w:rFonts w:eastAsia="Times New Roman" w:cs="Times New Roman"/>
                <w:color w:val="000000" w:themeColor="text1"/>
                <w:sz w:val="20"/>
                <w:szCs w:val="20"/>
              </w:rPr>
              <w:t>$ 15.215.046</w:t>
            </w:r>
          </w:p>
        </w:tc>
      </w:tr>
    </w:tbl>
    <w:p w14:paraId="17C6389A" w14:textId="77777777" w:rsidR="00CC41F5" w:rsidRPr="00951AB1" w:rsidRDefault="00CC41F5" w:rsidP="000A5389">
      <w:pPr>
        <w:spacing w:line="240" w:lineRule="auto"/>
        <w:rPr>
          <w:rFonts w:cs="Times New Roman"/>
        </w:rPr>
      </w:pPr>
      <w:r w:rsidRPr="00951AB1">
        <w:rPr>
          <w:rFonts w:eastAsia="Times New Roman" w:cs="Times New Roman"/>
          <w:sz w:val="14"/>
          <w:szCs w:val="14"/>
        </w:rPr>
        <w:t>Cifras expresadas en pesos</w:t>
      </w:r>
    </w:p>
    <w:p w14:paraId="24C89E0E" w14:textId="1F0F6596" w:rsidR="2CE38769" w:rsidRPr="00951AB1" w:rsidRDefault="2CE38769" w:rsidP="000A5389">
      <w:pPr>
        <w:spacing w:line="240" w:lineRule="auto"/>
        <w:rPr>
          <w:rFonts w:eastAsia="Times New Roman" w:cs="Times New Roman"/>
          <w:szCs w:val="24"/>
        </w:rPr>
      </w:pPr>
    </w:p>
    <w:p w14:paraId="053D6E0A" w14:textId="306C0CB9" w:rsidR="091ECD43" w:rsidRPr="00951AB1" w:rsidRDefault="091ECD43" w:rsidP="000A5389">
      <w:pPr>
        <w:spacing w:line="240" w:lineRule="auto"/>
        <w:rPr>
          <w:rFonts w:eastAsia="Times New Roman" w:cs="Times New Roman"/>
          <w:szCs w:val="24"/>
        </w:rPr>
      </w:pPr>
      <w:r w:rsidRPr="00951AB1">
        <w:rPr>
          <w:rFonts w:eastAsia="Times New Roman" w:cs="Times New Roman"/>
          <w:szCs w:val="24"/>
        </w:rPr>
        <w:t>Para la vigencia 2025 se realizaron capacitaciones a los funcionarios y contratistas para aportar en el fortalecimiento de sus aptitudes y desarrollar sus destrezas para así contribuir al logro de los objetivos de la entidad, tal y como se evidencia en el siguiente cuadro:</w:t>
      </w:r>
    </w:p>
    <w:p w14:paraId="11FFA67F" w14:textId="3B0C111B" w:rsidR="00297E57" w:rsidRPr="00951AB1" w:rsidRDefault="00297E57" w:rsidP="000A5389">
      <w:pPr>
        <w:spacing w:line="240" w:lineRule="auto"/>
        <w:rPr>
          <w:rFonts w:eastAsia="Times New Roman" w:cs="Times New Roman"/>
          <w:szCs w:val="24"/>
        </w:rPr>
      </w:pPr>
    </w:p>
    <w:tbl>
      <w:tblPr>
        <w:tblStyle w:val="TableNormal10"/>
        <w:tblW w:w="5000" w:type="pct"/>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Layout w:type="fixed"/>
        <w:tblCellMar>
          <w:left w:w="70" w:type="dxa"/>
          <w:right w:w="70" w:type="dxa"/>
        </w:tblCellMar>
        <w:tblLook w:val="04A0" w:firstRow="1" w:lastRow="0" w:firstColumn="1" w:lastColumn="0" w:noHBand="0" w:noVBand="1"/>
      </w:tblPr>
      <w:tblGrid>
        <w:gridCol w:w="405"/>
        <w:gridCol w:w="1372"/>
        <w:gridCol w:w="2331"/>
        <w:gridCol w:w="1843"/>
        <w:gridCol w:w="819"/>
        <w:gridCol w:w="930"/>
        <w:gridCol w:w="1128"/>
      </w:tblGrid>
      <w:tr w:rsidR="00297E57" w:rsidRPr="0039091F" w14:paraId="4EFD9573" w14:textId="77777777" w:rsidTr="0039091F">
        <w:trPr>
          <w:trHeight w:val="283"/>
          <w:tblHeader/>
        </w:trPr>
        <w:tc>
          <w:tcPr>
            <w:tcW w:w="229" w:type="pct"/>
            <w:vMerge w:val="restart"/>
            <w:vAlign w:val="center"/>
            <w:hideMark/>
          </w:tcPr>
          <w:p w14:paraId="10492A11" w14:textId="77777777" w:rsidR="00297E57" w:rsidRPr="0039091F" w:rsidRDefault="00297E57" w:rsidP="000A5389">
            <w:pPr>
              <w:spacing w:line="240" w:lineRule="auto"/>
              <w:jc w:val="center"/>
              <w:rPr>
                <w:rFonts w:eastAsia="Times New Roman" w:cs="Times New Roman"/>
                <w:b/>
                <w:bCs/>
                <w:color w:val="000000"/>
                <w:sz w:val="18"/>
                <w:szCs w:val="18"/>
                <w:lang w:eastAsia="es-CO"/>
              </w:rPr>
            </w:pPr>
            <w:r w:rsidRPr="0039091F">
              <w:rPr>
                <w:rFonts w:eastAsia="Times New Roman" w:cs="Times New Roman"/>
                <w:b/>
                <w:bCs/>
                <w:color w:val="000000"/>
                <w:sz w:val="18"/>
                <w:szCs w:val="18"/>
                <w:lang w:eastAsia="es-CO"/>
              </w:rPr>
              <w:t>No.</w:t>
            </w:r>
          </w:p>
        </w:tc>
        <w:tc>
          <w:tcPr>
            <w:tcW w:w="777" w:type="pct"/>
            <w:vMerge w:val="restart"/>
            <w:vAlign w:val="center"/>
            <w:hideMark/>
          </w:tcPr>
          <w:p w14:paraId="61DF9AD3" w14:textId="77777777" w:rsidR="00297E57" w:rsidRPr="0039091F" w:rsidRDefault="00297E57" w:rsidP="000A5389">
            <w:pPr>
              <w:spacing w:line="240" w:lineRule="auto"/>
              <w:jc w:val="center"/>
              <w:rPr>
                <w:rFonts w:eastAsia="Times New Roman" w:cs="Times New Roman"/>
                <w:b/>
                <w:bCs/>
                <w:color w:val="000000"/>
                <w:sz w:val="18"/>
                <w:szCs w:val="18"/>
                <w:lang w:eastAsia="es-CO"/>
              </w:rPr>
            </w:pPr>
            <w:r w:rsidRPr="0039091F">
              <w:rPr>
                <w:rFonts w:eastAsia="Times New Roman" w:cs="Times New Roman"/>
                <w:b/>
                <w:bCs/>
                <w:color w:val="000000"/>
                <w:sz w:val="18"/>
                <w:szCs w:val="18"/>
                <w:lang w:eastAsia="es-CO"/>
              </w:rPr>
              <w:t>EJE TEMATICO</w:t>
            </w:r>
          </w:p>
        </w:tc>
        <w:tc>
          <w:tcPr>
            <w:tcW w:w="1320" w:type="pct"/>
            <w:vMerge w:val="restart"/>
            <w:vAlign w:val="center"/>
            <w:hideMark/>
          </w:tcPr>
          <w:p w14:paraId="5A4389E3" w14:textId="77777777" w:rsidR="00297E57" w:rsidRPr="0039091F" w:rsidRDefault="00297E57" w:rsidP="000A5389">
            <w:pPr>
              <w:spacing w:line="240" w:lineRule="auto"/>
              <w:jc w:val="center"/>
              <w:rPr>
                <w:rFonts w:eastAsia="Times New Roman" w:cs="Times New Roman"/>
                <w:b/>
                <w:bCs/>
                <w:color w:val="000000"/>
                <w:sz w:val="18"/>
                <w:szCs w:val="18"/>
                <w:lang w:eastAsia="es-CO"/>
              </w:rPr>
            </w:pPr>
            <w:r w:rsidRPr="0039091F">
              <w:rPr>
                <w:rFonts w:eastAsia="Times New Roman" w:cs="Times New Roman"/>
                <w:b/>
                <w:bCs/>
                <w:color w:val="000000"/>
                <w:sz w:val="18"/>
                <w:szCs w:val="18"/>
                <w:lang w:eastAsia="es-CO"/>
              </w:rPr>
              <w:t>NOMBRE</w:t>
            </w:r>
          </w:p>
        </w:tc>
        <w:tc>
          <w:tcPr>
            <w:tcW w:w="1044" w:type="pct"/>
            <w:vMerge w:val="restart"/>
            <w:vAlign w:val="center"/>
            <w:hideMark/>
          </w:tcPr>
          <w:p w14:paraId="6C0D9F41" w14:textId="77777777" w:rsidR="00297E57" w:rsidRPr="0039091F" w:rsidRDefault="00297E57" w:rsidP="000A5389">
            <w:pPr>
              <w:spacing w:line="240" w:lineRule="auto"/>
              <w:jc w:val="center"/>
              <w:rPr>
                <w:rFonts w:eastAsia="Times New Roman" w:cs="Times New Roman"/>
                <w:b/>
                <w:bCs/>
                <w:color w:val="000000"/>
                <w:sz w:val="18"/>
                <w:szCs w:val="18"/>
                <w:lang w:eastAsia="es-CO"/>
              </w:rPr>
            </w:pPr>
            <w:r w:rsidRPr="0039091F">
              <w:rPr>
                <w:rFonts w:eastAsia="Times New Roman" w:cs="Times New Roman"/>
                <w:b/>
                <w:bCs/>
                <w:color w:val="000000"/>
                <w:sz w:val="18"/>
                <w:szCs w:val="18"/>
                <w:lang w:eastAsia="es-CO"/>
              </w:rPr>
              <w:t>CAPACITADOR</w:t>
            </w:r>
          </w:p>
        </w:tc>
        <w:tc>
          <w:tcPr>
            <w:tcW w:w="464" w:type="pct"/>
            <w:vMerge w:val="restart"/>
            <w:vAlign w:val="center"/>
            <w:hideMark/>
          </w:tcPr>
          <w:p w14:paraId="61A37FFD" w14:textId="5B1F05D6" w:rsidR="00297E57" w:rsidRPr="0039091F" w:rsidRDefault="00297E57" w:rsidP="000A5389">
            <w:pPr>
              <w:spacing w:line="240" w:lineRule="auto"/>
              <w:jc w:val="center"/>
              <w:rPr>
                <w:rFonts w:eastAsia="Times New Roman" w:cs="Times New Roman"/>
                <w:b/>
                <w:bCs/>
                <w:color w:val="000000"/>
                <w:sz w:val="18"/>
                <w:szCs w:val="18"/>
                <w:lang w:eastAsia="es-CO"/>
              </w:rPr>
            </w:pPr>
            <w:r w:rsidRPr="0039091F">
              <w:rPr>
                <w:rFonts w:eastAsia="Times New Roman" w:cs="Times New Roman"/>
                <w:b/>
                <w:bCs/>
                <w:color w:val="000000"/>
                <w:sz w:val="18"/>
                <w:szCs w:val="18"/>
                <w:lang w:eastAsia="es-CO"/>
              </w:rPr>
              <w:t>PARTICIPANTES</w:t>
            </w:r>
          </w:p>
        </w:tc>
        <w:tc>
          <w:tcPr>
            <w:tcW w:w="527" w:type="pct"/>
            <w:vMerge w:val="restart"/>
            <w:vAlign w:val="center"/>
            <w:hideMark/>
          </w:tcPr>
          <w:p w14:paraId="58720505" w14:textId="77777777" w:rsidR="00297E57" w:rsidRPr="0039091F" w:rsidRDefault="00297E57" w:rsidP="000A5389">
            <w:pPr>
              <w:spacing w:line="240" w:lineRule="auto"/>
              <w:jc w:val="center"/>
              <w:rPr>
                <w:rFonts w:eastAsia="Times New Roman" w:cs="Times New Roman"/>
                <w:b/>
                <w:bCs/>
                <w:color w:val="000000"/>
                <w:sz w:val="18"/>
                <w:szCs w:val="18"/>
                <w:lang w:eastAsia="es-CO"/>
              </w:rPr>
            </w:pPr>
            <w:r w:rsidRPr="0039091F">
              <w:rPr>
                <w:rFonts w:eastAsia="Times New Roman" w:cs="Times New Roman"/>
                <w:b/>
                <w:bCs/>
                <w:color w:val="000000"/>
                <w:sz w:val="18"/>
                <w:szCs w:val="18"/>
                <w:lang w:eastAsia="es-CO"/>
              </w:rPr>
              <w:t>FECHA</w:t>
            </w:r>
          </w:p>
        </w:tc>
        <w:tc>
          <w:tcPr>
            <w:tcW w:w="640" w:type="pct"/>
            <w:vAlign w:val="center"/>
            <w:hideMark/>
          </w:tcPr>
          <w:p w14:paraId="2937712D" w14:textId="77777777" w:rsidR="00297E57" w:rsidRPr="0039091F" w:rsidRDefault="00297E57" w:rsidP="000A5389">
            <w:pPr>
              <w:spacing w:line="240" w:lineRule="auto"/>
              <w:jc w:val="center"/>
              <w:rPr>
                <w:rFonts w:eastAsia="Times New Roman" w:cs="Times New Roman"/>
                <w:b/>
                <w:bCs/>
                <w:color w:val="000000"/>
                <w:sz w:val="18"/>
                <w:szCs w:val="18"/>
                <w:lang w:eastAsia="es-CO"/>
              </w:rPr>
            </w:pPr>
            <w:r w:rsidRPr="0039091F">
              <w:rPr>
                <w:rFonts w:eastAsia="Times New Roman" w:cs="Times New Roman"/>
                <w:b/>
                <w:bCs/>
                <w:color w:val="000000"/>
                <w:sz w:val="18"/>
                <w:szCs w:val="18"/>
                <w:lang w:eastAsia="es-CO"/>
              </w:rPr>
              <w:t>DURACIÓN</w:t>
            </w:r>
          </w:p>
        </w:tc>
      </w:tr>
      <w:tr w:rsidR="00297E57" w:rsidRPr="0039091F" w14:paraId="171852DE" w14:textId="77777777" w:rsidTr="0039091F">
        <w:trPr>
          <w:trHeight w:val="283"/>
          <w:tblHeader/>
        </w:trPr>
        <w:tc>
          <w:tcPr>
            <w:tcW w:w="229" w:type="pct"/>
            <w:vMerge/>
            <w:vAlign w:val="center"/>
            <w:hideMark/>
          </w:tcPr>
          <w:p w14:paraId="715B4F44" w14:textId="77777777" w:rsidR="00297E57" w:rsidRPr="0039091F" w:rsidRDefault="00297E57" w:rsidP="000A5389">
            <w:pPr>
              <w:spacing w:line="240" w:lineRule="auto"/>
              <w:rPr>
                <w:rFonts w:eastAsia="Times New Roman" w:cs="Times New Roman"/>
                <w:b/>
                <w:bCs/>
                <w:color w:val="000000"/>
                <w:sz w:val="18"/>
                <w:szCs w:val="18"/>
                <w:lang w:eastAsia="es-CO"/>
              </w:rPr>
            </w:pPr>
          </w:p>
        </w:tc>
        <w:tc>
          <w:tcPr>
            <w:tcW w:w="777" w:type="pct"/>
            <w:vMerge/>
            <w:vAlign w:val="center"/>
            <w:hideMark/>
          </w:tcPr>
          <w:p w14:paraId="56FCD285" w14:textId="77777777" w:rsidR="00297E57" w:rsidRPr="0039091F" w:rsidRDefault="00297E57" w:rsidP="000A5389">
            <w:pPr>
              <w:spacing w:line="240" w:lineRule="auto"/>
              <w:rPr>
                <w:rFonts w:eastAsia="Times New Roman" w:cs="Times New Roman"/>
                <w:b/>
                <w:bCs/>
                <w:color w:val="000000"/>
                <w:sz w:val="18"/>
                <w:szCs w:val="18"/>
                <w:lang w:eastAsia="es-CO"/>
              </w:rPr>
            </w:pPr>
          </w:p>
        </w:tc>
        <w:tc>
          <w:tcPr>
            <w:tcW w:w="1320" w:type="pct"/>
            <w:vMerge/>
            <w:vAlign w:val="center"/>
            <w:hideMark/>
          </w:tcPr>
          <w:p w14:paraId="3C252B08" w14:textId="77777777" w:rsidR="00297E57" w:rsidRPr="0039091F" w:rsidRDefault="00297E57" w:rsidP="000A5389">
            <w:pPr>
              <w:spacing w:line="240" w:lineRule="auto"/>
              <w:rPr>
                <w:rFonts w:eastAsia="Times New Roman" w:cs="Times New Roman"/>
                <w:b/>
                <w:bCs/>
                <w:color w:val="000000"/>
                <w:sz w:val="18"/>
                <w:szCs w:val="18"/>
                <w:lang w:eastAsia="es-CO"/>
              </w:rPr>
            </w:pPr>
          </w:p>
        </w:tc>
        <w:tc>
          <w:tcPr>
            <w:tcW w:w="1044" w:type="pct"/>
            <w:vMerge/>
            <w:vAlign w:val="center"/>
            <w:hideMark/>
          </w:tcPr>
          <w:p w14:paraId="78F0AF44" w14:textId="77777777" w:rsidR="00297E57" w:rsidRPr="0039091F" w:rsidRDefault="00297E57" w:rsidP="000A5389">
            <w:pPr>
              <w:spacing w:line="240" w:lineRule="auto"/>
              <w:rPr>
                <w:rFonts w:eastAsia="Times New Roman" w:cs="Times New Roman"/>
                <w:b/>
                <w:bCs/>
                <w:color w:val="000000"/>
                <w:sz w:val="18"/>
                <w:szCs w:val="18"/>
                <w:lang w:eastAsia="es-CO"/>
              </w:rPr>
            </w:pPr>
          </w:p>
        </w:tc>
        <w:tc>
          <w:tcPr>
            <w:tcW w:w="464" w:type="pct"/>
            <w:vMerge/>
            <w:vAlign w:val="center"/>
            <w:hideMark/>
          </w:tcPr>
          <w:p w14:paraId="4480A9FB" w14:textId="77777777" w:rsidR="00297E57" w:rsidRPr="0039091F" w:rsidRDefault="00297E57" w:rsidP="000A5389">
            <w:pPr>
              <w:spacing w:line="240" w:lineRule="auto"/>
              <w:rPr>
                <w:rFonts w:eastAsia="Times New Roman" w:cs="Times New Roman"/>
                <w:b/>
                <w:bCs/>
                <w:color w:val="000000"/>
                <w:sz w:val="18"/>
                <w:szCs w:val="18"/>
                <w:lang w:eastAsia="es-CO"/>
              </w:rPr>
            </w:pPr>
          </w:p>
        </w:tc>
        <w:tc>
          <w:tcPr>
            <w:tcW w:w="527" w:type="pct"/>
            <w:vMerge/>
            <w:vAlign w:val="center"/>
            <w:hideMark/>
          </w:tcPr>
          <w:p w14:paraId="1705D9C7" w14:textId="77777777" w:rsidR="00297E57" w:rsidRPr="0039091F" w:rsidRDefault="00297E57" w:rsidP="000A5389">
            <w:pPr>
              <w:spacing w:line="240" w:lineRule="auto"/>
              <w:rPr>
                <w:rFonts w:eastAsia="Times New Roman" w:cs="Times New Roman"/>
                <w:b/>
                <w:bCs/>
                <w:color w:val="000000"/>
                <w:sz w:val="18"/>
                <w:szCs w:val="18"/>
                <w:lang w:eastAsia="es-CO"/>
              </w:rPr>
            </w:pPr>
          </w:p>
        </w:tc>
        <w:tc>
          <w:tcPr>
            <w:tcW w:w="640" w:type="pct"/>
            <w:shd w:val="clear" w:color="auto" w:fill="D0D0D0"/>
            <w:vAlign w:val="center"/>
            <w:hideMark/>
          </w:tcPr>
          <w:p w14:paraId="568067BB" w14:textId="77777777" w:rsidR="00297E57" w:rsidRPr="0039091F" w:rsidRDefault="00297E57" w:rsidP="000A5389">
            <w:pPr>
              <w:spacing w:line="240" w:lineRule="auto"/>
              <w:jc w:val="center"/>
              <w:rPr>
                <w:rFonts w:eastAsia="Times New Roman" w:cs="Times New Roman"/>
                <w:b/>
                <w:bCs/>
                <w:color w:val="000000"/>
                <w:sz w:val="18"/>
                <w:szCs w:val="18"/>
                <w:lang w:eastAsia="es-CO"/>
              </w:rPr>
            </w:pPr>
            <w:r w:rsidRPr="0039091F">
              <w:rPr>
                <w:rFonts w:eastAsia="Times New Roman" w:cs="Times New Roman"/>
                <w:b/>
                <w:bCs/>
                <w:color w:val="000000"/>
                <w:sz w:val="18"/>
                <w:szCs w:val="18"/>
                <w:lang w:eastAsia="es-CO"/>
              </w:rPr>
              <w:t>(HORAS)</w:t>
            </w:r>
          </w:p>
        </w:tc>
      </w:tr>
      <w:tr w:rsidR="00297E57" w:rsidRPr="0039091F" w14:paraId="336FCD1D" w14:textId="77777777" w:rsidTr="0039091F">
        <w:trPr>
          <w:trHeight w:val="283"/>
        </w:trPr>
        <w:tc>
          <w:tcPr>
            <w:tcW w:w="229" w:type="pct"/>
            <w:vAlign w:val="center"/>
          </w:tcPr>
          <w:p w14:paraId="1B2FD1A3" w14:textId="77777777" w:rsidR="00297E57" w:rsidRPr="0039091F" w:rsidRDefault="00297E57" w:rsidP="000A5389">
            <w:pPr>
              <w:spacing w:line="240" w:lineRule="auto"/>
              <w:jc w:val="center"/>
              <w:rPr>
                <w:rFonts w:eastAsia="Times New Roman" w:cs="Times New Roman"/>
                <w:color w:val="000000"/>
                <w:sz w:val="18"/>
                <w:szCs w:val="18"/>
                <w:lang w:eastAsia="es-CO"/>
              </w:rPr>
            </w:pPr>
            <w:r w:rsidRPr="0039091F">
              <w:rPr>
                <w:rFonts w:eastAsia="Times New Roman" w:cs="Times New Roman"/>
                <w:color w:val="000000"/>
                <w:sz w:val="18"/>
                <w:szCs w:val="18"/>
                <w:lang w:eastAsia="es-CO"/>
              </w:rPr>
              <w:t>1</w:t>
            </w:r>
          </w:p>
        </w:tc>
        <w:tc>
          <w:tcPr>
            <w:tcW w:w="777" w:type="pct"/>
            <w:vAlign w:val="center"/>
            <w:hideMark/>
          </w:tcPr>
          <w:p w14:paraId="148A1C88" w14:textId="77777777" w:rsidR="00297E57" w:rsidRPr="0039091F" w:rsidRDefault="00297E57" w:rsidP="000A5389">
            <w:pPr>
              <w:spacing w:line="240" w:lineRule="auto"/>
              <w:rPr>
                <w:rFonts w:eastAsia="Times New Roman" w:cs="Times New Roman"/>
                <w:color w:val="000000"/>
                <w:sz w:val="18"/>
                <w:szCs w:val="18"/>
                <w:lang w:eastAsia="es-CO"/>
              </w:rPr>
            </w:pPr>
            <w:r w:rsidRPr="0039091F">
              <w:rPr>
                <w:rFonts w:eastAsia="Times New Roman" w:cs="Times New Roman"/>
                <w:color w:val="000000"/>
                <w:sz w:val="18"/>
                <w:szCs w:val="18"/>
                <w:lang w:eastAsia="es-CO"/>
              </w:rPr>
              <w:t>Habilidades y Conocimientos</w:t>
            </w:r>
          </w:p>
        </w:tc>
        <w:tc>
          <w:tcPr>
            <w:tcW w:w="1320" w:type="pct"/>
            <w:vAlign w:val="center"/>
            <w:hideMark/>
          </w:tcPr>
          <w:p w14:paraId="1175375F" w14:textId="77777777" w:rsidR="00297E57" w:rsidRPr="0039091F" w:rsidRDefault="00297E57" w:rsidP="000A5389">
            <w:pPr>
              <w:spacing w:line="240" w:lineRule="auto"/>
              <w:rPr>
                <w:rFonts w:eastAsia="Times New Roman" w:cs="Times New Roman"/>
                <w:color w:val="000000"/>
                <w:sz w:val="18"/>
                <w:szCs w:val="18"/>
                <w:lang w:eastAsia="es-CO"/>
              </w:rPr>
            </w:pPr>
            <w:r w:rsidRPr="0039091F">
              <w:rPr>
                <w:rFonts w:eastAsia="Times New Roman" w:cs="Times New Roman"/>
                <w:color w:val="000000"/>
                <w:sz w:val="18"/>
                <w:szCs w:val="18"/>
                <w:lang w:eastAsia="es-CO"/>
              </w:rPr>
              <w:t>Capacitación en Derecho de asociación sindical del servidor publico</w:t>
            </w:r>
          </w:p>
        </w:tc>
        <w:tc>
          <w:tcPr>
            <w:tcW w:w="1044" w:type="pct"/>
            <w:vAlign w:val="center"/>
            <w:hideMark/>
          </w:tcPr>
          <w:p w14:paraId="58D9E032" w14:textId="77777777" w:rsidR="00297E57" w:rsidRPr="0039091F" w:rsidRDefault="00297E57" w:rsidP="000A5389">
            <w:pPr>
              <w:spacing w:line="240" w:lineRule="auto"/>
              <w:jc w:val="center"/>
              <w:rPr>
                <w:rFonts w:eastAsia="Times New Roman" w:cs="Times New Roman"/>
                <w:color w:val="000000"/>
                <w:sz w:val="18"/>
                <w:szCs w:val="18"/>
                <w:lang w:eastAsia="es-CO"/>
              </w:rPr>
            </w:pPr>
            <w:r w:rsidRPr="0039091F">
              <w:rPr>
                <w:rFonts w:eastAsia="Times New Roman" w:cs="Times New Roman"/>
                <w:color w:val="000000"/>
                <w:sz w:val="18"/>
                <w:szCs w:val="18"/>
                <w:lang w:eastAsia="es-CO"/>
              </w:rPr>
              <w:t>Ministerio del Trabajo</w:t>
            </w:r>
          </w:p>
        </w:tc>
        <w:tc>
          <w:tcPr>
            <w:tcW w:w="464" w:type="pct"/>
            <w:vAlign w:val="center"/>
            <w:hideMark/>
          </w:tcPr>
          <w:p w14:paraId="397AD035" w14:textId="77777777" w:rsidR="00297E57" w:rsidRPr="0039091F" w:rsidRDefault="00297E57" w:rsidP="000A5389">
            <w:pPr>
              <w:spacing w:line="240" w:lineRule="auto"/>
              <w:jc w:val="center"/>
              <w:rPr>
                <w:rFonts w:eastAsia="Times New Roman" w:cs="Times New Roman"/>
                <w:color w:val="000000"/>
                <w:sz w:val="18"/>
                <w:szCs w:val="18"/>
                <w:lang w:eastAsia="es-CO"/>
              </w:rPr>
            </w:pPr>
            <w:r w:rsidRPr="0039091F">
              <w:rPr>
                <w:rFonts w:eastAsia="Times New Roman" w:cs="Times New Roman"/>
                <w:color w:val="000000"/>
                <w:sz w:val="18"/>
                <w:szCs w:val="18"/>
                <w:lang w:eastAsia="es-CO"/>
              </w:rPr>
              <w:t>20</w:t>
            </w:r>
          </w:p>
        </w:tc>
        <w:tc>
          <w:tcPr>
            <w:tcW w:w="527" w:type="pct"/>
            <w:vAlign w:val="center"/>
            <w:hideMark/>
          </w:tcPr>
          <w:p w14:paraId="37924644" w14:textId="77777777" w:rsidR="00297E57" w:rsidRPr="0039091F" w:rsidRDefault="00297E57" w:rsidP="000A5389">
            <w:pPr>
              <w:spacing w:line="240" w:lineRule="auto"/>
              <w:jc w:val="center"/>
              <w:rPr>
                <w:rFonts w:eastAsia="Times New Roman" w:cs="Times New Roman"/>
                <w:color w:val="000000"/>
                <w:sz w:val="18"/>
                <w:szCs w:val="18"/>
                <w:lang w:eastAsia="es-CO"/>
              </w:rPr>
            </w:pPr>
            <w:r w:rsidRPr="0039091F">
              <w:rPr>
                <w:rFonts w:eastAsia="Times New Roman" w:cs="Times New Roman"/>
                <w:color w:val="000000"/>
                <w:sz w:val="18"/>
                <w:szCs w:val="18"/>
                <w:lang w:eastAsia="es-CO"/>
              </w:rPr>
              <w:t>20 de febrero</w:t>
            </w:r>
          </w:p>
        </w:tc>
        <w:tc>
          <w:tcPr>
            <w:tcW w:w="640" w:type="pct"/>
            <w:vAlign w:val="center"/>
            <w:hideMark/>
          </w:tcPr>
          <w:p w14:paraId="019E5D59" w14:textId="77777777" w:rsidR="00297E57" w:rsidRPr="0039091F" w:rsidRDefault="00297E57" w:rsidP="000A5389">
            <w:pPr>
              <w:spacing w:line="240" w:lineRule="auto"/>
              <w:jc w:val="center"/>
              <w:rPr>
                <w:rFonts w:eastAsia="Times New Roman" w:cs="Times New Roman"/>
                <w:color w:val="000000"/>
                <w:sz w:val="18"/>
                <w:szCs w:val="18"/>
                <w:lang w:eastAsia="es-CO"/>
              </w:rPr>
            </w:pPr>
            <w:r w:rsidRPr="0039091F">
              <w:rPr>
                <w:rFonts w:eastAsia="Times New Roman" w:cs="Times New Roman"/>
                <w:color w:val="000000"/>
                <w:sz w:val="18"/>
                <w:szCs w:val="18"/>
                <w:lang w:eastAsia="es-CO"/>
              </w:rPr>
              <w:t>1,3</w:t>
            </w:r>
          </w:p>
        </w:tc>
      </w:tr>
      <w:tr w:rsidR="00297E57" w:rsidRPr="0039091F" w14:paraId="0E50F4EC" w14:textId="77777777" w:rsidTr="0039091F">
        <w:trPr>
          <w:trHeight w:val="283"/>
        </w:trPr>
        <w:tc>
          <w:tcPr>
            <w:tcW w:w="229" w:type="pct"/>
            <w:vAlign w:val="center"/>
            <w:hideMark/>
          </w:tcPr>
          <w:p w14:paraId="631CAAB3" w14:textId="77777777" w:rsidR="00297E57" w:rsidRPr="0039091F" w:rsidRDefault="00297E57" w:rsidP="000A5389">
            <w:pPr>
              <w:spacing w:line="240" w:lineRule="auto"/>
              <w:jc w:val="center"/>
              <w:rPr>
                <w:rFonts w:eastAsia="Times New Roman" w:cs="Times New Roman"/>
                <w:color w:val="000000"/>
                <w:sz w:val="18"/>
                <w:szCs w:val="18"/>
                <w:lang w:eastAsia="es-CO"/>
              </w:rPr>
            </w:pPr>
            <w:r w:rsidRPr="0039091F">
              <w:rPr>
                <w:rFonts w:eastAsia="Times New Roman" w:cs="Times New Roman"/>
                <w:color w:val="000000"/>
                <w:sz w:val="18"/>
                <w:szCs w:val="18"/>
                <w:lang w:eastAsia="es-CO"/>
              </w:rPr>
              <w:t>2</w:t>
            </w:r>
          </w:p>
        </w:tc>
        <w:tc>
          <w:tcPr>
            <w:tcW w:w="777" w:type="pct"/>
            <w:shd w:val="clear" w:color="auto" w:fill="FFFFFF" w:themeFill="background1"/>
            <w:vAlign w:val="center"/>
            <w:hideMark/>
          </w:tcPr>
          <w:p w14:paraId="5DCD8036" w14:textId="77777777" w:rsidR="00297E57" w:rsidRPr="0039091F" w:rsidRDefault="00297E57" w:rsidP="000A5389">
            <w:pPr>
              <w:spacing w:line="240" w:lineRule="auto"/>
              <w:rPr>
                <w:rFonts w:eastAsia="Times New Roman" w:cs="Times New Roman"/>
                <w:color w:val="000000"/>
                <w:sz w:val="18"/>
                <w:szCs w:val="18"/>
                <w:lang w:eastAsia="es-CO"/>
              </w:rPr>
            </w:pPr>
            <w:r w:rsidRPr="0039091F">
              <w:rPr>
                <w:rFonts w:eastAsia="Times New Roman" w:cs="Times New Roman"/>
                <w:color w:val="000000"/>
                <w:sz w:val="18"/>
                <w:szCs w:val="18"/>
                <w:lang w:eastAsia="es-CO"/>
              </w:rPr>
              <w:t>Seguridad y Salud en el Trabajo</w:t>
            </w:r>
          </w:p>
        </w:tc>
        <w:tc>
          <w:tcPr>
            <w:tcW w:w="1320" w:type="pct"/>
            <w:vAlign w:val="center"/>
            <w:hideMark/>
          </w:tcPr>
          <w:p w14:paraId="2FBC7E6C" w14:textId="77777777" w:rsidR="00297E57" w:rsidRPr="0039091F" w:rsidRDefault="00297E57" w:rsidP="000A5389">
            <w:pPr>
              <w:spacing w:line="240" w:lineRule="auto"/>
              <w:rPr>
                <w:rFonts w:eastAsia="Times New Roman" w:cs="Times New Roman"/>
                <w:color w:val="000000"/>
                <w:sz w:val="18"/>
                <w:szCs w:val="18"/>
                <w:lang w:eastAsia="es-CO"/>
              </w:rPr>
            </w:pPr>
            <w:r w:rsidRPr="0039091F">
              <w:rPr>
                <w:rFonts w:eastAsia="Times New Roman" w:cs="Times New Roman"/>
                <w:color w:val="000000"/>
                <w:sz w:val="18"/>
                <w:szCs w:val="18"/>
                <w:lang w:eastAsia="es-CO"/>
              </w:rPr>
              <w:t>Capacitación sobre el Uso de elementos de protección personal</w:t>
            </w:r>
          </w:p>
        </w:tc>
        <w:tc>
          <w:tcPr>
            <w:tcW w:w="1044" w:type="pct"/>
            <w:vAlign w:val="center"/>
            <w:hideMark/>
          </w:tcPr>
          <w:p w14:paraId="6D4AB0CD" w14:textId="77777777" w:rsidR="00297E57" w:rsidRPr="0039091F" w:rsidRDefault="00297E57" w:rsidP="000A5389">
            <w:pPr>
              <w:spacing w:line="240" w:lineRule="auto"/>
              <w:jc w:val="center"/>
              <w:rPr>
                <w:rFonts w:eastAsia="Times New Roman" w:cs="Times New Roman"/>
                <w:color w:val="000000"/>
                <w:sz w:val="18"/>
                <w:szCs w:val="18"/>
                <w:lang w:eastAsia="es-CO"/>
              </w:rPr>
            </w:pPr>
            <w:r w:rsidRPr="0039091F">
              <w:rPr>
                <w:rFonts w:eastAsia="Times New Roman" w:cs="Times New Roman"/>
                <w:color w:val="000000"/>
                <w:sz w:val="18"/>
                <w:szCs w:val="18"/>
                <w:lang w:eastAsia="es-CO"/>
              </w:rPr>
              <w:t>ANI</w:t>
            </w:r>
          </w:p>
        </w:tc>
        <w:tc>
          <w:tcPr>
            <w:tcW w:w="464" w:type="pct"/>
            <w:vAlign w:val="center"/>
            <w:hideMark/>
          </w:tcPr>
          <w:p w14:paraId="656D91D2" w14:textId="77777777" w:rsidR="00297E57" w:rsidRPr="0039091F" w:rsidRDefault="00297E57" w:rsidP="000A5389">
            <w:pPr>
              <w:spacing w:line="240" w:lineRule="auto"/>
              <w:jc w:val="center"/>
              <w:rPr>
                <w:rFonts w:eastAsia="Times New Roman" w:cs="Times New Roman"/>
                <w:color w:val="000000"/>
                <w:sz w:val="18"/>
                <w:szCs w:val="18"/>
                <w:lang w:eastAsia="es-CO"/>
              </w:rPr>
            </w:pPr>
            <w:r w:rsidRPr="0039091F">
              <w:rPr>
                <w:rFonts w:eastAsia="Times New Roman" w:cs="Times New Roman"/>
                <w:color w:val="000000"/>
                <w:sz w:val="18"/>
                <w:szCs w:val="18"/>
                <w:lang w:eastAsia="es-CO"/>
              </w:rPr>
              <w:t>2</w:t>
            </w:r>
          </w:p>
        </w:tc>
        <w:tc>
          <w:tcPr>
            <w:tcW w:w="527" w:type="pct"/>
            <w:vAlign w:val="center"/>
            <w:hideMark/>
          </w:tcPr>
          <w:p w14:paraId="37800E1D" w14:textId="77777777" w:rsidR="00297E57" w:rsidRPr="0039091F" w:rsidRDefault="00297E57" w:rsidP="000A5389">
            <w:pPr>
              <w:spacing w:line="240" w:lineRule="auto"/>
              <w:jc w:val="center"/>
              <w:rPr>
                <w:rFonts w:eastAsia="Times New Roman" w:cs="Times New Roman"/>
                <w:color w:val="000000"/>
                <w:sz w:val="18"/>
                <w:szCs w:val="18"/>
                <w:lang w:eastAsia="es-CO"/>
              </w:rPr>
            </w:pPr>
            <w:r w:rsidRPr="0039091F">
              <w:rPr>
                <w:rFonts w:eastAsia="Times New Roman" w:cs="Times New Roman"/>
                <w:color w:val="000000"/>
                <w:sz w:val="18"/>
                <w:szCs w:val="18"/>
                <w:lang w:eastAsia="es-CO"/>
              </w:rPr>
              <w:t>28 de enero</w:t>
            </w:r>
          </w:p>
        </w:tc>
        <w:tc>
          <w:tcPr>
            <w:tcW w:w="640" w:type="pct"/>
            <w:vAlign w:val="center"/>
            <w:hideMark/>
          </w:tcPr>
          <w:p w14:paraId="46AA4CCB" w14:textId="77777777" w:rsidR="00297E57" w:rsidRPr="0039091F" w:rsidRDefault="00297E57" w:rsidP="000A5389">
            <w:pPr>
              <w:spacing w:line="240" w:lineRule="auto"/>
              <w:jc w:val="center"/>
              <w:rPr>
                <w:rFonts w:eastAsia="Times New Roman" w:cs="Times New Roman"/>
                <w:color w:val="000000"/>
                <w:sz w:val="18"/>
                <w:szCs w:val="18"/>
                <w:lang w:eastAsia="es-CO"/>
              </w:rPr>
            </w:pPr>
            <w:r w:rsidRPr="0039091F">
              <w:rPr>
                <w:rFonts w:eastAsia="Times New Roman" w:cs="Times New Roman"/>
                <w:color w:val="000000"/>
                <w:sz w:val="18"/>
                <w:szCs w:val="18"/>
                <w:lang w:eastAsia="es-CO"/>
              </w:rPr>
              <w:t>1</w:t>
            </w:r>
          </w:p>
        </w:tc>
      </w:tr>
      <w:tr w:rsidR="00297E57" w:rsidRPr="0039091F" w14:paraId="5204CB99" w14:textId="77777777" w:rsidTr="0039091F">
        <w:trPr>
          <w:trHeight w:val="283"/>
        </w:trPr>
        <w:tc>
          <w:tcPr>
            <w:tcW w:w="229" w:type="pct"/>
            <w:vAlign w:val="center"/>
            <w:hideMark/>
          </w:tcPr>
          <w:p w14:paraId="52D0A7CC" w14:textId="77777777" w:rsidR="00297E57" w:rsidRPr="0039091F" w:rsidRDefault="00297E57" w:rsidP="000A5389">
            <w:pPr>
              <w:spacing w:line="240" w:lineRule="auto"/>
              <w:jc w:val="center"/>
              <w:rPr>
                <w:rFonts w:eastAsia="Times New Roman" w:cs="Times New Roman"/>
                <w:color w:val="000000"/>
                <w:sz w:val="18"/>
                <w:szCs w:val="18"/>
                <w:lang w:eastAsia="es-CO"/>
              </w:rPr>
            </w:pPr>
            <w:r w:rsidRPr="0039091F">
              <w:rPr>
                <w:rFonts w:eastAsia="Times New Roman" w:cs="Times New Roman"/>
                <w:color w:val="000000"/>
                <w:sz w:val="18"/>
                <w:szCs w:val="18"/>
                <w:lang w:eastAsia="es-CO"/>
              </w:rPr>
              <w:t>3</w:t>
            </w:r>
          </w:p>
        </w:tc>
        <w:tc>
          <w:tcPr>
            <w:tcW w:w="777" w:type="pct"/>
            <w:vAlign w:val="center"/>
            <w:hideMark/>
          </w:tcPr>
          <w:p w14:paraId="29C22171" w14:textId="77777777" w:rsidR="00297E57" w:rsidRPr="0039091F" w:rsidRDefault="00297E57" w:rsidP="000A5389">
            <w:pPr>
              <w:spacing w:line="240" w:lineRule="auto"/>
              <w:rPr>
                <w:rFonts w:eastAsia="Times New Roman" w:cs="Times New Roman"/>
                <w:color w:val="000000"/>
                <w:sz w:val="18"/>
                <w:szCs w:val="18"/>
                <w:lang w:eastAsia="es-CO"/>
              </w:rPr>
            </w:pPr>
            <w:r w:rsidRPr="0039091F">
              <w:rPr>
                <w:rFonts w:eastAsia="Times New Roman" w:cs="Times New Roman"/>
                <w:color w:val="000000"/>
                <w:sz w:val="18"/>
                <w:szCs w:val="18"/>
                <w:lang w:eastAsia="es-CO"/>
              </w:rPr>
              <w:t>Eje 2 (Territorio, Vida y Ambiente)</w:t>
            </w:r>
          </w:p>
        </w:tc>
        <w:tc>
          <w:tcPr>
            <w:tcW w:w="1320" w:type="pct"/>
            <w:vAlign w:val="center"/>
            <w:hideMark/>
          </w:tcPr>
          <w:p w14:paraId="1789A7D9" w14:textId="77777777" w:rsidR="00297E57" w:rsidRPr="0039091F" w:rsidRDefault="00297E57" w:rsidP="000A5389">
            <w:pPr>
              <w:spacing w:line="240" w:lineRule="auto"/>
              <w:rPr>
                <w:rFonts w:eastAsia="Times New Roman" w:cs="Times New Roman"/>
                <w:color w:val="000000"/>
                <w:sz w:val="18"/>
                <w:szCs w:val="18"/>
                <w:lang w:eastAsia="es-CO"/>
              </w:rPr>
            </w:pPr>
            <w:r w:rsidRPr="0039091F">
              <w:rPr>
                <w:rFonts w:eastAsia="Times New Roman" w:cs="Times New Roman"/>
                <w:color w:val="000000"/>
                <w:sz w:val="18"/>
                <w:szCs w:val="18"/>
                <w:lang w:eastAsia="es-CO"/>
              </w:rPr>
              <w:t>Capacitación en Separación y manejo de residuos solidos</w:t>
            </w:r>
          </w:p>
        </w:tc>
        <w:tc>
          <w:tcPr>
            <w:tcW w:w="1044" w:type="pct"/>
            <w:vAlign w:val="center"/>
            <w:hideMark/>
          </w:tcPr>
          <w:p w14:paraId="16F8E15D" w14:textId="77777777" w:rsidR="00297E57" w:rsidRPr="0039091F" w:rsidRDefault="00297E57" w:rsidP="000A5389">
            <w:pPr>
              <w:spacing w:line="240" w:lineRule="auto"/>
              <w:jc w:val="center"/>
              <w:rPr>
                <w:rFonts w:eastAsia="Times New Roman" w:cs="Times New Roman"/>
                <w:color w:val="000000"/>
                <w:sz w:val="18"/>
                <w:szCs w:val="18"/>
                <w:lang w:eastAsia="es-CO"/>
              </w:rPr>
            </w:pPr>
            <w:r w:rsidRPr="0039091F">
              <w:rPr>
                <w:rFonts w:eastAsia="Times New Roman" w:cs="Times New Roman"/>
                <w:color w:val="000000"/>
                <w:sz w:val="18"/>
                <w:szCs w:val="18"/>
                <w:lang w:eastAsia="es-CO"/>
              </w:rPr>
              <w:t>Secretaría Distrital de Ambiente (SDA)</w:t>
            </w:r>
          </w:p>
        </w:tc>
        <w:tc>
          <w:tcPr>
            <w:tcW w:w="464" w:type="pct"/>
            <w:vAlign w:val="center"/>
            <w:hideMark/>
          </w:tcPr>
          <w:p w14:paraId="64EA62BB" w14:textId="77777777" w:rsidR="00297E57" w:rsidRPr="0039091F" w:rsidRDefault="00297E57" w:rsidP="000A5389">
            <w:pPr>
              <w:spacing w:line="240" w:lineRule="auto"/>
              <w:jc w:val="center"/>
              <w:rPr>
                <w:rFonts w:eastAsia="Times New Roman" w:cs="Times New Roman"/>
                <w:color w:val="000000"/>
                <w:sz w:val="18"/>
                <w:szCs w:val="18"/>
                <w:lang w:eastAsia="es-CO"/>
              </w:rPr>
            </w:pPr>
            <w:r w:rsidRPr="0039091F">
              <w:rPr>
                <w:rFonts w:eastAsia="Times New Roman" w:cs="Times New Roman"/>
                <w:color w:val="000000"/>
                <w:sz w:val="18"/>
                <w:szCs w:val="18"/>
                <w:lang w:eastAsia="es-CO"/>
              </w:rPr>
              <w:t>10</w:t>
            </w:r>
          </w:p>
        </w:tc>
        <w:tc>
          <w:tcPr>
            <w:tcW w:w="527" w:type="pct"/>
            <w:vAlign w:val="center"/>
            <w:hideMark/>
          </w:tcPr>
          <w:p w14:paraId="0EDA97BF" w14:textId="77777777" w:rsidR="00297E57" w:rsidRPr="0039091F" w:rsidRDefault="00297E57" w:rsidP="000A5389">
            <w:pPr>
              <w:spacing w:line="240" w:lineRule="auto"/>
              <w:jc w:val="center"/>
              <w:rPr>
                <w:rFonts w:eastAsia="Times New Roman" w:cs="Times New Roman"/>
                <w:color w:val="000000"/>
                <w:sz w:val="18"/>
                <w:szCs w:val="18"/>
                <w:lang w:eastAsia="es-CO"/>
              </w:rPr>
            </w:pPr>
            <w:r w:rsidRPr="0039091F">
              <w:rPr>
                <w:rFonts w:eastAsia="Times New Roman" w:cs="Times New Roman"/>
                <w:color w:val="000000"/>
                <w:sz w:val="18"/>
                <w:szCs w:val="18"/>
                <w:lang w:eastAsia="es-CO"/>
              </w:rPr>
              <w:t>06 de marzo</w:t>
            </w:r>
          </w:p>
        </w:tc>
        <w:tc>
          <w:tcPr>
            <w:tcW w:w="640" w:type="pct"/>
            <w:vAlign w:val="center"/>
            <w:hideMark/>
          </w:tcPr>
          <w:p w14:paraId="72FC3EDE" w14:textId="77777777" w:rsidR="00297E57" w:rsidRPr="0039091F" w:rsidRDefault="00297E57" w:rsidP="000A5389">
            <w:pPr>
              <w:spacing w:line="240" w:lineRule="auto"/>
              <w:jc w:val="center"/>
              <w:rPr>
                <w:rFonts w:eastAsia="Times New Roman" w:cs="Times New Roman"/>
                <w:color w:val="000000"/>
                <w:sz w:val="18"/>
                <w:szCs w:val="18"/>
                <w:lang w:eastAsia="es-CO"/>
              </w:rPr>
            </w:pPr>
            <w:r w:rsidRPr="0039091F">
              <w:rPr>
                <w:rFonts w:eastAsia="Times New Roman" w:cs="Times New Roman"/>
                <w:color w:val="000000"/>
                <w:sz w:val="18"/>
                <w:szCs w:val="18"/>
                <w:lang w:eastAsia="es-CO"/>
              </w:rPr>
              <w:t>1</w:t>
            </w:r>
          </w:p>
        </w:tc>
      </w:tr>
      <w:tr w:rsidR="00297E57" w:rsidRPr="0039091F" w14:paraId="3C2366BA" w14:textId="77777777" w:rsidTr="0039091F">
        <w:trPr>
          <w:trHeight w:val="283"/>
        </w:trPr>
        <w:tc>
          <w:tcPr>
            <w:tcW w:w="229" w:type="pct"/>
            <w:vAlign w:val="center"/>
            <w:hideMark/>
          </w:tcPr>
          <w:p w14:paraId="1D039DA7" w14:textId="77777777" w:rsidR="00297E57" w:rsidRPr="0039091F" w:rsidRDefault="00297E57" w:rsidP="000A5389">
            <w:pPr>
              <w:spacing w:line="240" w:lineRule="auto"/>
              <w:jc w:val="center"/>
              <w:rPr>
                <w:rFonts w:eastAsia="Times New Roman" w:cs="Times New Roman"/>
                <w:color w:val="000000"/>
                <w:sz w:val="18"/>
                <w:szCs w:val="18"/>
                <w:lang w:eastAsia="es-CO"/>
              </w:rPr>
            </w:pPr>
            <w:r w:rsidRPr="0039091F">
              <w:rPr>
                <w:rFonts w:eastAsia="Times New Roman" w:cs="Times New Roman"/>
                <w:color w:val="000000"/>
                <w:sz w:val="18"/>
                <w:szCs w:val="18"/>
                <w:lang w:eastAsia="es-CO"/>
              </w:rPr>
              <w:t>4</w:t>
            </w:r>
          </w:p>
        </w:tc>
        <w:tc>
          <w:tcPr>
            <w:tcW w:w="777" w:type="pct"/>
            <w:vAlign w:val="center"/>
            <w:hideMark/>
          </w:tcPr>
          <w:p w14:paraId="2EC3C6D1" w14:textId="77777777" w:rsidR="00297E57" w:rsidRPr="0039091F" w:rsidRDefault="00297E57" w:rsidP="000A5389">
            <w:pPr>
              <w:spacing w:line="240" w:lineRule="auto"/>
              <w:rPr>
                <w:rFonts w:eastAsia="Times New Roman" w:cs="Times New Roman"/>
                <w:color w:val="000000"/>
                <w:sz w:val="18"/>
                <w:szCs w:val="18"/>
                <w:lang w:eastAsia="es-CO"/>
              </w:rPr>
            </w:pPr>
            <w:r w:rsidRPr="0039091F">
              <w:rPr>
                <w:rFonts w:eastAsia="Times New Roman" w:cs="Times New Roman"/>
                <w:color w:val="000000"/>
                <w:sz w:val="18"/>
                <w:szCs w:val="18"/>
                <w:lang w:eastAsia="es-CO"/>
              </w:rPr>
              <w:t>Eje 2 (Territorio, Vida y Ambiente)</w:t>
            </w:r>
          </w:p>
        </w:tc>
        <w:tc>
          <w:tcPr>
            <w:tcW w:w="1320" w:type="pct"/>
            <w:vAlign w:val="center"/>
            <w:hideMark/>
          </w:tcPr>
          <w:p w14:paraId="27AF0DC7" w14:textId="77777777" w:rsidR="00297E57" w:rsidRPr="0039091F" w:rsidRDefault="00297E57" w:rsidP="000A5389">
            <w:pPr>
              <w:spacing w:line="240" w:lineRule="auto"/>
              <w:rPr>
                <w:rFonts w:eastAsia="Times New Roman" w:cs="Times New Roman"/>
                <w:color w:val="000000"/>
                <w:sz w:val="18"/>
                <w:szCs w:val="18"/>
                <w:lang w:eastAsia="es-CO"/>
              </w:rPr>
            </w:pPr>
            <w:r w:rsidRPr="0039091F">
              <w:rPr>
                <w:rFonts w:eastAsia="Times New Roman" w:cs="Times New Roman"/>
                <w:color w:val="000000"/>
                <w:sz w:val="18"/>
                <w:szCs w:val="18"/>
                <w:lang w:eastAsia="es-CO"/>
              </w:rPr>
              <w:t>Capacitación en Separación y manejo de residuos sólidos – Sede Montevideo</w:t>
            </w:r>
          </w:p>
        </w:tc>
        <w:tc>
          <w:tcPr>
            <w:tcW w:w="1044" w:type="pct"/>
            <w:vAlign w:val="center"/>
            <w:hideMark/>
          </w:tcPr>
          <w:p w14:paraId="01B05A92" w14:textId="77777777" w:rsidR="00297E57" w:rsidRPr="0039091F" w:rsidRDefault="00297E57" w:rsidP="000A5389">
            <w:pPr>
              <w:spacing w:line="240" w:lineRule="auto"/>
              <w:jc w:val="center"/>
              <w:rPr>
                <w:rFonts w:eastAsia="Times New Roman" w:cs="Times New Roman"/>
                <w:color w:val="000000"/>
                <w:sz w:val="18"/>
                <w:szCs w:val="18"/>
                <w:lang w:eastAsia="es-CO"/>
              </w:rPr>
            </w:pPr>
            <w:r w:rsidRPr="0039091F">
              <w:rPr>
                <w:rFonts w:eastAsia="Times New Roman" w:cs="Times New Roman"/>
                <w:color w:val="000000"/>
                <w:sz w:val="18"/>
                <w:szCs w:val="18"/>
                <w:lang w:eastAsia="es-CO"/>
              </w:rPr>
              <w:t>Secretaría Distrital de Ambiente (SDA)</w:t>
            </w:r>
          </w:p>
        </w:tc>
        <w:tc>
          <w:tcPr>
            <w:tcW w:w="464" w:type="pct"/>
            <w:vAlign w:val="center"/>
            <w:hideMark/>
          </w:tcPr>
          <w:p w14:paraId="658F4D42" w14:textId="77777777" w:rsidR="00297E57" w:rsidRPr="0039091F" w:rsidRDefault="00297E57" w:rsidP="000A5389">
            <w:pPr>
              <w:spacing w:line="240" w:lineRule="auto"/>
              <w:jc w:val="center"/>
              <w:rPr>
                <w:rFonts w:eastAsia="Times New Roman" w:cs="Times New Roman"/>
                <w:color w:val="000000"/>
                <w:sz w:val="18"/>
                <w:szCs w:val="18"/>
                <w:lang w:eastAsia="es-CO"/>
              </w:rPr>
            </w:pPr>
            <w:r w:rsidRPr="0039091F">
              <w:rPr>
                <w:rFonts w:eastAsia="Times New Roman" w:cs="Times New Roman"/>
                <w:color w:val="000000"/>
                <w:sz w:val="18"/>
                <w:szCs w:val="18"/>
                <w:lang w:eastAsia="es-CO"/>
              </w:rPr>
              <w:t>4</w:t>
            </w:r>
          </w:p>
        </w:tc>
        <w:tc>
          <w:tcPr>
            <w:tcW w:w="527" w:type="pct"/>
            <w:vAlign w:val="center"/>
            <w:hideMark/>
          </w:tcPr>
          <w:p w14:paraId="4593BBFD" w14:textId="77777777" w:rsidR="00297E57" w:rsidRPr="0039091F" w:rsidRDefault="00297E57" w:rsidP="000A5389">
            <w:pPr>
              <w:spacing w:line="240" w:lineRule="auto"/>
              <w:jc w:val="center"/>
              <w:rPr>
                <w:rFonts w:eastAsia="Times New Roman" w:cs="Times New Roman"/>
                <w:color w:val="000000"/>
                <w:sz w:val="18"/>
                <w:szCs w:val="18"/>
                <w:lang w:eastAsia="es-CO"/>
              </w:rPr>
            </w:pPr>
            <w:r w:rsidRPr="0039091F">
              <w:rPr>
                <w:rFonts w:eastAsia="Times New Roman" w:cs="Times New Roman"/>
                <w:color w:val="000000"/>
                <w:sz w:val="18"/>
                <w:szCs w:val="18"/>
                <w:lang w:eastAsia="es-CO"/>
              </w:rPr>
              <w:t>07 de marzo</w:t>
            </w:r>
          </w:p>
        </w:tc>
        <w:tc>
          <w:tcPr>
            <w:tcW w:w="640" w:type="pct"/>
            <w:vAlign w:val="center"/>
            <w:hideMark/>
          </w:tcPr>
          <w:p w14:paraId="4F9FAFAD" w14:textId="77777777" w:rsidR="00297E57" w:rsidRPr="0039091F" w:rsidRDefault="00297E57" w:rsidP="000A5389">
            <w:pPr>
              <w:spacing w:line="240" w:lineRule="auto"/>
              <w:jc w:val="center"/>
              <w:rPr>
                <w:rFonts w:eastAsia="Times New Roman" w:cs="Times New Roman"/>
                <w:color w:val="000000"/>
                <w:sz w:val="18"/>
                <w:szCs w:val="18"/>
                <w:lang w:eastAsia="es-CO"/>
              </w:rPr>
            </w:pPr>
            <w:r w:rsidRPr="0039091F">
              <w:rPr>
                <w:rFonts w:eastAsia="Times New Roman" w:cs="Times New Roman"/>
                <w:color w:val="000000"/>
                <w:sz w:val="18"/>
                <w:szCs w:val="18"/>
                <w:lang w:eastAsia="es-CO"/>
              </w:rPr>
              <w:t>1</w:t>
            </w:r>
          </w:p>
        </w:tc>
      </w:tr>
      <w:tr w:rsidR="00297E57" w:rsidRPr="0039091F" w14:paraId="304057E3" w14:textId="77777777" w:rsidTr="0039091F">
        <w:trPr>
          <w:trHeight w:val="283"/>
        </w:trPr>
        <w:tc>
          <w:tcPr>
            <w:tcW w:w="229" w:type="pct"/>
            <w:vAlign w:val="center"/>
            <w:hideMark/>
          </w:tcPr>
          <w:p w14:paraId="3528B01C" w14:textId="77777777" w:rsidR="00297E57" w:rsidRPr="0039091F" w:rsidRDefault="00297E57" w:rsidP="000A5389">
            <w:pPr>
              <w:spacing w:line="240" w:lineRule="auto"/>
              <w:jc w:val="center"/>
              <w:rPr>
                <w:rFonts w:eastAsia="Times New Roman" w:cs="Times New Roman"/>
                <w:color w:val="000000"/>
                <w:sz w:val="18"/>
                <w:szCs w:val="18"/>
                <w:lang w:eastAsia="es-CO"/>
              </w:rPr>
            </w:pPr>
            <w:r w:rsidRPr="0039091F">
              <w:rPr>
                <w:rFonts w:eastAsia="Times New Roman" w:cs="Times New Roman"/>
                <w:color w:val="000000"/>
                <w:sz w:val="18"/>
                <w:szCs w:val="18"/>
                <w:lang w:eastAsia="es-CO"/>
              </w:rPr>
              <w:t>5</w:t>
            </w:r>
          </w:p>
        </w:tc>
        <w:tc>
          <w:tcPr>
            <w:tcW w:w="777" w:type="pct"/>
            <w:vAlign w:val="center"/>
            <w:hideMark/>
          </w:tcPr>
          <w:p w14:paraId="74F8E109" w14:textId="77777777" w:rsidR="00297E57" w:rsidRPr="0039091F" w:rsidRDefault="00297E57" w:rsidP="000A5389">
            <w:pPr>
              <w:spacing w:line="240" w:lineRule="auto"/>
              <w:rPr>
                <w:rFonts w:eastAsia="Times New Roman" w:cs="Times New Roman"/>
                <w:color w:val="000000"/>
                <w:sz w:val="18"/>
                <w:szCs w:val="18"/>
                <w:lang w:eastAsia="es-CO"/>
              </w:rPr>
            </w:pPr>
            <w:r w:rsidRPr="0039091F">
              <w:rPr>
                <w:rFonts w:eastAsia="Times New Roman" w:cs="Times New Roman"/>
                <w:color w:val="000000"/>
                <w:sz w:val="18"/>
                <w:szCs w:val="18"/>
                <w:lang w:eastAsia="es-CO"/>
              </w:rPr>
              <w:t>Habilidades y Conocimientos, y Evaluación del Desempeño Laboral</w:t>
            </w:r>
          </w:p>
        </w:tc>
        <w:tc>
          <w:tcPr>
            <w:tcW w:w="1320" w:type="pct"/>
            <w:vAlign w:val="center"/>
            <w:hideMark/>
          </w:tcPr>
          <w:p w14:paraId="0ADDFF53" w14:textId="77777777" w:rsidR="00297E57" w:rsidRPr="0039091F" w:rsidRDefault="00297E57" w:rsidP="000A5389">
            <w:pPr>
              <w:spacing w:line="240" w:lineRule="auto"/>
              <w:rPr>
                <w:rFonts w:eastAsia="Times New Roman" w:cs="Times New Roman"/>
                <w:color w:val="000000"/>
                <w:sz w:val="18"/>
                <w:szCs w:val="18"/>
                <w:lang w:eastAsia="es-CO"/>
              </w:rPr>
            </w:pPr>
            <w:r w:rsidRPr="0039091F">
              <w:rPr>
                <w:rFonts w:eastAsia="Times New Roman" w:cs="Times New Roman"/>
                <w:color w:val="000000"/>
                <w:sz w:val="18"/>
                <w:szCs w:val="18"/>
                <w:lang w:eastAsia="es-CO"/>
              </w:rPr>
              <w:t>Capacitación en Evaluación del desempeño</w:t>
            </w:r>
          </w:p>
        </w:tc>
        <w:tc>
          <w:tcPr>
            <w:tcW w:w="1044" w:type="pct"/>
            <w:vAlign w:val="center"/>
            <w:hideMark/>
          </w:tcPr>
          <w:p w14:paraId="0198B9BF" w14:textId="77777777" w:rsidR="00297E57" w:rsidRPr="0039091F" w:rsidRDefault="00297E57" w:rsidP="000A5389">
            <w:pPr>
              <w:spacing w:line="240" w:lineRule="auto"/>
              <w:jc w:val="center"/>
              <w:rPr>
                <w:rFonts w:eastAsia="Times New Roman" w:cs="Times New Roman"/>
                <w:color w:val="000000"/>
                <w:sz w:val="18"/>
                <w:szCs w:val="18"/>
                <w:lang w:eastAsia="es-CO"/>
              </w:rPr>
            </w:pPr>
            <w:r w:rsidRPr="0039091F">
              <w:rPr>
                <w:rFonts w:eastAsia="Times New Roman" w:cs="Times New Roman"/>
                <w:color w:val="000000"/>
                <w:sz w:val="18"/>
                <w:szCs w:val="18"/>
                <w:lang w:eastAsia="es-CO"/>
              </w:rPr>
              <w:t>Comisión Nacional del Servicio Civil (CNSC)</w:t>
            </w:r>
          </w:p>
        </w:tc>
        <w:tc>
          <w:tcPr>
            <w:tcW w:w="464" w:type="pct"/>
            <w:vAlign w:val="center"/>
            <w:hideMark/>
          </w:tcPr>
          <w:p w14:paraId="5B1A7667" w14:textId="77777777" w:rsidR="00297E57" w:rsidRPr="0039091F" w:rsidRDefault="00297E57" w:rsidP="000A5389">
            <w:pPr>
              <w:spacing w:line="240" w:lineRule="auto"/>
              <w:jc w:val="center"/>
              <w:rPr>
                <w:rFonts w:eastAsia="Times New Roman" w:cs="Times New Roman"/>
                <w:color w:val="000000"/>
                <w:sz w:val="18"/>
                <w:szCs w:val="18"/>
                <w:lang w:eastAsia="es-CO"/>
              </w:rPr>
            </w:pPr>
            <w:r w:rsidRPr="0039091F">
              <w:rPr>
                <w:rFonts w:eastAsia="Times New Roman" w:cs="Times New Roman"/>
                <w:color w:val="000000"/>
                <w:sz w:val="18"/>
                <w:szCs w:val="18"/>
                <w:lang w:eastAsia="es-CO"/>
              </w:rPr>
              <w:t>94</w:t>
            </w:r>
          </w:p>
        </w:tc>
        <w:tc>
          <w:tcPr>
            <w:tcW w:w="527" w:type="pct"/>
            <w:vAlign w:val="center"/>
            <w:hideMark/>
          </w:tcPr>
          <w:p w14:paraId="213D3918" w14:textId="77777777" w:rsidR="00297E57" w:rsidRPr="0039091F" w:rsidRDefault="00297E57" w:rsidP="000A5389">
            <w:pPr>
              <w:spacing w:line="240" w:lineRule="auto"/>
              <w:jc w:val="center"/>
              <w:rPr>
                <w:rFonts w:eastAsia="Times New Roman" w:cs="Times New Roman"/>
                <w:color w:val="000000"/>
                <w:sz w:val="18"/>
                <w:szCs w:val="18"/>
                <w:lang w:eastAsia="es-CO"/>
              </w:rPr>
            </w:pPr>
            <w:r w:rsidRPr="0039091F">
              <w:rPr>
                <w:rFonts w:eastAsia="Times New Roman" w:cs="Times New Roman"/>
                <w:color w:val="000000"/>
                <w:sz w:val="18"/>
                <w:szCs w:val="18"/>
                <w:lang w:eastAsia="es-CO"/>
              </w:rPr>
              <w:t>13 de febrero</w:t>
            </w:r>
          </w:p>
        </w:tc>
        <w:tc>
          <w:tcPr>
            <w:tcW w:w="640" w:type="pct"/>
            <w:vAlign w:val="center"/>
            <w:hideMark/>
          </w:tcPr>
          <w:p w14:paraId="44C40D55" w14:textId="77777777" w:rsidR="00297E57" w:rsidRPr="0039091F" w:rsidRDefault="00297E57" w:rsidP="000A5389">
            <w:pPr>
              <w:spacing w:line="240" w:lineRule="auto"/>
              <w:jc w:val="center"/>
              <w:rPr>
                <w:rFonts w:eastAsia="Times New Roman" w:cs="Times New Roman"/>
                <w:color w:val="000000"/>
                <w:sz w:val="18"/>
                <w:szCs w:val="18"/>
                <w:lang w:eastAsia="es-CO"/>
              </w:rPr>
            </w:pPr>
            <w:r w:rsidRPr="0039091F">
              <w:rPr>
                <w:rFonts w:eastAsia="Times New Roman" w:cs="Times New Roman"/>
                <w:color w:val="000000"/>
                <w:sz w:val="18"/>
                <w:szCs w:val="18"/>
                <w:lang w:eastAsia="es-CO"/>
              </w:rPr>
              <w:t>2</w:t>
            </w:r>
          </w:p>
        </w:tc>
      </w:tr>
      <w:tr w:rsidR="00297E57" w:rsidRPr="0039091F" w14:paraId="684BBED8" w14:textId="77777777" w:rsidTr="0039091F">
        <w:trPr>
          <w:trHeight w:val="283"/>
        </w:trPr>
        <w:tc>
          <w:tcPr>
            <w:tcW w:w="229" w:type="pct"/>
            <w:vAlign w:val="center"/>
            <w:hideMark/>
          </w:tcPr>
          <w:p w14:paraId="2F78696C" w14:textId="77777777" w:rsidR="00297E57" w:rsidRPr="0039091F" w:rsidRDefault="00297E57" w:rsidP="000A5389">
            <w:pPr>
              <w:spacing w:line="240" w:lineRule="auto"/>
              <w:jc w:val="center"/>
              <w:rPr>
                <w:rFonts w:eastAsia="Times New Roman" w:cs="Times New Roman"/>
                <w:color w:val="000000"/>
                <w:sz w:val="18"/>
                <w:szCs w:val="18"/>
                <w:lang w:eastAsia="es-CO"/>
              </w:rPr>
            </w:pPr>
            <w:r w:rsidRPr="0039091F">
              <w:rPr>
                <w:rFonts w:eastAsia="Times New Roman" w:cs="Times New Roman"/>
                <w:color w:val="000000"/>
                <w:sz w:val="18"/>
                <w:szCs w:val="18"/>
                <w:lang w:eastAsia="es-CO"/>
              </w:rPr>
              <w:t>6</w:t>
            </w:r>
          </w:p>
        </w:tc>
        <w:tc>
          <w:tcPr>
            <w:tcW w:w="777" w:type="pct"/>
            <w:vAlign w:val="center"/>
            <w:hideMark/>
          </w:tcPr>
          <w:p w14:paraId="3971126D" w14:textId="77777777" w:rsidR="00297E57" w:rsidRPr="0039091F" w:rsidRDefault="00297E57" w:rsidP="000A5389">
            <w:pPr>
              <w:spacing w:line="240" w:lineRule="auto"/>
              <w:rPr>
                <w:rFonts w:eastAsia="Times New Roman" w:cs="Times New Roman"/>
                <w:color w:val="000000"/>
                <w:sz w:val="18"/>
                <w:szCs w:val="18"/>
                <w:lang w:eastAsia="es-CO"/>
              </w:rPr>
            </w:pPr>
            <w:r w:rsidRPr="0039091F">
              <w:rPr>
                <w:rFonts w:eastAsia="Times New Roman" w:cs="Times New Roman"/>
                <w:color w:val="000000"/>
                <w:sz w:val="18"/>
                <w:szCs w:val="18"/>
                <w:lang w:eastAsia="es-CO"/>
              </w:rPr>
              <w:t>Seguridad y Salud en el Trabajo</w:t>
            </w:r>
          </w:p>
        </w:tc>
        <w:tc>
          <w:tcPr>
            <w:tcW w:w="1320" w:type="pct"/>
            <w:vAlign w:val="center"/>
            <w:hideMark/>
          </w:tcPr>
          <w:p w14:paraId="41DCB04C" w14:textId="77777777" w:rsidR="00297E57" w:rsidRPr="0039091F" w:rsidRDefault="00297E57" w:rsidP="000A5389">
            <w:pPr>
              <w:spacing w:line="240" w:lineRule="auto"/>
              <w:rPr>
                <w:rFonts w:eastAsia="Times New Roman" w:cs="Times New Roman"/>
                <w:color w:val="000000"/>
                <w:sz w:val="18"/>
                <w:szCs w:val="18"/>
                <w:lang w:eastAsia="es-CO"/>
              </w:rPr>
            </w:pPr>
            <w:r w:rsidRPr="0039091F">
              <w:rPr>
                <w:rFonts w:eastAsia="Times New Roman" w:cs="Times New Roman"/>
                <w:color w:val="000000"/>
                <w:sz w:val="18"/>
                <w:szCs w:val="18"/>
                <w:lang w:eastAsia="es-CO"/>
              </w:rPr>
              <w:t>Capacitación en Estilos de Vida y Hábitos Saludables</w:t>
            </w:r>
          </w:p>
        </w:tc>
        <w:tc>
          <w:tcPr>
            <w:tcW w:w="1044" w:type="pct"/>
            <w:vAlign w:val="center"/>
            <w:hideMark/>
          </w:tcPr>
          <w:p w14:paraId="4A641F23" w14:textId="77777777" w:rsidR="00297E57" w:rsidRPr="0039091F" w:rsidRDefault="00297E57" w:rsidP="000A5389">
            <w:pPr>
              <w:spacing w:line="240" w:lineRule="auto"/>
              <w:jc w:val="center"/>
              <w:rPr>
                <w:rFonts w:eastAsia="Times New Roman" w:cs="Times New Roman"/>
                <w:color w:val="000000"/>
                <w:sz w:val="18"/>
                <w:szCs w:val="18"/>
                <w:lang w:eastAsia="es-CO"/>
              </w:rPr>
            </w:pPr>
            <w:r w:rsidRPr="0039091F">
              <w:rPr>
                <w:rFonts w:eastAsia="Times New Roman" w:cs="Times New Roman"/>
                <w:color w:val="000000"/>
                <w:sz w:val="18"/>
                <w:szCs w:val="18"/>
                <w:lang w:eastAsia="es-CO"/>
              </w:rPr>
              <w:t>ARL POSITIVA</w:t>
            </w:r>
          </w:p>
        </w:tc>
        <w:tc>
          <w:tcPr>
            <w:tcW w:w="464" w:type="pct"/>
            <w:vAlign w:val="center"/>
            <w:hideMark/>
          </w:tcPr>
          <w:p w14:paraId="7E0B5F26" w14:textId="77777777" w:rsidR="00297E57" w:rsidRPr="0039091F" w:rsidRDefault="00297E57" w:rsidP="000A5389">
            <w:pPr>
              <w:spacing w:line="240" w:lineRule="auto"/>
              <w:jc w:val="center"/>
              <w:rPr>
                <w:rFonts w:eastAsia="Times New Roman" w:cs="Times New Roman"/>
                <w:color w:val="000000"/>
                <w:sz w:val="18"/>
                <w:szCs w:val="18"/>
                <w:lang w:eastAsia="es-CO"/>
              </w:rPr>
            </w:pPr>
            <w:r w:rsidRPr="0039091F">
              <w:rPr>
                <w:rFonts w:eastAsia="Times New Roman" w:cs="Times New Roman"/>
                <w:color w:val="000000"/>
                <w:sz w:val="18"/>
                <w:szCs w:val="18"/>
                <w:lang w:eastAsia="es-CO"/>
              </w:rPr>
              <w:t>34</w:t>
            </w:r>
          </w:p>
        </w:tc>
        <w:tc>
          <w:tcPr>
            <w:tcW w:w="527" w:type="pct"/>
            <w:vAlign w:val="center"/>
            <w:hideMark/>
          </w:tcPr>
          <w:p w14:paraId="154E220E" w14:textId="77777777" w:rsidR="00297E57" w:rsidRPr="0039091F" w:rsidRDefault="00297E57" w:rsidP="000A5389">
            <w:pPr>
              <w:spacing w:line="240" w:lineRule="auto"/>
              <w:jc w:val="center"/>
              <w:rPr>
                <w:rFonts w:eastAsia="Times New Roman" w:cs="Times New Roman"/>
                <w:color w:val="000000"/>
                <w:sz w:val="18"/>
                <w:szCs w:val="18"/>
                <w:lang w:eastAsia="es-CO"/>
              </w:rPr>
            </w:pPr>
            <w:r w:rsidRPr="0039091F">
              <w:rPr>
                <w:rFonts w:eastAsia="Times New Roman" w:cs="Times New Roman"/>
                <w:color w:val="000000"/>
                <w:sz w:val="18"/>
                <w:szCs w:val="18"/>
                <w:lang w:eastAsia="es-CO"/>
              </w:rPr>
              <w:t>14 de marzo</w:t>
            </w:r>
          </w:p>
        </w:tc>
        <w:tc>
          <w:tcPr>
            <w:tcW w:w="640" w:type="pct"/>
            <w:vAlign w:val="center"/>
            <w:hideMark/>
          </w:tcPr>
          <w:p w14:paraId="717D2044" w14:textId="77777777" w:rsidR="00297E57" w:rsidRPr="0039091F" w:rsidRDefault="00297E57" w:rsidP="000A5389">
            <w:pPr>
              <w:spacing w:line="240" w:lineRule="auto"/>
              <w:jc w:val="center"/>
              <w:rPr>
                <w:rFonts w:eastAsia="Times New Roman" w:cs="Times New Roman"/>
                <w:color w:val="000000"/>
                <w:sz w:val="18"/>
                <w:szCs w:val="18"/>
                <w:lang w:eastAsia="es-CO"/>
              </w:rPr>
            </w:pPr>
            <w:r w:rsidRPr="0039091F">
              <w:rPr>
                <w:rFonts w:eastAsia="Times New Roman" w:cs="Times New Roman"/>
                <w:color w:val="000000"/>
                <w:sz w:val="18"/>
                <w:szCs w:val="18"/>
                <w:lang w:eastAsia="es-CO"/>
              </w:rPr>
              <w:t>1,3</w:t>
            </w:r>
          </w:p>
        </w:tc>
      </w:tr>
      <w:tr w:rsidR="00297E57" w:rsidRPr="0039091F" w14:paraId="5D4FEAE6" w14:textId="77777777" w:rsidTr="0039091F">
        <w:trPr>
          <w:trHeight w:val="283"/>
        </w:trPr>
        <w:tc>
          <w:tcPr>
            <w:tcW w:w="229" w:type="pct"/>
            <w:vAlign w:val="center"/>
            <w:hideMark/>
          </w:tcPr>
          <w:p w14:paraId="3CE56545" w14:textId="77777777" w:rsidR="00297E57" w:rsidRPr="0039091F" w:rsidRDefault="00297E57" w:rsidP="000A5389">
            <w:pPr>
              <w:spacing w:line="240" w:lineRule="auto"/>
              <w:jc w:val="center"/>
              <w:rPr>
                <w:rFonts w:eastAsia="Times New Roman" w:cs="Times New Roman"/>
                <w:color w:val="000000"/>
                <w:sz w:val="18"/>
                <w:szCs w:val="18"/>
                <w:lang w:eastAsia="es-CO"/>
              </w:rPr>
            </w:pPr>
            <w:r w:rsidRPr="0039091F">
              <w:rPr>
                <w:rFonts w:eastAsia="Times New Roman" w:cs="Times New Roman"/>
                <w:color w:val="000000"/>
                <w:sz w:val="18"/>
                <w:szCs w:val="18"/>
                <w:lang w:eastAsia="es-CO"/>
              </w:rPr>
              <w:t>7</w:t>
            </w:r>
          </w:p>
        </w:tc>
        <w:tc>
          <w:tcPr>
            <w:tcW w:w="777" w:type="pct"/>
            <w:vAlign w:val="center"/>
            <w:hideMark/>
          </w:tcPr>
          <w:p w14:paraId="476AEB1F" w14:textId="77777777" w:rsidR="00297E57" w:rsidRPr="0039091F" w:rsidRDefault="00297E57" w:rsidP="000A5389">
            <w:pPr>
              <w:spacing w:line="240" w:lineRule="auto"/>
              <w:rPr>
                <w:rFonts w:eastAsia="Times New Roman" w:cs="Times New Roman"/>
                <w:color w:val="000000"/>
                <w:sz w:val="18"/>
                <w:szCs w:val="18"/>
                <w:lang w:eastAsia="es-CO"/>
              </w:rPr>
            </w:pPr>
            <w:r w:rsidRPr="0039091F">
              <w:rPr>
                <w:rFonts w:eastAsia="Times New Roman" w:cs="Times New Roman"/>
                <w:color w:val="000000"/>
                <w:sz w:val="18"/>
                <w:szCs w:val="18"/>
                <w:lang w:eastAsia="es-CO"/>
              </w:rPr>
              <w:t>Habilidades y Conocimientos</w:t>
            </w:r>
          </w:p>
        </w:tc>
        <w:tc>
          <w:tcPr>
            <w:tcW w:w="1320" w:type="pct"/>
            <w:vAlign w:val="center"/>
            <w:hideMark/>
          </w:tcPr>
          <w:p w14:paraId="6BCAE30B" w14:textId="77777777" w:rsidR="00297E57" w:rsidRPr="0039091F" w:rsidRDefault="00297E57" w:rsidP="000A5389">
            <w:pPr>
              <w:spacing w:line="240" w:lineRule="auto"/>
              <w:rPr>
                <w:rFonts w:eastAsia="Times New Roman" w:cs="Times New Roman"/>
                <w:color w:val="000000"/>
                <w:sz w:val="18"/>
                <w:szCs w:val="18"/>
                <w:lang w:eastAsia="es-CO"/>
              </w:rPr>
            </w:pPr>
            <w:r w:rsidRPr="0039091F">
              <w:rPr>
                <w:rFonts w:eastAsia="Times New Roman" w:cs="Times New Roman"/>
                <w:color w:val="000000"/>
                <w:sz w:val="18"/>
                <w:szCs w:val="18"/>
                <w:lang w:eastAsia="es-CO"/>
              </w:rPr>
              <w:t>Sensibilización en Derecho de Petición</w:t>
            </w:r>
          </w:p>
        </w:tc>
        <w:tc>
          <w:tcPr>
            <w:tcW w:w="1044" w:type="pct"/>
            <w:vAlign w:val="center"/>
            <w:hideMark/>
          </w:tcPr>
          <w:p w14:paraId="61751494" w14:textId="77777777" w:rsidR="00297E57" w:rsidRPr="0039091F" w:rsidRDefault="00297E57" w:rsidP="000A5389">
            <w:pPr>
              <w:spacing w:line="240" w:lineRule="auto"/>
              <w:jc w:val="center"/>
              <w:rPr>
                <w:rFonts w:eastAsia="Times New Roman" w:cs="Times New Roman"/>
                <w:color w:val="000000"/>
                <w:sz w:val="18"/>
                <w:szCs w:val="18"/>
                <w:lang w:eastAsia="es-CO"/>
              </w:rPr>
            </w:pPr>
            <w:r w:rsidRPr="0039091F">
              <w:rPr>
                <w:rFonts w:eastAsia="Times New Roman" w:cs="Times New Roman"/>
                <w:color w:val="000000"/>
                <w:sz w:val="18"/>
                <w:szCs w:val="18"/>
                <w:lang w:eastAsia="es-CO"/>
              </w:rPr>
              <w:t>ANI</w:t>
            </w:r>
          </w:p>
        </w:tc>
        <w:tc>
          <w:tcPr>
            <w:tcW w:w="464" w:type="pct"/>
            <w:vAlign w:val="center"/>
            <w:hideMark/>
          </w:tcPr>
          <w:p w14:paraId="63A36E12" w14:textId="77777777" w:rsidR="00297E57" w:rsidRPr="0039091F" w:rsidRDefault="00297E57" w:rsidP="000A5389">
            <w:pPr>
              <w:spacing w:line="240" w:lineRule="auto"/>
              <w:jc w:val="center"/>
              <w:rPr>
                <w:rFonts w:eastAsia="Times New Roman" w:cs="Times New Roman"/>
                <w:color w:val="000000"/>
                <w:sz w:val="18"/>
                <w:szCs w:val="18"/>
                <w:lang w:eastAsia="es-CO"/>
              </w:rPr>
            </w:pPr>
            <w:r w:rsidRPr="0039091F">
              <w:rPr>
                <w:rFonts w:eastAsia="Times New Roman" w:cs="Times New Roman"/>
                <w:color w:val="000000"/>
                <w:sz w:val="18"/>
                <w:szCs w:val="18"/>
                <w:lang w:eastAsia="es-CO"/>
              </w:rPr>
              <w:t>6</w:t>
            </w:r>
          </w:p>
        </w:tc>
        <w:tc>
          <w:tcPr>
            <w:tcW w:w="527" w:type="pct"/>
            <w:vAlign w:val="center"/>
            <w:hideMark/>
          </w:tcPr>
          <w:p w14:paraId="0FC28F7E" w14:textId="77777777" w:rsidR="00297E57" w:rsidRPr="0039091F" w:rsidRDefault="00297E57" w:rsidP="000A5389">
            <w:pPr>
              <w:spacing w:line="240" w:lineRule="auto"/>
              <w:jc w:val="center"/>
              <w:rPr>
                <w:rFonts w:eastAsia="Times New Roman" w:cs="Times New Roman"/>
                <w:color w:val="000000"/>
                <w:sz w:val="18"/>
                <w:szCs w:val="18"/>
                <w:lang w:eastAsia="es-CO"/>
              </w:rPr>
            </w:pPr>
            <w:r w:rsidRPr="0039091F">
              <w:rPr>
                <w:rFonts w:eastAsia="Times New Roman" w:cs="Times New Roman"/>
                <w:color w:val="000000"/>
                <w:sz w:val="18"/>
                <w:szCs w:val="18"/>
                <w:lang w:eastAsia="es-CO"/>
              </w:rPr>
              <w:t>17 de marzo</w:t>
            </w:r>
          </w:p>
        </w:tc>
        <w:tc>
          <w:tcPr>
            <w:tcW w:w="640" w:type="pct"/>
            <w:vAlign w:val="center"/>
            <w:hideMark/>
          </w:tcPr>
          <w:p w14:paraId="36079E47" w14:textId="77777777" w:rsidR="00297E57" w:rsidRPr="0039091F" w:rsidRDefault="00297E57" w:rsidP="000A5389">
            <w:pPr>
              <w:spacing w:line="240" w:lineRule="auto"/>
              <w:jc w:val="center"/>
              <w:rPr>
                <w:rFonts w:eastAsia="Times New Roman" w:cs="Times New Roman"/>
                <w:color w:val="000000"/>
                <w:sz w:val="18"/>
                <w:szCs w:val="18"/>
                <w:lang w:eastAsia="es-CO"/>
              </w:rPr>
            </w:pPr>
            <w:r w:rsidRPr="0039091F">
              <w:rPr>
                <w:rFonts w:eastAsia="Times New Roman" w:cs="Times New Roman"/>
                <w:color w:val="000000"/>
                <w:sz w:val="18"/>
                <w:szCs w:val="18"/>
                <w:lang w:eastAsia="es-CO"/>
              </w:rPr>
              <w:t>1</w:t>
            </w:r>
          </w:p>
        </w:tc>
      </w:tr>
      <w:tr w:rsidR="00297E57" w:rsidRPr="0039091F" w14:paraId="70251996" w14:textId="77777777" w:rsidTr="0039091F">
        <w:trPr>
          <w:trHeight w:val="283"/>
        </w:trPr>
        <w:tc>
          <w:tcPr>
            <w:tcW w:w="229" w:type="pct"/>
            <w:vAlign w:val="center"/>
            <w:hideMark/>
          </w:tcPr>
          <w:p w14:paraId="5DF362FA" w14:textId="77777777" w:rsidR="00297E57" w:rsidRPr="0039091F" w:rsidRDefault="00297E57" w:rsidP="000A5389">
            <w:pPr>
              <w:spacing w:line="240" w:lineRule="auto"/>
              <w:jc w:val="center"/>
              <w:rPr>
                <w:rFonts w:eastAsia="Times New Roman" w:cs="Times New Roman"/>
                <w:color w:val="000000"/>
                <w:sz w:val="18"/>
                <w:szCs w:val="18"/>
                <w:lang w:eastAsia="es-CO"/>
              </w:rPr>
            </w:pPr>
            <w:r w:rsidRPr="0039091F">
              <w:rPr>
                <w:rFonts w:eastAsia="Times New Roman" w:cs="Times New Roman"/>
                <w:color w:val="000000"/>
                <w:sz w:val="18"/>
                <w:szCs w:val="18"/>
                <w:lang w:eastAsia="es-CO"/>
              </w:rPr>
              <w:t>8</w:t>
            </w:r>
          </w:p>
        </w:tc>
        <w:tc>
          <w:tcPr>
            <w:tcW w:w="777" w:type="pct"/>
            <w:vAlign w:val="center"/>
            <w:hideMark/>
          </w:tcPr>
          <w:p w14:paraId="5D290076" w14:textId="77777777" w:rsidR="00297E57" w:rsidRPr="0039091F" w:rsidRDefault="00297E57" w:rsidP="000A5389">
            <w:pPr>
              <w:spacing w:line="240" w:lineRule="auto"/>
              <w:rPr>
                <w:rFonts w:eastAsia="Times New Roman" w:cs="Times New Roman"/>
                <w:color w:val="000000"/>
                <w:sz w:val="18"/>
                <w:szCs w:val="18"/>
                <w:lang w:eastAsia="es-CO"/>
              </w:rPr>
            </w:pPr>
            <w:r w:rsidRPr="0039091F">
              <w:rPr>
                <w:rFonts w:eastAsia="Times New Roman" w:cs="Times New Roman"/>
                <w:color w:val="000000"/>
                <w:sz w:val="18"/>
                <w:szCs w:val="18"/>
                <w:lang w:eastAsia="es-CO"/>
              </w:rPr>
              <w:t>Seguridad y Salud en el Trabajo</w:t>
            </w:r>
          </w:p>
        </w:tc>
        <w:tc>
          <w:tcPr>
            <w:tcW w:w="1320" w:type="pct"/>
            <w:vAlign w:val="center"/>
            <w:hideMark/>
          </w:tcPr>
          <w:p w14:paraId="0903A170" w14:textId="77777777" w:rsidR="00297E57" w:rsidRPr="0039091F" w:rsidRDefault="00297E57" w:rsidP="000A5389">
            <w:pPr>
              <w:spacing w:line="240" w:lineRule="auto"/>
              <w:rPr>
                <w:rFonts w:eastAsia="Times New Roman" w:cs="Times New Roman"/>
                <w:color w:val="000000"/>
                <w:sz w:val="18"/>
                <w:szCs w:val="18"/>
                <w:lang w:eastAsia="es-CO"/>
              </w:rPr>
            </w:pPr>
            <w:r w:rsidRPr="0039091F">
              <w:rPr>
                <w:rFonts w:eastAsia="Times New Roman" w:cs="Times New Roman"/>
                <w:color w:val="000000"/>
                <w:sz w:val="18"/>
                <w:szCs w:val="18"/>
                <w:lang w:eastAsia="es-CO"/>
              </w:rPr>
              <w:t>Capacitación en Resolución de Conflictos</w:t>
            </w:r>
          </w:p>
        </w:tc>
        <w:tc>
          <w:tcPr>
            <w:tcW w:w="1044" w:type="pct"/>
            <w:vAlign w:val="center"/>
            <w:hideMark/>
          </w:tcPr>
          <w:p w14:paraId="6B54EEBF" w14:textId="77777777" w:rsidR="00297E57" w:rsidRPr="0039091F" w:rsidRDefault="00297E57" w:rsidP="000A5389">
            <w:pPr>
              <w:spacing w:line="240" w:lineRule="auto"/>
              <w:jc w:val="center"/>
              <w:rPr>
                <w:rFonts w:eastAsia="Times New Roman" w:cs="Times New Roman"/>
                <w:color w:val="000000"/>
                <w:sz w:val="18"/>
                <w:szCs w:val="18"/>
                <w:lang w:eastAsia="es-CO"/>
              </w:rPr>
            </w:pPr>
            <w:r w:rsidRPr="0039091F">
              <w:rPr>
                <w:rFonts w:eastAsia="Times New Roman" w:cs="Times New Roman"/>
                <w:color w:val="000000"/>
                <w:sz w:val="18"/>
                <w:szCs w:val="18"/>
                <w:lang w:eastAsia="es-CO"/>
              </w:rPr>
              <w:t>ARL POSITIVA</w:t>
            </w:r>
          </w:p>
        </w:tc>
        <w:tc>
          <w:tcPr>
            <w:tcW w:w="464" w:type="pct"/>
            <w:vAlign w:val="center"/>
            <w:hideMark/>
          </w:tcPr>
          <w:p w14:paraId="345803E8" w14:textId="77777777" w:rsidR="00297E57" w:rsidRPr="0039091F" w:rsidRDefault="00297E57" w:rsidP="000A5389">
            <w:pPr>
              <w:spacing w:line="240" w:lineRule="auto"/>
              <w:jc w:val="center"/>
              <w:rPr>
                <w:rFonts w:eastAsia="Times New Roman" w:cs="Times New Roman"/>
                <w:color w:val="000000"/>
                <w:sz w:val="18"/>
                <w:szCs w:val="18"/>
                <w:lang w:eastAsia="es-CO"/>
              </w:rPr>
            </w:pPr>
            <w:r w:rsidRPr="0039091F">
              <w:rPr>
                <w:rFonts w:eastAsia="Times New Roman" w:cs="Times New Roman"/>
                <w:color w:val="000000"/>
                <w:sz w:val="18"/>
                <w:szCs w:val="18"/>
                <w:lang w:eastAsia="es-CO"/>
              </w:rPr>
              <w:t>4</w:t>
            </w:r>
          </w:p>
        </w:tc>
        <w:tc>
          <w:tcPr>
            <w:tcW w:w="527" w:type="pct"/>
            <w:vAlign w:val="center"/>
            <w:hideMark/>
          </w:tcPr>
          <w:p w14:paraId="2F9AB220" w14:textId="77777777" w:rsidR="00297E57" w:rsidRPr="0039091F" w:rsidRDefault="00297E57" w:rsidP="000A5389">
            <w:pPr>
              <w:spacing w:line="240" w:lineRule="auto"/>
              <w:jc w:val="center"/>
              <w:rPr>
                <w:rFonts w:eastAsia="Times New Roman" w:cs="Times New Roman"/>
                <w:color w:val="000000"/>
                <w:sz w:val="18"/>
                <w:szCs w:val="18"/>
                <w:lang w:eastAsia="es-CO"/>
              </w:rPr>
            </w:pPr>
            <w:r w:rsidRPr="0039091F">
              <w:rPr>
                <w:rFonts w:eastAsia="Times New Roman" w:cs="Times New Roman"/>
                <w:color w:val="000000"/>
                <w:sz w:val="18"/>
                <w:szCs w:val="18"/>
                <w:lang w:eastAsia="es-CO"/>
              </w:rPr>
              <w:t>17 de marzo</w:t>
            </w:r>
          </w:p>
        </w:tc>
        <w:tc>
          <w:tcPr>
            <w:tcW w:w="640" w:type="pct"/>
            <w:vAlign w:val="center"/>
            <w:hideMark/>
          </w:tcPr>
          <w:p w14:paraId="5CB03D1B" w14:textId="77777777" w:rsidR="00297E57" w:rsidRPr="0039091F" w:rsidRDefault="00297E57" w:rsidP="000A5389">
            <w:pPr>
              <w:spacing w:line="240" w:lineRule="auto"/>
              <w:jc w:val="center"/>
              <w:rPr>
                <w:rFonts w:eastAsia="Times New Roman" w:cs="Times New Roman"/>
                <w:color w:val="000000"/>
                <w:sz w:val="18"/>
                <w:szCs w:val="18"/>
                <w:lang w:eastAsia="es-CO"/>
              </w:rPr>
            </w:pPr>
            <w:r w:rsidRPr="0039091F">
              <w:rPr>
                <w:rFonts w:eastAsia="Times New Roman" w:cs="Times New Roman"/>
                <w:color w:val="000000"/>
                <w:sz w:val="18"/>
                <w:szCs w:val="18"/>
                <w:lang w:eastAsia="es-CO"/>
              </w:rPr>
              <w:t>1,3</w:t>
            </w:r>
          </w:p>
        </w:tc>
      </w:tr>
      <w:tr w:rsidR="00297E57" w:rsidRPr="0039091F" w14:paraId="5066194E" w14:textId="77777777" w:rsidTr="0039091F">
        <w:trPr>
          <w:trHeight w:val="283"/>
        </w:trPr>
        <w:tc>
          <w:tcPr>
            <w:tcW w:w="229" w:type="pct"/>
            <w:vAlign w:val="center"/>
            <w:hideMark/>
          </w:tcPr>
          <w:p w14:paraId="5A537518" w14:textId="77777777" w:rsidR="00297E57" w:rsidRPr="0039091F" w:rsidRDefault="00297E57" w:rsidP="000A5389">
            <w:pPr>
              <w:spacing w:line="240" w:lineRule="auto"/>
              <w:jc w:val="center"/>
              <w:rPr>
                <w:rFonts w:eastAsia="Times New Roman" w:cs="Times New Roman"/>
                <w:color w:val="000000"/>
                <w:sz w:val="18"/>
                <w:szCs w:val="18"/>
                <w:lang w:eastAsia="es-CO"/>
              </w:rPr>
            </w:pPr>
            <w:r w:rsidRPr="0039091F">
              <w:rPr>
                <w:rFonts w:eastAsia="Times New Roman" w:cs="Times New Roman"/>
                <w:color w:val="000000"/>
                <w:sz w:val="18"/>
                <w:szCs w:val="18"/>
                <w:lang w:eastAsia="es-CO"/>
              </w:rPr>
              <w:t>9</w:t>
            </w:r>
          </w:p>
        </w:tc>
        <w:tc>
          <w:tcPr>
            <w:tcW w:w="777" w:type="pct"/>
            <w:vAlign w:val="center"/>
            <w:hideMark/>
          </w:tcPr>
          <w:p w14:paraId="4EBFFF3F" w14:textId="77777777" w:rsidR="00297E57" w:rsidRPr="0039091F" w:rsidRDefault="00297E57" w:rsidP="000A5389">
            <w:pPr>
              <w:spacing w:line="240" w:lineRule="auto"/>
              <w:rPr>
                <w:rFonts w:eastAsia="Times New Roman" w:cs="Times New Roman"/>
                <w:color w:val="000000"/>
                <w:sz w:val="18"/>
                <w:szCs w:val="18"/>
                <w:lang w:eastAsia="es-CO"/>
              </w:rPr>
            </w:pPr>
            <w:r w:rsidRPr="0039091F">
              <w:rPr>
                <w:rFonts w:eastAsia="Times New Roman" w:cs="Times New Roman"/>
                <w:color w:val="000000"/>
                <w:sz w:val="18"/>
                <w:szCs w:val="18"/>
                <w:lang w:eastAsia="es-CO"/>
              </w:rPr>
              <w:t>Seguridad y Salud en el Trabajo</w:t>
            </w:r>
          </w:p>
        </w:tc>
        <w:tc>
          <w:tcPr>
            <w:tcW w:w="1320" w:type="pct"/>
            <w:vAlign w:val="center"/>
            <w:hideMark/>
          </w:tcPr>
          <w:p w14:paraId="36AFF272" w14:textId="77777777" w:rsidR="00297E57" w:rsidRPr="0039091F" w:rsidRDefault="00297E57" w:rsidP="000A5389">
            <w:pPr>
              <w:spacing w:line="240" w:lineRule="auto"/>
              <w:rPr>
                <w:rFonts w:eastAsia="Times New Roman" w:cs="Times New Roman"/>
                <w:color w:val="000000"/>
                <w:sz w:val="18"/>
                <w:szCs w:val="18"/>
                <w:lang w:eastAsia="es-CO"/>
              </w:rPr>
            </w:pPr>
            <w:r w:rsidRPr="0039091F">
              <w:rPr>
                <w:rFonts w:eastAsia="Times New Roman" w:cs="Times New Roman"/>
                <w:color w:val="000000"/>
                <w:sz w:val="18"/>
                <w:szCs w:val="18"/>
                <w:lang w:eastAsia="es-CO"/>
              </w:rPr>
              <w:t>Capacitación Prevención del Riesgo psicosocial</w:t>
            </w:r>
          </w:p>
        </w:tc>
        <w:tc>
          <w:tcPr>
            <w:tcW w:w="1044" w:type="pct"/>
            <w:vAlign w:val="center"/>
            <w:hideMark/>
          </w:tcPr>
          <w:p w14:paraId="16F4E219" w14:textId="77777777" w:rsidR="00297E57" w:rsidRPr="0039091F" w:rsidRDefault="00297E57" w:rsidP="000A5389">
            <w:pPr>
              <w:spacing w:line="240" w:lineRule="auto"/>
              <w:jc w:val="center"/>
              <w:rPr>
                <w:rFonts w:eastAsia="Times New Roman" w:cs="Times New Roman"/>
                <w:color w:val="000000"/>
                <w:sz w:val="18"/>
                <w:szCs w:val="18"/>
                <w:lang w:eastAsia="es-CO"/>
              </w:rPr>
            </w:pPr>
            <w:r w:rsidRPr="0039091F">
              <w:rPr>
                <w:rFonts w:eastAsia="Times New Roman" w:cs="Times New Roman"/>
                <w:color w:val="000000"/>
                <w:sz w:val="18"/>
                <w:szCs w:val="18"/>
                <w:lang w:eastAsia="es-CO"/>
              </w:rPr>
              <w:t>ARL POSITIVA</w:t>
            </w:r>
          </w:p>
        </w:tc>
        <w:tc>
          <w:tcPr>
            <w:tcW w:w="464" w:type="pct"/>
            <w:vAlign w:val="center"/>
            <w:hideMark/>
          </w:tcPr>
          <w:p w14:paraId="4B929506" w14:textId="77777777" w:rsidR="00297E57" w:rsidRPr="0039091F" w:rsidRDefault="00297E57" w:rsidP="000A5389">
            <w:pPr>
              <w:spacing w:line="240" w:lineRule="auto"/>
              <w:jc w:val="center"/>
              <w:rPr>
                <w:rFonts w:eastAsia="Times New Roman" w:cs="Times New Roman"/>
                <w:color w:val="000000"/>
                <w:sz w:val="18"/>
                <w:szCs w:val="18"/>
                <w:lang w:eastAsia="es-CO"/>
              </w:rPr>
            </w:pPr>
            <w:r w:rsidRPr="0039091F">
              <w:rPr>
                <w:rFonts w:eastAsia="Times New Roman" w:cs="Times New Roman"/>
                <w:color w:val="000000"/>
                <w:sz w:val="18"/>
                <w:szCs w:val="18"/>
                <w:lang w:eastAsia="es-CO"/>
              </w:rPr>
              <w:t>16</w:t>
            </w:r>
          </w:p>
        </w:tc>
        <w:tc>
          <w:tcPr>
            <w:tcW w:w="527" w:type="pct"/>
            <w:vAlign w:val="center"/>
            <w:hideMark/>
          </w:tcPr>
          <w:p w14:paraId="516BED02" w14:textId="77777777" w:rsidR="00297E57" w:rsidRPr="0039091F" w:rsidRDefault="00297E57" w:rsidP="000A5389">
            <w:pPr>
              <w:spacing w:line="240" w:lineRule="auto"/>
              <w:jc w:val="center"/>
              <w:rPr>
                <w:rFonts w:eastAsia="Times New Roman" w:cs="Times New Roman"/>
                <w:color w:val="000000"/>
                <w:sz w:val="18"/>
                <w:szCs w:val="18"/>
                <w:lang w:eastAsia="es-CO"/>
              </w:rPr>
            </w:pPr>
            <w:r w:rsidRPr="0039091F">
              <w:rPr>
                <w:rFonts w:eastAsia="Times New Roman" w:cs="Times New Roman"/>
                <w:color w:val="000000"/>
                <w:sz w:val="18"/>
                <w:szCs w:val="18"/>
                <w:lang w:eastAsia="es-CO"/>
              </w:rPr>
              <w:t>19 de marzo</w:t>
            </w:r>
          </w:p>
        </w:tc>
        <w:tc>
          <w:tcPr>
            <w:tcW w:w="640" w:type="pct"/>
            <w:vAlign w:val="center"/>
            <w:hideMark/>
          </w:tcPr>
          <w:p w14:paraId="347039CC" w14:textId="77777777" w:rsidR="00297E57" w:rsidRPr="0039091F" w:rsidRDefault="00297E57" w:rsidP="000A5389">
            <w:pPr>
              <w:spacing w:line="240" w:lineRule="auto"/>
              <w:jc w:val="center"/>
              <w:rPr>
                <w:rFonts w:eastAsia="Times New Roman" w:cs="Times New Roman"/>
                <w:color w:val="000000"/>
                <w:sz w:val="18"/>
                <w:szCs w:val="18"/>
                <w:lang w:eastAsia="es-CO"/>
              </w:rPr>
            </w:pPr>
            <w:r w:rsidRPr="0039091F">
              <w:rPr>
                <w:rFonts w:eastAsia="Times New Roman" w:cs="Times New Roman"/>
                <w:color w:val="000000"/>
                <w:sz w:val="18"/>
                <w:szCs w:val="18"/>
                <w:lang w:eastAsia="es-CO"/>
              </w:rPr>
              <w:t>1,3</w:t>
            </w:r>
          </w:p>
        </w:tc>
      </w:tr>
      <w:tr w:rsidR="00297E57" w:rsidRPr="0039091F" w14:paraId="258E98ED" w14:textId="77777777" w:rsidTr="0039091F">
        <w:trPr>
          <w:trHeight w:val="283"/>
        </w:trPr>
        <w:tc>
          <w:tcPr>
            <w:tcW w:w="229" w:type="pct"/>
            <w:vAlign w:val="center"/>
            <w:hideMark/>
          </w:tcPr>
          <w:p w14:paraId="77E5A923" w14:textId="77777777" w:rsidR="00297E57" w:rsidRPr="0039091F" w:rsidRDefault="00297E57" w:rsidP="000A5389">
            <w:pPr>
              <w:spacing w:line="240" w:lineRule="auto"/>
              <w:jc w:val="center"/>
              <w:rPr>
                <w:rFonts w:eastAsia="Times New Roman" w:cs="Times New Roman"/>
                <w:color w:val="000000"/>
                <w:sz w:val="18"/>
                <w:szCs w:val="18"/>
                <w:lang w:eastAsia="es-CO"/>
              </w:rPr>
            </w:pPr>
            <w:r w:rsidRPr="0039091F">
              <w:rPr>
                <w:rFonts w:eastAsia="Times New Roman" w:cs="Times New Roman"/>
                <w:color w:val="000000"/>
                <w:sz w:val="18"/>
                <w:szCs w:val="18"/>
                <w:lang w:eastAsia="es-CO"/>
              </w:rPr>
              <w:t>10</w:t>
            </w:r>
          </w:p>
        </w:tc>
        <w:tc>
          <w:tcPr>
            <w:tcW w:w="777" w:type="pct"/>
            <w:vAlign w:val="center"/>
            <w:hideMark/>
          </w:tcPr>
          <w:p w14:paraId="4096A1D2" w14:textId="77777777" w:rsidR="00297E57" w:rsidRPr="0039091F" w:rsidRDefault="00297E57" w:rsidP="000A5389">
            <w:pPr>
              <w:spacing w:line="240" w:lineRule="auto"/>
              <w:rPr>
                <w:rFonts w:eastAsia="Times New Roman" w:cs="Times New Roman"/>
                <w:color w:val="000000"/>
                <w:sz w:val="18"/>
                <w:szCs w:val="18"/>
                <w:lang w:eastAsia="es-CO"/>
              </w:rPr>
            </w:pPr>
            <w:r w:rsidRPr="0039091F">
              <w:rPr>
                <w:rFonts w:eastAsia="Times New Roman" w:cs="Times New Roman"/>
                <w:color w:val="000000"/>
                <w:sz w:val="18"/>
                <w:szCs w:val="18"/>
                <w:lang w:eastAsia="es-CO"/>
              </w:rPr>
              <w:t>Eje 5 (Probidad, Ética e Identidad de lo público)</w:t>
            </w:r>
          </w:p>
        </w:tc>
        <w:tc>
          <w:tcPr>
            <w:tcW w:w="1320" w:type="pct"/>
            <w:vAlign w:val="center"/>
            <w:hideMark/>
          </w:tcPr>
          <w:p w14:paraId="6DCAC3BD" w14:textId="77777777" w:rsidR="00297E57" w:rsidRPr="0039091F" w:rsidRDefault="00297E57" w:rsidP="000A5389">
            <w:pPr>
              <w:spacing w:line="240" w:lineRule="auto"/>
              <w:rPr>
                <w:rFonts w:eastAsia="Times New Roman" w:cs="Times New Roman"/>
                <w:color w:val="000000"/>
                <w:sz w:val="18"/>
                <w:szCs w:val="18"/>
                <w:lang w:eastAsia="es-CO"/>
              </w:rPr>
            </w:pPr>
            <w:r w:rsidRPr="0039091F">
              <w:rPr>
                <w:rFonts w:eastAsia="Times New Roman" w:cs="Times New Roman"/>
                <w:color w:val="000000"/>
                <w:sz w:val="18"/>
                <w:szCs w:val="18"/>
                <w:lang w:eastAsia="es-CO"/>
              </w:rPr>
              <w:t>Capacitación La falta disciplinaria en la contratación estatal</w:t>
            </w:r>
          </w:p>
        </w:tc>
        <w:tc>
          <w:tcPr>
            <w:tcW w:w="1044" w:type="pct"/>
            <w:vAlign w:val="center"/>
            <w:hideMark/>
          </w:tcPr>
          <w:p w14:paraId="16C40A52" w14:textId="77777777" w:rsidR="00297E57" w:rsidRPr="0039091F" w:rsidRDefault="00297E57" w:rsidP="000A5389">
            <w:pPr>
              <w:spacing w:line="240" w:lineRule="auto"/>
              <w:jc w:val="center"/>
              <w:rPr>
                <w:rFonts w:eastAsia="Times New Roman" w:cs="Times New Roman"/>
                <w:color w:val="000000"/>
                <w:sz w:val="18"/>
                <w:szCs w:val="18"/>
                <w:lang w:eastAsia="es-CO"/>
              </w:rPr>
            </w:pPr>
            <w:r w:rsidRPr="0039091F">
              <w:rPr>
                <w:rFonts w:eastAsia="Times New Roman" w:cs="Times New Roman"/>
                <w:color w:val="000000"/>
                <w:sz w:val="18"/>
                <w:szCs w:val="18"/>
                <w:lang w:eastAsia="es-CO"/>
              </w:rPr>
              <w:t>Sociedad Académicos Abogados Asociados</w:t>
            </w:r>
          </w:p>
        </w:tc>
        <w:tc>
          <w:tcPr>
            <w:tcW w:w="464" w:type="pct"/>
            <w:vAlign w:val="center"/>
            <w:hideMark/>
          </w:tcPr>
          <w:p w14:paraId="79CCAB8D" w14:textId="77777777" w:rsidR="00297E57" w:rsidRPr="0039091F" w:rsidRDefault="00297E57" w:rsidP="000A5389">
            <w:pPr>
              <w:spacing w:line="240" w:lineRule="auto"/>
              <w:jc w:val="center"/>
              <w:rPr>
                <w:rFonts w:eastAsia="Times New Roman" w:cs="Times New Roman"/>
                <w:color w:val="000000"/>
                <w:sz w:val="18"/>
                <w:szCs w:val="18"/>
                <w:lang w:eastAsia="es-CO"/>
              </w:rPr>
            </w:pPr>
            <w:r w:rsidRPr="0039091F">
              <w:rPr>
                <w:rFonts w:eastAsia="Times New Roman" w:cs="Times New Roman"/>
                <w:color w:val="000000"/>
                <w:sz w:val="18"/>
                <w:szCs w:val="18"/>
                <w:lang w:eastAsia="es-CO"/>
              </w:rPr>
              <w:t>18</w:t>
            </w:r>
          </w:p>
        </w:tc>
        <w:tc>
          <w:tcPr>
            <w:tcW w:w="527" w:type="pct"/>
            <w:vAlign w:val="center"/>
            <w:hideMark/>
          </w:tcPr>
          <w:p w14:paraId="3BDE302B" w14:textId="77777777" w:rsidR="00297E57" w:rsidRPr="0039091F" w:rsidRDefault="00297E57" w:rsidP="000A5389">
            <w:pPr>
              <w:spacing w:line="240" w:lineRule="auto"/>
              <w:jc w:val="center"/>
              <w:rPr>
                <w:rFonts w:eastAsia="Times New Roman" w:cs="Times New Roman"/>
                <w:color w:val="000000"/>
                <w:sz w:val="18"/>
                <w:szCs w:val="18"/>
                <w:lang w:eastAsia="es-CO"/>
              </w:rPr>
            </w:pPr>
            <w:r w:rsidRPr="0039091F">
              <w:rPr>
                <w:rFonts w:eastAsia="Times New Roman" w:cs="Times New Roman"/>
                <w:color w:val="000000"/>
                <w:sz w:val="18"/>
                <w:szCs w:val="18"/>
                <w:lang w:eastAsia="es-CO"/>
              </w:rPr>
              <w:t>19 de marzo</w:t>
            </w:r>
          </w:p>
        </w:tc>
        <w:tc>
          <w:tcPr>
            <w:tcW w:w="640" w:type="pct"/>
            <w:vAlign w:val="center"/>
            <w:hideMark/>
          </w:tcPr>
          <w:p w14:paraId="55EAA37B" w14:textId="77777777" w:rsidR="00297E57" w:rsidRPr="0039091F" w:rsidRDefault="00297E57" w:rsidP="000A5389">
            <w:pPr>
              <w:spacing w:line="240" w:lineRule="auto"/>
              <w:jc w:val="center"/>
              <w:rPr>
                <w:rFonts w:eastAsia="Times New Roman" w:cs="Times New Roman"/>
                <w:color w:val="000000"/>
                <w:sz w:val="18"/>
                <w:szCs w:val="18"/>
                <w:lang w:eastAsia="es-CO"/>
              </w:rPr>
            </w:pPr>
            <w:r w:rsidRPr="0039091F">
              <w:rPr>
                <w:rFonts w:eastAsia="Times New Roman" w:cs="Times New Roman"/>
                <w:color w:val="000000"/>
                <w:sz w:val="18"/>
                <w:szCs w:val="18"/>
                <w:lang w:eastAsia="es-CO"/>
              </w:rPr>
              <w:t>1</w:t>
            </w:r>
          </w:p>
        </w:tc>
      </w:tr>
      <w:tr w:rsidR="00297E57" w:rsidRPr="0039091F" w14:paraId="1ADC552A" w14:textId="77777777" w:rsidTr="0039091F">
        <w:trPr>
          <w:trHeight w:val="283"/>
        </w:trPr>
        <w:tc>
          <w:tcPr>
            <w:tcW w:w="229" w:type="pct"/>
            <w:vAlign w:val="center"/>
            <w:hideMark/>
          </w:tcPr>
          <w:p w14:paraId="6A8D7D82" w14:textId="77777777" w:rsidR="00297E57" w:rsidRPr="0039091F" w:rsidRDefault="00297E57" w:rsidP="000A5389">
            <w:pPr>
              <w:spacing w:line="240" w:lineRule="auto"/>
              <w:jc w:val="center"/>
              <w:rPr>
                <w:rFonts w:eastAsia="Times New Roman" w:cs="Times New Roman"/>
                <w:color w:val="000000"/>
                <w:sz w:val="18"/>
                <w:szCs w:val="18"/>
                <w:lang w:eastAsia="es-CO"/>
              </w:rPr>
            </w:pPr>
            <w:r w:rsidRPr="0039091F">
              <w:rPr>
                <w:rFonts w:eastAsia="Times New Roman" w:cs="Times New Roman"/>
                <w:color w:val="000000"/>
                <w:sz w:val="18"/>
                <w:szCs w:val="18"/>
                <w:lang w:eastAsia="es-CO"/>
              </w:rPr>
              <w:t>11</w:t>
            </w:r>
          </w:p>
        </w:tc>
        <w:tc>
          <w:tcPr>
            <w:tcW w:w="777" w:type="pct"/>
            <w:vAlign w:val="center"/>
            <w:hideMark/>
          </w:tcPr>
          <w:p w14:paraId="5114D405" w14:textId="77777777" w:rsidR="00297E57" w:rsidRPr="0039091F" w:rsidRDefault="00297E57" w:rsidP="000A5389">
            <w:pPr>
              <w:spacing w:line="240" w:lineRule="auto"/>
              <w:rPr>
                <w:rFonts w:eastAsia="Times New Roman" w:cs="Times New Roman"/>
                <w:color w:val="000000"/>
                <w:sz w:val="18"/>
                <w:szCs w:val="18"/>
                <w:lang w:eastAsia="es-CO"/>
              </w:rPr>
            </w:pPr>
            <w:r w:rsidRPr="0039091F">
              <w:rPr>
                <w:rFonts w:eastAsia="Times New Roman" w:cs="Times New Roman"/>
                <w:color w:val="000000"/>
                <w:sz w:val="18"/>
                <w:szCs w:val="18"/>
                <w:lang w:eastAsia="es-CO"/>
              </w:rPr>
              <w:t>Eje 2 (Territorio, Vida y Ambiente) y Ambiental</w:t>
            </w:r>
          </w:p>
        </w:tc>
        <w:tc>
          <w:tcPr>
            <w:tcW w:w="1320" w:type="pct"/>
            <w:vAlign w:val="center"/>
            <w:hideMark/>
          </w:tcPr>
          <w:p w14:paraId="27169DF5" w14:textId="77777777" w:rsidR="00297E57" w:rsidRPr="0039091F" w:rsidRDefault="00297E57" w:rsidP="000A5389">
            <w:pPr>
              <w:spacing w:line="240" w:lineRule="auto"/>
              <w:rPr>
                <w:rFonts w:eastAsia="Times New Roman" w:cs="Times New Roman"/>
                <w:color w:val="000000"/>
                <w:sz w:val="18"/>
                <w:szCs w:val="18"/>
                <w:lang w:eastAsia="es-CO"/>
              </w:rPr>
            </w:pPr>
            <w:r w:rsidRPr="0039091F">
              <w:rPr>
                <w:rFonts w:eastAsia="Times New Roman" w:cs="Times New Roman"/>
                <w:color w:val="000000"/>
                <w:sz w:val="18"/>
                <w:szCs w:val="18"/>
                <w:lang w:eastAsia="es-CO"/>
              </w:rPr>
              <w:t>Capacitación en Producción y consumo sostenible – Sede Principal</w:t>
            </w:r>
          </w:p>
        </w:tc>
        <w:tc>
          <w:tcPr>
            <w:tcW w:w="1044" w:type="pct"/>
            <w:vAlign w:val="center"/>
            <w:hideMark/>
          </w:tcPr>
          <w:p w14:paraId="29B68730" w14:textId="77777777" w:rsidR="00297E57" w:rsidRPr="0039091F" w:rsidRDefault="00297E57" w:rsidP="000A5389">
            <w:pPr>
              <w:spacing w:line="240" w:lineRule="auto"/>
              <w:jc w:val="center"/>
              <w:rPr>
                <w:rFonts w:eastAsia="Times New Roman" w:cs="Times New Roman"/>
                <w:color w:val="000000"/>
                <w:sz w:val="18"/>
                <w:szCs w:val="18"/>
                <w:lang w:eastAsia="es-CO"/>
              </w:rPr>
            </w:pPr>
            <w:r w:rsidRPr="0039091F">
              <w:rPr>
                <w:rFonts w:eastAsia="Times New Roman" w:cs="Times New Roman"/>
                <w:color w:val="000000"/>
                <w:sz w:val="18"/>
                <w:szCs w:val="18"/>
                <w:lang w:eastAsia="es-CO"/>
              </w:rPr>
              <w:t>Secretaría Distrital de Ambiente (SDA)</w:t>
            </w:r>
          </w:p>
        </w:tc>
        <w:tc>
          <w:tcPr>
            <w:tcW w:w="464" w:type="pct"/>
            <w:vAlign w:val="center"/>
            <w:hideMark/>
          </w:tcPr>
          <w:p w14:paraId="5A6D0557" w14:textId="77777777" w:rsidR="00297E57" w:rsidRPr="0039091F" w:rsidRDefault="00297E57" w:rsidP="000A5389">
            <w:pPr>
              <w:spacing w:line="240" w:lineRule="auto"/>
              <w:jc w:val="center"/>
              <w:rPr>
                <w:rFonts w:eastAsia="Times New Roman" w:cs="Times New Roman"/>
                <w:color w:val="000000"/>
                <w:sz w:val="18"/>
                <w:szCs w:val="18"/>
                <w:lang w:eastAsia="es-CO"/>
              </w:rPr>
            </w:pPr>
            <w:r w:rsidRPr="0039091F">
              <w:rPr>
                <w:rFonts w:eastAsia="Times New Roman" w:cs="Times New Roman"/>
                <w:color w:val="000000"/>
                <w:sz w:val="18"/>
                <w:szCs w:val="18"/>
                <w:lang w:eastAsia="es-CO"/>
              </w:rPr>
              <w:t>7</w:t>
            </w:r>
          </w:p>
        </w:tc>
        <w:tc>
          <w:tcPr>
            <w:tcW w:w="527" w:type="pct"/>
            <w:vAlign w:val="center"/>
            <w:hideMark/>
          </w:tcPr>
          <w:p w14:paraId="2372D0B2" w14:textId="77777777" w:rsidR="00297E57" w:rsidRPr="0039091F" w:rsidRDefault="00297E57" w:rsidP="000A5389">
            <w:pPr>
              <w:spacing w:line="240" w:lineRule="auto"/>
              <w:jc w:val="center"/>
              <w:rPr>
                <w:rFonts w:eastAsia="Times New Roman" w:cs="Times New Roman"/>
                <w:color w:val="000000"/>
                <w:sz w:val="18"/>
                <w:szCs w:val="18"/>
                <w:lang w:eastAsia="es-CO"/>
              </w:rPr>
            </w:pPr>
            <w:r w:rsidRPr="0039091F">
              <w:rPr>
                <w:rFonts w:eastAsia="Times New Roman" w:cs="Times New Roman"/>
                <w:color w:val="000000"/>
                <w:sz w:val="18"/>
                <w:szCs w:val="18"/>
                <w:lang w:eastAsia="es-CO"/>
              </w:rPr>
              <w:t>27</w:t>
            </w:r>
          </w:p>
        </w:tc>
        <w:tc>
          <w:tcPr>
            <w:tcW w:w="640" w:type="pct"/>
            <w:vAlign w:val="center"/>
            <w:hideMark/>
          </w:tcPr>
          <w:p w14:paraId="06BCFA55" w14:textId="77777777" w:rsidR="00297E57" w:rsidRPr="0039091F" w:rsidRDefault="00297E57" w:rsidP="000A5389">
            <w:pPr>
              <w:spacing w:line="240" w:lineRule="auto"/>
              <w:jc w:val="center"/>
              <w:rPr>
                <w:rFonts w:eastAsia="Times New Roman" w:cs="Times New Roman"/>
                <w:color w:val="000000"/>
                <w:sz w:val="18"/>
                <w:szCs w:val="18"/>
                <w:lang w:eastAsia="es-CO"/>
              </w:rPr>
            </w:pPr>
            <w:r w:rsidRPr="0039091F">
              <w:rPr>
                <w:rFonts w:eastAsia="Times New Roman" w:cs="Times New Roman"/>
                <w:color w:val="000000"/>
                <w:sz w:val="18"/>
                <w:szCs w:val="18"/>
                <w:lang w:eastAsia="es-CO"/>
              </w:rPr>
              <w:t>1 </w:t>
            </w:r>
          </w:p>
        </w:tc>
      </w:tr>
      <w:tr w:rsidR="00297E57" w:rsidRPr="0039091F" w14:paraId="2AE66E48" w14:textId="77777777" w:rsidTr="0039091F">
        <w:trPr>
          <w:trHeight w:val="283"/>
        </w:trPr>
        <w:tc>
          <w:tcPr>
            <w:tcW w:w="229" w:type="pct"/>
            <w:vAlign w:val="center"/>
            <w:hideMark/>
          </w:tcPr>
          <w:p w14:paraId="11BBEE46" w14:textId="77777777" w:rsidR="00297E57" w:rsidRPr="0039091F" w:rsidRDefault="00297E57" w:rsidP="000A5389">
            <w:pPr>
              <w:spacing w:line="240" w:lineRule="auto"/>
              <w:jc w:val="center"/>
              <w:rPr>
                <w:rFonts w:eastAsia="Times New Roman" w:cs="Times New Roman"/>
                <w:color w:val="000000"/>
                <w:sz w:val="18"/>
                <w:szCs w:val="18"/>
                <w:lang w:eastAsia="es-CO"/>
              </w:rPr>
            </w:pPr>
            <w:r w:rsidRPr="0039091F">
              <w:rPr>
                <w:rFonts w:eastAsia="Times New Roman" w:cs="Times New Roman"/>
                <w:color w:val="000000"/>
                <w:sz w:val="18"/>
                <w:szCs w:val="18"/>
                <w:lang w:eastAsia="es-CO"/>
              </w:rPr>
              <w:t>12</w:t>
            </w:r>
          </w:p>
        </w:tc>
        <w:tc>
          <w:tcPr>
            <w:tcW w:w="777" w:type="pct"/>
            <w:vAlign w:val="center"/>
            <w:hideMark/>
          </w:tcPr>
          <w:p w14:paraId="71B0A7E0" w14:textId="77777777" w:rsidR="00297E57" w:rsidRPr="0039091F" w:rsidRDefault="00297E57" w:rsidP="000A5389">
            <w:pPr>
              <w:spacing w:line="240" w:lineRule="auto"/>
              <w:rPr>
                <w:rFonts w:eastAsia="Times New Roman" w:cs="Times New Roman"/>
                <w:color w:val="000000"/>
                <w:sz w:val="18"/>
                <w:szCs w:val="18"/>
                <w:lang w:eastAsia="es-CO"/>
              </w:rPr>
            </w:pPr>
            <w:r w:rsidRPr="0039091F">
              <w:rPr>
                <w:rFonts w:eastAsia="Times New Roman" w:cs="Times New Roman"/>
                <w:color w:val="000000"/>
                <w:sz w:val="18"/>
                <w:szCs w:val="18"/>
                <w:lang w:eastAsia="es-CO"/>
              </w:rPr>
              <w:t xml:space="preserve">Eje 2 (Territorio, Vida y Ambiente) </w:t>
            </w:r>
          </w:p>
        </w:tc>
        <w:tc>
          <w:tcPr>
            <w:tcW w:w="1320" w:type="pct"/>
            <w:vAlign w:val="center"/>
            <w:hideMark/>
          </w:tcPr>
          <w:p w14:paraId="21254246" w14:textId="77777777" w:rsidR="00297E57" w:rsidRPr="0039091F" w:rsidRDefault="00297E57" w:rsidP="000A5389">
            <w:pPr>
              <w:spacing w:line="240" w:lineRule="auto"/>
              <w:rPr>
                <w:rFonts w:eastAsia="Times New Roman" w:cs="Times New Roman"/>
                <w:color w:val="000000"/>
                <w:sz w:val="18"/>
                <w:szCs w:val="18"/>
                <w:lang w:eastAsia="es-CO"/>
              </w:rPr>
            </w:pPr>
            <w:r w:rsidRPr="0039091F">
              <w:rPr>
                <w:rFonts w:eastAsia="Times New Roman" w:cs="Times New Roman"/>
                <w:color w:val="000000"/>
                <w:sz w:val="18"/>
                <w:szCs w:val="18"/>
                <w:lang w:eastAsia="es-CO"/>
              </w:rPr>
              <w:t>Capacitación en Producción y consumo sostenible –Sede Montevideo</w:t>
            </w:r>
          </w:p>
        </w:tc>
        <w:tc>
          <w:tcPr>
            <w:tcW w:w="1044" w:type="pct"/>
            <w:vAlign w:val="center"/>
            <w:hideMark/>
          </w:tcPr>
          <w:p w14:paraId="2D6C41AF" w14:textId="77777777" w:rsidR="00297E57" w:rsidRPr="0039091F" w:rsidRDefault="00297E57" w:rsidP="000A5389">
            <w:pPr>
              <w:spacing w:line="240" w:lineRule="auto"/>
              <w:jc w:val="center"/>
              <w:rPr>
                <w:rFonts w:eastAsia="Times New Roman" w:cs="Times New Roman"/>
                <w:color w:val="000000"/>
                <w:sz w:val="18"/>
                <w:szCs w:val="18"/>
                <w:lang w:eastAsia="es-CO"/>
              </w:rPr>
            </w:pPr>
            <w:r w:rsidRPr="0039091F">
              <w:rPr>
                <w:rFonts w:eastAsia="Times New Roman" w:cs="Times New Roman"/>
                <w:color w:val="000000"/>
                <w:sz w:val="18"/>
                <w:szCs w:val="18"/>
                <w:lang w:eastAsia="es-CO"/>
              </w:rPr>
              <w:t>Secretaría Distrital de Ambiente (SDA)</w:t>
            </w:r>
          </w:p>
        </w:tc>
        <w:tc>
          <w:tcPr>
            <w:tcW w:w="464" w:type="pct"/>
            <w:vAlign w:val="center"/>
            <w:hideMark/>
          </w:tcPr>
          <w:p w14:paraId="2D20B0A4" w14:textId="77777777" w:rsidR="00297E57" w:rsidRPr="0039091F" w:rsidRDefault="00297E57" w:rsidP="000A5389">
            <w:pPr>
              <w:spacing w:line="240" w:lineRule="auto"/>
              <w:jc w:val="center"/>
              <w:rPr>
                <w:rFonts w:eastAsia="Times New Roman" w:cs="Times New Roman"/>
                <w:color w:val="000000"/>
                <w:sz w:val="18"/>
                <w:szCs w:val="18"/>
                <w:lang w:eastAsia="es-CO"/>
              </w:rPr>
            </w:pPr>
            <w:r w:rsidRPr="0039091F">
              <w:rPr>
                <w:rFonts w:eastAsia="Times New Roman" w:cs="Times New Roman"/>
                <w:color w:val="000000"/>
                <w:sz w:val="18"/>
                <w:szCs w:val="18"/>
                <w:lang w:eastAsia="es-CO"/>
              </w:rPr>
              <w:t>10</w:t>
            </w:r>
          </w:p>
        </w:tc>
        <w:tc>
          <w:tcPr>
            <w:tcW w:w="527" w:type="pct"/>
            <w:vAlign w:val="center"/>
            <w:hideMark/>
          </w:tcPr>
          <w:p w14:paraId="5A2543CA" w14:textId="77777777" w:rsidR="00297E57" w:rsidRPr="0039091F" w:rsidRDefault="00297E57" w:rsidP="000A5389">
            <w:pPr>
              <w:spacing w:line="240" w:lineRule="auto"/>
              <w:jc w:val="center"/>
              <w:rPr>
                <w:rFonts w:eastAsia="Times New Roman" w:cs="Times New Roman"/>
                <w:color w:val="000000"/>
                <w:sz w:val="18"/>
                <w:szCs w:val="18"/>
                <w:lang w:eastAsia="es-CO"/>
              </w:rPr>
            </w:pPr>
            <w:r w:rsidRPr="0039091F">
              <w:rPr>
                <w:rFonts w:eastAsia="Times New Roman" w:cs="Times New Roman"/>
                <w:color w:val="000000"/>
                <w:sz w:val="18"/>
                <w:szCs w:val="18"/>
                <w:lang w:eastAsia="es-CO"/>
              </w:rPr>
              <w:t>28</w:t>
            </w:r>
          </w:p>
        </w:tc>
        <w:tc>
          <w:tcPr>
            <w:tcW w:w="640" w:type="pct"/>
            <w:vAlign w:val="center"/>
            <w:hideMark/>
          </w:tcPr>
          <w:p w14:paraId="62A68FC5" w14:textId="77777777" w:rsidR="00297E57" w:rsidRPr="0039091F" w:rsidRDefault="00297E57" w:rsidP="000A5389">
            <w:pPr>
              <w:spacing w:line="240" w:lineRule="auto"/>
              <w:jc w:val="center"/>
              <w:rPr>
                <w:rFonts w:eastAsia="Times New Roman" w:cs="Times New Roman"/>
                <w:color w:val="000000"/>
                <w:sz w:val="18"/>
                <w:szCs w:val="18"/>
                <w:lang w:eastAsia="es-CO"/>
              </w:rPr>
            </w:pPr>
            <w:r w:rsidRPr="0039091F">
              <w:rPr>
                <w:rFonts w:eastAsia="Times New Roman" w:cs="Times New Roman"/>
                <w:color w:val="000000"/>
                <w:sz w:val="18"/>
                <w:szCs w:val="18"/>
                <w:lang w:eastAsia="es-CO"/>
              </w:rPr>
              <w:t>1</w:t>
            </w:r>
          </w:p>
        </w:tc>
      </w:tr>
      <w:tr w:rsidR="00297E57" w:rsidRPr="0039091F" w14:paraId="6392449F" w14:textId="77777777" w:rsidTr="0039091F">
        <w:trPr>
          <w:trHeight w:val="283"/>
        </w:trPr>
        <w:tc>
          <w:tcPr>
            <w:tcW w:w="229" w:type="pct"/>
            <w:vAlign w:val="center"/>
            <w:hideMark/>
          </w:tcPr>
          <w:p w14:paraId="65218158" w14:textId="77777777" w:rsidR="00297E57" w:rsidRPr="0039091F" w:rsidRDefault="00297E57" w:rsidP="000A5389">
            <w:pPr>
              <w:spacing w:line="240" w:lineRule="auto"/>
              <w:jc w:val="center"/>
              <w:rPr>
                <w:rFonts w:eastAsia="Times New Roman" w:cs="Times New Roman"/>
                <w:color w:val="000000"/>
                <w:sz w:val="18"/>
                <w:szCs w:val="18"/>
                <w:lang w:eastAsia="es-CO"/>
              </w:rPr>
            </w:pPr>
            <w:r w:rsidRPr="0039091F">
              <w:rPr>
                <w:rFonts w:eastAsia="Times New Roman" w:cs="Times New Roman"/>
                <w:color w:val="000000"/>
                <w:sz w:val="18"/>
                <w:szCs w:val="18"/>
                <w:lang w:eastAsia="es-CO"/>
              </w:rPr>
              <w:lastRenderedPageBreak/>
              <w:t>13</w:t>
            </w:r>
          </w:p>
        </w:tc>
        <w:tc>
          <w:tcPr>
            <w:tcW w:w="777" w:type="pct"/>
            <w:vAlign w:val="center"/>
            <w:hideMark/>
          </w:tcPr>
          <w:p w14:paraId="516BE7DB" w14:textId="77777777" w:rsidR="00297E57" w:rsidRPr="0039091F" w:rsidRDefault="00297E57" w:rsidP="000A5389">
            <w:pPr>
              <w:spacing w:line="240" w:lineRule="auto"/>
              <w:rPr>
                <w:rFonts w:eastAsia="Times New Roman" w:cs="Times New Roman"/>
                <w:color w:val="000000"/>
                <w:sz w:val="18"/>
                <w:szCs w:val="18"/>
                <w:lang w:eastAsia="es-CO"/>
              </w:rPr>
            </w:pPr>
            <w:r w:rsidRPr="0039091F">
              <w:rPr>
                <w:rFonts w:eastAsia="Times New Roman" w:cs="Times New Roman"/>
                <w:color w:val="000000"/>
                <w:sz w:val="18"/>
                <w:szCs w:val="18"/>
                <w:lang w:eastAsia="es-CO"/>
              </w:rPr>
              <w:t>Habilidades y Conocimientos e identificadas para contribuir al cumplimiento metas</w:t>
            </w:r>
          </w:p>
        </w:tc>
        <w:tc>
          <w:tcPr>
            <w:tcW w:w="1320" w:type="pct"/>
            <w:vAlign w:val="center"/>
            <w:hideMark/>
          </w:tcPr>
          <w:p w14:paraId="33AAA310" w14:textId="77777777" w:rsidR="00297E57" w:rsidRPr="0039091F" w:rsidRDefault="00297E57" w:rsidP="000A5389">
            <w:pPr>
              <w:spacing w:line="240" w:lineRule="auto"/>
              <w:rPr>
                <w:rFonts w:eastAsia="Times New Roman" w:cs="Times New Roman"/>
                <w:color w:val="000000"/>
                <w:sz w:val="18"/>
                <w:szCs w:val="18"/>
                <w:lang w:eastAsia="es-CO"/>
              </w:rPr>
            </w:pPr>
            <w:r w:rsidRPr="0039091F">
              <w:rPr>
                <w:rFonts w:eastAsia="Times New Roman" w:cs="Times New Roman"/>
                <w:color w:val="000000"/>
                <w:sz w:val="18"/>
                <w:szCs w:val="18"/>
                <w:lang w:eastAsia="es-CO"/>
              </w:rPr>
              <w:t>Diplomado en Contratación Estatal, con énfasis en procedimiento administrativo sancionatorio</w:t>
            </w:r>
          </w:p>
        </w:tc>
        <w:tc>
          <w:tcPr>
            <w:tcW w:w="1044" w:type="pct"/>
            <w:vAlign w:val="center"/>
            <w:hideMark/>
          </w:tcPr>
          <w:p w14:paraId="343E62DF" w14:textId="77777777" w:rsidR="00297E57" w:rsidRPr="0039091F" w:rsidRDefault="00297E57" w:rsidP="000A5389">
            <w:pPr>
              <w:spacing w:line="240" w:lineRule="auto"/>
              <w:jc w:val="center"/>
              <w:rPr>
                <w:rFonts w:eastAsia="Times New Roman" w:cs="Times New Roman"/>
                <w:color w:val="000000"/>
                <w:sz w:val="18"/>
                <w:szCs w:val="18"/>
                <w:lang w:eastAsia="es-CO"/>
              </w:rPr>
            </w:pPr>
            <w:r w:rsidRPr="0039091F">
              <w:rPr>
                <w:rFonts w:eastAsia="Times New Roman" w:cs="Times New Roman"/>
                <w:color w:val="000000"/>
                <w:sz w:val="18"/>
                <w:szCs w:val="18"/>
                <w:lang w:eastAsia="es-CO"/>
              </w:rPr>
              <w:t>Universidad d Nacional de Colombia (UNAL)</w:t>
            </w:r>
          </w:p>
        </w:tc>
        <w:tc>
          <w:tcPr>
            <w:tcW w:w="464" w:type="pct"/>
            <w:vAlign w:val="center"/>
            <w:hideMark/>
          </w:tcPr>
          <w:p w14:paraId="5863D87B" w14:textId="77777777" w:rsidR="00297E57" w:rsidRPr="0039091F" w:rsidRDefault="00297E57" w:rsidP="000A5389">
            <w:pPr>
              <w:spacing w:line="240" w:lineRule="auto"/>
              <w:jc w:val="center"/>
              <w:rPr>
                <w:rFonts w:eastAsia="Times New Roman" w:cs="Times New Roman"/>
                <w:color w:val="000000"/>
                <w:sz w:val="18"/>
                <w:szCs w:val="18"/>
                <w:lang w:eastAsia="es-CO"/>
              </w:rPr>
            </w:pPr>
            <w:r w:rsidRPr="0039091F">
              <w:rPr>
                <w:rFonts w:eastAsia="Times New Roman" w:cs="Times New Roman"/>
                <w:color w:val="000000"/>
                <w:sz w:val="18"/>
                <w:szCs w:val="18"/>
                <w:lang w:eastAsia="es-CO"/>
              </w:rPr>
              <w:t>30</w:t>
            </w:r>
          </w:p>
        </w:tc>
        <w:tc>
          <w:tcPr>
            <w:tcW w:w="527" w:type="pct"/>
            <w:vAlign w:val="center"/>
            <w:hideMark/>
          </w:tcPr>
          <w:p w14:paraId="0974CDDD" w14:textId="77777777" w:rsidR="00297E57" w:rsidRPr="0039091F" w:rsidRDefault="00297E57" w:rsidP="000A5389">
            <w:pPr>
              <w:spacing w:line="240" w:lineRule="auto"/>
              <w:jc w:val="center"/>
              <w:rPr>
                <w:rFonts w:eastAsia="Times New Roman" w:cs="Times New Roman"/>
                <w:color w:val="000000"/>
                <w:sz w:val="18"/>
                <w:szCs w:val="18"/>
                <w:lang w:eastAsia="es-CO"/>
              </w:rPr>
            </w:pPr>
            <w:r w:rsidRPr="0039091F">
              <w:rPr>
                <w:rFonts w:eastAsia="Times New Roman" w:cs="Times New Roman"/>
                <w:color w:val="000000"/>
                <w:sz w:val="18"/>
                <w:szCs w:val="18"/>
                <w:lang w:eastAsia="es-CO"/>
              </w:rPr>
              <w:t>04 de marzo al 25 de junio</w:t>
            </w:r>
          </w:p>
        </w:tc>
        <w:tc>
          <w:tcPr>
            <w:tcW w:w="640" w:type="pct"/>
            <w:vAlign w:val="center"/>
            <w:hideMark/>
          </w:tcPr>
          <w:p w14:paraId="610A4F54" w14:textId="77777777" w:rsidR="00297E57" w:rsidRPr="0039091F" w:rsidRDefault="00297E57" w:rsidP="000A5389">
            <w:pPr>
              <w:spacing w:line="240" w:lineRule="auto"/>
              <w:jc w:val="center"/>
              <w:rPr>
                <w:rFonts w:eastAsia="Times New Roman" w:cs="Times New Roman"/>
                <w:color w:val="000000"/>
                <w:sz w:val="18"/>
                <w:szCs w:val="18"/>
                <w:lang w:eastAsia="es-CO"/>
              </w:rPr>
            </w:pPr>
            <w:r w:rsidRPr="0039091F">
              <w:rPr>
                <w:rFonts w:eastAsia="Times New Roman" w:cs="Times New Roman"/>
                <w:color w:val="000000"/>
                <w:sz w:val="18"/>
                <w:szCs w:val="18"/>
                <w:lang w:eastAsia="es-CO"/>
              </w:rPr>
              <w:t>100</w:t>
            </w:r>
          </w:p>
        </w:tc>
      </w:tr>
      <w:tr w:rsidR="00297E57" w:rsidRPr="0039091F" w14:paraId="129EE9CE" w14:textId="77777777" w:rsidTr="0039091F">
        <w:trPr>
          <w:trHeight w:val="283"/>
        </w:trPr>
        <w:tc>
          <w:tcPr>
            <w:tcW w:w="229" w:type="pct"/>
            <w:vAlign w:val="center"/>
            <w:hideMark/>
          </w:tcPr>
          <w:p w14:paraId="7D5F724E" w14:textId="77777777" w:rsidR="00297E57" w:rsidRPr="0039091F" w:rsidRDefault="00297E57" w:rsidP="000A5389">
            <w:pPr>
              <w:spacing w:line="240" w:lineRule="auto"/>
              <w:jc w:val="center"/>
              <w:rPr>
                <w:rFonts w:eastAsia="Times New Roman" w:cs="Times New Roman"/>
                <w:color w:val="000000"/>
                <w:sz w:val="18"/>
                <w:szCs w:val="18"/>
                <w:lang w:eastAsia="es-CO"/>
              </w:rPr>
            </w:pPr>
            <w:r w:rsidRPr="0039091F">
              <w:rPr>
                <w:rFonts w:eastAsia="Times New Roman" w:cs="Times New Roman"/>
                <w:color w:val="000000"/>
                <w:sz w:val="18"/>
                <w:szCs w:val="18"/>
                <w:lang w:eastAsia="es-CO"/>
              </w:rPr>
              <w:t>14</w:t>
            </w:r>
          </w:p>
        </w:tc>
        <w:tc>
          <w:tcPr>
            <w:tcW w:w="777" w:type="pct"/>
            <w:vAlign w:val="center"/>
            <w:hideMark/>
          </w:tcPr>
          <w:p w14:paraId="51B125C7" w14:textId="77777777" w:rsidR="00297E57" w:rsidRPr="0039091F" w:rsidRDefault="00297E57" w:rsidP="000A5389">
            <w:pPr>
              <w:spacing w:line="240" w:lineRule="auto"/>
              <w:rPr>
                <w:rFonts w:eastAsia="Times New Roman" w:cs="Times New Roman"/>
                <w:color w:val="000000"/>
                <w:sz w:val="18"/>
                <w:szCs w:val="18"/>
                <w:lang w:eastAsia="es-CO"/>
              </w:rPr>
            </w:pPr>
            <w:r w:rsidRPr="0039091F">
              <w:rPr>
                <w:rFonts w:eastAsia="Times New Roman" w:cs="Times New Roman"/>
                <w:color w:val="000000"/>
                <w:sz w:val="18"/>
                <w:szCs w:val="18"/>
                <w:lang w:eastAsia="es-CO"/>
              </w:rPr>
              <w:t>Eje 3 (Mujeres, inclusión y Diversidad), Eje 5 (Probidad, Ética e Identidad de lo público) y Equidad de Género</w:t>
            </w:r>
          </w:p>
        </w:tc>
        <w:tc>
          <w:tcPr>
            <w:tcW w:w="1320" w:type="pct"/>
            <w:vAlign w:val="center"/>
            <w:hideMark/>
          </w:tcPr>
          <w:p w14:paraId="14031E7C" w14:textId="77777777" w:rsidR="00297E57" w:rsidRPr="0039091F" w:rsidRDefault="00297E57" w:rsidP="000A5389">
            <w:pPr>
              <w:spacing w:line="240" w:lineRule="auto"/>
              <w:rPr>
                <w:rFonts w:eastAsia="Times New Roman" w:cs="Times New Roman"/>
                <w:color w:val="000000"/>
                <w:sz w:val="18"/>
                <w:szCs w:val="18"/>
                <w:lang w:eastAsia="es-CO"/>
              </w:rPr>
            </w:pPr>
            <w:r w:rsidRPr="0039091F">
              <w:rPr>
                <w:rFonts w:eastAsia="Times New Roman" w:cs="Times New Roman"/>
                <w:color w:val="000000"/>
                <w:sz w:val="18"/>
                <w:szCs w:val="18"/>
                <w:lang w:eastAsia="es-CO"/>
              </w:rPr>
              <w:t>Curso de Liderazgo Inclusivo y Equidad de Género</w:t>
            </w:r>
          </w:p>
        </w:tc>
        <w:tc>
          <w:tcPr>
            <w:tcW w:w="1044" w:type="pct"/>
            <w:vAlign w:val="center"/>
            <w:hideMark/>
          </w:tcPr>
          <w:p w14:paraId="56B530B2" w14:textId="77777777" w:rsidR="00297E57" w:rsidRPr="0039091F" w:rsidRDefault="00297E57" w:rsidP="000A5389">
            <w:pPr>
              <w:spacing w:line="240" w:lineRule="auto"/>
              <w:jc w:val="center"/>
              <w:rPr>
                <w:rFonts w:eastAsia="Times New Roman" w:cs="Times New Roman"/>
                <w:color w:val="000000"/>
                <w:sz w:val="18"/>
                <w:szCs w:val="18"/>
                <w:lang w:eastAsia="es-CO"/>
              </w:rPr>
            </w:pPr>
            <w:r w:rsidRPr="0039091F">
              <w:rPr>
                <w:rFonts w:eastAsia="Times New Roman" w:cs="Times New Roman"/>
                <w:color w:val="000000"/>
                <w:sz w:val="18"/>
                <w:szCs w:val="18"/>
                <w:lang w:eastAsia="es-CO"/>
              </w:rPr>
              <w:t>Universidad Nacional de Colombia (UNAL)</w:t>
            </w:r>
          </w:p>
        </w:tc>
        <w:tc>
          <w:tcPr>
            <w:tcW w:w="464" w:type="pct"/>
            <w:vAlign w:val="center"/>
            <w:hideMark/>
          </w:tcPr>
          <w:p w14:paraId="0019F89B" w14:textId="77777777" w:rsidR="00297E57" w:rsidRPr="0039091F" w:rsidRDefault="00297E57" w:rsidP="000A5389">
            <w:pPr>
              <w:spacing w:line="240" w:lineRule="auto"/>
              <w:jc w:val="center"/>
              <w:rPr>
                <w:rFonts w:eastAsia="Times New Roman" w:cs="Times New Roman"/>
                <w:color w:val="000000"/>
                <w:sz w:val="18"/>
                <w:szCs w:val="18"/>
                <w:lang w:eastAsia="es-CO"/>
              </w:rPr>
            </w:pPr>
            <w:r w:rsidRPr="0039091F">
              <w:rPr>
                <w:rFonts w:eastAsia="Times New Roman" w:cs="Times New Roman"/>
                <w:color w:val="000000"/>
                <w:sz w:val="18"/>
                <w:szCs w:val="18"/>
                <w:lang w:eastAsia="es-CO"/>
              </w:rPr>
              <w:t> 10</w:t>
            </w:r>
          </w:p>
        </w:tc>
        <w:tc>
          <w:tcPr>
            <w:tcW w:w="527" w:type="pct"/>
            <w:vAlign w:val="center"/>
            <w:hideMark/>
          </w:tcPr>
          <w:p w14:paraId="7F6300E9" w14:textId="77777777" w:rsidR="00297E57" w:rsidRPr="0039091F" w:rsidRDefault="00297E57" w:rsidP="000A5389">
            <w:pPr>
              <w:spacing w:line="240" w:lineRule="auto"/>
              <w:jc w:val="center"/>
              <w:rPr>
                <w:rFonts w:eastAsia="Times New Roman" w:cs="Times New Roman"/>
                <w:color w:val="000000"/>
                <w:sz w:val="18"/>
                <w:szCs w:val="18"/>
                <w:lang w:eastAsia="es-CO"/>
              </w:rPr>
            </w:pPr>
            <w:r w:rsidRPr="0039091F">
              <w:rPr>
                <w:rFonts w:eastAsia="Times New Roman" w:cs="Times New Roman"/>
                <w:color w:val="000000"/>
                <w:sz w:val="18"/>
                <w:szCs w:val="18"/>
                <w:lang w:eastAsia="es-CO"/>
              </w:rPr>
              <w:t xml:space="preserve">  28 de marzo al 30 de abril</w:t>
            </w:r>
          </w:p>
        </w:tc>
        <w:tc>
          <w:tcPr>
            <w:tcW w:w="640" w:type="pct"/>
            <w:vAlign w:val="center"/>
            <w:hideMark/>
          </w:tcPr>
          <w:p w14:paraId="1426EA1A" w14:textId="77777777" w:rsidR="00297E57" w:rsidRPr="0039091F" w:rsidRDefault="00297E57" w:rsidP="000A5389">
            <w:pPr>
              <w:spacing w:line="240" w:lineRule="auto"/>
              <w:jc w:val="center"/>
              <w:rPr>
                <w:rFonts w:eastAsia="Times New Roman" w:cs="Times New Roman"/>
                <w:color w:val="000000"/>
                <w:sz w:val="18"/>
                <w:szCs w:val="18"/>
                <w:lang w:eastAsia="es-CO"/>
              </w:rPr>
            </w:pPr>
          </w:p>
          <w:p w14:paraId="33EFA783" w14:textId="77777777" w:rsidR="00297E57" w:rsidRPr="0039091F" w:rsidRDefault="00297E57" w:rsidP="000A5389">
            <w:pPr>
              <w:spacing w:line="240" w:lineRule="auto"/>
              <w:jc w:val="center"/>
              <w:rPr>
                <w:rFonts w:eastAsia="Times New Roman" w:cs="Times New Roman"/>
                <w:color w:val="000000"/>
                <w:sz w:val="18"/>
                <w:szCs w:val="18"/>
                <w:lang w:eastAsia="es-CO"/>
              </w:rPr>
            </w:pPr>
            <w:r w:rsidRPr="0039091F">
              <w:rPr>
                <w:rFonts w:eastAsia="Times New Roman" w:cs="Times New Roman"/>
                <w:color w:val="000000"/>
                <w:sz w:val="18"/>
                <w:szCs w:val="18"/>
                <w:lang w:eastAsia="es-CO"/>
              </w:rPr>
              <w:t>20</w:t>
            </w:r>
          </w:p>
          <w:p w14:paraId="0BFA0BAF" w14:textId="77777777" w:rsidR="00297E57" w:rsidRPr="0039091F" w:rsidRDefault="00297E57" w:rsidP="000A5389">
            <w:pPr>
              <w:spacing w:line="240" w:lineRule="auto"/>
              <w:jc w:val="center"/>
              <w:rPr>
                <w:rFonts w:eastAsia="Times New Roman" w:cs="Times New Roman"/>
                <w:sz w:val="18"/>
                <w:szCs w:val="18"/>
                <w:lang w:eastAsia="es-CO"/>
              </w:rPr>
            </w:pPr>
          </w:p>
        </w:tc>
      </w:tr>
      <w:tr w:rsidR="00297E57" w:rsidRPr="0039091F" w14:paraId="4C308592" w14:textId="77777777" w:rsidTr="0039091F">
        <w:trPr>
          <w:trHeight w:val="283"/>
        </w:trPr>
        <w:tc>
          <w:tcPr>
            <w:tcW w:w="229" w:type="pct"/>
            <w:vAlign w:val="center"/>
            <w:hideMark/>
          </w:tcPr>
          <w:p w14:paraId="757C4445" w14:textId="77777777" w:rsidR="00297E57" w:rsidRPr="0039091F" w:rsidRDefault="00297E57" w:rsidP="000A5389">
            <w:pPr>
              <w:spacing w:line="240" w:lineRule="auto"/>
              <w:jc w:val="center"/>
              <w:rPr>
                <w:rFonts w:eastAsia="Times New Roman" w:cs="Times New Roman"/>
                <w:color w:val="000000"/>
                <w:sz w:val="18"/>
                <w:szCs w:val="18"/>
                <w:lang w:eastAsia="es-CO"/>
              </w:rPr>
            </w:pPr>
            <w:r w:rsidRPr="0039091F">
              <w:rPr>
                <w:rFonts w:eastAsia="Times New Roman" w:cs="Times New Roman"/>
                <w:color w:val="000000"/>
                <w:sz w:val="18"/>
                <w:szCs w:val="18"/>
                <w:lang w:eastAsia="es-CO"/>
              </w:rPr>
              <w:t>15</w:t>
            </w:r>
          </w:p>
        </w:tc>
        <w:tc>
          <w:tcPr>
            <w:tcW w:w="777" w:type="pct"/>
            <w:vAlign w:val="center"/>
            <w:hideMark/>
          </w:tcPr>
          <w:p w14:paraId="3B54135D" w14:textId="77777777" w:rsidR="00297E57" w:rsidRPr="0039091F" w:rsidRDefault="00297E57" w:rsidP="000A5389">
            <w:pPr>
              <w:spacing w:line="240" w:lineRule="auto"/>
              <w:rPr>
                <w:rFonts w:eastAsia="Times New Roman" w:cs="Times New Roman"/>
                <w:color w:val="000000"/>
                <w:sz w:val="18"/>
                <w:szCs w:val="18"/>
                <w:lang w:eastAsia="es-CO"/>
              </w:rPr>
            </w:pPr>
            <w:r w:rsidRPr="0039091F">
              <w:rPr>
                <w:rFonts w:eastAsia="Times New Roman" w:cs="Times New Roman"/>
                <w:color w:val="000000"/>
                <w:sz w:val="18"/>
                <w:szCs w:val="18"/>
                <w:lang w:eastAsia="es-CO"/>
              </w:rPr>
              <w:t>Habilidades y Conocimientos, identificadas para contribuir al cumplimiento metas e identificadas por Alta Dirección</w:t>
            </w:r>
          </w:p>
        </w:tc>
        <w:tc>
          <w:tcPr>
            <w:tcW w:w="1320" w:type="pct"/>
            <w:vAlign w:val="center"/>
            <w:hideMark/>
          </w:tcPr>
          <w:p w14:paraId="237799D9" w14:textId="77777777" w:rsidR="00297E57" w:rsidRPr="0039091F" w:rsidRDefault="00297E57" w:rsidP="000A5389">
            <w:pPr>
              <w:spacing w:line="240" w:lineRule="auto"/>
              <w:rPr>
                <w:rFonts w:eastAsia="Times New Roman" w:cs="Times New Roman"/>
                <w:color w:val="000000"/>
                <w:sz w:val="18"/>
                <w:szCs w:val="18"/>
                <w:lang w:eastAsia="es-CO"/>
              </w:rPr>
            </w:pPr>
            <w:r w:rsidRPr="0039091F">
              <w:rPr>
                <w:rFonts w:eastAsia="Times New Roman" w:cs="Times New Roman"/>
                <w:color w:val="000000"/>
                <w:sz w:val="18"/>
                <w:szCs w:val="18"/>
                <w:lang w:eastAsia="es-CO"/>
              </w:rPr>
              <w:t>Curso en BIM Avanzado</w:t>
            </w:r>
          </w:p>
        </w:tc>
        <w:tc>
          <w:tcPr>
            <w:tcW w:w="1044" w:type="pct"/>
            <w:vAlign w:val="center"/>
            <w:hideMark/>
          </w:tcPr>
          <w:p w14:paraId="3E55E31D" w14:textId="77777777" w:rsidR="00297E57" w:rsidRPr="0039091F" w:rsidRDefault="00297E57" w:rsidP="000A5389">
            <w:pPr>
              <w:spacing w:line="240" w:lineRule="auto"/>
              <w:jc w:val="center"/>
              <w:rPr>
                <w:rFonts w:eastAsia="Times New Roman" w:cs="Times New Roman"/>
                <w:color w:val="000000"/>
                <w:sz w:val="18"/>
                <w:szCs w:val="18"/>
                <w:lang w:eastAsia="es-CO"/>
              </w:rPr>
            </w:pPr>
            <w:r w:rsidRPr="0039091F">
              <w:rPr>
                <w:rFonts w:eastAsia="Times New Roman" w:cs="Times New Roman"/>
                <w:color w:val="000000"/>
                <w:sz w:val="18"/>
                <w:szCs w:val="18"/>
                <w:lang w:eastAsia="es-CO"/>
              </w:rPr>
              <w:t>Universidad Nacional de Colombia (UNAL)</w:t>
            </w:r>
          </w:p>
        </w:tc>
        <w:tc>
          <w:tcPr>
            <w:tcW w:w="464" w:type="pct"/>
            <w:vAlign w:val="center"/>
            <w:hideMark/>
          </w:tcPr>
          <w:p w14:paraId="7FF69BBC" w14:textId="77777777" w:rsidR="00297E57" w:rsidRPr="0039091F" w:rsidRDefault="00297E57" w:rsidP="000A5389">
            <w:pPr>
              <w:spacing w:line="240" w:lineRule="auto"/>
              <w:jc w:val="center"/>
              <w:rPr>
                <w:rFonts w:eastAsia="Times New Roman" w:cs="Times New Roman"/>
                <w:color w:val="000000"/>
                <w:sz w:val="18"/>
                <w:szCs w:val="18"/>
                <w:lang w:eastAsia="es-CO"/>
              </w:rPr>
            </w:pPr>
            <w:r w:rsidRPr="0039091F">
              <w:rPr>
                <w:rFonts w:eastAsia="Times New Roman" w:cs="Times New Roman"/>
                <w:color w:val="000000"/>
                <w:sz w:val="18"/>
                <w:szCs w:val="18"/>
                <w:lang w:eastAsia="es-CO"/>
              </w:rPr>
              <w:t>29</w:t>
            </w:r>
          </w:p>
        </w:tc>
        <w:tc>
          <w:tcPr>
            <w:tcW w:w="527" w:type="pct"/>
            <w:vAlign w:val="center"/>
            <w:hideMark/>
          </w:tcPr>
          <w:p w14:paraId="32C17116" w14:textId="77777777" w:rsidR="00297E57" w:rsidRPr="0039091F" w:rsidRDefault="00297E57" w:rsidP="000A5389">
            <w:pPr>
              <w:spacing w:line="240" w:lineRule="auto"/>
              <w:jc w:val="center"/>
              <w:rPr>
                <w:rFonts w:eastAsia="Times New Roman" w:cs="Times New Roman"/>
                <w:color w:val="000000"/>
                <w:sz w:val="18"/>
                <w:szCs w:val="18"/>
                <w:lang w:eastAsia="es-CO"/>
              </w:rPr>
            </w:pPr>
            <w:r w:rsidRPr="0039091F">
              <w:rPr>
                <w:rFonts w:eastAsia="Times New Roman" w:cs="Times New Roman"/>
                <w:color w:val="000000"/>
                <w:sz w:val="18"/>
                <w:szCs w:val="18"/>
                <w:lang w:eastAsia="es-CO"/>
              </w:rPr>
              <w:t>7 de mayo al 04 de junio de 2025</w:t>
            </w:r>
          </w:p>
        </w:tc>
        <w:tc>
          <w:tcPr>
            <w:tcW w:w="640" w:type="pct"/>
            <w:vAlign w:val="center"/>
            <w:hideMark/>
          </w:tcPr>
          <w:p w14:paraId="421C2126" w14:textId="77777777" w:rsidR="00297E57" w:rsidRPr="0039091F" w:rsidRDefault="00297E57" w:rsidP="000A5389">
            <w:pPr>
              <w:spacing w:line="240" w:lineRule="auto"/>
              <w:jc w:val="center"/>
              <w:rPr>
                <w:rFonts w:eastAsia="Times New Roman" w:cs="Times New Roman"/>
                <w:color w:val="000000"/>
                <w:sz w:val="18"/>
                <w:szCs w:val="18"/>
                <w:lang w:eastAsia="es-CO"/>
              </w:rPr>
            </w:pPr>
            <w:r w:rsidRPr="0039091F">
              <w:rPr>
                <w:rFonts w:eastAsia="Times New Roman" w:cs="Times New Roman"/>
                <w:color w:val="000000"/>
                <w:sz w:val="18"/>
                <w:szCs w:val="18"/>
                <w:lang w:eastAsia="es-CO"/>
              </w:rPr>
              <w:t>20</w:t>
            </w:r>
          </w:p>
        </w:tc>
      </w:tr>
      <w:tr w:rsidR="00297E57" w:rsidRPr="0039091F" w14:paraId="67F8F5DA" w14:textId="77777777" w:rsidTr="0039091F">
        <w:trPr>
          <w:trHeight w:val="283"/>
        </w:trPr>
        <w:tc>
          <w:tcPr>
            <w:tcW w:w="229" w:type="pct"/>
            <w:vAlign w:val="center"/>
            <w:hideMark/>
          </w:tcPr>
          <w:p w14:paraId="7C8118EA" w14:textId="77777777" w:rsidR="00297E57" w:rsidRPr="0039091F" w:rsidRDefault="00297E57" w:rsidP="000A5389">
            <w:pPr>
              <w:spacing w:line="240" w:lineRule="auto"/>
              <w:jc w:val="center"/>
              <w:rPr>
                <w:rFonts w:eastAsia="Times New Roman" w:cs="Times New Roman"/>
                <w:color w:val="000000"/>
                <w:sz w:val="18"/>
                <w:szCs w:val="18"/>
                <w:lang w:eastAsia="es-CO"/>
              </w:rPr>
            </w:pPr>
            <w:r w:rsidRPr="0039091F">
              <w:rPr>
                <w:rFonts w:eastAsia="Times New Roman" w:cs="Times New Roman"/>
                <w:color w:val="000000"/>
                <w:sz w:val="18"/>
                <w:szCs w:val="18"/>
                <w:lang w:eastAsia="es-CO"/>
              </w:rPr>
              <w:t>16</w:t>
            </w:r>
          </w:p>
        </w:tc>
        <w:tc>
          <w:tcPr>
            <w:tcW w:w="777" w:type="pct"/>
            <w:vAlign w:val="center"/>
            <w:hideMark/>
          </w:tcPr>
          <w:p w14:paraId="7FA5B1E7" w14:textId="77777777" w:rsidR="00297E57" w:rsidRPr="0039091F" w:rsidRDefault="00297E57" w:rsidP="000A5389">
            <w:pPr>
              <w:spacing w:line="240" w:lineRule="auto"/>
              <w:rPr>
                <w:rFonts w:eastAsia="Times New Roman" w:cs="Times New Roman"/>
                <w:color w:val="000000"/>
                <w:sz w:val="18"/>
                <w:szCs w:val="18"/>
                <w:lang w:eastAsia="es-CO"/>
              </w:rPr>
            </w:pPr>
            <w:r w:rsidRPr="0039091F">
              <w:rPr>
                <w:rFonts w:eastAsia="Times New Roman" w:cs="Times New Roman"/>
                <w:color w:val="000000"/>
                <w:sz w:val="18"/>
                <w:szCs w:val="18"/>
                <w:lang w:eastAsia="es-CO"/>
              </w:rPr>
              <w:t>Seguridad y Salud en el Trabajo</w:t>
            </w:r>
          </w:p>
        </w:tc>
        <w:tc>
          <w:tcPr>
            <w:tcW w:w="1320" w:type="pct"/>
            <w:vAlign w:val="center"/>
            <w:hideMark/>
          </w:tcPr>
          <w:p w14:paraId="12A6F683" w14:textId="77777777" w:rsidR="00297E57" w:rsidRPr="0039091F" w:rsidRDefault="00297E57" w:rsidP="000A5389">
            <w:pPr>
              <w:spacing w:line="240" w:lineRule="auto"/>
              <w:rPr>
                <w:rFonts w:eastAsia="Times New Roman" w:cs="Times New Roman"/>
                <w:color w:val="000000"/>
                <w:sz w:val="18"/>
                <w:szCs w:val="18"/>
                <w:lang w:eastAsia="es-CO"/>
              </w:rPr>
            </w:pPr>
            <w:r w:rsidRPr="0039091F">
              <w:rPr>
                <w:rFonts w:eastAsia="Times New Roman" w:cs="Times New Roman"/>
                <w:color w:val="000000"/>
                <w:sz w:val="18"/>
                <w:szCs w:val="18"/>
                <w:lang w:eastAsia="es-CO"/>
              </w:rPr>
              <w:t>Capacitación en Prevención Conductas Asociadas con el acoso laboral</w:t>
            </w:r>
          </w:p>
        </w:tc>
        <w:tc>
          <w:tcPr>
            <w:tcW w:w="1044" w:type="pct"/>
            <w:vAlign w:val="center"/>
            <w:hideMark/>
          </w:tcPr>
          <w:p w14:paraId="2A4BC25A" w14:textId="77777777" w:rsidR="00297E57" w:rsidRPr="0039091F" w:rsidRDefault="00297E57" w:rsidP="000A5389">
            <w:pPr>
              <w:spacing w:line="240" w:lineRule="auto"/>
              <w:jc w:val="center"/>
              <w:rPr>
                <w:rFonts w:eastAsia="Times New Roman" w:cs="Times New Roman"/>
                <w:color w:val="000000"/>
                <w:sz w:val="18"/>
                <w:szCs w:val="18"/>
                <w:lang w:eastAsia="es-CO"/>
              </w:rPr>
            </w:pPr>
            <w:r w:rsidRPr="0039091F">
              <w:rPr>
                <w:rFonts w:eastAsia="Times New Roman" w:cs="Times New Roman"/>
                <w:color w:val="000000"/>
                <w:sz w:val="18"/>
                <w:szCs w:val="18"/>
                <w:lang w:eastAsia="es-CO"/>
              </w:rPr>
              <w:t>ARL POSITIVA</w:t>
            </w:r>
          </w:p>
        </w:tc>
        <w:tc>
          <w:tcPr>
            <w:tcW w:w="464" w:type="pct"/>
            <w:vAlign w:val="center"/>
            <w:hideMark/>
          </w:tcPr>
          <w:p w14:paraId="376BCA77" w14:textId="77777777" w:rsidR="00297E57" w:rsidRPr="0039091F" w:rsidRDefault="00297E57" w:rsidP="000A5389">
            <w:pPr>
              <w:spacing w:line="240" w:lineRule="auto"/>
              <w:jc w:val="center"/>
              <w:rPr>
                <w:rFonts w:eastAsia="Times New Roman" w:cs="Times New Roman"/>
                <w:color w:val="000000"/>
                <w:sz w:val="18"/>
                <w:szCs w:val="18"/>
                <w:lang w:eastAsia="es-CO"/>
              </w:rPr>
            </w:pPr>
            <w:r w:rsidRPr="0039091F">
              <w:rPr>
                <w:rFonts w:eastAsia="Times New Roman" w:cs="Times New Roman"/>
                <w:color w:val="000000"/>
                <w:sz w:val="18"/>
                <w:szCs w:val="18"/>
                <w:lang w:eastAsia="es-CO"/>
              </w:rPr>
              <w:t>32</w:t>
            </w:r>
          </w:p>
        </w:tc>
        <w:tc>
          <w:tcPr>
            <w:tcW w:w="527" w:type="pct"/>
            <w:vAlign w:val="center"/>
            <w:hideMark/>
          </w:tcPr>
          <w:p w14:paraId="3D4313EB" w14:textId="77777777" w:rsidR="00297E57" w:rsidRPr="0039091F" w:rsidRDefault="00297E57" w:rsidP="000A5389">
            <w:pPr>
              <w:spacing w:line="240" w:lineRule="auto"/>
              <w:jc w:val="center"/>
              <w:rPr>
                <w:rFonts w:eastAsia="Times New Roman" w:cs="Times New Roman"/>
                <w:color w:val="000000"/>
                <w:sz w:val="18"/>
                <w:szCs w:val="18"/>
                <w:lang w:eastAsia="es-CO"/>
              </w:rPr>
            </w:pPr>
            <w:r w:rsidRPr="0039091F">
              <w:rPr>
                <w:rFonts w:eastAsia="Times New Roman" w:cs="Times New Roman"/>
                <w:color w:val="000000"/>
                <w:sz w:val="18"/>
                <w:szCs w:val="18"/>
                <w:lang w:eastAsia="es-CO"/>
              </w:rPr>
              <w:t>23 de abril</w:t>
            </w:r>
          </w:p>
        </w:tc>
        <w:tc>
          <w:tcPr>
            <w:tcW w:w="640" w:type="pct"/>
            <w:vAlign w:val="center"/>
            <w:hideMark/>
          </w:tcPr>
          <w:p w14:paraId="515FEC4C" w14:textId="77777777" w:rsidR="00297E57" w:rsidRPr="0039091F" w:rsidRDefault="00297E57" w:rsidP="000A5389">
            <w:pPr>
              <w:spacing w:line="240" w:lineRule="auto"/>
              <w:jc w:val="center"/>
              <w:rPr>
                <w:rFonts w:eastAsia="Times New Roman" w:cs="Times New Roman"/>
                <w:color w:val="000000"/>
                <w:sz w:val="18"/>
                <w:szCs w:val="18"/>
                <w:lang w:eastAsia="es-CO"/>
              </w:rPr>
            </w:pPr>
            <w:r w:rsidRPr="0039091F">
              <w:rPr>
                <w:rFonts w:eastAsia="Times New Roman" w:cs="Times New Roman"/>
                <w:color w:val="000000"/>
                <w:sz w:val="18"/>
                <w:szCs w:val="18"/>
                <w:lang w:eastAsia="es-CO"/>
              </w:rPr>
              <w:t>1,3</w:t>
            </w:r>
          </w:p>
        </w:tc>
      </w:tr>
      <w:tr w:rsidR="00297E57" w:rsidRPr="0039091F" w14:paraId="78A89773" w14:textId="77777777" w:rsidTr="0039091F">
        <w:trPr>
          <w:trHeight w:val="283"/>
        </w:trPr>
        <w:tc>
          <w:tcPr>
            <w:tcW w:w="229" w:type="pct"/>
            <w:vAlign w:val="center"/>
            <w:hideMark/>
          </w:tcPr>
          <w:p w14:paraId="54FC88A8" w14:textId="77777777" w:rsidR="00297E57" w:rsidRPr="0039091F" w:rsidRDefault="00297E57" w:rsidP="000A5389">
            <w:pPr>
              <w:spacing w:line="240" w:lineRule="auto"/>
              <w:jc w:val="center"/>
              <w:rPr>
                <w:rFonts w:eastAsia="Times New Roman" w:cs="Times New Roman"/>
                <w:color w:val="000000"/>
                <w:sz w:val="18"/>
                <w:szCs w:val="18"/>
                <w:lang w:eastAsia="es-CO"/>
              </w:rPr>
            </w:pPr>
            <w:r w:rsidRPr="0039091F">
              <w:rPr>
                <w:rFonts w:eastAsia="Times New Roman" w:cs="Times New Roman"/>
                <w:color w:val="000000"/>
                <w:sz w:val="18"/>
                <w:szCs w:val="18"/>
                <w:lang w:eastAsia="es-CO"/>
              </w:rPr>
              <w:t>17</w:t>
            </w:r>
          </w:p>
        </w:tc>
        <w:tc>
          <w:tcPr>
            <w:tcW w:w="777" w:type="pct"/>
            <w:vAlign w:val="center"/>
            <w:hideMark/>
          </w:tcPr>
          <w:p w14:paraId="77137469" w14:textId="77777777" w:rsidR="00297E57" w:rsidRPr="0039091F" w:rsidRDefault="00297E57" w:rsidP="000A5389">
            <w:pPr>
              <w:spacing w:line="240" w:lineRule="auto"/>
              <w:rPr>
                <w:rFonts w:eastAsia="Times New Roman" w:cs="Times New Roman"/>
                <w:color w:val="000000"/>
                <w:sz w:val="18"/>
                <w:szCs w:val="18"/>
                <w:lang w:eastAsia="es-CO"/>
              </w:rPr>
            </w:pPr>
            <w:r w:rsidRPr="0039091F">
              <w:rPr>
                <w:rFonts w:eastAsia="Times New Roman" w:cs="Times New Roman"/>
                <w:color w:val="000000"/>
                <w:sz w:val="18"/>
                <w:szCs w:val="18"/>
                <w:lang w:eastAsia="es-CO"/>
              </w:rPr>
              <w:t>Eje 1 (Paz Total, Memoria y Derechos Humanos) e Identificadas por Alta Dirección</w:t>
            </w:r>
          </w:p>
        </w:tc>
        <w:tc>
          <w:tcPr>
            <w:tcW w:w="1320" w:type="pct"/>
            <w:vAlign w:val="center"/>
            <w:hideMark/>
          </w:tcPr>
          <w:p w14:paraId="4065E91D" w14:textId="77777777" w:rsidR="00297E57" w:rsidRPr="0039091F" w:rsidRDefault="00297E57" w:rsidP="000A5389">
            <w:pPr>
              <w:spacing w:line="240" w:lineRule="auto"/>
              <w:rPr>
                <w:rFonts w:eastAsia="Times New Roman" w:cs="Times New Roman"/>
                <w:color w:val="000000"/>
                <w:sz w:val="18"/>
                <w:szCs w:val="18"/>
                <w:lang w:eastAsia="es-CO"/>
              </w:rPr>
            </w:pPr>
            <w:r w:rsidRPr="0039091F">
              <w:rPr>
                <w:rFonts w:eastAsia="Times New Roman" w:cs="Times New Roman"/>
                <w:color w:val="000000"/>
                <w:sz w:val="18"/>
                <w:szCs w:val="18"/>
                <w:lang w:eastAsia="es-CO"/>
              </w:rPr>
              <w:t>Capacitación en prevención y superación de la estigmatización de personas en procesos de reintegración y reincorporación</w:t>
            </w:r>
          </w:p>
        </w:tc>
        <w:tc>
          <w:tcPr>
            <w:tcW w:w="1044" w:type="pct"/>
            <w:vAlign w:val="center"/>
            <w:hideMark/>
          </w:tcPr>
          <w:p w14:paraId="20ACD8E0" w14:textId="77777777" w:rsidR="00297E57" w:rsidRPr="0039091F" w:rsidRDefault="00297E57" w:rsidP="000A5389">
            <w:pPr>
              <w:spacing w:line="240" w:lineRule="auto"/>
              <w:jc w:val="center"/>
              <w:rPr>
                <w:rFonts w:eastAsia="Times New Roman" w:cs="Times New Roman"/>
                <w:color w:val="000000"/>
                <w:sz w:val="18"/>
                <w:szCs w:val="18"/>
                <w:lang w:eastAsia="es-CO"/>
              </w:rPr>
            </w:pPr>
            <w:r w:rsidRPr="0039091F">
              <w:rPr>
                <w:rFonts w:eastAsia="Times New Roman" w:cs="Times New Roman"/>
                <w:color w:val="000000"/>
                <w:sz w:val="18"/>
                <w:szCs w:val="18"/>
                <w:lang w:eastAsia="es-CO"/>
              </w:rPr>
              <w:t>Agencia para la Reincorporación y la Normalización (ARN)</w:t>
            </w:r>
          </w:p>
        </w:tc>
        <w:tc>
          <w:tcPr>
            <w:tcW w:w="464" w:type="pct"/>
            <w:vAlign w:val="center"/>
            <w:hideMark/>
          </w:tcPr>
          <w:p w14:paraId="2208CCF6" w14:textId="77777777" w:rsidR="00297E57" w:rsidRPr="0039091F" w:rsidRDefault="00297E57" w:rsidP="000A5389">
            <w:pPr>
              <w:spacing w:line="240" w:lineRule="auto"/>
              <w:jc w:val="center"/>
              <w:rPr>
                <w:rFonts w:eastAsia="Times New Roman" w:cs="Times New Roman"/>
                <w:color w:val="000000"/>
                <w:sz w:val="18"/>
                <w:szCs w:val="18"/>
                <w:lang w:eastAsia="es-CO"/>
              </w:rPr>
            </w:pPr>
            <w:r w:rsidRPr="0039091F">
              <w:rPr>
                <w:rFonts w:eastAsia="Times New Roman" w:cs="Times New Roman"/>
                <w:color w:val="000000"/>
                <w:sz w:val="18"/>
                <w:szCs w:val="18"/>
                <w:lang w:eastAsia="es-CO"/>
              </w:rPr>
              <w:t>22</w:t>
            </w:r>
          </w:p>
        </w:tc>
        <w:tc>
          <w:tcPr>
            <w:tcW w:w="527" w:type="pct"/>
            <w:vAlign w:val="center"/>
            <w:hideMark/>
          </w:tcPr>
          <w:p w14:paraId="46ABCD10" w14:textId="77777777" w:rsidR="00297E57" w:rsidRPr="0039091F" w:rsidRDefault="00297E57" w:rsidP="000A5389">
            <w:pPr>
              <w:spacing w:line="240" w:lineRule="auto"/>
              <w:jc w:val="center"/>
              <w:rPr>
                <w:rFonts w:eastAsia="Times New Roman" w:cs="Times New Roman"/>
                <w:color w:val="000000"/>
                <w:sz w:val="18"/>
                <w:szCs w:val="18"/>
                <w:lang w:eastAsia="es-CO"/>
              </w:rPr>
            </w:pPr>
            <w:r w:rsidRPr="0039091F">
              <w:rPr>
                <w:rFonts w:eastAsia="Times New Roman" w:cs="Times New Roman"/>
                <w:color w:val="000000"/>
                <w:sz w:val="18"/>
                <w:szCs w:val="18"/>
                <w:lang w:eastAsia="es-CO"/>
              </w:rPr>
              <w:t>24 de abril</w:t>
            </w:r>
          </w:p>
        </w:tc>
        <w:tc>
          <w:tcPr>
            <w:tcW w:w="640" w:type="pct"/>
            <w:vAlign w:val="center"/>
            <w:hideMark/>
          </w:tcPr>
          <w:p w14:paraId="47E6B488" w14:textId="77777777" w:rsidR="00297E57" w:rsidRPr="0039091F" w:rsidRDefault="00297E57" w:rsidP="000A5389">
            <w:pPr>
              <w:spacing w:line="240" w:lineRule="auto"/>
              <w:jc w:val="center"/>
              <w:rPr>
                <w:rFonts w:eastAsia="Times New Roman" w:cs="Times New Roman"/>
                <w:color w:val="000000"/>
                <w:sz w:val="18"/>
                <w:szCs w:val="18"/>
                <w:lang w:eastAsia="es-CO"/>
              </w:rPr>
            </w:pPr>
            <w:r w:rsidRPr="0039091F">
              <w:rPr>
                <w:rFonts w:eastAsia="Times New Roman" w:cs="Times New Roman"/>
                <w:color w:val="000000"/>
                <w:sz w:val="18"/>
                <w:szCs w:val="18"/>
                <w:lang w:eastAsia="es-CO"/>
              </w:rPr>
              <w:t>3</w:t>
            </w:r>
          </w:p>
        </w:tc>
      </w:tr>
      <w:tr w:rsidR="00297E57" w:rsidRPr="0039091F" w14:paraId="6D2D7B5C" w14:textId="77777777" w:rsidTr="0039091F">
        <w:trPr>
          <w:trHeight w:val="283"/>
        </w:trPr>
        <w:tc>
          <w:tcPr>
            <w:tcW w:w="229" w:type="pct"/>
            <w:vAlign w:val="center"/>
            <w:hideMark/>
          </w:tcPr>
          <w:p w14:paraId="76C71301" w14:textId="77777777" w:rsidR="00297E57" w:rsidRPr="0039091F" w:rsidRDefault="00297E57" w:rsidP="000A5389">
            <w:pPr>
              <w:spacing w:line="240" w:lineRule="auto"/>
              <w:jc w:val="center"/>
              <w:rPr>
                <w:rFonts w:eastAsia="Times New Roman" w:cs="Times New Roman"/>
                <w:color w:val="000000"/>
                <w:sz w:val="18"/>
                <w:szCs w:val="18"/>
                <w:lang w:eastAsia="es-CO"/>
              </w:rPr>
            </w:pPr>
            <w:r w:rsidRPr="0039091F">
              <w:rPr>
                <w:rFonts w:eastAsia="Times New Roman" w:cs="Times New Roman"/>
                <w:color w:val="000000"/>
                <w:sz w:val="18"/>
                <w:szCs w:val="18"/>
                <w:lang w:eastAsia="es-CO"/>
              </w:rPr>
              <w:t>18</w:t>
            </w:r>
          </w:p>
        </w:tc>
        <w:tc>
          <w:tcPr>
            <w:tcW w:w="777" w:type="pct"/>
            <w:vAlign w:val="center"/>
            <w:hideMark/>
          </w:tcPr>
          <w:p w14:paraId="4E3113DC" w14:textId="77777777" w:rsidR="00297E57" w:rsidRPr="0039091F" w:rsidRDefault="00297E57" w:rsidP="000A5389">
            <w:pPr>
              <w:spacing w:line="240" w:lineRule="auto"/>
              <w:rPr>
                <w:rFonts w:eastAsia="Times New Roman" w:cs="Times New Roman"/>
                <w:color w:val="000000"/>
                <w:sz w:val="18"/>
                <w:szCs w:val="18"/>
                <w:lang w:eastAsia="es-CO"/>
              </w:rPr>
            </w:pPr>
            <w:r w:rsidRPr="0039091F">
              <w:rPr>
                <w:rFonts w:eastAsia="Times New Roman" w:cs="Times New Roman"/>
                <w:color w:val="000000"/>
                <w:sz w:val="18"/>
                <w:szCs w:val="18"/>
                <w:lang w:eastAsia="es-CO"/>
              </w:rPr>
              <w:t>Eje 2 (Territorio, Vida y Ambiente) y Ambiental</w:t>
            </w:r>
          </w:p>
        </w:tc>
        <w:tc>
          <w:tcPr>
            <w:tcW w:w="1320" w:type="pct"/>
            <w:vAlign w:val="center"/>
            <w:hideMark/>
          </w:tcPr>
          <w:p w14:paraId="4BD3BA8F" w14:textId="77777777" w:rsidR="00297E57" w:rsidRPr="0039091F" w:rsidRDefault="00297E57" w:rsidP="000A5389">
            <w:pPr>
              <w:spacing w:line="240" w:lineRule="auto"/>
              <w:rPr>
                <w:rFonts w:eastAsia="Times New Roman" w:cs="Times New Roman"/>
                <w:color w:val="000000"/>
                <w:sz w:val="18"/>
                <w:szCs w:val="18"/>
                <w:lang w:eastAsia="es-CO"/>
              </w:rPr>
            </w:pPr>
            <w:r w:rsidRPr="0039091F">
              <w:rPr>
                <w:rFonts w:eastAsia="Times New Roman" w:cs="Times New Roman"/>
                <w:color w:val="000000"/>
                <w:sz w:val="18"/>
                <w:szCs w:val="18"/>
                <w:lang w:eastAsia="es-CO"/>
              </w:rPr>
              <w:t>Capacitación en Economía Circular - Sede Montevideo</w:t>
            </w:r>
          </w:p>
        </w:tc>
        <w:tc>
          <w:tcPr>
            <w:tcW w:w="1044" w:type="pct"/>
            <w:vAlign w:val="center"/>
            <w:hideMark/>
          </w:tcPr>
          <w:p w14:paraId="14A8DF69" w14:textId="77777777" w:rsidR="00297E57" w:rsidRPr="0039091F" w:rsidRDefault="00297E57" w:rsidP="000A5389">
            <w:pPr>
              <w:spacing w:line="240" w:lineRule="auto"/>
              <w:jc w:val="center"/>
              <w:rPr>
                <w:rFonts w:eastAsia="Times New Roman" w:cs="Times New Roman"/>
                <w:color w:val="000000"/>
                <w:sz w:val="18"/>
                <w:szCs w:val="18"/>
                <w:lang w:eastAsia="es-CO"/>
              </w:rPr>
            </w:pPr>
            <w:r w:rsidRPr="0039091F">
              <w:rPr>
                <w:rFonts w:eastAsia="Times New Roman" w:cs="Times New Roman"/>
                <w:color w:val="000000"/>
                <w:sz w:val="18"/>
                <w:szCs w:val="18"/>
                <w:lang w:eastAsia="es-CO"/>
              </w:rPr>
              <w:t>Secretaría Distrital de Ambiente (SDA)</w:t>
            </w:r>
          </w:p>
        </w:tc>
        <w:tc>
          <w:tcPr>
            <w:tcW w:w="464" w:type="pct"/>
            <w:vAlign w:val="center"/>
            <w:hideMark/>
          </w:tcPr>
          <w:p w14:paraId="2D8F825B" w14:textId="77777777" w:rsidR="00297E57" w:rsidRPr="0039091F" w:rsidRDefault="00297E57" w:rsidP="000A5389">
            <w:pPr>
              <w:spacing w:line="240" w:lineRule="auto"/>
              <w:jc w:val="center"/>
              <w:rPr>
                <w:rFonts w:eastAsia="Times New Roman" w:cs="Times New Roman"/>
                <w:color w:val="000000"/>
                <w:sz w:val="18"/>
                <w:szCs w:val="18"/>
                <w:lang w:eastAsia="es-CO"/>
              </w:rPr>
            </w:pPr>
            <w:r w:rsidRPr="0039091F">
              <w:rPr>
                <w:rFonts w:eastAsia="Times New Roman" w:cs="Times New Roman"/>
                <w:color w:val="000000"/>
                <w:sz w:val="18"/>
                <w:szCs w:val="18"/>
                <w:lang w:eastAsia="es-CO"/>
              </w:rPr>
              <w:t>9</w:t>
            </w:r>
          </w:p>
        </w:tc>
        <w:tc>
          <w:tcPr>
            <w:tcW w:w="527" w:type="pct"/>
            <w:vAlign w:val="center"/>
            <w:hideMark/>
          </w:tcPr>
          <w:p w14:paraId="7588B446" w14:textId="77777777" w:rsidR="00297E57" w:rsidRPr="0039091F" w:rsidRDefault="00297E57" w:rsidP="000A5389">
            <w:pPr>
              <w:spacing w:line="240" w:lineRule="auto"/>
              <w:jc w:val="center"/>
              <w:rPr>
                <w:rFonts w:eastAsia="Times New Roman" w:cs="Times New Roman"/>
                <w:color w:val="000000"/>
                <w:sz w:val="18"/>
                <w:szCs w:val="18"/>
                <w:lang w:eastAsia="es-CO"/>
              </w:rPr>
            </w:pPr>
            <w:r w:rsidRPr="0039091F">
              <w:rPr>
                <w:rFonts w:eastAsia="Times New Roman" w:cs="Times New Roman"/>
                <w:color w:val="000000"/>
                <w:sz w:val="18"/>
                <w:szCs w:val="18"/>
                <w:lang w:eastAsia="es-CO"/>
              </w:rPr>
              <w:t>25 de abril</w:t>
            </w:r>
          </w:p>
        </w:tc>
        <w:tc>
          <w:tcPr>
            <w:tcW w:w="640" w:type="pct"/>
            <w:vAlign w:val="center"/>
            <w:hideMark/>
          </w:tcPr>
          <w:p w14:paraId="1878CBC1" w14:textId="77777777" w:rsidR="00297E57" w:rsidRPr="0039091F" w:rsidRDefault="00297E57" w:rsidP="000A5389">
            <w:pPr>
              <w:spacing w:line="240" w:lineRule="auto"/>
              <w:jc w:val="center"/>
              <w:rPr>
                <w:rFonts w:eastAsia="Times New Roman" w:cs="Times New Roman"/>
                <w:color w:val="000000"/>
                <w:sz w:val="18"/>
                <w:szCs w:val="18"/>
                <w:lang w:eastAsia="es-CO"/>
              </w:rPr>
            </w:pPr>
            <w:r w:rsidRPr="0039091F">
              <w:rPr>
                <w:rFonts w:eastAsia="Times New Roman" w:cs="Times New Roman"/>
                <w:color w:val="000000"/>
                <w:sz w:val="18"/>
                <w:szCs w:val="18"/>
                <w:lang w:eastAsia="es-CO"/>
              </w:rPr>
              <w:t>1</w:t>
            </w:r>
          </w:p>
        </w:tc>
      </w:tr>
      <w:tr w:rsidR="00297E57" w:rsidRPr="0039091F" w14:paraId="19A58ACE" w14:textId="77777777" w:rsidTr="0039091F">
        <w:trPr>
          <w:trHeight w:val="283"/>
        </w:trPr>
        <w:tc>
          <w:tcPr>
            <w:tcW w:w="229" w:type="pct"/>
            <w:vAlign w:val="center"/>
            <w:hideMark/>
          </w:tcPr>
          <w:p w14:paraId="04E266DF" w14:textId="77777777" w:rsidR="00297E57" w:rsidRPr="0039091F" w:rsidRDefault="00297E57" w:rsidP="000A5389">
            <w:pPr>
              <w:spacing w:line="240" w:lineRule="auto"/>
              <w:jc w:val="center"/>
              <w:rPr>
                <w:rFonts w:eastAsia="Times New Roman" w:cs="Times New Roman"/>
                <w:color w:val="000000"/>
                <w:sz w:val="18"/>
                <w:szCs w:val="18"/>
                <w:lang w:eastAsia="es-CO"/>
              </w:rPr>
            </w:pPr>
            <w:r w:rsidRPr="0039091F">
              <w:rPr>
                <w:rFonts w:eastAsia="Times New Roman" w:cs="Times New Roman"/>
                <w:color w:val="000000"/>
                <w:sz w:val="18"/>
                <w:szCs w:val="18"/>
                <w:lang w:eastAsia="es-CO"/>
              </w:rPr>
              <w:t>19</w:t>
            </w:r>
          </w:p>
        </w:tc>
        <w:tc>
          <w:tcPr>
            <w:tcW w:w="777" w:type="pct"/>
            <w:vAlign w:val="center"/>
            <w:hideMark/>
          </w:tcPr>
          <w:p w14:paraId="7C912298" w14:textId="77777777" w:rsidR="00297E57" w:rsidRPr="0039091F" w:rsidRDefault="00297E57" w:rsidP="000A5389">
            <w:pPr>
              <w:spacing w:line="240" w:lineRule="auto"/>
              <w:rPr>
                <w:rFonts w:eastAsia="Times New Roman" w:cs="Times New Roman"/>
                <w:color w:val="000000"/>
                <w:sz w:val="18"/>
                <w:szCs w:val="18"/>
                <w:lang w:eastAsia="es-CO"/>
              </w:rPr>
            </w:pPr>
            <w:r w:rsidRPr="0039091F">
              <w:rPr>
                <w:rFonts w:eastAsia="Times New Roman" w:cs="Times New Roman"/>
                <w:color w:val="000000"/>
                <w:sz w:val="18"/>
                <w:szCs w:val="18"/>
                <w:lang w:eastAsia="es-CO"/>
              </w:rPr>
              <w:t>Seguridad y Salud en el Trabajo</w:t>
            </w:r>
          </w:p>
        </w:tc>
        <w:tc>
          <w:tcPr>
            <w:tcW w:w="1320" w:type="pct"/>
            <w:vAlign w:val="center"/>
            <w:hideMark/>
          </w:tcPr>
          <w:p w14:paraId="66E91A27" w14:textId="77777777" w:rsidR="00297E57" w:rsidRPr="0039091F" w:rsidRDefault="00297E57" w:rsidP="000A5389">
            <w:pPr>
              <w:spacing w:line="240" w:lineRule="auto"/>
              <w:rPr>
                <w:rFonts w:eastAsia="Times New Roman" w:cs="Times New Roman"/>
                <w:color w:val="000000"/>
                <w:sz w:val="18"/>
                <w:szCs w:val="18"/>
                <w:lang w:eastAsia="es-CO"/>
              </w:rPr>
            </w:pPr>
            <w:r w:rsidRPr="0039091F">
              <w:rPr>
                <w:rFonts w:eastAsia="Times New Roman" w:cs="Times New Roman"/>
                <w:color w:val="000000"/>
                <w:sz w:val="18"/>
                <w:szCs w:val="18"/>
                <w:lang w:eastAsia="es-CO"/>
              </w:rPr>
              <w:t>Capacitación en Prevención del peligro biomecánico, Patologías Osteomusculares</w:t>
            </w:r>
          </w:p>
        </w:tc>
        <w:tc>
          <w:tcPr>
            <w:tcW w:w="1044" w:type="pct"/>
            <w:vAlign w:val="center"/>
            <w:hideMark/>
          </w:tcPr>
          <w:p w14:paraId="179D2A9A" w14:textId="77777777" w:rsidR="00297E57" w:rsidRPr="0039091F" w:rsidRDefault="00297E57" w:rsidP="000A5389">
            <w:pPr>
              <w:spacing w:line="240" w:lineRule="auto"/>
              <w:jc w:val="center"/>
              <w:rPr>
                <w:rFonts w:eastAsia="Times New Roman" w:cs="Times New Roman"/>
                <w:color w:val="000000"/>
                <w:sz w:val="18"/>
                <w:szCs w:val="18"/>
                <w:lang w:eastAsia="es-CO"/>
              </w:rPr>
            </w:pPr>
            <w:r w:rsidRPr="0039091F">
              <w:rPr>
                <w:rFonts w:eastAsia="Times New Roman" w:cs="Times New Roman"/>
                <w:color w:val="000000"/>
                <w:sz w:val="18"/>
                <w:szCs w:val="18"/>
                <w:lang w:eastAsia="es-CO"/>
              </w:rPr>
              <w:t> ARL POSITIVA</w:t>
            </w:r>
          </w:p>
        </w:tc>
        <w:tc>
          <w:tcPr>
            <w:tcW w:w="464" w:type="pct"/>
            <w:vAlign w:val="center"/>
            <w:hideMark/>
          </w:tcPr>
          <w:p w14:paraId="03782706" w14:textId="77777777" w:rsidR="00297E57" w:rsidRPr="0039091F" w:rsidRDefault="00297E57" w:rsidP="000A5389">
            <w:pPr>
              <w:spacing w:line="240" w:lineRule="auto"/>
              <w:jc w:val="center"/>
              <w:rPr>
                <w:rFonts w:eastAsia="Times New Roman" w:cs="Times New Roman"/>
                <w:color w:val="000000"/>
                <w:sz w:val="18"/>
                <w:szCs w:val="18"/>
                <w:lang w:eastAsia="es-CO"/>
              </w:rPr>
            </w:pPr>
            <w:r w:rsidRPr="0039091F">
              <w:rPr>
                <w:rFonts w:eastAsia="Times New Roman" w:cs="Times New Roman"/>
                <w:color w:val="000000"/>
                <w:sz w:val="18"/>
                <w:szCs w:val="18"/>
                <w:lang w:eastAsia="es-CO"/>
              </w:rPr>
              <w:t> 10</w:t>
            </w:r>
          </w:p>
        </w:tc>
        <w:tc>
          <w:tcPr>
            <w:tcW w:w="527" w:type="pct"/>
            <w:vAlign w:val="center"/>
            <w:hideMark/>
          </w:tcPr>
          <w:p w14:paraId="337DB2D3" w14:textId="77777777" w:rsidR="00297E57" w:rsidRPr="0039091F" w:rsidRDefault="00297E57" w:rsidP="000A5389">
            <w:pPr>
              <w:spacing w:line="240" w:lineRule="auto"/>
              <w:jc w:val="center"/>
              <w:rPr>
                <w:rFonts w:eastAsia="Times New Roman" w:cs="Times New Roman"/>
                <w:color w:val="000000"/>
                <w:sz w:val="18"/>
                <w:szCs w:val="18"/>
                <w:lang w:eastAsia="es-CO"/>
              </w:rPr>
            </w:pPr>
            <w:r w:rsidRPr="0039091F">
              <w:rPr>
                <w:rFonts w:eastAsia="Times New Roman" w:cs="Times New Roman"/>
                <w:color w:val="000000"/>
                <w:sz w:val="18"/>
                <w:szCs w:val="18"/>
                <w:lang w:eastAsia="es-CO"/>
              </w:rPr>
              <w:t>25 de abril</w:t>
            </w:r>
          </w:p>
        </w:tc>
        <w:tc>
          <w:tcPr>
            <w:tcW w:w="640" w:type="pct"/>
            <w:vAlign w:val="center"/>
            <w:hideMark/>
          </w:tcPr>
          <w:p w14:paraId="7842117B" w14:textId="77777777" w:rsidR="00297E57" w:rsidRPr="0039091F" w:rsidRDefault="00297E57" w:rsidP="000A5389">
            <w:pPr>
              <w:spacing w:line="240" w:lineRule="auto"/>
              <w:jc w:val="center"/>
              <w:rPr>
                <w:rFonts w:eastAsia="Times New Roman" w:cs="Times New Roman"/>
                <w:color w:val="000000"/>
                <w:sz w:val="18"/>
                <w:szCs w:val="18"/>
                <w:lang w:eastAsia="es-CO"/>
              </w:rPr>
            </w:pPr>
            <w:r w:rsidRPr="0039091F">
              <w:rPr>
                <w:rFonts w:eastAsia="Times New Roman" w:cs="Times New Roman"/>
                <w:color w:val="000000"/>
                <w:sz w:val="18"/>
                <w:szCs w:val="18"/>
                <w:lang w:eastAsia="es-CO"/>
              </w:rPr>
              <w:t>1</w:t>
            </w:r>
          </w:p>
        </w:tc>
      </w:tr>
      <w:tr w:rsidR="00297E57" w:rsidRPr="0039091F" w14:paraId="22C3DF05" w14:textId="77777777" w:rsidTr="0039091F">
        <w:trPr>
          <w:trHeight w:val="283"/>
        </w:trPr>
        <w:tc>
          <w:tcPr>
            <w:tcW w:w="229" w:type="pct"/>
            <w:vAlign w:val="center"/>
            <w:hideMark/>
          </w:tcPr>
          <w:p w14:paraId="7ECAC2B2" w14:textId="77777777" w:rsidR="00297E57" w:rsidRPr="0039091F" w:rsidRDefault="00297E57" w:rsidP="000A5389">
            <w:pPr>
              <w:spacing w:line="240" w:lineRule="auto"/>
              <w:jc w:val="center"/>
              <w:rPr>
                <w:rFonts w:eastAsia="Times New Roman" w:cs="Times New Roman"/>
                <w:color w:val="000000"/>
                <w:sz w:val="18"/>
                <w:szCs w:val="18"/>
                <w:lang w:eastAsia="es-CO"/>
              </w:rPr>
            </w:pPr>
            <w:r w:rsidRPr="0039091F">
              <w:rPr>
                <w:rFonts w:eastAsia="Times New Roman" w:cs="Times New Roman"/>
                <w:color w:val="000000"/>
                <w:sz w:val="18"/>
                <w:szCs w:val="18"/>
                <w:lang w:eastAsia="es-CO"/>
              </w:rPr>
              <w:t>20</w:t>
            </w:r>
          </w:p>
        </w:tc>
        <w:tc>
          <w:tcPr>
            <w:tcW w:w="777" w:type="pct"/>
            <w:vAlign w:val="center"/>
            <w:hideMark/>
          </w:tcPr>
          <w:p w14:paraId="439C19E7" w14:textId="77777777" w:rsidR="00297E57" w:rsidRPr="0039091F" w:rsidRDefault="00297E57" w:rsidP="000A5389">
            <w:pPr>
              <w:spacing w:line="240" w:lineRule="auto"/>
              <w:rPr>
                <w:rFonts w:eastAsia="Times New Roman" w:cs="Times New Roman"/>
                <w:color w:val="000000"/>
                <w:sz w:val="18"/>
                <w:szCs w:val="18"/>
                <w:lang w:eastAsia="es-CO"/>
              </w:rPr>
            </w:pPr>
            <w:r w:rsidRPr="0039091F">
              <w:rPr>
                <w:rFonts w:eastAsia="Times New Roman" w:cs="Times New Roman"/>
                <w:color w:val="000000"/>
                <w:sz w:val="18"/>
                <w:szCs w:val="18"/>
                <w:lang w:eastAsia="es-CO"/>
              </w:rPr>
              <w:t>Seguridad y Salud en el Trabajo</w:t>
            </w:r>
          </w:p>
        </w:tc>
        <w:tc>
          <w:tcPr>
            <w:tcW w:w="1320" w:type="pct"/>
            <w:vAlign w:val="center"/>
            <w:hideMark/>
          </w:tcPr>
          <w:p w14:paraId="569A9AD8" w14:textId="77777777" w:rsidR="00297E57" w:rsidRPr="0039091F" w:rsidRDefault="00297E57" w:rsidP="000A5389">
            <w:pPr>
              <w:spacing w:line="240" w:lineRule="auto"/>
              <w:rPr>
                <w:rFonts w:eastAsia="Times New Roman" w:cs="Times New Roman"/>
                <w:color w:val="000000"/>
                <w:sz w:val="18"/>
                <w:szCs w:val="18"/>
                <w:lang w:eastAsia="es-CO"/>
              </w:rPr>
            </w:pPr>
            <w:r w:rsidRPr="0039091F">
              <w:rPr>
                <w:rFonts w:eastAsia="Times New Roman" w:cs="Times New Roman"/>
                <w:color w:val="000000"/>
                <w:sz w:val="18"/>
                <w:szCs w:val="18"/>
                <w:lang w:eastAsia="es-CO"/>
              </w:rPr>
              <w:t>Capacitación en Enfermedades de aparición súbita</w:t>
            </w:r>
          </w:p>
        </w:tc>
        <w:tc>
          <w:tcPr>
            <w:tcW w:w="1044" w:type="pct"/>
            <w:vAlign w:val="center"/>
            <w:hideMark/>
          </w:tcPr>
          <w:p w14:paraId="043327D7" w14:textId="77777777" w:rsidR="00297E57" w:rsidRPr="0039091F" w:rsidRDefault="00297E57" w:rsidP="000A5389">
            <w:pPr>
              <w:spacing w:line="240" w:lineRule="auto"/>
              <w:jc w:val="center"/>
              <w:rPr>
                <w:rFonts w:eastAsia="Times New Roman" w:cs="Times New Roman"/>
                <w:color w:val="000000"/>
                <w:sz w:val="18"/>
                <w:szCs w:val="18"/>
                <w:lang w:eastAsia="es-CO"/>
              </w:rPr>
            </w:pPr>
            <w:r w:rsidRPr="0039091F">
              <w:rPr>
                <w:rFonts w:eastAsia="Times New Roman" w:cs="Times New Roman"/>
                <w:color w:val="000000"/>
                <w:sz w:val="18"/>
                <w:szCs w:val="18"/>
                <w:lang w:eastAsia="es-CO"/>
              </w:rPr>
              <w:t>ARL POSITIVA</w:t>
            </w:r>
          </w:p>
        </w:tc>
        <w:tc>
          <w:tcPr>
            <w:tcW w:w="464" w:type="pct"/>
            <w:vAlign w:val="center"/>
            <w:hideMark/>
          </w:tcPr>
          <w:p w14:paraId="398C0EA4" w14:textId="77777777" w:rsidR="00297E57" w:rsidRPr="0039091F" w:rsidRDefault="00297E57" w:rsidP="000A5389">
            <w:pPr>
              <w:spacing w:line="240" w:lineRule="auto"/>
              <w:jc w:val="center"/>
              <w:rPr>
                <w:rFonts w:eastAsia="Times New Roman" w:cs="Times New Roman"/>
                <w:color w:val="000000"/>
                <w:sz w:val="18"/>
                <w:szCs w:val="18"/>
                <w:lang w:eastAsia="es-CO"/>
              </w:rPr>
            </w:pPr>
            <w:r w:rsidRPr="0039091F">
              <w:rPr>
                <w:rFonts w:eastAsia="Times New Roman" w:cs="Times New Roman"/>
                <w:color w:val="000000"/>
                <w:sz w:val="18"/>
                <w:szCs w:val="18"/>
                <w:lang w:eastAsia="es-CO"/>
              </w:rPr>
              <w:t>6</w:t>
            </w:r>
          </w:p>
        </w:tc>
        <w:tc>
          <w:tcPr>
            <w:tcW w:w="527" w:type="pct"/>
            <w:vAlign w:val="center"/>
            <w:hideMark/>
          </w:tcPr>
          <w:p w14:paraId="4D1A7182" w14:textId="77777777" w:rsidR="00297E57" w:rsidRPr="0039091F" w:rsidRDefault="00297E57" w:rsidP="000A5389">
            <w:pPr>
              <w:spacing w:line="240" w:lineRule="auto"/>
              <w:jc w:val="center"/>
              <w:rPr>
                <w:rFonts w:eastAsia="Times New Roman" w:cs="Times New Roman"/>
                <w:color w:val="000000"/>
                <w:sz w:val="18"/>
                <w:szCs w:val="18"/>
                <w:lang w:eastAsia="es-CO"/>
              </w:rPr>
            </w:pPr>
            <w:r w:rsidRPr="0039091F">
              <w:rPr>
                <w:rFonts w:eastAsia="Times New Roman" w:cs="Times New Roman"/>
                <w:color w:val="000000"/>
                <w:sz w:val="18"/>
                <w:szCs w:val="18"/>
                <w:lang w:eastAsia="es-CO"/>
              </w:rPr>
              <w:t>28 de abril</w:t>
            </w:r>
          </w:p>
        </w:tc>
        <w:tc>
          <w:tcPr>
            <w:tcW w:w="640" w:type="pct"/>
            <w:vAlign w:val="center"/>
            <w:hideMark/>
          </w:tcPr>
          <w:p w14:paraId="0A817075" w14:textId="77777777" w:rsidR="00297E57" w:rsidRPr="0039091F" w:rsidRDefault="00297E57" w:rsidP="000A5389">
            <w:pPr>
              <w:spacing w:line="240" w:lineRule="auto"/>
              <w:jc w:val="center"/>
              <w:rPr>
                <w:rFonts w:eastAsia="Times New Roman" w:cs="Times New Roman"/>
                <w:color w:val="000000"/>
                <w:sz w:val="18"/>
                <w:szCs w:val="18"/>
                <w:lang w:eastAsia="es-CO"/>
              </w:rPr>
            </w:pPr>
            <w:r w:rsidRPr="0039091F">
              <w:rPr>
                <w:rFonts w:eastAsia="Times New Roman" w:cs="Times New Roman"/>
                <w:color w:val="000000"/>
                <w:sz w:val="18"/>
                <w:szCs w:val="18"/>
                <w:lang w:eastAsia="es-CO"/>
              </w:rPr>
              <w:t>2</w:t>
            </w:r>
          </w:p>
        </w:tc>
      </w:tr>
      <w:tr w:rsidR="00297E57" w:rsidRPr="0039091F" w14:paraId="12D9AA42" w14:textId="77777777" w:rsidTr="0039091F">
        <w:trPr>
          <w:trHeight w:val="283"/>
        </w:trPr>
        <w:tc>
          <w:tcPr>
            <w:tcW w:w="229" w:type="pct"/>
            <w:vAlign w:val="center"/>
            <w:hideMark/>
          </w:tcPr>
          <w:p w14:paraId="4F4F843A" w14:textId="77777777" w:rsidR="00297E57" w:rsidRPr="0039091F" w:rsidRDefault="00297E57" w:rsidP="000A5389">
            <w:pPr>
              <w:spacing w:line="240" w:lineRule="auto"/>
              <w:jc w:val="center"/>
              <w:rPr>
                <w:rFonts w:eastAsia="Times New Roman" w:cs="Times New Roman"/>
                <w:color w:val="000000"/>
                <w:sz w:val="18"/>
                <w:szCs w:val="18"/>
                <w:lang w:eastAsia="es-CO"/>
              </w:rPr>
            </w:pPr>
            <w:r w:rsidRPr="0039091F">
              <w:rPr>
                <w:rFonts w:eastAsia="Times New Roman" w:cs="Times New Roman"/>
                <w:color w:val="000000"/>
                <w:sz w:val="18"/>
                <w:szCs w:val="18"/>
                <w:lang w:eastAsia="es-CO"/>
              </w:rPr>
              <w:t>21</w:t>
            </w:r>
          </w:p>
        </w:tc>
        <w:tc>
          <w:tcPr>
            <w:tcW w:w="777" w:type="pct"/>
            <w:vAlign w:val="center"/>
            <w:hideMark/>
          </w:tcPr>
          <w:p w14:paraId="389094DD" w14:textId="77777777" w:rsidR="00297E57" w:rsidRPr="0039091F" w:rsidRDefault="00297E57" w:rsidP="000A5389">
            <w:pPr>
              <w:spacing w:line="240" w:lineRule="auto"/>
              <w:rPr>
                <w:rFonts w:eastAsia="Times New Roman" w:cs="Times New Roman"/>
                <w:color w:val="000000"/>
                <w:sz w:val="18"/>
                <w:szCs w:val="18"/>
                <w:lang w:eastAsia="es-CO"/>
              </w:rPr>
            </w:pPr>
            <w:r w:rsidRPr="0039091F">
              <w:rPr>
                <w:rFonts w:eastAsia="Times New Roman" w:cs="Times New Roman"/>
                <w:color w:val="000000"/>
                <w:sz w:val="18"/>
                <w:szCs w:val="18"/>
                <w:lang w:eastAsia="es-CO"/>
              </w:rPr>
              <w:t>Seguridad y Salud en el Trabajo</w:t>
            </w:r>
          </w:p>
        </w:tc>
        <w:tc>
          <w:tcPr>
            <w:tcW w:w="1320" w:type="pct"/>
            <w:vAlign w:val="center"/>
            <w:hideMark/>
          </w:tcPr>
          <w:p w14:paraId="1DABBC6D" w14:textId="77777777" w:rsidR="00297E57" w:rsidRPr="0039091F" w:rsidRDefault="00297E57" w:rsidP="000A5389">
            <w:pPr>
              <w:spacing w:line="240" w:lineRule="auto"/>
              <w:rPr>
                <w:rFonts w:cs="Times New Roman"/>
                <w:sz w:val="18"/>
                <w:szCs w:val="18"/>
                <w:lang w:eastAsia="es-CO"/>
              </w:rPr>
            </w:pPr>
            <w:r w:rsidRPr="0039091F">
              <w:rPr>
                <w:rFonts w:eastAsia="Times New Roman" w:cs="Times New Roman"/>
                <w:color w:val="000000"/>
                <w:sz w:val="18"/>
                <w:szCs w:val="18"/>
                <w:lang w:eastAsia="es-CO"/>
              </w:rPr>
              <w:t>Capacitación en Primeros Auxilios Viales</w:t>
            </w:r>
          </w:p>
        </w:tc>
        <w:tc>
          <w:tcPr>
            <w:tcW w:w="1044" w:type="pct"/>
            <w:vAlign w:val="center"/>
            <w:hideMark/>
          </w:tcPr>
          <w:p w14:paraId="606868C7" w14:textId="77777777" w:rsidR="00297E57" w:rsidRPr="0039091F" w:rsidRDefault="00297E57" w:rsidP="000A5389">
            <w:pPr>
              <w:spacing w:line="240" w:lineRule="auto"/>
              <w:jc w:val="center"/>
              <w:rPr>
                <w:rFonts w:eastAsia="Times New Roman" w:cs="Times New Roman"/>
                <w:color w:val="000000"/>
                <w:sz w:val="18"/>
                <w:szCs w:val="18"/>
                <w:lang w:eastAsia="es-CO"/>
              </w:rPr>
            </w:pPr>
            <w:r w:rsidRPr="0039091F">
              <w:rPr>
                <w:rFonts w:eastAsia="Times New Roman" w:cs="Times New Roman"/>
                <w:color w:val="000000"/>
                <w:sz w:val="18"/>
                <w:szCs w:val="18"/>
                <w:lang w:eastAsia="es-CO"/>
              </w:rPr>
              <w:t>ARL POSITIVA</w:t>
            </w:r>
          </w:p>
        </w:tc>
        <w:tc>
          <w:tcPr>
            <w:tcW w:w="464" w:type="pct"/>
            <w:vAlign w:val="center"/>
            <w:hideMark/>
          </w:tcPr>
          <w:p w14:paraId="20888990" w14:textId="77777777" w:rsidR="00297E57" w:rsidRPr="0039091F" w:rsidRDefault="00297E57" w:rsidP="000A5389">
            <w:pPr>
              <w:spacing w:line="240" w:lineRule="auto"/>
              <w:jc w:val="center"/>
              <w:rPr>
                <w:rFonts w:eastAsia="Times New Roman" w:cs="Times New Roman"/>
                <w:color w:val="000000"/>
                <w:sz w:val="18"/>
                <w:szCs w:val="18"/>
                <w:lang w:eastAsia="es-CO"/>
              </w:rPr>
            </w:pPr>
            <w:r w:rsidRPr="0039091F">
              <w:rPr>
                <w:rFonts w:eastAsia="Times New Roman" w:cs="Times New Roman"/>
                <w:color w:val="000000"/>
                <w:sz w:val="18"/>
                <w:szCs w:val="18"/>
                <w:lang w:eastAsia="es-CO"/>
              </w:rPr>
              <w:t>18</w:t>
            </w:r>
          </w:p>
        </w:tc>
        <w:tc>
          <w:tcPr>
            <w:tcW w:w="527" w:type="pct"/>
            <w:vAlign w:val="center"/>
            <w:hideMark/>
          </w:tcPr>
          <w:p w14:paraId="3112290A" w14:textId="77777777" w:rsidR="00297E57" w:rsidRPr="0039091F" w:rsidRDefault="00297E57" w:rsidP="000A5389">
            <w:pPr>
              <w:spacing w:line="240" w:lineRule="auto"/>
              <w:jc w:val="center"/>
              <w:rPr>
                <w:rFonts w:eastAsia="Times New Roman" w:cs="Times New Roman"/>
                <w:color w:val="000000"/>
                <w:sz w:val="18"/>
                <w:szCs w:val="18"/>
                <w:lang w:eastAsia="es-CO"/>
              </w:rPr>
            </w:pPr>
            <w:r w:rsidRPr="0039091F">
              <w:rPr>
                <w:rFonts w:eastAsia="Times New Roman" w:cs="Times New Roman"/>
                <w:color w:val="000000"/>
                <w:sz w:val="18"/>
                <w:szCs w:val="18"/>
                <w:lang w:eastAsia="es-CO"/>
              </w:rPr>
              <w:t>30 de abril</w:t>
            </w:r>
          </w:p>
        </w:tc>
        <w:tc>
          <w:tcPr>
            <w:tcW w:w="640" w:type="pct"/>
            <w:vAlign w:val="center"/>
            <w:hideMark/>
          </w:tcPr>
          <w:p w14:paraId="20BD224D" w14:textId="77777777" w:rsidR="00297E57" w:rsidRPr="0039091F" w:rsidRDefault="00297E57" w:rsidP="000A5389">
            <w:pPr>
              <w:spacing w:line="240" w:lineRule="auto"/>
              <w:jc w:val="center"/>
              <w:rPr>
                <w:rFonts w:eastAsia="Times New Roman" w:cs="Times New Roman"/>
                <w:color w:val="000000"/>
                <w:sz w:val="18"/>
                <w:szCs w:val="18"/>
                <w:lang w:eastAsia="es-CO"/>
              </w:rPr>
            </w:pPr>
            <w:r w:rsidRPr="0039091F">
              <w:rPr>
                <w:rFonts w:eastAsia="Times New Roman" w:cs="Times New Roman"/>
                <w:color w:val="000000"/>
                <w:sz w:val="18"/>
                <w:szCs w:val="18"/>
                <w:lang w:eastAsia="es-CO"/>
              </w:rPr>
              <w:t>1</w:t>
            </w:r>
          </w:p>
        </w:tc>
      </w:tr>
      <w:tr w:rsidR="00297E57" w:rsidRPr="0039091F" w14:paraId="73485B5B" w14:textId="77777777" w:rsidTr="0039091F">
        <w:trPr>
          <w:trHeight w:val="283"/>
        </w:trPr>
        <w:tc>
          <w:tcPr>
            <w:tcW w:w="229" w:type="pct"/>
            <w:vAlign w:val="center"/>
            <w:hideMark/>
          </w:tcPr>
          <w:p w14:paraId="436567FD" w14:textId="77777777" w:rsidR="00297E57" w:rsidRPr="0039091F" w:rsidRDefault="00297E57" w:rsidP="000A5389">
            <w:pPr>
              <w:spacing w:line="240" w:lineRule="auto"/>
              <w:jc w:val="center"/>
              <w:rPr>
                <w:rFonts w:eastAsia="Times New Roman" w:cs="Times New Roman"/>
                <w:color w:val="000000"/>
                <w:sz w:val="18"/>
                <w:szCs w:val="18"/>
                <w:lang w:eastAsia="es-CO"/>
              </w:rPr>
            </w:pPr>
            <w:r w:rsidRPr="0039091F">
              <w:rPr>
                <w:rFonts w:eastAsia="Times New Roman" w:cs="Times New Roman"/>
                <w:color w:val="000000"/>
                <w:sz w:val="18"/>
                <w:szCs w:val="18"/>
                <w:lang w:eastAsia="es-CO"/>
              </w:rPr>
              <w:t>22</w:t>
            </w:r>
          </w:p>
        </w:tc>
        <w:tc>
          <w:tcPr>
            <w:tcW w:w="777" w:type="pct"/>
            <w:vAlign w:val="center"/>
            <w:hideMark/>
          </w:tcPr>
          <w:p w14:paraId="24532FBA" w14:textId="77777777" w:rsidR="00297E57" w:rsidRPr="0039091F" w:rsidRDefault="00297E57" w:rsidP="000A5389">
            <w:pPr>
              <w:spacing w:line="240" w:lineRule="auto"/>
              <w:rPr>
                <w:rFonts w:eastAsia="Times New Roman" w:cs="Times New Roman"/>
                <w:color w:val="000000"/>
                <w:sz w:val="18"/>
                <w:szCs w:val="18"/>
                <w:lang w:eastAsia="es-CO"/>
              </w:rPr>
            </w:pPr>
            <w:r w:rsidRPr="0039091F">
              <w:rPr>
                <w:rFonts w:eastAsia="Times New Roman" w:cs="Times New Roman"/>
                <w:color w:val="000000"/>
                <w:sz w:val="18"/>
                <w:szCs w:val="18"/>
                <w:lang w:eastAsia="es-CO"/>
              </w:rPr>
              <w:t>Equidad de Género</w:t>
            </w:r>
          </w:p>
        </w:tc>
        <w:tc>
          <w:tcPr>
            <w:tcW w:w="1320" w:type="pct"/>
            <w:vAlign w:val="center"/>
            <w:hideMark/>
          </w:tcPr>
          <w:p w14:paraId="265AABBE" w14:textId="77777777" w:rsidR="00297E57" w:rsidRPr="0039091F" w:rsidRDefault="00297E57" w:rsidP="000A5389">
            <w:pPr>
              <w:spacing w:line="240" w:lineRule="auto"/>
              <w:rPr>
                <w:rFonts w:eastAsia="Times New Roman" w:cs="Times New Roman"/>
                <w:color w:val="000000"/>
                <w:sz w:val="18"/>
                <w:szCs w:val="18"/>
                <w:lang w:eastAsia="es-CO"/>
              </w:rPr>
            </w:pPr>
            <w:r w:rsidRPr="0039091F">
              <w:rPr>
                <w:rFonts w:eastAsia="Times New Roman" w:cs="Times New Roman"/>
                <w:color w:val="000000"/>
                <w:sz w:val="18"/>
                <w:szCs w:val="18"/>
                <w:lang w:eastAsia="es-CO"/>
              </w:rPr>
              <w:t>Capacitación en Prevención de la violencia de género y promoción de ambientes seguros</w:t>
            </w:r>
          </w:p>
        </w:tc>
        <w:tc>
          <w:tcPr>
            <w:tcW w:w="1044" w:type="pct"/>
            <w:vAlign w:val="center"/>
            <w:hideMark/>
          </w:tcPr>
          <w:p w14:paraId="7F7B6233" w14:textId="77777777" w:rsidR="00297E57" w:rsidRPr="0039091F" w:rsidRDefault="00297E57" w:rsidP="000A5389">
            <w:pPr>
              <w:spacing w:line="240" w:lineRule="auto"/>
              <w:jc w:val="center"/>
              <w:rPr>
                <w:rFonts w:eastAsia="Times New Roman" w:cs="Times New Roman"/>
                <w:color w:val="000000"/>
                <w:sz w:val="18"/>
                <w:szCs w:val="18"/>
                <w:lang w:eastAsia="es-CO"/>
              </w:rPr>
            </w:pPr>
            <w:r w:rsidRPr="0039091F">
              <w:rPr>
                <w:rFonts w:eastAsia="Times New Roman" w:cs="Times New Roman"/>
                <w:color w:val="000000"/>
                <w:sz w:val="18"/>
                <w:szCs w:val="18"/>
                <w:lang w:eastAsia="es-CO"/>
              </w:rPr>
              <w:t>Ministerio de la Igualdad y la Equidad</w:t>
            </w:r>
          </w:p>
        </w:tc>
        <w:tc>
          <w:tcPr>
            <w:tcW w:w="464" w:type="pct"/>
            <w:vAlign w:val="center"/>
            <w:hideMark/>
          </w:tcPr>
          <w:p w14:paraId="3B7337FD" w14:textId="77777777" w:rsidR="00297E57" w:rsidRPr="0039091F" w:rsidRDefault="00297E57" w:rsidP="000A5389">
            <w:pPr>
              <w:spacing w:line="240" w:lineRule="auto"/>
              <w:jc w:val="center"/>
              <w:rPr>
                <w:rFonts w:eastAsia="Times New Roman" w:cs="Times New Roman"/>
                <w:color w:val="000000"/>
                <w:sz w:val="18"/>
                <w:szCs w:val="18"/>
                <w:lang w:eastAsia="es-CO"/>
              </w:rPr>
            </w:pPr>
            <w:r w:rsidRPr="0039091F">
              <w:rPr>
                <w:rFonts w:eastAsia="Times New Roman" w:cs="Times New Roman"/>
                <w:color w:val="000000"/>
                <w:sz w:val="18"/>
                <w:szCs w:val="18"/>
                <w:lang w:eastAsia="es-CO"/>
              </w:rPr>
              <w:t>30</w:t>
            </w:r>
          </w:p>
        </w:tc>
        <w:tc>
          <w:tcPr>
            <w:tcW w:w="527" w:type="pct"/>
            <w:vAlign w:val="center"/>
            <w:hideMark/>
          </w:tcPr>
          <w:p w14:paraId="4E37A952" w14:textId="77777777" w:rsidR="00297E57" w:rsidRPr="0039091F" w:rsidRDefault="00297E57" w:rsidP="000A5389">
            <w:pPr>
              <w:spacing w:line="240" w:lineRule="auto"/>
              <w:jc w:val="center"/>
              <w:rPr>
                <w:rFonts w:eastAsia="Times New Roman" w:cs="Times New Roman"/>
                <w:color w:val="000000"/>
                <w:sz w:val="18"/>
                <w:szCs w:val="18"/>
                <w:lang w:eastAsia="es-CO"/>
              </w:rPr>
            </w:pPr>
            <w:r w:rsidRPr="0039091F">
              <w:rPr>
                <w:rFonts w:eastAsia="Times New Roman" w:cs="Times New Roman"/>
                <w:color w:val="000000" w:themeColor="text1"/>
                <w:sz w:val="18"/>
                <w:szCs w:val="18"/>
                <w:lang w:eastAsia="es-CO"/>
              </w:rPr>
              <w:t xml:space="preserve">5 </w:t>
            </w:r>
          </w:p>
          <w:p w14:paraId="48678269" w14:textId="77777777" w:rsidR="00297E57" w:rsidRPr="0039091F" w:rsidRDefault="00297E57" w:rsidP="000A5389">
            <w:pPr>
              <w:spacing w:line="240" w:lineRule="auto"/>
              <w:jc w:val="center"/>
              <w:rPr>
                <w:rFonts w:eastAsia="Times New Roman" w:cs="Times New Roman"/>
                <w:color w:val="000000"/>
                <w:sz w:val="18"/>
                <w:szCs w:val="18"/>
                <w:lang w:eastAsia="es-CO"/>
              </w:rPr>
            </w:pPr>
            <w:r w:rsidRPr="0039091F">
              <w:rPr>
                <w:rFonts w:eastAsia="Times New Roman" w:cs="Times New Roman"/>
                <w:color w:val="000000" w:themeColor="text1"/>
                <w:sz w:val="18"/>
                <w:szCs w:val="18"/>
                <w:lang w:eastAsia="es-CO"/>
              </w:rPr>
              <w:t>de mayo</w:t>
            </w:r>
          </w:p>
        </w:tc>
        <w:tc>
          <w:tcPr>
            <w:tcW w:w="640" w:type="pct"/>
            <w:vAlign w:val="center"/>
            <w:hideMark/>
          </w:tcPr>
          <w:p w14:paraId="4602C4E5" w14:textId="77777777" w:rsidR="00297E57" w:rsidRPr="0039091F" w:rsidRDefault="00297E57" w:rsidP="000A5389">
            <w:pPr>
              <w:spacing w:line="240" w:lineRule="auto"/>
              <w:jc w:val="center"/>
              <w:rPr>
                <w:rFonts w:eastAsia="Times New Roman" w:cs="Times New Roman"/>
                <w:color w:val="000000"/>
                <w:sz w:val="18"/>
                <w:szCs w:val="18"/>
                <w:lang w:eastAsia="es-CO"/>
              </w:rPr>
            </w:pPr>
            <w:r w:rsidRPr="0039091F">
              <w:rPr>
                <w:rFonts w:eastAsia="Times New Roman" w:cs="Times New Roman"/>
                <w:color w:val="000000"/>
                <w:sz w:val="18"/>
                <w:szCs w:val="18"/>
                <w:lang w:eastAsia="es-CO"/>
              </w:rPr>
              <w:t>1</w:t>
            </w:r>
          </w:p>
        </w:tc>
      </w:tr>
      <w:tr w:rsidR="00297E57" w:rsidRPr="0039091F" w14:paraId="02370537" w14:textId="77777777" w:rsidTr="0039091F">
        <w:trPr>
          <w:trHeight w:val="283"/>
        </w:trPr>
        <w:tc>
          <w:tcPr>
            <w:tcW w:w="229" w:type="pct"/>
            <w:vAlign w:val="center"/>
            <w:hideMark/>
          </w:tcPr>
          <w:p w14:paraId="39E5ADEA" w14:textId="77777777" w:rsidR="00297E57" w:rsidRPr="0039091F" w:rsidRDefault="00297E57" w:rsidP="000A5389">
            <w:pPr>
              <w:spacing w:line="240" w:lineRule="auto"/>
              <w:jc w:val="center"/>
              <w:rPr>
                <w:rFonts w:eastAsia="Times New Roman" w:cs="Times New Roman"/>
                <w:color w:val="000000"/>
                <w:sz w:val="18"/>
                <w:szCs w:val="18"/>
                <w:lang w:eastAsia="es-CO"/>
              </w:rPr>
            </w:pPr>
            <w:r w:rsidRPr="0039091F">
              <w:rPr>
                <w:rFonts w:eastAsia="Times New Roman" w:cs="Times New Roman"/>
                <w:color w:val="000000"/>
                <w:sz w:val="18"/>
                <w:szCs w:val="18"/>
                <w:lang w:eastAsia="es-CO"/>
              </w:rPr>
              <w:t>23</w:t>
            </w:r>
          </w:p>
        </w:tc>
        <w:tc>
          <w:tcPr>
            <w:tcW w:w="777" w:type="pct"/>
            <w:vAlign w:val="center"/>
            <w:hideMark/>
          </w:tcPr>
          <w:p w14:paraId="3B4DCD97" w14:textId="77777777" w:rsidR="00297E57" w:rsidRPr="0039091F" w:rsidRDefault="00297E57" w:rsidP="000A5389">
            <w:pPr>
              <w:spacing w:line="240" w:lineRule="auto"/>
              <w:rPr>
                <w:rFonts w:eastAsia="Times New Roman" w:cs="Times New Roman"/>
                <w:color w:val="000000"/>
                <w:sz w:val="18"/>
                <w:szCs w:val="18"/>
                <w:lang w:eastAsia="es-CO"/>
              </w:rPr>
            </w:pPr>
            <w:r w:rsidRPr="0039091F">
              <w:rPr>
                <w:rFonts w:eastAsia="Times New Roman" w:cs="Times New Roman"/>
                <w:color w:val="000000"/>
                <w:sz w:val="18"/>
                <w:szCs w:val="18"/>
                <w:lang w:eastAsia="es-CO"/>
              </w:rPr>
              <w:t>Eje 2 (Territorio, Vida y Ambiente)</w:t>
            </w:r>
          </w:p>
        </w:tc>
        <w:tc>
          <w:tcPr>
            <w:tcW w:w="1320" w:type="pct"/>
            <w:vAlign w:val="center"/>
            <w:hideMark/>
          </w:tcPr>
          <w:p w14:paraId="32D4DCB1" w14:textId="77777777" w:rsidR="00297E57" w:rsidRPr="0039091F" w:rsidRDefault="00297E57" w:rsidP="000A5389">
            <w:pPr>
              <w:spacing w:line="240" w:lineRule="auto"/>
              <w:rPr>
                <w:rFonts w:eastAsia="Times New Roman" w:cs="Times New Roman"/>
                <w:color w:val="000000"/>
                <w:sz w:val="18"/>
                <w:szCs w:val="18"/>
                <w:lang w:eastAsia="es-CO"/>
              </w:rPr>
            </w:pPr>
            <w:r w:rsidRPr="0039091F">
              <w:rPr>
                <w:rFonts w:eastAsia="Times New Roman" w:cs="Times New Roman"/>
                <w:color w:val="000000"/>
                <w:sz w:val="18"/>
                <w:szCs w:val="18"/>
                <w:lang w:eastAsia="es-CO"/>
              </w:rPr>
              <w:t>Capacitación en Huertas Urbanas y Agroecología en casa - Sede Principal</w:t>
            </w:r>
          </w:p>
        </w:tc>
        <w:tc>
          <w:tcPr>
            <w:tcW w:w="1044" w:type="pct"/>
            <w:vAlign w:val="center"/>
            <w:hideMark/>
          </w:tcPr>
          <w:p w14:paraId="2B234D0A" w14:textId="77777777" w:rsidR="00297E57" w:rsidRPr="0039091F" w:rsidRDefault="00297E57" w:rsidP="000A5389">
            <w:pPr>
              <w:spacing w:line="240" w:lineRule="auto"/>
              <w:jc w:val="center"/>
              <w:rPr>
                <w:rFonts w:eastAsia="Times New Roman" w:cs="Times New Roman"/>
                <w:color w:val="000000"/>
                <w:sz w:val="18"/>
                <w:szCs w:val="18"/>
                <w:lang w:eastAsia="es-CO"/>
              </w:rPr>
            </w:pPr>
            <w:r w:rsidRPr="0039091F">
              <w:rPr>
                <w:rFonts w:eastAsia="Times New Roman" w:cs="Times New Roman"/>
                <w:color w:val="000000"/>
                <w:sz w:val="18"/>
                <w:szCs w:val="18"/>
                <w:lang w:eastAsia="es-CO"/>
              </w:rPr>
              <w:t>Secretaría Distrital de Ambiente (SDA)</w:t>
            </w:r>
          </w:p>
        </w:tc>
        <w:tc>
          <w:tcPr>
            <w:tcW w:w="464" w:type="pct"/>
            <w:vAlign w:val="center"/>
            <w:hideMark/>
          </w:tcPr>
          <w:p w14:paraId="044F5134" w14:textId="77777777" w:rsidR="00297E57" w:rsidRPr="0039091F" w:rsidRDefault="00297E57" w:rsidP="000A5389">
            <w:pPr>
              <w:spacing w:line="240" w:lineRule="auto"/>
              <w:jc w:val="center"/>
              <w:rPr>
                <w:rFonts w:eastAsia="Times New Roman" w:cs="Times New Roman"/>
                <w:color w:val="000000"/>
                <w:sz w:val="18"/>
                <w:szCs w:val="18"/>
                <w:lang w:eastAsia="es-CO"/>
              </w:rPr>
            </w:pPr>
            <w:r w:rsidRPr="0039091F">
              <w:rPr>
                <w:rFonts w:eastAsia="Times New Roman" w:cs="Times New Roman"/>
                <w:color w:val="000000"/>
                <w:sz w:val="18"/>
                <w:szCs w:val="18"/>
                <w:lang w:eastAsia="es-CO"/>
              </w:rPr>
              <w:t>14</w:t>
            </w:r>
          </w:p>
        </w:tc>
        <w:tc>
          <w:tcPr>
            <w:tcW w:w="527" w:type="pct"/>
            <w:vAlign w:val="center"/>
            <w:hideMark/>
          </w:tcPr>
          <w:p w14:paraId="71EADFD3" w14:textId="77777777" w:rsidR="00297E57" w:rsidRPr="0039091F" w:rsidRDefault="00297E57" w:rsidP="000A5389">
            <w:pPr>
              <w:spacing w:line="240" w:lineRule="auto"/>
              <w:jc w:val="center"/>
              <w:rPr>
                <w:rFonts w:eastAsia="Times New Roman" w:cs="Times New Roman"/>
                <w:color w:val="000000"/>
                <w:sz w:val="18"/>
                <w:szCs w:val="18"/>
                <w:lang w:eastAsia="es-CO"/>
              </w:rPr>
            </w:pPr>
            <w:r w:rsidRPr="0039091F">
              <w:rPr>
                <w:rFonts w:eastAsia="Times New Roman" w:cs="Times New Roman"/>
                <w:color w:val="000000" w:themeColor="text1"/>
                <w:sz w:val="18"/>
                <w:szCs w:val="18"/>
                <w:lang w:eastAsia="es-CO"/>
              </w:rPr>
              <w:t xml:space="preserve">8 </w:t>
            </w:r>
          </w:p>
          <w:p w14:paraId="5A999ABC" w14:textId="77777777" w:rsidR="00297E57" w:rsidRPr="0039091F" w:rsidRDefault="00297E57" w:rsidP="000A5389">
            <w:pPr>
              <w:spacing w:line="240" w:lineRule="auto"/>
              <w:jc w:val="center"/>
              <w:rPr>
                <w:rFonts w:eastAsia="Times New Roman" w:cs="Times New Roman"/>
                <w:color w:val="000000"/>
                <w:sz w:val="18"/>
                <w:szCs w:val="18"/>
                <w:lang w:eastAsia="es-CO"/>
              </w:rPr>
            </w:pPr>
            <w:r w:rsidRPr="0039091F">
              <w:rPr>
                <w:rFonts w:eastAsia="Times New Roman" w:cs="Times New Roman"/>
                <w:color w:val="000000" w:themeColor="text1"/>
                <w:sz w:val="18"/>
                <w:szCs w:val="18"/>
                <w:lang w:eastAsia="es-CO"/>
              </w:rPr>
              <w:t>de mayo</w:t>
            </w:r>
          </w:p>
        </w:tc>
        <w:tc>
          <w:tcPr>
            <w:tcW w:w="640" w:type="pct"/>
            <w:vAlign w:val="center"/>
            <w:hideMark/>
          </w:tcPr>
          <w:p w14:paraId="51D20C84" w14:textId="77777777" w:rsidR="00297E57" w:rsidRPr="0039091F" w:rsidRDefault="00297E57" w:rsidP="000A5389">
            <w:pPr>
              <w:spacing w:line="240" w:lineRule="auto"/>
              <w:jc w:val="center"/>
              <w:rPr>
                <w:rFonts w:eastAsia="Times New Roman" w:cs="Times New Roman"/>
                <w:color w:val="000000"/>
                <w:sz w:val="18"/>
                <w:szCs w:val="18"/>
                <w:lang w:eastAsia="es-CO"/>
              </w:rPr>
            </w:pPr>
            <w:r w:rsidRPr="0039091F">
              <w:rPr>
                <w:rFonts w:eastAsia="Times New Roman" w:cs="Times New Roman"/>
                <w:color w:val="000000"/>
                <w:sz w:val="18"/>
                <w:szCs w:val="18"/>
                <w:lang w:eastAsia="es-CO"/>
              </w:rPr>
              <w:t>1</w:t>
            </w:r>
          </w:p>
        </w:tc>
      </w:tr>
      <w:tr w:rsidR="00297E57" w:rsidRPr="0039091F" w14:paraId="47E5C35B" w14:textId="77777777" w:rsidTr="0039091F">
        <w:trPr>
          <w:trHeight w:val="283"/>
        </w:trPr>
        <w:tc>
          <w:tcPr>
            <w:tcW w:w="229" w:type="pct"/>
            <w:vAlign w:val="center"/>
            <w:hideMark/>
          </w:tcPr>
          <w:p w14:paraId="13CFB99E" w14:textId="77777777" w:rsidR="00297E57" w:rsidRPr="0039091F" w:rsidRDefault="00297E57" w:rsidP="000A5389">
            <w:pPr>
              <w:spacing w:line="240" w:lineRule="auto"/>
              <w:jc w:val="center"/>
              <w:rPr>
                <w:rFonts w:eastAsia="Times New Roman" w:cs="Times New Roman"/>
                <w:color w:val="000000"/>
                <w:sz w:val="18"/>
                <w:szCs w:val="18"/>
                <w:lang w:eastAsia="es-CO"/>
              </w:rPr>
            </w:pPr>
            <w:r w:rsidRPr="0039091F">
              <w:rPr>
                <w:rFonts w:eastAsia="Times New Roman" w:cs="Times New Roman"/>
                <w:color w:val="000000"/>
                <w:sz w:val="18"/>
                <w:szCs w:val="18"/>
                <w:lang w:eastAsia="es-CO"/>
              </w:rPr>
              <w:t>24</w:t>
            </w:r>
          </w:p>
        </w:tc>
        <w:tc>
          <w:tcPr>
            <w:tcW w:w="777" w:type="pct"/>
            <w:vAlign w:val="center"/>
            <w:hideMark/>
          </w:tcPr>
          <w:p w14:paraId="2310A371" w14:textId="77777777" w:rsidR="00297E57" w:rsidRPr="0039091F" w:rsidRDefault="00297E57" w:rsidP="000A5389">
            <w:pPr>
              <w:spacing w:line="240" w:lineRule="auto"/>
              <w:rPr>
                <w:rFonts w:eastAsia="Times New Roman" w:cs="Times New Roman"/>
                <w:color w:val="000000"/>
                <w:sz w:val="18"/>
                <w:szCs w:val="18"/>
                <w:lang w:eastAsia="es-CO"/>
              </w:rPr>
            </w:pPr>
            <w:r w:rsidRPr="0039091F">
              <w:rPr>
                <w:rFonts w:eastAsia="Times New Roman" w:cs="Times New Roman"/>
                <w:color w:val="000000"/>
                <w:sz w:val="18"/>
                <w:szCs w:val="18"/>
                <w:lang w:eastAsia="es-CO"/>
              </w:rPr>
              <w:t>Seguridad y Salud en el Trabajo</w:t>
            </w:r>
          </w:p>
        </w:tc>
        <w:tc>
          <w:tcPr>
            <w:tcW w:w="1320" w:type="pct"/>
            <w:vAlign w:val="center"/>
            <w:hideMark/>
          </w:tcPr>
          <w:p w14:paraId="505AE3A4" w14:textId="77777777" w:rsidR="00297E57" w:rsidRPr="0039091F" w:rsidRDefault="00297E57" w:rsidP="000A5389">
            <w:pPr>
              <w:spacing w:line="240" w:lineRule="auto"/>
              <w:rPr>
                <w:rFonts w:eastAsia="Times New Roman" w:cs="Times New Roman"/>
                <w:color w:val="000000"/>
                <w:sz w:val="18"/>
                <w:szCs w:val="18"/>
                <w:lang w:eastAsia="es-CO"/>
              </w:rPr>
            </w:pPr>
            <w:r w:rsidRPr="0039091F">
              <w:rPr>
                <w:rFonts w:eastAsia="Times New Roman" w:cs="Times New Roman"/>
                <w:color w:val="000000"/>
                <w:sz w:val="18"/>
                <w:szCs w:val="18"/>
                <w:lang w:eastAsia="es-CO"/>
              </w:rPr>
              <w:t>Capacitación Primeros Auxilios Psicológicos</w:t>
            </w:r>
          </w:p>
        </w:tc>
        <w:tc>
          <w:tcPr>
            <w:tcW w:w="1044" w:type="pct"/>
            <w:vAlign w:val="center"/>
            <w:hideMark/>
          </w:tcPr>
          <w:p w14:paraId="49DBF041" w14:textId="77777777" w:rsidR="00297E57" w:rsidRPr="0039091F" w:rsidRDefault="00297E57" w:rsidP="000A5389">
            <w:pPr>
              <w:spacing w:line="240" w:lineRule="auto"/>
              <w:jc w:val="center"/>
              <w:rPr>
                <w:rFonts w:eastAsia="Times New Roman" w:cs="Times New Roman"/>
                <w:color w:val="000000"/>
                <w:sz w:val="18"/>
                <w:szCs w:val="18"/>
                <w:lang w:eastAsia="es-CO"/>
              </w:rPr>
            </w:pPr>
            <w:r w:rsidRPr="0039091F">
              <w:rPr>
                <w:rFonts w:eastAsia="Times New Roman" w:cs="Times New Roman"/>
                <w:color w:val="000000"/>
                <w:sz w:val="18"/>
                <w:szCs w:val="18"/>
                <w:lang w:eastAsia="es-CO"/>
              </w:rPr>
              <w:t>ARL POSITIVA</w:t>
            </w:r>
          </w:p>
        </w:tc>
        <w:tc>
          <w:tcPr>
            <w:tcW w:w="464" w:type="pct"/>
            <w:vAlign w:val="center"/>
            <w:hideMark/>
          </w:tcPr>
          <w:p w14:paraId="159CDA1D" w14:textId="77777777" w:rsidR="00297E57" w:rsidRPr="0039091F" w:rsidRDefault="00297E57" w:rsidP="000A5389">
            <w:pPr>
              <w:spacing w:line="240" w:lineRule="auto"/>
              <w:jc w:val="center"/>
              <w:rPr>
                <w:rFonts w:eastAsia="Times New Roman" w:cs="Times New Roman"/>
                <w:color w:val="000000"/>
                <w:sz w:val="18"/>
                <w:szCs w:val="18"/>
                <w:lang w:eastAsia="es-CO"/>
              </w:rPr>
            </w:pPr>
            <w:r w:rsidRPr="0039091F">
              <w:rPr>
                <w:rFonts w:eastAsia="Times New Roman" w:cs="Times New Roman"/>
                <w:color w:val="000000"/>
                <w:sz w:val="18"/>
                <w:szCs w:val="18"/>
                <w:lang w:eastAsia="es-CO"/>
              </w:rPr>
              <w:t>16</w:t>
            </w:r>
          </w:p>
        </w:tc>
        <w:tc>
          <w:tcPr>
            <w:tcW w:w="527" w:type="pct"/>
            <w:vAlign w:val="center"/>
            <w:hideMark/>
          </w:tcPr>
          <w:p w14:paraId="3D683E9C" w14:textId="77777777" w:rsidR="00297E57" w:rsidRPr="0039091F" w:rsidRDefault="00297E57" w:rsidP="000A5389">
            <w:pPr>
              <w:spacing w:line="240" w:lineRule="auto"/>
              <w:jc w:val="center"/>
              <w:rPr>
                <w:rFonts w:eastAsia="Times New Roman" w:cs="Times New Roman"/>
                <w:color w:val="000000"/>
                <w:sz w:val="18"/>
                <w:szCs w:val="18"/>
                <w:lang w:eastAsia="es-CO"/>
              </w:rPr>
            </w:pPr>
            <w:r w:rsidRPr="0039091F">
              <w:rPr>
                <w:rFonts w:eastAsia="Times New Roman" w:cs="Times New Roman"/>
                <w:color w:val="000000"/>
                <w:sz w:val="18"/>
                <w:szCs w:val="18"/>
                <w:lang w:eastAsia="es-CO"/>
              </w:rPr>
              <w:t>12 de mayo</w:t>
            </w:r>
          </w:p>
        </w:tc>
        <w:tc>
          <w:tcPr>
            <w:tcW w:w="640" w:type="pct"/>
            <w:vAlign w:val="center"/>
            <w:hideMark/>
          </w:tcPr>
          <w:p w14:paraId="6336C9BA" w14:textId="77777777" w:rsidR="00297E57" w:rsidRPr="0039091F" w:rsidRDefault="00297E57" w:rsidP="000A5389">
            <w:pPr>
              <w:spacing w:line="240" w:lineRule="auto"/>
              <w:jc w:val="center"/>
              <w:rPr>
                <w:rFonts w:eastAsia="Times New Roman" w:cs="Times New Roman"/>
                <w:color w:val="000000"/>
                <w:sz w:val="18"/>
                <w:szCs w:val="18"/>
                <w:lang w:eastAsia="es-CO"/>
              </w:rPr>
            </w:pPr>
            <w:r w:rsidRPr="0039091F">
              <w:rPr>
                <w:rFonts w:eastAsia="Times New Roman" w:cs="Times New Roman"/>
                <w:color w:val="000000"/>
                <w:sz w:val="18"/>
                <w:szCs w:val="18"/>
                <w:lang w:eastAsia="es-CO"/>
              </w:rPr>
              <w:t>1</w:t>
            </w:r>
          </w:p>
        </w:tc>
      </w:tr>
      <w:tr w:rsidR="00297E57" w:rsidRPr="0039091F" w14:paraId="40325A0F" w14:textId="77777777" w:rsidTr="0039091F">
        <w:trPr>
          <w:trHeight w:val="283"/>
        </w:trPr>
        <w:tc>
          <w:tcPr>
            <w:tcW w:w="229" w:type="pct"/>
            <w:vAlign w:val="center"/>
            <w:hideMark/>
          </w:tcPr>
          <w:p w14:paraId="54844B48" w14:textId="77777777" w:rsidR="00297E57" w:rsidRPr="0039091F" w:rsidRDefault="00297E57" w:rsidP="000A5389">
            <w:pPr>
              <w:spacing w:line="240" w:lineRule="auto"/>
              <w:jc w:val="center"/>
              <w:rPr>
                <w:rFonts w:eastAsia="Times New Roman" w:cs="Times New Roman"/>
                <w:color w:val="000000"/>
                <w:sz w:val="18"/>
                <w:szCs w:val="18"/>
                <w:lang w:eastAsia="es-CO"/>
              </w:rPr>
            </w:pPr>
            <w:r w:rsidRPr="0039091F">
              <w:rPr>
                <w:rFonts w:eastAsia="Times New Roman" w:cs="Times New Roman"/>
                <w:color w:val="000000"/>
                <w:sz w:val="18"/>
                <w:szCs w:val="18"/>
                <w:lang w:eastAsia="es-CO"/>
              </w:rPr>
              <w:lastRenderedPageBreak/>
              <w:t>25</w:t>
            </w:r>
          </w:p>
        </w:tc>
        <w:tc>
          <w:tcPr>
            <w:tcW w:w="777" w:type="pct"/>
            <w:vAlign w:val="center"/>
            <w:hideMark/>
          </w:tcPr>
          <w:p w14:paraId="7248DF19" w14:textId="77777777" w:rsidR="00297E57" w:rsidRPr="0039091F" w:rsidRDefault="00297E57" w:rsidP="000A5389">
            <w:pPr>
              <w:spacing w:line="240" w:lineRule="auto"/>
              <w:rPr>
                <w:rFonts w:eastAsia="Times New Roman" w:cs="Times New Roman"/>
                <w:color w:val="000000"/>
                <w:sz w:val="18"/>
                <w:szCs w:val="18"/>
                <w:lang w:eastAsia="es-CO"/>
              </w:rPr>
            </w:pPr>
            <w:r w:rsidRPr="0039091F">
              <w:rPr>
                <w:rFonts w:eastAsia="Times New Roman" w:cs="Times New Roman"/>
                <w:color w:val="000000"/>
                <w:sz w:val="18"/>
                <w:szCs w:val="18"/>
                <w:lang w:eastAsia="es-CO"/>
              </w:rPr>
              <w:t>Habilidades y Conocimientos</w:t>
            </w:r>
          </w:p>
        </w:tc>
        <w:tc>
          <w:tcPr>
            <w:tcW w:w="1320" w:type="pct"/>
            <w:vAlign w:val="center"/>
            <w:hideMark/>
          </w:tcPr>
          <w:p w14:paraId="70A3A908" w14:textId="77777777" w:rsidR="00297E57" w:rsidRPr="0039091F" w:rsidRDefault="00297E57" w:rsidP="000A5389">
            <w:pPr>
              <w:spacing w:line="240" w:lineRule="auto"/>
              <w:rPr>
                <w:rFonts w:eastAsia="Times New Roman" w:cs="Times New Roman"/>
                <w:color w:val="000000"/>
                <w:sz w:val="18"/>
                <w:szCs w:val="18"/>
                <w:lang w:eastAsia="es-CO"/>
              </w:rPr>
            </w:pPr>
            <w:r w:rsidRPr="0039091F">
              <w:rPr>
                <w:rFonts w:eastAsia="Times New Roman" w:cs="Times New Roman"/>
                <w:color w:val="000000"/>
                <w:sz w:val="18"/>
                <w:szCs w:val="18"/>
                <w:lang w:eastAsia="es-CO"/>
              </w:rPr>
              <w:t>Capacitación en Tipificación en PQRS</w:t>
            </w:r>
          </w:p>
        </w:tc>
        <w:tc>
          <w:tcPr>
            <w:tcW w:w="1044" w:type="pct"/>
            <w:vAlign w:val="center"/>
            <w:hideMark/>
          </w:tcPr>
          <w:p w14:paraId="519887EC" w14:textId="77777777" w:rsidR="00297E57" w:rsidRPr="0039091F" w:rsidRDefault="00297E57" w:rsidP="000A5389">
            <w:pPr>
              <w:spacing w:line="240" w:lineRule="auto"/>
              <w:jc w:val="center"/>
              <w:rPr>
                <w:rFonts w:eastAsia="Times New Roman" w:cs="Times New Roman"/>
                <w:color w:val="000000"/>
                <w:sz w:val="18"/>
                <w:szCs w:val="18"/>
                <w:lang w:eastAsia="es-CO"/>
              </w:rPr>
            </w:pPr>
            <w:r w:rsidRPr="0039091F">
              <w:rPr>
                <w:rFonts w:eastAsia="Times New Roman" w:cs="Times New Roman"/>
                <w:color w:val="000000"/>
                <w:sz w:val="18"/>
                <w:szCs w:val="18"/>
                <w:lang w:eastAsia="es-CO"/>
              </w:rPr>
              <w:t>ANI</w:t>
            </w:r>
          </w:p>
        </w:tc>
        <w:tc>
          <w:tcPr>
            <w:tcW w:w="464" w:type="pct"/>
            <w:vAlign w:val="center"/>
            <w:hideMark/>
          </w:tcPr>
          <w:p w14:paraId="63A357DA" w14:textId="77777777" w:rsidR="00297E57" w:rsidRPr="0039091F" w:rsidRDefault="00297E57" w:rsidP="000A5389">
            <w:pPr>
              <w:spacing w:line="240" w:lineRule="auto"/>
              <w:jc w:val="center"/>
              <w:rPr>
                <w:rFonts w:eastAsia="Times New Roman" w:cs="Times New Roman"/>
                <w:color w:val="000000"/>
                <w:sz w:val="18"/>
                <w:szCs w:val="18"/>
                <w:lang w:eastAsia="es-CO"/>
              </w:rPr>
            </w:pPr>
            <w:r w:rsidRPr="0039091F">
              <w:rPr>
                <w:rFonts w:eastAsia="Times New Roman" w:cs="Times New Roman"/>
                <w:color w:val="000000"/>
                <w:sz w:val="18"/>
                <w:szCs w:val="18"/>
                <w:lang w:eastAsia="es-CO"/>
              </w:rPr>
              <w:t>14</w:t>
            </w:r>
          </w:p>
        </w:tc>
        <w:tc>
          <w:tcPr>
            <w:tcW w:w="527" w:type="pct"/>
            <w:vAlign w:val="center"/>
            <w:hideMark/>
          </w:tcPr>
          <w:p w14:paraId="0C6E2E59" w14:textId="77777777" w:rsidR="00297E57" w:rsidRPr="0039091F" w:rsidRDefault="00297E57" w:rsidP="000A5389">
            <w:pPr>
              <w:spacing w:line="240" w:lineRule="auto"/>
              <w:jc w:val="center"/>
              <w:rPr>
                <w:rFonts w:eastAsia="Times New Roman" w:cs="Times New Roman"/>
                <w:color w:val="000000"/>
                <w:sz w:val="18"/>
                <w:szCs w:val="18"/>
                <w:lang w:eastAsia="es-CO"/>
              </w:rPr>
            </w:pPr>
            <w:r w:rsidRPr="0039091F">
              <w:rPr>
                <w:rFonts w:eastAsia="Times New Roman" w:cs="Times New Roman"/>
                <w:color w:val="000000"/>
                <w:sz w:val="18"/>
                <w:szCs w:val="18"/>
                <w:lang w:eastAsia="es-CO"/>
              </w:rPr>
              <w:t>12 de mayo</w:t>
            </w:r>
          </w:p>
        </w:tc>
        <w:tc>
          <w:tcPr>
            <w:tcW w:w="640" w:type="pct"/>
            <w:vAlign w:val="center"/>
            <w:hideMark/>
          </w:tcPr>
          <w:p w14:paraId="79F4D23D" w14:textId="77777777" w:rsidR="00297E57" w:rsidRPr="0039091F" w:rsidRDefault="00297E57" w:rsidP="000A5389">
            <w:pPr>
              <w:spacing w:line="240" w:lineRule="auto"/>
              <w:jc w:val="center"/>
              <w:rPr>
                <w:rFonts w:eastAsia="Times New Roman" w:cs="Times New Roman"/>
                <w:color w:val="000000"/>
                <w:sz w:val="18"/>
                <w:szCs w:val="18"/>
                <w:lang w:eastAsia="es-CO"/>
              </w:rPr>
            </w:pPr>
            <w:r w:rsidRPr="0039091F">
              <w:rPr>
                <w:rFonts w:eastAsia="Times New Roman" w:cs="Times New Roman"/>
                <w:color w:val="000000"/>
                <w:sz w:val="18"/>
                <w:szCs w:val="18"/>
                <w:lang w:eastAsia="es-CO"/>
              </w:rPr>
              <w:t>1,3</w:t>
            </w:r>
          </w:p>
        </w:tc>
      </w:tr>
      <w:tr w:rsidR="00297E57" w:rsidRPr="0039091F" w14:paraId="3550DA00" w14:textId="77777777" w:rsidTr="0039091F">
        <w:trPr>
          <w:trHeight w:val="283"/>
        </w:trPr>
        <w:tc>
          <w:tcPr>
            <w:tcW w:w="229" w:type="pct"/>
            <w:vAlign w:val="center"/>
            <w:hideMark/>
          </w:tcPr>
          <w:p w14:paraId="66B5BA81" w14:textId="77777777" w:rsidR="00297E57" w:rsidRPr="0039091F" w:rsidRDefault="00297E57" w:rsidP="000A5389">
            <w:pPr>
              <w:spacing w:line="240" w:lineRule="auto"/>
              <w:jc w:val="center"/>
              <w:rPr>
                <w:rFonts w:eastAsia="Times New Roman" w:cs="Times New Roman"/>
                <w:color w:val="000000"/>
                <w:sz w:val="18"/>
                <w:szCs w:val="18"/>
                <w:lang w:eastAsia="es-CO"/>
              </w:rPr>
            </w:pPr>
            <w:r w:rsidRPr="0039091F">
              <w:rPr>
                <w:rFonts w:eastAsia="Times New Roman" w:cs="Times New Roman"/>
                <w:color w:val="000000"/>
                <w:sz w:val="18"/>
                <w:szCs w:val="18"/>
                <w:lang w:eastAsia="es-CO"/>
              </w:rPr>
              <w:t>26</w:t>
            </w:r>
          </w:p>
        </w:tc>
        <w:tc>
          <w:tcPr>
            <w:tcW w:w="777" w:type="pct"/>
            <w:vAlign w:val="center"/>
            <w:hideMark/>
          </w:tcPr>
          <w:p w14:paraId="64C0C486" w14:textId="77777777" w:rsidR="00297E57" w:rsidRPr="0039091F" w:rsidRDefault="00297E57" w:rsidP="000A5389">
            <w:pPr>
              <w:spacing w:line="240" w:lineRule="auto"/>
              <w:rPr>
                <w:rFonts w:eastAsia="Times New Roman" w:cs="Times New Roman"/>
                <w:color w:val="000000"/>
                <w:sz w:val="18"/>
                <w:szCs w:val="18"/>
                <w:lang w:eastAsia="es-CO"/>
              </w:rPr>
            </w:pPr>
            <w:r w:rsidRPr="0039091F">
              <w:rPr>
                <w:rFonts w:eastAsia="Times New Roman" w:cs="Times New Roman"/>
                <w:color w:val="000000"/>
                <w:sz w:val="18"/>
                <w:szCs w:val="18"/>
                <w:lang w:eastAsia="es-CO"/>
              </w:rPr>
              <w:t>Orfeo y Gestión Documental</w:t>
            </w:r>
          </w:p>
        </w:tc>
        <w:tc>
          <w:tcPr>
            <w:tcW w:w="1320" w:type="pct"/>
            <w:vAlign w:val="center"/>
            <w:hideMark/>
          </w:tcPr>
          <w:p w14:paraId="52402477" w14:textId="77777777" w:rsidR="00297E57" w:rsidRPr="0039091F" w:rsidRDefault="00297E57" w:rsidP="000A5389">
            <w:pPr>
              <w:spacing w:line="240" w:lineRule="auto"/>
              <w:rPr>
                <w:rFonts w:eastAsia="Times New Roman" w:cs="Times New Roman"/>
                <w:color w:val="000000"/>
                <w:sz w:val="18"/>
                <w:szCs w:val="18"/>
                <w:lang w:eastAsia="es-CO"/>
              </w:rPr>
            </w:pPr>
            <w:r w:rsidRPr="0039091F">
              <w:rPr>
                <w:rFonts w:eastAsia="Times New Roman" w:cs="Times New Roman"/>
                <w:color w:val="000000"/>
                <w:sz w:val="18"/>
                <w:szCs w:val="18"/>
                <w:lang w:eastAsia="es-CO"/>
              </w:rPr>
              <w:t>Capacitación en</w:t>
            </w:r>
          </w:p>
        </w:tc>
        <w:tc>
          <w:tcPr>
            <w:tcW w:w="1044" w:type="pct"/>
            <w:vAlign w:val="center"/>
            <w:hideMark/>
          </w:tcPr>
          <w:p w14:paraId="01C3D6A1" w14:textId="77777777" w:rsidR="00297E57" w:rsidRPr="0039091F" w:rsidRDefault="00297E57" w:rsidP="000A5389">
            <w:pPr>
              <w:spacing w:line="240" w:lineRule="auto"/>
              <w:jc w:val="center"/>
              <w:rPr>
                <w:rFonts w:eastAsia="Times New Roman" w:cs="Times New Roman"/>
                <w:color w:val="000000"/>
                <w:sz w:val="18"/>
                <w:szCs w:val="18"/>
                <w:lang w:eastAsia="es-CO"/>
              </w:rPr>
            </w:pPr>
            <w:r w:rsidRPr="0039091F">
              <w:rPr>
                <w:rFonts w:eastAsia="Times New Roman" w:cs="Times New Roman"/>
                <w:color w:val="000000"/>
                <w:sz w:val="18"/>
                <w:szCs w:val="18"/>
                <w:lang w:eastAsia="es-CO"/>
              </w:rPr>
              <w:t>ANI</w:t>
            </w:r>
          </w:p>
        </w:tc>
        <w:tc>
          <w:tcPr>
            <w:tcW w:w="464" w:type="pct"/>
            <w:vAlign w:val="center"/>
            <w:hideMark/>
          </w:tcPr>
          <w:p w14:paraId="510D9975" w14:textId="77777777" w:rsidR="00297E57" w:rsidRPr="0039091F" w:rsidRDefault="00297E57" w:rsidP="000A5389">
            <w:pPr>
              <w:spacing w:line="240" w:lineRule="auto"/>
              <w:jc w:val="center"/>
              <w:rPr>
                <w:rFonts w:eastAsia="Times New Roman" w:cs="Times New Roman"/>
                <w:color w:val="000000"/>
                <w:sz w:val="18"/>
                <w:szCs w:val="18"/>
                <w:lang w:eastAsia="es-CO"/>
              </w:rPr>
            </w:pPr>
            <w:r w:rsidRPr="0039091F">
              <w:rPr>
                <w:rFonts w:eastAsia="Times New Roman" w:cs="Times New Roman"/>
                <w:color w:val="000000"/>
                <w:sz w:val="18"/>
                <w:szCs w:val="18"/>
                <w:lang w:eastAsia="es-CO"/>
              </w:rPr>
              <w:t>42</w:t>
            </w:r>
          </w:p>
        </w:tc>
        <w:tc>
          <w:tcPr>
            <w:tcW w:w="527" w:type="pct"/>
            <w:vAlign w:val="center"/>
            <w:hideMark/>
          </w:tcPr>
          <w:p w14:paraId="11C4F57A" w14:textId="77777777" w:rsidR="00297E57" w:rsidRPr="0039091F" w:rsidRDefault="00297E57" w:rsidP="000A5389">
            <w:pPr>
              <w:spacing w:line="240" w:lineRule="auto"/>
              <w:jc w:val="center"/>
              <w:rPr>
                <w:rFonts w:eastAsia="Times New Roman" w:cs="Times New Roman"/>
                <w:color w:val="000000"/>
                <w:sz w:val="18"/>
                <w:szCs w:val="18"/>
                <w:lang w:eastAsia="es-CO"/>
              </w:rPr>
            </w:pPr>
            <w:r w:rsidRPr="0039091F">
              <w:rPr>
                <w:rFonts w:eastAsia="Times New Roman" w:cs="Times New Roman"/>
                <w:color w:val="000000"/>
                <w:sz w:val="18"/>
                <w:szCs w:val="18"/>
                <w:lang w:eastAsia="es-CO"/>
              </w:rPr>
              <w:t>16 de mayo</w:t>
            </w:r>
          </w:p>
        </w:tc>
        <w:tc>
          <w:tcPr>
            <w:tcW w:w="640" w:type="pct"/>
            <w:vAlign w:val="center"/>
            <w:hideMark/>
          </w:tcPr>
          <w:p w14:paraId="4C09F6E0" w14:textId="77777777" w:rsidR="00297E57" w:rsidRPr="0039091F" w:rsidRDefault="00297E57" w:rsidP="000A5389">
            <w:pPr>
              <w:spacing w:line="240" w:lineRule="auto"/>
              <w:jc w:val="center"/>
              <w:rPr>
                <w:rFonts w:eastAsia="Times New Roman" w:cs="Times New Roman"/>
                <w:color w:val="000000"/>
                <w:sz w:val="18"/>
                <w:szCs w:val="18"/>
                <w:lang w:eastAsia="es-CO"/>
              </w:rPr>
            </w:pPr>
            <w:r w:rsidRPr="0039091F">
              <w:rPr>
                <w:rFonts w:eastAsia="Times New Roman" w:cs="Times New Roman"/>
                <w:color w:val="000000"/>
                <w:sz w:val="18"/>
                <w:szCs w:val="18"/>
                <w:lang w:eastAsia="es-CO"/>
              </w:rPr>
              <w:t>1</w:t>
            </w:r>
          </w:p>
        </w:tc>
      </w:tr>
      <w:tr w:rsidR="00297E57" w:rsidRPr="0039091F" w14:paraId="566E0DA2" w14:textId="77777777" w:rsidTr="0039091F">
        <w:trPr>
          <w:trHeight w:val="283"/>
        </w:trPr>
        <w:tc>
          <w:tcPr>
            <w:tcW w:w="229" w:type="pct"/>
            <w:vAlign w:val="center"/>
            <w:hideMark/>
          </w:tcPr>
          <w:p w14:paraId="79C7F7AE" w14:textId="77777777" w:rsidR="00297E57" w:rsidRPr="0039091F" w:rsidRDefault="00297E57" w:rsidP="000A5389">
            <w:pPr>
              <w:spacing w:line="240" w:lineRule="auto"/>
              <w:jc w:val="center"/>
              <w:rPr>
                <w:rFonts w:eastAsia="Times New Roman" w:cs="Times New Roman"/>
                <w:color w:val="000000"/>
                <w:sz w:val="18"/>
                <w:szCs w:val="18"/>
                <w:lang w:eastAsia="es-CO"/>
              </w:rPr>
            </w:pPr>
            <w:r w:rsidRPr="0039091F">
              <w:rPr>
                <w:rFonts w:eastAsia="Times New Roman" w:cs="Times New Roman"/>
                <w:color w:val="000000"/>
                <w:sz w:val="18"/>
                <w:szCs w:val="18"/>
                <w:lang w:eastAsia="es-CO"/>
              </w:rPr>
              <w:t>27</w:t>
            </w:r>
          </w:p>
        </w:tc>
        <w:tc>
          <w:tcPr>
            <w:tcW w:w="777" w:type="pct"/>
            <w:vAlign w:val="center"/>
            <w:hideMark/>
          </w:tcPr>
          <w:p w14:paraId="0775CB92" w14:textId="77777777" w:rsidR="00297E57" w:rsidRPr="0039091F" w:rsidRDefault="00297E57" w:rsidP="000A5389">
            <w:pPr>
              <w:spacing w:line="240" w:lineRule="auto"/>
              <w:rPr>
                <w:rFonts w:eastAsia="Times New Roman" w:cs="Times New Roman"/>
                <w:color w:val="000000"/>
                <w:sz w:val="18"/>
                <w:szCs w:val="18"/>
                <w:lang w:eastAsia="es-CO"/>
              </w:rPr>
            </w:pPr>
            <w:r w:rsidRPr="0039091F">
              <w:rPr>
                <w:rFonts w:eastAsia="Times New Roman" w:cs="Times New Roman"/>
                <w:color w:val="000000"/>
                <w:sz w:val="18"/>
                <w:szCs w:val="18"/>
                <w:lang w:eastAsia="es-CO"/>
              </w:rPr>
              <w:t>Eje 2 (Territorio, Vida y Ambiente) y Ambiental</w:t>
            </w:r>
          </w:p>
        </w:tc>
        <w:tc>
          <w:tcPr>
            <w:tcW w:w="1320" w:type="pct"/>
            <w:vAlign w:val="center"/>
            <w:hideMark/>
          </w:tcPr>
          <w:p w14:paraId="4D0F4F2B" w14:textId="77777777" w:rsidR="00297E57" w:rsidRPr="0039091F" w:rsidRDefault="00297E57" w:rsidP="000A5389">
            <w:pPr>
              <w:spacing w:line="240" w:lineRule="auto"/>
              <w:rPr>
                <w:rFonts w:eastAsia="Times New Roman" w:cs="Times New Roman"/>
                <w:color w:val="000000"/>
                <w:sz w:val="18"/>
                <w:szCs w:val="18"/>
                <w:lang w:eastAsia="es-CO"/>
              </w:rPr>
            </w:pPr>
            <w:r w:rsidRPr="0039091F">
              <w:rPr>
                <w:rFonts w:eastAsia="Times New Roman" w:cs="Times New Roman"/>
                <w:color w:val="000000"/>
                <w:sz w:val="18"/>
                <w:szCs w:val="18"/>
                <w:lang w:eastAsia="es-CO"/>
              </w:rPr>
              <w:t>Capacitación en Huertas Urbanas y Agroecología en casa - Sede Montevideo</w:t>
            </w:r>
          </w:p>
        </w:tc>
        <w:tc>
          <w:tcPr>
            <w:tcW w:w="1044" w:type="pct"/>
            <w:vAlign w:val="center"/>
            <w:hideMark/>
          </w:tcPr>
          <w:p w14:paraId="5F5D0820" w14:textId="77777777" w:rsidR="00297E57" w:rsidRPr="0039091F" w:rsidRDefault="00297E57" w:rsidP="000A5389">
            <w:pPr>
              <w:spacing w:line="240" w:lineRule="auto"/>
              <w:jc w:val="center"/>
              <w:rPr>
                <w:rFonts w:eastAsia="Times New Roman" w:cs="Times New Roman"/>
                <w:color w:val="000000"/>
                <w:sz w:val="18"/>
                <w:szCs w:val="18"/>
                <w:lang w:eastAsia="es-CO"/>
              </w:rPr>
            </w:pPr>
            <w:r w:rsidRPr="0039091F">
              <w:rPr>
                <w:rFonts w:eastAsia="Times New Roman" w:cs="Times New Roman"/>
                <w:color w:val="000000"/>
                <w:sz w:val="18"/>
                <w:szCs w:val="18"/>
                <w:lang w:eastAsia="es-CO"/>
              </w:rPr>
              <w:t>Secretaría Distrital de Ambiente (SDA)</w:t>
            </w:r>
          </w:p>
        </w:tc>
        <w:tc>
          <w:tcPr>
            <w:tcW w:w="464" w:type="pct"/>
            <w:vAlign w:val="center"/>
            <w:hideMark/>
          </w:tcPr>
          <w:p w14:paraId="0F0D95DC" w14:textId="77777777" w:rsidR="00297E57" w:rsidRPr="0039091F" w:rsidRDefault="00297E57" w:rsidP="000A5389">
            <w:pPr>
              <w:spacing w:line="240" w:lineRule="auto"/>
              <w:jc w:val="center"/>
              <w:rPr>
                <w:rFonts w:eastAsia="Times New Roman" w:cs="Times New Roman"/>
                <w:color w:val="000000"/>
                <w:sz w:val="18"/>
                <w:szCs w:val="18"/>
                <w:lang w:eastAsia="es-CO"/>
              </w:rPr>
            </w:pPr>
            <w:r w:rsidRPr="0039091F">
              <w:rPr>
                <w:rFonts w:eastAsia="Times New Roman" w:cs="Times New Roman"/>
                <w:color w:val="000000"/>
                <w:sz w:val="18"/>
                <w:szCs w:val="18"/>
                <w:lang w:eastAsia="es-CO"/>
              </w:rPr>
              <w:t>10 </w:t>
            </w:r>
          </w:p>
        </w:tc>
        <w:tc>
          <w:tcPr>
            <w:tcW w:w="527" w:type="pct"/>
            <w:vAlign w:val="center"/>
            <w:hideMark/>
          </w:tcPr>
          <w:p w14:paraId="173AD16C" w14:textId="77777777" w:rsidR="00297E57" w:rsidRPr="0039091F" w:rsidRDefault="00297E57" w:rsidP="000A5389">
            <w:pPr>
              <w:spacing w:line="240" w:lineRule="auto"/>
              <w:jc w:val="center"/>
              <w:rPr>
                <w:rFonts w:eastAsia="Times New Roman" w:cs="Times New Roman"/>
                <w:color w:val="000000"/>
                <w:sz w:val="18"/>
                <w:szCs w:val="18"/>
                <w:lang w:eastAsia="es-CO"/>
              </w:rPr>
            </w:pPr>
            <w:r w:rsidRPr="0039091F">
              <w:rPr>
                <w:rFonts w:eastAsia="Times New Roman" w:cs="Times New Roman"/>
                <w:color w:val="000000"/>
                <w:sz w:val="18"/>
                <w:szCs w:val="18"/>
                <w:lang w:eastAsia="es-CO"/>
              </w:rPr>
              <w:t>20 de mayo</w:t>
            </w:r>
          </w:p>
        </w:tc>
        <w:tc>
          <w:tcPr>
            <w:tcW w:w="640" w:type="pct"/>
            <w:vAlign w:val="center"/>
            <w:hideMark/>
          </w:tcPr>
          <w:p w14:paraId="4680CE10" w14:textId="77777777" w:rsidR="00297E57" w:rsidRPr="0039091F" w:rsidRDefault="00297E57" w:rsidP="000A5389">
            <w:pPr>
              <w:spacing w:line="240" w:lineRule="auto"/>
              <w:jc w:val="center"/>
              <w:rPr>
                <w:rFonts w:eastAsia="Times New Roman" w:cs="Times New Roman"/>
                <w:color w:val="000000"/>
                <w:sz w:val="18"/>
                <w:szCs w:val="18"/>
                <w:lang w:eastAsia="es-CO"/>
              </w:rPr>
            </w:pPr>
            <w:r w:rsidRPr="0039091F">
              <w:rPr>
                <w:rFonts w:eastAsia="Times New Roman" w:cs="Times New Roman"/>
                <w:color w:val="000000"/>
                <w:sz w:val="18"/>
                <w:szCs w:val="18"/>
                <w:lang w:eastAsia="es-CO"/>
              </w:rPr>
              <w:t>1 </w:t>
            </w:r>
          </w:p>
        </w:tc>
      </w:tr>
      <w:tr w:rsidR="00297E57" w:rsidRPr="0039091F" w14:paraId="3CC63E29" w14:textId="77777777" w:rsidTr="0039091F">
        <w:trPr>
          <w:trHeight w:val="283"/>
        </w:trPr>
        <w:tc>
          <w:tcPr>
            <w:tcW w:w="229" w:type="pct"/>
            <w:vAlign w:val="center"/>
            <w:hideMark/>
          </w:tcPr>
          <w:p w14:paraId="570DE72D" w14:textId="77777777" w:rsidR="00297E57" w:rsidRPr="0039091F" w:rsidRDefault="00297E57" w:rsidP="000A5389">
            <w:pPr>
              <w:spacing w:line="240" w:lineRule="auto"/>
              <w:jc w:val="center"/>
              <w:rPr>
                <w:rFonts w:eastAsia="Times New Roman" w:cs="Times New Roman"/>
                <w:color w:val="000000"/>
                <w:sz w:val="18"/>
                <w:szCs w:val="18"/>
                <w:lang w:eastAsia="es-CO"/>
              </w:rPr>
            </w:pPr>
            <w:r w:rsidRPr="0039091F">
              <w:rPr>
                <w:rFonts w:eastAsia="Times New Roman" w:cs="Times New Roman"/>
                <w:color w:val="000000"/>
                <w:sz w:val="18"/>
                <w:szCs w:val="18"/>
                <w:lang w:eastAsia="es-CO"/>
              </w:rPr>
              <w:t>28</w:t>
            </w:r>
          </w:p>
        </w:tc>
        <w:tc>
          <w:tcPr>
            <w:tcW w:w="777" w:type="pct"/>
            <w:vAlign w:val="center"/>
            <w:hideMark/>
          </w:tcPr>
          <w:p w14:paraId="4B6A95B2" w14:textId="77777777" w:rsidR="00297E57" w:rsidRPr="0039091F" w:rsidRDefault="00297E57" w:rsidP="000A5389">
            <w:pPr>
              <w:spacing w:line="240" w:lineRule="auto"/>
              <w:rPr>
                <w:rFonts w:eastAsia="Times New Roman" w:cs="Times New Roman"/>
                <w:color w:val="000000"/>
                <w:sz w:val="18"/>
                <w:szCs w:val="18"/>
                <w:lang w:eastAsia="es-CO"/>
              </w:rPr>
            </w:pPr>
            <w:r w:rsidRPr="0039091F">
              <w:rPr>
                <w:rFonts w:eastAsia="Times New Roman" w:cs="Times New Roman"/>
                <w:color w:val="000000"/>
                <w:sz w:val="18"/>
                <w:szCs w:val="18"/>
                <w:lang w:eastAsia="es-CO"/>
              </w:rPr>
              <w:t>Seguridad y Salud en el Trabajo</w:t>
            </w:r>
          </w:p>
        </w:tc>
        <w:tc>
          <w:tcPr>
            <w:tcW w:w="1320" w:type="pct"/>
            <w:vAlign w:val="center"/>
            <w:hideMark/>
          </w:tcPr>
          <w:p w14:paraId="52FD9A2A" w14:textId="77777777" w:rsidR="00297E57" w:rsidRPr="0039091F" w:rsidRDefault="00297E57" w:rsidP="000A5389">
            <w:pPr>
              <w:spacing w:line="240" w:lineRule="auto"/>
              <w:rPr>
                <w:rFonts w:eastAsia="Times New Roman" w:cs="Times New Roman"/>
                <w:color w:val="000000"/>
                <w:sz w:val="18"/>
                <w:szCs w:val="18"/>
                <w:lang w:eastAsia="es-CO"/>
              </w:rPr>
            </w:pPr>
            <w:r w:rsidRPr="0039091F">
              <w:rPr>
                <w:rFonts w:eastAsia="Times New Roman" w:cs="Times New Roman"/>
                <w:color w:val="000000"/>
                <w:sz w:val="18"/>
                <w:szCs w:val="18"/>
                <w:lang w:eastAsia="es-CO"/>
              </w:rPr>
              <w:t>Capacitación en Peligros ANI</w:t>
            </w:r>
          </w:p>
        </w:tc>
        <w:tc>
          <w:tcPr>
            <w:tcW w:w="1044" w:type="pct"/>
            <w:vAlign w:val="center"/>
            <w:hideMark/>
          </w:tcPr>
          <w:p w14:paraId="6610288E" w14:textId="77777777" w:rsidR="00297E57" w:rsidRPr="0039091F" w:rsidRDefault="00297E57" w:rsidP="000A5389">
            <w:pPr>
              <w:spacing w:line="240" w:lineRule="auto"/>
              <w:jc w:val="center"/>
              <w:rPr>
                <w:rFonts w:eastAsia="Times New Roman" w:cs="Times New Roman"/>
                <w:color w:val="000000"/>
                <w:sz w:val="18"/>
                <w:szCs w:val="18"/>
                <w:lang w:eastAsia="es-CO"/>
              </w:rPr>
            </w:pPr>
            <w:r w:rsidRPr="0039091F">
              <w:rPr>
                <w:rFonts w:eastAsia="Times New Roman" w:cs="Times New Roman"/>
                <w:color w:val="000000"/>
                <w:sz w:val="18"/>
                <w:szCs w:val="18"/>
                <w:lang w:eastAsia="es-CO"/>
              </w:rPr>
              <w:t>ARL POSITIVA</w:t>
            </w:r>
          </w:p>
        </w:tc>
        <w:tc>
          <w:tcPr>
            <w:tcW w:w="464" w:type="pct"/>
            <w:vAlign w:val="center"/>
            <w:hideMark/>
          </w:tcPr>
          <w:p w14:paraId="14F0ADA0" w14:textId="77777777" w:rsidR="00297E57" w:rsidRPr="0039091F" w:rsidRDefault="00297E57" w:rsidP="000A5389">
            <w:pPr>
              <w:spacing w:line="240" w:lineRule="auto"/>
              <w:jc w:val="center"/>
              <w:rPr>
                <w:rFonts w:eastAsia="Times New Roman" w:cs="Times New Roman"/>
                <w:color w:val="000000"/>
                <w:sz w:val="18"/>
                <w:szCs w:val="18"/>
                <w:lang w:eastAsia="es-CO"/>
              </w:rPr>
            </w:pPr>
            <w:r w:rsidRPr="0039091F">
              <w:rPr>
                <w:rFonts w:eastAsia="Times New Roman" w:cs="Times New Roman"/>
                <w:color w:val="000000"/>
                <w:sz w:val="18"/>
                <w:szCs w:val="18"/>
                <w:lang w:eastAsia="es-CO"/>
              </w:rPr>
              <w:t> 15</w:t>
            </w:r>
          </w:p>
        </w:tc>
        <w:tc>
          <w:tcPr>
            <w:tcW w:w="527" w:type="pct"/>
            <w:vAlign w:val="center"/>
            <w:hideMark/>
          </w:tcPr>
          <w:p w14:paraId="70418506" w14:textId="77777777" w:rsidR="00297E57" w:rsidRPr="0039091F" w:rsidRDefault="00297E57" w:rsidP="000A5389">
            <w:pPr>
              <w:spacing w:line="240" w:lineRule="auto"/>
              <w:jc w:val="center"/>
              <w:rPr>
                <w:rFonts w:eastAsia="Times New Roman" w:cs="Times New Roman"/>
                <w:color w:val="000000"/>
                <w:sz w:val="18"/>
                <w:szCs w:val="18"/>
                <w:lang w:eastAsia="es-CO"/>
              </w:rPr>
            </w:pPr>
            <w:r w:rsidRPr="0039091F">
              <w:rPr>
                <w:rFonts w:eastAsia="Times New Roman" w:cs="Times New Roman"/>
                <w:color w:val="000000"/>
                <w:sz w:val="18"/>
                <w:szCs w:val="18"/>
                <w:lang w:eastAsia="es-CO"/>
              </w:rPr>
              <w:t>21 de mayo</w:t>
            </w:r>
          </w:p>
        </w:tc>
        <w:tc>
          <w:tcPr>
            <w:tcW w:w="640" w:type="pct"/>
            <w:vAlign w:val="center"/>
            <w:hideMark/>
          </w:tcPr>
          <w:p w14:paraId="1C993656" w14:textId="77777777" w:rsidR="00297E57" w:rsidRPr="0039091F" w:rsidRDefault="00297E57" w:rsidP="000A5389">
            <w:pPr>
              <w:spacing w:line="240" w:lineRule="auto"/>
              <w:jc w:val="center"/>
              <w:rPr>
                <w:rFonts w:eastAsia="Times New Roman" w:cs="Times New Roman"/>
                <w:color w:val="000000"/>
                <w:sz w:val="18"/>
                <w:szCs w:val="18"/>
                <w:lang w:eastAsia="es-CO"/>
              </w:rPr>
            </w:pPr>
            <w:r w:rsidRPr="0039091F">
              <w:rPr>
                <w:rFonts w:eastAsia="Times New Roman" w:cs="Times New Roman"/>
                <w:color w:val="000000"/>
                <w:sz w:val="18"/>
                <w:szCs w:val="18"/>
                <w:lang w:eastAsia="es-CO"/>
              </w:rPr>
              <w:t>1,3</w:t>
            </w:r>
          </w:p>
        </w:tc>
      </w:tr>
      <w:tr w:rsidR="00297E57" w:rsidRPr="0039091F" w14:paraId="7CDE46AB" w14:textId="77777777" w:rsidTr="0039091F">
        <w:trPr>
          <w:trHeight w:val="283"/>
        </w:trPr>
        <w:tc>
          <w:tcPr>
            <w:tcW w:w="229" w:type="pct"/>
            <w:vAlign w:val="center"/>
            <w:hideMark/>
          </w:tcPr>
          <w:p w14:paraId="1C4B7839" w14:textId="77777777" w:rsidR="00297E57" w:rsidRPr="0039091F" w:rsidRDefault="00297E57" w:rsidP="000A5389">
            <w:pPr>
              <w:spacing w:line="240" w:lineRule="auto"/>
              <w:jc w:val="center"/>
              <w:rPr>
                <w:rFonts w:eastAsia="Times New Roman" w:cs="Times New Roman"/>
                <w:color w:val="000000"/>
                <w:sz w:val="18"/>
                <w:szCs w:val="18"/>
                <w:lang w:eastAsia="es-CO"/>
              </w:rPr>
            </w:pPr>
            <w:r w:rsidRPr="0039091F">
              <w:rPr>
                <w:rFonts w:eastAsia="Times New Roman" w:cs="Times New Roman"/>
                <w:color w:val="000000"/>
                <w:sz w:val="18"/>
                <w:szCs w:val="18"/>
                <w:lang w:eastAsia="es-CO"/>
              </w:rPr>
              <w:t>29</w:t>
            </w:r>
          </w:p>
        </w:tc>
        <w:tc>
          <w:tcPr>
            <w:tcW w:w="777" w:type="pct"/>
            <w:vAlign w:val="center"/>
            <w:hideMark/>
          </w:tcPr>
          <w:p w14:paraId="164FE792" w14:textId="77777777" w:rsidR="00297E57" w:rsidRPr="0039091F" w:rsidRDefault="00297E57" w:rsidP="000A5389">
            <w:pPr>
              <w:spacing w:line="240" w:lineRule="auto"/>
              <w:rPr>
                <w:rFonts w:eastAsia="Times New Roman" w:cs="Times New Roman"/>
                <w:color w:val="000000"/>
                <w:sz w:val="18"/>
                <w:szCs w:val="18"/>
                <w:lang w:eastAsia="es-CO"/>
              </w:rPr>
            </w:pPr>
            <w:r w:rsidRPr="0039091F">
              <w:rPr>
                <w:rFonts w:eastAsia="Times New Roman" w:cs="Times New Roman"/>
                <w:color w:val="000000"/>
                <w:sz w:val="18"/>
                <w:szCs w:val="18"/>
                <w:lang w:eastAsia="es-CO"/>
              </w:rPr>
              <w:t>Seguridad y Salud en el Trabajo</w:t>
            </w:r>
          </w:p>
        </w:tc>
        <w:tc>
          <w:tcPr>
            <w:tcW w:w="1320" w:type="pct"/>
            <w:vAlign w:val="center"/>
            <w:hideMark/>
          </w:tcPr>
          <w:p w14:paraId="12737CBF" w14:textId="77777777" w:rsidR="00297E57" w:rsidRPr="0039091F" w:rsidRDefault="00297E57" w:rsidP="000A5389">
            <w:pPr>
              <w:spacing w:line="240" w:lineRule="auto"/>
              <w:rPr>
                <w:rFonts w:eastAsia="Times New Roman" w:cs="Times New Roman"/>
                <w:color w:val="000000"/>
                <w:sz w:val="18"/>
                <w:szCs w:val="18"/>
                <w:lang w:eastAsia="es-CO"/>
              </w:rPr>
            </w:pPr>
            <w:r w:rsidRPr="0039091F">
              <w:rPr>
                <w:rFonts w:eastAsia="Times New Roman" w:cs="Times New Roman"/>
                <w:color w:val="000000"/>
                <w:sz w:val="18"/>
                <w:szCs w:val="18"/>
                <w:lang w:eastAsia="es-CO"/>
              </w:rPr>
              <w:t>Capacitación en Jurisprudencia de la Ley 1010 de 2006, gestión de quejas en la PGN y Temeridad de la queja</w:t>
            </w:r>
          </w:p>
        </w:tc>
        <w:tc>
          <w:tcPr>
            <w:tcW w:w="1044" w:type="pct"/>
            <w:vAlign w:val="center"/>
            <w:hideMark/>
          </w:tcPr>
          <w:p w14:paraId="73856168" w14:textId="77777777" w:rsidR="00297E57" w:rsidRPr="0039091F" w:rsidRDefault="00297E57" w:rsidP="000A5389">
            <w:pPr>
              <w:spacing w:line="240" w:lineRule="auto"/>
              <w:jc w:val="center"/>
              <w:rPr>
                <w:rFonts w:eastAsia="Times New Roman" w:cs="Times New Roman"/>
                <w:color w:val="000000"/>
                <w:sz w:val="18"/>
                <w:szCs w:val="18"/>
                <w:lang w:eastAsia="es-CO"/>
              </w:rPr>
            </w:pPr>
            <w:r w:rsidRPr="0039091F">
              <w:rPr>
                <w:rFonts w:eastAsia="Times New Roman" w:cs="Times New Roman"/>
                <w:color w:val="000000"/>
                <w:sz w:val="18"/>
                <w:szCs w:val="18"/>
                <w:lang w:eastAsia="es-CO"/>
              </w:rPr>
              <w:t>ARL POSITIVA</w:t>
            </w:r>
          </w:p>
        </w:tc>
        <w:tc>
          <w:tcPr>
            <w:tcW w:w="464" w:type="pct"/>
            <w:vAlign w:val="center"/>
            <w:hideMark/>
          </w:tcPr>
          <w:p w14:paraId="5EF6D18F" w14:textId="77777777" w:rsidR="00297E57" w:rsidRPr="0039091F" w:rsidRDefault="00297E57" w:rsidP="000A5389">
            <w:pPr>
              <w:spacing w:line="240" w:lineRule="auto"/>
              <w:jc w:val="center"/>
              <w:rPr>
                <w:rFonts w:eastAsia="Times New Roman" w:cs="Times New Roman"/>
                <w:color w:val="000000"/>
                <w:sz w:val="18"/>
                <w:szCs w:val="18"/>
                <w:lang w:eastAsia="es-CO"/>
              </w:rPr>
            </w:pPr>
            <w:r w:rsidRPr="0039091F">
              <w:rPr>
                <w:rFonts w:eastAsia="Times New Roman" w:cs="Times New Roman"/>
                <w:color w:val="000000"/>
                <w:sz w:val="18"/>
                <w:szCs w:val="18"/>
                <w:lang w:eastAsia="es-CO"/>
              </w:rPr>
              <w:t>33</w:t>
            </w:r>
          </w:p>
        </w:tc>
        <w:tc>
          <w:tcPr>
            <w:tcW w:w="527" w:type="pct"/>
            <w:vAlign w:val="center"/>
            <w:hideMark/>
          </w:tcPr>
          <w:p w14:paraId="3DD241AD" w14:textId="77777777" w:rsidR="00297E57" w:rsidRPr="0039091F" w:rsidRDefault="00297E57" w:rsidP="000A5389">
            <w:pPr>
              <w:spacing w:line="240" w:lineRule="auto"/>
              <w:jc w:val="center"/>
              <w:rPr>
                <w:rFonts w:eastAsia="Times New Roman" w:cs="Times New Roman"/>
                <w:color w:val="000000"/>
                <w:sz w:val="18"/>
                <w:szCs w:val="18"/>
                <w:lang w:eastAsia="es-CO"/>
              </w:rPr>
            </w:pPr>
            <w:r w:rsidRPr="0039091F">
              <w:rPr>
                <w:rFonts w:eastAsia="Times New Roman" w:cs="Times New Roman"/>
                <w:color w:val="000000"/>
                <w:sz w:val="18"/>
                <w:szCs w:val="18"/>
                <w:lang w:eastAsia="es-CO"/>
              </w:rPr>
              <w:t>26 de mayo</w:t>
            </w:r>
          </w:p>
        </w:tc>
        <w:tc>
          <w:tcPr>
            <w:tcW w:w="640" w:type="pct"/>
            <w:vAlign w:val="center"/>
            <w:hideMark/>
          </w:tcPr>
          <w:p w14:paraId="462E64D0" w14:textId="77777777" w:rsidR="00297E57" w:rsidRPr="0039091F" w:rsidRDefault="00297E57" w:rsidP="000A5389">
            <w:pPr>
              <w:spacing w:line="240" w:lineRule="auto"/>
              <w:jc w:val="center"/>
              <w:rPr>
                <w:rFonts w:eastAsia="Times New Roman" w:cs="Times New Roman"/>
                <w:color w:val="000000"/>
                <w:sz w:val="18"/>
                <w:szCs w:val="18"/>
                <w:lang w:eastAsia="es-CO"/>
              </w:rPr>
            </w:pPr>
            <w:r w:rsidRPr="0039091F">
              <w:rPr>
                <w:rFonts w:eastAsia="Times New Roman" w:cs="Times New Roman"/>
                <w:color w:val="000000"/>
                <w:sz w:val="18"/>
                <w:szCs w:val="18"/>
                <w:lang w:eastAsia="es-CO"/>
              </w:rPr>
              <w:t>1,3</w:t>
            </w:r>
          </w:p>
        </w:tc>
      </w:tr>
      <w:tr w:rsidR="00297E57" w:rsidRPr="0039091F" w14:paraId="1CCCBFA7" w14:textId="77777777" w:rsidTr="0039091F">
        <w:trPr>
          <w:trHeight w:val="283"/>
        </w:trPr>
        <w:tc>
          <w:tcPr>
            <w:tcW w:w="229" w:type="pct"/>
            <w:vAlign w:val="center"/>
            <w:hideMark/>
          </w:tcPr>
          <w:p w14:paraId="7649F66B" w14:textId="77777777" w:rsidR="00297E57" w:rsidRPr="0039091F" w:rsidRDefault="00297E57" w:rsidP="000A5389">
            <w:pPr>
              <w:spacing w:line="240" w:lineRule="auto"/>
              <w:jc w:val="center"/>
              <w:rPr>
                <w:rFonts w:eastAsia="Times New Roman" w:cs="Times New Roman"/>
                <w:color w:val="000000"/>
                <w:sz w:val="18"/>
                <w:szCs w:val="18"/>
                <w:lang w:eastAsia="es-CO"/>
              </w:rPr>
            </w:pPr>
            <w:r w:rsidRPr="0039091F">
              <w:rPr>
                <w:rFonts w:eastAsia="Times New Roman" w:cs="Times New Roman"/>
                <w:color w:val="000000"/>
                <w:sz w:val="18"/>
                <w:szCs w:val="18"/>
                <w:lang w:eastAsia="es-CO"/>
              </w:rPr>
              <w:t>30</w:t>
            </w:r>
          </w:p>
        </w:tc>
        <w:tc>
          <w:tcPr>
            <w:tcW w:w="777" w:type="pct"/>
            <w:vAlign w:val="center"/>
            <w:hideMark/>
          </w:tcPr>
          <w:p w14:paraId="0E7F6115" w14:textId="77777777" w:rsidR="00297E57" w:rsidRPr="0039091F" w:rsidRDefault="00297E57" w:rsidP="000A5389">
            <w:pPr>
              <w:spacing w:line="240" w:lineRule="auto"/>
              <w:rPr>
                <w:rFonts w:eastAsia="Times New Roman" w:cs="Times New Roman"/>
                <w:color w:val="000000"/>
                <w:sz w:val="18"/>
                <w:szCs w:val="18"/>
                <w:lang w:eastAsia="es-CO"/>
              </w:rPr>
            </w:pPr>
            <w:r w:rsidRPr="0039091F">
              <w:rPr>
                <w:rFonts w:eastAsia="Times New Roman" w:cs="Times New Roman"/>
                <w:color w:val="000000"/>
                <w:sz w:val="18"/>
                <w:szCs w:val="18"/>
                <w:lang w:eastAsia="es-CO"/>
              </w:rPr>
              <w:t>Seguridad y Salud en el Trabajo</w:t>
            </w:r>
          </w:p>
        </w:tc>
        <w:tc>
          <w:tcPr>
            <w:tcW w:w="1320" w:type="pct"/>
            <w:vAlign w:val="center"/>
            <w:hideMark/>
          </w:tcPr>
          <w:p w14:paraId="47BC1FFF" w14:textId="77777777" w:rsidR="00297E57" w:rsidRPr="0039091F" w:rsidRDefault="00297E57" w:rsidP="000A5389">
            <w:pPr>
              <w:spacing w:line="240" w:lineRule="auto"/>
              <w:rPr>
                <w:rFonts w:eastAsia="Times New Roman" w:cs="Times New Roman"/>
                <w:color w:val="000000"/>
                <w:sz w:val="18"/>
                <w:szCs w:val="18"/>
                <w:lang w:eastAsia="es-CO"/>
              </w:rPr>
            </w:pPr>
            <w:r w:rsidRPr="0039091F">
              <w:rPr>
                <w:rFonts w:eastAsia="Times New Roman" w:cs="Times New Roman"/>
                <w:color w:val="000000"/>
                <w:sz w:val="18"/>
                <w:szCs w:val="18"/>
                <w:lang w:eastAsia="es-CO"/>
              </w:rPr>
              <w:t>Capacitación Técnicas de cargue de víctimas y uso de camilla de emergencia</w:t>
            </w:r>
          </w:p>
        </w:tc>
        <w:tc>
          <w:tcPr>
            <w:tcW w:w="1044" w:type="pct"/>
            <w:vAlign w:val="center"/>
            <w:hideMark/>
          </w:tcPr>
          <w:p w14:paraId="17244A6A" w14:textId="77777777" w:rsidR="00297E57" w:rsidRPr="0039091F" w:rsidRDefault="00297E57" w:rsidP="000A5389">
            <w:pPr>
              <w:spacing w:line="240" w:lineRule="auto"/>
              <w:jc w:val="center"/>
              <w:rPr>
                <w:rFonts w:eastAsia="Times New Roman" w:cs="Times New Roman"/>
                <w:color w:val="000000"/>
                <w:sz w:val="18"/>
                <w:szCs w:val="18"/>
                <w:lang w:eastAsia="es-CO"/>
              </w:rPr>
            </w:pPr>
            <w:r w:rsidRPr="0039091F">
              <w:rPr>
                <w:rFonts w:eastAsia="Times New Roman" w:cs="Times New Roman"/>
                <w:color w:val="000000"/>
                <w:sz w:val="18"/>
                <w:szCs w:val="18"/>
                <w:lang w:eastAsia="es-CO"/>
              </w:rPr>
              <w:t>ARL POSITIVA y Agencia Nacional de Minería</w:t>
            </w:r>
          </w:p>
        </w:tc>
        <w:tc>
          <w:tcPr>
            <w:tcW w:w="464" w:type="pct"/>
            <w:vAlign w:val="center"/>
            <w:hideMark/>
          </w:tcPr>
          <w:p w14:paraId="664770A3" w14:textId="77777777" w:rsidR="00297E57" w:rsidRPr="0039091F" w:rsidRDefault="00297E57" w:rsidP="000A5389">
            <w:pPr>
              <w:spacing w:line="240" w:lineRule="auto"/>
              <w:jc w:val="center"/>
              <w:rPr>
                <w:rFonts w:eastAsia="Times New Roman" w:cs="Times New Roman"/>
                <w:color w:val="000000"/>
                <w:sz w:val="18"/>
                <w:szCs w:val="18"/>
                <w:lang w:eastAsia="es-CO"/>
              </w:rPr>
            </w:pPr>
            <w:r w:rsidRPr="0039091F">
              <w:rPr>
                <w:rFonts w:eastAsia="Times New Roman" w:cs="Times New Roman"/>
                <w:color w:val="000000"/>
                <w:sz w:val="18"/>
                <w:szCs w:val="18"/>
                <w:lang w:eastAsia="es-CO"/>
              </w:rPr>
              <w:t>6</w:t>
            </w:r>
          </w:p>
        </w:tc>
        <w:tc>
          <w:tcPr>
            <w:tcW w:w="527" w:type="pct"/>
            <w:vAlign w:val="center"/>
            <w:hideMark/>
          </w:tcPr>
          <w:p w14:paraId="5DB91CE4" w14:textId="77777777" w:rsidR="00297E57" w:rsidRPr="0039091F" w:rsidRDefault="00297E57" w:rsidP="000A5389">
            <w:pPr>
              <w:spacing w:line="240" w:lineRule="auto"/>
              <w:jc w:val="center"/>
              <w:rPr>
                <w:rFonts w:eastAsia="Times New Roman" w:cs="Times New Roman"/>
                <w:color w:val="000000"/>
                <w:sz w:val="18"/>
                <w:szCs w:val="18"/>
                <w:lang w:eastAsia="es-CO"/>
              </w:rPr>
            </w:pPr>
            <w:r w:rsidRPr="0039091F">
              <w:rPr>
                <w:rFonts w:eastAsia="Times New Roman" w:cs="Times New Roman"/>
                <w:color w:val="000000"/>
                <w:sz w:val="18"/>
                <w:szCs w:val="18"/>
                <w:lang w:eastAsia="es-CO"/>
              </w:rPr>
              <w:t>27 de mayo</w:t>
            </w:r>
          </w:p>
        </w:tc>
        <w:tc>
          <w:tcPr>
            <w:tcW w:w="640" w:type="pct"/>
            <w:vAlign w:val="center"/>
            <w:hideMark/>
          </w:tcPr>
          <w:p w14:paraId="21964473" w14:textId="77777777" w:rsidR="00297E57" w:rsidRPr="0039091F" w:rsidRDefault="00297E57" w:rsidP="000A5389">
            <w:pPr>
              <w:spacing w:line="240" w:lineRule="auto"/>
              <w:jc w:val="center"/>
              <w:rPr>
                <w:rFonts w:eastAsia="Times New Roman" w:cs="Times New Roman"/>
                <w:color w:val="000000"/>
                <w:sz w:val="18"/>
                <w:szCs w:val="18"/>
                <w:lang w:eastAsia="es-CO"/>
              </w:rPr>
            </w:pPr>
            <w:r w:rsidRPr="0039091F">
              <w:rPr>
                <w:rFonts w:eastAsia="Times New Roman" w:cs="Times New Roman"/>
                <w:color w:val="000000"/>
                <w:sz w:val="18"/>
                <w:szCs w:val="18"/>
                <w:lang w:eastAsia="es-CO"/>
              </w:rPr>
              <w:t>2</w:t>
            </w:r>
          </w:p>
        </w:tc>
      </w:tr>
      <w:tr w:rsidR="00297E57" w:rsidRPr="0039091F" w14:paraId="669D7DAE" w14:textId="77777777" w:rsidTr="0039091F">
        <w:trPr>
          <w:trHeight w:val="283"/>
        </w:trPr>
        <w:tc>
          <w:tcPr>
            <w:tcW w:w="229" w:type="pct"/>
            <w:vAlign w:val="center"/>
            <w:hideMark/>
          </w:tcPr>
          <w:p w14:paraId="75E13545" w14:textId="77777777" w:rsidR="00297E57" w:rsidRPr="0039091F" w:rsidRDefault="00297E57" w:rsidP="000A5389">
            <w:pPr>
              <w:spacing w:line="240" w:lineRule="auto"/>
              <w:jc w:val="center"/>
              <w:rPr>
                <w:rFonts w:eastAsia="Times New Roman" w:cs="Times New Roman"/>
                <w:color w:val="000000"/>
                <w:sz w:val="18"/>
                <w:szCs w:val="18"/>
                <w:lang w:eastAsia="es-CO"/>
              </w:rPr>
            </w:pPr>
            <w:r w:rsidRPr="0039091F">
              <w:rPr>
                <w:rFonts w:eastAsia="Times New Roman" w:cs="Times New Roman"/>
                <w:color w:val="000000"/>
                <w:sz w:val="18"/>
                <w:szCs w:val="18"/>
                <w:lang w:eastAsia="es-CO"/>
              </w:rPr>
              <w:t>31</w:t>
            </w:r>
          </w:p>
        </w:tc>
        <w:tc>
          <w:tcPr>
            <w:tcW w:w="777" w:type="pct"/>
            <w:vAlign w:val="center"/>
            <w:hideMark/>
          </w:tcPr>
          <w:p w14:paraId="5BC57C78" w14:textId="77777777" w:rsidR="00297E57" w:rsidRPr="0039091F" w:rsidRDefault="00297E57" w:rsidP="000A5389">
            <w:pPr>
              <w:spacing w:line="240" w:lineRule="auto"/>
              <w:rPr>
                <w:rFonts w:eastAsia="Times New Roman" w:cs="Times New Roman"/>
                <w:color w:val="000000"/>
                <w:sz w:val="18"/>
                <w:szCs w:val="18"/>
                <w:lang w:eastAsia="es-CO"/>
              </w:rPr>
            </w:pPr>
            <w:r w:rsidRPr="0039091F">
              <w:rPr>
                <w:rFonts w:eastAsia="Times New Roman" w:cs="Times New Roman"/>
                <w:color w:val="000000"/>
                <w:sz w:val="18"/>
                <w:szCs w:val="18"/>
                <w:lang w:eastAsia="es-CO"/>
              </w:rPr>
              <w:t>Seguridad y Salud en el Trabajo</w:t>
            </w:r>
          </w:p>
        </w:tc>
        <w:tc>
          <w:tcPr>
            <w:tcW w:w="1320" w:type="pct"/>
            <w:vAlign w:val="center"/>
            <w:hideMark/>
          </w:tcPr>
          <w:p w14:paraId="4244F0B8" w14:textId="77777777" w:rsidR="00297E57" w:rsidRPr="0039091F" w:rsidRDefault="00297E57" w:rsidP="000A5389">
            <w:pPr>
              <w:spacing w:line="240" w:lineRule="auto"/>
              <w:rPr>
                <w:rFonts w:eastAsia="Times New Roman" w:cs="Times New Roman"/>
                <w:color w:val="000000"/>
                <w:sz w:val="18"/>
                <w:szCs w:val="18"/>
                <w:lang w:eastAsia="es-CO"/>
              </w:rPr>
            </w:pPr>
            <w:r w:rsidRPr="0039091F">
              <w:rPr>
                <w:rFonts w:eastAsia="Times New Roman" w:cs="Times New Roman"/>
                <w:color w:val="000000"/>
                <w:sz w:val="18"/>
                <w:szCs w:val="18"/>
                <w:lang w:eastAsia="es-CO"/>
              </w:rPr>
              <w:t>Capacitación Gestión de velocidad segura</w:t>
            </w:r>
          </w:p>
        </w:tc>
        <w:tc>
          <w:tcPr>
            <w:tcW w:w="1044" w:type="pct"/>
            <w:vAlign w:val="center"/>
            <w:hideMark/>
          </w:tcPr>
          <w:p w14:paraId="69D3969D" w14:textId="77777777" w:rsidR="00297E57" w:rsidRPr="0039091F" w:rsidRDefault="00297E57" w:rsidP="000A5389">
            <w:pPr>
              <w:spacing w:line="240" w:lineRule="auto"/>
              <w:jc w:val="center"/>
              <w:rPr>
                <w:rFonts w:eastAsia="Times New Roman" w:cs="Times New Roman"/>
                <w:color w:val="000000"/>
                <w:sz w:val="18"/>
                <w:szCs w:val="18"/>
                <w:lang w:eastAsia="es-CO"/>
              </w:rPr>
            </w:pPr>
            <w:r w:rsidRPr="0039091F">
              <w:rPr>
                <w:rFonts w:eastAsia="Times New Roman" w:cs="Times New Roman"/>
                <w:color w:val="000000"/>
                <w:sz w:val="18"/>
                <w:szCs w:val="18"/>
                <w:lang w:eastAsia="es-CO"/>
              </w:rPr>
              <w:t>ARL POSITIVA</w:t>
            </w:r>
          </w:p>
        </w:tc>
        <w:tc>
          <w:tcPr>
            <w:tcW w:w="464" w:type="pct"/>
            <w:vAlign w:val="center"/>
            <w:hideMark/>
          </w:tcPr>
          <w:p w14:paraId="7545E1B8" w14:textId="77777777" w:rsidR="00297E57" w:rsidRPr="0039091F" w:rsidRDefault="00297E57" w:rsidP="000A5389">
            <w:pPr>
              <w:spacing w:line="240" w:lineRule="auto"/>
              <w:jc w:val="center"/>
              <w:rPr>
                <w:rFonts w:eastAsia="Times New Roman" w:cs="Times New Roman"/>
                <w:color w:val="000000"/>
                <w:sz w:val="18"/>
                <w:szCs w:val="18"/>
                <w:lang w:eastAsia="es-CO"/>
              </w:rPr>
            </w:pPr>
            <w:r w:rsidRPr="0039091F">
              <w:rPr>
                <w:rFonts w:eastAsia="Times New Roman" w:cs="Times New Roman"/>
                <w:color w:val="000000"/>
                <w:sz w:val="18"/>
                <w:szCs w:val="18"/>
                <w:lang w:eastAsia="es-CO"/>
              </w:rPr>
              <w:t>20</w:t>
            </w:r>
          </w:p>
        </w:tc>
        <w:tc>
          <w:tcPr>
            <w:tcW w:w="527" w:type="pct"/>
            <w:vAlign w:val="center"/>
            <w:hideMark/>
          </w:tcPr>
          <w:p w14:paraId="14F14423" w14:textId="77777777" w:rsidR="00297E57" w:rsidRPr="0039091F" w:rsidRDefault="00297E57" w:rsidP="000A5389">
            <w:pPr>
              <w:spacing w:line="240" w:lineRule="auto"/>
              <w:jc w:val="center"/>
              <w:rPr>
                <w:rFonts w:eastAsia="Times New Roman" w:cs="Times New Roman"/>
                <w:color w:val="000000"/>
                <w:sz w:val="18"/>
                <w:szCs w:val="18"/>
                <w:lang w:eastAsia="es-CO"/>
              </w:rPr>
            </w:pPr>
            <w:r w:rsidRPr="0039091F">
              <w:rPr>
                <w:rFonts w:eastAsia="Times New Roman" w:cs="Times New Roman"/>
                <w:color w:val="000000"/>
                <w:sz w:val="18"/>
                <w:szCs w:val="18"/>
                <w:lang w:eastAsia="es-CO"/>
              </w:rPr>
              <w:t>28 de mayo</w:t>
            </w:r>
          </w:p>
        </w:tc>
        <w:tc>
          <w:tcPr>
            <w:tcW w:w="640" w:type="pct"/>
            <w:vAlign w:val="center"/>
            <w:hideMark/>
          </w:tcPr>
          <w:p w14:paraId="06CFA299" w14:textId="77777777" w:rsidR="00297E57" w:rsidRPr="0039091F" w:rsidRDefault="00297E57" w:rsidP="000A5389">
            <w:pPr>
              <w:spacing w:line="240" w:lineRule="auto"/>
              <w:jc w:val="center"/>
              <w:rPr>
                <w:rFonts w:eastAsia="Times New Roman" w:cs="Times New Roman"/>
                <w:color w:val="000000"/>
                <w:sz w:val="18"/>
                <w:szCs w:val="18"/>
                <w:lang w:eastAsia="es-CO"/>
              </w:rPr>
            </w:pPr>
            <w:r w:rsidRPr="0039091F">
              <w:rPr>
                <w:rFonts w:eastAsia="Times New Roman" w:cs="Times New Roman"/>
                <w:color w:val="000000"/>
                <w:sz w:val="18"/>
                <w:szCs w:val="18"/>
                <w:lang w:eastAsia="es-CO"/>
              </w:rPr>
              <w:t>1,3</w:t>
            </w:r>
          </w:p>
        </w:tc>
      </w:tr>
      <w:tr w:rsidR="00297E57" w:rsidRPr="0039091F" w14:paraId="39B34614" w14:textId="77777777" w:rsidTr="0039091F">
        <w:trPr>
          <w:trHeight w:val="283"/>
        </w:trPr>
        <w:tc>
          <w:tcPr>
            <w:tcW w:w="229" w:type="pct"/>
            <w:vAlign w:val="center"/>
            <w:hideMark/>
          </w:tcPr>
          <w:p w14:paraId="42EB5B98" w14:textId="77777777" w:rsidR="00297E57" w:rsidRPr="0039091F" w:rsidRDefault="00297E57" w:rsidP="000A5389">
            <w:pPr>
              <w:spacing w:line="240" w:lineRule="auto"/>
              <w:jc w:val="center"/>
              <w:rPr>
                <w:rFonts w:eastAsia="Times New Roman" w:cs="Times New Roman"/>
                <w:color w:val="000000"/>
                <w:sz w:val="18"/>
                <w:szCs w:val="18"/>
                <w:lang w:eastAsia="es-CO"/>
              </w:rPr>
            </w:pPr>
            <w:r w:rsidRPr="0039091F">
              <w:rPr>
                <w:rFonts w:eastAsia="Times New Roman" w:cs="Times New Roman"/>
                <w:color w:val="000000"/>
                <w:sz w:val="18"/>
                <w:szCs w:val="18"/>
                <w:lang w:eastAsia="es-CO"/>
              </w:rPr>
              <w:t>32</w:t>
            </w:r>
          </w:p>
        </w:tc>
        <w:tc>
          <w:tcPr>
            <w:tcW w:w="777" w:type="pct"/>
            <w:vAlign w:val="center"/>
            <w:hideMark/>
          </w:tcPr>
          <w:p w14:paraId="5A25B8D3" w14:textId="77777777" w:rsidR="00297E57" w:rsidRPr="0039091F" w:rsidRDefault="00297E57" w:rsidP="000A5389">
            <w:pPr>
              <w:spacing w:line="240" w:lineRule="auto"/>
              <w:rPr>
                <w:rFonts w:eastAsia="Times New Roman" w:cs="Times New Roman"/>
                <w:color w:val="000000"/>
                <w:sz w:val="18"/>
                <w:szCs w:val="18"/>
                <w:lang w:eastAsia="es-CO"/>
              </w:rPr>
            </w:pPr>
            <w:r w:rsidRPr="0039091F">
              <w:rPr>
                <w:rFonts w:eastAsia="Times New Roman" w:cs="Times New Roman"/>
                <w:color w:val="000000"/>
                <w:sz w:val="18"/>
                <w:szCs w:val="18"/>
                <w:lang w:eastAsia="es-CO"/>
              </w:rPr>
              <w:t>Orfeo y Gestión Documental</w:t>
            </w:r>
          </w:p>
        </w:tc>
        <w:tc>
          <w:tcPr>
            <w:tcW w:w="1320" w:type="pct"/>
            <w:vAlign w:val="center"/>
            <w:hideMark/>
          </w:tcPr>
          <w:p w14:paraId="743051FD" w14:textId="77777777" w:rsidR="00297E57" w:rsidRPr="0039091F" w:rsidRDefault="00297E57" w:rsidP="000A5389">
            <w:pPr>
              <w:spacing w:line="240" w:lineRule="auto"/>
              <w:rPr>
                <w:rFonts w:eastAsia="Times New Roman" w:cs="Times New Roman"/>
                <w:color w:val="000000"/>
                <w:sz w:val="18"/>
                <w:szCs w:val="18"/>
                <w:lang w:eastAsia="es-CO"/>
              </w:rPr>
            </w:pPr>
            <w:r w:rsidRPr="0039091F">
              <w:rPr>
                <w:rFonts w:eastAsia="Times New Roman" w:cs="Times New Roman"/>
                <w:color w:val="000000"/>
                <w:sz w:val="18"/>
                <w:szCs w:val="18"/>
                <w:lang w:eastAsia="es-CO"/>
              </w:rPr>
              <w:t>Capacitación en Orfeo y Gestión Documental - GIT Valorización e Instrumentos Financieros y GIT Permisos</w:t>
            </w:r>
          </w:p>
        </w:tc>
        <w:tc>
          <w:tcPr>
            <w:tcW w:w="1044" w:type="pct"/>
            <w:vAlign w:val="center"/>
            <w:hideMark/>
          </w:tcPr>
          <w:p w14:paraId="7CC640DB" w14:textId="77777777" w:rsidR="00297E57" w:rsidRPr="0039091F" w:rsidRDefault="00297E57" w:rsidP="000A5389">
            <w:pPr>
              <w:spacing w:line="240" w:lineRule="auto"/>
              <w:jc w:val="center"/>
              <w:rPr>
                <w:rFonts w:eastAsia="Times New Roman" w:cs="Times New Roman"/>
                <w:color w:val="000000"/>
                <w:sz w:val="18"/>
                <w:szCs w:val="18"/>
                <w:lang w:eastAsia="es-CO"/>
              </w:rPr>
            </w:pPr>
            <w:r w:rsidRPr="0039091F">
              <w:rPr>
                <w:rFonts w:eastAsia="Times New Roman" w:cs="Times New Roman"/>
                <w:color w:val="000000"/>
                <w:sz w:val="18"/>
                <w:szCs w:val="18"/>
                <w:lang w:eastAsia="es-CO"/>
              </w:rPr>
              <w:t>ANI</w:t>
            </w:r>
          </w:p>
        </w:tc>
        <w:tc>
          <w:tcPr>
            <w:tcW w:w="464" w:type="pct"/>
            <w:vAlign w:val="center"/>
            <w:hideMark/>
          </w:tcPr>
          <w:p w14:paraId="5CB30BC4" w14:textId="77777777" w:rsidR="00297E57" w:rsidRPr="0039091F" w:rsidRDefault="00297E57" w:rsidP="000A5389">
            <w:pPr>
              <w:spacing w:line="240" w:lineRule="auto"/>
              <w:jc w:val="center"/>
              <w:rPr>
                <w:rFonts w:eastAsia="Times New Roman" w:cs="Times New Roman"/>
                <w:color w:val="000000"/>
                <w:sz w:val="18"/>
                <w:szCs w:val="18"/>
                <w:lang w:eastAsia="es-CO"/>
              </w:rPr>
            </w:pPr>
            <w:r w:rsidRPr="0039091F">
              <w:rPr>
                <w:rFonts w:eastAsia="Times New Roman" w:cs="Times New Roman"/>
                <w:color w:val="000000"/>
                <w:sz w:val="18"/>
                <w:szCs w:val="18"/>
                <w:lang w:eastAsia="es-CO"/>
              </w:rPr>
              <w:t>10</w:t>
            </w:r>
          </w:p>
        </w:tc>
        <w:tc>
          <w:tcPr>
            <w:tcW w:w="527" w:type="pct"/>
            <w:vAlign w:val="center"/>
            <w:hideMark/>
          </w:tcPr>
          <w:p w14:paraId="5BD741EE" w14:textId="77777777" w:rsidR="00297E57" w:rsidRPr="0039091F" w:rsidRDefault="00297E57" w:rsidP="000A5389">
            <w:pPr>
              <w:spacing w:line="240" w:lineRule="auto"/>
              <w:jc w:val="center"/>
              <w:rPr>
                <w:rFonts w:eastAsia="Times New Roman" w:cs="Times New Roman"/>
                <w:color w:val="000000"/>
                <w:sz w:val="18"/>
                <w:szCs w:val="18"/>
                <w:lang w:eastAsia="es-CO"/>
              </w:rPr>
            </w:pPr>
            <w:r w:rsidRPr="0039091F">
              <w:rPr>
                <w:rFonts w:eastAsia="Times New Roman" w:cs="Times New Roman"/>
                <w:color w:val="000000"/>
                <w:sz w:val="18"/>
                <w:szCs w:val="18"/>
                <w:lang w:eastAsia="es-CO"/>
              </w:rPr>
              <w:t>05 y 12 junio</w:t>
            </w:r>
          </w:p>
        </w:tc>
        <w:tc>
          <w:tcPr>
            <w:tcW w:w="640" w:type="pct"/>
            <w:vAlign w:val="center"/>
            <w:hideMark/>
          </w:tcPr>
          <w:p w14:paraId="6C093E98" w14:textId="77777777" w:rsidR="00297E57" w:rsidRPr="0039091F" w:rsidRDefault="00297E57" w:rsidP="000A5389">
            <w:pPr>
              <w:spacing w:line="240" w:lineRule="auto"/>
              <w:jc w:val="center"/>
              <w:rPr>
                <w:rFonts w:eastAsia="Times New Roman" w:cs="Times New Roman"/>
                <w:color w:val="000000"/>
                <w:sz w:val="18"/>
                <w:szCs w:val="18"/>
                <w:lang w:eastAsia="es-CO"/>
              </w:rPr>
            </w:pPr>
            <w:r w:rsidRPr="0039091F">
              <w:rPr>
                <w:rFonts w:eastAsia="Times New Roman" w:cs="Times New Roman"/>
                <w:color w:val="000000"/>
                <w:sz w:val="18"/>
                <w:szCs w:val="18"/>
                <w:lang w:eastAsia="es-CO"/>
              </w:rPr>
              <w:t>2,3</w:t>
            </w:r>
          </w:p>
        </w:tc>
      </w:tr>
      <w:tr w:rsidR="00297E57" w:rsidRPr="0039091F" w14:paraId="772D4A27" w14:textId="77777777" w:rsidTr="0039091F">
        <w:trPr>
          <w:trHeight w:val="283"/>
        </w:trPr>
        <w:tc>
          <w:tcPr>
            <w:tcW w:w="229" w:type="pct"/>
            <w:vAlign w:val="center"/>
            <w:hideMark/>
          </w:tcPr>
          <w:p w14:paraId="2D9446A8" w14:textId="77777777" w:rsidR="00297E57" w:rsidRPr="0039091F" w:rsidRDefault="00297E57" w:rsidP="000A5389">
            <w:pPr>
              <w:spacing w:line="240" w:lineRule="auto"/>
              <w:jc w:val="center"/>
              <w:rPr>
                <w:rFonts w:eastAsia="Times New Roman" w:cs="Times New Roman"/>
                <w:color w:val="000000"/>
                <w:sz w:val="18"/>
                <w:szCs w:val="18"/>
                <w:lang w:eastAsia="es-CO"/>
              </w:rPr>
            </w:pPr>
            <w:r w:rsidRPr="0039091F">
              <w:rPr>
                <w:rFonts w:eastAsia="Times New Roman" w:cs="Times New Roman"/>
                <w:color w:val="000000"/>
                <w:sz w:val="18"/>
                <w:szCs w:val="18"/>
                <w:lang w:eastAsia="es-CO"/>
              </w:rPr>
              <w:t>33</w:t>
            </w:r>
          </w:p>
        </w:tc>
        <w:tc>
          <w:tcPr>
            <w:tcW w:w="777" w:type="pct"/>
            <w:vAlign w:val="center"/>
            <w:hideMark/>
          </w:tcPr>
          <w:p w14:paraId="2C676942" w14:textId="77777777" w:rsidR="00297E57" w:rsidRPr="0039091F" w:rsidRDefault="00297E57" w:rsidP="000A5389">
            <w:pPr>
              <w:spacing w:line="240" w:lineRule="auto"/>
              <w:rPr>
                <w:rFonts w:eastAsia="Times New Roman" w:cs="Times New Roman"/>
                <w:color w:val="000000"/>
                <w:sz w:val="18"/>
                <w:szCs w:val="18"/>
                <w:lang w:eastAsia="es-CO"/>
              </w:rPr>
            </w:pPr>
            <w:r w:rsidRPr="0039091F">
              <w:rPr>
                <w:rFonts w:eastAsia="Times New Roman" w:cs="Times New Roman"/>
                <w:color w:val="000000"/>
                <w:sz w:val="18"/>
                <w:szCs w:val="18"/>
                <w:lang w:eastAsia="es-CO"/>
              </w:rPr>
              <w:t>Seguridad y Salud en el Trabajo</w:t>
            </w:r>
          </w:p>
        </w:tc>
        <w:tc>
          <w:tcPr>
            <w:tcW w:w="1320" w:type="pct"/>
            <w:vAlign w:val="center"/>
            <w:hideMark/>
          </w:tcPr>
          <w:p w14:paraId="163DD4BB" w14:textId="77777777" w:rsidR="00297E57" w:rsidRPr="0039091F" w:rsidRDefault="00297E57" w:rsidP="000A5389">
            <w:pPr>
              <w:spacing w:line="240" w:lineRule="auto"/>
              <w:rPr>
                <w:rFonts w:eastAsia="Times New Roman" w:cs="Times New Roman"/>
                <w:color w:val="000000"/>
                <w:sz w:val="18"/>
                <w:szCs w:val="18"/>
                <w:lang w:eastAsia="es-CO"/>
              </w:rPr>
            </w:pPr>
            <w:r w:rsidRPr="0039091F">
              <w:rPr>
                <w:rFonts w:eastAsia="Times New Roman" w:cs="Times New Roman"/>
                <w:color w:val="000000"/>
                <w:sz w:val="18"/>
                <w:szCs w:val="18"/>
                <w:lang w:eastAsia="es-CO"/>
              </w:rPr>
              <w:t>Capacitación Medidas preventivas de acoso laboral y conductas que</w:t>
            </w:r>
          </w:p>
        </w:tc>
        <w:tc>
          <w:tcPr>
            <w:tcW w:w="1044" w:type="pct"/>
            <w:vAlign w:val="center"/>
            <w:hideMark/>
          </w:tcPr>
          <w:p w14:paraId="5D16D5E9" w14:textId="77777777" w:rsidR="00297E57" w:rsidRPr="0039091F" w:rsidRDefault="00297E57" w:rsidP="000A5389">
            <w:pPr>
              <w:spacing w:line="240" w:lineRule="auto"/>
              <w:jc w:val="center"/>
              <w:rPr>
                <w:rFonts w:eastAsia="Times New Roman" w:cs="Times New Roman"/>
                <w:color w:val="000000"/>
                <w:sz w:val="18"/>
                <w:szCs w:val="18"/>
                <w:lang w:eastAsia="es-CO"/>
              </w:rPr>
            </w:pPr>
            <w:r w:rsidRPr="0039091F">
              <w:rPr>
                <w:rFonts w:eastAsia="Times New Roman" w:cs="Times New Roman"/>
                <w:color w:val="000000"/>
                <w:sz w:val="18"/>
                <w:szCs w:val="18"/>
                <w:lang w:eastAsia="es-CO"/>
              </w:rPr>
              <w:t>ARL POSITIVA</w:t>
            </w:r>
          </w:p>
        </w:tc>
        <w:tc>
          <w:tcPr>
            <w:tcW w:w="464" w:type="pct"/>
            <w:vAlign w:val="center"/>
            <w:hideMark/>
          </w:tcPr>
          <w:p w14:paraId="50192C87" w14:textId="77777777" w:rsidR="00297E57" w:rsidRPr="0039091F" w:rsidRDefault="00297E57" w:rsidP="000A5389">
            <w:pPr>
              <w:spacing w:line="240" w:lineRule="auto"/>
              <w:jc w:val="center"/>
              <w:rPr>
                <w:rFonts w:eastAsia="Times New Roman" w:cs="Times New Roman"/>
                <w:color w:val="000000"/>
                <w:sz w:val="18"/>
                <w:szCs w:val="18"/>
                <w:lang w:eastAsia="es-CO"/>
              </w:rPr>
            </w:pPr>
            <w:r w:rsidRPr="0039091F">
              <w:rPr>
                <w:rFonts w:eastAsia="Times New Roman" w:cs="Times New Roman"/>
                <w:color w:val="000000"/>
                <w:sz w:val="18"/>
                <w:szCs w:val="18"/>
                <w:lang w:eastAsia="es-CO"/>
              </w:rPr>
              <w:t>17</w:t>
            </w:r>
          </w:p>
        </w:tc>
        <w:tc>
          <w:tcPr>
            <w:tcW w:w="527" w:type="pct"/>
            <w:vAlign w:val="center"/>
            <w:hideMark/>
          </w:tcPr>
          <w:p w14:paraId="70CE0B8F" w14:textId="77777777" w:rsidR="00297E57" w:rsidRPr="0039091F" w:rsidRDefault="00297E57" w:rsidP="000A5389">
            <w:pPr>
              <w:spacing w:line="240" w:lineRule="auto"/>
              <w:jc w:val="center"/>
              <w:rPr>
                <w:rFonts w:eastAsia="Times New Roman" w:cs="Times New Roman"/>
                <w:color w:val="000000"/>
                <w:sz w:val="18"/>
                <w:szCs w:val="18"/>
                <w:lang w:eastAsia="es-CO"/>
              </w:rPr>
            </w:pPr>
            <w:r w:rsidRPr="0039091F">
              <w:rPr>
                <w:rFonts w:eastAsia="Times New Roman" w:cs="Times New Roman"/>
                <w:color w:val="000000"/>
                <w:sz w:val="18"/>
                <w:szCs w:val="18"/>
                <w:lang w:eastAsia="es-CO"/>
              </w:rPr>
              <w:t>11 de junio</w:t>
            </w:r>
          </w:p>
        </w:tc>
        <w:tc>
          <w:tcPr>
            <w:tcW w:w="640" w:type="pct"/>
            <w:vAlign w:val="center"/>
            <w:hideMark/>
          </w:tcPr>
          <w:p w14:paraId="2B9E68F5" w14:textId="77777777" w:rsidR="00297E57" w:rsidRPr="0039091F" w:rsidRDefault="00297E57" w:rsidP="000A5389">
            <w:pPr>
              <w:spacing w:line="240" w:lineRule="auto"/>
              <w:jc w:val="center"/>
              <w:rPr>
                <w:rFonts w:eastAsia="Times New Roman" w:cs="Times New Roman"/>
                <w:color w:val="000000"/>
                <w:sz w:val="18"/>
                <w:szCs w:val="18"/>
                <w:lang w:eastAsia="es-CO"/>
              </w:rPr>
            </w:pPr>
            <w:r w:rsidRPr="0039091F">
              <w:rPr>
                <w:rFonts w:eastAsia="Times New Roman" w:cs="Times New Roman"/>
                <w:color w:val="000000"/>
                <w:sz w:val="18"/>
                <w:szCs w:val="18"/>
                <w:lang w:eastAsia="es-CO"/>
              </w:rPr>
              <w:t>1</w:t>
            </w:r>
          </w:p>
        </w:tc>
      </w:tr>
      <w:tr w:rsidR="00297E57" w:rsidRPr="0039091F" w14:paraId="0F357326" w14:textId="77777777" w:rsidTr="0039091F">
        <w:trPr>
          <w:trHeight w:val="283"/>
        </w:trPr>
        <w:tc>
          <w:tcPr>
            <w:tcW w:w="229" w:type="pct"/>
            <w:vAlign w:val="center"/>
            <w:hideMark/>
          </w:tcPr>
          <w:p w14:paraId="1F82C17E" w14:textId="77777777" w:rsidR="00297E57" w:rsidRPr="0039091F" w:rsidRDefault="00297E57" w:rsidP="000A5389">
            <w:pPr>
              <w:spacing w:line="240" w:lineRule="auto"/>
              <w:jc w:val="center"/>
              <w:rPr>
                <w:rFonts w:eastAsia="Times New Roman" w:cs="Times New Roman"/>
                <w:color w:val="000000"/>
                <w:sz w:val="18"/>
                <w:szCs w:val="18"/>
                <w:lang w:eastAsia="es-CO"/>
              </w:rPr>
            </w:pPr>
            <w:r w:rsidRPr="0039091F">
              <w:rPr>
                <w:rFonts w:eastAsia="Times New Roman" w:cs="Times New Roman"/>
                <w:color w:val="000000"/>
                <w:sz w:val="18"/>
                <w:szCs w:val="18"/>
                <w:lang w:eastAsia="es-CO"/>
              </w:rPr>
              <w:t>34</w:t>
            </w:r>
          </w:p>
        </w:tc>
        <w:tc>
          <w:tcPr>
            <w:tcW w:w="777" w:type="pct"/>
            <w:vAlign w:val="center"/>
            <w:hideMark/>
          </w:tcPr>
          <w:p w14:paraId="7645B40B" w14:textId="77777777" w:rsidR="00297E57" w:rsidRPr="0039091F" w:rsidRDefault="00297E57" w:rsidP="000A5389">
            <w:pPr>
              <w:spacing w:line="240" w:lineRule="auto"/>
              <w:rPr>
                <w:rFonts w:eastAsia="Times New Roman" w:cs="Times New Roman"/>
                <w:color w:val="000000"/>
                <w:sz w:val="18"/>
                <w:szCs w:val="18"/>
                <w:lang w:eastAsia="es-CO"/>
              </w:rPr>
            </w:pPr>
            <w:r w:rsidRPr="0039091F">
              <w:rPr>
                <w:rFonts w:eastAsia="Times New Roman" w:cs="Times New Roman"/>
                <w:color w:val="000000"/>
                <w:sz w:val="18"/>
                <w:szCs w:val="18"/>
                <w:lang w:eastAsia="es-CO"/>
              </w:rPr>
              <w:t>Eje 2 (Territorio, Vida y Ambiente)</w:t>
            </w:r>
          </w:p>
        </w:tc>
        <w:tc>
          <w:tcPr>
            <w:tcW w:w="1320" w:type="pct"/>
            <w:vAlign w:val="center"/>
            <w:hideMark/>
          </w:tcPr>
          <w:p w14:paraId="6B190FD1" w14:textId="77777777" w:rsidR="00297E57" w:rsidRPr="0039091F" w:rsidRDefault="00297E57" w:rsidP="000A5389">
            <w:pPr>
              <w:spacing w:line="240" w:lineRule="auto"/>
              <w:rPr>
                <w:rFonts w:eastAsia="Times New Roman" w:cs="Times New Roman"/>
                <w:color w:val="000000"/>
                <w:sz w:val="18"/>
                <w:szCs w:val="18"/>
                <w:lang w:eastAsia="es-CO"/>
              </w:rPr>
            </w:pPr>
            <w:r w:rsidRPr="0039091F">
              <w:rPr>
                <w:rFonts w:eastAsia="Times New Roman" w:cs="Times New Roman"/>
                <w:color w:val="000000"/>
                <w:sz w:val="18"/>
                <w:szCs w:val="18"/>
                <w:lang w:eastAsia="es-CO"/>
              </w:rPr>
              <w:t>Capacitación Protección y Bienestar Animal - Sede Montevideo</w:t>
            </w:r>
          </w:p>
        </w:tc>
        <w:tc>
          <w:tcPr>
            <w:tcW w:w="1044" w:type="pct"/>
            <w:vAlign w:val="center"/>
            <w:hideMark/>
          </w:tcPr>
          <w:p w14:paraId="3B80AEA6" w14:textId="77777777" w:rsidR="00297E57" w:rsidRPr="0039091F" w:rsidRDefault="00297E57" w:rsidP="000A5389">
            <w:pPr>
              <w:spacing w:line="240" w:lineRule="auto"/>
              <w:jc w:val="center"/>
              <w:rPr>
                <w:rFonts w:eastAsia="Times New Roman" w:cs="Times New Roman"/>
                <w:color w:val="000000"/>
                <w:sz w:val="18"/>
                <w:szCs w:val="18"/>
                <w:lang w:eastAsia="es-CO"/>
              </w:rPr>
            </w:pPr>
            <w:r w:rsidRPr="0039091F">
              <w:rPr>
                <w:rFonts w:eastAsia="Times New Roman" w:cs="Times New Roman"/>
                <w:color w:val="000000"/>
                <w:sz w:val="18"/>
                <w:szCs w:val="18"/>
                <w:lang w:eastAsia="es-CO"/>
              </w:rPr>
              <w:t>Secretaría Distrital de Ambiente (SDA)</w:t>
            </w:r>
          </w:p>
        </w:tc>
        <w:tc>
          <w:tcPr>
            <w:tcW w:w="464" w:type="pct"/>
            <w:vAlign w:val="center"/>
            <w:hideMark/>
          </w:tcPr>
          <w:p w14:paraId="52B8FB88" w14:textId="77777777" w:rsidR="00297E57" w:rsidRPr="0039091F" w:rsidRDefault="00297E57" w:rsidP="000A5389">
            <w:pPr>
              <w:spacing w:line="240" w:lineRule="auto"/>
              <w:jc w:val="center"/>
              <w:rPr>
                <w:rFonts w:eastAsia="Times New Roman" w:cs="Times New Roman"/>
                <w:color w:val="000000"/>
                <w:sz w:val="18"/>
                <w:szCs w:val="18"/>
                <w:lang w:eastAsia="es-CO"/>
              </w:rPr>
            </w:pPr>
            <w:r w:rsidRPr="0039091F">
              <w:rPr>
                <w:rFonts w:eastAsia="Times New Roman" w:cs="Times New Roman"/>
                <w:color w:val="000000"/>
                <w:sz w:val="18"/>
                <w:szCs w:val="18"/>
                <w:lang w:eastAsia="es-CO"/>
              </w:rPr>
              <w:t> 12</w:t>
            </w:r>
          </w:p>
        </w:tc>
        <w:tc>
          <w:tcPr>
            <w:tcW w:w="527" w:type="pct"/>
            <w:vAlign w:val="center"/>
            <w:hideMark/>
          </w:tcPr>
          <w:p w14:paraId="1D967975" w14:textId="77777777" w:rsidR="00297E57" w:rsidRPr="0039091F" w:rsidRDefault="00297E57" w:rsidP="000A5389">
            <w:pPr>
              <w:spacing w:line="240" w:lineRule="auto"/>
              <w:jc w:val="center"/>
              <w:rPr>
                <w:rFonts w:eastAsia="Times New Roman" w:cs="Times New Roman"/>
                <w:color w:val="000000"/>
                <w:sz w:val="18"/>
                <w:szCs w:val="18"/>
                <w:lang w:eastAsia="es-CO"/>
              </w:rPr>
            </w:pPr>
            <w:r w:rsidRPr="0039091F">
              <w:rPr>
                <w:rFonts w:eastAsia="Times New Roman" w:cs="Times New Roman"/>
                <w:color w:val="000000"/>
                <w:sz w:val="18"/>
                <w:szCs w:val="18"/>
                <w:lang w:eastAsia="es-CO"/>
              </w:rPr>
              <w:t>13 de junio</w:t>
            </w:r>
          </w:p>
        </w:tc>
        <w:tc>
          <w:tcPr>
            <w:tcW w:w="640" w:type="pct"/>
            <w:vAlign w:val="center"/>
            <w:hideMark/>
          </w:tcPr>
          <w:p w14:paraId="30BE4A4F" w14:textId="77777777" w:rsidR="00297E57" w:rsidRPr="0039091F" w:rsidRDefault="00297E57" w:rsidP="000A5389">
            <w:pPr>
              <w:spacing w:line="240" w:lineRule="auto"/>
              <w:jc w:val="center"/>
              <w:rPr>
                <w:rFonts w:eastAsia="Times New Roman" w:cs="Times New Roman"/>
                <w:color w:val="000000"/>
                <w:sz w:val="18"/>
                <w:szCs w:val="18"/>
                <w:lang w:eastAsia="es-CO"/>
              </w:rPr>
            </w:pPr>
            <w:r w:rsidRPr="0039091F">
              <w:rPr>
                <w:rFonts w:eastAsia="Times New Roman" w:cs="Times New Roman"/>
                <w:color w:val="000000"/>
                <w:sz w:val="18"/>
                <w:szCs w:val="18"/>
                <w:lang w:eastAsia="es-CO"/>
              </w:rPr>
              <w:t> 1</w:t>
            </w:r>
          </w:p>
        </w:tc>
      </w:tr>
      <w:tr w:rsidR="00297E57" w:rsidRPr="0039091F" w14:paraId="7A53FFA9" w14:textId="77777777" w:rsidTr="0039091F">
        <w:trPr>
          <w:trHeight w:val="283"/>
        </w:trPr>
        <w:tc>
          <w:tcPr>
            <w:tcW w:w="229" w:type="pct"/>
            <w:vAlign w:val="center"/>
            <w:hideMark/>
          </w:tcPr>
          <w:p w14:paraId="108F1FFF" w14:textId="77777777" w:rsidR="00297E57" w:rsidRPr="0039091F" w:rsidRDefault="00297E57" w:rsidP="000A5389">
            <w:pPr>
              <w:spacing w:line="240" w:lineRule="auto"/>
              <w:jc w:val="center"/>
              <w:rPr>
                <w:rFonts w:eastAsia="Times New Roman" w:cs="Times New Roman"/>
                <w:color w:val="000000"/>
                <w:sz w:val="18"/>
                <w:szCs w:val="18"/>
                <w:lang w:eastAsia="es-CO"/>
              </w:rPr>
            </w:pPr>
            <w:r w:rsidRPr="0039091F">
              <w:rPr>
                <w:rFonts w:eastAsia="Times New Roman" w:cs="Times New Roman"/>
                <w:color w:val="000000"/>
                <w:sz w:val="18"/>
                <w:szCs w:val="18"/>
                <w:lang w:eastAsia="es-CO"/>
              </w:rPr>
              <w:t>35</w:t>
            </w:r>
          </w:p>
        </w:tc>
        <w:tc>
          <w:tcPr>
            <w:tcW w:w="777" w:type="pct"/>
            <w:vAlign w:val="center"/>
            <w:hideMark/>
          </w:tcPr>
          <w:p w14:paraId="5DCB2D09" w14:textId="77777777" w:rsidR="00297E57" w:rsidRPr="0039091F" w:rsidRDefault="00297E57" w:rsidP="000A5389">
            <w:pPr>
              <w:spacing w:line="240" w:lineRule="auto"/>
              <w:rPr>
                <w:rFonts w:eastAsia="Times New Roman" w:cs="Times New Roman"/>
                <w:color w:val="000000"/>
                <w:sz w:val="18"/>
                <w:szCs w:val="18"/>
                <w:lang w:eastAsia="es-CO"/>
              </w:rPr>
            </w:pPr>
            <w:r w:rsidRPr="0039091F">
              <w:rPr>
                <w:rFonts w:eastAsia="Times New Roman" w:cs="Times New Roman"/>
                <w:color w:val="000000"/>
                <w:sz w:val="18"/>
                <w:szCs w:val="18"/>
                <w:lang w:eastAsia="es-CO"/>
              </w:rPr>
              <w:t>Seguridad y Salud en el Trabajo</w:t>
            </w:r>
          </w:p>
        </w:tc>
        <w:tc>
          <w:tcPr>
            <w:tcW w:w="1320" w:type="pct"/>
            <w:vAlign w:val="center"/>
            <w:hideMark/>
          </w:tcPr>
          <w:p w14:paraId="568BA356" w14:textId="77777777" w:rsidR="00297E57" w:rsidRPr="0039091F" w:rsidRDefault="00297E57" w:rsidP="000A5389">
            <w:pPr>
              <w:spacing w:line="240" w:lineRule="auto"/>
              <w:rPr>
                <w:rFonts w:eastAsia="Times New Roman" w:cs="Times New Roman"/>
                <w:color w:val="000000"/>
                <w:sz w:val="18"/>
                <w:szCs w:val="18"/>
                <w:lang w:eastAsia="es-CO"/>
              </w:rPr>
            </w:pPr>
            <w:r w:rsidRPr="0039091F">
              <w:rPr>
                <w:rFonts w:eastAsia="Times New Roman" w:cs="Times New Roman"/>
                <w:color w:val="000000"/>
                <w:sz w:val="18"/>
                <w:szCs w:val="18"/>
                <w:lang w:eastAsia="es-CO"/>
              </w:rPr>
              <w:t>Capacitación Prevención consumo de sustancias psicoactivas</w:t>
            </w:r>
          </w:p>
        </w:tc>
        <w:tc>
          <w:tcPr>
            <w:tcW w:w="1044" w:type="pct"/>
            <w:vAlign w:val="center"/>
            <w:hideMark/>
          </w:tcPr>
          <w:p w14:paraId="4605F7C1" w14:textId="77777777" w:rsidR="00297E57" w:rsidRPr="0039091F" w:rsidRDefault="00297E57" w:rsidP="000A5389">
            <w:pPr>
              <w:spacing w:line="240" w:lineRule="auto"/>
              <w:jc w:val="center"/>
              <w:rPr>
                <w:rFonts w:eastAsia="Times New Roman" w:cs="Times New Roman"/>
                <w:color w:val="000000"/>
                <w:sz w:val="18"/>
                <w:szCs w:val="18"/>
                <w:lang w:eastAsia="es-CO"/>
              </w:rPr>
            </w:pPr>
            <w:r w:rsidRPr="0039091F">
              <w:rPr>
                <w:rFonts w:eastAsia="Times New Roman" w:cs="Times New Roman"/>
                <w:color w:val="000000"/>
                <w:sz w:val="18"/>
                <w:szCs w:val="18"/>
                <w:lang w:eastAsia="es-CO"/>
              </w:rPr>
              <w:t>ARL POSITIVA</w:t>
            </w:r>
          </w:p>
        </w:tc>
        <w:tc>
          <w:tcPr>
            <w:tcW w:w="464" w:type="pct"/>
            <w:vAlign w:val="center"/>
            <w:hideMark/>
          </w:tcPr>
          <w:p w14:paraId="6DFE74F6" w14:textId="77777777" w:rsidR="00297E57" w:rsidRPr="0039091F" w:rsidRDefault="00297E57" w:rsidP="000A5389">
            <w:pPr>
              <w:spacing w:line="240" w:lineRule="auto"/>
              <w:jc w:val="center"/>
              <w:rPr>
                <w:rFonts w:eastAsia="Times New Roman" w:cs="Times New Roman"/>
                <w:color w:val="000000"/>
                <w:sz w:val="18"/>
                <w:szCs w:val="18"/>
                <w:lang w:eastAsia="es-CO"/>
              </w:rPr>
            </w:pPr>
            <w:r w:rsidRPr="0039091F">
              <w:rPr>
                <w:rFonts w:eastAsia="Times New Roman" w:cs="Times New Roman"/>
                <w:color w:val="000000"/>
                <w:sz w:val="18"/>
                <w:szCs w:val="18"/>
                <w:lang w:eastAsia="es-CO"/>
              </w:rPr>
              <w:t> 7</w:t>
            </w:r>
          </w:p>
        </w:tc>
        <w:tc>
          <w:tcPr>
            <w:tcW w:w="527" w:type="pct"/>
            <w:vAlign w:val="center"/>
            <w:hideMark/>
          </w:tcPr>
          <w:p w14:paraId="55D9F701" w14:textId="77777777" w:rsidR="00297E57" w:rsidRPr="0039091F" w:rsidRDefault="00297E57" w:rsidP="000A5389">
            <w:pPr>
              <w:spacing w:line="240" w:lineRule="auto"/>
              <w:jc w:val="center"/>
              <w:rPr>
                <w:rFonts w:eastAsia="Times New Roman" w:cs="Times New Roman"/>
                <w:color w:val="000000"/>
                <w:sz w:val="18"/>
                <w:szCs w:val="18"/>
                <w:lang w:eastAsia="es-CO"/>
              </w:rPr>
            </w:pPr>
            <w:r w:rsidRPr="0039091F">
              <w:rPr>
                <w:rFonts w:eastAsia="Times New Roman" w:cs="Times New Roman"/>
                <w:color w:val="000000"/>
                <w:sz w:val="18"/>
                <w:szCs w:val="18"/>
                <w:lang w:eastAsia="es-CO"/>
              </w:rPr>
              <w:t>13 de junio</w:t>
            </w:r>
          </w:p>
        </w:tc>
        <w:tc>
          <w:tcPr>
            <w:tcW w:w="640" w:type="pct"/>
            <w:vAlign w:val="center"/>
            <w:hideMark/>
          </w:tcPr>
          <w:p w14:paraId="25E5C219" w14:textId="77777777" w:rsidR="00297E57" w:rsidRPr="0039091F" w:rsidRDefault="00297E57" w:rsidP="000A5389">
            <w:pPr>
              <w:spacing w:line="240" w:lineRule="auto"/>
              <w:jc w:val="center"/>
              <w:rPr>
                <w:rFonts w:eastAsia="Times New Roman" w:cs="Times New Roman"/>
                <w:color w:val="000000"/>
                <w:sz w:val="18"/>
                <w:szCs w:val="18"/>
                <w:lang w:eastAsia="es-CO"/>
              </w:rPr>
            </w:pPr>
            <w:r w:rsidRPr="0039091F">
              <w:rPr>
                <w:rFonts w:eastAsia="Times New Roman" w:cs="Times New Roman"/>
                <w:color w:val="000000"/>
                <w:sz w:val="18"/>
                <w:szCs w:val="18"/>
                <w:lang w:eastAsia="es-CO"/>
              </w:rPr>
              <w:t>1</w:t>
            </w:r>
          </w:p>
        </w:tc>
      </w:tr>
      <w:tr w:rsidR="00297E57" w:rsidRPr="0039091F" w14:paraId="7AC2B8D3" w14:textId="77777777" w:rsidTr="0039091F">
        <w:trPr>
          <w:trHeight w:val="283"/>
        </w:trPr>
        <w:tc>
          <w:tcPr>
            <w:tcW w:w="229" w:type="pct"/>
            <w:vAlign w:val="center"/>
            <w:hideMark/>
          </w:tcPr>
          <w:p w14:paraId="0383FAA6" w14:textId="77777777" w:rsidR="00297E57" w:rsidRPr="0039091F" w:rsidRDefault="00297E57" w:rsidP="000A5389">
            <w:pPr>
              <w:spacing w:line="240" w:lineRule="auto"/>
              <w:jc w:val="center"/>
              <w:rPr>
                <w:rFonts w:eastAsia="Times New Roman" w:cs="Times New Roman"/>
                <w:color w:val="000000"/>
                <w:sz w:val="18"/>
                <w:szCs w:val="18"/>
                <w:lang w:eastAsia="es-CO"/>
              </w:rPr>
            </w:pPr>
            <w:r w:rsidRPr="0039091F">
              <w:rPr>
                <w:rFonts w:eastAsia="Times New Roman" w:cs="Times New Roman"/>
                <w:color w:val="000000"/>
                <w:sz w:val="18"/>
                <w:szCs w:val="18"/>
                <w:lang w:eastAsia="es-CO"/>
              </w:rPr>
              <w:t>36</w:t>
            </w:r>
          </w:p>
        </w:tc>
        <w:tc>
          <w:tcPr>
            <w:tcW w:w="777" w:type="pct"/>
            <w:vAlign w:val="center"/>
            <w:hideMark/>
          </w:tcPr>
          <w:p w14:paraId="79335658" w14:textId="77777777" w:rsidR="00297E57" w:rsidRPr="0039091F" w:rsidRDefault="00297E57" w:rsidP="000A5389">
            <w:pPr>
              <w:spacing w:line="240" w:lineRule="auto"/>
              <w:rPr>
                <w:rFonts w:eastAsia="Times New Roman" w:cs="Times New Roman"/>
                <w:color w:val="000000"/>
                <w:sz w:val="18"/>
                <w:szCs w:val="18"/>
                <w:lang w:eastAsia="es-CO"/>
              </w:rPr>
            </w:pPr>
            <w:r w:rsidRPr="0039091F">
              <w:rPr>
                <w:rFonts w:eastAsia="Times New Roman" w:cs="Times New Roman"/>
                <w:color w:val="000000"/>
                <w:sz w:val="18"/>
                <w:szCs w:val="18"/>
                <w:lang w:eastAsia="es-CO"/>
              </w:rPr>
              <w:t>Seguridad y Salud en el Trabajo</w:t>
            </w:r>
          </w:p>
        </w:tc>
        <w:tc>
          <w:tcPr>
            <w:tcW w:w="1320" w:type="pct"/>
            <w:vAlign w:val="center"/>
            <w:hideMark/>
          </w:tcPr>
          <w:p w14:paraId="418455F8" w14:textId="77777777" w:rsidR="00297E57" w:rsidRPr="0039091F" w:rsidRDefault="00297E57" w:rsidP="000A5389">
            <w:pPr>
              <w:spacing w:line="240" w:lineRule="auto"/>
              <w:rPr>
                <w:rFonts w:eastAsia="Times New Roman" w:cs="Times New Roman"/>
                <w:color w:val="000000"/>
                <w:sz w:val="18"/>
                <w:szCs w:val="18"/>
                <w:lang w:eastAsia="es-CO"/>
              </w:rPr>
            </w:pPr>
            <w:r w:rsidRPr="0039091F">
              <w:rPr>
                <w:rFonts w:eastAsia="Times New Roman" w:cs="Times New Roman"/>
                <w:color w:val="000000"/>
                <w:sz w:val="18"/>
                <w:szCs w:val="18"/>
                <w:lang w:eastAsia="es-CO"/>
              </w:rPr>
              <w:t>Capacitación Primeros Auxilios Psicológicos - Manejo de la Ansiedad</w:t>
            </w:r>
          </w:p>
        </w:tc>
        <w:tc>
          <w:tcPr>
            <w:tcW w:w="1044" w:type="pct"/>
            <w:vAlign w:val="center"/>
            <w:hideMark/>
          </w:tcPr>
          <w:p w14:paraId="0CE2E96F" w14:textId="77777777" w:rsidR="00297E57" w:rsidRPr="0039091F" w:rsidRDefault="00297E57" w:rsidP="000A5389">
            <w:pPr>
              <w:spacing w:line="240" w:lineRule="auto"/>
              <w:jc w:val="center"/>
              <w:rPr>
                <w:rFonts w:eastAsia="Times New Roman" w:cs="Times New Roman"/>
                <w:color w:val="000000"/>
                <w:sz w:val="18"/>
                <w:szCs w:val="18"/>
                <w:lang w:eastAsia="es-CO"/>
              </w:rPr>
            </w:pPr>
            <w:r w:rsidRPr="0039091F">
              <w:rPr>
                <w:rFonts w:eastAsia="Times New Roman" w:cs="Times New Roman"/>
                <w:color w:val="000000"/>
                <w:sz w:val="18"/>
                <w:szCs w:val="18"/>
                <w:lang w:eastAsia="es-CO"/>
              </w:rPr>
              <w:t>ARL POSITIVA</w:t>
            </w:r>
          </w:p>
        </w:tc>
        <w:tc>
          <w:tcPr>
            <w:tcW w:w="464" w:type="pct"/>
            <w:vAlign w:val="center"/>
            <w:hideMark/>
          </w:tcPr>
          <w:p w14:paraId="7821EEBC" w14:textId="77777777" w:rsidR="00297E57" w:rsidRPr="0039091F" w:rsidRDefault="00297E57" w:rsidP="000A5389">
            <w:pPr>
              <w:spacing w:line="240" w:lineRule="auto"/>
              <w:jc w:val="center"/>
              <w:rPr>
                <w:rFonts w:eastAsia="Times New Roman" w:cs="Times New Roman"/>
                <w:color w:val="000000"/>
                <w:sz w:val="18"/>
                <w:szCs w:val="18"/>
                <w:lang w:eastAsia="es-CO"/>
              </w:rPr>
            </w:pPr>
            <w:r w:rsidRPr="0039091F">
              <w:rPr>
                <w:rFonts w:eastAsia="Times New Roman" w:cs="Times New Roman"/>
                <w:color w:val="000000"/>
                <w:sz w:val="18"/>
                <w:szCs w:val="18"/>
                <w:lang w:eastAsia="es-CO"/>
              </w:rPr>
              <w:t> 12</w:t>
            </w:r>
          </w:p>
        </w:tc>
        <w:tc>
          <w:tcPr>
            <w:tcW w:w="527" w:type="pct"/>
            <w:vAlign w:val="center"/>
            <w:hideMark/>
          </w:tcPr>
          <w:p w14:paraId="48D090F7" w14:textId="77777777" w:rsidR="00297E57" w:rsidRPr="0039091F" w:rsidRDefault="00297E57" w:rsidP="000A5389">
            <w:pPr>
              <w:spacing w:line="240" w:lineRule="auto"/>
              <w:jc w:val="center"/>
              <w:rPr>
                <w:rFonts w:eastAsia="Times New Roman" w:cs="Times New Roman"/>
                <w:color w:val="000000"/>
                <w:sz w:val="18"/>
                <w:szCs w:val="18"/>
                <w:lang w:eastAsia="es-CO"/>
              </w:rPr>
            </w:pPr>
            <w:r w:rsidRPr="0039091F">
              <w:rPr>
                <w:rFonts w:eastAsia="Times New Roman" w:cs="Times New Roman"/>
                <w:color w:val="000000"/>
                <w:sz w:val="18"/>
                <w:szCs w:val="18"/>
                <w:lang w:eastAsia="es-CO"/>
              </w:rPr>
              <w:t>16 de junio</w:t>
            </w:r>
          </w:p>
        </w:tc>
        <w:tc>
          <w:tcPr>
            <w:tcW w:w="640" w:type="pct"/>
            <w:vAlign w:val="center"/>
            <w:hideMark/>
          </w:tcPr>
          <w:p w14:paraId="04563883" w14:textId="77777777" w:rsidR="00297E57" w:rsidRPr="0039091F" w:rsidRDefault="00297E57" w:rsidP="000A5389">
            <w:pPr>
              <w:spacing w:line="240" w:lineRule="auto"/>
              <w:jc w:val="center"/>
              <w:rPr>
                <w:rFonts w:eastAsia="Times New Roman" w:cs="Times New Roman"/>
                <w:color w:val="000000"/>
                <w:sz w:val="18"/>
                <w:szCs w:val="18"/>
                <w:lang w:eastAsia="es-CO"/>
              </w:rPr>
            </w:pPr>
            <w:r w:rsidRPr="0039091F">
              <w:rPr>
                <w:rFonts w:eastAsia="Times New Roman" w:cs="Times New Roman"/>
                <w:color w:val="000000"/>
                <w:sz w:val="18"/>
                <w:szCs w:val="18"/>
                <w:lang w:eastAsia="es-CO"/>
              </w:rPr>
              <w:t>1 </w:t>
            </w:r>
          </w:p>
        </w:tc>
      </w:tr>
      <w:tr w:rsidR="00297E57" w:rsidRPr="0039091F" w14:paraId="0A76A288" w14:textId="77777777" w:rsidTr="0039091F">
        <w:trPr>
          <w:trHeight w:val="283"/>
        </w:trPr>
        <w:tc>
          <w:tcPr>
            <w:tcW w:w="229" w:type="pct"/>
            <w:vAlign w:val="center"/>
            <w:hideMark/>
          </w:tcPr>
          <w:p w14:paraId="1B39828C" w14:textId="77777777" w:rsidR="00297E57" w:rsidRPr="0039091F" w:rsidRDefault="00297E57" w:rsidP="000A5389">
            <w:pPr>
              <w:spacing w:line="240" w:lineRule="auto"/>
              <w:jc w:val="center"/>
              <w:rPr>
                <w:rFonts w:eastAsia="Times New Roman" w:cs="Times New Roman"/>
                <w:color w:val="000000"/>
                <w:sz w:val="18"/>
                <w:szCs w:val="18"/>
                <w:lang w:eastAsia="es-CO"/>
              </w:rPr>
            </w:pPr>
            <w:r w:rsidRPr="0039091F">
              <w:rPr>
                <w:rFonts w:eastAsia="Times New Roman" w:cs="Times New Roman"/>
                <w:color w:val="000000"/>
                <w:sz w:val="18"/>
                <w:szCs w:val="18"/>
                <w:lang w:eastAsia="es-CO"/>
              </w:rPr>
              <w:t>37</w:t>
            </w:r>
          </w:p>
        </w:tc>
        <w:tc>
          <w:tcPr>
            <w:tcW w:w="777" w:type="pct"/>
            <w:vAlign w:val="center"/>
            <w:hideMark/>
          </w:tcPr>
          <w:p w14:paraId="0851ED22" w14:textId="77777777" w:rsidR="00297E57" w:rsidRPr="0039091F" w:rsidRDefault="00297E57" w:rsidP="000A5389">
            <w:pPr>
              <w:spacing w:line="240" w:lineRule="auto"/>
              <w:rPr>
                <w:rFonts w:eastAsia="Times New Roman" w:cs="Times New Roman"/>
                <w:color w:val="000000"/>
                <w:sz w:val="18"/>
                <w:szCs w:val="18"/>
                <w:lang w:eastAsia="es-CO"/>
              </w:rPr>
            </w:pPr>
            <w:r w:rsidRPr="0039091F">
              <w:rPr>
                <w:rFonts w:eastAsia="Times New Roman" w:cs="Times New Roman"/>
                <w:color w:val="000000"/>
                <w:sz w:val="18"/>
                <w:szCs w:val="18"/>
                <w:lang w:eastAsia="es-CO"/>
              </w:rPr>
              <w:t>Habilidades y Conocimientos e identificadas por EDL</w:t>
            </w:r>
          </w:p>
        </w:tc>
        <w:tc>
          <w:tcPr>
            <w:tcW w:w="1320" w:type="pct"/>
            <w:vAlign w:val="center"/>
            <w:hideMark/>
          </w:tcPr>
          <w:p w14:paraId="4A02F4A3" w14:textId="77777777" w:rsidR="00297E57" w:rsidRPr="0039091F" w:rsidRDefault="00297E57" w:rsidP="000A5389">
            <w:pPr>
              <w:spacing w:line="240" w:lineRule="auto"/>
              <w:rPr>
                <w:rFonts w:eastAsia="Times New Roman" w:cs="Times New Roman"/>
                <w:color w:val="000000"/>
                <w:sz w:val="18"/>
                <w:szCs w:val="18"/>
                <w:lang w:eastAsia="es-CO"/>
              </w:rPr>
            </w:pPr>
            <w:r w:rsidRPr="0039091F">
              <w:rPr>
                <w:rFonts w:eastAsia="Times New Roman" w:cs="Times New Roman"/>
                <w:color w:val="000000"/>
                <w:sz w:val="18"/>
                <w:szCs w:val="18"/>
                <w:lang w:eastAsia="es-CO"/>
              </w:rPr>
              <w:t>Taller Habilidades Blandas</w:t>
            </w:r>
          </w:p>
        </w:tc>
        <w:tc>
          <w:tcPr>
            <w:tcW w:w="1044" w:type="pct"/>
            <w:vAlign w:val="center"/>
            <w:hideMark/>
          </w:tcPr>
          <w:p w14:paraId="6E6FEF66" w14:textId="77777777" w:rsidR="00297E57" w:rsidRPr="0039091F" w:rsidRDefault="00297E57" w:rsidP="000A5389">
            <w:pPr>
              <w:spacing w:line="240" w:lineRule="auto"/>
              <w:jc w:val="center"/>
              <w:rPr>
                <w:rFonts w:eastAsia="Times New Roman" w:cs="Times New Roman"/>
                <w:color w:val="000000"/>
                <w:sz w:val="18"/>
                <w:szCs w:val="18"/>
                <w:lang w:eastAsia="es-CO"/>
              </w:rPr>
            </w:pPr>
            <w:r w:rsidRPr="0039091F">
              <w:rPr>
                <w:rFonts w:eastAsia="Times New Roman" w:cs="Times New Roman"/>
                <w:color w:val="000000"/>
                <w:sz w:val="18"/>
                <w:szCs w:val="18"/>
                <w:lang w:eastAsia="es-CO"/>
              </w:rPr>
              <w:t>ARL POSITIVA</w:t>
            </w:r>
          </w:p>
        </w:tc>
        <w:tc>
          <w:tcPr>
            <w:tcW w:w="464" w:type="pct"/>
            <w:vAlign w:val="center"/>
            <w:hideMark/>
          </w:tcPr>
          <w:p w14:paraId="57400241" w14:textId="77777777" w:rsidR="00297E57" w:rsidRPr="0039091F" w:rsidRDefault="00297E57" w:rsidP="000A5389">
            <w:pPr>
              <w:spacing w:line="240" w:lineRule="auto"/>
              <w:jc w:val="center"/>
              <w:rPr>
                <w:rFonts w:eastAsia="Times New Roman" w:cs="Times New Roman"/>
                <w:color w:val="000000"/>
                <w:sz w:val="18"/>
                <w:szCs w:val="18"/>
                <w:lang w:eastAsia="es-CO"/>
              </w:rPr>
            </w:pPr>
            <w:r w:rsidRPr="0039091F">
              <w:rPr>
                <w:rFonts w:eastAsia="Times New Roman" w:cs="Times New Roman"/>
                <w:color w:val="000000"/>
                <w:sz w:val="18"/>
                <w:szCs w:val="18"/>
                <w:lang w:eastAsia="es-CO"/>
              </w:rPr>
              <w:t>24 </w:t>
            </w:r>
          </w:p>
        </w:tc>
        <w:tc>
          <w:tcPr>
            <w:tcW w:w="527" w:type="pct"/>
            <w:vAlign w:val="center"/>
            <w:hideMark/>
          </w:tcPr>
          <w:p w14:paraId="4DA36E86" w14:textId="77777777" w:rsidR="00297E57" w:rsidRPr="0039091F" w:rsidRDefault="00297E57" w:rsidP="000A5389">
            <w:pPr>
              <w:spacing w:line="240" w:lineRule="auto"/>
              <w:jc w:val="center"/>
              <w:rPr>
                <w:rFonts w:eastAsia="Times New Roman" w:cs="Times New Roman"/>
                <w:color w:val="000000"/>
                <w:sz w:val="18"/>
                <w:szCs w:val="18"/>
                <w:lang w:eastAsia="es-CO"/>
              </w:rPr>
            </w:pPr>
            <w:r w:rsidRPr="0039091F">
              <w:rPr>
                <w:rFonts w:eastAsia="Times New Roman" w:cs="Times New Roman"/>
                <w:color w:val="000000"/>
                <w:sz w:val="18"/>
                <w:szCs w:val="18"/>
                <w:lang w:eastAsia="es-CO"/>
              </w:rPr>
              <w:t>18 de junio</w:t>
            </w:r>
          </w:p>
        </w:tc>
        <w:tc>
          <w:tcPr>
            <w:tcW w:w="640" w:type="pct"/>
            <w:vAlign w:val="center"/>
            <w:hideMark/>
          </w:tcPr>
          <w:p w14:paraId="11D3EEA3" w14:textId="77777777" w:rsidR="00297E57" w:rsidRPr="0039091F" w:rsidRDefault="00297E57" w:rsidP="000A5389">
            <w:pPr>
              <w:spacing w:line="240" w:lineRule="auto"/>
              <w:jc w:val="center"/>
              <w:rPr>
                <w:rFonts w:eastAsia="Times New Roman" w:cs="Times New Roman"/>
                <w:color w:val="000000"/>
                <w:sz w:val="18"/>
                <w:szCs w:val="18"/>
                <w:lang w:eastAsia="es-CO"/>
              </w:rPr>
            </w:pPr>
            <w:r w:rsidRPr="0039091F">
              <w:rPr>
                <w:rFonts w:eastAsia="Times New Roman" w:cs="Times New Roman"/>
                <w:color w:val="000000"/>
                <w:sz w:val="18"/>
                <w:szCs w:val="18"/>
                <w:lang w:eastAsia="es-CO"/>
              </w:rPr>
              <w:t>2</w:t>
            </w:r>
          </w:p>
        </w:tc>
      </w:tr>
      <w:tr w:rsidR="00297E57" w:rsidRPr="0039091F" w14:paraId="6DA3B5CC" w14:textId="77777777" w:rsidTr="0039091F">
        <w:trPr>
          <w:trHeight w:val="283"/>
        </w:trPr>
        <w:tc>
          <w:tcPr>
            <w:tcW w:w="229" w:type="pct"/>
            <w:vAlign w:val="center"/>
            <w:hideMark/>
          </w:tcPr>
          <w:p w14:paraId="0446018B" w14:textId="77777777" w:rsidR="00297E57" w:rsidRPr="0039091F" w:rsidRDefault="00297E57" w:rsidP="000A5389">
            <w:pPr>
              <w:spacing w:line="240" w:lineRule="auto"/>
              <w:jc w:val="center"/>
              <w:rPr>
                <w:rFonts w:eastAsia="Times New Roman" w:cs="Times New Roman"/>
                <w:color w:val="000000"/>
                <w:sz w:val="18"/>
                <w:szCs w:val="18"/>
                <w:lang w:eastAsia="es-CO"/>
              </w:rPr>
            </w:pPr>
            <w:r w:rsidRPr="0039091F">
              <w:rPr>
                <w:rFonts w:eastAsia="Times New Roman" w:cs="Times New Roman"/>
                <w:color w:val="000000"/>
                <w:sz w:val="18"/>
                <w:szCs w:val="18"/>
                <w:lang w:eastAsia="es-CO"/>
              </w:rPr>
              <w:t>38</w:t>
            </w:r>
          </w:p>
        </w:tc>
        <w:tc>
          <w:tcPr>
            <w:tcW w:w="777" w:type="pct"/>
            <w:vAlign w:val="center"/>
            <w:hideMark/>
          </w:tcPr>
          <w:p w14:paraId="0CB5E593" w14:textId="77777777" w:rsidR="00297E57" w:rsidRPr="0039091F" w:rsidRDefault="00297E57" w:rsidP="000A5389">
            <w:pPr>
              <w:spacing w:line="240" w:lineRule="auto"/>
              <w:rPr>
                <w:rFonts w:eastAsia="Times New Roman" w:cs="Times New Roman"/>
                <w:color w:val="000000"/>
                <w:sz w:val="18"/>
                <w:szCs w:val="18"/>
                <w:lang w:eastAsia="es-CO"/>
              </w:rPr>
            </w:pPr>
            <w:r w:rsidRPr="0039091F">
              <w:rPr>
                <w:rFonts w:eastAsia="Times New Roman" w:cs="Times New Roman"/>
                <w:color w:val="000000"/>
                <w:sz w:val="18"/>
                <w:szCs w:val="18"/>
                <w:lang w:eastAsia="es-CO"/>
              </w:rPr>
              <w:t>Eje 5 (Probidad, Ética e Identidad de lo Público)</w:t>
            </w:r>
          </w:p>
        </w:tc>
        <w:tc>
          <w:tcPr>
            <w:tcW w:w="1320" w:type="pct"/>
            <w:vAlign w:val="center"/>
            <w:hideMark/>
          </w:tcPr>
          <w:p w14:paraId="3934F518" w14:textId="77777777" w:rsidR="00297E57" w:rsidRPr="0039091F" w:rsidRDefault="00297E57" w:rsidP="000A5389">
            <w:pPr>
              <w:spacing w:line="240" w:lineRule="auto"/>
              <w:rPr>
                <w:rFonts w:eastAsia="Times New Roman" w:cs="Times New Roman"/>
                <w:color w:val="000000"/>
                <w:sz w:val="18"/>
                <w:szCs w:val="18"/>
                <w:lang w:eastAsia="es-CO"/>
              </w:rPr>
            </w:pPr>
            <w:r w:rsidRPr="0039091F">
              <w:rPr>
                <w:rFonts w:eastAsia="Times New Roman" w:cs="Times New Roman"/>
                <w:color w:val="000000"/>
                <w:sz w:val="18"/>
                <w:szCs w:val="18"/>
                <w:lang w:eastAsia="es-CO"/>
              </w:rPr>
              <w:t>Capacitación Inhabilidades, Incompatibilidad es y Conflicto de Interés como Falta Disciplinaria</w:t>
            </w:r>
          </w:p>
        </w:tc>
        <w:tc>
          <w:tcPr>
            <w:tcW w:w="1044" w:type="pct"/>
            <w:vAlign w:val="center"/>
            <w:hideMark/>
          </w:tcPr>
          <w:p w14:paraId="3FAB7881" w14:textId="77777777" w:rsidR="00297E57" w:rsidRPr="0039091F" w:rsidRDefault="00297E57" w:rsidP="000A5389">
            <w:pPr>
              <w:spacing w:line="240" w:lineRule="auto"/>
              <w:jc w:val="center"/>
              <w:rPr>
                <w:rFonts w:eastAsia="Times New Roman" w:cs="Times New Roman"/>
                <w:color w:val="000000"/>
                <w:sz w:val="18"/>
                <w:szCs w:val="18"/>
                <w:lang w:eastAsia="es-CO"/>
              </w:rPr>
            </w:pPr>
            <w:r w:rsidRPr="0039091F">
              <w:rPr>
                <w:rFonts w:eastAsia="Times New Roman" w:cs="Times New Roman"/>
                <w:color w:val="000000"/>
                <w:sz w:val="18"/>
                <w:szCs w:val="18"/>
                <w:lang w:eastAsia="es-CO"/>
              </w:rPr>
              <w:t>ANI</w:t>
            </w:r>
          </w:p>
        </w:tc>
        <w:tc>
          <w:tcPr>
            <w:tcW w:w="464" w:type="pct"/>
            <w:vAlign w:val="center"/>
            <w:hideMark/>
          </w:tcPr>
          <w:p w14:paraId="303ABE16" w14:textId="77777777" w:rsidR="00297E57" w:rsidRPr="0039091F" w:rsidRDefault="00297E57" w:rsidP="000A5389">
            <w:pPr>
              <w:spacing w:line="240" w:lineRule="auto"/>
              <w:jc w:val="center"/>
              <w:rPr>
                <w:rFonts w:eastAsia="Times New Roman" w:cs="Times New Roman"/>
                <w:color w:val="000000"/>
                <w:sz w:val="18"/>
                <w:szCs w:val="18"/>
                <w:lang w:eastAsia="es-CO"/>
              </w:rPr>
            </w:pPr>
            <w:r w:rsidRPr="0039091F">
              <w:rPr>
                <w:rFonts w:eastAsia="Times New Roman" w:cs="Times New Roman"/>
                <w:color w:val="000000"/>
                <w:sz w:val="18"/>
                <w:szCs w:val="18"/>
                <w:lang w:eastAsia="es-CO"/>
              </w:rPr>
              <w:t>30</w:t>
            </w:r>
          </w:p>
        </w:tc>
        <w:tc>
          <w:tcPr>
            <w:tcW w:w="527" w:type="pct"/>
            <w:vAlign w:val="center"/>
            <w:hideMark/>
          </w:tcPr>
          <w:p w14:paraId="589B27EF" w14:textId="77777777" w:rsidR="00297E57" w:rsidRPr="0039091F" w:rsidRDefault="00297E57" w:rsidP="000A5389">
            <w:pPr>
              <w:spacing w:line="240" w:lineRule="auto"/>
              <w:jc w:val="center"/>
              <w:rPr>
                <w:rFonts w:eastAsia="Times New Roman" w:cs="Times New Roman"/>
                <w:color w:val="000000"/>
                <w:sz w:val="18"/>
                <w:szCs w:val="18"/>
                <w:lang w:eastAsia="es-CO"/>
              </w:rPr>
            </w:pPr>
            <w:r w:rsidRPr="0039091F">
              <w:rPr>
                <w:rFonts w:eastAsia="Times New Roman" w:cs="Times New Roman"/>
                <w:color w:val="000000"/>
                <w:sz w:val="18"/>
                <w:szCs w:val="18"/>
                <w:lang w:eastAsia="es-CO"/>
              </w:rPr>
              <w:t>19 de junio</w:t>
            </w:r>
          </w:p>
        </w:tc>
        <w:tc>
          <w:tcPr>
            <w:tcW w:w="640" w:type="pct"/>
            <w:vAlign w:val="center"/>
            <w:hideMark/>
          </w:tcPr>
          <w:p w14:paraId="5357E2C6" w14:textId="77777777" w:rsidR="00297E57" w:rsidRPr="0039091F" w:rsidRDefault="00297E57" w:rsidP="000A5389">
            <w:pPr>
              <w:spacing w:line="240" w:lineRule="auto"/>
              <w:jc w:val="center"/>
              <w:rPr>
                <w:rFonts w:eastAsia="Times New Roman" w:cs="Times New Roman"/>
                <w:color w:val="000000"/>
                <w:sz w:val="18"/>
                <w:szCs w:val="18"/>
                <w:lang w:eastAsia="es-CO"/>
              </w:rPr>
            </w:pPr>
            <w:r w:rsidRPr="0039091F">
              <w:rPr>
                <w:rFonts w:eastAsia="Times New Roman" w:cs="Times New Roman"/>
                <w:color w:val="000000"/>
                <w:sz w:val="18"/>
                <w:szCs w:val="18"/>
                <w:lang w:eastAsia="es-CO"/>
              </w:rPr>
              <w:t>1</w:t>
            </w:r>
          </w:p>
        </w:tc>
      </w:tr>
      <w:tr w:rsidR="00297E57" w:rsidRPr="0039091F" w14:paraId="51ED5FE1" w14:textId="77777777" w:rsidTr="0039091F">
        <w:trPr>
          <w:trHeight w:val="283"/>
        </w:trPr>
        <w:tc>
          <w:tcPr>
            <w:tcW w:w="229" w:type="pct"/>
            <w:vAlign w:val="center"/>
            <w:hideMark/>
          </w:tcPr>
          <w:p w14:paraId="3C823438" w14:textId="77777777" w:rsidR="00297E57" w:rsidRPr="0039091F" w:rsidRDefault="00297E57" w:rsidP="000A5389">
            <w:pPr>
              <w:spacing w:line="240" w:lineRule="auto"/>
              <w:jc w:val="center"/>
              <w:rPr>
                <w:rFonts w:eastAsia="Times New Roman" w:cs="Times New Roman"/>
                <w:color w:val="000000"/>
                <w:sz w:val="18"/>
                <w:szCs w:val="18"/>
                <w:lang w:eastAsia="es-CO"/>
              </w:rPr>
            </w:pPr>
            <w:r w:rsidRPr="0039091F">
              <w:rPr>
                <w:rFonts w:eastAsia="Times New Roman" w:cs="Times New Roman"/>
                <w:color w:val="000000"/>
                <w:sz w:val="18"/>
                <w:szCs w:val="18"/>
                <w:lang w:eastAsia="es-CO"/>
              </w:rPr>
              <w:t>39</w:t>
            </w:r>
          </w:p>
        </w:tc>
        <w:tc>
          <w:tcPr>
            <w:tcW w:w="777" w:type="pct"/>
            <w:vAlign w:val="center"/>
            <w:hideMark/>
          </w:tcPr>
          <w:p w14:paraId="6A1A0B67" w14:textId="77777777" w:rsidR="00297E57" w:rsidRPr="0039091F" w:rsidRDefault="00297E57" w:rsidP="000A5389">
            <w:pPr>
              <w:spacing w:line="240" w:lineRule="auto"/>
              <w:rPr>
                <w:rFonts w:eastAsia="Times New Roman" w:cs="Times New Roman"/>
                <w:color w:val="000000"/>
                <w:sz w:val="18"/>
                <w:szCs w:val="18"/>
                <w:lang w:eastAsia="es-CO"/>
              </w:rPr>
            </w:pPr>
            <w:r w:rsidRPr="0039091F">
              <w:rPr>
                <w:rFonts w:eastAsia="Times New Roman" w:cs="Times New Roman"/>
                <w:color w:val="000000"/>
                <w:sz w:val="18"/>
                <w:szCs w:val="18"/>
                <w:lang w:eastAsia="es-CO"/>
              </w:rPr>
              <w:t>Seguridad y Salud en el Trabajo</w:t>
            </w:r>
          </w:p>
        </w:tc>
        <w:tc>
          <w:tcPr>
            <w:tcW w:w="1320" w:type="pct"/>
            <w:vAlign w:val="center"/>
            <w:hideMark/>
          </w:tcPr>
          <w:p w14:paraId="04345E11" w14:textId="77777777" w:rsidR="00297E57" w:rsidRPr="0039091F" w:rsidRDefault="00297E57" w:rsidP="000A5389">
            <w:pPr>
              <w:spacing w:line="240" w:lineRule="auto"/>
              <w:rPr>
                <w:rFonts w:eastAsia="Times New Roman" w:cs="Times New Roman"/>
                <w:color w:val="000000"/>
                <w:sz w:val="18"/>
                <w:szCs w:val="18"/>
                <w:lang w:eastAsia="es-CO"/>
              </w:rPr>
            </w:pPr>
            <w:r w:rsidRPr="0039091F">
              <w:rPr>
                <w:rFonts w:eastAsia="Times New Roman" w:cs="Times New Roman"/>
                <w:color w:val="000000"/>
                <w:sz w:val="18"/>
                <w:szCs w:val="18"/>
                <w:lang w:eastAsia="es-CO"/>
              </w:rPr>
              <w:t>Capacitación Prevención de la fatiga y</w:t>
            </w:r>
          </w:p>
        </w:tc>
        <w:tc>
          <w:tcPr>
            <w:tcW w:w="1044" w:type="pct"/>
            <w:vAlign w:val="center"/>
            <w:hideMark/>
          </w:tcPr>
          <w:p w14:paraId="68095803" w14:textId="77777777" w:rsidR="00297E57" w:rsidRPr="0039091F" w:rsidRDefault="00297E57" w:rsidP="000A5389">
            <w:pPr>
              <w:spacing w:line="240" w:lineRule="auto"/>
              <w:jc w:val="center"/>
              <w:rPr>
                <w:rFonts w:eastAsia="Times New Roman" w:cs="Times New Roman"/>
                <w:color w:val="000000"/>
                <w:sz w:val="18"/>
                <w:szCs w:val="18"/>
                <w:lang w:eastAsia="es-CO"/>
              </w:rPr>
            </w:pPr>
            <w:r w:rsidRPr="0039091F">
              <w:rPr>
                <w:rFonts w:eastAsia="Times New Roman" w:cs="Times New Roman"/>
                <w:color w:val="000000"/>
                <w:sz w:val="18"/>
                <w:szCs w:val="18"/>
                <w:lang w:eastAsia="es-CO"/>
              </w:rPr>
              <w:t>ARL POSITIVA</w:t>
            </w:r>
          </w:p>
        </w:tc>
        <w:tc>
          <w:tcPr>
            <w:tcW w:w="464" w:type="pct"/>
            <w:vAlign w:val="center"/>
            <w:hideMark/>
          </w:tcPr>
          <w:p w14:paraId="498260E0" w14:textId="77777777" w:rsidR="00297E57" w:rsidRPr="0039091F" w:rsidRDefault="00297E57" w:rsidP="000A5389">
            <w:pPr>
              <w:spacing w:line="240" w:lineRule="auto"/>
              <w:jc w:val="center"/>
              <w:rPr>
                <w:rFonts w:eastAsia="Times New Roman" w:cs="Times New Roman"/>
                <w:color w:val="000000"/>
                <w:sz w:val="18"/>
                <w:szCs w:val="18"/>
                <w:lang w:eastAsia="es-CO"/>
              </w:rPr>
            </w:pPr>
            <w:r w:rsidRPr="0039091F">
              <w:rPr>
                <w:rFonts w:eastAsia="Times New Roman" w:cs="Times New Roman"/>
                <w:color w:val="000000"/>
                <w:sz w:val="18"/>
                <w:szCs w:val="18"/>
                <w:lang w:eastAsia="es-CO"/>
              </w:rPr>
              <w:t>11</w:t>
            </w:r>
          </w:p>
        </w:tc>
        <w:tc>
          <w:tcPr>
            <w:tcW w:w="527" w:type="pct"/>
            <w:vAlign w:val="center"/>
            <w:hideMark/>
          </w:tcPr>
          <w:p w14:paraId="29CB5FE5" w14:textId="77777777" w:rsidR="00297E57" w:rsidRPr="0039091F" w:rsidRDefault="00297E57" w:rsidP="000A5389">
            <w:pPr>
              <w:spacing w:line="240" w:lineRule="auto"/>
              <w:jc w:val="center"/>
              <w:rPr>
                <w:rFonts w:eastAsia="Times New Roman" w:cs="Times New Roman"/>
                <w:color w:val="000000"/>
                <w:sz w:val="18"/>
                <w:szCs w:val="18"/>
                <w:lang w:eastAsia="es-CO"/>
              </w:rPr>
            </w:pPr>
            <w:r w:rsidRPr="0039091F">
              <w:rPr>
                <w:rFonts w:eastAsia="Times New Roman" w:cs="Times New Roman"/>
                <w:color w:val="000000"/>
                <w:sz w:val="18"/>
                <w:szCs w:val="18"/>
                <w:lang w:eastAsia="es-CO"/>
              </w:rPr>
              <w:t>24 de junio</w:t>
            </w:r>
          </w:p>
        </w:tc>
        <w:tc>
          <w:tcPr>
            <w:tcW w:w="640" w:type="pct"/>
            <w:vAlign w:val="center"/>
            <w:hideMark/>
          </w:tcPr>
          <w:p w14:paraId="7A2AAAF5" w14:textId="77777777" w:rsidR="00297E57" w:rsidRPr="0039091F" w:rsidRDefault="00297E57" w:rsidP="000A5389">
            <w:pPr>
              <w:spacing w:line="240" w:lineRule="auto"/>
              <w:jc w:val="center"/>
              <w:rPr>
                <w:rFonts w:eastAsia="Times New Roman" w:cs="Times New Roman"/>
                <w:color w:val="000000"/>
                <w:sz w:val="18"/>
                <w:szCs w:val="18"/>
                <w:lang w:eastAsia="es-CO"/>
              </w:rPr>
            </w:pPr>
            <w:r w:rsidRPr="0039091F">
              <w:rPr>
                <w:rFonts w:eastAsia="Times New Roman" w:cs="Times New Roman"/>
                <w:color w:val="000000"/>
                <w:sz w:val="18"/>
                <w:szCs w:val="18"/>
                <w:lang w:eastAsia="es-CO"/>
              </w:rPr>
              <w:t>1</w:t>
            </w:r>
          </w:p>
        </w:tc>
      </w:tr>
      <w:tr w:rsidR="00297E57" w:rsidRPr="0039091F" w14:paraId="08169C6C" w14:textId="77777777" w:rsidTr="0039091F">
        <w:trPr>
          <w:trHeight w:val="283"/>
        </w:trPr>
        <w:tc>
          <w:tcPr>
            <w:tcW w:w="229" w:type="pct"/>
            <w:vAlign w:val="center"/>
            <w:hideMark/>
          </w:tcPr>
          <w:p w14:paraId="1A8423B7" w14:textId="77777777" w:rsidR="00297E57" w:rsidRPr="0039091F" w:rsidRDefault="00297E57" w:rsidP="000A5389">
            <w:pPr>
              <w:spacing w:line="240" w:lineRule="auto"/>
              <w:jc w:val="center"/>
              <w:rPr>
                <w:rFonts w:eastAsia="Times New Roman" w:cs="Times New Roman"/>
                <w:color w:val="000000"/>
                <w:sz w:val="18"/>
                <w:szCs w:val="18"/>
                <w:lang w:eastAsia="es-CO"/>
              </w:rPr>
            </w:pPr>
            <w:r w:rsidRPr="0039091F">
              <w:rPr>
                <w:rFonts w:eastAsia="Times New Roman" w:cs="Times New Roman"/>
                <w:color w:val="000000"/>
                <w:sz w:val="18"/>
                <w:szCs w:val="18"/>
                <w:lang w:eastAsia="es-CO"/>
              </w:rPr>
              <w:t>40</w:t>
            </w:r>
          </w:p>
        </w:tc>
        <w:tc>
          <w:tcPr>
            <w:tcW w:w="777" w:type="pct"/>
            <w:vAlign w:val="center"/>
            <w:hideMark/>
          </w:tcPr>
          <w:p w14:paraId="5A5AE950" w14:textId="77777777" w:rsidR="00297E57" w:rsidRPr="0039091F" w:rsidRDefault="00297E57" w:rsidP="000A5389">
            <w:pPr>
              <w:spacing w:line="240" w:lineRule="auto"/>
              <w:rPr>
                <w:rFonts w:eastAsia="Times New Roman" w:cs="Times New Roman"/>
                <w:color w:val="000000"/>
                <w:sz w:val="18"/>
                <w:szCs w:val="18"/>
                <w:lang w:eastAsia="es-CO"/>
              </w:rPr>
            </w:pPr>
            <w:r w:rsidRPr="0039091F">
              <w:rPr>
                <w:rFonts w:eastAsia="Times New Roman" w:cs="Times New Roman"/>
                <w:color w:val="000000"/>
                <w:sz w:val="18"/>
                <w:szCs w:val="18"/>
                <w:lang w:eastAsia="es-CO"/>
              </w:rPr>
              <w:t>Seguridad y Salud en el Trabajo</w:t>
            </w:r>
          </w:p>
        </w:tc>
        <w:tc>
          <w:tcPr>
            <w:tcW w:w="1320" w:type="pct"/>
            <w:vAlign w:val="center"/>
            <w:hideMark/>
          </w:tcPr>
          <w:p w14:paraId="6CB586FD" w14:textId="77777777" w:rsidR="00297E57" w:rsidRPr="0039091F" w:rsidRDefault="00297E57" w:rsidP="000A5389">
            <w:pPr>
              <w:spacing w:line="240" w:lineRule="auto"/>
              <w:rPr>
                <w:rFonts w:eastAsia="Times New Roman" w:cs="Times New Roman"/>
                <w:color w:val="000000"/>
                <w:sz w:val="18"/>
                <w:szCs w:val="18"/>
                <w:lang w:eastAsia="es-CO"/>
              </w:rPr>
            </w:pPr>
            <w:r w:rsidRPr="0039091F">
              <w:rPr>
                <w:rFonts w:eastAsia="Times New Roman" w:cs="Times New Roman"/>
                <w:color w:val="000000"/>
                <w:sz w:val="18"/>
                <w:szCs w:val="18"/>
                <w:lang w:eastAsia="es-CO"/>
              </w:rPr>
              <w:t>Capacitación Control de incendios y manejo de extintores intermedios</w:t>
            </w:r>
          </w:p>
        </w:tc>
        <w:tc>
          <w:tcPr>
            <w:tcW w:w="1044" w:type="pct"/>
            <w:vAlign w:val="center"/>
            <w:hideMark/>
          </w:tcPr>
          <w:p w14:paraId="0B088B74" w14:textId="77777777" w:rsidR="00297E57" w:rsidRPr="0039091F" w:rsidRDefault="00297E57" w:rsidP="000A5389">
            <w:pPr>
              <w:spacing w:line="240" w:lineRule="auto"/>
              <w:jc w:val="center"/>
              <w:rPr>
                <w:rFonts w:eastAsia="Times New Roman" w:cs="Times New Roman"/>
                <w:color w:val="000000"/>
                <w:sz w:val="18"/>
                <w:szCs w:val="18"/>
                <w:lang w:eastAsia="es-CO"/>
              </w:rPr>
            </w:pPr>
            <w:r w:rsidRPr="0039091F">
              <w:rPr>
                <w:rFonts w:eastAsia="Times New Roman" w:cs="Times New Roman"/>
                <w:color w:val="000000"/>
                <w:sz w:val="18"/>
                <w:szCs w:val="18"/>
                <w:lang w:eastAsia="es-CO"/>
              </w:rPr>
              <w:t>ARL POSITIVA</w:t>
            </w:r>
          </w:p>
        </w:tc>
        <w:tc>
          <w:tcPr>
            <w:tcW w:w="464" w:type="pct"/>
            <w:vAlign w:val="center"/>
            <w:hideMark/>
          </w:tcPr>
          <w:p w14:paraId="61DA9836" w14:textId="77777777" w:rsidR="00297E57" w:rsidRPr="0039091F" w:rsidRDefault="00297E57" w:rsidP="000A5389">
            <w:pPr>
              <w:spacing w:line="240" w:lineRule="auto"/>
              <w:jc w:val="center"/>
              <w:rPr>
                <w:rFonts w:eastAsia="Times New Roman" w:cs="Times New Roman"/>
                <w:color w:val="000000"/>
                <w:sz w:val="18"/>
                <w:szCs w:val="18"/>
                <w:lang w:eastAsia="es-CO"/>
              </w:rPr>
            </w:pPr>
            <w:r w:rsidRPr="0039091F">
              <w:rPr>
                <w:rFonts w:eastAsia="Times New Roman" w:cs="Times New Roman"/>
                <w:color w:val="000000"/>
                <w:sz w:val="18"/>
                <w:szCs w:val="18"/>
                <w:lang w:eastAsia="es-CO"/>
              </w:rPr>
              <w:t>5</w:t>
            </w:r>
          </w:p>
        </w:tc>
        <w:tc>
          <w:tcPr>
            <w:tcW w:w="527" w:type="pct"/>
            <w:vAlign w:val="center"/>
            <w:hideMark/>
          </w:tcPr>
          <w:p w14:paraId="1A0E3CDE" w14:textId="77777777" w:rsidR="00297E57" w:rsidRPr="0039091F" w:rsidRDefault="00297E57" w:rsidP="000A5389">
            <w:pPr>
              <w:spacing w:line="240" w:lineRule="auto"/>
              <w:jc w:val="center"/>
              <w:rPr>
                <w:rFonts w:eastAsia="Times New Roman" w:cs="Times New Roman"/>
                <w:color w:val="000000"/>
                <w:sz w:val="18"/>
                <w:szCs w:val="18"/>
                <w:lang w:eastAsia="es-CO"/>
              </w:rPr>
            </w:pPr>
            <w:r w:rsidRPr="0039091F">
              <w:rPr>
                <w:rFonts w:eastAsia="Times New Roman" w:cs="Times New Roman"/>
                <w:color w:val="000000"/>
                <w:sz w:val="18"/>
                <w:szCs w:val="18"/>
                <w:lang w:eastAsia="es-CO"/>
              </w:rPr>
              <w:t>25 de junio</w:t>
            </w:r>
          </w:p>
        </w:tc>
        <w:tc>
          <w:tcPr>
            <w:tcW w:w="640" w:type="pct"/>
            <w:vAlign w:val="center"/>
            <w:hideMark/>
          </w:tcPr>
          <w:p w14:paraId="2F41BDAF" w14:textId="77777777" w:rsidR="00297E57" w:rsidRPr="0039091F" w:rsidRDefault="00297E57" w:rsidP="000A5389">
            <w:pPr>
              <w:spacing w:line="240" w:lineRule="auto"/>
              <w:jc w:val="center"/>
              <w:rPr>
                <w:rFonts w:eastAsia="Times New Roman" w:cs="Times New Roman"/>
                <w:color w:val="000000"/>
                <w:sz w:val="18"/>
                <w:szCs w:val="18"/>
                <w:lang w:eastAsia="es-CO"/>
              </w:rPr>
            </w:pPr>
            <w:r w:rsidRPr="0039091F">
              <w:rPr>
                <w:rFonts w:eastAsia="Times New Roman" w:cs="Times New Roman"/>
                <w:color w:val="000000"/>
                <w:sz w:val="18"/>
                <w:szCs w:val="18"/>
                <w:lang w:eastAsia="es-CO"/>
              </w:rPr>
              <w:t>1,3</w:t>
            </w:r>
          </w:p>
        </w:tc>
      </w:tr>
      <w:tr w:rsidR="00297E57" w:rsidRPr="0039091F" w14:paraId="6737677D" w14:textId="77777777" w:rsidTr="0039091F">
        <w:trPr>
          <w:trHeight w:val="283"/>
        </w:trPr>
        <w:tc>
          <w:tcPr>
            <w:tcW w:w="229" w:type="pct"/>
            <w:vAlign w:val="center"/>
            <w:hideMark/>
          </w:tcPr>
          <w:p w14:paraId="667B9766" w14:textId="77777777" w:rsidR="00297E57" w:rsidRPr="0039091F" w:rsidRDefault="00297E57" w:rsidP="000A5389">
            <w:pPr>
              <w:spacing w:line="240" w:lineRule="auto"/>
              <w:jc w:val="center"/>
              <w:rPr>
                <w:rFonts w:eastAsia="Times New Roman" w:cs="Times New Roman"/>
                <w:color w:val="000000"/>
                <w:sz w:val="18"/>
                <w:szCs w:val="18"/>
                <w:lang w:eastAsia="es-CO"/>
              </w:rPr>
            </w:pPr>
            <w:r w:rsidRPr="0039091F">
              <w:rPr>
                <w:rFonts w:eastAsia="Times New Roman" w:cs="Times New Roman"/>
                <w:color w:val="000000"/>
                <w:sz w:val="18"/>
                <w:szCs w:val="18"/>
                <w:lang w:eastAsia="es-CO"/>
              </w:rPr>
              <w:lastRenderedPageBreak/>
              <w:t>41</w:t>
            </w:r>
          </w:p>
        </w:tc>
        <w:tc>
          <w:tcPr>
            <w:tcW w:w="777" w:type="pct"/>
            <w:vAlign w:val="center"/>
            <w:hideMark/>
          </w:tcPr>
          <w:p w14:paraId="2E6C1ECA" w14:textId="77777777" w:rsidR="00297E57" w:rsidRPr="0039091F" w:rsidRDefault="00297E57" w:rsidP="000A5389">
            <w:pPr>
              <w:spacing w:line="240" w:lineRule="auto"/>
              <w:rPr>
                <w:rFonts w:eastAsia="Times New Roman" w:cs="Times New Roman"/>
                <w:color w:val="000000"/>
                <w:sz w:val="18"/>
                <w:szCs w:val="18"/>
                <w:lang w:eastAsia="es-CO"/>
              </w:rPr>
            </w:pPr>
            <w:r w:rsidRPr="0039091F">
              <w:rPr>
                <w:rFonts w:eastAsia="Times New Roman" w:cs="Times New Roman"/>
                <w:color w:val="000000"/>
                <w:sz w:val="18"/>
                <w:szCs w:val="18"/>
                <w:lang w:eastAsia="es-CO"/>
              </w:rPr>
              <w:t>Seguridad y Salud en el Trabajo</w:t>
            </w:r>
          </w:p>
        </w:tc>
        <w:tc>
          <w:tcPr>
            <w:tcW w:w="1320" w:type="pct"/>
            <w:vAlign w:val="center"/>
            <w:hideMark/>
          </w:tcPr>
          <w:p w14:paraId="04E5F318" w14:textId="77777777" w:rsidR="00297E57" w:rsidRPr="0039091F" w:rsidRDefault="00297E57" w:rsidP="000A5389">
            <w:pPr>
              <w:spacing w:line="240" w:lineRule="auto"/>
              <w:rPr>
                <w:rFonts w:eastAsia="Times New Roman" w:cs="Times New Roman"/>
                <w:color w:val="000000"/>
                <w:sz w:val="18"/>
                <w:szCs w:val="18"/>
                <w:lang w:eastAsia="es-CO"/>
              </w:rPr>
            </w:pPr>
            <w:r w:rsidRPr="0039091F">
              <w:rPr>
                <w:rFonts w:eastAsia="Times New Roman" w:cs="Times New Roman"/>
                <w:color w:val="000000"/>
                <w:sz w:val="18"/>
                <w:szCs w:val="18"/>
                <w:lang w:eastAsia="es-CO"/>
              </w:rPr>
              <w:t>Capacitación en Prevención de Lesiones deportivas</w:t>
            </w:r>
          </w:p>
        </w:tc>
        <w:tc>
          <w:tcPr>
            <w:tcW w:w="1044" w:type="pct"/>
            <w:vAlign w:val="center"/>
            <w:hideMark/>
          </w:tcPr>
          <w:p w14:paraId="04AB8CAE" w14:textId="77777777" w:rsidR="00297E57" w:rsidRPr="0039091F" w:rsidRDefault="00297E57" w:rsidP="000A5389">
            <w:pPr>
              <w:spacing w:line="240" w:lineRule="auto"/>
              <w:jc w:val="center"/>
              <w:rPr>
                <w:rFonts w:eastAsia="Times New Roman" w:cs="Times New Roman"/>
                <w:color w:val="000000"/>
                <w:sz w:val="18"/>
                <w:szCs w:val="18"/>
                <w:lang w:eastAsia="es-CO"/>
              </w:rPr>
            </w:pPr>
            <w:r w:rsidRPr="0039091F">
              <w:rPr>
                <w:rFonts w:eastAsia="Times New Roman" w:cs="Times New Roman"/>
                <w:color w:val="000000"/>
                <w:sz w:val="18"/>
                <w:szCs w:val="18"/>
                <w:lang w:eastAsia="es-CO"/>
              </w:rPr>
              <w:t>ANI</w:t>
            </w:r>
          </w:p>
        </w:tc>
        <w:tc>
          <w:tcPr>
            <w:tcW w:w="464" w:type="pct"/>
            <w:vAlign w:val="center"/>
            <w:hideMark/>
          </w:tcPr>
          <w:p w14:paraId="4440A216" w14:textId="77777777" w:rsidR="00297E57" w:rsidRPr="0039091F" w:rsidRDefault="00297E57" w:rsidP="000A5389">
            <w:pPr>
              <w:spacing w:line="240" w:lineRule="auto"/>
              <w:jc w:val="center"/>
              <w:rPr>
                <w:rFonts w:eastAsia="Times New Roman" w:cs="Times New Roman"/>
                <w:color w:val="000000"/>
                <w:sz w:val="18"/>
                <w:szCs w:val="18"/>
                <w:lang w:eastAsia="es-CO"/>
              </w:rPr>
            </w:pPr>
            <w:r w:rsidRPr="0039091F">
              <w:rPr>
                <w:rFonts w:eastAsia="Times New Roman" w:cs="Times New Roman"/>
                <w:color w:val="000000"/>
                <w:sz w:val="18"/>
                <w:szCs w:val="18"/>
                <w:lang w:eastAsia="es-CO"/>
              </w:rPr>
              <w:t>11</w:t>
            </w:r>
          </w:p>
        </w:tc>
        <w:tc>
          <w:tcPr>
            <w:tcW w:w="527" w:type="pct"/>
            <w:vAlign w:val="center"/>
            <w:hideMark/>
          </w:tcPr>
          <w:p w14:paraId="7E970CA4" w14:textId="77777777" w:rsidR="00297E57" w:rsidRPr="0039091F" w:rsidRDefault="00297E57" w:rsidP="000A5389">
            <w:pPr>
              <w:spacing w:line="240" w:lineRule="auto"/>
              <w:jc w:val="center"/>
              <w:rPr>
                <w:rFonts w:eastAsia="Times New Roman" w:cs="Times New Roman"/>
                <w:color w:val="000000"/>
                <w:sz w:val="18"/>
                <w:szCs w:val="18"/>
                <w:lang w:eastAsia="es-CO"/>
              </w:rPr>
            </w:pPr>
            <w:r w:rsidRPr="0039091F">
              <w:rPr>
                <w:rFonts w:eastAsia="Times New Roman" w:cs="Times New Roman"/>
                <w:color w:val="000000"/>
                <w:sz w:val="18"/>
                <w:szCs w:val="18"/>
                <w:lang w:eastAsia="es-CO"/>
              </w:rPr>
              <w:t>27 de junio</w:t>
            </w:r>
          </w:p>
        </w:tc>
        <w:tc>
          <w:tcPr>
            <w:tcW w:w="640" w:type="pct"/>
            <w:vAlign w:val="center"/>
            <w:hideMark/>
          </w:tcPr>
          <w:p w14:paraId="03CCE9F1" w14:textId="77777777" w:rsidR="00297E57" w:rsidRPr="0039091F" w:rsidRDefault="00297E57" w:rsidP="000A5389">
            <w:pPr>
              <w:spacing w:line="240" w:lineRule="auto"/>
              <w:jc w:val="center"/>
              <w:rPr>
                <w:rFonts w:eastAsia="Times New Roman" w:cs="Times New Roman"/>
                <w:color w:val="000000"/>
                <w:sz w:val="18"/>
                <w:szCs w:val="18"/>
                <w:lang w:eastAsia="es-CO"/>
              </w:rPr>
            </w:pPr>
            <w:r w:rsidRPr="0039091F">
              <w:rPr>
                <w:rFonts w:eastAsia="Times New Roman" w:cs="Times New Roman"/>
                <w:color w:val="000000"/>
                <w:sz w:val="18"/>
                <w:szCs w:val="18"/>
                <w:lang w:eastAsia="es-CO"/>
              </w:rPr>
              <w:t>1</w:t>
            </w:r>
          </w:p>
        </w:tc>
      </w:tr>
      <w:tr w:rsidR="00297E57" w:rsidRPr="0039091F" w14:paraId="1BCC70CA" w14:textId="77777777" w:rsidTr="0039091F">
        <w:trPr>
          <w:trHeight w:val="283"/>
        </w:trPr>
        <w:tc>
          <w:tcPr>
            <w:tcW w:w="229" w:type="pct"/>
            <w:vAlign w:val="center"/>
            <w:hideMark/>
          </w:tcPr>
          <w:p w14:paraId="538A154E" w14:textId="77777777" w:rsidR="00297E57" w:rsidRPr="0039091F" w:rsidRDefault="00297E57" w:rsidP="000A5389">
            <w:pPr>
              <w:spacing w:line="240" w:lineRule="auto"/>
              <w:jc w:val="center"/>
              <w:rPr>
                <w:rFonts w:eastAsia="Times New Roman" w:cs="Times New Roman"/>
                <w:color w:val="000000"/>
                <w:sz w:val="18"/>
                <w:szCs w:val="18"/>
                <w:lang w:eastAsia="es-CO"/>
              </w:rPr>
            </w:pPr>
            <w:r w:rsidRPr="0039091F">
              <w:rPr>
                <w:rFonts w:eastAsia="Times New Roman" w:cs="Times New Roman"/>
                <w:color w:val="000000"/>
                <w:sz w:val="18"/>
                <w:szCs w:val="18"/>
                <w:lang w:eastAsia="es-CO"/>
              </w:rPr>
              <w:t>42</w:t>
            </w:r>
          </w:p>
        </w:tc>
        <w:tc>
          <w:tcPr>
            <w:tcW w:w="777" w:type="pct"/>
            <w:vAlign w:val="center"/>
            <w:hideMark/>
          </w:tcPr>
          <w:p w14:paraId="73602494" w14:textId="77777777" w:rsidR="00297E57" w:rsidRPr="0039091F" w:rsidRDefault="00297E57" w:rsidP="000A5389">
            <w:pPr>
              <w:spacing w:line="240" w:lineRule="auto"/>
              <w:rPr>
                <w:rFonts w:eastAsia="Times New Roman" w:cs="Times New Roman"/>
                <w:color w:val="000000"/>
                <w:sz w:val="18"/>
                <w:szCs w:val="18"/>
                <w:lang w:eastAsia="es-CO"/>
              </w:rPr>
            </w:pPr>
            <w:r w:rsidRPr="0039091F">
              <w:rPr>
                <w:rFonts w:eastAsia="Times New Roman" w:cs="Times New Roman"/>
                <w:color w:val="000000"/>
                <w:sz w:val="18"/>
                <w:szCs w:val="18"/>
                <w:lang w:eastAsia="es-CO"/>
              </w:rPr>
              <w:t>Eje 1 (Paz Total, Memoria y Derechos Humanos)</w:t>
            </w:r>
          </w:p>
        </w:tc>
        <w:tc>
          <w:tcPr>
            <w:tcW w:w="1320" w:type="pct"/>
            <w:vAlign w:val="center"/>
            <w:hideMark/>
          </w:tcPr>
          <w:p w14:paraId="4A683A66" w14:textId="77777777" w:rsidR="00297E57" w:rsidRPr="0039091F" w:rsidRDefault="00297E57" w:rsidP="000A5389">
            <w:pPr>
              <w:spacing w:line="240" w:lineRule="auto"/>
              <w:rPr>
                <w:rFonts w:eastAsia="Times New Roman" w:cs="Times New Roman"/>
                <w:color w:val="000000"/>
                <w:sz w:val="18"/>
                <w:szCs w:val="18"/>
                <w:lang w:eastAsia="es-CO"/>
              </w:rPr>
            </w:pPr>
            <w:r w:rsidRPr="0039091F">
              <w:rPr>
                <w:rFonts w:eastAsia="Times New Roman" w:cs="Times New Roman"/>
                <w:color w:val="000000"/>
                <w:sz w:val="18"/>
                <w:szCs w:val="18"/>
                <w:lang w:eastAsia="es-CO"/>
              </w:rPr>
              <w:t>Curso Indicadores y Seguimiento a Políticas Públicas</w:t>
            </w:r>
          </w:p>
        </w:tc>
        <w:tc>
          <w:tcPr>
            <w:tcW w:w="1044" w:type="pct"/>
            <w:vAlign w:val="center"/>
            <w:hideMark/>
          </w:tcPr>
          <w:p w14:paraId="1B9545FB" w14:textId="77777777" w:rsidR="00297E57" w:rsidRPr="0039091F" w:rsidRDefault="00297E57" w:rsidP="000A5389">
            <w:pPr>
              <w:spacing w:line="240" w:lineRule="auto"/>
              <w:jc w:val="center"/>
              <w:rPr>
                <w:rFonts w:eastAsia="Times New Roman" w:cs="Times New Roman"/>
                <w:color w:val="000000"/>
                <w:sz w:val="18"/>
                <w:szCs w:val="18"/>
                <w:lang w:eastAsia="es-CO"/>
              </w:rPr>
            </w:pPr>
            <w:r w:rsidRPr="0039091F">
              <w:rPr>
                <w:rFonts w:eastAsia="Times New Roman" w:cs="Times New Roman"/>
                <w:color w:val="000000"/>
                <w:sz w:val="18"/>
                <w:szCs w:val="18"/>
                <w:lang w:eastAsia="es-CO"/>
              </w:rPr>
              <w:t>Universidad d Nacional de Colombia (UNAL)</w:t>
            </w:r>
          </w:p>
        </w:tc>
        <w:tc>
          <w:tcPr>
            <w:tcW w:w="464" w:type="pct"/>
            <w:vAlign w:val="center"/>
            <w:hideMark/>
          </w:tcPr>
          <w:p w14:paraId="48AA6960" w14:textId="77777777" w:rsidR="00297E57" w:rsidRPr="0039091F" w:rsidRDefault="00297E57" w:rsidP="000A5389">
            <w:pPr>
              <w:spacing w:line="240" w:lineRule="auto"/>
              <w:jc w:val="center"/>
              <w:rPr>
                <w:rFonts w:eastAsia="Times New Roman" w:cs="Times New Roman"/>
                <w:color w:val="000000"/>
                <w:sz w:val="18"/>
                <w:szCs w:val="18"/>
                <w:lang w:eastAsia="es-CO"/>
              </w:rPr>
            </w:pPr>
            <w:r w:rsidRPr="0039091F">
              <w:rPr>
                <w:rFonts w:eastAsia="Times New Roman" w:cs="Times New Roman"/>
                <w:color w:val="000000"/>
                <w:sz w:val="18"/>
                <w:szCs w:val="18"/>
                <w:lang w:eastAsia="es-CO"/>
              </w:rPr>
              <w:t>30 </w:t>
            </w:r>
          </w:p>
        </w:tc>
        <w:tc>
          <w:tcPr>
            <w:tcW w:w="527" w:type="pct"/>
            <w:vAlign w:val="center"/>
            <w:hideMark/>
          </w:tcPr>
          <w:p w14:paraId="4C9974BF" w14:textId="77777777" w:rsidR="00297E57" w:rsidRPr="0039091F" w:rsidRDefault="00297E57" w:rsidP="000A5389">
            <w:pPr>
              <w:spacing w:line="240" w:lineRule="auto"/>
              <w:jc w:val="center"/>
              <w:rPr>
                <w:rFonts w:eastAsia="Times New Roman" w:cs="Times New Roman"/>
                <w:color w:val="000000"/>
                <w:sz w:val="18"/>
                <w:szCs w:val="18"/>
                <w:lang w:eastAsia="es-CO"/>
              </w:rPr>
            </w:pPr>
            <w:r w:rsidRPr="0039091F">
              <w:rPr>
                <w:rFonts w:eastAsia="Times New Roman" w:cs="Times New Roman"/>
                <w:color w:val="000000"/>
                <w:sz w:val="18"/>
                <w:szCs w:val="18"/>
                <w:lang w:eastAsia="es-CO"/>
              </w:rPr>
              <w:t>11 al 30 de julio</w:t>
            </w:r>
          </w:p>
        </w:tc>
        <w:tc>
          <w:tcPr>
            <w:tcW w:w="640" w:type="pct"/>
            <w:vAlign w:val="center"/>
            <w:hideMark/>
          </w:tcPr>
          <w:p w14:paraId="36209A4E" w14:textId="77777777" w:rsidR="00297E57" w:rsidRPr="0039091F" w:rsidRDefault="00297E57" w:rsidP="000A5389">
            <w:pPr>
              <w:spacing w:line="240" w:lineRule="auto"/>
              <w:jc w:val="center"/>
              <w:rPr>
                <w:rFonts w:eastAsia="Times New Roman" w:cs="Times New Roman"/>
                <w:color w:val="000000"/>
                <w:sz w:val="18"/>
                <w:szCs w:val="18"/>
                <w:lang w:eastAsia="es-CO"/>
              </w:rPr>
            </w:pPr>
            <w:r w:rsidRPr="0039091F">
              <w:rPr>
                <w:rFonts w:eastAsia="Times New Roman" w:cs="Times New Roman"/>
                <w:color w:val="000000"/>
                <w:sz w:val="18"/>
                <w:szCs w:val="18"/>
                <w:lang w:eastAsia="es-CO"/>
              </w:rPr>
              <w:t>18</w:t>
            </w:r>
          </w:p>
        </w:tc>
      </w:tr>
      <w:tr w:rsidR="00297E57" w:rsidRPr="0039091F" w14:paraId="7674373C" w14:textId="77777777" w:rsidTr="0039091F">
        <w:trPr>
          <w:trHeight w:val="283"/>
        </w:trPr>
        <w:tc>
          <w:tcPr>
            <w:tcW w:w="229" w:type="pct"/>
            <w:vAlign w:val="center"/>
            <w:hideMark/>
          </w:tcPr>
          <w:p w14:paraId="0D0FAFAE" w14:textId="77777777" w:rsidR="00297E57" w:rsidRPr="0039091F" w:rsidRDefault="00297E57" w:rsidP="000A5389">
            <w:pPr>
              <w:spacing w:line="240" w:lineRule="auto"/>
              <w:jc w:val="center"/>
              <w:rPr>
                <w:rFonts w:eastAsia="Times New Roman" w:cs="Times New Roman"/>
                <w:color w:val="000000"/>
                <w:sz w:val="18"/>
                <w:szCs w:val="18"/>
                <w:lang w:eastAsia="es-CO"/>
              </w:rPr>
            </w:pPr>
            <w:r w:rsidRPr="0039091F">
              <w:rPr>
                <w:rFonts w:eastAsia="Times New Roman" w:cs="Times New Roman"/>
                <w:color w:val="000000"/>
                <w:sz w:val="18"/>
                <w:szCs w:val="18"/>
                <w:lang w:eastAsia="es-CO"/>
              </w:rPr>
              <w:t>43</w:t>
            </w:r>
          </w:p>
        </w:tc>
        <w:tc>
          <w:tcPr>
            <w:tcW w:w="777" w:type="pct"/>
            <w:vAlign w:val="center"/>
            <w:hideMark/>
          </w:tcPr>
          <w:p w14:paraId="2DD365D4" w14:textId="77777777" w:rsidR="00297E57" w:rsidRPr="0039091F" w:rsidRDefault="00297E57" w:rsidP="000A5389">
            <w:pPr>
              <w:spacing w:line="240" w:lineRule="auto"/>
              <w:rPr>
                <w:rFonts w:eastAsia="Times New Roman" w:cs="Times New Roman"/>
                <w:color w:val="000000"/>
                <w:sz w:val="18"/>
                <w:szCs w:val="18"/>
                <w:lang w:eastAsia="es-CO"/>
              </w:rPr>
            </w:pPr>
            <w:r w:rsidRPr="0039091F">
              <w:rPr>
                <w:rFonts w:eastAsia="Times New Roman" w:cs="Times New Roman"/>
                <w:color w:val="000000"/>
                <w:sz w:val="18"/>
                <w:szCs w:val="18"/>
                <w:lang w:eastAsia="es-CO"/>
              </w:rPr>
              <w:t>Eje 3 (Mujeres, inclusión y Diversidad) y Equidad de Genero</w:t>
            </w:r>
          </w:p>
        </w:tc>
        <w:tc>
          <w:tcPr>
            <w:tcW w:w="1320" w:type="pct"/>
            <w:vAlign w:val="center"/>
            <w:hideMark/>
          </w:tcPr>
          <w:p w14:paraId="21F631A9" w14:textId="77777777" w:rsidR="00297E57" w:rsidRPr="0039091F" w:rsidRDefault="00297E57" w:rsidP="000A5389">
            <w:pPr>
              <w:spacing w:line="240" w:lineRule="auto"/>
              <w:rPr>
                <w:rFonts w:eastAsia="Times New Roman" w:cs="Times New Roman"/>
                <w:color w:val="000000"/>
                <w:sz w:val="18"/>
                <w:szCs w:val="18"/>
                <w:lang w:eastAsia="es-CO"/>
              </w:rPr>
            </w:pPr>
            <w:r w:rsidRPr="0039091F">
              <w:rPr>
                <w:rFonts w:eastAsia="Times New Roman" w:cs="Times New Roman"/>
                <w:color w:val="000000"/>
                <w:sz w:val="18"/>
                <w:szCs w:val="18"/>
                <w:lang w:eastAsia="es-CO"/>
              </w:rPr>
              <w:t>Capacitación Corresponsabilidad y equidad en tareas no remuneradas o de cuidado: Nuevas Masculinidades</w:t>
            </w:r>
          </w:p>
        </w:tc>
        <w:tc>
          <w:tcPr>
            <w:tcW w:w="1044" w:type="pct"/>
            <w:vAlign w:val="center"/>
            <w:hideMark/>
          </w:tcPr>
          <w:p w14:paraId="7CDBEA58" w14:textId="77777777" w:rsidR="00297E57" w:rsidRPr="0039091F" w:rsidRDefault="00297E57" w:rsidP="000A5389">
            <w:pPr>
              <w:spacing w:line="240" w:lineRule="auto"/>
              <w:jc w:val="center"/>
              <w:rPr>
                <w:rFonts w:eastAsia="Times New Roman" w:cs="Times New Roman"/>
                <w:color w:val="000000"/>
                <w:sz w:val="18"/>
                <w:szCs w:val="18"/>
                <w:lang w:eastAsia="es-CO"/>
              </w:rPr>
            </w:pPr>
            <w:r w:rsidRPr="0039091F">
              <w:rPr>
                <w:rFonts w:eastAsia="Times New Roman" w:cs="Times New Roman"/>
                <w:color w:val="000000"/>
                <w:sz w:val="18"/>
                <w:szCs w:val="18"/>
                <w:lang w:eastAsia="es-CO"/>
              </w:rPr>
              <w:t>Ministerio de Igualdad y Equidad</w:t>
            </w:r>
          </w:p>
        </w:tc>
        <w:tc>
          <w:tcPr>
            <w:tcW w:w="464" w:type="pct"/>
            <w:vAlign w:val="center"/>
            <w:hideMark/>
          </w:tcPr>
          <w:p w14:paraId="1BBA3CE3" w14:textId="77777777" w:rsidR="00297E57" w:rsidRPr="0039091F" w:rsidRDefault="00297E57" w:rsidP="000A5389">
            <w:pPr>
              <w:spacing w:line="240" w:lineRule="auto"/>
              <w:jc w:val="center"/>
              <w:rPr>
                <w:rFonts w:eastAsia="Times New Roman" w:cs="Times New Roman"/>
                <w:color w:val="000000"/>
                <w:sz w:val="18"/>
                <w:szCs w:val="18"/>
                <w:lang w:eastAsia="es-CO"/>
              </w:rPr>
            </w:pPr>
            <w:r w:rsidRPr="0039091F">
              <w:rPr>
                <w:rFonts w:eastAsia="Times New Roman" w:cs="Times New Roman"/>
                <w:color w:val="000000"/>
                <w:sz w:val="18"/>
                <w:szCs w:val="18"/>
                <w:lang w:eastAsia="es-CO"/>
              </w:rPr>
              <w:t>15</w:t>
            </w:r>
          </w:p>
        </w:tc>
        <w:tc>
          <w:tcPr>
            <w:tcW w:w="527" w:type="pct"/>
            <w:vAlign w:val="center"/>
            <w:hideMark/>
          </w:tcPr>
          <w:p w14:paraId="52BEA150" w14:textId="77777777" w:rsidR="00297E57" w:rsidRPr="0039091F" w:rsidRDefault="00297E57" w:rsidP="000A5389">
            <w:pPr>
              <w:spacing w:line="240" w:lineRule="auto"/>
              <w:jc w:val="center"/>
              <w:rPr>
                <w:rFonts w:eastAsia="Times New Roman" w:cs="Times New Roman"/>
                <w:color w:val="000000"/>
                <w:sz w:val="18"/>
                <w:szCs w:val="18"/>
                <w:lang w:eastAsia="es-CO"/>
              </w:rPr>
            </w:pPr>
            <w:r w:rsidRPr="0039091F">
              <w:rPr>
                <w:rFonts w:eastAsia="Times New Roman" w:cs="Times New Roman"/>
                <w:color w:val="000000"/>
                <w:sz w:val="18"/>
                <w:szCs w:val="18"/>
                <w:lang w:eastAsia="es-CO"/>
              </w:rPr>
              <w:t>2 de julio</w:t>
            </w:r>
          </w:p>
        </w:tc>
        <w:tc>
          <w:tcPr>
            <w:tcW w:w="640" w:type="pct"/>
            <w:vAlign w:val="center"/>
            <w:hideMark/>
          </w:tcPr>
          <w:p w14:paraId="763F5386" w14:textId="77777777" w:rsidR="00297E57" w:rsidRPr="0039091F" w:rsidRDefault="00297E57" w:rsidP="000A5389">
            <w:pPr>
              <w:spacing w:line="240" w:lineRule="auto"/>
              <w:jc w:val="center"/>
              <w:rPr>
                <w:rFonts w:eastAsia="Times New Roman" w:cs="Times New Roman"/>
                <w:color w:val="000000"/>
                <w:sz w:val="18"/>
                <w:szCs w:val="18"/>
                <w:lang w:eastAsia="es-CO"/>
              </w:rPr>
            </w:pPr>
            <w:r w:rsidRPr="0039091F">
              <w:rPr>
                <w:rFonts w:eastAsia="Times New Roman" w:cs="Times New Roman"/>
                <w:color w:val="000000"/>
                <w:sz w:val="18"/>
                <w:szCs w:val="18"/>
                <w:lang w:eastAsia="es-CO"/>
              </w:rPr>
              <w:t>1,3 </w:t>
            </w:r>
          </w:p>
        </w:tc>
      </w:tr>
      <w:tr w:rsidR="00297E57" w:rsidRPr="0039091F" w14:paraId="0EE4C30B" w14:textId="77777777" w:rsidTr="0039091F">
        <w:trPr>
          <w:trHeight w:val="283"/>
        </w:trPr>
        <w:tc>
          <w:tcPr>
            <w:tcW w:w="229" w:type="pct"/>
            <w:vAlign w:val="center"/>
            <w:hideMark/>
          </w:tcPr>
          <w:p w14:paraId="6377E6DD" w14:textId="77777777" w:rsidR="00297E57" w:rsidRPr="0039091F" w:rsidRDefault="00297E57" w:rsidP="000A5389">
            <w:pPr>
              <w:spacing w:line="240" w:lineRule="auto"/>
              <w:jc w:val="center"/>
              <w:rPr>
                <w:rFonts w:eastAsia="Times New Roman" w:cs="Times New Roman"/>
                <w:color w:val="000000"/>
                <w:sz w:val="18"/>
                <w:szCs w:val="18"/>
                <w:lang w:eastAsia="es-CO"/>
              </w:rPr>
            </w:pPr>
            <w:r w:rsidRPr="0039091F">
              <w:rPr>
                <w:rFonts w:eastAsia="Times New Roman" w:cs="Times New Roman"/>
                <w:color w:val="000000"/>
                <w:sz w:val="18"/>
                <w:szCs w:val="18"/>
                <w:lang w:eastAsia="es-CO"/>
              </w:rPr>
              <w:t>44</w:t>
            </w:r>
          </w:p>
        </w:tc>
        <w:tc>
          <w:tcPr>
            <w:tcW w:w="777" w:type="pct"/>
            <w:vAlign w:val="center"/>
            <w:hideMark/>
          </w:tcPr>
          <w:p w14:paraId="09E0A60C" w14:textId="77777777" w:rsidR="00297E57" w:rsidRPr="0039091F" w:rsidRDefault="00297E57" w:rsidP="000A5389">
            <w:pPr>
              <w:spacing w:line="240" w:lineRule="auto"/>
              <w:rPr>
                <w:rFonts w:eastAsia="Times New Roman" w:cs="Times New Roman"/>
                <w:color w:val="000000"/>
                <w:sz w:val="18"/>
                <w:szCs w:val="18"/>
                <w:lang w:eastAsia="es-CO"/>
              </w:rPr>
            </w:pPr>
            <w:r w:rsidRPr="0039091F">
              <w:rPr>
                <w:rFonts w:eastAsia="Times New Roman" w:cs="Times New Roman"/>
                <w:color w:val="000000"/>
                <w:sz w:val="18"/>
                <w:szCs w:val="18"/>
                <w:lang w:eastAsia="es-CO"/>
              </w:rPr>
              <w:t>Seguridad y Salud en el Trabajo</w:t>
            </w:r>
          </w:p>
        </w:tc>
        <w:tc>
          <w:tcPr>
            <w:tcW w:w="1320" w:type="pct"/>
            <w:vAlign w:val="center"/>
            <w:hideMark/>
          </w:tcPr>
          <w:p w14:paraId="0A4ED435" w14:textId="77777777" w:rsidR="00297E57" w:rsidRPr="0039091F" w:rsidRDefault="00297E57" w:rsidP="000A5389">
            <w:pPr>
              <w:spacing w:line="240" w:lineRule="auto"/>
              <w:rPr>
                <w:rFonts w:eastAsia="Times New Roman" w:cs="Times New Roman"/>
                <w:color w:val="000000"/>
                <w:sz w:val="18"/>
                <w:szCs w:val="18"/>
                <w:lang w:eastAsia="es-CO"/>
              </w:rPr>
            </w:pPr>
            <w:r w:rsidRPr="0039091F">
              <w:rPr>
                <w:rFonts w:eastAsia="Times New Roman" w:cs="Times New Roman"/>
                <w:color w:val="000000"/>
                <w:sz w:val="18"/>
                <w:szCs w:val="18"/>
                <w:lang w:eastAsia="es-CO"/>
              </w:rPr>
              <w:t>Capacitación Pausas Activas en Teletrabajo</w:t>
            </w:r>
          </w:p>
        </w:tc>
        <w:tc>
          <w:tcPr>
            <w:tcW w:w="1044" w:type="pct"/>
            <w:vAlign w:val="center"/>
            <w:hideMark/>
          </w:tcPr>
          <w:p w14:paraId="0D2FB16D" w14:textId="77777777" w:rsidR="00297E57" w:rsidRPr="0039091F" w:rsidRDefault="00297E57" w:rsidP="000A5389">
            <w:pPr>
              <w:spacing w:line="240" w:lineRule="auto"/>
              <w:jc w:val="center"/>
              <w:rPr>
                <w:rFonts w:eastAsia="Times New Roman" w:cs="Times New Roman"/>
                <w:color w:val="000000"/>
                <w:sz w:val="18"/>
                <w:szCs w:val="18"/>
                <w:lang w:eastAsia="es-CO"/>
              </w:rPr>
            </w:pPr>
            <w:r w:rsidRPr="0039091F">
              <w:rPr>
                <w:rFonts w:eastAsia="Times New Roman" w:cs="Times New Roman"/>
                <w:color w:val="000000"/>
                <w:sz w:val="18"/>
                <w:szCs w:val="18"/>
                <w:lang w:eastAsia="es-CO"/>
              </w:rPr>
              <w:t>ANI</w:t>
            </w:r>
          </w:p>
        </w:tc>
        <w:tc>
          <w:tcPr>
            <w:tcW w:w="464" w:type="pct"/>
            <w:vAlign w:val="center"/>
            <w:hideMark/>
          </w:tcPr>
          <w:p w14:paraId="79B6509A" w14:textId="77777777" w:rsidR="00297E57" w:rsidRPr="0039091F" w:rsidRDefault="00297E57" w:rsidP="000A5389">
            <w:pPr>
              <w:spacing w:line="240" w:lineRule="auto"/>
              <w:jc w:val="center"/>
              <w:rPr>
                <w:rFonts w:eastAsia="Times New Roman" w:cs="Times New Roman"/>
                <w:color w:val="000000"/>
                <w:sz w:val="18"/>
                <w:szCs w:val="18"/>
                <w:lang w:eastAsia="es-CO"/>
              </w:rPr>
            </w:pPr>
            <w:r w:rsidRPr="0039091F">
              <w:rPr>
                <w:rFonts w:eastAsia="Times New Roman" w:cs="Times New Roman"/>
                <w:color w:val="000000"/>
                <w:sz w:val="18"/>
                <w:szCs w:val="18"/>
                <w:lang w:eastAsia="es-CO"/>
              </w:rPr>
              <w:t>28</w:t>
            </w:r>
          </w:p>
        </w:tc>
        <w:tc>
          <w:tcPr>
            <w:tcW w:w="527" w:type="pct"/>
            <w:vAlign w:val="center"/>
            <w:hideMark/>
          </w:tcPr>
          <w:p w14:paraId="623F1203" w14:textId="77777777" w:rsidR="00297E57" w:rsidRPr="0039091F" w:rsidRDefault="00297E57" w:rsidP="000A5389">
            <w:pPr>
              <w:spacing w:line="240" w:lineRule="auto"/>
              <w:jc w:val="center"/>
              <w:rPr>
                <w:rFonts w:eastAsia="Times New Roman" w:cs="Times New Roman"/>
                <w:color w:val="000000"/>
                <w:sz w:val="18"/>
                <w:szCs w:val="18"/>
                <w:lang w:eastAsia="es-CO"/>
              </w:rPr>
            </w:pPr>
            <w:r w:rsidRPr="0039091F">
              <w:rPr>
                <w:rFonts w:eastAsia="Times New Roman" w:cs="Times New Roman"/>
                <w:color w:val="000000"/>
                <w:sz w:val="18"/>
                <w:szCs w:val="18"/>
                <w:lang w:eastAsia="es-CO"/>
              </w:rPr>
              <w:t>4 de julio</w:t>
            </w:r>
          </w:p>
        </w:tc>
        <w:tc>
          <w:tcPr>
            <w:tcW w:w="640" w:type="pct"/>
            <w:vAlign w:val="center"/>
            <w:hideMark/>
          </w:tcPr>
          <w:p w14:paraId="28A2F6DA" w14:textId="77777777" w:rsidR="00297E57" w:rsidRPr="0039091F" w:rsidRDefault="00297E57" w:rsidP="000A5389">
            <w:pPr>
              <w:spacing w:line="240" w:lineRule="auto"/>
              <w:jc w:val="center"/>
              <w:rPr>
                <w:rFonts w:eastAsia="Times New Roman" w:cs="Times New Roman"/>
                <w:color w:val="000000"/>
                <w:sz w:val="18"/>
                <w:szCs w:val="18"/>
                <w:lang w:eastAsia="es-CO"/>
              </w:rPr>
            </w:pPr>
            <w:r w:rsidRPr="0039091F">
              <w:rPr>
                <w:rFonts w:eastAsia="Times New Roman" w:cs="Times New Roman"/>
                <w:color w:val="000000"/>
                <w:sz w:val="18"/>
                <w:szCs w:val="18"/>
                <w:lang w:eastAsia="es-CO"/>
              </w:rPr>
              <w:t>1</w:t>
            </w:r>
          </w:p>
        </w:tc>
      </w:tr>
      <w:tr w:rsidR="00297E57" w:rsidRPr="0039091F" w14:paraId="6525BF72" w14:textId="77777777" w:rsidTr="0039091F">
        <w:trPr>
          <w:trHeight w:val="283"/>
        </w:trPr>
        <w:tc>
          <w:tcPr>
            <w:tcW w:w="229" w:type="pct"/>
            <w:vAlign w:val="center"/>
            <w:hideMark/>
          </w:tcPr>
          <w:p w14:paraId="791B3929" w14:textId="77777777" w:rsidR="00297E57" w:rsidRPr="0039091F" w:rsidRDefault="00297E57" w:rsidP="000A5389">
            <w:pPr>
              <w:spacing w:line="240" w:lineRule="auto"/>
              <w:jc w:val="center"/>
              <w:rPr>
                <w:rFonts w:eastAsia="Times New Roman" w:cs="Times New Roman"/>
                <w:color w:val="000000"/>
                <w:sz w:val="18"/>
                <w:szCs w:val="18"/>
                <w:lang w:eastAsia="es-CO"/>
              </w:rPr>
            </w:pPr>
            <w:r w:rsidRPr="0039091F">
              <w:rPr>
                <w:rFonts w:eastAsia="Times New Roman" w:cs="Times New Roman"/>
                <w:color w:val="000000"/>
                <w:sz w:val="18"/>
                <w:szCs w:val="18"/>
                <w:lang w:eastAsia="es-CO"/>
              </w:rPr>
              <w:t>45</w:t>
            </w:r>
          </w:p>
        </w:tc>
        <w:tc>
          <w:tcPr>
            <w:tcW w:w="777" w:type="pct"/>
            <w:vAlign w:val="center"/>
            <w:hideMark/>
          </w:tcPr>
          <w:p w14:paraId="246CD4A1" w14:textId="77777777" w:rsidR="00297E57" w:rsidRPr="0039091F" w:rsidRDefault="00297E57" w:rsidP="000A5389">
            <w:pPr>
              <w:spacing w:line="240" w:lineRule="auto"/>
              <w:rPr>
                <w:rFonts w:eastAsia="Times New Roman" w:cs="Times New Roman"/>
                <w:color w:val="000000"/>
                <w:sz w:val="18"/>
                <w:szCs w:val="18"/>
                <w:lang w:eastAsia="es-CO"/>
              </w:rPr>
            </w:pPr>
            <w:r w:rsidRPr="0039091F">
              <w:rPr>
                <w:rFonts w:eastAsia="Times New Roman" w:cs="Times New Roman"/>
                <w:color w:val="000000"/>
                <w:sz w:val="18"/>
                <w:szCs w:val="18"/>
                <w:lang w:eastAsia="es-CO"/>
              </w:rPr>
              <w:t>Orfeo y Gestión Documental</w:t>
            </w:r>
          </w:p>
        </w:tc>
        <w:tc>
          <w:tcPr>
            <w:tcW w:w="1320" w:type="pct"/>
            <w:vAlign w:val="center"/>
            <w:hideMark/>
          </w:tcPr>
          <w:p w14:paraId="7E25EC57" w14:textId="77777777" w:rsidR="00297E57" w:rsidRPr="0039091F" w:rsidRDefault="00297E57" w:rsidP="000A5389">
            <w:pPr>
              <w:spacing w:line="240" w:lineRule="auto"/>
              <w:rPr>
                <w:rFonts w:eastAsia="Times New Roman" w:cs="Times New Roman"/>
                <w:color w:val="000000"/>
                <w:sz w:val="18"/>
                <w:szCs w:val="18"/>
                <w:lang w:eastAsia="es-CO"/>
              </w:rPr>
            </w:pPr>
            <w:r w:rsidRPr="0039091F">
              <w:rPr>
                <w:rFonts w:eastAsia="Times New Roman" w:cs="Times New Roman"/>
                <w:color w:val="000000"/>
                <w:sz w:val="18"/>
                <w:szCs w:val="18"/>
                <w:lang w:eastAsia="es-CO"/>
              </w:rPr>
              <w:t>Capacitación en Orfeo y Gestión Documental, dirigida a la Vicepresidencia de Gestión Corporativa</w:t>
            </w:r>
          </w:p>
        </w:tc>
        <w:tc>
          <w:tcPr>
            <w:tcW w:w="1044" w:type="pct"/>
            <w:vAlign w:val="center"/>
            <w:hideMark/>
          </w:tcPr>
          <w:p w14:paraId="0FE8CD3B" w14:textId="77777777" w:rsidR="00297E57" w:rsidRPr="0039091F" w:rsidRDefault="00297E57" w:rsidP="000A5389">
            <w:pPr>
              <w:spacing w:line="240" w:lineRule="auto"/>
              <w:jc w:val="center"/>
              <w:rPr>
                <w:rFonts w:eastAsia="Times New Roman" w:cs="Times New Roman"/>
                <w:color w:val="000000"/>
                <w:sz w:val="18"/>
                <w:szCs w:val="18"/>
                <w:lang w:eastAsia="es-CO"/>
              </w:rPr>
            </w:pPr>
            <w:r w:rsidRPr="0039091F">
              <w:rPr>
                <w:rFonts w:eastAsia="Times New Roman" w:cs="Times New Roman"/>
                <w:color w:val="000000"/>
                <w:sz w:val="18"/>
                <w:szCs w:val="18"/>
                <w:lang w:eastAsia="es-CO"/>
              </w:rPr>
              <w:t>ANI</w:t>
            </w:r>
          </w:p>
        </w:tc>
        <w:tc>
          <w:tcPr>
            <w:tcW w:w="464" w:type="pct"/>
            <w:vAlign w:val="center"/>
            <w:hideMark/>
          </w:tcPr>
          <w:p w14:paraId="7115FB37" w14:textId="77777777" w:rsidR="00297E57" w:rsidRPr="0039091F" w:rsidRDefault="00297E57" w:rsidP="000A5389">
            <w:pPr>
              <w:spacing w:line="240" w:lineRule="auto"/>
              <w:jc w:val="center"/>
              <w:rPr>
                <w:rFonts w:eastAsia="Times New Roman" w:cs="Times New Roman"/>
                <w:color w:val="000000"/>
                <w:sz w:val="18"/>
                <w:szCs w:val="18"/>
                <w:lang w:eastAsia="es-CO"/>
              </w:rPr>
            </w:pPr>
            <w:r w:rsidRPr="0039091F">
              <w:rPr>
                <w:rFonts w:eastAsia="Times New Roman" w:cs="Times New Roman"/>
                <w:color w:val="000000"/>
                <w:sz w:val="18"/>
                <w:szCs w:val="18"/>
                <w:lang w:eastAsia="es-CO"/>
              </w:rPr>
              <w:t>20</w:t>
            </w:r>
          </w:p>
        </w:tc>
        <w:tc>
          <w:tcPr>
            <w:tcW w:w="527" w:type="pct"/>
            <w:vAlign w:val="center"/>
            <w:hideMark/>
          </w:tcPr>
          <w:p w14:paraId="73536251" w14:textId="77777777" w:rsidR="00297E57" w:rsidRPr="0039091F" w:rsidRDefault="00297E57" w:rsidP="000A5389">
            <w:pPr>
              <w:spacing w:line="240" w:lineRule="auto"/>
              <w:jc w:val="center"/>
              <w:rPr>
                <w:rFonts w:eastAsia="Times New Roman" w:cs="Times New Roman"/>
                <w:color w:val="000000"/>
                <w:sz w:val="18"/>
                <w:szCs w:val="18"/>
                <w:lang w:eastAsia="es-CO"/>
              </w:rPr>
            </w:pPr>
            <w:r w:rsidRPr="0039091F">
              <w:rPr>
                <w:rFonts w:eastAsia="Times New Roman" w:cs="Times New Roman"/>
                <w:color w:val="000000"/>
                <w:sz w:val="18"/>
                <w:szCs w:val="18"/>
                <w:lang w:eastAsia="es-CO"/>
              </w:rPr>
              <w:t>7 de julio</w:t>
            </w:r>
          </w:p>
        </w:tc>
        <w:tc>
          <w:tcPr>
            <w:tcW w:w="640" w:type="pct"/>
            <w:vAlign w:val="center"/>
            <w:hideMark/>
          </w:tcPr>
          <w:p w14:paraId="60EFA8A6" w14:textId="77777777" w:rsidR="00297E57" w:rsidRPr="0039091F" w:rsidRDefault="00297E57" w:rsidP="000A5389">
            <w:pPr>
              <w:spacing w:line="240" w:lineRule="auto"/>
              <w:jc w:val="center"/>
              <w:rPr>
                <w:rFonts w:eastAsia="Times New Roman" w:cs="Times New Roman"/>
                <w:color w:val="000000"/>
                <w:sz w:val="18"/>
                <w:szCs w:val="18"/>
                <w:lang w:eastAsia="es-CO"/>
              </w:rPr>
            </w:pPr>
            <w:r w:rsidRPr="0039091F">
              <w:rPr>
                <w:rFonts w:eastAsia="Times New Roman" w:cs="Times New Roman"/>
                <w:color w:val="000000"/>
                <w:sz w:val="18"/>
                <w:szCs w:val="18"/>
                <w:lang w:eastAsia="es-CO"/>
              </w:rPr>
              <w:t>2</w:t>
            </w:r>
          </w:p>
        </w:tc>
      </w:tr>
      <w:tr w:rsidR="00297E57" w:rsidRPr="0039091F" w14:paraId="3BCC07E1" w14:textId="77777777" w:rsidTr="0039091F">
        <w:trPr>
          <w:trHeight w:val="283"/>
        </w:trPr>
        <w:tc>
          <w:tcPr>
            <w:tcW w:w="229" w:type="pct"/>
            <w:vAlign w:val="center"/>
            <w:hideMark/>
          </w:tcPr>
          <w:p w14:paraId="742E5BC4" w14:textId="77777777" w:rsidR="00297E57" w:rsidRPr="0039091F" w:rsidRDefault="00297E57" w:rsidP="000A5389">
            <w:pPr>
              <w:spacing w:line="240" w:lineRule="auto"/>
              <w:jc w:val="center"/>
              <w:rPr>
                <w:rFonts w:eastAsia="Times New Roman" w:cs="Times New Roman"/>
                <w:color w:val="000000"/>
                <w:sz w:val="18"/>
                <w:szCs w:val="18"/>
                <w:lang w:eastAsia="es-CO"/>
              </w:rPr>
            </w:pPr>
            <w:r w:rsidRPr="0039091F">
              <w:rPr>
                <w:rFonts w:eastAsia="Times New Roman" w:cs="Times New Roman"/>
                <w:color w:val="000000"/>
                <w:sz w:val="18"/>
                <w:szCs w:val="18"/>
                <w:lang w:eastAsia="es-CO"/>
              </w:rPr>
              <w:t>46</w:t>
            </w:r>
          </w:p>
        </w:tc>
        <w:tc>
          <w:tcPr>
            <w:tcW w:w="777" w:type="pct"/>
            <w:vAlign w:val="center"/>
            <w:hideMark/>
          </w:tcPr>
          <w:p w14:paraId="318368DD" w14:textId="77777777" w:rsidR="00297E57" w:rsidRPr="0039091F" w:rsidRDefault="00297E57" w:rsidP="000A5389">
            <w:pPr>
              <w:spacing w:line="240" w:lineRule="auto"/>
              <w:rPr>
                <w:rFonts w:eastAsia="Times New Roman" w:cs="Times New Roman"/>
                <w:color w:val="000000"/>
                <w:sz w:val="18"/>
                <w:szCs w:val="18"/>
                <w:lang w:eastAsia="es-CO"/>
              </w:rPr>
            </w:pPr>
            <w:r w:rsidRPr="0039091F">
              <w:rPr>
                <w:rFonts w:eastAsia="Times New Roman" w:cs="Times New Roman"/>
                <w:color w:val="000000"/>
                <w:sz w:val="18"/>
                <w:szCs w:val="18"/>
                <w:lang w:eastAsia="es-CO"/>
              </w:rPr>
              <w:t>Habilidades y Conocimientos</w:t>
            </w:r>
          </w:p>
        </w:tc>
        <w:tc>
          <w:tcPr>
            <w:tcW w:w="1320" w:type="pct"/>
            <w:vAlign w:val="center"/>
            <w:hideMark/>
          </w:tcPr>
          <w:p w14:paraId="195AA71A" w14:textId="77777777" w:rsidR="00297E57" w:rsidRPr="0039091F" w:rsidRDefault="00297E57" w:rsidP="000A5389">
            <w:pPr>
              <w:spacing w:line="240" w:lineRule="auto"/>
              <w:rPr>
                <w:rFonts w:eastAsia="Times New Roman" w:cs="Times New Roman"/>
                <w:color w:val="000000"/>
                <w:sz w:val="18"/>
                <w:szCs w:val="18"/>
                <w:lang w:eastAsia="es-CO"/>
              </w:rPr>
            </w:pPr>
            <w:r w:rsidRPr="0039091F">
              <w:rPr>
                <w:rFonts w:eastAsia="Times New Roman" w:cs="Times New Roman"/>
                <w:color w:val="000000"/>
                <w:sz w:val="18"/>
                <w:szCs w:val="18"/>
                <w:lang w:eastAsia="es-CO"/>
              </w:rPr>
              <w:t>Capacitación Innovación Organizacional en la Gestión de Proyectos de Infraestructura</w:t>
            </w:r>
          </w:p>
        </w:tc>
        <w:tc>
          <w:tcPr>
            <w:tcW w:w="1044" w:type="pct"/>
            <w:vAlign w:val="center"/>
            <w:hideMark/>
          </w:tcPr>
          <w:p w14:paraId="45C9487E" w14:textId="77777777" w:rsidR="00297E57" w:rsidRPr="0039091F" w:rsidRDefault="00297E57" w:rsidP="000A5389">
            <w:pPr>
              <w:spacing w:line="240" w:lineRule="auto"/>
              <w:jc w:val="center"/>
              <w:rPr>
                <w:rFonts w:eastAsia="Times New Roman" w:cs="Times New Roman"/>
                <w:color w:val="000000"/>
                <w:sz w:val="18"/>
                <w:szCs w:val="18"/>
                <w:lang w:eastAsia="es-CO"/>
              </w:rPr>
            </w:pPr>
            <w:r w:rsidRPr="0039091F">
              <w:rPr>
                <w:rFonts w:eastAsia="Times New Roman" w:cs="Times New Roman"/>
                <w:color w:val="000000"/>
                <w:sz w:val="18"/>
                <w:szCs w:val="18"/>
                <w:lang w:eastAsia="es-CO"/>
              </w:rPr>
              <w:t> ANI</w:t>
            </w:r>
          </w:p>
        </w:tc>
        <w:tc>
          <w:tcPr>
            <w:tcW w:w="464" w:type="pct"/>
            <w:vAlign w:val="center"/>
            <w:hideMark/>
          </w:tcPr>
          <w:p w14:paraId="55EEDE84" w14:textId="77777777" w:rsidR="00297E57" w:rsidRPr="0039091F" w:rsidRDefault="00297E57" w:rsidP="000A5389">
            <w:pPr>
              <w:spacing w:line="240" w:lineRule="auto"/>
              <w:jc w:val="center"/>
              <w:rPr>
                <w:rFonts w:eastAsia="Times New Roman" w:cs="Times New Roman"/>
                <w:color w:val="000000"/>
                <w:sz w:val="18"/>
                <w:szCs w:val="18"/>
                <w:lang w:eastAsia="es-CO"/>
              </w:rPr>
            </w:pPr>
            <w:r w:rsidRPr="0039091F">
              <w:rPr>
                <w:rFonts w:eastAsia="Times New Roman" w:cs="Times New Roman"/>
                <w:color w:val="000000"/>
                <w:sz w:val="18"/>
                <w:szCs w:val="18"/>
                <w:lang w:eastAsia="es-CO"/>
              </w:rPr>
              <w:t>14</w:t>
            </w:r>
          </w:p>
        </w:tc>
        <w:tc>
          <w:tcPr>
            <w:tcW w:w="527" w:type="pct"/>
            <w:vAlign w:val="center"/>
            <w:hideMark/>
          </w:tcPr>
          <w:p w14:paraId="47DB5880" w14:textId="77777777" w:rsidR="00297E57" w:rsidRPr="0039091F" w:rsidRDefault="00297E57" w:rsidP="000A5389">
            <w:pPr>
              <w:spacing w:line="240" w:lineRule="auto"/>
              <w:jc w:val="center"/>
              <w:rPr>
                <w:rFonts w:eastAsia="Times New Roman" w:cs="Times New Roman"/>
                <w:color w:val="000000"/>
                <w:sz w:val="18"/>
                <w:szCs w:val="18"/>
                <w:lang w:eastAsia="es-CO"/>
              </w:rPr>
            </w:pPr>
            <w:r w:rsidRPr="0039091F">
              <w:rPr>
                <w:rFonts w:eastAsia="Times New Roman" w:cs="Times New Roman"/>
                <w:color w:val="000000"/>
                <w:sz w:val="18"/>
                <w:szCs w:val="18"/>
                <w:lang w:eastAsia="es-CO"/>
              </w:rPr>
              <w:t>10 de julio</w:t>
            </w:r>
          </w:p>
        </w:tc>
        <w:tc>
          <w:tcPr>
            <w:tcW w:w="640" w:type="pct"/>
            <w:vAlign w:val="center"/>
            <w:hideMark/>
          </w:tcPr>
          <w:p w14:paraId="44DF0B94" w14:textId="77777777" w:rsidR="00297E57" w:rsidRPr="0039091F" w:rsidRDefault="00297E57" w:rsidP="000A5389">
            <w:pPr>
              <w:spacing w:line="240" w:lineRule="auto"/>
              <w:jc w:val="center"/>
              <w:rPr>
                <w:rFonts w:eastAsia="Times New Roman" w:cs="Times New Roman"/>
                <w:color w:val="000000"/>
                <w:sz w:val="18"/>
                <w:szCs w:val="18"/>
                <w:lang w:eastAsia="es-CO"/>
              </w:rPr>
            </w:pPr>
            <w:r w:rsidRPr="0039091F">
              <w:rPr>
                <w:rFonts w:eastAsia="Times New Roman" w:cs="Times New Roman"/>
                <w:color w:val="000000"/>
                <w:sz w:val="18"/>
                <w:szCs w:val="18"/>
                <w:lang w:eastAsia="es-CO"/>
              </w:rPr>
              <w:t>1</w:t>
            </w:r>
          </w:p>
        </w:tc>
      </w:tr>
      <w:tr w:rsidR="00297E57" w:rsidRPr="0039091F" w14:paraId="5DFBF677" w14:textId="77777777" w:rsidTr="0039091F">
        <w:trPr>
          <w:trHeight w:val="283"/>
        </w:trPr>
        <w:tc>
          <w:tcPr>
            <w:tcW w:w="229" w:type="pct"/>
            <w:vAlign w:val="center"/>
            <w:hideMark/>
          </w:tcPr>
          <w:p w14:paraId="1D5717C9" w14:textId="77777777" w:rsidR="00297E57" w:rsidRPr="0039091F" w:rsidRDefault="00297E57" w:rsidP="000A5389">
            <w:pPr>
              <w:spacing w:line="240" w:lineRule="auto"/>
              <w:jc w:val="center"/>
              <w:rPr>
                <w:rFonts w:eastAsia="Times New Roman" w:cs="Times New Roman"/>
                <w:color w:val="000000"/>
                <w:sz w:val="18"/>
                <w:szCs w:val="18"/>
                <w:lang w:eastAsia="es-CO"/>
              </w:rPr>
            </w:pPr>
            <w:r w:rsidRPr="0039091F">
              <w:rPr>
                <w:rFonts w:eastAsia="Times New Roman" w:cs="Times New Roman"/>
                <w:color w:val="000000"/>
                <w:sz w:val="18"/>
                <w:szCs w:val="18"/>
                <w:lang w:eastAsia="es-CO"/>
              </w:rPr>
              <w:t>47</w:t>
            </w:r>
          </w:p>
        </w:tc>
        <w:tc>
          <w:tcPr>
            <w:tcW w:w="777" w:type="pct"/>
            <w:vAlign w:val="center"/>
            <w:hideMark/>
          </w:tcPr>
          <w:p w14:paraId="313833B7" w14:textId="77777777" w:rsidR="00297E57" w:rsidRPr="0039091F" w:rsidRDefault="00297E57" w:rsidP="000A5389">
            <w:pPr>
              <w:spacing w:line="240" w:lineRule="auto"/>
              <w:rPr>
                <w:rFonts w:eastAsia="Times New Roman" w:cs="Times New Roman"/>
                <w:color w:val="000000"/>
                <w:sz w:val="18"/>
                <w:szCs w:val="18"/>
                <w:lang w:eastAsia="es-CO"/>
              </w:rPr>
            </w:pPr>
            <w:r w:rsidRPr="0039091F">
              <w:rPr>
                <w:rFonts w:eastAsia="Times New Roman" w:cs="Times New Roman"/>
                <w:color w:val="000000"/>
                <w:sz w:val="18"/>
                <w:szCs w:val="18"/>
                <w:lang w:eastAsia="es-CO"/>
              </w:rPr>
              <w:t>Eje 2 (Territorio, Vida y Ambiente)</w:t>
            </w:r>
          </w:p>
        </w:tc>
        <w:tc>
          <w:tcPr>
            <w:tcW w:w="1320" w:type="pct"/>
            <w:vAlign w:val="center"/>
            <w:hideMark/>
          </w:tcPr>
          <w:p w14:paraId="5424C813" w14:textId="77777777" w:rsidR="00297E57" w:rsidRPr="0039091F" w:rsidRDefault="00297E57" w:rsidP="000A5389">
            <w:pPr>
              <w:spacing w:line="240" w:lineRule="auto"/>
              <w:rPr>
                <w:rFonts w:eastAsia="Times New Roman" w:cs="Times New Roman"/>
                <w:color w:val="000000"/>
                <w:sz w:val="18"/>
                <w:szCs w:val="18"/>
                <w:lang w:eastAsia="es-CO"/>
              </w:rPr>
            </w:pPr>
            <w:r w:rsidRPr="0039091F">
              <w:rPr>
                <w:rFonts w:eastAsia="Times New Roman" w:cs="Times New Roman"/>
                <w:color w:val="000000"/>
                <w:sz w:val="18"/>
                <w:szCs w:val="18"/>
                <w:lang w:eastAsia="es-CO"/>
              </w:rPr>
              <w:t>Capacitación en Economía Circular</w:t>
            </w:r>
          </w:p>
        </w:tc>
        <w:tc>
          <w:tcPr>
            <w:tcW w:w="1044" w:type="pct"/>
            <w:vAlign w:val="center"/>
            <w:hideMark/>
          </w:tcPr>
          <w:p w14:paraId="221C5D84" w14:textId="77777777" w:rsidR="00297E57" w:rsidRPr="0039091F" w:rsidRDefault="00297E57" w:rsidP="000A5389">
            <w:pPr>
              <w:spacing w:line="240" w:lineRule="auto"/>
              <w:jc w:val="center"/>
              <w:rPr>
                <w:rFonts w:eastAsia="Times New Roman" w:cs="Times New Roman"/>
                <w:color w:val="000000"/>
                <w:sz w:val="18"/>
                <w:szCs w:val="18"/>
                <w:lang w:eastAsia="es-CO"/>
              </w:rPr>
            </w:pPr>
            <w:r w:rsidRPr="0039091F">
              <w:rPr>
                <w:rFonts w:eastAsia="Times New Roman" w:cs="Times New Roman"/>
                <w:color w:val="000000"/>
                <w:sz w:val="18"/>
                <w:szCs w:val="18"/>
                <w:lang w:eastAsia="es-CO"/>
              </w:rPr>
              <w:t>Secretaría Distrital de Ambiente (SDA)</w:t>
            </w:r>
          </w:p>
        </w:tc>
        <w:tc>
          <w:tcPr>
            <w:tcW w:w="464" w:type="pct"/>
            <w:vAlign w:val="center"/>
            <w:hideMark/>
          </w:tcPr>
          <w:p w14:paraId="353C57E9" w14:textId="77777777" w:rsidR="00297E57" w:rsidRPr="0039091F" w:rsidRDefault="00297E57" w:rsidP="000A5389">
            <w:pPr>
              <w:spacing w:line="240" w:lineRule="auto"/>
              <w:jc w:val="center"/>
              <w:rPr>
                <w:rFonts w:eastAsia="Times New Roman" w:cs="Times New Roman"/>
                <w:color w:val="000000"/>
                <w:sz w:val="18"/>
                <w:szCs w:val="18"/>
                <w:lang w:eastAsia="es-CO"/>
              </w:rPr>
            </w:pPr>
            <w:r w:rsidRPr="0039091F">
              <w:rPr>
                <w:rFonts w:eastAsia="Times New Roman" w:cs="Times New Roman"/>
                <w:color w:val="000000"/>
                <w:sz w:val="18"/>
                <w:szCs w:val="18"/>
                <w:lang w:eastAsia="es-CO"/>
              </w:rPr>
              <w:t>10</w:t>
            </w:r>
          </w:p>
        </w:tc>
        <w:tc>
          <w:tcPr>
            <w:tcW w:w="527" w:type="pct"/>
            <w:vAlign w:val="center"/>
            <w:hideMark/>
          </w:tcPr>
          <w:p w14:paraId="67056002" w14:textId="77777777" w:rsidR="00297E57" w:rsidRPr="0039091F" w:rsidRDefault="00297E57" w:rsidP="000A5389">
            <w:pPr>
              <w:spacing w:line="240" w:lineRule="auto"/>
              <w:jc w:val="center"/>
              <w:rPr>
                <w:rFonts w:eastAsia="Times New Roman" w:cs="Times New Roman"/>
                <w:color w:val="000000"/>
                <w:sz w:val="18"/>
                <w:szCs w:val="18"/>
                <w:lang w:eastAsia="es-CO"/>
              </w:rPr>
            </w:pPr>
            <w:r w:rsidRPr="0039091F">
              <w:rPr>
                <w:rFonts w:eastAsia="Times New Roman" w:cs="Times New Roman"/>
                <w:color w:val="000000"/>
                <w:sz w:val="18"/>
                <w:szCs w:val="18"/>
                <w:lang w:eastAsia="es-CO"/>
              </w:rPr>
              <w:t>10 de julio</w:t>
            </w:r>
          </w:p>
        </w:tc>
        <w:tc>
          <w:tcPr>
            <w:tcW w:w="640" w:type="pct"/>
            <w:vAlign w:val="center"/>
            <w:hideMark/>
          </w:tcPr>
          <w:p w14:paraId="544108D0" w14:textId="77777777" w:rsidR="00297E57" w:rsidRPr="0039091F" w:rsidRDefault="00297E57" w:rsidP="000A5389">
            <w:pPr>
              <w:spacing w:line="240" w:lineRule="auto"/>
              <w:jc w:val="center"/>
              <w:rPr>
                <w:rFonts w:eastAsia="Times New Roman" w:cs="Times New Roman"/>
                <w:color w:val="000000"/>
                <w:sz w:val="18"/>
                <w:szCs w:val="18"/>
                <w:lang w:eastAsia="es-CO"/>
              </w:rPr>
            </w:pPr>
            <w:r w:rsidRPr="0039091F">
              <w:rPr>
                <w:rFonts w:eastAsia="Times New Roman" w:cs="Times New Roman"/>
                <w:color w:val="000000"/>
                <w:sz w:val="18"/>
                <w:szCs w:val="18"/>
                <w:lang w:eastAsia="es-CO"/>
              </w:rPr>
              <w:t>1</w:t>
            </w:r>
          </w:p>
        </w:tc>
      </w:tr>
      <w:tr w:rsidR="00297E57" w:rsidRPr="0039091F" w14:paraId="1F8197BE" w14:textId="77777777" w:rsidTr="0039091F">
        <w:trPr>
          <w:trHeight w:val="283"/>
        </w:trPr>
        <w:tc>
          <w:tcPr>
            <w:tcW w:w="229" w:type="pct"/>
            <w:vAlign w:val="center"/>
            <w:hideMark/>
          </w:tcPr>
          <w:p w14:paraId="262B2A71" w14:textId="77777777" w:rsidR="00297E57" w:rsidRPr="0039091F" w:rsidRDefault="00297E57" w:rsidP="000A5389">
            <w:pPr>
              <w:spacing w:line="240" w:lineRule="auto"/>
              <w:jc w:val="center"/>
              <w:rPr>
                <w:rFonts w:eastAsia="Times New Roman" w:cs="Times New Roman"/>
                <w:color w:val="000000"/>
                <w:sz w:val="18"/>
                <w:szCs w:val="18"/>
                <w:lang w:eastAsia="es-CO"/>
              </w:rPr>
            </w:pPr>
            <w:r w:rsidRPr="0039091F">
              <w:rPr>
                <w:rFonts w:eastAsia="Times New Roman" w:cs="Times New Roman"/>
                <w:color w:val="000000"/>
                <w:sz w:val="18"/>
                <w:szCs w:val="18"/>
                <w:lang w:eastAsia="es-CO"/>
              </w:rPr>
              <w:t>48</w:t>
            </w:r>
          </w:p>
        </w:tc>
        <w:tc>
          <w:tcPr>
            <w:tcW w:w="777" w:type="pct"/>
            <w:vAlign w:val="center"/>
            <w:hideMark/>
          </w:tcPr>
          <w:p w14:paraId="61080A83" w14:textId="77777777" w:rsidR="00297E57" w:rsidRPr="0039091F" w:rsidRDefault="00297E57" w:rsidP="000A5389">
            <w:pPr>
              <w:spacing w:line="240" w:lineRule="auto"/>
              <w:rPr>
                <w:rFonts w:eastAsia="Times New Roman" w:cs="Times New Roman"/>
                <w:color w:val="000000"/>
                <w:sz w:val="18"/>
                <w:szCs w:val="18"/>
                <w:lang w:eastAsia="es-CO"/>
              </w:rPr>
            </w:pPr>
            <w:r w:rsidRPr="0039091F">
              <w:rPr>
                <w:rFonts w:eastAsia="Times New Roman" w:cs="Times New Roman"/>
                <w:color w:val="000000"/>
                <w:sz w:val="18"/>
                <w:szCs w:val="18"/>
                <w:lang w:eastAsia="es-CO"/>
              </w:rPr>
              <w:t>Seguridad y Salud en el Trabajo</w:t>
            </w:r>
          </w:p>
        </w:tc>
        <w:tc>
          <w:tcPr>
            <w:tcW w:w="1320" w:type="pct"/>
            <w:vAlign w:val="center"/>
            <w:hideMark/>
          </w:tcPr>
          <w:p w14:paraId="0C883F26" w14:textId="77777777" w:rsidR="00297E57" w:rsidRPr="0039091F" w:rsidRDefault="00297E57" w:rsidP="000A5389">
            <w:pPr>
              <w:spacing w:line="240" w:lineRule="auto"/>
              <w:rPr>
                <w:rFonts w:eastAsia="Times New Roman" w:cs="Times New Roman"/>
                <w:color w:val="000000"/>
                <w:sz w:val="18"/>
                <w:szCs w:val="18"/>
                <w:lang w:eastAsia="es-CO"/>
              </w:rPr>
            </w:pPr>
            <w:r w:rsidRPr="0039091F">
              <w:rPr>
                <w:rFonts w:eastAsia="Times New Roman" w:cs="Times New Roman"/>
                <w:color w:val="000000"/>
                <w:sz w:val="18"/>
                <w:szCs w:val="18"/>
                <w:lang w:eastAsia="es-CO"/>
              </w:rPr>
              <w:t>Capacitación Prevención Acoso Sexual</w:t>
            </w:r>
          </w:p>
        </w:tc>
        <w:tc>
          <w:tcPr>
            <w:tcW w:w="1044" w:type="pct"/>
            <w:vAlign w:val="center"/>
            <w:hideMark/>
          </w:tcPr>
          <w:p w14:paraId="61EB5C6F" w14:textId="77777777" w:rsidR="00297E57" w:rsidRPr="0039091F" w:rsidRDefault="00297E57" w:rsidP="000A5389">
            <w:pPr>
              <w:spacing w:line="240" w:lineRule="auto"/>
              <w:jc w:val="center"/>
              <w:rPr>
                <w:rFonts w:eastAsia="Times New Roman" w:cs="Times New Roman"/>
                <w:color w:val="000000"/>
                <w:sz w:val="18"/>
                <w:szCs w:val="18"/>
                <w:lang w:eastAsia="es-CO"/>
              </w:rPr>
            </w:pPr>
            <w:r w:rsidRPr="0039091F">
              <w:rPr>
                <w:rFonts w:eastAsia="Times New Roman" w:cs="Times New Roman"/>
                <w:color w:val="000000"/>
                <w:sz w:val="18"/>
                <w:szCs w:val="18"/>
                <w:lang w:eastAsia="es-CO"/>
              </w:rPr>
              <w:t>ARL POSITIVA</w:t>
            </w:r>
          </w:p>
        </w:tc>
        <w:tc>
          <w:tcPr>
            <w:tcW w:w="464" w:type="pct"/>
            <w:vAlign w:val="center"/>
            <w:hideMark/>
          </w:tcPr>
          <w:p w14:paraId="1D46010B" w14:textId="77777777" w:rsidR="00297E57" w:rsidRPr="0039091F" w:rsidRDefault="00297E57" w:rsidP="000A5389">
            <w:pPr>
              <w:spacing w:line="240" w:lineRule="auto"/>
              <w:jc w:val="center"/>
              <w:rPr>
                <w:rFonts w:eastAsia="Times New Roman" w:cs="Times New Roman"/>
                <w:color w:val="000000"/>
                <w:sz w:val="18"/>
                <w:szCs w:val="18"/>
                <w:lang w:eastAsia="es-CO"/>
              </w:rPr>
            </w:pPr>
            <w:r w:rsidRPr="0039091F">
              <w:rPr>
                <w:rFonts w:eastAsia="Times New Roman" w:cs="Times New Roman"/>
                <w:color w:val="000000"/>
                <w:sz w:val="18"/>
                <w:szCs w:val="18"/>
                <w:lang w:eastAsia="es-CO"/>
              </w:rPr>
              <w:t>17</w:t>
            </w:r>
          </w:p>
        </w:tc>
        <w:tc>
          <w:tcPr>
            <w:tcW w:w="527" w:type="pct"/>
            <w:vAlign w:val="center"/>
            <w:hideMark/>
          </w:tcPr>
          <w:p w14:paraId="21A2B9FF" w14:textId="77777777" w:rsidR="00297E57" w:rsidRPr="0039091F" w:rsidRDefault="00297E57" w:rsidP="000A5389">
            <w:pPr>
              <w:spacing w:line="240" w:lineRule="auto"/>
              <w:jc w:val="center"/>
              <w:rPr>
                <w:rFonts w:eastAsia="Times New Roman" w:cs="Times New Roman"/>
                <w:color w:val="000000"/>
                <w:sz w:val="18"/>
                <w:szCs w:val="18"/>
                <w:lang w:eastAsia="es-CO"/>
              </w:rPr>
            </w:pPr>
            <w:r w:rsidRPr="0039091F">
              <w:rPr>
                <w:rFonts w:eastAsia="Times New Roman" w:cs="Times New Roman"/>
                <w:color w:val="000000"/>
                <w:sz w:val="18"/>
                <w:szCs w:val="18"/>
                <w:lang w:eastAsia="es-CO"/>
              </w:rPr>
              <w:t>16 de julio</w:t>
            </w:r>
          </w:p>
        </w:tc>
        <w:tc>
          <w:tcPr>
            <w:tcW w:w="640" w:type="pct"/>
            <w:vAlign w:val="center"/>
            <w:hideMark/>
          </w:tcPr>
          <w:p w14:paraId="7AC62B8C" w14:textId="77777777" w:rsidR="00297E57" w:rsidRPr="0039091F" w:rsidRDefault="00297E57" w:rsidP="000A5389">
            <w:pPr>
              <w:spacing w:line="240" w:lineRule="auto"/>
              <w:jc w:val="center"/>
              <w:rPr>
                <w:rFonts w:eastAsia="Times New Roman" w:cs="Times New Roman"/>
                <w:color w:val="000000"/>
                <w:sz w:val="18"/>
                <w:szCs w:val="18"/>
                <w:lang w:eastAsia="es-CO"/>
              </w:rPr>
            </w:pPr>
            <w:r w:rsidRPr="0039091F">
              <w:rPr>
                <w:rFonts w:eastAsia="Times New Roman" w:cs="Times New Roman"/>
                <w:color w:val="000000"/>
                <w:sz w:val="18"/>
                <w:szCs w:val="18"/>
                <w:lang w:eastAsia="es-CO"/>
              </w:rPr>
              <w:t>0,45</w:t>
            </w:r>
          </w:p>
        </w:tc>
      </w:tr>
      <w:tr w:rsidR="00297E57" w:rsidRPr="0039091F" w14:paraId="1320BECC" w14:textId="77777777" w:rsidTr="0039091F">
        <w:trPr>
          <w:trHeight w:val="283"/>
        </w:trPr>
        <w:tc>
          <w:tcPr>
            <w:tcW w:w="229" w:type="pct"/>
            <w:vAlign w:val="center"/>
            <w:hideMark/>
          </w:tcPr>
          <w:p w14:paraId="49A70D7E" w14:textId="77777777" w:rsidR="00297E57" w:rsidRPr="0039091F" w:rsidRDefault="00297E57" w:rsidP="000A5389">
            <w:pPr>
              <w:spacing w:line="240" w:lineRule="auto"/>
              <w:jc w:val="center"/>
              <w:rPr>
                <w:rFonts w:eastAsia="Times New Roman" w:cs="Times New Roman"/>
                <w:color w:val="000000"/>
                <w:sz w:val="18"/>
                <w:szCs w:val="18"/>
                <w:lang w:eastAsia="es-CO"/>
              </w:rPr>
            </w:pPr>
            <w:r w:rsidRPr="0039091F">
              <w:rPr>
                <w:rFonts w:eastAsia="Times New Roman" w:cs="Times New Roman"/>
                <w:color w:val="000000"/>
                <w:sz w:val="18"/>
                <w:szCs w:val="18"/>
                <w:lang w:eastAsia="es-CO"/>
              </w:rPr>
              <w:t>49</w:t>
            </w:r>
          </w:p>
        </w:tc>
        <w:tc>
          <w:tcPr>
            <w:tcW w:w="777" w:type="pct"/>
            <w:vAlign w:val="center"/>
            <w:hideMark/>
          </w:tcPr>
          <w:p w14:paraId="28BD80D4" w14:textId="77777777" w:rsidR="00297E57" w:rsidRPr="0039091F" w:rsidRDefault="00297E57" w:rsidP="000A5389">
            <w:pPr>
              <w:spacing w:line="240" w:lineRule="auto"/>
              <w:rPr>
                <w:rFonts w:eastAsia="Times New Roman" w:cs="Times New Roman"/>
                <w:color w:val="000000"/>
                <w:sz w:val="18"/>
                <w:szCs w:val="18"/>
                <w:lang w:eastAsia="es-CO"/>
              </w:rPr>
            </w:pPr>
            <w:r w:rsidRPr="0039091F">
              <w:rPr>
                <w:rFonts w:eastAsia="Times New Roman" w:cs="Times New Roman"/>
                <w:color w:val="000000"/>
                <w:sz w:val="18"/>
                <w:szCs w:val="18"/>
                <w:lang w:eastAsia="es-CO"/>
              </w:rPr>
              <w:t>Eje 2 (Territorio, Vida y Ambiente) y Ambiental</w:t>
            </w:r>
          </w:p>
        </w:tc>
        <w:tc>
          <w:tcPr>
            <w:tcW w:w="1320" w:type="pct"/>
            <w:vAlign w:val="center"/>
            <w:hideMark/>
          </w:tcPr>
          <w:p w14:paraId="090407A1" w14:textId="77777777" w:rsidR="00297E57" w:rsidRPr="0039091F" w:rsidRDefault="00297E57" w:rsidP="000A5389">
            <w:pPr>
              <w:spacing w:line="240" w:lineRule="auto"/>
              <w:rPr>
                <w:rFonts w:eastAsia="Times New Roman" w:cs="Times New Roman"/>
                <w:color w:val="000000"/>
                <w:sz w:val="18"/>
                <w:szCs w:val="18"/>
                <w:lang w:eastAsia="es-CO"/>
              </w:rPr>
            </w:pPr>
            <w:r w:rsidRPr="0039091F">
              <w:rPr>
                <w:rFonts w:eastAsia="Times New Roman" w:cs="Times New Roman"/>
                <w:color w:val="000000"/>
                <w:sz w:val="18"/>
                <w:szCs w:val="18"/>
                <w:lang w:eastAsia="es-CO"/>
              </w:rPr>
              <w:t>Capacitación en Practicas Sostenibles- Sede Montevideo</w:t>
            </w:r>
          </w:p>
        </w:tc>
        <w:tc>
          <w:tcPr>
            <w:tcW w:w="1044" w:type="pct"/>
            <w:vAlign w:val="center"/>
            <w:hideMark/>
          </w:tcPr>
          <w:p w14:paraId="7AA57151" w14:textId="77777777" w:rsidR="00297E57" w:rsidRPr="0039091F" w:rsidRDefault="00297E57" w:rsidP="000A5389">
            <w:pPr>
              <w:spacing w:line="240" w:lineRule="auto"/>
              <w:jc w:val="center"/>
              <w:rPr>
                <w:rFonts w:eastAsia="Times New Roman" w:cs="Times New Roman"/>
                <w:color w:val="000000"/>
                <w:sz w:val="18"/>
                <w:szCs w:val="18"/>
                <w:lang w:eastAsia="es-CO"/>
              </w:rPr>
            </w:pPr>
            <w:r w:rsidRPr="0039091F">
              <w:rPr>
                <w:rFonts w:eastAsia="Times New Roman" w:cs="Times New Roman"/>
                <w:color w:val="000000"/>
                <w:sz w:val="18"/>
                <w:szCs w:val="18"/>
                <w:lang w:eastAsia="es-CO"/>
              </w:rPr>
              <w:t>Secretaría Distrital de Ambiente (SDA)</w:t>
            </w:r>
          </w:p>
        </w:tc>
        <w:tc>
          <w:tcPr>
            <w:tcW w:w="464" w:type="pct"/>
            <w:vAlign w:val="center"/>
            <w:hideMark/>
          </w:tcPr>
          <w:p w14:paraId="37F93BB8" w14:textId="77777777" w:rsidR="00297E57" w:rsidRPr="0039091F" w:rsidRDefault="00297E57" w:rsidP="000A5389">
            <w:pPr>
              <w:spacing w:line="240" w:lineRule="auto"/>
              <w:jc w:val="center"/>
              <w:rPr>
                <w:rFonts w:eastAsia="Times New Roman" w:cs="Times New Roman"/>
                <w:color w:val="000000"/>
                <w:sz w:val="18"/>
                <w:szCs w:val="18"/>
                <w:lang w:eastAsia="es-CO"/>
              </w:rPr>
            </w:pPr>
            <w:r w:rsidRPr="0039091F">
              <w:rPr>
                <w:rFonts w:eastAsia="Times New Roman" w:cs="Times New Roman"/>
                <w:color w:val="000000"/>
                <w:sz w:val="18"/>
                <w:szCs w:val="18"/>
                <w:lang w:eastAsia="es-CO"/>
              </w:rPr>
              <w:t>9</w:t>
            </w:r>
          </w:p>
        </w:tc>
        <w:tc>
          <w:tcPr>
            <w:tcW w:w="527" w:type="pct"/>
            <w:vAlign w:val="center"/>
            <w:hideMark/>
          </w:tcPr>
          <w:p w14:paraId="6F74CF18" w14:textId="77777777" w:rsidR="00297E57" w:rsidRPr="0039091F" w:rsidRDefault="00297E57" w:rsidP="000A5389">
            <w:pPr>
              <w:spacing w:line="240" w:lineRule="auto"/>
              <w:jc w:val="center"/>
              <w:rPr>
                <w:rFonts w:cs="Times New Roman"/>
                <w:sz w:val="18"/>
                <w:szCs w:val="18"/>
                <w:lang w:eastAsia="es-CO"/>
              </w:rPr>
            </w:pPr>
            <w:r w:rsidRPr="0039091F">
              <w:rPr>
                <w:rFonts w:eastAsia="Times New Roman" w:cs="Times New Roman"/>
                <w:color w:val="000000"/>
                <w:sz w:val="18"/>
                <w:szCs w:val="18"/>
                <w:lang w:eastAsia="es-CO"/>
              </w:rPr>
              <w:t>18 de julio</w:t>
            </w:r>
          </w:p>
        </w:tc>
        <w:tc>
          <w:tcPr>
            <w:tcW w:w="640" w:type="pct"/>
            <w:vAlign w:val="center"/>
            <w:hideMark/>
          </w:tcPr>
          <w:p w14:paraId="6F39AFF8" w14:textId="77777777" w:rsidR="00297E57" w:rsidRPr="0039091F" w:rsidRDefault="00297E57" w:rsidP="000A5389">
            <w:pPr>
              <w:spacing w:line="240" w:lineRule="auto"/>
              <w:jc w:val="center"/>
              <w:rPr>
                <w:rFonts w:eastAsia="Times New Roman" w:cs="Times New Roman"/>
                <w:color w:val="000000"/>
                <w:sz w:val="18"/>
                <w:szCs w:val="18"/>
                <w:lang w:eastAsia="es-CO"/>
              </w:rPr>
            </w:pPr>
            <w:r w:rsidRPr="0039091F">
              <w:rPr>
                <w:rFonts w:eastAsia="Times New Roman" w:cs="Times New Roman"/>
                <w:color w:val="000000"/>
                <w:sz w:val="18"/>
                <w:szCs w:val="18"/>
                <w:lang w:eastAsia="es-CO"/>
              </w:rPr>
              <w:t>1</w:t>
            </w:r>
          </w:p>
        </w:tc>
      </w:tr>
      <w:tr w:rsidR="00297E57" w:rsidRPr="0039091F" w14:paraId="4B17922D" w14:textId="77777777" w:rsidTr="0039091F">
        <w:trPr>
          <w:trHeight w:val="283"/>
        </w:trPr>
        <w:tc>
          <w:tcPr>
            <w:tcW w:w="229" w:type="pct"/>
            <w:vAlign w:val="center"/>
            <w:hideMark/>
          </w:tcPr>
          <w:p w14:paraId="6A445BC4" w14:textId="77777777" w:rsidR="00297E57" w:rsidRPr="0039091F" w:rsidRDefault="00297E57" w:rsidP="000A5389">
            <w:pPr>
              <w:spacing w:line="240" w:lineRule="auto"/>
              <w:jc w:val="center"/>
              <w:rPr>
                <w:rFonts w:eastAsia="Times New Roman" w:cs="Times New Roman"/>
                <w:color w:val="000000"/>
                <w:sz w:val="18"/>
                <w:szCs w:val="18"/>
                <w:lang w:eastAsia="es-CO"/>
              </w:rPr>
            </w:pPr>
            <w:r w:rsidRPr="0039091F">
              <w:rPr>
                <w:rFonts w:eastAsia="Times New Roman" w:cs="Times New Roman"/>
                <w:color w:val="000000"/>
                <w:sz w:val="18"/>
                <w:szCs w:val="18"/>
                <w:lang w:eastAsia="es-CO"/>
              </w:rPr>
              <w:t>50</w:t>
            </w:r>
          </w:p>
        </w:tc>
        <w:tc>
          <w:tcPr>
            <w:tcW w:w="777" w:type="pct"/>
            <w:vAlign w:val="center"/>
            <w:hideMark/>
          </w:tcPr>
          <w:p w14:paraId="5B816F3A" w14:textId="77777777" w:rsidR="00297E57" w:rsidRPr="0039091F" w:rsidRDefault="00297E57" w:rsidP="000A5389">
            <w:pPr>
              <w:spacing w:line="240" w:lineRule="auto"/>
              <w:rPr>
                <w:rFonts w:eastAsia="Times New Roman" w:cs="Times New Roman"/>
                <w:color w:val="000000"/>
                <w:sz w:val="18"/>
                <w:szCs w:val="18"/>
                <w:lang w:eastAsia="es-CO"/>
              </w:rPr>
            </w:pPr>
            <w:r w:rsidRPr="0039091F">
              <w:rPr>
                <w:rFonts w:eastAsia="Times New Roman" w:cs="Times New Roman"/>
                <w:color w:val="000000"/>
                <w:sz w:val="18"/>
                <w:szCs w:val="18"/>
                <w:lang w:eastAsia="es-CO"/>
              </w:rPr>
              <w:t>Habilidades y Conocimientos</w:t>
            </w:r>
          </w:p>
        </w:tc>
        <w:tc>
          <w:tcPr>
            <w:tcW w:w="1320" w:type="pct"/>
            <w:vAlign w:val="center"/>
            <w:hideMark/>
          </w:tcPr>
          <w:p w14:paraId="0F94FC09" w14:textId="77777777" w:rsidR="00297E57" w:rsidRPr="0039091F" w:rsidRDefault="00297E57" w:rsidP="000A5389">
            <w:pPr>
              <w:spacing w:line="240" w:lineRule="auto"/>
              <w:rPr>
                <w:rFonts w:eastAsia="Times New Roman" w:cs="Times New Roman"/>
                <w:color w:val="000000"/>
                <w:sz w:val="18"/>
                <w:szCs w:val="18"/>
                <w:lang w:eastAsia="es-CO"/>
              </w:rPr>
            </w:pPr>
            <w:r w:rsidRPr="0039091F">
              <w:rPr>
                <w:rFonts w:eastAsia="Times New Roman" w:cs="Times New Roman"/>
                <w:color w:val="000000"/>
                <w:sz w:val="18"/>
                <w:szCs w:val="18"/>
                <w:lang w:eastAsia="es-CO"/>
              </w:rPr>
              <w:t>Capacitación Prevención del Secuestro y la Extorsión.</w:t>
            </w:r>
          </w:p>
        </w:tc>
        <w:tc>
          <w:tcPr>
            <w:tcW w:w="1044" w:type="pct"/>
            <w:vAlign w:val="center"/>
            <w:hideMark/>
          </w:tcPr>
          <w:p w14:paraId="61959153" w14:textId="77777777" w:rsidR="00297E57" w:rsidRPr="0039091F" w:rsidRDefault="00297E57" w:rsidP="000A5389">
            <w:pPr>
              <w:spacing w:line="240" w:lineRule="auto"/>
              <w:jc w:val="center"/>
              <w:rPr>
                <w:rFonts w:eastAsia="Times New Roman" w:cs="Times New Roman"/>
                <w:color w:val="000000"/>
                <w:sz w:val="18"/>
                <w:szCs w:val="18"/>
                <w:lang w:eastAsia="es-CO"/>
              </w:rPr>
            </w:pPr>
            <w:r w:rsidRPr="0039091F">
              <w:rPr>
                <w:rFonts w:eastAsia="Times New Roman" w:cs="Times New Roman"/>
                <w:color w:val="000000"/>
                <w:sz w:val="18"/>
                <w:szCs w:val="18"/>
                <w:lang w:eastAsia="es-CO"/>
              </w:rPr>
              <w:t>GAULA</w:t>
            </w:r>
          </w:p>
        </w:tc>
        <w:tc>
          <w:tcPr>
            <w:tcW w:w="464" w:type="pct"/>
            <w:vAlign w:val="center"/>
            <w:hideMark/>
          </w:tcPr>
          <w:p w14:paraId="41F515DD" w14:textId="77777777" w:rsidR="00297E57" w:rsidRPr="0039091F" w:rsidRDefault="00297E57" w:rsidP="000A5389">
            <w:pPr>
              <w:spacing w:line="240" w:lineRule="auto"/>
              <w:jc w:val="center"/>
              <w:rPr>
                <w:rFonts w:eastAsia="Times New Roman" w:cs="Times New Roman"/>
                <w:color w:val="000000"/>
                <w:sz w:val="18"/>
                <w:szCs w:val="18"/>
                <w:lang w:eastAsia="es-CO"/>
              </w:rPr>
            </w:pPr>
            <w:r w:rsidRPr="0039091F">
              <w:rPr>
                <w:rFonts w:eastAsia="Times New Roman" w:cs="Times New Roman"/>
                <w:color w:val="000000"/>
                <w:sz w:val="18"/>
                <w:szCs w:val="18"/>
                <w:lang w:eastAsia="es-CO"/>
              </w:rPr>
              <w:t>65</w:t>
            </w:r>
          </w:p>
        </w:tc>
        <w:tc>
          <w:tcPr>
            <w:tcW w:w="527" w:type="pct"/>
            <w:vAlign w:val="center"/>
            <w:hideMark/>
          </w:tcPr>
          <w:p w14:paraId="72548AA9" w14:textId="77777777" w:rsidR="00297E57" w:rsidRPr="0039091F" w:rsidRDefault="00297E57" w:rsidP="000A5389">
            <w:pPr>
              <w:spacing w:line="240" w:lineRule="auto"/>
              <w:jc w:val="center"/>
              <w:rPr>
                <w:rFonts w:eastAsia="Times New Roman" w:cs="Times New Roman"/>
                <w:color w:val="000000"/>
                <w:sz w:val="18"/>
                <w:szCs w:val="18"/>
                <w:lang w:eastAsia="es-CO"/>
              </w:rPr>
            </w:pPr>
            <w:r w:rsidRPr="0039091F">
              <w:rPr>
                <w:rFonts w:eastAsia="Times New Roman" w:cs="Times New Roman"/>
                <w:color w:val="000000"/>
                <w:sz w:val="18"/>
                <w:szCs w:val="18"/>
                <w:lang w:eastAsia="es-CO"/>
              </w:rPr>
              <w:t>21 de julio</w:t>
            </w:r>
          </w:p>
        </w:tc>
        <w:tc>
          <w:tcPr>
            <w:tcW w:w="640" w:type="pct"/>
            <w:vAlign w:val="center"/>
            <w:hideMark/>
          </w:tcPr>
          <w:p w14:paraId="30586B42" w14:textId="77777777" w:rsidR="00297E57" w:rsidRPr="0039091F" w:rsidRDefault="00297E57" w:rsidP="000A5389">
            <w:pPr>
              <w:spacing w:line="240" w:lineRule="auto"/>
              <w:jc w:val="center"/>
              <w:rPr>
                <w:rFonts w:eastAsia="Times New Roman" w:cs="Times New Roman"/>
                <w:color w:val="000000"/>
                <w:sz w:val="18"/>
                <w:szCs w:val="18"/>
                <w:lang w:eastAsia="es-CO"/>
              </w:rPr>
            </w:pPr>
            <w:r w:rsidRPr="0039091F">
              <w:rPr>
                <w:rFonts w:eastAsia="Times New Roman" w:cs="Times New Roman"/>
                <w:color w:val="000000"/>
                <w:sz w:val="18"/>
                <w:szCs w:val="18"/>
                <w:lang w:eastAsia="es-CO"/>
              </w:rPr>
              <w:t>1,45</w:t>
            </w:r>
          </w:p>
        </w:tc>
      </w:tr>
      <w:tr w:rsidR="00297E57" w:rsidRPr="0039091F" w14:paraId="67A294DA" w14:textId="77777777" w:rsidTr="0039091F">
        <w:trPr>
          <w:trHeight w:val="283"/>
        </w:trPr>
        <w:tc>
          <w:tcPr>
            <w:tcW w:w="229" w:type="pct"/>
            <w:vAlign w:val="center"/>
            <w:hideMark/>
          </w:tcPr>
          <w:p w14:paraId="624FA1F6" w14:textId="77777777" w:rsidR="00297E57" w:rsidRPr="0039091F" w:rsidRDefault="00297E57" w:rsidP="000A5389">
            <w:pPr>
              <w:spacing w:line="240" w:lineRule="auto"/>
              <w:jc w:val="center"/>
              <w:rPr>
                <w:rFonts w:eastAsia="Times New Roman" w:cs="Times New Roman"/>
                <w:color w:val="000000"/>
                <w:sz w:val="18"/>
                <w:szCs w:val="18"/>
                <w:lang w:eastAsia="es-CO"/>
              </w:rPr>
            </w:pPr>
            <w:r w:rsidRPr="0039091F">
              <w:rPr>
                <w:rFonts w:eastAsia="Times New Roman" w:cs="Times New Roman"/>
                <w:color w:val="000000"/>
                <w:sz w:val="18"/>
                <w:szCs w:val="18"/>
                <w:lang w:eastAsia="es-CO"/>
              </w:rPr>
              <w:t>51</w:t>
            </w:r>
          </w:p>
        </w:tc>
        <w:tc>
          <w:tcPr>
            <w:tcW w:w="777" w:type="pct"/>
            <w:vAlign w:val="center"/>
            <w:hideMark/>
          </w:tcPr>
          <w:p w14:paraId="24053D80" w14:textId="77777777" w:rsidR="00297E57" w:rsidRPr="0039091F" w:rsidRDefault="00297E57" w:rsidP="000A5389">
            <w:pPr>
              <w:spacing w:line="240" w:lineRule="auto"/>
              <w:rPr>
                <w:rFonts w:eastAsia="Times New Roman" w:cs="Times New Roman"/>
                <w:color w:val="000000"/>
                <w:sz w:val="18"/>
                <w:szCs w:val="18"/>
                <w:lang w:eastAsia="es-CO"/>
              </w:rPr>
            </w:pPr>
            <w:r w:rsidRPr="0039091F">
              <w:rPr>
                <w:rFonts w:eastAsia="Times New Roman" w:cs="Times New Roman"/>
                <w:color w:val="000000"/>
                <w:sz w:val="18"/>
                <w:szCs w:val="18"/>
                <w:lang w:eastAsia="es-CO"/>
              </w:rPr>
              <w:t>Seguridad y Salud en el Trabajo</w:t>
            </w:r>
          </w:p>
        </w:tc>
        <w:tc>
          <w:tcPr>
            <w:tcW w:w="1320" w:type="pct"/>
            <w:vAlign w:val="center"/>
            <w:hideMark/>
          </w:tcPr>
          <w:p w14:paraId="781516E3" w14:textId="77777777" w:rsidR="00297E57" w:rsidRPr="0039091F" w:rsidRDefault="00297E57" w:rsidP="000A5389">
            <w:pPr>
              <w:spacing w:line="240" w:lineRule="auto"/>
              <w:rPr>
                <w:rFonts w:eastAsia="Times New Roman" w:cs="Times New Roman"/>
                <w:color w:val="000000"/>
                <w:sz w:val="18"/>
                <w:szCs w:val="18"/>
                <w:lang w:eastAsia="es-CO"/>
              </w:rPr>
            </w:pPr>
            <w:r w:rsidRPr="0039091F">
              <w:rPr>
                <w:rFonts w:eastAsia="Times New Roman" w:cs="Times New Roman"/>
                <w:color w:val="000000"/>
                <w:sz w:val="18"/>
                <w:szCs w:val="18"/>
                <w:lang w:eastAsia="es-CO"/>
              </w:rPr>
              <w:t>Capacitación Primeros auxilios psicológicos</w:t>
            </w:r>
          </w:p>
        </w:tc>
        <w:tc>
          <w:tcPr>
            <w:tcW w:w="1044" w:type="pct"/>
            <w:vAlign w:val="center"/>
            <w:hideMark/>
          </w:tcPr>
          <w:p w14:paraId="5C1BF5EE" w14:textId="77777777" w:rsidR="00297E57" w:rsidRPr="0039091F" w:rsidRDefault="00297E57" w:rsidP="000A5389">
            <w:pPr>
              <w:spacing w:line="240" w:lineRule="auto"/>
              <w:jc w:val="center"/>
              <w:rPr>
                <w:rFonts w:eastAsia="Times New Roman" w:cs="Times New Roman"/>
                <w:color w:val="000000"/>
                <w:sz w:val="18"/>
                <w:szCs w:val="18"/>
                <w:lang w:eastAsia="es-CO"/>
              </w:rPr>
            </w:pPr>
            <w:r w:rsidRPr="0039091F">
              <w:rPr>
                <w:rFonts w:eastAsia="Times New Roman" w:cs="Times New Roman"/>
                <w:color w:val="000000"/>
                <w:sz w:val="18"/>
                <w:szCs w:val="18"/>
                <w:lang w:eastAsia="es-CO"/>
              </w:rPr>
              <w:t>ARL POSITIVA</w:t>
            </w:r>
          </w:p>
        </w:tc>
        <w:tc>
          <w:tcPr>
            <w:tcW w:w="464" w:type="pct"/>
            <w:vAlign w:val="center"/>
            <w:hideMark/>
          </w:tcPr>
          <w:p w14:paraId="37B681DB" w14:textId="77777777" w:rsidR="00297E57" w:rsidRPr="0039091F" w:rsidRDefault="00297E57" w:rsidP="000A5389">
            <w:pPr>
              <w:spacing w:line="240" w:lineRule="auto"/>
              <w:jc w:val="center"/>
              <w:rPr>
                <w:rFonts w:eastAsia="Times New Roman" w:cs="Times New Roman"/>
                <w:color w:val="000000"/>
                <w:sz w:val="18"/>
                <w:szCs w:val="18"/>
                <w:lang w:eastAsia="es-CO"/>
              </w:rPr>
            </w:pPr>
            <w:r w:rsidRPr="0039091F">
              <w:rPr>
                <w:rFonts w:eastAsia="Times New Roman" w:cs="Times New Roman"/>
                <w:color w:val="000000"/>
                <w:sz w:val="18"/>
                <w:szCs w:val="18"/>
                <w:lang w:eastAsia="es-CO"/>
              </w:rPr>
              <w:t>6</w:t>
            </w:r>
          </w:p>
        </w:tc>
        <w:tc>
          <w:tcPr>
            <w:tcW w:w="527" w:type="pct"/>
            <w:vAlign w:val="center"/>
            <w:hideMark/>
          </w:tcPr>
          <w:p w14:paraId="6FA07297" w14:textId="77777777" w:rsidR="00297E57" w:rsidRPr="0039091F" w:rsidRDefault="00297E57" w:rsidP="000A5389">
            <w:pPr>
              <w:spacing w:line="240" w:lineRule="auto"/>
              <w:jc w:val="center"/>
              <w:rPr>
                <w:rFonts w:eastAsia="Times New Roman" w:cs="Times New Roman"/>
                <w:color w:val="000000"/>
                <w:sz w:val="18"/>
                <w:szCs w:val="18"/>
                <w:lang w:eastAsia="es-CO"/>
              </w:rPr>
            </w:pPr>
            <w:r w:rsidRPr="0039091F">
              <w:rPr>
                <w:rFonts w:eastAsia="Times New Roman" w:cs="Times New Roman"/>
                <w:color w:val="000000"/>
                <w:sz w:val="18"/>
                <w:szCs w:val="18"/>
                <w:lang w:eastAsia="es-CO"/>
              </w:rPr>
              <w:t>23 de julio</w:t>
            </w:r>
          </w:p>
        </w:tc>
        <w:tc>
          <w:tcPr>
            <w:tcW w:w="640" w:type="pct"/>
            <w:vAlign w:val="center"/>
            <w:hideMark/>
          </w:tcPr>
          <w:p w14:paraId="7959085B" w14:textId="77777777" w:rsidR="00297E57" w:rsidRPr="0039091F" w:rsidRDefault="00297E57" w:rsidP="000A5389">
            <w:pPr>
              <w:spacing w:line="240" w:lineRule="auto"/>
              <w:jc w:val="center"/>
              <w:rPr>
                <w:rFonts w:eastAsia="Times New Roman" w:cs="Times New Roman"/>
                <w:color w:val="000000"/>
                <w:sz w:val="18"/>
                <w:szCs w:val="18"/>
                <w:lang w:eastAsia="es-CO"/>
              </w:rPr>
            </w:pPr>
            <w:r w:rsidRPr="0039091F">
              <w:rPr>
                <w:rFonts w:eastAsia="Times New Roman" w:cs="Times New Roman"/>
                <w:color w:val="000000"/>
                <w:sz w:val="18"/>
                <w:szCs w:val="18"/>
                <w:lang w:eastAsia="es-CO"/>
              </w:rPr>
              <w:t>2</w:t>
            </w:r>
          </w:p>
        </w:tc>
      </w:tr>
      <w:tr w:rsidR="00297E57" w:rsidRPr="0039091F" w14:paraId="419274AE" w14:textId="77777777" w:rsidTr="0039091F">
        <w:trPr>
          <w:trHeight w:val="283"/>
        </w:trPr>
        <w:tc>
          <w:tcPr>
            <w:tcW w:w="229" w:type="pct"/>
            <w:vAlign w:val="center"/>
            <w:hideMark/>
          </w:tcPr>
          <w:p w14:paraId="63354A88" w14:textId="77777777" w:rsidR="00297E57" w:rsidRPr="0039091F" w:rsidRDefault="00297E57" w:rsidP="000A5389">
            <w:pPr>
              <w:spacing w:line="240" w:lineRule="auto"/>
              <w:jc w:val="center"/>
              <w:rPr>
                <w:rFonts w:eastAsia="Times New Roman" w:cs="Times New Roman"/>
                <w:color w:val="000000"/>
                <w:sz w:val="18"/>
                <w:szCs w:val="18"/>
                <w:lang w:eastAsia="es-CO"/>
              </w:rPr>
            </w:pPr>
            <w:r w:rsidRPr="0039091F">
              <w:rPr>
                <w:rFonts w:eastAsia="Times New Roman" w:cs="Times New Roman"/>
                <w:color w:val="000000"/>
                <w:sz w:val="18"/>
                <w:szCs w:val="18"/>
                <w:lang w:eastAsia="es-CO"/>
              </w:rPr>
              <w:t>52</w:t>
            </w:r>
          </w:p>
        </w:tc>
        <w:tc>
          <w:tcPr>
            <w:tcW w:w="777" w:type="pct"/>
            <w:vAlign w:val="center"/>
            <w:hideMark/>
          </w:tcPr>
          <w:p w14:paraId="0E792D5C" w14:textId="77777777" w:rsidR="00297E57" w:rsidRPr="0039091F" w:rsidRDefault="00297E57" w:rsidP="000A5389">
            <w:pPr>
              <w:spacing w:line="240" w:lineRule="auto"/>
              <w:rPr>
                <w:rFonts w:eastAsia="Times New Roman" w:cs="Times New Roman"/>
                <w:color w:val="000000"/>
                <w:sz w:val="18"/>
                <w:szCs w:val="18"/>
                <w:lang w:eastAsia="es-CO"/>
              </w:rPr>
            </w:pPr>
            <w:r w:rsidRPr="0039091F">
              <w:rPr>
                <w:rFonts w:eastAsia="Times New Roman" w:cs="Times New Roman"/>
                <w:color w:val="000000"/>
                <w:sz w:val="18"/>
                <w:szCs w:val="18"/>
                <w:lang w:eastAsia="es-CO"/>
              </w:rPr>
              <w:t>Seguridad y Salud en el Trabajo</w:t>
            </w:r>
          </w:p>
        </w:tc>
        <w:tc>
          <w:tcPr>
            <w:tcW w:w="1320" w:type="pct"/>
            <w:vAlign w:val="center"/>
            <w:hideMark/>
          </w:tcPr>
          <w:p w14:paraId="59CDCFC1" w14:textId="77777777" w:rsidR="00297E57" w:rsidRPr="0039091F" w:rsidRDefault="00297E57" w:rsidP="000A5389">
            <w:pPr>
              <w:spacing w:line="240" w:lineRule="auto"/>
              <w:rPr>
                <w:rFonts w:eastAsia="Times New Roman" w:cs="Times New Roman"/>
                <w:color w:val="000000"/>
                <w:sz w:val="18"/>
                <w:szCs w:val="18"/>
                <w:lang w:eastAsia="es-CO"/>
              </w:rPr>
            </w:pPr>
            <w:r w:rsidRPr="0039091F">
              <w:rPr>
                <w:rFonts w:eastAsia="Times New Roman" w:cs="Times New Roman"/>
                <w:color w:val="000000"/>
                <w:sz w:val="18"/>
                <w:szCs w:val="18"/>
                <w:lang w:eastAsia="es-CO"/>
              </w:rPr>
              <w:t>Capacitación Uso de bicicleta y monopatín en la vía</w:t>
            </w:r>
          </w:p>
        </w:tc>
        <w:tc>
          <w:tcPr>
            <w:tcW w:w="1044" w:type="pct"/>
            <w:vAlign w:val="center"/>
            <w:hideMark/>
          </w:tcPr>
          <w:p w14:paraId="47A7F4D5" w14:textId="77777777" w:rsidR="00297E57" w:rsidRPr="0039091F" w:rsidRDefault="00297E57" w:rsidP="000A5389">
            <w:pPr>
              <w:spacing w:line="240" w:lineRule="auto"/>
              <w:jc w:val="center"/>
              <w:rPr>
                <w:rFonts w:eastAsia="Times New Roman" w:cs="Times New Roman"/>
                <w:color w:val="000000"/>
                <w:sz w:val="18"/>
                <w:szCs w:val="18"/>
                <w:lang w:eastAsia="es-CO"/>
              </w:rPr>
            </w:pPr>
            <w:r w:rsidRPr="0039091F">
              <w:rPr>
                <w:rFonts w:eastAsia="Times New Roman" w:cs="Times New Roman"/>
                <w:color w:val="000000"/>
                <w:sz w:val="18"/>
                <w:szCs w:val="18"/>
                <w:lang w:eastAsia="es-CO"/>
              </w:rPr>
              <w:t>ARL POSITIVA</w:t>
            </w:r>
          </w:p>
        </w:tc>
        <w:tc>
          <w:tcPr>
            <w:tcW w:w="464" w:type="pct"/>
            <w:vAlign w:val="center"/>
            <w:hideMark/>
          </w:tcPr>
          <w:p w14:paraId="1168616E" w14:textId="77777777" w:rsidR="00297E57" w:rsidRPr="0039091F" w:rsidRDefault="00297E57" w:rsidP="000A5389">
            <w:pPr>
              <w:spacing w:line="240" w:lineRule="auto"/>
              <w:jc w:val="center"/>
              <w:rPr>
                <w:rFonts w:eastAsia="Times New Roman" w:cs="Times New Roman"/>
                <w:color w:val="000000"/>
                <w:sz w:val="18"/>
                <w:szCs w:val="18"/>
                <w:lang w:eastAsia="es-CO"/>
              </w:rPr>
            </w:pPr>
            <w:r w:rsidRPr="0039091F">
              <w:rPr>
                <w:rFonts w:eastAsia="Times New Roman" w:cs="Times New Roman"/>
                <w:color w:val="000000"/>
                <w:sz w:val="18"/>
                <w:szCs w:val="18"/>
                <w:lang w:eastAsia="es-CO"/>
              </w:rPr>
              <w:t> 16</w:t>
            </w:r>
          </w:p>
        </w:tc>
        <w:tc>
          <w:tcPr>
            <w:tcW w:w="527" w:type="pct"/>
            <w:vAlign w:val="center"/>
            <w:hideMark/>
          </w:tcPr>
          <w:p w14:paraId="6C6E6877" w14:textId="77777777" w:rsidR="00297E57" w:rsidRPr="0039091F" w:rsidRDefault="00297E57" w:rsidP="000A5389">
            <w:pPr>
              <w:spacing w:line="240" w:lineRule="auto"/>
              <w:jc w:val="center"/>
              <w:rPr>
                <w:rFonts w:eastAsia="Times New Roman" w:cs="Times New Roman"/>
                <w:color w:val="000000"/>
                <w:sz w:val="18"/>
                <w:szCs w:val="18"/>
                <w:lang w:eastAsia="es-CO"/>
              </w:rPr>
            </w:pPr>
            <w:r w:rsidRPr="0039091F">
              <w:rPr>
                <w:rFonts w:eastAsia="Times New Roman" w:cs="Times New Roman"/>
                <w:color w:val="000000"/>
                <w:sz w:val="18"/>
                <w:szCs w:val="18"/>
                <w:lang w:eastAsia="es-CO"/>
              </w:rPr>
              <w:t>24 de julio</w:t>
            </w:r>
          </w:p>
        </w:tc>
        <w:tc>
          <w:tcPr>
            <w:tcW w:w="640" w:type="pct"/>
            <w:vAlign w:val="center"/>
            <w:hideMark/>
          </w:tcPr>
          <w:p w14:paraId="62AA7D36" w14:textId="77777777" w:rsidR="00297E57" w:rsidRPr="0039091F" w:rsidRDefault="00297E57" w:rsidP="000A5389">
            <w:pPr>
              <w:spacing w:line="240" w:lineRule="auto"/>
              <w:jc w:val="center"/>
              <w:rPr>
                <w:rFonts w:eastAsia="Times New Roman" w:cs="Times New Roman"/>
                <w:color w:val="000000"/>
                <w:sz w:val="18"/>
                <w:szCs w:val="18"/>
                <w:lang w:eastAsia="es-CO"/>
              </w:rPr>
            </w:pPr>
            <w:r w:rsidRPr="0039091F">
              <w:rPr>
                <w:rFonts w:eastAsia="Times New Roman" w:cs="Times New Roman"/>
                <w:color w:val="000000"/>
                <w:sz w:val="18"/>
                <w:szCs w:val="18"/>
                <w:lang w:eastAsia="es-CO"/>
              </w:rPr>
              <w:t>1,3</w:t>
            </w:r>
          </w:p>
        </w:tc>
      </w:tr>
      <w:tr w:rsidR="00297E57" w:rsidRPr="0039091F" w14:paraId="33517B8D" w14:textId="77777777" w:rsidTr="0039091F">
        <w:trPr>
          <w:trHeight w:val="283"/>
        </w:trPr>
        <w:tc>
          <w:tcPr>
            <w:tcW w:w="229" w:type="pct"/>
            <w:vAlign w:val="center"/>
            <w:hideMark/>
          </w:tcPr>
          <w:p w14:paraId="2A931EEA" w14:textId="77777777" w:rsidR="00297E57" w:rsidRPr="0039091F" w:rsidRDefault="00297E57" w:rsidP="000A5389">
            <w:pPr>
              <w:spacing w:line="240" w:lineRule="auto"/>
              <w:jc w:val="center"/>
              <w:rPr>
                <w:rFonts w:eastAsia="Times New Roman" w:cs="Times New Roman"/>
                <w:color w:val="000000"/>
                <w:sz w:val="18"/>
                <w:szCs w:val="18"/>
                <w:lang w:eastAsia="es-CO"/>
              </w:rPr>
            </w:pPr>
            <w:r w:rsidRPr="0039091F">
              <w:rPr>
                <w:rFonts w:eastAsia="Times New Roman" w:cs="Times New Roman"/>
                <w:color w:val="000000"/>
                <w:sz w:val="18"/>
                <w:szCs w:val="18"/>
                <w:lang w:eastAsia="es-CO"/>
              </w:rPr>
              <w:t>53</w:t>
            </w:r>
          </w:p>
        </w:tc>
        <w:tc>
          <w:tcPr>
            <w:tcW w:w="777" w:type="pct"/>
            <w:vAlign w:val="center"/>
            <w:hideMark/>
          </w:tcPr>
          <w:p w14:paraId="6915B978" w14:textId="77777777" w:rsidR="00297E57" w:rsidRPr="0039091F" w:rsidRDefault="00297E57" w:rsidP="000A5389">
            <w:pPr>
              <w:spacing w:line="240" w:lineRule="auto"/>
              <w:rPr>
                <w:rFonts w:eastAsia="Times New Roman" w:cs="Times New Roman"/>
                <w:color w:val="000000"/>
                <w:sz w:val="18"/>
                <w:szCs w:val="18"/>
                <w:lang w:eastAsia="es-CO"/>
              </w:rPr>
            </w:pPr>
            <w:r w:rsidRPr="0039091F">
              <w:rPr>
                <w:rFonts w:eastAsia="Times New Roman" w:cs="Times New Roman"/>
                <w:color w:val="000000"/>
                <w:sz w:val="18"/>
                <w:szCs w:val="18"/>
                <w:lang w:eastAsia="es-CO"/>
              </w:rPr>
              <w:t>Seguridad y Salud en el Trabajo</w:t>
            </w:r>
          </w:p>
        </w:tc>
        <w:tc>
          <w:tcPr>
            <w:tcW w:w="1320" w:type="pct"/>
            <w:vAlign w:val="center"/>
            <w:hideMark/>
          </w:tcPr>
          <w:p w14:paraId="01790EDC" w14:textId="77777777" w:rsidR="00297E57" w:rsidRPr="0039091F" w:rsidRDefault="00297E57" w:rsidP="000A5389">
            <w:pPr>
              <w:spacing w:line="240" w:lineRule="auto"/>
              <w:rPr>
                <w:rFonts w:eastAsia="Times New Roman" w:cs="Times New Roman"/>
                <w:color w:val="000000"/>
                <w:sz w:val="18"/>
                <w:szCs w:val="18"/>
                <w:lang w:eastAsia="es-CO"/>
              </w:rPr>
            </w:pPr>
            <w:r w:rsidRPr="0039091F">
              <w:rPr>
                <w:rFonts w:eastAsia="Times New Roman" w:cs="Times New Roman"/>
                <w:color w:val="000000"/>
                <w:sz w:val="18"/>
                <w:szCs w:val="18"/>
                <w:lang w:eastAsia="es-CO"/>
              </w:rPr>
              <w:t>Capacitación Técnicas de resolución de conflicto</w:t>
            </w:r>
          </w:p>
        </w:tc>
        <w:tc>
          <w:tcPr>
            <w:tcW w:w="1044" w:type="pct"/>
            <w:vAlign w:val="center"/>
            <w:hideMark/>
          </w:tcPr>
          <w:p w14:paraId="1C3BAE5E" w14:textId="77777777" w:rsidR="00297E57" w:rsidRPr="0039091F" w:rsidRDefault="00297E57" w:rsidP="000A5389">
            <w:pPr>
              <w:spacing w:line="240" w:lineRule="auto"/>
              <w:jc w:val="center"/>
              <w:rPr>
                <w:rFonts w:eastAsia="Times New Roman" w:cs="Times New Roman"/>
                <w:color w:val="000000"/>
                <w:sz w:val="18"/>
                <w:szCs w:val="18"/>
                <w:lang w:eastAsia="es-CO"/>
              </w:rPr>
            </w:pPr>
            <w:r w:rsidRPr="0039091F">
              <w:rPr>
                <w:rFonts w:eastAsia="Times New Roman" w:cs="Times New Roman"/>
                <w:color w:val="000000"/>
                <w:sz w:val="18"/>
                <w:szCs w:val="18"/>
                <w:lang w:eastAsia="es-CO"/>
              </w:rPr>
              <w:t>ARL POSITIVA</w:t>
            </w:r>
          </w:p>
        </w:tc>
        <w:tc>
          <w:tcPr>
            <w:tcW w:w="464" w:type="pct"/>
            <w:vAlign w:val="center"/>
            <w:hideMark/>
          </w:tcPr>
          <w:p w14:paraId="389D1894" w14:textId="77777777" w:rsidR="00297E57" w:rsidRPr="0039091F" w:rsidRDefault="00297E57" w:rsidP="000A5389">
            <w:pPr>
              <w:spacing w:line="240" w:lineRule="auto"/>
              <w:jc w:val="center"/>
              <w:rPr>
                <w:rFonts w:eastAsia="Times New Roman" w:cs="Times New Roman"/>
                <w:color w:val="000000"/>
                <w:sz w:val="18"/>
                <w:szCs w:val="18"/>
                <w:lang w:eastAsia="es-CO"/>
              </w:rPr>
            </w:pPr>
            <w:r w:rsidRPr="0039091F">
              <w:rPr>
                <w:rFonts w:eastAsia="Times New Roman" w:cs="Times New Roman"/>
                <w:color w:val="000000"/>
                <w:sz w:val="18"/>
                <w:szCs w:val="18"/>
                <w:lang w:eastAsia="es-CO"/>
              </w:rPr>
              <w:t> 18</w:t>
            </w:r>
          </w:p>
        </w:tc>
        <w:tc>
          <w:tcPr>
            <w:tcW w:w="527" w:type="pct"/>
            <w:vAlign w:val="center"/>
            <w:hideMark/>
          </w:tcPr>
          <w:p w14:paraId="7DC4AF3B" w14:textId="77777777" w:rsidR="00297E57" w:rsidRPr="0039091F" w:rsidRDefault="00297E57" w:rsidP="000A5389">
            <w:pPr>
              <w:spacing w:line="240" w:lineRule="auto"/>
              <w:jc w:val="center"/>
              <w:rPr>
                <w:rFonts w:eastAsia="Times New Roman" w:cs="Times New Roman"/>
                <w:color w:val="000000"/>
                <w:sz w:val="18"/>
                <w:szCs w:val="18"/>
                <w:lang w:eastAsia="es-CO"/>
              </w:rPr>
            </w:pPr>
            <w:r w:rsidRPr="0039091F">
              <w:rPr>
                <w:rFonts w:eastAsia="Times New Roman" w:cs="Times New Roman"/>
                <w:color w:val="000000"/>
                <w:sz w:val="18"/>
                <w:szCs w:val="18"/>
                <w:lang w:eastAsia="es-CO"/>
              </w:rPr>
              <w:t>30 de julio</w:t>
            </w:r>
          </w:p>
        </w:tc>
        <w:tc>
          <w:tcPr>
            <w:tcW w:w="640" w:type="pct"/>
            <w:vAlign w:val="center"/>
            <w:hideMark/>
          </w:tcPr>
          <w:p w14:paraId="7D835B46" w14:textId="77777777" w:rsidR="00297E57" w:rsidRPr="0039091F" w:rsidRDefault="00297E57" w:rsidP="000A5389">
            <w:pPr>
              <w:spacing w:line="240" w:lineRule="auto"/>
              <w:jc w:val="center"/>
              <w:rPr>
                <w:rFonts w:eastAsia="Times New Roman" w:cs="Times New Roman"/>
                <w:color w:val="000000"/>
                <w:sz w:val="18"/>
                <w:szCs w:val="18"/>
                <w:lang w:eastAsia="es-CO"/>
              </w:rPr>
            </w:pPr>
            <w:r w:rsidRPr="0039091F">
              <w:rPr>
                <w:rFonts w:eastAsia="Times New Roman" w:cs="Times New Roman"/>
                <w:color w:val="000000"/>
                <w:sz w:val="18"/>
                <w:szCs w:val="18"/>
                <w:lang w:eastAsia="es-CO"/>
              </w:rPr>
              <w:t>1 hora y</w:t>
            </w:r>
          </w:p>
        </w:tc>
      </w:tr>
      <w:tr w:rsidR="00297E57" w:rsidRPr="0039091F" w14:paraId="1DA1E954" w14:textId="77777777" w:rsidTr="0039091F">
        <w:trPr>
          <w:trHeight w:val="283"/>
        </w:trPr>
        <w:tc>
          <w:tcPr>
            <w:tcW w:w="229" w:type="pct"/>
            <w:vAlign w:val="center"/>
            <w:hideMark/>
          </w:tcPr>
          <w:p w14:paraId="57FD9215" w14:textId="77777777" w:rsidR="00297E57" w:rsidRPr="0039091F" w:rsidRDefault="00297E57" w:rsidP="000A5389">
            <w:pPr>
              <w:spacing w:line="240" w:lineRule="auto"/>
              <w:jc w:val="center"/>
              <w:rPr>
                <w:rFonts w:eastAsia="Times New Roman" w:cs="Times New Roman"/>
                <w:color w:val="000000"/>
                <w:sz w:val="18"/>
                <w:szCs w:val="18"/>
                <w:lang w:eastAsia="es-CO"/>
              </w:rPr>
            </w:pPr>
            <w:r w:rsidRPr="0039091F">
              <w:rPr>
                <w:rFonts w:eastAsia="Times New Roman" w:cs="Times New Roman"/>
                <w:color w:val="000000"/>
                <w:sz w:val="18"/>
                <w:szCs w:val="18"/>
                <w:lang w:eastAsia="es-CO"/>
              </w:rPr>
              <w:t>54</w:t>
            </w:r>
          </w:p>
        </w:tc>
        <w:tc>
          <w:tcPr>
            <w:tcW w:w="777" w:type="pct"/>
            <w:vAlign w:val="center"/>
            <w:hideMark/>
          </w:tcPr>
          <w:p w14:paraId="35DA22DF" w14:textId="77777777" w:rsidR="00297E57" w:rsidRPr="0039091F" w:rsidRDefault="00297E57" w:rsidP="000A5389">
            <w:pPr>
              <w:spacing w:line="240" w:lineRule="auto"/>
              <w:rPr>
                <w:rFonts w:eastAsia="Times New Roman" w:cs="Times New Roman"/>
                <w:color w:val="000000"/>
                <w:sz w:val="18"/>
                <w:szCs w:val="18"/>
                <w:lang w:eastAsia="es-CO"/>
              </w:rPr>
            </w:pPr>
            <w:r w:rsidRPr="0039091F">
              <w:rPr>
                <w:rFonts w:eastAsia="Times New Roman" w:cs="Times New Roman"/>
                <w:color w:val="000000"/>
                <w:sz w:val="18"/>
                <w:szCs w:val="18"/>
                <w:lang w:eastAsia="es-CO"/>
              </w:rPr>
              <w:t> Habilidades y Conocimientos, y EDL</w:t>
            </w:r>
          </w:p>
        </w:tc>
        <w:tc>
          <w:tcPr>
            <w:tcW w:w="1320" w:type="pct"/>
            <w:vAlign w:val="center"/>
            <w:hideMark/>
          </w:tcPr>
          <w:p w14:paraId="0C78866D" w14:textId="77777777" w:rsidR="00297E57" w:rsidRPr="0039091F" w:rsidRDefault="00297E57" w:rsidP="000A5389">
            <w:pPr>
              <w:spacing w:line="240" w:lineRule="auto"/>
              <w:rPr>
                <w:rFonts w:eastAsia="Times New Roman" w:cs="Times New Roman"/>
                <w:color w:val="000000"/>
                <w:sz w:val="18"/>
                <w:szCs w:val="18"/>
                <w:lang w:eastAsia="es-CO"/>
              </w:rPr>
            </w:pPr>
            <w:r w:rsidRPr="0039091F">
              <w:rPr>
                <w:rFonts w:eastAsia="Times New Roman" w:cs="Times New Roman"/>
                <w:color w:val="000000"/>
                <w:sz w:val="18"/>
                <w:szCs w:val="18"/>
                <w:lang w:eastAsia="es-CO"/>
              </w:rPr>
              <w:t>Capacitación en Evaluación del Desempeño Laboral: Calificación Parcial semestral</w:t>
            </w:r>
          </w:p>
        </w:tc>
        <w:tc>
          <w:tcPr>
            <w:tcW w:w="1044" w:type="pct"/>
            <w:vAlign w:val="center"/>
            <w:hideMark/>
          </w:tcPr>
          <w:p w14:paraId="06C9CD08" w14:textId="77777777" w:rsidR="00297E57" w:rsidRPr="0039091F" w:rsidRDefault="00297E57" w:rsidP="000A5389">
            <w:pPr>
              <w:spacing w:line="240" w:lineRule="auto"/>
              <w:jc w:val="center"/>
              <w:rPr>
                <w:rFonts w:eastAsia="Times New Roman" w:cs="Times New Roman"/>
                <w:color w:val="000000"/>
                <w:sz w:val="18"/>
                <w:szCs w:val="18"/>
                <w:lang w:eastAsia="es-CO"/>
              </w:rPr>
            </w:pPr>
            <w:r w:rsidRPr="0039091F">
              <w:rPr>
                <w:rFonts w:eastAsia="Times New Roman" w:cs="Times New Roman"/>
                <w:color w:val="000000"/>
                <w:sz w:val="18"/>
                <w:szCs w:val="18"/>
                <w:lang w:eastAsia="es-CO"/>
              </w:rPr>
              <w:t>ANI</w:t>
            </w:r>
          </w:p>
        </w:tc>
        <w:tc>
          <w:tcPr>
            <w:tcW w:w="464" w:type="pct"/>
            <w:vAlign w:val="center"/>
            <w:hideMark/>
          </w:tcPr>
          <w:p w14:paraId="06CB5FAF" w14:textId="77777777" w:rsidR="00297E57" w:rsidRPr="0039091F" w:rsidRDefault="00297E57" w:rsidP="000A5389">
            <w:pPr>
              <w:spacing w:line="240" w:lineRule="auto"/>
              <w:jc w:val="center"/>
              <w:rPr>
                <w:rFonts w:eastAsia="Times New Roman" w:cs="Times New Roman"/>
                <w:color w:val="000000"/>
                <w:sz w:val="18"/>
                <w:szCs w:val="18"/>
                <w:lang w:eastAsia="es-CO"/>
              </w:rPr>
            </w:pPr>
            <w:r w:rsidRPr="0039091F">
              <w:rPr>
                <w:rFonts w:eastAsia="Times New Roman" w:cs="Times New Roman"/>
                <w:color w:val="000000"/>
                <w:sz w:val="18"/>
                <w:szCs w:val="18"/>
                <w:lang w:eastAsia="es-CO"/>
              </w:rPr>
              <w:t> 48</w:t>
            </w:r>
          </w:p>
        </w:tc>
        <w:tc>
          <w:tcPr>
            <w:tcW w:w="527" w:type="pct"/>
            <w:vAlign w:val="center"/>
            <w:hideMark/>
          </w:tcPr>
          <w:p w14:paraId="432283C2" w14:textId="77777777" w:rsidR="00297E57" w:rsidRPr="0039091F" w:rsidRDefault="00297E57" w:rsidP="000A5389">
            <w:pPr>
              <w:spacing w:line="240" w:lineRule="auto"/>
              <w:jc w:val="center"/>
              <w:rPr>
                <w:rFonts w:eastAsia="Times New Roman" w:cs="Times New Roman"/>
                <w:color w:val="000000"/>
                <w:sz w:val="18"/>
                <w:szCs w:val="18"/>
                <w:lang w:eastAsia="es-CO"/>
              </w:rPr>
            </w:pPr>
            <w:r w:rsidRPr="0039091F">
              <w:rPr>
                <w:rFonts w:eastAsia="Times New Roman" w:cs="Times New Roman"/>
                <w:color w:val="000000"/>
                <w:sz w:val="18"/>
                <w:szCs w:val="18"/>
                <w:lang w:eastAsia="es-CO"/>
              </w:rPr>
              <w:t>30 de julio </w:t>
            </w:r>
          </w:p>
        </w:tc>
        <w:tc>
          <w:tcPr>
            <w:tcW w:w="640" w:type="pct"/>
            <w:vAlign w:val="center"/>
            <w:hideMark/>
          </w:tcPr>
          <w:p w14:paraId="1E257262" w14:textId="77777777" w:rsidR="00297E57" w:rsidRPr="0039091F" w:rsidRDefault="00297E57" w:rsidP="000A5389">
            <w:pPr>
              <w:spacing w:line="240" w:lineRule="auto"/>
              <w:jc w:val="center"/>
              <w:rPr>
                <w:rFonts w:eastAsia="Times New Roman" w:cs="Times New Roman"/>
                <w:color w:val="000000"/>
                <w:sz w:val="18"/>
                <w:szCs w:val="18"/>
                <w:lang w:eastAsia="es-CO"/>
              </w:rPr>
            </w:pPr>
            <w:r w:rsidRPr="0039091F">
              <w:rPr>
                <w:rFonts w:eastAsia="Times New Roman" w:cs="Times New Roman"/>
                <w:color w:val="000000"/>
                <w:sz w:val="18"/>
                <w:szCs w:val="18"/>
                <w:lang w:eastAsia="es-CO"/>
              </w:rPr>
              <w:t> 1,3</w:t>
            </w:r>
          </w:p>
        </w:tc>
      </w:tr>
      <w:tr w:rsidR="00297E57" w:rsidRPr="0039091F" w14:paraId="2E9807C9" w14:textId="77777777" w:rsidTr="0039091F">
        <w:trPr>
          <w:trHeight w:val="283"/>
        </w:trPr>
        <w:tc>
          <w:tcPr>
            <w:tcW w:w="229" w:type="pct"/>
            <w:vAlign w:val="center"/>
            <w:hideMark/>
          </w:tcPr>
          <w:p w14:paraId="6780F92E" w14:textId="77777777" w:rsidR="00297E57" w:rsidRPr="0039091F" w:rsidRDefault="00297E57" w:rsidP="000A5389">
            <w:pPr>
              <w:spacing w:line="240" w:lineRule="auto"/>
              <w:jc w:val="center"/>
              <w:rPr>
                <w:rFonts w:eastAsia="Times New Roman" w:cs="Times New Roman"/>
                <w:color w:val="000000"/>
                <w:sz w:val="18"/>
                <w:szCs w:val="18"/>
                <w:lang w:eastAsia="es-CO"/>
              </w:rPr>
            </w:pPr>
            <w:r w:rsidRPr="0039091F">
              <w:rPr>
                <w:rFonts w:eastAsia="Times New Roman" w:cs="Times New Roman"/>
                <w:color w:val="000000"/>
                <w:sz w:val="18"/>
                <w:szCs w:val="18"/>
                <w:lang w:eastAsia="es-CO"/>
              </w:rPr>
              <w:t>55</w:t>
            </w:r>
          </w:p>
        </w:tc>
        <w:tc>
          <w:tcPr>
            <w:tcW w:w="777" w:type="pct"/>
            <w:vAlign w:val="center"/>
            <w:hideMark/>
          </w:tcPr>
          <w:p w14:paraId="59E4465B" w14:textId="77777777" w:rsidR="00297E57" w:rsidRPr="0039091F" w:rsidRDefault="00297E57" w:rsidP="000A5389">
            <w:pPr>
              <w:spacing w:line="240" w:lineRule="auto"/>
              <w:rPr>
                <w:rFonts w:eastAsia="Times New Roman" w:cs="Times New Roman"/>
                <w:color w:val="000000"/>
                <w:sz w:val="18"/>
                <w:szCs w:val="18"/>
                <w:lang w:eastAsia="es-CO"/>
              </w:rPr>
            </w:pPr>
            <w:r w:rsidRPr="0039091F">
              <w:rPr>
                <w:rFonts w:eastAsia="Times New Roman" w:cs="Times New Roman"/>
                <w:color w:val="000000"/>
                <w:sz w:val="18"/>
                <w:szCs w:val="18"/>
                <w:lang w:eastAsia="es-CO"/>
              </w:rPr>
              <w:t>Habilidades y Conocimientos</w:t>
            </w:r>
          </w:p>
        </w:tc>
        <w:tc>
          <w:tcPr>
            <w:tcW w:w="1320" w:type="pct"/>
            <w:vAlign w:val="center"/>
            <w:hideMark/>
          </w:tcPr>
          <w:p w14:paraId="256BF970" w14:textId="77777777" w:rsidR="00297E57" w:rsidRPr="0039091F" w:rsidRDefault="00297E57" w:rsidP="000A5389">
            <w:pPr>
              <w:spacing w:line="240" w:lineRule="auto"/>
              <w:rPr>
                <w:rFonts w:eastAsia="Times New Roman" w:cs="Times New Roman"/>
                <w:color w:val="000000"/>
                <w:sz w:val="18"/>
                <w:szCs w:val="18"/>
                <w:lang w:eastAsia="es-CO"/>
              </w:rPr>
            </w:pPr>
            <w:r w:rsidRPr="0039091F">
              <w:rPr>
                <w:rFonts w:eastAsia="Times New Roman" w:cs="Times New Roman"/>
                <w:color w:val="000000"/>
                <w:sz w:val="18"/>
                <w:szCs w:val="18"/>
                <w:lang w:eastAsia="es-CO"/>
              </w:rPr>
              <w:t>Capacitación en Derecho de Asociación Sindical y Prevención de</w:t>
            </w:r>
          </w:p>
        </w:tc>
        <w:tc>
          <w:tcPr>
            <w:tcW w:w="1044" w:type="pct"/>
            <w:vAlign w:val="center"/>
            <w:hideMark/>
          </w:tcPr>
          <w:p w14:paraId="3A4CF223" w14:textId="77777777" w:rsidR="00297E57" w:rsidRPr="0039091F" w:rsidRDefault="00297E57" w:rsidP="000A5389">
            <w:pPr>
              <w:spacing w:line="240" w:lineRule="auto"/>
              <w:jc w:val="center"/>
              <w:rPr>
                <w:rFonts w:eastAsia="Times New Roman" w:cs="Times New Roman"/>
                <w:color w:val="000000"/>
                <w:sz w:val="18"/>
                <w:szCs w:val="18"/>
                <w:lang w:eastAsia="es-CO"/>
              </w:rPr>
            </w:pPr>
            <w:r w:rsidRPr="0039091F">
              <w:rPr>
                <w:rFonts w:eastAsia="Times New Roman" w:cs="Times New Roman"/>
                <w:color w:val="000000"/>
                <w:sz w:val="18"/>
                <w:szCs w:val="18"/>
                <w:lang w:eastAsia="es-CO"/>
              </w:rPr>
              <w:t>UNAL</w:t>
            </w:r>
          </w:p>
        </w:tc>
        <w:tc>
          <w:tcPr>
            <w:tcW w:w="464" w:type="pct"/>
            <w:vAlign w:val="center"/>
            <w:hideMark/>
          </w:tcPr>
          <w:p w14:paraId="34F20840" w14:textId="77777777" w:rsidR="00297E57" w:rsidRPr="0039091F" w:rsidRDefault="00297E57" w:rsidP="000A5389">
            <w:pPr>
              <w:spacing w:line="240" w:lineRule="auto"/>
              <w:jc w:val="center"/>
              <w:rPr>
                <w:rFonts w:eastAsia="Times New Roman" w:cs="Times New Roman"/>
                <w:color w:val="000000"/>
                <w:sz w:val="18"/>
                <w:szCs w:val="18"/>
                <w:lang w:eastAsia="es-CO"/>
              </w:rPr>
            </w:pPr>
            <w:r w:rsidRPr="0039091F">
              <w:rPr>
                <w:rFonts w:eastAsia="Times New Roman" w:cs="Times New Roman"/>
                <w:color w:val="000000"/>
                <w:sz w:val="18"/>
                <w:szCs w:val="18"/>
                <w:lang w:eastAsia="es-CO"/>
              </w:rPr>
              <w:t>24</w:t>
            </w:r>
          </w:p>
        </w:tc>
        <w:tc>
          <w:tcPr>
            <w:tcW w:w="527" w:type="pct"/>
            <w:vAlign w:val="center"/>
            <w:hideMark/>
          </w:tcPr>
          <w:p w14:paraId="4433496E" w14:textId="77777777" w:rsidR="00297E57" w:rsidRPr="0039091F" w:rsidRDefault="00297E57" w:rsidP="000A5389">
            <w:pPr>
              <w:spacing w:line="240" w:lineRule="auto"/>
              <w:jc w:val="center"/>
              <w:rPr>
                <w:rFonts w:eastAsia="Times New Roman" w:cs="Times New Roman"/>
                <w:color w:val="000000"/>
                <w:sz w:val="18"/>
                <w:szCs w:val="18"/>
                <w:lang w:eastAsia="es-CO"/>
              </w:rPr>
            </w:pPr>
            <w:r w:rsidRPr="0039091F">
              <w:rPr>
                <w:rFonts w:eastAsia="Times New Roman" w:cs="Times New Roman"/>
                <w:color w:val="000000"/>
                <w:sz w:val="18"/>
                <w:szCs w:val="18"/>
                <w:lang w:eastAsia="es-CO"/>
              </w:rPr>
              <w:t>30 de julio</w:t>
            </w:r>
          </w:p>
        </w:tc>
        <w:tc>
          <w:tcPr>
            <w:tcW w:w="640" w:type="pct"/>
            <w:vAlign w:val="center"/>
            <w:hideMark/>
          </w:tcPr>
          <w:p w14:paraId="7E94D40E" w14:textId="77777777" w:rsidR="00297E57" w:rsidRPr="0039091F" w:rsidRDefault="00297E57" w:rsidP="000A5389">
            <w:pPr>
              <w:spacing w:line="240" w:lineRule="auto"/>
              <w:jc w:val="center"/>
              <w:rPr>
                <w:rFonts w:eastAsia="Times New Roman" w:cs="Times New Roman"/>
                <w:color w:val="000000"/>
                <w:sz w:val="18"/>
                <w:szCs w:val="18"/>
                <w:lang w:eastAsia="es-CO"/>
              </w:rPr>
            </w:pPr>
            <w:r w:rsidRPr="0039091F">
              <w:rPr>
                <w:rFonts w:eastAsia="Times New Roman" w:cs="Times New Roman"/>
                <w:color w:val="000000"/>
                <w:sz w:val="18"/>
                <w:szCs w:val="18"/>
                <w:lang w:eastAsia="es-CO"/>
              </w:rPr>
              <w:t>1,3</w:t>
            </w:r>
          </w:p>
        </w:tc>
      </w:tr>
      <w:tr w:rsidR="00297E57" w:rsidRPr="0039091F" w14:paraId="68FFFFFC" w14:textId="77777777" w:rsidTr="0039091F">
        <w:trPr>
          <w:trHeight w:val="283"/>
        </w:trPr>
        <w:tc>
          <w:tcPr>
            <w:tcW w:w="229" w:type="pct"/>
            <w:vAlign w:val="center"/>
            <w:hideMark/>
          </w:tcPr>
          <w:p w14:paraId="196F76AD" w14:textId="77777777" w:rsidR="00297E57" w:rsidRPr="0039091F" w:rsidRDefault="00297E57" w:rsidP="000A5389">
            <w:pPr>
              <w:spacing w:line="240" w:lineRule="auto"/>
              <w:jc w:val="center"/>
              <w:rPr>
                <w:rFonts w:eastAsia="Times New Roman" w:cs="Times New Roman"/>
                <w:color w:val="000000"/>
                <w:sz w:val="18"/>
                <w:szCs w:val="18"/>
                <w:lang w:eastAsia="es-CO"/>
              </w:rPr>
            </w:pPr>
            <w:r w:rsidRPr="0039091F">
              <w:rPr>
                <w:rFonts w:eastAsia="Times New Roman" w:cs="Times New Roman"/>
                <w:color w:val="000000"/>
                <w:sz w:val="18"/>
                <w:szCs w:val="18"/>
                <w:lang w:eastAsia="es-CO"/>
              </w:rPr>
              <w:t>56</w:t>
            </w:r>
          </w:p>
        </w:tc>
        <w:tc>
          <w:tcPr>
            <w:tcW w:w="777" w:type="pct"/>
            <w:vAlign w:val="center"/>
            <w:hideMark/>
          </w:tcPr>
          <w:p w14:paraId="6428775A" w14:textId="77777777" w:rsidR="00297E57" w:rsidRPr="0039091F" w:rsidRDefault="00297E57" w:rsidP="000A5389">
            <w:pPr>
              <w:spacing w:line="240" w:lineRule="auto"/>
              <w:rPr>
                <w:rFonts w:eastAsia="Times New Roman" w:cs="Times New Roman"/>
                <w:color w:val="000000"/>
                <w:sz w:val="18"/>
                <w:szCs w:val="18"/>
                <w:lang w:eastAsia="es-CO"/>
              </w:rPr>
            </w:pPr>
            <w:r w:rsidRPr="0039091F">
              <w:rPr>
                <w:rFonts w:eastAsia="Times New Roman" w:cs="Times New Roman"/>
                <w:color w:val="000000"/>
                <w:sz w:val="18"/>
                <w:szCs w:val="18"/>
                <w:lang w:eastAsia="es-CO"/>
              </w:rPr>
              <w:t>Eje 2 (Territorio, Vida y Ambiente) y Ambiental</w:t>
            </w:r>
          </w:p>
        </w:tc>
        <w:tc>
          <w:tcPr>
            <w:tcW w:w="1320" w:type="pct"/>
            <w:vAlign w:val="center"/>
            <w:hideMark/>
          </w:tcPr>
          <w:p w14:paraId="7F77B3D9" w14:textId="77777777" w:rsidR="00297E57" w:rsidRPr="0039091F" w:rsidRDefault="00297E57" w:rsidP="000A5389">
            <w:pPr>
              <w:spacing w:line="240" w:lineRule="auto"/>
              <w:rPr>
                <w:rFonts w:eastAsia="Times New Roman" w:cs="Times New Roman"/>
                <w:color w:val="000000"/>
                <w:sz w:val="18"/>
                <w:szCs w:val="18"/>
                <w:lang w:eastAsia="es-CO"/>
              </w:rPr>
            </w:pPr>
            <w:r w:rsidRPr="0039091F">
              <w:rPr>
                <w:rFonts w:eastAsia="Times New Roman" w:cs="Times New Roman"/>
                <w:color w:val="000000"/>
                <w:sz w:val="18"/>
                <w:szCs w:val="18"/>
                <w:lang w:eastAsia="es-CO"/>
              </w:rPr>
              <w:t>Capacitación Prácticas Sostenibles, en sede principal</w:t>
            </w:r>
          </w:p>
        </w:tc>
        <w:tc>
          <w:tcPr>
            <w:tcW w:w="1044" w:type="pct"/>
            <w:vAlign w:val="center"/>
            <w:hideMark/>
          </w:tcPr>
          <w:p w14:paraId="2E3B8B36" w14:textId="77777777" w:rsidR="00297E57" w:rsidRPr="0039091F" w:rsidRDefault="00297E57" w:rsidP="000A5389">
            <w:pPr>
              <w:spacing w:line="240" w:lineRule="auto"/>
              <w:jc w:val="center"/>
              <w:rPr>
                <w:rFonts w:eastAsia="Times New Roman" w:cs="Times New Roman"/>
                <w:color w:val="000000"/>
                <w:sz w:val="18"/>
                <w:szCs w:val="18"/>
                <w:lang w:eastAsia="es-CO"/>
              </w:rPr>
            </w:pPr>
            <w:r w:rsidRPr="0039091F">
              <w:rPr>
                <w:rFonts w:eastAsia="Times New Roman" w:cs="Times New Roman"/>
                <w:color w:val="000000"/>
                <w:sz w:val="18"/>
                <w:szCs w:val="18"/>
                <w:lang w:eastAsia="es-CO"/>
              </w:rPr>
              <w:t>Secretaría Distrital de Ambiente (SDA)</w:t>
            </w:r>
          </w:p>
        </w:tc>
        <w:tc>
          <w:tcPr>
            <w:tcW w:w="464" w:type="pct"/>
            <w:vAlign w:val="center"/>
            <w:hideMark/>
          </w:tcPr>
          <w:p w14:paraId="3D58685D" w14:textId="77777777" w:rsidR="00297E57" w:rsidRPr="0039091F" w:rsidRDefault="00297E57" w:rsidP="000A5389">
            <w:pPr>
              <w:spacing w:line="240" w:lineRule="auto"/>
              <w:jc w:val="center"/>
              <w:rPr>
                <w:rFonts w:eastAsia="Times New Roman" w:cs="Times New Roman"/>
                <w:color w:val="000000"/>
                <w:sz w:val="18"/>
                <w:szCs w:val="18"/>
                <w:lang w:eastAsia="es-CO"/>
              </w:rPr>
            </w:pPr>
            <w:r w:rsidRPr="0039091F">
              <w:rPr>
                <w:rFonts w:eastAsia="Times New Roman" w:cs="Times New Roman"/>
                <w:color w:val="000000"/>
                <w:sz w:val="18"/>
                <w:szCs w:val="18"/>
                <w:lang w:eastAsia="es-CO"/>
              </w:rPr>
              <w:t>15</w:t>
            </w:r>
          </w:p>
        </w:tc>
        <w:tc>
          <w:tcPr>
            <w:tcW w:w="527" w:type="pct"/>
            <w:vAlign w:val="center"/>
            <w:hideMark/>
          </w:tcPr>
          <w:p w14:paraId="03A89826" w14:textId="77777777" w:rsidR="00297E57" w:rsidRPr="0039091F" w:rsidRDefault="00297E57" w:rsidP="000A5389">
            <w:pPr>
              <w:spacing w:line="240" w:lineRule="auto"/>
              <w:jc w:val="center"/>
              <w:rPr>
                <w:rFonts w:eastAsia="Times New Roman" w:cs="Times New Roman"/>
                <w:color w:val="000000"/>
                <w:sz w:val="18"/>
                <w:szCs w:val="18"/>
                <w:lang w:eastAsia="es-CO"/>
              </w:rPr>
            </w:pPr>
            <w:r w:rsidRPr="0039091F">
              <w:rPr>
                <w:rFonts w:eastAsia="Times New Roman" w:cs="Times New Roman"/>
                <w:color w:val="000000"/>
                <w:sz w:val="18"/>
                <w:szCs w:val="18"/>
                <w:lang w:eastAsia="es-CO"/>
              </w:rPr>
              <w:t>13 de agosto</w:t>
            </w:r>
          </w:p>
        </w:tc>
        <w:tc>
          <w:tcPr>
            <w:tcW w:w="640" w:type="pct"/>
            <w:vAlign w:val="center"/>
            <w:hideMark/>
          </w:tcPr>
          <w:p w14:paraId="75E18D8B" w14:textId="77777777" w:rsidR="00297E57" w:rsidRPr="0039091F" w:rsidRDefault="00297E57" w:rsidP="000A5389">
            <w:pPr>
              <w:spacing w:line="240" w:lineRule="auto"/>
              <w:jc w:val="center"/>
              <w:rPr>
                <w:rFonts w:eastAsia="Times New Roman" w:cs="Times New Roman"/>
                <w:color w:val="000000"/>
                <w:sz w:val="18"/>
                <w:szCs w:val="18"/>
                <w:lang w:eastAsia="es-CO"/>
              </w:rPr>
            </w:pPr>
            <w:r w:rsidRPr="0039091F">
              <w:rPr>
                <w:rFonts w:eastAsia="Times New Roman" w:cs="Times New Roman"/>
                <w:color w:val="000000"/>
                <w:sz w:val="18"/>
                <w:szCs w:val="18"/>
                <w:lang w:eastAsia="es-CO"/>
              </w:rPr>
              <w:t>1</w:t>
            </w:r>
          </w:p>
        </w:tc>
      </w:tr>
      <w:tr w:rsidR="00297E57" w:rsidRPr="0039091F" w14:paraId="76BB8EE2" w14:textId="77777777" w:rsidTr="0039091F">
        <w:trPr>
          <w:trHeight w:val="283"/>
        </w:trPr>
        <w:tc>
          <w:tcPr>
            <w:tcW w:w="229" w:type="pct"/>
            <w:vAlign w:val="center"/>
            <w:hideMark/>
          </w:tcPr>
          <w:p w14:paraId="400C555E" w14:textId="77777777" w:rsidR="00297E57" w:rsidRPr="0039091F" w:rsidRDefault="00297E57" w:rsidP="000A5389">
            <w:pPr>
              <w:spacing w:line="240" w:lineRule="auto"/>
              <w:jc w:val="center"/>
              <w:rPr>
                <w:rFonts w:eastAsia="Times New Roman" w:cs="Times New Roman"/>
                <w:color w:val="000000"/>
                <w:sz w:val="18"/>
                <w:szCs w:val="18"/>
                <w:lang w:eastAsia="es-CO"/>
              </w:rPr>
            </w:pPr>
            <w:r w:rsidRPr="0039091F">
              <w:rPr>
                <w:rFonts w:eastAsia="Times New Roman" w:cs="Times New Roman"/>
                <w:color w:val="000000"/>
                <w:sz w:val="18"/>
                <w:szCs w:val="18"/>
                <w:lang w:eastAsia="es-CO"/>
              </w:rPr>
              <w:lastRenderedPageBreak/>
              <w:t>57</w:t>
            </w:r>
          </w:p>
        </w:tc>
        <w:tc>
          <w:tcPr>
            <w:tcW w:w="777" w:type="pct"/>
            <w:vAlign w:val="center"/>
            <w:hideMark/>
          </w:tcPr>
          <w:p w14:paraId="3433C36D" w14:textId="77777777" w:rsidR="00297E57" w:rsidRPr="0039091F" w:rsidRDefault="00297E57" w:rsidP="000A5389">
            <w:pPr>
              <w:spacing w:line="240" w:lineRule="auto"/>
              <w:rPr>
                <w:rFonts w:eastAsia="Times New Roman" w:cs="Times New Roman"/>
                <w:color w:val="000000"/>
                <w:sz w:val="18"/>
                <w:szCs w:val="18"/>
                <w:lang w:eastAsia="es-CO"/>
              </w:rPr>
            </w:pPr>
            <w:r w:rsidRPr="0039091F">
              <w:rPr>
                <w:rFonts w:eastAsia="Times New Roman" w:cs="Times New Roman"/>
                <w:color w:val="000000"/>
                <w:sz w:val="18"/>
                <w:szCs w:val="18"/>
                <w:lang w:eastAsia="es-CO"/>
              </w:rPr>
              <w:t>Eje 2 (Territorio, Vida y Ambiente) y Ambiental</w:t>
            </w:r>
          </w:p>
        </w:tc>
        <w:tc>
          <w:tcPr>
            <w:tcW w:w="1320" w:type="pct"/>
            <w:vAlign w:val="center"/>
            <w:hideMark/>
          </w:tcPr>
          <w:p w14:paraId="40DD02FE" w14:textId="77777777" w:rsidR="00297E57" w:rsidRPr="0039091F" w:rsidRDefault="00297E57" w:rsidP="000A5389">
            <w:pPr>
              <w:spacing w:line="240" w:lineRule="auto"/>
              <w:rPr>
                <w:rFonts w:eastAsia="Times New Roman" w:cs="Times New Roman"/>
                <w:color w:val="000000"/>
                <w:sz w:val="18"/>
                <w:szCs w:val="18"/>
                <w:lang w:eastAsia="es-CO"/>
              </w:rPr>
            </w:pPr>
            <w:r w:rsidRPr="0039091F">
              <w:rPr>
                <w:rFonts w:eastAsia="Times New Roman" w:cs="Times New Roman"/>
                <w:color w:val="000000"/>
                <w:sz w:val="18"/>
                <w:szCs w:val="18"/>
                <w:lang w:eastAsia="es-CO"/>
              </w:rPr>
              <w:t>Capacitación Plástico de un solo uso</w:t>
            </w:r>
          </w:p>
        </w:tc>
        <w:tc>
          <w:tcPr>
            <w:tcW w:w="1044" w:type="pct"/>
            <w:vAlign w:val="center"/>
            <w:hideMark/>
          </w:tcPr>
          <w:p w14:paraId="79C88E4E" w14:textId="77777777" w:rsidR="00297E57" w:rsidRPr="0039091F" w:rsidRDefault="00297E57" w:rsidP="000A5389">
            <w:pPr>
              <w:spacing w:line="240" w:lineRule="auto"/>
              <w:jc w:val="center"/>
              <w:rPr>
                <w:rFonts w:eastAsia="Times New Roman" w:cs="Times New Roman"/>
                <w:color w:val="000000"/>
                <w:sz w:val="18"/>
                <w:szCs w:val="18"/>
                <w:lang w:eastAsia="es-CO"/>
              </w:rPr>
            </w:pPr>
            <w:r w:rsidRPr="0039091F">
              <w:rPr>
                <w:rFonts w:eastAsia="Times New Roman" w:cs="Times New Roman"/>
                <w:color w:val="000000"/>
                <w:sz w:val="18"/>
                <w:szCs w:val="18"/>
                <w:lang w:eastAsia="es-CO"/>
              </w:rPr>
              <w:t>Secretaría Distrital de Ambiente (SDA)</w:t>
            </w:r>
          </w:p>
        </w:tc>
        <w:tc>
          <w:tcPr>
            <w:tcW w:w="464" w:type="pct"/>
            <w:vAlign w:val="center"/>
            <w:hideMark/>
          </w:tcPr>
          <w:p w14:paraId="1E0843D8" w14:textId="77777777" w:rsidR="00297E57" w:rsidRPr="0039091F" w:rsidRDefault="00297E57" w:rsidP="000A5389">
            <w:pPr>
              <w:spacing w:line="240" w:lineRule="auto"/>
              <w:jc w:val="center"/>
              <w:rPr>
                <w:rFonts w:eastAsia="Times New Roman" w:cs="Times New Roman"/>
                <w:color w:val="000000"/>
                <w:sz w:val="18"/>
                <w:szCs w:val="18"/>
                <w:lang w:eastAsia="es-CO"/>
              </w:rPr>
            </w:pPr>
            <w:r w:rsidRPr="0039091F">
              <w:rPr>
                <w:rFonts w:eastAsia="Times New Roman" w:cs="Times New Roman"/>
                <w:color w:val="000000"/>
                <w:sz w:val="18"/>
                <w:szCs w:val="18"/>
                <w:lang w:eastAsia="es-CO"/>
              </w:rPr>
              <w:t>18</w:t>
            </w:r>
          </w:p>
        </w:tc>
        <w:tc>
          <w:tcPr>
            <w:tcW w:w="527" w:type="pct"/>
            <w:vAlign w:val="center"/>
            <w:hideMark/>
          </w:tcPr>
          <w:p w14:paraId="3E1F7289" w14:textId="77777777" w:rsidR="00297E57" w:rsidRPr="0039091F" w:rsidRDefault="00297E57" w:rsidP="000A5389">
            <w:pPr>
              <w:spacing w:line="240" w:lineRule="auto"/>
              <w:jc w:val="center"/>
              <w:rPr>
                <w:rFonts w:eastAsia="Times New Roman" w:cs="Times New Roman"/>
                <w:color w:val="000000"/>
                <w:sz w:val="18"/>
                <w:szCs w:val="18"/>
                <w:lang w:eastAsia="es-CO"/>
              </w:rPr>
            </w:pPr>
            <w:r w:rsidRPr="0039091F">
              <w:rPr>
                <w:rFonts w:eastAsia="Times New Roman" w:cs="Times New Roman"/>
                <w:color w:val="000000"/>
                <w:sz w:val="18"/>
                <w:szCs w:val="18"/>
                <w:lang w:eastAsia="es-CO"/>
              </w:rPr>
              <w:t>15 de agosto</w:t>
            </w:r>
          </w:p>
        </w:tc>
        <w:tc>
          <w:tcPr>
            <w:tcW w:w="640" w:type="pct"/>
            <w:vAlign w:val="center"/>
            <w:hideMark/>
          </w:tcPr>
          <w:p w14:paraId="5779CD08" w14:textId="77777777" w:rsidR="00297E57" w:rsidRPr="0039091F" w:rsidRDefault="00297E57" w:rsidP="000A5389">
            <w:pPr>
              <w:spacing w:line="240" w:lineRule="auto"/>
              <w:jc w:val="center"/>
              <w:rPr>
                <w:rFonts w:eastAsia="Times New Roman" w:cs="Times New Roman"/>
                <w:color w:val="000000"/>
                <w:sz w:val="18"/>
                <w:szCs w:val="18"/>
                <w:lang w:eastAsia="es-CO"/>
              </w:rPr>
            </w:pPr>
            <w:r w:rsidRPr="0039091F">
              <w:rPr>
                <w:rFonts w:eastAsia="Times New Roman" w:cs="Times New Roman"/>
                <w:color w:val="000000"/>
                <w:sz w:val="18"/>
                <w:szCs w:val="18"/>
                <w:lang w:eastAsia="es-CO"/>
              </w:rPr>
              <w:t>1</w:t>
            </w:r>
          </w:p>
        </w:tc>
      </w:tr>
      <w:tr w:rsidR="00297E57" w:rsidRPr="0039091F" w14:paraId="12CBDD29" w14:textId="77777777" w:rsidTr="0039091F">
        <w:trPr>
          <w:trHeight w:val="283"/>
        </w:trPr>
        <w:tc>
          <w:tcPr>
            <w:tcW w:w="229" w:type="pct"/>
            <w:vAlign w:val="center"/>
            <w:hideMark/>
          </w:tcPr>
          <w:p w14:paraId="14657249" w14:textId="77777777" w:rsidR="00297E57" w:rsidRPr="0039091F" w:rsidRDefault="00297E57" w:rsidP="000A5389">
            <w:pPr>
              <w:spacing w:line="240" w:lineRule="auto"/>
              <w:jc w:val="center"/>
              <w:rPr>
                <w:rFonts w:eastAsia="Times New Roman" w:cs="Times New Roman"/>
                <w:color w:val="000000"/>
                <w:sz w:val="18"/>
                <w:szCs w:val="18"/>
                <w:lang w:eastAsia="es-CO"/>
              </w:rPr>
            </w:pPr>
            <w:r w:rsidRPr="0039091F">
              <w:rPr>
                <w:rFonts w:eastAsia="Times New Roman" w:cs="Times New Roman"/>
                <w:color w:val="000000"/>
                <w:sz w:val="18"/>
                <w:szCs w:val="18"/>
                <w:lang w:eastAsia="es-CO"/>
              </w:rPr>
              <w:t>58</w:t>
            </w:r>
          </w:p>
        </w:tc>
        <w:tc>
          <w:tcPr>
            <w:tcW w:w="777" w:type="pct"/>
            <w:vAlign w:val="center"/>
            <w:hideMark/>
          </w:tcPr>
          <w:p w14:paraId="12DE0981" w14:textId="77777777" w:rsidR="00297E57" w:rsidRPr="0039091F" w:rsidRDefault="00297E57" w:rsidP="000A5389">
            <w:pPr>
              <w:spacing w:line="240" w:lineRule="auto"/>
              <w:rPr>
                <w:rFonts w:eastAsia="Times New Roman" w:cs="Times New Roman"/>
                <w:color w:val="000000"/>
                <w:sz w:val="18"/>
                <w:szCs w:val="18"/>
                <w:lang w:eastAsia="es-CO"/>
              </w:rPr>
            </w:pPr>
            <w:r w:rsidRPr="0039091F">
              <w:rPr>
                <w:rFonts w:eastAsia="Times New Roman" w:cs="Times New Roman"/>
                <w:color w:val="000000"/>
                <w:sz w:val="18"/>
                <w:szCs w:val="18"/>
                <w:lang w:eastAsia="es-CO"/>
              </w:rPr>
              <w:t>Seguridad y Salud en el Trabajo</w:t>
            </w:r>
          </w:p>
        </w:tc>
        <w:tc>
          <w:tcPr>
            <w:tcW w:w="1320" w:type="pct"/>
            <w:vAlign w:val="center"/>
            <w:hideMark/>
          </w:tcPr>
          <w:p w14:paraId="6B1F4911" w14:textId="77777777" w:rsidR="00297E57" w:rsidRPr="0039091F" w:rsidRDefault="00297E57" w:rsidP="000A5389">
            <w:pPr>
              <w:spacing w:line="240" w:lineRule="auto"/>
              <w:rPr>
                <w:rFonts w:eastAsia="Times New Roman" w:cs="Times New Roman"/>
                <w:color w:val="000000"/>
                <w:sz w:val="18"/>
                <w:szCs w:val="18"/>
                <w:lang w:eastAsia="es-CO"/>
              </w:rPr>
            </w:pPr>
            <w:r w:rsidRPr="0039091F">
              <w:rPr>
                <w:rFonts w:eastAsia="Times New Roman" w:cs="Times New Roman"/>
                <w:color w:val="000000"/>
                <w:sz w:val="18"/>
                <w:szCs w:val="18"/>
                <w:lang w:eastAsia="es-CO"/>
              </w:rPr>
              <w:t>Capacitación Efectos del alcohol y drogas y SPA en la vía</w:t>
            </w:r>
          </w:p>
        </w:tc>
        <w:tc>
          <w:tcPr>
            <w:tcW w:w="1044" w:type="pct"/>
            <w:vAlign w:val="center"/>
            <w:hideMark/>
          </w:tcPr>
          <w:p w14:paraId="2A42FBA7" w14:textId="77777777" w:rsidR="00297E57" w:rsidRPr="0039091F" w:rsidRDefault="00297E57" w:rsidP="000A5389">
            <w:pPr>
              <w:spacing w:line="240" w:lineRule="auto"/>
              <w:jc w:val="center"/>
              <w:rPr>
                <w:rFonts w:eastAsia="Times New Roman" w:cs="Times New Roman"/>
                <w:color w:val="000000"/>
                <w:sz w:val="18"/>
                <w:szCs w:val="18"/>
                <w:lang w:eastAsia="es-CO"/>
              </w:rPr>
            </w:pPr>
            <w:r w:rsidRPr="0039091F">
              <w:rPr>
                <w:rFonts w:eastAsia="Times New Roman" w:cs="Times New Roman"/>
                <w:color w:val="000000"/>
                <w:sz w:val="18"/>
                <w:szCs w:val="18"/>
                <w:lang w:eastAsia="es-CO"/>
              </w:rPr>
              <w:t>ARL POSITIVA</w:t>
            </w:r>
          </w:p>
        </w:tc>
        <w:tc>
          <w:tcPr>
            <w:tcW w:w="464" w:type="pct"/>
            <w:vAlign w:val="center"/>
            <w:hideMark/>
          </w:tcPr>
          <w:p w14:paraId="66BCED7D" w14:textId="77777777" w:rsidR="00297E57" w:rsidRPr="0039091F" w:rsidRDefault="00297E57" w:rsidP="000A5389">
            <w:pPr>
              <w:spacing w:line="240" w:lineRule="auto"/>
              <w:jc w:val="center"/>
              <w:rPr>
                <w:rFonts w:eastAsia="Times New Roman" w:cs="Times New Roman"/>
                <w:color w:val="000000"/>
                <w:sz w:val="18"/>
                <w:szCs w:val="18"/>
                <w:lang w:eastAsia="es-CO"/>
              </w:rPr>
            </w:pPr>
            <w:r w:rsidRPr="0039091F">
              <w:rPr>
                <w:rFonts w:eastAsia="Times New Roman" w:cs="Times New Roman"/>
                <w:color w:val="000000"/>
                <w:sz w:val="18"/>
                <w:szCs w:val="18"/>
                <w:lang w:eastAsia="es-CO"/>
              </w:rPr>
              <w:t>27</w:t>
            </w:r>
          </w:p>
        </w:tc>
        <w:tc>
          <w:tcPr>
            <w:tcW w:w="527" w:type="pct"/>
            <w:vAlign w:val="center"/>
            <w:hideMark/>
          </w:tcPr>
          <w:p w14:paraId="78EFBA9C" w14:textId="77777777" w:rsidR="00297E57" w:rsidRPr="0039091F" w:rsidRDefault="00297E57" w:rsidP="000A5389">
            <w:pPr>
              <w:spacing w:line="240" w:lineRule="auto"/>
              <w:jc w:val="center"/>
              <w:rPr>
                <w:rFonts w:eastAsia="Times New Roman" w:cs="Times New Roman"/>
                <w:color w:val="000000"/>
                <w:sz w:val="18"/>
                <w:szCs w:val="18"/>
                <w:lang w:eastAsia="es-CO"/>
              </w:rPr>
            </w:pPr>
            <w:r w:rsidRPr="0039091F">
              <w:rPr>
                <w:rFonts w:eastAsia="Times New Roman" w:cs="Times New Roman"/>
                <w:color w:val="000000"/>
                <w:sz w:val="18"/>
                <w:szCs w:val="18"/>
                <w:lang w:eastAsia="es-CO"/>
              </w:rPr>
              <w:t>20 de agosto</w:t>
            </w:r>
          </w:p>
        </w:tc>
        <w:tc>
          <w:tcPr>
            <w:tcW w:w="640" w:type="pct"/>
            <w:vAlign w:val="center"/>
            <w:hideMark/>
          </w:tcPr>
          <w:p w14:paraId="1FD6E996" w14:textId="77777777" w:rsidR="00297E57" w:rsidRPr="0039091F" w:rsidRDefault="00297E57" w:rsidP="000A5389">
            <w:pPr>
              <w:spacing w:line="240" w:lineRule="auto"/>
              <w:jc w:val="center"/>
              <w:rPr>
                <w:rFonts w:eastAsia="Times New Roman" w:cs="Times New Roman"/>
                <w:color w:val="000000"/>
                <w:sz w:val="18"/>
                <w:szCs w:val="18"/>
                <w:lang w:eastAsia="es-CO"/>
              </w:rPr>
            </w:pPr>
            <w:r w:rsidRPr="0039091F">
              <w:rPr>
                <w:rFonts w:eastAsia="Times New Roman" w:cs="Times New Roman"/>
                <w:color w:val="000000"/>
                <w:sz w:val="18"/>
                <w:szCs w:val="18"/>
                <w:lang w:eastAsia="es-CO"/>
              </w:rPr>
              <w:t>1</w:t>
            </w:r>
          </w:p>
        </w:tc>
      </w:tr>
      <w:tr w:rsidR="00297E57" w:rsidRPr="0039091F" w14:paraId="0BCDC6E7" w14:textId="77777777" w:rsidTr="0039091F">
        <w:trPr>
          <w:trHeight w:val="283"/>
        </w:trPr>
        <w:tc>
          <w:tcPr>
            <w:tcW w:w="229" w:type="pct"/>
            <w:vAlign w:val="center"/>
            <w:hideMark/>
          </w:tcPr>
          <w:p w14:paraId="31F0342E" w14:textId="77777777" w:rsidR="00297E57" w:rsidRPr="0039091F" w:rsidRDefault="00297E57" w:rsidP="000A5389">
            <w:pPr>
              <w:spacing w:line="240" w:lineRule="auto"/>
              <w:jc w:val="center"/>
              <w:rPr>
                <w:rFonts w:eastAsia="Times New Roman" w:cs="Times New Roman"/>
                <w:color w:val="000000"/>
                <w:sz w:val="18"/>
                <w:szCs w:val="18"/>
                <w:lang w:eastAsia="es-CO"/>
              </w:rPr>
            </w:pPr>
            <w:r w:rsidRPr="0039091F">
              <w:rPr>
                <w:rFonts w:eastAsia="Times New Roman" w:cs="Times New Roman"/>
                <w:color w:val="000000"/>
                <w:sz w:val="18"/>
                <w:szCs w:val="18"/>
                <w:lang w:eastAsia="es-CO"/>
              </w:rPr>
              <w:t>59</w:t>
            </w:r>
          </w:p>
        </w:tc>
        <w:tc>
          <w:tcPr>
            <w:tcW w:w="777" w:type="pct"/>
            <w:vAlign w:val="center"/>
            <w:hideMark/>
          </w:tcPr>
          <w:p w14:paraId="670E8AB9" w14:textId="77777777" w:rsidR="00297E57" w:rsidRPr="0039091F" w:rsidRDefault="00297E57" w:rsidP="000A5389">
            <w:pPr>
              <w:spacing w:line="240" w:lineRule="auto"/>
              <w:rPr>
                <w:rFonts w:eastAsia="Times New Roman" w:cs="Times New Roman"/>
                <w:color w:val="000000"/>
                <w:sz w:val="18"/>
                <w:szCs w:val="18"/>
                <w:lang w:eastAsia="es-CO"/>
              </w:rPr>
            </w:pPr>
            <w:r w:rsidRPr="0039091F">
              <w:rPr>
                <w:rFonts w:eastAsia="Times New Roman" w:cs="Times New Roman"/>
                <w:color w:val="000000"/>
                <w:sz w:val="18"/>
                <w:szCs w:val="18"/>
                <w:lang w:eastAsia="es-CO"/>
              </w:rPr>
              <w:t>Orfeo y Gestión Documental</w:t>
            </w:r>
          </w:p>
        </w:tc>
        <w:tc>
          <w:tcPr>
            <w:tcW w:w="1320" w:type="pct"/>
            <w:vAlign w:val="center"/>
            <w:hideMark/>
          </w:tcPr>
          <w:p w14:paraId="33ECB605" w14:textId="77777777" w:rsidR="00297E57" w:rsidRPr="0039091F" w:rsidRDefault="00297E57" w:rsidP="000A5389">
            <w:pPr>
              <w:spacing w:line="240" w:lineRule="auto"/>
              <w:rPr>
                <w:rFonts w:eastAsia="Times New Roman" w:cs="Times New Roman"/>
                <w:color w:val="000000"/>
                <w:sz w:val="18"/>
                <w:szCs w:val="18"/>
                <w:lang w:eastAsia="es-CO"/>
              </w:rPr>
            </w:pPr>
            <w:r w:rsidRPr="0039091F">
              <w:rPr>
                <w:rFonts w:eastAsia="Times New Roman" w:cs="Times New Roman"/>
                <w:color w:val="000000"/>
                <w:sz w:val="18"/>
                <w:szCs w:val="18"/>
                <w:lang w:eastAsia="es-CO"/>
              </w:rPr>
              <w:t>Capacitación en Orfeo y Gestión Documental dirigida a la Vicepresidencia Jurídica</w:t>
            </w:r>
          </w:p>
        </w:tc>
        <w:tc>
          <w:tcPr>
            <w:tcW w:w="1044" w:type="pct"/>
            <w:vAlign w:val="center"/>
            <w:hideMark/>
          </w:tcPr>
          <w:p w14:paraId="1B0FBD5A" w14:textId="77777777" w:rsidR="00297E57" w:rsidRPr="0039091F" w:rsidRDefault="00297E57" w:rsidP="000A5389">
            <w:pPr>
              <w:spacing w:line="240" w:lineRule="auto"/>
              <w:jc w:val="center"/>
              <w:rPr>
                <w:rFonts w:eastAsia="Times New Roman" w:cs="Times New Roman"/>
                <w:color w:val="000000"/>
                <w:sz w:val="18"/>
                <w:szCs w:val="18"/>
                <w:lang w:eastAsia="es-CO"/>
              </w:rPr>
            </w:pPr>
            <w:r w:rsidRPr="0039091F">
              <w:rPr>
                <w:rFonts w:eastAsia="Times New Roman" w:cs="Times New Roman"/>
                <w:color w:val="000000"/>
                <w:sz w:val="18"/>
                <w:szCs w:val="18"/>
                <w:lang w:eastAsia="es-CO"/>
              </w:rPr>
              <w:t>ANI</w:t>
            </w:r>
          </w:p>
        </w:tc>
        <w:tc>
          <w:tcPr>
            <w:tcW w:w="464" w:type="pct"/>
            <w:vAlign w:val="center"/>
            <w:hideMark/>
          </w:tcPr>
          <w:p w14:paraId="45DFEFE0" w14:textId="77777777" w:rsidR="00297E57" w:rsidRPr="0039091F" w:rsidRDefault="00297E57" w:rsidP="000A5389">
            <w:pPr>
              <w:spacing w:line="240" w:lineRule="auto"/>
              <w:jc w:val="center"/>
              <w:rPr>
                <w:rFonts w:eastAsia="Times New Roman" w:cs="Times New Roman"/>
                <w:color w:val="000000"/>
                <w:sz w:val="18"/>
                <w:szCs w:val="18"/>
                <w:lang w:eastAsia="es-CO"/>
              </w:rPr>
            </w:pPr>
            <w:r w:rsidRPr="0039091F">
              <w:rPr>
                <w:rFonts w:eastAsia="Times New Roman" w:cs="Times New Roman"/>
                <w:color w:val="000000"/>
                <w:sz w:val="18"/>
                <w:szCs w:val="18"/>
                <w:lang w:eastAsia="es-CO"/>
              </w:rPr>
              <w:t>21</w:t>
            </w:r>
          </w:p>
        </w:tc>
        <w:tc>
          <w:tcPr>
            <w:tcW w:w="527" w:type="pct"/>
            <w:vAlign w:val="center"/>
            <w:hideMark/>
          </w:tcPr>
          <w:p w14:paraId="3B023779" w14:textId="77777777" w:rsidR="00297E57" w:rsidRPr="0039091F" w:rsidRDefault="00297E57" w:rsidP="000A5389">
            <w:pPr>
              <w:spacing w:line="240" w:lineRule="auto"/>
              <w:jc w:val="center"/>
              <w:rPr>
                <w:rFonts w:eastAsia="Times New Roman" w:cs="Times New Roman"/>
                <w:color w:val="000000"/>
                <w:sz w:val="18"/>
                <w:szCs w:val="18"/>
                <w:lang w:eastAsia="es-CO"/>
              </w:rPr>
            </w:pPr>
            <w:r w:rsidRPr="0039091F">
              <w:rPr>
                <w:rFonts w:eastAsia="Times New Roman" w:cs="Times New Roman"/>
                <w:color w:val="000000"/>
                <w:sz w:val="18"/>
                <w:szCs w:val="18"/>
                <w:lang w:eastAsia="es-CO"/>
              </w:rPr>
              <w:t>19 de agosto</w:t>
            </w:r>
          </w:p>
        </w:tc>
        <w:tc>
          <w:tcPr>
            <w:tcW w:w="640" w:type="pct"/>
            <w:vAlign w:val="center"/>
            <w:hideMark/>
          </w:tcPr>
          <w:p w14:paraId="5F16E14A" w14:textId="77777777" w:rsidR="00297E57" w:rsidRPr="0039091F" w:rsidRDefault="00297E57" w:rsidP="000A5389">
            <w:pPr>
              <w:spacing w:line="240" w:lineRule="auto"/>
              <w:jc w:val="center"/>
              <w:rPr>
                <w:rFonts w:eastAsia="Times New Roman" w:cs="Times New Roman"/>
                <w:color w:val="000000"/>
                <w:sz w:val="18"/>
                <w:szCs w:val="18"/>
                <w:lang w:eastAsia="es-CO"/>
              </w:rPr>
            </w:pPr>
            <w:r w:rsidRPr="0039091F">
              <w:rPr>
                <w:rFonts w:eastAsia="Times New Roman" w:cs="Times New Roman"/>
                <w:color w:val="000000"/>
                <w:sz w:val="18"/>
                <w:szCs w:val="18"/>
                <w:lang w:eastAsia="es-CO"/>
              </w:rPr>
              <w:t>1,5 </w:t>
            </w:r>
          </w:p>
        </w:tc>
      </w:tr>
      <w:tr w:rsidR="00297E57" w:rsidRPr="0039091F" w14:paraId="739DFCBF" w14:textId="77777777" w:rsidTr="0039091F">
        <w:trPr>
          <w:trHeight w:val="283"/>
        </w:trPr>
        <w:tc>
          <w:tcPr>
            <w:tcW w:w="229" w:type="pct"/>
            <w:vAlign w:val="center"/>
            <w:hideMark/>
          </w:tcPr>
          <w:p w14:paraId="7054386C" w14:textId="77777777" w:rsidR="00297E57" w:rsidRPr="0039091F" w:rsidRDefault="00297E57" w:rsidP="000A5389">
            <w:pPr>
              <w:spacing w:line="240" w:lineRule="auto"/>
              <w:jc w:val="center"/>
              <w:rPr>
                <w:rFonts w:eastAsia="Times New Roman" w:cs="Times New Roman"/>
                <w:color w:val="000000"/>
                <w:sz w:val="18"/>
                <w:szCs w:val="18"/>
                <w:lang w:eastAsia="es-CO"/>
              </w:rPr>
            </w:pPr>
            <w:r w:rsidRPr="0039091F">
              <w:rPr>
                <w:rFonts w:eastAsia="Times New Roman" w:cs="Times New Roman"/>
                <w:color w:val="000000"/>
                <w:sz w:val="18"/>
                <w:szCs w:val="18"/>
                <w:lang w:eastAsia="es-CO"/>
              </w:rPr>
              <w:t>60</w:t>
            </w:r>
          </w:p>
        </w:tc>
        <w:tc>
          <w:tcPr>
            <w:tcW w:w="777" w:type="pct"/>
            <w:vAlign w:val="center"/>
            <w:hideMark/>
          </w:tcPr>
          <w:p w14:paraId="6A058363" w14:textId="77777777" w:rsidR="00297E57" w:rsidRPr="0039091F" w:rsidRDefault="00297E57" w:rsidP="000A5389">
            <w:pPr>
              <w:spacing w:line="240" w:lineRule="auto"/>
              <w:rPr>
                <w:rFonts w:eastAsia="Times New Roman" w:cs="Times New Roman"/>
                <w:color w:val="000000"/>
                <w:sz w:val="18"/>
                <w:szCs w:val="18"/>
                <w:lang w:eastAsia="es-CO"/>
              </w:rPr>
            </w:pPr>
            <w:r w:rsidRPr="0039091F">
              <w:rPr>
                <w:rFonts w:eastAsia="Times New Roman" w:cs="Times New Roman"/>
                <w:color w:val="000000"/>
                <w:sz w:val="18"/>
                <w:szCs w:val="18"/>
                <w:lang w:eastAsia="es-CO"/>
              </w:rPr>
              <w:t>Orfeo y Gestión Documental</w:t>
            </w:r>
          </w:p>
        </w:tc>
        <w:tc>
          <w:tcPr>
            <w:tcW w:w="1320" w:type="pct"/>
            <w:vAlign w:val="center"/>
            <w:hideMark/>
          </w:tcPr>
          <w:p w14:paraId="708E6C6A" w14:textId="77777777" w:rsidR="00297E57" w:rsidRPr="0039091F" w:rsidRDefault="00297E57" w:rsidP="000A5389">
            <w:pPr>
              <w:spacing w:line="240" w:lineRule="auto"/>
              <w:rPr>
                <w:rFonts w:eastAsia="Times New Roman" w:cs="Times New Roman"/>
                <w:color w:val="000000"/>
                <w:sz w:val="18"/>
                <w:szCs w:val="18"/>
                <w:lang w:eastAsia="es-CO"/>
              </w:rPr>
            </w:pPr>
            <w:r w:rsidRPr="0039091F">
              <w:rPr>
                <w:rFonts w:eastAsia="Times New Roman" w:cs="Times New Roman"/>
                <w:color w:val="000000"/>
                <w:sz w:val="18"/>
                <w:szCs w:val="18"/>
                <w:lang w:eastAsia="es-CO"/>
              </w:rPr>
              <w:t>Capacitación en Orfeo y Gestión Documental, dirigida a la Vicepresidencia Ejecutiva</w:t>
            </w:r>
          </w:p>
        </w:tc>
        <w:tc>
          <w:tcPr>
            <w:tcW w:w="1044" w:type="pct"/>
            <w:vAlign w:val="center"/>
            <w:hideMark/>
          </w:tcPr>
          <w:p w14:paraId="22E21D97" w14:textId="77777777" w:rsidR="00297E57" w:rsidRPr="0039091F" w:rsidRDefault="00297E57" w:rsidP="000A5389">
            <w:pPr>
              <w:spacing w:line="240" w:lineRule="auto"/>
              <w:jc w:val="center"/>
              <w:rPr>
                <w:rFonts w:eastAsia="Times New Roman" w:cs="Times New Roman"/>
                <w:color w:val="000000"/>
                <w:sz w:val="18"/>
                <w:szCs w:val="18"/>
                <w:lang w:eastAsia="es-CO"/>
              </w:rPr>
            </w:pPr>
            <w:r w:rsidRPr="0039091F">
              <w:rPr>
                <w:rFonts w:eastAsia="Times New Roman" w:cs="Times New Roman"/>
                <w:color w:val="000000"/>
                <w:sz w:val="18"/>
                <w:szCs w:val="18"/>
                <w:lang w:eastAsia="es-CO"/>
              </w:rPr>
              <w:t>ANI</w:t>
            </w:r>
          </w:p>
        </w:tc>
        <w:tc>
          <w:tcPr>
            <w:tcW w:w="464" w:type="pct"/>
            <w:vAlign w:val="center"/>
            <w:hideMark/>
          </w:tcPr>
          <w:p w14:paraId="5795DFBA" w14:textId="77777777" w:rsidR="00297E57" w:rsidRPr="0039091F" w:rsidRDefault="00297E57" w:rsidP="000A5389">
            <w:pPr>
              <w:spacing w:line="240" w:lineRule="auto"/>
              <w:jc w:val="center"/>
              <w:rPr>
                <w:rFonts w:eastAsia="Times New Roman" w:cs="Times New Roman"/>
                <w:color w:val="000000"/>
                <w:sz w:val="18"/>
                <w:szCs w:val="18"/>
                <w:lang w:eastAsia="es-CO"/>
              </w:rPr>
            </w:pPr>
            <w:r w:rsidRPr="0039091F">
              <w:rPr>
                <w:rFonts w:eastAsia="Times New Roman" w:cs="Times New Roman"/>
                <w:color w:val="000000"/>
                <w:sz w:val="18"/>
                <w:szCs w:val="18"/>
                <w:lang w:eastAsia="es-CO"/>
              </w:rPr>
              <w:t>24</w:t>
            </w:r>
          </w:p>
        </w:tc>
        <w:tc>
          <w:tcPr>
            <w:tcW w:w="527" w:type="pct"/>
            <w:vAlign w:val="center"/>
            <w:hideMark/>
          </w:tcPr>
          <w:p w14:paraId="2BB4D36A" w14:textId="77777777" w:rsidR="00297E57" w:rsidRPr="0039091F" w:rsidRDefault="00297E57" w:rsidP="000A5389">
            <w:pPr>
              <w:spacing w:line="240" w:lineRule="auto"/>
              <w:jc w:val="center"/>
              <w:rPr>
                <w:rFonts w:cs="Times New Roman"/>
                <w:sz w:val="18"/>
                <w:szCs w:val="18"/>
                <w:lang w:eastAsia="es-CO"/>
              </w:rPr>
            </w:pPr>
            <w:r w:rsidRPr="0039091F">
              <w:rPr>
                <w:rFonts w:eastAsia="Times New Roman" w:cs="Times New Roman"/>
                <w:color w:val="000000"/>
                <w:sz w:val="18"/>
                <w:szCs w:val="18"/>
                <w:lang w:eastAsia="es-CO"/>
              </w:rPr>
              <w:t>20 de agosto</w:t>
            </w:r>
          </w:p>
        </w:tc>
        <w:tc>
          <w:tcPr>
            <w:tcW w:w="640" w:type="pct"/>
            <w:vAlign w:val="center"/>
            <w:hideMark/>
          </w:tcPr>
          <w:p w14:paraId="531F521D" w14:textId="77777777" w:rsidR="00297E57" w:rsidRPr="0039091F" w:rsidRDefault="00297E57" w:rsidP="000A5389">
            <w:pPr>
              <w:spacing w:line="240" w:lineRule="auto"/>
              <w:jc w:val="center"/>
              <w:rPr>
                <w:rFonts w:eastAsia="Times New Roman" w:cs="Times New Roman"/>
                <w:color w:val="000000"/>
                <w:sz w:val="18"/>
                <w:szCs w:val="18"/>
                <w:lang w:eastAsia="es-CO"/>
              </w:rPr>
            </w:pPr>
            <w:r w:rsidRPr="0039091F">
              <w:rPr>
                <w:rFonts w:eastAsia="Times New Roman" w:cs="Times New Roman"/>
                <w:color w:val="000000"/>
                <w:sz w:val="18"/>
                <w:szCs w:val="18"/>
                <w:lang w:eastAsia="es-CO"/>
              </w:rPr>
              <w:t>2</w:t>
            </w:r>
          </w:p>
        </w:tc>
      </w:tr>
      <w:tr w:rsidR="00297E57" w:rsidRPr="0039091F" w14:paraId="439CB9F1" w14:textId="77777777" w:rsidTr="0039091F">
        <w:trPr>
          <w:trHeight w:val="283"/>
        </w:trPr>
        <w:tc>
          <w:tcPr>
            <w:tcW w:w="229" w:type="pct"/>
            <w:vAlign w:val="center"/>
            <w:hideMark/>
          </w:tcPr>
          <w:p w14:paraId="0EF61FE7" w14:textId="77777777" w:rsidR="00297E57" w:rsidRPr="0039091F" w:rsidRDefault="00297E57" w:rsidP="000A5389">
            <w:pPr>
              <w:spacing w:line="240" w:lineRule="auto"/>
              <w:jc w:val="center"/>
              <w:rPr>
                <w:rFonts w:eastAsia="Times New Roman" w:cs="Times New Roman"/>
                <w:color w:val="000000"/>
                <w:sz w:val="18"/>
                <w:szCs w:val="18"/>
                <w:lang w:eastAsia="es-CO"/>
              </w:rPr>
            </w:pPr>
            <w:r w:rsidRPr="0039091F">
              <w:rPr>
                <w:rFonts w:eastAsia="Times New Roman" w:cs="Times New Roman"/>
                <w:color w:val="000000"/>
                <w:sz w:val="18"/>
                <w:szCs w:val="18"/>
                <w:lang w:eastAsia="es-CO"/>
              </w:rPr>
              <w:t>61</w:t>
            </w:r>
          </w:p>
        </w:tc>
        <w:tc>
          <w:tcPr>
            <w:tcW w:w="777" w:type="pct"/>
            <w:vAlign w:val="center"/>
            <w:hideMark/>
          </w:tcPr>
          <w:p w14:paraId="1332A5C8" w14:textId="77777777" w:rsidR="00297E57" w:rsidRPr="0039091F" w:rsidRDefault="00297E57" w:rsidP="000A5389">
            <w:pPr>
              <w:spacing w:line="240" w:lineRule="auto"/>
              <w:rPr>
                <w:rFonts w:eastAsia="Times New Roman" w:cs="Times New Roman"/>
                <w:color w:val="000000"/>
                <w:sz w:val="18"/>
                <w:szCs w:val="18"/>
                <w:lang w:eastAsia="es-CO"/>
              </w:rPr>
            </w:pPr>
            <w:r w:rsidRPr="0039091F">
              <w:rPr>
                <w:rFonts w:eastAsia="Times New Roman" w:cs="Times New Roman"/>
                <w:color w:val="000000"/>
                <w:sz w:val="18"/>
                <w:szCs w:val="18"/>
                <w:lang w:eastAsia="es-CO"/>
              </w:rPr>
              <w:t>Seguridad y Salud en el Trabajo</w:t>
            </w:r>
          </w:p>
        </w:tc>
        <w:tc>
          <w:tcPr>
            <w:tcW w:w="1320" w:type="pct"/>
            <w:vAlign w:val="center"/>
            <w:hideMark/>
          </w:tcPr>
          <w:p w14:paraId="190E9A5D" w14:textId="77777777" w:rsidR="00297E57" w:rsidRPr="0039091F" w:rsidRDefault="00297E57" w:rsidP="000A5389">
            <w:pPr>
              <w:spacing w:line="240" w:lineRule="auto"/>
              <w:rPr>
                <w:rFonts w:eastAsia="Times New Roman" w:cs="Times New Roman"/>
                <w:color w:val="000000"/>
                <w:sz w:val="18"/>
                <w:szCs w:val="18"/>
                <w:lang w:eastAsia="es-CO"/>
              </w:rPr>
            </w:pPr>
            <w:r w:rsidRPr="0039091F">
              <w:rPr>
                <w:rFonts w:eastAsia="Times New Roman" w:cs="Times New Roman"/>
                <w:color w:val="000000"/>
                <w:sz w:val="18"/>
                <w:szCs w:val="18"/>
                <w:lang w:eastAsia="es-CO"/>
              </w:rPr>
              <w:t>Capacitación en Uso de Elementos de protección Personal</w:t>
            </w:r>
          </w:p>
        </w:tc>
        <w:tc>
          <w:tcPr>
            <w:tcW w:w="1044" w:type="pct"/>
            <w:vAlign w:val="center"/>
            <w:hideMark/>
          </w:tcPr>
          <w:p w14:paraId="604497CF" w14:textId="77777777" w:rsidR="00297E57" w:rsidRPr="0039091F" w:rsidRDefault="00297E57" w:rsidP="000A5389">
            <w:pPr>
              <w:spacing w:line="240" w:lineRule="auto"/>
              <w:jc w:val="center"/>
              <w:rPr>
                <w:rFonts w:eastAsia="Times New Roman" w:cs="Times New Roman"/>
                <w:color w:val="000000"/>
                <w:sz w:val="18"/>
                <w:szCs w:val="18"/>
                <w:lang w:eastAsia="es-CO"/>
              </w:rPr>
            </w:pPr>
            <w:r w:rsidRPr="0039091F">
              <w:rPr>
                <w:rFonts w:eastAsia="Times New Roman" w:cs="Times New Roman"/>
                <w:color w:val="000000"/>
                <w:sz w:val="18"/>
                <w:szCs w:val="18"/>
                <w:lang w:eastAsia="es-CO"/>
              </w:rPr>
              <w:t>ANI</w:t>
            </w:r>
          </w:p>
        </w:tc>
        <w:tc>
          <w:tcPr>
            <w:tcW w:w="464" w:type="pct"/>
            <w:vAlign w:val="center"/>
            <w:hideMark/>
          </w:tcPr>
          <w:p w14:paraId="4280B89D" w14:textId="77777777" w:rsidR="00297E57" w:rsidRPr="0039091F" w:rsidRDefault="00297E57" w:rsidP="000A5389">
            <w:pPr>
              <w:spacing w:line="240" w:lineRule="auto"/>
              <w:jc w:val="center"/>
              <w:rPr>
                <w:rFonts w:eastAsia="Times New Roman" w:cs="Times New Roman"/>
                <w:color w:val="000000"/>
                <w:sz w:val="18"/>
                <w:szCs w:val="18"/>
                <w:lang w:eastAsia="es-CO"/>
              </w:rPr>
            </w:pPr>
            <w:r w:rsidRPr="0039091F">
              <w:rPr>
                <w:rFonts w:eastAsia="Times New Roman" w:cs="Times New Roman"/>
                <w:color w:val="000000"/>
                <w:sz w:val="18"/>
                <w:szCs w:val="18"/>
                <w:lang w:eastAsia="es-CO"/>
              </w:rPr>
              <w:t>13</w:t>
            </w:r>
          </w:p>
        </w:tc>
        <w:tc>
          <w:tcPr>
            <w:tcW w:w="527" w:type="pct"/>
            <w:vAlign w:val="center"/>
            <w:hideMark/>
          </w:tcPr>
          <w:p w14:paraId="5F3745C3" w14:textId="77777777" w:rsidR="00297E57" w:rsidRPr="0039091F" w:rsidRDefault="00297E57" w:rsidP="000A5389">
            <w:pPr>
              <w:spacing w:line="240" w:lineRule="auto"/>
              <w:jc w:val="center"/>
              <w:rPr>
                <w:rFonts w:eastAsia="Times New Roman" w:cs="Times New Roman"/>
                <w:color w:val="000000"/>
                <w:sz w:val="18"/>
                <w:szCs w:val="18"/>
                <w:lang w:eastAsia="es-CO"/>
              </w:rPr>
            </w:pPr>
            <w:r w:rsidRPr="0039091F">
              <w:rPr>
                <w:rFonts w:eastAsia="Times New Roman" w:cs="Times New Roman"/>
                <w:color w:val="000000"/>
                <w:sz w:val="18"/>
                <w:szCs w:val="18"/>
                <w:lang w:eastAsia="es-CO"/>
              </w:rPr>
              <w:t>22 de agosto</w:t>
            </w:r>
          </w:p>
        </w:tc>
        <w:tc>
          <w:tcPr>
            <w:tcW w:w="640" w:type="pct"/>
            <w:vAlign w:val="center"/>
            <w:hideMark/>
          </w:tcPr>
          <w:p w14:paraId="667C24CD" w14:textId="77777777" w:rsidR="00297E57" w:rsidRPr="0039091F" w:rsidRDefault="00297E57" w:rsidP="000A5389">
            <w:pPr>
              <w:spacing w:line="240" w:lineRule="auto"/>
              <w:jc w:val="center"/>
              <w:rPr>
                <w:rFonts w:eastAsia="Times New Roman" w:cs="Times New Roman"/>
                <w:color w:val="000000"/>
                <w:sz w:val="18"/>
                <w:szCs w:val="18"/>
                <w:lang w:eastAsia="es-CO"/>
              </w:rPr>
            </w:pPr>
            <w:r w:rsidRPr="0039091F">
              <w:rPr>
                <w:rFonts w:eastAsia="Times New Roman" w:cs="Times New Roman"/>
                <w:color w:val="000000"/>
                <w:sz w:val="18"/>
                <w:szCs w:val="18"/>
                <w:lang w:eastAsia="es-CO"/>
              </w:rPr>
              <w:t>1,3</w:t>
            </w:r>
          </w:p>
        </w:tc>
      </w:tr>
      <w:tr w:rsidR="00297E57" w:rsidRPr="0039091F" w14:paraId="592C4EAC" w14:textId="77777777" w:rsidTr="0039091F">
        <w:trPr>
          <w:trHeight w:val="283"/>
        </w:trPr>
        <w:tc>
          <w:tcPr>
            <w:tcW w:w="229" w:type="pct"/>
            <w:vAlign w:val="center"/>
            <w:hideMark/>
          </w:tcPr>
          <w:p w14:paraId="6E963AD9" w14:textId="77777777" w:rsidR="00297E57" w:rsidRPr="0039091F" w:rsidRDefault="00297E57" w:rsidP="000A5389">
            <w:pPr>
              <w:spacing w:line="240" w:lineRule="auto"/>
              <w:jc w:val="center"/>
              <w:rPr>
                <w:rFonts w:eastAsia="Times New Roman" w:cs="Times New Roman"/>
                <w:color w:val="000000"/>
                <w:sz w:val="18"/>
                <w:szCs w:val="18"/>
                <w:lang w:eastAsia="es-CO"/>
              </w:rPr>
            </w:pPr>
            <w:r w:rsidRPr="0039091F">
              <w:rPr>
                <w:rFonts w:eastAsia="Times New Roman" w:cs="Times New Roman"/>
                <w:color w:val="000000"/>
                <w:sz w:val="18"/>
                <w:szCs w:val="18"/>
                <w:lang w:eastAsia="es-CO"/>
              </w:rPr>
              <w:t>62</w:t>
            </w:r>
          </w:p>
        </w:tc>
        <w:tc>
          <w:tcPr>
            <w:tcW w:w="777" w:type="pct"/>
            <w:vAlign w:val="center"/>
            <w:hideMark/>
          </w:tcPr>
          <w:p w14:paraId="145C910B" w14:textId="77777777" w:rsidR="00297E57" w:rsidRPr="0039091F" w:rsidRDefault="00297E57" w:rsidP="000A5389">
            <w:pPr>
              <w:spacing w:line="240" w:lineRule="auto"/>
              <w:rPr>
                <w:rFonts w:eastAsia="Times New Roman" w:cs="Times New Roman"/>
                <w:color w:val="000000"/>
                <w:sz w:val="18"/>
                <w:szCs w:val="18"/>
                <w:lang w:eastAsia="es-CO"/>
              </w:rPr>
            </w:pPr>
            <w:r w:rsidRPr="0039091F">
              <w:rPr>
                <w:rFonts w:eastAsia="Times New Roman" w:cs="Times New Roman"/>
                <w:color w:val="000000"/>
                <w:sz w:val="18"/>
                <w:szCs w:val="18"/>
                <w:lang w:eastAsia="es-CO"/>
              </w:rPr>
              <w:t>Eje 5 (Probidad y Ética de lo Público)</w:t>
            </w:r>
          </w:p>
        </w:tc>
        <w:tc>
          <w:tcPr>
            <w:tcW w:w="1320" w:type="pct"/>
            <w:vAlign w:val="center"/>
            <w:hideMark/>
          </w:tcPr>
          <w:p w14:paraId="3E35105D" w14:textId="77777777" w:rsidR="00297E57" w:rsidRPr="0039091F" w:rsidRDefault="00297E57" w:rsidP="000A5389">
            <w:pPr>
              <w:spacing w:line="240" w:lineRule="auto"/>
              <w:rPr>
                <w:rFonts w:eastAsia="Times New Roman" w:cs="Times New Roman"/>
                <w:color w:val="000000"/>
                <w:sz w:val="18"/>
                <w:szCs w:val="18"/>
                <w:lang w:eastAsia="es-CO"/>
              </w:rPr>
            </w:pPr>
            <w:r w:rsidRPr="0039091F">
              <w:rPr>
                <w:rFonts w:eastAsia="Times New Roman" w:cs="Times New Roman"/>
                <w:color w:val="000000"/>
                <w:sz w:val="18"/>
                <w:szCs w:val="18"/>
                <w:lang w:eastAsia="es-CO"/>
              </w:rPr>
              <w:t>Capacitación Política de Integridad (Código de Integridad - Conflictos de Interés)</w:t>
            </w:r>
          </w:p>
        </w:tc>
        <w:tc>
          <w:tcPr>
            <w:tcW w:w="1044" w:type="pct"/>
            <w:vAlign w:val="center"/>
            <w:hideMark/>
          </w:tcPr>
          <w:p w14:paraId="14C19090" w14:textId="77777777" w:rsidR="00297E57" w:rsidRPr="0039091F" w:rsidRDefault="00297E57" w:rsidP="000A5389">
            <w:pPr>
              <w:spacing w:line="240" w:lineRule="auto"/>
              <w:jc w:val="center"/>
              <w:rPr>
                <w:rFonts w:eastAsia="Times New Roman" w:cs="Times New Roman"/>
                <w:color w:val="000000"/>
                <w:sz w:val="18"/>
                <w:szCs w:val="18"/>
                <w:lang w:eastAsia="es-CO"/>
              </w:rPr>
            </w:pPr>
            <w:r w:rsidRPr="0039091F">
              <w:rPr>
                <w:rFonts w:eastAsia="Times New Roman" w:cs="Times New Roman"/>
                <w:color w:val="000000"/>
                <w:sz w:val="18"/>
                <w:szCs w:val="18"/>
                <w:lang w:eastAsia="es-CO"/>
              </w:rPr>
              <w:t>ANI</w:t>
            </w:r>
          </w:p>
        </w:tc>
        <w:tc>
          <w:tcPr>
            <w:tcW w:w="464" w:type="pct"/>
            <w:vAlign w:val="center"/>
            <w:hideMark/>
          </w:tcPr>
          <w:p w14:paraId="60D39072" w14:textId="77777777" w:rsidR="00297E57" w:rsidRPr="0039091F" w:rsidRDefault="00297E57" w:rsidP="000A5389">
            <w:pPr>
              <w:spacing w:line="240" w:lineRule="auto"/>
              <w:jc w:val="center"/>
              <w:rPr>
                <w:rFonts w:eastAsia="Times New Roman" w:cs="Times New Roman"/>
                <w:color w:val="000000"/>
                <w:sz w:val="18"/>
                <w:szCs w:val="18"/>
                <w:lang w:eastAsia="es-CO"/>
              </w:rPr>
            </w:pPr>
            <w:r w:rsidRPr="0039091F">
              <w:rPr>
                <w:rFonts w:eastAsia="Times New Roman" w:cs="Times New Roman"/>
                <w:color w:val="000000"/>
                <w:sz w:val="18"/>
                <w:szCs w:val="18"/>
                <w:lang w:eastAsia="es-CO"/>
              </w:rPr>
              <w:t>20</w:t>
            </w:r>
          </w:p>
        </w:tc>
        <w:tc>
          <w:tcPr>
            <w:tcW w:w="527" w:type="pct"/>
            <w:vAlign w:val="center"/>
            <w:hideMark/>
          </w:tcPr>
          <w:p w14:paraId="2F593EBB" w14:textId="77777777" w:rsidR="00297E57" w:rsidRPr="0039091F" w:rsidRDefault="00297E57" w:rsidP="000A5389">
            <w:pPr>
              <w:spacing w:line="240" w:lineRule="auto"/>
              <w:jc w:val="center"/>
              <w:rPr>
                <w:rFonts w:eastAsia="Times New Roman" w:cs="Times New Roman"/>
                <w:color w:val="000000"/>
                <w:sz w:val="18"/>
                <w:szCs w:val="18"/>
                <w:lang w:eastAsia="es-CO"/>
              </w:rPr>
            </w:pPr>
            <w:r w:rsidRPr="0039091F">
              <w:rPr>
                <w:rFonts w:eastAsia="Times New Roman" w:cs="Times New Roman"/>
                <w:color w:val="000000"/>
                <w:sz w:val="18"/>
                <w:szCs w:val="18"/>
                <w:lang w:eastAsia="es-CO"/>
              </w:rPr>
              <w:t>25 de agosto</w:t>
            </w:r>
          </w:p>
        </w:tc>
        <w:tc>
          <w:tcPr>
            <w:tcW w:w="640" w:type="pct"/>
            <w:vAlign w:val="center"/>
            <w:hideMark/>
          </w:tcPr>
          <w:p w14:paraId="0DC85332" w14:textId="77777777" w:rsidR="00297E57" w:rsidRPr="0039091F" w:rsidRDefault="00297E57" w:rsidP="000A5389">
            <w:pPr>
              <w:spacing w:line="240" w:lineRule="auto"/>
              <w:jc w:val="center"/>
              <w:rPr>
                <w:rFonts w:eastAsia="Times New Roman" w:cs="Times New Roman"/>
                <w:color w:val="000000"/>
                <w:sz w:val="18"/>
                <w:szCs w:val="18"/>
                <w:lang w:eastAsia="es-CO"/>
              </w:rPr>
            </w:pPr>
            <w:r w:rsidRPr="0039091F">
              <w:rPr>
                <w:rFonts w:eastAsia="Times New Roman" w:cs="Times New Roman"/>
                <w:color w:val="000000"/>
                <w:sz w:val="18"/>
                <w:szCs w:val="18"/>
                <w:lang w:eastAsia="es-CO"/>
              </w:rPr>
              <w:t>30</w:t>
            </w:r>
          </w:p>
        </w:tc>
      </w:tr>
      <w:tr w:rsidR="00297E57" w:rsidRPr="0039091F" w14:paraId="72798073" w14:textId="77777777" w:rsidTr="0039091F">
        <w:trPr>
          <w:trHeight w:val="283"/>
        </w:trPr>
        <w:tc>
          <w:tcPr>
            <w:tcW w:w="229" w:type="pct"/>
            <w:vAlign w:val="center"/>
            <w:hideMark/>
          </w:tcPr>
          <w:p w14:paraId="13D30E74" w14:textId="77777777" w:rsidR="00297E57" w:rsidRPr="0039091F" w:rsidRDefault="00297E57" w:rsidP="000A5389">
            <w:pPr>
              <w:spacing w:line="240" w:lineRule="auto"/>
              <w:jc w:val="center"/>
              <w:rPr>
                <w:rFonts w:eastAsia="Times New Roman" w:cs="Times New Roman"/>
                <w:color w:val="000000"/>
                <w:sz w:val="18"/>
                <w:szCs w:val="18"/>
                <w:lang w:eastAsia="es-CO"/>
              </w:rPr>
            </w:pPr>
            <w:r w:rsidRPr="0039091F">
              <w:rPr>
                <w:rFonts w:eastAsia="Times New Roman" w:cs="Times New Roman"/>
                <w:color w:val="000000"/>
                <w:sz w:val="18"/>
                <w:szCs w:val="18"/>
                <w:lang w:eastAsia="es-CO"/>
              </w:rPr>
              <w:t>63</w:t>
            </w:r>
          </w:p>
        </w:tc>
        <w:tc>
          <w:tcPr>
            <w:tcW w:w="777" w:type="pct"/>
            <w:vAlign w:val="center"/>
            <w:hideMark/>
          </w:tcPr>
          <w:p w14:paraId="22DE362F" w14:textId="77777777" w:rsidR="00297E57" w:rsidRPr="0039091F" w:rsidRDefault="00297E57" w:rsidP="000A5389">
            <w:pPr>
              <w:spacing w:line="240" w:lineRule="auto"/>
              <w:rPr>
                <w:rFonts w:eastAsia="Times New Roman" w:cs="Times New Roman"/>
                <w:color w:val="000000"/>
                <w:sz w:val="18"/>
                <w:szCs w:val="18"/>
                <w:lang w:eastAsia="es-CO"/>
              </w:rPr>
            </w:pPr>
            <w:r w:rsidRPr="0039091F">
              <w:rPr>
                <w:rFonts w:eastAsia="Times New Roman" w:cs="Times New Roman"/>
                <w:color w:val="000000"/>
                <w:sz w:val="18"/>
                <w:szCs w:val="18"/>
                <w:lang w:eastAsia="es-CO"/>
              </w:rPr>
              <w:t>Seguridad y Salud en el Trabajo</w:t>
            </w:r>
          </w:p>
        </w:tc>
        <w:tc>
          <w:tcPr>
            <w:tcW w:w="1320" w:type="pct"/>
            <w:vAlign w:val="center"/>
            <w:hideMark/>
          </w:tcPr>
          <w:p w14:paraId="41D16BD6" w14:textId="77777777" w:rsidR="00297E57" w:rsidRPr="0039091F" w:rsidRDefault="00297E57" w:rsidP="000A5389">
            <w:pPr>
              <w:spacing w:line="240" w:lineRule="auto"/>
              <w:rPr>
                <w:rFonts w:eastAsia="Times New Roman" w:cs="Times New Roman"/>
                <w:color w:val="000000"/>
                <w:sz w:val="18"/>
                <w:szCs w:val="18"/>
                <w:lang w:eastAsia="es-CO"/>
              </w:rPr>
            </w:pPr>
            <w:r w:rsidRPr="0039091F">
              <w:rPr>
                <w:rFonts w:eastAsia="Times New Roman" w:cs="Times New Roman"/>
                <w:color w:val="000000"/>
                <w:sz w:val="18"/>
                <w:szCs w:val="18"/>
                <w:lang w:eastAsia="es-CO"/>
              </w:rPr>
              <w:t>Capacitación Simulacro Integral con RCP</w:t>
            </w:r>
          </w:p>
        </w:tc>
        <w:tc>
          <w:tcPr>
            <w:tcW w:w="1044" w:type="pct"/>
            <w:vAlign w:val="center"/>
            <w:hideMark/>
          </w:tcPr>
          <w:p w14:paraId="1A22C484" w14:textId="77777777" w:rsidR="00297E57" w:rsidRPr="0039091F" w:rsidRDefault="00297E57" w:rsidP="000A5389">
            <w:pPr>
              <w:spacing w:line="240" w:lineRule="auto"/>
              <w:jc w:val="center"/>
              <w:rPr>
                <w:rFonts w:eastAsia="Times New Roman" w:cs="Times New Roman"/>
                <w:color w:val="000000"/>
                <w:sz w:val="18"/>
                <w:szCs w:val="18"/>
                <w:lang w:eastAsia="es-CO"/>
              </w:rPr>
            </w:pPr>
            <w:r w:rsidRPr="0039091F">
              <w:rPr>
                <w:rFonts w:eastAsia="Times New Roman" w:cs="Times New Roman"/>
                <w:color w:val="000000"/>
                <w:sz w:val="18"/>
                <w:szCs w:val="18"/>
                <w:lang w:eastAsia="es-CO"/>
              </w:rPr>
              <w:t>ARL POSITIVA</w:t>
            </w:r>
          </w:p>
        </w:tc>
        <w:tc>
          <w:tcPr>
            <w:tcW w:w="464" w:type="pct"/>
            <w:vAlign w:val="center"/>
            <w:hideMark/>
          </w:tcPr>
          <w:p w14:paraId="42D9B247" w14:textId="77777777" w:rsidR="00297E57" w:rsidRPr="0039091F" w:rsidRDefault="00297E57" w:rsidP="000A5389">
            <w:pPr>
              <w:spacing w:line="240" w:lineRule="auto"/>
              <w:jc w:val="center"/>
              <w:rPr>
                <w:rFonts w:eastAsia="Times New Roman" w:cs="Times New Roman"/>
                <w:color w:val="000000"/>
                <w:sz w:val="18"/>
                <w:szCs w:val="18"/>
                <w:lang w:eastAsia="es-CO"/>
              </w:rPr>
            </w:pPr>
            <w:r w:rsidRPr="0039091F">
              <w:rPr>
                <w:rFonts w:eastAsia="Times New Roman" w:cs="Times New Roman"/>
                <w:color w:val="000000"/>
                <w:sz w:val="18"/>
                <w:szCs w:val="18"/>
                <w:lang w:eastAsia="es-CO"/>
              </w:rPr>
              <w:t>3</w:t>
            </w:r>
          </w:p>
        </w:tc>
        <w:tc>
          <w:tcPr>
            <w:tcW w:w="527" w:type="pct"/>
            <w:vAlign w:val="center"/>
            <w:hideMark/>
          </w:tcPr>
          <w:p w14:paraId="34991BB8" w14:textId="77777777" w:rsidR="00297E57" w:rsidRPr="0039091F" w:rsidRDefault="00297E57" w:rsidP="000A5389">
            <w:pPr>
              <w:spacing w:line="240" w:lineRule="auto"/>
              <w:jc w:val="center"/>
              <w:rPr>
                <w:rFonts w:eastAsia="Times New Roman" w:cs="Times New Roman"/>
                <w:color w:val="000000"/>
                <w:sz w:val="18"/>
                <w:szCs w:val="18"/>
                <w:lang w:eastAsia="es-CO"/>
              </w:rPr>
            </w:pPr>
            <w:r w:rsidRPr="0039091F">
              <w:rPr>
                <w:rFonts w:eastAsia="Times New Roman" w:cs="Times New Roman"/>
                <w:color w:val="000000"/>
                <w:sz w:val="18"/>
                <w:szCs w:val="18"/>
                <w:lang w:eastAsia="es-CO"/>
              </w:rPr>
              <w:t>26 de agosto</w:t>
            </w:r>
          </w:p>
        </w:tc>
        <w:tc>
          <w:tcPr>
            <w:tcW w:w="640" w:type="pct"/>
            <w:vAlign w:val="center"/>
            <w:hideMark/>
          </w:tcPr>
          <w:p w14:paraId="70C93815" w14:textId="77777777" w:rsidR="00297E57" w:rsidRPr="0039091F" w:rsidRDefault="00297E57" w:rsidP="000A5389">
            <w:pPr>
              <w:spacing w:line="240" w:lineRule="auto"/>
              <w:jc w:val="center"/>
              <w:rPr>
                <w:rFonts w:eastAsia="Times New Roman" w:cs="Times New Roman"/>
                <w:color w:val="000000"/>
                <w:sz w:val="18"/>
                <w:szCs w:val="18"/>
                <w:lang w:eastAsia="es-CO"/>
              </w:rPr>
            </w:pPr>
            <w:r w:rsidRPr="0039091F">
              <w:rPr>
                <w:rFonts w:eastAsia="Times New Roman" w:cs="Times New Roman"/>
                <w:color w:val="000000"/>
                <w:sz w:val="18"/>
                <w:szCs w:val="18"/>
                <w:lang w:eastAsia="es-CO"/>
              </w:rPr>
              <w:t>1, 35</w:t>
            </w:r>
          </w:p>
        </w:tc>
      </w:tr>
      <w:tr w:rsidR="00297E57" w:rsidRPr="0039091F" w14:paraId="5025DE66" w14:textId="77777777" w:rsidTr="0039091F">
        <w:trPr>
          <w:trHeight w:val="283"/>
        </w:trPr>
        <w:tc>
          <w:tcPr>
            <w:tcW w:w="229" w:type="pct"/>
            <w:vAlign w:val="center"/>
            <w:hideMark/>
          </w:tcPr>
          <w:p w14:paraId="3A41C1AD" w14:textId="77777777" w:rsidR="00297E57" w:rsidRPr="0039091F" w:rsidRDefault="00297E57" w:rsidP="000A5389">
            <w:pPr>
              <w:spacing w:line="240" w:lineRule="auto"/>
              <w:jc w:val="center"/>
              <w:rPr>
                <w:rFonts w:eastAsia="Times New Roman" w:cs="Times New Roman"/>
                <w:color w:val="000000"/>
                <w:sz w:val="18"/>
                <w:szCs w:val="18"/>
                <w:lang w:eastAsia="es-CO"/>
              </w:rPr>
            </w:pPr>
            <w:r w:rsidRPr="0039091F">
              <w:rPr>
                <w:rFonts w:eastAsia="Times New Roman" w:cs="Times New Roman"/>
                <w:color w:val="000000"/>
                <w:sz w:val="18"/>
                <w:szCs w:val="18"/>
                <w:lang w:eastAsia="es-CO"/>
              </w:rPr>
              <w:t>64</w:t>
            </w:r>
          </w:p>
        </w:tc>
        <w:tc>
          <w:tcPr>
            <w:tcW w:w="777" w:type="pct"/>
            <w:vAlign w:val="center"/>
            <w:hideMark/>
          </w:tcPr>
          <w:p w14:paraId="07AFD41B" w14:textId="77777777" w:rsidR="00297E57" w:rsidRPr="0039091F" w:rsidRDefault="00297E57" w:rsidP="000A5389">
            <w:pPr>
              <w:spacing w:line="240" w:lineRule="auto"/>
              <w:rPr>
                <w:rFonts w:eastAsia="Times New Roman" w:cs="Times New Roman"/>
                <w:color w:val="000000"/>
                <w:sz w:val="18"/>
                <w:szCs w:val="18"/>
                <w:lang w:eastAsia="es-CO"/>
              </w:rPr>
            </w:pPr>
            <w:r w:rsidRPr="0039091F">
              <w:rPr>
                <w:rFonts w:eastAsia="Times New Roman" w:cs="Times New Roman"/>
                <w:color w:val="000000"/>
                <w:sz w:val="18"/>
                <w:szCs w:val="18"/>
                <w:lang w:eastAsia="es-CO"/>
              </w:rPr>
              <w:t>Seguridad y Salud en el Trabajo e identificadas por EDL</w:t>
            </w:r>
          </w:p>
        </w:tc>
        <w:tc>
          <w:tcPr>
            <w:tcW w:w="1320" w:type="pct"/>
            <w:vAlign w:val="center"/>
            <w:hideMark/>
          </w:tcPr>
          <w:p w14:paraId="7F68C381" w14:textId="77777777" w:rsidR="00297E57" w:rsidRPr="0039091F" w:rsidRDefault="00297E57" w:rsidP="000A5389">
            <w:pPr>
              <w:spacing w:line="240" w:lineRule="auto"/>
              <w:rPr>
                <w:rFonts w:eastAsia="Times New Roman" w:cs="Times New Roman"/>
                <w:color w:val="000000"/>
                <w:sz w:val="18"/>
                <w:szCs w:val="18"/>
                <w:lang w:eastAsia="es-CO"/>
              </w:rPr>
            </w:pPr>
            <w:r w:rsidRPr="0039091F">
              <w:rPr>
                <w:rFonts w:eastAsia="Times New Roman" w:cs="Times New Roman"/>
                <w:color w:val="000000"/>
                <w:sz w:val="18"/>
                <w:szCs w:val="18"/>
                <w:lang w:eastAsia="es-CO"/>
              </w:rPr>
              <w:t>Capacitación Fortalecimiento en competencias blandas</w:t>
            </w:r>
          </w:p>
        </w:tc>
        <w:tc>
          <w:tcPr>
            <w:tcW w:w="1044" w:type="pct"/>
            <w:vAlign w:val="center"/>
            <w:hideMark/>
          </w:tcPr>
          <w:p w14:paraId="712138CD" w14:textId="77777777" w:rsidR="00297E57" w:rsidRPr="0039091F" w:rsidRDefault="00297E57" w:rsidP="000A5389">
            <w:pPr>
              <w:spacing w:line="240" w:lineRule="auto"/>
              <w:jc w:val="center"/>
              <w:rPr>
                <w:rFonts w:eastAsia="Times New Roman" w:cs="Times New Roman"/>
                <w:color w:val="000000"/>
                <w:sz w:val="18"/>
                <w:szCs w:val="18"/>
                <w:lang w:eastAsia="es-CO"/>
              </w:rPr>
            </w:pPr>
            <w:r w:rsidRPr="0039091F">
              <w:rPr>
                <w:rFonts w:eastAsia="Times New Roman" w:cs="Times New Roman"/>
                <w:color w:val="000000"/>
                <w:sz w:val="18"/>
                <w:szCs w:val="18"/>
                <w:lang w:eastAsia="es-CO"/>
              </w:rPr>
              <w:t>ARL POSITIVA</w:t>
            </w:r>
          </w:p>
        </w:tc>
        <w:tc>
          <w:tcPr>
            <w:tcW w:w="464" w:type="pct"/>
            <w:vAlign w:val="center"/>
            <w:hideMark/>
          </w:tcPr>
          <w:p w14:paraId="228D03F0" w14:textId="77777777" w:rsidR="00297E57" w:rsidRPr="0039091F" w:rsidRDefault="00297E57" w:rsidP="000A5389">
            <w:pPr>
              <w:spacing w:line="240" w:lineRule="auto"/>
              <w:jc w:val="center"/>
              <w:rPr>
                <w:rFonts w:eastAsia="Times New Roman" w:cs="Times New Roman"/>
                <w:color w:val="000000"/>
                <w:sz w:val="18"/>
                <w:szCs w:val="18"/>
                <w:lang w:eastAsia="es-CO"/>
              </w:rPr>
            </w:pPr>
            <w:r w:rsidRPr="0039091F">
              <w:rPr>
                <w:rFonts w:eastAsia="Times New Roman" w:cs="Times New Roman"/>
                <w:color w:val="000000"/>
                <w:sz w:val="18"/>
                <w:szCs w:val="18"/>
                <w:lang w:eastAsia="es-CO"/>
              </w:rPr>
              <w:t>15</w:t>
            </w:r>
          </w:p>
        </w:tc>
        <w:tc>
          <w:tcPr>
            <w:tcW w:w="527" w:type="pct"/>
            <w:vAlign w:val="center"/>
            <w:hideMark/>
          </w:tcPr>
          <w:p w14:paraId="16DCE495" w14:textId="77777777" w:rsidR="00297E57" w:rsidRPr="0039091F" w:rsidRDefault="00297E57" w:rsidP="000A5389">
            <w:pPr>
              <w:spacing w:line="240" w:lineRule="auto"/>
              <w:jc w:val="center"/>
              <w:rPr>
                <w:rFonts w:eastAsia="Times New Roman" w:cs="Times New Roman"/>
                <w:color w:val="000000"/>
                <w:sz w:val="18"/>
                <w:szCs w:val="18"/>
                <w:lang w:eastAsia="es-CO"/>
              </w:rPr>
            </w:pPr>
            <w:r w:rsidRPr="0039091F">
              <w:rPr>
                <w:rFonts w:eastAsia="Times New Roman" w:cs="Times New Roman"/>
                <w:color w:val="000000"/>
                <w:sz w:val="18"/>
                <w:szCs w:val="18"/>
                <w:lang w:eastAsia="es-CO"/>
              </w:rPr>
              <w:t>27 de agosto</w:t>
            </w:r>
          </w:p>
        </w:tc>
        <w:tc>
          <w:tcPr>
            <w:tcW w:w="640" w:type="pct"/>
            <w:vAlign w:val="center"/>
            <w:hideMark/>
          </w:tcPr>
          <w:p w14:paraId="3339EC2A" w14:textId="77777777" w:rsidR="00297E57" w:rsidRPr="0039091F" w:rsidRDefault="00297E57" w:rsidP="000A5389">
            <w:pPr>
              <w:spacing w:line="240" w:lineRule="auto"/>
              <w:jc w:val="center"/>
              <w:rPr>
                <w:rFonts w:eastAsia="Times New Roman" w:cs="Times New Roman"/>
                <w:color w:val="000000"/>
                <w:sz w:val="18"/>
                <w:szCs w:val="18"/>
                <w:lang w:eastAsia="es-CO"/>
              </w:rPr>
            </w:pPr>
            <w:r w:rsidRPr="0039091F">
              <w:rPr>
                <w:rFonts w:eastAsia="Times New Roman" w:cs="Times New Roman"/>
                <w:color w:val="000000"/>
                <w:sz w:val="18"/>
                <w:szCs w:val="18"/>
                <w:lang w:eastAsia="es-CO"/>
              </w:rPr>
              <w:t>1</w:t>
            </w:r>
          </w:p>
        </w:tc>
      </w:tr>
      <w:tr w:rsidR="00297E57" w:rsidRPr="0039091F" w14:paraId="276B1C6D" w14:textId="77777777" w:rsidTr="0039091F">
        <w:trPr>
          <w:trHeight w:val="283"/>
        </w:trPr>
        <w:tc>
          <w:tcPr>
            <w:tcW w:w="229" w:type="pct"/>
            <w:vAlign w:val="center"/>
            <w:hideMark/>
          </w:tcPr>
          <w:p w14:paraId="57D1D269" w14:textId="77777777" w:rsidR="00297E57" w:rsidRPr="0039091F" w:rsidRDefault="00297E57" w:rsidP="000A5389">
            <w:pPr>
              <w:spacing w:line="240" w:lineRule="auto"/>
              <w:jc w:val="center"/>
              <w:rPr>
                <w:rFonts w:eastAsia="Times New Roman" w:cs="Times New Roman"/>
                <w:color w:val="000000"/>
                <w:sz w:val="18"/>
                <w:szCs w:val="18"/>
                <w:lang w:eastAsia="es-CO"/>
              </w:rPr>
            </w:pPr>
            <w:r w:rsidRPr="0039091F">
              <w:rPr>
                <w:rFonts w:eastAsia="Times New Roman" w:cs="Times New Roman"/>
                <w:color w:val="000000"/>
                <w:sz w:val="18"/>
                <w:szCs w:val="18"/>
                <w:lang w:eastAsia="es-CO"/>
              </w:rPr>
              <w:t>65</w:t>
            </w:r>
          </w:p>
        </w:tc>
        <w:tc>
          <w:tcPr>
            <w:tcW w:w="777" w:type="pct"/>
            <w:vAlign w:val="center"/>
            <w:hideMark/>
          </w:tcPr>
          <w:p w14:paraId="2781DA71" w14:textId="77777777" w:rsidR="00297E57" w:rsidRPr="0039091F" w:rsidRDefault="00297E57" w:rsidP="000A5389">
            <w:pPr>
              <w:spacing w:line="240" w:lineRule="auto"/>
              <w:rPr>
                <w:rFonts w:eastAsia="Times New Roman" w:cs="Times New Roman"/>
                <w:color w:val="000000"/>
                <w:sz w:val="18"/>
                <w:szCs w:val="18"/>
                <w:lang w:eastAsia="es-CO"/>
              </w:rPr>
            </w:pPr>
            <w:r w:rsidRPr="0039091F">
              <w:rPr>
                <w:rFonts w:eastAsia="Times New Roman" w:cs="Times New Roman"/>
                <w:color w:val="000000"/>
                <w:sz w:val="18"/>
                <w:szCs w:val="18"/>
                <w:lang w:eastAsia="es-CO"/>
              </w:rPr>
              <w:t>Seguridad y Salud en el Trabajo</w:t>
            </w:r>
          </w:p>
        </w:tc>
        <w:tc>
          <w:tcPr>
            <w:tcW w:w="1320" w:type="pct"/>
            <w:vAlign w:val="center"/>
            <w:hideMark/>
          </w:tcPr>
          <w:p w14:paraId="3BA5E1CA" w14:textId="77777777" w:rsidR="00297E57" w:rsidRPr="0039091F" w:rsidRDefault="00297E57" w:rsidP="000A5389">
            <w:pPr>
              <w:spacing w:line="240" w:lineRule="auto"/>
              <w:rPr>
                <w:rFonts w:eastAsia="Times New Roman" w:cs="Times New Roman"/>
                <w:color w:val="000000"/>
                <w:sz w:val="18"/>
                <w:szCs w:val="18"/>
                <w:lang w:eastAsia="es-CO"/>
              </w:rPr>
            </w:pPr>
            <w:r w:rsidRPr="0039091F">
              <w:rPr>
                <w:rFonts w:eastAsia="Times New Roman" w:cs="Times New Roman"/>
                <w:color w:val="000000"/>
                <w:sz w:val="18"/>
                <w:szCs w:val="18"/>
                <w:lang w:eastAsia="es-CO"/>
              </w:rPr>
              <w:t>Capacitación Investigación de accidente de trabajo y enfermedades laborales</w:t>
            </w:r>
          </w:p>
        </w:tc>
        <w:tc>
          <w:tcPr>
            <w:tcW w:w="1044" w:type="pct"/>
            <w:vAlign w:val="center"/>
            <w:hideMark/>
          </w:tcPr>
          <w:p w14:paraId="65D3D9D2" w14:textId="77777777" w:rsidR="00297E57" w:rsidRPr="0039091F" w:rsidRDefault="00297E57" w:rsidP="000A5389">
            <w:pPr>
              <w:spacing w:line="240" w:lineRule="auto"/>
              <w:jc w:val="center"/>
              <w:rPr>
                <w:rFonts w:eastAsia="Times New Roman" w:cs="Times New Roman"/>
                <w:color w:val="000000"/>
                <w:sz w:val="18"/>
                <w:szCs w:val="18"/>
                <w:lang w:eastAsia="es-CO"/>
              </w:rPr>
            </w:pPr>
            <w:r w:rsidRPr="0039091F">
              <w:rPr>
                <w:rFonts w:eastAsia="Times New Roman" w:cs="Times New Roman"/>
                <w:color w:val="000000"/>
                <w:sz w:val="18"/>
                <w:szCs w:val="18"/>
                <w:lang w:eastAsia="es-CO"/>
              </w:rPr>
              <w:t>ARL POSITIVA</w:t>
            </w:r>
          </w:p>
        </w:tc>
        <w:tc>
          <w:tcPr>
            <w:tcW w:w="464" w:type="pct"/>
            <w:vAlign w:val="center"/>
            <w:hideMark/>
          </w:tcPr>
          <w:p w14:paraId="0B584C85" w14:textId="77777777" w:rsidR="00297E57" w:rsidRPr="0039091F" w:rsidRDefault="00297E57" w:rsidP="000A5389">
            <w:pPr>
              <w:spacing w:line="240" w:lineRule="auto"/>
              <w:jc w:val="center"/>
              <w:rPr>
                <w:rFonts w:eastAsia="Times New Roman" w:cs="Times New Roman"/>
                <w:color w:val="000000"/>
                <w:sz w:val="18"/>
                <w:szCs w:val="18"/>
                <w:lang w:eastAsia="es-CO"/>
              </w:rPr>
            </w:pPr>
            <w:r w:rsidRPr="0039091F">
              <w:rPr>
                <w:rFonts w:eastAsia="Times New Roman" w:cs="Times New Roman"/>
                <w:color w:val="000000"/>
                <w:sz w:val="18"/>
                <w:szCs w:val="18"/>
                <w:lang w:eastAsia="es-CO"/>
              </w:rPr>
              <w:t>9</w:t>
            </w:r>
          </w:p>
        </w:tc>
        <w:tc>
          <w:tcPr>
            <w:tcW w:w="527" w:type="pct"/>
            <w:vAlign w:val="center"/>
            <w:hideMark/>
          </w:tcPr>
          <w:p w14:paraId="557C4E20" w14:textId="77777777" w:rsidR="00297E57" w:rsidRPr="0039091F" w:rsidRDefault="00297E57" w:rsidP="000A5389">
            <w:pPr>
              <w:spacing w:line="240" w:lineRule="auto"/>
              <w:jc w:val="center"/>
              <w:rPr>
                <w:rFonts w:eastAsia="Times New Roman" w:cs="Times New Roman"/>
                <w:color w:val="000000"/>
                <w:sz w:val="18"/>
                <w:szCs w:val="18"/>
                <w:lang w:eastAsia="es-CO"/>
              </w:rPr>
            </w:pPr>
            <w:r w:rsidRPr="0039091F">
              <w:rPr>
                <w:rFonts w:eastAsia="Times New Roman" w:cs="Times New Roman"/>
                <w:color w:val="000000"/>
                <w:sz w:val="18"/>
                <w:szCs w:val="18"/>
                <w:lang w:eastAsia="es-CO"/>
              </w:rPr>
              <w:t>27 de agosto</w:t>
            </w:r>
          </w:p>
        </w:tc>
        <w:tc>
          <w:tcPr>
            <w:tcW w:w="640" w:type="pct"/>
            <w:vAlign w:val="center"/>
            <w:hideMark/>
          </w:tcPr>
          <w:p w14:paraId="1CCE0A3A" w14:textId="77777777" w:rsidR="00297E57" w:rsidRPr="0039091F" w:rsidRDefault="00297E57" w:rsidP="000A5389">
            <w:pPr>
              <w:spacing w:line="240" w:lineRule="auto"/>
              <w:jc w:val="center"/>
              <w:rPr>
                <w:rFonts w:eastAsia="Times New Roman" w:cs="Times New Roman"/>
                <w:color w:val="000000"/>
                <w:sz w:val="18"/>
                <w:szCs w:val="18"/>
                <w:lang w:eastAsia="es-CO"/>
              </w:rPr>
            </w:pPr>
            <w:r w:rsidRPr="0039091F">
              <w:rPr>
                <w:rFonts w:eastAsia="Times New Roman" w:cs="Times New Roman"/>
                <w:color w:val="000000"/>
                <w:sz w:val="18"/>
                <w:szCs w:val="18"/>
                <w:lang w:eastAsia="es-CO"/>
              </w:rPr>
              <w:t>1,15</w:t>
            </w:r>
          </w:p>
        </w:tc>
      </w:tr>
      <w:tr w:rsidR="00297E57" w:rsidRPr="0039091F" w14:paraId="0DCE6FA5" w14:textId="77777777" w:rsidTr="0039091F">
        <w:trPr>
          <w:trHeight w:val="283"/>
        </w:trPr>
        <w:tc>
          <w:tcPr>
            <w:tcW w:w="229" w:type="pct"/>
            <w:vAlign w:val="center"/>
            <w:hideMark/>
          </w:tcPr>
          <w:p w14:paraId="532E54C4" w14:textId="77777777" w:rsidR="00297E57" w:rsidRPr="0039091F" w:rsidRDefault="00297E57" w:rsidP="000A5389">
            <w:pPr>
              <w:spacing w:line="240" w:lineRule="auto"/>
              <w:jc w:val="center"/>
              <w:rPr>
                <w:rFonts w:eastAsia="Times New Roman" w:cs="Times New Roman"/>
                <w:color w:val="000000"/>
                <w:sz w:val="18"/>
                <w:szCs w:val="18"/>
                <w:lang w:eastAsia="es-CO"/>
              </w:rPr>
            </w:pPr>
            <w:r w:rsidRPr="0039091F">
              <w:rPr>
                <w:rFonts w:eastAsia="Times New Roman" w:cs="Times New Roman"/>
                <w:color w:val="000000"/>
                <w:sz w:val="18"/>
                <w:szCs w:val="18"/>
                <w:lang w:eastAsia="es-CO"/>
              </w:rPr>
              <w:t>66</w:t>
            </w:r>
          </w:p>
        </w:tc>
        <w:tc>
          <w:tcPr>
            <w:tcW w:w="777" w:type="pct"/>
            <w:vAlign w:val="center"/>
            <w:hideMark/>
          </w:tcPr>
          <w:p w14:paraId="3376D4DF" w14:textId="77777777" w:rsidR="00297E57" w:rsidRPr="0039091F" w:rsidRDefault="00297E57" w:rsidP="000A5389">
            <w:pPr>
              <w:spacing w:line="240" w:lineRule="auto"/>
              <w:rPr>
                <w:rFonts w:eastAsia="Times New Roman" w:cs="Times New Roman"/>
                <w:color w:val="000000"/>
                <w:sz w:val="18"/>
                <w:szCs w:val="18"/>
                <w:lang w:eastAsia="es-CO"/>
              </w:rPr>
            </w:pPr>
            <w:r w:rsidRPr="0039091F">
              <w:rPr>
                <w:rFonts w:eastAsia="Times New Roman" w:cs="Times New Roman"/>
                <w:color w:val="000000"/>
                <w:sz w:val="18"/>
                <w:szCs w:val="18"/>
                <w:lang w:eastAsia="es-CO"/>
              </w:rPr>
              <w:t>Seguridad y Salud en el Trabajo</w:t>
            </w:r>
          </w:p>
        </w:tc>
        <w:tc>
          <w:tcPr>
            <w:tcW w:w="1320" w:type="pct"/>
            <w:vAlign w:val="center"/>
            <w:hideMark/>
          </w:tcPr>
          <w:p w14:paraId="70D1378A" w14:textId="77777777" w:rsidR="00297E57" w:rsidRPr="0039091F" w:rsidRDefault="00297E57" w:rsidP="000A5389">
            <w:pPr>
              <w:spacing w:line="240" w:lineRule="auto"/>
              <w:rPr>
                <w:rFonts w:eastAsia="Times New Roman" w:cs="Times New Roman"/>
                <w:color w:val="000000"/>
                <w:sz w:val="18"/>
                <w:szCs w:val="18"/>
                <w:lang w:eastAsia="es-CO"/>
              </w:rPr>
            </w:pPr>
            <w:r w:rsidRPr="0039091F">
              <w:rPr>
                <w:rFonts w:eastAsia="Times New Roman" w:cs="Times New Roman"/>
                <w:color w:val="000000"/>
                <w:sz w:val="18"/>
                <w:szCs w:val="18"/>
                <w:lang w:eastAsia="es-CO"/>
              </w:rPr>
              <w:t>Capacitación Prevención, manejo y almacenamiento de sustancias químicas</w:t>
            </w:r>
          </w:p>
        </w:tc>
        <w:tc>
          <w:tcPr>
            <w:tcW w:w="1044" w:type="pct"/>
            <w:vAlign w:val="center"/>
            <w:hideMark/>
          </w:tcPr>
          <w:p w14:paraId="254CA2BE" w14:textId="77777777" w:rsidR="00297E57" w:rsidRPr="0039091F" w:rsidRDefault="00297E57" w:rsidP="000A5389">
            <w:pPr>
              <w:spacing w:line="240" w:lineRule="auto"/>
              <w:jc w:val="center"/>
              <w:rPr>
                <w:rFonts w:eastAsia="Times New Roman" w:cs="Times New Roman"/>
                <w:color w:val="000000"/>
                <w:sz w:val="18"/>
                <w:szCs w:val="18"/>
                <w:lang w:eastAsia="es-CO"/>
              </w:rPr>
            </w:pPr>
            <w:r w:rsidRPr="0039091F">
              <w:rPr>
                <w:rFonts w:eastAsia="Times New Roman" w:cs="Times New Roman"/>
                <w:color w:val="000000"/>
                <w:sz w:val="18"/>
                <w:szCs w:val="18"/>
                <w:lang w:eastAsia="es-CO"/>
              </w:rPr>
              <w:t>ARL POSITIVA</w:t>
            </w:r>
          </w:p>
        </w:tc>
        <w:tc>
          <w:tcPr>
            <w:tcW w:w="464" w:type="pct"/>
            <w:vAlign w:val="center"/>
            <w:hideMark/>
          </w:tcPr>
          <w:p w14:paraId="080C2560" w14:textId="77777777" w:rsidR="00297E57" w:rsidRPr="0039091F" w:rsidRDefault="00297E57" w:rsidP="000A5389">
            <w:pPr>
              <w:spacing w:line="240" w:lineRule="auto"/>
              <w:jc w:val="center"/>
              <w:rPr>
                <w:rFonts w:eastAsia="Times New Roman" w:cs="Times New Roman"/>
                <w:color w:val="000000"/>
                <w:sz w:val="18"/>
                <w:szCs w:val="18"/>
                <w:lang w:eastAsia="es-CO"/>
              </w:rPr>
            </w:pPr>
            <w:r w:rsidRPr="0039091F">
              <w:rPr>
                <w:rFonts w:eastAsia="Times New Roman" w:cs="Times New Roman"/>
                <w:color w:val="000000"/>
                <w:sz w:val="18"/>
                <w:szCs w:val="18"/>
                <w:lang w:eastAsia="es-CO"/>
              </w:rPr>
              <w:t>15</w:t>
            </w:r>
          </w:p>
        </w:tc>
        <w:tc>
          <w:tcPr>
            <w:tcW w:w="527" w:type="pct"/>
            <w:vAlign w:val="center"/>
            <w:hideMark/>
          </w:tcPr>
          <w:p w14:paraId="550278E3" w14:textId="77777777" w:rsidR="00297E57" w:rsidRPr="0039091F" w:rsidRDefault="00297E57" w:rsidP="000A5389">
            <w:pPr>
              <w:spacing w:line="240" w:lineRule="auto"/>
              <w:jc w:val="center"/>
              <w:rPr>
                <w:rFonts w:eastAsia="Times New Roman" w:cs="Times New Roman"/>
                <w:color w:val="000000"/>
                <w:sz w:val="18"/>
                <w:szCs w:val="18"/>
                <w:lang w:eastAsia="es-CO"/>
              </w:rPr>
            </w:pPr>
            <w:r w:rsidRPr="0039091F">
              <w:rPr>
                <w:rFonts w:eastAsia="Times New Roman" w:cs="Times New Roman"/>
                <w:color w:val="000000"/>
                <w:sz w:val="18"/>
                <w:szCs w:val="18"/>
                <w:lang w:eastAsia="es-CO"/>
              </w:rPr>
              <w:t>8 de septiembre</w:t>
            </w:r>
          </w:p>
        </w:tc>
        <w:tc>
          <w:tcPr>
            <w:tcW w:w="640" w:type="pct"/>
            <w:vAlign w:val="center"/>
            <w:hideMark/>
          </w:tcPr>
          <w:p w14:paraId="5AE49253" w14:textId="77777777" w:rsidR="00297E57" w:rsidRPr="0039091F" w:rsidRDefault="00297E57" w:rsidP="000A5389">
            <w:pPr>
              <w:spacing w:line="240" w:lineRule="auto"/>
              <w:jc w:val="center"/>
              <w:rPr>
                <w:rFonts w:eastAsia="Times New Roman" w:cs="Times New Roman"/>
                <w:color w:val="000000"/>
                <w:sz w:val="18"/>
                <w:szCs w:val="18"/>
                <w:lang w:eastAsia="es-CO"/>
              </w:rPr>
            </w:pPr>
            <w:r w:rsidRPr="0039091F">
              <w:rPr>
                <w:rFonts w:eastAsia="Times New Roman" w:cs="Times New Roman"/>
                <w:color w:val="000000"/>
                <w:sz w:val="18"/>
                <w:szCs w:val="18"/>
                <w:lang w:eastAsia="es-CO"/>
              </w:rPr>
              <w:t>1</w:t>
            </w:r>
          </w:p>
        </w:tc>
      </w:tr>
      <w:tr w:rsidR="00297E57" w:rsidRPr="0039091F" w14:paraId="46E12291" w14:textId="77777777" w:rsidTr="0039091F">
        <w:trPr>
          <w:trHeight w:val="283"/>
        </w:trPr>
        <w:tc>
          <w:tcPr>
            <w:tcW w:w="229" w:type="pct"/>
            <w:vAlign w:val="center"/>
            <w:hideMark/>
          </w:tcPr>
          <w:p w14:paraId="439DB939" w14:textId="77777777" w:rsidR="00297E57" w:rsidRPr="0039091F" w:rsidRDefault="00297E57" w:rsidP="000A5389">
            <w:pPr>
              <w:spacing w:line="240" w:lineRule="auto"/>
              <w:jc w:val="center"/>
              <w:rPr>
                <w:rFonts w:eastAsia="Times New Roman" w:cs="Times New Roman"/>
                <w:color w:val="000000"/>
                <w:sz w:val="18"/>
                <w:szCs w:val="18"/>
                <w:lang w:eastAsia="es-CO"/>
              </w:rPr>
            </w:pPr>
            <w:r w:rsidRPr="0039091F">
              <w:rPr>
                <w:rFonts w:eastAsia="Times New Roman" w:cs="Times New Roman"/>
                <w:color w:val="000000"/>
                <w:sz w:val="18"/>
                <w:szCs w:val="18"/>
                <w:lang w:eastAsia="es-CO"/>
              </w:rPr>
              <w:t>67</w:t>
            </w:r>
          </w:p>
        </w:tc>
        <w:tc>
          <w:tcPr>
            <w:tcW w:w="777" w:type="pct"/>
            <w:vAlign w:val="center"/>
            <w:hideMark/>
          </w:tcPr>
          <w:p w14:paraId="14D7A6F6" w14:textId="77777777" w:rsidR="00297E57" w:rsidRPr="0039091F" w:rsidRDefault="00297E57" w:rsidP="000A5389">
            <w:pPr>
              <w:spacing w:line="240" w:lineRule="auto"/>
              <w:rPr>
                <w:rFonts w:eastAsia="Times New Roman" w:cs="Times New Roman"/>
                <w:color w:val="000000"/>
                <w:sz w:val="18"/>
                <w:szCs w:val="18"/>
                <w:lang w:eastAsia="es-CO"/>
              </w:rPr>
            </w:pPr>
            <w:r w:rsidRPr="0039091F">
              <w:rPr>
                <w:rFonts w:eastAsia="Times New Roman" w:cs="Times New Roman"/>
                <w:color w:val="000000"/>
                <w:sz w:val="18"/>
                <w:szCs w:val="18"/>
                <w:lang w:eastAsia="es-CO"/>
              </w:rPr>
              <w:t>Seguridad y Salud en el Trabajo</w:t>
            </w:r>
          </w:p>
        </w:tc>
        <w:tc>
          <w:tcPr>
            <w:tcW w:w="1320" w:type="pct"/>
            <w:vAlign w:val="center"/>
            <w:hideMark/>
          </w:tcPr>
          <w:p w14:paraId="302CEA62" w14:textId="77777777" w:rsidR="00297E57" w:rsidRPr="0039091F" w:rsidRDefault="00297E57" w:rsidP="000A5389">
            <w:pPr>
              <w:spacing w:line="240" w:lineRule="auto"/>
              <w:rPr>
                <w:rFonts w:eastAsia="Times New Roman" w:cs="Times New Roman"/>
                <w:color w:val="000000"/>
                <w:sz w:val="18"/>
                <w:szCs w:val="18"/>
                <w:lang w:eastAsia="es-CO"/>
              </w:rPr>
            </w:pPr>
            <w:r w:rsidRPr="0039091F">
              <w:rPr>
                <w:rFonts w:eastAsia="Times New Roman" w:cs="Times New Roman"/>
                <w:color w:val="000000"/>
                <w:sz w:val="18"/>
                <w:szCs w:val="18"/>
                <w:lang w:eastAsia="es-CO"/>
              </w:rPr>
              <w:t>Capacitación Prevención Riesgo Cardiovascular</w:t>
            </w:r>
          </w:p>
        </w:tc>
        <w:tc>
          <w:tcPr>
            <w:tcW w:w="1044" w:type="pct"/>
            <w:vAlign w:val="center"/>
            <w:hideMark/>
          </w:tcPr>
          <w:p w14:paraId="46288239" w14:textId="77777777" w:rsidR="00297E57" w:rsidRPr="0039091F" w:rsidRDefault="00297E57" w:rsidP="000A5389">
            <w:pPr>
              <w:spacing w:line="240" w:lineRule="auto"/>
              <w:jc w:val="center"/>
              <w:rPr>
                <w:rFonts w:eastAsia="Times New Roman" w:cs="Times New Roman"/>
                <w:color w:val="000000"/>
                <w:sz w:val="18"/>
                <w:szCs w:val="18"/>
                <w:lang w:eastAsia="es-CO"/>
              </w:rPr>
            </w:pPr>
            <w:r w:rsidRPr="0039091F">
              <w:rPr>
                <w:rFonts w:eastAsia="Times New Roman" w:cs="Times New Roman"/>
                <w:color w:val="000000"/>
                <w:sz w:val="18"/>
                <w:szCs w:val="18"/>
                <w:lang w:eastAsia="es-CO"/>
              </w:rPr>
              <w:t>ARL POSITIVA</w:t>
            </w:r>
          </w:p>
        </w:tc>
        <w:tc>
          <w:tcPr>
            <w:tcW w:w="464" w:type="pct"/>
            <w:vAlign w:val="center"/>
            <w:hideMark/>
          </w:tcPr>
          <w:p w14:paraId="1B18AFA2" w14:textId="77777777" w:rsidR="00297E57" w:rsidRPr="0039091F" w:rsidRDefault="00297E57" w:rsidP="000A5389">
            <w:pPr>
              <w:spacing w:line="240" w:lineRule="auto"/>
              <w:jc w:val="center"/>
              <w:rPr>
                <w:rFonts w:eastAsia="Times New Roman" w:cs="Times New Roman"/>
                <w:color w:val="000000"/>
                <w:sz w:val="18"/>
                <w:szCs w:val="18"/>
                <w:lang w:eastAsia="es-CO"/>
              </w:rPr>
            </w:pPr>
            <w:r w:rsidRPr="0039091F">
              <w:rPr>
                <w:rFonts w:eastAsia="Times New Roman" w:cs="Times New Roman"/>
                <w:color w:val="000000"/>
                <w:sz w:val="18"/>
                <w:szCs w:val="18"/>
                <w:lang w:eastAsia="es-CO"/>
              </w:rPr>
              <w:t>24</w:t>
            </w:r>
          </w:p>
        </w:tc>
        <w:tc>
          <w:tcPr>
            <w:tcW w:w="527" w:type="pct"/>
            <w:vAlign w:val="center"/>
            <w:hideMark/>
          </w:tcPr>
          <w:p w14:paraId="1D16950C" w14:textId="77777777" w:rsidR="00297E57" w:rsidRPr="0039091F" w:rsidRDefault="00297E57" w:rsidP="000A5389">
            <w:pPr>
              <w:spacing w:line="240" w:lineRule="auto"/>
              <w:jc w:val="center"/>
              <w:rPr>
                <w:rFonts w:eastAsia="Times New Roman" w:cs="Times New Roman"/>
                <w:color w:val="000000"/>
                <w:sz w:val="18"/>
                <w:szCs w:val="18"/>
                <w:lang w:eastAsia="es-CO"/>
              </w:rPr>
            </w:pPr>
            <w:r w:rsidRPr="0039091F">
              <w:rPr>
                <w:rFonts w:eastAsia="Times New Roman" w:cs="Times New Roman"/>
                <w:color w:val="000000"/>
                <w:sz w:val="18"/>
                <w:szCs w:val="18"/>
                <w:lang w:eastAsia="es-CO"/>
              </w:rPr>
              <w:t>10 de septiembre</w:t>
            </w:r>
          </w:p>
        </w:tc>
        <w:tc>
          <w:tcPr>
            <w:tcW w:w="640" w:type="pct"/>
            <w:vAlign w:val="center"/>
            <w:hideMark/>
          </w:tcPr>
          <w:p w14:paraId="0660B3DF" w14:textId="77777777" w:rsidR="00297E57" w:rsidRPr="0039091F" w:rsidRDefault="00297E57" w:rsidP="000A5389">
            <w:pPr>
              <w:spacing w:line="240" w:lineRule="auto"/>
              <w:jc w:val="center"/>
              <w:rPr>
                <w:rFonts w:eastAsia="Times New Roman" w:cs="Times New Roman"/>
                <w:color w:val="000000"/>
                <w:sz w:val="18"/>
                <w:szCs w:val="18"/>
                <w:lang w:eastAsia="es-CO"/>
              </w:rPr>
            </w:pPr>
            <w:r w:rsidRPr="0039091F">
              <w:rPr>
                <w:rFonts w:eastAsia="Times New Roman" w:cs="Times New Roman"/>
                <w:color w:val="000000"/>
                <w:sz w:val="18"/>
                <w:szCs w:val="18"/>
                <w:lang w:eastAsia="es-CO"/>
              </w:rPr>
              <w:t>1</w:t>
            </w:r>
          </w:p>
        </w:tc>
      </w:tr>
      <w:tr w:rsidR="00297E57" w:rsidRPr="0039091F" w14:paraId="6E92CDEB" w14:textId="77777777" w:rsidTr="0039091F">
        <w:trPr>
          <w:trHeight w:val="283"/>
        </w:trPr>
        <w:tc>
          <w:tcPr>
            <w:tcW w:w="229" w:type="pct"/>
            <w:vAlign w:val="center"/>
            <w:hideMark/>
          </w:tcPr>
          <w:p w14:paraId="45F7E320" w14:textId="77777777" w:rsidR="00297E57" w:rsidRPr="0039091F" w:rsidRDefault="00297E57" w:rsidP="000A5389">
            <w:pPr>
              <w:spacing w:line="240" w:lineRule="auto"/>
              <w:jc w:val="center"/>
              <w:rPr>
                <w:rFonts w:eastAsia="Times New Roman" w:cs="Times New Roman"/>
                <w:color w:val="000000"/>
                <w:sz w:val="18"/>
                <w:szCs w:val="18"/>
                <w:lang w:eastAsia="es-CO"/>
              </w:rPr>
            </w:pPr>
            <w:r w:rsidRPr="0039091F">
              <w:rPr>
                <w:rFonts w:eastAsia="Times New Roman" w:cs="Times New Roman"/>
                <w:color w:val="000000"/>
                <w:sz w:val="18"/>
                <w:szCs w:val="18"/>
                <w:lang w:eastAsia="es-CO"/>
              </w:rPr>
              <w:t>68</w:t>
            </w:r>
          </w:p>
        </w:tc>
        <w:tc>
          <w:tcPr>
            <w:tcW w:w="777" w:type="pct"/>
            <w:vAlign w:val="center"/>
            <w:hideMark/>
          </w:tcPr>
          <w:p w14:paraId="51D12348" w14:textId="77777777" w:rsidR="00297E57" w:rsidRPr="0039091F" w:rsidRDefault="00297E57" w:rsidP="000A5389">
            <w:pPr>
              <w:spacing w:line="240" w:lineRule="auto"/>
              <w:rPr>
                <w:rFonts w:eastAsia="Times New Roman" w:cs="Times New Roman"/>
                <w:color w:val="000000"/>
                <w:sz w:val="18"/>
                <w:szCs w:val="18"/>
                <w:lang w:eastAsia="es-CO"/>
              </w:rPr>
            </w:pPr>
            <w:r w:rsidRPr="0039091F">
              <w:rPr>
                <w:rFonts w:eastAsia="Times New Roman" w:cs="Times New Roman"/>
                <w:color w:val="000000"/>
                <w:sz w:val="18"/>
                <w:szCs w:val="18"/>
                <w:lang w:eastAsia="es-CO"/>
              </w:rPr>
              <w:t>Seguridad y Salud en el Trabajo e identificada por EDL</w:t>
            </w:r>
          </w:p>
        </w:tc>
        <w:tc>
          <w:tcPr>
            <w:tcW w:w="1320" w:type="pct"/>
            <w:vAlign w:val="center"/>
            <w:hideMark/>
          </w:tcPr>
          <w:p w14:paraId="5F436722" w14:textId="77777777" w:rsidR="00297E57" w:rsidRPr="0039091F" w:rsidRDefault="00297E57" w:rsidP="000A5389">
            <w:pPr>
              <w:spacing w:line="240" w:lineRule="auto"/>
              <w:rPr>
                <w:rFonts w:eastAsia="Times New Roman" w:cs="Times New Roman"/>
                <w:color w:val="000000"/>
                <w:sz w:val="18"/>
                <w:szCs w:val="18"/>
                <w:lang w:eastAsia="es-CO"/>
              </w:rPr>
            </w:pPr>
            <w:r w:rsidRPr="0039091F">
              <w:rPr>
                <w:rFonts w:eastAsia="Times New Roman" w:cs="Times New Roman"/>
                <w:color w:val="000000"/>
                <w:sz w:val="18"/>
                <w:szCs w:val="18"/>
                <w:lang w:eastAsia="es-CO"/>
              </w:rPr>
              <w:t>Capacitación Comunicación asertiva y liderazgo</w:t>
            </w:r>
          </w:p>
        </w:tc>
        <w:tc>
          <w:tcPr>
            <w:tcW w:w="1044" w:type="pct"/>
            <w:vAlign w:val="center"/>
            <w:hideMark/>
          </w:tcPr>
          <w:p w14:paraId="37D8655C" w14:textId="77777777" w:rsidR="00297E57" w:rsidRPr="0039091F" w:rsidRDefault="00297E57" w:rsidP="000A5389">
            <w:pPr>
              <w:spacing w:line="240" w:lineRule="auto"/>
              <w:jc w:val="center"/>
              <w:rPr>
                <w:rFonts w:eastAsia="Times New Roman" w:cs="Times New Roman"/>
                <w:color w:val="000000"/>
                <w:sz w:val="18"/>
                <w:szCs w:val="18"/>
                <w:lang w:eastAsia="es-CO"/>
              </w:rPr>
            </w:pPr>
            <w:r w:rsidRPr="0039091F">
              <w:rPr>
                <w:rFonts w:eastAsia="Times New Roman" w:cs="Times New Roman"/>
                <w:color w:val="000000"/>
                <w:sz w:val="18"/>
                <w:szCs w:val="18"/>
                <w:lang w:eastAsia="es-CO"/>
              </w:rPr>
              <w:t>ARL POSITIVA</w:t>
            </w:r>
          </w:p>
        </w:tc>
        <w:tc>
          <w:tcPr>
            <w:tcW w:w="464" w:type="pct"/>
            <w:vAlign w:val="center"/>
            <w:hideMark/>
          </w:tcPr>
          <w:p w14:paraId="03B54461" w14:textId="77777777" w:rsidR="00297E57" w:rsidRPr="0039091F" w:rsidRDefault="00297E57" w:rsidP="000A5389">
            <w:pPr>
              <w:spacing w:line="240" w:lineRule="auto"/>
              <w:jc w:val="center"/>
              <w:rPr>
                <w:rFonts w:eastAsia="Times New Roman" w:cs="Times New Roman"/>
                <w:color w:val="000000"/>
                <w:sz w:val="18"/>
                <w:szCs w:val="18"/>
                <w:lang w:eastAsia="es-CO"/>
              </w:rPr>
            </w:pPr>
            <w:r w:rsidRPr="0039091F">
              <w:rPr>
                <w:rFonts w:eastAsia="Times New Roman" w:cs="Times New Roman"/>
                <w:color w:val="000000"/>
                <w:sz w:val="18"/>
                <w:szCs w:val="18"/>
                <w:lang w:eastAsia="es-CO"/>
              </w:rPr>
              <w:t>3</w:t>
            </w:r>
          </w:p>
        </w:tc>
        <w:tc>
          <w:tcPr>
            <w:tcW w:w="527" w:type="pct"/>
            <w:vAlign w:val="center"/>
            <w:hideMark/>
          </w:tcPr>
          <w:p w14:paraId="5C0CFB6D" w14:textId="77777777" w:rsidR="00297E57" w:rsidRPr="0039091F" w:rsidRDefault="00297E57" w:rsidP="000A5389">
            <w:pPr>
              <w:spacing w:line="240" w:lineRule="auto"/>
              <w:jc w:val="center"/>
              <w:rPr>
                <w:rFonts w:eastAsia="Times New Roman" w:cs="Times New Roman"/>
                <w:color w:val="000000"/>
                <w:sz w:val="18"/>
                <w:szCs w:val="18"/>
                <w:lang w:eastAsia="es-CO"/>
              </w:rPr>
            </w:pPr>
            <w:r w:rsidRPr="0039091F">
              <w:rPr>
                <w:rFonts w:eastAsia="Times New Roman" w:cs="Times New Roman"/>
                <w:color w:val="000000"/>
                <w:sz w:val="18"/>
                <w:szCs w:val="18"/>
                <w:lang w:eastAsia="es-CO"/>
              </w:rPr>
              <w:t>17 de septiembre</w:t>
            </w:r>
          </w:p>
        </w:tc>
        <w:tc>
          <w:tcPr>
            <w:tcW w:w="640" w:type="pct"/>
            <w:vAlign w:val="center"/>
            <w:hideMark/>
          </w:tcPr>
          <w:p w14:paraId="79167BA8" w14:textId="77777777" w:rsidR="00297E57" w:rsidRPr="0039091F" w:rsidRDefault="00297E57" w:rsidP="000A5389">
            <w:pPr>
              <w:spacing w:line="240" w:lineRule="auto"/>
              <w:jc w:val="center"/>
              <w:rPr>
                <w:rFonts w:eastAsia="Times New Roman" w:cs="Times New Roman"/>
                <w:color w:val="000000"/>
                <w:sz w:val="18"/>
                <w:szCs w:val="18"/>
                <w:lang w:eastAsia="es-CO"/>
              </w:rPr>
            </w:pPr>
            <w:r w:rsidRPr="0039091F">
              <w:rPr>
                <w:rFonts w:eastAsia="Times New Roman" w:cs="Times New Roman"/>
                <w:color w:val="000000"/>
                <w:sz w:val="18"/>
                <w:szCs w:val="18"/>
                <w:lang w:eastAsia="es-CO"/>
              </w:rPr>
              <w:t>1</w:t>
            </w:r>
          </w:p>
        </w:tc>
      </w:tr>
      <w:tr w:rsidR="00297E57" w:rsidRPr="0039091F" w14:paraId="04DB3E65" w14:textId="77777777" w:rsidTr="0039091F">
        <w:trPr>
          <w:trHeight w:val="283"/>
        </w:trPr>
        <w:tc>
          <w:tcPr>
            <w:tcW w:w="229" w:type="pct"/>
            <w:vAlign w:val="center"/>
            <w:hideMark/>
          </w:tcPr>
          <w:p w14:paraId="10F2B42C" w14:textId="77777777" w:rsidR="00297E57" w:rsidRPr="0039091F" w:rsidRDefault="00297E57" w:rsidP="000A5389">
            <w:pPr>
              <w:spacing w:line="240" w:lineRule="auto"/>
              <w:jc w:val="center"/>
              <w:rPr>
                <w:rFonts w:eastAsia="Times New Roman" w:cs="Times New Roman"/>
                <w:color w:val="000000"/>
                <w:sz w:val="18"/>
                <w:szCs w:val="18"/>
                <w:lang w:eastAsia="es-CO"/>
              </w:rPr>
            </w:pPr>
            <w:r w:rsidRPr="0039091F">
              <w:rPr>
                <w:rFonts w:eastAsia="Times New Roman" w:cs="Times New Roman"/>
                <w:color w:val="000000"/>
                <w:sz w:val="18"/>
                <w:szCs w:val="18"/>
                <w:lang w:eastAsia="es-CO"/>
              </w:rPr>
              <w:t>69</w:t>
            </w:r>
          </w:p>
        </w:tc>
        <w:tc>
          <w:tcPr>
            <w:tcW w:w="777" w:type="pct"/>
            <w:vAlign w:val="center"/>
            <w:hideMark/>
          </w:tcPr>
          <w:p w14:paraId="49F6C2F1" w14:textId="77777777" w:rsidR="00297E57" w:rsidRPr="0039091F" w:rsidRDefault="00297E57" w:rsidP="000A5389">
            <w:pPr>
              <w:spacing w:line="240" w:lineRule="auto"/>
              <w:rPr>
                <w:rFonts w:eastAsia="Times New Roman" w:cs="Times New Roman"/>
                <w:color w:val="000000"/>
                <w:sz w:val="18"/>
                <w:szCs w:val="18"/>
                <w:lang w:eastAsia="es-CO"/>
              </w:rPr>
            </w:pPr>
            <w:r w:rsidRPr="0039091F">
              <w:rPr>
                <w:rFonts w:eastAsia="Times New Roman" w:cs="Times New Roman"/>
                <w:color w:val="000000"/>
                <w:sz w:val="18"/>
                <w:szCs w:val="18"/>
                <w:lang w:eastAsia="es-CO"/>
              </w:rPr>
              <w:t>Seguridad y Salud en el Trabajo</w:t>
            </w:r>
          </w:p>
        </w:tc>
        <w:tc>
          <w:tcPr>
            <w:tcW w:w="1320" w:type="pct"/>
            <w:vAlign w:val="center"/>
            <w:hideMark/>
          </w:tcPr>
          <w:p w14:paraId="1AA171EB" w14:textId="77777777" w:rsidR="00297E57" w:rsidRPr="0039091F" w:rsidRDefault="00297E57" w:rsidP="000A5389">
            <w:pPr>
              <w:spacing w:line="240" w:lineRule="auto"/>
              <w:rPr>
                <w:rFonts w:eastAsia="Times New Roman" w:cs="Times New Roman"/>
                <w:color w:val="000000"/>
                <w:sz w:val="18"/>
                <w:szCs w:val="18"/>
                <w:lang w:eastAsia="es-CO"/>
              </w:rPr>
            </w:pPr>
            <w:r w:rsidRPr="0039091F">
              <w:rPr>
                <w:rFonts w:eastAsia="Times New Roman" w:cs="Times New Roman"/>
                <w:color w:val="000000"/>
                <w:sz w:val="18"/>
                <w:szCs w:val="18"/>
                <w:lang w:eastAsia="es-CO"/>
              </w:rPr>
              <w:t>Capacitación Higiene Postural: Espalda Saludable</w:t>
            </w:r>
          </w:p>
        </w:tc>
        <w:tc>
          <w:tcPr>
            <w:tcW w:w="1044" w:type="pct"/>
            <w:vAlign w:val="center"/>
            <w:hideMark/>
          </w:tcPr>
          <w:p w14:paraId="3E9BFA18" w14:textId="77777777" w:rsidR="00297E57" w:rsidRPr="0039091F" w:rsidRDefault="00297E57" w:rsidP="000A5389">
            <w:pPr>
              <w:spacing w:line="240" w:lineRule="auto"/>
              <w:jc w:val="center"/>
              <w:rPr>
                <w:rFonts w:eastAsia="Times New Roman" w:cs="Times New Roman"/>
                <w:color w:val="000000"/>
                <w:sz w:val="18"/>
                <w:szCs w:val="18"/>
                <w:lang w:eastAsia="es-CO"/>
              </w:rPr>
            </w:pPr>
            <w:r w:rsidRPr="0039091F">
              <w:rPr>
                <w:rFonts w:eastAsia="Times New Roman" w:cs="Times New Roman"/>
                <w:color w:val="000000"/>
                <w:sz w:val="18"/>
                <w:szCs w:val="18"/>
                <w:lang w:eastAsia="es-CO"/>
              </w:rPr>
              <w:t>ARL POSITIVA</w:t>
            </w:r>
          </w:p>
        </w:tc>
        <w:tc>
          <w:tcPr>
            <w:tcW w:w="464" w:type="pct"/>
            <w:vAlign w:val="center"/>
            <w:hideMark/>
          </w:tcPr>
          <w:p w14:paraId="00D64DA1" w14:textId="77777777" w:rsidR="00297E57" w:rsidRPr="0039091F" w:rsidRDefault="00297E57" w:rsidP="000A5389">
            <w:pPr>
              <w:spacing w:line="240" w:lineRule="auto"/>
              <w:jc w:val="center"/>
              <w:rPr>
                <w:rFonts w:eastAsia="Times New Roman" w:cs="Times New Roman"/>
                <w:color w:val="000000"/>
                <w:sz w:val="18"/>
                <w:szCs w:val="18"/>
                <w:lang w:eastAsia="es-CO"/>
              </w:rPr>
            </w:pPr>
            <w:r w:rsidRPr="0039091F">
              <w:rPr>
                <w:rFonts w:eastAsia="Times New Roman" w:cs="Times New Roman"/>
                <w:color w:val="000000"/>
                <w:sz w:val="18"/>
                <w:szCs w:val="18"/>
                <w:lang w:eastAsia="es-CO"/>
              </w:rPr>
              <w:t>22</w:t>
            </w:r>
          </w:p>
        </w:tc>
        <w:tc>
          <w:tcPr>
            <w:tcW w:w="527" w:type="pct"/>
            <w:vAlign w:val="center"/>
            <w:hideMark/>
          </w:tcPr>
          <w:p w14:paraId="386CC3F9" w14:textId="77777777" w:rsidR="00297E57" w:rsidRPr="0039091F" w:rsidRDefault="00297E57" w:rsidP="000A5389">
            <w:pPr>
              <w:spacing w:line="240" w:lineRule="auto"/>
              <w:jc w:val="center"/>
              <w:rPr>
                <w:rFonts w:eastAsia="Times New Roman" w:cs="Times New Roman"/>
                <w:color w:val="000000"/>
                <w:sz w:val="18"/>
                <w:szCs w:val="18"/>
                <w:lang w:eastAsia="es-CO"/>
              </w:rPr>
            </w:pPr>
            <w:r w:rsidRPr="0039091F">
              <w:rPr>
                <w:rFonts w:eastAsia="Times New Roman" w:cs="Times New Roman"/>
                <w:color w:val="000000"/>
                <w:sz w:val="18"/>
                <w:szCs w:val="18"/>
                <w:lang w:eastAsia="es-CO"/>
              </w:rPr>
              <w:t>18 de septiembre</w:t>
            </w:r>
          </w:p>
        </w:tc>
        <w:tc>
          <w:tcPr>
            <w:tcW w:w="640" w:type="pct"/>
            <w:vAlign w:val="center"/>
            <w:hideMark/>
          </w:tcPr>
          <w:p w14:paraId="3FA700EC" w14:textId="77777777" w:rsidR="00297E57" w:rsidRPr="0039091F" w:rsidRDefault="00297E57" w:rsidP="000A5389">
            <w:pPr>
              <w:spacing w:line="240" w:lineRule="auto"/>
              <w:jc w:val="center"/>
              <w:rPr>
                <w:rFonts w:eastAsia="Times New Roman" w:cs="Times New Roman"/>
                <w:color w:val="000000"/>
                <w:sz w:val="18"/>
                <w:szCs w:val="18"/>
                <w:lang w:eastAsia="es-CO"/>
              </w:rPr>
            </w:pPr>
            <w:r w:rsidRPr="0039091F">
              <w:rPr>
                <w:rFonts w:eastAsia="Times New Roman" w:cs="Times New Roman"/>
                <w:color w:val="000000"/>
                <w:sz w:val="18"/>
                <w:szCs w:val="18"/>
                <w:lang w:eastAsia="es-CO"/>
              </w:rPr>
              <w:t>1</w:t>
            </w:r>
          </w:p>
        </w:tc>
      </w:tr>
      <w:tr w:rsidR="00297E57" w:rsidRPr="0039091F" w14:paraId="3AED6F7A" w14:textId="77777777" w:rsidTr="0039091F">
        <w:trPr>
          <w:trHeight w:val="283"/>
        </w:trPr>
        <w:tc>
          <w:tcPr>
            <w:tcW w:w="229" w:type="pct"/>
            <w:vAlign w:val="center"/>
            <w:hideMark/>
          </w:tcPr>
          <w:p w14:paraId="69F5684E" w14:textId="77777777" w:rsidR="00297E57" w:rsidRPr="0039091F" w:rsidRDefault="00297E57" w:rsidP="000A5389">
            <w:pPr>
              <w:spacing w:line="240" w:lineRule="auto"/>
              <w:jc w:val="center"/>
              <w:rPr>
                <w:rFonts w:eastAsia="Times New Roman" w:cs="Times New Roman"/>
                <w:color w:val="000000"/>
                <w:sz w:val="18"/>
                <w:szCs w:val="18"/>
                <w:lang w:eastAsia="es-CO"/>
              </w:rPr>
            </w:pPr>
            <w:r w:rsidRPr="0039091F">
              <w:rPr>
                <w:rFonts w:eastAsia="Times New Roman" w:cs="Times New Roman"/>
                <w:color w:val="000000"/>
                <w:sz w:val="18"/>
                <w:szCs w:val="18"/>
                <w:lang w:eastAsia="es-CO"/>
              </w:rPr>
              <w:t>70</w:t>
            </w:r>
          </w:p>
        </w:tc>
        <w:tc>
          <w:tcPr>
            <w:tcW w:w="777" w:type="pct"/>
            <w:vAlign w:val="center"/>
            <w:hideMark/>
          </w:tcPr>
          <w:p w14:paraId="06AF5A59" w14:textId="77777777" w:rsidR="00297E57" w:rsidRPr="0039091F" w:rsidRDefault="00297E57" w:rsidP="000A5389">
            <w:pPr>
              <w:spacing w:line="240" w:lineRule="auto"/>
              <w:rPr>
                <w:rFonts w:eastAsia="Times New Roman" w:cs="Times New Roman"/>
                <w:color w:val="000000"/>
                <w:sz w:val="18"/>
                <w:szCs w:val="18"/>
                <w:lang w:eastAsia="es-CO"/>
              </w:rPr>
            </w:pPr>
            <w:r w:rsidRPr="0039091F">
              <w:rPr>
                <w:rFonts w:eastAsia="Times New Roman" w:cs="Times New Roman"/>
                <w:color w:val="000000"/>
                <w:sz w:val="18"/>
                <w:szCs w:val="18"/>
                <w:lang w:eastAsia="es-CO"/>
              </w:rPr>
              <w:t>Eje 2 (Territorio, Vida y Ambiente) y Ambiental</w:t>
            </w:r>
          </w:p>
        </w:tc>
        <w:tc>
          <w:tcPr>
            <w:tcW w:w="1320" w:type="pct"/>
            <w:vAlign w:val="center"/>
            <w:hideMark/>
          </w:tcPr>
          <w:p w14:paraId="1029ABED" w14:textId="77777777" w:rsidR="00297E57" w:rsidRPr="0039091F" w:rsidRDefault="00297E57" w:rsidP="000A5389">
            <w:pPr>
              <w:spacing w:line="240" w:lineRule="auto"/>
              <w:rPr>
                <w:rFonts w:eastAsia="Times New Roman" w:cs="Times New Roman"/>
                <w:color w:val="000000"/>
                <w:sz w:val="18"/>
                <w:szCs w:val="18"/>
                <w:lang w:eastAsia="es-CO"/>
              </w:rPr>
            </w:pPr>
            <w:r w:rsidRPr="0039091F">
              <w:rPr>
                <w:rFonts w:eastAsia="Times New Roman" w:cs="Times New Roman"/>
                <w:color w:val="000000"/>
                <w:sz w:val="18"/>
                <w:szCs w:val="18"/>
                <w:lang w:eastAsia="es-CO"/>
              </w:rPr>
              <w:t>Capacitación Cultura y estrategias del consumo sostenible del agua</w:t>
            </w:r>
          </w:p>
        </w:tc>
        <w:tc>
          <w:tcPr>
            <w:tcW w:w="1044" w:type="pct"/>
            <w:vAlign w:val="center"/>
            <w:hideMark/>
          </w:tcPr>
          <w:p w14:paraId="29B5614A" w14:textId="77777777" w:rsidR="00297E57" w:rsidRPr="0039091F" w:rsidRDefault="00297E57" w:rsidP="000A5389">
            <w:pPr>
              <w:spacing w:line="240" w:lineRule="auto"/>
              <w:jc w:val="center"/>
              <w:rPr>
                <w:rFonts w:eastAsia="Times New Roman" w:cs="Times New Roman"/>
                <w:color w:val="000000"/>
                <w:sz w:val="18"/>
                <w:szCs w:val="18"/>
                <w:lang w:eastAsia="es-CO"/>
              </w:rPr>
            </w:pPr>
            <w:r w:rsidRPr="0039091F">
              <w:rPr>
                <w:rFonts w:eastAsia="Times New Roman" w:cs="Times New Roman"/>
                <w:color w:val="000000"/>
                <w:sz w:val="18"/>
                <w:szCs w:val="18"/>
                <w:lang w:eastAsia="es-CO"/>
              </w:rPr>
              <w:t>Secretaría Distrital de Ambiente (SDA)</w:t>
            </w:r>
          </w:p>
        </w:tc>
        <w:tc>
          <w:tcPr>
            <w:tcW w:w="464" w:type="pct"/>
            <w:vAlign w:val="center"/>
            <w:hideMark/>
          </w:tcPr>
          <w:p w14:paraId="2E622495" w14:textId="77777777" w:rsidR="00297E57" w:rsidRPr="0039091F" w:rsidRDefault="00297E57" w:rsidP="000A5389">
            <w:pPr>
              <w:spacing w:line="240" w:lineRule="auto"/>
              <w:jc w:val="center"/>
              <w:rPr>
                <w:rFonts w:eastAsia="Times New Roman" w:cs="Times New Roman"/>
                <w:color w:val="000000"/>
                <w:sz w:val="18"/>
                <w:szCs w:val="18"/>
                <w:lang w:eastAsia="es-CO"/>
              </w:rPr>
            </w:pPr>
            <w:r w:rsidRPr="0039091F">
              <w:rPr>
                <w:rFonts w:eastAsia="Times New Roman" w:cs="Times New Roman"/>
                <w:color w:val="000000"/>
                <w:sz w:val="18"/>
                <w:szCs w:val="18"/>
                <w:lang w:eastAsia="es-CO"/>
              </w:rPr>
              <w:t>12</w:t>
            </w:r>
          </w:p>
        </w:tc>
        <w:tc>
          <w:tcPr>
            <w:tcW w:w="527" w:type="pct"/>
            <w:vAlign w:val="center"/>
            <w:hideMark/>
          </w:tcPr>
          <w:p w14:paraId="062233A9" w14:textId="77777777" w:rsidR="00297E57" w:rsidRPr="0039091F" w:rsidRDefault="00297E57" w:rsidP="000A5389">
            <w:pPr>
              <w:spacing w:line="240" w:lineRule="auto"/>
              <w:jc w:val="center"/>
              <w:rPr>
                <w:rFonts w:eastAsia="Times New Roman" w:cs="Times New Roman"/>
                <w:color w:val="000000"/>
                <w:sz w:val="18"/>
                <w:szCs w:val="18"/>
                <w:lang w:eastAsia="es-CO"/>
              </w:rPr>
            </w:pPr>
            <w:r w:rsidRPr="0039091F">
              <w:rPr>
                <w:rFonts w:eastAsia="Times New Roman" w:cs="Times New Roman"/>
                <w:color w:val="000000"/>
                <w:sz w:val="18"/>
                <w:szCs w:val="18"/>
                <w:lang w:eastAsia="es-CO"/>
              </w:rPr>
              <w:t>18 de septiembre</w:t>
            </w:r>
          </w:p>
        </w:tc>
        <w:tc>
          <w:tcPr>
            <w:tcW w:w="640" w:type="pct"/>
            <w:vAlign w:val="center"/>
            <w:hideMark/>
          </w:tcPr>
          <w:p w14:paraId="69249177" w14:textId="77777777" w:rsidR="00297E57" w:rsidRPr="0039091F" w:rsidRDefault="00297E57" w:rsidP="000A5389">
            <w:pPr>
              <w:spacing w:line="240" w:lineRule="auto"/>
              <w:jc w:val="center"/>
              <w:rPr>
                <w:rFonts w:eastAsia="Times New Roman" w:cs="Times New Roman"/>
                <w:color w:val="000000"/>
                <w:sz w:val="18"/>
                <w:szCs w:val="18"/>
                <w:lang w:eastAsia="es-CO"/>
              </w:rPr>
            </w:pPr>
            <w:r w:rsidRPr="0039091F">
              <w:rPr>
                <w:rFonts w:eastAsia="Times New Roman" w:cs="Times New Roman"/>
                <w:color w:val="000000"/>
                <w:sz w:val="18"/>
                <w:szCs w:val="18"/>
                <w:lang w:eastAsia="es-CO"/>
              </w:rPr>
              <w:t>1</w:t>
            </w:r>
          </w:p>
        </w:tc>
      </w:tr>
      <w:tr w:rsidR="00297E57" w:rsidRPr="0039091F" w14:paraId="232C80F5" w14:textId="77777777" w:rsidTr="0039091F">
        <w:trPr>
          <w:trHeight w:val="283"/>
        </w:trPr>
        <w:tc>
          <w:tcPr>
            <w:tcW w:w="229" w:type="pct"/>
            <w:vAlign w:val="center"/>
            <w:hideMark/>
          </w:tcPr>
          <w:p w14:paraId="41DA6EB7" w14:textId="77777777" w:rsidR="00297E57" w:rsidRPr="0039091F" w:rsidRDefault="00297E57" w:rsidP="000A5389">
            <w:pPr>
              <w:spacing w:line="240" w:lineRule="auto"/>
              <w:jc w:val="center"/>
              <w:rPr>
                <w:rFonts w:eastAsia="Times New Roman" w:cs="Times New Roman"/>
                <w:color w:val="000000"/>
                <w:sz w:val="18"/>
                <w:szCs w:val="18"/>
                <w:lang w:eastAsia="es-CO"/>
              </w:rPr>
            </w:pPr>
            <w:r w:rsidRPr="0039091F">
              <w:rPr>
                <w:rFonts w:eastAsia="Times New Roman" w:cs="Times New Roman"/>
                <w:color w:val="000000"/>
                <w:sz w:val="18"/>
                <w:szCs w:val="18"/>
                <w:lang w:eastAsia="es-CO"/>
              </w:rPr>
              <w:t>71</w:t>
            </w:r>
          </w:p>
        </w:tc>
        <w:tc>
          <w:tcPr>
            <w:tcW w:w="777" w:type="pct"/>
            <w:vAlign w:val="center"/>
            <w:hideMark/>
          </w:tcPr>
          <w:p w14:paraId="73D642B0" w14:textId="77777777" w:rsidR="00297E57" w:rsidRPr="0039091F" w:rsidRDefault="00297E57" w:rsidP="000A5389">
            <w:pPr>
              <w:spacing w:line="240" w:lineRule="auto"/>
              <w:rPr>
                <w:rFonts w:eastAsia="Times New Roman" w:cs="Times New Roman"/>
                <w:color w:val="000000"/>
                <w:sz w:val="18"/>
                <w:szCs w:val="18"/>
                <w:lang w:eastAsia="es-CO"/>
              </w:rPr>
            </w:pPr>
            <w:r w:rsidRPr="0039091F">
              <w:rPr>
                <w:rFonts w:eastAsia="Times New Roman" w:cs="Times New Roman"/>
                <w:color w:val="000000"/>
                <w:sz w:val="18"/>
                <w:szCs w:val="18"/>
                <w:lang w:eastAsia="es-CO"/>
              </w:rPr>
              <w:t>Eje 2 (Territorio, Vida y Ambiente) y Ambiental</w:t>
            </w:r>
          </w:p>
        </w:tc>
        <w:tc>
          <w:tcPr>
            <w:tcW w:w="1320" w:type="pct"/>
            <w:vAlign w:val="center"/>
            <w:hideMark/>
          </w:tcPr>
          <w:p w14:paraId="7DC93C77" w14:textId="77777777" w:rsidR="00297E57" w:rsidRPr="0039091F" w:rsidRDefault="00297E57" w:rsidP="000A5389">
            <w:pPr>
              <w:spacing w:line="240" w:lineRule="auto"/>
              <w:rPr>
                <w:rFonts w:eastAsia="Times New Roman" w:cs="Times New Roman"/>
                <w:color w:val="000000"/>
                <w:sz w:val="18"/>
                <w:szCs w:val="18"/>
                <w:lang w:eastAsia="es-CO"/>
              </w:rPr>
            </w:pPr>
            <w:r w:rsidRPr="0039091F">
              <w:rPr>
                <w:rFonts w:eastAsia="Times New Roman" w:cs="Times New Roman"/>
                <w:color w:val="000000"/>
                <w:sz w:val="18"/>
                <w:szCs w:val="18"/>
                <w:lang w:eastAsia="es-CO"/>
              </w:rPr>
              <w:t>Capacitación Cultura y estrategias del consumo sostenible del agua</w:t>
            </w:r>
          </w:p>
        </w:tc>
        <w:tc>
          <w:tcPr>
            <w:tcW w:w="1044" w:type="pct"/>
            <w:vAlign w:val="center"/>
            <w:hideMark/>
          </w:tcPr>
          <w:p w14:paraId="2C219C0A" w14:textId="77777777" w:rsidR="00297E57" w:rsidRPr="0039091F" w:rsidRDefault="00297E57" w:rsidP="000A5389">
            <w:pPr>
              <w:spacing w:line="240" w:lineRule="auto"/>
              <w:jc w:val="center"/>
              <w:rPr>
                <w:rFonts w:eastAsia="Times New Roman" w:cs="Times New Roman"/>
                <w:color w:val="000000"/>
                <w:sz w:val="18"/>
                <w:szCs w:val="18"/>
                <w:lang w:eastAsia="es-CO"/>
              </w:rPr>
            </w:pPr>
            <w:r w:rsidRPr="0039091F">
              <w:rPr>
                <w:rFonts w:eastAsia="Times New Roman" w:cs="Times New Roman"/>
                <w:color w:val="000000"/>
                <w:sz w:val="18"/>
                <w:szCs w:val="18"/>
                <w:lang w:eastAsia="es-CO"/>
              </w:rPr>
              <w:t>Secretaría Distrital de Ambiente (SDA)</w:t>
            </w:r>
          </w:p>
        </w:tc>
        <w:tc>
          <w:tcPr>
            <w:tcW w:w="464" w:type="pct"/>
            <w:vAlign w:val="center"/>
            <w:hideMark/>
          </w:tcPr>
          <w:p w14:paraId="206BFA62" w14:textId="77777777" w:rsidR="00297E57" w:rsidRPr="0039091F" w:rsidRDefault="00297E57" w:rsidP="000A5389">
            <w:pPr>
              <w:spacing w:line="240" w:lineRule="auto"/>
              <w:jc w:val="center"/>
              <w:rPr>
                <w:rFonts w:eastAsia="Times New Roman" w:cs="Times New Roman"/>
                <w:color w:val="000000"/>
                <w:sz w:val="18"/>
                <w:szCs w:val="18"/>
                <w:lang w:eastAsia="es-CO"/>
              </w:rPr>
            </w:pPr>
            <w:r w:rsidRPr="0039091F">
              <w:rPr>
                <w:rFonts w:eastAsia="Times New Roman" w:cs="Times New Roman"/>
                <w:color w:val="000000"/>
                <w:sz w:val="18"/>
                <w:szCs w:val="18"/>
                <w:lang w:eastAsia="es-CO"/>
              </w:rPr>
              <w:t>6</w:t>
            </w:r>
          </w:p>
        </w:tc>
        <w:tc>
          <w:tcPr>
            <w:tcW w:w="527" w:type="pct"/>
            <w:vAlign w:val="center"/>
            <w:hideMark/>
          </w:tcPr>
          <w:p w14:paraId="697157C4" w14:textId="77777777" w:rsidR="00297E57" w:rsidRPr="0039091F" w:rsidRDefault="00297E57" w:rsidP="000A5389">
            <w:pPr>
              <w:spacing w:line="240" w:lineRule="auto"/>
              <w:jc w:val="center"/>
              <w:rPr>
                <w:rFonts w:eastAsia="Times New Roman" w:cs="Times New Roman"/>
                <w:color w:val="000000"/>
                <w:sz w:val="18"/>
                <w:szCs w:val="18"/>
                <w:lang w:eastAsia="es-CO"/>
              </w:rPr>
            </w:pPr>
            <w:r w:rsidRPr="0039091F">
              <w:rPr>
                <w:rFonts w:eastAsia="Times New Roman" w:cs="Times New Roman"/>
                <w:color w:val="000000"/>
                <w:sz w:val="18"/>
                <w:szCs w:val="18"/>
                <w:lang w:eastAsia="es-CO"/>
              </w:rPr>
              <w:t>19 de septiembre</w:t>
            </w:r>
          </w:p>
        </w:tc>
        <w:tc>
          <w:tcPr>
            <w:tcW w:w="640" w:type="pct"/>
            <w:vAlign w:val="center"/>
            <w:hideMark/>
          </w:tcPr>
          <w:p w14:paraId="3C40F60F" w14:textId="77777777" w:rsidR="00297E57" w:rsidRPr="0039091F" w:rsidRDefault="00297E57" w:rsidP="000A5389">
            <w:pPr>
              <w:spacing w:line="240" w:lineRule="auto"/>
              <w:jc w:val="center"/>
              <w:rPr>
                <w:rFonts w:eastAsia="Times New Roman" w:cs="Times New Roman"/>
                <w:color w:val="000000"/>
                <w:sz w:val="18"/>
                <w:szCs w:val="18"/>
                <w:lang w:eastAsia="es-CO"/>
              </w:rPr>
            </w:pPr>
            <w:r w:rsidRPr="0039091F">
              <w:rPr>
                <w:rFonts w:eastAsia="Times New Roman" w:cs="Times New Roman"/>
                <w:color w:val="000000"/>
                <w:sz w:val="18"/>
                <w:szCs w:val="18"/>
                <w:lang w:eastAsia="es-CO"/>
              </w:rPr>
              <w:t>1 </w:t>
            </w:r>
          </w:p>
        </w:tc>
      </w:tr>
      <w:tr w:rsidR="00297E57" w:rsidRPr="0039091F" w14:paraId="57FE8BB2" w14:textId="77777777" w:rsidTr="0039091F">
        <w:trPr>
          <w:trHeight w:val="283"/>
        </w:trPr>
        <w:tc>
          <w:tcPr>
            <w:tcW w:w="229" w:type="pct"/>
            <w:vAlign w:val="center"/>
            <w:hideMark/>
          </w:tcPr>
          <w:p w14:paraId="7D5BF2DE" w14:textId="77777777" w:rsidR="00297E57" w:rsidRPr="0039091F" w:rsidRDefault="00297E57" w:rsidP="000A5389">
            <w:pPr>
              <w:spacing w:line="240" w:lineRule="auto"/>
              <w:jc w:val="center"/>
              <w:rPr>
                <w:rFonts w:eastAsia="Times New Roman" w:cs="Times New Roman"/>
                <w:color w:val="000000"/>
                <w:sz w:val="18"/>
                <w:szCs w:val="18"/>
                <w:lang w:eastAsia="es-CO"/>
              </w:rPr>
            </w:pPr>
            <w:r w:rsidRPr="0039091F">
              <w:rPr>
                <w:rFonts w:eastAsia="Times New Roman" w:cs="Times New Roman"/>
                <w:color w:val="000000"/>
                <w:sz w:val="18"/>
                <w:szCs w:val="18"/>
                <w:lang w:eastAsia="es-CO"/>
              </w:rPr>
              <w:lastRenderedPageBreak/>
              <w:t>72</w:t>
            </w:r>
          </w:p>
        </w:tc>
        <w:tc>
          <w:tcPr>
            <w:tcW w:w="777" w:type="pct"/>
            <w:vAlign w:val="center"/>
            <w:hideMark/>
          </w:tcPr>
          <w:p w14:paraId="4B8133DF" w14:textId="77777777" w:rsidR="00297E57" w:rsidRPr="0039091F" w:rsidRDefault="00297E57" w:rsidP="000A5389">
            <w:pPr>
              <w:spacing w:line="240" w:lineRule="auto"/>
              <w:rPr>
                <w:rFonts w:eastAsia="Times New Roman" w:cs="Times New Roman"/>
                <w:color w:val="000000"/>
                <w:sz w:val="18"/>
                <w:szCs w:val="18"/>
                <w:lang w:eastAsia="es-CO"/>
              </w:rPr>
            </w:pPr>
            <w:r w:rsidRPr="0039091F">
              <w:rPr>
                <w:rFonts w:eastAsia="Times New Roman" w:cs="Times New Roman"/>
                <w:color w:val="000000"/>
                <w:sz w:val="18"/>
                <w:szCs w:val="18"/>
                <w:lang w:eastAsia="es-CO"/>
              </w:rPr>
              <w:t>Eje 5. (Probidad, Ética e Identidad de lo Público)</w:t>
            </w:r>
          </w:p>
        </w:tc>
        <w:tc>
          <w:tcPr>
            <w:tcW w:w="1320" w:type="pct"/>
            <w:vAlign w:val="center"/>
            <w:hideMark/>
          </w:tcPr>
          <w:p w14:paraId="36AFCA5A" w14:textId="77777777" w:rsidR="00297E57" w:rsidRPr="0039091F" w:rsidRDefault="00297E57" w:rsidP="000A5389">
            <w:pPr>
              <w:spacing w:line="240" w:lineRule="auto"/>
              <w:rPr>
                <w:rFonts w:eastAsia="Times New Roman" w:cs="Times New Roman"/>
                <w:color w:val="000000"/>
                <w:sz w:val="18"/>
                <w:szCs w:val="18"/>
                <w:lang w:eastAsia="es-CO"/>
              </w:rPr>
            </w:pPr>
            <w:r w:rsidRPr="0039091F">
              <w:rPr>
                <w:rFonts w:eastAsia="Times New Roman" w:cs="Times New Roman"/>
                <w:color w:val="000000"/>
                <w:sz w:val="18"/>
                <w:szCs w:val="18"/>
                <w:lang w:eastAsia="es-CO"/>
              </w:rPr>
              <w:t>Capacitación en Programa de Transparencia y ética pública (PTET) y Sistema de Gestión Antisoborno en entidades públicas (Ley 2195 de 2022)</w:t>
            </w:r>
          </w:p>
        </w:tc>
        <w:tc>
          <w:tcPr>
            <w:tcW w:w="1044" w:type="pct"/>
            <w:vAlign w:val="center"/>
            <w:hideMark/>
          </w:tcPr>
          <w:p w14:paraId="10F2BE75" w14:textId="77777777" w:rsidR="00297E57" w:rsidRPr="0039091F" w:rsidRDefault="00297E57" w:rsidP="000A5389">
            <w:pPr>
              <w:spacing w:line="240" w:lineRule="auto"/>
              <w:jc w:val="center"/>
              <w:rPr>
                <w:rFonts w:eastAsia="Times New Roman" w:cs="Times New Roman"/>
                <w:color w:val="000000"/>
                <w:sz w:val="18"/>
                <w:szCs w:val="18"/>
                <w:lang w:eastAsia="es-CO"/>
              </w:rPr>
            </w:pPr>
            <w:r w:rsidRPr="0039091F">
              <w:rPr>
                <w:rFonts w:eastAsia="Times New Roman" w:cs="Times New Roman"/>
                <w:color w:val="000000"/>
                <w:sz w:val="18"/>
                <w:szCs w:val="18"/>
                <w:lang w:eastAsia="es-CO"/>
              </w:rPr>
              <w:t>Universidad Nacional de Colombia (UNAL)</w:t>
            </w:r>
          </w:p>
        </w:tc>
        <w:tc>
          <w:tcPr>
            <w:tcW w:w="464" w:type="pct"/>
            <w:vAlign w:val="center"/>
            <w:hideMark/>
          </w:tcPr>
          <w:p w14:paraId="4B814739" w14:textId="77777777" w:rsidR="00297E57" w:rsidRPr="0039091F" w:rsidRDefault="00297E57" w:rsidP="000A5389">
            <w:pPr>
              <w:spacing w:line="240" w:lineRule="auto"/>
              <w:jc w:val="center"/>
              <w:rPr>
                <w:rFonts w:eastAsia="Times New Roman" w:cs="Times New Roman"/>
                <w:color w:val="000000"/>
                <w:sz w:val="18"/>
                <w:szCs w:val="18"/>
                <w:lang w:eastAsia="es-CO"/>
              </w:rPr>
            </w:pPr>
            <w:r w:rsidRPr="0039091F">
              <w:rPr>
                <w:rFonts w:eastAsia="Times New Roman" w:cs="Times New Roman"/>
                <w:color w:val="000000"/>
                <w:sz w:val="18"/>
                <w:szCs w:val="18"/>
                <w:lang w:eastAsia="es-CO"/>
              </w:rPr>
              <w:t>46</w:t>
            </w:r>
          </w:p>
        </w:tc>
        <w:tc>
          <w:tcPr>
            <w:tcW w:w="527" w:type="pct"/>
            <w:vAlign w:val="center"/>
            <w:hideMark/>
          </w:tcPr>
          <w:p w14:paraId="399642CE" w14:textId="77777777" w:rsidR="00297E57" w:rsidRPr="0039091F" w:rsidRDefault="00297E57" w:rsidP="000A5389">
            <w:pPr>
              <w:spacing w:line="240" w:lineRule="auto"/>
              <w:jc w:val="center"/>
              <w:rPr>
                <w:rFonts w:eastAsia="Times New Roman" w:cs="Times New Roman"/>
                <w:color w:val="000000"/>
                <w:sz w:val="18"/>
                <w:szCs w:val="18"/>
                <w:lang w:eastAsia="es-CO"/>
              </w:rPr>
            </w:pPr>
            <w:r w:rsidRPr="0039091F">
              <w:rPr>
                <w:rFonts w:eastAsia="Times New Roman" w:cs="Times New Roman"/>
                <w:color w:val="000000"/>
                <w:sz w:val="18"/>
                <w:szCs w:val="18"/>
                <w:lang w:eastAsia="es-CO"/>
              </w:rPr>
              <w:t>22 de septiembre</w:t>
            </w:r>
          </w:p>
        </w:tc>
        <w:tc>
          <w:tcPr>
            <w:tcW w:w="640" w:type="pct"/>
            <w:vAlign w:val="center"/>
            <w:hideMark/>
          </w:tcPr>
          <w:p w14:paraId="548D9E4B" w14:textId="77777777" w:rsidR="00297E57" w:rsidRPr="0039091F" w:rsidRDefault="00297E57" w:rsidP="000A5389">
            <w:pPr>
              <w:spacing w:line="240" w:lineRule="auto"/>
              <w:jc w:val="center"/>
              <w:rPr>
                <w:rFonts w:eastAsia="Times New Roman" w:cs="Times New Roman"/>
                <w:color w:val="000000"/>
                <w:sz w:val="18"/>
                <w:szCs w:val="18"/>
                <w:lang w:eastAsia="es-CO"/>
              </w:rPr>
            </w:pPr>
            <w:r w:rsidRPr="0039091F">
              <w:rPr>
                <w:rFonts w:eastAsia="Times New Roman" w:cs="Times New Roman"/>
                <w:color w:val="000000"/>
                <w:sz w:val="18"/>
                <w:szCs w:val="18"/>
                <w:lang w:eastAsia="es-CO"/>
              </w:rPr>
              <w:t>1,3</w:t>
            </w:r>
          </w:p>
        </w:tc>
      </w:tr>
      <w:tr w:rsidR="00297E57" w:rsidRPr="0039091F" w14:paraId="340B09D6" w14:textId="77777777" w:rsidTr="0039091F">
        <w:trPr>
          <w:trHeight w:val="283"/>
        </w:trPr>
        <w:tc>
          <w:tcPr>
            <w:tcW w:w="229" w:type="pct"/>
            <w:vAlign w:val="center"/>
            <w:hideMark/>
          </w:tcPr>
          <w:p w14:paraId="5B420D72" w14:textId="77777777" w:rsidR="00297E57" w:rsidRPr="0039091F" w:rsidRDefault="00297E57" w:rsidP="000A5389">
            <w:pPr>
              <w:spacing w:line="240" w:lineRule="auto"/>
              <w:jc w:val="center"/>
              <w:rPr>
                <w:rFonts w:eastAsia="Times New Roman" w:cs="Times New Roman"/>
                <w:color w:val="000000"/>
                <w:sz w:val="18"/>
                <w:szCs w:val="18"/>
                <w:lang w:eastAsia="es-CO"/>
              </w:rPr>
            </w:pPr>
            <w:r w:rsidRPr="0039091F">
              <w:rPr>
                <w:rFonts w:eastAsia="Times New Roman" w:cs="Times New Roman"/>
                <w:color w:val="000000"/>
                <w:sz w:val="18"/>
                <w:szCs w:val="18"/>
                <w:lang w:eastAsia="es-CO"/>
              </w:rPr>
              <w:t>73</w:t>
            </w:r>
          </w:p>
        </w:tc>
        <w:tc>
          <w:tcPr>
            <w:tcW w:w="777" w:type="pct"/>
            <w:vAlign w:val="center"/>
            <w:hideMark/>
          </w:tcPr>
          <w:p w14:paraId="100AA9D4" w14:textId="77777777" w:rsidR="00297E57" w:rsidRPr="0039091F" w:rsidRDefault="00297E57" w:rsidP="000A5389">
            <w:pPr>
              <w:spacing w:line="240" w:lineRule="auto"/>
              <w:rPr>
                <w:rFonts w:eastAsia="Times New Roman" w:cs="Times New Roman"/>
                <w:color w:val="000000"/>
                <w:sz w:val="18"/>
                <w:szCs w:val="18"/>
                <w:lang w:eastAsia="es-CO"/>
              </w:rPr>
            </w:pPr>
            <w:r w:rsidRPr="0039091F">
              <w:rPr>
                <w:rFonts w:eastAsia="Times New Roman" w:cs="Times New Roman"/>
                <w:color w:val="000000"/>
                <w:sz w:val="18"/>
                <w:szCs w:val="18"/>
                <w:lang w:eastAsia="es-CO"/>
              </w:rPr>
              <w:t>Eje 5. (Probidad, Ética e Identidad de lo Público) e identificadas por Alta Dirección</w:t>
            </w:r>
          </w:p>
        </w:tc>
        <w:tc>
          <w:tcPr>
            <w:tcW w:w="1320" w:type="pct"/>
            <w:vAlign w:val="center"/>
            <w:hideMark/>
          </w:tcPr>
          <w:p w14:paraId="0421F493" w14:textId="77777777" w:rsidR="00297E57" w:rsidRPr="0039091F" w:rsidRDefault="00297E57" w:rsidP="000A5389">
            <w:pPr>
              <w:spacing w:line="240" w:lineRule="auto"/>
              <w:rPr>
                <w:rFonts w:eastAsia="Times New Roman" w:cs="Times New Roman"/>
                <w:color w:val="000000"/>
                <w:sz w:val="18"/>
                <w:szCs w:val="18"/>
                <w:lang w:eastAsia="es-CO"/>
              </w:rPr>
            </w:pPr>
            <w:r w:rsidRPr="0039091F">
              <w:rPr>
                <w:rFonts w:eastAsia="Times New Roman" w:cs="Times New Roman"/>
                <w:color w:val="000000"/>
                <w:sz w:val="18"/>
                <w:szCs w:val="18"/>
                <w:lang w:eastAsia="es-CO"/>
              </w:rPr>
              <w:t>Capacitación Ética del servidor público</w:t>
            </w:r>
          </w:p>
        </w:tc>
        <w:tc>
          <w:tcPr>
            <w:tcW w:w="1044" w:type="pct"/>
            <w:vAlign w:val="center"/>
            <w:hideMark/>
          </w:tcPr>
          <w:p w14:paraId="25B0549D" w14:textId="77777777" w:rsidR="00297E57" w:rsidRPr="0039091F" w:rsidRDefault="00297E57" w:rsidP="000A5389">
            <w:pPr>
              <w:spacing w:line="240" w:lineRule="auto"/>
              <w:jc w:val="center"/>
              <w:rPr>
                <w:rFonts w:eastAsia="Times New Roman" w:cs="Times New Roman"/>
                <w:color w:val="000000"/>
                <w:sz w:val="18"/>
                <w:szCs w:val="18"/>
                <w:lang w:eastAsia="es-CO"/>
              </w:rPr>
            </w:pPr>
            <w:r w:rsidRPr="0039091F">
              <w:rPr>
                <w:rFonts w:eastAsia="Times New Roman" w:cs="Times New Roman"/>
                <w:color w:val="000000"/>
                <w:sz w:val="18"/>
                <w:szCs w:val="18"/>
                <w:lang w:eastAsia="es-CO"/>
              </w:rPr>
              <w:t>Elías Castro Blanco</w:t>
            </w:r>
          </w:p>
        </w:tc>
        <w:tc>
          <w:tcPr>
            <w:tcW w:w="464" w:type="pct"/>
            <w:vAlign w:val="center"/>
            <w:hideMark/>
          </w:tcPr>
          <w:p w14:paraId="78AAE120" w14:textId="77777777" w:rsidR="00297E57" w:rsidRPr="0039091F" w:rsidRDefault="00297E57" w:rsidP="000A5389">
            <w:pPr>
              <w:spacing w:line="240" w:lineRule="auto"/>
              <w:jc w:val="center"/>
              <w:rPr>
                <w:rFonts w:eastAsia="Times New Roman" w:cs="Times New Roman"/>
                <w:color w:val="000000"/>
                <w:sz w:val="18"/>
                <w:szCs w:val="18"/>
                <w:lang w:eastAsia="es-CO"/>
              </w:rPr>
            </w:pPr>
            <w:r w:rsidRPr="0039091F">
              <w:rPr>
                <w:rFonts w:eastAsia="Times New Roman" w:cs="Times New Roman"/>
                <w:color w:val="000000"/>
                <w:sz w:val="18"/>
                <w:szCs w:val="18"/>
                <w:lang w:eastAsia="es-CO"/>
              </w:rPr>
              <w:t>47</w:t>
            </w:r>
          </w:p>
        </w:tc>
        <w:tc>
          <w:tcPr>
            <w:tcW w:w="527" w:type="pct"/>
            <w:vAlign w:val="center"/>
            <w:hideMark/>
          </w:tcPr>
          <w:p w14:paraId="4E8B7D83" w14:textId="77777777" w:rsidR="00297E57" w:rsidRPr="0039091F" w:rsidRDefault="00297E57" w:rsidP="000A5389">
            <w:pPr>
              <w:spacing w:line="240" w:lineRule="auto"/>
              <w:jc w:val="center"/>
              <w:rPr>
                <w:rFonts w:eastAsia="Times New Roman" w:cs="Times New Roman"/>
                <w:color w:val="000000"/>
                <w:sz w:val="18"/>
                <w:szCs w:val="18"/>
                <w:lang w:eastAsia="es-CO"/>
              </w:rPr>
            </w:pPr>
            <w:r w:rsidRPr="0039091F">
              <w:rPr>
                <w:rFonts w:eastAsia="Times New Roman" w:cs="Times New Roman"/>
                <w:color w:val="000000"/>
                <w:sz w:val="18"/>
                <w:szCs w:val="18"/>
                <w:lang w:eastAsia="es-CO"/>
              </w:rPr>
              <w:t>24 de septiembre</w:t>
            </w:r>
          </w:p>
        </w:tc>
        <w:tc>
          <w:tcPr>
            <w:tcW w:w="640" w:type="pct"/>
            <w:vAlign w:val="center"/>
            <w:hideMark/>
          </w:tcPr>
          <w:p w14:paraId="585AF237" w14:textId="77777777" w:rsidR="00297E57" w:rsidRPr="0039091F" w:rsidRDefault="00297E57" w:rsidP="000A5389">
            <w:pPr>
              <w:spacing w:line="240" w:lineRule="auto"/>
              <w:jc w:val="center"/>
              <w:rPr>
                <w:rFonts w:eastAsia="Times New Roman" w:cs="Times New Roman"/>
                <w:color w:val="000000"/>
                <w:sz w:val="18"/>
                <w:szCs w:val="18"/>
                <w:lang w:eastAsia="es-CO"/>
              </w:rPr>
            </w:pPr>
            <w:r w:rsidRPr="0039091F">
              <w:rPr>
                <w:rFonts w:eastAsia="Times New Roman" w:cs="Times New Roman"/>
                <w:color w:val="000000"/>
                <w:sz w:val="18"/>
                <w:szCs w:val="18"/>
                <w:lang w:eastAsia="es-CO"/>
              </w:rPr>
              <w:t>1</w:t>
            </w:r>
          </w:p>
        </w:tc>
      </w:tr>
      <w:tr w:rsidR="00297E57" w:rsidRPr="0039091F" w14:paraId="315625F0" w14:textId="77777777" w:rsidTr="0039091F">
        <w:trPr>
          <w:trHeight w:val="283"/>
        </w:trPr>
        <w:tc>
          <w:tcPr>
            <w:tcW w:w="229" w:type="pct"/>
            <w:vAlign w:val="center"/>
            <w:hideMark/>
          </w:tcPr>
          <w:p w14:paraId="26853920" w14:textId="77777777" w:rsidR="00297E57" w:rsidRPr="0039091F" w:rsidRDefault="00297E57" w:rsidP="000A5389">
            <w:pPr>
              <w:spacing w:line="240" w:lineRule="auto"/>
              <w:jc w:val="center"/>
              <w:rPr>
                <w:rFonts w:eastAsia="Times New Roman" w:cs="Times New Roman"/>
                <w:color w:val="000000"/>
                <w:sz w:val="18"/>
                <w:szCs w:val="18"/>
                <w:lang w:eastAsia="es-CO"/>
              </w:rPr>
            </w:pPr>
            <w:r w:rsidRPr="0039091F">
              <w:rPr>
                <w:rFonts w:eastAsia="Times New Roman" w:cs="Times New Roman"/>
                <w:color w:val="000000"/>
                <w:sz w:val="18"/>
                <w:szCs w:val="18"/>
                <w:lang w:eastAsia="es-CO"/>
              </w:rPr>
              <w:t>74</w:t>
            </w:r>
          </w:p>
        </w:tc>
        <w:tc>
          <w:tcPr>
            <w:tcW w:w="777" w:type="pct"/>
            <w:vAlign w:val="center"/>
            <w:hideMark/>
          </w:tcPr>
          <w:p w14:paraId="5FED470E" w14:textId="77777777" w:rsidR="00297E57" w:rsidRPr="0039091F" w:rsidRDefault="00297E57" w:rsidP="000A5389">
            <w:pPr>
              <w:spacing w:line="240" w:lineRule="auto"/>
              <w:rPr>
                <w:rFonts w:eastAsia="Times New Roman" w:cs="Times New Roman"/>
                <w:color w:val="000000"/>
                <w:sz w:val="18"/>
                <w:szCs w:val="18"/>
                <w:lang w:eastAsia="es-CO"/>
              </w:rPr>
            </w:pPr>
            <w:r w:rsidRPr="0039091F">
              <w:rPr>
                <w:rFonts w:eastAsia="Times New Roman" w:cs="Times New Roman"/>
                <w:color w:val="000000"/>
                <w:sz w:val="18"/>
                <w:szCs w:val="18"/>
                <w:lang w:eastAsia="es-CO"/>
              </w:rPr>
              <w:t>Seguridad y Salud en el Trabajo</w:t>
            </w:r>
          </w:p>
        </w:tc>
        <w:tc>
          <w:tcPr>
            <w:tcW w:w="1320" w:type="pct"/>
            <w:vAlign w:val="center"/>
            <w:hideMark/>
          </w:tcPr>
          <w:p w14:paraId="2CCBDA66" w14:textId="77777777" w:rsidR="00297E57" w:rsidRPr="0039091F" w:rsidRDefault="00297E57" w:rsidP="000A5389">
            <w:pPr>
              <w:spacing w:line="240" w:lineRule="auto"/>
              <w:rPr>
                <w:rFonts w:eastAsia="Times New Roman" w:cs="Times New Roman"/>
                <w:color w:val="000000"/>
                <w:sz w:val="18"/>
                <w:szCs w:val="18"/>
                <w:lang w:eastAsia="es-CO"/>
              </w:rPr>
            </w:pPr>
            <w:r w:rsidRPr="0039091F">
              <w:rPr>
                <w:rFonts w:eastAsia="Times New Roman" w:cs="Times New Roman"/>
                <w:color w:val="000000"/>
                <w:sz w:val="18"/>
                <w:szCs w:val="18"/>
                <w:lang w:eastAsia="es-CO"/>
              </w:rPr>
              <w:t>Capacitación Técnicas de control de incendios</w:t>
            </w:r>
          </w:p>
        </w:tc>
        <w:tc>
          <w:tcPr>
            <w:tcW w:w="1044" w:type="pct"/>
            <w:vAlign w:val="center"/>
            <w:hideMark/>
          </w:tcPr>
          <w:p w14:paraId="23864DA1" w14:textId="77777777" w:rsidR="00297E57" w:rsidRPr="0039091F" w:rsidRDefault="00297E57" w:rsidP="000A5389">
            <w:pPr>
              <w:spacing w:line="240" w:lineRule="auto"/>
              <w:jc w:val="center"/>
              <w:rPr>
                <w:rFonts w:eastAsia="Times New Roman" w:cs="Times New Roman"/>
                <w:color w:val="000000"/>
                <w:sz w:val="18"/>
                <w:szCs w:val="18"/>
                <w:lang w:eastAsia="es-CO"/>
              </w:rPr>
            </w:pPr>
            <w:r w:rsidRPr="0039091F">
              <w:rPr>
                <w:rFonts w:eastAsia="Times New Roman" w:cs="Times New Roman"/>
                <w:color w:val="000000"/>
                <w:sz w:val="18"/>
                <w:szCs w:val="18"/>
                <w:lang w:eastAsia="es-CO"/>
              </w:rPr>
              <w:t>Agencia Nacional de Minería</w:t>
            </w:r>
          </w:p>
        </w:tc>
        <w:tc>
          <w:tcPr>
            <w:tcW w:w="464" w:type="pct"/>
            <w:vAlign w:val="center"/>
            <w:hideMark/>
          </w:tcPr>
          <w:p w14:paraId="725CD368" w14:textId="77777777" w:rsidR="00297E57" w:rsidRPr="0039091F" w:rsidRDefault="00297E57" w:rsidP="000A5389">
            <w:pPr>
              <w:spacing w:line="240" w:lineRule="auto"/>
              <w:jc w:val="center"/>
              <w:rPr>
                <w:rFonts w:eastAsia="Times New Roman" w:cs="Times New Roman"/>
                <w:color w:val="000000"/>
                <w:sz w:val="18"/>
                <w:szCs w:val="18"/>
                <w:lang w:eastAsia="es-CO"/>
              </w:rPr>
            </w:pPr>
            <w:r w:rsidRPr="0039091F">
              <w:rPr>
                <w:rFonts w:eastAsia="Times New Roman" w:cs="Times New Roman"/>
                <w:color w:val="000000"/>
                <w:sz w:val="18"/>
                <w:szCs w:val="18"/>
                <w:lang w:eastAsia="es-CO"/>
              </w:rPr>
              <w:t>3</w:t>
            </w:r>
          </w:p>
        </w:tc>
        <w:tc>
          <w:tcPr>
            <w:tcW w:w="527" w:type="pct"/>
            <w:vAlign w:val="center"/>
            <w:hideMark/>
          </w:tcPr>
          <w:p w14:paraId="6E272647" w14:textId="77777777" w:rsidR="00297E57" w:rsidRPr="0039091F" w:rsidRDefault="00297E57" w:rsidP="000A5389">
            <w:pPr>
              <w:spacing w:line="240" w:lineRule="auto"/>
              <w:jc w:val="center"/>
              <w:rPr>
                <w:rFonts w:eastAsia="Times New Roman" w:cs="Times New Roman"/>
                <w:color w:val="000000"/>
                <w:sz w:val="18"/>
                <w:szCs w:val="18"/>
                <w:lang w:eastAsia="es-CO"/>
              </w:rPr>
            </w:pPr>
            <w:r w:rsidRPr="0039091F">
              <w:rPr>
                <w:rFonts w:eastAsia="Times New Roman" w:cs="Times New Roman"/>
                <w:color w:val="000000"/>
                <w:sz w:val="18"/>
                <w:szCs w:val="18"/>
                <w:lang w:eastAsia="es-CO"/>
              </w:rPr>
              <w:t>24 de septiembre</w:t>
            </w:r>
          </w:p>
        </w:tc>
        <w:tc>
          <w:tcPr>
            <w:tcW w:w="640" w:type="pct"/>
            <w:vAlign w:val="center"/>
            <w:hideMark/>
          </w:tcPr>
          <w:p w14:paraId="6EF46867" w14:textId="77777777" w:rsidR="00297E57" w:rsidRPr="0039091F" w:rsidRDefault="00297E57" w:rsidP="000A5389">
            <w:pPr>
              <w:spacing w:line="240" w:lineRule="auto"/>
              <w:jc w:val="center"/>
              <w:rPr>
                <w:rFonts w:eastAsia="Times New Roman" w:cs="Times New Roman"/>
                <w:color w:val="000000"/>
                <w:sz w:val="18"/>
                <w:szCs w:val="18"/>
                <w:lang w:eastAsia="es-CO"/>
              </w:rPr>
            </w:pPr>
            <w:r w:rsidRPr="0039091F">
              <w:rPr>
                <w:rFonts w:eastAsia="Times New Roman" w:cs="Times New Roman"/>
                <w:color w:val="000000"/>
                <w:sz w:val="18"/>
                <w:szCs w:val="18"/>
                <w:lang w:eastAsia="es-CO"/>
              </w:rPr>
              <w:t>1,4</w:t>
            </w:r>
          </w:p>
        </w:tc>
      </w:tr>
      <w:tr w:rsidR="00297E57" w:rsidRPr="0039091F" w14:paraId="20E4BC22" w14:textId="77777777" w:rsidTr="0039091F">
        <w:trPr>
          <w:trHeight w:val="283"/>
        </w:trPr>
        <w:tc>
          <w:tcPr>
            <w:tcW w:w="229" w:type="pct"/>
            <w:vAlign w:val="center"/>
            <w:hideMark/>
          </w:tcPr>
          <w:p w14:paraId="50FA3F07" w14:textId="77777777" w:rsidR="00297E57" w:rsidRPr="0039091F" w:rsidRDefault="00297E57" w:rsidP="000A5389">
            <w:pPr>
              <w:spacing w:line="240" w:lineRule="auto"/>
              <w:jc w:val="center"/>
              <w:rPr>
                <w:rFonts w:eastAsia="Times New Roman" w:cs="Times New Roman"/>
                <w:color w:val="000000"/>
                <w:sz w:val="18"/>
                <w:szCs w:val="18"/>
                <w:lang w:eastAsia="es-CO"/>
              </w:rPr>
            </w:pPr>
            <w:r w:rsidRPr="0039091F">
              <w:rPr>
                <w:rFonts w:eastAsia="Times New Roman" w:cs="Times New Roman"/>
                <w:color w:val="000000"/>
                <w:sz w:val="18"/>
                <w:szCs w:val="18"/>
                <w:lang w:eastAsia="es-CO"/>
              </w:rPr>
              <w:t>75</w:t>
            </w:r>
          </w:p>
        </w:tc>
        <w:tc>
          <w:tcPr>
            <w:tcW w:w="777" w:type="pct"/>
            <w:vAlign w:val="center"/>
            <w:hideMark/>
          </w:tcPr>
          <w:p w14:paraId="2B50DD64" w14:textId="77777777" w:rsidR="00297E57" w:rsidRPr="0039091F" w:rsidRDefault="00297E57" w:rsidP="000A5389">
            <w:pPr>
              <w:spacing w:line="240" w:lineRule="auto"/>
              <w:rPr>
                <w:rFonts w:eastAsia="Times New Roman" w:cs="Times New Roman"/>
                <w:color w:val="000000"/>
                <w:sz w:val="18"/>
                <w:szCs w:val="18"/>
                <w:lang w:eastAsia="es-CO"/>
              </w:rPr>
            </w:pPr>
            <w:r w:rsidRPr="0039091F">
              <w:rPr>
                <w:rFonts w:eastAsia="Times New Roman" w:cs="Times New Roman"/>
                <w:color w:val="000000"/>
                <w:sz w:val="18"/>
                <w:szCs w:val="18"/>
                <w:lang w:eastAsia="es-CO"/>
              </w:rPr>
              <w:t>Seguridad y Salud en el Trabajo</w:t>
            </w:r>
          </w:p>
        </w:tc>
        <w:tc>
          <w:tcPr>
            <w:tcW w:w="1320" w:type="pct"/>
            <w:vAlign w:val="center"/>
            <w:hideMark/>
          </w:tcPr>
          <w:p w14:paraId="584A03BE" w14:textId="77777777" w:rsidR="00297E57" w:rsidRPr="0039091F" w:rsidRDefault="00297E57" w:rsidP="000A5389">
            <w:pPr>
              <w:spacing w:line="240" w:lineRule="auto"/>
              <w:rPr>
                <w:rFonts w:eastAsia="Times New Roman" w:cs="Times New Roman"/>
                <w:color w:val="000000"/>
                <w:sz w:val="18"/>
                <w:szCs w:val="18"/>
                <w:lang w:eastAsia="es-CO"/>
              </w:rPr>
            </w:pPr>
            <w:r w:rsidRPr="0039091F">
              <w:rPr>
                <w:rFonts w:eastAsia="Times New Roman" w:cs="Times New Roman"/>
                <w:color w:val="000000"/>
                <w:sz w:val="18"/>
                <w:szCs w:val="18"/>
                <w:lang w:eastAsia="es-CO"/>
              </w:rPr>
              <w:t>Taller de Inspecciones planeadas</w:t>
            </w:r>
          </w:p>
        </w:tc>
        <w:tc>
          <w:tcPr>
            <w:tcW w:w="1044" w:type="pct"/>
            <w:vAlign w:val="center"/>
            <w:hideMark/>
          </w:tcPr>
          <w:p w14:paraId="2A7E75A1" w14:textId="77777777" w:rsidR="00297E57" w:rsidRPr="0039091F" w:rsidRDefault="00297E57" w:rsidP="000A5389">
            <w:pPr>
              <w:spacing w:line="240" w:lineRule="auto"/>
              <w:jc w:val="center"/>
              <w:rPr>
                <w:rFonts w:eastAsia="Times New Roman" w:cs="Times New Roman"/>
                <w:color w:val="000000"/>
                <w:sz w:val="18"/>
                <w:szCs w:val="18"/>
                <w:lang w:eastAsia="es-CO"/>
              </w:rPr>
            </w:pPr>
            <w:r w:rsidRPr="0039091F">
              <w:rPr>
                <w:rFonts w:eastAsia="Times New Roman" w:cs="Times New Roman"/>
                <w:color w:val="000000"/>
                <w:sz w:val="18"/>
                <w:szCs w:val="18"/>
                <w:lang w:eastAsia="es-CO"/>
              </w:rPr>
              <w:t>ARL POSITIVA</w:t>
            </w:r>
          </w:p>
        </w:tc>
        <w:tc>
          <w:tcPr>
            <w:tcW w:w="464" w:type="pct"/>
            <w:vAlign w:val="center"/>
            <w:hideMark/>
          </w:tcPr>
          <w:p w14:paraId="507360A7" w14:textId="77777777" w:rsidR="00297E57" w:rsidRPr="0039091F" w:rsidRDefault="00297E57" w:rsidP="000A5389">
            <w:pPr>
              <w:spacing w:line="240" w:lineRule="auto"/>
              <w:jc w:val="center"/>
              <w:rPr>
                <w:rFonts w:eastAsia="Times New Roman" w:cs="Times New Roman"/>
                <w:color w:val="000000"/>
                <w:sz w:val="18"/>
                <w:szCs w:val="18"/>
                <w:lang w:eastAsia="es-CO"/>
              </w:rPr>
            </w:pPr>
            <w:r w:rsidRPr="0039091F">
              <w:rPr>
                <w:rFonts w:eastAsia="Times New Roman" w:cs="Times New Roman"/>
                <w:color w:val="000000"/>
                <w:sz w:val="18"/>
                <w:szCs w:val="18"/>
                <w:lang w:eastAsia="es-CO"/>
              </w:rPr>
              <w:t>2</w:t>
            </w:r>
          </w:p>
        </w:tc>
        <w:tc>
          <w:tcPr>
            <w:tcW w:w="527" w:type="pct"/>
            <w:vAlign w:val="center"/>
            <w:hideMark/>
          </w:tcPr>
          <w:p w14:paraId="754FC539" w14:textId="77777777" w:rsidR="00297E57" w:rsidRPr="0039091F" w:rsidRDefault="00297E57" w:rsidP="000A5389">
            <w:pPr>
              <w:spacing w:line="240" w:lineRule="auto"/>
              <w:jc w:val="center"/>
              <w:rPr>
                <w:rFonts w:eastAsia="Times New Roman" w:cs="Times New Roman"/>
                <w:color w:val="000000"/>
                <w:sz w:val="18"/>
                <w:szCs w:val="18"/>
                <w:lang w:eastAsia="es-CO"/>
              </w:rPr>
            </w:pPr>
            <w:r w:rsidRPr="0039091F">
              <w:rPr>
                <w:rFonts w:eastAsia="Times New Roman" w:cs="Times New Roman"/>
                <w:color w:val="000000"/>
                <w:sz w:val="18"/>
                <w:szCs w:val="18"/>
                <w:lang w:eastAsia="es-CO"/>
              </w:rPr>
              <w:t>24 de septiembre</w:t>
            </w:r>
          </w:p>
        </w:tc>
        <w:tc>
          <w:tcPr>
            <w:tcW w:w="640" w:type="pct"/>
            <w:vAlign w:val="center"/>
            <w:hideMark/>
          </w:tcPr>
          <w:p w14:paraId="104E24C1" w14:textId="77777777" w:rsidR="00297E57" w:rsidRPr="0039091F" w:rsidRDefault="00297E57" w:rsidP="000A5389">
            <w:pPr>
              <w:spacing w:line="240" w:lineRule="auto"/>
              <w:jc w:val="center"/>
              <w:rPr>
                <w:rFonts w:eastAsia="Times New Roman" w:cs="Times New Roman"/>
                <w:color w:val="000000"/>
                <w:sz w:val="18"/>
                <w:szCs w:val="18"/>
                <w:lang w:eastAsia="es-CO"/>
              </w:rPr>
            </w:pPr>
            <w:r w:rsidRPr="0039091F">
              <w:rPr>
                <w:rFonts w:eastAsia="Times New Roman" w:cs="Times New Roman"/>
                <w:color w:val="000000"/>
                <w:sz w:val="18"/>
                <w:szCs w:val="18"/>
                <w:lang w:eastAsia="es-CO"/>
              </w:rPr>
              <w:t>1</w:t>
            </w:r>
          </w:p>
        </w:tc>
      </w:tr>
      <w:tr w:rsidR="00297E57" w:rsidRPr="0039091F" w14:paraId="1A2C795E" w14:textId="77777777" w:rsidTr="0039091F">
        <w:trPr>
          <w:trHeight w:val="283"/>
        </w:trPr>
        <w:tc>
          <w:tcPr>
            <w:tcW w:w="229" w:type="pct"/>
            <w:vAlign w:val="center"/>
            <w:hideMark/>
          </w:tcPr>
          <w:p w14:paraId="02122ACA" w14:textId="77777777" w:rsidR="00297E57" w:rsidRPr="0039091F" w:rsidRDefault="00297E57" w:rsidP="000A5389">
            <w:pPr>
              <w:spacing w:line="240" w:lineRule="auto"/>
              <w:jc w:val="center"/>
              <w:rPr>
                <w:rFonts w:eastAsia="Times New Roman" w:cs="Times New Roman"/>
                <w:color w:val="000000"/>
                <w:sz w:val="18"/>
                <w:szCs w:val="18"/>
                <w:lang w:eastAsia="es-CO"/>
              </w:rPr>
            </w:pPr>
            <w:r w:rsidRPr="0039091F">
              <w:rPr>
                <w:rFonts w:eastAsia="Times New Roman" w:cs="Times New Roman"/>
                <w:color w:val="000000"/>
                <w:sz w:val="18"/>
                <w:szCs w:val="18"/>
                <w:lang w:eastAsia="es-CO"/>
              </w:rPr>
              <w:t>76</w:t>
            </w:r>
          </w:p>
        </w:tc>
        <w:tc>
          <w:tcPr>
            <w:tcW w:w="777" w:type="pct"/>
            <w:vAlign w:val="center"/>
            <w:hideMark/>
          </w:tcPr>
          <w:p w14:paraId="0E0030F9" w14:textId="77777777" w:rsidR="00297E57" w:rsidRPr="0039091F" w:rsidRDefault="00297E57" w:rsidP="000A5389">
            <w:pPr>
              <w:spacing w:line="240" w:lineRule="auto"/>
              <w:rPr>
                <w:rFonts w:eastAsia="Times New Roman" w:cs="Times New Roman"/>
                <w:color w:val="000000"/>
                <w:sz w:val="18"/>
                <w:szCs w:val="18"/>
                <w:lang w:eastAsia="es-CO"/>
              </w:rPr>
            </w:pPr>
            <w:r w:rsidRPr="0039091F">
              <w:rPr>
                <w:rFonts w:eastAsia="Times New Roman" w:cs="Times New Roman"/>
                <w:color w:val="000000"/>
                <w:sz w:val="18"/>
                <w:szCs w:val="18"/>
                <w:lang w:eastAsia="es-CO"/>
              </w:rPr>
              <w:t>Seguridad y Salud en el Trabajo</w:t>
            </w:r>
          </w:p>
        </w:tc>
        <w:tc>
          <w:tcPr>
            <w:tcW w:w="1320" w:type="pct"/>
            <w:vAlign w:val="center"/>
            <w:hideMark/>
          </w:tcPr>
          <w:p w14:paraId="38636CAB" w14:textId="77777777" w:rsidR="00297E57" w:rsidRPr="0039091F" w:rsidRDefault="00297E57" w:rsidP="000A5389">
            <w:pPr>
              <w:spacing w:line="240" w:lineRule="auto"/>
              <w:rPr>
                <w:rFonts w:eastAsia="Times New Roman" w:cs="Times New Roman"/>
                <w:color w:val="000000"/>
                <w:sz w:val="18"/>
                <w:szCs w:val="18"/>
                <w:lang w:eastAsia="es-CO"/>
              </w:rPr>
            </w:pPr>
            <w:r w:rsidRPr="0039091F">
              <w:rPr>
                <w:rFonts w:eastAsia="Times New Roman" w:cs="Times New Roman"/>
                <w:color w:val="000000"/>
                <w:sz w:val="18"/>
                <w:szCs w:val="18"/>
                <w:lang w:eastAsia="es-CO"/>
              </w:rPr>
              <w:t>Capacitación Peligros de la ANI en SST reporte de condiciones inseguras</w:t>
            </w:r>
          </w:p>
        </w:tc>
        <w:tc>
          <w:tcPr>
            <w:tcW w:w="1044" w:type="pct"/>
            <w:vAlign w:val="center"/>
            <w:hideMark/>
          </w:tcPr>
          <w:p w14:paraId="594CAD0B" w14:textId="77777777" w:rsidR="00297E57" w:rsidRPr="0039091F" w:rsidRDefault="00297E57" w:rsidP="000A5389">
            <w:pPr>
              <w:spacing w:line="240" w:lineRule="auto"/>
              <w:jc w:val="center"/>
              <w:rPr>
                <w:rFonts w:eastAsia="Times New Roman" w:cs="Times New Roman"/>
                <w:color w:val="000000"/>
                <w:sz w:val="18"/>
                <w:szCs w:val="18"/>
                <w:lang w:eastAsia="es-CO"/>
              </w:rPr>
            </w:pPr>
            <w:r w:rsidRPr="0039091F">
              <w:rPr>
                <w:rFonts w:eastAsia="Times New Roman" w:cs="Times New Roman"/>
                <w:color w:val="000000"/>
                <w:sz w:val="18"/>
                <w:szCs w:val="18"/>
                <w:lang w:eastAsia="es-CO"/>
              </w:rPr>
              <w:t>ARL POSITIVA</w:t>
            </w:r>
          </w:p>
        </w:tc>
        <w:tc>
          <w:tcPr>
            <w:tcW w:w="464" w:type="pct"/>
            <w:vAlign w:val="center"/>
            <w:hideMark/>
          </w:tcPr>
          <w:p w14:paraId="6D975F6D" w14:textId="77777777" w:rsidR="00297E57" w:rsidRPr="0039091F" w:rsidRDefault="00297E57" w:rsidP="000A5389">
            <w:pPr>
              <w:spacing w:line="240" w:lineRule="auto"/>
              <w:jc w:val="center"/>
              <w:rPr>
                <w:rFonts w:eastAsia="Times New Roman" w:cs="Times New Roman"/>
                <w:color w:val="000000"/>
                <w:sz w:val="18"/>
                <w:szCs w:val="18"/>
                <w:lang w:eastAsia="es-CO"/>
              </w:rPr>
            </w:pPr>
            <w:r w:rsidRPr="0039091F">
              <w:rPr>
                <w:rFonts w:eastAsia="Times New Roman" w:cs="Times New Roman"/>
                <w:color w:val="000000"/>
                <w:sz w:val="18"/>
                <w:szCs w:val="18"/>
                <w:lang w:eastAsia="es-CO"/>
              </w:rPr>
              <w:t>17</w:t>
            </w:r>
          </w:p>
        </w:tc>
        <w:tc>
          <w:tcPr>
            <w:tcW w:w="527" w:type="pct"/>
            <w:vAlign w:val="center"/>
            <w:hideMark/>
          </w:tcPr>
          <w:p w14:paraId="6334D008" w14:textId="77777777" w:rsidR="00297E57" w:rsidRPr="0039091F" w:rsidRDefault="00297E57" w:rsidP="000A5389">
            <w:pPr>
              <w:spacing w:line="240" w:lineRule="auto"/>
              <w:jc w:val="center"/>
              <w:rPr>
                <w:rFonts w:eastAsia="Times New Roman" w:cs="Times New Roman"/>
                <w:color w:val="000000"/>
                <w:sz w:val="18"/>
                <w:szCs w:val="18"/>
                <w:lang w:eastAsia="es-CO"/>
              </w:rPr>
            </w:pPr>
            <w:r w:rsidRPr="0039091F">
              <w:rPr>
                <w:rFonts w:eastAsia="Times New Roman" w:cs="Times New Roman"/>
                <w:color w:val="000000"/>
                <w:sz w:val="18"/>
                <w:szCs w:val="18"/>
                <w:lang w:eastAsia="es-CO"/>
              </w:rPr>
              <w:t>24 de septiembre</w:t>
            </w:r>
          </w:p>
        </w:tc>
        <w:tc>
          <w:tcPr>
            <w:tcW w:w="640" w:type="pct"/>
            <w:vAlign w:val="center"/>
            <w:hideMark/>
          </w:tcPr>
          <w:p w14:paraId="7C1DB16C" w14:textId="77777777" w:rsidR="00297E57" w:rsidRPr="0039091F" w:rsidRDefault="00297E57" w:rsidP="000A5389">
            <w:pPr>
              <w:spacing w:line="240" w:lineRule="auto"/>
              <w:jc w:val="center"/>
              <w:rPr>
                <w:rFonts w:eastAsia="Times New Roman" w:cs="Times New Roman"/>
                <w:color w:val="000000"/>
                <w:sz w:val="18"/>
                <w:szCs w:val="18"/>
                <w:lang w:eastAsia="es-CO"/>
              </w:rPr>
            </w:pPr>
            <w:r w:rsidRPr="0039091F">
              <w:rPr>
                <w:rFonts w:eastAsia="Times New Roman" w:cs="Times New Roman"/>
                <w:color w:val="000000"/>
                <w:sz w:val="18"/>
                <w:szCs w:val="18"/>
                <w:lang w:eastAsia="es-CO"/>
              </w:rPr>
              <w:t>1</w:t>
            </w:r>
          </w:p>
        </w:tc>
      </w:tr>
      <w:tr w:rsidR="00297E57" w:rsidRPr="0039091F" w14:paraId="6F3212FF" w14:textId="77777777" w:rsidTr="0039091F">
        <w:trPr>
          <w:trHeight w:val="283"/>
        </w:trPr>
        <w:tc>
          <w:tcPr>
            <w:tcW w:w="229" w:type="pct"/>
            <w:vAlign w:val="center"/>
            <w:hideMark/>
          </w:tcPr>
          <w:p w14:paraId="3738CBD0" w14:textId="77777777" w:rsidR="00297E57" w:rsidRPr="0039091F" w:rsidRDefault="00297E57" w:rsidP="000A5389">
            <w:pPr>
              <w:spacing w:line="240" w:lineRule="auto"/>
              <w:jc w:val="center"/>
              <w:rPr>
                <w:rFonts w:eastAsia="Times New Roman" w:cs="Times New Roman"/>
                <w:color w:val="000000"/>
                <w:sz w:val="18"/>
                <w:szCs w:val="18"/>
                <w:lang w:eastAsia="es-CO"/>
              </w:rPr>
            </w:pPr>
            <w:r w:rsidRPr="0039091F">
              <w:rPr>
                <w:rFonts w:eastAsia="Times New Roman" w:cs="Times New Roman"/>
                <w:color w:val="000000"/>
                <w:sz w:val="18"/>
                <w:szCs w:val="18"/>
                <w:lang w:eastAsia="es-CO"/>
              </w:rPr>
              <w:t>77</w:t>
            </w:r>
          </w:p>
        </w:tc>
        <w:tc>
          <w:tcPr>
            <w:tcW w:w="777" w:type="pct"/>
            <w:vAlign w:val="center"/>
            <w:hideMark/>
          </w:tcPr>
          <w:p w14:paraId="18EFBB0A" w14:textId="77777777" w:rsidR="00297E57" w:rsidRPr="0039091F" w:rsidRDefault="00297E57" w:rsidP="000A5389">
            <w:pPr>
              <w:spacing w:line="240" w:lineRule="auto"/>
              <w:rPr>
                <w:rFonts w:eastAsia="Times New Roman" w:cs="Times New Roman"/>
                <w:color w:val="000000"/>
                <w:sz w:val="18"/>
                <w:szCs w:val="18"/>
                <w:lang w:eastAsia="es-CO"/>
              </w:rPr>
            </w:pPr>
            <w:r w:rsidRPr="0039091F">
              <w:rPr>
                <w:rFonts w:eastAsia="Times New Roman" w:cs="Times New Roman"/>
                <w:color w:val="000000"/>
                <w:sz w:val="18"/>
                <w:szCs w:val="18"/>
                <w:lang w:eastAsia="es-CO"/>
              </w:rPr>
              <w:t>Habilidades y Conocimientos</w:t>
            </w:r>
          </w:p>
        </w:tc>
        <w:tc>
          <w:tcPr>
            <w:tcW w:w="1320" w:type="pct"/>
            <w:vAlign w:val="center"/>
            <w:hideMark/>
          </w:tcPr>
          <w:p w14:paraId="3FE72542" w14:textId="77777777" w:rsidR="00297E57" w:rsidRPr="0039091F" w:rsidRDefault="00297E57" w:rsidP="000A5389">
            <w:pPr>
              <w:spacing w:line="240" w:lineRule="auto"/>
              <w:rPr>
                <w:rFonts w:eastAsia="Times New Roman" w:cs="Times New Roman"/>
                <w:color w:val="000000"/>
                <w:sz w:val="18"/>
                <w:szCs w:val="18"/>
                <w:lang w:eastAsia="es-CO"/>
              </w:rPr>
            </w:pPr>
            <w:r w:rsidRPr="0039091F">
              <w:rPr>
                <w:rFonts w:eastAsia="Times New Roman" w:cs="Times New Roman"/>
                <w:color w:val="000000"/>
                <w:sz w:val="18"/>
                <w:szCs w:val="18"/>
                <w:lang w:eastAsia="es-CO"/>
              </w:rPr>
              <w:t>Sensibilización en Derecho de Petición y Protocolos de Servicio, dirigida a Vicepresidencia Ejecutiva, Vicepresidencia de Gestión Contractual y la Vicepresidencia de Estructuración.</w:t>
            </w:r>
          </w:p>
        </w:tc>
        <w:tc>
          <w:tcPr>
            <w:tcW w:w="1044" w:type="pct"/>
            <w:vAlign w:val="center"/>
            <w:hideMark/>
          </w:tcPr>
          <w:p w14:paraId="218D186A" w14:textId="77777777" w:rsidR="00297E57" w:rsidRPr="0039091F" w:rsidRDefault="00297E57" w:rsidP="000A5389">
            <w:pPr>
              <w:spacing w:line="240" w:lineRule="auto"/>
              <w:jc w:val="center"/>
              <w:rPr>
                <w:rFonts w:eastAsia="Times New Roman" w:cs="Times New Roman"/>
                <w:color w:val="000000"/>
                <w:sz w:val="18"/>
                <w:szCs w:val="18"/>
                <w:lang w:eastAsia="es-CO"/>
              </w:rPr>
            </w:pPr>
            <w:r w:rsidRPr="0039091F">
              <w:rPr>
                <w:rFonts w:eastAsia="Times New Roman" w:cs="Times New Roman"/>
                <w:color w:val="000000"/>
                <w:sz w:val="18"/>
                <w:szCs w:val="18"/>
                <w:lang w:eastAsia="es-CO"/>
              </w:rPr>
              <w:t>ANI</w:t>
            </w:r>
          </w:p>
        </w:tc>
        <w:tc>
          <w:tcPr>
            <w:tcW w:w="464" w:type="pct"/>
            <w:vAlign w:val="center"/>
            <w:hideMark/>
          </w:tcPr>
          <w:p w14:paraId="3CEE6044" w14:textId="77777777" w:rsidR="00297E57" w:rsidRPr="0039091F" w:rsidRDefault="00297E57" w:rsidP="000A5389">
            <w:pPr>
              <w:spacing w:line="240" w:lineRule="auto"/>
              <w:jc w:val="center"/>
              <w:rPr>
                <w:rFonts w:eastAsia="Times New Roman" w:cs="Times New Roman"/>
                <w:color w:val="000000"/>
                <w:sz w:val="18"/>
                <w:szCs w:val="18"/>
                <w:lang w:eastAsia="es-CO"/>
              </w:rPr>
            </w:pPr>
            <w:r w:rsidRPr="0039091F">
              <w:rPr>
                <w:rFonts w:eastAsia="Times New Roman" w:cs="Times New Roman"/>
                <w:color w:val="000000"/>
                <w:sz w:val="18"/>
                <w:szCs w:val="18"/>
                <w:lang w:eastAsia="es-CO"/>
              </w:rPr>
              <w:t>16</w:t>
            </w:r>
          </w:p>
        </w:tc>
        <w:tc>
          <w:tcPr>
            <w:tcW w:w="527" w:type="pct"/>
            <w:vAlign w:val="center"/>
            <w:hideMark/>
          </w:tcPr>
          <w:p w14:paraId="1FEFEEAA" w14:textId="77777777" w:rsidR="00297E57" w:rsidRPr="0039091F" w:rsidRDefault="00297E57" w:rsidP="000A5389">
            <w:pPr>
              <w:spacing w:line="240" w:lineRule="auto"/>
              <w:jc w:val="center"/>
              <w:rPr>
                <w:rFonts w:eastAsia="Times New Roman" w:cs="Times New Roman"/>
                <w:color w:val="000000"/>
                <w:sz w:val="18"/>
                <w:szCs w:val="18"/>
                <w:lang w:eastAsia="es-CO"/>
              </w:rPr>
            </w:pPr>
            <w:r w:rsidRPr="0039091F">
              <w:rPr>
                <w:rFonts w:eastAsia="Times New Roman" w:cs="Times New Roman"/>
                <w:color w:val="000000"/>
                <w:sz w:val="18"/>
                <w:szCs w:val="18"/>
                <w:lang w:eastAsia="es-CO"/>
              </w:rPr>
              <w:t>25 de septiembre</w:t>
            </w:r>
          </w:p>
        </w:tc>
        <w:tc>
          <w:tcPr>
            <w:tcW w:w="640" w:type="pct"/>
            <w:vAlign w:val="center"/>
            <w:hideMark/>
          </w:tcPr>
          <w:p w14:paraId="52A3C10E" w14:textId="77777777" w:rsidR="00297E57" w:rsidRPr="0039091F" w:rsidRDefault="00297E57" w:rsidP="000A5389">
            <w:pPr>
              <w:spacing w:line="240" w:lineRule="auto"/>
              <w:jc w:val="center"/>
              <w:rPr>
                <w:rFonts w:eastAsia="Times New Roman" w:cs="Times New Roman"/>
                <w:color w:val="000000"/>
                <w:sz w:val="18"/>
                <w:szCs w:val="18"/>
                <w:lang w:eastAsia="es-CO"/>
              </w:rPr>
            </w:pPr>
            <w:r w:rsidRPr="0039091F">
              <w:rPr>
                <w:rFonts w:eastAsia="Times New Roman" w:cs="Times New Roman"/>
                <w:color w:val="000000"/>
                <w:sz w:val="18"/>
                <w:szCs w:val="18"/>
                <w:lang w:eastAsia="es-CO"/>
              </w:rPr>
              <w:t>2</w:t>
            </w:r>
          </w:p>
        </w:tc>
      </w:tr>
      <w:tr w:rsidR="00297E57" w:rsidRPr="0039091F" w14:paraId="00B79140" w14:textId="77777777" w:rsidTr="0039091F">
        <w:trPr>
          <w:trHeight w:val="283"/>
        </w:trPr>
        <w:tc>
          <w:tcPr>
            <w:tcW w:w="229" w:type="pct"/>
            <w:vAlign w:val="center"/>
            <w:hideMark/>
          </w:tcPr>
          <w:p w14:paraId="6F0FA377" w14:textId="77777777" w:rsidR="00297E57" w:rsidRPr="0039091F" w:rsidRDefault="00297E57" w:rsidP="000A5389">
            <w:pPr>
              <w:spacing w:line="240" w:lineRule="auto"/>
              <w:jc w:val="center"/>
              <w:rPr>
                <w:rFonts w:eastAsia="Times New Roman" w:cs="Times New Roman"/>
                <w:color w:val="000000"/>
                <w:sz w:val="18"/>
                <w:szCs w:val="18"/>
                <w:lang w:eastAsia="es-CO"/>
              </w:rPr>
            </w:pPr>
            <w:r w:rsidRPr="0039091F">
              <w:rPr>
                <w:rFonts w:eastAsia="Times New Roman" w:cs="Times New Roman"/>
                <w:color w:val="000000"/>
                <w:sz w:val="18"/>
                <w:szCs w:val="18"/>
                <w:lang w:eastAsia="es-CO"/>
              </w:rPr>
              <w:t>78</w:t>
            </w:r>
          </w:p>
        </w:tc>
        <w:tc>
          <w:tcPr>
            <w:tcW w:w="777" w:type="pct"/>
            <w:vAlign w:val="center"/>
            <w:hideMark/>
          </w:tcPr>
          <w:p w14:paraId="45FEFC8C" w14:textId="77777777" w:rsidR="00297E57" w:rsidRPr="0039091F" w:rsidRDefault="00297E57" w:rsidP="000A5389">
            <w:pPr>
              <w:spacing w:line="240" w:lineRule="auto"/>
              <w:rPr>
                <w:rFonts w:eastAsia="Times New Roman" w:cs="Times New Roman"/>
                <w:color w:val="000000"/>
                <w:sz w:val="18"/>
                <w:szCs w:val="18"/>
                <w:lang w:eastAsia="es-CO"/>
              </w:rPr>
            </w:pPr>
            <w:r w:rsidRPr="0039091F">
              <w:rPr>
                <w:rFonts w:eastAsia="Times New Roman" w:cs="Times New Roman"/>
                <w:color w:val="000000"/>
                <w:sz w:val="18"/>
                <w:szCs w:val="18"/>
                <w:lang w:eastAsia="es-CO"/>
              </w:rPr>
              <w:t>Seguridad y Salud en el Trabajo</w:t>
            </w:r>
          </w:p>
        </w:tc>
        <w:tc>
          <w:tcPr>
            <w:tcW w:w="1320" w:type="pct"/>
            <w:vAlign w:val="center"/>
            <w:hideMark/>
          </w:tcPr>
          <w:p w14:paraId="622B6B7C" w14:textId="77777777" w:rsidR="00297E57" w:rsidRPr="0039091F" w:rsidRDefault="00297E57" w:rsidP="000A5389">
            <w:pPr>
              <w:spacing w:line="240" w:lineRule="auto"/>
              <w:rPr>
                <w:rFonts w:eastAsia="Times New Roman" w:cs="Times New Roman"/>
                <w:color w:val="000000"/>
                <w:sz w:val="18"/>
                <w:szCs w:val="18"/>
                <w:lang w:eastAsia="es-CO"/>
              </w:rPr>
            </w:pPr>
            <w:r w:rsidRPr="0039091F">
              <w:rPr>
                <w:rFonts w:eastAsia="Times New Roman" w:cs="Times New Roman"/>
                <w:color w:val="000000"/>
                <w:sz w:val="18"/>
                <w:szCs w:val="18"/>
                <w:lang w:eastAsia="es-CO"/>
              </w:rPr>
              <w:t>Capacitación Rol del Pasajero y Peatón</w:t>
            </w:r>
          </w:p>
        </w:tc>
        <w:tc>
          <w:tcPr>
            <w:tcW w:w="1044" w:type="pct"/>
            <w:vAlign w:val="center"/>
            <w:hideMark/>
          </w:tcPr>
          <w:p w14:paraId="36C77214" w14:textId="77777777" w:rsidR="00297E57" w:rsidRPr="0039091F" w:rsidRDefault="00297E57" w:rsidP="000A5389">
            <w:pPr>
              <w:spacing w:line="240" w:lineRule="auto"/>
              <w:jc w:val="center"/>
              <w:rPr>
                <w:rFonts w:eastAsia="Times New Roman" w:cs="Times New Roman"/>
                <w:color w:val="000000"/>
                <w:sz w:val="18"/>
                <w:szCs w:val="18"/>
                <w:lang w:eastAsia="es-CO"/>
              </w:rPr>
            </w:pPr>
            <w:r w:rsidRPr="0039091F">
              <w:rPr>
                <w:rFonts w:eastAsia="Times New Roman" w:cs="Times New Roman"/>
                <w:color w:val="000000"/>
                <w:sz w:val="18"/>
                <w:szCs w:val="18"/>
                <w:lang w:eastAsia="es-CO"/>
              </w:rPr>
              <w:t>ARL POSITIVA</w:t>
            </w:r>
          </w:p>
        </w:tc>
        <w:tc>
          <w:tcPr>
            <w:tcW w:w="464" w:type="pct"/>
            <w:vAlign w:val="center"/>
            <w:hideMark/>
          </w:tcPr>
          <w:p w14:paraId="1C7030AD" w14:textId="77777777" w:rsidR="00297E57" w:rsidRPr="0039091F" w:rsidRDefault="00297E57" w:rsidP="000A5389">
            <w:pPr>
              <w:spacing w:line="240" w:lineRule="auto"/>
              <w:jc w:val="center"/>
              <w:rPr>
                <w:rFonts w:eastAsia="Times New Roman" w:cs="Times New Roman"/>
                <w:color w:val="000000"/>
                <w:sz w:val="18"/>
                <w:szCs w:val="18"/>
                <w:lang w:eastAsia="es-CO"/>
              </w:rPr>
            </w:pPr>
            <w:r w:rsidRPr="0039091F">
              <w:rPr>
                <w:rFonts w:eastAsia="Times New Roman" w:cs="Times New Roman"/>
                <w:color w:val="000000"/>
                <w:sz w:val="18"/>
                <w:szCs w:val="18"/>
                <w:lang w:eastAsia="es-CO"/>
              </w:rPr>
              <w:t>20</w:t>
            </w:r>
          </w:p>
        </w:tc>
        <w:tc>
          <w:tcPr>
            <w:tcW w:w="527" w:type="pct"/>
            <w:vAlign w:val="center"/>
            <w:hideMark/>
          </w:tcPr>
          <w:p w14:paraId="1708144C" w14:textId="77777777" w:rsidR="00297E57" w:rsidRPr="0039091F" w:rsidRDefault="00297E57" w:rsidP="000A5389">
            <w:pPr>
              <w:spacing w:line="240" w:lineRule="auto"/>
              <w:jc w:val="center"/>
              <w:rPr>
                <w:rFonts w:eastAsia="Times New Roman" w:cs="Times New Roman"/>
                <w:color w:val="000000"/>
                <w:sz w:val="18"/>
                <w:szCs w:val="18"/>
                <w:lang w:eastAsia="es-CO"/>
              </w:rPr>
            </w:pPr>
            <w:r w:rsidRPr="0039091F">
              <w:rPr>
                <w:rFonts w:eastAsia="Times New Roman" w:cs="Times New Roman"/>
                <w:color w:val="000000"/>
                <w:sz w:val="18"/>
                <w:szCs w:val="18"/>
                <w:lang w:eastAsia="es-CO"/>
              </w:rPr>
              <w:t>26 de septiembre</w:t>
            </w:r>
          </w:p>
        </w:tc>
        <w:tc>
          <w:tcPr>
            <w:tcW w:w="640" w:type="pct"/>
            <w:vAlign w:val="center"/>
            <w:hideMark/>
          </w:tcPr>
          <w:p w14:paraId="2BFF6AF9" w14:textId="77777777" w:rsidR="00297E57" w:rsidRPr="0039091F" w:rsidRDefault="00297E57" w:rsidP="000A5389">
            <w:pPr>
              <w:spacing w:line="240" w:lineRule="auto"/>
              <w:jc w:val="center"/>
              <w:rPr>
                <w:rFonts w:eastAsia="Times New Roman" w:cs="Times New Roman"/>
                <w:color w:val="000000"/>
                <w:sz w:val="18"/>
                <w:szCs w:val="18"/>
                <w:lang w:eastAsia="es-CO"/>
              </w:rPr>
            </w:pPr>
            <w:r w:rsidRPr="0039091F">
              <w:rPr>
                <w:rFonts w:eastAsia="Times New Roman" w:cs="Times New Roman"/>
                <w:color w:val="000000"/>
                <w:sz w:val="18"/>
                <w:szCs w:val="18"/>
                <w:lang w:eastAsia="es-CO"/>
              </w:rPr>
              <w:t>1,15</w:t>
            </w:r>
          </w:p>
        </w:tc>
      </w:tr>
      <w:tr w:rsidR="00297E57" w:rsidRPr="0039091F" w14:paraId="4205293E" w14:textId="77777777" w:rsidTr="0039091F">
        <w:trPr>
          <w:trHeight w:val="283"/>
        </w:trPr>
        <w:tc>
          <w:tcPr>
            <w:tcW w:w="229" w:type="pct"/>
            <w:vAlign w:val="center"/>
            <w:hideMark/>
          </w:tcPr>
          <w:p w14:paraId="1D4BFFF8" w14:textId="77777777" w:rsidR="00297E57" w:rsidRPr="0039091F" w:rsidRDefault="00297E57" w:rsidP="000A5389">
            <w:pPr>
              <w:spacing w:line="240" w:lineRule="auto"/>
              <w:jc w:val="center"/>
              <w:rPr>
                <w:rFonts w:eastAsia="Times New Roman" w:cs="Times New Roman"/>
                <w:color w:val="000000"/>
                <w:sz w:val="18"/>
                <w:szCs w:val="18"/>
                <w:lang w:eastAsia="es-CO"/>
              </w:rPr>
            </w:pPr>
            <w:r w:rsidRPr="0039091F">
              <w:rPr>
                <w:rFonts w:eastAsia="Times New Roman" w:cs="Times New Roman"/>
                <w:color w:val="000000"/>
                <w:sz w:val="18"/>
                <w:szCs w:val="18"/>
                <w:lang w:eastAsia="es-CO"/>
              </w:rPr>
              <w:t>79</w:t>
            </w:r>
          </w:p>
        </w:tc>
        <w:tc>
          <w:tcPr>
            <w:tcW w:w="777" w:type="pct"/>
            <w:vAlign w:val="center"/>
            <w:hideMark/>
          </w:tcPr>
          <w:p w14:paraId="07A79E05" w14:textId="77777777" w:rsidR="00297E57" w:rsidRPr="0039091F" w:rsidRDefault="00297E57" w:rsidP="000A5389">
            <w:pPr>
              <w:spacing w:line="240" w:lineRule="auto"/>
              <w:rPr>
                <w:rFonts w:eastAsia="Times New Roman" w:cs="Times New Roman"/>
                <w:color w:val="000000"/>
                <w:sz w:val="18"/>
                <w:szCs w:val="18"/>
                <w:lang w:eastAsia="es-CO"/>
              </w:rPr>
            </w:pPr>
            <w:r w:rsidRPr="0039091F">
              <w:rPr>
                <w:rFonts w:eastAsia="Times New Roman" w:cs="Times New Roman"/>
                <w:color w:val="000000"/>
                <w:sz w:val="18"/>
                <w:szCs w:val="18"/>
                <w:lang w:eastAsia="es-CO"/>
              </w:rPr>
              <w:t>Eje 3 (Mujeres, inclusión y Diversidad) y Equidad de Genero</w:t>
            </w:r>
          </w:p>
        </w:tc>
        <w:tc>
          <w:tcPr>
            <w:tcW w:w="1320" w:type="pct"/>
            <w:vAlign w:val="center"/>
            <w:hideMark/>
          </w:tcPr>
          <w:p w14:paraId="4465EB63" w14:textId="77777777" w:rsidR="00297E57" w:rsidRPr="0039091F" w:rsidRDefault="00297E57" w:rsidP="000A5389">
            <w:pPr>
              <w:spacing w:line="240" w:lineRule="auto"/>
              <w:rPr>
                <w:rFonts w:eastAsia="Times New Roman" w:cs="Times New Roman"/>
                <w:color w:val="000000"/>
                <w:sz w:val="18"/>
                <w:szCs w:val="18"/>
                <w:lang w:eastAsia="es-CO"/>
              </w:rPr>
            </w:pPr>
            <w:r w:rsidRPr="0039091F">
              <w:rPr>
                <w:rFonts w:eastAsia="Times New Roman" w:cs="Times New Roman"/>
                <w:color w:val="000000"/>
                <w:sz w:val="18"/>
                <w:szCs w:val="18"/>
                <w:lang w:eastAsia="es-CO"/>
              </w:rPr>
              <w:t>Capacitación Equidad con enfoque étnico: Visibilizando a las mujeres indígenas.</w:t>
            </w:r>
          </w:p>
        </w:tc>
        <w:tc>
          <w:tcPr>
            <w:tcW w:w="1044" w:type="pct"/>
            <w:vAlign w:val="center"/>
            <w:hideMark/>
          </w:tcPr>
          <w:p w14:paraId="150414B0" w14:textId="77777777" w:rsidR="00297E57" w:rsidRPr="0039091F" w:rsidRDefault="00297E57" w:rsidP="000A5389">
            <w:pPr>
              <w:spacing w:line="240" w:lineRule="auto"/>
              <w:jc w:val="center"/>
              <w:rPr>
                <w:rFonts w:eastAsia="Times New Roman" w:cs="Times New Roman"/>
                <w:color w:val="000000"/>
                <w:sz w:val="18"/>
                <w:szCs w:val="18"/>
                <w:lang w:eastAsia="es-CO"/>
              </w:rPr>
            </w:pPr>
            <w:r w:rsidRPr="0039091F">
              <w:rPr>
                <w:rFonts w:eastAsia="Times New Roman" w:cs="Times New Roman"/>
                <w:color w:val="000000"/>
                <w:sz w:val="18"/>
                <w:szCs w:val="18"/>
                <w:lang w:eastAsia="es-CO"/>
              </w:rPr>
              <w:t>Ministerio de Igualdad y Equidad</w:t>
            </w:r>
          </w:p>
        </w:tc>
        <w:tc>
          <w:tcPr>
            <w:tcW w:w="464" w:type="pct"/>
            <w:vAlign w:val="center"/>
            <w:hideMark/>
          </w:tcPr>
          <w:p w14:paraId="589A6C51" w14:textId="77777777" w:rsidR="00297E57" w:rsidRPr="0039091F" w:rsidRDefault="00297E57" w:rsidP="000A5389">
            <w:pPr>
              <w:spacing w:line="240" w:lineRule="auto"/>
              <w:jc w:val="center"/>
              <w:rPr>
                <w:rFonts w:eastAsia="Times New Roman" w:cs="Times New Roman"/>
                <w:color w:val="000000"/>
                <w:sz w:val="18"/>
                <w:szCs w:val="18"/>
                <w:lang w:eastAsia="es-CO"/>
              </w:rPr>
            </w:pPr>
            <w:r w:rsidRPr="0039091F">
              <w:rPr>
                <w:rFonts w:eastAsia="Times New Roman" w:cs="Times New Roman"/>
                <w:color w:val="000000"/>
                <w:sz w:val="18"/>
                <w:szCs w:val="18"/>
                <w:lang w:eastAsia="es-CO"/>
              </w:rPr>
              <w:t>16</w:t>
            </w:r>
          </w:p>
        </w:tc>
        <w:tc>
          <w:tcPr>
            <w:tcW w:w="527" w:type="pct"/>
            <w:vAlign w:val="center"/>
            <w:hideMark/>
          </w:tcPr>
          <w:p w14:paraId="373A4B19" w14:textId="77777777" w:rsidR="00297E57" w:rsidRPr="0039091F" w:rsidRDefault="00297E57" w:rsidP="000A5389">
            <w:pPr>
              <w:spacing w:line="240" w:lineRule="auto"/>
              <w:jc w:val="center"/>
              <w:rPr>
                <w:rFonts w:eastAsia="Times New Roman" w:cs="Times New Roman"/>
                <w:color w:val="000000"/>
                <w:sz w:val="18"/>
                <w:szCs w:val="18"/>
                <w:lang w:eastAsia="es-CO"/>
              </w:rPr>
            </w:pPr>
            <w:r w:rsidRPr="0039091F">
              <w:rPr>
                <w:rFonts w:eastAsia="Times New Roman" w:cs="Times New Roman"/>
                <w:color w:val="000000"/>
                <w:sz w:val="18"/>
                <w:szCs w:val="18"/>
                <w:lang w:eastAsia="es-CO"/>
              </w:rPr>
              <w:t>29 de septiembre</w:t>
            </w:r>
          </w:p>
        </w:tc>
        <w:tc>
          <w:tcPr>
            <w:tcW w:w="640" w:type="pct"/>
            <w:vAlign w:val="center"/>
            <w:hideMark/>
          </w:tcPr>
          <w:p w14:paraId="525FD898" w14:textId="77777777" w:rsidR="00297E57" w:rsidRPr="0039091F" w:rsidRDefault="00297E57" w:rsidP="000A5389">
            <w:pPr>
              <w:spacing w:line="240" w:lineRule="auto"/>
              <w:jc w:val="center"/>
              <w:rPr>
                <w:rFonts w:eastAsia="Times New Roman" w:cs="Times New Roman"/>
                <w:color w:val="000000"/>
                <w:sz w:val="18"/>
                <w:szCs w:val="18"/>
                <w:lang w:eastAsia="es-CO"/>
              </w:rPr>
            </w:pPr>
            <w:r w:rsidRPr="0039091F">
              <w:rPr>
                <w:rFonts w:eastAsia="Times New Roman" w:cs="Times New Roman"/>
                <w:color w:val="000000"/>
                <w:sz w:val="18"/>
                <w:szCs w:val="18"/>
                <w:lang w:eastAsia="es-CO"/>
              </w:rPr>
              <w:t>1,3</w:t>
            </w:r>
          </w:p>
        </w:tc>
      </w:tr>
      <w:tr w:rsidR="00297E57" w:rsidRPr="0039091F" w14:paraId="55FD1330" w14:textId="77777777" w:rsidTr="0039091F">
        <w:trPr>
          <w:trHeight w:val="283"/>
        </w:trPr>
        <w:tc>
          <w:tcPr>
            <w:tcW w:w="229" w:type="pct"/>
            <w:vAlign w:val="center"/>
            <w:hideMark/>
          </w:tcPr>
          <w:p w14:paraId="5B0C0A2F" w14:textId="77777777" w:rsidR="00297E57" w:rsidRPr="0039091F" w:rsidRDefault="00297E57" w:rsidP="000A5389">
            <w:pPr>
              <w:spacing w:line="240" w:lineRule="auto"/>
              <w:jc w:val="center"/>
              <w:rPr>
                <w:rFonts w:eastAsia="Times New Roman" w:cs="Times New Roman"/>
                <w:color w:val="000000"/>
                <w:sz w:val="18"/>
                <w:szCs w:val="18"/>
                <w:lang w:eastAsia="es-CO"/>
              </w:rPr>
            </w:pPr>
            <w:r w:rsidRPr="0039091F">
              <w:rPr>
                <w:rFonts w:eastAsia="Times New Roman" w:cs="Times New Roman"/>
                <w:color w:val="000000"/>
                <w:sz w:val="18"/>
                <w:szCs w:val="18"/>
                <w:lang w:eastAsia="es-CO"/>
              </w:rPr>
              <w:t>80</w:t>
            </w:r>
          </w:p>
        </w:tc>
        <w:tc>
          <w:tcPr>
            <w:tcW w:w="777" w:type="pct"/>
            <w:vAlign w:val="center"/>
            <w:hideMark/>
          </w:tcPr>
          <w:p w14:paraId="77EFA508" w14:textId="77777777" w:rsidR="00297E57" w:rsidRPr="0039091F" w:rsidRDefault="00297E57" w:rsidP="000A5389">
            <w:pPr>
              <w:spacing w:line="240" w:lineRule="auto"/>
              <w:rPr>
                <w:rFonts w:eastAsia="Times New Roman" w:cs="Times New Roman"/>
                <w:color w:val="000000"/>
                <w:sz w:val="18"/>
                <w:szCs w:val="18"/>
                <w:lang w:eastAsia="es-CO"/>
              </w:rPr>
            </w:pPr>
            <w:r w:rsidRPr="0039091F">
              <w:rPr>
                <w:rFonts w:eastAsia="Times New Roman" w:cs="Times New Roman"/>
                <w:color w:val="000000"/>
                <w:sz w:val="18"/>
                <w:szCs w:val="18"/>
                <w:lang w:eastAsia="es-CO"/>
              </w:rPr>
              <w:t>Habilidades y Conocimientos, identificadas por Alta Dirección y para contribuir al cumplimiento de metas</w:t>
            </w:r>
          </w:p>
        </w:tc>
        <w:tc>
          <w:tcPr>
            <w:tcW w:w="1320" w:type="pct"/>
            <w:vAlign w:val="center"/>
            <w:hideMark/>
          </w:tcPr>
          <w:p w14:paraId="3F9B1CB1" w14:textId="77777777" w:rsidR="00297E57" w:rsidRPr="0039091F" w:rsidRDefault="00297E57" w:rsidP="000A5389">
            <w:pPr>
              <w:spacing w:line="240" w:lineRule="auto"/>
              <w:rPr>
                <w:rFonts w:eastAsia="Times New Roman" w:cs="Times New Roman"/>
                <w:color w:val="000000"/>
                <w:sz w:val="18"/>
                <w:szCs w:val="18"/>
                <w:lang w:eastAsia="es-CO"/>
              </w:rPr>
            </w:pPr>
            <w:r w:rsidRPr="0039091F">
              <w:rPr>
                <w:rFonts w:eastAsia="Times New Roman" w:cs="Times New Roman"/>
                <w:color w:val="000000"/>
                <w:sz w:val="18"/>
                <w:szCs w:val="18"/>
                <w:lang w:eastAsia="es-CO"/>
              </w:rPr>
              <w:t>Diplomado en Gestión de Proyectos APP, Riesgos y Seguimiento Contractual</w:t>
            </w:r>
          </w:p>
        </w:tc>
        <w:tc>
          <w:tcPr>
            <w:tcW w:w="1044" w:type="pct"/>
            <w:vAlign w:val="center"/>
            <w:hideMark/>
          </w:tcPr>
          <w:p w14:paraId="3CA884A6" w14:textId="77777777" w:rsidR="00297E57" w:rsidRPr="0039091F" w:rsidRDefault="00297E57" w:rsidP="000A5389">
            <w:pPr>
              <w:spacing w:line="240" w:lineRule="auto"/>
              <w:jc w:val="center"/>
              <w:rPr>
                <w:rFonts w:eastAsia="Times New Roman" w:cs="Times New Roman"/>
                <w:color w:val="000000"/>
                <w:sz w:val="18"/>
                <w:szCs w:val="18"/>
                <w:lang w:eastAsia="es-CO"/>
              </w:rPr>
            </w:pPr>
            <w:r w:rsidRPr="0039091F">
              <w:rPr>
                <w:rFonts w:eastAsia="Times New Roman" w:cs="Times New Roman"/>
                <w:color w:val="000000"/>
                <w:sz w:val="18"/>
                <w:szCs w:val="18"/>
                <w:lang w:eastAsia="es-CO"/>
              </w:rPr>
              <w:t>Universidad Nacional de Colombia (UNAL)</w:t>
            </w:r>
          </w:p>
        </w:tc>
        <w:tc>
          <w:tcPr>
            <w:tcW w:w="464" w:type="pct"/>
            <w:vAlign w:val="center"/>
            <w:hideMark/>
          </w:tcPr>
          <w:p w14:paraId="27F59FAF" w14:textId="77777777" w:rsidR="00297E57" w:rsidRPr="0039091F" w:rsidRDefault="00297E57" w:rsidP="000A5389">
            <w:pPr>
              <w:spacing w:line="240" w:lineRule="auto"/>
              <w:jc w:val="center"/>
              <w:rPr>
                <w:rFonts w:eastAsia="Times New Roman" w:cs="Times New Roman"/>
                <w:color w:val="000000"/>
                <w:sz w:val="18"/>
                <w:szCs w:val="18"/>
                <w:lang w:eastAsia="es-CO"/>
              </w:rPr>
            </w:pPr>
            <w:r w:rsidRPr="0039091F">
              <w:rPr>
                <w:rFonts w:eastAsia="Times New Roman" w:cs="Times New Roman"/>
                <w:color w:val="000000"/>
                <w:sz w:val="18"/>
                <w:szCs w:val="18"/>
                <w:lang w:eastAsia="es-CO"/>
              </w:rPr>
              <w:t>31</w:t>
            </w:r>
          </w:p>
        </w:tc>
        <w:tc>
          <w:tcPr>
            <w:tcW w:w="527" w:type="pct"/>
            <w:vAlign w:val="center"/>
            <w:hideMark/>
          </w:tcPr>
          <w:p w14:paraId="14FBCC13" w14:textId="77777777" w:rsidR="00297E57" w:rsidRPr="0039091F" w:rsidRDefault="00297E57" w:rsidP="000A5389">
            <w:pPr>
              <w:spacing w:line="240" w:lineRule="auto"/>
              <w:jc w:val="center"/>
              <w:rPr>
                <w:rFonts w:eastAsia="Times New Roman" w:cs="Times New Roman"/>
                <w:color w:val="000000"/>
                <w:sz w:val="18"/>
                <w:szCs w:val="18"/>
                <w:lang w:eastAsia="es-CO"/>
              </w:rPr>
            </w:pPr>
            <w:r w:rsidRPr="0039091F">
              <w:rPr>
                <w:rFonts w:eastAsia="Times New Roman" w:cs="Times New Roman"/>
                <w:color w:val="000000"/>
                <w:sz w:val="18"/>
                <w:szCs w:val="18"/>
                <w:lang w:eastAsia="es-CO"/>
              </w:rPr>
              <w:t>26 de junio al 02 de octubre</w:t>
            </w:r>
          </w:p>
        </w:tc>
        <w:tc>
          <w:tcPr>
            <w:tcW w:w="640" w:type="pct"/>
            <w:vAlign w:val="center"/>
            <w:hideMark/>
          </w:tcPr>
          <w:p w14:paraId="1AD0C407" w14:textId="77777777" w:rsidR="00297E57" w:rsidRPr="0039091F" w:rsidRDefault="00297E57" w:rsidP="000A5389">
            <w:pPr>
              <w:spacing w:line="240" w:lineRule="auto"/>
              <w:jc w:val="center"/>
              <w:rPr>
                <w:rFonts w:eastAsia="Times New Roman" w:cs="Times New Roman"/>
                <w:color w:val="000000"/>
                <w:sz w:val="18"/>
                <w:szCs w:val="18"/>
                <w:lang w:eastAsia="es-CO"/>
              </w:rPr>
            </w:pPr>
            <w:r w:rsidRPr="0039091F">
              <w:rPr>
                <w:rFonts w:eastAsia="Times New Roman" w:cs="Times New Roman"/>
                <w:color w:val="000000"/>
                <w:sz w:val="18"/>
                <w:szCs w:val="18"/>
                <w:lang w:eastAsia="es-CO"/>
              </w:rPr>
              <w:t>100</w:t>
            </w:r>
          </w:p>
        </w:tc>
      </w:tr>
      <w:tr w:rsidR="00297E57" w:rsidRPr="0039091F" w14:paraId="77B6F677" w14:textId="77777777" w:rsidTr="0039091F">
        <w:trPr>
          <w:trHeight w:val="283"/>
        </w:trPr>
        <w:tc>
          <w:tcPr>
            <w:tcW w:w="229" w:type="pct"/>
            <w:vAlign w:val="center"/>
            <w:hideMark/>
          </w:tcPr>
          <w:p w14:paraId="68D5FFB0" w14:textId="77777777" w:rsidR="00297E57" w:rsidRPr="0039091F" w:rsidRDefault="00297E57" w:rsidP="000A5389">
            <w:pPr>
              <w:spacing w:line="240" w:lineRule="auto"/>
              <w:jc w:val="center"/>
              <w:rPr>
                <w:rFonts w:eastAsia="Times New Roman" w:cs="Times New Roman"/>
                <w:color w:val="000000"/>
                <w:sz w:val="18"/>
                <w:szCs w:val="18"/>
                <w:lang w:eastAsia="es-CO"/>
              </w:rPr>
            </w:pPr>
            <w:r w:rsidRPr="0039091F">
              <w:rPr>
                <w:rFonts w:eastAsia="Times New Roman" w:cs="Times New Roman"/>
                <w:color w:val="000000"/>
                <w:sz w:val="18"/>
                <w:szCs w:val="18"/>
                <w:lang w:eastAsia="es-CO"/>
              </w:rPr>
              <w:t>81</w:t>
            </w:r>
          </w:p>
        </w:tc>
        <w:tc>
          <w:tcPr>
            <w:tcW w:w="777" w:type="pct"/>
            <w:vAlign w:val="center"/>
            <w:hideMark/>
          </w:tcPr>
          <w:p w14:paraId="74BEE850" w14:textId="77777777" w:rsidR="00297E57" w:rsidRPr="0039091F" w:rsidRDefault="00297E57" w:rsidP="000A5389">
            <w:pPr>
              <w:spacing w:line="240" w:lineRule="auto"/>
              <w:rPr>
                <w:rFonts w:eastAsia="Times New Roman" w:cs="Times New Roman"/>
                <w:color w:val="000000"/>
                <w:sz w:val="18"/>
                <w:szCs w:val="18"/>
                <w:lang w:eastAsia="es-CO"/>
              </w:rPr>
            </w:pPr>
            <w:r w:rsidRPr="0039091F">
              <w:rPr>
                <w:rFonts w:eastAsia="Times New Roman" w:cs="Times New Roman"/>
                <w:color w:val="000000"/>
                <w:sz w:val="18"/>
                <w:szCs w:val="18"/>
                <w:lang w:eastAsia="es-CO"/>
              </w:rPr>
              <w:t>Eje 4 (Transformación Digital y Cibercultura), identificadas por Alta Dirección y para contribuir al cumplimiento de metas</w:t>
            </w:r>
          </w:p>
        </w:tc>
        <w:tc>
          <w:tcPr>
            <w:tcW w:w="1320" w:type="pct"/>
            <w:vAlign w:val="center"/>
            <w:hideMark/>
          </w:tcPr>
          <w:p w14:paraId="5AE33C0C" w14:textId="77777777" w:rsidR="00297E57" w:rsidRPr="0039091F" w:rsidRDefault="00297E57" w:rsidP="000A5389">
            <w:pPr>
              <w:spacing w:line="240" w:lineRule="auto"/>
              <w:rPr>
                <w:rFonts w:eastAsia="Times New Roman" w:cs="Times New Roman"/>
                <w:color w:val="000000"/>
                <w:sz w:val="18"/>
                <w:szCs w:val="18"/>
                <w:lang w:eastAsia="es-CO"/>
              </w:rPr>
            </w:pPr>
            <w:r w:rsidRPr="0039091F">
              <w:rPr>
                <w:rFonts w:eastAsia="Times New Roman" w:cs="Times New Roman"/>
                <w:color w:val="000000"/>
                <w:sz w:val="18"/>
                <w:szCs w:val="18"/>
                <w:lang w:eastAsia="es-CO"/>
              </w:rPr>
              <w:t>Diplomado en Innovación Tecnológica y Analítica Avanzada para la Gestión pública.</w:t>
            </w:r>
          </w:p>
        </w:tc>
        <w:tc>
          <w:tcPr>
            <w:tcW w:w="1044" w:type="pct"/>
            <w:vAlign w:val="center"/>
            <w:hideMark/>
          </w:tcPr>
          <w:p w14:paraId="5A838348" w14:textId="77777777" w:rsidR="00297E57" w:rsidRPr="0039091F" w:rsidRDefault="00297E57" w:rsidP="000A5389">
            <w:pPr>
              <w:spacing w:line="240" w:lineRule="auto"/>
              <w:jc w:val="center"/>
              <w:rPr>
                <w:rFonts w:eastAsia="Times New Roman" w:cs="Times New Roman"/>
                <w:color w:val="000000"/>
                <w:sz w:val="18"/>
                <w:szCs w:val="18"/>
                <w:lang w:eastAsia="es-CO"/>
              </w:rPr>
            </w:pPr>
            <w:r w:rsidRPr="0039091F">
              <w:rPr>
                <w:rFonts w:eastAsia="Times New Roman" w:cs="Times New Roman"/>
                <w:color w:val="000000"/>
                <w:sz w:val="18"/>
                <w:szCs w:val="18"/>
                <w:lang w:eastAsia="es-CO"/>
              </w:rPr>
              <w:t>Universidad Nacional de Colombia (UNAL)</w:t>
            </w:r>
          </w:p>
        </w:tc>
        <w:tc>
          <w:tcPr>
            <w:tcW w:w="464" w:type="pct"/>
            <w:vAlign w:val="center"/>
            <w:hideMark/>
          </w:tcPr>
          <w:p w14:paraId="025042B8" w14:textId="77777777" w:rsidR="00297E57" w:rsidRPr="0039091F" w:rsidRDefault="00297E57" w:rsidP="000A5389">
            <w:pPr>
              <w:spacing w:line="240" w:lineRule="auto"/>
              <w:jc w:val="center"/>
              <w:rPr>
                <w:rFonts w:eastAsia="Times New Roman" w:cs="Times New Roman"/>
                <w:color w:val="000000"/>
                <w:sz w:val="18"/>
                <w:szCs w:val="18"/>
                <w:lang w:eastAsia="es-CO"/>
              </w:rPr>
            </w:pPr>
            <w:r w:rsidRPr="0039091F">
              <w:rPr>
                <w:rFonts w:eastAsia="Times New Roman" w:cs="Times New Roman"/>
                <w:color w:val="000000"/>
                <w:sz w:val="18"/>
                <w:szCs w:val="18"/>
                <w:lang w:eastAsia="es-CO"/>
              </w:rPr>
              <w:t>28</w:t>
            </w:r>
          </w:p>
        </w:tc>
        <w:tc>
          <w:tcPr>
            <w:tcW w:w="527" w:type="pct"/>
            <w:vAlign w:val="center"/>
            <w:hideMark/>
          </w:tcPr>
          <w:p w14:paraId="5C1C2CFD" w14:textId="77777777" w:rsidR="00297E57" w:rsidRPr="0039091F" w:rsidRDefault="00297E57" w:rsidP="000A5389">
            <w:pPr>
              <w:spacing w:line="240" w:lineRule="auto"/>
              <w:jc w:val="center"/>
              <w:rPr>
                <w:rFonts w:eastAsia="Times New Roman" w:cs="Times New Roman"/>
                <w:color w:val="000000"/>
                <w:sz w:val="18"/>
                <w:szCs w:val="18"/>
                <w:lang w:eastAsia="es-CO"/>
              </w:rPr>
            </w:pPr>
            <w:r w:rsidRPr="0039091F">
              <w:rPr>
                <w:rFonts w:eastAsia="Times New Roman" w:cs="Times New Roman"/>
                <w:color w:val="000000"/>
                <w:sz w:val="18"/>
                <w:szCs w:val="18"/>
                <w:lang w:eastAsia="es-CO"/>
              </w:rPr>
              <w:t>29 de agosto al 28 de noviembre</w:t>
            </w:r>
          </w:p>
        </w:tc>
        <w:tc>
          <w:tcPr>
            <w:tcW w:w="640" w:type="pct"/>
            <w:vAlign w:val="center"/>
            <w:hideMark/>
          </w:tcPr>
          <w:p w14:paraId="3FF6BCD4" w14:textId="77777777" w:rsidR="00297E57" w:rsidRPr="0039091F" w:rsidRDefault="00297E57" w:rsidP="000A5389">
            <w:pPr>
              <w:spacing w:line="240" w:lineRule="auto"/>
              <w:jc w:val="center"/>
              <w:rPr>
                <w:rFonts w:eastAsia="Times New Roman" w:cs="Times New Roman"/>
                <w:color w:val="000000"/>
                <w:sz w:val="18"/>
                <w:szCs w:val="18"/>
                <w:lang w:eastAsia="es-CO"/>
              </w:rPr>
            </w:pPr>
            <w:r w:rsidRPr="0039091F">
              <w:rPr>
                <w:rFonts w:eastAsia="Times New Roman" w:cs="Times New Roman"/>
                <w:color w:val="000000"/>
                <w:sz w:val="18"/>
                <w:szCs w:val="18"/>
                <w:lang w:eastAsia="es-CO"/>
              </w:rPr>
              <w:t>100</w:t>
            </w:r>
          </w:p>
        </w:tc>
      </w:tr>
      <w:tr w:rsidR="00297E57" w:rsidRPr="0039091F" w14:paraId="74B422F8" w14:textId="77777777" w:rsidTr="0039091F">
        <w:trPr>
          <w:trHeight w:val="283"/>
        </w:trPr>
        <w:tc>
          <w:tcPr>
            <w:tcW w:w="229" w:type="pct"/>
            <w:vAlign w:val="center"/>
            <w:hideMark/>
          </w:tcPr>
          <w:p w14:paraId="411A312F" w14:textId="77777777" w:rsidR="00297E57" w:rsidRPr="0039091F" w:rsidRDefault="00297E57" w:rsidP="000A5389">
            <w:pPr>
              <w:spacing w:line="240" w:lineRule="auto"/>
              <w:jc w:val="center"/>
              <w:rPr>
                <w:rFonts w:eastAsia="Times New Roman" w:cs="Times New Roman"/>
                <w:color w:val="000000"/>
                <w:sz w:val="18"/>
                <w:szCs w:val="18"/>
                <w:lang w:eastAsia="es-CO"/>
              </w:rPr>
            </w:pPr>
            <w:r w:rsidRPr="0039091F">
              <w:rPr>
                <w:rFonts w:eastAsia="Times New Roman" w:cs="Times New Roman"/>
                <w:color w:val="000000"/>
                <w:sz w:val="18"/>
                <w:szCs w:val="18"/>
                <w:lang w:eastAsia="es-CO"/>
              </w:rPr>
              <w:t>82</w:t>
            </w:r>
          </w:p>
        </w:tc>
        <w:tc>
          <w:tcPr>
            <w:tcW w:w="777" w:type="pct"/>
            <w:vAlign w:val="center"/>
            <w:hideMark/>
          </w:tcPr>
          <w:p w14:paraId="24DDBEF4" w14:textId="77777777" w:rsidR="00297E57" w:rsidRPr="0039091F" w:rsidRDefault="00297E57" w:rsidP="000A5389">
            <w:pPr>
              <w:spacing w:line="240" w:lineRule="auto"/>
              <w:rPr>
                <w:rFonts w:eastAsia="Times New Roman" w:cs="Times New Roman"/>
                <w:color w:val="000000"/>
                <w:sz w:val="18"/>
                <w:szCs w:val="18"/>
                <w:lang w:eastAsia="es-CO"/>
              </w:rPr>
            </w:pPr>
            <w:r w:rsidRPr="0039091F">
              <w:rPr>
                <w:rFonts w:eastAsia="Times New Roman" w:cs="Times New Roman"/>
                <w:color w:val="000000"/>
                <w:sz w:val="18"/>
                <w:szCs w:val="18"/>
                <w:lang w:eastAsia="es-CO"/>
              </w:rPr>
              <w:t>Eje 1 (Paz Total, Memoria y Derechos Humanos)</w:t>
            </w:r>
          </w:p>
        </w:tc>
        <w:tc>
          <w:tcPr>
            <w:tcW w:w="1320" w:type="pct"/>
            <w:vAlign w:val="center"/>
            <w:hideMark/>
          </w:tcPr>
          <w:p w14:paraId="69F3592D" w14:textId="77777777" w:rsidR="00297E57" w:rsidRPr="0039091F" w:rsidRDefault="00297E57" w:rsidP="000A5389">
            <w:pPr>
              <w:spacing w:line="240" w:lineRule="auto"/>
              <w:rPr>
                <w:rFonts w:eastAsia="Times New Roman" w:cs="Times New Roman"/>
                <w:color w:val="000000"/>
                <w:sz w:val="18"/>
                <w:szCs w:val="18"/>
                <w:lang w:eastAsia="es-CO"/>
              </w:rPr>
            </w:pPr>
            <w:r w:rsidRPr="0039091F">
              <w:rPr>
                <w:rFonts w:eastAsia="Times New Roman" w:cs="Times New Roman"/>
                <w:color w:val="000000"/>
                <w:sz w:val="18"/>
                <w:szCs w:val="18"/>
                <w:lang w:eastAsia="es-CO"/>
              </w:rPr>
              <w:t>Curso Gestión y Resolución de Conflictos</w:t>
            </w:r>
          </w:p>
        </w:tc>
        <w:tc>
          <w:tcPr>
            <w:tcW w:w="1044" w:type="pct"/>
            <w:vAlign w:val="center"/>
            <w:hideMark/>
          </w:tcPr>
          <w:p w14:paraId="37B0F894" w14:textId="77777777" w:rsidR="00297E57" w:rsidRPr="0039091F" w:rsidRDefault="00297E57" w:rsidP="000A5389">
            <w:pPr>
              <w:spacing w:line="240" w:lineRule="auto"/>
              <w:jc w:val="center"/>
              <w:rPr>
                <w:rFonts w:eastAsia="Times New Roman" w:cs="Times New Roman"/>
                <w:color w:val="000000"/>
                <w:sz w:val="18"/>
                <w:szCs w:val="18"/>
                <w:lang w:eastAsia="es-CO"/>
              </w:rPr>
            </w:pPr>
            <w:r w:rsidRPr="0039091F">
              <w:rPr>
                <w:rFonts w:eastAsia="Times New Roman" w:cs="Times New Roman"/>
                <w:color w:val="000000"/>
                <w:sz w:val="18"/>
                <w:szCs w:val="18"/>
                <w:lang w:eastAsia="es-CO"/>
              </w:rPr>
              <w:t>Universidad Nacional de Colombia (UNAL)</w:t>
            </w:r>
          </w:p>
        </w:tc>
        <w:tc>
          <w:tcPr>
            <w:tcW w:w="464" w:type="pct"/>
            <w:vAlign w:val="center"/>
            <w:hideMark/>
          </w:tcPr>
          <w:p w14:paraId="1B3D0874" w14:textId="77777777" w:rsidR="00297E57" w:rsidRPr="0039091F" w:rsidRDefault="00297E57" w:rsidP="000A5389">
            <w:pPr>
              <w:spacing w:line="240" w:lineRule="auto"/>
              <w:jc w:val="center"/>
              <w:rPr>
                <w:rFonts w:eastAsia="Times New Roman" w:cs="Times New Roman"/>
                <w:color w:val="000000"/>
                <w:sz w:val="18"/>
                <w:szCs w:val="18"/>
                <w:lang w:eastAsia="es-CO"/>
              </w:rPr>
            </w:pPr>
            <w:r w:rsidRPr="0039091F">
              <w:rPr>
                <w:rFonts w:eastAsia="Times New Roman" w:cs="Times New Roman"/>
                <w:color w:val="000000"/>
                <w:sz w:val="18"/>
                <w:szCs w:val="18"/>
                <w:lang w:eastAsia="es-CO"/>
              </w:rPr>
              <w:t>26</w:t>
            </w:r>
          </w:p>
        </w:tc>
        <w:tc>
          <w:tcPr>
            <w:tcW w:w="527" w:type="pct"/>
            <w:vAlign w:val="center"/>
            <w:hideMark/>
          </w:tcPr>
          <w:p w14:paraId="0F7A16F2" w14:textId="77777777" w:rsidR="00297E57" w:rsidRPr="0039091F" w:rsidRDefault="00297E57" w:rsidP="000A5389">
            <w:pPr>
              <w:spacing w:line="240" w:lineRule="auto"/>
              <w:jc w:val="center"/>
              <w:rPr>
                <w:rFonts w:eastAsia="Times New Roman" w:cs="Times New Roman"/>
                <w:color w:val="000000"/>
                <w:sz w:val="18"/>
                <w:szCs w:val="18"/>
                <w:lang w:eastAsia="es-CO"/>
              </w:rPr>
            </w:pPr>
            <w:r w:rsidRPr="0039091F">
              <w:rPr>
                <w:rFonts w:eastAsia="Times New Roman" w:cs="Times New Roman"/>
                <w:color w:val="000000"/>
                <w:sz w:val="18"/>
                <w:szCs w:val="18"/>
                <w:lang w:eastAsia="es-CO"/>
              </w:rPr>
              <w:t>Del 09 al 29 de octubre</w:t>
            </w:r>
          </w:p>
        </w:tc>
        <w:tc>
          <w:tcPr>
            <w:tcW w:w="640" w:type="pct"/>
            <w:vAlign w:val="center"/>
            <w:hideMark/>
          </w:tcPr>
          <w:p w14:paraId="59CEFC5B" w14:textId="77777777" w:rsidR="00297E57" w:rsidRPr="0039091F" w:rsidRDefault="00297E57" w:rsidP="000A5389">
            <w:pPr>
              <w:spacing w:line="240" w:lineRule="auto"/>
              <w:jc w:val="center"/>
              <w:rPr>
                <w:rFonts w:eastAsia="Times New Roman" w:cs="Times New Roman"/>
                <w:color w:val="000000"/>
                <w:sz w:val="18"/>
                <w:szCs w:val="18"/>
                <w:lang w:eastAsia="es-CO"/>
              </w:rPr>
            </w:pPr>
            <w:r w:rsidRPr="0039091F">
              <w:rPr>
                <w:rFonts w:eastAsia="Times New Roman" w:cs="Times New Roman"/>
                <w:color w:val="000000"/>
                <w:sz w:val="18"/>
                <w:szCs w:val="18"/>
                <w:lang w:eastAsia="es-CO"/>
              </w:rPr>
              <w:t>12</w:t>
            </w:r>
          </w:p>
        </w:tc>
      </w:tr>
      <w:tr w:rsidR="00297E57" w:rsidRPr="0039091F" w14:paraId="4E7014D7" w14:textId="77777777" w:rsidTr="0039091F">
        <w:trPr>
          <w:trHeight w:val="283"/>
        </w:trPr>
        <w:tc>
          <w:tcPr>
            <w:tcW w:w="229" w:type="pct"/>
            <w:vAlign w:val="center"/>
            <w:hideMark/>
          </w:tcPr>
          <w:p w14:paraId="3DAE8439" w14:textId="77777777" w:rsidR="00297E57" w:rsidRPr="0039091F" w:rsidRDefault="00297E57" w:rsidP="000A5389">
            <w:pPr>
              <w:spacing w:line="240" w:lineRule="auto"/>
              <w:jc w:val="center"/>
              <w:rPr>
                <w:rFonts w:eastAsia="Times New Roman" w:cs="Times New Roman"/>
                <w:color w:val="000000"/>
                <w:sz w:val="18"/>
                <w:szCs w:val="18"/>
                <w:lang w:eastAsia="es-CO"/>
              </w:rPr>
            </w:pPr>
            <w:r w:rsidRPr="0039091F">
              <w:rPr>
                <w:rFonts w:eastAsia="Times New Roman" w:cs="Times New Roman"/>
                <w:color w:val="000000"/>
                <w:sz w:val="18"/>
                <w:szCs w:val="18"/>
                <w:lang w:eastAsia="es-CO"/>
              </w:rPr>
              <w:lastRenderedPageBreak/>
              <w:t>83</w:t>
            </w:r>
          </w:p>
        </w:tc>
        <w:tc>
          <w:tcPr>
            <w:tcW w:w="777" w:type="pct"/>
            <w:vAlign w:val="center"/>
            <w:hideMark/>
          </w:tcPr>
          <w:p w14:paraId="6B13498F" w14:textId="77777777" w:rsidR="00297E57" w:rsidRPr="0039091F" w:rsidRDefault="00297E57" w:rsidP="000A5389">
            <w:pPr>
              <w:spacing w:line="240" w:lineRule="auto"/>
              <w:rPr>
                <w:rFonts w:eastAsia="Times New Roman" w:cs="Times New Roman"/>
                <w:color w:val="000000"/>
                <w:sz w:val="18"/>
                <w:szCs w:val="18"/>
                <w:lang w:eastAsia="es-CO"/>
              </w:rPr>
            </w:pPr>
            <w:r w:rsidRPr="0039091F">
              <w:rPr>
                <w:rFonts w:eastAsia="Times New Roman" w:cs="Times New Roman"/>
                <w:color w:val="000000"/>
                <w:sz w:val="18"/>
                <w:szCs w:val="18"/>
                <w:lang w:eastAsia="es-CO"/>
              </w:rPr>
              <w:t>Seguridad y Salud en el Trabajo</w:t>
            </w:r>
          </w:p>
        </w:tc>
        <w:tc>
          <w:tcPr>
            <w:tcW w:w="1320" w:type="pct"/>
            <w:vAlign w:val="center"/>
            <w:hideMark/>
          </w:tcPr>
          <w:p w14:paraId="5DF9DE65" w14:textId="77777777" w:rsidR="00297E57" w:rsidRPr="0039091F" w:rsidRDefault="00297E57" w:rsidP="000A5389">
            <w:pPr>
              <w:spacing w:line="240" w:lineRule="auto"/>
              <w:rPr>
                <w:rFonts w:eastAsia="Times New Roman" w:cs="Times New Roman"/>
                <w:color w:val="000000"/>
                <w:sz w:val="18"/>
                <w:szCs w:val="18"/>
                <w:lang w:eastAsia="es-CO"/>
              </w:rPr>
            </w:pPr>
            <w:r w:rsidRPr="0039091F">
              <w:rPr>
                <w:rFonts w:eastAsia="Times New Roman" w:cs="Times New Roman"/>
                <w:color w:val="000000"/>
                <w:sz w:val="18"/>
                <w:szCs w:val="18"/>
                <w:lang w:eastAsia="es-CO"/>
              </w:rPr>
              <w:t>Capacitación Planes de Emergencia y Contingencia</w:t>
            </w:r>
          </w:p>
        </w:tc>
        <w:tc>
          <w:tcPr>
            <w:tcW w:w="1044" w:type="pct"/>
            <w:vAlign w:val="center"/>
            <w:hideMark/>
          </w:tcPr>
          <w:p w14:paraId="55D5B4D0" w14:textId="77777777" w:rsidR="00297E57" w:rsidRPr="0039091F" w:rsidRDefault="00297E57" w:rsidP="000A5389">
            <w:pPr>
              <w:spacing w:line="240" w:lineRule="auto"/>
              <w:jc w:val="center"/>
              <w:rPr>
                <w:rFonts w:eastAsia="Times New Roman" w:cs="Times New Roman"/>
                <w:color w:val="000000"/>
                <w:sz w:val="18"/>
                <w:szCs w:val="18"/>
                <w:lang w:eastAsia="es-CO"/>
              </w:rPr>
            </w:pPr>
            <w:r w:rsidRPr="0039091F">
              <w:rPr>
                <w:rFonts w:eastAsia="Times New Roman" w:cs="Times New Roman"/>
                <w:color w:val="000000"/>
                <w:sz w:val="18"/>
                <w:szCs w:val="18"/>
                <w:lang w:eastAsia="es-CO"/>
              </w:rPr>
              <w:t>ARL POSITIVA</w:t>
            </w:r>
          </w:p>
        </w:tc>
        <w:tc>
          <w:tcPr>
            <w:tcW w:w="464" w:type="pct"/>
            <w:vAlign w:val="center"/>
            <w:hideMark/>
          </w:tcPr>
          <w:p w14:paraId="02866D87" w14:textId="77777777" w:rsidR="00297E57" w:rsidRPr="0039091F" w:rsidRDefault="00297E57" w:rsidP="000A5389">
            <w:pPr>
              <w:spacing w:line="240" w:lineRule="auto"/>
              <w:jc w:val="center"/>
              <w:rPr>
                <w:rFonts w:eastAsia="Times New Roman" w:cs="Times New Roman"/>
                <w:color w:val="000000"/>
                <w:sz w:val="18"/>
                <w:szCs w:val="18"/>
                <w:lang w:eastAsia="es-CO"/>
              </w:rPr>
            </w:pPr>
            <w:r w:rsidRPr="0039091F">
              <w:rPr>
                <w:rFonts w:eastAsia="Times New Roman" w:cs="Times New Roman"/>
                <w:color w:val="000000"/>
                <w:sz w:val="18"/>
                <w:szCs w:val="18"/>
                <w:lang w:eastAsia="es-CO"/>
              </w:rPr>
              <w:t>12</w:t>
            </w:r>
          </w:p>
        </w:tc>
        <w:tc>
          <w:tcPr>
            <w:tcW w:w="527" w:type="pct"/>
            <w:vAlign w:val="center"/>
            <w:hideMark/>
          </w:tcPr>
          <w:p w14:paraId="7A247EF9" w14:textId="77777777" w:rsidR="00297E57" w:rsidRPr="0039091F" w:rsidRDefault="00297E57" w:rsidP="000A5389">
            <w:pPr>
              <w:spacing w:line="240" w:lineRule="auto"/>
              <w:jc w:val="center"/>
              <w:rPr>
                <w:rFonts w:eastAsia="Times New Roman" w:cs="Times New Roman"/>
                <w:color w:val="000000"/>
                <w:sz w:val="18"/>
                <w:szCs w:val="18"/>
                <w:lang w:eastAsia="es-CO"/>
              </w:rPr>
            </w:pPr>
            <w:r w:rsidRPr="0039091F">
              <w:rPr>
                <w:rFonts w:eastAsia="Times New Roman" w:cs="Times New Roman"/>
                <w:color w:val="000000"/>
                <w:sz w:val="18"/>
                <w:szCs w:val="18"/>
                <w:lang w:eastAsia="es-CO"/>
              </w:rPr>
              <w:t>01 de octubre</w:t>
            </w:r>
          </w:p>
        </w:tc>
        <w:tc>
          <w:tcPr>
            <w:tcW w:w="640" w:type="pct"/>
            <w:vAlign w:val="center"/>
            <w:hideMark/>
          </w:tcPr>
          <w:p w14:paraId="652819BB" w14:textId="77777777" w:rsidR="00297E57" w:rsidRPr="0039091F" w:rsidRDefault="00297E57" w:rsidP="000A5389">
            <w:pPr>
              <w:spacing w:line="240" w:lineRule="auto"/>
              <w:jc w:val="center"/>
              <w:rPr>
                <w:rFonts w:eastAsia="Times New Roman" w:cs="Times New Roman"/>
                <w:color w:val="000000"/>
                <w:sz w:val="18"/>
                <w:szCs w:val="18"/>
                <w:lang w:eastAsia="es-CO"/>
              </w:rPr>
            </w:pPr>
            <w:r w:rsidRPr="0039091F">
              <w:rPr>
                <w:rFonts w:eastAsia="Times New Roman" w:cs="Times New Roman"/>
                <w:color w:val="000000"/>
                <w:sz w:val="18"/>
                <w:szCs w:val="18"/>
                <w:lang w:eastAsia="es-CO"/>
              </w:rPr>
              <w:t>1</w:t>
            </w:r>
          </w:p>
        </w:tc>
      </w:tr>
      <w:tr w:rsidR="00297E57" w:rsidRPr="0039091F" w14:paraId="0720F66C" w14:textId="77777777" w:rsidTr="0039091F">
        <w:trPr>
          <w:trHeight w:val="283"/>
        </w:trPr>
        <w:tc>
          <w:tcPr>
            <w:tcW w:w="229" w:type="pct"/>
            <w:vAlign w:val="center"/>
            <w:hideMark/>
          </w:tcPr>
          <w:p w14:paraId="3CDC6A40" w14:textId="77777777" w:rsidR="00297E57" w:rsidRPr="0039091F" w:rsidRDefault="00297E57" w:rsidP="000A5389">
            <w:pPr>
              <w:spacing w:line="240" w:lineRule="auto"/>
              <w:jc w:val="center"/>
              <w:rPr>
                <w:rFonts w:eastAsia="Times New Roman" w:cs="Times New Roman"/>
                <w:color w:val="000000"/>
                <w:sz w:val="18"/>
                <w:szCs w:val="18"/>
                <w:lang w:eastAsia="es-CO"/>
              </w:rPr>
            </w:pPr>
            <w:r w:rsidRPr="0039091F">
              <w:rPr>
                <w:rFonts w:eastAsia="Times New Roman" w:cs="Times New Roman"/>
                <w:color w:val="000000"/>
                <w:sz w:val="18"/>
                <w:szCs w:val="18"/>
                <w:lang w:eastAsia="es-CO"/>
              </w:rPr>
              <w:t>84</w:t>
            </w:r>
          </w:p>
        </w:tc>
        <w:tc>
          <w:tcPr>
            <w:tcW w:w="777" w:type="pct"/>
            <w:vAlign w:val="center"/>
            <w:hideMark/>
          </w:tcPr>
          <w:p w14:paraId="6EE4F389" w14:textId="77777777" w:rsidR="00297E57" w:rsidRPr="0039091F" w:rsidRDefault="00297E57" w:rsidP="000A5389">
            <w:pPr>
              <w:spacing w:line="240" w:lineRule="auto"/>
              <w:rPr>
                <w:rFonts w:eastAsia="Times New Roman" w:cs="Times New Roman"/>
                <w:color w:val="000000"/>
                <w:sz w:val="18"/>
                <w:szCs w:val="18"/>
                <w:lang w:eastAsia="es-CO"/>
              </w:rPr>
            </w:pPr>
            <w:r w:rsidRPr="0039091F">
              <w:rPr>
                <w:rFonts w:eastAsia="Times New Roman" w:cs="Times New Roman"/>
                <w:color w:val="000000"/>
                <w:sz w:val="18"/>
                <w:szCs w:val="18"/>
                <w:lang w:eastAsia="es-CO"/>
              </w:rPr>
              <w:t>Eje 2 (Territorio, Vida y Ambiente) y Ambiental</w:t>
            </w:r>
          </w:p>
        </w:tc>
        <w:tc>
          <w:tcPr>
            <w:tcW w:w="1320" w:type="pct"/>
            <w:vAlign w:val="center"/>
            <w:hideMark/>
          </w:tcPr>
          <w:p w14:paraId="605FCA40" w14:textId="77777777" w:rsidR="00297E57" w:rsidRPr="0039091F" w:rsidRDefault="00297E57" w:rsidP="000A5389">
            <w:pPr>
              <w:spacing w:line="240" w:lineRule="auto"/>
              <w:rPr>
                <w:rFonts w:eastAsia="Times New Roman" w:cs="Times New Roman"/>
                <w:color w:val="000000"/>
                <w:sz w:val="18"/>
                <w:szCs w:val="18"/>
                <w:lang w:eastAsia="es-CO"/>
              </w:rPr>
            </w:pPr>
            <w:r w:rsidRPr="0039091F">
              <w:rPr>
                <w:rFonts w:eastAsia="Times New Roman" w:cs="Times New Roman"/>
                <w:color w:val="000000"/>
                <w:sz w:val="18"/>
                <w:szCs w:val="18"/>
                <w:lang w:eastAsia="es-CO"/>
              </w:rPr>
              <w:t>Capacitación Gestión de riesgos ambientales - Sede Principal</w:t>
            </w:r>
          </w:p>
        </w:tc>
        <w:tc>
          <w:tcPr>
            <w:tcW w:w="1044" w:type="pct"/>
            <w:vAlign w:val="center"/>
            <w:hideMark/>
          </w:tcPr>
          <w:p w14:paraId="55DEE047" w14:textId="77777777" w:rsidR="00297E57" w:rsidRPr="0039091F" w:rsidRDefault="00297E57" w:rsidP="000A5389">
            <w:pPr>
              <w:spacing w:line="240" w:lineRule="auto"/>
              <w:jc w:val="center"/>
              <w:rPr>
                <w:rFonts w:eastAsia="Times New Roman" w:cs="Times New Roman"/>
                <w:color w:val="000000"/>
                <w:sz w:val="18"/>
                <w:szCs w:val="18"/>
                <w:lang w:eastAsia="es-CO"/>
              </w:rPr>
            </w:pPr>
            <w:r w:rsidRPr="0039091F">
              <w:rPr>
                <w:rFonts w:eastAsia="Times New Roman" w:cs="Times New Roman"/>
                <w:color w:val="000000"/>
                <w:sz w:val="18"/>
                <w:szCs w:val="18"/>
                <w:lang w:eastAsia="es-CO"/>
              </w:rPr>
              <w:t>Secretaría Distrital de Ambiente (SDA)</w:t>
            </w:r>
          </w:p>
        </w:tc>
        <w:tc>
          <w:tcPr>
            <w:tcW w:w="464" w:type="pct"/>
            <w:vAlign w:val="center"/>
            <w:hideMark/>
          </w:tcPr>
          <w:p w14:paraId="624ED444" w14:textId="77777777" w:rsidR="00297E57" w:rsidRPr="0039091F" w:rsidRDefault="00297E57" w:rsidP="000A5389">
            <w:pPr>
              <w:spacing w:line="240" w:lineRule="auto"/>
              <w:jc w:val="center"/>
              <w:rPr>
                <w:rFonts w:eastAsia="Times New Roman" w:cs="Times New Roman"/>
                <w:color w:val="000000"/>
                <w:sz w:val="18"/>
                <w:szCs w:val="18"/>
                <w:lang w:eastAsia="es-CO"/>
              </w:rPr>
            </w:pPr>
            <w:r w:rsidRPr="0039091F">
              <w:rPr>
                <w:rFonts w:eastAsia="Times New Roman" w:cs="Times New Roman"/>
                <w:color w:val="000000"/>
                <w:sz w:val="18"/>
                <w:szCs w:val="18"/>
                <w:lang w:eastAsia="es-CO"/>
              </w:rPr>
              <w:t>15</w:t>
            </w:r>
          </w:p>
        </w:tc>
        <w:tc>
          <w:tcPr>
            <w:tcW w:w="527" w:type="pct"/>
            <w:vAlign w:val="center"/>
            <w:hideMark/>
          </w:tcPr>
          <w:p w14:paraId="053211B1" w14:textId="77777777" w:rsidR="00297E57" w:rsidRPr="0039091F" w:rsidRDefault="00297E57" w:rsidP="000A5389">
            <w:pPr>
              <w:spacing w:line="240" w:lineRule="auto"/>
              <w:jc w:val="center"/>
              <w:rPr>
                <w:rFonts w:eastAsia="Times New Roman" w:cs="Times New Roman"/>
                <w:color w:val="000000"/>
                <w:sz w:val="18"/>
                <w:szCs w:val="18"/>
                <w:lang w:eastAsia="es-CO"/>
              </w:rPr>
            </w:pPr>
            <w:r w:rsidRPr="0039091F">
              <w:rPr>
                <w:rFonts w:eastAsia="Times New Roman" w:cs="Times New Roman"/>
                <w:color w:val="000000"/>
                <w:sz w:val="18"/>
                <w:szCs w:val="18"/>
                <w:lang w:eastAsia="es-CO"/>
              </w:rPr>
              <w:t>09 de octubre</w:t>
            </w:r>
          </w:p>
        </w:tc>
        <w:tc>
          <w:tcPr>
            <w:tcW w:w="640" w:type="pct"/>
            <w:vAlign w:val="center"/>
            <w:hideMark/>
          </w:tcPr>
          <w:p w14:paraId="6CDD76BC" w14:textId="77777777" w:rsidR="00297E57" w:rsidRPr="0039091F" w:rsidRDefault="00297E57" w:rsidP="000A5389">
            <w:pPr>
              <w:spacing w:line="240" w:lineRule="auto"/>
              <w:jc w:val="center"/>
              <w:rPr>
                <w:rFonts w:eastAsia="Times New Roman" w:cs="Times New Roman"/>
                <w:color w:val="000000"/>
                <w:sz w:val="18"/>
                <w:szCs w:val="18"/>
                <w:lang w:eastAsia="es-CO"/>
              </w:rPr>
            </w:pPr>
            <w:r w:rsidRPr="0039091F">
              <w:rPr>
                <w:rFonts w:eastAsia="Times New Roman" w:cs="Times New Roman"/>
                <w:color w:val="000000"/>
                <w:sz w:val="18"/>
                <w:szCs w:val="18"/>
                <w:lang w:eastAsia="es-CO"/>
              </w:rPr>
              <w:t>1</w:t>
            </w:r>
          </w:p>
        </w:tc>
      </w:tr>
      <w:tr w:rsidR="00297E57" w:rsidRPr="0039091F" w14:paraId="3AFD7A08" w14:textId="77777777" w:rsidTr="0039091F">
        <w:trPr>
          <w:trHeight w:val="283"/>
        </w:trPr>
        <w:tc>
          <w:tcPr>
            <w:tcW w:w="229" w:type="pct"/>
            <w:vAlign w:val="center"/>
            <w:hideMark/>
          </w:tcPr>
          <w:p w14:paraId="169A44E9" w14:textId="77777777" w:rsidR="00297E57" w:rsidRPr="0039091F" w:rsidRDefault="00297E57" w:rsidP="000A5389">
            <w:pPr>
              <w:spacing w:line="240" w:lineRule="auto"/>
              <w:jc w:val="center"/>
              <w:rPr>
                <w:rFonts w:eastAsia="Times New Roman" w:cs="Times New Roman"/>
                <w:color w:val="000000"/>
                <w:sz w:val="18"/>
                <w:szCs w:val="18"/>
                <w:lang w:eastAsia="es-CO"/>
              </w:rPr>
            </w:pPr>
            <w:r w:rsidRPr="0039091F">
              <w:rPr>
                <w:rFonts w:eastAsia="Times New Roman" w:cs="Times New Roman"/>
                <w:color w:val="000000"/>
                <w:sz w:val="18"/>
                <w:szCs w:val="18"/>
                <w:lang w:eastAsia="es-CO"/>
              </w:rPr>
              <w:t>85</w:t>
            </w:r>
          </w:p>
        </w:tc>
        <w:tc>
          <w:tcPr>
            <w:tcW w:w="777" w:type="pct"/>
            <w:vAlign w:val="center"/>
            <w:hideMark/>
          </w:tcPr>
          <w:p w14:paraId="3752508C" w14:textId="77777777" w:rsidR="00297E57" w:rsidRPr="0039091F" w:rsidRDefault="00297E57" w:rsidP="000A5389">
            <w:pPr>
              <w:spacing w:line="240" w:lineRule="auto"/>
              <w:rPr>
                <w:rFonts w:eastAsia="Times New Roman" w:cs="Times New Roman"/>
                <w:color w:val="000000"/>
                <w:sz w:val="18"/>
                <w:szCs w:val="18"/>
                <w:lang w:eastAsia="es-CO"/>
              </w:rPr>
            </w:pPr>
            <w:r w:rsidRPr="0039091F">
              <w:rPr>
                <w:rFonts w:eastAsia="Times New Roman" w:cs="Times New Roman"/>
                <w:color w:val="000000"/>
                <w:sz w:val="18"/>
                <w:szCs w:val="18"/>
                <w:lang w:eastAsia="es-CO"/>
              </w:rPr>
              <w:t>Eje 2 (Territorio, Vida y Ambiente) y Ambiental</w:t>
            </w:r>
          </w:p>
        </w:tc>
        <w:tc>
          <w:tcPr>
            <w:tcW w:w="1320" w:type="pct"/>
            <w:vAlign w:val="center"/>
            <w:hideMark/>
          </w:tcPr>
          <w:p w14:paraId="6BE8E3A6" w14:textId="77777777" w:rsidR="00297E57" w:rsidRPr="0039091F" w:rsidRDefault="00297E57" w:rsidP="000A5389">
            <w:pPr>
              <w:spacing w:line="240" w:lineRule="auto"/>
              <w:rPr>
                <w:rFonts w:eastAsia="Times New Roman" w:cs="Times New Roman"/>
                <w:color w:val="000000"/>
                <w:sz w:val="18"/>
                <w:szCs w:val="18"/>
                <w:lang w:eastAsia="es-CO"/>
              </w:rPr>
            </w:pPr>
            <w:r w:rsidRPr="0039091F">
              <w:rPr>
                <w:rFonts w:eastAsia="Times New Roman" w:cs="Times New Roman"/>
                <w:color w:val="000000"/>
                <w:sz w:val="18"/>
                <w:szCs w:val="18"/>
                <w:lang w:eastAsia="es-CO"/>
              </w:rPr>
              <w:t>Capacitación Gestión de riesgos ambientales - Sede Montevideo</w:t>
            </w:r>
          </w:p>
        </w:tc>
        <w:tc>
          <w:tcPr>
            <w:tcW w:w="1044" w:type="pct"/>
            <w:vAlign w:val="center"/>
            <w:hideMark/>
          </w:tcPr>
          <w:p w14:paraId="60723A82" w14:textId="77777777" w:rsidR="00297E57" w:rsidRPr="0039091F" w:rsidRDefault="00297E57" w:rsidP="000A5389">
            <w:pPr>
              <w:spacing w:line="240" w:lineRule="auto"/>
              <w:jc w:val="center"/>
              <w:rPr>
                <w:rFonts w:eastAsia="Times New Roman" w:cs="Times New Roman"/>
                <w:color w:val="000000"/>
                <w:sz w:val="18"/>
                <w:szCs w:val="18"/>
                <w:lang w:eastAsia="es-CO"/>
              </w:rPr>
            </w:pPr>
            <w:r w:rsidRPr="0039091F">
              <w:rPr>
                <w:rFonts w:eastAsia="Times New Roman" w:cs="Times New Roman"/>
                <w:color w:val="000000"/>
                <w:sz w:val="18"/>
                <w:szCs w:val="18"/>
                <w:lang w:eastAsia="es-CO"/>
              </w:rPr>
              <w:t>Secretaría Distrital de Ambiente (SDA)</w:t>
            </w:r>
          </w:p>
        </w:tc>
        <w:tc>
          <w:tcPr>
            <w:tcW w:w="464" w:type="pct"/>
            <w:vAlign w:val="center"/>
            <w:hideMark/>
          </w:tcPr>
          <w:p w14:paraId="193B79F3" w14:textId="77777777" w:rsidR="00297E57" w:rsidRPr="0039091F" w:rsidRDefault="00297E57" w:rsidP="000A5389">
            <w:pPr>
              <w:spacing w:line="240" w:lineRule="auto"/>
              <w:jc w:val="center"/>
              <w:rPr>
                <w:rFonts w:eastAsia="Times New Roman" w:cs="Times New Roman"/>
                <w:color w:val="000000"/>
                <w:sz w:val="18"/>
                <w:szCs w:val="18"/>
                <w:lang w:eastAsia="es-CO"/>
              </w:rPr>
            </w:pPr>
            <w:r w:rsidRPr="0039091F">
              <w:rPr>
                <w:rFonts w:eastAsia="Times New Roman" w:cs="Times New Roman"/>
                <w:color w:val="000000"/>
                <w:sz w:val="18"/>
                <w:szCs w:val="18"/>
                <w:lang w:eastAsia="es-CO"/>
              </w:rPr>
              <w:t>10</w:t>
            </w:r>
          </w:p>
        </w:tc>
        <w:tc>
          <w:tcPr>
            <w:tcW w:w="527" w:type="pct"/>
            <w:vAlign w:val="center"/>
            <w:hideMark/>
          </w:tcPr>
          <w:p w14:paraId="19C22843" w14:textId="77777777" w:rsidR="00297E57" w:rsidRPr="0039091F" w:rsidRDefault="00297E57" w:rsidP="000A5389">
            <w:pPr>
              <w:spacing w:line="240" w:lineRule="auto"/>
              <w:jc w:val="center"/>
              <w:rPr>
                <w:rFonts w:eastAsia="Times New Roman" w:cs="Times New Roman"/>
                <w:color w:val="000000"/>
                <w:sz w:val="18"/>
                <w:szCs w:val="18"/>
                <w:lang w:eastAsia="es-CO"/>
              </w:rPr>
            </w:pPr>
            <w:r w:rsidRPr="0039091F">
              <w:rPr>
                <w:rFonts w:eastAsia="Times New Roman" w:cs="Times New Roman"/>
                <w:color w:val="000000"/>
                <w:sz w:val="18"/>
                <w:szCs w:val="18"/>
                <w:lang w:eastAsia="es-CO"/>
              </w:rPr>
              <w:t>10 de octubre</w:t>
            </w:r>
          </w:p>
        </w:tc>
        <w:tc>
          <w:tcPr>
            <w:tcW w:w="640" w:type="pct"/>
            <w:vAlign w:val="center"/>
            <w:hideMark/>
          </w:tcPr>
          <w:p w14:paraId="488F42AB" w14:textId="77777777" w:rsidR="00297E57" w:rsidRPr="0039091F" w:rsidRDefault="00297E57" w:rsidP="000A5389">
            <w:pPr>
              <w:spacing w:line="240" w:lineRule="auto"/>
              <w:jc w:val="center"/>
              <w:rPr>
                <w:rFonts w:eastAsia="Times New Roman" w:cs="Times New Roman"/>
                <w:color w:val="000000"/>
                <w:sz w:val="18"/>
                <w:szCs w:val="18"/>
                <w:lang w:eastAsia="es-CO"/>
              </w:rPr>
            </w:pPr>
            <w:r w:rsidRPr="0039091F">
              <w:rPr>
                <w:rFonts w:eastAsia="Times New Roman" w:cs="Times New Roman"/>
                <w:color w:val="000000"/>
                <w:sz w:val="18"/>
                <w:szCs w:val="18"/>
                <w:lang w:eastAsia="es-CO"/>
              </w:rPr>
              <w:t>1</w:t>
            </w:r>
          </w:p>
        </w:tc>
      </w:tr>
      <w:tr w:rsidR="00297E57" w:rsidRPr="0039091F" w14:paraId="37D3CF21" w14:textId="77777777" w:rsidTr="0039091F">
        <w:trPr>
          <w:trHeight w:val="283"/>
        </w:trPr>
        <w:tc>
          <w:tcPr>
            <w:tcW w:w="229" w:type="pct"/>
            <w:vAlign w:val="center"/>
            <w:hideMark/>
          </w:tcPr>
          <w:p w14:paraId="293F4B91" w14:textId="77777777" w:rsidR="00297E57" w:rsidRPr="0039091F" w:rsidRDefault="00297E57" w:rsidP="000A5389">
            <w:pPr>
              <w:spacing w:line="240" w:lineRule="auto"/>
              <w:jc w:val="center"/>
              <w:rPr>
                <w:rFonts w:eastAsia="Times New Roman" w:cs="Times New Roman"/>
                <w:color w:val="000000"/>
                <w:sz w:val="18"/>
                <w:szCs w:val="18"/>
                <w:lang w:eastAsia="es-CO"/>
              </w:rPr>
            </w:pPr>
            <w:r w:rsidRPr="0039091F">
              <w:rPr>
                <w:rFonts w:eastAsia="Times New Roman" w:cs="Times New Roman"/>
                <w:color w:val="000000"/>
                <w:sz w:val="18"/>
                <w:szCs w:val="18"/>
                <w:lang w:eastAsia="es-CO"/>
              </w:rPr>
              <w:t>86</w:t>
            </w:r>
          </w:p>
        </w:tc>
        <w:tc>
          <w:tcPr>
            <w:tcW w:w="777" w:type="pct"/>
            <w:vAlign w:val="center"/>
            <w:hideMark/>
          </w:tcPr>
          <w:p w14:paraId="7C42B82A" w14:textId="77777777" w:rsidR="00297E57" w:rsidRPr="0039091F" w:rsidRDefault="00297E57" w:rsidP="000A5389">
            <w:pPr>
              <w:spacing w:line="240" w:lineRule="auto"/>
              <w:rPr>
                <w:rFonts w:eastAsia="Times New Roman" w:cs="Times New Roman"/>
                <w:color w:val="000000"/>
                <w:sz w:val="18"/>
                <w:szCs w:val="18"/>
                <w:lang w:eastAsia="es-CO"/>
              </w:rPr>
            </w:pPr>
            <w:r w:rsidRPr="0039091F">
              <w:rPr>
                <w:rFonts w:eastAsia="Times New Roman" w:cs="Times New Roman"/>
                <w:color w:val="000000"/>
                <w:sz w:val="18"/>
                <w:szCs w:val="18"/>
                <w:lang w:eastAsia="es-CO"/>
              </w:rPr>
              <w:t>Eje 2 (Territorio, Vida y Ambiente) y Eje 3 (Mujeres, inclusión y Diversidad)</w:t>
            </w:r>
          </w:p>
        </w:tc>
        <w:tc>
          <w:tcPr>
            <w:tcW w:w="1320" w:type="pct"/>
            <w:vAlign w:val="center"/>
            <w:hideMark/>
          </w:tcPr>
          <w:p w14:paraId="26A00FD5" w14:textId="77777777" w:rsidR="00297E57" w:rsidRPr="0039091F" w:rsidRDefault="00297E57" w:rsidP="000A5389">
            <w:pPr>
              <w:spacing w:line="240" w:lineRule="auto"/>
              <w:rPr>
                <w:rFonts w:eastAsia="Times New Roman" w:cs="Times New Roman"/>
                <w:color w:val="000000"/>
                <w:sz w:val="18"/>
                <w:szCs w:val="18"/>
                <w:lang w:eastAsia="es-CO"/>
              </w:rPr>
            </w:pPr>
            <w:r w:rsidRPr="0039091F">
              <w:rPr>
                <w:rFonts w:eastAsia="Times New Roman" w:cs="Times New Roman"/>
                <w:color w:val="000000"/>
                <w:sz w:val="18"/>
                <w:szCs w:val="18"/>
                <w:lang w:eastAsia="es-CO"/>
              </w:rPr>
              <w:t>Taller Lenguaje Claro: Diversidad Socio Lingüística</w:t>
            </w:r>
          </w:p>
        </w:tc>
        <w:tc>
          <w:tcPr>
            <w:tcW w:w="1044" w:type="pct"/>
            <w:vAlign w:val="center"/>
            <w:hideMark/>
          </w:tcPr>
          <w:p w14:paraId="658C197F" w14:textId="77777777" w:rsidR="00297E57" w:rsidRPr="0039091F" w:rsidRDefault="00297E57" w:rsidP="000A5389">
            <w:pPr>
              <w:spacing w:line="240" w:lineRule="auto"/>
              <w:jc w:val="center"/>
              <w:rPr>
                <w:rFonts w:eastAsia="Times New Roman" w:cs="Times New Roman"/>
                <w:color w:val="000000"/>
                <w:sz w:val="18"/>
                <w:szCs w:val="18"/>
                <w:lang w:eastAsia="es-CO"/>
              </w:rPr>
            </w:pPr>
            <w:r w:rsidRPr="0039091F">
              <w:rPr>
                <w:rFonts w:eastAsia="Times New Roman" w:cs="Times New Roman"/>
                <w:color w:val="000000"/>
                <w:sz w:val="18"/>
                <w:szCs w:val="18"/>
                <w:lang w:eastAsia="es-CO"/>
              </w:rPr>
              <w:t>Instituto Nacional para Sordos (INSOR)</w:t>
            </w:r>
          </w:p>
        </w:tc>
        <w:tc>
          <w:tcPr>
            <w:tcW w:w="464" w:type="pct"/>
            <w:vAlign w:val="center"/>
            <w:hideMark/>
          </w:tcPr>
          <w:p w14:paraId="4ABB030A" w14:textId="77777777" w:rsidR="00297E57" w:rsidRPr="0039091F" w:rsidRDefault="00297E57" w:rsidP="000A5389">
            <w:pPr>
              <w:spacing w:line="240" w:lineRule="auto"/>
              <w:jc w:val="center"/>
              <w:rPr>
                <w:rFonts w:eastAsia="Times New Roman" w:cs="Times New Roman"/>
                <w:color w:val="000000"/>
                <w:sz w:val="18"/>
                <w:szCs w:val="18"/>
                <w:lang w:eastAsia="es-CO"/>
              </w:rPr>
            </w:pPr>
            <w:r w:rsidRPr="0039091F">
              <w:rPr>
                <w:rFonts w:eastAsia="Times New Roman" w:cs="Times New Roman"/>
                <w:color w:val="000000"/>
                <w:sz w:val="18"/>
                <w:szCs w:val="18"/>
                <w:lang w:eastAsia="es-CO"/>
              </w:rPr>
              <w:t>6</w:t>
            </w:r>
          </w:p>
        </w:tc>
        <w:tc>
          <w:tcPr>
            <w:tcW w:w="527" w:type="pct"/>
            <w:vAlign w:val="center"/>
            <w:hideMark/>
          </w:tcPr>
          <w:p w14:paraId="037071AD" w14:textId="77777777" w:rsidR="00297E57" w:rsidRPr="0039091F" w:rsidRDefault="00297E57" w:rsidP="000A5389">
            <w:pPr>
              <w:spacing w:line="240" w:lineRule="auto"/>
              <w:jc w:val="center"/>
              <w:rPr>
                <w:rFonts w:eastAsia="Times New Roman" w:cs="Times New Roman"/>
                <w:color w:val="000000"/>
                <w:sz w:val="18"/>
                <w:szCs w:val="18"/>
                <w:lang w:eastAsia="es-CO"/>
              </w:rPr>
            </w:pPr>
            <w:r w:rsidRPr="0039091F">
              <w:rPr>
                <w:rFonts w:eastAsia="Times New Roman" w:cs="Times New Roman"/>
                <w:color w:val="000000"/>
                <w:sz w:val="18"/>
                <w:szCs w:val="18"/>
                <w:lang w:eastAsia="es-CO"/>
              </w:rPr>
              <w:t>29 de octubre</w:t>
            </w:r>
          </w:p>
        </w:tc>
        <w:tc>
          <w:tcPr>
            <w:tcW w:w="640" w:type="pct"/>
            <w:vAlign w:val="center"/>
            <w:hideMark/>
          </w:tcPr>
          <w:p w14:paraId="0BC5A190" w14:textId="77777777" w:rsidR="00297E57" w:rsidRPr="0039091F" w:rsidRDefault="00297E57" w:rsidP="000A5389">
            <w:pPr>
              <w:spacing w:line="240" w:lineRule="auto"/>
              <w:jc w:val="center"/>
              <w:rPr>
                <w:rFonts w:eastAsia="Times New Roman" w:cs="Times New Roman"/>
                <w:color w:val="000000"/>
                <w:sz w:val="18"/>
                <w:szCs w:val="18"/>
                <w:lang w:eastAsia="es-CO"/>
              </w:rPr>
            </w:pPr>
            <w:r w:rsidRPr="0039091F">
              <w:rPr>
                <w:rFonts w:eastAsia="Times New Roman" w:cs="Times New Roman"/>
                <w:color w:val="000000"/>
                <w:sz w:val="18"/>
                <w:szCs w:val="18"/>
                <w:lang w:eastAsia="es-CO"/>
              </w:rPr>
              <w:t>2</w:t>
            </w:r>
          </w:p>
        </w:tc>
      </w:tr>
      <w:tr w:rsidR="00297E57" w:rsidRPr="0039091F" w14:paraId="3A91D790" w14:textId="77777777" w:rsidTr="0039091F">
        <w:trPr>
          <w:trHeight w:val="283"/>
        </w:trPr>
        <w:tc>
          <w:tcPr>
            <w:tcW w:w="229" w:type="pct"/>
            <w:vAlign w:val="center"/>
            <w:hideMark/>
          </w:tcPr>
          <w:p w14:paraId="53BDF935" w14:textId="77777777" w:rsidR="00297E57" w:rsidRPr="0039091F" w:rsidRDefault="00297E57" w:rsidP="000A5389">
            <w:pPr>
              <w:spacing w:line="240" w:lineRule="auto"/>
              <w:jc w:val="center"/>
              <w:rPr>
                <w:rFonts w:eastAsia="Times New Roman" w:cs="Times New Roman"/>
                <w:color w:val="000000"/>
                <w:sz w:val="18"/>
                <w:szCs w:val="18"/>
                <w:lang w:eastAsia="es-CO"/>
              </w:rPr>
            </w:pPr>
            <w:r w:rsidRPr="0039091F">
              <w:rPr>
                <w:rFonts w:eastAsia="Times New Roman" w:cs="Times New Roman"/>
                <w:color w:val="000000"/>
                <w:sz w:val="18"/>
                <w:szCs w:val="18"/>
                <w:lang w:eastAsia="es-CO"/>
              </w:rPr>
              <w:t>87</w:t>
            </w:r>
          </w:p>
        </w:tc>
        <w:tc>
          <w:tcPr>
            <w:tcW w:w="777" w:type="pct"/>
            <w:vAlign w:val="center"/>
            <w:hideMark/>
          </w:tcPr>
          <w:p w14:paraId="3A0E4663" w14:textId="77777777" w:rsidR="00297E57" w:rsidRPr="0039091F" w:rsidRDefault="00297E57" w:rsidP="000A5389">
            <w:pPr>
              <w:spacing w:line="240" w:lineRule="auto"/>
              <w:rPr>
                <w:rFonts w:eastAsia="Times New Roman" w:cs="Times New Roman"/>
                <w:color w:val="000000"/>
                <w:sz w:val="18"/>
                <w:szCs w:val="18"/>
                <w:lang w:eastAsia="es-CO"/>
              </w:rPr>
            </w:pPr>
            <w:r w:rsidRPr="0039091F">
              <w:rPr>
                <w:rFonts w:eastAsia="Times New Roman" w:cs="Times New Roman"/>
                <w:color w:val="000000"/>
                <w:sz w:val="18"/>
                <w:szCs w:val="18"/>
                <w:lang w:eastAsia="es-CO"/>
              </w:rPr>
              <w:t>Seguridad y Salud en el Trabajo</w:t>
            </w:r>
          </w:p>
        </w:tc>
        <w:tc>
          <w:tcPr>
            <w:tcW w:w="1320" w:type="pct"/>
            <w:vAlign w:val="center"/>
            <w:hideMark/>
          </w:tcPr>
          <w:p w14:paraId="50AF1F87" w14:textId="77777777" w:rsidR="00297E57" w:rsidRPr="0039091F" w:rsidRDefault="00297E57" w:rsidP="000A5389">
            <w:pPr>
              <w:spacing w:line="240" w:lineRule="auto"/>
              <w:rPr>
                <w:rFonts w:eastAsia="Times New Roman" w:cs="Times New Roman"/>
                <w:color w:val="000000"/>
                <w:sz w:val="18"/>
                <w:szCs w:val="18"/>
                <w:lang w:eastAsia="es-CO"/>
              </w:rPr>
            </w:pPr>
            <w:r w:rsidRPr="0039091F">
              <w:rPr>
                <w:rFonts w:eastAsia="Times New Roman" w:cs="Times New Roman"/>
                <w:color w:val="000000"/>
                <w:sz w:val="18"/>
                <w:szCs w:val="18"/>
                <w:lang w:eastAsia="es-CO"/>
              </w:rPr>
              <w:t>Capacitación Factores clave para la prevención de riesgos psicosociales, dirigido al COPASST</w:t>
            </w:r>
          </w:p>
        </w:tc>
        <w:tc>
          <w:tcPr>
            <w:tcW w:w="1044" w:type="pct"/>
            <w:vAlign w:val="center"/>
            <w:hideMark/>
          </w:tcPr>
          <w:p w14:paraId="69595688" w14:textId="77777777" w:rsidR="00297E57" w:rsidRPr="0039091F" w:rsidRDefault="00297E57" w:rsidP="000A5389">
            <w:pPr>
              <w:spacing w:line="240" w:lineRule="auto"/>
              <w:jc w:val="center"/>
              <w:rPr>
                <w:rFonts w:eastAsia="Times New Roman" w:cs="Times New Roman"/>
                <w:color w:val="000000"/>
                <w:sz w:val="18"/>
                <w:szCs w:val="18"/>
                <w:lang w:eastAsia="es-CO"/>
              </w:rPr>
            </w:pPr>
            <w:r w:rsidRPr="0039091F">
              <w:rPr>
                <w:rFonts w:eastAsia="Times New Roman" w:cs="Times New Roman"/>
                <w:color w:val="000000"/>
                <w:sz w:val="18"/>
                <w:szCs w:val="18"/>
                <w:lang w:eastAsia="es-CO"/>
              </w:rPr>
              <w:t>ARL POSITIVA</w:t>
            </w:r>
          </w:p>
        </w:tc>
        <w:tc>
          <w:tcPr>
            <w:tcW w:w="464" w:type="pct"/>
            <w:vAlign w:val="center"/>
            <w:hideMark/>
          </w:tcPr>
          <w:p w14:paraId="23598D1A" w14:textId="77777777" w:rsidR="00297E57" w:rsidRPr="0039091F" w:rsidRDefault="00297E57" w:rsidP="000A5389">
            <w:pPr>
              <w:spacing w:line="240" w:lineRule="auto"/>
              <w:jc w:val="center"/>
              <w:rPr>
                <w:rFonts w:eastAsia="Times New Roman" w:cs="Times New Roman"/>
                <w:color w:val="000000"/>
                <w:sz w:val="18"/>
                <w:szCs w:val="18"/>
                <w:lang w:eastAsia="es-CO"/>
              </w:rPr>
            </w:pPr>
            <w:r w:rsidRPr="0039091F">
              <w:rPr>
                <w:rFonts w:eastAsia="Times New Roman" w:cs="Times New Roman"/>
                <w:color w:val="000000"/>
                <w:sz w:val="18"/>
                <w:szCs w:val="18"/>
                <w:lang w:eastAsia="es-CO"/>
              </w:rPr>
              <w:t>3</w:t>
            </w:r>
          </w:p>
        </w:tc>
        <w:tc>
          <w:tcPr>
            <w:tcW w:w="527" w:type="pct"/>
            <w:vAlign w:val="center"/>
            <w:hideMark/>
          </w:tcPr>
          <w:p w14:paraId="3D86F54A" w14:textId="77777777" w:rsidR="00297E57" w:rsidRPr="0039091F" w:rsidRDefault="00297E57" w:rsidP="000A5389">
            <w:pPr>
              <w:spacing w:line="240" w:lineRule="auto"/>
              <w:jc w:val="center"/>
              <w:rPr>
                <w:rFonts w:eastAsia="Times New Roman" w:cs="Times New Roman"/>
                <w:color w:val="000000"/>
                <w:sz w:val="18"/>
                <w:szCs w:val="18"/>
                <w:lang w:eastAsia="es-CO"/>
              </w:rPr>
            </w:pPr>
            <w:r w:rsidRPr="0039091F">
              <w:rPr>
                <w:rFonts w:eastAsia="Times New Roman" w:cs="Times New Roman"/>
                <w:color w:val="000000"/>
                <w:sz w:val="18"/>
                <w:szCs w:val="18"/>
                <w:lang w:eastAsia="es-CO"/>
              </w:rPr>
              <w:t>29 de octubre</w:t>
            </w:r>
          </w:p>
        </w:tc>
        <w:tc>
          <w:tcPr>
            <w:tcW w:w="640" w:type="pct"/>
            <w:vAlign w:val="center"/>
            <w:hideMark/>
          </w:tcPr>
          <w:p w14:paraId="7D7CDF5C" w14:textId="77777777" w:rsidR="00297E57" w:rsidRPr="0039091F" w:rsidRDefault="00297E57" w:rsidP="000A5389">
            <w:pPr>
              <w:spacing w:line="240" w:lineRule="auto"/>
              <w:jc w:val="center"/>
              <w:rPr>
                <w:rFonts w:eastAsia="Times New Roman" w:cs="Times New Roman"/>
                <w:color w:val="000000"/>
                <w:sz w:val="18"/>
                <w:szCs w:val="18"/>
                <w:lang w:eastAsia="es-CO"/>
              </w:rPr>
            </w:pPr>
            <w:r w:rsidRPr="0039091F">
              <w:rPr>
                <w:rFonts w:eastAsia="Times New Roman" w:cs="Times New Roman"/>
                <w:color w:val="000000"/>
                <w:sz w:val="18"/>
                <w:szCs w:val="18"/>
                <w:lang w:eastAsia="es-CO"/>
              </w:rPr>
              <w:t>1</w:t>
            </w:r>
          </w:p>
        </w:tc>
      </w:tr>
      <w:tr w:rsidR="00297E57" w:rsidRPr="0039091F" w14:paraId="7C0E3074" w14:textId="77777777" w:rsidTr="0039091F">
        <w:trPr>
          <w:trHeight w:val="283"/>
        </w:trPr>
        <w:tc>
          <w:tcPr>
            <w:tcW w:w="229" w:type="pct"/>
            <w:vAlign w:val="center"/>
            <w:hideMark/>
          </w:tcPr>
          <w:p w14:paraId="080794FE" w14:textId="77777777" w:rsidR="00297E57" w:rsidRPr="0039091F" w:rsidRDefault="00297E57" w:rsidP="000A5389">
            <w:pPr>
              <w:spacing w:line="240" w:lineRule="auto"/>
              <w:jc w:val="center"/>
              <w:rPr>
                <w:rFonts w:eastAsia="Times New Roman" w:cs="Times New Roman"/>
                <w:color w:val="000000"/>
                <w:sz w:val="18"/>
                <w:szCs w:val="18"/>
                <w:lang w:eastAsia="es-CO"/>
              </w:rPr>
            </w:pPr>
            <w:r w:rsidRPr="0039091F">
              <w:rPr>
                <w:rFonts w:eastAsia="Times New Roman" w:cs="Times New Roman"/>
                <w:color w:val="000000"/>
                <w:sz w:val="18"/>
                <w:szCs w:val="18"/>
                <w:lang w:eastAsia="es-CO"/>
              </w:rPr>
              <w:t>88</w:t>
            </w:r>
          </w:p>
        </w:tc>
        <w:tc>
          <w:tcPr>
            <w:tcW w:w="777" w:type="pct"/>
            <w:vAlign w:val="center"/>
            <w:hideMark/>
          </w:tcPr>
          <w:p w14:paraId="25EB9A69" w14:textId="77777777" w:rsidR="00297E57" w:rsidRPr="0039091F" w:rsidRDefault="00297E57" w:rsidP="000A5389">
            <w:pPr>
              <w:spacing w:line="240" w:lineRule="auto"/>
              <w:rPr>
                <w:rFonts w:eastAsia="Times New Roman" w:cs="Times New Roman"/>
                <w:color w:val="000000"/>
                <w:sz w:val="18"/>
                <w:szCs w:val="18"/>
                <w:lang w:eastAsia="es-CO"/>
              </w:rPr>
            </w:pPr>
            <w:r w:rsidRPr="0039091F">
              <w:rPr>
                <w:rFonts w:eastAsia="Times New Roman" w:cs="Times New Roman"/>
                <w:color w:val="000000"/>
                <w:sz w:val="18"/>
                <w:szCs w:val="18"/>
                <w:lang w:eastAsia="es-CO"/>
              </w:rPr>
              <w:t>Seguridad y Salud en el Trabajo</w:t>
            </w:r>
          </w:p>
        </w:tc>
        <w:tc>
          <w:tcPr>
            <w:tcW w:w="1320" w:type="pct"/>
            <w:vAlign w:val="center"/>
            <w:hideMark/>
          </w:tcPr>
          <w:p w14:paraId="5A8F6238" w14:textId="77777777" w:rsidR="00297E57" w:rsidRPr="0039091F" w:rsidRDefault="00297E57" w:rsidP="000A5389">
            <w:pPr>
              <w:spacing w:line="240" w:lineRule="auto"/>
              <w:rPr>
                <w:rFonts w:eastAsia="Times New Roman" w:cs="Times New Roman"/>
                <w:color w:val="000000"/>
                <w:sz w:val="18"/>
                <w:szCs w:val="18"/>
                <w:lang w:eastAsia="es-CO"/>
              </w:rPr>
            </w:pPr>
            <w:r w:rsidRPr="0039091F">
              <w:rPr>
                <w:rFonts w:eastAsia="Times New Roman" w:cs="Times New Roman"/>
                <w:color w:val="000000"/>
                <w:sz w:val="18"/>
                <w:szCs w:val="18"/>
                <w:lang w:eastAsia="es-CO"/>
              </w:rPr>
              <w:t>Capacitación Manejo de emergencias con materiales peligrosos, dirigidos a los Brigadistas</w:t>
            </w:r>
          </w:p>
        </w:tc>
        <w:tc>
          <w:tcPr>
            <w:tcW w:w="1044" w:type="pct"/>
            <w:vAlign w:val="center"/>
            <w:hideMark/>
          </w:tcPr>
          <w:p w14:paraId="49B7E166" w14:textId="77777777" w:rsidR="00297E57" w:rsidRPr="0039091F" w:rsidRDefault="00297E57" w:rsidP="000A5389">
            <w:pPr>
              <w:spacing w:line="240" w:lineRule="auto"/>
              <w:jc w:val="center"/>
              <w:rPr>
                <w:rFonts w:eastAsia="Times New Roman" w:cs="Times New Roman"/>
                <w:color w:val="000000"/>
                <w:sz w:val="18"/>
                <w:szCs w:val="18"/>
                <w:lang w:eastAsia="es-CO"/>
              </w:rPr>
            </w:pPr>
            <w:r w:rsidRPr="0039091F">
              <w:rPr>
                <w:rFonts w:eastAsia="Times New Roman" w:cs="Times New Roman"/>
                <w:color w:val="000000"/>
                <w:sz w:val="18"/>
                <w:szCs w:val="18"/>
                <w:lang w:eastAsia="es-CO"/>
              </w:rPr>
              <w:t>ARL POSITIVA</w:t>
            </w:r>
          </w:p>
        </w:tc>
        <w:tc>
          <w:tcPr>
            <w:tcW w:w="464" w:type="pct"/>
            <w:vAlign w:val="center"/>
            <w:hideMark/>
          </w:tcPr>
          <w:p w14:paraId="2E4EE4D7" w14:textId="77777777" w:rsidR="00297E57" w:rsidRPr="0039091F" w:rsidRDefault="00297E57" w:rsidP="000A5389">
            <w:pPr>
              <w:spacing w:line="240" w:lineRule="auto"/>
              <w:jc w:val="center"/>
              <w:rPr>
                <w:rFonts w:eastAsia="Times New Roman" w:cs="Times New Roman"/>
                <w:color w:val="000000"/>
                <w:sz w:val="18"/>
                <w:szCs w:val="18"/>
                <w:lang w:eastAsia="es-CO"/>
              </w:rPr>
            </w:pPr>
            <w:r w:rsidRPr="0039091F">
              <w:rPr>
                <w:rFonts w:eastAsia="Times New Roman" w:cs="Times New Roman"/>
                <w:color w:val="000000"/>
                <w:sz w:val="18"/>
                <w:szCs w:val="18"/>
                <w:lang w:eastAsia="es-CO"/>
              </w:rPr>
              <w:t>2</w:t>
            </w:r>
          </w:p>
        </w:tc>
        <w:tc>
          <w:tcPr>
            <w:tcW w:w="527" w:type="pct"/>
            <w:vAlign w:val="center"/>
            <w:hideMark/>
          </w:tcPr>
          <w:p w14:paraId="23ADDD54" w14:textId="77777777" w:rsidR="00297E57" w:rsidRPr="0039091F" w:rsidRDefault="00297E57" w:rsidP="000A5389">
            <w:pPr>
              <w:spacing w:line="240" w:lineRule="auto"/>
              <w:jc w:val="center"/>
              <w:rPr>
                <w:rFonts w:eastAsia="Times New Roman" w:cs="Times New Roman"/>
                <w:color w:val="000000"/>
                <w:sz w:val="18"/>
                <w:szCs w:val="18"/>
                <w:lang w:eastAsia="es-CO"/>
              </w:rPr>
            </w:pPr>
            <w:r w:rsidRPr="0039091F">
              <w:rPr>
                <w:rFonts w:eastAsia="Times New Roman" w:cs="Times New Roman"/>
                <w:color w:val="000000"/>
                <w:sz w:val="18"/>
                <w:szCs w:val="18"/>
                <w:lang w:eastAsia="es-CO"/>
              </w:rPr>
              <w:t>6 de noviembre</w:t>
            </w:r>
          </w:p>
        </w:tc>
        <w:tc>
          <w:tcPr>
            <w:tcW w:w="640" w:type="pct"/>
            <w:vAlign w:val="center"/>
            <w:hideMark/>
          </w:tcPr>
          <w:p w14:paraId="6010B575" w14:textId="77777777" w:rsidR="00297E57" w:rsidRPr="0039091F" w:rsidRDefault="00297E57" w:rsidP="000A5389">
            <w:pPr>
              <w:spacing w:line="240" w:lineRule="auto"/>
              <w:jc w:val="center"/>
              <w:rPr>
                <w:rFonts w:eastAsia="Times New Roman" w:cs="Times New Roman"/>
                <w:color w:val="000000"/>
                <w:sz w:val="18"/>
                <w:szCs w:val="18"/>
                <w:lang w:eastAsia="es-CO"/>
              </w:rPr>
            </w:pPr>
            <w:r w:rsidRPr="0039091F">
              <w:rPr>
                <w:rFonts w:eastAsia="Times New Roman" w:cs="Times New Roman"/>
                <w:color w:val="000000"/>
                <w:sz w:val="18"/>
                <w:szCs w:val="18"/>
                <w:lang w:eastAsia="es-CO"/>
              </w:rPr>
              <w:t>1,3</w:t>
            </w:r>
          </w:p>
        </w:tc>
      </w:tr>
      <w:tr w:rsidR="00297E57" w:rsidRPr="0039091F" w14:paraId="74F1F57C" w14:textId="77777777" w:rsidTr="0039091F">
        <w:trPr>
          <w:trHeight w:val="283"/>
        </w:trPr>
        <w:tc>
          <w:tcPr>
            <w:tcW w:w="229" w:type="pct"/>
            <w:vAlign w:val="center"/>
            <w:hideMark/>
          </w:tcPr>
          <w:p w14:paraId="4765C202" w14:textId="77777777" w:rsidR="00297E57" w:rsidRPr="0039091F" w:rsidRDefault="00297E57" w:rsidP="000A5389">
            <w:pPr>
              <w:spacing w:line="240" w:lineRule="auto"/>
              <w:jc w:val="center"/>
              <w:rPr>
                <w:rFonts w:eastAsia="Times New Roman" w:cs="Times New Roman"/>
                <w:color w:val="000000"/>
                <w:sz w:val="18"/>
                <w:szCs w:val="18"/>
                <w:lang w:eastAsia="es-CO"/>
              </w:rPr>
            </w:pPr>
            <w:r w:rsidRPr="0039091F">
              <w:rPr>
                <w:rFonts w:eastAsia="Times New Roman" w:cs="Times New Roman"/>
                <w:color w:val="000000"/>
                <w:sz w:val="18"/>
                <w:szCs w:val="18"/>
                <w:lang w:eastAsia="es-CO"/>
              </w:rPr>
              <w:t>89</w:t>
            </w:r>
          </w:p>
        </w:tc>
        <w:tc>
          <w:tcPr>
            <w:tcW w:w="777" w:type="pct"/>
            <w:vAlign w:val="center"/>
            <w:hideMark/>
          </w:tcPr>
          <w:p w14:paraId="25D0A7E9" w14:textId="77777777" w:rsidR="00297E57" w:rsidRPr="0039091F" w:rsidRDefault="00297E57" w:rsidP="000A5389">
            <w:pPr>
              <w:spacing w:line="240" w:lineRule="auto"/>
              <w:rPr>
                <w:rFonts w:eastAsia="Times New Roman" w:cs="Times New Roman"/>
                <w:color w:val="000000"/>
                <w:sz w:val="18"/>
                <w:szCs w:val="18"/>
                <w:lang w:eastAsia="es-CO"/>
              </w:rPr>
            </w:pPr>
            <w:r w:rsidRPr="0039091F">
              <w:rPr>
                <w:rFonts w:eastAsia="Times New Roman" w:cs="Times New Roman"/>
                <w:color w:val="000000"/>
                <w:sz w:val="18"/>
                <w:szCs w:val="18"/>
                <w:lang w:eastAsia="es-CO"/>
              </w:rPr>
              <w:t>Eje 3 (Mujeres, inclusión y Diversidad) y Equidad de Genero</w:t>
            </w:r>
          </w:p>
        </w:tc>
        <w:tc>
          <w:tcPr>
            <w:tcW w:w="1320" w:type="pct"/>
            <w:vAlign w:val="center"/>
            <w:hideMark/>
          </w:tcPr>
          <w:p w14:paraId="50C65FAC" w14:textId="77777777" w:rsidR="00297E57" w:rsidRPr="0039091F" w:rsidRDefault="00297E57" w:rsidP="000A5389">
            <w:pPr>
              <w:spacing w:line="240" w:lineRule="auto"/>
              <w:rPr>
                <w:rFonts w:eastAsia="Times New Roman" w:cs="Times New Roman"/>
                <w:color w:val="000000"/>
                <w:sz w:val="18"/>
                <w:szCs w:val="18"/>
                <w:lang w:eastAsia="es-CO"/>
              </w:rPr>
            </w:pPr>
            <w:r w:rsidRPr="0039091F">
              <w:rPr>
                <w:rFonts w:eastAsia="Times New Roman" w:cs="Times New Roman"/>
                <w:color w:val="000000"/>
                <w:sz w:val="18"/>
                <w:szCs w:val="18"/>
                <w:lang w:eastAsia="es-CO"/>
              </w:rPr>
              <w:t>Capacitación en Prevención de la Violencia de Género y Promoción de Ambientes Seguros</w:t>
            </w:r>
          </w:p>
        </w:tc>
        <w:tc>
          <w:tcPr>
            <w:tcW w:w="1044" w:type="pct"/>
            <w:vAlign w:val="center"/>
            <w:hideMark/>
          </w:tcPr>
          <w:p w14:paraId="65513501" w14:textId="77777777" w:rsidR="00297E57" w:rsidRPr="0039091F" w:rsidRDefault="00297E57" w:rsidP="000A5389">
            <w:pPr>
              <w:spacing w:line="240" w:lineRule="auto"/>
              <w:jc w:val="center"/>
              <w:rPr>
                <w:rFonts w:eastAsia="Times New Roman" w:cs="Times New Roman"/>
                <w:color w:val="000000"/>
                <w:sz w:val="18"/>
                <w:szCs w:val="18"/>
                <w:lang w:eastAsia="es-CO"/>
              </w:rPr>
            </w:pPr>
            <w:r w:rsidRPr="0039091F">
              <w:rPr>
                <w:rFonts w:eastAsia="Times New Roman" w:cs="Times New Roman"/>
                <w:color w:val="000000"/>
                <w:sz w:val="18"/>
                <w:szCs w:val="18"/>
                <w:lang w:eastAsia="es-CO"/>
              </w:rPr>
              <w:t>Ministerio de Igualdad y Equidad</w:t>
            </w:r>
          </w:p>
        </w:tc>
        <w:tc>
          <w:tcPr>
            <w:tcW w:w="464" w:type="pct"/>
            <w:vAlign w:val="center"/>
            <w:hideMark/>
          </w:tcPr>
          <w:p w14:paraId="776B5A4D" w14:textId="77777777" w:rsidR="00297E57" w:rsidRPr="0039091F" w:rsidRDefault="00297E57" w:rsidP="000A5389">
            <w:pPr>
              <w:spacing w:line="240" w:lineRule="auto"/>
              <w:jc w:val="center"/>
              <w:rPr>
                <w:rFonts w:eastAsia="Times New Roman" w:cs="Times New Roman"/>
                <w:color w:val="000000"/>
                <w:sz w:val="18"/>
                <w:szCs w:val="18"/>
                <w:lang w:eastAsia="es-CO"/>
              </w:rPr>
            </w:pPr>
            <w:r w:rsidRPr="0039091F">
              <w:rPr>
                <w:rFonts w:eastAsia="Times New Roman" w:cs="Times New Roman"/>
                <w:color w:val="000000"/>
                <w:sz w:val="18"/>
                <w:szCs w:val="18"/>
                <w:lang w:eastAsia="es-CO"/>
              </w:rPr>
              <w:t>7</w:t>
            </w:r>
          </w:p>
        </w:tc>
        <w:tc>
          <w:tcPr>
            <w:tcW w:w="527" w:type="pct"/>
            <w:vAlign w:val="center"/>
            <w:hideMark/>
          </w:tcPr>
          <w:p w14:paraId="6C742E3C" w14:textId="77777777" w:rsidR="00297E57" w:rsidRPr="0039091F" w:rsidRDefault="00297E57" w:rsidP="000A5389">
            <w:pPr>
              <w:spacing w:line="240" w:lineRule="auto"/>
              <w:jc w:val="center"/>
              <w:rPr>
                <w:rFonts w:eastAsia="Times New Roman" w:cs="Times New Roman"/>
                <w:color w:val="000000"/>
                <w:sz w:val="18"/>
                <w:szCs w:val="18"/>
                <w:lang w:eastAsia="es-CO"/>
              </w:rPr>
            </w:pPr>
            <w:r w:rsidRPr="0039091F">
              <w:rPr>
                <w:rFonts w:eastAsia="Times New Roman" w:cs="Times New Roman"/>
                <w:color w:val="000000"/>
                <w:sz w:val="18"/>
                <w:szCs w:val="18"/>
                <w:lang w:eastAsia="es-CO"/>
              </w:rPr>
              <w:t>12 de noviembre</w:t>
            </w:r>
          </w:p>
        </w:tc>
        <w:tc>
          <w:tcPr>
            <w:tcW w:w="640" w:type="pct"/>
            <w:vAlign w:val="center"/>
            <w:hideMark/>
          </w:tcPr>
          <w:p w14:paraId="401EB426" w14:textId="77777777" w:rsidR="00297E57" w:rsidRPr="0039091F" w:rsidRDefault="00297E57" w:rsidP="000A5389">
            <w:pPr>
              <w:spacing w:line="240" w:lineRule="auto"/>
              <w:jc w:val="center"/>
              <w:rPr>
                <w:rFonts w:eastAsia="Times New Roman" w:cs="Times New Roman"/>
                <w:color w:val="000000"/>
                <w:sz w:val="18"/>
                <w:szCs w:val="18"/>
                <w:lang w:eastAsia="es-CO"/>
              </w:rPr>
            </w:pPr>
            <w:r w:rsidRPr="0039091F">
              <w:rPr>
                <w:rFonts w:eastAsia="Times New Roman" w:cs="Times New Roman"/>
                <w:color w:val="000000"/>
                <w:sz w:val="18"/>
                <w:szCs w:val="18"/>
                <w:lang w:eastAsia="es-CO"/>
              </w:rPr>
              <w:t>1,3</w:t>
            </w:r>
          </w:p>
        </w:tc>
      </w:tr>
      <w:tr w:rsidR="00297E57" w:rsidRPr="0039091F" w14:paraId="4A316EE1" w14:textId="77777777" w:rsidTr="0039091F">
        <w:trPr>
          <w:trHeight w:val="283"/>
        </w:trPr>
        <w:tc>
          <w:tcPr>
            <w:tcW w:w="229" w:type="pct"/>
            <w:vAlign w:val="center"/>
            <w:hideMark/>
          </w:tcPr>
          <w:p w14:paraId="01639488" w14:textId="77777777" w:rsidR="00297E57" w:rsidRPr="0039091F" w:rsidRDefault="00297E57" w:rsidP="000A5389">
            <w:pPr>
              <w:spacing w:line="240" w:lineRule="auto"/>
              <w:jc w:val="center"/>
              <w:rPr>
                <w:rFonts w:eastAsia="Times New Roman" w:cs="Times New Roman"/>
                <w:color w:val="000000"/>
                <w:sz w:val="18"/>
                <w:szCs w:val="18"/>
                <w:lang w:eastAsia="es-CO"/>
              </w:rPr>
            </w:pPr>
            <w:r w:rsidRPr="0039091F">
              <w:rPr>
                <w:rFonts w:eastAsia="Times New Roman" w:cs="Times New Roman"/>
                <w:color w:val="000000"/>
                <w:sz w:val="18"/>
                <w:szCs w:val="18"/>
                <w:lang w:eastAsia="es-CO"/>
              </w:rPr>
              <w:t>90</w:t>
            </w:r>
          </w:p>
        </w:tc>
        <w:tc>
          <w:tcPr>
            <w:tcW w:w="777" w:type="pct"/>
            <w:vAlign w:val="center"/>
            <w:hideMark/>
          </w:tcPr>
          <w:p w14:paraId="6445C9E5" w14:textId="77777777" w:rsidR="00297E57" w:rsidRPr="0039091F" w:rsidRDefault="00297E57" w:rsidP="000A5389">
            <w:pPr>
              <w:spacing w:line="240" w:lineRule="auto"/>
              <w:rPr>
                <w:rFonts w:eastAsia="Times New Roman" w:cs="Times New Roman"/>
                <w:color w:val="000000"/>
                <w:sz w:val="18"/>
                <w:szCs w:val="18"/>
                <w:lang w:eastAsia="es-CO"/>
              </w:rPr>
            </w:pPr>
            <w:r w:rsidRPr="0039091F">
              <w:rPr>
                <w:rFonts w:eastAsia="Times New Roman" w:cs="Times New Roman"/>
                <w:color w:val="000000"/>
                <w:sz w:val="18"/>
                <w:szCs w:val="18"/>
                <w:lang w:eastAsia="es-CO"/>
              </w:rPr>
              <w:t>Eje 2 (Territorio, Vida y Ambiente) y Ambiental</w:t>
            </w:r>
          </w:p>
        </w:tc>
        <w:tc>
          <w:tcPr>
            <w:tcW w:w="1320" w:type="pct"/>
            <w:vAlign w:val="center"/>
            <w:hideMark/>
          </w:tcPr>
          <w:p w14:paraId="645F41A3" w14:textId="77777777" w:rsidR="00297E57" w:rsidRPr="0039091F" w:rsidRDefault="00297E57" w:rsidP="000A5389">
            <w:pPr>
              <w:spacing w:line="240" w:lineRule="auto"/>
              <w:rPr>
                <w:rFonts w:eastAsia="Times New Roman" w:cs="Times New Roman"/>
                <w:color w:val="000000"/>
                <w:sz w:val="18"/>
                <w:szCs w:val="18"/>
                <w:lang w:eastAsia="es-CO"/>
              </w:rPr>
            </w:pPr>
            <w:r w:rsidRPr="0039091F">
              <w:rPr>
                <w:rFonts w:eastAsia="Times New Roman" w:cs="Times New Roman"/>
                <w:color w:val="000000"/>
                <w:sz w:val="18"/>
                <w:szCs w:val="18"/>
                <w:lang w:eastAsia="es-CO"/>
              </w:rPr>
              <w:t>Capacitación Huella Ecológica -Sede Principal</w:t>
            </w:r>
          </w:p>
        </w:tc>
        <w:tc>
          <w:tcPr>
            <w:tcW w:w="1044" w:type="pct"/>
            <w:vAlign w:val="center"/>
            <w:hideMark/>
          </w:tcPr>
          <w:p w14:paraId="356601A7" w14:textId="77777777" w:rsidR="00297E57" w:rsidRPr="0039091F" w:rsidRDefault="00297E57" w:rsidP="000A5389">
            <w:pPr>
              <w:spacing w:line="240" w:lineRule="auto"/>
              <w:jc w:val="center"/>
              <w:rPr>
                <w:rFonts w:eastAsia="Times New Roman" w:cs="Times New Roman"/>
                <w:color w:val="000000"/>
                <w:sz w:val="18"/>
                <w:szCs w:val="18"/>
                <w:lang w:eastAsia="es-CO"/>
              </w:rPr>
            </w:pPr>
            <w:r w:rsidRPr="0039091F">
              <w:rPr>
                <w:rFonts w:eastAsia="Times New Roman" w:cs="Times New Roman"/>
                <w:color w:val="000000"/>
                <w:sz w:val="18"/>
                <w:szCs w:val="18"/>
                <w:lang w:eastAsia="es-CO"/>
              </w:rPr>
              <w:t>Secretaría Distrital de Ambiente (SDA)</w:t>
            </w:r>
          </w:p>
        </w:tc>
        <w:tc>
          <w:tcPr>
            <w:tcW w:w="464" w:type="pct"/>
            <w:vAlign w:val="center"/>
            <w:hideMark/>
          </w:tcPr>
          <w:p w14:paraId="255A2BAD" w14:textId="77777777" w:rsidR="00297E57" w:rsidRPr="0039091F" w:rsidRDefault="00297E57" w:rsidP="000A5389">
            <w:pPr>
              <w:spacing w:line="240" w:lineRule="auto"/>
              <w:jc w:val="center"/>
              <w:rPr>
                <w:rFonts w:eastAsia="Times New Roman" w:cs="Times New Roman"/>
                <w:color w:val="000000"/>
                <w:sz w:val="18"/>
                <w:szCs w:val="18"/>
                <w:lang w:eastAsia="es-CO"/>
              </w:rPr>
            </w:pPr>
            <w:r w:rsidRPr="0039091F">
              <w:rPr>
                <w:rFonts w:eastAsia="Times New Roman" w:cs="Times New Roman"/>
                <w:color w:val="000000"/>
                <w:sz w:val="18"/>
                <w:szCs w:val="18"/>
                <w:lang w:eastAsia="es-CO"/>
              </w:rPr>
              <w:t>7</w:t>
            </w:r>
          </w:p>
        </w:tc>
        <w:tc>
          <w:tcPr>
            <w:tcW w:w="527" w:type="pct"/>
            <w:vAlign w:val="center"/>
            <w:hideMark/>
          </w:tcPr>
          <w:p w14:paraId="0F4A54AE" w14:textId="77777777" w:rsidR="00297E57" w:rsidRPr="0039091F" w:rsidRDefault="00297E57" w:rsidP="000A5389">
            <w:pPr>
              <w:spacing w:line="240" w:lineRule="auto"/>
              <w:jc w:val="center"/>
              <w:rPr>
                <w:rFonts w:eastAsia="Times New Roman" w:cs="Times New Roman"/>
                <w:color w:val="000000"/>
                <w:sz w:val="18"/>
                <w:szCs w:val="18"/>
                <w:lang w:eastAsia="es-CO"/>
              </w:rPr>
            </w:pPr>
            <w:r w:rsidRPr="0039091F">
              <w:rPr>
                <w:rFonts w:eastAsia="Times New Roman" w:cs="Times New Roman"/>
                <w:color w:val="000000"/>
                <w:sz w:val="18"/>
                <w:szCs w:val="18"/>
                <w:lang w:eastAsia="es-CO"/>
              </w:rPr>
              <w:t>13 de noviembre</w:t>
            </w:r>
          </w:p>
        </w:tc>
        <w:tc>
          <w:tcPr>
            <w:tcW w:w="640" w:type="pct"/>
            <w:vAlign w:val="center"/>
            <w:hideMark/>
          </w:tcPr>
          <w:p w14:paraId="319F5FF8" w14:textId="77777777" w:rsidR="00297E57" w:rsidRPr="0039091F" w:rsidRDefault="00297E57" w:rsidP="000A5389">
            <w:pPr>
              <w:spacing w:line="240" w:lineRule="auto"/>
              <w:jc w:val="center"/>
              <w:rPr>
                <w:rFonts w:eastAsia="Times New Roman" w:cs="Times New Roman"/>
                <w:color w:val="000000"/>
                <w:sz w:val="18"/>
                <w:szCs w:val="18"/>
                <w:lang w:eastAsia="es-CO"/>
              </w:rPr>
            </w:pPr>
            <w:r w:rsidRPr="0039091F">
              <w:rPr>
                <w:rFonts w:eastAsia="Times New Roman" w:cs="Times New Roman"/>
                <w:color w:val="000000"/>
                <w:sz w:val="18"/>
                <w:szCs w:val="18"/>
                <w:lang w:eastAsia="es-CO"/>
              </w:rPr>
              <w:t>1</w:t>
            </w:r>
          </w:p>
        </w:tc>
      </w:tr>
      <w:tr w:rsidR="00297E57" w:rsidRPr="0039091F" w14:paraId="2EA523A2" w14:textId="77777777" w:rsidTr="0039091F">
        <w:trPr>
          <w:trHeight w:val="283"/>
        </w:trPr>
        <w:tc>
          <w:tcPr>
            <w:tcW w:w="229" w:type="pct"/>
            <w:vAlign w:val="center"/>
            <w:hideMark/>
          </w:tcPr>
          <w:p w14:paraId="65779A02" w14:textId="77777777" w:rsidR="00297E57" w:rsidRPr="0039091F" w:rsidRDefault="00297E57" w:rsidP="000A5389">
            <w:pPr>
              <w:spacing w:line="240" w:lineRule="auto"/>
              <w:jc w:val="center"/>
              <w:rPr>
                <w:rFonts w:eastAsia="Times New Roman" w:cs="Times New Roman"/>
                <w:color w:val="000000"/>
                <w:sz w:val="18"/>
                <w:szCs w:val="18"/>
                <w:lang w:eastAsia="es-CO"/>
              </w:rPr>
            </w:pPr>
            <w:r w:rsidRPr="0039091F">
              <w:rPr>
                <w:rFonts w:eastAsia="Times New Roman" w:cs="Times New Roman"/>
                <w:color w:val="000000"/>
                <w:sz w:val="18"/>
                <w:szCs w:val="18"/>
                <w:lang w:eastAsia="es-CO"/>
              </w:rPr>
              <w:t>91</w:t>
            </w:r>
          </w:p>
        </w:tc>
        <w:tc>
          <w:tcPr>
            <w:tcW w:w="777" w:type="pct"/>
            <w:vAlign w:val="center"/>
            <w:hideMark/>
          </w:tcPr>
          <w:p w14:paraId="385C2AA0" w14:textId="77777777" w:rsidR="00297E57" w:rsidRPr="0039091F" w:rsidRDefault="00297E57" w:rsidP="000A5389">
            <w:pPr>
              <w:spacing w:line="240" w:lineRule="auto"/>
              <w:rPr>
                <w:rFonts w:eastAsia="Times New Roman" w:cs="Times New Roman"/>
                <w:color w:val="000000"/>
                <w:sz w:val="18"/>
                <w:szCs w:val="18"/>
                <w:lang w:eastAsia="es-CO"/>
              </w:rPr>
            </w:pPr>
            <w:r w:rsidRPr="0039091F">
              <w:rPr>
                <w:rFonts w:eastAsia="Times New Roman" w:cs="Times New Roman"/>
                <w:color w:val="000000"/>
                <w:sz w:val="18"/>
                <w:szCs w:val="18"/>
                <w:lang w:eastAsia="es-CO"/>
              </w:rPr>
              <w:t>Seguridad y Salud en el Trabajo</w:t>
            </w:r>
          </w:p>
        </w:tc>
        <w:tc>
          <w:tcPr>
            <w:tcW w:w="1320" w:type="pct"/>
            <w:vAlign w:val="center"/>
            <w:hideMark/>
          </w:tcPr>
          <w:p w14:paraId="42DC052E" w14:textId="77777777" w:rsidR="00297E57" w:rsidRPr="0039091F" w:rsidRDefault="00297E57" w:rsidP="000A5389">
            <w:pPr>
              <w:spacing w:line="240" w:lineRule="auto"/>
              <w:rPr>
                <w:rFonts w:eastAsia="Times New Roman" w:cs="Times New Roman"/>
                <w:color w:val="000000"/>
                <w:sz w:val="18"/>
                <w:szCs w:val="18"/>
                <w:lang w:eastAsia="es-CO"/>
              </w:rPr>
            </w:pPr>
            <w:r w:rsidRPr="0039091F">
              <w:rPr>
                <w:rFonts w:eastAsia="Times New Roman" w:cs="Times New Roman"/>
                <w:color w:val="000000"/>
                <w:sz w:val="18"/>
                <w:szCs w:val="18"/>
                <w:lang w:eastAsia="es-CO"/>
              </w:rPr>
              <w:t>Capacitación en Nutrición saludable</w:t>
            </w:r>
          </w:p>
        </w:tc>
        <w:tc>
          <w:tcPr>
            <w:tcW w:w="1044" w:type="pct"/>
            <w:vAlign w:val="center"/>
            <w:hideMark/>
          </w:tcPr>
          <w:p w14:paraId="0DBF9360" w14:textId="77777777" w:rsidR="00297E57" w:rsidRPr="0039091F" w:rsidRDefault="00297E57" w:rsidP="000A5389">
            <w:pPr>
              <w:spacing w:line="240" w:lineRule="auto"/>
              <w:jc w:val="center"/>
              <w:rPr>
                <w:rFonts w:eastAsia="Times New Roman" w:cs="Times New Roman"/>
                <w:color w:val="000000"/>
                <w:sz w:val="18"/>
                <w:szCs w:val="18"/>
                <w:lang w:eastAsia="es-CO"/>
              </w:rPr>
            </w:pPr>
            <w:r w:rsidRPr="0039091F">
              <w:rPr>
                <w:rFonts w:eastAsia="Times New Roman" w:cs="Times New Roman"/>
                <w:color w:val="000000"/>
                <w:sz w:val="18"/>
                <w:szCs w:val="18"/>
                <w:lang w:eastAsia="es-CO"/>
              </w:rPr>
              <w:t>ARL POSITIVA</w:t>
            </w:r>
          </w:p>
        </w:tc>
        <w:tc>
          <w:tcPr>
            <w:tcW w:w="464" w:type="pct"/>
            <w:vAlign w:val="center"/>
            <w:hideMark/>
          </w:tcPr>
          <w:p w14:paraId="09857F4D" w14:textId="77777777" w:rsidR="00297E57" w:rsidRPr="0039091F" w:rsidRDefault="00297E57" w:rsidP="000A5389">
            <w:pPr>
              <w:spacing w:line="240" w:lineRule="auto"/>
              <w:jc w:val="center"/>
              <w:rPr>
                <w:rFonts w:eastAsia="Times New Roman" w:cs="Times New Roman"/>
                <w:color w:val="000000"/>
                <w:sz w:val="18"/>
                <w:szCs w:val="18"/>
                <w:lang w:eastAsia="es-CO"/>
              </w:rPr>
            </w:pPr>
            <w:r w:rsidRPr="0039091F">
              <w:rPr>
                <w:rFonts w:eastAsia="Times New Roman" w:cs="Times New Roman"/>
                <w:color w:val="000000"/>
                <w:sz w:val="18"/>
                <w:szCs w:val="18"/>
                <w:lang w:eastAsia="es-CO"/>
              </w:rPr>
              <w:t>18</w:t>
            </w:r>
          </w:p>
        </w:tc>
        <w:tc>
          <w:tcPr>
            <w:tcW w:w="527" w:type="pct"/>
            <w:vAlign w:val="center"/>
            <w:hideMark/>
          </w:tcPr>
          <w:p w14:paraId="61717401" w14:textId="77777777" w:rsidR="00297E57" w:rsidRPr="0039091F" w:rsidRDefault="00297E57" w:rsidP="000A5389">
            <w:pPr>
              <w:spacing w:line="240" w:lineRule="auto"/>
              <w:jc w:val="center"/>
              <w:rPr>
                <w:rFonts w:eastAsia="Times New Roman" w:cs="Times New Roman"/>
                <w:color w:val="000000"/>
                <w:sz w:val="18"/>
                <w:szCs w:val="18"/>
                <w:lang w:eastAsia="es-CO"/>
              </w:rPr>
            </w:pPr>
            <w:r w:rsidRPr="0039091F">
              <w:rPr>
                <w:rFonts w:eastAsia="Times New Roman" w:cs="Times New Roman"/>
                <w:color w:val="000000"/>
                <w:sz w:val="18"/>
                <w:szCs w:val="18"/>
                <w:lang w:eastAsia="es-CO"/>
              </w:rPr>
              <w:t>18 de noviembre</w:t>
            </w:r>
          </w:p>
        </w:tc>
        <w:tc>
          <w:tcPr>
            <w:tcW w:w="640" w:type="pct"/>
            <w:vAlign w:val="center"/>
            <w:hideMark/>
          </w:tcPr>
          <w:p w14:paraId="587C2BB2" w14:textId="77777777" w:rsidR="00297E57" w:rsidRPr="0039091F" w:rsidRDefault="00297E57" w:rsidP="000A5389">
            <w:pPr>
              <w:spacing w:line="240" w:lineRule="auto"/>
              <w:jc w:val="center"/>
              <w:rPr>
                <w:rFonts w:eastAsia="Times New Roman" w:cs="Times New Roman"/>
                <w:color w:val="000000"/>
                <w:sz w:val="18"/>
                <w:szCs w:val="18"/>
                <w:lang w:eastAsia="es-CO"/>
              </w:rPr>
            </w:pPr>
            <w:r w:rsidRPr="0039091F">
              <w:rPr>
                <w:rFonts w:eastAsia="Times New Roman" w:cs="Times New Roman"/>
                <w:color w:val="000000"/>
                <w:sz w:val="18"/>
                <w:szCs w:val="18"/>
                <w:lang w:eastAsia="es-CO"/>
              </w:rPr>
              <w:t>1 hora</w:t>
            </w:r>
          </w:p>
        </w:tc>
      </w:tr>
      <w:tr w:rsidR="00297E57" w:rsidRPr="0039091F" w14:paraId="6352CD1B" w14:textId="77777777" w:rsidTr="0039091F">
        <w:trPr>
          <w:trHeight w:val="283"/>
        </w:trPr>
        <w:tc>
          <w:tcPr>
            <w:tcW w:w="229" w:type="pct"/>
            <w:vAlign w:val="center"/>
            <w:hideMark/>
          </w:tcPr>
          <w:p w14:paraId="1054BAC6" w14:textId="77777777" w:rsidR="00297E57" w:rsidRPr="0039091F" w:rsidRDefault="00297E57" w:rsidP="000A5389">
            <w:pPr>
              <w:spacing w:line="240" w:lineRule="auto"/>
              <w:jc w:val="center"/>
              <w:rPr>
                <w:rFonts w:eastAsia="Times New Roman" w:cs="Times New Roman"/>
                <w:color w:val="000000"/>
                <w:sz w:val="18"/>
                <w:szCs w:val="18"/>
                <w:lang w:eastAsia="es-CO"/>
              </w:rPr>
            </w:pPr>
            <w:r w:rsidRPr="0039091F">
              <w:rPr>
                <w:rFonts w:eastAsia="Times New Roman" w:cs="Times New Roman"/>
                <w:color w:val="000000"/>
                <w:sz w:val="18"/>
                <w:szCs w:val="18"/>
                <w:lang w:eastAsia="es-CO"/>
              </w:rPr>
              <w:t>92</w:t>
            </w:r>
          </w:p>
        </w:tc>
        <w:tc>
          <w:tcPr>
            <w:tcW w:w="777" w:type="pct"/>
            <w:vAlign w:val="center"/>
            <w:hideMark/>
          </w:tcPr>
          <w:p w14:paraId="1D8DE4E5" w14:textId="77777777" w:rsidR="00297E57" w:rsidRPr="0039091F" w:rsidRDefault="00297E57" w:rsidP="000A5389">
            <w:pPr>
              <w:spacing w:line="240" w:lineRule="auto"/>
              <w:rPr>
                <w:rFonts w:eastAsia="Times New Roman" w:cs="Times New Roman"/>
                <w:color w:val="000000"/>
                <w:sz w:val="18"/>
                <w:szCs w:val="18"/>
                <w:lang w:eastAsia="es-CO"/>
              </w:rPr>
            </w:pPr>
            <w:r w:rsidRPr="0039091F">
              <w:rPr>
                <w:rFonts w:eastAsia="Times New Roman" w:cs="Times New Roman"/>
                <w:color w:val="000000"/>
                <w:sz w:val="18"/>
                <w:szCs w:val="18"/>
                <w:lang w:eastAsia="es-CO"/>
              </w:rPr>
              <w:t>Seguridad y Salud en el Trabajo</w:t>
            </w:r>
          </w:p>
        </w:tc>
        <w:tc>
          <w:tcPr>
            <w:tcW w:w="1320" w:type="pct"/>
            <w:vAlign w:val="center"/>
            <w:hideMark/>
          </w:tcPr>
          <w:p w14:paraId="6792EA0C" w14:textId="77777777" w:rsidR="00297E57" w:rsidRPr="0039091F" w:rsidRDefault="00297E57" w:rsidP="000A5389">
            <w:pPr>
              <w:spacing w:line="240" w:lineRule="auto"/>
              <w:rPr>
                <w:rFonts w:eastAsia="Times New Roman" w:cs="Times New Roman"/>
                <w:color w:val="000000"/>
                <w:sz w:val="18"/>
                <w:szCs w:val="18"/>
                <w:lang w:eastAsia="es-CO"/>
              </w:rPr>
            </w:pPr>
            <w:r w:rsidRPr="0039091F">
              <w:rPr>
                <w:rFonts w:eastAsia="Times New Roman" w:cs="Times New Roman"/>
                <w:color w:val="000000"/>
                <w:sz w:val="18"/>
                <w:szCs w:val="18"/>
                <w:lang w:eastAsia="es-CO"/>
              </w:rPr>
              <w:t>Capacitación en Relaciones Sociales en el Trabajo y manejo de emociones y relaciones personales</w:t>
            </w:r>
          </w:p>
        </w:tc>
        <w:tc>
          <w:tcPr>
            <w:tcW w:w="1044" w:type="pct"/>
            <w:vAlign w:val="center"/>
            <w:hideMark/>
          </w:tcPr>
          <w:p w14:paraId="0A29CBCB" w14:textId="77777777" w:rsidR="00297E57" w:rsidRPr="0039091F" w:rsidRDefault="00297E57" w:rsidP="000A5389">
            <w:pPr>
              <w:spacing w:line="240" w:lineRule="auto"/>
              <w:jc w:val="center"/>
              <w:rPr>
                <w:rFonts w:eastAsia="Times New Roman" w:cs="Times New Roman"/>
                <w:color w:val="000000"/>
                <w:sz w:val="18"/>
                <w:szCs w:val="18"/>
                <w:lang w:eastAsia="es-CO"/>
              </w:rPr>
            </w:pPr>
            <w:r w:rsidRPr="0039091F">
              <w:rPr>
                <w:rFonts w:eastAsia="Times New Roman" w:cs="Times New Roman"/>
                <w:color w:val="000000"/>
                <w:sz w:val="18"/>
                <w:szCs w:val="18"/>
                <w:lang w:eastAsia="es-CO"/>
              </w:rPr>
              <w:t>ARL POSITIVA</w:t>
            </w:r>
          </w:p>
        </w:tc>
        <w:tc>
          <w:tcPr>
            <w:tcW w:w="464" w:type="pct"/>
            <w:vAlign w:val="center"/>
            <w:hideMark/>
          </w:tcPr>
          <w:p w14:paraId="007BE0C6" w14:textId="77777777" w:rsidR="00297E57" w:rsidRPr="0039091F" w:rsidRDefault="00297E57" w:rsidP="000A5389">
            <w:pPr>
              <w:spacing w:line="240" w:lineRule="auto"/>
              <w:jc w:val="center"/>
              <w:rPr>
                <w:rFonts w:eastAsia="Times New Roman" w:cs="Times New Roman"/>
                <w:color w:val="000000"/>
                <w:sz w:val="18"/>
                <w:szCs w:val="18"/>
                <w:lang w:eastAsia="es-CO"/>
              </w:rPr>
            </w:pPr>
            <w:r w:rsidRPr="0039091F">
              <w:rPr>
                <w:rFonts w:eastAsia="Times New Roman" w:cs="Times New Roman"/>
                <w:color w:val="000000"/>
                <w:sz w:val="18"/>
                <w:szCs w:val="18"/>
                <w:lang w:eastAsia="es-CO"/>
              </w:rPr>
              <w:t>22</w:t>
            </w:r>
          </w:p>
        </w:tc>
        <w:tc>
          <w:tcPr>
            <w:tcW w:w="527" w:type="pct"/>
            <w:vAlign w:val="center"/>
            <w:hideMark/>
          </w:tcPr>
          <w:p w14:paraId="2B6ABDFC" w14:textId="77777777" w:rsidR="00297E57" w:rsidRPr="0039091F" w:rsidRDefault="00297E57" w:rsidP="000A5389">
            <w:pPr>
              <w:spacing w:line="240" w:lineRule="auto"/>
              <w:jc w:val="center"/>
              <w:rPr>
                <w:rFonts w:eastAsia="Times New Roman" w:cs="Times New Roman"/>
                <w:color w:val="000000"/>
                <w:sz w:val="18"/>
                <w:szCs w:val="18"/>
                <w:lang w:eastAsia="es-CO"/>
              </w:rPr>
            </w:pPr>
            <w:r w:rsidRPr="0039091F">
              <w:rPr>
                <w:rFonts w:eastAsia="Times New Roman" w:cs="Times New Roman"/>
                <w:color w:val="000000"/>
                <w:sz w:val="18"/>
                <w:szCs w:val="18"/>
                <w:lang w:eastAsia="es-CO"/>
              </w:rPr>
              <w:t>19 de noviembre</w:t>
            </w:r>
          </w:p>
        </w:tc>
        <w:tc>
          <w:tcPr>
            <w:tcW w:w="640" w:type="pct"/>
            <w:vAlign w:val="center"/>
            <w:hideMark/>
          </w:tcPr>
          <w:p w14:paraId="39072CEA" w14:textId="77777777" w:rsidR="00297E57" w:rsidRPr="0039091F" w:rsidRDefault="00297E57" w:rsidP="000A5389">
            <w:pPr>
              <w:spacing w:line="240" w:lineRule="auto"/>
              <w:jc w:val="center"/>
              <w:rPr>
                <w:rFonts w:eastAsia="Times New Roman" w:cs="Times New Roman"/>
                <w:color w:val="000000"/>
                <w:sz w:val="18"/>
                <w:szCs w:val="18"/>
                <w:lang w:eastAsia="es-CO"/>
              </w:rPr>
            </w:pPr>
            <w:r w:rsidRPr="0039091F">
              <w:rPr>
                <w:rFonts w:eastAsia="Times New Roman" w:cs="Times New Roman"/>
                <w:color w:val="000000"/>
                <w:sz w:val="18"/>
                <w:szCs w:val="18"/>
                <w:lang w:eastAsia="es-CO"/>
              </w:rPr>
              <w:t>1</w:t>
            </w:r>
          </w:p>
        </w:tc>
      </w:tr>
      <w:tr w:rsidR="00297E57" w:rsidRPr="0039091F" w14:paraId="129E1FCA" w14:textId="77777777" w:rsidTr="0039091F">
        <w:trPr>
          <w:trHeight w:val="283"/>
        </w:trPr>
        <w:tc>
          <w:tcPr>
            <w:tcW w:w="229" w:type="pct"/>
            <w:vAlign w:val="center"/>
            <w:hideMark/>
          </w:tcPr>
          <w:p w14:paraId="7A9380E3" w14:textId="77777777" w:rsidR="00297E57" w:rsidRPr="0039091F" w:rsidRDefault="00297E57" w:rsidP="000A5389">
            <w:pPr>
              <w:spacing w:line="240" w:lineRule="auto"/>
              <w:jc w:val="center"/>
              <w:rPr>
                <w:rFonts w:eastAsia="Times New Roman" w:cs="Times New Roman"/>
                <w:color w:val="000000"/>
                <w:sz w:val="18"/>
                <w:szCs w:val="18"/>
                <w:lang w:eastAsia="es-CO"/>
              </w:rPr>
            </w:pPr>
            <w:r w:rsidRPr="0039091F">
              <w:rPr>
                <w:rFonts w:eastAsia="Times New Roman" w:cs="Times New Roman"/>
                <w:color w:val="000000"/>
                <w:sz w:val="18"/>
                <w:szCs w:val="18"/>
                <w:lang w:eastAsia="es-CO"/>
              </w:rPr>
              <w:t>93</w:t>
            </w:r>
          </w:p>
        </w:tc>
        <w:tc>
          <w:tcPr>
            <w:tcW w:w="777" w:type="pct"/>
            <w:vAlign w:val="center"/>
            <w:hideMark/>
          </w:tcPr>
          <w:p w14:paraId="07C47CE1" w14:textId="77777777" w:rsidR="00297E57" w:rsidRPr="0039091F" w:rsidRDefault="00297E57" w:rsidP="000A5389">
            <w:pPr>
              <w:spacing w:line="240" w:lineRule="auto"/>
              <w:rPr>
                <w:rFonts w:eastAsia="Times New Roman" w:cs="Times New Roman"/>
                <w:color w:val="000000"/>
                <w:sz w:val="18"/>
                <w:szCs w:val="18"/>
                <w:lang w:eastAsia="es-CO"/>
              </w:rPr>
            </w:pPr>
            <w:r w:rsidRPr="0039091F">
              <w:rPr>
                <w:rFonts w:eastAsia="Times New Roman" w:cs="Times New Roman"/>
                <w:color w:val="000000"/>
                <w:sz w:val="18"/>
                <w:szCs w:val="18"/>
                <w:lang w:eastAsia="es-CO"/>
              </w:rPr>
              <w:t>Seguridad y Salud en el Trabajo</w:t>
            </w:r>
          </w:p>
        </w:tc>
        <w:tc>
          <w:tcPr>
            <w:tcW w:w="1320" w:type="pct"/>
            <w:vAlign w:val="center"/>
            <w:hideMark/>
          </w:tcPr>
          <w:p w14:paraId="17F77352" w14:textId="77777777" w:rsidR="00297E57" w:rsidRPr="0039091F" w:rsidRDefault="00297E57" w:rsidP="000A5389">
            <w:pPr>
              <w:spacing w:line="240" w:lineRule="auto"/>
              <w:rPr>
                <w:rFonts w:eastAsia="Times New Roman" w:cs="Times New Roman"/>
                <w:color w:val="000000"/>
                <w:sz w:val="18"/>
                <w:szCs w:val="18"/>
                <w:lang w:eastAsia="es-CO"/>
              </w:rPr>
            </w:pPr>
            <w:r w:rsidRPr="0039091F">
              <w:rPr>
                <w:rFonts w:eastAsia="Times New Roman" w:cs="Times New Roman"/>
                <w:color w:val="000000"/>
                <w:sz w:val="18"/>
                <w:szCs w:val="18"/>
                <w:lang w:eastAsia="es-CO"/>
              </w:rPr>
              <w:t>Capacitación prevención consumo SPA</w:t>
            </w:r>
          </w:p>
        </w:tc>
        <w:tc>
          <w:tcPr>
            <w:tcW w:w="1044" w:type="pct"/>
            <w:vAlign w:val="center"/>
            <w:hideMark/>
          </w:tcPr>
          <w:p w14:paraId="0B0FD161" w14:textId="77777777" w:rsidR="00297E57" w:rsidRPr="0039091F" w:rsidRDefault="00297E57" w:rsidP="000A5389">
            <w:pPr>
              <w:spacing w:line="240" w:lineRule="auto"/>
              <w:jc w:val="center"/>
              <w:rPr>
                <w:rFonts w:eastAsia="Times New Roman" w:cs="Times New Roman"/>
                <w:color w:val="000000"/>
                <w:sz w:val="18"/>
                <w:szCs w:val="18"/>
                <w:lang w:eastAsia="es-CO"/>
              </w:rPr>
            </w:pPr>
            <w:r w:rsidRPr="0039091F">
              <w:rPr>
                <w:rFonts w:eastAsia="Times New Roman" w:cs="Times New Roman"/>
                <w:color w:val="000000"/>
                <w:sz w:val="18"/>
                <w:szCs w:val="18"/>
                <w:lang w:eastAsia="es-CO"/>
              </w:rPr>
              <w:t>ARL POSITIVA</w:t>
            </w:r>
          </w:p>
        </w:tc>
        <w:tc>
          <w:tcPr>
            <w:tcW w:w="464" w:type="pct"/>
            <w:vAlign w:val="center"/>
            <w:hideMark/>
          </w:tcPr>
          <w:p w14:paraId="78E03FBD" w14:textId="77777777" w:rsidR="00297E57" w:rsidRPr="0039091F" w:rsidRDefault="00297E57" w:rsidP="000A5389">
            <w:pPr>
              <w:spacing w:line="240" w:lineRule="auto"/>
              <w:jc w:val="center"/>
              <w:rPr>
                <w:rFonts w:eastAsia="Times New Roman" w:cs="Times New Roman"/>
                <w:color w:val="000000"/>
                <w:sz w:val="18"/>
                <w:szCs w:val="18"/>
                <w:lang w:eastAsia="es-CO"/>
              </w:rPr>
            </w:pPr>
            <w:r w:rsidRPr="0039091F">
              <w:rPr>
                <w:rFonts w:eastAsia="Times New Roman" w:cs="Times New Roman"/>
                <w:color w:val="000000"/>
                <w:sz w:val="18"/>
                <w:szCs w:val="18"/>
                <w:lang w:eastAsia="es-CO"/>
              </w:rPr>
              <w:t>13</w:t>
            </w:r>
          </w:p>
        </w:tc>
        <w:tc>
          <w:tcPr>
            <w:tcW w:w="527" w:type="pct"/>
            <w:vAlign w:val="center"/>
            <w:hideMark/>
          </w:tcPr>
          <w:p w14:paraId="4DFA3D21" w14:textId="77777777" w:rsidR="00297E57" w:rsidRPr="0039091F" w:rsidRDefault="00297E57" w:rsidP="000A5389">
            <w:pPr>
              <w:spacing w:line="240" w:lineRule="auto"/>
              <w:jc w:val="center"/>
              <w:rPr>
                <w:rFonts w:eastAsia="Times New Roman" w:cs="Times New Roman"/>
                <w:color w:val="000000"/>
                <w:sz w:val="18"/>
                <w:szCs w:val="18"/>
                <w:lang w:eastAsia="es-CO"/>
              </w:rPr>
            </w:pPr>
            <w:r w:rsidRPr="0039091F">
              <w:rPr>
                <w:rFonts w:eastAsia="Times New Roman" w:cs="Times New Roman"/>
                <w:color w:val="000000"/>
                <w:sz w:val="18"/>
                <w:szCs w:val="18"/>
                <w:lang w:eastAsia="es-CO"/>
              </w:rPr>
              <w:t>25 de noviembre</w:t>
            </w:r>
          </w:p>
        </w:tc>
        <w:tc>
          <w:tcPr>
            <w:tcW w:w="640" w:type="pct"/>
            <w:vAlign w:val="center"/>
            <w:hideMark/>
          </w:tcPr>
          <w:p w14:paraId="1408046A" w14:textId="77777777" w:rsidR="00297E57" w:rsidRPr="0039091F" w:rsidRDefault="00297E57" w:rsidP="000A5389">
            <w:pPr>
              <w:spacing w:line="240" w:lineRule="auto"/>
              <w:jc w:val="center"/>
              <w:rPr>
                <w:rFonts w:eastAsia="Times New Roman" w:cs="Times New Roman"/>
                <w:color w:val="000000"/>
                <w:sz w:val="18"/>
                <w:szCs w:val="18"/>
                <w:lang w:eastAsia="es-CO"/>
              </w:rPr>
            </w:pPr>
            <w:r w:rsidRPr="0039091F">
              <w:rPr>
                <w:rFonts w:eastAsia="Times New Roman" w:cs="Times New Roman"/>
                <w:color w:val="000000"/>
                <w:sz w:val="18"/>
                <w:szCs w:val="18"/>
                <w:lang w:eastAsia="es-CO"/>
              </w:rPr>
              <w:t>1</w:t>
            </w:r>
          </w:p>
        </w:tc>
      </w:tr>
      <w:tr w:rsidR="00297E57" w:rsidRPr="0039091F" w14:paraId="30A9837C" w14:textId="77777777" w:rsidTr="0039091F">
        <w:trPr>
          <w:trHeight w:val="283"/>
        </w:trPr>
        <w:tc>
          <w:tcPr>
            <w:tcW w:w="229" w:type="pct"/>
            <w:vAlign w:val="center"/>
            <w:hideMark/>
          </w:tcPr>
          <w:p w14:paraId="57365495" w14:textId="77777777" w:rsidR="00297E57" w:rsidRPr="0039091F" w:rsidRDefault="00297E57" w:rsidP="000A5389">
            <w:pPr>
              <w:spacing w:line="240" w:lineRule="auto"/>
              <w:jc w:val="center"/>
              <w:rPr>
                <w:rFonts w:eastAsia="Times New Roman" w:cs="Times New Roman"/>
                <w:color w:val="000000"/>
                <w:sz w:val="18"/>
                <w:szCs w:val="18"/>
                <w:lang w:eastAsia="es-CO"/>
              </w:rPr>
            </w:pPr>
            <w:r w:rsidRPr="0039091F">
              <w:rPr>
                <w:rFonts w:eastAsia="Times New Roman" w:cs="Times New Roman"/>
                <w:color w:val="000000"/>
                <w:sz w:val="18"/>
                <w:szCs w:val="18"/>
                <w:lang w:eastAsia="es-CO"/>
              </w:rPr>
              <w:t>94</w:t>
            </w:r>
          </w:p>
        </w:tc>
        <w:tc>
          <w:tcPr>
            <w:tcW w:w="777" w:type="pct"/>
            <w:vAlign w:val="center"/>
            <w:hideMark/>
          </w:tcPr>
          <w:p w14:paraId="5A57CDEA" w14:textId="77777777" w:rsidR="00297E57" w:rsidRPr="0039091F" w:rsidRDefault="00297E57" w:rsidP="000A5389">
            <w:pPr>
              <w:spacing w:line="240" w:lineRule="auto"/>
              <w:rPr>
                <w:rFonts w:eastAsia="Times New Roman" w:cs="Times New Roman"/>
                <w:color w:val="000000"/>
                <w:sz w:val="18"/>
                <w:szCs w:val="18"/>
                <w:lang w:eastAsia="es-CO"/>
              </w:rPr>
            </w:pPr>
            <w:r w:rsidRPr="0039091F">
              <w:rPr>
                <w:rFonts w:eastAsia="Times New Roman" w:cs="Times New Roman"/>
                <w:color w:val="000000"/>
                <w:sz w:val="18"/>
                <w:szCs w:val="18"/>
                <w:lang w:eastAsia="es-CO"/>
              </w:rPr>
              <w:t>Eje 5 (Probidad y Ética de lo Público) e identificadas por Alta Dirección</w:t>
            </w:r>
          </w:p>
        </w:tc>
        <w:tc>
          <w:tcPr>
            <w:tcW w:w="1320" w:type="pct"/>
            <w:vAlign w:val="center"/>
            <w:hideMark/>
          </w:tcPr>
          <w:p w14:paraId="75837886" w14:textId="77777777" w:rsidR="00297E57" w:rsidRPr="0039091F" w:rsidRDefault="00297E57" w:rsidP="000A5389">
            <w:pPr>
              <w:spacing w:line="240" w:lineRule="auto"/>
              <w:rPr>
                <w:rFonts w:eastAsia="Times New Roman" w:cs="Times New Roman"/>
                <w:color w:val="000000"/>
                <w:sz w:val="18"/>
                <w:szCs w:val="18"/>
                <w:lang w:eastAsia="es-CO"/>
              </w:rPr>
            </w:pPr>
            <w:r w:rsidRPr="0039091F">
              <w:rPr>
                <w:rFonts w:eastAsia="Times New Roman" w:cs="Times New Roman"/>
                <w:color w:val="000000"/>
                <w:sz w:val="18"/>
                <w:szCs w:val="18"/>
                <w:lang w:eastAsia="es-CO"/>
              </w:rPr>
              <w:t>Capacitación en Ética Pública: Prohibición de Participación en Política</w:t>
            </w:r>
          </w:p>
        </w:tc>
        <w:tc>
          <w:tcPr>
            <w:tcW w:w="1044" w:type="pct"/>
            <w:vAlign w:val="center"/>
            <w:hideMark/>
          </w:tcPr>
          <w:p w14:paraId="4FB3A9CF" w14:textId="77777777" w:rsidR="00297E57" w:rsidRPr="0039091F" w:rsidRDefault="00297E57" w:rsidP="000A5389">
            <w:pPr>
              <w:spacing w:line="240" w:lineRule="auto"/>
              <w:jc w:val="center"/>
              <w:rPr>
                <w:rFonts w:eastAsia="Times New Roman" w:cs="Times New Roman"/>
                <w:color w:val="000000"/>
                <w:sz w:val="18"/>
                <w:szCs w:val="18"/>
                <w:lang w:eastAsia="es-CO"/>
              </w:rPr>
            </w:pPr>
            <w:r w:rsidRPr="0039091F">
              <w:rPr>
                <w:rFonts w:eastAsia="Times New Roman" w:cs="Times New Roman"/>
                <w:color w:val="000000"/>
                <w:sz w:val="18"/>
                <w:szCs w:val="18"/>
                <w:lang w:eastAsia="es-CO"/>
              </w:rPr>
              <w:t>Dr. Eloín Laurentino Virgüez Ávila</w:t>
            </w:r>
          </w:p>
        </w:tc>
        <w:tc>
          <w:tcPr>
            <w:tcW w:w="464" w:type="pct"/>
            <w:vAlign w:val="center"/>
            <w:hideMark/>
          </w:tcPr>
          <w:p w14:paraId="3A86513A" w14:textId="77777777" w:rsidR="00297E57" w:rsidRPr="0039091F" w:rsidRDefault="00297E57" w:rsidP="000A5389">
            <w:pPr>
              <w:spacing w:line="240" w:lineRule="auto"/>
              <w:jc w:val="center"/>
              <w:rPr>
                <w:rFonts w:eastAsia="Times New Roman" w:cs="Times New Roman"/>
                <w:color w:val="000000"/>
                <w:sz w:val="18"/>
                <w:szCs w:val="18"/>
                <w:lang w:eastAsia="es-CO"/>
              </w:rPr>
            </w:pPr>
            <w:r w:rsidRPr="0039091F">
              <w:rPr>
                <w:rFonts w:eastAsia="Times New Roman" w:cs="Times New Roman"/>
                <w:color w:val="000000"/>
                <w:sz w:val="18"/>
                <w:szCs w:val="18"/>
                <w:lang w:eastAsia="es-CO"/>
              </w:rPr>
              <w:t>17</w:t>
            </w:r>
          </w:p>
        </w:tc>
        <w:tc>
          <w:tcPr>
            <w:tcW w:w="527" w:type="pct"/>
            <w:vAlign w:val="center"/>
            <w:hideMark/>
          </w:tcPr>
          <w:p w14:paraId="4DE6EE8B" w14:textId="77777777" w:rsidR="00297E57" w:rsidRPr="0039091F" w:rsidRDefault="00297E57" w:rsidP="000A5389">
            <w:pPr>
              <w:spacing w:line="240" w:lineRule="auto"/>
              <w:jc w:val="center"/>
              <w:rPr>
                <w:rFonts w:eastAsia="Times New Roman" w:cs="Times New Roman"/>
                <w:color w:val="000000"/>
                <w:sz w:val="18"/>
                <w:szCs w:val="18"/>
                <w:lang w:eastAsia="es-CO"/>
              </w:rPr>
            </w:pPr>
            <w:r w:rsidRPr="0039091F">
              <w:rPr>
                <w:rFonts w:eastAsia="Times New Roman" w:cs="Times New Roman"/>
                <w:color w:val="000000"/>
                <w:sz w:val="18"/>
                <w:szCs w:val="18"/>
                <w:lang w:eastAsia="es-CO"/>
              </w:rPr>
              <w:t>26 de noviembre</w:t>
            </w:r>
          </w:p>
        </w:tc>
        <w:tc>
          <w:tcPr>
            <w:tcW w:w="640" w:type="pct"/>
            <w:vAlign w:val="center"/>
            <w:hideMark/>
          </w:tcPr>
          <w:p w14:paraId="2F5A277C" w14:textId="77777777" w:rsidR="00297E57" w:rsidRPr="0039091F" w:rsidRDefault="00297E57" w:rsidP="000A5389">
            <w:pPr>
              <w:spacing w:line="240" w:lineRule="auto"/>
              <w:jc w:val="center"/>
              <w:rPr>
                <w:rFonts w:eastAsia="Times New Roman" w:cs="Times New Roman"/>
                <w:color w:val="000000"/>
                <w:sz w:val="18"/>
                <w:szCs w:val="18"/>
                <w:lang w:eastAsia="es-CO"/>
              </w:rPr>
            </w:pPr>
            <w:r w:rsidRPr="0039091F">
              <w:rPr>
                <w:rFonts w:eastAsia="Times New Roman" w:cs="Times New Roman"/>
                <w:color w:val="000000"/>
                <w:sz w:val="18"/>
                <w:szCs w:val="18"/>
                <w:lang w:eastAsia="es-CO"/>
              </w:rPr>
              <w:t>1, 30</w:t>
            </w:r>
          </w:p>
        </w:tc>
      </w:tr>
      <w:tr w:rsidR="00297E57" w:rsidRPr="0039091F" w14:paraId="3BC33473" w14:textId="77777777" w:rsidTr="0039091F">
        <w:trPr>
          <w:trHeight w:val="283"/>
        </w:trPr>
        <w:tc>
          <w:tcPr>
            <w:tcW w:w="229" w:type="pct"/>
            <w:vAlign w:val="center"/>
            <w:hideMark/>
          </w:tcPr>
          <w:p w14:paraId="7225F1CD" w14:textId="77777777" w:rsidR="00297E57" w:rsidRPr="0039091F" w:rsidRDefault="00297E57" w:rsidP="000A5389">
            <w:pPr>
              <w:spacing w:line="240" w:lineRule="auto"/>
              <w:jc w:val="center"/>
              <w:rPr>
                <w:rFonts w:eastAsia="Times New Roman" w:cs="Times New Roman"/>
                <w:color w:val="000000"/>
                <w:sz w:val="18"/>
                <w:szCs w:val="18"/>
                <w:lang w:eastAsia="es-CO"/>
              </w:rPr>
            </w:pPr>
            <w:r w:rsidRPr="0039091F">
              <w:rPr>
                <w:rFonts w:eastAsia="Times New Roman" w:cs="Times New Roman"/>
                <w:color w:val="000000"/>
                <w:sz w:val="18"/>
                <w:szCs w:val="18"/>
                <w:lang w:eastAsia="es-CO"/>
              </w:rPr>
              <w:t>95</w:t>
            </w:r>
          </w:p>
        </w:tc>
        <w:tc>
          <w:tcPr>
            <w:tcW w:w="777" w:type="pct"/>
            <w:vAlign w:val="center"/>
            <w:hideMark/>
          </w:tcPr>
          <w:p w14:paraId="34BA49CC" w14:textId="77777777" w:rsidR="00297E57" w:rsidRPr="0039091F" w:rsidRDefault="00297E57" w:rsidP="000A5389">
            <w:pPr>
              <w:spacing w:line="240" w:lineRule="auto"/>
              <w:rPr>
                <w:rFonts w:eastAsia="Times New Roman" w:cs="Times New Roman"/>
                <w:color w:val="000000"/>
                <w:sz w:val="18"/>
                <w:szCs w:val="18"/>
                <w:lang w:eastAsia="es-CO"/>
              </w:rPr>
            </w:pPr>
            <w:r w:rsidRPr="0039091F">
              <w:rPr>
                <w:rFonts w:eastAsia="Times New Roman" w:cs="Times New Roman"/>
                <w:color w:val="000000"/>
                <w:sz w:val="18"/>
                <w:szCs w:val="18"/>
                <w:lang w:eastAsia="es-CO"/>
              </w:rPr>
              <w:t>Eje 2 (Territorio, Vida y Ambiente) y Ambiental</w:t>
            </w:r>
          </w:p>
        </w:tc>
        <w:tc>
          <w:tcPr>
            <w:tcW w:w="1320" w:type="pct"/>
            <w:vAlign w:val="center"/>
            <w:hideMark/>
          </w:tcPr>
          <w:p w14:paraId="69ADE88E" w14:textId="77777777" w:rsidR="00297E57" w:rsidRPr="0039091F" w:rsidRDefault="00297E57" w:rsidP="000A5389">
            <w:pPr>
              <w:spacing w:line="240" w:lineRule="auto"/>
              <w:rPr>
                <w:rFonts w:eastAsia="Times New Roman" w:cs="Times New Roman"/>
                <w:color w:val="000000"/>
                <w:sz w:val="18"/>
                <w:szCs w:val="18"/>
                <w:lang w:eastAsia="es-CO"/>
              </w:rPr>
            </w:pPr>
            <w:r w:rsidRPr="0039091F">
              <w:rPr>
                <w:rFonts w:eastAsia="Times New Roman" w:cs="Times New Roman"/>
                <w:color w:val="000000"/>
                <w:sz w:val="18"/>
                <w:szCs w:val="18"/>
                <w:lang w:eastAsia="es-CO"/>
              </w:rPr>
              <w:t>Capacitación Huella Ecológica -Sede Montevideo</w:t>
            </w:r>
          </w:p>
        </w:tc>
        <w:tc>
          <w:tcPr>
            <w:tcW w:w="1044" w:type="pct"/>
            <w:vAlign w:val="center"/>
            <w:hideMark/>
          </w:tcPr>
          <w:p w14:paraId="4FBF7A6F" w14:textId="77777777" w:rsidR="00297E57" w:rsidRPr="0039091F" w:rsidRDefault="00297E57" w:rsidP="000A5389">
            <w:pPr>
              <w:spacing w:line="240" w:lineRule="auto"/>
              <w:jc w:val="center"/>
              <w:rPr>
                <w:rFonts w:eastAsia="Times New Roman" w:cs="Times New Roman"/>
                <w:color w:val="000000"/>
                <w:sz w:val="18"/>
                <w:szCs w:val="18"/>
                <w:lang w:eastAsia="es-CO"/>
              </w:rPr>
            </w:pPr>
            <w:r w:rsidRPr="0039091F">
              <w:rPr>
                <w:rFonts w:eastAsia="Times New Roman" w:cs="Times New Roman"/>
                <w:color w:val="000000"/>
                <w:sz w:val="18"/>
                <w:szCs w:val="18"/>
                <w:lang w:eastAsia="es-CO"/>
              </w:rPr>
              <w:t>Secretaría Distrital de Ambiente (SDA)</w:t>
            </w:r>
          </w:p>
        </w:tc>
        <w:tc>
          <w:tcPr>
            <w:tcW w:w="464" w:type="pct"/>
            <w:vAlign w:val="center"/>
            <w:hideMark/>
          </w:tcPr>
          <w:p w14:paraId="7FC8CEE9" w14:textId="77777777" w:rsidR="00297E57" w:rsidRPr="0039091F" w:rsidRDefault="00297E57" w:rsidP="000A5389">
            <w:pPr>
              <w:spacing w:line="240" w:lineRule="auto"/>
              <w:jc w:val="center"/>
              <w:rPr>
                <w:rFonts w:eastAsia="Times New Roman" w:cs="Times New Roman"/>
                <w:color w:val="000000"/>
                <w:sz w:val="18"/>
                <w:szCs w:val="18"/>
                <w:lang w:eastAsia="es-CO"/>
              </w:rPr>
            </w:pPr>
            <w:r w:rsidRPr="0039091F">
              <w:rPr>
                <w:rFonts w:eastAsia="Times New Roman" w:cs="Times New Roman"/>
                <w:color w:val="000000"/>
                <w:sz w:val="18"/>
                <w:szCs w:val="18"/>
                <w:lang w:eastAsia="es-CO"/>
              </w:rPr>
              <w:t>15</w:t>
            </w:r>
          </w:p>
        </w:tc>
        <w:tc>
          <w:tcPr>
            <w:tcW w:w="527" w:type="pct"/>
            <w:vAlign w:val="center"/>
            <w:hideMark/>
          </w:tcPr>
          <w:p w14:paraId="55B6B1A3" w14:textId="77777777" w:rsidR="00297E57" w:rsidRPr="0039091F" w:rsidRDefault="00297E57" w:rsidP="000A5389">
            <w:pPr>
              <w:spacing w:line="240" w:lineRule="auto"/>
              <w:jc w:val="center"/>
              <w:rPr>
                <w:rFonts w:eastAsia="Times New Roman" w:cs="Times New Roman"/>
                <w:color w:val="000000"/>
                <w:sz w:val="18"/>
                <w:szCs w:val="18"/>
                <w:lang w:eastAsia="es-CO"/>
              </w:rPr>
            </w:pPr>
            <w:r w:rsidRPr="0039091F">
              <w:rPr>
                <w:rFonts w:eastAsia="Times New Roman" w:cs="Times New Roman"/>
                <w:color w:val="000000"/>
                <w:sz w:val="18"/>
                <w:szCs w:val="18"/>
                <w:lang w:eastAsia="es-CO"/>
              </w:rPr>
              <w:t>27 de noviembre</w:t>
            </w:r>
          </w:p>
        </w:tc>
        <w:tc>
          <w:tcPr>
            <w:tcW w:w="640" w:type="pct"/>
            <w:vAlign w:val="center"/>
            <w:hideMark/>
          </w:tcPr>
          <w:p w14:paraId="5CC990C1" w14:textId="77777777" w:rsidR="00297E57" w:rsidRPr="0039091F" w:rsidRDefault="00297E57" w:rsidP="000A5389">
            <w:pPr>
              <w:spacing w:line="240" w:lineRule="auto"/>
              <w:jc w:val="center"/>
              <w:rPr>
                <w:rFonts w:eastAsia="Times New Roman" w:cs="Times New Roman"/>
                <w:color w:val="000000"/>
                <w:sz w:val="18"/>
                <w:szCs w:val="18"/>
                <w:lang w:eastAsia="es-CO"/>
              </w:rPr>
            </w:pPr>
            <w:r w:rsidRPr="0039091F">
              <w:rPr>
                <w:rFonts w:eastAsia="Times New Roman" w:cs="Times New Roman"/>
                <w:color w:val="000000"/>
                <w:sz w:val="18"/>
                <w:szCs w:val="18"/>
                <w:lang w:eastAsia="es-CO"/>
              </w:rPr>
              <w:t>1</w:t>
            </w:r>
          </w:p>
        </w:tc>
      </w:tr>
      <w:tr w:rsidR="00297E57" w:rsidRPr="0039091F" w14:paraId="07C6CA99" w14:textId="77777777" w:rsidTr="0039091F">
        <w:trPr>
          <w:trHeight w:val="283"/>
        </w:trPr>
        <w:tc>
          <w:tcPr>
            <w:tcW w:w="229" w:type="pct"/>
            <w:vAlign w:val="center"/>
            <w:hideMark/>
          </w:tcPr>
          <w:p w14:paraId="4ABFEEAD" w14:textId="77777777" w:rsidR="00297E57" w:rsidRPr="0039091F" w:rsidRDefault="00297E57" w:rsidP="000A5389">
            <w:pPr>
              <w:spacing w:line="240" w:lineRule="auto"/>
              <w:jc w:val="center"/>
              <w:rPr>
                <w:rFonts w:eastAsia="Times New Roman" w:cs="Times New Roman"/>
                <w:color w:val="000000"/>
                <w:sz w:val="18"/>
                <w:szCs w:val="18"/>
                <w:lang w:eastAsia="es-CO"/>
              </w:rPr>
            </w:pPr>
            <w:r w:rsidRPr="0039091F">
              <w:rPr>
                <w:rFonts w:eastAsia="Times New Roman" w:cs="Times New Roman"/>
                <w:color w:val="000000"/>
                <w:sz w:val="18"/>
                <w:szCs w:val="18"/>
                <w:lang w:eastAsia="es-CO"/>
              </w:rPr>
              <w:lastRenderedPageBreak/>
              <w:t>96</w:t>
            </w:r>
          </w:p>
        </w:tc>
        <w:tc>
          <w:tcPr>
            <w:tcW w:w="777" w:type="pct"/>
            <w:vAlign w:val="center"/>
            <w:hideMark/>
          </w:tcPr>
          <w:p w14:paraId="403446F4" w14:textId="77777777" w:rsidR="00297E57" w:rsidRPr="0039091F" w:rsidRDefault="00297E57" w:rsidP="000A5389">
            <w:pPr>
              <w:spacing w:line="240" w:lineRule="auto"/>
              <w:rPr>
                <w:rFonts w:eastAsia="Times New Roman" w:cs="Times New Roman"/>
                <w:color w:val="000000"/>
                <w:sz w:val="18"/>
                <w:szCs w:val="18"/>
                <w:lang w:eastAsia="es-CO"/>
              </w:rPr>
            </w:pPr>
            <w:r w:rsidRPr="0039091F">
              <w:rPr>
                <w:rFonts w:eastAsia="Times New Roman" w:cs="Times New Roman"/>
                <w:color w:val="000000"/>
                <w:sz w:val="18"/>
                <w:szCs w:val="18"/>
                <w:lang w:eastAsia="es-CO"/>
              </w:rPr>
              <w:t>Seguridad y Salud en el Trabajo</w:t>
            </w:r>
          </w:p>
        </w:tc>
        <w:tc>
          <w:tcPr>
            <w:tcW w:w="1320" w:type="pct"/>
            <w:vAlign w:val="center"/>
            <w:hideMark/>
          </w:tcPr>
          <w:p w14:paraId="3092CBE5" w14:textId="77777777" w:rsidR="00297E57" w:rsidRPr="0039091F" w:rsidRDefault="00297E57" w:rsidP="000A5389">
            <w:pPr>
              <w:spacing w:line="240" w:lineRule="auto"/>
              <w:rPr>
                <w:rFonts w:eastAsia="Times New Roman" w:cs="Times New Roman"/>
                <w:color w:val="000000"/>
                <w:sz w:val="18"/>
                <w:szCs w:val="18"/>
                <w:lang w:eastAsia="es-CO"/>
              </w:rPr>
            </w:pPr>
            <w:r w:rsidRPr="0039091F">
              <w:rPr>
                <w:rFonts w:eastAsia="Times New Roman" w:cs="Times New Roman"/>
                <w:color w:val="000000"/>
                <w:sz w:val="18"/>
                <w:szCs w:val="18"/>
                <w:lang w:eastAsia="es-CO"/>
              </w:rPr>
              <w:t>Capacitación Prevención Acoso Sexual</w:t>
            </w:r>
          </w:p>
        </w:tc>
        <w:tc>
          <w:tcPr>
            <w:tcW w:w="1044" w:type="pct"/>
            <w:vAlign w:val="center"/>
            <w:hideMark/>
          </w:tcPr>
          <w:p w14:paraId="0AA4CE16" w14:textId="77777777" w:rsidR="00297E57" w:rsidRPr="0039091F" w:rsidRDefault="00297E57" w:rsidP="000A5389">
            <w:pPr>
              <w:spacing w:line="240" w:lineRule="auto"/>
              <w:jc w:val="center"/>
              <w:rPr>
                <w:rFonts w:eastAsia="Times New Roman" w:cs="Times New Roman"/>
                <w:color w:val="000000"/>
                <w:sz w:val="18"/>
                <w:szCs w:val="18"/>
                <w:lang w:eastAsia="es-CO"/>
              </w:rPr>
            </w:pPr>
            <w:r w:rsidRPr="0039091F">
              <w:rPr>
                <w:rFonts w:eastAsia="Times New Roman" w:cs="Times New Roman"/>
                <w:color w:val="000000"/>
                <w:sz w:val="18"/>
                <w:szCs w:val="18"/>
                <w:lang w:eastAsia="es-CO"/>
              </w:rPr>
              <w:t>ARL POSITIVA</w:t>
            </w:r>
          </w:p>
        </w:tc>
        <w:tc>
          <w:tcPr>
            <w:tcW w:w="464" w:type="pct"/>
            <w:vAlign w:val="center"/>
            <w:hideMark/>
          </w:tcPr>
          <w:p w14:paraId="6F82D6D0" w14:textId="77777777" w:rsidR="00297E57" w:rsidRPr="0039091F" w:rsidRDefault="00297E57" w:rsidP="000A5389">
            <w:pPr>
              <w:spacing w:line="240" w:lineRule="auto"/>
              <w:jc w:val="center"/>
              <w:rPr>
                <w:rFonts w:eastAsia="Times New Roman" w:cs="Times New Roman"/>
                <w:color w:val="000000"/>
                <w:sz w:val="18"/>
                <w:szCs w:val="18"/>
                <w:lang w:eastAsia="es-CO"/>
              </w:rPr>
            </w:pPr>
            <w:r w:rsidRPr="0039091F">
              <w:rPr>
                <w:rFonts w:eastAsia="Times New Roman" w:cs="Times New Roman"/>
                <w:color w:val="000000"/>
                <w:sz w:val="18"/>
                <w:szCs w:val="18"/>
                <w:lang w:eastAsia="es-CO"/>
              </w:rPr>
              <w:t>19</w:t>
            </w:r>
          </w:p>
        </w:tc>
        <w:tc>
          <w:tcPr>
            <w:tcW w:w="527" w:type="pct"/>
            <w:vAlign w:val="center"/>
            <w:hideMark/>
          </w:tcPr>
          <w:p w14:paraId="0977EBF1" w14:textId="77777777" w:rsidR="00297E57" w:rsidRPr="0039091F" w:rsidRDefault="00297E57" w:rsidP="000A5389">
            <w:pPr>
              <w:spacing w:line="240" w:lineRule="auto"/>
              <w:jc w:val="center"/>
              <w:rPr>
                <w:rFonts w:eastAsia="Times New Roman" w:cs="Times New Roman"/>
                <w:color w:val="000000"/>
                <w:sz w:val="18"/>
                <w:szCs w:val="18"/>
                <w:lang w:eastAsia="es-CO"/>
              </w:rPr>
            </w:pPr>
            <w:r w:rsidRPr="0039091F">
              <w:rPr>
                <w:rFonts w:eastAsia="Times New Roman" w:cs="Times New Roman"/>
                <w:color w:val="000000"/>
                <w:sz w:val="18"/>
                <w:szCs w:val="18"/>
                <w:lang w:eastAsia="es-CO"/>
              </w:rPr>
              <w:t>27 de noviembre</w:t>
            </w:r>
          </w:p>
        </w:tc>
        <w:tc>
          <w:tcPr>
            <w:tcW w:w="640" w:type="pct"/>
            <w:vAlign w:val="center"/>
            <w:hideMark/>
          </w:tcPr>
          <w:p w14:paraId="58A33220" w14:textId="77777777" w:rsidR="00297E57" w:rsidRPr="0039091F" w:rsidRDefault="00297E57" w:rsidP="000A5389">
            <w:pPr>
              <w:spacing w:line="240" w:lineRule="auto"/>
              <w:jc w:val="center"/>
              <w:rPr>
                <w:rFonts w:eastAsia="Times New Roman" w:cs="Times New Roman"/>
                <w:color w:val="000000"/>
                <w:sz w:val="18"/>
                <w:szCs w:val="18"/>
                <w:lang w:eastAsia="es-CO"/>
              </w:rPr>
            </w:pPr>
            <w:r w:rsidRPr="0039091F">
              <w:rPr>
                <w:rFonts w:eastAsia="Times New Roman" w:cs="Times New Roman"/>
                <w:color w:val="000000"/>
                <w:sz w:val="18"/>
                <w:szCs w:val="18"/>
                <w:lang w:eastAsia="es-CO"/>
              </w:rPr>
              <w:t>1 hora</w:t>
            </w:r>
          </w:p>
        </w:tc>
      </w:tr>
      <w:tr w:rsidR="00297E57" w:rsidRPr="0039091F" w14:paraId="6AE84D67" w14:textId="77777777" w:rsidTr="0039091F">
        <w:trPr>
          <w:trHeight w:val="283"/>
        </w:trPr>
        <w:tc>
          <w:tcPr>
            <w:tcW w:w="229" w:type="pct"/>
            <w:vAlign w:val="center"/>
            <w:hideMark/>
          </w:tcPr>
          <w:p w14:paraId="7057024E" w14:textId="77777777" w:rsidR="00297E57" w:rsidRPr="0039091F" w:rsidRDefault="00297E57" w:rsidP="000A5389">
            <w:pPr>
              <w:spacing w:line="240" w:lineRule="auto"/>
              <w:jc w:val="center"/>
              <w:rPr>
                <w:rFonts w:eastAsia="Times New Roman" w:cs="Times New Roman"/>
                <w:color w:val="000000"/>
                <w:sz w:val="18"/>
                <w:szCs w:val="18"/>
                <w:lang w:eastAsia="es-CO"/>
              </w:rPr>
            </w:pPr>
            <w:r w:rsidRPr="0039091F">
              <w:rPr>
                <w:rFonts w:eastAsia="Times New Roman" w:cs="Times New Roman"/>
                <w:color w:val="000000"/>
                <w:sz w:val="18"/>
                <w:szCs w:val="18"/>
                <w:lang w:eastAsia="es-CO"/>
              </w:rPr>
              <w:t>97</w:t>
            </w:r>
          </w:p>
        </w:tc>
        <w:tc>
          <w:tcPr>
            <w:tcW w:w="777" w:type="pct"/>
            <w:vAlign w:val="center"/>
            <w:hideMark/>
          </w:tcPr>
          <w:p w14:paraId="5500696A" w14:textId="77777777" w:rsidR="00297E57" w:rsidRPr="0039091F" w:rsidRDefault="00297E57" w:rsidP="000A5389">
            <w:pPr>
              <w:spacing w:line="240" w:lineRule="auto"/>
              <w:rPr>
                <w:rFonts w:eastAsia="Times New Roman" w:cs="Times New Roman"/>
                <w:color w:val="000000"/>
                <w:sz w:val="18"/>
                <w:szCs w:val="18"/>
                <w:lang w:eastAsia="es-CO"/>
              </w:rPr>
            </w:pPr>
            <w:r w:rsidRPr="0039091F">
              <w:rPr>
                <w:rFonts w:eastAsia="Times New Roman" w:cs="Times New Roman"/>
                <w:color w:val="000000"/>
                <w:sz w:val="18"/>
                <w:szCs w:val="18"/>
                <w:lang w:eastAsia="es-CO"/>
              </w:rPr>
              <w:t>Habilidades y Conocimientos</w:t>
            </w:r>
          </w:p>
        </w:tc>
        <w:tc>
          <w:tcPr>
            <w:tcW w:w="1320" w:type="pct"/>
            <w:vAlign w:val="center"/>
            <w:hideMark/>
          </w:tcPr>
          <w:p w14:paraId="0BD8E3C0" w14:textId="77777777" w:rsidR="00297E57" w:rsidRPr="0039091F" w:rsidRDefault="00297E57" w:rsidP="000A5389">
            <w:pPr>
              <w:spacing w:line="240" w:lineRule="auto"/>
              <w:rPr>
                <w:rFonts w:eastAsia="Times New Roman" w:cs="Times New Roman"/>
                <w:color w:val="000000"/>
                <w:sz w:val="18"/>
                <w:szCs w:val="18"/>
                <w:lang w:eastAsia="es-CO"/>
              </w:rPr>
            </w:pPr>
            <w:r w:rsidRPr="0039091F">
              <w:rPr>
                <w:rFonts w:eastAsia="Times New Roman" w:cs="Times New Roman"/>
                <w:color w:val="000000"/>
                <w:sz w:val="18"/>
                <w:szCs w:val="18"/>
                <w:lang w:eastAsia="es-CO"/>
              </w:rPr>
              <w:t>Sensibilización en Derecho de Petición y Protocolos de Servicio, dirigida a la Vicepresidencia Jurídica, Vicepresidencia de Gestión Corporativa y la Vicepresidencia de Planeación, Riesgos y Entorno</w:t>
            </w:r>
          </w:p>
        </w:tc>
        <w:tc>
          <w:tcPr>
            <w:tcW w:w="1044" w:type="pct"/>
            <w:vAlign w:val="center"/>
            <w:hideMark/>
          </w:tcPr>
          <w:p w14:paraId="1AA5E0DE" w14:textId="77777777" w:rsidR="00297E57" w:rsidRPr="0039091F" w:rsidRDefault="00297E57" w:rsidP="000A5389">
            <w:pPr>
              <w:spacing w:line="240" w:lineRule="auto"/>
              <w:jc w:val="center"/>
              <w:rPr>
                <w:rFonts w:eastAsia="Times New Roman" w:cs="Times New Roman"/>
                <w:color w:val="000000"/>
                <w:sz w:val="18"/>
                <w:szCs w:val="18"/>
                <w:lang w:eastAsia="es-CO"/>
              </w:rPr>
            </w:pPr>
            <w:r w:rsidRPr="0039091F">
              <w:rPr>
                <w:rFonts w:eastAsia="Times New Roman" w:cs="Times New Roman"/>
                <w:color w:val="000000"/>
                <w:sz w:val="18"/>
                <w:szCs w:val="18"/>
                <w:lang w:eastAsia="es-CO"/>
              </w:rPr>
              <w:t>ANI</w:t>
            </w:r>
          </w:p>
        </w:tc>
        <w:tc>
          <w:tcPr>
            <w:tcW w:w="464" w:type="pct"/>
            <w:vAlign w:val="center"/>
            <w:hideMark/>
          </w:tcPr>
          <w:p w14:paraId="68B06D40" w14:textId="77777777" w:rsidR="00297E57" w:rsidRPr="0039091F" w:rsidRDefault="00297E57" w:rsidP="000A5389">
            <w:pPr>
              <w:spacing w:line="240" w:lineRule="auto"/>
              <w:jc w:val="center"/>
              <w:rPr>
                <w:rFonts w:eastAsia="Times New Roman" w:cs="Times New Roman"/>
                <w:color w:val="000000"/>
                <w:sz w:val="18"/>
                <w:szCs w:val="18"/>
                <w:lang w:eastAsia="es-CO"/>
              </w:rPr>
            </w:pPr>
            <w:r w:rsidRPr="0039091F">
              <w:rPr>
                <w:rFonts w:eastAsia="Times New Roman" w:cs="Times New Roman"/>
                <w:color w:val="000000"/>
                <w:sz w:val="18"/>
                <w:szCs w:val="18"/>
                <w:lang w:eastAsia="es-CO"/>
              </w:rPr>
              <w:t>72</w:t>
            </w:r>
          </w:p>
        </w:tc>
        <w:tc>
          <w:tcPr>
            <w:tcW w:w="527" w:type="pct"/>
            <w:vAlign w:val="center"/>
            <w:hideMark/>
          </w:tcPr>
          <w:p w14:paraId="535C30D3" w14:textId="77777777" w:rsidR="00297E57" w:rsidRPr="0039091F" w:rsidRDefault="00297E57" w:rsidP="000A5389">
            <w:pPr>
              <w:spacing w:line="240" w:lineRule="auto"/>
              <w:jc w:val="center"/>
              <w:rPr>
                <w:rFonts w:eastAsia="Times New Roman" w:cs="Times New Roman"/>
                <w:color w:val="000000"/>
                <w:sz w:val="18"/>
                <w:szCs w:val="18"/>
                <w:lang w:eastAsia="es-CO"/>
              </w:rPr>
            </w:pPr>
            <w:r w:rsidRPr="0039091F">
              <w:rPr>
                <w:rFonts w:eastAsia="Times New Roman" w:cs="Times New Roman"/>
                <w:color w:val="000000"/>
                <w:sz w:val="18"/>
                <w:szCs w:val="18"/>
                <w:lang w:eastAsia="es-CO"/>
              </w:rPr>
              <w:t>27 de noviembre</w:t>
            </w:r>
          </w:p>
        </w:tc>
        <w:tc>
          <w:tcPr>
            <w:tcW w:w="640" w:type="pct"/>
            <w:vAlign w:val="center"/>
            <w:hideMark/>
          </w:tcPr>
          <w:p w14:paraId="12CA032B" w14:textId="77777777" w:rsidR="00297E57" w:rsidRPr="0039091F" w:rsidRDefault="00297E57" w:rsidP="000A5389">
            <w:pPr>
              <w:spacing w:line="240" w:lineRule="auto"/>
              <w:jc w:val="center"/>
              <w:rPr>
                <w:rFonts w:eastAsia="Times New Roman" w:cs="Times New Roman"/>
                <w:color w:val="000000"/>
                <w:sz w:val="18"/>
                <w:szCs w:val="18"/>
                <w:lang w:eastAsia="es-CO"/>
              </w:rPr>
            </w:pPr>
            <w:r w:rsidRPr="0039091F">
              <w:rPr>
                <w:rFonts w:eastAsia="Times New Roman" w:cs="Times New Roman"/>
                <w:color w:val="000000"/>
                <w:sz w:val="18"/>
                <w:szCs w:val="18"/>
                <w:lang w:eastAsia="es-CO"/>
              </w:rPr>
              <w:t>1</w:t>
            </w:r>
          </w:p>
        </w:tc>
      </w:tr>
    </w:tbl>
    <w:p w14:paraId="0A75F806" w14:textId="71EF4050" w:rsidR="00200A5D" w:rsidRPr="00951AB1" w:rsidRDefault="00200A5D" w:rsidP="000A5389">
      <w:pPr>
        <w:spacing w:line="240" w:lineRule="auto"/>
        <w:rPr>
          <w:rFonts w:cs="Times New Roman"/>
        </w:rPr>
      </w:pPr>
    </w:p>
    <w:p w14:paraId="48600A6F" w14:textId="3AEB6B14" w:rsidR="618EDDE8" w:rsidRPr="00951AB1" w:rsidRDefault="618EDDE8" w:rsidP="000A5389">
      <w:pPr>
        <w:spacing w:line="240" w:lineRule="auto"/>
        <w:rPr>
          <w:rFonts w:cs="Times New Roman"/>
        </w:rPr>
      </w:pPr>
    </w:p>
    <w:p w14:paraId="1F845727" w14:textId="6C84936E" w:rsidR="00C1337A" w:rsidRPr="00951AB1" w:rsidRDefault="00C1337A" w:rsidP="000A5389">
      <w:pPr>
        <w:pStyle w:val="Ttulo1"/>
        <w:spacing w:line="240" w:lineRule="auto"/>
        <w:rPr>
          <w:rFonts w:cs="Times New Roman"/>
        </w:rPr>
      </w:pPr>
      <w:bookmarkStart w:id="607" w:name="_Toc191369541"/>
      <w:bookmarkStart w:id="608" w:name="_Toc191456871"/>
      <w:bookmarkStart w:id="609" w:name="_Toc191456981"/>
      <w:bookmarkStart w:id="610" w:name="_Toc191457091"/>
      <w:bookmarkStart w:id="611" w:name="_Toc191475718"/>
      <w:bookmarkStart w:id="612" w:name="_Toc191475827"/>
      <w:bookmarkStart w:id="613" w:name="_Toc191475936"/>
      <w:bookmarkStart w:id="614" w:name="_Toc191475459"/>
      <w:bookmarkStart w:id="615" w:name="_Toc191505835"/>
      <w:bookmarkStart w:id="616" w:name="_Toc222824147"/>
      <w:bookmarkStart w:id="617" w:name="_Toc222955515"/>
      <w:r w:rsidRPr="00951AB1">
        <w:rPr>
          <w:rFonts w:cs="Times New Roman"/>
        </w:rPr>
        <w:t>NOTA 2</w:t>
      </w:r>
      <w:r w:rsidR="004F6E27" w:rsidRPr="00951AB1">
        <w:rPr>
          <w:rFonts w:cs="Times New Roman"/>
        </w:rPr>
        <w:t>4</w:t>
      </w:r>
      <w:r w:rsidRPr="00951AB1">
        <w:rPr>
          <w:rFonts w:cs="Times New Roman"/>
        </w:rPr>
        <w:t>. PROVISIONES</w:t>
      </w:r>
      <w:bookmarkEnd w:id="607"/>
      <w:bookmarkEnd w:id="608"/>
      <w:bookmarkEnd w:id="609"/>
      <w:bookmarkEnd w:id="610"/>
      <w:bookmarkEnd w:id="611"/>
      <w:bookmarkEnd w:id="612"/>
      <w:bookmarkEnd w:id="613"/>
      <w:bookmarkEnd w:id="614"/>
      <w:bookmarkEnd w:id="615"/>
      <w:bookmarkEnd w:id="616"/>
      <w:bookmarkEnd w:id="617"/>
    </w:p>
    <w:p w14:paraId="33103E66" w14:textId="77777777" w:rsidR="00C1337A" w:rsidRPr="00951AB1" w:rsidRDefault="00C1337A" w:rsidP="000A5389">
      <w:pPr>
        <w:spacing w:line="240" w:lineRule="auto"/>
        <w:rPr>
          <w:rFonts w:cs="Times New Roman"/>
          <w:b/>
          <w:sz w:val="18"/>
          <w:szCs w:val="18"/>
        </w:rPr>
      </w:pPr>
    </w:p>
    <w:p w14:paraId="1136909F" w14:textId="77777777" w:rsidR="00C1337A" w:rsidRPr="00951AB1" w:rsidRDefault="00C1337A" w:rsidP="000A5389">
      <w:pPr>
        <w:pStyle w:val="Ttulo2"/>
        <w:numPr>
          <w:ilvl w:val="0"/>
          <w:numId w:val="0"/>
        </w:numPr>
        <w:spacing w:line="240" w:lineRule="auto"/>
        <w:rPr>
          <w:rFonts w:cs="Times New Roman"/>
          <w:szCs w:val="22"/>
        </w:rPr>
      </w:pPr>
      <w:bookmarkStart w:id="618" w:name="_Toc191369542"/>
      <w:bookmarkStart w:id="619" w:name="_Toc191456872"/>
      <w:bookmarkStart w:id="620" w:name="_Toc191456982"/>
      <w:bookmarkStart w:id="621" w:name="_Toc191457092"/>
      <w:bookmarkStart w:id="622" w:name="_Toc191475719"/>
      <w:bookmarkStart w:id="623" w:name="_Toc191475828"/>
      <w:bookmarkStart w:id="624" w:name="_Toc191475937"/>
      <w:bookmarkStart w:id="625" w:name="_Toc191475460"/>
      <w:bookmarkStart w:id="626" w:name="_Toc191505836"/>
      <w:bookmarkStart w:id="627" w:name="_Toc222824148"/>
      <w:bookmarkStart w:id="628" w:name="_Toc222955516"/>
      <w:r w:rsidRPr="00951AB1">
        <w:rPr>
          <w:rFonts w:cs="Times New Roman"/>
          <w:szCs w:val="22"/>
        </w:rPr>
        <w:t>Composición</w:t>
      </w:r>
      <w:bookmarkEnd w:id="618"/>
      <w:bookmarkEnd w:id="619"/>
      <w:bookmarkEnd w:id="620"/>
      <w:bookmarkEnd w:id="621"/>
      <w:bookmarkEnd w:id="622"/>
      <w:bookmarkEnd w:id="623"/>
      <w:bookmarkEnd w:id="624"/>
      <w:bookmarkEnd w:id="625"/>
      <w:bookmarkEnd w:id="626"/>
      <w:bookmarkEnd w:id="627"/>
      <w:bookmarkEnd w:id="628"/>
    </w:p>
    <w:p w14:paraId="7556D4C3" w14:textId="77777777" w:rsidR="00C1337A" w:rsidRPr="00951AB1" w:rsidRDefault="00C1337A" w:rsidP="000A5389">
      <w:pPr>
        <w:spacing w:line="240" w:lineRule="auto"/>
        <w:rPr>
          <w:rFonts w:cs="Times New Roman"/>
          <w:szCs w:val="24"/>
        </w:rPr>
      </w:pPr>
    </w:p>
    <w:p w14:paraId="10AD47C0" w14:textId="77777777" w:rsidR="00E814BD" w:rsidRPr="00951AB1" w:rsidRDefault="00E814BD" w:rsidP="000A5389">
      <w:pPr>
        <w:spacing w:line="240" w:lineRule="auto"/>
        <w:rPr>
          <w:rFonts w:cs="Times New Roman"/>
          <w:szCs w:val="24"/>
        </w:rPr>
      </w:pPr>
      <w:r w:rsidRPr="00951AB1">
        <w:rPr>
          <w:rFonts w:cs="Times New Roman"/>
          <w:szCs w:val="24"/>
        </w:rPr>
        <w:t xml:space="preserve">Representan el 12,62% del total del pasivo y corresponde a los procesos judiciales y trámites arbitrales en los que la entidad es parte demandada y que en aplicación a la metodología establecida en la Resolución ANI No. 20247010010885 del 27-08-2024 </w:t>
      </w:r>
      <w:r w:rsidRPr="00951AB1">
        <w:rPr>
          <w:rFonts w:cs="Times New Roman"/>
          <w:i/>
          <w:iCs/>
          <w:szCs w:val="24"/>
        </w:rPr>
        <w:t xml:space="preserve">“Por medio de la cual la Agencia Nacional de Infraestructura - ANI, adopta la Resolución 431 del 28 de julio de 2023 expedida por la Agencia Nacional de Defensa Jurídica del Estado ANDJE "Por la cual se adopta una metodología de reconocido valor técnico para el cálculo de la obligación contingente de los procesos judiciales, conciliaciones extrajudiciales y trámites arbitrales que se adelanten contra la entidad y deban ser registrados en el sistema eKOGUI” y se dictan otras disposiciones”, </w:t>
      </w:r>
      <w:r w:rsidRPr="00951AB1">
        <w:rPr>
          <w:rFonts w:cs="Times New Roman"/>
          <w:szCs w:val="24"/>
        </w:rPr>
        <w:t>da como resultado una calificación del riesgo “</w:t>
      </w:r>
      <w:r w:rsidRPr="00951AB1">
        <w:rPr>
          <w:rFonts w:cs="Times New Roman"/>
          <w:szCs w:val="24"/>
          <w:u w:val="single"/>
        </w:rPr>
        <w:t>Alto”</w:t>
      </w:r>
      <w:r w:rsidRPr="00951AB1">
        <w:rPr>
          <w:rFonts w:cs="Times New Roman"/>
          <w:szCs w:val="24"/>
        </w:rPr>
        <w:t xml:space="preserve">. </w:t>
      </w:r>
    </w:p>
    <w:p w14:paraId="62A659E1" w14:textId="77777777" w:rsidR="00E814BD" w:rsidRPr="00951AB1" w:rsidRDefault="00E814BD" w:rsidP="000A5389">
      <w:pPr>
        <w:spacing w:line="240" w:lineRule="auto"/>
        <w:rPr>
          <w:rFonts w:cs="Times New Roman"/>
          <w:szCs w:val="24"/>
        </w:rPr>
      </w:pPr>
    </w:p>
    <w:p w14:paraId="22D2F15E" w14:textId="04ACF226" w:rsidR="00E814BD" w:rsidRPr="00951AB1" w:rsidRDefault="00E814BD" w:rsidP="000A5389">
      <w:pPr>
        <w:spacing w:line="240" w:lineRule="auto"/>
        <w:rPr>
          <w:rFonts w:cs="Times New Roman"/>
          <w:i/>
          <w:iCs/>
          <w:szCs w:val="24"/>
        </w:rPr>
      </w:pPr>
      <w:r w:rsidRPr="2A085367">
        <w:rPr>
          <w:rFonts w:cs="Times New Roman"/>
          <w:szCs w:val="24"/>
        </w:rPr>
        <w:t>En cumplimiento a la resolución antes mencionada, el Grupo Interno de Trabajo de Defensa Judicial de la Vicepresidencia Jurídica remitió al Grupo Interno de Trabajo Administrativo y Financiero – Área de Contabilidad de la Vicepresidencia de Gestión Corporativa, el reporte de procesos judiciales mediante el formato eKOGUI</w:t>
      </w:r>
      <w:r w:rsidR="1FE0395A" w:rsidRPr="2A085367">
        <w:rPr>
          <w:rFonts w:cs="Times New Roman"/>
          <w:szCs w:val="24"/>
        </w:rPr>
        <w:t xml:space="preserve"> con radicado </w:t>
      </w:r>
      <w:r w:rsidR="25D57089" w:rsidRPr="2A085367">
        <w:rPr>
          <w:rFonts w:cs="Times New Roman"/>
          <w:szCs w:val="24"/>
        </w:rPr>
        <w:t xml:space="preserve">No. </w:t>
      </w:r>
      <w:r w:rsidR="1FE0395A" w:rsidRPr="2A085367">
        <w:rPr>
          <w:rFonts w:cs="Times New Roman"/>
          <w:szCs w:val="24"/>
        </w:rPr>
        <w:t>20267010040643 del 11-02-2026</w:t>
      </w:r>
      <w:r w:rsidRPr="2A085367">
        <w:rPr>
          <w:rFonts w:cs="Times New Roman"/>
          <w:szCs w:val="24"/>
        </w:rPr>
        <w:t>, y el reporte de trámites arbitrales, mediante el formato GEJU-F-010</w:t>
      </w:r>
      <w:r w:rsidR="4230AA93" w:rsidRPr="2A085367">
        <w:rPr>
          <w:rFonts w:cs="Times New Roman"/>
          <w:szCs w:val="24"/>
        </w:rPr>
        <w:t xml:space="preserve"> r</w:t>
      </w:r>
      <w:r w:rsidRPr="2A085367">
        <w:rPr>
          <w:rFonts w:cs="Times New Roman"/>
          <w:szCs w:val="24"/>
        </w:rPr>
        <w:t xml:space="preserve">adicado No. 20244010222593 del 24-12-2024, en el cual se estableció dicho formato para el </w:t>
      </w:r>
      <w:r w:rsidRPr="2A085367">
        <w:rPr>
          <w:rFonts w:cs="Times New Roman"/>
          <w:i/>
          <w:iCs/>
          <w:szCs w:val="24"/>
        </w:rPr>
        <w:t>“Reporte información de provisión contable en los trámites arbitrales”</w:t>
      </w:r>
    </w:p>
    <w:p w14:paraId="11827AD1" w14:textId="77777777" w:rsidR="00E814BD" w:rsidRDefault="00E814BD" w:rsidP="000A5389">
      <w:pPr>
        <w:spacing w:line="240" w:lineRule="auto"/>
        <w:rPr>
          <w:rFonts w:cs="Times New Roman"/>
          <w:i/>
          <w:iCs/>
          <w:szCs w:val="24"/>
        </w:rPr>
      </w:pPr>
    </w:p>
    <w:p w14:paraId="5DE22377" w14:textId="77777777" w:rsidR="0039091F" w:rsidRPr="00951AB1" w:rsidRDefault="0039091F" w:rsidP="000A5389">
      <w:pPr>
        <w:spacing w:line="240" w:lineRule="auto"/>
        <w:rPr>
          <w:rFonts w:cs="Times New Roman"/>
          <w:i/>
          <w:iCs/>
          <w:szCs w:val="24"/>
        </w:rPr>
      </w:pPr>
    </w:p>
    <w:tbl>
      <w:tblPr>
        <w:tblW w:w="5000" w:type="pct"/>
        <w:jc w:val="center"/>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CellMar>
          <w:left w:w="70" w:type="dxa"/>
          <w:right w:w="70" w:type="dxa"/>
        </w:tblCellMar>
        <w:tblLook w:val="04A0" w:firstRow="1" w:lastRow="0" w:firstColumn="1" w:lastColumn="0" w:noHBand="0" w:noVBand="1"/>
      </w:tblPr>
      <w:tblGrid>
        <w:gridCol w:w="1248"/>
        <w:gridCol w:w="639"/>
        <w:gridCol w:w="1773"/>
        <w:gridCol w:w="1702"/>
        <w:gridCol w:w="1702"/>
        <w:gridCol w:w="1764"/>
      </w:tblGrid>
      <w:tr w:rsidR="00E814BD" w:rsidRPr="00951AB1" w14:paraId="627247B2" w14:textId="77777777" w:rsidTr="00BE38AF">
        <w:trPr>
          <w:trHeight w:val="570"/>
          <w:jc w:val="center"/>
        </w:trPr>
        <w:tc>
          <w:tcPr>
            <w:tcW w:w="707" w:type="pct"/>
            <w:noWrap/>
            <w:vAlign w:val="center"/>
            <w:hideMark/>
          </w:tcPr>
          <w:p w14:paraId="55AE6B55" w14:textId="77777777" w:rsidR="00E814BD" w:rsidRPr="00951AB1" w:rsidRDefault="00E814BD" w:rsidP="000A5389">
            <w:pPr>
              <w:spacing w:line="240" w:lineRule="auto"/>
              <w:rPr>
                <w:rFonts w:eastAsia="Times New Roman" w:cs="Times New Roman"/>
                <w:b/>
                <w:color w:val="000000" w:themeColor="text1"/>
                <w:sz w:val="18"/>
                <w:szCs w:val="18"/>
                <w:lang w:eastAsia="es-CO"/>
              </w:rPr>
            </w:pPr>
            <w:r w:rsidRPr="00951AB1">
              <w:rPr>
                <w:rFonts w:eastAsia="Times New Roman" w:cs="Times New Roman"/>
                <w:b/>
                <w:color w:val="000000" w:themeColor="text1"/>
                <w:sz w:val="18"/>
                <w:szCs w:val="18"/>
                <w:lang w:eastAsia="es-CO"/>
              </w:rPr>
              <w:t xml:space="preserve">CÓDIGO </w:t>
            </w:r>
          </w:p>
          <w:p w14:paraId="1F5879B1" w14:textId="77777777" w:rsidR="00E814BD" w:rsidRPr="00951AB1" w:rsidRDefault="00E814BD" w:rsidP="000A5389">
            <w:pPr>
              <w:spacing w:line="240" w:lineRule="auto"/>
              <w:rPr>
                <w:rFonts w:eastAsia="Times New Roman" w:cs="Times New Roman"/>
                <w:sz w:val="18"/>
                <w:szCs w:val="18"/>
                <w:lang w:eastAsia="es-CO"/>
              </w:rPr>
            </w:pPr>
            <w:r w:rsidRPr="00951AB1">
              <w:rPr>
                <w:rFonts w:eastAsia="Times New Roman" w:cs="Times New Roman"/>
                <w:b/>
                <w:color w:val="000000" w:themeColor="text1"/>
                <w:sz w:val="18"/>
                <w:szCs w:val="18"/>
                <w:lang w:eastAsia="es-CO"/>
              </w:rPr>
              <w:t>CONTABLE</w:t>
            </w:r>
          </w:p>
        </w:tc>
        <w:tc>
          <w:tcPr>
            <w:tcW w:w="362" w:type="pct"/>
            <w:noWrap/>
            <w:vAlign w:val="center"/>
            <w:hideMark/>
          </w:tcPr>
          <w:p w14:paraId="20413EAA" w14:textId="77777777" w:rsidR="00E814BD" w:rsidRPr="00951AB1" w:rsidRDefault="00E814BD" w:rsidP="000A5389">
            <w:pPr>
              <w:spacing w:line="240" w:lineRule="auto"/>
              <w:rPr>
                <w:rFonts w:eastAsia="Times New Roman" w:cs="Times New Roman"/>
                <w:sz w:val="18"/>
                <w:szCs w:val="18"/>
                <w:lang w:eastAsia="es-CO"/>
              </w:rPr>
            </w:pPr>
            <w:r w:rsidRPr="00951AB1">
              <w:rPr>
                <w:rFonts w:eastAsia="Times New Roman" w:cs="Times New Roman"/>
                <w:b/>
                <w:color w:val="000000" w:themeColor="text1"/>
                <w:sz w:val="18"/>
                <w:szCs w:val="18"/>
                <w:lang w:eastAsia="es-CO"/>
              </w:rPr>
              <w:t>NAT</w:t>
            </w:r>
          </w:p>
        </w:tc>
        <w:tc>
          <w:tcPr>
            <w:tcW w:w="1004" w:type="pct"/>
            <w:vAlign w:val="center"/>
            <w:hideMark/>
          </w:tcPr>
          <w:p w14:paraId="020DBE8D" w14:textId="77777777" w:rsidR="00E814BD" w:rsidRPr="00951AB1" w:rsidRDefault="00E814BD" w:rsidP="000A5389">
            <w:pPr>
              <w:spacing w:line="240" w:lineRule="auto"/>
              <w:jc w:val="center"/>
              <w:rPr>
                <w:rFonts w:eastAsia="Times New Roman" w:cs="Times New Roman"/>
                <w:b/>
                <w:sz w:val="18"/>
                <w:szCs w:val="18"/>
                <w:lang w:eastAsia="es-CO"/>
              </w:rPr>
            </w:pPr>
            <w:r w:rsidRPr="00951AB1">
              <w:rPr>
                <w:rFonts w:eastAsia="Times New Roman" w:cs="Times New Roman"/>
                <w:b/>
                <w:sz w:val="18"/>
                <w:szCs w:val="18"/>
                <w:lang w:eastAsia="es-CO"/>
              </w:rPr>
              <w:t>CONCEPTO</w:t>
            </w:r>
          </w:p>
        </w:tc>
        <w:tc>
          <w:tcPr>
            <w:tcW w:w="964" w:type="pct"/>
            <w:vAlign w:val="center"/>
            <w:hideMark/>
          </w:tcPr>
          <w:p w14:paraId="6453E2F0" w14:textId="77777777" w:rsidR="00E814BD" w:rsidRPr="00951AB1" w:rsidRDefault="00E814BD" w:rsidP="000A5389">
            <w:pPr>
              <w:spacing w:line="240" w:lineRule="auto"/>
              <w:jc w:val="center"/>
              <w:rPr>
                <w:rFonts w:eastAsia="Times New Roman" w:cs="Times New Roman"/>
                <w:b/>
                <w:sz w:val="18"/>
                <w:szCs w:val="18"/>
                <w:lang w:eastAsia="es-CO"/>
              </w:rPr>
            </w:pPr>
            <w:r w:rsidRPr="00951AB1">
              <w:rPr>
                <w:rFonts w:eastAsia="Times New Roman" w:cs="Times New Roman"/>
                <w:b/>
                <w:sz w:val="18"/>
                <w:szCs w:val="18"/>
                <w:lang w:eastAsia="es-CO"/>
              </w:rPr>
              <w:t xml:space="preserve">2025 </w:t>
            </w:r>
          </w:p>
        </w:tc>
        <w:tc>
          <w:tcPr>
            <w:tcW w:w="964" w:type="pct"/>
            <w:vAlign w:val="center"/>
            <w:hideMark/>
          </w:tcPr>
          <w:p w14:paraId="0136087B" w14:textId="77777777" w:rsidR="00E814BD" w:rsidRPr="00951AB1" w:rsidRDefault="00E814BD" w:rsidP="000A5389">
            <w:pPr>
              <w:spacing w:line="240" w:lineRule="auto"/>
              <w:jc w:val="center"/>
              <w:rPr>
                <w:rFonts w:eastAsia="Times New Roman" w:cs="Times New Roman"/>
                <w:b/>
                <w:sz w:val="18"/>
                <w:szCs w:val="18"/>
                <w:lang w:eastAsia="es-CO"/>
              </w:rPr>
            </w:pPr>
            <w:r w:rsidRPr="00951AB1">
              <w:rPr>
                <w:rFonts w:eastAsia="Times New Roman" w:cs="Times New Roman"/>
                <w:b/>
                <w:sz w:val="18"/>
                <w:szCs w:val="18"/>
                <w:lang w:eastAsia="es-CO"/>
              </w:rPr>
              <w:t xml:space="preserve">2024 </w:t>
            </w:r>
          </w:p>
        </w:tc>
        <w:tc>
          <w:tcPr>
            <w:tcW w:w="999" w:type="pct"/>
            <w:vAlign w:val="center"/>
            <w:hideMark/>
          </w:tcPr>
          <w:p w14:paraId="10F00165" w14:textId="77777777" w:rsidR="00E814BD" w:rsidRPr="00951AB1" w:rsidRDefault="00E814BD" w:rsidP="000A5389">
            <w:pPr>
              <w:spacing w:line="240" w:lineRule="auto"/>
              <w:jc w:val="center"/>
              <w:rPr>
                <w:rFonts w:eastAsia="Times New Roman" w:cs="Times New Roman"/>
                <w:b/>
                <w:sz w:val="18"/>
                <w:szCs w:val="18"/>
                <w:lang w:eastAsia="es-CO"/>
              </w:rPr>
            </w:pPr>
            <w:r w:rsidRPr="00951AB1">
              <w:rPr>
                <w:rFonts w:eastAsia="Times New Roman" w:cs="Times New Roman"/>
                <w:b/>
                <w:sz w:val="18"/>
                <w:szCs w:val="18"/>
                <w:lang w:eastAsia="es-CO"/>
              </w:rPr>
              <w:t>VALOR VARIACIÓN</w:t>
            </w:r>
          </w:p>
        </w:tc>
      </w:tr>
      <w:tr w:rsidR="00E814BD" w:rsidRPr="00951AB1" w14:paraId="266A2053" w14:textId="77777777" w:rsidTr="00BE38AF">
        <w:trPr>
          <w:trHeight w:val="285"/>
          <w:jc w:val="center"/>
        </w:trPr>
        <w:tc>
          <w:tcPr>
            <w:tcW w:w="707" w:type="pct"/>
            <w:noWrap/>
            <w:vAlign w:val="center"/>
            <w:hideMark/>
          </w:tcPr>
          <w:p w14:paraId="5535725C" w14:textId="77777777" w:rsidR="00E814BD" w:rsidRPr="00951AB1" w:rsidRDefault="00E814BD" w:rsidP="000A5389">
            <w:pPr>
              <w:spacing w:line="240" w:lineRule="auto"/>
              <w:rPr>
                <w:rFonts w:eastAsia="Times New Roman" w:cs="Times New Roman"/>
                <w:b/>
                <w:sz w:val="18"/>
                <w:szCs w:val="18"/>
                <w:lang w:eastAsia="es-CO"/>
              </w:rPr>
            </w:pPr>
            <w:r w:rsidRPr="00951AB1">
              <w:rPr>
                <w:rFonts w:eastAsia="Times New Roman" w:cs="Times New Roman"/>
                <w:b/>
                <w:sz w:val="18"/>
                <w:szCs w:val="18"/>
                <w:lang w:eastAsia="es-CO"/>
              </w:rPr>
              <w:t>2.7</w:t>
            </w:r>
          </w:p>
        </w:tc>
        <w:tc>
          <w:tcPr>
            <w:tcW w:w="362" w:type="pct"/>
            <w:noWrap/>
            <w:vAlign w:val="center"/>
            <w:hideMark/>
          </w:tcPr>
          <w:p w14:paraId="7E710AC9" w14:textId="77777777" w:rsidR="00E814BD" w:rsidRPr="00951AB1" w:rsidRDefault="00E814BD" w:rsidP="000A5389">
            <w:pPr>
              <w:spacing w:line="240" w:lineRule="auto"/>
              <w:jc w:val="center"/>
              <w:rPr>
                <w:rFonts w:eastAsia="Times New Roman" w:cs="Times New Roman"/>
                <w:b/>
                <w:sz w:val="18"/>
                <w:szCs w:val="18"/>
                <w:lang w:eastAsia="es-CO"/>
              </w:rPr>
            </w:pPr>
            <w:r w:rsidRPr="00951AB1">
              <w:rPr>
                <w:rFonts w:eastAsia="Times New Roman" w:cs="Times New Roman"/>
                <w:b/>
                <w:sz w:val="18"/>
                <w:szCs w:val="18"/>
                <w:lang w:eastAsia="es-CO"/>
              </w:rPr>
              <w:t>Cr</w:t>
            </w:r>
          </w:p>
        </w:tc>
        <w:tc>
          <w:tcPr>
            <w:tcW w:w="1004" w:type="pct"/>
            <w:vAlign w:val="center"/>
            <w:hideMark/>
          </w:tcPr>
          <w:p w14:paraId="51B7B947" w14:textId="77777777" w:rsidR="00E814BD" w:rsidRPr="00951AB1" w:rsidRDefault="00E814BD" w:rsidP="000A5389">
            <w:pPr>
              <w:spacing w:line="240" w:lineRule="auto"/>
              <w:jc w:val="center"/>
              <w:rPr>
                <w:rFonts w:eastAsia="Times New Roman" w:cs="Times New Roman"/>
                <w:b/>
                <w:sz w:val="18"/>
                <w:szCs w:val="18"/>
                <w:lang w:eastAsia="es-CO"/>
              </w:rPr>
            </w:pPr>
            <w:r w:rsidRPr="00951AB1">
              <w:rPr>
                <w:rFonts w:eastAsia="Times New Roman" w:cs="Times New Roman"/>
                <w:b/>
                <w:sz w:val="18"/>
                <w:szCs w:val="18"/>
                <w:lang w:eastAsia="es-CO"/>
              </w:rPr>
              <w:t>PROVISIONES</w:t>
            </w:r>
          </w:p>
        </w:tc>
        <w:tc>
          <w:tcPr>
            <w:tcW w:w="964" w:type="pct"/>
            <w:noWrap/>
            <w:vAlign w:val="center"/>
            <w:hideMark/>
          </w:tcPr>
          <w:p w14:paraId="104BC72A" w14:textId="77777777" w:rsidR="00E814BD" w:rsidRPr="00951AB1" w:rsidRDefault="00E814BD" w:rsidP="000A5389">
            <w:pPr>
              <w:spacing w:line="240" w:lineRule="auto"/>
              <w:jc w:val="right"/>
              <w:rPr>
                <w:rFonts w:eastAsia="Times New Roman" w:cs="Times New Roman"/>
                <w:b/>
                <w:sz w:val="18"/>
                <w:szCs w:val="18"/>
                <w:lang w:eastAsia="es-CO"/>
              </w:rPr>
            </w:pPr>
            <w:r w:rsidRPr="00951AB1">
              <w:rPr>
                <w:rFonts w:eastAsia="Times New Roman" w:cs="Times New Roman"/>
                <w:b/>
                <w:sz w:val="18"/>
                <w:szCs w:val="18"/>
                <w:lang w:eastAsia="es-CO"/>
              </w:rPr>
              <w:t>8.579.406.297.277</w:t>
            </w:r>
          </w:p>
        </w:tc>
        <w:tc>
          <w:tcPr>
            <w:tcW w:w="964" w:type="pct"/>
            <w:noWrap/>
            <w:vAlign w:val="center"/>
            <w:hideMark/>
          </w:tcPr>
          <w:p w14:paraId="46245F17" w14:textId="77777777" w:rsidR="00E814BD" w:rsidRPr="00951AB1" w:rsidRDefault="00E814BD" w:rsidP="000A5389">
            <w:pPr>
              <w:spacing w:line="240" w:lineRule="auto"/>
              <w:jc w:val="right"/>
              <w:rPr>
                <w:rFonts w:eastAsia="Times New Roman" w:cs="Times New Roman"/>
                <w:b/>
                <w:sz w:val="18"/>
                <w:szCs w:val="18"/>
                <w:lang w:eastAsia="es-CO"/>
              </w:rPr>
            </w:pPr>
            <w:r w:rsidRPr="00951AB1">
              <w:rPr>
                <w:rFonts w:eastAsia="Times New Roman" w:cs="Times New Roman"/>
                <w:b/>
                <w:sz w:val="18"/>
                <w:szCs w:val="18"/>
                <w:lang w:eastAsia="es-CO"/>
              </w:rPr>
              <w:t>4.920.325.175.588</w:t>
            </w:r>
          </w:p>
        </w:tc>
        <w:tc>
          <w:tcPr>
            <w:tcW w:w="999" w:type="pct"/>
            <w:noWrap/>
            <w:vAlign w:val="center"/>
            <w:hideMark/>
          </w:tcPr>
          <w:p w14:paraId="7C60BE1C" w14:textId="77777777" w:rsidR="00E814BD" w:rsidRPr="00951AB1" w:rsidRDefault="00E814BD" w:rsidP="000A5389">
            <w:pPr>
              <w:spacing w:line="240" w:lineRule="auto"/>
              <w:jc w:val="right"/>
              <w:rPr>
                <w:rFonts w:eastAsia="Times New Roman" w:cs="Times New Roman"/>
                <w:b/>
                <w:sz w:val="18"/>
                <w:szCs w:val="18"/>
                <w:lang w:eastAsia="es-CO"/>
              </w:rPr>
            </w:pPr>
            <w:r w:rsidRPr="00951AB1">
              <w:rPr>
                <w:rFonts w:eastAsia="Times New Roman" w:cs="Times New Roman"/>
                <w:b/>
                <w:sz w:val="18"/>
                <w:szCs w:val="18"/>
                <w:lang w:eastAsia="es-CO"/>
              </w:rPr>
              <w:t>3.659.081.121.689</w:t>
            </w:r>
          </w:p>
        </w:tc>
      </w:tr>
      <w:tr w:rsidR="00E814BD" w:rsidRPr="00951AB1" w14:paraId="2F8E1946" w14:textId="77777777" w:rsidTr="00BE38AF">
        <w:trPr>
          <w:trHeight w:val="300"/>
          <w:jc w:val="center"/>
        </w:trPr>
        <w:tc>
          <w:tcPr>
            <w:tcW w:w="707" w:type="pct"/>
            <w:noWrap/>
            <w:vAlign w:val="center"/>
          </w:tcPr>
          <w:p w14:paraId="5066D636" w14:textId="77777777" w:rsidR="00E814BD" w:rsidRPr="00951AB1" w:rsidRDefault="00E814BD" w:rsidP="000A5389">
            <w:pPr>
              <w:spacing w:line="240" w:lineRule="auto"/>
              <w:rPr>
                <w:rFonts w:eastAsia="Times New Roman" w:cs="Times New Roman"/>
                <w:sz w:val="18"/>
                <w:szCs w:val="18"/>
                <w:lang w:eastAsia="es-CO"/>
              </w:rPr>
            </w:pPr>
            <w:r w:rsidRPr="00951AB1">
              <w:rPr>
                <w:rFonts w:eastAsia="Times New Roman" w:cs="Times New Roman"/>
                <w:sz w:val="18"/>
                <w:szCs w:val="18"/>
                <w:lang w:eastAsia="es-CO"/>
              </w:rPr>
              <w:t>2.7.90</w:t>
            </w:r>
          </w:p>
        </w:tc>
        <w:tc>
          <w:tcPr>
            <w:tcW w:w="362" w:type="pct"/>
            <w:noWrap/>
            <w:vAlign w:val="center"/>
          </w:tcPr>
          <w:p w14:paraId="1434A917" w14:textId="77777777" w:rsidR="00E814BD" w:rsidRPr="00951AB1" w:rsidRDefault="00E814BD" w:rsidP="000A5389">
            <w:pPr>
              <w:spacing w:line="240" w:lineRule="auto"/>
              <w:jc w:val="center"/>
              <w:rPr>
                <w:rFonts w:eastAsia="Times New Roman" w:cs="Times New Roman"/>
                <w:sz w:val="18"/>
                <w:szCs w:val="18"/>
                <w:lang w:eastAsia="es-CO"/>
              </w:rPr>
            </w:pPr>
            <w:r w:rsidRPr="00951AB1">
              <w:rPr>
                <w:rFonts w:eastAsia="Times New Roman" w:cs="Times New Roman"/>
                <w:sz w:val="18"/>
                <w:szCs w:val="18"/>
                <w:lang w:eastAsia="es-CO"/>
              </w:rPr>
              <w:t>Cr</w:t>
            </w:r>
          </w:p>
        </w:tc>
        <w:tc>
          <w:tcPr>
            <w:tcW w:w="1004" w:type="pct"/>
            <w:vAlign w:val="center"/>
          </w:tcPr>
          <w:p w14:paraId="4347982B" w14:textId="77777777" w:rsidR="00E814BD" w:rsidRPr="00951AB1" w:rsidRDefault="00E814BD" w:rsidP="000A5389">
            <w:pPr>
              <w:spacing w:line="240" w:lineRule="auto"/>
              <w:rPr>
                <w:rFonts w:eastAsia="Times New Roman" w:cs="Times New Roman"/>
                <w:sz w:val="18"/>
                <w:szCs w:val="18"/>
                <w:lang w:eastAsia="es-CO"/>
              </w:rPr>
            </w:pPr>
            <w:r w:rsidRPr="00951AB1">
              <w:rPr>
                <w:rFonts w:eastAsia="Times New Roman" w:cs="Times New Roman"/>
                <w:sz w:val="18"/>
                <w:szCs w:val="18"/>
                <w:lang w:eastAsia="es-CO"/>
              </w:rPr>
              <w:t>Provisiones diversas</w:t>
            </w:r>
          </w:p>
        </w:tc>
        <w:tc>
          <w:tcPr>
            <w:tcW w:w="964" w:type="pct"/>
            <w:noWrap/>
            <w:vAlign w:val="center"/>
          </w:tcPr>
          <w:p w14:paraId="2CA58808" w14:textId="77777777" w:rsidR="00E814BD" w:rsidRPr="00951AB1" w:rsidRDefault="00E814BD" w:rsidP="000A5389">
            <w:pPr>
              <w:spacing w:line="240" w:lineRule="auto"/>
              <w:jc w:val="right"/>
              <w:rPr>
                <w:rFonts w:eastAsia="Times New Roman" w:cs="Times New Roman"/>
                <w:sz w:val="18"/>
                <w:szCs w:val="18"/>
                <w:lang w:eastAsia="es-CO"/>
              </w:rPr>
            </w:pPr>
            <w:r w:rsidRPr="00951AB1">
              <w:rPr>
                <w:rFonts w:eastAsia="Times New Roman" w:cs="Times New Roman"/>
                <w:sz w:val="18"/>
                <w:szCs w:val="18"/>
                <w:lang w:eastAsia="es-CO"/>
              </w:rPr>
              <w:t>8.460.951.659.011</w:t>
            </w:r>
          </w:p>
        </w:tc>
        <w:tc>
          <w:tcPr>
            <w:tcW w:w="964" w:type="pct"/>
            <w:noWrap/>
            <w:vAlign w:val="center"/>
          </w:tcPr>
          <w:p w14:paraId="65606FA6" w14:textId="77777777" w:rsidR="00E814BD" w:rsidRPr="00951AB1" w:rsidRDefault="00E814BD" w:rsidP="000A5389">
            <w:pPr>
              <w:spacing w:line="240" w:lineRule="auto"/>
              <w:jc w:val="right"/>
              <w:rPr>
                <w:rFonts w:eastAsia="Times New Roman" w:cs="Times New Roman"/>
                <w:sz w:val="18"/>
                <w:szCs w:val="18"/>
                <w:lang w:eastAsia="es-CO"/>
              </w:rPr>
            </w:pPr>
            <w:r w:rsidRPr="00951AB1">
              <w:rPr>
                <w:rFonts w:eastAsia="Times New Roman" w:cs="Times New Roman"/>
                <w:sz w:val="18"/>
                <w:szCs w:val="18"/>
                <w:lang w:eastAsia="es-CO"/>
              </w:rPr>
              <w:t>3.317.233.113.439</w:t>
            </w:r>
          </w:p>
        </w:tc>
        <w:tc>
          <w:tcPr>
            <w:tcW w:w="999" w:type="pct"/>
            <w:noWrap/>
            <w:vAlign w:val="center"/>
          </w:tcPr>
          <w:p w14:paraId="3FA81DDA" w14:textId="77777777" w:rsidR="00E814BD" w:rsidRPr="00951AB1" w:rsidRDefault="00E814BD" w:rsidP="000A5389">
            <w:pPr>
              <w:spacing w:line="240" w:lineRule="auto"/>
              <w:jc w:val="right"/>
              <w:rPr>
                <w:rFonts w:eastAsia="Times New Roman" w:cs="Times New Roman"/>
                <w:sz w:val="18"/>
                <w:szCs w:val="18"/>
                <w:lang w:eastAsia="es-CO"/>
              </w:rPr>
            </w:pPr>
            <w:r w:rsidRPr="00951AB1">
              <w:rPr>
                <w:rFonts w:eastAsia="Times New Roman" w:cs="Times New Roman"/>
                <w:sz w:val="18"/>
                <w:szCs w:val="18"/>
                <w:lang w:eastAsia="es-CO"/>
              </w:rPr>
              <w:t>5.143.718.545.572</w:t>
            </w:r>
          </w:p>
        </w:tc>
      </w:tr>
      <w:tr w:rsidR="00E814BD" w:rsidRPr="00951AB1" w14:paraId="0E3C44FB" w14:textId="77777777" w:rsidTr="00BE38AF">
        <w:trPr>
          <w:trHeight w:val="300"/>
          <w:jc w:val="center"/>
        </w:trPr>
        <w:tc>
          <w:tcPr>
            <w:tcW w:w="707" w:type="pct"/>
            <w:noWrap/>
            <w:vAlign w:val="center"/>
            <w:hideMark/>
          </w:tcPr>
          <w:p w14:paraId="796C6D8A" w14:textId="77777777" w:rsidR="00E814BD" w:rsidRPr="00951AB1" w:rsidRDefault="00E814BD" w:rsidP="000A5389">
            <w:pPr>
              <w:spacing w:line="240" w:lineRule="auto"/>
              <w:rPr>
                <w:rFonts w:eastAsia="Times New Roman" w:cs="Times New Roman"/>
                <w:sz w:val="18"/>
                <w:szCs w:val="18"/>
                <w:lang w:eastAsia="es-CO"/>
              </w:rPr>
            </w:pPr>
            <w:r w:rsidRPr="00951AB1">
              <w:rPr>
                <w:rFonts w:eastAsia="Times New Roman" w:cs="Times New Roman"/>
                <w:sz w:val="18"/>
                <w:szCs w:val="18"/>
                <w:lang w:eastAsia="es-CO"/>
              </w:rPr>
              <w:t>2.7.01</w:t>
            </w:r>
          </w:p>
        </w:tc>
        <w:tc>
          <w:tcPr>
            <w:tcW w:w="362" w:type="pct"/>
            <w:noWrap/>
            <w:vAlign w:val="center"/>
            <w:hideMark/>
          </w:tcPr>
          <w:p w14:paraId="4FB3428A" w14:textId="77777777" w:rsidR="00E814BD" w:rsidRPr="00951AB1" w:rsidRDefault="00E814BD" w:rsidP="000A5389">
            <w:pPr>
              <w:spacing w:line="240" w:lineRule="auto"/>
              <w:jc w:val="center"/>
              <w:rPr>
                <w:rFonts w:eastAsia="Times New Roman" w:cs="Times New Roman"/>
                <w:sz w:val="18"/>
                <w:szCs w:val="18"/>
                <w:lang w:eastAsia="es-CO"/>
              </w:rPr>
            </w:pPr>
            <w:r w:rsidRPr="00951AB1">
              <w:rPr>
                <w:rFonts w:eastAsia="Times New Roman" w:cs="Times New Roman"/>
                <w:sz w:val="18"/>
                <w:szCs w:val="18"/>
                <w:lang w:eastAsia="es-CO"/>
              </w:rPr>
              <w:t>Cr</w:t>
            </w:r>
          </w:p>
        </w:tc>
        <w:tc>
          <w:tcPr>
            <w:tcW w:w="1004" w:type="pct"/>
            <w:vAlign w:val="center"/>
            <w:hideMark/>
          </w:tcPr>
          <w:p w14:paraId="2B0C8844" w14:textId="77777777" w:rsidR="00E814BD" w:rsidRPr="00951AB1" w:rsidRDefault="00E814BD" w:rsidP="000A5389">
            <w:pPr>
              <w:spacing w:line="240" w:lineRule="auto"/>
              <w:rPr>
                <w:rFonts w:eastAsia="Times New Roman" w:cs="Times New Roman"/>
                <w:sz w:val="18"/>
                <w:szCs w:val="18"/>
                <w:lang w:eastAsia="es-CO"/>
              </w:rPr>
            </w:pPr>
            <w:r w:rsidRPr="00951AB1">
              <w:rPr>
                <w:rFonts w:eastAsia="Times New Roman" w:cs="Times New Roman"/>
                <w:sz w:val="18"/>
                <w:szCs w:val="18"/>
                <w:lang w:eastAsia="es-CO"/>
              </w:rPr>
              <w:t>Litigios y demandas</w:t>
            </w:r>
          </w:p>
        </w:tc>
        <w:tc>
          <w:tcPr>
            <w:tcW w:w="964" w:type="pct"/>
            <w:noWrap/>
            <w:vAlign w:val="center"/>
            <w:hideMark/>
          </w:tcPr>
          <w:p w14:paraId="1AD47445" w14:textId="77777777" w:rsidR="00E814BD" w:rsidRPr="00951AB1" w:rsidRDefault="00E814BD" w:rsidP="000A5389">
            <w:pPr>
              <w:spacing w:line="240" w:lineRule="auto"/>
              <w:jc w:val="right"/>
              <w:rPr>
                <w:rFonts w:eastAsia="Times New Roman" w:cs="Times New Roman"/>
                <w:sz w:val="18"/>
                <w:szCs w:val="18"/>
                <w:lang w:eastAsia="es-CO"/>
              </w:rPr>
            </w:pPr>
            <w:r w:rsidRPr="00951AB1">
              <w:rPr>
                <w:rFonts w:eastAsia="Times New Roman" w:cs="Times New Roman"/>
                <w:sz w:val="18"/>
                <w:szCs w:val="18"/>
                <w:lang w:eastAsia="es-CO"/>
              </w:rPr>
              <w:t>118.454.638.266</w:t>
            </w:r>
          </w:p>
        </w:tc>
        <w:tc>
          <w:tcPr>
            <w:tcW w:w="964" w:type="pct"/>
            <w:noWrap/>
            <w:vAlign w:val="center"/>
            <w:hideMark/>
          </w:tcPr>
          <w:p w14:paraId="637D2D31" w14:textId="77777777" w:rsidR="00E814BD" w:rsidRPr="00951AB1" w:rsidRDefault="00E814BD" w:rsidP="000A5389">
            <w:pPr>
              <w:spacing w:line="240" w:lineRule="auto"/>
              <w:jc w:val="right"/>
              <w:rPr>
                <w:rFonts w:eastAsia="Times New Roman" w:cs="Times New Roman"/>
                <w:sz w:val="18"/>
                <w:szCs w:val="18"/>
                <w:lang w:eastAsia="es-CO"/>
              </w:rPr>
            </w:pPr>
            <w:r w:rsidRPr="00951AB1">
              <w:rPr>
                <w:rFonts w:eastAsia="Times New Roman" w:cs="Times New Roman"/>
                <w:sz w:val="18"/>
                <w:szCs w:val="18"/>
                <w:lang w:eastAsia="es-CO"/>
              </w:rPr>
              <w:t>1.603.092.062.149</w:t>
            </w:r>
          </w:p>
        </w:tc>
        <w:tc>
          <w:tcPr>
            <w:tcW w:w="999" w:type="pct"/>
            <w:noWrap/>
            <w:vAlign w:val="center"/>
            <w:hideMark/>
          </w:tcPr>
          <w:p w14:paraId="543B9E7F" w14:textId="77777777" w:rsidR="00E814BD" w:rsidRPr="00951AB1" w:rsidRDefault="00E814BD" w:rsidP="000A5389">
            <w:pPr>
              <w:spacing w:line="240" w:lineRule="auto"/>
              <w:jc w:val="right"/>
              <w:rPr>
                <w:rFonts w:eastAsia="Times New Roman" w:cs="Times New Roman"/>
                <w:sz w:val="18"/>
                <w:szCs w:val="18"/>
                <w:lang w:eastAsia="es-CO"/>
              </w:rPr>
            </w:pPr>
            <w:r w:rsidRPr="00951AB1">
              <w:rPr>
                <w:rFonts w:eastAsia="Times New Roman" w:cs="Times New Roman"/>
                <w:sz w:val="18"/>
                <w:szCs w:val="18"/>
                <w:lang w:eastAsia="es-CO"/>
              </w:rPr>
              <w:t>-1.484.637.423.883</w:t>
            </w:r>
          </w:p>
        </w:tc>
      </w:tr>
    </w:tbl>
    <w:p w14:paraId="392F18AA" w14:textId="79988015" w:rsidR="00E814BD" w:rsidRPr="00951AB1" w:rsidRDefault="00E814BD" w:rsidP="000A5389">
      <w:pPr>
        <w:autoSpaceDE w:val="0"/>
        <w:autoSpaceDN w:val="0"/>
        <w:adjustRightInd w:val="0"/>
        <w:spacing w:line="240" w:lineRule="auto"/>
        <w:rPr>
          <w:rFonts w:cs="Times New Roman"/>
          <w:color w:val="000000"/>
          <w:sz w:val="14"/>
          <w:szCs w:val="14"/>
        </w:rPr>
      </w:pPr>
      <w:r w:rsidRPr="00951AB1">
        <w:rPr>
          <w:rFonts w:cs="Times New Roman"/>
          <w:color w:val="000000"/>
          <w:sz w:val="14"/>
          <w:szCs w:val="14"/>
        </w:rPr>
        <w:t xml:space="preserve"> Cifras expresadas en pesos</w:t>
      </w:r>
    </w:p>
    <w:p w14:paraId="5ED21689" w14:textId="77777777" w:rsidR="00E814BD" w:rsidRPr="00951AB1" w:rsidRDefault="00E814BD" w:rsidP="000A5389">
      <w:pPr>
        <w:spacing w:line="240" w:lineRule="auto"/>
        <w:rPr>
          <w:rFonts w:cs="Times New Roman"/>
          <w:i/>
          <w:iCs/>
          <w:szCs w:val="24"/>
        </w:rPr>
      </w:pPr>
    </w:p>
    <w:p w14:paraId="3CB76B5F" w14:textId="77777777" w:rsidR="00E814BD" w:rsidRPr="00951AB1" w:rsidRDefault="00E814BD" w:rsidP="000A5389">
      <w:pPr>
        <w:spacing w:line="240" w:lineRule="auto"/>
        <w:rPr>
          <w:rFonts w:cs="Times New Roman"/>
          <w:szCs w:val="24"/>
        </w:rPr>
      </w:pPr>
      <w:r w:rsidRPr="00951AB1">
        <w:rPr>
          <w:rFonts w:cs="Times New Roman"/>
          <w:szCs w:val="24"/>
        </w:rPr>
        <w:t>El saldo de la cuenta </w:t>
      </w:r>
      <w:r w:rsidRPr="00951AB1">
        <w:rPr>
          <w:rFonts w:cs="Times New Roman"/>
          <w:i/>
          <w:iCs/>
          <w:szCs w:val="24"/>
        </w:rPr>
        <w:t>Provisiones</w:t>
      </w:r>
      <w:r w:rsidRPr="00951AB1">
        <w:rPr>
          <w:rFonts w:cs="Times New Roman"/>
          <w:szCs w:val="24"/>
        </w:rPr>
        <w:t xml:space="preserve"> año 2025, se reportó como no corriente. </w:t>
      </w:r>
    </w:p>
    <w:p w14:paraId="65F7BB31" w14:textId="3A2D8BD7" w:rsidR="00E814BD" w:rsidRPr="00951AB1" w:rsidRDefault="00BE38AF" w:rsidP="000A5389">
      <w:pPr>
        <w:pStyle w:val="Ttulo2"/>
        <w:numPr>
          <w:ilvl w:val="1"/>
          <w:numId w:val="54"/>
        </w:numPr>
        <w:spacing w:line="240" w:lineRule="auto"/>
        <w:rPr>
          <w:rFonts w:cs="Times New Roman"/>
          <w:szCs w:val="24"/>
        </w:rPr>
      </w:pPr>
      <w:bookmarkStart w:id="629" w:name="_Toc159952412"/>
      <w:r w:rsidRPr="00951AB1">
        <w:rPr>
          <w:rFonts w:cs="Times New Roman"/>
          <w:szCs w:val="24"/>
        </w:rPr>
        <w:lastRenderedPageBreak/>
        <w:t xml:space="preserve"> </w:t>
      </w:r>
      <w:r w:rsidRPr="00951AB1">
        <w:rPr>
          <w:rFonts w:cs="Times New Roman"/>
          <w:szCs w:val="24"/>
        </w:rPr>
        <w:tab/>
      </w:r>
      <w:bookmarkStart w:id="630" w:name="_Toc222955517"/>
      <w:r w:rsidR="00E814BD" w:rsidRPr="00951AB1">
        <w:rPr>
          <w:rFonts w:cs="Times New Roman"/>
          <w:szCs w:val="24"/>
        </w:rPr>
        <w:t>Provisiones diversas</w:t>
      </w:r>
      <w:bookmarkEnd w:id="629"/>
      <w:bookmarkEnd w:id="630"/>
    </w:p>
    <w:p w14:paraId="6BD5297B" w14:textId="77777777" w:rsidR="00E814BD" w:rsidRPr="00951AB1" w:rsidRDefault="00E814BD" w:rsidP="000A5389">
      <w:pPr>
        <w:spacing w:line="240" w:lineRule="auto"/>
        <w:rPr>
          <w:rFonts w:cs="Times New Roman"/>
          <w:szCs w:val="24"/>
        </w:rPr>
      </w:pPr>
    </w:p>
    <w:p w14:paraId="6BA535FD" w14:textId="77777777" w:rsidR="00E814BD" w:rsidRPr="00951AB1" w:rsidRDefault="00E814BD" w:rsidP="000A5389">
      <w:pPr>
        <w:spacing w:line="240" w:lineRule="auto"/>
        <w:rPr>
          <w:rFonts w:cs="Times New Roman"/>
          <w:szCs w:val="24"/>
        </w:rPr>
      </w:pPr>
      <w:r w:rsidRPr="00951AB1">
        <w:rPr>
          <w:rFonts w:cs="Times New Roman"/>
          <w:szCs w:val="24"/>
        </w:rPr>
        <w:t xml:space="preserve">Los criterios de valor considerados para la estimación de las provisiones corresponden a la metodología de la calificación del riesgo y provisión contable, contenida en la Resolución ANI No. 20247010010885 del 27-08-2024 que adopta la Resolución 431 de 2023 expedida por la ANDJE. Por su parte, la incertidumbre relativa al valor o el plazo para el pago está dada por el tiempo de duración de los trámites arbitrales. </w:t>
      </w:r>
    </w:p>
    <w:p w14:paraId="3C1510BD" w14:textId="77777777" w:rsidR="00E814BD" w:rsidRPr="00951AB1" w:rsidRDefault="00E814BD" w:rsidP="000A5389">
      <w:pPr>
        <w:spacing w:line="240" w:lineRule="auto"/>
        <w:rPr>
          <w:rFonts w:cs="Times New Roman"/>
          <w:szCs w:val="24"/>
        </w:rPr>
      </w:pPr>
    </w:p>
    <w:tbl>
      <w:tblPr>
        <w:tblW w:w="5000" w:type="pct"/>
        <w:jc w:val="center"/>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CellMar>
          <w:left w:w="70" w:type="dxa"/>
          <w:right w:w="70" w:type="dxa"/>
        </w:tblCellMar>
        <w:tblLook w:val="04A0" w:firstRow="1" w:lastRow="0" w:firstColumn="1" w:lastColumn="0" w:noHBand="0" w:noVBand="1"/>
      </w:tblPr>
      <w:tblGrid>
        <w:gridCol w:w="1248"/>
        <w:gridCol w:w="548"/>
        <w:gridCol w:w="1969"/>
        <w:gridCol w:w="1664"/>
        <w:gridCol w:w="1665"/>
        <w:gridCol w:w="1734"/>
      </w:tblGrid>
      <w:tr w:rsidR="00E814BD" w:rsidRPr="00951AB1" w14:paraId="3E1C1600" w14:textId="77777777" w:rsidTr="005813BF">
        <w:trPr>
          <w:trHeight w:val="300"/>
          <w:jc w:val="center"/>
        </w:trPr>
        <w:tc>
          <w:tcPr>
            <w:tcW w:w="5000" w:type="pct"/>
            <w:gridSpan w:val="6"/>
            <w:vAlign w:val="center"/>
            <w:hideMark/>
          </w:tcPr>
          <w:p w14:paraId="0F2FF6CF" w14:textId="77777777" w:rsidR="00E814BD" w:rsidRPr="00951AB1" w:rsidRDefault="00E814BD" w:rsidP="000A5389">
            <w:pPr>
              <w:spacing w:line="240" w:lineRule="auto"/>
              <w:jc w:val="center"/>
              <w:rPr>
                <w:rFonts w:eastAsia="Times New Roman" w:cs="Times New Roman"/>
                <w:b/>
                <w:bCs/>
                <w:sz w:val="20"/>
                <w:szCs w:val="20"/>
                <w:lang w:eastAsia="es-CO"/>
              </w:rPr>
            </w:pPr>
            <w:r w:rsidRPr="00951AB1">
              <w:rPr>
                <w:rFonts w:eastAsia="Times New Roman" w:cs="Times New Roman"/>
                <w:b/>
                <w:bCs/>
                <w:sz w:val="20"/>
                <w:szCs w:val="20"/>
                <w:lang w:eastAsia="es-CO"/>
              </w:rPr>
              <w:t>COMPORTAMIENTO A NIVEL DE SUBCUENTA</w:t>
            </w:r>
          </w:p>
        </w:tc>
      </w:tr>
      <w:tr w:rsidR="00E814BD" w:rsidRPr="00951AB1" w14:paraId="2AB7EB0C" w14:textId="77777777" w:rsidTr="005813BF">
        <w:trPr>
          <w:trHeight w:val="570"/>
          <w:jc w:val="center"/>
        </w:trPr>
        <w:tc>
          <w:tcPr>
            <w:tcW w:w="671" w:type="pct"/>
            <w:noWrap/>
            <w:vAlign w:val="center"/>
            <w:hideMark/>
          </w:tcPr>
          <w:p w14:paraId="5684DDAF" w14:textId="77777777" w:rsidR="00E814BD" w:rsidRPr="00951AB1" w:rsidRDefault="00E814BD" w:rsidP="000A5389">
            <w:pPr>
              <w:spacing w:line="240" w:lineRule="auto"/>
              <w:jc w:val="center"/>
              <w:rPr>
                <w:rFonts w:eastAsia="Times New Roman" w:cs="Times New Roman"/>
                <w:b/>
                <w:bCs/>
                <w:color w:val="000000" w:themeColor="text1"/>
                <w:sz w:val="20"/>
                <w:szCs w:val="20"/>
                <w:lang w:eastAsia="es-CO"/>
              </w:rPr>
            </w:pPr>
            <w:r w:rsidRPr="00951AB1">
              <w:rPr>
                <w:rFonts w:eastAsia="Times New Roman" w:cs="Times New Roman"/>
                <w:b/>
                <w:bCs/>
                <w:color w:val="000000" w:themeColor="text1"/>
                <w:sz w:val="20"/>
                <w:szCs w:val="20"/>
                <w:lang w:eastAsia="es-CO"/>
              </w:rPr>
              <w:t xml:space="preserve">CÓDIGO </w:t>
            </w:r>
          </w:p>
          <w:p w14:paraId="42395AB1" w14:textId="77777777" w:rsidR="00E814BD" w:rsidRPr="00951AB1" w:rsidRDefault="00E814BD" w:rsidP="000A5389">
            <w:pPr>
              <w:spacing w:line="240" w:lineRule="auto"/>
              <w:jc w:val="center"/>
              <w:rPr>
                <w:rFonts w:eastAsia="Times New Roman" w:cs="Times New Roman"/>
                <w:b/>
                <w:bCs/>
                <w:sz w:val="20"/>
                <w:szCs w:val="20"/>
                <w:lang w:eastAsia="es-CO"/>
              </w:rPr>
            </w:pPr>
            <w:r w:rsidRPr="00951AB1">
              <w:rPr>
                <w:rFonts w:eastAsia="Times New Roman" w:cs="Times New Roman"/>
                <w:b/>
                <w:bCs/>
                <w:color w:val="000000" w:themeColor="text1"/>
                <w:sz w:val="20"/>
                <w:szCs w:val="20"/>
                <w:lang w:eastAsia="es-CO"/>
              </w:rPr>
              <w:t>CONTABLE</w:t>
            </w:r>
          </w:p>
        </w:tc>
        <w:tc>
          <w:tcPr>
            <w:tcW w:w="309" w:type="pct"/>
            <w:noWrap/>
            <w:vAlign w:val="center"/>
            <w:hideMark/>
          </w:tcPr>
          <w:p w14:paraId="2D590328" w14:textId="77777777" w:rsidR="00E814BD" w:rsidRPr="00951AB1" w:rsidRDefault="00E814BD" w:rsidP="000A5389">
            <w:pPr>
              <w:spacing w:line="240" w:lineRule="auto"/>
              <w:rPr>
                <w:rFonts w:eastAsia="Times New Roman" w:cs="Times New Roman"/>
                <w:sz w:val="20"/>
                <w:szCs w:val="20"/>
                <w:lang w:eastAsia="es-CO"/>
              </w:rPr>
            </w:pPr>
            <w:r w:rsidRPr="00951AB1">
              <w:rPr>
                <w:rFonts w:eastAsia="Times New Roman" w:cs="Times New Roman"/>
                <w:b/>
                <w:bCs/>
                <w:color w:val="000000" w:themeColor="text1"/>
                <w:sz w:val="20"/>
                <w:szCs w:val="20"/>
                <w:lang w:eastAsia="es-CO"/>
              </w:rPr>
              <w:t>NAT</w:t>
            </w:r>
          </w:p>
        </w:tc>
        <w:tc>
          <w:tcPr>
            <w:tcW w:w="1125" w:type="pct"/>
            <w:vAlign w:val="center"/>
            <w:hideMark/>
          </w:tcPr>
          <w:p w14:paraId="4ADADA9D" w14:textId="77777777" w:rsidR="00E814BD" w:rsidRPr="00951AB1" w:rsidRDefault="00E814BD" w:rsidP="000A5389">
            <w:pPr>
              <w:spacing w:line="240" w:lineRule="auto"/>
              <w:jc w:val="center"/>
              <w:rPr>
                <w:rFonts w:eastAsia="Times New Roman" w:cs="Times New Roman"/>
                <w:b/>
                <w:bCs/>
                <w:sz w:val="20"/>
                <w:szCs w:val="20"/>
                <w:lang w:eastAsia="es-CO"/>
              </w:rPr>
            </w:pPr>
            <w:r w:rsidRPr="00951AB1">
              <w:rPr>
                <w:rFonts w:eastAsia="Times New Roman" w:cs="Times New Roman"/>
                <w:b/>
                <w:bCs/>
                <w:sz w:val="20"/>
                <w:szCs w:val="20"/>
                <w:lang w:eastAsia="es-CO"/>
              </w:rPr>
              <w:t>CONCEPTO</w:t>
            </w:r>
          </w:p>
        </w:tc>
        <w:tc>
          <w:tcPr>
            <w:tcW w:w="952" w:type="pct"/>
            <w:vAlign w:val="center"/>
            <w:hideMark/>
          </w:tcPr>
          <w:p w14:paraId="4901A502" w14:textId="77777777" w:rsidR="00E814BD" w:rsidRPr="00951AB1" w:rsidRDefault="00E814BD" w:rsidP="000A5389">
            <w:pPr>
              <w:spacing w:line="240" w:lineRule="auto"/>
              <w:jc w:val="center"/>
              <w:rPr>
                <w:rFonts w:eastAsia="Times New Roman" w:cs="Times New Roman"/>
                <w:b/>
                <w:bCs/>
                <w:sz w:val="20"/>
                <w:szCs w:val="20"/>
                <w:lang w:eastAsia="es-CO"/>
              </w:rPr>
            </w:pPr>
            <w:r w:rsidRPr="00951AB1">
              <w:rPr>
                <w:rFonts w:eastAsia="Times New Roman" w:cs="Times New Roman"/>
                <w:b/>
                <w:bCs/>
                <w:sz w:val="20"/>
                <w:szCs w:val="20"/>
                <w:lang w:eastAsia="es-CO"/>
              </w:rPr>
              <w:t xml:space="preserve">2025 </w:t>
            </w:r>
          </w:p>
        </w:tc>
        <w:tc>
          <w:tcPr>
            <w:tcW w:w="952" w:type="pct"/>
            <w:vAlign w:val="center"/>
            <w:hideMark/>
          </w:tcPr>
          <w:p w14:paraId="5F240DC0" w14:textId="77777777" w:rsidR="00E814BD" w:rsidRPr="00951AB1" w:rsidRDefault="00E814BD" w:rsidP="000A5389">
            <w:pPr>
              <w:spacing w:line="240" w:lineRule="auto"/>
              <w:jc w:val="center"/>
              <w:rPr>
                <w:rFonts w:eastAsia="Times New Roman" w:cs="Times New Roman"/>
                <w:b/>
                <w:bCs/>
                <w:sz w:val="20"/>
                <w:szCs w:val="20"/>
                <w:lang w:eastAsia="es-CO"/>
              </w:rPr>
            </w:pPr>
            <w:r w:rsidRPr="00951AB1">
              <w:rPr>
                <w:rFonts w:eastAsia="Times New Roman" w:cs="Times New Roman"/>
                <w:b/>
                <w:bCs/>
                <w:sz w:val="20"/>
                <w:szCs w:val="20"/>
                <w:lang w:eastAsia="es-CO"/>
              </w:rPr>
              <w:t xml:space="preserve">2024 </w:t>
            </w:r>
          </w:p>
        </w:tc>
        <w:tc>
          <w:tcPr>
            <w:tcW w:w="991" w:type="pct"/>
            <w:vAlign w:val="center"/>
            <w:hideMark/>
          </w:tcPr>
          <w:p w14:paraId="0530584B" w14:textId="77777777" w:rsidR="00E814BD" w:rsidRPr="00951AB1" w:rsidRDefault="00E814BD" w:rsidP="000A5389">
            <w:pPr>
              <w:spacing w:line="240" w:lineRule="auto"/>
              <w:jc w:val="center"/>
              <w:rPr>
                <w:rFonts w:eastAsia="Times New Roman" w:cs="Times New Roman"/>
                <w:b/>
                <w:bCs/>
                <w:sz w:val="20"/>
                <w:szCs w:val="20"/>
                <w:lang w:eastAsia="es-CO"/>
              </w:rPr>
            </w:pPr>
            <w:r w:rsidRPr="00951AB1">
              <w:rPr>
                <w:rFonts w:eastAsia="Times New Roman" w:cs="Times New Roman"/>
                <w:b/>
                <w:bCs/>
                <w:sz w:val="20"/>
                <w:szCs w:val="20"/>
                <w:lang w:eastAsia="es-CO"/>
              </w:rPr>
              <w:t>VALOR VARIACIÓN</w:t>
            </w:r>
          </w:p>
        </w:tc>
      </w:tr>
      <w:tr w:rsidR="00E814BD" w:rsidRPr="00951AB1" w14:paraId="303D4C33" w14:textId="77777777" w:rsidTr="005813BF">
        <w:trPr>
          <w:trHeight w:val="300"/>
          <w:jc w:val="center"/>
        </w:trPr>
        <w:tc>
          <w:tcPr>
            <w:tcW w:w="671" w:type="pct"/>
            <w:noWrap/>
            <w:vAlign w:val="center"/>
            <w:hideMark/>
          </w:tcPr>
          <w:p w14:paraId="6CC0EEDE" w14:textId="77777777" w:rsidR="00E814BD" w:rsidRPr="00951AB1" w:rsidRDefault="00E814BD" w:rsidP="000A5389">
            <w:pPr>
              <w:spacing w:line="240" w:lineRule="auto"/>
              <w:rPr>
                <w:rFonts w:eastAsia="Times New Roman" w:cs="Times New Roman"/>
                <w:b/>
                <w:bCs/>
                <w:sz w:val="20"/>
                <w:szCs w:val="20"/>
                <w:lang w:eastAsia="es-CO"/>
              </w:rPr>
            </w:pPr>
            <w:r w:rsidRPr="00951AB1">
              <w:rPr>
                <w:rFonts w:eastAsia="Times New Roman" w:cs="Times New Roman"/>
                <w:b/>
                <w:bCs/>
                <w:sz w:val="20"/>
                <w:szCs w:val="20"/>
                <w:lang w:eastAsia="es-CO"/>
              </w:rPr>
              <w:t>2.7.90</w:t>
            </w:r>
          </w:p>
        </w:tc>
        <w:tc>
          <w:tcPr>
            <w:tcW w:w="309" w:type="pct"/>
            <w:noWrap/>
            <w:vAlign w:val="center"/>
            <w:hideMark/>
          </w:tcPr>
          <w:p w14:paraId="4098ADBD" w14:textId="77777777" w:rsidR="00E814BD" w:rsidRPr="00951AB1" w:rsidRDefault="00E814BD" w:rsidP="000A5389">
            <w:pPr>
              <w:spacing w:line="240" w:lineRule="auto"/>
              <w:jc w:val="center"/>
              <w:rPr>
                <w:rFonts w:eastAsia="Times New Roman" w:cs="Times New Roman"/>
                <w:b/>
                <w:bCs/>
                <w:sz w:val="20"/>
                <w:szCs w:val="20"/>
                <w:lang w:eastAsia="es-CO"/>
              </w:rPr>
            </w:pPr>
            <w:r w:rsidRPr="00951AB1">
              <w:rPr>
                <w:rFonts w:eastAsia="Times New Roman" w:cs="Times New Roman"/>
                <w:b/>
                <w:bCs/>
                <w:sz w:val="20"/>
                <w:szCs w:val="20"/>
                <w:lang w:eastAsia="es-CO"/>
              </w:rPr>
              <w:t>Cr</w:t>
            </w:r>
          </w:p>
        </w:tc>
        <w:tc>
          <w:tcPr>
            <w:tcW w:w="1125" w:type="pct"/>
            <w:vAlign w:val="center"/>
            <w:hideMark/>
          </w:tcPr>
          <w:p w14:paraId="3C4E0580" w14:textId="77777777" w:rsidR="00E814BD" w:rsidRPr="00951AB1" w:rsidRDefault="00E814BD" w:rsidP="000A5389">
            <w:pPr>
              <w:spacing w:line="240" w:lineRule="auto"/>
              <w:rPr>
                <w:rFonts w:eastAsia="Times New Roman" w:cs="Times New Roman"/>
                <w:b/>
                <w:bCs/>
                <w:sz w:val="20"/>
                <w:szCs w:val="20"/>
                <w:lang w:eastAsia="es-CO"/>
              </w:rPr>
            </w:pPr>
            <w:r w:rsidRPr="00951AB1">
              <w:rPr>
                <w:rFonts w:eastAsia="Times New Roman" w:cs="Times New Roman"/>
                <w:b/>
                <w:bCs/>
                <w:sz w:val="20"/>
                <w:szCs w:val="20"/>
                <w:lang w:eastAsia="es-CO"/>
              </w:rPr>
              <w:t>Provisiones diversas</w:t>
            </w:r>
          </w:p>
        </w:tc>
        <w:tc>
          <w:tcPr>
            <w:tcW w:w="952" w:type="pct"/>
            <w:noWrap/>
            <w:vAlign w:val="center"/>
            <w:hideMark/>
          </w:tcPr>
          <w:p w14:paraId="1835D12D" w14:textId="77777777" w:rsidR="00E814BD" w:rsidRPr="00951AB1" w:rsidRDefault="00E814BD" w:rsidP="000A5389">
            <w:pPr>
              <w:spacing w:line="240" w:lineRule="auto"/>
              <w:jc w:val="right"/>
              <w:rPr>
                <w:rFonts w:eastAsia="Times New Roman" w:cs="Times New Roman"/>
                <w:b/>
                <w:bCs/>
                <w:sz w:val="20"/>
                <w:szCs w:val="20"/>
                <w:lang w:eastAsia="es-CO"/>
              </w:rPr>
            </w:pPr>
            <w:r w:rsidRPr="00951AB1">
              <w:rPr>
                <w:rFonts w:eastAsia="Times New Roman" w:cs="Times New Roman"/>
                <w:b/>
                <w:bCs/>
                <w:sz w:val="20"/>
                <w:szCs w:val="20"/>
                <w:lang w:eastAsia="es-CO"/>
              </w:rPr>
              <w:t>8.460.951.659.011</w:t>
            </w:r>
          </w:p>
        </w:tc>
        <w:tc>
          <w:tcPr>
            <w:tcW w:w="952" w:type="pct"/>
            <w:noWrap/>
            <w:vAlign w:val="center"/>
            <w:hideMark/>
          </w:tcPr>
          <w:p w14:paraId="63A65E5F" w14:textId="77777777" w:rsidR="00E814BD" w:rsidRPr="00951AB1" w:rsidRDefault="00E814BD" w:rsidP="000A5389">
            <w:pPr>
              <w:spacing w:line="240" w:lineRule="auto"/>
              <w:jc w:val="right"/>
              <w:rPr>
                <w:rFonts w:eastAsia="Times New Roman" w:cs="Times New Roman"/>
                <w:b/>
                <w:bCs/>
                <w:sz w:val="20"/>
                <w:szCs w:val="20"/>
                <w:lang w:eastAsia="es-CO"/>
              </w:rPr>
            </w:pPr>
            <w:r w:rsidRPr="00951AB1">
              <w:rPr>
                <w:rFonts w:eastAsia="Times New Roman" w:cs="Times New Roman"/>
                <w:b/>
                <w:bCs/>
                <w:sz w:val="20"/>
                <w:szCs w:val="20"/>
                <w:lang w:eastAsia="es-CO"/>
              </w:rPr>
              <w:t>3.317.233.113.439</w:t>
            </w:r>
          </w:p>
        </w:tc>
        <w:tc>
          <w:tcPr>
            <w:tcW w:w="991" w:type="pct"/>
            <w:noWrap/>
            <w:vAlign w:val="center"/>
            <w:hideMark/>
          </w:tcPr>
          <w:p w14:paraId="007F571B" w14:textId="77777777" w:rsidR="00E814BD" w:rsidRPr="00951AB1" w:rsidRDefault="00E814BD" w:rsidP="000A5389">
            <w:pPr>
              <w:spacing w:line="240" w:lineRule="auto"/>
              <w:jc w:val="right"/>
              <w:rPr>
                <w:rFonts w:eastAsia="Times New Roman" w:cs="Times New Roman"/>
                <w:b/>
                <w:bCs/>
                <w:sz w:val="20"/>
                <w:szCs w:val="20"/>
                <w:lang w:eastAsia="es-CO"/>
              </w:rPr>
            </w:pPr>
            <w:r w:rsidRPr="00951AB1">
              <w:rPr>
                <w:rFonts w:eastAsia="Times New Roman" w:cs="Times New Roman"/>
                <w:b/>
                <w:bCs/>
                <w:sz w:val="20"/>
                <w:szCs w:val="20"/>
                <w:lang w:eastAsia="es-CO"/>
              </w:rPr>
              <w:t>5.143.718.545.572</w:t>
            </w:r>
          </w:p>
        </w:tc>
      </w:tr>
      <w:tr w:rsidR="00E814BD" w:rsidRPr="00951AB1" w14:paraId="6073A8AC" w14:textId="77777777" w:rsidTr="005813BF">
        <w:trPr>
          <w:trHeight w:val="600"/>
          <w:jc w:val="center"/>
        </w:trPr>
        <w:tc>
          <w:tcPr>
            <w:tcW w:w="671" w:type="pct"/>
            <w:noWrap/>
            <w:vAlign w:val="center"/>
            <w:hideMark/>
          </w:tcPr>
          <w:p w14:paraId="3AA10C82" w14:textId="77777777" w:rsidR="00E814BD" w:rsidRPr="00951AB1" w:rsidRDefault="00E814BD" w:rsidP="000A5389">
            <w:pPr>
              <w:spacing w:line="240" w:lineRule="auto"/>
              <w:rPr>
                <w:rFonts w:eastAsia="Times New Roman" w:cs="Times New Roman"/>
                <w:sz w:val="20"/>
                <w:szCs w:val="20"/>
                <w:lang w:eastAsia="es-CO"/>
              </w:rPr>
            </w:pPr>
            <w:r w:rsidRPr="00951AB1">
              <w:rPr>
                <w:rFonts w:eastAsia="Times New Roman" w:cs="Times New Roman"/>
                <w:sz w:val="20"/>
                <w:szCs w:val="20"/>
                <w:lang w:eastAsia="es-CO"/>
              </w:rPr>
              <w:t>2.7.90.15</w:t>
            </w:r>
          </w:p>
        </w:tc>
        <w:tc>
          <w:tcPr>
            <w:tcW w:w="309" w:type="pct"/>
            <w:noWrap/>
            <w:vAlign w:val="center"/>
            <w:hideMark/>
          </w:tcPr>
          <w:p w14:paraId="4F699D3F" w14:textId="77777777" w:rsidR="00E814BD" w:rsidRPr="00951AB1" w:rsidRDefault="00E814BD" w:rsidP="000A5389">
            <w:pPr>
              <w:spacing w:line="240" w:lineRule="auto"/>
              <w:jc w:val="center"/>
              <w:rPr>
                <w:rFonts w:eastAsia="Times New Roman" w:cs="Times New Roman"/>
                <w:sz w:val="20"/>
                <w:szCs w:val="20"/>
                <w:lang w:eastAsia="es-CO"/>
              </w:rPr>
            </w:pPr>
            <w:r w:rsidRPr="00951AB1">
              <w:rPr>
                <w:rFonts w:eastAsia="Times New Roman" w:cs="Times New Roman"/>
                <w:sz w:val="20"/>
                <w:szCs w:val="20"/>
                <w:lang w:eastAsia="es-CO"/>
              </w:rPr>
              <w:t>Cr</w:t>
            </w:r>
          </w:p>
        </w:tc>
        <w:tc>
          <w:tcPr>
            <w:tcW w:w="1125" w:type="pct"/>
            <w:vAlign w:val="center"/>
            <w:hideMark/>
          </w:tcPr>
          <w:p w14:paraId="21C25D18" w14:textId="77777777" w:rsidR="00E814BD" w:rsidRPr="00951AB1" w:rsidRDefault="00E814BD" w:rsidP="000A5389">
            <w:pPr>
              <w:spacing w:line="240" w:lineRule="auto"/>
              <w:rPr>
                <w:rFonts w:eastAsia="Times New Roman" w:cs="Times New Roman"/>
                <w:sz w:val="20"/>
                <w:szCs w:val="20"/>
                <w:lang w:eastAsia="es-CO"/>
              </w:rPr>
            </w:pPr>
            <w:r w:rsidRPr="00951AB1">
              <w:rPr>
                <w:rFonts w:eastAsia="Times New Roman" w:cs="Times New Roman"/>
                <w:sz w:val="20"/>
                <w:szCs w:val="20"/>
                <w:lang w:eastAsia="es-CO"/>
              </w:rPr>
              <w:t>Mecanismos alternativos de solución de conflictos</w:t>
            </w:r>
          </w:p>
        </w:tc>
        <w:tc>
          <w:tcPr>
            <w:tcW w:w="952" w:type="pct"/>
            <w:noWrap/>
            <w:vAlign w:val="center"/>
            <w:hideMark/>
          </w:tcPr>
          <w:p w14:paraId="387A2814" w14:textId="77777777" w:rsidR="00E814BD" w:rsidRPr="00951AB1" w:rsidRDefault="00E814BD" w:rsidP="000A5389">
            <w:pPr>
              <w:spacing w:line="240" w:lineRule="auto"/>
              <w:jc w:val="right"/>
              <w:rPr>
                <w:rFonts w:eastAsia="Times New Roman" w:cs="Times New Roman"/>
                <w:sz w:val="20"/>
                <w:szCs w:val="20"/>
                <w:lang w:eastAsia="es-CO"/>
              </w:rPr>
            </w:pPr>
            <w:r w:rsidRPr="00951AB1">
              <w:rPr>
                <w:rFonts w:eastAsia="Times New Roman" w:cs="Times New Roman"/>
                <w:sz w:val="20"/>
                <w:szCs w:val="20"/>
                <w:lang w:eastAsia="es-CO"/>
              </w:rPr>
              <w:t>8.460.951.659.011</w:t>
            </w:r>
          </w:p>
        </w:tc>
        <w:tc>
          <w:tcPr>
            <w:tcW w:w="952" w:type="pct"/>
            <w:noWrap/>
            <w:vAlign w:val="center"/>
            <w:hideMark/>
          </w:tcPr>
          <w:p w14:paraId="4160503F" w14:textId="77777777" w:rsidR="00E814BD" w:rsidRPr="00951AB1" w:rsidRDefault="00E814BD" w:rsidP="000A5389">
            <w:pPr>
              <w:spacing w:line="240" w:lineRule="auto"/>
              <w:jc w:val="right"/>
              <w:rPr>
                <w:rFonts w:eastAsia="Times New Roman" w:cs="Times New Roman"/>
                <w:sz w:val="20"/>
                <w:szCs w:val="20"/>
                <w:lang w:eastAsia="es-CO"/>
              </w:rPr>
            </w:pPr>
            <w:r w:rsidRPr="00951AB1">
              <w:rPr>
                <w:rFonts w:eastAsia="Times New Roman" w:cs="Times New Roman"/>
                <w:sz w:val="20"/>
                <w:szCs w:val="20"/>
                <w:lang w:eastAsia="es-CO"/>
              </w:rPr>
              <w:t>3.317.233.113.439</w:t>
            </w:r>
          </w:p>
        </w:tc>
        <w:tc>
          <w:tcPr>
            <w:tcW w:w="991" w:type="pct"/>
            <w:noWrap/>
            <w:vAlign w:val="center"/>
            <w:hideMark/>
          </w:tcPr>
          <w:p w14:paraId="26F35795" w14:textId="77777777" w:rsidR="00E814BD" w:rsidRPr="00951AB1" w:rsidRDefault="00E814BD" w:rsidP="000A5389">
            <w:pPr>
              <w:spacing w:line="240" w:lineRule="auto"/>
              <w:jc w:val="right"/>
              <w:rPr>
                <w:rFonts w:eastAsia="Times New Roman" w:cs="Times New Roman"/>
                <w:sz w:val="20"/>
                <w:szCs w:val="20"/>
                <w:lang w:eastAsia="es-CO"/>
              </w:rPr>
            </w:pPr>
            <w:r w:rsidRPr="00951AB1">
              <w:rPr>
                <w:rFonts w:eastAsia="Times New Roman" w:cs="Times New Roman"/>
                <w:sz w:val="20"/>
                <w:szCs w:val="20"/>
                <w:lang w:eastAsia="es-CO"/>
              </w:rPr>
              <w:t>5.143.718.545.572</w:t>
            </w:r>
          </w:p>
        </w:tc>
      </w:tr>
    </w:tbl>
    <w:p w14:paraId="501ABB81" w14:textId="36923BC1" w:rsidR="00E814BD" w:rsidRPr="00951AB1" w:rsidRDefault="00E814BD" w:rsidP="000A5389">
      <w:pPr>
        <w:autoSpaceDE w:val="0"/>
        <w:autoSpaceDN w:val="0"/>
        <w:adjustRightInd w:val="0"/>
        <w:spacing w:line="240" w:lineRule="auto"/>
        <w:rPr>
          <w:rFonts w:cs="Times New Roman"/>
          <w:color w:val="000000"/>
          <w:sz w:val="14"/>
          <w:szCs w:val="14"/>
        </w:rPr>
      </w:pPr>
      <w:r w:rsidRPr="00951AB1">
        <w:rPr>
          <w:rFonts w:cs="Times New Roman"/>
          <w:color w:val="000000"/>
          <w:sz w:val="14"/>
          <w:szCs w:val="14"/>
        </w:rPr>
        <w:t xml:space="preserve">  Cifras expresadas en pesos</w:t>
      </w:r>
    </w:p>
    <w:p w14:paraId="645EE10D" w14:textId="77777777" w:rsidR="00E814BD" w:rsidRPr="00951AB1" w:rsidRDefault="00E814BD" w:rsidP="000A5389">
      <w:pPr>
        <w:spacing w:line="240" w:lineRule="auto"/>
        <w:rPr>
          <w:rFonts w:cs="Times New Roman"/>
          <w:szCs w:val="24"/>
        </w:rPr>
      </w:pPr>
      <w:r w:rsidRPr="00951AB1">
        <w:rPr>
          <w:rFonts w:cs="Times New Roman"/>
          <w:szCs w:val="24"/>
        </w:rPr>
        <w:t>A continuación, el comportamiento de las Provisiones diversas:</w:t>
      </w:r>
    </w:p>
    <w:p w14:paraId="26EC9122" w14:textId="77777777" w:rsidR="00E814BD" w:rsidRPr="00951AB1" w:rsidRDefault="00E814BD" w:rsidP="000A5389">
      <w:pPr>
        <w:spacing w:line="240" w:lineRule="auto"/>
        <w:rPr>
          <w:rFonts w:cs="Times New Roman"/>
          <w:szCs w:val="24"/>
        </w:rPr>
      </w:pPr>
    </w:p>
    <w:tbl>
      <w:tblPr>
        <w:tblW w:w="9186" w:type="dxa"/>
        <w:tblCellMar>
          <w:top w:w="15" w:type="dxa"/>
          <w:left w:w="70" w:type="dxa"/>
          <w:bottom w:w="15" w:type="dxa"/>
          <w:right w:w="70" w:type="dxa"/>
        </w:tblCellMar>
        <w:tblLook w:val="04A0" w:firstRow="1" w:lastRow="0" w:firstColumn="1" w:lastColumn="0" w:noHBand="0" w:noVBand="1"/>
      </w:tblPr>
      <w:tblGrid>
        <w:gridCol w:w="1848"/>
        <w:gridCol w:w="312"/>
        <w:gridCol w:w="312"/>
        <w:gridCol w:w="1191"/>
        <w:gridCol w:w="1335"/>
        <w:gridCol w:w="384"/>
        <w:gridCol w:w="1290"/>
        <w:gridCol w:w="538"/>
        <w:gridCol w:w="480"/>
        <w:gridCol w:w="267"/>
        <w:gridCol w:w="1229"/>
      </w:tblGrid>
      <w:tr w:rsidR="00E814BD" w:rsidRPr="00951AB1" w14:paraId="53100FE4" w14:textId="77777777" w:rsidTr="2A085367">
        <w:trPr>
          <w:trHeight w:val="300"/>
        </w:trPr>
        <w:tc>
          <w:tcPr>
            <w:tcW w:w="2472" w:type="dxa"/>
            <w:gridSpan w:val="3"/>
            <w:vMerge w:val="restart"/>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hideMark/>
          </w:tcPr>
          <w:p w14:paraId="5C887DEC" w14:textId="77777777" w:rsidR="00E814BD" w:rsidRPr="00951AB1" w:rsidRDefault="00E814BD" w:rsidP="000A5389">
            <w:pPr>
              <w:spacing w:line="240" w:lineRule="auto"/>
              <w:jc w:val="center"/>
              <w:rPr>
                <w:rFonts w:eastAsia="Times New Roman" w:cs="Times New Roman"/>
                <w:b/>
                <w:bCs/>
                <w:sz w:val="14"/>
                <w:szCs w:val="14"/>
                <w:lang w:eastAsia="es-CO"/>
              </w:rPr>
            </w:pPr>
            <w:r w:rsidRPr="00951AB1">
              <w:rPr>
                <w:rFonts w:eastAsia="Times New Roman" w:cs="Times New Roman"/>
                <w:b/>
                <w:bCs/>
                <w:sz w:val="14"/>
                <w:szCs w:val="14"/>
                <w:lang w:eastAsia="es-CO"/>
              </w:rPr>
              <w:t>ASOCIACIÓN DE DATOS</w:t>
            </w:r>
          </w:p>
        </w:tc>
        <w:tc>
          <w:tcPr>
            <w:tcW w:w="6714" w:type="dxa"/>
            <w:gridSpan w:val="8"/>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hideMark/>
          </w:tcPr>
          <w:p w14:paraId="7B53A5E4" w14:textId="77777777" w:rsidR="00E814BD" w:rsidRPr="00951AB1" w:rsidRDefault="00E814BD" w:rsidP="000A5389">
            <w:pPr>
              <w:spacing w:line="240" w:lineRule="auto"/>
              <w:jc w:val="center"/>
              <w:rPr>
                <w:rFonts w:eastAsia="Times New Roman" w:cs="Times New Roman"/>
                <w:b/>
                <w:bCs/>
                <w:sz w:val="14"/>
                <w:szCs w:val="14"/>
                <w:lang w:eastAsia="es-CO"/>
              </w:rPr>
            </w:pPr>
            <w:r w:rsidRPr="00951AB1">
              <w:rPr>
                <w:rFonts w:eastAsia="Times New Roman" w:cs="Times New Roman"/>
                <w:b/>
                <w:bCs/>
                <w:sz w:val="14"/>
                <w:szCs w:val="14"/>
                <w:lang w:eastAsia="es-CO"/>
              </w:rPr>
              <w:t>VALOR EN LIBROS - CORTE 2025</w:t>
            </w:r>
          </w:p>
        </w:tc>
      </w:tr>
      <w:tr w:rsidR="00E814BD" w:rsidRPr="00951AB1" w14:paraId="3498EEEA" w14:textId="77777777" w:rsidTr="2A085367">
        <w:trPr>
          <w:trHeight w:val="300"/>
        </w:trPr>
        <w:tc>
          <w:tcPr>
            <w:tcW w:w="2472" w:type="dxa"/>
            <w:gridSpan w:val="3"/>
            <w:vMerge/>
            <w:vAlign w:val="center"/>
            <w:hideMark/>
          </w:tcPr>
          <w:p w14:paraId="2A3E859B" w14:textId="77777777" w:rsidR="00E814BD" w:rsidRPr="00951AB1" w:rsidRDefault="00E814BD" w:rsidP="000A5389">
            <w:pPr>
              <w:spacing w:line="240" w:lineRule="auto"/>
              <w:rPr>
                <w:rFonts w:eastAsia="Times New Roman" w:cs="Times New Roman"/>
                <w:b/>
                <w:bCs/>
                <w:sz w:val="14"/>
                <w:szCs w:val="14"/>
                <w:lang w:eastAsia="es-CO"/>
              </w:rPr>
            </w:pPr>
          </w:p>
        </w:tc>
        <w:tc>
          <w:tcPr>
            <w:tcW w:w="119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hideMark/>
          </w:tcPr>
          <w:p w14:paraId="3B9854BD" w14:textId="77777777" w:rsidR="00E814BD" w:rsidRPr="00951AB1" w:rsidRDefault="00E814BD" w:rsidP="000A5389">
            <w:pPr>
              <w:spacing w:line="240" w:lineRule="auto"/>
              <w:jc w:val="center"/>
              <w:rPr>
                <w:rFonts w:eastAsia="Times New Roman" w:cs="Times New Roman"/>
                <w:b/>
                <w:bCs/>
                <w:sz w:val="14"/>
                <w:szCs w:val="14"/>
                <w:lang w:eastAsia="es-CO"/>
              </w:rPr>
            </w:pPr>
            <w:r w:rsidRPr="00951AB1">
              <w:rPr>
                <w:rFonts w:eastAsia="Times New Roman" w:cs="Times New Roman"/>
                <w:b/>
                <w:bCs/>
                <w:sz w:val="14"/>
                <w:szCs w:val="14"/>
                <w:lang w:eastAsia="es-CO"/>
              </w:rPr>
              <w:t>INICIAL</w:t>
            </w:r>
          </w:p>
        </w:tc>
        <w:tc>
          <w:tcPr>
            <w:tcW w:w="1719"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hideMark/>
          </w:tcPr>
          <w:p w14:paraId="5DF7B0CC" w14:textId="77777777" w:rsidR="00E814BD" w:rsidRPr="00951AB1" w:rsidRDefault="00E814BD" w:rsidP="000A5389">
            <w:pPr>
              <w:spacing w:line="240" w:lineRule="auto"/>
              <w:jc w:val="center"/>
              <w:rPr>
                <w:rFonts w:eastAsia="Times New Roman" w:cs="Times New Roman"/>
                <w:b/>
                <w:bCs/>
                <w:sz w:val="14"/>
                <w:szCs w:val="14"/>
                <w:lang w:eastAsia="es-CO"/>
              </w:rPr>
            </w:pPr>
            <w:r w:rsidRPr="00951AB1">
              <w:rPr>
                <w:rFonts w:eastAsia="Times New Roman" w:cs="Times New Roman"/>
                <w:b/>
                <w:bCs/>
                <w:sz w:val="14"/>
                <w:szCs w:val="14"/>
                <w:lang w:eastAsia="es-CO"/>
              </w:rPr>
              <w:t>ADICIONES (CR)</w:t>
            </w:r>
          </w:p>
        </w:tc>
        <w:tc>
          <w:tcPr>
            <w:tcW w:w="2575" w:type="dxa"/>
            <w:gridSpan w:val="4"/>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hideMark/>
          </w:tcPr>
          <w:p w14:paraId="02466FA9" w14:textId="77777777" w:rsidR="00E814BD" w:rsidRPr="00951AB1" w:rsidRDefault="00E814BD" w:rsidP="000A5389">
            <w:pPr>
              <w:spacing w:line="240" w:lineRule="auto"/>
              <w:jc w:val="center"/>
              <w:rPr>
                <w:rFonts w:eastAsia="Times New Roman" w:cs="Times New Roman"/>
                <w:b/>
                <w:bCs/>
                <w:sz w:val="14"/>
                <w:szCs w:val="14"/>
                <w:lang w:eastAsia="es-CO"/>
              </w:rPr>
            </w:pPr>
            <w:r w:rsidRPr="00951AB1">
              <w:rPr>
                <w:rFonts w:eastAsia="Times New Roman" w:cs="Times New Roman"/>
                <w:b/>
                <w:bCs/>
                <w:sz w:val="14"/>
                <w:szCs w:val="14"/>
                <w:lang w:eastAsia="es-CO"/>
              </w:rPr>
              <w:t>DISMINUCIONES (DB)</w:t>
            </w:r>
          </w:p>
        </w:tc>
        <w:tc>
          <w:tcPr>
            <w:tcW w:w="1216"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hideMark/>
          </w:tcPr>
          <w:p w14:paraId="633648EF" w14:textId="77777777" w:rsidR="00E814BD" w:rsidRPr="00951AB1" w:rsidRDefault="00E814BD" w:rsidP="000A5389">
            <w:pPr>
              <w:spacing w:line="240" w:lineRule="auto"/>
              <w:jc w:val="center"/>
              <w:rPr>
                <w:rFonts w:eastAsia="Times New Roman" w:cs="Times New Roman"/>
                <w:b/>
                <w:bCs/>
                <w:sz w:val="14"/>
                <w:szCs w:val="14"/>
                <w:lang w:eastAsia="es-CO"/>
              </w:rPr>
            </w:pPr>
            <w:r w:rsidRPr="00951AB1">
              <w:rPr>
                <w:rFonts w:eastAsia="Times New Roman" w:cs="Times New Roman"/>
                <w:b/>
                <w:bCs/>
                <w:sz w:val="14"/>
                <w:szCs w:val="14"/>
                <w:lang w:eastAsia="es-CO"/>
              </w:rPr>
              <w:t>FINAL</w:t>
            </w:r>
          </w:p>
        </w:tc>
      </w:tr>
      <w:tr w:rsidR="00E814BD" w:rsidRPr="00951AB1" w14:paraId="4BC37BAA" w14:textId="77777777" w:rsidTr="2A085367">
        <w:trPr>
          <w:trHeight w:val="1695"/>
        </w:trPr>
        <w:tc>
          <w:tcPr>
            <w:tcW w:w="184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extDirection w:val="btLr"/>
            <w:vAlign w:val="center"/>
            <w:hideMark/>
          </w:tcPr>
          <w:p w14:paraId="6A125BAD" w14:textId="77777777" w:rsidR="00E814BD" w:rsidRPr="00951AB1" w:rsidRDefault="00E814BD" w:rsidP="000A5389">
            <w:pPr>
              <w:spacing w:line="240" w:lineRule="auto"/>
              <w:jc w:val="center"/>
              <w:rPr>
                <w:rFonts w:eastAsia="Times New Roman" w:cs="Times New Roman"/>
                <w:b/>
                <w:bCs/>
                <w:sz w:val="14"/>
                <w:szCs w:val="14"/>
                <w:lang w:eastAsia="es-CO"/>
              </w:rPr>
            </w:pPr>
            <w:r w:rsidRPr="00951AB1">
              <w:rPr>
                <w:rFonts w:eastAsia="Times New Roman" w:cs="Times New Roman"/>
                <w:b/>
                <w:bCs/>
                <w:sz w:val="14"/>
                <w:szCs w:val="14"/>
                <w:lang w:eastAsia="es-CO"/>
              </w:rPr>
              <w:t>TIPO DE TERCEROS</w:t>
            </w:r>
          </w:p>
        </w:tc>
        <w:tc>
          <w:tcPr>
            <w:tcW w:w="31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extDirection w:val="btLr"/>
            <w:vAlign w:val="center"/>
            <w:hideMark/>
          </w:tcPr>
          <w:p w14:paraId="5D53DF6D" w14:textId="77777777" w:rsidR="00E814BD" w:rsidRPr="00951AB1" w:rsidRDefault="00E814BD" w:rsidP="000A5389">
            <w:pPr>
              <w:spacing w:line="240" w:lineRule="auto"/>
              <w:jc w:val="center"/>
              <w:rPr>
                <w:rFonts w:eastAsia="Times New Roman" w:cs="Times New Roman"/>
                <w:b/>
                <w:bCs/>
                <w:sz w:val="14"/>
                <w:szCs w:val="14"/>
                <w:lang w:eastAsia="es-CO"/>
              </w:rPr>
            </w:pPr>
            <w:r w:rsidRPr="00951AB1">
              <w:rPr>
                <w:rFonts w:eastAsia="Times New Roman" w:cs="Times New Roman"/>
                <w:b/>
                <w:bCs/>
                <w:sz w:val="14"/>
                <w:szCs w:val="14"/>
                <w:lang w:eastAsia="es-CO"/>
              </w:rPr>
              <w:t>PN / PJ / ECP</w:t>
            </w:r>
          </w:p>
        </w:tc>
        <w:tc>
          <w:tcPr>
            <w:tcW w:w="31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extDirection w:val="btLr"/>
            <w:vAlign w:val="center"/>
            <w:hideMark/>
          </w:tcPr>
          <w:p w14:paraId="75AF41CB" w14:textId="77777777" w:rsidR="00E814BD" w:rsidRPr="00951AB1" w:rsidRDefault="00E814BD" w:rsidP="000A5389">
            <w:pPr>
              <w:spacing w:line="240" w:lineRule="auto"/>
              <w:jc w:val="center"/>
              <w:rPr>
                <w:rFonts w:eastAsia="Times New Roman" w:cs="Times New Roman"/>
                <w:b/>
                <w:bCs/>
                <w:sz w:val="14"/>
                <w:szCs w:val="14"/>
                <w:lang w:eastAsia="es-CO"/>
              </w:rPr>
            </w:pPr>
            <w:r w:rsidRPr="00951AB1">
              <w:rPr>
                <w:rFonts w:eastAsia="Times New Roman" w:cs="Times New Roman"/>
                <w:b/>
                <w:bCs/>
                <w:sz w:val="14"/>
                <w:szCs w:val="14"/>
                <w:lang w:eastAsia="es-CO"/>
              </w:rPr>
              <w:t>CANTIDAD</w:t>
            </w:r>
          </w:p>
        </w:tc>
        <w:tc>
          <w:tcPr>
            <w:tcW w:w="119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extDirection w:val="btLr"/>
            <w:vAlign w:val="center"/>
            <w:hideMark/>
          </w:tcPr>
          <w:p w14:paraId="5F7C09D9" w14:textId="77777777" w:rsidR="00E814BD" w:rsidRPr="00951AB1" w:rsidRDefault="00E814BD" w:rsidP="000A5389">
            <w:pPr>
              <w:spacing w:line="240" w:lineRule="auto"/>
              <w:jc w:val="center"/>
              <w:rPr>
                <w:rFonts w:eastAsia="Times New Roman" w:cs="Times New Roman"/>
                <w:b/>
                <w:bCs/>
                <w:sz w:val="14"/>
                <w:szCs w:val="14"/>
                <w:lang w:eastAsia="es-CO"/>
              </w:rPr>
            </w:pPr>
            <w:r w:rsidRPr="00951AB1">
              <w:rPr>
                <w:rFonts w:eastAsia="Times New Roman" w:cs="Times New Roman"/>
                <w:b/>
                <w:bCs/>
                <w:sz w:val="14"/>
                <w:szCs w:val="14"/>
                <w:lang w:eastAsia="es-CO"/>
              </w:rPr>
              <w:t>SALDO INICIAL</w:t>
            </w:r>
          </w:p>
        </w:tc>
        <w:tc>
          <w:tcPr>
            <w:tcW w:w="133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extDirection w:val="btLr"/>
            <w:vAlign w:val="center"/>
            <w:hideMark/>
          </w:tcPr>
          <w:p w14:paraId="3492A279" w14:textId="77777777" w:rsidR="00E814BD" w:rsidRPr="00951AB1" w:rsidRDefault="00E814BD" w:rsidP="000A5389">
            <w:pPr>
              <w:spacing w:line="240" w:lineRule="auto"/>
              <w:jc w:val="center"/>
              <w:rPr>
                <w:rFonts w:eastAsia="Times New Roman" w:cs="Times New Roman"/>
                <w:b/>
                <w:bCs/>
                <w:sz w:val="14"/>
                <w:szCs w:val="14"/>
                <w:lang w:eastAsia="es-CO"/>
              </w:rPr>
            </w:pPr>
            <w:r w:rsidRPr="00951AB1">
              <w:rPr>
                <w:rFonts w:eastAsia="Times New Roman" w:cs="Times New Roman"/>
                <w:b/>
                <w:bCs/>
                <w:sz w:val="14"/>
                <w:szCs w:val="14"/>
                <w:lang w:eastAsia="es-CO"/>
              </w:rPr>
              <w:t>INCREMENTO DE LA PROVISIÓN</w:t>
            </w:r>
          </w:p>
        </w:tc>
        <w:tc>
          <w:tcPr>
            <w:tcW w:w="3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extDirection w:val="btLr"/>
            <w:vAlign w:val="center"/>
            <w:hideMark/>
          </w:tcPr>
          <w:p w14:paraId="786FD139" w14:textId="77777777" w:rsidR="00E814BD" w:rsidRPr="00951AB1" w:rsidRDefault="00E814BD" w:rsidP="000A5389">
            <w:pPr>
              <w:spacing w:line="240" w:lineRule="auto"/>
              <w:jc w:val="center"/>
              <w:rPr>
                <w:rFonts w:eastAsia="Times New Roman" w:cs="Times New Roman"/>
                <w:b/>
                <w:bCs/>
                <w:sz w:val="14"/>
                <w:szCs w:val="14"/>
                <w:lang w:eastAsia="es-CO"/>
              </w:rPr>
            </w:pPr>
            <w:r w:rsidRPr="00951AB1">
              <w:rPr>
                <w:rFonts w:eastAsia="Times New Roman" w:cs="Times New Roman"/>
                <w:b/>
                <w:bCs/>
                <w:sz w:val="14"/>
                <w:szCs w:val="14"/>
                <w:lang w:eastAsia="es-CO"/>
              </w:rPr>
              <w:t>AJUSTES POR CAMBIOS EN LA MEDICIÓN</w:t>
            </w:r>
          </w:p>
        </w:tc>
        <w:tc>
          <w:tcPr>
            <w:tcW w:w="129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extDirection w:val="btLr"/>
            <w:vAlign w:val="center"/>
            <w:hideMark/>
          </w:tcPr>
          <w:p w14:paraId="74BA6CAB" w14:textId="77777777" w:rsidR="00E814BD" w:rsidRPr="00951AB1" w:rsidRDefault="00E814BD" w:rsidP="000A5389">
            <w:pPr>
              <w:spacing w:line="240" w:lineRule="auto"/>
              <w:jc w:val="center"/>
              <w:rPr>
                <w:rFonts w:eastAsia="Times New Roman" w:cs="Times New Roman"/>
                <w:b/>
                <w:bCs/>
                <w:sz w:val="14"/>
                <w:szCs w:val="14"/>
                <w:lang w:eastAsia="es-CO"/>
              </w:rPr>
            </w:pPr>
            <w:r w:rsidRPr="00951AB1">
              <w:rPr>
                <w:rFonts w:eastAsia="Times New Roman" w:cs="Times New Roman"/>
                <w:b/>
                <w:bCs/>
                <w:sz w:val="14"/>
                <w:szCs w:val="14"/>
                <w:lang w:eastAsia="es-CO"/>
              </w:rPr>
              <w:t>DECREMENTOS DE LA PROVISIÓN</w:t>
            </w:r>
          </w:p>
        </w:tc>
        <w:tc>
          <w:tcPr>
            <w:tcW w:w="53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extDirection w:val="btLr"/>
            <w:vAlign w:val="center"/>
            <w:hideMark/>
          </w:tcPr>
          <w:p w14:paraId="2EE7CACB" w14:textId="77777777" w:rsidR="00E814BD" w:rsidRPr="00951AB1" w:rsidRDefault="00E814BD" w:rsidP="000A5389">
            <w:pPr>
              <w:spacing w:line="240" w:lineRule="auto"/>
              <w:jc w:val="center"/>
              <w:rPr>
                <w:rFonts w:eastAsia="Times New Roman" w:cs="Times New Roman"/>
                <w:b/>
                <w:bCs/>
                <w:sz w:val="14"/>
                <w:szCs w:val="14"/>
                <w:lang w:eastAsia="es-CO"/>
              </w:rPr>
            </w:pPr>
            <w:r w:rsidRPr="00951AB1">
              <w:rPr>
                <w:rFonts w:eastAsia="Times New Roman" w:cs="Times New Roman"/>
                <w:b/>
                <w:bCs/>
                <w:sz w:val="14"/>
                <w:szCs w:val="14"/>
                <w:lang w:eastAsia="es-CO"/>
              </w:rPr>
              <w:t>AJUSTES POR CAMBIOS EN LA MEDICIÓN</w:t>
            </w:r>
          </w:p>
        </w:tc>
        <w:tc>
          <w:tcPr>
            <w:tcW w:w="48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extDirection w:val="btLr"/>
            <w:vAlign w:val="center"/>
            <w:hideMark/>
          </w:tcPr>
          <w:p w14:paraId="0D5B8C2A" w14:textId="77777777" w:rsidR="00E814BD" w:rsidRPr="00951AB1" w:rsidRDefault="00E814BD" w:rsidP="000A5389">
            <w:pPr>
              <w:spacing w:line="240" w:lineRule="auto"/>
              <w:jc w:val="center"/>
              <w:rPr>
                <w:rFonts w:eastAsia="Times New Roman" w:cs="Times New Roman"/>
                <w:b/>
                <w:bCs/>
                <w:sz w:val="14"/>
                <w:szCs w:val="14"/>
                <w:lang w:eastAsia="es-CO"/>
              </w:rPr>
            </w:pPr>
            <w:r w:rsidRPr="00951AB1">
              <w:rPr>
                <w:rFonts w:eastAsia="Times New Roman" w:cs="Times New Roman"/>
                <w:b/>
                <w:bCs/>
                <w:sz w:val="14"/>
                <w:szCs w:val="14"/>
                <w:lang w:eastAsia="es-CO"/>
              </w:rPr>
              <w:t>VALORES NO UTILIZADOS, O REVERSADOS DEL PERIODO</w:t>
            </w:r>
          </w:p>
        </w:tc>
        <w:tc>
          <w:tcPr>
            <w:tcW w:w="1483"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extDirection w:val="btLr"/>
            <w:vAlign w:val="center"/>
            <w:hideMark/>
          </w:tcPr>
          <w:p w14:paraId="0C1CE680" w14:textId="77777777" w:rsidR="00E814BD" w:rsidRPr="00951AB1" w:rsidRDefault="00E814BD" w:rsidP="000A5389">
            <w:pPr>
              <w:spacing w:line="240" w:lineRule="auto"/>
              <w:jc w:val="center"/>
              <w:rPr>
                <w:rFonts w:eastAsia="Times New Roman" w:cs="Times New Roman"/>
                <w:b/>
                <w:bCs/>
                <w:sz w:val="14"/>
                <w:szCs w:val="14"/>
                <w:lang w:eastAsia="es-CO"/>
              </w:rPr>
            </w:pPr>
            <w:r w:rsidRPr="00951AB1">
              <w:rPr>
                <w:rFonts w:eastAsia="Times New Roman" w:cs="Times New Roman"/>
                <w:b/>
                <w:bCs/>
                <w:sz w:val="14"/>
                <w:szCs w:val="14"/>
                <w:lang w:eastAsia="es-CO"/>
              </w:rPr>
              <w:t>SALDO FINAL</w:t>
            </w:r>
          </w:p>
        </w:tc>
      </w:tr>
      <w:tr w:rsidR="00E814BD" w:rsidRPr="00951AB1" w14:paraId="4BE27DFA" w14:textId="77777777" w:rsidTr="2A085367">
        <w:trPr>
          <w:trHeight w:val="285"/>
        </w:trPr>
        <w:tc>
          <w:tcPr>
            <w:tcW w:w="184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vAlign w:val="center"/>
            <w:hideMark/>
          </w:tcPr>
          <w:p w14:paraId="256C0752" w14:textId="77777777" w:rsidR="00E814BD" w:rsidRPr="00951AB1" w:rsidRDefault="00E814BD" w:rsidP="000A5389">
            <w:pPr>
              <w:spacing w:line="240" w:lineRule="auto"/>
              <w:rPr>
                <w:rFonts w:eastAsia="Times New Roman" w:cs="Times New Roman"/>
                <w:b/>
                <w:bCs/>
                <w:sz w:val="14"/>
                <w:szCs w:val="14"/>
                <w:lang w:eastAsia="es-CO"/>
              </w:rPr>
            </w:pPr>
            <w:r w:rsidRPr="00951AB1">
              <w:rPr>
                <w:rFonts w:eastAsia="Times New Roman" w:cs="Times New Roman"/>
                <w:b/>
                <w:bCs/>
                <w:sz w:val="14"/>
                <w:szCs w:val="14"/>
                <w:lang w:eastAsia="es-CO"/>
              </w:rPr>
              <w:t>PROVISIONES DIVERSAS</w:t>
            </w:r>
          </w:p>
        </w:tc>
        <w:tc>
          <w:tcPr>
            <w:tcW w:w="31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vAlign w:val="center"/>
            <w:hideMark/>
          </w:tcPr>
          <w:p w14:paraId="3C61911B" w14:textId="77777777" w:rsidR="00E814BD" w:rsidRPr="00951AB1" w:rsidRDefault="00E814BD" w:rsidP="000A5389">
            <w:pPr>
              <w:spacing w:line="240" w:lineRule="auto"/>
              <w:rPr>
                <w:rFonts w:eastAsia="Times New Roman" w:cs="Times New Roman"/>
                <w:b/>
                <w:bCs/>
                <w:sz w:val="14"/>
                <w:szCs w:val="14"/>
                <w:lang w:eastAsia="es-CO"/>
              </w:rPr>
            </w:pPr>
          </w:p>
        </w:tc>
        <w:tc>
          <w:tcPr>
            <w:tcW w:w="31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vAlign w:val="center"/>
            <w:hideMark/>
          </w:tcPr>
          <w:p w14:paraId="06089B1E" w14:textId="77777777" w:rsidR="00E814BD" w:rsidRPr="00951AB1" w:rsidRDefault="00E814BD" w:rsidP="000A5389">
            <w:pPr>
              <w:spacing w:line="240" w:lineRule="auto"/>
              <w:rPr>
                <w:rFonts w:eastAsia="Times New Roman" w:cs="Times New Roman"/>
                <w:sz w:val="14"/>
                <w:szCs w:val="14"/>
                <w:lang w:eastAsia="es-CO"/>
              </w:rPr>
            </w:pPr>
          </w:p>
        </w:tc>
        <w:tc>
          <w:tcPr>
            <w:tcW w:w="119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vAlign w:val="center"/>
            <w:hideMark/>
          </w:tcPr>
          <w:p w14:paraId="13338D5E" w14:textId="77777777" w:rsidR="00E814BD" w:rsidRPr="00951AB1" w:rsidRDefault="00E814BD" w:rsidP="000A5389">
            <w:pPr>
              <w:spacing w:line="240" w:lineRule="auto"/>
              <w:jc w:val="right"/>
              <w:rPr>
                <w:rFonts w:eastAsia="Times New Roman" w:cs="Times New Roman"/>
                <w:b/>
                <w:bCs/>
                <w:sz w:val="14"/>
                <w:szCs w:val="14"/>
                <w:lang w:eastAsia="es-CO"/>
              </w:rPr>
            </w:pPr>
            <w:r w:rsidRPr="00951AB1">
              <w:rPr>
                <w:rFonts w:eastAsia="Times New Roman" w:cs="Times New Roman"/>
                <w:b/>
                <w:bCs/>
                <w:sz w:val="14"/>
                <w:szCs w:val="14"/>
                <w:lang w:eastAsia="es-CO"/>
              </w:rPr>
              <w:t xml:space="preserve">3.317.233.113.439 </w:t>
            </w:r>
          </w:p>
        </w:tc>
        <w:tc>
          <w:tcPr>
            <w:tcW w:w="133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vAlign w:val="center"/>
            <w:hideMark/>
          </w:tcPr>
          <w:p w14:paraId="3BC2FCDB" w14:textId="77777777" w:rsidR="00E814BD" w:rsidRPr="00951AB1" w:rsidRDefault="00E814BD" w:rsidP="000A5389">
            <w:pPr>
              <w:spacing w:line="240" w:lineRule="auto"/>
              <w:jc w:val="right"/>
              <w:rPr>
                <w:rFonts w:eastAsia="Times New Roman" w:cs="Times New Roman"/>
                <w:b/>
                <w:bCs/>
                <w:sz w:val="14"/>
                <w:szCs w:val="14"/>
                <w:lang w:eastAsia="es-CO"/>
              </w:rPr>
            </w:pPr>
            <w:r w:rsidRPr="00951AB1">
              <w:rPr>
                <w:rFonts w:eastAsia="Times New Roman" w:cs="Times New Roman"/>
                <w:b/>
                <w:bCs/>
                <w:sz w:val="14"/>
                <w:szCs w:val="14"/>
                <w:lang w:eastAsia="es-CO"/>
              </w:rPr>
              <w:t xml:space="preserve"> 6.494.090.605.885 </w:t>
            </w:r>
          </w:p>
        </w:tc>
        <w:tc>
          <w:tcPr>
            <w:tcW w:w="3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vAlign w:val="center"/>
            <w:hideMark/>
          </w:tcPr>
          <w:p w14:paraId="426B2FC1" w14:textId="77777777" w:rsidR="00E814BD" w:rsidRPr="00951AB1" w:rsidRDefault="00E814BD" w:rsidP="000A5389">
            <w:pPr>
              <w:spacing w:line="240" w:lineRule="auto"/>
              <w:jc w:val="right"/>
              <w:rPr>
                <w:rFonts w:eastAsia="Times New Roman" w:cs="Times New Roman"/>
                <w:b/>
                <w:bCs/>
                <w:sz w:val="14"/>
                <w:szCs w:val="14"/>
                <w:lang w:eastAsia="es-CO"/>
              </w:rPr>
            </w:pPr>
            <w:r w:rsidRPr="00951AB1">
              <w:rPr>
                <w:rFonts w:eastAsia="Times New Roman" w:cs="Times New Roman"/>
                <w:b/>
                <w:bCs/>
                <w:sz w:val="14"/>
                <w:szCs w:val="14"/>
                <w:lang w:eastAsia="es-CO"/>
              </w:rPr>
              <w:t xml:space="preserve"> -   </w:t>
            </w:r>
          </w:p>
        </w:tc>
        <w:tc>
          <w:tcPr>
            <w:tcW w:w="129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vAlign w:val="center"/>
            <w:hideMark/>
          </w:tcPr>
          <w:p w14:paraId="2513E2EB" w14:textId="77777777" w:rsidR="00E814BD" w:rsidRPr="00951AB1" w:rsidRDefault="00E814BD" w:rsidP="000A5389">
            <w:pPr>
              <w:spacing w:line="240" w:lineRule="auto"/>
              <w:jc w:val="right"/>
              <w:rPr>
                <w:rFonts w:eastAsia="Times New Roman" w:cs="Times New Roman"/>
                <w:b/>
                <w:bCs/>
                <w:sz w:val="14"/>
                <w:szCs w:val="14"/>
                <w:lang w:eastAsia="es-CO"/>
              </w:rPr>
            </w:pPr>
            <w:r w:rsidRPr="00951AB1">
              <w:rPr>
                <w:rFonts w:eastAsia="Times New Roman" w:cs="Times New Roman"/>
                <w:b/>
                <w:bCs/>
                <w:sz w:val="14"/>
                <w:szCs w:val="14"/>
                <w:lang w:eastAsia="es-CO"/>
              </w:rPr>
              <w:t xml:space="preserve"> 1.350.372.060.313 </w:t>
            </w:r>
          </w:p>
        </w:tc>
        <w:tc>
          <w:tcPr>
            <w:tcW w:w="53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vAlign w:val="center"/>
            <w:hideMark/>
          </w:tcPr>
          <w:p w14:paraId="06F5291E" w14:textId="77777777" w:rsidR="00E814BD" w:rsidRPr="00951AB1" w:rsidRDefault="00E814BD" w:rsidP="000A5389">
            <w:pPr>
              <w:spacing w:line="240" w:lineRule="auto"/>
              <w:jc w:val="right"/>
              <w:rPr>
                <w:rFonts w:eastAsia="Times New Roman" w:cs="Times New Roman"/>
                <w:b/>
                <w:bCs/>
                <w:sz w:val="14"/>
                <w:szCs w:val="14"/>
                <w:lang w:eastAsia="es-CO"/>
              </w:rPr>
            </w:pPr>
            <w:r w:rsidRPr="00951AB1">
              <w:rPr>
                <w:rFonts w:eastAsia="Times New Roman" w:cs="Times New Roman"/>
                <w:b/>
                <w:bCs/>
                <w:sz w:val="14"/>
                <w:szCs w:val="14"/>
                <w:lang w:eastAsia="es-CO"/>
              </w:rPr>
              <w:t xml:space="preserve"> -   </w:t>
            </w:r>
          </w:p>
        </w:tc>
        <w:tc>
          <w:tcPr>
            <w:tcW w:w="48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vAlign w:val="center"/>
            <w:hideMark/>
          </w:tcPr>
          <w:p w14:paraId="06370BEA" w14:textId="77777777" w:rsidR="00E814BD" w:rsidRPr="00951AB1" w:rsidRDefault="00E814BD" w:rsidP="000A5389">
            <w:pPr>
              <w:spacing w:line="240" w:lineRule="auto"/>
              <w:jc w:val="right"/>
              <w:rPr>
                <w:rFonts w:eastAsia="Times New Roman" w:cs="Times New Roman"/>
                <w:b/>
                <w:bCs/>
                <w:sz w:val="14"/>
                <w:szCs w:val="14"/>
                <w:lang w:eastAsia="es-CO"/>
              </w:rPr>
            </w:pPr>
            <w:r w:rsidRPr="00951AB1">
              <w:rPr>
                <w:rFonts w:eastAsia="Times New Roman" w:cs="Times New Roman"/>
                <w:b/>
                <w:bCs/>
                <w:sz w:val="14"/>
                <w:szCs w:val="14"/>
                <w:lang w:eastAsia="es-CO"/>
              </w:rPr>
              <w:t xml:space="preserve"> -   </w:t>
            </w:r>
          </w:p>
        </w:tc>
        <w:tc>
          <w:tcPr>
            <w:tcW w:w="1483"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vAlign w:val="center"/>
            <w:hideMark/>
          </w:tcPr>
          <w:p w14:paraId="08D0C356" w14:textId="77777777" w:rsidR="00E814BD" w:rsidRPr="00951AB1" w:rsidRDefault="00E814BD" w:rsidP="000A5389">
            <w:pPr>
              <w:spacing w:line="240" w:lineRule="auto"/>
              <w:jc w:val="right"/>
              <w:rPr>
                <w:rFonts w:eastAsia="Times New Roman" w:cs="Times New Roman"/>
                <w:b/>
                <w:bCs/>
                <w:sz w:val="14"/>
                <w:szCs w:val="14"/>
                <w:lang w:eastAsia="es-CO"/>
              </w:rPr>
            </w:pPr>
            <w:r w:rsidRPr="00951AB1">
              <w:rPr>
                <w:rFonts w:eastAsia="Times New Roman" w:cs="Times New Roman"/>
                <w:b/>
                <w:bCs/>
                <w:sz w:val="14"/>
                <w:szCs w:val="14"/>
                <w:lang w:eastAsia="es-CO"/>
              </w:rPr>
              <w:t xml:space="preserve"> 8.460.951.659.011 </w:t>
            </w:r>
          </w:p>
        </w:tc>
      </w:tr>
      <w:tr w:rsidR="00E814BD" w:rsidRPr="00951AB1" w14:paraId="0ACEDB06" w14:textId="77777777" w:rsidTr="2A085367">
        <w:trPr>
          <w:trHeight w:val="285"/>
        </w:trPr>
        <w:tc>
          <w:tcPr>
            <w:tcW w:w="184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vAlign w:val="center"/>
            <w:hideMark/>
          </w:tcPr>
          <w:p w14:paraId="4B07C174" w14:textId="77777777" w:rsidR="00E814BD" w:rsidRPr="00951AB1" w:rsidRDefault="00E814BD" w:rsidP="000A5389">
            <w:pPr>
              <w:spacing w:line="240" w:lineRule="auto"/>
              <w:rPr>
                <w:rFonts w:eastAsia="Times New Roman" w:cs="Times New Roman"/>
                <w:b/>
                <w:bCs/>
                <w:sz w:val="14"/>
                <w:szCs w:val="14"/>
                <w:lang w:eastAsia="es-CO"/>
              </w:rPr>
            </w:pPr>
            <w:r w:rsidRPr="00951AB1">
              <w:rPr>
                <w:rFonts w:eastAsia="Times New Roman" w:cs="Times New Roman"/>
                <w:b/>
                <w:bCs/>
                <w:sz w:val="14"/>
                <w:szCs w:val="14"/>
                <w:lang w:eastAsia="es-CO"/>
              </w:rPr>
              <w:t xml:space="preserve">Mecanismos alternativos de </w:t>
            </w:r>
          </w:p>
          <w:p w14:paraId="03954C9F" w14:textId="77777777" w:rsidR="00E814BD" w:rsidRPr="00951AB1" w:rsidRDefault="00E814BD" w:rsidP="000A5389">
            <w:pPr>
              <w:spacing w:line="240" w:lineRule="auto"/>
              <w:rPr>
                <w:rFonts w:eastAsia="Times New Roman" w:cs="Times New Roman"/>
                <w:b/>
                <w:bCs/>
                <w:sz w:val="14"/>
                <w:szCs w:val="14"/>
                <w:lang w:eastAsia="es-CO"/>
              </w:rPr>
            </w:pPr>
            <w:r w:rsidRPr="00951AB1">
              <w:rPr>
                <w:rFonts w:eastAsia="Times New Roman" w:cs="Times New Roman"/>
                <w:b/>
                <w:bCs/>
                <w:sz w:val="14"/>
                <w:szCs w:val="14"/>
                <w:lang w:eastAsia="es-CO"/>
              </w:rPr>
              <w:t>solución de conflictos</w:t>
            </w:r>
          </w:p>
        </w:tc>
        <w:tc>
          <w:tcPr>
            <w:tcW w:w="31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vAlign w:val="center"/>
            <w:hideMark/>
          </w:tcPr>
          <w:p w14:paraId="11A91C33" w14:textId="77777777" w:rsidR="00E814BD" w:rsidRPr="00951AB1" w:rsidRDefault="00E814BD" w:rsidP="000A5389">
            <w:pPr>
              <w:spacing w:line="240" w:lineRule="auto"/>
              <w:rPr>
                <w:rFonts w:eastAsia="Times New Roman" w:cs="Times New Roman"/>
                <w:b/>
                <w:bCs/>
                <w:sz w:val="14"/>
                <w:szCs w:val="14"/>
                <w:lang w:eastAsia="es-CO"/>
              </w:rPr>
            </w:pPr>
          </w:p>
        </w:tc>
        <w:tc>
          <w:tcPr>
            <w:tcW w:w="31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vAlign w:val="center"/>
            <w:hideMark/>
          </w:tcPr>
          <w:p w14:paraId="1FAB78FE" w14:textId="77777777" w:rsidR="00E814BD" w:rsidRPr="00951AB1" w:rsidRDefault="00E814BD" w:rsidP="000A5389">
            <w:pPr>
              <w:spacing w:line="240" w:lineRule="auto"/>
              <w:rPr>
                <w:rFonts w:eastAsia="Times New Roman" w:cs="Times New Roman"/>
                <w:sz w:val="14"/>
                <w:szCs w:val="14"/>
                <w:lang w:eastAsia="es-CO"/>
              </w:rPr>
            </w:pPr>
          </w:p>
        </w:tc>
        <w:tc>
          <w:tcPr>
            <w:tcW w:w="119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vAlign w:val="center"/>
            <w:hideMark/>
          </w:tcPr>
          <w:p w14:paraId="104D5F0D" w14:textId="77777777" w:rsidR="00E814BD" w:rsidRPr="00951AB1" w:rsidRDefault="00E814BD" w:rsidP="000A5389">
            <w:pPr>
              <w:spacing w:line="240" w:lineRule="auto"/>
              <w:jc w:val="right"/>
              <w:rPr>
                <w:rFonts w:eastAsia="Times New Roman" w:cs="Times New Roman"/>
                <w:b/>
                <w:bCs/>
                <w:sz w:val="14"/>
                <w:szCs w:val="14"/>
                <w:lang w:eastAsia="es-CO"/>
              </w:rPr>
            </w:pPr>
            <w:r w:rsidRPr="00951AB1">
              <w:rPr>
                <w:rFonts w:eastAsia="Times New Roman" w:cs="Times New Roman"/>
                <w:b/>
                <w:bCs/>
                <w:sz w:val="14"/>
                <w:szCs w:val="14"/>
                <w:lang w:eastAsia="es-CO"/>
              </w:rPr>
              <w:t xml:space="preserve">3.317.233.113.439 </w:t>
            </w:r>
          </w:p>
        </w:tc>
        <w:tc>
          <w:tcPr>
            <w:tcW w:w="133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vAlign w:val="center"/>
            <w:hideMark/>
          </w:tcPr>
          <w:p w14:paraId="034420BC" w14:textId="77777777" w:rsidR="00E814BD" w:rsidRPr="00951AB1" w:rsidRDefault="00E814BD" w:rsidP="000A5389">
            <w:pPr>
              <w:spacing w:line="240" w:lineRule="auto"/>
              <w:jc w:val="right"/>
              <w:rPr>
                <w:rFonts w:eastAsia="Times New Roman" w:cs="Times New Roman"/>
                <w:b/>
                <w:bCs/>
                <w:sz w:val="14"/>
                <w:szCs w:val="14"/>
                <w:lang w:eastAsia="es-CO"/>
              </w:rPr>
            </w:pPr>
            <w:r w:rsidRPr="00951AB1">
              <w:rPr>
                <w:rFonts w:eastAsia="Times New Roman" w:cs="Times New Roman"/>
                <w:b/>
                <w:bCs/>
                <w:sz w:val="14"/>
                <w:szCs w:val="14"/>
                <w:lang w:eastAsia="es-CO"/>
              </w:rPr>
              <w:t xml:space="preserve"> 6.494.090.605.885 </w:t>
            </w:r>
          </w:p>
        </w:tc>
        <w:tc>
          <w:tcPr>
            <w:tcW w:w="3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vAlign w:val="center"/>
            <w:hideMark/>
          </w:tcPr>
          <w:p w14:paraId="67A889D0" w14:textId="77777777" w:rsidR="00E814BD" w:rsidRPr="00951AB1" w:rsidRDefault="00E814BD" w:rsidP="000A5389">
            <w:pPr>
              <w:spacing w:line="240" w:lineRule="auto"/>
              <w:jc w:val="right"/>
              <w:rPr>
                <w:rFonts w:eastAsia="Times New Roman" w:cs="Times New Roman"/>
                <w:b/>
                <w:bCs/>
                <w:sz w:val="14"/>
                <w:szCs w:val="14"/>
                <w:lang w:eastAsia="es-CO"/>
              </w:rPr>
            </w:pPr>
            <w:r w:rsidRPr="00951AB1">
              <w:rPr>
                <w:rFonts w:eastAsia="Times New Roman" w:cs="Times New Roman"/>
                <w:b/>
                <w:bCs/>
                <w:sz w:val="14"/>
                <w:szCs w:val="14"/>
                <w:lang w:eastAsia="es-CO"/>
              </w:rPr>
              <w:t xml:space="preserve"> -   </w:t>
            </w:r>
          </w:p>
        </w:tc>
        <w:tc>
          <w:tcPr>
            <w:tcW w:w="129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vAlign w:val="center"/>
            <w:hideMark/>
          </w:tcPr>
          <w:p w14:paraId="47BBCF46" w14:textId="77777777" w:rsidR="00E814BD" w:rsidRPr="00951AB1" w:rsidRDefault="00E814BD" w:rsidP="000A5389">
            <w:pPr>
              <w:spacing w:line="240" w:lineRule="auto"/>
              <w:jc w:val="right"/>
              <w:rPr>
                <w:rFonts w:eastAsia="Times New Roman" w:cs="Times New Roman"/>
                <w:b/>
                <w:bCs/>
                <w:sz w:val="14"/>
                <w:szCs w:val="14"/>
                <w:lang w:eastAsia="es-CO"/>
              </w:rPr>
            </w:pPr>
            <w:r w:rsidRPr="00951AB1">
              <w:rPr>
                <w:rFonts w:eastAsia="Times New Roman" w:cs="Times New Roman"/>
                <w:b/>
                <w:bCs/>
                <w:sz w:val="14"/>
                <w:szCs w:val="14"/>
                <w:lang w:eastAsia="es-CO"/>
              </w:rPr>
              <w:t xml:space="preserve"> 1.350.372.060.313 </w:t>
            </w:r>
          </w:p>
        </w:tc>
        <w:tc>
          <w:tcPr>
            <w:tcW w:w="53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vAlign w:val="center"/>
            <w:hideMark/>
          </w:tcPr>
          <w:p w14:paraId="0B0B91B1" w14:textId="77777777" w:rsidR="00E814BD" w:rsidRPr="00951AB1" w:rsidRDefault="00E814BD" w:rsidP="000A5389">
            <w:pPr>
              <w:spacing w:line="240" w:lineRule="auto"/>
              <w:jc w:val="right"/>
              <w:rPr>
                <w:rFonts w:eastAsia="Times New Roman" w:cs="Times New Roman"/>
                <w:b/>
                <w:bCs/>
                <w:sz w:val="14"/>
                <w:szCs w:val="14"/>
                <w:lang w:eastAsia="es-CO"/>
              </w:rPr>
            </w:pPr>
            <w:r w:rsidRPr="00951AB1">
              <w:rPr>
                <w:rFonts w:eastAsia="Times New Roman" w:cs="Times New Roman"/>
                <w:b/>
                <w:bCs/>
                <w:sz w:val="14"/>
                <w:szCs w:val="14"/>
                <w:lang w:eastAsia="es-CO"/>
              </w:rPr>
              <w:t xml:space="preserve"> -   </w:t>
            </w:r>
          </w:p>
        </w:tc>
        <w:tc>
          <w:tcPr>
            <w:tcW w:w="48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vAlign w:val="center"/>
            <w:hideMark/>
          </w:tcPr>
          <w:p w14:paraId="55E0DDEF" w14:textId="77777777" w:rsidR="00E814BD" w:rsidRPr="00951AB1" w:rsidRDefault="00E814BD" w:rsidP="000A5389">
            <w:pPr>
              <w:spacing w:line="240" w:lineRule="auto"/>
              <w:jc w:val="right"/>
              <w:rPr>
                <w:rFonts w:eastAsia="Times New Roman" w:cs="Times New Roman"/>
                <w:b/>
                <w:bCs/>
                <w:sz w:val="14"/>
                <w:szCs w:val="14"/>
                <w:lang w:eastAsia="es-CO"/>
              </w:rPr>
            </w:pPr>
            <w:r w:rsidRPr="00951AB1">
              <w:rPr>
                <w:rFonts w:eastAsia="Times New Roman" w:cs="Times New Roman"/>
                <w:b/>
                <w:bCs/>
                <w:sz w:val="14"/>
                <w:szCs w:val="14"/>
                <w:lang w:eastAsia="es-CO"/>
              </w:rPr>
              <w:t xml:space="preserve"> -   </w:t>
            </w:r>
          </w:p>
        </w:tc>
        <w:tc>
          <w:tcPr>
            <w:tcW w:w="1483"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vAlign w:val="center"/>
            <w:hideMark/>
          </w:tcPr>
          <w:p w14:paraId="2EAF013A" w14:textId="77777777" w:rsidR="00E814BD" w:rsidRPr="00951AB1" w:rsidRDefault="00E814BD" w:rsidP="000A5389">
            <w:pPr>
              <w:spacing w:line="240" w:lineRule="auto"/>
              <w:jc w:val="right"/>
              <w:rPr>
                <w:rFonts w:eastAsia="Times New Roman" w:cs="Times New Roman"/>
                <w:b/>
                <w:bCs/>
                <w:sz w:val="14"/>
                <w:szCs w:val="14"/>
                <w:lang w:eastAsia="es-CO"/>
              </w:rPr>
            </w:pPr>
            <w:r w:rsidRPr="00951AB1">
              <w:rPr>
                <w:rFonts w:eastAsia="Times New Roman" w:cs="Times New Roman"/>
                <w:b/>
                <w:bCs/>
                <w:sz w:val="14"/>
                <w:szCs w:val="14"/>
                <w:lang w:eastAsia="es-CO"/>
              </w:rPr>
              <w:t xml:space="preserve"> 8.460.951.659.011 </w:t>
            </w:r>
          </w:p>
        </w:tc>
      </w:tr>
      <w:tr w:rsidR="00E814BD" w:rsidRPr="00951AB1" w14:paraId="33DF47FA" w14:textId="77777777" w:rsidTr="2A085367">
        <w:trPr>
          <w:trHeight w:val="300"/>
        </w:trPr>
        <w:tc>
          <w:tcPr>
            <w:tcW w:w="184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hideMark/>
          </w:tcPr>
          <w:p w14:paraId="3CB53D90" w14:textId="77777777" w:rsidR="00E814BD" w:rsidRPr="00951AB1" w:rsidRDefault="00E814BD" w:rsidP="000A5389">
            <w:pPr>
              <w:spacing w:line="240" w:lineRule="auto"/>
              <w:rPr>
                <w:rFonts w:eastAsia="Times New Roman" w:cs="Times New Roman"/>
                <w:sz w:val="14"/>
                <w:szCs w:val="14"/>
                <w:lang w:eastAsia="es-CO"/>
              </w:rPr>
            </w:pPr>
            <w:r w:rsidRPr="00951AB1">
              <w:rPr>
                <w:rFonts w:eastAsia="Times New Roman" w:cs="Times New Roman"/>
                <w:sz w:val="14"/>
                <w:szCs w:val="14"/>
                <w:lang w:eastAsia="es-CO"/>
              </w:rPr>
              <w:t>Nacionales</w:t>
            </w:r>
          </w:p>
        </w:tc>
        <w:tc>
          <w:tcPr>
            <w:tcW w:w="31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vAlign w:val="center"/>
            <w:hideMark/>
          </w:tcPr>
          <w:p w14:paraId="100782A0" w14:textId="77777777" w:rsidR="00E814BD" w:rsidRPr="00951AB1" w:rsidRDefault="00E814BD" w:rsidP="000A5389">
            <w:pPr>
              <w:spacing w:line="240" w:lineRule="auto"/>
              <w:jc w:val="center"/>
              <w:rPr>
                <w:rFonts w:eastAsia="Times New Roman" w:cs="Times New Roman"/>
                <w:sz w:val="14"/>
                <w:szCs w:val="14"/>
                <w:lang w:eastAsia="es-CO"/>
              </w:rPr>
            </w:pPr>
            <w:r w:rsidRPr="00951AB1">
              <w:rPr>
                <w:rFonts w:eastAsia="Times New Roman" w:cs="Times New Roman"/>
                <w:sz w:val="14"/>
                <w:szCs w:val="14"/>
                <w:lang w:eastAsia="es-CO"/>
              </w:rPr>
              <w:t>PJ</w:t>
            </w:r>
          </w:p>
        </w:tc>
        <w:tc>
          <w:tcPr>
            <w:tcW w:w="312"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vAlign w:val="center"/>
            <w:hideMark/>
          </w:tcPr>
          <w:p w14:paraId="0B2AE847" w14:textId="77777777" w:rsidR="00E814BD" w:rsidRPr="00951AB1" w:rsidRDefault="00E814BD" w:rsidP="000A5389">
            <w:pPr>
              <w:spacing w:line="240" w:lineRule="auto"/>
              <w:jc w:val="center"/>
              <w:rPr>
                <w:rFonts w:eastAsia="Times New Roman" w:cs="Times New Roman"/>
                <w:sz w:val="14"/>
                <w:szCs w:val="14"/>
                <w:lang w:eastAsia="es-CO"/>
              </w:rPr>
            </w:pPr>
            <w:r w:rsidRPr="00951AB1">
              <w:rPr>
                <w:rFonts w:eastAsia="Times New Roman" w:cs="Times New Roman"/>
                <w:sz w:val="14"/>
                <w:szCs w:val="14"/>
                <w:lang w:eastAsia="es-CO"/>
              </w:rPr>
              <w:t>12</w:t>
            </w:r>
          </w:p>
        </w:tc>
        <w:tc>
          <w:tcPr>
            <w:tcW w:w="119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vAlign w:val="center"/>
            <w:hideMark/>
          </w:tcPr>
          <w:p w14:paraId="081DAF75" w14:textId="77777777" w:rsidR="00E814BD" w:rsidRPr="00951AB1" w:rsidRDefault="00E814BD" w:rsidP="000A5389">
            <w:pPr>
              <w:spacing w:line="240" w:lineRule="auto"/>
              <w:jc w:val="right"/>
              <w:rPr>
                <w:rFonts w:eastAsia="Times New Roman" w:cs="Times New Roman"/>
                <w:sz w:val="14"/>
                <w:szCs w:val="14"/>
                <w:lang w:eastAsia="es-CO"/>
              </w:rPr>
            </w:pPr>
            <w:r w:rsidRPr="00951AB1">
              <w:rPr>
                <w:rFonts w:eastAsia="Times New Roman" w:cs="Times New Roman"/>
                <w:sz w:val="14"/>
                <w:szCs w:val="14"/>
                <w:lang w:eastAsia="es-CO"/>
              </w:rPr>
              <w:t xml:space="preserve">3.317.233.113.439 </w:t>
            </w:r>
          </w:p>
        </w:tc>
        <w:tc>
          <w:tcPr>
            <w:tcW w:w="133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vAlign w:val="center"/>
            <w:hideMark/>
          </w:tcPr>
          <w:p w14:paraId="75E0CFCD" w14:textId="77777777" w:rsidR="00E814BD" w:rsidRPr="00951AB1" w:rsidRDefault="00E814BD" w:rsidP="000A5389">
            <w:pPr>
              <w:spacing w:line="240" w:lineRule="auto"/>
              <w:jc w:val="right"/>
              <w:rPr>
                <w:rFonts w:eastAsia="Times New Roman" w:cs="Times New Roman"/>
                <w:sz w:val="14"/>
                <w:szCs w:val="14"/>
                <w:lang w:eastAsia="es-CO"/>
              </w:rPr>
            </w:pPr>
            <w:r w:rsidRPr="00951AB1">
              <w:rPr>
                <w:rFonts w:eastAsia="Times New Roman" w:cs="Times New Roman"/>
                <w:sz w:val="14"/>
                <w:szCs w:val="14"/>
                <w:lang w:eastAsia="es-CO"/>
              </w:rPr>
              <w:t xml:space="preserve"> 6.494.090.605.885 </w:t>
            </w:r>
          </w:p>
        </w:tc>
        <w:tc>
          <w:tcPr>
            <w:tcW w:w="384"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vAlign w:val="center"/>
            <w:hideMark/>
          </w:tcPr>
          <w:p w14:paraId="4C90E36F" w14:textId="77777777" w:rsidR="00E814BD" w:rsidRPr="00951AB1" w:rsidRDefault="00E814BD" w:rsidP="000A5389">
            <w:pPr>
              <w:spacing w:line="240" w:lineRule="auto"/>
              <w:jc w:val="right"/>
              <w:rPr>
                <w:rFonts w:eastAsia="Times New Roman" w:cs="Times New Roman"/>
                <w:sz w:val="14"/>
                <w:szCs w:val="14"/>
                <w:lang w:eastAsia="es-CO"/>
              </w:rPr>
            </w:pPr>
            <w:r w:rsidRPr="00951AB1">
              <w:rPr>
                <w:rFonts w:eastAsia="Times New Roman" w:cs="Times New Roman"/>
                <w:sz w:val="14"/>
                <w:szCs w:val="14"/>
                <w:lang w:eastAsia="es-CO"/>
              </w:rPr>
              <w:t xml:space="preserve"> -   </w:t>
            </w:r>
          </w:p>
        </w:tc>
        <w:tc>
          <w:tcPr>
            <w:tcW w:w="129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vAlign w:val="center"/>
            <w:hideMark/>
          </w:tcPr>
          <w:p w14:paraId="6D71EBD1" w14:textId="77777777" w:rsidR="00E814BD" w:rsidRPr="00951AB1" w:rsidRDefault="00E814BD" w:rsidP="000A5389">
            <w:pPr>
              <w:spacing w:line="240" w:lineRule="auto"/>
              <w:jc w:val="right"/>
              <w:rPr>
                <w:rFonts w:eastAsia="Times New Roman" w:cs="Times New Roman"/>
                <w:sz w:val="14"/>
                <w:szCs w:val="14"/>
                <w:lang w:eastAsia="es-CO"/>
              </w:rPr>
            </w:pPr>
            <w:r w:rsidRPr="00951AB1">
              <w:rPr>
                <w:rFonts w:eastAsia="Times New Roman" w:cs="Times New Roman"/>
                <w:sz w:val="14"/>
                <w:szCs w:val="14"/>
                <w:lang w:eastAsia="es-CO"/>
              </w:rPr>
              <w:t xml:space="preserve"> 1.350.372.060.313 </w:t>
            </w:r>
          </w:p>
        </w:tc>
        <w:tc>
          <w:tcPr>
            <w:tcW w:w="538"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vAlign w:val="center"/>
            <w:hideMark/>
          </w:tcPr>
          <w:p w14:paraId="4670B09B" w14:textId="77777777" w:rsidR="00E814BD" w:rsidRPr="00951AB1" w:rsidRDefault="00E814BD" w:rsidP="000A5389">
            <w:pPr>
              <w:spacing w:line="240" w:lineRule="auto"/>
              <w:jc w:val="right"/>
              <w:rPr>
                <w:rFonts w:eastAsia="Times New Roman" w:cs="Times New Roman"/>
                <w:sz w:val="14"/>
                <w:szCs w:val="14"/>
                <w:lang w:eastAsia="es-CO"/>
              </w:rPr>
            </w:pPr>
            <w:r w:rsidRPr="00951AB1">
              <w:rPr>
                <w:rFonts w:eastAsia="Times New Roman" w:cs="Times New Roman"/>
                <w:sz w:val="14"/>
                <w:szCs w:val="14"/>
                <w:lang w:eastAsia="es-CO"/>
              </w:rPr>
              <w:t xml:space="preserve"> -   </w:t>
            </w:r>
          </w:p>
        </w:tc>
        <w:tc>
          <w:tcPr>
            <w:tcW w:w="480"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vAlign w:val="center"/>
            <w:hideMark/>
          </w:tcPr>
          <w:p w14:paraId="6C33F190" w14:textId="77777777" w:rsidR="00E814BD" w:rsidRPr="00951AB1" w:rsidRDefault="00E814BD" w:rsidP="000A5389">
            <w:pPr>
              <w:spacing w:line="240" w:lineRule="auto"/>
              <w:jc w:val="right"/>
              <w:rPr>
                <w:rFonts w:eastAsia="Times New Roman" w:cs="Times New Roman"/>
                <w:sz w:val="14"/>
                <w:szCs w:val="14"/>
                <w:lang w:eastAsia="es-CO"/>
              </w:rPr>
            </w:pPr>
            <w:r w:rsidRPr="00951AB1">
              <w:rPr>
                <w:rFonts w:eastAsia="Times New Roman" w:cs="Times New Roman"/>
                <w:b/>
                <w:bCs/>
                <w:sz w:val="14"/>
                <w:szCs w:val="14"/>
                <w:lang w:eastAsia="es-CO"/>
              </w:rPr>
              <w:t xml:space="preserve">-   </w:t>
            </w:r>
          </w:p>
        </w:tc>
        <w:tc>
          <w:tcPr>
            <w:tcW w:w="1483" w:type="dxa"/>
            <w:gridSpan w:val="2"/>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noWrap/>
            <w:vAlign w:val="center"/>
            <w:hideMark/>
          </w:tcPr>
          <w:p w14:paraId="1FC7178D" w14:textId="77777777" w:rsidR="00E814BD" w:rsidRPr="00951AB1" w:rsidRDefault="00E814BD" w:rsidP="000A5389">
            <w:pPr>
              <w:spacing w:line="240" w:lineRule="auto"/>
              <w:jc w:val="right"/>
              <w:rPr>
                <w:rFonts w:eastAsia="Times New Roman" w:cs="Times New Roman"/>
                <w:sz w:val="14"/>
                <w:szCs w:val="14"/>
                <w:lang w:eastAsia="es-CO"/>
              </w:rPr>
            </w:pPr>
            <w:r w:rsidRPr="00951AB1">
              <w:rPr>
                <w:rFonts w:eastAsia="Times New Roman" w:cs="Times New Roman"/>
                <w:sz w:val="14"/>
                <w:szCs w:val="14"/>
                <w:lang w:eastAsia="es-CO"/>
              </w:rPr>
              <w:t xml:space="preserve"> 8.460.951.659.011 </w:t>
            </w:r>
          </w:p>
        </w:tc>
      </w:tr>
    </w:tbl>
    <w:p w14:paraId="17D90DCD" w14:textId="77777777" w:rsidR="00E814BD" w:rsidRPr="00951AB1" w:rsidRDefault="00E814BD" w:rsidP="000A5389">
      <w:pPr>
        <w:autoSpaceDE w:val="0"/>
        <w:autoSpaceDN w:val="0"/>
        <w:adjustRightInd w:val="0"/>
        <w:spacing w:line="240" w:lineRule="auto"/>
        <w:rPr>
          <w:rFonts w:cs="Times New Roman"/>
          <w:color w:val="000000"/>
          <w:sz w:val="14"/>
          <w:szCs w:val="14"/>
        </w:rPr>
      </w:pPr>
      <w:r w:rsidRPr="00951AB1">
        <w:rPr>
          <w:rFonts w:cs="Times New Roman"/>
          <w:color w:val="000000"/>
          <w:sz w:val="14"/>
          <w:szCs w:val="14"/>
        </w:rPr>
        <w:t>Cifras expresadas en pesos</w:t>
      </w:r>
    </w:p>
    <w:p w14:paraId="7CF32BFD" w14:textId="77777777" w:rsidR="00E814BD" w:rsidRPr="00951AB1" w:rsidRDefault="00E814BD" w:rsidP="000A5389">
      <w:pPr>
        <w:spacing w:line="240" w:lineRule="auto"/>
        <w:rPr>
          <w:rFonts w:cs="Times New Roman"/>
          <w:b/>
          <w:color w:val="000000"/>
          <w:szCs w:val="24"/>
        </w:rPr>
      </w:pPr>
    </w:p>
    <w:p w14:paraId="17EB83CC" w14:textId="77777777" w:rsidR="00E814BD" w:rsidRPr="00951AB1" w:rsidRDefault="00E814BD" w:rsidP="000A5389">
      <w:pPr>
        <w:spacing w:line="240" w:lineRule="auto"/>
        <w:rPr>
          <w:rFonts w:cs="Times New Roman"/>
          <w:color w:val="000000"/>
          <w:szCs w:val="24"/>
        </w:rPr>
      </w:pPr>
      <w:r w:rsidRPr="00951AB1">
        <w:rPr>
          <w:rFonts w:cs="Times New Roman"/>
          <w:b/>
          <w:color w:val="000000"/>
          <w:szCs w:val="24"/>
        </w:rPr>
        <w:t>Mecanismos alternativos de solución de conflictos:</w:t>
      </w:r>
      <w:r w:rsidRPr="00951AB1">
        <w:rPr>
          <w:rFonts w:cs="Times New Roman"/>
          <w:color w:val="000000"/>
          <w:szCs w:val="24"/>
        </w:rPr>
        <w:t xml:space="preserve"> corresponden a trece (13) tramites arbitrales en los que la entidad es convocada, así: </w:t>
      </w:r>
      <w:r w:rsidRPr="00951AB1">
        <w:rPr>
          <w:rFonts w:cs="Times New Roman"/>
          <w:b/>
          <w:bCs/>
          <w:color w:val="000000"/>
          <w:szCs w:val="24"/>
        </w:rPr>
        <w:t>i)</w:t>
      </w:r>
      <w:r w:rsidRPr="00951AB1">
        <w:rPr>
          <w:rFonts w:cs="Times New Roman"/>
          <w:color w:val="000000"/>
          <w:szCs w:val="24"/>
        </w:rPr>
        <w:t xml:space="preserve"> ocho (8) procesos activos notificados en el año 2024, de los cuales siete (7) se encuentran registrados con valor de provisión contable, y uno (1) tiene valor $0 de pretensiones, por lo que no es objeto de contabilización, y </w:t>
      </w:r>
      <w:r w:rsidRPr="00951AB1">
        <w:rPr>
          <w:rFonts w:cs="Times New Roman"/>
          <w:b/>
          <w:bCs/>
          <w:color w:val="000000"/>
          <w:szCs w:val="24"/>
        </w:rPr>
        <w:t>ii)</w:t>
      </w:r>
      <w:r w:rsidRPr="00951AB1">
        <w:rPr>
          <w:rFonts w:cs="Times New Roman"/>
          <w:color w:val="000000"/>
          <w:szCs w:val="24"/>
        </w:rPr>
        <w:t xml:space="preserve"> cinco (5) procesos activos notificados en el año 2025, todos con valor de provisión contable. </w:t>
      </w:r>
    </w:p>
    <w:p w14:paraId="412BD864" w14:textId="77777777" w:rsidR="00E814BD" w:rsidRPr="00951AB1" w:rsidRDefault="00E814BD" w:rsidP="000A5389">
      <w:pPr>
        <w:spacing w:line="240" w:lineRule="auto"/>
        <w:rPr>
          <w:rFonts w:cs="Times New Roman"/>
          <w:color w:val="000000"/>
          <w:szCs w:val="24"/>
        </w:rPr>
      </w:pPr>
    </w:p>
    <w:p w14:paraId="4A193F68" w14:textId="77777777" w:rsidR="00E814BD" w:rsidRPr="00951AB1" w:rsidRDefault="00E814BD" w:rsidP="000A5389">
      <w:pPr>
        <w:autoSpaceDE w:val="0"/>
        <w:autoSpaceDN w:val="0"/>
        <w:adjustRightInd w:val="0"/>
        <w:spacing w:line="240" w:lineRule="auto"/>
        <w:rPr>
          <w:rFonts w:cs="Times New Roman"/>
          <w:color w:val="000000"/>
          <w:szCs w:val="24"/>
        </w:rPr>
      </w:pPr>
      <w:r w:rsidRPr="00951AB1">
        <w:rPr>
          <w:rFonts w:cs="Times New Roman"/>
          <w:color w:val="000000"/>
          <w:szCs w:val="24"/>
        </w:rPr>
        <w:t>El eventual pago, se tiene previsto dentro de uno a tres años siguientes.</w:t>
      </w:r>
    </w:p>
    <w:p w14:paraId="45A252C5" w14:textId="77777777" w:rsidR="00E814BD" w:rsidRPr="00951AB1" w:rsidRDefault="00E814BD" w:rsidP="000A5389">
      <w:pPr>
        <w:autoSpaceDE w:val="0"/>
        <w:autoSpaceDN w:val="0"/>
        <w:adjustRightInd w:val="0"/>
        <w:spacing w:line="240" w:lineRule="auto"/>
        <w:rPr>
          <w:rFonts w:cs="Times New Roman"/>
          <w:color w:val="000000"/>
          <w:szCs w:val="24"/>
        </w:rPr>
      </w:pPr>
    </w:p>
    <w:p w14:paraId="7F4E2F2C" w14:textId="77777777" w:rsidR="00E814BD" w:rsidRPr="00951AB1" w:rsidRDefault="00E814BD" w:rsidP="000A5389">
      <w:pPr>
        <w:autoSpaceDE w:val="0"/>
        <w:autoSpaceDN w:val="0"/>
        <w:adjustRightInd w:val="0"/>
        <w:spacing w:line="240" w:lineRule="auto"/>
        <w:rPr>
          <w:rFonts w:cs="Times New Roman"/>
          <w:color w:val="000000"/>
          <w:szCs w:val="24"/>
        </w:rPr>
      </w:pPr>
      <w:r w:rsidRPr="00951AB1">
        <w:rPr>
          <w:rFonts w:cs="Times New Roman"/>
          <w:color w:val="000000"/>
          <w:szCs w:val="24"/>
        </w:rPr>
        <w:t>Se informa que la tasa de los TES aplicada en la medición de la provisión utilizada para todos los trámites arbitrales de acuerdo con lo informado por el Grupo Interno de Trabajo de Defensa Judicial de la Vicepresidencia Jurídica fue de 8,58%, para la actualización financiera de la provisión.</w:t>
      </w:r>
    </w:p>
    <w:p w14:paraId="7574A27E" w14:textId="77777777" w:rsidR="00E814BD" w:rsidRPr="00951AB1" w:rsidRDefault="00E814BD" w:rsidP="000A5389">
      <w:pPr>
        <w:autoSpaceDE w:val="0"/>
        <w:autoSpaceDN w:val="0"/>
        <w:adjustRightInd w:val="0"/>
        <w:spacing w:line="240" w:lineRule="auto"/>
        <w:rPr>
          <w:rFonts w:cs="Times New Roman"/>
          <w:color w:val="000000"/>
          <w:szCs w:val="24"/>
        </w:rPr>
      </w:pPr>
    </w:p>
    <w:p w14:paraId="168AB130" w14:textId="77777777" w:rsidR="00E814BD" w:rsidRPr="00951AB1" w:rsidRDefault="00E814BD" w:rsidP="000A5389">
      <w:pPr>
        <w:autoSpaceDE w:val="0"/>
        <w:autoSpaceDN w:val="0"/>
        <w:adjustRightInd w:val="0"/>
        <w:spacing w:line="240" w:lineRule="auto"/>
        <w:rPr>
          <w:rFonts w:cs="Times New Roman"/>
          <w:color w:val="000000"/>
          <w:szCs w:val="24"/>
        </w:rPr>
      </w:pPr>
      <w:r w:rsidRPr="00951AB1">
        <w:rPr>
          <w:rFonts w:cs="Times New Roman"/>
          <w:color w:val="000000"/>
          <w:szCs w:val="24"/>
        </w:rPr>
        <w:t>A continuación, se detallan los saldos a nivel de terceros</w:t>
      </w:r>
    </w:p>
    <w:p w14:paraId="61BC4A30" w14:textId="77777777" w:rsidR="00E814BD" w:rsidRPr="00951AB1" w:rsidRDefault="00E814BD" w:rsidP="000A5389">
      <w:pPr>
        <w:autoSpaceDE w:val="0"/>
        <w:autoSpaceDN w:val="0"/>
        <w:adjustRightInd w:val="0"/>
        <w:spacing w:line="240" w:lineRule="auto"/>
        <w:rPr>
          <w:rFonts w:cs="Times New Roman"/>
          <w:color w:val="000000"/>
          <w:szCs w:val="24"/>
        </w:rPr>
      </w:pPr>
    </w:p>
    <w:tbl>
      <w:tblPr>
        <w:tblW w:w="5000" w:type="pct"/>
        <w:jc w:val="center"/>
        <w:tblCellMar>
          <w:left w:w="70" w:type="dxa"/>
          <w:right w:w="70" w:type="dxa"/>
        </w:tblCellMar>
        <w:tblLook w:val="04A0" w:firstRow="1" w:lastRow="0" w:firstColumn="1" w:lastColumn="0" w:noHBand="0" w:noVBand="1"/>
      </w:tblPr>
      <w:tblGrid>
        <w:gridCol w:w="962"/>
        <w:gridCol w:w="1916"/>
        <w:gridCol w:w="1490"/>
        <w:gridCol w:w="1490"/>
        <w:gridCol w:w="2970"/>
      </w:tblGrid>
      <w:tr w:rsidR="00E814BD" w:rsidRPr="00951AB1" w14:paraId="4C973A24" w14:textId="77777777" w:rsidTr="00981221">
        <w:trPr>
          <w:trHeight w:val="420"/>
          <w:tblHeader/>
          <w:jc w:val="center"/>
        </w:trPr>
        <w:tc>
          <w:tcPr>
            <w:tcW w:w="585" w:type="pct"/>
            <w:tcBorders>
              <w:top w:val="single" w:sz="4" w:space="0" w:color="auto"/>
              <w:left w:val="single" w:sz="4" w:space="0" w:color="auto"/>
              <w:bottom w:val="single" w:sz="4" w:space="0" w:color="auto"/>
              <w:right w:val="single" w:sz="4" w:space="0" w:color="auto"/>
            </w:tcBorders>
            <w:noWrap/>
            <w:vAlign w:val="center"/>
            <w:hideMark/>
          </w:tcPr>
          <w:p w14:paraId="0F7705C8" w14:textId="77777777" w:rsidR="00E814BD" w:rsidRPr="00951AB1" w:rsidRDefault="00E814BD" w:rsidP="000A5389">
            <w:pPr>
              <w:spacing w:line="240" w:lineRule="auto"/>
              <w:jc w:val="center"/>
              <w:rPr>
                <w:rFonts w:eastAsia="Times New Roman" w:cs="Times New Roman"/>
                <w:b/>
                <w:bCs/>
                <w:color w:val="000000"/>
                <w:sz w:val="18"/>
                <w:szCs w:val="18"/>
                <w:lang w:eastAsia="es-CO"/>
              </w:rPr>
            </w:pPr>
            <w:r w:rsidRPr="00951AB1">
              <w:rPr>
                <w:rFonts w:eastAsia="Times New Roman" w:cs="Times New Roman"/>
                <w:b/>
                <w:bCs/>
                <w:color w:val="000000"/>
                <w:sz w:val="18"/>
                <w:szCs w:val="18"/>
                <w:lang w:eastAsia="es-CO"/>
              </w:rPr>
              <w:t>NIT</w:t>
            </w:r>
          </w:p>
        </w:tc>
        <w:tc>
          <w:tcPr>
            <w:tcW w:w="1125" w:type="pct"/>
            <w:tcBorders>
              <w:top w:val="single" w:sz="4" w:space="0" w:color="auto"/>
              <w:left w:val="nil"/>
              <w:bottom w:val="single" w:sz="4" w:space="0" w:color="auto"/>
              <w:right w:val="single" w:sz="4" w:space="0" w:color="auto"/>
            </w:tcBorders>
            <w:noWrap/>
            <w:vAlign w:val="center"/>
            <w:hideMark/>
          </w:tcPr>
          <w:p w14:paraId="6425842C" w14:textId="77777777" w:rsidR="00E814BD" w:rsidRPr="00951AB1" w:rsidRDefault="00E814BD" w:rsidP="000A5389">
            <w:pPr>
              <w:spacing w:line="240" w:lineRule="auto"/>
              <w:jc w:val="center"/>
              <w:rPr>
                <w:rFonts w:eastAsia="Times New Roman" w:cs="Times New Roman"/>
                <w:b/>
                <w:bCs/>
                <w:color w:val="000000"/>
                <w:sz w:val="18"/>
                <w:szCs w:val="18"/>
                <w:lang w:eastAsia="es-CO"/>
              </w:rPr>
            </w:pPr>
            <w:r w:rsidRPr="00951AB1">
              <w:rPr>
                <w:rFonts w:eastAsia="Times New Roman" w:cs="Times New Roman"/>
                <w:b/>
                <w:bCs/>
                <w:color w:val="000000"/>
                <w:sz w:val="18"/>
                <w:szCs w:val="18"/>
                <w:lang w:eastAsia="es-CO"/>
              </w:rPr>
              <w:t>TERCERO</w:t>
            </w:r>
          </w:p>
        </w:tc>
        <w:tc>
          <w:tcPr>
            <w:tcW w:w="811" w:type="pct"/>
            <w:tcBorders>
              <w:top w:val="single" w:sz="4" w:space="0" w:color="auto"/>
              <w:left w:val="nil"/>
              <w:bottom w:val="single" w:sz="4" w:space="0" w:color="auto"/>
              <w:right w:val="single" w:sz="4" w:space="0" w:color="auto"/>
            </w:tcBorders>
            <w:noWrap/>
            <w:vAlign w:val="center"/>
            <w:hideMark/>
          </w:tcPr>
          <w:p w14:paraId="0E4C86DF" w14:textId="77777777" w:rsidR="00E814BD" w:rsidRPr="00951AB1" w:rsidRDefault="00E814BD" w:rsidP="000A5389">
            <w:pPr>
              <w:spacing w:line="240" w:lineRule="auto"/>
              <w:jc w:val="center"/>
              <w:rPr>
                <w:rFonts w:eastAsia="Times New Roman" w:cs="Times New Roman"/>
                <w:b/>
                <w:bCs/>
                <w:color w:val="000000"/>
                <w:sz w:val="18"/>
                <w:szCs w:val="18"/>
                <w:lang w:eastAsia="es-CO"/>
              </w:rPr>
            </w:pPr>
            <w:r w:rsidRPr="00951AB1">
              <w:rPr>
                <w:rFonts w:eastAsia="Times New Roman" w:cs="Times New Roman"/>
                <w:b/>
                <w:bCs/>
                <w:color w:val="000000"/>
                <w:sz w:val="18"/>
                <w:szCs w:val="18"/>
                <w:lang w:eastAsia="es-CO"/>
              </w:rPr>
              <w:t>2025</w:t>
            </w:r>
          </w:p>
        </w:tc>
        <w:tc>
          <w:tcPr>
            <w:tcW w:w="757" w:type="pct"/>
            <w:tcBorders>
              <w:top w:val="single" w:sz="4" w:space="0" w:color="auto"/>
              <w:left w:val="nil"/>
              <w:bottom w:val="single" w:sz="4" w:space="0" w:color="auto"/>
              <w:right w:val="single" w:sz="4" w:space="0" w:color="auto"/>
            </w:tcBorders>
            <w:noWrap/>
            <w:vAlign w:val="center"/>
            <w:hideMark/>
          </w:tcPr>
          <w:p w14:paraId="28DEC84B" w14:textId="77777777" w:rsidR="00E814BD" w:rsidRPr="00951AB1" w:rsidRDefault="00E814BD" w:rsidP="000A5389">
            <w:pPr>
              <w:spacing w:line="240" w:lineRule="auto"/>
              <w:jc w:val="center"/>
              <w:rPr>
                <w:rFonts w:eastAsia="Times New Roman" w:cs="Times New Roman"/>
                <w:b/>
                <w:bCs/>
                <w:color w:val="000000"/>
                <w:sz w:val="18"/>
                <w:szCs w:val="18"/>
                <w:lang w:eastAsia="es-CO"/>
              </w:rPr>
            </w:pPr>
            <w:r w:rsidRPr="00951AB1">
              <w:rPr>
                <w:rFonts w:eastAsia="Times New Roman" w:cs="Times New Roman"/>
                <w:b/>
                <w:bCs/>
                <w:color w:val="000000"/>
                <w:sz w:val="18"/>
                <w:szCs w:val="18"/>
                <w:lang w:eastAsia="es-CO"/>
              </w:rPr>
              <w:t>2024</w:t>
            </w:r>
          </w:p>
        </w:tc>
        <w:tc>
          <w:tcPr>
            <w:tcW w:w="1723" w:type="pct"/>
            <w:tcBorders>
              <w:top w:val="single" w:sz="4" w:space="0" w:color="auto"/>
              <w:left w:val="nil"/>
              <w:bottom w:val="single" w:sz="4" w:space="0" w:color="auto"/>
              <w:right w:val="single" w:sz="4" w:space="0" w:color="auto"/>
            </w:tcBorders>
            <w:vAlign w:val="center"/>
            <w:hideMark/>
          </w:tcPr>
          <w:p w14:paraId="05B6B054" w14:textId="77777777" w:rsidR="00E814BD" w:rsidRPr="00951AB1" w:rsidRDefault="00E814BD" w:rsidP="000A5389">
            <w:pPr>
              <w:spacing w:line="240" w:lineRule="auto"/>
              <w:jc w:val="center"/>
              <w:rPr>
                <w:rFonts w:eastAsia="Times New Roman" w:cs="Times New Roman"/>
                <w:b/>
                <w:bCs/>
                <w:color w:val="000000"/>
                <w:sz w:val="18"/>
                <w:szCs w:val="18"/>
                <w:lang w:eastAsia="es-CO"/>
              </w:rPr>
            </w:pPr>
            <w:r w:rsidRPr="00951AB1">
              <w:rPr>
                <w:rFonts w:eastAsia="Times New Roman" w:cs="Times New Roman"/>
                <w:b/>
                <w:bCs/>
                <w:color w:val="000000"/>
                <w:sz w:val="18"/>
                <w:szCs w:val="18"/>
                <w:lang w:eastAsia="es-CO"/>
              </w:rPr>
              <w:t>ESTADO DEL TRÁMITE ARBITRAL Y NO. RADICADO</w:t>
            </w:r>
          </w:p>
        </w:tc>
      </w:tr>
      <w:tr w:rsidR="00E814BD" w:rsidRPr="00951AB1" w14:paraId="04D5925D" w14:textId="77777777" w:rsidTr="00981221">
        <w:trPr>
          <w:trHeight w:val="252"/>
          <w:jc w:val="center"/>
        </w:trPr>
        <w:tc>
          <w:tcPr>
            <w:tcW w:w="585" w:type="pct"/>
            <w:tcBorders>
              <w:top w:val="nil"/>
              <w:left w:val="single" w:sz="4" w:space="0" w:color="000000"/>
              <w:bottom w:val="single" w:sz="4" w:space="0" w:color="000000"/>
              <w:right w:val="single" w:sz="4" w:space="0" w:color="000000"/>
            </w:tcBorders>
            <w:vAlign w:val="center"/>
            <w:hideMark/>
          </w:tcPr>
          <w:p w14:paraId="609E56AF" w14:textId="77777777" w:rsidR="00E814BD" w:rsidRPr="00951AB1" w:rsidRDefault="00E814BD" w:rsidP="000A5389">
            <w:pPr>
              <w:spacing w:line="240" w:lineRule="auto"/>
              <w:rPr>
                <w:rFonts w:eastAsia="Times New Roman" w:cs="Times New Roman"/>
                <w:color w:val="000000"/>
                <w:sz w:val="18"/>
                <w:szCs w:val="18"/>
                <w:lang w:eastAsia="es-CO"/>
              </w:rPr>
            </w:pPr>
            <w:r w:rsidRPr="00951AB1">
              <w:rPr>
                <w:rFonts w:eastAsia="Times New Roman" w:cs="Times New Roman"/>
                <w:color w:val="000000"/>
                <w:sz w:val="18"/>
                <w:szCs w:val="18"/>
                <w:lang w:eastAsia="es-CO"/>
              </w:rPr>
              <w:t>900587364</w:t>
            </w:r>
          </w:p>
        </w:tc>
        <w:tc>
          <w:tcPr>
            <w:tcW w:w="1125" w:type="pct"/>
            <w:tcBorders>
              <w:top w:val="nil"/>
              <w:left w:val="nil"/>
              <w:bottom w:val="single" w:sz="4" w:space="0" w:color="000000"/>
              <w:right w:val="single" w:sz="4" w:space="0" w:color="000000"/>
            </w:tcBorders>
            <w:vAlign w:val="center"/>
            <w:hideMark/>
          </w:tcPr>
          <w:p w14:paraId="35706F16" w14:textId="25F0276D" w:rsidR="00E814BD" w:rsidRPr="00951AB1" w:rsidRDefault="00981221" w:rsidP="000A5389">
            <w:pPr>
              <w:spacing w:line="240" w:lineRule="auto"/>
              <w:rPr>
                <w:rFonts w:eastAsia="Times New Roman" w:cs="Times New Roman"/>
                <w:color w:val="000000"/>
                <w:sz w:val="18"/>
                <w:szCs w:val="18"/>
                <w:lang w:eastAsia="es-CO"/>
              </w:rPr>
            </w:pPr>
            <w:r w:rsidRPr="00951AB1">
              <w:rPr>
                <w:rFonts w:eastAsia="Times New Roman" w:cs="Times New Roman"/>
                <w:color w:val="000000"/>
                <w:sz w:val="18"/>
                <w:szCs w:val="18"/>
                <w:lang w:eastAsia="es-CO"/>
              </w:rPr>
              <w:t>Coruma Sas</w:t>
            </w:r>
          </w:p>
        </w:tc>
        <w:tc>
          <w:tcPr>
            <w:tcW w:w="811" w:type="pct"/>
            <w:tcBorders>
              <w:top w:val="nil"/>
              <w:left w:val="nil"/>
              <w:bottom w:val="single" w:sz="4" w:space="0" w:color="auto"/>
              <w:right w:val="single" w:sz="4" w:space="0" w:color="auto"/>
            </w:tcBorders>
            <w:noWrap/>
            <w:vAlign w:val="center"/>
            <w:hideMark/>
          </w:tcPr>
          <w:p w14:paraId="35626DF8" w14:textId="77777777" w:rsidR="00E814BD" w:rsidRPr="00951AB1" w:rsidRDefault="00E814BD" w:rsidP="000A5389">
            <w:pPr>
              <w:spacing w:line="240" w:lineRule="auto"/>
              <w:jc w:val="right"/>
              <w:rPr>
                <w:rFonts w:eastAsia="Times New Roman" w:cs="Times New Roman"/>
                <w:color w:val="000000"/>
                <w:sz w:val="18"/>
                <w:szCs w:val="18"/>
                <w:lang w:eastAsia="es-CO"/>
              </w:rPr>
            </w:pPr>
            <w:r w:rsidRPr="00951AB1">
              <w:rPr>
                <w:rFonts w:eastAsia="Times New Roman" w:cs="Times New Roman"/>
                <w:color w:val="000000"/>
                <w:sz w:val="18"/>
                <w:szCs w:val="18"/>
                <w:lang w:eastAsia="es-CO"/>
              </w:rPr>
              <w:t>3.683.891.502.110</w:t>
            </w:r>
          </w:p>
        </w:tc>
        <w:tc>
          <w:tcPr>
            <w:tcW w:w="757" w:type="pct"/>
            <w:tcBorders>
              <w:top w:val="nil"/>
              <w:left w:val="nil"/>
              <w:bottom w:val="single" w:sz="4" w:space="0" w:color="auto"/>
              <w:right w:val="single" w:sz="4" w:space="0" w:color="auto"/>
            </w:tcBorders>
            <w:noWrap/>
            <w:vAlign w:val="center"/>
            <w:hideMark/>
          </w:tcPr>
          <w:p w14:paraId="1C2187CE" w14:textId="77777777" w:rsidR="00E814BD" w:rsidRPr="00951AB1" w:rsidRDefault="00E814BD" w:rsidP="000A5389">
            <w:pPr>
              <w:spacing w:line="240" w:lineRule="auto"/>
              <w:jc w:val="right"/>
              <w:rPr>
                <w:rFonts w:eastAsia="Times New Roman" w:cs="Times New Roman"/>
                <w:color w:val="000000"/>
                <w:sz w:val="18"/>
                <w:szCs w:val="18"/>
                <w:lang w:eastAsia="es-CO"/>
              </w:rPr>
            </w:pPr>
            <w:r w:rsidRPr="00951AB1">
              <w:rPr>
                <w:rFonts w:eastAsia="Times New Roman" w:cs="Times New Roman"/>
                <w:color w:val="000000"/>
                <w:sz w:val="18"/>
                <w:szCs w:val="18"/>
                <w:lang w:eastAsia="es-CO"/>
              </w:rPr>
              <w:t>2.712.449.510.414</w:t>
            </w:r>
          </w:p>
        </w:tc>
        <w:tc>
          <w:tcPr>
            <w:tcW w:w="1723" w:type="pct"/>
            <w:tcBorders>
              <w:top w:val="nil"/>
              <w:left w:val="nil"/>
              <w:bottom w:val="single" w:sz="4" w:space="0" w:color="auto"/>
              <w:right w:val="single" w:sz="4" w:space="0" w:color="auto"/>
            </w:tcBorders>
            <w:vAlign w:val="center"/>
            <w:hideMark/>
          </w:tcPr>
          <w:p w14:paraId="4D63B2F7" w14:textId="77777777" w:rsidR="00E814BD" w:rsidRPr="00951AB1" w:rsidRDefault="00E814BD" w:rsidP="000A5389">
            <w:pPr>
              <w:spacing w:line="240" w:lineRule="auto"/>
              <w:rPr>
                <w:rFonts w:eastAsia="Times New Roman" w:cs="Times New Roman"/>
                <w:color w:val="000000"/>
                <w:sz w:val="18"/>
                <w:szCs w:val="18"/>
                <w:lang w:eastAsia="es-CO"/>
              </w:rPr>
            </w:pPr>
            <w:r w:rsidRPr="00951AB1">
              <w:rPr>
                <w:rFonts w:eastAsia="Times New Roman" w:cs="Times New Roman"/>
                <w:color w:val="000000"/>
                <w:sz w:val="18"/>
                <w:szCs w:val="18"/>
                <w:lang w:eastAsia="es-CO"/>
              </w:rPr>
              <w:t>Activo vigencia 2025</w:t>
            </w:r>
            <w:r w:rsidRPr="00951AB1">
              <w:rPr>
                <w:rFonts w:eastAsia="Times New Roman" w:cs="Times New Roman"/>
                <w:color w:val="000000"/>
                <w:sz w:val="18"/>
                <w:szCs w:val="18"/>
                <w:lang w:eastAsia="es-CO"/>
              </w:rPr>
              <w:br/>
              <w:t>No. CIRD 01-23-0002-8303</w:t>
            </w:r>
          </w:p>
        </w:tc>
      </w:tr>
      <w:tr w:rsidR="00E814BD" w:rsidRPr="00951AB1" w14:paraId="2559FBBF" w14:textId="77777777" w:rsidTr="00981221">
        <w:trPr>
          <w:trHeight w:val="450"/>
          <w:jc w:val="center"/>
        </w:trPr>
        <w:tc>
          <w:tcPr>
            <w:tcW w:w="585" w:type="pct"/>
            <w:tcBorders>
              <w:top w:val="nil"/>
              <w:left w:val="single" w:sz="4" w:space="0" w:color="000000"/>
              <w:bottom w:val="single" w:sz="4" w:space="0" w:color="000000"/>
              <w:right w:val="single" w:sz="4" w:space="0" w:color="000000"/>
            </w:tcBorders>
            <w:vAlign w:val="center"/>
            <w:hideMark/>
          </w:tcPr>
          <w:p w14:paraId="105CAB17" w14:textId="77777777" w:rsidR="00E814BD" w:rsidRPr="00951AB1" w:rsidRDefault="00E814BD" w:rsidP="000A5389">
            <w:pPr>
              <w:spacing w:line="240" w:lineRule="auto"/>
              <w:rPr>
                <w:rFonts w:eastAsia="Times New Roman" w:cs="Times New Roman"/>
                <w:color w:val="000000"/>
                <w:sz w:val="18"/>
                <w:szCs w:val="18"/>
                <w:lang w:eastAsia="es-CO"/>
              </w:rPr>
            </w:pPr>
            <w:r w:rsidRPr="00951AB1">
              <w:rPr>
                <w:rFonts w:eastAsia="Times New Roman" w:cs="Times New Roman"/>
                <w:color w:val="000000"/>
                <w:sz w:val="18"/>
                <w:szCs w:val="18"/>
                <w:lang w:eastAsia="es-CO"/>
              </w:rPr>
              <w:t>900843297</w:t>
            </w:r>
          </w:p>
        </w:tc>
        <w:tc>
          <w:tcPr>
            <w:tcW w:w="1125" w:type="pct"/>
            <w:tcBorders>
              <w:top w:val="nil"/>
              <w:left w:val="nil"/>
              <w:bottom w:val="single" w:sz="4" w:space="0" w:color="000000"/>
              <w:right w:val="single" w:sz="4" w:space="0" w:color="000000"/>
            </w:tcBorders>
            <w:vAlign w:val="center"/>
            <w:hideMark/>
          </w:tcPr>
          <w:p w14:paraId="4E1C58C3" w14:textId="73BE8966" w:rsidR="00E814BD" w:rsidRPr="00951AB1" w:rsidRDefault="00981221" w:rsidP="000A5389">
            <w:pPr>
              <w:spacing w:line="240" w:lineRule="auto"/>
              <w:rPr>
                <w:rFonts w:eastAsia="Times New Roman" w:cs="Times New Roman"/>
                <w:color w:val="000000"/>
                <w:sz w:val="18"/>
                <w:szCs w:val="18"/>
                <w:lang w:eastAsia="es-CO"/>
              </w:rPr>
            </w:pPr>
            <w:r w:rsidRPr="00951AB1">
              <w:rPr>
                <w:rFonts w:eastAsia="Times New Roman" w:cs="Times New Roman"/>
                <w:color w:val="000000"/>
                <w:sz w:val="18"/>
                <w:szCs w:val="18"/>
                <w:lang w:eastAsia="es-CO"/>
              </w:rPr>
              <w:t>Concesión Vial De Los Llanos S.A.S.</w:t>
            </w:r>
          </w:p>
        </w:tc>
        <w:tc>
          <w:tcPr>
            <w:tcW w:w="811" w:type="pct"/>
            <w:tcBorders>
              <w:top w:val="nil"/>
              <w:left w:val="nil"/>
              <w:bottom w:val="single" w:sz="4" w:space="0" w:color="auto"/>
              <w:right w:val="single" w:sz="4" w:space="0" w:color="auto"/>
            </w:tcBorders>
            <w:noWrap/>
            <w:vAlign w:val="center"/>
            <w:hideMark/>
          </w:tcPr>
          <w:p w14:paraId="30860EA7" w14:textId="77777777" w:rsidR="00E814BD" w:rsidRPr="00951AB1" w:rsidRDefault="00E814BD" w:rsidP="000A5389">
            <w:pPr>
              <w:spacing w:line="240" w:lineRule="auto"/>
              <w:jc w:val="right"/>
              <w:rPr>
                <w:rFonts w:eastAsia="Times New Roman" w:cs="Times New Roman"/>
                <w:color w:val="000000"/>
                <w:sz w:val="18"/>
                <w:szCs w:val="18"/>
                <w:lang w:eastAsia="es-CO"/>
              </w:rPr>
            </w:pPr>
            <w:r w:rsidRPr="00951AB1">
              <w:rPr>
                <w:rFonts w:eastAsia="Times New Roman" w:cs="Times New Roman"/>
                <w:color w:val="000000"/>
                <w:sz w:val="18"/>
                <w:szCs w:val="18"/>
                <w:lang w:eastAsia="es-CO"/>
              </w:rPr>
              <w:t>1.816.156.303.569</w:t>
            </w:r>
          </w:p>
        </w:tc>
        <w:tc>
          <w:tcPr>
            <w:tcW w:w="757" w:type="pct"/>
            <w:tcBorders>
              <w:top w:val="nil"/>
              <w:left w:val="nil"/>
              <w:bottom w:val="single" w:sz="4" w:space="0" w:color="auto"/>
              <w:right w:val="single" w:sz="4" w:space="0" w:color="auto"/>
            </w:tcBorders>
            <w:noWrap/>
            <w:vAlign w:val="center"/>
            <w:hideMark/>
          </w:tcPr>
          <w:p w14:paraId="21ECE008" w14:textId="77777777" w:rsidR="00E814BD" w:rsidRPr="00951AB1" w:rsidRDefault="00E814BD" w:rsidP="000A5389">
            <w:pPr>
              <w:spacing w:line="240" w:lineRule="auto"/>
              <w:jc w:val="right"/>
              <w:rPr>
                <w:rFonts w:eastAsia="Times New Roman" w:cs="Times New Roman"/>
                <w:color w:val="000000"/>
                <w:sz w:val="18"/>
                <w:szCs w:val="18"/>
                <w:lang w:eastAsia="es-CO"/>
              </w:rPr>
            </w:pPr>
            <w:r w:rsidRPr="00951AB1">
              <w:rPr>
                <w:rFonts w:eastAsia="Times New Roman" w:cs="Times New Roman"/>
                <w:color w:val="000000"/>
                <w:sz w:val="18"/>
                <w:szCs w:val="18"/>
                <w:lang w:eastAsia="es-CO"/>
              </w:rPr>
              <w:t>0</w:t>
            </w:r>
          </w:p>
        </w:tc>
        <w:tc>
          <w:tcPr>
            <w:tcW w:w="1723" w:type="pct"/>
            <w:tcBorders>
              <w:top w:val="nil"/>
              <w:left w:val="nil"/>
              <w:bottom w:val="single" w:sz="4" w:space="0" w:color="auto"/>
              <w:right w:val="single" w:sz="4" w:space="0" w:color="auto"/>
            </w:tcBorders>
            <w:vAlign w:val="center"/>
            <w:hideMark/>
          </w:tcPr>
          <w:p w14:paraId="175B51B3" w14:textId="0B8D4FAF" w:rsidR="00E814BD" w:rsidRPr="00951AB1" w:rsidRDefault="00E814BD" w:rsidP="000A5389">
            <w:pPr>
              <w:spacing w:line="240" w:lineRule="auto"/>
              <w:rPr>
                <w:rFonts w:eastAsia="Times New Roman" w:cs="Times New Roman"/>
                <w:color w:val="000000"/>
                <w:sz w:val="18"/>
                <w:szCs w:val="18"/>
                <w:lang w:eastAsia="es-CO"/>
              </w:rPr>
            </w:pPr>
            <w:r w:rsidRPr="00951AB1">
              <w:rPr>
                <w:rFonts w:eastAsia="Times New Roman" w:cs="Times New Roman"/>
                <w:color w:val="000000"/>
                <w:sz w:val="18"/>
                <w:szCs w:val="18"/>
                <w:lang w:eastAsia="es-CO"/>
              </w:rPr>
              <w:t>Activo vigencia 2025 - Nuevo proceso arbitral</w:t>
            </w:r>
            <w:r w:rsidR="00684C05" w:rsidRPr="00951AB1">
              <w:rPr>
                <w:rFonts w:eastAsia="Times New Roman" w:cs="Times New Roman"/>
                <w:color w:val="000000"/>
                <w:sz w:val="18"/>
                <w:szCs w:val="18"/>
                <w:lang w:eastAsia="es-CO"/>
              </w:rPr>
              <w:t xml:space="preserve"> </w:t>
            </w:r>
            <w:r w:rsidRPr="00951AB1">
              <w:rPr>
                <w:rFonts w:eastAsia="Times New Roman" w:cs="Times New Roman"/>
                <w:color w:val="000000"/>
                <w:sz w:val="18"/>
                <w:szCs w:val="18"/>
                <w:lang w:eastAsia="es-CO"/>
              </w:rPr>
              <w:t>No. CIRD 01-24-0002-3147</w:t>
            </w:r>
          </w:p>
        </w:tc>
      </w:tr>
      <w:tr w:rsidR="00E814BD" w:rsidRPr="00951AB1" w14:paraId="18643C60" w14:textId="77777777" w:rsidTr="00981221">
        <w:trPr>
          <w:trHeight w:val="450"/>
          <w:jc w:val="center"/>
        </w:trPr>
        <w:tc>
          <w:tcPr>
            <w:tcW w:w="585" w:type="pct"/>
            <w:tcBorders>
              <w:top w:val="nil"/>
              <w:left w:val="single" w:sz="4" w:space="0" w:color="000000"/>
              <w:bottom w:val="single" w:sz="4" w:space="0" w:color="000000"/>
              <w:right w:val="single" w:sz="4" w:space="0" w:color="000000"/>
            </w:tcBorders>
            <w:vAlign w:val="center"/>
            <w:hideMark/>
          </w:tcPr>
          <w:p w14:paraId="081B9F50" w14:textId="77777777" w:rsidR="00E814BD" w:rsidRPr="00951AB1" w:rsidRDefault="00E814BD" w:rsidP="000A5389">
            <w:pPr>
              <w:spacing w:line="240" w:lineRule="auto"/>
              <w:rPr>
                <w:rFonts w:eastAsia="Times New Roman" w:cs="Times New Roman"/>
                <w:color w:val="000000"/>
                <w:sz w:val="18"/>
                <w:szCs w:val="18"/>
                <w:lang w:eastAsia="es-CO"/>
              </w:rPr>
            </w:pPr>
            <w:r w:rsidRPr="00951AB1">
              <w:rPr>
                <w:rFonts w:eastAsia="Times New Roman" w:cs="Times New Roman"/>
                <w:color w:val="000000"/>
                <w:sz w:val="18"/>
                <w:szCs w:val="18"/>
                <w:lang w:eastAsia="es-CO"/>
              </w:rPr>
              <w:t>901009478</w:t>
            </w:r>
          </w:p>
        </w:tc>
        <w:tc>
          <w:tcPr>
            <w:tcW w:w="1125" w:type="pct"/>
            <w:tcBorders>
              <w:top w:val="nil"/>
              <w:left w:val="nil"/>
              <w:bottom w:val="single" w:sz="4" w:space="0" w:color="000000"/>
              <w:right w:val="single" w:sz="4" w:space="0" w:color="000000"/>
            </w:tcBorders>
            <w:vAlign w:val="center"/>
            <w:hideMark/>
          </w:tcPr>
          <w:p w14:paraId="26BB7A22" w14:textId="682BA028" w:rsidR="00E814BD" w:rsidRPr="00951AB1" w:rsidRDefault="00981221" w:rsidP="000A5389">
            <w:pPr>
              <w:spacing w:line="240" w:lineRule="auto"/>
              <w:rPr>
                <w:rFonts w:eastAsia="Times New Roman" w:cs="Times New Roman"/>
                <w:color w:val="000000"/>
                <w:sz w:val="18"/>
                <w:szCs w:val="18"/>
                <w:lang w:eastAsia="es-CO"/>
              </w:rPr>
            </w:pPr>
            <w:r w:rsidRPr="00951AB1">
              <w:rPr>
                <w:rFonts w:eastAsia="Times New Roman" w:cs="Times New Roman"/>
                <w:color w:val="000000"/>
                <w:sz w:val="18"/>
                <w:szCs w:val="18"/>
                <w:lang w:eastAsia="es-CO"/>
              </w:rPr>
              <w:t>Vía 40 Express S.A.S.</w:t>
            </w:r>
          </w:p>
        </w:tc>
        <w:tc>
          <w:tcPr>
            <w:tcW w:w="811" w:type="pct"/>
            <w:tcBorders>
              <w:top w:val="nil"/>
              <w:left w:val="nil"/>
              <w:bottom w:val="single" w:sz="4" w:space="0" w:color="auto"/>
              <w:right w:val="single" w:sz="4" w:space="0" w:color="auto"/>
            </w:tcBorders>
            <w:noWrap/>
            <w:vAlign w:val="center"/>
            <w:hideMark/>
          </w:tcPr>
          <w:p w14:paraId="01493B6E" w14:textId="77777777" w:rsidR="00E814BD" w:rsidRPr="00951AB1" w:rsidRDefault="00E814BD" w:rsidP="000A5389">
            <w:pPr>
              <w:spacing w:line="240" w:lineRule="auto"/>
              <w:jc w:val="right"/>
              <w:rPr>
                <w:rFonts w:eastAsia="Times New Roman" w:cs="Times New Roman"/>
                <w:color w:val="000000"/>
                <w:sz w:val="18"/>
                <w:szCs w:val="18"/>
                <w:lang w:eastAsia="es-CO"/>
              </w:rPr>
            </w:pPr>
            <w:r w:rsidRPr="00951AB1">
              <w:rPr>
                <w:rFonts w:eastAsia="Times New Roman" w:cs="Times New Roman"/>
                <w:color w:val="000000"/>
                <w:sz w:val="18"/>
                <w:szCs w:val="18"/>
                <w:lang w:eastAsia="es-CO"/>
              </w:rPr>
              <w:t>1.163.290.947.660</w:t>
            </w:r>
          </w:p>
        </w:tc>
        <w:tc>
          <w:tcPr>
            <w:tcW w:w="757" w:type="pct"/>
            <w:tcBorders>
              <w:top w:val="nil"/>
              <w:left w:val="nil"/>
              <w:bottom w:val="single" w:sz="4" w:space="0" w:color="auto"/>
              <w:right w:val="single" w:sz="4" w:space="0" w:color="auto"/>
            </w:tcBorders>
            <w:noWrap/>
            <w:vAlign w:val="center"/>
            <w:hideMark/>
          </w:tcPr>
          <w:p w14:paraId="71798C9A" w14:textId="77777777" w:rsidR="00E814BD" w:rsidRPr="00951AB1" w:rsidRDefault="00E814BD" w:rsidP="000A5389">
            <w:pPr>
              <w:spacing w:line="240" w:lineRule="auto"/>
              <w:jc w:val="right"/>
              <w:rPr>
                <w:rFonts w:eastAsia="Times New Roman" w:cs="Times New Roman"/>
                <w:color w:val="000000"/>
                <w:sz w:val="18"/>
                <w:szCs w:val="18"/>
                <w:lang w:eastAsia="es-CO"/>
              </w:rPr>
            </w:pPr>
            <w:r w:rsidRPr="00951AB1">
              <w:rPr>
                <w:rFonts w:eastAsia="Times New Roman" w:cs="Times New Roman"/>
                <w:color w:val="000000"/>
                <w:sz w:val="18"/>
                <w:szCs w:val="18"/>
                <w:lang w:eastAsia="es-CO"/>
              </w:rPr>
              <w:t>0</w:t>
            </w:r>
          </w:p>
        </w:tc>
        <w:tc>
          <w:tcPr>
            <w:tcW w:w="1723" w:type="pct"/>
            <w:tcBorders>
              <w:top w:val="nil"/>
              <w:left w:val="nil"/>
              <w:bottom w:val="single" w:sz="4" w:space="0" w:color="auto"/>
              <w:right w:val="single" w:sz="4" w:space="0" w:color="auto"/>
            </w:tcBorders>
            <w:vAlign w:val="center"/>
            <w:hideMark/>
          </w:tcPr>
          <w:p w14:paraId="5F13DF23" w14:textId="15A124A8" w:rsidR="00E814BD" w:rsidRPr="00951AB1" w:rsidRDefault="00E814BD" w:rsidP="000A5389">
            <w:pPr>
              <w:spacing w:line="240" w:lineRule="auto"/>
              <w:rPr>
                <w:rFonts w:eastAsia="Times New Roman" w:cs="Times New Roman"/>
                <w:color w:val="000000"/>
                <w:sz w:val="18"/>
                <w:szCs w:val="18"/>
                <w:lang w:eastAsia="es-CO"/>
              </w:rPr>
            </w:pPr>
            <w:r w:rsidRPr="00951AB1">
              <w:rPr>
                <w:rFonts w:eastAsia="Times New Roman" w:cs="Times New Roman"/>
                <w:color w:val="000000"/>
                <w:sz w:val="18"/>
                <w:szCs w:val="18"/>
                <w:lang w:eastAsia="es-CO"/>
              </w:rPr>
              <w:t>Activo vigencia 2025 - Nuevo proceso arbitral</w:t>
            </w:r>
            <w:r w:rsidR="00684C05" w:rsidRPr="00951AB1">
              <w:rPr>
                <w:rFonts w:eastAsia="Times New Roman" w:cs="Times New Roman"/>
                <w:color w:val="000000"/>
                <w:sz w:val="18"/>
                <w:szCs w:val="18"/>
                <w:lang w:eastAsia="es-CO"/>
              </w:rPr>
              <w:t xml:space="preserve"> </w:t>
            </w:r>
            <w:r w:rsidRPr="00951AB1">
              <w:rPr>
                <w:rFonts w:eastAsia="Times New Roman" w:cs="Times New Roman"/>
                <w:color w:val="000000"/>
                <w:sz w:val="18"/>
                <w:szCs w:val="18"/>
                <w:lang w:eastAsia="es-CO"/>
              </w:rPr>
              <w:t>No. CIRD 01-24-0004-6469</w:t>
            </w:r>
          </w:p>
        </w:tc>
      </w:tr>
      <w:tr w:rsidR="00E814BD" w:rsidRPr="00951AB1" w14:paraId="7243DCC3" w14:textId="77777777" w:rsidTr="00981221">
        <w:trPr>
          <w:trHeight w:val="450"/>
          <w:jc w:val="center"/>
        </w:trPr>
        <w:tc>
          <w:tcPr>
            <w:tcW w:w="585" w:type="pct"/>
            <w:tcBorders>
              <w:top w:val="nil"/>
              <w:left w:val="single" w:sz="4" w:space="0" w:color="000000"/>
              <w:bottom w:val="single" w:sz="4" w:space="0" w:color="000000"/>
              <w:right w:val="single" w:sz="4" w:space="0" w:color="000000"/>
            </w:tcBorders>
            <w:vAlign w:val="center"/>
            <w:hideMark/>
          </w:tcPr>
          <w:p w14:paraId="586CEF9D" w14:textId="77777777" w:rsidR="00E814BD" w:rsidRPr="00951AB1" w:rsidRDefault="00E814BD" w:rsidP="000A5389">
            <w:pPr>
              <w:spacing w:line="240" w:lineRule="auto"/>
              <w:rPr>
                <w:rFonts w:eastAsia="Times New Roman" w:cs="Times New Roman"/>
                <w:color w:val="000000"/>
                <w:sz w:val="18"/>
                <w:szCs w:val="18"/>
                <w:lang w:eastAsia="es-CO"/>
              </w:rPr>
            </w:pPr>
            <w:r w:rsidRPr="00951AB1">
              <w:rPr>
                <w:rFonts w:eastAsia="Times New Roman" w:cs="Times New Roman"/>
                <w:color w:val="000000"/>
                <w:sz w:val="18"/>
                <w:szCs w:val="18"/>
                <w:lang w:eastAsia="es-CO"/>
              </w:rPr>
              <w:t>901515242</w:t>
            </w:r>
          </w:p>
        </w:tc>
        <w:tc>
          <w:tcPr>
            <w:tcW w:w="1125" w:type="pct"/>
            <w:tcBorders>
              <w:top w:val="nil"/>
              <w:left w:val="nil"/>
              <w:bottom w:val="single" w:sz="4" w:space="0" w:color="000000"/>
              <w:right w:val="single" w:sz="4" w:space="0" w:color="000000"/>
            </w:tcBorders>
            <w:vAlign w:val="center"/>
            <w:hideMark/>
          </w:tcPr>
          <w:p w14:paraId="66313179" w14:textId="1D38DC9E" w:rsidR="00E814BD" w:rsidRPr="00951AB1" w:rsidRDefault="00981221" w:rsidP="000A5389">
            <w:pPr>
              <w:spacing w:line="240" w:lineRule="auto"/>
              <w:rPr>
                <w:rFonts w:eastAsia="Times New Roman" w:cs="Times New Roman"/>
                <w:color w:val="000000"/>
                <w:sz w:val="18"/>
                <w:szCs w:val="18"/>
                <w:lang w:eastAsia="es-CO"/>
              </w:rPr>
            </w:pPr>
            <w:r w:rsidRPr="00951AB1">
              <w:rPr>
                <w:rFonts w:eastAsia="Times New Roman" w:cs="Times New Roman"/>
                <w:color w:val="000000"/>
                <w:sz w:val="18"/>
                <w:szCs w:val="18"/>
                <w:lang w:eastAsia="es-CO"/>
              </w:rPr>
              <w:t>Autopistas Del Caribe S.A.S.</w:t>
            </w:r>
          </w:p>
        </w:tc>
        <w:tc>
          <w:tcPr>
            <w:tcW w:w="811" w:type="pct"/>
            <w:tcBorders>
              <w:top w:val="nil"/>
              <w:left w:val="nil"/>
              <w:bottom w:val="single" w:sz="4" w:space="0" w:color="auto"/>
              <w:right w:val="single" w:sz="4" w:space="0" w:color="auto"/>
            </w:tcBorders>
            <w:noWrap/>
            <w:vAlign w:val="center"/>
            <w:hideMark/>
          </w:tcPr>
          <w:p w14:paraId="0843EE30" w14:textId="77777777" w:rsidR="00E814BD" w:rsidRPr="00951AB1" w:rsidRDefault="00E814BD" w:rsidP="000A5389">
            <w:pPr>
              <w:spacing w:line="240" w:lineRule="auto"/>
              <w:jc w:val="right"/>
              <w:rPr>
                <w:rFonts w:eastAsia="Times New Roman" w:cs="Times New Roman"/>
                <w:color w:val="000000"/>
                <w:sz w:val="18"/>
                <w:szCs w:val="18"/>
                <w:lang w:eastAsia="es-CO"/>
              </w:rPr>
            </w:pPr>
            <w:r w:rsidRPr="00951AB1">
              <w:rPr>
                <w:rFonts w:eastAsia="Times New Roman" w:cs="Times New Roman"/>
                <w:color w:val="000000"/>
                <w:sz w:val="18"/>
                <w:szCs w:val="18"/>
                <w:lang w:eastAsia="es-CO"/>
              </w:rPr>
              <w:t>765.450.604.372</w:t>
            </w:r>
          </w:p>
        </w:tc>
        <w:tc>
          <w:tcPr>
            <w:tcW w:w="757" w:type="pct"/>
            <w:tcBorders>
              <w:top w:val="nil"/>
              <w:left w:val="nil"/>
              <w:bottom w:val="single" w:sz="4" w:space="0" w:color="auto"/>
              <w:right w:val="single" w:sz="4" w:space="0" w:color="auto"/>
            </w:tcBorders>
            <w:noWrap/>
            <w:vAlign w:val="center"/>
            <w:hideMark/>
          </w:tcPr>
          <w:p w14:paraId="31156B40" w14:textId="77777777" w:rsidR="00E814BD" w:rsidRPr="00951AB1" w:rsidRDefault="00E814BD" w:rsidP="000A5389">
            <w:pPr>
              <w:spacing w:line="240" w:lineRule="auto"/>
              <w:jc w:val="right"/>
              <w:rPr>
                <w:rFonts w:eastAsia="Times New Roman" w:cs="Times New Roman"/>
                <w:color w:val="000000"/>
                <w:sz w:val="18"/>
                <w:szCs w:val="18"/>
                <w:lang w:eastAsia="es-CO"/>
              </w:rPr>
            </w:pPr>
            <w:r w:rsidRPr="00951AB1">
              <w:rPr>
                <w:rFonts w:eastAsia="Times New Roman" w:cs="Times New Roman"/>
                <w:color w:val="000000"/>
                <w:sz w:val="18"/>
                <w:szCs w:val="18"/>
                <w:lang w:eastAsia="es-CO"/>
              </w:rPr>
              <w:t>0</w:t>
            </w:r>
          </w:p>
        </w:tc>
        <w:tc>
          <w:tcPr>
            <w:tcW w:w="1723" w:type="pct"/>
            <w:tcBorders>
              <w:top w:val="nil"/>
              <w:left w:val="nil"/>
              <w:bottom w:val="single" w:sz="4" w:space="0" w:color="auto"/>
              <w:right w:val="single" w:sz="4" w:space="0" w:color="auto"/>
            </w:tcBorders>
            <w:vAlign w:val="center"/>
            <w:hideMark/>
          </w:tcPr>
          <w:p w14:paraId="1DC0387D" w14:textId="6766E372" w:rsidR="00E814BD" w:rsidRPr="00951AB1" w:rsidRDefault="00E814BD" w:rsidP="000A5389">
            <w:pPr>
              <w:spacing w:line="240" w:lineRule="auto"/>
              <w:rPr>
                <w:rFonts w:eastAsia="Times New Roman" w:cs="Times New Roman"/>
                <w:color w:val="000000"/>
                <w:sz w:val="18"/>
                <w:szCs w:val="18"/>
                <w:lang w:eastAsia="es-CO"/>
              </w:rPr>
            </w:pPr>
            <w:r w:rsidRPr="00951AB1">
              <w:rPr>
                <w:rFonts w:eastAsia="Times New Roman" w:cs="Times New Roman"/>
                <w:color w:val="000000"/>
                <w:sz w:val="18"/>
                <w:szCs w:val="18"/>
                <w:lang w:eastAsia="es-CO"/>
              </w:rPr>
              <w:t>Activo vigencia 2025 - Nuevo proceso arbitral</w:t>
            </w:r>
            <w:r w:rsidR="00684C05" w:rsidRPr="00951AB1">
              <w:rPr>
                <w:rFonts w:eastAsia="Times New Roman" w:cs="Times New Roman"/>
                <w:color w:val="000000"/>
                <w:sz w:val="18"/>
                <w:szCs w:val="18"/>
                <w:lang w:eastAsia="es-CO"/>
              </w:rPr>
              <w:t xml:space="preserve"> </w:t>
            </w:r>
            <w:r w:rsidRPr="00951AB1">
              <w:rPr>
                <w:rFonts w:eastAsia="Times New Roman" w:cs="Times New Roman"/>
                <w:color w:val="000000"/>
                <w:sz w:val="18"/>
                <w:szCs w:val="18"/>
                <w:lang w:eastAsia="es-CO"/>
              </w:rPr>
              <w:t>No. CIRD 01-24-0005-2892</w:t>
            </w:r>
          </w:p>
        </w:tc>
      </w:tr>
      <w:tr w:rsidR="00E814BD" w:rsidRPr="00951AB1" w14:paraId="0EE5C042" w14:textId="77777777" w:rsidTr="00981221">
        <w:trPr>
          <w:trHeight w:val="450"/>
          <w:jc w:val="center"/>
        </w:trPr>
        <w:tc>
          <w:tcPr>
            <w:tcW w:w="585" w:type="pct"/>
            <w:tcBorders>
              <w:top w:val="nil"/>
              <w:left w:val="single" w:sz="4" w:space="0" w:color="000000"/>
              <w:bottom w:val="single" w:sz="4" w:space="0" w:color="000000"/>
              <w:right w:val="single" w:sz="4" w:space="0" w:color="000000"/>
            </w:tcBorders>
            <w:vAlign w:val="center"/>
            <w:hideMark/>
          </w:tcPr>
          <w:p w14:paraId="30791E60" w14:textId="77777777" w:rsidR="00E814BD" w:rsidRPr="00951AB1" w:rsidRDefault="00E814BD" w:rsidP="000A5389">
            <w:pPr>
              <w:spacing w:line="240" w:lineRule="auto"/>
              <w:rPr>
                <w:rFonts w:eastAsia="Times New Roman" w:cs="Times New Roman"/>
                <w:color w:val="000000"/>
                <w:sz w:val="18"/>
                <w:szCs w:val="18"/>
                <w:lang w:eastAsia="es-CO"/>
              </w:rPr>
            </w:pPr>
            <w:r w:rsidRPr="00951AB1">
              <w:rPr>
                <w:rFonts w:eastAsia="Times New Roman" w:cs="Times New Roman"/>
                <w:color w:val="000000"/>
                <w:sz w:val="18"/>
                <w:szCs w:val="18"/>
                <w:lang w:eastAsia="es-CO"/>
              </w:rPr>
              <w:t>900972713</w:t>
            </w:r>
          </w:p>
        </w:tc>
        <w:tc>
          <w:tcPr>
            <w:tcW w:w="1125" w:type="pct"/>
            <w:tcBorders>
              <w:top w:val="nil"/>
              <w:left w:val="nil"/>
              <w:bottom w:val="single" w:sz="4" w:space="0" w:color="000000"/>
              <w:right w:val="single" w:sz="4" w:space="0" w:color="000000"/>
            </w:tcBorders>
            <w:vAlign w:val="center"/>
            <w:hideMark/>
          </w:tcPr>
          <w:p w14:paraId="318F1454" w14:textId="72CCAC8C" w:rsidR="00E814BD" w:rsidRPr="00951AB1" w:rsidRDefault="00981221" w:rsidP="000A5389">
            <w:pPr>
              <w:spacing w:line="240" w:lineRule="auto"/>
              <w:rPr>
                <w:rFonts w:eastAsia="Times New Roman" w:cs="Times New Roman"/>
                <w:color w:val="000000"/>
                <w:sz w:val="18"/>
                <w:szCs w:val="18"/>
                <w:lang w:eastAsia="es-CO"/>
              </w:rPr>
            </w:pPr>
            <w:r w:rsidRPr="00951AB1">
              <w:rPr>
                <w:rFonts w:eastAsia="Times New Roman" w:cs="Times New Roman"/>
                <w:color w:val="000000"/>
                <w:sz w:val="18"/>
                <w:szCs w:val="18"/>
                <w:lang w:eastAsia="es-CO"/>
              </w:rPr>
              <w:t>Autovía Bucaramanga Pamplona S.A.S.</w:t>
            </w:r>
          </w:p>
        </w:tc>
        <w:tc>
          <w:tcPr>
            <w:tcW w:w="811" w:type="pct"/>
            <w:tcBorders>
              <w:top w:val="nil"/>
              <w:left w:val="nil"/>
              <w:bottom w:val="single" w:sz="4" w:space="0" w:color="auto"/>
              <w:right w:val="single" w:sz="4" w:space="0" w:color="auto"/>
            </w:tcBorders>
            <w:noWrap/>
            <w:vAlign w:val="center"/>
            <w:hideMark/>
          </w:tcPr>
          <w:p w14:paraId="590BB0FB" w14:textId="77777777" w:rsidR="00E814BD" w:rsidRPr="00951AB1" w:rsidRDefault="00E814BD" w:rsidP="000A5389">
            <w:pPr>
              <w:spacing w:line="240" w:lineRule="auto"/>
              <w:jc w:val="right"/>
              <w:rPr>
                <w:rFonts w:eastAsia="Times New Roman" w:cs="Times New Roman"/>
                <w:color w:val="000000"/>
                <w:sz w:val="18"/>
                <w:szCs w:val="18"/>
                <w:lang w:eastAsia="es-CO"/>
              </w:rPr>
            </w:pPr>
            <w:r w:rsidRPr="00951AB1">
              <w:rPr>
                <w:rFonts w:eastAsia="Times New Roman" w:cs="Times New Roman"/>
                <w:color w:val="000000"/>
                <w:sz w:val="18"/>
                <w:szCs w:val="18"/>
                <w:lang w:eastAsia="es-CO"/>
              </w:rPr>
              <w:t>619.756.506.023</w:t>
            </w:r>
          </w:p>
        </w:tc>
        <w:tc>
          <w:tcPr>
            <w:tcW w:w="757" w:type="pct"/>
            <w:tcBorders>
              <w:top w:val="nil"/>
              <w:left w:val="nil"/>
              <w:bottom w:val="single" w:sz="4" w:space="0" w:color="auto"/>
              <w:right w:val="single" w:sz="4" w:space="0" w:color="auto"/>
            </w:tcBorders>
            <w:noWrap/>
            <w:vAlign w:val="center"/>
            <w:hideMark/>
          </w:tcPr>
          <w:p w14:paraId="30917E8D" w14:textId="77777777" w:rsidR="00E814BD" w:rsidRPr="00951AB1" w:rsidRDefault="00E814BD" w:rsidP="000A5389">
            <w:pPr>
              <w:spacing w:line="240" w:lineRule="auto"/>
              <w:jc w:val="right"/>
              <w:rPr>
                <w:rFonts w:eastAsia="Times New Roman" w:cs="Times New Roman"/>
                <w:color w:val="000000"/>
                <w:sz w:val="18"/>
                <w:szCs w:val="18"/>
                <w:lang w:eastAsia="es-CO"/>
              </w:rPr>
            </w:pPr>
            <w:r w:rsidRPr="00951AB1">
              <w:rPr>
                <w:rFonts w:eastAsia="Times New Roman" w:cs="Times New Roman"/>
                <w:color w:val="000000"/>
                <w:sz w:val="18"/>
                <w:szCs w:val="18"/>
                <w:lang w:eastAsia="es-CO"/>
              </w:rPr>
              <w:t>0</w:t>
            </w:r>
          </w:p>
        </w:tc>
        <w:tc>
          <w:tcPr>
            <w:tcW w:w="1723" w:type="pct"/>
            <w:tcBorders>
              <w:top w:val="nil"/>
              <w:left w:val="nil"/>
              <w:bottom w:val="single" w:sz="4" w:space="0" w:color="auto"/>
              <w:right w:val="single" w:sz="4" w:space="0" w:color="auto"/>
            </w:tcBorders>
            <w:vAlign w:val="center"/>
            <w:hideMark/>
          </w:tcPr>
          <w:p w14:paraId="58B0BA3E" w14:textId="629B0C83" w:rsidR="00E814BD" w:rsidRPr="00951AB1" w:rsidRDefault="00E814BD" w:rsidP="000A5389">
            <w:pPr>
              <w:spacing w:line="240" w:lineRule="auto"/>
              <w:rPr>
                <w:rFonts w:eastAsia="Times New Roman" w:cs="Times New Roman"/>
                <w:color w:val="000000"/>
                <w:sz w:val="18"/>
                <w:szCs w:val="18"/>
                <w:lang w:eastAsia="es-CO"/>
              </w:rPr>
            </w:pPr>
            <w:r w:rsidRPr="00951AB1">
              <w:rPr>
                <w:rFonts w:eastAsia="Times New Roman" w:cs="Times New Roman"/>
                <w:color w:val="000000"/>
                <w:sz w:val="18"/>
                <w:szCs w:val="18"/>
                <w:lang w:eastAsia="es-CO"/>
              </w:rPr>
              <w:t>Activo vigencia 2025 - Nuevo proceso arbitral</w:t>
            </w:r>
            <w:r w:rsidR="00684C05" w:rsidRPr="00951AB1">
              <w:rPr>
                <w:rFonts w:eastAsia="Times New Roman" w:cs="Times New Roman"/>
                <w:color w:val="000000"/>
                <w:sz w:val="18"/>
                <w:szCs w:val="18"/>
                <w:lang w:eastAsia="es-CO"/>
              </w:rPr>
              <w:t xml:space="preserve"> </w:t>
            </w:r>
            <w:r w:rsidRPr="00951AB1">
              <w:rPr>
                <w:rFonts w:eastAsia="Times New Roman" w:cs="Times New Roman"/>
                <w:color w:val="000000"/>
                <w:sz w:val="18"/>
                <w:szCs w:val="18"/>
                <w:lang w:eastAsia="es-CO"/>
              </w:rPr>
              <w:t>No. 159064</w:t>
            </w:r>
          </w:p>
        </w:tc>
      </w:tr>
      <w:tr w:rsidR="00E814BD" w:rsidRPr="00951AB1" w14:paraId="15745B97" w14:textId="77777777" w:rsidTr="00981221">
        <w:trPr>
          <w:trHeight w:val="356"/>
          <w:jc w:val="center"/>
        </w:trPr>
        <w:tc>
          <w:tcPr>
            <w:tcW w:w="585" w:type="pct"/>
            <w:tcBorders>
              <w:top w:val="nil"/>
              <w:left w:val="single" w:sz="4" w:space="0" w:color="000000"/>
              <w:bottom w:val="single" w:sz="4" w:space="0" w:color="000000"/>
              <w:right w:val="single" w:sz="4" w:space="0" w:color="000000"/>
            </w:tcBorders>
            <w:vAlign w:val="center"/>
            <w:hideMark/>
          </w:tcPr>
          <w:p w14:paraId="1F0D4E63" w14:textId="77777777" w:rsidR="00E814BD" w:rsidRPr="00951AB1" w:rsidRDefault="00E814BD" w:rsidP="000A5389">
            <w:pPr>
              <w:spacing w:line="240" w:lineRule="auto"/>
              <w:rPr>
                <w:rFonts w:eastAsia="Times New Roman" w:cs="Times New Roman"/>
                <w:color w:val="000000"/>
                <w:sz w:val="18"/>
                <w:szCs w:val="18"/>
                <w:lang w:eastAsia="es-CO"/>
              </w:rPr>
            </w:pPr>
            <w:r w:rsidRPr="00951AB1">
              <w:rPr>
                <w:rFonts w:eastAsia="Times New Roman" w:cs="Times New Roman"/>
                <w:color w:val="000000"/>
                <w:sz w:val="18"/>
                <w:szCs w:val="18"/>
                <w:lang w:eastAsia="es-CO"/>
              </w:rPr>
              <w:t>900869678</w:t>
            </w:r>
          </w:p>
        </w:tc>
        <w:tc>
          <w:tcPr>
            <w:tcW w:w="1125" w:type="pct"/>
            <w:tcBorders>
              <w:top w:val="nil"/>
              <w:left w:val="nil"/>
              <w:bottom w:val="single" w:sz="4" w:space="0" w:color="000000"/>
              <w:right w:val="single" w:sz="4" w:space="0" w:color="000000"/>
            </w:tcBorders>
            <w:vAlign w:val="center"/>
            <w:hideMark/>
          </w:tcPr>
          <w:p w14:paraId="5C84FE76" w14:textId="5D865D86" w:rsidR="00E814BD" w:rsidRPr="00951AB1" w:rsidRDefault="00981221" w:rsidP="000A5389">
            <w:pPr>
              <w:spacing w:line="240" w:lineRule="auto"/>
              <w:rPr>
                <w:rFonts w:eastAsia="Times New Roman" w:cs="Times New Roman"/>
                <w:color w:val="000000"/>
                <w:sz w:val="18"/>
                <w:szCs w:val="18"/>
                <w:lang w:eastAsia="es-CO"/>
              </w:rPr>
            </w:pPr>
            <w:r w:rsidRPr="00951AB1">
              <w:rPr>
                <w:rFonts w:eastAsia="Times New Roman" w:cs="Times New Roman"/>
                <w:color w:val="000000"/>
                <w:sz w:val="18"/>
                <w:szCs w:val="18"/>
                <w:lang w:eastAsia="es-CO"/>
              </w:rPr>
              <w:t xml:space="preserve">Desarrollo Vial </w:t>
            </w:r>
            <w:r w:rsidR="00684C05" w:rsidRPr="00951AB1">
              <w:rPr>
                <w:rFonts w:eastAsia="Times New Roman" w:cs="Times New Roman"/>
                <w:color w:val="000000"/>
                <w:sz w:val="18"/>
                <w:szCs w:val="18"/>
                <w:lang w:eastAsia="es-CO"/>
              </w:rPr>
              <w:t>al Mar</w:t>
            </w:r>
            <w:r w:rsidRPr="00951AB1">
              <w:rPr>
                <w:rFonts w:eastAsia="Times New Roman" w:cs="Times New Roman"/>
                <w:color w:val="000000"/>
                <w:sz w:val="18"/>
                <w:szCs w:val="18"/>
                <w:lang w:eastAsia="es-CO"/>
              </w:rPr>
              <w:t xml:space="preserve">   S.A.S</w:t>
            </w:r>
          </w:p>
        </w:tc>
        <w:tc>
          <w:tcPr>
            <w:tcW w:w="811" w:type="pct"/>
            <w:tcBorders>
              <w:top w:val="nil"/>
              <w:left w:val="nil"/>
              <w:bottom w:val="single" w:sz="4" w:space="0" w:color="auto"/>
              <w:right w:val="single" w:sz="4" w:space="0" w:color="auto"/>
            </w:tcBorders>
            <w:noWrap/>
            <w:vAlign w:val="center"/>
            <w:hideMark/>
          </w:tcPr>
          <w:p w14:paraId="7522CE2E" w14:textId="77777777" w:rsidR="00E814BD" w:rsidRPr="00951AB1" w:rsidRDefault="00E814BD" w:rsidP="000A5389">
            <w:pPr>
              <w:spacing w:line="240" w:lineRule="auto"/>
              <w:jc w:val="right"/>
              <w:rPr>
                <w:rFonts w:eastAsia="Times New Roman" w:cs="Times New Roman"/>
                <w:color w:val="000000"/>
                <w:sz w:val="18"/>
                <w:szCs w:val="18"/>
                <w:lang w:eastAsia="es-CO"/>
              </w:rPr>
            </w:pPr>
            <w:r w:rsidRPr="00951AB1">
              <w:rPr>
                <w:rFonts w:eastAsia="Times New Roman" w:cs="Times New Roman"/>
                <w:color w:val="000000"/>
                <w:sz w:val="18"/>
                <w:szCs w:val="18"/>
                <w:lang w:eastAsia="es-CO"/>
              </w:rPr>
              <w:t>111.388.826.257</w:t>
            </w:r>
          </w:p>
        </w:tc>
        <w:tc>
          <w:tcPr>
            <w:tcW w:w="757" w:type="pct"/>
            <w:tcBorders>
              <w:top w:val="nil"/>
              <w:left w:val="nil"/>
              <w:bottom w:val="single" w:sz="4" w:space="0" w:color="auto"/>
              <w:right w:val="single" w:sz="4" w:space="0" w:color="auto"/>
            </w:tcBorders>
            <w:noWrap/>
            <w:vAlign w:val="center"/>
            <w:hideMark/>
          </w:tcPr>
          <w:p w14:paraId="534CA855" w14:textId="77777777" w:rsidR="00E814BD" w:rsidRPr="00951AB1" w:rsidRDefault="00E814BD" w:rsidP="000A5389">
            <w:pPr>
              <w:spacing w:line="240" w:lineRule="auto"/>
              <w:jc w:val="right"/>
              <w:rPr>
                <w:rFonts w:eastAsia="Times New Roman" w:cs="Times New Roman"/>
                <w:color w:val="000000"/>
                <w:sz w:val="18"/>
                <w:szCs w:val="18"/>
                <w:lang w:eastAsia="es-CO"/>
              </w:rPr>
            </w:pPr>
            <w:r w:rsidRPr="00951AB1">
              <w:rPr>
                <w:rFonts w:eastAsia="Times New Roman" w:cs="Times New Roman"/>
                <w:color w:val="000000"/>
                <w:sz w:val="18"/>
                <w:szCs w:val="18"/>
                <w:lang w:eastAsia="es-CO"/>
              </w:rPr>
              <w:t>112.591.110.019</w:t>
            </w:r>
          </w:p>
        </w:tc>
        <w:tc>
          <w:tcPr>
            <w:tcW w:w="1723" w:type="pct"/>
            <w:tcBorders>
              <w:top w:val="nil"/>
              <w:left w:val="nil"/>
              <w:bottom w:val="single" w:sz="4" w:space="0" w:color="auto"/>
              <w:right w:val="single" w:sz="4" w:space="0" w:color="auto"/>
            </w:tcBorders>
            <w:vAlign w:val="center"/>
            <w:hideMark/>
          </w:tcPr>
          <w:p w14:paraId="3EE294D4" w14:textId="23875D50" w:rsidR="00E814BD" w:rsidRPr="00951AB1" w:rsidRDefault="00E814BD" w:rsidP="000A5389">
            <w:pPr>
              <w:spacing w:line="240" w:lineRule="auto"/>
              <w:rPr>
                <w:rFonts w:eastAsia="Times New Roman" w:cs="Times New Roman"/>
                <w:color w:val="000000"/>
                <w:sz w:val="18"/>
                <w:szCs w:val="18"/>
                <w:lang w:eastAsia="es-CO"/>
              </w:rPr>
            </w:pPr>
            <w:r w:rsidRPr="00951AB1">
              <w:rPr>
                <w:rFonts w:eastAsia="Times New Roman" w:cs="Times New Roman"/>
                <w:color w:val="000000"/>
                <w:sz w:val="18"/>
                <w:szCs w:val="18"/>
                <w:lang w:eastAsia="es-CO"/>
              </w:rPr>
              <w:t>Activo vigencia 2025</w:t>
            </w:r>
            <w:r w:rsidR="00684C05" w:rsidRPr="00951AB1">
              <w:rPr>
                <w:rFonts w:eastAsia="Times New Roman" w:cs="Times New Roman"/>
                <w:color w:val="000000"/>
                <w:sz w:val="18"/>
                <w:szCs w:val="18"/>
                <w:lang w:eastAsia="es-CO"/>
              </w:rPr>
              <w:t xml:space="preserve"> </w:t>
            </w:r>
            <w:r w:rsidRPr="00951AB1">
              <w:rPr>
                <w:rFonts w:eastAsia="Times New Roman" w:cs="Times New Roman"/>
                <w:color w:val="000000"/>
                <w:sz w:val="18"/>
                <w:szCs w:val="18"/>
                <w:lang w:eastAsia="es-CO"/>
              </w:rPr>
              <w:t>No.  CIRD 01-24-0000-3431</w:t>
            </w:r>
          </w:p>
        </w:tc>
      </w:tr>
      <w:tr w:rsidR="00E814BD" w:rsidRPr="00951AB1" w14:paraId="116CD0A7" w14:textId="77777777" w:rsidTr="00981221">
        <w:trPr>
          <w:trHeight w:val="404"/>
          <w:jc w:val="center"/>
        </w:trPr>
        <w:tc>
          <w:tcPr>
            <w:tcW w:w="585" w:type="pct"/>
            <w:tcBorders>
              <w:top w:val="nil"/>
              <w:left w:val="single" w:sz="4" w:space="0" w:color="000000"/>
              <w:bottom w:val="single" w:sz="4" w:space="0" w:color="000000"/>
              <w:right w:val="single" w:sz="4" w:space="0" w:color="000000"/>
            </w:tcBorders>
            <w:vAlign w:val="center"/>
            <w:hideMark/>
          </w:tcPr>
          <w:p w14:paraId="2BEA69C7" w14:textId="77777777" w:rsidR="00E814BD" w:rsidRPr="00951AB1" w:rsidRDefault="00E814BD" w:rsidP="000A5389">
            <w:pPr>
              <w:spacing w:line="240" w:lineRule="auto"/>
              <w:rPr>
                <w:rFonts w:eastAsia="Times New Roman" w:cs="Times New Roman"/>
                <w:color w:val="000000"/>
                <w:sz w:val="18"/>
                <w:szCs w:val="18"/>
                <w:lang w:eastAsia="es-CO"/>
              </w:rPr>
            </w:pPr>
            <w:r w:rsidRPr="00951AB1">
              <w:rPr>
                <w:rFonts w:eastAsia="Times New Roman" w:cs="Times New Roman"/>
                <w:color w:val="000000"/>
                <w:sz w:val="18"/>
                <w:szCs w:val="18"/>
                <w:lang w:eastAsia="es-CO"/>
              </w:rPr>
              <w:t>900373783</w:t>
            </w:r>
          </w:p>
        </w:tc>
        <w:tc>
          <w:tcPr>
            <w:tcW w:w="1125" w:type="pct"/>
            <w:tcBorders>
              <w:top w:val="nil"/>
              <w:left w:val="nil"/>
              <w:bottom w:val="single" w:sz="4" w:space="0" w:color="000000"/>
              <w:right w:val="single" w:sz="4" w:space="0" w:color="000000"/>
            </w:tcBorders>
            <w:vAlign w:val="center"/>
            <w:hideMark/>
          </w:tcPr>
          <w:p w14:paraId="5AE8BA6D" w14:textId="3E296954" w:rsidR="00E814BD" w:rsidRPr="00951AB1" w:rsidRDefault="00981221" w:rsidP="000A5389">
            <w:pPr>
              <w:spacing w:line="240" w:lineRule="auto"/>
              <w:rPr>
                <w:rFonts w:eastAsia="Times New Roman" w:cs="Times New Roman"/>
                <w:color w:val="000000"/>
                <w:sz w:val="18"/>
                <w:szCs w:val="18"/>
                <w:lang w:eastAsia="es-CO"/>
              </w:rPr>
            </w:pPr>
            <w:r w:rsidRPr="00951AB1">
              <w:rPr>
                <w:rFonts w:eastAsia="Times New Roman" w:cs="Times New Roman"/>
                <w:color w:val="000000"/>
                <w:sz w:val="18"/>
                <w:szCs w:val="18"/>
                <w:lang w:eastAsia="es-CO"/>
              </w:rPr>
              <w:t>vías De Las Americas S.A.S.</w:t>
            </w:r>
          </w:p>
        </w:tc>
        <w:tc>
          <w:tcPr>
            <w:tcW w:w="811" w:type="pct"/>
            <w:tcBorders>
              <w:top w:val="nil"/>
              <w:left w:val="nil"/>
              <w:bottom w:val="single" w:sz="4" w:space="0" w:color="auto"/>
              <w:right w:val="single" w:sz="4" w:space="0" w:color="auto"/>
            </w:tcBorders>
            <w:noWrap/>
            <w:vAlign w:val="center"/>
            <w:hideMark/>
          </w:tcPr>
          <w:p w14:paraId="2D44DE36" w14:textId="77777777" w:rsidR="00E814BD" w:rsidRPr="00951AB1" w:rsidRDefault="00E814BD" w:rsidP="000A5389">
            <w:pPr>
              <w:spacing w:line="240" w:lineRule="auto"/>
              <w:jc w:val="right"/>
              <w:rPr>
                <w:rFonts w:eastAsia="Times New Roman" w:cs="Times New Roman"/>
                <w:color w:val="000000"/>
                <w:sz w:val="18"/>
                <w:szCs w:val="18"/>
                <w:lang w:eastAsia="es-CO"/>
              </w:rPr>
            </w:pPr>
            <w:r w:rsidRPr="00951AB1">
              <w:rPr>
                <w:rFonts w:eastAsia="Times New Roman" w:cs="Times New Roman"/>
                <w:color w:val="000000"/>
                <w:sz w:val="18"/>
                <w:szCs w:val="18"/>
                <w:lang w:eastAsia="es-CO"/>
              </w:rPr>
              <w:t>100.661.655.621</w:t>
            </w:r>
          </w:p>
        </w:tc>
        <w:tc>
          <w:tcPr>
            <w:tcW w:w="757" w:type="pct"/>
            <w:tcBorders>
              <w:top w:val="nil"/>
              <w:left w:val="nil"/>
              <w:bottom w:val="single" w:sz="4" w:space="0" w:color="auto"/>
              <w:right w:val="single" w:sz="4" w:space="0" w:color="auto"/>
            </w:tcBorders>
            <w:noWrap/>
            <w:vAlign w:val="center"/>
            <w:hideMark/>
          </w:tcPr>
          <w:p w14:paraId="460D85B3" w14:textId="77777777" w:rsidR="00E814BD" w:rsidRPr="00951AB1" w:rsidRDefault="00E814BD" w:rsidP="000A5389">
            <w:pPr>
              <w:spacing w:line="240" w:lineRule="auto"/>
              <w:jc w:val="right"/>
              <w:rPr>
                <w:rFonts w:eastAsia="Times New Roman" w:cs="Times New Roman"/>
                <w:color w:val="000000"/>
                <w:sz w:val="18"/>
                <w:szCs w:val="18"/>
                <w:lang w:eastAsia="es-CO"/>
              </w:rPr>
            </w:pPr>
            <w:r w:rsidRPr="00951AB1">
              <w:rPr>
                <w:rFonts w:eastAsia="Times New Roman" w:cs="Times New Roman"/>
                <w:color w:val="000000"/>
                <w:sz w:val="18"/>
                <w:szCs w:val="18"/>
                <w:lang w:eastAsia="es-CO"/>
              </w:rPr>
              <w:t>98.680.811.873</w:t>
            </w:r>
          </w:p>
        </w:tc>
        <w:tc>
          <w:tcPr>
            <w:tcW w:w="1723" w:type="pct"/>
            <w:tcBorders>
              <w:top w:val="nil"/>
              <w:left w:val="nil"/>
              <w:bottom w:val="single" w:sz="4" w:space="0" w:color="auto"/>
              <w:right w:val="single" w:sz="4" w:space="0" w:color="auto"/>
            </w:tcBorders>
            <w:vAlign w:val="center"/>
            <w:hideMark/>
          </w:tcPr>
          <w:p w14:paraId="0FCEF3D4" w14:textId="5530348C" w:rsidR="00E814BD" w:rsidRPr="00951AB1" w:rsidRDefault="00E814BD" w:rsidP="000A5389">
            <w:pPr>
              <w:spacing w:line="240" w:lineRule="auto"/>
              <w:rPr>
                <w:rFonts w:eastAsia="Times New Roman" w:cs="Times New Roman"/>
                <w:color w:val="000000"/>
                <w:sz w:val="18"/>
                <w:szCs w:val="18"/>
                <w:lang w:eastAsia="es-CO"/>
              </w:rPr>
            </w:pPr>
            <w:r w:rsidRPr="00951AB1">
              <w:rPr>
                <w:rFonts w:eastAsia="Times New Roman" w:cs="Times New Roman"/>
                <w:color w:val="000000"/>
                <w:sz w:val="18"/>
                <w:szCs w:val="18"/>
                <w:lang w:eastAsia="es-CO"/>
              </w:rPr>
              <w:t>Activo vigencia 2025</w:t>
            </w:r>
            <w:r w:rsidR="00684C05" w:rsidRPr="00951AB1">
              <w:rPr>
                <w:rFonts w:eastAsia="Times New Roman" w:cs="Times New Roman"/>
                <w:color w:val="000000"/>
                <w:sz w:val="18"/>
                <w:szCs w:val="18"/>
                <w:lang w:eastAsia="es-CO"/>
              </w:rPr>
              <w:t xml:space="preserve"> </w:t>
            </w:r>
            <w:r w:rsidRPr="00951AB1">
              <w:rPr>
                <w:rFonts w:eastAsia="Times New Roman" w:cs="Times New Roman"/>
                <w:color w:val="000000"/>
                <w:sz w:val="18"/>
                <w:szCs w:val="18"/>
                <w:lang w:eastAsia="es-CO"/>
              </w:rPr>
              <w:t>No. 147140</w:t>
            </w:r>
          </w:p>
        </w:tc>
      </w:tr>
      <w:tr w:rsidR="00E814BD" w:rsidRPr="00951AB1" w14:paraId="390DFEEC" w14:textId="77777777" w:rsidTr="00981221">
        <w:trPr>
          <w:trHeight w:val="450"/>
          <w:jc w:val="center"/>
        </w:trPr>
        <w:tc>
          <w:tcPr>
            <w:tcW w:w="585" w:type="pct"/>
            <w:tcBorders>
              <w:top w:val="nil"/>
              <w:left w:val="single" w:sz="4" w:space="0" w:color="000000"/>
              <w:bottom w:val="single" w:sz="4" w:space="0" w:color="000000"/>
              <w:right w:val="single" w:sz="4" w:space="0" w:color="000000"/>
            </w:tcBorders>
            <w:vAlign w:val="center"/>
            <w:hideMark/>
          </w:tcPr>
          <w:p w14:paraId="168D58D5" w14:textId="77777777" w:rsidR="00E814BD" w:rsidRPr="00951AB1" w:rsidRDefault="00E814BD" w:rsidP="000A5389">
            <w:pPr>
              <w:spacing w:line="240" w:lineRule="auto"/>
              <w:rPr>
                <w:rFonts w:eastAsia="Times New Roman" w:cs="Times New Roman"/>
                <w:color w:val="000000"/>
                <w:sz w:val="18"/>
                <w:szCs w:val="18"/>
                <w:lang w:eastAsia="es-CO"/>
              </w:rPr>
            </w:pPr>
            <w:r w:rsidRPr="00951AB1">
              <w:rPr>
                <w:rFonts w:eastAsia="Times New Roman" w:cs="Times New Roman"/>
                <w:color w:val="000000"/>
                <w:sz w:val="18"/>
                <w:szCs w:val="18"/>
                <w:lang w:eastAsia="es-CO"/>
              </w:rPr>
              <w:t>900330374</w:t>
            </w:r>
          </w:p>
        </w:tc>
        <w:tc>
          <w:tcPr>
            <w:tcW w:w="1125" w:type="pct"/>
            <w:tcBorders>
              <w:top w:val="nil"/>
              <w:left w:val="nil"/>
              <w:bottom w:val="single" w:sz="4" w:space="0" w:color="000000"/>
              <w:right w:val="single" w:sz="4" w:space="0" w:color="000000"/>
            </w:tcBorders>
            <w:vAlign w:val="center"/>
            <w:hideMark/>
          </w:tcPr>
          <w:p w14:paraId="4795A5C4" w14:textId="580DF59C" w:rsidR="00E814BD" w:rsidRPr="00951AB1" w:rsidRDefault="00981221" w:rsidP="000A5389">
            <w:pPr>
              <w:spacing w:line="240" w:lineRule="auto"/>
              <w:rPr>
                <w:rFonts w:eastAsia="Times New Roman" w:cs="Times New Roman"/>
                <w:color w:val="000000"/>
                <w:sz w:val="18"/>
                <w:szCs w:val="18"/>
                <w:lang w:eastAsia="es-CO"/>
              </w:rPr>
            </w:pPr>
            <w:r w:rsidRPr="00951AB1">
              <w:rPr>
                <w:rFonts w:eastAsia="Times New Roman" w:cs="Times New Roman"/>
                <w:color w:val="000000"/>
                <w:sz w:val="18"/>
                <w:szCs w:val="18"/>
                <w:lang w:eastAsia="es-CO"/>
              </w:rPr>
              <w:t>Consorcio Vial Helios</w:t>
            </w:r>
          </w:p>
        </w:tc>
        <w:tc>
          <w:tcPr>
            <w:tcW w:w="811" w:type="pct"/>
            <w:tcBorders>
              <w:top w:val="nil"/>
              <w:left w:val="nil"/>
              <w:bottom w:val="single" w:sz="4" w:space="0" w:color="auto"/>
              <w:right w:val="single" w:sz="4" w:space="0" w:color="auto"/>
            </w:tcBorders>
            <w:noWrap/>
            <w:vAlign w:val="center"/>
            <w:hideMark/>
          </w:tcPr>
          <w:p w14:paraId="5305277E" w14:textId="77777777" w:rsidR="00E814BD" w:rsidRPr="00951AB1" w:rsidRDefault="00E814BD" w:rsidP="000A5389">
            <w:pPr>
              <w:spacing w:line="240" w:lineRule="auto"/>
              <w:jc w:val="right"/>
              <w:rPr>
                <w:rFonts w:eastAsia="Times New Roman" w:cs="Times New Roman"/>
                <w:color w:val="000000"/>
                <w:sz w:val="18"/>
                <w:szCs w:val="18"/>
                <w:lang w:eastAsia="es-CO"/>
              </w:rPr>
            </w:pPr>
            <w:r w:rsidRPr="00951AB1">
              <w:rPr>
                <w:rFonts w:eastAsia="Times New Roman" w:cs="Times New Roman"/>
                <w:color w:val="000000"/>
                <w:sz w:val="18"/>
                <w:szCs w:val="18"/>
                <w:lang w:eastAsia="es-CO"/>
              </w:rPr>
              <w:t>78.513.773.101</w:t>
            </w:r>
          </w:p>
        </w:tc>
        <w:tc>
          <w:tcPr>
            <w:tcW w:w="757" w:type="pct"/>
            <w:tcBorders>
              <w:top w:val="nil"/>
              <w:left w:val="nil"/>
              <w:bottom w:val="single" w:sz="4" w:space="0" w:color="auto"/>
              <w:right w:val="single" w:sz="4" w:space="0" w:color="auto"/>
            </w:tcBorders>
            <w:noWrap/>
            <w:vAlign w:val="center"/>
            <w:hideMark/>
          </w:tcPr>
          <w:p w14:paraId="07C8FE12" w14:textId="77777777" w:rsidR="00E814BD" w:rsidRPr="00951AB1" w:rsidRDefault="00E814BD" w:rsidP="000A5389">
            <w:pPr>
              <w:spacing w:line="240" w:lineRule="auto"/>
              <w:jc w:val="right"/>
              <w:rPr>
                <w:rFonts w:eastAsia="Times New Roman" w:cs="Times New Roman"/>
                <w:color w:val="000000"/>
                <w:sz w:val="18"/>
                <w:szCs w:val="18"/>
                <w:lang w:eastAsia="es-CO"/>
              </w:rPr>
            </w:pPr>
            <w:r w:rsidRPr="00951AB1">
              <w:rPr>
                <w:rFonts w:eastAsia="Times New Roman" w:cs="Times New Roman"/>
                <w:color w:val="000000"/>
                <w:sz w:val="18"/>
                <w:szCs w:val="18"/>
                <w:lang w:eastAsia="es-CO"/>
              </w:rPr>
              <w:t>0</w:t>
            </w:r>
          </w:p>
        </w:tc>
        <w:tc>
          <w:tcPr>
            <w:tcW w:w="1723" w:type="pct"/>
            <w:tcBorders>
              <w:top w:val="nil"/>
              <w:left w:val="nil"/>
              <w:bottom w:val="single" w:sz="4" w:space="0" w:color="auto"/>
              <w:right w:val="single" w:sz="4" w:space="0" w:color="auto"/>
            </w:tcBorders>
            <w:vAlign w:val="center"/>
            <w:hideMark/>
          </w:tcPr>
          <w:p w14:paraId="44C79E3A" w14:textId="3FD90BB4" w:rsidR="00E814BD" w:rsidRPr="00951AB1" w:rsidRDefault="00E814BD" w:rsidP="000A5389">
            <w:pPr>
              <w:spacing w:line="240" w:lineRule="auto"/>
              <w:rPr>
                <w:rFonts w:eastAsia="Times New Roman" w:cs="Times New Roman"/>
                <w:color w:val="000000"/>
                <w:sz w:val="18"/>
                <w:szCs w:val="18"/>
                <w:lang w:eastAsia="es-CO"/>
              </w:rPr>
            </w:pPr>
            <w:r w:rsidRPr="00951AB1">
              <w:rPr>
                <w:rFonts w:eastAsia="Times New Roman" w:cs="Times New Roman"/>
                <w:color w:val="000000"/>
                <w:sz w:val="18"/>
                <w:szCs w:val="18"/>
                <w:lang w:eastAsia="es-CO"/>
              </w:rPr>
              <w:t>Activo vigencia 2025 - Nuevo proceso arbitral</w:t>
            </w:r>
            <w:r w:rsidR="00684C05" w:rsidRPr="00951AB1">
              <w:rPr>
                <w:rFonts w:eastAsia="Times New Roman" w:cs="Times New Roman"/>
                <w:color w:val="000000"/>
                <w:sz w:val="18"/>
                <w:szCs w:val="18"/>
                <w:lang w:eastAsia="es-CO"/>
              </w:rPr>
              <w:t xml:space="preserve"> </w:t>
            </w:r>
            <w:r w:rsidRPr="00951AB1">
              <w:rPr>
                <w:rFonts w:eastAsia="Times New Roman" w:cs="Times New Roman"/>
                <w:color w:val="000000"/>
                <w:sz w:val="18"/>
                <w:szCs w:val="18"/>
                <w:lang w:eastAsia="es-CO"/>
              </w:rPr>
              <w:t>No. 157354</w:t>
            </w:r>
          </w:p>
        </w:tc>
      </w:tr>
      <w:tr w:rsidR="00E814BD" w:rsidRPr="00951AB1" w14:paraId="4F223BE2" w14:textId="77777777" w:rsidTr="00981221">
        <w:trPr>
          <w:trHeight w:val="360"/>
          <w:jc w:val="center"/>
        </w:trPr>
        <w:tc>
          <w:tcPr>
            <w:tcW w:w="585" w:type="pct"/>
            <w:tcBorders>
              <w:top w:val="nil"/>
              <w:left w:val="single" w:sz="4" w:space="0" w:color="000000"/>
              <w:bottom w:val="single" w:sz="4" w:space="0" w:color="000000"/>
              <w:right w:val="single" w:sz="4" w:space="0" w:color="000000"/>
            </w:tcBorders>
            <w:vAlign w:val="center"/>
            <w:hideMark/>
          </w:tcPr>
          <w:p w14:paraId="68F97421" w14:textId="77777777" w:rsidR="00E814BD" w:rsidRPr="00951AB1" w:rsidRDefault="00E814BD" w:rsidP="000A5389">
            <w:pPr>
              <w:spacing w:line="240" w:lineRule="auto"/>
              <w:rPr>
                <w:rFonts w:eastAsia="Times New Roman" w:cs="Times New Roman"/>
                <w:color w:val="000000"/>
                <w:sz w:val="18"/>
                <w:szCs w:val="18"/>
                <w:lang w:eastAsia="es-CO"/>
              </w:rPr>
            </w:pPr>
            <w:r w:rsidRPr="00951AB1">
              <w:rPr>
                <w:rFonts w:eastAsia="Times New Roman" w:cs="Times New Roman"/>
                <w:color w:val="000000"/>
                <w:sz w:val="18"/>
                <w:szCs w:val="18"/>
                <w:lang w:eastAsia="es-CO"/>
              </w:rPr>
              <w:t>900135168</w:t>
            </w:r>
          </w:p>
        </w:tc>
        <w:tc>
          <w:tcPr>
            <w:tcW w:w="1125" w:type="pct"/>
            <w:tcBorders>
              <w:top w:val="nil"/>
              <w:left w:val="nil"/>
              <w:bottom w:val="single" w:sz="4" w:space="0" w:color="000000"/>
              <w:right w:val="single" w:sz="4" w:space="0" w:color="000000"/>
            </w:tcBorders>
            <w:vAlign w:val="center"/>
            <w:hideMark/>
          </w:tcPr>
          <w:p w14:paraId="44E9125F" w14:textId="176D97B7" w:rsidR="00E814BD" w:rsidRPr="00951AB1" w:rsidRDefault="00981221" w:rsidP="000A5389">
            <w:pPr>
              <w:spacing w:line="240" w:lineRule="auto"/>
              <w:rPr>
                <w:rFonts w:eastAsia="Times New Roman" w:cs="Times New Roman"/>
                <w:color w:val="000000"/>
                <w:sz w:val="18"/>
                <w:szCs w:val="18"/>
                <w:lang w:eastAsia="es-CO"/>
              </w:rPr>
            </w:pPr>
            <w:r w:rsidRPr="00951AB1">
              <w:rPr>
                <w:rFonts w:eastAsia="Times New Roman" w:cs="Times New Roman"/>
                <w:color w:val="000000"/>
                <w:sz w:val="18"/>
                <w:szCs w:val="18"/>
                <w:lang w:eastAsia="es-CO"/>
              </w:rPr>
              <w:t>Autopistas De La Sabana S.A.S</w:t>
            </w:r>
          </w:p>
        </w:tc>
        <w:tc>
          <w:tcPr>
            <w:tcW w:w="811" w:type="pct"/>
            <w:tcBorders>
              <w:top w:val="nil"/>
              <w:left w:val="nil"/>
              <w:bottom w:val="single" w:sz="4" w:space="0" w:color="auto"/>
              <w:right w:val="single" w:sz="4" w:space="0" w:color="auto"/>
            </w:tcBorders>
            <w:noWrap/>
            <w:vAlign w:val="center"/>
            <w:hideMark/>
          </w:tcPr>
          <w:p w14:paraId="3C728E12" w14:textId="77777777" w:rsidR="00E814BD" w:rsidRPr="00951AB1" w:rsidRDefault="00E814BD" w:rsidP="000A5389">
            <w:pPr>
              <w:spacing w:line="240" w:lineRule="auto"/>
              <w:jc w:val="right"/>
              <w:rPr>
                <w:rFonts w:eastAsia="Times New Roman" w:cs="Times New Roman"/>
                <w:color w:val="000000"/>
                <w:sz w:val="18"/>
                <w:szCs w:val="18"/>
                <w:lang w:eastAsia="es-CO"/>
              </w:rPr>
            </w:pPr>
            <w:r w:rsidRPr="00951AB1">
              <w:rPr>
                <w:rFonts w:eastAsia="Times New Roman" w:cs="Times New Roman"/>
                <w:color w:val="000000"/>
                <w:sz w:val="18"/>
                <w:szCs w:val="18"/>
                <w:lang w:eastAsia="es-CO"/>
              </w:rPr>
              <w:t>39.470.117.767</w:t>
            </w:r>
          </w:p>
        </w:tc>
        <w:tc>
          <w:tcPr>
            <w:tcW w:w="757" w:type="pct"/>
            <w:tcBorders>
              <w:top w:val="nil"/>
              <w:left w:val="nil"/>
              <w:bottom w:val="single" w:sz="4" w:space="0" w:color="auto"/>
              <w:right w:val="single" w:sz="4" w:space="0" w:color="auto"/>
            </w:tcBorders>
            <w:noWrap/>
            <w:vAlign w:val="center"/>
            <w:hideMark/>
          </w:tcPr>
          <w:p w14:paraId="11C10DED" w14:textId="77777777" w:rsidR="00E814BD" w:rsidRPr="00951AB1" w:rsidRDefault="00E814BD" w:rsidP="000A5389">
            <w:pPr>
              <w:spacing w:line="240" w:lineRule="auto"/>
              <w:jc w:val="right"/>
              <w:rPr>
                <w:rFonts w:eastAsia="Times New Roman" w:cs="Times New Roman"/>
                <w:color w:val="000000"/>
                <w:sz w:val="18"/>
                <w:szCs w:val="18"/>
                <w:lang w:eastAsia="es-CO"/>
              </w:rPr>
            </w:pPr>
            <w:r w:rsidRPr="00951AB1">
              <w:rPr>
                <w:rFonts w:eastAsia="Times New Roman" w:cs="Times New Roman"/>
                <w:color w:val="000000"/>
                <w:sz w:val="18"/>
                <w:szCs w:val="18"/>
                <w:lang w:eastAsia="es-CO"/>
              </w:rPr>
              <w:t>5.809.840.628</w:t>
            </w:r>
          </w:p>
        </w:tc>
        <w:tc>
          <w:tcPr>
            <w:tcW w:w="1723" w:type="pct"/>
            <w:tcBorders>
              <w:top w:val="nil"/>
              <w:left w:val="nil"/>
              <w:bottom w:val="single" w:sz="4" w:space="0" w:color="auto"/>
              <w:right w:val="single" w:sz="4" w:space="0" w:color="auto"/>
            </w:tcBorders>
            <w:vAlign w:val="center"/>
            <w:hideMark/>
          </w:tcPr>
          <w:p w14:paraId="363FF838" w14:textId="723D5793" w:rsidR="00E814BD" w:rsidRPr="00951AB1" w:rsidRDefault="00E814BD" w:rsidP="000A5389">
            <w:pPr>
              <w:spacing w:line="240" w:lineRule="auto"/>
              <w:rPr>
                <w:rFonts w:eastAsia="Times New Roman" w:cs="Times New Roman"/>
                <w:color w:val="000000"/>
                <w:sz w:val="18"/>
                <w:szCs w:val="18"/>
                <w:lang w:eastAsia="es-CO"/>
              </w:rPr>
            </w:pPr>
            <w:r w:rsidRPr="00951AB1">
              <w:rPr>
                <w:rFonts w:eastAsia="Times New Roman" w:cs="Times New Roman"/>
                <w:color w:val="000000"/>
                <w:sz w:val="18"/>
                <w:szCs w:val="18"/>
                <w:lang w:eastAsia="es-CO"/>
              </w:rPr>
              <w:t>Activo vigencia 2025</w:t>
            </w:r>
            <w:r w:rsidR="00684C05" w:rsidRPr="00951AB1">
              <w:rPr>
                <w:rFonts w:eastAsia="Times New Roman" w:cs="Times New Roman"/>
                <w:color w:val="000000"/>
                <w:sz w:val="18"/>
                <w:szCs w:val="18"/>
                <w:lang w:eastAsia="es-CO"/>
              </w:rPr>
              <w:t xml:space="preserve"> </w:t>
            </w:r>
            <w:r w:rsidRPr="00951AB1">
              <w:rPr>
                <w:rFonts w:eastAsia="Times New Roman" w:cs="Times New Roman"/>
                <w:color w:val="000000"/>
                <w:sz w:val="18"/>
                <w:szCs w:val="18"/>
                <w:lang w:eastAsia="es-CO"/>
              </w:rPr>
              <w:t>No. 150960</w:t>
            </w:r>
          </w:p>
        </w:tc>
      </w:tr>
      <w:tr w:rsidR="00E814BD" w:rsidRPr="00951AB1" w14:paraId="4BC98CC4" w14:textId="77777777" w:rsidTr="00981221">
        <w:trPr>
          <w:trHeight w:val="408"/>
          <w:jc w:val="center"/>
        </w:trPr>
        <w:tc>
          <w:tcPr>
            <w:tcW w:w="585" w:type="pct"/>
            <w:tcBorders>
              <w:top w:val="nil"/>
              <w:left w:val="single" w:sz="4" w:space="0" w:color="000000"/>
              <w:bottom w:val="single" w:sz="4" w:space="0" w:color="000000"/>
              <w:right w:val="single" w:sz="4" w:space="0" w:color="000000"/>
            </w:tcBorders>
            <w:vAlign w:val="center"/>
            <w:hideMark/>
          </w:tcPr>
          <w:p w14:paraId="6F602823" w14:textId="77777777" w:rsidR="00E814BD" w:rsidRPr="00951AB1" w:rsidRDefault="00E814BD" w:rsidP="000A5389">
            <w:pPr>
              <w:spacing w:line="240" w:lineRule="auto"/>
              <w:rPr>
                <w:rFonts w:eastAsia="Times New Roman" w:cs="Times New Roman"/>
                <w:color w:val="000000"/>
                <w:sz w:val="18"/>
                <w:szCs w:val="18"/>
                <w:lang w:eastAsia="es-CO"/>
              </w:rPr>
            </w:pPr>
            <w:r w:rsidRPr="00951AB1">
              <w:rPr>
                <w:rFonts w:eastAsia="Times New Roman" w:cs="Times New Roman"/>
                <w:color w:val="000000"/>
                <w:sz w:val="18"/>
                <w:szCs w:val="18"/>
                <w:lang w:eastAsia="es-CO"/>
              </w:rPr>
              <w:t>800242642</w:t>
            </w:r>
          </w:p>
        </w:tc>
        <w:tc>
          <w:tcPr>
            <w:tcW w:w="1125" w:type="pct"/>
            <w:tcBorders>
              <w:top w:val="nil"/>
              <w:left w:val="nil"/>
              <w:bottom w:val="single" w:sz="4" w:space="0" w:color="000000"/>
              <w:right w:val="single" w:sz="4" w:space="0" w:color="000000"/>
            </w:tcBorders>
            <w:vAlign w:val="center"/>
            <w:hideMark/>
          </w:tcPr>
          <w:p w14:paraId="56F0BB27" w14:textId="26283346" w:rsidR="00E814BD" w:rsidRPr="00951AB1" w:rsidRDefault="00981221" w:rsidP="000A5389">
            <w:pPr>
              <w:spacing w:line="240" w:lineRule="auto"/>
              <w:rPr>
                <w:rFonts w:eastAsia="Times New Roman" w:cs="Times New Roman"/>
                <w:color w:val="000000"/>
                <w:sz w:val="18"/>
                <w:szCs w:val="18"/>
                <w:lang w:eastAsia="es-CO"/>
              </w:rPr>
            </w:pPr>
            <w:r w:rsidRPr="00951AB1">
              <w:rPr>
                <w:rFonts w:eastAsia="Times New Roman" w:cs="Times New Roman"/>
                <w:color w:val="000000"/>
                <w:sz w:val="18"/>
                <w:szCs w:val="18"/>
                <w:lang w:eastAsia="es-CO"/>
              </w:rPr>
              <w:t>Consorcio Vía Al Mar</w:t>
            </w:r>
          </w:p>
        </w:tc>
        <w:tc>
          <w:tcPr>
            <w:tcW w:w="811" w:type="pct"/>
            <w:tcBorders>
              <w:top w:val="nil"/>
              <w:left w:val="nil"/>
              <w:bottom w:val="single" w:sz="4" w:space="0" w:color="auto"/>
              <w:right w:val="single" w:sz="4" w:space="0" w:color="auto"/>
            </w:tcBorders>
            <w:noWrap/>
            <w:vAlign w:val="center"/>
            <w:hideMark/>
          </w:tcPr>
          <w:p w14:paraId="6C48AB7F" w14:textId="77777777" w:rsidR="00E814BD" w:rsidRPr="00951AB1" w:rsidRDefault="00E814BD" w:rsidP="000A5389">
            <w:pPr>
              <w:spacing w:line="240" w:lineRule="auto"/>
              <w:jc w:val="right"/>
              <w:rPr>
                <w:rFonts w:eastAsia="Times New Roman" w:cs="Times New Roman"/>
                <w:color w:val="000000"/>
                <w:sz w:val="18"/>
                <w:szCs w:val="18"/>
                <w:lang w:eastAsia="es-CO"/>
              </w:rPr>
            </w:pPr>
            <w:r w:rsidRPr="00951AB1">
              <w:rPr>
                <w:rFonts w:eastAsia="Times New Roman" w:cs="Times New Roman"/>
                <w:color w:val="000000"/>
                <w:sz w:val="18"/>
                <w:szCs w:val="18"/>
                <w:lang w:eastAsia="es-CO"/>
              </w:rPr>
              <w:t>35.668.933.062</w:t>
            </w:r>
          </w:p>
        </w:tc>
        <w:tc>
          <w:tcPr>
            <w:tcW w:w="757" w:type="pct"/>
            <w:tcBorders>
              <w:top w:val="nil"/>
              <w:left w:val="nil"/>
              <w:bottom w:val="single" w:sz="4" w:space="0" w:color="auto"/>
              <w:right w:val="single" w:sz="4" w:space="0" w:color="auto"/>
            </w:tcBorders>
            <w:noWrap/>
            <w:vAlign w:val="center"/>
            <w:hideMark/>
          </w:tcPr>
          <w:p w14:paraId="3AE8094B" w14:textId="77777777" w:rsidR="00E814BD" w:rsidRPr="00951AB1" w:rsidRDefault="00E814BD" w:rsidP="000A5389">
            <w:pPr>
              <w:spacing w:line="240" w:lineRule="auto"/>
              <w:jc w:val="right"/>
              <w:rPr>
                <w:rFonts w:eastAsia="Times New Roman" w:cs="Times New Roman"/>
                <w:color w:val="000000"/>
                <w:sz w:val="18"/>
                <w:szCs w:val="18"/>
                <w:lang w:eastAsia="es-CO"/>
              </w:rPr>
            </w:pPr>
            <w:r w:rsidRPr="00951AB1">
              <w:rPr>
                <w:rFonts w:eastAsia="Times New Roman" w:cs="Times New Roman"/>
                <w:color w:val="000000"/>
                <w:sz w:val="18"/>
                <w:szCs w:val="18"/>
                <w:lang w:eastAsia="es-CO"/>
              </w:rPr>
              <w:t>0</w:t>
            </w:r>
          </w:p>
        </w:tc>
        <w:tc>
          <w:tcPr>
            <w:tcW w:w="1723" w:type="pct"/>
            <w:tcBorders>
              <w:top w:val="nil"/>
              <w:left w:val="nil"/>
              <w:bottom w:val="single" w:sz="4" w:space="0" w:color="auto"/>
              <w:right w:val="single" w:sz="4" w:space="0" w:color="auto"/>
            </w:tcBorders>
            <w:vAlign w:val="center"/>
            <w:hideMark/>
          </w:tcPr>
          <w:p w14:paraId="72B95A49" w14:textId="31AEE927" w:rsidR="00E814BD" w:rsidRPr="00951AB1" w:rsidRDefault="00E814BD" w:rsidP="000A5389">
            <w:pPr>
              <w:spacing w:line="240" w:lineRule="auto"/>
              <w:rPr>
                <w:rFonts w:eastAsia="Times New Roman" w:cs="Times New Roman"/>
                <w:color w:val="000000"/>
                <w:sz w:val="18"/>
                <w:szCs w:val="18"/>
                <w:lang w:eastAsia="es-CO"/>
              </w:rPr>
            </w:pPr>
            <w:r w:rsidRPr="00951AB1">
              <w:rPr>
                <w:rFonts w:eastAsia="Times New Roman" w:cs="Times New Roman"/>
                <w:color w:val="000000"/>
                <w:sz w:val="18"/>
                <w:szCs w:val="18"/>
                <w:lang w:eastAsia="es-CO"/>
              </w:rPr>
              <w:t>Pasó a Provisión contable vigencia 2025</w:t>
            </w:r>
            <w:r w:rsidR="00981221" w:rsidRPr="00951AB1">
              <w:rPr>
                <w:rFonts w:eastAsia="Times New Roman" w:cs="Times New Roman"/>
                <w:color w:val="000000"/>
                <w:sz w:val="18"/>
                <w:szCs w:val="18"/>
                <w:lang w:eastAsia="es-CO"/>
              </w:rPr>
              <w:t xml:space="preserve"> </w:t>
            </w:r>
            <w:r w:rsidRPr="00951AB1">
              <w:rPr>
                <w:rFonts w:eastAsia="Times New Roman" w:cs="Times New Roman"/>
                <w:color w:val="000000"/>
                <w:sz w:val="18"/>
                <w:szCs w:val="18"/>
                <w:lang w:eastAsia="es-CO"/>
              </w:rPr>
              <w:t>No. 148966</w:t>
            </w:r>
          </w:p>
        </w:tc>
      </w:tr>
      <w:tr w:rsidR="00E814BD" w:rsidRPr="00951AB1" w14:paraId="12564D2B" w14:textId="77777777" w:rsidTr="00981221">
        <w:trPr>
          <w:trHeight w:val="435"/>
          <w:jc w:val="center"/>
        </w:trPr>
        <w:tc>
          <w:tcPr>
            <w:tcW w:w="585" w:type="pct"/>
            <w:tcBorders>
              <w:top w:val="nil"/>
              <w:left w:val="single" w:sz="4" w:space="0" w:color="000000"/>
              <w:bottom w:val="single" w:sz="4" w:space="0" w:color="000000"/>
              <w:right w:val="single" w:sz="4" w:space="0" w:color="000000"/>
            </w:tcBorders>
            <w:vAlign w:val="center"/>
            <w:hideMark/>
          </w:tcPr>
          <w:p w14:paraId="0E2A2AED" w14:textId="77777777" w:rsidR="00E814BD" w:rsidRPr="00951AB1" w:rsidRDefault="00E814BD" w:rsidP="000A5389">
            <w:pPr>
              <w:spacing w:line="240" w:lineRule="auto"/>
              <w:rPr>
                <w:rFonts w:eastAsia="Times New Roman" w:cs="Times New Roman"/>
                <w:color w:val="000000"/>
                <w:sz w:val="18"/>
                <w:szCs w:val="18"/>
                <w:lang w:eastAsia="es-CO"/>
              </w:rPr>
            </w:pPr>
            <w:r w:rsidRPr="00951AB1">
              <w:rPr>
                <w:rFonts w:eastAsia="Times New Roman" w:cs="Times New Roman"/>
                <w:color w:val="000000"/>
                <w:sz w:val="18"/>
                <w:szCs w:val="18"/>
                <w:lang w:eastAsia="es-CO"/>
              </w:rPr>
              <w:t>900164310</w:t>
            </w:r>
          </w:p>
        </w:tc>
        <w:tc>
          <w:tcPr>
            <w:tcW w:w="1125" w:type="pct"/>
            <w:tcBorders>
              <w:top w:val="nil"/>
              <w:left w:val="nil"/>
              <w:bottom w:val="single" w:sz="4" w:space="0" w:color="000000"/>
              <w:right w:val="single" w:sz="4" w:space="0" w:color="000000"/>
            </w:tcBorders>
            <w:vAlign w:val="center"/>
            <w:hideMark/>
          </w:tcPr>
          <w:p w14:paraId="02BD72E9" w14:textId="65C13D80" w:rsidR="00E814BD" w:rsidRPr="00951AB1" w:rsidRDefault="00981221" w:rsidP="000A5389">
            <w:pPr>
              <w:spacing w:line="240" w:lineRule="auto"/>
              <w:rPr>
                <w:rFonts w:eastAsia="Times New Roman" w:cs="Times New Roman"/>
                <w:color w:val="000000"/>
                <w:sz w:val="18"/>
                <w:szCs w:val="18"/>
                <w:lang w:eastAsia="es-CO"/>
              </w:rPr>
            </w:pPr>
            <w:r w:rsidRPr="00951AB1">
              <w:rPr>
                <w:rFonts w:eastAsia="Times New Roman" w:cs="Times New Roman"/>
                <w:color w:val="000000"/>
                <w:sz w:val="18"/>
                <w:szCs w:val="18"/>
                <w:lang w:eastAsia="es-CO"/>
              </w:rPr>
              <w:t>Concesionaria San Rafael S A</w:t>
            </w:r>
          </w:p>
        </w:tc>
        <w:tc>
          <w:tcPr>
            <w:tcW w:w="811" w:type="pct"/>
            <w:tcBorders>
              <w:top w:val="nil"/>
              <w:left w:val="nil"/>
              <w:bottom w:val="single" w:sz="4" w:space="0" w:color="auto"/>
              <w:right w:val="single" w:sz="4" w:space="0" w:color="auto"/>
            </w:tcBorders>
            <w:noWrap/>
            <w:vAlign w:val="center"/>
            <w:hideMark/>
          </w:tcPr>
          <w:p w14:paraId="38EDF996" w14:textId="77777777" w:rsidR="00E814BD" w:rsidRPr="00951AB1" w:rsidRDefault="00E814BD" w:rsidP="000A5389">
            <w:pPr>
              <w:spacing w:line="240" w:lineRule="auto"/>
              <w:jc w:val="right"/>
              <w:rPr>
                <w:rFonts w:eastAsia="Times New Roman" w:cs="Times New Roman"/>
                <w:color w:val="000000"/>
                <w:sz w:val="18"/>
                <w:szCs w:val="18"/>
                <w:lang w:eastAsia="es-CO"/>
              </w:rPr>
            </w:pPr>
            <w:r w:rsidRPr="00951AB1">
              <w:rPr>
                <w:rFonts w:eastAsia="Times New Roman" w:cs="Times New Roman"/>
                <w:color w:val="000000"/>
                <w:sz w:val="18"/>
                <w:szCs w:val="18"/>
                <w:lang w:eastAsia="es-CO"/>
              </w:rPr>
              <w:t>23.600.514.610</w:t>
            </w:r>
          </w:p>
        </w:tc>
        <w:tc>
          <w:tcPr>
            <w:tcW w:w="757" w:type="pct"/>
            <w:tcBorders>
              <w:top w:val="nil"/>
              <w:left w:val="nil"/>
              <w:bottom w:val="single" w:sz="4" w:space="0" w:color="auto"/>
              <w:right w:val="single" w:sz="4" w:space="0" w:color="auto"/>
            </w:tcBorders>
            <w:noWrap/>
            <w:vAlign w:val="center"/>
            <w:hideMark/>
          </w:tcPr>
          <w:p w14:paraId="1C8CB807" w14:textId="77777777" w:rsidR="00E814BD" w:rsidRPr="00951AB1" w:rsidRDefault="00E814BD" w:rsidP="000A5389">
            <w:pPr>
              <w:spacing w:line="240" w:lineRule="auto"/>
              <w:jc w:val="right"/>
              <w:rPr>
                <w:rFonts w:eastAsia="Times New Roman" w:cs="Times New Roman"/>
                <w:color w:val="000000"/>
                <w:sz w:val="18"/>
                <w:szCs w:val="18"/>
                <w:lang w:eastAsia="es-CO"/>
              </w:rPr>
            </w:pPr>
            <w:r w:rsidRPr="00951AB1">
              <w:rPr>
                <w:rFonts w:eastAsia="Times New Roman" w:cs="Times New Roman"/>
                <w:color w:val="000000"/>
                <w:sz w:val="18"/>
                <w:szCs w:val="18"/>
                <w:lang w:eastAsia="es-CO"/>
              </w:rPr>
              <w:t>23.245.150.264</w:t>
            </w:r>
          </w:p>
        </w:tc>
        <w:tc>
          <w:tcPr>
            <w:tcW w:w="1723" w:type="pct"/>
            <w:tcBorders>
              <w:top w:val="nil"/>
              <w:left w:val="nil"/>
              <w:bottom w:val="single" w:sz="4" w:space="0" w:color="auto"/>
              <w:right w:val="single" w:sz="4" w:space="0" w:color="auto"/>
            </w:tcBorders>
            <w:vAlign w:val="center"/>
            <w:hideMark/>
          </w:tcPr>
          <w:p w14:paraId="5D7CA86D" w14:textId="322ABE93" w:rsidR="00E814BD" w:rsidRPr="00951AB1" w:rsidRDefault="00E814BD" w:rsidP="000A5389">
            <w:pPr>
              <w:spacing w:line="240" w:lineRule="auto"/>
              <w:rPr>
                <w:rFonts w:eastAsia="Times New Roman" w:cs="Times New Roman"/>
                <w:color w:val="000000"/>
                <w:sz w:val="18"/>
                <w:szCs w:val="18"/>
                <w:lang w:eastAsia="es-CO"/>
              </w:rPr>
            </w:pPr>
            <w:r w:rsidRPr="00951AB1">
              <w:rPr>
                <w:rFonts w:eastAsia="Times New Roman" w:cs="Times New Roman"/>
                <w:color w:val="000000"/>
                <w:sz w:val="18"/>
                <w:szCs w:val="18"/>
                <w:lang w:eastAsia="es-CO"/>
              </w:rPr>
              <w:t>Activo vigencia 2025</w:t>
            </w:r>
            <w:r w:rsidR="00981221" w:rsidRPr="00951AB1">
              <w:rPr>
                <w:rFonts w:eastAsia="Times New Roman" w:cs="Times New Roman"/>
                <w:color w:val="000000"/>
                <w:sz w:val="18"/>
                <w:szCs w:val="18"/>
                <w:lang w:eastAsia="es-CO"/>
              </w:rPr>
              <w:t xml:space="preserve"> </w:t>
            </w:r>
            <w:r w:rsidRPr="00951AB1">
              <w:rPr>
                <w:rFonts w:eastAsia="Times New Roman" w:cs="Times New Roman"/>
                <w:color w:val="000000"/>
                <w:sz w:val="18"/>
                <w:szCs w:val="18"/>
                <w:lang w:eastAsia="es-CO"/>
              </w:rPr>
              <w:t>No. 149184</w:t>
            </w:r>
          </w:p>
        </w:tc>
      </w:tr>
      <w:tr w:rsidR="00E814BD" w:rsidRPr="00951AB1" w14:paraId="7DFB1EF9" w14:textId="77777777" w:rsidTr="00981221">
        <w:trPr>
          <w:trHeight w:val="264"/>
          <w:jc w:val="center"/>
        </w:trPr>
        <w:tc>
          <w:tcPr>
            <w:tcW w:w="585" w:type="pct"/>
            <w:tcBorders>
              <w:top w:val="nil"/>
              <w:left w:val="single" w:sz="4" w:space="0" w:color="000000"/>
              <w:bottom w:val="single" w:sz="4" w:space="0" w:color="000000"/>
              <w:right w:val="single" w:sz="4" w:space="0" w:color="000000"/>
            </w:tcBorders>
            <w:vAlign w:val="center"/>
            <w:hideMark/>
          </w:tcPr>
          <w:p w14:paraId="13DB2FDC" w14:textId="77777777" w:rsidR="00E814BD" w:rsidRPr="00951AB1" w:rsidRDefault="00E814BD" w:rsidP="000A5389">
            <w:pPr>
              <w:spacing w:line="240" w:lineRule="auto"/>
              <w:rPr>
                <w:rFonts w:eastAsia="Times New Roman" w:cs="Times New Roman"/>
                <w:color w:val="000000"/>
                <w:sz w:val="18"/>
                <w:szCs w:val="18"/>
                <w:lang w:eastAsia="es-CO"/>
              </w:rPr>
            </w:pPr>
            <w:r w:rsidRPr="00951AB1">
              <w:rPr>
                <w:rFonts w:eastAsia="Times New Roman" w:cs="Times New Roman"/>
                <w:color w:val="000000"/>
                <w:sz w:val="18"/>
                <w:szCs w:val="18"/>
                <w:lang w:eastAsia="es-CO"/>
              </w:rPr>
              <w:t>900869678</w:t>
            </w:r>
          </w:p>
        </w:tc>
        <w:tc>
          <w:tcPr>
            <w:tcW w:w="1125" w:type="pct"/>
            <w:tcBorders>
              <w:top w:val="nil"/>
              <w:left w:val="nil"/>
              <w:bottom w:val="single" w:sz="4" w:space="0" w:color="000000"/>
              <w:right w:val="single" w:sz="4" w:space="0" w:color="000000"/>
            </w:tcBorders>
            <w:vAlign w:val="center"/>
            <w:hideMark/>
          </w:tcPr>
          <w:p w14:paraId="5AC7B81A" w14:textId="122FF7B4" w:rsidR="00E814BD" w:rsidRPr="00951AB1" w:rsidRDefault="00981221" w:rsidP="000A5389">
            <w:pPr>
              <w:spacing w:line="240" w:lineRule="auto"/>
              <w:rPr>
                <w:rFonts w:eastAsia="Times New Roman" w:cs="Times New Roman"/>
                <w:color w:val="000000"/>
                <w:sz w:val="18"/>
                <w:szCs w:val="18"/>
                <w:lang w:eastAsia="es-CO"/>
              </w:rPr>
            </w:pPr>
            <w:r w:rsidRPr="00951AB1">
              <w:rPr>
                <w:rFonts w:eastAsia="Times New Roman" w:cs="Times New Roman"/>
                <w:color w:val="000000"/>
                <w:sz w:val="18"/>
                <w:szCs w:val="18"/>
                <w:lang w:eastAsia="es-CO"/>
              </w:rPr>
              <w:t xml:space="preserve">Desarrollo Vial </w:t>
            </w:r>
            <w:r w:rsidR="00684C05" w:rsidRPr="00951AB1">
              <w:rPr>
                <w:rFonts w:eastAsia="Times New Roman" w:cs="Times New Roman"/>
                <w:color w:val="000000"/>
                <w:sz w:val="18"/>
                <w:szCs w:val="18"/>
                <w:lang w:eastAsia="es-CO"/>
              </w:rPr>
              <w:t>al Mar</w:t>
            </w:r>
            <w:r w:rsidRPr="00951AB1">
              <w:rPr>
                <w:rFonts w:eastAsia="Times New Roman" w:cs="Times New Roman"/>
                <w:color w:val="000000"/>
                <w:sz w:val="18"/>
                <w:szCs w:val="18"/>
                <w:lang w:eastAsia="es-CO"/>
              </w:rPr>
              <w:t xml:space="preserve">   S.A.S</w:t>
            </w:r>
          </w:p>
        </w:tc>
        <w:tc>
          <w:tcPr>
            <w:tcW w:w="811" w:type="pct"/>
            <w:tcBorders>
              <w:top w:val="nil"/>
              <w:left w:val="nil"/>
              <w:bottom w:val="single" w:sz="4" w:space="0" w:color="auto"/>
              <w:right w:val="single" w:sz="4" w:space="0" w:color="auto"/>
            </w:tcBorders>
            <w:noWrap/>
            <w:vAlign w:val="center"/>
            <w:hideMark/>
          </w:tcPr>
          <w:p w14:paraId="3AEEAB97" w14:textId="77777777" w:rsidR="00E814BD" w:rsidRPr="00951AB1" w:rsidRDefault="00E814BD" w:rsidP="000A5389">
            <w:pPr>
              <w:spacing w:line="240" w:lineRule="auto"/>
              <w:jc w:val="right"/>
              <w:rPr>
                <w:rFonts w:eastAsia="Times New Roman" w:cs="Times New Roman"/>
                <w:color w:val="000000"/>
                <w:sz w:val="18"/>
                <w:szCs w:val="18"/>
                <w:lang w:eastAsia="es-CO"/>
              </w:rPr>
            </w:pPr>
            <w:r w:rsidRPr="00951AB1">
              <w:rPr>
                <w:rFonts w:eastAsia="Times New Roman" w:cs="Times New Roman"/>
                <w:color w:val="000000"/>
                <w:sz w:val="18"/>
                <w:szCs w:val="18"/>
                <w:lang w:eastAsia="es-CO"/>
              </w:rPr>
              <w:t>10.548.343.809</w:t>
            </w:r>
          </w:p>
        </w:tc>
        <w:tc>
          <w:tcPr>
            <w:tcW w:w="757" w:type="pct"/>
            <w:tcBorders>
              <w:top w:val="nil"/>
              <w:left w:val="nil"/>
              <w:bottom w:val="single" w:sz="4" w:space="0" w:color="auto"/>
              <w:right w:val="single" w:sz="4" w:space="0" w:color="auto"/>
            </w:tcBorders>
            <w:noWrap/>
            <w:vAlign w:val="center"/>
            <w:hideMark/>
          </w:tcPr>
          <w:p w14:paraId="71399A24" w14:textId="77777777" w:rsidR="00E814BD" w:rsidRPr="00951AB1" w:rsidRDefault="00E814BD" w:rsidP="000A5389">
            <w:pPr>
              <w:spacing w:line="240" w:lineRule="auto"/>
              <w:jc w:val="right"/>
              <w:rPr>
                <w:rFonts w:eastAsia="Times New Roman" w:cs="Times New Roman"/>
                <w:color w:val="000000"/>
                <w:sz w:val="18"/>
                <w:szCs w:val="18"/>
                <w:lang w:eastAsia="es-CO"/>
              </w:rPr>
            </w:pPr>
            <w:r w:rsidRPr="00951AB1">
              <w:rPr>
                <w:rFonts w:eastAsia="Times New Roman" w:cs="Times New Roman"/>
                <w:color w:val="000000"/>
                <w:sz w:val="18"/>
                <w:szCs w:val="18"/>
                <w:lang w:eastAsia="es-CO"/>
              </w:rPr>
              <w:t>10.563.328.895</w:t>
            </w:r>
          </w:p>
        </w:tc>
        <w:tc>
          <w:tcPr>
            <w:tcW w:w="1723" w:type="pct"/>
            <w:tcBorders>
              <w:top w:val="nil"/>
              <w:left w:val="nil"/>
              <w:bottom w:val="single" w:sz="4" w:space="0" w:color="auto"/>
              <w:right w:val="single" w:sz="4" w:space="0" w:color="auto"/>
            </w:tcBorders>
            <w:vAlign w:val="center"/>
            <w:hideMark/>
          </w:tcPr>
          <w:p w14:paraId="49DB528F" w14:textId="36558708" w:rsidR="00E814BD" w:rsidRPr="00951AB1" w:rsidRDefault="00E814BD" w:rsidP="000A5389">
            <w:pPr>
              <w:spacing w:line="240" w:lineRule="auto"/>
              <w:rPr>
                <w:rFonts w:eastAsia="Times New Roman" w:cs="Times New Roman"/>
                <w:color w:val="000000"/>
                <w:sz w:val="18"/>
                <w:szCs w:val="18"/>
                <w:lang w:eastAsia="es-CO"/>
              </w:rPr>
            </w:pPr>
            <w:r w:rsidRPr="00951AB1">
              <w:rPr>
                <w:rFonts w:eastAsia="Times New Roman" w:cs="Times New Roman"/>
                <w:color w:val="000000"/>
                <w:sz w:val="18"/>
                <w:szCs w:val="18"/>
                <w:lang w:eastAsia="es-CO"/>
              </w:rPr>
              <w:t>Activo vigencia 2025 No. CIRD 01-23-0005-0271</w:t>
            </w:r>
          </w:p>
        </w:tc>
      </w:tr>
      <w:tr w:rsidR="00E814BD" w:rsidRPr="00951AB1" w14:paraId="5943AEE5" w14:textId="77777777" w:rsidTr="00981221">
        <w:trPr>
          <w:trHeight w:val="435"/>
          <w:jc w:val="center"/>
        </w:trPr>
        <w:tc>
          <w:tcPr>
            <w:tcW w:w="585" w:type="pct"/>
            <w:tcBorders>
              <w:top w:val="nil"/>
              <w:left w:val="single" w:sz="4" w:space="0" w:color="000000"/>
              <w:bottom w:val="single" w:sz="4" w:space="0" w:color="000000"/>
              <w:right w:val="single" w:sz="4" w:space="0" w:color="000000"/>
            </w:tcBorders>
            <w:vAlign w:val="center"/>
            <w:hideMark/>
          </w:tcPr>
          <w:p w14:paraId="25E02D4C" w14:textId="77777777" w:rsidR="00E814BD" w:rsidRPr="00951AB1" w:rsidRDefault="00E814BD" w:rsidP="000A5389">
            <w:pPr>
              <w:spacing w:line="240" w:lineRule="auto"/>
              <w:rPr>
                <w:rFonts w:eastAsia="Times New Roman" w:cs="Times New Roman"/>
                <w:color w:val="000000"/>
                <w:sz w:val="18"/>
                <w:szCs w:val="18"/>
                <w:lang w:eastAsia="es-CO"/>
              </w:rPr>
            </w:pPr>
            <w:r w:rsidRPr="00951AB1">
              <w:rPr>
                <w:rFonts w:eastAsia="Times New Roman" w:cs="Times New Roman"/>
                <w:color w:val="000000"/>
                <w:sz w:val="18"/>
                <w:szCs w:val="18"/>
                <w:lang w:eastAsia="es-CO"/>
              </w:rPr>
              <w:t>800235278</w:t>
            </w:r>
          </w:p>
        </w:tc>
        <w:tc>
          <w:tcPr>
            <w:tcW w:w="1125" w:type="pct"/>
            <w:tcBorders>
              <w:top w:val="nil"/>
              <w:left w:val="nil"/>
              <w:bottom w:val="single" w:sz="4" w:space="0" w:color="000000"/>
              <w:right w:val="single" w:sz="4" w:space="0" w:color="000000"/>
            </w:tcBorders>
            <w:vAlign w:val="center"/>
            <w:hideMark/>
          </w:tcPr>
          <w:p w14:paraId="24367362" w14:textId="68F6AF8E" w:rsidR="00E814BD" w:rsidRPr="00951AB1" w:rsidRDefault="00981221" w:rsidP="000A5389">
            <w:pPr>
              <w:spacing w:line="240" w:lineRule="auto"/>
              <w:rPr>
                <w:rFonts w:eastAsia="Times New Roman" w:cs="Times New Roman"/>
                <w:color w:val="000000"/>
                <w:sz w:val="18"/>
                <w:szCs w:val="18"/>
                <w:lang w:eastAsia="es-CO"/>
              </w:rPr>
            </w:pPr>
            <w:r w:rsidRPr="00951AB1">
              <w:rPr>
                <w:rFonts w:eastAsia="Times New Roman" w:cs="Times New Roman"/>
                <w:color w:val="000000"/>
                <w:sz w:val="18"/>
                <w:szCs w:val="18"/>
                <w:lang w:eastAsia="es-CO"/>
              </w:rPr>
              <w:t>Concesión Santa Marta Paraguachon S.A.</w:t>
            </w:r>
          </w:p>
        </w:tc>
        <w:tc>
          <w:tcPr>
            <w:tcW w:w="811" w:type="pct"/>
            <w:tcBorders>
              <w:top w:val="nil"/>
              <w:left w:val="nil"/>
              <w:bottom w:val="single" w:sz="4" w:space="0" w:color="auto"/>
              <w:right w:val="single" w:sz="4" w:space="0" w:color="auto"/>
            </w:tcBorders>
            <w:noWrap/>
            <w:vAlign w:val="center"/>
            <w:hideMark/>
          </w:tcPr>
          <w:p w14:paraId="57F547F9" w14:textId="77777777" w:rsidR="00E814BD" w:rsidRPr="00951AB1" w:rsidRDefault="00E814BD" w:rsidP="000A5389">
            <w:pPr>
              <w:spacing w:line="240" w:lineRule="auto"/>
              <w:jc w:val="right"/>
              <w:rPr>
                <w:rFonts w:eastAsia="Times New Roman" w:cs="Times New Roman"/>
                <w:color w:val="000000"/>
                <w:sz w:val="18"/>
                <w:szCs w:val="18"/>
                <w:lang w:eastAsia="es-CO"/>
              </w:rPr>
            </w:pPr>
            <w:r w:rsidRPr="00951AB1">
              <w:rPr>
                <w:rFonts w:eastAsia="Times New Roman" w:cs="Times New Roman"/>
                <w:color w:val="000000"/>
                <w:sz w:val="18"/>
                <w:szCs w:val="18"/>
                <w:lang w:eastAsia="es-CO"/>
              </w:rPr>
              <w:t>0</w:t>
            </w:r>
          </w:p>
        </w:tc>
        <w:tc>
          <w:tcPr>
            <w:tcW w:w="757" w:type="pct"/>
            <w:tcBorders>
              <w:top w:val="nil"/>
              <w:left w:val="nil"/>
              <w:bottom w:val="single" w:sz="4" w:space="0" w:color="auto"/>
              <w:right w:val="single" w:sz="4" w:space="0" w:color="auto"/>
            </w:tcBorders>
            <w:noWrap/>
            <w:vAlign w:val="center"/>
            <w:hideMark/>
          </w:tcPr>
          <w:p w14:paraId="77D6FF55" w14:textId="77777777" w:rsidR="00E814BD" w:rsidRPr="00951AB1" w:rsidRDefault="00E814BD" w:rsidP="000A5389">
            <w:pPr>
              <w:spacing w:line="240" w:lineRule="auto"/>
              <w:jc w:val="right"/>
              <w:rPr>
                <w:rFonts w:eastAsia="Times New Roman" w:cs="Times New Roman"/>
                <w:color w:val="000000"/>
                <w:sz w:val="18"/>
                <w:szCs w:val="18"/>
                <w:lang w:eastAsia="es-CO"/>
              </w:rPr>
            </w:pPr>
            <w:r w:rsidRPr="00951AB1">
              <w:rPr>
                <w:rFonts w:eastAsia="Times New Roman" w:cs="Times New Roman"/>
                <w:color w:val="000000"/>
                <w:sz w:val="18"/>
                <w:szCs w:val="18"/>
                <w:lang w:eastAsia="es-CO"/>
              </w:rPr>
              <w:t>195.177.196.387</w:t>
            </w:r>
          </w:p>
        </w:tc>
        <w:tc>
          <w:tcPr>
            <w:tcW w:w="1723" w:type="pct"/>
            <w:tcBorders>
              <w:top w:val="nil"/>
              <w:left w:val="nil"/>
              <w:bottom w:val="single" w:sz="4" w:space="0" w:color="auto"/>
              <w:right w:val="single" w:sz="4" w:space="0" w:color="auto"/>
            </w:tcBorders>
            <w:vAlign w:val="center"/>
            <w:hideMark/>
          </w:tcPr>
          <w:p w14:paraId="0E0E64F4" w14:textId="77777777" w:rsidR="00E814BD" w:rsidRPr="00951AB1" w:rsidRDefault="00E814BD" w:rsidP="000A5389">
            <w:pPr>
              <w:spacing w:line="240" w:lineRule="auto"/>
              <w:rPr>
                <w:rFonts w:eastAsia="Times New Roman" w:cs="Times New Roman"/>
                <w:color w:val="000000"/>
                <w:sz w:val="18"/>
                <w:szCs w:val="18"/>
                <w:lang w:eastAsia="es-CO"/>
              </w:rPr>
            </w:pPr>
            <w:r w:rsidRPr="00951AB1">
              <w:rPr>
                <w:rFonts w:eastAsia="Times New Roman" w:cs="Times New Roman"/>
                <w:color w:val="000000"/>
                <w:sz w:val="18"/>
                <w:szCs w:val="18"/>
                <w:lang w:eastAsia="es-CO"/>
              </w:rPr>
              <w:t>Terminado desfavorable vigencia 2025</w:t>
            </w:r>
            <w:r w:rsidRPr="00951AB1">
              <w:rPr>
                <w:rFonts w:eastAsia="Times New Roman" w:cs="Times New Roman"/>
                <w:color w:val="000000"/>
                <w:sz w:val="18"/>
                <w:szCs w:val="18"/>
                <w:lang w:eastAsia="es-CO"/>
              </w:rPr>
              <w:br/>
              <w:t>No. 141971</w:t>
            </w:r>
          </w:p>
        </w:tc>
      </w:tr>
      <w:tr w:rsidR="00E814BD" w:rsidRPr="00951AB1" w14:paraId="673F7247" w14:textId="77777777" w:rsidTr="00981221">
        <w:trPr>
          <w:trHeight w:val="289"/>
          <w:jc w:val="center"/>
        </w:trPr>
        <w:tc>
          <w:tcPr>
            <w:tcW w:w="585" w:type="pct"/>
            <w:tcBorders>
              <w:top w:val="nil"/>
              <w:left w:val="single" w:sz="4" w:space="0" w:color="000000"/>
              <w:bottom w:val="single" w:sz="4" w:space="0" w:color="000000"/>
              <w:right w:val="single" w:sz="4" w:space="0" w:color="000000"/>
            </w:tcBorders>
            <w:vAlign w:val="center"/>
            <w:hideMark/>
          </w:tcPr>
          <w:p w14:paraId="14996142" w14:textId="77777777" w:rsidR="00E814BD" w:rsidRPr="00951AB1" w:rsidRDefault="00E814BD" w:rsidP="000A5389">
            <w:pPr>
              <w:spacing w:line="240" w:lineRule="auto"/>
              <w:rPr>
                <w:rFonts w:eastAsia="Times New Roman" w:cs="Times New Roman"/>
                <w:color w:val="000000"/>
                <w:sz w:val="18"/>
                <w:szCs w:val="18"/>
                <w:lang w:eastAsia="es-CO"/>
              </w:rPr>
            </w:pPr>
            <w:r w:rsidRPr="00951AB1">
              <w:rPr>
                <w:rFonts w:eastAsia="Times New Roman" w:cs="Times New Roman"/>
                <w:color w:val="000000"/>
                <w:sz w:val="18"/>
                <w:szCs w:val="18"/>
                <w:lang w:eastAsia="es-CO"/>
              </w:rPr>
              <w:t>900871368</w:t>
            </w:r>
          </w:p>
        </w:tc>
        <w:tc>
          <w:tcPr>
            <w:tcW w:w="1125" w:type="pct"/>
            <w:tcBorders>
              <w:top w:val="nil"/>
              <w:left w:val="nil"/>
              <w:bottom w:val="single" w:sz="4" w:space="0" w:color="000000"/>
              <w:right w:val="single" w:sz="4" w:space="0" w:color="000000"/>
            </w:tcBorders>
            <w:vAlign w:val="center"/>
            <w:hideMark/>
          </w:tcPr>
          <w:p w14:paraId="5B34E130" w14:textId="58B003F6" w:rsidR="00E814BD" w:rsidRPr="00951AB1" w:rsidRDefault="00684C05" w:rsidP="000A5389">
            <w:pPr>
              <w:spacing w:line="240" w:lineRule="auto"/>
              <w:rPr>
                <w:rFonts w:eastAsia="Times New Roman" w:cs="Times New Roman"/>
                <w:color w:val="000000"/>
                <w:sz w:val="18"/>
                <w:szCs w:val="18"/>
                <w:lang w:eastAsia="es-CO"/>
              </w:rPr>
            </w:pPr>
            <w:r w:rsidRPr="00951AB1">
              <w:rPr>
                <w:rFonts w:eastAsia="Times New Roman" w:cs="Times New Roman"/>
                <w:color w:val="000000"/>
                <w:sz w:val="18"/>
                <w:szCs w:val="18"/>
                <w:lang w:eastAsia="es-CO"/>
              </w:rPr>
              <w:t>Concesionaria Ruta Del Cacao S.A.S.</w:t>
            </w:r>
          </w:p>
        </w:tc>
        <w:tc>
          <w:tcPr>
            <w:tcW w:w="811" w:type="pct"/>
            <w:tcBorders>
              <w:top w:val="nil"/>
              <w:left w:val="nil"/>
              <w:bottom w:val="single" w:sz="4" w:space="0" w:color="auto"/>
              <w:right w:val="single" w:sz="4" w:space="0" w:color="auto"/>
            </w:tcBorders>
            <w:noWrap/>
            <w:vAlign w:val="center"/>
            <w:hideMark/>
          </w:tcPr>
          <w:p w14:paraId="16AFE1D4" w14:textId="77777777" w:rsidR="00E814BD" w:rsidRPr="00951AB1" w:rsidRDefault="00E814BD" w:rsidP="000A5389">
            <w:pPr>
              <w:spacing w:line="240" w:lineRule="auto"/>
              <w:jc w:val="right"/>
              <w:rPr>
                <w:rFonts w:eastAsia="Times New Roman" w:cs="Times New Roman"/>
                <w:color w:val="000000"/>
                <w:sz w:val="18"/>
                <w:szCs w:val="18"/>
                <w:lang w:eastAsia="es-CO"/>
              </w:rPr>
            </w:pPr>
            <w:r w:rsidRPr="00951AB1">
              <w:rPr>
                <w:rFonts w:eastAsia="Times New Roman" w:cs="Times New Roman"/>
                <w:color w:val="000000"/>
                <w:sz w:val="18"/>
                <w:szCs w:val="18"/>
                <w:lang w:eastAsia="es-CO"/>
              </w:rPr>
              <w:t>0</w:t>
            </w:r>
          </w:p>
        </w:tc>
        <w:tc>
          <w:tcPr>
            <w:tcW w:w="757" w:type="pct"/>
            <w:tcBorders>
              <w:top w:val="nil"/>
              <w:left w:val="nil"/>
              <w:bottom w:val="single" w:sz="4" w:space="0" w:color="auto"/>
              <w:right w:val="single" w:sz="4" w:space="0" w:color="auto"/>
            </w:tcBorders>
            <w:noWrap/>
            <w:vAlign w:val="center"/>
            <w:hideMark/>
          </w:tcPr>
          <w:p w14:paraId="7477515D" w14:textId="77777777" w:rsidR="00E814BD" w:rsidRPr="00951AB1" w:rsidRDefault="00E814BD" w:rsidP="000A5389">
            <w:pPr>
              <w:spacing w:line="240" w:lineRule="auto"/>
              <w:jc w:val="right"/>
              <w:rPr>
                <w:rFonts w:eastAsia="Times New Roman" w:cs="Times New Roman"/>
                <w:color w:val="000000"/>
                <w:sz w:val="18"/>
                <w:szCs w:val="18"/>
                <w:lang w:eastAsia="es-CO"/>
              </w:rPr>
            </w:pPr>
            <w:r w:rsidRPr="00951AB1">
              <w:rPr>
                <w:rFonts w:eastAsia="Times New Roman" w:cs="Times New Roman"/>
                <w:color w:val="000000"/>
                <w:sz w:val="18"/>
                <w:szCs w:val="18"/>
                <w:lang w:eastAsia="es-CO"/>
              </w:rPr>
              <w:t>77.822.004.869</w:t>
            </w:r>
          </w:p>
        </w:tc>
        <w:tc>
          <w:tcPr>
            <w:tcW w:w="1723" w:type="pct"/>
            <w:tcBorders>
              <w:top w:val="nil"/>
              <w:left w:val="nil"/>
              <w:bottom w:val="single" w:sz="4" w:space="0" w:color="auto"/>
              <w:right w:val="single" w:sz="4" w:space="0" w:color="auto"/>
            </w:tcBorders>
            <w:vAlign w:val="center"/>
            <w:hideMark/>
          </w:tcPr>
          <w:p w14:paraId="20794457" w14:textId="77777777" w:rsidR="00E814BD" w:rsidRPr="00951AB1" w:rsidRDefault="00E814BD" w:rsidP="000A5389">
            <w:pPr>
              <w:spacing w:line="240" w:lineRule="auto"/>
              <w:rPr>
                <w:rFonts w:eastAsia="Times New Roman" w:cs="Times New Roman"/>
                <w:color w:val="000000"/>
                <w:sz w:val="18"/>
                <w:szCs w:val="18"/>
                <w:lang w:eastAsia="es-CO"/>
              </w:rPr>
            </w:pPr>
            <w:r w:rsidRPr="00951AB1">
              <w:rPr>
                <w:rFonts w:eastAsia="Times New Roman" w:cs="Times New Roman"/>
                <w:color w:val="000000"/>
                <w:sz w:val="18"/>
                <w:szCs w:val="18"/>
                <w:lang w:eastAsia="es-CO"/>
              </w:rPr>
              <w:t>Terminado desfavorable vigencia 2025</w:t>
            </w:r>
            <w:r w:rsidRPr="00951AB1">
              <w:rPr>
                <w:rFonts w:eastAsia="Times New Roman" w:cs="Times New Roman"/>
                <w:color w:val="000000"/>
                <w:sz w:val="18"/>
                <w:szCs w:val="18"/>
                <w:lang w:eastAsia="es-CO"/>
              </w:rPr>
              <w:br/>
              <w:t>No. 141913</w:t>
            </w:r>
          </w:p>
        </w:tc>
      </w:tr>
      <w:tr w:rsidR="00E814BD" w:rsidRPr="00951AB1" w14:paraId="7A1B25C4" w14:textId="77777777" w:rsidTr="00981221">
        <w:trPr>
          <w:trHeight w:val="366"/>
          <w:jc w:val="center"/>
        </w:trPr>
        <w:tc>
          <w:tcPr>
            <w:tcW w:w="585" w:type="pct"/>
            <w:tcBorders>
              <w:top w:val="nil"/>
              <w:left w:val="single" w:sz="4" w:space="0" w:color="000000"/>
              <w:bottom w:val="single" w:sz="4" w:space="0" w:color="000000"/>
              <w:right w:val="single" w:sz="4" w:space="0" w:color="000000"/>
            </w:tcBorders>
            <w:vAlign w:val="center"/>
            <w:hideMark/>
          </w:tcPr>
          <w:p w14:paraId="0810023C" w14:textId="77777777" w:rsidR="00E814BD" w:rsidRPr="00951AB1" w:rsidRDefault="00E814BD" w:rsidP="000A5389">
            <w:pPr>
              <w:spacing w:line="240" w:lineRule="auto"/>
              <w:rPr>
                <w:rFonts w:eastAsia="Times New Roman" w:cs="Times New Roman"/>
                <w:color w:val="000000"/>
                <w:sz w:val="18"/>
                <w:szCs w:val="18"/>
                <w:lang w:eastAsia="es-CO"/>
              </w:rPr>
            </w:pPr>
            <w:r w:rsidRPr="00951AB1">
              <w:rPr>
                <w:rFonts w:eastAsia="Times New Roman" w:cs="Times New Roman"/>
                <w:color w:val="000000"/>
                <w:sz w:val="18"/>
                <w:szCs w:val="18"/>
                <w:lang w:eastAsia="es-CO"/>
              </w:rPr>
              <w:t>900920562</w:t>
            </w:r>
          </w:p>
        </w:tc>
        <w:tc>
          <w:tcPr>
            <w:tcW w:w="1125" w:type="pct"/>
            <w:tcBorders>
              <w:top w:val="nil"/>
              <w:left w:val="nil"/>
              <w:bottom w:val="single" w:sz="4" w:space="0" w:color="000000"/>
              <w:right w:val="single" w:sz="4" w:space="0" w:color="000000"/>
            </w:tcBorders>
            <w:vAlign w:val="center"/>
            <w:hideMark/>
          </w:tcPr>
          <w:p w14:paraId="6932759C" w14:textId="41320F4E" w:rsidR="00E814BD" w:rsidRPr="00951AB1" w:rsidRDefault="00684C05" w:rsidP="000A5389">
            <w:pPr>
              <w:spacing w:line="240" w:lineRule="auto"/>
              <w:rPr>
                <w:rFonts w:eastAsia="Times New Roman" w:cs="Times New Roman"/>
                <w:color w:val="000000"/>
                <w:sz w:val="18"/>
                <w:szCs w:val="18"/>
                <w:lang w:eastAsia="es-CO"/>
              </w:rPr>
            </w:pPr>
            <w:r w:rsidRPr="00951AB1">
              <w:rPr>
                <w:rFonts w:eastAsia="Times New Roman" w:cs="Times New Roman"/>
                <w:color w:val="000000"/>
                <w:sz w:val="18"/>
                <w:szCs w:val="18"/>
                <w:lang w:eastAsia="es-CO"/>
              </w:rPr>
              <w:t>Concesión vías del Nus S.A.S</w:t>
            </w:r>
          </w:p>
        </w:tc>
        <w:tc>
          <w:tcPr>
            <w:tcW w:w="811" w:type="pct"/>
            <w:tcBorders>
              <w:top w:val="nil"/>
              <w:left w:val="nil"/>
              <w:bottom w:val="single" w:sz="4" w:space="0" w:color="auto"/>
              <w:right w:val="single" w:sz="4" w:space="0" w:color="auto"/>
            </w:tcBorders>
            <w:noWrap/>
            <w:vAlign w:val="center"/>
            <w:hideMark/>
          </w:tcPr>
          <w:p w14:paraId="4FD6DC41" w14:textId="77777777" w:rsidR="00E814BD" w:rsidRPr="00951AB1" w:rsidRDefault="00E814BD" w:rsidP="000A5389">
            <w:pPr>
              <w:spacing w:line="240" w:lineRule="auto"/>
              <w:jc w:val="right"/>
              <w:rPr>
                <w:rFonts w:eastAsia="Times New Roman" w:cs="Times New Roman"/>
                <w:color w:val="000000"/>
                <w:sz w:val="18"/>
                <w:szCs w:val="18"/>
                <w:lang w:eastAsia="es-CO"/>
              </w:rPr>
            </w:pPr>
            <w:r w:rsidRPr="00951AB1">
              <w:rPr>
                <w:rFonts w:eastAsia="Times New Roman" w:cs="Times New Roman"/>
                <w:color w:val="000000"/>
                <w:sz w:val="18"/>
                <w:szCs w:val="18"/>
                <w:lang w:eastAsia="es-CO"/>
              </w:rPr>
              <w:t>0</w:t>
            </w:r>
          </w:p>
        </w:tc>
        <w:tc>
          <w:tcPr>
            <w:tcW w:w="757" w:type="pct"/>
            <w:tcBorders>
              <w:top w:val="nil"/>
              <w:left w:val="nil"/>
              <w:bottom w:val="single" w:sz="4" w:space="0" w:color="auto"/>
              <w:right w:val="single" w:sz="4" w:space="0" w:color="auto"/>
            </w:tcBorders>
            <w:noWrap/>
            <w:vAlign w:val="center"/>
            <w:hideMark/>
          </w:tcPr>
          <w:p w14:paraId="00CC89C0" w14:textId="77777777" w:rsidR="00E814BD" w:rsidRPr="00951AB1" w:rsidRDefault="00E814BD" w:rsidP="000A5389">
            <w:pPr>
              <w:spacing w:line="240" w:lineRule="auto"/>
              <w:jc w:val="right"/>
              <w:rPr>
                <w:rFonts w:eastAsia="Times New Roman" w:cs="Times New Roman"/>
                <w:color w:val="000000"/>
                <w:sz w:val="18"/>
                <w:szCs w:val="18"/>
                <w:lang w:eastAsia="es-CO"/>
              </w:rPr>
            </w:pPr>
            <w:r w:rsidRPr="00951AB1">
              <w:rPr>
                <w:rFonts w:eastAsia="Times New Roman" w:cs="Times New Roman"/>
                <w:color w:val="000000"/>
                <w:sz w:val="18"/>
                <w:szCs w:val="18"/>
                <w:lang w:eastAsia="es-CO"/>
              </w:rPr>
              <w:t>66.917.067.618</w:t>
            </w:r>
          </w:p>
        </w:tc>
        <w:tc>
          <w:tcPr>
            <w:tcW w:w="1723" w:type="pct"/>
            <w:tcBorders>
              <w:top w:val="nil"/>
              <w:left w:val="nil"/>
              <w:bottom w:val="single" w:sz="4" w:space="0" w:color="auto"/>
              <w:right w:val="single" w:sz="4" w:space="0" w:color="auto"/>
            </w:tcBorders>
            <w:vAlign w:val="center"/>
            <w:hideMark/>
          </w:tcPr>
          <w:p w14:paraId="41CD3FF3" w14:textId="77777777" w:rsidR="00E814BD" w:rsidRPr="00951AB1" w:rsidRDefault="00E814BD" w:rsidP="000A5389">
            <w:pPr>
              <w:spacing w:line="240" w:lineRule="auto"/>
              <w:rPr>
                <w:rFonts w:eastAsia="Times New Roman" w:cs="Times New Roman"/>
                <w:color w:val="000000"/>
                <w:sz w:val="18"/>
                <w:szCs w:val="18"/>
                <w:lang w:eastAsia="es-CO"/>
              </w:rPr>
            </w:pPr>
            <w:r w:rsidRPr="00951AB1">
              <w:rPr>
                <w:rFonts w:eastAsia="Times New Roman" w:cs="Times New Roman"/>
                <w:color w:val="000000"/>
                <w:sz w:val="18"/>
                <w:szCs w:val="18"/>
                <w:lang w:eastAsia="es-CO"/>
              </w:rPr>
              <w:t>Terminado desfavorable vigencia 2025</w:t>
            </w:r>
            <w:r w:rsidRPr="00951AB1">
              <w:rPr>
                <w:rFonts w:eastAsia="Times New Roman" w:cs="Times New Roman"/>
                <w:color w:val="000000"/>
                <w:sz w:val="18"/>
                <w:szCs w:val="18"/>
                <w:lang w:eastAsia="es-CO"/>
              </w:rPr>
              <w:br/>
              <w:t>No. 142957</w:t>
            </w:r>
          </w:p>
        </w:tc>
      </w:tr>
      <w:tr w:rsidR="00E814BD" w:rsidRPr="00951AB1" w14:paraId="0A6DDBBB" w14:textId="77777777" w:rsidTr="00981221">
        <w:trPr>
          <w:trHeight w:val="286"/>
          <w:jc w:val="center"/>
        </w:trPr>
        <w:tc>
          <w:tcPr>
            <w:tcW w:w="585" w:type="pct"/>
            <w:tcBorders>
              <w:top w:val="nil"/>
              <w:left w:val="single" w:sz="4" w:space="0" w:color="000000"/>
              <w:bottom w:val="single" w:sz="4" w:space="0" w:color="000000"/>
              <w:right w:val="single" w:sz="4" w:space="0" w:color="000000"/>
            </w:tcBorders>
            <w:vAlign w:val="center"/>
            <w:hideMark/>
          </w:tcPr>
          <w:p w14:paraId="7E84C95C" w14:textId="77777777" w:rsidR="00E814BD" w:rsidRPr="00951AB1" w:rsidRDefault="00E814BD" w:rsidP="000A5389">
            <w:pPr>
              <w:spacing w:line="240" w:lineRule="auto"/>
              <w:rPr>
                <w:rFonts w:eastAsia="Times New Roman" w:cs="Times New Roman"/>
                <w:color w:val="000000"/>
                <w:sz w:val="18"/>
                <w:szCs w:val="18"/>
                <w:lang w:eastAsia="es-CO"/>
              </w:rPr>
            </w:pPr>
            <w:r w:rsidRPr="00951AB1">
              <w:rPr>
                <w:rFonts w:eastAsia="Times New Roman" w:cs="Times New Roman"/>
                <w:color w:val="000000"/>
                <w:sz w:val="18"/>
                <w:szCs w:val="18"/>
                <w:lang w:eastAsia="es-CO"/>
              </w:rPr>
              <w:t>900871368</w:t>
            </w:r>
          </w:p>
        </w:tc>
        <w:tc>
          <w:tcPr>
            <w:tcW w:w="1125" w:type="pct"/>
            <w:tcBorders>
              <w:top w:val="nil"/>
              <w:left w:val="nil"/>
              <w:bottom w:val="single" w:sz="4" w:space="0" w:color="000000"/>
              <w:right w:val="single" w:sz="4" w:space="0" w:color="000000"/>
            </w:tcBorders>
            <w:vAlign w:val="center"/>
            <w:hideMark/>
          </w:tcPr>
          <w:p w14:paraId="472DC3AF" w14:textId="6D677E31" w:rsidR="00E814BD" w:rsidRPr="00951AB1" w:rsidRDefault="00684C05" w:rsidP="000A5389">
            <w:pPr>
              <w:spacing w:line="240" w:lineRule="auto"/>
              <w:rPr>
                <w:rFonts w:eastAsia="Times New Roman" w:cs="Times New Roman"/>
                <w:color w:val="000000"/>
                <w:sz w:val="18"/>
                <w:szCs w:val="18"/>
                <w:lang w:eastAsia="es-CO"/>
              </w:rPr>
            </w:pPr>
            <w:r w:rsidRPr="00951AB1">
              <w:rPr>
                <w:rFonts w:eastAsia="Times New Roman" w:cs="Times New Roman"/>
                <w:color w:val="000000"/>
                <w:sz w:val="18"/>
                <w:szCs w:val="18"/>
                <w:lang w:eastAsia="es-CO"/>
              </w:rPr>
              <w:t>Concesionaria Ruta Del Cacao S.A.S.</w:t>
            </w:r>
          </w:p>
        </w:tc>
        <w:tc>
          <w:tcPr>
            <w:tcW w:w="811" w:type="pct"/>
            <w:tcBorders>
              <w:top w:val="nil"/>
              <w:left w:val="nil"/>
              <w:bottom w:val="single" w:sz="4" w:space="0" w:color="auto"/>
              <w:right w:val="single" w:sz="4" w:space="0" w:color="auto"/>
            </w:tcBorders>
            <w:noWrap/>
            <w:vAlign w:val="center"/>
            <w:hideMark/>
          </w:tcPr>
          <w:p w14:paraId="41B8F4C1" w14:textId="77777777" w:rsidR="00E814BD" w:rsidRPr="00951AB1" w:rsidRDefault="00E814BD" w:rsidP="000A5389">
            <w:pPr>
              <w:spacing w:line="240" w:lineRule="auto"/>
              <w:jc w:val="right"/>
              <w:rPr>
                <w:rFonts w:eastAsia="Times New Roman" w:cs="Times New Roman"/>
                <w:color w:val="000000"/>
                <w:sz w:val="18"/>
                <w:szCs w:val="18"/>
                <w:lang w:eastAsia="es-CO"/>
              </w:rPr>
            </w:pPr>
            <w:r w:rsidRPr="00951AB1">
              <w:rPr>
                <w:rFonts w:eastAsia="Times New Roman" w:cs="Times New Roman"/>
                <w:color w:val="000000"/>
                <w:sz w:val="18"/>
                <w:szCs w:val="18"/>
                <w:lang w:eastAsia="es-CO"/>
              </w:rPr>
              <w:t>0</w:t>
            </w:r>
          </w:p>
        </w:tc>
        <w:tc>
          <w:tcPr>
            <w:tcW w:w="757" w:type="pct"/>
            <w:tcBorders>
              <w:top w:val="nil"/>
              <w:left w:val="nil"/>
              <w:bottom w:val="single" w:sz="4" w:space="0" w:color="auto"/>
              <w:right w:val="single" w:sz="4" w:space="0" w:color="auto"/>
            </w:tcBorders>
            <w:noWrap/>
            <w:vAlign w:val="center"/>
            <w:hideMark/>
          </w:tcPr>
          <w:p w14:paraId="6F926455" w14:textId="77777777" w:rsidR="00E814BD" w:rsidRPr="00951AB1" w:rsidRDefault="00E814BD" w:rsidP="000A5389">
            <w:pPr>
              <w:spacing w:line="240" w:lineRule="auto"/>
              <w:jc w:val="right"/>
              <w:rPr>
                <w:rFonts w:eastAsia="Times New Roman" w:cs="Times New Roman"/>
                <w:color w:val="000000"/>
                <w:sz w:val="18"/>
                <w:szCs w:val="18"/>
                <w:lang w:eastAsia="es-CO"/>
              </w:rPr>
            </w:pPr>
            <w:r w:rsidRPr="00951AB1">
              <w:rPr>
                <w:rFonts w:eastAsia="Times New Roman" w:cs="Times New Roman"/>
                <w:color w:val="000000"/>
                <w:sz w:val="18"/>
                <w:szCs w:val="18"/>
                <w:lang w:eastAsia="es-CO"/>
              </w:rPr>
              <w:t>13.977.092.471</w:t>
            </w:r>
          </w:p>
        </w:tc>
        <w:tc>
          <w:tcPr>
            <w:tcW w:w="1723" w:type="pct"/>
            <w:tcBorders>
              <w:top w:val="nil"/>
              <w:left w:val="nil"/>
              <w:bottom w:val="single" w:sz="4" w:space="0" w:color="auto"/>
              <w:right w:val="single" w:sz="4" w:space="0" w:color="auto"/>
            </w:tcBorders>
            <w:vAlign w:val="center"/>
            <w:hideMark/>
          </w:tcPr>
          <w:p w14:paraId="5E1FF103" w14:textId="77777777" w:rsidR="00E814BD" w:rsidRPr="00951AB1" w:rsidRDefault="00E814BD" w:rsidP="000A5389">
            <w:pPr>
              <w:spacing w:line="240" w:lineRule="auto"/>
              <w:rPr>
                <w:rFonts w:eastAsia="Times New Roman" w:cs="Times New Roman"/>
                <w:color w:val="000000"/>
                <w:sz w:val="18"/>
                <w:szCs w:val="18"/>
                <w:lang w:eastAsia="es-CO"/>
              </w:rPr>
            </w:pPr>
            <w:r w:rsidRPr="00951AB1">
              <w:rPr>
                <w:rFonts w:eastAsia="Times New Roman" w:cs="Times New Roman"/>
                <w:color w:val="000000"/>
                <w:sz w:val="18"/>
                <w:szCs w:val="18"/>
                <w:lang w:eastAsia="es-CO"/>
              </w:rPr>
              <w:t>Terminado desfavorable vigencia 2025</w:t>
            </w:r>
            <w:r w:rsidRPr="00951AB1">
              <w:rPr>
                <w:rFonts w:eastAsia="Times New Roman" w:cs="Times New Roman"/>
                <w:color w:val="000000"/>
                <w:sz w:val="18"/>
                <w:szCs w:val="18"/>
                <w:lang w:eastAsia="es-CO"/>
              </w:rPr>
              <w:br/>
              <w:t>No. 139521</w:t>
            </w:r>
          </w:p>
        </w:tc>
      </w:tr>
      <w:tr w:rsidR="00E814BD" w:rsidRPr="00951AB1" w14:paraId="5C399424" w14:textId="77777777" w:rsidTr="00981221">
        <w:trPr>
          <w:trHeight w:val="435"/>
          <w:jc w:val="center"/>
        </w:trPr>
        <w:tc>
          <w:tcPr>
            <w:tcW w:w="585" w:type="pct"/>
            <w:tcBorders>
              <w:top w:val="nil"/>
              <w:left w:val="single" w:sz="4" w:space="0" w:color="000000"/>
              <w:bottom w:val="single" w:sz="4" w:space="0" w:color="000000"/>
              <w:right w:val="single" w:sz="4" w:space="0" w:color="000000"/>
            </w:tcBorders>
            <w:vAlign w:val="center"/>
            <w:hideMark/>
          </w:tcPr>
          <w:p w14:paraId="33934E08" w14:textId="77777777" w:rsidR="00E814BD" w:rsidRPr="00951AB1" w:rsidRDefault="00E814BD" w:rsidP="000A5389">
            <w:pPr>
              <w:spacing w:line="240" w:lineRule="auto"/>
              <w:rPr>
                <w:rFonts w:eastAsia="Times New Roman" w:cs="Times New Roman"/>
                <w:color w:val="000000"/>
                <w:sz w:val="18"/>
                <w:szCs w:val="18"/>
                <w:lang w:eastAsia="es-CO"/>
              </w:rPr>
            </w:pPr>
            <w:r w:rsidRPr="00951AB1">
              <w:rPr>
                <w:rFonts w:eastAsia="Times New Roman" w:cs="Times New Roman"/>
                <w:color w:val="000000"/>
                <w:sz w:val="18"/>
                <w:szCs w:val="18"/>
                <w:lang w:eastAsia="es-CO"/>
              </w:rPr>
              <w:t>901551242</w:t>
            </w:r>
          </w:p>
        </w:tc>
        <w:tc>
          <w:tcPr>
            <w:tcW w:w="1125" w:type="pct"/>
            <w:tcBorders>
              <w:top w:val="nil"/>
              <w:left w:val="nil"/>
              <w:bottom w:val="single" w:sz="4" w:space="0" w:color="000000"/>
              <w:right w:val="single" w:sz="4" w:space="0" w:color="000000"/>
            </w:tcBorders>
            <w:vAlign w:val="center"/>
            <w:hideMark/>
          </w:tcPr>
          <w:p w14:paraId="35254C1E" w14:textId="42ACCD72" w:rsidR="00E814BD" w:rsidRPr="00951AB1" w:rsidRDefault="00684C05" w:rsidP="000A5389">
            <w:pPr>
              <w:spacing w:line="240" w:lineRule="auto"/>
              <w:rPr>
                <w:rFonts w:eastAsia="Times New Roman" w:cs="Times New Roman"/>
                <w:color w:val="000000"/>
                <w:sz w:val="18"/>
                <w:szCs w:val="18"/>
                <w:lang w:eastAsia="es-CO"/>
              </w:rPr>
            </w:pPr>
            <w:r w:rsidRPr="00951AB1">
              <w:rPr>
                <w:rFonts w:eastAsia="Times New Roman" w:cs="Times New Roman"/>
                <w:color w:val="000000"/>
                <w:sz w:val="18"/>
                <w:szCs w:val="18"/>
                <w:lang w:eastAsia="es-CO"/>
              </w:rPr>
              <w:t>Alo Sur S.A.S</w:t>
            </w:r>
          </w:p>
        </w:tc>
        <w:tc>
          <w:tcPr>
            <w:tcW w:w="811" w:type="pct"/>
            <w:tcBorders>
              <w:top w:val="nil"/>
              <w:left w:val="nil"/>
              <w:bottom w:val="single" w:sz="4" w:space="0" w:color="auto"/>
              <w:right w:val="single" w:sz="4" w:space="0" w:color="auto"/>
            </w:tcBorders>
            <w:noWrap/>
            <w:vAlign w:val="center"/>
            <w:hideMark/>
          </w:tcPr>
          <w:p w14:paraId="72E5F21D" w14:textId="77777777" w:rsidR="00E814BD" w:rsidRPr="00951AB1" w:rsidRDefault="00E814BD" w:rsidP="000A5389">
            <w:pPr>
              <w:spacing w:line="240" w:lineRule="auto"/>
              <w:jc w:val="right"/>
              <w:rPr>
                <w:rFonts w:eastAsia="Times New Roman" w:cs="Times New Roman"/>
                <w:color w:val="000000"/>
                <w:sz w:val="18"/>
                <w:szCs w:val="18"/>
                <w:lang w:eastAsia="es-CO"/>
              </w:rPr>
            </w:pPr>
            <w:r w:rsidRPr="00951AB1">
              <w:rPr>
                <w:rFonts w:eastAsia="Times New Roman" w:cs="Times New Roman"/>
                <w:color w:val="000000"/>
                <w:sz w:val="18"/>
                <w:szCs w:val="18"/>
                <w:lang w:eastAsia="es-CO"/>
              </w:rPr>
              <w:t>0</w:t>
            </w:r>
          </w:p>
        </w:tc>
        <w:tc>
          <w:tcPr>
            <w:tcW w:w="757" w:type="pct"/>
            <w:tcBorders>
              <w:top w:val="nil"/>
              <w:left w:val="nil"/>
              <w:bottom w:val="single" w:sz="4" w:space="0" w:color="auto"/>
              <w:right w:val="single" w:sz="4" w:space="0" w:color="auto"/>
            </w:tcBorders>
            <w:noWrap/>
            <w:vAlign w:val="center"/>
            <w:hideMark/>
          </w:tcPr>
          <w:p w14:paraId="7A862CDB" w14:textId="77777777" w:rsidR="00E814BD" w:rsidRPr="00951AB1" w:rsidRDefault="00E814BD" w:rsidP="000A5389">
            <w:pPr>
              <w:spacing w:line="240" w:lineRule="auto"/>
              <w:jc w:val="right"/>
              <w:rPr>
                <w:rFonts w:eastAsia="Times New Roman" w:cs="Times New Roman"/>
                <w:color w:val="000000"/>
                <w:sz w:val="18"/>
                <w:szCs w:val="18"/>
                <w:lang w:eastAsia="es-CO"/>
              </w:rPr>
            </w:pPr>
            <w:r w:rsidRPr="00951AB1">
              <w:rPr>
                <w:rFonts w:eastAsia="Times New Roman" w:cs="Times New Roman"/>
                <w:color w:val="000000"/>
                <w:sz w:val="18"/>
                <w:szCs w:val="18"/>
                <w:lang w:eastAsia="es-CO"/>
              </w:rPr>
              <w:t>0</w:t>
            </w:r>
          </w:p>
        </w:tc>
        <w:tc>
          <w:tcPr>
            <w:tcW w:w="1723" w:type="pct"/>
            <w:tcBorders>
              <w:top w:val="nil"/>
              <w:left w:val="nil"/>
              <w:bottom w:val="single" w:sz="4" w:space="0" w:color="auto"/>
              <w:right w:val="single" w:sz="4" w:space="0" w:color="auto"/>
            </w:tcBorders>
            <w:vAlign w:val="center"/>
            <w:hideMark/>
          </w:tcPr>
          <w:p w14:paraId="0873C42C" w14:textId="4382594C" w:rsidR="00E814BD" w:rsidRPr="00951AB1" w:rsidRDefault="00E814BD" w:rsidP="000A5389">
            <w:pPr>
              <w:spacing w:line="240" w:lineRule="auto"/>
              <w:rPr>
                <w:rFonts w:eastAsia="Times New Roman" w:cs="Times New Roman"/>
                <w:color w:val="000000"/>
                <w:sz w:val="18"/>
                <w:szCs w:val="18"/>
                <w:lang w:eastAsia="es-CO"/>
              </w:rPr>
            </w:pPr>
            <w:r w:rsidRPr="00951AB1">
              <w:rPr>
                <w:rFonts w:eastAsia="Times New Roman" w:cs="Times New Roman"/>
                <w:color w:val="000000"/>
                <w:sz w:val="18"/>
                <w:szCs w:val="18"/>
                <w:lang w:eastAsia="es-CO"/>
              </w:rPr>
              <w:t>Activo vigencia 2025. Sin valor de pretensiones</w:t>
            </w:r>
            <w:r w:rsidR="00684C05" w:rsidRPr="00951AB1">
              <w:rPr>
                <w:rFonts w:eastAsia="Times New Roman" w:cs="Times New Roman"/>
                <w:color w:val="000000"/>
                <w:sz w:val="18"/>
                <w:szCs w:val="18"/>
                <w:lang w:eastAsia="es-CO"/>
              </w:rPr>
              <w:t xml:space="preserve"> </w:t>
            </w:r>
            <w:r w:rsidRPr="00951AB1">
              <w:rPr>
                <w:rFonts w:eastAsia="Times New Roman" w:cs="Times New Roman"/>
                <w:color w:val="000000"/>
                <w:sz w:val="18"/>
                <w:szCs w:val="18"/>
                <w:lang w:eastAsia="es-CO"/>
              </w:rPr>
              <w:t xml:space="preserve">No. 151395. </w:t>
            </w:r>
          </w:p>
        </w:tc>
      </w:tr>
      <w:tr w:rsidR="00E814BD" w:rsidRPr="00951AB1" w14:paraId="1EA5BF6D" w14:textId="77777777" w:rsidTr="00981221">
        <w:trPr>
          <w:trHeight w:val="300"/>
          <w:jc w:val="center"/>
        </w:trPr>
        <w:tc>
          <w:tcPr>
            <w:tcW w:w="1710" w:type="pct"/>
            <w:gridSpan w:val="2"/>
            <w:tcBorders>
              <w:top w:val="single" w:sz="4" w:space="0" w:color="000000"/>
              <w:left w:val="single" w:sz="4" w:space="0" w:color="auto"/>
              <w:bottom w:val="single" w:sz="4" w:space="0" w:color="auto"/>
              <w:right w:val="single" w:sz="4" w:space="0" w:color="000000"/>
            </w:tcBorders>
            <w:noWrap/>
            <w:vAlign w:val="center"/>
            <w:hideMark/>
          </w:tcPr>
          <w:p w14:paraId="27F4FFD9" w14:textId="77777777" w:rsidR="00E814BD" w:rsidRPr="00951AB1" w:rsidRDefault="00E814BD" w:rsidP="000A5389">
            <w:pPr>
              <w:spacing w:line="240" w:lineRule="auto"/>
              <w:jc w:val="center"/>
              <w:rPr>
                <w:rFonts w:eastAsia="Times New Roman" w:cs="Times New Roman"/>
                <w:b/>
                <w:bCs/>
                <w:color w:val="000000"/>
                <w:sz w:val="18"/>
                <w:szCs w:val="18"/>
                <w:lang w:eastAsia="es-CO"/>
              </w:rPr>
            </w:pPr>
            <w:r w:rsidRPr="00951AB1">
              <w:rPr>
                <w:rFonts w:eastAsia="Times New Roman" w:cs="Times New Roman"/>
                <w:b/>
                <w:bCs/>
                <w:color w:val="000000"/>
                <w:sz w:val="18"/>
                <w:szCs w:val="18"/>
                <w:lang w:eastAsia="es-CO"/>
              </w:rPr>
              <w:t>TOTAL</w:t>
            </w:r>
          </w:p>
        </w:tc>
        <w:tc>
          <w:tcPr>
            <w:tcW w:w="811" w:type="pct"/>
            <w:tcBorders>
              <w:top w:val="nil"/>
              <w:left w:val="nil"/>
              <w:bottom w:val="single" w:sz="4" w:space="0" w:color="auto"/>
              <w:right w:val="single" w:sz="4" w:space="0" w:color="auto"/>
            </w:tcBorders>
            <w:noWrap/>
            <w:vAlign w:val="center"/>
            <w:hideMark/>
          </w:tcPr>
          <w:p w14:paraId="7D07E858" w14:textId="77777777" w:rsidR="00E814BD" w:rsidRPr="00951AB1" w:rsidRDefault="00E814BD" w:rsidP="000A5389">
            <w:pPr>
              <w:spacing w:line="240" w:lineRule="auto"/>
              <w:jc w:val="right"/>
              <w:rPr>
                <w:rFonts w:eastAsia="Times New Roman" w:cs="Times New Roman"/>
                <w:b/>
                <w:bCs/>
                <w:color w:val="000000"/>
                <w:sz w:val="18"/>
                <w:szCs w:val="18"/>
                <w:lang w:eastAsia="es-CO"/>
              </w:rPr>
            </w:pPr>
            <w:r w:rsidRPr="00951AB1">
              <w:rPr>
                <w:rFonts w:eastAsia="Times New Roman" w:cs="Times New Roman"/>
                <w:b/>
                <w:bCs/>
                <w:color w:val="000000"/>
                <w:sz w:val="18"/>
                <w:szCs w:val="18"/>
                <w:lang w:eastAsia="es-CO"/>
              </w:rPr>
              <w:t>8.448.398.027.962</w:t>
            </w:r>
          </w:p>
        </w:tc>
        <w:tc>
          <w:tcPr>
            <w:tcW w:w="757" w:type="pct"/>
            <w:tcBorders>
              <w:top w:val="nil"/>
              <w:left w:val="nil"/>
              <w:bottom w:val="single" w:sz="4" w:space="0" w:color="auto"/>
              <w:right w:val="single" w:sz="4" w:space="0" w:color="auto"/>
            </w:tcBorders>
            <w:noWrap/>
            <w:vAlign w:val="center"/>
            <w:hideMark/>
          </w:tcPr>
          <w:p w14:paraId="336960DF" w14:textId="77777777" w:rsidR="00E814BD" w:rsidRPr="00951AB1" w:rsidRDefault="00E814BD" w:rsidP="000A5389">
            <w:pPr>
              <w:spacing w:line="240" w:lineRule="auto"/>
              <w:jc w:val="right"/>
              <w:rPr>
                <w:rFonts w:eastAsia="Times New Roman" w:cs="Times New Roman"/>
                <w:b/>
                <w:bCs/>
                <w:color w:val="000000"/>
                <w:sz w:val="18"/>
                <w:szCs w:val="18"/>
                <w:lang w:eastAsia="es-CO"/>
              </w:rPr>
            </w:pPr>
            <w:r w:rsidRPr="00951AB1">
              <w:rPr>
                <w:rFonts w:eastAsia="Times New Roman" w:cs="Times New Roman"/>
                <w:b/>
                <w:bCs/>
                <w:color w:val="000000"/>
                <w:sz w:val="18"/>
                <w:szCs w:val="18"/>
                <w:lang w:eastAsia="es-CO"/>
              </w:rPr>
              <w:t>3.317.233.113.439</w:t>
            </w:r>
          </w:p>
        </w:tc>
        <w:tc>
          <w:tcPr>
            <w:tcW w:w="1723" w:type="pct"/>
            <w:tcBorders>
              <w:top w:val="nil"/>
              <w:left w:val="nil"/>
              <w:bottom w:val="single" w:sz="4" w:space="0" w:color="auto"/>
              <w:right w:val="single" w:sz="4" w:space="0" w:color="auto"/>
            </w:tcBorders>
            <w:noWrap/>
            <w:vAlign w:val="center"/>
            <w:hideMark/>
          </w:tcPr>
          <w:p w14:paraId="6CB609E0" w14:textId="77777777" w:rsidR="00E814BD" w:rsidRPr="00951AB1" w:rsidRDefault="00E814BD" w:rsidP="000A5389">
            <w:pPr>
              <w:spacing w:line="240" w:lineRule="auto"/>
              <w:rPr>
                <w:rFonts w:eastAsia="Times New Roman" w:cs="Times New Roman"/>
                <w:b/>
                <w:bCs/>
                <w:color w:val="000000"/>
                <w:sz w:val="18"/>
                <w:szCs w:val="18"/>
                <w:lang w:eastAsia="es-CO"/>
              </w:rPr>
            </w:pPr>
            <w:r w:rsidRPr="00951AB1">
              <w:rPr>
                <w:rFonts w:eastAsia="Times New Roman" w:cs="Times New Roman"/>
                <w:b/>
                <w:bCs/>
                <w:color w:val="000000"/>
                <w:sz w:val="18"/>
                <w:szCs w:val="18"/>
                <w:lang w:eastAsia="es-CO"/>
              </w:rPr>
              <w:t> </w:t>
            </w:r>
          </w:p>
        </w:tc>
      </w:tr>
    </w:tbl>
    <w:p w14:paraId="57AD858C" w14:textId="77777777" w:rsidR="00E814BD" w:rsidRPr="00951AB1" w:rsidRDefault="00E814BD" w:rsidP="000A5389">
      <w:pPr>
        <w:autoSpaceDE w:val="0"/>
        <w:autoSpaceDN w:val="0"/>
        <w:adjustRightInd w:val="0"/>
        <w:spacing w:line="240" w:lineRule="auto"/>
        <w:rPr>
          <w:rFonts w:cs="Times New Roman"/>
          <w:color w:val="000000"/>
          <w:sz w:val="14"/>
          <w:szCs w:val="14"/>
        </w:rPr>
      </w:pPr>
      <w:r w:rsidRPr="00951AB1">
        <w:rPr>
          <w:rFonts w:cs="Times New Roman"/>
          <w:color w:val="000000"/>
          <w:sz w:val="14"/>
          <w:szCs w:val="14"/>
        </w:rPr>
        <w:t xml:space="preserve">             Cifras expresadas en pesos</w:t>
      </w:r>
    </w:p>
    <w:p w14:paraId="36E93A9B" w14:textId="77777777" w:rsidR="00E814BD" w:rsidRPr="00951AB1" w:rsidRDefault="00E814BD" w:rsidP="000A5389">
      <w:pPr>
        <w:autoSpaceDE w:val="0"/>
        <w:autoSpaceDN w:val="0"/>
        <w:adjustRightInd w:val="0"/>
        <w:spacing w:line="240" w:lineRule="auto"/>
        <w:rPr>
          <w:rFonts w:cs="Times New Roman"/>
          <w:color w:val="000000"/>
          <w:szCs w:val="24"/>
        </w:rPr>
      </w:pPr>
    </w:p>
    <w:p w14:paraId="6202B4E9" w14:textId="0536BAC3" w:rsidR="00E814BD" w:rsidRPr="00951AB1" w:rsidRDefault="00E814BD" w:rsidP="000A5389">
      <w:pPr>
        <w:autoSpaceDE w:val="0"/>
        <w:autoSpaceDN w:val="0"/>
        <w:adjustRightInd w:val="0"/>
        <w:spacing w:line="240" w:lineRule="auto"/>
        <w:rPr>
          <w:rFonts w:cs="Times New Roman"/>
          <w:szCs w:val="24"/>
        </w:rPr>
      </w:pPr>
      <w:r w:rsidRPr="00951AB1">
        <w:rPr>
          <w:rFonts w:cs="Times New Roman"/>
          <w:szCs w:val="24"/>
        </w:rPr>
        <w:t>No se presentaron variaciones procedentes de cambios en medición.</w:t>
      </w:r>
    </w:p>
    <w:p w14:paraId="7935491E" w14:textId="77777777" w:rsidR="00684C05" w:rsidRPr="00951AB1" w:rsidRDefault="00684C05" w:rsidP="000A5389">
      <w:pPr>
        <w:autoSpaceDE w:val="0"/>
        <w:autoSpaceDN w:val="0"/>
        <w:adjustRightInd w:val="0"/>
        <w:spacing w:line="240" w:lineRule="auto"/>
        <w:rPr>
          <w:rFonts w:cs="Times New Roman"/>
          <w:color w:val="000000"/>
          <w:szCs w:val="24"/>
        </w:rPr>
      </w:pPr>
    </w:p>
    <w:p w14:paraId="1CE338AC" w14:textId="77777777" w:rsidR="00E814BD" w:rsidRPr="00951AB1" w:rsidRDefault="00E814BD" w:rsidP="000A5389">
      <w:pPr>
        <w:spacing w:line="240" w:lineRule="auto"/>
        <w:rPr>
          <w:rFonts w:cs="Times New Roman"/>
          <w:color w:val="000000"/>
          <w:szCs w:val="24"/>
        </w:rPr>
      </w:pPr>
      <w:r w:rsidRPr="00951AB1">
        <w:rPr>
          <w:rFonts w:cs="Times New Roman"/>
          <w:szCs w:val="24"/>
        </w:rPr>
        <w:t>Así mismo, en la subcuenta contable Mecanismos alternativos de solución de conflictos, se encuentra registrada a nombre de la Concesionaria Vial Andina S.A.S. Nit. 900.848.064, contrato de concesión APP No. 005 de 2015, proyecto de concesión IP – Chirajará – Fundadores, la decisión del Amigable Componedor No. 147687 entre Concesionaria Vial Andina S.A.S. - COVIANDINA S.A.S. y Agencia Nacional de Infraestructura – ANI, un valor de $12.553.631.049 por concepto de Costos Ociosos COVID 19.</w:t>
      </w:r>
    </w:p>
    <w:p w14:paraId="5401D2C9" w14:textId="77777777" w:rsidR="00E814BD" w:rsidRPr="00951AB1" w:rsidRDefault="00E814BD" w:rsidP="000A5389">
      <w:pPr>
        <w:spacing w:line="240" w:lineRule="auto"/>
        <w:rPr>
          <w:rFonts w:cs="Times New Roman"/>
          <w:color w:val="000000"/>
          <w:szCs w:val="24"/>
        </w:rPr>
      </w:pPr>
      <w:r w:rsidRPr="00951AB1">
        <w:rPr>
          <w:rFonts w:cs="Times New Roman"/>
          <w:color w:val="000000"/>
          <w:szCs w:val="24"/>
        </w:rPr>
        <w:t>Conforme los preceptos normativos de la Resolución CGN No. 080 del 02 de junio del 2022, en el considerando, establece:</w:t>
      </w:r>
    </w:p>
    <w:p w14:paraId="65003A9D" w14:textId="77777777" w:rsidR="00E814BD" w:rsidRPr="00951AB1" w:rsidRDefault="00E814BD" w:rsidP="000A5389">
      <w:pPr>
        <w:spacing w:line="240" w:lineRule="auto"/>
        <w:ind w:left="142" w:right="190"/>
        <w:rPr>
          <w:rFonts w:cs="Times New Roman"/>
          <w:color w:val="000000"/>
          <w:szCs w:val="24"/>
        </w:rPr>
      </w:pPr>
      <w:r w:rsidRPr="00951AB1">
        <w:rPr>
          <w:rFonts w:cs="Times New Roman"/>
          <w:color w:val="000000"/>
          <w:szCs w:val="24"/>
        </w:rPr>
        <w:lastRenderedPageBreak/>
        <w:t>(…)</w:t>
      </w:r>
    </w:p>
    <w:p w14:paraId="54D591D2" w14:textId="77777777" w:rsidR="00E814BD" w:rsidRPr="00951AB1" w:rsidRDefault="00E814BD" w:rsidP="000A5389">
      <w:pPr>
        <w:spacing w:line="240" w:lineRule="auto"/>
        <w:ind w:left="142" w:right="190"/>
        <w:rPr>
          <w:rFonts w:cs="Times New Roman"/>
          <w:szCs w:val="24"/>
        </w:rPr>
      </w:pPr>
      <w:r w:rsidRPr="00951AB1">
        <w:rPr>
          <w:rFonts w:cs="Times New Roman"/>
          <w:i/>
          <w:iCs/>
          <w:szCs w:val="24"/>
        </w:rPr>
        <w:t xml:space="preserve">“Que el inciso tercero del artículo 2.4.4.16. del Decreto 1068 de 2015 dispone que “Si la sentencia ejecutoriada determina que, entre las </w:t>
      </w:r>
      <w:r w:rsidRPr="00951AB1">
        <w:rPr>
          <w:rFonts w:cs="Times New Roman"/>
          <w:i/>
          <w:iCs/>
          <w:szCs w:val="24"/>
          <w:u w:val="single"/>
        </w:rPr>
        <w:t>Entidades Estatales condenadas al pago de obligaciones dinerarias determinadas para cada una de ellas</w:t>
      </w:r>
      <w:r w:rsidRPr="00951AB1">
        <w:rPr>
          <w:rFonts w:cs="Times New Roman"/>
          <w:i/>
          <w:iCs/>
          <w:szCs w:val="24"/>
        </w:rPr>
        <w:t xml:space="preserve">, el beneficiario pueda exigir el pago de la totalidad de las mismas a cualquiera de dichas entidades; la Entidad Estatal que realice el pago deberá obtener el reembolso de las cifras canceladas por parte de las entidades respectivas, con tal fin será obligatorio que las Entidades Estatales actúen coordinadamente, de tal manera que la Entidad Estatal que realice el pago en virtud de la solidaridad, obtenga el reembolso que le corresponda”. </w:t>
      </w:r>
      <w:r w:rsidRPr="00951AB1">
        <w:rPr>
          <w:rFonts w:cs="Times New Roman"/>
          <w:szCs w:val="24"/>
        </w:rPr>
        <w:t xml:space="preserve">(Subrayado fuera de texto) </w:t>
      </w:r>
    </w:p>
    <w:p w14:paraId="2047F7A3" w14:textId="77777777" w:rsidR="00E814BD" w:rsidRPr="00951AB1" w:rsidRDefault="00E814BD" w:rsidP="000A5389">
      <w:pPr>
        <w:spacing w:line="240" w:lineRule="auto"/>
        <w:rPr>
          <w:rFonts w:cs="Times New Roman"/>
          <w:szCs w:val="24"/>
        </w:rPr>
      </w:pPr>
      <w:r w:rsidRPr="00951AB1">
        <w:rPr>
          <w:rFonts w:cs="Times New Roman"/>
          <w:szCs w:val="24"/>
        </w:rPr>
        <w:t xml:space="preserve">Asimismo, en su ARTÍCULO 1º del RESUELVE, establece: </w:t>
      </w:r>
    </w:p>
    <w:p w14:paraId="03F3F399" w14:textId="77777777" w:rsidR="00E814BD" w:rsidRPr="00951AB1" w:rsidRDefault="00E814BD" w:rsidP="000A5389">
      <w:pPr>
        <w:pStyle w:val="Default"/>
        <w:ind w:left="142" w:right="190"/>
        <w:rPr>
          <w:rFonts w:ascii="Times New Roman" w:hAnsi="Times New Roman" w:cs="Times New Roman"/>
        </w:rPr>
      </w:pPr>
      <w:r w:rsidRPr="00951AB1">
        <w:rPr>
          <w:rFonts w:ascii="Times New Roman" w:hAnsi="Times New Roman" w:cs="Times New Roman"/>
        </w:rPr>
        <w:t xml:space="preserve">(…) </w:t>
      </w:r>
    </w:p>
    <w:p w14:paraId="40D4DDB8" w14:textId="77777777" w:rsidR="00E814BD" w:rsidRPr="00951AB1" w:rsidRDefault="00E814BD" w:rsidP="000A5389">
      <w:pPr>
        <w:spacing w:line="240" w:lineRule="auto"/>
        <w:ind w:left="142" w:right="190"/>
        <w:rPr>
          <w:rFonts w:cs="Times New Roman"/>
          <w:i/>
          <w:iCs/>
          <w:szCs w:val="24"/>
        </w:rPr>
      </w:pPr>
      <w:r w:rsidRPr="00951AB1">
        <w:rPr>
          <w:rFonts w:cs="Times New Roman"/>
          <w:i/>
          <w:iCs/>
          <w:szCs w:val="24"/>
        </w:rPr>
        <w:t xml:space="preserve">“El derecho de reembolso es el derecho legal que tiene la entidad demandada o convocada a </w:t>
      </w:r>
      <w:r w:rsidRPr="00951AB1">
        <w:rPr>
          <w:rFonts w:cs="Times New Roman"/>
          <w:i/>
          <w:iCs/>
          <w:szCs w:val="24"/>
          <w:u w:val="single"/>
        </w:rPr>
        <w:t>exigir que una entidad que no sea parte del litigio o del mecanismo alternativo de solución de conflictos</w:t>
      </w:r>
      <w:r w:rsidRPr="00951AB1">
        <w:rPr>
          <w:rFonts w:cs="Times New Roman"/>
          <w:i/>
          <w:iCs/>
          <w:szCs w:val="24"/>
        </w:rPr>
        <w:t xml:space="preserve"> le reembolse a la entidad demandada o convocada o le pague directamente al demandante o convocante una parte o la totalidad del desembolso necesario para cancelar la sentencia condenatoria ejecutoriada, laudo arbitral definitivo condenatorio o acta de conciliación extrajudicial”. </w:t>
      </w:r>
      <w:r w:rsidRPr="00951AB1">
        <w:rPr>
          <w:rFonts w:cs="Times New Roman"/>
          <w:szCs w:val="24"/>
        </w:rPr>
        <w:t>(Subrayado fuera de texto)</w:t>
      </w:r>
    </w:p>
    <w:p w14:paraId="414AAAF8" w14:textId="77777777" w:rsidR="00E814BD" w:rsidRPr="00951AB1" w:rsidRDefault="00E814BD" w:rsidP="000A5389">
      <w:pPr>
        <w:spacing w:line="240" w:lineRule="auto"/>
        <w:rPr>
          <w:rFonts w:cs="Times New Roman"/>
          <w:color w:val="000000"/>
          <w:szCs w:val="24"/>
        </w:rPr>
      </w:pPr>
    </w:p>
    <w:p w14:paraId="688DBEBD" w14:textId="77777777" w:rsidR="00E814BD" w:rsidRPr="00951AB1" w:rsidRDefault="00E814BD" w:rsidP="000A5389">
      <w:pPr>
        <w:spacing w:line="240" w:lineRule="auto"/>
        <w:rPr>
          <w:rFonts w:cs="Times New Roman"/>
          <w:color w:val="000000"/>
          <w:szCs w:val="24"/>
        </w:rPr>
      </w:pPr>
      <w:r w:rsidRPr="2A085367">
        <w:rPr>
          <w:rFonts w:cs="Times New Roman"/>
          <w:color w:val="000000" w:themeColor="text1"/>
          <w:szCs w:val="24"/>
        </w:rPr>
        <w:t>En tal sentido, la Agencia no cuenta con derechos de reembolso sobre los trámites arbitrales, entre entidades estatales condenadas al pago de obligaciones dinerarias; igualmente, no tiene un derecho legal a exigir que una entidad que no sea parte del mecanismo alternativo de solución de conflictos reembolse una parte o la totalidad del desembolso.</w:t>
      </w:r>
    </w:p>
    <w:p w14:paraId="1259BE43" w14:textId="7EA3AE39" w:rsidR="2A085367" w:rsidRDefault="2A085367" w:rsidP="000A5389">
      <w:pPr>
        <w:spacing w:line="240" w:lineRule="auto"/>
        <w:rPr>
          <w:rFonts w:cs="Times New Roman"/>
          <w:color w:val="000000" w:themeColor="text1"/>
          <w:szCs w:val="24"/>
        </w:rPr>
      </w:pPr>
    </w:p>
    <w:p w14:paraId="162FB306" w14:textId="77777777" w:rsidR="00E814BD" w:rsidRPr="00951AB1" w:rsidRDefault="00E814BD" w:rsidP="000A5389">
      <w:pPr>
        <w:spacing w:line="240" w:lineRule="auto"/>
        <w:rPr>
          <w:rFonts w:cs="Times New Roman"/>
          <w:color w:val="000000"/>
          <w:szCs w:val="24"/>
        </w:rPr>
      </w:pPr>
      <w:r w:rsidRPr="00951AB1">
        <w:rPr>
          <w:rFonts w:cs="Times New Roman"/>
          <w:color w:val="000000"/>
          <w:szCs w:val="24"/>
        </w:rPr>
        <w:t>No obstante, puede existir el cobro del porcentaje a cargo del concesionario (Privado) o de las aseguradoras, en virtud de llamamiento en garantía.</w:t>
      </w:r>
    </w:p>
    <w:p w14:paraId="3EF3BDCE" w14:textId="77777777" w:rsidR="00E814BD" w:rsidRPr="00951AB1" w:rsidRDefault="00E814BD" w:rsidP="000A5389">
      <w:pPr>
        <w:spacing w:line="240" w:lineRule="auto"/>
        <w:rPr>
          <w:rFonts w:cs="Times New Roman"/>
          <w:szCs w:val="24"/>
        </w:rPr>
      </w:pPr>
    </w:p>
    <w:p w14:paraId="27C54C66" w14:textId="32E8B04C" w:rsidR="00E814BD" w:rsidRPr="00951AB1" w:rsidRDefault="00BE38AF" w:rsidP="000A5389">
      <w:pPr>
        <w:pStyle w:val="Ttulo2"/>
        <w:numPr>
          <w:ilvl w:val="1"/>
          <w:numId w:val="54"/>
        </w:numPr>
        <w:spacing w:line="240" w:lineRule="auto"/>
        <w:rPr>
          <w:rFonts w:cs="Times New Roman"/>
          <w:szCs w:val="24"/>
        </w:rPr>
      </w:pPr>
      <w:bookmarkStart w:id="631" w:name="_Toc159952411"/>
      <w:r w:rsidRPr="00951AB1">
        <w:rPr>
          <w:rFonts w:cs="Times New Roman"/>
          <w:szCs w:val="24"/>
        </w:rPr>
        <w:t xml:space="preserve"> </w:t>
      </w:r>
      <w:r w:rsidRPr="00951AB1">
        <w:rPr>
          <w:rFonts w:cs="Times New Roman"/>
          <w:szCs w:val="24"/>
        </w:rPr>
        <w:tab/>
      </w:r>
      <w:bookmarkStart w:id="632" w:name="_Toc222955518"/>
      <w:r w:rsidR="00E814BD" w:rsidRPr="00951AB1">
        <w:rPr>
          <w:rFonts w:cs="Times New Roman"/>
          <w:szCs w:val="24"/>
        </w:rPr>
        <w:t>Litigios y demandas</w:t>
      </w:r>
      <w:bookmarkEnd w:id="631"/>
      <w:bookmarkEnd w:id="632"/>
    </w:p>
    <w:p w14:paraId="5710A03F" w14:textId="77777777" w:rsidR="00E814BD" w:rsidRPr="00951AB1" w:rsidRDefault="00E814BD" w:rsidP="000A5389">
      <w:pPr>
        <w:spacing w:line="240" w:lineRule="auto"/>
        <w:rPr>
          <w:rFonts w:cs="Times New Roman"/>
          <w:szCs w:val="24"/>
        </w:rPr>
      </w:pPr>
    </w:p>
    <w:p w14:paraId="33E07DC2" w14:textId="77777777" w:rsidR="00E814BD" w:rsidRPr="00951AB1" w:rsidRDefault="00E814BD" w:rsidP="000A5389">
      <w:pPr>
        <w:spacing w:line="240" w:lineRule="auto"/>
        <w:rPr>
          <w:rFonts w:cs="Times New Roman"/>
          <w:szCs w:val="24"/>
        </w:rPr>
      </w:pPr>
      <w:r w:rsidRPr="00951AB1">
        <w:rPr>
          <w:rFonts w:cs="Times New Roman"/>
          <w:szCs w:val="24"/>
        </w:rPr>
        <w:t xml:space="preserve">Los criterios de valor considerados para la estimación de las provisiones corresponden a la metodología de la calificación del riesgo y provisión contable, contenida en la Resolución ANI No. 20247010010885 del 27-08-2024 que adopta la Resolución 431 de 2023 expedida por la ANDJE. Por su parte, la incertidumbre relativa al valor o el plazo para el pago está dada por el tiempo de duración de los procesos judiciales. </w:t>
      </w:r>
    </w:p>
    <w:p w14:paraId="46455265" w14:textId="77777777" w:rsidR="00E814BD" w:rsidRPr="00951AB1" w:rsidRDefault="00E814BD" w:rsidP="000A5389">
      <w:pPr>
        <w:spacing w:line="240" w:lineRule="auto"/>
        <w:rPr>
          <w:rFonts w:cs="Times New Roman"/>
          <w:szCs w:val="24"/>
        </w:rPr>
      </w:pPr>
    </w:p>
    <w:tbl>
      <w:tblPr>
        <w:tblW w:w="5000" w:type="pct"/>
        <w:jc w:val="center"/>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CellMar>
          <w:left w:w="70" w:type="dxa"/>
          <w:right w:w="70" w:type="dxa"/>
        </w:tblCellMar>
        <w:tblLook w:val="04A0" w:firstRow="1" w:lastRow="0" w:firstColumn="1" w:lastColumn="0" w:noHBand="0" w:noVBand="1"/>
      </w:tblPr>
      <w:tblGrid>
        <w:gridCol w:w="1298"/>
        <w:gridCol w:w="579"/>
        <w:gridCol w:w="1893"/>
        <w:gridCol w:w="1587"/>
        <w:gridCol w:w="1700"/>
        <w:gridCol w:w="1771"/>
      </w:tblGrid>
      <w:tr w:rsidR="00E814BD" w:rsidRPr="00951AB1" w14:paraId="21F634BD" w14:textId="77777777" w:rsidTr="00684C05">
        <w:trPr>
          <w:trHeight w:val="300"/>
          <w:tblHeader/>
          <w:jc w:val="center"/>
        </w:trPr>
        <w:tc>
          <w:tcPr>
            <w:tcW w:w="5000" w:type="pct"/>
            <w:gridSpan w:val="6"/>
            <w:vAlign w:val="center"/>
            <w:hideMark/>
          </w:tcPr>
          <w:p w14:paraId="6C76BB24" w14:textId="77777777" w:rsidR="00E814BD" w:rsidRPr="00951AB1" w:rsidRDefault="00E814BD" w:rsidP="000A5389">
            <w:pPr>
              <w:spacing w:line="240" w:lineRule="auto"/>
              <w:jc w:val="center"/>
              <w:rPr>
                <w:rFonts w:eastAsia="Times New Roman" w:cs="Times New Roman"/>
                <w:b/>
                <w:bCs/>
                <w:sz w:val="20"/>
                <w:szCs w:val="20"/>
                <w:lang w:eastAsia="es-CO"/>
              </w:rPr>
            </w:pPr>
            <w:r w:rsidRPr="00951AB1">
              <w:rPr>
                <w:rFonts w:eastAsia="Times New Roman" w:cs="Times New Roman"/>
                <w:b/>
                <w:bCs/>
                <w:sz w:val="20"/>
                <w:szCs w:val="20"/>
                <w:lang w:eastAsia="es-CO"/>
              </w:rPr>
              <w:t>COMPORTAMIENTO A NIVEL DE SUBCUENTA</w:t>
            </w:r>
          </w:p>
        </w:tc>
      </w:tr>
      <w:tr w:rsidR="00E814BD" w:rsidRPr="00951AB1" w14:paraId="3C407C8E" w14:textId="77777777" w:rsidTr="00684C05">
        <w:trPr>
          <w:trHeight w:val="570"/>
          <w:tblHeader/>
          <w:jc w:val="center"/>
        </w:trPr>
        <w:tc>
          <w:tcPr>
            <w:tcW w:w="735" w:type="pct"/>
            <w:noWrap/>
            <w:vAlign w:val="center"/>
            <w:hideMark/>
          </w:tcPr>
          <w:p w14:paraId="7D51F66C" w14:textId="77777777" w:rsidR="00E814BD" w:rsidRPr="00951AB1" w:rsidRDefault="00E814BD" w:rsidP="000A5389">
            <w:pPr>
              <w:spacing w:line="240" w:lineRule="auto"/>
              <w:jc w:val="center"/>
              <w:rPr>
                <w:rFonts w:eastAsia="Times New Roman" w:cs="Times New Roman"/>
                <w:b/>
                <w:bCs/>
                <w:color w:val="000000" w:themeColor="text1"/>
                <w:sz w:val="20"/>
                <w:szCs w:val="20"/>
                <w:lang w:eastAsia="es-CO"/>
              </w:rPr>
            </w:pPr>
            <w:r w:rsidRPr="00951AB1">
              <w:rPr>
                <w:rFonts w:eastAsia="Times New Roman" w:cs="Times New Roman"/>
                <w:b/>
                <w:bCs/>
                <w:color w:val="000000" w:themeColor="text1"/>
                <w:sz w:val="20"/>
                <w:szCs w:val="20"/>
                <w:lang w:eastAsia="es-CO"/>
              </w:rPr>
              <w:t xml:space="preserve">CÓDIGO </w:t>
            </w:r>
          </w:p>
          <w:p w14:paraId="4C677D2D" w14:textId="77777777" w:rsidR="00E814BD" w:rsidRPr="00951AB1" w:rsidRDefault="00E814BD" w:rsidP="000A5389">
            <w:pPr>
              <w:spacing w:line="240" w:lineRule="auto"/>
              <w:jc w:val="center"/>
              <w:rPr>
                <w:rFonts w:eastAsia="Times New Roman" w:cs="Times New Roman"/>
                <w:b/>
                <w:bCs/>
                <w:sz w:val="20"/>
                <w:szCs w:val="20"/>
                <w:lang w:eastAsia="es-CO"/>
              </w:rPr>
            </w:pPr>
            <w:r w:rsidRPr="00951AB1">
              <w:rPr>
                <w:rFonts w:eastAsia="Times New Roman" w:cs="Times New Roman"/>
                <w:b/>
                <w:bCs/>
                <w:color w:val="000000" w:themeColor="text1"/>
                <w:sz w:val="20"/>
                <w:szCs w:val="20"/>
                <w:lang w:eastAsia="es-CO"/>
              </w:rPr>
              <w:t>CONTABLE</w:t>
            </w:r>
          </w:p>
        </w:tc>
        <w:tc>
          <w:tcPr>
            <w:tcW w:w="328" w:type="pct"/>
            <w:noWrap/>
            <w:vAlign w:val="center"/>
            <w:hideMark/>
          </w:tcPr>
          <w:p w14:paraId="393A0F93" w14:textId="77777777" w:rsidR="00E814BD" w:rsidRPr="00951AB1" w:rsidRDefault="00E814BD" w:rsidP="000A5389">
            <w:pPr>
              <w:spacing w:line="240" w:lineRule="auto"/>
              <w:rPr>
                <w:rFonts w:eastAsia="Times New Roman" w:cs="Times New Roman"/>
                <w:sz w:val="20"/>
                <w:szCs w:val="20"/>
                <w:lang w:eastAsia="es-CO"/>
              </w:rPr>
            </w:pPr>
            <w:r w:rsidRPr="00951AB1">
              <w:rPr>
                <w:rFonts w:eastAsia="Times New Roman" w:cs="Times New Roman"/>
                <w:b/>
                <w:bCs/>
                <w:color w:val="000000" w:themeColor="text1"/>
                <w:sz w:val="20"/>
                <w:szCs w:val="20"/>
                <w:lang w:eastAsia="es-CO"/>
              </w:rPr>
              <w:t>NAT</w:t>
            </w:r>
          </w:p>
        </w:tc>
        <w:tc>
          <w:tcPr>
            <w:tcW w:w="1072" w:type="pct"/>
            <w:vAlign w:val="center"/>
            <w:hideMark/>
          </w:tcPr>
          <w:p w14:paraId="03744748" w14:textId="77777777" w:rsidR="00E814BD" w:rsidRPr="00951AB1" w:rsidRDefault="00E814BD" w:rsidP="000A5389">
            <w:pPr>
              <w:spacing w:line="240" w:lineRule="auto"/>
              <w:jc w:val="center"/>
              <w:rPr>
                <w:rFonts w:eastAsia="Times New Roman" w:cs="Times New Roman"/>
                <w:b/>
                <w:bCs/>
                <w:sz w:val="20"/>
                <w:szCs w:val="20"/>
                <w:lang w:eastAsia="es-CO"/>
              </w:rPr>
            </w:pPr>
            <w:r w:rsidRPr="00951AB1">
              <w:rPr>
                <w:rFonts w:eastAsia="Times New Roman" w:cs="Times New Roman"/>
                <w:b/>
                <w:bCs/>
                <w:sz w:val="20"/>
                <w:szCs w:val="20"/>
                <w:lang w:eastAsia="es-CO"/>
              </w:rPr>
              <w:t>CONCEPTO</w:t>
            </w:r>
          </w:p>
        </w:tc>
        <w:tc>
          <w:tcPr>
            <w:tcW w:w="899" w:type="pct"/>
            <w:vAlign w:val="center"/>
            <w:hideMark/>
          </w:tcPr>
          <w:p w14:paraId="1EDF5692" w14:textId="77777777" w:rsidR="00E814BD" w:rsidRPr="00951AB1" w:rsidRDefault="00E814BD" w:rsidP="000A5389">
            <w:pPr>
              <w:spacing w:line="240" w:lineRule="auto"/>
              <w:jc w:val="center"/>
              <w:rPr>
                <w:rFonts w:eastAsia="Times New Roman" w:cs="Times New Roman"/>
                <w:b/>
                <w:bCs/>
                <w:sz w:val="20"/>
                <w:szCs w:val="20"/>
                <w:lang w:eastAsia="es-CO"/>
              </w:rPr>
            </w:pPr>
            <w:r w:rsidRPr="00951AB1">
              <w:rPr>
                <w:rFonts w:eastAsia="Times New Roman" w:cs="Times New Roman"/>
                <w:b/>
                <w:bCs/>
                <w:sz w:val="20"/>
                <w:szCs w:val="20"/>
                <w:lang w:eastAsia="es-CO"/>
              </w:rPr>
              <w:t xml:space="preserve">2025 </w:t>
            </w:r>
          </w:p>
        </w:tc>
        <w:tc>
          <w:tcPr>
            <w:tcW w:w="963" w:type="pct"/>
            <w:vAlign w:val="center"/>
            <w:hideMark/>
          </w:tcPr>
          <w:p w14:paraId="7908E877" w14:textId="77777777" w:rsidR="00E814BD" w:rsidRPr="00951AB1" w:rsidRDefault="00E814BD" w:rsidP="000A5389">
            <w:pPr>
              <w:spacing w:line="240" w:lineRule="auto"/>
              <w:jc w:val="center"/>
              <w:rPr>
                <w:rFonts w:eastAsia="Times New Roman" w:cs="Times New Roman"/>
                <w:b/>
                <w:bCs/>
                <w:sz w:val="20"/>
                <w:szCs w:val="20"/>
                <w:lang w:eastAsia="es-CO"/>
              </w:rPr>
            </w:pPr>
            <w:r w:rsidRPr="00951AB1">
              <w:rPr>
                <w:rFonts w:eastAsia="Times New Roman" w:cs="Times New Roman"/>
                <w:b/>
                <w:bCs/>
                <w:sz w:val="20"/>
                <w:szCs w:val="20"/>
                <w:lang w:eastAsia="es-CO"/>
              </w:rPr>
              <w:t xml:space="preserve">2024 </w:t>
            </w:r>
          </w:p>
        </w:tc>
        <w:tc>
          <w:tcPr>
            <w:tcW w:w="1002" w:type="pct"/>
            <w:vAlign w:val="center"/>
            <w:hideMark/>
          </w:tcPr>
          <w:p w14:paraId="65CB1DBB" w14:textId="77777777" w:rsidR="00E814BD" w:rsidRPr="00951AB1" w:rsidRDefault="00E814BD" w:rsidP="000A5389">
            <w:pPr>
              <w:spacing w:line="240" w:lineRule="auto"/>
              <w:jc w:val="center"/>
              <w:rPr>
                <w:rFonts w:eastAsia="Times New Roman" w:cs="Times New Roman"/>
                <w:b/>
                <w:bCs/>
                <w:sz w:val="20"/>
                <w:szCs w:val="20"/>
                <w:lang w:eastAsia="es-CO"/>
              </w:rPr>
            </w:pPr>
            <w:r w:rsidRPr="00951AB1">
              <w:rPr>
                <w:rFonts w:eastAsia="Times New Roman" w:cs="Times New Roman"/>
                <w:b/>
                <w:bCs/>
                <w:sz w:val="20"/>
                <w:szCs w:val="20"/>
                <w:lang w:eastAsia="es-CO"/>
              </w:rPr>
              <w:t>VALOR VARIACIÓN</w:t>
            </w:r>
          </w:p>
        </w:tc>
      </w:tr>
      <w:tr w:rsidR="00E814BD" w:rsidRPr="00951AB1" w14:paraId="2CB83359" w14:textId="77777777" w:rsidTr="00684C05">
        <w:trPr>
          <w:trHeight w:val="300"/>
          <w:jc w:val="center"/>
        </w:trPr>
        <w:tc>
          <w:tcPr>
            <w:tcW w:w="735" w:type="pct"/>
            <w:noWrap/>
            <w:vAlign w:val="center"/>
            <w:hideMark/>
          </w:tcPr>
          <w:p w14:paraId="10F72376" w14:textId="77777777" w:rsidR="00E814BD" w:rsidRPr="00951AB1" w:rsidRDefault="00E814BD" w:rsidP="000A5389">
            <w:pPr>
              <w:spacing w:line="240" w:lineRule="auto"/>
              <w:rPr>
                <w:rFonts w:eastAsia="Times New Roman" w:cs="Times New Roman"/>
                <w:b/>
                <w:bCs/>
                <w:sz w:val="20"/>
                <w:szCs w:val="20"/>
                <w:lang w:eastAsia="es-CO"/>
              </w:rPr>
            </w:pPr>
            <w:r w:rsidRPr="00951AB1">
              <w:rPr>
                <w:rFonts w:eastAsia="Times New Roman" w:cs="Times New Roman"/>
                <w:b/>
                <w:bCs/>
                <w:sz w:val="20"/>
                <w:szCs w:val="20"/>
                <w:lang w:eastAsia="es-CO"/>
              </w:rPr>
              <w:t>2.7.01</w:t>
            </w:r>
          </w:p>
        </w:tc>
        <w:tc>
          <w:tcPr>
            <w:tcW w:w="328" w:type="pct"/>
            <w:noWrap/>
            <w:vAlign w:val="center"/>
            <w:hideMark/>
          </w:tcPr>
          <w:p w14:paraId="74183178" w14:textId="77777777" w:rsidR="00E814BD" w:rsidRPr="00951AB1" w:rsidRDefault="00E814BD" w:rsidP="000A5389">
            <w:pPr>
              <w:spacing w:line="240" w:lineRule="auto"/>
              <w:jc w:val="center"/>
              <w:rPr>
                <w:rFonts w:eastAsia="Times New Roman" w:cs="Times New Roman"/>
                <w:b/>
                <w:bCs/>
                <w:sz w:val="20"/>
                <w:szCs w:val="20"/>
                <w:lang w:eastAsia="es-CO"/>
              </w:rPr>
            </w:pPr>
            <w:r w:rsidRPr="00951AB1">
              <w:rPr>
                <w:rFonts w:eastAsia="Times New Roman" w:cs="Times New Roman"/>
                <w:b/>
                <w:bCs/>
                <w:sz w:val="20"/>
                <w:szCs w:val="20"/>
                <w:lang w:eastAsia="es-CO"/>
              </w:rPr>
              <w:t>Cr</w:t>
            </w:r>
          </w:p>
        </w:tc>
        <w:tc>
          <w:tcPr>
            <w:tcW w:w="1072" w:type="pct"/>
            <w:vAlign w:val="center"/>
            <w:hideMark/>
          </w:tcPr>
          <w:p w14:paraId="5F2EACFF" w14:textId="77777777" w:rsidR="00E814BD" w:rsidRPr="00951AB1" w:rsidRDefault="00E814BD" w:rsidP="000A5389">
            <w:pPr>
              <w:spacing w:line="240" w:lineRule="auto"/>
              <w:rPr>
                <w:rFonts w:eastAsia="Times New Roman" w:cs="Times New Roman"/>
                <w:b/>
                <w:bCs/>
                <w:sz w:val="20"/>
                <w:szCs w:val="20"/>
                <w:lang w:eastAsia="es-CO"/>
              </w:rPr>
            </w:pPr>
            <w:r w:rsidRPr="00951AB1">
              <w:rPr>
                <w:rFonts w:eastAsia="Times New Roman" w:cs="Times New Roman"/>
                <w:b/>
                <w:bCs/>
                <w:sz w:val="20"/>
                <w:szCs w:val="20"/>
                <w:lang w:eastAsia="es-CO"/>
              </w:rPr>
              <w:t>Litigios y demandas</w:t>
            </w:r>
          </w:p>
        </w:tc>
        <w:tc>
          <w:tcPr>
            <w:tcW w:w="899" w:type="pct"/>
            <w:noWrap/>
            <w:vAlign w:val="center"/>
            <w:hideMark/>
          </w:tcPr>
          <w:p w14:paraId="1CAF9BC3" w14:textId="77777777" w:rsidR="00E814BD" w:rsidRPr="00951AB1" w:rsidRDefault="00E814BD" w:rsidP="000A5389">
            <w:pPr>
              <w:spacing w:line="240" w:lineRule="auto"/>
              <w:jc w:val="right"/>
              <w:rPr>
                <w:rFonts w:eastAsia="Times New Roman" w:cs="Times New Roman"/>
                <w:b/>
                <w:bCs/>
                <w:sz w:val="20"/>
                <w:szCs w:val="20"/>
                <w:lang w:eastAsia="es-CO"/>
              </w:rPr>
            </w:pPr>
            <w:r w:rsidRPr="00951AB1">
              <w:rPr>
                <w:rFonts w:eastAsia="Times New Roman" w:cs="Times New Roman"/>
                <w:b/>
                <w:bCs/>
                <w:sz w:val="20"/>
                <w:szCs w:val="20"/>
                <w:lang w:eastAsia="es-CO"/>
              </w:rPr>
              <w:t>118.454.638.266</w:t>
            </w:r>
          </w:p>
        </w:tc>
        <w:tc>
          <w:tcPr>
            <w:tcW w:w="963" w:type="pct"/>
            <w:noWrap/>
            <w:vAlign w:val="center"/>
            <w:hideMark/>
          </w:tcPr>
          <w:p w14:paraId="17F75B9D" w14:textId="77777777" w:rsidR="00E814BD" w:rsidRPr="00951AB1" w:rsidRDefault="00E814BD" w:rsidP="000A5389">
            <w:pPr>
              <w:spacing w:line="240" w:lineRule="auto"/>
              <w:jc w:val="right"/>
              <w:rPr>
                <w:rFonts w:eastAsia="Times New Roman" w:cs="Times New Roman"/>
                <w:b/>
                <w:bCs/>
                <w:sz w:val="20"/>
                <w:szCs w:val="20"/>
                <w:lang w:eastAsia="es-CO"/>
              </w:rPr>
            </w:pPr>
            <w:r w:rsidRPr="00951AB1">
              <w:rPr>
                <w:rFonts w:eastAsia="Times New Roman" w:cs="Times New Roman"/>
                <w:b/>
                <w:bCs/>
                <w:sz w:val="20"/>
                <w:szCs w:val="20"/>
                <w:lang w:eastAsia="es-CO"/>
              </w:rPr>
              <w:t>1.603.092.062.149</w:t>
            </w:r>
          </w:p>
        </w:tc>
        <w:tc>
          <w:tcPr>
            <w:tcW w:w="1002" w:type="pct"/>
            <w:noWrap/>
            <w:vAlign w:val="center"/>
            <w:hideMark/>
          </w:tcPr>
          <w:p w14:paraId="07824C5D" w14:textId="77777777" w:rsidR="00E814BD" w:rsidRPr="00951AB1" w:rsidRDefault="00E814BD" w:rsidP="000A5389">
            <w:pPr>
              <w:spacing w:line="240" w:lineRule="auto"/>
              <w:jc w:val="right"/>
              <w:rPr>
                <w:rFonts w:eastAsia="Times New Roman" w:cs="Times New Roman"/>
                <w:b/>
                <w:bCs/>
                <w:sz w:val="20"/>
                <w:szCs w:val="20"/>
                <w:lang w:eastAsia="es-CO"/>
              </w:rPr>
            </w:pPr>
            <w:r w:rsidRPr="00951AB1">
              <w:rPr>
                <w:rFonts w:eastAsia="Times New Roman" w:cs="Times New Roman"/>
                <w:b/>
                <w:bCs/>
                <w:sz w:val="20"/>
                <w:szCs w:val="20"/>
                <w:lang w:eastAsia="es-CO"/>
              </w:rPr>
              <w:t>-1.484.637.423.883</w:t>
            </w:r>
          </w:p>
        </w:tc>
      </w:tr>
      <w:tr w:rsidR="00E814BD" w:rsidRPr="00951AB1" w14:paraId="21A2F455" w14:textId="77777777" w:rsidTr="00684C05">
        <w:trPr>
          <w:trHeight w:val="300"/>
          <w:jc w:val="center"/>
        </w:trPr>
        <w:tc>
          <w:tcPr>
            <w:tcW w:w="735" w:type="pct"/>
            <w:noWrap/>
            <w:vAlign w:val="center"/>
            <w:hideMark/>
          </w:tcPr>
          <w:p w14:paraId="3196B393" w14:textId="77777777" w:rsidR="00E814BD" w:rsidRPr="00951AB1" w:rsidRDefault="00E814BD" w:rsidP="000A5389">
            <w:pPr>
              <w:spacing w:line="240" w:lineRule="auto"/>
              <w:rPr>
                <w:rFonts w:eastAsia="Times New Roman" w:cs="Times New Roman"/>
                <w:sz w:val="20"/>
                <w:szCs w:val="20"/>
                <w:lang w:eastAsia="es-CO"/>
              </w:rPr>
            </w:pPr>
            <w:r w:rsidRPr="00951AB1">
              <w:rPr>
                <w:rFonts w:eastAsia="Times New Roman" w:cs="Times New Roman"/>
                <w:sz w:val="20"/>
                <w:szCs w:val="20"/>
                <w:lang w:eastAsia="es-CO"/>
              </w:rPr>
              <w:t>2.7.01.03</w:t>
            </w:r>
          </w:p>
        </w:tc>
        <w:tc>
          <w:tcPr>
            <w:tcW w:w="328" w:type="pct"/>
            <w:noWrap/>
            <w:vAlign w:val="center"/>
            <w:hideMark/>
          </w:tcPr>
          <w:p w14:paraId="7D73EADC" w14:textId="77777777" w:rsidR="00E814BD" w:rsidRPr="00951AB1" w:rsidRDefault="00E814BD" w:rsidP="000A5389">
            <w:pPr>
              <w:spacing w:line="240" w:lineRule="auto"/>
              <w:jc w:val="center"/>
              <w:rPr>
                <w:rFonts w:eastAsia="Times New Roman" w:cs="Times New Roman"/>
                <w:sz w:val="20"/>
                <w:szCs w:val="20"/>
                <w:lang w:eastAsia="es-CO"/>
              </w:rPr>
            </w:pPr>
            <w:r w:rsidRPr="00951AB1">
              <w:rPr>
                <w:rFonts w:eastAsia="Times New Roman" w:cs="Times New Roman"/>
                <w:sz w:val="20"/>
                <w:szCs w:val="20"/>
                <w:lang w:eastAsia="es-CO"/>
              </w:rPr>
              <w:t>Cr</w:t>
            </w:r>
          </w:p>
        </w:tc>
        <w:tc>
          <w:tcPr>
            <w:tcW w:w="1072" w:type="pct"/>
            <w:vAlign w:val="center"/>
            <w:hideMark/>
          </w:tcPr>
          <w:p w14:paraId="6305FFAB" w14:textId="77777777" w:rsidR="00E814BD" w:rsidRPr="00951AB1" w:rsidRDefault="00E814BD" w:rsidP="000A5389">
            <w:pPr>
              <w:spacing w:line="240" w:lineRule="auto"/>
              <w:rPr>
                <w:rFonts w:eastAsia="Times New Roman" w:cs="Times New Roman"/>
                <w:sz w:val="20"/>
                <w:szCs w:val="20"/>
                <w:lang w:eastAsia="es-CO"/>
              </w:rPr>
            </w:pPr>
            <w:r w:rsidRPr="00951AB1">
              <w:rPr>
                <w:rFonts w:eastAsia="Times New Roman" w:cs="Times New Roman"/>
                <w:sz w:val="20"/>
                <w:szCs w:val="20"/>
                <w:lang w:eastAsia="es-CO"/>
              </w:rPr>
              <w:t>Administrativas</w:t>
            </w:r>
          </w:p>
        </w:tc>
        <w:tc>
          <w:tcPr>
            <w:tcW w:w="899" w:type="pct"/>
            <w:noWrap/>
            <w:vAlign w:val="center"/>
            <w:hideMark/>
          </w:tcPr>
          <w:p w14:paraId="782E25CC" w14:textId="77777777" w:rsidR="00E814BD" w:rsidRPr="00951AB1" w:rsidRDefault="00E814BD" w:rsidP="000A5389">
            <w:pPr>
              <w:spacing w:line="240" w:lineRule="auto"/>
              <w:jc w:val="right"/>
              <w:rPr>
                <w:rFonts w:eastAsia="Times New Roman" w:cs="Times New Roman"/>
                <w:sz w:val="20"/>
                <w:szCs w:val="20"/>
                <w:lang w:eastAsia="es-CO"/>
              </w:rPr>
            </w:pPr>
            <w:r w:rsidRPr="00951AB1">
              <w:rPr>
                <w:rFonts w:eastAsia="Times New Roman" w:cs="Times New Roman"/>
                <w:sz w:val="20"/>
                <w:szCs w:val="20"/>
                <w:lang w:eastAsia="es-CO"/>
              </w:rPr>
              <w:t>117.886.913.986</w:t>
            </w:r>
          </w:p>
        </w:tc>
        <w:tc>
          <w:tcPr>
            <w:tcW w:w="963" w:type="pct"/>
            <w:noWrap/>
            <w:vAlign w:val="center"/>
            <w:hideMark/>
          </w:tcPr>
          <w:p w14:paraId="1D6D0BC8" w14:textId="77777777" w:rsidR="00E814BD" w:rsidRPr="00951AB1" w:rsidRDefault="00E814BD" w:rsidP="000A5389">
            <w:pPr>
              <w:spacing w:line="240" w:lineRule="auto"/>
              <w:jc w:val="right"/>
              <w:rPr>
                <w:rFonts w:eastAsia="Times New Roman" w:cs="Times New Roman"/>
                <w:sz w:val="20"/>
                <w:szCs w:val="20"/>
                <w:lang w:eastAsia="es-CO"/>
              </w:rPr>
            </w:pPr>
            <w:r w:rsidRPr="00951AB1">
              <w:rPr>
                <w:rFonts w:eastAsia="Times New Roman" w:cs="Times New Roman"/>
                <w:sz w:val="20"/>
                <w:szCs w:val="20"/>
                <w:lang w:eastAsia="es-CO"/>
              </w:rPr>
              <w:t>1.597.449.245.723</w:t>
            </w:r>
          </w:p>
        </w:tc>
        <w:tc>
          <w:tcPr>
            <w:tcW w:w="1002" w:type="pct"/>
            <w:noWrap/>
            <w:vAlign w:val="center"/>
            <w:hideMark/>
          </w:tcPr>
          <w:p w14:paraId="7B69B71E" w14:textId="77777777" w:rsidR="00E814BD" w:rsidRPr="00951AB1" w:rsidRDefault="00E814BD" w:rsidP="000A5389">
            <w:pPr>
              <w:spacing w:line="240" w:lineRule="auto"/>
              <w:jc w:val="right"/>
              <w:rPr>
                <w:rFonts w:eastAsia="Times New Roman" w:cs="Times New Roman"/>
                <w:sz w:val="20"/>
                <w:szCs w:val="20"/>
                <w:lang w:eastAsia="es-CO"/>
              </w:rPr>
            </w:pPr>
            <w:r w:rsidRPr="00951AB1">
              <w:rPr>
                <w:rFonts w:eastAsia="Times New Roman" w:cs="Times New Roman"/>
                <w:sz w:val="20"/>
                <w:szCs w:val="20"/>
                <w:lang w:eastAsia="es-CO"/>
              </w:rPr>
              <w:t>-1.479.562.331.737</w:t>
            </w:r>
          </w:p>
        </w:tc>
      </w:tr>
      <w:tr w:rsidR="00E814BD" w:rsidRPr="00951AB1" w14:paraId="319C0FC2" w14:textId="77777777" w:rsidTr="00684C05">
        <w:trPr>
          <w:trHeight w:val="300"/>
          <w:jc w:val="center"/>
        </w:trPr>
        <w:tc>
          <w:tcPr>
            <w:tcW w:w="735" w:type="pct"/>
            <w:noWrap/>
            <w:vAlign w:val="center"/>
          </w:tcPr>
          <w:p w14:paraId="0384333B" w14:textId="77777777" w:rsidR="00E814BD" w:rsidRPr="00951AB1" w:rsidRDefault="00E814BD" w:rsidP="000A5389">
            <w:pPr>
              <w:spacing w:line="240" w:lineRule="auto"/>
              <w:rPr>
                <w:rFonts w:eastAsia="Times New Roman" w:cs="Times New Roman"/>
                <w:sz w:val="20"/>
                <w:szCs w:val="20"/>
                <w:lang w:eastAsia="es-CO"/>
              </w:rPr>
            </w:pPr>
            <w:r w:rsidRPr="00951AB1">
              <w:rPr>
                <w:rFonts w:eastAsia="Times New Roman" w:cs="Times New Roman"/>
                <w:sz w:val="20"/>
                <w:szCs w:val="20"/>
                <w:lang w:eastAsia="es-CO"/>
              </w:rPr>
              <w:t>2.7.01.05</w:t>
            </w:r>
          </w:p>
        </w:tc>
        <w:tc>
          <w:tcPr>
            <w:tcW w:w="328" w:type="pct"/>
            <w:noWrap/>
            <w:vAlign w:val="center"/>
          </w:tcPr>
          <w:p w14:paraId="01AE0374" w14:textId="77777777" w:rsidR="00E814BD" w:rsidRPr="00951AB1" w:rsidRDefault="00E814BD" w:rsidP="000A5389">
            <w:pPr>
              <w:spacing w:line="240" w:lineRule="auto"/>
              <w:jc w:val="center"/>
              <w:rPr>
                <w:rFonts w:eastAsia="Times New Roman" w:cs="Times New Roman"/>
                <w:sz w:val="20"/>
                <w:szCs w:val="20"/>
                <w:lang w:eastAsia="es-CO"/>
              </w:rPr>
            </w:pPr>
            <w:r w:rsidRPr="00951AB1">
              <w:rPr>
                <w:rFonts w:eastAsia="Times New Roman" w:cs="Times New Roman"/>
                <w:sz w:val="20"/>
                <w:szCs w:val="20"/>
                <w:lang w:eastAsia="es-CO"/>
              </w:rPr>
              <w:t>Cr</w:t>
            </w:r>
          </w:p>
        </w:tc>
        <w:tc>
          <w:tcPr>
            <w:tcW w:w="1072" w:type="pct"/>
            <w:vAlign w:val="center"/>
          </w:tcPr>
          <w:p w14:paraId="0BC72248" w14:textId="77777777" w:rsidR="00E814BD" w:rsidRPr="00951AB1" w:rsidRDefault="00E814BD" w:rsidP="000A5389">
            <w:pPr>
              <w:spacing w:line="240" w:lineRule="auto"/>
              <w:rPr>
                <w:rFonts w:eastAsia="Times New Roman" w:cs="Times New Roman"/>
                <w:sz w:val="20"/>
                <w:szCs w:val="20"/>
                <w:lang w:eastAsia="es-CO"/>
              </w:rPr>
            </w:pPr>
            <w:r w:rsidRPr="00951AB1">
              <w:rPr>
                <w:rFonts w:eastAsia="Times New Roman" w:cs="Times New Roman"/>
                <w:sz w:val="20"/>
                <w:szCs w:val="20"/>
                <w:lang w:eastAsia="es-CO"/>
              </w:rPr>
              <w:t>Laborales</w:t>
            </w:r>
          </w:p>
        </w:tc>
        <w:tc>
          <w:tcPr>
            <w:tcW w:w="899" w:type="pct"/>
            <w:noWrap/>
            <w:vAlign w:val="center"/>
          </w:tcPr>
          <w:p w14:paraId="717ACCEB" w14:textId="77777777" w:rsidR="00E814BD" w:rsidRPr="00951AB1" w:rsidRDefault="00E814BD" w:rsidP="000A5389">
            <w:pPr>
              <w:spacing w:line="240" w:lineRule="auto"/>
              <w:jc w:val="right"/>
              <w:rPr>
                <w:rFonts w:eastAsia="Times New Roman" w:cs="Times New Roman"/>
                <w:sz w:val="20"/>
                <w:szCs w:val="20"/>
                <w:lang w:eastAsia="es-CO"/>
              </w:rPr>
            </w:pPr>
            <w:r w:rsidRPr="00951AB1">
              <w:rPr>
                <w:rFonts w:eastAsia="Times New Roman" w:cs="Times New Roman"/>
                <w:sz w:val="20"/>
                <w:szCs w:val="20"/>
                <w:lang w:eastAsia="es-CO"/>
              </w:rPr>
              <w:t>343.379.560</w:t>
            </w:r>
          </w:p>
        </w:tc>
        <w:tc>
          <w:tcPr>
            <w:tcW w:w="963" w:type="pct"/>
            <w:noWrap/>
            <w:vAlign w:val="center"/>
          </w:tcPr>
          <w:p w14:paraId="0F143D04" w14:textId="77777777" w:rsidR="00E814BD" w:rsidRPr="00951AB1" w:rsidRDefault="00E814BD" w:rsidP="000A5389">
            <w:pPr>
              <w:spacing w:line="240" w:lineRule="auto"/>
              <w:jc w:val="right"/>
              <w:rPr>
                <w:rFonts w:eastAsia="Times New Roman" w:cs="Times New Roman"/>
                <w:sz w:val="20"/>
                <w:szCs w:val="20"/>
                <w:lang w:eastAsia="es-CO"/>
              </w:rPr>
            </w:pPr>
            <w:r w:rsidRPr="00951AB1">
              <w:rPr>
                <w:rFonts w:eastAsia="Times New Roman" w:cs="Times New Roman"/>
                <w:sz w:val="20"/>
                <w:szCs w:val="20"/>
                <w:lang w:eastAsia="es-CO"/>
              </w:rPr>
              <w:t>729.647.882</w:t>
            </w:r>
          </w:p>
        </w:tc>
        <w:tc>
          <w:tcPr>
            <w:tcW w:w="1002" w:type="pct"/>
            <w:noWrap/>
            <w:vAlign w:val="center"/>
          </w:tcPr>
          <w:p w14:paraId="16756B24" w14:textId="77777777" w:rsidR="00E814BD" w:rsidRPr="00951AB1" w:rsidRDefault="00E814BD" w:rsidP="000A5389">
            <w:pPr>
              <w:spacing w:line="240" w:lineRule="auto"/>
              <w:jc w:val="right"/>
              <w:rPr>
                <w:rFonts w:eastAsia="Times New Roman" w:cs="Times New Roman"/>
                <w:sz w:val="20"/>
                <w:szCs w:val="20"/>
                <w:lang w:eastAsia="es-CO"/>
              </w:rPr>
            </w:pPr>
            <w:r w:rsidRPr="00951AB1">
              <w:rPr>
                <w:rFonts w:eastAsia="Times New Roman" w:cs="Times New Roman"/>
                <w:sz w:val="20"/>
                <w:szCs w:val="20"/>
                <w:lang w:eastAsia="es-CO"/>
              </w:rPr>
              <w:t>-386.268.322</w:t>
            </w:r>
          </w:p>
        </w:tc>
      </w:tr>
      <w:tr w:rsidR="00E814BD" w:rsidRPr="00951AB1" w14:paraId="4A59F497" w14:textId="77777777" w:rsidTr="00684C05">
        <w:trPr>
          <w:trHeight w:val="300"/>
          <w:jc w:val="center"/>
        </w:trPr>
        <w:tc>
          <w:tcPr>
            <w:tcW w:w="735" w:type="pct"/>
            <w:noWrap/>
            <w:vAlign w:val="center"/>
          </w:tcPr>
          <w:p w14:paraId="4B154A7C" w14:textId="77777777" w:rsidR="00E814BD" w:rsidRPr="00951AB1" w:rsidRDefault="00E814BD" w:rsidP="000A5389">
            <w:pPr>
              <w:spacing w:line="240" w:lineRule="auto"/>
              <w:rPr>
                <w:rFonts w:eastAsia="Times New Roman" w:cs="Times New Roman"/>
                <w:sz w:val="20"/>
                <w:szCs w:val="20"/>
                <w:lang w:eastAsia="es-CO"/>
              </w:rPr>
            </w:pPr>
            <w:r w:rsidRPr="00951AB1">
              <w:rPr>
                <w:rFonts w:eastAsia="Times New Roman" w:cs="Times New Roman"/>
                <w:sz w:val="20"/>
                <w:szCs w:val="20"/>
                <w:lang w:eastAsia="es-CO"/>
              </w:rPr>
              <w:t>2.7.01.01</w:t>
            </w:r>
          </w:p>
        </w:tc>
        <w:tc>
          <w:tcPr>
            <w:tcW w:w="328" w:type="pct"/>
            <w:noWrap/>
            <w:vAlign w:val="center"/>
          </w:tcPr>
          <w:p w14:paraId="0AD75C0E" w14:textId="77777777" w:rsidR="00E814BD" w:rsidRPr="00951AB1" w:rsidRDefault="00E814BD" w:rsidP="000A5389">
            <w:pPr>
              <w:spacing w:line="240" w:lineRule="auto"/>
              <w:jc w:val="center"/>
              <w:rPr>
                <w:rFonts w:eastAsia="Times New Roman" w:cs="Times New Roman"/>
                <w:sz w:val="20"/>
                <w:szCs w:val="20"/>
                <w:lang w:eastAsia="es-CO"/>
              </w:rPr>
            </w:pPr>
            <w:r w:rsidRPr="00951AB1">
              <w:rPr>
                <w:rFonts w:eastAsia="Times New Roman" w:cs="Times New Roman"/>
                <w:sz w:val="20"/>
                <w:szCs w:val="20"/>
                <w:lang w:eastAsia="es-CO"/>
              </w:rPr>
              <w:t>Cr</w:t>
            </w:r>
          </w:p>
        </w:tc>
        <w:tc>
          <w:tcPr>
            <w:tcW w:w="1072" w:type="pct"/>
            <w:vAlign w:val="center"/>
          </w:tcPr>
          <w:p w14:paraId="02F332DF" w14:textId="77777777" w:rsidR="00E814BD" w:rsidRPr="00951AB1" w:rsidRDefault="00E814BD" w:rsidP="000A5389">
            <w:pPr>
              <w:spacing w:line="240" w:lineRule="auto"/>
              <w:rPr>
                <w:rFonts w:eastAsia="Times New Roman" w:cs="Times New Roman"/>
                <w:sz w:val="20"/>
                <w:szCs w:val="20"/>
                <w:lang w:eastAsia="es-CO"/>
              </w:rPr>
            </w:pPr>
            <w:r w:rsidRPr="00951AB1">
              <w:rPr>
                <w:rFonts w:eastAsia="Times New Roman" w:cs="Times New Roman"/>
                <w:sz w:val="20"/>
                <w:szCs w:val="20"/>
                <w:lang w:eastAsia="es-CO"/>
              </w:rPr>
              <w:t>Civiles</w:t>
            </w:r>
          </w:p>
        </w:tc>
        <w:tc>
          <w:tcPr>
            <w:tcW w:w="899" w:type="pct"/>
            <w:noWrap/>
            <w:vAlign w:val="center"/>
          </w:tcPr>
          <w:p w14:paraId="46F347D0" w14:textId="77777777" w:rsidR="00E814BD" w:rsidRPr="00951AB1" w:rsidRDefault="00E814BD" w:rsidP="000A5389">
            <w:pPr>
              <w:spacing w:line="240" w:lineRule="auto"/>
              <w:jc w:val="right"/>
              <w:rPr>
                <w:rFonts w:eastAsia="Times New Roman" w:cs="Times New Roman"/>
                <w:sz w:val="20"/>
                <w:szCs w:val="20"/>
                <w:lang w:eastAsia="es-CO"/>
              </w:rPr>
            </w:pPr>
            <w:r w:rsidRPr="00951AB1">
              <w:rPr>
                <w:rFonts w:eastAsia="Times New Roman" w:cs="Times New Roman"/>
                <w:sz w:val="20"/>
                <w:szCs w:val="20"/>
                <w:lang w:eastAsia="es-CO"/>
              </w:rPr>
              <w:t>224.344.720</w:t>
            </w:r>
          </w:p>
        </w:tc>
        <w:tc>
          <w:tcPr>
            <w:tcW w:w="963" w:type="pct"/>
            <w:noWrap/>
            <w:vAlign w:val="center"/>
          </w:tcPr>
          <w:p w14:paraId="7E16D63F" w14:textId="77777777" w:rsidR="00E814BD" w:rsidRPr="00951AB1" w:rsidRDefault="00E814BD" w:rsidP="000A5389">
            <w:pPr>
              <w:spacing w:line="240" w:lineRule="auto"/>
              <w:jc w:val="right"/>
              <w:rPr>
                <w:rFonts w:eastAsia="Times New Roman" w:cs="Times New Roman"/>
                <w:sz w:val="20"/>
                <w:szCs w:val="20"/>
                <w:lang w:eastAsia="es-CO"/>
              </w:rPr>
            </w:pPr>
            <w:r w:rsidRPr="00951AB1">
              <w:rPr>
                <w:rFonts w:eastAsia="Times New Roman" w:cs="Times New Roman"/>
                <w:sz w:val="20"/>
                <w:szCs w:val="20"/>
                <w:lang w:eastAsia="es-CO"/>
              </w:rPr>
              <w:t>4.913.168.544</w:t>
            </w:r>
          </w:p>
        </w:tc>
        <w:tc>
          <w:tcPr>
            <w:tcW w:w="1002" w:type="pct"/>
            <w:noWrap/>
            <w:vAlign w:val="center"/>
          </w:tcPr>
          <w:p w14:paraId="4D261E01" w14:textId="77777777" w:rsidR="00E814BD" w:rsidRPr="00951AB1" w:rsidRDefault="00E814BD" w:rsidP="000A5389">
            <w:pPr>
              <w:spacing w:line="240" w:lineRule="auto"/>
              <w:jc w:val="right"/>
              <w:rPr>
                <w:rFonts w:eastAsia="Times New Roman" w:cs="Times New Roman"/>
                <w:sz w:val="20"/>
                <w:szCs w:val="20"/>
                <w:lang w:eastAsia="es-CO"/>
              </w:rPr>
            </w:pPr>
            <w:r w:rsidRPr="00951AB1">
              <w:rPr>
                <w:rFonts w:eastAsia="Times New Roman" w:cs="Times New Roman"/>
                <w:sz w:val="20"/>
                <w:szCs w:val="20"/>
                <w:lang w:eastAsia="es-CO"/>
              </w:rPr>
              <w:t>-4.688.823.824</w:t>
            </w:r>
          </w:p>
        </w:tc>
      </w:tr>
    </w:tbl>
    <w:p w14:paraId="780911BB" w14:textId="77777777" w:rsidR="00E814BD" w:rsidRPr="00951AB1" w:rsidRDefault="00E814BD" w:rsidP="000A5389">
      <w:pPr>
        <w:autoSpaceDE w:val="0"/>
        <w:autoSpaceDN w:val="0"/>
        <w:adjustRightInd w:val="0"/>
        <w:spacing w:line="240" w:lineRule="auto"/>
        <w:rPr>
          <w:rFonts w:cs="Times New Roman"/>
          <w:color w:val="000000"/>
          <w:sz w:val="14"/>
          <w:szCs w:val="14"/>
        </w:rPr>
      </w:pPr>
      <w:r w:rsidRPr="00951AB1">
        <w:rPr>
          <w:rFonts w:cs="Times New Roman"/>
          <w:color w:val="000000"/>
          <w:sz w:val="14"/>
          <w:szCs w:val="14"/>
        </w:rPr>
        <w:t xml:space="preserve">                Cifras expresadas en pesos</w:t>
      </w:r>
    </w:p>
    <w:p w14:paraId="2BDF81A0" w14:textId="77777777" w:rsidR="00E814BD" w:rsidRDefault="00E814BD" w:rsidP="000A5389">
      <w:pPr>
        <w:spacing w:line="240" w:lineRule="auto"/>
        <w:rPr>
          <w:rFonts w:cs="Times New Roman"/>
          <w:szCs w:val="24"/>
        </w:rPr>
      </w:pPr>
      <w:r w:rsidRPr="00951AB1">
        <w:rPr>
          <w:rFonts w:cs="Times New Roman"/>
          <w:szCs w:val="24"/>
        </w:rPr>
        <w:lastRenderedPageBreak/>
        <w:t>A continuación, presentamos el comportamiento de los litigios y demandas:</w:t>
      </w:r>
    </w:p>
    <w:p w14:paraId="78D738E9" w14:textId="77777777" w:rsidR="00FE1E23" w:rsidRPr="00951AB1" w:rsidRDefault="00FE1E23" w:rsidP="000A5389">
      <w:pPr>
        <w:spacing w:line="240" w:lineRule="auto"/>
        <w:rPr>
          <w:rFonts w:cs="Times New Roman"/>
          <w:szCs w:val="24"/>
        </w:rPr>
      </w:pPr>
    </w:p>
    <w:tbl>
      <w:tblPr>
        <w:tblW w:w="5000" w:type="pct"/>
        <w:jc w:val="center"/>
        <w:tblLayout w:type="fixed"/>
        <w:tblCellMar>
          <w:left w:w="70" w:type="dxa"/>
          <w:right w:w="70" w:type="dxa"/>
        </w:tblCellMar>
        <w:tblLook w:val="04A0" w:firstRow="1" w:lastRow="0" w:firstColumn="1" w:lastColumn="0" w:noHBand="0" w:noVBand="1"/>
      </w:tblPr>
      <w:tblGrid>
        <w:gridCol w:w="1124"/>
        <w:gridCol w:w="711"/>
        <w:gridCol w:w="286"/>
        <w:gridCol w:w="1411"/>
        <w:gridCol w:w="1277"/>
        <w:gridCol w:w="454"/>
        <w:gridCol w:w="1550"/>
        <w:gridCol w:w="360"/>
        <w:gridCol w:w="426"/>
        <w:gridCol w:w="34"/>
        <w:gridCol w:w="1195"/>
      </w:tblGrid>
      <w:tr w:rsidR="00E814BD" w:rsidRPr="00951AB1" w14:paraId="71BCA446" w14:textId="77777777" w:rsidTr="00054048">
        <w:trPr>
          <w:trHeight w:val="300"/>
          <w:tblHeader/>
          <w:jc w:val="center"/>
        </w:trPr>
        <w:tc>
          <w:tcPr>
            <w:tcW w:w="1201" w:type="pct"/>
            <w:gridSpan w:val="3"/>
            <w:vMerge w:val="restart"/>
            <w:tcBorders>
              <w:top w:val="single" w:sz="4" w:space="0" w:color="A6A6A6"/>
              <w:left w:val="single" w:sz="4" w:space="0" w:color="A6A6A6"/>
              <w:bottom w:val="single" w:sz="4" w:space="0" w:color="A6A6A6"/>
              <w:right w:val="single" w:sz="4" w:space="0" w:color="A6A6A6"/>
            </w:tcBorders>
            <w:vAlign w:val="center"/>
            <w:hideMark/>
          </w:tcPr>
          <w:p w14:paraId="1DF4DB13" w14:textId="77777777" w:rsidR="00E814BD" w:rsidRPr="00951AB1" w:rsidRDefault="00E814BD" w:rsidP="000A5389">
            <w:pPr>
              <w:spacing w:line="240" w:lineRule="auto"/>
              <w:jc w:val="center"/>
              <w:rPr>
                <w:rFonts w:eastAsia="Times New Roman" w:cs="Times New Roman"/>
                <w:b/>
                <w:bCs/>
                <w:color w:val="000000"/>
                <w:sz w:val="16"/>
                <w:szCs w:val="16"/>
                <w:lang w:eastAsia="es-CO"/>
              </w:rPr>
            </w:pPr>
            <w:r w:rsidRPr="00951AB1">
              <w:rPr>
                <w:rFonts w:eastAsia="Times New Roman" w:cs="Times New Roman"/>
                <w:b/>
                <w:bCs/>
                <w:color w:val="000000"/>
                <w:sz w:val="16"/>
                <w:szCs w:val="16"/>
                <w:lang w:eastAsia="es-CO"/>
              </w:rPr>
              <w:t>ASOCIACIÓN DE DATOS</w:t>
            </w:r>
          </w:p>
        </w:tc>
        <w:tc>
          <w:tcPr>
            <w:tcW w:w="3799" w:type="pct"/>
            <w:gridSpan w:val="8"/>
            <w:tcBorders>
              <w:top w:val="single" w:sz="4" w:space="0" w:color="A6A6A6"/>
              <w:left w:val="nil"/>
              <w:bottom w:val="single" w:sz="4" w:space="0" w:color="A6A6A6"/>
              <w:right w:val="single" w:sz="4" w:space="0" w:color="A6A6A6"/>
            </w:tcBorders>
            <w:vAlign w:val="center"/>
            <w:hideMark/>
          </w:tcPr>
          <w:p w14:paraId="5585312E" w14:textId="77777777" w:rsidR="00E814BD" w:rsidRPr="00951AB1" w:rsidRDefault="00E814BD" w:rsidP="000A5389">
            <w:pPr>
              <w:spacing w:line="240" w:lineRule="auto"/>
              <w:jc w:val="center"/>
              <w:rPr>
                <w:rFonts w:eastAsia="Times New Roman" w:cs="Times New Roman"/>
                <w:b/>
                <w:bCs/>
                <w:color w:val="000000"/>
                <w:sz w:val="16"/>
                <w:szCs w:val="16"/>
                <w:lang w:eastAsia="es-CO"/>
              </w:rPr>
            </w:pPr>
            <w:r w:rsidRPr="00951AB1">
              <w:rPr>
                <w:rFonts w:eastAsia="Times New Roman" w:cs="Times New Roman"/>
                <w:b/>
                <w:bCs/>
                <w:color w:val="000000"/>
                <w:sz w:val="16"/>
                <w:szCs w:val="16"/>
                <w:lang w:eastAsia="es-CO"/>
              </w:rPr>
              <w:t>VALOR EN LIBROS - CORTE 2025</w:t>
            </w:r>
          </w:p>
        </w:tc>
      </w:tr>
      <w:tr w:rsidR="00684C05" w:rsidRPr="00951AB1" w14:paraId="00EC3C31" w14:textId="77777777" w:rsidTr="00054048">
        <w:trPr>
          <w:trHeight w:val="300"/>
          <w:tblHeader/>
          <w:jc w:val="center"/>
        </w:trPr>
        <w:tc>
          <w:tcPr>
            <w:tcW w:w="1201" w:type="pct"/>
            <w:gridSpan w:val="3"/>
            <w:vMerge/>
            <w:tcBorders>
              <w:top w:val="single" w:sz="4" w:space="0" w:color="A6A6A6"/>
              <w:left w:val="single" w:sz="4" w:space="0" w:color="A6A6A6"/>
              <w:bottom w:val="single" w:sz="4" w:space="0" w:color="A6A6A6"/>
              <w:right w:val="single" w:sz="4" w:space="0" w:color="A6A6A6"/>
            </w:tcBorders>
            <w:vAlign w:val="center"/>
            <w:hideMark/>
          </w:tcPr>
          <w:p w14:paraId="6CF70737" w14:textId="77777777" w:rsidR="00E814BD" w:rsidRPr="00951AB1" w:rsidRDefault="00E814BD" w:rsidP="000A5389">
            <w:pPr>
              <w:spacing w:line="240" w:lineRule="auto"/>
              <w:rPr>
                <w:rFonts w:eastAsia="Times New Roman" w:cs="Times New Roman"/>
                <w:b/>
                <w:bCs/>
                <w:color w:val="000000"/>
                <w:sz w:val="16"/>
                <w:szCs w:val="16"/>
                <w:lang w:eastAsia="es-CO"/>
              </w:rPr>
            </w:pPr>
          </w:p>
        </w:tc>
        <w:tc>
          <w:tcPr>
            <w:tcW w:w="799" w:type="pct"/>
            <w:tcBorders>
              <w:top w:val="nil"/>
              <w:left w:val="nil"/>
              <w:bottom w:val="single" w:sz="4" w:space="0" w:color="A6A6A6"/>
              <w:right w:val="single" w:sz="4" w:space="0" w:color="A6A6A6"/>
            </w:tcBorders>
            <w:vAlign w:val="center"/>
            <w:hideMark/>
          </w:tcPr>
          <w:p w14:paraId="5BDCB780" w14:textId="77777777" w:rsidR="00E814BD" w:rsidRPr="00951AB1" w:rsidRDefault="00E814BD" w:rsidP="000A5389">
            <w:pPr>
              <w:spacing w:line="240" w:lineRule="auto"/>
              <w:jc w:val="center"/>
              <w:rPr>
                <w:rFonts w:eastAsia="Times New Roman" w:cs="Times New Roman"/>
                <w:b/>
                <w:bCs/>
                <w:color w:val="000000"/>
                <w:sz w:val="16"/>
                <w:szCs w:val="16"/>
                <w:lang w:eastAsia="es-CO"/>
              </w:rPr>
            </w:pPr>
            <w:r w:rsidRPr="00951AB1">
              <w:rPr>
                <w:rFonts w:eastAsia="Times New Roman" w:cs="Times New Roman"/>
                <w:b/>
                <w:bCs/>
                <w:color w:val="000000"/>
                <w:sz w:val="16"/>
                <w:szCs w:val="16"/>
                <w:lang w:eastAsia="es-CO"/>
              </w:rPr>
              <w:t>INICIAL</w:t>
            </w:r>
          </w:p>
        </w:tc>
        <w:tc>
          <w:tcPr>
            <w:tcW w:w="980" w:type="pct"/>
            <w:gridSpan w:val="2"/>
            <w:tcBorders>
              <w:top w:val="single" w:sz="4" w:space="0" w:color="A6A6A6"/>
              <w:left w:val="nil"/>
              <w:bottom w:val="single" w:sz="4" w:space="0" w:color="A6A6A6"/>
              <w:right w:val="single" w:sz="4" w:space="0" w:color="A6A6A6"/>
            </w:tcBorders>
            <w:vAlign w:val="center"/>
            <w:hideMark/>
          </w:tcPr>
          <w:p w14:paraId="3D788058" w14:textId="77777777" w:rsidR="00E814BD" w:rsidRPr="00951AB1" w:rsidRDefault="00E814BD" w:rsidP="000A5389">
            <w:pPr>
              <w:spacing w:line="240" w:lineRule="auto"/>
              <w:jc w:val="center"/>
              <w:rPr>
                <w:rFonts w:eastAsia="Times New Roman" w:cs="Times New Roman"/>
                <w:b/>
                <w:bCs/>
                <w:color w:val="000000"/>
                <w:sz w:val="16"/>
                <w:szCs w:val="16"/>
                <w:lang w:eastAsia="es-CO"/>
              </w:rPr>
            </w:pPr>
            <w:r w:rsidRPr="00951AB1">
              <w:rPr>
                <w:rFonts w:eastAsia="Times New Roman" w:cs="Times New Roman"/>
                <w:b/>
                <w:bCs/>
                <w:color w:val="000000"/>
                <w:sz w:val="16"/>
                <w:szCs w:val="16"/>
                <w:lang w:eastAsia="es-CO"/>
              </w:rPr>
              <w:t>ADICIONES (CR)</w:t>
            </w:r>
          </w:p>
        </w:tc>
        <w:tc>
          <w:tcPr>
            <w:tcW w:w="1342" w:type="pct"/>
            <w:gridSpan w:val="4"/>
            <w:tcBorders>
              <w:top w:val="single" w:sz="4" w:space="0" w:color="A6A6A6"/>
              <w:left w:val="nil"/>
              <w:bottom w:val="single" w:sz="4" w:space="0" w:color="A6A6A6"/>
              <w:right w:val="single" w:sz="4" w:space="0" w:color="A6A6A6"/>
            </w:tcBorders>
            <w:vAlign w:val="center"/>
            <w:hideMark/>
          </w:tcPr>
          <w:p w14:paraId="52E07773" w14:textId="77777777" w:rsidR="00E814BD" w:rsidRPr="00951AB1" w:rsidRDefault="00E814BD" w:rsidP="000A5389">
            <w:pPr>
              <w:spacing w:line="240" w:lineRule="auto"/>
              <w:jc w:val="center"/>
              <w:rPr>
                <w:rFonts w:eastAsia="Times New Roman" w:cs="Times New Roman"/>
                <w:b/>
                <w:bCs/>
                <w:color w:val="000000"/>
                <w:sz w:val="16"/>
                <w:szCs w:val="16"/>
                <w:lang w:eastAsia="es-CO"/>
              </w:rPr>
            </w:pPr>
            <w:r w:rsidRPr="00951AB1">
              <w:rPr>
                <w:rFonts w:eastAsia="Times New Roman" w:cs="Times New Roman"/>
                <w:b/>
                <w:bCs/>
                <w:color w:val="000000"/>
                <w:sz w:val="16"/>
                <w:szCs w:val="16"/>
                <w:lang w:eastAsia="es-CO"/>
              </w:rPr>
              <w:t>DISMINUCIONES (DB)</w:t>
            </w:r>
          </w:p>
        </w:tc>
        <w:tc>
          <w:tcPr>
            <w:tcW w:w="677" w:type="pct"/>
            <w:tcBorders>
              <w:top w:val="nil"/>
              <w:left w:val="nil"/>
              <w:bottom w:val="single" w:sz="4" w:space="0" w:color="A6A6A6"/>
              <w:right w:val="single" w:sz="4" w:space="0" w:color="A6A6A6"/>
            </w:tcBorders>
            <w:vAlign w:val="center"/>
            <w:hideMark/>
          </w:tcPr>
          <w:p w14:paraId="08535B8F" w14:textId="77777777" w:rsidR="00E814BD" w:rsidRPr="00951AB1" w:rsidRDefault="00E814BD" w:rsidP="000A5389">
            <w:pPr>
              <w:spacing w:line="240" w:lineRule="auto"/>
              <w:jc w:val="center"/>
              <w:rPr>
                <w:rFonts w:eastAsia="Times New Roman" w:cs="Times New Roman"/>
                <w:b/>
                <w:bCs/>
                <w:color w:val="000000"/>
                <w:sz w:val="16"/>
                <w:szCs w:val="16"/>
                <w:lang w:eastAsia="es-CO"/>
              </w:rPr>
            </w:pPr>
            <w:r w:rsidRPr="00951AB1">
              <w:rPr>
                <w:rFonts w:eastAsia="Times New Roman" w:cs="Times New Roman"/>
                <w:b/>
                <w:bCs/>
                <w:color w:val="000000"/>
                <w:sz w:val="16"/>
                <w:szCs w:val="16"/>
                <w:lang w:eastAsia="es-CO"/>
              </w:rPr>
              <w:t>FINAL</w:t>
            </w:r>
          </w:p>
        </w:tc>
      </w:tr>
      <w:tr w:rsidR="00684C05" w:rsidRPr="00951AB1" w14:paraId="34C57D03" w14:textId="77777777" w:rsidTr="00684C05">
        <w:trPr>
          <w:trHeight w:val="2540"/>
          <w:tblHeader/>
          <w:jc w:val="center"/>
        </w:trPr>
        <w:tc>
          <w:tcPr>
            <w:tcW w:w="637" w:type="pct"/>
            <w:tcBorders>
              <w:top w:val="nil"/>
              <w:left w:val="single" w:sz="4" w:space="0" w:color="A6A6A6"/>
              <w:bottom w:val="single" w:sz="4" w:space="0" w:color="A6A6A6"/>
              <w:right w:val="single" w:sz="4" w:space="0" w:color="A6A6A6"/>
            </w:tcBorders>
            <w:textDirection w:val="btLr"/>
            <w:vAlign w:val="center"/>
            <w:hideMark/>
          </w:tcPr>
          <w:p w14:paraId="01CDE2F8" w14:textId="77777777" w:rsidR="00E814BD" w:rsidRPr="00951AB1" w:rsidRDefault="00E814BD" w:rsidP="000A5389">
            <w:pPr>
              <w:spacing w:line="240" w:lineRule="auto"/>
              <w:jc w:val="center"/>
              <w:rPr>
                <w:rFonts w:eastAsia="Times New Roman" w:cs="Times New Roman"/>
                <w:b/>
                <w:bCs/>
                <w:color w:val="000000"/>
                <w:sz w:val="14"/>
                <w:szCs w:val="14"/>
                <w:lang w:eastAsia="es-CO"/>
              </w:rPr>
            </w:pPr>
            <w:r w:rsidRPr="00951AB1">
              <w:rPr>
                <w:rFonts w:eastAsia="Times New Roman" w:cs="Times New Roman"/>
                <w:b/>
                <w:bCs/>
                <w:color w:val="000000"/>
                <w:sz w:val="14"/>
                <w:szCs w:val="14"/>
                <w:lang w:eastAsia="es-CO"/>
              </w:rPr>
              <w:t>TIPO DE TERCEROS</w:t>
            </w:r>
          </w:p>
        </w:tc>
        <w:tc>
          <w:tcPr>
            <w:tcW w:w="403" w:type="pct"/>
            <w:tcBorders>
              <w:top w:val="nil"/>
              <w:left w:val="nil"/>
              <w:bottom w:val="single" w:sz="4" w:space="0" w:color="A6A6A6"/>
              <w:right w:val="single" w:sz="4" w:space="0" w:color="A6A6A6"/>
            </w:tcBorders>
            <w:textDirection w:val="btLr"/>
            <w:vAlign w:val="center"/>
            <w:hideMark/>
          </w:tcPr>
          <w:p w14:paraId="5288FC4A" w14:textId="77777777" w:rsidR="00E814BD" w:rsidRPr="00951AB1" w:rsidRDefault="00E814BD" w:rsidP="000A5389">
            <w:pPr>
              <w:spacing w:line="240" w:lineRule="auto"/>
              <w:jc w:val="center"/>
              <w:rPr>
                <w:rFonts w:eastAsia="Times New Roman" w:cs="Times New Roman"/>
                <w:b/>
                <w:bCs/>
                <w:color w:val="000000"/>
                <w:sz w:val="14"/>
                <w:szCs w:val="14"/>
                <w:lang w:eastAsia="es-CO"/>
              </w:rPr>
            </w:pPr>
            <w:r w:rsidRPr="00951AB1">
              <w:rPr>
                <w:rFonts w:eastAsia="Times New Roman" w:cs="Times New Roman"/>
                <w:b/>
                <w:bCs/>
                <w:color w:val="000000"/>
                <w:sz w:val="14"/>
                <w:szCs w:val="14"/>
                <w:lang w:eastAsia="es-CO"/>
              </w:rPr>
              <w:t>PN / PJ / ECP</w:t>
            </w:r>
          </w:p>
        </w:tc>
        <w:tc>
          <w:tcPr>
            <w:tcW w:w="162" w:type="pct"/>
            <w:tcBorders>
              <w:top w:val="nil"/>
              <w:left w:val="nil"/>
              <w:bottom w:val="single" w:sz="4" w:space="0" w:color="A6A6A6"/>
              <w:right w:val="single" w:sz="4" w:space="0" w:color="A6A6A6"/>
            </w:tcBorders>
            <w:textDirection w:val="btLr"/>
            <w:vAlign w:val="center"/>
            <w:hideMark/>
          </w:tcPr>
          <w:p w14:paraId="6C43910F" w14:textId="77777777" w:rsidR="00E814BD" w:rsidRPr="00951AB1" w:rsidRDefault="00E814BD" w:rsidP="000A5389">
            <w:pPr>
              <w:spacing w:line="240" w:lineRule="auto"/>
              <w:jc w:val="center"/>
              <w:rPr>
                <w:rFonts w:eastAsia="Times New Roman" w:cs="Times New Roman"/>
                <w:b/>
                <w:bCs/>
                <w:color w:val="000000"/>
                <w:sz w:val="14"/>
                <w:szCs w:val="14"/>
                <w:lang w:eastAsia="es-CO"/>
              </w:rPr>
            </w:pPr>
            <w:r w:rsidRPr="00951AB1">
              <w:rPr>
                <w:rFonts w:eastAsia="Times New Roman" w:cs="Times New Roman"/>
                <w:b/>
                <w:bCs/>
                <w:color w:val="000000"/>
                <w:sz w:val="14"/>
                <w:szCs w:val="14"/>
                <w:lang w:eastAsia="es-CO"/>
              </w:rPr>
              <w:t>CANTIDAD</w:t>
            </w:r>
          </w:p>
        </w:tc>
        <w:tc>
          <w:tcPr>
            <w:tcW w:w="799" w:type="pct"/>
            <w:tcBorders>
              <w:top w:val="nil"/>
              <w:left w:val="nil"/>
              <w:bottom w:val="single" w:sz="4" w:space="0" w:color="A6A6A6"/>
              <w:right w:val="single" w:sz="4" w:space="0" w:color="A6A6A6"/>
            </w:tcBorders>
            <w:textDirection w:val="btLr"/>
            <w:vAlign w:val="center"/>
            <w:hideMark/>
          </w:tcPr>
          <w:p w14:paraId="7720ECCC" w14:textId="77777777" w:rsidR="00E814BD" w:rsidRPr="00951AB1" w:rsidRDefault="00E814BD" w:rsidP="000A5389">
            <w:pPr>
              <w:spacing w:line="240" w:lineRule="auto"/>
              <w:jc w:val="center"/>
              <w:rPr>
                <w:rFonts w:eastAsia="Times New Roman" w:cs="Times New Roman"/>
                <w:b/>
                <w:bCs/>
                <w:color w:val="000000"/>
                <w:sz w:val="14"/>
                <w:szCs w:val="14"/>
                <w:lang w:eastAsia="es-CO"/>
              </w:rPr>
            </w:pPr>
            <w:r w:rsidRPr="00951AB1">
              <w:rPr>
                <w:rFonts w:eastAsia="Times New Roman" w:cs="Times New Roman"/>
                <w:b/>
                <w:bCs/>
                <w:color w:val="000000"/>
                <w:sz w:val="14"/>
                <w:szCs w:val="14"/>
                <w:lang w:eastAsia="es-CO"/>
              </w:rPr>
              <w:t>SALDO INICIAL</w:t>
            </w:r>
          </w:p>
        </w:tc>
        <w:tc>
          <w:tcPr>
            <w:tcW w:w="723" w:type="pct"/>
            <w:tcBorders>
              <w:top w:val="nil"/>
              <w:left w:val="nil"/>
              <w:bottom w:val="single" w:sz="4" w:space="0" w:color="A6A6A6"/>
              <w:right w:val="single" w:sz="4" w:space="0" w:color="A6A6A6"/>
            </w:tcBorders>
            <w:textDirection w:val="btLr"/>
            <w:vAlign w:val="center"/>
            <w:hideMark/>
          </w:tcPr>
          <w:p w14:paraId="45295428" w14:textId="77777777" w:rsidR="00E814BD" w:rsidRPr="00951AB1" w:rsidRDefault="00E814BD" w:rsidP="000A5389">
            <w:pPr>
              <w:spacing w:line="240" w:lineRule="auto"/>
              <w:jc w:val="center"/>
              <w:rPr>
                <w:rFonts w:eastAsia="Times New Roman" w:cs="Times New Roman"/>
                <w:b/>
                <w:bCs/>
                <w:color w:val="000000"/>
                <w:sz w:val="14"/>
                <w:szCs w:val="14"/>
                <w:lang w:eastAsia="es-CO"/>
              </w:rPr>
            </w:pPr>
            <w:r w:rsidRPr="00951AB1">
              <w:rPr>
                <w:rFonts w:eastAsia="Times New Roman" w:cs="Times New Roman"/>
                <w:b/>
                <w:bCs/>
                <w:color w:val="000000"/>
                <w:sz w:val="14"/>
                <w:szCs w:val="14"/>
                <w:lang w:eastAsia="es-CO"/>
              </w:rPr>
              <w:t>INCREMENTO DE LA PROVISIÓN</w:t>
            </w:r>
          </w:p>
        </w:tc>
        <w:tc>
          <w:tcPr>
            <w:tcW w:w="257" w:type="pct"/>
            <w:tcBorders>
              <w:top w:val="nil"/>
              <w:left w:val="nil"/>
              <w:bottom w:val="single" w:sz="4" w:space="0" w:color="A6A6A6"/>
              <w:right w:val="single" w:sz="4" w:space="0" w:color="A6A6A6"/>
            </w:tcBorders>
            <w:textDirection w:val="btLr"/>
            <w:vAlign w:val="center"/>
            <w:hideMark/>
          </w:tcPr>
          <w:p w14:paraId="5D8E5AB8" w14:textId="77777777" w:rsidR="00E814BD" w:rsidRPr="00951AB1" w:rsidRDefault="00E814BD" w:rsidP="000A5389">
            <w:pPr>
              <w:spacing w:line="240" w:lineRule="auto"/>
              <w:jc w:val="center"/>
              <w:rPr>
                <w:rFonts w:eastAsia="Times New Roman" w:cs="Times New Roman"/>
                <w:b/>
                <w:bCs/>
                <w:color w:val="000000"/>
                <w:sz w:val="14"/>
                <w:szCs w:val="14"/>
                <w:lang w:eastAsia="es-CO"/>
              </w:rPr>
            </w:pPr>
            <w:r w:rsidRPr="00951AB1">
              <w:rPr>
                <w:rFonts w:eastAsia="Times New Roman" w:cs="Times New Roman"/>
                <w:b/>
                <w:bCs/>
                <w:color w:val="000000"/>
                <w:sz w:val="14"/>
                <w:szCs w:val="14"/>
                <w:lang w:eastAsia="es-CO"/>
              </w:rPr>
              <w:t>AJUSTES POR CAMBIOS EN LA MEDICIÓN</w:t>
            </w:r>
          </w:p>
        </w:tc>
        <w:tc>
          <w:tcPr>
            <w:tcW w:w="878" w:type="pct"/>
            <w:tcBorders>
              <w:top w:val="nil"/>
              <w:left w:val="nil"/>
              <w:bottom w:val="single" w:sz="4" w:space="0" w:color="A6A6A6"/>
              <w:right w:val="single" w:sz="4" w:space="0" w:color="A6A6A6"/>
            </w:tcBorders>
            <w:textDirection w:val="btLr"/>
            <w:vAlign w:val="center"/>
            <w:hideMark/>
          </w:tcPr>
          <w:p w14:paraId="393B3D08" w14:textId="77777777" w:rsidR="00E814BD" w:rsidRPr="00951AB1" w:rsidRDefault="00E814BD" w:rsidP="000A5389">
            <w:pPr>
              <w:spacing w:line="240" w:lineRule="auto"/>
              <w:jc w:val="center"/>
              <w:rPr>
                <w:rFonts w:eastAsia="Times New Roman" w:cs="Times New Roman"/>
                <w:b/>
                <w:bCs/>
                <w:color w:val="000000"/>
                <w:sz w:val="14"/>
                <w:szCs w:val="14"/>
                <w:lang w:eastAsia="es-CO"/>
              </w:rPr>
            </w:pPr>
            <w:r w:rsidRPr="00951AB1">
              <w:rPr>
                <w:rFonts w:eastAsia="Times New Roman" w:cs="Times New Roman"/>
                <w:b/>
                <w:bCs/>
                <w:color w:val="000000"/>
                <w:sz w:val="14"/>
                <w:szCs w:val="14"/>
                <w:lang w:eastAsia="es-CO"/>
              </w:rPr>
              <w:t>DECREMENTOS DE LA PROVISIÓN</w:t>
            </w:r>
          </w:p>
        </w:tc>
        <w:tc>
          <w:tcPr>
            <w:tcW w:w="204" w:type="pct"/>
            <w:tcBorders>
              <w:top w:val="nil"/>
              <w:left w:val="nil"/>
              <w:bottom w:val="single" w:sz="4" w:space="0" w:color="A6A6A6"/>
              <w:right w:val="single" w:sz="4" w:space="0" w:color="A6A6A6"/>
            </w:tcBorders>
            <w:textDirection w:val="btLr"/>
            <w:vAlign w:val="center"/>
            <w:hideMark/>
          </w:tcPr>
          <w:p w14:paraId="30A11CDF" w14:textId="77777777" w:rsidR="00E814BD" w:rsidRPr="00951AB1" w:rsidRDefault="00E814BD" w:rsidP="000A5389">
            <w:pPr>
              <w:spacing w:line="240" w:lineRule="auto"/>
              <w:jc w:val="center"/>
              <w:rPr>
                <w:rFonts w:eastAsia="Times New Roman" w:cs="Times New Roman"/>
                <w:b/>
                <w:bCs/>
                <w:color w:val="000000"/>
                <w:sz w:val="14"/>
                <w:szCs w:val="14"/>
                <w:lang w:eastAsia="es-CO"/>
              </w:rPr>
            </w:pPr>
            <w:r w:rsidRPr="00951AB1">
              <w:rPr>
                <w:rFonts w:eastAsia="Times New Roman" w:cs="Times New Roman"/>
                <w:b/>
                <w:bCs/>
                <w:color w:val="000000"/>
                <w:sz w:val="14"/>
                <w:szCs w:val="14"/>
                <w:lang w:eastAsia="es-CO"/>
              </w:rPr>
              <w:t>AJUSTES POR CAMBIOS EN LA MEDICIÓN</w:t>
            </w:r>
          </w:p>
        </w:tc>
        <w:tc>
          <w:tcPr>
            <w:tcW w:w="241" w:type="pct"/>
            <w:tcBorders>
              <w:top w:val="nil"/>
              <w:left w:val="nil"/>
              <w:bottom w:val="single" w:sz="4" w:space="0" w:color="A6A6A6"/>
              <w:right w:val="single" w:sz="4" w:space="0" w:color="A6A6A6"/>
            </w:tcBorders>
            <w:textDirection w:val="btLr"/>
            <w:vAlign w:val="center"/>
            <w:hideMark/>
          </w:tcPr>
          <w:p w14:paraId="2FDD5CFF" w14:textId="77777777" w:rsidR="00E814BD" w:rsidRPr="00951AB1" w:rsidRDefault="00E814BD" w:rsidP="000A5389">
            <w:pPr>
              <w:spacing w:line="240" w:lineRule="auto"/>
              <w:jc w:val="center"/>
              <w:rPr>
                <w:rFonts w:eastAsia="Times New Roman" w:cs="Times New Roman"/>
                <w:b/>
                <w:bCs/>
                <w:color w:val="000000"/>
                <w:sz w:val="14"/>
                <w:szCs w:val="14"/>
                <w:lang w:eastAsia="es-CO"/>
              </w:rPr>
            </w:pPr>
            <w:r w:rsidRPr="00951AB1">
              <w:rPr>
                <w:rFonts w:eastAsia="Times New Roman" w:cs="Times New Roman"/>
                <w:b/>
                <w:bCs/>
                <w:color w:val="000000"/>
                <w:sz w:val="14"/>
                <w:szCs w:val="14"/>
                <w:lang w:eastAsia="es-CO"/>
              </w:rPr>
              <w:t>VALORES NO UTILIZADOS, O REVERSADOS DEL PERIODO</w:t>
            </w:r>
          </w:p>
        </w:tc>
        <w:tc>
          <w:tcPr>
            <w:tcW w:w="696" w:type="pct"/>
            <w:gridSpan w:val="2"/>
            <w:tcBorders>
              <w:top w:val="nil"/>
              <w:left w:val="nil"/>
              <w:bottom w:val="single" w:sz="4" w:space="0" w:color="A6A6A6"/>
              <w:right w:val="single" w:sz="4" w:space="0" w:color="A6A6A6"/>
            </w:tcBorders>
            <w:textDirection w:val="btLr"/>
            <w:vAlign w:val="center"/>
            <w:hideMark/>
          </w:tcPr>
          <w:p w14:paraId="5A456F23" w14:textId="77777777" w:rsidR="00E814BD" w:rsidRPr="00951AB1" w:rsidRDefault="00E814BD" w:rsidP="000A5389">
            <w:pPr>
              <w:spacing w:line="240" w:lineRule="auto"/>
              <w:jc w:val="center"/>
              <w:rPr>
                <w:rFonts w:eastAsia="Times New Roman" w:cs="Times New Roman"/>
                <w:b/>
                <w:bCs/>
                <w:color w:val="000000"/>
                <w:sz w:val="14"/>
                <w:szCs w:val="14"/>
                <w:lang w:eastAsia="es-CO"/>
              </w:rPr>
            </w:pPr>
            <w:r w:rsidRPr="00951AB1">
              <w:rPr>
                <w:rFonts w:eastAsia="Times New Roman" w:cs="Times New Roman"/>
                <w:b/>
                <w:bCs/>
                <w:color w:val="000000"/>
                <w:sz w:val="14"/>
                <w:szCs w:val="14"/>
                <w:lang w:eastAsia="es-CO"/>
              </w:rPr>
              <w:t>SALDO FINAL</w:t>
            </w:r>
          </w:p>
        </w:tc>
      </w:tr>
      <w:tr w:rsidR="00684C05" w:rsidRPr="00951AB1" w14:paraId="52AE2BAB" w14:textId="77777777" w:rsidTr="00684C05">
        <w:trPr>
          <w:trHeight w:val="285"/>
          <w:jc w:val="center"/>
        </w:trPr>
        <w:tc>
          <w:tcPr>
            <w:tcW w:w="637" w:type="pct"/>
            <w:tcBorders>
              <w:top w:val="nil"/>
              <w:left w:val="single" w:sz="4" w:space="0" w:color="A6A6A6"/>
              <w:bottom w:val="single" w:sz="4" w:space="0" w:color="A6A6A6"/>
              <w:right w:val="single" w:sz="4" w:space="0" w:color="A6A6A6"/>
            </w:tcBorders>
            <w:noWrap/>
            <w:vAlign w:val="center"/>
            <w:hideMark/>
          </w:tcPr>
          <w:p w14:paraId="1759BA21" w14:textId="77777777" w:rsidR="00E814BD" w:rsidRPr="00951AB1" w:rsidRDefault="00E814BD" w:rsidP="000A5389">
            <w:pPr>
              <w:spacing w:line="240" w:lineRule="auto"/>
              <w:rPr>
                <w:rFonts w:eastAsia="Times New Roman" w:cs="Times New Roman"/>
                <w:b/>
                <w:bCs/>
                <w:color w:val="000000"/>
                <w:sz w:val="16"/>
                <w:szCs w:val="16"/>
                <w:lang w:eastAsia="es-CO"/>
              </w:rPr>
            </w:pPr>
            <w:r w:rsidRPr="00951AB1">
              <w:rPr>
                <w:rFonts w:eastAsia="Times New Roman" w:cs="Times New Roman"/>
                <w:b/>
                <w:bCs/>
                <w:color w:val="000000"/>
                <w:sz w:val="16"/>
                <w:szCs w:val="16"/>
                <w:lang w:eastAsia="es-CO"/>
              </w:rPr>
              <w:t>LITIGIOS Y DEMANDAS</w:t>
            </w:r>
          </w:p>
        </w:tc>
        <w:tc>
          <w:tcPr>
            <w:tcW w:w="403" w:type="pct"/>
            <w:tcBorders>
              <w:top w:val="nil"/>
              <w:left w:val="nil"/>
              <w:bottom w:val="single" w:sz="4" w:space="0" w:color="A6A6A6"/>
              <w:right w:val="single" w:sz="4" w:space="0" w:color="A6A6A6"/>
            </w:tcBorders>
            <w:noWrap/>
            <w:vAlign w:val="center"/>
            <w:hideMark/>
          </w:tcPr>
          <w:p w14:paraId="684635E3" w14:textId="77777777" w:rsidR="00E814BD" w:rsidRPr="00951AB1" w:rsidRDefault="00E814BD" w:rsidP="000A5389">
            <w:pPr>
              <w:spacing w:line="240" w:lineRule="auto"/>
              <w:rPr>
                <w:rFonts w:eastAsia="Times New Roman" w:cs="Times New Roman"/>
                <w:b/>
                <w:bCs/>
                <w:color w:val="000000"/>
                <w:sz w:val="16"/>
                <w:szCs w:val="16"/>
                <w:lang w:eastAsia="es-CO"/>
              </w:rPr>
            </w:pPr>
            <w:r w:rsidRPr="00951AB1">
              <w:rPr>
                <w:rFonts w:eastAsia="Times New Roman" w:cs="Times New Roman"/>
                <w:b/>
                <w:bCs/>
                <w:color w:val="000000"/>
                <w:sz w:val="16"/>
                <w:szCs w:val="16"/>
                <w:lang w:eastAsia="es-CO"/>
              </w:rPr>
              <w:t> </w:t>
            </w:r>
          </w:p>
        </w:tc>
        <w:tc>
          <w:tcPr>
            <w:tcW w:w="162" w:type="pct"/>
            <w:tcBorders>
              <w:top w:val="nil"/>
              <w:left w:val="nil"/>
              <w:bottom w:val="single" w:sz="4" w:space="0" w:color="A6A6A6"/>
              <w:right w:val="single" w:sz="4" w:space="0" w:color="A6A6A6"/>
            </w:tcBorders>
            <w:noWrap/>
            <w:vAlign w:val="center"/>
            <w:hideMark/>
          </w:tcPr>
          <w:p w14:paraId="688E449E" w14:textId="77777777" w:rsidR="00E814BD" w:rsidRPr="00951AB1" w:rsidRDefault="00E814BD" w:rsidP="000A5389">
            <w:pPr>
              <w:spacing w:line="240" w:lineRule="auto"/>
              <w:rPr>
                <w:rFonts w:eastAsia="Times New Roman" w:cs="Times New Roman"/>
                <w:b/>
                <w:bCs/>
                <w:color w:val="000000"/>
                <w:sz w:val="16"/>
                <w:szCs w:val="16"/>
                <w:lang w:eastAsia="es-CO"/>
              </w:rPr>
            </w:pPr>
            <w:r w:rsidRPr="00951AB1">
              <w:rPr>
                <w:rFonts w:eastAsia="Times New Roman" w:cs="Times New Roman"/>
                <w:b/>
                <w:bCs/>
                <w:color w:val="000000"/>
                <w:sz w:val="16"/>
                <w:szCs w:val="16"/>
                <w:lang w:eastAsia="es-CO"/>
              </w:rPr>
              <w:t> </w:t>
            </w:r>
          </w:p>
        </w:tc>
        <w:tc>
          <w:tcPr>
            <w:tcW w:w="799" w:type="pct"/>
            <w:tcBorders>
              <w:top w:val="nil"/>
              <w:left w:val="nil"/>
              <w:bottom w:val="single" w:sz="4" w:space="0" w:color="A6A6A6"/>
              <w:right w:val="single" w:sz="4" w:space="0" w:color="A6A6A6"/>
            </w:tcBorders>
            <w:noWrap/>
            <w:vAlign w:val="center"/>
            <w:hideMark/>
          </w:tcPr>
          <w:p w14:paraId="34EB449B" w14:textId="77777777" w:rsidR="00E814BD" w:rsidRPr="00951AB1" w:rsidRDefault="00E814BD" w:rsidP="000A5389">
            <w:pPr>
              <w:spacing w:line="240" w:lineRule="auto"/>
              <w:jc w:val="right"/>
              <w:rPr>
                <w:rFonts w:eastAsia="Times New Roman" w:cs="Times New Roman"/>
                <w:b/>
                <w:bCs/>
                <w:color w:val="000000"/>
                <w:sz w:val="16"/>
                <w:szCs w:val="16"/>
                <w:lang w:eastAsia="es-CO"/>
              </w:rPr>
            </w:pPr>
            <w:r w:rsidRPr="00951AB1">
              <w:rPr>
                <w:rFonts w:eastAsia="Times New Roman" w:cs="Times New Roman"/>
                <w:b/>
                <w:bCs/>
                <w:color w:val="000000"/>
                <w:sz w:val="16"/>
                <w:szCs w:val="16"/>
                <w:lang w:eastAsia="es-CO"/>
              </w:rPr>
              <w:t xml:space="preserve">1.603.092.062.149 </w:t>
            </w:r>
          </w:p>
        </w:tc>
        <w:tc>
          <w:tcPr>
            <w:tcW w:w="723" w:type="pct"/>
            <w:tcBorders>
              <w:top w:val="nil"/>
              <w:left w:val="nil"/>
              <w:bottom w:val="single" w:sz="4" w:space="0" w:color="A6A6A6"/>
              <w:right w:val="single" w:sz="4" w:space="0" w:color="A6A6A6"/>
            </w:tcBorders>
            <w:noWrap/>
            <w:vAlign w:val="center"/>
            <w:hideMark/>
          </w:tcPr>
          <w:p w14:paraId="40B3B4AB" w14:textId="77777777" w:rsidR="00E814BD" w:rsidRPr="00951AB1" w:rsidRDefault="00E814BD" w:rsidP="000A5389">
            <w:pPr>
              <w:spacing w:line="240" w:lineRule="auto"/>
              <w:jc w:val="right"/>
              <w:rPr>
                <w:rFonts w:eastAsia="Times New Roman" w:cs="Times New Roman"/>
                <w:b/>
                <w:bCs/>
                <w:color w:val="000000"/>
                <w:sz w:val="16"/>
                <w:szCs w:val="16"/>
                <w:lang w:eastAsia="es-CO"/>
              </w:rPr>
            </w:pPr>
            <w:r w:rsidRPr="00951AB1">
              <w:rPr>
                <w:rFonts w:eastAsia="Times New Roman" w:cs="Times New Roman"/>
                <w:b/>
                <w:bCs/>
                <w:color w:val="000000"/>
                <w:sz w:val="16"/>
                <w:szCs w:val="16"/>
                <w:lang w:eastAsia="es-CO"/>
              </w:rPr>
              <w:t xml:space="preserve">11.520.145.780 </w:t>
            </w:r>
          </w:p>
        </w:tc>
        <w:tc>
          <w:tcPr>
            <w:tcW w:w="257" w:type="pct"/>
            <w:tcBorders>
              <w:top w:val="nil"/>
              <w:left w:val="nil"/>
              <w:bottom w:val="single" w:sz="4" w:space="0" w:color="A6A6A6"/>
              <w:right w:val="single" w:sz="4" w:space="0" w:color="A6A6A6"/>
            </w:tcBorders>
            <w:noWrap/>
            <w:vAlign w:val="center"/>
            <w:hideMark/>
          </w:tcPr>
          <w:p w14:paraId="4926CD1A" w14:textId="77777777" w:rsidR="00E814BD" w:rsidRPr="00951AB1" w:rsidRDefault="00E814BD" w:rsidP="000A5389">
            <w:pPr>
              <w:spacing w:line="240" w:lineRule="auto"/>
              <w:jc w:val="right"/>
              <w:rPr>
                <w:rFonts w:eastAsia="Times New Roman" w:cs="Times New Roman"/>
                <w:b/>
                <w:bCs/>
                <w:color w:val="000000"/>
                <w:sz w:val="16"/>
                <w:szCs w:val="16"/>
                <w:lang w:eastAsia="es-CO"/>
              </w:rPr>
            </w:pPr>
            <w:r w:rsidRPr="00951AB1">
              <w:rPr>
                <w:rFonts w:eastAsia="Times New Roman" w:cs="Times New Roman"/>
                <w:b/>
                <w:bCs/>
                <w:color w:val="000000"/>
                <w:sz w:val="16"/>
                <w:szCs w:val="16"/>
                <w:lang w:eastAsia="es-CO"/>
              </w:rPr>
              <w:t xml:space="preserve">0 </w:t>
            </w:r>
          </w:p>
        </w:tc>
        <w:tc>
          <w:tcPr>
            <w:tcW w:w="878" w:type="pct"/>
            <w:tcBorders>
              <w:top w:val="nil"/>
              <w:left w:val="nil"/>
              <w:bottom w:val="single" w:sz="4" w:space="0" w:color="A6A6A6"/>
              <w:right w:val="single" w:sz="4" w:space="0" w:color="A6A6A6"/>
            </w:tcBorders>
            <w:noWrap/>
            <w:vAlign w:val="center"/>
            <w:hideMark/>
          </w:tcPr>
          <w:p w14:paraId="70973522" w14:textId="77777777" w:rsidR="00E814BD" w:rsidRPr="00951AB1" w:rsidRDefault="00E814BD" w:rsidP="000A5389">
            <w:pPr>
              <w:spacing w:line="240" w:lineRule="auto"/>
              <w:jc w:val="right"/>
              <w:rPr>
                <w:rFonts w:eastAsia="Times New Roman" w:cs="Times New Roman"/>
                <w:b/>
                <w:bCs/>
                <w:color w:val="000000"/>
                <w:sz w:val="16"/>
                <w:szCs w:val="16"/>
                <w:lang w:eastAsia="es-CO"/>
              </w:rPr>
            </w:pPr>
            <w:r w:rsidRPr="00951AB1">
              <w:rPr>
                <w:rFonts w:eastAsia="Times New Roman" w:cs="Times New Roman"/>
                <w:b/>
                <w:bCs/>
                <w:color w:val="000000"/>
                <w:sz w:val="16"/>
                <w:szCs w:val="16"/>
                <w:lang w:eastAsia="es-CO"/>
              </w:rPr>
              <w:t>1.496.157.569.663</w:t>
            </w:r>
          </w:p>
        </w:tc>
        <w:tc>
          <w:tcPr>
            <w:tcW w:w="204" w:type="pct"/>
            <w:tcBorders>
              <w:top w:val="nil"/>
              <w:left w:val="nil"/>
              <w:bottom w:val="single" w:sz="4" w:space="0" w:color="A6A6A6"/>
              <w:right w:val="single" w:sz="4" w:space="0" w:color="A6A6A6"/>
            </w:tcBorders>
            <w:noWrap/>
            <w:vAlign w:val="center"/>
            <w:hideMark/>
          </w:tcPr>
          <w:p w14:paraId="73DE5F9F" w14:textId="77777777" w:rsidR="00E814BD" w:rsidRPr="00951AB1" w:rsidRDefault="00E814BD" w:rsidP="000A5389">
            <w:pPr>
              <w:spacing w:line="240" w:lineRule="auto"/>
              <w:jc w:val="right"/>
              <w:rPr>
                <w:rFonts w:eastAsia="Times New Roman" w:cs="Times New Roman"/>
                <w:b/>
                <w:bCs/>
                <w:color w:val="000000"/>
                <w:sz w:val="16"/>
                <w:szCs w:val="16"/>
                <w:lang w:eastAsia="es-CO"/>
              </w:rPr>
            </w:pPr>
            <w:r w:rsidRPr="00951AB1">
              <w:rPr>
                <w:rFonts w:eastAsia="Times New Roman" w:cs="Times New Roman"/>
                <w:b/>
                <w:bCs/>
                <w:color w:val="000000"/>
                <w:sz w:val="16"/>
                <w:szCs w:val="16"/>
                <w:lang w:eastAsia="es-CO"/>
              </w:rPr>
              <w:t xml:space="preserve">0 </w:t>
            </w:r>
          </w:p>
        </w:tc>
        <w:tc>
          <w:tcPr>
            <w:tcW w:w="241" w:type="pct"/>
            <w:tcBorders>
              <w:top w:val="nil"/>
              <w:left w:val="nil"/>
              <w:bottom w:val="single" w:sz="4" w:space="0" w:color="A6A6A6"/>
              <w:right w:val="single" w:sz="4" w:space="0" w:color="A6A6A6"/>
            </w:tcBorders>
            <w:noWrap/>
            <w:vAlign w:val="center"/>
            <w:hideMark/>
          </w:tcPr>
          <w:p w14:paraId="350743C9" w14:textId="77777777" w:rsidR="00E814BD" w:rsidRPr="00951AB1" w:rsidRDefault="00E814BD" w:rsidP="000A5389">
            <w:pPr>
              <w:spacing w:line="240" w:lineRule="auto"/>
              <w:jc w:val="right"/>
              <w:rPr>
                <w:rFonts w:eastAsia="Times New Roman" w:cs="Times New Roman"/>
                <w:b/>
                <w:bCs/>
                <w:color w:val="000000"/>
                <w:sz w:val="16"/>
                <w:szCs w:val="16"/>
                <w:lang w:eastAsia="es-CO"/>
              </w:rPr>
            </w:pPr>
            <w:r w:rsidRPr="00951AB1">
              <w:rPr>
                <w:rFonts w:eastAsia="Times New Roman" w:cs="Times New Roman"/>
                <w:b/>
                <w:bCs/>
                <w:color w:val="000000"/>
                <w:sz w:val="16"/>
                <w:szCs w:val="16"/>
                <w:lang w:eastAsia="es-CO"/>
              </w:rPr>
              <w:t xml:space="preserve">0 </w:t>
            </w:r>
          </w:p>
        </w:tc>
        <w:tc>
          <w:tcPr>
            <w:tcW w:w="696" w:type="pct"/>
            <w:gridSpan w:val="2"/>
            <w:tcBorders>
              <w:top w:val="nil"/>
              <w:left w:val="nil"/>
              <w:bottom w:val="single" w:sz="4" w:space="0" w:color="A6A6A6"/>
              <w:right w:val="single" w:sz="4" w:space="0" w:color="A6A6A6"/>
            </w:tcBorders>
            <w:noWrap/>
            <w:vAlign w:val="center"/>
            <w:hideMark/>
          </w:tcPr>
          <w:p w14:paraId="72C03495" w14:textId="77777777" w:rsidR="00E814BD" w:rsidRPr="00951AB1" w:rsidRDefault="00E814BD" w:rsidP="000A5389">
            <w:pPr>
              <w:spacing w:line="240" w:lineRule="auto"/>
              <w:jc w:val="right"/>
              <w:rPr>
                <w:rFonts w:eastAsia="Times New Roman" w:cs="Times New Roman"/>
                <w:b/>
                <w:bCs/>
                <w:color w:val="000000"/>
                <w:sz w:val="16"/>
                <w:szCs w:val="16"/>
                <w:lang w:eastAsia="es-CO"/>
              </w:rPr>
            </w:pPr>
            <w:r w:rsidRPr="00951AB1">
              <w:rPr>
                <w:rFonts w:eastAsia="Times New Roman" w:cs="Times New Roman"/>
                <w:b/>
                <w:bCs/>
                <w:color w:val="000000"/>
                <w:sz w:val="16"/>
                <w:szCs w:val="16"/>
                <w:lang w:eastAsia="es-CO"/>
              </w:rPr>
              <w:t xml:space="preserve">118.454.638.266 </w:t>
            </w:r>
          </w:p>
        </w:tc>
      </w:tr>
      <w:tr w:rsidR="00684C05" w:rsidRPr="00951AB1" w14:paraId="374785A0" w14:textId="77777777" w:rsidTr="00684C05">
        <w:trPr>
          <w:trHeight w:val="285"/>
          <w:jc w:val="center"/>
        </w:trPr>
        <w:tc>
          <w:tcPr>
            <w:tcW w:w="637" w:type="pct"/>
            <w:tcBorders>
              <w:top w:val="nil"/>
              <w:left w:val="single" w:sz="4" w:space="0" w:color="A6A6A6"/>
              <w:bottom w:val="single" w:sz="4" w:space="0" w:color="A6A6A6"/>
              <w:right w:val="single" w:sz="4" w:space="0" w:color="A6A6A6"/>
            </w:tcBorders>
            <w:noWrap/>
            <w:vAlign w:val="center"/>
            <w:hideMark/>
          </w:tcPr>
          <w:p w14:paraId="7ECE1C8E" w14:textId="77777777" w:rsidR="00E814BD" w:rsidRPr="00951AB1" w:rsidRDefault="00E814BD" w:rsidP="000A5389">
            <w:pPr>
              <w:spacing w:line="240" w:lineRule="auto"/>
              <w:rPr>
                <w:rFonts w:eastAsia="Times New Roman" w:cs="Times New Roman"/>
                <w:b/>
                <w:bCs/>
                <w:color w:val="000000"/>
                <w:sz w:val="16"/>
                <w:szCs w:val="16"/>
                <w:lang w:eastAsia="es-CO"/>
              </w:rPr>
            </w:pPr>
            <w:r w:rsidRPr="00951AB1">
              <w:rPr>
                <w:rFonts w:eastAsia="Times New Roman" w:cs="Times New Roman"/>
                <w:b/>
                <w:bCs/>
                <w:color w:val="000000"/>
                <w:sz w:val="16"/>
                <w:szCs w:val="16"/>
                <w:lang w:eastAsia="es-CO"/>
              </w:rPr>
              <w:t>Administrativas</w:t>
            </w:r>
          </w:p>
        </w:tc>
        <w:tc>
          <w:tcPr>
            <w:tcW w:w="403" w:type="pct"/>
            <w:tcBorders>
              <w:top w:val="nil"/>
              <w:left w:val="nil"/>
              <w:bottom w:val="single" w:sz="4" w:space="0" w:color="A6A6A6"/>
              <w:right w:val="single" w:sz="4" w:space="0" w:color="A6A6A6"/>
            </w:tcBorders>
            <w:noWrap/>
            <w:vAlign w:val="center"/>
            <w:hideMark/>
          </w:tcPr>
          <w:p w14:paraId="442A60D5" w14:textId="77777777" w:rsidR="00E814BD" w:rsidRPr="00951AB1" w:rsidRDefault="00E814BD" w:rsidP="000A5389">
            <w:pPr>
              <w:spacing w:line="240" w:lineRule="auto"/>
              <w:rPr>
                <w:rFonts w:eastAsia="Times New Roman" w:cs="Times New Roman"/>
                <w:b/>
                <w:bCs/>
                <w:color w:val="000000"/>
                <w:sz w:val="16"/>
                <w:szCs w:val="16"/>
                <w:lang w:eastAsia="es-CO"/>
              </w:rPr>
            </w:pPr>
            <w:r w:rsidRPr="00951AB1">
              <w:rPr>
                <w:rFonts w:eastAsia="Times New Roman" w:cs="Times New Roman"/>
                <w:b/>
                <w:bCs/>
                <w:color w:val="000000"/>
                <w:sz w:val="16"/>
                <w:szCs w:val="16"/>
                <w:lang w:eastAsia="es-CO"/>
              </w:rPr>
              <w:t> </w:t>
            </w:r>
          </w:p>
        </w:tc>
        <w:tc>
          <w:tcPr>
            <w:tcW w:w="162" w:type="pct"/>
            <w:tcBorders>
              <w:top w:val="nil"/>
              <w:left w:val="nil"/>
              <w:bottom w:val="single" w:sz="4" w:space="0" w:color="A6A6A6"/>
              <w:right w:val="single" w:sz="4" w:space="0" w:color="A6A6A6"/>
            </w:tcBorders>
            <w:noWrap/>
            <w:vAlign w:val="center"/>
            <w:hideMark/>
          </w:tcPr>
          <w:p w14:paraId="28D19EED" w14:textId="77777777" w:rsidR="00E814BD" w:rsidRPr="00951AB1" w:rsidRDefault="00E814BD" w:rsidP="000A5389">
            <w:pPr>
              <w:spacing w:line="240" w:lineRule="auto"/>
              <w:rPr>
                <w:rFonts w:eastAsia="Times New Roman" w:cs="Times New Roman"/>
                <w:b/>
                <w:bCs/>
                <w:color w:val="000000"/>
                <w:sz w:val="16"/>
                <w:szCs w:val="16"/>
                <w:lang w:eastAsia="es-CO"/>
              </w:rPr>
            </w:pPr>
            <w:r w:rsidRPr="00951AB1">
              <w:rPr>
                <w:rFonts w:eastAsia="Times New Roman" w:cs="Times New Roman"/>
                <w:b/>
                <w:bCs/>
                <w:color w:val="000000"/>
                <w:sz w:val="16"/>
                <w:szCs w:val="16"/>
                <w:lang w:eastAsia="es-CO"/>
              </w:rPr>
              <w:t> </w:t>
            </w:r>
          </w:p>
        </w:tc>
        <w:tc>
          <w:tcPr>
            <w:tcW w:w="799" w:type="pct"/>
            <w:tcBorders>
              <w:top w:val="nil"/>
              <w:left w:val="nil"/>
              <w:bottom w:val="single" w:sz="4" w:space="0" w:color="A6A6A6"/>
              <w:right w:val="single" w:sz="4" w:space="0" w:color="A6A6A6"/>
            </w:tcBorders>
            <w:noWrap/>
            <w:vAlign w:val="center"/>
            <w:hideMark/>
          </w:tcPr>
          <w:p w14:paraId="0CCAB1E2" w14:textId="77777777" w:rsidR="00E814BD" w:rsidRPr="00951AB1" w:rsidRDefault="00E814BD" w:rsidP="000A5389">
            <w:pPr>
              <w:spacing w:line="240" w:lineRule="auto"/>
              <w:jc w:val="right"/>
              <w:rPr>
                <w:rFonts w:eastAsia="Times New Roman" w:cs="Times New Roman"/>
                <w:b/>
                <w:bCs/>
                <w:color w:val="000000"/>
                <w:sz w:val="16"/>
                <w:szCs w:val="16"/>
                <w:lang w:eastAsia="es-CO"/>
              </w:rPr>
            </w:pPr>
            <w:r w:rsidRPr="00951AB1">
              <w:rPr>
                <w:rFonts w:eastAsia="Times New Roman" w:cs="Times New Roman"/>
                <w:b/>
                <w:bCs/>
                <w:color w:val="000000"/>
                <w:sz w:val="16"/>
                <w:szCs w:val="16"/>
                <w:lang w:eastAsia="es-CO"/>
              </w:rPr>
              <w:t xml:space="preserve">1.597.449.245.723 </w:t>
            </w:r>
          </w:p>
        </w:tc>
        <w:tc>
          <w:tcPr>
            <w:tcW w:w="723" w:type="pct"/>
            <w:tcBorders>
              <w:top w:val="nil"/>
              <w:left w:val="nil"/>
              <w:bottom w:val="single" w:sz="4" w:space="0" w:color="A6A6A6"/>
              <w:right w:val="single" w:sz="4" w:space="0" w:color="A6A6A6"/>
            </w:tcBorders>
            <w:noWrap/>
            <w:vAlign w:val="center"/>
            <w:hideMark/>
          </w:tcPr>
          <w:p w14:paraId="5716DF07" w14:textId="77777777" w:rsidR="00E814BD" w:rsidRPr="00951AB1" w:rsidRDefault="00E814BD" w:rsidP="000A5389">
            <w:pPr>
              <w:spacing w:line="240" w:lineRule="auto"/>
              <w:jc w:val="right"/>
              <w:rPr>
                <w:rFonts w:eastAsia="Times New Roman" w:cs="Times New Roman"/>
                <w:b/>
                <w:bCs/>
                <w:color w:val="000000"/>
                <w:sz w:val="16"/>
                <w:szCs w:val="16"/>
                <w:lang w:eastAsia="es-CO"/>
              </w:rPr>
            </w:pPr>
            <w:r w:rsidRPr="00951AB1">
              <w:rPr>
                <w:rFonts w:eastAsia="Times New Roman" w:cs="Times New Roman"/>
                <w:b/>
                <w:bCs/>
                <w:color w:val="000000"/>
                <w:sz w:val="16"/>
                <w:szCs w:val="16"/>
                <w:lang w:eastAsia="es-CO"/>
              </w:rPr>
              <w:t xml:space="preserve">11.520.145.780 </w:t>
            </w:r>
          </w:p>
        </w:tc>
        <w:tc>
          <w:tcPr>
            <w:tcW w:w="257" w:type="pct"/>
            <w:tcBorders>
              <w:top w:val="nil"/>
              <w:left w:val="nil"/>
              <w:bottom w:val="single" w:sz="4" w:space="0" w:color="A6A6A6"/>
              <w:right w:val="single" w:sz="4" w:space="0" w:color="A6A6A6"/>
            </w:tcBorders>
            <w:noWrap/>
            <w:vAlign w:val="center"/>
            <w:hideMark/>
          </w:tcPr>
          <w:p w14:paraId="2376E4AA" w14:textId="77777777" w:rsidR="00E814BD" w:rsidRPr="00951AB1" w:rsidRDefault="00E814BD" w:rsidP="000A5389">
            <w:pPr>
              <w:spacing w:line="240" w:lineRule="auto"/>
              <w:jc w:val="right"/>
              <w:rPr>
                <w:rFonts w:eastAsia="Times New Roman" w:cs="Times New Roman"/>
                <w:b/>
                <w:bCs/>
                <w:color w:val="000000"/>
                <w:sz w:val="16"/>
                <w:szCs w:val="16"/>
                <w:lang w:eastAsia="es-CO"/>
              </w:rPr>
            </w:pPr>
            <w:r w:rsidRPr="00951AB1">
              <w:rPr>
                <w:rFonts w:eastAsia="Times New Roman" w:cs="Times New Roman"/>
                <w:b/>
                <w:bCs/>
                <w:color w:val="000000"/>
                <w:sz w:val="16"/>
                <w:szCs w:val="16"/>
                <w:lang w:eastAsia="es-CO"/>
              </w:rPr>
              <w:t xml:space="preserve">0 </w:t>
            </w:r>
          </w:p>
        </w:tc>
        <w:tc>
          <w:tcPr>
            <w:tcW w:w="878" w:type="pct"/>
            <w:tcBorders>
              <w:top w:val="nil"/>
              <w:left w:val="nil"/>
              <w:bottom w:val="single" w:sz="4" w:space="0" w:color="A6A6A6"/>
              <w:right w:val="single" w:sz="4" w:space="0" w:color="A6A6A6"/>
            </w:tcBorders>
            <w:noWrap/>
            <w:vAlign w:val="center"/>
            <w:hideMark/>
          </w:tcPr>
          <w:p w14:paraId="232F0E6C" w14:textId="77777777" w:rsidR="00E814BD" w:rsidRPr="00951AB1" w:rsidRDefault="00E814BD" w:rsidP="000A5389">
            <w:pPr>
              <w:spacing w:line="240" w:lineRule="auto"/>
              <w:jc w:val="right"/>
              <w:rPr>
                <w:rFonts w:eastAsia="Times New Roman" w:cs="Times New Roman"/>
                <w:b/>
                <w:bCs/>
                <w:color w:val="000000"/>
                <w:sz w:val="16"/>
                <w:szCs w:val="16"/>
                <w:lang w:eastAsia="es-CO"/>
              </w:rPr>
            </w:pPr>
            <w:r w:rsidRPr="00951AB1">
              <w:rPr>
                <w:rFonts w:eastAsia="Times New Roman" w:cs="Times New Roman"/>
                <w:b/>
                <w:bCs/>
                <w:color w:val="000000"/>
                <w:sz w:val="16"/>
                <w:szCs w:val="16"/>
                <w:lang w:eastAsia="es-CO"/>
              </w:rPr>
              <w:t>1.491.082.477.517</w:t>
            </w:r>
          </w:p>
        </w:tc>
        <w:tc>
          <w:tcPr>
            <w:tcW w:w="204" w:type="pct"/>
            <w:tcBorders>
              <w:top w:val="nil"/>
              <w:left w:val="nil"/>
              <w:bottom w:val="single" w:sz="4" w:space="0" w:color="A6A6A6"/>
              <w:right w:val="single" w:sz="4" w:space="0" w:color="A6A6A6"/>
            </w:tcBorders>
            <w:noWrap/>
            <w:vAlign w:val="center"/>
            <w:hideMark/>
          </w:tcPr>
          <w:p w14:paraId="5F4915B5" w14:textId="77777777" w:rsidR="00E814BD" w:rsidRPr="00951AB1" w:rsidRDefault="00E814BD" w:rsidP="000A5389">
            <w:pPr>
              <w:spacing w:line="240" w:lineRule="auto"/>
              <w:jc w:val="right"/>
              <w:rPr>
                <w:rFonts w:eastAsia="Times New Roman" w:cs="Times New Roman"/>
                <w:b/>
                <w:bCs/>
                <w:color w:val="000000"/>
                <w:sz w:val="16"/>
                <w:szCs w:val="16"/>
                <w:lang w:eastAsia="es-CO"/>
              </w:rPr>
            </w:pPr>
            <w:r w:rsidRPr="00951AB1">
              <w:rPr>
                <w:rFonts w:eastAsia="Times New Roman" w:cs="Times New Roman"/>
                <w:b/>
                <w:bCs/>
                <w:color w:val="000000"/>
                <w:sz w:val="16"/>
                <w:szCs w:val="16"/>
                <w:lang w:eastAsia="es-CO"/>
              </w:rPr>
              <w:t xml:space="preserve">0 </w:t>
            </w:r>
          </w:p>
        </w:tc>
        <w:tc>
          <w:tcPr>
            <w:tcW w:w="241" w:type="pct"/>
            <w:tcBorders>
              <w:top w:val="nil"/>
              <w:left w:val="nil"/>
              <w:bottom w:val="single" w:sz="4" w:space="0" w:color="A6A6A6"/>
              <w:right w:val="single" w:sz="4" w:space="0" w:color="A6A6A6"/>
            </w:tcBorders>
            <w:noWrap/>
            <w:vAlign w:val="center"/>
            <w:hideMark/>
          </w:tcPr>
          <w:p w14:paraId="11D29DBE" w14:textId="77777777" w:rsidR="00E814BD" w:rsidRPr="00951AB1" w:rsidRDefault="00E814BD" w:rsidP="000A5389">
            <w:pPr>
              <w:spacing w:line="240" w:lineRule="auto"/>
              <w:jc w:val="right"/>
              <w:rPr>
                <w:rFonts w:eastAsia="Times New Roman" w:cs="Times New Roman"/>
                <w:b/>
                <w:bCs/>
                <w:color w:val="000000"/>
                <w:sz w:val="16"/>
                <w:szCs w:val="16"/>
                <w:lang w:eastAsia="es-CO"/>
              </w:rPr>
            </w:pPr>
            <w:r w:rsidRPr="00951AB1">
              <w:rPr>
                <w:rFonts w:eastAsia="Times New Roman" w:cs="Times New Roman"/>
                <w:b/>
                <w:bCs/>
                <w:color w:val="000000"/>
                <w:sz w:val="16"/>
                <w:szCs w:val="16"/>
                <w:lang w:eastAsia="es-CO"/>
              </w:rPr>
              <w:t xml:space="preserve">0 </w:t>
            </w:r>
          </w:p>
        </w:tc>
        <w:tc>
          <w:tcPr>
            <w:tcW w:w="696" w:type="pct"/>
            <w:gridSpan w:val="2"/>
            <w:tcBorders>
              <w:top w:val="nil"/>
              <w:left w:val="nil"/>
              <w:bottom w:val="single" w:sz="4" w:space="0" w:color="A6A6A6"/>
              <w:right w:val="single" w:sz="4" w:space="0" w:color="A6A6A6"/>
            </w:tcBorders>
            <w:noWrap/>
            <w:vAlign w:val="center"/>
            <w:hideMark/>
          </w:tcPr>
          <w:p w14:paraId="57FA4575" w14:textId="77777777" w:rsidR="00E814BD" w:rsidRPr="00951AB1" w:rsidRDefault="00E814BD" w:rsidP="000A5389">
            <w:pPr>
              <w:spacing w:line="240" w:lineRule="auto"/>
              <w:jc w:val="right"/>
              <w:rPr>
                <w:rFonts w:eastAsia="Times New Roman" w:cs="Times New Roman"/>
                <w:b/>
                <w:bCs/>
                <w:color w:val="000000"/>
                <w:sz w:val="16"/>
                <w:szCs w:val="16"/>
                <w:lang w:eastAsia="es-CO"/>
              </w:rPr>
            </w:pPr>
            <w:r w:rsidRPr="00951AB1">
              <w:rPr>
                <w:rFonts w:eastAsia="Times New Roman" w:cs="Times New Roman"/>
                <w:b/>
                <w:bCs/>
                <w:color w:val="000000"/>
                <w:sz w:val="16"/>
                <w:szCs w:val="16"/>
                <w:lang w:eastAsia="es-CO"/>
              </w:rPr>
              <w:t xml:space="preserve">117.886.913.986 </w:t>
            </w:r>
          </w:p>
        </w:tc>
      </w:tr>
      <w:tr w:rsidR="00684C05" w:rsidRPr="00951AB1" w14:paraId="198CC83A" w14:textId="77777777" w:rsidTr="00684C05">
        <w:trPr>
          <w:trHeight w:val="300"/>
          <w:jc w:val="center"/>
        </w:trPr>
        <w:tc>
          <w:tcPr>
            <w:tcW w:w="637" w:type="pct"/>
            <w:tcBorders>
              <w:top w:val="nil"/>
              <w:left w:val="single" w:sz="4" w:space="0" w:color="A6A6A6"/>
              <w:bottom w:val="single" w:sz="4" w:space="0" w:color="A6A6A6"/>
              <w:right w:val="single" w:sz="4" w:space="0" w:color="A6A6A6"/>
            </w:tcBorders>
            <w:vAlign w:val="center"/>
            <w:hideMark/>
          </w:tcPr>
          <w:p w14:paraId="4DDE2916" w14:textId="77777777" w:rsidR="00E814BD" w:rsidRPr="00951AB1" w:rsidRDefault="00E814BD" w:rsidP="000A5389">
            <w:pPr>
              <w:spacing w:line="240" w:lineRule="auto"/>
              <w:rPr>
                <w:rFonts w:eastAsia="Times New Roman" w:cs="Times New Roman"/>
                <w:color w:val="000000"/>
                <w:sz w:val="16"/>
                <w:szCs w:val="16"/>
                <w:lang w:eastAsia="es-CO"/>
              </w:rPr>
            </w:pPr>
            <w:r w:rsidRPr="00951AB1">
              <w:rPr>
                <w:rFonts w:eastAsia="Times New Roman" w:cs="Times New Roman"/>
                <w:color w:val="000000"/>
                <w:sz w:val="16"/>
                <w:szCs w:val="16"/>
                <w:lang w:eastAsia="es-CO"/>
              </w:rPr>
              <w:t>Nacionales</w:t>
            </w:r>
          </w:p>
        </w:tc>
        <w:tc>
          <w:tcPr>
            <w:tcW w:w="403" w:type="pct"/>
            <w:tcBorders>
              <w:top w:val="nil"/>
              <w:left w:val="nil"/>
              <w:bottom w:val="single" w:sz="4" w:space="0" w:color="A6A6A6"/>
              <w:right w:val="single" w:sz="4" w:space="0" w:color="A6A6A6"/>
            </w:tcBorders>
            <w:noWrap/>
            <w:vAlign w:val="center"/>
            <w:hideMark/>
          </w:tcPr>
          <w:p w14:paraId="5EDB024A" w14:textId="77777777" w:rsidR="00E814BD" w:rsidRPr="00951AB1" w:rsidRDefault="00E814BD" w:rsidP="000A5389">
            <w:pPr>
              <w:spacing w:line="240" w:lineRule="auto"/>
              <w:jc w:val="center"/>
              <w:rPr>
                <w:rFonts w:eastAsia="Times New Roman" w:cs="Times New Roman"/>
                <w:color w:val="000000"/>
                <w:sz w:val="16"/>
                <w:szCs w:val="16"/>
                <w:lang w:eastAsia="es-CO"/>
              </w:rPr>
            </w:pPr>
            <w:r w:rsidRPr="00951AB1">
              <w:rPr>
                <w:rFonts w:eastAsia="Times New Roman" w:cs="Times New Roman"/>
                <w:color w:val="000000"/>
                <w:sz w:val="16"/>
                <w:szCs w:val="16"/>
                <w:lang w:eastAsia="es-CO"/>
              </w:rPr>
              <w:t>PN</w:t>
            </w:r>
          </w:p>
        </w:tc>
        <w:tc>
          <w:tcPr>
            <w:tcW w:w="162" w:type="pct"/>
            <w:tcBorders>
              <w:top w:val="nil"/>
              <w:left w:val="nil"/>
              <w:bottom w:val="single" w:sz="4" w:space="0" w:color="A6A6A6"/>
              <w:right w:val="single" w:sz="4" w:space="0" w:color="A6A6A6"/>
            </w:tcBorders>
            <w:noWrap/>
            <w:vAlign w:val="center"/>
            <w:hideMark/>
          </w:tcPr>
          <w:p w14:paraId="12F3ADCC" w14:textId="77777777" w:rsidR="00E814BD" w:rsidRPr="00951AB1" w:rsidRDefault="00E814BD" w:rsidP="000A5389">
            <w:pPr>
              <w:spacing w:line="240" w:lineRule="auto"/>
              <w:jc w:val="center"/>
              <w:rPr>
                <w:rFonts w:eastAsia="Times New Roman" w:cs="Times New Roman"/>
                <w:color w:val="000000"/>
                <w:sz w:val="16"/>
                <w:szCs w:val="16"/>
                <w:lang w:eastAsia="es-CO"/>
              </w:rPr>
            </w:pPr>
            <w:r w:rsidRPr="00951AB1">
              <w:rPr>
                <w:rFonts w:eastAsia="Times New Roman" w:cs="Times New Roman"/>
                <w:color w:val="000000"/>
                <w:sz w:val="16"/>
                <w:szCs w:val="16"/>
                <w:lang w:eastAsia="es-CO"/>
              </w:rPr>
              <w:t>71</w:t>
            </w:r>
          </w:p>
        </w:tc>
        <w:tc>
          <w:tcPr>
            <w:tcW w:w="799" w:type="pct"/>
            <w:tcBorders>
              <w:top w:val="nil"/>
              <w:left w:val="nil"/>
              <w:bottom w:val="single" w:sz="4" w:space="0" w:color="A6A6A6"/>
              <w:right w:val="single" w:sz="4" w:space="0" w:color="A6A6A6"/>
            </w:tcBorders>
            <w:noWrap/>
            <w:vAlign w:val="center"/>
            <w:hideMark/>
          </w:tcPr>
          <w:p w14:paraId="295F2794" w14:textId="77777777" w:rsidR="00E814BD" w:rsidRPr="00951AB1" w:rsidRDefault="00E814BD" w:rsidP="000A5389">
            <w:pPr>
              <w:spacing w:line="240" w:lineRule="auto"/>
              <w:jc w:val="right"/>
              <w:rPr>
                <w:rFonts w:eastAsia="Times New Roman" w:cs="Times New Roman"/>
                <w:color w:val="000000"/>
                <w:sz w:val="16"/>
                <w:szCs w:val="16"/>
                <w:lang w:eastAsia="es-CO"/>
              </w:rPr>
            </w:pPr>
            <w:r w:rsidRPr="00951AB1">
              <w:rPr>
                <w:rFonts w:eastAsia="Times New Roman" w:cs="Times New Roman"/>
                <w:color w:val="000000"/>
                <w:sz w:val="16"/>
                <w:szCs w:val="16"/>
                <w:lang w:eastAsia="es-CO"/>
              </w:rPr>
              <w:t xml:space="preserve">84.529.182.985 </w:t>
            </w:r>
          </w:p>
        </w:tc>
        <w:tc>
          <w:tcPr>
            <w:tcW w:w="723" w:type="pct"/>
            <w:tcBorders>
              <w:top w:val="nil"/>
              <w:left w:val="nil"/>
              <w:bottom w:val="single" w:sz="4" w:space="0" w:color="A6A6A6"/>
              <w:right w:val="single" w:sz="4" w:space="0" w:color="A6A6A6"/>
            </w:tcBorders>
            <w:noWrap/>
            <w:vAlign w:val="center"/>
            <w:hideMark/>
          </w:tcPr>
          <w:p w14:paraId="427E22A5" w14:textId="77777777" w:rsidR="00E814BD" w:rsidRPr="00951AB1" w:rsidRDefault="00E814BD" w:rsidP="000A5389">
            <w:pPr>
              <w:spacing w:line="240" w:lineRule="auto"/>
              <w:jc w:val="right"/>
              <w:rPr>
                <w:rFonts w:eastAsia="Times New Roman" w:cs="Times New Roman"/>
                <w:color w:val="000000"/>
                <w:sz w:val="16"/>
                <w:szCs w:val="16"/>
                <w:lang w:eastAsia="es-CO"/>
              </w:rPr>
            </w:pPr>
            <w:r w:rsidRPr="00951AB1">
              <w:rPr>
                <w:rFonts w:eastAsia="Times New Roman" w:cs="Times New Roman"/>
                <w:color w:val="000000"/>
                <w:sz w:val="16"/>
                <w:szCs w:val="16"/>
                <w:lang w:eastAsia="es-CO"/>
              </w:rPr>
              <w:t xml:space="preserve">11.520.145.780 </w:t>
            </w:r>
          </w:p>
        </w:tc>
        <w:tc>
          <w:tcPr>
            <w:tcW w:w="257" w:type="pct"/>
            <w:tcBorders>
              <w:top w:val="nil"/>
              <w:left w:val="nil"/>
              <w:bottom w:val="single" w:sz="4" w:space="0" w:color="A6A6A6"/>
              <w:right w:val="single" w:sz="4" w:space="0" w:color="A6A6A6"/>
            </w:tcBorders>
            <w:noWrap/>
            <w:vAlign w:val="center"/>
            <w:hideMark/>
          </w:tcPr>
          <w:p w14:paraId="7C03F186" w14:textId="77777777" w:rsidR="00E814BD" w:rsidRPr="00951AB1" w:rsidRDefault="00E814BD" w:rsidP="000A5389">
            <w:pPr>
              <w:spacing w:line="240" w:lineRule="auto"/>
              <w:rPr>
                <w:rFonts w:eastAsia="Times New Roman" w:cs="Times New Roman"/>
                <w:color w:val="000000"/>
                <w:sz w:val="16"/>
                <w:szCs w:val="16"/>
                <w:lang w:eastAsia="es-CO"/>
              </w:rPr>
            </w:pPr>
            <w:r w:rsidRPr="00951AB1">
              <w:rPr>
                <w:rFonts w:eastAsia="Times New Roman" w:cs="Times New Roman"/>
                <w:color w:val="000000"/>
                <w:sz w:val="16"/>
                <w:szCs w:val="16"/>
                <w:lang w:eastAsia="es-CO"/>
              </w:rPr>
              <w:t> </w:t>
            </w:r>
          </w:p>
        </w:tc>
        <w:tc>
          <w:tcPr>
            <w:tcW w:w="878" w:type="pct"/>
            <w:tcBorders>
              <w:top w:val="nil"/>
              <w:left w:val="nil"/>
              <w:bottom w:val="single" w:sz="4" w:space="0" w:color="A6A6A6"/>
              <w:right w:val="single" w:sz="4" w:space="0" w:color="A6A6A6"/>
            </w:tcBorders>
            <w:noWrap/>
            <w:vAlign w:val="center"/>
            <w:hideMark/>
          </w:tcPr>
          <w:p w14:paraId="3E559CDD" w14:textId="77777777" w:rsidR="00E814BD" w:rsidRPr="00951AB1" w:rsidRDefault="00E814BD" w:rsidP="000A5389">
            <w:pPr>
              <w:spacing w:line="240" w:lineRule="auto"/>
              <w:jc w:val="right"/>
              <w:rPr>
                <w:rFonts w:eastAsia="Times New Roman" w:cs="Times New Roman"/>
                <w:color w:val="000000"/>
                <w:sz w:val="16"/>
                <w:szCs w:val="16"/>
                <w:lang w:eastAsia="es-CO"/>
              </w:rPr>
            </w:pPr>
            <w:r w:rsidRPr="00951AB1">
              <w:rPr>
                <w:rFonts w:eastAsia="Times New Roman" w:cs="Times New Roman"/>
                <w:color w:val="000000"/>
                <w:sz w:val="16"/>
                <w:szCs w:val="16"/>
                <w:lang w:eastAsia="es-CO"/>
              </w:rPr>
              <w:t> </w:t>
            </w:r>
          </w:p>
        </w:tc>
        <w:tc>
          <w:tcPr>
            <w:tcW w:w="204" w:type="pct"/>
            <w:tcBorders>
              <w:top w:val="nil"/>
              <w:left w:val="nil"/>
              <w:bottom w:val="single" w:sz="4" w:space="0" w:color="A6A6A6"/>
              <w:right w:val="single" w:sz="4" w:space="0" w:color="A6A6A6"/>
            </w:tcBorders>
            <w:noWrap/>
            <w:vAlign w:val="center"/>
            <w:hideMark/>
          </w:tcPr>
          <w:p w14:paraId="756F956F" w14:textId="77777777" w:rsidR="00E814BD" w:rsidRPr="00951AB1" w:rsidRDefault="00E814BD" w:rsidP="000A5389">
            <w:pPr>
              <w:spacing w:line="240" w:lineRule="auto"/>
              <w:rPr>
                <w:rFonts w:eastAsia="Times New Roman" w:cs="Times New Roman"/>
                <w:color w:val="000000"/>
                <w:sz w:val="16"/>
                <w:szCs w:val="16"/>
                <w:lang w:eastAsia="es-CO"/>
              </w:rPr>
            </w:pPr>
            <w:r w:rsidRPr="00951AB1">
              <w:rPr>
                <w:rFonts w:eastAsia="Times New Roman" w:cs="Times New Roman"/>
                <w:color w:val="000000"/>
                <w:sz w:val="16"/>
                <w:szCs w:val="16"/>
                <w:lang w:eastAsia="es-CO"/>
              </w:rPr>
              <w:t> </w:t>
            </w:r>
          </w:p>
        </w:tc>
        <w:tc>
          <w:tcPr>
            <w:tcW w:w="241" w:type="pct"/>
            <w:tcBorders>
              <w:top w:val="nil"/>
              <w:left w:val="nil"/>
              <w:bottom w:val="single" w:sz="4" w:space="0" w:color="A6A6A6"/>
              <w:right w:val="single" w:sz="4" w:space="0" w:color="A6A6A6"/>
            </w:tcBorders>
            <w:noWrap/>
            <w:vAlign w:val="center"/>
            <w:hideMark/>
          </w:tcPr>
          <w:p w14:paraId="54C4CAA5" w14:textId="77777777" w:rsidR="00E814BD" w:rsidRPr="00951AB1" w:rsidRDefault="00E814BD" w:rsidP="000A5389">
            <w:pPr>
              <w:spacing w:line="240" w:lineRule="auto"/>
              <w:rPr>
                <w:rFonts w:eastAsia="Times New Roman" w:cs="Times New Roman"/>
                <w:color w:val="000000"/>
                <w:sz w:val="16"/>
                <w:szCs w:val="16"/>
                <w:lang w:eastAsia="es-CO"/>
              </w:rPr>
            </w:pPr>
            <w:r w:rsidRPr="00951AB1">
              <w:rPr>
                <w:rFonts w:eastAsia="Times New Roman" w:cs="Times New Roman"/>
                <w:color w:val="000000"/>
                <w:sz w:val="16"/>
                <w:szCs w:val="16"/>
                <w:lang w:eastAsia="es-CO"/>
              </w:rPr>
              <w:t> </w:t>
            </w:r>
          </w:p>
        </w:tc>
        <w:tc>
          <w:tcPr>
            <w:tcW w:w="696" w:type="pct"/>
            <w:gridSpan w:val="2"/>
            <w:tcBorders>
              <w:top w:val="nil"/>
              <w:left w:val="nil"/>
              <w:bottom w:val="single" w:sz="4" w:space="0" w:color="A6A6A6"/>
              <w:right w:val="single" w:sz="4" w:space="0" w:color="A6A6A6"/>
            </w:tcBorders>
            <w:noWrap/>
            <w:vAlign w:val="center"/>
            <w:hideMark/>
          </w:tcPr>
          <w:p w14:paraId="1C9EF795" w14:textId="77777777" w:rsidR="00E814BD" w:rsidRPr="00951AB1" w:rsidRDefault="00E814BD" w:rsidP="000A5389">
            <w:pPr>
              <w:spacing w:line="240" w:lineRule="auto"/>
              <w:jc w:val="right"/>
              <w:rPr>
                <w:rFonts w:eastAsia="Times New Roman" w:cs="Times New Roman"/>
                <w:color w:val="000000"/>
                <w:sz w:val="16"/>
                <w:szCs w:val="16"/>
                <w:lang w:eastAsia="es-CO"/>
              </w:rPr>
            </w:pPr>
            <w:r w:rsidRPr="00951AB1">
              <w:rPr>
                <w:rFonts w:eastAsia="Times New Roman" w:cs="Times New Roman"/>
                <w:color w:val="000000"/>
                <w:sz w:val="16"/>
                <w:szCs w:val="16"/>
                <w:lang w:eastAsia="es-CO"/>
              </w:rPr>
              <w:t xml:space="preserve">96.049.328.765 </w:t>
            </w:r>
          </w:p>
        </w:tc>
      </w:tr>
      <w:tr w:rsidR="00684C05" w:rsidRPr="00951AB1" w14:paraId="13F3D7DC" w14:textId="77777777" w:rsidTr="00684C05">
        <w:trPr>
          <w:trHeight w:val="300"/>
          <w:jc w:val="center"/>
        </w:trPr>
        <w:tc>
          <w:tcPr>
            <w:tcW w:w="637" w:type="pct"/>
            <w:tcBorders>
              <w:top w:val="nil"/>
              <w:left w:val="single" w:sz="4" w:space="0" w:color="A6A6A6"/>
              <w:bottom w:val="single" w:sz="4" w:space="0" w:color="A6A6A6"/>
              <w:right w:val="single" w:sz="4" w:space="0" w:color="A6A6A6"/>
            </w:tcBorders>
            <w:vAlign w:val="center"/>
            <w:hideMark/>
          </w:tcPr>
          <w:p w14:paraId="48EA1C48" w14:textId="77777777" w:rsidR="00E814BD" w:rsidRPr="00951AB1" w:rsidRDefault="00E814BD" w:rsidP="000A5389">
            <w:pPr>
              <w:spacing w:line="240" w:lineRule="auto"/>
              <w:rPr>
                <w:rFonts w:eastAsia="Times New Roman" w:cs="Times New Roman"/>
                <w:color w:val="000000"/>
                <w:sz w:val="16"/>
                <w:szCs w:val="16"/>
                <w:lang w:eastAsia="es-CO"/>
              </w:rPr>
            </w:pPr>
            <w:r w:rsidRPr="00951AB1">
              <w:rPr>
                <w:rFonts w:eastAsia="Times New Roman" w:cs="Times New Roman"/>
                <w:color w:val="000000"/>
                <w:sz w:val="16"/>
                <w:szCs w:val="16"/>
                <w:lang w:eastAsia="es-CO"/>
              </w:rPr>
              <w:t>Nacionales</w:t>
            </w:r>
          </w:p>
        </w:tc>
        <w:tc>
          <w:tcPr>
            <w:tcW w:w="403" w:type="pct"/>
            <w:tcBorders>
              <w:top w:val="nil"/>
              <w:left w:val="nil"/>
              <w:bottom w:val="single" w:sz="4" w:space="0" w:color="A6A6A6"/>
              <w:right w:val="single" w:sz="4" w:space="0" w:color="A6A6A6"/>
            </w:tcBorders>
            <w:noWrap/>
            <w:vAlign w:val="center"/>
            <w:hideMark/>
          </w:tcPr>
          <w:p w14:paraId="584BCD5F" w14:textId="77777777" w:rsidR="00E814BD" w:rsidRPr="00951AB1" w:rsidRDefault="00E814BD" w:rsidP="000A5389">
            <w:pPr>
              <w:spacing w:line="240" w:lineRule="auto"/>
              <w:jc w:val="center"/>
              <w:rPr>
                <w:rFonts w:eastAsia="Times New Roman" w:cs="Times New Roman"/>
                <w:color w:val="000000"/>
                <w:sz w:val="16"/>
                <w:szCs w:val="16"/>
                <w:lang w:eastAsia="es-CO"/>
              </w:rPr>
            </w:pPr>
            <w:r w:rsidRPr="00951AB1">
              <w:rPr>
                <w:rFonts w:eastAsia="Times New Roman" w:cs="Times New Roman"/>
                <w:color w:val="000000"/>
                <w:sz w:val="16"/>
                <w:szCs w:val="16"/>
                <w:lang w:eastAsia="es-CO"/>
              </w:rPr>
              <w:t>PJ</w:t>
            </w:r>
          </w:p>
        </w:tc>
        <w:tc>
          <w:tcPr>
            <w:tcW w:w="162" w:type="pct"/>
            <w:tcBorders>
              <w:top w:val="nil"/>
              <w:left w:val="nil"/>
              <w:bottom w:val="single" w:sz="4" w:space="0" w:color="A6A6A6"/>
              <w:right w:val="single" w:sz="4" w:space="0" w:color="A6A6A6"/>
            </w:tcBorders>
            <w:noWrap/>
            <w:vAlign w:val="center"/>
            <w:hideMark/>
          </w:tcPr>
          <w:p w14:paraId="6F129FD5" w14:textId="77777777" w:rsidR="00E814BD" w:rsidRPr="00951AB1" w:rsidRDefault="00E814BD" w:rsidP="000A5389">
            <w:pPr>
              <w:spacing w:line="240" w:lineRule="auto"/>
              <w:jc w:val="center"/>
              <w:rPr>
                <w:rFonts w:eastAsia="Times New Roman" w:cs="Times New Roman"/>
                <w:color w:val="000000"/>
                <w:sz w:val="16"/>
                <w:szCs w:val="16"/>
                <w:lang w:eastAsia="es-CO"/>
              </w:rPr>
            </w:pPr>
            <w:r w:rsidRPr="00951AB1">
              <w:rPr>
                <w:rFonts w:eastAsia="Times New Roman" w:cs="Times New Roman"/>
                <w:color w:val="000000"/>
                <w:sz w:val="16"/>
                <w:szCs w:val="16"/>
                <w:lang w:eastAsia="es-CO"/>
              </w:rPr>
              <w:t>5</w:t>
            </w:r>
          </w:p>
        </w:tc>
        <w:tc>
          <w:tcPr>
            <w:tcW w:w="799" w:type="pct"/>
            <w:tcBorders>
              <w:top w:val="nil"/>
              <w:left w:val="nil"/>
              <w:bottom w:val="single" w:sz="4" w:space="0" w:color="A6A6A6"/>
              <w:right w:val="single" w:sz="4" w:space="0" w:color="A6A6A6"/>
            </w:tcBorders>
            <w:noWrap/>
            <w:vAlign w:val="center"/>
            <w:hideMark/>
          </w:tcPr>
          <w:p w14:paraId="388AA4EB" w14:textId="77777777" w:rsidR="00E814BD" w:rsidRPr="00951AB1" w:rsidRDefault="00E814BD" w:rsidP="000A5389">
            <w:pPr>
              <w:spacing w:line="240" w:lineRule="auto"/>
              <w:jc w:val="right"/>
              <w:rPr>
                <w:rFonts w:eastAsia="Times New Roman" w:cs="Times New Roman"/>
                <w:color w:val="000000"/>
                <w:sz w:val="16"/>
                <w:szCs w:val="16"/>
                <w:lang w:eastAsia="es-CO"/>
              </w:rPr>
            </w:pPr>
            <w:r w:rsidRPr="00951AB1">
              <w:rPr>
                <w:rFonts w:eastAsia="Times New Roman" w:cs="Times New Roman"/>
                <w:color w:val="000000"/>
                <w:sz w:val="16"/>
                <w:szCs w:val="16"/>
                <w:lang w:eastAsia="es-CO"/>
              </w:rPr>
              <w:t xml:space="preserve">1.512.920.062.738 </w:t>
            </w:r>
          </w:p>
        </w:tc>
        <w:tc>
          <w:tcPr>
            <w:tcW w:w="723" w:type="pct"/>
            <w:tcBorders>
              <w:top w:val="nil"/>
              <w:left w:val="nil"/>
              <w:bottom w:val="single" w:sz="4" w:space="0" w:color="A6A6A6"/>
              <w:right w:val="single" w:sz="4" w:space="0" w:color="A6A6A6"/>
            </w:tcBorders>
            <w:noWrap/>
            <w:vAlign w:val="center"/>
            <w:hideMark/>
          </w:tcPr>
          <w:p w14:paraId="39E58CA2" w14:textId="77777777" w:rsidR="00E814BD" w:rsidRPr="00951AB1" w:rsidRDefault="00E814BD" w:rsidP="000A5389">
            <w:pPr>
              <w:spacing w:line="240" w:lineRule="auto"/>
              <w:rPr>
                <w:rFonts w:eastAsia="Times New Roman" w:cs="Times New Roman"/>
                <w:color w:val="000000"/>
                <w:sz w:val="16"/>
                <w:szCs w:val="16"/>
                <w:lang w:eastAsia="es-CO"/>
              </w:rPr>
            </w:pPr>
            <w:r w:rsidRPr="00951AB1">
              <w:rPr>
                <w:rFonts w:eastAsia="Times New Roman" w:cs="Times New Roman"/>
                <w:color w:val="000000"/>
                <w:sz w:val="16"/>
                <w:szCs w:val="16"/>
                <w:lang w:eastAsia="es-CO"/>
              </w:rPr>
              <w:t> </w:t>
            </w:r>
          </w:p>
        </w:tc>
        <w:tc>
          <w:tcPr>
            <w:tcW w:w="257" w:type="pct"/>
            <w:tcBorders>
              <w:top w:val="nil"/>
              <w:left w:val="nil"/>
              <w:bottom w:val="single" w:sz="4" w:space="0" w:color="A6A6A6"/>
              <w:right w:val="single" w:sz="4" w:space="0" w:color="A6A6A6"/>
            </w:tcBorders>
            <w:noWrap/>
            <w:vAlign w:val="center"/>
            <w:hideMark/>
          </w:tcPr>
          <w:p w14:paraId="365104B5" w14:textId="77777777" w:rsidR="00E814BD" w:rsidRPr="00951AB1" w:rsidRDefault="00E814BD" w:rsidP="000A5389">
            <w:pPr>
              <w:spacing w:line="240" w:lineRule="auto"/>
              <w:rPr>
                <w:rFonts w:eastAsia="Times New Roman" w:cs="Times New Roman"/>
                <w:color w:val="000000"/>
                <w:sz w:val="16"/>
                <w:szCs w:val="16"/>
                <w:lang w:eastAsia="es-CO"/>
              </w:rPr>
            </w:pPr>
            <w:r w:rsidRPr="00951AB1">
              <w:rPr>
                <w:rFonts w:eastAsia="Times New Roman" w:cs="Times New Roman"/>
                <w:color w:val="000000"/>
                <w:sz w:val="16"/>
                <w:szCs w:val="16"/>
                <w:lang w:eastAsia="es-CO"/>
              </w:rPr>
              <w:t> </w:t>
            </w:r>
          </w:p>
        </w:tc>
        <w:tc>
          <w:tcPr>
            <w:tcW w:w="878" w:type="pct"/>
            <w:tcBorders>
              <w:top w:val="nil"/>
              <w:left w:val="nil"/>
              <w:bottom w:val="single" w:sz="4" w:space="0" w:color="A6A6A6"/>
              <w:right w:val="single" w:sz="4" w:space="0" w:color="A6A6A6"/>
            </w:tcBorders>
            <w:noWrap/>
            <w:vAlign w:val="center"/>
            <w:hideMark/>
          </w:tcPr>
          <w:p w14:paraId="5D2E7622" w14:textId="77777777" w:rsidR="00E814BD" w:rsidRPr="00951AB1" w:rsidRDefault="00E814BD" w:rsidP="000A5389">
            <w:pPr>
              <w:spacing w:line="240" w:lineRule="auto"/>
              <w:jc w:val="right"/>
              <w:rPr>
                <w:rFonts w:eastAsia="Times New Roman" w:cs="Times New Roman"/>
                <w:color w:val="000000"/>
                <w:sz w:val="16"/>
                <w:szCs w:val="16"/>
                <w:lang w:eastAsia="es-CO"/>
              </w:rPr>
            </w:pPr>
            <w:r w:rsidRPr="00951AB1">
              <w:rPr>
                <w:rFonts w:eastAsia="Times New Roman" w:cs="Times New Roman"/>
                <w:color w:val="000000"/>
                <w:sz w:val="16"/>
                <w:szCs w:val="16"/>
                <w:lang w:eastAsia="es-CO"/>
              </w:rPr>
              <w:t xml:space="preserve">1.491.082.477.517 </w:t>
            </w:r>
          </w:p>
        </w:tc>
        <w:tc>
          <w:tcPr>
            <w:tcW w:w="204" w:type="pct"/>
            <w:tcBorders>
              <w:top w:val="nil"/>
              <w:left w:val="nil"/>
              <w:bottom w:val="single" w:sz="4" w:space="0" w:color="A6A6A6"/>
              <w:right w:val="single" w:sz="4" w:space="0" w:color="A6A6A6"/>
            </w:tcBorders>
            <w:noWrap/>
            <w:vAlign w:val="center"/>
            <w:hideMark/>
          </w:tcPr>
          <w:p w14:paraId="5A76E325" w14:textId="77777777" w:rsidR="00E814BD" w:rsidRPr="00951AB1" w:rsidRDefault="00E814BD" w:rsidP="000A5389">
            <w:pPr>
              <w:spacing w:line="240" w:lineRule="auto"/>
              <w:rPr>
                <w:rFonts w:eastAsia="Times New Roman" w:cs="Times New Roman"/>
                <w:color w:val="000000"/>
                <w:sz w:val="16"/>
                <w:szCs w:val="16"/>
                <w:lang w:eastAsia="es-CO"/>
              </w:rPr>
            </w:pPr>
            <w:r w:rsidRPr="00951AB1">
              <w:rPr>
                <w:rFonts w:eastAsia="Times New Roman" w:cs="Times New Roman"/>
                <w:color w:val="000000"/>
                <w:sz w:val="16"/>
                <w:szCs w:val="16"/>
                <w:lang w:eastAsia="es-CO"/>
              </w:rPr>
              <w:t> </w:t>
            </w:r>
          </w:p>
        </w:tc>
        <w:tc>
          <w:tcPr>
            <w:tcW w:w="241" w:type="pct"/>
            <w:tcBorders>
              <w:top w:val="nil"/>
              <w:left w:val="nil"/>
              <w:bottom w:val="single" w:sz="4" w:space="0" w:color="A6A6A6"/>
              <w:right w:val="single" w:sz="4" w:space="0" w:color="A6A6A6"/>
            </w:tcBorders>
            <w:noWrap/>
            <w:vAlign w:val="center"/>
            <w:hideMark/>
          </w:tcPr>
          <w:p w14:paraId="1DF4F8C1" w14:textId="77777777" w:rsidR="00E814BD" w:rsidRPr="00951AB1" w:rsidRDefault="00E814BD" w:rsidP="000A5389">
            <w:pPr>
              <w:spacing w:line="240" w:lineRule="auto"/>
              <w:rPr>
                <w:rFonts w:eastAsia="Times New Roman" w:cs="Times New Roman"/>
                <w:color w:val="000000"/>
                <w:sz w:val="16"/>
                <w:szCs w:val="16"/>
                <w:lang w:eastAsia="es-CO"/>
              </w:rPr>
            </w:pPr>
            <w:r w:rsidRPr="00951AB1">
              <w:rPr>
                <w:rFonts w:eastAsia="Times New Roman" w:cs="Times New Roman"/>
                <w:color w:val="000000"/>
                <w:sz w:val="16"/>
                <w:szCs w:val="16"/>
                <w:lang w:eastAsia="es-CO"/>
              </w:rPr>
              <w:t> </w:t>
            </w:r>
          </w:p>
        </w:tc>
        <w:tc>
          <w:tcPr>
            <w:tcW w:w="696" w:type="pct"/>
            <w:gridSpan w:val="2"/>
            <w:tcBorders>
              <w:top w:val="nil"/>
              <w:left w:val="nil"/>
              <w:bottom w:val="single" w:sz="4" w:space="0" w:color="A6A6A6"/>
              <w:right w:val="single" w:sz="4" w:space="0" w:color="A6A6A6"/>
            </w:tcBorders>
            <w:noWrap/>
            <w:vAlign w:val="center"/>
            <w:hideMark/>
          </w:tcPr>
          <w:p w14:paraId="59F7D6AF" w14:textId="77777777" w:rsidR="00E814BD" w:rsidRPr="00951AB1" w:rsidRDefault="00E814BD" w:rsidP="000A5389">
            <w:pPr>
              <w:spacing w:line="240" w:lineRule="auto"/>
              <w:jc w:val="right"/>
              <w:rPr>
                <w:rFonts w:eastAsia="Times New Roman" w:cs="Times New Roman"/>
                <w:color w:val="000000"/>
                <w:sz w:val="16"/>
                <w:szCs w:val="16"/>
                <w:lang w:eastAsia="es-CO"/>
              </w:rPr>
            </w:pPr>
            <w:r w:rsidRPr="00951AB1">
              <w:rPr>
                <w:rFonts w:eastAsia="Times New Roman" w:cs="Times New Roman"/>
                <w:color w:val="000000"/>
                <w:sz w:val="16"/>
                <w:szCs w:val="16"/>
                <w:lang w:eastAsia="es-CO"/>
              </w:rPr>
              <w:t xml:space="preserve">21.837.585.221 </w:t>
            </w:r>
          </w:p>
        </w:tc>
      </w:tr>
      <w:tr w:rsidR="00684C05" w:rsidRPr="00951AB1" w14:paraId="4DEFFE53" w14:textId="77777777" w:rsidTr="00684C05">
        <w:trPr>
          <w:trHeight w:val="300"/>
          <w:jc w:val="center"/>
        </w:trPr>
        <w:tc>
          <w:tcPr>
            <w:tcW w:w="637" w:type="pct"/>
            <w:tcBorders>
              <w:top w:val="nil"/>
              <w:left w:val="single" w:sz="4" w:space="0" w:color="A6A6A6"/>
              <w:bottom w:val="single" w:sz="4" w:space="0" w:color="A6A6A6"/>
              <w:right w:val="single" w:sz="4" w:space="0" w:color="A6A6A6"/>
            </w:tcBorders>
            <w:noWrap/>
            <w:vAlign w:val="center"/>
          </w:tcPr>
          <w:p w14:paraId="0CACD610" w14:textId="77777777" w:rsidR="00E814BD" w:rsidRPr="00951AB1" w:rsidRDefault="00E814BD" w:rsidP="000A5389">
            <w:pPr>
              <w:spacing w:line="240" w:lineRule="auto"/>
              <w:rPr>
                <w:rFonts w:eastAsia="Times New Roman" w:cs="Times New Roman"/>
                <w:b/>
                <w:bCs/>
                <w:color w:val="000000"/>
                <w:sz w:val="16"/>
                <w:szCs w:val="16"/>
                <w:lang w:eastAsia="es-CO"/>
              </w:rPr>
            </w:pPr>
            <w:r w:rsidRPr="00951AB1">
              <w:rPr>
                <w:rFonts w:eastAsia="Times New Roman" w:cs="Times New Roman"/>
                <w:b/>
                <w:bCs/>
                <w:color w:val="000000"/>
                <w:sz w:val="16"/>
                <w:szCs w:val="16"/>
                <w:lang w:eastAsia="es-CO"/>
              </w:rPr>
              <w:t>Laborales</w:t>
            </w:r>
          </w:p>
        </w:tc>
        <w:tc>
          <w:tcPr>
            <w:tcW w:w="403" w:type="pct"/>
            <w:tcBorders>
              <w:top w:val="nil"/>
              <w:left w:val="nil"/>
              <w:bottom w:val="single" w:sz="4" w:space="0" w:color="A6A6A6"/>
              <w:right w:val="single" w:sz="4" w:space="0" w:color="A6A6A6"/>
            </w:tcBorders>
            <w:noWrap/>
            <w:vAlign w:val="center"/>
          </w:tcPr>
          <w:p w14:paraId="5D9CCDB2" w14:textId="77777777" w:rsidR="00E814BD" w:rsidRPr="00951AB1" w:rsidRDefault="00E814BD" w:rsidP="000A5389">
            <w:pPr>
              <w:spacing w:line="240" w:lineRule="auto"/>
              <w:jc w:val="center"/>
              <w:rPr>
                <w:rFonts w:eastAsia="Times New Roman" w:cs="Times New Roman"/>
                <w:color w:val="000000"/>
                <w:sz w:val="16"/>
                <w:szCs w:val="16"/>
                <w:lang w:eastAsia="es-CO"/>
              </w:rPr>
            </w:pPr>
            <w:r w:rsidRPr="00951AB1">
              <w:rPr>
                <w:rFonts w:eastAsia="Times New Roman" w:cs="Times New Roman"/>
                <w:b/>
                <w:bCs/>
                <w:color w:val="000000"/>
                <w:sz w:val="16"/>
                <w:szCs w:val="16"/>
                <w:lang w:eastAsia="es-CO"/>
              </w:rPr>
              <w:t> </w:t>
            </w:r>
          </w:p>
        </w:tc>
        <w:tc>
          <w:tcPr>
            <w:tcW w:w="162" w:type="pct"/>
            <w:tcBorders>
              <w:top w:val="nil"/>
              <w:left w:val="nil"/>
              <w:bottom w:val="single" w:sz="4" w:space="0" w:color="A6A6A6"/>
              <w:right w:val="single" w:sz="4" w:space="0" w:color="A6A6A6"/>
            </w:tcBorders>
            <w:noWrap/>
            <w:vAlign w:val="center"/>
          </w:tcPr>
          <w:p w14:paraId="638C141B" w14:textId="77777777" w:rsidR="00E814BD" w:rsidRPr="00951AB1" w:rsidRDefault="00E814BD" w:rsidP="000A5389">
            <w:pPr>
              <w:spacing w:line="240" w:lineRule="auto"/>
              <w:jc w:val="center"/>
              <w:rPr>
                <w:rFonts w:eastAsia="Times New Roman" w:cs="Times New Roman"/>
                <w:color w:val="000000"/>
                <w:sz w:val="16"/>
                <w:szCs w:val="16"/>
                <w:lang w:eastAsia="es-CO"/>
              </w:rPr>
            </w:pPr>
            <w:r w:rsidRPr="00951AB1">
              <w:rPr>
                <w:rFonts w:eastAsia="Times New Roman" w:cs="Times New Roman"/>
                <w:b/>
                <w:bCs/>
                <w:color w:val="000000"/>
                <w:sz w:val="16"/>
                <w:szCs w:val="16"/>
                <w:lang w:eastAsia="es-CO"/>
              </w:rPr>
              <w:t> </w:t>
            </w:r>
          </w:p>
        </w:tc>
        <w:tc>
          <w:tcPr>
            <w:tcW w:w="799" w:type="pct"/>
            <w:tcBorders>
              <w:top w:val="nil"/>
              <w:left w:val="nil"/>
              <w:bottom w:val="single" w:sz="4" w:space="0" w:color="A6A6A6"/>
              <w:right w:val="single" w:sz="4" w:space="0" w:color="A6A6A6"/>
            </w:tcBorders>
            <w:noWrap/>
            <w:vAlign w:val="center"/>
          </w:tcPr>
          <w:p w14:paraId="0FEC45F9" w14:textId="77777777" w:rsidR="00E814BD" w:rsidRPr="00951AB1" w:rsidRDefault="00E814BD" w:rsidP="000A5389">
            <w:pPr>
              <w:spacing w:line="240" w:lineRule="auto"/>
              <w:jc w:val="right"/>
              <w:rPr>
                <w:rFonts w:eastAsia="Times New Roman" w:cs="Times New Roman"/>
                <w:b/>
                <w:bCs/>
                <w:color w:val="000000"/>
                <w:sz w:val="16"/>
                <w:szCs w:val="16"/>
                <w:lang w:eastAsia="es-CO"/>
              </w:rPr>
            </w:pPr>
            <w:r w:rsidRPr="00951AB1">
              <w:rPr>
                <w:rFonts w:eastAsia="Times New Roman" w:cs="Times New Roman"/>
                <w:b/>
                <w:bCs/>
                <w:color w:val="000000"/>
                <w:sz w:val="16"/>
                <w:szCs w:val="16"/>
                <w:lang w:eastAsia="es-CO"/>
              </w:rPr>
              <w:t xml:space="preserve">729.647.882 </w:t>
            </w:r>
          </w:p>
        </w:tc>
        <w:tc>
          <w:tcPr>
            <w:tcW w:w="723" w:type="pct"/>
            <w:tcBorders>
              <w:top w:val="nil"/>
              <w:left w:val="nil"/>
              <w:bottom w:val="single" w:sz="4" w:space="0" w:color="A6A6A6"/>
              <w:right w:val="single" w:sz="4" w:space="0" w:color="A6A6A6"/>
            </w:tcBorders>
            <w:noWrap/>
            <w:vAlign w:val="center"/>
          </w:tcPr>
          <w:p w14:paraId="76452617" w14:textId="77777777" w:rsidR="00E814BD" w:rsidRPr="00951AB1" w:rsidRDefault="00E814BD" w:rsidP="000A5389">
            <w:pPr>
              <w:spacing w:line="240" w:lineRule="auto"/>
              <w:jc w:val="right"/>
              <w:rPr>
                <w:rFonts w:eastAsia="Times New Roman" w:cs="Times New Roman"/>
                <w:color w:val="000000"/>
                <w:sz w:val="16"/>
                <w:szCs w:val="16"/>
                <w:lang w:eastAsia="es-CO"/>
              </w:rPr>
            </w:pPr>
            <w:r w:rsidRPr="00951AB1">
              <w:rPr>
                <w:rFonts w:eastAsia="Times New Roman" w:cs="Times New Roman"/>
                <w:b/>
                <w:bCs/>
                <w:color w:val="000000"/>
                <w:sz w:val="16"/>
                <w:szCs w:val="16"/>
                <w:lang w:eastAsia="es-CO"/>
              </w:rPr>
              <w:t xml:space="preserve">0 </w:t>
            </w:r>
          </w:p>
        </w:tc>
        <w:tc>
          <w:tcPr>
            <w:tcW w:w="257" w:type="pct"/>
            <w:tcBorders>
              <w:top w:val="nil"/>
              <w:left w:val="nil"/>
              <w:bottom w:val="single" w:sz="4" w:space="0" w:color="A6A6A6"/>
              <w:right w:val="single" w:sz="4" w:space="0" w:color="A6A6A6"/>
            </w:tcBorders>
            <w:noWrap/>
            <w:vAlign w:val="center"/>
          </w:tcPr>
          <w:p w14:paraId="55D328E1" w14:textId="77777777" w:rsidR="00E814BD" w:rsidRPr="00951AB1" w:rsidRDefault="00E814BD" w:rsidP="000A5389">
            <w:pPr>
              <w:spacing w:line="240" w:lineRule="auto"/>
              <w:jc w:val="right"/>
              <w:rPr>
                <w:rFonts w:eastAsia="Times New Roman" w:cs="Times New Roman"/>
                <w:color w:val="000000"/>
                <w:sz w:val="16"/>
                <w:szCs w:val="16"/>
                <w:lang w:eastAsia="es-CO"/>
              </w:rPr>
            </w:pPr>
            <w:r w:rsidRPr="00951AB1">
              <w:rPr>
                <w:rFonts w:eastAsia="Times New Roman" w:cs="Times New Roman"/>
                <w:b/>
                <w:bCs/>
                <w:color w:val="000000"/>
                <w:sz w:val="16"/>
                <w:szCs w:val="16"/>
                <w:lang w:eastAsia="es-CO"/>
              </w:rPr>
              <w:t xml:space="preserve">0 </w:t>
            </w:r>
          </w:p>
        </w:tc>
        <w:tc>
          <w:tcPr>
            <w:tcW w:w="878" w:type="pct"/>
            <w:tcBorders>
              <w:top w:val="nil"/>
              <w:left w:val="nil"/>
              <w:bottom w:val="single" w:sz="4" w:space="0" w:color="A6A6A6"/>
              <w:right w:val="single" w:sz="4" w:space="0" w:color="A6A6A6"/>
            </w:tcBorders>
            <w:noWrap/>
            <w:vAlign w:val="center"/>
          </w:tcPr>
          <w:p w14:paraId="20D42891" w14:textId="77777777" w:rsidR="00E814BD" w:rsidRPr="00951AB1" w:rsidRDefault="00E814BD" w:rsidP="000A5389">
            <w:pPr>
              <w:spacing w:line="240" w:lineRule="auto"/>
              <w:jc w:val="right"/>
              <w:rPr>
                <w:rFonts w:eastAsia="Times New Roman" w:cs="Times New Roman"/>
                <w:b/>
                <w:bCs/>
                <w:color w:val="000000"/>
                <w:sz w:val="16"/>
                <w:szCs w:val="16"/>
                <w:lang w:eastAsia="es-CO"/>
              </w:rPr>
            </w:pPr>
            <w:r w:rsidRPr="00951AB1">
              <w:rPr>
                <w:rFonts w:eastAsia="Times New Roman" w:cs="Times New Roman"/>
                <w:b/>
                <w:bCs/>
                <w:color w:val="000000"/>
                <w:sz w:val="16"/>
                <w:szCs w:val="16"/>
                <w:lang w:eastAsia="es-CO"/>
              </w:rPr>
              <w:t xml:space="preserve">386.268.322 </w:t>
            </w:r>
          </w:p>
        </w:tc>
        <w:tc>
          <w:tcPr>
            <w:tcW w:w="204" w:type="pct"/>
            <w:tcBorders>
              <w:top w:val="nil"/>
              <w:left w:val="nil"/>
              <w:bottom w:val="single" w:sz="4" w:space="0" w:color="A6A6A6"/>
              <w:right w:val="single" w:sz="4" w:space="0" w:color="A6A6A6"/>
            </w:tcBorders>
            <w:noWrap/>
            <w:vAlign w:val="center"/>
          </w:tcPr>
          <w:p w14:paraId="0624FA93" w14:textId="77777777" w:rsidR="00E814BD" w:rsidRPr="00951AB1" w:rsidRDefault="00E814BD" w:rsidP="000A5389">
            <w:pPr>
              <w:spacing w:line="240" w:lineRule="auto"/>
              <w:jc w:val="right"/>
              <w:rPr>
                <w:rFonts w:eastAsia="Times New Roman" w:cs="Times New Roman"/>
                <w:color w:val="000000"/>
                <w:sz w:val="16"/>
                <w:szCs w:val="16"/>
                <w:lang w:eastAsia="es-CO"/>
              </w:rPr>
            </w:pPr>
            <w:r w:rsidRPr="00951AB1">
              <w:rPr>
                <w:rFonts w:eastAsia="Times New Roman" w:cs="Times New Roman"/>
                <w:b/>
                <w:bCs/>
                <w:color w:val="000000"/>
                <w:sz w:val="16"/>
                <w:szCs w:val="16"/>
                <w:lang w:eastAsia="es-CO"/>
              </w:rPr>
              <w:t xml:space="preserve">0 </w:t>
            </w:r>
          </w:p>
        </w:tc>
        <w:tc>
          <w:tcPr>
            <w:tcW w:w="241" w:type="pct"/>
            <w:tcBorders>
              <w:top w:val="nil"/>
              <w:left w:val="nil"/>
              <w:bottom w:val="single" w:sz="4" w:space="0" w:color="A6A6A6"/>
              <w:right w:val="single" w:sz="4" w:space="0" w:color="A6A6A6"/>
            </w:tcBorders>
            <w:noWrap/>
            <w:vAlign w:val="center"/>
          </w:tcPr>
          <w:p w14:paraId="53ADA035" w14:textId="77777777" w:rsidR="00E814BD" w:rsidRPr="00951AB1" w:rsidRDefault="00E814BD" w:rsidP="000A5389">
            <w:pPr>
              <w:spacing w:line="240" w:lineRule="auto"/>
              <w:jc w:val="right"/>
              <w:rPr>
                <w:rFonts w:eastAsia="Times New Roman" w:cs="Times New Roman"/>
                <w:color w:val="000000"/>
                <w:sz w:val="16"/>
                <w:szCs w:val="16"/>
                <w:lang w:eastAsia="es-CO"/>
              </w:rPr>
            </w:pPr>
            <w:r w:rsidRPr="00951AB1">
              <w:rPr>
                <w:rFonts w:eastAsia="Times New Roman" w:cs="Times New Roman"/>
                <w:b/>
                <w:bCs/>
                <w:color w:val="000000"/>
                <w:sz w:val="16"/>
                <w:szCs w:val="16"/>
                <w:lang w:eastAsia="es-CO"/>
              </w:rPr>
              <w:t xml:space="preserve">0 </w:t>
            </w:r>
          </w:p>
        </w:tc>
        <w:tc>
          <w:tcPr>
            <w:tcW w:w="696" w:type="pct"/>
            <w:gridSpan w:val="2"/>
            <w:tcBorders>
              <w:top w:val="nil"/>
              <w:left w:val="nil"/>
              <w:bottom w:val="single" w:sz="4" w:space="0" w:color="A6A6A6"/>
              <w:right w:val="single" w:sz="4" w:space="0" w:color="A6A6A6"/>
            </w:tcBorders>
            <w:noWrap/>
            <w:vAlign w:val="center"/>
          </w:tcPr>
          <w:p w14:paraId="46E8040B" w14:textId="77777777" w:rsidR="00E814BD" w:rsidRPr="00951AB1" w:rsidRDefault="00E814BD" w:rsidP="000A5389">
            <w:pPr>
              <w:spacing w:line="240" w:lineRule="auto"/>
              <w:jc w:val="right"/>
              <w:rPr>
                <w:rFonts w:eastAsia="Times New Roman" w:cs="Times New Roman"/>
                <w:b/>
                <w:bCs/>
                <w:color w:val="000000"/>
                <w:sz w:val="16"/>
                <w:szCs w:val="16"/>
                <w:lang w:eastAsia="es-CO"/>
              </w:rPr>
            </w:pPr>
            <w:r w:rsidRPr="00951AB1">
              <w:rPr>
                <w:rFonts w:eastAsia="Times New Roman" w:cs="Times New Roman"/>
                <w:b/>
                <w:bCs/>
                <w:color w:val="000000"/>
                <w:sz w:val="16"/>
                <w:szCs w:val="16"/>
                <w:lang w:eastAsia="es-CO"/>
              </w:rPr>
              <w:t xml:space="preserve">343.379.560 </w:t>
            </w:r>
          </w:p>
        </w:tc>
      </w:tr>
      <w:tr w:rsidR="00684C05" w:rsidRPr="00951AB1" w14:paraId="2AFC0BB3" w14:textId="77777777" w:rsidTr="00684C05">
        <w:trPr>
          <w:trHeight w:val="300"/>
          <w:jc w:val="center"/>
        </w:trPr>
        <w:tc>
          <w:tcPr>
            <w:tcW w:w="637" w:type="pct"/>
            <w:tcBorders>
              <w:top w:val="nil"/>
              <w:left w:val="single" w:sz="4" w:space="0" w:color="A6A6A6"/>
              <w:bottom w:val="single" w:sz="4" w:space="0" w:color="A6A6A6"/>
              <w:right w:val="single" w:sz="4" w:space="0" w:color="A6A6A6"/>
            </w:tcBorders>
            <w:noWrap/>
            <w:vAlign w:val="center"/>
          </w:tcPr>
          <w:p w14:paraId="0AFC9850" w14:textId="77777777" w:rsidR="00E814BD" w:rsidRPr="00951AB1" w:rsidRDefault="00E814BD" w:rsidP="000A5389">
            <w:pPr>
              <w:spacing w:line="240" w:lineRule="auto"/>
              <w:rPr>
                <w:rFonts w:eastAsia="Times New Roman" w:cs="Times New Roman"/>
                <w:b/>
                <w:bCs/>
                <w:color w:val="000000"/>
                <w:sz w:val="16"/>
                <w:szCs w:val="16"/>
                <w:lang w:eastAsia="es-CO"/>
              </w:rPr>
            </w:pPr>
            <w:r w:rsidRPr="00951AB1">
              <w:rPr>
                <w:rFonts w:eastAsia="Times New Roman" w:cs="Times New Roman"/>
                <w:color w:val="000000"/>
                <w:sz w:val="16"/>
                <w:szCs w:val="16"/>
                <w:lang w:eastAsia="es-CO"/>
              </w:rPr>
              <w:t>Nacionales</w:t>
            </w:r>
          </w:p>
        </w:tc>
        <w:tc>
          <w:tcPr>
            <w:tcW w:w="403" w:type="pct"/>
            <w:tcBorders>
              <w:top w:val="nil"/>
              <w:left w:val="nil"/>
              <w:bottom w:val="single" w:sz="4" w:space="0" w:color="A6A6A6"/>
              <w:right w:val="single" w:sz="4" w:space="0" w:color="A6A6A6"/>
            </w:tcBorders>
            <w:noWrap/>
            <w:vAlign w:val="center"/>
          </w:tcPr>
          <w:p w14:paraId="176BE698" w14:textId="77777777" w:rsidR="00E814BD" w:rsidRPr="00951AB1" w:rsidRDefault="00E814BD" w:rsidP="000A5389">
            <w:pPr>
              <w:spacing w:line="240" w:lineRule="auto"/>
              <w:jc w:val="center"/>
              <w:rPr>
                <w:rFonts w:eastAsia="Times New Roman" w:cs="Times New Roman"/>
                <w:color w:val="000000"/>
                <w:sz w:val="16"/>
                <w:szCs w:val="16"/>
                <w:lang w:eastAsia="es-CO"/>
              </w:rPr>
            </w:pPr>
            <w:r w:rsidRPr="00951AB1">
              <w:rPr>
                <w:rFonts w:eastAsia="Times New Roman" w:cs="Times New Roman"/>
                <w:color w:val="000000"/>
                <w:sz w:val="16"/>
                <w:szCs w:val="16"/>
                <w:lang w:eastAsia="es-CO"/>
              </w:rPr>
              <w:t>PN</w:t>
            </w:r>
          </w:p>
        </w:tc>
        <w:tc>
          <w:tcPr>
            <w:tcW w:w="162" w:type="pct"/>
            <w:tcBorders>
              <w:top w:val="nil"/>
              <w:left w:val="nil"/>
              <w:bottom w:val="single" w:sz="4" w:space="0" w:color="A6A6A6"/>
              <w:right w:val="single" w:sz="4" w:space="0" w:color="A6A6A6"/>
            </w:tcBorders>
            <w:noWrap/>
            <w:vAlign w:val="center"/>
          </w:tcPr>
          <w:p w14:paraId="217A0B2B" w14:textId="77777777" w:rsidR="00E814BD" w:rsidRPr="00951AB1" w:rsidRDefault="00E814BD" w:rsidP="000A5389">
            <w:pPr>
              <w:spacing w:line="240" w:lineRule="auto"/>
              <w:jc w:val="center"/>
              <w:rPr>
                <w:rFonts w:eastAsia="Times New Roman" w:cs="Times New Roman"/>
                <w:color w:val="000000"/>
                <w:sz w:val="16"/>
                <w:szCs w:val="16"/>
                <w:lang w:eastAsia="es-CO"/>
              </w:rPr>
            </w:pPr>
            <w:r w:rsidRPr="00951AB1">
              <w:rPr>
                <w:rFonts w:eastAsia="Times New Roman" w:cs="Times New Roman"/>
                <w:color w:val="000000"/>
                <w:sz w:val="16"/>
                <w:szCs w:val="16"/>
                <w:lang w:eastAsia="es-CO"/>
              </w:rPr>
              <w:t>4</w:t>
            </w:r>
          </w:p>
        </w:tc>
        <w:tc>
          <w:tcPr>
            <w:tcW w:w="799" w:type="pct"/>
            <w:tcBorders>
              <w:top w:val="nil"/>
              <w:left w:val="nil"/>
              <w:bottom w:val="single" w:sz="4" w:space="0" w:color="A6A6A6"/>
              <w:right w:val="single" w:sz="4" w:space="0" w:color="A6A6A6"/>
            </w:tcBorders>
            <w:noWrap/>
            <w:vAlign w:val="center"/>
          </w:tcPr>
          <w:p w14:paraId="620B4211" w14:textId="77777777" w:rsidR="00E814BD" w:rsidRPr="00951AB1" w:rsidRDefault="00E814BD" w:rsidP="000A5389">
            <w:pPr>
              <w:spacing w:line="240" w:lineRule="auto"/>
              <w:jc w:val="right"/>
              <w:rPr>
                <w:rFonts w:eastAsia="Times New Roman" w:cs="Times New Roman"/>
                <w:b/>
                <w:bCs/>
                <w:color w:val="000000"/>
                <w:sz w:val="16"/>
                <w:szCs w:val="16"/>
                <w:lang w:eastAsia="es-CO"/>
              </w:rPr>
            </w:pPr>
            <w:r w:rsidRPr="00951AB1">
              <w:rPr>
                <w:rFonts w:eastAsia="Times New Roman" w:cs="Times New Roman"/>
                <w:color w:val="000000"/>
                <w:sz w:val="16"/>
                <w:szCs w:val="16"/>
                <w:lang w:eastAsia="es-CO"/>
              </w:rPr>
              <w:t xml:space="preserve">729.647.882 </w:t>
            </w:r>
          </w:p>
        </w:tc>
        <w:tc>
          <w:tcPr>
            <w:tcW w:w="723" w:type="pct"/>
            <w:tcBorders>
              <w:top w:val="nil"/>
              <w:left w:val="nil"/>
              <w:bottom w:val="single" w:sz="4" w:space="0" w:color="A6A6A6"/>
              <w:right w:val="single" w:sz="4" w:space="0" w:color="A6A6A6"/>
            </w:tcBorders>
            <w:noWrap/>
            <w:vAlign w:val="center"/>
          </w:tcPr>
          <w:p w14:paraId="64F27106" w14:textId="77777777" w:rsidR="00E814BD" w:rsidRPr="00951AB1" w:rsidRDefault="00E814BD" w:rsidP="000A5389">
            <w:pPr>
              <w:spacing w:line="240" w:lineRule="auto"/>
              <w:jc w:val="right"/>
              <w:rPr>
                <w:rFonts w:eastAsia="Times New Roman" w:cs="Times New Roman"/>
                <w:color w:val="000000"/>
                <w:sz w:val="16"/>
                <w:szCs w:val="16"/>
                <w:lang w:eastAsia="es-CO"/>
              </w:rPr>
            </w:pPr>
            <w:r w:rsidRPr="00951AB1">
              <w:rPr>
                <w:rFonts w:eastAsia="Times New Roman" w:cs="Times New Roman"/>
                <w:color w:val="000000"/>
                <w:sz w:val="16"/>
                <w:szCs w:val="16"/>
                <w:lang w:eastAsia="es-CO"/>
              </w:rPr>
              <w:t> </w:t>
            </w:r>
          </w:p>
        </w:tc>
        <w:tc>
          <w:tcPr>
            <w:tcW w:w="257" w:type="pct"/>
            <w:tcBorders>
              <w:top w:val="nil"/>
              <w:left w:val="nil"/>
              <w:bottom w:val="single" w:sz="4" w:space="0" w:color="A6A6A6"/>
              <w:right w:val="single" w:sz="4" w:space="0" w:color="A6A6A6"/>
            </w:tcBorders>
            <w:noWrap/>
            <w:vAlign w:val="center"/>
          </w:tcPr>
          <w:p w14:paraId="43E6CDC5" w14:textId="77777777" w:rsidR="00E814BD" w:rsidRPr="00951AB1" w:rsidRDefault="00E814BD" w:rsidP="000A5389">
            <w:pPr>
              <w:spacing w:line="240" w:lineRule="auto"/>
              <w:jc w:val="right"/>
              <w:rPr>
                <w:rFonts w:eastAsia="Times New Roman" w:cs="Times New Roman"/>
                <w:color w:val="000000"/>
                <w:sz w:val="16"/>
                <w:szCs w:val="16"/>
                <w:lang w:eastAsia="es-CO"/>
              </w:rPr>
            </w:pPr>
            <w:r w:rsidRPr="00951AB1">
              <w:rPr>
                <w:rFonts w:eastAsia="Times New Roman" w:cs="Times New Roman"/>
                <w:color w:val="000000"/>
                <w:sz w:val="16"/>
                <w:szCs w:val="16"/>
                <w:lang w:eastAsia="es-CO"/>
              </w:rPr>
              <w:t> </w:t>
            </w:r>
          </w:p>
        </w:tc>
        <w:tc>
          <w:tcPr>
            <w:tcW w:w="878" w:type="pct"/>
            <w:tcBorders>
              <w:top w:val="nil"/>
              <w:left w:val="nil"/>
              <w:bottom w:val="single" w:sz="4" w:space="0" w:color="A6A6A6"/>
              <w:right w:val="single" w:sz="4" w:space="0" w:color="A6A6A6"/>
            </w:tcBorders>
            <w:noWrap/>
            <w:vAlign w:val="center"/>
          </w:tcPr>
          <w:p w14:paraId="0870C933" w14:textId="77777777" w:rsidR="00E814BD" w:rsidRPr="00951AB1" w:rsidRDefault="00E814BD" w:rsidP="000A5389">
            <w:pPr>
              <w:spacing w:line="240" w:lineRule="auto"/>
              <w:jc w:val="right"/>
              <w:rPr>
                <w:rFonts w:eastAsia="Times New Roman" w:cs="Times New Roman"/>
                <w:b/>
                <w:bCs/>
                <w:color w:val="000000"/>
                <w:sz w:val="16"/>
                <w:szCs w:val="16"/>
                <w:lang w:eastAsia="es-CO"/>
              </w:rPr>
            </w:pPr>
            <w:r w:rsidRPr="00951AB1">
              <w:rPr>
                <w:rFonts w:eastAsia="Times New Roman" w:cs="Times New Roman"/>
                <w:color w:val="000000"/>
                <w:sz w:val="16"/>
                <w:szCs w:val="16"/>
                <w:lang w:eastAsia="es-CO"/>
              </w:rPr>
              <w:t xml:space="preserve">386.268.322 </w:t>
            </w:r>
          </w:p>
        </w:tc>
        <w:tc>
          <w:tcPr>
            <w:tcW w:w="204" w:type="pct"/>
            <w:tcBorders>
              <w:top w:val="nil"/>
              <w:left w:val="nil"/>
              <w:bottom w:val="single" w:sz="4" w:space="0" w:color="A6A6A6"/>
              <w:right w:val="single" w:sz="4" w:space="0" w:color="A6A6A6"/>
            </w:tcBorders>
            <w:noWrap/>
            <w:vAlign w:val="center"/>
          </w:tcPr>
          <w:p w14:paraId="69E359B4" w14:textId="77777777" w:rsidR="00E814BD" w:rsidRPr="00951AB1" w:rsidRDefault="00E814BD" w:rsidP="000A5389">
            <w:pPr>
              <w:spacing w:line="240" w:lineRule="auto"/>
              <w:jc w:val="right"/>
              <w:rPr>
                <w:rFonts w:eastAsia="Times New Roman" w:cs="Times New Roman"/>
                <w:color w:val="000000"/>
                <w:sz w:val="16"/>
                <w:szCs w:val="16"/>
                <w:lang w:eastAsia="es-CO"/>
              </w:rPr>
            </w:pPr>
            <w:r w:rsidRPr="00951AB1">
              <w:rPr>
                <w:rFonts w:eastAsia="Times New Roman" w:cs="Times New Roman"/>
                <w:color w:val="000000"/>
                <w:sz w:val="16"/>
                <w:szCs w:val="16"/>
                <w:lang w:eastAsia="es-CO"/>
              </w:rPr>
              <w:t> </w:t>
            </w:r>
          </w:p>
        </w:tc>
        <w:tc>
          <w:tcPr>
            <w:tcW w:w="241" w:type="pct"/>
            <w:tcBorders>
              <w:top w:val="nil"/>
              <w:left w:val="nil"/>
              <w:bottom w:val="single" w:sz="4" w:space="0" w:color="A6A6A6"/>
              <w:right w:val="single" w:sz="4" w:space="0" w:color="A6A6A6"/>
            </w:tcBorders>
            <w:noWrap/>
            <w:vAlign w:val="center"/>
          </w:tcPr>
          <w:p w14:paraId="51F546BA" w14:textId="77777777" w:rsidR="00E814BD" w:rsidRPr="00951AB1" w:rsidRDefault="00E814BD" w:rsidP="000A5389">
            <w:pPr>
              <w:spacing w:line="240" w:lineRule="auto"/>
              <w:jc w:val="right"/>
              <w:rPr>
                <w:rFonts w:eastAsia="Times New Roman" w:cs="Times New Roman"/>
                <w:color w:val="000000"/>
                <w:sz w:val="16"/>
                <w:szCs w:val="16"/>
                <w:lang w:eastAsia="es-CO"/>
              </w:rPr>
            </w:pPr>
            <w:r w:rsidRPr="00951AB1">
              <w:rPr>
                <w:rFonts w:eastAsia="Times New Roman" w:cs="Times New Roman"/>
                <w:color w:val="000000"/>
                <w:sz w:val="16"/>
                <w:szCs w:val="16"/>
                <w:lang w:eastAsia="es-CO"/>
              </w:rPr>
              <w:t> </w:t>
            </w:r>
          </w:p>
        </w:tc>
        <w:tc>
          <w:tcPr>
            <w:tcW w:w="696" w:type="pct"/>
            <w:gridSpan w:val="2"/>
            <w:tcBorders>
              <w:top w:val="nil"/>
              <w:left w:val="nil"/>
              <w:bottom w:val="single" w:sz="4" w:space="0" w:color="A6A6A6"/>
              <w:right w:val="single" w:sz="4" w:space="0" w:color="A6A6A6"/>
            </w:tcBorders>
            <w:noWrap/>
            <w:vAlign w:val="center"/>
          </w:tcPr>
          <w:p w14:paraId="49A71C78" w14:textId="77777777" w:rsidR="00E814BD" w:rsidRPr="00951AB1" w:rsidRDefault="00E814BD" w:rsidP="000A5389">
            <w:pPr>
              <w:spacing w:line="240" w:lineRule="auto"/>
              <w:jc w:val="right"/>
              <w:rPr>
                <w:rFonts w:eastAsia="Times New Roman" w:cs="Times New Roman"/>
                <w:b/>
                <w:bCs/>
                <w:color w:val="000000"/>
                <w:sz w:val="16"/>
                <w:szCs w:val="16"/>
                <w:lang w:eastAsia="es-CO"/>
              </w:rPr>
            </w:pPr>
            <w:r w:rsidRPr="00951AB1">
              <w:rPr>
                <w:rFonts w:eastAsia="Times New Roman" w:cs="Times New Roman"/>
                <w:color w:val="000000"/>
                <w:sz w:val="16"/>
                <w:szCs w:val="16"/>
                <w:lang w:eastAsia="es-CO"/>
              </w:rPr>
              <w:t xml:space="preserve">343.379.560 </w:t>
            </w:r>
          </w:p>
        </w:tc>
      </w:tr>
      <w:tr w:rsidR="00684C05" w:rsidRPr="00951AB1" w14:paraId="5E126B27" w14:textId="77777777" w:rsidTr="00684C05">
        <w:trPr>
          <w:trHeight w:val="300"/>
          <w:jc w:val="center"/>
        </w:trPr>
        <w:tc>
          <w:tcPr>
            <w:tcW w:w="637" w:type="pct"/>
            <w:tcBorders>
              <w:top w:val="nil"/>
              <w:left w:val="single" w:sz="4" w:space="0" w:color="A6A6A6"/>
              <w:bottom w:val="single" w:sz="4" w:space="0" w:color="A6A6A6"/>
              <w:right w:val="single" w:sz="4" w:space="0" w:color="A6A6A6"/>
            </w:tcBorders>
            <w:noWrap/>
            <w:vAlign w:val="center"/>
            <w:hideMark/>
          </w:tcPr>
          <w:p w14:paraId="22599F48" w14:textId="77777777" w:rsidR="00E814BD" w:rsidRPr="00951AB1" w:rsidRDefault="00E814BD" w:rsidP="000A5389">
            <w:pPr>
              <w:spacing w:line="240" w:lineRule="auto"/>
              <w:rPr>
                <w:rFonts w:eastAsia="Times New Roman" w:cs="Times New Roman"/>
                <w:b/>
                <w:bCs/>
                <w:color w:val="000000"/>
                <w:sz w:val="16"/>
                <w:szCs w:val="16"/>
                <w:lang w:eastAsia="es-CO"/>
              </w:rPr>
            </w:pPr>
            <w:r w:rsidRPr="00951AB1">
              <w:rPr>
                <w:rFonts w:eastAsia="Times New Roman" w:cs="Times New Roman"/>
                <w:b/>
                <w:bCs/>
                <w:color w:val="000000"/>
                <w:sz w:val="16"/>
                <w:szCs w:val="16"/>
                <w:lang w:eastAsia="es-CO"/>
              </w:rPr>
              <w:t>Civiles</w:t>
            </w:r>
          </w:p>
        </w:tc>
        <w:tc>
          <w:tcPr>
            <w:tcW w:w="403" w:type="pct"/>
            <w:tcBorders>
              <w:top w:val="nil"/>
              <w:left w:val="nil"/>
              <w:bottom w:val="single" w:sz="4" w:space="0" w:color="A6A6A6"/>
              <w:right w:val="single" w:sz="4" w:space="0" w:color="A6A6A6"/>
            </w:tcBorders>
            <w:noWrap/>
            <w:vAlign w:val="center"/>
            <w:hideMark/>
          </w:tcPr>
          <w:p w14:paraId="63404B0C" w14:textId="77777777" w:rsidR="00E814BD" w:rsidRPr="00951AB1" w:rsidRDefault="00E814BD" w:rsidP="000A5389">
            <w:pPr>
              <w:spacing w:line="240" w:lineRule="auto"/>
              <w:jc w:val="center"/>
              <w:rPr>
                <w:rFonts w:eastAsia="Times New Roman" w:cs="Times New Roman"/>
                <w:color w:val="000000"/>
                <w:sz w:val="16"/>
                <w:szCs w:val="16"/>
                <w:lang w:eastAsia="es-CO"/>
              </w:rPr>
            </w:pPr>
            <w:r w:rsidRPr="00951AB1">
              <w:rPr>
                <w:rFonts w:eastAsia="Times New Roman" w:cs="Times New Roman"/>
                <w:color w:val="000000"/>
                <w:sz w:val="16"/>
                <w:szCs w:val="16"/>
                <w:lang w:eastAsia="es-CO"/>
              </w:rPr>
              <w:t> </w:t>
            </w:r>
          </w:p>
        </w:tc>
        <w:tc>
          <w:tcPr>
            <w:tcW w:w="162" w:type="pct"/>
            <w:tcBorders>
              <w:top w:val="nil"/>
              <w:left w:val="nil"/>
              <w:bottom w:val="single" w:sz="4" w:space="0" w:color="A6A6A6"/>
              <w:right w:val="single" w:sz="4" w:space="0" w:color="A6A6A6"/>
            </w:tcBorders>
            <w:noWrap/>
            <w:vAlign w:val="center"/>
            <w:hideMark/>
          </w:tcPr>
          <w:p w14:paraId="348BE68C" w14:textId="77777777" w:rsidR="00E814BD" w:rsidRPr="00951AB1" w:rsidRDefault="00E814BD" w:rsidP="000A5389">
            <w:pPr>
              <w:spacing w:line="240" w:lineRule="auto"/>
              <w:jc w:val="center"/>
              <w:rPr>
                <w:rFonts w:eastAsia="Times New Roman" w:cs="Times New Roman"/>
                <w:color w:val="000000"/>
                <w:sz w:val="16"/>
                <w:szCs w:val="16"/>
                <w:lang w:eastAsia="es-CO"/>
              </w:rPr>
            </w:pPr>
            <w:r w:rsidRPr="00951AB1">
              <w:rPr>
                <w:rFonts w:eastAsia="Times New Roman" w:cs="Times New Roman"/>
                <w:color w:val="000000"/>
                <w:sz w:val="16"/>
                <w:szCs w:val="16"/>
                <w:lang w:eastAsia="es-CO"/>
              </w:rPr>
              <w:t> </w:t>
            </w:r>
          </w:p>
        </w:tc>
        <w:tc>
          <w:tcPr>
            <w:tcW w:w="799" w:type="pct"/>
            <w:tcBorders>
              <w:top w:val="nil"/>
              <w:left w:val="nil"/>
              <w:bottom w:val="single" w:sz="4" w:space="0" w:color="A6A6A6"/>
              <w:right w:val="single" w:sz="4" w:space="0" w:color="A6A6A6"/>
            </w:tcBorders>
            <w:noWrap/>
            <w:vAlign w:val="center"/>
            <w:hideMark/>
          </w:tcPr>
          <w:p w14:paraId="761864DE" w14:textId="77777777" w:rsidR="00E814BD" w:rsidRPr="00951AB1" w:rsidRDefault="00E814BD" w:rsidP="000A5389">
            <w:pPr>
              <w:spacing w:line="240" w:lineRule="auto"/>
              <w:jc w:val="right"/>
              <w:rPr>
                <w:rFonts w:eastAsia="Times New Roman" w:cs="Times New Roman"/>
                <w:b/>
                <w:bCs/>
                <w:color w:val="000000"/>
                <w:sz w:val="16"/>
                <w:szCs w:val="16"/>
                <w:lang w:eastAsia="es-CO"/>
              </w:rPr>
            </w:pPr>
            <w:r w:rsidRPr="00951AB1">
              <w:rPr>
                <w:rFonts w:eastAsia="Times New Roman" w:cs="Times New Roman"/>
                <w:b/>
                <w:bCs/>
                <w:color w:val="000000"/>
                <w:sz w:val="16"/>
                <w:szCs w:val="16"/>
                <w:lang w:eastAsia="es-CO"/>
              </w:rPr>
              <w:t xml:space="preserve">4.913.168.544 </w:t>
            </w:r>
          </w:p>
        </w:tc>
        <w:tc>
          <w:tcPr>
            <w:tcW w:w="723" w:type="pct"/>
            <w:tcBorders>
              <w:top w:val="nil"/>
              <w:left w:val="nil"/>
              <w:bottom w:val="single" w:sz="4" w:space="0" w:color="A6A6A6"/>
              <w:right w:val="single" w:sz="4" w:space="0" w:color="A6A6A6"/>
            </w:tcBorders>
            <w:noWrap/>
            <w:vAlign w:val="center"/>
            <w:hideMark/>
          </w:tcPr>
          <w:p w14:paraId="20E29AF3" w14:textId="77777777" w:rsidR="00E814BD" w:rsidRPr="00951AB1" w:rsidRDefault="00E814BD" w:rsidP="000A5389">
            <w:pPr>
              <w:spacing w:line="240" w:lineRule="auto"/>
              <w:jc w:val="right"/>
              <w:rPr>
                <w:rFonts w:eastAsia="Times New Roman" w:cs="Times New Roman"/>
                <w:color w:val="000000"/>
                <w:sz w:val="16"/>
                <w:szCs w:val="16"/>
                <w:lang w:eastAsia="es-CO"/>
              </w:rPr>
            </w:pPr>
            <w:r w:rsidRPr="00951AB1">
              <w:rPr>
                <w:rFonts w:eastAsia="Times New Roman" w:cs="Times New Roman"/>
                <w:color w:val="000000"/>
                <w:sz w:val="16"/>
                <w:szCs w:val="16"/>
                <w:lang w:eastAsia="es-CO"/>
              </w:rPr>
              <w:t xml:space="preserve">0 </w:t>
            </w:r>
          </w:p>
        </w:tc>
        <w:tc>
          <w:tcPr>
            <w:tcW w:w="257" w:type="pct"/>
            <w:tcBorders>
              <w:top w:val="nil"/>
              <w:left w:val="nil"/>
              <w:bottom w:val="single" w:sz="4" w:space="0" w:color="A6A6A6"/>
              <w:right w:val="single" w:sz="4" w:space="0" w:color="A6A6A6"/>
            </w:tcBorders>
            <w:noWrap/>
            <w:vAlign w:val="center"/>
            <w:hideMark/>
          </w:tcPr>
          <w:p w14:paraId="305F3152" w14:textId="77777777" w:rsidR="00E814BD" w:rsidRPr="00951AB1" w:rsidRDefault="00E814BD" w:rsidP="000A5389">
            <w:pPr>
              <w:spacing w:line="240" w:lineRule="auto"/>
              <w:jc w:val="right"/>
              <w:rPr>
                <w:rFonts w:eastAsia="Times New Roman" w:cs="Times New Roman"/>
                <w:color w:val="000000"/>
                <w:sz w:val="16"/>
                <w:szCs w:val="16"/>
                <w:lang w:eastAsia="es-CO"/>
              </w:rPr>
            </w:pPr>
            <w:r w:rsidRPr="00951AB1">
              <w:rPr>
                <w:rFonts w:eastAsia="Times New Roman" w:cs="Times New Roman"/>
                <w:color w:val="000000"/>
                <w:sz w:val="16"/>
                <w:szCs w:val="16"/>
                <w:lang w:eastAsia="es-CO"/>
              </w:rPr>
              <w:t xml:space="preserve">0 </w:t>
            </w:r>
          </w:p>
        </w:tc>
        <w:tc>
          <w:tcPr>
            <w:tcW w:w="878" w:type="pct"/>
            <w:tcBorders>
              <w:top w:val="nil"/>
              <w:left w:val="nil"/>
              <w:bottom w:val="single" w:sz="4" w:space="0" w:color="A6A6A6"/>
              <w:right w:val="single" w:sz="4" w:space="0" w:color="A6A6A6"/>
            </w:tcBorders>
            <w:noWrap/>
            <w:vAlign w:val="center"/>
            <w:hideMark/>
          </w:tcPr>
          <w:p w14:paraId="4EF3F6D9" w14:textId="77777777" w:rsidR="00E814BD" w:rsidRPr="00951AB1" w:rsidRDefault="00E814BD" w:rsidP="000A5389">
            <w:pPr>
              <w:spacing w:line="240" w:lineRule="auto"/>
              <w:jc w:val="right"/>
              <w:rPr>
                <w:rFonts w:eastAsia="Times New Roman" w:cs="Times New Roman"/>
                <w:b/>
                <w:bCs/>
                <w:color w:val="000000"/>
                <w:sz w:val="16"/>
                <w:szCs w:val="16"/>
                <w:lang w:eastAsia="es-CO"/>
              </w:rPr>
            </w:pPr>
            <w:r w:rsidRPr="00951AB1">
              <w:rPr>
                <w:rFonts w:eastAsia="Times New Roman" w:cs="Times New Roman"/>
                <w:b/>
                <w:bCs/>
                <w:color w:val="000000"/>
                <w:sz w:val="16"/>
                <w:szCs w:val="16"/>
                <w:lang w:eastAsia="es-CO"/>
              </w:rPr>
              <w:t xml:space="preserve">4.688.823.824 </w:t>
            </w:r>
          </w:p>
        </w:tc>
        <w:tc>
          <w:tcPr>
            <w:tcW w:w="204" w:type="pct"/>
            <w:tcBorders>
              <w:top w:val="nil"/>
              <w:left w:val="nil"/>
              <w:bottom w:val="single" w:sz="4" w:space="0" w:color="A6A6A6"/>
              <w:right w:val="single" w:sz="4" w:space="0" w:color="A6A6A6"/>
            </w:tcBorders>
            <w:noWrap/>
            <w:vAlign w:val="center"/>
            <w:hideMark/>
          </w:tcPr>
          <w:p w14:paraId="0051B76E" w14:textId="77777777" w:rsidR="00E814BD" w:rsidRPr="00951AB1" w:rsidRDefault="00E814BD" w:rsidP="000A5389">
            <w:pPr>
              <w:spacing w:line="240" w:lineRule="auto"/>
              <w:jc w:val="right"/>
              <w:rPr>
                <w:rFonts w:eastAsia="Times New Roman" w:cs="Times New Roman"/>
                <w:color w:val="000000"/>
                <w:sz w:val="16"/>
                <w:szCs w:val="16"/>
                <w:lang w:eastAsia="es-CO"/>
              </w:rPr>
            </w:pPr>
            <w:r w:rsidRPr="00951AB1">
              <w:rPr>
                <w:rFonts w:eastAsia="Times New Roman" w:cs="Times New Roman"/>
                <w:color w:val="000000"/>
                <w:sz w:val="16"/>
                <w:szCs w:val="16"/>
                <w:lang w:eastAsia="es-CO"/>
              </w:rPr>
              <w:t xml:space="preserve">0 </w:t>
            </w:r>
          </w:p>
        </w:tc>
        <w:tc>
          <w:tcPr>
            <w:tcW w:w="241" w:type="pct"/>
            <w:tcBorders>
              <w:top w:val="nil"/>
              <w:left w:val="nil"/>
              <w:bottom w:val="single" w:sz="4" w:space="0" w:color="A6A6A6"/>
              <w:right w:val="single" w:sz="4" w:space="0" w:color="A6A6A6"/>
            </w:tcBorders>
            <w:noWrap/>
            <w:vAlign w:val="center"/>
            <w:hideMark/>
          </w:tcPr>
          <w:p w14:paraId="59F6AD35" w14:textId="77777777" w:rsidR="00E814BD" w:rsidRPr="00951AB1" w:rsidRDefault="00E814BD" w:rsidP="000A5389">
            <w:pPr>
              <w:spacing w:line="240" w:lineRule="auto"/>
              <w:jc w:val="right"/>
              <w:rPr>
                <w:rFonts w:eastAsia="Times New Roman" w:cs="Times New Roman"/>
                <w:color w:val="000000"/>
                <w:sz w:val="16"/>
                <w:szCs w:val="16"/>
                <w:lang w:eastAsia="es-CO"/>
              </w:rPr>
            </w:pPr>
            <w:r w:rsidRPr="00951AB1">
              <w:rPr>
                <w:rFonts w:eastAsia="Times New Roman" w:cs="Times New Roman"/>
                <w:color w:val="000000"/>
                <w:sz w:val="16"/>
                <w:szCs w:val="16"/>
                <w:lang w:eastAsia="es-CO"/>
              </w:rPr>
              <w:t xml:space="preserve">0 </w:t>
            </w:r>
          </w:p>
        </w:tc>
        <w:tc>
          <w:tcPr>
            <w:tcW w:w="696" w:type="pct"/>
            <w:gridSpan w:val="2"/>
            <w:tcBorders>
              <w:top w:val="nil"/>
              <w:left w:val="nil"/>
              <w:bottom w:val="single" w:sz="4" w:space="0" w:color="A6A6A6"/>
              <w:right w:val="single" w:sz="4" w:space="0" w:color="A6A6A6"/>
            </w:tcBorders>
            <w:noWrap/>
            <w:vAlign w:val="center"/>
            <w:hideMark/>
          </w:tcPr>
          <w:p w14:paraId="675FB793" w14:textId="77777777" w:rsidR="00E814BD" w:rsidRPr="00951AB1" w:rsidRDefault="00E814BD" w:rsidP="000A5389">
            <w:pPr>
              <w:spacing w:line="240" w:lineRule="auto"/>
              <w:jc w:val="right"/>
              <w:rPr>
                <w:rFonts w:eastAsia="Times New Roman" w:cs="Times New Roman"/>
                <w:b/>
                <w:bCs/>
                <w:color w:val="000000"/>
                <w:sz w:val="16"/>
                <w:szCs w:val="16"/>
                <w:lang w:eastAsia="es-CO"/>
              </w:rPr>
            </w:pPr>
            <w:r w:rsidRPr="00951AB1">
              <w:rPr>
                <w:rFonts w:eastAsia="Times New Roman" w:cs="Times New Roman"/>
                <w:b/>
                <w:bCs/>
                <w:color w:val="000000"/>
                <w:sz w:val="16"/>
                <w:szCs w:val="16"/>
                <w:lang w:eastAsia="es-CO"/>
              </w:rPr>
              <w:t xml:space="preserve">224.344.720 </w:t>
            </w:r>
          </w:p>
        </w:tc>
      </w:tr>
      <w:tr w:rsidR="00684C05" w:rsidRPr="00951AB1" w14:paraId="6AD4FBF6" w14:textId="77777777" w:rsidTr="00684C05">
        <w:trPr>
          <w:trHeight w:val="300"/>
          <w:jc w:val="center"/>
        </w:trPr>
        <w:tc>
          <w:tcPr>
            <w:tcW w:w="637" w:type="pct"/>
            <w:tcBorders>
              <w:top w:val="nil"/>
              <w:left w:val="single" w:sz="4" w:space="0" w:color="A6A6A6"/>
              <w:bottom w:val="single" w:sz="4" w:space="0" w:color="A6A6A6"/>
              <w:right w:val="single" w:sz="4" w:space="0" w:color="A6A6A6"/>
            </w:tcBorders>
            <w:vAlign w:val="center"/>
            <w:hideMark/>
          </w:tcPr>
          <w:p w14:paraId="03A58E77" w14:textId="77777777" w:rsidR="00E814BD" w:rsidRPr="00951AB1" w:rsidRDefault="00E814BD" w:rsidP="000A5389">
            <w:pPr>
              <w:spacing w:line="240" w:lineRule="auto"/>
              <w:rPr>
                <w:rFonts w:eastAsia="Times New Roman" w:cs="Times New Roman"/>
                <w:color w:val="000000"/>
                <w:sz w:val="16"/>
                <w:szCs w:val="16"/>
                <w:lang w:eastAsia="es-CO"/>
              </w:rPr>
            </w:pPr>
            <w:r w:rsidRPr="00951AB1">
              <w:rPr>
                <w:rFonts w:eastAsia="Times New Roman" w:cs="Times New Roman"/>
                <w:color w:val="000000"/>
                <w:sz w:val="16"/>
                <w:szCs w:val="16"/>
                <w:lang w:eastAsia="es-CO"/>
              </w:rPr>
              <w:t>Nacionales</w:t>
            </w:r>
          </w:p>
        </w:tc>
        <w:tc>
          <w:tcPr>
            <w:tcW w:w="403" w:type="pct"/>
            <w:tcBorders>
              <w:top w:val="nil"/>
              <w:left w:val="nil"/>
              <w:bottom w:val="single" w:sz="4" w:space="0" w:color="A6A6A6"/>
              <w:right w:val="single" w:sz="4" w:space="0" w:color="A6A6A6"/>
            </w:tcBorders>
            <w:noWrap/>
            <w:vAlign w:val="center"/>
            <w:hideMark/>
          </w:tcPr>
          <w:p w14:paraId="01570FCD" w14:textId="77777777" w:rsidR="00E814BD" w:rsidRPr="00951AB1" w:rsidRDefault="00E814BD" w:rsidP="000A5389">
            <w:pPr>
              <w:spacing w:line="240" w:lineRule="auto"/>
              <w:jc w:val="center"/>
              <w:rPr>
                <w:rFonts w:eastAsia="Times New Roman" w:cs="Times New Roman"/>
                <w:color w:val="000000"/>
                <w:sz w:val="16"/>
                <w:szCs w:val="16"/>
                <w:lang w:eastAsia="es-CO"/>
              </w:rPr>
            </w:pPr>
            <w:r w:rsidRPr="00951AB1">
              <w:rPr>
                <w:rFonts w:eastAsia="Times New Roman" w:cs="Times New Roman"/>
                <w:color w:val="000000"/>
                <w:sz w:val="16"/>
                <w:szCs w:val="16"/>
                <w:lang w:eastAsia="es-CO"/>
              </w:rPr>
              <w:t>PN</w:t>
            </w:r>
          </w:p>
        </w:tc>
        <w:tc>
          <w:tcPr>
            <w:tcW w:w="162" w:type="pct"/>
            <w:tcBorders>
              <w:top w:val="nil"/>
              <w:left w:val="nil"/>
              <w:bottom w:val="single" w:sz="4" w:space="0" w:color="A6A6A6"/>
              <w:right w:val="single" w:sz="4" w:space="0" w:color="A6A6A6"/>
            </w:tcBorders>
            <w:noWrap/>
            <w:vAlign w:val="center"/>
            <w:hideMark/>
          </w:tcPr>
          <w:p w14:paraId="0405D12A" w14:textId="77777777" w:rsidR="00E814BD" w:rsidRPr="00951AB1" w:rsidRDefault="00E814BD" w:rsidP="000A5389">
            <w:pPr>
              <w:spacing w:line="240" w:lineRule="auto"/>
              <w:jc w:val="center"/>
              <w:rPr>
                <w:rFonts w:eastAsia="Times New Roman" w:cs="Times New Roman"/>
                <w:color w:val="000000"/>
                <w:sz w:val="16"/>
                <w:szCs w:val="16"/>
                <w:lang w:eastAsia="es-CO"/>
              </w:rPr>
            </w:pPr>
            <w:r w:rsidRPr="00951AB1">
              <w:rPr>
                <w:rFonts w:eastAsia="Times New Roman" w:cs="Times New Roman"/>
                <w:color w:val="000000"/>
                <w:sz w:val="16"/>
                <w:szCs w:val="16"/>
                <w:lang w:eastAsia="es-CO"/>
              </w:rPr>
              <w:t>1</w:t>
            </w:r>
          </w:p>
        </w:tc>
        <w:tc>
          <w:tcPr>
            <w:tcW w:w="799" w:type="pct"/>
            <w:tcBorders>
              <w:top w:val="nil"/>
              <w:left w:val="nil"/>
              <w:bottom w:val="single" w:sz="4" w:space="0" w:color="A6A6A6"/>
              <w:right w:val="single" w:sz="4" w:space="0" w:color="A6A6A6"/>
            </w:tcBorders>
            <w:noWrap/>
            <w:vAlign w:val="center"/>
            <w:hideMark/>
          </w:tcPr>
          <w:p w14:paraId="6E35F9BE" w14:textId="77777777" w:rsidR="00E814BD" w:rsidRPr="00951AB1" w:rsidRDefault="00E814BD" w:rsidP="000A5389">
            <w:pPr>
              <w:spacing w:line="240" w:lineRule="auto"/>
              <w:jc w:val="right"/>
              <w:rPr>
                <w:rFonts w:eastAsia="Times New Roman" w:cs="Times New Roman"/>
                <w:color w:val="000000"/>
                <w:sz w:val="16"/>
                <w:szCs w:val="16"/>
                <w:lang w:eastAsia="es-CO"/>
              </w:rPr>
            </w:pPr>
            <w:r w:rsidRPr="00951AB1">
              <w:rPr>
                <w:rFonts w:eastAsia="Times New Roman" w:cs="Times New Roman"/>
                <w:color w:val="000000"/>
                <w:sz w:val="16"/>
                <w:szCs w:val="16"/>
                <w:lang w:eastAsia="es-CO"/>
              </w:rPr>
              <w:t xml:space="preserve">609.633.639 </w:t>
            </w:r>
          </w:p>
        </w:tc>
        <w:tc>
          <w:tcPr>
            <w:tcW w:w="723" w:type="pct"/>
            <w:tcBorders>
              <w:top w:val="nil"/>
              <w:left w:val="nil"/>
              <w:bottom w:val="single" w:sz="4" w:space="0" w:color="A6A6A6"/>
              <w:right w:val="single" w:sz="4" w:space="0" w:color="A6A6A6"/>
            </w:tcBorders>
            <w:noWrap/>
            <w:vAlign w:val="center"/>
            <w:hideMark/>
          </w:tcPr>
          <w:p w14:paraId="27BAF049" w14:textId="77777777" w:rsidR="00E814BD" w:rsidRPr="00951AB1" w:rsidRDefault="00E814BD" w:rsidP="000A5389">
            <w:pPr>
              <w:spacing w:line="240" w:lineRule="auto"/>
              <w:rPr>
                <w:rFonts w:eastAsia="Times New Roman" w:cs="Times New Roman"/>
                <w:color w:val="000000"/>
                <w:sz w:val="16"/>
                <w:szCs w:val="16"/>
                <w:lang w:eastAsia="es-CO"/>
              </w:rPr>
            </w:pPr>
            <w:r w:rsidRPr="00951AB1">
              <w:rPr>
                <w:rFonts w:eastAsia="Times New Roman" w:cs="Times New Roman"/>
                <w:color w:val="000000"/>
                <w:sz w:val="16"/>
                <w:szCs w:val="16"/>
                <w:lang w:eastAsia="es-CO"/>
              </w:rPr>
              <w:t> </w:t>
            </w:r>
          </w:p>
        </w:tc>
        <w:tc>
          <w:tcPr>
            <w:tcW w:w="257" w:type="pct"/>
            <w:tcBorders>
              <w:top w:val="nil"/>
              <w:left w:val="nil"/>
              <w:bottom w:val="single" w:sz="4" w:space="0" w:color="A6A6A6"/>
              <w:right w:val="single" w:sz="4" w:space="0" w:color="A6A6A6"/>
            </w:tcBorders>
            <w:noWrap/>
            <w:vAlign w:val="center"/>
            <w:hideMark/>
          </w:tcPr>
          <w:p w14:paraId="49A0D74B" w14:textId="77777777" w:rsidR="00E814BD" w:rsidRPr="00951AB1" w:rsidRDefault="00E814BD" w:rsidP="000A5389">
            <w:pPr>
              <w:spacing w:line="240" w:lineRule="auto"/>
              <w:rPr>
                <w:rFonts w:eastAsia="Times New Roman" w:cs="Times New Roman"/>
                <w:color w:val="000000"/>
                <w:sz w:val="16"/>
                <w:szCs w:val="16"/>
                <w:lang w:eastAsia="es-CO"/>
              </w:rPr>
            </w:pPr>
            <w:r w:rsidRPr="00951AB1">
              <w:rPr>
                <w:rFonts w:eastAsia="Times New Roman" w:cs="Times New Roman"/>
                <w:color w:val="000000"/>
                <w:sz w:val="16"/>
                <w:szCs w:val="16"/>
                <w:lang w:eastAsia="es-CO"/>
              </w:rPr>
              <w:t> </w:t>
            </w:r>
          </w:p>
        </w:tc>
        <w:tc>
          <w:tcPr>
            <w:tcW w:w="878" w:type="pct"/>
            <w:tcBorders>
              <w:top w:val="nil"/>
              <w:left w:val="nil"/>
              <w:bottom w:val="single" w:sz="4" w:space="0" w:color="A6A6A6"/>
              <w:right w:val="single" w:sz="4" w:space="0" w:color="A6A6A6"/>
            </w:tcBorders>
            <w:noWrap/>
            <w:vAlign w:val="center"/>
            <w:hideMark/>
          </w:tcPr>
          <w:p w14:paraId="3A70299E" w14:textId="77777777" w:rsidR="00E814BD" w:rsidRPr="00951AB1" w:rsidRDefault="00E814BD" w:rsidP="000A5389">
            <w:pPr>
              <w:spacing w:line="240" w:lineRule="auto"/>
              <w:jc w:val="right"/>
              <w:rPr>
                <w:rFonts w:eastAsia="Times New Roman" w:cs="Times New Roman"/>
                <w:color w:val="000000"/>
                <w:sz w:val="16"/>
                <w:szCs w:val="16"/>
                <w:lang w:eastAsia="es-CO"/>
              </w:rPr>
            </w:pPr>
            <w:r w:rsidRPr="00951AB1">
              <w:rPr>
                <w:rFonts w:eastAsia="Times New Roman" w:cs="Times New Roman"/>
                <w:color w:val="000000"/>
                <w:sz w:val="16"/>
                <w:szCs w:val="16"/>
                <w:lang w:eastAsia="es-CO"/>
              </w:rPr>
              <w:t xml:space="preserve">391.170.539 </w:t>
            </w:r>
          </w:p>
        </w:tc>
        <w:tc>
          <w:tcPr>
            <w:tcW w:w="204" w:type="pct"/>
            <w:tcBorders>
              <w:top w:val="nil"/>
              <w:left w:val="nil"/>
              <w:bottom w:val="single" w:sz="4" w:space="0" w:color="A6A6A6"/>
              <w:right w:val="single" w:sz="4" w:space="0" w:color="A6A6A6"/>
            </w:tcBorders>
            <w:noWrap/>
            <w:vAlign w:val="center"/>
            <w:hideMark/>
          </w:tcPr>
          <w:p w14:paraId="7BF97646" w14:textId="77777777" w:rsidR="00E814BD" w:rsidRPr="00951AB1" w:rsidRDefault="00E814BD" w:rsidP="000A5389">
            <w:pPr>
              <w:spacing w:line="240" w:lineRule="auto"/>
              <w:rPr>
                <w:rFonts w:eastAsia="Times New Roman" w:cs="Times New Roman"/>
                <w:color w:val="000000"/>
                <w:sz w:val="16"/>
                <w:szCs w:val="16"/>
                <w:lang w:eastAsia="es-CO"/>
              </w:rPr>
            </w:pPr>
            <w:r w:rsidRPr="00951AB1">
              <w:rPr>
                <w:rFonts w:eastAsia="Times New Roman" w:cs="Times New Roman"/>
                <w:color w:val="000000"/>
                <w:sz w:val="16"/>
                <w:szCs w:val="16"/>
                <w:lang w:eastAsia="es-CO"/>
              </w:rPr>
              <w:t> </w:t>
            </w:r>
          </w:p>
        </w:tc>
        <w:tc>
          <w:tcPr>
            <w:tcW w:w="241" w:type="pct"/>
            <w:tcBorders>
              <w:top w:val="nil"/>
              <w:left w:val="nil"/>
              <w:bottom w:val="single" w:sz="4" w:space="0" w:color="A6A6A6"/>
              <w:right w:val="single" w:sz="4" w:space="0" w:color="A6A6A6"/>
            </w:tcBorders>
            <w:noWrap/>
            <w:vAlign w:val="center"/>
            <w:hideMark/>
          </w:tcPr>
          <w:p w14:paraId="2C3B6081" w14:textId="77777777" w:rsidR="00E814BD" w:rsidRPr="00951AB1" w:rsidRDefault="00E814BD" w:rsidP="000A5389">
            <w:pPr>
              <w:spacing w:line="240" w:lineRule="auto"/>
              <w:rPr>
                <w:rFonts w:eastAsia="Times New Roman" w:cs="Times New Roman"/>
                <w:color w:val="000000"/>
                <w:sz w:val="16"/>
                <w:szCs w:val="16"/>
                <w:lang w:eastAsia="es-CO"/>
              </w:rPr>
            </w:pPr>
            <w:r w:rsidRPr="00951AB1">
              <w:rPr>
                <w:rFonts w:eastAsia="Times New Roman" w:cs="Times New Roman"/>
                <w:color w:val="000000"/>
                <w:sz w:val="16"/>
                <w:szCs w:val="16"/>
                <w:lang w:eastAsia="es-CO"/>
              </w:rPr>
              <w:t> </w:t>
            </w:r>
          </w:p>
        </w:tc>
        <w:tc>
          <w:tcPr>
            <w:tcW w:w="696" w:type="pct"/>
            <w:gridSpan w:val="2"/>
            <w:tcBorders>
              <w:top w:val="nil"/>
              <w:left w:val="nil"/>
              <w:bottom w:val="single" w:sz="4" w:space="0" w:color="A6A6A6"/>
              <w:right w:val="single" w:sz="4" w:space="0" w:color="A6A6A6"/>
            </w:tcBorders>
            <w:noWrap/>
            <w:vAlign w:val="center"/>
            <w:hideMark/>
          </w:tcPr>
          <w:p w14:paraId="7CF1FF1D" w14:textId="77777777" w:rsidR="00E814BD" w:rsidRPr="00951AB1" w:rsidRDefault="00E814BD" w:rsidP="000A5389">
            <w:pPr>
              <w:spacing w:line="240" w:lineRule="auto"/>
              <w:jc w:val="right"/>
              <w:rPr>
                <w:rFonts w:eastAsia="Times New Roman" w:cs="Times New Roman"/>
                <w:color w:val="000000"/>
                <w:sz w:val="16"/>
                <w:szCs w:val="16"/>
                <w:lang w:eastAsia="es-CO"/>
              </w:rPr>
            </w:pPr>
            <w:r w:rsidRPr="00951AB1">
              <w:rPr>
                <w:rFonts w:eastAsia="Times New Roman" w:cs="Times New Roman"/>
                <w:color w:val="000000"/>
                <w:sz w:val="16"/>
                <w:szCs w:val="16"/>
                <w:lang w:eastAsia="es-CO"/>
              </w:rPr>
              <w:t xml:space="preserve">218.463.100 </w:t>
            </w:r>
          </w:p>
        </w:tc>
      </w:tr>
      <w:tr w:rsidR="00684C05" w:rsidRPr="00951AB1" w14:paraId="4F7B9F1B" w14:textId="77777777" w:rsidTr="00684C05">
        <w:trPr>
          <w:trHeight w:val="300"/>
          <w:jc w:val="center"/>
        </w:trPr>
        <w:tc>
          <w:tcPr>
            <w:tcW w:w="637" w:type="pct"/>
            <w:tcBorders>
              <w:top w:val="nil"/>
              <w:left w:val="single" w:sz="4" w:space="0" w:color="A6A6A6"/>
              <w:bottom w:val="single" w:sz="4" w:space="0" w:color="A6A6A6"/>
              <w:right w:val="single" w:sz="4" w:space="0" w:color="A6A6A6"/>
            </w:tcBorders>
            <w:vAlign w:val="center"/>
            <w:hideMark/>
          </w:tcPr>
          <w:p w14:paraId="07D2F319" w14:textId="77777777" w:rsidR="00E814BD" w:rsidRPr="00951AB1" w:rsidRDefault="00E814BD" w:rsidP="000A5389">
            <w:pPr>
              <w:spacing w:line="240" w:lineRule="auto"/>
              <w:rPr>
                <w:rFonts w:eastAsia="Times New Roman" w:cs="Times New Roman"/>
                <w:color w:val="000000"/>
                <w:sz w:val="16"/>
                <w:szCs w:val="16"/>
                <w:lang w:eastAsia="es-CO"/>
              </w:rPr>
            </w:pPr>
            <w:r w:rsidRPr="00951AB1">
              <w:rPr>
                <w:rFonts w:eastAsia="Times New Roman" w:cs="Times New Roman"/>
                <w:color w:val="000000"/>
                <w:sz w:val="16"/>
                <w:szCs w:val="16"/>
                <w:lang w:eastAsia="es-CO"/>
              </w:rPr>
              <w:t>Nacionales</w:t>
            </w:r>
          </w:p>
        </w:tc>
        <w:tc>
          <w:tcPr>
            <w:tcW w:w="403" w:type="pct"/>
            <w:tcBorders>
              <w:top w:val="nil"/>
              <w:left w:val="nil"/>
              <w:bottom w:val="single" w:sz="4" w:space="0" w:color="A6A6A6"/>
              <w:right w:val="single" w:sz="4" w:space="0" w:color="A6A6A6"/>
            </w:tcBorders>
            <w:noWrap/>
            <w:vAlign w:val="center"/>
            <w:hideMark/>
          </w:tcPr>
          <w:p w14:paraId="42C4BAC2" w14:textId="77777777" w:rsidR="00E814BD" w:rsidRPr="00951AB1" w:rsidRDefault="00E814BD" w:rsidP="000A5389">
            <w:pPr>
              <w:spacing w:line="240" w:lineRule="auto"/>
              <w:jc w:val="center"/>
              <w:rPr>
                <w:rFonts w:eastAsia="Times New Roman" w:cs="Times New Roman"/>
                <w:color w:val="000000"/>
                <w:sz w:val="16"/>
                <w:szCs w:val="16"/>
                <w:lang w:eastAsia="es-CO"/>
              </w:rPr>
            </w:pPr>
            <w:r w:rsidRPr="00951AB1">
              <w:rPr>
                <w:rFonts w:eastAsia="Times New Roman" w:cs="Times New Roman"/>
                <w:color w:val="000000"/>
                <w:sz w:val="16"/>
                <w:szCs w:val="16"/>
                <w:lang w:eastAsia="es-CO"/>
              </w:rPr>
              <w:t>PJ</w:t>
            </w:r>
          </w:p>
        </w:tc>
        <w:tc>
          <w:tcPr>
            <w:tcW w:w="162" w:type="pct"/>
            <w:tcBorders>
              <w:top w:val="nil"/>
              <w:left w:val="nil"/>
              <w:bottom w:val="single" w:sz="4" w:space="0" w:color="A6A6A6"/>
              <w:right w:val="single" w:sz="4" w:space="0" w:color="A6A6A6"/>
            </w:tcBorders>
            <w:noWrap/>
            <w:vAlign w:val="center"/>
            <w:hideMark/>
          </w:tcPr>
          <w:p w14:paraId="103D728E" w14:textId="77777777" w:rsidR="00E814BD" w:rsidRPr="00951AB1" w:rsidRDefault="00E814BD" w:rsidP="000A5389">
            <w:pPr>
              <w:spacing w:line="240" w:lineRule="auto"/>
              <w:jc w:val="center"/>
              <w:rPr>
                <w:rFonts w:eastAsia="Times New Roman" w:cs="Times New Roman"/>
                <w:color w:val="000000"/>
                <w:sz w:val="16"/>
                <w:szCs w:val="16"/>
                <w:lang w:eastAsia="es-CO"/>
              </w:rPr>
            </w:pPr>
            <w:r w:rsidRPr="00951AB1">
              <w:rPr>
                <w:rFonts w:eastAsia="Times New Roman" w:cs="Times New Roman"/>
                <w:color w:val="000000"/>
                <w:sz w:val="16"/>
                <w:szCs w:val="16"/>
                <w:lang w:eastAsia="es-CO"/>
              </w:rPr>
              <w:t>1</w:t>
            </w:r>
          </w:p>
        </w:tc>
        <w:tc>
          <w:tcPr>
            <w:tcW w:w="799" w:type="pct"/>
            <w:tcBorders>
              <w:top w:val="nil"/>
              <w:left w:val="nil"/>
              <w:bottom w:val="single" w:sz="4" w:space="0" w:color="A6A6A6"/>
              <w:right w:val="single" w:sz="4" w:space="0" w:color="A6A6A6"/>
            </w:tcBorders>
            <w:noWrap/>
            <w:vAlign w:val="center"/>
            <w:hideMark/>
          </w:tcPr>
          <w:p w14:paraId="20606F67" w14:textId="77777777" w:rsidR="00E814BD" w:rsidRPr="00951AB1" w:rsidRDefault="00E814BD" w:rsidP="000A5389">
            <w:pPr>
              <w:spacing w:line="240" w:lineRule="auto"/>
              <w:jc w:val="right"/>
              <w:rPr>
                <w:rFonts w:eastAsia="Times New Roman" w:cs="Times New Roman"/>
                <w:color w:val="000000"/>
                <w:sz w:val="16"/>
                <w:szCs w:val="16"/>
                <w:lang w:eastAsia="es-CO"/>
              </w:rPr>
            </w:pPr>
            <w:r w:rsidRPr="00951AB1">
              <w:rPr>
                <w:rFonts w:eastAsia="Times New Roman" w:cs="Times New Roman"/>
                <w:color w:val="000000"/>
                <w:sz w:val="16"/>
                <w:szCs w:val="16"/>
                <w:lang w:eastAsia="es-CO"/>
              </w:rPr>
              <w:t xml:space="preserve">4.303.534.905 </w:t>
            </w:r>
          </w:p>
        </w:tc>
        <w:tc>
          <w:tcPr>
            <w:tcW w:w="723" w:type="pct"/>
            <w:tcBorders>
              <w:top w:val="nil"/>
              <w:left w:val="nil"/>
              <w:bottom w:val="single" w:sz="4" w:space="0" w:color="A6A6A6"/>
              <w:right w:val="single" w:sz="4" w:space="0" w:color="A6A6A6"/>
            </w:tcBorders>
            <w:noWrap/>
            <w:vAlign w:val="center"/>
            <w:hideMark/>
          </w:tcPr>
          <w:p w14:paraId="2E9E96A4" w14:textId="77777777" w:rsidR="00E814BD" w:rsidRPr="00951AB1" w:rsidRDefault="00E814BD" w:rsidP="000A5389">
            <w:pPr>
              <w:spacing w:line="240" w:lineRule="auto"/>
              <w:rPr>
                <w:rFonts w:eastAsia="Times New Roman" w:cs="Times New Roman"/>
                <w:color w:val="000000"/>
                <w:sz w:val="16"/>
                <w:szCs w:val="16"/>
                <w:lang w:eastAsia="es-CO"/>
              </w:rPr>
            </w:pPr>
            <w:r w:rsidRPr="00951AB1">
              <w:rPr>
                <w:rFonts w:eastAsia="Times New Roman" w:cs="Times New Roman"/>
                <w:color w:val="000000"/>
                <w:sz w:val="16"/>
                <w:szCs w:val="16"/>
                <w:lang w:eastAsia="es-CO"/>
              </w:rPr>
              <w:t> </w:t>
            </w:r>
          </w:p>
        </w:tc>
        <w:tc>
          <w:tcPr>
            <w:tcW w:w="257" w:type="pct"/>
            <w:tcBorders>
              <w:top w:val="nil"/>
              <w:left w:val="nil"/>
              <w:bottom w:val="single" w:sz="4" w:space="0" w:color="A6A6A6"/>
              <w:right w:val="single" w:sz="4" w:space="0" w:color="A6A6A6"/>
            </w:tcBorders>
            <w:noWrap/>
            <w:vAlign w:val="center"/>
            <w:hideMark/>
          </w:tcPr>
          <w:p w14:paraId="1505CB5A" w14:textId="77777777" w:rsidR="00E814BD" w:rsidRPr="00951AB1" w:rsidRDefault="00E814BD" w:rsidP="000A5389">
            <w:pPr>
              <w:spacing w:line="240" w:lineRule="auto"/>
              <w:rPr>
                <w:rFonts w:eastAsia="Times New Roman" w:cs="Times New Roman"/>
                <w:color w:val="000000"/>
                <w:sz w:val="16"/>
                <w:szCs w:val="16"/>
                <w:lang w:eastAsia="es-CO"/>
              </w:rPr>
            </w:pPr>
            <w:r w:rsidRPr="00951AB1">
              <w:rPr>
                <w:rFonts w:eastAsia="Times New Roman" w:cs="Times New Roman"/>
                <w:color w:val="000000"/>
                <w:sz w:val="16"/>
                <w:szCs w:val="16"/>
                <w:lang w:eastAsia="es-CO"/>
              </w:rPr>
              <w:t> </w:t>
            </w:r>
          </w:p>
        </w:tc>
        <w:tc>
          <w:tcPr>
            <w:tcW w:w="878" w:type="pct"/>
            <w:tcBorders>
              <w:top w:val="nil"/>
              <w:left w:val="nil"/>
              <w:bottom w:val="single" w:sz="4" w:space="0" w:color="A6A6A6"/>
              <w:right w:val="single" w:sz="4" w:space="0" w:color="A6A6A6"/>
            </w:tcBorders>
            <w:noWrap/>
            <w:vAlign w:val="center"/>
            <w:hideMark/>
          </w:tcPr>
          <w:p w14:paraId="1A56F0E6" w14:textId="77777777" w:rsidR="00E814BD" w:rsidRPr="00951AB1" w:rsidRDefault="00E814BD" w:rsidP="000A5389">
            <w:pPr>
              <w:spacing w:line="240" w:lineRule="auto"/>
              <w:jc w:val="right"/>
              <w:rPr>
                <w:rFonts w:eastAsia="Times New Roman" w:cs="Times New Roman"/>
                <w:color w:val="000000"/>
                <w:sz w:val="16"/>
                <w:szCs w:val="16"/>
                <w:lang w:eastAsia="es-CO"/>
              </w:rPr>
            </w:pPr>
            <w:r w:rsidRPr="00951AB1">
              <w:rPr>
                <w:rFonts w:eastAsia="Times New Roman" w:cs="Times New Roman"/>
                <w:color w:val="000000"/>
                <w:sz w:val="16"/>
                <w:szCs w:val="16"/>
                <w:lang w:eastAsia="es-CO"/>
              </w:rPr>
              <w:t xml:space="preserve">4.297.653.285 </w:t>
            </w:r>
          </w:p>
        </w:tc>
        <w:tc>
          <w:tcPr>
            <w:tcW w:w="204" w:type="pct"/>
            <w:tcBorders>
              <w:top w:val="nil"/>
              <w:left w:val="nil"/>
              <w:bottom w:val="single" w:sz="4" w:space="0" w:color="A6A6A6"/>
              <w:right w:val="single" w:sz="4" w:space="0" w:color="A6A6A6"/>
            </w:tcBorders>
            <w:noWrap/>
            <w:vAlign w:val="center"/>
            <w:hideMark/>
          </w:tcPr>
          <w:p w14:paraId="146459AF" w14:textId="77777777" w:rsidR="00E814BD" w:rsidRPr="00951AB1" w:rsidRDefault="00E814BD" w:rsidP="000A5389">
            <w:pPr>
              <w:spacing w:line="240" w:lineRule="auto"/>
              <w:rPr>
                <w:rFonts w:eastAsia="Times New Roman" w:cs="Times New Roman"/>
                <w:color w:val="000000"/>
                <w:sz w:val="16"/>
                <w:szCs w:val="16"/>
                <w:lang w:eastAsia="es-CO"/>
              </w:rPr>
            </w:pPr>
            <w:r w:rsidRPr="00951AB1">
              <w:rPr>
                <w:rFonts w:eastAsia="Times New Roman" w:cs="Times New Roman"/>
                <w:color w:val="000000"/>
                <w:sz w:val="16"/>
                <w:szCs w:val="16"/>
                <w:lang w:eastAsia="es-CO"/>
              </w:rPr>
              <w:t> </w:t>
            </w:r>
          </w:p>
        </w:tc>
        <w:tc>
          <w:tcPr>
            <w:tcW w:w="241" w:type="pct"/>
            <w:tcBorders>
              <w:top w:val="nil"/>
              <w:left w:val="nil"/>
              <w:bottom w:val="single" w:sz="4" w:space="0" w:color="A6A6A6"/>
              <w:right w:val="single" w:sz="4" w:space="0" w:color="A6A6A6"/>
            </w:tcBorders>
            <w:noWrap/>
            <w:vAlign w:val="center"/>
            <w:hideMark/>
          </w:tcPr>
          <w:p w14:paraId="68D155E7" w14:textId="77777777" w:rsidR="00E814BD" w:rsidRPr="00951AB1" w:rsidRDefault="00E814BD" w:rsidP="000A5389">
            <w:pPr>
              <w:spacing w:line="240" w:lineRule="auto"/>
              <w:rPr>
                <w:rFonts w:eastAsia="Times New Roman" w:cs="Times New Roman"/>
                <w:color w:val="000000"/>
                <w:sz w:val="16"/>
                <w:szCs w:val="16"/>
                <w:lang w:eastAsia="es-CO"/>
              </w:rPr>
            </w:pPr>
            <w:r w:rsidRPr="00951AB1">
              <w:rPr>
                <w:rFonts w:eastAsia="Times New Roman" w:cs="Times New Roman"/>
                <w:color w:val="000000"/>
                <w:sz w:val="16"/>
                <w:szCs w:val="16"/>
                <w:lang w:eastAsia="es-CO"/>
              </w:rPr>
              <w:t> </w:t>
            </w:r>
          </w:p>
        </w:tc>
        <w:tc>
          <w:tcPr>
            <w:tcW w:w="696" w:type="pct"/>
            <w:gridSpan w:val="2"/>
            <w:tcBorders>
              <w:top w:val="nil"/>
              <w:left w:val="nil"/>
              <w:bottom w:val="single" w:sz="4" w:space="0" w:color="A6A6A6"/>
              <w:right w:val="single" w:sz="4" w:space="0" w:color="A6A6A6"/>
            </w:tcBorders>
            <w:noWrap/>
            <w:vAlign w:val="center"/>
            <w:hideMark/>
          </w:tcPr>
          <w:p w14:paraId="41D97C20" w14:textId="77777777" w:rsidR="00E814BD" w:rsidRPr="00951AB1" w:rsidRDefault="00E814BD" w:rsidP="000A5389">
            <w:pPr>
              <w:spacing w:line="240" w:lineRule="auto"/>
              <w:jc w:val="right"/>
              <w:rPr>
                <w:rFonts w:eastAsia="Times New Roman" w:cs="Times New Roman"/>
                <w:color w:val="000000"/>
                <w:sz w:val="16"/>
                <w:szCs w:val="16"/>
                <w:lang w:eastAsia="es-CO"/>
              </w:rPr>
            </w:pPr>
            <w:r w:rsidRPr="00951AB1">
              <w:rPr>
                <w:rFonts w:eastAsia="Times New Roman" w:cs="Times New Roman"/>
                <w:color w:val="000000"/>
                <w:sz w:val="16"/>
                <w:szCs w:val="16"/>
                <w:lang w:eastAsia="es-CO"/>
              </w:rPr>
              <w:t xml:space="preserve">5.881.620 </w:t>
            </w:r>
          </w:p>
        </w:tc>
      </w:tr>
    </w:tbl>
    <w:p w14:paraId="5493B396" w14:textId="77777777" w:rsidR="00E814BD" w:rsidRPr="00951AB1" w:rsidRDefault="00E814BD" w:rsidP="000A5389">
      <w:pPr>
        <w:autoSpaceDE w:val="0"/>
        <w:autoSpaceDN w:val="0"/>
        <w:adjustRightInd w:val="0"/>
        <w:spacing w:line="240" w:lineRule="auto"/>
        <w:rPr>
          <w:rFonts w:cs="Times New Roman"/>
          <w:color w:val="000000"/>
          <w:sz w:val="14"/>
          <w:szCs w:val="14"/>
        </w:rPr>
      </w:pPr>
      <w:r w:rsidRPr="00951AB1">
        <w:rPr>
          <w:rFonts w:cs="Times New Roman"/>
          <w:color w:val="000000"/>
          <w:sz w:val="14"/>
          <w:szCs w:val="14"/>
        </w:rPr>
        <w:t xml:space="preserve">   Cifras expresadas en pesos </w:t>
      </w:r>
    </w:p>
    <w:p w14:paraId="415D6718" w14:textId="77777777" w:rsidR="00E814BD" w:rsidRPr="00951AB1" w:rsidRDefault="00E814BD" w:rsidP="000A5389">
      <w:pPr>
        <w:spacing w:line="240" w:lineRule="auto"/>
        <w:rPr>
          <w:rFonts w:cs="Times New Roman"/>
          <w:szCs w:val="24"/>
        </w:rPr>
      </w:pPr>
    </w:p>
    <w:p w14:paraId="3748E93F" w14:textId="77777777" w:rsidR="00E814BD" w:rsidRPr="00951AB1" w:rsidRDefault="00E814BD" w:rsidP="000A5389">
      <w:pPr>
        <w:autoSpaceDE w:val="0"/>
        <w:autoSpaceDN w:val="0"/>
        <w:adjustRightInd w:val="0"/>
        <w:spacing w:line="240" w:lineRule="auto"/>
        <w:rPr>
          <w:rFonts w:cs="Times New Roman"/>
          <w:color w:val="000000"/>
          <w:szCs w:val="24"/>
        </w:rPr>
      </w:pPr>
      <w:r w:rsidRPr="00951AB1">
        <w:rPr>
          <w:rFonts w:cs="Times New Roman"/>
          <w:color w:val="000000"/>
          <w:szCs w:val="24"/>
        </w:rPr>
        <w:t>Descripción de la naturaleza de la obligación contraída:</w:t>
      </w:r>
    </w:p>
    <w:p w14:paraId="0328F473" w14:textId="77777777" w:rsidR="00E814BD" w:rsidRPr="00951AB1" w:rsidRDefault="00E814BD" w:rsidP="000A5389">
      <w:pPr>
        <w:autoSpaceDE w:val="0"/>
        <w:autoSpaceDN w:val="0"/>
        <w:adjustRightInd w:val="0"/>
        <w:spacing w:line="240" w:lineRule="auto"/>
        <w:rPr>
          <w:rFonts w:cs="Times New Roman"/>
          <w:color w:val="000000"/>
          <w:szCs w:val="24"/>
        </w:rPr>
      </w:pPr>
    </w:p>
    <w:p w14:paraId="55369C18" w14:textId="4CD88090" w:rsidR="00E814BD" w:rsidRPr="00951AB1" w:rsidRDefault="00E814BD" w:rsidP="000A5389">
      <w:pPr>
        <w:autoSpaceDE w:val="0"/>
        <w:autoSpaceDN w:val="0"/>
        <w:adjustRightInd w:val="0"/>
        <w:spacing w:line="240" w:lineRule="auto"/>
        <w:rPr>
          <w:rFonts w:cs="Times New Roman"/>
          <w:color w:val="000000"/>
          <w:szCs w:val="24"/>
        </w:rPr>
      </w:pPr>
      <w:r w:rsidRPr="2A085367">
        <w:rPr>
          <w:rFonts w:cs="Times New Roman"/>
          <w:b/>
          <w:bCs/>
          <w:color w:val="000000" w:themeColor="text1"/>
          <w:szCs w:val="24"/>
        </w:rPr>
        <w:t>Administrativos:</w:t>
      </w:r>
      <w:r w:rsidRPr="2A085367">
        <w:rPr>
          <w:rFonts w:cs="Times New Roman"/>
          <w:color w:val="000000" w:themeColor="text1"/>
          <w:szCs w:val="24"/>
        </w:rPr>
        <w:t xml:space="preserve"> corresponde a </w:t>
      </w:r>
      <w:r w:rsidR="2403E929" w:rsidRPr="2A085367">
        <w:rPr>
          <w:rFonts w:cs="Times New Roman"/>
          <w:color w:val="000000" w:themeColor="text1"/>
          <w:szCs w:val="24"/>
        </w:rPr>
        <w:t>noven</w:t>
      </w:r>
      <w:r w:rsidRPr="2A085367">
        <w:rPr>
          <w:rFonts w:cs="Times New Roman"/>
          <w:color w:val="000000" w:themeColor="text1"/>
          <w:szCs w:val="24"/>
        </w:rPr>
        <w:t>ta y cinco (95) procesos de los cuales, sesenta y nueve (69) son promovidos en ejercicio del medio de control de reparación directa y que conforme a la aplicación de los criterios de calificación del riesgo presentan una probabilidad “Alta” de condena; la mayoría de ellos en etapa de apelación con sentencia desfavorable en primera instancia y, veintiséis  (26) procesos en ejercicio del medio de acción popular y ejecutivos, de los cuales catorce (14) no tienen pretensión y (05)  son ejecutivos y por lo tanto no son objeto de contabilización.</w:t>
      </w:r>
    </w:p>
    <w:p w14:paraId="2B0F2707" w14:textId="77777777" w:rsidR="00E814BD" w:rsidRPr="00951AB1" w:rsidRDefault="00E814BD" w:rsidP="000A5389">
      <w:pPr>
        <w:autoSpaceDE w:val="0"/>
        <w:autoSpaceDN w:val="0"/>
        <w:adjustRightInd w:val="0"/>
        <w:spacing w:line="240" w:lineRule="auto"/>
        <w:rPr>
          <w:rFonts w:cs="Times New Roman"/>
          <w:color w:val="000000"/>
          <w:szCs w:val="24"/>
        </w:rPr>
      </w:pPr>
    </w:p>
    <w:p w14:paraId="7F590E02" w14:textId="77777777" w:rsidR="00E814BD" w:rsidRPr="00951AB1" w:rsidRDefault="00E814BD" w:rsidP="000A5389">
      <w:pPr>
        <w:autoSpaceDE w:val="0"/>
        <w:autoSpaceDN w:val="0"/>
        <w:adjustRightInd w:val="0"/>
        <w:spacing w:line="240" w:lineRule="auto"/>
        <w:rPr>
          <w:rFonts w:cs="Times New Roman"/>
          <w:color w:val="000000"/>
          <w:szCs w:val="24"/>
        </w:rPr>
      </w:pPr>
      <w:r w:rsidRPr="00951AB1">
        <w:rPr>
          <w:rFonts w:cs="Times New Roman"/>
          <w:color w:val="000000" w:themeColor="text1"/>
          <w:szCs w:val="24"/>
        </w:rPr>
        <w:t>La fecha probable del eventual pago en este tipo de procesos se encuentra prevista entre los dos y cuatro años siguientes.</w:t>
      </w:r>
    </w:p>
    <w:p w14:paraId="167B5419" w14:textId="77777777" w:rsidR="00E814BD" w:rsidRPr="00951AB1" w:rsidRDefault="00E814BD" w:rsidP="000A5389">
      <w:pPr>
        <w:autoSpaceDE w:val="0"/>
        <w:autoSpaceDN w:val="0"/>
        <w:adjustRightInd w:val="0"/>
        <w:spacing w:line="240" w:lineRule="auto"/>
        <w:rPr>
          <w:rFonts w:cs="Times New Roman"/>
          <w:color w:val="000000"/>
          <w:szCs w:val="24"/>
        </w:rPr>
      </w:pPr>
    </w:p>
    <w:p w14:paraId="1455EFD1" w14:textId="77777777" w:rsidR="00E814BD" w:rsidRPr="00951AB1" w:rsidRDefault="00E814BD" w:rsidP="000A5389">
      <w:pPr>
        <w:autoSpaceDE w:val="0"/>
        <w:autoSpaceDN w:val="0"/>
        <w:adjustRightInd w:val="0"/>
        <w:spacing w:line="240" w:lineRule="auto"/>
        <w:rPr>
          <w:rFonts w:cs="Times New Roman"/>
          <w:color w:val="000000"/>
          <w:szCs w:val="24"/>
        </w:rPr>
      </w:pPr>
      <w:r w:rsidRPr="00951AB1">
        <w:rPr>
          <w:rFonts w:cs="Times New Roman"/>
          <w:color w:val="000000" w:themeColor="text1"/>
          <w:szCs w:val="24"/>
        </w:rPr>
        <w:t>La determinación del valor de provisión es el resultado de la aplicación de la metodología establecida en la</w:t>
      </w:r>
      <w:r w:rsidRPr="00951AB1">
        <w:rPr>
          <w:rFonts w:cs="Times New Roman"/>
          <w:szCs w:val="24"/>
        </w:rPr>
        <w:t xml:space="preserve"> Resolución ANI No. 20247010010885 del 27-08-2024 </w:t>
      </w:r>
      <w:r w:rsidRPr="00951AB1">
        <w:rPr>
          <w:rFonts w:cs="Times New Roman"/>
          <w:color w:val="000000" w:themeColor="text1"/>
          <w:szCs w:val="24"/>
        </w:rPr>
        <w:t>que establece, entre otros, que debe registrarse el valor de la condena en concreto como provisión contable y en casos de condena en abstracto debe registrarse el resultado del ejercicio de calificación y provisión.</w:t>
      </w:r>
    </w:p>
    <w:p w14:paraId="3FDDE943" w14:textId="77777777" w:rsidR="00E814BD" w:rsidRPr="00951AB1" w:rsidRDefault="00E814BD" w:rsidP="000A5389">
      <w:pPr>
        <w:autoSpaceDE w:val="0"/>
        <w:autoSpaceDN w:val="0"/>
        <w:adjustRightInd w:val="0"/>
        <w:spacing w:line="240" w:lineRule="auto"/>
        <w:rPr>
          <w:rFonts w:cs="Times New Roman"/>
          <w:color w:val="000000"/>
          <w:szCs w:val="24"/>
        </w:rPr>
      </w:pPr>
    </w:p>
    <w:p w14:paraId="3F4A7BFE" w14:textId="77777777" w:rsidR="00E814BD" w:rsidRPr="00951AB1" w:rsidRDefault="00E814BD" w:rsidP="000A5389">
      <w:pPr>
        <w:autoSpaceDE w:val="0"/>
        <w:autoSpaceDN w:val="0"/>
        <w:adjustRightInd w:val="0"/>
        <w:spacing w:line="240" w:lineRule="auto"/>
        <w:rPr>
          <w:rFonts w:cs="Times New Roman"/>
          <w:color w:val="000000"/>
          <w:szCs w:val="24"/>
        </w:rPr>
      </w:pPr>
      <w:r w:rsidRPr="00951AB1">
        <w:rPr>
          <w:rFonts w:cs="Times New Roman"/>
          <w:color w:val="000000"/>
          <w:szCs w:val="24"/>
        </w:rPr>
        <w:t xml:space="preserve">La principal variación en esta subcuenta se presenta por: </w:t>
      </w:r>
    </w:p>
    <w:p w14:paraId="27839225" w14:textId="77777777" w:rsidR="00E814BD" w:rsidRPr="00951AB1" w:rsidRDefault="00E814BD" w:rsidP="000A5389">
      <w:pPr>
        <w:autoSpaceDE w:val="0"/>
        <w:autoSpaceDN w:val="0"/>
        <w:adjustRightInd w:val="0"/>
        <w:spacing w:line="240" w:lineRule="auto"/>
        <w:rPr>
          <w:rFonts w:cs="Times New Roman"/>
          <w:color w:val="000000"/>
          <w:szCs w:val="24"/>
        </w:rPr>
      </w:pPr>
    </w:p>
    <w:p w14:paraId="7D8A6B3B" w14:textId="0CDF941A" w:rsidR="00E814BD" w:rsidRPr="00951AB1" w:rsidRDefault="00E814BD" w:rsidP="000A5389">
      <w:pPr>
        <w:pStyle w:val="Prrafodelista"/>
        <w:numPr>
          <w:ilvl w:val="0"/>
          <w:numId w:val="17"/>
        </w:numPr>
        <w:autoSpaceDE w:val="0"/>
        <w:autoSpaceDN w:val="0"/>
        <w:adjustRightInd w:val="0"/>
        <w:spacing w:line="240" w:lineRule="auto"/>
        <w:rPr>
          <w:rFonts w:cs="Times New Roman"/>
          <w:color w:val="000000"/>
          <w:szCs w:val="24"/>
        </w:rPr>
      </w:pPr>
      <w:r w:rsidRPr="2A085367">
        <w:rPr>
          <w:rFonts w:cs="Times New Roman"/>
          <w:color w:val="000000" w:themeColor="text1"/>
          <w:szCs w:val="24"/>
        </w:rPr>
        <w:t>la actualización de procesos reconocidos en vigencias anteriores entre otras por: actualización del valor de pretensión de la demanda, modificación del porcentaje de condena en virtud de la sentencia de primera instancia</w:t>
      </w:r>
      <w:r w:rsidR="0D15BB6E" w:rsidRPr="2A085367">
        <w:rPr>
          <w:rFonts w:cs="Times New Roman"/>
          <w:color w:val="000000" w:themeColor="text1"/>
          <w:szCs w:val="24"/>
        </w:rPr>
        <w:t>.</w:t>
      </w:r>
    </w:p>
    <w:p w14:paraId="4240B5D0" w14:textId="77777777" w:rsidR="00E814BD" w:rsidRPr="00951AB1" w:rsidRDefault="00E814BD" w:rsidP="000A5389">
      <w:pPr>
        <w:pStyle w:val="Prrafodelista"/>
        <w:numPr>
          <w:ilvl w:val="0"/>
          <w:numId w:val="17"/>
        </w:numPr>
        <w:autoSpaceDE w:val="0"/>
        <w:autoSpaceDN w:val="0"/>
        <w:adjustRightInd w:val="0"/>
        <w:spacing w:line="240" w:lineRule="auto"/>
        <w:rPr>
          <w:rFonts w:cs="Times New Roman"/>
          <w:color w:val="000000"/>
          <w:szCs w:val="24"/>
        </w:rPr>
      </w:pPr>
      <w:r w:rsidRPr="00951AB1">
        <w:rPr>
          <w:rFonts w:cs="Times New Roman"/>
          <w:color w:val="000000"/>
          <w:szCs w:val="24"/>
        </w:rPr>
        <w:t xml:space="preserve">La inclusión de nuevos procesos a la subcuenta de provisión contable, por cambios procesales o modificación en los criterios de calificación del riesgo por parte de los apoderados. </w:t>
      </w:r>
    </w:p>
    <w:p w14:paraId="478BBE4F" w14:textId="77777777" w:rsidR="00E814BD" w:rsidRPr="00951AB1" w:rsidRDefault="00E814BD" w:rsidP="000A5389">
      <w:pPr>
        <w:autoSpaceDE w:val="0"/>
        <w:autoSpaceDN w:val="0"/>
        <w:adjustRightInd w:val="0"/>
        <w:spacing w:line="240" w:lineRule="auto"/>
        <w:rPr>
          <w:rFonts w:cs="Times New Roman"/>
          <w:color w:val="000000"/>
          <w:szCs w:val="24"/>
        </w:rPr>
      </w:pPr>
    </w:p>
    <w:p w14:paraId="5710BD0E" w14:textId="77777777" w:rsidR="00E814BD" w:rsidRPr="00951AB1" w:rsidRDefault="00E814BD" w:rsidP="000A5389">
      <w:pPr>
        <w:autoSpaceDE w:val="0"/>
        <w:autoSpaceDN w:val="0"/>
        <w:adjustRightInd w:val="0"/>
        <w:spacing w:line="240" w:lineRule="auto"/>
        <w:rPr>
          <w:rFonts w:cs="Times New Roman"/>
          <w:color w:val="000000"/>
          <w:szCs w:val="24"/>
        </w:rPr>
      </w:pPr>
      <w:r w:rsidRPr="00951AB1">
        <w:rPr>
          <w:rFonts w:cs="Times New Roman"/>
          <w:color w:val="000000"/>
          <w:szCs w:val="24"/>
        </w:rPr>
        <w:t>A continuación, se detallan los procesos con objeto de contabilización.</w:t>
      </w:r>
    </w:p>
    <w:p w14:paraId="3831B28E" w14:textId="77777777" w:rsidR="00E814BD" w:rsidRPr="00951AB1" w:rsidRDefault="00E814BD" w:rsidP="000A5389">
      <w:pPr>
        <w:autoSpaceDE w:val="0"/>
        <w:autoSpaceDN w:val="0"/>
        <w:adjustRightInd w:val="0"/>
        <w:spacing w:line="240" w:lineRule="auto"/>
        <w:rPr>
          <w:rFonts w:cs="Times New Roman"/>
          <w:color w:val="000000"/>
          <w:szCs w:val="24"/>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390"/>
        <w:gridCol w:w="3125"/>
        <w:gridCol w:w="2182"/>
        <w:gridCol w:w="2131"/>
      </w:tblGrid>
      <w:tr w:rsidR="00E814BD" w:rsidRPr="0039091F" w14:paraId="62844928" w14:textId="77777777" w:rsidTr="00684C05">
        <w:trPr>
          <w:trHeight w:val="420"/>
          <w:tblHeader/>
          <w:jc w:val="center"/>
        </w:trPr>
        <w:tc>
          <w:tcPr>
            <w:tcW w:w="787" w:type="pct"/>
            <w:vAlign w:val="center"/>
            <w:hideMark/>
          </w:tcPr>
          <w:p w14:paraId="659BBDB6" w14:textId="77777777" w:rsidR="00E814BD" w:rsidRPr="0039091F" w:rsidRDefault="00E814BD" w:rsidP="000A5389">
            <w:pPr>
              <w:spacing w:line="240" w:lineRule="auto"/>
              <w:jc w:val="center"/>
              <w:rPr>
                <w:rFonts w:eastAsia="Times New Roman" w:cs="Times New Roman"/>
                <w:b/>
                <w:bCs/>
                <w:sz w:val="18"/>
                <w:szCs w:val="18"/>
                <w:lang w:eastAsia="es-CO"/>
              </w:rPr>
            </w:pPr>
            <w:r w:rsidRPr="0039091F">
              <w:rPr>
                <w:rFonts w:eastAsia="Times New Roman" w:cs="Times New Roman"/>
                <w:b/>
                <w:bCs/>
                <w:sz w:val="18"/>
                <w:szCs w:val="18"/>
                <w:lang w:eastAsia="es-CO"/>
              </w:rPr>
              <w:t>Número Ekogui</w:t>
            </w:r>
          </w:p>
        </w:tc>
        <w:tc>
          <w:tcPr>
            <w:tcW w:w="1770" w:type="pct"/>
            <w:vAlign w:val="center"/>
            <w:hideMark/>
          </w:tcPr>
          <w:p w14:paraId="22C9DDF0" w14:textId="77777777" w:rsidR="00E814BD" w:rsidRPr="0039091F" w:rsidRDefault="00E814BD" w:rsidP="000A5389">
            <w:pPr>
              <w:spacing w:line="240" w:lineRule="auto"/>
              <w:jc w:val="center"/>
              <w:rPr>
                <w:rFonts w:eastAsia="Times New Roman" w:cs="Times New Roman"/>
                <w:b/>
                <w:bCs/>
                <w:sz w:val="18"/>
                <w:szCs w:val="18"/>
                <w:lang w:eastAsia="es-CO"/>
              </w:rPr>
            </w:pPr>
            <w:r w:rsidRPr="0039091F">
              <w:rPr>
                <w:rFonts w:eastAsia="Times New Roman" w:cs="Times New Roman"/>
                <w:b/>
                <w:bCs/>
                <w:sz w:val="18"/>
                <w:szCs w:val="18"/>
                <w:lang w:eastAsia="es-CO"/>
              </w:rPr>
              <w:t>Código único del</w:t>
            </w:r>
            <w:r w:rsidRPr="0039091F">
              <w:rPr>
                <w:rFonts w:eastAsia="Times New Roman" w:cs="Times New Roman"/>
                <w:b/>
                <w:bCs/>
                <w:sz w:val="18"/>
                <w:szCs w:val="18"/>
                <w:lang w:eastAsia="es-CO"/>
              </w:rPr>
              <w:br/>
              <w:t>proceso</w:t>
            </w:r>
          </w:p>
        </w:tc>
        <w:tc>
          <w:tcPr>
            <w:tcW w:w="1236" w:type="pct"/>
            <w:vAlign w:val="center"/>
            <w:hideMark/>
          </w:tcPr>
          <w:p w14:paraId="35540C77" w14:textId="77777777" w:rsidR="00E814BD" w:rsidRPr="0039091F" w:rsidRDefault="00E814BD" w:rsidP="000A5389">
            <w:pPr>
              <w:spacing w:line="240" w:lineRule="auto"/>
              <w:jc w:val="center"/>
              <w:rPr>
                <w:rFonts w:eastAsia="Times New Roman" w:cs="Times New Roman"/>
                <w:b/>
                <w:bCs/>
                <w:sz w:val="18"/>
                <w:szCs w:val="18"/>
                <w:lang w:eastAsia="es-CO"/>
              </w:rPr>
            </w:pPr>
            <w:r w:rsidRPr="0039091F">
              <w:rPr>
                <w:rFonts w:eastAsia="Times New Roman" w:cs="Times New Roman"/>
                <w:b/>
                <w:bCs/>
                <w:sz w:val="18"/>
                <w:szCs w:val="18"/>
                <w:lang w:eastAsia="es-CO"/>
              </w:rPr>
              <w:t>Identificación Contraparte</w:t>
            </w:r>
          </w:p>
        </w:tc>
        <w:tc>
          <w:tcPr>
            <w:tcW w:w="1208" w:type="pct"/>
            <w:noWrap/>
            <w:vAlign w:val="center"/>
            <w:hideMark/>
          </w:tcPr>
          <w:p w14:paraId="746F079F" w14:textId="77777777" w:rsidR="00E814BD" w:rsidRPr="0039091F" w:rsidRDefault="00E814BD" w:rsidP="000A5389">
            <w:pPr>
              <w:spacing w:line="240" w:lineRule="auto"/>
              <w:jc w:val="center"/>
              <w:rPr>
                <w:rFonts w:eastAsia="Times New Roman" w:cs="Times New Roman"/>
                <w:b/>
                <w:bCs/>
                <w:sz w:val="18"/>
                <w:szCs w:val="18"/>
                <w:lang w:eastAsia="es-CO"/>
              </w:rPr>
            </w:pPr>
            <w:r w:rsidRPr="0039091F">
              <w:rPr>
                <w:rFonts w:eastAsia="Times New Roman" w:cs="Times New Roman"/>
                <w:b/>
                <w:bCs/>
                <w:sz w:val="18"/>
                <w:szCs w:val="18"/>
                <w:lang w:eastAsia="es-CO"/>
              </w:rPr>
              <w:t xml:space="preserve">Valor </w:t>
            </w:r>
          </w:p>
        </w:tc>
      </w:tr>
      <w:tr w:rsidR="00E814BD" w:rsidRPr="0039091F" w14:paraId="3E4935E6" w14:textId="77777777" w:rsidTr="00684C05">
        <w:trPr>
          <w:trHeight w:val="300"/>
          <w:jc w:val="center"/>
        </w:trPr>
        <w:tc>
          <w:tcPr>
            <w:tcW w:w="787" w:type="pct"/>
            <w:noWrap/>
            <w:vAlign w:val="center"/>
            <w:hideMark/>
          </w:tcPr>
          <w:p w14:paraId="07F7810A" w14:textId="77777777" w:rsidR="00E814BD" w:rsidRPr="0039091F" w:rsidRDefault="00E814BD" w:rsidP="000A5389">
            <w:pPr>
              <w:spacing w:line="240" w:lineRule="auto"/>
              <w:jc w:val="center"/>
              <w:rPr>
                <w:rFonts w:eastAsia="Times New Roman" w:cs="Times New Roman"/>
                <w:color w:val="000000"/>
                <w:sz w:val="18"/>
                <w:szCs w:val="18"/>
                <w:lang w:eastAsia="es-CO"/>
              </w:rPr>
            </w:pPr>
            <w:r w:rsidRPr="0039091F">
              <w:rPr>
                <w:rFonts w:eastAsia="Times New Roman" w:cs="Times New Roman"/>
                <w:color w:val="000000"/>
                <w:sz w:val="18"/>
                <w:szCs w:val="18"/>
                <w:lang w:eastAsia="es-CO"/>
              </w:rPr>
              <w:t>119238</w:t>
            </w:r>
          </w:p>
        </w:tc>
        <w:tc>
          <w:tcPr>
            <w:tcW w:w="1770" w:type="pct"/>
            <w:noWrap/>
            <w:vAlign w:val="bottom"/>
            <w:hideMark/>
          </w:tcPr>
          <w:p w14:paraId="3D1E19A0" w14:textId="77777777" w:rsidR="00E814BD" w:rsidRPr="0039091F" w:rsidRDefault="00E814BD" w:rsidP="000A5389">
            <w:pPr>
              <w:spacing w:line="240" w:lineRule="auto"/>
              <w:jc w:val="center"/>
              <w:rPr>
                <w:rFonts w:eastAsia="Times New Roman" w:cs="Times New Roman"/>
                <w:color w:val="000000"/>
                <w:sz w:val="18"/>
                <w:szCs w:val="18"/>
                <w:lang w:eastAsia="es-CO"/>
              </w:rPr>
            </w:pPr>
            <w:r w:rsidRPr="0039091F">
              <w:rPr>
                <w:rFonts w:eastAsia="Times New Roman" w:cs="Times New Roman"/>
                <w:color w:val="000000"/>
                <w:sz w:val="18"/>
                <w:szCs w:val="18"/>
                <w:lang w:eastAsia="es-CO"/>
              </w:rPr>
              <w:t>05001333100520070002000</w:t>
            </w:r>
          </w:p>
        </w:tc>
        <w:tc>
          <w:tcPr>
            <w:tcW w:w="1236" w:type="pct"/>
            <w:noWrap/>
            <w:vAlign w:val="bottom"/>
            <w:hideMark/>
          </w:tcPr>
          <w:p w14:paraId="46C9E36B" w14:textId="77777777" w:rsidR="00E814BD" w:rsidRPr="0039091F" w:rsidRDefault="00E814BD" w:rsidP="000A5389">
            <w:pPr>
              <w:spacing w:line="240" w:lineRule="auto"/>
              <w:jc w:val="center"/>
              <w:rPr>
                <w:rFonts w:eastAsia="Times New Roman" w:cs="Times New Roman"/>
                <w:color w:val="000000"/>
                <w:sz w:val="18"/>
                <w:szCs w:val="18"/>
                <w:lang w:eastAsia="es-CO"/>
              </w:rPr>
            </w:pPr>
            <w:r w:rsidRPr="0039091F">
              <w:rPr>
                <w:rFonts w:eastAsia="Times New Roman" w:cs="Times New Roman"/>
                <w:color w:val="000000"/>
                <w:sz w:val="18"/>
                <w:szCs w:val="18"/>
                <w:lang w:eastAsia="es-CO"/>
              </w:rPr>
              <w:t>71335775</w:t>
            </w:r>
          </w:p>
        </w:tc>
        <w:tc>
          <w:tcPr>
            <w:tcW w:w="1208" w:type="pct"/>
            <w:noWrap/>
            <w:vAlign w:val="bottom"/>
            <w:hideMark/>
          </w:tcPr>
          <w:p w14:paraId="4A2666F9" w14:textId="77777777" w:rsidR="00E814BD" w:rsidRPr="0039091F" w:rsidRDefault="00E814BD" w:rsidP="000A5389">
            <w:pPr>
              <w:spacing w:line="240" w:lineRule="auto"/>
              <w:jc w:val="center"/>
              <w:rPr>
                <w:rFonts w:eastAsia="Times New Roman" w:cs="Times New Roman"/>
                <w:color w:val="000000"/>
                <w:sz w:val="18"/>
                <w:szCs w:val="18"/>
                <w:lang w:eastAsia="es-CO"/>
              </w:rPr>
            </w:pPr>
            <w:r w:rsidRPr="0039091F">
              <w:rPr>
                <w:rFonts w:eastAsia="Times New Roman" w:cs="Times New Roman"/>
                <w:color w:val="000000"/>
                <w:sz w:val="18"/>
                <w:szCs w:val="18"/>
                <w:lang w:eastAsia="es-CO"/>
              </w:rPr>
              <w:t xml:space="preserve">          14.973.227.270 </w:t>
            </w:r>
          </w:p>
        </w:tc>
      </w:tr>
      <w:tr w:rsidR="00E814BD" w:rsidRPr="0039091F" w14:paraId="4F5C865B" w14:textId="77777777" w:rsidTr="00684C05">
        <w:trPr>
          <w:trHeight w:val="300"/>
          <w:jc w:val="center"/>
        </w:trPr>
        <w:tc>
          <w:tcPr>
            <w:tcW w:w="787" w:type="pct"/>
            <w:noWrap/>
            <w:vAlign w:val="center"/>
            <w:hideMark/>
          </w:tcPr>
          <w:p w14:paraId="19A5916C" w14:textId="77777777" w:rsidR="00E814BD" w:rsidRPr="0039091F" w:rsidRDefault="00E814BD" w:rsidP="000A5389">
            <w:pPr>
              <w:spacing w:line="240" w:lineRule="auto"/>
              <w:jc w:val="center"/>
              <w:rPr>
                <w:rFonts w:eastAsia="Times New Roman" w:cs="Times New Roman"/>
                <w:color w:val="000000"/>
                <w:sz w:val="18"/>
                <w:szCs w:val="18"/>
                <w:lang w:eastAsia="es-CO"/>
              </w:rPr>
            </w:pPr>
            <w:r w:rsidRPr="0039091F">
              <w:rPr>
                <w:rFonts w:eastAsia="Times New Roman" w:cs="Times New Roman"/>
                <w:color w:val="000000"/>
                <w:sz w:val="18"/>
                <w:szCs w:val="18"/>
                <w:lang w:eastAsia="es-CO"/>
              </w:rPr>
              <w:t>2388080</w:t>
            </w:r>
          </w:p>
        </w:tc>
        <w:tc>
          <w:tcPr>
            <w:tcW w:w="1770" w:type="pct"/>
            <w:noWrap/>
            <w:vAlign w:val="bottom"/>
            <w:hideMark/>
          </w:tcPr>
          <w:p w14:paraId="7FC8A00A" w14:textId="77777777" w:rsidR="00E814BD" w:rsidRPr="0039091F" w:rsidRDefault="00E814BD" w:rsidP="000A5389">
            <w:pPr>
              <w:spacing w:line="240" w:lineRule="auto"/>
              <w:jc w:val="center"/>
              <w:rPr>
                <w:rFonts w:eastAsia="Times New Roman" w:cs="Times New Roman"/>
                <w:color w:val="000000"/>
                <w:sz w:val="18"/>
                <w:szCs w:val="18"/>
                <w:lang w:eastAsia="es-CO"/>
              </w:rPr>
            </w:pPr>
            <w:r w:rsidRPr="0039091F">
              <w:rPr>
                <w:rFonts w:eastAsia="Times New Roman" w:cs="Times New Roman"/>
                <w:color w:val="000000"/>
                <w:sz w:val="18"/>
                <w:szCs w:val="18"/>
                <w:lang w:eastAsia="es-CO"/>
              </w:rPr>
              <w:t>54001233300020230001300</w:t>
            </w:r>
          </w:p>
        </w:tc>
        <w:tc>
          <w:tcPr>
            <w:tcW w:w="1236" w:type="pct"/>
            <w:noWrap/>
            <w:vAlign w:val="bottom"/>
            <w:hideMark/>
          </w:tcPr>
          <w:p w14:paraId="4EB0AE98" w14:textId="77777777" w:rsidR="00E814BD" w:rsidRPr="0039091F" w:rsidRDefault="00E814BD" w:rsidP="000A5389">
            <w:pPr>
              <w:spacing w:line="240" w:lineRule="auto"/>
              <w:jc w:val="center"/>
              <w:rPr>
                <w:rFonts w:eastAsia="Times New Roman" w:cs="Times New Roman"/>
                <w:color w:val="000000"/>
                <w:sz w:val="18"/>
                <w:szCs w:val="18"/>
                <w:lang w:eastAsia="es-CO"/>
              </w:rPr>
            </w:pPr>
            <w:r w:rsidRPr="0039091F">
              <w:rPr>
                <w:rFonts w:eastAsia="Times New Roman" w:cs="Times New Roman"/>
                <w:color w:val="000000"/>
                <w:sz w:val="18"/>
                <w:szCs w:val="18"/>
                <w:lang w:eastAsia="es-CO"/>
              </w:rPr>
              <w:t>1093801895</w:t>
            </w:r>
          </w:p>
        </w:tc>
        <w:tc>
          <w:tcPr>
            <w:tcW w:w="1208" w:type="pct"/>
            <w:noWrap/>
            <w:vAlign w:val="bottom"/>
            <w:hideMark/>
          </w:tcPr>
          <w:p w14:paraId="6B26ECEF" w14:textId="77777777" w:rsidR="00E814BD" w:rsidRPr="0039091F" w:rsidRDefault="00E814BD" w:rsidP="000A5389">
            <w:pPr>
              <w:spacing w:line="240" w:lineRule="auto"/>
              <w:jc w:val="center"/>
              <w:rPr>
                <w:rFonts w:eastAsia="Times New Roman" w:cs="Times New Roman"/>
                <w:color w:val="000000"/>
                <w:sz w:val="18"/>
                <w:szCs w:val="18"/>
                <w:lang w:eastAsia="es-CO"/>
              </w:rPr>
            </w:pPr>
            <w:r w:rsidRPr="0039091F">
              <w:rPr>
                <w:rFonts w:eastAsia="Times New Roman" w:cs="Times New Roman"/>
                <w:color w:val="000000"/>
                <w:sz w:val="18"/>
                <w:szCs w:val="18"/>
                <w:lang w:eastAsia="es-CO"/>
              </w:rPr>
              <w:t xml:space="preserve">          11.593.798.589 </w:t>
            </w:r>
          </w:p>
        </w:tc>
      </w:tr>
      <w:tr w:rsidR="00E814BD" w:rsidRPr="0039091F" w14:paraId="5114F47F" w14:textId="77777777" w:rsidTr="00684C05">
        <w:trPr>
          <w:trHeight w:val="300"/>
          <w:jc w:val="center"/>
        </w:trPr>
        <w:tc>
          <w:tcPr>
            <w:tcW w:w="787" w:type="pct"/>
            <w:noWrap/>
            <w:vAlign w:val="center"/>
            <w:hideMark/>
          </w:tcPr>
          <w:p w14:paraId="2B9B42E0" w14:textId="77777777" w:rsidR="00E814BD" w:rsidRPr="0039091F" w:rsidRDefault="00E814BD" w:rsidP="000A5389">
            <w:pPr>
              <w:spacing w:line="240" w:lineRule="auto"/>
              <w:jc w:val="center"/>
              <w:rPr>
                <w:rFonts w:eastAsia="Times New Roman" w:cs="Times New Roman"/>
                <w:color w:val="000000"/>
                <w:sz w:val="18"/>
                <w:szCs w:val="18"/>
                <w:lang w:eastAsia="es-CO"/>
              </w:rPr>
            </w:pPr>
            <w:r w:rsidRPr="0039091F">
              <w:rPr>
                <w:rFonts w:eastAsia="Times New Roman" w:cs="Times New Roman"/>
                <w:color w:val="000000"/>
                <w:sz w:val="18"/>
                <w:szCs w:val="18"/>
                <w:lang w:eastAsia="es-CO"/>
              </w:rPr>
              <w:t>2400982</w:t>
            </w:r>
          </w:p>
        </w:tc>
        <w:tc>
          <w:tcPr>
            <w:tcW w:w="1770" w:type="pct"/>
            <w:noWrap/>
            <w:vAlign w:val="bottom"/>
            <w:hideMark/>
          </w:tcPr>
          <w:p w14:paraId="7E6161D7" w14:textId="77777777" w:rsidR="00E814BD" w:rsidRPr="0039091F" w:rsidRDefault="00E814BD" w:rsidP="000A5389">
            <w:pPr>
              <w:spacing w:line="240" w:lineRule="auto"/>
              <w:jc w:val="center"/>
              <w:rPr>
                <w:rFonts w:eastAsia="Times New Roman" w:cs="Times New Roman"/>
                <w:color w:val="000000"/>
                <w:sz w:val="18"/>
                <w:szCs w:val="18"/>
                <w:lang w:eastAsia="es-CO"/>
              </w:rPr>
            </w:pPr>
            <w:r w:rsidRPr="0039091F">
              <w:rPr>
                <w:rFonts w:eastAsia="Times New Roman" w:cs="Times New Roman"/>
                <w:color w:val="000000"/>
                <w:sz w:val="18"/>
                <w:szCs w:val="18"/>
                <w:lang w:eastAsia="es-CO"/>
              </w:rPr>
              <w:t>05001333303020220062600</w:t>
            </w:r>
          </w:p>
        </w:tc>
        <w:tc>
          <w:tcPr>
            <w:tcW w:w="1236" w:type="pct"/>
            <w:noWrap/>
            <w:vAlign w:val="bottom"/>
            <w:hideMark/>
          </w:tcPr>
          <w:p w14:paraId="78F36678" w14:textId="77777777" w:rsidR="00E814BD" w:rsidRPr="0039091F" w:rsidRDefault="00E814BD" w:rsidP="000A5389">
            <w:pPr>
              <w:spacing w:line="240" w:lineRule="auto"/>
              <w:jc w:val="center"/>
              <w:rPr>
                <w:rFonts w:eastAsia="Times New Roman" w:cs="Times New Roman"/>
                <w:color w:val="000000"/>
                <w:sz w:val="18"/>
                <w:szCs w:val="18"/>
                <w:lang w:eastAsia="es-CO"/>
              </w:rPr>
            </w:pPr>
            <w:r w:rsidRPr="0039091F">
              <w:rPr>
                <w:rFonts w:eastAsia="Times New Roman" w:cs="Times New Roman"/>
                <w:color w:val="000000"/>
                <w:sz w:val="18"/>
                <w:szCs w:val="18"/>
                <w:lang w:eastAsia="es-CO"/>
              </w:rPr>
              <w:t>71724847</w:t>
            </w:r>
          </w:p>
        </w:tc>
        <w:tc>
          <w:tcPr>
            <w:tcW w:w="1208" w:type="pct"/>
            <w:noWrap/>
            <w:vAlign w:val="bottom"/>
            <w:hideMark/>
          </w:tcPr>
          <w:p w14:paraId="2CAF030E" w14:textId="77777777" w:rsidR="00E814BD" w:rsidRPr="0039091F" w:rsidRDefault="00E814BD" w:rsidP="000A5389">
            <w:pPr>
              <w:spacing w:line="240" w:lineRule="auto"/>
              <w:jc w:val="center"/>
              <w:rPr>
                <w:rFonts w:eastAsia="Times New Roman" w:cs="Times New Roman"/>
                <w:color w:val="000000"/>
                <w:sz w:val="18"/>
                <w:szCs w:val="18"/>
                <w:lang w:eastAsia="es-CO"/>
              </w:rPr>
            </w:pPr>
            <w:r w:rsidRPr="0039091F">
              <w:rPr>
                <w:rFonts w:eastAsia="Times New Roman" w:cs="Times New Roman"/>
                <w:color w:val="000000"/>
                <w:sz w:val="18"/>
                <w:szCs w:val="18"/>
                <w:lang w:eastAsia="es-CO"/>
              </w:rPr>
              <w:t xml:space="preserve">          10.741.778.708 </w:t>
            </w:r>
          </w:p>
        </w:tc>
      </w:tr>
      <w:tr w:rsidR="00E814BD" w:rsidRPr="0039091F" w14:paraId="6AF7723F" w14:textId="77777777" w:rsidTr="00684C05">
        <w:trPr>
          <w:trHeight w:val="300"/>
          <w:jc w:val="center"/>
        </w:trPr>
        <w:tc>
          <w:tcPr>
            <w:tcW w:w="787" w:type="pct"/>
            <w:noWrap/>
            <w:vAlign w:val="center"/>
            <w:hideMark/>
          </w:tcPr>
          <w:p w14:paraId="2BF47FC2" w14:textId="77777777" w:rsidR="00E814BD" w:rsidRPr="0039091F" w:rsidRDefault="00E814BD" w:rsidP="000A5389">
            <w:pPr>
              <w:spacing w:line="240" w:lineRule="auto"/>
              <w:jc w:val="center"/>
              <w:rPr>
                <w:rFonts w:eastAsia="Times New Roman" w:cs="Times New Roman"/>
                <w:color w:val="000000"/>
                <w:sz w:val="18"/>
                <w:szCs w:val="18"/>
                <w:lang w:eastAsia="es-CO"/>
              </w:rPr>
            </w:pPr>
            <w:r w:rsidRPr="0039091F">
              <w:rPr>
                <w:rFonts w:eastAsia="Times New Roman" w:cs="Times New Roman"/>
                <w:color w:val="000000"/>
                <w:sz w:val="18"/>
                <w:szCs w:val="18"/>
                <w:lang w:eastAsia="es-CO"/>
              </w:rPr>
              <w:t>2505345</w:t>
            </w:r>
          </w:p>
        </w:tc>
        <w:tc>
          <w:tcPr>
            <w:tcW w:w="1770" w:type="pct"/>
            <w:noWrap/>
            <w:vAlign w:val="bottom"/>
            <w:hideMark/>
          </w:tcPr>
          <w:p w14:paraId="5DD6043A" w14:textId="77777777" w:rsidR="00E814BD" w:rsidRPr="0039091F" w:rsidRDefault="00E814BD" w:rsidP="000A5389">
            <w:pPr>
              <w:spacing w:line="240" w:lineRule="auto"/>
              <w:jc w:val="center"/>
              <w:rPr>
                <w:rFonts w:eastAsia="Times New Roman" w:cs="Times New Roman"/>
                <w:color w:val="000000"/>
                <w:sz w:val="18"/>
                <w:szCs w:val="18"/>
                <w:lang w:eastAsia="es-CO"/>
              </w:rPr>
            </w:pPr>
            <w:r w:rsidRPr="0039091F">
              <w:rPr>
                <w:rFonts w:eastAsia="Times New Roman" w:cs="Times New Roman"/>
                <w:color w:val="000000"/>
                <w:sz w:val="18"/>
                <w:szCs w:val="18"/>
                <w:lang w:eastAsia="es-CO"/>
              </w:rPr>
              <w:t>25000233600020230044300</w:t>
            </w:r>
          </w:p>
        </w:tc>
        <w:tc>
          <w:tcPr>
            <w:tcW w:w="1236" w:type="pct"/>
            <w:noWrap/>
            <w:vAlign w:val="bottom"/>
            <w:hideMark/>
          </w:tcPr>
          <w:p w14:paraId="766CFB3C" w14:textId="77777777" w:rsidR="00E814BD" w:rsidRPr="0039091F" w:rsidRDefault="00E814BD" w:rsidP="000A5389">
            <w:pPr>
              <w:spacing w:line="240" w:lineRule="auto"/>
              <w:jc w:val="center"/>
              <w:rPr>
                <w:rFonts w:eastAsia="Times New Roman" w:cs="Times New Roman"/>
                <w:color w:val="000000"/>
                <w:sz w:val="18"/>
                <w:szCs w:val="18"/>
                <w:lang w:eastAsia="es-CO"/>
              </w:rPr>
            </w:pPr>
            <w:r w:rsidRPr="0039091F">
              <w:rPr>
                <w:rFonts w:eastAsia="Times New Roman" w:cs="Times New Roman"/>
                <w:color w:val="000000"/>
                <w:sz w:val="18"/>
                <w:szCs w:val="18"/>
                <w:lang w:eastAsia="es-CO"/>
              </w:rPr>
              <w:t>901786575</w:t>
            </w:r>
          </w:p>
        </w:tc>
        <w:tc>
          <w:tcPr>
            <w:tcW w:w="1208" w:type="pct"/>
            <w:noWrap/>
            <w:vAlign w:val="bottom"/>
            <w:hideMark/>
          </w:tcPr>
          <w:p w14:paraId="4DEF28A7" w14:textId="77777777" w:rsidR="00E814BD" w:rsidRPr="0039091F" w:rsidRDefault="00E814BD" w:rsidP="000A5389">
            <w:pPr>
              <w:spacing w:line="240" w:lineRule="auto"/>
              <w:jc w:val="center"/>
              <w:rPr>
                <w:rFonts w:eastAsia="Times New Roman" w:cs="Times New Roman"/>
                <w:color w:val="000000"/>
                <w:sz w:val="18"/>
                <w:szCs w:val="18"/>
                <w:lang w:eastAsia="es-CO"/>
              </w:rPr>
            </w:pPr>
            <w:r w:rsidRPr="0039091F">
              <w:rPr>
                <w:rFonts w:eastAsia="Times New Roman" w:cs="Times New Roman"/>
                <w:color w:val="000000"/>
                <w:sz w:val="18"/>
                <w:szCs w:val="18"/>
                <w:lang w:eastAsia="es-CO"/>
              </w:rPr>
              <w:t xml:space="preserve">            9.833.594.556 </w:t>
            </w:r>
          </w:p>
        </w:tc>
      </w:tr>
      <w:tr w:rsidR="00E814BD" w:rsidRPr="0039091F" w14:paraId="6376E6EF" w14:textId="77777777" w:rsidTr="00684C05">
        <w:trPr>
          <w:trHeight w:val="300"/>
          <w:jc w:val="center"/>
        </w:trPr>
        <w:tc>
          <w:tcPr>
            <w:tcW w:w="787" w:type="pct"/>
            <w:noWrap/>
            <w:vAlign w:val="center"/>
            <w:hideMark/>
          </w:tcPr>
          <w:p w14:paraId="31E6C416" w14:textId="77777777" w:rsidR="00E814BD" w:rsidRPr="0039091F" w:rsidRDefault="00E814BD" w:rsidP="000A5389">
            <w:pPr>
              <w:spacing w:line="240" w:lineRule="auto"/>
              <w:jc w:val="center"/>
              <w:rPr>
                <w:rFonts w:eastAsia="Times New Roman" w:cs="Times New Roman"/>
                <w:color w:val="000000"/>
                <w:sz w:val="18"/>
                <w:szCs w:val="18"/>
                <w:lang w:eastAsia="es-CO"/>
              </w:rPr>
            </w:pPr>
            <w:r w:rsidRPr="0039091F">
              <w:rPr>
                <w:rFonts w:eastAsia="Times New Roman" w:cs="Times New Roman"/>
                <w:color w:val="000000"/>
                <w:sz w:val="18"/>
                <w:szCs w:val="18"/>
                <w:lang w:eastAsia="es-CO"/>
              </w:rPr>
              <w:t>2330229</w:t>
            </w:r>
          </w:p>
        </w:tc>
        <w:tc>
          <w:tcPr>
            <w:tcW w:w="1770" w:type="pct"/>
            <w:noWrap/>
            <w:vAlign w:val="bottom"/>
            <w:hideMark/>
          </w:tcPr>
          <w:p w14:paraId="7CFD5ABA" w14:textId="77777777" w:rsidR="00E814BD" w:rsidRPr="0039091F" w:rsidRDefault="00E814BD" w:rsidP="000A5389">
            <w:pPr>
              <w:spacing w:line="240" w:lineRule="auto"/>
              <w:jc w:val="center"/>
              <w:rPr>
                <w:rFonts w:eastAsia="Times New Roman" w:cs="Times New Roman"/>
                <w:color w:val="000000"/>
                <w:sz w:val="18"/>
                <w:szCs w:val="18"/>
                <w:lang w:eastAsia="es-CO"/>
              </w:rPr>
            </w:pPr>
            <w:r w:rsidRPr="0039091F">
              <w:rPr>
                <w:rFonts w:eastAsia="Times New Roman" w:cs="Times New Roman"/>
                <w:color w:val="000000"/>
                <w:sz w:val="18"/>
                <w:szCs w:val="18"/>
                <w:lang w:eastAsia="es-CO"/>
              </w:rPr>
              <w:t>25000233600020220025200</w:t>
            </w:r>
          </w:p>
        </w:tc>
        <w:tc>
          <w:tcPr>
            <w:tcW w:w="1236" w:type="pct"/>
            <w:noWrap/>
            <w:vAlign w:val="bottom"/>
            <w:hideMark/>
          </w:tcPr>
          <w:p w14:paraId="1E8E9080" w14:textId="77777777" w:rsidR="00E814BD" w:rsidRPr="0039091F" w:rsidRDefault="00E814BD" w:rsidP="000A5389">
            <w:pPr>
              <w:spacing w:line="240" w:lineRule="auto"/>
              <w:jc w:val="center"/>
              <w:rPr>
                <w:rFonts w:eastAsia="Times New Roman" w:cs="Times New Roman"/>
                <w:color w:val="000000"/>
                <w:sz w:val="18"/>
                <w:szCs w:val="18"/>
                <w:lang w:eastAsia="es-CO"/>
              </w:rPr>
            </w:pPr>
            <w:r w:rsidRPr="0039091F">
              <w:rPr>
                <w:rFonts w:eastAsia="Times New Roman" w:cs="Times New Roman"/>
                <w:color w:val="000000"/>
                <w:sz w:val="18"/>
                <w:szCs w:val="18"/>
                <w:lang w:eastAsia="es-CO"/>
              </w:rPr>
              <w:t>860039988</w:t>
            </w:r>
          </w:p>
        </w:tc>
        <w:tc>
          <w:tcPr>
            <w:tcW w:w="1208" w:type="pct"/>
            <w:noWrap/>
            <w:vAlign w:val="bottom"/>
            <w:hideMark/>
          </w:tcPr>
          <w:p w14:paraId="5E4A4CF3" w14:textId="77777777" w:rsidR="00E814BD" w:rsidRPr="0039091F" w:rsidRDefault="00E814BD" w:rsidP="000A5389">
            <w:pPr>
              <w:spacing w:line="240" w:lineRule="auto"/>
              <w:jc w:val="center"/>
              <w:rPr>
                <w:rFonts w:eastAsia="Times New Roman" w:cs="Times New Roman"/>
                <w:color w:val="000000"/>
                <w:sz w:val="18"/>
                <w:szCs w:val="18"/>
                <w:lang w:eastAsia="es-CO"/>
              </w:rPr>
            </w:pPr>
            <w:r w:rsidRPr="0039091F">
              <w:rPr>
                <w:rFonts w:eastAsia="Times New Roman" w:cs="Times New Roman"/>
                <w:color w:val="000000"/>
                <w:sz w:val="18"/>
                <w:szCs w:val="18"/>
                <w:lang w:eastAsia="es-CO"/>
              </w:rPr>
              <w:t xml:space="preserve">            9.438.911.784 </w:t>
            </w:r>
          </w:p>
        </w:tc>
      </w:tr>
      <w:tr w:rsidR="00E814BD" w:rsidRPr="0039091F" w14:paraId="6DBD4169" w14:textId="77777777" w:rsidTr="00684C05">
        <w:trPr>
          <w:trHeight w:val="300"/>
          <w:jc w:val="center"/>
        </w:trPr>
        <w:tc>
          <w:tcPr>
            <w:tcW w:w="787" w:type="pct"/>
            <w:noWrap/>
            <w:vAlign w:val="center"/>
            <w:hideMark/>
          </w:tcPr>
          <w:p w14:paraId="638644CD" w14:textId="77777777" w:rsidR="00E814BD" w:rsidRPr="0039091F" w:rsidRDefault="00E814BD" w:rsidP="000A5389">
            <w:pPr>
              <w:spacing w:line="240" w:lineRule="auto"/>
              <w:jc w:val="center"/>
              <w:rPr>
                <w:rFonts w:eastAsia="Times New Roman" w:cs="Times New Roman"/>
                <w:color w:val="000000"/>
                <w:sz w:val="18"/>
                <w:szCs w:val="18"/>
                <w:lang w:eastAsia="es-CO"/>
              </w:rPr>
            </w:pPr>
            <w:r w:rsidRPr="0039091F">
              <w:rPr>
                <w:rFonts w:eastAsia="Times New Roman" w:cs="Times New Roman"/>
                <w:color w:val="000000"/>
                <w:sz w:val="18"/>
                <w:szCs w:val="18"/>
                <w:lang w:eastAsia="es-CO"/>
              </w:rPr>
              <w:t>561020</w:t>
            </w:r>
          </w:p>
        </w:tc>
        <w:tc>
          <w:tcPr>
            <w:tcW w:w="1770" w:type="pct"/>
            <w:noWrap/>
            <w:vAlign w:val="bottom"/>
            <w:hideMark/>
          </w:tcPr>
          <w:p w14:paraId="310A4E7B" w14:textId="77777777" w:rsidR="00E814BD" w:rsidRPr="0039091F" w:rsidRDefault="00E814BD" w:rsidP="000A5389">
            <w:pPr>
              <w:spacing w:line="240" w:lineRule="auto"/>
              <w:jc w:val="center"/>
              <w:rPr>
                <w:rFonts w:eastAsia="Times New Roman" w:cs="Times New Roman"/>
                <w:color w:val="000000"/>
                <w:sz w:val="18"/>
                <w:szCs w:val="18"/>
                <w:lang w:eastAsia="es-CO"/>
              </w:rPr>
            </w:pPr>
            <w:r w:rsidRPr="0039091F">
              <w:rPr>
                <w:rFonts w:eastAsia="Times New Roman" w:cs="Times New Roman"/>
                <w:color w:val="000000"/>
                <w:sz w:val="18"/>
                <w:szCs w:val="18"/>
                <w:lang w:eastAsia="es-CO"/>
              </w:rPr>
              <w:t>11001333603520130047400</w:t>
            </w:r>
          </w:p>
        </w:tc>
        <w:tc>
          <w:tcPr>
            <w:tcW w:w="1236" w:type="pct"/>
            <w:noWrap/>
            <w:vAlign w:val="bottom"/>
            <w:hideMark/>
          </w:tcPr>
          <w:p w14:paraId="73718EA3" w14:textId="77777777" w:rsidR="00E814BD" w:rsidRPr="0039091F" w:rsidRDefault="00E814BD" w:rsidP="000A5389">
            <w:pPr>
              <w:spacing w:line="240" w:lineRule="auto"/>
              <w:jc w:val="center"/>
              <w:rPr>
                <w:rFonts w:eastAsia="Times New Roman" w:cs="Times New Roman"/>
                <w:color w:val="000000"/>
                <w:sz w:val="18"/>
                <w:szCs w:val="18"/>
                <w:lang w:eastAsia="es-CO"/>
              </w:rPr>
            </w:pPr>
            <w:r w:rsidRPr="0039091F">
              <w:rPr>
                <w:rFonts w:eastAsia="Times New Roman" w:cs="Times New Roman"/>
                <w:color w:val="000000"/>
                <w:sz w:val="18"/>
                <w:szCs w:val="18"/>
                <w:lang w:eastAsia="es-CO"/>
              </w:rPr>
              <w:t>39743968</w:t>
            </w:r>
          </w:p>
        </w:tc>
        <w:tc>
          <w:tcPr>
            <w:tcW w:w="1208" w:type="pct"/>
            <w:noWrap/>
            <w:vAlign w:val="bottom"/>
            <w:hideMark/>
          </w:tcPr>
          <w:p w14:paraId="6679E7C4" w14:textId="77777777" w:rsidR="00E814BD" w:rsidRPr="0039091F" w:rsidRDefault="00E814BD" w:rsidP="000A5389">
            <w:pPr>
              <w:spacing w:line="240" w:lineRule="auto"/>
              <w:jc w:val="center"/>
              <w:rPr>
                <w:rFonts w:eastAsia="Times New Roman" w:cs="Times New Roman"/>
                <w:color w:val="000000"/>
                <w:sz w:val="18"/>
                <w:szCs w:val="18"/>
                <w:lang w:eastAsia="es-CO"/>
              </w:rPr>
            </w:pPr>
            <w:r w:rsidRPr="0039091F">
              <w:rPr>
                <w:rFonts w:eastAsia="Times New Roman" w:cs="Times New Roman"/>
                <w:color w:val="000000"/>
                <w:sz w:val="18"/>
                <w:szCs w:val="18"/>
                <w:lang w:eastAsia="es-CO"/>
              </w:rPr>
              <w:t xml:space="preserve">            4.981.322.304 </w:t>
            </w:r>
          </w:p>
        </w:tc>
      </w:tr>
      <w:tr w:rsidR="00E814BD" w:rsidRPr="0039091F" w14:paraId="09977AEC" w14:textId="77777777" w:rsidTr="00684C05">
        <w:trPr>
          <w:trHeight w:val="300"/>
          <w:jc w:val="center"/>
        </w:trPr>
        <w:tc>
          <w:tcPr>
            <w:tcW w:w="787" w:type="pct"/>
            <w:noWrap/>
            <w:vAlign w:val="center"/>
            <w:hideMark/>
          </w:tcPr>
          <w:p w14:paraId="108358FA" w14:textId="77777777" w:rsidR="00E814BD" w:rsidRPr="0039091F" w:rsidRDefault="00E814BD" w:rsidP="000A5389">
            <w:pPr>
              <w:spacing w:line="240" w:lineRule="auto"/>
              <w:jc w:val="center"/>
              <w:rPr>
                <w:rFonts w:eastAsia="Times New Roman" w:cs="Times New Roman"/>
                <w:color w:val="000000"/>
                <w:sz w:val="18"/>
                <w:szCs w:val="18"/>
                <w:lang w:eastAsia="es-CO"/>
              </w:rPr>
            </w:pPr>
            <w:r w:rsidRPr="0039091F">
              <w:rPr>
                <w:rFonts w:eastAsia="Times New Roman" w:cs="Times New Roman"/>
                <w:color w:val="000000"/>
                <w:sz w:val="18"/>
                <w:szCs w:val="18"/>
                <w:lang w:eastAsia="es-CO"/>
              </w:rPr>
              <w:t>1149429</w:t>
            </w:r>
          </w:p>
        </w:tc>
        <w:tc>
          <w:tcPr>
            <w:tcW w:w="1770" w:type="pct"/>
            <w:noWrap/>
            <w:vAlign w:val="bottom"/>
            <w:hideMark/>
          </w:tcPr>
          <w:p w14:paraId="19F91DCE" w14:textId="77777777" w:rsidR="00E814BD" w:rsidRPr="0039091F" w:rsidRDefault="00E814BD" w:rsidP="000A5389">
            <w:pPr>
              <w:spacing w:line="240" w:lineRule="auto"/>
              <w:jc w:val="center"/>
              <w:rPr>
                <w:rFonts w:eastAsia="Times New Roman" w:cs="Times New Roman"/>
                <w:color w:val="000000"/>
                <w:sz w:val="18"/>
                <w:szCs w:val="18"/>
                <w:lang w:eastAsia="es-CO"/>
              </w:rPr>
            </w:pPr>
            <w:r w:rsidRPr="0039091F">
              <w:rPr>
                <w:rFonts w:eastAsia="Times New Roman" w:cs="Times New Roman"/>
                <w:color w:val="000000"/>
                <w:sz w:val="18"/>
                <w:szCs w:val="18"/>
                <w:lang w:eastAsia="es-CO"/>
              </w:rPr>
              <w:t>25000233600020180003400</w:t>
            </w:r>
          </w:p>
        </w:tc>
        <w:tc>
          <w:tcPr>
            <w:tcW w:w="1236" w:type="pct"/>
            <w:noWrap/>
            <w:vAlign w:val="bottom"/>
            <w:hideMark/>
          </w:tcPr>
          <w:p w14:paraId="04F9170B" w14:textId="77777777" w:rsidR="00E814BD" w:rsidRPr="0039091F" w:rsidRDefault="00E814BD" w:rsidP="000A5389">
            <w:pPr>
              <w:spacing w:line="240" w:lineRule="auto"/>
              <w:jc w:val="center"/>
              <w:rPr>
                <w:rFonts w:eastAsia="Times New Roman" w:cs="Times New Roman"/>
                <w:color w:val="000000"/>
                <w:sz w:val="18"/>
                <w:szCs w:val="18"/>
                <w:lang w:eastAsia="es-CO"/>
              </w:rPr>
            </w:pPr>
            <w:r w:rsidRPr="0039091F">
              <w:rPr>
                <w:rFonts w:eastAsia="Times New Roman" w:cs="Times New Roman"/>
                <w:color w:val="000000"/>
                <w:sz w:val="18"/>
                <w:szCs w:val="18"/>
                <w:lang w:eastAsia="es-CO"/>
              </w:rPr>
              <w:t>13363948</w:t>
            </w:r>
          </w:p>
        </w:tc>
        <w:tc>
          <w:tcPr>
            <w:tcW w:w="1208" w:type="pct"/>
            <w:noWrap/>
            <w:vAlign w:val="bottom"/>
            <w:hideMark/>
          </w:tcPr>
          <w:p w14:paraId="62F5C51B" w14:textId="77777777" w:rsidR="00E814BD" w:rsidRPr="0039091F" w:rsidRDefault="00E814BD" w:rsidP="000A5389">
            <w:pPr>
              <w:spacing w:line="240" w:lineRule="auto"/>
              <w:jc w:val="center"/>
              <w:rPr>
                <w:rFonts w:eastAsia="Times New Roman" w:cs="Times New Roman"/>
                <w:color w:val="000000"/>
                <w:sz w:val="18"/>
                <w:szCs w:val="18"/>
                <w:lang w:eastAsia="es-CO"/>
              </w:rPr>
            </w:pPr>
            <w:r w:rsidRPr="0039091F">
              <w:rPr>
                <w:rFonts w:eastAsia="Times New Roman" w:cs="Times New Roman"/>
                <w:color w:val="000000"/>
                <w:sz w:val="18"/>
                <w:szCs w:val="18"/>
                <w:lang w:eastAsia="es-CO"/>
              </w:rPr>
              <w:t xml:space="preserve">            4.232.372.947 </w:t>
            </w:r>
          </w:p>
        </w:tc>
      </w:tr>
      <w:tr w:rsidR="00E814BD" w:rsidRPr="0039091F" w14:paraId="634FB15A" w14:textId="77777777" w:rsidTr="00684C05">
        <w:trPr>
          <w:trHeight w:val="300"/>
          <w:jc w:val="center"/>
        </w:trPr>
        <w:tc>
          <w:tcPr>
            <w:tcW w:w="787" w:type="pct"/>
            <w:noWrap/>
            <w:vAlign w:val="center"/>
            <w:hideMark/>
          </w:tcPr>
          <w:p w14:paraId="1353689C" w14:textId="77777777" w:rsidR="00E814BD" w:rsidRPr="0039091F" w:rsidRDefault="00E814BD" w:rsidP="000A5389">
            <w:pPr>
              <w:spacing w:line="240" w:lineRule="auto"/>
              <w:jc w:val="center"/>
              <w:rPr>
                <w:rFonts w:eastAsia="Times New Roman" w:cs="Times New Roman"/>
                <w:color w:val="000000"/>
                <w:sz w:val="18"/>
                <w:szCs w:val="18"/>
                <w:lang w:eastAsia="es-CO"/>
              </w:rPr>
            </w:pPr>
            <w:r w:rsidRPr="0039091F">
              <w:rPr>
                <w:rFonts w:eastAsia="Times New Roman" w:cs="Times New Roman"/>
                <w:color w:val="000000"/>
                <w:sz w:val="18"/>
                <w:szCs w:val="18"/>
                <w:lang w:eastAsia="es-CO"/>
              </w:rPr>
              <w:t>2205737</w:t>
            </w:r>
          </w:p>
        </w:tc>
        <w:tc>
          <w:tcPr>
            <w:tcW w:w="1770" w:type="pct"/>
            <w:noWrap/>
            <w:vAlign w:val="bottom"/>
            <w:hideMark/>
          </w:tcPr>
          <w:p w14:paraId="01E0D6FB" w14:textId="77777777" w:rsidR="00E814BD" w:rsidRPr="0039091F" w:rsidRDefault="00E814BD" w:rsidP="000A5389">
            <w:pPr>
              <w:spacing w:line="240" w:lineRule="auto"/>
              <w:jc w:val="center"/>
              <w:rPr>
                <w:rFonts w:eastAsia="Times New Roman" w:cs="Times New Roman"/>
                <w:color w:val="000000"/>
                <w:sz w:val="18"/>
                <w:szCs w:val="18"/>
                <w:lang w:eastAsia="es-CO"/>
              </w:rPr>
            </w:pPr>
            <w:r w:rsidRPr="0039091F">
              <w:rPr>
                <w:rFonts w:eastAsia="Times New Roman" w:cs="Times New Roman"/>
                <w:color w:val="000000"/>
                <w:sz w:val="18"/>
                <w:szCs w:val="18"/>
                <w:lang w:eastAsia="es-CO"/>
              </w:rPr>
              <w:t>68001233300020200011800</w:t>
            </w:r>
          </w:p>
        </w:tc>
        <w:tc>
          <w:tcPr>
            <w:tcW w:w="1236" w:type="pct"/>
            <w:noWrap/>
            <w:vAlign w:val="bottom"/>
            <w:hideMark/>
          </w:tcPr>
          <w:p w14:paraId="29A41867" w14:textId="77777777" w:rsidR="00E814BD" w:rsidRPr="0039091F" w:rsidRDefault="00E814BD" w:rsidP="000A5389">
            <w:pPr>
              <w:spacing w:line="240" w:lineRule="auto"/>
              <w:jc w:val="center"/>
              <w:rPr>
                <w:rFonts w:eastAsia="Times New Roman" w:cs="Times New Roman"/>
                <w:color w:val="000000"/>
                <w:sz w:val="18"/>
                <w:szCs w:val="18"/>
                <w:lang w:eastAsia="es-CO"/>
              </w:rPr>
            </w:pPr>
            <w:r w:rsidRPr="0039091F">
              <w:rPr>
                <w:rFonts w:eastAsia="Times New Roman" w:cs="Times New Roman"/>
                <w:color w:val="000000"/>
                <w:sz w:val="18"/>
                <w:szCs w:val="18"/>
                <w:lang w:eastAsia="es-CO"/>
              </w:rPr>
              <w:t>79917278</w:t>
            </w:r>
          </w:p>
        </w:tc>
        <w:tc>
          <w:tcPr>
            <w:tcW w:w="1208" w:type="pct"/>
            <w:noWrap/>
            <w:vAlign w:val="bottom"/>
            <w:hideMark/>
          </w:tcPr>
          <w:p w14:paraId="1748EA42" w14:textId="77777777" w:rsidR="00E814BD" w:rsidRPr="0039091F" w:rsidRDefault="00E814BD" w:rsidP="000A5389">
            <w:pPr>
              <w:spacing w:line="240" w:lineRule="auto"/>
              <w:jc w:val="center"/>
              <w:rPr>
                <w:rFonts w:eastAsia="Times New Roman" w:cs="Times New Roman"/>
                <w:color w:val="000000"/>
                <w:sz w:val="18"/>
                <w:szCs w:val="18"/>
                <w:lang w:eastAsia="es-CO"/>
              </w:rPr>
            </w:pPr>
            <w:r w:rsidRPr="0039091F">
              <w:rPr>
                <w:rFonts w:eastAsia="Times New Roman" w:cs="Times New Roman"/>
                <w:color w:val="000000"/>
                <w:sz w:val="18"/>
                <w:szCs w:val="18"/>
                <w:lang w:eastAsia="es-CO"/>
              </w:rPr>
              <w:t xml:space="preserve">            3.542.501.244 </w:t>
            </w:r>
          </w:p>
        </w:tc>
      </w:tr>
      <w:tr w:rsidR="00E814BD" w:rsidRPr="0039091F" w14:paraId="3E760CEC" w14:textId="77777777" w:rsidTr="00684C05">
        <w:trPr>
          <w:trHeight w:val="300"/>
          <w:jc w:val="center"/>
        </w:trPr>
        <w:tc>
          <w:tcPr>
            <w:tcW w:w="787" w:type="pct"/>
            <w:noWrap/>
            <w:vAlign w:val="center"/>
            <w:hideMark/>
          </w:tcPr>
          <w:p w14:paraId="0353BF90" w14:textId="77777777" w:rsidR="00E814BD" w:rsidRPr="0039091F" w:rsidRDefault="00E814BD" w:rsidP="000A5389">
            <w:pPr>
              <w:spacing w:line="240" w:lineRule="auto"/>
              <w:jc w:val="center"/>
              <w:rPr>
                <w:rFonts w:eastAsia="Times New Roman" w:cs="Times New Roman"/>
                <w:color w:val="000000"/>
                <w:sz w:val="18"/>
                <w:szCs w:val="18"/>
                <w:lang w:eastAsia="es-CO"/>
              </w:rPr>
            </w:pPr>
            <w:r w:rsidRPr="0039091F">
              <w:rPr>
                <w:rFonts w:eastAsia="Times New Roman" w:cs="Times New Roman"/>
                <w:color w:val="000000"/>
                <w:sz w:val="18"/>
                <w:szCs w:val="18"/>
                <w:lang w:eastAsia="es-CO"/>
              </w:rPr>
              <w:t>831284</w:t>
            </w:r>
          </w:p>
        </w:tc>
        <w:tc>
          <w:tcPr>
            <w:tcW w:w="1770" w:type="pct"/>
            <w:noWrap/>
            <w:vAlign w:val="bottom"/>
            <w:hideMark/>
          </w:tcPr>
          <w:p w14:paraId="3EE8A013" w14:textId="77777777" w:rsidR="00E814BD" w:rsidRPr="0039091F" w:rsidRDefault="00E814BD" w:rsidP="000A5389">
            <w:pPr>
              <w:spacing w:line="240" w:lineRule="auto"/>
              <w:jc w:val="center"/>
              <w:rPr>
                <w:rFonts w:eastAsia="Times New Roman" w:cs="Times New Roman"/>
                <w:color w:val="000000"/>
                <w:sz w:val="18"/>
                <w:szCs w:val="18"/>
                <w:lang w:eastAsia="es-CO"/>
              </w:rPr>
            </w:pPr>
            <w:r w:rsidRPr="0039091F">
              <w:rPr>
                <w:rFonts w:eastAsia="Times New Roman" w:cs="Times New Roman"/>
                <w:color w:val="000000"/>
                <w:sz w:val="18"/>
                <w:szCs w:val="18"/>
                <w:lang w:eastAsia="es-CO"/>
              </w:rPr>
              <w:t>11001333603820150031100</w:t>
            </w:r>
          </w:p>
        </w:tc>
        <w:tc>
          <w:tcPr>
            <w:tcW w:w="1236" w:type="pct"/>
            <w:noWrap/>
            <w:vAlign w:val="bottom"/>
            <w:hideMark/>
          </w:tcPr>
          <w:p w14:paraId="7D51CB8C" w14:textId="77777777" w:rsidR="00E814BD" w:rsidRPr="0039091F" w:rsidRDefault="00E814BD" w:rsidP="000A5389">
            <w:pPr>
              <w:spacing w:line="240" w:lineRule="auto"/>
              <w:jc w:val="center"/>
              <w:rPr>
                <w:rFonts w:eastAsia="Times New Roman" w:cs="Times New Roman"/>
                <w:color w:val="000000"/>
                <w:sz w:val="18"/>
                <w:szCs w:val="18"/>
                <w:lang w:eastAsia="es-CO"/>
              </w:rPr>
            </w:pPr>
            <w:r w:rsidRPr="0039091F">
              <w:rPr>
                <w:rFonts w:eastAsia="Times New Roman" w:cs="Times New Roman"/>
                <w:color w:val="000000"/>
                <w:sz w:val="18"/>
                <w:szCs w:val="18"/>
                <w:lang w:eastAsia="es-CO"/>
              </w:rPr>
              <w:t>79114117</w:t>
            </w:r>
          </w:p>
        </w:tc>
        <w:tc>
          <w:tcPr>
            <w:tcW w:w="1208" w:type="pct"/>
            <w:noWrap/>
            <w:vAlign w:val="bottom"/>
            <w:hideMark/>
          </w:tcPr>
          <w:p w14:paraId="45FAB81D" w14:textId="77777777" w:rsidR="00E814BD" w:rsidRPr="0039091F" w:rsidRDefault="00E814BD" w:rsidP="000A5389">
            <w:pPr>
              <w:spacing w:line="240" w:lineRule="auto"/>
              <w:jc w:val="center"/>
              <w:rPr>
                <w:rFonts w:eastAsia="Times New Roman" w:cs="Times New Roman"/>
                <w:color w:val="000000"/>
                <w:sz w:val="18"/>
                <w:szCs w:val="18"/>
                <w:lang w:eastAsia="es-CO"/>
              </w:rPr>
            </w:pPr>
            <w:r w:rsidRPr="0039091F">
              <w:rPr>
                <w:rFonts w:eastAsia="Times New Roman" w:cs="Times New Roman"/>
                <w:color w:val="000000"/>
                <w:sz w:val="18"/>
                <w:szCs w:val="18"/>
                <w:lang w:eastAsia="es-CO"/>
              </w:rPr>
              <w:t xml:space="preserve">            2.746.599.109 </w:t>
            </w:r>
          </w:p>
        </w:tc>
      </w:tr>
      <w:tr w:rsidR="00E814BD" w:rsidRPr="0039091F" w14:paraId="6B16F2B2" w14:textId="77777777" w:rsidTr="00684C05">
        <w:trPr>
          <w:trHeight w:val="300"/>
          <w:jc w:val="center"/>
        </w:trPr>
        <w:tc>
          <w:tcPr>
            <w:tcW w:w="787" w:type="pct"/>
            <w:noWrap/>
            <w:vAlign w:val="center"/>
            <w:hideMark/>
          </w:tcPr>
          <w:p w14:paraId="51DA9226" w14:textId="77777777" w:rsidR="00E814BD" w:rsidRPr="0039091F" w:rsidRDefault="00E814BD" w:rsidP="000A5389">
            <w:pPr>
              <w:spacing w:line="240" w:lineRule="auto"/>
              <w:jc w:val="center"/>
              <w:rPr>
                <w:rFonts w:eastAsia="Times New Roman" w:cs="Times New Roman"/>
                <w:color w:val="000000"/>
                <w:sz w:val="18"/>
                <w:szCs w:val="18"/>
                <w:lang w:eastAsia="es-CO"/>
              </w:rPr>
            </w:pPr>
            <w:r w:rsidRPr="0039091F">
              <w:rPr>
                <w:rFonts w:eastAsia="Times New Roman" w:cs="Times New Roman"/>
                <w:color w:val="000000"/>
                <w:sz w:val="18"/>
                <w:szCs w:val="18"/>
                <w:lang w:eastAsia="es-CO"/>
              </w:rPr>
              <w:t>2361826</w:t>
            </w:r>
          </w:p>
        </w:tc>
        <w:tc>
          <w:tcPr>
            <w:tcW w:w="1770" w:type="pct"/>
            <w:noWrap/>
            <w:vAlign w:val="bottom"/>
            <w:hideMark/>
          </w:tcPr>
          <w:p w14:paraId="4925A288" w14:textId="77777777" w:rsidR="00E814BD" w:rsidRPr="0039091F" w:rsidRDefault="00E814BD" w:rsidP="000A5389">
            <w:pPr>
              <w:spacing w:line="240" w:lineRule="auto"/>
              <w:jc w:val="center"/>
              <w:rPr>
                <w:rFonts w:eastAsia="Times New Roman" w:cs="Times New Roman"/>
                <w:color w:val="000000"/>
                <w:sz w:val="18"/>
                <w:szCs w:val="18"/>
                <w:lang w:eastAsia="es-CO"/>
              </w:rPr>
            </w:pPr>
            <w:r w:rsidRPr="0039091F">
              <w:rPr>
                <w:rFonts w:eastAsia="Times New Roman" w:cs="Times New Roman"/>
                <w:color w:val="000000"/>
                <w:sz w:val="18"/>
                <w:szCs w:val="18"/>
                <w:lang w:eastAsia="es-CO"/>
              </w:rPr>
              <w:t>70001333300820220009500</w:t>
            </w:r>
          </w:p>
        </w:tc>
        <w:tc>
          <w:tcPr>
            <w:tcW w:w="1236" w:type="pct"/>
            <w:noWrap/>
            <w:vAlign w:val="bottom"/>
            <w:hideMark/>
          </w:tcPr>
          <w:p w14:paraId="43D9165F" w14:textId="77777777" w:rsidR="00E814BD" w:rsidRPr="0039091F" w:rsidRDefault="00E814BD" w:rsidP="000A5389">
            <w:pPr>
              <w:spacing w:line="240" w:lineRule="auto"/>
              <w:jc w:val="center"/>
              <w:rPr>
                <w:rFonts w:eastAsia="Times New Roman" w:cs="Times New Roman"/>
                <w:color w:val="000000"/>
                <w:sz w:val="18"/>
                <w:szCs w:val="18"/>
                <w:lang w:eastAsia="es-CO"/>
              </w:rPr>
            </w:pPr>
            <w:r w:rsidRPr="0039091F">
              <w:rPr>
                <w:rFonts w:eastAsia="Times New Roman" w:cs="Times New Roman"/>
                <w:color w:val="000000"/>
                <w:sz w:val="18"/>
                <w:szCs w:val="18"/>
                <w:lang w:eastAsia="es-CO"/>
              </w:rPr>
              <w:t>92545605</w:t>
            </w:r>
          </w:p>
        </w:tc>
        <w:tc>
          <w:tcPr>
            <w:tcW w:w="1208" w:type="pct"/>
            <w:noWrap/>
            <w:vAlign w:val="bottom"/>
            <w:hideMark/>
          </w:tcPr>
          <w:p w14:paraId="7A3C019E" w14:textId="77777777" w:rsidR="00E814BD" w:rsidRPr="0039091F" w:rsidRDefault="00E814BD" w:rsidP="000A5389">
            <w:pPr>
              <w:spacing w:line="240" w:lineRule="auto"/>
              <w:jc w:val="center"/>
              <w:rPr>
                <w:rFonts w:eastAsia="Times New Roman" w:cs="Times New Roman"/>
                <w:color w:val="000000"/>
                <w:sz w:val="18"/>
                <w:szCs w:val="18"/>
                <w:lang w:eastAsia="es-CO"/>
              </w:rPr>
            </w:pPr>
            <w:r w:rsidRPr="0039091F">
              <w:rPr>
                <w:rFonts w:eastAsia="Times New Roman" w:cs="Times New Roman"/>
                <w:color w:val="000000"/>
                <w:sz w:val="18"/>
                <w:szCs w:val="18"/>
                <w:lang w:eastAsia="es-CO"/>
              </w:rPr>
              <w:t xml:space="preserve">            2.678.895.499 </w:t>
            </w:r>
          </w:p>
        </w:tc>
      </w:tr>
      <w:tr w:rsidR="00E814BD" w:rsidRPr="0039091F" w14:paraId="080A8E5E" w14:textId="77777777" w:rsidTr="00684C05">
        <w:trPr>
          <w:trHeight w:val="300"/>
          <w:jc w:val="center"/>
        </w:trPr>
        <w:tc>
          <w:tcPr>
            <w:tcW w:w="787" w:type="pct"/>
            <w:noWrap/>
            <w:vAlign w:val="center"/>
            <w:hideMark/>
          </w:tcPr>
          <w:p w14:paraId="6A6990DF" w14:textId="77777777" w:rsidR="00E814BD" w:rsidRPr="0039091F" w:rsidRDefault="00E814BD" w:rsidP="000A5389">
            <w:pPr>
              <w:spacing w:line="240" w:lineRule="auto"/>
              <w:jc w:val="center"/>
              <w:rPr>
                <w:rFonts w:eastAsia="Times New Roman" w:cs="Times New Roman"/>
                <w:color w:val="000000"/>
                <w:sz w:val="18"/>
                <w:szCs w:val="18"/>
                <w:lang w:eastAsia="es-CO"/>
              </w:rPr>
            </w:pPr>
            <w:r w:rsidRPr="0039091F">
              <w:rPr>
                <w:rFonts w:eastAsia="Times New Roman" w:cs="Times New Roman"/>
                <w:color w:val="000000"/>
                <w:sz w:val="18"/>
                <w:szCs w:val="18"/>
                <w:lang w:eastAsia="es-CO"/>
              </w:rPr>
              <w:t>2154921</w:t>
            </w:r>
          </w:p>
        </w:tc>
        <w:tc>
          <w:tcPr>
            <w:tcW w:w="1770" w:type="pct"/>
            <w:noWrap/>
            <w:vAlign w:val="bottom"/>
            <w:hideMark/>
          </w:tcPr>
          <w:p w14:paraId="6EE79EBD" w14:textId="77777777" w:rsidR="00E814BD" w:rsidRPr="0039091F" w:rsidRDefault="00E814BD" w:rsidP="000A5389">
            <w:pPr>
              <w:spacing w:line="240" w:lineRule="auto"/>
              <w:jc w:val="center"/>
              <w:rPr>
                <w:rFonts w:eastAsia="Times New Roman" w:cs="Times New Roman"/>
                <w:color w:val="000000"/>
                <w:sz w:val="18"/>
                <w:szCs w:val="18"/>
                <w:lang w:eastAsia="es-CO"/>
              </w:rPr>
            </w:pPr>
            <w:r w:rsidRPr="0039091F">
              <w:rPr>
                <w:rFonts w:eastAsia="Times New Roman" w:cs="Times New Roman"/>
                <w:color w:val="000000"/>
                <w:sz w:val="18"/>
                <w:szCs w:val="18"/>
                <w:lang w:eastAsia="es-CO"/>
              </w:rPr>
              <w:t>68001233100020140076500</w:t>
            </w:r>
          </w:p>
        </w:tc>
        <w:tc>
          <w:tcPr>
            <w:tcW w:w="1236" w:type="pct"/>
            <w:noWrap/>
            <w:vAlign w:val="bottom"/>
            <w:hideMark/>
          </w:tcPr>
          <w:p w14:paraId="46C1AFCC" w14:textId="77777777" w:rsidR="00E814BD" w:rsidRPr="0039091F" w:rsidRDefault="00E814BD" w:rsidP="000A5389">
            <w:pPr>
              <w:spacing w:line="240" w:lineRule="auto"/>
              <w:jc w:val="center"/>
              <w:rPr>
                <w:rFonts w:eastAsia="Times New Roman" w:cs="Times New Roman"/>
                <w:color w:val="000000"/>
                <w:sz w:val="18"/>
                <w:szCs w:val="18"/>
                <w:lang w:eastAsia="es-CO"/>
              </w:rPr>
            </w:pPr>
            <w:r w:rsidRPr="0039091F">
              <w:rPr>
                <w:rFonts w:eastAsia="Times New Roman" w:cs="Times New Roman"/>
                <w:color w:val="000000"/>
                <w:sz w:val="18"/>
                <w:szCs w:val="18"/>
                <w:lang w:eastAsia="es-CO"/>
              </w:rPr>
              <w:t>5777856</w:t>
            </w:r>
          </w:p>
        </w:tc>
        <w:tc>
          <w:tcPr>
            <w:tcW w:w="1208" w:type="pct"/>
            <w:noWrap/>
            <w:vAlign w:val="bottom"/>
            <w:hideMark/>
          </w:tcPr>
          <w:p w14:paraId="0F81F7C2" w14:textId="77777777" w:rsidR="00E814BD" w:rsidRPr="0039091F" w:rsidRDefault="00E814BD" w:rsidP="000A5389">
            <w:pPr>
              <w:spacing w:line="240" w:lineRule="auto"/>
              <w:jc w:val="center"/>
              <w:rPr>
                <w:rFonts w:eastAsia="Times New Roman" w:cs="Times New Roman"/>
                <w:color w:val="000000"/>
                <w:sz w:val="18"/>
                <w:szCs w:val="18"/>
                <w:lang w:eastAsia="es-CO"/>
              </w:rPr>
            </w:pPr>
            <w:r w:rsidRPr="0039091F">
              <w:rPr>
                <w:rFonts w:eastAsia="Times New Roman" w:cs="Times New Roman"/>
                <w:color w:val="000000"/>
                <w:sz w:val="18"/>
                <w:szCs w:val="18"/>
                <w:lang w:eastAsia="es-CO"/>
              </w:rPr>
              <w:t xml:space="preserve">            2.622.718.999 </w:t>
            </w:r>
          </w:p>
        </w:tc>
      </w:tr>
      <w:tr w:rsidR="00E814BD" w:rsidRPr="0039091F" w14:paraId="3F242F05" w14:textId="77777777" w:rsidTr="00684C05">
        <w:trPr>
          <w:trHeight w:val="300"/>
          <w:jc w:val="center"/>
        </w:trPr>
        <w:tc>
          <w:tcPr>
            <w:tcW w:w="787" w:type="pct"/>
            <w:noWrap/>
            <w:vAlign w:val="center"/>
            <w:hideMark/>
          </w:tcPr>
          <w:p w14:paraId="18046B2A" w14:textId="77777777" w:rsidR="00E814BD" w:rsidRPr="0039091F" w:rsidRDefault="00E814BD" w:rsidP="000A5389">
            <w:pPr>
              <w:spacing w:line="240" w:lineRule="auto"/>
              <w:jc w:val="center"/>
              <w:rPr>
                <w:rFonts w:eastAsia="Times New Roman" w:cs="Times New Roman"/>
                <w:color w:val="000000"/>
                <w:sz w:val="18"/>
                <w:szCs w:val="18"/>
                <w:lang w:eastAsia="es-CO"/>
              </w:rPr>
            </w:pPr>
            <w:r w:rsidRPr="0039091F">
              <w:rPr>
                <w:rFonts w:eastAsia="Times New Roman" w:cs="Times New Roman"/>
                <w:color w:val="000000"/>
                <w:sz w:val="18"/>
                <w:szCs w:val="18"/>
                <w:lang w:eastAsia="es-CO"/>
              </w:rPr>
              <w:t>2114791</w:t>
            </w:r>
          </w:p>
        </w:tc>
        <w:tc>
          <w:tcPr>
            <w:tcW w:w="1770" w:type="pct"/>
            <w:noWrap/>
            <w:vAlign w:val="bottom"/>
            <w:hideMark/>
          </w:tcPr>
          <w:p w14:paraId="7C8FFAE1" w14:textId="77777777" w:rsidR="00E814BD" w:rsidRPr="0039091F" w:rsidRDefault="00E814BD" w:rsidP="000A5389">
            <w:pPr>
              <w:spacing w:line="240" w:lineRule="auto"/>
              <w:jc w:val="center"/>
              <w:rPr>
                <w:rFonts w:eastAsia="Times New Roman" w:cs="Times New Roman"/>
                <w:color w:val="000000"/>
                <w:sz w:val="18"/>
                <w:szCs w:val="18"/>
                <w:lang w:eastAsia="es-CO"/>
              </w:rPr>
            </w:pPr>
            <w:r w:rsidRPr="0039091F">
              <w:rPr>
                <w:rFonts w:eastAsia="Times New Roman" w:cs="Times New Roman"/>
                <w:color w:val="000000"/>
                <w:sz w:val="18"/>
                <w:szCs w:val="18"/>
                <w:lang w:eastAsia="es-CO"/>
              </w:rPr>
              <w:t>47001333300420190036100</w:t>
            </w:r>
          </w:p>
        </w:tc>
        <w:tc>
          <w:tcPr>
            <w:tcW w:w="1236" w:type="pct"/>
            <w:noWrap/>
            <w:vAlign w:val="bottom"/>
            <w:hideMark/>
          </w:tcPr>
          <w:p w14:paraId="3A9874A9" w14:textId="77777777" w:rsidR="00E814BD" w:rsidRPr="0039091F" w:rsidRDefault="00E814BD" w:rsidP="000A5389">
            <w:pPr>
              <w:spacing w:line="240" w:lineRule="auto"/>
              <w:jc w:val="center"/>
              <w:rPr>
                <w:rFonts w:eastAsia="Times New Roman" w:cs="Times New Roman"/>
                <w:color w:val="000000"/>
                <w:sz w:val="18"/>
                <w:szCs w:val="18"/>
                <w:lang w:eastAsia="es-CO"/>
              </w:rPr>
            </w:pPr>
            <w:r w:rsidRPr="0039091F">
              <w:rPr>
                <w:rFonts w:eastAsia="Times New Roman" w:cs="Times New Roman"/>
                <w:color w:val="000000"/>
                <w:sz w:val="18"/>
                <w:szCs w:val="18"/>
                <w:lang w:eastAsia="es-CO"/>
              </w:rPr>
              <w:t>12623848</w:t>
            </w:r>
          </w:p>
        </w:tc>
        <w:tc>
          <w:tcPr>
            <w:tcW w:w="1208" w:type="pct"/>
            <w:noWrap/>
            <w:vAlign w:val="bottom"/>
            <w:hideMark/>
          </w:tcPr>
          <w:p w14:paraId="05C05908" w14:textId="77777777" w:rsidR="00E814BD" w:rsidRPr="0039091F" w:rsidRDefault="00E814BD" w:rsidP="000A5389">
            <w:pPr>
              <w:spacing w:line="240" w:lineRule="auto"/>
              <w:jc w:val="center"/>
              <w:rPr>
                <w:rFonts w:eastAsia="Times New Roman" w:cs="Times New Roman"/>
                <w:color w:val="000000"/>
                <w:sz w:val="18"/>
                <w:szCs w:val="18"/>
                <w:lang w:eastAsia="es-CO"/>
              </w:rPr>
            </w:pPr>
            <w:r w:rsidRPr="0039091F">
              <w:rPr>
                <w:rFonts w:eastAsia="Times New Roman" w:cs="Times New Roman"/>
                <w:color w:val="000000"/>
                <w:sz w:val="18"/>
                <w:szCs w:val="18"/>
                <w:lang w:eastAsia="es-CO"/>
              </w:rPr>
              <w:t xml:space="preserve">            2.362.071.578 </w:t>
            </w:r>
          </w:p>
        </w:tc>
      </w:tr>
      <w:tr w:rsidR="00E814BD" w:rsidRPr="0039091F" w14:paraId="0235C72C" w14:textId="77777777" w:rsidTr="00684C05">
        <w:trPr>
          <w:trHeight w:val="300"/>
          <w:jc w:val="center"/>
        </w:trPr>
        <w:tc>
          <w:tcPr>
            <w:tcW w:w="787" w:type="pct"/>
            <w:noWrap/>
            <w:vAlign w:val="center"/>
            <w:hideMark/>
          </w:tcPr>
          <w:p w14:paraId="6A2CA59C" w14:textId="77777777" w:rsidR="00E814BD" w:rsidRPr="0039091F" w:rsidRDefault="00E814BD" w:rsidP="000A5389">
            <w:pPr>
              <w:spacing w:line="240" w:lineRule="auto"/>
              <w:jc w:val="center"/>
              <w:rPr>
                <w:rFonts w:eastAsia="Times New Roman" w:cs="Times New Roman"/>
                <w:color w:val="000000"/>
                <w:sz w:val="18"/>
                <w:szCs w:val="18"/>
                <w:lang w:eastAsia="es-CO"/>
              </w:rPr>
            </w:pPr>
            <w:r w:rsidRPr="0039091F">
              <w:rPr>
                <w:rFonts w:eastAsia="Times New Roman" w:cs="Times New Roman"/>
                <w:color w:val="000000"/>
                <w:sz w:val="18"/>
                <w:szCs w:val="18"/>
                <w:lang w:eastAsia="es-CO"/>
              </w:rPr>
              <w:t>2080020</w:t>
            </w:r>
          </w:p>
        </w:tc>
        <w:tc>
          <w:tcPr>
            <w:tcW w:w="1770" w:type="pct"/>
            <w:noWrap/>
            <w:vAlign w:val="bottom"/>
            <w:hideMark/>
          </w:tcPr>
          <w:p w14:paraId="4DDA46DC" w14:textId="77777777" w:rsidR="00E814BD" w:rsidRPr="0039091F" w:rsidRDefault="00E814BD" w:rsidP="000A5389">
            <w:pPr>
              <w:spacing w:line="240" w:lineRule="auto"/>
              <w:jc w:val="center"/>
              <w:rPr>
                <w:rFonts w:eastAsia="Times New Roman" w:cs="Times New Roman"/>
                <w:color w:val="000000"/>
                <w:sz w:val="18"/>
                <w:szCs w:val="18"/>
                <w:lang w:eastAsia="es-CO"/>
              </w:rPr>
            </w:pPr>
            <w:r w:rsidRPr="0039091F">
              <w:rPr>
                <w:rFonts w:eastAsia="Times New Roman" w:cs="Times New Roman"/>
                <w:color w:val="000000"/>
                <w:sz w:val="18"/>
                <w:szCs w:val="18"/>
                <w:lang w:eastAsia="es-CO"/>
              </w:rPr>
              <w:t>25000233600020180117300</w:t>
            </w:r>
          </w:p>
        </w:tc>
        <w:tc>
          <w:tcPr>
            <w:tcW w:w="1236" w:type="pct"/>
            <w:noWrap/>
            <w:vAlign w:val="bottom"/>
            <w:hideMark/>
          </w:tcPr>
          <w:p w14:paraId="49DD430F" w14:textId="77777777" w:rsidR="00E814BD" w:rsidRPr="0039091F" w:rsidRDefault="00E814BD" w:rsidP="000A5389">
            <w:pPr>
              <w:spacing w:line="240" w:lineRule="auto"/>
              <w:jc w:val="center"/>
              <w:rPr>
                <w:rFonts w:eastAsia="Times New Roman" w:cs="Times New Roman"/>
                <w:color w:val="000000"/>
                <w:sz w:val="18"/>
                <w:szCs w:val="18"/>
                <w:lang w:eastAsia="es-CO"/>
              </w:rPr>
            </w:pPr>
            <w:r w:rsidRPr="0039091F">
              <w:rPr>
                <w:rFonts w:eastAsia="Times New Roman" w:cs="Times New Roman"/>
                <w:color w:val="000000"/>
                <w:sz w:val="18"/>
                <w:szCs w:val="18"/>
                <w:lang w:eastAsia="es-CO"/>
              </w:rPr>
              <w:t>1014198024</w:t>
            </w:r>
          </w:p>
        </w:tc>
        <w:tc>
          <w:tcPr>
            <w:tcW w:w="1208" w:type="pct"/>
            <w:noWrap/>
            <w:vAlign w:val="bottom"/>
            <w:hideMark/>
          </w:tcPr>
          <w:p w14:paraId="486267D2" w14:textId="77777777" w:rsidR="00E814BD" w:rsidRPr="0039091F" w:rsidRDefault="00E814BD" w:rsidP="000A5389">
            <w:pPr>
              <w:spacing w:line="240" w:lineRule="auto"/>
              <w:jc w:val="center"/>
              <w:rPr>
                <w:rFonts w:eastAsia="Times New Roman" w:cs="Times New Roman"/>
                <w:color w:val="000000"/>
                <w:sz w:val="18"/>
                <w:szCs w:val="18"/>
                <w:lang w:eastAsia="es-CO"/>
              </w:rPr>
            </w:pPr>
            <w:r w:rsidRPr="0039091F">
              <w:rPr>
                <w:rFonts w:eastAsia="Times New Roman" w:cs="Times New Roman"/>
                <w:color w:val="000000"/>
                <w:sz w:val="18"/>
                <w:szCs w:val="18"/>
                <w:lang w:eastAsia="es-CO"/>
              </w:rPr>
              <w:t xml:space="preserve">            2.244.647.491 </w:t>
            </w:r>
          </w:p>
        </w:tc>
      </w:tr>
      <w:tr w:rsidR="00E814BD" w:rsidRPr="0039091F" w14:paraId="71664A73" w14:textId="77777777" w:rsidTr="00684C05">
        <w:trPr>
          <w:trHeight w:val="300"/>
          <w:jc w:val="center"/>
        </w:trPr>
        <w:tc>
          <w:tcPr>
            <w:tcW w:w="787" w:type="pct"/>
            <w:noWrap/>
            <w:vAlign w:val="center"/>
            <w:hideMark/>
          </w:tcPr>
          <w:p w14:paraId="64269B54" w14:textId="77777777" w:rsidR="00E814BD" w:rsidRPr="0039091F" w:rsidRDefault="00E814BD" w:rsidP="000A5389">
            <w:pPr>
              <w:spacing w:line="240" w:lineRule="auto"/>
              <w:jc w:val="center"/>
              <w:rPr>
                <w:rFonts w:eastAsia="Times New Roman" w:cs="Times New Roman"/>
                <w:color w:val="000000"/>
                <w:sz w:val="18"/>
                <w:szCs w:val="18"/>
                <w:lang w:eastAsia="es-CO"/>
              </w:rPr>
            </w:pPr>
            <w:r w:rsidRPr="0039091F">
              <w:rPr>
                <w:rFonts w:eastAsia="Times New Roman" w:cs="Times New Roman"/>
                <w:color w:val="000000"/>
                <w:sz w:val="18"/>
                <w:szCs w:val="18"/>
                <w:lang w:eastAsia="es-CO"/>
              </w:rPr>
              <w:t>2627220</w:t>
            </w:r>
          </w:p>
        </w:tc>
        <w:tc>
          <w:tcPr>
            <w:tcW w:w="1770" w:type="pct"/>
            <w:noWrap/>
            <w:vAlign w:val="bottom"/>
            <w:hideMark/>
          </w:tcPr>
          <w:p w14:paraId="3821D623" w14:textId="77777777" w:rsidR="00E814BD" w:rsidRPr="0039091F" w:rsidRDefault="00E814BD" w:rsidP="000A5389">
            <w:pPr>
              <w:spacing w:line="240" w:lineRule="auto"/>
              <w:jc w:val="center"/>
              <w:rPr>
                <w:rFonts w:eastAsia="Times New Roman" w:cs="Times New Roman"/>
                <w:color w:val="000000"/>
                <w:sz w:val="18"/>
                <w:szCs w:val="18"/>
                <w:lang w:eastAsia="es-CO"/>
              </w:rPr>
            </w:pPr>
            <w:r w:rsidRPr="0039091F">
              <w:rPr>
                <w:rFonts w:eastAsia="Times New Roman" w:cs="Times New Roman"/>
                <w:color w:val="000000"/>
                <w:sz w:val="18"/>
                <w:szCs w:val="18"/>
                <w:lang w:eastAsia="es-CO"/>
              </w:rPr>
              <w:t>05001333301820240024500</w:t>
            </w:r>
          </w:p>
        </w:tc>
        <w:tc>
          <w:tcPr>
            <w:tcW w:w="1236" w:type="pct"/>
            <w:noWrap/>
            <w:vAlign w:val="bottom"/>
            <w:hideMark/>
          </w:tcPr>
          <w:p w14:paraId="0520C76C" w14:textId="77777777" w:rsidR="00E814BD" w:rsidRPr="0039091F" w:rsidRDefault="00E814BD" w:rsidP="000A5389">
            <w:pPr>
              <w:spacing w:line="240" w:lineRule="auto"/>
              <w:jc w:val="center"/>
              <w:rPr>
                <w:rFonts w:eastAsia="Times New Roman" w:cs="Times New Roman"/>
                <w:color w:val="000000"/>
                <w:sz w:val="18"/>
                <w:szCs w:val="18"/>
                <w:lang w:eastAsia="es-CO"/>
              </w:rPr>
            </w:pPr>
            <w:r w:rsidRPr="0039091F">
              <w:rPr>
                <w:rFonts w:eastAsia="Times New Roman" w:cs="Times New Roman"/>
                <w:color w:val="000000"/>
                <w:sz w:val="18"/>
                <w:szCs w:val="18"/>
                <w:lang w:eastAsia="es-CO"/>
              </w:rPr>
              <w:t>1040800647</w:t>
            </w:r>
          </w:p>
        </w:tc>
        <w:tc>
          <w:tcPr>
            <w:tcW w:w="1208" w:type="pct"/>
            <w:noWrap/>
            <w:vAlign w:val="bottom"/>
            <w:hideMark/>
          </w:tcPr>
          <w:p w14:paraId="558F3161" w14:textId="77777777" w:rsidR="00E814BD" w:rsidRPr="0039091F" w:rsidRDefault="00E814BD" w:rsidP="000A5389">
            <w:pPr>
              <w:spacing w:line="240" w:lineRule="auto"/>
              <w:jc w:val="center"/>
              <w:rPr>
                <w:rFonts w:eastAsia="Times New Roman" w:cs="Times New Roman"/>
                <w:color w:val="000000"/>
                <w:sz w:val="18"/>
                <w:szCs w:val="18"/>
                <w:lang w:eastAsia="es-CO"/>
              </w:rPr>
            </w:pPr>
            <w:r w:rsidRPr="0039091F">
              <w:rPr>
                <w:rFonts w:eastAsia="Times New Roman" w:cs="Times New Roman"/>
                <w:color w:val="000000"/>
                <w:sz w:val="18"/>
                <w:szCs w:val="18"/>
                <w:lang w:eastAsia="es-CO"/>
              </w:rPr>
              <w:t xml:space="preserve">            1.800.147.777 </w:t>
            </w:r>
          </w:p>
        </w:tc>
      </w:tr>
      <w:tr w:rsidR="00E814BD" w:rsidRPr="0039091F" w14:paraId="27583109" w14:textId="77777777" w:rsidTr="00684C05">
        <w:trPr>
          <w:trHeight w:val="300"/>
          <w:jc w:val="center"/>
        </w:trPr>
        <w:tc>
          <w:tcPr>
            <w:tcW w:w="787" w:type="pct"/>
            <w:noWrap/>
            <w:vAlign w:val="center"/>
            <w:hideMark/>
          </w:tcPr>
          <w:p w14:paraId="7C431369" w14:textId="77777777" w:rsidR="00E814BD" w:rsidRPr="0039091F" w:rsidRDefault="00E814BD" w:rsidP="000A5389">
            <w:pPr>
              <w:spacing w:line="240" w:lineRule="auto"/>
              <w:jc w:val="center"/>
              <w:rPr>
                <w:rFonts w:eastAsia="Times New Roman" w:cs="Times New Roman"/>
                <w:color w:val="000000"/>
                <w:sz w:val="18"/>
                <w:szCs w:val="18"/>
                <w:lang w:eastAsia="es-CO"/>
              </w:rPr>
            </w:pPr>
            <w:r w:rsidRPr="0039091F">
              <w:rPr>
                <w:rFonts w:eastAsia="Times New Roman" w:cs="Times New Roman"/>
                <w:color w:val="000000"/>
                <w:sz w:val="18"/>
                <w:szCs w:val="18"/>
                <w:lang w:eastAsia="es-CO"/>
              </w:rPr>
              <w:t>2560168</w:t>
            </w:r>
          </w:p>
        </w:tc>
        <w:tc>
          <w:tcPr>
            <w:tcW w:w="1770" w:type="pct"/>
            <w:noWrap/>
            <w:vAlign w:val="bottom"/>
            <w:hideMark/>
          </w:tcPr>
          <w:p w14:paraId="344CAA3E" w14:textId="77777777" w:rsidR="00E814BD" w:rsidRPr="0039091F" w:rsidRDefault="00E814BD" w:rsidP="000A5389">
            <w:pPr>
              <w:spacing w:line="240" w:lineRule="auto"/>
              <w:jc w:val="center"/>
              <w:rPr>
                <w:rFonts w:eastAsia="Times New Roman" w:cs="Times New Roman"/>
                <w:color w:val="000000"/>
                <w:sz w:val="18"/>
                <w:szCs w:val="18"/>
                <w:lang w:eastAsia="es-CO"/>
              </w:rPr>
            </w:pPr>
            <w:r w:rsidRPr="0039091F">
              <w:rPr>
                <w:rFonts w:eastAsia="Times New Roman" w:cs="Times New Roman"/>
                <w:color w:val="000000"/>
                <w:sz w:val="18"/>
                <w:szCs w:val="18"/>
                <w:lang w:eastAsia="es-CO"/>
              </w:rPr>
              <w:t>11001334306120240001500</w:t>
            </w:r>
          </w:p>
        </w:tc>
        <w:tc>
          <w:tcPr>
            <w:tcW w:w="1236" w:type="pct"/>
            <w:noWrap/>
            <w:vAlign w:val="bottom"/>
            <w:hideMark/>
          </w:tcPr>
          <w:p w14:paraId="7C2BD32D" w14:textId="77777777" w:rsidR="00E814BD" w:rsidRPr="0039091F" w:rsidRDefault="00E814BD" w:rsidP="000A5389">
            <w:pPr>
              <w:spacing w:line="240" w:lineRule="auto"/>
              <w:jc w:val="center"/>
              <w:rPr>
                <w:rFonts w:eastAsia="Times New Roman" w:cs="Times New Roman"/>
                <w:color w:val="000000"/>
                <w:sz w:val="18"/>
                <w:szCs w:val="18"/>
                <w:lang w:eastAsia="es-CO"/>
              </w:rPr>
            </w:pPr>
            <w:r w:rsidRPr="0039091F">
              <w:rPr>
                <w:rFonts w:eastAsia="Times New Roman" w:cs="Times New Roman"/>
                <w:color w:val="000000"/>
                <w:sz w:val="18"/>
                <w:szCs w:val="18"/>
                <w:lang w:eastAsia="es-CO"/>
              </w:rPr>
              <w:t>32002595</w:t>
            </w:r>
          </w:p>
        </w:tc>
        <w:tc>
          <w:tcPr>
            <w:tcW w:w="1208" w:type="pct"/>
            <w:noWrap/>
            <w:vAlign w:val="bottom"/>
            <w:hideMark/>
          </w:tcPr>
          <w:p w14:paraId="38517091" w14:textId="77777777" w:rsidR="00E814BD" w:rsidRPr="0039091F" w:rsidRDefault="00E814BD" w:rsidP="000A5389">
            <w:pPr>
              <w:spacing w:line="240" w:lineRule="auto"/>
              <w:jc w:val="center"/>
              <w:rPr>
                <w:rFonts w:eastAsia="Times New Roman" w:cs="Times New Roman"/>
                <w:color w:val="000000"/>
                <w:sz w:val="18"/>
                <w:szCs w:val="18"/>
                <w:lang w:eastAsia="es-CO"/>
              </w:rPr>
            </w:pPr>
            <w:r w:rsidRPr="0039091F">
              <w:rPr>
                <w:rFonts w:eastAsia="Times New Roman" w:cs="Times New Roman"/>
                <w:color w:val="000000"/>
                <w:sz w:val="18"/>
                <w:szCs w:val="18"/>
                <w:lang w:eastAsia="es-CO"/>
              </w:rPr>
              <w:t xml:space="preserve">            1.581.561.349 </w:t>
            </w:r>
          </w:p>
        </w:tc>
      </w:tr>
      <w:tr w:rsidR="00E814BD" w:rsidRPr="0039091F" w14:paraId="1886C96D" w14:textId="77777777" w:rsidTr="00684C05">
        <w:trPr>
          <w:trHeight w:val="300"/>
          <w:jc w:val="center"/>
        </w:trPr>
        <w:tc>
          <w:tcPr>
            <w:tcW w:w="787" w:type="pct"/>
            <w:noWrap/>
            <w:vAlign w:val="center"/>
            <w:hideMark/>
          </w:tcPr>
          <w:p w14:paraId="7D5DEF3F" w14:textId="77777777" w:rsidR="00E814BD" w:rsidRPr="0039091F" w:rsidRDefault="00E814BD" w:rsidP="000A5389">
            <w:pPr>
              <w:spacing w:line="240" w:lineRule="auto"/>
              <w:jc w:val="center"/>
              <w:rPr>
                <w:rFonts w:eastAsia="Times New Roman" w:cs="Times New Roman"/>
                <w:color w:val="000000"/>
                <w:sz w:val="18"/>
                <w:szCs w:val="18"/>
                <w:lang w:eastAsia="es-CO"/>
              </w:rPr>
            </w:pPr>
            <w:r w:rsidRPr="0039091F">
              <w:rPr>
                <w:rFonts w:eastAsia="Times New Roman" w:cs="Times New Roman"/>
                <w:color w:val="000000"/>
                <w:sz w:val="18"/>
                <w:szCs w:val="18"/>
                <w:lang w:eastAsia="es-CO"/>
              </w:rPr>
              <w:t>188425</w:t>
            </w:r>
          </w:p>
        </w:tc>
        <w:tc>
          <w:tcPr>
            <w:tcW w:w="1770" w:type="pct"/>
            <w:noWrap/>
            <w:vAlign w:val="bottom"/>
            <w:hideMark/>
          </w:tcPr>
          <w:p w14:paraId="17B040F2" w14:textId="77777777" w:rsidR="00E814BD" w:rsidRPr="0039091F" w:rsidRDefault="00E814BD" w:rsidP="000A5389">
            <w:pPr>
              <w:spacing w:line="240" w:lineRule="auto"/>
              <w:jc w:val="center"/>
              <w:rPr>
                <w:rFonts w:eastAsia="Times New Roman" w:cs="Times New Roman"/>
                <w:color w:val="000000"/>
                <w:sz w:val="18"/>
                <w:szCs w:val="18"/>
                <w:lang w:eastAsia="es-CO"/>
              </w:rPr>
            </w:pPr>
            <w:r w:rsidRPr="0039091F">
              <w:rPr>
                <w:rFonts w:eastAsia="Times New Roman" w:cs="Times New Roman"/>
                <w:color w:val="000000"/>
                <w:sz w:val="18"/>
                <w:szCs w:val="18"/>
                <w:lang w:eastAsia="es-CO"/>
              </w:rPr>
              <w:t>11001333103720090024800</w:t>
            </w:r>
          </w:p>
        </w:tc>
        <w:tc>
          <w:tcPr>
            <w:tcW w:w="1236" w:type="pct"/>
            <w:noWrap/>
            <w:vAlign w:val="bottom"/>
            <w:hideMark/>
          </w:tcPr>
          <w:p w14:paraId="5FB83D88" w14:textId="77777777" w:rsidR="00E814BD" w:rsidRPr="0039091F" w:rsidRDefault="00E814BD" w:rsidP="000A5389">
            <w:pPr>
              <w:spacing w:line="240" w:lineRule="auto"/>
              <w:jc w:val="center"/>
              <w:rPr>
                <w:rFonts w:eastAsia="Times New Roman" w:cs="Times New Roman"/>
                <w:color w:val="000000"/>
                <w:sz w:val="18"/>
                <w:szCs w:val="18"/>
                <w:lang w:eastAsia="es-CO"/>
              </w:rPr>
            </w:pPr>
            <w:r w:rsidRPr="0039091F">
              <w:rPr>
                <w:rFonts w:eastAsia="Times New Roman" w:cs="Times New Roman"/>
                <w:color w:val="000000"/>
                <w:sz w:val="18"/>
                <w:szCs w:val="18"/>
                <w:lang w:eastAsia="es-CO"/>
              </w:rPr>
              <w:t>7061958</w:t>
            </w:r>
          </w:p>
        </w:tc>
        <w:tc>
          <w:tcPr>
            <w:tcW w:w="1208" w:type="pct"/>
            <w:noWrap/>
            <w:vAlign w:val="bottom"/>
            <w:hideMark/>
          </w:tcPr>
          <w:p w14:paraId="3A1D7E65" w14:textId="77777777" w:rsidR="00E814BD" w:rsidRPr="0039091F" w:rsidRDefault="00E814BD" w:rsidP="000A5389">
            <w:pPr>
              <w:spacing w:line="240" w:lineRule="auto"/>
              <w:jc w:val="center"/>
              <w:rPr>
                <w:rFonts w:eastAsia="Times New Roman" w:cs="Times New Roman"/>
                <w:color w:val="000000"/>
                <w:sz w:val="18"/>
                <w:szCs w:val="18"/>
                <w:lang w:eastAsia="es-CO"/>
              </w:rPr>
            </w:pPr>
            <w:r w:rsidRPr="0039091F">
              <w:rPr>
                <w:rFonts w:eastAsia="Times New Roman" w:cs="Times New Roman"/>
                <w:color w:val="000000"/>
                <w:sz w:val="18"/>
                <w:szCs w:val="18"/>
                <w:lang w:eastAsia="es-CO"/>
              </w:rPr>
              <w:t xml:space="preserve">            1.565.850.000 </w:t>
            </w:r>
          </w:p>
        </w:tc>
      </w:tr>
      <w:tr w:rsidR="00E814BD" w:rsidRPr="0039091F" w14:paraId="4E2A0F4E" w14:textId="77777777" w:rsidTr="00684C05">
        <w:trPr>
          <w:trHeight w:val="300"/>
          <w:jc w:val="center"/>
        </w:trPr>
        <w:tc>
          <w:tcPr>
            <w:tcW w:w="787" w:type="pct"/>
            <w:noWrap/>
            <w:vAlign w:val="center"/>
            <w:hideMark/>
          </w:tcPr>
          <w:p w14:paraId="05EA212F" w14:textId="77777777" w:rsidR="00E814BD" w:rsidRPr="0039091F" w:rsidRDefault="00E814BD" w:rsidP="000A5389">
            <w:pPr>
              <w:spacing w:line="240" w:lineRule="auto"/>
              <w:jc w:val="center"/>
              <w:rPr>
                <w:rFonts w:eastAsia="Times New Roman" w:cs="Times New Roman"/>
                <w:color w:val="000000"/>
                <w:sz w:val="18"/>
                <w:szCs w:val="18"/>
                <w:lang w:eastAsia="es-CO"/>
              </w:rPr>
            </w:pPr>
            <w:r w:rsidRPr="0039091F">
              <w:rPr>
                <w:rFonts w:eastAsia="Times New Roman" w:cs="Times New Roman"/>
                <w:color w:val="000000"/>
                <w:sz w:val="18"/>
                <w:szCs w:val="18"/>
                <w:lang w:eastAsia="es-CO"/>
              </w:rPr>
              <w:t>119240</w:t>
            </w:r>
          </w:p>
        </w:tc>
        <w:tc>
          <w:tcPr>
            <w:tcW w:w="1770" w:type="pct"/>
            <w:noWrap/>
            <w:vAlign w:val="bottom"/>
            <w:hideMark/>
          </w:tcPr>
          <w:p w14:paraId="0207BF9A" w14:textId="77777777" w:rsidR="00E814BD" w:rsidRPr="0039091F" w:rsidRDefault="00E814BD" w:rsidP="000A5389">
            <w:pPr>
              <w:spacing w:line="240" w:lineRule="auto"/>
              <w:jc w:val="center"/>
              <w:rPr>
                <w:rFonts w:eastAsia="Times New Roman" w:cs="Times New Roman"/>
                <w:color w:val="000000"/>
                <w:sz w:val="18"/>
                <w:szCs w:val="18"/>
                <w:lang w:eastAsia="es-CO"/>
              </w:rPr>
            </w:pPr>
            <w:r w:rsidRPr="0039091F">
              <w:rPr>
                <w:rFonts w:eastAsia="Times New Roman" w:cs="Times New Roman"/>
                <w:color w:val="000000"/>
                <w:sz w:val="18"/>
                <w:szCs w:val="18"/>
                <w:lang w:eastAsia="es-CO"/>
              </w:rPr>
              <w:t>05001333101320070001400</w:t>
            </w:r>
          </w:p>
        </w:tc>
        <w:tc>
          <w:tcPr>
            <w:tcW w:w="1236" w:type="pct"/>
            <w:noWrap/>
            <w:vAlign w:val="bottom"/>
            <w:hideMark/>
          </w:tcPr>
          <w:p w14:paraId="7E4E1AE8" w14:textId="77777777" w:rsidR="00E814BD" w:rsidRPr="0039091F" w:rsidRDefault="00E814BD" w:rsidP="000A5389">
            <w:pPr>
              <w:spacing w:line="240" w:lineRule="auto"/>
              <w:jc w:val="center"/>
              <w:rPr>
                <w:rFonts w:eastAsia="Times New Roman" w:cs="Times New Roman"/>
                <w:color w:val="000000"/>
                <w:sz w:val="18"/>
                <w:szCs w:val="18"/>
                <w:lang w:eastAsia="es-CO"/>
              </w:rPr>
            </w:pPr>
            <w:r w:rsidRPr="0039091F">
              <w:rPr>
                <w:rFonts w:eastAsia="Times New Roman" w:cs="Times New Roman"/>
                <w:color w:val="000000"/>
                <w:sz w:val="18"/>
                <w:szCs w:val="18"/>
                <w:lang w:eastAsia="es-CO"/>
              </w:rPr>
              <w:t>3578477</w:t>
            </w:r>
          </w:p>
        </w:tc>
        <w:tc>
          <w:tcPr>
            <w:tcW w:w="1208" w:type="pct"/>
            <w:noWrap/>
            <w:vAlign w:val="bottom"/>
            <w:hideMark/>
          </w:tcPr>
          <w:p w14:paraId="156B3DAF" w14:textId="77777777" w:rsidR="00E814BD" w:rsidRPr="0039091F" w:rsidRDefault="00E814BD" w:rsidP="000A5389">
            <w:pPr>
              <w:spacing w:line="240" w:lineRule="auto"/>
              <w:jc w:val="center"/>
              <w:rPr>
                <w:rFonts w:eastAsia="Times New Roman" w:cs="Times New Roman"/>
                <w:color w:val="000000"/>
                <w:sz w:val="18"/>
                <w:szCs w:val="18"/>
                <w:lang w:eastAsia="es-CO"/>
              </w:rPr>
            </w:pPr>
            <w:r w:rsidRPr="0039091F">
              <w:rPr>
                <w:rFonts w:eastAsia="Times New Roman" w:cs="Times New Roman"/>
                <w:color w:val="000000"/>
                <w:sz w:val="18"/>
                <w:szCs w:val="18"/>
                <w:lang w:eastAsia="es-CO"/>
              </w:rPr>
              <w:t xml:space="preserve">            1.516.046.261 </w:t>
            </w:r>
          </w:p>
        </w:tc>
      </w:tr>
      <w:tr w:rsidR="00E814BD" w:rsidRPr="0039091F" w14:paraId="78666575" w14:textId="77777777" w:rsidTr="00684C05">
        <w:trPr>
          <w:trHeight w:val="300"/>
          <w:jc w:val="center"/>
        </w:trPr>
        <w:tc>
          <w:tcPr>
            <w:tcW w:w="787" w:type="pct"/>
            <w:noWrap/>
            <w:vAlign w:val="center"/>
            <w:hideMark/>
          </w:tcPr>
          <w:p w14:paraId="3E9A0E09" w14:textId="77777777" w:rsidR="00E814BD" w:rsidRPr="0039091F" w:rsidRDefault="00E814BD" w:rsidP="000A5389">
            <w:pPr>
              <w:spacing w:line="240" w:lineRule="auto"/>
              <w:jc w:val="center"/>
              <w:rPr>
                <w:rFonts w:eastAsia="Times New Roman" w:cs="Times New Roman"/>
                <w:color w:val="000000"/>
                <w:sz w:val="18"/>
                <w:szCs w:val="18"/>
                <w:lang w:eastAsia="es-CO"/>
              </w:rPr>
            </w:pPr>
            <w:r w:rsidRPr="0039091F">
              <w:rPr>
                <w:rFonts w:eastAsia="Times New Roman" w:cs="Times New Roman"/>
                <w:color w:val="000000"/>
                <w:sz w:val="18"/>
                <w:szCs w:val="18"/>
                <w:lang w:eastAsia="es-CO"/>
              </w:rPr>
              <w:t>2660627</w:t>
            </w:r>
          </w:p>
        </w:tc>
        <w:tc>
          <w:tcPr>
            <w:tcW w:w="1770" w:type="pct"/>
            <w:noWrap/>
            <w:vAlign w:val="bottom"/>
            <w:hideMark/>
          </w:tcPr>
          <w:p w14:paraId="37193BEC" w14:textId="77777777" w:rsidR="00E814BD" w:rsidRPr="0039091F" w:rsidRDefault="00E814BD" w:rsidP="000A5389">
            <w:pPr>
              <w:spacing w:line="240" w:lineRule="auto"/>
              <w:jc w:val="center"/>
              <w:rPr>
                <w:rFonts w:eastAsia="Times New Roman" w:cs="Times New Roman"/>
                <w:color w:val="000000"/>
                <w:sz w:val="18"/>
                <w:szCs w:val="18"/>
                <w:lang w:eastAsia="es-CO"/>
              </w:rPr>
            </w:pPr>
            <w:r w:rsidRPr="0039091F">
              <w:rPr>
                <w:rFonts w:eastAsia="Times New Roman" w:cs="Times New Roman"/>
                <w:color w:val="000000"/>
                <w:sz w:val="18"/>
                <w:szCs w:val="18"/>
                <w:lang w:eastAsia="es-CO"/>
              </w:rPr>
              <w:t>85001333300420250013700</w:t>
            </w:r>
          </w:p>
        </w:tc>
        <w:tc>
          <w:tcPr>
            <w:tcW w:w="1236" w:type="pct"/>
            <w:noWrap/>
            <w:vAlign w:val="bottom"/>
            <w:hideMark/>
          </w:tcPr>
          <w:p w14:paraId="5E1C9F9B" w14:textId="77777777" w:rsidR="00E814BD" w:rsidRPr="0039091F" w:rsidRDefault="00E814BD" w:rsidP="000A5389">
            <w:pPr>
              <w:spacing w:line="240" w:lineRule="auto"/>
              <w:jc w:val="center"/>
              <w:rPr>
                <w:rFonts w:eastAsia="Times New Roman" w:cs="Times New Roman"/>
                <w:color w:val="000000"/>
                <w:sz w:val="18"/>
                <w:szCs w:val="18"/>
                <w:lang w:eastAsia="es-CO"/>
              </w:rPr>
            </w:pPr>
            <w:r w:rsidRPr="0039091F">
              <w:rPr>
                <w:rFonts w:eastAsia="Times New Roman" w:cs="Times New Roman"/>
                <w:color w:val="000000"/>
                <w:sz w:val="18"/>
                <w:szCs w:val="18"/>
                <w:lang w:eastAsia="es-CO"/>
              </w:rPr>
              <w:t>81740864</w:t>
            </w:r>
          </w:p>
        </w:tc>
        <w:tc>
          <w:tcPr>
            <w:tcW w:w="1208" w:type="pct"/>
            <w:noWrap/>
            <w:vAlign w:val="bottom"/>
            <w:hideMark/>
          </w:tcPr>
          <w:p w14:paraId="0B23D31B" w14:textId="77777777" w:rsidR="00E814BD" w:rsidRPr="0039091F" w:rsidRDefault="00E814BD" w:rsidP="000A5389">
            <w:pPr>
              <w:spacing w:line="240" w:lineRule="auto"/>
              <w:jc w:val="center"/>
              <w:rPr>
                <w:rFonts w:eastAsia="Times New Roman" w:cs="Times New Roman"/>
                <w:color w:val="000000"/>
                <w:sz w:val="18"/>
                <w:szCs w:val="18"/>
                <w:lang w:eastAsia="es-CO"/>
              </w:rPr>
            </w:pPr>
            <w:r w:rsidRPr="0039091F">
              <w:rPr>
                <w:rFonts w:eastAsia="Times New Roman" w:cs="Times New Roman"/>
                <w:color w:val="000000"/>
                <w:sz w:val="18"/>
                <w:szCs w:val="18"/>
                <w:lang w:eastAsia="es-CO"/>
              </w:rPr>
              <w:t xml:space="preserve">            1.515.850.269 </w:t>
            </w:r>
          </w:p>
        </w:tc>
      </w:tr>
      <w:tr w:rsidR="00E814BD" w:rsidRPr="0039091F" w14:paraId="7CD1728E" w14:textId="77777777" w:rsidTr="00684C05">
        <w:trPr>
          <w:trHeight w:val="300"/>
          <w:jc w:val="center"/>
        </w:trPr>
        <w:tc>
          <w:tcPr>
            <w:tcW w:w="787" w:type="pct"/>
            <w:noWrap/>
            <w:vAlign w:val="center"/>
            <w:hideMark/>
          </w:tcPr>
          <w:p w14:paraId="0B4F319E" w14:textId="77777777" w:rsidR="00E814BD" w:rsidRPr="0039091F" w:rsidRDefault="00E814BD" w:rsidP="000A5389">
            <w:pPr>
              <w:spacing w:line="240" w:lineRule="auto"/>
              <w:jc w:val="center"/>
              <w:rPr>
                <w:rFonts w:eastAsia="Times New Roman" w:cs="Times New Roman"/>
                <w:color w:val="000000"/>
                <w:sz w:val="18"/>
                <w:szCs w:val="18"/>
                <w:lang w:eastAsia="es-CO"/>
              </w:rPr>
            </w:pPr>
            <w:r w:rsidRPr="0039091F">
              <w:rPr>
                <w:rFonts w:eastAsia="Times New Roman" w:cs="Times New Roman"/>
                <w:color w:val="000000"/>
                <w:sz w:val="18"/>
                <w:szCs w:val="18"/>
                <w:lang w:eastAsia="es-CO"/>
              </w:rPr>
              <w:t>2139721</w:t>
            </w:r>
          </w:p>
        </w:tc>
        <w:tc>
          <w:tcPr>
            <w:tcW w:w="1770" w:type="pct"/>
            <w:noWrap/>
            <w:vAlign w:val="bottom"/>
            <w:hideMark/>
          </w:tcPr>
          <w:p w14:paraId="782F3477" w14:textId="77777777" w:rsidR="00E814BD" w:rsidRPr="0039091F" w:rsidRDefault="00E814BD" w:rsidP="000A5389">
            <w:pPr>
              <w:spacing w:line="240" w:lineRule="auto"/>
              <w:jc w:val="center"/>
              <w:rPr>
                <w:rFonts w:eastAsia="Times New Roman" w:cs="Times New Roman"/>
                <w:color w:val="000000"/>
                <w:sz w:val="18"/>
                <w:szCs w:val="18"/>
                <w:lang w:eastAsia="es-CO"/>
              </w:rPr>
            </w:pPr>
            <w:r w:rsidRPr="0039091F">
              <w:rPr>
                <w:rFonts w:eastAsia="Times New Roman" w:cs="Times New Roman"/>
                <w:color w:val="000000"/>
                <w:sz w:val="18"/>
                <w:szCs w:val="18"/>
                <w:lang w:eastAsia="es-CO"/>
              </w:rPr>
              <w:t>13001333100920150000100</w:t>
            </w:r>
          </w:p>
        </w:tc>
        <w:tc>
          <w:tcPr>
            <w:tcW w:w="1236" w:type="pct"/>
            <w:noWrap/>
            <w:vAlign w:val="bottom"/>
            <w:hideMark/>
          </w:tcPr>
          <w:p w14:paraId="45FCB0AB" w14:textId="77777777" w:rsidR="00E814BD" w:rsidRPr="0039091F" w:rsidRDefault="00E814BD" w:rsidP="000A5389">
            <w:pPr>
              <w:spacing w:line="240" w:lineRule="auto"/>
              <w:jc w:val="center"/>
              <w:rPr>
                <w:rFonts w:eastAsia="Times New Roman" w:cs="Times New Roman"/>
                <w:color w:val="000000"/>
                <w:sz w:val="18"/>
                <w:szCs w:val="18"/>
                <w:lang w:eastAsia="es-CO"/>
              </w:rPr>
            </w:pPr>
            <w:r w:rsidRPr="0039091F">
              <w:rPr>
                <w:rFonts w:eastAsia="Times New Roman" w:cs="Times New Roman"/>
                <w:color w:val="000000"/>
                <w:sz w:val="18"/>
                <w:szCs w:val="18"/>
                <w:lang w:eastAsia="es-CO"/>
              </w:rPr>
              <w:t>64890723</w:t>
            </w:r>
          </w:p>
        </w:tc>
        <w:tc>
          <w:tcPr>
            <w:tcW w:w="1208" w:type="pct"/>
            <w:noWrap/>
            <w:vAlign w:val="bottom"/>
            <w:hideMark/>
          </w:tcPr>
          <w:p w14:paraId="0A125848" w14:textId="77777777" w:rsidR="00E814BD" w:rsidRPr="0039091F" w:rsidRDefault="00E814BD" w:rsidP="000A5389">
            <w:pPr>
              <w:spacing w:line="240" w:lineRule="auto"/>
              <w:jc w:val="center"/>
              <w:rPr>
                <w:rFonts w:eastAsia="Times New Roman" w:cs="Times New Roman"/>
                <w:color w:val="000000"/>
                <w:sz w:val="18"/>
                <w:szCs w:val="18"/>
                <w:lang w:eastAsia="es-CO"/>
              </w:rPr>
            </w:pPr>
            <w:r w:rsidRPr="0039091F">
              <w:rPr>
                <w:rFonts w:eastAsia="Times New Roman" w:cs="Times New Roman"/>
                <w:color w:val="000000"/>
                <w:sz w:val="18"/>
                <w:szCs w:val="18"/>
                <w:lang w:eastAsia="es-CO"/>
              </w:rPr>
              <w:t xml:space="preserve">            1.406.169.448 </w:t>
            </w:r>
          </w:p>
        </w:tc>
      </w:tr>
      <w:tr w:rsidR="00E814BD" w:rsidRPr="0039091F" w14:paraId="3EB06D18" w14:textId="77777777" w:rsidTr="00684C05">
        <w:trPr>
          <w:trHeight w:val="300"/>
          <w:jc w:val="center"/>
        </w:trPr>
        <w:tc>
          <w:tcPr>
            <w:tcW w:w="787" w:type="pct"/>
            <w:noWrap/>
            <w:vAlign w:val="center"/>
            <w:hideMark/>
          </w:tcPr>
          <w:p w14:paraId="0A24BED4" w14:textId="77777777" w:rsidR="00E814BD" w:rsidRPr="0039091F" w:rsidRDefault="00E814BD" w:rsidP="000A5389">
            <w:pPr>
              <w:spacing w:line="240" w:lineRule="auto"/>
              <w:jc w:val="center"/>
              <w:rPr>
                <w:rFonts w:eastAsia="Times New Roman" w:cs="Times New Roman"/>
                <w:color w:val="000000"/>
                <w:sz w:val="18"/>
                <w:szCs w:val="18"/>
                <w:lang w:eastAsia="es-CO"/>
              </w:rPr>
            </w:pPr>
            <w:r w:rsidRPr="0039091F">
              <w:rPr>
                <w:rFonts w:eastAsia="Times New Roman" w:cs="Times New Roman"/>
                <w:color w:val="000000"/>
                <w:sz w:val="18"/>
                <w:szCs w:val="18"/>
                <w:lang w:eastAsia="es-CO"/>
              </w:rPr>
              <w:t>738524</w:t>
            </w:r>
          </w:p>
        </w:tc>
        <w:tc>
          <w:tcPr>
            <w:tcW w:w="1770" w:type="pct"/>
            <w:noWrap/>
            <w:vAlign w:val="bottom"/>
            <w:hideMark/>
          </w:tcPr>
          <w:p w14:paraId="3EB98DA1" w14:textId="77777777" w:rsidR="00E814BD" w:rsidRPr="0039091F" w:rsidRDefault="00E814BD" w:rsidP="000A5389">
            <w:pPr>
              <w:spacing w:line="240" w:lineRule="auto"/>
              <w:jc w:val="center"/>
              <w:rPr>
                <w:rFonts w:eastAsia="Times New Roman" w:cs="Times New Roman"/>
                <w:color w:val="000000"/>
                <w:sz w:val="18"/>
                <w:szCs w:val="18"/>
                <w:lang w:eastAsia="es-CO"/>
              </w:rPr>
            </w:pPr>
            <w:r w:rsidRPr="0039091F">
              <w:rPr>
                <w:rFonts w:eastAsia="Times New Roman" w:cs="Times New Roman"/>
                <w:color w:val="000000"/>
                <w:sz w:val="18"/>
                <w:szCs w:val="18"/>
                <w:lang w:eastAsia="es-CO"/>
              </w:rPr>
              <w:t>88001233300020150004700</w:t>
            </w:r>
          </w:p>
        </w:tc>
        <w:tc>
          <w:tcPr>
            <w:tcW w:w="1236" w:type="pct"/>
            <w:noWrap/>
            <w:vAlign w:val="bottom"/>
            <w:hideMark/>
          </w:tcPr>
          <w:p w14:paraId="6F7B1F52" w14:textId="77777777" w:rsidR="00E814BD" w:rsidRPr="0039091F" w:rsidRDefault="00E814BD" w:rsidP="000A5389">
            <w:pPr>
              <w:spacing w:line="240" w:lineRule="auto"/>
              <w:jc w:val="center"/>
              <w:rPr>
                <w:rFonts w:eastAsia="Times New Roman" w:cs="Times New Roman"/>
                <w:color w:val="000000"/>
                <w:sz w:val="18"/>
                <w:szCs w:val="18"/>
                <w:lang w:eastAsia="es-CO"/>
              </w:rPr>
            </w:pPr>
            <w:r w:rsidRPr="0039091F">
              <w:rPr>
                <w:rFonts w:eastAsia="Times New Roman" w:cs="Times New Roman"/>
                <w:color w:val="000000"/>
                <w:sz w:val="18"/>
                <w:szCs w:val="18"/>
                <w:lang w:eastAsia="es-CO"/>
              </w:rPr>
              <w:t>900127236</w:t>
            </w:r>
          </w:p>
        </w:tc>
        <w:tc>
          <w:tcPr>
            <w:tcW w:w="1208" w:type="pct"/>
            <w:noWrap/>
            <w:vAlign w:val="bottom"/>
            <w:hideMark/>
          </w:tcPr>
          <w:p w14:paraId="616D71B7" w14:textId="77777777" w:rsidR="00E814BD" w:rsidRPr="0039091F" w:rsidRDefault="00E814BD" w:rsidP="000A5389">
            <w:pPr>
              <w:spacing w:line="240" w:lineRule="auto"/>
              <w:jc w:val="center"/>
              <w:rPr>
                <w:rFonts w:eastAsia="Times New Roman" w:cs="Times New Roman"/>
                <w:color w:val="000000"/>
                <w:sz w:val="18"/>
                <w:szCs w:val="18"/>
                <w:lang w:eastAsia="es-CO"/>
              </w:rPr>
            </w:pPr>
            <w:r w:rsidRPr="0039091F">
              <w:rPr>
                <w:rFonts w:eastAsia="Times New Roman" w:cs="Times New Roman"/>
                <w:color w:val="000000"/>
                <w:sz w:val="18"/>
                <w:szCs w:val="18"/>
                <w:lang w:eastAsia="es-CO"/>
              </w:rPr>
              <w:t xml:space="preserve">            1.342.462.860 </w:t>
            </w:r>
          </w:p>
        </w:tc>
      </w:tr>
      <w:tr w:rsidR="00E814BD" w:rsidRPr="0039091F" w14:paraId="20EF37BD" w14:textId="77777777" w:rsidTr="00684C05">
        <w:trPr>
          <w:trHeight w:val="300"/>
          <w:jc w:val="center"/>
        </w:trPr>
        <w:tc>
          <w:tcPr>
            <w:tcW w:w="787" w:type="pct"/>
            <w:noWrap/>
            <w:vAlign w:val="center"/>
            <w:hideMark/>
          </w:tcPr>
          <w:p w14:paraId="115615FA" w14:textId="77777777" w:rsidR="00E814BD" w:rsidRPr="0039091F" w:rsidRDefault="00E814BD" w:rsidP="000A5389">
            <w:pPr>
              <w:spacing w:line="240" w:lineRule="auto"/>
              <w:jc w:val="center"/>
              <w:rPr>
                <w:rFonts w:eastAsia="Times New Roman" w:cs="Times New Roman"/>
                <w:color w:val="000000"/>
                <w:sz w:val="18"/>
                <w:szCs w:val="18"/>
                <w:lang w:eastAsia="es-CO"/>
              </w:rPr>
            </w:pPr>
            <w:r w:rsidRPr="0039091F">
              <w:rPr>
                <w:rFonts w:eastAsia="Times New Roman" w:cs="Times New Roman"/>
                <w:color w:val="000000"/>
                <w:sz w:val="18"/>
                <w:szCs w:val="18"/>
                <w:lang w:eastAsia="es-CO"/>
              </w:rPr>
              <w:t>137167</w:t>
            </w:r>
          </w:p>
        </w:tc>
        <w:tc>
          <w:tcPr>
            <w:tcW w:w="1770" w:type="pct"/>
            <w:noWrap/>
            <w:vAlign w:val="bottom"/>
            <w:hideMark/>
          </w:tcPr>
          <w:p w14:paraId="2E95CCA5" w14:textId="77777777" w:rsidR="00E814BD" w:rsidRPr="0039091F" w:rsidRDefault="00E814BD" w:rsidP="000A5389">
            <w:pPr>
              <w:spacing w:line="240" w:lineRule="auto"/>
              <w:jc w:val="center"/>
              <w:rPr>
                <w:rFonts w:eastAsia="Times New Roman" w:cs="Times New Roman"/>
                <w:color w:val="000000"/>
                <w:sz w:val="18"/>
                <w:szCs w:val="18"/>
                <w:lang w:eastAsia="es-CO"/>
              </w:rPr>
            </w:pPr>
            <w:r w:rsidRPr="0039091F">
              <w:rPr>
                <w:rFonts w:eastAsia="Times New Roman" w:cs="Times New Roman"/>
                <w:color w:val="000000"/>
                <w:sz w:val="18"/>
                <w:szCs w:val="18"/>
                <w:lang w:eastAsia="es-CO"/>
              </w:rPr>
              <w:t>15001233100520080043900</w:t>
            </w:r>
          </w:p>
        </w:tc>
        <w:tc>
          <w:tcPr>
            <w:tcW w:w="1236" w:type="pct"/>
            <w:noWrap/>
            <w:vAlign w:val="bottom"/>
            <w:hideMark/>
          </w:tcPr>
          <w:p w14:paraId="43D8B1F4" w14:textId="77777777" w:rsidR="00E814BD" w:rsidRPr="0039091F" w:rsidRDefault="00E814BD" w:rsidP="000A5389">
            <w:pPr>
              <w:spacing w:line="240" w:lineRule="auto"/>
              <w:jc w:val="center"/>
              <w:rPr>
                <w:rFonts w:eastAsia="Times New Roman" w:cs="Times New Roman"/>
                <w:color w:val="000000"/>
                <w:sz w:val="18"/>
                <w:szCs w:val="18"/>
                <w:lang w:eastAsia="es-CO"/>
              </w:rPr>
            </w:pPr>
            <w:r w:rsidRPr="0039091F">
              <w:rPr>
                <w:rFonts w:eastAsia="Times New Roman" w:cs="Times New Roman"/>
                <w:color w:val="000000"/>
                <w:sz w:val="18"/>
                <w:szCs w:val="18"/>
                <w:lang w:eastAsia="es-CO"/>
              </w:rPr>
              <w:t>23547175</w:t>
            </w:r>
          </w:p>
        </w:tc>
        <w:tc>
          <w:tcPr>
            <w:tcW w:w="1208" w:type="pct"/>
            <w:noWrap/>
            <w:vAlign w:val="bottom"/>
            <w:hideMark/>
          </w:tcPr>
          <w:p w14:paraId="6B2FB993" w14:textId="77777777" w:rsidR="00E814BD" w:rsidRPr="0039091F" w:rsidRDefault="00E814BD" w:rsidP="000A5389">
            <w:pPr>
              <w:spacing w:line="240" w:lineRule="auto"/>
              <w:jc w:val="center"/>
              <w:rPr>
                <w:rFonts w:eastAsia="Times New Roman" w:cs="Times New Roman"/>
                <w:color w:val="000000"/>
                <w:sz w:val="18"/>
                <w:szCs w:val="18"/>
                <w:lang w:eastAsia="es-CO"/>
              </w:rPr>
            </w:pPr>
            <w:r w:rsidRPr="0039091F">
              <w:rPr>
                <w:rFonts w:eastAsia="Times New Roman" w:cs="Times New Roman"/>
                <w:color w:val="000000"/>
                <w:sz w:val="18"/>
                <w:szCs w:val="18"/>
                <w:lang w:eastAsia="es-CO"/>
              </w:rPr>
              <w:t xml:space="preserve">            1.332.324.795 </w:t>
            </w:r>
          </w:p>
        </w:tc>
      </w:tr>
      <w:tr w:rsidR="00E814BD" w:rsidRPr="0039091F" w14:paraId="42FD9652" w14:textId="77777777" w:rsidTr="00684C05">
        <w:trPr>
          <w:trHeight w:val="300"/>
          <w:jc w:val="center"/>
        </w:trPr>
        <w:tc>
          <w:tcPr>
            <w:tcW w:w="787" w:type="pct"/>
            <w:noWrap/>
            <w:vAlign w:val="center"/>
            <w:hideMark/>
          </w:tcPr>
          <w:p w14:paraId="143A008A" w14:textId="77777777" w:rsidR="00E814BD" w:rsidRPr="0039091F" w:rsidRDefault="00E814BD" w:rsidP="000A5389">
            <w:pPr>
              <w:spacing w:line="240" w:lineRule="auto"/>
              <w:jc w:val="center"/>
              <w:rPr>
                <w:rFonts w:eastAsia="Times New Roman" w:cs="Times New Roman"/>
                <w:color w:val="000000"/>
                <w:sz w:val="18"/>
                <w:szCs w:val="18"/>
                <w:lang w:eastAsia="es-CO"/>
              </w:rPr>
            </w:pPr>
            <w:r w:rsidRPr="0039091F">
              <w:rPr>
                <w:rFonts w:eastAsia="Times New Roman" w:cs="Times New Roman"/>
                <w:color w:val="000000"/>
                <w:sz w:val="18"/>
                <w:szCs w:val="18"/>
                <w:lang w:eastAsia="es-CO"/>
              </w:rPr>
              <w:t>2440350</w:t>
            </w:r>
          </w:p>
        </w:tc>
        <w:tc>
          <w:tcPr>
            <w:tcW w:w="1770" w:type="pct"/>
            <w:noWrap/>
            <w:vAlign w:val="bottom"/>
            <w:hideMark/>
          </w:tcPr>
          <w:p w14:paraId="10336E6D" w14:textId="77777777" w:rsidR="00E814BD" w:rsidRPr="0039091F" w:rsidRDefault="00E814BD" w:rsidP="000A5389">
            <w:pPr>
              <w:spacing w:line="240" w:lineRule="auto"/>
              <w:jc w:val="center"/>
              <w:rPr>
                <w:rFonts w:eastAsia="Times New Roman" w:cs="Times New Roman"/>
                <w:color w:val="000000"/>
                <w:sz w:val="18"/>
                <w:szCs w:val="18"/>
                <w:lang w:eastAsia="es-CO"/>
              </w:rPr>
            </w:pPr>
            <w:r w:rsidRPr="0039091F">
              <w:rPr>
                <w:rFonts w:eastAsia="Times New Roman" w:cs="Times New Roman"/>
                <w:color w:val="000000"/>
                <w:sz w:val="18"/>
                <w:szCs w:val="18"/>
                <w:lang w:eastAsia="es-CO"/>
              </w:rPr>
              <w:t>11001333603720230014900</w:t>
            </w:r>
          </w:p>
        </w:tc>
        <w:tc>
          <w:tcPr>
            <w:tcW w:w="1236" w:type="pct"/>
            <w:noWrap/>
            <w:vAlign w:val="bottom"/>
            <w:hideMark/>
          </w:tcPr>
          <w:p w14:paraId="201FF93B" w14:textId="77777777" w:rsidR="00E814BD" w:rsidRPr="0039091F" w:rsidRDefault="00E814BD" w:rsidP="000A5389">
            <w:pPr>
              <w:spacing w:line="240" w:lineRule="auto"/>
              <w:jc w:val="center"/>
              <w:rPr>
                <w:rFonts w:eastAsia="Times New Roman" w:cs="Times New Roman"/>
                <w:color w:val="000000"/>
                <w:sz w:val="18"/>
                <w:szCs w:val="18"/>
                <w:lang w:eastAsia="es-CO"/>
              </w:rPr>
            </w:pPr>
            <w:r w:rsidRPr="0039091F">
              <w:rPr>
                <w:rFonts w:eastAsia="Times New Roman" w:cs="Times New Roman"/>
                <w:color w:val="000000"/>
                <w:sz w:val="18"/>
                <w:szCs w:val="18"/>
                <w:lang w:eastAsia="es-CO"/>
              </w:rPr>
              <w:t>1070626170</w:t>
            </w:r>
          </w:p>
        </w:tc>
        <w:tc>
          <w:tcPr>
            <w:tcW w:w="1208" w:type="pct"/>
            <w:noWrap/>
            <w:vAlign w:val="bottom"/>
            <w:hideMark/>
          </w:tcPr>
          <w:p w14:paraId="05A917AA" w14:textId="77777777" w:rsidR="00E814BD" w:rsidRPr="0039091F" w:rsidRDefault="00E814BD" w:rsidP="000A5389">
            <w:pPr>
              <w:spacing w:line="240" w:lineRule="auto"/>
              <w:jc w:val="center"/>
              <w:rPr>
                <w:rFonts w:eastAsia="Times New Roman" w:cs="Times New Roman"/>
                <w:color w:val="000000"/>
                <w:sz w:val="18"/>
                <w:szCs w:val="18"/>
                <w:lang w:eastAsia="es-CO"/>
              </w:rPr>
            </w:pPr>
            <w:r w:rsidRPr="0039091F">
              <w:rPr>
                <w:rFonts w:eastAsia="Times New Roman" w:cs="Times New Roman"/>
                <w:color w:val="000000"/>
                <w:sz w:val="18"/>
                <w:szCs w:val="18"/>
                <w:lang w:eastAsia="es-CO"/>
              </w:rPr>
              <w:t xml:space="preserve">            1.318.202.438 </w:t>
            </w:r>
          </w:p>
        </w:tc>
      </w:tr>
      <w:tr w:rsidR="00E814BD" w:rsidRPr="0039091F" w14:paraId="120046F7" w14:textId="77777777" w:rsidTr="00684C05">
        <w:trPr>
          <w:trHeight w:val="300"/>
          <w:jc w:val="center"/>
        </w:trPr>
        <w:tc>
          <w:tcPr>
            <w:tcW w:w="787" w:type="pct"/>
            <w:noWrap/>
            <w:vAlign w:val="center"/>
            <w:hideMark/>
          </w:tcPr>
          <w:p w14:paraId="157C9F29" w14:textId="77777777" w:rsidR="00E814BD" w:rsidRPr="0039091F" w:rsidRDefault="00E814BD" w:rsidP="000A5389">
            <w:pPr>
              <w:spacing w:line="240" w:lineRule="auto"/>
              <w:jc w:val="center"/>
              <w:rPr>
                <w:rFonts w:eastAsia="Times New Roman" w:cs="Times New Roman"/>
                <w:color w:val="000000"/>
                <w:sz w:val="18"/>
                <w:szCs w:val="18"/>
                <w:lang w:eastAsia="es-CO"/>
              </w:rPr>
            </w:pPr>
            <w:r w:rsidRPr="0039091F">
              <w:rPr>
                <w:rFonts w:eastAsia="Times New Roman" w:cs="Times New Roman"/>
                <w:color w:val="000000"/>
                <w:sz w:val="18"/>
                <w:szCs w:val="18"/>
                <w:lang w:eastAsia="es-CO"/>
              </w:rPr>
              <w:t>1112058</w:t>
            </w:r>
          </w:p>
        </w:tc>
        <w:tc>
          <w:tcPr>
            <w:tcW w:w="1770" w:type="pct"/>
            <w:noWrap/>
            <w:vAlign w:val="bottom"/>
            <w:hideMark/>
          </w:tcPr>
          <w:p w14:paraId="68F2936D" w14:textId="77777777" w:rsidR="00E814BD" w:rsidRPr="0039091F" w:rsidRDefault="00E814BD" w:rsidP="000A5389">
            <w:pPr>
              <w:spacing w:line="240" w:lineRule="auto"/>
              <w:jc w:val="center"/>
              <w:rPr>
                <w:rFonts w:eastAsia="Times New Roman" w:cs="Times New Roman"/>
                <w:color w:val="000000"/>
                <w:sz w:val="18"/>
                <w:szCs w:val="18"/>
                <w:lang w:eastAsia="es-CO"/>
              </w:rPr>
            </w:pPr>
            <w:r w:rsidRPr="0039091F">
              <w:rPr>
                <w:rFonts w:eastAsia="Times New Roman" w:cs="Times New Roman"/>
                <w:color w:val="000000"/>
                <w:sz w:val="18"/>
                <w:szCs w:val="18"/>
                <w:lang w:eastAsia="es-CO"/>
              </w:rPr>
              <w:t>20001333300620170031500</w:t>
            </w:r>
          </w:p>
        </w:tc>
        <w:tc>
          <w:tcPr>
            <w:tcW w:w="1236" w:type="pct"/>
            <w:noWrap/>
            <w:vAlign w:val="bottom"/>
            <w:hideMark/>
          </w:tcPr>
          <w:p w14:paraId="3D0EAAE5" w14:textId="77777777" w:rsidR="00E814BD" w:rsidRPr="0039091F" w:rsidRDefault="00E814BD" w:rsidP="000A5389">
            <w:pPr>
              <w:spacing w:line="240" w:lineRule="auto"/>
              <w:jc w:val="center"/>
              <w:rPr>
                <w:rFonts w:eastAsia="Times New Roman" w:cs="Times New Roman"/>
                <w:color w:val="000000"/>
                <w:sz w:val="18"/>
                <w:szCs w:val="18"/>
                <w:lang w:eastAsia="es-CO"/>
              </w:rPr>
            </w:pPr>
            <w:r w:rsidRPr="0039091F">
              <w:rPr>
                <w:rFonts w:eastAsia="Times New Roman" w:cs="Times New Roman"/>
                <w:color w:val="000000"/>
                <w:sz w:val="18"/>
                <w:szCs w:val="18"/>
                <w:lang w:eastAsia="es-CO"/>
              </w:rPr>
              <w:t>1063965377</w:t>
            </w:r>
          </w:p>
        </w:tc>
        <w:tc>
          <w:tcPr>
            <w:tcW w:w="1208" w:type="pct"/>
            <w:noWrap/>
            <w:vAlign w:val="bottom"/>
            <w:hideMark/>
          </w:tcPr>
          <w:p w14:paraId="76BED50D" w14:textId="77777777" w:rsidR="00E814BD" w:rsidRPr="0039091F" w:rsidRDefault="00E814BD" w:rsidP="000A5389">
            <w:pPr>
              <w:spacing w:line="240" w:lineRule="auto"/>
              <w:jc w:val="center"/>
              <w:rPr>
                <w:rFonts w:eastAsia="Times New Roman" w:cs="Times New Roman"/>
                <w:color w:val="000000"/>
                <w:sz w:val="18"/>
                <w:szCs w:val="18"/>
                <w:lang w:eastAsia="es-CO"/>
              </w:rPr>
            </w:pPr>
            <w:r w:rsidRPr="0039091F">
              <w:rPr>
                <w:rFonts w:eastAsia="Times New Roman" w:cs="Times New Roman"/>
                <w:color w:val="000000"/>
                <w:sz w:val="18"/>
                <w:szCs w:val="18"/>
                <w:lang w:eastAsia="es-CO"/>
              </w:rPr>
              <w:t xml:space="preserve">            1.257.565.223 </w:t>
            </w:r>
          </w:p>
        </w:tc>
      </w:tr>
      <w:tr w:rsidR="00E814BD" w:rsidRPr="0039091F" w14:paraId="1D8B0B36" w14:textId="77777777" w:rsidTr="00684C05">
        <w:trPr>
          <w:trHeight w:val="300"/>
          <w:jc w:val="center"/>
        </w:trPr>
        <w:tc>
          <w:tcPr>
            <w:tcW w:w="787" w:type="pct"/>
            <w:noWrap/>
            <w:vAlign w:val="center"/>
            <w:hideMark/>
          </w:tcPr>
          <w:p w14:paraId="2FAF334B" w14:textId="77777777" w:rsidR="00E814BD" w:rsidRPr="0039091F" w:rsidRDefault="00E814BD" w:rsidP="000A5389">
            <w:pPr>
              <w:spacing w:line="240" w:lineRule="auto"/>
              <w:jc w:val="center"/>
              <w:rPr>
                <w:rFonts w:eastAsia="Times New Roman" w:cs="Times New Roman"/>
                <w:color w:val="000000"/>
                <w:sz w:val="18"/>
                <w:szCs w:val="18"/>
                <w:lang w:eastAsia="es-CO"/>
              </w:rPr>
            </w:pPr>
            <w:r w:rsidRPr="0039091F">
              <w:rPr>
                <w:rFonts w:eastAsia="Times New Roman" w:cs="Times New Roman"/>
                <w:color w:val="000000"/>
                <w:sz w:val="18"/>
                <w:szCs w:val="18"/>
                <w:lang w:eastAsia="es-CO"/>
              </w:rPr>
              <w:t>342480</w:t>
            </w:r>
          </w:p>
        </w:tc>
        <w:tc>
          <w:tcPr>
            <w:tcW w:w="1770" w:type="pct"/>
            <w:noWrap/>
            <w:vAlign w:val="bottom"/>
            <w:hideMark/>
          </w:tcPr>
          <w:p w14:paraId="6F4F9B9C" w14:textId="77777777" w:rsidR="00E814BD" w:rsidRPr="0039091F" w:rsidRDefault="00E814BD" w:rsidP="000A5389">
            <w:pPr>
              <w:spacing w:line="240" w:lineRule="auto"/>
              <w:jc w:val="center"/>
              <w:rPr>
                <w:rFonts w:eastAsia="Times New Roman" w:cs="Times New Roman"/>
                <w:color w:val="000000"/>
                <w:sz w:val="18"/>
                <w:szCs w:val="18"/>
                <w:lang w:eastAsia="es-CO"/>
              </w:rPr>
            </w:pPr>
            <w:r w:rsidRPr="0039091F">
              <w:rPr>
                <w:rFonts w:eastAsia="Times New Roman" w:cs="Times New Roman"/>
                <w:color w:val="000000"/>
                <w:sz w:val="18"/>
                <w:szCs w:val="18"/>
                <w:lang w:eastAsia="es-CO"/>
              </w:rPr>
              <w:t>20001333300620130012600</w:t>
            </w:r>
          </w:p>
        </w:tc>
        <w:tc>
          <w:tcPr>
            <w:tcW w:w="1236" w:type="pct"/>
            <w:noWrap/>
            <w:vAlign w:val="bottom"/>
            <w:hideMark/>
          </w:tcPr>
          <w:p w14:paraId="5C11A7EE" w14:textId="77777777" w:rsidR="00E814BD" w:rsidRPr="0039091F" w:rsidRDefault="00E814BD" w:rsidP="000A5389">
            <w:pPr>
              <w:spacing w:line="240" w:lineRule="auto"/>
              <w:jc w:val="center"/>
              <w:rPr>
                <w:rFonts w:eastAsia="Times New Roman" w:cs="Times New Roman"/>
                <w:color w:val="000000"/>
                <w:sz w:val="18"/>
                <w:szCs w:val="18"/>
                <w:lang w:eastAsia="es-CO"/>
              </w:rPr>
            </w:pPr>
            <w:r w:rsidRPr="0039091F">
              <w:rPr>
                <w:rFonts w:eastAsia="Times New Roman" w:cs="Times New Roman"/>
                <w:color w:val="000000"/>
                <w:sz w:val="18"/>
                <w:szCs w:val="18"/>
                <w:lang w:eastAsia="es-CO"/>
              </w:rPr>
              <w:t>6793153</w:t>
            </w:r>
          </w:p>
        </w:tc>
        <w:tc>
          <w:tcPr>
            <w:tcW w:w="1208" w:type="pct"/>
            <w:noWrap/>
            <w:vAlign w:val="bottom"/>
            <w:hideMark/>
          </w:tcPr>
          <w:p w14:paraId="2C6443D5" w14:textId="77777777" w:rsidR="00E814BD" w:rsidRPr="0039091F" w:rsidRDefault="00E814BD" w:rsidP="000A5389">
            <w:pPr>
              <w:spacing w:line="240" w:lineRule="auto"/>
              <w:jc w:val="center"/>
              <w:rPr>
                <w:rFonts w:eastAsia="Times New Roman" w:cs="Times New Roman"/>
                <w:color w:val="000000"/>
                <w:sz w:val="18"/>
                <w:szCs w:val="18"/>
                <w:lang w:eastAsia="es-CO"/>
              </w:rPr>
            </w:pPr>
            <w:r w:rsidRPr="0039091F">
              <w:rPr>
                <w:rFonts w:eastAsia="Times New Roman" w:cs="Times New Roman"/>
                <w:color w:val="000000"/>
                <w:sz w:val="18"/>
                <w:szCs w:val="18"/>
                <w:lang w:eastAsia="es-CO"/>
              </w:rPr>
              <w:t xml:space="preserve">            1.222.491.478 </w:t>
            </w:r>
          </w:p>
        </w:tc>
      </w:tr>
      <w:tr w:rsidR="00E814BD" w:rsidRPr="0039091F" w14:paraId="6FCDB4DD" w14:textId="77777777" w:rsidTr="00684C05">
        <w:trPr>
          <w:trHeight w:val="300"/>
          <w:jc w:val="center"/>
        </w:trPr>
        <w:tc>
          <w:tcPr>
            <w:tcW w:w="787" w:type="pct"/>
            <w:noWrap/>
            <w:vAlign w:val="center"/>
            <w:hideMark/>
          </w:tcPr>
          <w:p w14:paraId="7A39DF5F" w14:textId="77777777" w:rsidR="00E814BD" w:rsidRPr="0039091F" w:rsidRDefault="00E814BD" w:rsidP="000A5389">
            <w:pPr>
              <w:spacing w:line="240" w:lineRule="auto"/>
              <w:jc w:val="center"/>
              <w:rPr>
                <w:rFonts w:eastAsia="Times New Roman" w:cs="Times New Roman"/>
                <w:color w:val="000000"/>
                <w:sz w:val="18"/>
                <w:szCs w:val="18"/>
                <w:lang w:eastAsia="es-CO"/>
              </w:rPr>
            </w:pPr>
            <w:r w:rsidRPr="0039091F">
              <w:rPr>
                <w:rFonts w:eastAsia="Times New Roman" w:cs="Times New Roman"/>
                <w:color w:val="000000"/>
                <w:sz w:val="18"/>
                <w:szCs w:val="18"/>
                <w:lang w:eastAsia="es-CO"/>
              </w:rPr>
              <w:t>2702851</w:t>
            </w:r>
          </w:p>
        </w:tc>
        <w:tc>
          <w:tcPr>
            <w:tcW w:w="1770" w:type="pct"/>
            <w:noWrap/>
            <w:vAlign w:val="bottom"/>
            <w:hideMark/>
          </w:tcPr>
          <w:p w14:paraId="193B27AA" w14:textId="77777777" w:rsidR="00E814BD" w:rsidRPr="0039091F" w:rsidRDefault="00E814BD" w:rsidP="000A5389">
            <w:pPr>
              <w:spacing w:line="240" w:lineRule="auto"/>
              <w:jc w:val="center"/>
              <w:rPr>
                <w:rFonts w:eastAsia="Times New Roman" w:cs="Times New Roman"/>
                <w:color w:val="000000"/>
                <w:sz w:val="18"/>
                <w:szCs w:val="18"/>
                <w:lang w:eastAsia="es-CO"/>
              </w:rPr>
            </w:pPr>
            <w:r w:rsidRPr="0039091F">
              <w:rPr>
                <w:rFonts w:eastAsia="Times New Roman" w:cs="Times New Roman"/>
                <w:color w:val="000000"/>
                <w:sz w:val="18"/>
                <w:szCs w:val="18"/>
                <w:lang w:eastAsia="es-CO"/>
              </w:rPr>
              <w:t>52001333300120250016600</w:t>
            </w:r>
          </w:p>
        </w:tc>
        <w:tc>
          <w:tcPr>
            <w:tcW w:w="1236" w:type="pct"/>
            <w:noWrap/>
            <w:vAlign w:val="bottom"/>
            <w:hideMark/>
          </w:tcPr>
          <w:p w14:paraId="0D6D6AD2" w14:textId="77777777" w:rsidR="00E814BD" w:rsidRPr="0039091F" w:rsidRDefault="00E814BD" w:rsidP="000A5389">
            <w:pPr>
              <w:spacing w:line="240" w:lineRule="auto"/>
              <w:jc w:val="center"/>
              <w:rPr>
                <w:rFonts w:eastAsia="Times New Roman" w:cs="Times New Roman"/>
                <w:color w:val="000000"/>
                <w:sz w:val="18"/>
                <w:szCs w:val="18"/>
                <w:lang w:eastAsia="es-CO"/>
              </w:rPr>
            </w:pPr>
            <w:r w:rsidRPr="0039091F">
              <w:rPr>
                <w:rFonts w:eastAsia="Times New Roman" w:cs="Times New Roman"/>
                <w:color w:val="000000"/>
                <w:sz w:val="18"/>
                <w:szCs w:val="18"/>
                <w:lang w:eastAsia="es-CO"/>
              </w:rPr>
              <w:t>5269897</w:t>
            </w:r>
          </w:p>
        </w:tc>
        <w:tc>
          <w:tcPr>
            <w:tcW w:w="1208" w:type="pct"/>
            <w:noWrap/>
            <w:vAlign w:val="bottom"/>
            <w:hideMark/>
          </w:tcPr>
          <w:p w14:paraId="39A7A766" w14:textId="77777777" w:rsidR="00E814BD" w:rsidRPr="0039091F" w:rsidRDefault="00E814BD" w:rsidP="000A5389">
            <w:pPr>
              <w:spacing w:line="240" w:lineRule="auto"/>
              <w:jc w:val="center"/>
              <w:rPr>
                <w:rFonts w:eastAsia="Times New Roman" w:cs="Times New Roman"/>
                <w:color w:val="000000"/>
                <w:sz w:val="18"/>
                <w:szCs w:val="18"/>
                <w:lang w:eastAsia="es-CO"/>
              </w:rPr>
            </w:pPr>
            <w:r w:rsidRPr="0039091F">
              <w:rPr>
                <w:rFonts w:eastAsia="Times New Roman" w:cs="Times New Roman"/>
                <w:color w:val="000000"/>
                <w:sz w:val="18"/>
                <w:szCs w:val="18"/>
                <w:lang w:eastAsia="es-CO"/>
              </w:rPr>
              <w:t xml:space="preserve">            1.179.808.608 </w:t>
            </w:r>
          </w:p>
        </w:tc>
      </w:tr>
      <w:tr w:rsidR="00E814BD" w:rsidRPr="0039091F" w14:paraId="23527356" w14:textId="77777777" w:rsidTr="00684C05">
        <w:trPr>
          <w:trHeight w:val="300"/>
          <w:jc w:val="center"/>
        </w:trPr>
        <w:tc>
          <w:tcPr>
            <w:tcW w:w="787" w:type="pct"/>
            <w:noWrap/>
            <w:vAlign w:val="center"/>
            <w:hideMark/>
          </w:tcPr>
          <w:p w14:paraId="41A0870F" w14:textId="77777777" w:rsidR="00E814BD" w:rsidRPr="0039091F" w:rsidRDefault="00E814BD" w:rsidP="000A5389">
            <w:pPr>
              <w:spacing w:line="240" w:lineRule="auto"/>
              <w:jc w:val="center"/>
              <w:rPr>
                <w:rFonts w:eastAsia="Times New Roman" w:cs="Times New Roman"/>
                <w:color w:val="000000"/>
                <w:sz w:val="18"/>
                <w:szCs w:val="18"/>
                <w:lang w:eastAsia="es-CO"/>
              </w:rPr>
            </w:pPr>
            <w:r w:rsidRPr="0039091F">
              <w:rPr>
                <w:rFonts w:eastAsia="Times New Roman" w:cs="Times New Roman"/>
                <w:color w:val="000000"/>
                <w:sz w:val="18"/>
                <w:szCs w:val="18"/>
                <w:lang w:eastAsia="es-CO"/>
              </w:rPr>
              <w:t>192775</w:t>
            </w:r>
          </w:p>
        </w:tc>
        <w:tc>
          <w:tcPr>
            <w:tcW w:w="1770" w:type="pct"/>
            <w:noWrap/>
            <w:vAlign w:val="bottom"/>
            <w:hideMark/>
          </w:tcPr>
          <w:p w14:paraId="466A1F31" w14:textId="77777777" w:rsidR="00E814BD" w:rsidRPr="0039091F" w:rsidRDefault="00E814BD" w:rsidP="000A5389">
            <w:pPr>
              <w:spacing w:line="240" w:lineRule="auto"/>
              <w:jc w:val="center"/>
              <w:rPr>
                <w:rFonts w:eastAsia="Times New Roman" w:cs="Times New Roman"/>
                <w:color w:val="000000"/>
                <w:sz w:val="18"/>
                <w:szCs w:val="18"/>
                <w:lang w:eastAsia="es-CO"/>
              </w:rPr>
            </w:pPr>
            <w:r w:rsidRPr="0039091F">
              <w:rPr>
                <w:rFonts w:eastAsia="Times New Roman" w:cs="Times New Roman"/>
                <w:color w:val="000000"/>
                <w:sz w:val="18"/>
                <w:szCs w:val="18"/>
                <w:lang w:eastAsia="es-CO"/>
              </w:rPr>
              <w:t>52001233100020100004900</w:t>
            </w:r>
          </w:p>
        </w:tc>
        <w:tc>
          <w:tcPr>
            <w:tcW w:w="1236" w:type="pct"/>
            <w:noWrap/>
            <w:vAlign w:val="bottom"/>
            <w:hideMark/>
          </w:tcPr>
          <w:p w14:paraId="703B8559" w14:textId="77777777" w:rsidR="00E814BD" w:rsidRPr="0039091F" w:rsidRDefault="00E814BD" w:rsidP="000A5389">
            <w:pPr>
              <w:spacing w:line="240" w:lineRule="auto"/>
              <w:jc w:val="center"/>
              <w:rPr>
                <w:rFonts w:eastAsia="Times New Roman" w:cs="Times New Roman"/>
                <w:color w:val="000000"/>
                <w:sz w:val="18"/>
                <w:szCs w:val="18"/>
                <w:lang w:eastAsia="es-CO"/>
              </w:rPr>
            </w:pPr>
            <w:r w:rsidRPr="0039091F">
              <w:rPr>
                <w:rFonts w:eastAsia="Times New Roman" w:cs="Times New Roman"/>
                <w:color w:val="000000"/>
                <w:sz w:val="18"/>
                <w:szCs w:val="18"/>
                <w:lang w:eastAsia="es-CO"/>
              </w:rPr>
              <w:t>14978895</w:t>
            </w:r>
          </w:p>
        </w:tc>
        <w:tc>
          <w:tcPr>
            <w:tcW w:w="1208" w:type="pct"/>
            <w:noWrap/>
            <w:vAlign w:val="bottom"/>
            <w:hideMark/>
          </w:tcPr>
          <w:p w14:paraId="36778C69" w14:textId="77777777" w:rsidR="00E814BD" w:rsidRPr="0039091F" w:rsidRDefault="00E814BD" w:rsidP="000A5389">
            <w:pPr>
              <w:spacing w:line="240" w:lineRule="auto"/>
              <w:jc w:val="center"/>
              <w:rPr>
                <w:rFonts w:eastAsia="Times New Roman" w:cs="Times New Roman"/>
                <w:color w:val="000000"/>
                <w:sz w:val="18"/>
                <w:szCs w:val="18"/>
                <w:lang w:eastAsia="es-CO"/>
              </w:rPr>
            </w:pPr>
            <w:r w:rsidRPr="0039091F">
              <w:rPr>
                <w:rFonts w:eastAsia="Times New Roman" w:cs="Times New Roman"/>
                <w:color w:val="000000"/>
                <w:sz w:val="18"/>
                <w:szCs w:val="18"/>
                <w:lang w:eastAsia="es-CO"/>
              </w:rPr>
              <w:t xml:space="preserve">            1.051.393.797 </w:t>
            </w:r>
          </w:p>
        </w:tc>
      </w:tr>
      <w:tr w:rsidR="00E814BD" w:rsidRPr="0039091F" w14:paraId="28DD3FB2" w14:textId="77777777" w:rsidTr="00684C05">
        <w:trPr>
          <w:trHeight w:val="300"/>
          <w:jc w:val="center"/>
        </w:trPr>
        <w:tc>
          <w:tcPr>
            <w:tcW w:w="787" w:type="pct"/>
            <w:noWrap/>
            <w:vAlign w:val="center"/>
            <w:hideMark/>
          </w:tcPr>
          <w:p w14:paraId="2D1F5FE4" w14:textId="77777777" w:rsidR="00E814BD" w:rsidRPr="0039091F" w:rsidRDefault="00E814BD" w:rsidP="000A5389">
            <w:pPr>
              <w:spacing w:line="240" w:lineRule="auto"/>
              <w:jc w:val="center"/>
              <w:rPr>
                <w:rFonts w:eastAsia="Times New Roman" w:cs="Times New Roman"/>
                <w:color w:val="000000"/>
                <w:sz w:val="18"/>
                <w:szCs w:val="18"/>
                <w:lang w:eastAsia="es-CO"/>
              </w:rPr>
            </w:pPr>
            <w:r w:rsidRPr="0039091F">
              <w:rPr>
                <w:rFonts w:eastAsia="Times New Roman" w:cs="Times New Roman"/>
                <w:color w:val="000000"/>
                <w:sz w:val="18"/>
                <w:szCs w:val="18"/>
                <w:lang w:eastAsia="es-CO"/>
              </w:rPr>
              <w:t>225184</w:t>
            </w:r>
          </w:p>
        </w:tc>
        <w:tc>
          <w:tcPr>
            <w:tcW w:w="1770" w:type="pct"/>
            <w:noWrap/>
            <w:vAlign w:val="bottom"/>
            <w:hideMark/>
          </w:tcPr>
          <w:p w14:paraId="27AE89C4" w14:textId="77777777" w:rsidR="00E814BD" w:rsidRPr="0039091F" w:rsidRDefault="00E814BD" w:rsidP="000A5389">
            <w:pPr>
              <w:spacing w:line="240" w:lineRule="auto"/>
              <w:jc w:val="center"/>
              <w:rPr>
                <w:rFonts w:eastAsia="Times New Roman" w:cs="Times New Roman"/>
                <w:color w:val="000000"/>
                <w:sz w:val="18"/>
                <w:szCs w:val="18"/>
                <w:lang w:eastAsia="es-CO"/>
              </w:rPr>
            </w:pPr>
            <w:r w:rsidRPr="0039091F">
              <w:rPr>
                <w:rFonts w:eastAsia="Times New Roman" w:cs="Times New Roman"/>
                <w:color w:val="000000"/>
                <w:sz w:val="18"/>
                <w:szCs w:val="18"/>
                <w:lang w:eastAsia="es-CO"/>
              </w:rPr>
              <w:t>25000232600020090002801</w:t>
            </w:r>
          </w:p>
        </w:tc>
        <w:tc>
          <w:tcPr>
            <w:tcW w:w="1236" w:type="pct"/>
            <w:noWrap/>
            <w:vAlign w:val="bottom"/>
            <w:hideMark/>
          </w:tcPr>
          <w:p w14:paraId="6DE7F92B" w14:textId="77777777" w:rsidR="00E814BD" w:rsidRPr="0039091F" w:rsidRDefault="00E814BD" w:rsidP="000A5389">
            <w:pPr>
              <w:spacing w:line="240" w:lineRule="auto"/>
              <w:jc w:val="center"/>
              <w:rPr>
                <w:rFonts w:eastAsia="Times New Roman" w:cs="Times New Roman"/>
                <w:color w:val="000000"/>
                <w:sz w:val="18"/>
                <w:szCs w:val="18"/>
                <w:lang w:eastAsia="es-CO"/>
              </w:rPr>
            </w:pPr>
            <w:r w:rsidRPr="0039091F">
              <w:rPr>
                <w:rFonts w:eastAsia="Times New Roman" w:cs="Times New Roman"/>
                <w:color w:val="000000"/>
                <w:sz w:val="18"/>
                <w:szCs w:val="18"/>
                <w:lang w:eastAsia="es-CO"/>
              </w:rPr>
              <w:t>23606253</w:t>
            </w:r>
          </w:p>
        </w:tc>
        <w:tc>
          <w:tcPr>
            <w:tcW w:w="1208" w:type="pct"/>
            <w:noWrap/>
            <w:vAlign w:val="bottom"/>
            <w:hideMark/>
          </w:tcPr>
          <w:p w14:paraId="774EE612" w14:textId="77777777" w:rsidR="00E814BD" w:rsidRPr="0039091F" w:rsidRDefault="00E814BD" w:rsidP="000A5389">
            <w:pPr>
              <w:spacing w:line="240" w:lineRule="auto"/>
              <w:jc w:val="center"/>
              <w:rPr>
                <w:rFonts w:eastAsia="Times New Roman" w:cs="Times New Roman"/>
                <w:color w:val="000000"/>
                <w:sz w:val="18"/>
                <w:szCs w:val="18"/>
                <w:lang w:eastAsia="es-CO"/>
              </w:rPr>
            </w:pPr>
            <w:r w:rsidRPr="0039091F">
              <w:rPr>
                <w:rFonts w:eastAsia="Times New Roman" w:cs="Times New Roman"/>
                <w:color w:val="000000"/>
                <w:sz w:val="18"/>
                <w:szCs w:val="18"/>
                <w:lang w:eastAsia="es-CO"/>
              </w:rPr>
              <w:t xml:space="preserve">            1.045.822.886 </w:t>
            </w:r>
          </w:p>
        </w:tc>
      </w:tr>
      <w:tr w:rsidR="00E814BD" w:rsidRPr="0039091F" w14:paraId="7DE99B95" w14:textId="77777777" w:rsidTr="00684C05">
        <w:trPr>
          <w:trHeight w:val="300"/>
          <w:jc w:val="center"/>
        </w:trPr>
        <w:tc>
          <w:tcPr>
            <w:tcW w:w="787" w:type="pct"/>
            <w:noWrap/>
            <w:vAlign w:val="center"/>
            <w:hideMark/>
          </w:tcPr>
          <w:p w14:paraId="4AE14C95" w14:textId="77777777" w:rsidR="00E814BD" w:rsidRPr="0039091F" w:rsidRDefault="00E814BD" w:rsidP="000A5389">
            <w:pPr>
              <w:spacing w:line="240" w:lineRule="auto"/>
              <w:jc w:val="center"/>
              <w:rPr>
                <w:rFonts w:eastAsia="Times New Roman" w:cs="Times New Roman"/>
                <w:color w:val="000000"/>
                <w:sz w:val="18"/>
                <w:szCs w:val="18"/>
                <w:lang w:eastAsia="es-CO"/>
              </w:rPr>
            </w:pPr>
            <w:r w:rsidRPr="0039091F">
              <w:rPr>
                <w:rFonts w:eastAsia="Times New Roman" w:cs="Times New Roman"/>
                <w:color w:val="000000"/>
                <w:sz w:val="18"/>
                <w:szCs w:val="18"/>
                <w:lang w:eastAsia="es-CO"/>
              </w:rPr>
              <w:lastRenderedPageBreak/>
              <w:t>2671578</w:t>
            </w:r>
          </w:p>
        </w:tc>
        <w:tc>
          <w:tcPr>
            <w:tcW w:w="1770" w:type="pct"/>
            <w:noWrap/>
            <w:vAlign w:val="bottom"/>
            <w:hideMark/>
          </w:tcPr>
          <w:p w14:paraId="4043BD75" w14:textId="77777777" w:rsidR="00E814BD" w:rsidRPr="0039091F" w:rsidRDefault="00E814BD" w:rsidP="000A5389">
            <w:pPr>
              <w:spacing w:line="240" w:lineRule="auto"/>
              <w:jc w:val="center"/>
              <w:rPr>
                <w:rFonts w:eastAsia="Times New Roman" w:cs="Times New Roman"/>
                <w:color w:val="000000"/>
                <w:sz w:val="18"/>
                <w:szCs w:val="18"/>
                <w:lang w:eastAsia="es-CO"/>
              </w:rPr>
            </w:pPr>
            <w:r w:rsidRPr="0039091F">
              <w:rPr>
                <w:rFonts w:eastAsia="Times New Roman" w:cs="Times New Roman"/>
                <w:color w:val="000000"/>
                <w:sz w:val="18"/>
                <w:szCs w:val="18"/>
                <w:lang w:eastAsia="es-CO"/>
              </w:rPr>
              <w:t>85001333300420250003400</w:t>
            </w:r>
          </w:p>
        </w:tc>
        <w:tc>
          <w:tcPr>
            <w:tcW w:w="1236" w:type="pct"/>
            <w:noWrap/>
            <w:vAlign w:val="bottom"/>
            <w:hideMark/>
          </w:tcPr>
          <w:p w14:paraId="01C7F65E" w14:textId="77777777" w:rsidR="00E814BD" w:rsidRPr="0039091F" w:rsidRDefault="00E814BD" w:rsidP="000A5389">
            <w:pPr>
              <w:spacing w:line="240" w:lineRule="auto"/>
              <w:jc w:val="center"/>
              <w:rPr>
                <w:rFonts w:eastAsia="Times New Roman" w:cs="Times New Roman"/>
                <w:color w:val="000000"/>
                <w:sz w:val="18"/>
                <w:szCs w:val="18"/>
                <w:lang w:eastAsia="es-CO"/>
              </w:rPr>
            </w:pPr>
            <w:r w:rsidRPr="0039091F">
              <w:rPr>
                <w:rFonts w:eastAsia="Times New Roman" w:cs="Times New Roman"/>
                <w:color w:val="000000"/>
                <w:sz w:val="18"/>
                <w:szCs w:val="18"/>
                <w:lang w:eastAsia="es-CO"/>
              </w:rPr>
              <w:t>20865570</w:t>
            </w:r>
          </w:p>
        </w:tc>
        <w:tc>
          <w:tcPr>
            <w:tcW w:w="1208" w:type="pct"/>
            <w:noWrap/>
            <w:vAlign w:val="bottom"/>
            <w:hideMark/>
          </w:tcPr>
          <w:p w14:paraId="6F4324D9" w14:textId="77777777" w:rsidR="00E814BD" w:rsidRPr="0039091F" w:rsidRDefault="00E814BD" w:rsidP="000A5389">
            <w:pPr>
              <w:spacing w:line="240" w:lineRule="auto"/>
              <w:jc w:val="center"/>
              <w:rPr>
                <w:rFonts w:eastAsia="Times New Roman" w:cs="Times New Roman"/>
                <w:color w:val="000000"/>
                <w:sz w:val="18"/>
                <w:szCs w:val="18"/>
                <w:lang w:eastAsia="es-CO"/>
              </w:rPr>
            </w:pPr>
            <w:r w:rsidRPr="0039091F">
              <w:rPr>
                <w:rFonts w:eastAsia="Times New Roman" w:cs="Times New Roman"/>
                <w:color w:val="000000"/>
                <w:sz w:val="18"/>
                <w:szCs w:val="18"/>
                <w:lang w:eastAsia="es-CO"/>
              </w:rPr>
              <w:t xml:space="preserve">               943.021.983 </w:t>
            </w:r>
          </w:p>
        </w:tc>
      </w:tr>
      <w:tr w:rsidR="00E814BD" w:rsidRPr="0039091F" w14:paraId="5BE2B7A4" w14:textId="77777777" w:rsidTr="00684C05">
        <w:trPr>
          <w:trHeight w:val="300"/>
          <w:jc w:val="center"/>
        </w:trPr>
        <w:tc>
          <w:tcPr>
            <w:tcW w:w="787" w:type="pct"/>
            <w:noWrap/>
            <w:vAlign w:val="center"/>
            <w:hideMark/>
          </w:tcPr>
          <w:p w14:paraId="0602928D" w14:textId="77777777" w:rsidR="00E814BD" w:rsidRPr="0039091F" w:rsidRDefault="00E814BD" w:rsidP="000A5389">
            <w:pPr>
              <w:spacing w:line="240" w:lineRule="auto"/>
              <w:jc w:val="center"/>
              <w:rPr>
                <w:rFonts w:eastAsia="Times New Roman" w:cs="Times New Roman"/>
                <w:color w:val="000000"/>
                <w:sz w:val="18"/>
                <w:szCs w:val="18"/>
                <w:lang w:eastAsia="es-CO"/>
              </w:rPr>
            </w:pPr>
            <w:r w:rsidRPr="0039091F">
              <w:rPr>
                <w:rFonts w:eastAsia="Times New Roman" w:cs="Times New Roman"/>
                <w:color w:val="000000"/>
                <w:sz w:val="18"/>
                <w:szCs w:val="18"/>
                <w:lang w:eastAsia="es-CO"/>
              </w:rPr>
              <w:t>2525786</w:t>
            </w:r>
          </w:p>
        </w:tc>
        <w:tc>
          <w:tcPr>
            <w:tcW w:w="1770" w:type="pct"/>
            <w:noWrap/>
            <w:vAlign w:val="bottom"/>
            <w:hideMark/>
          </w:tcPr>
          <w:p w14:paraId="2BBCE299" w14:textId="77777777" w:rsidR="00E814BD" w:rsidRPr="0039091F" w:rsidRDefault="00E814BD" w:rsidP="000A5389">
            <w:pPr>
              <w:spacing w:line="240" w:lineRule="auto"/>
              <w:jc w:val="center"/>
              <w:rPr>
                <w:rFonts w:eastAsia="Times New Roman" w:cs="Times New Roman"/>
                <w:color w:val="000000"/>
                <w:sz w:val="18"/>
                <w:szCs w:val="18"/>
                <w:lang w:eastAsia="es-CO"/>
              </w:rPr>
            </w:pPr>
            <w:r w:rsidRPr="0039091F">
              <w:rPr>
                <w:rFonts w:eastAsia="Times New Roman" w:cs="Times New Roman"/>
                <w:color w:val="000000"/>
                <w:sz w:val="18"/>
                <w:szCs w:val="18"/>
                <w:lang w:eastAsia="es-CO"/>
              </w:rPr>
              <w:t>05001333302720230042100</w:t>
            </w:r>
          </w:p>
        </w:tc>
        <w:tc>
          <w:tcPr>
            <w:tcW w:w="1236" w:type="pct"/>
            <w:noWrap/>
            <w:vAlign w:val="bottom"/>
            <w:hideMark/>
          </w:tcPr>
          <w:p w14:paraId="084DC3FA" w14:textId="77777777" w:rsidR="00E814BD" w:rsidRPr="0039091F" w:rsidRDefault="00E814BD" w:rsidP="000A5389">
            <w:pPr>
              <w:spacing w:line="240" w:lineRule="auto"/>
              <w:jc w:val="center"/>
              <w:rPr>
                <w:rFonts w:eastAsia="Times New Roman" w:cs="Times New Roman"/>
                <w:color w:val="000000"/>
                <w:sz w:val="18"/>
                <w:szCs w:val="18"/>
                <w:lang w:eastAsia="es-CO"/>
              </w:rPr>
            </w:pPr>
            <w:r w:rsidRPr="0039091F">
              <w:rPr>
                <w:rFonts w:eastAsia="Times New Roman" w:cs="Times New Roman"/>
                <w:color w:val="000000"/>
                <w:sz w:val="18"/>
                <w:szCs w:val="18"/>
                <w:lang w:eastAsia="es-CO"/>
              </w:rPr>
              <w:t>1046909455</w:t>
            </w:r>
          </w:p>
        </w:tc>
        <w:tc>
          <w:tcPr>
            <w:tcW w:w="1208" w:type="pct"/>
            <w:noWrap/>
            <w:vAlign w:val="bottom"/>
            <w:hideMark/>
          </w:tcPr>
          <w:p w14:paraId="2A6410BC" w14:textId="77777777" w:rsidR="00E814BD" w:rsidRPr="0039091F" w:rsidRDefault="00E814BD" w:rsidP="000A5389">
            <w:pPr>
              <w:spacing w:line="240" w:lineRule="auto"/>
              <w:jc w:val="center"/>
              <w:rPr>
                <w:rFonts w:eastAsia="Times New Roman" w:cs="Times New Roman"/>
                <w:color w:val="000000"/>
                <w:sz w:val="18"/>
                <w:szCs w:val="18"/>
                <w:lang w:eastAsia="es-CO"/>
              </w:rPr>
            </w:pPr>
            <w:r w:rsidRPr="0039091F">
              <w:rPr>
                <w:rFonts w:eastAsia="Times New Roman" w:cs="Times New Roman"/>
                <w:color w:val="000000"/>
                <w:sz w:val="18"/>
                <w:szCs w:val="18"/>
                <w:lang w:eastAsia="es-CO"/>
              </w:rPr>
              <w:t xml:space="preserve">               885.621.741 </w:t>
            </w:r>
          </w:p>
        </w:tc>
      </w:tr>
      <w:tr w:rsidR="00E814BD" w:rsidRPr="0039091F" w14:paraId="57D3887C" w14:textId="77777777" w:rsidTr="00684C05">
        <w:trPr>
          <w:trHeight w:val="300"/>
          <w:jc w:val="center"/>
        </w:trPr>
        <w:tc>
          <w:tcPr>
            <w:tcW w:w="787" w:type="pct"/>
            <w:noWrap/>
            <w:vAlign w:val="center"/>
            <w:hideMark/>
          </w:tcPr>
          <w:p w14:paraId="23ABE306" w14:textId="77777777" w:rsidR="00E814BD" w:rsidRPr="0039091F" w:rsidRDefault="00E814BD" w:rsidP="000A5389">
            <w:pPr>
              <w:spacing w:line="240" w:lineRule="auto"/>
              <w:jc w:val="center"/>
              <w:rPr>
                <w:rFonts w:eastAsia="Times New Roman" w:cs="Times New Roman"/>
                <w:color w:val="000000"/>
                <w:sz w:val="18"/>
                <w:szCs w:val="18"/>
                <w:lang w:eastAsia="es-CO"/>
              </w:rPr>
            </w:pPr>
            <w:r w:rsidRPr="0039091F">
              <w:rPr>
                <w:rFonts w:eastAsia="Times New Roman" w:cs="Times New Roman"/>
                <w:color w:val="000000"/>
                <w:sz w:val="18"/>
                <w:szCs w:val="18"/>
                <w:lang w:eastAsia="es-CO"/>
              </w:rPr>
              <w:t>2229898</w:t>
            </w:r>
          </w:p>
        </w:tc>
        <w:tc>
          <w:tcPr>
            <w:tcW w:w="1770" w:type="pct"/>
            <w:noWrap/>
            <w:vAlign w:val="bottom"/>
            <w:hideMark/>
          </w:tcPr>
          <w:p w14:paraId="14312BDB" w14:textId="77777777" w:rsidR="00E814BD" w:rsidRPr="0039091F" w:rsidRDefault="00E814BD" w:rsidP="000A5389">
            <w:pPr>
              <w:spacing w:line="240" w:lineRule="auto"/>
              <w:jc w:val="center"/>
              <w:rPr>
                <w:rFonts w:eastAsia="Times New Roman" w:cs="Times New Roman"/>
                <w:color w:val="000000"/>
                <w:sz w:val="18"/>
                <w:szCs w:val="18"/>
                <w:lang w:eastAsia="es-CO"/>
              </w:rPr>
            </w:pPr>
            <w:r w:rsidRPr="0039091F">
              <w:rPr>
                <w:rFonts w:eastAsia="Times New Roman" w:cs="Times New Roman"/>
                <w:color w:val="000000"/>
                <w:sz w:val="18"/>
                <w:szCs w:val="18"/>
                <w:lang w:eastAsia="es-CO"/>
              </w:rPr>
              <w:t>13001333301020210010400</w:t>
            </w:r>
          </w:p>
        </w:tc>
        <w:tc>
          <w:tcPr>
            <w:tcW w:w="1236" w:type="pct"/>
            <w:noWrap/>
            <w:vAlign w:val="bottom"/>
            <w:hideMark/>
          </w:tcPr>
          <w:p w14:paraId="3D6C3FC2" w14:textId="77777777" w:rsidR="00E814BD" w:rsidRPr="0039091F" w:rsidRDefault="00E814BD" w:rsidP="000A5389">
            <w:pPr>
              <w:spacing w:line="240" w:lineRule="auto"/>
              <w:jc w:val="center"/>
              <w:rPr>
                <w:rFonts w:eastAsia="Times New Roman" w:cs="Times New Roman"/>
                <w:color w:val="000000"/>
                <w:sz w:val="18"/>
                <w:szCs w:val="18"/>
                <w:lang w:eastAsia="es-CO"/>
              </w:rPr>
            </w:pPr>
            <w:r w:rsidRPr="0039091F">
              <w:rPr>
                <w:rFonts w:eastAsia="Times New Roman" w:cs="Times New Roman"/>
                <w:color w:val="000000"/>
                <w:sz w:val="18"/>
                <w:szCs w:val="18"/>
                <w:lang w:eastAsia="es-CO"/>
              </w:rPr>
              <w:t>1007313070</w:t>
            </w:r>
          </w:p>
        </w:tc>
        <w:tc>
          <w:tcPr>
            <w:tcW w:w="1208" w:type="pct"/>
            <w:noWrap/>
            <w:vAlign w:val="bottom"/>
            <w:hideMark/>
          </w:tcPr>
          <w:p w14:paraId="7CD6CF16" w14:textId="77777777" w:rsidR="00E814BD" w:rsidRPr="0039091F" w:rsidRDefault="00E814BD" w:rsidP="000A5389">
            <w:pPr>
              <w:spacing w:line="240" w:lineRule="auto"/>
              <w:jc w:val="center"/>
              <w:rPr>
                <w:rFonts w:eastAsia="Times New Roman" w:cs="Times New Roman"/>
                <w:color w:val="000000"/>
                <w:sz w:val="18"/>
                <w:szCs w:val="18"/>
                <w:lang w:eastAsia="es-CO"/>
              </w:rPr>
            </w:pPr>
            <w:r w:rsidRPr="0039091F">
              <w:rPr>
                <w:rFonts w:eastAsia="Times New Roman" w:cs="Times New Roman"/>
                <w:color w:val="000000"/>
                <w:sz w:val="18"/>
                <w:szCs w:val="18"/>
                <w:lang w:eastAsia="es-CO"/>
              </w:rPr>
              <w:t xml:space="preserve">               724.448.128 </w:t>
            </w:r>
          </w:p>
        </w:tc>
      </w:tr>
      <w:tr w:rsidR="00E814BD" w:rsidRPr="0039091F" w14:paraId="3BB6AE10" w14:textId="77777777" w:rsidTr="00684C05">
        <w:trPr>
          <w:trHeight w:val="300"/>
          <w:jc w:val="center"/>
        </w:trPr>
        <w:tc>
          <w:tcPr>
            <w:tcW w:w="787" w:type="pct"/>
            <w:noWrap/>
            <w:vAlign w:val="center"/>
            <w:hideMark/>
          </w:tcPr>
          <w:p w14:paraId="6927E2DF" w14:textId="77777777" w:rsidR="00E814BD" w:rsidRPr="0039091F" w:rsidRDefault="00E814BD" w:rsidP="000A5389">
            <w:pPr>
              <w:spacing w:line="240" w:lineRule="auto"/>
              <w:jc w:val="center"/>
              <w:rPr>
                <w:rFonts w:eastAsia="Times New Roman" w:cs="Times New Roman"/>
                <w:color w:val="000000"/>
                <w:sz w:val="18"/>
                <w:szCs w:val="18"/>
                <w:lang w:eastAsia="es-CO"/>
              </w:rPr>
            </w:pPr>
            <w:r w:rsidRPr="0039091F">
              <w:rPr>
                <w:rFonts w:eastAsia="Times New Roman" w:cs="Times New Roman"/>
                <w:color w:val="000000"/>
                <w:sz w:val="18"/>
                <w:szCs w:val="18"/>
                <w:lang w:eastAsia="es-CO"/>
              </w:rPr>
              <w:t>1133264</w:t>
            </w:r>
          </w:p>
        </w:tc>
        <w:tc>
          <w:tcPr>
            <w:tcW w:w="1770" w:type="pct"/>
            <w:noWrap/>
            <w:vAlign w:val="bottom"/>
            <w:hideMark/>
          </w:tcPr>
          <w:p w14:paraId="3A377F72" w14:textId="77777777" w:rsidR="00E814BD" w:rsidRPr="0039091F" w:rsidRDefault="00E814BD" w:rsidP="000A5389">
            <w:pPr>
              <w:spacing w:line="240" w:lineRule="auto"/>
              <w:jc w:val="center"/>
              <w:rPr>
                <w:rFonts w:eastAsia="Times New Roman" w:cs="Times New Roman"/>
                <w:color w:val="000000"/>
                <w:sz w:val="18"/>
                <w:szCs w:val="18"/>
                <w:lang w:eastAsia="es-CO"/>
              </w:rPr>
            </w:pPr>
            <w:r w:rsidRPr="0039091F">
              <w:rPr>
                <w:rFonts w:eastAsia="Times New Roman" w:cs="Times New Roman"/>
                <w:color w:val="000000"/>
                <w:sz w:val="18"/>
                <w:szCs w:val="18"/>
                <w:lang w:eastAsia="es-CO"/>
              </w:rPr>
              <w:t>68001333300220160021000</w:t>
            </w:r>
          </w:p>
        </w:tc>
        <w:tc>
          <w:tcPr>
            <w:tcW w:w="1236" w:type="pct"/>
            <w:noWrap/>
            <w:vAlign w:val="bottom"/>
            <w:hideMark/>
          </w:tcPr>
          <w:p w14:paraId="7E210A9B" w14:textId="77777777" w:rsidR="00E814BD" w:rsidRPr="0039091F" w:rsidRDefault="00E814BD" w:rsidP="000A5389">
            <w:pPr>
              <w:spacing w:line="240" w:lineRule="auto"/>
              <w:jc w:val="center"/>
              <w:rPr>
                <w:rFonts w:eastAsia="Times New Roman" w:cs="Times New Roman"/>
                <w:color w:val="000000"/>
                <w:sz w:val="18"/>
                <w:szCs w:val="18"/>
                <w:lang w:eastAsia="es-CO"/>
              </w:rPr>
            </w:pPr>
            <w:r w:rsidRPr="0039091F">
              <w:rPr>
                <w:rFonts w:eastAsia="Times New Roman" w:cs="Times New Roman"/>
                <w:color w:val="000000"/>
                <w:sz w:val="18"/>
                <w:szCs w:val="18"/>
                <w:lang w:eastAsia="es-CO"/>
              </w:rPr>
              <w:t>37754191</w:t>
            </w:r>
          </w:p>
        </w:tc>
        <w:tc>
          <w:tcPr>
            <w:tcW w:w="1208" w:type="pct"/>
            <w:noWrap/>
            <w:vAlign w:val="bottom"/>
            <w:hideMark/>
          </w:tcPr>
          <w:p w14:paraId="54A0E67A" w14:textId="77777777" w:rsidR="00E814BD" w:rsidRPr="0039091F" w:rsidRDefault="00E814BD" w:rsidP="000A5389">
            <w:pPr>
              <w:spacing w:line="240" w:lineRule="auto"/>
              <w:jc w:val="center"/>
              <w:rPr>
                <w:rFonts w:eastAsia="Times New Roman" w:cs="Times New Roman"/>
                <w:color w:val="000000"/>
                <w:sz w:val="18"/>
                <w:szCs w:val="18"/>
                <w:lang w:eastAsia="es-CO"/>
              </w:rPr>
            </w:pPr>
            <w:r w:rsidRPr="0039091F">
              <w:rPr>
                <w:rFonts w:eastAsia="Times New Roman" w:cs="Times New Roman"/>
                <w:color w:val="000000"/>
                <w:sz w:val="18"/>
                <w:szCs w:val="18"/>
                <w:lang w:eastAsia="es-CO"/>
              </w:rPr>
              <w:t xml:space="preserve">               723.138.000 </w:t>
            </w:r>
          </w:p>
        </w:tc>
      </w:tr>
      <w:tr w:rsidR="00E814BD" w:rsidRPr="0039091F" w14:paraId="0889D5A9" w14:textId="77777777" w:rsidTr="00684C05">
        <w:trPr>
          <w:trHeight w:val="300"/>
          <w:jc w:val="center"/>
        </w:trPr>
        <w:tc>
          <w:tcPr>
            <w:tcW w:w="787" w:type="pct"/>
            <w:noWrap/>
            <w:vAlign w:val="center"/>
            <w:hideMark/>
          </w:tcPr>
          <w:p w14:paraId="6A406A2F" w14:textId="77777777" w:rsidR="00E814BD" w:rsidRPr="0039091F" w:rsidRDefault="00E814BD" w:rsidP="000A5389">
            <w:pPr>
              <w:spacing w:line="240" w:lineRule="auto"/>
              <w:jc w:val="center"/>
              <w:rPr>
                <w:rFonts w:eastAsia="Times New Roman" w:cs="Times New Roman"/>
                <w:color w:val="000000"/>
                <w:sz w:val="18"/>
                <w:szCs w:val="18"/>
                <w:lang w:eastAsia="es-CO"/>
              </w:rPr>
            </w:pPr>
            <w:r w:rsidRPr="0039091F">
              <w:rPr>
                <w:rFonts w:eastAsia="Times New Roman" w:cs="Times New Roman"/>
                <w:color w:val="000000"/>
                <w:sz w:val="18"/>
                <w:szCs w:val="18"/>
                <w:lang w:eastAsia="es-CO"/>
              </w:rPr>
              <w:t>2590729</w:t>
            </w:r>
          </w:p>
        </w:tc>
        <w:tc>
          <w:tcPr>
            <w:tcW w:w="1770" w:type="pct"/>
            <w:noWrap/>
            <w:vAlign w:val="bottom"/>
            <w:hideMark/>
          </w:tcPr>
          <w:p w14:paraId="44368D20" w14:textId="77777777" w:rsidR="00E814BD" w:rsidRPr="0039091F" w:rsidRDefault="00E814BD" w:rsidP="000A5389">
            <w:pPr>
              <w:spacing w:line="240" w:lineRule="auto"/>
              <w:jc w:val="center"/>
              <w:rPr>
                <w:rFonts w:eastAsia="Times New Roman" w:cs="Times New Roman"/>
                <w:color w:val="000000"/>
                <w:sz w:val="18"/>
                <w:szCs w:val="18"/>
                <w:lang w:eastAsia="es-CO"/>
              </w:rPr>
            </w:pPr>
            <w:r w:rsidRPr="0039091F">
              <w:rPr>
                <w:rFonts w:eastAsia="Times New Roman" w:cs="Times New Roman"/>
                <w:color w:val="000000"/>
                <w:sz w:val="18"/>
                <w:szCs w:val="18"/>
                <w:lang w:eastAsia="es-CO"/>
              </w:rPr>
              <w:t>25000233600020240009200</w:t>
            </w:r>
          </w:p>
        </w:tc>
        <w:tc>
          <w:tcPr>
            <w:tcW w:w="1236" w:type="pct"/>
            <w:noWrap/>
            <w:vAlign w:val="bottom"/>
            <w:hideMark/>
          </w:tcPr>
          <w:p w14:paraId="7BD0EEB8" w14:textId="77777777" w:rsidR="00E814BD" w:rsidRPr="0039091F" w:rsidRDefault="00E814BD" w:rsidP="000A5389">
            <w:pPr>
              <w:spacing w:line="240" w:lineRule="auto"/>
              <w:jc w:val="center"/>
              <w:rPr>
                <w:rFonts w:eastAsia="Times New Roman" w:cs="Times New Roman"/>
                <w:color w:val="000000"/>
                <w:sz w:val="18"/>
                <w:szCs w:val="18"/>
                <w:lang w:eastAsia="es-CO"/>
              </w:rPr>
            </w:pPr>
            <w:r w:rsidRPr="0039091F">
              <w:rPr>
                <w:rFonts w:eastAsia="Times New Roman" w:cs="Times New Roman"/>
                <w:color w:val="000000"/>
                <w:sz w:val="18"/>
                <w:szCs w:val="18"/>
                <w:lang w:eastAsia="es-CO"/>
              </w:rPr>
              <w:t>860067561</w:t>
            </w:r>
          </w:p>
        </w:tc>
        <w:tc>
          <w:tcPr>
            <w:tcW w:w="1208" w:type="pct"/>
            <w:noWrap/>
            <w:vAlign w:val="bottom"/>
            <w:hideMark/>
          </w:tcPr>
          <w:p w14:paraId="196310D7" w14:textId="77777777" w:rsidR="00E814BD" w:rsidRPr="0039091F" w:rsidRDefault="00E814BD" w:rsidP="000A5389">
            <w:pPr>
              <w:spacing w:line="240" w:lineRule="auto"/>
              <w:jc w:val="center"/>
              <w:rPr>
                <w:rFonts w:eastAsia="Times New Roman" w:cs="Times New Roman"/>
                <w:color w:val="000000"/>
                <w:sz w:val="18"/>
                <w:szCs w:val="18"/>
                <w:lang w:eastAsia="es-CO"/>
              </w:rPr>
            </w:pPr>
            <w:r w:rsidRPr="0039091F">
              <w:rPr>
                <w:rFonts w:eastAsia="Times New Roman" w:cs="Times New Roman"/>
                <w:color w:val="000000"/>
                <w:sz w:val="18"/>
                <w:szCs w:val="18"/>
                <w:lang w:eastAsia="es-CO"/>
              </w:rPr>
              <w:t xml:space="preserve">               717.267.883 </w:t>
            </w:r>
          </w:p>
        </w:tc>
      </w:tr>
      <w:tr w:rsidR="00E814BD" w:rsidRPr="0039091F" w14:paraId="29E8FD64" w14:textId="77777777" w:rsidTr="00684C05">
        <w:trPr>
          <w:trHeight w:val="300"/>
          <w:jc w:val="center"/>
        </w:trPr>
        <w:tc>
          <w:tcPr>
            <w:tcW w:w="787" w:type="pct"/>
            <w:noWrap/>
            <w:vAlign w:val="center"/>
            <w:hideMark/>
          </w:tcPr>
          <w:p w14:paraId="2AD667CC" w14:textId="77777777" w:rsidR="00E814BD" w:rsidRPr="0039091F" w:rsidRDefault="00E814BD" w:rsidP="000A5389">
            <w:pPr>
              <w:spacing w:line="240" w:lineRule="auto"/>
              <w:jc w:val="center"/>
              <w:rPr>
                <w:rFonts w:eastAsia="Times New Roman" w:cs="Times New Roman"/>
                <w:color w:val="000000"/>
                <w:sz w:val="18"/>
                <w:szCs w:val="18"/>
                <w:lang w:eastAsia="es-CO"/>
              </w:rPr>
            </w:pPr>
            <w:r w:rsidRPr="0039091F">
              <w:rPr>
                <w:rFonts w:eastAsia="Times New Roman" w:cs="Times New Roman"/>
                <w:color w:val="000000"/>
                <w:sz w:val="18"/>
                <w:szCs w:val="18"/>
                <w:lang w:eastAsia="es-CO"/>
              </w:rPr>
              <w:t>2106960</w:t>
            </w:r>
          </w:p>
        </w:tc>
        <w:tc>
          <w:tcPr>
            <w:tcW w:w="1770" w:type="pct"/>
            <w:noWrap/>
            <w:vAlign w:val="bottom"/>
            <w:hideMark/>
          </w:tcPr>
          <w:p w14:paraId="7E58C7CF" w14:textId="77777777" w:rsidR="00E814BD" w:rsidRPr="0039091F" w:rsidRDefault="00E814BD" w:rsidP="000A5389">
            <w:pPr>
              <w:spacing w:line="240" w:lineRule="auto"/>
              <w:jc w:val="center"/>
              <w:rPr>
                <w:rFonts w:eastAsia="Times New Roman" w:cs="Times New Roman"/>
                <w:color w:val="000000"/>
                <w:sz w:val="18"/>
                <w:szCs w:val="18"/>
                <w:lang w:eastAsia="es-CO"/>
              </w:rPr>
            </w:pPr>
            <w:r w:rsidRPr="0039091F">
              <w:rPr>
                <w:rFonts w:eastAsia="Times New Roman" w:cs="Times New Roman"/>
                <w:color w:val="000000"/>
                <w:sz w:val="18"/>
                <w:szCs w:val="18"/>
                <w:lang w:eastAsia="es-CO"/>
              </w:rPr>
              <w:t>25899333300220180020900</w:t>
            </w:r>
          </w:p>
        </w:tc>
        <w:tc>
          <w:tcPr>
            <w:tcW w:w="1236" w:type="pct"/>
            <w:noWrap/>
            <w:vAlign w:val="bottom"/>
            <w:hideMark/>
          </w:tcPr>
          <w:p w14:paraId="2EF65413" w14:textId="77777777" w:rsidR="00E814BD" w:rsidRPr="0039091F" w:rsidRDefault="00E814BD" w:rsidP="000A5389">
            <w:pPr>
              <w:spacing w:line="240" w:lineRule="auto"/>
              <w:jc w:val="center"/>
              <w:rPr>
                <w:rFonts w:eastAsia="Times New Roman" w:cs="Times New Roman"/>
                <w:color w:val="000000"/>
                <w:sz w:val="18"/>
                <w:szCs w:val="18"/>
                <w:lang w:eastAsia="es-CO"/>
              </w:rPr>
            </w:pPr>
            <w:r w:rsidRPr="0039091F">
              <w:rPr>
                <w:rFonts w:eastAsia="Times New Roman" w:cs="Times New Roman"/>
                <w:color w:val="000000"/>
                <w:sz w:val="18"/>
                <w:szCs w:val="18"/>
                <w:lang w:eastAsia="es-CO"/>
              </w:rPr>
              <w:t>7178352</w:t>
            </w:r>
          </w:p>
        </w:tc>
        <w:tc>
          <w:tcPr>
            <w:tcW w:w="1208" w:type="pct"/>
            <w:noWrap/>
            <w:vAlign w:val="bottom"/>
            <w:hideMark/>
          </w:tcPr>
          <w:p w14:paraId="3B042AC1" w14:textId="77777777" w:rsidR="00E814BD" w:rsidRPr="0039091F" w:rsidRDefault="00E814BD" w:rsidP="000A5389">
            <w:pPr>
              <w:spacing w:line="240" w:lineRule="auto"/>
              <w:jc w:val="center"/>
              <w:rPr>
                <w:rFonts w:eastAsia="Times New Roman" w:cs="Times New Roman"/>
                <w:color w:val="000000"/>
                <w:sz w:val="18"/>
                <w:szCs w:val="18"/>
                <w:lang w:eastAsia="es-CO"/>
              </w:rPr>
            </w:pPr>
            <w:r w:rsidRPr="0039091F">
              <w:rPr>
                <w:rFonts w:eastAsia="Times New Roman" w:cs="Times New Roman"/>
                <w:color w:val="000000"/>
                <w:sz w:val="18"/>
                <w:szCs w:val="18"/>
                <w:lang w:eastAsia="es-CO"/>
              </w:rPr>
              <w:t xml:space="preserve">               646.486.411 </w:t>
            </w:r>
          </w:p>
        </w:tc>
      </w:tr>
      <w:tr w:rsidR="00E814BD" w:rsidRPr="0039091F" w14:paraId="4774A816" w14:textId="77777777" w:rsidTr="00684C05">
        <w:trPr>
          <w:trHeight w:val="300"/>
          <w:jc w:val="center"/>
        </w:trPr>
        <w:tc>
          <w:tcPr>
            <w:tcW w:w="787" w:type="pct"/>
            <w:noWrap/>
            <w:vAlign w:val="center"/>
            <w:hideMark/>
          </w:tcPr>
          <w:p w14:paraId="6A4D9F8C" w14:textId="77777777" w:rsidR="00E814BD" w:rsidRPr="0039091F" w:rsidRDefault="00E814BD" w:rsidP="000A5389">
            <w:pPr>
              <w:spacing w:line="240" w:lineRule="auto"/>
              <w:jc w:val="center"/>
              <w:rPr>
                <w:rFonts w:eastAsia="Times New Roman" w:cs="Times New Roman"/>
                <w:color w:val="000000"/>
                <w:sz w:val="18"/>
                <w:szCs w:val="18"/>
                <w:lang w:eastAsia="es-CO"/>
              </w:rPr>
            </w:pPr>
            <w:r w:rsidRPr="0039091F">
              <w:rPr>
                <w:rFonts w:eastAsia="Times New Roman" w:cs="Times New Roman"/>
                <w:color w:val="000000"/>
                <w:sz w:val="18"/>
                <w:szCs w:val="18"/>
                <w:lang w:eastAsia="es-CO"/>
              </w:rPr>
              <w:t>1078472</w:t>
            </w:r>
          </w:p>
        </w:tc>
        <w:tc>
          <w:tcPr>
            <w:tcW w:w="1770" w:type="pct"/>
            <w:noWrap/>
            <w:vAlign w:val="bottom"/>
            <w:hideMark/>
          </w:tcPr>
          <w:p w14:paraId="3EEE9CDE" w14:textId="77777777" w:rsidR="00E814BD" w:rsidRPr="0039091F" w:rsidRDefault="00E814BD" w:rsidP="000A5389">
            <w:pPr>
              <w:spacing w:line="240" w:lineRule="auto"/>
              <w:jc w:val="center"/>
              <w:rPr>
                <w:rFonts w:eastAsia="Times New Roman" w:cs="Times New Roman"/>
                <w:color w:val="000000"/>
                <w:sz w:val="18"/>
                <w:szCs w:val="18"/>
                <w:lang w:eastAsia="es-CO"/>
              </w:rPr>
            </w:pPr>
            <w:r w:rsidRPr="0039091F">
              <w:rPr>
                <w:rFonts w:eastAsia="Times New Roman" w:cs="Times New Roman"/>
                <w:color w:val="000000"/>
                <w:sz w:val="18"/>
                <w:szCs w:val="18"/>
                <w:lang w:eastAsia="es-CO"/>
              </w:rPr>
              <w:t>68679333300220170006300</w:t>
            </w:r>
          </w:p>
        </w:tc>
        <w:tc>
          <w:tcPr>
            <w:tcW w:w="1236" w:type="pct"/>
            <w:noWrap/>
            <w:vAlign w:val="bottom"/>
            <w:hideMark/>
          </w:tcPr>
          <w:p w14:paraId="6304D6C6" w14:textId="77777777" w:rsidR="00E814BD" w:rsidRPr="0039091F" w:rsidRDefault="00E814BD" w:rsidP="000A5389">
            <w:pPr>
              <w:spacing w:line="240" w:lineRule="auto"/>
              <w:jc w:val="center"/>
              <w:rPr>
                <w:rFonts w:eastAsia="Times New Roman" w:cs="Times New Roman"/>
                <w:color w:val="000000"/>
                <w:sz w:val="18"/>
                <w:szCs w:val="18"/>
                <w:lang w:eastAsia="es-CO"/>
              </w:rPr>
            </w:pPr>
            <w:r w:rsidRPr="0039091F">
              <w:rPr>
                <w:rFonts w:eastAsia="Times New Roman" w:cs="Times New Roman"/>
                <w:color w:val="000000"/>
                <w:sz w:val="18"/>
                <w:szCs w:val="18"/>
                <w:lang w:eastAsia="es-CO"/>
              </w:rPr>
              <w:t>37895516</w:t>
            </w:r>
          </w:p>
        </w:tc>
        <w:tc>
          <w:tcPr>
            <w:tcW w:w="1208" w:type="pct"/>
            <w:noWrap/>
            <w:vAlign w:val="bottom"/>
            <w:hideMark/>
          </w:tcPr>
          <w:p w14:paraId="4BB059DF" w14:textId="77777777" w:rsidR="00E814BD" w:rsidRPr="0039091F" w:rsidRDefault="00E814BD" w:rsidP="000A5389">
            <w:pPr>
              <w:spacing w:line="240" w:lineRule="auto"/>
              <w:jc w:val="center"/>
              <w:rPr>
                <w:rFonts w:eastAsia="Times New Roman" w:cs="Times New Roman"/>
                <w:color w:val="000000"/>
                <w:sz w:val="18"/>
                <w:szCs w:val="18"/>
                <w:lang w:eastAsia="es-CO"/>
              </w:rPr>
            </w:pPr>
            <w:r w:rsidRPr="0039091F">
              <w:rPr>
                <w:rFonts w:eastAsia="Times New Roman" w:cs="Times New Roman"/>
                <w:color w:val="000000"/>
                <w:sz w:val="18"/>
                <w:szCs w:val="18"/>
                <w:lang w:eastAsia="es-CO"/>
              </w:rPr>
              <w:t xml:space="preserve">               624.017.155 </w:t>
            </w:r>
          </w:p>
        </w:tc>
      </w:tr>
      <w:tr w:rsidR="00E814BD" w:rsidRPr="0039091F" w14:paraId="4D5C240C" w14:textId="77777777" w:rsidTr="00684C05">
        <w:trPr>
          <w:trHeight w:val="300"/>
          <w:jc w:val="center"/>
        </w:trPr>
        <w:tc>
          <w:tcPr>
            <w:tcW w:w="787" w:type="pct"/>
            <w:noWrap/>
            <w:vAlign w:val="center"/>
            <w:hideMark/>
          </w:tcPr>
          <w:p w14:paraId="6161394B" w14:textId="77777777" w:rsidR="00E814BD" w:rsidRPr="0039091F" w:rsidRDefault="00E814BD" w:rsidP="000A5389">
            <w:pPr>
              <w:spacing w:line="240" w:lineRule="auto"/>
              <w:jc w:val="center"/>
              <w:rPr>
                <w:rFonts w:eastAsia="Times New Roman" w:cs="Times New Roman"/>
                <w:color w:val="000000"/>
                <w:sz w:val="18"/>
                <w:szCs w:val="18"/>
                <w:lang w:eastAsia="es-CO"/>
              </w:rPr>
            </w:pPr>
            <w:r w:rsidRPr="0039091F">
              <w:rPr>
                <w:rFonts w:eastAsia="Times New Roman" w:cs="Times New Roman"/>
                <w:color w:val="000000"/>
                <w:sz w:val="18"/>
                <w:szCs w:val="18"/>
                <w:lang w:eastAsia="es-CO"/>
              </w:rPr>
              <w:t>995786</w:t>
            </w:r>
          </w:p>
        </w:tc>
        <w:tc>
          <w:tcPr>
            <w:tcW w:w="1770" w:type="pct"/>
            <w:noWrap/>
            <w:vAlign w:val="bottom"/>
            <w:hideMark/>
          </w:tcPr>
          <w:p w14:paraId="69DFE243" w14:textId="77777777" w:rsidR="00E814BD" w:rsidRPr="0039091F" w:rsidRDefault="00E814BD" w:rsidP="000A5389">
            <w:pPr>
              <w:spacing w:line="240" w:lineRule="auto"/>
              <w:jc w:val="center"/>
              <w:rPr>
                <w:rFonts w:eastAsia="Times New Roman" w:cs="Times New Roman"/>
                <w:color w:val="000000"/>
                <w:sz w:val="18"/>
                <w:szCs w:val="18"/>
                <w:lang w:eastAsia="es-CO"/>
              </w:rPr>
            </w:pPr>
            <w:r w:rsidRPr="0039091F">
              <w:rPr>
                <w:rFonts w:eastAsia="Times New Roman" w:cs="Times New Roman"/>
                <w:color w:val="000000"/>
                <w:sz w:val="18"/>
                <w:szCs w:val="18"/>
                <w:lang w:eastAsia="es-CO"/>
              </w:rPr>
              <w:t>20001333300620160031000</w:t>
            </w:r>
          </w:p>
        </w:tc>
        <w:tc>
          <w:tcPr>
            <w:tcW w:w="1236" w:type="pct"/>
            <w:noWrap/>
            <w:vAlign w:val="bottom"/>
            <w:hideMark/>
          </w:tcPr>
          <w:p w14:paraId="4CF81362" w14:textId="77777777" w:rsidR="00E814BD" w:rsidRPr="0039091F" w:rsidRDefault="00E814BD" w:rsidP="000A5389">
            <w:pPr>
              <w:spacing w:line="240" w:lineRule="auto"/>
              <w:jc w:val="center"/>
              <w:rPr>
                <w:rFonts w:eastAsia="Times New Roman" w:cs="Times New Roman"/>
                <w:color w:val="000000"/>
                <w:sz w:val="18"/>
                <w:szCs w:val="18"/>
                <w:lang w:eastAsia="es-CO"/>
              </w:rPr>
            </w:pPr>
            <w:r w:rsidRPr="0039091F">
              <w:rPr>
                <w:rFonts w:eastAsia="Times New Roman" w:cs="Times New Roman"/>
                <w:color w:val="000000"/>
                <w:sz w:val="18"/>
                <w:szCs w:val="18"/>
                <w:lang w:eastAsia="es-CO"/>
              </w:rPr>
              <w:t>41588013</w:t>
            </w:r>
          </w:p>
        </w:tc>
        <w:tc>
          <w:tcPr>
            <w:tcW w:w="1208" w:type="pct"/>
            <w:noWrap/>
            <w:vAlign w:val="bottom"/>
            <w:hideMark/>
          </w:tcPr>
          <w:p w14:paraId="640C77C8" w14:textId="77777777" w:rsidR="00E814BD" w:rsidRPr="0039091F" w:rsidRDefault="00E814BD" w:rsidP="000A5389">
            <w:pPr>
              <w:spacing w:line="240" w:lineRule="auto"/>
              <w:jc w:val="center"/>
              <w:rPr>
                <w:rFonts w:eastAsia="Times New Roman" w:cs="Times New Roman"/>
                <w:color w:val="000000"/>
                <w:sz w:val="18"/>
                <w:szCs w:val="18"/>
                <w:lang w:eastAsia="es-CO"/>
              </w:rPr>
            </w:pPr>
            <w:r w:rsidRPr="0039091F">
              <w:rPr>
                <w:rFonts w:eastAsia="Times New Roman" w:cs="Times New Roman"/>
                <w:color w:val="000000"/>
                <w:sz w:val="18"/>
                <w:szCs w:val="18"/>
                <w:lang w:eastAsia="es-CO"/>
              </w:rPr>
              <w:t xml:space="preserve">               608.057.992 </w:t>
            </w:r>
          </w:p>
        </w:tc>
      </w:tr>
      <w:tr w:rsidR="00E814BD" w:rsidRPr="0039091F" w14:paraId="210C626B" w14:textId="77777777" w:rsidTr="00684C05">
        <w:trPr>
          <w:trHeight w:val="300"/>
          <w:jc w:val="center"/>
        </w:trPr>
        <w:tc>
          <w:tcPr>
            <w:tcW w:w="787" w:type="pct"/>
            <w:noWrap/>
            <w:vAlign w:val="center"/>
            <w:hideMark/>
          </w:tcPr>
          <w:p w14:paraId="62DFCBE1" w14:textId="77777777" w:rsidR="00E814BD" w:rsidRPr="0039091F" w:rsidRDefault="00E814BD" w:rsidP="000A5389">
            <w:pPr>
              <w:spacing w:line="240" w:lineRule="auto"/>
              <w:jc w:val="center"/>
              <w:rPr>
                <w:rFonts w:eastAsia="Times New Roman" w:cs="Times New Roman"/>
                <w:color w:val="000000"/>
                <w:sz w:val="18"/>
                <w:szCs w:val="18"/>
                <w:lang w:eastAsia="es-CO"/>
              </w:rPr>
            </w:pPr>
            <w:r w:rsidRPr="0039091F">
              <w:rPr>
                <w:rFonts w:eastAsia="Times New Roman" w:cs="Times New Roman"/>
                <w:color w:val="000000"/>
                <w:sz w:val="18"/>
                <w:szCs w:val="18"/>
                <w:lang w:eastAsia="es-CO"/>
              </w:rPr>
              <w:t>2572005</w:t>
            </w:r>
          </w:p>
        </w:tc>
        <w:tc>
          <w:tcPr>
            <w:tcW w:w="1770" w:type="pct"/>
            <w:noWrap/>
            <w:vAlign w:val="bottom"/>
            <w:hideMark/>
          </w:tcPr>
          <w:p w14:paraId="3E9D69AE" w14:textId="77777777" w:rsidR="00E814BD" w:rsidRPr="0039091F" w:rsidRDefault="00E814BD" w:rsidP="000A5389">
            <w:pPr>
              <w:spacing w:line="240" w:lineRule="auto"/>
              <w:jc w:val="center"/>
              <w:rPr>
                <w:rFonts w:eastAsia="Times New Roman" w:cs="Times New Roman"/>
                <w:color w:val="000000"/>
                <w:sz w:val="18"/>
                <w:szCs w:val="18"/>
                <w:lang w:eastAsia="es-CO"/>
              </w:rPr>
            </w:pPr>
            <w:r w:rsidRPr="0039091F">
              <w:rPr>
                <w:rFonts w:eastAsia="Times New Roman" w:cs="Times New Roman"/>
                <w:color w:val="000000"/>
                <w:sz w:val="18"/>
                <w:szCs w:val="18"/>
                <w:lang w:eastAsia="es-CO"/>
              </w:rPr>
              <w:t>23001333300420220035600</w:t>
            </w:r>
          </w:p>
        </w:tc>
        <w:tc>
          <w:tcPr>
            <w:tcW w:w="1236" w:type="pct"/>
            <w:noWrap/>
            <w:vAlign w:val="bottom"/>
            <w:hideMark/>
          </w:tcPr>
          <w:p w14:paraId="37EC041D" w14:textId="77777777" w:rsidR="00E814BD" w:rsidRPr="0039091F" w:rsidRDefault="00E814BD" w:rsidP="000A5389">
            <w:pPr>
              <w:spacing w:line="240" w:lineRule="auto"/>
              <w:jc w:val="center"/>
              <w:rPr>
                <w:rFonts w:eastAsia="Times New Roman" w:cs="Times New Roman"/>
                <w:color w:val="000000"/>
                <w:sz w:val="18"/>
                <w:szCs w:val="18"/>
                <w:lang w:eastAsia="es-CO"/>
              </w:rPr>
            </w:pPr>
            <w:r w:rsidRPr="0039091F">
              <w:rPr>
                <w:rFonts w:eastAsia="Times New Roman" w:cs="Times New Roman"/>
                <w:color w:val="000000"/>
                <w:sz w:val="18"/>
                <w:szCs w:val="18"/>
                <w:lang w:eastAsia="es-CO"/>
              </w:rPr>
              <w:t>1073977883</w:t>
            </w:r>
          </w:p>
        </w:tc>
        <w:tc>
          <w:tcPr>
            <w:tcW w:w="1208" w:type="pct"/>
            <w:noWrap/>
            <w:vAlign w:val="bottom"/>
            <w:hideMark/>
          </w:tcPr>
          <w:p w14:paraId="7466A672" w14:textId="77777777" w:rsidR="00E814BD" w:rsidRPr="0039091F" w:rsidRDefault="00E814BD" w:rsidP="000A5389">
            <w:pPr>
              <w:spacing w:line="240" w:lineRule="auto"/>
              <w:jc w:val="center"/>
              <w:rPr>
                <w:rFonts w:eastAsia="Times New Roman" w:cs="Times New Roman"/>
                <w:color w:val="000000"/>
                <w:sz w:val="18"/>
                <w:szCs w:val="18"/>
                <w:lang w:eastAsia="es-CO"/>
              </w:rPr>
            </w:pPr>
            <w:r w:rsidRPr="0039091F">
              <w:rPr>
                <w:rFonts w:eastAsia="Times New Roman" w:cs="Times New Roman"/>
                <w:color w:val="000000"/>
                <w:sz w:val="18"/>
                <w:szCs w:val="18"/>
                <w:lang w:eastAsia="es-CO"/>
              </w:rPr>
              <w:t xml:space="preserve">               573.064.363 </w:t>
            </w:r>
          </w:p>
        </w:tc>
      </w:tr>
      <w:tr w:rsidR="00E814BD" w:rsidRPr="0039091F" w14:paraId="3F2C92CC" w14:textId="77777777" w:rsidTr="00684C05">
        <w:trPr>
          <w:trHeight w:val="300"/>
          <w:jc w:val="center"/>
        </w:trPr>
        <w:tc>
          <w:tcPr>
            <w:tcW w:w="787" w:type="pct"/>
            <w:noWrap/>
            <w:vAlign w:val="center"/>
            <w:hideMark/>
          </w:tcPr>
          <w:p w14:paraId="73287836" w14:textId="77777777" w:rsidR="00E814BD" w:rsidRPr="0039091F" w:rsidRDefault="00E814BD" w:rsidP="000A5389">
            <w:pPr>
              <w:spacing w:line="240" w:lineRule="auto"/>
              <w:jc w:val="center"/>
              <w:rPr>
                <w:rFonts w:eastAsia="Times New Roman" w:cs="Times New Roman"/>
                <w:color w:val="000000"/>
                <w:sz w:val="18"/>
                <w:szCs w:val="18"/>
                <w:lang w:eastAsia="es-CO"/>
              </w:rPr>
            </w:pPr>
            <w:r w:rsidRPr="0039091F">
              <w:rPr>
                <w:rFonts w:eastAsia="Times New Roman" w:cs="Times New Roman"/>
                <w:color w:val="000000"/>
                <w:sz w:val="18"/>
                <w:szCs w:val="18"/>
                <w:lang w:eastAsia="es-CO"/>
              </w:rPr>
              <w:t>474441</w:t>
            </w:r>
          </w:p>
        </w:tc>
        <w:tc>
          <w:tcPr>
            <w:tcW w:w="1770" w:type="pct"/>
            <w:noWrap/>
            <w:vAlign w:val="bottom"/>
            <w:hideMark/>
          </w:tcPr>
          <w:p w14:paraId="7298AB8C" w14:textId="77777777" w:rsidR="00E814BD" w:rsidRPr="0039091F" w:rsidRDefault="00E814BD" w:rsidP="000A5389">
            <w:pPr>
              <w:spacing w:line="240" w:lineRule="auto"/>
              <w:jc w:val="center"/>
              <w:rPr>
                <w:rFonts w:eastAsia="Times New Roman" w:cs="Times New Roman"/>
                <w:color w:val="000000"/>
                <w:sz w:val="18"/>
                <w:szCs w:val="18"/>
                <w:lang w:eastAsia="es-CO"/>
              </w:rPr>
            </w:pPr>
            <w:r w:rsidRPr="0039091F">
              <w:rPr>
                <w:rFonts w:eastAsia="Times New Roman" w:cs="Times New Roman"/>
                <w:color w:val="000000"/>
                <w:sz w:val="18"/>
                <w:szCs w:val="18"/>
                <w:lang w:eastAsia="es-CO"/>
              </w:rPr>
              <w:t>11001333603520130019600</w:t>
            </w:r>
          </w:p>
        </w:tc>
        <w:tc>
          <w:tcPr>
            <w:tcW w:w="1236" w:type="pct"/>
            <w:noWrap/>
            <w:vAlign w:val="bottom"/>
            <w:hideMark/>
          </w:tcPr>
          <w:p w14:paraId="65FA047B" w14:textId="77777777" w:rsidR="00E814BD" w:rsidRPr="0039091F" w:rsidRDefault="00E814BD" w:rsidP="000A5389">
            <w:pPr>
              <w:spacing w:line="240" w:lineRule="auto"/>
              <w:jc w:val="center"/>
              <w:rPr>
                <w:rFonts w:eastAsia="Times New Roman" w:cs="Times New Roman"/>
                <w:color w:val="000000"/>
                <w:sz w:val="18"/>
                <w:szCs w:val="18"/>
                <w:lang w:eastAsia="es-CO"/>
              </w:rPr>
            </w:pPr>
            <w:r w:rsidRPr="0039091F">
              <w:rPr>
                <w:rFonts w:eastAsia="Times New Roman" w:cs="Times New Roman"/>
                <w:color w:val="000000"/>
                <w:sz w:val="18"/>
                <w:szCs w:val="18"/>
                <w:lang w:eastAsia="es-CO"/>
              </w:rPr>
              <w:t>2193588</w:t>
            </w:r>
          </w:p>
        </w:tc>
        <w:tc>
          <w:tcPr>
            <w:tcW w:w="1208" w:type="pct"/>
            <w:noWrap/>
            <w:vAlign w:val="bottom"/>
            <w:hideMark/>
          </w:tcPr>
          <w:p w14:paraId="438ACECE" w14:textId="77777777" w:rsidR="00E814BD" w:rsidRPr="0039091F" w:rsidRDefault="00E814BD" w:rsidP="000A5389">
            <w:pPr>
              <w:spacing w:line="240" w:lineRule="auto"/>
              <w:jc w:val="center"/>
              <w:rPr>
                <w:rFonts w:eastAsia="Times New Roman" w:cs="Times New Roman"/>
                <w:color w:val="000000"/>
                <w:sz w:val="18"/>
                <w:szCs w:val="18"/>
                <w:lang w:eastAsia="es-CO"/>
              </w:rPr>
            </w:pPr>
            <w:r w:rsidRPr="0039091F">
              <w:rPr>
                <w:rFonts w:eastAsia="Times New Roman" w:cs="Times New Roman"/>
                <w:color w:val="000000"/>
                <w:sz w:val="18"/>
                <w:szCs w:val="18"/>
                <w:lang w:eastAsia="es-CO"/>
              </w:rPr>
              <w:t xml:space="preserve">               565.065.880 </w:t>
            </w:r>
          </w:p>
        </w:tc>
      </w:tr>
      <w:tr w:rsidR="00E814BD" w:rsidRPr="0039091F" w14:paraId="06F17706" w14:textId="77777777" w:rsidTr="00684C05">
        <w:trPr>
          <w:trHeight w:val="300"/>
          <w:jc w:val="center"/>
        </w:trPr>
        <w:tc>
          <w:tcPr>
            <w:tcW w:w="787" w:type="pct"/>
            <w:noWrap/>
            <w:vAlign w:val="center"/>
            <w:hideMark/>
          </w:tcPr>
          <w:p w14:paraId="2C086D68" w14:textId="77777777" w:rsidR="00E814BD" w:rsidRPr="0039091F" w:rsidRDefault="00E814BD" w:rsidP="000A5389">
            <w:pPr>
              <w:spacing w:line="240" w:lineRule="auto"/>
              <w:jc w:val="center"/>
              <w:rPr>
                <w:rFonts w:eastAsia="Times New Roman" w:cs="Times New Roman"/>
                <w:color w:val="000000"/>
                <w:sz w:val="18"/>
                <w:szCs w:val="18"/>
                <w:lang w:eastAsia="es-CO"/>
              </w:rPr>
            </w:pPr>
            <w:r w:rsidRPr="0039091F">
              <w:rPr>
                <w:rFonts w:eastAsia="Times New Roman" w:cs="Times New Roman"/>
                <w:color w:val="000000"/>
                <w:sz w:val="18"/>
                <w:szCs w:val="18"/>
                <w:lang w:eastAsia="es-CO"/>
              </w:rPr>
              <w:t>2627351</w:t>
            </w:r>
          </w:p>
        </w:tc>
        <w:tc>
          <w:tcPr>
            <w:tcW w:w="1770" w:type="pct"/>
            <w:noWrap/>
            <w:vAlign w:val="bottom"/>
            <w:hideMark/>
          </w:tcPr>
          <w:p w14:paraId="5A5A0BB1" w14:textId="77777777" w:rsidR="00E814BD" w:rsidRPr="0039091F" w:rsidRDefault="00E814BD" w:rsidP="000A5389">
            <w:pPr>
              <w:spacing w:line="240" w:lineRule="auto"/>
              <w:jc w:val="center"/>
              <w:rPr>
                <w:rFonts w:eastAsia="Times New Roman" w:cs="Times New Roman"/>
                <w:color w:val="000000"/>
                <w:sz w:val="18"/>
                <w:szCs w:val="18"/>
                <w:lang w:eastAsia="es-CO"/>
              </w:rPr>
            </w:pPr>
            <w:r w:rsidRPr="0039091F">
              <w:rPr>
                <w:rFonts w:eastAsia="Times New Roman" w:cs="Times New Roman"/>
                <w:color w:val="000000"/>
                <w:sz w:val="18"/>
                <w:szCs w:val="18"/>
                <w:lang w:eastAsia="es-CO"/>
              </w:rPr>
              <w:t>70001333300120240008700</w:t>
            </w:r>
          </w:p>
        </w:tc>
        <w:tc>
          <w:tcPr>
            <w:tcW w:w="1236" w:type="pct"/>
            <w:noWrap/>
            <w:vAlign w:val="bottom"/>
            <w:hideMark/>
          </w:tcPr>
          <w:p w14:paraId="4B7F6821" w14:textId="77777777" w:rsidR="00E814BD" w:rsidRPr="0039091F" w:rsidRDefault="00E814BD" w:rsidP="000A5389">
            <w:pPr>
              <w:spacing w:line="240" w:lineRule="auto"/>
              <w:jc w:val="center"/>
              <w:rPr>
                <w:rFonts w:eastAsia="Times New Roman" w:cs="Times New Roman"/>
                <w:color w:val="000000"/>
                <w:sz w:val="18"/>
                <w:szCs w:val="18"/>
                <w:lang w:eastAsia="es-CO"/>
              </w:rPr>
            </w:pPr>
            <w:r w:rsidRPr="0039091F">
              <w:rPr>
                <w:rFonts w:eastAsia="Times New Roman" w:cs="Times New Roman"/>
                <w:color w:val="000000"/>
                <w:sz w:val="18"/>
                <w:szCs w:val="18"/>
                <w:lang w:eastAsia="es-CO"/>
              </w:rPr>
              <w:t>9040176</w:t>
            </w:r>
          </w:p>
        </w:tc>
        <w:tc>
          <w:tcPr>
            <w:tcW w:w="1208" w:type="pct"/>
            <w:noWrap/>
            <w:vAlign w:val="bottom"/>
            <w:hideMark/>
          </w:tcPr>
          <w:p w14:paraId="71CAAA3A" w14:textId="77777777" w:rsidR="00E814BD" w:rsidRPr="0039091F" w:rsidRDefault="00E814BD" w:rsidP="000A5389">
            <w:pPr>
              <w:spacing w:line="240" w:lineRule="auto"/>
              <w:jc w:val="center"/>
              <w:rPr>
                <w:rFonts w:eastAsia="Times New Roman" w:cs="Times New Roman"/>
                <w:color w:val="000000"/>
                <w:sz w:val="18"/>
                <w:szCs w:val="18"/>
                <w:lang w:eastAsia="es-CO"/>
              </w:rPr>
            </w:pPr>
            <w:r w:rsidRPr="0039091F">
              <w:rPr>
                <w:rFonts w:eastAsia="Times New Roman" w:cs="Times New Roman"/>
                <w:color w:val="000000"/>
                <w:sz w:val="18"/>
                <w:szCs w:val="18"/>
                <w:lang w:eastAsia="es-CO"/>
              </w:rPr>
              <w:t xml:space="preserve">               555.057.898 </w:t>
            </w:r>
          </w:p>
        </w:tc>
      </w:tr>
      <w:tr w:rsidR="00E814BD" w:rsidRPr="0039091F" w14:paraId="65BBDD72" w14:textId="77777777" w:rsidTr="00684C05">
        <w:trPr>
          <w:trHeight w:val="300"/>
          <w:jc w:val="center"/>
        </w:trPr>
        <w:tc>
          <w:tcPr>
            <w:tcW w:w="787" w:type="pct"/>
            <w:noWrap/>
            <w:vAlign w:val="center"/>
            <w:hideMark/>
          </w:tcPr>
          <w:p w14:paraId="786FCFB5" w14:textId="77777777" w:rsidR="00E814BD" w:rsidRPr="0039091F" w:rsidRDefault="00E814BD" w:rsidP="000A5389">
            <w:pPr>
              <w:spacing w:line="240" w:lineRule="auto"/>
              <w:jc w:val="center"/>
              <w:rPr>
                <w:rFonts w:eastAsia="Times New Roman" w:cs="Times New Roman"/>
                <w:color w:val="000000"/>
                <w:sz w:val="18"/>
                <w:szCs w:val="18"/>
                <w:lang w:eastAsia="es-CO"/>
              </w:rPr>
            </w:pPr>
            <w:r w:rsidRPr="0039091F">
              <w:rPr>
                <w:rFonts w:eastAsia="Times New Roman" w:cs="Times New Roman"/>
                <w:color w:val="000000"/>
                <w:sz w:val="18"/>
                <w:szCs w:val="18"/>
                <w:lang w:eastAsia="es-CO"/>
              </w:rPr>
              <w:t>1348961</w:t>
            </w:r>
          </w:p>
        </w:tc>
        <w:tc>
          <w:tcPr>
            <w:tcW w:w="1770" w:type="pct"/>
            <w:noWrap/>
            <w:vAlign w:val="bottom"/>
            <w:hideMark/>
          </w:tcPr>
          <w:p w14:paraId="74804B3C" w14:textId="77777777" w:rsidR="00E814BD" w:rsidRPr="0039091F" w:rsidRDefault="00E814BD" w:rsidP="000A5389">
            <w:pPr>
              <w:spacing w:line="240" w:lineRule="auto"/>
              <w:jc w:val="center"/>
              <w:rPr>
                <w:rFonts w:eastAsia="Times New Roman" w:cs="Times New Roman"/>
                <w:color w:val="000000"/>
                <w:sz w:val="18"/>
                <w:szCs w:val="18"/>
                <w:lang w:eastAsia="es-CO"/>
              </w:rPr>
            </w:pPr>
            <w:r w:rsidRPr="0039091F">
              <w:rPr>
                <w:rFonts w:eastAsia="Times New Roman" w:cs="Times New Roman"/>
                <w:color w:val="000000"/>
                <w:sz w:val="18"/>
                <w:szCs w:val="18"/>
                <w:lang w:eastAsia="es-CO"/>
              </w:rPr>
              <w:t>05001333301120180037800</w:t>
            </w:r>
          </w:p>
        </w:tc>
        <w:tc>
          <w:tcPr>
            <w:tcW w:w="1236" w:type="pct"/>
            <w:noWrap/>
            <w:vAlign w:val="bottom"/>
            <w:hideMark/>
          </w:tcPr>
          <w:p w14:paraId="78D33FFE" w14:textId="77777777" w:rsidR="00E814BD" w:rsidRPr="0039091F" w:rsidRDefault="00E814BD" w:rsidP="000A5389">
            <w:pPr>
              <w:spacing w:line="240" w:lineRule="auto"/>
              <w:jc w:val="center"/>
              <w:rPr>
                <w:rFonts w:eastAsia="Times New Roman" w:cs="Times New Roman"/>
                <w:color w:val="000000"/>
                <w:sz w:val="18"/>
                <w:szCs w:val="18"/>
                <w:lang w:eastAsia="es-CO"/>
              </w:rPr>
            </w:pPr>
            <w:r w:rsidRPr="0039091F">
              <w:rPr>
                <w:rFonts w:eastAsia="Times New Roman" w:cs="Times New Roman"/>
                <w:color w:val="000000"/>
                <w:sz w:val="18"/>
                <w:szCs w:val="18"/>
                <w:lang w:eastAsia="es-CO"/>
              </w:rPr>
              <w:t>71748371</w:t>
            </w:r>
          </w:p>
        </w:tc>
        <w:tc>
          <w:tcPr>
            <w:tcW w:w="1208" w:type="pct"/>
            <w:noWrap/>
            <w:vAlign w:val="bottom"/>
            <w:hideMark/>
          </w:tcPr>
          <w:p w14:paraId="5B4AF593" w14:textId="77777777" w:rsidR="00E814BD" w:rsidRPr="0039091F" w:rsidRDefault="00E814BD" w:rsidP="000A5389">
            <w:pPr>
              <w:spacing w:line="240" w:lineRule="auto"/>
              <w:jc w:val="center"/>
              <w:rPr>
                <w:rFonts w:eastAsia="Times New Roman" w:cs="Times New Roman"/>
                <w:color w:val="000000"/>
                <w:sz w:val="18"/>
                <w:szCs w:val="18"/>
                <w:lang w:eastAsia="es-CO"/>
              </w:rPr>
            </w:pPr>
            <w:r w:rsidRPr="0039091F">
              <w:rPr>
                <w:rFonts w:eastAsia="Times New Roman" w:cs="Times New Roman"/>
                <w:color w:val="000000"/>
                <w:sz w:val="18"/>
                <w:szCs w:val="18"/>
                <w:lang w:eastAsia="es-CO"/>
              </w:rPr>
              <w:t xml:space="preserve">               551.003.813 </w:t>
            </w:r>
          </w:p>
        </w:tc>
      </w:tr>
      <w:tr w:rsidR="00E814BD" w:rsidRPr="0039091F" w14:paraId="5F4BA048" w14:textId="77777777" w:rsidTr="00684C05">
        <w:trPr>
          <w:trHeight w:val="300"/>
          <w:jc w:val="center"/>
        </w:trPr>
        <w:tc>
          <w:tcPr>
            <w:tcW w:w="787" w:type="pct"/>
            <w:noWrap/>
            <w:vAlign w:val="center"/>
            <w:hideMark/>
          </w:tcPr>
          <w:p w14:paraId="732B3E78" w14:textId="77777777" w:rsidR="00E814BD" w:rsidRPr="0039091F" w:rsidRDefault="00E814BD" w:rsidP="000A5389">
            <w:pPr>
              <w:spacing w:line="240" w:lineRule="auto"/>
              <w:jc w:val="center"/>
              <w:rPr>
                <w:rFonts w:eastAsia="Times New Roman" w:cs="Times New Roman"/>
                <w:color w:val="000000"/>
                <w:sz w:val="18"/>
                <w:szCs w:val="18"/>
                <w:lang w:eastAsia="es-CO"/>
              </w:rPr>
            </w:pPr>
            <w:r w:rsidRPr="0039091F">
              <w:rPr>
                <w:rFonts w:eastAsia="Times New Roman" w:cs="Times New Roman"/>
                <w:color w:val="000000"/>
                <w:sz w:val="18"/>
                <w:szCs w:val="18"/>
                <w:lang w:eastAsia="es-CO"/>
              </w:rPr>
              <w:t>119542</w:t>
            </w:r>
          </w:p>
        </w:tc>
        <w:tc>
          <w:tcPr>
            <w:tcW w:w="1770" w:type="pct"/>
            <w:noWrap/>
            <w:vAlign w:val="bottom"/>
            <w:hideMark/>
          </w:tcPr>
          <w:p w14:paraId="5D087C8D" w14:textId="77777777" w:rsidR="00E814BD" w:rsidRPr="0039091F" w:rsidRDefault="00E814BD" w:rsidP="000A5389">
            <w:pPr>
              <w:spacing w:line="240" w:lineRule="auto"/>
              <w:jc w:val="center"/>
              <w:rPr>
                <w:rFonts w:eastAsia="Times New Roman" w:cs="Times New Roman"/>
                <w:color w:val="000000"/>
                <w:sz w:val="18"/>
                <w:szCs w:val="18"/>
                <w:lang w:eastAsia="es-CO"/>
              </w:rPr>
            </w:pPr>
            <w:r w:rsidRPr="0039091F">
              <w:rPr>
                <w:rFonts w:eastAsia="Times New Roman" w:cs="Times New Roman"/>
                <w:color w:val="000000"/>
                <w:sz w:val="18"/>
                <w:szCs w:val="18"/>
                <w:lang w:eastAsia="es-CO"/>
              </w:rPr>
              <w:t>11001333103520090022300</w:t>
            </w:r>
          </w:p>
        </w:tc>
        <w:tc>
          <w:tcPr>
            <w:tcW w:w="1236" w:type="pct"/>
            <w:noWrap/>
            <w:vAlign w:val="bottom"/>
            <w:hideMark/>
          </w:tcPr>
          <w:p w14:paraId="299F09E9" w14:textId="77777777" w:rsidR="00E814BD" w:rsidRPr="0039091F" w:rsidRDefault="00E814BD" w:rsidP="000A5389">
            <w:pPr>
              <w:spacing w:line="240" w:lineRule="auto"/>
              <w:jc w:val="center"/>
              <w:rPr>
                <w:rFonts w:eastAsia="Times New Roman" w:cs="Times New Roman"/>
                <w:color w:val="000000"/>
                <w:sz w:val="18"/>
                <w:szCs w:val="18"/>
                <w:lang w:eastAsia="es-CO"/>
              </w:rPr>
            </w:pPr>
            <w:r w:rsidRPr="0039091F">
              <w:rPr>
                <w:rFonts w:eastAsia="Times New Roman" w:cs="Times New Roman"/>
                <w:color w:val="000000"/>
                <w:sz w:val="18"/>
                <w:szCs w:val="18"/>
                <w:lang w:eastAsia="es-CO"/>
              </w:rPr>
              <w:t>860002566</w:t>
            </w:r>
          </w:p>
        </w:tc>
        <w:tc>
          <w:tcPr>
            <w:tcW w:w="1208" w:type="pct"/>
            <w:noWrap/>
            <w:vAlign w:val="bottom"/>
            <w:hideMark/>
          </w:tcPr>
          <w:p w14:paraId="554BFD92" w14:textId="77777777" w:rsidR="00E814BD" w:rsidRPr="0039091F" w:rsidRDefault="00E814BD" w:rsidP="000A5389">
            <w:pPr>
              <w:spacing w:line="240" w:lineRule="auto"/>
              <w:jc w:val="center"/>
              <w:rPr>
                <w:rFonts w:eastAsia="Times New Roman" w:cs="Times New Roman"/>
                <w:color w:val="000000"/>
                <w:sz w:val="18"/>
                <w:szCs w:val="18"/>
                <w:lang w:eastAsia="es-CO"/>
              </w:rPr>
            </w:pPr>
            <w:r w:rsidRPr="0039091F">
              <w:rPr>
                <w:rFonts w:eastAsia="Times New Roman" w:cs="Times New Roman"/>
                <w:color w:val="000000"/>
                <w:sz w:val="18"/>
                <w:szCs w:val="18"/>
                <w:lang w:eastAsia="es-CO"/>
              </w:rPr>
              <w:t xml:space="preserve">               505.348.138 </w:t>
            </w:r>
          </w:p>
        </w:tc>
      </w:tr>
      <w:tr w:rsidR="00E814BD" w:rsidRPr="0039091F" w14:paraId="01C6A690" w14:textId="77777777" w:rsidTr="00684C05">
        <w:trPr>
          <w:trHeight w:val="300"/>
          <w:jc w:val="center"/>
        </w:trPr>
        <w:tc>
          <w:tcPr>
            <w:tcW w:w="787" w:type="pct"/>
            <w:noWrap/>
            <w:vAlign w:val="center"/>
            <w:hideMark/>
          </w:tcPr>
          <w:p w14:paraId="7350C69D" w14:textId="77777777" w:rsidR="00E814BD" w:rsidRPr="0039091F" w:rsidRDefault="00E814BD" w:rsidP="000A5389">
            <w:pPr>
              <w:spacing w:line="240" w:lineRule="auto"/>
              <w:jc w:val="center"/>
              <w:rPr>
                <w:rFonts w:eastAsia="Times New Roman" w:cs="Times New Roman"/>
                <w:color w:val="000000"/>
                <w:sz w:val="18"/>
                <w:szCs w:val="18"/>
                <w:lang w:eastAsia="es-CO"/>
              </w:rPr>
            </w:pPr>
            <w:r w:rsidRPr="0039091F">
              <w:rPr>
                <w:rFonts w:eastAsia="Times New Roman" w:cs="Times New Roman"/>
                <w:color w:val="000000"/>
                <w:sz w:val="18"/>
                <w:szCs w:val="18"/>
                <w:lang w:eastAsia="es-CO"/>
              </w:rPr>
              <w:t>1128220</w:t>
            </w:r>
          </w:p>
        </w:tc>
        <w:tc>
          <w:tcPr>
            <w:tcW w:w="1770" w:type="pct"/>
            <w:noWrap/>
            <w:vAlign w:val="bottom"/>
            <w:hideMark/>
          </w:tcPr>
          <w:p w14:paraId="7CE07AC7" w14:textId="77777777" w:rsidR="00E814BD" w:rsidRPr="0039091F" w:rsidRDefault="00E814BD" w:rsidP="000A5389">
            <w:pPr>
              <w:spacing w:line="240" w:lineRule="auto"/>
              <w:jc w:val="center"/>
              <w:rPr>
                <w:rFonts w:eastAsia="Times New Roman" w:cs="Times New Roman"/>
                <w:color w:val="000000"/>
                <w:sz w:val="18"/>
                <w:szCs w:val="18"/>
                <w:lang w:eastAsia="es-CO"/>
              </w:rPr>
            </w:pPr>
            <w:r w:rsidRPr="0039091F">
              <w:rPr>
                <w:rFonts w:eastAsia="Times New Roman" w:cs="Times New Roman"/>
                <w:color w:val="000000"/>
                <w:sz w:val="18"/>
                <w:szCs w:val="18"/>
                <w:lang w:eastAsia="es-CO"/>
              </w:rPr>
              <w:t>15001333300620170008100</w:t>
            </w:r>
          </w:p>
        </w:tc>
        <w:tc>
          <w:tcPr>
            <w:tcW w:w="1236" w:type="pct"/>
            <w:noWrap/>
            <w:vAlign w:val="bottom"/>
            <w:hideMark/>
          </w:tcPr>
          <w:p w14:paraId="4AD32D56" w14:textId="77777777" w:rsidR="00E814BD" w:rsidRPr="0039091F" w:rsidRDefault="00E814BD" w:rsidP="000A5389">
            <w:pPr>
              <w:spacing w:line="240" w:lineRule="auto"/>
              <w:jc w:val="center"/>
              <w:rPr>
                <w:rFonts w:eastAsia="Times New Roman" w:cs="Times New Roman"/>
                <w:color w:val="000000"/>
                <w:sz w:val="18"/>
                <w:szCs w:val="18"/>
                <w:lang w:eastAsia="es-CO"/>
              </w:rPr>
            </w:pPr>
            <w:r w:rsidRPr="0039091F">
              <w:rPr>
                <w:rFonts w:eastAsia="Times New Roman" w:cs="Times New Roman"/>
                <w:color w:val="000000"/>
                <w:sz w:val="18"/>
                <w:szCs w:val="18"/>
                <w:lang w:eastAsia="es-CO"/>
              </w:rPr>
              <w:t>9535844</w:t>
            </w:r>
          </w:p>
        </w:tc>
        <w:tc>
          <w:tcPr>
            <w:tcW w:w="1208" w:type="pct"/>
            <w:noWrap/>
            <w:vAlign w:val="bottom"/>
            <w:hideMark/>
          </w:tcPr>
          <w:p w14:paraId="227F1EA0" w14:textId="77777777" w:rsidR="00E814BD" w:rsidRPr="0039091F" w:rsidRDefault="00E814BD" w:rsidP="000A5389">
            <w:pPr>
              <w:spacing w:line="240" w:lineRule="auto"/>
              <w:jc w:val="center"/>
              <w:rPr>
                <w:rFonts w:eastAsia="Times New Roman" w:cs="Times New Roman"/>
                <w:color w:val="000000"/>
                <w:sz w:val="18"/>
                <w:szCs w:val="18"/>
                <w:lang w:eastAsia="es-CO"/>
              </w:rPr>
            </w:pPr>
            <w:r w:rsidRPr="0039091F">
              <w:rPr>
                <w:rFonts w:eastAsia="Times New Roman" w:cs="Times New Roman"/>
                <w:color w:val="000000"/>
                <w:sz w:val="18"/>
                <w:szCs w:val="18"/>
                <w:lang w:eastAsia="es-CO"/>
              </w:rPr>
              <w:t xml:space="preserve">               497.718.765 </w:t>
            </w:r>
          </w:p>
        </w:tc>
      </w:tr>
      <w:tr w:rsidR="00E814BD" w:rsidRPr="0039091F" w14:paraId="0EC4CE57" w14:textId="77777777" w:rsidTr="00684C05">
        <w:trPr>
          <w:trHeight w:val="300"/>
          <w:jc w:val="center"/>
        </w:trPr>
        <w:tc>
          <w:tcPr>
            <w:tcW w:w="787" w:type="pct"/>
            <w:noWrap/>
            <w:vAlign w:val="center"/>
            <w:hideMark/>
          </w:tcPr>
          <w:p w14:paraId="3CF08BE6" w14:textId="77777777" w:rsidR="00E814BD" w:rsidRPr="0039091F" w:rsidRDefault="00E814BD" w:rsidP="000A5389">
            <w:pPr>
              <w:spacing w:line="240" w:lineRule="auto"/>
              <w:jc w:val="center"/>
              <w:rPr>
                <w:rFonts w:eastAsia="Times New Roman" w:cs="Times New Roman"/>
                <w:color w:val="000000"/>
                <w:sz w:val="18"/>
                <w:szCs w:val="18"/>
                <w:lang w:eastAsia="es-CO"/>
              </w:rPr>
            </w:pPr>
            <w:r w:rsidRPr="0039091F">
              <w:rPr>
                <w:rFonts w:eastAsia="Times New Roman" w:cs="Times New Roman"/>
                <w:color w:val="000000"/>
                <w:sz w:val="18"/>
                <w:szCs w:val="18"/>
                <w:lang w:eastAsia="es-CO"/>
              </w:rPr>
              <w:t>466647</w:t>
            </w:r>
          </w:p>
        </w:tc>
        <w:tc>
          <w:tcPr>
            <w:tcW w:w="1770" w:type="pct"/>
            <w:noWrap/>
            <w:vAlign w:val="bottom"/>
            <w:hideMark/>
          </w:tcPr>
          <w:p w14:paraId="7333C920" w14:textId="77777777" w:rsidR="00E814BD" w:rsidRPr="0039091F" w:rsidRDefault="00E814BD" w:rsidP="000A5389">
            <w:pPr>
              <w:spacing w:line="240" w:lineRule="auto"/>
              <w:jc w:val="center"/>
              <w:rPr>
                <w:rFonts w:eastAsia="Times New Roman" w:cs="Times New Roman"/>
                <w:color w:val="000000"/>
                <w:sz w:val="18"/>
                <w:szCs w:val="18"/>
                <w:lang w:eastAsia="es-CO"/>
              </w:rPr>
            </w:pPr>
            <w:r w:rsidRPr="0039091F">
              <w:rPr>
                <w:rFonts w:eastAsia="Times New Roman" w:cs="Times New Roman"/>
                <w:color w:val="000000"/>
                <w:sz w:val="18"/>
                <w:szCs w:val="18"/>
                <w:lang w:eastAsia="es-CO"/>
              </w:rPr>
              <w:t>68001333301020140019200</w:t>
            </w:r>
          </w:p>
        </w:tc>
        <w:tc>
          <w:tcPr>
            <w:tcW w:w="1236" w:type="pct"/>
            <w:noWrap/>
            <w:vAlign w:val="bottom"/>
            <w:hideMark/>
          </w:tcPr>
          <w:p w14:paraId="24B7C7EA" w14:textId="77777777" w:rsidR="00E814BD" w:rsidRPr="0039091F" w:rsidRDefault="00E814BD" w:rsidP="000A5389">
            <w:pPr>
              <w:spacing w:line="240" w:lineRule="auto"/>
              <w:jc w:val="center"/>
              <w:rPr>
                <w:rFonts w:eastAsia="Times New Roman" w:cs="Times New Roman"/>
                <w:color w:val="000000"/>
                <w:sz w:val="18"/>
                <w:szCs w:val="18"/>
                <w:lang w:eastAsia="es-CO"/>
              </w:rPr>
            </w:pPr>
            <w:r w:rsidRPr="0039091F">
              <w:rPr>
                <w:rFonts w:eastAsia="Times New Roman" w:cs="Times New Roman"/>
                <w:color w:val="000000"/>
                <w:sz w:val="18"/>
                <w:szCs w:val="18"/>
                <w:lang w:eastAsia="es-CO"/>
              </w:rPr>
              <w:t>91271439</w:t>
            </w:r>
          </w:p>
        </w:tc>
        <w:tc>
          <w:tcPr>
            <w:tcW w:w="1208" w:type="pct"/>
            <w:noWrap/>
            <w:vAlign w:val="bottom"/>
            <w:hideMark/>
          </w:tcPr>
          <w:p w14:paraId="397D1614" w14:textId="77777777" w:rsidR="00E814BD" w:rsidRPr="0039091F" w:rsidRDefault="00E814BD" w:rsidP="000A5389">
            <w:pPr>
              <w:spacing w:line="240" w:lineRule="auto"/>
              <w:jc w:val="center"/>
              <w:rPr>
                <w:rFonts w:eastAsia="Times New Roman" w:cs="Times New Roman"/>
                <w:color w:val="000000"/>
                <w:sz w:val="18"/>
                <w:szCs w:val="18"/>
                <w:lang w:eastAsia="es-CO"/>
              </w:rPr>
            </w:pPr>
            <w:r w:rsidRPr="0039091F">
              <w:rPr>
                <w:rFonts w:eastAsia="Times New Roman" w:cs="Times New Roman"/>
                <w:color w:val="000000"/>
                <w:sz w:val="18"/>
                <w:szCs w:val="18"/>
                <w:lang w:eastAsia="es-CO"/>
              </w:rPr>
              <w:t xml:space="preserve">               471.837.402 </w:t>
            </w:r>
          </w:p>
        </w:tc>
      </w:tr>
      <w:tr w:rsidR="00E814BD" w:rsidRPr="0039091F" w14:paraId="102C591A" w14:textId="77777777" w:rsidTr="00684C05">
        <w:trPr>
          <w:trHeight w:val="300"/>
          <w:jc w:val="center"/>
        </w:trPr>
        <w:tc>
          <w:tcPr>
            <w:tcW w:w="787" w:type="pct"/>
            <w:noWrap/>
            <w:vAlign w:val="center"/>
            <w:hideMark/>
          </w:tcPr>
          <w:p w14:paraId="2F2CA79D" w14:textId="77777777" w:rsidR="00E814BD" w:rsidRPr="0039091F" w:rsidRDefault="00E814BD" w:rsidP="000A5389">
            <w:pPr>
              <w:spacing w:line="240" w:lineRule="auto"/>
              <w:jc w:val="center"/>
              <w:rPr>
                <w:rFonts w:eastAsia="Times New Roman" w:cs="Times New Roman"/>
                <w:color w:val="000000"/>
                <w:sz w:val="18"/>
                <w:szCs w:val="18"/>
                <w:lang w:eastAsia="es-CO"/>
              </w:rPr>
            </w:pPr>
            <w:r w:rsidRPr="0039091F">
              <w:rPr>
                <w:rFonts w:eastAsia="Times New Roman" w:cs="Times New Roman"/>
                <w:color w:val="000000"/>
                <w:sz w:val="18"/>
                <w:szCs w:val="18"/>
                <w:lang w:eastAsia="es-CO"/>
              </w:rPr>
              <w:t>669814</w:t>
            </w:r>
          </w:p>
        </w:tc>
        <w:tc>
          <w:tcPr>
            <w:tcW w:w="1770" w:type="pct"/>
            <w:noWrap/>
            <w:vAlign w:val="bottom"/>
            <w:hideMark/>
          </w:tcPr>
          <w:p w14:paraId="5F26FADD" w14:textId="77777777" w:rsidR="00E814BD" w:rsidRPr="0039091F" w:rsidRDefault="00E814BD" w:rsidP="000A5389">
            <w:pPr>
              <w:spacing w:line="240" w:lineRule="auto"/>
              <w:jc w:val="center"/>
              <w:rPr>
                <w:rFonts w:eastAsia="Times New Roman" w:cs="Times New Roman"/>
                <w:color w:val="000000"/>
                <w:sz w:val="18"/>
                <w:szCs w:val="18"/>
                <w:lang w:eastAsia="es-CO"/>
              </w:rPr>
            </w:pPr>
            <w:r w:rsidRPr="0039091F">
              <w:rPr>
                <w:rFonts w:eastAsia="Times New Roman" w:cs="Times New Roman"/>
                <w:color w:val="000000"/>
                <w:sz w:val="18"/>
                <w:szCs w:val="18"/>
                <w:lang w:eastAsia="es-CO"/>
              </w:rPr>
              <w:t>68001333300820140039300</w:t>
            </w:r>
          </w:p>
        </w:tc>
        <w:tc>
          <w:tcPr>
            <w:tcW w:w="1236" w:type="pct"/>
            <w:noWrap/>
            <w:vAlign w:val="bottom"/>
            <w:hideMark/>
          </w:tcPr>
          <w:p w14:paraId="7572DF67" w14:textId="77777777" w:rsidR="00E814BD" w:rsidRPr="0039091F" w:rsidRDefault="00E814BD" w:rsidP="000A5389">
            <w:pPr>
              <w:spacing w:line="240" w:lineRule="auto"/>
              <w:jc w:val="center"/>
              <w:rPr>
                <w:rFonts w:eastAsia="Times New Roman" w:cs="Times New Roman"/>
                <w:color w:val="000000"/>
                <w:sz w:val="18"/>
                <w:szCs w:val="18"/>
                <w:lang w:eastAsia="es-CO"/>
              </w:rPr>
            </w:pPr>
            <w:r w:rsidRPr="0039091F">
              <w:rPr>
                <w:rFonts w:eastAsia="Times New Roman" w:cs="Times New Roman"/>
                <w:color w:val="000000"/>
                <w:sz w:val="18"/>
                <w:szCs w:val="18"/>
                <w:lang w:eastAsia="es-CO"/>
              </w:rPr>
              <w:t>13742088</w:t>
            </w:r>
          </w:p>
        </w:tc>
        <w:tc>
          <w:tcPr>
            <w:tcW w:w="1208" w:type="pct"/>
            <w:noWrap/>
            <w:vAlign w:val="bottom"/>
            <w:hideMark/>
          </w:tcPr>
          <w:p w14:paraId="52F15A91" w14:textId="77777777" w:rsidR="00E814BD" w:rsidRPr="0039091F" w:rsidRDefault="00E814BD" w:rsidP="000A5389">
            <w:pPr>
              <w:spacing w:line="240" w:lineRule="auto"/>
              <w:jc w:val="center"/>
              <w:rPr>
                <w:rFonts w:eastAsia="Times New Roman" w:cs="Times New Roman"/>
                <w:color w:val="000000"/>
                <w:sz w:val="18"/>
                <w:szCs w:val="18"/>
                <w:lang w:eastAsia="es-CO"/>
              </w:rPr>
            </w:pPr>
            <w:r w:rsidRPr="0039091F">
              <w:rPr>
                <w:rFonts w:eastAsia="Times New Roman" w:cs="Times New Roman"/>
                <w:color w:val="000000"/>
                <w:sz w:val="18"/>
                <w:szCs w:val="18"/>
                <w:lang w:eastAsia="es-CO"/>
              </w:rPr>
              <w:t xml:space="preserve">               460.693.378 </w:t>
            </w:r>
          </w:p>
        </w:tc>
      </w:tr>
      <w:tr w:rsidR="00E814BD" w:rsidRPr="0039091F" w14:paraId="6EEAFE01" w14:textId="77777777" w:rsidTr="00684C05">
        <w:trPr>
          <w:trHeight w:val="300"/>
          <w:jc w:val="center"/>
        </w:trPr>
        <w:tc>
          <w:tcPr>
            <w:tcW w:w="787" w:type="pct"/>
            <w:noWrap/>
            <w:vAlign w:val="center"/>
            <w:hideMark/>
          </w:tcPr>
          <w:p w14:paraId="1062E78E" w14:textId="77777777" w:rsidR="00E814BD" w:rsidRPr="0039091F" w:rsidRDefault="00E814BD" w:rsidP="000A5389">
            <w:pPr>
              <w:spacing w:line="240" w:lineRule="auto"/>
              <w:jc w:val="center"/>
              <w:rPr>
                <w:rFonts w:eastAsia="Times New Roman" w:cs="Times New Roman"/>
                <w:color w:val="000000"/>
                <w:sz w:val="18"/>
                <w:szCs w:val="18"/>
                <w:lang w:eastAsia="es-CO"/>
              </w:rPr>
            </w:pPr>
            <w:r w:rsidRPr="0039091F">
              <w:rPr>
                <w:rFonts w:eastAsia="Times New Roman" w:cs="Times New Roman"/>
                <w:color w:val="000000"/>
                <w:sz w:val="18"/>
                <w:szCs w:val="18"/>
                <w:lang w:eastAsia="es-CO"/>
              </w:rPr>
              <w:t>2395029</w:t>
            </w:r>
          </w:p>
        </w:tc>
        <w:tc>
          <w:tcPr>
            <w:tcW w:w="1770" w:type="pct"/>
            <w:noWrap/>
            <w:vAlign w:val="bottom"/>
            <w:hideMark/>
          </w:tcPr>
          <w:p w14:paraId="3D59F366" w14:textId="77777777" w:rsidR="00E814BD" w:rsidRPr="0039091F" w:rsidRDefault="00E814BD" w:rsidP="000A5389">
            <w:pPr>
              <w:spacing w:line="240" w:lineRule="auto"/>
              <w:jc w:val="center"/>
              <w:rPr>
                <w:rFonts w:eastAsia="Times New Roman" w:cs="Times New Roman"/>
                <w:color w:val="000000"/>
                <w:sz w:val="18"/>
                <w:szCs w:val="18"/>
                <w:lang w:eastAsia="es-CO"/>
              </w:rPr>
            </w:pPr>
            <w:r w:rsidRPr="0039091F">
              <w:rPr>
                <w:rFonts w:eastAsia="Times New Roman" w:cs="Times New Roman"/>
                <w:color w:val="000000"/>
                <w:sz w:val="18"/>
                <w:szCs w:val="18"/>
                <w:lang w:eastAsia="es-CO"/>
              </w:rPr>
              <w:t>23001333300220220015100</w:t>
            </w:r>
          </w:p>
        </w:tc>
        <w:tc>
          <w:tcPr>
            <w:tcW w:w="1236" w:type="pct"/>
            <w:noWrap/>
            <w:vAlign w:val="bottom"/>
            <w:hideMark/>
          </w:tcPr>
          <w:p w14:paraId="3EDB6E77" w14:textId="77777777" w:rsidR="00E814BD" w:rsidRPr="0039091F" w:rsidRDefault="00E814BD" w:rsidP="000A5389">
            <w:pPr>
              <w:spacing w:line="240" w:lineRule="auto"/>
              <w:jc w:val="center"/>
              <w:rPr>
                <w:rFonts w:eastAsia="Times New Roman" w:cs="Times New Roman"/>
                <w:color w:val="000000"/>
                <w:sz w:val="18"/>
                <w:szCs w:val="18"/>
                <w:lang w:eastAsia="es-CO"/>
              </w:rPr>
            </w:pPr>
            <w:r w:rsidRPr="0039091F">
              <w:rPr>
                <w:rFonts w:eastAsia="Times New Roman" w:cs="Times New Roman"/>
                <w:color w:val="000000"/>
                <w:sz w:val="18"/>
                <w:szCs w:val="18"/>
                <w:lang w:eastAsia="es-CO"/>
              </w:rPr>
              <w:t>1097722072</w:t>
            </w:r>
          </w:p>
        </w:tc>
        <w:tc>
          <w:tcPr>
            <w:tcW w:w="1208" w:type="pct"/>
            <w:noWrap/>
            <w:vAlign w:val="bottom"/>
            <w:hideMark/>
          </w:tcPr>
          <w:p w14:paraId="03299FFA" w14:textId="77777777" w:rsidR="00E814BD" w:rsidRPr="0039091F" w:rsidRDefault="00E814BD" w:rsidP="000A5389">
            <w:pPr>
              <w:spacing w:line="240" w:lineRule="auto"/>
              <w:jc w:val="center"/>
              <w:rPr>
                <w:rFonts w:eastAsia="Times New Roman" w:cs="Times New Roman"/>
                <w:color w:val="000000"/>
                <w:sz w:val="18"/>
                <w:szCs w:val="18"/>
                <w:lang w:eastAsia="es-CO"/>
              </w:rPr>
            </w:pPr>
            <w:r w:rsidRPr="0039091F">
              <w:rPr>
                <w:rFonts w:eastAsia="Times New Roman" w:cs="Times New Roman"/>
                <w:color w:val="000000"/>
                <w:sz w:val="18"/>
                <w:szCs w:val="18"/>
                <w:lang w:eastAsia="es-CO"/>
              </w:rPr>
              <w:t xml:space="preserve">               452.345.790 </w:t>
            </w:r>
          </w:p>
        </w:tc>
      </w:tr>
      <w:tr w:rsidR="00E814BD" w:rsidRPr="0039091F" w14:paraId="2E63AA7E" w14:textId="77777777" w:rsidTr="00684C05">
        <w:trPr>
          <w:trHeight w:val="300"/>
          <w:jc w:val="center"/>
        </w:trPr>
        <w:tc>
          <w:tcPr>
            <w:tcW w:w="787" w:type="pct"/>
            <w:noWrap/>
            <w:vAlign w:val="center"/>
            <w:hideMark/>
          </w:tcPr>
          <w:p w14:paraId="481F5172" w14:textId="77777777" w:rsidR="00E814BD" w:rsidRPr="0039091F" w:rsidRDefault="00E814BD" w:rsidP="000A5389">
            <w:pPr>
              <w:spacing w:line="240" w:lineRule="auto"/>
              <w:jc w:val="center"/>
              <w:rPr>
                <w:rFonts w:eastAsia="Times New Roman" w:cs="Times New Roman"/>
                <w:color w:val="000000"/>
                <w:sz w:val="18"/>
                <w:szCs w:val="18"/>
                <w:lang w:eastAsia="es-CO"/>
              </w:rPr>
            </w:pPr>
            <w:r w:rsidRPr="0039091F">
              <w:rPr>
                <w:rFonts w:eastAsia="Times New Roman" w:cs="Times New Roman"/>
                <w:color w:val="000000"/>
                <w:sz w:val="18"/>
                <w:szCs w:val="18"/>
                <w:lang w:eastAsia="es-CO"/>
              </w:rPr>
              <w:t>500272</w:t>
            </w:r>
          </w:p>
        </w:tc>
        <w:tc>
          <w:tcPr>
            <w:tcW w:w="1770" w:type="pct"/>
            <w:noWrap/>
            <w:vAlign w:val="bottom"/>
            <w:hideMark/>
          </w:tcPr>
          <w:p w14:paraId="74844E2A" w14:textId="77777777" w:rsidR="00E814BD" w:rsidRPr="0039091F" w:rsidRDefault="00E814BD" w:rsidP="000A5389">
            <w:pPr>
              <w:spacing w:line="240" w:lineRule="auto"/>
              <w:jc w:val="center"/>
              <w:rPr>
                <w:rFonts w:eastAsia="Times New Roman" w:cs="Times New Roman"/>
                <w:color w:val="000000"/>
                <w:sz w:val="18"/>
                <w:szCs w:val="18"/>
                <w:lang w:eastAsia="es-CO"/>
              </w:rPr>
            </w:pPr>
            <w:r w:rsidRPr="0039091F">
              <w:rPr>
                <w:rFonts w:eastAsia="Times New Roman" w:cs="Times New Roman"/>
                <w:color w:val="000000"/>
                <w:sz w:val="18"/>
                <w:szCs w:val="18"/>
                <w:lang w:eastAsia="es-CO"/>
              </w:rPr>
              <w:t>54001333300620130022600</w:t>
            </w:r>
          </w:p>
        </w:tc>
        <w:tc>
          <w:tcPr>
            <w:tcW w:w="1236" w:type="pct"/>
            <w:noWrap/>
            <w:vAlign w:val="bottom"/>
            <w:hideMark/>
          </w:tcPr>
          <w:p w14:paraId="12B7939A" w14:textId="77777777" w:rsidR="00E814BD" w:rsidRPr="0039091F" w:rsidRDefault="00E814BD" w:rsidP="000A5389">
            <w:pPr>
              <w:spacing w:line="240" w:lineRule="auto"/>
              <w:jc w:val="center"/>
              <w:rPr>
                <w:rFonts w:eastAsia="Times New Roman" w:cs="Times New Roman"/>
                <w:color w:val="000000"/>
                <w:sz w:val="18"/>
                <w:szCs w:val="18"/>
                <w:lang w:eastAsia="es-CO"/>
              </w:rPr>
            </w:pPr>
            <w:r w:rsidRPr="0039091F">
              <w:rPr>
                <w:rFonts w:eastAsia="Times New Roman" w:cs="Times New Roman"/>
                <w:color w:val="000000"/>
                <w:sz w:val="18"/>
                <w:szCs w:val="18"/>
                <w:lang w:eastAsia="es-CO"/>
              </w:rPr>
              <w:t>37365978</w:t>
            </w:r>
          </w:p>
        </w:tc>
        <w:tc>
          <w:tcPr>
            <w:tcW w:w="1208" w:type="pct"/>
            <w:noWrap/>
            <w:vAlign w:val="bottom"/>
            <w:hideMark/>
          </w:tcPr>
          <w:p w14:paraId="27A6359E" w14:textId="77777777" w:rsidR="00E814BD" w:rsidRPr="0039091F" w:rsidRDefault="00E814BD" w:rsidP="000A5389">
            <w:pPr>
              <w:spacing w:line="240" w:lineRule="auto"/>
              <w:jc w:val="center"/>
              <w:rPr>
                <w:rFonts w:eastAsia="Times New Roman" w:cs="Times New Roman"/>
                <w:color w:val="000000"/>
                <w:sz w:val="18"/>
                <w:szCs w:val="18"/>
                <w:lang w:eastAsia="es-CO"/>
              </w:rPr>
            </w:pPr>
            <w:r w:rsidRPr="0039091F">
              <w:rPr>
                <w:rFonts w:eastAsia="Times New Roman" w:cs="Times New Roman"/>
                <w:color w:val="000000"/>
                <w:sz w:val="18"/>
                <w:szCs w:val="18"/>
                <w:lang w:eastAsia="es-CO"/>
              </w:rPr>
              <w:t xml:space="preserve">               451.413.256 </w:t>
            </w:r>
          </w:p>
        </w:tc>
      </w:tr>
      <w:tr w:rsidR="00E814BD" w:rsidRPr="0039091F" w14:paraId="66A96E01" w14:textId="77777777" w:rsidTr="00684C05">
        <w:trPr>
          <w:trHeight w:val="300"/>
          <w:jc w:val="center"/>
        </w:trPr>
        <w:tc>
          <w:tcPr>
            <w:tcW w:w="787" w:type="pct"/>
            <w:noWrap/>
            <w:vAlign w:val="center"/>
            <w:hideMark/>
          </w:tcPr>
          <w:p w14:paraId="4090712D" w14:textId="77777777" w:rsidR="00E814BD" w:rsidRPr="0039091F" w:rsidRDefault="00E814BD" w:rsidP="000A5389">
            <w:pPr>
              <w:spacing w:line="240" w:lineRule="auto"/>
              <w:jc w:val="center"/>
              <w:rPr>
                <w:rFonts w:eastAsia="Times New Roman" w:cs="Times New Roman"/>
                <w:color w:val="000000"/>
                <w:sz w:val="18"/>
                <w:szCs w:val="18"/>
                <w:lang w:eastAsia="es-CO"/>
              </w:rPr>
            </w:pPr>
            <w:r w:rsidRPr="0039091F">
              <w:rPr>
                <w:rFonts w:eastAsia="Times New Roman" w:cs="Times New Roman"/>
                <w:color w:val="000000"/>
                <w:sz w:val="18"/>
                <w:szCs w:val="18"/>
                <w:lang w:eastAsia="es-CO"/>
              </w:rPr>
              <w:t>828673</w:t>
            </w:r>
          </w:p>
        </w:tc>
        <w:tc>
          <w:tcPr>
            <w:tcW w:w="1770" w:type="pct"/>
            <w:noWrap/>
            <w:vAlign w:val="bottom"/>
            <w:hideMark/>
          </w:tcPr>
          <w:p w14:paraId="0052972E" w14:textId="77777777" w:rsidR="00E814BD" w:rsidRPr="0039091F" w:rsidRDefault="00E814BD" w:rsidP="000A5389">
            <w:pPr>
              <w:spacing w:line="240" w:lineRule="auto"/>
              <w:jc w:val="center"/>
              <w:rPr>
                <w:rFonts w:eastAsia="Times New Roman" w:cs="Times New Roman"/>
                <w:color w:val="000000"/>
                <w:sz w:val="18"/>
                <w:szCs w:val="18"/>
                <w:lang w:eastAsia="es-CO"/>
              </w:rPr>
            </w:pPr>
            <w:r w:rsidRPr="0039091F">
              <w:rPr>
                <w:rFonts w:eastAsia="Times New Roman" w:cs="Times New Roman"/>
                <w:color w:val="000000"/>
                <w:sz w:val="18"/>
                <w:szCs w:val="18"/>
                <w:lang w:eastAsia="es-CO"/>
              </w:rPr>
              <w:t>11001333603320150049200</w:t>
            </w:r>
          </w:p>
        </w:tc>
        <w:tc>
          <w:tcPr>
            <w:tcW w:w="1236" w:type="pct"/>
            <w:noWrap/>
            <w:vAlign w:val="bottom"/>
            <w:hideMark/>
          </w:tcPr>
          <w:p w14:paraId="7B7E6C4A" w14:textId="77777777" w:rsidR="00E814BD" w:rsidRPr="0039091F" w:rsidRDefault="00E814BD" w:rsidP="000A5389">
            <w:pPr>
              <w:spacing w:line="240" w:lineRule="auto"/>
              <w:jc w:val="center"/>
              <w:rPr>
                <w:rFonts w:eastAsia="Times New Roman" w:cs="Times New Roman"/>
                <w:color w:val="000000"/>
                <w:sz w:val="18"/>
                <w:szCs w:val="18"/>
                <w:lang w:eastAsia="es-CO"/>
              </w:rPr>
            </w:pPr>
            <w:r w:rsidRPr="0039091F">
              <w:rPr>
                <w:rFonts w:eastAsia="Times New Roman" w:cs="Times New Roman"/>
                <w:color w:val="000000"/>
                <w:sz w:val="18"/>
                <w:szCs w:val="18"/>
                <w:lang w:eastAsia="es-CO"/>
              </w:rPr>
              <w:t>40402817</w:t>
            </w:r>
          </w:p>
        </w:tc>
        <w:tc>
          <w:tcPr>
            <w:tcW w:w="1208" w:type="pct"/>
            <w:noWrap/>
            <w:vAlign w:val="bottom"/>
            <w:hideMark/>
          </w:tcPr>
          <w:p w14:paraId="3C0D5602" w14:textId="77777777" w:rsidR="00E814BD" w:rsidRPr="0039091F" w:rsidRDefault="00E814BD" w:rsidP="000A5389">
            <w:pPr>
              <w:spacing w:line="240" w:lineRule="auto"/>
              <w:jc w:val="center"/>
              <w:rPr>
                <w:rFonts w:eastAsia="Times New Roman" w:cs="Times New Roman"/>
                <w:color w:val="000000"/>
                <w:sz w:val="18"/>
                <w:szCs w:val="18"/>
                <w:lang w:eastAsia="es-CO"/>
              </w:rPr>
            </w:pPr>
            <w:r w:rsidRPr="0039091F">
              <w:rPr>
                <w:rFonts w:eastAsia="Times New Roman" w:cs="Times New Roman"/>
                <w:color w:val="000000"/>
                <w:sz w:val="18"/>
                <w:szCs w:val="18"/>
                <w:lang w:eastAsia="es-CO"/>
              </w:rPr>
              <w:t xml:space="preserve">               427.050.000 </w:t>
            </w:r>
          </w:p>
        </w:tc>
      </w:tr>
      <w:tr w:rsidR="00E814BD" w:rsidRPr="0039091F" w14:paraId="1BEB7988" w14:textId="77777777" w:rsidTr="00684C05">
        <w:trPr>
          <w:trHeight w:val="300"/>
          <w:jc w:val="center"/>
        </w:trPr>
        <w:tc>
          <w:tcPr>
            <w:tcW w:w="787" w:type="pct"/>
            <w:noWrap/>
            <w:vAlign w:val="center"/>
            <w:hideMark/>
          </w:tcPr>
          <w:p w14:paraId="0CEE100E" w14:textId="77777777" w:rsidR="00E814BD" w:rsidRPr="0039091F" w:rsidRDefault="00E814BD" w:rsidP="000A5389">
            <w:pPr>
              <w:spacing w:line="240" w:lineRule="auto"/>
              <w:jc w:val="center"/>
              <w:rPr>
                <w:rFonts w:eastAsia="Times New Roman" w:cs="Times New Roman"/>
                <w:color w:val="000000"/>
                <w:sz w:val="18"/>
                <w:szCs w:val="18"/>
                <w:lang w:eastAsia="es-CO"/>
              </w:rPr>
            </w:pPr>
            <w:r w:rsidRPr="0039091F">
              <w:rPr>
                <w:rFonts w:eastAsia="Times New Roman" w:cs="Times New Roman"/>
                <w:color w:val="000000"/>
                <w:sz w:val="18"/>
                <w:szCs w:val="18"/>
                <w:lang w:eastAsia="es-CO"/>
              </w:rPr>
              <w:t>2265022</w:t>
            </w:r>
          </w:p>
        </w:tc>
        <w:tc>
          <w:tcPr>
            <w:tcW w:w="1770" w:type="pct"/>
            <w:noWrap/>
            <w:vAlign w:val="bottom"/>
            <w:hideMark/>
          </w:tcPr>
          <w:p w14:paraId="23EAADF2" w14:textId="77777777" w:rsidR="00E814BD" w:rsidRPr="0039091F" w:rsidRDefault="00E814BD" w:rsidP="000A5389">
            <w:pPr>
              <w:spacing w:line="240" w:lineRule="auto"/>
              <w:jc w:val="center"/>
              <w:rPr>
                <w:rFonts w:eastAsia="Times New Roman" w:cs="Times New Roman"/>
                <w:color w:val="000000"/>
                <w:sz w:val="18"/>
                <w:szCs w:val="18"/>
                <w:lang w:eastAsia="es-CO"/>
              </w:rPr>
            </w:pPr>
            <w:r w:rsidRPr="0039091F">
              <w:rPr>
                <w:rFonts w:eastAsia="Times New Roman" w:cs="Times New Roman"/>
                <w:color w:val="000000"/>
                <w:sz w:val="18"/>
                <w:szCs w:val="18"/>
                <w:lang w:eastAsia="es-CO"/>
              </w:rPr>
              <w:t>05001333303220210009300</w:t>
            </w:r>
          </w:p>
        </w:tc>
        <w:tc>
          <w:tcPr>
            <w:tcW w:w="1236" w:type="pct"/>
            <w:noWrap/>
            <w:vAlign w:val="bottom"/>
            <w:hideMark/>
          </w:tcPr>
          <w:p w14:paraId="7D1FF3FA" w14:textId="77777777" w:rsidR="00E814BD" w:rsidRPr="0039091F" w:rsidRDefault="00E814BD" w:rsidP="000A5389">
            <w:pPr>
              <w:spacing w:line="240" w:lineRule="auto"/>
              <w:jc w:val="center"/>
              <w:rPr>
                <w:rFonts w:eastAsia="Times New Roman" w:cs="Times New Roman"/>
                <w:color w:val="000000"/>
                <w:sz w:val="18"/>
                <w:szCs w:val="18"/>
                <w:lang w:eastAsia="es-CO"/>
              </w:rPr>
            </w:pPr>
            <w:r w:rsidRPr="0039091F">
              <w:rPr>
                <w:rFonts w:eastAsia="Times New Roman" w:cs="Times New Roman"/>
                <w:color w:val="000000"/>
                <w:sz w:val="18"/>
                <w:szCs w:val="18"/>
                <w:lang w:eastAsia="es-CO"/>
              </w:rPr>
              <w:t>32220019</w:t>
            </w:r>
          </w:p>
        </w:tc>
        <w:tc>
          <w:tcPr>
            <w:tcW w:w="1208" w:type="pct"/>
            <w:noWrap/>
            <w:vAlign w:val="bottom"/>
            <w:hideMark/>
          </w:tcPr>
          <w:p w14:paraId="4DDFC092" w14:textId="77777777" w:rsidR="00E814BD" w:rsidRPr="0039091F" w:rsidRDefault="00E814BD" w:rsidP="000A5389">
            <w:pPr>
              <w:spacing w:line="240" w:lineRule="auto"/>
              <w:jc w:val="center"/>
              <w:rPr>
                <w:rFonts w:eastAsia="Times New Roman" w:cs="Times New Roman"/>
                <w:color w:val="000000"/>
                <w:sz w:val="18"/>
                <w:szCs w:val="18"/>
                <w:lang w:eastAsia="es-CO"/>
              </w:rPr>
            </w:pPr>
            <w:r w:rsidRPr="0039091F">
              <w:rPr>
                <w:rFonts w:eastAsia="Times New Roman" w:cs="Times New Roman"/>
                <w:color w:val="000000"/>
                <w:sz w:val="18"/>
                <w:szCs w:val="18"/>
                <w:lang w:eastAsia="es-CO"/>
              </w:rPr>
              <w:t xml:space="preserve">               414.061.920 </w:t>
            </w:r>
          </w:p>
        </w:tc>
      </w:tr>
      <w:tr w:rsidR="00E814BD" w:rsidRPr="0039091F" w14:paraId="335CFECF" w14:textId="77777777" w:rsidTr="00684C05">
        <w:trPr>
          <w:trHeight w:val="300"/>
          <w:jc w:val="center"/>
        </w:trPr>
        <w:tc>
          <w:tcPr>
            <w:tcW w:w="787" w:type="pct"/>
            <w:noWrap/>
            <w:vAlign w:val="center"/>
            <w:hideMark/>
          </w:tcPr>
          <w:p w14:paraId="33A21DBD" w14:textId="77777777" w:rsidR="00E814BD" w:rsidRPr="0039091F" w:rsidRDefault="00E814BD" w:rsidP="000A5389">
            <w:pPr>
              <w:spacing w:line="240" w:lineRule="auto"/>
              <w:jc w:val="center"/>
              <w:rPr>
                <w:rFonts w:eastAsia="Times New Roman" w:cs="Times New Roman"/>
                <w:color w:val="000000"/>
                <w:sz w:val="18"/>
                <w:szCs w:val="18"/>
                <w:lang w:eastAsia="es-CO"/>
              </w:rPr>
            </w:pPr>
            <w:r w:rsidRPr="0039091F">
              <w:rPr>
                <w:rFonts w:eastAsia="Times New Roman" w:cs="Times New Roman"/>
                <w:color w:val="000000"/>
                <w:sz w:val="18"/>
                <w:szCs w:val="18"/>
                <w:lang w:eastAsia="es-CO"/>
              </w:rPr>
              <w:t>2494208</w:t>
            </w:r>
          </w:p>
        </w:tc>
        <w:tc>
          <w:tcPr>
            <w:tcW w:w="1770" w:type="pct"/>
            <w:noWrap/>
            <w:vAlign w:val="bottom"/>
            <w:hideMark/>
          </w:tcPr>
          <w:p w14:paraId="6D5BB280" w14:textId="77777777" w:rsidR="00E814BD" w:rsidRPr="0039091F" w:rsidRDefault="00E814BD" w:rsidP="000A5389">
            <w:pPr>
              <w:spacing w:line="240" w:lineRule="auto"/>
              <w:jc w:val="center"/>
              <w:rPr>
                <w:rFonts w:eastAsia="Times New Roman" w:cs="Times New Roman"/>
                <w:color w:val="000000"/>
                <w:sz w:val="18"/>
                <w:szCs w:val="18"/>
                <w:lang w:eastAsia="es-CO"/>
              </w:rPr>
            </w:pPr>
            <w:r w:rsidRPr="0039091F">
              <w:rPr>
                <w:rFonts w:eastAsia="Times New Roman" w:cs="Times New Roman"/>
                <w:color w:val="000000"/>
                <w:sz w:val="18"/>
                <w:szCs w:val="18"/>
                <w:lang w:eastAsia="es-CO"/>
              </w:rPr>
              <w:t>44001334000220180026800</w:t>
            </w:r>
          </w:p>
        </w:tc>
        <w:tc>
          <w:tcPr>
            <w:tcW w:w="1236" w:type="pct"/>
            <w:noWrap/>
            <w:vAlign w:val="bottom"/>
            <w:hideMark/>
          </w:tcPr>
          <w:p w14:paraId="71DBC658" w14:textId="77777777" w:rsidR="00E814BD" w:rsidRPr="0039091F" w:rsidRDefault="00E814BD" w:rsidP="000A5389">
            <w:pPr>
              <w:spacing w:line="240" w:lineRule="auto"/>
              <w:jc w:val="center"/>
              <w:rPr>
                <w:rFonts w:eastAsia="Times New Roman" w:cs="Times New Roman"/>
                <w:color w:val="000000"/>
                <w:sz w:val="18"/>
                <w:szCs w:val="18"/>
                <w:lang w:eastAsia="es-CO"/>
              </w:rPr>
            </w:pPr>
            <w:r w:rsidRPr="0039091F">
              <w:rPr>
                <w:rFonts w:eastAsia="Times New Roman" w:cs="Times New Roman"/>
                <w:color w:val="000000"/>
                <w:sz w:val="18"/>
                <w:szCs w:val="18"/>
                <w:lang w:eastAsia="es-CO"/>
              </w:rPr>
              <w:t>1124074619</w:t>
            </w:r>
          </w:p>
        </w:tc>
        <w:tc>
          <w:tcPr>
            <w:tcW w:w="1208" w:type="pct"/>
            <w:noWrap/>
            <w:vAlign w:val="bottom"/>
            <w:hideMark/>
          </w:tcPr>
          <w:p w14:paraId="175502E6" w14:textId="77777777" w:rsidR="00E814BD" w:rsidRPr="0039091F" w:rsidRDefault="00E814BD" w:rsidP="000A5389">
            <w:pPr>
              <w:spacing w:line="240" w:lineRule="auto"/>
              <w:jc w:val="center"/>
              <w:rPr>
                <w:rFonts w:eastAsia="Times New Roman" w:cs="Times New Roman"/>
                <w:color w:val="000000"/>
                <w:sz w:val="18"/>
                <w:szCs w:val="18"/>
                <w:lang w:eastAsia="es-CO"/>
              </w:rPr>
            </w:pPr>
            <w:r w:rsidRPr="0039091F">
              <w:rPr>
                <w:rFonts w:eastAsia="Times New Roman" w:cs="Times New Roman"/>
                <w:color w:val="000000"/>
                <w:sz w:val="18"/>
                <w:szCs w:val="18"/>
                <w:lang w:eastAsia="es-CO"/>
              </w:rPr>
              <w:t xml:space="preserve">               397.479.569 </w:t>
            </w:r>
          </w:p>
        </w:tc>
      </w:tr>
      <w:tr w:rsidR="00E814BD" w:rsidRPr="0039091F" w14:paraId="1F67C54E" w14:textId="77777777" w:rsidTr="00684C05">
        <w:trPr>
          <w:trHeight w:val="300"/>
          <w:jc w:val="center"/>
        </w:trPr>
        <w:tc>
          <w:tcPr>
            <w:tcW w:w="787" w:type="pct"/>
            <w:noWrap/>
            <w:vAlign w:val="center"/>
            <w:hideMark/>
          </w:tcPr>
          <w:p w14:paraId="11A80918" w14:textId="77777777" w:rsidR="00E814BD" w:rsidRPr="0039091F" w:rsidRDefault="00E814BD" w:rsidP="000A5389">
            <w:pPr>
              <w:spacing w:line="240" w:lineRule="auto"/>
              <w:jc w:val="center"/>
              <w:rPr>
                <w:rFonts w:eastAsia="Times New Roman" w:cs="Times New Roman"/>
                <w:color w:val="000000"/>
                <w:sz w:val="18"/>
                <w:szCs w:val="18"/>
                <w:lang w:eastAsia="es-CO"/>
              </w:rPr>
            </w:pPr>
            <w:r w:rsidRPr="0039091F">
              <w:rPr>
                <w:rFonts w:eastAsia="Times New Roman" w:cs="Times New Roman"/>
                <w:color w:val="000000"/>
                <w:sz w:val="18"/>
                <w:szCs w:val="18"/>
                <w:lang w:eastAsia="es-CO"/>
              </w:rPr>
              <w:t>1241201</w:t>
            </w:r>
          </w:p>
        </w:tc>
        <w:tc>
          <w:tcPr>
            <w:tcW w:w="1770" w:type="pct"/>
            <w:noWrap/>
            <w:vAlign w:val="bottom"/>
            <w:hideMark/>
          </w:tcPr>
          <w:p w14:paraId="7671928A" w14:textId="77777777" w:rsidR="00E814BD" w:rsidRPr="0039091F" w:rsidRDefault="00E814BD" w:rsidP="000A5389">
            <w:pPr>
              <w:spacing w:line="240" w:lineRule="auto"/>
              <w:jc w:val="center"/>
              <w:rPr>
                <w:rFonts w:eastAsia="Times New Roman" w:cs="Times New Roman"/>
                <w:color w:val="000000"/>
                <w:sz w:val="18"/>
                <w:szCs w:val="18"/>
                <w:lang w:eastAsia="es-CO"/>
              </w:rPr>
            </w:pPr>
            <w:r w:rsidRPr="0039091F">
              <w:rPr>
                <w:rFonts w:eastAsia="Times New Roman" w:cs="Times New Roman"/>
                <w:color w:val="000000"/>
                <w:sz w:val="18"/>
                <w:szCs w:val="18"/>
                <w:lang w:eastAsia="es-CO"/>
              </w:rPr>
              <w:t>11001333603220180008100</w:t>
            </w:r>
          </w:p>
        </w:tc>
        <w:tc>
          <w:tcPr>
            <w:tcW w:w="1236" w:type="pct"/>
            <w:noWrap/>
            <w:vAlign w:val="bottom"/>
            <w:hideMark/>
          </w:tcPr>
          <w:p w14:paraId="7E0FBA81" w14:textId="77777777" w:rsidR="00E814BD" w:rsidRPr="0039091F" w:rsidRDefault="00E814BD" w:rsidP="000A5389">
            <w:pPr>
              <w:spacing w:line="240" w:lineRule="auto"/>
              <w:jc w:val="center"/>
              <w:rPr>
                <w:rFonts w:eastAsia="Times New Roman" w:cs="Times New Roman"/>
                <w:color w:val="000000"/>
                <w:sz w:val="18"/>
                <w:szCs w:val="18"/>
                <w:lang w:eastAsia="es-CO"/>
              </w:rPr>
            </w:pPr>
            <w:r w:rsidRPr="0039091F">
              <w:rPr>
                <w:rFonts w:eastAsia="Times New Roman" w:cs="Times New Roman"/>
                <w:color w:val="000000"/>
                <w:sz w:val="18"/>
                <w:szCs w:val="18"/>
                <w:lang w:eastAsia="es-CO"/>
              </w:rPr>
              <w:t>20956834</w:t>
            </w:r>
          </w:p>
        </w:tc>
        <w:tc>
          <w:tcPr>
            <w:tcW w:w="1208" w:type="pct"/>
            <w:noWrap/>
            <w:vAlign w:val="bottom"/>
            <w:hideMark/>
          </w:tcPr>
          <w:p w14:paraId="3C72E92A" w14:textId="77777777" w:rsidR="00E814BD" w:rsidRPr="0039091F" w:rsidRDefault="00E814BD" w:rsidP="000A5389">
            <w:pPr>
              <w:spacing w:line="240" w:lineRule="auto"/>
              <w:jc w:val="center"/>
              <w:rPr>
                <w:rFonts w:eastAsia="Times New Roman" w:cs="Times New Roman"/>
                <w:color w:val="000000"/>
                <w:sz w:val="18"/>
                <w:szCs w:val="18"/>
                <w:lang w:eastAsia="es-CO"/>
              </w:rPr>
            </w:pPr>
            <w:r w:rsidRPr="0039091F">
              <w:rPr>
                <w:rFonts w:eastAsia="Times New Roman" w:cs="Times New Roman"/>
                <w:color w:val="000000"/>
                <w:sz w:val="18"/>
                <w:szCs w:val="18"/>
                <w:lang w:eastAsia="es-CO"/>
              </w:rPr>
              <w:t xml:space="preserve">               361.794.063 </w:t>
            </w:r>
          </w:p>
        </w:tc>
      </w:tr>
      <w:tr w:rsidR="00E814BD" w:rsidRPr="0039091F" w14:paraId="33901A07" w14:textId="77777777" w:rsidTr="00684C05">
        <w:trPr>
          <w:trHeight w:val="300"/>
          <w:jc w:val="center"/>
        </w:trPr>
        <w:tc>
          <w:tcPr>
            <w:tcW w:w="787" w:type="pct"/>
            <w:noWrap/>
            <w:vAlign w:val="center"/>
            <w:hideMark/>
          </w:tcPr>
          <w:p w14:paraId="6B08FB07" w14:textId="77777777" w:rsidR="00E814BD" w:rsidRPr="0039091F" w:rsidRDefault="00E814BD" w:rsidP="000A5389">
            <w:pPr>
              <w:spacing w:line="240" w:lineRule="auto"/>
              <w:jc w:val="center"/>
              <w:rPr>
                <w:rFonts w:eastAsia="Times New Roman" w:cs="Times New Roman"/>
                <w:color w:val="000000"/>
                <w:sz w:val="18"/>
                <w:szCs w:val="18"/>
                <w:lang w:eastAsia="es-CO"/>
              </w:rPr>
            </w:pPr>
            <w:r w:rsidRPr="0039091F">
              <w:rPr>
                <w:rFonts w:eastAsia="Times New Roman" w:cs="Times New Roman"/>
                <w:color w:val="000000"/>
                <w:sz w:val="18"/>
                <w:szCs w:val="18"/>
                <w:lang w:eastAsia="es-CO"/>
              </w:rPr>
              <w:t>2683503</w:t>
            </w:r>
          </w:p>
        </w:tc>
        <w:tc>
          <w:tcPr>
            <w:tcW w:w="1770" w:type="pct"/>
            <w:noWrap/>
            <w:vAlign w:val="bottom"/>
            <w:hideMark/>
          </w:tcPr>
          <w:p w14:paraId="52933680" w14:textId="77777777" w:rsidR="00E814BD" w:rsidRPr="0039091F" w:rsidRDefault="00E814BD" w:rsidP="000A5389">
            <w:pPr>
              <w:spacing w:line="240" w:lineRule="auto"/>
              <w:jc w:val="center"/>
              <w:rPr>
                <w:rFonts w:eastAsia="Times New Roman" w:cs="Times New Roman"/>
                <w:color w:val="000000"/>
                <w:sz w:val="18"/>
                <w:szCs w:val="18"/>
                <w:lang w:eastAsia="es-CO"/>
              </w:rPr>
            </w:pPr>
            <w:r w:rsidRPr="0039091F">
              <w:rPr>
                <w:rFonts w:eastAsia="Times New Roman" w:cs="Times New Roman"/>
                <w:color w:val="000000"/>
                <w:sz w:val="18"/>
                <w:szCs w:val="18"/>
                <w:lang w:eastAsia="es-CO"/>
              </w:rPr>
              <w:t>15001333300420250008700</w:t>
            </w:r>
          </w:p>
        </w:tc>
        <w:tc>
          <w:tcPr>
            <w:tcW w:w="1236" w:type="pct"/>
            <w:noWrap/>
            <w:vAlign w:val="bottom"/>
            <w:hideMark/>
          </w:tcPr>
          <w:p w14:paraId="749EA92F" w14:textId="77777777" w:rsidR="00E814BD" w:rsidRPr="0039091F" w:rsidRDefault="00E814BD" w:rsidP="000A5389">
            <w:pPr>
              <w:spacing w:line="240" w:lineRule="auto"/>
              <w:jc w:val="center"/>
              <w:rPr>
                <w:rFonts w:eastAsia="Times New Roman" w:cs="Times New Roman"/>
                <w:color w:val="000000"/>
                <w:sz w:val="18"/>
                <w:szCs w:val="18"/>
                <w:lang w:eastAsia="es-CO"/>
              </w:rPr>
            </w:pPr>
            <w:r w:rsidRPr="0039091F">
              <w:rPr>
                <w:rFonts w:eastAsia="Times New Roman" w:cs="Times New Roman"/>
                <w:color w:val="000000"/>
                <w:sz w:val="18"/>
                <w:szCs w:val="18"/>
                <w:lang w:eastAsia="es-CO"/>
              </w:rPr>
              <w:t>68302298</w:t>
            </w:r>
          </w:p>
        </w:tc>
        <w:tc>
          <w:tcPr>
            <w:tcW w:w="1208" w:type="pct"/>
            <w:noWrap/>
            <w:vAlign w:val="bottom"/>
            <w:hideMark/>
          </w:tcPr>
          <w:p w14:paraId="05CD645E" w14:textId="77777777" w:rsidR="00E814BD" w:rsidRPr="0039091F" w:rsidRDefault="00E814BD" w:rsidP="000A5389">
            <w:pPr>
              <w:spacing w:line="240" w:lineRule="auto"/>
              <w:jc w:val="center"/>
              <w:rPr>
                <w:rFonts w:eastAsia="Times New Roman" w:cs="Times New Roman"/>
                <w:color w:val="000000"/>
                <w:sz w:val="18"/>
                <w:szCs w:val="18"/>
                <w:lang w:eastAsia="es-CO"/>
              </w:rPr>
            </w:pPr>
            <w:r w:rsidRPr="0039091F">
              <w:rPr>
                <w:rFonts w:eastAsia="Times New Roman" w:cs="Times New Roman"/>
                <w:color w:val="000000"/>
                <w:sz w:val="18"/>
                <w:szCs w:val="18"/>
                <w:lang w:eastAsia="es-CO"/>
              </w:rPr>
              <w:t xml:space="preserve">               359.011.536 </w:t>
            </w:r>
          </w:p>
        </w:tc>
      </w:tr>
      <w:tr w:rsidR="00E814BD" w:rsidRPr="0039091F" w14:paraId="1F1C569F" w14:textId="77777777" w:rsidTr="00684C05">
        <w:trPr>
          <w:trHeight w:val="300"/>
          <w:jc w:val="center"/>
        </w:trPr>
        <w:tc>
          <w:tcPr>
            <w:tcW w:w="787" w:type="pct"/>
            <w:noWrap/>
            <w:vAlign w:val="center"/>
            <w:hideMark/>
          </w:tcPr>
          <w:p w14:paraId="3A435B01" w14:textId="77777777" w:rsidR="00E814BD" w:rsidRPr="0039091F" w:rsidRDefault="00E814BD" w:rsidP="000A5389">
            <w:pPr>
              <w:spacing w:line="240" w:lineRule="auto"/>
              <w:jc w:val="center"/>
              <w:rPr>
                <w:rFonts w:eastAsia="Times New Roman" w:cs="Times New Roman"/>
                <w:color w:val="000000"/>
                <w:sz w:val="18"/>
                <w:szCs w:val="18"/>
                <w:lang w:eastAsia="es-CO"/>
              </w:rPr>
            </w:pPr>
            <w:r w:rsidRPr="0039091F">
              <w:rPr>
                <w:rFonts w:eastAsia="Times New Roman" w:cs="Times New Roman"/>
                <w:color w:val="000000"/>
                <w:sz w:val="18"/>
                <w:szCs w:val="18"/>
                <w:lang w:eastAsia="es-CO"/>
              </w:rPr>
              <w:t>2626301</w:t>
            </w:r>
          </w:p>
        </w:tc>
        <w:tc>
          <w:tcPr>
            <w:tcW w:w="1770" w:type="pct"/>
            <w:noWrap/>
            <w:vAlign w:val="bottom"/>
            <w:hideMark/>
          </w:tcPr>
          <w:p w14:paraId="450714BF" w14:textId="77777777" w:rsidR="00E814BD" w:rsidRPr="0039091F" w:rsidRDefault="00E814BD" w:rsidP="000A5389">
            <w:pPr>
              <w:spacing w:line="240" w:lineRule="auto"/>
              <w:jc w:val="center"/>
              <w:rPr>
                <w:rFonts w:eastAsia="Times New Roman" w:cs="Times New Roman"/>
                <w:color w:val="000000"/>
                <w:sz w:val="18"/>
                <w:szCs w:val="18"/>
                <w:lang w:eastAsia="es-CO"/>
              </w:rPr>
            </w:pPr>
            <w:r w:rsidRPr="0039091F">
              <w:rPr>
                <w:rFonts w:eastAsia="Times New Roman" w:cs="Times New Roman"/>
                <w:color w:val="000000"/>
                <w:sz w:val="18"/>
                <w:szCs w:val="18"/>
                <w:lang w:eastAsia="es-CO"/>
              </w:rPr>
              <w:t>76001333302120250001100</w:t>
            </w:r>
          </w:p>
        </w:tc>
        <w:tc>
          <w:tcPr>
            <w:tcW w:w="1236" w:type="pct"/>
            <w:noWrap/>
            <w:vAlign w:val="bottom"/>
            <w:hideMark/>
          </w:tcPr>
          <w:p w14:paraId="3BB3C5FE" w14:textId="77777777" w:rsidR="00E814BD" w:rsidRPr="0039091F" w:rsidRDefault="00E814BD" w:rsidP="000A5389">
            <w:pPr>
              <w:spacing w:line="240" w:lineRule="auto"/>
              <w:jc w:val="center"/>
              <w:rPr>
                <w:rFonts w:eastAsia="Times New Roman" w:cs="Times New Roman"/>
                <w:color w:val="000000"/>
                <w:sz w:val="18"/>
                <w:szCs w:val="18"/>
                <w:lang w:eastAsia="es-CO"/>
              </w:rPr>
            </w:pPr>
            <w:r w:rsidRPr="0039091F">
              <w:rPr>
                <w:rFonts w:eastAsia="Times New Roman" w:cs="Times New Roman"/>
                <w:color w:val="000000"/>
                <w:sz w:val="18"/>
                <w:szCs w:val="18"/>
                <w:lang w:eastAsia="es-CO"/>
              </w:rPr>
              <w:t>24579771</w:t>
            </w:r>
          </w:p>
        </w:tc>
        <w:tc>
          <w:tcPr>
            <w:tcW w:w="1208" w:type="pct"/>
            <w:noWrap/>
            <w:vAlign w:val="bottom"/>
            <w:hideMark/>
          </w:tcPr>
          <w:p w14:paraId="7ABF7C9C" w14:textId="77777777" w:rsidR="00E814BD" w:rsidRPr="0039091F" w:rsidRDefault="00E814BD" w:rsidP="000A5389">
            <w:pPr>
              <w:spacing w:line="240" w:lineRule="auto"/>
              <w:jc w:val="center"/>
              <w:rPr>
                <w:rFonts w:eastAsia="Times New Roman" w:cs="Times New Roman"/>
                <w:color w:val="000000"/>
                <w:sz w:val="18"/>
                <w:szCs w:val="18"/>
                <w:lang w:eastAsia="es-CO"/>
              </w:rPr>
            </w:pPr>
            <w:r w:rsidRPr="0039091F">
              <w:rPr>
                <w:rFonts w:eastAsia="Times New Roman" w:cs="Times New Roman"/>
                <w:color w:val="000000"/>
                <w:sz w:val="18"/>
                <w:szCs w:val="18"/>
                <w:lang w:eastAsia="es-CO"/>
              </w:rPr>
              <w:t xml:space="preserve">               331.888.362 </w:t>
            </w:r>
          </w:p>
        </w:tc>
      </w:tr>
      <w:tr w:rsidR="00E814BD" w:rsidRPr="0039091F" w14:paraId="79822FD9" w14:textId="77777777" w:rsidTr="00684C05">
        <w:trPr>
          <w:trHeight w:val="300"/>
          <w:jc w:val="center"/>
        </w:trPr>
        <w:tc>
          <w:tcPr>
            <w:tcW w:w="787" w:type="pct"/>
            <w:noWrap/>
            <w:vAlign w:val="center"/>
            <w:hideMark/>
          </w:tcPr>
          <w:p w14:paraId="1D33E59C" w14:textId="77777777" w:rsidR="00E814BD" w:rsidRPr="0039091F" w:rsidRDefault="00E814BD" w:rsidP="000A5389">
            <w:pPr>
              <w:spacing w:line="240" w:lineRule="auto"/>
              <w:jc w:val="center"/>
              <w:rPr>
                <w:rFonts w:eastAsia="Times New Roman" w:cs="Times New Roman"/>
                <w:color w:val="000000"/>
                <w:sz w:val="18"/>
                <w:szCs w:val="18"/>
                <w:lang w:eastAsia="es-CO"/>
              </w:rPr>
            </w:pPr>
            <w:r w:rsidRPr="0039091F">
              <w:rPr>
                <w:rFonts w:eastAsia="Times New Roman" w:cs="Times New Roman"/>
                <w:color w:val="000000"/>
                <w:sz w:val="18"/>
                <w:szCs w:val="18"/>
                <w:lang w:eastAsia="es-CO"/>
              </w:rPr>
              <w:t>2492405</w:t>
            </w:r>
          </w:p>
        </w:tc>
        <w:tc>
          <w:tcPr>
            <w:tcW w:w="1770" w:type="pct"/>
            <w:noWrap/>
            <w:vAlign w:val="bottom"/>
            <w:hideMark/>
          </w:tcPr>
          <w:p w14:paraId="6AFC4EF6" w14:textId="77777777" w:rsidR="00E814BD" w:rsidRPr="0039091F" w:rsidRDefault="00E814BD" w:rsidP="000A5389">
            <w:pPr>
              <w:spacing w:line="240" w:lineRule="auto"/>
              <w:jc w:val="center"/>
              <w:rPr>
                <w:rFonts w:eastAsia="Times New Roman" w:cs="Times New Roman"/>
                <w:color w:val="000000"/>
                <w:sz w:val="18"/>
                <w:szCs w:val="18"/>
                <w:lang w:eastAsia="es-CO"/>
              </w:rPr>
            </w:pPr>
            <w:r w:rsidRPr="0039091F">
              <w:rPr>
                <w:rFonts w:eastAsia="Times New Roman" w:cs="Times New Roman"/>
                <w:color w:val="000000"/>
                <w:sz w:val="18"/>
                <w:szCs w:val="18"/>
                <w:lang w:eastAsia="es-CO"/>
              </w:rPr>
              <w:t>05001333302320230044600</w:t>
            </w:r>
          </w:p>
        </w:tc>
        <w:tc>
          <w:tcPr>
            <w:tcW w:w="1236" w:type="pct"/>
            <w:noWrap/>
            <w:vAlign w:val="bottom"/>
            <w:hideMark/>
          </w:tcPr>
          <w:p w14:paraId="6C6E2388" w14:textId="77777777" w:rsidR="00E814BD" w:rsidRPr="0039091F" w:rsidRDefault="00E814BD" w:rsidP="000A5389">
            <w:pPr>
              <w:spacing w:line="240" w:lineRule="auto"/>
              <w:jc w:val="center"/>
              <w:rPr>
                <w:rFonts w:eastAsia="Times New Roman" w:cs="Times New Roman"/>
                <w:color w:val="000000"/>
                <w:sz w:val="18"/>
                <w:szCs w:val="18"/>
                <w:lang w:eastAsia="es-CO"/>
              </w:rPr>
            </w:pPr>
            <w:r w:rsidRPr="0039091F">
              <w:rPr>
                <w:rFonts w:eastAsia="Times New Roman" w:cs="Times New Roman"/>
                <w:color w:val="000000"/>
                <w:sz w:val="18"/>
                <w:szCs w:val="18"/>
                <w:lang w:eastAsia="es-CO"/>
              </w:rPr>
              <w:t>15326455</w:t>
            </w:r>
          </w:p>
        </w:tc>
        <w:tc>
          <w:tcPr>
            <w:tcW w:w="1208" w:type="pct"/>
            <w:noWrap/>
            <w:vAlign w:val="bottom"/>
            <w:hideMark/>
          </w:tcPr>
          <w:p w14:paraId="58561576" w14:textId="77777777" w:rsidR="00E814BD" w:rsidRPr="0039091F" w:rsidRDefault="00E814BD" w:rsidP="000A5389">
            <w:pPr>
              <w:spacing w:line="240" w:lineRule="auto"/>
              <w:jc w:val="center"/>
              <w:rPr>
                <w:rFonts w:eastAsia="Times New Roman" w:cs="Times New Roman"/>
                <w:color w:val="000000"/>
                <w:sz w:val="18"/>
                <w:szCs w:val="18"/>
                <w:lang w:eastAsia="es-CO"/>
              </w:rPr>
            </w:pPr>
            <w:r w:rsidRPr="0039091F">
              <w:rPr>
                <w:rFonts w:eastAsia="Times New Roman" w:cs="Times New Roman"/>
                <w:color w:val="000000"/>
                <w:sz w:val="18"/>
                <w:szCs w:val="18"/>
                <w:lang w:eastAsia="es-CO"/>
              </w:rPr>
              <w:t xml:space="preserve">               313.609.139 </w:t>
            </w:r>
          </w:p>
        </w:tc>
      </w:tr>
      <w:tr w:rsidR="00E814BD" w:rsidRPr="0039091F" w14:paraId="7044EBE6" w14:textId="77777777" w:rsidTr="00684C05">
        <w:trPr>
          <w:trHeight w:val="300"/>
          <w:jc w:val="center"/>
        </w:trPr>
        <w:tc>
          <w:tcPr>
            <w:tcW w:w="787" w:type="pct"/>
            <w:noWrap/>
            <w:vAlign w:val="center"/>
            <w:hideMark/>
          </w:tcPr>
          <w:p w14:paraId="12728BD3" w14:textId="77777777" w:rsidR="00E814BD" w:rsidRPr="0039091F" w:rsidRDefault="00E814BD" w:rsidP="000A5389">
            <w:pPr>
              <w:spacing w:line="240" w:lineRule="auto"/>
              <w:jc w:val="center"/>
              <w:rPr>
                <w:rFonts w:eastAsia="Times New Roman" w:cs="Times New Roman"/>
                <w:color w:val="000000"/>
                <w:sz w:val="18"/>
                <w:szCs w:val="18"/>
                <w:lang w:eastAsia="es-CO"/>
              </w:rPr>
            </w:pPr>
            <w:r w:rsidRPr="0039091F">
              <w:rPr>
                <w:rFonts w:eastAsia="Times New Roman" w:cs="Times New Roman"/>
                <w:color w:val="000000"/>
                <w:sz w:val="18"/>
                <w:szCs w:val="18"/>
                <w:lang w:eastAsia="es-CO"/>
              </w:rPr>
              <w:t>527682</w:t>
            </w:r>
          </w:p>
        </w:tc>
        <w:tc>
          <w:tcPr>
            <w:tcW w:w="1770" w:type="pct"/>
            <w:noWrap/>
            <w:vAlign w:val="bottom"/>
            <w:hideMark/>
          </w:tcPr>
          <w:p w14:paraId="4F6AD805" w14:textId="77777777" w:rsidR="00E814BD" w:rsidRPr="0039091F" w:rsidRDefault="00E814BD" w:rsidP="000A5389">
            <w:pPr>
              <w:spacing w:line="240" w:lineRule="auto"/>
              <w:jc w:val="center"/>
              <w:rPr>
                <w:rFonts w:eastAsia="Times New Roman" w:cs="Times New Roman"/>
                <w:color w:val="000000"/>
                <w:sz w:val="18"/>
                <w:szCs w:val="18"/>
                <w:lang w:eastAsia="es-CO"/>
              </w:rPr>
            </w:pPr>
            <w:r w:rsidRPr="0039091F">
              <w:rPr>
                <w:rFonts w:eastAsia="Times New Roman" w:cs="Times New Roman"/>
                <w:color w:val="000000"/>
                <w:sz w:val="18"/>
                <w:szCs w:val="18"/>
                <w:lang w:eastAsia="es-CO"/>
              </w:rPr>
              <w:t>68001333301420130016000</w:t>
            </w:r>
          </w:p>
        </w:tc>
        <w:tc>
          <w:tcPr>
            <w:tcW w:w="1236" w:type="pct"/>
            <w:noWrap/>
            <w:vAlign w:val="bottom"/>
            <w:hideMark/>
          </w:tcPr>
          <w:p w14:paraId="50EE24C3" w14:textId="77777777" w:rsidR="00E814BD" w:rsidRPr="0039091F" w:rsidRDefault="00E814BD" w:rsidP="000A5389">
            <w:pPr>
              <w:spacing w:line="240" w:lineRule="auto"/>
              <w:jc w:val="center"/>
              <w:rPr>
                <w:rFonts w:eastAsia="Times New Roman" w:cs="Times New Roman"/>
                <w:color w:val="000000"/>
                <w:sz w:val="18"/>
                <w:szCs w:val="18"/>
                <w:lang w:eastAsia="es-CO"/>
              </w:rPr>
            </w:pPr>
            <w:r w:rsidRPr="0039091F">
              <w:rPr>
                <w:rFonts w:eastAsia="Times New Roman" w:cs="Times New Roman"/>
                <w:color w:val="000000"/>
                <w:sz w:val="18"/>
                <w:szCs w:val="18"/>
                <w:lang w:eastAsia="es-CO"/>
              </w:rPr>
              <w:t>13832295</w:t>
            </w:r>
          </w:p>
        </w:tc>
        <w:tc>
          <w:tcPr>
            <w:tcW w:w="1208" w:type="pct"/>
            <w:noWrap/>
            <w:vAlign w:val="bottom"/>
            <w:hideMark/>
          </w:tcPr>
          <w:p w14:paraId="5B052AB9" w14:textId="77777777" w:rsidR="00E814BD" w:rsidRPr="0039091F" w:rsidRDefault="00E814BD" w:rsidP="000A5389">
            <w:pPr>
              <w:spacing w:line="240" w:lineRule="auto"/>
              <w:jc w:val="center"/>
              <w:rPr>
                <w:rFonts w:eastAsia="Times New Roman" w:cs="Times New Roman"/>
                <w:color w:val="000000"/>
                <w:sz w:val="18"/>
                <w:szCs w:val="18"/>
                <w:lang w:eastAsia="es-CO"/>
              </w:rPr>
            </w:pPr>
            <w:r w:rsidRPr="0039091F">
              <w:rPr>
                <w:rFonts w:eastAsia="Times New Roman" w:cs="Times New Roman"/>
                <w:color w:val="000000"/>
                <w:sz w:val="18"/>
                <w:szCs w:val="18"/>
                <w:lang w:eastAsia="es-CO"/>
              </w:rPr>
              <w:t xml:space="preserve">               297.422.192 </w:t>
            </w:r>
          </w:p>
        </w:tc>
      </w:tr>
      <w:tr w:rsidR="00E814BD" w:rsidRPr="0039091F" w14:paraId="78D407C7" w14:textId="77777777" w:rsidTr="00684C05">
        <w:trPr>
          <w:trHeight w:val="300"/>
          <w:jc w:val="center"/>
        </w:trPr>
        <w:tc>
          <w:tcPr>
            <w:tcW w:w="787" w:type="pct"/>
            <w:noWrap/>
            <w:vAlign w:val="center"/>
            <w:hideMark/>
          </w:tcPr>
          <w:p w14:paraId="1F1AB797" w14:textId="77777777" w:rsidR="00E814BD" w:rsidRPr="0039091F" w:rsidRDefault="00E814BD" w:rsidP="000A5389">
            <w:pPr>
              <w:spacing w:line="240" w:lineRule="auto"/>
              <w:jc w:val="center"/>
              <w:rPr>
                <w:rFonts w:eastAsia="Times New Roman" w:cs="Times New Roman"/>
                <w:color w:val="000000"/>
                <w:sz w:val="18"/>
                <w:szCs w:val="18"/>
                <w:lang w:eastAsia="es-CO"/>
              </w:rPr>
            </w:pPr>
            <w:r w:rsidRPr="0039091F">
              <w:rPr>
                <w:rFonts w:eastAsia="Times New Roman" w:cs="Times New Roman"/>
                <w:color w:val="000000"/>
                <w:sz w:val="18"/>
                <w:szCs w:val="18"/>
                <w:lang w:eastAsia="es-CO"/>
              </w:rPr>
              <w:t>2167612</w:t>
            </w:r>
          </w:p>
        </w:tc>
        <w:tc>
          <w:tcPr>
            <w:tcW w:w="1770" w:type="pct"/>
            <w:noWrap/>
            <w:vAlign w:val="bottom"/>
            <w:hideMark/>
          </w:tcPr>
          <w:p w14:paraId="5F01D805" w14:textId="77777777" w:rsidR="00E814BD" w:rsidRPr="0039091F" w:rsidRDefault="00E814BD" w:rsidP="000A5389">
            <w:pPr>
              <w:spacing w:line="240" w:lineRule="auto"/>
              <w:jc w:val="center"/>
              <w:rPr>
                <w:rFonts w:eastAsia="Times New Roman" w:cs="Times New Roman"/>
                <w:color w:val="000000"/>
                <w:sz w:val="18"/>
                <w:szCs w:val="18"/>
                <w:lang w:eastAsia="es-CO"/>
              </w:rPr>
            </w:pPr>
            <w:r w:rsidRPr="0039091F">
              <w:rPr>
                <w:rFonts w:eastAsia="Times New Roman" w:cs="Times New Roman"/>
                <w:color w:val="000000"/>
                <w:sz w:val="18"/>
                <w:szCs w:val="18"/>
                <w:lang w:eastAsia="es-CO"/>
              </w:rPr>
              <w:t>11001334205420200004400</w:t>
            </w:r>
          </w:p>
        </w:tc>
        <w:tc>
          <w:tcPr>
            <w:tcW w:w="1236" w:type="pct"/>
            <w:noWrap/>
            <w:vAlign w:val="bottom"/>
            <w:hideMark/>
          </w:tcPr>
          <w:p w14:paraId="64C9328C" w14:textId="77777777" w:rsidR="00E814BD" w:rsidRPr="0039091F" w:rsidRDefault="00E814BD" w:rsidP="000A5389">
            <w:pPr>
              <w:spacing w:line="240" w:lineRule="auto"/>
              <w:jc w:val="center"/>
              <w:rPr>
                <w:rFonts w:eastAsia="Times New Roman" w:cs="Times New Roman"/>
                <w:color w:val="000000"/>
                <w:sz w:val="18"/>
                <w:szCs w:val="18"/>
                <w:lang w:eastAsia="es-CO"/>
              </w:rPr>
            </w:pPr>
            <w:r w:rsidRPr="0039091F">
              <w:rPr>
                <w:rFonts w:eastAsia="Times New Roman" w:cs="Times New Roman"/>
                <w:color w:val="000000"/>
                <w:sz w:val="18"/>
                <w:szCs w:val="18"/>
                <w:lang w:eastAsia="es-CO"/>
              </w:rPr>
              <w:t>79491692</w:t>
            </w:r>
          </w:p>
        </w:tc>
        <w:tc>
          <w:tcPr>
            <w:tcW w:w="1208" w:type="pct"/>
            <w:noWrap/>
            <w:vAlign w:val="bottom"/>
            <w:hideMark/>
          </w:tcPr>
          <w:p w14:paraId="15A512EF" w14:textId="77777777" w:rsidR="00E814BD" w:rsidRPr="0039091F" w:rsidRDefault="00E814BD" w:rsidP="000A5389">
            <w:pPr>
              <w:spacing w:line="240" w:lineRule="auto"/>
              <w:jc w:val="center"/>
              <w:rPr>
                <w:rFonts w:eastAsia="Times New Roman" w:cs="Times New Roman"/>
                <w:color w:val="000000"/>
                <w:sz w:val="18"/>
                <w:szCs w:val="18"/>
                <w:lang w:eastAsia="es-CO"/>
              </w:rPr>
            </w:pPr>
            <w:r w:rsidRPr="0039091F">
              <w:rPr>
                <w:rFonts w:eastAsia="Times New Roman" w:cs="Times New Roman"/>
                <w:color w:val="000000"/>
                <w:sz w:val="18"/>
                <w:szCs w:val="18"/>
                <w:lang w:eastAsia="es-CO"/>
              </w:rPr>
              <w:t xml:space="preserve">               276.873.626 </w:t>
            </w:r>
          </w:p>
        </w:tc>
      </w:tr>
      <w:tr w:rsidR="00E814BD" w:rsidRPr="0039091F" w14:paraId="10589B66" w14:textId="77777777" w:rsidTr="00684C05">
        <w:trPr>
          <w:trHeight w:val="300"/>
          <w:jc w:val="center"/>
        </w:trPr>
        <w:tc>
          <w:tcPr>
            <w:tcW w:w="787" w:type="pct"/>
            <w:noWrap/>
            <w:vAlign w:val="center"/>
            <w:hideMark/>
          </w:tcPr>
          <w:p w14:paraId="793B5CE5" w14:textId="77777777" w:rsidR="00E814BD" w:rsidRPr="0039091F" w:rsidRDefault="00E814BD" w:rsidP="000A5389">
            <w:pPr>
              <w:spacing w:line="240" w:lineRule="auto"/>
              <w:jc w:val="center"/>
              <w:rPr>
                <w:rFonts w:eastAsia="Times New Roman" w:cs="Times New Roman"/>
                <w:color w:val="000000"/>
                <w:sz w:val="18"/>
                <w:szCs w:val="18"/>
                <w:lang w:eastAsia="es-CO"/>
              </w:rPr>
            </w:pPr>
            <w:r w:rsidRPr="0039091F">
              <w:rPr>
                <w:rFonts w:eastAsia="Times New Roman" w:cs="Times New Roman"/>
                <w:color w:val="000000"/>
                <w:sz w:val="18"/>
                <w:szCs w:val="18"/>
                <w:lang w:eastAsia="es-CO"/>
              </w:rPr>
              <w:t>2672769</w:t>
            </w:r>
          </w:p>
        </w:tc>
        <w:tc>
          <w:tcPr>
            <w:tcW w:w="1770" w:type="pct"/>
            <w:noWrap/>
            <w:vAlign w:val="bottom"/>
            <w:hideMark/>
          </w:tcPr>
          <w:p w14:paraId="7567A3EA" w14:textId="77777777" w:rsidR="00E814BD" w:rsidRPr="0039091F" w:rsidRDefault="00E814BD" w:rsidP="000A5389">
            <w:pPr>
              <w:spacing w:line="240" w:lineRule="auto"/>
              <w:jc w:val="center"/>
              <w:rPr>
                <w:rFonts w:eastAsia="Times New Roman" w:cs="Times New Roman"/>
                <w:color w:val="000000"/>
                <w:sz w:val="18"/>
                <w:szCs w:val="18"/>
                <w:lang w:eastAsia="es-CO"/>
              </w:rPr>
            </w:pPr>
            <w:r w:rsidRPr="0039091F">
              <w:rPr>
                <w:rFonts w:eastAsia="Times New Roman" w:cs="Times New Roman"/>
                <w:color w:val="000000"/>
                <w:sz w:val="18"/>
                <w:szCs w:val="18"/>
                <w:lang w:eastAsia="es-CO"/>
              </w:rPr>
              <w:t>23001333301020250021900</w:t>
            </w:r>
          </w:p>
        </w:tc>
        <w:tc>
          <w:tcPr>
            <w:tcW w:w="1236" w:type="pct"/>
            <w:noWrap/>
            <w:vAlign w:val="bottom"/>
            <w:hideMark/>
          </w:tcPr>
          <w:p w14:paraId="24084969" w14:textId="77777777" w:rsidR="00E814BD" w:rsidRPr="0039091F" w:rsidRDefault="00E814BD" w:rsidP="000A5389">
            <w:pPr>
              <w:spacing w:line="240" w:lineRule="auto"/>
              <w:jc w:val="center"/>
              <w:rPr>
                <w:rFonts w:eastAsia="Times New Roman" w:cs="Times New Roman"/>
                <w:color w:val="000000"/>
                <w:sz w:val="18"/>
                <w:szCs w:val="18"/>
                <w:lang w:eastAsia="es-CO"/>
              </w:rPr>
            </w:pPr>
            <w:r w:rsidRPr="0039091F">
              <w:rPr>
                <w:rFonts w:eastAsia="Times New Roman" w:cs="Times New Roman"/>
                <w:color w:val="000000"/>
                <w:sz w:val="18"/>
                <w:szCs w:val="18"/>
                <w:lang w:eastAsia="es-CO"/>
              </w:rPr>
              <w:t>1067162539</w:t>
            </w:r>
          </w:p>
        </w:tc>
        <w:tc>
          <w:tcPr>
            <w:tcW w:w="1208" w:type="pct"/>
            <w:noWrap/>
            <w:vAlign w:val="bottom"/>
            <w:hideMark/>
          </w:tcPr>
          <w:p w14:paraId="6CF50F4B" w14:textId="77777777" w:rsidR="00E814BD" w:rsidRPr="0039091F" w:rsidRDefault="00E814BD" w:rsidP="000A5389">
            <w:pPr>
              <w:spacing w:line="240" w:lineRule="auto"/>
              <w:jc w:val="center"/>
              <w:rPr>
                <w:rFonts w:eastAsia="Times New Roman" w:cs="Times New Roman"/>
                <w:color w:val="000000"/>
                <w:sz w:val="18"/>
                <w:szCs w:val="18"/>
                <w:lang w:eastAsia="es-CO"/>
              </w:rPr>
            </w:pPr>
            <w:r w:rsidRPr="0039091F">
              <w:rPr>
                <w:rFonts w:eastAsia="Times New Roman" w:cs="Times New Roman"/>
                <w:color w:val="000000"/>
                <w:sz w:val="18"/>
                <w:szCs w:val="18"/>
                <w:lang w:eastAsia="es-CO"/>
              </w:rPr>
              <w:t xml:space="preserve">               266.178.802 </w:t>
            </w:r>
          </w:p>
        </w:tc>
      </w:tr>
      <w:tr w:rsidR="00E814BD" w:rsidRPr="0039091F" w14:paraId="573AE15F" w14:textId="77777777" w:rsidTr="00684C05">
        <w:trPr>
          <w:trHeight w:val="300"/>
          <w:jc w:val="center"/>
        </w:trPr>
        <w:tc>
          <w:tcPr>
            <w:tcW w:w="787" w:type="pct"/>
            <w:noWrap/>
            <w:vAlign w:val="center"/>
            <w:hideMark/>
          </w:tcPr>
          <w:p w14:paraId="324E41F1" w14:textId="77777777" w:rsidR="00E814BD" w:rsidRPr="0039091F" w:rsidRDefault="00E814BD" w:rsidP="000A5389">
            <w:pPr>
              <w:spacing w:line="240" w:lineRule="auto"/>
              <w:jc w:val="center"/>
              <w:rPr>
                <w:rFonts w:eastAsia="Times New Roman" w:cs="Times New Roman"/>
                <w:color w:val="000000"/>
                <w:sz w:val="18"/>
                <w:szCs w:val="18"/>
                <w:lang w:eastAsia="es-CO"/>
              </w:rPr>
            </w:pPr>
            <w:r w:rsidRPr="0039091F">
              <w:rPr>
                <w:rFonts w:eastAsia="Times New Roman" w:cs="Times New Roman"/>
                <w:color w:val="000000"/>
                <w:sz w:val="18"/>
                <w:szCs w:val="18"/>
                <w:lang w:eastAsia="es-CO"/>
              </w:rPr>
              <w:t>2098723</w:t>
            </w:r>
          </w:p>
        </w:tc>
        <w:tc>
          <w:tcPr>
            <w:tcW w:w="1770" w:type="pct"/>
            <w:noWrap/>
            <w:vAlign w:val="bottom"/>
            <w:hideMark/>
          </w:tcPr>
          <w:p w14:paraId="7F4482A1" w14:textId="77777777" w:rsidR="00E814BD" w:rsidRPr="0039091F" w:rsidRDefault="00E814BD" w:rsidP="000A5389">
            <w:pPr>
              <w:spacing w:line="240" w:lineRule="auto"/>
              <w:jc w:val="center"/>
              <w:rPr>
                <w:rFonts w:eastAsia="Times New Roman" w:cs="Times New Roman"/>
                <w:color w:val="000000"/>
                <w:sz w:val="18"/>
                <w:szCs w:val="18"/>
                <w:lang w:eastAsia="es-CO"/>
              </w:rPr>
            </w:pPr>
            <w:r w:rsidRPr="0039091F">
              <w:rPr>
                <w:rFonts w:eastAsia="Times New Roman" w:cs="Times New Roman"/>
                <w:color w:val="000000"/>
                <w:sz w:val="18"/>
                <w:szCs w:val="18"/>
                <w:lang w:eastAsia="es-CO"/>
              </w:rPr>
              <w:t>41001333300820190018300</w:t>
            </w:r>
          </w:p>
        </w:tc>
        <w:tc>
          <w:tcPr>
            <w:tcW w:w="1236" w:type="pct"/>
            <w:noWrap/>
            <w:vAlign w:val="bottom"/>
            <w:hideMark/>
          </w:tcPr>
          <w:p w14:paraId="025450A7" w14:textId="77777777" w:rsidR="00E814BD" w:rsidRPr="0039091F" w:rsidRDefault="00E814BD" w:rsidP="000A5389">
            <w:pPr>
              <w:spacing w:line="240" w:lineRule="auto"/>
              <w:jc w:val="center"/>
              <w:rPr>
                <w:rFonts w:eastAsia="Times New Roman" w:cs="Times New Roman"/>
                <w:color w:val="000000"/>
                <w:sz w:val="18"/>
                <w:szCs w:val="18"/>
                <w:lang w:eastAsia="es-CO"/>
              </w:rPr>
            </w:pPr>
            <w:r w:rsidRPr="0039091F">
              <w:rPr>
                <w:rFonts w:eastAsia="Times New Roman" w:cs="Times New Roman"/>
                <w:color w:val="000000"/>
                <w:sz w:val="18"/>
                <w:szCs w:val="18"/>
                <w:lang w:eastAsia="es-CO"/>
              </w:rPr>
              <w:t>12196956</w:t>
            </w:r>
          </w:p>
        </w:tc>
        <w:tc>
          <w:tcPr>
            <w:tcW w:w="1208" w:type="pct"/>
            <w:noWrap/>
            <w:vAlign w:val="bottom"/>
            <w:hideMark/>
          </w:tcPr>
          <w:p w14:paraId="77A6DB60" w14:textId="77777777" w:rsidR="00E814BD" w:rsidRPr="0039091F" w:rsidRDefault="00E814BD" w:rsidP="000A5389">
            <w:pPr>
              <w:spacing w:line="240" w:lineRule="auto"/>
              <w:jc w:val="center"/>
              <w:rPr>
                <w:rFonts w:eastAsia="Times New Roman" w:cs="Times New Roman"/>
                <w:color w:val="000000"/>
                <w:sz w:val="18"/>
                <w:szCs w:val="18"/>
                <w:lang w:eastAsia="es-CO"/>
              </w:rPr>
            </w:pPr>
            <w:r w:rsidRPr="0039091F">
              <w:rPr>
                <w:rFonts w:eastAsia="Times New Roman" w:cs="Times New Roman"/>
                <w:color w:val="000000"/>
                <w:sz w:val="18"/>
                <w:szCs w:val="18"/>
                <w:lang w:eastAsia="es-CO"/>
              </w:rPr>
              <w:t xml:space="preserve">               256.106.746 </w:t>
            </w:r>
          </w:p>
        </w:tc>
      </w:tr>
      <w:tr w:rsidR="00E814BD" w:rsidRPr="0039091F" w14:paraId="6EBB9708" w14:textId="77777777" w:rsidTr="00684C05">
        <w:trPr>
          <w:trHeight w:val="300"/>
          <w:jc w:val="center"/>
        </w:trPr>
        <w:tc>
          <w:tcPr>
            <w:tcW w:w="787" w:type="pct"/>
            <w:noWrap/>
            <w:vAlign w:val="center"/>
            <w:hideMark/>
          </w:tcPr>
          <w:p w14:paraId="08E4CEDC" w14:textId="77777777" w:rsidR="00E814BD" w:rsidRPr="0039091F" w:rsidRDefault="00E814BD" w:rsidP="000A5389">
            <w:pPr>
              <w:spacing w:line="240" w:lineRule="auto"/>
              <w:jc w:val="center"/>
              <w:rPr>
                <w:rFonts w:eastAsia="Times New Roman" w:cs="Times New Roman"/>
                <w:color w:val="000000"/>
                <w:sz w:val="18"/>
                <w:szCs w:val="18"/>
                <w:lang w:eastAsia="es-CO"/>
              </w:rPr>
            </w:pPr>
            <w:r w:rsidRPr="0039091F">
              <w:rPr>
                <w:rFonts w:eastAsia="Times New Roman" w:cs="Times New Roman"/>
                <w:color w:val="000000"/>
                <w:sz w:val="18"/>
                <w:szCs w:val="18"/>
                <w:lang w:eastAsia="es-CO"/>
              </w:rPr>
              <w:t>671786</w:t>
            </w:r>
          </w:p>
        </w:tc>
        <w:tc>
          <w:tcPr>
            <w:tcW w:w="1770" w:type="pct"/>
            <w:noWrap/>
            <w:vAlign w:val="bottom"/>
            <w:hideMark/>
          </w:tcPr>
          <w:p w14:paraId="4CE07D20" w14:textId="77777777" w:rsidR="00E814BD" w:rsidRPr="0039091F" w:rsidRDefault="00E814BD" w:rsidP="000A5389">
            <w:pPr>
              <w:spacing w:line="240" w:lineRule="auto"/>
              <w:jc w:val="center"/>
              <w:rPr>
                <w:rFonts w:eastAsia="Times New Roman" w:cs="Times New Roman"/>
                <w:color w:val="000000"/>
                <w:sz w:val="18"/>
                <w:szCs w:val="18"/>
                <w:lang w:eastAsia="es-CO"/>
              </w:rPr>
            </w:pPr>
            <w:r w:rsidRPr="0039091F">
              <w:rPr>
                <w:rFonts w:eastAsia="Times New Roman" w:cs="Times New Roman"/>
                <w:color w:val="000000"/>
                <w:sz w:val="18"/>
                <w:szCs w:val="18"/>
                <w:lang w:eastAsia="es-CO"/>
              </w:rPr>
              <w:t>19001333300720150012400</w:t>
            </w:r>
          </w:p>
        </w:tc>
        <w:tc>
          <w:tcPr>
            <w:tcW w:w="1236" w:type="pct"/>
            <w:noWrap/>
            <w:vAlign w:val="bottom"/>
            <w:hideMark/>
          </w:tcPr>
          <w:p w14:paraId="5B2D1F19" w14:textId="77777777" w:rsidR="00E814BD" w:rsidRPr="0039091F" w:rsidRDefault="00E814BD" w:rsidP="000A5389">
            <w:pPr>
              <w:spacing w:line="240" w:lineRule="auto"/>
              <w:jc w:val="center"/>
              <w:rPr>
                <w:rFonts w:eastAsia="Times New Roman" w:cs="Times New Roman"/>
                <w:color w:val="000000"/>
                <w:sz w:val="18"/>
                <w:szCs w:val="18"/>
                <w:lang w:eastAsia="es-CO"/>
              </w:rPr>
            </w:pPr>
            <w:r w:rsidRPr="0039091F">
              <w:rPr>
                <w:rFonts w:eastAsia="Times New Roman" w:cs="Times New Roman"/>
                <w:color w:val="000000"/>
                <w:sz w:val="18"/>
                <w:szCs w:val="18"/>
                <w:lang w:eastAsia="es-CO"/>
              </w:rPr>
              <w:t>10135274</w:t>
            </w:r>
          </w:p>
        </w:tc>
        <w:tc>
          <w:tcPr>
            <w:tcW w:w="1208" w:type="pct"/>
            <w:noWrap/>
            <w:vAlign w:val="bottom"/>
            <w:hideMark/>
          </w:tcPr>
          <w:p w14:paraId="6D0EE031" w14:textId="77777777" w:rsidR="00E814BD" w:rsidRPr="0039091F" w:rsidRDefault="00E814BD" w:rsidP="000A5389">
            <w:pPr>
              <w:spacing w:line="240" w:lineRule="auto"/>
              <w:jc w:val="center"/>
              <w:rPr>
                <w:rFonts w:eastAsia="Times New Roman" w:cs="Times New Roman"/>
                <w:color w:val="000000"/>
                <w:sz w:val="18"/>
                <w:szCs w:val="18"/>
                <w:lang w:eastAsia="es-CO"/>
              </w:rPr>
            </w:pPr>
            <w:r w:rsidRPr="0039091F">
              <w:rPr>
                <w:rFonts w:eastAsia="Times New Roman" w:cs="Times New Roman"/>
                <w:color w:val="000000"/>
                <w:sz w:val="18"/>
                <w:szCs w:val="18"/>
                <w:lang w:eastAsia="es-CO"/>
              </w:rPr>
              <w:t xml:space="preserve">               229.552.861 </w:t>
            </w:r>
          </w:p>
        </w:tc>
      </w:tr>
      <w:tr w:rsidR="00E814BD" w:rsidRPr="0039091F" w14:paraId="281E32AC" w14:textId="77777777" w:rsidTr="00684C05">
        <w:trPr>
          <w:trHeight w:val="300"/>
          <w:jc w:val="center"/>
        </w:trPr>
        <w:tc>
          <w:tcPr>
            <w:tcW w:w="787" w:type="pct"/>
            <w:noWrap/>
            <w:vAlign w:val="center"/>
            <w:hideMark/>
          </w:tcPr>
          <w:p w14:paraId="2D9E0904" w14:textId="77777777" w:rsidR="00E814BD" w:rsidRPr="0039091F" w:rsidRDefault="00E814BD" w:rsidP="000A5389">
            <w:pPr>
              <w:spacing w:line="240" w:lineRule="auto"/>
              <w:jc w:val="center"/>
              <w:rPr>
                <w:rFonts w:eastAsia="Times New Roman" w:cs="Times New Roman"/>
                <w:color w:val="000000"/>
                <w:sz w:val="18"/>
                <w:szCs w:val="18"/>
                <w:lang w:eastAsia="es-CO"/>
              </w:rPr>
            </w:pPr>
            <w:r w:rsidRPr="0039091F">
              <w:rPr>
                <w:rFonts w:eastAsia="Times New Roman" w:cs="Times New Roman"/>
                <w:color w:val="000000"/>
                <w:sz w:val="18"/>
                <w:szCs w:val="18"/>
                <w:lang w:eastAsia="es-CO"/>
              </w:rPr>
              <w:t>2492867</w:t>
            </w:r>
          </w:p>
        </w:tc>
        <w:tc>
          <w:tcPr>
            <w:tcW w:w="1770" w:type="pct"/>
            <w:noWrap/>
            <w:vAlign w:val="bottom"/>
            <w:hideMark/>
          </w:tcPr>
          <w:p w14:paraId="22CCA2B7" w14:textId="77777777" w:rsidR="00E814BD" w:rsidRPr="0039091F" w:rsidRDefault="00E814BD" w:rsidP="000A5389">
            <w:pPr>
              <w:spacing w:line="240" w:lineRule="auto"/>
              <w:jc w:val="center"/>
              <w:rPr>
                <w:rFonts w:eastAsia="Times New Roman" w:cs="Times New Roman"/>
                <w:color w:val="000000"/>
                <w:sz w:val="18"/>
                <w:szCs w:val="18"/>
                <w:lang w:eastAsia="es-CO"/>
              </w:rPr>
            </w:pPr>
            <w:r w:rsidRPr="0039091F">
              <w:rPr>
                <w:rFonts w:eastAsia="Times New Roman" w:cs="Times New Roman"/>
                <w:color w:val="000000"/>
                <w:sz w:val="18"/>
                <w:szCs w:val="18"/>
                <w:lang w:eastAsia="es-CO"/>
              </w:rPr>
              <w:t>05001333300620230040800</w:t>
            </w:r>
          </w:p>
        </w:tc>
        <w:tc>
          <w:tcPr>
            <w:tcW w:w="1236" w:type="pct"/>
            <w:noWrap/>
            <w:vAlign w:val="bottom"/>
            <w:hideMark/>
          </w:tcPr>
          <w:p w14:paraId="1F8B0C2B" w14:textId="77777777" w:rsidR="00E814BD" w:rsidRPr="0039091F" w:rsidRDefault="00E814BD" w:rsidP="000A5389">
            <w:pPr>
              <w:spacing w:line="240" w:lineRule="auto"/>
              <w:jc w:val="center"/>
              <w:rPr>
                <w:rFonts w:eastAsia="Times New Roman" w:cs="Times New Roman"/>
                <w:color w:val="000000"/>
                <w:sz w:val="18"/>
                <w:szCs w:val="18"/>
                <w:lang w:eastAsia="es-CO"/>
              </w:rPr>
            </w:pPr>
            <w:r w:rsidRPr="0039091F">
              <w:rPr>
                <w:rFonts w:eastAsia="Times New Roman" w:cs="Times New Roman"/>
                <w:color w:val="000000"/>
                <w:sz w:val="18"/>
                <w:szCs w:val="18"/>
                <w:lang w:eastAsia="es-CO"/>
              </w:rPr>
              <w:t>8401091</w:t>
            </w:r>
          </w:p>
        </w:tc>
        <w:tc>
          <w:tcPr>
            <w:tcW w:w="1208" w:type="pct"/>
            <w:noWrap/>
            <w:vAlign w:val="bottom"/>
            <w:hideMark/>
          </w:tcPr>
          <w:p w14:paraId="345E7E40" w14:textId="77777777" w:rsidR="00E814BD" w:rsidRPr="0039091F" w:rsidRDefault="00E814BD" w:rsidP="000A5389">
            <w:pPr>
              <w:spacing w:line="240" w:lineRule="auto"/>
              <w:jc w:val="center"/>
              <w:rPr>
                <w:rFonts w:eastAsia="Times New Roman" w:cs="Times New Roman"/>
                <w:color w:val="000000"/>
                <w:sz w:val="18"/>
                <w:szCs w:val="18"/>
                <w:lang w:eastAsia="es-CO"/>
              </w:rPr>
            </w:pPr>
            <w:r w:rsidRPr="0039091F">
              <w:rPr>
                <w:rFonts w:eastAsia="Times New Roman" w:cs="Times New Roman"/>
                <w:color w:val="000000"/>
                <w:sz w:val="18"/>
                <w:szCs w:val="18"/>
                <w:lang w:eastAsia="es-CO"/>
              </w:rPr>
              <w:t xml:space="preserve">               217.725.858 </w:t>
            </w:r>
          </w:p>
        </w:tc>
      </w:tr>
      <w:tr w:rsidR="00E814BD" w:rsidRPr="0039091F" w14:paraId="4ADA6DD1" w14:textId="77777777" w:rsidTr="00684C05">
        <w:trPr>
          <w:trHeight w:val="300"/>
          <w:jc w:val="center"/>
        </w:trPr>
        <w:tc>
          <w:tcPr>
            <w:tcW w:w="787" w:type="pct"/>
            <w:noWrap/>
            <w:vAlign w:val="center"/>
            <w:hideMark/>
          </w:tcPr>
          <w:p w14:paraId="298AA6A9" w14:textId="77777777" w:rsidR="00E814BD" w:rsidRPr="0039091F" w:rsidRDefault="00E814BD" w:rsidP="000A5389">
            <w:pPr>
              <w:spacing w:line="240" w:lineRule="auto"/>
              <w:jc w:val="center"/>
              <w:rPr>
                <w:rFonts w:eastAsia="Times New Roman" w:cs="Times New Roman"/>
                <w:color w:val="000000"/>
                <w:sz w:val="18"/>
                <w:szCs w:val="18"/>
                <w:lang w:eastAsia="es-CO"/>
              </w:rPr>
            </w:pPr>
            <w:r w:rsidRPr="0039091F">
              <w:rPr>
                <w:rFonts w:eastAsia="Times New Roman" w:cs="Times New Roman"/>
                <w:color w:val="000000"/>
                <w:sz w:val="18"/>
                <w:szCs w:val="18"/>
                <w:lang w:eastAsia="es-CO"/>
              </w:rPr>
              <w:t>2069007</w:t>
            </w:r>
          </w:p>
        </w:tc>
        <w:tc>
          <w:tcPr>
            <w:tcW w:w="1770" w:type="pct"/>
            <w:noWrap/>
            <w:vAlign w:val="bottom"/>
            <w:hideMark/>
          </w:tcPr>
          <w:p w14:paraId="47286162" w14:textId="77777777" w:rsidR="00E814BD" w:rsidRPr="0039091F" w:rsidRDefault="00E814BD" w:rsidP="000A5389">
            <w:pPr>
              <w:spacing w:line="240" w:lineRule="auto"/>
              <w:jc w:val="center"/>
              <w:rPr>
                <w:rFonts w:eastAsia="Times New Roman" w:cs="Times New Roman"/>
                <w:color w:val="000000"/>
                <w:sz w:val="18"/>
                <w:szCs w:val="18"/>
                <w:lang w:eastAsia="es-CO"/>
              </w:rPr>
            </w:pPr>
            <w:r w:rsidRPr="0039091F">
              <w:rPr>
                <w:rFonts w:eastAsia="Times New Roman" w:cs="Times New Roman"/>
                <w:color w:val="000000"/>
                <w:sz w:val="18"/>
                <w:szCs w:val="18"/>
                <w:lang w:eastAsia="es-CO"/>
              </w:rPr>
              <w:t>41001333300720190006300</w:t>
            </w:r>
          </w:p>
        </w:tc>
        <w:tc>
          <w:tcPr>
            <w:tcW w:w="1236" w:type="pct"/>
            <w:noWrap/>
            <w:vAlign w:val="bottom"/>
            <w:hideMark/>
          </w:tcPr>
          <w:p w14:paraId="732CCB15" w14:textId="77777777" w:rsidR="00E814BD" w:rsidRPr="0039091F" w:rsidRDefault="00E814BD" w:rsidP="000A5389">
            <w:pPr>
              <w:spacing w:line="240" w:lineRule="auto"/>
              <w:jc w:val="center"/>
              <w:rPr>
                <w:rFonts w:eastAsia="Times New Roman" w:cs="Times New Roman"/>
                <w:color w:val="000000"/>
                <w:sz w:val="18"/>
                <w:szCs w:val="18"/>
                <w:lang w:eastAsia="es-CO"/>
              </w:rPr>
            </w:pPr>
            <w:r w:rsidRPr="0039091F">
              <w:rPr>
                <w:rFonts w:eastAsia="Times New Roman" w:cs="Times New Roman"/>
                <w:color w:val="000000"/>
                <w:sz w:val="18"/>
                <w:szCs w:val="18"/>
                <w:lang w:eastAsia="es-CO"/>
              </w:rPr>
              <w:t>80117944</w:t>
            </w:r>
          </w:p>
        </w:tc>
        <w:tc>
          <w:tcPr>
            <w:tcW w:w="1208" w:type="pct"/>
            <w:noWrap/>
            <w:vAlign w:val="bottom"/>
            <w:hideMark/>
          </w:tcPr>
          <w:p w14:paraId="1877E6B5" w14:textId="77777777" w:rsidR="00E814BD" w:rsidRPr="0039091F" w:rsidRDefault="00E814BD" w:rsidP="000A5389">
            <w:pPr>
              <w:spacing w:line="240" w:lineRule="auto"/>
              <w:jc w:val="center"/>
              <w:rPr>
                <w:rFonts w:eastAsia="Times New Roman" w:cs="Times New Roman"/>
                <w:color w:val="000000"/>
                <w:sz w:val="18"/>
                <w:szCs w:val="18"/>
                <w:lang w:eastAsia="es-CO"/>
              </w:rPr>
            </w:pPr>
            <w:r w:rsidRPr="0039091F">
              <w:rPr>
                <w:rFonts w:eastAsia="Times New Roman" w:cs="Times New Roman"/>
                <w:color w:val="000000"/>
                <w:sz w:val="18"/>
                <w:szCs w:val="18"/>
                <w:lang w:eastAsia="es-CO"/>
              </w:rPr>
              <w:t xml:space="preserve">               213.525.000 </w:t>
            </w:r>
          </w:p>
        </w:tc>
      </w:tr>
      <w:tr w:rsidR="00E814BD" w:rsidRPr="0039091F" w14:paraId="1D2534FC" w14:textId="77777777" w:rsidTr="00684C05">
        <w:trPr>
          <w:trHeight w:val="300"/>
          <w:jc w:val="center"/>
        </w:trPr>
        <w:tc>
          <w:tcPr>
            <w:tcW w:w="787" w:type="pct"/>
            <w:noWrap/>
            <w:vAlign w:val="center"/>
            <w:hideMark/>
          </w:tcPr>
          <w:p w14:paraId="38B3D061" w14:textId="77777777" w:rsidR="00E814BD" w:rsidRPr="0039091F" w:rsidRDefault="00E814BD" w:rsidP="000A5389">
            <w:pPr>
              <w:spacing w:line="240" w:lineRule="auto"/>
              <w:jc w:val="center"/>
              <w:rPr>
                <w:rFonts w:eastAsia="Times New Roman" w:cs="Times New Roman"/>
                <w:color w:val="000000"/>
                <w:sz w:val="18"/>
                <w:szCs w:val="18"/>
                <w:lang w:eastAsia="es-CO"/>
              </w:rPr>
            </w:pPr>
            <w:r w:rsidRPr="0039091F">
              <w:rPr>
                <w:rFonts w:eastAsia="Times New Roman" w:cs="Times New Roman"/>
                <w:color w:val="000000"/>
                <w:sz w:val="18"/>
                <w:szCs w:val="18"/>
                <w:lang w:eastAsia="es-CO"/>
              </w:rPr>
              <w:t>2145922</w:t>
            </w:r>
          </w:p>
        </w:tc>
        <w:tc>
          <w:tcPr>
            <w:tcW w:w="1770" w:type="pct"/>
            <w:noWrap/>
            <w:vAlign w:val="bottom"/>
            <w:hideMark/>
          </w:tcPr>
          <w:p w14:paraId="654DF0D4" w14:textId="77777777" w:rsidR="00E814BD" w:rsidRPr="0039091F" w:rsidRDefault="00E814BD" w:rsidP="000A5389">
            <w:pPr>
              <w:spacing w:line="240" w:lineRule="auto"/>
              <w:jc w:val="center"/>
              <w:rPr>
                <w:rFonts w:eastAsia="Times New Roman" w:cs="Times New Roman"/>
                <w:color w:val="000000"/>
                <w:sz w:val="18"/>
                <w:szCs w:val="18"/>
                <w:lang w:eastAsia="es-CO"/>
              </w:rPr>
            </w:pPr>
            <w:r w:rsidRPr="0039091F">
              <w:rPr>
                <w:rFonts w:eastAsia="Times New Roman" w:cs="Times New Roman"/>
                <w:color w:val="000000"/>
                <w:sz w:val="18"/>
                <w:szCs w:val="18"/>
                <w:lang w:eastAsia="es-CO"/>
              </w:rPr>
              <w:t>13001333300820200008200</w:t>
            </w:r>
          </w:p>
        </w:tc>
        <w:tc>
          <w:tcPr>
            <w:tcW w:w="1236" w:type="pct"/>
            <w:noWrap/>
            <w:vAlign w:val="bottom"/>
            <w:hideMark/>
          </w:tcPr>
          <w:p w14:paraId="7A1CDBD0" w14:textId="77777777" w:rsidR="00E814BD" w:rsidRPr="0039091F" w:rsidRDefault="00E814BD" w:rsidP="000A5389">
            <w:pPr>
              <w:spacing w:line="240" w:lineRule="auto"/>
              <w:jc w:val="center"/>
              <w:rPr>
                <w:rFonts w:eastAsia="Times New Roman" w:cs="Times New Roman"/>
                <w:color w:val="000000"/>
                <w:sz w:val="18"/>
                <w:szCs w:val="18"/>
                <w:lang w:eastAsia="es-CO"/>
              </w:rPr>
            </w:pPr>
            <w:r w:rsidRPr="0039091F">
              <w:rPr>
                <w:rFonts w:eastAsia="Times New Roman" w:cs="Times New Roman"/>
                <w:color w:val="000000"/>
                <w:sz w:val="18"/>
                <w:szCs w:val="18"/>
                <w:lang w:eastAsia="es-CO"/>
              </w:rPr>
              <w:t>71605601</w:t>
            </w:r>
          </w:p>
        </w:tc>
        <w:tc>
          <w:tcPr>
            <w:tcW w:w="1208" w:type="pct"/>
            <w:noWrap/>
            <w:vAlign w:val="bottom"/>
            <w:hideMark/>
          </w:tcPr>
          <w:p w14:paraId="4029C2DB" w14:textId="77777777" w:rsidR="00E814BD" w:rsidRPr="0039091F" w:rsidRDefault="00E814BD" w:rsidP="000A5389">
            <w:pPr>
              <w:spacing w:line="240" w:lineRule="auto"/>
              <w:jc w:val="center"/>
              <w:rPr>
                <w:rFonts w:eastAsia="Times New Roman" w:cs="Times New Roman"/>
                <w:color w:val="000000"/>
                <w:sz w:val="18"/>
                <w:szCs w:val="18"/>
                <w:lang w:eastAsia="es-CO"/>
              </w:rPr>
            </w:pPr>
            <w:r w:rsidRPr="0039091F">
              <w:rPr>
                <w:rFonts w:eastAsia="Times New Roman" w:cs="Times New Roman"/>
                <w:color w:val="000000"/>
                <w:sz w:val="18"/>
                <w:szCs w:val="18"/>
                <w:lang w:eastAsia="es-CO"/>
              </w:rPr>
              <w:t xml:space="preserve">               204.847.195 </w:t>
            </w:r>
          </w:p>
        </w:tc>
      </w:tr>
      <w:tr w:rsidR="00E814BD" w:rsidRPr="0039091F" w14:paraId="44A0D8F9" w14:textId="77777777" w:rsidTr="00684C05">
        <w:trPr>
          <w:trHeight w:val="300"/>
          <w:jc w:val="center"/>
        </w:trPr>
        <w:tc>
          <w:tcPr>
            <w:tcW w:w="787" w:type="pct"/>
            <w:noWrap/>
            <w:vAlign w:val="center"/>
            <w:hideMark/>
          </w:tcPr>
          <w:p w14:paraId="376E70D4" w14:textId="77777777" w:rsidR="00E814BD" w:rsidRPr="0039091F" w:rsidRDefault="00E814BD" w:rsidP="000A5389">
            <w:pPr>
              <w:spacing w:line="240" w:lineRule="auto"/>
              <w:jc w:val="center"/>
              <w:rPr>
                <w:rFonts w:eastAsia="Times New Roman" w:cs="Times New Roman"/>
                <w:color w:val="000000"/>
                <w:sz w:val="18"/>
                <w:szCs w:val="18"/>
                <w:lang w:eastAsia="es-CO"/>
              </w:rPr>
            </w:pPr>
            <w:r w:rsidRPr="0039091F">
              <w:rPr>
                <w:rFonts w:eastAsia="Times New Roman" w:cs="Times New Roman"/>
                <w:color w:val="000000"/>
                <w:sz w:val="18"/>
                <w:szCs w:val="18"/>
                <w:lang w:eastAsia="es-CO"/>
              </w:rPr>
              <w:t>2525195</w:t>
            </w:r>
          </w:p>
        </w:tc>
        <w:tc>
          <w:tcPr>
            <w:tcW w:w="1770" w:type="pct"/>
            <w:noWrap/>
            <w:vAlign w:val="bottom"/>
            <w:hideMark/>
          </w:tcPr>
          <w:p w14:paraId="22EB4138" w14:textId="77777777" w:rsidR="00E814BD" w:rsidRPr="0039091F" w:rsidRDefault="00E814BD" w:rsidP="000A5389">
            <w:pPr>
              <w:spacing w:line="240" w:lineRule="auto"/>
              <w:jc w:val="center"/>
              <w:rPr>
                <w:rFonts w:eastAsia="Times New Roman" w:cs="Times New Roman"/>
                <w:color w:val="000000"/>
                <w:sz w:val="18"/>
                <w:szCs w:val="18"/>
                <w:lang w:eastAsia="es-CO"/>
              </w:rPr>
            </w:pPr>
            <w:r w:rsidRPr="0039091F">
              <w:rPr>
                <w:rFonts w:eastAsia="Times New Roman" w:cs="Times New Roman"/>
                <w:color w:val="000000"/>
                <w:sz w:val="18"/>
                <w:szCs w:val="18"/>
                <w:lang w:eastAsia="es-CO"/>
              </w:rPr>
              <w:t>15001333301120230021300</w:t>
            </w:r>
          </w:p>
        </w:tc>
        <w:tc>
          <w:tcPr>
            <w:tcW w:w="1236" w:type="pct"/>
            <w:noWrap/>
            <w:vAlign w:val="bottom"/>
            <w:hideMark/>
          </w:tcPr>
          <w:p w14:paraId="3631D0C5" w14:textId="77777777" w:rsidR="00E814BD" w:rsidRPr="0039091F" w:rsidRDefault="00E814BD" w:rsidP="000A5389">
            <w:pPr>
              <w:spacing w:line="240" w:lineRule="auto"/>
              <w:jc w:val="center"/>
              <w:rPr>
                <w:rFonts w:eastAsia="Times New Roman" w:cs="Times New Roman"/>
                <w:color w:val="000000"/>
                <w:sz w:val="18"/>
                <w:szCs w:val="18"/>
                <w:lang w:eastAsia="es-CO"/>
              </w:rPr>
            </w:pPr>
            <w:r w:rsidRPr="0039091F">
              <w:rPr>
                <w:rFonts w:eastAsia="Times New Roman" w:cs="Times New Roman"/>
                <w:color w:val="000000"/>
                <w:sz w:val="18"/>
                <w:szCs w:val="18"/>
                <w:lang w:eastAsia="es-CO"/>
              </w:rPr>
              <w:t>52802749</w:t>
            </w:r>
          </w:p>
        </w:tc>
        <w:tc>
          <w:tcPr>
            <w:tcW w:w="1208" w:type="pct"/>
            <w:noWrap/>
            <w:vAlign w:val="bottom"/>
            <w:hideMark/>
          </w:tcPr>
          <w:p w14:paraId="3022DDB9" w14:textId="77777777" w:rsidR="00E814BD" w:rsidRPr="0039091F" w:rsidRDefault="00E814BD" w:rsidP="000A5389">
            <w:pPr>
              <w:spacing w:line="240" w:lineRule="auto"/>
              <w:jc w:val="center"/>
              <w:rPr>
                <w:rFonts w:eastAsia="Times New Roman" w:cs="Times New Roman"/>
                <w:color w:val="000000"/>
                <w:sz w:val="18"/>
                <w:szCs w:val="18"/>
                <w:lang w:eastAsia="es-CO"/>
              </w:rPr>
            </w:pPr>
            <w:r w:rsidRPr="0039091F">
              <w:rPr>
                <w:rFonts w:eastAsia="Times New Roman" w:cs="Times New Roman"/>
                <w:color w:val="000000"/>
                <w:sz w:val="18"/>
                <w:szCs w:val="18"/>
                <w:lang w:eastAsia="es-CO"/>
              </w:rPr>
              <w:t xml:space="preserve">               190.410.640 </w:t>
            </w:r>
          </w:p>
        </w:tc>
      </w:tr>
      <w:tr w:rsidR="00E814BD" w:rsidRPr="0039091F" w14:paraId="0BA7C4F4" w14:textId="77777777" w:rsidTr="00684C05">
        <w:trPr>
          <w:trHeight w:val="300"/>
          <w:jc w:val="center"/>
        </w:trPr>
        <w:tc>
          <w:tcPr>
            <w:tcW w:w="787" w:type="pct"/>
            <w:noWrap/>
            <w:vAlign w:val="center"/>
            <w:hideMark/>
          </w:tcPr>
          <w:p w14:paraId="69B0AF55" w14:textId="77777777" w:rsidR="00E814BD" w:rsidRPr="0039091F" w:rsidRDefault="00E814BD" w:rsidP="000A5389">
            <w:pPr>
              <w:spacing w:line="240" w:lineRule="auto"/>
              <w:jc w:val="center"/>
              <w:rPr>
                <w:rFonts w:eastAsia="Times New Roman" w:cs="Times New Roman"/>
                <w:color w:val="000000"/>
                <w:sz w:val="18"/>
                <w:szCs w:val="18"/>
                <w:lang w:eastAsia="es-CO"/>
              </w:rPr>
            </w:pPr>
            <w:r w:rsidRPr="0039091F">
              <w:rPr>
                <w:rFonts w:eastAsia="Times New Roman" w:cs="Times New Roman"/>
                <w:color w:val="000000"/>
                <w:sz w:val="18"/>
                <w:szCs w:val="18"/>
                <w:lang w:eastAsia="es-CO"/>
              </w:rPr>
              <w:t>232347</w:t>
            </w:r>
          </w:p>
        </w:tc>
        <w:tc>
          <w:tcPr>
            <w:tcW w:w="1770" w:type="pct"/>
            <w:noWrap/>
            <w:vAlign w:val="bottom"/>
            <w:hideMark/>
          </w:tcPr>
          <w:p w14:paraId="3A4338C7" w14:textId="77777777" w:rsidR="00E814BD" w:rsidRPr="0039091F" w:rsidRDefault="00E814BD" w:rsidP="000A5389">
            <w:pPr>
              <w:spacing w:line="240" w:lineRule="auto"/>
              <w:jc w:val="center"/>
              <w:rPr>
                <w:rFonts w:eastAsia="Times New Roman" w:cs="Times New Roman"/>
                <w:color w:val="000000"/>
                <w:sz w:val="18"/>
                <w:szCs w:val="18"/>
                <w:lang w:eastAsia="es-CO"/>
              </w:rPr>
            </w:pPr>
            <w:r w:rsidRPr="0039091F">
              <w:rPr>
                <w:rFonts w:eastAsia="Times New Roman" w:cs="Times New Roman"/>
                <w:color w:val="000000"/>
                <w:sz w:val="18"/>
                <w:szCs w:val="18"/>
                <w:lang w:eastAsia="es-CO"/>
              </w:rPr>
              <w:t>76147333170120110001000</w:t>
            </w:r>
          </w:p>
        </w:tc>
        <w:tc>
          <w:tcPr>
            <w:tcW w:w="1236" w:type="pct"/>
            <w:noWrap/>
            <w:vAlign w:val="bottom"/>
            <w:hideMark/>
          </w:tcPr>
          <w:p w14:paraId="3FE60F85" w14:textId="77777777" w:rsidR="00E814BD" w:rsidRPr="0039091F" w:rsidRDefault="00E814BD" w:rsidP="000A5389">
            <w:pPr>
              <w:spacing w:line="240" w:lineRule="auto"/>
              <w:jc w:val="center"/>
              <w:rPr>
                <w:rFonts w:eastAsia="Times New Roman" w:cs="Times New Roman"/>
                <w:color w:val="000000"/>
                <w:sz w:val="18"/>
                <w:szCs w:val="18"/>
                <w:lang w:eastAsia="es-CO"/>
              </w:rPr>
            </w:pPr>
            <w:r w:rsidRPr="0039091F">
              <w:rPr>
                <w:rFonts w:eastAsia="Times New Roman" w:cs="Times New Roman"/>
                <w:color w:val="000000"/>
                <w:sz w:val="18"/>
                <w:szCs w:val="18"/>
                <w:lang w:eastAsia="es-CO"/>
              </w:rPr>
              <w:t>24528251</w:t>
            </w:r>
          </w:p>
        </w:tc>
        <w:tc>
          <w:tcPr>
            <w:tcW w:w="1208" w:type="pct"/>
            <w:noWrap/>
            <w:vAlign w:val="bottom"/>
            <w:hideMark/>
          </w:tcPr>
          <w:p w14:paraId="77EE4A5D" w14:textId="77777777" w:rsidR="00E814BD" w:rsidRPr="0039091F" w:rsidRDefault="00E814BD" w:rsidP="000A5389">
            <w:pPr>
              <w:spacing w:line="240" w:lineRule="auto"/>
              <w:jc w:val="center"/>
              <w:rPr>
                <w:rFonts w:eastAsia="Times New Roman" w:cs="Times New Roman"/>
                <w:color w:val="000000"/>
                <w:sz w:val="18"/>
                <w:szCs w:val="18"/>
                <w:lang w:eastAsia="es-CO"/>
              </w:rPr>
            </w:pPr>
            <w:r w:rsidRPr="0039091F">
              <w:rPr>
                <w:rFonts w:eastAsia="Times New Roman" w:cs="Times New Roman"/>
                <w:color w:val="000000"/>
                <w:sz w:val="18"/>
                <w:szCs w:val="18"/>
                <w:lang w:eastAsia="es-CO"/>
              </w:rPr>
              <w:t xml:space="preserve">               181.060.430 </w:t>
            </w:r>
          </w:p>
        </w:tc>
      </w:tr>
      <w:tr w:rsidR="00E814BD" w:rsidRPr="0039091F" w14:paraId="2E0485E1" w14:textId="77777777" w:rsidTr="00684C05">
        <w:trPr>
          <w:trHeight w:val="300"/>
          <w:jc w:val="center"/>
        </w:trPr>
        <w:tc>
          <w:tcPr>
            <w:tcW w:w="787" w:type="pct"/>
            <w:noWrap/>
            <w:vAlign w:val="center"/>
            <w:hideMark/>
          </w:tcPr>
          <w:p w14:paraId="3E3B7F29" w14:textId="77777777" w:rsidR="00E814BD" w:rsidRPr="0039091F" w:rsidRDefault="00E814BD" w:rsidP="000A5389">
            <w:pPr>
              <w:spacing w:line="240" w:lineRule="auto"/>
              <w:jc w:val="center"/>
              <w:rPr>
                <w:rFonts w:eastAsia="Times New Roman" w:cs="Times New Roman"/>
                <w:color w:val="000000"/>
                <w:sz w:val="18"/>
                <w:szCs w:val="18"/>
                <w:lang w:eastAsia="es-CO"/>
              </w:rPr>
            </w:pPr>
            <w:r w:rsidRPr="0039091F">
              <w:rPr>
                <w:rFonts w:eastAsia="Times New Roman" w:cs="Times New Roman"/>
                <w:color w:val="000000"/>
                <w:sz w:val="18"/>
                <w:szCs w:val="18"/>
                <w:lang w:eastAsia="es-CO"/>
              </w:rPr>
              <w:t>2333496</w:t>
            </w:r>
          </w:p>
        </w:tc>
        <w:tc>
          <w:tcPr>
            <w:tcW w:w="1770" w:type="pct"/>
            <w:noWrap/>
            <w:vAlign w:val="bottom"/>
            <w:hideMark/>
          </w:tcPr>
          <w:p w14:paraId="0B8A1C6B" w14:textId="77777777" w:rsidR="00E814BD" w:rsidRPr="0039091F" w:rsidRDefault="00E814BD" w:rsidP="000A5389">
            <w:pPr>
              <w:spacing w:line="240" w:lineRule="auto"/>
              <w:jc w:val="center"/>
              <w:rPr>
                <w:rFonts w:eastAsia="Times New Roman" w:cs="Times New Roman"/>
                <w:color w:val="000000"/>
                <w:sz w:val="18"/>
                <w:szCs w:val="18"/>
                <w:lang w:eastAsia="es-CO"/>
              </w:rPr>
            </w:pPr>
            <w:r w:rsidRPr="0039091F">
              <w:rPr>
                <w:rFonts w:eastAsia="Times New Roman" w:cs="Times New Roman"/>
                <w:color w:val="000000"/>
                <w:sz w:val="18"/>
                <w:szCs w:val="18"/>
                <w:lang w:eastAsia="es-CO"/>
              </w:rPr>
              <w:t>68081333300220160005300</w:t>
            </w:r>
          </w:p>
        </w:tc>
        <w:tc>
          <w:tcPr>
            <w:tcW w:w="1236" w:type="pct"/>
            <w:noWrap/>
            <w:vAlign w:val="bottom"/>
            <w:hideMark/>
          </w:tcPr>
          <w:p w14:paraId="4C70E427" w14:textId="77777777" w:rsidR="00E814BD" w:rsidRPr="0039091F" w:rsidRDefault="00E814BD" w:rsidP="000A5389">
            <w:pPr>
              <w:spacing w:line="240" w:lineRule="auto"/>
              <w:jc w:val="center"/>
              <w:rPr>
                <w:rFonts w:eastAsia="Times New Roman" w:cs="Times New Roman"/>
                <w:color w:val="000000"/>
                <w:sz w:val="18"/>
                <w:szCs w:val="18"/>
                <w:lang w:eastAsia="es-CO"/>
              </w:rPr>
            </w:pPr>
            <w:r w:rsidRPr="0039091F">
              <w:rPr>
                <w:rFonts w:eastAsia="Times New Roman" w:cs="Times New Roman"/>
                <w:color w:val="000000"/>
                <w:sz w:val="18"/>
                <w:szCs w:val="18"/>
                <w:lang w:eastAsia="es-CO"/>
              </w:rPr>
              <w:t>28298799</w:t>
            </w:r>
          </w:p>
        </w:tc>
        <w:tc>
          <w:tcPr>
            <w:tcW w:w="1208" w:type="pct"/>
            <w:noWrap/>
            <w:vAlign w:val="bottom"/>
            <w:hideMark/>
          </w:tcPr>
          <w:p w14:paraId="21ED7740" w14:textId="77777777" w:rsidR="00E814BD" w:rsidRPr="0039091F" w:rsidRDefault="00E814BD" w:rsidP="000A5389">
            <w:pPr>
              <w:spacing w:line="240" w:lineRule="auto"/>
              <w:jc w:val="center"/>
              <w:rPr>
                <w:rFonts w:eastAsia="Times New Roman" w:cs="Times New Roman"/>
                <w:color w:val="000000"/>
                <w:sz w:val="18"/>
                <w:szCs w:val="18"/>
                <w:lang w:eastAsia="es-CO"/>
              </w:rPr>
            </w:pPr>
            <w:r w:rsidRPr="0039091F">
              <w:rPr>
                <w:rFonts w:eastAsia="Times New Roman" w:cs="Times New Roman"/>
                <w:color w:val="000000"/>
                <w:sz w:val="18"/>
                <w:szCs w:val="18"/>
                <w:lang w:eastAsia="es-CO"/>
              </w:rPr>
              <w:t xml:space="preserve">               128.977.707 </w:t>
            </w:r>
          </w:p>
        </w:tc>
      </w:tr>
      <w:tr w:rsidR="00E814BD" w:rsidRPr="0039091F" w14:paraId="673F49E7" w14:textId="77777777" w:rsidTr="00684C05">
        <w:trPr>
          <w:trHeight w:val="300"/>
          <w:jc w:val="center"/>
        </w:trPr>
        <w:tc>
          <w:tcPr>
            <w:tcW w:w="787" w:type="pct"/>
            <w:noWrap/>
            <w:vAlign w:val="center"/>
            <w:hideMark/>
          </w:tcPr>
          <w:p w14:paraId="7E90C1FB" w14:textId="77777777" w:rsidR="00E814BD" w:rsidRPr="0039091F" w:rsidRDefault="00E814BD" w:rsidP="000A5389">
            <w:pPr>
              <w:spacing w:line="240" w:lineRule="auto"/>
              <w:jc w:val="center"/>
              <w:rPr>
                <w:rFonts w:eastAsia="Times New Roman" w:cs="Times New Roman"/>
                <w:color w:val="000000"/>
                <w:sz w:val="18"/>
                <w:szCs w:val="18"/>
                <w:lang w:eastAsia="es-CO"/>
              </w:rPr>
            </w:pPr>
            <w:r w:rsidRPr="0039091F">
              <w:rPr>
                <w:rFonts w:eastAsia="Times New Roman" w:cs="Times New Roman"/>
                <w:color w:val="000000"/>
                <w:sz w:val="18"/>
                <w:szCs w:val="18"/>
                <w:lang w:eastAsia="es-CO"/>
              </w:rPr>
              <w:t>1054442</w:t>
            </w:r>
          </w:p>
        </w:tc>
        <w:tc>
          <w:tcPr>
            <w:tcW w:w="1770" w:type="pct"/>
            <w:noWrap/>
            <w:vAlign w:val="bottom"/>
            <w:hideMark/>
          </w:tcPr>
          <w:p w14:paraId="126EB1B3" w14:textId="77777777" w:rsidR="00E814BD" w:rsidRPr="0039091F" w:rsidRDefault="00E814BD" w:rsidP="000A5389">
            <w:pPr>
              <w:spacing w:line="240" w:lineRule="auto"/>
              <w:jc w:val="center"/>
              <w:rPr>
                <w:rFonts w:eastAsia="Times New Roman" w:cs="Times New Roman"/>
                <w:color w:val="000000"/>
                <w:sz w:val="18"/>
                <w:szCs w:val="18"/>
                <w:lang w:eastAsia="es-CO"/>
              </w:rPr>
            </w:pPr>
            <w:r w:rsidRPr="0039091F">
              <w:rPr>
                <w:rFonts w:eastAsia="Times New Roman" w:cs="Times New Roman"/>
                <w:color w:val="000000"/>
                <w:sz w:val="18"/>
                <w:szCs w:val="18"/>
                <w:lang w:eastAsia="es-CO"/>
              </w:rPr>
              <w:t>05001333302420170037100</w:t>
            </w:r>
          </w:p>
        </w:tc>
        <w:tc>
          <w:tcPr>
            <w:tcW w:w="1236" w:type="pct"/>
            <w:noWrap/>
            <w:vAlign w:val="bottom"/>
            <w:hideMark/>
          </w:tcPr>
          <w:p w14:paraId="3BA3C8B7" w14:textId="77777777" w:rsidR="00E814BD" w:rsidRPr="0039091F" w:rsidRDefault="00E814BD" w:rsidP="000A5389">
            <w:pPr>
              <w:spacing w:line="240" w:lineRule="auto"/>
              <w:jc w:val="center"/>
              <w:rPr>
                <w:rFonts w:eastAsia="Times New Roman" w:cs="Times New Roman"/>
                <w:color w:val="000000"/>
                <w:sz w:val="18"/>
                <w:szCs w:val="18"/>
                <w:lang w:eastAsia="es-CO"/>
              </w:rPr>
            </w:pPr>
            <w:r w:rsidRPr="0039091F">
              <w:rPr>
                <w:rFonts w:eastAsia="Times New Roman" w:cs="Times New Roman"/>
                <w:color w:val="000000"/>
                <w:sz w:val="18"/>
                <w:szCs w:val="18"/>
                <w:lang w:eastAsia="es-CO"/>
              </w:rPr>
              <w:t>15427895</w:t>
            </w:r>
          </w:p>
        </w:tc>
        <w:tc>
          <w:tcPr>
            <w:tcW w:w="1208" w:type="pct"/>
            <w:noWrap/>
            <w:vAlign w:val="bottom"/>
            <w:hideMark/>
          </w:tcPr>
          <w:p w14:paraId="1557E029" w14:textId="77777777" w:rsidR="00E814BD" w:rsidRPr="0039091F" w:rsidRDefault="00E814BD" w:rsidP="000A5389">
            <w:pPr>
              <w:spacing w:line="240" w:lineRule="auto"/>
              <w:jc w:val="center"/>
              <w:rPr>
                <w:rFonts w:eastAsia="Times New Roman" w:cs="Times New Roman"/>
                <w:color w:val="000000"/>
                <w:sz w:val="18"/>
                <w:szCs w:val="18"/>
                <w:lang w:eastAsia="es-CO"/>
              </w:rPr>
            </w:pPr>
            <w:r w:rsidRPr="0039091F">
              <w:rPr>
                <w:rFonts w:eastAsia="Times New Roman" w:cs="Times New Roman"/>
                <w:color w:val="000000"/>
                <w:sz w:val="18"/>
                <w:szCs w:val="18"/>
                <w:lang w:eastAsia="es-CO"/>
              </w:rPr>
              <w:t xml:space="preserve">               109.615.175 </w:t>
            </w:r>
          </w:p>
        </w:tc>
      </w:tr>
      <w:tr w:rsidR="00E814BD" w:rsidRPr="0039091F" w14:paraId="00C6895D" w14:textId="77777777" w:rsidTr="00684C05">
        <w:trPr>
          <w:trHeight w:val="300"/>
          <w:jc w:val="center"/>
        </w:trPr>
        <w:tc>
          <w:tcPr>
            <w:tcW w:w="787" w:type="pct"/>
            <w:noWrap/>
            <w:vAlign w:val="center"/>
            <w:hideMark/>
          </w:tcPr>
          <w:p w14:paraId="020307ED" w14:textId="77777777" w:rsidR="00E814BD" w:rsidRPr="0039091F" w:rsidRDefault="00E814BD" w:rsidP="000A5389">
            <w:pPr>
              <w:spacing w:line="240" w:lineRule="auto"/>
              <w:jc w:val="center"/>
              <w:rPr>
                <w:rFonts w:eastAsia="Times New Roman" w:cs="Times New Roman"/>
                <w:color w:val="000000"/>
                <w:sz w:val="18"/>
                <w:szCs w:val="18"/>
                <w:lang w:eastAsia="es-CO"/>
              </w:rPr>
            </w:pPr>
            <w:r w:rsidRPr="0039091F">
              <w:rPr>
                <w:rFonts w:eastAsia="Times New Roman" w:cs="Times New Roman"/>
                <w:color w:val="000000"/>
                <w:sz w:val="18"/>
                <w:szCs w:val="18"/>
                <w:lang w:eastAsia="es-CO"/>
              </w:rPr>
              <w:t>937993</w:t>
            </w:r>
          </w:p>
        </w:tc>
        <w:tc>
          <w:tcPr>
            <w:tcW w:w="1770" w:type="pct"/>
            <w:noWrap/>
            <w:vAlign w:val="bottom"/>
            <w:hideMark/>
          </w:tcPr>
          <w:p w14:paraId="4953BCE1" w14:textId="77777777" w:rsidR="00E814BD" w:rsidRPr="0039091F" w:rsidRDefault="00E814BD" w:rsidP="000A5389">
            <w:pPr>
              <w:spacing w:line="240" w:lineRule="auto"/>
              <w:jc w:val="center"/>
              <w:rPr>
                <w:rFonts w:eastAsia="Times New Roman" w:cs="Times New Roman"/>
                <w:color w:val="000000"/>
                <w:sz w:val="18"/>
                <w:szCs w:val="18"/>
                <w:lang w:eastAsia="es-CO"/>
              </w:rPr>
            </w:pPr>
            <w:r w:rsidRPr="0039091F">
              <w:rPr>
                <w:rFonts w:eastAsia="Times New Roman" w:cs="Times New Roman"/>
                <w:color w:val="000000"/>
                <w:sz w:val="18"/>
                <w:szCs w:val="18"/>
                <w:lang w:eastAsia="es-CO"/>
              </w:rPr>
              <w:t>54518333300120140065000</w:t>
            </w:r>
          </w:p>
        </w:tc>
        <w:tc>
          <w:tcPr>
            <w:tcW w:w="1236" w:type="pct"/>
            <w:noWrap/>
            <w:vAlign w:val="bottom"/>
            <w:hideMark/>
          </w:tcPr>
          <w:p w14:paraId="2C81DCE8" w14:textId="77777777" w:rsidR="00E814BD" w:rsidRPr="0039091F" w:rsidRDefault="00E814BD" w:rsidP="000A5389">
            <w:pPr>
              <w:spacing w:line="240" w:lineRule="auto"/>
              <w:jc w:val="center"/>
              <w:rPr>
                <w:rFonts w:eastAsia="Times New Roman" w:cs="Times New Roman"/>
                <w:color w:val="000000"/>
                <w:sz w:val="18"/>
                <w:szCs w:val="18"/>
                <w:lang w:eastAsia="es-CO"/>
              </w:rPr>
            </w:pPr>
            <w:r w:rsidRPr="0039091F">
              <w:rPr>
                <w:rFonts w:eastAsia="Times New Roman" w:cs="Times New Roman"/>
                <w:color w:val="000000"/>
                <w:sz w:val="18"/>
                <w:szCs w:val="18"/>
                <w:lang w:eastAsia="es-CO"/>
              </w:rPr>
              <w:t>13826159</w:t>
            </w:r>
          </w:p>
        </w:tc>
        <w:tc>
          <w:tcPr>
            <w:tcW w:w="1208" w:type="pct"/>
            <w:noWrap/>
            <w:vAlign w:val="bottom"/>
            <w:hideMark/>
          </w:tcPr>
          <w:p w14:paraId="0D04809C" w14:textId="77777777" w:rsidR="00E814BD" w:rsidRPr="0039091F" w:rsidRDefault="00E814BD" w:rsidP="000A5389">
            <w:pPr>
              <w:spacing w:line="240" w:lineRule="auto"/>
              <w:jc w:val="center"/>
              <w:rPr>
                <w:rFonts w:eastAsia="Times New Roman" w:cs="Times New Roman"/>
                <w:color w:val="000000"/>
                <w:sz w:val="18"/>
                <w:szCs w:val="18"/>
                <w:lang w:eastAsia="es-CO"/>
              </w:rPr>
            </w:pPr>
            <w:r w:rsidRPr="0039091F">
              <w:rPr>
                <w:rFonts w:eastAsia="Times New Roman" w:cs="Times New Roman"/>
                <w:color w:val="000000"/>
                <w:sz w:val="18"/>
                <w:szCs w:val="18"/>
                <w:lang w:eastAsia="es-CO"/>
              </w:rPr>
              <w:t xml:space="preserve">                 91.834.557 </w:t>
            </w:r>
          </w:p>
        </w:tc>
      </w:tr>
      <w:tr w:rsidR="00E814BD" w:rsidRPr="0039091F" w14:paraId="7062AAED" w14:textId="77777777" w:rsidTr="00684C05">
        <w:trPr>
          <w:trHeight w:val="300"/>
          <w:jc w:val="center"/>
        </w:trPr>
        <w:tc>
          <w:tcPr>
            <w:tcW w:w="787" w:type="pct"/>
            <w:noWrap/>
            <w:vAlign w:val="center"/>
            <w:hideMark/>
          </w:tcPr>
          <w:p w14:paraId="5B905A19" w14:textId="77777777" w:rsidR="00E814BD" w:rsidRPr="0039091F" w:rsidRDefault="00E814BD" w:rsidP="000A5389">
            <w:pPr>
              <w:spacing w:line="240" w:lineRule="auto"/>
              <w:jc w:val="center"/>
              <w:rPr>
                <w:rFonts w:eastAsia="Times New Roman" w:cs="Times New Roman"/>
                <w:color w:val="000000"/>
                <w:sz w:val="18"/>
                <w:szCs w:val="18"/>
                <w:lang w:eastAsia="es-CO"/>
              </w:rPr>
            </w:pPr>
            <w:r w:rsidRPr="0039091F">
              <w:rPr>
                <w:rFonts w:eastAsia="Times New Roman" w:cs="Times New Roman"/>
                <w:color w:val="000000"/>
                <w:sz w:val="18"/>
                <w:szCs w:val="18"/>
                <w:lang w:eastAsia="es-CO"/>
              </w:rPr>
              <w:lastRenderedPageBreak/>
              <w:t>2110140</w:t>
            </w:r>
          </w:p>
        </w:tc>
        <w:tc>
          <w:tcPr>
            <w:tcW w:w="1770" w:type="pct"/>
            <w:noWrap/>
            <w:vAlign w:val="bottom"/>
            <w:hideMark/>
          </w:tcPr>
          <w:p w14:paraId="4BDD5C74" w14:textId="77777777" w:rsidR="00E814BD" w:rsidRPr="0039091F" w:rsidRDefault="00E814BD" w:rsidP="000A5389">
            <w:pPr>
              <w:spacing w:line="240" w:lineRule="auto"/>
              <w:jc w:val="center"/>
              <w:rPr>
                <w:rFonts w:eastAsia="Times New Roman" w:cs="Times New Roman"/>
                <w:color w:val="000000"/>
                <w:sz w:val="18"/>
                <w:szCs w:val="18"/>
                <w:lang w:eastAsia="es-CO"/>
              </w:rPr>
            </w:pPr>
            <w:r w:rsidRPr="0039091F">
              <w:rPr>
                <w:rFonts w:eastAsia="Times New Roman" w:cs="Times New Roman"/>
                <w:color w:val="000000"/>
                <w:sz w:val="18"/>
                <w:szCs w:val="18"/>
                <w:lang w:eastAsia="es-CO"/>
              </w:rPr>
              <w:t>52001333300420190015300</w:t>
            </w:r>
          </w:p>
        </w:tc>
        <w:tc>
          <w:tcPr>
            <w:tcW w:w="1236" w:type="pct"/>
            <w:noWrap/>
            <w:vAlign w:val="bottom"/>
            <w:hideMark/>
          </w:tcPr>
          <w:p w14:paraId="0630BE9D" w14:textId="77777777" w:rsidR="00E814BD" w:rsidRPr="0039091F" w:rsidRDefault="00E814BD" w:rsidP="000A5389">
            <w:pPr>
              <w:spacing w:line="240" w:lineRule="auto"/>
              <w:jc w:val="center"/>
              <w:rPr>
                <w:rFonts w:eastAsia="Times New Roman" w:cs="Times New Roman"/>
                <w:color w:val="000000"/>
                <w:sz w:val="18"/>
                <w:szCs w:val="18"/>
                <w:lang w:eastAsia="es-CO"/>
              </w:rPr>
            </w:pPr>
            <w:r w:rsidRPr="0039091F">
              <w:rPr>
                <w:rFonts w:eastAsia="Times New Roman" w:cs="Times New Roman"/>
                <w:color w:val="000000"/>
                <w:sz w:val="18"/>
                <w:szCs w:val="18"/>
                <w:lang w:eastAsia="es-CO"/>
              </w:rPr>
              <w:t>1085244498</w:t>
            </w:r>
          </w:p>
        </w:tc>
        <w:tc>
          <w:tcPr>
            <w:tcW w:w="1208" w:type="pct"/>
            <w:noWrap/>
            <w:vAlign w:val="bottom"/>
            <w:hideMark/>
          </w:tcPr>
          <w:p w14:paraId="170D32CD" w14:textId="77777777" w:rsidR="00E814BD" w:rsidRPr="0039091F" w:rsidRDefault="00E814BD" w:rsidP="000A5389">
            <w:pPr>
              <w:spacing w:line="240" w:lineRule="auto"/>
              <w:jc w:val="center"/>
              <w:rPr>
                <w:rFonts w:eastAsia="Times New Roman" w:cs="Times New Roman"/>
                <w:color w:val="000000"/>
                <w:sz w:val="18"/>
                <w:szCs w:val="18"/>
                <w:lang w:eastAsia="es-CO"/>
              </w:rPr>
            </w:pPr>
            <w:r w:rsidRPr="0039091F">
              <w:rPr>
                <w:rFonts w:eastAsia="Times New Roman" w:cs="Times New Roman"/>
                <w:color w:val="000000"/>
                <w:sz w:val="18"/>
                <w:szCs w:val="18"/>
                <w:lang w:eastAsia="es-CO"/>
              </w:rPr>
              <w:t xml:space="preserve">                 86.773.724 </w:t>
            </w:r>
          </w:p>
        </w:tc>
      </w:tr>
      <w:tr w:rsidR="00E814BD" w:rsidRPr="0039091F" w14:paraId="235B092E" w14:textId="77777777" w:rsidTr="00684C05">
        <w:trPr>
          <w:trHeight w:val="300"/>
          <w:jc w:val="center"/>
        </w:trPr>
        <w:tc>
          <w:tcPr>
            <w:tcW w:w="787" w:type="pct"/>
            <w:noWrap/>
            <w:vAlign w:val="center"/>
            <w:hideMark/>
          </w:tcPr>
          <w:p w14:paraId="144438BE" w14:textId="77777777" w:rsidR="00E814BD" w:rsidRPr="0039091F" w:rsidRDefault="00E814BD" w:rsidP="000A5389">
            <w:pPr>
              <w:spacing w:line="240" w:lineRule="auto"/>
              <w:jc w:val="center"/>
              <w:rPr>
                <w:rFonts w:eastAsia="Times New Roman" w:cs="Times New Roman"/>
                <w:color w:val="000000"/>
                <w:sz w:val="18"/>
                <w:szCs w:val="18"/>
                <w:lang w:eastAsia="es-CO"/>
              </w:rPr>
            </w:pPr>
            <w:r w:rsidRPr="0039091F">
              <w:rPr>
                <w:rFonts w:eastAsia="Times New Roman" w:cs="Times New Roman"/>
                <w:color w:val="000000"/>
                <w:sz w:val="18"/>
                <w:szCs w:val="18"/>
                <w:lang w:eastAsia="es-CO"/>
              </w:rPr>
              <w:t>438299</w:t>
            </w:r>
          </w:p>
        </w:tc>
        <w:tc>
          <w:tcPr>
            <w:tcW w:w="1770" w:type="pct"/>
            <w:noWrap/>
            <w:vAlign w:val="bottom"/>
            <w:hideMark/>
          </w:tcPr>
          <w:p w14:paraId="18418135" w14:textId="77777777" w:rsidR="00E814BD" w:rsidRPr="0039091F" w:rsidRDefault="00E814BD" w:rsidP="000A5389">
            <w:pPr>
              <w:spacing w:line="240" w:lineRule="auto"/>
              <w:jc w:val="center"/>
              <w:rPr>
                <w:rFonts w:eastAsia="Times New Roman" w:cs="Times New Roman"/>
                <w:color w:val="000000"/>
                <w:sz w:val="18"/>
                <w:szCs w:val="18"/>
                <w:lang w:eastAsia="es-CO"/>
              </w:rPr>
            </w:pPr>
            <w:r w:rsidRPr="0039091F">
              <w:rPr>
                <w:rFonts w:eastAsia="Times New Roman" w:cs="Times New Roman"/>
                <w:color w:val="000000"/>
                <w:sz w:val="18"/>
                <w:szCs w:val="18"/>
                <w:lang w:eastAsia="es-CO"/>
              </w:rPr>
              <w:t>15001333301320130011600</w:t>
            </w:r>
          </w:p>
        </w:tc>
        <w:tc>
          <w:tcPr>
            <w:tcW w:w="1236" w:type="pct"/>
            <w:noWrap/>
            <w:vAlign w:val="bottom"/>
            <w:hideMark/>
          </w:tcPr>
          <w:p w14:paraId="240679DD" w14:textId="77777777" w:rsidR="00E814BD" w:rsidRPr="0039091F" w:rsidRDefault="00E814BD" w:rsidP="000A5389">
            <w:pPr>
              <w:spacing w:line="240" w:lineRule="auto"/>
              <w:jc w:val="center"/>
              <w:rPr>
                <w:rFonts w:eastAsia="Times New Roman" w:cs="Times New Roman"/>
                <w:color w:val="000000"/>
                <w:sz w:val="18"/>
                <w:szCs w:val="18"/>
                <w:lang w:eastAsia="es-CO"/>
              </w:rPr>
            </w:pPr>
            <w:r w:rsidRPr="0039091F">
              <w:rPr>
                <w:rFonts w:eastAsia="Times New Roman" w:cs="Times New Roman"/>
                <w:color w:val="000000"/>
                <w:sz w:val="18"/>
                <w:szCs w:val="18"/>
                <w:lang w:eastAsia="es-CO"/>
              </w:rPr>
              <w:t>6751339</w:t>
            </w:r>
          </w:p>
        </w:tc>
        <w:tc>
          <w:tcPr>
            <w:tcW w:w="1208" w:type="pct"/>
            <w:noWrap/>
            <w:vAlign w:val="bottom"/>
            <w:hideMark/>
          </w:tcPr>
          <w:p w14:paraId="277DE230" w14:textId="77777777" w:rsidR="00E814BD" w:rsidRPr="0039091F" w:rsidRDefault="00E814BD" w:rsidP="000A5389">
            <w:pPr>
              <w:spacing w:line="240" w:lineRule="auto"/>
              <w:jc w:val="center"/>
              <w:rPr>
                <w:rFonts w:eastAsia="Times New Roman" w:cs="Times New Roman"/>
                <w:color w:val="000000"/>
                <w:sz w:val="18"/>
                <w:szCs w:val="18"/>
                <w:lang w:eastAsia="es-CO"/>
              </w:rPr>
            </w:pPr>
            <w:r w:rsidRPr="0039091F">
              <w:rPr>
                <w:rFonts w:eastAsia="Times New Roman" w:cs="Times New Roman"/>
                <w:color w:val="000000"/>
                <w:sz w:val="18"/>
                <w:szCs w:val="18"/>
                <w:lang w:eastAsia="es-CO"/>
              </w:rPr>
              <w:t xml:space="preserve">                 84.403.084 </w:t>
            </w:r>
          </w:p>
        </w:tc>
      </w:tr>
      <w:tr w:rsidR="00E814BD" w:rsidRPr="0039091F" w14:paraId="34206DC1" w14:textId="77777777" w:rsidTr="00684C05">
        <w:trPr>
          <w:trHeight w:val="300"/>
          <w:jc w:val="center"/>
        </w:trPr>
        <w:tc>
          <w:tcPr>
            <w:tcW w:w="787" w:type="pct"/>
            <w:noWrap/>
            <w:vAlign w:val="center"/>
            <w:hideMark/>
          </w:tcPr>
          <w:p w14:paraId="767BF6F6" w14:textId="77777777" w:rsidR="00E814BD" w:rsidRPr="0039091F" w:rsidRDefault="00E814BD" w:rsidP="000A5389">
            <w:pPr>
              <w:spacing w:line="240" w:lineRule="auto"/>
              <w:jc w:val="center"/>
              <w:rPr>
                <w:rFonts w:eastAsia="Times New Roman" w:cs="Times New Roman"/>
                <w:color w:val="000000"/>
                <w:sz w:val="18"/>
                <w:szCs w:val="18"/>
                <w:lang w:eastAsia="es-CO"/>
              </w:rPr>
            </w:pPr>
            <w:r w:rsidRPr="0039091F">
              <w:rPr>
                <w:rFonts w:eastAsia="Times New Roman" w:cs="Times New Roman"/>
                <w:color w:val="000000"/>
                <w:sz w:val="18"/>
                <w:szCs w:val="18"/>
                <w:lang w:eastAsia="es-CO"/>
              </w:rPr>
              <w:t>620357</w:t>
            </w:r>
          </w:p>
        </w:tc>
        <w:tc>
          <w:tcPr>
            <w:tcW w:w="1770" w:type="pct"/>
            <w:noWrap/>
            <w:vAlign w:val="bottom"/>
            <w:hideMark/>
          </w:tcPr>
          <w:p w14:paraId="0CBE1FA0" w14:textId="77777777" w:rsidR="00E814BD" w:rsidRPr="0039091F" w:rsidRDefault="00E814BD" w:rsidP="000A5389">
            <w:pPr>
              <w:spacing w:line="240" w:lineRule="auto"/>
              <w:jc w:val="center"/>
              <w:rPr>
                <w:rFonts w:eastAsia="Times New Roman" w:cs="Times New Roman"/>
                <w:color w:val="000000"/>
                <w:sz w:val="18"/>
                <w:szCs w:val="18"/>
                <w:lang w:eastAsia="es-CO"/>
              </w:rPr>
            </w:pPr>
            <w:r w:rsidRPr="0039091F">
              <w:rPr>
                <w:rFonts w:eastAsia="Times New Roman" w:cs="Times New Roman"/>
                <w:color w:val="000000"/>
                <w:sz w:val="18"/>
                <w:szCs w:val="18"/>
                <w:lang w:eastAsia="es-CO"/>
              </w:rPr>
              <w:t>11001333603520130054300</w:t>
            </w:r>
          </w:p>
        </w:tc>
        <w:tc>
          <w:tcPr>
            <w:tcW w:w="1236" w:type="pct"/>
            <w:noWrap/>
            <w:vAlign w:val="bottom"/>
            <w:hideMark/>
          </w:tcPr>
          <w:p w14:paraId="74CFF219" w14:textId="77777777" w:rsidR="00E814BD" w:rsidRPr="0039091F" w:rsidRDefault="00E814BD" w:rsidP="000A5389">
            <w:pPr>
              <w:spacing w:line="240" w:lineRule="auto"/>
              <w:jc w:val="center"/>
              <w:rPr>
                <w:rFonts w:eastAsia="Times New Roman" w:cs="Times New Roman"/>
                <w:color w:val="000000"/>
                <w:sz w:val="18"/>
                <w:szCs w:val="18"/>
                <w:lang w:eastAsia="es-CO"/>
              </w:rPr>
            </w:pPr>
            <w:r w:rsidRPr="0039091F">
              <w:rPr>
                <w:rFonts w:eastAsia="Times New Roman" w:cs="Times New Roman"/>
                <w:color w:val="000000"/>
                <w:sz w:val="18"/>
                <w:szCs w:val="18"/>
                <w:lang w:eastAsia="es-CO"/>
              </w:rPr>
              <w:t>53008846</w:t>
            </w:r>
          </w:p>
        </w:tc>
        <w:tc>
          <w:tcPr>
            <w:tcW w:w="1208" w:type="pct"/>
            <w:noWrap/>
            <w:vAlign w:val="bottom"/>
            <w:hideMark/>
          </w:tcPr>
          <w:p w14:paraId="68879307" w14:textId="77777777" w:rsidR="00E814BD" w:rsidRPr="0039091F" w:rsidRDefault="00E814BD" w:rsidP="000A5389">
            <w:pPr>
              <w:spacing w:line="240" w:lineRule="auto"/>
              <w:jc w:val="center"/>
              <w:rPr>
                <w:rFonts w:eastAsia="Times New Roman" w:cs="Times New Roman"/>
                <w:color w:val="000000"/>
                <w:sz w:val="18"/>
                <w:szCs w:val="18"/>
                <w:lang w:eastAsia="es-CO"/>
              </w:rPr>
            </w:pPr>
            <w:r w:rsidRPr="0039091F">
              <w:rPr>
                <w:rFonts w:eastAsia="Times New Roman" w:cs="Times New Roman"/>
                <w:color w:val="000000"/>
                <w:sz w:val="18"/>
                <w:szCs w:val="18"/>
                <w:lang w:eastAsia="es-CO"/>
              </w:rPr>
              <w:t xml:space="preserve">                 71.175.000 </w:t>
            </w:r>
          </w:p>
        </w:tc>
      </w:tr>
      <w:tr w:rsidR="00E814BD" w:rsidRPr="0039091F" w14:paraId="7F44784F" w14:textId="77777777" w:rsidTr="00684C05">
        <w:trPr>
          <w:trHeight w:val="300"/>
          <w:jc w:val="center"/>
        </w:trPr>
        <w:tc>
          <w:tcPr>
            <w:tcW w:w="787" w:type="pct"/>
            <w:noWrap/>
            <w:vAlign w:val="center"/>
            <w:hideMark/>
          </w:tcPr>
          <w:p w14:paraId="5B1F4267" w14:textId="77777777" w:rsidR="00E814BD" w:rsidRPr="0039091F" w:rsidRDefault="00E814BD" w:rsidP="000A5389">
            <w:pPr>
              <w:spacing w:line="240" w:lineRule="auto"/>
              <w:jc w:val="center"/>
              <w:rPr>
                <w:rFonts w:eastAsia="Times New Roman" w:cs="Times New Roman"/>
                <w:color w:val="000000"/>
                <w:sz w:val="18"/>
                <w:szCs w:val="18"/>
                <w:lang w:eastAsia="es-CO"/>
              </w:rPr>
            </w:pPr>
            <w:r w:rsidRPr="0039091F">
              <w:rPr>
                <w:rFonts w:eastAsia="Times New Roman" w:cs="Times New Roman"/>
                <w:color w:val="000000"/>
                <w:sz w:val="18"/>
                <w:szCs w:val="18"/>
                <w:lang w:eastAsia="es-CO"/>
              </w:rPr>
              <w:t>391052</w:t>
            </w:r>
          </w:p>
        </w:tc>
        <w:tc>
          <w:tcPr>
            <w:tcW w:w="1770" w:type="pct"/>
            <w:noWrap/>
            <w:vAlign w:val="bottom"/>
            <w:hideMark/>
          </w:tcPr>
          <w:p w14:paraId="59435996" w14:textId="77777777" w:rsidR="00E814BD" w:rsidRPr="0039091F" w:rsidRDefault="00E814BD" w:rsidP="000A5389">
            <w:pPr>
              <w:spacing w:line="240" w:lineRule="auto"/>
              <w:jc w:val="center"/>
              <w:rPr>
                <w:rFonts w:eastAsia="Times New Roman" w:cs="Times New Roman"/>
                <w:color w:val="000000"/>
                <w:sz w:val="18"/>
                <w:szCs w:val="18"/>
                <w:lang w:eastAsia="es-CO"/>
              </w:rPr>
            </w:pPr>
            <w:r w:rsidRPr="0039091F">
              <w:rPr>
                <w:rFonts w:eastAsia="Times New Roman" w:cs="Times New Roman"/>
                <w:color w:val="000000"/>
                <w:sz w:val="18"/>
                <w:szCs w:val="18"/>
                <w:lang w:eastAsia="es-CO"/>
              </w:rPr>
              <w:t>15238333300120130019200</w:t>
            </w:r>
          </w:p>
        </w:tc>
        <w:tc>
          <w:tcPr>
            <w:tcW w:w="1236" w:type="pct"/>
            <w:noWrap/>
            <w:vAlign w:val="bottom"/>
            <w:hideMark/>
          </w:tcPr>
          <w:p w14:paraId="07D0A61D" w14:textId="77777777" w:rsidR="00E814BD" w:rsidRPr="0039091F" w:rsidRDefault="00E814BD" w:rsidP="000A5389">
            <w:pPr>
              <w:spacing w:line="240" w:lineRule="auto"/>
              <w:jc w:val="center"/>
              <w:rPr>
                <w:rFonts w:eastAsia="Times New Roman" w:cs="Times New Roman"/>
                <w:color w:val="000000"/>
                <w:sz w:val="18"/>
                <w:szCs w:val="18"/>
                <w:lang w:eastAsia="es-CO"/>
              </w:rPr>
            </w:pPr>
            <w:r w:rsidRPr="0039091F">
              <w:rPr>
                <w:rFonts w:eastAsia="Times New Roman" w:cs="Times New Roman"/>
                <w:color w:val="000000"/>
                <w:sz w:val="18"/>
                <w:szCs w:val="18"/>
                <w:lang w:eastAsia="es-CO"/>
              </w:rPr>
              <w:t>46674485</w:t>
            </w:r>
          </w:p>
        </w:tc>
        <w:tc>
          <w:tcPr>
            <w:tcW w:w="1208" w:type="pct"/>
            <w:noWrap/>
            <w:vAlign w:val="bottom"/>
            <w:hideMark/>
          </w:tcPr>
          <w:p w14:paraId="6A81591C" w14:textId="77777777" w:rsidR="00E814BD" w:rsidRPr="0039091F" w:rsidRDefault="00E814BD" w:rsidP="000A5389">
            <w:pPr>
              <w:spacing w:line="240" w:lineRule="auto"/>
              <w:jc w:val="center"/>
              <w:rPr>
                <w:rFonts w:eastAsia="Times New Roman" w:cs="Times New Roman"/>
                <w:color w:val="000000"/>
                <w:sz w:val="18"/>
                <w:szCs w:val="18"/>
                <w:lang w:eastAsia="es-CO"/>
              </w:rPr>
            </w:pPr>
            <w:r w:rsidRPr="0039091F">
              <w:rPr>
                <w:rFonts w:eastAsia="Times New Roman" w:cs="Times New Roman"/>
                <w:color w:val="000000"/>
                <w:sz w:val="18"/>
                <w:szCs w:val="18"/>
                <w:lang w:eastAsia="es-CO"/>
              </w:rPr>
              <w:t xml:space="preserve">                 62.771.253 </w:t>
            </w:r>
          </w:p>
        </w:tc>
      </w:tr>
      <w:tr w:rsidR="00E814BD" w:rsidRPr="0039091F" w14:paraId="1332CD14" w14:textId="77777777" w:rsidTr="00684C05">
        <w:trPr>
          <w:trHeight w:val="300"/>
          <w:jc w:val="center"/>
        </w:trPr>
        <w:tc>
          <w:tcPr>
            <w:tcW w:w="787" w:type="pct"/>
            <w:noWrap/>
            <w:vAlign w:val="center"/>
            <w:hideMark/>
          </w:tcPr>
          <w:p w14:paraId="00C8798C" w14:textId="77777777" w:rsidR="00E814BD" w:rsidRPr="0039091F" w:rsidRDefault="00E814BD" w:rsidP="000A5389">
            <w:pPr>
              <w:spacing w:line="240" w:lineRule="auto"/>
              <w:jc w:val="center"/>
              <w:rPr>
                <w:rFonts w:eastAsia="Times New Roman" w:cs="Times New Roman"/>
                <w:color w:val="000000"/>
                <w:sz w:val="18"/>
                <w:szCs w:val="18"/>
                <w:lang w:eastAsia="es-CO"/>
              </w:rPr>
            </w:pPr>
            <w:r w:rsidRPr="0039091F">
              <w:rPr>
                <w:rFonts w:eastAsia="Times New Roman" w:cs="Times New Roman"/>
                <w:color w:val="000000"/>
                <w:sz w:val="18"/>
                <w:szCs w:val="18"/>
                <w:lang w:eastAsia="es-CO"/>
              </w:rPr>
              <w:t>769967</w:t>
            </w:r>
          </w:p>
        </w:tc>
        <w:tc>
          <w:tcPr>
            <w:tcW w:w="1770" w:type="pct"/>
            <w:noWrap/>
            <w:vAlign w:val="bottom"/>
            <w:hideMark/>
          </w:tcPr>
          <w:p w14:paraId="25EB934D" w14:textId="77777777" w:rsidR="00E814BD" w:rsidRPr="0039091F" w:rsidRDefault="00E814BD" w:rsidP="000A5389">
            <w:pPr>
              <w:spacing w:line="240" w:lineRule="auto"/>
              <w:jc w:val="center"/>
              <w:rPr>
                <w:rFonts w:eastAsia="Times New Roman" w:cs="Times New Roman"/>
                <w:color w:val="000000"/>
                <w:sz w:val="18"/>
                <w:szCs w:val="18"/>
                <w:lang w:eastAsia="es-CO"/>
              </w:rPr>
            </w:pPr>
            <w:r w:rsidRPr="0039091F">
              <w:rPr>
                <w:rFonts w:eastAsia="Times New Roman" w:cs="Times New Roman"/>
                <w:color w:val="000000"/>
                <w:sz w:val="18"/>
                <w:szCs w:val="18"/>
                <w:lang w:eastAsia="es-CO"/>
              </w:rPr>
              <w:t>23001333300220150020500</w:t>
            </w:r>
          </w:p>
        </w:tc>
        <w:tc>
          <w:tcPr>
            <w:tcW w:w="1236" w:type="pct"/>
            <w:noWrap/>
            <w:vAlign w:val="bottom"/>
            <w:hideMark/>
          </w:tcPr>
          <w:p w14:paraId="597EC797" w14:textId="77777777" w:rsidR="00E814BD" w:rsidRPr="0039091F" w:rsidRDefault="00E814BD" w:rsidP="000A5389">
            <w:pPr>
              <w:spacing w:line="240" w:lineRule="auto"/>
              <w:jc w:val="center"/>
              <w:rPr>
                <w:rFonts w:eastAsia="Times New Roman" w:cs="Times New Roman"/>
                <w:color w:val="000000"/>
                <w:sz w:val="18"/>
                <w:szCs w:val="18"/>
                <w:lang w:eastAsia="es-CO"/>
              </w:rPr>
            </w:pPr>
            <w:r w:rsidRPr="0039091F">
              <w:rPr>
                <w:rFonts w:eastAsia="Times New Roman" w:cs="Times New Roman"/>
                <w:color w:val="000000"/>
                <w:sz w:val="18"/>
                <w:szCs w:val="18"/>
                <w:lang w:eastAsia="es-CO"/>
              </w:rPr>
              <w:t>45441387</w:t>
            </w:r>
          </w:p>
        </w:tc>
        <w:tc>
          <w:tcPr>
            <w:tcW w:w="1208" w:type="pct"/>
            <w:noWrap/>
            <w:vAlign w:val="bottom"/>
            <w:hideMark/>
          </w:tcPr>
          <w:p w14:paraId="6FBBD04B" w14:textId="77777777" w:rsidR="00E814BD" w:rsidRPr="0039091F" w:rsidRDefault="00E814BD" w:rsidP="000A5389">
            <w:pPr>
              <w:spacing w:line="240" w:lineRule="auto"/>
              <w:jc w:val="center"/>
              <w:rPr>
                <w:rFonts w:eastAsia="Times New Roman" w:cs="Times New Roman"/>
                <w:color w:val="000000"/>
                <w:sz w:val="18"/>
                <w:szCs w:val="18"/>
                <w:lang w:eastAsia="es-CO"/>
              </w:rPr>
            </w:pPr>
            <w:r w:rsidRPr="0039091F">
              <w:rPr>
                <w:rFonts w:eastAsia="Times New Roman" w:cs="Times New Roman"/>
                <w:color w:val="000000"/>
                <w:sz w:val="18"/>
                <w:szCs w:val="18"/>
                <w:lang w:eastAsia="es-CO"/>
              </w:rPr>
              <w:t xml:space="preserve">                 57.421.913 </w:t>
            </w:r>
          </w:p>
        </w:tc>
      </w:tr>
      <w:tr w:rsidR="00E814BD" w:rsidRPr="0039091F" w14:paraId="6CB0FCAC" w14:textId="77777777" w:rsidTr="00684C05">
        <w:trPr>
          <w:trHeight w:val="300"/>
          <w:jc w:val="center"/>
        </w:trPr>
        <w:tc>
          <w:tcPr>
            <w:tcW w:w="787" w:type="pct"/>
            <w:noWrap/>
            <w:vAlign w:val="center"/>
            <w:hideMark/>
          </w:tcPr>
          <w:p w14:paraId="1EF2273F" w14:textId="77777777" w:rsidR="00E814BD" w:rsidRPr="0039091F" w:rsidRDefault="00E814BD" w:rsidP="000A5389">
            <w:pPr>
              <w:spacing w:line="240" w:lineRule="auto"/>
              <w:jc w:val="center"/>
              <w:rPr>
                <w:rFonts w:eastAsia="Times New Roman" w:cs="Times New Roman"/>
                <w:color w:val="000000"/>
                <w:sz w:val="18"/>
                <w:szCs w:val="18"/>
                <w:lang w:eastAsia="es-CO"/>
              </w:rPr>
            </w:pPr>
            <w:r w:rsidRPr="0039091F">
              <w:rPr>
                <w:rFonts w:eastAsia="Times New Roman" w:cs="Times New Roman"/>
                <w:color w:val="000000"/>
                <w:sz w:val="18"/>
                <w:szCs w:val="18"/>
                <w:lang w:eastAsia="es-CO"/>
              </w:rPr>
              <w:t>2135987</w:t>
            </w:r>
          </w:p>
        </w:tc>
        <w:tc>
          <w:tcPr>
            <w:tcW w:w="1770" w:type="pct"/>
            <w:noWrap/>
            <w:vAlign w:val="bottom"/>
            <w:hideMark/>
          </w:tcPr>
          <w:p w14:paraId="4AD87174" w14:textId="77777777" w:rsidR="00E814BD" w:rsidRPr="0039091F" w:rsidRDefault="00E814BD" w:rsidP="000A5389">
            <w:pPr>
              <w:spacing w:line="240" w:lineRule="auto"/>
              <w:jc w:val="center"/>
              <w:rPr>
                <w:rFonts w:eastAsia="Times New Roman" w:cs="Times New Roman"/>
                <w:color w:val="000000"/>
                <w:sz w:val="18"/>
                <w:szCs w:val="18"/>
                <w:lang w:eastAsia="es-CO"/>
              </w:rPr>
            </w:pPr>
            <w:r w:rsidRPr="0039091F">
              <w:rPr>
                <w:rFonts w:eastAsia="Times New Roman" w:cs="Times New Roman"/>
                <w:color w:val="000000"/>
                <w:sz w:val="18"/>
                <w:szCs w:val="18"/>
                <w:lang w:eastAsia="es-CO"/>
              </w:rPr>
              <w:t>25000233600020150152200</w:t>
            </w:r>
          </w:p>
        </w:tc>
        <w:tc>
          <w:tcPr>
            <w:tcW w:w="1236" w:type="pct"/>
            <w:noWrap/>
            <w:vAlign w:val="bottom"/>
            <w:hideMark/>
          </w:tcPr>
          <w:p w14:paraId="6C85599D" w14:textId="77777777" w:rsidR="00E814BD" w:rsidRPr="0039091F" w:rsidRDefault="00E814BD" w:rsidP="000A5389">
            <w:pPr>
              <w:spacing w:line="240" w:lineRule="auto"/>
              <w:jc w:val="center"/>
              <w:rPr>
                <w:rFonts w:eastAsia="Times New Roman" w:cs="Times New Roman"/>
                <w:color w:val="000000"/>
                <w:sz w:val="18"/>
                <w:szCs w:val="18"/>
                <w:lang w:eastAsia="es-CO"/>
              </w:rPr>
            </w:pPr>
            <w:r w:rsidRPr="0039091F">
              <w:rPr>
                <w:rFonts w:eastAsia="Times New Roman" w:cs="Times New Roman"/>
                <w:color w:val="000000"/>
                <w:sz w:val="18"/>
                <w:szCs w:val="18"/>
                <w:lang w:eastAsia="es-CO"/>
              </w:rPr>
              <w:t>20317436</w:t>
            </w:r>
          </w:p>
        </w:tc>
        <w:tc>
          <w:tcPr>
            <w:tcW w:w="1208" w:type="pct"/>
            <w:noWrap/>
            <w:vAlign w:val="bottom"/>
            <w:hideMark/>
          </w:tcPr>
          <w:p w14:paraId="52CBBA25" w14:textId="77777777" w:rsidR="00E814BD" w:rsidRPr="0039091F" w:rsidRDefault="00E814BD" w:rsidP="000A5389">
            <w:pPr>
              <w:spacing w:line="240" w:lineRule="auto"/>
              <w:jc w:val="center"/>
              <w:rPr>
                <w:rFonts w:eastAsia="Times New Roman" w:cs="Times New Roman"/>
                <w:color w:val="000000"/>
                <w:sz w:val="18"/>
                <w:szCs w:val="18"/>
                <w:lang w:eastAsia="es-CO"/>
              </w:rPr>
            </w:pPr>
            <w:r w:rsidRPr="0039091F">
              <w:rPr>
                <w:rFonts w:eastAsia="Times New Roman" w:cs="Times New Roman"/>
                <w:color w:val="000000"/>
                <w:sz w:val="18"/>
                <w:szCs w:val="18"/>
                <w:lang w:eastAsia="es-CO"/>
              </w:rPr>
              <w:t xml:space="preserve">                 55.919.236 </w:t>
            </w:r>
          </w:p>
        </w:tc>
      </w:tr>
      <w:tr w:rsidR="00E814BD" w:rsidRPr="0039091F" w14:paraId="31153455" w14:textId="77777777" w:rsidTr="00684C05">
        <w:trPr>
          <w:trHeight w:val="300"/>
          <w:jc w:val="center"/>
        </w:trPr>
        <w:tc>
          <w:tcPr>
            <w:tcW w:w="787" w:type="pct"/>
            <w:noWrap/>
            <w:vAlign w:val="center"/>
            <w:hideMark/>
          </w:tcPr>
          <w:p w14:paraId="5CDA4D84" w14:textId="77777777" w:rsidR="00E814BD" w:rsidRPr="0039091F" w:rsidRDefault="00E814BD" w:rsidP="000A5389">
            <w:pPr>
              <w:spacing w:line="240" w:lineRule="auto"/>
              <w:jc w:val="center"/>
              <w:rPr>
                <w:rFonts w:eastAsia="Times New Roman" w:cs="Times New Roman"/>
                <w:color w:val="000000"/>
                <w:sz w:val="18"/>
                <w:szCs w:val="18"/>
                <w:lang w:eastAsia="es-CO"/>
              </w:rPr>
            </w:pPr>
            <w:r w:rsidRPr="0039091F">
              <w:rPr>
                <w:rFonts w:eastAsia="Times New Roman" w:cs="Times New Roman"/>
                <w:color w:val="000000"/>
                <w:sz w:val="18"/>
                <w:szCs w:val="18"/>
                <w:lang w:eastAsia="es-CO"/>
              </w:rPr>
              <w:t>2465183</w:t>
            </w:r>
          </w:p>
        </w:tc>
        <w:tc>
          <w:tcPr>
            <w:tcW w:w="1770" w:type="pct"/>
            <w:noWrap/>
            <w:vAlign w:val="bottom"/>
            <w:hideMark/>
          </w:tcPr>
          <w:p w14:paraId="3DDCA4AF" w14:textId="77777777" w:rsidR="00E814BD" w:rsidRPr="0039091F" w:rsidRDefault="00E814BD" w:rsidP="000A5389">
            <w:pPr>
              <w:spacing w:line="240" w:lineRule="auto"/>
              <w:jc w:val="center"/>
              <w:rPr>
                <w:rFonts w:eastAsia="Times New Roman" w:cs="Times New Roman"/>
                <w:color w:val="000000"/>
                <w:sz w:val="18"/>
                <w:szCs w:val="18"/>
                <w:lang w:eastAsia="es-CO"/>
              </w:rPr>
            </w:pPr>
            <w:r w:rsidRPr="0039091F">
              <w:rPr>
                <w:rFonts w:eastAsia="Times New Roman" w:cs="Times New Roman"/>
                <w:color w:val="000000"/>
                <w:sz w:val="18"/>
                <w:szCs w:val="18"/>
                <w:lang w:eastAsia="es-CO"/>
              </w:rPr>
              <w:t>23001333300720220080700</w:t>
            </w:r>
          </w:p>
        </w:tc>
        <w:tc>
          <w:tcPr>
            <w:tcW w:w="1236" w:type="pct"/>
            <w:noWrap/>
            <w:vAlign w:val="bottom"/>
            <w:hideMark/>
          </w:tcPr>
          <w:p w14:paraId="54A69E59" w14:textId="77777777" w:rsidR="00E814BD" w:rsidRPr="0039091F" w:rsidRDefault="00E814BD" w:rsidP="000A5389">
            <w:pPr>
              <w:spacing w:line="240" w:lineRule="auto"/>
              <w:jc w:val="center"/>
              <w:rPr>
                <w:rFonts w:eastAsia="Times New Roman" w:cs="Times New Roman"/>
                <w:color w:val="000000"/>
                <w:sz w:val="18"/>
                <w:szCs w:val="18"/>
                <w:lang w:eastAsia="es-CO"/>
              </w:rPr>
            </w:pPr>
            <w:r w:rsidRPr="0039091F">
              <w:rPr>
                <w:rFonts w:eastAsia="Times New Roman" w:cs="Times New Roman"/>
                <w:color w:val="000000"/>
                <w:sz w:val="18"/>
                <w:szCs w:val="18"/>
                <w:lang w:eastAsia="es-CO"/>
              </w:rPr>
              <w:t>1063177669</w:t>
            </w:r>
          </w:p>
        </w:tc>
        <w:tc>
          <w:tcPr>
            <w:tcW w:w="1208" w:type="pct"/>
            <w:noWrap/>
            <w:vAlign w:val="bottom"/>
            <w:hideMark/>
          </w:tcPr>
          <w:p w14:paraId="17158ED5" w14:textId="77777777" w:rsidR="00E814BD" w:rsidRPr="0039091F" w:rsidRDefault="00E814BD" w:rsidP="000A5389">
            <w:pPr>
              <w:spacing w:line="240" w:lineRule="auto"/>
              <w:jc w:val="center"/>
              <w:rPr>
                <w:rFonts w:eastAsia="Times New Roman" w:cs="Times New Roman"/>
                <w:color w:val="000000"/>
                <w:sz w:val="18"/>
                <w:szCs w:val="18"/>
                <w:lang w:eastAsia="es-CO"/>
              </w:rPr>
            </w:pPr>
            <w:r w:rsidRPr="0039091F">
              <w:rPr>
                <w:rFonts w:eastAsia="Times New Roman" w:cs="Times New Roman"/>
                <w:color w:val="000000"/>
                <w:sz w:val="18"/>
                <w:szCs w:val="18"/>
                <w:lang w:eastAsia="es-CO"/>
              </w:rPr>
              <w:t xml:space="preserve">                 42.207.698 </w:t>
            </w:r>
          </w:p>
        </w:tc>
      </w:tr>
      <w:tr w:rsidR="00E814BD" w:rsidRPr="0039091F" w14:paraId="6DDCE367" w14:textId="77777777" w:rsidTr="00684C05">
        <w:trPr>
          <w:trHeight w:val="300"/>
          <w:jc w:val="center"/>
        </w:trPr>
        <w:tc>
          <w:tcPr>
            <w:tcW w:w="787" w:type="pct"/>
            <w:noWrap/>
            <w:vAlign w:val="center"/>
            <w:hideMark/>
          </w:tcPr>
          <w:p w14:paraId="15856823" w14:textId="77777777" w:rsidR="00E814BD" w:rsidRPr="0039091F" w:rsidRDefault="00E814BD" w:rsidP="000A5389">
            <w:pPr>
              <w:spacing w:line="240" w:lineRule="auto"/>
              <w:jc w:val="center"/>
              <w:rPr>
                <w:rFonts w:eastAsia="Times New Roman" w:cs="Times New Roman"/>
                <w:color w:val="000000"/>
                <w:sz w:val="18"/>
                <w:szCs w:val="18"/>
                <w:lang w:eastAsia="es-CO"/>
              </w:rPr>
            </w:pPr>
            <w:r w:rsidRPr="0039091F">
              <w:rPr>
                <w:rFonts w:eastAsia="Times New Roman" w:cs="Times New Roman"/>
                <w:color w:val="000000"/>
                <w:sz w:val="18"/>
                <w:szCs w:val="18"/>
                <w:lang w:eastAsia="es-CO"/>
              </w:rPr>
              <w:t>2382326</w:t>
            </w:r>
          </w:p>
        </w:tc>
        <w:tc>
          <w:tcPr>
            <w:tcW w:w="1770" w:type="pct"/>
            <w:noWrap/>
            <w:vAlign w:val="bottom"/>
            <w:hideMark/>
          </w:tcPr>
          <w:p w14:paraId="39F8D697" w14:textId="77777777" w:rsidR="00E814BD" w:rsidRPr="0039091F" w:rsidRDefault="00E814BD" w:rsidP="000A5389">
            <w:pPr>
              <w:spacing w:line="240" w:lineRule="auto"/>
              <w:jc w:val="center"/>
              <w:rPr>
                <w:rFonts w:eastAsia="Times New Roman" w:cs="Times New Roman"/>
                <w:color w:val="000000"/>
                <w:sz w:val="18"/>
                <w:szCs w:val="18"/>
                <w:lang w:eastAsia="es-CO"/>
              </w:rPr>
            </w:pPr>
            <w:r w:rsidRPr="0039091F">
              <w:rPr>
                <w:rFonts w:eastAsia="Times New Roman" w:cs="Times New Roman"/>
                <w:color w:val="000000"/>
                <w:sz w:val="18"/>
                <w:szCs w:val="18"/>
                <w:lang w:eastAsia="es-CO"/>
              </w:rPr>
              <w:t>11001333501620220037500</w:t>
            </w:r>
          </w:p>
        </w:tc>
        <w:tc>
          <w:tcPr>
            <w:tcW w:w="1236" w:type="pct"/>
            <w:noWrap/>
            <w:vAlign w:val="bottom"/>
            <w:hideMark/>
          </w:tcPr>
          <w:p w14:paraId="1A4D2A76" w14:textId="77777777" w:rsidR="00E814BD" w:rsidRPr="0039091F" w:rsidRDefault="00E814BD" w:rsidP="000A5389">
            <w:pPr>
              <w:spacing w:line="240" w:lineRule="auto"/>
              <w:jc w:val="center"/>
              <w:rPr>
                <w:rFonts w:eastAsia="Times New Roman" w:cs="Times New Roman"/>
                <w:color w:val="000000"/>
                <w:sz w:val="18"/>
                <w:szCs w:val="18"/>
                <w:lang w:eastAsia="es-CO"/>
              </w:rPr>
            </w:pPr>
            <w:r w:rsidRPr="0039091F">
              <w:rPr>
                <w:rFonts w:eastAsia="Times New Roman" w:cs="Times New Roman"/>
                <w:color w:val="000000"/>
                <w:sz w:val="18"/>
                <w:szCs w:val="18"/>
                <w:lang w:eastAsia="es-CO"/>
              </w:rPr>
              <w:t>79686953</w:t>
            </w:r>
          </w:p>
        </w:tc>
        <w:tc>
          <w:tcPr>
            <w:tcW w:w="1208" w:type="pct"/>
            <w:noWrap/>
            <w:vAlign w:val="bottom"/>
            <w:hideMark/>
          </w:tcPr>
          <w:p w14:paraId="1D62AEE9" w14:textId="77777777" w:rsidR="00E814BD" w:rsidRPr="0039091F" w:rsidRDefault="00E814BD" w:rsidP="000A5389">
            <w:pPr>
              <w:spacing w:line="240" w:lineRule="auto"/>
              <w:jc w:val="center"/>
              <w:rPr>
                <w:rFonts w:eastAsia="Times New Roman" w:cs="Times New Roman"/>
                <w:color w:val="000000"/>
                <w:sz w:val="18"/>
                <w:szCs w:val="18"/>
                <w:lang w:eastAsia="es-CO"/>
              </w:rPr>
            </w:pPr>
            <w:r w:rsidRPr="0039091F">
              <w:rPr>
                <w:rFonts w:eastAsia="Times New Roman" w:cs="Times New Roman"/>
                <w:color w:val="000000"/>
                <w:sz w:val="18"/>
                <w:szCs w:val="18"/>
                <w:lang w:eastAsia="es-CO"/>
              </w:rPr>
              <w:t xml:space="preserve">                 32.682.987 </w:t>
            </w:r>
          </w:p>
        </w:tc>
      </w:tr>
      <w:tr w:rsidR="00E814BD" w:rsidRPr="0039091F" w14:paraId="02BB0B1A" w14:textId="77777777" w:rsidTr="00684C05">
        <w:trPr>
          <w:trHeight w:val="300"/>
          <w:jc w:val="center"/>
        </w:trPr>
        <w:tc>
          <w:tcPr>
            <w:tcW w:w="787" w:type="pct"/>
            <w:noWrap/>
            <w:vAlign w:val="center"/>
            <w:hideMark/>
          </w:tcPr>
          <w:p w14:paraId="4E0CE08D" w14:textId="77777777" w:rsidR="00E814BD" w:rsidRPr="0039091F" w:rsidRDefault="00E814BD" w:rsidP="000A5389">
            <w:pPr>
              <w:spacing w:line="240" w:lineRule="auto"/>
              <w:jc w:val="center"/>
              <w:rPr>
                <w:rFonts w:eastAsia="Times New Roman" w:cs="Times New Roman"/>
                <w:color w:val="000000"/>
                <w:sz w:val="18"/>
                <w:szCs w:val="18"/>
                <w:lang w:eastAsia="es-CO"/>
              </w:rPr>
            </w:pPr>
            <w:r w:rsidRPr="0039091F">
              <w:rPr>
                <w:rFonts w:eastAsia="Times New Roman" w:cs="Times New Roman"/>
                <w:color w:val="000000"/>
                <w:sz w:val="18"/>
                <w:szCs w:val="18"/>
                <w:lang w:eastAsia="es-CO"/>
              </w:rPr>
              <w:t>2062895</w:t>
            </w:r>
          </w:p>
        </w:tc>
        <w:tc>
          <w:tcPr>
            <w:tcW w:w="1770" w:type="pct"/>
            <w:noWrap/>
            <w:vAlign w:val="bottom"/>
            <w:hideMark/>
          </w:tcPr>
          <w:p w14:paraId="5F0F5E0F" w14:textId="77777777" w:rsidR="00E814BD" w:rsidRPr="0039091F" w:rsidRDefault="00E814BD" w:rsidP="000A5389">
            <w:pPr>
              <w:spacing w:line="240" w:lineRule="auto"/>
              <w:jc w:val="center"/>
              <w:rPr>
                <w:rFonts w:eastAsia="Times New Roman" w:cs="Times New Roman"/>
                <w:color w:val="000000"/>
                <w:sz w:val="18"/>
                <w:szCs w:val="18"/>
                <w:lang w:eastAsia="es-CO"/>
              </w:rPr>
            </w:pPr>
            <w:r w:rsidRPr="0039091F">
              <w:rPr>
                <w:rFonts w:eastAsia="Times New Roman" w:cs="Times New Roman"/>
                <w:color w:val="000000"/>
                <w:sz w:val="18"/>
                <w:szCs w:val="18"/>
                <w:lang w:eastAsia="es-CO"/>
              </w:rPr>
              <w:t>68001333300420190015800</w:t>
            </w:r>
          </w:p>
        </w:tc>
        <w:tc>
          <w:tcPr>
            <w:tcW w:w="1236" w:type="pct"/>
            <w:noWrap/>
            <w:vAlign w:val="bottom"/>
            <w:hideMark/>
          </w:tcPr>
          <w:p w14:paraId="6B98414F" w14:textId="77777777" w:rsidR="00E814BD" w:rsidRPr="0039091F" w:rsidRDefault="00E814BD" w:rsidP="000A5389">
            <w:pPr>
              <w:spacing w:line="240" w:lineRule="auto"/>
              <w:jc w:val="center"/>
              <w:rPr>
                <w:rFonts w:eastAsia="Times New Roman" w:cs="Times New Roman"/>
                <w:color w:val="000000"/>
                <w:sz w:val="18"/>
                <w:szCs w:val="18"/>
                <w:lang w:eastAsia="es-CO"/>
              </w:rPr>
            </w:pPr>
            <w:r w:rsidRPr="0039091F">
              <w:rPr>
                <w:rFonts w:eastAsia="Times New Roman" w:cs="Times New Roman"/>
                <w:color w:val="000000"/>
                <w:sz w:val="18"/>
                <w:szCs w:val="18"/>
                <w:lang w:eastAsia="es-CO"/>
              </w:rPr>
              <w:t>91287001</w:t>
            </w:r>
          </w:p>
        </w:tc>
        <w:tc>
          <w:tcPr>
            <w:tcW w:w="1208" w:type="pct"/>
            <w:noWrap/>
            <w:vAlign w:val="bottom"/>
            <w:hideMark/>
          </w:tcPr>
          <w:p w14:paraId="4B0E6810" w14:textId="77777777" w:rsidR="00E814BD" w:rsidRPr="0039091F" w:rsidRDefault="00E814BD" w:rsidP="000A5389">
            <w:pPr>
              <w:spacing w:line="240" w:lineRule="auto"/>
              <w:jc w:val="center"/>
              <w:rPr>
                <w:rFonts w:eastAsia="Times New Roman" w:cs="Times New Roman"/>
                <w:color w:val="000000"/>
                <w:sz w:val="18"/>
                <w:szCs w:val="18"/>
                <w:lang w:eastAsia="es-CO"/>
              </w:rPr>
            </w:pPr>
            <w:r w:rsidRPr="0039091F">
              <w:rPr>
                <w:rFonts w:eastAsia="Times New Roman" w:cs="Times New Roman"/>
                <w:color w:val="000000"/>
                <w:sz w:val="18"/>
                <w:szCs w:val="18"/>
                <w:lang w:eastAsia="es-CO"/>
              </w:rPr>
              <w:t xml:space="preserve">                 19.435.970 </w:t>
            </w:r>
          </w:p>
        </w:tc>
      </w:tr>
      <w:tr w:rsidR="00E814BD" w:rsidRPr="0039091F" w14:paraId="1973B0BE" w14:textId="77777777" w:rsidTr="00684C05">
        <w:trPr>
          <w:trHeight w:val="300"/>
          <w:jc w:val="center"/>
        </w:trPr>
        <w:tc>
          <w:tcPr>
            <w:tcW w:w="787" w:type="pct"/>
            <w:noWrap/>
            <w:vAlign w:val="center"/>
            <w:hideMark/>
          </w:tcPr>
          <w:p w14:paraId="5CA59D64" w14:textId="77777777" w:rsidR="00E814BD" w:rsidRPr="0039091F" w:rsidRDefault="00E814BD" w:rsidP="000A5389">
            <w:pPr>
              <w:spacing w:line="240" w:lineRule="auto"/>
              <w:jc w:val="center"/>
              <w:rPr>
                <w:rFonts w:eastAsia="Times New Roman" w:cs="Times New Roman"/>
                <w:color w:val="000000"/>
                <w:sz w:val="18"/>
                <w:szCs w:val="18"/>
                <w:lang w:eastAsia="es-CO"/>
              </w:rPr>
            </w:pPr>
            <w:r w:rsidRPr="0039091F">
              <w:rPr>
                <w:rFonts w:eastAsia="Times New Roman" w:cs="Times New Roman"/>
                <w:color w:val="000000"/>
                <w:sz w:val="18"/>
                <w:szCs w:val="18"/>
                <w:lang w:eastAsia="es-CO"/>
              </w:rPr>
              <w:t>2028759</w:t>
            </w:r>
          </w:p>
        </w:tc>
        <w:tc>
          <w:tcPr>
            <w:tcW w:w="1770" w:type="pct"/>
            <w:noWrap/>
            <w:vAlign w:val="bottom"/>
            <w:hideMark/>
          </w:tcPr>
          <w:p w14:paraId="5893E0F7" w14:textId="77777777" w:rsidR="00E814BD" w:rsidRPr="0039091F" w:rsidRDefault="00E814BD" w:rsidP="000A5389">
            <w:pPr>
              <w:spacing w:line="240" w:lineRule="auto"/>
              <w:jc w:val="center"/>
              <w:rPr>
                <w:rFonts w:eastAsia="Times New Roman" w:cs="Times New Roman"/>
                <w:color w:val="000000"/>
                <w:sz w:val="18"/>
                <w:szCs w:val="18"/>
                <w:lang w:eastAsia="es-CO"/>
              </w:rPr>
            </w:pPr>
            <w:r w:rsidRPr="0039091F">
              <w:rPr>
                <w:rFonts w:eastAsia="Times New Roman" w:cs="Times New Roman"/>
                <w:color w:val="000000"/>
                <w:sz w:val="18"/>
                <w:szCs w:val="18"/>
                <w:lang w:eastAsia="es-CO"/>
              </w:rPr>
              <w:t>05001333303120190004300</w:t>
            </w:r>
          </w:p>
        </w:tc>
        <w:tc>
          <w:tcPr>
            <w:tcW w:w="1236" w:type="pct"/>
            <w:noWrap/>
            <w:vAlign w:val="bottom"/>
            <w:hideMark/>
          </w:tcPr>
          <w:p w14:paraId="3C2A5A31" w14:textId="77777777" w:rsidR="00E814BD" w:rsidRPr="0039091F" w:rsidRDefault="00E814BD" w:rsidP="000A5389">
            <w:pPr>
              <w:spacing w:line="240" w:lineRule="auto"/>
              <w:jc w:val="center"/>
              <w:rPr>
                <w:rFonts w:eastAsia="Times New Roman" w:cs="Times New Roman"/>
                <w:color w:val="000000"/>
                <w:sz w:val="18"/>
                <w:szCs w:val="18"/>
                <w:lang w:eastAsia="es-CO"/>
              </w:rPr>
            </w:pPr>
            <w:r w:rsidRPr="0039091F">
              <w:rPr>
                <w:rFonts w:eastAsia="Times New Roman" w:cs="Times New Roman"/>
                <w:color w:val="000000"/>
                <w:sz w:val="18"/>
                <w:szCs w:val="18"/>
                <w:lang w:eastAsia="es-CO"/>
              </w:rPr>
              <w:t>1035389263</w:t>
            </w:r>
          </w:p>
        </w:tc>
        <w:tc>
          <w:tcPr>
            <w:tcW w:w="1208" w:type="pct"/>
            <w:noWrap/>
            <w:vAlign w:val="bottom"/>
            <w:hideMark/>
          </w:tcPr>
          <w:p w14:paraId="3FD2EA4F" w14:textId="77777777" w:rsidR="00E814BD" w:rsidRPr="0039091F" w:rsidRDefault="00E814BD" w:rsidP="000A5389">
            <w:pPr>
              <w:spacing w:line="240" w:lineRule="auto"/>
              <w:jc w:val="center"/>
              <w:rPr>
                <w:rFonts w:eastAsia="Times New Roman" w:cs="Times New Roman"/>
                <w:color w:val="000000"/>
                <w:sz w:val="18"/>
                <w:szCs w:val="18"/>
                <w:lang w:eastAsia="es-CO"/>
              </w:rPr>
            </w:pPr>
            <w:r w:rsidRPr="0039091F">
              <w:rPr>
                <w:rFonts w:eastAsia="Times New Roman" w:cs="Times New Roman"/>
                <w:color w:val="000000"/>
                <w:sz w:val="18"/>
                <w:szCs w:val="18"/>
                <w:lang w:eastAsia="es-CO"/>
              </w:rPr>
              <w:t xml:space="preserve">                 14.235.000 </w:t>
            </w:r>
          </w:p>
        </w:tc>
      </w:tr>
      <w:tr w:rsidR="00E814BD" w:rsidRPr="0039091F" w14:paraId="7ECB5101" w14:textId="77777777" w:rsidTr="00684C05">
        <w:trPr>
          <w:trHeight w:val="300"/>
          <w:jc w:val="center"/>
        </w:trPr>
        <w:tc>
          <w:tcPr>
            <w:tcW w:w="787" w:type="pct"/>
            <w:noWrap/>
            <w:vAlign w:val="center"/>
            <w:hideMark/>
          </w:tcPr>
          <w:p w14:paraId="06502CEA" w14:textId="77777777" w:rsidR="00E814BD" w:rsidRPr="0039091F" w:rsidRDefault="00E814BD" w:rsidP="000A5389">
            <w:pPr>
              <w:spacing w:line="240" w:lineRule="auto"/>
              <w:jc w:val="center"/>
              <w:rPr>
                <w:rFonts w:eastAsia="Times New Roman" w:cs="Times New Roman"/>
                <w:color w:val="000000"/>
                <w:sz w:val="18"/>
                <w:szCs w:val="18"/>
                <w:lang w:eastAsia="es-CO"/>
              </w:rPr>
            </w:pPr>
            <w:r w:rsidRPr="0039091F">
              <w:rPr>
                <w:rFonts w:eastAsia="Times New Roman" w:cs="Times New Roman"/>
                <w:color w:val="000000"/>
                <w:sz w:val="18"/>
                <w:szCs w:val="18"/>
                <w:lang w:eastAsia="es-CO"/>
              </w:rPr>
              <w:t>466657</w:t>
            </w:r>
          </w:p>
        </w:tc>
        <w:tc>
          <w:tcPr>
            <w:tcW w:w="1770" w:type="pct"/>
            <w:noWrap/>
            <w:vAlign w:val="bottom"/>
            <w:hideMark/>
          </w:tcPr>
          <w:p w14:paraId="4CD7AFD9" w14:textId="77777777" w:rsidR="00E814BD" w:rsidRPr="0039091F" w:rsidRDefault="00E814BD" w:rsidP="000A5389">
            <w:pPr>
              <w:spacing w:line="240" w:lineRule="auto"/>
              <w:jc w:val="center"/>
              <w:rPr>
                <w:rFonts w:eastAsia="Times New Roman" w:cs="Times New Roman"/>
                <w:color w:val="000000"/>
                <w:sz w:val="18"/>
                <w:szCs w:val="18"/>
                <w:lang w:eastAsia="es-CO"/>
              </w:rPr>
            </w:pPr>
            <w:r w:rsidRPr="0039091F">
              <w:rPr>
                <w:rFonts w:eastAsia="Times New Roman" w:cs="Times New Roman"/>
                <w:color w:val="000000"/>
                <w:sz w:val="18"/>
                <w:szCs w:val="18"/>
                <w:lang w:eastAsia="es-CO"/>
              </w:rPr>
              <w:t>68001333300820130015300</w:t>
            </w:r>
          </w:p>
        </w:tc>
        <w:tc>
          <w:tcPr>
            <w:tcW w:w="1236" w:type="pct"/>
            <w:noWrap/>
            <w:vAlign w:val="bottom"/>
            <w:hideMark/>
          </w:tcPr>
          <w:p w14:paraId="0982036F" w14:textId="77777777" w:rsidR="00E814BD" w:rsidRPr="0039091F" w:rsidRDefault="00E814BD" w:rsidP="000A5389">
            <w:pPr>
              <w:spacing w:line="240" w:lineRule="auto"/>
              <w:jc w:val="center"/>
              <w:rPr>
                <w:rFonts w:eastAsia="Times New Roman" w:cs="Times New Roman"/>
                <w:color w:val="000000"/>
                <w:sz w:val="18"/>
                <w:szCs w:val="18"/>
                <w:lang w:eastAsia="es-CO"/>
              </w:rPr>
            </w:pPr>
            <w:r w:rsidRPr="0039091F">
              <w:rPr>
                <w:rFonts w:eastAsia="Times New Roman" w:cs="Times New Roman"/>
                <w:color w:val="000000"/>
                <w:sz w:val="18"/>
                <w:szCs w:val="18"/>
                <w:lang w:eastAsia="es-CO"/>
              </w:rPr>
              <w:t>28333316</w:t>
            </w:r>
          </w:p>
        </w:tc>
        <w:tc>
          <w:tcPr>
            <w:tcW w:w="1208" w:type="pct"/>
            <w:noWrap/>
            <w:vAlign w:val="bottom"/>
            <w:hideMark/>
          </w:tcPr>
          <w:p w14:paraId="5BCA6681" w14:textId="77777777" w:rsidR="00E814BD" w:rsidRPr="0039091F" w:rsidRDefault="00E814BD" w:rsidP="000A5389">
            <w:pPr>
              <w:spacing w:line="240" w:lineRule="auto"/>
              <w:jc w:val="center"/>
              <w:rPr>
                <w:rFonts w:eastAsia="Times New Roman" w:cs="Times New Roman"/>
                <w:color w:val="000000"/>
                <w:sz w:val="18"/>
                <w:szCs w:val="18"/>
                <w:lang w:eastAsia="es-CO"/>
              </w:rPr>
            </w:pPr>
            <w:r w:rsidRPr="0039091F">
              <w:rPr>
                <w:rFonts w:eastAsia="Times New Roman" w:cs="Times New Roman"/>
                <w:color w:val="000000"/>
                <w:sz w:val="18"/>
                <w:szCs w:val="18"/>
                <w:lang w:eastAsia="es-CO"/>
              </w:rPr>
              <w:t xml:space="preserve">                   7.117.500 </w:t>
            </w:r>
          </w:p>
        </w:tc>
      </w:tr>
      <w:tr w:rsidR="00E814BD" w:rsidRPr="0039091F" w14:paraId="0DB9D1F1" w14:textId="77777777" w:rsidTr="00684C05">
        <w:trPr>
          <w:trHeight w:val="300"/>
          <w:jc w:val="center"/>
        </w:trPr>
        <w:tc>
          <w:tcPr>
            <w:tcW w:w="3792" w:type="pct"/>
            <w:gridSpan w:val="3"/>
            <w:noWrap/>
            <w:vAlign w:val="bottom"/>
            <w:hideMark/>
          </w:tcPr>
          <w:p w14:paraId="58EF9404" w14:textId="77777777" w:rsidR="00E814BD" w:rsidRPr="0039091F" w:rsidRDefault="00E814BD" w:rsidP="000A5389">
            <w:pPr>
              <w:spacing w:line="240" w:lineRule="auto"/>
              <w:jc w:val="center"/>
              <w:rPr>
                <w:rFonts w:eastAsia="Times New Roman" w:cs="Times New Roman"/>
                <w:b/>
                <w:bCs/>
                <w:color w:val="000000"/>
                <w:sz w:val="18"/>
                <w:szCs w:val="18"/>
                <w:lang w:eastAsia="es-CO"/>
              </w:rPr>
            </w:pPr>
            <w:r w:rsidRPr="0039091F">
              <w:rPr>
                <w:rFonts w:eastAsia="Times New Roman" w:cs="Times New Roman"/>
                <w:b/>
                <w:bCs/>
                <w:color w:val="000000"/>
                <w:sz w:val="18"/>
                <w:szCs w:val="18"/>
                <w:lang w:eastAsia="es-CO"/>
              </w:rPr>
              <w:t>TOTALES</w:t>
            </w:r>
          </w:p>
        </w:tc>
        <w:tc>
          <w:tcPr>
            <w:tcW w:w="1208" w:type="pct"/>
            <w:noWrap/>
            <w:vAlign w:val="bottom"/>
            <w:hideMark/>
          </w:tcPr>
          <w:p w14:paraId="7A0E32A5" w14:textId="77777777" w:rsidR="00E814BD" w:rsidRPr="0039091F" w:rsidRDefault="00E814BD" w:rsidP="000A5389">
            <w:pPr>
              <w:spacing w:line="240" w:lineRule="auto"/>
              <w:jc w:val="center"/>
              <w:rPr>
                <w:rFonts w:eastAsia="Times New Roman" w:cs="Times New Roman"/>
                <w:b/>
                <w:bCs/>
                <w:color w:val="000000"/>
                <w:sz w:val="18"/>
                <w:szCs w:val="18"/>
                <w:lang w:eastAsia="es-CO"/>
              </w:rPr>
            </w:pPr>
            <w:r w:rsidRPr="0039091F">
              <w:rPr>
                <w:rFonts w:eastAsia="Times New Roman" w:cs="Times New Roman"/>
                <w:b/>
                <w:bCs/>
                <w:color w:val="000000"/>
                <w:sz w:val="18"/>
                <w:szCs w:val="18"/>
                <w:lang w:eastAsia="es-CO"/>
              </w:rPr>
              <w:t xml:space="preserve">        117.886.913.986 </w:t>
            </w:r>
          </w:p>
        </w:tc>
      </w:tr>
    </w:tbl>
    <w:p w14:paraId="2CB7B08A" w14:textId="4102657C" w:rsidR="00E814BD" w:rsidRPr="00951AB1" w:rsidRDefault="00E814BD" w:rsidP="000A5389">
      <w:pPr>
        <w:autoSpaceDE w:val="0"/>
        <w:autoSpaceDN w:val="0"/>
        <w:adjustRightInd w:val="0"/>
        <w:spacing w:line="240" w:lineRule="auto"/>
        <w:rPr>
          <w:rFonts w:cs="Times New Roman"/>
          <w:color w:val="000000"/>
          <w:sz w:val="14"/>
          <w:szCs w:val="14"/>
        </w:rPr>
      </w:pPr>
      <w:r w:rsidRPr="2A085367">
        <w:rPr>
          <w:rFonts w:cs="Times New Roman"/>
          <w:color w:val="000000" w:themeColor="text1"/>
          <w:sz w:val="14"/>
          <w:szCs w:val="14"/>
        </w:rPr>
        <w:t xml:space="preserve">                        Cifras expresadas en pesos</w:t>
      </w:r>
    </w:p>
    <w:p w14:paraId="1DFC7B7F" w14:textId="77777777" w:rsidR="00E814BD" w:rsidRPr="00951AB1" w:rsidRDefault="00E814BD" w:rsidP="000A5389">
      <w:pPr>
        <w:autoSpaceDE w:val="0"/>
        <w:autoSpaceDN w:val="0"/>
        <w:adjustRightInd w:val="0"/>
        <w:spacing w:line="240" w:lineRule="auto"/>
        <w:rPr>
          <w:rFonts w:cs="Times New Roman"/>
          <w:szCs w:val="24"/>
        </w:rPr>
      </w:pPr>
    </w:p>
    <w:p w14:paraId="7A1A770C" w14:textId="77777777" w:rsidR="00E814BD" w:rsidRPr="00951AB1" w:rsidRDefault="00E814BD" w:rsidP="000A5389">
      <w:pPr>
        <w:autoSpaceDE w:val="0"/>
        <w:autoSpaceDN w:val="0"/>
        <w:adjustRightInd w:val="0"/>
        <w:spacing w:line="240" w:lineRule="auto"/>
        <w:rPr>
          <w:rFonts w:cs="Times New Roman"/>
          <w:color w:val="000000"/>
          <w:szCs w:val="24"/>
        </w:rPr>
      </w:pPr>
      <w:r w:rsidRPr="00951AB1">
        <w:rPr>
          <w:rFonts w:cs="Times New Roman"/>
          <w:szCs w:val="24"/>
        </w:rPr>
        <w:t xml:space="preserve">Así mismo en el entendido de lo expuesto en la Resolución 080 de 2021 de la Contaduría General de la Nación </w:t>
      </w:r>
      <w:r w:rsidRPr="00951AB1">
        <w:rPr>
          <w:rFonts w:cs="Times New Roman"/>
          <w:i/>
          <w:iCs/>
          <w:szCs w:val="24"/>
        </w:rPr>
        <w:t>“</w:t>
      </w:r>
      <w:r w:rsidRPr="00951AB1">
        <w:rPr>
          <w:rFonts w:cs="Times New Roman"/>
          <w:i/>
          <w:iCs/>
          <w:color w:val="000000"/>
          <w:szCs w:val="24"/>
        </w:rPr>
        <w:t>Cuando el valor de la provisión se calcule como el valor presente de la</w:t>
      </w:r>
      <w:r w:rsidRPr="00951AB1">
        <w:rPr>
          <w:rFonts w:cs="Times New Roman"/>
          <w:i/>
          <w:iCs/>
          <w:szCs w:val="24"/>
        </w:rPr>
        <w:t xml:space="preserve"> </w:t>
      </w:r>
      <w:r w:rsidRPr="00951AB1">
        <w:rPr>
          <w:rFonts w:cs="Times New Roman"/>
          <w:i/>
          <w:iCs/>
          <w:color w:val="000000"/>
          <w:szCs w:val="24"/>
        </w:rPr>
        <w:t>obligación, como mínimo al final del periodo contable, la entidad ajustará</w:t>
      </w:r>
      <w:r w:rsidRPr="00951AB1">
        <w:rPr>
          <w:rFonts w:cs="Times New Roman"/>
          <w:i/>
          <w:iCs/>
          <w:szCs w:val="24"/>
        </w:rPr>
        <w:t xml:space="preserve"> </w:t>
      </w:r>
      <w:r w:rsidRPr="00951AB1">
        <w:rPr>
          <w:rFonts w:cs="Times New Roman"/>
          <w:i/>
          <w:iCs/>
          <w:color w:val="000000"/>
          <w:szCs w:val="24"/>
        </w:rPr>
        <w:t>financieramente el valor de la provisión aplicando la tasa de descuento que</w:t>
      </w:r>
      <w:r w:rsidRPr="00951AB1">
        <w:rPr>
          <w:rFonts w:cs="Times New Roman"/>
          <w:i/>
          <w:iCs/>
          <w:szCs w:val="24"/>
        </w:rPr>
        <w:t xml:space="preserve"> </w:t>
      </w:r>
      <w:r w:rsidRPr="00951AB1">
        <w:rPr>
          <w:rFonts w:cs="Times New Roman"/>
          <w:i/>
          <w:iCs/>
          <w:color w:val="000000"/>
          <w:szCs w:val="24"/>
        </w:rPr>
        <w:t xml:space="preserve">se utilizó para calcular el valor presente de la obligación.” </w:t>
      </w:r>
      <w:r w:rsidRPr="00951AB1">
        <w:rPr>
          <w:rFonts w:cs="Times New Roman"/>
          <w:color w:val="000000"/>
          <w:szCs w:val="24"/>
        </w:rPr>
        <w:t>se reconocieron el total de cincuenta y cinco (55) procesos de la jurisdicción CONTENCIOSO ADMINISTRATIVA en actualización financiera a 31 de diciembre de 2025.</w:t>
      </w:r>
    </w:p>
    <w:p w14:paraId="6456053D" w14:textId="77777777" w:rsidR="00E814BD" w:rsidRPr="00951AB1" w:rsidRDefault="00E814BD" w:rsidP="000A5389">
      <w:pPr>
        <w:autoSpaceDE w:val="0"/>
        <w:autoSpaceDN w:val="0"/>
        <w:adjustRightInd w:val="0"/>
        <w:spacing w:line="240" w:lineRule="auto"/>
        <w:rPr>
          <w:rFonts w:cs="Times New Roman"/>
          <w:color w:val="000000"/>
          <w:szCs w:val="24"/>
        </w:rPr>
      </w:pPr>
    </w:p>
    <w:p w14:paraId="5313D4FE" w14:textId="77777777" w:rsidR="00E814BD" w:rsidRPr="00951AB1" w:rsidRDefault="00E814BD" w:rsidP="000A5389">
      <w:pPr>
        <w:autoSpaceDE w:val="0"/>
        <w:autoSpaceDN w:val="0"/>
        <w:adjustRightInd w:val="0"/>
        <w:spacing w:line="240" w:lineRule="auto"/>
        <w:rPr>
          <w:rFonts w:cs="Times New Roman"/>
          <w:color w:val="000000"/>
          <w:szCs w:val="24"/>
        </w:rPr>
      </w:pPr>
      <w:r w:rsidRPr="00951AB1">
        <w:rPr>
          <w:rFonts w:cs="Times New Roman"/>
          <w:b/>
          <w:color w:val="000000"/>
          <w:szCs w:val="24"/>
        </w:rPr>
        <w:t>Laborales:</w:t>
      </w:r>
      <w:r w:rsidRPr="00951AB1">
        <w:rPr>
          <w:rFonts w:cs="Times New Roman"/>
          <w:color w:val="000000"/>
          <w:szCs w:val="24"/>
        </w:rPr>
        <w:t xml:space="preserve"> corresponde a cinco (06) procesos laborales, uno (02) de ellos con sentencia desfavorable en segunda instancia, (04) en primera estancia desfavorable; que conforme a las reglas de la metodología establecida debe quedar registrado contablemente en provisión. </w:t>
      </w:r>
    </w:p>
    <w:p w14:paraId="3ADEFA54" w14:textId="77777777" w:rsidR="00E814BD" w:rsidRPr="00951AB1" w:rsidRDefault="00E814BD" w:rsidP="000A5389">
      <w:pPr>
        <w:autoSpaceDE w:val="0"/>
        <w:autoSpaceDN w:val="0"/>
        <w:adjustRightInd w:val="0"/>
        <w:spacing w:line="240" w:lineRule="auto"/>
        <w:rPr>
          <w:rFonts w:cs="Times New Roman"/>
          <w:color w:val="000000"/>
          <w:szCs w:val="24"/>
        </w:rPr>
      </w:pPr>
    </w:p>
    <w:p w14:paraId="17362B21" w14:textId="77777777" w:rsidR="00E814BD" w:rsidRPr="00951AB1" w:rsidRDefault="00E814BD" w:rsidP="000A5389">
      <w:pPr>
        <w:autoSpaceDE w:val="0"/>
        <w:autoSpaceDN w:val="0"/>
        <w:adjustRightInd w:val="0"/>
        <w:spacing w:line="240" w:lineRule="auto"/>
        <w:rPr>
          <w:rFonts w:cs="Times New Roman"/>
          <w:color w:val="000000"/>
          <w:szCs w:val="24"/>
        </w:rPr>
      </w:pPr>
      <w:r w:rsidRPr="00951AB1">
        <w:rPr>
          <w:rFonts w:cs="Times New Roman"/>
          <w:color w:val="000000"/>
          <w:szCs w:val="24"/>
        </w:rPr>
        <w:t>La principal razón de la variación por este tipo de procesos radica en la terminación de los procesos o en la modificación de los criterios para la calificación del riesgo de pérdida.</w:t>
      </w:r>
    </w:p>
    <w:p w14:paraId="142156D3" w14:textId="77777777" w:rsidR="00E814BD" w:rsidRPr="00951AB1" w:rsidRDefault="00E814BD" w:rsidP="000A5389">
      <w:pPr>
        <w:autoSpaceDE w:val="0"/>
        <w:autoSpaceDN w:val="0"/>
        <w:adjustRightInd w:val="0"/>
        <w:spacing w:line="240" w:lineRule="auto"/>
        <w:rPr>
          <w:rFonts w:cs="Times New Roman"/>
          <w:color w:val="000000"/>
          <w:szCs w:val="24"/>
        </w:rPr>
      </w:pPr>
    </w:p>
    <w:p w14:paraId="5E0C9B37" w14:textId="77777777" w:rsidR="00E814BD" w:rsidRPr="00951AB1" w:rsidRDefault="00E814BD" w:rsidP="000A5389">
      <w:pPr>
        <w:autoSpaceDE w:val="0"/>
        <w:autoSpaceDN w:val="0"/>
        <w:adjustRightInd w:val="0"/>
        <w:spacing w:line="240" w:lineRule="auto"/>
        <w:rPr>
          <w:rFonts w:cs="Times New Roman"/>
          <w:color w:val="000000"/>
          <w:szCs w:val="24"/>
        </w:rPr>
      </w:pPr>
      <w:r w:rsidRPr="00951AB1">
        <w:rPr>
          <w:rFonts w:cs="Times New Roman"/>
          <w:color w:val="000000"/>
        </w:rPr>
        <w:t>El eventual pago se tiene previsto dentro de los tres años siguientes.</w:t>
      </w:r>
      <w:r w:rsidRPr="00951AB1">
        <w:rPr>
          <w:rFonts w:cs="Times New Roman"/>
          <w:color w:val="000000"/>
          <w:szCs w:val="24"/>
        </w:rPr>
        <w:t xml:space="preserve"> </w:t>
      </w:r>
    </w:p>
    <w:p w14:paraId="24AB8086" w14:textId="77777777" w:rsidR="00E814BD" w:rsidRPr="00951AB1" w:rsidRDefault="00E814BD" w:rsidP="000A5389">
      <w:pPr>
        <w:autoSpaceDE w:val="0"/>
        <w:autoSpaceDN w:val="0"/>
        <w:adjustRightInd w:val="0"/>
        <w:spacing w:line="240" w:lineRule="auto"/>
        <w:rPr>
          <w:rFonts w:cs="Times New Roman"/>
          <w:color w:val="000000"/>
          <w:szCs w:val="24"/>
        </w:rPr>
      </w:pPr>
    </w:p>
    <w:p w14:paraId="626E4B9A" w14:textId="77777777" w:rsidR="00E814BD" w:rsidRPr="00951AB1" w:rsidRDefault="00E814BD" w:rsidP="000A5389">
      <w:pPr>
        <w:autoSpaceDE w:val="0"/>
        <w:autoSpaceDN w:val="0"/>
        <w:adjustRightInd w:val="0"/>
        <w:spacing w:line="240" w:lineRule="auto"/>
        <w:rPr>
          <w:rFonts w:cs="Times New Roman"/>
          <w:color w:val="000000"/>
          <w:szCs w:val="24"/>
        </w:rPr>
      </w:pPr>
      <w:r w:rsidRPr="00951AB1">
        <w:rPr>
          <w:rFonts w:cs="Times New Roman"/>
          <w:color w:val="000000"/>
          <w:szCs w:val="24"/>
        </w:rPr>
        <w:t>A continuación, se detallan los procesos con objeto de contabilización.</w:t>
      </w:r>
    </w:p>
    <w:p w14:paraId="3C573241" w14:textId="77777777" w:rsidR="00E814BD" w:rsidRPr="00951AB1" w:rsidRDefault="00E814BD" w:rsidP="000A5389">
      <w:pPr>
        <w:autoSpaceDE w:val="0"/>
        <w:autoSpaceDN w:val="0"/>
        <w:adjustRightInd w:val="0"/>
        <w:spacing w:line="240" w:lineRule="auto"/>
        <w:rPr>
          <w:rFonts w:cs="Times New Roman"/>
          <w:color w:val="000000"/>
          <w:szCs w:val="24"/>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294"/>
        <w:gridCol w:w="3171"/>
        <w:gridCol w:w="1523"/>
        <w:gridCol w:w="2840"/>
      </w:tblGrid>
      <w:tr w:rsidR="00E814BD" w:rsidRPr="00951AB1" w14:paraId="3A47EF0A" w14:textId="77777777" w:rsidTr="00684C05">
        <w:trPr>
          <w:trHeight w:val="600"/>
          <w:jc w:val="center"/>
        </w:trPr>
        <w:tc>
          <w:tcPr>
            <w:tcW w:w="769" w:type="pct"/>
            <w:vAlign w:val="center"/>
            <w:hideMark/>
          </w:tcPr>
          <w:p w14:paraId="782FC33F" w14:textId="77777777" w:rsidR="00E814BD" w:rsidRPr="00951AB1" w:rsidRDefault="00E814BD" w:rsidP="000A5389">
            <w:pPr>
              <w:spacing w:line="240" w:lineRule="auto"/>
              <w:jc w:val="center"/>
              <w:rPr>
                <w:rFonts w:eastAsia="Times New Roman" w:cs="Times New Roman"/>
                <w:b/>
                <w:bCs/>
                <w:sz w:val="20"/>
                <w:szCs w:val="20"/>
                <w:lang w:eastAsia="es-CO"/>
              </w:rPr>
            </w:pPr>
            <w:r w:rsidRPr="00951AB1">
              <w:rPr>
                <w:rFonts w:eastAsia="Times New Roman" w:cs="Times New Roman"/>
                <w:b/>
                <w:bCs/>
                <w:sz w:val="20"/>
                <w:szCs w:val="20"/>
                <w:lang w:eastAsia="es-CO"/>
              </w:rPr>
              <w:t>Número Ekogui</w:t>
            </w:r>
          </w:p>
        </w:tc>
        <w:tc>
          <w:tcPr>
            <w:tcW w:w="1832" w:type="pct"/>
            <w:vAlign w:val="center"/>
            <w:hideMark/>
          </w:tcPr>
          <w:p w14:paraId="5B624DB5" w14:textId="77777777" w:rsidR="00E814BD" w:rsidRPr="00951AB1" w:rsidRDefault="00E814BD" w:rsidP="000A5389">
            <w:pPr>
              <w:spacing w:line="240" w:lineRule="auto"/>
              <w:jc w:val="center"/>
              <w:rPr>
                <w:rFonts w:eastAsia="Times New Roman" w:cs="Times New Roman"/>
                <w:b/>
                <w:bCs/>
                <w:sz w:val="20"/>
                <w:szCs w:val="20"/>
                <w:lang w:eastAsia="es-CO"/>
              </w:rPr>
            </w:pPr>
            <w:r w:rsidRPr="00951AB1">
              <w:rPr>
                <w:rFonts w:eastAsia="Times New Roman" w:cs="Times New Roman"/>
                <w:b/>
                <w:bCs/>
                <w:sz w:val="20"/>
                <w:szCs w:val="20"/>
                <w:lang w:eastAsia="es-CO"/>
              </w:rPr>
              <w:t>Código único del</w:t>
            </w:r>
            <w:r w:rsidRPr="00951AB1">
              <w:rPr>
                <w:rFonts w:eastAsia="Times New Roman" w:cs="Times New Roman"/>
                <w:b/>
                <w:bCs/>
                <w:sz w:val="20"/>
                <w:szCs w:val="20"/>
                <w:lang w:eastAsia="es-CO"/>
              </w:rPr>
              <w:br/>
              <w:t>proceso</w:t>
            </w:r>
          </w:p>
        </w:tc>
        <w:tc>
          <w:tcPr>
            <w:tcW w:w="898" w:type="pct"/>
            <w:vAlign w:val="center"/>
            <w:hideMark/>
          </w:tcPr>
          <w:p w14:paraId="654C027A" w14:textId="77777777" w:rsidR="00E814BD" w:rsidRPr="00951AB1" w:rsidRDefault="00E814BD" w:rsidP="000A5389">
            <w:pPr>
              <w:spacing w:line="240" w:lineRule="auto"/>
              <w:jc w:val="center"/>
              <w:rPr>
                <w:rFonts w:eastAsia="Times New Roman" w:cs="Times New Roman"/>
                <w:b/>
                <w:bCs/>
                <w:sz w:val="20"/>
                <w:szCs w:val="20"/>
                <w:lang w:eastAsia="es-CO"/>
              </w:rPr>
            </w:pPr>
            <w:r w:rsidRPr="00951AB1">
              <w:rPr>
                <w:rFonts w:eastAsia="Times New Roman" w:cs="Times New Roman"/>
                <w:b/>
                <w:bCs/>
                <w:sz w:val="20"/>
                <w:szCs w:val="20"/>
                <w:lang w:eastAsia="es-CO"/>
              </w:rPr>
              <w:t>Identificación Contraparte</w:t>
            </w:r>
          </w:p>
        </w:tc>
        <w:tc>
          <w:tcPr>
            <w:tcW w:w="1501" w:type="pct"/>
            <w:noWrap/>
            <w:vAlign w:val="center"/>
            <w:hideMark/>
          </w:tcPr>
          <w:p w14:paraId="3007E77A" w14:textId="77777777" w:rsidR="00E814BD" w:rsidRPr="00951AB1" w:rsidRDefault="00E814BD" w:rsidP="000A5389">
            <w:pPr>
              <w:spacing w:line="240" w:lineRule="auto"/>
              <w:jc w:val="center"/>
              <w:rPr>
                <w:rFonts w:eastAsia="Times New Roman" w:cs="Times New Roman"/>
                <w:b/>
                <w:bCs/>
                <w:sz w:val="20"/>
                <w:szCs w:val="20"/>
                <w:lang w:eastAsia="es-CO"/>
              </w:rPr>
            </w:pPr>
            <w:r w:rsidRPr="00951AB1">
              <w:rPr>
                <w:rFonts w:eastAsia="Times New Roman" w:cs="Times New Roman"/>
                <w:b/>
                <w:bCs/>
                <w:sz w:val="20"/>
                <w:szCs w:val="20"/>
                <w:lang w:eastAsia="es-CO"/>
              </w:rPr>
              <w:t xml:space="preserve">Valor </w:t>
            </w:r>
          </w:p>
        </w:tc>
      </w:tr>
      <w:tr w:rsidR="00E814BD" w:rsidRPr="00951AB1" w14:paraId="54499976" w14:textId="77777777" w:rsidTr="00684C05">
        <w:trPr>
          <w:trHeight w:val="300"/>
          <w:jc w:val="center"/>
        </w:trPr>
        <w:tc>
          <w:tcPr>
            <w:tcW w:w="769" w:type="pct"/>
            <w:noWrap/>
            <w:vAlign w:val="bottom"/>
            <w:hideMark/>
          </w:tcPr>
          <w:p w14:paraId="74AA238D" w14:textId="77777777" w:rsidR="00E814BD" w:rsidRPr="00951AB1" w:rsidRDefault="00E814BD" w:rsidP="000A5389">
            <w:pPr>
              <w:spacing w:line="240" w:lineRule="auto"/>
              <w:jc w:val="right"/>
              <w:rPr>
                <w:rFonts w:eastAsia="Times New Roman" w:cs="Times New Roman"/>
                <w:color w:val="000000"/>
                <w:sz w:val="20"/>
                <w:szCs w:val="20"/>
                <w:lang w:eastAsia="es-CO"/>
              </w:rPr>
            </w:pPr>
            <w:r w:rsidRPr="00951AB1">
              <w:rPr>
                <w:rFonts w:eastAsia="Times New Roman" w:cs="Times New Roman"/>
                <w:color w:val="000000"/>
                <w:sz w:val="20"/>
                <w:szCs w:val="20"/>
                <w:lang w:eastAsia="es-CO"/>
              </w:rPr>
              <w:t>416193</w:t>
            </w:r>
          </w:p>
        </w:tc>
        <w:tc>
          <w:tcPr>
            <w:tcW w:w="1832" w:type="pct"/>
            <w:noWrap/>
            <w:vAlign w:val="bottom"/>
            <w:hideMark/>
          </w:tcPr>
          <w:p w14:paraId="3E22DF05" w14:textId="77777777" w:rsidR="00E814BD" w:rsidRPr="00951AB1" w:rsidRDefault="00E814BD" w:rsidP="000A5389">
            <w:pPr>
              <w:spacing w:line="240" w:lineRule="auto"/>
              <w:rPr>
                <w:rFonts w:eastAsia="Times New Roman" w:cs="Times New Roman"/>
                <w:color w:val="000000"/>
                <w:sz w:val="20"/>
                <w:szCs w:val="20"/>
                <w:lang w:eastAsia="es-CO"/>
              </w:rPr>
            </w:pPr>
            <w:r w:rsidRPr="00951AB1">
              <w:rPr>
                <w:rFonts w:eastAsia="Times New Roman" w:cs="Times New Roman"/>
                <w:color w:val="000000"/>
                <w:sz w:val="20"/>
                <w:szCs w:val="20"/>
                <w:lang w:eastAsia="es-CO"/>
              </w:rPr>
              <w:t>11001310501420130057100</w:t>
            </w:r>
          </w:p>
        </w:tc>
        <w:tc>
          <w:tcPr>
            <w:tcW w:w="898" w:type="pct"/>
            <w:noWrap/>
            <w:vAlign w:val="bottom"/>
            <w:hideMark/>
          </w:tcPr>
          <w:p w14:paraId="5AD293F6" w14:textId="77777777" w:rsidR="00E814BD" w:rsidRPr="00951AB1" w:rsidRDefault="00E814BD" w:rsidP="000A5389">
            <w:pPr>
              <w:spacing w:line="240" w:lineRule="auto"/>
              <w:jc w:val="center"/>
              <w:rPr>
                <w:rFonts w:eastAsia="Times New Roman" w:cs="Times New Roman"/>
                <w:color w:val="000000"/>
                <w:sz w:val="20"/>
                <w:szCs w:val="20"/>
                <w:lang w:eastAsia="es-CO"/>
              </w:rPr>
            </w:pPr>
            <w:r w:rsidRPr="00951AB1">
              <w:rPr>
                <w:rFonts w:eastAsia="Times New Roman" w:cs="Times New Roman"/>
                <w:color w:val="000000"/>
                <w:sz w:val="20"/>
                <w:szCs w:val="20"/>
                <w:lang w:eastAsia="es-CO"/>
              </w:rPr>
              <w:t>11413086</w:t>
            </w:r>
          </w:p>
        </w:tc>
        <w:tc>
          <w:tcPr>
            <w:tcW w:w="1501" w:type="pct"/>
            <w:noWrap/>
            <w:vAlign w:val="bottom"/>
            <w:hideMark/>
          </w:tcPr>
          <w:p w14:paraId="5B8339B4" w14:textId="77777777" w:rsidR="00E814BD" w:rsidRPr="00951AB1" w:rsidRDefault="00E814BD" w:rsidP="000A5389">
            <w:pPr>
              <w:spacing w:line="240" w:lineRule="auto"/>
              <w:jc w:val="center"/>
              <w:rPr>
                <w:rFonts w:eastAsia="Times New Roman" w:cs="Times New Roman"/>
                <w:color w:val="000000"/>
                <w:sz w:val="20"/>
                <w:szCs w:val="20"/>
                <w:lang w:eastAsia="es-CO"/>
              </w:rPr>
            </w:pPr>
            <w:r w:rsidRPr="00951AB1">
              <w:rPr>
                <w:rFonts w:eastAsia="Times New Roman" w:cs="Times New Roman"/>
                <w:color w:val="000000"/>
                <w:sz w:val="20"/>
                <w:szCs w:val="20"/>
                <w:lang w:eastAsia="es-CO"/>
              </w:rPr>
              <w:t xml:space="preserve">                                 229.436.973 </w:t>
            </w:r>
          </w:p>
        </w:tc>
      </w:tr>
      <w:tr w:rsidR="00E814BD" w:rsidRPr="00951AB1" w14:paraId="04748430" w14:textId="77777777" w:rsidTr="00684C05">
        <w:trPr>
          <w:trHeight w:val="300"/>
          <w:jc w:val="center"/>
        </w:trPr>
        <w:tc>
          <w:tcPr>
            <w:tcW w:w="769" w:type="pct"/>
            <w:noWrap/>
            <w:vAlign w:val="bottom"/>
            <w:hideMark/>
          </w:tcPr>
          <w:p w14:paraId="2691335D" w14:textId="77777777" w:rsidR="00E814BD" w:rsidRPr="00951AB1" w:rsidRDefault="00E814BD" w:rsidP="000A5389">
            <w:pPr>
              <w:spacing w:line="240" w:lineRule="auto"/>
              <w:jc w:val="right"/>
              <w:rPr>
                <w:rFonts w:eastAsia="Times New Roman" w:cs="Times New Roman"/>
                <w:color w:val="000000"/>
                <w:sz w:val="20"/>
                <w:szCs w:val="20"/>
                <w:lang w:eastAsia="es-CO"/>
              </w:rPr>
            </w:pPr>
            <w:r w:rsidRPr="00951AB1">
              <w:rPr>
                <w:rFonts w:eastAsia="Times New Roman" w:cs="Times New Roman"/>
                <w:color w:val="000000"/>
                <w:sz w:val="20"/>
                <w:szCs w:val="20"/>
                <w:lang w:eastAsia="es-CO"/>
              </w:rPr>
              <w:t>2317927</w:t>
            </w:r>
          </w:p>
        </w:tc>
        <w:tc>
          <w:tcPr>
            <w:tcW w:w="1832" w:type="pct"/>
            <w:noWrap/>
            <w:vAlign w:val="bottom"/>
            <w:hideMark/>
          </w:tcPr>
          <w:p w14:paraId="2B6C350D" w14:textId="77777777" w:rsidR="00E814BD" w:rsidRPr="00951AB1" w:rsidRDefault="00E814BD" w:rsidP="000A5389">
            <w:pPr>
              <w:spacing w:line="240" w:lineRule="auto"/>
              <w:rPr>
                <w:rFonts w:eastAsia="Times New Roman" w:cs="Times New Roman"/>
                <w:color w:val="000000"/>
                <w:sz w:val="20"/>
                <w:szCs w:val="20"/>
                <w:lang w:eastAsia="es-CO"/>
              </w:rPr>
            </w:pPr>
            <w:r w:rsidRPr="00951AB1">
              <w:rPr>
                <w:rFonts w:eastAsia="Times New Roman" w:cs="Times New Roman"/>
                <w:color w:val="000000"/>
                <w:sz w:val="20"/>
                <w:szCs w:val="20"/>
                <w:lang w:eastAsia="es-CO"/>
              </w:rPr>
              <w:t>76001310501820190069500</w:t>
            </w:r>
          </w:p>
        </w:tc>
        <w:tc>
          <w:tcPr>
            <w:tcW w:w="898" w:type="pct"/>
            <w:noWrap/>
            <w:vAlign w:val="bottom"/>
            <w:hideMark/>
          </w:tcPr>
          <w:p w14:paraId="713C0B63" w14:textId="77777777" w:rsidR="00E814BD" w:rsidRPr="00951AB1" w:rsidRDefault="00E814BD" w:rsidP="000A5389">
            <w:pPr>
              <w:spacing w:line="240" w:lineRule="auto"/>
              <w:jc w:val="center"/>
              <w:rPr>
                <w:rFonts w:eastAsia="Times New Roman" w:cs="Times New Roman"/>
                <w:color w:val="000000"/>
                <w:sz w:val="20"/>
                <w:szCs w:val="20"/>
                <w:lang w:eastAsia="es-CO"/>
              </w:rPr>
            </w:pPr>
            <w:r w:rsidRPr="00951AB1">
              <w:rPr>
                <w:rFonts w:eastAsia="Times New Roman" w:cs="Times New Roman"/>
                <w:color w:val="000000"/>
                <w:sz w:val="20"/>
                <w:szCs w:val="20"/>
                <w:lang w:eastAsia="es-CO"/>
              </w:rPr>
              <w:t>14577445</w:t>
            </w:r>
          </w:p>
        </w:tc>
        <w:tc>
          <w:tcPr>
            <w:tcW w:w="1501" w:type="pct"/>
            <w:noWrap/>
            <w:vAlign w:val="bottom"/>
            <w:hideMark/>
          </w:tcPr>
          <w:p w14:paraId="278DC2BD" w14:textId="77777777" w:rsidR="00E814BD" w:rsidRPr="00951AB1" w:rsidRDefault="00E814BD" w:rsidP="000A5389">
            <w:pPr>
              <w:spacing w:line="240" w:lineRule="auto"/>
              <w:jc w:val="center"/>
              <w:rPr>
                <w:rFonts w:eastAsia="Times New Roman" w:cs="Times New Roman"/>
                <w:color w:val="000000"/>
                <w:sz w:val="20"/>
                <w:szCs w:val="20"/>
                <w:lang w:eastAsia="es-CO"/>
              </w:rPr>
            </w:pPr>
            <w:r w:rsidRPr="00951AB1">
              <w:rPr>
                <w:rFonts w:eastAsia="Times New Roman" w:cs="Times New Roman"/>
                <w:color w:val="000000"/>
                <w:sz w:val="20"/>
                <w:szCs w:val="20"/>
                <w:lang w:eastAsia="es-CO"/>
              </w:rPr>
              <w:t xml:space="preserve">                                    56.940.000 </w:t>
            </w:r>
          </w:p>
        </w:tc>
      </w:tr>
      <w:tr w:rsidR="00E814BD" w:rsidRPr="00951AB1" w14:paraId="4BAC665B" w14:textId="77777777" w:rsidTr="00684C05">
        <w:trPr>
          <w:trHeight w:val="300"/>
          <w:jc w:val="center"/>
        </w:trPr>
        <w:tc>
          <w:tcPr>
            <w:tcW w:w="769" w:type="pct"/>
            <w:noWrap/>
            <w:vAlign w:val="bottom"/>
            <w:hideMark/>
          </w:tcPr>
          <w:p w14:paraId="04FFC968" w14:textId="77777777" w:rsidR="00E814BD" w:rsidRPr="00951AB1" w:rsidRDefault="00E814BD" w:rsidP="000A5389">
            <w:pPr>
              <w:spacing w:line="240" w:lineRule="auto"/>
              <w:jc w:val="right"/>
              <w:rPr>
                <w:rFonts w:eastAsia="Times New Roman" w:cs="Times New Roman"/>
                <w:color w:val="000000"/>
                <w:sz w:val="20"/>
                <w:szCs w:val="20"/>
                <w:lang w:eastAsia="es-CO"/>
              </w:rPr>
            </w:pPr>
            <w:r w:rsidRPr="00951AB1">
              <w:rPr>
                <w:rFonts w:eastAsia="Times New Roman" w:cs="Times New Roman"/>
                <w:color w:val="000000"/>
                <w:sz w:val="20"/>
                <w:szCs w:val="20"/>
                <w:lang w:eastAsia="es-CO"/>
              </w:rPr>
              <w:t>2196334</w:t>
            </w:r>
          </w:p>
        </w:tc>
        <w:tc>
          <w:tcPr>
            <w:tcW w:w="1832" w:type="pct"/>
            <w:noWrap/>
            <w:vAlign w:val="bottom"/>
            <w:hideMark/>
          </w:tcPr>
          <w:p w14:paraId="63DE5573" w14:textId="77777777" w:rsidR="00E814BD" w:rsidRPr="00951AB1" w:rsidRDefault="00E814BD" w:rsidP="000A5389">
            <w:pPr>
              <w:spacing w:line="240" w:lineRule="auto"/>
              <w:rPr>
                <w:rFonts w:eastAsia="Times New Roman" w:cs="Times New Roman"/>
                <w:color w:val="000000"/>
                <w:sz w:val="20"/>
                <w:szCs w:val="20"/>
                <w:lang w:eastAsia="es-CO"/>
              </w:rPr>
            </w:pPr>
            <w:r w:rsidRPr="00951AB1">
              <w:rPr>
                <w:rFonts w:eastAsia="Times New Roman" w:cs="Times New Roman"/>
                <w:color w:val="000000"/>
                <w:sz w:val="20"/>
                <w:szCs w:val="20"/>
                <w:lang w:eastAsia="es-CO"/>
              </w:rPr>
              <w:t>76001310500220200023500</w:t>
            </w:r>
          </w:p>
        </w:tc>
        <w:tc>
          <w:tcPr>
            <w:tcW w:w="898" w:type="pct"/>
            <w:noWrap/>
            <w:vAlign w:val="bottom"/>
            <w:hideMark/>
          </w:tcPr>
          <w:p w14:paraId="6380FF3B" w14:textId="77777777" w:rsidR="00E814BD" w:rsidRPr="00951AB1" w:rsidRDefault="00E814BD" w:rsidP="000A5389">
            <w:pPr>
              <w:spacing w:line="240" w:lineRule="auto"/>
              <w:jc w:val="center"/>
              <w:rPr>
                <w:rFonts w:eastAsia="Times New Roman" w:cs="Times New Roman"/>
                <w:color w:val="000000"/>
                <w:sz w:val="20"/>
                <w:szCs w:val="20"/>
                <w:lang w:eastAsia="es-CO"/>
              </w:rPr>
            </w:pPr>
            <w:r w:rsidRPr="00951AB1">
              <w:rPr>
                <w:rFonts w:eastAsia="Times New Roman" w:cs="Times New Roman"/>
                <w:color w:val="000000"/>
                <w:sz w:val="20"/>
                <w:szCs w:val="20"/>
                <w:lang w:eastAsia="es-CO"/>
              </w:rPr>
              <w:t>94231466</w:t>
            </w:r>
          </w:p>
        </w:tc>
        <w:tc>
          <w:tcPr>
            <w:tcW w:w="1501" w:type="pct"/>
            <w:noWrap/>
            <w:vAlign w:val="bottom"/>
            <w:hideMark/>
          </w:tcPr>
          <w:p w14:paraId="66CC6E32" w14:textId="77777777" w:rsidR="00E814BD" w:rsidRPr="00951AB1" w:rsidRDefault="00E814BD" w:rsidP="000A5389">
            <w:pPr>
              <w:spacing w:line="240" w:lineRule="auto"/>
              <w:jc w:val="center"/>
              <w:rPr>
                <w:rFonts w:eastAsia="Times New Roman" w:cs="Times New Roman"/>
                <w:color w:val="000000"/>
                <w:sz w:val="20"/>
                <w:szCs w:val="20"/>
                <w:lang w:eastAsia="es-CO"/>
              </w:rPr>
            </w:pPr>
            <w:r w:rsidRPr="00951AB1">
              <w:rPr>
                <w:rFonts w:eastAsia="Times New Roman" w:cs="Times New Roman"/>
                <w:color w:val="000000"/>
                <w:sz w:val="20"/>
                <w:szCs w:val="20"/>
                <w:lang w:eastAsia="es-CO"/>
              </w:rPr>
              <w:t xml:space="preserve">                                    29.449.718 </w:t>
            </w:r>
          </w:p>
        </w:tc>
      </w:tr>
      <w:tr w:rsidR="00E814BD" w:rsidRPr="00951AB1" w14:paraId="24A9D887" w14:textId="77777777" w:rsidTr="00684C05">
        <w:trPr>
          <w:trHeight w:val="300"/>
          <w:jc w:val="center"/>
        </w:trPr>
        <w:tc>
          <w:tcPr>
            <w:tcW w:w="769" w:type="pct"/>
            <w:noWrap/>
            <w:vAlign w:val="bottom"/>
            <w:hideMark/>
          </w:tcPr>
          <w:p w14:paraId="2FDF8401" w14:textId="77777777" w:rsidR="00E814BD" w:rsidRPr="00951AB1" w:rsidRDefault="00E814BD" w:rsidP="000A5389">
            <w:pPr>
              <w:spacing w:line="240" w:lineRule="auto"/>
              <w:jc w:val="right"/>
              <w:rPr>
                <w:rFonts w:eastAsia="Times New Roman" w:cs="Times New Roman"/>
                <w:color w:val="000000"/>
                <w:sz w:val="20"/>
                <w:szCs w:val="20"/>
                <w:lang w:eastAsia="es-CO"/>
              </w:rPr>
            </w:pPr>
            <w:r w:rsidRPr="00951AB1">
              <w:rPr>
                <w:rFonts w:eastAsia="Times New Roman" w:cs="Times New Roman"/>
                <w:color w:val="000000"/>
                <w:sz w:val="20"/>
                <w:szCs w:val="20"/>
                <w:lang w:eastAsia="es-CO"/>
              </w:rPr>
              <w:t>2237786</w:t>
            </w:r>
          </w:p>
        </w:tc>
        <w:tc>
          <w:tcPr>
            <w:tcW w:w="1832" w:type="pct"/>
            <w:noWrap/>
            <w:vAlign w:val="bottom"/>
            <w:hideMark/>
          </w:tcPr>
          <w:p w14:paraId="2CD7F720" w14:textId="77777777" w:rsidR="00E814BD" w:rsidRPr="00951AB1" w:rsidRDefault="00E814BD" w:rsidP="000A5389">
            <w:pPr>
              <w:spacing w:line="240" w:lineRule="auto"/>
              <w:rPr>
                <w:rFonts w:eastAsia="Times New Roman" w:cs="Times New Roman"/>
                <w:color w:val="000000"/>
                <w:sz w:val="20"/>
                <w:szCs w:val="20"/>
                <w:lang w:eastAsia="es-CO"/>
              </w:rPr>
            </w:pPr>
            <w:r w:rsidRPr="00951AB1">
              <w:rPr>
                <w:rFonts w:eastAsia="Times New Roman" w:cs="Times New Roman"/>
                <w:color w:val="000000"/>
                <w:sz w:val="20"/>
                <w:szCs w:val="20"/>
                <w:lang w:eastAsia="es-CO"/>
              </w:rPr>
              <w:t>76001310500320210035100</w:t>
            </w:r>
          </w:p>
        </w:tc>
        <w:tc>
          <w:tcPr>
            <w:tcW w:w="898" w:type="pct"/>
            <w:noWrap/>
            <w:vAlign w:val="bottom"/>
            <w:hideMark/>
          </w:tcPr>
          <w:p w14:paraId="74305B84" w14:textId="77777777" w:rsidR="00E814BD" w:rsidRPr="00951AB1" w:rsidRDefault="00E814BD" w:rsidP="000A5389">
            <w:pPr>
              <w:spacing w:line="240" w:lineRule="auto"/>
              <w:jc w:val="center"/>
              <w:rPr>
                <w:rFonts w:eastAsia="Times New Roman" w:cs="Times New Roman"/>
                <w:color w:val="000000"/>
                <w:sz w:val="20"/>
                <w:szCs w:val="20"/>
                <w:lang w:eastAsia="es-CO"/>
              </w:rPr>
            </w:pPr>
            <w:r w:rsidRPr="00951AB1">
              <w:rPr>
                <w:rFonts w:eastAsia="Times New Roman" w:cs="Times New Roman"/>
                <w:color w:val="000000"/>
                <w:sz w:val="20"/>
                <w:szCs w:val="20"/>
                <w:lang w:eastAsia="es-CO"/>
              </w:rPr>
              <w:t>9994843</w:t>
            </w:r>
          </w:p>
        </w:tc>
        <w:tc>
          <w:tcPr>
            <w:tcW w:w="1501" w:type="pct"/>
            <w:noWrap/>
            <w:vAlign w:val="bottom"/>
            <w:hideMark/>
          </w:tcPr>
          <w:p w14:paraId="7E33CF6F" w14:textId="77777777" w:rsidR="00E814BD" w:rsidRPr="00951AB1" w:rsidRDefault="00E814BD" w:rsidP="000A5389">
            <w:pPr>
              <w:spacing w:line="240" w:lineRule="auto"/>
              <w:jc w:val="center"/>
              <w:rPr>
                <w:rFonts w:eastAsia="Times New Roman" w:cs="Times New Roman"/>
                <w:color w:val="000000"/>
                <w:sz w:val="20"/>
                <w:szCs w:val="20"/>
                <w:lang w:eastAsia="es-CO"/>
              </w:rPr>
            </w:pPr>
            <w:r w:rsidRPr="00951AB1">
              <w:rPr>
                <w:rFonts w:eastAsia="Times New Roman" w:cs="Times New Roman"/>
                <w:color w:val="000000"/>
                <w:sz w:val="20"/>
                <w:szCs w:val="20"/>
                <w:lang w:eastAsia="es-CO"/>
              </w:rPr>
              <w:t xml:space="preserve">                                    27.552.869 </w:t>
            </w:r>
          </w:p>
        </w:tc>
      </w:tr>
      <w:tr w:rsidR="00E814BD" w:rsidRPr="00951AB1" w14:paraId="00C7D13E" w14:textId="77777777" w:rsidTr="00684C05">
        <w:trPr>
          <w:trHeight w:val="300"/>
          <w:jc w:val="center"/>
        </w:trPr>
        <w:tc>
          <w:tcPr>
            <w:tcW w:w="3499" w:type="pct"/>
            <w:gridSpan w:val="3"/>
            <w:vAlign w:val="bottom"/>
            <w:hideMark/>
          </w:tcPr>
          <w:p w14:paraId="22E4689E" w14:textId="77777777" w:rsidR="00E814BD" w:rsidRPr="00951AB1" w:rsidRDefault="00E814BD" w:rsidP="000A5389">
            <w:pPr>
              <w:spacing w:line="240" w:lineRule="auto"/>
              <w:jc w:val="center"/>
              <w:rPr>
                <w:rFonts w:eastAsia="Times New Roman" w:cs="Times New Roman"/>
                <w:b/>
                <w:bCs/>
                <w:color w:val="000000"/>
                <w:sz w:val="20"/>
                <w:szCs w:val="20"/>
                <w:lang w:eastAsia="es-CO"/>
              </w:rPr>
            </w:pPr>
            <w:r w:rsidRPr="00951AB1">
              <w:rPr>
                <w:rFonts w:eastAsia="Times New Roman" w:cs="Times New Roman"/>
                <w:b/>
                <w:bCs/>
                <w:color w:val="000000"/>
                <w:sz w:val="20"/>
                <w:szCs w:val="20"/>
                <w:lang w:eastAsia="es-CO"/>
              </w:rPr>
              <w:t>TOTALES</w:t>
            </w:r>
          </w:p>
        </w:tc>
        <w:tc>
          <w:tcPr>
            <w:tcW w:w="1501" w:type="pct"/>
            <w:noWrap/>
            <w:vAlign w:val="bottom"/>
            <w:hideMark/>
          </w:tcPr>
          <w:p w14:paraId="2F8E4A5E" w14:textId="77777777" w:rsidR="00E814BD" w:rsidRPr="00951AB1" w:rsidRDefault="00E814BD" w:rsidP="000A5389">
            <w:pPr>
              <w:spacing w:line="240" w:lineRule="auto"/>
              <w:jc w:val="center"/>
              <w:rPr>
                <w:rFonts w:eastAsia="Times New Roman" w:cs="Times New Roman"/>
                <w:b/>
                <w:bCs/>
                <w:color w:val="000000"/>
                <w:sz w:val="20"/>
                <w:szCs w:val="20"/>
                <w:lang w:eastAsia="es-CO"/>
              </w:rPr>
            </w:pPr>
            <w:r w:rsidRPr="00951AB1">
              <w:rPr>
                <w:rFonts w:eastAsia="Times New Roman" w:cs="Times New Roman"/>
                <w:b/>
                <w:bCs/>
                <w:color w:val="000000"/>
                <w:sz w:val="20"/>
                <w:szCs w:val="20"/>
                <w:lang w:eastAsia="es-CO"/>
              </w:rPr>
              <w:t xml:space="preserve">                                 343.379.560 </w:t>
            </w:r>
          </w:p>
        </w:tc>
      </w:tr>
    </w:tbl>
    <w:p w14:paraId="0CB2E9E1" w14:textId="2EBC4EB4" w:rsidR="00E814BD" w:rsidRPr="00951AB1" w:rsidRDefault="00E814BD" w:rsidP="000A5389">
      <w:pPr>
        <w:autoSpaceDE w:val="0"/>
        <w:autoSpaceDN w:val="0"/>
        <w:adjustRightInd w:val="0"/>
        <w:spacing w:line="240" w:lineRule="auto"/>
        <w:rPr>
          <w:rFonts w:cs="Times New Roman"/>
          <w:color w:val="000000"/>
          <w:szCs w:val="24"/>
        </w:rPr>
      </w:pPr>
      <w:r w:rsidRPr="2A085367">
        <w:rPr>
          <w:rFonts w:cs="Times New Roman"/>
          <w:color w:val="000000" w:themeColor="text1"/>
          <w:sz w:val="14"/>
          <w:szCs w:val="14"/>
        </w:rPr>
        <w:t xml:space="preserve">                         Cifras expresadas en pesos</w:t>
      </w:r>
    </w:p>
    <w:p w14:paraId="46C3129D" w14:textId="77777777" w:rsidR="00E814BD" w:rsidRPr="00951AB1" w:rsidRDefault="00E814BD" w:rsidP="000A5389">
      <w:pPr>
        <w:autoSpaceDE w:val="0"/>
        <w:autoSpaceDN w:val="0"/>
        <w:adjustRightInd w:val="0"/>
        <w:spacing w:line="240" w:lineRule="auto"/>
        <w:rPr>
          <w:rFonts w:cs="Times New Roman"/>
          <w:color w:val="000000"/>
          <w:szCs w:val="24"/>
        </w:rPr>
      </w:pPr>
    </w:p>
    <w:p w14:paraId="44ADE704" w14:textId="77777777" w:rsidR="00E814BD" w:rsidRPr="00951AB1" w:rsidRDefault="00E814BD" w:rsidP="000A5389">
      <w:pPr>
        <w:autoSpaceDE w:val="0"/>
        <w:autoSpaceDN w:val="0"/>
        <w:adjustRightInd w:val="0"/>
        <w:spacing w:line="240" w:lineRule="auto"/>
        <w:rPr>
          <w:rFonts w:cs="Times New Roman"/>
          <w:color w:val="000000"/>
          <w:szCs w:val="24"/>
        </w:rPr>
      </w:pPr>
      <w:r w:rsidRPr="00951AB1">
        <w:rPr>
          <w:rFonts w:cs="Times New Roman"/>
          <w:szCs w:val="24"/>
        </w:rPr>
        <w:t xml:space="preserve">Así mismo en el entendido de lo expuesto en la Resolución 080 de 2021 de la Contaduría General de la Nación </w:t>
      </w:r>
      <w:r w:rsidRPr="00951AB1">
        <w:rPr>
          <w:rFonts w:cs="Times New Roman"/>
          <w:i/>
          <w:iCs/>
          <w:szCs w:val="24"/>
        </w:rPr>
        <w:t>“</w:t>
      </w:r>
      <w:r w:rsidRPr="00951AB1">
        <w:rPr>
          <w:rFonts w:cs="Times New Roman"/>
          <w:i/>
          <w:iCs/>
          <w:color w:val="000000"/>
          <w:szCs w:val="24"/>
        </w:rPr>
        <w:t>Cuando el valor de la provisión se calcule como el valor presente de la</w:t>
      </w:r>
      <w:r w:rsidRPr="00951AB1">
        <w:rPr>
          <w:rFonts w:cs="Times New Roman"/>
          <w:i/>
          <w:iCs/>
          <w:szCs w:val="24"/>
        </w:rPr>
        <w:t xml:space="preserve"> </w:t>
      </w:r>
      <w:r w:rsidRPr="00951AB1">
        <w:rPr>
          <w:rFonts w:cs="Times New Roman"/>
          <w:i/>
          <w:iCs/>
          <w:color w:val="000000"/>
          <w:szCs w:val="24"/>
        </w:rPr>
        <w:t>obligación, como mínimo al final del periodo contable, la entidad ajustará</w:t>
      </w:r>
      <w:r w:rsidRPr="00951AB1">
        <w:rPr>
          <w:rFonts w:cs="Times New Roman"/>
          <w:i/>
          <w:iCs/>
          <w:szCs w:val="24"/>
        </w:rPr>
        <w:t xml:space="preserve"> </w:t>
      </w:r>
      <w:r w:rsidRPr="00951AB1">
        <w:rPr>
          <w:rFonts w:cs="Times New Roman"/>
          <w:i/>
          <w:iCs/>
          <w:color w:val="000000"/>
          <w:szCs w:val="24"/>
        </w:rPr>
        <w:t>financieramente el valor de la provisión aplicando la tasa de descuento que</w:t>
      </w:r>
      <w:r w:rsidRPr="00951AB1">
        <w:rPr>
          <w:rFonts w:cs="Times New Roman"/>
          <w:i/>
          <w:iCs/>
          <w:szCs w:val="24"/>
        </w:rPr>
        <w:t xml:space="preserve"> </w:t>
      </w:r>
      <w:r w:rsidRPr="00951AB1">
        <w:rPr>
          <w:rFonts w:cs="Times New Roman"/>
          <w:i/>
          <w:iCs/>
          <w:color w:val="000000"/>
          <w:szCs w:val="24"/>
        </w:rPr>
        <w:t xml:space="preserve">se utilizó para calcular el valor presente de la obligación.” </w:t>
      </w:r>
      <w:r w:rsidRPr="00951AB1">
        <w:rPr>
          <w:rFonts w:cs="Times New Roman"/>
          <w:color w:val="000000"/>
          <w:szCs w:val="24"/>
        </w:rPr>
        <w:t>se reconocieron el total de uno (01) proceso de la jurisdicción ORDINARIO LABORAL en actualización financiera a 31 de diciembre de 2025.</w:t>
      </w:r>
    </w:p>
    <w:p w14:paraId="5E845BAB" w14:textId="77777777" w:rsidR="00E814BD" w:rsidRPr="00951AB1" w:rsidRDefault="00E814BD" w:rsidP="000A5389">
      <w:pPr>
        <w:spacing w:line="240" w:lineRule="auto"/>
        <w:rPr>
          <w:rFonts w:cs="Times New Roman"/>
          <w:szCs w:val="24"/>
          <w:u w:val="single"/>
        </w:rPr>
      </w:pPr>
    </w:p>
    <w:p w14:paraId="16BD9972" w14:textId="77777777" w:rsidR="00E814BD" w:rsidRPr="00951AB1" w:rsidRDefault="00E814BD" w:rsidP="000A5389">
      <w:pPr>
        <w:spacing w:line="240" w:lineRule="auto"/>
        <w:rPr>
          <w:rFonts w:cs="Times New Roman"/>
          <w:color w:val="000000"/>
          <w:szCs w:val="24"/>
        </w:rPr>
      </w:pPr>
      <w:r w:rsidRPr="00951AB1">
        <w:rPr>
          <w:rFonts w:cs="Times New Roman"/>
          <w:color w:val="000000"/>
          <w:szCs w:val="24"/>
        </w:rPr>
        <w:t>Conforme los preceptos normativos de la Resolución CGN No. 080 del 02 de junio del 2021, en el considerando, establece:</w:t>
      </w:r>
    </w:p>
    <w:p w14:paraId="02B47A97" w14:textId="77777777" w:rsidR="00E814BD" w:rsidRPr="00951AB1" w:rsidRDefault="00E814BD" w:rsidP="000A5389">
      <w:pPr>
        <w:spacing w:line="240" w:lineRule="auto"/>
        <w:ind w:left="142" w:right="190"/>
        <w:rPr>
          <w:rFonts w:cs="Times New Roman"/>
          <w:color w:val="000000"/>
          <w:szCs w:val="24"/>
        </w:rPr>
      </w:pPr>
      <w:r w:rsidRPr="00951AB1">
        <w:rPr>
          <w:rFonts w:cs="Times New Roman"/>
          <w:color w:val="000000"/>
          <w:szCs w:val="24"/>
        </w:rPr>
        <w:t>(…)</w:t>
      </w:r>
    </w:p>
    <w:p w14:paraId="60CFB3F7" w14:textId="77777777" w:rsidR="00E814BD" w:rsidRPr="00951AB1" w:rsidRDefault="00E814BD" w:rsidP="000A5389">
      <w:pPr>
        <w:spacing w:line="240" w:lineRule="auto"/>
        <w:ind w:left="142" w:right="190"/>
        <w:rPr>
          <w:rFonts w:cs="Times New Roman"/>
          <w:szCs w:val="24"/>
        </w:rPr>
      </w:pPr>
      <w:r w:rsidRPr="00951AB1">
        <w:rPr>
          <w:rFonts w:cs="Times New Roman"/>
          <w:i/>
          <w:iCs/>
          <w:szCs w:val="24"/>
        </w:rPr>
        <w:t xml:space="preserve">“Que el inciso tercero del artículo 2.4.4.16. del Decreto 1068 de 2015 dispone que “Si la sentencia ejecutoriada determina que, entre las </w:t>
      </w:r>
      <w:r w:rsidRPr="00951AB1">
        <w:rPr>
          <w:rFonts w:cs="Times New Roman"/>
          <w:i/>
          <w:iCs/>
          <w:szCs w:val="24"/>
          <w:u w:val="single"/>
        </w:rPr>
        <w:t>Entidades Estatales condenadas al pago de obligaciones dinerarias determinadas para cada una de ellas</w:t>
      </w:r>
      <w:r w:rsidRPr="00951AB1">
        <w:rPr>
          <w:rFonts w:cs="Times New Roman"/>
          <w:i/>
          <w:iCs/>
          <w:szCs w:val="24"/>
        </w:rPr>
        <w:t xml:space="preserve">, el beneficiario pueda exigir el pago de la totalidad de las mismas a cualquiera de dichas entidades; la Entidad Estatal que realice el pago deberá obtener el reembolso de las cifras canceladas por parte de las entidades respectivas, con tal fin será obligatorio que las Entidades Estatales actúen coordinadamente, de tal manera que la Entidad Estatal que realice el pago en virtud de la solidaridad, obtenga el reembolso que le corresponda”. </w:t>
      </w:r>
      <w:r w:rsidRPr="00951AB1">
        <w:rPr>
          <w:rFonts w:cs="Times New Roman"/>
          <w:szCs w:val="24"/>
        </w:rPr>
        <w:t xml:space="preserve">(Subrayado fuera de texto) </w:t>
      </w:r>
    </w:p>
    <w:p w14:paraId="1B380505" w14:textId="77777777" w:rsidR="00E814BD" w:rsidRPr="00951AB1" w:rsidRDefault="00E814BD" w:rsidP="000A5389">
      <w:pPr>
        <w:spacing w:line="240" w:lineRule="auto"/>
        <w:rPr>
          <w:rFonts w:cs="Times New Roman"/>
          <w:szCs w:val="24"/>
        </w:rPr>
      </w:pPr>
      <w:r w:rsidRPr="00951AB1">
        <w:rPr>
          <w:rFonts w:cs="Times New Roman"/>
          <w:szCs w:val="24"/>
        </w:rPr>
        <w:t xml:space="preserve">Asimismo, en su ARTÍCULO 1º del RESUELVE, establece: </w:t>
      </w:r>
    </w:p>
    <w:p w14:paraId="4F2545B7" w14:textId="77777777" w:rsidR="00E814BD" w:rsidRPr="00951AB1" w:rsidRDefault="00E814BD" w:rsidP="000A5389">
      <w:pPr>
        <w:pStyle w:val="Default"/>
        <w:ind w:left="142" w:right="190"/>
        <w:rPr>
          <w:rFonts w:ascii="Times New Roman" w:hAnsi="Times New Roman" w:cs="Times New Roman"/>
        </w:rPr>
      </w:pPr>
      <w:r w:rsidRPr="00951AB1">
        <w:rPr>
          <w:rFonts w:ascii="Times New Roman" w:hAnsi="Times New Roman" w:cs="Times New Roman"/>
        </w:rPr>
        <w:t xml:space="preserve">(…) </w:t>
      </w:r>
    </w:p>
    <w:p w14:paraId="63F06075" w14:textId="77777777" w:rsidR="00E814BD" w:rsidRPr="00951AB1" w:rsidRDefault="00E814BD" w:rsidP="000A5389">
      <w:pPr>
        <w:spacing w:line="240" w:lineRule="auto"/>
        <w:ind w:left="142" w:right="190"/>
        <w:rPr>
          <w:rFonts w:cs="Times New Roman"/>
          <w:i/>
          <w:iCs/>
          <w:szCs w:val="24"/>
        </w:rPr>
      </w:pPr>
      <w:r w:rsidRPr="00951AB1">
        <w:rPr>
          <w:rFonts w:cs="Times New Roman"/>
          <w:i/>
          <w:iCs/>
          <w:szCs w:val="24"/>
        </w:rPr>
        <w:t xml:space="preserve">“El derecho de reembolso es el derecho legal que tiene la entidad demandada o convocada a </w:t>
      </w:r>
      <w:r w:rsidRPr="00951AB1">
        <w:rPr>
          <w:rFonts w:cs="Times New Roman"/>
          <w:i/>
          <w:iCs/>
          <w:szCs w:val="24"/>
          <w:u w:val="single"/>
        </w:rPr>
        <w:t>exigir que una entidad que no sea parte del litigio o del mecanismo alternativo de solución de conflictos</w:t>
      </w:r>
      <w:r w:rsidRPr="00951AB1">
        <w:rPr>
          <w:rFonts w:cs="Times New Roman"/>
          <w:i/>
          <w:iCs/>
          <w:szCs w:val="24"/>
        </w:rPr>
        <w:t xml:space="preserve"> le reembolse a la entidad demandada o convocada o le pague directamente al demandante o convocante una parte o la totalidad del desembolso necesario para cancelar la sentencia condenatoria ejecutoriada, laudo arbitral definitivo condenatorio o acta de conciliación extrajudicial”. </w:t>
      </w:r>
      <w:r w:rsidRPr="00951AB1">
        <w:rPr>
          <w:rFonts w:cs="Times New Roman"/>
          <w:szCs w:val="24"/>
        </w:rPr>
        <w:t>(Subrayado fuera de texto)</w:t>
      </w:r>
    </w:p>
    <w:p w14:paraId="17B166B0" w14:textId="77777777" w:rsidR="00E814BD" w:rsidRPr="00951AB1" w:rsidRDefault="00E814BD" w:rsidP="000A5389">
      <w:pPr>
        <w:spacing w:line="240" w:lineRule="auto"/>
        <w:rPr>
          <w:rFonts w:cs="Times New Roman"/>
          <w:color w:val="000000"/>
          <w:szCs w:val="24"/>
        </w:rPr>
      </w:pPr>
    </w:p>
    <w:p w14:paraId="0BBD1CEC" w14:textId="77777777" w:rsidR="00E814BD" w:rsidRPr="00951AB1" w:rsidRDefault="00E814BD" w:rsidP="000A5389">
      <w:pPr>
        <w:spacing w:line="240" w:lineRule="auto"/>
        <w:rPr>
          <w:rFonts w:cs="Times New Roman"/>
          <w:color w:val="000000"/>
          <w:szCs w:val="24"/>
        </w:rPr>
      </w:pPr>
      <w:r w:rsidRPr="00951AB1">
        <w:rPr>
          <w:rFonts w:cs="Times New Roman"/>
          <w:color w:val="000000"/>
          <w:szCs w:val="24"/>
        </w:rPr>
        <w:t>En tal sentido, la Agencia no cuenta con derechos de reembolso sobre los procesos judiciales, entre entidades estatales condenadas al pago de obligaciones dinerarias; igualmente, no tiene un derecho legal a exigir que una entidad que no sea parte del litigio reembolse una parte o la totalidad del desembolso.</w:t>
      </w:r>
    </w:p>
    <w:p w14:paraId="710B38F0" w14:textId="77777777" w:rsidR="00E814BD" w:rsidRPr="00951AB1" w:rsidRDefault="00E814BD" w:rsidP="000A5389">
      <w:pPr>
        <w:spacing w:line="240" w:lineRule="auto"/>
        <w:rPr>
          <w:rFonts w:cs="Times New Roman"/>
          <w:color w:val="000000"/>
          <w:szCs w:val="24"/>
        </w:rPr>
      </w:pPr>
    </w:p>
    <w:p w14:paraId="569439A9" w14:textId="77777777" w:rsidR="00E814BD" w:rsidRPr="00951AB1" w:rsidRDefault="00E814BD" w:rsidP="000A5389">
      <w:pPr>
        <w:spacing w:line="240" w:lineRule="auto"/>
        <w:rPr>
          <w:rFonts w:cs="Times New Roman"/>
          <w:color w:val="000000"/>
          <w:szCs w:val="24"/>
        </w:rPr>
      </w:pPr>
      <w:r w:rsidRPr="00951AB1">
        <w:rPr>
          <w:rFonts w:cs="Times New Roman"/>
          <w:color w:val="000000"/>
          <w:szCs w:val="24"/>
        </w:rPr>
        <w:t>No obstante, puede existir el cobro del porcentaje a cargo del concesionario (Privado) o de las aseguradoras, en virtud de llamamiento en garantía.</w:t>
      </w:r>
    </w:p>
    <w:p w14:paraId="0F74E695" w14:textId="77777777" w:rsidR="00E814BD" w:rsidRPr="00951AB1" w:rsidRDefault="00E814BD" w:rsidP="000A5389">
      <w:pPr>
        <w:autoSpaceDE w:val="0"/>
        <w:autoSpaceDN w:val="0"/>
        <w:adjustRightInd w:val="0"/>
        <w:spacing w:line="240" w:lineRule="auto"/>
        <w:rPr>
          <w:rFonts w:cs="Times New Roman"/>
          <w:b/>
          <w:color w:val="000000"/>
          <w:szCs w:val="24"/>
        </w:rPr>
      </w:pPr>
    </w:p>
    <w:p w14:paraId="12BEA1F9" w14:textId="5362CA70" w:rsidR="00E814BD" w:rsidRPr="00951AB1" w:rsidRDefault="00E814BD" w:rsidP="000A5389">
      <w:pPr>
        <w:spacing w:line="240" w:lineRule="auto"/>
        <w:rPr>
          <w:rFonts w:eastAsia="Times New Roman" w:cs="Times New Roman"/>
          <w:color w:val="000000"/>
          <w:lang w:eastAsia="es-CO"/>
        </w:rPr>
      </w:pPr>
      <w:r w:rsidRPr="2A085367">
        <w:rPr>
          <w:rFonts w:cs="Times New Roman"/>
          <w:b/>
          <w:bCs/>
          <w:color w:val="000000" w:themeColor="text1"/>
          <w:szCs w:val="24"/>
        </w:rPr>
        <w:t>Civiles:</w:t>
      </w:r>
      <w:r w:rsidRPr="2A085367">
        <w:rPr>
          <w:rFonts w:cs="Times New Roman"/>
          <w:color w:val="000000" w:themeColor="text1"/>
          <w:szCs w:val="24"/>
        </w:rPr>
        <w:t xml:space="preserve"> corresponden a </w:t>
      </w:r>
      <w:r w:rsidR="7B664CFF" w:rsidRPr="2A085367">
        <w:rPr>
          <w:rFonts w:cs="Times New Roman"/>
          <w:color w:val="000000" w:themeColor="text1"/>
          <w:szCs w:val="24"/>
        </w:rPr>
        <w:t>dos</w:t>
      </w:r>
      <w:r w:rsidRPr="2A085367">
        <w:rPr>
          <w:rFonts w:cs="Times New Roman"/>
          <w:color w:val="000000" w:themeColor="text1"/>
          <w:szCs w:val="24"/>
        </w:rPr>
        <w:t xml:space="preserve"> (02) procesos, los cuales fueron calificados a 31 de diciembre con riesgo de pérdida alta; los cuales corresponden a verbales, los mismos tienen pretensiones iniciales lo que arroja un valor por provisión a contabilizar $ 224.344.720</w:t>
      </w:r>
    </w:p>
    <w:p w14:paraId="365877A5" w14:textId="77777777" w:rsidR="00E814BD" w:rsidRPr="00951AB1" w:rsidRDefault="00E814BD" w:rsidP="000A5389">
      <w:pPr>
        <w:autoSpaceDE w:val="0"/>
        <w:autoSpaceDN w:val="0"/>
        <w:adjustRightInd w:val="0"/>
        <w:spacing w:line="240" w:lineRule="auto"/>
        <w:rPr>
          <w:rFonts w:cs="Times New Roman"/>
          <w:color w:val="000000"/>
          <w:szCs w:val="24"/>
        </w:rPr>
      </w:pPr>
      <w:r w:rsidRPr="00951AB1">
        <w:rPr>
          <w:rFonts w:cs="Times New Roman"/>
          <w:color w:val="000000"/>
          <w:szCs w:val="24"/>
        </w:rPr>
        <w:lastRenderedPageBreak/>
        <w:t xml:space="preserve">La principal variación en esta subcuenta tiene como causa el cambio en la calificación del riesgo realizada por los apoderados con corte 31 de diciembre de 2025 y de los procesos terminados durante el año. </w:t>
      </w:r>
    </w:p>
    <w:p w14:paraId="4BB7F115" w14:textId="77777777" w:rsidR="00E814BD" w:rsidRPr="00951AB1" w:rsidRDefault="00E814BD" w:rsidP="000A5389">
      <w:pPr>
        <w:autoSpaceDE w:val="0"/>
        <w:autoSpaceDN w:val="0"/>
        <w:adjustRightInd w:val="0"/>
        <w:spacing w:line="240" w:lineRule="auto"/>
        <w:rPr>
          <w:rFonts w:cs="Times New Roman"/>
          <w:color w:val="000000"/>
          <w:szCs w:val="24"/>
        </w:rPr>
      </w:pPr>
      <w:r w:rsidRPr="00951AB1">
        <w:rPr>
          <w:rFonts w:cs="Times New Roman"/>
          <w:color w:val="000000"/>
          <w:szCs w:val="24"/>
        </w:rPr>
        <w:t>A continuación, se detallan los procesos con objeto de contabilización.</w:t>
      </w:r>
    </w:p>
    <w:p w14:paraId="6AA89F33" w14:textId="77777777" w:rsidR="00E814BD" w:rsidRPr="00951AB1" w:rsidRDefault="00E814BD" w:rsidP="000A5389">
      <w:pPr>
        <w:autoSpaceDE w:val="0"/>
        <w:autoSpaceDN w:val="0"/>
        <w:adjustRightInd w:val="0"/>
        <w:spacing w:line="240" w:lineRule="auto"/>
        <w:rPr>
          <w:rFonts w:cs="Times New Roman"/>
          <w:color w:val="000000"/>
          <w:szCs w:val="24"/>
        </w:rPr>
      </w:pPr>
    </w:p>
    <w:tbl>
      <w:tblPr>
        <w:tblW w:w="5000" w:type="pct"/>
        <w:jc w:val="center"/>
        <w:tbl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insideH w:val="single" w:sz="2" w:space="0" w:color="A6A6A6" w:themeColor="background1" w:themeShade="A6"/>
          <w:insideV w:val="single" w:sz="2" w:space="0" w:color="A6A6A6" w:themeColor="background1" w:themeShade="A6"/>
        </w:tblBorders>
        <w:tblCellMar>
          <w:left w:w="70" w:type="dxa"/>
          <w:right w:w="70" w:type="dxa"/>
        </w:tblCellMar>
        <w:tblLook w:val="04A0" w:firstRow="1" w:lastRow="0" w:firstColumn="1" w:lastColumn="0" w:noHBand="0" w:noVBand="1"/>
      </w:tblPr>
      <w:tblGrid>
        <w:gridCol w:w="975"/>
        <w:gridCol w:w="2778"/>
        <w:gridCol w:w="2039"/>
        <w:gridCol w:w="3040"/>
      </w:tblGrid>
      <w:tr w:rsidR="00E814BD" w:rsidRPr="00951AB1" w14:paraId="07FB76B6" w14:textId="77777777" w:rsidTr="00336FA0">
        <w:trPr>
          <w:trHeight w:val="420"/>
          <w:jc w:val="center"/>
        </w:trPr>
        <w:tc>
          <w:tcPr>
            <w:tcW w:w="694" w:type="pct"/>
            <w:vAlign w:val="center"/>
            <w:hideMark/>
          </w:tcPr>
          <w:p w14:paraId="61F048EF" w14:textId="77777777" w:rsidR="00E814BD" w:rsidRPr="00951AB1" w:rsidRDefault="00E814BD" w:rsidP="000A5389">
            <w:pPr>
              <w:spacing w:line="240" w:lineRule="auto"/>
              <w:jc w:val="center"/>
              <w:rPr>
                <w:rFonts w:eastAsia="Times New Roman" w:cs="Times New Roman"/>
                <w:b/>
                <w:bCs/>
                <w:sz w:val="20"/>
                <w:szCs w:val="20"/>
                <w:lang w:eastAsia="es-CO"/>
              </w:rPr>
            </w:pPr>
            <w:r w:rsidRPr="00951AB1">
              <w:rPr>
                <w:rFonts w:eastAsia="Times New Roman" w:cs="Times New Roman"/>
                <w:b/>
                <w:bCs/>
                <w:sz w:val="20"/>
                <w:szCs w:val="20"/>
                <w:lang w:eastAsia="es-CO"/>
              </w:rPr>
              <w:t>Número Ekogui</w:t>
            </w:r>
          </w:p>
        </w:tc>
        <w:tc>
          <w:tcPr>
            <w:tcW w:w="1715" w:type="pct"/>
            <w:vAlign w:val="center"/>
            <w:hideMark/>
          </w:tcPr>
          <w:p w14:paraId="5A2AD7C2" w14:textId="77777777" w:rsidR="00E814BD" w:rsidRPr="00951AB1" w:rsidRDefault="00E814BD" w:rsidP="000A5389">
            <w:pPr>
              <w:spacing w:line="240" w:lineRule="auto"/>
              <w:jc w:val="center"/>
              <w:rPr>
                <w:rFonts w:eastAsia="Times New Roman" w:cs="Times New Roman"/>
                <w:b/>
                <w:bCs/>
                <w:sz w:val="20"/>
                <w:szCs w:val="20"/>
                <w:lang w:eastAsia="es-CO"/>
              </w:rPr>
            </w:pPr>
            <w:r w:rsidRPr="00951AB1">
              <w:rPr>
                <w:rFonts w:eastAsia="Times New Roman" w:cs="Times New Roman"/>
                <w:b/>
                <w:bCs/>
                <w:sz w:val="20"/>
                <w:szCs w:val="20"/>
                <w:lang w:eastAsia="es-CO"/>
              </w:rPr>
              <w:t>Código único del</w:t>
            </w:r>
            <w:r w:rsidRPr="00951AB1">
              <w:rPr>
                <w:rFonts w:eastAsia="Times New Roman" w:cs="Times New Roman"/>
                <w:b/>
                <w:bCs/>
                <w:sz w:val="20"/>
                <w:szCs w:val="20"/>
                <w:lang w:eastAsia="es-CO"/>
              </w:rPr>
              <w:br/>
              <w:t>proceso</w:t>
            </w:r>
          </w:p>
        </w:tc>
        <w:tc>
          <w:tcPr>
            <w:tcW w:w="1295" w:type="pct"/>
            <w:vAlign w:val="center"/>
            <w:hideMark/>
          </w:tcPr>
          <w:p w14:paraId="38A40CA3" w14:textId="77777777" w:rsidR="00E814BD" w:rsidRPr="00951AB1" w:rsidRDefault="00E814BD" w:rsidP="000A5389">
            <w:pPr>
              <w:spacing w:line="240" w:lineRule="auto"/>
              <w:jc w:val="center"/>
              <w:rPr>
                <w:rFonts w:eastAsia="Times New Roman" w:cs="Times New Roman"/>
                <w:b/>
                <w:bCs/>
                <w:sz w:val="20"/>
                <w:szCs w:val="20"/>
                <w:lang w:eastAsia="es-CO"/>
              </w:rPr>
            </w:pPr>
            <w:r w:rsidRPr="00951AB1">
              <w:rPr>
                <w:rFonts w:eastAsia="Times New Roman" w:cs="Times New Roman"/>
                <w:b/>
                <w:bCs/>
                <w:sz w:val="20"/>
                <w:szCs w:val="20"/>
                <w:lang w:eastAsia="es-CO"/>
              </w:rPr>
              <w:t>Identificación Contraparte</w:t>
            </w:r>
          </w:p>
        </w:tc>
        <w:tc>
          <w:tcPr>
            <w:tcW w:w="1295" w:type="pct"/>
            <w:noWrap/>
            <w:vAlign w:val="center"/>
            <w:hideMark/>
          </w:tcPr>
          <w:p w14:paraId="088596EB" w14:textId="77777777" w:rsidR="00E814BD" w:rsidRPr="00951AB1" w:rsidRDefault="00E814BD" w:rsidP="000A5389">
            <w:pPr>
              <w:spacing w:line="240" w:lineRule="auto"/>
              <w:jc w:val="center"/>
              <w:rPr>
                <w:rFonts w:eastAsia="Times New Roman" w:cs="Times New Roman"/>
                <w:b/>
                <w:bCs/>
                <w:sz w:val="20"/>
                <w:szCs w:val="20"/>
                <w:lang w:eastAsia="es-CO"/>
              </w:rPr>
            </w:pPr>
            <w:r w:rsidRPr="00951AB1">
              <w:rPr>
                <w:rFonts w:eastAsia="Times New Roman" w:cs="Times New Roman"/>
                <w:b/>
                <w:bCs/>
                <w:sz w:val="20"/>
                <w:szCs w:val="20"/>
                <w:lang w:eastAsia="es-CO"/>
              </w:rPr>
              <w:t>Valor</w:t>
            </w:r>
          </w:p>
        </w:tc>
      </w:tr>
      <w:tr w:rsidR="00336104" w:rsidRPr="00951AB1" w14:paraId="0D8E5B12" w14:textId="77777777" w:rsidTr="00336FA0">
        <w:trPr>
          <w:trHeight w:val="300"/>
          <w:jc w:val="center"/>
        </w:trPr>
        <w:tc>
          <w:tcPr>
            <w:tcW w:w="694" w:type="pct"/>
            <w:noWrap/>
            <w:vAlign w:val="bottom"/>
          </w:tcPr>
          <w:p w14:paraId="631721C1" w14:textId="3E663180" w:rsidR="00336104" w:rsidRPr="00951AB1" w:rsidRDefault="00336104" w:rsidP="000A5389">
            <w:pPr>
              <w:spacing w:line="240" w:lineRule="auto"/>
              <w:jc w:val="right"/>
              <w:rPr>
                <w:rFonts w:eastAsia="Times New Roman" w:cs="Times New Roman"/>
                <w:color w:val="000000"/>
                <w:sz w:val="20"/>
                <w:szCs w:val="20"/>
                <w:lang w:eastAsia="es-CO"/>
              </w:rPr>
            </w:pPr>
            <w:r w:rsidRPr="00951AB1">
              <w:rPr>
                <w:rFonts w:eastAsia="Times New Roman" w:cs="Times New Roman"/>
                <w:color w:val="000000"/>
                <w:sz w:val="20"/>
                <w:szCs w:val="20"/>
                <w:lang w:eastAsia="es-CO"/>
              </w:rPr>
              <w:t>2222571</w:t>
            </w:r>
          </w:p>
        </w:tc>
        <w:tc>
          <w:tcPr>
            <w:tcW w:w="1715" w:type="pct"/>
            <w:noWrap/>
            <w:vAlign w:val="bottom"/>
          </w:tcPr>
          <w:p w14:paraId="0976E0C7" w14:textId="7185CF1E" w:rsidR="00336104" w:rsidRPr="00951AB1" w:rsidRDefault="00336104" w:rsidP="000A5389">
            <w:pPr>
              <w:spacing w:line="240" w:lineRule="auto"/>
              <w:rPr>
                <w:rFonts w:eastAsia="Times New Roman" w:cs="Times New Roman"/>
                <w:color w:val="000000"/>
                <w:sz w:val="20"/>
                <w:szCs w:val="20"/>
                <w:lang w:eastAsia="es-CO"/>
              </w:rPr>
            </w:pPr>
            <w:r w:rsidRPr="00951AB1">
              <w:rPr>
                <w:rFonts w:eastAsia="Times New Roman" w:cs="Times New Roman"/>
                <w:color w:val="000000"/>
                <w:sz w:val="20"/>
                <w:szCs w:val="20"/>
                <w:lang w:eastAsia="es-CO"/>
              </w:rPr>
              <w:t>11001310300320140024600</w:t>
            </w:r>
          </w:p>
        </w:tc>
        <w:tc>
          <w:tcPr>
            <w:tcW w:w="1295" w:type="pct"/>
            <w:noWrap/>
            <w:vAlign w:val="bottom"/>
          </w:tcPr>
          <w:p w14:paraId="3099E8D8" w14:textId="3567A703" w:rsidR="00336104" w:rsidRPr="00951AB1" w:rsidRDefault="00336104" w:rsidP="000A5389">
            <w:pPr>
              <w:spacing w:line="240" w:lineRule="auto"/>
              <w:jc w:val="center"/>
              <w:rPr>
                <w:rFonts w:eastAsia="Times New Roman" w:cs="Times New Roman"/>
                <w:color w:val="000000"/>
                <w:sz w:val="20"/>
                <w:szCs w:val="20"/>
                <w:lang w:eastAsia="es-CO"/>
              </w:rPr>
            </w:pPr>
            <w:r w:rsidRPr="00951AB1">
              <w:rPr>
                <w:rFonts w:eastAsia="Times New Roman" w:cs="Times New Roman"/>
                <w:color w:val="000000"/>
                <w:sz w:val="20"/>
                <w:szCs w:val="20"/>
                <w:lang w:eastAsia="es-CO"/>
              </w:rPr>
              <w:t>13822009</w:t>
            </w:r>
          </w:p>
        </w:tc>
        <w:tc>
          <w:tcPr>
            <w:tcW w:w="1295" w:type="pct"/>
            <w:noWrap/>
            <w:vAlign w:val="bottom"/>
          </w:tcPr>
          <w:p w14:paraId="1B8662F0" w14:textId="19C0D735" w:rsidR="00336104" w:rsidRPr="00951AB1" w:rsidRDefault="00336104" w:rsidP="000A5389">
            <w:pPr>
              <w:spacing w:line="240" w:lineRule="auto"/>
              <w:jc w:val="right"/>
              <w:rPr>
                <w:rFonts w:eastAsia="Times New Roman" w:cs="Times New Roman"/>
                <w:color w:val="000000"/>
                <w:sz w:val="20"/>
                <w:szCs w:val="20"/>
                <w:lang w:eastAsia="es-CO"/>
              </w:rPr>
            </w:pPr>
            <w:r w:rsidRPr="00951AB1">
              <w:rPr>
                <w:rFonts w:eastAsia="Times New Roman" w:cs="Times New Roman"/>
                <w:color w:val="000000"/>
                <w:sz w:val="20"/>
                <w:szCs w:val="20"/>
                <w:lang w:eastAsia="es-CO"/>
              </w:rPr>
              <w:t xml:space="preserve">                                218.463.100</w:t>
            </w:r>
          </w:p>
        </w:tc>
      </w:tr>
      <w:tr w:rsidR="00336104" w:rsidRPr="00951AB1" w14:paraId="107FBB98" w14:textId="77777777" w:rsidTr="00336FA0">
        <w:trPr>
          <w:trHeight w:val="300"/>
          <w:jc w:val="center"/>
        </w:trPr>
        <w:tc>
          <w:tcPr>
            <w:tcW w:w="694" w:type="pct"/>
            <w:noWrap/>
            <w:vAlign w:val="bottom"/>
            <w:hideMark/>
          </w:tcPr>
          <w:p w14:paraId="5505E694" w14:textId="77777777" w:rsidR="00336104" w:rsidRPr="00951AB1" w:rsidRDefault="00336104" w:rsidP="000A5389">
            <w:pPr>
              <w:spacing w:line="240" w:lineRule="auto"/>
              <w:jc w:val="right"/>
              <w:rPr>
                <w:rFonts w:eastAsia="Times New Roman" w:cs="Times New Roman"/>
                <w:color w:val="000000"/>
                <w:sz w:val="20"/>
                <w:szCs w:val="20"/>
                <w:lang w:eastAsia="es-CO"/>
              </w:rPr>
            </w:pPr>
            <w:r w:rsidRPr="00951AB1">
              <w:rPr>
                <w:rFonts w:eastAsia="Times New Roman" w:cs="Times New Roman"/>
                <w:color w:val="000000"/>
                <w:sz w:val="20"/>
                <w:szCs w:val="20"/>
                <w:lang w:eastAsia="es-CO"/>
              </w:rPr>
              <w:t>2134670</w:t>
            </w:r>
          </w:p>
        </w:tc>
        <w:tc>
          <w:tcPr>
            <w:tcW w:w="1715" w:type="pct"/>
            <w:noWrap/>
            <w:vAlign w:val="bottom"/>
            <w:hideMark/>
          </w:tcPr>
          <w:p w14:paraId="5E6B9A06" w14:textId="77777777" w:rsidR="00336104" w:rsidRPr="00951AB1" w:rsidRDefault="00336104" w:rsidP="000A5389">
            <w:pPr>
              <w:spacing w:line="240" w:lineRule="auto"/>
              <w:rPr>
                <w:rFonts w:eastAsia="Times New Roman" w:cs="Times New Roman"/>
                <w:color w:val="000000"/>
                <w:sz w:val="20"/>
                <w:szCs w:val="20"/>
                <w:lang w:eastAsia="es-CO"/>
              </w:rPr>
            </w:pPr>
            <w:r w:rsidRPr="00951AB1">
              <w:rPr>
                <w:rFonts w:eastAsia="Times New Roman" w:cs="Times New Roman"/>
                <w:color w:val="000000"/>
                <w:sz w:val="20"/>
                <w:szCs w:val="20"/>
                <w:lang w:eastAsia="es-CO"/>
              </w:rPr>
              <w:t>54405310300120180000400</w:t>
            </w:r>
          </w:p>
        </w:tc>
        <w:tc>
          <w:tcPr>
            <w:tcW w:w="1295" w:type="pct"/>
            <w:noWrap/>
            <w:vAlign w:val="bottom"/>
            <w:hideMark/>
          </w:tcPr>
          <w:p w14:paraId="6100C559" w14:textId="77777777" w:rsidR="00336104" w:rsidRPr="00951AB1" w:rsidRDefault="00336104" w:rsidP="000A5389">
            <w:pPr>
              <w:spacing w:line="240" w:lineRule="auto"/>
              <w:jc w:val="center"/>
              <w:rPr>
                <w:rFonts w:eastAsia="Times New Roman" w:cs="Times New Roman"/>
                <w:color w:val="000000"/>
                <w:sz w:val="20"/>
                <w:szCs w:val="20"/>
                <w:lang w:eastAsia="es-CO"/>
              </w:rPr>
            </w:pPr>
            <w:r w:rsidRPr="00951AB1">
              <w:rPr>
                <w:rFonts w:eastAsia="Times New Roman" w:cs="Times New Roman"/>
                <w:color w:val="000000"/>
                <w:sz w:val="20"/>
                <w:szCs w:val="20"/>
                <w:lang w:eastAsia="es-CO"/>
              </w:rPr>
              <w:t>900305363</w:t>
            </w:r>
          </w:p>
        </w:tc>
        <w:tc>
          <w:tcPr>
            <w:tcW w:w="1295" w:type="pct"/>
            <w:noWrap/>
            <w:vAlign w:val="bottom"/>
            <w:hideMark/>
          </w:tcPr>
          <w:p w14:paraId="759FDA1F" w14:textId="6BC88B7F" w:rsidR="00336104" w:rsidRPr="00951AB1" w:rsidRDefault="00336104" w:rsidP="000A5389">
            <w:pPr>
              <w:spacing w:line="240" w:lineRule="auto"/>
              <w:jc w:val="right"/>
              <w:rPr>
                <w:rFonts w:eastAsia="Times New Roman" w:cs="Times New Roman"/>
                <w:color w:val="000000"/>
                <w:sz w:val="20"/>
                <w:szCs w:val="20"/>
                <w:lang w:eastAsia="es-CO"/>
              </w:rPr>
            </w:pPr>
            <w:r w:rsidRPr="00951AB1">
              <w:rPr>
                <w:rFonts w:eastAsia="Times New Roman" w:cs="Times New Roman"/>
                <w:color w:val="000000" w:themeColor="text1"/>
                <w:sz w:val="20"/>
                <w:szCs w:val="20"/>
                <w:lang w:eastAsia="es-CO"/>
              </w:rPr>
              <w:t xml:space="preserve">                                      </w:t>
            </w:r>
            <w:r w:rsidR="00066A31" w:rsidRPr="00951AB1">
              <w:rPr>
                <w:rFonts w:eastAsia="Times New Roman" w:cs="Times New Roman"/>
                <w:color w:val="000000" w:themeColor="text1"/>
                <w:sz w:val="20"/>
                <w:szCs w:val="20"/>
                <w:lang w:eastAsia="es-CO"/>
              </w:rPr>
              <w:t xml:space="preserve"> </w:t>
            </w:r>
            <w:r w:rsidR="04C942A2" w:rsidRPr="00951AB1">
              <w:rPr>
                <w:rFonts w:eastAsia="Times New Roman" w:cs="Times New Roman"/>
                <w:color w:val="000000" w:themeColor="text1"/>
                <w:sz w:val="20"/>
                <w:szCs w:val="20"/>
                <w:lang w:eastAsia="es-CO"/>
              </w:rPr>
              <w:t xml:space="preserve">   </w:t>
            </w:r>
            <w:r w:rsidRPr="00951AB1">
              <w:rPr>
                <w:rFonts w:eastAsia="Times New Roman" w:cs="Times New Roman"/>
                <w:color w:val="000000" w:themeColor="text1"/>
                <w:sz w:val="20"/>
                <w:szCs w:val="20"/>
                <w:lang w:eastAsia="es-CO"/>
              </w:rPr>
              <w:t xml:space="preserve">5.881.620 </w:t>
            </w:r>
          </w:p>
        </w:tc>
      </w:tr>
      <w:tr w:rsidR="00336104" w:rsidRPr="00951AB1" w14:paraId="5632B3A5" w14:textId="77777777" w:rsidTr="00336FA0">
        <w:trPr>
          <w:trHeight w:val="300"/>
          <w:jc w:val="center"/>
        </w:trPr>
        <w:tc>
          <w:tcPr>
            <w:tcW w:w="3705" w:type="pct"/>
            <w:gridSpan w:val="3"/>
            <w:noWrap/>
            <w:vAlign w:val="bottom"/>
            <w:hideMark/>
          </w:tcPr>
          <w:p w14:paraId="5DE4449C" w14:textId="77777777" w:rsidR="00336104" w:rsidRPr="00951AB1" w:rsidRDefault="00336104" w:rsidP="000A5389">
            <w:pPr>
              <w:spacing w:line="240" w:lineRule="auto"/>
              <w:jc w:val="center"/>
              <w:rPr>
                <w:rFonts w:eastAsia="Times New Roman" w:cs="Times New Roman"/>
                <w:b/>
                <w:bCs/>
                <w:color w:val="000000"/>
                <w:sz w:val="20"/>
                <w:szCs w:val="20"/>
                <w:lang w:eastAsia="es-CO"/>
              </w:rPr>
            </w:pPr>
            <w:r w:rsidRPr="00951AB1">
              <w:rPr>
                <w:rFonts w:eastAsia="Times New Roman" w:cs="Times New Roman"/>
                <w:b/>
                <w:bCs/>
                <w:color w:val="000000"/>
                <w:sz w:val="20"/>
                <w:szCs w:val="20"/>
                <w:lang w:eastAsia="es-CO"/>
              </w:rPr>
              <w:t>TOTALES</w:t>
            </w:r>
          </w:p>
        </w:tc>
        <w:tc>
          <w:tcPr>
            <w:tcW w:w="1295" w:type="pct"/>
            <w:noWrap/>
            <w:vAlign w:val="bottom"/>
            <w:hideMark/>
          </w:tcPr>
          <w:p w14:paraId="1929085E" w14:textId="599DFDF4" w:rsidR="00336104" w:rsidRPr="00951AB1" w:rsidRDefault="00336104" w:rsidP="000A5389">
            <w:pPr>
              <w:spacing w:line="240" w:lineRule="auto"/>
              <w:jc w:val="right"/>
              <w:rPr>
                <w:rFonts w:eastAsia="Times New Roman" w:cs="Times New Roman"/>
                <w:b/>
                <w:bCs/>
                <w:color w:val="000000"/>
                <w:sz w:val="20"/>
                <w:szCs w:val="20"/>
                <w:lang w:eastAsia="es-CO"/>
              </w:rPr>
            </w:pPr>
            <w:r w:rsidRPr="00951AB1">
              <w:rPr>
                <w:rFonts w:eastAsia="Times New Roman" w:cs="Times New Roman"/>
                <w:b/>
                <w:bCs/>
                <w:color w:val="000000"/>
                <w:sz w:val="20"/>
                <w:szCs w:val="20"/>
                <w:lang w:eastAsia="es-CO"/>
              </w:rPr>
              <w:t xml:space="preserve">                                224.344.720</w:t>
            </w:r>
          </w:p>
        </w:tc>
      </w:tr>
    </w:tbl>
    <w:p w14:paraId="7222B54D" w14:textId="4AB19651" w:rsidR="00E814BD" w:rsidRPr="00951AB1" w:rsidRDefault="4A01BC56" w:rsidP="000A5389">
      <w:pPr>
        <w:autoSpaceDE w:val="0"/>
        <w:autoSpaceDN w:val="0"/>
        <w:adjustRightInd w:val="0"/>
        <w:spacing w:line="240" w:lineRule="auto"/>
        <w:rPr>
          <w:rFonts w:cs="Times New Roman"/>
          <w:color w:val="000000"/>
          <w:sz w:val="14"/>
          <w:szCs w:val="14"/>
        </w:rPr>
      </w:pPr>
      <w:r w:rsidRPr="2A085367">
        <w:rPr>
          <w:rFonts w:cs="Times New Roman"/>
          <w:color w:val="000000" w:themeColor="text1"/>
          <w:sz w:val="14"/>
          <w:szCs w:val="14"/>
        </w:rPr>
        <w:t xml:space="preserve"> </w:t>
      </w:r>
      <w:r w:rsidR="00E814BD" w:rsidRPr="2A085367">
        <w:rPr>
          <w:rFonts w:cs="Times New Roman"/>
          <w:color w:val="000000" w:themeColor="text1"/>
          <w:sz w:val="14"/>
          <w:szCs w:val="14"/>
        </w:rPr>
        <w:t>Cifras expresadas en pesos</w:t>
      </w:r>
    </w:p>
    <w:p w14:paraId="6AD3CEC1" w14:textId="2296EF61" w:rsidR="2A085367" w:rsidRDefault="2A085367" w:rsidP="000A5389">
      <w:pPr>
        <w:spacing w:line="240" w:lineRule="auto"/>
        <w:rPr>
          <w:rFonts w:cs="Times New Roman"/>
          <w:szCs w:val="24"/>
        </w:rPr>
      </w:pPr>
    </w:p>
    <w:p w14:paraId="5FDC2933" w14:textId="77777777" w:rsidR="00E814BD" w:rsidRDefault="00E814BD" w:rsidP="000A5389">
      <w:pPr>
        <w:autoSpaceDE w:val="0"/>
        <w:autoSpaceDN w:val="0"/>
        <w:adjustRightInd w:val="0"/>
        <w:spacing w:line="240" w:lineRule="auto"/>
        <w:rPr>
          <w:rFonts w:cs="Times New Roman"/>
          <w:color w:val="000000"/>
          <w:szCs w:val="24"/>
        </w:rPr>
      </w:pPr>
      <w:r w:rsidRPr="00951AB1">
        <w:rPr>
          <w:rFonts w:cs="Times New Roman"/>
          <w:szCs w:val="24"/>
        </w:rPr>
        <w:t xml:space="preserve">Así mismo en el entendido de lo expuesto en la Resolución 080 de 2021 de la Contaduría General de la Nación </w:t>
      </w:r>
      <w:r w:rsidRPr="00951AB1">
        <w:rPr>
          <w:rFonts w:cs="Times New Roman"/>
          <w:i/>
          <w:iCs/>
          <w:szCs w:val="24"/>
        </w:rPr>
        <w:t>“</w:t>
      </w:r>
      <w:r w:rsidRPr="00951AB1">
        <w:rPr>
          <w:rFonts w:cs="Times New Roman"/>
          <w:i/>
          <w:iCs/>
          <w:color w:val="000000"/>
          <w:szCs w:val="24"/>
        </w:rPr>
        <w:t>Cuando el valor de la provisión se calcule como el valor presente de la</w:t>
      </w:r>
      <w:r w:rsidRPr="00951AB1">
        <w:rPr>
          <w:rFonts w:cs="Times New Roman"/>
          <w:i/>
          <w:iCs/>
          <w:szCs w:val="24"/>
        </w:rPr>
        <w:t xml:space="preserve"> </w:t>
      </w:r>
      <w:r w:rsidRPr="00951AB1">
        <w:rPr>
          <w:rFonts w:cs="Times New Roman"/>
          <w:i/>
          <w:iCs/>
          <w:color w:val="000000"/>
          <w:szCs w:val="24"/>
        </w:rPr>
        <w:t>obligación, como mínimo al final del periodo contable, la entidad ajustará</w:t>
      </w:r>
      <w:r w:rsidRPr="00951AB1">
        <w:rPr>
          <w:rFonts w:cs="Times New Roman"/>
          <w:i/>
          <w:iCs/>
          <w:szCs w:val="24"/>
        </w:rPr>
        <w:t xml:space="preserve"> </w:t>
      </w:r>
      <w:r w:rsidRPr="00951AB1">
        <w:rPr>
          <w:rFonts w:cs="Times New Roman"/>
          <w:i/>
          <w:iCs/>
          <w:color w:val="000000"/>
          <w:szCs w:val="24"/>
        </w:rPr>
        <w:t>financieramente el valor de la provisión aplicando la tasa de descuento que</w:t>
      </w:r>
      <w:r w:rsidRPr="00951AB1">
        <w:rPr>
          <w:rFonts w:cs="Times New Roman"/>
          <w:i/>
          <w:iCs/>
          <w:szCs w:val="24"/>
        </w:rPr>
        <w:t xml:space="preserve"> </w:t>
      </w:r>
      <w:r w:rsidRPr="00951AB1">
        <w:rPr>
          <w:rFonts w:cs="Times New Roman"/>
          <w:i/>
          <w:iCs/>
          <w:color w:val="000000"/>
          <w:szCs w:val="24"/>
        </w:rPr>
        <w:t xml:space="preserve">se utilizó para calcular el valor presente de la obligación.” </w:t>
      </w:r>
      <w:r w:rsidRPr="00951AB1">
        <w:rPr>
          <w:rFonts w:cs="Times New Roman"/>
          <w:color w:val="000000"/>
          <w:szCs w:val="24"/>
        </w:rPr>
        <w:t>se reconocieron el total de uno (01) proceso de la jurisdicción CIVIL en actualización financiera a 31 de diciembre de 2025.</w:t>
      </w:r>
    </w:p>
    <w:p w14:paraId="4415EA36" w14:textId="77777777" w:rsidR="00054048" w:rsidRPr="00951AB1" w:rsidRDefault="00054048" w:rsidP="000A5389">
      <w:pPr>
        <w:autoSpaceDE w:val="0"/>
        <w:autoSpaceDN w:val="0"/>
        <w:adjustRightInd w:val="0"/>
        <w:spacing w:line="240" w:lineRule="auto"/>
        <w:rPr>
          <w:rFonts w:cs="Times New Roman"/>
          <w:color w:val="000000"/>
          <w:szCs w:val="24"/>
        </w:rPr>
      </w:pPr>
    </w:p>
    <w:p w14:paraId="460B391C" w14:textId="77777777" w:rsidR="004B17B7" w:rsidRPr="00951AB1" w:rsidRDefault="004B17B7" w:rsidP="000A5389">
      <w:pPr>
        <w:spacing w:line="240" w:lineRule="auto"/>
        <w:rPr>
          <w:rFonts w:cs="Times New Roman"/>
          <w:szCs w:val="24"/>
        </w:rPr>
      </w:pPr>
    </w:p>
    <w:p w14:paraId="379AB793" w14:textId="50958F22" w:rsidR="004B17B7" w:rsidRPr="00951AB1" w:rsidRDefault="004B17B7" w:rsidP="000A5389">
      <w:pPr>
        <w:pStyle w:val="Ttulo1"/>
        <w:spacing w:line="240" w:lineRule="auto"/>
        <w:rPr>
          <w:rFonts w:cs="Times New Roman"/>
        </w:rPr>
      </w:pPr>
      <w:bookmarkStart w:id="633" w:name="_Toc191369545"/>
      <w:bookmarkStart w:id="634" w:name="_Toc191456875"/>
      <w:bookmarkStart w:id="635" w:name="_Toc191456985"/>
      <w:bookmarkStart w:id="636" w:name="_Toc191457095"/>
      <w:bookmarkStart w:id="637" w:name="_Toc191475722"/>
      <w:bookmarkStart w:id="638" w:name="_Toc191475831"/>
      <w:bookmarkStart w:id="639" w:name="_Toc191475940"/>
      <w:bookmarkStart w:id="640" w:name="_Toc191475463"/>
      <w:bookmarkStart w:id="641" w:name="_Toc191505839"/>
      <w:bookmarkStart w:id="642" w:name="_Toc222824151"/>
      <w:bookmarkStart w:id="643" w:name="_Toc222955519"/>
      <w:r w:rsidRPr="00951AB1">
        <w:rPr>
          <w:rFonts w:cs="Times New Roman"/>
        </w:rPr>
        <w:t>NOTA 2</w:t>
      </w:r>
      <w:r w:rsidR="00142E4D" w:rsidRPr="00951AB1">
        <w:rPr>
          <w:rFonts w:cs="Times New Roman"/>
        </w:rPr>
        <w:t>5</w:t>
      </w:r>
      <w:r w:rsidRPr="00951AB1">
        <w:rPr>
          <w:rFonts w:cs="Times New Roman"/>
        </w:rPr>
        <w:t>. OTROS PASIVOS</w:t>
      </w:r>
      <w:bookmarkEnd w:id="633"/>
      <w:bookmarkEnd w:id="634"/>
      <w:bookmarkEnd w:id="635"/>
      <w:bookmarkEnd w:id="636"/>
      <w:bookmarkEnd w:id="637"/>
      <w:bookmarkEnd w:id="638"/>
      <w:bookmarkEnd w:id="639"/>
      <w:bookmarkEnd w:id="640"/>
      <w:bookmarkEnd w:id="641"/>
      <w:bookmarkEnd w:id="642"/>
      <w:bookmarkEnd w:id="643"/>
    </w:p>
    <w:p w14:paraId="4581490F" w14:textId="77777777" w:rsidR="004B17B7" w:rsidRPr="00951AB1" w:rsidRDefault="004B17B7" w:rsidP="000A5389">
      <w:pPr>
        <w:spacing w:line="240" w:lineRule="auto"/>
        <w:rPr>
          <w:rFonts w:cs="Times New Roman"/>
          <w:szCs w:val="24"/>
        </w:rPr>
      </w:pPr>
    </w:p>
    <w:p w14:paraId="0BDCA94E" w14:textId="77777777" w:rsidR="004B17B7" w:rsidRPr="00951AB1" w:rsidRDefault="004B17B7" w:rsidP="000A5389">
      <w:pPr>
        <w:pStyle w:val="Ttulo2"/>
        <w:numPr>
          <w:ilvl w:val="0"/>
          <w:numId w:val="0"/>
        </w:numPr>
        <w:spacing w:line="240" w:lineRule="auto"/>
        <w:rPr>
          <w:rFonts w:cs="Times New Roman"/>
          <w:szCs w:val="22"/>
        </w:rPr>
      </w:pPr>
      <w:bookmarkStart w:id="644" w:name="_Toc191369546"/>
      <w:bookmarkStart w:id="645" w:name="_Toc191456876"/>
      <w:bookmarkStart w:id="646" w:name="_Toc191456986"/>
      <w:bookmarkStart w:id="647" w:name="_Toc191457096"/>
      <w:bookmarkStart w:id="648" w:name="_Toc191475723"/>
      <w:bookmarkStart w:id="649" w:name="_Toc191475832"/>
      <w:bookmarkStart w:id="650" w:name="_Toc191475941"/>
      <w:bookmarkStart w:id="651" w:name="_Toc191475464"/>
      <w:bookmarkStart w:id="652" w:name="_Toc191505840"/>
      <w:bookmarkStart w:id="653" w:name="_Toc222824152"/>
      <w:bookmarkStart w:id="654" w:name="_Toc222955520"/>
      <w:r w:rsidRPr="00951AB1">
        <w:rPr>
          <w:rFonts w:cs="Times New Roman"/>
          <w:szCs w:val="22"/>
        </w:rPr>
        <w:t>Composición</w:t>
      </w:r>
      <w:bookmarkEnd w:id="644"/>
      <w:bookmarkEnd w:id="645"/>
      <w:bookmarkEnd w:id="646"/>
      <w:bookmarkEnd w:id="647"/>
      <w:bookmarkEnd w:id="648"/>
      <w:bookmarkEnd w:id="649"/>
      <w:bookmarkEnd w:id="650"/>
      <w:bookmarkEnd w:id="651"/>
      <w:bookmarkEnd w:id="652"/>
      <w:bookmarkEnd w:id="653"/>
      <w:bookmarkEnd w:id="654"/>
    </w:p>
    <w:p w14:paraId="2B57DB8C" w14:textId="77777777" w:rsidR="004B17B7" w:rsidRPr="00951AB1" w:rsidRDefault="004B17B7" w:rsidP="000A5389">
      <w:pPr>
        <w:spacing w:line="240" w:lineRule="auto"/>
        <w:rPr>
          <w:rFonts w:cs="Times New Roman"/>
          <w:b/>
          <w:szCs w:val="24"/>
        </w:rPr>
      </w:pPr>
    </w:p>
    <w:p w14:paraId="7F66EFFB" w14:textId="77777777" w:rsidR="006E2A28" w:rsidRDefault="006E2A28" w:rsidP="000A5389">
      <w:pPr>
        <w:spacing w:line="240" w:lineRule="auto"/>
        <w:rPr>
          <w:rFonts w:cs="Times New Roman"/>
          <w:szCs w:val="24"/>
          <w:lang w:val="es-ES"/>
        </w:rPr>
      </w:pPr>
      <w:r w:rsidRPr="00951AB1">
        <w:rPr>
          <w:rFonts w:cs="Times New Roman"/>
          <w:szCs w:val="24"/>
          <w:lang w:val="es-ES"/>
        </w:rPr>
        <w:t>Este grupo representa las obligaciones contraídas por la Entidad derivadas de los recursos recibidos en administración y de los otros pasivos diferidos.</w:t>
      </w:r>
    </w:p>
    <w:p w14:paraId="4C0E09CE" w14:textId="77777777" w:rsidR="00336FA0" w:rsidRPr="00951AB1" w:rsidRDefault="00336FA0" w:rsidP="000A5389">
      <w:pPr>
        <w:spacing w:line="240" w:lineRule="auto"/>
        <w:rPr>
          <w:rFonts w:cs="Times New Roman"/>
          <w:szCs w:val="24"/>
          <w:lang w:val="es-ES"/>
        </w:rPr>
      </w:pPr>
    </w:p>
    <w:tbl>
      <w:tblPr>
        <w:tblW w:w="5000" w:type="pct"/>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CellMar>
          <w:left w:w="70" w:type="dxa"/>
          <w:right w:w="70" w:type="dxa"/>
        </w:tblCellMar>
        <w:tblLook w:val="04A0" w:firstRow="1" w:lastRow="0" w:firstColumn="1" w:lastColumn="0" w:noHBand="0" w:noVBand="1"/>
      </w:tblPr>
      <w:tblGrid>
        <w:gridCol w:w="592"/>
        <w:gridCol w:w="351"/>
        <w:gridCol w:w="2564"/>
        <w:gridCol w:w="1804"/>
        <w:gridCol w:w="1804"/>
        <w:gridCol w:w="1713"/>
      </w:tblGrid>
      <w:tr w:rsidR="004F72E0" w:rsidRPr="0039091F" w14:paraId="7B6230FC" w14:textId="77777777" w:rsidTr="0039091F">
        <w:trPr>
          <w:trHeight w:val="540"/>
          <w:tblHeader/>
        </w:trPr>
        <w:tc>
          <w:tcPr>
            <w:tcW w:w="1986" w:type="pct"/>
            <w:gridSpan w:val="3"/>
            <w:noWrap/>
            <w:vAlign w:val="center"/>
            <w:hideMark/>
          </w:tcPr>
          <w:p w14:paraId="677DBA31" w14:textId="77777777" w:rsidR="004F72E0" w:rsidRPr="0039091F" w:rsidRDefault="004F72E0" w:rsidP="000A5389">
            <w:pPr>
              <w:spacing w:line="240" w:lineRule="auto"/>
              <w:jc w:val="center"/>
              <w:rPr>
                <w:rFonts w:eastAsia="Times New Roman" w:cs="Times New Roman"/>
                <w:b/>
                <w:bCs/>
                <w:kern w:val="0"/>
                <w:sz w:val="18"/>
                <w:szCs w:val="18"/>
                <w:lang w:eastAsia="es-CO"/>
                <w14:ligatures w14:val="none"/>
              </w:rPr>
            </w:pPr>
            <w:r w:rsidRPr="0039091F">
              <w:rPr>
                <w:rFonts w:eastAsia="Times New Roman" w:cs="Times New Roman"/>
                <w:b/>
                <w:bCs/>
                <w:kern w:val="0"/>
                <w:sz w:val="18"/>
                <w:szCs w:val="18"/>
                <w:lang w:eastAsia="es-CO"/>
                <w14:ligatures w14:val="none"/>
              </w:rPr>
              <w:t>CONCEPTO</w:t>
            </w:r>
          </w:p>
        </w:tc>
        <w:tc>
          <w:tcPr>
            <w:tcW w:w="1022" w:type="pct"/>
            <w:vAlign w:val="center"/>
            <w:hideMark/>
          </w:tcPr>
          <w:p w14:paraId="5D5CD7AF" w14:textId="77777777" w:rsidR="004F72E0" w:rsidRPr="0039091F" w:rsidRDefault="004F72E0" w:rsidP="000A5389">
            <w:pPr>
              <w:spacing w:line="240" w:lineRule="auto"/>
              <w:jc w:val="center"/>
              <w:rPr>
                <w:rFonts w:eastAsia="Times New Roman" w:cs="Times New Roman"/>
                <w:b/>
                <w:bCs/>
                <w:kern w:val="0"/>
                <w:sz w:val="18"/>
                <w:szCs w:val="18"/>
                <w:lang w:eastAsia="es-CO"/>
                <w14:ligatures w14:val="none"/>
              </w:rPr>
            </w:pPr>
            <w:r w:rsidRPr="0039091F">
              <w:rPr>
                <w:rFonts w:eastAsia="Times New Roman" w:cs="Times New Roman"/>
                <w:b/>
                <w:bCs/>
                <w:kern w:val="0"/>
                <w:sz w:val="18"/>
                <w:szCs w:val="18"/>
                <w:lang w:eastAsia="es-CO"/>
                <w14:ligatures w14:val="none"/>
              </w:rPr>
              <w:t xml:space="preserve">2025 </w:t>
            </w:r>
          </w:p>
        </w:tc>
        <w:tc>
          <w:tcPr>
            <w:tcW w:w="1022" w:type="pct"/>
            <w:vAlign w:val="center"/>
            <w:hideMark/>
          </w:tcPr>
          <w:p w14:paraId="4DCB29B1" w14:textId="77777777" w:rsidR="004F72E0" w:rsidRPr="0039091F" w:rsidRDefault="004F72E0" w:rsidP="000A5389">
            <w:pPr>
              <w:spacing w:line="240" w:lineRule="auto"/>
              <w:jc w:val="center"/>
              <w:rPr>
                <w:rFonts w:eastAsia="Times New Roman" w:cs="Times New Roman"/>
                <w:b/>
                <w:bCs/>
                <w:kern w:val="0"/>
                <w:sz w:val="18"/>
                <w:szCs w:val="18"/>
                <w:lang w:eastAsia="es-CO"/>
                <w14:ligatures w14:val="none"/>
              </w:rPr>
            </w:pPr>
            <w:r w:rsidRPr="0039091F">
              <w:rPr>
                <w:rFonts w:eastAsia="Times New Roman" w:cs="Times New Roman"/>
                <w:b/>
                <w:bCs/>
                <w:kern w:val="0"/>
                <w:sz w:val="18"/>
                <w:szCs w:val="18"/>
                <w:lang w:eastAsia="es-CO"/>
                <w14:ligatures w14:val="none"/>
              </w:rPr>
              <w:t xml:space="preserve">2024 </w:t>
            </w:r>
          </w:p>
        </w:tc>
        <w:tc>
          <w:tcPr>
            <w:tcW w:w="971" w:type="pct"/>
            <w:vAlign w:val="center"/>
            <w:hideMark/>
          </w:tcPr>
          <w:p w14:paraId="060B5255" w14:textId="18805082" w:rsidR="004F72E0" w:rsidRPr="0039091F" w:rsidRDefault="004F72E0" w:rsidP="000A5389">
            <w:pPr>
              <w:spacing w:line="240" w:lineRule="auto"/>
              <w:jc w:val="center"/>
              <w:rPr>
                <w:rFonts w:eastAsia="Times New Roman" w:cs="Times New Roman"/>
                <w:b/>
                <w:bCs/>
                <w:kern w:val="0"/>
                <w:sz w:val="18"/>
                <w:szCs w:val="18"/>
                <w:lang w:eastAsia="es-CO"/>
                <w14:ligatures w14:val="none"/>
              </w:rPr>
            </w:pPr>
            <w:r w:rsidRPr="0039091F">
              <w:rPr>
                <w:rFonts w:eastAsia="Times New Roman" w:cs="Times New Roman"/>
                <w:b/>
                <w:bCs/>
                <w:kern w:val="0"/>
                <w:sz w:val="18"/>
                <w:szCs w:val="18"/>
                <w:lang w:eastAsia="es-CO"/>
                <w14:ligatures w14:val="none"/>
              </w:rPr>
              <w:t>VARIACIÓN</w:t>
            </w:r>
          </w:p>
        </w:tc>
      </w:tr>
      <w:tr w:rsidR="004F72E0" w:rsidRPr="0039091F" w14:paraId="1CA52B76" w14:textId="77777777" w:rsidTr="0039091F">
        <w:trPr>
          <w:trHeight w:val="270"/>
        </w:trPr>
        <w:tc>
          <w:tcPr>
            <w:tcW w:w="335" w:type="pct"/>
            <w:noWrap/>
            <w:vAlign w:val="center"/>
            <w:hideMark/>
          </w:tcPr>
          <w:p w14:paraId="00FE36E6" w14:textId="77777777" w:rsidR="004F72E0" w:rsidRPr="0039091F" w:rsidRDefault="004F72E0" w:rsidP="000A5389">
            <w:pPr>
              <w:spacing w:line="240" w:lineRule="auto"/>
              <w:rPr>
                <w:rFonts w:eastAsia="Times New Roman" w:cs="Times New Roman"/>
                <w:b/>
                <w:bCs/>
                <w:kern w:val="0"/>
                <w:sz w:val="18"/>
                <w:szCs w:val="18"/>
                <w:lang w:eastAsia="es-CO"/>
                <w14:ligatures w14:val="none"/>
              </w:rPr>
            </w:pPr>
            <w:r w:rsidRPr="0039091F">
              <w:rPr>
                <w:rFonts w:eastAsia="Times New Roman" w:cs="Times New Roman"/>
                <w:b/>
                <w:bCs/>
                <w:kern w:val="0"/>
                <w:sz w:val="18"/>
                <w:szCs w:val="18"/>
                <w:lang w:eastAsia="es-CO"/>
                <w14:ligatures w14:val="none"/>
              </w:rPr>
              <w:t>2.9</w:t>
            </w:r>
          </w:p>
        </w:tc>
        <w:tc>
          <w:tcPr>
            <w:tcW w:w="199" w:type="pct"/>
            <w:noWrap/>
            <w:vAlign w:val="center"/>
            <w:hideMark/>
          </w:tcPr>
          <w:p w14:paraId="338CD911" w14:textId="77777777" w:rsidR="004F72E0" w:rsidRPr="0039091F" w:rsidRDefault="004F72E0" w:rsidP="000A5389">
            <w:pPr>
              <w:spacing w:line="240" w:lineRule="auto"/>
              <w:jc w:val="center"/>
              <w:rPr>
                <w:rFonts w:eastAsia="Times New Roman" w:cs="Times New Roman"/>
                <w:b/>
                <w:bCs/>
                <w:kern w:val="0"/>
                <w:sz w:val="18"/>
                <w:szCs w:val="18"/>
                <w:lang w:eastAsia="es-CO"/>
                <w14:ligatures w14:val="none"/>
              </w:rPr>
            </w:pPr>
            <w:r w:rsidRPr="0039091F">
              <w:rPr>
                <w:rFonts w:eastAsia="Times New Roman" w:cs="Times New Roman"/>
                <w:b/>
                <w:bCs/>
                <w:kern w:val="0"/>
                <w:sz w:val="18"/>
                <w:szCs w:val="18"/>
                <w:lang w:eastAsia="es-CO"/>
                <w14:ligatures w14:val="none"/>
              </w:rPr>
              <w:t>Cr</w:t>
            </w:r>
          </w:p>
        </w:tc>
        <w:tc>
          <w:tcPr>
            <w:tcW w:w="1452" w:type="pct"/>
            <w:vAlign w:val="center"/>
            <w:hideMark/>
          </w:tcPr>
          <w:p w14:paraId="3D702DE7" w14:textId="77777777" w:rsidR="004F72E0" w:rsidRPr="0039091F" w:rsidRDefault="004F72E0" w:rsidP="000A5389">
            <w:pPr>
              <w:spacing w:line="240" w:lineRule="auto"/>
              <w:rPr>
                <w:rFonts w:eastAsia="Times New Roman" w:cs="Times New Roman"/>
                <w:b/>
                <w:bCs/>
                <w:kern w:val="0"/>
                <w:sz w:val="18"/>
                <w:szCs w:val="18"/>
                <w:lang w:eastAsia="es-CO"/>
                <w14:ligatures w14:val="none"/>
              </w:rPr>
            </w:pPr>
            <w:r w:rsidRPr="0039091F">
              <w:rPr>
                <w:rFonts w:eastAsia="Times New Roman" w:cs="Times New Roman"/>
                <w:b/>
                <w:bCs/>
                <w:kern w:val="0"/>
                <w:sz w:val="18"/>
                <w:szCs w:val="18"/>
                <w:lang w:eastAsia="es-CO"/>
                <w14:ligatures w14:val="none"/>
              </w:rPr>
              <w:t>OTROS PASIVOS</w:t>
            </w:r>
          </w:p>
        </w:tc>
        <w:tc>
          <w:tcPr>
            <w:tcW w:w="1022" w:type="pct"/>
            <w:noWrap/>
            <w:vAlign w:val="center"/>
            <w:hideMark/>
          </w:tcPr>
          <w:p w14:paraId="139DDC43" w14:textId="292195D2" w:rsidR="004F72E0" w:rsidRPr="0039091F" w:rsidRDefault="004F72E0" w:rsidP="000A5389">
            <w:pPr>
              <w:spacing w:line="240" w:lineRule="auto"/>
              <w:jc w:val="right"/>
              <w:rPr>
                <w:rFonts w:eastAsia="Times New Roman" w:cs="Times New Roman"/>
                <w:b/>
                <w:bCs/>
                <w:kern w:val="0"/>
                <w:sz w:val="18"/>
                <w:szCs w:val="18"/>
                <w:lang w:eastAsia="es-CO"/>
                <w14:ligatures w14:val="none"/>
              </w:rPr>
            </w:pPr>
            <w:r w:rsidRPr="0039091F">
              <w:rPr>
                <w:rFonts w:eastAsia="Times New Roman" w:cs="Times New Roman"/>
                <w:b/>
                <w:bCs/>
                <w:kern w:val="0"/>
                <w:sz w:val="18"/>
                <w:szCs w:val="18"/>
                <w:lang w:eastAsia="es-CO"/>
                <w14:ligatures w14:val="none"/>
              </w:rPr>
              <w:t>29.824.834.756.820</w:t>
            </w:r>
          </w:p>
        </w:tc>
        <w:tc>
          <w:tcPr>
            <w:tcW w:w="1022" w:type="pct"/>
            <w:noWrap/>
            <w:vAlign w:val="center"/>
            <w:hideMark/>
          </w:tcPr>
          <w:p w14:paraId="2A17B056" w14:textId="7C3AE875" w:rsidR="004F72E0" w:rsidRPr="0039091F" w:rsidRDefault="004F72E0" w:rsidP="000A5389">
            <w:pPr>
              <w:spacing w:line="240" w:lineRule="auto"/>
              <w:jc w:val="right"/>
              <w:rPr>
                <w:rFonts w:eastAsia="Times New Roman" w:cs="Times New Roman"/>
                <w:b/>
                <w:bCs/>
                <w:kern w:val="0"/>
                <w:sz w:val="18"/>
                <w:szCs w:val="18"/>
                <w:lang w:eastAsia="es-CO"/>
                <w14:ligatures w14:val="none"/>
              </w:rPr>
            </w:pPr>
            <w:r w:rsidRPr="0039091F">
              <w:rPr>
                <w:rFonts w:eastAsia="Times New Roman" w:cs="Times New Roman"/>
                <w:b/>
                <w:bCs/>
                <w:kern w:val="0"/>
                <w:sz w:val="18"/>
                <w:szCs w:val="18"/>
                <w:lang w:eastAsia="es-CO"/>
                <w14:ligatures w14:val="none"/>
              </w:rPr>
              <w:t>27.526.508.320.615</w:t>
            </w:r>
          </w:p>
        </w:tc>
        <w:tc>
          <w:tcPr>
            <w:tcW w:w="971" w:type="pct"/>
            <w:noWrap/>
            <w:vAlign w:val="center"/>
            <w:hideMark/>
          </w:tcPr>
          <w:p w14:paraId="69D49D58" w14:textId="60714772" w:rsidR="004F72E0" w:rsidRPr="0039091F" w:rsidRDefault="004F72E0" w:rsidP="000A5389">
            <w:pPr>
              <w:spacing w:line="240" w:lineRule="auto"/>
              <w:jc w:val="right"/>
              <w:rPr>
                <w:rFonts w:eastAsia="Times New Roman" w:cs="Times New Roman"/>
                <w:b/>
                <w:bCs/>
                <w:kern w:val="0"/>
                <w:sz w:val="18"/>
                <w:szCs w:val="18"/>
                <w:lang w:eastAsia="es-CO"/>
                <w14:ligatures w14:val="none"/>
              </w:rPr>
            </w:pPr>
            <w:r w:rsidRPr="0039091F">
              <w:rPr>
                <w:rFonts w:eastAsia="Times New Roman" w:cs="Times New Roman"/>
                <w:b/>
                <w:bCs/>
                <w:kern w:val="0"/>
                <w:sz w:val="18"/>
                <w:szCs w:val="18"/>
                <w:lang w:eastAsia="es-CO"/>
                <w14:ligatures w14:val="none"/>
              </w:rPr>
              <w:t>2.298.326.436.205</w:t>
            </w:r>
          </w:p>
        </w:tc>
      </w:tr>
      <w:tr w:rsidR="004F72E0" w:rsidRPr="0039091F" w14:paraId="02A486A7" w14:textId="77777777" w:rsidTr="0039091F">
        <w:trPr>
          <w:trHeight w:val="270"/>
        </w:trPr>
        <w:tc>
          <w:tcPr>
            <w:tcW w:w="335" w:type="pct"/>
            <w:noWrap/>
            <w:vAlign w:val="center"/>
          </w:tcPr>
          <w:p w14:paraId="7888CBDA" w14:textId="05A615B5" w:rsidR="004F72E0" w:rsidRPr="0039091F" w:rsidRDefault="004F72E0" w:rsidP="000A5389">
            <w:pPr>
              <w:spacing w:line="240" w:lineRule="auto"/>
              <w:rPr>
                <w:rFonts w:eastAsia="Times New Roman" w:cs="Times New Roman"/>
                <w:b/>
                <w:bCs/>
                <w:kern w:val="0"/>
                <w:sz w:val="18"/>
                <w:szCs w:val="18"/>
                <w:lang w:eastAsia="es-CO"/>
                <w14:ligatures w14:val="none"/>
              </w:rPr>
            </w:pPr>
            <w:r w:rsidRPr="0039091F">
              <w:rPr>
                <w:rFonts w:eastAsia="Times New Roman" w:cs="Times New Roman"/>
                <w:kern w:val="0"/>
                <w:sz w:val="18"/>
                <w:szCs w:val="18"/>
                <w:lang w:eastAsia="es-CO"/>
                <w14:ligatures w14:val="none"/>
              </w:rPr>
              <w:t>2.9.90</w:t>
            </w:r>
          </w:p>
        </w:tc>
        <w:tc>
          <w:tcPr>
            <w:tcW w:w="199" w:type="pct"/>
            <w:noWrap/>
            <w:vAlign w:val="center"/>
          </w:tcPr>
          <w:p w14:paraId="33015F4F" w14:textId="4F9B6E9C" w:rsidR="004F72E0" w:rsidRPr="0039091F" w:rsidRDefault="004F72E0" w:rsidP="000A5389">
            <w:pPr>
              <w:spacing w:line="240" w:lineRule="auto"/>
              <w:jc w:val="center"/>
              <w:rPr>
                <w:rFonts w:eastAsia="Times New Roman" w:cs="Times New Roman"/>
                <w:b/>
                <w:bCs/>
                <w:kern w:val="0"/>
                <w:sz w:val="18"/>
                <w:szCs w:val="18"/>
                <w:lang w:eastAsia="es-CO"/>
                <w14:ligatures w14:val="none"/>
              </w:rPr>
            </w:pPr>
            <w:r w:rsidRPr="0039091F">
              <w:rPr>
                <w:rFonts w:eastAsia="Times New Roman" w:cs="Times New Roman"/>
                <w:kern w:val="0"/>
                <w:sz w:val="18"/>
                <w:szCs w:val="18"/>
                <w:lang w:eastAsia="es-CO"/>
                <w14:ligatures w14:val="none"/>
              </w:rPr>
              <w:t>Cr</w:t>
            </w:r>
          </w:p>
        </w:tc>
        <w:tc>
          <w:tcPr>
            <w:tcW w:w="1452" w:type="pct"/>
            <w:vAlign w:val="center"/>
          </w:tcPr>
          <w:p w14:paraId="56B22FF1" w14:textId="18EF36CF" w:rsidR="004F72E0" w:rsidRPr="0039091F" w:rsidRDefault="004F72E0" w:rsidP="000A5389">
            <w:pPr>
              <w:spacing w:line="240" w:lineRule="auto"/>
              <w:rPr>
                <w:rFonts w:eastAsia="Times New Roman" w:cs="Times New Roman"/>
                <w:b/>
                <w:bCs/>
                <w:kern w:val="0"/>
                <w:sz w:val="18"/>
                <w:szCs w:val="18"/>
                <w:lang w:eastAsia="es-CO"/>
                <w14:ligatures w14:val="none"/>
              </w:rPr>
            </w:pPr>
            <w:r w:rsidRPr="0039091F">
              <w:rPr>
                <w:rFonts w:eastAsia="Times New Roman" w:cs="Times New Roman"/>
                <w:kern w:val="0"/>
                <w:sz w:val="18"/>
                <w:szCs w:val="18"/>
                <w:lang w:eastAsia="es-CO"/>
                <w14:ligatures w14:val="none"/>
              </w:rPr>
              <w:t xml:space="preserve">Otros pasivos </w:t>
            </w:r>
          </w:p>
        </w:tc>
        <w:tc>
          <w:tcPr>
            <w:tcW w:w="1022" w:type="pct"/>
            <w:noWrap/>
            <w:vAlign w:val="center"/>
          </w:tcPr>
          <w:p w14:paraId="0CE60D04" w14:textId="2C165866" w:rsidR="004F72E0" w:rsidRPr="0039091F" w:rsidRDefault="004F72E0" w:rsidP="000A5389">
            <w:pPr>
              <w:spacing w:line="240" w:lineRule="auto"/>
              <w:jc w:val="right"/>
              <w:rPr>
                <w:rFonts w:eastAsia="Times New Roman" w:cs="Times New Roman"/>
                <w:b/>
                <w:bCs/>
                <w:kern w:val="0"/>
                <w:sz w:val="18"/>
                <w:szCs w:val="18"/>
                <w:lang w:eastAsia="es-CO"/>
                <w14:ligatures w14:val="none"/>
              </w:rPr>
            </w:pPr>
            <w:r w:rsidRPr="0039091F">
              <w:rPr>
                <w:rFonts w:eastAsia="Times New Roman" w:cs="Times New Roman"/>
                <w:kern w:val="0"/>
                <w:sz w:val="18"/>
                <w:szCs w:val="18"/>
                <w:lang w:eastAsia="es-CO"/>
                <w14:ligatures w14:val="none"/>
              </w:rPr>
              <w:t>29.806.941.958.191</w:t>
            </w:r>
          </w:p>
        </w:tc>
        <w:tc>
          <w:tcPr>
            <w:tcW w:w="1022" w:type="pct"/>
            <w:noWrap/>
            <w:vAlign w:val="bottom"/>
          </w:tcPr>
          <w:p w14:paraId="708E0B79" w14:textId="704A198B" w:rsidR="004F72E0" w:rsidRPr="0039091F" w:rsidRDefault="004F72E0" w:rsidP="000A5389">
            <w:pPr>
              <w:spacing w:line="240" w:lineRule="auto"/>
              <w:jc w:val="right"/>
              <w:rPr>
                <w:rFonts w:eastAsia="Times New Roman" w:cs="Times New Roman"/>
                <w:b/>
                <w:bCs/>
                <w:kern w:val="0"/>
                <w:sz w:val="18"/>
                <w:szCs w:val="18"/>
                <w:lang w:eastAsia="es-CO"/>
                <w14:ligatures w14:val="none"/>
              </w:rPr>
            </w:pPr>
            <w:r w:rsidRPr="0039091F">
              <w:rPr>
                <w:rFonts w:eastAsia="Times New Roman" w:cs="Times New Roman"/>
                <w:kern w:val="0"/>
                <w:sz w:val="18"/>
                <w:szCs w:val="18"/>
                <w:lang w:eastAsia="es-CO"/>
                <w14:ligatures w14:val="none"/>
              </w:rPr>
              <w:t>27.508.615.521.986</w:t>
            </w:r>
          </w:p>
        </w:tc>
        <w:tc>
          <w:tcPr>
            <w:tcW w:w="971" w:type="pct"/>
            <w:noWrap/>
            <w:vAlign w:val="center"/>
          </w:tcPr>
          <w:p w14:paraId="145B0391" w14:textId="5714DAB9" w:rsidR="004F72E0" w:rsidRPr="0039091F" w:rsidRDefault="004F72E0" w:rsidP="000A5389">
            <w:pPr>
              <w:spacing w:line="240" w:lineRule="auto"/>
              <w:jc w:val="right"/>
              <w:rPr>
                <w:rFonts w:eastAsia="Times New Roman" w:cs="Times New Roman"/>
                <w:b/>
                <w:bCs/>
                <w:kern w:val="0"/>
                <w:sz w:val="18"/>
                <w:szCs w:val="18"/>
                <w:lang w:eastAsia="es-CO"/>
                <w14:ligatures w14:val="none"/>
              </w:rPr>
            </w:pPr>
            <w:r w:rsidRPr="0039091F">
              <w:rPr>
                <w:rFonts w:eastAsia="Times New Roman" w:cs="Times New Roman"/>
                <w:kern w:val="0"/>
                <w:sz w:val="18"/>
                <w:szCs w:val="18"/>
                <w:lang w:eastAsia="es-CO"/>
                <w14:ligatures w14:val="none"/>
              </w:rPr>
              <w:t>2.298.326.436.205</w:t>
            </w:r>
          </w:p>
        </w:tc>
      </w:tr>
      <w:tr w:rsidR="004F72E0" w:rsidRPr="0039091F" w14:paraId="2D3A255E" w14:textId="77777777" w:rsidTr="0039091F">
        <w:trPr>
          <w:trHeight w:val="278"/>
        </w:trPr>
        <w:tc>
          <w:tcPr>
            <w:tcW w:w="335" w:type="pct"/>
            <w:noWrap/>
            <w:vAlign w:val="center"/>
            <w:hideMark/>
          </w:tcPr>
          <w:p w14:paraId="07811654" w14:textId="5A0C62AC" w:rsidR="004F72E0" w:rsidRPr="0039091F" w:rsidRDefault="004F72E0" w:rsidP="000A5389">
            <w:pPr>
              <w:spacing w:line="240" w:lineRule="auto"/>
              <w:rPr>
                <w:rFonts w:eastAsia="Times New Roman" w:cs="Times New Roman"/>
                <w:kern w:val="0"/>
                <w:sz w:val="18"/>
                <w:szCs w:val="18"/>
                <w:lang w:eastAsia="es-CO"/>
                <w14:ligatures w14:val="none"/>
              </w:rPr>
            </w:pPr>
            <w:r w:rsidRPr="0039091F">
              <w:rPr>
                <w:rFonts w:eastAsia="Times New Roman" w:cs="Times New Roman"/>
                <w:kern w:val="0"/>
                <w:sz w:val="18"/>
                <w:szCs w:val="18"/>
                <w:lang w:eastAsia="es-CO"/>
                <w14:ligatures w14:val="none"/>
              </w:rPr>
              <w:t>2.9.</w:t>
            </w:r>
            <w:r w:rsidR="4FE568F6" w:rsidRPr="0039091F">
              <w:rPr>
                <w:rFonts w:eastAsia="Times New Roman" w:cs="Times New Roman"/>
                <w:kern w:val="0"/>
                <w:sz w:val="18"/>
                <w:szCs w:val="18"/>
                <w:lang w:eastAsia="es-CO"/>
                <w14:ligatures w14:val="none"/>
              </w:rPr>
              <w:t>0</w:t>
            </w:r>
            <w:r w:rsidR="0A1681EC" w:rsidRPr="0039091F">
              <w:rPr>
                <w:rFonts w:eastAsia="Times New Roman" w:cs="Times New Roman"/>
                <w:kern w:val="0"/>
                <w:sz w:val="18"/>
                <w:szCs w:val="18"/>
                <w:lang w:eastAsia="es-CO"/>
                <w14:ligatures w14:val="none"/>
              </w:rPr>
              <w:t>2</w:t>
            </w:r>
          </w:p>
        </w:tc>
        <w:tc>
          <w:tcPr>
            <w:tcW w:w="199" w:type="pct"/>
            <w:noWrap/>
            <w:vAlign w:val="center"/>
            <w:hideMark/>
          </w:tcPr>
          <w:p w14:paraId="7E423A6D" w14:textId="77777777" w:rsidR="004F72E0" w:rsidRPr="0039091F" w:rsidRDefault="004F72E0" w:rsidP="000A5389">
            <w:pPr>
              <w:spacing w:line="240" w:lineRule="auto"/>
              <w:jc w:val="center"/>
              <w:rPr>
                <w:rFonts w:eastAsia="Times New Roman" w:cs="Times New Roman"/>
                <w:kern w:val="0"/>
                <w:sz w:val="18"/>
                <w:szCs w:val="18"/>
                <w:lang w:eastAsia="es-CO"/>
                <w14:ligatures w14:val="none"/>
              </w:rPr>
            </w:pPr>
            <w:r w:rsidRPr="0039091F">
              <w:rPr>
                <w:rFonts w:eastAsia="Times New Roman" w:cs="Times New Roman"/>
                <w:kern w:val="0"/>
                <w:sz w:val="18"/>
                <w:szCs w:val="18"/>
                <w:lang w:eastAsia="es-CO"/>
                <w14:ligatures w14:val="none"/>
              </w:rPr>
              <w:t>Cr</w:t>
            </w:r>
          </w:p>
        </w:tc>
        <w:tc>
          <w:tcPr>
            <w:tcW w:w="1452" w:type="pct"/>
            <w:vAlign w:val="center"/>
            <w:hideMark/>
          </w:tcPr>
          <w:p w14:paraId="4DC8645A" w14:textId="77777777" w:rsidR="004F72E0" w:rsidRPr="0039091F" w:rsidRDefault="004F72E0" w:rsidP="000A5389">
            <w:pPr>
              <w:spacing w:line="240" w:lineRule="auto"/>
              <w:rPr>
                <w:rFonts w:eastAsia="Times New Roman" w:cs="Times New Roman"/>
                <w:kern w:val="0"/>
                <w:sz w:val="18"/>
                <w:szCs w:val="18"/>
                <w:lang w:eastAsia="es-CO"/>
                <w14:ligatures w14:val="none"/>
              </w:rPr>
            </w:pPr>
            <w:r w:rsidRPr="0039091F">
              <w:rPr>
                <w:rFonts w:eastAsia="Times New Roman" w:cs="Times New Roman"/>
                <w:kern w:val="0"/>
                <w:sz w:val="18"/>
                <w:szCs w:val="18"/>
                <w:lang w:eastAsia="es-CO"/>
                <w14:ligatures w14:val="none"/>
              </w:rPr>
              <w:t>Avances y anticipos recibidos</w:t>
            </w:r>
          </w:p>
        </w:tc>
        <w:tc>
          <w:tcPr>
            <w:tcW w:w="1022" w:type="pct"/>
            <w:noWrap/>
            <w:vAlign w:val="bottom"/>
            <w:hideMark/>
          </w:tcPr>
          <w:p w14:paraId="1BBEBB2C" w14:textId="77777777" w:rsidR="004F72E0" w:rsidRPr="0039091F" w:rsidRDefault="004F72E0" w:rsidP="000A5389">
            <w:pPr>
              <w:spacing w:line="240" w:lineRule="auto"/>
              <w:jc w:val="right"/>
              <w:rPr>
                <w:rFonts w:eastAsia="Times New Roman" w:cs="Times New Roman"/>
                <w:kern w:val="0"/>
                <w:sz w:val="18"/>
                <w:szCs w:val="18"/>
                <w:lang w:eastAsia="es-CO"/>
                <w14:ligatures w14:val="none"/>
              </w:rPr>
            </w:pPr>
            <w:r w:rsidRPr="0039091F">
              <w:rPr>
                <w:rFonts w:eastAsia="Times New Roman" w:cs="Times New Roman"/>
                <w:kern w:val="0"/>
                <w:sz w:val="18"/>
                <w:szCs w:val="18"/>
                <w:lang w:eastAsia="es-CO"/>
                <w14:ligatures w14:val="none"/>
              </w:rPr>
              <w:t>17.892.798.629</w:t>
            </w:r>
          </w:p>
        </w:tc>
        <w:tc>
          <w:tcPr>
            <w:tcW w:w="1022" w:type="pct"/>
            <w:noWrap/>
            <w:vAlign w:val="bottom"/>
            <w:hideMark/>
          </w:tcPr>
          <w:p w14:paraId="7F1F3EBA" w14:textId="77777777" w:rsidR="004F72E0" w:rsidRPr="0039091F" w:rsidRDefault="004F72E0" w:rsidP="000A5389">
            <w:pPr>
              <w:spacing w:line="240" w:lineRule="auto"/>
              <w:jc w:val="right"/>
              <w:rPr>
                <w:rFonts w:eastAsia="Times New Roman" w:cs="Times New Roman"/>
                <w:kern w:val="0"/>
                <w:sz w:val="18"/>
                <w:szCs w:val="18"/>
                <w:lang w:eastAsia="es-CO"/>
                <w14:ligatures w14:val="none"/>
              </w:rPr>
            </w:pPr>
            <w:r w:rsidRPr="0039091F">
              <w:rPr>
                <w:rFonts w:eastAsia="Times New Roman" w:cs="Times New Roman"/>
                <w:kern w:val="0"/>
                <w:sz w:val="18"/>
                <w:szCs w:val="18"/>
                <w:lang w:eastAsia="es-CO"/>
                <w14:ligatures w14:val="none"/>
              </w:rPr>
              <w:t>17.892.798.629</w:t>
            </w:r>
          </w:p>
        </w:tc>
        <w:tc>
          <w:tcPr>
            <w:tcW w:w="971" w:type="pct"/>
            <w:noWrap/>
            <w:vAlign w:val="center"/>
            <w:hideMark/>
          </w:tcPr>
          <w:p w14:paraId="6CB66B2A" w14:textId="77777777" w:rsidR="004F72E0" w:rsidRPr="0039091F" w:rsidRDefault="004F72E0" w:rsidP="000A5389">
            <w:pPr>
              <w:spacing w:line="240" w:lineRule="auto"/>
              <w:jc w:val="right"/>
              <w:rPr>
                <w:rFonts w:eastAsia="Times New Roman" w:cs="Times New Roman"/>
                <w:kern w:val="0"/>
                <w:sz w:val="18"/>
                <w:szCs w:val="18"/>
                <w:lang w:eastAsia="es-CO"/>
                <w14:ligatures w14:val="none"/>
              </w:rPr>
            </w:pPr>
            <w:r w:rsidRPr="0039091F">
              <w:rPr>
                <w:rFonts w:eastAsia="Times New Roman" w:cs="Times New Roman"/>
                <w:kern w:val="0"/>
                <w:sz w:val="18"/>
                <w:szCs w:val="18"/>
                <w:lang w:eastAsia="es-CO"/>
                <w14:ligatures w14:val="none"/>
              </w:rPr>
              <w:t>0,00</w:t>
            </w:r>
          </w:p>
        </w:tc>
      </w:tr>
    </w:tbl>
    <w:p w14:paraId="028BBE2B" w14:textId="23D5B1B2" w:rsidR="004B17B7" w:rsidRPr="00951AB1" w:rsidRDefault="000D22A3" w:rsidP="000A5389">
      <w:pPr>
        <w:spacing w:line="240" w:lineRule="auto"/>
        <w:rPr>
          <w:rFonts w:cs="Times New Roman"/>
        </w:rPr>
      </w:pPr>
      <w:r w:rsidRPr="00951AB1">
        <w:rPr>
          <w:rFonts w:cs="Times New Roman"/>
          <w:color w:val="000000" w:themeColor="text1"/>
          <w:sz w:val="14"/>
          <w:szCs w:val="14"/>
        </w:rPr>
        <w:t>Cifras expresadas en  pesos</w:t>
      </w:r>
    </w:p>
    <w:p w14:paraId="6C97E8F1" w14:textId="77777777" w:rsidR="00DF7A74" w:rsidRPr="00951AB1" w:rsidRDefault="00DF7A74" w:rsidP="000A5389">
      <w:pPr>
        <w:spacing w:line="240" w:lineRule="auto"/>
        <w:rPr>
          <w:rFonts w:cs="Times New Roman"/>
          <w:szCs w:val="24"/>
        </w:rPr>
      </w:pPr>
    </w:p>
    <w:p w14:paraId="1AD065D5" w14:textId="59B6E2E2" w:rsidR="00DF7A74" w:rsidRPr="00951AB1" w:rsidRDefault="00142E4D" w:rsidP="000A5389">
      <w:pPr>
        <w:pStyle w:val="Ttulo2"/>
        <w:numPr>
          <w:ilvl w:val="1"/>
          <w:numId w:val="55"/>
        </w:numPr>
        <w:spacing w:line="240" w:lineRule="auto"/>
        <w:rPr>
          <w:rFonts w:cs="Times New Roman"/>
          <w:szCs w:val="24"/>
        </w:rPr>
      </w:pPr>
      <w:bookmarkStart w:id="655" w:name="_Toc191369547"/>
      <w:bookmarkStart w:id="656" w:name="_Toc191456877"/>
      <w:bookmarkStart w:id="657" w:name="_Toc191456987"/>
      <w:bookmarkStart w:id="658" w:name="_Toc191457097"/>
      <w:bookmarkStart w:id="659" w:name="_Toc191475724"/>
      <w:bookmarkStart w:id="660" w:name="_Toc191475833"/>
      <w:bookmarkStart w:id="661" w:name="_Toc191475942"/>
      <w:bookmarkStart w:id="662" w:name="_Toc191475465"/>
      <w:bookmarkStart w:id="663" w:name="_Toc191505841"/>
      <w:bookmarkStart w:id="664" w:name="_Toc222824153"/>
      <w:r w:rsidRPr="00951AB1">
        <w:rPr>
          <w:rFonts w:cs="Times New Roman"/>
          <w:szCs w:val="24"/>
        </w:rPr>
        <w:t xml:space="preserve"> </w:t>
      </w:r>
      <w:r w:rsidRPr="00951AB1">
        <w:rPr>
          <w:rFonts w:cs="Times New Roman"/>
          <w:szCs w:val="24"/>
        </w:rPr>
        <w:tab/>
      </w:r>
      <w:bookmarkStart w:id="665" w:name="_Toc222955521"/>
      <w:r w:rsidR="00DF7A74" w:rsidRPr="00951AB1">
        <w:rPr>
          <w:rFonts w:cs="Times New Roman"/>
          <w:szCs w:val="24"/>
        </w:rPr>
        <w:t>Desglose subcuentas otros.</w:t>
      </w:r>
      <w:bookmarkEnd w:id="655"/>
      <w:bookmarkEnd w:id="656"/>
      <w:bookmarkEnd w:id="657"/>
      <w:bookmarkEnd w:id="658"/>
      <w:bookmarkEnd w:id="659"/>
      <w:bookmarkEnd w:id="660"/>
      <w:bookmarkEnd w:id="661"/>
      <w:bookmarkEnd w:id="662"/>
      <w:bookmarkEnd w:id="663"/>
      <w:bookmarkEnd w:id="664"/>
      <w:bookmarkEnd w:id="665"/>
    </w:p>
    <w:p w14:paraId="76CECD8A" w14:textId="77777777" w:rsidR="00ED6AB1" w:rsidRPr="00951AB1" w:rsidRDefault="00ED6AB1" w:rsidP="000A5389">
      <w:pPr>
        <w:spacing w:line="240" w:lineRule="auto"/>
        <w:rPr>
          <w:rFonts w:cs="Times New Roman"/>
        </w:rPr>
      </w:pPr>
    </w:p>
    <w:p w14:paraId="0E750089" w14:textId="77777777" w:rsidR="00ED6AB1" w:rsidRPr="00951AB1" w:rsidRDefault="00ED6AB1" w:rsidP="000A5389">
      <w:pPr>
        <w:spacing w:line="240" w:lineRule="auto"/>
        <w:rPr>
          <w:rFonts w:cs="Times New Roman"/>
          <w:szCs w:val="24"/>
        </w:rPr>
      </w:pPr>
      <w:r w:rsidRPr="00951AB1">
        <w:rPr>
          <w:rFonts w:cs="Times New Roman"/>
          <w:szCs w:val="24"/>
        </w:rPr>
        <w:t>A continuación, se detalla la composición del saldo de la subcuenta Otros Pasivos Diferidos, discriminada por modo de transporte, comparando la vigencia 2025 frente a la vigencia 2024:</w:t>
      </w:r>
    </w:p>
    <w:p w14:paraId="712F37B9" w14:textId="77777777" w:rsidR="00A83C5E" w:rsidRPr="00951AB1" w:rsidRDefault="00A83C5E" w:rsidP="000A5389">
      <w:pPr>
        <w:spacing w:line="240" w:lineRule="auto"/>
        <w:rPr>
          <w:rFonts w:cs="Times New Roman"/>
        </w:rPr>
      </w:pPr>
    </w:p>
    <w:tbl>
      <w:tblPr>
        <w:tblW w:w="5000" w:type="pct"/>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CellMar>
          <w:left w:w="70" w:type="dxa"/>
          <w:right w:w="70" w:type="dxa"/>
        </w:tblCellMar>
        <w:tblLook w:val="04A0" w:firstRow="1" w:lastRow="0" w:firstColumn="1" w:lastColumn="0" w:noHBand="0" w:noVBand="1"/>
      </w:tblPr>
      <w:tblGrid>
        <w:gridCol w:w="3212"/>
        <w:gridCol w:w="1872"/>
        <w:gridCol w:w="1872"/>
        <w:gridCol w:w="1872"/>
      </w:tblGrid>
      <w:tr w:rsidR="00DD15F9" w:rsidRPr="0039091F" w14:paraId="57B6B770" w14:textId="77777777" w:rsidTr="00DE1B25">
        <w:trPr>
          <w:trHeight w:val="280"/>
        </w:trPr>
        <w:tc>
          <w:tcPr>
            <w:tcW w:w="1820" w:type="pct"/>
            <w:shd w:val="clear" w:color="auto" w:fill="FFFFFF" w:themeFill="background1"/>
            <w:noWrap/>
            <w:hideMark/>
          </w:tcPr>
          <w:p w14:paraId="6F96BF46" w14:textId="77777777" w:rsidR="00DD15F9" w:rsidRPr="0039091F" w:rsidRDefault="00DD15F9" w:rsidP="000A5389">
            <w:pPr>
              <w:spacing w:line="240" w:lineRule="auto"/>
              <w:rPr>
                <w:rFonts w:eastAsia="Times New Roman" w:cs="Times New Roman"/>
                <w:b/>
                <w:bCs/>
                <w:color w:val="000000"/>
                <w:kern w:val="0"/>
                <w:sz w:val="18"/>
                <w:szCs w:val="18"/>
                <w:lang w:eastAsia="es-CO"/>
                <w14:ligatures w14:val="none"/>
              </w:rPr>
            </w:pPr>
            <w:r w:rsidRPr="0039091F">
              <w:rPr>
                <w:rFonts w:eastAsia="Times New Roman" w:cs="Times New Roman"/>
                <w:b/>
                <w:bCs/>
                <w:color w:val="000000"/>
                <w:kern w:val="0"/>
                <w:sz w:val="18"/>
                <w:szCs w:val="18"/>
                <w:lang w:eastAsia="es-CO"/>
                <w14:ligatures w14:val="none"/>
              </w:rPr>
              <w:t>PROYECTOS</w:t>
            </w:r>
          </w:p>
        </w:tc>
        <w:tc>
          <w:tcPr>
            <w:tcW w:w="1060" w:type="pct"/>
            <w:shd w:val="clear" w:color="auto" w:fill="FFFFFF" w:themeFill="background1"/>
            <w:noWrap/>
            <w:hideMark/>
          </w:tcPr>
          <w:p w14:paraId="0534E030" w14:textId="77777777" w:rsidR="00DD15F9" w:rsidRPr="0039091F" w:rsidRDefault="00DD15F9" w:rsidP="000A5389">
            <w:pPr>
              <w:spacing w:line="240" w:lineRule="auto"/>
              <w:jc w:val="center"/>
              <w:rPr>
                <w:rFonts w:eastAsia="Times New Roman" w:cs="Times New Roman"/>
                <w:b/>
                <w:bCs/>
                <w:color w:val="000000"/>
                <w:kern w:val="0"/>
                <w:sz w:val="18"/>
                <w:szCs w:val="18"/>
                <w:lang w:eastAsia="es-CO"/>
                <w14:ligatures w14:val="none"/>
              </w:rPr>
            </w:pPr>
            <w:r w:rsidRPr="0039091F">
              <w:rPr>
                <w:rFonts w:eastAsia="Times New Roman" w:cs="Times New Roman"/>
                <w:b/>
                <w:bCs/>
                <w:color w:val="000000"/>
                <w:kern w:val="0"/>
                <w:sz w:val="18"/>
                <w:szCs w:val="18"/>
                <w:lang w:eastAsia="es-CO"/>
                <w14:ligatures w14:val="none"/>
              </w:rPr>
              <w:t>AÑO 2025</w:t>
            </w:r>
          </w:p>
        </w:tc>
        <w:tc>
          <w:tcPr>
            <w:tcW w:w="1060" w:type="pct"/>
            <w:shd w:val="clear" w:color="auto" w:fill="FFFFFF" w:themeFill="background1"/>
            <w:noWrap/>
            <w:hideMark/>
          </w:tcPr>
          <w:p w14:paraId="58893960" w14:textId="77777777" w:rsidR="00DD15F9" w:rsidRPr="0039091F" w:rsidRDefault="00DD15F9" w:rsidP="000A5389">
            <w:pPr>
              <w:spacing w:line="240" w:lineRule="auto"/>
              <w:jc w:val="center"/>
              <w:rPr>
                <w:rFonts w:eastAsia="Times New Roman" w:cs="Times New Roman"/>
                <w:b/>
                <w:bCs/>
                <w:color w:val="000000"/>
                <w:kern w:val="0"/>
                <w:sz w:val="18"/>
                <w:szCs w:val="18"/>
                <w:lang w:eastAsia="es-CO"/>
                <w14:ligatures w14:val="none"/>
              </w:rPr>
            </w:pPr>
            <w:r w:rsidRPr="0039091F">
              <w:rPr>
                <w:rFonts w:eastAsia="Times New Roman" w:cs="Times New Roman"/>
                <w:b/>
                <w:bCs/>
                <w:color w:val="000000"/>
                <w:kern w:val="0"/>
                <w:sz w:val="18"/>
                <w:szCs w:val="18"/>
                <w:lang w:eastAsia="es-CO"/>
                <w14:ligatures w14:val="none"/>
              </w:rPr>
              <w:t>AÑO 2024</w:t>
            </w:r>
          </w:p>
        </w:tc>
        <w:tc>
          <w:tcPr>
            <w:tcW w:w="1060" w:type="pct"/>
            <w:shd w:val="clear" w:color="auto" w:fill="FFFFFF" w:themeFill="background1"/>
            <w:noWrap/>
            <w:hideMark/>
          </w:tcPr>
          <w:p w14:paraId="236AEA99" w14:textId="77777777" w:rsidR="00DD15F9" w:rsidRPr="0039091F" w:rsidRDefault="00DD15F9" w:rsidP="000A5389">
            <w:pPr>
              <w:spacing w:line="240" w:lineRule="auto"/>
              <w:jc w:val="center"/>
              <w:rPr>
                <w:rFonts w:eastAsia="Times New Roman" w:cs="Times New Roman"/>
                <w:b/>
                <w:bCs/>
                <w:color w:val="000000"/>
                <w:kern w:val="0"/>
                <w:sz w:val="18"/>
                <w:szCs w:val="18"/>
                <w:lang w:eastAsia="es-CO"/>
                <w14:ligatures w14:val="none"/>
              </w:rPr>
            </w:pPr>
            <w:r w:rsidRPr="0039091F">
              <w:rPr>
                <w:rFonts w:eastAsia="Times New Roman" w:cs="Times New Roman"/>
                <w:b/>
                <w:bCs/>
                <w:color w:val="000000"/>
                <w:kern w:val="0"/>
                <w:sz w:val="18"/>
                <w:szCs w:val="18"/>
                <w:lang w:eastAsia="es-CO"/>
                <w14:ligatures w14:val="none"/>
              </w:rPr>
              <w:t>VARIACION</w:t>
            </w:r>
          </w:p>
        </w:tc>
      </w:tr>
      <w:tr w:rsidR="00DD15F9" w:rsidRPr="0039091F" w14:paraId="41090472" w14:textId="77777777" w:rsidTr="00DE1B25">
        <w:trPr>
          <w:trHeight w:val="280"/>
        </w:trPr>
        <w:tc>
          <w:tcPr>
            <w:tcW w:w="1820" w:type="pct"/>
            <w:shd w:val="clear" w:color="auto" w:fill="FFFFFF" w:themeFill="background1"/>
            <w:noWrap/>
            <w:hideMark/>
          </w:tcPr>
          <w:p w14:paraId="17A824F2" w14:textId="77777777" w:rsidR="00DD15F9" w:rsidRPr="0039091F" w:rsidRDefault="00DD15F9" w:rsidP="000A5389">
            <w:pPr>
              <w:spacing w:line="240" w:lineRule="auto"/>
              <w:rPr>
                <w:rFonts w:eastAsia="Times New Roman" w:cs="Times New Roman"/>
                <w:color w:val="000000"/>
                <w:kern w:val="0"/>
                <w:sz w:val="18"/>
                <w:szCs w:val="18"/>
                <w:lang w:eastAsia="es-CO"/>
                <w14:ligatures w14:val="none"/>
              </w:rPr>
            </w:pPr>
            <w:r w:rsidRPr="0039091F">
              <w:rPr>
                <w:rFonts w:eastAsia="Times New Roman" w:cs="Times New Roman"/>
                <w:color w:val="000000"/>
                <w:kern w:val="0"/>
                <w:sz w:val="18"/>
                <w:szCs w:val="18"/>
                <w:lang w:eastAsia="es-CO"/>
                <w14:ligatures w14:val="none"/>
              </w:rPr>
              <w:t>Modo Carretero</w:t>
            </w:r>
          </w:p>
        </w:tc>
        <w:tc>
          <w:tcPr>
            <w:tcW w:w="1060" w:type="pct"/>
            <w:shd w:val="clear" w:color="auto" w:fill="FFFFFF" w:themeFill="background1"/>
            <w:noWrap/>
            <w:hideMark/>
          </w:tcPr>
          <w:p w14:paraId="289E28EA" w14:textId="77777777" w:rsidR="00DD15F9" w:rsidRPr="0039091F" w:rsidRDefault="00DD15F9" w:rsidP="000A5389">
            <w:pPr>
              <w:spacing w:line="240" w:lineRule="auto"/>
              <w:jc w:val="right"/>
              <w:rPr>
                <w:rFonts w:eastAsia="Times New Roman" w:cs="Times New Roman"/>
                <w:color w:val="000000"/>
                <w:kern w:val="0"/>
                <w:sz w:val="18"/>
                <w:szCs w:val="18"/>
                <w:lang w:eastAsia="es-CO"/>
                <w14:ligatures w14:val="none"/>
              </w:rPr>
            </w:pPr>
            <w:r w:rsidRPr="0039091F">
              <w:rPr>
                <w:rFonts w:eastAsia="Times New Roman" w:cs="Times New Roman"/>
                <w:color w:val="000000"/>
                <w:kern w:val="0"/>
                <w:sz w:val="18"/>
                <w:szCs w:val="18"/>
                <w:lang w:eastAsia="es-CO"/>
                <w14:ligatures w14:val="none"/>
              </w:rPr>
              <w:t>24.202.964.086.396</w:t>
            </w:r>
          </w:p>
        </w:tc>
        <w:tc>
          <w:tcPr>
            <w:tcW w:w="1060" w:type="pct"/>
            <w:shd w:val="clear" w:color="auto" w:fill="FFFFFF" w:themeFill="background1"/>
            <w:noWrap/>
            <w:hideMark/>
          </w:tcPr>
          <w:p w14:paraId="56945A0B" w14:textId="77777777" w:rsidR="00DD15F9" w:rsidRPr="0039091F" w:rsidRDefault="00DD15F9" w:rsidP="000A5389">
            <w:pPr>
              <w:spacing w:line="240" w:lineRule="auto"/>
              <w:jc w:val="right"/>
              <w:rPr>
                <w:rFonts w:eastAsia="Times New Roman" w:cs="Times New Roman"/>
                <w:color w:val="000000"/>
                <w:kern w:val="0"/>
                <w:sz w:val="18"/>
                <w:szCs w:val="18"/>
                <w:lang w:eastAsia="es-CO"/>
                <w14:ligatures w14:val="none"/>
              </w:rPr>
            </w:pPr>
            <w:r w:rsidRPr="0039091F">
              <w:rPr>
                <w:rFonts w:eastAsia="Times New Roman" w:cs="Times New Roman"/>
                <w:color w:val="000000"/>
                <w:kern w:val="0"/>
                <w:sz w:val="18"/>
                <w:szCs w:val="18"/>
                <w:lang w:eastAsia="es-CO"/>
                <w14:ligatures w14:val="none"/>
              </w:rPr>
              <w:t>22.165.527.487.362</w:t>
            </w:r>
          </w:p>
        </w:tc>
        <w:tc>
          <w:tcPr>
            <w:tcW w:w="1060" w:type="pct"/>
            <w:shd w:val="clear" w:color="auto" w:fill="FFFFFF" w:themeFill="background1"/>
            <w:noWrap/>
            <w:hideMark/>
          </w:tcPr>
          <w:p w14:paraId="144F4B50" w14:textId="77777777" w:rsidR="00DD15F9" w:rsidRPr="0039091F" w:rsidRDefault="00DD15F9" w:rsidP="000A5389">
            <w:pPr>
              <w:spacing w:line="240" w:lineRule="auto"/>
              <w:jc w:val="right"/>
              <w:rPr>
                <w:rFonts w:eastAsia="Times New Roman" w:cs="Times New Roman"/>
                <w:color w:val="000000"/>
                <w:kern w:val="0"/>
                <w:sz w:val="18"/>
                <w:szCs w:val="18"/>
                <w:lang w:eastAsia="es-CO"/>
                <w14:ligatures w14:val="none"/>
              </w:rPr>
            </w:pPr>
            <w:r w:rsidRPr="0039091F">
              <w:rPr>
                <w:rFonts w:eastAsia="Times New Roman" w:cs="Times New Roman"/>
                <w:color w:val="000000"/>
                <w:kern w:val="0"/>
                <w:sz w:val="18"/>
                <w:szCs w:val="18"/>
                <w:lang w:eastAsia="es-CO"/>
                <w14:ligatures w14:val="none"/>
              </w:rPr>
              <w:t>2.037.436.599.034</w:t>
            </w:r>
          </w:p>
        </w:tc>
      </w:tr>
      <w:tr w:rsidR="00DD15F9" w:rsidRPr="0039091F" w14:paraId="63C9FAA8" w14:textId="77777777" w:rsidTr="00DE1B25">
        <w:trPr>
          <w:trHeight w:val="280"/>
        </w:trPr>
        <w:tc>
          <w:tcPr>
            <w:tcW w:w="1820" w:type="pct"/>
            <w:shd w:val="clear" w:color="auto" w:fill="FFFFFF" w:themeFill="background1"/>
            <w:noWrap/>
            <w:hideMark/>
          </w:tcPr>
          <w:p w14:paraId="11FC4EBA" w14:textId="77777777" w:rsidR="00DD15F9" w:rsidRPr="0039091F" w:rsidRDefault="00DD15F9" w:rsidP="000A5389">
            <w:pPr>
              <w:spacing w:line="240" w:lineRule="auto"/>
              <w:rPr>
                <w:rFonts w:eastAsia="Times New Roman" w:cs="Times New Roman"/>
                <w:color w:val="000000"/>
                <w:kern w:val="0"/>
                <w:sz w:val="18"/>
                <w:szCs w:val="18"/>
                <w:lang w:eastAsia="es-CO"/>
                <w14:ligatures w14:val="none"/>
              </w:rPr>
            </w:pPr>
            <w:r w:rsidRPr="0039091F">
              <w:rPr>
                <w:rFonts w:eastAsia="Times New Roman" w:cs="Times New Roman"/>
                <w:color w:val="000000"/>
                <w:kern w:val="0"/>
                <w:sz w:val="18"/>
                <w:szCs w:val="18"/>
                <w:lang w:eastAsia="es-CO"/>
                <w14:ligatures w14:val="none"/>
              </w:rPr>
              <w:t>Modo Portuario</w:t>
            </w:r>
          </w:p>
        </w:tc>
        <w:tc>
          <w:tcPr>
            <w:tcW w:w="1060" w:type="pct"/>
            <w:shd w:val="clear" w:color="auto" w:fill="FFFFFF" w:themeFill="background1"/>
            <w:noWrap/>
            <w:hideMark/>
          </w:tcPr>
          <w:p w14:paraId="1764E9B9" w14:textId="77777777" w:rsidR="00DD15F9" w:rsidRPr="0039091F" w:rsidRDefault="00DD15F9" w:rsidP="000A5389">
            <w:pPr>
              <w:spacing w:line="240" w:lineRule="auto"/>
              <w:jc w:val="right"/>
              <w:rPr>
                <w:rFonts w:eastAsia="Times New Roman" w:cs="Times New Roman"/>
                <w:color w:val="000000"/>
                <w:kern w:val="0"/>
                <w:sz w:val="18"/>
                <w:szCs w:val="18"/>
                <w:lang w:eastAsia="es-CO"/>
                <w14:ligatures w14:val="none"/>
              </w:rPr>
            </w:pPr>
            <w:r w:rsidRPr="0039091F">
              <w:rPr>
                <w:rFonts w:eastAsia="Times New Roman" w:cs="Times New Roman"/>
                <w:color w:val="000000"/>
                <w:kern w:val="0"/>
                <w:sz w:val="18"/>
                <w:szCs w:val="18"/>
                <w:lang w:eastAsia="es-CO"/>
                <w14:ligatures w14:val="none"/>
              </w:rPr>
              <w:t>5.376.571.823.076</w:t>
            </w:r>
          </w:p>
        </w:tc>
        <w:tc>
          <w:tcPr>
            <w:tcW w:w="1060" w:type="pct"/>
            <w:shd w:val="clear" w:color="auto" w:fill="FFFFFF" w:themeFill="background1"/>
            <w:noWrap/>
            <w:hideMark/>
          </w:tcPr>
          <w:p w14:paraId="156721DF" w14:textId="77777777" w:rsidR="00DD15F9" w:rsidRPr="0039091F" w:rsidRDefault="00DD15F9" w:rsidP="000A5389">
            <w:pPr>
              <w:spacing w:line="240" w:lineRule="auto"/>
              <w:jc w:val="right"/>
              <w:rPr>
                <w:rFonts w:eastAsia="Times New Roman" w:cs="Times New Roman"/>
                <w:color w:val="000000"/>
                <w:kern w:val="0"/>
                <w:sz w:val="18"/>
                <w:szCs w:val="18"/>
                <w:lang w:eastAsia="es-CO"/>
                <w14:ligatures w14:val="none"/>
              </w:rPr>
            </w:pPr>
            <w:r w:rsidRPr="0039091F">
              <w:rPr>
                <w:rFonts w:eastAsia="Times New Roman" w:cs="Times New Roman"/>
                <w:color w:val="000000"/>
                <w:kern w:val="0"/>
                <w:sz w:val="18"/>
                <w:szCs w:val="18"/>
                <w:lang w:eastAsia="es-CO"/>
                <w14:ligatures w14:val="none"/>
              </w:rPr>
              <w:t>4.926.060.582.989</w:t>
            </w:r>
          </w:p>
        </w:tc>
        <w:tc>
          <w:tcPr>
            <w:tcW w:w="1060" w:type="pct"/>
            <w:shd w:val="clear" w:color="auto" w:fill="FFFFFF" w:themeFill="background1"/>
            <w:noWrap/>
            <w:hideMark/>
          </w:tcPr>
          <w:p w14:paraId="308B1C50" w14:textId="77777777" w:rsidR="00DD15F9" w:rsidRPr="0039091F" w:rsidRDefault="00DD15F9" w:rsidP="000A5389">
            <w:pPr>
              <w:spacing w:line="240" w:lineRule="auto"/>
              <w:jc w:val="right"/>
              <w:rPr>
                <w:rFonts w:eastAsia="Times New Roman" w:cs="Times New Roman"/>
                <w:color w:val="000000"/>
                <w:kern w:val="0"/>
                <w:sz w:val="18"/>
                <w:szCs w:val="18"/>
                <w:lang w:eastAsia="es-CO"/>
                <w14:ligatures w14:val="none"/>
              </w:rPr>
            </w:pPr>
            <w:r w:rsidRPr="0039091F">
              <w:rPr>
                <w:rFonts w:eastAsia="Times New Roman" w:cs="Times New Roman"/>
                <w:color w:val="000000"/>
                <w:kern w:val="0"/>
                <w:sz w:val="18"/>
                <w:szCs w:val="18"/>
                <w:lang w:eastAsia="es-CO"/>
                <w14:ligatures w14:val="none"/>
              </w:rPr>
              <w:t>450.511.240.087</w:t>
            </w:r>
          </w:p>
        </w:tc>
      </w:tr>
      <w:tr w:rsidR="00DD15F9" w:rsidRPr="0039091F" w14:paraId="1D938927" w14:textId="77777777" w:rsidTr="00DE1B25">
        <w:trPr>
          <w:trHeight w:val="280"/>
        </w:trPr>
        <w:tc>
          <w:tcPr>
            <w:tcW w:w="1820" w:type="pct"/>
            <w:shd w:val="clear" w:color="auto" w:fill="FFFFFF" w:themeFill="background1"/>
            <w:noWrap/>
            <w:hideMark/>
          </w:tcPr>
          <w:p w14:paraId="56A1F7D1" w14:textId="77777777" w:rsidR="00DD15F9" w:rsidRPr="0039091F" w:rsidRDefault="00DD15F9" w:rsidP="000A5389">
            <w:pPr>
              <w:spacing w:line="240" w:lineRule="auto"/>
              <w:rPr>
                <w:rFonts w:eastAsia="Times New Roman" w:cs="Times New Roman"/>
                <w:color w:val="000000"/>
                <w:kern w:val="0"/>
                <w:sz w:val="18"/>
                <w:szCs w:val="18"/>
                <w:lang w:eastAsia="es-CO"/>
                <w14:ligatures w14:val="none"/>
              </w:rPr>
            </w:pPr>
            <w:r w:rsidRPr="0039091F">
              <w:rPr>
                <w:rFonts w:eastAsia="Times New Roman" w:cs="Times New Roman"/>
                <w:color w:val="000000"/>
                <w:kern w:val="0"/>
                <w:sz w:val="18"/>
                <w:szCs w:val="18"/>
                <w:lang w:eastAsia="es-CO"/>
                <w14:ligatures w14:val="none"/>
              </w:rPr>
              <w:t>Modo Férreo</w:t>
            </w:r>
          </w:p>
        </w:tc>
        <w:tc>
          <w:tcPr>
            <w:tcW w:w="1060" w:type="pct"/>
            <w:shd w:val="clear" w:color="auto" w:fill="FFFFFF" w:themeFill="background1"/>
            <w:noWrap/>
            <w:hideMark/>
          </w:tcPr>
          <w:p w14:paraId="1EACDF46" w14:textId="23233709" w:rsidR="00DD15F9" w:rsidRPr="0039091F" w:rsidRDefault="00DD15F9" w:rsidP="000A5389">
            <w:pPr>
              <w:spacing w:line="240" w:lineRule="auto"/>
              <w:jc w:val="right"/>
              <w:rPr>
                <w:rFonts w:eastAsia="Times New Roman" w:cs="Times New Roman"/>
                <w:color w:val="000000"/>
                <w:kern w:val="0"/>
                <w:sz w:val="18"/>
                <w:szCs w:val="18"/>
                <w:lang w:eastAsia="es-CO"/>
                <w14:ligatures w14:val="none"/>
              </w:rPr>
            </w:pPr>
            <w:r w:rsidRPr="0039091F">
              <w:rPr>
                <w:rFonts w:eastAsia="Times New Roman" w:cs="Times New Roman"/>
                <w:color w:val="000000"/>
                <w:kern w:val="0"/>
                <w:sz w:val="18"/>
                <w:szCs w:val="18"/>
                <w:lang w:eastAsia="es-CO"/>
                <w14:ligatures w14:val="none"/>
              </w:rPr>
              <w:t>227.406.048.71</w:t>
            </w:r>
            <w:r w:rsidR="2543131B" w:rsidRPr="0039091F">
              <w:rPr>
                <w:rFonts w:eastAsia="Times New Roman" w:cs="Times New Roman"/>
                <w:color w:val="000000"/>
                <w:kern w:val="0"/>
                <w:sz w:val="18"/>
                <w:szCs w:val="18"/>
                <w:lang w:eastAsia="es-CO"/>
                <w14:ligatures w14:val="none"/>
              </w:rPr>
              <w:t>8</w:t>
            </w:r>
          </w:p>
        </w:tc>
        <w:tc>
          <w:tcPr>
            <w:tcW w:w="1060" w:type="pct"/>
            <w:shd w:val="clear" w:color="auto" w:fill="FFFFFF" w:themeFill="background1"/>
            <w:noWrap/>
            <w:hideMark/>
          </w:tcPr>
          <w:p w14:paraId="68FE4BCE" w14:textId="77777777" w:rsidR="00DD15F9" w:rsidRPr="0039091F" w:rsidRDefault="00DD15F9" w:rsidP="000A5389">
            <w:pPr>
              <w:spacing w:line="240" w:lineRule="auto"/>
              <w:jc w:val="right"/>
              <w:rPr>
                <w:rFonts w:eastAsia="Times New Roman" w:cs="Times New Roman"/>
                <w:color w:val="000000"/>
                <w:kern w:val="0"/>
                <w:sz w:val="18"/>
                <w:szCs w:val="18"/>
                <w:lang w:eastAsia="es-CO"/>
                <w14:ligatures w14:val="none"/>
              </w:rPr>
            </w:pPr>
            <w:r w:rsidRPr="0039091F">
              <w:rPr>
                <w:rFonts w:eastAsia="Times New Roman" w:cs="Times New Roman"/>
                <w:color w:val="000000"/>
                <w:kern w:val="0"/>
                <w:sz w:val="18"/>
                <w:szCs w:val="18"/>
                <w:lang w:eastAsia="es-CO"/>
                <w14:ligatures w14:val="none"/>
              </w:rPr>
              <w:t>417.027.451.635</w:t>
            </w:r>
          </w:p>
        </w:tc>
        <w:tc>
          <w:tcPr>
            <w:tcW w:w="1060" w:type="pct"/>
            <w:shd w:val="clear" w:color="auto" w:fill="FFFFFF" w:themeFill="background1"/>
            <w:noWrap/>
            <w:hideMark/>
          </w:tcPr>
          <w:p w14:paraId="7EAF13B2" w14:textId="77777777" w:rsidR="00DD15F9" w:rsidRPr="0039091F" w:rsidRDefault="00DD15F9" w:rsidP="000A5389">
            <w:pPr>
              <w:spacing w:line="240" w:lineRule="auto"/>
              <w:jc w:val="right"/>
              <w:rPr>
                <w:rFonts w:eastAsia="Times New Roman" w:cs="Times New Roman"/>
                <w:color w:val="000000"/>
                <w:kern w:val="0"/>
                <w:sz w:val="18"/>
                <w:szCs w:val="18"/>
                <w:lang w:eastAsia="es-CO"/>
                <w14:ligatures w14:val="none"/>
              </w:rPr>
            </w:pPr>
            <w:r w:rsidRPr="0039091F">
              <w:rPr>
                <w:rFonts w:eastAsia="Times New Roman" w:cs="Times New Roman"/>
                <w:color w:val="000000"/>
                <w:kern w:val="0"/>
                <w:sz w:val="18"/>
                <w:szCs w:val="18"/>
                <w:lang w:eastAsia="es-CO"/>
                <w14:ligatures w14:val="none"/>
              </w:rPr>
              <w:t>-189.621.402.916</w:t>
            </w:r>
          </w:p>
        </w:tc>
      </w:tr>
      <w:tr w:rsidR="00DD15F9" w:rsidRPr="0039091F" w14:paraId="0D5781E9" w14:textId="77777777" w:rsidTr="00DE1B25">
        <w:trPr>
          <w:trHeight w:val="280"/>
        </w:trPr>
        <w:tc>
          <w:tcPr>
            <w:tcW w:w="1820" w:type="pct"/>
            <w:shd w:val="clear" w:color="auto" w:fill="FFFFFF" w:themeFill="background1"/>
            <w:noWrap/>
            <w:hideMark/>
          </w:tcPr>
          <w:p w14:paraId="40016FD0" w14:textId="77777777" w:rsidR="00DD15F9" w:rsidRPr="0039091F" w:rsidRDefault="00DD15F9" w:rsidP="000A5389">
            <w:pPr>
              <w:spacing w:line="240" w:lineRule="auto"/>
              <w:rPr>
                <w:rFonts w:eastAsia="Times New Roman" w:cs="Times New Roman"/>
                <w:b/>
                <w:bCs/>
                <w:color w:val="000000"/>
                <w:kern w:val="0"/>
                <w:sz w:val="18"/>
                <w:szCs w:val="18"/>
                <w:lang w:eastAsia="es-CO"/>
                <w14:ligatures w14:val="none"/>
              </w:rPr>
            </w:pPr>
            <w:r w:rsidRPr="0039091F">
              <w:rPr>
                <w:rFonts w:eastAsia="Times New Roman" w:cs="Times New Roman"/>
                <w:b/>
                <w:bCs/>
                <w:color w:val="000000"/>
                <w:kern w:val="0"/>
                <w:sz w:val="18"/>
                <w:szCs w:val="18"/>
                <w:lang w:eastAsia="es-CO"/>
                <w14:ligatures w14:val="none"/>
              </w:rPr>
              <w:t>Totales</w:t>
            </w:r>
          </w:p>
        </w:tc>
        <w:tc>
          <w:tcPr>
            <w:tcW w:w="1060" w:type="pct"/>
            <w:shd w:val="clear" w:color="auto" w:fill="FFFFFF" w:themeFill="background1"/>
            <w:noWrap/>
            <w:hideMark/>
          </w:tcPr>
          <w:p w14:paraId="122B65D1" w14:textId="775EF631" w:rsidR="00DD15F9" w:rsidRPr="0039091F" w:rsidRDefault="00DD15F9" w:rsidP="000A5389">
            <w:pPr>
              <w:spacing w:line="240" w:lineRule="auto"/>
              <w:jc w:val="right"/>
              <w:rPr>
                <w:rFonts w:eastAsia="Times New Roman" w:cs="Times New Roman"/>
                <w:b/>
                <w:bCs/>
                <w:color w:val="000000"/>
                <w:kern w:val="0"/>
                <w:sz w:val="18"/>
                <w:szCs w:val="18"/>
                <w:lang w:eastAsia="es-CO"/>
                <w14:ligatures w14:val="none"/>
              </w:rPr>
            </w:pPr>
            <w:r w:rsidRPr="0039091F">
              <w:rPr>
                <w:rFonts w:eastAsia="Times New Roman" w:cs="Times New Roman"/>
                <w:b/>
                <w:bCs/>
                <w:color w:val="000000"/>
                <w:kern w:val="0"/>
                <w:sz w:val="18"/>
                <w:szCs w:val="18"/>
                <w:lang w:eastAsia="es-CO"/>
                <w14:ligatures w14:val="none"/>
              </w:rPr>
              <w:t>29.806.941.958.19</w:t>
            </w:r>
            <w:r w:rsidR="2F56E225" w:rsidRPr="0039091F">
              <w:rPr>
                <w:rFonts w:eastAsia="Times New Roman" w:cs="Times New Roman"/>
                <w:b/>
                <w:bCs/>
                <w:color w:val="000000"/>
                <w:kern w:val="0"/>
                <w:sz w:val="18"/>
                <w:szCs w:val="18"/>
                <w:lang w:eastAsia="es-CO"/>
                <w14:ligatures w14:val="none"/>
              </w:rPr>
              <w:t>1</w:t>
            </w:r>
          </w:p>
        </w:tc>
        <w:tc>
          <w:tcPr>
            <w:tcW w:w="1060" w:type="pct"/>
            <w:shd w:val="clear" w:color="auto" w:fill="FFFFFF" w:themeFill="background1"/>
            <w:noWrap/>
            <w:hideMark/>
          </w:tcPr>
          <w:p w14:paraId="25EDC1F1" w14:textId="77777777" w:rsidR="00DD15F9" w:rsidRPr="0039091F" w:rsidRDefault="00DD15F9" w:rsidP="000A5389">
            <w:pPr>
              <w:spacing w:line="240" w:lineRule="auto"/>
              <w:jc w:val="right"/>
              <w:rPr>
                <w:rFonts w:eastAsia="Times New Roman" w:cs="Times New Roman"/>
                <w:b/>
                <w:bCs/>
                <w:color w:val="000000"/>
                <w:kern w:val="0"/>
                <w:sz w:val="18"/>
                <w:szCs w:val="18"/>
                <w:lang w:eastAsia="es-CO"/>
                <w14:ligatures w14:val="none"/>
              </w:rPr>
            </w:pPr>
            <w:r w:rsidRPr="0039091F">
              <w:rPr>
                <w:rFonts w:eastAsia="Times New Roman" w:cs="Times New Roman"/>
                <w:b/>
                <w:bCs/>
                <w:color w:val="000000"/>
                <w:kern w:val="0"/>
                <w:sz w:val="18"/>
                <w:szCs w:val="18"/>
                <w:lang w:eastAsia="es-CO"/>
                <w14:ligatures w14:val="none"/>
              </w:rPr>
              <w:t>27.508.615.521.986</w:t>
            </w:r>
          </w:p>
        </w:tc>
        <w:tc>
          <w:tcPr>
            <w:tcW w:w="1060" w:type="pct"/>
            <w:shd w:val="clear" w:color="auto" w:fill="FFFFFF" w:themeFill="background1"/>
            <w:noWrap/>
            <w:hideMark/>
          </w:tcPr>
          <w:p w14:paraId="2D360B2D" w14:textId="77777777" w:rsidR="00DD15F9" w:rsidRPr="0039091F" w:rsidRDefault="00DD15F9" w:rsidP="000A5389">
            <w:pPr>
              <w:spacing w:line="240" w:lineRule="auto"/>
              <w:jc w:val="right"/>
              <w:rPr>
                <w:rFonts w:eastAsia="Times New Roman" w:cs="Times New Roman"/>
                <w:b/>
                <w:bCs/>
                <w:color w:val="000000"/>
                <w:kern w:val="0"/>
                <w:sz w:val="18"/>
                <w:szCs w:val="18"/>
                <w:lang w:eastAsia="es-CO"/>
                <w14:ligatures w14:val="none"/>
              </w:rPr>
            </w:pPr>
            <w:r w:rsidRPr="0039091F">
              <w:rPr>
                <w:rFonts w:eastAsia="Times New Roman" w:cs="Times New Roman"/>
                <w:b/>
                <w:bCs/>
                <w:color w:val="000000"/>
                <w:kern w:val="0"/>
                <w:sz w:val="18"/>
                <w:szCs w:val="18"/>
                <w:lang w:eastAsia="es-CO"/>
                <w14:ligatures w14:val="none"/>
              </w:rPr>
              <w:t>2.298.326.436.205</w:t>
            </w:r>
          </w:p>
        </w:tc>
      </w:tr>
      <w:tr w:rsidR="00DD15F9" w:rsidRPr="0039091F" w14:paraId="19EE5CE8" w14:textId="77777777" w:rsidTr="00DE1B25">
        <w:trPr>
          <w:trHeight w:val="280"/>
        </w:trPr>
        <w:tc>
          <w:tcPr>
            <w:tcW w:w="1820" w:type="pct"/>
            <w:shd w:val="clear" w:color="auto" w:fill="FFFFFF" w:themeFill="background1"/>
            <w:noWrap/>
            <w:hideMark/>
          </w:tcPr>
          <w:p w14:paraId="711F82D6" w14:textId="77777777" w:rsidR="00DD15F9" w:rsidRPr="0039091F" w:rsidRDefault="00DD15F9" w:rsidP="000A5389">
            <w:pPr>
              <w:spacing w:line="240" w:lineRule="auto"/>
              <w:rPr>
                <w:rFonts w:eastAsia="Times New Roman" w:cs="Times New Roman"/>
                <w:color w:val="000000"/>
                <w:kern w:val="0"/>
                <w:sz w:val="18"/>
                <w:szCs w:val="18"/>
                <w:lang w:eastAsia="es-CO"/>
                <w14:ligatures w14:val="none"/>
              </w:rPr>
            </w:pPr>
            <w:r w:rsidRPr="0039091F">
              <w:rPr>
                <w:rFonts w:eastAsia="Times New Roman" w:cs="Times New Roman"/>
                <w:color w:val="000000"/>
                <w:kern w:val="0"/>
                <w:sz w:val="18"/>
                <w:szCs w:val="18"/>
                <w:lang w:eastAsia="es-CO"/>
                <w14:ligatures w14:val="none"/>
              </w:rPr>
              <w:lastRenderedPageBreak/>
              <w:t>Cifras expresadas en pesos</w:t>
            </w:r>
          </w:p>
        </w:tc>
        <w:tc>
          <w:tcPr>
            <w:tcW w:w="1060" w:type="pct"/>
            <w:shd w:val="clear" w:color="auto" w:fill="FFFFFF" w:themeFill="background1"/>
            <w:noWrap/>
            <w:hideMark/>
          </w:tcPr>
          <w:p w14:paraId="60EB389C" w14:textId="77777777" w:rsidR="00DD15F9" w:rsidRPr="0039091F" w:rsidRDefault="00DD15F9" w:rsidP="000A5389">
            <w:pPr>
              <w:spacing w:line="240" w:lineRule="auto"/>
              <w:rPr>
                <w:rFonts w:eastAsia="Times New Roman" w:cs="Times New Roman"/>
                <w:color w:val="000000"/>
                <w:kern w:val="0"/>
                <w:sz w:val="18"/>
                <w:szCs w:val="18"/>
                <w:lang w:eastAsia="es-CO"/>
                <w14:ligatures w14:val="none"/>
              </w:rPr>
            </w:pPr>
            <w:r w:rsidRPr="0039091F">
              <w:rPr>
                <w:rFonts w:eastAsia="Times New Roman" w:cs="Times New Roman"/>
                <w:color w:val="000000"/>
                <w:kern w:val="0"/>
                <w:sz w:val="18"/>
                <w:szCs w:val="18"/>
                <w:lang w:eastAsia="es-CO"/>
                <w14:ligatures w14:val="none"/>
              </w:rPr>
              <w:t> </w:t>
            </w:r>
          </w:p>
        </w:tc>
        <w:tc>
          <w:tcPr>
            <w:tcW w:w="1060" w:type="pct"/>
            <w:shd w:val="clear" w:color="auto" w:fill="FFFFFF" w:themeFill="background1"/>
            <w:noWrap/>
            <w:hideMark/>
          </w:tcPr>
          <w:p w14:paraId="3AE7B607" w14:textId="77777777" w:rsidR="00DD15F9" w:rsidRPr="0039091F" w:rsidRDefault="00DD15F9" w:rsidP="000A5389">
            <w:pPr>
              <w:spacing w:line="240" w:lineRule="auto"/>
              <w:rPr>
                <w:rFonts w:eastAsia="Times New Roman" w:cs="Times New Roman"/>
                <w:color w:val="000000"/>
                <w:kern w:val="0"/>
                <w:sz w:val="18"/>
                <w:szCs w:val="18"/>
                <w:lang w:eastAsia="es-CO"/>
                <w14:ligatures w14:val="none"/>
              </w:rPr>
            </w:pPr>
            <w:r w:rsidRPr="0039091F">
              <w:rPr>
                <w:rFonts w:eastAsia="Times New Roman" w:cs="Times New Roman"/>
                <w:color w:val="000000"/>
                <w:kern w:val="0"/>
                <w:sz w:val="18"/>
                <w:szCs w:val="18"/>
                <w:lang w:eastAsia="es-CO"/>
                <w14:ligatures w14:val="none"/>
              </w:rPr>
              <w:t> </w:t>
            </w:r>
          </w:p>
        </w:tc>
        <w:tc>
          <w:tcPr>
            <w:tcW w:w="1060" w:type="pct"/>
            <w:shd w:val="clear" w:color="auto" w:fill="FFFFFF" w:themeFill="background1"/>
            <w:noWrap/>
            <w:hideMark/>
          </w:tcPr>
          <w:p w14:paraId="663EFFF6" w14:textId="77777777" w:rsidR="00DD15F9" w:rsidRPr="0039091F" w:rsidRDefault="00DD15F9" w:rsidP="000A5389">
            <w:pPr>
              <w:spacing w:line="240" w:lineRule="auto"/>
              <w:rPr>
                <w:rFonts w:eastAsia="Times New Roman" w:cs="Times New Roman"/>
                <w:color w:val="000000"/>
                <w:kern w:val="0"/>
                <w:sz w:val="18"/>
                <w:szCs w:val="18"/>
                <w:lang w:eastAsia="es-CO"/>
                <w14:ligatures w14:val="none"/>
              </w:rPr>
            </w:pPr>
            <w:r w:rsidRPr="0039091F">
              <w:rPr>
                <w:rFonts w:eastAsia="Times New Roman" w:cs="Times New Roman"/>
                <w:color w:val="000000"/>
                <w:kern w:val="0"/>
                <w:sz w:val="18"/>
                <w:szCs w:val="18"/>
                <w:lang w:eastAsia="es-CO"/>
                <w14:ligatures w14:val="none"/>
              </w:rPr>
              <w:t> </w:t>
            </w:r>
          </w:p>
        </w:tc>
      </w:tr>
    </w:tbl>
    <w:p w14:paraId="105A3458" w14:textId="77777777" w:rsidR="00DD15F9" w:rsidRPr="00951AB1" w:rsidRDefault="00DD15F9" w:rsidP="000A5389">
      <w:pPr>
        <w:spacing w:line="240" w:lineRule="auto"/>
        <w:rPr>
          <w:rFonts w:cs="Times New Roman"/>
        </w:rPr>
      </w:pPr>
    </w:p>
    <w:p w14:paraId="7E3E5689" w14:textId="30036CE2" w:rsidR="007864D3" w:rsidRPr="00951AB1" w:rsidRDefault="007864D3" w:rsidP="000A5389">
      <w:pPr>
        <w:spacing w:line="240" w:lineRule="auto"/>
        <w:rPr>
          <w:rFonts w:cs="Times New Roman"/>
          <w:szCs w:val="24"/>
        </w:rPr>
      </w:pPr>
      <w:r w:rsidRPr="00951AB1">
        <w:rPr>
          <w:rFonts w:cs="Times New Roman"/>
          <w:szCs w:val="24"/>
        </w:rPr>
        <w:t>La Agencia Nacional de Infraestructura – ANI reconoce la construcción, desarrollo, adquisición, mejoras o rehabilitaciones de los bienes de uso público, de las propiedades, planta y equipo y de los activos intangibles asociados a los contratos de concesión, en el activo que corresponda, y de manera simultánea reconoce el pasivo diferido por la cesión de derechos al concesionario para la explotación económica del activo, en los modos carretero, férreo y portuario.</w:t>
      </w:r>
    </w:p>
    <w:p w14:paraId="4A5877B1" w14:textId="1008565E" w:rsidR="00CF3844" w:rsidRPr="00951AB1" w:rsidRDefault="00CF3844" w:rsidP="000A5389">
      <w:pPr>
        <w:spacing w:line="240" w:lineRule="auto"/>
        <w:rPr>
          <w:rFonts w:cs="Times New Roman"/>
          <w:szCs w:val="24"/>
        </w:rPr>
      </w:pPr>
    </w:p>
    <w:p w14:paraId="40BC9D7A" w14:textId="3D1ED356" w:rsidR="007864D3" w:rsidRPr="00951AB1" w:rsidRDefault="007864D3" w:rsidP="000A5389">
      <w:pPr>
        <w:spacing w:line="240" w:lineRule="auto"/>
        <w:rPr>
          <w:rFonts w:cs="Times New Roman"/>
          <w:szCs w:val="24"/>
        </w:rPr>
      </w:pPr>
      <w:r w:rsidRPr="00951AB1">
        <w:rPr>
          <w:rFonts w:cs="Times New Roman"/>
          <w:szCs w:val="24"/>
        </w:rPr>
        <w:t xml:space="preserve">Dicho pasivo diferido se incrementa con base en la información reportada por las áreas misionales en los formatos definidos en el Sistema de Gestión de Calidad de la Entidad </w:t>
      </w:r>
      <w:r w:rsidR="5CC93F38" w:rsidRPr="00951AB1">
        <w:rPr>
          <w:rFonts w:cs="Times New Roman"/>
          <w:szCs w:val="24"/>
        </w:rPr>
        <w:t>(Donde reportan la inversión)</w:t>
      </w:r>
      <w:r w:rsidRPr="00951AB1">
        <w:rPr>
          <w:rFonts w:cs="Times New Roman"/>
          <w:szCs w:val="24"/>
        </w:rPr>
        <w:t xml:space="preserve"> y disminuye por efecto de las actualizaciones de la información financiera y de la amortización sistemática del pasivo, la cual se realiza conforme al plazo de los contratos de concesión, reconociendo el correspondiente ingreso por amortización.</w:t>
      </w:r>
    </w:p>
    <w:p w14:paraId="1EF22FE2" w14:textId="77777777" w:rsidR="007864D3" w:rsidRPr="00951AB1" w:rsidRDefault="007864D3" w:rsidP="000A5389">
      <w:pPr>
        <w:spacing w:line="240" w:lineRule="auto"/>
        <w:rPr>
          <w:rFonts w:cs="Times New Roman"/>
          <w:szCs w:val="24"/>
        </w:rPr>
      </w:pPr>
    </w:p>
    <w:p w14:paraId="4C23AD6B" w14:textId="59F5B1DA" w:rsidR="007864D3" w:rsidRPr="00951AB1" w:rsidRDefault="007864D3" w:rsidP="000A5389">
      <w:pPr>
        <w:spacing w:line="240" w:lineRule="auto"/>
        <w:rPr>
          <w:rFonts w:cs="Times New Roman"/>
          <w:szCs w:val="24"/>
        </w:rPr>
      </w:pPr>
      <w:r w:rsidRPr="00951AB1">
        <w:rPr>
          <w:rFonts w:cs="Times New Roman"/>
          <w:szCs w:val="24"/>
        </w:rPr>
        <w:t>En cuanto a la medición de los activos en concesión, cuando los concesionarios no suministran información desagregada que permita diferenciar entre el activo base y las mejoras o rehabilitaciones efectuadas, la ANI implementa técnicas de estimación para determinar el valor de los activos y de las inversiones asociadas, de acuerdo con las condiciones contractuales. En el modo carretero, dichos valores se reportan a través del informe de inversión; en el modo férreo, mediante el formato de información de bienes de uso público y propiedades, planta y equipo; y en el modo portuario, a través del informe de inversión de capital privado.</w:t>
      </w:r>
    </w:p>
    <w:p w14:paraId="6F284AB4" w14:textId="6191C479" w:rsidR="00CF3844" w:rsidRPr="00951AB1" w:rsidRDefault="00CF3844" w:rsidP="000A5389">
      <w:pPr>
        <w:spacing w:line="240" w:lineRule="auto"/>
        <w:rPr>
          <w:rFonts w:cs="Times New Roman"/>
          <w:szCs w:val="24"/>
        </w:rPr>
      </w:pPr>
    </w:p>
    <w:p w14:paraId="0FC0C42E" w14:textId="77777777" w:rsidR="007864D3" w:rsidRPr="00951AB1" w:rsidRDefault="007864D3" w:rsidP="000A5389">
      <w:pPr>
        <w:spacing w:line="240" w:lineRule="auto"/>
        <w:rPr>
          <w:rFonts w:cs="Times New Roman"/>
          <w:szCs w:val="24"/>
        </w:rPr>
      </w:pPr>
      <w:r w:rsidRPr="00951AB1">
        <w:rPr>
          <w:rFonts w:cs="Times New Roman"/>
          <w:szCs w:val="24"/>
        </w:rPr>
        <w:t>Para el modo carretero, el valor estimado de los proyectos se reconoce inicialmente como un valor global que incluye infraestructura, propiedades, planta y equipo, intangibles y terrenos. Este valor se registra como Bienes de uso público – concesiones en construcción o en servicio, contra un pasivo financiero o un pasivo diferido, dependiendo de la naturaleza de la obligación contractual: si la ANI tiene la obligación incondicional de pagar al concesionario, se reconoce un pasivo financiero; en caso contrario, cuando se ceden derechos de explotación al concesionario, se reconoce un pasivo diferido.</w:t>
      </w:r>
    </w:p>
    <w:p w14:paraId="649D482D" w14:textId="77777777" w:rsidR="004F1F43" w:rsidRPr="00951AB1" w:rsidRDefault="004F1F43" w:rsidP="000A5389">
      <w:pPr>
        <w:spacing w:line="240" w:lineRule="auto"/>
        <w:rPr>
          <w:rFonts w:cs="Times New Roman"/>
          <w:szCs w:val="24"/>
        </w:rPr>
      </w:pPr>
    </w:p>
    <w:p w14:paraId="7132D82C" w14:textId="3101553B" w:rsidR="007864D3" w:rsidRPr="00951AB1" w:rsidRDefault="007864D3" w:rsidP="000A5389">
      <w:pPr>
        <w:spacing w:line="240" w:lineRule="auto"/>
        <w:rPr>
          <w:rFonts w:cs="Times New Roman"/>
          <w:szCs w:val="24"/>
        </w:rPr>
      </w:pPr>
      <w:r w:rsidRPr="00951AB1">
        <w:rPr>
          <w:rFonts w:cs="Times New Roman"/>
          <w:szCs w:val="24"/>
        </w:rPr>
        <w:t>En relación con el pasivo diferido, este se amortiza conforme a los valores determinados en el informe de inversión, reconociendo el correspondiente ingreso por amortización durante el plazo del contrato de concesión.</w:t>
      </w:r>
    </w:p>
    <w:p w14:paraId="1EA778CC" w14:textId="47752822" w:rsidR="00CF3844" w:rsidRPr="00951AB1" w:rsidRDefault="00CF3844" w:rsidP="000A5389">
      <w:pPr>
        <w:spacing w:line="240" w:lineRule="auto"/>
        <w:rPr>
          <w:rFonts w:cs="Times New Roman"/>
          <w:szCs w:val="24"/>
        </w:rPr>
      </w:pPr>
    </w:p>
    <w:p w14:paraId="469C0A6B" w14:textId="39D789BB" w:rsidR="007864D3" w:rsidRPr="00951AB1" w:rsidRDefault="007864D3" w:rsidP="000A5389">
      <w:pPr>
        <w:spacing w:line="240" w:lineRule="auto"/>
        <w:rPr>
          <w:rFonts w:cs="Times New Roman"/>
          <w:szCs w:val="24"/>
        </w:rPr>
      </w:pPr>
      <w:r w:rsidRPr="00951AB1">
        <w:rPr>
          <w:rFonts w:cs="Times New Roman"/>
          <w:szCs w:val="24"/>
        </w:rPr>
        <w:t>Posteriormente, el valor global de la inversión se ajusta con base en la información reportada por las áreas misionales, reconociendo las propiedades, planta y equipo en concesión, los intangibles y los terrenos en los códigos contables correspondientes, y disminuyendo la cuenta de bienes de uso público en construcción o en servicio.</w:t>
      </w:r>
    </w:p>
    <w:p w14:paraId="2813DCC8" w14:textId="318C1F9F" w:rsidR="00CF3844" w:rsidRPr="00951AB1" w:rsidRDefault="00CF3844" w:rsidP="000A5389">
      <w:pPr>
        <w:spacing w:line="240" w:lineRule="auto"/>
        <w:rPr>
          <w:rFonts w:cs="Times New Roman"/>
          <w:szCs w:val="24"/>
        </w:rPr>
      </w:pPr>
    </w:p>
    <w:p w14:paraId="6B487D37" w14:textId="02C99643" w:rsidR="007864D3" w:rsidRPr="00951AB1" w:rsidRDefault="007864D3" w:rsidP="000A5389">
      <w:pPr>
        <w:spacing w:line="240" w:lineRule="auto"/>
        <w:rPr>
          <w:rFonts w:cs="Times New Roman"/>
          <w:szCs w:val="24"/>
        </w:rPr>
      </w:pPr>
      <w:r w:rsidRPr="00951AB1">
        <w:rPr>
          <w:rFonts w:cs="Times New Roman"/>
          <w:szCs w:val="24"/>
        </w:rPr>
        <w:t xml:space="preserve">En relación con el modo férreo, la Entidad aplica una metodología de estimación que incorpora la vía férrea, las propiedades, planta y equipo y los activos intangibles, registrando las actualizaciones en el activo correspondiente contra el pasivo diferido por cesión de </w:t>
      </w:r>
      <w:r w:rsidRPr="00951AB1">
        <w:rPr>
          <w:rFonts w:cs="Times New Roman"/>
          <w:szCs w:val="24"/>
        </w:rPr>
        <w:lastRenderedPageBreak/>
        <w:t>derechos de explotación. La amortización de este pasivo se realiza durante el plazo de la concesión, afectando el ingreso por amortización.</w:t>
      </w:r>
    </w:p>
    <w:p w14:paraId="56F898B8" w14:textId="4B213197" w:rsidR="007864D3" w:rsidRPr="00951AB1" w:rsidRDefault="007864D3" w:rsidP="000A5389">
      <w:pPr>
        <w:spacing w:line="240" w:lineRule="auto"/>
        <w:rPr>
          <w:rFonts w:cs="Times New Roman"/>
          <w:szCs w:val="24"/>
        </w:rPr>
      </w:pPr>
      <w:r w:rsidRPr="00951AB1">
        <w:rPr>
          <w:rFonts w:cs="Times New Roman"/>
          <w:szCs w:val="24"/>
        </w:rPr>
        <w:t>Para el modo portuario, la infraestructura, las propiedades, planta y equipo y los activos intangibles se reconocen por el valor de la inversión ejecutada por el concesionario en cada vigencia, incrementando el activo correspondiente y, simultáneamente, el pasivo diferido por la cesión de derechos de explotación, el cual se amortiza durante el plazo del contrato de concesión.</w:t>
      </w:r>
    </w:p>
    <w:p w14:paraId="637E3414" w14:textId="5ECCC430" w:rsidR="00CF3844" w:rsidRPr="00951AB1" w:rsidRDefault="00CF3844" w:rsidP="000A5389">
      <w:pPr>
        <w:spacing w:line="240" w:lineRule="auto"/>
        <w:rPr>
          <w:rFonts w:cs="Times New Roman"/>
          <w:szCs w:val="24"/>
        </w:rPr>
      </w:pPr>
    </w:p>
    <w:p w14:paraId="1A07C0DC" w14:textId="77777777" w:rsidR="007864D3" w:rsidRPr="00951AB1" w:rsidRDefault="007864D3" w:rsidP="000A5389">
      <w:pPr>
        <w:spacing w:line="240" w:lineRule="auto"/>
        <w:rPr>
          <w:rFonts w:cs="Times New Roman"/>
          <w:szCs w:val="24"/>
        </w:rPr>
      </w:pPr>
      <w:r w:rsidRPr="00951AB1">
        <w:rPr>
          <w:rFonts w:cs="Times New Roman"/>
          <w:szCs w:val="24"/>
        </w:rPr>
        <w:t>Es importante señalar que la ANI cuenta hasta el 31 de diciembre de 2028 para identificar, reconocer y medir los activos de infraestructura de transporte concesionados al 1 de enero de 2018, junto con los pasivos asociados, conforme al plazo establecido por la Contaduría General de la Nación en el artículo 7° transitorio de la Resolución CGN 602 de 2018, modificada por las Resoluciones CGN 228 de 2021 y 443 de 2024.</w:t>
      </w:r>
    </w:p>
    <w:p w14:paraId="367E6E9F" w14:textId="77777777" w:rsidR="007864D3" w:rsidRPr="00951AB1" w:rsidRDefault="007864D3" w:rsidP="000A5389">
      <w:pPr>
        <w:spacing w:line="240" w:lineRule="auto"/>
        <w:rPr>
          <w:rFonts w:cs="Times New Roman"/>
          <w:szCs w:val="24"/>
        </w:rPr>
      </w:pPr>
    </w:p>
    <w:p w14:paraId="478433D7" w14:textId="1656A439" w:rsidR="007864D3" w:rsidRPr="00951AB1" w:rsidRDefault="007864D3" w:rsidP="000A5389">
      <w:pPr>
        <w:spacing w:line="240" w:lineRule="auto"/>
        <w:rPr>
          <w:rFonts w:cs="Times New Roman"/>
          <w:szCs w:val="24"/>
        </w:rPr>
      </w:pPr>
      <w:r w:rsidRPr="00951AB1">
        <w:rPr>
          <w:rFonts w:cs="Times New Roman"/>
          <w:szCs w:val="24"/>
        </w:rPr>
        <w:t>Como resultado de lo anterior, la cuenta Otros pasivos diferidos presenta para la vigencia 2025 un saldo de $ 29.806.941.958.191, clasificado como pasivo no corriente, con un incremento neto de $ 2.298.326.436.206, producto de la actualización del CAPEX de los proyectos y la amortización del pasivo conforme a los modelos financieros de los contratos de concesión.</w:t>
      </w:r>
    </w:p>
    <w:p w14:paraId="65F17ED2" w14:textId="2D03CA0C" w:rsidR="007864D3" w:rsidRPr="00951AB1" w:rsidRDefault="007864D3" w:rsidP="000A5389">
      <w:pPr>
        <w:spacing w:line="240" w:lineRule="auto"/>
        <w:rPr>
          <w:rFonts w:cs="Times New Roman"/>
          <w:szCs w:val="24"/>
        </w:rPr>
      </w:pPr>
      <w:r w:rsidRPr="00951AB1">
        <w:rPr>
          <w:rFonts w:cs="Times New Roman"/>
          <w:szCs w:val="24"/>
        </w:rPr>
        <w:tab/>
        <w:t xml:space="preserve"> </w:t>
      </w:r>
      <w:r w:rsidRPr="00951AB1">
        <w:rPr>
          <w:rFonts w:cs="Times New Roman"/>
          <w:szCs w:val="24"/>
        </w:rPr>
        <w:tab/>
        <w:t xml:space="preserve"> </w:t>
      </w:r>
    </w:p>
    <w:p w14:paraId="7C9B3233" w14:textId="77777777" w:rsidR="007864D3" w:rsidRPr="00951AB1" w:rsidRDefault="007864D3" w:rsidP="000A5389">
      <w:pPr>
        <w:spacing w:line="240" w:lineRule="auto"/>
        <w:rPr>
          <w:rFonts w:cs="Times New Roman"/>
          <w:szCs w:val="24"/>
        </w:rPr>
      </w:pPr>
      <w:r w:rsidRPr="00951AB1">
        <w:rPr>
          <w:rFonts w:cs="Times New Roman"/>
          <w:szCs w:val="24"/>
        </w:rPr>
        <w:t>Las variaciones registradas en la vigencia 2025 se explican principalmente por:</w:t>
      </w:r>
    </w:p>
    <w:p w14:paraId="68E1CEA7" w14:textId="77777777" w:rsidR="007864D3" w:rsidRPr="00951AB1" w:rsidRDefault="007864D3" w:rsidP="000A5389">
      <w:pPr>
        <w:pStyle w:val="Prrafodelista"/>
        <w:numPr>
          <w:ilvl w:val="0"/>
          <w:numId w:val="18"/>
        </w:numPr>
        <w:spacing w:line="240" w:lineRule="auto"/>
        <w:ind w:left="420" w:hanging="420"/>
        <w:rPr>
          <w:rFonts w:cs="Times New Roman"/>
          <w:szCs w:val="24"/>
        </w:rPr>
      </w:pPr>
      <w:r w:rsidRPr="00951AB1">
        <w:rPr>
          <w:rFonts w:cs="Times New Roman"/>
          <w:szCs w:val="24"/>
        </w:rPr>
        <w:t>Modo carretero: la actualización de la red de infraestructura, conforme a la metodología de medición adoptada por la Entidad.</w:t>
      </w:r>
    </w:p>
    <w:p w14:paraId="39C1CDE3" w14:textId="77777777" w:rsidR="007864D3" w:rsidRPr="00951AB1" w:rsidRDefault="007864D3" w:rsidP="000A5389">
      <w:pPr>
        <w:pStyle w:val="Prrafodelista"/>
        <w:numPr>
          <w:ilvl w:val="0"/>
          <w:numId w:val="18"/>
        </w:numPr>
        <w:spacing w:line="240" w:lineRule="auto"/>
        <w:ind w:left="420" w:hanging="420"/>
        <w:rPr>
          <w:rFonts w:cs="Times New Roman"/>
          <w:szCs w:val="24"/>
        </w:rPr>
      </w:pPr>
      <w:r w:rsidRPr="00951AB1">
        <w:rPr>
          <w:rFonts w:cs="Times New Roman"/>
          <w:szCs w:val="24"/>
        </w:rPr>
        <w:t>Modo portuario: la actualización de las inversiones reportadas por los concesionarios en los informes de capital privado.</w:t>
      </w:r>
    </w:p>
    <w:p w14:paraId="2865F36A" w14:textId="03C75186" w:rsidR="007864D3" w:rsidRPr="00951AB1" w:rsidRDefault="007864D3" w:rsidP="000A5389">
      <w:pPr>
        <w:pStyle w:val="Prrafodelista"/>
        <w:numPr>
          <w:ilvl w:val="0"/>
          <w:numId w:val="18"/>
        </w:numPr>
        <w:spacing w:line="240" w:lineRule="auto"/>
        <w:ind w:left="420" w:hanging="420"/>
        <w:rPr>
          <w:rFonts w:cs="Times New Roman"/>
          <w:szCs w:val="24"/>
        </w:rPr>
      </w:pPr>
      <w:r w:rsidRPr="00951AB1">
        <w:rPr>
          <w:rFonts w:cs="Times New Roman"/>
          <w:szCs w:val="24"/>
        </w:rPr>
        <w:t>Modo férreo: la actualización de la información reportada por concesionarios e interventorías, en cumplimiento de los lineamientos técnicos establecidos.</w:t>
      </w:r>
    </w:p>
    <w:p w14:paraId="7791E439" w14:textId="7D33290A" w:rsidR="00142593" w:rsidRPr="00951AB1" w:rsidRDefault="00DD6137" w:rsidP="000A5389">
      <w:pPr>
        <w:pStyle w:val="Textoindependiente"/>
        <w:spacing w:before="273" w:line="240" w:lineRule="auto"/>
      </w:pPr>
      <w:r w:rsidRPr="00951AB1">
        <w:t>A continuación, se presentan los saldos por tercero, discriminados por modo de transporte, para las vigencias 2025 y 2024, junto con su respectiva variación:</w:t>
      </w:r>
    </w:p>
    <w:p w14:paraId="3EC6E28F" w14:textId="77777777" w:rsidR="00684C05" w:rsidRPr="00951AB1" w:rsidRDefault="00684C05" w:rsidP="000A5389">
      <w:pPr>
        <w:pStyle w:val="Textoindependiente"/>
        <w:spacing w:before="273" w:line="240" w:lineRule="auto"/>
      </w:pPr>
    </w:p>
    <w:tbl>
      <w:tblPr>
        <w:tblStyle w:val="cuadrcula-111"/>
        <w:tblW w:w="8828"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1147"/>
        <w:gridCol w:w="2764"/>
        <w:gridCol w:w="1701"/>
        <w:gridCol w:w="1635"/>
        <w:gridCol w:w="1581"/>
      </w:tblGrid>
      <w:tr w:rsidR="00D35CD9" w:rsidRPr="0039091F" w14:paraId="1C641E81" w14:textId="77777777" w:rsidTr="00F45D5E">
        <w:trPr>
          <w:trHeight w:val="293"/>
          <w:tblHeader/>
        </w:trPr>
        <w:tc>
          <w:tcPr>
            <w:tcW w:w="1162" w:type="dxa"/>
            <w:noWrap/>
            <w:hideMark/>
          </w:tcPr>
          <w:p w14:paraId="609E7687" w14:textId="77777777" w:rsidR="00D35CD9" w:rsidRPr="0039091F" w:rsidRDefault="00D35CD9" w:rsidP="000A5389">
            <w:pPr>
              <w:spacing w:line="240" w:lineRule="auto"/>
              <w:jc w:val="center"/>
              <w:rPr>
                <w:rFonts w:eastAsia="Times New Roman" w:cs="Times New Roman"/>
                <w:b/>
                <w:bCs/>
                <w:color w:val="000000"/>
                <w:sz w:val="18"/>
                <w:szCs w:val="18"/>
                <w:lang w:eastAsia="es-CO"/>
              </w:rPr>
            </w:pPr>
            <w:r w:rsidRPr="0039091F">
              <w:rPr>
                <w:rFonts w:eastAsia="Times New Roman" w:cs="Times New Roman"/>
                <w:b/>
                <w:bCs/>
                <w:color w:val="000000"/>
                <w:sz w:val="18"/>
                <w:szCs w:val="18"/>
                <w:lang w:eastAsia="es-CO"/>
              </w:rPr>
              <w:t>NIT</w:t>
            </w:r>
          </w:p>
        </w:tc>
        <w:tc>
          <w:tcPr>
            <w:tcW w:w="2802" w:type="dxa"/>
            <w:noWrap/>
            <w:hideMark/>
          </w:tcPr>
          <w:p w14:paraId="3A360504" w14:textId="77777777" w:rsidR="00D35CD9" w:rsidRPr="0039091F" w:rsidRDefault="00D35CD9" w:rsidP="000A5389">
            <w:pPr>
              <w:spacing w:line="240" w:lineRule="auto"/>
              <w:jc w:val="center"/>
              <w:rPr>
                <w:rFonts w:eastAsia="Times New Roman" w:cs="Times New Roman"/>
                <w:b/>
                <w:bCs/>
                <w:color w:val="000000"/>
                <w:sz w:val="18"/>
                <w:szCs w:val="18"/>
                <w:lang w:eastAsia="es-CO"/>
              </w:rPr>
            </w:pPr>
            <w:r w:rsidRPr="0039091F">
              <w:rPr>
                <w:rFonts w:eastAsia="Times New Roman" w:cs="Times New Roman"/>
                <w:b/>
                <w:bCs/>
                <w:color w:val="000000"/>
                <w:sz w:val="18"/>
                <w:szCs w:val="18"/>
                <w:lang w:eastAsia="es-CO"/>
              </w:rPr>
              <w:t>TERCERO</w:t>
            </w:r>
          </w:p>
        </w:tc>
        <w:tc>
          <w:tcPr>
            <w:tcW w:w="1723" w:type="dxa"/>
            <w:noWrap/>
            <w:hideMark/>
          </w:tcPr>
          <w:p w14:paraId="456B3A7A" w14:textId="77777777" w:rsidR="00D35CD9" w:rsidRPr="0039091F" w:rsidRDefault="00D35CD9" w:rsidP="000A5389">
            <w:pPr>
              <w:spacing w:line="240" w:lineRule="auto"/>
              <w:jc w:val="center"/>
              <w:rPr>
                <w:rFonts w:eastAsia="Times New Roman" w:cs="Times New Roman"/>
                <w:b/>
                <w:bCs/>
                <w:color w:val="000000"/>
                <w:sz w:val="18"/>
                <w:szCs w:val="18"/>
                <w:lang w:eastAsia="es-CO"/>
              </w:rPr>
            </w:pPr>
            <w:r w:rsidRPr="0039091F">
              <w:rPr>
                <w:rFonts w:eastAsia="Times New Roman" w:cs="Times New Roman"/>
                <w:b/>
                <w:bCs/>
                <w:color w:val="000000"/>
                <w:sz w:val="18"/>
                <w:szCs w:val="18"/>
                <w:lang w:eastAsia="es-CO"/>
              </w:rPr>
              <w:t>AÑO 2025</w:t>
            </w:r>
          </w:p>
        </w:tc>
        <w:tc>
          <w:tcPr>
            <w:tcW w:w="1540" w:type="dxa"/>
            <w:noWrap/>
            <w:hideMark/>
          </w:tcPr>
          <w:p w14:paraId="3DAF33DC" w14:textId="77777777" w:rsidR="00D35CD9" w:rsidRPr="0039091F" w:rsidRDefault="00D35CD9" w:rsidP="000A5389">
            <w:pPr>
              <w:spacing w:line="240" w:lineRule="auto"/>
              <w:jc w:val="center"/>
              <w:rPr>
                <w:rFonts w:eastAsia="Times New Roman" w:cs="Times New Roman"/>
                <w:b/>
                <w:bCs/>
                <w:color w:val="000000"/>
                <w:sz w:val="18"/>
                <w:szCs w:val="18"/>
                <w:lang w:eastAsia="es-CO"/>
              </w:rPr>
            </w:pPr>
            <w:r w:rsidRPr="0039091F">
              <w:rPr>
                <w:rFonts w:eastAsia="Times New Roman" w:cs="Times New Roman"/>
                <w:b/>
                <w:bCs/>
                <w:color w:val="000000"/>
                <w:sz w:val="18"/>
                <w:szCs w:val="18"/>
                <w:lang w:eastAsia="es-CO"/>
              </w:rPr>
              <w:t>AÑO 2024</w:t>
            </w:r>
          </w:p>
        </w:tc>
        <w:tc>
          <w:tcPr>
            <w:tcW w:w="1601" w:type="dxa"/>
            <w:noWrap/>
            <w:hideMark/>
          </w:tcPr>
          <w:p w14:paraId="05655B16" w14:textId="77777777" w:rsidR="00D35CD9" w:rsidRPr="0039091F" w:rsidRDefault="00D35CD9" w:rsidP="000A5389">
            <w:pPr>
              <w:spacing w:line="240" w:lineRule="auto"/>
              <w:jc w:val="center"/>
              <w:rPr>
                <w:rFonts w:eastAsia="Times New Roman" w:cs="Times New Roman"/>
                <w:b/>
                <w:bCs/>
                <w:color w:val="000000"/>
                <w:sz w:val="18"/>
                <w:szCs w:val="18"/>
                <w:lang w:eastAsia="es-CO"/>
              </w:rPr>
            </w:pPr>
            <w:r w:rsidRPr="0039091F">
              <w:rPr>
                <w:rFonts w:eastAsia="Times New Roman" w:cs="Times New Roman"/>
                <w:b/>
                <w:bCs/>
                <w:color w:val="000000"/>
                <w:sz w:val="18"/>
                <w:szCs w:val="18"/>
                <w:lang w:eastAsia="es-CO"/>
              </w:rPr>
              <w:t>VARIACION</w:t>
            </w:r>
          </w:p>
        </w:tc>
      </w:tr>
      <w:tr w:rsidR="00D35CD9" w:rsidRPr="0039091F" w14:paraId="450A9305" w14:textId="77777777" w:rsidTr="00F45D5E">
        <w:trPr>
          <w:trHeight w:val="293"/>
        </w:trPr>
        <w:tc>
          <w:tcPr>
            <w:tcW w:w="1162" w:type="dxa"/>
            <w:noWrap/>
            <w:hideMark/>
          </w:tcPr>
          <w:p w14:paraId="47F30797" w14:textId="77777777" w:rsidR="00D35CD9" w:rsidRPr="0039091F" w:rsidRDefault="00D35CD9" w:rsidP="000A5389">
            <w:pPr>
              <w:spacing w:line="240" w:lineRule="auto"/>
              <w:jc w:val="right"/>
              <w:rPr>
                <w:rFonts w:eastAsia="Times New Roman" w:cs="Times New Roman"/>
                <w:color w:val="000000"/>
                <w:sz w:val="18"/>
                <w:szCs w:val="18"/>
                <w:lang w:eastAsia="es-CO"/>
              </w:rPr>
            </w:pPr>
            <w:r w:rsidRPr="0039091F">
              <w:rPr>
                <w:rFonts w:eastAsia="Times New Roman" w:cs="Times New Roman"/>
                <w:color w:val="000000"/>
                <w:sz w:val="18"/>
                <w:szCs w:val="18"/>
                <w:lang w:eastAsia="es-CO"/>
              </w:rPr>
              <w:t>900848064</w:t>
            </w:r>
          </w:p>
        </w:tc>
        <w:tc>
          <w:tcPr>
            <w:tcW w:w="2802" w:type="dxa"/>
            <w:noWrap/>
            <w:hideMark/>
          </w:tcPr>
          <w:p w14:paraId="517705B2" w14:textId="77777777" w:rsidR="00D35CD9" w:rsidRPr="0039091F" w:rsidRDefault="00D35CD9" w:rsidP="000A5389">
            <w:pPr>
              <w:spacing w:line="240" w:lineRule="auto"/>
              <w:rPr>
                <w:rFonts w:eastAsia="Times New Roman" w:cs="Times New Roman"/>
                <w:color w:val="000000"/>
                <w:sz w:val="18"/>
                <w:szCs w:val="18"/>
                <w:lang w:eastAsia="es-CO"/>
              </w:rPr>
            </w:pPr>
            <w:r w:rsidRPr="0039091F">
              <w:rPr>
                <w:rFonts w:eastAsia="Times New Roman" w:cs="Times New Roman"/>
                <w:color w:val="000000"/>
                <w:sz w:val="18"/>
                <w:szCs w:val="18"/>
                <w:lang w:eastAsia="es-CO"/>
              </w:rPr>
              <w:t xml:space="preserve">Concesionaria Vial Andina S A S  </w:t>
            </w:r>
          </w:p>
        </w:tc>
        <w:tc>
          <w:tcPr>
            <w:tcW w:w="1723" w:type="dxa"/>
            <w:noWrap/>
            <w:hideMark/>
          </w:tcPr>
          <w:p w14:paraId="5E224F56" w14:textId="77777777" w:rsidR="00D35CD9" w:rsidRPr="0039091F" w:rsidRDefault="00D35CD9" w:rsidP="000A5389">
            <w:pPr>
              <w:spacing w:line="240" w:lineRule="auto"/>
              <w:jc w:val="right"/>
              <w:rPr>
                <w:rFonts w:eastAsia="Times New Roman" w:cs="Times New Roman"/>
                <w:color w:val="000000"/>
                <w:sz w:val="18"/>
                <w:szCs w:val="18"/>
                <w:lang w:eastAsia="es-CO"/>
              </w:rPr>
            </w:pPr>
            <w:r w:rsidRPr="0039091F">
              <w:rPr>
                <w:rFonts w:eastAsia="Times New Roman" w:cs="Times New Roman"/>
                <w:color w:val="000000"/>
                <w:sz w:val="18"/>
                <w:szCs w:val="18"/>
                <w:lang w:eastAsia="es-CO"/>
              </w:rPr>
              <w:t>2.538.233.243.659</w:t>
            </w:r>
          </w:p>
        </w:tc>
        <w:tc>
          <w:tcPr>
            <w:tcW w:w="1540" w:type="dxa"/>
            <w:noWrap/>
            <w:hideMark/>
          </w:tcPr>
          <w:p w14:paraId="654A6FA1" w14:textId="77777777" w:rsidR="00D35CD9" w:rsidRPr="0039091F" w:rsidRDefault="00D35CD9" w:rsidP="000A5389">
            <w:pPr>
              <w:spacing w:line="240" w:lineRule="auto"/>
              <w:jc w:val="right"/>
              <w:rPr>
                <w:rFonts w:eastAsia="Times New Roman" w:cs="Times New Roman"/>
                <w:color w:val="000000"/>
                <w:sz w:val="18"/>
                <w:szCs w:val="18"/>
                <w:lang w:eastAsia="es-CO"/>
              </w:rPr>
            </w:pPr>
            <w:r w:rsidRPr="0039091F">
              <w:rPr>
                <w:rFonts w:eastAsia="Times New Roman" w:cs="Times New Roman"/>
                <w:color w:val="000000"/>
                <w:sz w:val="18"/>
                <w:szCs w:val="18"/>
                <w:lang w:eastAsia="es-CO"/>
              </w:rPr>
              <w:t>2.585.700.665.324</w:t>
            </w:r>
          </w:p>
        </w:tc>
        <w:tc>
          <w:tcPr>
            <w:tcW w:w="1601" w:type="dxa"/>
            <w:noWrap/>
            <w:hideMark/>
          </w:tcPr>
          <w:p w14:paraId="73A96813" w14:textId="77777777" w:rsidR="00D35CD9" w:rsidRPr="0039091F" w:rsidRDefault="00D35CD9" w:rsidP="000A5389">
            <w:pPr>
              <w:spacing w:line="240" w:lineRule="auto"/>
              <w:jc w:val="right"/>
              <w:rPr>
                <w:rFonts w:eastAsia="Times New Roman" w:cs="Times New Roman"/>
                <w:color w:val="000000"/>
                <w:sz w:val="18"/>
                <w:szCs w:val="18"/>
                <w:lang w:eastAsia="es-CO"/>
              </w:rPr>
            </w:pPr>
            <w:r w:rsidRPr="0039091F">
              <w:rPr>
                <w:rFonts w:eastAsia="Times New Roman" w:cs="Times New Roman"/>
                <w:color w:val="000000"/>
                <w:sz w:val="18"/>
                <w:szCs w:val="18"/>
                <w:lang w:eastAsia="es-CO"/>
              </w:rPr>
              <w:t>-47.467.421.665</w:t>
            </w:r>
          </w:p>
        </w:tc>
      </w:tr>
      <w:tr w:rsidR="00D35CD9" w:rsidRPr="0039091F" w14:paraId="28F2D9C1" w14:textId="77777777" w:rsidTr="00F45D5E">
        <w:trPr>
          <w:trHeight w:val="293"/>
        </w:trPr>
        <w:tc>
          <w:tcPr>
            <w:tcW w:w="1162" w:type="dxa"/>
            <w:noWrap/>
            <w:hideMark/>
          </w:tcPr>
          <w:p w14:paraId="41B6F2DE" w14:textId="77777777" w:rsidR="00D35CD9" w:rsidRPr="0039091F" w:rsidRDefault="00D35CD9" w:rsidP="000A5389">
            <w:pPr>
              <w:spacing w:line="240" w:lineRule="auto"/>
              <w:jc w:val="right"/>
              <w:rPr>
                <w:rFonts w:eastAsia="Times New Roman" w:cs="Times New Roman"/>
                <w:color w:val="000000"/>
                <w:sz w:val="18"/>
                <w:szCs w:val="18"/>
                <w:lang w:eastAsia="es-CO"/>
              </w:rPr>
            </w:pPr>
            <w:r w:rsidRPr="0039091F">
              <w:rPr>
                <w:rFonts w:eastAsia="Times New Roman" w:cs="Times New Roman"/>
                <w:color w:val="000000"/>
                <w:sz w:val="18"/>
                <w:szCs w:val="18"/>
                <w:lang w:eastAsia="es-CO"/>
              </w:rPr>
              <w:t>901009478</w:t>
            </w:r>
          </w:p>
        </w:tc>
        <w:tc>
          <w:tcPr>
            <w:tcW w:w="2802" w:type="dxa"/>
            <w:noWrap/>
            <w:hideMark/>
          </w:tcPr>
          <w:p w14:paraId="22901680" w14:textId="77777777" w:rsidR="00D35CD9" w:rsidRPr="0039091F" w:rsidRDefault="00D35CD9" w:rsidP="000A5389">
            <w:pPr>
              <w:spacing w:line="240" w:lineRule="auto"/>
              <w:rPr>
                <w:rFonts w:eastAsia="Times New Roman" w:cs="Times New Roman"/>
                <w:color w:val="000000"/>
                <w:sz w:val="18"/>
                <w:szCs w:val="18"/>
                <w:lang w:eastAsia="es-CO"/>
              </w:rPr>
            </w:pPr>
            <w:r w:rsidRPr="0039091F">
              <w:rPr>
                <w:rFonts w:eastAsia="Times New Roman" w:cs="Times New Roman"/>
                <w:color w:val="000000"/>
                <w:sz w:val="18"/>
                <w:szCs w:val="18"/>
                <w:lang w:eastAsia="es-CO"/>
              </w:rPr>
              <w:t>Vía 40 Express S.A.S.</w:t>
            </w:r>
          </w:p>
        </w:tc>
        <w:tc>
          <w:tcPr>
            <w:tcW w:w="1723" w:type="dxa"/>
            <w:noWrap/>
            <w:hideMark/>
          </w:tcPr>
          <w:p w14:paraId="0CBBFCE7" w14:textId="77777777" w:rsidR="00D35CD9" w:rsidRPr="0039091F" w:rsidRDefault="00D35CD9" w:rsidP="000A5389">
            <w:pPr>
              <w:spacing w:line="240" w:lineRule="auto"/>
              <w:jc w:val="right"/>
              <w:rPr>
                <w:rFonts w:eastAsia="Times New Roman" w:cs="Times New Roman"/>
                <w:color w:val="000000"/>
                <w:sz w:val="18"/>
                <w:szCs w:val="18"/>
                <w:lang w:eastAsia="es-CO"/>
              </w:rPr>
            </w:pPr>
            <w:r w:rsidRPr="0039091F">
              <w:rPr>
                <w:rFonts w:eastAsia="Times New Roman" w:cs="Times New Roman"/>
                <w:color w:val="000000"/>
                <w:sz w:val="18"/>
                <w:szCs w:val="18"/>
                <w:lang w:eastAsia="es-CO"/>
              </w:rPr>
              <w:t>2.246.544.079.732</w:t>
            </w:r>
          </w:p>
        </w:tc>
        <w:tc>
          <w:tcPr>
            <w:tcW w:w="1540" w:type="dxa"/>
            <w:noWrap/>
            <w:hideMark/>
          </w:tcPr>
          <w:p w14:paraId="22E1D993" w14:textId="77777777" w:rsidR="00D35CD9" w:rsidRPr="0039091F" w:rsidRDefault="00D35CD9" w:rsidP="000A5389">
            <w:pPr>
              <w:spacing w:line="240" w:lineRule="auto"/>
              <w:jc w:val="right"/>
              <w:rPr>
                <w:rFonts w:eastAsia="Times New Roman" w:cs="Times New Roman"/>
                <w:color w:val="000000"/>
                <w:sz w:val="18"/>
                <w:szCs w:val="18"/>
                <w:lang w:eastAsia="es-CO"/>
              </w:rPr>
            </w:pPr>
            <w:r w:rsidRPr="0039091F">
              <w:rPr>
                <w:rFonts w:eastAsia="Times New Roman" w:cs="Times New Roman"/>
                <w:color w:val="000000"/>
                <w:sz w:val="18"/>
                <w:szCs w:val="18"/>
                <w:lang w:eastAsia="es-CO"/>
              </w:rPr>
              <w:t>2.204.536.075.608</w:t>
            </w:r>
          </w:p>
        </w:tc>
        <w:tc>
          <w:tcPr>
            <w:tcW w:w="1601" w:type="dxa"/>
            <w:noWrap/>
            <w:hideMark/>
          </w:tcPr>
          <w:p w14:paraId="4D64A3F5" w14:textId="77777777" w:rsidR="00D35CD9" w:rsidRPr="0039091F" w:rsidRDefault="00D35CD9" w:rsidP="000A5389">
            <w:pPr>
              <w:spacing w:line="240" w:lineRule="auto"/>
              <w:jc w:val="right"/>
              <w:rPr>
                <w:rFonts w:eastAsia="Times New Roman" w:cs="Times New Roman"/>
                <w:color w:val="000000"/>
                <w:sz w:val="18"/>
                <w:szCs w:val="18"/>
                <w:lang w:eastAsia="es-CO"/>
              </w:rPr>
            </w:pPr>
            <w:r w:rsidRPr="0039091F">
              <w:rPr>
                <w:rFonts w:eastAsia="Times New Roman" w:cs="Times New Roman"/>
                <w:color w:val="000000"/>
                <w:sz w:val="18"/>
                <w:szCs w:val="18"/>
                <w:lang w:eastAsia="es-CO"/>
              </w:rPr>
              <w:t>42.008.004.124</w:t>
            </w:r>
          </w:p>
        </w:tc>
      </w:tr>
      <w:tr w:rsidR="00D35CD9" w:rsidRPr="0039091F" w14:paraId="37C5DB25" w14:textId="77777777" w:rsidTr="00F45D5E">
        <w:trPr>
          <w:trHeight w:val="293"/>
        </w:trPr>
        <w:tc>
          <w:tcPr>
            <w:tcW w:w="1162" w:type="dxa"/>
            <w:noWrap/>
            <w:hideMark/>
          </w:tcPr>
          <w:p w14:paraId="07987C3C" w14:textId="77777777" w:rsidR="00D35CD9" w:rsidRPr="0039091F" w:rsidRDefault="00D35CD9" w:rsidP="000A5389">
            <w:pPr>
              <w:spacing w:line="240" w:lineRule="auto"/>
              <w:jc w:val="right"/>
              <w:rPr>
                <w:rFonts w:eastAsia="Times New Roman" w:cs="Times New Roman"/>
                <w:color w:val="000000"/>
                <w:sz w:val="18"/>
                <w:szCs w:val="18"/>
                <w:lang w:eastAsia="es-CO"/>
              </w:rPr>
            </w:pPr>
            <w:r w:rsidRPr="0039091F">
              <w:rPr>
                <w:rFonts w:eastAsia="Times New Roman" w:cs="Times New Roman"/>
                <w:color w:val="000000"/>
                <w:sz w:val="18"/>
                <w:szCs w:val="18"/>
                <w:lang w:eastAsia="es-CO"/>
              </w:rPr>
              <w:t>900871368</w:t>
            </w:r>
          </w:p>
        </w:tc>
        <w:tc>
          <w:tcPr>
            <w:tcW w:w="2802" w:type="dxa"/>
            <w:noWrap/>
            <w:hideMark/>
          </w:tcPr>
          <w:p w14:paraId="7FE2C955" w14:textId="77777777" w:rsidR="00D35CD9" w:rsidRPr="0039091F" w:rsidRDefault="00D35CD9" w:rsidP="000A5389">
            <w:pPr>
              <w:spacing w:line="240" w:lineRule="auto"/>
              <w:rPr>
                <w:rFonts w:eastAsia="Times New Roman" w:cs="Times New Roman"/>
                <w:color w:val="000000"/>
                <w:sz w:val="18"/>
                <w:szCs w:val="18"/>
                <w:lang w:eastAsia="es-CO"/>
              </w:rPr>
            </w:pPr>
            <w:r w:rsidRPr="0039091F">
              <w:rPr>
                <w:rFonts w:eastAsia="Times New Roman" w:cs="Times New Roman"/>
                <w:color w:val="000000"/>
                <w:sz w:val="18"/>
                <w:szCs w:val="18"/>
                <w:lang w:eastAsia="es-CO"/>
              </w:rPr>
              <w:t>Concesionaria Ruta del Cacao S.A.S.</w:t>
            </w:r>
          </w:p>
        </w:tc>
        <w:tc>
          <w:tcPr>
            <w:tcW w:w="1723" w:type="dxa"/>
            <w:noWrap/>
            <w:hideMark/>
          </w:tcPr>
          <w:p w14:paraId="3A52C348" w14:textId="77777777" w:rsidR="00D35CD9" w:rsidRPr="0039091F" w:rsidRDefault="00D35CD9" w:rsidP="000A5389">
            <w:pPr>
              <w:spacing w:line="240" w:lineRule="auto"/>
              <w:jc w:val="right"/>
              <w:rPr>
                <w:rFonts w:eastAsia="Times New Roman" w:cs="Times New Roman"/>
                <w:color w:val="000000"/>
                <w:sz w:val="18"/>
                <w:szCs w:val="18"/>
                <w:lang w:eastAsia="es-CO"/>
              </w:rPr>
            </w:pPr>
            <w:r w:rsidRPr="0039091F">
              <w:rPr>
                <w:rFonts w:eastAsia="Times New Roman" w:cs="Times New Roman"/>
                <w:color w:val="000000"/>
                <w:sz w:val="18"/>
                <w:szCs w:val="18"/>
                <w:lang w:eastAsia="es-CO"/>
              </w:rPr>
              <w:t>1.182.000.279.236</w:t>
            </w:r>
          </w:p>
        </w:tc>
        <w:tc>
          <w:tcPr>
            <w:tcW w:w="1540" w:type="dxa"/>
            <w:noWrap/>
            <w:hideMark/>
          </w:tcPr>
          <w:p w14:paraId="141A6F4F" w14:textId="77777777" w:rsidR="00D35CD9" w:rsidRPr="0039091F" w:rsidRDefault="00D35CD9" w:rsidP="000A5389">
            <w:pPr>
              <w:spacing w:line="240" w:lineRule="auto"/>
              <w:jc w:val="right"/>
              <w:rPr>
                <w:rFonts w:eastAsia="Times New Roman" w:cs="Times New Roman"/>
                <w:color w:val="000000"/>
                <w:sz w:val="18"/>
                <w:szCs w:val="18"/>
                <w:lang w:eastAsia="es-CO"/>
              </w:rPr>
            </w:pPr>
            <w:r w:rsidRPr="0039091F">
              <w:rPr>
                <w:rFonts w:eastAsia="Times New Roman" w:cs="Times New Roman"/>
                <w:color w:val="000000"/>
                <w:sz w:val="18"/>
                <w:szCs w:val="18"/>
                <w:lang w:eastAsia="es-CO"/>
              </w:rPr>
              <w:t>1.283.964.487.316</w:t>
            </w:r>
          </w:p>
        </w:tc>
        <w:tc>
          <w:tcPr>
            <w:tcW w:w="1601" w:type="dxa"/>
            <w:noWrap/>
            <w:hideMark/>
          </w:tcPr>
          <w:p w14:paraId="552CEE7C" w14:textId="77777777" w:rsidR="00D35CD9" w:rsidRPr="0039091F" w:rsidRDefault="00D35CD9" w:rsidP="000A5389">
            <w:pPr>
              <w:spacing w:line="240" w:lineRule="auto"/>
              <w:jc w:val="right"/>
              <w:rPr>
                <w:rFonts w:eastAsia="Times New Roman" w:cs="Times New Roman"/>
                <w:color w:val="000000"/>
                <w:sz w:val="18"/>
                <w:szCs w:val="18"/>
                <w:lang w:eastAsia="es-CO"/>
              </w:rPr>
            </w:pPr>
            <w:r w:rsidRPr="0039091F">
              <w:rPr>
                <w:rFonts w:eastAsia="Times New Roman" w:cs="Times New Roman"/>
                <w:color w:val="000000"/>
                <w:sz w:val="18"/>
                <w:szCs w:val="18"/>
                <w:lang w:eastAsia="es-CO"/>
              </w:rPr>
              <w:t>-101.964.208.080</w:t>
            </w:r>
          </w:p>
        </w:tc>
      </w:tr>
      <w:tr w:rsidR="00D35CD9" w:rsidRPr="0039091F" w14:paraId="1211121E" w14:textId="77777777" w:rsidTr="00F45D5E">
        <w:trPr>
          <w:trHeight w:val="293"/>
        </w:trPr>
        <w:tc>
          <w:tcPr>
            <w:tcW w:w="1162" w:type="dxa"/>
            <w:noWrap/>
            <w:hideMark/>
          </w:tcPr>
          <w:p w14:paraId="3C74FAF3" w14:textId="77777777" w:rsidR="00D35CD9" w:rsidRPr="0039091F" w:rsidRDefault="00D35CD9" w:rsidP="000A5389">
            <w:pPr>
              <w:spacing w:line="240" w:lineRule="auto"/>
              <w:jc w:val="right"/>
              <w:rPr>
                <w:rFonts w:eastAsia="Times New Roman" w:cs="Times New Roman"/>
                <w:color w:val="000000"/>
                <w:sz w:val="18"/>
                <w:szCs w:val="18"/>
                <w:lang w:eastAsia="es-CO"/>
              </w:rPr>
            </w:pPr>
            <w:r w:rsidRPr="0039091F">
              <w:rPr>
                <w:rFonts w:eastAsia="Times New Roman" w:cs="Times New Roman"/>
                <w:color w:val="000000"/>
                <w:sz w:val="18"/>
                <w:szCs w:val="18"/>
                <w:lang w:eastAsia="es-CO"/>
              </w:rPr>
              <w:t>900862215</w:t>
            </w:r>
          </w:p>
        </w:tc>
        <w:tc>
          <w:tcPr>
            <w:tcW w:w="2802" w:type="dxa"/>
            <w:noWrap/>
            <w:hideMark/>
          </w:tcPr>
          <w:p w14:paraId="6ECC1451" w14:textId="77777777" w:rsidR="00D35CD9" w:rsidRPr="0039091F" w:rsidRDefault="00D35CD9" w:rsidP="000A5389">
            <w:pPr>
              <w:spacing w:line="240" w:lineRule="auto"/>
              <w:rPr>
                <w:rFonts w:eastAsia="Times New Roman" w:cs="Times New Roman"/>
                <w:color w:val="000000"/>
                <w:sz w:val="18"/>
                <w:szCs w:val="18"/>
                <w:lang w:eastAsia="es-CO"/>
              </w:rPr>
            </w:pPr>
            <w:r w:rsidRPr="0039091F">
              <w:rPr>
                <w:rFonts w:eastAsia="Times New Roman" w:cs="Times New Roman"/>
                <w:color w:val="000000"/>
                <w:sz w:val="18"/>
                <w:szCs w:val="18"/>
                <w:lang w:eastAsia="es-CO"/>
              </w:rPr>
              <w:t>Concesionaria Vial del Oriente S A S</w:t>
            </w:r>
          </w:p>
        </w:tc>
        <w:tc>
          <w:tcPr>
            <w:tcW w:w="1723" w:type="dxa"/>
            <w:noWrap/>
            <w:hideMark/>
          </w:tcPr>
          <w:p w14:paraId="263451AD" w14:textId="77777777" w:rsidR="00D35CD9" w:rsidRPr="0039091F" w:rsidRDefault="00D35CD9" w:rsidP="000A5389">
            <w:pPr>
              <w:spacing w:line="240" w:lineRule="auto"/>
              <w:jc w:val="right"/>
              <w:rPr>
                <w:rFonts w:eastAsia="Times New Roman" w:cs="Times New Roman"/>
                <w:color w:val="000000"/>
                <w:sz w:val="18"/>
                <w:szCs w:val="18"/>
                <w:lang w:eastAsia="es-CO"/>
              </w:rPr>
            </w:pPr>
            <w:r w:rsidRPr="0039091F">
              <w:rPr>
                <w:rFonts w:eastAsia="Times New Roman" w:cs="Times New Roman"/>
                <w:color w:val="000000"/>
                <w:sz w:val="18"/>
                <w:szCs w:val="18"/>
                <w:lang w:eastAsia="es-CO"/>
              </w:rPr>
              <w:t>1.141.859.801.359</w:t>
            </w:r>
          </w:p>
        </w:tc>
        <w:tc>
          <w:tcPr>
            <w:tcW w:w="1540" w:type="dxa"/>
            <w:noWrap/>
            <w:hideMark/>
          </w:tcPr>
          <w:p w14:paraId="402E2334" w14:textId="77777777" w:rsidR="00D35CD9" w:rsidRPr="0039091F" w:rsidRDefault="00D35CD9" w:rsidP="000A5389">
            <w:pPr>
              <w:spacing w:line="240" w:lineRule="auto"/>
              <w:jc w:val="right"/>
              <w:rPr>
                <w:rFonts w:eastAsia="Times New Roman" w:cs="Times New Roman"/>
                <w:color w:val="000000"/>
                <w:sz w:val="18"/>
                <w:szCs w:val="18"/>
                <w:lang w:eastAsia="es-CO"/>
              </w:rPr>
            </w:pPr>
            <w:r w:rsidRPr="0039091F">
              <w:rPr>
                <w:rFonts w:eastAsia="Times New Roman" w:cs="Times New Roman"/>
                <w:color w:val="000000"/>
                <w:sz w:val="18"/>
                <w:szCs w:val="18"/>
                <w:lang w:eastAsia="es-CO"/>
              </w:rPr>
              <w:t>1.214.183.196.405</w:t>
            </w:r>
          </w:p>
        </w:tc>
        <w:tc>
          <w:tcPr>
            <w:tcW w:w="1601" w:type="dxa"/>
            <w:noWrap/>
            <w:hideMark/>
          </w:tcPr>
          <w:p w14:paraId="45095510" w14:textId="77777777" w:rsidR="00D35CD9" w:rsidRPr="0039091F" w:rsidRDefault="00D35CD9" w:rsidP="000A5389">
            <w:pPr>
              <w:spacing w:line="240" w:lineRule="auto"/>
              <w:jc w:val="right"/>
              <w:rPr>
                <w:rFonts w:eastAsia="Times New Roman" w:cs="Times New Roman"/>
                <w:color w:val="000000"/>
                <w:sz w:val="18"/>
                <w:szCs w:val="18"/>
                <w:lang w:eastAsia="es-CO"/>
              </w:rPr>
            </w:pPr>
            <w:r w:rsidRPr="0039091F">
              <w:rPr>
                <w:rFonts w:eastAsia="Times New Roman" w:cs="Times New Roman"/>
                <w:color w:val="000000"/>
                <w:sz w:val="18"/>
                <w:szCs w:val="18"/>
                <w:lang w:eastAsia="es-CO"/>
              </w:rPr>
              <w:t>-72.323.395.046</w:t>
            </w:r>
          </w:p>
        </w:tc>
      </w:tr>
      <w:tr w:rsidR="00D35CD9" w:rsidRPr="0039091F" w14:paraId="1F104A98" w14:textId="77777777" w:rsidTr="00F45D5E">
        <w:trPr>
          <w:trHeight w:val="293"/>
        </w:trPr>
        <w:tc>
          <w:tcPr>
            <w:tcW w:w="1162" w:type="dxa"/>
            <w:noWrap/>
            <w:hideMark/>
          </w:tcPr>
          <w:p w14:paraId="33F0D16E" w14:textId="77777777" w:rsidR="00D35CD9" w:rsidRPr="0039091F" w:rsidRDefault="00D35CD9" w:rsidP="000A5389">
            <w:pPr>
              <w:spacing w:line="240" w:lineRule="auto"/>
              <w:jc w:val="right"/>
              <w:rPr>
                <w:rFonts w:eastAsia="Times New Roman" w:cs="Times New Roman"/>
                <w:color w:val="000000"/>
                <w:sz w:val="18"/>
                <w:szCs w:val="18"/>
                <w:lang w:eastAsia="es-CO"/>
              </w:rPr>
            </w:pPr>
            <w:r w:rsidRPr="0039091F">
              <w:rPr>
                <w:rFonts w:eastAsia="Times New Roman" w:cs="Times New Roman"/>
                <w:color w:val="000000"/>
                <w:sz w:val="18"/>
                <w:szCs w:val="18"/>
                <w:lang w:eastAsia="es-CO"/>
              </w:rPr>
              <w:t>900920562</w:t>
            </w:r>
          </w:p>
        </w:tc>
        <w:tc>
          <w:tcPr>
            <w:tcW w:w="2802" w:type="dxa"/>
            <w:noWrap/>
            <w:hideMark/>
          </w:tcPr>
          <w:p w14:paraId="389F3C35" w14:textId="77777777" w:rsidR="00D35CD9" w:rsidRPr="0039091F" w:rsidRDefault="00D35CD9" w:rsidP="000A5389">
            <w:pPr>
              <w:spacing w:line="240" w:lineRule="auto"/>
              <w:rPr>
                <w:rFonts w:eastAsia="Times New Roman" w:cs="Times New Roman"/>
                <w:color w:val="000000"/>
                <w:sz w:val="18"/>
                <w:szCs w:val="18"/>
                <w:lang w:eastAsia="es-CO"/>
              </w:rPr>
            </w:pPr>
            <w:r w:rsidRPr="0039091F">
              <w:rPr>
                <w:rFonts w:eastAsia="Times New Roman" w:cs="Times New Roman"/>
                <w:color w:val="000000"/>
                <w:sz w:val="18"/>
                <w:szCs w:val="18"/>
                <w:lang w:eastAsia="es-CO"/>
              </w:rPr>
              <w:t>Concesión Vías del Nus S.A.S</w:t>
            </w:r>
          </w:p>
        </w:tc>
        <w:tc>
          <w:tcPr>
            <w:tcW w:w="1723" w:type="dxa"/>
            <w:noWrap/>
            <w:hideMark/>
          </w:tcPr>
          <w:p w14:paraId="4FD58F86" w14:textId="77777777" w:rsidR="00D35CD9" w:rsidRPr="0039091F" w:rsidRDefault="00D35CD9" w:rsidP="000A5389">
            <w:pPr>
              <w:spacing w:line="240" w:lineRule="auto"/>
              <w:jc w:val="right"/>
              <w:rPr>
                <w:rFonts w:eastAsia="Times New Roman" w:cs="Times New Roman"/>
                <w:color w:val="000000"/>
                <w:sz w:val="18"/>
                <w:szCs w:val="18"/>
                <w:lang w:eastAsia="es-CO"/>
              </w:rPr>
            </w:pPr>
            <w:r w:rsidRPr="0039091F">
              <w:rPr>
                <w:rFonts w:eastAsia="Times New Roman" w:cs="Times New Roman"/>
                <w:color w:val="000000"/>
                <w:sz w:val="18"/>
                <w:szCs w:val="18"/>
                <w:lang w:eastAsia="es-CO"/>
              </w:rPr>
              <w:t>1.032.212.955.475</w:t>
            </w:r>
          </w:p>
        </w:tc>
        <w:tc>
          <w:tcPr>
            <w:tcW w:w="1540" w:type="dxa"/>
            <w:noWrap/>
            <w:hideMark/>
          </w:tcPr>
          <w:p w14:paraId="4EEFF274" w14:textId="77777777" w:rsidR="00D35CD9" w:rsidRPr="0039091F" w:rsidRDefault="00D35CD9" w:rsidP="000A5389">
            <w:pPr>
              <w:spacing w:line="240" w:lineRule="auto"/>
              <w:jc w:val="right"/>
              <w:rPr>
                <w:rFonts w:eastAsia="Times New Roman" w:cs="Times New Roman"/>
                <w:color w:val="000000"/>
                <w:sz w:val="18"/>
                <w:szCs w:val="18"/>
                <w:lang w:eastAsia="es-CO"/>
              </w:rPr>
            </w:pPr>
            <w:r w:rsidRPr="0039091F">
              <w:rPr>
                <w:rFonts w:eastAsia="Times New Roman" w:cs="Times New Roman"/>
                <w:color w:val="000000"/>
                <w:sz w:val="18"/>
                <w:szCs w:val="18"/>
                <w:lang w:eastAsia="es-CO"/>
              </w:rPr>
              <w:t>1.083.319.538.322</w:t>
            </w:r>
          </w:p>
        </w:tc>
        <w:tc>
          <w:tcPr>
            <w:tcW w:w="1601" w:type="dxa"/>
            <w:noWrap/>
            <w:hideMark/>
          </w:tcPr>
          <w:p w14:paraId="66351FC2" w14:textId="77777777" w:rsidR="00D35CD9" w:rsidRPr="0039091F" w:rsidRDefault="00D35CD9" w:rsidP="000A5389">
            <w:pPr>
              <w:spacing w:line="240" w:lineRule="auto"/>
              <w:jc w:val="right"/>
              <w:rPr>
                <w:rFonts w:eastAsia="Times New Roman" w:cs="Times New Roman"/>
                <w:color w:val="000000"/>
                <w:sz w:val="18"/>
                <w:szCs w:val="18"/>
                <w:lang w:eastAsia="es-CO"/>
              </w:rPr>
            </w:pPr>
            <w:r w:rsidRPr="0039091F">
              <w:rPr>
                <w:rFonts w:eastAsia="Times New Roman" w:cs="Times New Roman"/>
                <w:color w:val="000000"/>
                <w:sz w:val="18"/>
                <w:szCs w:val="18"/>
                <w:lang w:eastAsia="es-CO"/>
              </w:rPr>
              <w:t>-51.106.582.847</w:t>
            </w:r>
          </w:p>
        </w:tc>
      </w:tr>
      <w:tr w:rsidR="00D35CD9" w:rsidRPr="0039091F" w14:paraId="7D6FAF60" w14:textId="77777777" w:rsidTr="00F45D5E">
        <w:trPr>
          <w:trHeight w:val="293"/>
        </w:trPr>
        <w:tc>
          <w:tcPr>
            <w:tcW w:w="1162" w:type="dxa"/>
            <w:noWrap/>
            <w:hideMark/>
          </w:tcPr>
          <w:p w14:paraId="4F0A5906" w14:textId="77777777" w:rsidR="00D35CD9" w:rsidRPr="0039091F" w:rsidRDefault="00D35CD9" w:rsidP="000A5389">
            <w:pPr>
              <w:spacing w:line="240" w:lineRule="auto"/>
              <w:jc w:val="right"/>
              <w:rPr>
                <w:rFonts w:eastAsia="Times New Roman" w:cs="Times New Roman"/>
                <w:color w:val="000000"/>
                <w:sz w:val="18"/>
                <w:szCs w:val="18"/>
                <w:lang w:eastAsia="es-CO"/>
              </w:rPr>
            </w:pPr>
            <w:r w:rsidRPr="0039091F">
              <w:rPr>
                <w:rFonts w:eastAsia="Times New Roman" w:cs="Times New Roman"/>
                <w:color w:val="000000"/>
                <w:sz w:val="18"/>
                <w:szCs w:val="18"/>
                <w:lang w:eastAsia="es-CO"/>
              </w:rPr>
              <w:t>901621257</w:t>
            </w:r>
          </w:p>
        </w:tc>
        <w:tc>
          <w:tcPr>
            <w:tcW w:w="2802" w:type="dxa"/>
            <w:noWrap/>
            <w:hideMark/>
          </w:tcPr>
          <w:p w14:paraId="5B0610AC" w14:textId="77777777" w:rsidR="00D35CD9" w:rsidRPr="0039091F" w:rsidRDefault="00D35CD9" w:rsidP="000A5389">
            <w:pPr>
              <w:spacing w:line="240" w:lineRule="auto"/>
              <w:rPr>
                <w:rFonts w:eastAsia="Times New Roman" w:cs="Times New Roman"/>
                <w:color w:val="000000"/>
                <w:sz w:val="18"/>
                <w:szCs w:val="18"/>
                <w:lang w:eastAsia="es-CO"/>
              </w:rPr>
            </w:pPr>
            <w:r w:rsidRPr="0039091F">
              <w:rPr>
                <w:rFonts w:eastAsia="Times New Roman" w:cs="Times New Roman"/>
                <w:color w:val="000000"/>
                <w:sz w:val="18"/>
                <w:szCs w:val="18"/>
                <w:lang w:eastAsia="es-CO"/>
              </w:rPr>
              <w:t>Unión Vial Camino del Pacífico S.A.S.</w:t>
            </w:r>
          </w:p>
        </w:tc>
        <w:tc>
          <w:tcPr>
            <w:tcW w:w="1723" w:type="dxa"/>
            <w:noWrap/>
            <w:hideMark/>
          </w:tcPr>
          <w:p w14:paraId="12BA79FE" w14:textId="77777777" w:rsidR="00D35CD9" w:rsidRPr="0039091F" w:rsidRDefault="00D35CD9" w:rsidP="000A5389">
            <w:pPr>
              <w:spacing w:line="240" w:lineRule="auto"/>
              <w:jc w:val="right"/>
              <w:rPr>
                <w:rFonts w:eastAsia="Times New Roman" w:cs="Times New Roman"/>
                <w:color w:val="000000"/>
                <w:sz w:val="18"/>
                <w:szCs w:val="18"/>
                <w:lang w:eastAsia="es-CO"/>
              </w:rPr>
            </w:pPr>
            <w:r w:rsidRPr="0039091F">
              <w:rPr>
                <w:rFonts w:eastAsia="Times New Roman" w:cs="Times New Roman"/>
                <w:color w:val="000000"/>
                <w:sz w:val="18"/>
                <w:szCs w:val="18"/>
                <w:lang w:eastAsia="es-CO"/>
              </w:rPr>
              <w:t>995.243.971.165</w:t>
            </w:r>
          </w:p>
        </w:tc>
        <w:tc>
          <w:tcPr>
            <w:tcW w:w="1540" w:type="dxa"/>
            <w:noWrap/>
            <w:hideMark/>
          </w:tcPr>
          <w:p w14:paraId="16E6C125" w14:textId="77777777" w:rsidR="00D35CD9" w:rsidRPr="0039091F" w:rsidRDefault="00D35CD9" w:rsidP="000A5389">
            <w:pPr>
              <w:spacing w:line="240" w:lineRule="auto"/>
              <w:jc w:val="right"/>
              <w:rPr>
                <w:rFonts w:eastAsia="Times New Roman" w:cs="Times New Roman"/>
                <w:color w:val="000000"/>
                <w:sz w:val="18"/>
                <w:szCs w:val="18"/>
                <w:lang w:eastAsia="es-CO"/>
              </w:rPr>
            </w:pPr>
            <w:r w:rsidRPr="0039091F">
              <w:rPr>
                <w:rFonts w:eastAsia="Times New Roman" w:cs="Times New Roman"/>
                <w:color w:val="000000"/>
                <w:sz w:val="18"/>
                <w:szCs w:val="18"/>
                <w:lang w:eastAsia="es-CO"/>
              </w:rPr>
              <w:t>237.521.865.285</w:t>
            </w:r>
          </w:p>
        </w:tc>
        <w:tc>
          <w:tcPr>
            <w:tcW w:w="1601" w:type="dxa"/>
            <w:noWrap/>
            <w:hideMark/>
          </w:tcPr>
          <w:p w14:paraId="2D8C60F0" w14:textId="77777777" w:rsidR="00D35CD9" w:rsidRPr="0039091F" w:rsidRDefault="00D35CD9" w:rsidP="000A5389">
            <w:pPr>
              <w:spacing w:line="240" w:lineRule="auto"/>
              <w:jc w:val="right"/>
              <w:rPr>
                <w:rFonts w:eastAsia="Times New Roman" w:cs="Times New Roman"/>
                <w:color w:val="000000"/>
                <w:sz w:val="18"/>
                <w:szCs w:val="18"/>
                <w:lang w:eastAsia="es-CO"/>
              </w:rPr>
            </w:pPr>
            <w:r w:rsidRPr="0039091F">
              <w:rPr>
                <w:rFonts w:eastAsia="Times New Roman" w:cs="Times New Roman"/>
                <w:color w:val="000000"/>
                <w:sz w:val="18"/>
                <w:szCs w:val="18"/>
                <w:lang w:eastAsia="es-CO"/>
              </w:rPr>
              <w:t>757.722.105.880</w:t>
            </w:r>
          </w:p>
        </w:tc>
      </w:tr>
      <w:tr w:rsidR="00D35CD9" w:rsidRPr="0039091F" w14:paraId="246E5E67" w14:textId="77777777" w:rsidTr="00F45D5E">
        <w:trPr>
          <w:trHeight w:val="293"/>
        </w:trPr>
        <w:tc>
          <w:tcPr>
            <w:tcW w:w="1162" w:type="dxa"/>
            <w:noWrap/>
            <w:hideMark/>
          </w:tcPr>
          <w:p w14:paraId="40A7EE0F" w14:textId="77777777" w:rsidR="00D35CD9" w:rsidRPr="0039091F" w:rsidRDefault="00D35CD9" w:rsidP="000A5389">
            <w:pPr>
              <w:spacing w:line="240" w:lineRule="auto"/>
              <w:jc w:val="right"/>
              <w:rPr>
                <w:rFonts w:eastAsia="Times New Roman" w:cs="Times New Roman"/>
                <w:color w:val="000000"/>
                <w:sz w:val="18"/>
                <w:szCs w:val="18"/>
                <w:lang w:eastAsia="es-CO"/>
              </w:rPr>
            </w:pPr>
            <w:r w:rsidRPr="0039091F">
              <w:rPr>
                <w:rFonts w:eastAsia="Times New Roman" w:cs="Times New Roman"/>
                <w:color w:val="000000"/>
                <w:sz w:val="18"/>
                <w:szCs w:val="18"/>
                <w:lang w:eastAsia="es-CO"/>
              </w:rPr>
              <w:t>901489697</w:t>
            </w:r>
          </w:p>
        </w:tc>
        <w:tc>
          <w:tcPr>
            <w:tcW w:w="2802" w:type="dxa"/>
            <w:noWrap/>
            <w:hideMark/>
          </w:tcPr>
          <w:p w14:paraId="05649CC7" w14:textId="77777777" w:rsidR="00D35CD9" w:rsidRPr="0039091F" w:rsidRDefault="00D35CD9" w:rsidP="000A5389">
            <w:pPr>
              <w:spacing w:line="240" w:lineRule="auto"/>
              <w:rPr>
                <w:rFonts w:eastAsia="Times New Roman" w:cs="Times New Roman"/>
                <w:color w:val="000000"/>
                <w:sz w:val="18"/>
                <w:szCs w:val="18"/>
                <w:lang w:eastAsia="es-CO"/>
              </w:rPr>
            </w:pPr>
            <w:r w:rsidRPr="0039091F">
              <w:rPr>
                <w:rFonts w:eastAsia="Times New Roman" w:cs="Times New Roman"/>
                <w:color w:val="000000"/>
                <w:sz w:val="18"/>
                <w:szCs w:val="18"/>
                <w:lang w:eastAsia="es-CO"/>
              </w:rPr>
              <w:t xml:space="preserve">Concesionaria Rutas del Valle S.A.S. </w:t>
            </w:r>
          </w:p>
        </w:tc>
        <w:tc>
          <w:tcPr>
            <w:tcW w:w="1723" w:type="dxa"/>
            <w:noWrap/>
            <w:hideMark/>
          </w:tcPr>
          <w:p w14:paraId="7FDF4446" w14:textId="77777777" w:rsidR="00D35CD9" w:rsidRPr="0039091F" w:rsidRDefault="00D35CD9" w:rsidP="000A5389">
            <w:pPr>
              <w:spacing w:line="240" w:lineRule="auto"/>
              <w:jc w:val="right"/>
              <w:rPr>
                <w:rFonts w:eastAsia="Times New Roman" w:cs="Times New Roman"/>
                <w:color w:val="000000"/>
                <w:sz w:val="18"/>
                <w:szCs w:val="18"/>
                <w:lang w:eastAsia="es-CO"/>
              </w:rPr>
            </w:pPr>
            <w:r w:rsidRPr="0039091F">
              <w:rPr>
                <w:rFonts w:eastAsia="Times New Roman" w:cs="Times New Roman"/>
                <w:color w:val="000000"/>
                <w:sz w:val="18"/>
                <w:szCs w:val="18"/>
                <w:lang w:eastAsia="es-CO"/>
              </w:rPr>
              <w:t>960.386.602.119</w:t>
            </w:r>
          </w:p>
        </w:tc>
        <w:tc>
          <w:tcPr>
            <w:tcW w:w="1540" w:type="dxa"/>
            <w:noWrap/>
            <w:hideMark/>
          </w:tcPr>
          <w:p w14:paraId="334B244C" w14:textId="77777777" w:rsidR="00D35CD9" w:rsidRPr="0039091F" w:rsidRDefault="00D35CD9" w:rsidP="000A5389">
            <w:pPr>
              <w:spacing w:line="240" w:lineRule="auto"/>
              <w:jc w:val="right"/>
              <w:rPr>
                <w:rFonts w:eastAsia="Times New Roman" w:cs="Times New Roman"/>
                <w:color w:val="000000"/>
                <w:sz w:val="18"/>
                <w:szCs w:val="18"/>
                <w:lang w:eastAsia="es-CO"/>
              </w:rPr>
            </w:pPr>
            <w:r w:rsidRPr="0039091F">
              <w:rPr>
                <w:rFonts w:eastAsia="Times New Roman" w:cs="Times New Roman"/>
                <w:color w:val="000000"/>
                <w:sz w:val="18"/>
                <w:szCs w:val="18"/>
                <w:lang w:eastAsia="es-CO"/>
              </w:rPr>
              <w:t>393.965.085.670</w:t>
            </w:r>
          </w:p>
        </w:tc>
        <w:tc>
          <w:tcPr>
            <w:tcW w:w="1601" w:type="dxa"/>
            <w:noWrap/>
            <w:hideMark/>
          </w:tcPr>
          <w:p w14:paraId="64BC3C9E" w14:textId="77777777" w:rsidR="00D35CD9" w:rsidRPr="0039091F" w:rsidRDefault="00D35CD9" w:rsidP="000A5389">
            <w:pPr>
              <w:spacing w:line="240" w:lineRule="auto"/>
              <w:jc w:val="right"/>
              <w:rPr>
                <w:rFonts w:eastAsia="Times New Roman" w:cs="Times New Roman"/>
                <w:color w:val="000000"/>
                <w:sz w:val="18"/>
                <w:szCs w:val="18"/>
                <w:lang w:eastAsia="es-CO"/>
              </w:rPr>
            </w:pPr>
            <w:r w:rsidRPr="0039091F">
              <w:rPr>
                <w:rFonts w:eastAsia="Times New Roman" w:cs="Times New Roman"/>
                <w:color w:val="000000"/>
                <w:sz w:val="18"/>
                <w:szCs w:val="18"/>
                <w:lang w:eastAsia="es-CO"/>
              </w:rPr>
              <w:t>566.421.516.449</w:t>
            </w:r>
          </w:p>
        </w:tc>
      </w:tr>
      <w:tr w:rsidR="00D35CD9" w:rsidRPr="0039091F" w14:paraId="5BFF9037" w14:textId="77777777" w:rsidTr="00F45D5E">
        <w:trPr>
          <w:trHeight w:val="293"/>
        </w:trPr>
        <w:tc>
          <w:tcPr>
            <w:tcW w:w="1162" w:type="dxa"/>
            <w:noWrap/>
            <w:hideMark/>
          </w:tcPr>
          <w:p w14:paraId="39286990" w14:textId="77777777" w:rsidR="00D35CD9" w:rsidRPr="0039091F" w:rsidRDefault="00D35CD9" w:rsidP="000A5389">
            <w:pPr>
              <w:spacing w:line="240" w:lineRule="auto"/>
              <w:jc w:val="right"/>
              <w:rPr>
                <w:rFonts w:eastAsia="Times New Roman" w:cs="Times New Roman"/>
                <w:color w:val="000000"/>
                <w:sz w:val="18"/>
                <w:szCs w:val="18"/>
                <w:lang w:eastAsia="es-CO"/>
              </w:rPr>
            </w:pPr>
            <w:r w:rsidRPr="0039091F">
              <w:rPr>
                <w:rFonts w:eastAsia="Times New Roman" w:cs="Times New Roman"/>
                <w:color w:val="000000"/>
                <w:sz w:val="18"/>
                <w:szCs w:val="18"/>
                <w:lang w:eastAsia="es-CO"/>
              </w:rPr>
              <w:t>900903279</w:t>
            </w:r>
          </w:p>
        </w:tc>
        <w:tc>
          <w:tcPr>
            <w:tcW w:w="2802" w:type="dxa"/>
            <w:noWrap/>
            <w:hideMark/>
          </w:tcPr>
          <w:p w14:paraId="5E66927A" w14:textId="77777777" w:rsidR="00D35CD9" w:rsidRPr="0039091F" w:rsidRDefault="00D35CD9" w:rsidP="000A5389">
            <w:pPr>
              <w:spacing w:line="240" w:lineRule="auto"/>
              <w:rPr>
                <w:rFonts w:eastAsia="Times New Roman" w:cs="Times New Roman"/>
                <w:color w:val="000000"/>
                <w:sz w:val="18"/>
                <w:szCs w:val="18"/>
                <w:lang w:eastAsia="es-CO"/>
              </w:rPr>
            </w:pPr>
            <w:r w:rsidRPr="0039091F">
              <w:rPr>
                <w:rFonts w:eastAsia="Times New Roman" w:cs="Times New Roman"/>
                <w:color w:val="000000"/>
                <w:sz w:val="18"/>
                <w:szCs w:val="18"/>
                <w:lang w:eastAsia="es-CO"/>
              </w:rPr>
              <w:t>Autovía Neiva Girardot S.A.S</w:t>
            </w:r>
          </w:p>
        </w:tc>
        <w:tc>
          <w:tcPr>
            <w:tcW w:w="1723" w:type="dxa"/>
            <w:noWrap/>
            <w:hideMark/>
          </w:tcPr>
          <w:p w14:paraId="200E3202" w14:textId="77777777" w:rsidR="00D35CD9" w:rsidRPr="0039091F" w:rsidRDefault="00D35CD9" w:rsidP="000A5389">
            <w:pPr>
              <w:spacing w:line="240" w:lineRule="auto"/>
              <w:jc w:val="right"/>
              <w:rPr>
                <w:rFonts w:eastAsia="Times New Roman" w:cs="Times New Roman"/>
                <w:color w:val="000000"/>
                <w:sz w:val="18"/>
                <w:szCs w:val="18"/>
                <w:lang w:eastAsia="es-CO"/>
              </w:rPr>
            </w:pPr>
            <w:r w:rsidRPr="0039091F">
              <w:rPr>
                <w:rFonts w:eastAsia="Times New Roman" w:cs="Times New Roman"/>
                <w:color w:val="000000"/>
                <w:sz w:val="18"/>
                <w:szCs w:val="18"/>
                <w:lang w:eastAsia="es-CO"/>
              </w:rPr>
              <w:t>935.091.867.386</w:t>
            </w:r>
          </w:p>
        </w:tc>
        <w:tc>
          <w:tcPr>
            <w:tcW w:w="1540" w:type="dxa"/>
            <w:noWrap/>
            <w:hideMark/>
          </w:tcPr>
          <w:p w14:paraId="5BA1287A" w14:textId="77777777" w:rsidR="00D35CD9" w:rsidRPr="0039091F" w:rsidRDefault="00D35CD9" w:rsidP="000A5389">
            <w:pPr>
              <w:spacing w:line="240" w:lineRule="auto"/>
              <w:jc w:val="right"/>
              <w:rPr>
                <w:rFonts w:eastAsia="Times New Roman" w:cs="Times New Roman"/>
                <w:color w:val="000000"/>
                <w:sz w:val="18"/>
                <w:szCs w:val="18"/>
                <w:lang w:eastAsia="es-CO"/>
              </w:rPr>
            </w:pPr>
            <w:r w:rsidRPr="0039091F">
              <w:rPr>
                <w:rFonts w:eastAsia="Times New Roman" w:cs="Times New Roman"/>
                <w:color w:val="000000"/>
                <w:sz w:val="18"/>
                <w:szCs w:val="18"/>
                <w:lang w:eastAsia="es-CO"/>
              </w:rPr>
              <w:t>966.854.788.798</w:t>
            </w:r>
          </w:p>
        </w:tc>
        <w:tc>
          <w:tcPr>
            <w:tcW w:w="1601" w:type="dxa"/>
            <w:noWrap/>
            <w:hideMark/>
          </w:tcPr>
          <w:p w14:paraId="509AC189" w14:textId="77777777" w:rsidR="00D35CD9" w:rsidRPr="0039091F" w:rsidRDefault="00D35CD9" w:rsidP="000A5389">
            <w:pPr>
              <w:spacing w:line="240" w:lineRule="auto"/>
              <w:jc w:val="right"/>
              <w:rPr>
                <w:rFonts w:eastAsia="Times New Roman" w:cs="Times New Roman"/>
                <w:color w:val="000000"/>
                <w:sz w:val="18"/>
                <w:szCs w:val="18"/>
                <w:lang w:eastAsia="es-CO"/>
              </w:rPr>
            </w:pPr>
            <w:r w:rsidRPr="0039091F">
              <w:rPr>
                <w:rFonts w:eastAsia="Times New Roman" w:cs="Times New Roman"/>
                <w:color w:val="000000"/>
                <w:sz w:val="18"/>
                <w:szCs w:val="18"/>
                <w:lang w:eastAsia="es-CO"/>
              </w:rPr>
              <w:t>-31.762.921.412</w:t>
            </w:r>
          </w:p>
        </w:tc>
      </w:tr>
      <w:tr w:rsidR="00D35CD9" w:rsidRPr="0039091F" w14:paraId="4006D38A" w14:textId="77777777" w:rsidTr="00F45D5E">
        <w:trPr>
          <w:trHeight w:val="293"/>
        </w:trPr>
        <w:tc>
          <w:tcPr>
            <w:tcW w:w="1162" w:type="dxa"/>
            <w:noWrap/>
            <w:hideMark/>
          </w:tcPr>
          <w:p w14:paraId="764C79F3" w14:textId="77777777" w:rsidR="00D35CD9" w:rsidRPr="0039091F" w:rsidRDefault="00D35CD9" w:rsidP="000A5389">
            <w:pPr>
              <w:spacing w:line="240" w:lineRule="auto"/>
              <w:jc w:val="right"/>
              <w:rPr>
                <w:rFonts w:eastAsia="Times New Roman" w:cs="Times New Roman"/>
                <w:color w:val="000000"/>
                <w:sz w:val="18"/>
                <w:szCs w:val="18"/>
                <w:lang w:eastAsia="es-CO"/>
              </w:rPr>
            </w:pPr>
            <w:r w:rsidRPr="0039091F">
              <w:rPr>
                <w:rFonts w:eastAsia="Times New Roman" w:cs="Times New Roman"/>
                <w:color w:val="000000"/>
                <w:sz w:val="18"/>
                <w:szCs w:val="18"/>
                <w:lang w:eastAsia="es-CO"/>
              </w:rPr>
              <w:lastRenderedPageBreak/>
              <w:t>901482899</w:t>
            </w:r>
          </w:p>
        </w:tc>
        <w:tc>
          <w:tcPr>
            <w:tcW w:w="2802" w:type="dxa"/>
            <w:noWrap/>
            <w:hideMark/>
          </w:tcPr>
          <w:p w14:paraId="6EEF55A9" w14:textId="77777777" w:rsidR="00D35CD9" w:rsidRPr="0039091F" w:rsidRDefault="00D35CD9" w:rsidP="000A5389">
            <w:pPr>
              <w:spacing w:line="240" w:lineRule="auto"/>
              <w:rPr>
                <w:rFonts w:eastAsia="Times New Roman" w:cs="Times New Roman"/>
                <w:color w:val="000000"/>
                <w:sz w:val="18"/>
                <w:szCs w:val="18"/>
                <w:lang w:eastAsia="es-CO"/>
              </w:rPr>
            </w:pPr>
            <w:r w:rsidRPr="0039091F">
              <w:rPr>
                <w:rFonts w:eastAsia="Times New Roman" w:cs="Times New Roman"/>
                <w:color w:val="000000"/>
                <w:sz w:val="18"/>
                <w:szCs w:val="18"/>
                <w:lang w:eastAsia="es-CO"/>
              </w:rPr>
              <w:t>Concesionaria Ruta Al Sur S.A.S.</w:t>
            </w:r>
          </w:p>
        </w:tc>
        <w:tc>
          <w:tcPr>
            <w:tcW w:w="1723" w:type="dxa"/>
            <w:noWrap/>
            <w:hideMark/>
          </w:tcPr>
          <w:p w14:paraId="6EB6344B" w14:textId="77777777" w:rsidR="00D35CD9" w:rsidRPr="0039091F" w:rsidRDefault="00D35CD9" w:rsidP="000A5389">
            <w:pPr>
              <w:spacing w:line="240" w:lineRule="auto"/>
              <w:jc w:val="right"/>
              <w:rPr>
                <w:rFonts w:eastAsia="Times New Roman" w:cs="Times New Roman"/>
                <w:color w:val="000000"/>
                <w:sz w:val="18"/>
                <w:szCs w:val="18"/>
                <w:lang w:eastAsia="es-CO"/>
              </w:rPr>
            </w:pPr>
            <w:r w:rsidRPr="0039091F">
              <w:rPr>
                <w:rFonts w:eastAsia="Times New Roman" w:cs="Times New Roman"/>
                <w:color w:val="000000"/>
                <w:sz w:val="18"/>
                <w:szCs w:val="18"/>
                <w:lang w:eastAsia="es-CO"/>
              </w:rPr>
              <w:t>928.216.631.605</w:t>
            </w:r>
          </w:p>
        </w:tc>
        <w:tc>
          <w:tcPr>
            <w:tcW w:w="1540" w:type="dxa"/>
            <w:noWrap/>
            <w:hideMark/>
          </w:tcPr>
          <w:p w14:paraId="5F0123D8" w14:textId="77777777" w:rsidR="00D35CD9" w:rsidRPr="0039091F" w:rsidRDefault="00D35CD9" w:rsidP="000A5389">
            <w:pPr>
              <w:spacing w:line="240" w:lineRule="auto"/>
              <w:jc w:val="right"/>
              <w:rPr>
                <w:rFonts w:eastAsia="Times New Roman" w:cs="Times New Roman"/>
                <w:color w:val="000000"/>
                <w:sz w:val="18"/>
                <w:szCs w:val="18"/>
                <w:lang w:eastAsia="es-CO"/>
              </w:rPr>
            </w:pPr>
            <w:r w:rsidRPr="0039091F">
              <w:rPr>
                <w:rFonts w:eastAsia="Times New Roman" w:cs="Times New Roman"/>
                <w:color w:val="000000"/>
                <w:sz w:val="18"/>
                <w:szCs w:val="18"/>
                <w:lang w:eastAsia="es-CO"/>
              </w:rPr>
              <w:t>563.328.614.314</w:t>
            </w:r>
          </w:p>
        </w:tc>
        <w:tc>
          <w:tcPr>
            <w:tcW w:w="1601" w:type="dxa"/>
            <w:noWrap/>
            <w:hideMark/>
          </w:tcPr>
          <w:p w14:paraId="49C90663" w14:textId="77777777" w:rsidR="00D35CD9" w:rsidRPr="0039091F" w:rsidRDefault="00D35CD9" w:rsidP="000A5389">
            <w:pPr>
              <w:spacing w:line="240" w:lineRule="auto"/>
              <w:jc w:val="right"/>
              <w:rPr>
                <w:rFonts w:eastAsia="Times New Roman" w:cs="Times New Roman"/>
                <w:color w:val="000000"/>
                <w:sz w:val="18"/>
                <w:szCs w:val="18"/>
                <w:lang w:eastAsia="es-CO"/>
              </w:rPr>
            </w:pPr>
            <w:r w:rsidRPr="0039091F">
              <w:rPr>
                <w:rFonts w:eastAsia="Times New Roman" w:cs="Times New Roman"/>
                <w:color w:val="000000"/>
                <w:sz w:val="18"/>
                <w:szCs w:val="18"/>
                <w:lang w:eastAsia="es-CO"/>
              </w:rPr>
              <w:t>364.888.017.291</w:t>
            </w:r>
          </w:p>
        </w:tc>
      </w:tr>
      <w:tr w:rsidR="00D35CD9" w:rsidRPr="0039091F" w14:paraId="06A13C35" w14:textId="77777777" w:rsidTr="00F45D5E">
        <w:trPr>
          <w:trHeight w:val="293"/>
        </w:trPr>
        <w:tc>
          <w:tcPr>
            <w:tcW w:w="1162" w:type="dxa"/>
            <w:noWrap/>
            <w:hideMark/>
          </w:tcPr>
          <w:p w14:paraId="60EE2B39" w14:textId="77777777" w:rsidR="00D35CD9" w:rsidRPr="0039091F" w:rsidRDefault="00D35CD9" w:rsidP="000A5389">
            <w:pPr>
              <w:spacing w:line="240" w:lineRule="auto"/>
              <w:jc w:val="right"/>
              <w:rPr>
                <w:rFonts w:eastAsia="Times New Roman" w:cs="Times New Roman"/>
                <w:color w:val="000000"/>
                <w:sz w:val="18"/>
                <w:szCs w:val="18"/>
                <w:lang w:eastAsia="es-CO"/>
              </w:rPr>
            </w:pPr>
            <w:r w:rsidRPr="0039091F">
              <w:rPr>
                <w:rFonts w:eastAsia="Times New Roman" w:cs="Times New Roman"/>
                <w:color w:val="000000"/>
                <w:sz w:val="18"/>
                <w:szCs w:val="18"/>
                <w:lang w:eastAsia="es-CO"/>
              </w:rPr>
              <w:t>900744773</w:t>
            </w:r>
          </w:p>
        </w:tc>
        <w:tc>
          <w:tcPr>
            <w:tcW w:w="2802" w:type="dxa"/>
            <w:noWrap/>
            <w:hideMark/>
          </w:tcPr>
          <w:p w14:paraId="2BFD1E99" w14:textId="77777777" w:rsidR="00D35CD9" w:rsidRPr="0039091F" w:rsidRDefault="00D35CD9" w:rsidP="000A5389">
            <w:pPr>
              <w:spacing w:line="240" w:lineRule="auto"/>
              <w:rPr>
                <w:rFonts w:eastAsia="Times New Roman" w:cs="Times New Roman"/>
                <w:color w:val="000000"/>
                <w:sz w:val="18"/>
                <w:szCs w:val="18"/>
                <w:lang w:eastAsia="es-CO"/>
              </w:rPr>
            </w:pPr>
            <w:r w:rsidRPr="0039091F">
              <w:rPr>
                <w:rFonts w:eastAsia="Times New Roman" w:cs="Times New Roman"/>
                <w:color w:val="000000"/>
                <w:sz w:val="18"/>
                <w:szCs w:val="18"/>
                <w:lang w:eastAsia="es-CO"/>
              </w:rPr>
              <w:t>Concesionaria Vial del Pacifico S A S</w:t>
            </w:r>
          </w:p>
        </w:tc>
        <w:tc>
          <w:tcPr>
            <w:tcW w:w="1723" w:type="dxa"/>
            <w:noWrap/>
            <w:hideMark/>
          </w:tcPr>
          <w:p w14:paraId="288B94D9" w14:textId="77777777" w:rsidR="00D35CD9" w:rsidRPr="0039091F" w:rsidRDefault="00D35CD9" w:rsidP="000A5389">
            <w:pPr>
              <w:spacing w:line="240" w:lineRule="auto"/>
              <w:jc w:val="right"/>
              <w:rPr>
                <w:rFonts w:eastAsia="Times New Roman" w:cs="Times New Roman"/>
                <w:color w:val="000000"/>
                <w:sz w:val="18"/>
                <w:szCs w:val="18"/>
                <w:lang w:eastAsia="es-CO"/>
              </w:rPr>
            </w:pPr>
            <w:r w:rsidRPr="0039091F">
              <w:rPr>
                <w:rFonts w:eastAsia="Times New Roman" w:cs="Times New Roman"/>
                <w:color w:val="000000"/>
                <w:sz w:val="18"/>
                <w:szCs w:val="18"/>
                <w:lang w:eastAsia="es-CO"/>
              </w:rPr>
              <w:t>919.572.470.580</w:t>
            </w:r>
          </w:p>
        </w:tc>
        <w:tc>
          <w:tcPr>
            <w:tcW w:w="1540" w:type="dxa"/>
            <w:noWrap/>
            <w:hideMark/>
          </w:tcPr>
          <w:p w14:paraId="0DDA0454" w14:textId="77777777" w:rsidR="00D35CD9" w:rsidRPr="0039091F" w:rsidRDefault="00D35CD9" w:rsidP="000A5389">
            <w:pPr>
              <w:spacing w:line="240" w:lineRule="auto"/>
              <w:jc w:val="right"/>
              <w:rPr>
                <w:rFonts w:eastAsia="Times New Roman" w:cs="Times New Roman"/>
                <w:color w:val="000000"/>
                <w:sz w:val="18"/>
                <w:szCs w:val="18"/>
                <w:lang w:eastAsia="es-CO"/>
              </w:rPr>
            </w:pPr>
            <w:r w:rsidRPr="0039091F">
              <w:rPr>
                <w:rFonts w:eastAsia="Times New Roman" w:cs="Times New Roman"/>
                <w:color w:val="000000"/>
                <w:sz w:val="18"/>
                <w:szCs w:val="18"/>
                <w:lang w:eastAsia="es-CO"/>
              </w:rPr>
              <w:t>983.740.877.394</w:t>
            </w:r>
          </w:p>
        </w:tc>
        <w:tc>
          <w:tcPr>
            <w:tcW w:w="1601" w:type="dxa"/>
            <w:noWrap/>
            <w:hideMark/>
          </w:tcPr>
          <w:p w14:paraId="7FE4C688" w14:textId="77777777" w:rsidR="00D35CD9" w:rsidRPr="0039091F" w:rsidRDefault="00D35CD9" w:rsidP="000A5389">
            <w:pPr>
              <w:spacing w:line="240" w:lineRule="auto"/>
              <w:jc w:val="right"/>
              <w:rPr>
                <w:rFonts w:eastAsia="Times New Roman" w:cs="Times New Roman"/>
                <w:color w:val="000000"/>
                <w:sz w:val="18"/>
                <w:szCs w:val="18"/>
                <w:lang w:eastAsia="es-CO"/>
              </w:rPr>
            </w:pPr>
            <w:r w:rsidRPr="0039091F">
              <w:rPr>
                <w:rFonts w:eastAsia="Times New Roman" w:cs="Times New Roman"/>
                <w:color w:val="000000"/>
                <w:sz w:val="18"/>
                <w:szCs w:val="18"/>
                <w:lang w:eastAsia="es-CO"/>
              </w:rPr>
              <w:t>-64.168.406.814</w:t>
            </w:r>
          </w:p>
        </w:tc>
      </w:tr>
      <w:tr w:rsidR="00D35CD9" w:rsidRPr="0039091F" w14:paraId="125B3F2E" w14:textId="77777777" w:rsidTr="00F45D5E">
        <w:trPr>
          <w:trHeight w:val="293"/>
        </w:trPr>
        <w:tc>
          <w:tcPr>
            <w:tcW w:w="1162" w:type="dxa"/>
            <w:noWrap/>
            <w:hideMark/>
          </w:tcPr>
          <w:p w14:paraId="728F66D6" w14:textId="77777777" w:rsidR="00D35CD9" w:rsidRPr="0039091F" w:rsidRDefault="00D35CD9" w:rsidP="000A5389">
            <w:pPr>
              <w:spacing w:line="240" w:lineRule="auto"/>
              <w:jc w:val="right"/>
              <w:rPr>
                <w:rFonts w:eastAsia="Times New Roman" w:cs="Times New Roman"/>
                <w:color w:val="000000"/>
                <w:sz w:val="18"/>
                <w:szCs w:val="18"/>
                <w:lang w:eastAsia="es-CO"/>
              </w:rPr>
            </w:pPr>
            <w:r w:rsidRPr="0039091F">
              <w:rPr>
                <w:rFonts w:eastAsia="Times New Roman" w:cs="Times New Roman"/>
                <w:color w:val="000000"/>
                <w:sz w:val="18"/>
                <w:szCs w:val="18"/>
                <w:lang w:eastAsia="es-CO"/>
              </w:rPr>
              <w:t>900894996</w:t>
            </w:r>
          </w:p>
        </w:tc>
        <w:tc>
          <w:tcPr>
            <w:tcW w:w="2802" w:type="dxa"/>
            <w:noWrap/>
            <w:hideMark/>
          </w:tcPr>
          <w:p w14:paraId="026918AE" w14:textId="77777777" w:rsidR="00D35CD9" w:rsidRPr="0039091F" w:rsidRDefault="00D35CD9" w:rsidP="000A5389">
            <w:pPr>
              <w:spacing w:line="240" w:lineRule="auto"/>
              <w:rPr>
                <w:rFonts w:eastAsia="Times New Roman" w:cs="Times New Roman"/>
                <w:color w:val="000000"/>
                <w:sz w:val="18"/>
                <w:szCs w:val="18"/>
                <w:lang w:eastAsia="es-CO"/>
              </w:rPr>
            </w:pPr>
            <w:r w:rsidRPr="0039091F">
              <w:rPr>
                <w:rFonts w:eastAsia="Times New Roman" w:cs="Times New Roman"/>
                <w:color w:val="000000"/>
                <w:sz w:val="18"/>
                <w:szCs w:val="18"/>
                <w:lang w:eastAsia="es-CO"/>
              </w:rPr>
              <w:t>Concesión Ruta Al Mar S.A.S.</w:t>
            </w:r>
          </w:p>
        </w:tc>
        <w:tc>
          <w:tcPr>
            <w:tcW w:w="1723" w:type="dxa"/>
            <w:noWrap/>
            <w:hideMark/>
          </w:tcPr>
          <w:p w14:paraId="14E48549" w14:textId="77777777" w:rsidR="00D35CD9" w:rsidRPr="0039091F" w:rsidRDefault="00D35CD9" w:rsidP="000A5389">
            <w:pPr>
              <w:spacing w:line="240" w:lineRule="auto"/>
              <w:jc w:val="right"/>
              <w:rPr>
                <w:rFonts w:eastAsia="Times New Roman" w:cs="Times New Roman"/>
                <w:color w:val="000000"/>
                <w:sz w:val="18"/>
                <w:szCs w:val="18"/>
                <w:lang w:eastAsia="es-CO"/>
              </w:rPr>
            </w:pPr>
            <w:r w:rsidRPr="0039091F">
              <w:rPr>
                <w:rFonts w:eastAsia="Times New Roman" w:cs="Times New Roman"/>
                <w:color w:val="000000"/>
                <w:sz w:val="18"/>
                <w:szCs w:val="18"/>
                <w:lang w:eastAsia="es-CO"/>
              </w:rPr>
              <w:t>909.224.560.505</w:t>
            </w:r>
          </w:p>
        </w:tc>
        <w:tc>
          <w:tcPr>
            <w:tcW w:w="1540" w:type="dxa"/>
            <w:noWrap/>
            <w:hideMark/>
          </w:tcPr>
          <w:p w14:paraId="1DD9EC3C" w14:textId="77777777" w:rsidR="00D35CD9" w:rsidRPr="0039091F" w:rsidRDefault="00D35CD9" w:rsidP="000A5389">
            <w:pPr>
              <w:spacing w:line="240" w:lineRule="auto"/>
              <w:jc w:val="right"/>
              <w:rPr>
                <w:rFonts w:eastAsia="Times New Roman" w:cs="Times New Roman"/>
                <w:color w:val="000000"/>
                <w:sz w:val="18"/>
                <w:szCs w:val="18"/>
                <w:lang w:eastAsia="es-CO"/>
              </w:rPr>
            </w:pPr>
            <w:r w:rsidRPr="0039091F">
              <w:rPr>
                <w:rFonts w:eastAsia="Times New Roman" w:cs="Times New Roman"/>
                <w:color w:val="000000"/>
                <w:sz w:val="18"/>
                <w:szCs w:val="18"/>
                <w:lang w:eastAsia="es-CO"/>
              </w:rPr>
              <w:t>829.515.124.595</w:t>
            </w:r>
          </w:p>
        </w:tc>
        <w:tc>
          <w:tcPr>
            <w:tcW w:w="1601" w:type="dxa"/>
            <w:noWrap/>
            <w:hideMark/>
          </w:tcPr>
          <w:p w14:paraId="4C487271" w14:textId="77777777" w:rsidR="00D35CD9" w:rsidRPr="0039091F" w:rsidRDefault="00D35CD9" w:rsidP="000A5389">
            <w:pPr>
              <w:spacing w:line="240" w:lineRule="auto"/>
              <w:jc w:val="right"/>
              <w:rPr>
                <w:rFonts w:eastAsia="Times New Roman" w:cs="Times New Roman"/>
                <w:color w:val="000000"/>
                <w:sz w:val="18"/>
                <w:szCs w:val="18"/>
                <w:lang w:eastAsia="es-CO"/>
              </w:rPr>
            </w:pPr>
            <w:r w:rsidRPr="0039091F">
              <w:rPr>
                <w:rFonts w:eastAsia="Times New Roman" w:cs="Times New Roman"/>
                <w:color w:val="000000"/>
                <w:sz w:val="18"/>
                <w:szCs w:val="18"/>
                <w:lang w:eastAsia="es-CO"/>
              </w:rPr>
              <w:t>79.709.435.910</w:t>
            </w:r>
          </w:p>
        </w:tc>
      </w:tr>
      <w:tr w:rsidR="00D35CD9" w:rsidRPr="0039091F" w14:paraId="09D359D9" w14:textId="77777777" w:rsidTr="00F45D5E">
        <w:trPr>
          <w:trHeight w:val="293"/>
        </w:trPr>
        <w:tc>
          <w:tcPr>
            <w:tcW w:w="1162" w:type="dxa"/>
            <w:noWrap/>
            <w:hideMark/>
          </w:tcPr>
          <w:p w14:paraId="5193914A" w14:textId="77777777" w:rsidR="00D35CD9" w:rsidRPr="0039091F" w:rsidRDefault="00D35CD9" w:rsidP="000A5389">
            <w:pPr>
              <w:spacing w:line="240" w:lineRule="auto"/>
              <w:jc w:val="right"/>
              <w:rPr>
                <w:rFonts w:eastAsia="Times New Roman" w:cs="Times New Roman"/>
                <w:color w:val="000000"/>
                <w:sz w:val="18"/>
                <w:szCs w:val="18"/>
                <w:lang w:eastAsia="es-CO"/>
              </w:rPr>
            </w:pPr>
            <w:r w:rsidRPr="0039091F">
              <w:rPr>
                <w:rFonts w:eastAsia="Times New Roman" w:cs="Times New Roman"/>
                <w:color w:val="000000"/>
                <w:sz w:val="18"/>
                <w:szCs w:val="18"/>
                <w:lang w:eastAsia="es-CO"/>
              </w:rPr>
              <w:t>900880846</w:t>
            </w:r>
          </w:p>
        </w:tc>
        <w:tc>
          <w:tcPr>
            <w:tcW w:w="2802" w:type="dxa"/>
            <w:noWrap/>
            <w:hideMark/>
          </w:tcPr>
          <w:p w14:paraId="2539ABF6" w14:textId="77777777" w:rsidR="00D35CD9" w:rsidRPr="0039091F" w:rsidRDefault="00D35CD9" w:rsidP="000A5389">
            <w:pPr>
              <w:spacing w:line="240" w:lineRule="auto"/>
              <w:rPr>
                <w:rFonts w:eastAsia="Times New Roman" w:cs="Times New Roman"/>
                <w:color w:val="000000"/>
                <w:sz w:val="18"/>
                <w:szCs w:val="18"/>
                <w:lang w:eastAsia="es-CO"/>
              </w:rPr>
            </w:pPr>
            <w:r w:rsidRPr="0039091F">
              <w:rPr>
                <w:rFonts w:eastAsia="Times New Roman" w:cs="Times New Roman"/>
                <w:color w:val="000000"/>
                <w:sz w:val="18"/>
                <w:szCs w:val="18"/>
                <w:lang w:eastAsia="es-CO"/>
              </w:rPr>
              <w:t>Concesionaria Vial Unión del Sur S.A.S.</w:t>
            </w:r>
          </w:p>
        </w:tc>
        <w:tc>
          <w:tcPr>
            <w:tcW w:w="1723" w:type="dxa"/>
            <w:noWrap/>
            <w:hideMark/>
          </w:tcPr>
          <w:p w14:paraId="3086BB4F" w14:textId="77777777" w:rsidR="00D35CD9" w:rsidRPr="0039091F" w:rsidRDefault="00D35CD9" w:rsidP="000A5389">
            <w:pPr>
              <w:spacing w:line="240" w:lineRule="auto"/>
              <w:jc w:val="right"/>
              <w:rPr>
                <w:rFonts w:eastAsia="Times New Roman" w:cs="Times New Roman"/>
                <w:color w:val="000000"/>
                <w:sz w:val="18"/>
                <w:szCs w:val="18"/>
                <w:lang w:eastAsia="es-CO"/>
              </w:rPr>
            </w:pPr>
            <w:r w:rsidRPr="0039091F">
              <w:rPr>
                <w:rFonts w:eastAsia="Times New Roman" w:cs="Times New Roman"/>
                <w:color w:val="000000"/>
                <w:sz w:val="18"/>
                <w:szCs w:val="18"/>
                <w:lang w:eastAsia="es-CO"/>
              </w:rPr>
              <w:t>861.853.496.748</w:t>
            </w:r>
          </w:p>
        </w:tc>
        <w:tc>
          <w:tcPr>
            <w:tcW w:w="1540" w:type="dxa"/>
            <w:noWrap/>
            <w:hideMark/>
          </w:tcPr>
          <w:p w14:paraId="3BCC8F5B" w14:textId="77777777" w:rsidR="00D35CD9" w:rsidRPr="0039091F" w:rsidRDefault="00D35CD9" w:rsidP="000A5389">
            <w:pPr>
              <w:spacing w:line="240" w:lineRule="auto"/>
              <w:jc w:val="right"/>
              <w:rPr>
                <w:rFonts w:eastAsia="Times New Roman" w:cs="Times New Roman"/>
                <w:color w:val="000000"/>
                <w:sz w:val="18"/>
                <w:szCs w:val="18"/>
                <w:lang w:eastAsia="es-CO"/>
              </w:rPr>
            </w:pPr>
            <w:r w:rsidRPr="0039091F">
              <w:rPr>
                <w:rFonts w:eastAsia="Times New Roman" w:cs="Times New Roman"/>
                <w:color w:val="000000"/>
                <w:sz w:val="18"/>
                <w:szCs w:val="18"/>
                <w:lang w:eastAsia="es-CO"/>
              </w:rPr>
              <w:t>904.967.799.638</w:t>
            </w:r>
          </w:p>
        </w:tc>
        <w:tc>
          <w:tcPr>
            <w:tcW w:w="1601" w:type="dxa"/>
            <w:noWrap/>
            <w:hideMark/>
          </w:tcPr>
          <w:p w14:paraId="31A45EBE" w14:textId="77777777" w:rsidR="00D35CD9" w:rsidRPr="0039091F" w:rsidRDefault="00D35CD9" w:rsidP="000A5389">
            <w:pPr>
              <w:spacing w:line="240" w:lineRule="auto"/>
              <w:jc w:val="right"/>
              <w:rPr>
                <w:rFonts w:eastAsia="Times New Roman" w:cs="Times New Roman"/>
                <w:color w:val="000000"/>
                <w:sz w:val="18"/>
                <w:szCs w:val="18"/>
                <w:lang w:eastAsia="es-CO"/>
              </w:rPr>
            </w:pPr>
            <w:r w:rsidRPr="0039091F">
              <w:rPr>
                <w:rFonts w:eastAsia="Times New Roman" w:cs="Times New Roman"/>
                <w:color w:val="000000"/>
                <w:sz w:val="18"/>
                <w:szCs w:val="18"/>
                <w:lang w:eastAsia="es-CO"/>
              </w:rPr>
              <w:t>-43.114.302.890</w:t>
            </w:r>
          </w:p>
        </w:tc>
      </w:tr>
      <w:tr w:rsidR="00D35CD9" w:rsidRPr="0039091F" w14:paraId="4EEFA5E2" w14:textId="77777777" w:rsidTr="00F45D5E">
        <w:trPr>
          <w:trHeight w:val="293"/>
        </w:trPr>
        <w:tc>
          <w:tcPr>
            <w:tcW w:w="1162" w:type="dxa"/>
            <w:noWrap/>
            <w:hideMark/>
          </w:tcPr>
          <w:p w14:paraId="0C2A7D80" w14:textId="77777777" w:rsidR="00D35CD9" w:rsidRPr="0039091F" w:rsidRDefault="00D35CD9" w:rsidP="000A5389">
            <w:pPr>
              <w:spacing w:line="240" w:lineRule="auto"/>
              <w:jc w:val="right"/>
              <w:rPr>
                <w:rFonts w:eastAsia="Times New Roman" w:cs="Times New Roman"/>
                <w:color w:val="000000"/>
                <w:sz w:val="18"/>
                <w:szCs w:val="18"/>
                <w:lang w:eastAsia="es-CO"/>
              </w:rPr>
            </w:pPr>
            <w:r w:rsidRPr="0039091F">
              <w:rPr>
                <w:rFonts w:eastAsia="Times New Roman" w:cs="Times New Roman"/>
                <w:color w:val="000000"/>
                <w:sz w:val="18"/>
                <w:szCs w:val="18"/>
                <w:lang w:eastAsia="es-CO"/>
              </w:rPr>
              <w:t>900740893</w:t>
            </w:r>
          </w:p>
        </w:tc>
        <w:tc>
          <w:tcPr>
            <w:tcW w:w="2802" w:type="dxa"/>
            <w:noWrap/>
            <w:hideMark/>
          </w:tcPr>
          <w:p w14:paraId="551D5CA8" w14:textId="77777777" w:rsidR="00D35CD9" w:rsidRPr="0039091F" w:rsidRDefault="00D35CD9" w:rsidP="000A5389">
            <w:pPr>
              <w:spacing w:line="240" w:lineRule="auto"/>
              <w:rPr>
                <w:rFonts w:eastAsia="Times New Roman" w:cs="Times New Roman"/>
                <w:color w:val="000000"/>
                <w:sz w:val="18"/>
                <w:szCs w:val="18"/>
                <w:lang w:eastAsia="es-CO"/>
              </w:rPr>
            </w:pPr>
            <w:r w:rsidRPr="0039091F">
              <w:rPr>
                <w:rFonts w:eastAsia="Times New Roman" w:cs="Times New Roman"/>
                <w:color w:val="000000"/>
                <w:sz w:val="18"/>
                <w:szCs w:val="18"/>
                <w:lang w:eastAsia="es-CO"/>
              </w:rPr>
              <w:t>Concesión La Pintada S.A.S.</w:t>
            </w:r>
          </w:p>
        </w:tc>
        <w:tc>
          <w:tcPr>
            <w:tcW w:w="1723" w:type="dxa"/>
            <w:noWrap/>
            <w:hideMark/>
          </w:tcPr>
          <w:p w14:paraId="62788BF8" w14:textId="77777777" w:rsidR="00D35CD9" w:rsidRPr="0039091F" w:rsidRDefault="00D35CD9" w:rsidP="000A5389">
            <w:pPr>
              <w:spacing w:line="240" w:lineRule="auto"/>
              <w:jc w:val="right"/>
              <w:rPr>
                <w:rFonts w:eastAsia="Times New Roman" w:cs="Times New Roman"/>
                <w:color w:val="000000"/>
                <w:sz w:val="18"/>
                <w:szCs w:val="18"/>
                <w:lang w:eastAsia="es-CO"/>
              </w:rPr>
            </w:pPr>
            <w:r w:rsidRPr="0039091F">
              <w:rPr>
                <w:rFonts w:eastAsia="Times New Roman" w:cs="Times New Roman"/>
                <w:color w:val="000000"/>
                <w:sz w:val="18"/>
                <w:szCs w:val="18"/>
                <w:lang w:eastAsia="es-CO"/>
              </w:rPr>
              <w:t>697.507.917.361</w:t>
            </w:r>
          </w:p>
        </w:tc>
        <w:tc>
          <w:tcPr>
            <w:tcW w:w="1540" w:type="dxa"/>
            <w:noWrap/>
            <w:hideMark/>
          </w:tcPr>
          <w:p w14:paraId="459E9B5C" w14:textId="77777777" w:rsidR="00D35CD9" w:rsidRPr="0039091F" w:rsidRDefault="00D35CD9" w:rsidP="000A5389">
            <w:pPr>
              <w:spacing w:line="240" w:lineRule="auto"/>
              <w:jc w:val="right"/>
              <w:rPr>
                <w:rFonts w:eastAsia="Times New Roman" w:cs="Times New Roman"/>
                <w:color w:val="000000"/>
                <w:sz w:val="18"/>
                <w:szCs w:val="18"/>
                <w:lang w:eastAsia="es-CO"/>
              </w:rPr>
            </w:pPr>
            <w:r w:rsidRPr="0039091F">
              <w:rPr>
                <w:rFonts w:eastAsia="Times New Roman" w:cs="Times New Roman"/>
                <w:color w:val="000000"/>
                <w:sz w:val="18"/>
                <w:szCs w:val="18"/>
                <w:lang w:eastAsia="es-CO"/>
              </w:rPr>
              <w:t>736.369.543.326</w:t>
            </w:r>
          </w:p>
        </w:tc>
        <w:tc>
          <w:tcPr>
            <w:tcW w:w="1601" w:type="dxa"/>
            <w:noWrap/>
            <w:hideMark/>
          </w:tcPr>
          <w:p w14:paraId="70BAF255" w14:textId="77777777" w:rsidR="00D35CD9" w:rsidRPr="0039091F" w:rsidRDefault="00D35CD9" w:rsidP="000A5389">
            <w:pPr>
              <w:spacing w:line="240" w:lineRule="auto"/>
              <w:jc w:val="right"/>
              <w:rPr>
                <w:rFonts w:eastAsia="Times New Roman" w:cs="Times New Roman"/>
                <w:color w:val="000000"/>
                <w:sz w:val="18"/>
                <w:szCs w:val="18"/>
                <w:lang w:eastAsia="es-CO"/>
              </w:rPr>
            </w:pPr>
            <w:r w:rsidRPr="0039091F">
              <w:rPr>
                <w:rFonts w:eastAsia="Times New Roman" w:cs="Times New Roman"/>
                <w:color w:val="000000"/>
                <w:sz w:val="18"/>
                <w:szCs w:val="18"/>
                <w:lang w:eastAsia="es-CO"/>
              </w:rPr>
              <w:t>-38.861.625.965</w:t>
            </w:r>
          </w:p>
        </w:tc>
      </w:tr>
      <w:tr w:rsidR="00D35CD9" w:rsidRPr="0039091F" w14:paraId="284513A0" w14:textId="77777777" w:rsidTr="00F45D5E">
        <w:trPr>
          <w:trHeight w:val="293"/>
        </w:trPr>
        <w:tc>
          <w:tcPr>
            <w:tcW w:w="1162" w:type="dxa"/>
            <w:noWrap/>
            <w:hideMark/>
          </w:tcPr>
          <w:p w14:paraId="5ABBA472" w14:textId="77777777" w:rsidR="00D35CD9" w:rsidRPr="0039091F" w:rsidRDefault="00D35CD9" w:rsidP="000A5389">
            <w:pPr>
              <w:spacing w:line="240" w:lineRule="auto"/>
              <w:jc w:val="right"/>
              <w:rPr>
                <w:rFonts w:eastAsia="Times New Roman" w:cs="Times New Roman"/>
                <w:color w:val="000000"/>
                <w:sz w:val="18"/>
                <w:szCs w:val="18"/>
                <w:lang w:eastAsia="es-CO"/>
              </w:rPr>
            </w:pPr>
            <w:r w:rsidRPr="0039091F">
              <w:rPr>
                <w:rFonts w:eastAsia="Times New Roman" w:cs="Times New Roman"/>
                <w:color w:val="000000"/>
                <w:sz w:val="18"/>
                <w:szCs w:val="18"/>
                <w:lang w:eastAsia="es-CO"/>
              </w:rPr>
              <w:t>900788548</w:t>
            </w:r>
          </w:p>
        </w:tc>
        <w:tc>
          <w:tcPr>
            <w:tcW w:w="2802" w:type="dxa"/>
            <w:noWrap/>
            <w:hideMark/>
          </w:tcPr>
          <w:p w14:paraId="6BA07EFB" w14:textId="77777777" w:rsidR="00D35CD9" w:rsidRPr="0039091F" w:rsidRDefault="00D35CD9" w:rsidP="000A5389">
            <w:pPr>
              <w:spacing w:line="240" w:lineRule="auto"/>
              <w:rPr>
                <w:rFonts w:eastAsia="Times New Roman" w:cs="Times New Roman"/>
                <w:color w:val="000000"/>
                <w:sz w:val="18"/>
                <w:szCs w:val="18"/>
                <w:lang w:eastAsia="es-CO"/>
              </w:rPr>
            </w:pPr>
            <w:r w:rsidRPr="0039091F">
              <w:rPr>
                <w:rFonts w:eastAsia="Times New Roman" w:cs="Times New Roman"/>
                <w:color w:val="000000"/>
                <w:sz w:val="18"/>
                <w:szCs w:val="18"/>
                <w:lang w:eastAsia="es-CO"/>
              </w:rPr>
              <w:t>Autopista Rio Magdalena S A S</w:t>
            </w:r>
          </w:p>
        </w:tc>
        <w:tc>
          <w:tcPr>
            <w:tcW w:w="1723" w:type="dxa"/>
            <w:noWrap/>
            <w:hideMark/>
          </w:tcPr>
          <w:p w14:paraId="07344DA9" w14:textId="77777777" w:rsidR="00D35CD9" w:rsidRPr="0039091F" w:rsidRDefault="00D35CD9" w:rsidP="000A5389">
            <w:pPr>
              <w:spacing w:line="240" w:lineRule="auto"/>
              <w:jc w:val="right"/>
              <w:rPr>
                <w:rFonts w:eastAsia="Times New Roman" w:cs="Times New Roman"/>
                <w:color w:val="000000"/>
                <w:sz w:val="18"/>
                <w:szCs w:val="18"/>
                <w:lang w:eastAsia="es-CO"/>
              </w:rPr>
            </w:pPr>
            <w:r w:rsidRPr="0039091F">
              <w:rPr>
                <w:rFonts w:eastAsia="Times New Roman" w:cs="Times New Roman"/>
                <w:color w:val="000000"/>
                <w:sz w:val="18"/>
                <w:szCs w:val="18"/>
                <w:lang w:eastAsia="es-CO"/>
              </w:rPr>
              <w:t>676.691.640.175</w:t>
            </w:r>
          </w:p>
        </w:tc>
        <w:tc>
          <w:tcPr>
            <w:tcW w:w="1540" w:type="dxa"/>
            <w:noWrap/>
            <w:hideMark/>
          </w:tcPr>
          <w:p w14:paraId="7C940436" w14:textId="77777777" w:rsidR="00D35CD9" w:rsidRPr="0039091F" w:rsidRDefault="00D35CD9" w:rsidP="000A5389">
            <w:pPr>
              <w:spacing w:line="240" w:lineRule="auto"/>
              <w:jc w:val="right"/>
              <w:rPr>
                <w:rFonts w:eastAsia="Times New Roman" w:cs="Times New Roman"/>
                <w:color w:val="000000"/>
                <w:sz w:val="18"/>
                <w:szCs w:val="18"/>
                <w:lang w:eastAsia="es-CO"/>
              </w:rPr>
            </w:pPr>
            <w:r w:rsidRPr="0039091F">
              <w:rPr>
                <w:rFonts w:eastAsia="Times New Roman" w:cs="Times New Roman"/>
                <w:color w:val="000000"/>
                <w:sz w:val="18"/>
                <w:szCs w:val="18"/>
                <w:lang w:eastAsia="es-CO"/>
              </w:rPr>
              <w:t>686.311.499.547</w:t>
            </w:r>
          </w:p>
        </w:tc>
        <w:tc>
          <w:tcPr>
            <w:tcW w:w="1601" w:type="dxa"/>
            <w:noWrap/>
            <w:hideMark/>
          </w:tcPr>
          <w:p w14:paraId="5572982F" w14:textId="77777777" w:rsidR="00D35CD9" w:rsidRPr="0039091F" w:rsidRDefault="00D35CD9" w:rsidP="000A5389">
            <w:pPr>
              <w:spacing w:line="240" w:lineRule="auto"/>
              <w:jc w:val="right"/>
              <w:rPr>
                <w:rFonts w:eastAsia="Times New Roman" w:cs="Times New Roman"/>
                <w:color w:val="000000"/>
                <w:sz w:val="18"/>
                <w:szCs w:val="18"/>
                <w:lang w:eastAsia="es-CO"/>
              </w:rPr>
            </w:pPr>
            <w:r w:rsidRPr="0039091F">
              <w:rPr>
                <w:rFonts w:eastAsia="Times New Roman" w:cs="Times New Roman"/>
                <w:color w:val="000000"/>
                <w:sz w:val="18"/>
                <w:szCs w:val="18"/>
                <w:lang w:eastAsia="es-CO"/>
              </w:rPr>
              <w:t>-9.619.859.372</w:t>
            </w:r>
          </w:p>
        </w:tc>
      </w:tr>
      <w:tr w:rsidR="00D35CD9" w:rsidRPr="0039091F" w14:paraId="24E23826" w14:textId="77777777" w:rsidTr="00F45D5E">
        <w:trPr>
          <w:trHeight w:val="293"/>
        </w:trPr>
        <w:tc>
          <w:tcPr>
            <w:tcW w:w="1162" w:type="dxa"/>
            <w:noWrap/>
            <w:hideMark/>
          </w:tcPr>
          <w:p w14:paraId="7D0E9EB6" w14:textId="77777777" w:rsidR="00D35CD9" w:rsidRPr="0039091F" w:rsidRDefault="00D35CD9" w:rsidP="000A5389">
            <w:pPr>
              <w:spacing w:line="240" w:lineRule="auto"/>
              <w:jc w:val="right"/>
              <w:rPr>
                <w:rFonts w:eastAsia="Times New Roman" w:cs="Times New Roman"/>
                <w:color w:val="000000"/>
                <w:sz w:val="18"/>
                <w:szCs w:val="18"/>
                <w:lang w:eastAsia="es-CO"/>
              </w:rPr>
            </w:pPr>
            <w:r w:rsidRPr="0039091F">
              <w:rPr>
                <w:rFonts w:eastAsia="Times New Roman" w:cs="Times New Roman"/>
                <w:color w:val="000000"/>
                <w:sz w:val="18"/>
                <w:szCs w:val="18"/>
                <w:lang w:eastAsia="es-CO"/>
              </w:rPr>
              <w:t>901602085</w:t>
            </w:r>
          </w:p>
        </w:tc>
        <w:tc>
          <w:tcPr>
            <w:tcW w:w="2802" w:type="dxa"/>
            <w:noWrap/>
            <w:hideMark/>
          </w:tcPr>
          <w:p w14:paraId="34EBB829" w14:textId="77777777" w:rsidR="00D35CD9" w:rsidRPr="0039091F" w:rsidRDefault="00D35CD9" w:rsidP="000A5389">
            <w:pPr>
              <w:spacing w:line="240" w:lineRule="auto"/>
              <w:rPr>
                <w:rFonts w:eastAsia="Times New Roman" w:cs="Times New Roman"/>
                <w:color w:val="000000"/>
                <w:sz w:val="18"/>
                <w:szCs w:val="18"/>
                <w:lang w:eastAsia="es-CO"/>
              </w:rPr>
            </w:pPr>
            <w:r w:rsidRPr="0039091F">
              <w:rPr>
                <w:rFonts w:eastAsia="Times New Roman" w:cs="Times New Roman"/>
                <w:color w:val="000000"/>
                <w:sz w:val="18"/>
                <w:szCs w:val="18"/>
                <w:lang w:eastAsia="es-CO"/>
              </w:rPr>
              <w:t>Autopista Magdalena Medio Sas</w:t>
            </w:r>
          </w:p>
        </w:tc>
        <w:tc>
          <w:tcPr>
            <w:tcW w:w="1723" w:type="dxa"/>
            <w:noWrap/>
            <w:hideMark/>
          </w:tcPr>
          <w:p w14:paraId="5204C31A" w14:textId="77777777" w:rsidR="00D35CD9" w:rsidRPr="0039091F" w:rsidRDefault="00D35CD9" w:rsidP="000A5389">
            <w:pPr>
              <w:spacing w:line="240" w:lineRule="auto"/>
              <w:jc w:val="right"/>
              <w:rPr>
                <w:rFonts w:eastAsia="Times New Roman" w:cs="Times New Roman"/>
                <w:color w:val="000000"/>
                <w:sz w:val="18"/>
                <w:szCs w:val="18"/>
                <w:lang w:eastAsia="es-CO"/>
              </w:rPr>
            </w:pPr>
            <w:r w:rsidRPr="0039091F">
              <w:rPr>
                <w:rFonts w:eastAsia="Times New Roman" w:cs="Times New Roman"/>
                <w:color w:val="000000"/>
                <w:sz w:val="18"/>
                <w:szCs w:val="18"/>
                <w:lang w:eastAsia="es-CO"/>
              </w:rPr>
              <w:t>655.906.850.973</w:t>
            </w:r>
          </w:p>
        </w:tc>
        <w:tc>
          <w:tcPr>
            <w:tcW w:w="1540" w:type="dxa"/>
            <w:noWrap/>
            <w:hideMark/>
          </w:tcPr>
          <w:p w14:paraId="1BBD9DDB" w14:textId="77777777" w:rsidR="00D35CD9" w:rsidRPr="0039091F" w:rsidRDefault="00D35CD9" w:rsidP="000A5389">
            <w:pPr>
              <w:spacing w:line="240" w:lineRule="auto"/>
              <w:jc w:val="right"/>
              <w:rPr>
                <w:rFonts w:eastAsia="Times New Roman" w:cs="Times New Roman"/>
                <w:color w:val="000000"/>
                <w:sz w:val="18"/>
                <w:szCs w:val="18"/>
                <w:lang w:eastAsia="es-CO"/>
              </w:rPr>
            </w:pPr>
            <w:r w:rsidRPr="0039091F">
              <w:rPr>
                <w:rFonts w:eastAsia="Times New Roman" w:cs="Times New Roman"/>
                <w:color w:val="000000"/>
                <w:sz w:val="18"/>
                <w:szCs w:val="18"/>
                <w:lang w:eastAsia="es-CO"/>
              </w:rPr>
              <w:t>7.206.137.643</w:t>
            </w:r>
          </w:p>
        </w:tc>
        <w:tc>
          <w:tcPr>
            <w:tcW w:w="1601" w:type="dxa"/>
            <w:noWrap/>
            <w:hideMark/>
          </w:tcPr>
          <w:p w14:paraId="545D9321" w14:textId="77777777" w:rsidR="00D35CD9" w:rsidRPr="0039091F" w:rsidRDefault="00D35CD9" w:rsidP="000A5389">
            <w:pPr>
              <w:spacing w:line="240" w:lineRule="auto"/>
              <w:jc w:val="right"/>
              <w:rPr>
                <w:rFonts w:eastAsia="Times New Roman" w:cs="Times New Roman"/>
                <w:color w:val="000000"/>
                <w:sz w:val="18"/>
                <w:szCs w:val="18"/>
                <w:lang w:eastAsia="es-CO"/>
              </w:rPr>
            </w:pPr>
            <w:r w:rsidRPr="0039091F">
              <w:rPr>
                <w:rFonts w:eastAsia="Times New Roman" w:cs="Times New Roman"/>
                <w:color w:val="000000"/>
                <w:sz w:val="18"/>
                <w:szCs w:val="18"/>
                <w:lang w:eastAsia="es-CO"/>
              </w:rPr>
              <w:t>648.700.713.330</w:t>
            </w:r>
          </w:p>
        </w:tc>
      </w:tr>
      <w:tr w:rsidR="00D35CD9" w:rsidRPr="0039091F" w14:paraId="7861F3CD" w14:textId="77777777" w:rsidTr="00F45D5E">
        <w:trPr>
          <w:trHeight w:val="293"/>
        </w:trPr>
        <w:tc>
          <w:tcPr>
            <w:tcW w:w="1162" w:type="dxa"/>
            <w:noWrap/>
            <w:hideMark/>
          </w:tcPr>
          <w:p w14:paraId="1590D782" w14:textId="77777777" w:rsidR="00D35CD9" w:rsidRPr="0039091F" w:rsidRDefault="00D35CD9" w:rsidP="000A5389">
            <w:pPr>
              <w:spacing w:line="240" w:lineRule="auto"/>
              <w:jc w:val="right"/>
              <w:rPr>
                <w:rFonts w:eastAsia="Times New Roman" w:cs="Times New Roman"/>
                <w:color w:val="000000"/>
                <w:sz w:val="18"/>
                <w:szCs w:val="18"/>
                <w:lang w:eastAsia="es-CO"/>
              </w:rPr>
            </w:pPr>
            <w:r w:rsidRPr="0039091F">
              <w:rPr>
                <w:rFonts w:eastAsia="Times New Roman" w:cs="Times New Roman"/>
                <w:color w:val="000000"/>
                <w:sz w:val="18"/>
                <w:szCs w:val="18"/>
                <w:lang w:eastAsia="es-CO"/>
              </w:rPr>
              <w:t>901039225</w:t>
            </w:r>
          </w:p>
        </w:tc>
        <w:tc>
          <w:tcPr>
            <w:tcW w:w="2802" w:type="dxa"/>
            <w:noWrap/>
            <w:hideMark/>
          </w:tcPr>
          <w:p w14:paraId="70A85790" w14:textId="77777777" w:rsidR="00D35CD9" w:rsidRPr="0039091F" w:rsidRDefault="00D35CD9" w:rsidP="000A5389">
            <w:pPr>
              <w:spacing w:line="240" w:lineRule="auto"/>
              <w:rPr>
                <w:rFonts w:eastAsia="Times New Roman" w:cs="Times New Roman"/>
                <w:color w:val="000000"/>
                <w:sz w:val="18"/>
                <w:szCs w:val="18"/>
                <w:lang w:eastAsia="es-CO"/>
              </w:rPr>
            </w:pPr>
            <w:r w:rsidRPr="0039091F">
              <w:rPr>
                <w:rFonts w:eastAsia="Times New Roman" w:cs="Times New Roman"/>
                <w:color w:val="000000"/>
                <w:sz w:val="18"/>
                <w:szCs w:val="18"/>
                <w:lang w:eastAsia="es-CO"/>
              </w:rPr>
              <w:t>Accesos Norte de Bogotá S.A.S.</w:t>
            </w:r>
          </w:p>
        </w:tc>
        <w:tc>
          <w:tcPr>
            <w:tcW w:w="1723" w:type="dxa"/>
            <w:noWrap/>
            <w:hideMark/>
          </w:tcPr>
          <w:p w14:paraId="05341824" w14:textId="77777777" w:rsidR="00D35CD9" w:rsidRPr="0039091F" w:rsidRDefault="00D35CD9" w:rsidP="000A5389">
            <w:pPr>
              <w:spacing w:line="240" w:lineRule="auto"/>
              <w:jc w:val="right"/>
              <w:rPr>
                <w:rFonts w:eastAsia="Times New Roman" w:cs="Times New Roman"/>
                <w:color w:val="000000"/>
                <w:sz w:val="18"/>
                <w:szCs w:val="18"/>
                <w:lang w:eastAsia="es-CO"/>
              </w:rPr>
            </w:pPr>
            <w:r w:rsidRPr="0039091F">
              <w:rPr>
                <w:rFonts w:eastAsia="Times New Roman" w:cs="Times New Roman"/>
                <w:color w:val="000000"/>
                <w:sz w:val="18"/>
                <w:szCs w:val="18"/>
                <w:lang w:eastAsia="es-CO"/>
              </w:rPr>
              <w:t>577.889.602.587</w:t>
            </w:r>
          </w:p>
        </w:tc>
        <w:tc>
          <w:tcPr>
            <w:tcW w:w="1540" w:type="dxa"/>
            <w:noWrap/>
            <w:hideMark/>
          </w:tcPr>
          <w:p w14:paraId="3A8ED50D" w14:textId="77777777" w:rsidR="00D35CD9" w:rsidRPr="0039091F" w:rsidRDefault="00D35CD9" w:rsidP="000A5389">
            <w:pPr>
              <w:spacing w:line="240" w:lineRule="auto"/>
              <w:jc w:val="right"/>
              <w:rPr>
                <w:rFonts w:eastAsia="Times New Roman" w:cs="Times New Roman"/>
                <w:color w:val="000000"/>
                <w:sz w:val="18"/>
                <w:szCs w:val="18"/>
                <w:lang w:eastAsia="es-CO"/>
              </w:rPr>
            </w:pPr>
            <w:r w:rsidRPr="0039091F">
              <w:rPr>
                <w:rFonts w:eastAsia="Times New Roman" w:cs="Times New Roman"/>
                <w:color w:val="000000"/>
                <w:sz w:val="18"/>
                <w:szCs w:val="18"/>
                <w:lang w:eastAsia="es-CO"/>
              </w:rPr>
              <w:t>459.692.136.048</w:t>
            </w:r>
          </w:p>
        </w:tc>
        <w:tc>
          <w:tcPr>
            <w:tcW w:w="1601" w:type="dxa"/>
            <w:noWrap/>
            <w:hideMark/>
          </w:tcPr>
          <w:p w14:paraId="14902180" w14:textId="77777777" w:rsidR="00D35CD9" w:rsidRPr="0039091F" w:rsidRDefault="00D35CD9" w:rsidP="000A5389">
            <w:pPr>
              <w:spacing w:line="240" w:lineRule="auto"/>
              <w:jc w:val="right"/>
              <w:rPr>
                <w:rFonts w:eastAsia="Times New Roman" w:cs="Times New Roman"/>
                <w:color w:val="000000"/>
                <w:sz w:val="18"/>
                <w:szCs w:val="18"/>
                <w:lang w:eastAsia="es-CO"/>
              </w:rPr>
            </w:pPr>
            <w:r w:rsidRPr="0039091F">
              <w:rPr>
                <w:rFonts w:eastAsia="Times New Roman" w:cs="Times New Roman"/>
                <w:color w:val="000000"/>
                <w:sz w:val="18"/>
                <w:szCs w:val="18"/>
                <w:lang w:eastAsia="es-CO"/>
              </w:rPr>
              <w:t>118.197.466.539</w:t>
            </w:r>
          </w:p>
        </w:tc>
      </w:tr>
      <w:tr w:rsidR="00D35CD9" w:rsidRPr="0039091F" w14:paraId="2AF7999A" w14:textId="77777777" w:rsidTr="00F45D5E">
        <w:trPr>
          <w:trHeight w:val="293"/>
        </w:trPr>
        <w:tc>
          <w:tcPr>
            <w:tcW w:w="1162" w:type="dxa"/>
            <w:noWrap/>
            <w:hideMark/>
          </w:tcPr>
          <w:p w14:paraId="60D30A8A" w14:textId="77777777" w:rsidR="00D35CD9" w:rsidRPr="0039091F" w:rsidRDefault="00D35CD9" w:rsidP="000A5389">
            <w:pPr>
              <w:spacing w:line="240" w:lineRule="auto"/>
              <w:jc w:val="right"/>
              <w:rPr>
                <w:rFonts w:eastAsia="Times New Roman" w:cs="Times New Roman"/>
                <w:color w:val="000000"/>
                <w:sz w:val="18"/>
                <w:szCs w:val="18"/>
                <w:lang w:eastAsia="es-CO"/>
              </w:rPr>
            </w:pPr>
            <w:r w:rsidRPr="0039091F">
              <w:rPr>
                <w:rFonts w:eastAsia="Times New Roman" w:cs="Times New Roman"/>
                <w:color w:val="000000"/>
                <w:sz w:val="18"/>
                <w:szCs w:val="18"/>
                <w:lang w:eastAsia="es-CO"/>
              </w:rPr>
              <w:t>900763357</w:t>
            </w:r>
          </w:p>
        </w:tc>
        <w:tc>
          <w:tcPr>
            <w:tcW w:w="2802" w:type="dxa"/>
            <w:noWrap/>
            <w:hideMark/>
          </w:tcPr>
          <w:p w14:paraId="1B482EC5" w14:textId="77777777" w:rsidR="00D35CD9" w:rsidRPr="0039091F" w:rsidRDefault="00D35CD9" w:rsidP="000A5389">
            <w:pPr>
              <w:spacing w:line="240" w:lineRule="auto"/>
              <w:rPr>
                <w:rFonts w:eastAsia="Times New Roman" w:cs="Times New Roman"/>
                <w:color w:val="000000"/>
                <w:sz w:val="18"/>
                <w:szCs w:val="18"/>
                <w:lang w:eastAsia="es-CO"/>
              </w:rPr>
            </w:pPr>
            <w:r w:rsidRPr="0039091F">
              <w:rPr>
                <w:rFonts w:eastAsia="Times New Roman" w:cs="Times New Roman"/>
                <w:color w:val="000000"/>
                <w:sz w:val="18"/>
                <w:szCs w:val="18"/>
                <w:lang w:eastAsia="es-CO"/>
              </w:rPr>
              <w:t>Concesión Pacifico Tres S.A.S.</w:t>
            </w:r>
          </w:p>
        </w:tc>
        <w:tc>
          <w:tcPr>
            <w:tcW w:w="1723" w:type="dxa"/>
            <w:noWrap/>
            <w:hideMark/>
          </w:tcPr>
          <w:p w14:paraId="3B36FEDA" w14:textId="77777777" w:rsidR="00D35CD9" w:rsidRPr="0039091F" w:rsidRDefault="00D35CD9" w:rsidP="000A5389">
            <w:pPr>
              <w:spacing w:line="240" w:lineRule="auto"/>
              <w:jc w:val="right"/>
              <w:rPr>
                <w:rFonts w:eastAsia="Times New Roman" w:cs="Times New Roman"/>
                <w:color w:val="000000"/>
                <w:sz w:val="18"/>
                <w:szCs w:val="18"/>
                <w:lang w:eastAsia="es-CO"/>
              </w:rPr>
            </w:pPr>
            <w:r w:rsidRPr="0039091F">
              <w:rPr>
                <w:rFonts w:eastAsia="Times New Roman" w:cs="Times New Roman"/>
                <w:color w:val="000000"/>
                <w:sz w:val="18"/>
                <w:szCs w:val="18"/>
                <w:lang w:eastAsia="es-CO"/>
              </w:rPr>
              <w:t>575.888.021.503</w:t>
            </w:r>
          </w:p>
        </w:tc>
        <w:tc>
          <w:tcPr>
            <w:tcW w:w="1540" w:type="dxa"/>
            <w:noWrap/>
            <w:hideMark/>
          </w:tcPr>
          <w:p w14:paraId="47DBCF61" w14:textId="77777777" w:rsidR="00D35CD9" w:rsidRPr="0039091F" w:rsidRDefault="00D35CD9" w:rsidP="000A5389">
            <w:pPr>
              <w:spacing w:line="240" w:lineRule="auto"/>
              <w:jc w:val="right"/>
              <w:rPr>
                <w:rFonts w:eastAsia="Times New Roman" w:cs="Times New Roman"/>
                <w:color w:val="000000"/>
                <w:sz w:val="18"/>
                <w:szCs w:val="18"/>
                <w:lang w:eastAsia="es-CO"/>
              </w:rPr>
            </w:pPr>
            <w:r w:rsidRPr="0039091F">
              <w:rPr>
                <w:rFonts w:eastAsia="Times New Roman" w:cs="Times New Roman"/>
                <w:color w:val="000000"/>
                <w:sz w:val="18"/>
                <w:szCs w:val="18"/>
                <w:lang w:eastAsia="es-CO"/>
              </w:rPr>
              <w:t>607.353.562.578</w:t>
            </w:r>
          </w:p>
        </w:tc>
        <w:tc>
          <w:tcPr>
            <w:tcW w:w="1601" w:type="dxa"/>
            <w:noWrap/>
            <w:hideMark/>
          </w:tcPr>
          <w:p w14:paraId="56AFA270" w14:textId="77777777" w:rsidR="00D35CD9" w:rsidRPr="0039091F" w:rsidRDefault="00D35CD9" w:rsidP="000A5389">
            <w:pPr>
              <w:spacing w:line="240" w:lineRule="auto"/>
              <w:jc w:val="right"/>
              <w:rPr>
                <w:rFonts w:eastAsia="Times New Roman" w:cs="Times New Roman"/>
                <w:color w:val="000000"/>
                <w:sz w:val="18"/>
                <w:szCs w:val="18"/>
                <w:lang w:eastAsia="es-CO"/>
              </w:rPr>
            </w:pPr>
            <w:r w:rsidRPr="0039091F">
              <w:rPr>
                <w:rFonts w:eastAsia="Times New Roman" w:cs="Times New Roman"/>
                <w:color w:val="000000"/>
                <w:sz w:val="18"/>
                <w:szCs w:val="18"/>
                <w:lang w:eastAsia="es-CO"/>
              </w:rPr>
              <w:t>-31.465.541.075</w:t>
            </w:r>
          </w:p>
        </w:tc>
      </w:tr>
      <w:tr w:rsidR="00D35CD9" w:rsidRPr="0039091F" w14:paraId="3657B753" w14:textId="77777777" w:rsidTr="00F45D5E">
        <w:trPr>
          <w:trHeight w:val="293"/>
        </w:trPr>
        <w:tc>
          <w:tcPr>
            <w:tcW w:w="1162" w:type="dxa"/>
            <w:noWrap/>
            <w:hideMark/>
          </w:tcPr>
          <w:p w14:paraId="77CC6689" w14:textId="77777777" w:rsidR="00D35CD9" w:rsidRPr="0039091F" w:rsidRDefault="00D35CD9" w:rsidP="000A5389">
            <w:pPr>
              <w:spacing w:line="240" w:lineRule="auto"/>
              <w:jc w:val="right"/>
              <w:rPr>
                <w:rFonts w:eastAsia="Times New Roman" w:cs="Times New Roman"/>
                <w:color w:val="000000"/>
                <w:sz w:val="18"/>
                <w:szCs w:val="18"/>
                <w:lang w:eastAsia="es-CO"/>
              </w:rPr>
            </w:pPr>
            <w:r w:rsidRPr="0039091F">
              <w:rPr>
                <w:rFonts w:eastAsia="Times New Roman" w:cs="Times New Roman"/>
                <w:color w:val="000000"/>
                <w:sz w:val="18"/>
                <w:szCs w:val="18"/>
                <w:lang w:eastAsia="es-CO"/>
              </w:rPr>
              <w:t>900373092</w:t>
            </w:r>
          </w:p>
        </w:tc>
        <w:tc>
          <w:tcPr>
            <w:tcW w:w="2802" w:type="dxa"/>
            <w:noWrap/>
            <w:hideMark/>
          </w:tcPr>
          <w:p w14:paraId="77867B72" w14:textId="77777777" w:rsidR="00D35CD9" w:rsidRPr="0039091F" w:rsidRDefault="00D35CD9" w:rsidP="000A5389">
            <w:pPr>
              <w:spacing w:line="240" w:lineRule="auto"/>
              <w:rPr>
                <w:rFonts w:eastAsia="Times New Roman" w:cs="Times New Roman"/>
                <w:color w:val="000000"/>
                <w:sz w:val="18"/>
                <w:szCs w:val="18"/>
                <w:lang w:eastAsia="es-CO"/>
              </w:rPr>
            </w:pPr>
            <w:r w:rsidRPr="0039091F">
              <w:rPr>
                <w:rFonts w:eastAsia="Times New Roman" w:cs="Times New Roman"/>
                <w:color w:val="000000"/>
                <w:sz w:val="18"/>
                <w:szCs w:val="18"/>
                <w:lang w:eastAsia="es-CO"/>
              </w:rPr>
              <w:t>Yuma Concesionaria S A - En Reorganización</w:t>
            </w:r>
          </w:p>
        </w:tc>
        <w:tc>
          <w:tcPr>
            <w:tcW w:w="1723" w:type="dxa"/>
            <w:noWrap/>
            <w:hideMark/>
          </w:tcPr>
          <w:p w14:paraId="7D3AB0FB" w14:textId="77777777" w:rsidR="00D35CD9" w:rsidRPr="0039091F" w:rsidRDefault="00D35CD9" w:rsidP="000A5389">
            <w:pPr>
              <w:spacing w:line="240" w:lineRule="auto"/>
              <w:jc w:val="right"/>
              <w:rPr>
                <w:rFonts w:eastAsia="Times New Roman" w:cs="Times New Roman"/>
                <w:color w:val="000000"/>
                <w:sz w:val="18"/>
                <w:szCs w:val="18"/>
                <w:lang w:eastAsia="es-CO"/>
              </w:rPr>
            </w:pPr>
            <w:r w:rsidRPr="0039091F">
              <w:rPr>
                <w:rFonts w:eastAsia="Times New Roman" w:cs="Times New Roman"/>
                <w:color w:val="000000"/>
                <w:sz w:val="18"/>
                <w:szCs w:val="18"/>
                <w:lang w:eastAsia="es-CO"/>
              </w:rPr>
              <w:t>561.124.760.892</w:t>
            </w:r>
          </w:p>
        </w:tc>
        <w:tc>
          <w:tcPr>
            <w:tcW w:w="1540" w:type="dxa"/>
            <w:noWrap/>
            <w:hideMark/>
          </w:tcPr>
          <w:p w14:paraId="4FA49507" w14:textId="77777777" w:rsidR="00D35CD9" w:rsidRPr="0039091F" w:rsidRDefault="00D35CD9" w:rsidP="000A5389">
            <w:pPr>
              <w:spacing w:line="240" w:lineRule="auto"/>
              <w:jc w:val="right"/>
              <w:rPr>
                <w:rFonts w:eastAsia="Times New Roman" w:cs="Times New Roman"/>
                <w:color w:val="000000"/>
                <w:sz w:val="18"/>
                <w:szCs w:val="18"/>
                <w:lang w:eastAsia="es-CO"/>
              </w:rPr>
            </w:pPr>
            <w:r w:rsidRPr="0039091F">
              <w:rPr>
                <w:rFonts w:eastAsia="Times New Roman" w:cs="Times New Roman"/>
                <w:color w:val="000000"/>
                <w:sz w:val="18"/>
                <w:szCs w:val="18"/>
                <w:lang w:eastAsia="es-CO"/>
              </w:rPr>
              <w:t>510.216.005.988</w:t>
            </w:r>
          </w:p>
        </w:tc>
        <w:tc>
          <w:tcPr>
            <w:tcW w:w="1601" w:type="dxa"/>
            <w:noWrap/>
            <w:hideMark/>
          </w:tcPr>
          <w:p w14:paraId="77F61384" w14:textId="77777777" w:rsidR="00D35CD9" w:rsidRPr="0039091F" w:rsidRDefault="00D35CD9" w:rsidP="000A5389">
            <w:pPr>
              <w:spacing w:line="240" w:lineRule="auto"/>
              <w:jc w:val="right"/>
              <w:rPr>
                <w:rFonts w:eastAsia="Times New Roman" w:cs="Times New Roman"/>
                <w:color w:val="000000"/>
                <w:sz w:val="18"/>
                <w:szCs w:val="18"/>
                <w:lang w:eastAsia="es-CO"/>
              </w:rPr>
            </w:pPr>
            <w:r w:rsidRPr="0039091F">
              <w:rPr>
                <w:rFonts w:eastAsia="Times New Roman" w:cs="Times New Roman"/>
                <w:color w:val="000000"/>
                <w:sz w:val="18"/>
                <w:szCs w:val="18"/>
                <w:lang w:eastAsia="es-CO"/>
              </w:rPr>
              <w:t>50.908.754.904</w:t>
            </w:r>
          </w:p>
        </w:tc>
      </w:tr>
      <w:tr w:rsidR="00D35CD9" w:rsidRPr="0039091F" w14:paraId="005173FE" w14:textId="77777777" w:rsidTr="00F45D5E">
        <w:trPr>
          <w:trHeight w:val="293"/>
        </w:trPr>
        <w:tc>
          <w:tcPr>
            <w:tcW w:w="1162" w:type="dxa"/>
            <w:noWrap/>
            <w:hideMark/>
          </w:tcPr>
          <w:p w14:paraId="5E20B51B" w14:textId="77777777" w:rsidR="00D35CD9" w:rsidRPr="0039091F" w:rsidRDefault="00D35CD9" w:rsidP="000A5389">
            <w:pPr>
              <w:spacing w:line="240" w:lineRule="auto"/>
              <w:jc w:val="right"/>
              <w:rPr>
                <w:rFonts w:eastAsia="Times New Roman" w:cs="Times New Roman"/>
                <w:color w:val="000000"/>
                <w:sz w:val="18"/>
                <w:szCs w:val="18"/>
                <w:lang w:eastAsia="es-CO"/>
              </w:rPr>
            </w:pPr>
            <w:r w:rsidRPr="0039091F">
              <w:rPr>
                <w:rFonts w:eastAsia="Times New Roman" w:cs="Times New Roman"/>
                <w:color w:val="000000"/>
                <w:sz w:val="18"/>
                <w:szCs w:val="18"/>
                <w:lang w:eastAsia="es-CO"/>
              </w:rPr>
              <w:t>900864150</w:t>
            </w:r>
          </w:p>
        </w:tc>
        <w:tc>
          <w:tcPr>
            <w:tcW w:w="2802" w:type="dxa"/>
            <w:noWrap/>
            <w:hideMark/>
          </w:tcPr>
          <w:p w14:paraId="27D0B15D" w14:textId="77777777" w:rsidR="00D35CD9" w:rsidRPr="0039091F" w:rsidRDefault="00D35CD9" w:rsidP="000A5389">
            <w:pPr>
              <w:spacing w:line="240" w:lineRule="auto"/>
              <w:rPr>
                <w:rFonts w:eastAsia="Times New Roman" w:cs="Times New Roman"/>
                <w:color w:val="000000"/>
                <w:sz w:val="18"/>
                <w:szCs w:val="18"/>
                <w:lang w:eastAsia="es-CO"/>
              </w:rPr>
            </w:pPr>
            <w:r w:rsidRPr="0039091F">
              <w:rPr>
                <w:rFonts w:eastAsia="Times New Roman" w:cs="Times New Roman"/>
                <w:color w:val="000000"/>
                <w:sz w:val="18"/>
                <w:szCs w:val="18"/>
                <w:lang w:eastAsia="es-CO"/>
              </w:rPr>
              <w:t>Concesionaria Alternativas Viales S.A.S.</w:t>
            </w:r>
          </w:p>
        </w:tc>
        <w:tc>
          <w:tcPr>
            <w:tcW w:w="1723" w:type="dxa"/>
            <w:noWrap/>
            <w:hideMark/>
          </w:tcPr>
          <w:p w14:paraId="0C310D7D" w14:textId="77777777" w:rsidR="00D35CD9" w:rsidRPr="0039091F" w:rsidRDefault="00D35CD9" w:rsidP="000A5389">
            <w:pPr>
              <w:spacing w:line="240" w:lineRule="auto"/>
              <w:jc w:val="right"/>
              <w:rPr>
                <w:rFonts w:eastAsia="Times New Roman" w:cs="Times New Roman"/>
                <w:color w:val="000000"/>
                <w:sz w:val="18"/>
                <w:szCs w:val="18"/>
                <w:lang w:eastAsia="es-CO"/>
              </w:rPr>
            </w:pPr>
            <w:r w:rsidRPr="0039091F">
              <w:rPr>
                <w:rFonts w:eastAsia="Times New Roman" w:cs="Times New Roman"/>
                <w:color w:val="000000"/>
                <w:sz w:val="18"/>
                <w:szCs w:val="18"/>
                <w:lang w:eastAsia="es-CO"/>
              </w:rPr>
              <w:t>560.872.550.900</w:t>
            </w:r>
          </w:p>
        </w:tc>
        <w:tc>
          <w:tcPr>
            <w:tcW w:w="1540" w:type="dxa"/>
            <w:noWrap/>
            <w:hideMark/>
          </w:tcPr>
          <w:p w14:paraId="50DF1993" w14:textId="77777777" w:rsidR="00D35CD9" w:rsidRPr="0039091F" w:rsidRDefault="00D35CD9" w:rsidP="000A5389">
            <w:pPr>
              <w:spacing w:line="240" w:lineRule="auto"/>
              <w:jc w:val="right"/>
              <w:rPr>
                <w:rFonts w:eastAsia="Times New Roman" w:cs="Times New Roman"/>
                <w:color w:val="000000"/>
                <w:sz w:val="18"/>
                <w:szCs w:val="18"/>
                <w:lang w:eastAsia="es-CO"/>
              </w:rPr>
            </w:pPr>
            <w:r w:rsidRPr="0039091F">
              <w:rPr>
                <w:rFonts w:eastAsia="Times New Roman" w:cs="Times New Roman"/>
                <w:color w:val="000000"/>
                <w:sz w:val="18"/>
                <w:szCs w:val="18"/>
                <w:lang w:eastAsia="es-CO"/>
              </w:rPr>
              <w:t>584.581.912.431</w:t>
            </w:r>
          </w:p>
        </w:tc>
        <w:tc>
          <w:tcPr>
            <w:tcW w:w="1601" w:type="dxa"/>
            <w:noWrap/>
            <w:hideMark/>
          </w:tcPr>
          <w:p w14:paraId="19E4F9D7" w14:textId="77777777" w:rsidR="00D35CD9" w:rsidRPr="0039091F" w:rsidRDefault="00D35CD9" w:rsidP="000A5389">
            <w:pPr>
              <w:spacing w:line="240" w:lineRule="auto"/>
              <w:jc w:val="right"/>
              <w:rPr>
                <w:rFonts w:eastAsia="Times New Roman" w:cs="Times New Roman"/>
                <w:color w:val="000000"/>
                <w:sz w:val="18"/>
                <w:szCs w:val="18"/>
                <w:lang w:eastAsia="es-CO"/>
              </w:rPr>
            </w:pPr>
            <w:r w:rsidRPr="0039091F">
              <w:rPr>
                <w:rFonts w:eastAsia="Times New Roman" w:cs="Times New Roman"/>
                <w:color w:val="000000"/>
                <w:sz w:val="18"/>
                <w:szCs w:val="18"/>
                <w:lang w:eastAsia="es-CO"/>
              </w:rPr>
              <w:t>-23.709.361.531</w:t>
            </w:r>
          </w:p>
        </w:tc>
      </w:tr>
      <w:tr w:rsidR="00D35CD9" w:rsidRPr="0039091F" w14:paraId="3AE215BC" w14:textId="77777777" w:rsidTr="00F45D5E">
        <w:trPr>
          <w:trHeight w:val="293"/>
        </w:trPr>
        <w:tc>
          <w:tcPr>
            <w:tcW w:w="1162" w:type="dxa"/>
            <w:noWrap/>
            <w:hideMark/>
          </w:tcPr>
          <w:p w14:paraId="4FDB844E" w14:textId="77777777" w:rsidR="00D35CD9" w:rsidRPr="0039091F" w:rsidRDefault="00D35CD9" w:rsidP="000A5389">
            <w:pPr>
              <w:spacing w:line="240" w:lineRule="auto"/>
              <w:jc w:val="right"/>
              <w:rPr>
                <w:rFonts w:eastAsia="Times New Roman" w:cs="Times New Roman"/>
                <w:color w:val="000000"/>
                <w:sz w:val="18"/>
                <w:szCs w:val="18"/>
                <w:lang w:eastAsia="es-CO"/>
              </w:rPr>
            </w:pPr>
            <w:r w:rsidRPr="0039091F">
              <w:rPr>
                <w:rFonts w:eastAsia="Times New Roman" w:cs="Times New Roman"/>
                <w:color w:val="000000"/>
                <w:sz w:val="18"/>
                <w:szCs w:val="18"/>
                <w:lang w:eastAsia="es-CO"/>
              </w:rPr>
              <w:t>901607093</w:t>
            </w:r>
          </w:p>
        </w:tc>
        <w:tc>
          <w:tcPr>
            <w:tcW w:w="2802" w:type="dxa"/>
            <w:noWrap/>
            <w:hideMark/>
          </w:tcPr>
          <w:p w14:paraId="336F848C" w14:textId="77777777" w:rsidR="00D35CD9" w:rsidRPr="0039091F" w:rsidRDefault="00D35CD9" w:rsidP="000A5389">
            <w:pPr>
              <w:spacing w:line="240" w:lineRule="auto"/>
              <w:rPr>
                <w:rFonts w:eastAsia="Times New Roman" w:cs="Times New Roman"/>
                <w:color w:val="000000"/>
                <w:sz w:val="18"/>
                <w:szCs w:val="18"/>
                <w:lang w:eastAsia="es-CO"/>
              </w:rPr>
            </w:pPr>
            <w:r w:rsidRPr="0039091F">
              <w:rPr>
                <w:rFonts w:eastAsia="Times New Roman" w:cs="Times New Roman"/>
                <w:color w:val="000000"/>
                <w:sz w:val="18"/>
                <w:szCs w:val="18"/>
                <w:lang w:eastAsia="es-CO"/>
              </w:rPr>
              <w:t>Autopista del Rio Grande S.A.S</w:t>
            </w:r>
          </w:p>
        </w:tc>
        <w:tc>
          <w:tcPr>
            <w:tcW w:w="1723" w:type="dxa"/>
            <w:noWrap/>
            <w:hideMark/>
          </w:tcPr>
          <w:p w14:paraId="583CB969" w14:textId="77777777" w:rsidR="00D35CD9" w:rsidRPr="0039091F" w:rsidRDefault="00D35CD9" w:rsidP="000A5389">
            <w:pPr>
              <w:spacing w:line="240" w:lineRule="auto"/>
              <w:jc w:val="right"/>
              <w:rPr>
                <w:rFonts w:eastAsia="Times New Roman" w:cs="Times New Roman"/>
                <w:color w:val="000000"/>
                <w:sz w:val="18"/>
                <w:szCs w:val="18"/>
                <w:lang w:eastAsia="es-CO"/>
              </w:rPr>
            </w:pPr>
            <w:r w:rsidRPr="0039091F">
              <w:rPr>
                <w:rFonts w:eastAsia="Times New Roman" w:cs="Times New Roman"/>
                <w:color w:val="000000"/>
                <w:sz w:val="18"/>
                <w:szCs w:val="18"/>
                <w:lang w:eastAsia="es-CO"/>
              </w:rPr>
              <w:t>511.101.059.995</w:t>
            </w:r>
          </w:p>
        </w:tc>
        <w:tc>
          <w:tcPr>
            <w:tcW w:w="1540" w:type="dxa"/>
            <w:noWrap/>
            <w:hideMark/>
          </w:tcPr>
          <w:p w14:paraId="2CA1E715" w14:textId="77777777" w:rsidR="00D35CD9" w:rsidRPr="0039091F" w:rsidRDefault="00D35CD9" w:rsidP="000A5389">
            <w:pPr>
              <w:spacing w:line="240" w:lineRule="auto"/>
              <w:jc w:val="right"/>
              <w:rPr>
                <w:rFonts w:eastAsia="Times New Roman" w:cs="Times New Roman"/>
                <w:color w:val="000000"/>
                <w:sz w:val="18"/>
                <w:szCs w:val="18"/>
                <w:lang w:eastAsia="es-CO"/>
              </w:rPr>
            </w:pPr>
            <w:r w:rsidRPr="0039091F">
              <w:rPr>
                <w:rFonts w:eastAsia="Times New Roman" w:cs="Times New Roman"/>
                <w:color w:val="000000"/>
                <w:sz w:val="18"/>
                <w:szCs w:val="18"/>
                <w:lang w:eastAsia="es-CO"/>
              </w:rPr>
              <w:t>122.346.250.245</w:t>
            </w:r>
          </w:p>
        </w:tc>
        <w:tc>
          <w:tcPr>
            <w:tcW w:w="1601" w:type="dxa"/>
            <w:noWrap/>
            <w:hideMark/>
          </w:tcPr>
          <w:p w14:paraId="5A2AE6B8" w14:textId="77777777" w:rsidR="00D35CD9" w:rsidRPr="0039091F" w:rsidRDefault="00D35CD9" w:rsidP="000A5389">
            <w:pPr>
              <w:spacing w:line="240" w:lineRule="auto"/>
              <w:jc w:val="right"/>
              <w:rPr>
                <w:rFonts w:eastAsia="Times New Roman" w:cs="Times New Roman"/>
                <w:color w:val="000000"/>
                <w:sz w:val="18"/>
                <w:szCs w:val="18"/>
                <w:lang w:eastAsia="es-CO"/>
              </w:rPr>
            </w:pPr>
            <w:r w:rsidRPr="0039091F">
              <w:rPr>
                <w:rFonts w:eastAsia="Times New Roman" w:cs="Times New Roman"/>
                <w:color w:val="000000"/>
                <w:sz w:val="18"/>
                <w:szCs w:val="18"/>
                <w:lang w:eastAsia="es-CO"/>
              </w:rPr>
              <w:t>388.754.809.750</w:t>
            </w:r>
          </w:p>
        </w:tc>
      </w:tr>
      <w:tr w:rsidR="00D35CD9" w:rsidRPr="0039091F" w14:paraId="48C0B698" w14:textId="77777777" w:rsidTr="00F45D5E">
        <w:trPr>
          <w:trHeight w:val="293"/>
        </w:trPr>
        <w:tc>
          <w:tcPr>
            <w:tcW w:w="1162" w:type="dxa"/>
            <w:noWrap/>
            <w:hideMark/>
          </w:tcPr>
          <w:p w14:paraId="0E688E90" w14:textId="77777777" w:rsidR="00D35CD9" w:rsidRPr="0039091F" w:rsidRDefault="00D35CD9" w:rsidP="000A5389">
            <w:pPr>
              <w:spacing w:line="240" w:lineRule="auto"/>
              <w:jc w:val="right"/>
              <w:rPr>
                <w:rFonts w:eastAsia="Times New Roman" w:cs="Times New Roman"/>
                <w:color w:val="000000"/>
                <w:sz w:val="18"/>
                <w:szCs w:val="18"/>
                <w:lang w:eastAsia="es-CO"/>
              </w:rPr>
            </w:pPr>
            <w:r w:rsidRPr="0039091F">
              <w:rPr>
                <w:rFonts w:eastAsia="Times New Roman" w:cs="Times New Roman"/>
                <w:color w:val="000000"/>
                <w:sz w:val="18"/>
                <w:szCs w:val="18"/>
                <w:lang w:eastAsia="es-CO"/>
              </w:rPr>
              <w:t>900816750</w:t>
            </w:r>
          </w:p>
        </w:tc>
        <w:tc>
          <w:tcPr>
            <w:tcW w:w="2802" w:type="dxa"/>
            <w:noWrap/>
            <w:hideMark/>
          </w:tcPr>
          <w:p w14:paraId="5C31E5CE" w14:textId="77777777" w:rsidR="00D35CD9" w:rsidRPr="0039091F" w:rsidRDefault="00D35CD9" w:rsidP="000A5389">
            <w:pPr>
              <w:spacing w:line="240" w:lineRule="auto"/>
              <w:rPr>
                <w:rFonts w:eastAsia="Times New Roman" w:cs="Times New Roman"/>
                <w:color w:val="000000"/>
                <w:sz w:val="18"/>
                <w:szCs w:val="18"/>
                <w:lang w:eastAsia="es-CO"/>
              </w:rPr>
            </w:pPr>
            <w:r w:rsidRPr="0039091F">
              <w:rPr>
                <w:rFonts w:eastAsia="Times New Roman" w:cs="Times New Roman"/>
                <w:color w:val="000000"/>
                <w:sz w:val="18"/>
                <w:szCs w:val="18"/>
                <w:lang w:eastAsia="es-CO"/>
              </w:rPr>
              <w:t>App GICA S.A.</w:t>
            </w:r>
          </w:p>
        </w:tc>
        <w:tc>
          <w:tcPr>
            <w:tcW w:w="1723" w:type="dxa"/>
            <w:noWrap/>
            <w:hideMark/>
          </w:tcPr>
          <w:p w14:paraId="0149F239" w14:textId="77777777" w:rsidR="00D35CD9" w:rsidRPr="0039091F" w:rsidRDefault="00D35CD9" w:rsidP="000A5389">
            <w:pPr>
              <w:spacing w:line="240" w:lineRule="auto"/>
              <w:jc w:val="right"/>
              <w:rPr>
                <w:rFonts w:eastAsia="Times New Roman" w:cs="Times New Roman"/>
                <w:color w:val="000000"/>
                <w:sz w:val="18"/>
                <w:szCs w:val="18"/>
                <w:lang w:eastAsia="es-CO"/>
              </w:rPr>
            </w:pPr>
            <w:r w:rsidRPr="0039091F">
              <w:rPr>
                <w:rFonts w:eastAsia="Times New Roman" w:cs="Times New Roman"/>
                <w:color w:val="000000"/>
                <w:sz w:val="18"/>
                <w:szCs w:val="18"/>
                <w:lang w:eastAsia="es-CO"/>
              </w:rPr>
              <w:t>501.440.634.930</w:t>
            </w:r>
          </w:p>
        </w:tc>
        <w:tc>
          <w:tcPr>
            <w:tcW w:w="1540" w:type="dxa"/>
            <w:noWrap/>
            <w:hideMark/>
          </w:tcPr>
          <w:p w14:paraId="0CDE14C8" w14:textId="77777777" w:rsidR="00D35CD9" w:rsidRPr="0039091F" w:rsidRDefault="00D35CD9" w:rsidP="000A5389">
            <w:pPr>
              <w:spacing w:line="240" w:lineRule="auto"/>
              <w:jc w:val="right"/>
              <w:rPr>
                <w:rFonts w:eastAsia="Times New Roman" w:cs="Times New Roman"/>
                <w:color w:val="000000"/>
                <w:sz w:val="18"/>
                <w:szCs w:val="18"/>
                <w:lang w:eastAsia="es-CO"/>
              </w:rPr>
            </w:pPr>
            <w:r w:rsidRPr="0039091F">
              <w:rPr>
                <w:rFonts w:eastAsia="Times New Roman" w:cs="Times New Roman"/>
                <w:color w:val="000000"/>
                <w:sz w:val="18"/>
                <w:szCs w:val="18"/>
                <w:lang w:eastAsia="es-CO"/>
              </w:rPr>
              <w:t>519.888.428.626</w:t>
            </w:r>
          </w:p>
        </w:tc>
        <w:tc>
          <w:tcPr>
            <w:tcW w:w="1601" w:type="dxa"/>
            <w:noWrap/>
            <w:hideMark/>
          </w:tcPr>
          <w:p w14:paraId="3ECFE63E" w14:textId="77777777" w:rsidR="00D35CD9" w:rsidRPr="0039091F" w:rsidRDefault="00D35CD9" w:rsidP="000A5389">
            <w:pPr>
              <w:spacing w:line="240" w:lineRule="auto"/>
              <w:jc w:val="right"/>
              <w:rPr>
                <w:rFonts w:eastAsia="Times New Roman" w:cs="Times New Roman"/>
                <w:color w:val="000000"/>
                <w:sz w:val="18"/>
                <w:szCs w:val="18"/>
                <w:lang w:eastAsia="es-CO"/>
              </w:rPr>
            </w:pPr>
            <w:r w:rsidRPr="0039091F">
              <w:rPr>
                <w:rFonts w:eastAsia="Times New Roman" w:cs="Times New Roman"/>
                <w:color w:val="000000"/>
                <w:sz w:val="18"/>
                <w:szCs w:val="18"/>
                <w:lang w:eastAsia="es-CO"/>
              </w:rPr>
              <w:t>-18.447.793.696</w:t>
            </w:r>
          </w:p>
        </w:tc>
      </w:tr>
      <w:tr w:rsidR="00D35CD9" w:rsidRPr="0039091F" w14:paraId="0051FE55" w14:textId="77777777" w:rsidTr="00F45D5E">
        <w:trPr>
          <w:trHeight w:val="293"/>
        </w:trPr>
        <w:tc>
          <w:tcPr>
            <w:tcW w:w="1162" w:type="dxa"/>
            <w:noWrap/>
            <w:hideMark/>
          </w:tcPr>
          <w:p w14:paraId="2429D41D" w14:textId="77777777" w:rsidR="00D35CD9" w:rsidRPr="0039091F" w:rsidRDefault="00D35CD9" w:rsidP="000A5389">
            <w:pPr>
              <w:spacing w:line="240" w:lineRule="auto"/>
              <w:jc w:val="right"/>
              <w:rPr>
                <w:rFonts w:eastAsia="Times New Roman" w:cs="Times New Roman"/>
                <w:color w:val="000000"/>
                <w:sz w:val="18"/>
                <w:szCs w:val="18"/>
                <w:lang w:eastAsia="es-CO"/>
              </w:rPr>
            </w:pPr>
            <w:r w:rsidRPr="0039091F">
              <w:rPr>
                <w:rFonts w:eastAsia="Times New Roman" w:cs="Times New Roman"/>
                <w:color w:val="000000"/>
                <w:sz w:val="18"/>
                <w:szCs w:val="18"/>
                <w:lang w:eastAsia="es-CO"/>
              </w:rPr>
              <w:t>900902591</w:t>
            </w:r>
          </w:p>
        </w:tc>
        <w:tc>
          <w:tcPr>
            <w:tcW w:w="2802" w:type="dxa"/>
            <w:noWrap/>
            <w:hideMark/>
          </w:tcPr>
          <w:p w14:paraId="73BB2FC7" w14:textId="77777777" w:rsidR="00D35CD9" w:rsidRPr="0039091F" w:rsidRDefault="00D35CD9" w:rsidP="000A5389">
            <w:pPr>
              <w:spacing w:line="240" w:lineRule="auto"/>
              <w:rPr>
                <w:rFonts w:eastAsia="Times New Roman" w:cs="Times New Roman"/>
                <w:color w:val="000000"/>
                <w:sz w:val="18"/>
                <w:szCs w:val="18"/>
                <w:lang w:eastAsia="es-CO"/>
              </w:rPr>
            </w:pPr>
            <w:r w:rsidRPr="0039091F">
              <w:rPr>
                <w:rFonts w:eastAsia="Times New Roman" w:cs="Times New Roman"/>
                <w:color w:val="000000"/>
                <w:sz w:val="18"/>
                <w:szCs w:val="18"/>
                <w:lang w:eastAsia="es-CO"/>
              </w:rPr>
              <w:t>Autopistas Urabá S.A.S</w:t>
            </w:r>
          </w:p>
        </w:tc>
        <w:tc>
          <w:tcPr>
            <w:tcW w:w="1723" w:type="dxa"/>
            <w:noWrap/>
            <w:hideMark/>
          </w:tcPr>
          <w:p w14:paraId="6F24DDED" w14:textId="77777777" w:rsidR="00D35CD9" w:rsidRPr="0039091F" w:rsidRDefault="00D35CD9" w:rsidP="000A5389">
            <w:pPr>
              <w:spacing w:line="240" w:lineRule="auto"/>
              <w:jc w:val="right"/>
              <w:rPr>
                <w:rFonts w:eastAsia="Times New Roman" w:cs="Times New Roman"/>
                <w:color w:val="000000"/>
                <w:sz w:val="18"/>
                <w:szCs w:val="18"/>
                <w:lang w:eastAsia="es-CO"/>
              </w:rPr>
            </w:pPr>
            <w:r w:rsidRPr="0039091F">
              <w:rPr>
                <w:rFonts w:eastAsia="Times New Roman" w:cs="Times New Roman"/>
                <w:color w:val="000000"/>
                <w:sz w:val="18"/>
                <w:szCs w:val="18"/>
                <w:lang w:eastAsia="es-CO"/>
              </w:rPr>
              <w:t>444.305.471.933</w:t>
            </w:r>
          </w:p>
        </w:tc>
        <w:tc>
          <w:tcPr>
            <w:tcW w:w="1540" w:type="dxa"/>
            <w:noWrap/>
            <w:hideMark/>
          </w:tcPr>
          <w:p w14:paraId="7462B804" w14:textId="77777777" w:rsidR="00D35CD9" w:rsidRPr="0039091F" w:rsidRDefault="00D35CD9" w:rsidP="000A5389">
            <w:pPr>
              <w:spacing w:line="240" w:lineRule="auto"/>
              <w:jc w:val="right"/>
              <w:rPr>
                <w:rFonts w:eastAsia="Times New Roman" w:cs="Times New Roman"/>
                <w:color w:val="000000"/>
                <w:sz w:val="18"/>
                <w:szCs w:val="18"/>
                <w:lang w:eastAsia="es-CO"/>
              </w:rPr>
            </w:pPr>
            <w:r w:rsidRPr="0039091F">
              <w:rPr>
                <w:rFonts w:eastAsia="Times New Roman" w:cs="Times New Roman"/>
                <w:color w:val="000000"/>
                <w:sz w:val="18"/>
                <w:szCs w:val="18"/>
                <w:lang w:eastAsia="es-CO"/>
              </w:rPr>
              <w:t>471.204.450.715</w:t>
            </w:r>
          </w:p>
        </w:tc>
        <w:tc>
          <w:tcPr>
            <w:tcW w:w="1601" w:type="dxa"/>
            <w:noWrap/>
            <w:hideMark/>
          </w:tcPr>
          <w:p w14:paraId="0A3A7974" w14:textId="77777777" w:rsidR="00D35CD9" w:rsidRPr="0039091F" w:rsidRDefault="00D35CD9" w:rsidP="000A5389">
            <w:pPr>
              <w:spacing w:line="240" w:lineRule="auto"/>
              <w:jc w:val="right"/>
              <w:rPr>
                <w:rFonts w:eastAsia="Times New Roman" w:cs="Times New Roman"/>
                <w:color w:val="000000"/>
                <w:sz w:val="18"/>
                <w:szCs w:val="18"/>
                <w:lang w:eastAsia="es-CO"/>
              </w:rPr>
            </w:pPr>
            <w:r w:rsidRPr="0039091F">
              <w:rPr>
                <w:rFonts w:eastAsia="Times New Roman" w:cs="Times New Roman"/>
                <w:color w:val="000000"/>
                <w:sz w:val="18"/>
                <w:szCs w:val="18"/>
                <w:lang w:eastAsia="es-CO"/>
              </w:rPr>
              <w:t>-26.898.978.782</w:t>
            </w:r>
          </w:p>
        </w:tc>
      </w:tr>
      <w:tr w:rsidR="00D35CD9" w:rsidRPr="0039091F" w14:paraId="68805F25" w14:textId="77777777" w:rsidTr="00F45D5E">
        <w:trPr>
          <w:trHeight w:val="293"/>
        </w:trPr>
        <w:tc>
          <w:tcPr>
            <w:tcW w:w="1162" w:type="dxa"/>
            <w:noWrap/>
            <w:hideMark/>
          </w:tcPr>
          <w:p w14:paraId="6496B647" w14:textId="77777777" w:rsidR="00D35CD9" w:rsidRPr="0039091F" w:rsidRDefault="00D35CD9" w:rsidP="000A5389">
            <w:pPr>
              <w:spacing w:line="240" w:lineRule="auto"/>
              <w:jc w:val="right"/>
              <w:rPr>
                <w:rFonts w:eastAsia="Times New Roman" w:cs="Times New Roman"/>
                <w:color w:val="000000"/>
                <w:sz w:val="18"/>
                <w:szCs w:val="18"/>
                <w:lang w:eastAsia="es-CO"/>
              </w:rPr>
            </w:pPr>
            <w:r w:rsidRPr="0039091F">
              <w:rPr>
                <w:rFonts w:eastAsia="Times New Roman" w:cs="Times New Roman"/>
                <w:color w:val="000000"/>
                <w:sz w:val="18"/>
                <w:szCs w:val="18"/>
                <w:lang w:eastAsia="es-CO"/>
              </w:rPr>
              <w:t>900866440</w:t>
            </w:r>
          </w:p>
        </w:tc>
        <w:tc>
          <w:tcPr>
            <w:tcW w:w="2802" w:type="dxa"/>
            <w:noWrap/>
            <w:hideMark/>
          </w:tcPr>
          <w:p w14:paraId="04DBB2DD" w14:textId="16D2C184" w:rsidR="00D35CD9" w:rsidRPr="0039091F" w:rsidRDefault="00D35CD9" w:rsidP="000A5389">
            <w:pPr>
              <w:spacing w:line="240" w:lineRule="auto"/>
              <w:rPr>
                <w:rFonts w:eastAsia="Times New Roman" w:cs="Times New Roman"/>
                <w:color w:val="000000"/>
                <w:sz w:val="18"/>
                <w:szCs w:val="18"/>
                <w:lang w:eastAsia="es-CO"/>
              </w:rPr>
            </w:pPr>
            <w:r w:rsidRPr="0039091F">
              <w:rPr>
                <w:rFonts w:eastAsia="Times New Roman" w:cs="Times New Roman"/>
                <w:color w:val="000000"/>
                <w:sz w:val="18"/>
                <w:szCs w:val="18"/>
                <w:lang w:eastAsia="es-CO"/>
              </w:rPr>
              <w:t>Nuevo Cauca S A S</w:t>
            </w:r>
          </w:p>
        </w:tc>
        <w:tc>
          <w:tcPr>
            <w:tcW w:w="1723" w:type="dxa"/>
            <w:noWrap/>
            <w:hideMark/>
          </w:tcPr>
          <w:p w14:paraId="7B698DD1" w14:textId="77777777" w:rsidR="00D35CD9" w:rsidRPr="0039091F" w:rsidRDefault="00D35CD9" w:rsidP="000A5389">
            <w:pPr>
              <w:spacing w:line="240" w:lineRule="auto"/>
              <w:jc w:val="right"/>
              <w:rPr>
                <w:rFonts w:eastAsia="Times New Roman" w:cs="Times New Roman"/>
                <w:color w:val="000000"/>
                <w:sz w:val="18"/>
                <w:szCs w:val="18"/>
                <w:lang w:eastAsia="es-CO"/>
              </w:rPr>
            </w:pPr>
            <w:r w:rsidRPr="0039091F">
              <w:rPr>
                <w:rFonts w:eastAsia="Times New Roman" w:cs="Times New Roman"/>
                <w:color w:val="000000"/>
                <w:sz w:val="18"/>
                <w:szCs w:val="18"/>
                <w:lang w:eastAsia="es-CO"/>
              </w:rPr>
              <w:t>434.530.809.116</w:t>
            </w:r>
          </w:p>
        </w:tc>
        <w:tc>
          <w:tcPr>
            <w:tcW w:w="1540" w:type="dxa"/>
            <w:noWrap/>
            <w:hideMark/>
          </w:tcPr>
          <w:p w14:paraId="1B727A59" w14:textId="77777777" w:rsidR="00D35CD9" w:rsidRPr="0039091F" w:rsidRDefault="00D35CD9" w:rsidP="000A5389">
            <w:pPr>
              <w:spacing w:line="240" w:lineRule="auto"/>
              <w:jc w:val="right"/>
              <w:rPr>
                <w:rFonts w:eastAsia="Times New Roman" w:cs="Times New Roman"/>
                <w:color w:val="000000"/>
                <w:sz w:val="18"/>
                <w:szCs w:val="18"/>
                <w:lang w:eastAsia="es-CO"/>
              </w:rPr>
            </w:pPr>
            <w:r w:rsidRPr="0039091F">
              <w:rPr>
                <w:rFonts w:eastAsia="Times New Roman" w:cs="Times New Roman"/>
                <w:color w:val="000000"/>
                <w:sz w:val="18"/>
                <w:szCs w:val="18"/>
                <w:lang w:eastAsia="es-CO"/>
              </w:rPr>
              <w:t>306.114.450.182</w:t>
            </w:r>
          </w:p>
        </w:tc>
        <w:tc>
          <w:tcPr>
            <w:tcW w:w="1601" w:type="dxa"/>
            <w:noWrap/>
            <w:hideMark/>
          </w:tcPr>
          <w:p w14:paraId="11CC5FB5" w14:textId="77777777" w:rsidR="00D35CD9" w:rsidRPr="0039091F" w:rsidRDefault="00D35CD9" w:rsidP="000A5389">
            <w:pPr>
              <w:spacing w:line="240" w:lineRule="auto"/>
              <w:jc w:val="right"/>
              <w:rPr>
                <w:rFonts w:eastAsia="Times New Roman" w:cs="Times New Roman"/>
                <w:color w:val="000000"/>
                <w:sz w:val="18"/>
                <w:szCs w:val="18"/>
                <w:lang w:eastAsia="es-CO"/>
              </w:rPr>
            </w:pPr>
            <w:r w:rsidRPr="0039091F">
              <w:rPr>
                <w:rFonts w:eastAsia="Times New Roman" w:cs="Times New Roman"/>
                <w:color w:val="000000"/>
                <w:sz w:val="18"/>
                <w:szCs w:val="18"/>
                <w:lang w:eastAsia="es-CO"/>
              </w:rPr>
              <w:t>128.416.358.934</w:t>
            </w:r>
          </w:p>
        </w:tc>
      </w:tr>
      <w:tr w:rsidR="00D35CD9" w:rsidRPr="0039091F" w14:paraId="2DB7CD64" w14:textId="77777777" w:rsidTr="00F45D5E">
        <w:trPr>
          <w:trHeight w:val="293"/>
        </w:trPr>
        <w:tc>
          <w:tcPr>
            <w:tcW w:w="1162" w:type="dxa"/>
            <w:noWrap/>
            <w:hideMark/>
          </w:tcPr>
          <w:p w14:paraId="1FCEF7B8" w14:textId="77777777" w:rsidR="00D35CD9" w:rsidRPr="0039091F" w:rsidRDefault="00D35CD9" w:rsidP="000A5389">
            <w:pPr>
              <w:spacing w:line="240" w:lineRule="auto"/>
              <w:jc w:val="right"/>
              <w:rPr>
                <w:rFonts w:eastAsia="Times New Roman" w:cs="Times New Roman"/>
                <w:color w:val="000000"/>
                <w:sz w:val="18"/>
                <w:szCs w:val="18"/>
                <w:lang w:eastAsia="es-CO"/>
              </w:rPr>
            </w:pPr>
            <w:r w:rsidRPr="0039091F">
              <w:rPr>
                <w:rFonts w:eastAsia="Times New Roman" w:cs="Times New Roman"/>
                <w:color w:val="000000"/>
                <w:sz w:val="18"/>
                <w:szCs w:val="18"/>
                <w:lang w:eastAsia="es-CO"/>
              </w:rPr>
              <w:t>901082545</w:t>
            </w:r>
          </w:p>
        </w:tc>
        <w:tc>
          <w:tcPr>
            <w:tcW w:w="2802" w:type="dxa"/>
            <w:noWrap/>
            <w:hideMark/>
          </w:tcPr>
          <w:p w14:paraId="6202092F" w14:textId="77777777" w:rsidR="00D35CD9" w:rsidRPr="0039091F" w:rsidRDefault="00D35CD9" w:rsidP="000A5389">
            <w:pPr>
              <w:spacing w:line="240" w:lineRule="auto"/>
              <w:rPr>
                <w:rFonts w:eastAsia="Times New Roman" w:cs="Times New Roman"/>
                <w:color w:val="000000"/>
                <w:sz w:val="18"/>
                <w:szCs w:val="18"/>
                <w:lang w:eastAsia="es-CO"/>
              </w:rPr>
            </w:pPr>
            <w:r w:rsidRPr="0039091F">
              <w:rPr>
                <w:rFonts w:eastAsia="Times New Roman" w:cs="Times New Roman"/>
                <w:color w:val="000000"/>
                <w:sz w:val="18"/>
                <w:szCs w:val="18"/>
                <w:lang w:eastAsia="es-CO"/>
              </w:rPr>
              <w:t>Union Vial Rio Pamplonita Sas</w:t>
            </w:r>
          </w:p>
        </w:tc>
        <w:tc>
          <w:tcPr>
            <w:tcW w:w="1723" w:type="dxa"/>
            <w:noWrap/>
            <w:hideMark/>
          </w:tcPr>
          <w:p w14:paraId="03274AE3" w14:textId="77777777" w:rsidR="00D35CD9" w:rsidRPr="0039091F" w:rsidRDefault="00D35CD9" w:rsidP="000A5389">
            <w:pPr>
              <w:spacing w:line="240" w:lineRule="auto"/>
              <w:jc w:val="right"/>
              <w:rPr>
                <w:rFonts w:eastAsia="Times New Roman" w:cs="Times New Roman"/>
                <w:color w:val="000000"/>
                <w:sz w:val="18"/>
                <w:szCs w:val="18"/>
                <w:lang w:eastAsia="es-CO"/>
              </w:rPr>
            </w:pPr>
            <w:r w:rsidRPr="0039091F">
              <w:rPr>
                <w:rFonts w:eastAsia="Times New Roman" w:cs="Times New Roman"/>
                <w:color w:val="000000"/>
                <w:sz w:val="18"/>
                <w:szCs w:val="18"/>
                <w:lang w:eastAsia="es-CO"/>
              </w:rPr>
              <w:t>400.956.370.266</w:t>
            </w:r>
          </w:p>
        </w:tc>
        <w:tc>
          <w:tcPr>
            <w:tcW w:w="1540" w:type="dxa"/>
            <w:noWrap/>
            <w:hideMark/>
          </w:tcPr>
          <w:p w14:paraId="15708EC7" w14:textId="77777777" w:rsidR="00D35CD9" w:rsidRPr="0039091F" w:rsidRDefault="00D35CD9" w:rsidP="000A5389">
            <w:pPr>
              <w:spacing w:line="240" w:lineRule="auto"/>
              <w:jc w:val="right"/>
              <w:rPr>
                <w:rFonts w:eastAsia="Times New Roman" w:cs="Times New Roman"/>
                <w:color w:val="000000"/>
                <w:sz w:val="18"/>
                <w:szCs w:val="18"/>
                <w:lang w:eastAsia="es-CO"/>
              </w:rPr>
            </w:pPr>
            <w:r w:rsidRPr="0039091F">
              <w:rPr>
                <w:rFonts w:eastAsia="Times New Roman" w:cs="Times New Roman"/>
                <w:color w:val="000000"/>
                <w:sz w:val="18"/>
                <w:szCs w:val="18"/>
                <w:lang w:eastAsia="es-CO"/>
              </w:rPr>
              <w:t>423.009.502.490</w:t>
            </w:r>
          </w:p>
        </w:tc>
        <w:tc>
          <w:tcPr>
            <w:tcW w:w="1601" w:type="dxa"/>
            <w:noWrap/>
            <w:hideMark/>
          </w:tcPr>
          <w:p w14:paraId="1A22377F" w14:textId="77777777" w:rsidR="00D35CD9" w:rsidRPr="0039091F" w:rsidRDefault="00D35CD9" w:rsidP="000A5389">
            <w:pPr>
              <w:spacing w:line="240" w:lineRule="auto"/>
              <w:jc w:val="right"/>
              <w:rPr>
                <w:rFonts w:eastAsia="Times New Roman" w:cs="Times New Roman"/>
                <w:color w:val="000000"/>
                <w:sz w:val="18"/>
                <w:szCs w:val="18"/>
                <w:lang w:eastAsia="es-CO"/>
              </w:rPr>
            </w:pPr>
            <w:r w:rsidRPr="0039091F">
              <w:rPr>
                <w:rFonts w:eastAsia="Times New Roman" w:cs="Times New Roman"/>
                <w:color w:val="000000"/>
                <w:sz w:val="18"/>
                <w:szCs w:val="18"/>
                <w:lang w:eastAsia="es-CO"/>
              </w:rPr>
              <w:t>-22.053.132.224</w:t>
            </w:r>
          </w:p>
        </w:tc>
      </w:tr>
      <w:tr w:rsidR="00D35CD9" w:rsidRPr="0039091F" w14:paraId="0EA4ECBD" w14:textId="77777777" w:rsidTr="00F45D5E">
        <w:trPr>
          <w:trHeight w:val="293"/>
        </w:trPr>
        <w:tc>
          <w:tcPr>
            <w:tcW w:w="1162" w:type="dxa"/>
            <w:noWrap/>
            <w:hideMark/>
          </w:tcPr>
          <w:p w14:paraId="7F4F4F63" w14:textId="77777777" w:rsidR="00D35CD9" w:rsidRPr="0039091F" w:rsidRDefault="00D35CD9" w:rsidP="000A5389">
            <w:pPr>
              <w:spacing w:line="240" w:lineRule="auto"/>
              <w:jc w:val="right"/>
              <w:rPr>
                <w:rFonts w:eastAsia="Times New Roman" w:cs="Times New Roman"/>
                <w:color w:val="000000"/>
                <w:sz w:val="18"/>
                <w:szCs w:val="18"/>
                <w:lang w:eastAsia="es-CO"/>
              </w:rPr>
            </w:pPr>
            <w:r w:rsidRPr="0039091F">
              <w:rPr>
                <w:rFonts w:eastAsia="Times New Roman" w:cs="Times New Roman"/>
                <w:color w:val="000000"/>
                <w:sz w:val="18"/>
                <w:szCs w:val="18"/>
                <w:lang w:eastAsia="es-CO"/>
              </w:rPr>
              <w:t>900763355</w:t>
            </w:r>
          </w:p>
        </w:tc>
        <w:tc>
          <w:tcPr>
            <w:tcW w:w="2802" w:type="dxa"/>
            <w:noWrap/>
            <w:hideMark/>
          </w:tcPr>
          <w:p w14:paraId="20A595E8" w14:textId="77777777" w:rsidR="00D35CD9" w:rsidRPr="0039091F" w:rsidRDefault="00D35CD9" w:rsidP="000A5389">
            <w:pPr>
              <w:spacing w:line="240" w:lineRule="auto"/>
              <w:rPr>
                <w:rFonts w:eastAsia="Times New Roman" w:cs="Times New Roman"/>
                <w:color w:val="000000"/>
                <w:sz w:val="18"/>
                <w:szCs w:val="18"/>
                <w:lang w:eastAsia="es-CO"/>
              </w:rPr>
            </w:pPr>
            <w:r w:rsidRPr="0039091F">
              <w:rPr>
                <w:rFonts w:eastAsia="Times New Roman" w:cs="Times New Roman"/>
                <w:color w:val="000000"/>
                <w:sz w:val="18"/>
                <w:szCs w:val="18"/>
                <w:lang w:eastAsia="es-CO"/>
              </w:rPr>
              <w:t>Concesión Costera Cartagena Barranquilla S.A.S.</w:t>
            </w:r>
          </w:p>
        </w:tc>
        <w:tc>
          <w:tcPr>
            <w:tcW w:w="1723" w:type="dxa"/>
            <w:noWrap/>
            <w:hideMark/>
          </w:tcPr>
          <w:p w14:paraId="0B74B263" w14:textId="77777777" w:rsidR="00D35CD9" w:rsidRPr="0039091F" w:rsidRDefault="00D35CD9" w:rsidP="000A5389">
            <w:pPr>
              <w:spacing w:line="240" w:lineRule="auto"/>
              <w:jc w:val="right"/>
              <w:rPr>
                <w:rFonts w:eastAsia="Times New Roman" w:cs="Times New Roman"/>
                <w:color w:val="000000"/>
                <w:sz w:val="18"/>
                <w:szCs w:val="18"/>
                <w:lang w:eastAsia="es-CO"/>
              </w:rPr>
            </w:pPr>
            <w:r w:rsidRPr="0039091F">
              <w:rPr>
                <w:rFonts w:eastAsia="Times New Roman" w:cs="Times New Roman"/>
                <w:color w:val="000000"/>
                <w:sz w:val="18"/>
                <w:szCs w:val="18"/>
                <w:lang w:eastAsia="es-CO"/>
              </w:rPr>
              <w:t>390.523.016.567</w:t>
            </w:r>
          </w:p>
        </w:tc>
        <w:tc>
          <w:tcPr>
            <w:tcW w:w="1540" w:type="dxa"/>
            <w:noWrap/>
            <w:hideMark/>
          </w:tcPr>
          <w:p w14:paraId="16EC2FEC" w14:textId="77777777" w:rsidR="00D35CD9" w:rsidRPr="0039091F" w:rsidRDefault="00D35CD9" w:rsidP="000A5389">
            <w:pPr>
              <w:spacing w:line="240" w:lineRule="auto"/>
              <w:jc w:val="right"/>
              <w:rPr>
                <w:rFonts w:eastAsia="Times New Roman" w:cs="Times New Roman"/>
                <w:color w:val="000000"/>
                <w:sz w:val="18"/>
                <w:szCs w:val="18"/>
                <w:lang w:eastAsia="es-CO"/>
              </w:rPr>
            </w:pPr>
            <w:r w:rsidRPr="0039091F">
              <w:rPr>
                <w:rFonts w:eastAsia="Times New Roman" w:cs="Times New Roman"/>
                <w:color w:val="000000"/>
                <w:sz w:val="18"/>
                <w:szCs w:val="18"/>
                <w:lang w:eastAsia="es-CO"/>
              </w:rPr>
              <w:t>418.721.018.752</w:t>
            </w:r>
          </w:p>
        </w:tc>
        <w:tc>
          <w:tcPr>
            <w:tcW w:w="1601" w:type="dxa"/>
            <w:noWrap/>
            <w:hideMark/>
          </w:tcPr>
          <w:p w14:paraId="7DF72DCC" w14:textId="77777777" w:rsidR="00D35CD9" w:rsidRPr="0039091F" w:rsidRDefault="00D35CD9" w:rsidP="000A5389">
            <w:pPr>
              <w:spacing w:line="240" w:lineRule="auto"/>
              <w:jc w:val="right"/>
              <w:rPr>
                <w:rFonts w:eastAsia="Times New Roman" w:cs="Times New Roman"/>
                <w:color w:val="000000"/>
                <w:sz w:val="18"/>
                <w:szCs w:val="18"/>
                <w:lang w:eastAsia="es-CO"/>
              </w:rPr>
            </w:pPr>
            <w:r w:rsidRPr="0039091F">
              <w:rPr>
                <w:rFonts w:eastAsia="Times New Roman" w:cs="Times New Roman"/>
                <w:color w:val="000000"/>
                <w:sz w:val="18"/>
                <w:szCs w:val="18"/>
                <w:lang w:eastAsia="es-CO"/>
              </w:rPr>
              <w:t>-28.198.002.185</w:t>
            </w:r>
          </w:p>
        </w:tc>
      </w:tr>
      <w:tr w:rsidR="00D35CD9" w:rsidRPr="0039091F" w14:paraId="4D05CBCE" w14:textId="77777777" w:rsidTr="00F45D5E">
        <w:trPr>
          <w:trHeight w:val="293"/>
        </w:trPr>
        <w:tc>
          <w:tcPr>
            <w:tcW w:w="1162" w:type="dxa"/>
            <w:noWrap/>
            <w:hideMark/>
          </w:tcPr>
          <w:p w14:paraId="681ACB6D" w14:textId="77777777" w:rsidR="00D35CD9" w:rsidRPr="0039091F" w:rsidRDefault="00D35CD9" w:rsidP="000A5389">
            <w:pPr>
              <w:spacing w:line="240" w:lineRule="auto"/>
              <w:jc w:val="right"/>
              <w:rPr>
                <w:rFonts w:eastAsia="Times New Roman" w:cs="Times New Roman"/>
                <w:color w:val="000000"/>
                <w:sz w:val="18"/>
                <w:szCs w:val="18"/>
                <w:lang w:eastAsia="es-CO"/>
              </w:rPr>
            </w:pPr>
            <w:r w:rsidRPr="0039091F">
              <w:rPr>
                <w:rFonts w:eastAsia="Times New Roman" w:cs="Times New Roman"/>
                <w:color w:val="000000"/>
                <w:sz w:val="18"/>
                <w:szCs w:val="18"/>
                <w:lang w:eastAsia="es-CO"/>
              </w:rPr>
              <w:t>900858096</w:t>
            </w:r>
          </w:p>
        </w:tc>
        <w:tc>
          <w:tcPr>
            <w:tcW w:w="2802" w:type="dxa"/>
            <w:noWrap/>
            <w:hideMark/>
          </w:tcPr>
          <w:p w14:paraId="66FAFA59" w14:textId="77777777" w:rsidR="00D35CD9" w:rsidRPr="0039091F" w:rsidRDefault="00D35CD9" w:rsidP="000A5389">
            <w:pPr>
              <w:spacing w:line="240" w:lineRule="auto"/>
              <w:rPr>
                <w:rFonts w:eastAsia="Times New Roman" w:cs="Times New Roman"/>
                <w:color w:val="000000"/>
                <w:sz w:val="18"/>
                <w:szCs w:val="18"/>
                <w:lang w:eastAsia="es-CO"/>
              </w:rPr>
            </w:pPr>
            <w:r w:rsidRPr="0039091F">
              <w:rPr>
                <w:rFonts w:eastAsia="Times New Roman" w:cs="Times New Roman"/>
                <w:color w:val="000000"/>
                <w:sz w:val="18"/>
                <w:szCs w:val="18"/>
                <w:lang w:eastAsia="es-CO"/>
              </w:rPr>
              <w:t>Sociedad Concesionaria Vial Montes de María S.A.S</w:t>
            </w:r>
          </w:p>
        </w:tc>
        <w:tc>
          <w:tcPr>
            <w:tcW w:w="1723" w:type="dxa"/>
            <w:noWrap/>
            <w:hideMark/>
          </w:tcPr>
          <w:p w14:paraId="45631BCC" w14:textId="77777777" w:rsidR="00D35CD9" w:rsidRPr="0039091F" w:rsidRDefault="00D35CD9" w:rsidP="000A5389">
            <w:pPr>
              <w:spacing w:line="240" w:lineRule="auto"/>
              <w:jc w:val="right"/>
              <w:rPr>
                <w:rFonts w:eastAsia="Times New Roman" w:cs="Times New Roman"/>
                <w:color w:val="000000"/>
                <w:sz w:val="18"/>
                <w:szCs w:val="18"/>
                <w:lang w:eastAsia="es-CO"/>
              </w:rPr>
            </w:pPr>
            <w:r w:rsidRPr="0039091F">
              <w:rPr>
                <w:rFonts w:eastAsia="Times New Roman" w:cs="Times New Roman"/>
                <w:color w:val="000000"/>
                <w:sz w:val="18"/>
                <w:szCs w:val="18"/>
                <w:lang w:eastAsia="es-CO"/>
              </w:rPr>
              <w:t>376.533.723.718</w:t>
            </w:r>
          </w:p>
        </w:tc>
        <w:tc>
          <w:tcPr>
            <w:tcW w:w="1540" w:type="dxa"/>
            <w:noWrap/>
            <w:hideMark/>
          </w:tcPr>
          <w:p w14:paraId="062E376E" w14:textId="77777777" w:rsidR="00D35CD9" w:rsidRPr="0039091F" w:rsidRDefault="00D35CD9" w:rsidP="000A5389">
            <w:pPr>
              <w:spacing w:line="240" w:lineRule="auto"/>
              <w:jc w:val="right"/>
              <w:rPr>
                <w:rFonts w:eastAsia="Times New Roman" w:cs="Times New Roman"/>
                <w:color w:val="000000"/>
                <w:sz w:val="18"/>
                <w:szCs w:val="18"/>
                <w:lang w:eastAsia="es-CO"/>
              </w:rPr>
            </w:pPr>
            <w:r w:rsidRPr="0039091F">
              <w:rPr>
                <w:rFonts w:eastAsia="Times New Roman" w:cs="Times New Roman"/>
                <w:color w:val="000000"/>
                <w:sz w:val="18"/>
                <w:szCs w:val="18"/>
                <w:lang w:eastAsia="es-CO"/>
              </w:rPr>
              <w:t>402.246.503.729</w:t>
            </w:r>
          </w:p>
        </w:tc>
        <w:tc>
          <w:tcPr>
            <w:tcW w:w="1601" w:type="dxa"/>
            <w:noWrap/>
            <w:hideMark/>
          </w:tcPr>
          <w:p w14:paraId="36113407" w14:textId="77777777" w:rsidR="00D35CD9" w:rsidRPr="0039091F" w:rsidRDefault="00D35CD9" w:rsidP="000A5389">
            <w:pPr>
              <w:spacing w:line="240" w:lineRule="auto"/>
              <w:jc w:val="right"/>
              <w:rPr>
                <w:rFonts w:eastAsia="Times New Roman" w:cs="Times New Roman"/>
                <w:color w:val="000000"/>
                <w:sz w:val="18"/>
                <w:szCs w:val="18"/>
                <w:lang w:eastAsia="es-CO"/>
              </w:rPr>
            </w:pPr>
            <w:r w:rsidRPr="0039091F">
              <w:rPr>
                <w:rFonts w:eastAsia="Times New Roman" w:cs="Times New Roman"/>
                <w:color w:val="000000"/>
                <w:sz w:val="18"/>
                <w:szCs w:val="18"/>
                <w:lang w:eastAsia="es-CO"/>
              </w:rPr>
              <w:t>-25.712.780.011</w:t>
            </w:r>
          </w:p>
        </w:tc>
      </w:tr>
      <w:tr w:rsidR="00D35CD9" w:rsidRPr="0039091F" w14:paraId="4547C5C0" w14:textId="77777777" w:rsidTr="00F45D5E">
        <w:trPr>
          <w:trHeight w:val="293"/>
        </w:trPr>
        <w:tc>
          <w:tcPr>
            <w:tcW w:w="1162" w:type="dxa"/>
            <w:noWrap/>
            <w:hideMark/>
          </w:tcPr>
          <w:p w14:paraId="726880D0" w14:textId="77777777" w:rsidR="00D35CD9" w:rsidRPr="0039091F" w:rsidRDefault="00D35CD9" w:rsidP="000A5389">
            <w:pPr>
              <w:spacing w:line="240" w:lineRule="auto"/>
              <w:jc w:val="right"/>
              <w:rPr>
                <w:rFonts w:eastAsia="Times New Roman" w:cs="Times New Roman"/>
                <w:color w:val="000000"/>
                <w:sz w:val="18"/>
                <w:szCs w:val="18"/>
                <w:lang w:eastAsia="es-CO"/>
              </w:rPr>
            </w:pPr>
            <w:r w:rsidRPr="0039091F">
              <w:rPr>
                <w:rFonts w:eastAsia="Times New Roman" w:cs="Times New Roman"/>
                <w:color w:val="000000"/>
                <w:sz w:val="18"/>
                <w:szCs w:val="18"/>
                <w:lang w:eastAsia="es-CO"/>
              </w:rPr>
              <w:t>901371481</w:t>
            </w:r>
          </w:p>
        </w:tc>
        <w:tc>
          <w:tcPr>
            <w:tcW w:w="2802" w:type="dxa"/>
            <w:noWrap/>
            <w:hideMark/>
          </w:tcPr>
          <w:p w14:paraId="2E22A9BE" w14:textId="77777777" w:rsidR="00D35CD9" w:rsidRPr="0039091F" w:rsidRDefault="00D35CD9" w:rsidP="000A5389">
            <w:pPr>
              <w:spacing w:line="240" w:lineRule="auto"/>
              <w:rPr>
                <w:rFonts w:eastAsia="Times New Roman" w:cs="Times New Roman"/>
                <w:color w:val="000000"/>
                <w:sz w:val="18"/>
                <w:szCs w:val="18"/>
                <w:lang w:eastAsia="es-CO"/>
              </w:rPr>
            </w:pPr>
            <w:r w:rsidRPr="0039091F">
              <w:rPr>
                <w:rFonts w:eastAsia="Times New Roman" w:cs="Times New Roman"/>
                <w:color w:val="000000"/>
                <w:sz w:val="18"/>
                <w:szCs w:val="18"/>
                <w:lang w:eastAsia="es-CO"/>
              </w:rPr>
              <w:t>BTS Concesionario S.A.S.</w:t>
            </w:r>
          </w:p>
        </w:tc>
        <w:tc>
          <w:tcPr>
            <w:tcW w:w="1723" w:type="dxa"/>
            <w:noWrap/>
            <w:hideMark/>
          </w:tcPr>
          <w:p w14:paraId="02D6B35F" w14:textId="77777777" w:rsidR="00D35CD9" w:rsidRPr="0039091F" w:rsidRDefault="00D35CD9" w:rsidP="000A5389">
            <w:pPr>
              <w:spacing w:line="240" w:lineRule="auto"/>
              <w:jc w:val="right"/>
              <w:rPr>
                <w:rFonts w:eastAsia="Times New Roman" w:cs="Times New Roman"/>
                <w:color w:val="000000"/>
                <w:sz w:val="18"/>
                <w:szCs w:val="18"/>
                <w:lang w:eastAsia="es-CO"/>
              </w:rPr>
            </w:pPr>
            <w:r w:rsidRPr="0039091F">
              <w:rPr>
                <w:rFonts w:eastAsia="Times New Roman" w:cs="Times New Roman"/>
                <w:color w:val="000000"/>
                <w:sz w:val="18"/>
                <w:szCs w:val="18"/>
                <w:lang w:eastAsia="es-CO"/>
              </w:rPr>
              <w:t>367.669.081.024</w:t>
            </w:r>
          </w:p>
        </w:tc>
        <w:tc>
          <w:tcPr>
            <w:tcW w:w="1540" w:type="dxa"/>
            <w:noWrap/>
            <w:hideMark/>
          </w:tcPr>
          <w:p w14:paraId="01ABF2B8" w14:textId="77777777" w:rsidR="00D35CD9" w:rsidRPr="0039091F" w:rsidRDefault="00D35CD9" w:rsidP="000A5389">
            <w:pPr>
              <w:spacing w:line="240" w:lineRule="auto"/>
              <w:jc w:val="right"/>
              <w:rPr>
                <w:rFonts w:eastAsia="Times New Roman" w:cs="Times New Roman"/>
                <w:color w:val="000000"/>
                <w:sz w:val="18"/>
                <w:szCs w:val="18"/>
                <w:lang w:eastAsia="es-CO"/>
              </w:rPr>
            </w:pPr>
            <w:r w:rsidRPr="0039091F">
              <w:rPr>
                <w:rFonts w:eastAsia="Times New Roman" w:cs="Times New Roman"/>
                <w:color w:val="000000"/>
                <w:sz w:val="18"/>
                <w:szCs w:val="18"/>
                <w:lang w:eastAsia="es-CO"/>
              </w:rPr>
              <w:t>390.379.599.367</w:t>
            </w:r>
          </w:p>
        </w:tc>
        <w:tc>
          <w:tcPr>
            <w:tcW w:w="1601" w:type="dxa"/>
            <w:noWrap/>
            <w:hideMark/>
          </w:tcPr>
          <w:p w14:paraId="3C8B40F5" w14:textId="77777777" w:rsidR="00D35CD9" w:rsidRPr="0039091F" w:rsidRDefault="00D35CD9" w:rsidP="000A5389">
            <w:pPr>
              <w:spacing w:line="240" w:lineRule="auto"/>
              <w:jc w:val="right"/>
              <w:rPr>
                <w:rFonts w:eastAsia="Times New Roman" w:cs="Times New Roman"/>
                <w:color w:val="000000"/>
                <w:sz w:val="18"/>
                <w:szCs w:val="18"/>
                <w:lang w:eastAsia="es-CO"/>
              </w:rPr>
            </w:pPr>
            <w:r w:rsidRPr="0039091F">
              <w:rPr>
                <w:rFonts w:eastAsia="Times New Roman" w:cs="Times New Roman"/>
                <w:color w:val="000000"/>
                <w:sz w:val="18"/>
                <w:szCs w:val="18"/>
                <w:lang w:eastAsia="es-CO"/>
              </w:rPr>
              <w:t>-22.710.518.343</w:t>
            </w:r>
          </w:p>
        </w:tc>
      </w:tr>
      <w:tr w:rsidR="00D35CD9" w:rsidRPr="0039091F" w14:paraId="2339266D" w14:textId="77777777" w:rsidTr="00F45D5E">
        <w:trPr>
          <w:trHeight w:val="293"/>
        </w:trPr>
        <w:tc>
          <w:tcPr>
            <w:tcW w:w="1162" w:type="dxa"/>
            <w:noWrap/>
            <w:hideMark/>
          </w:tcPr>
          <w:p w14:paraId="6D7A2546" w14:textId="77777777" w:rsidR="00D35CD9" w:rsidRPr="0039091F" w:rsidRDefault="00D35CD9" w:rsidP="000A5389">
            <w:pPr>
              <w:spacing w:line="240" w:lineRule="auto"/>
              <w:jc w:val="right"/>
              <w:rPr>
                <w:rFonts w:eastAsia="Times New Roman" w:cs="Times New Roman"/>
                <w:color w:val="000000"/>
                <w:sz w:val="18"/>
                <w:szCs w:val="18"/>
                <w:lang w:eastAsia="es-CO"/>
              </w:rPr>
            </w:pPr>
            <w:r w:rsidRPr="0039091F">
              <w:rPr>
                <w:rFonts w:eastAsia="Times New Roman" w:cs="Times New Roman"/>
                <w:color w:val="000000"/>
                <w:sz w:val="18"/>
                <w:szCs w:val="18"/>
                <w:lang w:eastAsia="es-CO"/>
              </w:rPr>
              <w:t>900869678</w:t>
            </w:r>
          </w:p>
        </w:tc>
        <w:tc>
          <w:tcPr>
            <w:tcW w:w="2802" w:type="dxa"/>
            <w:noWrap/>
            <w:hideMark/>
          </w:tcPr>
          <w:p w14:paraId="01F4D60F" w14:textId="06335E38" w:rsidR="00D35CD9" w:rsidRPr="0039091F" w:rsidRDefault="00D35CD9" w:rsidP="000A5389">
            <w:pPr>
              <w:spacing w:line="240" w:lineRule="auto"/>
              <w:rPr>
                <w:rFonts w:eastAsia="Times New Roman" w:cs="Times New Roman"/>
                <w:color w:val="000000"/>
                <w:sz w:val="18"/>
                <w:szCs w:val="18"/>
                <w:lang w:eastAsia="es-CO"/>
              </w:rPr>
            </w:pPr>
            <w:r w:rsidRPr="0039091F">
              <w:rPr>
                <w:rFonts w:eastAsia="Times New Roman" w:cs="Times New Roman"/>
                <w:color w:val="000000"/>
                <w:sz w:val="18"/>
                <w:szCs w:val="18"/>
                <w:lang w:eastAsia="es-CO"/>
              </w:rPr>
              <w:t>Desarrollo Vial al Mar   S.A.S</w:t>
            </w:r>
          </w:p>
        </w:tc>
        <w:tc>
          <w:tcPr>
            <w:tcW w:w="1723" w:type="dxa"/>
            <w:noWrap/>
            <w:hideMark/>
          </w:tcPr>
          <w:p w14:paraId="28C4B905" w14:textId="77777777" w:rsidR="00D35CD9" w:rsidRPr="0039091F" w:rsidRDefault="00D35CD9" w:rsidP="000A5389">
            <w:pPr>
              <w:spacing w:line="240" w:lineRule="auto"/>
              <w:jc w:val="right"/>
              <w:rPr>
                <w:rFonts w:eastAsia="Times New Roman" w:cs="Times New Roman"/>
                <w:color w:val="000000"/>
                <w:sz w:val="18"/>
                <w:szCs w:val="18"/>
                <w:lang w:eastAsia="es-CO"/>
              </w:rPr>
            </w:pPr>
            <w:r w:rsidRPr="0039091F">
              <w:rPr>
                <w:rFonts w:eastAsia="Times New Roman" w:cs="Times New Roman"/>
                <w:color w:val="000000"/>
                <w:sz w:val="18"/>
                <w:szCs w:val="18"/>
                <w:lang w:eastAsia="es-CO"/>
              </w:rPr>
              <w:t>350.639.393.066</w:t>
            </w:r>
          </w:p>
        </w:tc>
        <w:tc>
          <w:tcPr>
            <w:tcW w:w="1540" w:type="dxa"/>
            <w:noWrap/>
            <w:hideMark/>
          </w:tcPr>
          <w:p w14:paraId="1DFAB7CF" w14:textId="77777777" w:rsidR="00D35CD9" w:rsidRPr="0039091F" w:rsidRDefault="00D35CD9" w:rsidP="000A5389">
            <w:pPr>
              <w:spacing w:line="240" w:lineRule="auto"/>
              <w:jc w:val="right"/>
              <w:rPr>
                <w:rFonts w:eastAsia="Times New Roman" w:cs="Times New Roman"/>
                <w:color w:val="000000"/>
                <w:sz w:val="18"/>
                <w:szCs w:val="18"/>
                <w:lang w:eastAsia="es-CO"/>
              </w:rPr>
            </w:pPr>
            <w:r w:rsidRPr="0039091F">
              <w:rPr>
                <w:rFonts w:eastAsia="Times New Roman" w:cs="Times New Roman"/>
                <w:color w:val="000000"/>
                <w:sz w:val="18"/>
                <w:szCs w:val="18"/>
                <w:lang w:eastAsia="es-CO"/>
              </w:rPr>
              <w:t>372.942.189.739</w:t>
            </w:r>
          </w:p>
        </w:tc>
        <w:tc>
          <w:tcPr>
            <w:tcW w:w="1601" w:type="dxa"/>
            <w:noWrap/>
            <w:hideMark/>
          </w:tcPr>
          <w:p w14:paraId="366A3327" w14:textId="77777777" w:rsidR="00D35CD9" w:rsidRPr="0039091F" w:rsidRDefault="00D35CD9" w:rsidP="000A5389">
            <w:pPr>
              <w:spacing w:line="240" w:lineRule="auto"/>
              <w:jc w:val="right"/>
              <w:rPr>
                <w:rFonts w:eastAsia="Times New Roman" w:cs="Times New Roman"/>
                <w:color w:val="000000"/>
                <w:sz w:val="18"/>
                <w:szCs w:val="18"/>
                <w:lang w:eastAsia="es-CO"/>
              </w:rPr>
            </w:pPr>
            <w:r w:rsidRPr="0039091F">
              <w:rPr>
                <w:rFonts w:eastAsia="Times New Roman" w:cs="Times New Roman"/>
                <w:color w:val="000000"/>
                <w:sz w:val="18"/>
                <w:szCs w:val="18"/>
                <w:lang w:eastAsia="es-CO"/>
              </w:rPr>
              <w:t>-22.302.796.673</w:t>
            </w:r>
          </w:p>
        </w:tc>
      </w:tr>
      <w:tr w:rsidR="00D35CD9" w:rsidRPr="0039091F" w14:paraId="14AB1323" w14:textId="77777777" w:rsidTr="00F45D5E">
        <w:trPr>
          <w:trHeight w:val="293"/>
        </w:trPr>
        <w:tc>
          <w:tcPr>
            <w:tcW w:w="1162" w:type="dxa"/>
            <w:noWrap/>
            <w:hideMark/>
          </w:tcPr>
          <w:p w14:paraId="6283F378" w14:textId="77777777" w:rsidR="00D35CD9" w:rsidRPr="0039091F" w:rsidRDefault="00D35CD9" w:rsidP="000A5389">
            <w:pPr>
              <w:spacing w:line="240" w:lineRule="auto"/>
              <w:jc w:val="right"/>
              <w:rPr>
                <w:rFonts w:eastAsia="Times New Roman" w:cs="Times New Roman"/>
                <w:color w:val="000000"/>
                <w:sz w:val="18"/>
                <w:szCs w:val="18"/>
                <w:lang w:eastAsia="es-CO"/>
              </w:rPr>
            </w:pPr>
            <w:r w:rsidRPr="0039091F">
              <w:rPr>
                <w:rFonts w:eastAsia="Times New Roman" w:cs="Times New Roman"/>
                <w:color w:val="000000"/>
                <w:sz w:val="18"/>
                <w:szCs w:val="18"/>
                <w:lang w:eastAsia="es-CO"/>
              </w:rPr>
              <w:t>900745219</w:t>
            </w:r>
          </w:p>
        </w:tc>
        <w:tc>
          <w:tcPr>
            <w:tcW w:w="2802" w:type="dxa"/>
            <w:noWrap/>
            <w:hideMark/>
          </w:tcPr>
          <w:p w14:paraId="7B20348E" w14:textId="77777777" w:rsidR="00D35CD9" w:rsidRPr="0039091F" w:rsidRDefault="00D35CD9" w:rsidP="000A5389">
            <w:pPr>
              <w:spacing w:line="240" w:lineRule="auto"/>
              <w:rPr>
                <w:rFonts w:eastAsia="Times New Roman" w:cs="Times New Roman"/>
                <w:color w:val="000000"/>
                <w:sz w:val="18"/>
                <w:szCs w:val="18"/>
                <w:lang w:eastAsia="es-CO"/>
              </w:rPr>
            </w:pPr>
            <w:r w:rsidRPr="0039091F">
              <w:rPr>
                <w:rFonts w:eastAsia="Times New Roman" w:cs="Times New Roman"/>
                <w:color w:val="000000"/>
                <w:sz w:val="18"/>
                <w:szCs w:val="18"/>
                <w:lang w:eastAsia="es-CO"/>
              </w:rPr>
              <w:t>Concesión Alto Magdalena S A S</w:t>
            </w:r>
          </w:p>
        </w:tc>
        <w:tc>
          <w:tcPr>
            <w:tcW w:w="1723" w:type="dxa"/>
            <w:noWrap/>
            <w:hideMark/>
          </w:tcPr>
          <w:p w14:paraId="1D8D365B" w14:textId="77777777" w:rsidR="00D35CD9" w:rsidRPr="0039091F" w:rsidRDefault="00D35CD9" w:rsidP="000A5389">
            <w:pPr>
              <w:spacing w:line="240" w:lineRule="auto"/>
              <w:jc w:val="right"/>
              <w:rPr>
                <w:rFonts w:eastAsia="Times New Roman" w:cs="Times New Roman"/>
                <w:color w:val="000000"/>
                <w:sz w:val="18"/>
                <w:szCs w:val="18"/>
                <w:lang w:eastAsia="es-CO"/>
              </w:rPr>
            </w:pPr>
            <w:r w:rsidRPr="0039091F">
              <w:rPr>
                <w:rFonts w:eastAsia="Times New Roman" w:cs="Times New Roman"/>
                <w:color w:val="000000"/>
                <w:sz w:val="18"/>
                <w:szCs w:val="18"/>
                <w:lang w:eastAsia="es-CO"/>
              </w:rPr>
              <w:t>338.954.041.051</w:t>
            </w:r>
          </w:p>
        </w:tc>
        <w:tc>
          <w:tcPr>
            <w:tcW w:w="1540" w:type="dxa"/>
            <w:noWrap/>
            <w:hideMark/>
          </w:tcPr>
          <w:p w14:paraId="4D6B03D2" w14:textId="77777777" w:rsidR="00D35CD9" w:rsidRPr="0039091F" w:rsidRDefault="00D35CD9" w:rsidP="000A5389">
            <w:pPr>
              <w:spacing w:line="240" w:lineRule="auto"/>
              <w:jc w:val="right"/>
              <w:rPr>
                <w:rFonts w:eastAsia="Times New Roman" w:cs="Times New Roman"/>
                <w:color w:val="000000"/>
                <w:sz w:val="18"/>
                <w:szCs w:val="18"/>
                <w:lang w:eastAsia="es-CO"/>
              </w:rPr>
            </w:pPr>
            <w:r w:rsidRPr="0039091F">
              <w:rPr>
                <w:rFonts w:eastAsia="Times New Roman" w:cs="Times New Roman"/>
                <w:color w:val="000000"/>
                <w:sz w:val="18"/>
                <w:szCs w:val="18"/>
                <w:lang w:eastAsia="es-CO"/>
              </w:rPr>
              <w:t>363.423.626.688</w:t>
            </w:r>
          </w:p>
        </w:tc>
        <w:tc>
          <w:tcPr>
            <w:tcW w:w="1601" w:type="dxa"/>
            <w:noWrap/>
            <w:hideMark/>
          </w:tcPr>
          <w:p w14:paraId="1D7E6310" w14:textId="77777777" w:rsidR="00D35CD9" w:rsidRPr="0039091F" w:rsidRDefault="00D35CD9" w:rsidP="000A5389">
            <w:pPr>
              <w:spacing w:line="240" w:lineRule="auto"/>
              <w:jc w:val="right"/>
              <w:rPr>
                <w:rFonts w:eastAsia="Times New Roman" w:cs="Times New Roman"/>
                <w:color w:val="000000"/>
                <w:sz w:val="18"/>
                <w:szCs w:val="18"/>
                <w:lang w:eastAsia="es-CO"/>
              </w:rPr>
            </w:pPr>
            <w:r w:rsidRPr="0039091F">
              <w:rPr>
                <w:rFonts w:eastAsia="Times New Roman" w:cs="Times New Roman"/>
                <w:color w:val="000000"/>
                <w:sz w:val="18"/>
                <w:szCs w:val="18"/>
                <w:lang w:eastAsia="es-CO"/>
              </w:rPr>
              <w:t>-24.469.585.637</w:t>
            </w:r>
          </w:p>
        </w:tc>
      </w:tr>
      <w:tr w:rsidR="00D35CD9" w:rsidRPr="0039091F" w14:paraId="1FBB41DA" w14:textId="77777777" w:rsidTr="00F45D5E">
        <w:trPr>
          <w:trHeight w:val="293"/>
        </w:trPr>
        <w:tc>
          <w:tcPr>
            <w:tcW w:w="1162" w:type="dxa"/>
            <w:noWrap/>
            <w:hideMark/>
          </w:tcPr>
          <w:p w14:paraId="0209F3A5" w14:textId="77777777" w:rsidR="00D35CD9" w:rsidRPr="0039091F" w:rsidRDefault="00D35CD9" w:rsidP="000A5389">
            <w:pPr>
              <w:spacing w:line="240" w:lineRule="auto"/>
              <w:jc w:val="right"/>
              <w:rPr>
                <w:rFonts w:eastAsia="Times New Roman" w:cs="Times New Roman"/>
                <w:color w:val="000000"/>
                <w:sz w:val="18"/>
                <w:szCs w:val="18"/>
                <w:lang w:eastAsia="es-CO"/>
              </w:rPr>
            </w:pPr>
            <w:r w:rsidRPr="0039091F">
              <w:rPr>
                <w:rFonts w:eastAsia="Times New Roman" w:cs="Times New Roman"/>
                <w:color w:val="000000"/>
                <w:sz w:val="18"/>
                <w:szCs w:val="18"/>
                <w:lang w:eastAsia="es-CO"/>
              </w:rPr>
              <w:t>900793991</w:t>
            </w:r>
          </w:p>
        </w:tc>
        <w:tc>
          <w:tcPr>
            <w:tcW w:w="2802" w:type="dxa"/>
            <w:noWrap/>
            <w:hideMark/>
          </w:tcPr>
          <w:p w14:paraId="52D4B0D2" w14:textId="77777777" w:rsidR="00D35CD9" w:rsidRPr="0039091F" w:rsidRDefault="00D35CD9" w:rsidP="000A5389">
            <w:pPr>
              <w:spacing w:line="240" w:lineRule="auto"/>
              <w:rPr>
                <w:rFonts w:eastAsia="Times New Roman" w:cs="Times New Roman"/>
                <w:color w:val="000000"/>
                <w:sz w:val="18"/>
                <w:szCs w:val="18"/>
                <w:lang w:eastAsia="es-CO"/>
              </w:rPr>
            </w:pPr>
            <w:r w:rsidRPr="0039091F">
              <w:rPr>
                <w:rFonts w:eastAsia="Times New Roman" w:cs="Times New Roman"/>
                <w:color w:val="000000"/>
                <w:sz w:val="18"/>
                <w:szCs w:val="18"/>
                <w:lang w:eastAsia="es-CO"/>
              </w:rPr>
              <w:t>Autopistas del Nordeste S.A.S.</w:t>
            </w:r>
          </w:p>
        </w:tc>
        <w:tc>
          <w:tcPr>
            <w:tcW w:w="1723" w:type="dxa"/>
            <w:noWrap/>
            <w:hideMark/>
          </w:tcPr>
          <w:p w14:paraId="449044C1" w14:textId="77777777" w:rsidR="00D35CD9" w:rsidRPr="0039091F" w:rsidRDefault="00D35CD9" w:rsidP="000A5389">
            <w:pPr>
              <w:spacing w:line="240" w:lineRule="auto"/>
              <w:jc w:val="right"/>
              <w:rPr>
                <w:rFonts w:eastAsia="Times New Roman" w:cs="Times New Roman"/>
                <w:color w:val="000000"/>
                <w:sz w:val="18"/>
                <w:szCs w:val="18"/>
                <w:lang w:eastAsia="es-CO"/>
              </w:rPr>
            </w:pPr>
            <w:r w:rsidRPr="0039091F">
              <w:rPr>
                <w:rFonts w:eastAsia="Times New Roman" w:cs="Times New Roman"/>
                <w:color w:val="000000"/>
                <w:sz w:val="18"/>
                <w:szCs w:val="18"/>
                <w:lang w:eastAsia="es-CO"/>
              </w:rPr>
              <w:t>237.662.450.062</w:t>
            </w:r>
          </w:p>
        </w:tc>
        <w:tc>
          <w:tcPr>
            <w:tcW w:w="1540" w:type="dxa"/>
            <w:noWrap/>
            <w:hideMark/>
          </w:tcPr>
          <w:p w14:paraId="6DAA7022" w14:textId="77777777" w:rsidR="00D35CD9" w:rsidRPr="0039091F" w:rsidRDefault="00D35CD9" w:rsidP="000A5389">
            <w:pPr>
              <w:spacing w:line="240" w:lineRule="auto"/>
              <w:jc w:val="right"/>
              <w:rPr>
                <w:rFonts w:eastAsia="Times New Roman" w:cs="Times New Roman"/>
                <w:color w:val="000000"/>
                <w:sz w:val="18"/>
                <w:szCs w:val="18"/>
                <w:lang w:eastAsia="es-CO"/>
              </w:rPr>
            </w:pPr>
            <w:r w:rsidRPr="0039091F">
              <w:rPr>
                <w:rFonts w:eastAsia="Times New Roman" w:cs="Times New Roman"/>
                <w:color w:val="000000"/>
                <w:sz w:val="18"/>
                <w:szCs w:val="18"/>
                <w:lang w:eastAsia="es-CO"/>
              </w:rPr>
              <w:t>254.511.352.163</w:t>
            </w:r>
          </w:p>
        </w:tc>
        <w:tc>
          <w:tcPr>
            <w:tcW w:w="1601" w:type="dxa"/>
            <w:noWrap/>
            <w:hideMark/>
          </w:tcPr>
          <w:p w14:paraId="3E9CC841" w14:textId="77777777" w:rsidR="00D35CD9" w:rsidRPr="0039091F" w:rsidRDefault="00D35CD9" w:rsidP="000A5389">
            <w:pPr>
              <w:spacing w:line="240" w:lineRule="auto"/>
              <w:jc w:val="right"/>
              <w:rPr>
                <w:rFonts w:eastAsia="Times New Roman" w:cs="Times New Roman"/>
                <w:color w:val="000000"/>
                <w:sz w:val="18"/>
                <w:szCs w:val="18"/>
                <w:lang w:eastAsia="es-CO"/>
              </w:rPr>
            </w:pPr>
            <w:r w:rsidRPr="0039091F">
              <w:rPr>
                <w:rFonts w:eastAsia="Times New Roman" w:cs="Times New Roman"/>
                <w:color w:val="000000"/>
                <w:sz w:val="18"/>
                <w:szCs w:val="18"/>
                <w:lang w:eastAsia="es-CO"/>
              </w:rPr>
              <w:t>-16.848.902.101</w:t>
            </w:r>
          </w:p>
        </w:tc>
      </w:tr>
      <w:tr w:rsidR="00D35CD9" w:rsidRPr="0039091F" w14:paraId="35D2CFB8" w14:textId="77777777" w:rsidTr="00F45D5E">
        <w:trPr>
          <w:trHeight w:val="293"/>
        </w:trPr>
        <w:tc>
          <w:tcPr>
            <w:tcW w:w="1162" w:type="dxa"/>
            <w:noWrap/>
            <w:hideMark/>
          </w:tcPr>
          <w:p w14:paraId="6DDA12AC" w14:textId="77777777" w:rsidR="00D35CD9" w:rsidRPr="0039091F" w:rsidRDefault="00D35CD9" w:rsidP="000A5389">
            <w:pPr>
              <w:spacing w:line="240" w:lineRule="auto"/>
              <w:jc w:val="right"/>
              <w:rPr>
                <w:rFonts w:eastAsia="Times New Roman" w:cs="Times New Roman"/>
                <w:color w:val="000000"/>
                <w:sz w:val="18"/>
                <w:szCs w:val="18"/>
                <w:lang w:eastAsia="es-CO"/>
              </w:rPr>
            </w:pPr>
            <w:r w:rsidRPr="0039091F">
              <w:rPr>
                <w:rFonts w:eastAsia="Times New Roman" w:cs="Times New Roman"/>
                <w:color w:val="000000"/>
                <w:sz w:val="18"/>
                <w:szCs w:val="18"/>
                <w:lang w:eastAsia="es-CO"/>
              </w:rPr>
              <w:t>901161505</w:t>
            </w:r>
          </w:p>
        </w:tc>
        <w:tc>
          <w:tcPr>
            <w:tcW w:w="2802" w:type="dxa"/>
            <w:noWrap/>
            <w:hideMark/>
          </w:tcPr>
          <w:p w14:paraId="620B3F74" w14:textId="77777777" w:rsidR="00D35CD9" w:rsidRPr="0039091F" w:rsidRDefault="00D35CD9" w:rsidP="000A5389">
            <w:pPr>
              <w:spacing w:line="240" w:lineRule="auto"/>
              <w:rPr>
                <w:rFonts w:eastAsia="Times New Roman" w:cs="Times New Roman"/>
                <w:color w:val="000000"/>
                <w:sz w:val="18"/>
                <w:szCs w:val="18"/>
                <w:lang w:eastAsia="es-CO"/>
              </w:rPr>
            </w:pPr>
            <w:r w:rsidRPr="0039091F">
              <w:rPr>
                <w:rFonts w:eastAsia="Times New Roman" w:cs="Times New Roman"/>
                <w:color w:val="000000"/>
                <w:sz w:val="18"/>
                <w:szCs w:val="18"/>
                <w:lang w:eastAsia="es-CO"/>
              </w:rPr>
              <w:t>Concesión Transversal del Sisga S.A.S</w:t>
            </w:r>
          </w:p>
        </w:tc>
        <w:tc>
          <w:tcPr>
            <w:tcW w:w="1723" w:type="dxa"/>
            <w:noWrap/>
            <w:hideMark/>
          </w:tcPr>
          <w:p w14:paraId="648E1F6D" w14:textId="77777777" w:rsidR="00D35CD9" w:rsidRPr="0039091F" w:rsidRDefault="00D35CD9" w:rsidP="000A5389">
            <w:pPr>
              <w:spacing w:line="240" w:lineRule="auto"/>
              <w:jc w:val="right"/>
              <w:rPr>
                <w:rFonts w:eastAsia="Times New Roman" w:cs="Times New Roman"/>
                <w:color w:val="000000"/>
                <w:sz w:val="18"/>
                <w:szCs w:val="18"/>
                <w:lang w:eastAsia="es-CO"/>
              </w:rPr>
            </w:pPr>
            <w:r w:rsidRPr="0039091F">
              <w:rPr>
                <w:rFonts w:eastAsia="Times New Roman" w:cs="Times New Roman"/>
                <w:color w:val="000000"/>
                <w:sz w:val="18"/>
                <w:szCs w:val="18"/>
                <w:lang w:eastAsia="es-CO"/>
              </w:rPr>
              <w:t>217.734.960.717</w:t>
            </w:r>
          </w:p>
        </w:tc>
        <w:tc>
          <w:tcPr>
            <w:tcW w:w="1540" w:type="dxa"/>
            <w:noWrap/>
            <w:hideMark/>
          </w:tcPr>
          <w:p w14:paraId="3B589415" w14:textId="77777777" w:rsidR="00D35CD9" w:rsidRPr="0039091F" w:rsidRDefault="00D35CD9" w:rsidP="000A5389">
            <w:pPr>
              <w:spacing w:line="240" w:lineRule="auto"/>
              <w:jc w:val="right"/>
              <w:rPr>
                <w:rFonts w:eastAsia="Times New Roman" w:cs="Times New Roman"/>
                <w:color w:val="000000"/>
                <w:sz w:val="18"/>
                <w:szCs w:val="18"/>
                <w:lang w:eastAsia="es-CO"/>
              </w:rPr>
            </w:pPr>
            <w:r w:rsidRPr="0039091F">
              <w:rPr>
                <w:rFonts w:eastAsia="Times New Roman" w:cs="Times New Roman"/>
                <w:color w:val="000000"/>
                <w:sz w:val="18"/>
                <w:szCs w:val="18"/>
                <w:lang w:eastAsia="es-CO"/>
              </w:rPr>
              <w:t>231.517.194.762</w:t>
            </w:r>
          </w:p>
        </w:tc>
        <w:tc>
          <w:tcPr>
            <w:tcW w:w="1601" w:type="dxa"/>
            <w:noWrap/>
            <w:hideMark/>
          </w:tcPr>
          <w:p w14:paraId="5035AA4B" w14:textId="77777777" w:rsidR="00D35CD9" w:rsidRPr="0039091F" w:rsidRDefault="00D35CD9" w:rsidP="000A5389">
            <w:pPr>
              <w:spacing w:line="240" w:lineRule="auto"/>
              <w:jc w:val="right"/>
              <w:rPr>
                <w:rFonts w:eastAsia="Times New Roman" w:cs="Times New Roman"/>
                <w:color w:val="000000"/>
                <w:sz w:val="18"/>
                <w:szCs w:val="18"/>
                <w:lang w:eastAsia="es-CO"/>
              </w:rPr>
            </w:pPr>
            <w:r w:rsidRPr="0039091F">
              <w:rPr>
                <w:rFonts w:eastAsia="Times New Roman" w:cs="Times New Roman"/>
                <w:color w:val="000000"/>
                <w:sz w:val="18"/>
                <w:szCs w:val="18"/>
                <w:lang w:eastAsia="es-CO"/>
              </w:rPr>
              <w:t>-13.782.234.045</w:t>
            </w:r>
          </w:p>
        </w:tc>
      </w:tr>
      <w:tr w:rsidR="00D35CD9" w:rsidRPr="0039091F" w14:paraId="751E07D3" w14:textId="77777777" w:rsidTr="00F45D5E">
        <w:trPr>
          <w:trHeight w:val="293"/>
        </w:trPr>
        <w:tc>
          <w:tcPr>
            <w:tcW w:w="1162" w:type="dxa"/>
            <w:noWrap/>
            <w:hideMark/>
          </w:tcPr>
          <w:p w14:paraId="7377A2D4" w14:textId="77777777" w:rsidR="00D35CD9" w:rsidRPr="0039091F" w:rsidRDefault="00D35CD9" w:rsidP="000A5389">
            <w:pPr>
              <w:spacing w:line="240" w:lineRule="auto"/>
              <w:jc w:val="right"/>
              <w:rPr>
                <w:rFonts w:eastAsia="Times New Roman" w:cs="Times New Roman"/>
                <w:color w:val="000000"/>
                <w:sz w:val="18"/>
                <w:szCs w:val="18"/>
                <w:lang w:eastAsia="es-CO"/>
              </w:rPr>
            </w:pPr>
            <w:r w:rsidRPr="0039091F">
              <w:rPr>
                <w:rFonts w:eastAsia="Times New Roman" w:cs="Times New Roman"/>
                <w:color w:val="000000"/>
                <w:sz w:val="18"/>
                <w:szCs w:val="18"/>
                <w:lang w:eastAsia="es-CO"/>
              </w:rPr>
              <w:t>830025490</w:t>
            </w:r>
          </w:p>
        </w:tc>
        <w:tc>
          <w:tcPr>
            <w:tcW w:w="2802" w:type="dxa"/>
            <w:noWrap/>
            <w:hideMark/>
          </w:tcPr>
          <w:p w14:paraId="4FAE88D0" w14:textId="77777777" w:rsidR="00D35CD9" w:rsidRPr="0039091F" w:rsidRDefault="00D35CD9" w:rsidP="000A5389">
            <w:pPr>
              <w:spacing w:line="240" w:lineRule="auto"/>
              <w:rPr>
                <w:rFonts w:eastAsia="Times New Roman" w:cs="Times New Roman"/>
                <w:color w:val="000000"/>
                <w:sz w:val="18"/>
                <w:szCs w:val="18"/>
                <w:lang w:eastAsia="es-CO"/>
              </w:rPr>
            </w:pPr>
            <w:r w:rsidRPr="0039091F">
              <w:rPr>
                <w:rFonts w:eastAsia="Times New Roman" w:cs="Times New Roman"/>
                <w:color w:val="000000"/>
                <w:sz w:val="18"/>
                <w:szCs w:val="18"/>
                <w:lang w:eastAsia="es-CO"/>
              </w:rPr>
              <w:t>Autopistas del Cafe S.A.</w:t>
            </w:r>
          </w:p>
        </w:tc>
        <w:tc>
          <w:tcPr>
            <w:tcW w:w="1723" w:type="dxa"/>
            <w:noWrap/>
            <w:hideMark/>
          </w:tcPr>
          <w:p w14:paraId="75C37FAE" w14:textId="77777777" w:rsidR="00D35CD9" w:rsidRPr="0039091F" w:rsidRDefault="00D35CD9" w:rsidP="000A5389">
            <w:pPr>
              <w:spacing w:line="240" w:lineRule="auto"/>
              <w:jc w:val="right"/>
              <w:rPr>
                <w:rFonts w:eastAsia="Times New Roman" w:cs="Times New Roman"/>
                <w:color w:val="000000"/>
                <w:sz w:val="18"/>
                <w:szCs w:val="18"/>
                <w:lang w:eastAsia="es-CO"/>
              </w:rPr>
            </w:pPr>
            <w:r w:rsidRPr="0039091F">
              <w:rPr>
                <w:rFonts w:eastAsia="Times New Roman" w:cs="Times New Roman"/>
                <w:color w:val="000000"/>
                <w:sz w:val="18"/>
                <w:szCs w:val="18"/>
                <w:lang w:eastAsia="es-CO"/>
              </w:rPr>
              <w:t>190.530.847.930</w:t>
            </w:r>
          </w:p>
        </w:tc>
        <w:tc>
          <w:tcPr>
            <w:tcW w:w="1540" w:type="dxa"/>
            <w:noWrap/>
            <w:hideMark/>
          </w:tcPr>
          <w:p w14:paraId="68063A88" w14:textId="77777777" w:rsidR="00D35CD9" w:rsidRPr="0039091F" w:rsidRDefault="00D35CD9" w:rsidP="000A5389">
            <w:pPr>
              <w:spacing w:line="240" w:lineRule="auto"/>
              <w:jc w:val="right"/>
              <w:rPr>
                <w:rFonts w:eastAsia="Times New Roman" w:cs="Times New Roman"/>
                <w:color w:val="000000"/>
                <w:sz w:val="18"/>
                <w:szCs w:val="18"/>
                <w:lang w:eastAsia="es-CO"/>
              </w:rPr>
            </w:pPr>
            <w:r w:rsidRPr="0039091F">
              <w:rPr>
                <w:rFonts w:eastAsia="Times New Roman" w:cs="Times New Roman"/>
                <w:color w:val="000000"/>
                <w:sz w:val="18"/>
                <w:szCs w:val="18"/>
                <w:lang w:eastAsia="es-CO"/>
              </w:rPr>
              <w:t>243.662.946.028</w:t>
            </w:r>
          </w:p>
        </w:tc>
        <w:tc>
          <w:tcPr>
            <w:tcW w:w="1601" w:type="dxa"/>
            <w:noWrap/>
            <w:hideMark/>
          </w:tcPr>
          <w:p w14:paraId="52006B37" w14:textId="77777777" w:rsidR="00D35CD9" w:rsidRPr="0039091F" w:rsidRDefault="00D35CD9" w:rsidP="000A5389">
            <w:pPr>
              <w:spacing w:line="240" w:lineRule="auto"/>
              <w:jc w:val="right"/>
              <w:rPr>
                <w:rFonts w:eastAsia="Times New Roman" w:cs="Times New Roman"/>
                <w:color w:val="000000"/>
                <w:sz w:val="18"/>
                <w:szCs w:val="18"/>
                <w:lang w:eastAsia="es-CO"/>
              </w:rPr>
            </w:pPr>
            <w:r w:rsidRPr="0039091F">
              <w:rPr>
                <w:rFonts w:eastAsia="Times New Roman" w:cs="Times New Roman"/>
                <w:color w:val="000000"/>
                <w:sz w:val="18"/>
                <w:szCs w:val="18"/>
                <w:lang w:eastAsia="es-CO"/>
              </w:rPr>
              <w:t>-53.132.098.098</w:t>
            </w:r>
          </w:p>
        </w:tc>
      </w:tr>
      <w:tr w:rsidR="00D35CD9" w:rsidRPr="0039091F" w14:paraId="316BFD2F" w14:textId="77777777" w:rsidTr="00F45D5E">
        <w:trPr>
          <w:trHeight w:val="293"/>
        </w:trPr>
        <w:tc>
          <w:tcPr>
            <w:tcW w:w="1162" w:type="dxa"/>
            <w:noWrap/>
            <w:hideMark/>
          </w:tcPr>
          <w:p w14:paraId="1C1F2A9B" w14:textId="77777777" w:rsidR="00D35CD9" w:rsidRPr="0039091F" w:rsidRDefault="00D35CD9" w:rsidP="000A5389">
            <w:pPr>
              <w:spacing w:line="240" w:lineRule="auto"/>
              <w:jc w:val="right"/>
              <w:rPr>
                <w:rFonts w:eastAsia="Times New Roman" w:cs="Times New Roman"/>
                <w:color w:val="000000"/>
                <w:sz w:val="18"/>
                <w:szCs w:val="18"/>
                <w:lang w:eastAsia="es-CO"/>
              </w:rPr>
            </w:pPr>
            <w:r w:rsidRPr="0039091F">
              <w:rPr>
                <w:rFonts w:eastAsia="Times New Roman" w:cs="Times New Roman"/>
                <w:color w:val="000000"/>
                <w:sz w:val="18"/>
                <w:szCs w:val="18"/>
                <w:lang w:eastAsia="es-CO"/>
              </w:rPr>
              <w:t>900843297</w:t>
            </w:r>
          </w:p>
        </w:tc>
        <w:tc>
          <w:tcPr>
            <w:tcW w:w="2802" w:type="dxa"/>
            <w:noWrap/>
            <w:hideMark/>
          </w:tcPr>
          <w:p w14:paraId="72B24702" w14:textId="77777777" w:rsidR="00D35CD9" w:rsidRPr="0039091F" w:rsidRDefault="00D35CD9" w:rsidP="000A5389">
            <w:pPr>
              <w:spacing w:line="240" w:lineRule="auto"/>
              <w:rPr>
                <w:rFonts w:eastAsia="Times New Roman" w:cs="Times New Roman"/>
                <w:color w:val="000000"/>
                <w:sz w:val="18"/>
                <w:szCs w:val="18"/>
                <w:lang w:eastAsia="es-CO"/>
              </w:rPr>
            </w:pPr>
            <w:r w:rsidRPr="0039091F">
              <w:rPr>
                <w:rFonts w:eastAsia="Times New Roman" w:cs="Times New Roman"/>
                <w:color w:val="000000"/>
                <w:sz w:val="18"/>
                <w:szCs w:val="18"/>
                <w:lang w:eastAsia="es-CO"/>
              </w:rPr>
              <w:t>Concesión Vial de Los Llanos Sas</w:t>
            </w:r>
          </w:p>
        </w:tc>
        <w:tc>
          <w:tcPr>
            <w:tcW w:w="1723" w:type="dxa"/>
            <w:noWrap/>
            <w:hideMark/>
          </w:tcPr>
          <w:p w14:paraId="3C5B1B9A" w14:textId="77777777" w:rsidR="00D35CD9" w:rsidRPr="0039091F" w:rsidRDefault="00D35CD9" w:rsidP="000A5389">
            <w:pPr>
              <w:spacing w:line="240" w:lineRule="auto"/>
              <w:jc w:val="right"/>
              <w:rPr>
                <w:rFonts w:eastAsia="Times New Roman" w:cs="Times New Roman"/>
                <w:color w:val="000000"/>
                <w:sz w:val="18"/>
                <w:szCs w:val="18"/>
                <w:lang w:eastAsia="es-CO"/>
              </w:rPr>
            </w:pPr>
            <w:r w:rsidRPr="0039091F">
              <w:rPr>
                <w:rFonts w:eastAsia="Times New Roman" w:cs="Times New Roman"/>
                <w:color w:val="000000"/>
                <w:sz w:val="18"/>
                <w:szCs w:val="18"/>
                <w:lang w:eastAsia="es-CO"/>
              </w:rPr>
              <w:t>164.313.375.628</w:t>
            </w:r>
          </w:p>
        </w:tc>
        <w:tc>
          <w:tcPr>
            <w:tcW w:w="1540" w:type="dxa"/>
            <w:noWrap/>
            <w:hideMark/>
          </w:tcPr>
          <w:p w14:paraId="0E3EB0CD" w14:textId="77777777" w:rsidR="00D35CD9" w:rsidRPr="0039091F" w:rsidRDefault="00D35CD9" w:rsidP="000A5389">
            <w:pPr>
              <w:spacing w:line="240" w:lineRule="auto"/>
              <w:jc w:val="right"/>
              <w:rPr>
                <w:rFonts w:eastAsia="Times New Roman" w:cs="Times New Roman"/>
                <w:color w:val="000000"/>
                <w:sz w:val="18"/>
                <w:szCs w:val="18"/>
                <w:lang w:eastAsia="es-CO"/>
              </w:rPr>
            </w:pPr>
            <w:r w:rsidRPr="0039091F">
              <w:rPr>
                <w:rFonts w:eastAsia="Times New Roman" w:cs="Times New Roman"/>
                <w:color w:val="000000"/>
                <w:sz w:val="18"/>
                <w:szCs w:val="18"/>
                <w:lang w:eastAsia="es-CO"/>
              </w:rPr>
              <w:t>163.449.491.008</w:t>
            </w:r>
          </w:p>
        </w:tc>
        <w:tc>
          <w:tcPr>
            <w:tcW w:w="1601" w:type="dxa"/>
            <w:noWrap/>
            <w:hideMark/>
          </w:tcPr>
          <w:p w14:paraId="16115163" w14:textId="77777777" w:rsidR="00D35CD9" w:rsidRPr="0039091F" w:rsidRDefault="00D35CD9" w:rsidP="000A5389">
            <w:pPr>
              <w:spacing w:line="240" w:lineRule="auto"/>
              <w:jc w:val="right"/>
              <w:rPr>
                <w:rFonts w:eastAsia="Times New Roman" w:cs="Times New Roman"/>
                <w:color w:val="000000"/>
                <w:sz w:val="18"/>
                <w:szCs w:val="18"/>
                <w:lang w:eastAsia="es-CO"/>
              </w:rPr>
            </w:pPr>
            <w:r w:rsidRPr="0039091F">
              <w:rPr>
                <w:rFonts w:eastAsia="Times New Roman" w:cs="Times New Roman"/>
                <w:color w:val="000000"/>
                <w:sz w:val="18"/>
                <w:szCs w:val="18"/>
                <w:lang w:eastAsia="es-CO"/>
              </w:rPr>
              <w:t>863.884.620</w:t>
            </w:r>
          </w:p>
        </w:tc>
      </w:tr>
      <w:tr w:rsidR="00D35CD9" w:rsidRPr="0039091F" w14:paraId="119A772F" w14:textId="77777777" w:rsidTr="00F45D5E">
        <w:trPr>
          <w:trHeight w:val="293"/>
        </w:trPr>
        <w:tc>
          <w:tcPr>
            <w:tcW w:w="1162" w:type="dxa"/>
            <w:noWrap/>
            <w:hideMark/>
          </w:tcPr>
          <w:p w14:paraId="16DCD316" w14:textId="77777777" w:rsidR="00D35CD9" w:rsidRPr="0039091F" w:rsidRDefault="00D35CD9" w:rsidP="000A5389">
            <w:pPr>
              <w:spacing w:line="240" w:lineRule="auto"/>
              <w:jc w:val="right"/>
              <w:rPr>
                <w:rFonts w:eastAsia="Times New Roman" w:cs="Times New Roman"/>
                <w:color w:val="000000"/>
                <w:sz w:val="18"/>
                <w:szCs w:val="18"/>
                <w:lang w:eastAsia="es-CO"/>
              </w:rPr>
            </w:pPr>
            <w:r w:rsidRPr="0039091F">
              <w:rPr>
                <w:rFonts w:eastAsia="Times New Roman" w:cs="Times New Roman"/>
                <w:color w:val="000000"/>
                <w:sz w:val="18"/>
                <w:szCs w:val="18"/>
                <w:lang w:eastAsia="es-CO"/>
              </w:rPr>
              <w:t>900761657</w:t>
            </w:r>
          </w:p>
        </w:tc>
        <w:tc>
          <w:tcPr>
            <w:tcW w:w="2802" w:type="dxa"/>
            <w:noWrap/>
            <w:hideMark/>
          </w:tcPr>
          <w:p w14:paraId="309AB2C2" w14:textId="77777777" w:rsidR="00D35CD9" w:rsidRPr="0039091F" w:rsidRDefault="00D35CD9" w:rsidP="000A5389">
            <w:pPr>
              <w:spacing w:line="240" w:lineRule="auto"/>
              <w:rPr>
                <w:rFonts w:eastAsia="Times New Roman" w:cs="Times New Roman"/>
                <w:color w:val="000000"/>
                <w:sz w:val="18"/>
                <w:szCs w:val="18"/>
                <w:lang w:eastAsia="es-CO"/>
              </w:rPr>
            </w:pPr>
            <w:r w:rsidRPr="0039091F">
              <w:rPr>
                <w:rFonts w:eastAsia="Times New Roman" w:cs="Times New Roman"/>
                <w:color w:val="000000"/>
                <w:sz w:val="18"/>
                <w:szCs w:val="18"/>
                <w:lang w:eastAsia="es-CO"/>
              </w:rPr>
              <w:t>Perimetral Oriental de Bogotá Sas</w:t>
            </w:r>
          </w:p>
        </w:tc>
        <w:tc>
          <w:tcPr>
            <w:tcW w:w="1723" w:type="dxa"/>
            <w:noWrap/>
            <w:hideMark/>
          </w:tcPr>
          <w:p w14:paraId="39C8860F" w14:textId="77777777" w:rsidR="00D35CD9" w:rsidRPr="0039091F" w:rsidRDefault="00D35CD9" w:rsidP="000A5389">
            <w:pPr>
              <w:spacing w:line="240" w:lineRule="auto"/>
              <w:jc w:val="right"/>
              <w:rPr>
                <w:rFonts w:eastAsia="Times New Roman" w:cs="Times New Roman"/>
                <w:color w:val="000000"/>
                <w:sz w:val="18"/>
                <w:szCs w:val="18"/>
                <w:lang w:eastAsia="es-CO"/>
              </w:rPr>
            </w:pPr>
            <w:r w:rsidRPr="0039091F">
              <w:rPr>
                <w:rFonts w:eastAsia="Times New Roman" w:cs="Times New Roman"/>
                <w:color w:val="000000"/>
                <w:sz w:val="18"/>
                <w:szCs w:val="18"/>
                <w:lang w:eastAsia="es-CO"/>
              </w:rPr>
              <w:t>125.954.841.253</w:t>
            </w:r>
          </w:p>
        </w:tc>
        <w:tc>
          <w:tcPr>
            <w:tcW w:w="1540" w:type="dxa"/>
            <w:noWrap/>
            <w:hideMark/>
          </w:tcPr>
          <w:p w14:paraId="5CCBAF29" w14:textId="77777777" w:rsidR="00D35CD9" w:rsidRPr="0039091F" w:rsidRDefault="00D35CD9" w:rsidP="000A5389">
            <w:pPr>
              <w:spacing w:line="240" w:lineRule="auto"/>
              <w:jc w:val="right"/>
              <w:rPr>
                <w:rFonts w:eastAsia="Times New Roman" w:cs="Times New Roman"/>
                <w:color w:val="000000"/>
                <w:sz w:val="18"/>
                <w:szCs w:val="18"/>
                <w:lang w:eastAsia="es-CO"/>
              </w:rPr>
            </w:pPr>
            <w:r w:rsidRPr="0039091F">
              <w:rPr>
                <w:rFonts w:eastAsia="Times New Roman" w:cs="Times New Roman"/>
                <w:color w:val="000000"/>
                <w:sz w:val="18"/>
                <w:szCs w:val="18"/>
                <w:lang w:eastAsia="es-CO"/>
              </w:rPr>
              <w:t>283.737.389.294</w:t>
            </w:r>
          </w:p>
        </w:tc>
        <w:tc>
          <w:tcPr>
            <w:tcW w:w="1601" w:type="dxa"/>
            <w:noWrap/>
            <w:hideMark/>
          </w:tcPr>
          <w:p w14:paraId="0D0B9D33" w14:textId="77777777" w:rsidR="00D35CD9" w:rsidRPr="0039091F" w:rsidRDefault="00D35CD9" w:rsidP="000A5389">
            <w:pPr>
              <w:spacing w:line="240" w:lineRule="auto"/>
              <w:jc w:val="right"/>
              <w:rPr>
                <w:rFonts w:eastAsia="Times New Roman" w:cs="Times New Roman"/>
                <w:color w:val="000000"/>
                <w:sz w:val="18"/>
                <w:szCs w:val="18"/>
                <w:lang w:eastAsia="es-CO"/>
              </w:rPr>
            </w:pPr>
            <w:r w:rsidRPr="0039091F">
              <w:rPr>
                <w:rFonts w:eastAsia="Times New Roman" w:cs="Times New Roman"/>
                <w:color w:val="000000"/>
                <w:sz w:val="18"/>
                <w:szCs w:val="18"/>
                <w:lang w:eastAsia="es-CO"/>
              </w:rPr>
              <w:t>-157.782.548.041</w:t>
            </w:r>
          </w:p>
        </w:tc>
      </w:tr>
      <w:tr w:rsidR="00D35CD9" w:rsidRPr="0039091F" w14:paraId="5786CF57" w14:textId="77777777" w:rsidTr="00F45D5E">
        <w:trPr>
          <w:trHeight w:val="293"/>
        </w:trPr>
        <w:tc>
          <w:tcPr>
            <w:tcW w:w="1162" w:type="dxa"/>
            <w:noWrap/>
            <w:hideMark/>
          </w:tcPr>
          <w:p w14:paraId="6DDB0EC1" w14:textId="77777777" w:rsidR="00D35CD9" w:rsidRPr="0039091F" w:rsidRDefault="00D35CD9" w:rsidP="000A5389">
            <w:pPr>
              <w:spacing w:line="240" w:lineRule="auto"/>
              <w:jc w:val="right"/>
              <w:rPr>
                <w:rFonts w:eastAsia="Times New Roman" w:cs="Times New Roman"/>
                <w:color w:val="000000"/>
                <w:sz w:val="18"/>
                <w:szCs w:val="18"/>
                <w:lang w:eastAsia="es-CO"/>
              </w:rPr>
            </w:pPr>
            <w:r w:rsidRPr="0039091F">
              <w:rPr>
                <w:rFonts w:eastAsia="Times New Roman" w:cs="Times New Roman"/>
                <w:color w:val="000000"/>
                <w:sz w:val="18"/>
                <w:szCs w:val="18"/>
                <w:lang w:eastAsia="es-CO"/>
              </w:rPr>
              <w:t>800235278</w:t>
            </w:r>
          </w:p>
        </w:tc>
        <w:tc>
          <w:tcPr>
            <w:tcW w:w="2802" w:type="dxa"/>
            <w:noWrap/>
            <w:hideMark/>
          </w:tcPr>
          <w:p w14:paraId="07D1E34D" w14:textId="77777777" w:rsidR="00D35CD9" w:rsidRPr="0039091F" w:rsidRDefault="00D35CD9" w:rsidP="000A5389">
            <w:pPr>
              <w:spacing w:line="240" w:lineRule="auto"/>
              <w:rPr>
                <w:rFonts w:eastAsia="Times New Roman" w:cs="Times New Roman"/>
                <w:color w:val="000000"/>
                <w:sz w:val="18"/>
                <w:szCs w:val="18"/>
                <w:lang w:eastAsia="es-CO"/>
              </w:rPr>
            </w:pPr>
            <w:r w:rsidRPr="0039091F">
              <w:rPr>
                <w:rFonts w:eastAsia="Times New Roman" w:cs="Times New Roman"/>
                <w:color w:val="000000"/>
                <w:sz w:val="18"/>
                <w:szCs w:val="18"/>
                <w:lang w:eastAsia="es-CO"/>
              </w:rPr>
              <w:t>Concesión Santa Marta Paraguachon S.A.</w:t>
            </w:r>
          </w:p>
        </w:tc>
        <w:tc>
          <w:tcPr>
            <w:tcW w:w="1723" w:type="dxa"/>
            <w:noWrap/>
            <w:hideMark/>
          </w:tcPr>
          <w:p w14:paraId="1A09A4B7" w14:textId="77777777" w:rsidR="00D35CD9" w:rsidRPr="0039091F" w:rsidRDefault="00D35CD9" w:rsidP="000A5389">
            <w:pPr>
              <w:spacing w:line="240" w:lineRule="auto"/>
              <w:jc w:val="right"/>
              <w:rPr>
                <w:rFonts w:eastAsia="Times New Roman" w:cs="Times New Roman"/>
                <w:color w:val="000000"/>
                <w:sz w:val="18"/>
                <w:szCs w:val="18"/>
                <w:lang w:eastAsia="es-CO"/>
              </w:rPr>
            </w:pPr>
            <w:r w:rsidRPr="0039091F">
              <w:rPr>
                <w:rFonts w:eastAsia="Times New Roman" w:cs="Times New Roman"/>
                <w:color w:val="000000"/>
                <w:sz w:val="18"/>
                <w:szCs w:val="18"/>
                <w:lang w:eastAsia="es-CO"/>
              </w:rPr>
              <w:t>99.079.551.009</w:t>
            </w:r>
          </w:p>
        </w:tc>
        <w:tc>
          <w:tcPr>
            <w:tcW w:w="1540" w:type="dxa"/>
            <w:noWrap/>
            <w:hideMark/>
          </w:tcPr>
          <w:p w14:paraId="7F00CC9B" w14:textId="77777777" w:rsidR="00D35CD9" w:rsidRPr="0039091F" w:rsidRDefault="00D35CD9" w:rsidP="000A5389">
            <w:pPr>
              <w:spacing w:line="240" w:lineRule="auto"/>
              <w:jc w:val="right"/>
              <w:rPr>
                <w:rFonts w:eastAsia="Times New Roman" w:cs="Times New Roman"/>
                <w:color w:val="000000"/>
                <w:sz w:val="18"/>
                <w:szCs w:val="18"/>
                <w:lang w:eastAsia="es-CO"/>
              </w:rPr>
            </w:pPr>
            <w:r w:rsidRPr="0039091F">
              <w:rPr>
                <w:rFonts w:eastAsia="Times New Roman" w:cs="Times New Roman"/>
                <w:color w:val="000000"/>
                <w:sz w:val="18"/>
                <w:szCs w:val="18"/>
                <w:lang w:eastAsia="es-CO"/>
              </w:rPr>
              <w:t>89.333.540.985</w:t>
            </w:r>
          </w:p>
        </w:tc>
        <w:tc>
          <w:tcPr>
            <w:tcW w:w="1601" w:type="dxa"/>
            <w:noWrap/>
            <w:hideMark/>
          </w:tcPr>
          <w:p w14:paraId="5CB64520" w14:textId="77777777" w:rsidR="00D35CD9" w:rsidRPr="0039091F" w:rsidRDefault="00D35CD9" w:rsidP="000A5389">
            <w:pPr>
              <w:spacing w:line="240" w:lineRule="auto"/>
              <w:jc w:val="right"/>
              <w:rPr>
                <w:rFonts w:eastAsia="Times New Roman" w:cs="Times New Roman"/>
                <w:color w:val="000000"/>
                <w:sz w:val="18"/>
                <w:szCs w:val="18"/>
                <w:lang w:eastAsia="es-CO"/>
              </w:rPr>
            </w:pPr>
            <w:r w:rsidRPr="0039091F">
              <w:rPr>
                <w:rFonts w:eastAsia="Times New Roman" w:cs="Times New Roman"/>
                <w:color w:val="000000"/>
                <w:sz w:val="18"/>
                <w:szCs w:val="18"/>
                <w:lang w:eastAsia="es-CO"/>
              </w:rPr>
              <w:t>9.746.010.024</w:t>
            </w:r>
          </w:p>
        </w:tc>
      </w:tr>
      <w:tr w:rsidR="00D35CD9" w:rsidRPr="0039091F" w14:paraId="6AF7BD25" w14:textId="77777777" w:rsidTr="00F45D5E">
        <w:trPr>
          <w:trHeight w:val="293"/>
        </w:trPr>
        <w:tc>
          <w:tcPr>
            <w:tcW w:w="1162" w:type="dxa"/>
            <w:noWrap/>
            <w:hideMark/>
          </w:tcPr>
          <w:p w14:paraId="69CD19F7" w14:textId="77777777" w:rsidR="00D35CD9" w:rsidRPr="0039091F" w:rsidRDefault="00D35CD9" w:rsidP="000A5389">
            <w:pPr>
              <w:spacing w:line="240" w:lineRule="auto"/>
              <w:jc w:val="right"/>
              <w:rPr>
                <w:rFonts w:eastAsia="Times New Roman" w:cs="Times New Roman"/>
                <w:color w:val="000000"/>
                <w:sz w:val="18"/>
                <w:szCs w:val="18"/>
                <w:lang w:eastAsia="es-CO"/>
              </w:rPr>
            </w:pPr>
            <w:r w:rsidRPr="0039091F">
              <w:rPr>
                <w:rFonts w:eastAsia="Times New Roman" w:cs="Times New Roman"/>
                <w:color w:val="000000"/>
                <w:sz w:val="18"/>
                <w:szCs w:val="18"/>
                <w:lang w:eastAsia="es-CO"/>
              </w:rPr>
              <w:t>811005050</w:t>
            </w:r>
          </w:p>
        </w:tc>
        <w:tc>
          <w:tcPr>
            <w:tcW w:w="2802" w:type="dxa"/>
            <w:noWrap/>
            <w:hideMark/>
          </w:tcPr>
          <w:p w14:paraId="7C69FF01" w14:textId="77777777" w:rsidR="00D35CD9" w:rsidRPr="0039091F" w:rsidRDefault="00D35CD9" w:rsidP="000A5389">
            <w:pPr>
              <w:spacing w:line="240" w:lineRule="auto"/>
              <w:rPr>
                <w:rFonts w:eastAsia="Times New Roman" w:cs="Times New Roman"/>
                <w:color w:val="000000"/>
                <w:sz w:val="18"/>
                <w:szCs w:val="18"/>
                <w:lang w:eastAsia="es-CO"/>
              </w:rPr>
            </w:pPr>
            <w:r w:rsidRPr="0039091F">
              <w:rPr>
                <w:rFonts w:eastAsia="Times New Roman" w:cs="Times New Roman"/>
                <w:color w:val="000000"/>
                <w:sz w:val="18"/>
                <w:szCs w:val="18"/>
                <w:lang w:eastAsia="es-CO"/>
              </w:rPr>
              <w:t>Devimed S.A.</w:t>
            </w:r>
          </w:p>
        </w:tc>
        <w:tc>
          <w:tcPr>
            <w:tcW w:w="1723" w:type="dxa"/>
            <w:noWrap/>
            <w:hideMark/>
          </w:tcPr>
          <w:p w14:paraId="0968C73F" w14:textId="77777777" w:rsidR="00D35CD9" w:rsidRPr="0039091F" w:rsidRDefault="00D35CD9" w:rsidP="000A5389">
            <w:pPr>
              <w:spacing w:line="240" w:lineRule="auto"/>
              <w:jc w:val="right"/>
              <w:rPr>
                <w:rFonts w:eastAsia="Times New Roman" w:cs="Times New Roman"/>
                <w:color w:val="000000"/>
                <w:sz w:val="18"/>
                <w:szCs w:val="18"/>
                <w:lang w:eastAsia="es-CO"/>
              </w:rPr>
            </w:pPr>
            <w:r w:rsidRPr="0039091F">
              <w:rPr>
                <w:rFonts w:eastAsia="Times New Roman" w:cs="Times New Roman"/>
                <w:color w:val="000000"/>
                <w:sz w:val="18"/>
                <w:szCs w:val="18"/>
                <w:lang w:eastAsia="es-CO"/>
              </w:rPr>
              <w:t>35.196.784.524</w:t>
            </w:r>
          </w:p>
        </w:tc>
        <w:tc>
          <w:tcPr>
            <w:tcW w:w="1540" w:type="dxa"/>
            <w:noWrap/>
            <w:hideMark/>
          </w:tcPr>
          <w:p w14:paraId="13B0755C" w14:textId="77777777" w:rsidR="00D35CD9" w:rsidRPr="0039091F" w:rsidRDefault="00D35CD9" w:rsidP="000A5389">
            <w:pPr>
              <w:spacing w:line="240" w:lineRule="auto"/>
              <w:jc w:val="right"/>
              <w:rPr>
                <w:rFonts w:eastAsia="Times New Roman" w:cs="Times New Roman"/>
                <w:color w:val="000000"/>
                <w:sz w:val="18"/>
                <w:szCs w:val="18"/>
                <w:lang w:eastAsia="es-CO"/>
              </w:rPr>
            </w:pPr>
            <w:r w:rsidRPr="0039091F">
              <w:rPr>
                <w:rFonts w:eastAsia="Times New Roman" w:cs="Times New Roman"/>
                <w:color w:val="000000"/>
                <w:sz w:val="18"/>
                <w:szCs w:val="18"/>
                <w:lang w:eastAsia="es-CO"/>
              </w:rPr>
              <w:t>86.712.353.983</w:t>
            </w:r>
          </w:p>
        </w:tc>
        <w:tc>
          <w:tcPr>
            <w:tcW w:w="1601" w:type="dxa"/>
            <w:noWrap/>
            <w:hideMark/>
          </w:tcPr>
          <w:p w14:paraId="73930A1C" w14:textId="77777777" w:rsidR="00D35CD9" w:rsidRPr="0039091F" w:rsidRDefault="00D35CD9" w:rsidP="000A5389">
            <w:pPr>
              <w:spacing w:line="240" w:lineRule="auto"/>
              <w:jc w:val="right"/>
              <w:rPr>
                <w:rFonts w:eastAsia="Times New Roman" w:cs="Times New Roman"/>
                <w:color w:val="000000"/>
                <w:sz w:val="18"/>
                <w:szCs w:val="18"/>
                <w:lang w:eastAsia="es-CO"/>
              </w:rPr>
            </w:pPr>
            <w:r w:rsidRPr="0039091F">
              <w:rPr>
                <w:rFonts w:eastAsia="Times New Roman" w:cs="Times New Roman"/>
                <w:color w:val="000000"/>
                <w:sz w:val="18"/>
                <w:szCs w:val="18"/>
                <w:lang w:eastAsia="es-CO"/>
              </w:rPr>
              <w:t>-51.515.569.459</w:t>
            </w:r>
          </w:p>
        </w:tc>
      </w:tr>
      <w:tr w:rsidR="00D35CD9" w:rsidRPr="0039091F" w14:paraId="145B3004" w14:textId="77777777" w:rsidTr="00F45D5E">
        <w:trPr>
          <w:trHeight w:val="293"/>
        </w:trPr>
        <w:tc>
          <w:tcPr>
            <w:tcW w:w="1162" w:type="dxa"/>
            <w:noWrap/>
            <w:hideMark/>
          </w:tcPr>
          <w:p w14:paraId="3D2020B7" w14:textId="77777777" w:rsidR="00D35CD9" w:rsidRPr="0039091F" w:rsidRDefault="00D35CD9" w:rsidP="000A5389">
            <w:pPr>
              <w:spacing w:line="240" w:lineRule="auto"/>
              <w:jc w:val="right"/>
              <w:rPr>
                <w:rFonts w:eastAsia="Times New Roman" w:cs="Times New Roman"/>
                <w:color w:val="000000"/>
                <w:sz w:val="18"/>
                <w:szCs w:val="18"/>
                <w:lang w:eastAsia="es-CO"/>
              </w:rPr>
            </w:pPr>
            <w:r w:rsidRPr="0039091F">
              <w:rPr>
                <w:rFonts w:eastAsia="Times New Roman" w:cs="Times New Roman"/>
                <w:color w:val="000000"/>
                <w:sz w:val="18"/>
                <w:szCs w:val="18"/>
                <w:lang w:eastAsia="es-CO"/>
              </w:rPr>
              <w:t>800235280</w:t>
            </w:r>
          </w:p>
        </w:tc>
        <w:tc>
          <w:tcPr>
            <w:tcW w:w="2802" w:type="dxa"/>
            <w:noWrap/>
            <w:hideMark/>
          </w:tcPr>
          <w:p w14:paraId="1493D218" w14:textId="77777777" w:rsidR="00D35CD9" w:rsidRPr="0039091F" w:rsidRDefault="00D35CD9" w:rsidP="000A5389">
            <w:pPr>
              <w:spacing w:line="240" w:lineRule="auto"/>
              <w:rPr>
                <w:rFonts w:eastAsia="Times New Roman" w:cs="Times New Roman"/>
                <w:color w:val="000000"/>
                <w:sz w:val="18"/>
                <w:szCs w:val="18"/>
                <w:lang w:eastAsia="es-CO"/>
              </w:rPr>
            </w:pPr>
            <w:r w:rsidRPr="0039091F">
              <w:rPr>
                <w:rFonts w:eastAsia="Times New Roman" w:cs="Times New Roman"/>
                <w:color w:val="000000"/>
                <w:sz w:val="18"/>
                <w:szCs w:val="18"/>
                <w:lang w:eastAsia="es-CO"/>
              </w:rPr>
              <w:t>Concesión Sabana de Occidente S.A.S</w:t>
            </w:r>
          </w:p>
        </w:tc>
        <w:tc>
          <w:tcPr>
            <w:tcW w:w="1723" w:type="dxa"/>
            <w:noWrap/>
            <w:hideMark/>
          </w:tcPr>
          <w:p w14:paraId="05EF8C62" w14:textId="77777777" w:rsidR="00D35CD9" w:rsidRPr="0039091F" w:rsidRDefault="00D35CD9" w:rsidP="000A5389">
            <w:pPr>
              <w:spacing w:line="240" w:lineRule="auto"/>
              <w:jc w:val="right"/>
              <w:rPr>
                <w:rFonts w:eastAsia="Times New Roman" w:cs="Times New Roman"/>
                <w:color w:val="000000"/>
                <w:sz w:val="18"/>
                <w:szCs w:val="18"/>
                <w:lang w:eastAsia="es-CO"/>
              </w:rPr>
            </w:pPr>
            <w:r w:rsidRPr="0039091F">
              <w:rPr>
                <w:rFonts w:eastAsia="Times New Roman" w:cs="Times New Roman"/>
                <w:color w:val="000000"/>
                <w:sz w:val="18"/>
                <w:szCs w:val="18"/>
                <w:lang w:eastAsia="es-CO"/>
              </w:rPr>
              <w:t>28.758.384.974</w:t>
            </w:r>
          </w:p>
        </w:tc>
        <w:tc>
          <w:tcPr>
            <w:tcW w:w="1540" w:type="dxa"/>
            <w:noWrap/>
            <w:hideMark/>
          </w:tcPr>
          <w:p w14:paraId="51E93EC7" w14:textId="77777777" w:rsidR="00D35CD9" w:rsidRPr="0039091F" w:rsidRDefault="00D35CD9" w:rsidP="000A5389">
            <w:pPr>
              <w:spacing w:line="240" w:lineRule="auto"/>
              <w:jc w:val="right"/>
              <w:rPr>
                <w:rFonts w:eastAsia="Times New Roman" w:cs="Times New Roman"/>
                <w:color w:val="000000"/>
                <w:sz w:val="18"/>
                <w:szCs w:val="18"/>
                <w:lang w:eastAsia="es-CO"/>
              </w:rPr>
            </w:pPr>
            <w:r w:rsidRPr="0039091F">
              <w:rPr>
                <w:rFonts w:eastAsia="Times New Roman" w:cs="Times New Roman"/>
                <w:color w:val="000000"/>
                <w:sz w:val="18"/>
                <w:szCs w:val="18"/>
                <w:lang w:eastAsia="es-CO"/>
              </w:rPr>
              <w:t>61.863.204.616</w:t>
            </w:r>
          </w:p>
        </w:tc>
        <w:tc>
          <w:tcPr>
            <w:tcW w:w="1601" w:type="dxa"/>
            <w:noWrap/>
            <w:hideMark/>
          </w:tcPr>
          <w:p w14:paraId="7C1A3474" w14:textId="77777777" w:rsidR="00D35CD9" w:rsidRPr="0039091F" w:rsidRDefault="00D35CD9" w:rsidP="000A5389">
            <w:pPr>
              <w:spacing w:line="240" w:lineRule="auto"/>
              <w:jc w:val="right"/>
              <w:rPr>
                <w:rFonts w:eastAsia="Times New Roman" w:cs="Times New Roman"/>
                <w:color w:val="000000"/>
                <w:sz w:val="18"/>
                <w:szCs w:val="18"/>
                <w:lang w:eastAsia="es-CO"/>
              </w:rPr>
            </w:pPr>
            <w:r w:rsidRPr="0039091F">
              <w:rPr>
                <w:rFonts w:eastAsia="Times New Roman" w:cs="Times New Roman"/>
                <w:color w:val="000000"/>
                <w:sz w:val="18"/>
                <w:szCs w:val="18"/>
                <w:lang w:eastAsia="es-CO"/>
              </w:rPr>
              <w:t>-33.104.819.642</w:t>
            </w:r>
          </w:p>
        </w:tc>
      </w:tr>
      <w:tr w:rsidR="00D35CD9" w:rsidRPr="0039091F" w14:paraId="7FDAFBCA" w14:textId="77777777" w:rsidTr="00F45D5E">
        <w:trPr>
          <w:trHeight w:val="293"/>
        </w:trPr>
        <w:tc>
          <w:tcPr>
            <w:tcW w:w="1162" w:type="dxa"/>
            <w:noWrap/>
            <w:hideMark/>
          </w:tcPr>
          <w:p w14:paraId="094DD642" w14:textId="77777777" w:rsidR="00D35CD9" w:rsidRPr="0039091F" w:rsidRDefault="00D35CD9" w:rsidP="000A5389">
            <w:pPr>
              <w:spacing w:line="240" w:lineRule="auto"/>
              <w:jc w:val="right"/>
              <w:rPr>
                <w:rFonts w:eastAsia="Times New Roman" w:cs="Times New Roman"/>
                <w:color w:val="000000"/>
                <w:sz w:val="18"/>
                <w:szCs w:val="18"/>
                <w:lang w:eastAsia="es-CO"/>
              </w:rPr>
            </w:pPr>
            <w:r w:rsidRPr="0039091F">
              <w:rPr>
                <w:rFonts w:eastAsia="Times New Roman" w:cs="Times New Roman"/>
                <w:color w:val="000000"/>
                <w:sz w:val="18"/>
                <w:szCs w:val="18"/>
                <w:lang w:eastAsia="es-CO"/>
              </w:rPr>
              <w:t>901515242</w:t>
            </w:r>
          </w:p>
        </w:tc>
        <w:tc>
          <w:tcPr>
            <w:tcW w:w="2802" w:type="dxa"/>
            <w:noWrap/>
            <w:hideMark/>
          </w:tcPr>
          <w:p w14:paraId="0A215C6D" w14:textId="77777777" w:rsidR="00D35CD9" w:rsidRPr="0039091F" w:rsidRDefault="00D35CD9" w:rsidP="000A5389">
            <w:pPr>
              <w:spacing w:line="240" w:lineRule="auto"/>
              <w:rPr>
                <w:rFonts w:eastAsia="Times New Roman" w:cs="Times New Roman"/>
                <w:color w:val="000000"/>
                <w:sz w:val="18"/>
                <w:szCs w:val="18"/>
                <w:lang w:eastAsia="es-CO"/>
              </w:rPr>
            </w:pPr>
            <w:r w:rsidRPr="0039091F">
              <w:rPr>
                <w:rFonts w:eastAsia="Times New Roman" w:cs="Times New Roman"/>
                <w:color w:val="000000"/>
                <w:sz w:val="18"/>
                <w:szCs w:val="18"/>
                <w:lang w:eastAsia="es-CO"/>
              </w:rPr>
              <w:t>Autopistas del Caribe Sas</w:t>
            </w:r>
          </w:p>
        </w:tc>
        <w:tc>
          <w:tcPr>
            <w:tcW w:w="1723" w:type="dxa"/>
            <w:noWrap/>
            <w:hideMark/>
          </w:tcPr>
          <w:p w14:paraId="3CE368C9" w14:textId="77777777" w:rsidR="00D35CD9" w:rsidRPr="0039091F" w:rsidRDefault="00D35CD9" w:rsidP="000A5389">
            <w:pPr>
              <w:spacing w:line="240" w:lineRule="auto"/>
              <w:jc w:val="right"/>
              <w:rPr>
                <w:rFonts w:eastAsia="Times New Roman" w:cs="Times New Roman"/>
                <w:color w:val="000000"/>
                <w:sz w:val="18"/>
                <w:szCs w:val="18"/>
                <w:lang w:eastAsia="es-CO"/>
              </w:rPr>
            </w:pPr>
            <w:r w:rsidRPr="0039091F">
              <w:rPr>
                <w:rFonts w:eastAsia="Times New Roman" w:cs="Times New Roman"/>
                <w:color w:val="000000"/>
                <w:sz w:val="18"/>
                <w:szCs w:val="18"/>
                <w:lang w:eastAsia="es-CO"/>
              </w:rPr>
              <w:t>25.005.937.977</w:t>
            </w:r>
          </w:p>
        </w:tc>
        <w:tc>
          <w:tcPr>
            <w:tcW w:w="1540" w:type="dxa"/>
            <w:noWrap/>
            <w:hideMark/>
          </w:tcPr>
          <w:p w14:paraId="7B37C0C8" w14:textId="77777777" w:rsidR="00D35CD9" w:rsidRPr="0039091F" w:rsidRDefault="00D35CD9" w:rsidP="000A5389">
            <w:pPr>
              <w:spacing w:line="240" w:lineRule="auto"/>
              <w:jc w:val="right"/>
              <w:rPr>
                <w:rFonts w:eastAsia="Times New Roman" w:cs="Times New Roman"/>
                <w:color w:val="000000"/>
                <w:sz w:val="18"/>
                <w:szCs w:val="18"/>
                <w:lang w:eastAsia="es-CO"/>
              </w:rPr>
            </w:pPr>
            <w:r w:rsidRPr="0039091F">
              <w:rPr>
                <w:rFonts w:eastAsia="Times New Roman" w:cs="Times New Roman"/>
                <w:color w:val="000000"/>
                <w:sz w:val="18"/>
                <w:szCs w:val="18"/>
                <w:lang w:eastAsia="es-CO"/>
              </w:rPr>
              <w:t>26.010.970.033</w:t>
            </w:r>
          </w:p>
        </w:tc>
        <w:tc>
          <w:tcPr>
            <w:tcW w:w="1601" w:type="dxa"/>
            <w:noWrap/>
            <w:hideMark/>
          </w:tcPr>
          <w:p w14:paraId="24EBA9BA" w14:textId="77777777" w:rsidR="00D35CD9" w:rsidRPr="0039091F" w:rsidRDefault="00D35CD9" w:rsidP="000A5389">
            <w:pPr>
              <w:spacing w:line="240" w:lineRule="auto"/>
              <w:jc w:val="right"/>
              <w:rPr>
                <w:rFonts w:eastAsia="Times New Roman" w:cs="Times New Roman"/>
                <w:color w:val="000000"/>
                <w:sz w:val="18"/>
                <w:szCs w:val="18"/>
                <w:lang w:eastAsia="es-CO"/>
              </w:rPr>
            </w:pPr>
            <w:r w:rsidRPr="0039091F">
              <w:rPr>
                <w:rFonts w:eastAsia="Times New Roman" w:cs="Times New Roman"/>
                <w:color w:val="000000"/>
                <w:sz w:val="18"/>
                <w:szCs w:val="18"/>
                <w:lang w:eastAsia="es-CO"/>
              </w:rPr>
              <w:t>-1.005.032.056</w:t>
            </w:r>
          </w:p>
        </w:tc>
      </w:tr>
      <w:tr w:rsidR="00D35CD9" w:rsidRPr="0039091F" w14:paraId="0A088925" w14:textId="77777777" w:rsidTr="00F45D5E">
        <w:trPr>
          <w:trHeight w:val="293"/>
        </w:trPr>
        <w:tc>
          <w:tcPr>
            <w:tcW w:w="1162" w:type="dxa"/>
            <w:noWrap/>
            <w:hideMark/>
          </w:tcPr>
          <w:p w14:paraId="0EFA6F91" w14:textId="77777777" w:rsidR="00D35CD9" w:rsidRPr="0039091F" w:rsidRDefault="00D35CD9" w:rsidP="000A5389">
            <w:pPr>
              <w:spacing w:line="240" w:lineRule="auto"/>
              <w:jc w:val="right"/>
              <w:rPr>
                <w:rFonts w:eastAsia="Times New Roman" w:cs="Times New Roman"/>
                <w:color w:val="000000"/>
                <w:sz w:val="18"/>
                <w:szCs w:val="18"/>
                <w:lang w:eastAsia="es-CO"/>
              </w:rPr>
            </w:pPr>
            <w:r w:rsidRPr="0039091F">
              <w:rPr>
                <w:rFonts w:eastAsia="Times New Roman" w:cs="Times New Roman"/>
                <w:color w:val="000000"/>
                <w:sz w:val="18"/>
                <w:szCs w:val="18"/>
                <w:lang w:eastAsia="es-CO"/>
              </w:rPr>
              <w:t>900809931</w:t>
            </w:r>
          </w:p>
        </w:tc>
        <w:tc>
          <w:tcPr>
            <w:tcW w:w="2802" w:type="dxa"/>
            <w:noWrap/>
            <w:hideMark/>
          </w:tcPr>
          <w:p w14:paraId="3896D8D4" w14:textId="77777777" w:rsidR="00D35CD9" w:rsidRPr="0039091F" w:rsidRDefault="00D35CD9" w:rsidP="000A5389">
            <w:pPr>
              <w:spacing w:line="240" w:lineRule="auto"/>
              <w:rPr>
                <w:rFonts w:eastAsia="Times New Roman" w:cs="Times New Roman"/>
                <w:color w:val="000000"/>
                <w:sz w:val="18"/>
                <w:szCs w:val="18"/>
                <w:lang w:eastAsia="es-CO"/>
              </w:rPr>
            </w:pPr>
            <w:r w:rsidRPr="0039091F">
              <w:rPr>
                <w:rFonts w:eastAsia="Times New Roman" w:cs="Times New Roman"/>
                <w:color w:val="000000"/>
                <w:sz w:val="18"/>
                <w:szCs w:val="18"/>
                <w:lang w:eastAsia="es-CO"/>
              </w:rPr>
              <w:t>Concesionaria Nueva Vía Al Mar S.A.S</w:t>
            </w:r>
          </w:p>
        </w:tc>
        <w:tc>
          <w:tcPr>
            <w:tcW w:w="1723" w:type="dxa"/>
            <w:noWrap/>
            <w:hideMark/>
          </w:tcPr>
          <w:p w14:paraId="0E091DFA" w14:textId="77777777" w:rsidR="00D35CD9" w:rsidRPr="0039091F" w:rsidRDefault="00D35CD9" w:rsidP="000A5389">
            <w:pPr>
              <w:spacing w:line="240" w:lineRule="auto"/>
              <w:jc w:val="right"/>
              <w:rPr>
                <w:rFonts w:eastAsia="Times New Roman" w:cs="Times New Roman"/>
                <w:color w:val="000000"/>
                <w:sz w:val="18"/>
                <w:szCs w:val="18"/>
                <w:lang w:eastAsia="es-CO"/>
              </w:rPr>
            </w:pPr>
            <w:r w:rsidRPr="0039091F">
              <w:rPr>
                <w:rFonts w:eastAsia="Times New Roman" w:cs="Times New Roman"/>
                <w:color w:val="000000"/>
                <w:sz w:val="18"/>
                <w:szCs w:val="18"/>
                <w:lang w:eastAsia="es-CO"/>
              </w:rPr>
              <w:t>3.031.493.059</w:t>
            </w:r>
          </w:p>
        </w:tc>
        <w:tc>
          <w:tcPr>
            <w:tcW w:w="1540" w:type="dxa"/>
            <w:noWrap/>
            <w:hideMark/>
          </w:tcPr>
          <w:p w14:paraId="0ECFB4F3" w14:textId="77777777" w:rsidR="00D35CD9" w:rsidRPr="0039091F" w:rsidRDefault="00D35CD9" w:rsidP="000A5389">
            <w:pPr>
              <w:spacing w:line="240" w:lineRule="auto"/>
              <w:jc w:val="right"/>
              <w:rPr>
                <w:rFonts w:eastAsia="Times New Roman" w:cs="Times New Roman"/>
                <w:color w:val="000000"/>
                <w:sz w:val="18"/>
                <w:szCs w:val="18"/>
                <w:lang w:eastAsia="es-CO"/>
              </w:rPr>
            </w:pPr>
            <w:r w:rsidRPr="0039091F">
              <w:rPr>
                <w:rFonts w:eastAsia="Times New Roman" w:cs="Times New Roman"/>
                <w:color w:val="000000"/>
                <w:sz w:val="18"/>
                <w:szCs w:val="18"/>
                <w:lang w:eastAsia="es-CO"/>
              </w:rPr>
              <w:t>3.031.493.059</w:t>
            </w:r>
          </w:p>
        </w:tc>
        <w:tc>
          <w:tcPr>
            <w:tcW w:w="1601" w:type="dxa"/>
            <w:noWrap/>
            <w:hideMark/>
          </w:tcPr>
          <w:p w14:paraId="515D796F" w14:textId="77777777" w:rsidR="00D35CD9" w:rsidRPr="0039091F" w:rsidRDefault="00D35CD9" w:rsidP="000A5389">
            <w:pPr>
              <w:spacing w:line="240" w:lineRule="auto"/>
              <w:jc w:val="right"/>
              <w:rPr>
                <w:rFonts w:eastAsia="Times New Roman" w:cs="Times New Roman"/>
                <w:color w:val="000000"/>
                <w:sz w:val="18"/>
                <w:szCs w:val="18"/>
                <w:lang w:eastAsia="es-CO"/>
              </w:rPr>
            </w:pPr>
            <w:r w:rsidRPr="0039091F">
              <w:rPr>
                <w:rFonts w:eastAsia="Times New Roman" w:cs="Times New Roman"/>
                <w:color w:val="000000"/>
                <w:sz w:val="18"/>
                <w:szCs w:val="18"/>
                <w:lang w:eastAsia="es-CO"/>
              </w:rPr>
              <w:t>0</w:t>
            </w:r>
          </w:p>
        </w:tc>
      </w:tr>
      <w:tr w:rsidR="00D35CD9" w:rsidRPr="0039091F" w14:paraId="1F5D46A5" w14:textId="77777777" w:rsidTr="00F45D5E">
        <w:trPr>
          <w:trHeight w:val="293"/>
        </w:trPr>
        <w:tc>
          <w:tcPr>
            <w:tcW w:w="1162" w:type="dxa"/>
            <w:noWrap/>
            <w:hideMark/>
          </w:tcPr>
          <w:p w14:paraId="0482008D" w14:textId="77777777" w:rsidR="00D35CD9" w:rsidRPr="0039091F" w:rsidRDefault="00D35CD9" w:rsidP="000A5389">
            <w:pPr>
              <w:spacing w:line="240" w:lineRule="auto"/>
              <w:jc w:val="right"/>
              <w:rPr>
                <w:rFonts w:eastAsia="Times New Roman" w:cs="Times New Roman"/>
                <w:color w:val="000000"/>
                <w:sz w:val="18"/>
                <w:szCs w:val="18"/>
                <w:lang w:eastAsia="es-CO"/>
              </w:rPr>
            </w:pPr>
            <w:r w:rsidRPr="0039091F">
              <w:rPr>
                <w:rFonts w:eastAsia="Times New Roman" w:cs="Times New Roman"/>
                <w:color w:val="000000"/>
                <w:sz w:val="18"/>
                <w:szCs w:val="18"/>
                <w:lang w:eastAsia="es-CO"/>
              </w:rPr>
              <w:t>901580796</w:t>
            </w:r>
          </w:p>
        </w:tc>
        <w:tc>
          <w:tcPr>
            <w:tcW w:w="2802" w:type="dxa"/>
            <w:noWrap/>
            <w:hideMark/>
          </w:tcPr>
          <w:p w14:paraId="0A5BC5DE" w14:textId="77777777" w:rsidR="00D35CD9" w:rsidRPr="0039091F" w:rsidRDefault="00D35CD9" w:rsidP="000A5389">
            <w:pPr>
              <w:spacing w:line="240" w:lineRule="auto"/>
              <w:rPr>
                <w:rFonts w:eastAsia="Times New Roman" w:cs="Times New Roman"/>
                <w:color w:val="000000"/>
                <w:sz w:val="18"/>
                <w:szCs w:val="18"/>
                <w:lang w:eastAsia="es-CO"/>
              </w:rPr>
            </w:pPr>
            <w:r w:rsidRPr="0039091F">
              <w:rPr>
                <w:rFonts w:eastAsia="Times New Roman" w:cs="Times New Roman"/>
                <w:color w:val="000000"/>
                <w:sz w:val="18"/>
                <w:szCs w:val="18"/>
                <w:lang w:eastAsia="es-CO"/>
              </w:rPr>
              <w:t>Concesionaria Ruta Bogotá Norte S.A.S</w:t>
            </w:r>
          </w:p>
        </w:tc>
        <w:tc>
          <w:tcPr>
            <w:tcW w:w="1723" w:type="dxa"/>
            <w:noWrap/>
            <w:hideMark/>
          </w:tcPr>
          <w:p w14:paraId="7DC2824D" w14:textId="77777777" w:rsidR="00D35CD9" w:rsidRPr="0039091F" w:rsidRDefault="00D35CD9" w:rsidP="000A5389">
            <w:pPr>
              <w:spacing w:line="240" w:lineRule="auto"/>
              <w:jc w:val="right"/>
              <w:rPr>
                <w:rFonts w:eastAsia="Times New Roman" w:cs="Times New Roman"/>
                <w:color w:val="000000"/>
                <w:sz w:val="18"/>
                <w:szCs w:val="18"/>
                <w:lang w:eastAsia="es-CO"/>
              </w:rPr>
            </w:pPr>
            <w:r w:rsidRPr="0039091F">
              <w:rPr>
                <w:rFonts w:eastAsia="Times New Roman" w:cs="Times New Roman"/>
                <w:color w:val="000000"/>
                <w:sz w:val="18"/>
                <w:szCs w:val="18"/>
                <w:lang w:eastAsia="es-CO"/>
              </w:rPr>
              <w:t>2.458.875.700</w:t>
            </w:r>
          </w:p>
        </w:tc>
        <w:tc>
          <w:tcPr>
            <w:tcW w:w="1540" w:type="dxa"/>
            <w:noWrap/>
            <w:hideMark/>
          </w:tcPr>
          <w:p w14:paraId="2A0DCE11" w14:textId="77777777" w:rsidR="00D35CD9" w:rsidRPr="0039091F" w:rsidRDefault="00D35CD9" w:rsidP="000A5389">
            <w:pPr>
              <w:spacing w:line="240" w:lineRule="auto"/>
              <w:jc w:val="right"/>
              <w:rPr>
                <w:rFonts w:eastAsia="Times New Roman" w:cs="Times New Roman"/>
                <w:color w:val="000000"/>
                <w:sz w:val="18"/>
                <w:szCs w:val="18"/>
                <w:lang w:eastAsia="es-CO"/>
              </w:rPr>
            </w:pPr>
            <w:r w:rsidRPr="0039091F">
              <w:rPr>
                <w:rFonts w:eastAsia="Times New Roman" w:cs="Times New Roman"/>
                <w:color w:val="000000"/>
                <w:sz w:val="18"/>
                <w:szCs w:val="18"/>
                <w:lang w:eastAsia="es-CO"/>
              </w:rPr>
              <w:t>1.868.205.678</w:t>
            </w:r>
          </w:p>
        </w:tc>
        <w:tc>
          <w:tcPr>
            <w:tcW w:w="1601" w:type="dxa"/>
            <w:noWrap/>
            <w:hideMark/>
          </w:tcPr>
          <w:p w14:paraId="6EA73305" w14:textId="77777777" w:rsidR="00D35CD9" w:rsidRPr="0039091F" w:rsidRDefault="00D35CD9" w:rsidP="000A5389">
            <w:pPr>
              <w:spacing w:line="240" w:lineRule="auto"/>
              <w:jc w:val="right"/>
              <w:rPr>
                <w:rFonts w:eastAsia="Times New Roman" w:cs="Times New Roman"/>
                <w:color w:val="000000"/>
                <w:sz w:val="18"/>
                <w:szCs w:val="18"/>
                <w:lang w:eastAsia="es-CO"/>
              </w:rPr>
            </w:pPr>
            <w:r w:rsidRPr="0039091F">
              <w:rPr>
                <w:rFonts w:eastAsia="Times New Roman" w:cs="Times New Roman"/>
                <w:color w:val="000000"/>
                <w:sz w:val="18"/>
                <w:szCs w:val="18"/>
                <w:lang w:eastAsia="es-CO"/>
              </w:rPr>
              <w:t>590.670.022</w:t>
            </w:r>
          </w:p>
        </w:tc>
      </w:tr>
      <w:tr w:rsidR="00D35CD9" w:rsidRPr="0039091F" w14:paraId="10A0CCC7" w14:textId="77777777" w:rsidTr="00F45D5E">
        <w:trPr>
          <w:trHeight w:val="293"/>
        </w:trPr>
        <w:tc>
          <w:tcPr>
            <w:tcW w:w="1162" w:type="dxa"/>
            <w:noWrap/>
            <w:hideMark/>
          </w:tcPr>
          <w:p w14:paraId="586BFD49" w14:textId="77777777" w:rsidR="00D35CD9" w:rsidRPr="0039091F" w:rsidRDefault="00D35CD9" w:rsidP="000A5389">
            <w:pPr>
              <w:spacing w:line="240" w:lineRule="auto"/>
              <w:jc w:val="right"/>
              <w:rPr>
                <w:rFonts w:eastAsia="Times New Roman" w:cs="Times New Roman"/>
                <w:color w:val="000000"/>
                <w:sz w:val="18"/>
                <w:szCs w:val="18"/>
                <w:lang w:eastAsia="es-CO"/>
              </w:rPr>
            </w:pPr>
            <w:r w:rsidRPr="0039091F">
              <w:rPr>
                <w:rFonts w:eastAsia="Times New Roman" w:cs="Times New Roman"/>
                <w:color w:val="000000"/>
                <w:sz w:val="18"/>
                <w:szCs w:val="18"/>
                <w:lang w:eastAsia="es-CO"/>
              </w:rPr>
              <w:t>901551242</w:t>
            </w:r>
          </w:p>
        </w:tc>
        <w:tc>
          <w:tcPr>
            <w:tcW w:w="2802" w:type="dxa"/>
            <w:noWrap/>
            <w:hideMark/>
          </w:tcPr>
          <w:p w14:paraId="41E0AF16" w14:textId="77777777" w:rsidR="00D35CD9" w:rsidRPr="0039091F" w:rsidRDefault="00D35CD9" w:rsidP="000A5389">
            <w:pPr>
              <w:spacing w:line="240" w:lineRule="auto"/>
              <w:rPr>
                <w:rFonts w:eastAsia="Times New Roman" w:cs="Times New Roman"/>
                <w:color w:val="000000"/>
                <w:sz w:val="18"/>
                <w:szCs w:val="18"/>
                <w:lang w:eastAsia="es-CO"/>
              </w:rPr>
            </w:pPr>
            <w:r w:rsidRPr="0039091F">
              <w:rPr>
                <w:rFonts w:eastAsia="Times New Roman" w:cs="Times New Roman"/>
                <w:color w:val="000000"/>
                <w:sz w:val="18"/>
                <w:szCs w:val="18"/>
                <w:lang w:eastAsia="es-CO"/>
              </w:rPr>
              <w:t>Alo Sur S.A.S</w:t>
            </w:r>
          </w:p>
        </w:tc>
        <w:tc>
          <w:tcPr>
            <w:tcW w:w="1723" w:type="dxa"/>
            <w:noWrap/>
            <w:hideMark/>
          </w:tcPr>
          <w:p w14:paraId="63A9C977" w14:textId="77777777" w:rsidR="00D35CD9" w:rsidRPr="0039091F" w:rsidRDefault="00D35CD9" w:rsidP="000A5389">
            <w:pPr>
              <w:spacing w:line="240" w:lineRule="auto"/>
              <w:jc w:val="right"/>
              <w:rPr>
                <w:rFonts w:eastAsia="Times New Roman" w:cs="Times New Roman"/>
                <w:color w:val="000000"/>
                <w:sz w:val="18"/>
                <w:szCs w:val="18"/>
                <w:lang w:eastAsia="es-CO"/>
              </w:rPr>
            </w:pPr>
            <w:r w:rsidRPr="0039091F">
              <w:rPr>
                <w:rFonts w:eastAsia="Times New Roman" w:cs="Times New Roman"/>
                <w:color w:val="000000"/>
                <w:sz w:val="18"/>
                <w:szCs w:val="18"/>
                <w:lang w:eastAsia="es-CO"/>
              </w:rPr>
              <w:t>261.677.939</w:t>
            </w:r>
          </w:p>
        </w:tc>
        <w:tc>
          <w:tcPr>
            <w:tcW w:w="1540" w:type="dxa"/>
            <w:noWrap/>
            <w:hideMark/>
          </w:tcPr>
          <w:p w14:paraId="03A2B858" w14:textId="77777777" w:rsidR="00D35CD9" w:rsidRPr="0039091F" w:rsidRDefault="00D35CD9" w:rsidP="000A5389">
            <w:pPr>
              <w:spacing w:line="240" w:lineRule="auto"/>
              <w:jc w:val="right"/>
              <w:rPr>
                <w:rFonts w:eastAsia="Times New Roman" w:cs="Times New Roman"/>
                <w:color w:val="000000"/>
                <w:sz w:val="18"/>
                <w:szCs w:val="18"/>
                <w:lang w:eastAsia="es-CO"/>
              </w:rPr>
            </w:pPr>
            <w:r w:rsidRPr="0039091F">
              <w:rPr>
                <w:rFonts w:eastAsia="Times New Roman" w:cs="Times New Roman"/>
                <w:color w:val="000000"/>
                <w:sz w:val="18"/>
                <w:szCs w:val="18"/>
                <w:lang w:eastAsia="es-CO"/>
              </w:rPr>
              <w:t>96.077.937</w:t>
            </w:r>
          </w:p>
        </w:tc>
        <w:tc>
          <w:tcPr>
            <w:tcW w:w="1601" w:type="dxa"/>
            <w:noWrap/>
            <w:hideMark/>
          </w:tcPr>
          <w:p w14:paraId="1486C0D8" w14:textId="77777777" w:rsidR="00D35CD9" w:rsidRPr="0039091F" w:rsidRDefault="00D35CD9" w:rsidP="000A5389">
            <w:pPr>
              <w:spacing w:line="240" w:lineRule="auto"/>
              <w:jc w:val="right"/>
              <w:rPr>
                <w:rFonts w:eastAsia="Times New Roman" w:cs="Times New Roman"/>
                <w:color w:val="000000"/>
                <w:sz w:val="18"/>
                <w:szCs w:val="18"/>
                <w:lang w:eastAsia="es-CO"/>
              </w:rPr>
            </w:pPr>
            <w:r w:rsidRPr="0039091F">
              <w:rPr>
                <w:rFonts w:eastAsia="Times New Roman" w:cs="Times New Roman"/>
                <w:color w:val="000000"/>
                <w:sz w:val="18"/>
                <w:szCs w:val="18"/>
                <w:lang w:eastAsia="es-CO"/>
              </w:rPr>
              <w:t>165.600.002</w:t>
            </w:r>
          </w:p>
        </w:tc>
      </w:tr>
      <w:tr w:rsidR="00D35CD9" w:rsidRPr="0039091F" w14:paraId="343E5E39" w14:textId="77777777" w:rsidTr="00F45D5E">
        <w:trPr>
          <w:trHeight w:val="293"/>
        </w:trPr>
        <w:tc>
          <w:tcPr>
            <w:tcW w:w="1162" w:type="dxa"/>
            <w:noWrap/>
            <w:hideMark/>
          </w:tcPr>
          <w:p w14:paraId="03DCAB83" w14:textId="77777777" w:rsidR="00D35CD9" w:rsidRPr="0039091F" w:rsidRDefault="00D35CD9" w:rsidP="000A5389">
            <w:pPr>
              <w:spacing w:line="240" w:lineRule="auto"/>
              <w:jc w:val="right"/>
              <w:rPr>
                <w:rFonts w:eastAsia="Times New Roman" w:cs="Times New Roman"/>
                <w:color w:val="000000"/>
                <w:sz w:val="18"/>
                <w:szCs w:val="18"/>
                <w:lang w:eastAsia="es-CO"/>
              </w:rPr>
            </w:pPr>
            <w:r w:rsidRPr="0039091F">
              <w:rPr>
                <w:rFonts w:eastAsia="Times New Roman" w:cs="Times New Roman"/>
                <w:color w:val="000000"/>
                <w:sz w:val="18"/>
                <w:szCs w:val="18"/>
                <w:lang w:eastAsia="es-CO"/>
              </w:rPr>
              <w:t>900135168</w:t>
            </w:r>
          </w:p>
        </w:tc>
        <w:tc>
          <w:tcPr>
            <w:tcW w:w="2802" w:type="dxa"/>
            <w:noWrap/>
            <w:hideMark/>
          </w:tcPr>
          <w:p w14:paraId="43AC836D" w14:textId="77777777" w:rsidR="00D35CD9" w:rsidRPr="0039091F" w:rsidRDefault="00D35CD9" w:rsidP="000A5389">
            <w:pPr>
              <w:spacing w:line="240" w:lineRule="auto"/>
              <w:rPr>
                <w:rFonts w:eastAsia="Times New Roman" w:cs="Times New Roman"/>
                <w:color w:val="000000"/>
                <w:sz w:val="18"/>
                <w:szCs w:val="18"/>
                <w:lang w:eastAsia="es-CO"/>
              </w:rPr>
            </w:pPr>
            <w:r w:rsidRPr="0039091F">
              <w:rPr>
                <w:rFonts w:eastAsia="Times New Roman" w:cs="Times New Roman"/>
                <w:color w:val="000000"/>
                <w:sz w:val="18"/>
                <w:szCs w:val="18"/>
                <w:lang w:eastAsia="es-CO"/>
              </w:rPr>
              <w:t>Autopistas de La Sabana S.A.S</w:t>
            </w:r>
          </w:p>
        </w:tc>
        <w:tc>
          <w:tcPr>
            <w:tcW w:w="1723" w:type="dxa"/>
            <w:noWrap/>
            <w:hideMark/>
          </w:tcPr>
          <w:p w14:paraId="4C3AC756" w14:textId="77777777" w:rsidR="00D35CD9" w:rsidRPr="0039091F" w:rsidRDefault="00D35CD9" w:rsidP="000A5389">
            <w:pPr>
              <w:spacing w:line="240" w:lineRule="auto"/>
              <w:jc w:val="right"/>
              <w:rPr>
                <w:rFonts w:eastAsia="Times New Roman" w:cs="Times New Roman"/>
                <w:color w:val="000000"/>
                <w:sz w:val="18"/>
                <w:szCs w:val="18"/>
                <w:lang w:eastAsia="es-CO"/>
              </w:rPr>
            </w:pPr>
            <w:r w:rsidRPr="0039091F">
              <w:rPr>
                <w:rFonts w:eastAsia="Times New Roman" w:cs="Times New Roman"/>
                <w:color w:val="000000"/>
                <w:sz w:val="18"/>
                <w:szCs w:val="18"/>
                <w:lang w:eastAsia="es-CO"/>
              </w:rPr>
              <w:t>0</w:t>
            </w:r>
          </w:p>
        </w:tc>
        <w:tc>
          <w:tcPr>
            <w:tcW w:w="1540" w:type="dxa"/>
            <w:noWrap/>
            <w:hideMark/>
          </w:tcPr>
          <w:p w14:paraId="05FE06D0" w14:textId="77777777" w:rsidR="00D35CD9" w:rsidRPr="0039091F" w:rsidRDefault="00D35CD9" w:rsidP="000A5389">
            <w:pPr>
              <w:spacing w:line="240" w:lineRule="auto"/>
              <w:jc w:val="right"/>
              <w:rPr>
                <w:rFonts w:eastAsia="Times New Roman" w:cs="Times New Roman"/>
                <w:color w:val="000000"/>
                <w:sz w:val="18"/>
                <w:szCs w:val="18"/>
                <w:lang w:eastAsia="es-CO"/>
              </w:rPr>
            </w:pPr>
            <w:r w:rsidRPr="0039091F">
              <w:rPr>
                <w:rFonts w:eastAsia="Times New Roman" w:cs="Times New Roman"/>
                <w:color w:val="000000"/>
                <w:sz w:val="18"/>
                <w:szCs w:val="18"/>
                <w:lang w:eastAsia="es-CO"/>
              </w:rPr>
              <w:t>23.459.945.087</w:t>
            </w:r>
          </w:p>
        </w:tc>
        <w:tc>
          <w:tcPr>
            <w:tcW w:w="1601" w:type="dxa"/>
            <w:noWrap/>
            <w:hideMark/>
          </w:tcPr>
          <w:p w14:paraId="7D58017F" w14:textId="77777777" w:rsidR="00D35CD9" w:rsidRPr="0039091F" w:rsidRDefault="00D35CD9" w:rsidP="000A5389">
            <w:pPr>
              <w:spacing w:line="240" w:lineRule="auto"/>
              <w:jc w:val="right"/>
              <w:rPr>
                <w:rFonts w:eastAsia="Times New Roman" w:cs="Times New Roman"/>
                <w:color w:val="000000"/>
                <w:sz w:val="18"/>
                <w:szCs w:val="18"/>
                <w:lang w:eastAsia="es-CO"/>
              </w:rPr>
            </w:pPr>
            <w:r w:rsidRPr="0039091F">
              <w:rPr>
                <w:rFonts w:eastAsia="Times New Roman" w:cs="Times New Roman"/>
                <w:color w:val="000000"/>
                <w:sz w:val="18"/>
                <w:szCs w:val="18"/>
                <w:lang w:eastAsia="es-CO"/>
              </w:rPr>
              <w:t>-23.459.945.087</w:t>
            </w:r>
          </w:p>
        </w:tc>
      </w:tr>
      <w:tr w:rsidR="00D35CD9" w:rsidRPr="0039091F" w14:paraId="45C14F11" w14:textId="77777777" w:rsidTr="00F45D5E">
        <w:trPr>
          <w:trHeight w:val="293"/>
        </w:trPr>
        <w:tc>
          <w:tcPr>
            <w:tcW w:w="1162" w:type="dxa"/>
            <w:noWrap/>
            <w:hideMark/>
          </w:tcPr>
          <w:p w14:paraId="57B17890" w14:textId="77777777" w:rsidR="00D35CD9" w:rsidRPr="0039091F" w:rsidRDefault="00D35CD9" w:rsidP="000A5389">
            <w:pPr>
              <w:spacing w:line="240" w:lineRule="auto"/>
              <w:jc w:val="right"/>
              <w:rPr>
                <w:rFonts w:eastAsia="Times New Roman" w:cs="Times New Roman"/>
                <w:color w:val="000000"/>
                <w:sz w:val="18"/>
                <w:szCs w:val="18"/>
                <w:lang w:eastAsia="es-CO"/>
              </w:rPr>
            </w:pPr>
            <w:r w:rsidRPr="0039091F">
              <w:rPr>
                <w:rFonts w:eastAsia="Times New Roman" w:cs="Times New Roman"/>
                <w:color w:val="000000"/>
                <w:sz w:val="18"/>
                <w:szCs w:val="18"/>
                <w:lang w:eastAsia="es-CO"/>
              </w:rPr>
              <w:t>900162704</w:t>
            </w:r>
          </w:p>
        </w:tc>
        <w:tc>
          <w:tcPr>
            <w:tcW w:w="2802" w:type="dxa"/>
            <w:noWrap/>
            <w:hideMark/>
          </w:tcPr>
          <w:p w14:paraId="4E6B0D92" w14:textId="77777777" w:rsidR="00D35CD9" w:rsidRPr="0039091F" w:rsidRDefault="00D35CD9" w:rsidP="000A5389">
            <w:pPr>
              <w:spacing w:line="240" w:lineRule="auto"/>
              <w:rPr>
                <w:rFonts w:eastAsia="Times New Roman" w:cs="Times New Roman"/>
                <w:color w:val="000000"/>
                <w:sz w:val="18"/>
                <w:szCs w:val="18"/>
                <w:lang w:eastAsia="es-CO"/>
              </w:rPr>
            </w:pPr>
            <w:r w:rsidRPr="0039091F">
              <w:rPr>
                <w:rFonts w:eastAsia="Times New Roman" w:cs="Times New Roman"/>
                <w:color w:val="000000"/>
                <w:sz w:val="18"/>
                <w:szCs w:val="18"/>
                <w:lang w:eastAsia="es-CO"/>
              </w:rPr>
              <w:t>Concesionaria San Simón S A</w:t>
            </w:r>
          </w:p>
        </w:tc>
        <w:tc>
          <w:tcPr>
            <w:tcW w:w="1723" w:type="dxa"/>
            <w:noWrap/>
            <w:hideMark/>
          </w:tcPr>
          <w:p w14:paraId="7BF46B09" w14:textId="77777777" w:rsidR="00D35CD9" w:rsidRPr="0039091F" w:rsidRDefault="00D35CD9" w:rsidP="000A5389">
            <w:pPr>
              <w:spacing w:line="240" w:lineRule="auto"/>
              <w:jc w:val="right"/>
              <w:rPr>
                <w:rFonts w:eastAsia="Times New Roman" w:cs="Times New Roman"/>
                <w:color w:val="000000"/>
                <w:sz w:val="18"/>
                <w:szCs w:val="18"/>
                <w:lang w:eastAsia="es-CO"/>
              </w:rPr>
            </w:pPr>
            <w:r w:rsidRPr="0039091F">
              <w:rPr>
                <w:rFonts w:eastAsia="Times New Roman" w:cs="Times New Roman"/>
                <w:color w:val="000000"/>
                <w:sz w:val="18"/>
                <w:szCs w:val="18"/>
                <w:lang w:eastAsia="es-CO"/>
              </w:rPr>
              <w:t>0</w:t>
            </w:r>
          </w:p>
        </w:tc>
        <w:tc>
          <w:tcPr>
            <w:tcW w:w="1540" w:type="dxa"/>
            <w:noWrap/>
            <w:hideMark/>
          </w:tcPr>
          <w:p w14:paraId="6ABB1FAB" w14:textId="77777777" w:rsidR="00D35CD9" w:rsidRPr="0039091F" w:rsidRDefault="00D35CD9" w:rsidP="000A5389">
            <w:pPr>
              <w:spacing w:line="240" w:lineRule="auto"/>
              <w:jc w:val="right"/>
              <w:rPr>
                <w:rFonts w:eastAsia="Times New Roman" w:cs="Times New Roman"/>
                <w:color w:val="000000"/>
                <w:sz w:val="18"/>
                <w:szCs w:val="18"/>
                <w:lang w:eastAsia="es-CO"/>
              </w:rPr>
            </w:pPr>
            <w:r w:rsidRPr="0039091F">
              <w:rPr>
                <w:rFonts w:eastAsia="Times New Roman" w:cs="Times New Roman"/>
                <w:color w:val="000000"/>
                <w:sz w:val="18"/>
                <w:szCs w:val="18"/>
                <w:lang w:eastAsia="es-CO"/>
              </w:rPr>
              <w:t>20.464.980.598</w:t>
            </w:r>
          </w:p>
        </w:tc>
        <w:tc>
          <w:tcPr>
            <w:tcW w:w="1601" w:type="dxa"/>
            <w:noWrap/>
            <w:hideMark/>
          </w:tcPr>
          <w:p w14:paraId="27BAD670" w14:textId="77777777" w:rsidR="00D35CD9" w:rsidRPr="0039091F" w:rsidRDefault="00D35CD9" w:rsidP="000A5389">
            <w:pPr>
              <w:spacing w:line="240" w:lineRule="auto"/>
              <w:jc w:val="right"/>
              <w:rPr>
                <w:rFonts w:eastAsia="Times New Roman" w:cs="Times New Roman"/>
                <w:color w:val="000000"/>
                <w:sz w:val="18"/>
                <w:szCs w:val="18"/>
                <w:lang w:eastAsia="es-CO"/>
              </w:rPr>
            </w:pPr>
            <w:r w:rsidRPr="0039091F">
              <w:rPr>
                <w:rFonts w:eastAsia="Times New Roman" w:cs="Times New Roman"/>
                <w:color w:val="000000"/>
                <w:sz w:val="18"/>
                <w:szCs w:val="18"/>
                <w:lang w:eastAsia="es-CO"/>
              </w:rPr>
              <w:t>-20.464.980.598</w:t>
            </w:r>
          </w:p>
        </w:tc>
      </w:tr>
      <w:tr w:rsidR="00D35CD9" w:rsidRPr="0039091F" w14:paraId="4E634171" w14:textId="77777777" w:rsidTr="00F45D5E">
        <w:trPr>
          <w:trHeight w:val="293"/>
        </w:trPr>
        <w:tc>
          <w:tcPr>
            <w:tcW w:w="1162" w:type="dxa"/>
            <w:noWrap/>
            <w:hideMark/>
          </w:tcPr>
          <w:p w14:paraId="24032ADA" w14:textId="77777777" w:rsidR="00D35CD9" w:rsidRPr="0039091F" w:rsidRDefault="00D35CD9" w:rsidP="000A5389">
            <w:pPr>
              <w:spacing w:line="240" w:lineRule="auto"/>
              <w:jc w:val="right"/>
              <w:rPr>
                <w:rFonts w:eastAsia="Times New Roman" w:cs="Times New Roman"/>
                <w:color w:val="000000"/>
                <w:sz w:val="18"/>
                <w:szCs w:val="18"/>
                <w:lang w:eastAsia="es-CO"/>
              </w:rPr>
            </w:pPr>
            <w:r w:rsidRPr="0039091F">
              <w:rPr>
                <w:rFonts w:eastAsia="Times New Roman" w:cs="Times New Roman"/>
                <w:color w:val="000000"/>
                <w:sz w:val="18"/>
                <w:szCs w:val="18"/>
                <w:lang w:eastAsia="es-CO"/>
              </w:rPr>
              <w:lastRenderedPageBreak/>
              <w:t>900972713</w:t>
            </w:r>
          </w:p>
        </w:tc>
        <w:tc>
          <w:tcPr>
            <w:tcW w:w="2802" w:type="dxa"/>
            <w:noWrap/>
            <w:hideMark/>
          </w:tcPr>
          <w:p w14:paraId="288FA159" w14:textId="77777777" w:rsidR="00D35CD9" w:rsidRPr="0039091F" w:rsidRDefault="00D35CD9" w:rsidP="000A5389">
            <w:pPr>
              <w:spacing w:line="240" w:lineRule="auto"/>
              <w:rPr>
                <w:rFonts w:eastAsia="Times New Roman" w:cs="Times New Roman"/>
                <w:color w:val="000000"/>
                <w:sz w:val="18"/>
                <w:szCs w:val="18"/>
                <w:lang w:eastAsia="es-CO"/>
              </w:rPr>
            </w:pPr>
            <w:r w:rsidRPr="0039091F">
              <w:rPr>
                <w:rFonts w:eastAsia="Times New Roman" w:cs="Times New Roman"/>
                <w:color w:val="000000"/>
                <w:sz w:val="18"/>
                <w:szCs w:val="18"/>
                <w:lang w:eastAsia="es-CO"/>
              </w:rPr>
              <w:t>Autovía Bucaramanga Pamplona S.A.S</w:t>
            </w:r>
          </w:p>
        </w:tc>
        <w:tc>
          <w:tcPr>
            <w:tcW w:w="1723" w:type="dxa"/>
            <w:noWrap/>
            <w:hideMark/>
          </w:tcPr>
          <w:p w14:paraId="292D96FE" w14:textId="77777777" w:rsidR="00D35CD9" w:rsidRPr="0039091F" w:rsidRDefault="00D35CD9" w:rsidP="000A5389">
            <w:pPr>
              <w:spacing w:line="240" w:lineRule="auto"/>
              <w:jc w:val="right"/>
              <w:rPr>
                <w:rFonts w:eastAsia="Times New Roman" w:cs="Times New Roman"/>
                <w:color w:val="000000"/>
                <w:sz w:val="18"/>
                <w:szCs w:val="18"/>
                <w:lang w:eastAsia="es-CO"/>
              </w:rPr>
            </w:pPr>
            <w:r w:rsidRPr="0039091F">
              <w:rPr>
                <w:rFonts w:eastAsia="Times New Roman" w:cs="Times New Roman"/>
                <w:color w:val="000000"/>
                <w:sz w:val="18"/>
                <w:szCs w:val="18"/>
                <w:lang w:eastAsia="es-CO"/>
              </w:rPr>
              <w:t>0</w:t>
            </w:r>
          </w:p>
        </w:tc>
        <w:tc>
          <w:tcPr>
            <w:tcW w:w="1540" w:type="dxa"/>
            <w:noWrap/>
            <w:hideMark/>
          </w:tcPr>
          <w:p w14:paraId="550668F0" w14:textId="77777777" w:rsidR="00D35CD9" w:rsidRPr="0039091F" w:rsidRDefault="00D35CD9" w:rsidP="000A5389">
            <w:pPr>
              <w:spacing w:line="240" w:lineRule="auto"/>
              <w:jc w:val="right"/>
              <w:rPr>
                <w:rFonts w:eastAsia="Times New Roman" w:cs="Times New Roman"/>
                <w:color w:val="000000"/>
                <w:sz w:val="18"/>
                <w:szCs w:val="18"/>
                <w:lang w:eastAsia="es-CO"/>
              </w:rPr>
            </w:pPr>
            <w:r w:rsidRPr="0039091F">
              <w:rPr>
                <w:rFonts w:eastAsia="Times New Roman" w:cs="Times New Roman"/>
                <w:color w:val="000000"/>
                <w:sz w:val="18"/>
                <w:szCs w:val="18"/>
                <w:lang w:eastAsia="es-CO"/>
              </w:rPr>
              <w:t>42.203.405.369</w:t>
            </w:r>
          </w:p>
        </w:tc>
        <w:tc>
          <w:tcPr>
            <w:tcW w:w="1601" w:type="dxa"/>
            <w:noWrap/>
            <w:hideMark/>
          </w:tcPr>
          <w:p w14:paraId="71F490C8" w14:textId="77777777" w:rsidR="00D35CD9" w:rsidRPr="0039091F" w:rsidRDefault="00D35CD9" w:rsidP="000A5389">
            <w:pPr>
              <w:spacing w:line="240" w:lineRule="auto"/>
              <w:jc w:val="right"/>
              <w:rPr>
                <w:rFonts w:eastAsia="Times New Roman" w:cs="Times New Roman"/>
                <w:color w:val="000000"/>
                <w:sz w:val="18"/>
                <w:szCs w:val="18"/>
                <w:lang w:eastAsia="es-CO"/>
              </w:rPr>
            </w:pPr>
            <w:r w:rsidRPr="0039091F">
              <w:rPr>
                <w:rFonts w:eastAsia="Times New Roman" w:cs="Times New Roman"/>
                <w:color w:val="000000"/>
                <w:sz w:val="18"/>
                <w:szCs w:val="18"/>
                <w:lang w:eastAsia="es-CO"/>
              </w:rPr>
              <w:t>-42.203.405.369</w:t>
            </w:r>
          </w:p>
        </w:tc>
      </w:tr>
      <w:tr w:rsidR="00D35CD9" w:rsidRPr="0039091F" w14:paraId="3AC418F1" w14:textId="77777777" w:rsidTr="00F45D5E">
        <w:trPr>
          <w:trHeight w:val="293"/>
        </w:trPr>
        <w:tc>
          <w:tcPr>
            <w:tcW w:w="3964" w:type="dxa"/>
            <w:gridSpan w:val="2"/>
            <w:noWrap/>
            <w:hideMark/>
          </w:tcPr>
          <w:p w14:paraId="50D25E65" w14:textId="77777777" w:rsidR="00D35CD9" w:rsidRPr="0039091F" w:rsidRDefault="00D35CD9" w:rsidP="000A5389">
            <w:pPr>
              <w:spacing w:line="240" w:lineRule="auto"/>
              <w:jc w:val="center"/>
              <w:rPr>
                <w:rFonts w:eastAsia="Times New Roman" w:cs="Times New Roman"/>
                <w:b/>
                <w:bCs/>
                <w:color w:val="000000"/>
                <w:sz w:val="18"/>
                <w:szCs w:val="18"/>
                <w:lang w:eastAsia="es-CO"/>
              </w:rPr>
            </w:pPr>
            <w:r w:rsidRPr="0039091F">
              <w:rPr>
                <w:rFonts w:eastAsia="Times New Roman" w:cs="Times New Roman"/>
                <w:b/>
                <w:bCs/>
                <w:color w:val="000000"/>
                <w:sz w:val="18"/>
                <w:szCs w:val="18"/>
                <w:lang w:eastAsia="es-CO"/>
              </w:rPr>
              <w:t>TOTAL</w:t>
            </w:r>
          </w:p>
        </w:tc>
        <w:tc>
          <w:tcPr>
            <w:tcW w:w="1723" w:type="dxa"/>
            <w:noWrap/>
            <w:hideMark/>
          </w:tcPr>
          <w:p w14:paraId="317C3A6F" w14:textId="77777777" w:rsidR="00D35CD9" w:rsidRPr="0039091F" w:rsidRDefault="00D35CD9" w:rsidP="000A5389">
            <w:pPr>
              <w:spacing w:line="240" w:lineRule="auto"/>
              <w:jc w:val="right"/>
              <w:rPr>
                <w:rFonts w:eastAsia="Times New Roman" w:cs="Times New Roman"/>
                <w:b/>
                <w:bCs/>
                <w:color w:val="000000"/>
                <w:sz w:val="18"/>
                <w:szCs w:val="18"/>
                <w:lang w:eastAsia="es-CO"/>
              </w:rPr>
            </w:pPr>
            <w:r w:rsidRPr="0039091F">
              <w:rPr>
                <w:rFonts w:eastAsia="Times New Roman" w:cs="Times New Roman"/>
                <w:b/>
                <w:bCs/>
                <w:color w:val="000000"/>
                <w:sz w:val="18"/>
                <w:szCs w:val="18"/>
                <w:lang w:eastAsia="es-CO"/>
              </w:rPr>
              <w:t>24.202.964.086.398</w:t>
            </w:r>
          </w:p>
        </w:tc>
        <w:tc>
          <w:tcPr>
            <w:tcW w:w="1540" w:type="dxa"/>
            <w:noWrap/>
            <w:hideMark/>
          </w:tcPr>
          <w:p w14:paraId="05DA83D4" w14:textId="77777777" w:rsidR="00D35CD9" w:rsidRPr="0039091F" w:rsidRDefault="00D35CD9" w:rsidP="000A5389">
            <w:pPr>
              <w:spacing w:line="240" w:lineRule="auto"/>
              <w:jc w:val="right"/>
              <w:rPr>
                <w:rFonts w:eastAsia="Times New Roman" w:cs="Times New Roman"/>
                <w:b/>
                <w:bCs/>
                <w:color w:val="000000"/>
                <w:sz w:val="18"/>
                <w:szCs w:val="18"/>
                <w:lang w:eastAsia="es-CO"/>
              </w:rPr>
            </w:pPr>
            <w:r w:rsidRPr="0039091F">
              <w:rPr>
                <w:rFonts w:eastAsia="Times New Roman" w:cs="Times New Roman"/>
                <w:b/>
                <w:bCs/>
                <w:color w:val="000000"/>
                <w:sz w:val="18"/>
                <w:szCs w:val="18"/>
                <w:lang w:eastAsia="es-CO"/>
              </w:rPr>
              <w:t>22.165.527.487.363</w:t>
            </w:r>
          </w:p>
        </w:tc>
        <w:tc>
          <w:tcPr>
            <w:tcW w:w="1601" w:type="dxa"/>
            <w:noWrap/>
            <w:hideMark/>
          </w:tcPr>
          <w:p w14:paraId="2B0004C7" w14:textId="77777777" w:rsidR="00D35CD9" w:rsidRPr="0039091F" w:rsidRDefault="00D35CD9" w:rsidP="000A5389">
            <w:pPr>
              <w:spacing w:line="240" w:lineRule="auto"/>
              <w:jc w:val="right"/>
              <w:rPr>
                <w:rFonts w:eastAsia="Times New Roman" w:cs="Times New Roman"/>
                <w:b/>
                <w:bCs/>
                <w:color w:val="000000"/>
                <w:sz w:val="18"/>
                <w:szCs w:val="18"/>
                <w:lang w:eastAsia="es-CO"/>
              </w:rPr>
            </w:pPr>
            <w:r w:rsidRPr="0039091F">
              <w:rPr>
                <w:rFonts w:eastAsia="Times New Roman" w:cs="Times New Roman"/>
                <w:b/>
                <w:bCs/>
                <w:color w:val="000000"/>
                <w:sz w:val="18"/>
                <w:szCs w:val="18"/>
                <w:lang w:eastAsia="es-CO"/>
              </w:rPr>
              <w:t>2.037.436.599.035</w:t>
            </w:r>
          </w:p>
        </w:tc>
      </w:tr>
    </w:tbl>
    <w:p w14:paraId="2B13BB4B" w14:textId="7FB82F5F" w:rsidR="009C07D5" w:rsidRPr="00951AB1" w:rsidRDefault="006E2DE7" w:rsidP="000A5389">
      <w:pPr>
        <w:spacing w:line="240" w:lineRule="auto"/>
        <w:rPr>
          <w:rFonts w:cs="Times New Roman"/>
          <w:sz w:val="16"/>
          <w:szCs w:val="16"/>
        </w:rPr>
      </w:pPr>
      <w:r w:rsidRPr="00951AB1">
        <w:rPr>
          <w:rFonts w:cs="Times New Roman"/>
          <w:sz w:val="16"/>
          <w:szCs w:val="16"/>
        </w:rPr>
        <w:t>Cifras expresadas en pesos</w:t>
      </w:r>
    </w:p>
    <w:p w14:paraId="51C0C2B7" w14:textId="77777777" w:rsidR="006E2DE7" w:rsidRPr="00951AB1" w:rsidRDefault="006E2DE7" w:rsidP="000A5389">
      <w:pPr>
        <w:spacing w:line="240" w:lineRule="auto"/>
        <w:rPr>
          <w:rFonts w:cs="Times New Roman"/>
        </w:rPr>
      </w:pPr>
    </w:p>
    <w:p w14:paraId="7C003C30" w14:textId="77777777" w:rsidR="00253285" w:rsidRPr="00951AB1" w:rsidRDefault="00253285" w:rsidP="000A5389">
      <w:pPr>
        <w:pStyle w:val="Textoindependiente"/>
        <w:spacing w:before="80" w:line="240" w:lineRule="auto"/>
        <w:ind w:left="24" w:right="-93"/>
      </w:pPr>
      <w:r w:rsidRPr="00951AB1">
        <w:t>El incremento del saldo por valor de $2.037.436.599.034 se sustenta en la actualización</w:t>
      </w:r>
      <w:r w:rsidR="000B3479" w:rsidRPr="00951AB1">
        <w:t xml:space="preserve"> </w:t>
      </w:r>
      <w:r w:rsidRPr="00951AB1">
        <w:t>del CAPEX y en la cuantificación del pasivo diferido al cierre de la vigencia 2025; por su parte, la disminución corresponde al reconocimiento de la amortización del pasivo, conforme al modelo financiero para propósitos contables – Informe de Inversión, cuya información es remitida a la Vicepresidencia de Gestión Corporativa por el área misional Vicepresidencia Ejecutiva.</w:t>
      </w:r>
    </w:p>
    <w:p w14:paraId="301202A9" w14:textId="77777777" w:rsidR="00253285" w:rsidRPr="00951AB1" w:rsidRDefault="00253285" w:rsidP="000A5389">
      <w:pPr>
        <w:pStyle w:val="Textoindependiente"/>
        <w:spacing w:line="240" w:lineRule="auto"/>
        <w:ind w:left="24" w:right="312"/>
        <w:rPr>
          <w:color w:val="EE0000"/>
        </w:rPr>
      </w:pPr>
    </w:p>
    <w:tbl>
      <w:tblPr>
        <w:tblW w:w="5000" w:type="pct"/>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CellMar>
          <w:left w:w="70" w:type="dxa"/>
          <w:right w:w="70" w:type="dxa"/>
        </w:tblCellMar>
        <w:tblLook w:val="04A0" w:firstRow="1" w:lastRow="0" w:firstColumn="1" w:lastColumn="0" w:noHBand="0" w:noVBand="1"/>
      </w:tblPr>
      <w:tblGrid>
        <w:gridCol w:w="1128"/>
        <w:gridCol w:w="3545"/>
        <w:gridCol w:w="1418"/>
        <w:gridCol w:w="1418"/>
        <w:gridCol w:w="1319"/>
      </w:tblGrid>
      <w:tr w:rsidR="000B3479" w:rsidRPr="0039091F" w14:paraId="2BBA61EE" w14:textId="77777777" w:rsidTr="00071A8A">
        <w:trPr>
          <w:trHeight w:val="285"/>
          <w:tblHeader/>
        </w:trPr>
        <w:tc>
          <w:tcPr>
            <w:tcW w:w="639" w:type="pct"/>
            <w:shd w:val="clear" w:color="000000" w:fill="FFFFFF"/>
            <w:noWrap/>
            <w:vAlign w:val="center"/>
            <w:hideMark/>
          </w:tcPr>
          <w:p w14:paraId="70A6B67B" w14:textId="77777777" w:rsidR="000B3479" w:rsidRPr="0039091F" w:rsidRDefault="000B3479" w:rsidP="000A5389">
            <w:pPr>
              <w:spacing w:line="240" w:lineRule="auto"/>
              <w:jc w:val="center"/>
              <w:rPr>
                <w:rFonts w:eastAsia="Times New Roman" w:cs="Times New Roman"/>
                <w:b/>
                <w:bCs/>
                <w:color w:val="000000"/>
                <w:kern w:val="0"/>
                <w:sz w:val="18"/>
                <w:szCs w:val="18"/>
                <w:lang w:eastAsia="es-CO"/>
                <w14:ligatures w14:val="none"/>
              </w:rPr>
            </w:pPr>
            <w:r w:rsidRPr="0039091F">
              <w:rPr>
                <w:rFonts w:eastAsia="Times New Roman" w:cs="Times New Roman"/>
                <w:b/>
                <w:bCs/>
                <w:color w:val="000000"/>
                <w:kern w:val="0"/>
                <w:sz w:val="18"/>
                <w:szCs w:val="18"/>
                <w:lang w:eastAsia="es-CO"/>
                <w14:ligatures w14:val="none"/>
              </w:rPr>
              <w:t>NIT</w:t>
            </w:r>
          </w:p>
        </w:tc>
        <w:tc>
          <w:tcPr>
            <w:tcW w:w="2008" w:type="pct"/>
            <w:shd w:val="clear" w:color="000000" w:fill="FFFFFF"/>
            <w:noWrap/>
            <w:vAlign w:val="center"/>
            <w:hideMark/>
          </w:tcPr>
          <w:p w14:paraId="46B37AC1" w14:textId="77777777" w:rsidR="000B3479" w:rsidRPr="0039091F" w:rsidRDefault="000B3479" w:rsidP="000A5389">
            <w:pPr>
              <w:spacing w:line="240" w:lineRule="auto"/>
              <w:jc w:val="center"/>
              <w:rPr>
                <w:rFonts w:eastAsia="Times New Roman" w:cs="Times New Roman"/>
                <w:b/>
                <w:bCs/>
                <w:color w:val="000000"/>
                <w:kern w:val="0"/>
                <w:sz w:val="18"/>
                <w:szCs w:val="18"/>
                <w:lang w:eastAsia="es-CO"/>
                <w14:ligatures w14:val="none"/>
              </w:rPr>
            </w:pPr>
            <w:r w:rsidRPr="0039091F">
              <w:rPr>
                <w:rFonts w:eastAsia="Times New Roman" w:cs="Times New Roman"/>
                <w:b/>
                <w:bCs/>
                <w:color w:val="000000"/>
                <w:kern w:val="0"/>
                <w:sz w:val="18"/>
                <w:szCs w:val="18"/>
                <w:lang w:eastAsia="es-CO"/>
                <w14:ligatures w14:val="none"/>
              </w:rPr>
              <w:t>TERCERO</w:t>
            </w:r>
          </w:p>
        </w:tc>
        <w:tc>
          <w:tcPr>
            <w:tcW w:w="803" w:type="pct"/>
            <w:shd w:val="clear" w:color="000000" w:fill="FFFFFF"/>
            <w:noWrap/>
            <w:vAlign w:val="center"/>
            <w:hideMark/>
          </w:tcPr>
          <w:p w14:paraId="6E791182" w14:textId="77777777" w:rsidR="000B3479" w:rsidRPr="0039091F" w:rsidRDefault="000B3479" w:rsidP="000A5389">
            <w:pPr>
              <w:spacing w:line="240" w:lineRule="auto"/>
              <w:jc w:val="center"/>
              <w:rPr>
                <w:rFonts w:eastAsia="Times New Roman" w:cs="Times New Roman"/>
                <w:b/>
                <w:bCs/>
                <w:color w:val="000000"/>
                <w:kern w:val="0"/>
                <w:sz w:val="18"/>
                <w:szCs w:val="18"/>
                <w:lang w:eastAsia="es-CO"/>
                <w14:ligatures w14:val="none"/>
              </w:rPr>
            </w:pPr>
            <w:r w:rsidRPr="0039091F">
              <w:rPr>
                <w:rFonts w:eastAsia="Times New Roman" w:cs="Times New Roman"/>
                <w:b/>
                <w:bCs/>
                <w:color w:val="000000"/>
                <w:kern w:val="0"/>
                <w:sz w:val="18"/>
                <w:szCs w:val="18"/>
                <w:lang w:eastAsia="es-CO"/>
                <w14:ligatures w14:val="none"/>
              </w:rPr>
              <w:t>AÑO 2025</w:t>
            </w:r>
          </w:p>
        </w:tc>
        <w:tc>
          <w:tcPr>
            <w:tcW w:w="803" w:type="pct"/>
            <w:shd w:val="clear" w:color="000000" w:fill="FFFFFF"/>
            <w:noWrap/>
            <w:vAlign w:val="center"/>
            <w:hideMark/>
          </w:tcPr>
          <w:p w14:paraId="35A1886F" w14:textId="77777777" w:rsidR="000B3479" w:rsidRPr="0039091F" w:rsidRDefault="000B3479" w:rsidP="000A5389">
            <w:pPr>
              <w:spacing w:line="240" w:lineRule="auto"/>
              <w:jc w:val="center"/>
              <w:rPr>
                <w:rFonts w:eastAsia="Times New Roman" w:cs="Times New Roman"/>
                <w:b/>
                <w:bCs/>
                <w:color w:val="000000"/>
                <w:kern w:val="0"/>
                <w:sz w:val="18"/>
                <w:szCs w:val="18"/>
                <w:lang w:eastAsia="es-CO"/>
                <w14:ligatures w14:val="none"/>
              </w:rPr>
            </w:pPr>
            <w:r w:rsidRPr="0039091F">
              <w:rPr>
                <w:rFonts w:eastAsia="Times New Roman" w:cs="Times New Roman"/>
                <w:b/>
                <w:bCs/>
                <w:color w:val="000000"/>
                <w:kern w:val="0"/>
                <w:sz w:val="18"/>
                <w:szCs w:val="18"/>
                <w:lang w:eastAsia="es-CO"/>
                <w14:ligatures w14:val="none"/>
              </w:rPr>
              <w:t>AÑO 2024</w:t>
            </w:r>
          </w:p>
        </w:tc>
        <w:tc>
          <w:tcPr>
            <w:tcW w:w="747" w:type="pct"/>
            <w:shd w:val="clear" w:color="000000" w:fill="FFFFFF"/>
            <w:noWrap/>
            <w:vAlign w:val="center"/>
            <w:hideMark/>
          </w:tcPr>
          <w:p w14:paraId="10FBECDC" w14:textId="77777777" w:rsidR="000B3479" w:rsidRPr="0039091F" w:rsidRDefault="000B3479" w:rsidP="000A5389">
            <w:pPr>
              <w:spacing w:line="240" w:lineRule="auto"/>
              <w:jc w:val="center"/>
              <w:rPr>
                <w:rFonts w:eastAsia="Times New Roman" w:cs="Times New Roman"/>
                <w:b/>
                <w:bCs/>
                <w:color w:val="000000"/>
                <w:kern w:val="0"/>
                <w:sz w:val="18"/>
                <w:szCs w:val="18"/>
                <w:lang w:eastAsia="es-CO"/>
                <w14:ligatures w14:val="none"/>
              </w:rPr>
            </w:pPr>
            <w:r w:rsidRPr="0039091F">
              <w:rPr>
                <w:rFonts w:eastAsia="Times New Roman" w:cs="Times New Roman"/>
                <w:b/>
                <w:bCs/>
                <w:color w:val="000000"/>
                <w:kern w:val="0"/>
                <w:sz w:val="18"/>
                <w:szCs w:val="18"/>
                <w:lang w:eastAsia="es-CO"/>
                <w14:ligatures w14:val="none"/>
              </w:rPr>
              <w:t>VARIACION</w:t>
            </w:r>
          </w:p>
        </w:tc>
      </w:tr>
      <w:tr w:rsidR="000B3479" w:rsidRPr="0039091F" w14:paraId="3A639FD3" w14:textId="77777777" w:rsidTr="00071A8A">
        <w:trPr>
          <w:trHeight w:val="285"/>
        </w:trPr>
        <w:tc>
          <w:tcPr>
            <w:tcW w:w="639" w:type="pct"/>
            <w:shd w:val="clear" w:color="000000" w:fill="FFFFFF"/>
            <w:noWrap/>
            <w:vAlign w:val="center"/>
            <w:hideMark/>
          </w:tcPr>
          <w:p w14:paraId="284BAF2B" w14:textId="77777777" w:rsidR="000B3479" w:rsidRPr="0039091F" w:rsidRDefault="000B3479" w:rsidP="000A5389">
            <w:pPr>
              <w:spacing w:line="240" w:lineRule="auto"/>
              <w:jc w:val="right"/>
              <w:rPr>
                <w:rFonts w:eastAsia="Times New Roman" w:cs="Times New Roman"/>
                <w:color w:val="000000"/>
                <w:kern w:val="0"/>
                <w:sz w:val="18"/>
                <w:szCs w:val="18"/>
                <w:lang w:eastAsia="es-CO"/>
                <w14:ligatures w14:val="none"/>
              </w:rPr>
            </w:pPr>
            <w:r w:rsidRPr="0039091F">
              <w:rPr>
                <w:rFonts w:eastAsia="Times New Roman" w:cs="Times New Roman"/>
                <w:color w:val="000000"/>
                <w:kern w:val="0"/>
                <w:sz w:val="18"/>
                <w:szCs w:val="18"/>
                <w:lang w:eastAsia="es-CO"/>
                <w14:ligatures w14:val="none"/>
              </w:rPr>
              <w:t>900188593</w:t>
            </w:r>
          </w:p>
        </w:tc>
        <w:tc>
          <w:tcPr>
            <w:tcW w:w="2008" w:type="pct"/>
            <w:shd w:val="clear" w:color="000000" w:fill="FFFFFF"/>
            <w:noWrap/>
            <w:vAlign w:val="center"/>
            <w:hideMark/>
          </w:tcPr>
          <w:p w14:paraId="7A8BD7F0" w14:textId="77777777" w:rsidR="000B3479" w:rsidRPr="0039091F" w:rsidRDefault="000B3479" w:rsidP="000A5389">
            <w:pPr>
              <w:spacing w:line="240" w:lineRule="auto"/>
              <w:rPr>
                <w:rFonts w:eastAsia="Times New Roman" w:cs="Times New Roman"/>
                <w:color w:val="000000"/>
                <w:kern w:val="0"/>
                <w:sz w:val="18"/>
                <w:szCs w:val="18"/>
                <w:lang w:eastAsia="es-CO"/>
                <w14:ligatures w14:val="none"/>
              </w:rPr>
            </w:pPr>
            <w:r w:rsidRPr="0039091F">
              <w:rPr>
                <w:rFonts w:eastAsia="Times New Roman" w:cs="Times New Roman"/>
                <w:color w:val="000000"/>
                <w:kern w:val="0"/>
                <w:sz w:val="18"/>
                <w:szCs w:val="18"/>
                <w:lang w:eastAsia="es-CO"/>
                <w14:ligatures w14:val="none"/>
              </w:rPr>
              <w:t>Puerto Bahia Colombia de Urabá Sa</w:t>
            </w:r>
          </w:p>
        </w:tc>
        <w:tc>
          <w:tcPr>
            <w:tcW w:w="803" w:type="pct"/>
            <w:shd w:val="clear" w:color="000000" w:fill="FFFFFF"/>
            <w:noWrap/>
            <w:vAlign w:val="center"/>
            <w:hideMark/>
          </w:tcPr>
          <w:p w14:paraId="61E811CA" w14:textId="77777777" w:rsidR="000B3479" w:rsidRPr="0039091F" w:rsidRDefault="000B3479" w:rsidP="000A5389">
            <w:pPr>
              <w:spacing w:line="240" w:lineRule="auto"/>
              <w:jc w:val="right"/>
              <w:rPr>
                <w:rFonts w:eastAsia="Times New Roman" w:cs="Times New Roman"/>
                <w:color w:val="000000"/>
                <w:kern w:val="0"/>
                <w:sz w:val="18"/>
                <w:szCs w:val="18"/>
                <w:lang w:eastAsia="es-CO"/>
                <w14:ligatures w14:val="none"/>
              </w:rPr>
            </w:pPr>
            <w:r w:rsidRPr="0039091F">
              <w:rPr>
                <w:rFonts w:eastAsia="Times New Roman" w:cs="Times New Roman"/>
                <w:color w:val="000000"/>
                <w:kern w:val="0"/>
                <w:sz w:val="18"/>
                <w:szCs w:val="18"/>
                <w:lang w:eastAsia="es-CO"/>
                <w14:ligatures w14:val="none"/>
              </w:rPr>
              <w:t>1.604.589.703.359</w:t>
            </w:r>
          </w:p>
        </w:tc>
        <w:tc>
          <w:tcPr>
            <w:tcW w:w="803" w:type="pct"/>
            <w:shd w:val="clear" w:color="000000" w:fill="FFFFFF"/>
            <w:noWrap/>
            <w:vAlign w:val="center"/>
            <w:hideMark/>
          </w:tcPr>
          <w:p w14:paraId="1EFF591D" w14:textId="77777777" w:rsidR="000B3479" w:rsidRPr="0039091F" w:rsidRDefault="000B3479" w:rsidP="000A5389">
            <w:pPr>
              <w:spacing w:line="240" w:lineRule="auto"/>
              <w:jc w:val="right"/>
              <w:rPr>
                <w:rFonts w:eastAsia="Times New Roman" w:cs="Times New Roman"/>
                <w:color w:val="000000"/>
                <w:kern w:val="0"/>
                <w:sz w:val="18"/>
                <w:szCs w:val="18"/>
                <w:lang w:eastAsia="es-CO"/>
                <w14:ligatures w14:val="none"/>
              </w:rPr>
            </w:pPr>
            <w:r w:rsidRPr="0039091F">
              <w:rPr>
                <w:rFonts w:eastAsia="Times New Roman" w:cs="Times New Roman"/>
                <w:color w:val="000000"/>
                <w:kern w:val="0"/>
                <w:sz w:val="18"/>
                <w:szCs w:val="18"/>
                <w:lang w:eastAsia="es-CO"/>
                <w14:ligatures w14:val="none"/>
              </w:rPr>
              <w:t>1.157.400.264.008</w:t>
            </w:r>
          </w:p>
        </w:tc>
        <w:tc>
          <w:tcPr>
            <w:tcW w:w="747" w:type="pct"/>
            <w:shd w:val="clear" w:color="000000" w:fill="FFFFFF"/>
            <w:noWrap/>
            <w:vAlign w:val="center"/>
            <w:hideMark/>
          </w:tcPr>
          <w:p w14:paraId="450A6223" w14:textId="77777777" w:rsidR="000B3479" w:rsidRPr="0039091F" w:rsidRDefault="000B3479" w:rsidP="000A5389">
            <w:pPr>
              <w:spacing w:line="240" w:lineRule="auto"/>
              <w:jc w:val="right"/>
              <w:rPr>
                <w:rFonts w:eastAsia="Times New Roman" w:cs="Times New Roman"/>
                <w:color w:val="000000"/>
                <w:kern w:val="0"/>
                <w:sz w:val="18"/>
                <w:szCs w:val="18"/>
                <w:lang w:eastAsia="es-CO"/>
                <w14:ligatures w14:val="none"/>
              </w:rPr>
            </w:pPr>
            <w:r w:rsidRPr="0039091F">
              <w:rPr>
                <w:rFonts w:eastAsia="Times New Roman" w:cs="Times New Roman"/>
                <w:color w:val="000000"/>
                <w:kern w:val="0"/>
                <w:sz w:val="18"/>
                <w:szCs w:val="18"/>
                <w:lang w:eastAsia="es-CO"/>
                <w14:ligatures w14:val="none"/>
              </w:rPr>
              <w:t>447.189.439.351</w:t>
            </w:r>
          </w:p>
        </w:tc>
      </w:tr>
      <w:tr w:rsidR="000B3479" w:rsidRPr="0039091F" w14:paraId="1A28115F" w14:textId="77777777" w:rsidTr="00071A8A">
        <w:trPr>
          <w:trHeight w:val="285"/>
        </w:trPr>
        <w:tc>
          <w:tcPr>
            <w:tcW w:w="639" w:type="pct"/>
            <w:shd w:val="clear" w:color="000000" w:fill="FFFFFF"/>
            <w:noWrap/>
            <w:vAlign w:val="center"/>
            <w:hideMark/>
          </w:tcPr>
          <w:p w14:paraId="1AF72398" w14:textId="77777777" w:rsidR="000B3479" w:rsidRPr="0039091F" w:rsidRDefault="000B3479" w:rsidP="000A5389">
            <w:pPr>
              <w:spacing w:line="240" w:lineRule="auto"/>
              <w:jc w:val="right"/>
              <w:rPr>
                <w:rFonts w:eastAsia="Times New Roman" w:cs="Times New Roman"/>
                <w:color w:val="000000"/>
                <w:kern w:val="0"/>
                <w:sz w:val="18"/>
                <w:szCs w:val="18"/>
                <w:lang w:eastAsia="es-CO"/>
                <w14:ligatures w14:val="none"/>
              </w:rPr>
            </w:pPr>
            <w:r w:rsidRPr="0039091F">
              <w:rPr>
                <w:rFonts w:eastAsia="Times New Roman" w:cs="Times New Roman"/>
                <w:color w:val="000000"/>
                <w:kern w:val="0"/>
                <w:sz w:val="18"/>
                <w:szCs w:val="18"/>
                <w:lang w:eastAsia="es-CO"/>
                <w14:ligatures w14:val="none"/>
              </w:rPr>
              <w:t>835000149</w:t>
            </w:r>
          </w:p>
        </w:tc>
        <w:tc>
          <w:tcPr>
            <w:tcW w:w="2008" w:type="pct"/>
            <w:shd w:val="clear" w:color="000000" w:fill="FFFFFF"/>
            <w:noWrap/>
            <w:vAlign w:val="center"/>
            <w:hideMark/>
          </w:tcPr>
          <w:p w14:paraId="161D2BB4" w14:textId="517EF6B6" w:rsidR="000B3479" w:rsidRPr="0039091F" w:rsidRDefault="000B3479" w:rsidP="000A5389">
            <w:pPr>
              <w:spacing w:line="240" w:lineRule="auto"/>
              <w:rPr>
                <w:rFonts w:eastAsia="Times New Roman" w:cs="Times New Roman"/>
                <w:color w:val="000000"/>
                <w:kern w:val="0"/>
                <w:sz w:val="18"/>
                <w:szCs w:val="18"/>
                <w:lang w:eastAsia="es-CO"/>
                <w14:ligatures w14:val="none"/>
              </w:rPr>
            </w:pPr>
            <w:r w:rsidRPr="0039091F">
              <w:rPr>
                <w:rFonts w:eastAsia="Times New Roman" w:cs="Times New Roman"/>
                <w:color w:val="000000"/>
                <w:kern w:val="0"/>
                <w:sz w:val="18"/>
                <w:szCs w:val="18"/>
                <w:lang w:eastAsia="es-CO"/>
                <w14:ligatures w14:val="none"/>
              </w:rPr>
              <w:t>Sociedad Puerto Industrial Aguadulce S.A.</w:t>
            </w:r>
          </w:p>
        </w:tc>
        <w:tc>
          <w:tcPr>
            <w:tcW w:w="803" w:type="pct"/>
            <w:shd w:val="clear" w:color="000000" w:fill="FFFFFF"/>
            <w:noWrap/>
            <w:vAlign w:val="center"/>
            <w:hideMark/>
          </w:tcPr>
          <w:p w14:paraId="782255AE" w14:textId="77777777" w:rsidR="000B3479" w:rsidRPr="0039091F" w:rsidRDefault="000B3479" w:rsidP="000A5389">
            <w:pPr>
              <w:spacing w:line="240" w:lineRule="auto"/>
              <w:jc w:val="right"/>
              <w:rPr>
                <w:rFonts w:eastAsia="Times New Roman" w:cs="Times New Roman"/>
                <w:color w:val="000000"/>
                <w:kern w:val="0"/>
                <w:sz w:val="18"/>
                <w:szCs w:val="18"/>
                <w:lang w:eastAsia="es-CO"/>
                <w14:ligatures w14:val="none"/>
              </w:rPr>
            </w:pPr>
            <w:r w:rsidRPr="0039091F">
              <w:rPr>
                <w:rFonts w:eastAsia="Times New Roman" w:cs="Times New Roman"/>
                <w:color w:val="000000"/>
                <w:kern w:val="0"/>
                <w:sz w:val="18"/>
                <w:szCs w:val="18"/>
                <w:lang w:eastAsia="es-CO"/>
                <w14:ligatures w14:val="none"/>
              </w:rPr>
              <w:t>826.886.762.965</w:t>
            </w:r>
          </w:p>
        </w:tc>
        <w:tc>
          <w:tcPr>
            <w:tcW w:w="803" w:type="pct"/>
            <w:shd w:val="clear" w:color="000000" w:fill="FFFFFF"/>
            <w:noWrap/>
            <w:vAlign w:val="center"/>
            <w:hideMark/>
          </w:tcPr>
          <w:p w14:paraId="583DE461" w14:textId="77777777" w:rsidR="000B3479" w:rsidRPr="0039091F" w:rsidRDefault="000B3479" w:rsidP="000A5389">
            <w:pPr>
              <w:spacing w:line="240" w:lineRule="auto"/>
              <w:jc w:val="right"/>
              <w:rPr>
                <w:rFonts w:eastAsia="Times New Roman" w:cs="Times New Roman"/>
                <w:color w:val="000000"/>
                <w:kern w:val="0"/>
                <w:sz w:val="18"/>
                <w:szCs w:val="18"/>
                <w:lang w:eastAsia="es-CO"/>
                <w14:ligatures w14:val="none"/>
              </w:rPr>
            </w:pPr>
            <w:r w:rsidRPr="0039091F">
              <w:rPr>
                <w:rFonts w:eastAsia="Times New Roman" w:cs="Times New Roman"/>
                <w:color w:val="000000"/>
                <w:kern w:val="0"/>
                <w:sz w:val="18"/>
                <w:szCs w:val="18"/>
                <w:lang w:eastAsia="es-CO"/>
                <w14:ligatures w14:val="none"/>
              </w:rPr>
              <w:t>629.220.923.612</w:t>
            </w:r>
          </w:p>
        </w:tc>
        <w:tc>
          <w:tcPr>
            <w:tcW w:w="747" w:type="pct"/>
            <w:shd w:val="clear" w:color="000000" w:fill="FFFFFF"/>
            <w:noWrap/>
            <w:vAlign w:val="center"/>
            <w:hideMark/>
          </w:tcPr>
          <w:p w14:paraId="596F33EE" w14:textId="77777777" w:rsidR="000B3479" w:rsidRPr="0039091F" w:rsidRDefault="000B3479" w:rsidP="000A5389">
            <w:pPr>
              <w:spacing w:line="240" w:lineRule="auto"/>
              <w:jc w:val="right"/>
              <w:rPr>
                <w:rFonts w:eastAsia="Times New Roman" w:cs="Times New Roman"/>
                <w:color w:val="000000"/>
                <w:kern w:val="0"/>
                <w:sz w:val="18"/>
                <w:szCs w:val="18"/>
                <w:lang w:eastAsia="es-CO"/>
                <w14:ligatures w14:val="none"/>
              </w:rPr>
            </w:pPr>
            <w:r w:rsidRPr="0039091F">
              <w:rPr>
                <w:rFonts w:eastAsia="Times New Roman" w:cs="Times New Roman"/>
                <w:color w:val="000000"/>
                <w:kern w:val="0"/>
                <w:sz w:val="18"/>
                <w:szCs w:val="18"/>
                <w:lang w:eastAsia="es-CO"/>
                <w14:ligatures w14:val="none"/>
              </w:rPr>
              <w:t>197.665.839.353</w:t>
            </w:r>
          </w:p>
        </w:tc>
      </w:tr>
      <w:tr w:rsidR="000B3479" w:rsidRPr="0039091F" w14:paraId="6F7C7F59" w14:textId="77777777" w:rsidTr="00071A8A">
        <w:trPr>
          <w:trHeight w:val="285"/>
        </w:trPr>
        <w:tc>
          <w:tcPr>
            <w:tcW w:w="639" w:type="pct"/>
            <w:shd w:val="clear" w:color="000000" w:fill="FFFFFF"/>
            <w:noWrap/>
            <w:vAlign w:val="center"/>
            <w:hideMark/>
          </w:tcPr>
          <w:p w14:paraId="0E2F302C" w14:textId="77777777" w:rsidR="000B3479" w:rsidRPr="0039091F" w:rsidRDefault="000B3479" w:rsidP="000A5389">
            <w:pPr>
              <w:spacing w:line="240" w:lineRule="auto"/>
              <w:jc w:val="right"/>
              <w:rPr>
                <w:rFonts w:eastAsia="Times New Roman" w:cs="Times New Roman"/>
                <w:color w:val="000000"/>
                <w:kern w:val="0"/>
                <w:sz w:val="18"/>
                <w:szCs w:val="18"/>
                <w:lang w:eastAsia="es-CO"/>
                <w14:ligatures w14:val="none"/>
              </w:rPr>
            </w:pPr>
            <w:r w:rsidRPr="0039091F">
              <w:rPr>
                <w:rFonts w:eastAsia="Times New Roman" w:cs="Times New Roman"/>
                <w:color w:val="000000"/>
                <w:kern w:val="0"/>
                <w:sz w:val="18"/>
                <w:szCs w:val="18"/>
                <w:lang w:eastAsia="es-CO"/>
                <w14:ligatures w14:val="none"/>
              </w:rPr>
              <w:t>800084048</w:t>
            </w:r>
          </w:p>
        </w:tc>
        <w:tc>
          <w:tcPr>
            <w:tcW w:w="2008" w:type="pct"/>
            <w:shd w:val="clear" w:color="000000" w:fill="FFFFFF"/>
            <w:noWrap/>
            <w:vAlign w:val="center"/>
            <w:hideMark/>
          </w:tcPr>
          <w:p w14:paraId="4357C67A" w14:textId="77777777" w:rsidR="000B3479" w:rsidRPr="0039091F" w:rsidRDefault="000B3479" w:rsidP="000A5389">
            <w:pPr>
              <w:spacing w:line="240" w:lineRule="auto"/>
              <w:rPr>
                <w:rFonts w:eastAsia="Times New Roman" w:cs="Times New Roman"/>
                <w:color w:val="000000"/>
                <w:kern w:val="0"/>
                <w:sz w:val="18"/>
                <w:szCs w:val="18"/>
                <w:lang w:eastAsia="es-CO"/>
                <w14:ligatures w14:val="none"/>
              </w:rPr>
            </w:pPr>
            <w:r w:rsidRPr="0039091F">
              <w:rPr>
                <w:rFonts w:eastAsia="Times New Roman" w:cs="Times New Roman"/>
                <w:color w:val="000000"/>
                <w:kern w:val="0"/>
                <w:sz w:val="18"/>
                <w:szCs w:val="18"/>
                <w:lang w:eastAsia="es-CO"/>
                <w14:ligatures w14:val="none"/>
              </w:rPr>
              <w:t>Sociedad Portuaria Terminal de Contenedores De Buenaventura S.A.</w:t>
            </w:r>
          </w:p>
        </w:tc>
        <w:tc>
          <w:tcPr>
            <w:tcW w:w="803" w:type="pct"/>
            <w:shd w:val="clear" w:color="000000" w:fill="FFFFFF"/>
            <w:noWrap/>
            <w:vAlign w:val="center"/>
            <w:hideMark/>
          </w:tcPr>
          <w:p w14:paraId="1965FC88" w14:textId="77777777" w:rsidR="000B3479" w:rsidRPr="0039091F" w:rsidRDefault="000B3479" w:rsidP="000A5389">
            <w:pPr>
              <w:spacing w:line="240" w:lineRule="auto"/>
              <w:jc w:val="right"/>
              <w:rPr>
                <w:rFonts w:eastAsia="Times New Roman" w:cs="Times New Roman"/>
                <w:color w:val="000000"/>
                <w:kern w:val="0"/>
                <w:sz w:val="18"/>
                <w:szCs w:val="18"/>
                <w:lang w:eastAsia="es-CO"/>
                <w14:ligatures w14:val="none"/>
              </w:rPr>
            </w:pPr>
            <w:r w:rsidRPr="0039091F">
              <w:rPr>
                <w:rFonts w:eastAsia="Times New Roman" w:cs="Times New Roman"/>
                <w:color w:val="000000"/>
                <w:kern w:val="0"/>
                <w:sz w:val="18"/>
                <w:szCs w:val="18"/>
                <w:lang w:eastAsia="es-CO"/>
                <w14:ligatures w14:val="none"/>
              </w:rPr>
              <w:t>385.497.820.802</w:t>
            </w:r>
          </w:p>
        </w:tc>
        <w:tc>
          <w:tcPr>
            <w:tcW w:w="803" w:type="pct"/>
            <w:shd w:val="clear" w:color="000000" w:fill="FFFFFF"/>
            <w:noWrap/>
            <w:vAlign w:val="center"/>
            <w:hideMark/>
          </w:tcPr>
          <w:p w14:paraId="7895A872" w14:textId="77777777" w:rsidR="000B3479" w:rsidRPr="0039091F" w:rsidRDefault="000B3479" w:rsidP="000A5389">
            <w:pPr>
              <w:spacing w:line="240" w:lineRule="auto"/>
              <w:jc w:val="right"/>
              <w:rPr>
                <w:rFonts w:eastAsia="Times New Roman" w:cs="Times New Roman"/>
                <w:color w:val="000000"/>
                <w:kern w:val="0"/>
                <w:sz w:val="18"/>
                <w:szCs w:val="18"/>
                <w:lang w:eastAsia="es-CO"/>
                <w14:ligatures w14:val="none"/>
              </w:rPr>
            </w:pPr>
            <w:r w:rsidRPr="0039091F">
              <w:rPr>
                <w:rFonts w:eastAsia="Times New Roman" w:cs="Times New Roman"/>
                <w:color w:val="000000"/>
                <w:kern w:val="0"/>
                <w:sz w:val="18"/>
                <w:szCs w:val="18"/>
                <w:lang w:eastAsia="es-CO"/>
                <w14:ligatures w14:val="none"/>
              </w:rPr>
              <w:t>405.787.179.791</w:t>
            </w:r>
          </w:p>
        </w:tc>
        <w:tc>
          <w:tcPr>
            <w:tcW w:w="747" w:type="pct"/>
            <w:shd w:val="clear" w:color="000000" w:fill="FFFFFF"/>
            <w:noWrap/>
            <w:vAlign w:val="center"/>
            <w:hideMark/>
          </w:tcPr>
          <w:p w14:paraId="206C22B7" w14:textId="77777777" w:rsidR="000B3479" w:rsidRPr="0039091F" w:rsidRDefault="000B3479" w:rsidP="000A5389">
            <w:pPr>
              <w:spacing w:line="240" w:lineRule="auto"/>
              <w:jc w:val="right"/>
              <w:rPr>
                <w:rFonts w:eastAsia="Times New Roman" w:cs="Times New Roman"/>
                <w:color w:val="000000"/>
                <w:kern w:val="0"/>
                <w:sz w:val="18"/>
                <w:szCs w:val="18"/>
                <w:lang w:eastAsia="es-CO"/>
                <w14:ligatures w14:val="none"/>
              </w:rPr>
            </w:pPr>
            <w:r w:rsidRPr="0039091F">
              <w:rPr>
                <w:rFonts w:eastAsia="Times New Roman" w:cs="Times New Roman"/>
                <w:color w:val="000000"/>
                <w:kern w:val="0"/>
                <w:sz w:val="18"/>
                <w:szCs w:val="18"/>
                <w:lang w:eastAsia="es-CO"/>
                <w14:ligatures w14:val="none"/>
              </w:rPr>
              <w:t>-20.289.358.990</w:t>
            </w:r>
          </w:p>
        </w:tc>
      </w:tr>
      <w:tr w:rsidR="000B3479" w:rsidRPr="0039091F" w14:paraId="7572BB07" w14:textId="77777777" w:rsidTr="00071A8A">
        <w:trPr>
          <w:trHeight w:val="285"/>
        </w:trPr>
        <w:tc>
          <w:tcPr>
            <w:tcW w:w="639" w:type="pct"/>
            <w:shd w:val="clear" w:color="000000" w:fill="FFFFFF"/>
            <w:noWrap/>
            <w:vAlign w:val="center"/>
            <w:hideMark/>
          </w:tcPr>
          <w:p w14:paraId="162E745E" w14:textId="77777777" w:rsidR="000B3479" w:rsidRPr="0039091F" w:rsidRDefault="000B3479" w:rsidP="000A5389">
            <w:pPr>
              <w:spacing w:line="240" w:lineRule="auto"/>
              <w:jc w:val="right"/>
              <w:rPr>
                <w:rFonts w:eastAsia="Times New Roman" w:cs="Times New Roman"/>
                <w:color w:val="000000"/>
                <w:kern w:val="0"/>
                <w:sz w:val="18"/>
                <w:szCs w:val="18"/>
                <w:lang w:eastAsia="es-CO"/>
                <w14:ligatures w14:val="none"/>
              </w:rPr>
            </w:pPr>
            <w:r w:rsidRPr="0039091F">
              <w:rPr>
                <w:rFonts w:eastAsia="Times New Roman" w:cs="Times New Roman"/>
                <w:color w:val="000000"/>
                <w:kern w:val="0"/>
                <w:sz w:val="18"/>
                <w:szCs w:val="18"/>
                <w:lang w:eastAsia="es-CO"/>
                <w14:ligatures w14:val="none"/>
              </w:rPr>
              <w:t>800116164</w:t>
            </w:r>
          </w:p>
        </w:tc>
        <w:tc>
          <w:tcPr>
            <w:tcW w:w="2008" w:type="pct"/>
            <w:shd w:val="clear" w:color="000000" w:fill="FFFFFF"/>
            <w:noWrap/>
            <w:vAlign w:val="center"/>
            <w:hideMark/>
          </w:tcPr>
          <w:p w14:paraId="0F32F785" w14:textId="77777777" w:rsidR="000B3479" w:rsidRPr="0039091F" w:rsidRDefault="000B3479" w:rsidP="000A5389">
            <w:pPr>
              <w:spacing w:line="240" w:lineRule="auto"/>
              <w:rPr>
                <w:rFonts w:eastAsia="Times New Roman" w:cs="Times New Roman"/>
                <w:color w:val="000000"/>
                <w:kern w:val="0"/>
                <w:sz w:val="18"/>
                <w:szCs w:val="18"/>
                <w:lang w:eastAsia="es-CO"/>
                <w14:ligatures w14:val="none"/>
              </w:rPr>
            </w:pPr>
            <w:r w:rsidRPr="0039091F">
              <w:rPr>
                <w:rFonts w:eastAsia="Times New Roman" w:cs="Times New Roman"/>
                <w:color w:val="000000"/>
                <w:kern w:val="0"/>
                <w:sz w:val="18"/>
                <w:szCs w:val="18"/>
                <w:lang w:eastAsia="es-CO"/>
                <w14:ligatures w14:val="none"/>
              </w:rPr>
              <w:t>Terminal de Contenedores De Cartagena S.A.</w:t>
            </w:r>
          </w:p>
        </w:tc>
        <w:tc>
          <w:tcPr>
            <w:tcW w:w="803" w:type="pct"/>
            <w:shd w:val="clear" w:color="000000" w:fill="FFFFFF"/>
            <w:noWrap/>
            <w:vAlign w:val="center"/>
            <w:hideMark/>
          </w:tcPr>
          <w:p w14:paraId="314E53BA" w14:textId="77777777" w:rsidR="000B3479" w:rsidRPr="0039091F" w:rsidRDefault="000B3479" w:rsidP="000A5389">
            <w:pPr>
              <w:spacing w:line="240" w:lineRule="auto"/>
              <w:jc w:val="right"/>
              <w:rPr>
                <w:rFonts w:eastAsia="Times New Roman" w:cs="Times New Roman"/>
                <w:color w:val="000000"/>
                <w:kern w:val="0"/>
                <w:sz w:val="18"/>
                <w:szCs w:val="18"/>
                <w:lang w:eastAsia="es-CO"/>
                <w14:ligatures w14:val="none"/>
              </w:rPr>
            </w:pPr>
            <w:r w:rsidRPr="0039091F">
              <w:rPr>
                <w:rFonts w:eastAsia="Times New Roman" w:cs="Times New Roman"/>
                <w:color w:val="000000"/>
                <w:kern w:val="0"/>
                <w:sz w:val="18"/>
                <w:szCs w:val="18"/>
                <w:lang w:eastAsia="es-CO"/>
                <w14:ligatures w14:val="none"/>
              </w:rPr>
              <w:t>345.612.650.589</w:t>
            </w:r>
          </w:p>
        </w:tc>
        <w:tc>
          <w:tcPr>
            <w:tcW w:w="803" w:type="pct"/>
            <w:shd w:val="clear" w:color="000000" w:fill="FFFFFF"/>
            <w:noWrap/>
            <w:vAlign w:val="center"/>
            <w:hideMark/>
          </w:tcPr>
          <w:p w14:paraId="24EED911" w14:textId="77777777" w:rsidR="000B3479" w:rsidRPr="0039091F" w:rsidRDefault="000B3479" w:rsidP="000A5389">
            <w:pPr>
              <w:spacing w:line="240" w:lineRule="auto"/>
              <w:jc w:val="right"/>
              <w:rPr>
                <w:rFonts w:eastAsia="Times New Roman" w:cs="Times New Roman"/>
                <w:color w:val="000000"/>
                <w:kern w:val="0"/>
                <w:sz w:val="18"/>
                <w:szCs w:val="18"/>
                <w:lang w:eastAsia="es-CO"/>
                <w14:ligatures w14:val="none"/>
              </w:rPr>
            </w:pPr>
            <w:r w:rsidRPr="0039091F">
              <w:rPr>
                <w:rFonts w:eastAsia="Times New Roman" w:cs="Times New Roman"/>
                <w:color w:val="000000"/>
                <w:kern w:val="0"/>
                <w:sz w:val="18"/>
                <w:szCs w:val="18"/>
                <w:lang w:eastAsia="es-CO"/>
                <w14:ligatures w14:val="none"/>
              </w:rPr>
              <w:t>363.419.222.010</w:t>
            </w:r>
          </w:p>
        </w:tc>
        <w:tc>
          <w:tcPr>
            <w:tcW w:w="747" w:type="pct"/>
            <w:shd w:val="clear" w:color="000000" w:fill="FFFFFF"/>
            <w:noWrap/>
            <w:vAlign w:val="center"/>
            <w:hideMark/>
          </w:tcPr>
          <w:p w14:paraId="7A0A3A7D" w14:textId="77777777" w:rsidR="000B3479" w:rsidRPr="0039091F" w:rsidRDefault="000B3479" w:rsidP="000A5389">
            <w:pPr>
              <w:spacing w:line="240" w:lineRule="auto"/>
              <w:jc w:val="right"/>
              <w:rPr>
                <w:rFonts w:eastAsia="Times New Roman" w:cs="Times New Roman"/>
                <w:color w:val="000000"/>
                <w:kern w:val="0"/>
                <w:sz w:val="18"/>
                <w:szCs w:val="18"/>
                <w:lang w:eastAsia="es-CO"/>
                <w14:ligatures w14:val="none"/>
              </w:rPr>
            </w:pPr>
            <w:r w:rsidRPr="0039091F">
              <w:rPr>
                <w:rFonts w:eastAsia="Times New Roman" w:cs="Times New Roman"/>
                <w:color w:val="000000"/>
                <w:kern w:val="0"/>
                <w:sz w:val="18"/>
                <w:szCs w:val="18"/>
                <w:lang w:eastAsia="es-CO"/>
                <w14:ligatures w14:val="none"/>
              </w:rPr>
              <w:t>-17.806.571.421</w:t>
            </w:r>
          </w:p>
        </w:tc>
      </w:tr>
      <w:tr w:rsidR="000B3479" w:rsidRPr="0039091F" w14:paraId="4923747B" w14:textId="77777777" w:rsidTr="00071A8A">
        <w:trPr>
          <w:trHeight w:val="285"/>
        </w:trPr>
        <w:tc>
          <w:tcPr>
            <w:tcW w:w="639" w:type="pct"/>
            <w:shd w:val="clear" w:color="000000" w:fill="FFFFFF"/>
            <w:noWrap/>
            <w:vAlign w:val="center"/>
            <w:hideMark/>
          </w:tcPr>
          <w:p w14:paraId="4D7DF1DB" w14:textId="77777777" w:rsidR="000B3479" w:rsidRPr="0039091F" w:rsidRDefault="000B3479" w:rsidP="000A5389">
            <w:pPr>
              <w:spacing w:line="240" w:lineRule="auto"/>
              <w:jc w:val="right"/>
              <w:rPr>
                <w:rFonts w:eastAsia="Times New Roman" w:cs="Times New Roman"/>
                <w:color w:val="000000"/>
                <w:kern w:val="0"/>
                <w:sz w:val="18"/>
                <w:szCs w:val="18"/>
                <w:lang w:eastAsia="es-CO"/>
                <w14:ligatures w14:val="none"/>
              </w:rPr>
            </w:pPr>
            <w:r w:rsidRPr="0039091F">
              <w:rPr>
                <w:rFonts w:eastAsia="Times New Roman" w:cs="Times New Roman"/>
                <w:color w:val="000000"/>
                <w:kern w:val="0"/>
                <w:sz w:val="18"/>
                <w:szCs w:val="18"/>
                <w:lang w:eastAsia="es-CO"/>
                <w14:ligatures w14:val="none"/>
              </w:rPr>
              <w:t>800153687</w:t>
            </w:r>
          </w:p>
        </w:tc>
        <w:tc>
          <w:tcPr>
            <w:tcW w:w="2008" w:type="pct"/>
            <w:shd w:val="clear" w:color="000000" w:fill="FFFFFF"/>
            <w:noWrap/>
            <w:vAlign w:val="center"/>
            <w:hideMark/>
          </w:tcPr>
          <w:p w14:paraId="73B43134" w14:textId="77777777" w:rsidR="000B3479" w:rsidRPr="0039091F" w:rsidRDefault="000B3479" w:rsidP="000A5389">
            <w:pPr>
              <w:spacing w:line="240" w:lineRule="auto"/>
              <w:rPr>
                <w:rFonts w:eastAsia="Times New Roman" w:cs="Times New Roman"/>
                <w:color w:val="000000"/>
                <w:kern w:val="0"/>
                <w:sz w:val="18"/>
                <w:szCs w:val="18"/>
                <w:lang w:eastAsia="es-CO"/>
                <w14:ligatures w14:val="none"/>
              </w:rPr>
            </w:pPr>
            <w:r w:rsidRPr="0039091F">
              <w:rPr>
                <w:rFonts w:eastAsia="Times New Roman" w:cs="Times New Roman"/>
                <w:color w:val="000000"/>
                <w:kern w:val="0"/>
                <w:sz w:val="18"/>
                <w:szCs w:val="18"/>
                <w:lang w:eastAsia="es-CO"/>
                <w14:ligatures w14:val="none"/>
              </w:rPr>
              <w:t>American Port Company Inc</w:t>
            </w:r>
          </w:p>
        </w:tc>
        <w:tc>
          <w:tcPr>
            <w:tcW w:w="803" w:type="pct"/>
            <w:shd w:val="clear" w:color="000000" w:fill="FFFFFF"/>
            <w:noWrap/>
            <w:vAlign w:val="center"/>
            <w:hideMark/>
          </w:tcPr>
          <w:p w14:paraId="62D07F24" w14:textId="77777777" w:rsidR="000B3479" w:rsidRPr="0039091F" w:rsidRDefault="000B3479" w:rsidP="000A5389">
            <w:pPr>
              <w:spacing w:line="240" w:lineRule="auto"/>
              <w:jc w:val="right"/>
              <w:rPr>
                <w:rFonts w:eastAsia="Times New Roman" w:cs="Times New Roman"/>
                <w:color w:val="000000"/>
                <w:kern w:val="0"/>
                <w:sz w:val="18"/>
                <w:szCs w:val="18"/>
                <w:lang w:eastAsia="es-CO"/>
                <w14:ligatures w14:val="none"/>
              </w:rPr>
            </w:pPr>
            <w:r w:rsidRPr="0039091F">
              <w:rPr>
                <w:rFonts w:eastAsia="Times New Roman" w:cs="Times New Roman"/>
                <w:color w:val="000000"/>
                <w:kern w:val="0"/>
                <w:sz w:val="18"/>
                <w:szCs w:val="18"/>
                <w:lang w:eastAsia="es-CO"/>
                <w14:ligatures w14:val="none"/>
              </w:rPr>
              <w:t>307.909.235.088</w:t>
            </w:r>
          </w:p>
        </w:tc>
        <w:tc>
          <w:tcPr>
            <w:tcW w:w="803" w:type="pct"/>
            <w:shd w:val="clear" w:color="000000" w:fill="FFFFFF"/>
            <w:noWrap/>
            <w:vAlign w:val="center"/>
            <w:hideMark/>
          </w:tcPr>
          <w:p w14:paraId="73AA6D9A" w14:textId="77777777" w:rsidR="000B3479" w:rsidRPr="0039091F" w:rsidRDefault="000B3479" w:rsidP="000A5389">
            <w:pPr>
              <w:spacing w:line="240" w:lineRule="auto"/>
              <w:jc w:val="right"/>
              <w:rPr>
                <w:rFonts w:eastAsia="Times New Roman" w:cs="Times New Roman"/>
                <w:color w:val="000000"/>
                <w:kern w:val="0"/>
                <w:sz w:val="18"/>
                <w:szCs w:val="18"/>
                <w:lang w:eastAsia="es-CO"/>
                <w14:ligatures w14:val="none"/>
              </w:rPr>
            </w:pPr>
            <w:r w:rsidRPr="0039091F">
              <w:rPr>
                <w:rFonts w:eastAsia="Times New Roman" w:cs="Times New Roman"/>
                <w:color w:val="000000"/>
                <w:kern w:val="0"/>
                <w:sz w:val="18"/>
                <w:szCs w:val="18"/>
                <w:lang w:eastAsia="es-CO"/>
                <w14:ligatures w14:val="none"/>
              </w:rPr>
              <w:t>326.021.543.035</w:t>
            </w:r>
          </w:p>
        </w:tc>
        <w:tc>
          <w:tcPr>
            <w:tcW w:w="747" w:type="pct"/>
            <w:shd w:val="clear" w:color="000000" w:fill="FFFFFF"/>
            <w:noWrap/>
            <w:vAlign w:val="center"/>
            <w:hideMark/>
          </w:tcPr>
          <w:p w14:paraId="6C3BB1DE" w14:textId="77777777" w:rsidR="000B3479" w:rsidRPr="0039091F" w:rsidRDefault="000B3479" w:rsidP="000A5389">
            <w:pPr>
              <w:spacing w:line="240" w:lineRule="auto"/>
              <w:jc w:val="right"/>
              <w:rPr>
                <w:rFonts w:eastAsia="Times New Roman" w:cs="Times New Roman"/>
                <w:color w:val="000000"/>
                <w:kern w:val="0"/>
                <w:sz w:val="18"/>
                <w:szCs w:val="18"/>
                <w:lang w:eastAsia="es-CO"/>
                <w14:ligatures w14:val="none"/>
              </w:rPr>
            </w:pPr>
            <w:r w:rsidRPr="0039091F">
              <w:rPr>
                <w:rFonts w:eastAsia="Times New Roman" w:cs="Times New Roman"/>
                <w:color w:val="000000"/>
                <w:kern w:val="0"/>
                <w:sz w:val="18"/>
                <w:szCs w:val="18"/>
                <w:lang w:eastAsia="es-CO"/>
                <w14:ligatures w14:val="none"/>
              </w:rPr>
              <w:t>-18.112.307.946</w:t>
            </w:r>
          </w:p>
        </w:tc>
      </w:tr>
      <w:tr w:rsidR="000B3479" w:rsidRPr="0039091F" w14:paraId="0C480D4E" w14:textId="77777777" w:rsidTr="00071A8A">
        <w:trPr>
          <w:trHeight w:val="285"/>
        </w:trPr>
        <w:tc>
          <w:tcPr>
            <w:tcW w:w="639" w:type="pct"/>
            <w:shd w:val="clear" w:color="000000" w:fill="FFFFFF"/>
            <w:noWrap/>
            <w:vAlign w:val="center"/>
            <w:hideMark/>
          </w:tcPr>
          <w:p w14:paraId="70385CA3" w14:textId="77777777" w:rsidR="000B3479" w:rsidRPr="0039091F" w:rsidRDefault="000B3479" w:rsidP="000A5389">
            <w:pPr>
              <w:spacing w:line="240" w:lineRule="auto"/>
              <w:jc w:val="right"/>
              <w:rPr>
                <w:rFonts w:eastAsia="Times New Roman" w:cs="Times New Roman"/>
                <w:color w:val="000000"/>
                <w:kern w:val="0"/>
                <w:sz w:val="18"/>
                <w:szCs w:val="18"/>
                <w:lang w:eastAsia="es-CO"/>
                <w14:ligatures w14:val="none"/>
              </w:rPr>
            </w:pPr>
            <w:r w:rsidRPr="0039091F">
              <w:rPr>
                <w:rFonts w:eastAsia="Times New Roman" w:cs="Times New Roman"/>
                <w:color w:val="000000"/>
                <w:kern w:val="0"/>
                <w:sz w:val="18"/>
                <w:szCs w:val="18"/>
                <w:lang w:eastAsia="es-CO"/>
                <w14:ligatures w14:val="none"/>
              </w:rPr>
              <w:t>900273253</w:t>
            </w:r>
          </w:p>
        </w:tc>
        <w:tc>
          <w:tcPr>
            <w:tcW w:w="2008" w:type="pct"/>
            <w:shd w:val="clear" w:color="000000" w:fill="FFFFFF"/>
            <w:noWrap/>
            <w:vAlign w:val="center"/>
            <w:hideMark/>
          </w:tcPr>
          <w:p w14:paraId="3D46BDC5" w14:textId="77777777" w:rsidR="000B3479" w:rsidRPr="0039091F" w:rsidRDefault="000B3479" w:rsidP="000A5389">
            <w:pPr>
              <w:spacing w:line="240" w:lineRule="auto"/>
              <w:rPr>
                <w:rFonts w:eastAsia="Times New Roman" w:cs="Times New Roman"/>
                <w:color w:val="000000"/>
                <w:kern w:val="0"/>
                <w:sz w:val="18"/>
                <w:szCs w:val="18"/>
                <w:lang w:eastAsia="es-CO"/>
                <w14:ligatures w14:val="none"/>
              </w:rPr>
            </w:pPr>
            <w:r w:rsidRPr="0039091F">
              <w:rPr>
                <w:rFonts w:eastAsia="Times New Roman" w:cs="Times New Roman"/>
                <w:color w:val="000000"/>
                <w:kern w:val="0"/>
                <w:sz w:val="18"/>
                <w:szCs w:val="18"/>
                <w:lang w:eastAsia="es-CO"/>
                <w14:ligatures w14:val="none"/>
              </w:rPr>
              <w:t>Sociedad Portuaria Puerto Nuevo S.A.</w:t>
            </w:r>
          </w:p>
        </w:tc>
        <w:tc>
          <w:tcPr>
            <w:tcW w:w="803" w:type="pct"/>
            <w:shd w:val="clear" w:color="000000" w:fill="FFFFFF"/>
            <w:noWrap/>
            <w:vAlign w:val="center"/>
            <w:hideMark/>
          </w:tcPr>
          <w:p w14:paraId="5DEAFF6A" w14:textId="77777777" w:rsidR="000B3479" w:rsidRPr="0039091F" w:rsidRDefault="000B3479" w:rsidP="000A5389">
            <w:pPr>
              <w:spacing w:line="240" w:lineRule="auto"/>
              <w:jc w:val="right"/>
              <w:rPr>
                <w:rFonts w:eastAsia="Times New Roman" w:cs="Times New Roman"/>
                <w:color w:val="000000"/>
                <w:kern w:val="0"/>
                <w:sz w:val="18"/>
                <w:szCs w:val="18"/>
                <w:lang w:eastAsia="es-CO"/>
                <w14:ligatures w14:val="none"/>
              </w:rPr>
            </w:pPr>
            <w:r w:rsidRPr="0039091F">
              <w:rPr>
                <w:rFonts w:eastAsia="Times New Roman" w:cs="Times New Roman"/>
                <w:color w:val="000000"/>
                <w:kern w:val="0"/>
                <w:sz w:val="18"/>
                <w:szCs w:val="18"/>
                <w:lang w:eastAsia="es-CO"/>
                <w14:ligatures w14:val="none"/>
              </w:rPr>
              <w:t>271.283.016.841</w:t>
            </w:r>
          </w:p>
        </w:tc>
        <w:tc>
          <w:tcPr>
            <w:tcW w:w="803" w:type="pct"/>
            <w:shd w:val="clear" w:color="000000" w:fill="FFFFFF"/>
            <w:noWrap/>
            <w:vAlign w:val="center"/>
            <w:hideMark/>
          </w:tcPr>
          <w:p w14:paraId="1B555EFA" w14:textId="77777777" w:rsidR="000B3479" w:rsidRPr="0039091F" w:rsidRDefault="000B3479" w:rsidP="000A5389">
            <w:pPr>
              <w:spacing w:line="240" w:lineRule="auto"/>
              <w:jc w:val="right"/>
              <w:rPr>
                <w:rFonts w:eastAsia="Times New Roman" w:cs="Times New Roman"/>
                <w:color w:val="000000"/>
                <w:kern w:val="0"/>
                <w:sz w:val="18"/>
                <w:szCs w:val="18"/>
                <w:lang w:eastAsia="es-CO"/>
                <w14:ligatures w14:val="none"/>
              </w:rPr>
            </w:pPr>
            <w:r w:rsidRPr="0039091F">
              <w:rPr>
                <w:rFonts w:eastAsia="Times New Roman" w:cs="Times New Roman"/>
                <w:color w:val="000000"/>
                <w:kern w:val="0"/>
                <w:sz w:val="18"/>
                <w:szCs w:val="18"/>
                <w:lang w:eastAsia="es-CO"/>
                <w14:ligatures w14:val="none"/>
              </w:rPr>
              <w:t>288.238.205.394</w:t>
            </w:r>
          </w:p>
        </w:tc>
        <w:tc>
          <w:tcPr>
            <w:tcW w:w="747" w:type="pct"/>
            <w:shd w:val="clear" w:color="000000" w:fill="FFFFFF"/>
            <w:noWrap/>
            <w:vAlign w:val="center"/>
            <w:hideMark/>
          </w:tcPr>
          <w:p w14:paraId="35294BA7" w14:textId="77777777" w:rsidR="000B3479" w:rsidRPr="0039091F" w:rsidRDefault="000B3479" w:rsidP="000A5389">
            <w:pPr>
              <w:spacing w:line="240" w:lineRule="auto"/>
              <w:jc w:val="right"/>
              <w:rPr>
                <w:rFonts w:eastAsia="Times New Roman" w:cs="Times New Roman"/>
                <w:color w:val="000000"/>
                <w:kern w:val="0"/>
                <w:sz w:val="18"/>
                <w:szCs w:val="18"/>
                <w:lang w:eastAsia="es-CO"/>
                <w14:ligatures w14:val="none"/>
              </w:rPr>
            </w:pPr>
            <w:r w:rsidRPr="0039091F">
              <w:rPr>
                <w:rFonts w:eastAsia="Times New Roman" w:cs="Times New Roman"/>
                <w:color w:val="000000"/>
                <w:kern w:val="0"/>
                <w:sz w:val="18"/>
                <w:szCs w:val="18"/>
                <w:lang w:eastAsia="es-CO"/>
                <w14:ligatures w14:val="none"/>
              </w:rPr>
              <w:t>-16.955.188.553</w:t>
            </w:r>
          </w:p>
        </w:tc>
      </w:tr>
      <w:tr w:rsidR="000B3479" w:rsidRPr="0039091F" w14:paraId="1A4F5669" w14:textId="77777777" w:rsidTr="00071A8A">
        <w:trPr>
          <w:trHeight w:val="285"/>
        </w:trPr>
        <w:tc>
          <w:tcPr>
            <w:tcW w:w="639" w:type="pct"/>
            <w:shd w:val="clear" w:color="000000" w:fill="FFFFFF"/>
            <w:noWrap/>
            <w:vAlign w:val="center"/>
            <w:hideMark/>
          </w:tcPr>
          <w:p w14:paraId="43330F53" w14:textId="77777777" w:rsidR="000B3479" w:rsidRPr="0039091F" w:rsidRDefault="000B3479" w:rsidP="000A5389">
            <w:pPr>
              <w:spacing w:line="240" w:lineRule="auto"/>
              <w:jc w:val="right"/>
              <w:rPr>
                <w:rFonts w:eastAsia="Times New Roman" w:cs="Times New Roman"/>
                <w:color w:val="000000"/>
                <w:kern w:val="0"/>
                <w:sz w:val="18"/>
                <w:szCs w:val="18"/>
                <w:lang w:eastAsia="es-CO"/>
                <w14:ligatures w14:val="none"/>
              </w:rPr>
            </w:pPr>
            <w:r w:rsidRPr="0039091F">
              <w:rPr>
                <w:rFonts w:eastAsia="Times New Roman" w:cs="Times New Roman"/>
                <w:color w:val="000000"/>
                <w:kern w:val="0"/>
                <w:sz w:val="18"/>
                <w:szCs w:val="18"/>
                <w:lang w:eastAsia="es-CO"/>
                <w14:ligatures w14:val="none"/>
              </w:rPr>
              <w:t>800215775</w:t>
            </w:r>
          </w:p>
        </w:tc>
        <w:tc>
          <w:tcPr>
            <w:tcW w:w="2008" w:type="pct"/>
            <w:shd w:val="clear" w:color="000000" w:fill="FFFFFF"/>
            <w:noWrap/>
            <w:vAlign w:val="center"/>
            <w:hideMark/>
          </w:tcPr>
          <w:p w14:paraId="18DFC084" w14:textId="77777777" w:rsidR="000B3479" w:rsidRPr="0039091F" w:rsidRDefault="000B3479" w:rsidP="000A5389">
            <w:pPr>
              <w:spacing w:line="240" w:lineRule="auto"/>
              <w:rPr>
                <w:rFonts w:eastAsia="Times New Roman" w:cs="Times New Roman"/>
                <w:color w:val="000000"/>
                <w:kern w:val="0"/>
                <w:sz w:val="18"/>
                <w:szCs w:val="18"/>
                <w:lang w:eastAsia="es-CO"/>
                <w14:ligatures w14:val="none"/>
              </w:rPr>
            </w:pPr>
            <w:r w:rsidRPr="0039091F">
              <w:rPr>
                <w:rFonts w:eastAsia="Times New Roman" w:cs="Times New Roman"/>
                <w:color w:val="000000"/>
                <w:kern w:val="0"/>
                <w:sz w:val="18"/>
                <w:szCs w:val="18"/>
                <w:lang w:eastAsia="es-CO"/>
                <w14:ligatures w14:val="none"/>
              </w:rPr>
              <w:t>Sociedad Portuaria Regional de Buenaventura S.A. S.P.R. Bun</w:t>
            </w:r>
          </w:p>
        </w:tc>
        <w:tc>
          <w:tcPr>
            <w:tcW w:w="803" w:type="pct"/>
            <w:shd w:val="clear" w:color="000000" w:fill="FFFFFF"/>
            <w:noWrap/>
            <w:vAlign w:val="center"/>
            <w:hideMark/>
          </w:tcPr>
          <w:p w14:paraId="5AE947DE" w14:textId="77777777" w:rsidR="000B3479" w:rsidRPr="0039091F" w:rsidRDefault="000B3479" w:rsidP="000A5389">
            <w:pPr>
              <w:spacing w:line="240" w:lineRule="auto"/>
              <w:jc w:val="right"/>
              <w:rPr>
                <w:rFonts w:eastAsia="Times New Roman" w:cs="Times New Roman"/>
                <w:color w:val="000000"/>
                <w:kern w:val="0"/>
                <w:sz w:val="18"/>
                <w:szCs w:val="18"/>
                <w:lang w:eastAsia="es-CO"/>
                <w14:ligatures w14:val="none"/>
              </w:rPr>
            </w:pPr>
            <w:r w:rsidRPr="0039091F">
              <w:rPr>
                <w:rFonts w:eastAsia="Times New Roman" w:cs="Times New Roman"/>
                <w:color w:val="000000"/>
                <w:kern w:val="0"/>
                <w:sz w:val="18"/>
                <w:szCs w:val="18"/>
                <w:lang w:eastAsia="es-CO"/>
                <w14:ligatures w14:val="none"/>
              </w:rPr>
              <w:t>210.555.135.943</w:t>
            </w:r>
          </w:p>
        </w:tc>
        <w:tc>
          <w:tcPr>
            <w:tcW w:w="803" w:type="pct"/>
            <w:shd w:val="clear" w:color="000000" w:fill="FFFFFF"/>
            <w:noWrap/>
            <w:vAlign w:val="center"/>
            <w:hideMark/>
          </w:tcPr>
          <w:p w14:paraId="4276E72A" w14:textId="77777777" w:rsidR="000B3479" w:rsidRPr="0039091F" w:rsidRDefault="000B3479" w:rsidP="000A5389">
            <w:pPr>
              <w:spacing w:line="240" w:lineRule="auto"/>
              <w:jc w:val="right"/>
              <w:rPr>
                <w:rFonts w:eastAsia="Times New Roman" w:cs="Times New Roman"/>
                <w:color w:val="000000"/>
                <w:kern w:val="0"/>
                <w:sz w:val="18"/>
                <w:szCs w:val="18"/>
                <w:lang w:eastAsia="es-CO"/>
                <w14:ligatures w14:val="none"/>
              </w:rPr>
            </w:pPr>
            <w:r w:rsidRPr="0039091F">
              <w:rPr>
                <w:rFonts w:eastAsia="Times New Roman" w:cs="Times New Roman"/>
                <w:color w:val="000000"/>
                <w:kern w:val="0"/>
                <w:sz w:val="18"/>
                <w:szCs w:val="18"/>
                <w:lang w:eastAsia="es-CO"/>
                <w14:ligatures w14:val="none"/>
              </w:rPr>
              <w:t>229.374.250.532</w:t>
            </w:r>
          </w:p>
        </w:tc>
        <w:tc>
          <w:tcPr>
            <w:tcW w:w="747" w:type="pct"/>
            <w:shd w:val="clear" w:color="000000" w:fill="FFFFFF"/>
            <w:noWrap/>
            <w:vAlign w:val="center"/>
            <w:hideMark/>
          </w:tcPr>
          <w:p w14:paraId="668F1617" w14:textId="77777777" w:rsidR="000B3479" w:rsidRPr="0039091F" w:rsidRDefault="000B3479" w:rsidP="000A5389">
            <w:pPr>
              <w:spacing w:line="240" w:lineRule="auto"/>
              <w:jc w:val="right"/>
              <w:rPr>
                <w:rFonts w:eastAsia="Times New Roman" w:cs="Times New Roman"/>
                <w:color w:val="000000"/>
                <w:kern w:val="0"/>
                <w:sz w:val="18"/>
                <w:szCs w:val="18"/>
                <w:lang w:eastAsia="es-CO"/>
                <w14:ligatures w14:val="none"/>
              </w:rPr>
            </w:pPr>
            <w:r w:rsidRPr="0039091F">
              <w:rPr>
                <w:rFonts w:eastAsia="Times New Roman" w:cs="Times New Roman"/>
                <w:color w:val="000000"/>
                <w:kern w:val="0"/>
                <w:sz w:val="18"/>
                <w:szCs w:val="18"/>
                <w:lang w:eastAsia="es-CO"/>
                <w14:ligatures w14:val="none"/>
              </w:rPr>
              <w:t>-18.819.114.589</w:t>
            </w:r>
          </w:p>
        </w:tc>
      </w:tr>
      <w:tr w:rsidR="000B3479" w:rsidRPr="0039091F" w14:paraId="6C0A404D" w14:textId="77777777" w:rsidTr="00071A8A">
        <w:trPr>
          <w:trHeight w:val="285"/>
        </w:trPr>
        <w:tc>
          <w:tcPr>
            <w:tcW w:w="639" w:type="pct"/>
            <w:shd w:val="clear" w:color="000000" w:fill="FFFFFF"/>
            <w:noWrap/>
            <w:vAlign w:val="center"/>
            <w:hideMark/>
          </w:tcPr>
          <w:p w14:paraId="70B2BCC1" w14:textId="77777777" w:rsidR="000B3479" w:rsidRPr="0039091F" w:rsidRDefault="000B3479" w:rsidP="000A5389">
            <w:pPr>
              <w:spacing w:line="240" w:lineRule="auto"/>
              <w:jc w:val="right"/>
              <w:rPr>
                <w:rFonts w:eastAsia="Times New Roman" w:cs="Times New Roman"/>
                <w:color w:val="000000"/>
                <w:kern w:val="0"/>
                <w:sz w:val="18"/>
                <w:szCs w:val="18"/>
                <w:lang w:eastAsia="es-CO"/>
                <w14:ligatures w14:val="none"/>
              </w:rPr>
            </w:pPr>
            <w:r w:rsidRPr="0039091F">
              <w:rPr>
                <w:rFonts w:eastAsia="Times New Roman" w:cs="Times New Roman"/>
                <w:color w:val="000000"/>
                <w:kern w:val="0"/>
                <w:sz w:val="18"/>
                <w:szCs w:val="18"/>
                <w:lang w:eastAsia="es-CO"/>
                <w14:ligatures w14:val="none"/>
              </w:rPr>
              <w:t>800251163</w:t>
            </w:r>
          </w:p>
        </w:tc>
        <w:tc>
          <w:tcPr>
            <w:tcW w:w="2008" w:type="pct"/>
            <w:shd w:val="clear" w:color="000000" w:fill="FFFFFF"/>
            <w:noWrap/>
            <w:vAlign w:val="center"/>
            <w:hideMark/>
          </w:tcPr>
          <w:p w14:paraId="14002450" w14:textId="77777777" w:rsidR="000B3479" w:rsidRPr="0039091F" w:rsidRDefault="000B3479" w:rsidP="000A5389">
            <w:pPr>
              <w:spacing w:line="240" w:lineRule="auto"/>
              <w:rPr>
                <w:rFonts w:eastAsia="Times New Roman" w:cs="Times New Roman"/>
                <w:color w:val="000000"/>
                <w:kern w:val="0"/>
                <w:sz w:val="18"/>
                <w:szCs w:val="18"/>
                <w:lang w:eastAsia="es-CO"/>
                <w14:ligatures w14:val="none"/>
              </w:rPr>
            </w:pPr>
            <w:r w:rsidRPr="0039091F">
              <w:rPr>
                <w:rFonts w:eastAsia="Times New Roman" w:cs="Times New Roman"/>
                <w:color w:val="000000"/>
                <w:kern w:val="0"/>
                <w:sz w:val="18"/>
                <w:szCs w:val="18"/>
                <w:lang w:eastAsia="es-CO"/>
                <w14:ligatures w14:val="none"/>
              </w:rPr>
              <w:t>Oleoducto Central S.A.</w:t>
            </w:r>
          </w:p>
        </w:tc>
        <w:tc>
          <w:tcPr>
            <w:tcW w:w="803" w:type="pct"/>
            <w:shd w:val="clear" w:color="000000" w:fill="FFFFFF"/>
            <w:noWrap/>
            <w:vAlign w:val="center"/>
            <w:hideMark/>
          </w:tcPr>
          <w:p w14:paraId="647DCFA0" w14:textId="77777777" w:rsidR="000B3479" w:rsidRPr="0039091F" w:rsidRDefault="000B3479" w:rsidP="000A5389">
            <w:pPr>
              <w:spacing w:line="240" w:lineRule="auto"/>
              <w:jc w:val="right"/>
              <w:rPr>
                <w:rFonts w:eastAsia="Times New Roman" w:cs="Times New Roman"/>
                <w:color w:val="000000"/>
                <w:kern w:val="0"/>
                <w:sz w:val="18"/>
                <w:szCs w:val="18"/>
                <w:lang w:eastAsia="es-CO"/>
                <w14:ligatures w14:val="none"/>
              </w:rPr>
            </w:pPr>
            <w:r w:rsidRPr="0039091F">
              <w:rPr>
                <w:rFonts w:eastAsia="Times New Roman" w:cs="Times New Roman"/>
                <w:color w:val="000000"/>
                <w:kern w:val="0"/>
                <w:sz w:val="18"/>
                <w:szCs w:val="18"/>
                <w:lang w:eastAsia="es-CO"/>
                <w14:ligatures w14:val="none"/>
              </w:rPr>
              <w:t>194.452.066.529</w:t>
            </w:r>
          </w:p>
        </w:tc>
        <w:tc>
          <w:tcPr>
            <w:tcW w:w="803" w:type="pct"/>
            <w:shd w:val="clear" w:color="000000" w:fill="FFFFFF"/>
            <w:noWrap/>
            <w:vAlign w:val="center"/>
            <w:hideMark/>
          </w:tcPr>
          <w:p w14:paraId="499320AA" w14:textId="77777777" w:rsidR="000B3479" w:rsidRPr="0039091F" w:rsidRDefault="000B3479" w:rsidP="000A5389">
            <w:pPr>
              <w:spacing w:line="240" w:lineRule="auto"/>
              <w:jc w:val="right"/>
              <w:rPr>
                <w:rFonts w:eastAsia="Times New Roman" w:cs="Times New Roman"/>
                <w:color w:val="000000"/>
                <w:kern w:val="0"/>
                <w:sz w:val="18"/>
                <w:szCs w:val="18"/>
                <w:lang w:eastAsia="es-CO"/>
                <w14:ligatures w14:val="none"/>
              </w:rPr>
            </w:pPr>
            <w:r w:rsidRPr="0039091F">
              <w:rPr>
                <w:rFonts w:eastAsia="Times New Roman" w:cs="Times New Roman"/>
                <w:color w:val="000000"/>
                <w:kern w:val="0"/>
                <w:sz w:val="18"/>
                <w:szCs w:val="18"/>
                <w:lang w:eastAsia="es-CO"/>
                <w14:ligatures w14:val="none"/>
              </w:rPr>
              <w:t>191.783.702.471</w:t>
            </w:r>
          </w:p>
        </w:tc>
        <w:tc>
          <w:tcPr>
            <w:tcW w:w="747" w:type="pct"/>
            <w:shd w:val="clear" w:color="000000" w:fill="FFFFFF"/>
            <w:noWrap/>
            <w:vAlign w:val="center"/>
            <w:hideMark/>
          </w:tcPr>
          <w:p w14:paraId="2C58F70C" w14:textId="77777777" w:rsidR="000B3479" w:rsidRPr="0039091F" w:rsidRDefault="000B3479" w:rsidP="000A5389">
            <w:pPr>
              <w:spacing w:line="240" w:lineRule="auto"/>
              <w:jc w:val="right"/>
              <w:rPr>
                <w:rFonts w:eastAsia="Times New Roman" w:cs="Times New Roman"/>
                <w:color w:val="000000"/>
                <w:kern w:val="0"/>
                <w:sz w:val="18"/>
                <w:szCs w:val="18"/>
                <w:lang w:eastAsia="es-CO"/>
                <w14:ligatures w14:val="none"/>
              </w:rPr>
            </w:pPr>
            <w:r w:rsidRPr="0039091F">
              <w:rPr>
                <w:rFonts w:eastAsia="Times New Roman" w:cs="Times New Roman"/>
                <w:color w:val="000000"/>
                <w:kern w:val="0"/>
                <w:sz w:val="18"/>
                <w:szCs w:val="18"/>
                <w:lang w:eastAsia="es-CO"/>
                <w14:ligatures w14:val="none"/>
              </w:rPr>
              <w:t>2.668.364.058</w:t>
            </w:r>
          </w:p>
        </w:tc>
      </w:tr>
      <w:tr w:rsidR="000B3479" w:rsidRPr="0039091F" w14:paraId="415A49CA" w14:textId="77777777" w:rsidTr="00071A8A">
        <w:trPr>
          <w:trHeight w:val="285"/>
        </w:trPr>
        <w:tc>
          <w:tcPr>
            <w:tcW w:w="639" w:type="pct"/>
            <w:shd w:val="clear" w:color="000000" w:fill="FFFFFF"/>
            <w:noWrap/>
            <w:vAlign w:val="center"/>
            <w:hideMark/>
          </w:tcPr>
          <w:p w14:paraId="6051CBF9" w14:textId="77777777" w:rsidR="000B3479" w:rsidRPr="0039091F" w:rsidRDefault="000B3479" w:rsidP="000A5389">
            <w:pPr>
              <w:spacing w:line="240" w:lineRule="auto"/>
              <w:jc w:val="right"/>
              <w:rPr>
                <w:rFonts w:eastAsia="Times New Roman" w:cs="Times New Roman"/>
                <w:color w:val="000000"/>
                <w:kern w:val="0"/>
                <w:sz w:val="18"/>
                <w:szCs w:val="18"/>
                <w:lang w:eastAsia="es-CO"/>
                <w14:ligatures w14:val="none"/>
              </w:rPr>
            </w:pPr>
            <w:r w:rsidRPr="0039091F">
              <w:rPr>
                <w:rFonts w:eastAsia="Times New Roman" w:cs="Times New Roman"/>
                <w:color w:val="000000"/>
                <w:kern w:val="0"/>
                <w:sz w:val="18"/>
                <w:szCs w:val="18"/>
                <w:lang w:eastAsia="es-CO"/>
                <w14:ligatures w14:val="none"/>
              </w:rPr>
              <w:t>899999068</w:t>
            </w:r>
          </w:p>
        </w:tc>
        <w:tc>
          <w:tcPr>
            <w:tcW w:w="2008" w:type="pct"/>
            <w:shd w:val="clear" w:color="000000" w:fill="FFFFFF"/>
            <w:noWrap/>
            <w:vAlign w:val="center"/>
            <w:hideMark/>
          </w:tcPr>
          <w:p w14:paraId="3D0AEEFE" w14:textId="77777777" w:rsidR="000B3479" w:rsidRPr="0039091F" w:rsidRDefault="000B3479" w:rsidP="000A5389">
            <w:pPr>
              <w:spacing w:line="240" w:lineRule="auto"/>
              <w:rPr>
                <w:rFonts w:eastAsia="Times New Roman" w:cs="Times New Roman"/>
                <w:color w:val="000000"/>
                <w:kern w:val="0"/>
                <w:sz w:val="18"/>
                <w:szCs w:val="18"/>
                <w:lang w:eastAsia="es-CO"/>
                <w14:ligatures w14:val="none"/>
              </w:rPr>
            </w:pPr>
            <w:r w:rsidRPr="0039091F">
              <w:rPr>
                <w:rFonts w:eastAsia="Times New Roman" w:cs="Times New Roman"/>
                <w:color w:val="000000"/>
                <w:kern w:val="0"/>
                <w:sz w:val="18"/>
                <w:szCs w:val="18"/>
                <w:lang w:eastAsia="es-CO"/>
                <w14:ligatures w14:val="none"/>
              </w:rPr>
              <w:t>Ecopetrol S A</w:t>
            </w:r>
          </w:p>
        </w:tc>
        <w:tc>
          <w:tcPr>
            <w:tcW w:w="803" w:type="pct"/>
            <w:shd w:val="clear" w:color="000000" w:fill="FFFFFF"/>
            <w:noWrap/>
            <w:vAlign w:val="center"/>
            <w:hideMark/>
          </w:tcPr>
          <w:p w14:paraId="677F5073" w14:textId="77777777" w:rsidR="000B3479" w:rsidRPr="0039091F" w:rsidRDefault="000B3479" w:rsidP="000A5389">
            <w:pPr>
              <w:spacing w:line="240" w:lineRule="auto"/>
              <w:jc w:val="right"/>
              <w:rPr>
                <w:rFonts w:eastAsia="Times New Roman" w:cs="Times New Roman"/>
                <w:color w:val="000000"/>
                <w:kern w:val="0"/>
                <w:sz w:val="18"/>
                <w:szCs w:val="18"/>
                <w:lang w:eastAsia="es-CO"/>
                <w14:ligatures w14:val="none"/>
              </w:rPr>
            </w:pPr>
            <w:r w:rsidRPr="0039091F">
              <w:rPr>
                <w:rFonts w:eastAsia="Times New Roman" w:cs="Times New Roman"/>
                <w:color w:val="000000"/>
                <w:kern w:val="0"/>
                <w:sz w:val="18"/>
                <w:szCs w:val="18"/>
                <w:lang w:eastAsia="es-CO"/>
                <w14:ligatures w14:val="none"/>
              </w:rPr>
              <w:t>148.023.139.895</w:t>
            </w:r>
          </w:p>
        </w:tc>
        <w:tc>
          <w:tcPr>
            <w:tcW w:w="803" w:type="pct"/>
            <w:shd w:val="clear" w:color="000000" w:fill="FFFFFF"/>
            <w:noWrap/>
            <w:vAlign w:val="center"/>
            <w:hideMark/>
          </w:tcPr>
          <w:p w14:paraId="1A3E453D" w14:textId="77777777" w:rsidR="000B3479" w:rsidRPr="0039091F" w:rsidRDefault="000B3479" w:rsidP="000A5389">
            <w:pPr>
              <w:spacing w:line="240" w:lineRule="auto"/>
              <w:jc w:val="right"/>
              <w:rPr>
                <w:rFonts w:eastAsia="Times New Roman" w:cs="Times New Roman"/>
                <w:color w:val="000000"/>
                <w:kern w:val="0"/>
                <w:sz w:val="18"/>
                <w:szCs w:val="18"/>
                <w:lang w:eastAsia="es-CO"/>
                <w14:ligatures w14:val="none"/>
              </w:rPr>
            </w:pPr>
            <w:r w:rsidRPr="0039091F">
              <w:rPr>
                <w:rFonts w:eastAsia="Times New Roman" w:cs="Times New Roman"/>
                <w:color w:val="000000"/>
                <w:kern w:val="0"/>
                <w:sz w:val="18"/>
                <w:szCs w:val="18"/>
                <w:lang w:eastAsia="es-CO"/>
                <w14:ligatures w14:val="none"/>
              </w:rPr>
              <w:t>151.735.001.662</w:t>
            </w:r>
          </w:p>
        </w:tc>
        <w:tc>
          <w:tcPr>
            <w:tcW w:w="747" w:type="pct"/>
            <w:shd w:val="clear" w:color="000000" w:fill="FFFFFF"/>
            <w:noWrap/>
            <w:vAlign w:val="center"/>
            <w:hideMark/>
          </w:tcPr>
          <w:p w14:paraId="61F2F97E" w14:textId="77777777" w:rsidR="000B3479" w:rsidRPr="0039091F" w:rsidRDefault="000B3479" w:rsidP="000A5389">
            <w:pPr>
              <w:spacing w:line="240" w:lineRule="auto"/>
              <w:jc w:val="right"/>
              <w:rPr>
                <w:rFonts w:eastAsia="Times New Roman" w:cs="Times New Roman"/>
                <w:color w:val="000000"/>
                <w:kern w:val="0"/>
                <w:sz w:val="18"/>
                <w:szCs w:val="18"/>
                <w:lang w:eastAsia="es-CO"/>
                <w14:ligatures w14:val="none"/>
              </w:rPr>
            </w:pPr>
            <w:r w:rsidRPr="0039091F">
              <w:rPr>
                <w:rFonts w:eastAsia="Times New Roman" w:cs="Times New Roman"/>
                <w:color w:val="000000"/>
                <w:kern w:val="0"/>
                <w:sz w:val="18"/>
                <w:szCs w:val="18"/>
                <w:lang w:eastAsia="es-CO"/>
                <w14:ligatures w14:val="none"/>
              </w:rPr>
              <w:t>-3.711.861.767</w:t>
            </w:r>
          </w:p>
        </w:tc>
      </w:tr>
      <w:tr w:rsidR="000B3479" w:rsidRPr="0039091F" w14:paraId="3DEE8B7A" w14:textId="77777777" w:rsidTr="00071A8A">
        <w:trPr>
          <w:trHeight w:val="285"/>
        </w:trPr>
        <w:tc>
          <w:tcPr>
            <w:tcW w:w="639" w:type="pct"/>
            <w:shd w:val="clear" w:color="000000" w:fill="FFFFFF"/>
            <w:noWrap/>
            <w:vAlign w:val="center"/>
            <w:hideMark/>
          </w:tcPr>
          <w:p w14:paraId="3FCD9D41" w14:textId="77777777" w:rsidR="000B3479" w:rsidRPr="0039091F" w:rsidRDefault="000B3479" w:rsidP="000A5389">
            <w:pPr>
              <w:spacing w:line="240" w:lineRule="auto"/>
              <w:jc w:val="right"/>
              <w:rPr>
                <w:rFonts w:eastAsia="Times New Roman" w:cs="Times New Roman"/>
                <w:color w:val="000000"/>
                <w:kern w:val="0"/>
                <w:sz w:val="18"/>
                <w:szCs w:val="18"/>
                <w:lang w:eastAsia="es-CO"/>
                <w14:ligatures w14:val="none"/>
              </w:rPr>
            </w:pPr>
            <w:r w:rsidRPr="0039091F">
              <w:rPr>
                <w:rFonts w:eastAsia="Times New Roman" w:cs="Times New Roman"/>
                <w:color w:val="000000"/>
                <w:kern w:val="0"/>
                <w:sz w:val="18"/>
                <w:szCs w:val="18"/>
                <w:lang w:eastAsia="es-CO"/>
                <w14:ligatures w14:val="none"/>
              </w:rPr>
              <w:t>800187234</w:t>
            </w:r>
          </w:p>
        </w:tc>
        <w:tc>
          <w:tcPr>
            <w:tcW w:w="2008" w:type="pct"/>
            <w:shd w:val="clear" w:color="000000" w:fill="FFFFFF"/>
            <w:noWrap/>
            <w:vAlign w:val="center"/>
            <w:hideMark/>
          </w:tcPr>
          <w:p w14:paraId="4E169C68" w14:textId="5E1B6AE5" w:rsidR="000B3479" w:rsidRPr="0039091F" w:rsidRDefault="000B3479" w:rsidP="000A5389">
            <w:pPr>
              <w:spacing w:line="240" w:lineRule="auto"/>
              <w:rPr>
                <w:rFonts w:eastAsia="Times New Roman" w:cs="Times New Roman"/>
                <w:color w:val="000000"/>
                <w:kern w:val="0"/>
                <w:sz w:val="18"/>
                <w:szCs w:val="18"/>
                <w:lang w:eastAsia="es-CO"/>
                <w14:ligatures w14:val="none"/>
              </w:rPr>
            </w:pPr>
            <w:r w:rsidRPr="0039091F">
              <w:rPr>
                <w:rFonts w:eastAsia="Times New Roman" w:cs="Times New Roman"/>
                <w:color w:val="000000"/>
                <w:kern w:val="0"/>
                <w:sz w:val="18"/>
                <w:szCs w:val="18"/>
                <w:lang w:eastAsia="es-CO"/>
                <w14:ligatures w14:val="none"/>
              </w:rPr>
              <w:t>Sociedad Portuaria Regional de Santa Marta S. A</w:t>
            </w:r>
          </w:p>
        </w:tc>
        <w:tc>
          <w:tcPr>
            <w:tcW w:w="803" w:type="pct"/>
            <w:shd w:val="clear" w:color="000000" w:fill="FFFFFF"/>
            <w:noWrap/>
            <w:vAlign w:val="center"/>
            <w:hideMark/>
          </w:tcPr>
          <w:p w14:paraId="547B1ACC" w14:textId="77777777" w:rsidR="000B3479" w:rsidRPr="0039091F" w:rsidRDefault="000B3479" w:rsidP="000A5389">
            <w:pPr>
              <w:spacing w:line="240" w:lineRule="auto"/>
              <w:jc w:val="right"/>
              <w:rPr>
                <w:rFonts w:eastAsia="Times New Roman" w:cs="Times New Roman"/>
                <w:color w:val="000000"/>
                <w:kern w:val="0"/>
                <w:sz w:val="18"/>
                <w:szCs w:val="18"/>
                <w:lang w:eastAsia="es-CO"/>
                <w14:ligatures w14:val="none"/>
              </w:rPr>
            </w:pPr>
            <w:r w:rsidRPr="0039091F">
              <w:rPr>
                <w:rFonts w:eastAsia="Times New Roman" w:cs="Times New Roman"/>
                <w:color w:val="000000"/>
                <w:kern w:val="0"/>
                <w:sz w:val="18"/>
                <w:szCs w:val="18"/>
                <w:lang w:eastAsia="es-CO"/>
                <w14:ligatures w14:val="none"/>
              </w:rPr>
              <w:t>137.967.238.354</w:t>
            </w:r>
          </w:p>
        </w:tc>
        <w:tc>
          <w:tcPr>
            <w:tcW w:w="803" w:type="pct"/>
            <w:shd w:val="clear" w:color="000000" w:fill="FFFFFF"/>
            <w:noWrap/>
            <w:vAlign w:val="center"/>
            <w:hideMark/>
          </w:tcPr>
          <w:p w14:paraId="11BFD5DC" w14:textId="77777777" w:rsidR="000B3479" w:rsidRPr="0039091F" w:rsidRDefault="000B3479" w:rsidP="000A5389">
            <w:pPr>
              <w:spacing w:line="240" w:lineRule="auto"/>
              <w:jc w:val="right"/>
              <w:rPr>
                <w:rFonts w:eastAsia="Times New Roman" w:cs="Times New Roman"/>
                <w:color w:val="000000"/>
                <w:kern w:val="0"/>
                <w:sz w:val="18"/>
                <w:szCs w:val="18"/>
                <w:lang w:eastAsia="es-CO"/>
                <w14:ligatures w14:val="none"/>
              </w:rPr>
            </w:pPr>
            <w:r w:rsidRPr="0039091F">
              <w:rPr>
                <w:rFonts w:eastAsia="Times New Roman" w:cs="Times New Roman"/>
                <w:color w:val="000000"/>
                <w:kern w:val="0"/>
                <w:sz w:val="18"/>
                <w:szCs w:val="18"/>
                <w:lang w:eastAsia="es-CO"/>
                <w14:ligatures w14:val="none"/>
              </w:rPr>
              <w:t>138.674.191.977</w:t>
            </w:r>
          </w:p>
        </w:tc>
        <w:tc>
          <w:tcPr>
            <w:tcW w:w="747" w:type="pct"/>
            <w:shd w:val="clear" w:color="000000" w:fill="FFFFFF"/>
            <w:noWrap/>
            <w:vAlign w:val="center"/>
            <w:hideMark/>
          </w:tcPr>
          <w:p w14:paraId="077C12EC" w14:textId="77777777" w:rsidR="000B3479" w:rsidRPr="0039091F" w:rsidRDefault="000B3479" w:rsidP="000A5389">
            <w:pPr>
              <w:spacing w:line="240" w:lineRule="auto"/>
              <w:jc w:val="right"/>
              <w:rPr>
                <w:rFonts w:eastAsia="Times New Roman" w:cs="Times New Roman"/>
                <w:color w:val="000000"/>
                <w:kern w:val="0"/>
                <w:sz w:val="18"/>
                <w:szCs w:val="18"/>
                <w:lang w:eastAsia="es-CO"/>
                <w14:ligatures w14:val="none"/>
              </w:rPr>
            </w:pPr>
            <w:r w:rsidRPr="0039091F">
              <w:rPr>
                <w:rFonts w:eastAsia="Times New Roman" w:cs="Times New Roman"/>
                <w:color w:val="000000"/>
                <w:kern w:val="0"/>
                <w:sz w:val="18"/>
                <w:szCs w:val="18"/>
                <w:lang w:eastAsia="es-CO"/>
                <w14:ligatures w14:val="none"/>
              </w:rPr>
              <w:t>-706.953.624</w:t>
            </w:r>
          </w:p>
        </w:tc>
      </w:tr>
      <w:tr w:rsidR="000B3479" w:rsidRPr="0039091F" w14:paraId="4A447015" w14:textId="77777777" w:rsidTr="00071A8A">
        <w:trPr>
          <w:trHeight w:val="285"/>
        </w:trPr>
        <w:tc>
          <w:tcPr>
            <w:tcW w:w="639" w:type="pct"/>
            <w:shd w:val="clear" w:color="000000" w:fill="FFFFFF"/>
            <w:noWrap/>
            <w:vAlign w:val="center"/>
            <w:hideMark/>
          </w:tcPr>
          <w:p w14:paraId="03699374" w14:textId="77777777" w:rsidR="000B3479" w:rsidRPr="0039091F" w:rsidRDefault="000B3479" w:rsidP="000A5389">
            <w:pPr>
              <w:spacing w:line="240" w:lineRule="auto"/>
              <w:jc w:val="right"/>
              <w:rPr>
                <w:rFonts w:eastAsia="Times New Roman" w:cs="Times New Roman"/>
                <w:color w:val="000000"/>
                <w:kern w:val="0"/>
                <w:sz w:val="18"/>
                <w:szCs w:val="18"/>
                <w:lang w:eastAsia="es-CO"/>
                <w14:ligatures w14:val="none"/>
              </w:rPr>
            </w:pPr>
            <w:r w:rsidRPr="0039091F">
              <w:rPr>
                <w:rFonts w:eastAsia="Times New Roman" w:cs="Times New Roman"/>
                <w:color w:val="000000"/>
                <w:kern w:val="0"/>
                <w:sz w:val="18"/>
                <w:szCs w:val="18"/>
                <w:lang w:eastAsia="es-CO"/>
                <w14:ligatures w14:val="none"/>
              </w:rPr>
              <w:t>800200969</w:t>
            </w:r>
          </w:p>
        </w:tc>
        <w:tc>
          <w:tcPr>
            <w:tcW w:w="2008" w:type="pct"/>
            <w:shd w:val="clear" w:color="000000" w:fill="FFFFFF"/>
            <w:noWrap/>
            <w:vAlign w:val="center"/>
            <w:hideMark/>
          </w:tcPr>
          <w:p w14:paraId="044A6B3D" w14:textId="77777777" w:rsidR="000B3479" w:rsidRPr="0039091F" w:rsidRDefault="000B3479" w:rsidP="000A5389">
            <w:pPr>
              <w:spacing w:line="240" w:lineRule="auto"/>
              <w:rPr>
                <w:rFonts w:eastAsia="Times New Roman" w:cs="Times New Roman"/>
                <w:color w:val="000000"/>
                <w:kern w:val="0"/>
                <w:sz w:val="18"/>
                <w:szCs w:val="18"/>
                <w:lang w:eastAsia="es-CO"/>
                <w14:ligatures w14:val="none"/>
              </w:rPr>
            </w:pPr>
            <w:r w:rsidRPr="0039091F">
              <w:rPr>
                <w:rFonts w:eastAsia="Times New Roman" w:cs="Times New Roman"/>
                <w:color w:val="000000"/>
                <w:kern w:val="0"/>
                <w:sz w:val="18"/>
                <w:szCs w:val="18"/>
                <w:lang w:eastAsia="es-CO"/>
                <w14:ligatures w14:val="none"/>
              </w:rPr>
              <w:t xml:space="preserve">Sociedad Portuaria Regional de Cartagena S.A. </w:t>
            </w:r>
          </w:p>
        </w:tc>
        <w:tc>
          <w:tcPr>
            <w:tcW w:w="803" w:type="pct"/>
            <w:shd w:val="clear" w:color="000000" w:fill="FFFFFF"/>
            <w:noWrap/>
            <w:vAlign w:val="center"/>
            <w:hideMark/>
          </w:tcPr>
          <w:p w14:paraId="3600A913" w14:textId="77777777" w:rsidR="000B3479" w:rsidRPr="0039091F" w:rsidRDefault="000B3479" w:rsidP="000A5389">
            <w:pPr>
              <w:spacing w:line="240" w:lineRule="auto"/>
              <w:jc w:val="right"/>
              <w:rPr>
                <w:rFonts w:eastAsia="Times New Roman" w:cs="Times New Roman"/>
                <w:color w:val="000000"/>
                <w:kern w:val="0"/>
                <w:sz w:val="18"/>
                <w:szCs w:val="18"/>
                <w:lang w:eastAsia="es-CO"/>
                <w14:ligatures w14:val="none"/>
              </w:rPr>
            </w:pPr>
            <w:r w:rsidRPr="0039091F">
              <w:rPr>
                <w:rFonts w:eastAsia="Times New Roman" w:cs="Times New Roman"/>
                <w:color w:val="000000"/>
                <w:kern w:val="0"/>
                <w:sz w:val="18"/>
                <w:szCs w:val="18"/>
                <w:lang w:eastAsia="es-CO"/>
                <w14:ligatures w14:val="none"/>
              </w:rPr>
              <w:t>134.800.979.929</w:t>
            </w:r>
          </w:p>
        </w:tc>
        <w:tc>
          <w:tcPr>
            <w:tcW w:w="803" w:type="pct"/>
            <w:shd w:val="clear" w:color="000000" w:fill="FFFFFF"/>
            <w:noWrap/>
            <w:vAlign w:val="center"/>
            <w:hideMark/>
          </w:tcPr>
          <w:p w14:paraId="5263144B" w14:textId="77777777" w:rsidR="000B3479" w:rsidRPr="0039091F" w:rsidRDefault="000B3479" w:rsidP="000A5389">
            <w:pPr>
              <w:spacing w:line="240" w:lineRule="auto"/>
              <w:jc w:val="right"/>
              <w:rPr>
                <w:rFonts w:eastAsia="Times New Roman" w:cs="Times New Roman"/>
                <w:color w:val="000000"/>
                <w:kern w:val="0"/>
                <w:sz w:val="18"/>
                <w:szCs w:val="18"/>
                <w:lang w:eastAsia="es-CO"/>
                <w14:ligatures w14:val="none"/>
              </w:rPr>
            </w:pPr>
            <w:r w:rsidRPr="0039091F">
              <w:rPr>
                <w:rFonts w:eastAsia="Times New Roman" w:cs="Times New Roman"/>
                <w:color w:val="000000"/>
                <w:kern w:val="0"/>
                <w:sz w:val="18"/>
                <w:szCs w:val="18"/>
                <w:lang w:eastAsia="es-CO"/>
                <w14:ligatures w14:val="none"/>
              </w:rPr>
              <w:t>153.445.601.011</w:t>
            </w:r>
          </w:p>
        </w:tc>
        <w:tc>
          <w:tcPr>
            <w:tcW w:w="747" w:type="pct"/>
            <w:shd w:val="clear" w:color="000000" w:fill="FFFFFF"/>
            <w:noWrap/>
            <w:vAlign w:val="center"/>
            <w:hideMark/>
          </w:tcPr>
          <w:p w14:paraId="3E0E6BA5" w14:textId="77777777" w:rsidR="000B3479" w:rsidRPr="0039091F" w:rsidRDefault="000B3479" w:rsidP="000A5389">
            <w:pPr>
              <w:spacing w:line="240" w:lineRule="auto"/>
              <w:jc w:val="right"/>
              <w:rPr>
                <w:rFonts w:eastAsia="Times New Roman" w:cs="Times New Roman"/>
                <w:color w:val="000000"/>
                <w:kern w:val="0"/>
                <w:sz w:val="18"/>
                <w:szCs w:val="18"/>
                <w:lang w:eastAsia="es-CO"/>
                <w14:ligatures w14:val="none"/>
              </w:rPr>
            </w:pPr>
            <w:r w:rsidRPr="0039091F">
              <w:rPr>
                <w:rFonts w:eastAsia="Times New Roman" w:cs="Times New Roman"/>
                <w:color w:val="000000"/>
                <w:kern w:val="0"/>
                <w:sz w:val="18"/>
                <w:szCs w:val="18"/>
                <w:lang w:eastAsia="es-CO"/>
                <w14:ligatures w14:val="none"/>
              </w:rPr>
              <w:t>-18.644.621.083</w:t>
            </w:r>
          </w:p>
        </w:tc>
      </w:tr>
      <w:tr w:rsidR="000B3479" w:rsidRPr="0039091F" w14:paraId="3CC1B838" w14:textId="77777777" w:rsidTr="00071A8A">
        <w:trPr>
          <w:trHeight w:val="285"/>
        </w:trPr>
        <w:tc>
          <w:tcPr>
            <w:tcW w:w="639" w:type="pct"/>
            <w:shd w:val="clear" w:color="000000" w:fill="FFFFFF"/>
            <w:noWrap/>
            <w:vAlign w:val="center"/>
            <w:hideMark/>
          </w:tcPr>
          <w:p w14:paraId="3E8CB8FC" w14:textId="77777777" w:rsidR="000B3479" w:rsidRPr="0039091F" w:rsidRDefault="000B3479" w:rsidP="000A5389">
            <w:pPr>
              <w:spacing w:line="240" w:lineRule="auto"/>
              <w:jc w:val="right"/>
              <w:rPr>
                <w:rFonts w:eastAsia="Times New Roman" w:cs="Times New Roman"/>
                <w:color w:val="000000"/>
                <w:kern w:val="0"/>
                <w:sz w:val="18"/>
                <w:szCs w:val="18"/>
                <w:lang w:eastAsia="es-CO"/>
                <w14:ligatures w14:val="none"/>
              </w:rPr>
            </w:pPr>
            <w:r w:rsidRPr="0039091F">
              <w:rPr>
                <w:rFonts w:eastAsia="Times New Roman" w:cs="Times New Roman"/>
                <w:color w:val="000000"/>
                <w:kern w:val="0"/>
                <w:sz w:val="18"/>
                <w:szCs w:val="18"/>
                <w:lang w:eastAsia="es-CO"/>
                <w14:ligatures w14:val="none"/>
              </w:rPr>
              <w:t>900531210</w:t>
            </w:r>
          </w:p>
        </w:tc>
        <w:tc>
          <w:tcPr>
            <w:tcW w:w="2008" w:type="pct"/>
            <w:shd w:val="clear" w:color="000000" w:fill="FFFFFF"/>
            <w:noWrap/>
            <w:vAlign w:val="center"/>
            <w:hideMark/>
          </w:tcPr>
          <w:p w14:paraId="37A16FD8" w14:textId="77777777" w:rsidR="000B3479" w:rsidRPr="0039091F" w:rsidRDefault="000B3479" w:rsidP="000A5389">
            <w:pPr>
              <w:spacing w:line="240" w:lineRule="auto"/>
              <w:rPr>
                <w:rFonts w:eastAsia="Times New Roman" w:cs="Times New Roman"/>
                <w:color w:val="000000"/>
                <w:kern w:val="0"/>
                <w:sz w:val="18"/>
                <w:szCs w:val="18"/>
                <w:lang w:eastAsia="es-CO"/>
                <w14:ligatures w14:val="none"/>
              </w:rPr>
            </w:pPr>
            <w:r w:rsidRPr="0039091F">
              <w:rPr>
                <w:rFonts w:eastAsia="Times New Roman" w:cs="Times New Roman"/>
                <w:color w:val="000000"/>
                <w:kern w:val="0"/>
                <w:sz w:val="18"/>
                <w:szCs w:val="18"/>
                <w:lang w:eastAsia="es-CO"/>
                <w14:ligatures w14:val="none"/>
              </w:rPr>
              <w:t>Cenit Transporte y Logística de Hidrocarburos S.A.S.</w:t>
            </w:r>
          </w:p>
        </w:tc>
        <w:tc>
          <w:tcPr>
            <w:tcW w:w="803" w:type="pct"/>
            <w:shd w:val="clear" w:color="000000" w:fill="FFFFFF"/>
            <w:noWrap/>
            <w:vAlign w:val="center"/>
            <w:hideMark/>
          </w:tcPr>
          <w:p w14:paraId="474C7235" w14:textId="77777777" w:rsidR="000B3479" w:rsidRPr="0039091F" w:rsidRDefault="000B3479" w:rsidP="000A5389">
            <w:pPr>
              <w:spacing w:line="240" w:lineRule="auto"/>
              <w:jc w:val="right"/>
              <w:rPr>
                <w:rFonts w:eastAsia="Times New Roman" w:cs="Times New Roman"/>
                <w:color w:val="000000"/>
                <w:kern w:val="0"/>
                <w:sz w:val="18"/>
                <w:szCs w:val="18"/>
                <w:lang w:eastAsia="es-CO"/>
                <w14:ligatures w14:val="none"/>
              </w:rPr>
            </w:pPr>
            <w:r w:rsidRPr="0039091F">
              <w:rPr>
                <w:rFonts w:eastAsia="Times New Roman" w:cs="Times New Roman"/>
                <w:color w:val="000000"/>
                <w:kern w:val="0"/>
                <w:sz w:val="18"/>
                <w:szCs w:val="18"/>
                <w:lang w:eastAsia="es-CO"/>
                <w14:ligatures w14:val="none"/>
              </w:rPr>
              <w:t>115.629.185.281</w:t>
            </w:r>
          </w:p>
        </w:tc>
        <w:tc>
          <w:tcPr>
            <w:tcW w:w="803" w:type="pct"/>
            <w:shd w:val="clear" w:color="000000" w:fill="FFFFFF"/>
            <w:noWrap/>
            <w:vAlign w:val="center"/>
            <w:hideMark/>
          </w:tcPr>
          <w:p w14:paraId="5AC632B2" w14:textId="77777777" w:rsidR="000B3479" w:rsidRPr="0039091F" w:rsidRDefault="000B3479" w:rsidP="000A5389">
            <w:pPr>
              <w:spacing w:line="240" w:lineRule="auto"/>
              <w:jc w:val="right"/>
              <w:rPr>
                <w:rFonts w:eastAsia="Times New Roman" w:cs="Times New Roman"/>
                <w:color w:val="000000"/>
                <w:kern w:val="0"/>
                <w:sz w:val="18"/>
                <w:szCs w:val="18"/>
                <w:lang w:eastAsia="es-CO"/>
                <w14:ligatures w14:val="none"/>
              </w:rPr>
            </w:pPr>
            <w:r w:rsidRPr="0039091F">
              <w:rPr>
                <w:rFonts w:eastAsia="Times New Roman" w:cs="Times New Roman"/>
                <w:color w:val="000000"/>
                <w:kern w:val="0"/>
                <w:sz w:val="18"/>
                <w:szCs w:val="18"/>
                <w:lang w:eastAsia="es-CO"/>
                <w14:ligatures w14:val="none"/>
              </w:rPr>
              <w:t>130.583.741.746</w:t>
            </w:r>
          </w:p>
        </w:tc>
        <w:tc>
          <w:tcPr>
            <w:tcW w:w="747" w:type="pct"/>
            <w:shd w:val="clear" w:color="000000" w:fill="FFFFFF"/>
            <w:noWrap/>
            <w:vAlign w:val="center"/>
            <w:hideMark/>
          </w:tcPr>
          <w:p w14:paraId="0093AF89" w14:textId="77777777" w:rsidR="000B3479" w:rsidRPr="0039091F" w:rsidRDefault="000B3479" w:rsidP="000A5389">
            <w:pPr>
              <w:spacing w:line="240" w:lineRule="auto"/>
              <w:jc w:val="right"/>
              <w:rPr>
                <w:rFonts w:eastAsia="Times New Roman" w:cs="Times New Roman"/>
                <w:color w:val="000000"/>
                <w:kern w:val="0"/>
                <w:sz w:val="18"/>
                <w:szCs w:val="18"/>
                <w:lang w:eastAsia="es-CO"/>
                <w14:ligatures w14:val="none"/>
              </w:rPr>
            </w:pPr>
            <w:r w:rsidRPr="0039091F">
              <w:rPr>
                <w:rFonts w:eastAsia="Times New Roman" w:cs="Times New Roman"/>
                <w:color w:val="000000"/>
                <w:kern w:val="0"/>
                <w:sz w:val="18"/>
                <w:szCs w:val="18"/>
                <w:lang w:eastAsia="es-CO"/>
                <w14:ligatures w14:val="none"/>
              </w:rPr>
              <w:t>-14.954.556.466</w:t>
            </w:r>
          </w:p>
        </w:tc>
      </w:tr>
      <w:tr w:rsidR="000B3479" w:rsidRPr="0039091F" w14:paraId="095A6673" w14:textId="77777777" w:rsidTr="00071A8A">
        <w:trPr>
          <w:trHeight w:val="285"/>
        </w:trPr>
        <w:tc>
          <w:tcPr>
            <w:tcW w:w="639" w:type="pct"/>
            <w:shd w:val="clear" w:color="000000" w:fill="FFFFFF"/>
            <w:noWrap/>
            <w:vAlign w:val="center"/>
            <w:hideMark/>
          </w:tcPr>
          <w:p w14:paraId="6EC4FE94" w14:textId="77777777" w:rsidR="000B3479" w:rsidRPr="0039091F" w:rsidRDefault="000B3479" w:rsidP="000A5389">
            <w:pPr>
              <w:spacing w:line="240" w:lineRule="auto"/>
              <w:jc w:val="right"/>
              <w:rPr>
                <w:rFonts w:eastAsia="Times New Roman" w:cs="Times New Roman"/>
                <w:color w:val="000000"/>
                <w:kern w:val="0"/>
                <w:sz w:val="18"/>
                <w:szCs w:val="18"/>
                <w:lang w:eastAsia="es-CO"/>
                <w14:ligatures w14:val="none"/>
              </w:rPr>
            </w:pPr>
            <w:r w:rsidRPr="0039091F">
              <w:rPr>
                <w:rFonts w:eastAsia="Times New Roman" w:cs="Times New Roman"/>
                <w:color w:val="000000"/>
                <w:kern w:val="0"/>
                <w:sz w:val="18"/>
                <w:szCs w:val="18"/>
                <w:lang w:eastAsia="es-CO"/>
                <w14:ligatures w14:val="none"/>
              </w:rPr>
              <w:t>830078038</w:t>
            </w:r>
          </w:p>
        </w:tc>
        <w:tc>
          <w:tcPr>
            <w:tcW w:w="2008" w:type="pct"/>
            <w:shd w:val="clear" w:color="000000" w:fill="FFFFFF"/>
            <w:noWrap/>
            <w:vAlign w:val="center"/>
            <w:hideMark/>
          </w:tcPr>
          <w:p w14:paraId="16676EF3" w14:textId="77777777" w:rsidR="000B3479" w:rsidRPr="0039091F" w:rsidRDefault="000B3479" w:rsidP="000A5389">
            <w:pPr>
              <w:spacing w:line="240" w:lineRule="auto"/>
              <w:rPr>
                <w:rFonts w:eastAsia="Times New Roman" w:cs="Times New Roman"/>
                <w:color w:val="000000"/>
                <w:kern w:val="0"/>
                <w:sz w:val="18"/>
                <w:szCs w:val="18"/>
                <w:lang w:eastAsia="es-CO"/>
                <w14:ligatures w14:val="none"/>
              </w:rPr>
            </w:pPr>
            <w:r w:rsidRPr="0039091F">
              <w:rPr>
                <w:rFonts w:eastAsia="Times New Roman" w:cs="Times New Roman"/>
                <w:color w:val="000000"/>
                <w:kern w:val="0"/>
                <w:sz w:val="18"/>
                <w:szCs w:val="18"/>
                <w:lang w:eastAsia="es-CO"/>
                <w14:ligatures w14:val="none"/>
              </w:rPr>
              <w:t>Cerrejón Zona Norte S. A.</w:t>
            </w:r>
          </w:p>
        </w:tc>
        <w:tc>
          <w:tcPr>
            <w:tcW w:w="803" w:type="pct"/>
            <w:shd w:val="clear" w:color="000000" w:fill="FFFFFF"/>
            <w:noWrap/>
            <w:vAlign w:val="center"/>
            <w:hideMark/>
          </w:tcPr>
          <w:p w14:paraId="19182B6F" w14:textId="77777777" w:rsidR="000B3479" w:rsidRPr="0039091F" w:rsidRDefault="000B3479" w:rsidP="000A5389">
            <w:pPr>
              <w:spacing w:line="240" w:lineRule="auto"/>
              <w:jc w:val="right"/>
              <w:rPr>
                <w:rFonts w:eastAsia="Times New Roman" w:cs="Times New Roman"/>
                <w:color w:val="000000"/>
                <w:kern w:val="0"/>
                <w:sz w:val="18"/>
                <w:szCs w:val="18"/>
                <w:lang w:eastAsia="es-CO"/>
                <w14:ligatures w14:val="none"/>
              </w:rPr>
            </w:pPr>
            <w:r w:rsidRPr="0039091F">
              <w:rPr>
                <w:rFonts w:eastAsia="Times New Roman" w:cs="Times New Roman"/>
                <w:color w:val="000000"/>
                <w:kern w:val="0"/>
                <w:sz w:val="18"/>
                <w:szCs w:val="18"/>
                <w:lang w:eastAsia="es-CO"/>
                <w14:ligatures w14:val="none"/>
              </w:rPr>
              <w:t>111.866.496.359</w:t>
            </w:r>
          </w:p>
        </w:tc>
        <w:tc>
          <w:tcPr>
            <w:tcW w:w="803" w:type="pct"/>
            <w:shd w:val="clear" w:color="000000" w:fill="FFFFFF"/>
            <w:noWrap/>
            <w:vAlign w:val="center"/>
            <w:hideMark/>
          </w:tcPr>
          <w:p w14:paraId="4F46FBEB" w14:textId="77777777" w:rsidR="000B3479" w:rsidRPr="0039091F" w:rsidRDefault="000B3479" w:rsidP="000A5389">
            <w:pPr>
              <w:spacing w:line="240" w:lineRule="auto"/>
              <w:jc w:val="right"/>
              <w:rPr>
                <w:rFonts w:eastAsia="Times New Roman" w:cs="Times New Roman"/>
                <w:color w:val="000000"/>
                <w:kern w:val="0"/>
                <w:sz w:val="18"/>
                <w:szCs w:val="18"/>
                <w:lang w:eastAsia="es-CO"/>
                <w14:ligatures w14:val="none"/>
              </w:rPr>
            </w:pPr>
            <w:r w:rsidRPr="0039091F">
              <w:rPr>
                <w:rFonts w:eastAsia="Times New Roman" w:cs="Times New Roman"/>
                <w:color w:val="000000"/>
                <w:kern w:val="0"/>
                <w:sz w:val="18"/>
                <w:szCs w:val="18"/>
                <w:lang w:eastAsia="es-CO"/>
                <w14:ligatures w14:val="none"/>
              </w:rPr>
              <w:t>134.239.795.631</w:t>
            </w:r>
          </w:p>
        </w:tc>
        <w:tc>
          <w:tcPr>
            <w:tcW w:w="747" w:type="pct"/>
            <w:shd w:val="clear" w:color="000000" w:fill="FFFFFF"/>
            <w:noWrap/>
            <w:vAlign w:val="center"/>
            <w:hideMark/>
          </w:tcPr>
          <w:p w14:paraId="713B41DB" w14:textId="77777777" w:rsidR="000B3479" w:rsidRPr="0039091F" w:rsidRDefault="000B3479" w:rsidP="000A5389">
            <w:pPr>
              <w:spacing w:line="240" w:lineRule="auto"/>
              <w:jc w:val="right"/>
              <w:rPr>
                <w:rFonts w:eastAsia="Times New Roman" w:cs="Times New Roman"/>
                <w:color w:val="000000"/>
                <w:kern w:val="0"/>
                <w:sz w:val="18"/>
                <w:szCs w:val="18"/>
                <w:lang w:eastAsia="es-CO"/>
                <w14:ligatures w14:val="none"/>
              </w:rPr>
            </w:pPr>
            <w:r w:rsidRPr="0039091F">
              <w:rPr>
                <w:rFonts w:eastAsia="Times New Roman" w:cs="Times New Roman"/>
                <w:color w:val="000000"/>
                <w:kern w:val="0"/>
                <w:sz w:val="18"/>
                <w:szCs w:val="18"/>
                <w:lang w:eastAsia="es-CO"/>
                <w14:ligatures w14:val="none"/>
              </w:rPr>
              <w:t>-22.373.299.272</w:t>
            </w:r>
          </w:p>
        </w:tc>
      </w:tr>
      <w:tr w:rsidR="000B3479" w:rsidRPr="0039091F" w14:paraId="278E988D" w14:textId="77777777" w:rsidTr="00071A8A">
        <w:trPr>
          <w:trHeight w:val="285"/>
        </w:trPr>
        <w:tc>
          <w:tcPr>
            <w:tcW w:w="639" w:type="pct"/>
            <w:shd w:val="clear" w:color="000000" w:fill="FFFFFF"/>
            <w:noWrap/>
            <w:vAlign w:val="center"/>
            <w:hideMark/>
          </w:tcPr>
          <w:p w14:paraId="6C18EEDD" w14:textId="77777777" w:rsidR="000B3479" w:rsidRPr="0039091F" w:rsidRDefault="000B3479" w:rsidP="000A5389">
            <w:pPr>
              <w:spacing w:line="240" w:lineRule="auto"/>
              <w:jc w:val="right"/>
              <w:rPr>
                <w:rFonts w:eastAsia="Times New Roman" w:cs="Times New Roman"/>
                <w:color w:val="000000"/>
                <w:kern w:val="0"/>
                <w:sz w:val="18"/>
                <w:szCs w:val="18"/>
                <w:lang w:eastAsia="es-CO"/>
                <w14:ligatures w14:val="none"/>
              </w:rPr>
            </w:pPr>
            <w:r w:rsidRPr="0039091F">
              <w:rPr>
                <w:rFonts w:eastAsia="Times New Roman" w:cs="Times New Roman"/>
                <w:color w:val="000000"/>
                <w:kern w:val="0"/>
                <w:sz w:val="18"/>
                <w:szCs w:val="18"/>
                <w:lang w:eastAsia="es-CO"/>
                <w14:ligatures w14:val="none"/>
              </w:rPr>
              <w:t>800156044</w:t>
            </w:r>
          </w:p>
        </w:tc>
        <w:tc>
          <w:tcPr>
            <w:tcW w:w="2008" w:type="pct"/>
            <w:shd w:val="clear" w:color="000000" w:fill="FFFFFF"/>
            <w:noWrap/>
            <w:vAlign w:val="center"/>
            <w:hideMark/>
          </w:tcPr>
          <w:p w14:paraId="1390911E" w14:textId="77777777" w:rsidR="000B3479" w:rsidRPr="0039091F" w:rsidRDefault="000B3479" w:rsidP="000A5389">
            <w:pPr>
              <w:spacing w:line="240" w:lineRule="auto"/>
              <w:rPr>
                <w:rFonts w:eastAsia="Times New Roman" w:cs="Times New Roman"/>
                <w:color w:val="000000"/>
                <w:kern w:val="0"/>
                <w:sz w:val="18"/>
                <w:szCs w:val="18"/>
                <w:lang w:eastAsia="es-CO"/>
                <w14:ligatures w14:val="none"/>
              </w:rPr>
            </w:pPr>
            <w:r w:rsidRPr="0039091F">
              <w:rPr>
                <w:rFonts w:eastAsia="Times New Roman" w:cs="Times New Roman"/>
                <w:color w:val="000000"/>
                <w:kern w:val="0"/>
                <w:sz w:val="18"/>
                <w:szCs w:val="18"/>
                <w:lang w:eastAsia="es-CO"/>
                <w14:ligatures w14:val="none"/>
              </w:rPr>
              <w:t>Compañía de Puertos Asociados S.A.</w:t>
            </w:r>
          </w:p>
        </w:tc>
        <w:tc>
          <w:tcPr>
            <w:tcW w:w="803" w:type="pct"/>
            <w:shd w:val="clear" w:color="000000" w:fill="FFFFFF"/>
            <w:noWrap/>
            <w:vAlign w:val="center"/>
            <w:hideMark/>
          </w:tcPr>
          <w:p w14:paraId="2C1BF70E" w14:textId="77777777" w:rsidR="000B3479" w:rsidRPr="0039091F" w:rsidRDefault="000B3479" w:rsidP="000A5389">
            <w:pPr>
              <w:spacing w:line="240" w:lineRule="auto"/>
              <w:jc w:val="right"/>
              <w:rPr>
                <w:rFonts w:eastAsia="Times New Roman" w:cs="Times New Roman"/>
                <w:color w:val="000000"/>
                <w:kern w:val="0"/>
                <w:sz w:val="18"/>
                <w:szCs w:val="18"/>
                <w:lang w:eastAsia="es-CO"/>
                <w14:ligatures w14:val="none"/>
              </w:rPr>
            </w:pPr>
            <w:r w:rsidRPr="0039091F">
              <w:rPr>
                <w:rFonts w:eastAsia="Times New Roman" w:cs="Times New Roman"/>
                <w:color w:val="000000"/>
                <w:kern w:val="0"/>
                <w:sz w:val="18"/>
                <w:szCs w:val="18"/>
                <w:lang w:eastAsia="es-CO"/>
                <w14:ligatures w14:val="none"/>
              </w:rPr>
              <w:t>102.902.798.608</w:t>
            </w:r>
          </w:p>
        </w:tc>
        <w:tc>
          <w:tcPr>
            <w:tcW w:w="803" w:type="pct"/>
            <w:shd w:val="clear" w:color="000000" w:fill="FFFFFF"/>
            <w:noWrap/>
            <w:vAlign w:val="center"/>
            <w:hideMark/>
          </w:tcPr>
          <w:p w14:paraId="47E18EAE" w14:textId="77777777" w:rsidR="000B3479" w:rsidRPr="0039091F" w:rsidRDefault="000B3479" w:rsidP="000A5389">
            <w:pPr>
              <w:spacing w:line="240" w:lineRule="auto"/>
              <w:jc w:val="right"/>
              <w:rPr>
                <w:rFonts w:eastAsia="Times New Roman" w:cs="Times New Roman"/>
                <w:color w:val="000000"/>
                <w:kern w:val="0"/>
                <w:sz w:val="18"/>
                <w:szCs w:val="18"/>
                <w:lang w:eastAsia="es-CO"/>
                <w14:ligatures w14:val="none"/>
              </w:rPr>
            </w:pPr>
            <w:r w:rsidRPr="0039091F">
              <w:rPr>
                <w:rFonts w:eastAsia="Times New Roman" w:cs="Times New Roman"/>
                <w:color w:val="000000"/>
                <w:kern w:val="0"/>
                <w:sz w:val="18"/>
                <w:szCs w:val="18"/>
                <w:lang w:eastAsia="es-CO"/>
                <w14:ligatures w14:val="none"/>
              </w:rPr>
              <w:t>113.458.862.026</w:t>
            </w:r>
          </w:p>
        </w:tc>
        <w:tc>
          <w:tcPr>
            <w:tcW w:w="747" w:type="pct"/>
            <w:shd w:val="clear" w:color="000000" w:fill="FFFFFF"/>
            <w:noWrap/>
            <w:vAlign w:val="center"/>
            <w:hideMark/>
          </w:tcPr>
          <w:p w14:paraId="332B84B3" w14:textId="77777777" w:rsidR="000B3479" w:rsidRPr="0039091F" w:rsidRDefault="000B3479" w:rsidP="000A5389">
            <w:pPr>
              <w:spacing w:line="240" w:lineRule="auto"/>
              <w:jc w:val="right"/>
              <w:rPr>
                <w:rFonts w:eastAsia="Times New Roman" w:cs="Times New Roman"/>
                <w:color w:val="000000"/>
                <w:kern w:val="0"/>
                <w:sz w:val="18"/>
                <w:szCs w:val="18"/>
                <w:lang w:eastAsia="es-CO"/>
                <w14:ligatures w14:val="none"/>
              </w:rPr>
            </w:pPr>
            <w:r w:rsidRPr="0039091F">
              <w:rPr>
                <w:rFonts w:eastAsia="Times New Roman" w:cs="Times New Roman"/>
                <w:color w:val="000000"/>
                <w:kern w:val="0"/>
                <w:sz w:val="18"/>
                <w:szCs w:val="18"/>
                <w:lang w:eastAsia="es-CO"/>
                <w14:ligatures w14:val="none"/>
              </w:rPr>
              <w:t>-10.556.063.418</w:t>
            </w:r>
          </w:p>
        </w:tc>
      </w:tr>
      <w:tr w:rsidR="000B3479" w:rsidRPr="0039091F" w14:paraId="08CBCCC9" w14:textId="77777777" w:rsidTr="00071A8A">
        <w:trPr>
          <w:trHeight w:val="285"/>
        </w:trPr>
        <w:tc>
          <w:tcPr>
            <w:tcW w:w="639" w:type="pct"/>
            <w:shd w:val="clear" w:color="000000" w:fill="FFFFFF"/>
            <w:noWrap/>
            <w:vAlign w:val="center"/>
            <w:hideMark/>
          </w:tcPr>
          <w:p w14:paraId="247F24AD" w14:textId="77777777" w:rsidR="000B3479" w:rsidRPr="0039091F" w:rsidRDefault="000B3479" w:rsidP="000A5389">
            <w:pPr>
              <w:spacing w:line="240" w:lineRule="auto"/>
              <w:jc w:val="right"/>
              <w:rPr>
                <w:rFonts w:eastAsia="Times New Roman" w:cs="Times New Roman"/>
                <w:color w:val="000000"/>
                <w:kern w:val="0"/>
                <w:sz w:val="18"/>
                <w:szCs w:val="18"/>
                <w:lang w:eastAsia="es-CO"/>
                <w14:ligatures w14:val="none"/>
              </w:rPr>
            </w:pPr>
            <w:r w:rsidRPr="0039091F">
              <w:rPr>
                <w:rFonts w:eastAsia="Times New Roman" w:cs="Times New Roman"/>
                <w:color w:val="000000"/>
                <w:kern w:val="0"/>
                <w:sz w:val="18"/>
                <w:szCs w:val="18"/>
                <w:lang w:eastAsia="es-CO"/>
                <w14:ligatures w14:val="none"/>
              </w:rPr>
              <w:t>800033858</w:t>
            </w:r>
          </w:p>
        </w:tc>
        <w:tc>
          <w:tcPr>
            <w:tcW w:w="2008" w:type="pct"/>
            <w:shd w:val="clear" w:color="000000" w:fill="FFFFFF"/>
            <w:noWrap/>
            <w:vAlign w:val="center"/>
            <w:hideMark/>
          </w:tcPr>
          <w:p w14:paraId="3CAED751" w14:textId="760DB058" w:rsidR="000B3479" w:rsidRPr="0039091F" w:rsidRDefault="000B3479" w:rsidP="000A5389">
            <w:pPr>
              <w:spacing w:line="240" w:lineRule="auto"/>
              <w:rPr>
                <w:rFonts w:eastAsia="Times New Roman" w:cs="Times New Roman"/>
                <w:color w:val="000000"/>
                <w:kern w:val="0"/>
                <w:sz w:val="18"/>
                <w:szCs w:val="18"/>
                <w:lang w:eastAsia="es-CO"/>
                <w14:ligatures w14:val="none"/>
              </w:rPr>
            </w:pPr>
            <w:r w:rsidRPr="0039091F">
              <w:rPr>
                <w:rFonts w:eastAsia="Times New Roman" w:cs="Times New Roman"/>
                <w:color w:val="000000"/>
                <w:kern w:val="0"/>
                <w:sz w:val="18"/>
                <w:szCs w:val="18"/>
                <w:lang w:eastAsia="es-CO"/>
                <w14:ligatures w14:val="none"/>
              </w:rPr>
              <w:t>Sociedad Portuaria El Cayao S.A E.</w:t>
            </w:r>
            <w:r w:rsidR="00071A8A" w:rsidRPr="0039091F">
              <w:rPr>
                <w:rFonts w:eastAsia="Times New Roman" w:cs="Times New Roman"/>
                <w:color w:val="000000"/>
                <w:kern w:val="0"/>
                <w:sz w:val="18"/>
                <w:szCs w:val="18"/>
                <w:lang w:eastAsia="es-CO"/>
                <w14:ligatures w14:val="none"/>
              </w:rPr>
              <w:t>S. P</w:t>
            </w:r>
          </w:p>
        </w:tc>
        <w:tc>
          <w:tcPr>
            <w:tcW w:w="803" w:type="pct"/>
            <w:shd w:val="clear" w:color="000000" w:fill="FFFFFF"/>
            <w:noWrap/>
            <w:vAlign w:val="center"/>
            <w:hideMark/>
          </w:tcPr>
          <w:p w14:paraId="1A87096E" w14:textId="77777777" w:rsidR="000B3479" w:rsidRPr="0039091F" w:rsidRDefault="000B3479" w:rsidP="000A5389">
            <w:pPr>
              <w:spacing w:line="240" w:lineRule="auto"/>
              <w:jc w:val="right"/>
              <w:rPr>
                <w:rFonts w:eastAsia="Times New Roman" w:cs="Times New Roman"/>
                <w:color w:val="000000"/>
                <w:kern w:val="0"/>
                <w:sz w:val="18"/>
                <w:szCs w:val="18"/>
                <w:lang w:eastAsia="es-CO"/>
                <w14:ligatures w14:val="none"/>
              </w:rPr>
            </w:pPr>
            <w:r w:rsidRPr="0039091F">
              <w:rPr>
                <w:rFonts w:eastAsia="Times New Roman" w:cs="Times New Roman"/>
                <w:color w:val="000000"/>
                <w:kern w:val="0"/>
                <w:sz w:val="18"/>
                <w:szCs w:val="18"/>
                <w:lang w:eastAsia="es-CO"/>
                <w14:ligatures w14:val="none"/>
              </w:rPr>
              <w:t>96.235.055.970</w:t>
            </w:r>
          </w:p>
        </w:tc>
        <w:tc>
          <w:tcPr>
            <w:tcW w:w="803" w:type="pct"/>
            <w:shd w:val="clear" w:color="000000" w:fill="FFFFFF"/>
            <w:noWrap/>
            <w:vAlign w:val="center"/>
            <w:hideMark/>
          </w:tcPr>
          <w:p w14:paraId="498193FB" w14:textId="77777777" w:rsidR="000B3479" w:rsidRPr="0039091F" w:rsidRDefault="000B3479" w:rsidP="000A5389">
            <w:pPr>
              <w:spacing w:line="240" w:lineRule="auto"/>
              <w:jc w:val="right"/>
              <w:rPr>
                <w:rFonts w:eastAsia="Times New Roman" w:cs="Times New Roman"/>
                <w:color w:val="000000"/>
                <w:kern w:val="0"/>
                <w:sz w:val="18"/>
                <w:szCs w:val="18"/>
                <w:lang w:eastAsia="es-CO"/>
                <w14:ligatures w14:val="none"/>
              </w:rPr>
            </w:pPr>
            <w:r w:rsidRPr="0039091F">
              <w:rPr>
                <w:rFonts w:eastAsia="Times New Roman" w:cs="Times New Roman"/>
                <w:color w:val="000000"/>
                <w:kern w:val="0"/>
                <w:sz w:val="18"/>
                <w:szCs w:val="18"/>
                <w:lang w:eastAsia="es-CO"/>
                <w14:ligatures w14:val="none"/>
              </w:rPr>
              <w:t>86.266.347.123</w:t>
            </w:r>
          </w:p>
        </w:tc>
        <w:tc>
          <w:tcPr>
            <w:tcW w:w="747" w:type="pct"/>
            <w:shd w:val="clear" w:color="000000" w:fill="FFFFFF"/>
            <w:noWrap/>
            <w:vAlign w:val="center"/>
            <w:hideMark/>
          </w:tcPr>
          <w:p w14:paraId="0B16E7EB" w14:textId="77777777" w:rsidR="000B3479" w:rsidRPr="0039091F" w:rsidRDefault="000B3479" w:rsidP="000A5389">
            <w:pPr>
              <w:spacing w:line="240" w:lineRule="auto"/>
              <w:jc w:val="right"/>
              <w:rPr>
                <w:rFonts w:eastAsia="Times New Roman" w:cs="Times New Roman"/>
                <w:color w:val="000000"/>
                <w:kern w:val="0"/>
                <w:sz w:val="18"/>
                <w:szCs w:val="18"/>
                <w:lang w:eastAsia="es-CO"/>
                <w14:ligatures w14:val="none"/>
              </w:rPr>
            </w:pPr>
            <w:r w:rsidRPr="0039091F">
              <w:rPr>
                <w:rFonts w:eastAsia="Times New Roman" w:cs="Times New Roman"/>
                <w:color w:val="000000"/>
                <w:kern w:val="0"/>
                <w:sz w:val="18"/>
                <w:szCs w:val="18"/>
                <w:lang w:eastAsia="es-CO"/>
                <w14:ligatures w14:val="none"/>
              </w:rPr>
              <w:t>9.968.708.847</w:t>
            </w:r>
          </w:p>
        </w:tc>
      </w:tr>
      <w:tr w:rsidR="000B3479" w:rsidRPr="0039091F" w14:paraId="7E6967BF" w14:textId="77777777" w:rsidTr="00071A8A">
        <w:trPr>
          <w:trHeight w:val="285"/>
        </w:trPr>
        <w:tc>
          <w:tcPr>
            <w:tcW w:w="639" w:type="pct"/>
            <w:shd w:val="clear" w:color="000000" w:fill="FFFFFF"/>
            <w:noWrap/>
            <w:vAlign w:val="center"/>
            <w:hideMark/>
          </w:tcPr>
          <w:p w14:paraId="0D7BE728" w14:textId="77777777" w:rsidR="000B3479" w:rsidRPr="0039091F" w:rsidRDefault="000B3479" w:rsidP="000A5389">
            <w:pPr>
              <w:spacing w:line="240" w:lineRule="auto"/>
              <w:jc w:val="right"/>
              <w:rPr>
                <w:rFonts w:eastAsia="Times New Roman" w:cs="Times New Roman"/>
                <w:color w:val="000000"/>
                <w:kern w:val="0"/>
                <w:sz w:val="18"/>
                <w:szCs w:val="18"/>
                <w:lang w:eastAsia="es-CO"/>
                <w14:ligatures w14:val="none"/>
              </w:rPr>
            </w:pPr>
            <w:r w:rsidRPr="0039091F">
              <w:rPr>
                <w:rFonts w:eastAsia="Times New Roman" w:cs="Times New Roman"/>
                <w:color w:val="000000"/>
                <w:kern w:val="0"/>
                <w:sz w:val="18"/>
                <w:szCs w:val="18"/>
                <w:lang w:eastAsia="es-CO"/>
                <w14:ligatures w14:val="none"/>
              </w:rPr>
              <w:t>900164755</w:t>
            </w:r>
          </w:p>
        </w:tc>
        <w:tc>
          <w:tcPr>
            <w:tcW w:w="2008" w:type="pct"/>
            <w:shd w:val="clear" w:color="000000" w:fill="FFFFFF"/>
            <w:noWrap/>
            <w:vAlign w:val="center"/>
            <w:hideMark/>
          </w:tcPr>
          <w:p w14:paraId="655F9C7B" w14:textId="77777777" w:rsidR="000B3479" w:rsidRPr="0039091F" w:rsidRDefault="000B3479" w:rsidP="000A5389">
            <w:pPr>
              <w:spacing w:line="240" w:lineRule="auto"/>
              <w:rPr>
                <w:rFonts w:eastAsia="Times New Roman" w:cs="Times New Roman"/>
                <w:color w:val="000000"/>
                <w:kern w:val="0"/>
                <w:sz w:val="18"/>
                <w:szCs w:val="18"/>
                <w:lang w:eastAsia="es-CO"/>
                <w14:ligatures w14:val="none"/>
              </w:rPr>
            </w:pPr>
            <w:r w:rsidRPr="0039091F">
              <w:rPr>
                <w:rFonts w:eastAsia="Times New Roman" w:cs="Times New Roman"/>
                <w:color w:val="000000"/>
                <w:kern w:val="0"/>
                <w:sz w:val="18"/>
                <w:szCs w:val="18"/>
                <w:lang w:eastAsia="es-CO"/>
                <w14:ligatures w14:val="none"/>
              </w:rPr>
              <w:t>Zona Franca Argos S.A.S - Usuario Operador De Zona Franca</w:t>
            </w:r>
          </w:p>
        </w:tc>
        <w:tc>
          <w:tcPr>
            <w:tcW w:w="803" w:type="pct"/>
            <w:shd w:val="clear" w:color="000000" w:fill="FFFFFF"/>
            <w:noWrap/>
            <w:vAlign w:val="center"/>
            <w:hideMark/>
          </w:tcPr>
          <w:p w14:paraId="2003084E" w14:textId="77777777" w:rsidR="000B3479" w:rsidRPr="0039091F" w:rsidRDefault="000B3479" w:rsidP="000A5389">
            <w:pPr>
              <w:spacing w:line="240" w:lineRule="auto"/>
              <w:jc w:val="right"/>
              <w:rPr>
                <w:rFonts w:eastAsia="Times New Roman" w:cs="Times New Roman"/>
                <w:color w:val="000000"/>
                <w:kern w:val="0"/>
                <w:sz w:val="18"/>
                <w:szCs w:val="18"/>
                <w:lang w:eastAsia="es-CO"/>
                <w14:ligatures w14:val="none"/>
              </w:rPr>
            </w:pPr>
            <w:r w:rsidRPr="0039091F">
              <w:rPr>
                <w:rFonts w:eastAsia="Times New Roman" w:cs="Times New Roman"/>
                <w:color w:val="000000"/>
                <w:kern w:val="0"/>
                <w:sz w:val="18"/>
                <w:szCs w:val="18"/>
                <w:lang w:eastAsia="es-CO"/>
                <w14:ligatures w14:val="none"/>
              </w:rPr>
              <w:t>89.710.098.790</w:t>
            </w:r>
          </w:p>
        </w:tc>
        <w:tc>
          <w:tcPr>
            <w:tcW w:w="803" w:type="pct"/>
            <w:shd w:val="clear" w:color="000000" w:fill="FFFFFF"/>
            <w:noWrap/>
            <w:vAlign w:val="center"/>
            <w:hideMark/>
          </w:tcPr>
          <w:p w14:paraId="2F626836" w14:textId="77777777" w:rsidR="000B3479" w:rsidRPr="0039091F" w:rsidRDefault="000B3479" w:rsidP="000A5389">
            <w:pPr>
              <w:spacing w:line="240" w:lineRule="auto"/>
              <w:jc w:val="right"/>
              <w:rPr>
                <w:rFonts w:eastAsia="Times New Roman" w:cs="Times New Roman"/>
                <w:color w:val="000000"/>
                <w:kern w:val="0"/>
                <w:sz w:val="18"/>
                <w:szCs w:val="18"/>
                <w:lang w:eastAsia="es-CO"/>
                <w14:ligatures w14:val="none"/>
              </w:rPr>
            </w:pPr>
            <w:r w:rsidRPr="0039091F">
              <w:rPr>
                <w:rFonts w:eastAsia="Times New Roman" w:cs="Times New Roman"/>
                <w:color w:val="000000"/>
                <w:kern w:val="0"/>
                <w:sz w:val="18"/>
                <w:szCs w:val="18"/>
                <w:lang w:eastAsia="es-CO"/>
                <w14:ligatures w14:val="none"/>
              </w:rPr>
              <w:t>109.645.676.299</w:t>
            </w:r>
          </w:p>
        </w:tc>
        <w:tc>
          <w:tcPr>
            <w:tcW w:w="747" w:type="pct"/>
            <w:shd w:val="clear" w:color="000000" w:fill="FFFFFF"/>
            <w:noWrap/>
            <w:vAlign w:val="center"/>
            <w:hideMark/>
          </w:tcPr>
          <w:p w14:paraId="6D44AB38" w14:textId="77777777" w:rsidR="000B3479" w:rsidRPr="0039091F" w:rsidRDefault="000B3479" w:rsidP="000A5389">
            <w:pPr>
              <w:spacing w:line="240" w:lineRule="auto"/>
              <w:jc w:val="right"/>
              <w:rPr>
                <w:rFonts w:eastAsia="Times New Roman" w:cs="Times New Roman"/>
                <w:color w:val="000000"/>
                <w:kern w:val="0"/>
                <w:sz w:val="18"/>
                <w:szCs w:val="18"/>
                <w:lang w:eastAsia="es-CO"/>
                <w14:ligatures w14:val="none"/>
              </w:rPr>
            </w:pPr>
            <w:r w:rsidRPr="0039091F">
              <w:rPr>
                <w:rFonts w:eastAsia="Times New Roman" w:cs="Times New Roman"/>
                <w:color w:val="000000"/>
                <w:kern w:val="0"/>
                <w:sz w:val="18"/>
                <w:szCs w:val="18"/>
                <w:lang w:eastAsia="es-CO"/>
                <w14:ligatures w14:val="none"/>
              </w:rPr>
              <w:t>-19.935.577.509</w:t>
            </w:r>
          </w:p>
        </w:tc>
      </w:tr>
      <w:tr w:rsidR="000B3479" w:rsidRPr="0039091F" w14:paraId="4E4FDEEE" w14:textId="77777777" w:rsidTr="00071A8A">
        <w:trPr>
          <w:trHeight w:val="285"/>
        </w:trPr>
        <w:tc>
          <w:tcPr>
            <w:tcW w:w="639" w:type="pct"/>
            <w:shd w:val="clear" w:color="000000" w:fill="FFFFFF"/>
            <w:noWrap/>
            <w:vAlign w:val="center"/>
            <w:hideMark/>
          </w:tcPr>
          <w:p w14:paraId="2CBDF383" w14:textId="77777777" w:rsidR="000B3479" w:rsidRPr="0039091F" w:rsidRDefault="000B3479" w:rsidP="000A5389">
            <w:pPr>
              <w:spacing w:line="240" w:lineRule="auto"/>
              <w:jc w:val="right"/>
              <w:rPr>
                <w:rFonts w:eastAsia="Times New Roman" w:cs="Times New Roman"/>
                <w:color w:val="000000"/>
                <w:kern w:val="0"/>
                <w:sz w:val="18"/>
                <w:szCs w:val="18"/>
                <w:lang w:eastAsia="es-CO"/>
                <w14:ligatures w14:val="none"/>
              </w:rPr>
            </w:pPr>
            <w:r w:rsidRPr="0039091F">
              <w:rPr>
                <w:rFonts w:eastAsia="Times New Roman" w:cs="Times New Roman"/>
                <w:color w:val="000000"/>
                <w:kern w:val="0"/>
                <w:sz w:val="18"/>
                <w:szCs w:val="18"/>
                <w:lang w:eastAsia="es-CO"/>
                <w14:ligatures w14:val="none"/>
              </w:rPr>
              <w:t>860009873</w:t>
            </w:r>
          </w:p>
        </w:tc>
        <w:tc>
          <w:tcPr>
            <w:tcW w:w="2008" w:type="pct"/>
            <w:shd w:val="clear" w:color="000000" w:fill="FFFFFF"/>
            <w:noWrap/>
            <w:vAlign w:val="center"/>
            <w:hideMark/>
          </w:tcPr>
          <w:p w14:paraId="0E33BC70" w14:textId="2C6E6E03" w:rsidR="000B3479" w:rsidRPr="0039091F" w:rsidRDefault="000B3479" w:rsidP="000A5389">
            <w:pPr>
              <w:spacing w:line="240" w:lineRule="auto"/>
              <w:rPr>
                <w:rFonts w:eastAsia="Times New Roman" w:cs="Times New Roman"/>
                <w:color w:val="000000"/>
                <w:kern w:val="0"/>
                <w:sz w:val="18"/>
                <w:szCs w:val="18"/>
                <w:lang w:eastAsia="es-CO"/>
                <w14:ligatures w14:val="none"/>
              </w:rPr>
            </w:pPr>
            <w:r w:rsidRPr="0039091F">
              <w:rPr>
                <w:rFonts w:eastAsia="Times New Roman" w:cs="Times New Roman"/>
                <w:color w:val="000000"/>
                <w:kern w:val="0"/>
                <w:sz w:val="18"/>
                <w:szCs w:val="18"/>
                <w:lang w:eastAsia="es-CO"/>
                <w14:ligatures w14:val="none"/>
              </w:rPr>
              <w:t xml:space="preserve">Sociedad Portuaria Puerto Bahia </w:t>
            </w:r>
            <w:r w:rsidR="00071A8A" w:rsidRPr="0039091F">
              <w:rPr>
                <w:rFonts w:eastAsia="Times New Roman" w:cs="Times New Roman"/>
                <w:color w:val="000000"/>
                <w:kern w:val="0"/>
                <w:sz w:val="18"/>
                <w:szCs w:val="18"/>
                <w:lang w:eastAsia="es-CO"/>
                <w14:ligatures w14:val="none"/>
              </w:rPr>
              <w:t>S. A</w:t>
            </w:r>
          </w:p>
        </w:tc>
        <w:tc>
          <w:tcPr>
            <w:tcW w:w="803" w:type="pct"/>
            <w:shd w:val="clear" w:color="000000" w:fill="FFFFFF"/>
            <w:noWrap/>
            <w:vAlign w:val="center"/>
            <w:hideMark/>
          </w:tcPr>
          <w:p w14:paraId="71D0D1FA" w14:textId="77777777" w:rsidR="000B3479" w:rsidRPr="0039091F" w:rsidRDefault="000B3479" w:rsidP="000A5389">
            <w:pPr>
              <w:spacing w:line="240" w:lineRule="auto"/>
              <w:jc w:val="right"/>
              <w:rPr>
                <w:rFonts w:eastAsia="Times New Roman" w:cs="Times New Roman"/>
                <w:color w:val="000000"/>
                <w:kern w:val="0"/>
                <w:sz w:val="18"/>
                <w:szCs w:val="18"/>
                <w:lang w:eastAsia="es-CO"/>
                <w14:ligatures w14:val="none"/>
              </w:rPr>
            </w:pPr>
            <w:r w:rsidRPr="0039091F">
              <w:rPr>
                <w:rFonts w:eastAsia="Times New Roman" w:cs="Times New Roman"/>
                <w:color w:val="000000"/>
                <w:kern w:val="0"/>
                <w:sz w:val="18"/>
                <w:szCs w:val="18"/>
                <w:lang w:eastAsia="es-CO"/>
                <w14:ligatures w14:val="none"/>
              </w:rPr>
              <w:t>88.253.478.975</w:t>
            </w:r>
          </w:p>
        </w:tc>
        <w:tc>
          <w:tcPr>
            <w:tcW w:w="803" w:type="pct"/>
            <w:shd w:val="clear" w:color="000000" w:fill="FFFFFF"/>
            <w:noWrap/>
            <w:vAlign w:val="center"/>
            <w:hideMark/>
          </w:tcPr>
          <w:p w14:paraId="731453FC" w14:textId="77777777" w:rsidR="000B3479" w:rsidRPr="0039091F" w:rsidRDefault="000B3479" w:rsidP="000A5389">
            <w:pPr>
              <w:spacing w:line="240" w:lineRule="auto"/>
              <w:jc w:val="right"/>
              <w:rPr>
                <w:rFonts w:eastAsia="Times New Roman" w:cs="Times New Roman"/>
                <w:color w:val="000000"/>
                <w:kern w:val="0"/>
                <w:sz w:val="18"/>
                <w:szCs w:val="18"/>
                <w:lang w:eastAsia="es-CO"/>
                <w14:ligatures w14:val="none"/>
              </w:rPr>
            </w:pPr>
            <w:r w:rsidRPr="0039091F">
              <w:rPr>
                <w:rFonts w:eastAsia="Times New Roman" w:cs="Times New Roman"/>
                <w:color w:val="000000"/>
                <w:kern w:val="0"/>
                <w:sz w:val="18"/>
                <w:szCs w:val="18"/>
                <w:lang w:eastAsia="es-CO"/>
                <w14:ligatures w14:val="none"/>
              </w:rPr>
              <w:t>102.962.392.138</w:t>
            </w:r>
          </w:p>
        </w:tc>
        <w:tc>
          <w:tcPr>
            <w:tcW w:w="747" w:type="pct"/>
            <w:shd w:val="clear" w:color="000000" w:fill="FFFFFF"/>
            <w:noWrap/>
            <w:vAlign w:val="center"/>
            <w:hideMark/>
          </w:tcPr>
          <w:p w14:paraId="6DE6E79A" w14:textId="77777777" w:rsidR="000B3479" w:rsidRPr="0039091F" w:rsidRDefault="000B3479" w:rsidP="000A5389">
            <w:pPr>
              <w:spacing w:line="240" w:lineRule="auto"/>
              <w:jc w:val="right"/>
              <w:rPr>
                <w:rFonts w:eastAsia="Times New Roman" w:cs="Times New Roman"/>
                <w:color w:val="000000"/>
                <w:kern w:val="0"/>
                <w:sz w:val="18"/>
                <w:szCs w:val="18"/>
                <w:lang w:eastAsia="es-CO"/>
                <w14:ligatures w14:val="none"/>
              </w:rPr>
            </w:pPr>
            <w:r w:rsidRPr="0039091F">
              <w:rPr>
                <w:rFonts w:eastAsia="Times New Roman" w:cs="Times New Roman"/>
                <w:color w:val="000000"/>
                <w:kern w:val="0"/>
                <w:sz w:val="18"/>
                <w:szCs w:val="18"/>
                <w:lang w:eastAsia="es-CO"/>
                <w14:ligatures w14:val="none"/>
              </w:rPr>
              <w:t>-14.708.913.163</w:t>
            </w:r>
          </w:p>
        </w:tc>
      </w:tr>
      <w:tr w:rsidR="000B3479" w:rsidRPr="0039091F" w14:paraId="333B5373" w14:textId="77777777" w:rsidTr="00071A8A">
        <w:trPr>
          <w:trHeight w:val="285"/>
        </w:trPr>
        <w:tc>
          <w:tcPr>
            <w:tcW w:w="639" w:type="pct"/>
            <w:shd w:val="clear" w:color="000000" w:fill="FFFFFF"/>
            <w:noWrap/>
            <w:vAlign w:val="center"/>
            <w:hideMark/>
          </w:tcPr>
          <w:p w14:paraId="69281E29" w14:textId="77777777" w:rsidR="000B3479" w:rsidRPr="0039091F" w:rsidRDefault="000B3479" w:rsidP="000A5389">
            <w:pPr>
              <w:spacing w:line="240" w:lineRule="auto"/>
              <w:jc w:val="right"/>
              <w:rPr>
                <w:rFonts w:eastAsia="Times New Roman" w:cs="Times New Roman"/>
                <w:color w:val="000000"/>
                <w:kern w:val="0"/>
                <w:sz w:val="18"/>
                <w:szCs w:val="18"/>
                <w:lang w:eastAsia="es-CO"/>
                <w14:ligatures w14:val="none"/>
              </w:rPr>
            </w:pPr>
            <w:r w:rsidRPr="0039091F">
              <w:rPr>
                <w:rFonts w:eastAsia="Times New Roman" w:cs="Times New Roman"/>
                <w:color w:val="000000"/>
                <w:kern w:val="0"/>
                <w:sz w:val="18"/>
                <w:szCs w:val="18"/>
                <w:lang w:eastAsia="es-CO"/>
                <w14:ligatures w14:val="none"/>
              </w:rPr>
              <w:t>900096574</w:t>
            </w:r>
          </w:p>
        </w:tc>
        <w:tc>
          <w:tcPr>
            <w:tcW w:w="2008" w:type="pct"/>
            <w:shd w:val="clear" w:color="000000" w:fill="FFFFFF"/>
            <w:noWrap/>
            <w:vAlign w:val="center"/>
            <w:hideMark/>
          </w:tcPr>
          <w:p w14:paraId="4319F298" w14:textId="77777777" w:rsidR="000B3479" w:rsidRPr="0039091F" w:rsidRDefault="000B3479" w:rsidP="000A5389">
            <w:pPr>
              <w:spacing w:line="240" w:lineRule="auto"/>
              <w:rPr>
                <w:rFonts w:eastAsia="Times New Roman" w:cs="Times New Roman"/>
                <w:color w:val="000000"/>
                <w:kern w:val="0"/>
                <w:sz w:val="18"/>
                <w:szCs w:val="18"/>
                <w:lang w:eastAsia="es-CO"/>
                <w14:ligatures w14:val="none"/>
              </w:rPr>
            </w:pPr>
            <w:r w:rsidRPr="0039091F">
              <w:rPr>
                <w:rFonts w:eastAsia="Times New Roman" w:cs="Times New Roman"/>
                <w:color w:val="000000"/>
                <w:kern w:val="0"/>
                <w:sz w:val="18"/>
                <w:szCs w:val="18"/>
                <w:lang w:eastAsia="es-CO"/>
                <w14:ligatures w14:val="none"/>
              </w:rPr>
              <w:t>Puerto Brisa S.A.</w:t>
            </w:r>
          </w:p>
        </w:tc>
        <w:tc>
          <w:tcPr>
            <w:tcW w:w="803" w:type="pct"/>
            <w:shd w:val="clear" w:color="000000" w:fill="FFFFFF"/>
            <w:noWrap/>
            <w:vAlign w:val="center"/>
            <w:hideMark/>
          </w:tcPr>
          <w:p w14:paraId="557C9A0B" w14:textId="77777777" w:rsidR="000B3479" w:rsidRPr="0039091F" w:rsidRDefault="000B3479" w:rsidP="000A5389">
            <w:pPr>
              <w:spacing w:line="240" w:lineRule="auto"/>
              <w:jc w:val="right"/>
              <w:rPr>
                <w:rFonts w:eastAsia="Times New Roman" w:cs="Times New Roman"/>
                <w:color w:val="000000"/>
                <w:kern w:val="0"/>
                <w:sz w:val="18"/>
                <w:szCs w:val="18"/>
                <w:lang w:eastAsia="es-CO"/>
                <w14:ligatures w14:val="none"/>
              </w:rPr>
            </w:pPr>
            <w:r w:rsidRPr="0039091F">
              <w:rPr>
                <w:rFonts w:eastAsia="Times New Roman" w:cs="Times New Roman"/>
                <w:color w:val="000000"/>
                <w:kern w:val="0"/>
                <w:sz w:val="18"/>
                <w:szCs w:val="18"/>
                <w:lang w:eastAsia="es-CO"/>
                <w14:ligatures w14:val="none"/>
              </w:rPr>
              <w:t>78.140.816.828</w:t>
            </w:r>
          </w:p>
        </w:tc>
        <w:tc>
          <w:tcPr>
            <w:tcW w:w="803" w:type="pct"/>
            <w:shd w:val="clear" w:color="000000" w:fill="FFFFFF"/>
            <w:noWrap/>
            <w:vAlign w:val="center"/>
            <w:hideMark/>
          </w:tcPr>
          <w:p w14:paraId="282E7642" w14:textId="77777777" w:rsidR="000B3479" w:rsidRPr="0039091F" w:rsidRDefault="000B3479" w:rsidP="000A5389">
            <w:pPr>
              <w:spacing w:line="240" w:lineRule="auto"/>
              <w:jc w:val="right"/>
              <w:rPr>
                <w:rFonts w:eastAsia="Times New Roman" w:cs="Times New Roman"/>
                <w:color w:val="000000"/>
                <w:kern w:val="0"/>
                <w:sz w:val="18"/>
                <w:szCs w:val="18"/>
                <w:lang w:eastAsia="es-CO"/>
                <w14:ligatures w14:val="none"/>
              </w:rPr>
            </w:pPr>
            <w:r w:rsidRPr="0039091F">
              <w:rPr>
                <w:rFonts w:eastAsia="Times New Roman" w:cs="Times New Roman"/>
                <w:color w:val="000000"/>
                <w:kern w:val="0"/>
                <w:sz w:val="18"/>
                <w:szCs w:val="18"/>
                <w:lang w:eastAsia="es-CO"/>
                <w14:ligatures w14:val="none"/>
              </w:rPr>
              <w:t>83.350.204.617</w:t>
            </w:r>
          </w:p>
        </w:tc>
        <w:tc>
          <w:tcPr>
            <w:tcW w:w="747" w:type="pct"/>
            <w:shd w:val="clear" w:color="000000" w:fill="FFFFFF"/>
            <w:noWrap/>
            <w:vAlign w:val="center"/>
            <w:hideMark/>
          </w:tcPr>
          <w:p w14:paraId="197B88C9" w14:textId="77777777" w:rsidR="000B3479" w:rsidRPr="0039091F" w:rsidRDefault="000B3479" w:rsidP="000A5389">
            <w:pPr>
              <w:spacing w:line="240" w:lineRule="auto"/>
              <w:jc w:val="right"/>
              <w:rPr>
                <w:rFonts w:eastAsia="Times New Roman" w:cs="Times New Roman"/>
                <w:color w:val="000000"/>
                <w:kern w:val="0"/>
                <w:sz w:val="18"/>
                <w:szCs w:val="18"/>
                <w:lang w:eastAsia="es-CO"/>
                <w14:ligatures w14:val="none"/>
              </w:rPr>
            </w:pPr>
            <w:r w:rsidRPr="0039091F">
              <w:rPr>
                <w:rFonts w:eastAsia="Times New Roman" w:cs="Times New Roman"/>
                <w:color w:val="000000"/>
                <w:kern w:val="0"/>
                <w:sz w:val="18"/>
                <w:szCs w:val="18"/>
                <w:lang w:eastAsia="es-CO"/>
                <w14:ligatures w14:val="none"/>
              </w:rPr>
              <w:t>-5.209.387.789</w:t>
            </w:r>
          </w:p>
        </w:tc>
      </w:tr>
      <w:tr w:rsidR="000B3479" w:rsidRPr="0039091F" w14:paraId="7E1BE214" w14:textId="77777777" w:rsidTr="00071A8A">
        <w:trPr>
          <w:trHeight w:val="285"/>
        </w:trPr>
        <w:tc>
          <w:tcPr>
            <w:tcW w:w="639" w:type="pct"/>
            <w:shd w:val="clear" w:color="000000" w:fill="FFFFFF"/>
            <w:noWrap/>
            <w:vAlign w:val="center"/>
            <w:hideMark/>
          </w:tcPr>
          <w:p w14:paraId="05FD20BF" w14:textId="77777777" w:rsidR="000B3479" w:rsidRPr="0039091F" w:rsidRDefault="000B3479" w:rsidP="000A5389">
            <w:pPr>
              <w:spacing w:line="240" w:lineRule="auto"/>
              <w:jc w:val="right"/>
              <w:rPr>
                <w:rFonts w:eastAsia="Times New Roman" w:cs="Times New Roman"/>
                <w:color w:val="000000"/>
                <w:kern w:val="0"/>
                <w:sz w:val="18"/>
                <w:szCs w:val="18"/>
                <w:lang w:eastAsia="es-CO"/>
                <w14:ligatures w14:val="none"/>
              </w:rPr>
            </w:pPr>
            <w:r w:rsidRPr="0039091F">
              <w:rPr>
                <w:rFonts w:eastAsia="Times New Roman" w:cs="Times New Roman"/>
                <w:color w:val="000000"/>
                <w:kern w:val="0"/>
                <w:sz w:val="18"/>
                <w:szCs w:val="18"/>
                <w:lang w:eastAsia="es-CO"/>
                <w14:ligatures w14:val="none"/>
              </w:rPr>
              <w:t>800096464</w:t>
            </w:r>
          </w:p>
        </w:tc>
        <w:tc>
          <w:tcPr>
            <w:tcW w:w="2008" w:type="pct"/>
            <w:shd w:val="clear" w:color="000000" w:fill="FFFFFF"/>
            <w:noWrap/>
            <w:vAlign w:val="center"/>
            <w:hideMark/>
          </w:tcPr>
          <w:p w14:paraId="5ADDFB2E" w14:textId="77777777" w:rsidR="000B3479" w:rsidRPr="0039091F" w:rsidRDefault="000B3479" w:rsidP="000A5389">
            <w:pPr>
              <w:spacing w:line="240" w:lineRule="auto"/>
              <w:rPr>
                <w:rFonts w:eastAsia="Times New Roman" w:cs="Times New Roman"/>
                <w:color w:val="000000"/>
                <w:kern w:val="0"/>
                <w:sz w:val="18"/>
                <w:szCs w:val="18"/>
                <w:lang w:eastAsia="es-CO"/>
                <w14:ligatures w14:val="none"/>
              </w:rPr>
            </w:pPr>
            <w:r w:rsidRPr="0039091F">
              <w:rPr>
                <w:rFonts w:eastAsia="Times New Roman" w:cs="Times New Roman"/>
                <w:color w:val="000000"/>
                <w:kern w:val="0"/>
                <w:sz w:val="18"/>
                <w:szCs w:val="18"/>
                <w:lang w:eastAsia="es-CO"/>
                <w14:ligatures w14:val="none"/>
              </w:rPr>
              <w:t>Puerto de Mamonal S.A.</w:t>
            </w:r>
          </w:p>
        </w:tc>
        <w:tc>
          <w:tcPr>
            <w:tcW w:w="803" w:type="pct"/>
            <w:shd w:val="clear" w:color="000000" w:fill="FFFFFF"/>
            <w:noWrap/>
            <w:vAlign w:val="center"/>
            <w:hideMark/>
          </w:tcPr>
          <w:p w14:paraId="10F9EB9B" w14:textId="77777777" w:rsidR="000B3479" w:rsidRPr="0039091F" w:rsidRDefault="000B3479" w:rsidP="000A5389">
            <w:pPr>
              <w:spacing w:line="240" w:lineRule="auto"/>
              <w:jc w:val="right"/>
              <w:rPr>
                <w:rFonts w:eastAsia="Times New Roman" w:cs="Times New Roman"/>
                <w:color w:val="000000"/>
                <w:kern w:val="0"/>
                <w:sz w:val="18"/>
                <w:szCs w:val="18"/>
                <w:lang w:eastAsia="es-CO"/>
                <w14:ligatures w14:val="none"/>
              </w:rPr>
            </w:pPr>
            <w:r w:rsidRPr="0039091F">
              <w:rPr>
                <w:rFonts w:eastAsia="Times New Roman" w:cs="Times New Roman"/>
                <w:color w:val="000000"/>
                <w:kern w:val="0"/>
                <w:sz w:val="18"/>
                <w:szCs w:val="18"/>
                <w:lang w:eastAsia="es-CO"/>
                <w14:ligatures w14:val="none"/>
              </w:rPr>
              <w:t>26.057.299.354</w:t>
            </w:r>
          </w:p>
        </w:tc>
        <w:tc>
          <w:tcPr>
            <w:tcW w:w="803" w:type="pct"/>
            <w:shd w:val="clear" w:color="000000" w:fill="FFFFFF"/>
            <w:noWrap/>
            <w:vAlign w:val="center"/>
            <w:hideMark/>
          </w:tcPr>
          <w:p w14:paraId="5ED04F41" w14:textId="77777777" w:rsidR="000B3479" w:rsidRPr="0039091F" w:rsidRDefault="000B3479" w:rsidP="000A5389">
            <w:pPr>
              <w:spacing w:line="240" w:lineRule="auto"/>
              <w:jc w:val="right"/>
              <w:rPr>
                <w:rFonts w:eastAsia="Times New Roman" w:cs="Times New Roman"/>
                <w:color w:val="000000"/>
                <w:kern w:val="0"/>
                <w:sz w:val="18"/>
                <w:szCs w:val="18"/>
                <w:lang w:eastAsia="es-CO"/>
                <w14:ligatures w14:val="none"/>
              </w:rPr>
            </w:pPr>
            <w:r w:rsidRPr="0039091F">
              <w:rPr>
                <w:rFonts w:eastAsia="Times New Roman" w:cs="Times New Roman"/>
                <w:color w:val="000000"/>
                <w:kern w:val="0"/>
                <w:sz w:val="18"/>
                <w:szCs w:val="18"/>
                <w:lang w:eastAsia="es-CO"/>
                <w14:ligatures w14:val="none"/>
              </w:rPr>
              <w:t>28.952.554.837</w:t>
            </w:r>
          </w:p>
        </w:tc>
        <w:tc>
          <w:tcPr>
            <w:tcW w:w="747" w:type="pct"/>
            <w:shd w:val="clear" w:color="000000" w:fill="FFFFFF"/>
            <w:noWrap/>
            <w:vAlign w:val="center"/>
            <w:hideMark/>
          </w:tcPr>
          <w:p w14:paraId="787D686C" w14:textId="77777777" w:rsidR="000B3479" w:rsidRPr="0039091F" w:rsidRDefault="000B3479" w:rsidP="000A5389">
            <w:pPr>
              <w:spacing w:line="240" w:lineRule="auto"/>
              <w:jc w:val="right"/>
              <w:rPr>
                <w:rFonts w:eastAsia="Times New Roman" w:cs="Times New Roman"/>
                <w:color w:val="000000"/>
                <w:kern w:val="0"/>
                <w:sz w:val="18"/>
                <w:szCs w:val="18"/>
                <w:lang w:eastAsia="es-CO"/>
                <w14:ligatures w14:val="none"/>
              </w:rPr>
            </w:pPr>
            <w:r w:rsidRPr="0039091F">
              <w:rPr>
                <w:rFonts w:eastAsia="Times New Roman" w:cs="Times New Roman"/>
                <w:color w:val="000000"/>
                <w:kern w:val="0"/>
                <w:sz w:val="18"/>
                <w:szCs w:val="18"/>
                <w:lang w:eastAsia="es-CO"/>
                <w14:ligatures w14:val="none"/>
              </w:rPr>
              <w:t>-2.895.255.484</w:t>
            </w:r>
          </w:p>
        </w:tc>
      </w:tr>
      <w:tr w:rsidR="000B3479" w:rsidRPr="0039091F" w14:paraId="141CA359" w14:textId="77777777" w:rsidTr="00071A8A">
        <w:trPr>
          <w:trHeight w:val="285"/>
        </w:trPr>
        <w:tc>
          <w:tcPr>
            <w:tcW w:w="639" w:type="pct"/>
            <w:shd w:val="clear" w:color="000000" w:fill="FFFFFF"/>
            <w:noWrap/>
            <w:vAlign w:val="center"/>
            <w:hideMark/>
          </w:tcPr>
          <w:p w14:paraId="0EBD1A5F" w14:textId="77777777" w:rsidR="000B3479" w:rsidRPr="0039091F" w:rsidRDefault="000B3479" w:rsidP="000A5389">
            <w:pPr>
              <w:spacing w:line="240" w:lineRule="auto"/>
              <w:jc w:val="right"/>
              <w:rPr>
                <w:rFonts w:eastAsia="Times New Roman" w:cs="Times New Roman"/>
                <w:color w:val="000000"/>
                <w:kern w:val="0"/>
                <w:sz w:val="18"/>
                <w:szCs w:val="18"/>
                <w:lang w:eastAsia="es-CO"/>
                <w14:ligatures w14:val="none"/>
              </w:rPr>
            </w:pPr>
            <w:r w:rsidRPr="0039091F">
              <w:rPr>
                <w:rFonts w:eastAsia="Times New Roman" w:cs="Times New Roman"/>
                <w:color w:val="000000"/>
                <w:kern w:val="0"/>
                <w:sz w:val="18"/>
                <w:szCs w:val="18"/>
                <w:lang w:eastAsia="es-CO"/>
                <w14:ligatures w14:val="none"/>
              </w:rPr>
              <w:t>860053976</w:t>
            </w:r>
          </w:p>
        </w:tc>
        <w:tc>
          <w:tcPr>
            <w:tcW w:w="2008" w:type="pct"/>
            <w:shd w:val="clear" w:color="000000" w:fill="FFFFFF"/>
            <w:noWrap/>
            <w:vAlign w:val="center"/>
            <w:hideMark/>
          </w:tcPr>
          <w:p w14:paraId="07A960CB" w14:textId="77777777" w:rsidR="000B3479" w:rsidRPr="0039091F" w:rsidRDefault="000B3479" w:rsidP="000A5389">
            <w:pPr>
              <w:spacing w:line="240" w:lineRule="auto"/>
              <w:rPr>
                <w:rFonts w:eastAsia="Times New Roman" w:cs="Times New Roman"/>
                <w:color w:val="000000"/>
                <w:kern w:val="0"/>
                <w:sz w:val="18"/>
                <w:szCs w:val="18"/>
                <w:lang w:eastAsia="es-CO"/>
                <w14:ligatures w14:val="none"/>
              </w:rPr>
            </w:pPr>
            <w:r w:rsidRPr="0039091F">
              <w:rPr>
                <w:rFonts w:eastAsia="Times New Roman" w:cs="Times New Roman"/>
                <w:color w:val="000000"/>
                <w:kern w:val="0"/>
                <w:sz w:val="18"/>
                <w:szCs w:val="18"/>
                <w:lang w:eastAsia="es-CO"/>
                <w14:ligatures w14:val="none"/>
              </w:rPr>
              <w:t>Algranel S.A.</w:t>
            </w:r>
          </w:p>
        </w:tc>
        <w:tc>
          <w:tcPr>
            <w:tcW w:w="803" w:type="pct"/>
            <w:shd w:val="clear" w:color="000000" w:fill="FFFFFF"/>
            <w:noWrap/>
            <w:vAlign w:val="center"/>
            <w:hideMark/>
          </w:tcPr>
          <w:p w14:paraId="07F2FAA8" w14:textId="77777777" w:rsidR="000B3479" w:rsidRPr="0039091F" w:rsidRDefault="000B3479" w:rsidP="000A5389">
            <w:pPr>
              <w:spacing w:line="240" w:lineRule="auto"/>
              <w:jc w:val="right"/>
              <w:rPr>
                <w:rFonts w:eastAsia="Times New Roman" w:cs="Times New Roman"/>
                <w:color w:val="000000"/>
                <w:kern w:val="0"/>
                <w:sz w:val="18"/>
                <w:szCs w:val="18"/>
                <w:lang w:eastAsia="es-CO"/>
                <w14:ligatures w14:val="none"/>
              </w:rPr>
            </w:pPr>
            <w:r w:rsidRPr="0039091F">
              <w:rPr>
                <w:rFonts w:eastAsia="Times New Roman" w:cs="Times New Roman"/>
                <w:color w:val="000000"/>
                <w:kern w:val="0"/>
                <w:sz w:val="18"/>
                <w:szCs w:val="18"/>
                <w:lang w:eastAsia="es-CO"/>
                <w14:ligatures w14:val="none"/>
              </w:rPr>
              <w:t>23.527.656.455</w:t>
            </w:r>
          </w:p>
        </w:tc>
        <w:tc>
          <w:tcPr>
            <w:tcW w:w="803" w:type="pct"/>
            <w:shd w:val="clear" w:color="000000" w:fill="FFFFFF"/>
            <w:noWrap/>
            <w:vAlign w:val="center"/>
            <w:hideMark/>
          </w:tcPr>
          <w:p w14:paraId="0F86A745" w14:textId="77777777" w:rsidR="000B3479" w:rsidRPr="0039091F" w:rsidRDefault="000B3479" w:rsidP="000A5389">
            <w:pPr>
              <w:spacing w:line="240" w:lineRule="auto"/>
              <w:jc w:val="right"/>
              <w:rPr>
                <w:rFonts w:eastAsia="Times New Roman" w:cs="Times New Roman"/>
                <w:color w:val="000000"/>
                <w:kern w:val="0"/>
                <w:sz w:val="18"/>
                <w:szCs w:val="18"/>
                <w:lang w:eastAsia="es-CO"/>
                <w14:ligatures w14:val="none"/>
              </w:rPr>
            </w:pPr>
            <w:r w:rsidRPr="0039091F">
              <w:rPr>
                <w:rFonts w:eastAsia="Times New Roman" w:cs="Times New Roman"/>
                <w:color w:val="000000"/>
                <w:kern w:val="0"/>
                <w:sz w:val="18"/>
                <w:szCs w:val="18"/>
                <w:lang w:eastAsia="es-CO"/>
                <w14:ligatures w14:val="none"/>
              </w:rPr>
              <w:t>21.784.003.112</w:t>
            </w:r>
          </w:p>
        </w:tc>
        <w:tc>
          <w:tcPr>
            <w:tcW w:w="747" w:type="pct"/>
            <w:shd w:val="clear" w:color="000000" w:fill="FFFFFF"/>
            <w:noWrap/>
            <w:vAlign w:val="center"/>
            <w:hideMark/>
          </w:tcPr>
          <w:p w14:paraId="3BCBCA4C" w14:textId="77777777" w:rsidR="000B3479" w:rsidRPr="0039091F" w:rsidRDefault="000B3479" w:rsidP="000A5389">
            <w:pPr>
              <w:spacing w:line="240" w:lineRule="auto"/>
              <w:jc w:val="right"/>
              <w:rPr>
                <w:rFonts w:eastAsia="Times New Roman" w:cs="Times New Roman"/>
                <w:color w:val="000000"/>
                <w:kern w:val="0"/>
                <w:sz w:val="18"/>
                <w:szCs w:val="18"/>
                <w:lang w:eastAsia="es-CO"/>
                <w14:ligatures w14:val="none"/>
              </w:rPr>
            </w:pPr>
            <w:r w:rsidRPr="0039091F">
              <w:rPr>
                <w:rFonts w:eastAsia="Times New Roman" w:cs="Times New Roman"/>
                <w:color w:val="000000"/>
                <w:kern w:val="0"/>
                <w:sz w:val="18"/>
                <w:szCs w:val="18"/>
                <w:lang w:eastAsia="es-CO"/>
                <w14:ligatures w14:val="none"/>
              </w:rPr>
              <w:t>1.743.653.342</w:t>
            </w:r>
          </w:p>
        </w:tc>
      </w:tr>
      <w:tr w:rsidR="000B3479" w:rsidRPr="0039091F" w14:paraId="5F221282" w14:textId="77777777" w:rsidTr="00071A8A">
        <w:trPr>
          <w:trHeight w:val="285"/>
        </w:trPr>
        <w:tc>
          <w:tcPr>
            <w:tcW w:w="639" w:type="pct"/>
            <w:shd w:val="clear" w:color="000000" w:fill="FFFFFF"/>
            <w:noWrap/>
            <w:vAlign w:val="center"/>
            <w:hideMark/>
          </w:tcPr>
          <w:p w14:paraId="29B349BA" w14:textId="77777777" w:rsidR="000B3479" w:rsidRPr="0039091F" w:rsidRDefault="000B3479" w:rsidP="000A5389">
            <w:pPr>
              <w:spacing w:line="240" w:lineRule="auto"/>
              <w:jc w:val="right"/>
              <w:rPr>
                <w:rFonts w:eastAsia="Times New Roman" w:cs="Times New Roman"/>
                <w:color w:val="000000"/>
                <w:kern w:val="0"/>
                <w:sz w:val="18"/>
                <w:szCs w:val="18"/>
                <w:lang w:eastAsia="es-CO"/>
                <w14:ligatures w14:val="none"/>
              </w:rPr>
            </w:pPr>
            <w:r w:rsidRPr="0039091F">
              <w:rPr>
                <w:rFonts w:eastAsia="Times New Roman" w:cs="Times New Roman"/>
                <w:color w:val="000000"/>
                <w:kern w:val="0"/>
                <w:sz w:val="18"/>
                <w:szCs w:val="18"/>
                <w:lang w:eastAsia="es-CO"/>
                <w14:ligatures w14:val="none"/>
              </w:rPr>
              <w:t>900257792</w:t>
            </w:r>
          </w:p>
        </w:tc>
        <w:tc>
          <w:tcPr>
            <w:tcW w:w="2008" w:type="pct"/>
            <w:shd w:val="clear" w:color="000000" w:fill="FFFFFF"/>
            <w:noWrap/>
            <w:vAlign w:val="center"/>
            <w:hideMark/>
          </w:tcPr>
          <w:p w14:paraId="5E20277B" w14:textId="77777777" w:rsidR="000B3479" w:rsidRPr="0039091F" w:rsidRDefault="000B3479" w:rsidP="000A5389">
            <w:pPr>
              <w:spacing w:line="240" w:lineRule="auto"/>
              <w:rPr>
                <w:rFonts w:eastAsia="Times New Roman" w:cs="Times New Roman"/>
                <w:color w:val="000000"/>
                <w:kern w:val="0"/>
                <w:sz w:val="18"/>
                <w:szCs w:val="18"/>
                <w:lang w:eastAsia="es-CO"/>
                <w14:ligatures w14:val="none"/>
              </w:rPr>
            </w:pPr>
            <w:r w:rsidRPr="0039091F">
              <w:rPr>
                <w:rFonts w:eastAsia="Times New Roman" w:cs="Times New Roman"/>
                <w:color w:val="000000"/>
                <w:kern w:val="0"/>
                <w:sz w:val="18"/>
                <w:szCs w:val="18"/>
                <w:lang w:eastAsia="es-CO"/>
                <w14:ligatures w14:val="none"/>
              </w:rPr>
              <w:t>Oiltanking Colombia S.A.</w:t>
            </w:r>
          </w:p>
        </w:tc>
        <w:tc>
          <w:tcPr>
            <w:tcW w:w="803" w:type="pct"/>
            <w:shd w:val="clear" w:color="000000" w:fill="FFFFFF"/>
            <w:noWrap/>
            <w:vAlign w:val="center"/>
            <w:hideMark/>
          </w:tcPr>
          <w:p w14:paraId="12977B65" w14:textId="77777777" w:rsidR="000B3479" w:rsidRPr="0039091F" w:rsidRDefault="000B3479" w:rsidP="000A5389">
            <w:pPr>
              <w:spacing w:line="240" w:lineRule="auto"/>
              <w:jc w:val="right"/>
              <w:rPr>
                <w:rFonts w:eastAsia="Times New Roman" w:cs="Times New Roman"/>
                <w:color w:val="000000"/>
                <w:kern w:val="0"/>
                <w:sz w:val="18"/>
                <w:szCs w:val="18"/>
                <w:lang w:eastAsia="es-CO"/>
                <w14:ligatures w14:val="none"/>
              </w:rPr>
            </w:pPr>
            <w:r w:rsidRPr="0039091F">
              <w:rPr>
                <w:rFonts w:eastAsia="Times New Roman" w:cs="Times New Roman"/>
                <w:color w:val="000000"/>
                <w:kern w:val="0"/>
                <w:sz w:val="18"/>
                <w:szCs w:val="18"/>
                <w:lang w:eastAsia="es-CO"/>
                <w14:ligatures w14:val="none"/>
              </w:rPr>
              <w:t>17.963.097.091</w:t>
            </w:r>
          </w:p>
        </w:tc>
        <w:tc>
          <w:tcPr>
            <w:tcW w:w="803" w:type="pct"/>
            <w:shd w:val="clear" w:color="000000" w:fill="FFFFFF"/>
            <w:noWrap/>
            <w:vAlign w:val="center"/>
            <w:hideMark/>
          </w:tcPr>
          <w:p w14:paraId="58657FC5" w14:textId="77777777" w:rsidR="000B3479" w:rsidRPr="0039091F" w:rsidRDefault="000B3479" w:rsidP="000A5389">
            <w:pPr>
              <w:spacing w:line="240" w:lineRule="auto"/>
              <w:jc w:val="right"/>
              <w:rPr>
                <w:rFonts w:eastAsia="Times New Roman" w:cs="Times New Roman"/>
                <w:color w:val="000000"/>
                <w:kern w:val="0"/>
                <w:sz w:val="18"/>
                <w:szCs w:val="18"/>
                <w:lang w:eastAsia="es-CO"/>
                <w14:ligatures w14:val="none"/>
              </w:rPr>
            </w:pPr>
            <w:r w:rsidRPr="0039091F">
              <w:rPr>
                <w:rFonts w:eastAsia="Times New Roman" w:cs="Times New Roman"/>
                <w:color w:val="000000"/>
                <w:kern w:val="0"/>
                <w:sz w:val="18"/>
                <w:szCs w:val="18"/>
                <w:lang w:eastAsia="es-CO"/>
                <w14:ligatures w14:val="none"/>
              </w:rPr>
              <w:t>18.148.494.699</w:t>
            </w:r>
          </w:p>
        </w:tc>
        <w:tc>
          <w:tcPr>
            <w:tcW w:w="747" w:type="pct"/>
            <w:shd w:val="clear" w:color="000000" w:fill="FFFFFF"/>
            <w:noWrap/>
            <w:vAlign w:val="center"/>
            <w:hideMark/>
          </w:tcPr>
          <w:p w14:paraId="48E39D9B" w14:textId="77777777" w:rsidR="000B3479" w:rsidRPr="0039091F" w:rsidRDefault="000B3479" w:rsidP="000A5389">
            <w:pPr>
              <w:spacing w:line="240" w:lineRule="auto"/>
              <w:jc w:val="right"/>
              <w:rPr>
                <w:rFonts w:eastAsia="Times New Roman" w:cs="Times New Roman"/>
                <w:color w:val="000000"/>
                <w:kern w:val="0"/>
                <w:sz w:val="18"/>
                <w:szCs w:val="18"/>
                <w:lang w:eastAsia="es-CO"/>
                <w14:ligatures w14:val="none"/>
              </w:rPr>
            </w:pPr>
            <w:r w:rsidRPr="0039091F">
              <w:rPr>
                <w:rFonts w:eastAsia="Times New Roman" w:cs="Times New Roman"/>
                <w:color w:val="000000"/>
                <w:kern w:val="0"/>
                <w:sz w:val="18"/>
                <w:szCs w:val="18"/>
                <w:lang w:eastAsia="es-CO"/>
                <w14:ligatures w14:val="none"/>
              </w:rPr>
              <w:t>-185.397.608</w:t>
            </w:r>
          </w:p>
        </w:tc>
      </w:tr>
      <w:tr w:rsidR="000B3479" w:rsidRPr="0039091F" w14:paraId="55122B06" w14:textId="77777777" w:rsidTr="00071A8A">
        <w:trPr>
          <w:trHeight w:val="285"/>
        </w:trPr>
        <w:tc>
          <w:tcPr>
            <w:tcW w:w="639" w:type="pct"/>
            <w:shd w:val="clear" w:color="000000" w:fill="FFFFFF"/>
            <w:noWrap/>
            <w:vAlign w:val="center"/>
            <w:hideMark/>
          </w:tcPr>
          <w:p w14:paraId="392CDED7" w14:textId="77777777" w:rsidR="000B3479" w:rsidRPr="0039091F" w:rsidRDefault="000B3479" w:rsidP="000A5389">
            <w:pPr>
              <w:spacing w:line="240" w:lineRule="auto"/>
              <w:jc w:val="right"/>
              <w:rPr>
                <w:rFonts w:eastAsia="Times New Roman" w:cs="Times New Roman"/>
                <w:color w:val="000000"/>
                <w:kern w:val="0"/>
                <w:sz w:val="18"/>
                <w:szCs w:val="18"/>
                <w:lang w:eastAsia="es-CO"/>
                <w14:ligatures w14:val="none"/>
              </w:rPr>
            </w:pPr>
            <w:r w:rsidRPr="0039091F">
              <w:rPr>
                <w:rFonts w:eastAsia="Times New Roman" w:cs="Times New Roman"/>
                <w:color w:val="000000"/>
                <w:kern w:val="0"/>
                <w:sz w:val="18"/>
                <w:szCs w:val="18"/>
                <w:lang w:eastAsia="es-CO"/>
                <w14:ligatures w14:val="none"/>
              </w:rPr>
              <w:lastRenderedPageBreak/>
              <w:t>901057588</w:t>
            </w:r>
          </w:p>
        </w:tc>
        <w:tc>
          <w:tcPr>
            <w:tcW w:w="2008" w:type="pct"/>
            <w:shd w:val="clear" w:color="000000" w:fill="FFFFFF"/>
            <w:noWrap/>
            <w:vAlign w:val="center"/>
            <w:hideMark/>
          </w:tcPr>
          <w:p w14:paraId="096DC13D" w14:textId="4D3572D8" w:rsidR="000B3479" w:rsidRPr="0039091F" w:rsidRDefault="000B3479" w:rsidP="000A5389">
            <w:pPr>
              <w:spacing w:line="240" w:lineRule="auto"/>
              <w:rPr>
                <w:rFonts w:eastAsia="Times New Roman" w:cs="Times New Roman"/>
                <w:color w:val="000000"/>
                <w:kern w:val="0"/>
                <w:sz w:val="18"/>
                <w:szCs w:val="18"/>
                <w:lang w:eastAsia="es-CO"/>
                <w14:ligatures w14:val="none"/>
              </w:rPr>
            </w:pPr>
            <w:r w:rsidRPr="0039091F">
              <w:rPr>
                <w:rFonts w:eastAsia="Times New Roman" w:cs="Times New Roman"/>
                <w:color w:val="000000"/>
                <w:kern w:val="0"/>
                <w:sz w:val="18"/>
                <w:szCs w:val="18"/>
                <w:lang w:eastAsia="es-CO"/>
                <w14:ligatures w14:val="none"/>
              </w:rPr>
              <w:t>Sociedad Portuaria Regional Tumaco Pacific Port S. A</w:t>
            </w:r>
          </w:p>
        </w:tc>
        <w:tc>
          <w:tcPr>
            <w:tcW w:w="803" w:type="pct"/>
            <w:shd w:val="clear" w:color="000000" w:fill="FFFFFF"/>
            <w:noWrap/>
            <w:vAlign w:val="center"/>
            <w:hideMark/>
          </w:tcPr>
          <w:p w14:paraId="529B008C" w14:textId="77777777" w:rsidR="000B3479" w:rsidRPr="0039091F" w:rsidRDefault="000B3479" w:rsidP="000A5389">
            <w:pPr>
              <w:spacing w:line="240" w:lineRule="auto"/>
              <w:jc w:val="right"/>
              <w:rPr>
                <w:rFonts w:eastAsia="Times New Roman" w:cs="Times New Roman"/>
                <w:color w:val="000000"/>
                <w:kern w:val="0"/>
                <w:sz w:val="18"/>
                <w:szCs w:val="18"/>
                <w:lang w:eastAsia="es-CO"/>
                <w14:ligatures w14:val="none"/>
              </w:rPr>
            </w:pPr>
            <w:r w:rsidRPr="0039091F">
              <w:rPr>
                <w:rFonts w:eastAsia="Times New Roman" w:cs="Times New Roman"/>
                <w:color w:val="000000"/>
                <w:kern w:val="0"/>
                <w:sz w:val="18"/>
                <w:szCs w:val="18"/>
                <w:lang w:eastAsia="es-CO"/>
                <w14:ligatures w14:val="none"/>
              </w:rPr>
              <w:t>12.567.952.495</w:t>
            </w:r>
          </w:p>
        </w:tc>
        <w:tc>
          <w:tcPr>
            <w:tcW w:w="803" w:type="pct"/>
            <w:shd w:val="clear" w:color="000000" w:fill="FFFFFF"/>
            <w:noWrap/>
            <w:vAlign w:val="center"/>
            <w:hideMark/>
          </w:tcPr>
          <w:p w14:paraId="1F70EE54" w14:textId="77777777" w:rsidR="000B3479" w:rsidRPr="0039091F" w:rsidRDefault="000B3479" w:rsidP="000A5389">
            <w:pPr>
              <w:spacing w:line="240" w:lineRule="auto"/>
              <w:jc w:val="right"/>
              <w:rPr>
                <w:rFonts w:eastAsia="Times New Roman" w:cs="Times New Roman"/>
                <w:color w:val="000000"/>
                <w:kern w:val="0"/>
                <w:sz w:val="18"/>
                <w:szCs w:val="18"/>
                <w:lang w:eastAsia="es-CO"/>
                <w14:ligatures w14:val="none"/>
              </w:rPr>
            </w:pPr>
            <w:r w:rsidRPr="0039091F">
              <w:rPr>
                <w:rFonts w:eastAsia="Times New Roman" w:cs="Times New Roman"/>
                <w:color w:val="000000"/>
                <w:kern w:val="0"/>
                <w:sz w:val="18"/>
                <w:szCs w:val="18"/>
                <w:lang w:eastAsia="es-CO"/>
                <w14:ligatures w14:val="none"/>
              </w:rPr>
              <w:t>13.152.508.425</w:t>
            </w:r>
          </w:p>
        </w:tc>
        <w:tc>
          <w:tcPr>
            <w:tcW w:w="747" w:type="pct"/>
            <w:shd w:val="clear" w:color="000000" w:fill="FFFFFF"/>
            <w:noWrap/>
            <w:vAlign w:val="center"/>
            <w:hideMark/>
          </w:tcPr>
          <w:p w14:paraId="4A73BC78" w14:textId="77777777" w:rsidR="000B3479" w:rsidRPr="0039091F" w:rsidRDefault="000B3479" w:rsidP="000A5389">
            <w:pPr>
              <w:spacing w:line="240" w:lineRule="auto"/>
              <w:jc w:val="right"/>
              <w:rPr>
                <w:rFonts w:eastAsia="Times New Roman" w:cs="Times New Roman"/>
                <w:color w:val="000000"/>
                <w:kern w:val="0"/>
                <w:sz w:val="18"/>
                <w:szCs w:val="18"/>
                <w:lang w:eastAsia="es-CO"/>
                <w14:ligatures w14:val="none"/>
              </w:rPr>
            </w:pPr>
            <w:r w:rsidRPr="0039091F">
              <w:rPr>
                <w:rFonts w:eastAsia="Times New Roman" w:cs="Times New Roman"/>
                <w:color w:val="000000"/>
                <w:kern w:val="0"/>
                <w:sz w:val="18"/>
                <w:szCs w:val="18"/>
                <w:lang w:eastAsia="es-CO"/>
                <w14:ligatures w14:val="none"/>
              </w:rPr>
              <w:t>-584.555.930</w:t>
            </w:r>
          </w:p>
        </w:tc>
      </w:tr>
      <w:tr w:rsidR="000B3479" w:rsidRPr="0039091F" w14:paraId="12CD9002" w14:textId="77777777" w:rsidTr="00071A8A">
        <w:trPr>
          <w:trHeight w:val="285"/>
        </w:trPr>
        <w:tc>
          <w:tcPr>
            <w:tcW w:w="639" w:type="pct"/>
            <w:shd w:val="clear" w:color="000000" w:fill="FFFFFF"/>
            <w:noWrap/>
            <w:vAlign w:val="center"/>
            <w:hideMark/>
          </w:tcPr>
          <w:p w14:paraId="35096071" w14:textId="77777777" w:rsidR="000B3479" w:rsidRPr="0039091F" w:rsidRDefault="000B3479" w:rsidP="000A5389">
            <w:pPr>
              <w:spacing w:line="240" w:lineRule="auto"/>
              <w:jc w:val="right"/>
              <w:rPr>
                <w:rFonts w:eastAsia="Times New Roman" w:cs="Times New Roman"/>
                <w:color w:val="000000"/>
                <w:kern w:val="0"/>
                <w:sz w:val="18"/>
                <w:szCs w:val="18"/>
                <w:lang w:eastAsia="es-CO"/>
                <w14:ligatures w14:val="none"/>
              </w:rPr>
            </w:pPr>
            <w:r w:rsidRPr="0039091F">
              <w:rPr>
                <w:rFonts w:eastAsia="Times New Roman" w:cs="Times New Roman"/>
                <w:color w:val="000000"/>
                <w:kern w:val="0"/>
                <w:sz w:val="18"/>
                <w:szCs w:val="18"/>
                <w:lang w:eastAsia="es-CO"/>
                <w14:ligatures w14:val="none"/>
              </w:rPr>
              <w:t>900944661</w:t>
            </w:r>
          </w:p>
        </w:tc>
        <w:tc>
          <w:tcPr>
            <w:tcW w:w="2008" w:type="pct"/>
            <w:shd w:val="clear" w:color="000000" w:fill="FFFFFF"/>
            <w:noWrap/>
            <w:vAlign w:val="center"/>
            <w:hideMark/>
          </w:tcPr>
          <w:p w14:paraId="43C5B208" w14:textId="1E221D7A" w:rsidR="000B3479" w:rsidRPr="0039091F" w:rsidRDefault="000B3479" w:rsidP="000A5389">
            <w:pPr>
              <w:spacing w:line="240" w:lineRule="auto"/>
              <w:rPr>
                <w:rFonts w:eastAsia="Times New Roman" w:cs="Times New Roman"/>
                <w:color w:val="000000"/>
                <w:kern w:val="0"/>
                <w:sz w:val="18"/>
                <w:szCs w:val="18"/>
                <w:lang w:eastAsia="es-CO"/>
                <w14:ligatures w14:val="none"/>
              </w:rPr>
            </w:pPr>
            <w:r w:rsidRPr="0039091F">
              <w:rPr>
                <w:rFonts w:eastAsia="Times New Roman" w:cs="Times New Roman"/>
                <w:color w:val="000000"/>
                <w:kern w:val="0"/>
                <w:sz w:val="18"/>
                <w:szCs w:val="18"/>
                <w:lang w:eastAsia="es-CO"/>
                <w14:ligatures w14:val="none"/>
              </w:rPr>
              <w:t>Nueva Sociedad Portuaria Zona Atlantica S.A.</w:t>
            </w:r>
          </w:p>
        </w:tc>
        <w:tc>
          <w:tcPr>
            <w:tcW w:w="803" w:type="pct"/>
            <w:shd w:val="clear" w:color="000000" w:fill="FFFFFF"/>
            <w:noWrap/>
            <w:vAlign w:val="center"/>
            <w:hideMark/>
          </w:tcPr>
          <w:p w14:paraId="124BB4BA" w14:textId="77777777" w:rsidR="000B3479" w:rsidRPr="0039091F" w:rsidRDefault="000B3479" w:rsidP="000A5389">
            <w:pPr>
              <w:spacing w:line="240" w:lineRule="auto"/>
              <w:jc w:val="right"/>
              <w:rPr>
                <w:rFonts w:eastAsia="Times New Roman" w:cs="Times New Roman"/>
                <w:color w:val="000000"/>
                <w:kern w:val="0"/>
                <w:sz w:val="18"/>
                <w:szCs w:val="18"/>
                <w:lang w:eastAsia="es-CO"/>
                <w14:ligatures w14:val="none"/>
              </w:rPr>
            </w:pPr>
            <w:r w:rsidRPr="0039091F">
              <w:rPr>
                <w:rFonts w:eastAsia="Times New Roman" w:cs="Times New Roman"/>
                <w:color w:val="000000"/>
                <w:kern w:val="0"/>
                <w:sz w:val="18"/>
                <w:szCs w:val="18"/>
                <w:lang w:eastAsia="es-CO"/>
                <w14:ligatures w14:val="none"/>
              </w:rPr>
              <w:t>7.683.091.429</w:t>
            </w:r>
          </w:p>
        </w:tc>
        <w:tc>
          <w:tcPr>
            <w:tcW w:w="803" w:type="pct"/>
            <w:shd w:val="clear" w:color="000000" w:fill="FFFFFF"/>
            <w:noWrap/>
            <w:vAlign w:val="center"/>
            <w:hideMark/>
          </w:tcPr>
          <w:p w14:paraId="7D60F28C" w14:textId="77777777" w:rsidR="000B3479" w:rsidRPr="0039091F" w:rsidRDefault="000B3479" w:rsidP="000A5389">
            <w:pPr>
              <w:spacing w:line="240" w:lineRule="auto"/>
              <w:jc w:val="right"/>
              <w:rPr>
                <w:rFonts w:eastAsia="Times New Roman" w:cs="Times New Roman"/>
                <w:color w:val="000000"/>
                <w:kern w:val="0"/>
                <w:sz w:val="18"/>
                <w:szCs w:val="18"/>
                <w:lang w:eastAsia="es-CO"/>
                <w14:ligatures w14:val="none"/>
              </w:rPr>
            </w:pPr>
            <w:r w:rsidRPr="0039091F">
              <w:rPr>
                <w:rFonts w:eastAsia="Times New Roman" w:cs="Times New Roman"/>
                <w:color w:val="000000"/>
                <w:kern w:val="0"/>
                <w:sz w:val="18"/>
                <w:szCs w:val="18"/>
                <w:lang w:eastAsia="es-CO"/>
                <w14:ligatures w14:val="none"/>
              </w:rPr>
              <w:t>3.628.901.293</w:t>
            </w:r>
          </w:p>
        </w:tc>
        <w:tc>
          <w:tcPr>
            <w:tcW w:w="747" w:type="pct"/>
            <w:shd w:val="clear" w:color="000000" w:fill="FFFFFF"/>
            <w:noWrap/>
            <w:vAlign w:val="center"/>
            <w:hideMark/>
          </w:tcPr>
          <w:p w14:paraId="0B45E0CB" w14:textId="77777777" w:rsidR="000B3479" w:rsidRPr="0039091F" w:rsidRDefault="000B3479" w:rsidP="000A5389">
            <w:pPr>
              <w:spacing w:line="240" w:lineRule="auto"/>
              <w:jc w:val="right"/>
              <w:rPr>
                <w:rFonts w:eastAsia="Times New Roman" w:cs="Times New Roman"/>
                <w:color w:val="000000"/>
                <w:kern w:val="0"/>
                <w:sz w:val="18"/>
                <w:szCs w:val="18"/>
                <w:lang w:eastAsia="es-CO"/>
                <w14:ligatures w14:val="none"/>
              </w:rPr>
            </w:pPr>
            <w:r w:rsidRPr="0039091F">
              <w:rPr>
                <w:rFonts w:eastAsia="Times New Roman" w:cs="Times New Roman"/>
                <w:color w:val="000000"/>
                <w:kern w:val="0"/>
                <w:sz w:val="18"/>
                <w:szCs w:val="18"/>
                <w:lang w:eastAsia="es-CO"/>
                <w14:ligatures w14:val="none"/>
              </w:rPr>
              <w:t>4.054.190.135</w:t>
            </w:r>
          </w:p>
        </w:tc>
      </w:tr>
      <w:tr w:rsidR="000B3479" w:rsidRPr="0039091F" w14:paraId="3354379D" w14:textId="77777777" w:rsidTr="00071A8A">
        <w:trPr>
          <w:trHeight w:val="285"/>
        </w:trPr>
        <w:tc>
          <w:tcPr>
            <w:tcW w:w="639" w:type="pct"/>
            <w:shd w:val="clear" w:color="000000" w:fill="FFFFFF"/>
            <w:noWrap/>
            <w:vAlign w:val="center"/>
            <w:hideMark/>
          </w:tcPr>
          <w:p w14:paraId="731A6268" w14:textId="77777777" w:rsidR="000B3479" w:rsidRPr="0039091F" w:rsidRDefault="000B3479" w:rsidP="000A5389">
            <w:pPr>
              <w:spacing w:line="240" w:lineRule="auto"/>
              <w:jc w:val="right"/>
              <w:rPr>
                <w:rFonts w:eastAsia="Times New Roman" w:cs="Times New Roman"/>
                <w:color w:val="000000"/>
                <w:kern w:val="0"/>
                <w:sz w:val="18"/>
                <w:szCs w:val="18"/>
                <w:lang w:eastAsia="es-CO"/>
                <w14:ligatures w14:val="none"/>
              </w:rPr>
            </w:pPr>
            <w:r w:rsidRPr="0039091F">
              <w:rPr>
                <w:rFonts w:eastAsia="Times New Roman" w:cs="Times New Roman"/>
                <w:color w:val="000000"/>
                <w:kern w:val="0"/>
                <w:sz w:val="18"/>
                <w:szCs w:val="18"/>
                <w:lang w:eastAsia="es-CO"/>
                <w14:ligatures w14:val="none"/>
              </w:rPr>
              <w:t>900112515</w:t>
            </w:r>
          </w:p>
        </w:tc>
        <w:tc>
          <w:tcPr>
            <w:tcW w:w="2008" w:type="pct"/>
            <w:shd w:val="clear" w:color="000000" w:fill="FFFFFF"/>
            <w:noWrap/>
            <w:vAlign w:val="center"/>
            <w:hideMark/>
          </w:tcPr>
          <w:p w14:paraId="563E2D23" w14:textId="77777777" w:rsidR="000B3479" w:rsidRPr="0039091F" w:rsidRDefault="000B3479" w:rsidP="000A5389">
            <w:pPr>
              <w:spacing w:line="240" w:lineRule="auto"/>
              <w:rPr>
                <w:rFonts w:eastAsia="Times New Roman" w:cs="Times New Roman"/>
                <w:color w:val="000000"/>
                <w:kern w:val="0"/>
                <w:sz w:val="18"/>
                <w:szCs w:val="18"/>
                <w:lang w:eastAsia="es-CO"/>
                <w14:ligatures w14:val="none"/>
              </w:rPr>
            </w:pPr>
            <w:r w:rsidRPr="0039091F">
              <w:rPr>
                <w:rFonts w:eastAsia="Times New Roman" w:cs="Times New Roman"/>
                <w:color w:val="000000"/>
                <w:kern w:val="0"/>
                <w:sz w:val="18"/>
                <w:szCs w:val="18"/>
                <w:lang w:eastAsia="es-CO"/>
                <w14:ligatures w14:val="none"/>
              </w:rPr>
              <w:t>Refinería de Cartagena S.A.S</w:t>
            </w:r>
          </w:p>
        </w:tc>
        <w:tc>
          <w:tcPr>
            <w:tcW w:w="803" w:type="pct"/>
            <w:shd w:val="clear" w:color="000000" w:fill="FFFFFF"/>
            <w:noWrap/>
            <w:vAlign w:val="center"/>
            <w:hideMark/>
          </w:tcPr>
          <w:p w14:paraId="2A566D36" w14:textId="77777777" w:rsidR="000B3479" w:rsidRPr="0039091F" w:rsidRDefault="000B3479" w:rsidP="000A5389">
            <w:pPr>
              <w:spacing w:line="240" w:lineRule="auto"/>
              <w:jc w:val="right"/>
              <w:rPr>
                <w:rFonts w:eastAsia="Times New Roman" w:cs="Times New Roman"/>
                <w:color w:val="000000"/>
                <w:kern w:val="0"/>
                <w:sz w:val="18"/>
                <w:szCs w:val="18"/>
                <w:lang w:eastAsia="es-CO"/>
                <w14:ligatures w14:val="none"/>
              </w:rPr>
            </w:pPr>
            <w:r w:rsidRPr="0039091F">
              <w:rPr>
                <w:rFonts w:eastAsia="Times New Roman" w:cs="Times New Roman"/>
                <w:color w:val="000000"/>
                <w:kern w:val="0"/>
                <w:sz w:val="18"/>
                <w:szCs w:val="18"/>
                <w:lang w:eastAsia="es-CO"/>
                <w14:ligatures w14:val="none"/>
              </w:rPr>
              <w:t>6.224.581.243</w:t>
            </w:r>
          </w:p>
        </w:tc>
        <w:tc>
          <w:tcPr>
            <w:tcW w:w="803" w:type="pct"/>
            <w:shd w:val="clear" w:color="000000" w:fill="FFFFFF"/>
            <w:noWrap/>
            <w:vAlign w:val="center"/>
            <w:hideMark/>
          </w:tcPr>
          <w:p w14:paraId="50A86DC2" w14:textId="77777777" w:rsidR="000B3479" w:rsidRPr="0039091F" w:rsidRDefault="000B3479" w:rsidP="000A5389">
            <w:pPr>
              <w:spacing w:line="240" w:lineRule="auto"/>
              <w:jc w:val="right"/>
              <w:rPr>
                <w:rFonts w:eastAsia="Times New Roman" w:cs="Times New Roman"/>
                <w:color w:val="000000"/>
                <w:kern w:val="0"/>
                <w:sz w:val="18"/>
                <w:szCs w:val="18"/>
                <w:lang w:eastAsia="es-CO"/>
                <w14:ligatures w14:val="none"/>
              </w:rPr>
            </w:pPr>
            <w:r w:rsidRPr="0039091F">
              <w:rPr>
                <w:rFonts w:eastAsia="Times New Roman" w:cs="Times New Roman"/>
                <w:color w:val="000000"/>
                <w:kern w:val="0"/>
                <w:sz w:val="18"/>
                <w:szCs w:val="18"/>
                <w:lang w:eastAsia="es-CO"/>
                <w14:ligatures w14:val="none"/>
              </w:rPr>
              <w:t>6.847.039.368</w:t>
            </w:r>
          </w:p>
        </w:tc>
        <w:tc>
          <w:tcPr>
            <w:tcW w:w="747" w:type="pct"/>
            <w:shd w:val="clear" w:color="000000" w:fill="FFFFFF"/>
            <w:noWrap/>
            <w:vAlign w:val="center"/>
            <w:hideMark/>
          </w:tcPr>
          <w:p w14:paraId="68878DB5" w14:textId="77777777" w:rsidR="000B3479" w:rsidRPr="0039091F" w:rsidRDefault="000B3479" w:rsidP="000A5389">
            <w:pPr>
              <w:spacing w:line="240" w:lineRule="auto"/>
              <w:jc w:val="right"/>
              <w:rPr>
                <w:rFonts w:eastAsia="Times New Roman" w:cs="Times New Roman"/>
                <w:color w:val="000000"/>
                <w:kern w:val="0"/>
                <w:sz w:val="18"/>
                <w:szCs w:val="18"/>
                <w:lang w:eastAsia="es-CO"/>
                <w14:ligatures w14:val="none"/>
              </w:rPr>
            </w:pPr>
            <w:r w:rsidRPr="0039091F">
              <w:rPr>
                <w:rFonts w:eastAsia="Times New Roman" w:cs="Times New Roman"/>
                <w:color w:val="000000"/>
                <w:kern w:val="0"/>
                <w:sz w:val="18"/>
                <w:szCs w:val="18"/>
                <w:lang w:eastAsia="es-CO"/>
                <w14:ligatures w14:val="none"/>
              </w:rPr>
              <w:t>-622.458.124</w:t>
            </w:r>
          </w:p>
        </w:tc>
      </w:tr>
      <w:tr w:rsidR="000B3479" w:rsidRPr="0039091F" w14:paraId="378DC370" w14:textId="77777777" w:rsidTr="00071A8A">
        <w:trPr>
          <w:trHeight w:val="285"/>
        </w:trPr>
        <w:tc>
          <w:tcPr>
            <w:tcW w:w="639" w:type="pct"/>
            <w:shd w:val="clear" w:color="000000" w:fill="FFFFFF"/>
            <w:noWrap/>
            <w:vAlign w:val="center"/>
            <w:hideMark/>
          </w:tcPr>
          <w:p w14:paraId="40E65A3A" w14:textId="77777777" w:rsidR="000B3479" w:rsidRPr="0039091F" w:rsidRDefault="000B3479" w:rsidP="000A5389">
            <w:pPr>
              <w:spacing w:line="240" w:lineRule="auto"/>
              <w:jc w:val="right"/>
              <w:rPr>
                <w:rFonts w:eastAsia="Times New Roman" w:cs="Times New Roman"/>
                <w:color w:val="000000"/>
                <w:kern w:val="0"/>
                <w:sz w:val="18"/>
                <w:szCs w:val="18"/>
                <w:lang w:eastAsia="es-CO"/>
                <w14:ligatures w14:val="none"/>
              </w:rPr>
            </w:pPr>
            <w:r w:rsidRPr="0039091F">
              <w:rPr>
                <w:rFonts w:eastAsia="Times New Roman" w:cs="Times New Roman"/>
                <w:color w:val="000000"/>
                <w:kern w:val="0"/>
                <w:sz w:val="18"/>
                <w:szCs w:val="18"/>
                <w:lang w:eastAsia="es-CO"/>
                <w14:ligatures w14:val="none"/>
              </w:rPr>
              <w:t>900106818</w:t>
            </w:r>
          </w:p>
        </w:tc>
        <w:tc>
          <w:tcPr>
            <w:tcW w:w="2008" w:type="pct"/>
            <w:shd w:val="clear" w:color="000000" w:fill="FFFFFF"/>
            <w:noWrap/>
            <w:vAlign w:val="center"/>
            <w:hideMark/>
          </w:tcPr>
          <w:p w14:paraId="602034E4" w14:textId="77777777" w:rsidR="000B3479" w:rsidRPr="0039091F" w:rsidRDefault="000B3479" w:rsidP="000A5389">
            <w:pPr>
              <w:spacing w:line="240" w:lineRule="auto"/>
              <w:rPr>
                <w:rFonts w:eastAsia="Times New Roman" w:cs="Times New Roman"/>
                <w:color w:val="000000"/>
                <w:kern w:val="0"/>
                <w:sz w:val="18"/>
                <w:szCs w:val="18"/>
                <w:lang w:eastAsia="es-CO"/>
                <w14:ligatures w14:val="none"/>
              </w:rPr>
            </w:pPr>
            <w:r w:rsidRPr="0039091F">
              <w:rPr>
                <w:rFonts w:eastAsia="Times New Roman" w:cs="Times New Roman"/>
                <w:color w:val="000000"/>
                <w:kern w:val="0"/>
                <w:sz w:val="18"/>
                <w:szCs w:val="18"/>
                <w:lang w:eastAsia="es-CO"/>
                <w14:ligatures w14:val="none"/>
              </w:rPr>
              <w:t>Sociedad Portuaria Bavaria S.A.</w:t>
            </w:r>
          </w:p>
        </w:tc>
        <w:tc>
          <w:tcPr>
            <w:tcW w:w="803" w:type="pct"/>
            <w:shd w:val="clear" w:color="000000" w:fill="FFFFFF"/>
            <w:noWrap/>
            <w:vAlign w:val="center"/>
            <w:hideMark/>
          </w:tcPr>
          <w:p w14:paraId="4E99F627" w14:textId="77777777" w:rsidR="000B3479" w:rsidRPr="0039091F" w:rsidRDefault="000B3479" w:rsidP="000A5389">
            <w:pPr>
              <w:spacing w:line="240" w:lineRule="auto"/>
              <w:jc w:val="right"/>
              <w:rPr>
                <w:rFonts w:eastAsia="Times New Roman" w:cs="Times New Roman"/>
                <w:color w:val="000000"/>
                <w:kern w:val="0"/>
                <w:sz w:val="18"/>
                <w:szCs w:val="18"/>
                <w:lang w:eastAsia="es-CO"/>
                <w14:ligatures w14:val="none"/>
              </w:rPr>
            </w:pPr>
            <w:r w:rsidRPr="0039091F">
              <w:rPr>
                <w:rFonts w:eastAsia="Times New Roman" w:cs="Times New Roman"/>
                <w:color w:val="000000"/>
                <w:kern w:val="0"/>
                <w:sz w:val="18"/>
                <w:szCs w:val="18"/>
                <w:lang w:eastAsia="es-CO"/>
                <w14:ligatures w14:val="none"/>
              </w:rPr>
              <w:t>5.918.879.023</w:t>
            </w:r>
          </w:p>
        </w:tc>
        <w:tc>
          <w:tcPr>
            <w:tcW w:w="803" w:type="pct"/>
            <w:shd w:val="clear" w:color="000000" w:fill="FFFFFF"/>
            <w:noWrap/>
            <w:vAlign w:val="center"/>
            <w:hideMark/>
          </w:tcPr>
          <w:p w14:paraId="03852285" w14:textId="77777777" w:rsidR="000B3479" w:rsidRPr="0039091F" w:rsidRDefault="000B3479" w:rsidP="000A5389">
            <w:pPr>
              <w:spacing w:line="240" w:lineRule="auto"/>
              <w:jc w:val="right"/>
              <w:rPr>
                <w:rFonts w:eastAsia="Times New Roman" w:cs="Times New Roman"/>
                <w:color w:val="000000"/>
                <w:kern w:val="0"/>
                <w:sz w:val="18"/>
                <w:szCs w:val="18"/>
                <w:lang w:eastAsia="es-CO"/>
                <w14:ligatures w14:val="none"/>
              </w:rPr>
            </w:pPr>
            <w:r w:rsidRPr="0039091F">
              <w:rPr>
                <w:rFonts w:eastAsia="Times New Roman" w:cs="Times New Roman"/>
                <w:color w:val="000000"/>
                <w:kern w:val="0"/>
                <w:sz w:val="18"/>
                <w:szCs w:val="18"/>
                <w:lang w:eastAsia="es-CO"/>
                <w14:ligatures w14:val="none"/>
              </w:rPr>
              <w:t>6.389.203.113</w:t>
            </w:r>
          </w:p>
        </w:tc>
        <w:tc>
          <w:tcPr>
            <w:tcW w:w="747" w:type="pct"/>
            <w:shd w:val="clear" w:color="000000" w:fill="FFFFFF"/>
            <w:noWrap/>
            <w:vAlign w:val="center"/>
            <w:hideMark/>
          </w:tcPr>
          <w:p w14:paraId="2589EE75" w14:textId="77777777" w:rsidR="000B3479" w:rsidRPr="0039091F" w:rsidRDefault="000B3479" w:rsidP="000A5389">
            <w:pPr>
              <w:spacing w:line="240" w:lineRule="auto"/>
              <w:jc w:val="right"/>
              <w:rPr>
                <w:rFonts w:eastAsia="Times New Roman" w:cs="Times New Roman"/>
                <w:color w:val="000000"/>
                <w:kern w:val="0"/>
                <w:sz w:val="18"/>
                <w:szCs w:val="18"/>
                <w:lang w:eastAsia="es-CO"/>
                <w14:ligatures w14:val="none"/>
              </w:rPr>
            </w:pPr>
            <w:r w:rsidRPr="0039091F">
              <w:rPr>
                <w:rFonts w:eastAsia="Times New Roman" w:cs="Times New Roman"/>
                <w:color w:val="000000"/>
                <w:kern w:val="0"/>
                <w:sz w:val="18"/>
                <w:szCs w:val="18"/>
                <w:lang w:eastAsia="es-CO"/>
                <w14:ligatures w14:val="none"/>
              </w:rPr>
              <w:t>-470.324.090</w:t>
            </w:r>
          </w:p>
        </w:tc>
      </w:tr>
      <w:tr w:rsidR="000B3479" w:rsidRPr="0039091F" w14:paraId="3A8F3DBF" w14:textId="77777777" w:rsidTr="00071A8A">
        <w:trPr>
          <w:trHeight w:val="285"/>
        </w:trPr>
        <w:tc>
          <w:tcPr>
            <w:tcW w:w="639" w:type="pct"/>
            <w:shd w:val="clear" w:color="000000" w:fill="FFFFFF"/>
            <w:noWrap/>
            <w:vAlign w:val="center"/>
            <w:hideMark/>
          </w:tcPr>
          <w:p w14:paraId="548F7DB9" w14:textId="77777777" w:rsidR="000B3479" w:rsidRPr="0039091F" w:rsidRDefault="000B3479" w:rsidP="000A5389">
            <w:pPr>
              <w:spacing w:line="240" w:lineRule="auto"/>
              <w:jc w:val="right"/>
              <w:rPr>
                <w:rFonts w:eastAsia="Times New Roman" w:cs="Times New Roman"/>
                <w:color w:val="000000"/>
                <w:kern w:val="0"/>
                <w:sz w:val="18"/>
                <w:szCs w:val="18"/>
                <w:lang w:eastAsia="es-CO"/>
                <w14:ligatures w14:val="none"/>
              </w:rPr>
            </w:pPr>
            <w:r w:rsidRPr="0039091F">
              <w:rPr>
                <w:rFonts w:eastAsia="Times New Roman" w:cs="Times New Roman"/>
                <w:color w:val="000000"/>
                <w:kern w:val="0"/>
                <w:sz w:val="18"/>
                <w:szCs w:val="18"/>
                <w:lang w:eastAsia="es-CO"/>
                <w14:ligatures w14:val="none"/>
              </w:rPr>
              <w:t>800206129</w:t>
            </w:r>
          </w:p>
        </w:tc>
        <w:tc>
          <w:tcPr>
            <w:tcW w:w="2008" w:type="pct"/>
            <w:shd w:val="clear" w:color="000000" w:fill="FFFFFF"/>
            <w:noWrap/>
            <w:vAlign w:val="center"/>
            <w:hideMark/>
          </w:tcPr>
          <w:p w14:paraId="1FD6FA7A" w14:textId="1A774FDA" w:rsidR="000B3479" w:rsidRPr="0039091F" w:rsidRDefault="000B3479" w:rsidP="000A5389">
            <w:pPr>
              <w:spacing w:line="240" w:lineRule="auto"/>
              <w:rPr>
                <w:rFonts w:eastAsia="Times New Roman" w:cs="Times New Roman"/>
                <w:color w:val="000000"/>
                <w:kern w:val="0"/>
                <w:sz w:val="18"/>
                <w:szCs w:val="18"/>
                <w:lang w:eastAsia="es-CO"/>
                <w14:ligatures w14:val="none"/>
              </w:rPr>
            </w:pPr>
            <w:r w:rsidRPr="0039091F">
              <w:rPr>
                <w:rFonts w:eastAsia="Times New Roman" w:cs="Times New Roman"/>
                <w:color w:val="000000"/>
                <w:kern w:val="0"/>
                <w:sz w:val="18"/>
                <w:szCs w:val="18"/>
                <w:lang w:eastAsia="es-CO"/>
                <w14:ligatures w14:val="none"/>
              </w:rPr>
              <w:t>Puerto Buenavista S. A</w:t>
            </w:r>
          </w:p>
        </w:tc>
        <w:tc>
          <w:tcPr>
            <w:tcW w:w="803" w:type="pct"/>
            <w:shd w:val="clear" w:color="000000" w:fill="FFFFFF"/>
            <w:noWrap/>
            <w:vAlign w:val="center"/>
            <w:hideMark/>
          </w:tcPr>
          <w:p w14:paraId="1553CCC0" w14:textId="77777777" w:rsidR="000B3479" w:rsidRPr="0039091F" w:rsidRDefault="000B3479" w:rsidP="000A5389">
            <w:pPr>
              <w:spacing w:line="240" w:lineRule="auto"/>
              <w:jc w:val="right"/>
              <w:rPr>
                <w:rFonts w:eastAsia="Times New Roman" w:cs="Times New Roman"/>
                <w:color w:val="000000"/>
                <w:kern w:val="0"/>
                <w:sz w:val="18"/>
                <w:szCs w:val="18"/>
                <w:lang w:eastAsia="es-CO"/>
                <w14:ligatures w14:val="none"/>
              </w:rPr>
            </w:pPr>
            <w:r w:rsidRPr="0039091F">
              <w:rPr>
                <w:rFonts w:eastAsia="Times New Roman" w:cs="Times New Roman"/>
                <w:color w:val="000000"/>
                <w:kern w:val="0"/>
                <w:sz w:val="18"/>
                <w:szCs w:val="18"/>
                <w:lang w:eastAsia="es-CO"/>
                <w14:ligatures w14:val="none"/>
              </w:rPr>
              <w:t>5.567.346.446</w:t>
            </w:r>
          </w:p>
        </w:tc>
        <w:tc>
          <w:tcPr>
            <w:tcW w:w="803" w:type="pct"/>
            <w:shd w:val="clear" w:color="000000" w:fill="FFFFFF"/>
            <w:noWrap/>
            <w:vAlign w:val="center"/>
            <w:hideMark/>
          </w:tcPr>
          <w:p w14:paraId="4AE29E97" w14:textId="77777777" w:rsidR="000B3479" w:rsidRPr="0039091F" w:rsidRDefault="000B3479" w:rsidP="000A5389">
            <w:pPr>
              <w:spacing w:line="240" w:lineRule="auto"/>
              <w:jc w:val="right"/>
              <w:rPr>
                <w:rFonts w:eastAsia="Times New Roman" w:cs="Times New Roman"/>
                <w:color w:val="000000"/>
                <w:kern w:val="0"/>
                <w:sz w:val="18"/>
                <w:szCs w:val="18"/>
                <w:lang w:eastAsia="es-CO"/>
                <w14:ligatures w14:val="none"/>
              </w:rPr>
            </w:pPr>
            <w:r w:rsidRPr="0039091F">
              <w:rPr>
                <w:rFonts w:eastAsia="Times New Roman" w:cs="Times New Roman"/>
                <w:color w:val="000000"/>
                <w:kern w:val="0"/>
                <w:sz w:val="18"/>
                <w:szCs w:val="18"/>
                <w:lang w:eastAsia="es-CO"/>
                <w14:ligatures w14:val="none"/>
              </w:rPr>
              <w:t>6.051.463.529</w:t>
            </w:r>
          </w:p>
        </w:tc>
        <w:tc>
          <w:tcPr>
            <w:tcW w:w="747" w:type="pct"/>
            <w:shd w:val="clear" w:color="000000" w:fill="FFFFFF"/>
            <w:noWrap/>
            <w:vAlign w:val="center"/>
            <w:hideMark/>
          </w:tcPr>
          <w:p w14:paraId="72EAF393" w14:textId="77777777" w:rsidR="000B3479" w:rsidRPr="0039091F" w:rsidRDefault="000B3479" w:rsidP="000A5389">
            <w:pPr>
              <w:spacing w:line="240" w:lineRule="auto"/>
              <w:jc w:val="right"/>
              <w:rPr>
                <w:rFonts w:eastAsia="Times New Roman" w:cs="Times New Roman"/>
                <w:color w:val="000000"/>
                <w:kern w:val="0"/>
                <w:sz w:val="18"/>
                <w:szCs w:val="18"/>
                <w:lang w:eastAsia="es-CO"/>
                <w14:ligatures w14:val="none"/>
              </w:rPr>
            </w:pPr>
            <w:r w:rsidRPr="0039091F">
              <w:rPr>
                <w:rFonts w:eastAsia="Times New Roman" w:cs="Times New Roman"/>
                <w:color w:val="000000"/>
                <w:kern w:val="0"/>
                <w:sz w:val="18"/>
                <w:szCs w:val="18"/>
                <w:lang w:eastAsia="es-CO"/>
                <w14:ligatures w14:val="none"/>
              </w:rPr>
              <w:t>-484.117.082</w:t>
            </w:r>
          </w:p>
        </w:tc>
      </w:tr>
      <w:tr w:rsidR="000B3479" w:rsidRPr="0039091F" w14:paraId="11C64885" w14:textId="77777777" w:rsidTr="00071A8A">
        <w:trPr>
          <w:trHeight w:val="285"/>
        </w:trPr>
        <w:tc>
          <w:tcPr>
            <w:tcW w:w="639" w:type="pct"/>
            <w:shd w:val="clear" w:color="000000" w:fill="FFFFFF"/>
            <w:noWrap/>
            <w:vAlign w:val="center"/>
            <w:hideMark/>
          </w:tcPr>
          <w:p w14:paraId="24409F3B" w14:textId="77777777" w:rsidR="000B3479" w:rsidRPr="0039091F" w:rsidRDefault="000B3479" w:rsidP="000A5389">
            <w:pPr>
              <w:spacing w:line="240" w:lineRule="auto"/>
              <w:jc w:val="right"/>
              <w:rPr>
                <w:rFonts w:eastAsia="Times New Roman" w:cs="Times New Roman"/>
                <w:color w:val="000000"/>
                <w:kern w:val="0"/>
                <w:sz w:val="18"/>
                <w:szCs w:val="18"/>
                <w:lang w:eastAsia="es-CO"/>
                <w14:ligatures w14:val="none"/>
              </w:rPr>
            </w:pPr>
            <w:r w:rsidRPr="0039091F">
              <w:rPr>
                <w:rFonts w:eastAsia="Times New Roman" w:cs="Times New Roman"/>
                <w:color w:val="000000"/>
                <w:kern w:val="0"/>
                <w:sz w:val="18"/>
                <w:szCs w:val="18"/>
                <w:lang w:eastAsia="es-CO"/>
                <w14:ligatures w14:val="none"/>
              </w:rPr>
              <w:t>830020263</w:t>
            </w:r>
          </w:p>
        </w:tc>
        <w:tc>
          <w:tcPr>
            <w:tcW w:w="2008" w:type="pct"/>
            <w:shd w:val="clear" w:color="000000" w:fill="FFFFFF"/>
            <w:noWrap/>
            <w:vAlign w:val="center"/>
            <w:hideMark/>
          </w:tcPr>
          <w:p w14:paraId="5E2961EA" w14:textId="77777777" w:rsidR="000B3479" w:rsidRPr="0039091F" w:rsidRDefault="000B3479" w:rsidP="000A5389">
            <w:pPr>
              <w:spacing w:line="240" w:lineRule="auto"/>
              <w:rPr>
                <w:rFonts w:eastAsia="Times New Roman" w:cs="Times New Roman"/>
                <w:color w:val="000000"/>
                <w:kern w:val="0"/>
                <w:sz w:val="18"/>
                <w:szCs w:val="18"/>
                <w:lang w:eastAsia="es-CO"/>
                <w14:ligatures w14:val="none"/>
              </w:rPr>
            </w:pPr>
            <w:r w:rsidRPr="0039091F">
              <w:rPr>
                <w:rFonts w:eastAsia="Times New Roman" w:cs="Times New Roman"/>
                <w:color w:val="000000"/>
                <w:kern w:val="0"/>
                <w:sz w:val="18"/>
                <w:szCs w:val="18"/>
                <w:lang w:eastAsia="es-CO"/>
                <w14:ligatures w14:val="none"/>
              </w:rPr>
              <w:t>Grupo Portuario S.A.</w:t>
            </w:r>
          </w:p>
        </w:tc>
        <w:tc>
          <w:tcPr>
            <w:tcW w:w="803" w:type="pct"/>
            <w:shd w:val="clear" w:color="000000" w:fill="FFFFFF"/>
            <w:noWrap/>
            <w:vAlign w:val="center"/>
            <w:hideMark/>
          </w:tcPr>
          <w:p w14:paraId="749E32C9" w14:textId="77777777" w:rsidR="000B3479" w:rsidRPr="0039091F" w:rsidRDefault="000B3479" w:rsidP="000A5389">
            <w:pPr>
              <w:spacing w:line="240" w:lineRule="auto"/>
              <w:jc w:val="right"/>
              <w:rPr>
                <w:rFonts w:eastAsia="Times New Roman" w:cs="Times New Roman"/>
                <w:color w:val="000000"/>
                <w:kern w:val="0"/>
                <w:sz w:val="18"/>
                <w:szCs w:val="18"/>
                <w:lang w:eastAsia="es-CO"/>
                <w14:ligatures w14:val="none"/>
              </w:rPr>
            </w:pPr>
            <w:r w:rsidRPr="0039091F">
              <w:rPr>
                <w:rFonts w:eastAsia="Times New Roman" w:cs="Times New Roman"/>
                <w:color w:val="000000"/>
                <w:kern w:val="0"/>
                <w:sz w:val="18"/>
                <w:szCs w:val="18"/>
                <w:lang w:eastAsia="es-CO"/>
                <w14:ligatures w14:val="none"/>
              </w:rPr>
              <w:t>4.810.400.582</w:t>
            </w:r>
          </w:p>
        </w:tc>
        <w:tc>
          <w:tcPr>
            <w:tcW w:w="803" w:type="pct"/>
            <w:shd w:val="clear" w:color="000000" w:fill="FFFFFF"/>
            <w:noWrap/>
            <w:vAlign w:val="center"/>
            <w:hideMark/>
          </w:tcPr>
          <w:p w14:paraId="740F2E9F" w14:textId="77777777" w:rsidR="000B3479" w:rsidRPr="0039091F" w:rsidRDefault="000B3479" w:rsidP="000A5389">
            <w:pPr>
              <w:spacing w:line="240" w:lineRule="auto"/>
              <w:jc w:val="right"/>
              <w:rPr>
                <w:rFonts w:eastAsia="Times New Roman" w:cs="Times New Roman"/>
                <w:color w:val="000000"/>
                <w:kern w:val="0"/>
                <w:sz w:val="18"/>
                <w:szCs w:val="18"/>
                <w:lang w:eastAsia="es-CO"/>
                <w14:ligatures w14:val="none"/>
              </w:rPr>
            </w:pPr>
            <w:r w:rsidRPr="0039091F">
              <w:rPr>
                <w:rFonts w:eastAsia="Times New Roman" w:cs="Times New Roman"/>
                <w:color w:val="000000"/>
                <w:kern w:val="0"/>
                <w:sz w:val="18"/>
                <w:szCs w:val="18"/>
                <w:lang w:eastAsia="es-CO"/>
                <w14:ligatures w14:val="none"/>
              </w:rPr>
              <w:t>7.694.250.169</w:t>
            </w:r>
          </w:p>
        </w:tc>
        <w:tc>
          <w:tcPr>
            <w:tcW w:w="747" w:type="pct"/>
            <w:shd w:val="clear" w:color="000000" w:fill="FFFFFF"/>
            <w:noWrap/>
            <w:vAlign w:val="center"/>
            <w:hideMark/>
          </w:tcPr>
          <w:p w14:paraId="057C6F4B" w14:textId="77777777" w:rsidR="000B3479" w:rsidRPr="0039091F" w:rsidRDefault="000B3479" w:rsidP="000A5389">
            <w:pPr>
              <w:spacing w:line="240" w:lineRule="auto"/>
              <w:jc w:val="right"/>
              <w:rPr>
                <w:rFonts w:eastAsia="Times New Roman" w:cs="Times New Roman"/>
                <w:color w:val="000000"/>
                <w:kern w:val="0"/>
                <w:sz w:val="18"/>
                <w:szCs w:val="18"/>
                <w:lang w:eastAsia="es-CO"/>
                <w14:ligatures w14:val="none"/>
              </w:rPr>
            </w:pPr>
            <w:r w:rsidRPr="0039091F">
              <w:rPr>
                <w:rFonts w:eastAsia="Times New Roman" w:cs="Times New Roman"/>
                <w:color w:val="000000"/>
                <w:kern w:val="0"/>
                <w:sz w:val="18"/>
                <w:szCs w:val="18"/>
                <w:lang w:eastAsia="es-CO"/>
                <w14:ligatures w14:val="none"/>
              </w:rPr>
              <w:t>-2.883.849.587</w:t>
            </w:r>
          </w:p>
        </w:tc>
      </w:tr>
      <w:tr w:rsidR="000B3479" w:rsidRPr="0039091F" w14:paraId="62CF4F66" w14:textId="77777777" w:rsidTr="00071A8A">
        <w:trPr>
          <w:trHeight w:val="285"/>
        </w:trPr>
        <w:tc>
          <w:tcPr>
            <w:tcW w:w="639" w:type="pct"/>
            <w:shd w:val="clear" w:color="000000" w:fill="FFFFFF"/>
            <w:noWrap/>
            <w:vAlign w:val="center"/>
            <w:hideMark/>
          </w:tcPr>
          <w:p w14:paraId="7ED8D999" w14:textId="77777777" w:rsidR="000B3479" w:rsidRPr="0039091F" w:rsidRDefault="000B3479" w:rsidP="000A5389">
            <w:pPr>
              <w:spacing w:line="240" w:lineRule="auto"/>
              <w:jc w:val="right"/>
              <w:rPr>
                <w:rFonts w:eastAsia="Times New Roman" w:cs="Times New Roman"/>
                <w:color w:val="000000"/>
                <w:kern w:val="0"/>
                <w:sz w:val="18"/>
                <w:szCs w:val="18"/>
                <w:lang w:eastAsia="es-CO"/>
                <w14:ligatures w14:val="none"/>
              </w:rPr>
            </w:pPr>
            <w:r w:rsidRPr="0039091F">
              <w:rPr>
                <w:rFonts w:eastAsia="Times New Roman" w:cs="Times New Roman"/>
                <w:color w:val="000000"/>
                <w:kern w:val="0"/>
                <w:sz w:val="18"/>
                <w:szCs w:val="18"/>
                <w:lang w:eastAsia="es-CO"/>
                <w14:ligatures w14:val="none"/>
              </w:rPr>
              <w:t>900815014</w:t>
            </w:r>
          </w:p>
        </w:tc>
        <w:tc>
          <w:tcPr>
            <w:tcW w:w="2008" w:type="pct"/>
            <w:shd w:val="clear" w:color="000000" w:fill="FFFFFF"/>
            <w:noWrap/>
            <w:vAlign w:val="center"/>
            <w:hideMark/>
          </w:tcPr>
          <w:p w14:paraId="6020C721" w14:textId="03B2AF61" w:rsidR="000B3479" w:rsidRPr="0039091F" w:rsidRDefault="000B3479" w:rsidP="000A5389">
            <w:pPr>
              <w:spacing w:line="240" w:lineRule="auto"/>
              <w:rPr>
                <w:rFonts w:eastAsia="Times New Roman" w:cs="Times New Roman"/>
                <w:color w:val="000000"/>
                <w:kern w:val="0"/>
                <w:sz w:val="18"/>
                <w:szCs w:val="18"/>
                <w:lang w:val="en-US" w:eastAsia="es-CO"/>
                <w14:ligatures w14:val="none"/>
              </w:rPr>
            </w:pPr>
            <w:r w:rsidRPr="0039091F">
              <w:rPr>
                <w:rFonts w:eastAsia="Times New Roman" w:cs="Times New Roman"/>
                <w:color w:val="000000"/>
                <w:kern w:val="0"/>
                <w:sz w:val="18"/>
                <w:szCs w:val="18"/>
                <w:lang w:val="en-US" w:eastAsia="es-CO"/>
                <w14:ligatures w14:val="none"/>
              </w:rPr>
              <w:t>Coremar Shore Base S.A.</w:t>
            </w:r>
          </w:p>
        </w:tc>
        <w:tc>
          <w:tcPr>
            <w:tcW w:w="803" w:type="pct"/>
            <w:shd w:val="clear" w:color="000000" w:fill="FFFFFF"/>
            <w:noWrap/>
            <w:vAlign w:val="center"/>
            <w:hideMark/>
          </w:tcPr>
          <w:p w14:paraId="64842343" w14:textId="77777777" w:rsidR="000B3479" w:rsidRPr="0039091F" w:rsidRDefault="000B3479" w:rsidP="000A5389">
            <w:pPr>
              <w:spacing w:line="240" w:lineRule="auto"/>
              <w:jc w:val="right"/>
              <w:rPr>
                <w:rFonts w:eastAsia="Times New Roman" w:cs="Times New Roman"/>
                <w:color w:val="000000"/>
                <w:kern w:val="0"/>
                <w:sz w:val="18"/>
                <w:szCs w:val="18"/>
                <w:lang w:eastAsia="es-CO"/>
                <w14:ligatures w14:val="none"/>
              </w:rPr>
            </w:pPr>
            <w:r w:rsidRPr="0039091F">
              <w:rPr>
                <w:rFonts w:eastAsia="Times New Roman" w:cs="Times New Roman"/>
                <w:color w:val="000000"/>
                <w:kern w:val="0"/>
                <w:sz w:val="18"/>
                <w:szCs w:val="18"/>
                <w:lang w:eastAsia="es-CO"/>
                <w14:ligatures w14:val="none"/>
              </w:rPr>
              <w:t>3.211.015.587</w:t>
            </w:r>
          </w:p>
        </w:tc>
        <w:tc>
          <w:tcPr>
            <w:tcW w:w="803" w:type="pct"/>
            <w:shd w:val="clear" w:color="000000" w:fill="FFFFFF"/>
            <w:noWrap/>
            <w:vAlign w:val="center"/>
            <w:hideMark/>
          </w:tcPr>
          <w:p w14:paraId="3C49BF38" w14:textId="77777777" w:rsidR="000B3479" w:rsidRPr="0039091F" w:rsidRDefault="000B3479" w:rsidP="000A5389">
            <w:pPr>
              <w:spacing w:line="240" w:lineRule="auto"/>
              <w:jc w:val="right"/>
              <w:rPr>
                <w:rFonts w:eastAsia="Times New Roman" w:cs="Times New Roman"/>
                <w:color w:val="000000"/>
                <w:kern w:val="0"/>
                <w:sz w:val="18"/>
                <w:szCs w:val="18"/>
                <w:lang w:eastAsia="es-CO"/>
                <w14:ligatures w14:val="none"/>
              </w:rPr>
            </w:pPr>
            <w:r w:rsidRPr="0039091F">
              <w:rPr>
                <w:rFonts w:eastAsia="Times New Roman" w:cs="Times New Roman"/>
                <w:color w:val="000000"/>
                <w:kern w:val="0"/>
                <w:sz w:val="18"/>
                <w:szCs w:val="18"/>
                <w:lang w:eastAsia="es-CO"/>
                <w14:ligatures w14:val="none"/>
              </w:rPr>
              <w:t>1.785.260.741</w:t>
            </w:r>
          </w:p>
        </w:tc>
        <w:tc>
          <w:tcPr>
            <w:tcW w:w="747" w:type="pct"/>
            <w:shd w:val="clear" w:color="000000" w:fill="FFFFFF"/>
            <w:noWrap/>
            <w:vAlign w:val="center"/>
            <w:hideMark/>
          </w:tcPr>
          <w:p w14:paraId="7439A72D" w14:textId="77777777" w:rsidR="000B3479" w:rsidRPr="0039091F" w:rsidRDefault="000B3479" w:rsidP="000A5389">
            <w:pPr>
              <w:spacing w:line="240" w:lineRule="auto"/>
              <w:jc w:val="right"/>
              <w:rPr>
                <w:rFonts w:eastAsia="Times New Roman" w:cs="Times New Roman"/>
                <w:color w:val="000000"/>
                <w:kern w:val="0"/>
                <w:sz w:val="18"/>
                <w:szCs w:val="18"/>
                <w:lang w:eastAsia="es-CO"/>
                <w14:ligatures w14:val="none"/>
              </w:rPr>
            </w:pPr>
            <w:r w:rsidRPr="0039091F">
              <w:rPr>
                <w:rFonts w:eastAsia="Times New Roman" w:cs="Times New Roman"/>
                <w:color w:val="000000"/>
                <w:kern w:val="0"/>
                <w:sz w:val="18"/>
                <w:szCs w:val="18"/>
                <w:lang w:eastAsia="es-CO"/>
                <w14:ligatures w14:val="none"/>
              </w:rPr>
              <w:t>1.425.754.846</w:t>
            </w:r>
          </w:p>
        </w:tc>
      </w:tr>
      <w:tr w:rsidR="000B3479" w:rsidRPr="0039091F" w14:paraId="4F9A76FF" w14:textId="77777777" w:rsidTr="00071A8A">
        <w:trPr>
          <w:trHeight w:val="285"/>
        </w:trPr>
        <w:tc>
          <w:tcPr>
            <w:tcW w:w="639" w:type="pct"/>
            <w:shd w:val="clear" w:color="000000" w:fill="FFFFFF"/>
            <w:noWrap/>
            <w:vAlign w:val="center"/>
            <w:hideMark/>
          </w:tcPr>
          <w:p w14:paraId="4625E52E" w14:textId="77777777" w:rsidR="000B3479" w:rsidRPr="0039091F" w:rsidRDefault="000B3479" w:rsidP="000A5389">
            <w:pPr>
              <w:spacing w:line="240" w:lineRule="auto"/>
              <w:jc w:val="right"/>
              <w:rPr>
                <w:rFonts w:eastAsia="Times New Roman" w:cs="Times New Roman"/>
                <w:color w:val="000000"/>
                <w:kern w:val="0"/>
                <w:sz w:val="18"/>
                <w:szCs w:val="18"/>
                <w:lang w:eastAsia="es-CO"/>
                <w14:ligatures w14:val="none"/>
              </w:rPr>
            </w:pPr>
            <w:r w:rsidRPr="0039091F">
              <w:rPr>
                <w:rFonts w:eastAsia="Times New Roman" w:cs="Times New Roman"/>
                <w:color w:val="000000"/>
                <w:kern w:val="0"/>
                <w:sz w:val="18"/>
                <w:szCs w:val="18"/>
                <w:lang w:eastAsia="es-CO"/>
                <w14:ligatures w14:val="none"/>
              </w:rPr>
              <w:t>806008240</w:t>
            </w:r>
          </w:p>
        </w:tc>
        <w:tc>
          <w:tcPr>
            <w:tcW w:w="2008" w:type="pct"/>
            <w:shd w:val="clear" w:color="000000" w:fill="FFFFFF"/>
            <w:noWrap/>
            <w:vAlign w:val="center"/>
            <w:hideMark/>
          </w:tcPr>
          <w:p w14:paraId="36D5E97B" w14:textId="77777777" w:rsidR="000B3479" w:rsidRPr="0039091F" w:rsidRDefault="000B3479" w:rsidP="000A5389">
            <w:pPr>
              <w:spacing w:line="240" w:lineRule="auto"/>
              <w:rPr>
                <w:rFonts w:eastAsia="Times New Roman" w:cs="Times New Roman"/>
                <w:color w:val="000000"/>
                <w:kern w:val="0"/>
                <w:sz w:val="18"/>
                <w:szCs w:val="18"/>
                <w:lang w:eastAsia="es-CO"/>
                <w14:ligatures w14:val="none"/>
              </w:rPr>
            </w:pPr>
            <w:r w:rsidRPr="0039091F">
              <w:rPr>
                <w:rFonts w:eastAsia="Times New Roman" w:cs="Times New Roman"/>
                <w:color w:val="000000"/>
                <w:kern w:val="0"/>
                <w:sz w:val="18"/>
                <w:szCs w:val="18"/>
                <w:lang w:eastAsia="es-CO"/>
                <w14:ligatures w14:val="none"/>
              </w:rPr>
              <w:t>Atunamar Ltda</w:t>
            </w:r>
          </w:p>
        </w:tc>
        <w:tc>
          <w:tcPr>
            <w:tcW w:w="803" w:type="pct"/>
            <w:shd w:val="clear" w:color="000000" w:fill="FFFFFF"/>
            <w:noWrap/>
            <w:vAlign w:val="center"/>
            <w:hideMark/>
          </w:tcPr>
          <w:p w14:paraId="476AF05F" w14:textId="77777777" w:rsidR="000B3479" w:rsidRPr="0039091F" w:rsidRDefault="000B3479" w:rsidP="000A5389">
            <w:pPr>
              <w:spacing w:line="240" w:lineRule="auto"/>
              <w:jc w:val="right"/>
              <w:rPr>
                <w:rFonts w:eastAsia="Times New Roman" w:cs="Times New Roman"/>
                <w:color w:val="000000"/>
                <w:kern w:val="0"/>
                <w:sz w:val="18"/>
                <w:szCs w:val="18"/>
                <w:lang w:eastAsia="es-CO"/>
                <w14:ligatures w14:val="none"/>
              </w:rPr>
            </w:pPr>
            <w:r w:rsidRPr="0039091F">
              <w:rPr>
                <w:rFonts w:eastAsia="Times New Roman" w:cs="Times New Roman"/>
                <w:color w:val="000000"/>
                <w:kern w:val="0"/>
                <w:sz w:val="18"/>
                <w:szCs w:val="18"/>
                <w:lang w:eastAsia="es-CO"/>
                <w14:ligatures w14:val="none"/>
              </w:rPr>
              <w:t>2.579.847.755</w:t>
            </w:r>
          </w:p>
        </w:tc>
        <w:tc>
          <w:tcPr>
            <w:tcW w:w="803" w:type="pct"/>
            <w:shd w:val="clear" w:color="000000" w:fill="FFFFFF"/>
            <w:noWrap/>
            <w:vAlign w:val="center"/>
            <w:hideMark/>
          </w:tcPr>
          <w:p w14:paraId="6C943A6F" w14:textId="77777777" w:rsidR="000B3479" w:rsidRPr="0039091F" w:rsidRDefault="000B3479" w:rsidP="000A5389">
            <w:pPr>
              <w:spacing w:line="240" w:lineRule="auto"/>
              <w:jc w:val="right"/>
              <w:rPr>
                <w:rFonts w:eastAsia="Times New Roman" w:cs="Times New Roman"/>
                <w:color w:val="000000"/>
                <w:kern w:val="0"/>
                <w:sz w:val="18"/>
                <w:szCs w:val="18"/>
                <w:lang w:eastAsia="es-CO"/>
                <w14:ligatures w14:val="none"/>
              </w:rPr>
            </w:pPr>
            <w:r w:rsidRPr="0039091F">
              <w:rPr>
                <w:rFonts w:eastAsia="Times New Roman" w:cs="Times New Roman"/>
                <w:color w:val="000000"/>
                <w:kern w:val="0"/>
                <w:sz w:val="18"/>
                <w:szCs w:val="18"/>
                <w:lang w:eastAsia="es-CO"/>
                <w14:ligatures w14:val="none"/>
              </w:rPr>
              <w:t>700.036.115</w:t>
            </w:r>
          </w:p>
        </w:tc>
        <w:tc>
          <w:tcPr>
            <w:tcW w:w="747" w:type="pct"/>
            <w:shd w:val="clear" w:color="000000" w:fill="FFFFFF"/>
            <w:noWrap/>
            <w:vAlign w:val="center"/>
            <w:hideMark/>
          </w:tcPr>
          <w:p w14:paraId="0D92B0EF" w14:textId="77777777" w:rsidR="000B3479" w:rsidRPr="0039091F" w:rsidRDefault="000B3479" w:rsidP="000A5389">
            <w:pPr>
              <w:spacing w:line="240" w:lineRule="auto"/>
              <w:jc w:val="right"/>
              <w:rPr>
                <w:rFonts w:eastAsia="Times New Roman" w:cs="Times New Roman"/>
                <w:color w:val="000000"/>
                <w:kern w:val="0"/>
                <w:sz w:val="18"/>
                <w:szCs w:val="18"/>
                <w:lang w:eastAsia="es-CO"/>
                <w14:ligatures w14:val="none"/>
              </w:rPr>
            </w:pPr>
            <w:r w:rsidRPr="0039091F">
              <w:rPr>
                <w:rFonts w:eastAsia="Times New Roman" w:cs="Times New Roman"/>
                <w:color w:val="000000"/>
                <w:kern w:val="0"/>
                <w:sz w:val="18"/>
                <w:szCs w:val="18"/>
                <w:lang w:eastAsia="es-CO"/>
                <w14:ligatures w14:val="none"/>
              </w:rPr>
              <w:t>1.879.811.640</w:t>
            </w:r>
          </w:p>
        </w:tc>
      </w:tr>
      <w:tr w:rsidR="000B3479" w:rsidRPr="0039091F" w14:paraId="0A9F4988" w14:textId="77777777" w:rsidTr="00071A8A">
        <w:trPr>
          <w:trHeight w:val="285"/>
        </w:trPr>
        <w:tc>
          <w:tcPr>
            <w:tcW w:w="639" w:type="pct"/>
            <w:shd w:val="clear" w:color="000000" w:fill="FFFFFF"/>
            <w:noWrap/>
            <w:vAlign w:val="center"/>
            <w:hideMark/>
          </w:tcPr>
          <w:p w14:paraId="73D3FAFC" w14:textId="77777777" w:rsidR="000B3479" w:rsidRPr="0039091F" w:rsidRDefault="000B3479" w:rsidP="000A5389">
            <w:pPr>
              <w:spacing w:line="240" w:lineRule="auto"/>
              <w:jc w:val="right"/>
              <w:rPr>
                <w:rFonts w:eastAsia="Times New Roman" w:cs="Times New Roman"/>
                <w:color w:val="000000"/>
                <w:kern w:val="0"/>
                <w:sz w:val="18"/>
                <w:szCs w:val="18"/>
                <w:lang w:eastAsia="es-CO"/>
                <w14:ligatures w14:val="none"/>
              </w:rPr>
            </w:pPr>
            <w:r w:rsidRPr="0039091F">
              <w:rPr>
                <w:rFonts w:eastAsia="Times New Roman" w:cs="Times New Roman"/>
                <w:color w:val="000000"/>
                <w:kern w:val="0"/>
                <w:sz w:val="18"/>
                <w:szCs w:val="18"/>
                <w:lang w:eastAsia="es-CO"/>
                <w14:ligatures w14:val="none"/>
              </w:rPr>
              <w:t>900325249</w:t>
            </w:r>
          </w:p>
        </w:tc>
        <w:tc>
          <w:tcPr>
            <w:tcW w:w="2008" w:type="pct"/>
            <w:shd w:val="clear" w:color="000000" w:fill="FFFFFF"/>
            <w:noWrap/>
            <w:vAlign w:val="center"/>
            <w:hideMark/>
          </w:tcPr>
          <w:p w14:paraId="26509A66" w14:textId="1011E403" w:rsidR="000B3479" w:rsidRPr="0039091F" w:rsidRDefault="000B3479" w:rsidP="000A5389">
            <w:pPr>
              <w:spacing w:line="240" w:lineRule="auto"/>
              <w:rPr>
                <w:rFonts w:eastAsia="Times New Roman" w:cs="Times New Roman"/>
                <w:color w:val="000000"/>
                <w:kern w:val="0"/>
                <w:sz w:val="18"/>
                <w:szCs w:val="18"/>
                <w:lang w:eastAsia="es-CO"/>
                <w14:ligatures w14:val="none"/>
              </w:rPr>
            </w:pPr>
            <w:r w:rsidRPr="0039091F">
              <w:rPr>
                <w:rFonts w:eastAsia="Times New Roman" w:cs="Times New Roman"/>
                <w:color w:val="000000"/>
                <w:kern w:val="0"/>
                <w:sz w:val="18"/>
                <w:szCs w:val="18"/>
                <w:lang w:eastAsia="es-CO"/>
                <w14:ligatures w14:val="none"/>
              </w:rPr>
              <w:t>Sociedad Portuaria Central Cartagena S. A</w:t>
            </w:r>
          </w:p>
        </w:tc>
        <w:tc>
          <w:tcPr>
            <w:tcW w:w="803" w:type="pct"/>
            <w:shd w:val="clear" w:color="000000" w:fill="FFFFFF"/>
            <w:noWrap/>
            <w:vAlign w:val="center"/>
            <w:hideMark/>
          </w:tcPr>
          <w:p w14:paraId="7D3FF07A" w14:textId="77777777" w:rsidR="000B3479" w:rsidRPr="0039091F" w:rsidRDefault="000B3479" w:rsidP="000A5389">
            <w:pPr>
              <w:spacing w:line="240" w:lineRule="auto"/>
              <w:jc w:val="right"/>
              <w:rPr>
                <w:rFonts w:eastAsia="Times New Roman" w:cs="Times New Roman"/>
                <w:color w:val="000000"/>
                <w:kern w:val="0"/>
                <w:sz w:val="18"/>
                <w:szCs w:val="18"/>
                <w:lang w:eastAsia="es-CO"/>
                <w14:ligatures w14:val="none"/>
              </w:rPr>
            </w:pPr>
            <w:r w:rsidRPr="0039091F">
              <w:rPr>
                <w:rFonts w:eastAsia="Times New Roman" w:cs="Times New Roman"/>
                <w:color w:val="000000"/>
                <w:kern w:val="0"/>
                <w:sz w:val="18"/>
                <w:szCs w:val="18"/>
                <w:lang w:eastAsia="es-CO"/>
                <w14:ligatures w14:val="none"/>
              </w:rPr>
              <w:t>2.330.899.812</w:t>
            </w:r>
          </w:p>
        </w:tc>
        <w:tc>
          <w:tcPr>
            <w:tcW w:w="803" w:type="pct"/>
            <w:shd w:val="clear" w:color="000000" w:fill="FFFFFF"/>
            <w:noWrap/>
            <w:vAlign w:val="center"/>
            <w:hideMark/>
          </w:tcPr>
          <w:p w14:paraId="18F965B8" w14:textId="77777777" w:rsidR="000B3479" w:rsidRPr="0039091F" w:rsidRDefault="000B3479" w:rsidP="000A5389">
            <w:pPr>
              <w:spacing w:line="240" w:lineRule="auto"/>
              <w:jc w:val="right"/>
              <w:rPr>
                <w:rFonts w:eastAsia="Times New Roman" w:cs="Times New Roman"/>
                <w:color w:val="000000"/>
                <w:kern w:val="0"/>
                <w:sz w:val="18"/>
                <w:szCs w:val="18"/>
                <w:lang w:eastAsia="es-CO"/>
                <w14:ligatures w14:val="none"/>
              </w:rPr>
            </w:pPr>
            <w:r w:rsidRPr="0039091F">
              <w:rPr>
                <w:rFonts w:eastAsia="Times New Roman" w:cs="Times New Roman"/>
                <w:color w:val="000000"/>
                <w:kern w:val="0"/>
                <w:sz w:val="18"/>
                <w:szCs w:val="18"/>
                <w:lang w:eastAsia="es-CO"/>
                <w14:ligatures w14:val="none"/>
              </w:rPr>
              <w:t>2.767.311.310</w:t>
            </w:r>
          </w:p>
        </w:tc>
        <w:tc>
          <w:tcPr>
            <w:tcW w:w="747" w:type="pct"/>
            <w:shd w:val="clear" w:color="000000" w:fill="FFFFFF"/>
            <w:noWrap/>
            <w:vAlign w:val="center"/>
            <w:hideMark/>
          </w:tcPr>
          <w:p w14:paraId="32BFFED0" w14:textId="77777777" w:rsidR="000B3479" w:rsidRPr="0039091F" w:rsidRDefault="000B3479" w:rsidP="000A5389">
            <w:pPr>
              <w:spacing w:line="240" w:lineRule="auto"/>
              <w:jc w:val="right"/>
              <w:rPr>
                <w:rFonts w:eastAsia="Times New Roman" w:cs="Times New Roman"/>
                <w:color w:val="000000"/>
                <w:kern w:val="0"/>
                <w:sz w:val="18"/>
                <w:szCs w:val="18"/>
                <w:lang w:eastAsia="es-CO"/>
                <w14:ligatures w14:val="none"/>
              </w:rPr>
            </w:pPr>
            <w:r w:rsidRPr="0039091F">
              <w:rPr>
                <w:rFonts w:eastAsia="Times New Roman" w:cs="Times New Roman"/>
                <w:color w:val="000000"/>
                <w:kern w:val="0"/>
                <w:sz w:val="18"/>
                <w:szCs w:val="18"/>
                <w:lang w:eastAsia="es-CO"/>
                <w14:ligatures w14:val="none"/>
              </w:rPr>
              <w:t>-436.411.498</w:t>
            </w:r>
          </w:p>
        </w:tc>
      </w:tr>
      <w:tr w:rsidR="000B3479" w:rsidRPr="0039091F" w14:paraId="5E215171" w14:textId="77777777" w:rsidTr="00071A8A">
        <w:trPr>
          <w:trHeight w:val="285"/>
        </w:trPr>
        <w:tc>
          <w:tcPr>
            <w:tcW w:w="639" w:type="pct"/>
            <w:shd w:val="clear" w:color="000000" w:fill="FFFFFF"/>
            <w:noWrap/>
            <w:vAlign w:val="center"/>
            <w:hideMark/>
          </w:tcPr>
          <w:p w14:paraId="1BD4A353" w14:textId="77777777" w:rsidR="000B3479" w:rsidRPr="0039091F" w:rsidRDefault="000B3479" w:rsidP="000A5389">
            <w:pPr>
              <w:spacing w:line="240" w:lineRule="auto"/>
              <w:jc w:val="right"/>
              <w:rPr>
                <w:rFonts w:eastAsia="Times New Roman" w:cs="Times New Roman"/>
                <w:color w:val="000000"/>
                <w:kern w:val="0"/>
                <w:sz w:val="18"/>
                <w:szCs w:val="18"/>
                <w:lang w:eastAsia="es-CO"/>
                <w14:ligatures w14:val="none"/>
              </w:rPr>
            </w:pPr>
            <w:r w:rsidRPr="0039091F">
              <w:rPr>
                <w:rFonts w:eastAsia="Times New Roman" w:cs="Times New Roman"/>
                <w:color w:val="000000"/>
                <w:kern w:val="0"/>
                <w:sz w:val="18"/>
                <w:szCs w:val="18"/>
                <w:lang w:eastAsia="es-CO"/>
                <w14:ligatures w14:val="none"/>
              </w:rPr>
              <w:t>890401435</w:t>
            </w:r>
          </w:p>
        </w:tc>
        <w:tc>
          <w:tcPr>
            <w:tcW w:w="2008" w:type="pct"/>
            <w:shd w:val="clear" w:color="000000" w:fill="FFFFFF"/>
            <w:noWrap/>
            <w:vAlign w:val="center"/>
            <w:hideMark/>
          </w:tcPr>
          <w:p w14:paraId="478A747A" w14:textId="77777777" w:rsidR="000B3479" w:rsidRPr="0039091F" w:rsidRDefault="000B3479" w:rsidP="000A5389">
            <w:pPr>
              <w:spacing w:line="240" w:lineRule="auto"/>
              <w:rPr>
                <w:rFonts w:eastAsia="Times New Roman" w:cs="Times New Roman"/>
                <w:color w:val="000000"/>
                <w:kern w:val="0"/>
                <w:sz w:val="18"/>
                <w:szCs w:val="18"/>
                <w:lang w:eastAsia="es-CO"/>
                <w14:ligatures w14:val="none"/>
              </w:rPr>
            </w:pPr>
            <w:r w:rsidRPr="0039091F">
              <w:rPr>
                <w:rFonts w:eastAsia="Times New Roman" w:cs="Times New Roman"/>
                <w:color w:val="000000"/>
                <w:kern w:val="0"/>
                <w:sz w:val="18"/>
                <w:szCs w:val="18"/>
                <w:lang w:eastAsia="es-CO"/>
                <w14:ligatures w14:val="none"/>
              </w:rPr>
              <w:t>Sociedad Portuaria Operadora Internacional S.A..</w:t>
            </w:r>
          </w:p>
        </w:tc>
        <w:tc>
          <w:tcPr>
            <w:tcW w:w="803" w:type="pct"/>
            <w:shd w:val="clear" w:color="000000" w:fill="FFFFFF"/>
            <w:noWrap/>
            <w:vAlign w:val="center"/>
            <w:hideMark/>
          </w:tcPr>
          <w:p w14:paraId="25A3578B" w14:textId="77777777" w:rsidR="000B3479" w:rsidRPr="0039091F" w:rsidRDefault="000B3479" w:rsidP="000A5389">
            <w:pPr>
              <w:spacing w:line="240" w:lineRule="auto"/>
              <w:jc w:val="right"/>
              <w:rPr>
                <w:rFonts w:eastAsia="Times New Roman" w:cs="Times New Roman"/>
                <w:color w:val="000000"/>
                <w:kern w:val="0"/>
                <w:sz w:val="18"/>
                <w:szCs w:val="18"/>
                <w:lang w:eastAsia="es-CO"/>
                <w14:ligatures w14:val="none"/>
              </w:rPr>
            </w:pPr>
            <w:r w:rsidRPr="0039091F">
              <w:rPr>
                <w:rFonts w:eastAsia="Times New Roman" w:cs="Times New Roman"/>
                <w:color w:val="000000"/>
                <w:kern w:val="0"/>
                <w:sz w:val="18"/>
                <w:szCs w:val="18"/>
                <w:lang w:eastAsia="es-CO"/>
                <w14:ligatures w14:val="none"/>
              </w:rPr>
              <w:t>2.209.424.002</w:t>
            </w:r>
          </w:p>
        </w:tc>
        <w:tc>
          <w:tcPr>
            <w:tcW w:w="803" w:type="pct"/>
            <w:shd w:val="clear" w:color="000000" w:fill="FFFFFF"/>
            <w:noWrap/>
            <w:vAlign w:val="center"/>
            <w:hideMark/>
          </w:tcPr>
          <w:p w14:paraId="06624691" w14:textId="77777777" w:rsidR="000B3479" w:rsidRPr="0039091F" w:rsidRDefault="000B3479" w:rsidP="000A5389">
            <w:pPr>
              <w:spacing w:line="240" w:lineRule="auto"/>
              <w:jc w:val="right"/>
              <w:rPr>
                <w:rFonts w:eastAsia="Times New Roman" w:cs="Times New Roman"/>
                <w:color w:val="000000"/>
                <w:kern w:val="0"/>
                <w:sz w:val="18"/>
                <w:szCs w:val="18"/>
                <w:lang w:eastAsia="es-CO"/>
                <w14:ligatures w14:val="none"/>
              </w:rPr>
            </w:pPr>
            <w:r w:rsidRPr="0039091F">
              <w:rPr>
                <w:rFonts w:eastAsia="Times New Roman" w:cs="Times New Roman"/>
                <w:color w:val="000000"/>
                <w:kern w:val="0"/>
                <w:sz w:val="18"/>
                <w:szCs w:val="18"/>
                <w:lang w:eastAsia="es-CO"/>
                <w14:ligatures w14:val="none"/>
              </w:rPr>
              <w:t>2.469.356.237</w:t>
            </w:r>
          </w:p>
        </w:tc>
        <w:tc>
          <w:tcPr>
            <w:tcW w:w="747" w:type="pct"/>
            <w:shd w:val="clear" w:color="000000" w:fill="FFFFFF"/>
            <w:noWrap/>
            <w:vAlign w:val="center"/>
            <w:hideMark/>
          </w:tcPr>
          <w:p w14:paraId="0339DEB4" w14:textId="77777777" w:rsidR="000B3479" w:rsidRPr="0039091F" w:rsidRDefault="000B3479" w:rsidP="000A5389">
            <w:pPr>
              <w:spacing w:line="240" w:lineRule="auto"/>
              <w:jc w:val="right"/>
              <w:rPr>
                <w:rFonts w:eastAsia="Times New Roman" w:cs="Times New Roman"/>
                <w:color w:val="000000"/>
                <w:kern w:val="0"/>
                <w:sz w:val="18"/>
                <w:szCs w:val="18"/>
                <w:lang w:eastAsia="es-CO"/>
                <w14:ligatures w14:val="none"/>
              </w:rPr>
            </w:pPr>
            <w:r w:rsidRPr="0039091F">
              <w:rPr>
                <w:rFonts w:eastAsia="Times New Roman" w:cs="Times New Roman"/>
                <w:color w:val="000000"/>
                <w:kern w:val="0"/>
                <w:sz w:val="18"/>
                <w:szCs w:val="18"/>
                <w:lang w:eastAsia="es-CO"/>
                <w14:ligatures w14:val="none"/>
              </w:rPr>
              <w:t>-259.932.236</w:t>
            </w:r>
          </w:p>
        </w:tc>
      </w:tr>
      <w:tr w:rsidR="000B3479" w:rsidRPr="0039091F" w14:paraId="36168346" w14:textId="77777777" w:rsidTr="00071A8A">
        <w:trPr>
          <w:trHeight w:val="285"/>
        </w:trPr>
        <w:tc>
          <w:tcPr>
            <w:tcW w:w="639" w:type="pct"/>
            <w:shd w:val="clear" w:color="000000" w:fill="FFFFFF"/>
            <w:noWrap/>
            <w:vAlign w:val="center"/>
            <w:hideMark/>
          </w:tcPr>
          <w:p w14:paraId="3F3E42C8" w14:textId="77777777" w:rsidR="000B3479" w:rsidRPr="0039091F" w:rsidRDefault="000B3479" w:rsidP="000A5389">
            <w:pPr>
              <w:spacing w:line="240" w:lineRule="auto"/>
              <w:jc w:val="right"/>
              <w:rPr>
                <w:rFonts w:eastAsia="Times New Roman" w:cs="Times New Roman"/>
                <w:color w:val="000000"/>
                <w:kern w:val="0"/>
                <w:sz w:val="18"/>
                <w:szCs w:val="18"/>
                <w:lang w:eastAsia="es-CO"/>
                <w14:ligatures w14:val="none"/>
              </w:rPr>
            </w:pPr>
            <w:r w:rsidRPr="0039091F">
              <w:rPr>
                <w:rFonts w:eastAsia="Times New Roman" w:cs="Times New Roman"/>
                <w:color w:val="000000"/>
                <w:kern w:val="0"/>
                <w:sz w:val="18"/>
                <w:szCs w:val="18"/>
                <w:lang w:eastAsia="es-CO"/>
                <w14:ligatures w14:val="none"/>
              </w:rPr>
              <w:t>806016414</w:t>
            </w:r>
          </w:p>
        </w:tc>
        <w:tc>
          <w:tcPr>
            <w:tcW w:w="2008" w:type="pct"/>
            <w:shd w:val="clear" w:color="000000" w:fill="FFFFFF"/>
            <w:noWrap/>
            <w:vAlign w:val="center"/>
            <w:hideMark/>
          </w:tcPr>
          <w:p w14:paraId="5294BE42" w14:textId="77777777" w:rsidR="000B3479" w:rsidRPr="0039091F" w:rsidRDefault="000B3479" w:rsidP="000A5389">
            <w:pPr>
              <w:spacing w:line="240" w:lineRule="auto"/>
              <w:rPr>
                <w:rFonts w:eastAsia="Times New Roman" w:cs="Times New Roman"/>
                <w:color w:val="000000"/>
                <w:kern w:val="0"/>
                <w:sz w:val="18"/>
                <w:szCs w:val="18"/>
                <w:lang w:eastAsia="es-CO"/>
                <w14:ligatures w14:val="none"/>
              </w:rPr>
            </w:pPr>
            <w:r w:rsidRPr="0039091F">
              <w:rPr>
                <w:rFonts w:eastAsia="Times New Roman" w:cs="Times New Roman"/>
                <w:color w:val="000000"/>
                <w:kern w:val="0"/>
                <w:sz w:val="18"/>
                <w:szCs w:val="18"/>
                <w:lang w:eastAsia="es-CO"/>
                <w14:ligatures w14:val="none"/>
              </w:rPr>
              <w:t>Sociedad Portuaria Olefinas y Derivados S.A.</w:t>
            </w:r>
          </w:p>
        </w:tc>
        <w:tc>
          <w:tcPr>
            <w:tcW w:w="803" w:type="pct"/>
            <w:shd w:val="clear" w:color="000000" w:fill="FFFFFF"/>
            <w:noWrap/>
            <w:vAlign w:val="center"/>
            <w:hideMark/>
          </w:tcPr>
          <w:p w14:paraId="2F53CE62" w14:textId="77777777" w:rsidR="000B3479" w:rsidRPr="0039091F" w:rsidRDefault="000B3479" w:rsidP="000A5389">
            <w:pPr>
              <w:spacing w:line="240" w:lineRule="auto"/>
              <w:jc w:val="right"/>
              <w:rPr>
                <w:rFonts w:eastAsia="Times New Roman" w:cs="Times New Roman"/>
                <w:color w:val="000000"/>
                <w:kern w:val="0"/>
                <w:sz w:val="18"/>
                <w:szCs w:val="18"/>
                <w:lang w:eastAsia="es-CO"/>
                <w14:ligatures w14:val="none"/>
              </w:rPr>
            </w:pPr>
            <w:r w:rsidRPr="0039091F">
              <w:rPr>
                <w:rFonts w:eastAsia="Times New Roman" w:cs="Times New Roman"/>
                <w:color w:val="000000"/>
                <w:kern w:val="0"/>
                <w:sz w:val="18"/>
                <w:szCs w:val="18"/>
                <w:lang w:eastAsia="es-CO"/>
                <w14:ligatures w14:val="none"/>
              </w:rPr>
              <w:t>2.064.238.956</w:t>
            </w:r>
          </w:p>
        </w:tc>
        <w:tc>
          <w:tcPr>
            <w:tcW w:w="803" w:type="pct"/>
            <w:shd w:val="clear" w:color="000000" w:fill="FFFFFF"/>
            <w:noWrap/>
            <w:vAlign w:val="center"/>
            <w:hideMark/>
          </w:tcPr>
          <w:p w14:paraId="3D21485D" w14:textId="77777777" w:rsidR="000B3479" w:rsidRPr="0039091F" w:rsidRDefault="000B3479" w:rsidP="000A5389">
            <w:pPr>
              <w:spacing w:line="240" w:lineRule="auto"/>
              <w:jc w:val="right"/>
              <w:rPr>
                <w:rFonts w:eastAsia="Times New Roman" w:cs="Times New Roman"/>
                <w:color w:val="000000"/>
                <w:kern w:val="0"/>
                <w:sz w:val="18"/>
                <w:szCs w:val="18"/>
                <w:lang w:eastAsia="es-CO"/>
                <w14:ligatures w14:val="none"/>
              </w:rPr>
            </w:pPr>
            <w:r w:rsidRPr="0039091F">
              <w:rPr>
                <w:rFonts w:eastAsia="Times New Roman" w:cs="Times New Roman"/>
                <w:color w:val="000000"/>
                <w:kern w:val="0"/>
                <w:sz w:val="18"/>
                <w:szCs w:val="18"/>
                <w:lang w:eastAsia="es-CO"/>
                <w14:ligatures w14:val="none"/>
              </w:rPr>
              <w:t>3.096.358.434</w:t>
            </w:r>
          </w:p>
        </w:tc>
        <w:tc>
          <w:tcPr>
            <w:tcW w:w="747" w:type="pct"/>
            <w:shd w:val="clear" w:color="000000" w:fill="FFFFFF"/>
            <w:noWrap/>
            <w:vAlign w:val="center"/>
            <w:hideMark/>
          </w:tcPr>
          <w:p w14:paraId="40E1EB8E" w14:textId="77777777" w:rsidR="000B3479" w:rsidRPr="0039091F" w:rsidRDefault="000B3479" w:rsidP="000A5389">
            <w:pPr>
              <w:spacing w:line="240" w:lineRule="auto"/>
              <w:jc w:val="right"/>
              <w:rPr>
                <w:rFonts w:eastAsia="Times New Roman" w:cs="Times New Roman"/>
                <w:color w:val="000000"/>
                <w:kern w:val="0"/>
                <w:sz w:val="18"/>
                <w:szCs w:val="18"/>
                <w:lang w:eastAsia="es-CO"/>
                <w14:ligatures w14:val="none"/>
              </w:rPr>
            </w:pPr>
            <w:r w:rsidRPr="0039091F">
              <w:rPr>
                <w:rFonts w:eastAsia="Times New Roman" w:cs="Times New Roman"/>
                <w:color w:val="000000"/>
                <w:kern w:val="0"/>
                <w:sz w:val="18"/>
                <w:szCs w:val="18"/>
                <w:lang w:eastAsia="es-CO"/>
                <w14:ligatures w14:val="none"/>
              </w:rPr>
              <w:t>-1.032.119.478</w:t>
            </w:r>
          </w:p>
        </w:tc>
      </w:tr>
      <w:tr w:rsidR="000B3479" w:rsidRPr="0039091F" w14:paraId="161688A2" w14:textId="77777777" w:rsidTr="00071A8A">
        <w:trPr>
          <w:trHeight w:val="285"/>
        </w:trPr>
        <w:tc>
          <w:tcPr>
            <w:tcW w:w="639" w:type="pct"/>
            <w:shd w:val="clear" w:color="000000" w:fill="FFFFFF"/>
            <w:noWrap/>
            <w:vAlign w:val="center"/>
            <w:hideMark/>
          </w:tcPr>
          <w:p w14:paraId="18B6E25C" w14:textId="77777777" w:rsidR="000B3479" w:rsidRPr="0039091F" w:rsidRDefault="000B3479" w:rsidP="000A5389">
            <w:pPr>
              <w:spacing w:line="240" w:lineRule="auto"/>
              <w:jc w:val="right"/>
              <w:rPr>
                <w:rFonts w:eastAsia="Times New Roman" w:cs="Times New Roman"/>
                <w:color w:val="000000"/>
                <w:kern w:val="0"/>
                <w:sz w:val="18"/>
                <w:szCs w:val="18"/>
                <w:lang w:eastAsia="es-CO"/>
                <w14:ligatures w14:val="none"/>
              </w:rPr>
            </w:pPr>
            <w:r w:rsidRPr="0039091F">
              <w:rPr>
                <w:rFonts w:eastAsia="Times New Roman" w:cs="Times New Roman"/>
                <w:color w:val="000000"/>
                <w:kern w:val="0"/>
                <w:sz w:val="18"/>
                <w:szCs w:val="18"/>
                <w:lang w:eastAsia="es-CO"/>
                <w14:ligatures w14:val="none"/>
              </w:rPr>
              <w:t>900162335</w:t>
            </w:r>
          </w:p>
        </w:tc>
        <w:tc>
          <w:tcPr>
            <w:tcW w:w="2008" w:type="pct"/>
            <w:shd w:val="clear" w:color="000000" w:fill="FFFFFF"/>
            <w:noWrap/>
            <w:vAlign w:val="center"/>
            <w:hideMark/>
          </w:tcPr>
          <w:p w14:paraId="3B16934D" w14:textId="77777777" w:rsidR="000B3479" w:rsidRPr="0039091F" w:rsidRDefault="000B3479" w:rsidP="000A5389">
            <w:pPr>
              <w:spacing w:line="240" w:lineRule="auto"/>
              <w:rPr>
                <w:rFonts w:eastAsia="Times New Roman" w:cs="Times New Roman"/>
                <w:color w:val="000000"/>
                <w:kern w:val="0"/>
                <w:sz w:val="18"/>
                <w:szCs w:val="18"/>
                <w:lang w:eastAsia="es-CO"/>
                <w14:ligatures w14:val="none"/>
              </w:rPr>
            </w:pPr>
            <w:r w:rsidRPr="0039091F">
              <w:rPr>
                <w:rFonts w:eastAsia="Times New Roman" w:cs="Times New Roman"/>
                <w:color w:val="000000"/>
                <w:kern w:val="0"/>
                <w:sz w:val="18"/>
                <w:szCs w:val="18"/>
                <w:lang w:eastAsia="es-CO"/>
                <w14:ligatures w14:val="none"/>
              </w:rPr>
              <w:t>Sociedad Portuaria Dexton S.A.</w:t>
            </w:r>
          </w:p>
        </w:tc>
        <w:tc>
          <w:tcPr>
            <w:tcW w:w="803" w:type="pct"/>
            <w:shd w:val="clear" w:color="000000" w:fill="FFFFFF"/>
            <w:noWrap/>
            <w:vAlign w:val="center"/>
            <w:hideMark/>
          </w:tcPr>
          <w:p w14:paraId="6C1DCD6F" w14:textId="77777777" w:rsidR="000B3479" w:rsidRPr="0039091F" w:rsidRDefault="000B3479" w:rsidP="000A5389">
            <w:pPr>
              <w:spacing w:line="240" w:lineRule="auto"/>
              <w:jc w:val="right"/>
              <w:rPr>
                <w:rFonts w:eastAsia="Times New Roman" w:cs="Times New Roman"/>
                <w:color w:val="000000"/>
                <w:kern w:val="0"/>
                <w:sz w:val="18"/>
                <w:szCs w:val="18"/>
                <w:lang w:eastAsia="es-CO"/>
                <w14:ligatures w14:val="none"/>
              </w:rPr>
            </w:pPr>
            <w:r w:rsidRPr="0039091F">
              <w:rPr>
                <w:rFonts w:eastAsia="Times New Roman" w:cs="Times New Roman"/>
                <w:color w:val="000000"/>
                <w:kern w:val="0"/>
                <w:sz w:val="18"/>
                <w:szCs w:val="18"/>
                <w:lang w:eastAsia="es-CO"/>
                <w14:ligatures w14:val="none"/>
              </w:rPr>
              <w:t>1.407.456.632</w:t>
            </w:r>
          </w:p>
        </w:tc>
        <w:tc>
          <w:tcPr>
            <w:tcW w:w="803" w:type="pct"/>
            <w:shd w:val="clear" w:color="000000" w:fill="FFFFFF"/>
            <w:noWrap/>
            <w:vAlign w:val="center"/>
            <w:hideMark/>
          </w:tcPr>
          <w:p w14:paraId="4E5EFAB5" w14:textId="77777777" w:rsidR="000B3479" w:rsidRPr="0039091F" w:rsidRDefault="000B3479" w:rsidP="000A5389">
            <w:pPr>
              <w:spacing w:line="240" w:lineRule="auto"/>
              <w:jc w:val="right"/>
              <w:rPr>
                <w:rFonts w:eastAsia="Times New Roman" w:cs="Times New Roman"/>
                <w:color w:val="000000"/>
                <w:kern w:val="0"/>
                <w:sz w:val="18"/>
                <w:szCs w:val="18"/>
                <w:lang w:eastAsia="es-CO"/>
                <w14:ligatures w14:val="none"/>
              </w:rPr>
            </w:pPr>
            <w:r w:rsidRPr="0039091F">
              <w:rPr>
                <w:rFonts w:eastAsia="Times New Roman" w:cs="Times New Roman"/>
                <w:color w:val="000000"/>
                <w:kern w:val="0"/>
                <w:sz w:val="18"/>
                <w:szCs w:val="18"/>
                <w:lang w:eastAsia="es-CO"/>
                <w14:ligatures w14:val="none"/>
              </w:rPr>
              <w:t>1.642.032.737</w:t>
            </w:r>
          </w:p>
        </w:tc>
        <w:tc>
          <w:tcPr>
            <w:tcW w:w="747" w:type="pct"/>
            <w:shd w:val="clear" w:color="000000" w:fill="FFFFFF"/>
            <w:noWrap/>
            <w:vAlign w:val="center"/>
            <w:hideMark/>
          </w:tcPr>
          <w:p w14:paraId="2CC4D470" w14:textId="77777777" w:rsidR="000B3479" w:rsidRPr="0039091F" w:rsidRDefault="000B3479" w:rsidP="000A5389">
            <w:pPr>
              <w:spacing w:line="240" w:lineRule="auto"/>
              <w:jc w:val="right"/>
              <w:rPr>
                <w:rFonts w:eastAsia="Times New Roman" w:cs="Times New Roman"/>
                <w:color w:val="000000"/>
                <w:kern w:val="0"/>
                <w:sz w:val="18"/>
                <w:szCs w:val="18"/>
                <w:lang w:eastAsia="es-CO"/>
                <w14:ligatures w14:val="none"/>
              </w:rPr>
            </w:pPr>
            <w:r w:rsidRPr="0039091F">
              <w:rPr>
                <w:rFonts w:eastAsia="Times New Roman" w:cs="Times New Roman"/>
                <w:color w:val="000000"/>
                <w:kern w:val="0"/>
                <w:sz w:val="18"/>
                <w:szCs w:val="18"/>
                <w:lang w:eastAsia="es-CO"/>
                <w14:ligatures w14:val="none"/>
              </w:rPr>
              <w:t>-234.576.105</w:t>
            </w:r>
          </w:p>
        </w:tc>
      </w:tr>
      <w:tr w:rsidR="000B3479" w:rsidRPr="0039091F" w14:paraId="04BB1E36" w14:textId="77777777" w:rsidTr="00071A8A">
        <w:trPr>
          <w:trHeight w:val="285"/>
        </w:trPr>
        <w:tc>
          <w:tcPr>
            <w:tcW w:w="639" w:type="pct"/>
            <w:shd w:val="clear" w:color="000000" w:fill="FFFFFF"/>
            <w:noWrap/>
            <w:vAlign w:val="center"/>
            <w:hideMark/>
          </w:tcPr>
          <w:p w14:paraId="79846E50" w14:textId="77777777" w:rsidR="000B3479" w:rsidRPr="0039091F" w:rsidRDefault="000B3479" w:rsidP="000A5389">
            <w:pPr>
              <w:spacing w:line="240" w:lineRule="auto"/>
              <w:jc w:val="right"/>
              <w:rPr>
                <w:rFonts w:eastAsia="Times New Roman" w:cs="Times New Roman"/>
                <w:color w:val="000000"/>
                <w:kern w:val="0"/>
                <w:sz w:val="18"/>
                <w:szCs w:val="18"/>
                <w:lang w:eastAsia="es-CO"/>
                <w14:ligatures w14:val="none"/>
              </w:rPr>
            </w:pPr>
            <w:r w:rsidRPr="0039091F">
              <w:rPr>
                <w:rFonts w:eastAsia="Times New Roman" w:cs="Times New Roman"/>
                <w:color w:val="000000"/>
                <w:kern w:val="0"/>
                <w:sz w:val="18"/>
                <w:szCs w:val="18"/>
                <w:lang w:eastAsia="es-CO"/>
                <w14:ligatures w14:val="none"/>
              </w:rPr>
              <w:t>901077888</w:t>
            </w:r>
          </w:p>
        </w:tc>
        <w:tc>
          <w:tcPr>
            <w:tcW w:w="2008" w:type="pct"/>
            <w:shd w:val="clear" w:color="000000" w:fill="FFFFFF"/>
            <w:noWrap/>
            <w:vAlign w:val="center"/>
            <w:hideMark/>
          </w:tcPr>
          <w:p w14:paraId="6888ED7E" w14:textId="77777777" w:rsidR="000B3479" w:rsidRPr="0039091F" w:rsidRDefault="000B3479" w:rsidP="000A5389">
            <w:pPr>
              <w:spacing w:line="240" w:lineRule="auto"/>
              <w:rPr>
                <w:rFonts w:eastAsia="Times New Roman" w:cs="Times New Roman"/>
                <w:color w:val="000000"/>
                <w:kern w:val="0"/>
                <w:sz w:val="18"/>
                <w:szCs w:val="18"/>
                <w:lang w:eastAsia="es-CO"/>
                <w14:ligatures w14:val="none"/>
              </w:rPr>
            </w:pPr>
            <w:r w:rsidRPr="0039091F">
              <w:rPr>
                <w:rFonts w:eastAsia="Times New Roman" w:cs="Times New Roman"/>
                <w:color w:val="000000"/>
                <w:kern w:val="0"/>
                <w:sz w:val="18"/>
                <w:szCs w:val="18"/>
                <w:lang w:eastAsia="es-CO"/>
                <w14:ligatures w14:val="none"/>
              </w:rPr>
              <w:t>Sociedad Portuaria BITA RM S.A.</w:t>
            </w:r>
          </w:p>
        </w:tc>
        <w:tc>
          <w:tcPr>
            <w:tcW w:w="803" w:type="pct"/>
            <w:shd w:val="clear" w:color="000000" w:fill="FFFFFF"/>
            <w:noWrap/>
            <w:vAlign w:val="center"/>
            <w:hideMark/>
          </w:tcPr>
          <w:p w14:paraId="680BF37B" w14:textId="77777777" w:rsidR="000B3479" w:rsidRPr="0039091F" w:rsidRDefault="000B3479" w:rsidP="000A5389">
            <w:pPr>
              <w:spacing w:line="240" w:lineRule="auto"/>
              <w:jc w:val="right"/>
              <w:rPr>
                <w:rFonts w:eastAsia="Times New Roman" w:cs="Times New Roman"/>
                <w:color w:val="000000"/>
                <w:kern w:val="0"/>
                <w:sz w:val="18"/>
                <w:szCs w:val="18"/>
                <w:lang w:eastAsia="es-CO"/>
                <w14:ligatures w14:val="none"/>
              </w:rPr>
            </w:pPr>
            <w:r w:rsidRPr="0039091F">
              <w:rPr>
                <w:rFonts w:eastAsia="Times New Roman" w:cs="Times New Roman"/>
                <w:color w:val="000000"/>
                <w:kern w:val="0"/>
                <w:sz w:val="18"/>
                <w:szCs w:val="18"/>
                <w:lang w:eastAsia="es-CO"/>
                <w14:ligatures w14:val="none"/>
              </w:rPr>
              <w:t>882.950.392</w:t>
            </w:r>
          </w:p>
        </w:tc>
        <w:tc>
          <w:tcPr>
            <w:tcW w:w="803" w:type="pct"/>
            <w:shd w:val="clear" w:color="000000" w:fill="FFFFFF"/>
            <w:noWrap/>
            <w:vAlign w:val="center"/>
            <w:hideMark/>
          </w:tcPr>
          <w:p w14:paraId="2D88A76D" w14:textId="77777777" w:rsidR="000B3479" w:rsidRPr="0039091F" w:rsidRDefault="000B3479" w:rsidP="000A5389">
            <w:pPr>
              <w:spacing w:line="240" w:lineRule="auto"/>
              <w:jc w:val="right"/>
              <w:rPr>
                <w:rFonts w:eastAsia="Times New Roman" w:cs="Times New Roman"/>
                <w:color w:val="000000"/>
                <w:kern w:val="0"/>
                <w:sz w:val="18"/>
                <w:szCs w:val="18"/>
                <w:lang w:eastAsia="es-CO"/>
                <w14:ligatures w14:val="none"/>
              </w:rPr>
            </w:pPr>
            <w:r w:rsidRPr="0039091F">
              <w:rPr>
                <w:rFonts w:eastAsia="Times New Roman" w:cs="Times New Roman"/>
                <w:color w:val="000000"/>
                <w:kern w:val="0"/>
                <w:sz w:val="18"/>
                <w:szCs w:val="18"/>
                <w:lang w:eastAsia="es-CO"/>
                <w14:ligatures w14:val="none"/>
              </w:rPr>
              <w:t>939.914.933</w:t>
            </w:r>
          </w:p>
        </w:tc>
        <w:tc>
          <w:tcPr>
            <w:tcW w:w="747" w:type="pct"/>
            <w:shd w:val="clear" w:color="000000" w:fill="FFFFFF"/>
            <w:noWrap/>
            <w:vAlign w:val="center"/>
            <w:hideMark/>
          </w:tcPr>
          <w:p w14:paraId="6E8BD018" w14:textId="77777777" w:rsidR="000B3479" w:rsidRPr="0039091F" w:rsidRDefault="000B3479" w:rsidP="000A5389">
            <w:pPr>
              <w:spacing w:line="240" w:lineRule="auto"/>
              <w:jc w:val="right"/>
              <w:rPr>
                <w:rFonts w:eastAsia="Times New Roman" w:cs="Times New Roman"/>
                <w:color w:val="000000"/>
                <w:kern w:val="0"/>
                <w:sz w:val="18"/>
                <w:szCs w:val="18"/>
                <w:lang w:eastAsia="es-CO"/>
                <w14:ligatures w14:val="none"/>
              </w:rPr>
            </w:pPr>
            <w:r w:rsidRPr="0039091F">
              <w:rPr>
                <w:rFonts w:eastAsia="Times New Roman" w:cs="Times New Roman"/>
                <w:color w:val="000000"/>
                <w:kern w:val="0"/>
                <w:sz w:val="18"/>
                <w:szCs w:val="18"/>
                <w:lang w:eastAsia="es-CO"/>
                <w14:ligatures w14:val="none"/>
              </w:rPr>
              <w:t>-56.964.541</w:t>
            </w:r>
          </w:p>
        </w:tc>
      </w:tr>
      <w:tr w:rsidR="000B3479" w:rsidRPr="0039091F" w14:paraId="455E7135" w14:textId="77777777" w:rsidTr="00071A8A">
        <w:trPr>
          <w:trHeight w:val="285"/>
        </w:trPr>
        <w:tc>
          <w:tcPr>
            <w:tcW w:w="639" w:type="pct"/>
            <w:shd w:val="clear" w:color="000000" w:fill="FFFFFF"/>
            <w:noWrap/>
            <w:vAlign w:val="center"/>
            <w:hideMark/>
          </w:tcPr>
          <w:p w14:paraId="1982A9E7" w14:textId="77777777" w:rsidR="000B3479" w:rsidRPr="0039091F" w:rsidRDefault="000B3479" w:rsidP="000A5389">
            <w:pPr>
              <w:spacing w:line="240" w:lineRule="auto"/>
              <w:jc w:val="right"/>
              <w:rPr>
                <w:rFonts w:eastAsia="Times New Roman" w:cs="Times New Roman"/>
                <w:color w:val="000000"/>
                <w:kern w:val="0"/>
                <w:sz w:val="18"/>
                <w:szCs w:val="18"/>
                <w:lang w:eastAsia="es-CO"/>
                <w14:ligatures w14:val="none"/>
              </w:rPr>
            </w:pPr>
            <w:r w:rsidRPr="0039091F">
              <w:rPr>
                <w:rFonts w:eastAsia="Times New Roman" w:cs="Times New Roman"/>
                <w:color w:val="000000"/>
                <w:kern w:val="0"/>
                <w:sz w:val="18"/>
                <w:szCs w:val="18"/>
                <w:lang w:eastAsia="es-CO"/>
                <w14:ligatures w14:val="none"/>
              </w:rPr>
              <w:t>901045599</w:t>
            </w:r>
          </w:p>
        </w:tc>
        <w:tc>
          <w:tcPr>
            <w:tcW w:w="2008" w:type="pct"/>
            <w:shd w:val="clear" w:color="000000" w:fill="FFFFFF"/>
            <w:noWrap/>
            <w:vAlign w:val="center"/>
            <w:hideMark/>
          </w:tcPr>
          <w:p w14:paraId="44BCC3CE" w14:textId="77777777" w:rsidR="000B3479" w:rsidRPr="0039091F" w:rsidRDefault="000B3479" w:rsidP="000A5389">
            <w:pPr>
              <w:spacing w:line="240" w:lineRule="auto"/>
              <w:rPr>
                <w:rFonts w:eastAsia="Times New Roman" w:cs="Times New Roman"/>
                <w:color w:val="000000"/>
                <w:kern w:val="0"/>
                <w:sz w:val="18"/>
                <w:szCs w:val="18"/>
                <w:lang w:eastAsia="es-CO"/>
                <w14:ligatures w14:val="none"/>
              </w:rPr>
            </w:pPr>
            <w:r w:rsidRPr="0039091F">
              <w:rPr>
                <w:rFonts w:eastAsia="Times New Roman" w:cs="Times New Roman"/>
                <w:color w:val="000000"/>
                <w:kern w:val="0"/>
                <w:sz w:val="18"/>
                <w:szCs w:val="18"/>
                <w:lang w:eastAsia="es-CO"/>
                <w14:ligatures w14:val="none"/>
              </w:rPr>
              <w:t>Puertos del Caribe Sociedad Portuaria S.A.</w:t>
            </w:r>
          </w:p>
        </w:tc>
        <w:tc>
          <w:tcPr>
            <w:tcW w:w="803" w:type="pct"/>
            <w:shd w:val="clear" w:color="000000" w:fill="FFFFFF"/>
            <w:noWrap/>
            <w:vAlign w:val="center"/>
            <w:hideMark/>
          </w:tcPr>
          <w:p w14:paraId="18B09B37" w14:textId="77777777" w:rsidR="000B3479" w:rsidRPr="0039091F" w:rsidRDefault="000B3479" w:rsidP="000A5389">
            <w:pPr>
              <w:spacing w:line="240" w:lineRule="auto"/>
              <w:jc w:val="right"/>
              <w:rPr>
                <w:rFonts w:eastAsia="Times New Roman" w:cs="Times New Roman"/>
                <w:color w:val="000000"/>
                <w:kern w:val="0"/>
                <w:sz w:val="18"/>
                <w:szCs w:val="18"/>
                <w:lang w:eastAsia="es-CO"/>
                <w14:ligatures w14:val="none"/>
              </w:rPr>
            </w:pPr>
            <w:r w:rsidRPr="0039091F">
              <w:rPr>
                <w:rFonts w:eastAsia="Times New Roman" w:cs="Times New Roman"/>
                <w:color w:val="000000"/>
                <w:kern w:val="0"/>
                <w:sz w:val="18"/>
                <w:szCs w:val="18"/>
                <w:lang w:eastAsia="es-CO"/>
                <w14:ligatures w14:val="none"/>
              </w:rPr>
              <w:t>510.852.505</w:t>
            </w:r>
          </w:p>
        </w:tc>
        <w:tc>
          <w:tcPr>
            <w:tcW w:w="803" w:type="pct"/>
            <w:shd w:val="clear" w:color="000000" w:fill="FFFFFF"/>
            <w:noWrap/>
            <w:vAlign w:val="center"/>
            <w:hideMark/>
          </w:tcPr>
          <w:p w14:paraId="4A3F5D9A" w14:textId="77777777" w:rsidR="000B3479" w:rsidRPr="0039091F" w:rsidRDefault="000B3479" w:rsidP="000A5389">
            <w:pPr>
              <w:spacing w:line="240" w:lineRule="auto"/>
              <w:jc w:val="right"/>
              <w:rPr>
                <w:rFonts w:eastAsia="Times New Roman" w:cs="Times New Roman"/>
                <w:color w:val="000000"/>
                <w:kern w:val="0"/>
                <w:sz w:val="18"/>
                <w:szCs w:val="18"/>
                <w:lang w:eastAsia="es-CO"/>
                <w14:ligatures w14:val="none"/>
              </w:rPr>
            </w:pPr>
            <w:r w:rsidRPr="0039091F">
              <w:rPr>
                <w:rFonts w:eastAsia="Times New Roman" w:cs="Times New Roman"/>
                <w:color w:val="000000"/>
                <w:kern w:val="0"/>
                <w:sz w:val="18"/>
                <w:szCs w:val="18"/>
                <w:lang w:eastAsia="es-CO"/>
                <w14:ligatures w14:val="none"/>
              </w:rPr>
              <w:t>534.613.087</w:t>
            </w:r>
          </w:p>
        </w:tc>
        <w:tc>
          <w:tcPr>
            <w:tcW w:w="747" w:type="pct"/>
            <w:shd w:val="clear" w:color="000000" w:fill="FFFFFF"/>
            <w:noWrap/>
            <w:vAlign w:val="center"/>
            <w:hideMark/>
          </w:tcPr>
          <w:p w14:paraId="7BF6C7DD" w14:textId="77777777" w:rsidR="000B3479" w:rsidRPr="0039091F" w:rsidRDefault="000B3479" w:rsidP="000A5389">
            <w:pPr>
              <w:spacing w:line="240" w:lineRule="auto"/>
              <w:jc w:val="right"/>
              <w:rPr>
                <w:rFonts w:eastAsia="Times New Roman" w:cs="Times New Roman"/>
                <w:color w:val="000000"/>
                <w:kern w:val="0"/>
                <w:sz w:val="18"/>
                <w:szCs w:val="18"/>
                <w:lang w:eastAsia="es-CO"/>
                <w14:ligatures w14:val="none"/>
              </w:rPr>
            </w:pPr>
            <w:r w:rsidRPr="0039091F">
              <w:rPr>
                <w:rFonts w:eastAsia="Times New Roman" w:cs="Times New Roman"/>
                <w:color w:val="000000"/>
                <w:kern w:val="0"/>
                <w:sz w:val="18"/>
                <w:szCs w:val="18"/>
                <w:lang w:eastAsia="es-CO"/>
                <w14:ligatures w14:val="none"/>
              </w:rPr>
              <w:t>-23.760.582</w:t>
            </w:r>
          </w:p>
        </w:tc>
      </w:tr>
      <w:tr w:rsidR="000B3479" w:rsidRPr="0039091F" w14:paraId="27D7BB2D" w14:textId="77777777" w:rsidTr="00071A8A">
        <w:trPr>
          <w:trHeight w:val="285"/>
        </w:trPr>
        <w:tc>
          <w:tcPr>
            <w:tcW w:w="639" w:type="pct"/>
            <w:shd w:val="clear" w:color="000000" w:fill="FFFFFF"/>
            <w:noWrap/>
            <w:vAlign w:val="center"/>
            <w:hideMark/>
          </w:tcPr>
          <w:p w14:paraId="5329C4E9" w14:textId="77777777" w:rsidR="000B3479" w:rsidRPr="0039091F" w:rsidRDefault="000B3479" w:rsidP="000A5389">
            <w:pPr>
              <w:spacing w:line="240" w:lineRule="auto"/>
              <w:jc w:val="right"/>
              <w:rPr>
                <w:rFonts w:eastAsia="Times New Roman" w:cs="Times New Roman"/>
                <w:color w:val="000000"/>
                <w:kern w:val="0"/>
                <w:sz w:val="18"/>
                <w:szCs w:val="18"/>
                <w:lang w:eastAsia="es-CO"/>
                <w14:ligatures w14:val="none"/>
              </w:rPr>
            </w:pPr>
            <w:r w:rsidRPr="0039091F">
              <w:rPr>
                <w:rFonts w:eastAsia="Times New Roman" w:cs="Times New Roman"/>
                <w:color w:val="000000"/>
                <w:kern w:val="0"/>
                <w:sz w:val="18"/>
                <w:szCs w:val="18"/>
                <w:lang w:eastAsia="es-CO"/>
                <w14:ligatures w14:val="none"/>
              </w:rPr>
              <w:t>900135202</w:t>
            </w:r>
          </w:p>
        </w:tc>
        <w:tc>
          <w:tcPr>
            <w:tcW w:w="2008" w:type="pct"/>
            <w:shd w:val="clear" w:color="000000" w:fill="FFFFFF"/>
            <w:noWrap/>
            <w:vAlign w:val="center"/>
            <w:hideMark/>
          </w:tcPr>
          <w:p w14:paraId="04740381" w14:textId="77777777" w:rsidR="000B3479" w:rsidRPr="0039091F" w:rsidRDefault="000B3479" w:rsidP="000A5389">
            <w:pPr>
              <w:spacing w:line="240" w:lineRule="auto"/>
              <w:rPr>
                <w:rFonts w:eastAsia="Times New Roman" w:cs="Times New Roman"/>
                <w:color w:val="000000"/>
                <w:kern w:val="0"/>
                <w:sz w:val="18"/>
                <w:szCs w:val="18"/>
                <w:lang w:eastAsia="es-CO"/>
                <w14:ligatures w14:val="none"/>
              </w:rPr>
            </w:pPr>
            <w:r w:rsidRPr="0039091F">
              <w:rPr>
                <w:rFonts w:eastAsia="Times New Roman" w:cs="Times New Roman"/>
                <w:color w:val="000000"/>
                <w:kern w:val="0"/>
                <w:sz w:val="18"/>
                <w:szCs w:val="18"/>
                <w:lang w:eastAsia="es-CO"/>
                <w14:ligatures w14:val="none"/>
              </w:rPr>
              <w:t>Petróleos y Derivados de Colombia S.A.</w:t>
            </w:r>
          </w:p>
        </w:tc>
        <w:tc>
          <w:tcPr>
            <w:tcW w:w="803" w:type="pct"/>
            <w:shd w:val="clear" w:color="000000" w:fill="FFFFFF"/>
            <w:noWrap/>
            <w:vAlign w:val="center"/>
            <w:hideMark/>
          </w:tcPr>
          <w:p w14:paraId="71B70BB5" w14:textId="77777777" w:rsidR="000B3479" w:rsidRPr="0039091F" w:rsidRDefault="000B3479" w:rsidP="000A5389">
            <w:pPr>
              <w:spacing w:line="240" w:lineRule="auto"/>
              <w:jc w:val="right"/>
              <w:rPr>
                <w:rFonts w:eastAsia="Times New Roman" w:cs="Times New Roman"/>
                <w:color w:val="000000"/>
                <w:kern w:val="0"/>
                <w:sz w:val="18"/>
                <w:szCs w:val="18"/>
                <w:lang w:eastAsia="es-CO"/>
                <w14:ligatures w14:val="none"/>
              </w:rPr>
            </w:pPr>
            <w:r w:rsidRPr="0039091F">
              <w:rPr>
                <w:rFonts w:eastAsia="Times New Roman" w:cs="Times New Roman"/>
                <w:color w:val="000000"/>
                <w:kern w:val="0"/>
                <w:sz w:val="18"/>
                <w:szCs w:val="18"/>
                <w:lang w:eastAsia="es-CO"/>
                <w14:ligatures w14:val="none"/>
              </w:rPr>
              <w:t>320.038.996</w:t>
            </w:r>
          </w:p>
        </w:tc>
        <w:tc>
          <w:tcPr>
            <w:tcW w:w="803" w:type="pct"/>
            <w:shd w:val="clear" w:color="000000" w:fill="FFFFFF"/>
            <w:noWrap/>
            <w:vAlign w:val="center"/>
            <w:hideMark/>
          </w:tcPr>
          <w:p w14:paraId="1649002A" w14:textId="77777777" w:rsidR="000B3479" w:rsidRPr="0039091F" w:rsidRDefault="000B3479" w:rsidP="000A5389">
            <w:pPr>
              <w:spacing w:line="240" w:lineRule="auto"/>
              <w:jc w:val="right"/>
              <w:rPr>
                <w:rFonts w:eastAsia="Times New Roman" w:cs="Times New Roman"/>
                <w:color w:val="000000"/>
                <w:kern w:val="0"/>
                <w:sz w:val="18"/>
                <w:szCs w:val="18"/>
                <w:lang w:eastAsia="es-CO"/>
                <w14:ligatures w14:val="none"/>
              </w:rPr>
            </w:pPr>
            <w:r w:rsidRPr="0039091F">
              <w:rPr>
                <w:rFonts w:eastAsia="Times New Roman" w:cs="Times New Roman"/>
                <w:color w:val="000000"/>
                <w:kern w:val="0"/>
                <w:sz w:val="18"/>
                <w:szCs w:val="18"/>
                <w:lang w:eastAsia="es-CO"/>
                <w14:ligatures w14:val="none"/>
              </w:rPr>
              <w:t>360.043.871</w:t>
            </w:r>
          </w:p>
        </w:tc>
        <w:tc>
          <w:tcPr>
            <w:tcW w:w="747" w:type="pct"/>
            <w:shd w:val="clear" w:color="000000" w:fill="FFFFFF"/>
            <w:noWrap/>
            <w:vAlign w:val="center"/>
            <w:hideMark/>
          </w:tcPr>
          <w:p w14:paraId="099803D5" w14:textId="77777777" w:rsidR="000B3479" w:rsidRPr="0039091F" w:rsidRDefault="000B3479" w:rsidP="000A5389">
            <w:pPr>
              <w:spacing w:line="240" w:lineRule="auto"/>
              <w:jc w:val="right"/>
              <w:rPr>
                <w:rFonts w:eastAsia="Times New Roman" w:cs="Times New Roman"/>
                <w:color w:val="000000"/>
                <w:kern w:val="0"/>
                <w:sz w:val="18"/>
                <w:szCs w:val="18"/>
                <w:lang w:eastAsia="es-CO"/>
                <w14:ligatures w14:val="none"/>
              </w:rPr>
            </w:pPr>
            <w:r w:rsidRPr="0039091F">
              <w:rPr>
                <w:rFonts w:eastAsia="Times New Roman" w:cs="Times New Roman"/>
                <w:color w:val="000000"/>
                <w:kern w:val="0"/>
                <w:sz w:val="18"/>
                <w:szCs w:val="18"/>
                <w:lang w:eastAsia="es-CO"/>
                <w14:ligatures w14:val="none"/>
              </w:rPr>
              <w:t>-40.004.875</w:t>
            </w:r>
          </w:p>
        </w:tc>
      </w:tr>
      <w:tr w:rsidR="000B3479" w:rsidRPr="0039091F" w14:paraId="752E05AC" w14:textId="77777777" w:rsidTr="00071A8A">
        <w:trPr>
          <w:trHeight w:val="285"/>
        </w:trPr>
        <w:tc>
          <w:tcPr>
            <w:tcW w:w="639" w:type="pct"/>
            <w:shd w:val="clear" w:color="000000" w:fill="FFFFFF"/>
            <w:noWrap/>
            <w:vAlign w:val="center"/>
            <w:hideMark/>
          </w:tcPr>
          <w:p w14:paraId="1A347B0D" w14:textId="77777777" w:rsidR="000B3479" w:rsidRPr="0039091F" w:rsidRDefault="000B3479" w:rsidP="000A5389">
            <w:pPr>
              <w:spacing w:line="240" w:lineRule="auto"/>
              <w:jc w:val="right"/>
              <w:rPr>
                <w:rFonts w:eastAsia="Times New Roman" w:cs="Times New Roman"/>
                <w:color w:val="000000"/>
                <w:kern w:val="0"/>
                <w:sz w:val="18"/>
                <w:szCs w:val="18"/>
                <w:lang w:eastAsia="es-CO"/>
                <w14:ligatures w14:val="none"/>
              </w:rPr>
            </w:pPr>
            <w:r w:rsidRPr="0039091F">
              <w:rPr>
                <w:rFonts w:eastAsia="Times New Roman" w:cs="Times New Roman"/>
                <w:color w:val="000000"/>
                <w:kern w:val="0"/>
                <w:sz w:val="18"/>
                <w:szCs w:val="18"/>
                <w:lang w:eastAsia="es-CO"/>
                <w14:ligatures w14:val="none"/>
              </w:rPr>
              <w:t>839000348</w:t>
            </w:r>
          </w:p>
        </w:tc>
        <w:tc>
          <w:tcPr>
            <w:tcW w:w="2008" w:type="pct"/>
            <w:shd w:val="clear" w:color="000000" w:fill="FFFFFF"/>
            <w:noWrap/>
            <w:vAlign w:val="center"/>
            <w:hideMark/>
          </w:tcPr>
          <w:p w14:paraId="6A61630F" w14:textId="77777777" w:rsidR="000B3479" w:rsidRPr="0039091F" w:rsidRDefault="000B3479" w:rsidP="000A5389">
            <w:pPr>
              <w:spacing w:line="240" w:lineRule="auto"/>
              <w:rPr>
                <w:rFonts w:eastAsia="Times New Roman" w:cs="Times New Roman"/>
                <w:color w:val="000000"/>
                <w:kern w:val="0"/>
                <w:sz w:val="18"/>
                <w:szCs w:val="18"/>
                <w:lang w:eastAsia="es-CO"/>
                <w14:ligatures w14:val="none"/>
              </w:rPr>
            </w:pPr>
            <w:r w:rsidRPr="0039091F">
              <w:rPr>
                <w:rFonts w:eastAsia="Times New Roman" w:cs="Times New Roman"/>
                <w:color w:val="000000"/>
                <w:kern w:val="0"/>
                <w:sz w:val="18"/>
                <w:szCs w:val="18"/>
                <w:lang w:eastAsia="es-CO"/>
                <w14:ligatures w14:val="none"/>
              </w:rPr>
              <w:t>Sociedad Portuaria de La Península</w:t>
            </w:r>
          </w:p>
        </w:tc>
        <w:tc>
          <w:tcPr>
            <w:tcW w:w="803" w:type="pct"/>
            <w:shd w:val="clear" w:color="000000" w:fill="FFFFFF"/>
            <w:noWrap/>
            <w:vAlign w:val="center"/>
            <w:hideMark/>
          </w:tcPr>
          <w:p w14:paraId="35221F46" w14:textId="77777777" w:rsidR="000B3479" w:rsidRPr="0039091F" w:rsidRDefault="000B3479" w:rsidP="000A5389">
            <w:pPr>
              <w:spacing w:line="240" w:lineRule="auto"/>
              <w:jc w:val="right"/>
              <w:rPr>
                <w:rFonts w:eastAsia="Times New Roman" w:cs="Times New Roman"/>
                <w:color w:val="000000"/>
                <w:kern w:val="0"/>
                <w:sz w:val="18"/>
                <w:szCs w:val="18"/>
                <w:lang w:eastAsia="es-CO"/>
                <w14:ligatures w14:val="none"/>
              </w:rPr>
            </w:pPr>
            <w:r w:rsidRPr="0039091F">
              <w:rPr>
                <w:rFonts w:eastAsia="Times New Roman" w:cs="Times New Roman"/>
                <w:color w:val="000000"/>
                <w:kern w:val="0"/>
                <w:sz w:val="18"/>
                <w:szCs w:val="18"/>
                <w:lang w:eastAsia="es-CO"/>
                <w14:ligatures w14:val="none"/>
              </w:rPr>
              <w:t>190.195.477</w:t>
            </w:r>
          </w:p>
        </w:tc>
        <w:tc>
          <w:tcPr>
            <w:tcW w:w="803" w:type="pct"/>
            <w:shd w:val="clear" w:color="000000" w:fill="FFFFFF"/>
            <w:noWrap/>
            <w:vAlign w:val="center"/>
            <w:hideMark/>
          </w:tcPr>
          <w:p w14:paraId="79169EB0" w14:textId="77777777" w:rsidR="000B3479" w:rsidRPr="0039091F" w:rsidRDefault="000B3479" w:rsidP="000A5389">
            <w:pPr>
              <w:spacing w:line="240" w:lineRule="auto"/>
              <w:jc w:val="right"/>
              <w:rPr>
                <w:rFonts w:eastAsia="Times New Roman" w:cs="Times New Roman"/>
                <w:color w:val="000000"/>
                <w:kern w:val="0"/>
                <w:sz w:val="18"/>
                <w:szCs w:val="18"/>
                <w:lang w:eastAsia="es-CO"/>
                <w14:ligatures w14:val="none"/>
              </w:rPr>
            </w:pPr>
            <w:r w:rsidRPr="0039091F">
              <w:rPr>
                <w:rFonts w:eastAsia="Times New Roman" w:cs="Times New Roman"/>
                <w:color w:val="000000"/>
                <w:kern w:val="0"/>
                <w:sz w:val="18"/>
                <w:szCs w:val="18"/>
                <w:lang w:eastAsia="es-CO"/>
                <w14:ligatures w14:val="none"/>
              </w:rPr>
              <w:t>228.234.572</w:t>
            </w:r>
          </w:p>
        </w:tc>
        <w:tc>
          <w:tcPr>
            <w:tcW w:w="747" w:type="pct"/>
            <w:shd w:val="clear" w:color="000000" w:fill="FFFFFF"/>
            <w:noWrap/>
            <w:vAlign w:val="center"/>
            <w:hideMark/>
          </w:tcPr>
          <w:p w14:paraId="73D2B31B" w14:textId="77777777" w:rsidR="000B3479" w:rsidRPr="0039091F" w:rsidRDefault="000B3479" w:rsidP="000A5389">
            <w:pPr>
              <w:spacing w:line="240" w:lineRule="auto"/>
              <w:jc w:val="right"/>
              <w:rPr>
                <w:rFonts w:eastAsia="Times New Roman" w:cs="Times New Roman"/>
                <w:color w:val="000000"/>
                <w:kern w:val="0"/>
                <w:sz w:val="18"/>
                <w:szCs w:val="18"/>
                <w:lang w:eastAsia="es-CO"/>
                <w14:ligatures w14:val="none"/>
              </w:rPr>
            </w:pPr>
            <w:r w:rsidRPr="0039091F">
              <w:rPr>
                <w:rFonts w:eastAsia="Times New Roman" w:cs="Times New Roman"/>
                <w:color w:val="000000"/>
                <w:kern w:val="0"/>
                <w:sz w:val="18"/>
                <w:szCs w:val="18"/>
                <w:lang w:eastAsia="es-CO"/>
                <w14:ligatures w14:val="none"/>
              </w:rPr>
              <w:t>-38.039.095</w:t>
            </w:r>
          </w:p>
        </w:tc>
      </w:tr>
      <w:tr w:rsidR="000B3479" w:rsidRPr="0039091F" w14:paraId="6249857B" w14:textId="77777777" w:rsidTr="00071A8A">
        <w:trPr>
          <w:trHeight w:val="285"/>
        </w:trPr>
        <w:tc>
          <w:tcPr>
            <w:tcW w:w="639" w:type="pct"/>
            <w:shd w:val="clear" w:color="000000" w:fill="FFFFFF"/>
            <w:noWrap/>
            <w:vAlign w:val="center"/>
            <w:hideMark/>
          </w:tcPr>
          <w:p w14:paraId="019C82DC" w14:textId="77777777" w:rsidR="000B3479" w:rsidRPr="0039091F" w:rsidRDefault="000B3479" w:rsidP="000A5389">
            <w:pPr>
              <w:spacing w:line="240" w:lineRule="auto"/>
              <w:jc w:val="right"/>
              <w:rPr>
                <w:rFonts w:eastAsia="Times New Roman" w:cs="Times New Roman"/>
                <w:color w:val="000000"/>
                <w:kern w:val="0"/>
                <w:sz w:val="18"/>
                <w:szCs w:val="18"/>
                <w:lang w:eastAsia="es-CO"/>
                <w14:ligatures w14:val="none"/>
              </w:rPr>
            </w:pPr>
            <w:r w:rsidRPr="0039091F">
              <w:rPr>
                <w:rFonts w:eastAsia="Times New Roman" w:cs="Times New Roman"/>
                <w:color w:val="000000"/>
                <w:kern w:val="0"/>
                <w:sz w:val="18"/>
                <w:szCs w:val="18"/>
                <w:lang w:eastAsia="es-CO"/>
                <w14:ligatures w14:val="none"/>
              </w:rPr>
              <w:t>806016841</w:t>
            </w:r>
          </w:p>
        </w:tc>
        <w:tc>
          <w:tcPr>
            <w:tcW w:w="2008" w:type="pct"/>
            <w:shd w:val="clear" w:color="000000" w:fill="FFFFFF"/>
            <w:noWrap/>
            <w:vAlign w:val="center"/>
            <w:hideMark/>
          </w:tcPr>
          <w:p w14:paraId="6C54F0A2" w14:textId="77777777" w:rsidR="000B3479" w:rsidRPr="0039091F" w:rsidRDefault="000B3479" w:rsidP="000A5389">
            <w:pPr>
              <w:spacing w:line="240" w:lineRule="auto"/>
              <w:rPr>
                <w:rFonts w:eastAsia="Times New Roman" w:cs="Times New Roman"/>
                <w:color w:val="000000"/>
                <w:kern w:val="0"/>
                <w:sz w:val="18"/>
                <w:szCs w:val="18"/>
                <w:lang w:eastAsia="es-CO"/>
                <w14:ligatures w14:val="none"/>
              </w:rPr>
            </w:pPr>
            <w:r w:rsidRPr="0039091F">
              <w:rPr>
                <w:rFonts w:eastAsia="Times New Roman" w:cs="Times New Roman"/>
                <w:color w:val="000000"/>
                <w:kern w:val="0"/>
                <w:sz w:val="18"/>
                <w:szCs w:val="18"/>
                <w:lang w:eastAsia="es-CO"/>
                <w14:ligatures w14:val="none"/>
              </w:rPr>
              <w:t>Sociedad Portuaria Transmarsyp S.A.</w:t>
            </w:r>
          </w:p>
        </w:tc>
        <w:tc>
          <w:tcPr>
            <w:tcW w:w="803" w:type="pct"/>
            <w:shd w:val="clear" w:color="000000" w:fill="FFFFFF"/>
            <w:noWrap/>
            <w:vAlign w:val="center"/>
            <w:hideMark/>
          </w:tcPr>
          <w:p w14:paraId="11A07855" w14:textId="77777777" w:rsidR="000B3479" w:rsidRPr="0039091F" w:rsidRDefault="000B3479" w:rsidP="000A5389">
            <w:pPr>
              <w:spacing w:line="240" w:lineRule="auto"/>
              <w:jc w:val="right"/>
              <w:rPr>
                <w:rFonts w:eastAsia="Times New Roman" w:cs="Times New Roman"/>
                <w:color w:val="000000"/>
                <w:kern w:val="0"/>
                <w:sz w:val="18"/>
                <w:szCs w:val="18"/>
                <w:lang w:eastAsia="es-CO"/>
                <w14:ligatures w14:val="none"/>
              </w:rPr>
            </w:pPr>
            <w:r w:rsidRPr="0039091F">
              <w:rPr>
                <w:rFonts w:eastAsia="Times New Roman" w:cs="Times New Roman"/>
                <w:color w:val="000000"/>
                <w:kern w:val="0"/>
                <w:sz w:val="18"/>
                <w:szCs w:val="18"/>
                <w:lang w:eastAsia="es-CO"/>
                <w14:ligatures w14:val="none"/>
              </w:rPr>
              <w:t>115.886.689</w:t>
            </w:r>
          </w:p>
        </w:tc>
        <w:tc>
          <w:tcPr>
            <w:tcW w:w="803" w:type="pct"/>
            <w:shd w:val="clear" w:color="000000" w:fill="FFFFFF"/>
            <w:noWrap/>
            <w:vAlign w:val="center"/>
            <w:hideMark/>
          </w:tcPr>
          <w:p w14:paraId="54350F19" w14:textId="77777777" w:rsidR="000B3479" w:rsidRPr="0039091F" w:rsidRDefault="000B3479" w:rsidP="000A5389">
            <w:pPr>
              <w:spacing w:line="240" w:lineRule="auto"/>
              <w:jc w:val="right"/>
              <w:rPr>
                <w:rFonts w:eastAsia="Times New Roman" w:cs="Times New Roman"/>
                <w:color w:val="000000"/>
                <w:kern w:val="0"/>
                <w:sz w:val="18"/>
                <w:szCs w:val="18"/>
                <w:lang w:eastAsia="es-CO"/>
                <w14:ligatures w14:val="none"/>
              </w:rPr>
            </w:pPr>
            <w:r w:rsidRPr="0039091F">
              <w:rPr>
                <w:rFonts w:eastAsia="Times New Roman" w:cs="Times New Roman"/>
                <w:color w:val="000000"/>
                <w:kern w:val="0"/>
                <w:sz w:val="18"/>
                <w:szCs w:val="18"/>
                <w:lang w:eastAsia="es-CO"/>
                <w14:ligatures w14:val="none"/>
              </w:rPr>
              <w:t>231.773.377</w:t>
            </w:r>
          </w:p>
        </w:tc>
        <w:tc>
          <w:tcPr>
            <w:tcW w:w="747" w:type="pct"/>
            <w:shd w:val="clear" w:color="000000" w:fill="FFFFFF"/>
            <w:noWrap/>
            <w:vAlign w:val="center"/>
            <w:hideMark/>
          </w:tcPr>
          <w:p w14:paraId="12911118" w14:textId="77777777" w:rsidR="000B3479" w:rsidRPr="0039091F" w:rsidRDefault="000B3479" w:rsidP="000A5389">
            <w:pPr>
              <w:spacing w:line="240" w:lineRule="auto"/>
              <w:jc w:val="right"/>
              <w:rPr>
                <w:rFonts w:eastAsia="Times New Roman" w:cs="Times New Roman"/>
                <w:color w:val="000000"/>
                <w:kern w:val="0"/>
                <w:sz w:val="18"/>
                <w:szCs w:val="18"/>
                <w:lang w:eastAsia="es-CO"/>
                <w14:ligatures w14:val="none"/>
              </w:rPr>
            </w:pPr>
            <w:r w:rsidRPr="0039091F">
              <w:rPr>
                <w:rFonts w:eastAsia="Times New Roman" w:cs="Times New Roman"/>
                <w:color w:val="000000"/>
                <w:kern w:val="0"/>
                <w:sz w:val="18"/>
                <w:szCs w:val="18"/>
                <w:lang w:eastAsia="es-CO"/>
                <w14:ligatures w14:val="none"/>
              </w:rPr>
              <w:t>-115.886.689</w:t>
            </w:r>
          </w:p>
        </w:tc>
      </w:tr>
      <w:tr w:rsidR="000B3479" w:rsidRPr="0039091F" w14:paraId="1FBDA2F7" w14:textId="77777777" w:rsidTr="00071A8A">
        <w:trPr>
          <w:trHeight w:val="285"/>
        </w:trPr>
        <w:tc>
          <w:tcPr>
            <w:tcW w:w="639" w:type="pct"/>
            <w:shd w:val="clear" w:color="000000" w:fill="FFFFFF"/>
            <w:noWrap/>
            <w:vAlign w:val="center"/>
            <w:hideMark/>
          </w:tcPr>
          <w:p w14:paraId="3992AFA1" w14:textId="77777777" w:rsidR="000B3479" w:rsidRPr="0039091F" w:rsidRDefault="000B3479" w:rsidP="000A5389">
            <w:pPr>
              <w:spacing w:line="240" w:lineRule="auto"/>
              <w:jc w:val="right"/>
              <w:rPr>
                <w:rFonts w:eastAsia="Times New Roman" w:cs="Times New Roman"/>
                <w:color w:val="000000"/>
                <w:kern w:val="0"/>
                <w:sz w:val="18"/>
                <w:szCs w:val="18"/>
                <w:lang w:eastAsia="es-CO"/>
                <w14:ligatures w14:val="none"/>
              </w:rPr>
            </w:pPr>
            <w:r w:rsidRPr="0039091F">
              <w:rPr>
                <w:rFonts w:eastAsia="Times New Roman" w:cs="Times New Roman"/>
                <w:color w:val="000000"/>
                <w:kern w:val="0"/>
                <w:sz w:val="18"/>
                <w:szCs w:val="18"/>
                <w:lang w:eastAsia="es-CO"/>
                <w14:ligatures w14:val="none"/>
              </w:rPr>
              <w:t>841000270</w:t>
            </w:r>
          </w:p>
        </w:tc>
        <w:tc>
          <w:tcPr>
            <w:tcW w:w="2008" w:type="pct"/>
            <w:shd w:val="clear" w:color="000000" w:fill="FFFFFF"/>
            <w:noWrap/>
            <w:vAlign w:val="center"/>
            <w:hideMark/>
          </w:tcPr>
          <w:p w14:paraId="4B687533" w14:textId="77777777" w:rsidR="000B3479" w:rsidRPr="0039091F" w:rsidRDefault="000B3479" w:rsidP="000A5389">
            <w:pPr>
              <w:spacing w:line="240" w:lineRule="auto"/>
              <w:rPr>
                <w:rFonts w:eastAsia="Times New Roman" w:cs="Times New Roman"/>
                <w:color w:val="000000"/>
                <w:kern w:val="0"/>
                <w:sz w:val="18"/>
                <w:szCs w:val="18"/>
                <w:lang w:eastAsia="es-CO"/>
                <w14:ligatures w14:val="none"/>
              </w:rPr>
            </w:pPr>
            <w:r w:rsidRPr="0039091F">
              <w:rPr>
                <w:rFonts w:eastAsia="Times New Roman" w:cs="Times New Roman"/>
                <w:color w:val="000000"/>
                <w:kern w:val="0"/>
                <w:sz w:val="18"/>
                <w:szCs w:val="18"/>
                <w:lang w:eastAsia="es-CO"/>
                <w14:ligatures w14:val="none"/>
              </w:rPr>
              <w:t>Portuaria Punta de Vaca S.A.</w:t>
            </w:r>
          </w:p>
        </w:tc>
        <w:tc>
          <w:tcPr>
            <w:tcW w:w="803" w:type="pct"/>
            <w:shd w:val="clear" w:color="000000" w:fill="FFFFFF"/>
            <w:noWrap/>
            <w:vAlign w:val="center"/>
            <w:hideMark/>
          </w:tcPr>
          <w:p w14:paraId="01650AD6" w14:textId="77777777" w:rsidR="000B3479" w:rsidRPr="0039091F" w:rsidRDefault="000B3479" w:rsidP="000A5389">
            <w:pPr>
              <w:spacing w:line="240" w:lineRule="auto"/>
              <w:jc w:val="right"/>
              <w:rPr>
                <w:rFonts w:eastAsia="Times New Roman" w:cs="Times New Roman"/>
                <w:color w:val="000000"/>
                <w:kern w:val="0"/>
                <w:sz w:val="18"/>
                <w:szCs w:val="18"/>
                <w:lang w:eastAsia="es-CO"/>
                <w14:ligatures w14:val="none"/>
              </w:rPr>
            </w:pPr>
            <w:r w:rsidRPr="0039091F">
              <w:rPr>
                <w:rFonts w:eastAsia="Times New Roman" w:cs="Times New Roman"/>
                <w:color w:val="000000"/>
                <w:kern w:val="0"/>
                <w:sz w:val="18"/>
                <w:szCs w:val="18"/>
                <w:lang w:eastAsia="es-CO"/>
                <w14:ligatures w14:val="none"/>
              </w:rPr>
              <w:t>51.815.265</w:t>
            </w:r>
          </w:p>
        </w:tc>
        <w:tc>
          <w:tcPr>
            <w:tcW w:w="803" w:type="pct"/>
            <w:shd w:val="clear" w:color="000000" w:fill="FFFFFF"/>
            <w:noWrap/>
            <w:vAlign w:val="center"/>
            <w:hideMark/>
          </w:tcPr>
          <w:p w14:paraId="1C5D5709" w14:textId="77777777" w:rsidR="000B3479" w:rsidRPr="0039091F" w:rsidRDefault="000B3479" w:rsidP="000A5389">
            <w:pPr>
              <w:spacing w:line="240" w:lineRule="auto"/>
              <w:jc w:val="right"/>
              <w:rPr>
                <w:rFonts w:eastAsia="Times New Roman" w:cs="Times New Roman"/>
                <w:color w:val="000000"/>
                <w:kern w:val="0"/>
                <w:sz w:val="18"/>
                <w:szCs w:val="18"/>
                <w:lang w:eastAsia="es-CO"/>
                <w14:ligatures w14:val="none"/>
              </w:rPr>
            </w:pPr>
            <w:r w:rsidRPr="0039091F">
              <w:rPr>
                <w:rFonts w:eastAsia="Times New Roman" w:cs="Times New Roman"/>
                <w:color w:val="000000"/>
                <w:kern w:val="0"/>
                <w:sz w:val="18"/>
                <w:szCs w:val="18"/>
                <w:lang w:eastAsia="es-CO"/>
                <w14:ligatures w14:val="none"/>
              </w:rPr>
              <w:t>69.087.019</w:t>
            </w:r>
          </w:p>
        </w:tc>
        <w:tc>
          <w:tcPr>
            <w:tcW w:w="747" w:type="pct"/>
            <w:shd w:val="clear" w:color="000000" w:fill="FFFFFF"/>
            <w:noWrap/>
            <w:vAlign w:val="center"/>
            <w:hideMark/>
          </w:tcPr>
          <w:p w14:paraId="43E0BCF4" w14:textId="77777777" w:rsidR="000B3479" w:rsidRPr="0039091F" w:rsidRDefault="000B3479" w:rsidP="000A5389">
            <w:pPr>
              <w:spacing w:line="240" w:lineRule="auto"/>
              <w:jc w:val="right"/>
              <w:rPr>
                <w:rFonts w:eastAsia="Times New Roman" w:cs="Times New Roman"/>
                <w:color w:val="000000"/>
                <w:kern w:val="0"/>
                <w:sz w:val="18"/>
                <w:szCs w:val="18"/>
                <w:lang w:eastAsia="es-CO"/>
                <w14:ligatures w14:val="none"/>
              </w:rPr>
            </w:pPr>
            <w:r w:rsidRPr="0039091F">
              <w:rPr>
                <w:rFonts w:eastAsia="Times New Roman" w:cs="Times New Roman"/>
                <w:color w:val="000000"/>
                <w:kern w:val="0"/>
                <w:sz w:val="18"/>
                <w:szCs w:val="18"/>
                <w:lang w:eastAsia="es-CO"/>
                <w14:ligatures w14:val="none"/>
              </w:rPr>
              <w:t>-17.271.755</w:t>
            </w:r>
          </w:p>
        </w:tc>
      </w:tr>
      <w:tr w:rsidR="000B3479" w:rsidRPr="0039091F" w14:paraId="211D436C" w14:textId="77777777" w:rsidTr="00071A8A">
        <w:trPr>
          <w:trHeight w:val="285"/>
        </w:trPr>
        <w:tc>
          <w:tcPr>
            <w:tcW w:w="639" w:type="pct"/>
            <w:shd w:val="clear" w:color="000000" w:fill="FFFFFF"/>
            <w:noWrap/>
            <w:vAlign w:val="center"/>
            <w:hideMark/>
          </w:tcPr>
          <w:p w14:paraId="49219015" w14:textId="77777777" w:rsidR="000B3479" w:rsidRPr="0039091F" w:rsidRDefault="000B3479" w:rsidP="000A5389">
            <w:pPr>
              <w:spacing w:line="240" w:lineRule="auto"/>
              <w:jc w:val="right"/>
              <w:rPr>
                <w:rFonts w:eastAsia="Times New Roman" w:cs="Times New Roman"/>
                <w:color w:val="000000"/>
                <w:kern w:val="0"/>
                <w:sz w:val="18"/>
                <w:szCs w:val="18"/>
                <w:lang w:eastAsia="es-CO"/>
                <w14:ligatures w14:val="none"/>
              </w:rPr>
            </w:pPr>
            <w:r w:rsidRPr="0039091F">
              <w:rPr>
                <w:rFonts w:eastAsia="Times New Roman" w:cs="Times New Roman"/>
                <w:color w:val="000000"/>
                <w:kern w:val="0"/>
                <w:sz w:val="18"/>
                <w:szCs w:val="18"/>
                <w:lang w:eastAsia="es-CO"/>
                <w14:ligatures w14:val="none"/>
              </w:rPr>
              <w:t>890106493</w:t>
            </w:r>
          </w:p>
        </w:tc>
        <w:tc>
          <w:tcPr>
            <w:tcW w:w="2008" w:type="pct"/>
            <w:shd w:val="clear" w:color="000000" w:fill="FFFFFF"/>
            <w:noWrap/>
            <w:vAlign w:val="center"/>
            <w:hideMark/>
          </w:tcPr>
          <w:p w14:paraId="27A151DE" w14:textId="77777777" w:rsidR="000B3479" w:rsidRPr="0039091F" w:rsidRDefault="000B3479" w:rsidP="000A5389">
            <w:pPr>
              <w:spacing w:line="240" w:lineRule="auto"/>
              <w:rPr>
                <w:rFonts w:eastAsia="Times New Roman" w:cs="Times New Roman"/>
                <w:color w:val="000000"/>
                <w:kern w:val="0"/>
                <w:sz w:val="18"/>
                <w:szCs w:val="18"/>
                <w:lang w:eastAsia="es-CO"/>
                <w14:ligatures w14:val="none"/>
              </w:rPr>
            </w:pPr>
            <w:r w:rsidRPr="0039091F">
              <w:rPr>
                <w:rFonts w:eastAsia="Times New Roman" w:cs="Times New Roman"/>
                <w:color w:val="000000"/>
                <w:kern w:val="0"/>
                <w:sz w:val="18"/>
                <w:szCs w:val="18"/>
                <w:lang w:eastAsia="es-CO"/>
                <w14:ligatures w14:val="none"/>
              </w:rPr>
              <w:t>Transpetrol Ltda.</w:t>
            </w:r>
          </w:p>
        </w:tc>
        <w:tc>
          <w:tcPr>
            <w:tcW w:w="803" w:type="pct"/>
            <w:shd w:val="clear" w:color="000000" w:fill="FFFFFF"/>
            <w:noWrap/>
            <w:vAlign w:val="center"/>
            <w:hideMark/>
          </w:tcPr>
          <w:p w14:paraId="72CE7C20" w14:textId="77777777" w:rsidR="000B3479" w:rsidRPr="0039091F" w:rsidRDefault="000B3479" w:rsidP="000A5389">
            <w:pPr>
              <w:spacing w:line="240" w:lineRule="auto"/>
              <w:jc w:val="right"/>
              <w:rPr>
                <w:rFonts w:eastAsia="Times New Roman" w:cs="Times New Roman"/>
                <w:color w:val="000000"/>
                <w:kern w:val="0"/>
                <w:sz w:val="18"/>
                <w:szCs w:val="18"/>
                <w:lang w:eastAsia="es-CO"/>
                <w14:ligatures w14:val="none"/>
              </w:rPr>
            </w:pPr>
            <w:r w:rsidRPr="0039091F">
              <w:rPr>
                <w:rFonts w:eastAsia="Times New Roman" w:cs="Times New Roman"/>
                <w:color w:val="000000"/>
                <w:kern w:val="0"/>
                <w:sz w:val="18"/>
                <w:szCs w:val="18"/>
                <w:lang w:eastAsia="es-CO"/>
                <w14:ligatures w14:val="none"/>
              </w:rPr>
              <w:t>48.666.202</w:t>
            </w:r>
          </w:p>
        </w:tc>
        <w:tc>
          <w:tcPr>
            <w:tcW w:w="803" w:type="pct"/>
            <w:shd w:val="clear" w:color="000000" w:fill="FFFFFF"/>
            <w:noWrap/>
            <w:vAlign w:val="center"/>
            <w:hideMark/>
          </w:tcPr>
          <w:p w14:paraId="767CC697" w14:textId="77777777" w:rsidR="000B3479" w:rsidRPr="0039091F" w:rsidRDefault="000B3479" w:rsidP="000A5389">
            <w:pPr>
              <w:spacing w:line="240" w:lineRule="auto"/>
              <w:jc w:val="right"/>
              <w:rPr>
                <w:rFonts w:eastAsia="Times New Roman" w:cs="Times New Roman"/>
                <w:color w:val="000000"/>
                <w:kern w:val="0"/>
                <w:sz w:val="18"/>
                <w:szCs w:val="18"/>
                <w:lang w:eastAsia="es-CO"/>
                <w14:ligatures w14:val="none"/>
              </w:rPr>
            </w:pPr>
            <w:r w:rsidRPr="0039091F">
              <w:rPr>
                <w:rFonts w:eastAsia="Times New Roman" w:cs="Times New Roman"/>
                <w:color w:val="000000"/>
                <w:kern w:val="0"/>
                <w:sz w:val="18"/>
                <w:szCs w:val="18"/>
                <w:lang w:eastAsia="es-CO"/>
                <w14:ligatures w14:val="none"/>
              </w:rPr>
              <w:t>55.618.517</w:t>
            </w:r>
          </w:p>
        </w:tc>
        <w:tc>
          <w:tcPr>
            <w:tcW w:w="747" w:type="pct"/>
            <w:shd w:val="clear" w:color="000000" w:fill="FFFFFF"/>
            <w:noWrap/>
            <w:vAlign w:val="center"/>
            <w:hideMark/>
          </w:tcPr>
          <w:p w14:paraId="2BDB8F82" w14:textId="77777777" w:rsidR="000B3479" w:rsidRPr="0039091F" w:rsidRDefault="000B3479" w:rsidP="000A5389">
            <w:pPr>
              <w:spacing w:line="240" w:lineRule="auto"/>
              <w:jc w:val="right"/>
              <w:rPr>
                <w:rFonts w:eastAsia="Times New Roman" w:cs="Times New Roman"/>
                <w:color w:val="000000"/>
                <w:kern w:val="0"/>
                <w:sz w:val="18"/>
                <w:szCs w:val="18"/>
                <w:lang w:eastAsia="es-CO"/>
                <w14:ligatures w14:val="none"/>
              </w:rPr>
            </w:pPr>
            <w:r w:rsidRPr="0039091F">
              <w:rPr>
                <w:rFonts w:eastAsia="Times New Roman" w:cs="Times New Roman"/>
                <w:color w:val="000000"/>
                <w:kern w:val="0"/>
                <w:sz w:val="18"/>
                <w:szCs w:val="18"/>
                <w:lang w:eastAsia="es-CO"/>
                <w14:ligatures w14:val="none"/>
              </w:rPr>
              <w:t>-6.952.315</w:t>
            </w:r>
          </w:p>
        </w:tc>
      </w:tr>
      <w:tr w:rsidR="000B3479" w:rsidRPr="0039091F" w14:paraId="6357A89B" w14:textId="77777777" w:rsidTr="00071A8A">
        <w:trPr>
          <w:trHeight w:val="285"/>
        </w:trPr>
        <w:tc>
          <w:tcPr>
            <w:tcW w:w="639" w:type="pct"/>
            <w:shd w:val="clear" w:color="000000" w:fill="FFFFFF"/>
            <w:noWrap/>
            <w:vAlign w:val="center"/>
            <w:hideMark/>
          </w:tcPr>
          <w:p w14:paraId="7AB04DDD" w14:textId="77777777" w:rsidR="000B3479" w:rsidRPr="0039091F" w:rsidRDefault="000B3479" w:rsidP="000A5389">
            <w:pPr>
              <w:spacing w:line="240" w:lineRule="auto"/>
              <w:jc w:val="right"/>
              <w:rPr>
                <w:rFonts w:eastAsia="Times New Roman" w:cs="Times New Roman"/>
                <w:color w:val="000000"/>
                <w:kern w:val="0"/>
                <w:sz w:val="18"/>
                <w:szCs w:val="18"/>
                <w:lang w:eastAsia="es-CO"/>
                <w14:ligatures w14:val="none"/>
              </w:rPr>
            </w:pPr>
            <w:r w:rsidRPr="0039091F">
              <w:rPr>
                <w:rFonts w:eastAsia="Times New Roman" w:cs="Times New Roman"/>
                <w:color w:val="000000"/>
                <w:kern w:val="0"/>
                <w:sz w:val="18"/>
                <w:szCs w:val="18"/>
                <w:lang w:eastAsia="es-CO"/>
                <w14:ligatures w14:val="none"/>
              </w:rPr>
              <w:t>840000082</w:t>
            </w:r>
          </w:p>
        </w:tc>
        <w:tc>
          <w:tcPr>
            <w:tcW w:w="2008" w:type="pct"/>
            <w:shd w:val="clear" w:color="000000" w:fill="FFFFFF"/>
            <w:noWrap/>
            <w:vAlign w:val="center"/>
            <w:hideMark/>
          </w:tcPr>
          <w:p w14:paraId="58A80A00" w14:textId="77777777" w:rsidR="000B3479" w:rsidRPr="0039091F" w:rsidRDefault="000B3479" w:rsidP="000A5389">
            <w:pPr>
              <w:spacing w:line="240" w:lineRule="auto"/>
              <w:rPr>
                <w:rFonts w:eastAsia="Times New Roman" w:cs="Times New Roman"/>
                <w:color w:val="000000"/>
                <w:kern w:val="0"/>
                <w:sz w:val="18"/>
                <w:szCs w:val="18"/>
                <w:lang w:eastAsia="es-CO"/>
                <w14:ligatures w14:val="none"/>
              </w:rPr>
            </w:pPr>
            <w:r w:rsidRPr="0039091F">
              <w:rPr>
                <w:rFonts w:eastAsia="Times New Roman" w:cs="Times New Roman"/>
                <w:color w:val="000000"/>
                <w:kern w:val="0"/>
                <w:sz w:val="18"/>
                <w:szCs w:val="18"/>
                <w:lang w:eastAsia="es-CO"/>
                <w14:ligatures w14:val="none"/>
              </w:rPr>
              <w:t>Romero y Burgos Cía. S en C</w:t>
            </w:r>
          </w:p>
        </w:tc>
        <w:tc>
          <w:tcPr>
            <w:tcW w:w="803" w:type="pct"/>
            <w:shd w:val="clear" w:color="000000" w:fill="FFFFFF"/>
            <w:noWrap/>
            <w:vAlign w:val="center"/>
            <w:hideMark/>
          </w:tcPr>
          <w:p w14:paraId="41947F70" w14:textId="77777777" w:rsidR="000B3479" w:rsidRPr="0039091F" w:rsidRDefault="000B3479" w:rsidP="000A5389">
            <w:pPr>
              <w:spacing w:line="240" w:lineRule="auto"/>
              <w:jc w:val="right"/>
              <w:rPr>
                <w:rFonts w:eastAsia="Times New Roman" w:cs="Times New Roman"/>
                <w:color w:val="000000"/>
                <w:kern w:val="0"/>
                <w:sz w:val="18"/>
                <w:szCs w:val="18"/>
                <w:lang w:eastAsia="es-CO"/>
                <w14:ligatures w14:val="none"/>
              </w:rPr>
            </w:pPr>
            <w:r w:rsidRPr="0039091F">
              <w:rPr>
                <w:rFonts w:eastAsia="Times New Roman" w:cs="Times New Roman"/>
                <w:color w:val="000000"/>
                <w:kern w:val="0"/>
                <w:sz w:val="18"/>
                <w:szCs w:val="18"/>
                <w:lang w:eastAsia="es-CO"/>
                <w14:ligatures w14:val="none"/>
              </w:rPr>
              <w:t>12.549.584</w:t>
            </w:r>
          </w:p>
        </w:tc>
        <w:tc>
          <w:tcPr>
            <w:tcW w:w="803" w:type="pct"/>
            <w:shd w:val="clear" w:color="000000" w:fill="FFFFFF"/>
            <w:noWrap/>
            <w:vAlign w:val="center"/>
            <w:hideMark/>
          </w:tcPr>
          <w:p w14:paraId="78E9B291" w14:textId="77777777" w:rsidR="000B3479" w:rsidRPr="0039091F" w:rsidRDefault="000B3479" w:rsidP="000A5389">
            <w:pPr>
              <w:spacing w:line="240" w:lineRule="auto"/>
              <w:jc w:val="right"/>
              <w:rPr>
                <w:rFonts w:eastAsia="Times New Roman" w:cs="Times New Roman"/>
                <w:color w:val="000000"/>
                <w:kern w:val="0"/>
                <w:sz w:val="18"/>
                <w:szCs w:val="18"/>
                <w:lang w:eastAsia="es-CO"/>
                <w14:ligatures w14:val="none"/>
              </w:rPr>
            </w:pPr>
            <w:r w:rsidRPr="0039091F">
              <w:rPr>
                <w:rFonts w:eastAsia="Times New Roman" w:cs="Times New Roman"/>
                <w:color w:val="000000"/>
                <w:kern w:val="0"/>
                <w:sz w:val="18"/>
                <w:szCs w:val="18"/>
                <w:lang w:eastAsia="es-CO"/>
                <w14:ligatures w14:val="none"/>
              </w:rPr>
              <w:t>12.549.584</w:t>
            </w:r>
          </w:p>
        </w:tc>
        <w:tc>
          <w:tcPr>
            <w:tcW w:w="747" w:type="pct"/>
            <w:shd w:val="clear" w:color="000000" w:fill="FFFFFF"/>
            <w:noWrap/>
            <w:vAlign w:val="center"/>
            <w:hideMark/>
          </w:tcPr>
          <w:p w14:paraId="38745E6F" w14:textId="77777777" w:rsidR="000B3479" w:rsidRPr="0039091F" w:rsidRDefault="000B3479" w:rsidP="000A5389">
            <w:pPr>
              <w:spacing w:line="240" w:lineRule="auto"/>
              <w:jc w:val="right"/>
              <w:rPr>
                <w:rFonts w:eastAsia="Times New Roman" w:cs="Times New Roman"/>
                <w:color w:val="000000"/>
                <w:kern w:val="0"/>
                <w:sz w:val="18"/>
                <w:szCs w:val="18"/>
                <w:lang w:eastAsia="es-CO"/>
                <w14:ligatures w14:val="none"/>
              </w:rPr>
            </w:pPr>
            <w:r w:rsidRPr="0039091F">
              <w:rPr>
                <w:rFonts w:eastAsia="Times New Roman" w:cs="Times New Roman"/>
                <w:color w:val="000000"/>
                <w:kern w:val="0"/>
                <w:sz w:val="18"/>
                <w:szCs w:val="18"/>
                <w:lang w:eastAsia="es-CO"/>
                <w14:ligatures w14:val="none"/>
              </w:rPr>
              <w:t>0</w:t>
            </w:r>
          </w:p>
        </w:tc>
      </w:tr>
      <w:tr w:rsidR="000B3479" w:rsidRPr="0039091F" w14:paraId="23F16B81" w14:textId="77777777" w:rsidTr="00071A8A">
        <w:trPr>
          <w:trHeight w:val="285"/>
        </w:trPr>
        <w:tc>
          <w:tcPr>
            <w:tcW w:w="639" w:type="pct"/>
            <w:shd w:val="clear" w:color="000000" w:fill="FFFFFF"/>
            <w:noWrap/>
            <w:vAlign w:val="center"/>
            <w:hideMark/>
          </w:tcPr>
          <w:p w14:paraId="34EC2BCF" w14:textId="77777777" w:rsidR="000B3479" w:rsidRPr="0039091F" w:rsidRDefault="000B3479" w:rsidP="000A5389">
            <w:pPr>
              <w:spacing w:line="240" w:lineRule="auto"/>
              <w:jc w:val="right"/>
              <w:rPr>
                <w:rFonts w:eastAsia="Times New Roman" w:cs="Times New Roman"/>
                <w:color w:val="000000"/>
                <w:kern w:val="0"/>
                <w:sz w:val="18"/>
                <w:szCs w:val="18"/>
                <w:lang w:eastAsia="es-CO"/>
                <w14:ligatures w14:val="none"/>
              </w:rPr>
            </w:pPr>
            <w:r w:rsidRPr="0039091F">
              <w:rPr>
                <w:rFonts w:eastAsia="Times New Roman" w:cs="Times New Roman"/>
                <w:color w:val="000000"/>
                <w:kern w:val="0"/>
                <w:sz w:val="18"/>
                <w:szCs w:val="18"/>
                <w:lang w:eastAsia="es-CO"/>
                <w14:ligatures w14:val="none"/>
              </w:rPr>
              <w:t>830117995</w:t>
            </w:r>
          </w:p>
        </w:tc>
        <w:tc>
          <w:tcPr>
            <w:tcW w:w="2008" w:type="pct"/>
            <w:shd w:val="clear" w:color="000000" w:fill="FFFFFF"/>
            <w:noWrap/>
            <w:vAlign w:val="center"/>
            <w:hideMark/>
          </w:tcPr>
          <w:p w14:paraId="63597472" w14:textId="77777777" w:rsidR="000B3479" w:rsidRPr="0039091F" w:rsidRDefault="000B3479" w:rsidP="000A5389">
            <w:pPr>
              <w:spacing w:line="240" w:lineRule="auto"/>
              <w:rPr>
                <w:rFonts w:eastAsia="Times New Roman" w:cs="Times New Roman"/>
                <w:color w:val="000000"/>
                <w:kern w:val="0"/>
                <w:sz w:val="18"/>
                <w:szCs w:val="18"/>
                <w:lang w:eastAsia="es-CO"/>
                <w14:ligatures w14:val="none"/>
              </w:rPr>
            </w:pPr>
            <w:r w:rsidRPr="0039091F">
              <w:rPr>
                <w:rFonts w:eastAsia="Times New Roman" w:cs="Times New Roman"/>
                <w:color w:val="000000"/>
                <w:kern w:val="0"/>
                <w:sz w:val="18"/>
                <w:szCs w:val="18"/>
                <w:lang w:eastAsia="es-CO"/>
                <w14:ligatures w14:val="none"/>
              </w:rPr>
              <w:t>Sociedad Portuaria Palermo S.A</w:t>
            </w:r>
          </w:p>
        </w:tc>
        <w:tc>
          <w:tcPr>
            <w:tcW w:w="803" w:type="pct"/>
            <w:shd w:val="clear" w:color="000000" w:fill="FFFFFF"/>
            <w:noWrap/>
            <w:vAlign w:val="center"/>
            <w:hideMark/>
          </w:tcPr>
          <w:p w14:paraId="79D527DB" w14:textId="77777777" w:rsidR="000B3479" w:rsidRPr="0039091F" w:rsidRDefault="000B3479" w:rsidP="000A5389">
            <w:pPr>
              <w:spacing w:line="240" w:lineRule="auto"/>
              <w:jc w:val="right"/>
              <w:rPr>
                <w:rFonts w:eastAsia="Times New Roman" w:cs="Times New Roman"/>
                <w:color w:val="000000"/>
                <w:kern w:val="0"/>
                <w:sz w:val="18"/>
                <w:szCs w:val="18"/>
                <w:lang w:eastAsia="es-CO"/>
                <w14:ligatures w14:val="none"/>
              </w:rPr>
            </w:pPr>
            <w:r w:rsidRPr="0039091F">
              <w:rPr>
                <w:rFonts w:eastAsia="Times New Roman" w:cs="Times New Roman"/>
                <w:color w:val="000000"/>
                <w:kern w:val="0"/>
                <w:sz w:val="18"/>
                <w:szCs w:val="18"/>
                <w:lang w:eastAsia="es-CO"/>
                <w14:ligatures w14:val="none"/>
              </w:rPr>
              <w:t>0</w:t>
            </w:r>
          </w:p>
        </w:tc>
        <w:tc>
          <w:tcPr>
            <w:tcW w:w="803" w:type="pct"/>
            <w:shd w:val="clear" w:color="000000" w:fill="FFFFFF"/>
            <w:noWrap/>
            <w:vAlign w:val="center"/>
            <w:hideMark/>
          </w:tcPr>
          <w:p w14:paraId="0166F2BA" w14:textId="77777777" w:rsidR="000B3479" w:rsidRPr="0039091F" w:rsidRDefault="000B3479" w:rsidP="000A5389">
            <w:pPr>
              <w:spacing w:line="240" w:lineRule="auto"/>
              <w:jc w:val="right"/>
              <w:rPr>
                <w:rFonts w:eastAsia="Times New Roman" w:cs="Times New Roman"/>
                <w:color w:val="000000"/>
                <w:kern w:val="0"/>
                <w:sz w:val="18"/>
                <w:szCs w:val="18"/>
                <w:lang w:eastAsia="es-CO"/>
                <w14:ligatures w14:val="none"/>
              </w:rPr>
            </w:pPr>
            <w:r w:rsidRPr="0039091F">
              <w:rPr>
                <w:rFonts w:eastAsia="Times New Roman" w:cs="Times New Roman"/>
                <w:color w:val="000000"/>
                <w:kern w:val="0"/>
                <w:sz w:val="18"/>
                <w:szCs w:val="18"/>
                <w:lang w:eastAsia="es-CO"/>
                <w14:ligatures w14:val="none"/>
              </w:rPr>
              <w:t>21.801.312</w:t>
            </w:r>
          </w:p>
        </w:tc>
        <w:tc>
          <w:tcPr>
            <w:tcW w:w="747" w:type="pct"/>
            <w:shd w:val="clear" w:color="000000" w:fill="FFFFFF"/>
            <w:noWrap/>
            <w:vAlign w:val="center"/>
            <w:hideMark/>
          </w:tcPr>
          <w:p w14:paraId="657A67EA" w14:textId="77777777" w:rsidR="000B3479" w:rsidRPr="0039091F" w:rsidRDefault="000B3479" w:rsidP="000A5389">
            <w:pPr>
              <w:spacing w:line="240" w:lineRule="auto"/>
              <w:jc w:val="right"/>
              <w:rPr>
                <w:rFonts w:eastAsia="Times New Roman" w:cs="Times New Roman"/>
                <w:color w:val="000000"/>
                <w:kern w:val="0"/>
                <w:sz w:val="18"/>
                <w:szCs w:val="18"/>
                <w:lang w:eastAsia="es-CO"/>
                <w14:ligatures w14:val="none"/>
              </w:rPr>
            </w:pPr>
            <w:r w:rsidRPr="0039091F">
              <w:rPr>
                <w:rFonts w:eastAsia="Times New Roman" w:cs="Times New Roman"/>
                <w:color w:val="000000"/>
                <w:kern w:val="0"/>
                <w:sz w:val="18"/>
                <w:szCs w:val="18"/>
                <w:lang w:eastAsia="es-CO"/>
                <w14:ligatures w14:val="none"/>
              </w:rPr>
              <w:t>-21.801.312</w:t>
            </w:r>
          </w:p>
        </w:tc>
      </w:tr>
      <w:tr w:rsidR="000B3479" w:rsidRPr="0039091F" w14:paraId="04B8F3F8" w14:textId="77777777" w:rsidTr="00071A8A">
        <w:trPr>
          <w:trHeight w:val="285"/>
        </w:trPr>
        <w:tc>
          <w:tcPr>
            <w:tcW w:w="639" w:type="pct"/>
            <w:shd w:val="clear" w:color="000000" w:fill="FFFFFF"/>
            <w:noWrap/>
            <w:vAlign w:val="center"/>
            <w:hideMark/>
          </w:tcPr>
          <w:p w14:paraId="7FB5FD97" w14:textId="77777777" w:rsidR="000B3479" w:rsidRPr="0039091F" w:rsidRDefault="000B3479" w:rsidP="000A5389">
            <w:pPr>
              <w:spacing w:line="240" w:lineRule="auto"/>
              <w:jc w:val="right"/>
              <w:rPr>
                <w:rFonts w:eastAsia="Times New Roman" w:cs="Times New Roman"/>
                <w:color w:val="000000"/>
                <w:kern w:val="0"/>
                <w:sz w:val="18"/>
                <w:szCs w:val="18"/>
                <w:lang w:eastAsia="es-CO"/>
                <w14:ligatures w14:val="none"/>
              </w:rPr>
            </w:pPr>
            <w:r w:rsidRPr="0039091F">
              <w:rPr>
                <w:rFonts w:eastAsia="Times New Roman" w:cs="Times New Roman"/>
                <w:color w:val="000000"/>
                <w:kern w:val="0"/>
                <w:sz w:val="18"/>
                <w:szCs w:val="18"/>
                <w:lang w:eastAsia="es-CO"/>
                <w14:ligatures w14:val="none"/>
              </w:rPr>
              <w:t>860040201</w:t>
            </w:r>
          </w:p>
        </w:tc>
        <w:tc>
          <w:tcPr>
            <w:tcW w:w="2008" w:type="pct"/>
            <w:shd w:val="clear" w:color="000000" w:fill="FFFFFF"/>
            <w:noWrap/>
            <w:vAlign w:val="center"/>
            <w:hideMark/>
          </w:tcPr>
          <w:p w14:paraId="03CE7FDF" w14:textId="77777777" w:rsidR="000B3479" w:rsidRPr="0039091F" w:rsidRDefault="000B3479" w:rsidP="000A5389">
            <w:pPr>
              <w:spacing w:line="240" w:lineRule="auto"/>
              <w:rPr>
                <w:rFonts w:eastAsia="Times New Roman" w:cs="Times New Roman"/>
                <w:color w:val="000000"/>
                <w:kern w:val="0"/>
                <w:sz w:val="18"/>
                <w:szCs w:val="18"/>
                <w:lang w:eastAsia="es-CO"/>
                <w14:ligatures w14:val="none"/>
              </w:rPr>
            </w:pPr>
            <w:r w:rsidRPr="0039091F">
              <w:rPr>
                <w:rFonts w:eastAsia="Times New Roman" w:cs="Times New Roman"/>
                <w:color w:val="000000"/>
                <w:kern w:val="0"/>
                <w:sz w:val="18"/>
                <w:szCs w:val="18"/>
                <w:lang w:eastAsia="es-CO"/>
                <w14:ligatures w14:val="none"/>
              </w:rPr>
              <w:t>Vopak Colombia S.A</w:t>
            </w:r>
          </w:p>
        </w:tc>
        <w:tc>
          <w:tcPr>
            <w:tcW w:w="803" w:type="pct"/>
            <w:shd w:val="clear" w:color="000000" w:fill="FFFFFF"/>
            <w:noWrap/>
            <w:vAlign w:val="center"/>
            <w:hideMark/>
          </w:tcPr>
          <w:p w14:paraId="240C44C9" w14:textId="77777777" w:rsidR="000B3479" w:rsidRPr="0039091F" w:rsidRDefault="000B3479" w:rsidP="000A5389">
            <w:pPr>
              <w:spacing w:line="240" w:lineRule="auto"/>
              <w:jc w:val="right"/>
              <w:rPr>
                <w:rFonts w:eastAsia="Times New Roman" w:cs="Times New Roman"/>
                <w:color w:val="000000"/>
                <w:kern w:val="0"/>
                <w:sz w:val="18"/>
                <w:szCs w:val="18"/>
                <w:lang w:eastAsia="es-CO"/>
                <w14:ligatures w14:val="none"/>
              </w:rPr>
            </w:pPr>
            <w:r w:rsidRPr="0039091F">
              <w:rPr>
                <w:rFonts w:eastAsia="Times New Roman" w:cs="Times New Roman"/>
                <w:color w:val="000000"/>
                <w:kern w:val="0"/>
                <w:sz w:val="18"/>
                <w:szCs w:val="18"/>
                <w:lang w:eastAsia="es-CO"/>
                <w14:ligatures w14:val="none"/>
              </w:rPr>
              <w:t>0</w:t>
            </w:r>
          </w:p>
        </w:tc>
        <w:tc>
          <w:tcPr>
            <w:tcW w:w="803" w:type="pct"/>
            <w:shd w:val="clear" w:color="000000" w:fill="FFFFFF"/>
            <w:noWrap/>
            <w:vAlign w:val="center"/>
            <w:hideMark/>
          </w:tcPr>
          <w:p w14:paraId="05B7A465" w14:textId="77777777" w:rsidR="000B3479" w:rsidRPr="0039091F" w:rsidRDefault="000B3479" w:rsidP="000A5389">
            <w:pPr>
              <w:spacing w:line="240" w:lineRule="auto"/>
              <w:jc w:val="right"/>
              <w:rPr>
                <w:rFonts w:eastAsia="Times New Roman" w:cs="Times New Roman"/>
                <w:color w:val="000000"/>
                <w:kern w:val="0"/>
                <w:sz w:val="18"/>
                <w:szCs w:val="18"/>
                <w:lang w:eastAsia="es-CO"/>
                <w14:ligatures w14:val="none"/>
              </w:rPr>
            </w:pPr>
            <w:r w:rsidRPr="0039091F">
              <w:rPr>
                <w:rFonts w:eastAsia="Times New Roman" w:cs="Times New Roman"/>
                <w:color w:val="000000"/>
                <w:kern w:val="0"/>
                <w:sz w:val="18"/>
                <w:szCs w:val="18"/>
                <w:lang w:eastAsia="es-CO"/>
                <w14:ligatures w14:val="none"/>
              </w:rPr>
              <w:t>1.626.002.425</w:t>
            </w:r>
          </w:p>
        </w:tc>
        <w:tc>
          <w:tcPr>
            <w:tcW w:w="747" w:type="pct"/>
            <w:shd w:val="clear" w:color="000000" w:fill="FFFFFF"/>
            <w:noWrap/>
            <w:vAlign w:val="center"/>
            <w:hideMark/>
          </w:tcPr>
          <w:p w14:paraId="712A7434" w14:textId="77777777" w:rsidR="000B3479" w:rsidRPr="0039091F" w:rsidRDefault="000B3479" w:rsidP="000A5389">
            <w:pPr>
              <w:spacing w:line="240" w:lineRule="auto"/>
              <w:jc w:val="right"/>
              <w:rPr>
                <w:rFonts w:eastAsia="Times New Roman" w:cs="Times New Roman"/>
                <w:color w:val="000000"/>
                <w:kern w:val="0"/>
                <w:sz w:val="18"/>
                <w:szCs w:val="18"/>
                <w:lang w:eastAsia="es-CO"/>
                <w14:ligatures w14:val="none"/>
              </w:rPr>
            </w:pPr>
            <w:r w:rsidRPr="0039091F">
              <w:rPr>
                <w:rFonts w:eastAsia="Times New Roman" w:cs="Times New Roman"/>
                <w:color w:val="000000"/>
                <w:kern w:val="0"/>
                <w:sz w:val="18"/>
                <w:szCs w:val="18"/>
                <w:lang w:eastAsia="es-CO"/>
                <w14:ligatures w14:val="none"/>
              </w:rPr>
              <w:t>-1.626.002.425</w:t>
            </w:r>
          </w:p>
        </w:tc>
      </w:tr>
      <w:tr w:rsidR="000B3479" w:rsidRPr="0039091F" w14:paraId="6A2BF563" w14:textId="77777777" w:rsidTr="00071A8A">
        <w:trPr>
          <w:trHeight w:val="285"/>
        </w:trPr>
        <w:tc>
          <w:tcPr>
            <w:tcW w:w="639" w:type="pct"/>
            <w:shd w:val="clear" w:color="000000" w:fill="FFFFFF"/>
            <w:noWrap/>
            <w:vAlign w:val="center"/>
            <w:hideMark/>
          </w:tcPr>
          <w:p w14:paraId="467414FC" w14:textId="77777777" w:rsidR="000B3479" w:rsidRPr="0039091F" w:rsidRDefault="000B3479" w:rsidP="000A5389">
            <w:pPr>
              <w:spacing w:line="240" w:lineRule="auto"/>
              <w:jc w:val="right"/>
              <w:rPr>
                <w:rFonts w:eastAsia="Times New Roman" w:cs="Times New Roman"/>
                <w:color w:val="000000"/>
                <w:kern w:val="0"/>
                <w:sz w:val="18"/>
                <w:szCs w:val="18"/>
                <w:lang w:eastAsia="es-CO"/>
                <w14:ligatures w14:val="none"/>
              </w:rPr>
            </w:pPr>
            <w:r w:rsidRPr="0039091F">
              <w:rPr>
                <w:rFonts w:eastAsia="Times New Roman" w:cs="Times New Roman"/>
                <w:color w:val="000000"/>
                <w:kern w:val="0"/>
                <w:sz w:val="18"/>
                <w:szCs w:val="18"/>
                <w:lang w:eastAsia="es-CO"/>
                <w14:ligatures w14:val="none"/>
              </w:rPr>
              <w:t>900677144</w:t>
            </w:r>
          </w:p>
        </w:tc>
        <w:tc>
          <w:tcPr>
            <w:tcW w:w="2008" w:type="pct"/>
            <w:shd w:val="clear" w:color="000000" w:fill="FFFFFF"/>
            <w:noWrap/>
            <w:vAlign w:val="center"/>
            <w:hideMark/>
          </w:tcPr>
          <w:p w14:paraId="6E55E19C" w14:textId="77777777" w:rsidR="000B3479" w:rsidRPr="0039091F" w:rsidRDefault="000B3479" w:rsidP="000A5389">
            <w:pPr>
              <w:spacing w:line="240" w:lineRule="auto"/>
              <w:rPr>
                <w:rFonts w:eastAsia="Times New Roman" w:cs="Times New Roman"/>
                <w:color w:val="000000"/>
                <w:kern w:val="0"/>
                <w:sz w:val="18"/>
                <w:szCs w:val="18"/>
                <w:lang w:eastAsia="es-CO"/>
                <w14:ligatures w14:val="none"/>
              </w:rPr>
            </w:pPr>
            <w:r w:rsidRPr="0039091F">
              <w:rPr>
                <w:rFonts w:eastAsia="Times New Roman" w:cs="Times New Roman"/>
                <w:color w:val="000000"/>
                <w:kern w:val="0"/>
                <w:sz w:val="18"/>
                <w:szCs w:val="18"/>
                <w:lang w:eastAsia="es-CO"/>
                <w14:ligatures w14:val="none"/>
              </w:rPr>
              <w:t>Sociedad Portuaria Terminal de IFOS S.A.</w:t>
            </w:r>
          </w:p>
        </w:tc>
        <w:tc>
          <w:tcPr>
            <w:tcW w:w="803" w:type="pct"/>
            <w:shd w:val="clear" w:color="000000" w:fill="FFFFFF"/>
            <w:noWrap/>
            <w:vAlign w:val="center"/>
            <w:hideMark/>
          </w:tcPr>
          <w:p w14:paraId="6FBD043F" w14:textId="77777777" w:rsidR="000B3479" w:rsidRPr="0039091F" w:rsidRDefault="000B3479" w:rsidP="000A5389">
            <w:pPr>
              <w:spacing w:line="240" w:lineRule="auto"/>
              <w:jc w:val="right"/>
              <w:rPr>
                <w:rFonts w:eastAsia="Times New Roman" w:cs="Times New Roman"/>
                <w:color w:val="000000"/>
                <w:kern w:val="0"/>
                <w:sz w:val="18"/>
                <w:szCs w:val="18"/>
                <w:lang w:eastAsia="es-CO"/>
                <w14:ligatures w14:val="none"/>
              </w:rPr>
            </w:pPr>
            <w:r w:rsidRPr="0039091F">
              <w:rPr>
                <w:rFonts w:eastAsia="Times New Roman" w:cs="Times New Roman"/>
                <w:color w:val="000000"/>
                <w:kern w:val="0"/>
                <w:sz w:val="18"/>
                <w:szCs w:val="18"/>
                <w:lang w:eastAsia="es-CO"/>
                <w14:ligatures w14:val="none"/>
              </w:rPr>
              <w:t>0</w:t>
            </w:r>
          </w:p>
        </w:tc>
        <w:tc>
          <w:tcPr>
            <w:tcW w:w="803" w:type="pct"/>
            <w:shd w:val="clear" w:color="000000" w:fill="FFFFFF"/>
            <w:noWrap/>
            <w:vAlign w:val="center"/>
            <w:hideMark/>
          </w:tcPr>
          <w:p w14:paraId="4158D85A" w14:textId="77777777" w:rsidR="000B3479" w:rsidRPr="0039091F" w:rsidRDefault="000B3479" w:rsidP="000A5389">
            <w:pPr>
              <w:spacing w:line="240" w:lineRule="auto"/>
              <w:jc w:val="right"/>
              <w:rPr>
                <w:rFonts w:eastAsia="Times New Roman" w:cs="Times New Roman"/>
                <w:color w:val="000000"/>
                <w:kern w:val="0"/>
                <w:sz w:val="18"/>
                <w:szCs w:val="18"/>
                <w:lang w:eastAsia="es-CO"/>
                <w14:ligatures w14:val="none"/>
              </w:rPr>
            </w:pPr>
            <w:r w:rsidRPr="0039091F">
              <w:rPr>
                <w:rFonts w:eastAsia="Times New Roman" w:cs="Times New Roman"/>
                <w:color w:val="000000"/>
                <w:kern w:val="0"/>
                <w:sz w:val="18"/>
                <w:szCs w:val="18"/>
                <w:lang w:eastAsia="es-CO"/>
                <w14:ligatures w14:val="none"/>
              </w:rPr>
              <w:t>1.265.065.087</w:t>
            </w:r>
          </w:p>
        </w:tc>
        <w:tc>
          <w:tcPr>
            <w:tcW w:w="747" w:type="pct"/>
            <w:shd w:val="clear" w:color="000000" w:fill="FFFFFF"/>
            <w:noWrap/>
            <w:vAlign w:val="center"/>
            <w:hideMark/>
          </w:tcPr>
          <w:p w14:paraId="0870CB17" w14:textId="77777777" w:rsidR="000B3479" w:rsidRPr="0039091F" w:rsidRDefault="000B3479" w:rsidP="000A5389">
            <w:pPr>
              <w:spacing w:line="240" w:lineRule="auto"/>
              <w:jc w:val="right"/>
              <w:rPr>
                <w:rFonts w:eastAsia="Times New Roman" w:cs="Times New Roman"/>
                <w:color w:val="000000"/>
                <w:kern w:val="0"/>
                <w:sz w:val="18"/>
                <w:szCs w:val="18"/>
                <w:lang w:eastAsia="es-CO"/>
                <w14:ligatures w14:val="none"/>
              </w:rPr>
            </w:pPr>
            <w:r w:rsidRPr="0039091F">
              <w:rPr>
                <w:rFonts w:eastAsia="Times New Roman" w:cs="Times New Roman"/>
                <w:color w:val="000000"/>
                <w:kern w:val="0"/>
                <w:sz w:val="18"/>
                <w:szCs w:val="18"/>
                <w:lang w:eastAsia="es-CO"/>
                <w14:ligatures w14:val="none"/>
              </w:rPr>
              <w:t>-1.265.065.087</w:t>
            </w:r>
          </w:p>
        </w:tc>
      </w:tr>
      <w:tr w:rsidR="000B3479" w:rsidRPr="0039091F" w14:paraId="0218FC86" w14:textId="77777777" w:rsidTr="00071A8A">
        <w:trPr>
          <w:trHeight w:val="285"/>
        </w:trPr>
        <w:tc>
          <w:tcPr>
            <w:tcW w:w="2647" w:type="pct"/>
            <w:gridSpan w:val="2"/>
            <w:shd w:val="clear" w:color="000000" w:fill="FFFFFF"/>
            <w:noWrap/>
            <w:vAlign w:val="center"/>
            <w:hideMark/>
          </w:tcPr>
          <w:p w14:paraId="3371D479" w14:textId="77777777" w:rsidR="000B3479" w:rsidRPr="0039091F" w:rsidRDefault="000B3479" w:rsidP="000A5389">
            <w:pPr>
              <w:spacing w:line="240" w:lineRule="auto"/>
              <w:rPr>
                <w:rFonts w:eastAsia="Times New Roman" w:cs="Times New Roman"/>
                <w:b/>
                <w:bCs/>
                <w:color w:val="000000"/>
                <w:kern w:val="0"/>
                <w:sz w:val="18"/>
                <w:szCs w:val="18"/>
                <w:lang w:eastAsia="es-CO"/>
                <w14:ligatures w14:val="none"/>
              </w:rPr>
            </w:pPr>
            <w:r w:rsidRPr="0039091F">
              <w:rPr>
                <w:rFonts w:eastAsia="Times New Roman" w:cs="Times New Roman"/>
                <w:b/>
                <w:bCs/>
                <w:color w:val="000000"/>
                <w:kern w:val="0"/>
                <w:sz w:val="18"/>
                <w:szCs w:val="18"/>
                <w:lang w:eastAsia="es-CO"/>
                <w14:ligatures w14:val="none"/>
              </w:rPr>
              <w:t>TOTAL</w:t>
            </w:r>
          </w:p>
        </w:tc>
        <w:tc>
          <w:tcPr>
            <w:tcW w:w="803" w:type="pct"/>
            <w:shd w:val="clear" w:color="000000" w:fill="FFFFFF"/>
            <w:noWrap/>
            <w:vAlign w:val="center"/>
            <w:hideMark/>
          </w:tcPr>
          <w:p w14:paraId="30F0E2F3" w14:textId="77777777" w:rsidR="000B3479" w:rsidRPr="0039091F" w:rsidRDefault="000B3479" w:rsidP="000A5389">
            <w:pPr>
              <w:spacing w:line="240" w:lineRule="auto"/>
              <w:jc w:val="right"/>
              <w:rPr>
                <w:rFonts w:eastAsia="Times New Roman" w:cs="Times New Roman"/>
                <w:b/>
                <w:bCs/>
                <w:color w:val="000000"/>
                <w:kern w:val="0"/>
                <w:sz w:val="18"/>
                <w:szCs w:val="18"/>
                <w:lang w:eastAsia="es-CO"/>
                <w14:ligatures w14:val="none"/>
              </w:rPr>
            </w:pPr>
            <w:r w:rsidRPr="0039091F">
              <w:rPr>
                <w:rFonts w:eastAsia="Times New Roman" w:cs="Times New Roman"/>
                <w:b/>
                <w:bCs/>
                <w:color w:val="000000"/>
                <w:kern w:val="0"/>
                <w:sz w:val="18"/>
                <w:szCs w:val="18"/>
                <w:lang w:eastAsia="es-CO"/>
                <w14:ligatures w14:val="none"/>
              </w:rPr>
              <w:t>5.376.571.823.076</w:t>
            </w:r>
          </w:p>
        </w:tc>
        <w:tc>
          <w:tcPr>
            <w:tcW w:w="803" w:type="pct"/>
            <w:shd w:val="clear" w:color="000000" w:fill="FFFFFF"/>
            <w:noWrap/>
            <w:vAlign w:val="center"/>
            <w:hideMark/>
          </w:tcPr>
          <w:p w14:paraId="243F5893" w14:textId="77777777" w:rsidR="000B3479" w:rsidRPr="0039091F" w:rsidRDefault="000B3479" w:rsidP="000A5389">
            <w:pPr>
              <w:spacing w:line="240" w:lineRule="auto"/>
              <w:jc w:val="right"/>
              <w:rPr>
                <w:rFonts w:eastAsia="Times New Roman" w:cs="Times New Roman"/>
                <w:b/>
                <w:bCs/>
                <w:color w:val="000000"/>
                <w:kern w:val="0"/>
                <w:sz w:val="18"/>
                <w:szCs w:val="18"/>
                <w:lang w:eastAsia="es-CO"/>
                <w14:ligatures w14:val="none"/>
              </w:rPr>
            </w:pPr>
            <w:r w:rsidRPr="0039091F">
              <w:rPr>
                <w:rFonts w:eastAsia="Times New Roman" w:cs="Times New Roman"/>
                <w:b/>
                <w:bCs/>
                <w:color w:val="000000"/>
                <w:kern w:val="0"/>
                <w:sz w:val="18"/>
                <w:szCs w:val="18"/>
                <w:lang w:eastAsia="es-CO"/>
                <w14:ligatures w14:val="none"/>
              </w:rPr>
              <w:t>4.926.060.582.989</w:t>
            </w:r>
          </w:p>
        </w:tc>
        <w:tc>
          <w:tcPr>
            <w:tcW w:w="747" w:type="pct"/>
            <w:shd w:val="clear" w:color="000000" w:fill="FFFFFF"/>
            <w:noWrap/>
            <w:vAlign w:val="center"/>
            <w:hideMark/>
          </w:tcPr>
          <w:p w14:paraId="2D35C024" w14:textId="77777777" w:rsidR="000B3479" w:rsidRPr="0039091F" w:rsidRDefault="000B3479" w:rsidP="000A5389">
            <w:pPr>
              <w:spacing w:line="240" w:lineRule="auto"/>
              <w:jc w:val="right"/>
              <w:rPr>
                <w:rFonts w:eastAsia="Times New Roman" w:cs="Times New Roman"/>
                <w:b/>
                <w:bCs/>
                <w:color w:val="000000"/>
                <w:kern w:val="0"/>
                <w:sz w:val="18"/>
                <w:szCs w:val="18"/>
                <w:lang w:eastAsia="es-CO"/>
                <w14:ligatures w14:val="none"/>
              </w:rPr>
            </w:pPr>
            <w:r w:rsidRPr="0039091F">
              <w:rPr>
                <w:rFonts w:eastAsia="Times New Roman" w:cs="Times New Roman"/>
                <w:b/>
                <w:bCs/>
                <w:color w:val="000000"/>
                <w:kern w:val="0"/>
                <w:sz w:val="18"/>
                <w:szCs w:val="18"/>
                <w:lang w:eastAsia="es-CO"/>
                <w14:ligatures w14:val="none"/>
              </w:rPr>
              <w:t>450.511.240.087</w:t>
            </w:r>
          </w:p>
        </w:tc>
      </w:tr>
    </w:tbl>
    <w:p w14:paraId="6DE435E1" w14:textId="057EA3A1" w:rsidR="009C07D5" w:rsidRPr="00951AB1" w:rsidRDefault="00645479" w:rsidP="000A5389">
      <w:pPr>
        <w:spacing w:line="240" w:lineRule="auto"/>
        <w:rPr>
          <w:rFonts w:cs="Times New Roman"/>
        </w:rPr>
      </w:pPr>
      <w:r w:rsidRPr="00951AB1">
        <w:rPr>
          <w:rFonts w:cs="Times New Roman"/>
          <w:sz w:val="16"/>
          <w:szCs w:val="16"/>
        </w:rPr>
        <w:t>Cifras expresadas en pesos</w:t>
      </w:r>
    </w:p>
    <w:p w14:paraId="5C55C422" w14:textId="77777777" w:rsidR="00645479" w:rsidRPr="00951AB1" w:rsidRDefault="00645479" w:rsidP="000A5389">
      <w:pPr>
        <w:spacing w:line="240" w:lineRule="auto"/>
        <w:rPr>
          <w:rFonts w:cs="Times New Roman"/>
        </w:rPr>
      </w:pPr>
    </w:p>
    <w:p w14:paraId="163653AC" w14:textId="50878927" w:rsidR="00BA1D06" w:rsidRPr="00951AB1" w:rsidRDefault="00BA1D06" w:rsidP="000A5389">
      <w:pPr>
        <w:pStyle w:val="Textoindependiente"/>
        <w:spacing w:before="80" w:line="240" w:lineRule="auto"/>
        <w:ind w:left="24" w:right="49"/>
      </w:pPr>
      <w:r w:rsidRPr="00951AB1">
        <w:t>El incremento de la variación por valor de $450.511.240.087 obedece al reconocimiento</w:t>
      </w:r>
      <w:r w:rsidR="004F1F43" w:rsidRPr="00951AB1">
        <w:t xml:space="preserve"> </w:t>
      </w:r>
      <w:r w:rsidRPr="00951AB1">
        <w:t>de las inversiones reportadas por los concesionarios en el formato GCSP-F-011 – Informe de Inversión de Capital Privado en Bienes de Uso Público del modo portuario, en el marco del Modelo Normativo para Entidades de Gobierno, información remitida por la Vicepresidencia de Gestión Contractual; por su parte, la disminución corresponde al registro de la amortización del pasivo diferido, la cual se efectúa de manera semestral.</w:t>
      </w:r>
    </w:p>
    <w:p w14:paraId="7DC99A3B" w14:textId="77777777" w:rsidR="00685932" w:rsidRPr="00951AB1" w:rsidRDefault="00685932" w:rsidP="000A5389">
      <w:pPr>
        <w:pStyle w:val="Textoindependiente"/>
        <w:spacing w:before="80" w:line="240" w:lineRule="auto"/>
        <w:ind w:left="24" w:right="315"/>
      </w:pPr>
    </w:p>
    <w:tbl>
      <w:tblPr>
        <w:tblW w:w="5000" w:type="pct"/>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CellMar>
          <w:left w:w="70" w:type="dxa"/>
          <w:right w:w="70" w:type="dxa"/>
        </w:tblCellMar>
        <w:tblLook w:val="04A0" w:firstRow="1" w:lastRow="0" w:firstColumn="1" w:lastColumn="0" w:noHBand="0" w:noVBand="1"/>
      </w:tblPr>
      <w:tblGrid>
        <w:gridCol w:w="1044"/>
        <w:gridCol w:w="3293"/>
        <w:gridCol w:w="1497"/>
        <w:gridCol w:w="1497"/>
        <w:gridCol w:w="1497"/>
      </w:tblGrid>
      <w:tr w:rsidR="00E45527" w:rsidRPr="0039091F" w14:paraId="6F38AD07" w14:textId="77777777" w:rsidTr="00071A8A">
        <w:trPr>
          <w:trHeight w:val="280"/>
          <w:tblHeader/>
        </w:trPr>
        <w:tc>
          <w:tcPr>
            <w:tcW w:w="591" w:type="pct"/>
            <w:shd w:val="clear" w:color="000000" w:fill="FFFFFF"/>
            <w:noWrap/>
            <w:vAlign w:val="center"/>
            <w:hideMark/>
          </w:tcPr>
          <w:p w14:paraId="159491EE" w14:textId="77777777" w:rsidR="00E45527" w:rsidRPr="0039091F" w:rsidRDefault="00E45527" w:rsidP="000A5389">
            <w:pPr>
              <w:spacing w:line="240" w:lineRule="auto"/>
              <w:jc w:val="center"/>
              <w:rPr>
                <w:rFonts w:cs="Times New Roman"/>
                <w:b/>
                <w:bCs/>
                <w:color w:val="000000"/>
                <w:sz w:val="18"/>
                <w:szCs w:val="18"/>
                <w:lang w:eastAsia="es-CO"/>
              </w:rPr>
            </w:pPr>
            <w:r w:rsidRPr="0039091F">
              <w:rPr>
                <w:rFonts w:cs="Times New Roman"/>
                <w:b/>
                <w:bCs/>
                <w:color w:val="000000"/>
                <w:sz w:val="18"/>
                <w:szCs w:val="18"/>
                <w:lang w:eastAsia="es-CO"/>
              </w:rPr>
              <w:t>NIT</w:t>
            </w:r>
          </w:p>
        </w:tc>
        <w:tc>
          <w:tcPr>
            <w:tcW w:w="1865" w:type="pct"/>
            <w:shd w:val="clear" w:color="000000" w:fill="FFFFFF"/>
            <w:noWrap/>
            <w:vAlign w:val="center"/>
            <w:hideMark/>
          </w:tcPr>
          <w:p w14:paraId="7FAF0EE8" w14:textId="77777777" w:rsidR="00E45527" w:rsidRPr="0039091F" w:rsidRDefault="00E45527" w:rsidP="000A5389">
            <w:pPr>
              <w:spacing w:line="240" w:lineRule="auto"/>
              <w:jc w:val="center"/>
              <w:rPr>
                <w:rFonts w:cs="Times New Roman"/>
                <w:b/>
                <w:bCs/>
                <w:color w:val="000000"/>
                <w:sz w:val="18"/>
                <w:szCs w:val="18"/>
                <w:lang w:eastAsia="es-CO"/>
              </w:rPr>
            </w:pPr>
            <w:r w:rsidRPr="0039091F">
              <w:rPr>
                <w:rFonts w:cs="Times New Roman"/>
                <w:b/>
                <w:bCs/>
                <w:color w:val="000000"/>
                <w:sz w:val="18"/>
                <w:szCs w:val="18"/>
                <w:lang w:eastAsia="es-CO"/>
              </w:rPr>
              <w:t>TERCERO</w:t>
            </w:r>
          </w:p>
        </w:tc>
        <w:tc>
          <w:tcPr>
            <w:tcW w:w="848" w:type="pct"/>
            <w:shd w:val="clear" w:color="000000" w:fill="FFFFFF"/>
            <w:noWrap/>
            <w:vAlign w:val="center"/>
            <w:hideMark/>
          </w:tcPr>
          <w:p w14:paraId="79DBC400" w14:textId="77777777" w:rsidR="00E45527" w:rsidRPr="0039091F" w:rsidRDefault="00E45527" w:rsidP="000A5389">
            <w:pPr>
              <w:spacing w:line="240" w:lineRule="auto"/>
              <w:jc w:val="center"/>
              <w:rPr>
                <w:rFonts w:cs="Times New Roman"/>
                <w:b/>
                <w:bCs/>
                <w:color w:val="000000"/>
                <w:sz w:val="18"/>
                <w:szCs w:val="18"/>
                <w:lang w:eastAsia="es-CO"/>
              </w:rPr>
            </w:pPr>
            <w:r w:rsidRPr="0039091F">
              <w:rPr>
                <w:rFonts w:cs="Times New Roman"/>
                <w:b/>
                <w:bCs/>
                <w:color w:val="000000"/>
                <w:sz w:val="18"/>
                <w:szCs w:val="18"/>
                <w:lang w:eastAsia="es-CO"/>
              </w:rPr>
              <w:t>AÑO 2025</w:t>
            </w:r>
          </w:p>
        </w:tc>
        <w:tc>
          <w:tcPr>
            <w:tcW w:w="848" w:type="pct"/>
            <w:shd w:val="clear" w:color="000000" w:fill="FFFFFF"/>
            <w:noWrap/>
            <w:vAlign w:val="center"/>
            <w:hideMark/>
          </w:tcPr>
          <w:p w14:paraId="7EFB3F97" w14:textId="77777777" w:rsidR="00E45527" w:rsidRPr="0039091F" w:rsidRDefault="00E45527" w:rsidP="000A5389">
            <w:pPr>
              <w:spacing w:line="240" w:lineRule="auto"/>
              <w:jc w:val="center"/>
              <w:rPr>
                <w:rFonts w:cs="Times New Roman"/>
                <w:b/>
                <w:bCs/>
                <w:color w:val="000000"/>
                <w:sz w:val="18"/>
                <w:szCs w:val="18"/>
                <w:lang w:eastAsia="es-CO"/>
              </w:rPr>
            </w:pPr>
            <w:r w:rsidRPr="0039091F">
              <w:rPr>
                <w:rFonts w:cs="Times New Roman"/>
                <w:b/>
                <w:bCs/>
                <w:color w:val="000000"/>
                <w:sz w:val="18"/>
                <w:szCs w:val="18"/>
                <w:lang w:eastAsia="es-CO"/>
              </w:rPr>
              <w:t>AÑO 2024</w:t>
            </w:r>
          </w:p>
        </w:tc>
        <w:tc>
          <w:tcPr>
            <w:tcW w:w="848" w:type="pct"/>
            <w:shd w:val="clear" w:color="000000" w:fill="FFFFFF"/>
            <w:noWrap/>
            <w:vAlign w:val="center"/>
            <w:hideMark/>
          </w:tcPr>
          <w:p w14:paraId="07C36CFC" w14:textId="77777777" w:rsidR="00E45527" w:rsidRPr="0039091F" w:rsidRDefault="00E45527" w:rsidP="000A5389">
            <w:pPr>
              <w:spacing w:line="240" w:lineRule="auto"/>
              <w:jc w:val="center"/>
              <w:rPr>
                <w:rFonts w:cs="Times New Roman"/>
                <w:b/>
                <w:bCs/>
                <w:color w:val="000000"/>
                <w:sz w:val="18"/>
                <w:szCs w:val="18"/>
                <w:lang w:eastAsia="es-CO"/>
              </w:rPr>
            </w:pPr>
            <w:r w:rsidRPr="0039091F">
              <w:rPr>
                <w:rFonts w:cs="Times New Roman"/>
                <w:b/>
                <w:bCs/>
                <w:color w:val="000000"/>
                <w:sz w:val="18"/>
                <w:szCs w:val="18"/>
                <w:lang w:eastAsia="es-CO"/>
              </w:rPr>
              <w:t>VARIACION</w:t>
            </w:r>
          </w:p>
        </w:tc>
      </w:tr>
      <w:tr w:rsidR="004F1F43" w:rsidRPr="0039091F" w14:paraId="49BD08F3" w14:textId="77777777" w:rsidTr="00071A8A">
        <w:trPr>
          <w:trHeight w:val="280"/>
        </w:trPr>
        <w:tc>
          <w:tcPr>
            <w:tcW w:w="591" w:type="pct"/>
            <w:shd w:val="clear" w:color="000000" w:fill="FFFFFF"/>
            <w:noWrap/>
            <w:vAlign w:val="center"/>
          </w:tcPr>
          <w:p w14:paraId="31022E82" w14:textId="67701F4C" w:rsidR="004F1F43" w:rsidRPr="0039091F" w:rsidRDefault="004F1F43" w:rsidP="000A5389">
            <w:pPr>
              <w:spacing w:line="240" w:lineRule="auto"/>
              <w:rPr>
                <w:rFonts w:cs="Times New Roman"/>
                <w:b/>
                <w:bCs/>
                <w:color w:val="000000"/>
                <w:sz w:val="18"/>
                <w:szCs w:val="18"/>
                <w:lang w:eastAsia="es-CO"/>
              </w:rPr>
            </w:pPr>
            <w:r w:rsidRPr="0039091F">
              <w:rPr>
                <w:rFonts w:cs="Times New Roman"/>
                <w:color w:val="000000"/>
                <w:sz w:val="18"/>
                <w:szCs w:val="18"/>
                <w:lang w:eastAsia="es-CO"/>
              </w:rPr>
              <w:t>900225133</w:t>
            </w:r>
          </w:p>
        </w:tc>
        <w:tc>
          <w:tcPr>
            <w:tcW w:w="1865" w:type="pct"/>
            <w:shd w:val="clear" w:color="000000" w:fill="FFFFFF"/>
            <w:noWrap/>
            <w:vAlign w:val="center"/>
          </w:tcPr>
          <w:p w14:paraId="3BBEF6D6" w14:textId="536D9ECB" w:rsidR="004F1F43" w:rsidRPr="0039091F" w:rsidRDefault="004F1F43" w:rsidP="000A5389">
            <w:pPr>
              <w:spacing w:line="240" w:lineRule="auto"/>
              <w:rPr>
                <w:rFonts w:cs="Times New Roman"/>
                <w:b/>
                <w:bCs/>
                <w:color w:val="000000"/>
                <w:sz w:val="18"/>
                <w:szCs w:val="18"/>
                <w:lang w:eastAsia="es-CO"/>
              </w:rPr>
            </w:pPr>
            <w:r w:rsidRPr="0039091F">
              <w:rPr>
                <w:rFonts w:cs="Times New Roman"/>
                <w:color w:val="000000"/>
                <w:sz w:val="18"/>
                <w:szCs w:val="18"/>
                <w:lang w:eastAsia="es-CO"/>
              </w:rPr>
              <w:t>Ferrocarril del Pacifico S.A.S.</w:t>
            </w:r>
          </w:p>
        </w:tc>
        <w:tc>
          <w:tcPr>
            <w:tcW w:w="848" w:type="pct"/>
            <w:shd w:val="clear" w:color="000000" w:fill="FFFFFF"/>
            <w:noWrap/>
            <w:vAlign w:val="center"/>
          </w:tcPr>
          <w:p w14:paraId="28103FC4" w14:textId="2F71B913" w:rsidR="004F1F43" w:rsidRPr="0039091F" w:rsidRDefault="004F1F43" w:rsidP="000A5389">
            <w:pPr>
              <w:spacing w:line="240" w:lineRule="auto"/>
              <w:jc w:val="right"/>
              <w:rPr>
                <w:rFonts w:cs="Times New Roman"/>
                <w:b/>
                <w:bCs/>
                <w:color w:val="000000"/>
                <w:sz w:val="18"/>
                <w:szCs w:val="18"/>
                <w:lang w:eastAsia="es-CO"/>
              </w:rPr>
            </w:pPr>
            <w:r w:rsidRPr="0039091F">
              <w:rPr>
                <w:rFonts w:cs="Times New Roman"/>
                <w:color w:val="000000"/>
                <w:sz w:val="18"/>
                <w:szCs w:val="18"/>
                <w:lang w:eastAsia="es-CO"/>
              </w:rPr>
              <w:t>224.425.665.642</w:t>
            </w:r>
          </w:p>
        </w:tc>
        <w:tc>
          <w:tcPr>
            <w:tcW w:w="848" w:type="pct"/>
            <w:shd w:val="clear" w:color="000000" w:fill="FFFFFF"/>
            <w:noWrap/>
            <w:vAlign w:val="center"/>
          </w:tcPr>
          <w:p w14:paraId="126B1BBF" w14:textId="38D5D3E3" w:rsidR="004F1F43" w:rsidRPr="0039091F" w:rsidRDefault="004F1F43" w:rsidP="000A5389">
            <w:pPr>
              <w:spacing w:line="240" w:lineRule="auto"/>
              <w:jc w:val="right"/>
              <w:rPr>
                <w:rFonts w:cs="Times New Roman"/>
                <w:b/>
                <w:bCs/>
                <w:color w:val="000000"/>
                <w:sz w:val="18"/>
                <w:szCs w:val="18"/>
                <w:lang w:eastAsia="es-CO"/>
              </w:rPr>
            </w:pPr>
            <w:r w:rsidRPr="0039091F">
              <w:rPr>
                <w:rFonts w:cs="Times New Roman"/>
                <w:color w:val="000000"/>
                <w:sz w:val="18"/>
                <w:szCs w:val="18"/>
                <w:lang w:eastAsia="es-CO"/>
              </w:rPr>
              <w:t>390.587.379.323</w:t>
            </w:r>
          </w:p>
        </w:tc>
        <w:tc>
          <w:tcPr>
            <w:tcW w:w="848" w:type="pct"/>
            <w:shd w:val="clear" w:color="000000" w:fill="FFFFFF"/>
            <w:noWrap/>
            <w:vAlign w:val="center"/>
          </w:tcPr>
          <w:p w14:paraId="32142430" w14:textId="7E2E77F7" w:rsidR="004F1F43" w:rsidRPr="0039091F" w:rsidRDefault="004F1F43" w:rsidP="000A5389">
            <w:pPr>
              <w:spacing w:line="240" w:lineRule="auto"/>
              <w:jc w:val="right"/>
              <w:rPr>
                <w:rFonts w:cs="Times New Roman"/>
                <w:b/>
                <w:bCs/>
                <w:color w:val="000000"/>
                <w:sz w:val="18"/>
                <w:szCs w:val="18"/>
                <w:lang w:eastAsia="es-CO"/>
              </w:rPr>
            </w:pPr>
            <w:r w:rsidRPr="0039091F">
              <w:rPr>
                <w:rFonts w:cs="Times New Roman"/>
                <w:color w:val="000000"/>
                <w:sz w:val="18"/>
                <w:szCs w:val="18"/>
                <w:lang w:eastAsia="es-CO"/>
              </w:rPr>
              <w:t>-166.161.713.680</w:t>
            </w:r>
          </w:p>
        </w:tc>
      </w:tr>
      <w:tr w:rsidR="004F1F43" w:rsidRPr="0039091F" w14:paraId="7E01567D" w14:textId="77777777" w:rsidTr="00071A8A">
        <w:trPr>
          <w:trHeight w:val="280"/>
        </w:trPr>
        <w:tc>
          <w:tcPr>
            <w:tcW w:w="591" w:type="pct"/>
            <w:shd w:val="clear" w:color="000000" w:fill="FFFFFF"/>
            <w:noWrap/>
            <w:vAlign w:val="center"/>
            <w:hideMark/>
          </w:tcPr>
          <w:p w14:paraId="6C52C932" w14:textId="77777777" w:rsidR="004F1F43" w:rsidRPr="0039091F" w:rsidRDefault="004F1F43" w:rsidP="000A5389">
            <w:pPr>
              <w:spacing w:line="240" w:lineRule="auto"/>
              <w:rPr>
                <w:rFonts w:cs="Times New Roman"/>
                <w:color w:val="000000"/>
                <w:sz w:val="18"/>
                <w:szCs w:val="18"/>
                <w:lang w:eastAsia="es-CO"/>
              </w:rPr>
            </w:pPr>
            <w:r w:rsidRPr="0039091F">
              <w:rPr>
                <w:rFonts w:cs="Times New Roman"/>
                <w:color w:val="000000"/>
                <w:sz w:val="18"/>
                <w:szCs w:val="18"/>
                <w:lang w:eastAsia="es-CO"/>
              </w:rPr>
              <w:t>830061724</w:t>
            </w:r>
          </w:p>
        </w:tc>
        <w:tc>
          <w:tcPr>
            <w:tcW w:w="1865" w:type="pct"/>
            <w:shd w:val="clear" w:color="000000" w:fill="FFFFFF"/>
            <w:noWrap/>
            <w:vAlign w:val="center"/>
            <w:hideMark/>
          </w:tcPr>
          <w:p w14:paraId="3EFD737B" w14:textId="007E323C" w:rsidR="004F1F43" w:rsidRPr="0039091F" w:rsidRDefault="004F1F43" w:rsidP="000A5389">
            <w:pPr>
              <w:spacing w:line="240" w:lineRule="auto"/>
              <w:rPr>
                <w:rFonts w:cs="Times New Roman"/>
                <w:color w:val="000000"/>
                <w:sz w:val="18"/>
                <w:szCs w:val="18"/>
                <w:lang w:eastAsia="es-CO"/>
              </w:rPr>
            </w:pPr>
            <w:r w:rsidRPr="0039091F">
              <w:rPr>
                <w:rFonts w:cs="Times New Roman"/>
                <w:color w:val="000000"/>
                <w:sz w:val="18"/>
                <w:szCs w:val="18"/>
                <w:lang w:eastAsia="es-CO"/>
              </w:rPr>
              <w:t>Ferrocarriles del Norte de Colombia S, A.</w:t>
            </w:r>
          </w:p>
        </w:tc>
        <w:tc>
          <w:tcPr>
            <w:tcW w:w="848" w:type="pct"/>
            <w:shd w:val="clear" w:color="000000" w:fill="FFFFFF"/>
            <w:noWrap/>
            <w:vAlign w:val="center"/>
            <w:hideMark/>
          </w:tcPr>
          <w:p w14:paraId="1C441A51" w14:textId="77777777" w:rsidR="004F1F43" w:rsidRPr="0039091F" w:rsidRDefault="004F1F43" w:rsidP="000A5389">
            <w:pPr>
              <w:spacing w:line="240" w:lineRule="auto"/>
              <w:jc w:val="right"/>
              <w:rPr>
                <w:rFonts w:cs="Times New Roman"/>
                <w:color w:val="000000"/>
                <w:sz w:val="18"/>
                <w:szCs w:val="18"/>
                <w:lang w:eastAsia="es-CO"/>
              </w:rPr>
            </w:pPr>
            <w:r w:rsidRPr="0039091F">
              <w:rPr>
                <w:rFonts w:cs="Times New Roman"/>
                <w:color w:val="000000"/>
                <w:sz w:val="18"/>
                <w:szCs w:val="18"/>
                <w:lang w:eastAsia="es-CO"/>
              </w:rPr>
              <w:t>2.980.383.076</w:t>
            </w:r>
          </w:p>
        </w:tc>
        <w:tc>
          <w:tcPr>
            <w:tcW w:w="848" w:type="pct"/>
            <w:shd w:val="clear" w:color="000000" w:fill="FFFFFF"/>
            <w:noWrap/>
            <w:vAlign w:val="center"/>
            <w:hideMark/>
          </w:tcPr>
          <w:p w14:paraId="7BB246BA" w14:textId="77777777" w:rsidR="004F1F43" w:rsidRPr="0039091F" w:rsidRDefault="004F1F43" w:rsidP="000A5389">
            <w:pPr>
              <w:spacing w:line="240" w:lineRule="auto"/>
              <w:jc w:val="right"/>
              <w:rPr>
                <w:rFonts w:cs="Times New Roman"/>
                <w:color w:val="000000"/>
                <w:sz w:val="18"/>
                <w:szCs w:val="18"/>
                <w:lang w:eastAsia="es-CO"/>
              </w:rPr>
            </w:pPr>
            <w:r w:rsidRPr="0039091F">
              <w:rPr>
                <w:rFonts w:cs="Times New Roman"/>
                <w:color w:val="000000"/>
                <w:sz w:val="18"/>
                <w:szCs w:val="18"/>
                <w:lang w:eastAsia="es-CO"/>
              </w:rPr>
              <w:t>26.440.072.313</w:t>
            </w:r>
          </w:p>
        </w:tc>
        <w:tc>
          <w:tcPr>
            <w:tcW w:w="848" w:type="pct"/>
            <w:shd w:val="clear" w:color="000000" w:fill="FFFFFF"/>
            <w:noWrap/>
            <w:vAlign w:val="center"/>
            <w:hideMark/>
          </w:tcPr>
          <w:p w14:paraId="01503B58" w14:textId="77777777" w:rsidR="004F1F43" w:rsidRPr="0039091F" w:rsidRDefault="004F1F43" w:rsidP="000A5389">
            <w:pPr>
              <w:spacing w:line="240" w:lineRule="auto"/>
              <w:jc w:val="right"/>
              <w:rPr>
                <w:rFonts w:cs="Times New Roman"/>
                <w:color w:val="000000"/>
                <w:sz w:val="18"/>
                <w:szCs w:val="18"/>
                <w:lang w:eastAsia="es-CO"/>
              </w:rPr>
            </w:pPr>
            <w:r w:rsidRPr="0039091F">
              <w:rPr>
                <w:rFonts w:cs="Times New Roman"/>
                <w:color w:val="000000"/>
                <w:sz w:val="18"/>
                <w:szCs w:val="18"/>
                <w:lang w:eastAsia="es-CO"/>
              </w:rPr>
              <w:t>-23.459.689.236</w:t>
            </w:r>
          </w:p>
        </w:tc>
      </w:tr>
      <w:tr w:rsidR="004F1F43" w:rsidRPr="0039091F" w14:paraId="20EFABE1" w14:textId="77777777" w:rsidTr="00071A8A">
        <w:trPr>
          <w:trHeight w:val="280"/>
        </w:trPr>
        <w:tc>
          <w:tcPr>
            <w:tcW w:w="2456" w:type="pct"/>
            <w:gridSpan w:val="2"/>
            <w:shd w:val="clear" w:color="000000" w:fill="FFFFFF"/>
            <w:noWrap/>
            <w:vAlign w:val="center"/>
            <w:hideMark/>
          </w:tcPr>
          <w:p w14:paraId="765597EF" w14:textId="77777777" w:rsidR="004F1F43" w:rsidRPr="0039091F" w:rsidRDefault="004F1F43" w:rsidP="000A5389">
            <w:pPr>
              <w:spacing w:line="240" w:lineRule="auto"/>
              <w:rPr>
                <w:rFonts w:cs="Times New Roman"/>
                <w:b/>
                <w:bCs/>
                <w:color w:val="000000"/>
                <w:sz w:val="18"/>
                <w:szCs w:val="18"/>
                <w:lang w:eastAsia="es-CO"/>
              </w:rPr>
            </w:pPr>
            <w:r w:rsidRPr="0039091F">
              <w:rPr>
                <w:rFonts w:cs="Times New Roman"/>
                <w:b/>
                <w:bCs/>
                <w:color w:val="000000"/>
                <w:sz w:val="18"/>
                <w:szCs w:val="18"/>
                <w:lang w:eastAsia="es-CO"/>
              </w:rPr>
              <w:t>TOTAL</w:t>
            </w:r>
          </w:p>
        </w:tc>
        <w:tc>
          <w:tcPr>
            <w:tcW w:w="848" w:type="pct"/>
            <w:shd w:val="clear" w:color="000000" w:fill="FFFFFF"/>
            <w:noWrap/>
            <w:vAlign w:val="center"/>
            <w:hideMark/>
          </w:tcPr>
          <w:p w14:paraId="4CB2B2C5" w14:textId="77777777" w:rsidR="004F1F43" w:rsidRPr="0039091F" w:rsidRDefault="004F1F43" w:rsidP="000A5389">
            <w:pPr>
              <w:spacing w:line="240" w:lineRule="auto"/>
              <w:jc w:val="right"/>
              <w:rPr>
                <w:rFonts w:cs="Times New Roman"/>
                <w:b/>
                <w:bCs/>
                <w:color w:val="000000"/>
                <w:sz w:val="18"/>
                <w:szCs w:val="18"/>
                <w:lang w:eastAsia="es-CO"/>
              </w:rPr>
            </w:pPr>
            <w:r w:rsidRPr="0039091F">
              <w:rPr>
                <w:rFonts w:cs="Times New Roman"/>
                <w:b/>
                <w:bCs/>
                <w:color w:val="000000"/>
                <w:sz w:val="18"/>
                <w:szCs w:val="18"/>
                <w:lang w:eastAsia="es-CO"/>
              </w:rPr>
              <w:t>227.406.048.719</w:t>
            </w:r>
          </w:p>
        </w:tc>
        <w:tc>
          <w:tcPr>
            <w:tcW w:w="848" w:type="pct"/>
            <w:shd w:val="clear" w:color="000000" w:fill="FFFFFF"/>
            <w:noWrap/>
            <w:vAlign w:val="center"/>
            <w:hideMark/>
          </w:tcPr>
          <w:p w14:paraId="7E810EA6" w14:textId="77777777" w:rsidR="004F1F43" w:rsidRPr="0039091F" w:rsidRDefault="004F1F43" w:rsidP="000A5389">
            <w:pPr>
              <w:spacing w:line="240" w:lineRule="auto"/>
              <w:jc w:val="right"/>
              <w:rPr>
                <w:rFonts w:cs="Times New Roman"/>
                <w:b/>
                <w:bCs/>
                <w:color w:val="000000"/>
                <w:sz w:val="18"/>
                <w:szCs w:val="18"/>
                <w:lang w:eastAsia="es-CO"/>
              </w:rPr>
            </w:pPr>
            <w:r w:rsidRPr="0039091F">
              <w:rPr>
                <w:rFonts w:cs="Times New Roman"/>
                <w:b/>
                <w:bCs/>
                <w:color w:val="000000"/>
                <w:sz w:val="18"/>
                <w:szCs w:val="18"/>
                <w:lang w:eastAsia="es-CO"/>
              </w:rPr>
              <w:t>417.027.451.635</w:t>
            </w:r>
          </w:p>
        </w:tc>
        <w:tc>
          <w:tcPr>
            <w:tcW w:w="848" w:type="pct"/>
            <w:shd w:val="clear" w:color="000000" w:fill="FFFFFF"/>
            <w:noWrap/>
            <w:vAlign w:val="center"/>
            <w:hideMark/>
          </w:tcPr>
          <w:p w14:paraId="381BE367" w14:textId="77777777" w:rsidR="004F1F43" w:rsidRPr="0039091F" w:rsidRDefault="004F1F43" w:rsidP="000A5389">
            <w:pPr>
              <w:spacing w:line="240" w:lineRule="auto"/>
              <w:jc w:val="right"/>
              <w:rPr>
                <w:rFonts w:cs="Times New Roman"/>
                <w:b/>
                <w:bCs/>
                <w:color w:val="000000"/>
                <w:sz w:val="18"/>
                <w:szCs w:val="18"/>
                <w:lang w:eastAsia="es-CO"/>
              </w:rPr>
            </w:pPr>
            <w:r w:rsidRPr="0039091F">
              <w:rPr>
                <w:rFonts w:cs="Times New Roman"/>
                <w:b/>
                <w:bCs/>
                <w:color w:val="000000"/>
                <w:sz w:val="18"/>
                <w:szCs w:val="18"/>
                <w:lang w:eastAsia="es-CO"/>
              </w:rPr>
              <w:t>-189.621.402.916</w:t>
            </w:r>
          </w:p>
        </w:tc>
      </w:tr>
    </w:tbl>
    <w:p w14:paraId="6D2A38A7" w14:textId="77777777" w:rsidR="00071A8A" w:rsidRPr="00951AB1" w:rsidRDefault="00071A8A" w:rsidP="000A5389">
      <w:pPr>
        <w:spacing w:line="240" w:lineRule="auto"/>
        <w:rPr>
          <w:rFonts w:cs="Times New Roman"/>
        </w:rPr>
      </w:pPr>
      <w:r w:rsidRPr="00951AB1">
        <w:rPr>
          <w:rFonts w:cs="Times New Roman"/>
          <w:sz w:val="16"/>
          <w:szCs w:val="16"/>
        </w:rPr>
        <w:t>Cifras expresadas en pesos</w:t>
      </w:r>
    </w:p>
    <w:p w14:paraId="4DB8C761" w14:textId="77777777" w:rsidR="00071A8A" w:rsidRDefault="00071A8A" w:rsidP="000A5389">
      <w:pPr>
        <w:pStyle w:val="Textoindependiente"/>
        <w:spacing w:before="80" w:line="240" w:lineRule="auto"/>
        <w:ind w:left="24" w:right="49"/>
      </w:pPr>
    </w:p>
    <w:p w14:paraId="7608BCF9" w14:textId="462F3F88" w:rsidR="006D0D1A" w:rsidRPr="00951AB1" w:rsidRDefault="006D0D1A" w:rsidP="000A5389">
      <w:pPr>
        <w:pStyle w:val="Textoindependiente"/>
        <w:spacing w:before="80" w:line="240" w:lineRule="auto"/>
        <w:ind w:left="24" w:right="49"/>
      </w:pPr>
      <w:r w:rsidRPr="00951AB1">
        <w:lastRenderedPageBreak/>
        <w:t>La disminución de la variación por valor de $189.621.402.916 se sustenta en la actualización de la metodología para la obtención de información de bienes de uso público y de propiedades, planta y equipo en el modo férreo, implementada mediante el Formato GCSP-F-289, la cual incidió en la cuantificación del pasivo diferido al cierre de la vigencia 2025; adicionalmente, se reconoce la amortización del pasivo diferido conforme al plazo de la concesión. La información fue remitida por la Vicepresidencia de Gestión Contractual.</w:t>
      </w:r>
    </w:p>
    <w:p w14:paraId="7289F8A1" w14:textId="117FD491" w:rsidR="5368C0D0" w:rsidRDefault="5368C0D0" w:rsidP="000A5389">
      <w:pPr>
        <w:spacing w:before="153" w:line="240" w:lineRule="auto"/>
        <w:ind w:left="43"/>
      </w:pPr>
      <w:r w:rsidRPr="28B62C36">
        <w:rPr>
          <w:rFonts w:eastAsia="Times New Roman" w:cs="Times New Roman"/>
          <w:b/>
          <w:bCs/>
          <w:szCs w:val="24"/>
          <w:lang w:val="es-ES"/>
        </w:rPr>
        <w:t>Avances y Anticipos recibidos -</w:t>
      </w:r>
      <w:r w:rsidRPr="521F4DD4">
        <w:rPr>
          <w:rFonts w:eastAsia="Times New Roman" w:cs="Times New Roman"/>
          <w:b/>
          <w:bCs/>
          <w:szCs w:val="24"/>
          <w:lang w:val="es-ES"/>
        </w:rPr>
        <w:t>Recursos recibidos en administración</w:t>
      </w:r>
      <w:r w:rsidRPr="521F4DD4">
        <w:rPr>
          <w:rFonts w:eastAsia="Times New Roman" w:cs="Times New Roman"/>
          <w:szCs w:val="24"/>
          <w:lang w:val="es-ES"/>
        </w:rPr>
        <w:t xml:space="preserve"> se registra, al corte 31 de diciembre de 2025, un saldo por valor de </w:t>
      </w:r>
      <w:r w:rsidRPr="521F4DD4">
        <w:rPr>
          <w:rFonts w:eastAsia="Times New Roman" w:cs="Times New Roman"/>
          <w:b/>
          <w:bCs/>
          <w:szCs w:val="24"/>
          <w:lang w:val="es-ES"/>
        </w:rPr>
        <w:t>$17.892.798.629</w:t>
      </w:r>
      <w:r w:rsidRPr="521F4DD4">
        <w:rPr>
          <w:rFonts w:eastAsia="Times New Roman" w:cs="Times New Roman"/>
          <w:szCs w:val="24"/>
          <w:lang w:val="es-ES"/>
        </w:rPr>
        <w:t xml:space="preserve">, clasificado como </w:t>
      </w:r>
      <w:r w:rsidRPr="521F4DD4">
        <w:rPr>
          <w:rFonts w:eastAsia="Times New Roman" w:cs="Times New Roman"/>
          <w:b/>
          <w:bCs/>
          <w:szCs w:val="24"/>
          <w:lang w:val="es-ES"/>
        </w:rPr>
        <w:t>pasivo corriente</w:t>
      </w:r>
      <w:r w:rsidRPr="521F4DD4">
        <w:rPr>
          <w:rFonts w:eastAsia="Times New Roman" w:cs="Times New Roman"/>
          <w:szCs w:val="24"/>
          <w:lang w:val="es-ES"/>
        </w:rPr>
        <w:t>, correspondiente a recursos recibidos por la Entidad para una destinación específica, sobre los cuales el titular de los recursos no ha transferido el control económico, en concordancia con lo establecido en el Marco Normativo para Entidades de Gobierno expedido por la Contaduría General de la Nación.</w:t>
      </w:r>
    </w:p>
    <w:p w14:paraId="6A18E9D2" w14:textId="217B3FF9" w:rsidR="5368C0D0" w:rsidRDefault="5368C0D0" w:rsidP="000A5389">
      <w:pPr>
        <w:spacing w:before="153" w:line="240" w:lineRule="auto"/>
        <w:ind w:left="43"/>
      </w:pPr>
      <w:r w:rsidRPr="521F4DD4">
        <w:rPr>
          <w:rFonts w:eastAsia="Times New Roman" w:cs="Times New Roman"/>
          <w:szCs w:val="24"/>
          <w:lang w:val="es-ES"/>
        </w:rPr>
        <w:t>El saldo corresponde al saldo pendiente de ejecución del Convenio Interadministrativo No. 3106 de 2009, suscrito entre el Instituto Nacional de Vías – INVÍAS y la Agencia Nacional de Infraestructura – ANI, cuyo objeto es:</w:t>
      </w:r>
    </w:p>
    <w:p w14:paraId="7E0AA206" w14:textId="5D652083" w:rsidR="5368C0D0" w:rsidRDefault="5368C0D0" w:rsidP="000A5389">
      <w:pPr>
        <w:spacing w:before="153" w:line="240" w:lineRule="auto"/>
        <w:ind w:left="43"/>
      </w:pPr>
      <w:r w:rsidRPr="521F4DD4">
        <w:rPr>
          <w:rFonts w:eastAsia="Times New Roman" w:cs="Times New Roman"/>
          <w:i/>
          <w:iCs/>
          <w:szCs w:val="24"/>
          <w:lang w:val="es-ES"/>
        </w:rPr>
        <w:t>“Aunar esfuerzos para el estudio, diseño y construcción de seis (6) puentes peatonales en la Autopista Sur, tramo Bosa–Soacha de la carretera Girardot–Silvania–Bogotá, Ruta 4005”</w:t>
      </w:r>
      <w:r w:rsidRPr="521F4DD4">
        <w:rPr>
          <w:rFonts w:eastAsia="Times New Roman" w:cs="Times New Roman"/>
          <w:szCs w:val="24"/>
          <w:lang w:val="es-ES"/>
        </w:rPr>
        <w:t>, en el marco del Contrato de Concesión bajo el esquema de APP No. 4 de 2016, Proyecto “Ampliación al Tercer Carril de la Doble Calzada Bogotá – Girardot”.</w:t>
      </w:r>
    </w:p>
    <w:p w14:paraId="556011AF" w14:textId="3D77056B" w:rsidR="5368C0D0" w:rsidRDefault="5368C0D0" w:rsidP="000A5389">
      <w:pPr>
        <w:spacing w:before="153" w:line="240" w:lineRule="auto"/>
        <w:ind w:left="43"/>
      </w:pPr>
      <w:r w:rsidRPr="521F4DD4">
        <w:rPr>
          <w:rFonts w:eastAsia="Times New Roman" w:cs="Times New Roman"/>
          <w:szCs w:val="24"/>
          <w:lang w:val="es-ES"/>
        </w:rPr>
        <w:t xml:space="preserve">Durante las vigencias 2025 y 2024, el saldo del convenio generó operaciones recíprocas con el INVÍAS, las cuales fueron conciliadas de manera trimestral y reportadas en el Sistema CHIP, en la cuenta contable correlativa, en cumplimiento de lo dispuesto en la Resolución 090 de 2020 de la Contaduría General de la Nación, numeral 4 – Operaciones Recíprocas, de acuerdo con el cual deben reportarse como recíprocas </w:t>
      </w:r>
      <w:r w:rsidRPr="521F4DD4">
        <w:rPr>
          <w:rFonts w:eastAsia="Times New Roman" w:cs="Times New Roman"/>
          <w:i/>
          <w:iCs/>
          <w:szCs w:val="24"/>
          <w:lang w:val="es-ES"/>
        </w:rPr>
        <w:t>“el derecho de la entidad que controla los recursos con la obligación de la entidad pública que administra, por los recursos entregados y recibidos en administración”</w:t>
      </w:r>
      <w:r w:rsidRPr="521F4DD4">
        <w:rPr>
          <w:rFonts w:eastAsia="Times New Roman" w:cs="Times New Roman"/>
          <w:szCs w:val="24"/>
          <w:lang w:val="es-ES"/>
        </w:rPr>
        <w:t>, así como en concordancia con el instructivo interno GADF-I-007 del Sistema de Gestión de Calidad de la ANI.</w:t>
      </w:r>
    </w:p>
    <w:p w14:paraId="0D2AAEDE" w14:textId="28B30A4A" w:rsidR="5368C0D0" w:rsidRDefault="5368C0D0" w:rsidP="000A5389">
      <w:pPr>
        <w:spacing w:before="153" w:line="240" w:lineRule="auto"/>
        <w:ind w:left="43"/>
      </w:pPr>
      <w:r w:rsidRPr="521F4DD4">
        <w:rPr>
          <w:rFonts w:eastAsia="Times New Roman" w:cs="Times New Roman"/>
          <w:szCs w:val="24"/>
          <w:lang w:val="es-ES"/>
        </w:rPr>
        <w:t>Durante el año 2025, el convenio no presentó ejecución de recursos ni reconocimiento de gastos asociados. No obstante, la Vicepresidencia Ejecutiva se encuentra adelantando mesas de trabajo interinstitucionales con los diferentes actores, con el fin de analizar la entrega y recibo de la infraestructura correspondiente a los puentes peatonales Mercurio y Camilo Torres al Municipio de Soacha, conforme a lo indicado en el oficio radicado No. 20253060413711 del 11 de noviembre de 2025.</w:t>
      </w:r>
    </w:p>
    <w:p w14:paraId="5B6AD87F" w14:textId="6CCEBF3D" w:rsidR="5368C0D0" w:rsidRDefault="5368C0D0" w:rsidP="000A5389">
      <w:pPr>
        <w:spacing w:before="153" w:line="240" w:lineRule="auto"/>
        <w:ind w:left="43"/>
      </w:pPr>
      <w:r w:rsidRPr="521F4DD4">
        <w:rPr>
          <w:rFonts w:eastAsia="Times New Roman" w:cs="Times New Roman"/>
          <w:szCs w:val="24"/>
          <w:lang w:val="es-ES"/>
        </w:rPr>
        <w:t>Una vez se efectúe el recibo a satisfacción de las obras, se procederá a la devolución de los recursos no ejecutados al INVÍAS, conforme a las condiciones establecidas en el convenio interadministrativo.</w:t>
      </w:r>
    </w:p>
    <w:p w14:paraId="5954A7B9" w14:textId="3B35F1D7" w:rsidR="5368C0D0" w:rsidRDefault="5368C0D0" w:rsidP="000A5389">
      <w:pPr>
        <w:spacing w:before="153" w:line="240" w:lineRule="auto"/>
        <w:ind w:left="43"/>
      </w:pPr>
      <w:r w:rsidRPr="521F4DD4">
        <w:rPr>
          <w:rFonts w:eastAsia="Times New Roman" w:cs="Times New Roman"/>
          <w:szCs w:val="24"/>
          <w:lang w:val="es-ES"/>
        </w:rPr>
        <w:t>A la fecha de corte, los recursos se encuentran disponibles en la cuenta SCUN – Sistema Único Nacional, administrada por el Ministerio de Hacienda y Crédito Público, la cual no genera rendimientos financieros, de conformidad con lo establecido en el Decreto 1238 de 2017.</w:t>
      </w:r>
    </w:p>
    <w:p w14:paraId="0A50A586" w14:textId="77777777" w:rsidR="00051882" w:rsidRPr="00951AB1" w:rsidRDefault="00051882" w:rsidP="000A5389">
      <w:pPr>
        <w:spacing w:line="240" w:lineRule="auto"/>
        <w:rPr>
          <w:rFonts w:cs="Times New Roman"/>
        </w:rPr>
      </w:pPr>
    </w:p>
    <w:p w14:paraId="4D5A6D53" w14:textId="10A1BDC8" w:rsidR="00DF7E83" w:rsidRPr="00951AB1" w:rsidRDefault="00DF7E83" w:rsidP="000A5389">
      <w:pPr>
        <w:pStyle w:val="Ttulo1"/>
        <w:spacing w:line="240" w:lineRule="auto"/>
        <w:rPr>
          <w:rFonts w:cs="Times New Roman"/>
        </w:rPr>
      </w:pPr>
      <w:bookmarkStart w:id="666" w:name="_Toc191456886"/>
      <w:bookmarkStart w:id="667" w:name="_Toc191456996"/>
      <w:bookmarkStart w:id="668" w:name="_Toc191457106"/>
      <w:bookmarkStart w:id="669" w:name="_Toc191475733"/>
      <w:bookmarkStart w:id="670" w:name="_Toc191475842"/>
      <w:bookmarkStart w:id="671" w:name="_Toc191475951"/>
      <w:bookmarkStart w:id="672" w:name="_Toc191475474"/>
      <w:bookmarkStart w:id="673" w:name="_Toc191505850"/>
      <w:bookmarkStart w:id="674" w:name="_Toc222824154"/>
      <w:bookmarkStart w:id="675" w:name="_Toc222955522"/>
      <w:bookmarkStart w:id="676" w:name="_Toc191369559"/>
      <w:r w:rsidRPr="00951AB1">
        <w:rPr>
          <w:rFonts w:cs="Times New Roman"/>
        </w:rPr>
        <w:t>NOTA 26. PATRIMONIO</w:t>
      </w:r>
      <w:bookmarkEnd w:id="666"/>
      <w:bookmarkEnd w:id="667"/>
      <w:bookmarkEnd w:id="668"/>
      <w:bookmarkEnd w:id="669"/>
      <w:bookmarkEnd w:id="670"/>
      <w:bookmarkEnd w:id="671"/>
      <w:bookmarkEnd w:id="672"/>
      <w:bookmarkEnd w:id="673"/>
      <w:bookmarkEnd w:id="674"/>
      <w:bookmarkEnd w:id="675"/>
      <w:r w:rsidRPr="00951AB1">
        <w:rPr>
          <w:rFonts w:cs="Times New Roman"/>
        </w:rPr>
        <w:t xml:space="preserve"> </w:t>
      </w:r>
      <w:bookmarkEnd w:id="676"/>
    </w:p>
    <w:p w14:paraId="2120F8F3" w14:textId="77777777" w:rsidR="00DF7E83" w:rsidRPr="00951AB1" w:rsidRDefault="00DF7E83" w:rsidP="000A5389">
      <w:pPr>
        <w:spacing w:line="240" w:lineRule="auto"/>
        <w:rPr>
          <w:rFonts w:cs="Times New Roman"/>
          <w:b/>
          <w:sz w:val="18"/>
          <w:szCs w:val="18"/>
        </w:rPr>
      </w:pPr>
    </w:p>
    <w:p w14:paraId="08FB360E" w14:textId="1F81DF4A" w:rsidR="00DF7E83" w:rsidRPr="00951AB1" w:rsidRDefault="00DF7E83" w:rsidP="000A5389">
      <w:pPr>
        <w:pStyle w:val="Ttulo2"/>
        <w:numPr>
          <w:ilvl w:val="0"/>
          <w:numId w:val="0"/>
        </w:numPr>
        <w:spacing w:line="240" w:lineRule="auto"/>
        <w:rPr>
          <w:rFonts w:cs="Times New Roman"/>
        </w:rPr>
      </w:pPr>
      <w:bookmarkStart w:id="677" w:name="_Toc191369560"/>
      <w:bookmarkStart w:id="678" w:name="_Toc191456887"/>
      <w:bookmarkStart w:id="679" w:name="_Toc191456997"/>
      <w:bookmarkStart w:id="680" w:name="_Toc191457107"/>
      <w:bookmarkStart w:id="681" w:name="_Toc191475734"/>
      <w:bookmarkStart w:id="682" w:name="_Toc191475843"/>
      <w:bookmarkStart w:id="683" w:name="_Toc191475952"/>
      <w:bookmarkStart w:id="684" w:name="_Toc191475475"/>
      <w:bookmarkStart w:id="685" w:name="_Toc191505851"/>
      <w:bookmarkStart w:id="686" w:name="_Toc222824155"/>
      <w:bookmarkStart w:id="687" w:name="_Toc222955523"/>
      <w:r w:rsidRPr="00951AB1">
        <w:rPr>
          <w:rFonts w:cs="Times New Roman"/>
        </w:rPr>
        <w:t>Composición</w:t>
      </w:r>
      <w:bookmarkEnd w:id="677"/>
      <w:bookmarkEnd w:id="678"/>
      <w:bookmarkEnd w:id="679"/>
      <w:bookmarkEnd w:id="680"/>
      <w:bookmarkEnd w:id="681"/>
      <w:bookmarkEnd w:id="682"/>
      <w:bookmarkEnd w:id="683"/>
      <w:bookmarkEnd w:id="684"/>
      <w:bookmarkEnd w:id="685"/>
      <w:bookmarkEnd w:id="686"/>
      <w:bookmarkEnd w:id="687"/>
    </w:p>
    <w:p w14:paraId="1D9AEB8B" w14:textId="77777777" w:rsidR="00400472" w:rsidRPr="00951AB1" w:rsidRDefault="00400472" w:rsidP="000A5389">
      <w:pPr>
        <w:spacing w:line="240" w:lineRule="auto"/>
        <w:rPr>
          <w:rFonts w:cs="Times New Roman"/>
        </w:rPr>
      </w:pPr>
    </w:p>
    <w:tbl>
      <w:tblPr>
        <w:tblW w:w="5000" w:type="pct"/>
        <w:jc w:val="center"/>
        <w:tblCellMar>
          <w:left w:w="70" w:type="dxa"/>
          <w:right w:w="70" w:type="dxa"/>
        </w:tblCellMar>
        <w:tblLook w:val="04A0" w:firstRow="1" w:lastRow="0" w:firstColumn="1" w:lastColumn="0" w:noHBand="0" w:noVBand="1"/>
      </w:tblPr>
      <w:tblGrid>
        <w:gridCol w:w="1160"/>
        <w:gridCol w:w="558"/>
        <w:gridCol w:w="2149"/>
        <w:gridCol w:w="1684"/>
        <w:gridCol w:w="1684"/>
        <w:gridCol w:w="1593"/>
      </w:tblGrid>
      <w:tr w:rsidR="004A7790" w:rsidRPr="004A7790" w14:paraId="45483250" w14:textId="77777777" w:rsidTr="004A7790">
        <w:trPr>
          <w:trHeight w:val="288"/>
          <w:jc w:val="center"/>
        </w:trPr>
        <w:tc>
          <w:tcPr>
            <w:tcW w:w="2190" w:type="pct"/>
            <w:gridSpan w:val="3"/>
            <w:tcBorders>
              <w:top w:val="single" w:sz="4" w:space="0" w:color="000000"/>
              <w:left w:val="single" w:sz="4" w:space="0" w:color="000000"/>
              <w:bottom w:val="single" w:sz="4" w:space="0" w:color="000000"/>
              <w:right w:val="single" w:sz="4" w:space="0" w:color="000000"/>
            </w:tcBorders>
            <w:vAlign w:val="center"/>
            <w:hideMark/>
          </w:tcPr>
          <w:p w14:paraId="29B0E7BE" w14:textId="77777777" w:rsidR="004A7790" w:rsidRPr="004A7790" w:rsidRDefault="004A7790" w:rsidP="000A5389">
            <w:pPr>
              <w:spacing w:line="240" w:lineRule="auto"/>
              <w:jc w:val="center"/>
              <w:rPr>
                <w:rFonts w:eastAsia="Times New Roman" w:cs="Times New Roman"/>
                <w:b/>
                <w:bCs/>
                <w:color w:val="000000"/>
                <w:kern w:val="0"/>
                <w:sz w:val="16"/>
                <w:szCs w:val="16"/>
                <w:lang w:eastAsia="es-CO"/>
                <w14:ligatures w14:val="none"/>
              </w:rPr>
            </w:pPr>
            <w:r w:rsidRPr="004A7790">
              <w:rPr>
                <w:rFonts w:eastAsia="Times New Roman" w:cs="Times New Roman"/>
                <w:b/>
                <w:bCs/>
                <w:color w:val="000000"/>
                <w:kern w:val="0"/>
                <w:sz w:val="16"/>
                <w:szCs w:val="16"/>
                <w:lang w:eastAsia="es-CO"/>
                <w14:ligatures w14:val="none"/>
              </w:rPr>
              <w:t>DESCRIPCIÓN</w:t>
            </w:r>
            <w:r w:rsidRPr="004A7790">
              <w:rPr>
                <w:rFonts w:eastAsia="Times New Roman" w:cs="Times New Roman"/>
                <w:color w:val="000000"/>
                <w:kern w:val="0"/>
                <w:sz w:val="16"/>
                <w:szCs w:val="16"/>
                <w:lang w:eastAsia="es-CO"/>
                <w14:ligatures w14:val="none"/>
              </w:rPr>
              <w:t> </w:t>
            </w:r>
          </w:p>
        </w:tc>
        <w:tc>
          <w:tcPr>
            <w:tcW w:w="1907" w:type="pct"/>
            <w:gridSpan w:val="2"/>
            <w:tcBorders>
              <w:top w:val="single" w:sz="4" w:space="0" w:color="000000"/>
              <w:left w:val="nil"/>
              <w:bottom w:val="single" w:sz="4" w:space="0" w:color="000000"/>
              <w:right w:val="single" w:sz="4" w:space="0" w:color="000000"/>
            </w:tcBorders>
            <w:vAlign w:val="center"/>
            <w:hideMark/>
          </w:tcPr>
          <w:p w14:paraId="02B735B3" w14:textId="77777777" w:rsidR="004A7790" w:rsidRPr="004A7790" w:rsidRDefault="004A7790" w:rsidP="000A5389">
            <w:pPr>
              <w:spacing w:line="240" w:lineRule="auto"/>
              <w:jc w:val="center"/>
              <w:rPr>
                <w:rFonts w:eastAsia="Times New Roman" w:cs="Times New Roman"/>
                <w:b/>
                <w:bCs/>
                <w:color w:val="000000"/>
                <w:kern w:val="0"/>
                <w:sz w:val="16"/>
                <w:szCs w:val="16"/>
                <w:lang w:eastAsia="es-CO"/>
                <w14:ligatures w14:val="none"/>
              </w:rPr>
            </w:pPr>
            <w:r w:rsidRPr="004A7790">
              <w:rPr>
                <w:rFonts w:eastAsia="Times New Roman" w:cs="Times New Roman"/>
                <w:b/>
                <w:bCs/>
                <w:color w:val="000000"/>
                <w:kern w:val="0"/>
                <w:sz w:val="16"/>
                <w:szCs w:val="16"/>
                <w:lang w:eastAsia="es-CO"/>
                <w14:ligatures w14:val="none"/>
              </w:rPr>
              <w:t>SALDOS A CORTES DE VIGENCIA</w:t>
            </w:r>
            <w:r w:rsidRPr="004A7790">
              <w:rPr>
                <w:rFonts w:eastAsia="Times New Roman" w:cs="Times New Roman"/>
                <w:color w:val="000000"/>
                <w:kern w:val="0"/>
                <w:sz w:val="16"/>
                <w:szCs w:val="16"/>
                <w:lang w:eastAsia="es-CO"/>
                <w14:ligatures w14:val="none"/>
              </w:rPr>
              <w:t> </w:t>
            </w:r>
          </w:p>
        </w:tc>
        <w:tc>
          <w:tcPr>
            <w:tcW w:w="902" w:type="pct"/>
            <w:tcBorders>
              <w:top w:val="single" w:sz="4" w:space="0" w:color="000000"/>
              <w:left w:val="nil"/>
              <w:bottom w:val="single" w:sz="4" w:space="0" w:color="000000"/>
              <w:right w:val="single" w:sz="4" w:space="0" w:color="000000"/>
            </w:tcBorders>
            <w:vAlign w:val="center"/>
            <w:hideMark/>
          </w:tcPr>
          <w:p w14:paraId="4993C70E" w14:textId="77777777" w:rsidR="004A7790" w:rsidRPr="004A7790" w:rsidRDefault="004A7790" w:rsidP="000A5389">
            <w:pPr>
              <w:spacing w:line="240" w:lineRule="auto"/>
              <w:jc w:val="center"/>
              <w:rPr>
                <w:rFonts w:eastAsia="Times New Roman" w:cs="Times New Roman"/>
                <w:b/>
                <w:bCs/>
                <w:color w:val="000000"/>
                <w:kern w:val="0"/>
                <w:sz w:val="16"/>
                <w:szCs w:val="16"/>
                <w:lang w:eastAsia="es-CO"/>
                <w14:ligatures w14:val="none"/>
              </w:rPr>
            </w:pPr>
            <w:r w:rsidRPr="004A7790">
              <w:rPr>
                <w:rFonts w:eastAsia="Times New Roman" w:cs="Times New Roman"/>
                <w:b/>
                <w:bCs/>
                <w:color w:val="000000"/>
                <w:kern w:val="0"/>
                <w:sz w:val="16"/>
                <w:szCs w:val="16"/>
                <w:lang w:eastAsia="es-CO"/>
                <w14:ligatures w14:val="none"/>
              </w:rPr>
              <w:t>VARIACIÓN</w:t>
            </w:r>
          </w:p>
        </w:tc>
      </w:tr>
      <w:tr w:rsidR="004A7790" w:rsidRPr="004A7790" w14:paraId="6D7EF88D" w14:textId="77777777" w:rsidTr="004A7790">
        <w:trPr>
          <w:trHeight w:val="408"/>
          <w:jc w:val="center"/>
        </w:trPr>
        <w:tc>
          <w:tcPr>
            <w:tcW w:w="657" w:type="pct"/>
            <w:tcBorders>
              <w:top w:val="nil"/>
              <w:left w:val="single" w:sz="4" w:space="0" w:color="000000"/>
              <w:bottom w:val="single" w:sz="4" w:space="0" w:color="000000"/>
              <w:right w:val="single" w:sz="4" w:space="0" w:color="000000"/>
            </w:tcBorders>
            <w:vAlign w:val="center"/>
            <w:hideMark/>
          </w:tcPr>
          <w:p w14:paraId="7DBF09D1" w14:textId="77777777" w:rsidR="004A7790" w:rsidRPr="004A7790" w:rsidRDefault="004A7790" w:rsidP="000A5389">
            <w:pPr>
              <w:spacing w:line="240" w:lineRule="auto"/>
              <w:jc w:val="center"/>
              <w:rPr>
                <w:rFonts w:eastAsia="Times New Roman" w:cs="Times New Roman"/>
                <w:b/>
                <w:bCs/>
                <w:color w:val="000000"/>
                <w:kern w:val="0"/>
                <w:sz w:val="16"/>
                <w:szCs w:val="16"/>
                <w:lang w:eastAsia="es-CO"/>
                <w14:ligatures w14:val="none"/>
              </w:rPr>
            </w:pPr>
            <w:r w:rsidRPr="004A7790">
              <w:rPr>
                <w:rFonts w:eastAsia="Times New Roman" w:cs="Times New Roman"/>
                <w:b/>
                <w:bCs/>
                <w:color w:val="000000"/>
                <w:kern w:val="0"/>
                <w:sz w:val="16"/>
                <w:szCs w:val="16"/>
                <w:lang w:eastAsia="es-CO"/>
                <w14:ligatures w14:val="none"/>
              </w:rPr>
              <w:t>CÓDIGO CONTABLE</w:t>
            </w:r>
            <w:r w:rsidRPr="004A7790">
              <w:rPr>
                <w:rFonts w:eastAsia="Times New Roman" w:cs="Times New Roman"/>
                <w:color w:val="000000"/>
                <w:kern w:val="0"/>
                <w:sz w:val="16"/>
                <w:szCs w:val="16"/>
                <w:lang w:eastAsia="es-CO"/>
                <w14:ligatures w14:val="none"/>
              </w:rPr>
              <w:t> </w:t>
            </w:r>
          </w:p>
        </w:tc>
        <w:tc>
          <w:tcPr>
            <w:tcW w:w="316" w:type="pct"/>
            <w:tcBorders>
              <w:top w:val="nil"/>
              <w:left w:val="nil"/>
              <w:bottom w:val="single" w:sz="4" w:space="0" w:color="000000"/>
              <w:right w:val="single" w:sz="4" w:space="0" w:color="000000"/>
            </w:tcBorders>
            <w:vAlign w:val="center"/>
            <w:hideMark/>
          </w:tcPr>
          <w:p w14:paraId="24E88034" w14:textId="77777777" w:rsidR="004A7790" w:rsidRPr="004A7790" w:rsidRDefault="004A7790" w:rsidP="000A5389">
            <w:pPr>
              <w:spacing w:line="240" w:lineRule="auto"/>
              <w:jc w:val="center"/>
              <w:rPr>
                <w:rFonts w:eastAsia="Times New Roman" w:cs="Times New Roman"/>
                <w:b/>
                <w:bCs/>
                <w:color w:val="000000"/>
                <w:kern w:val="0"/>
                <w:sz w:val="16"/>
                <w:szCs w:val="16"/>
                <w:lang w:eastAsia="es-CO"/>
                <w14:ligatures w14:val="none"/>
              </w:rPr>
            </w:pPr>
            <w:r w:rsidRPr="004A7790">
              <w:rPr>
                <w:rFonts w:eastAsia="Times New Roman" w:cs="Times New Roman"/>
                <w:b/>
                <w:bCs/>
                <w:color w:val="000000"/>
                <w:kern w:val="0"/>
                <w:sz w:val="16"/>
                <w:szCs w:val="16"/>
                <w:lang w:eastAsia="es-CO"/>
                <w14:ligatures w14:val="none"/>
              </w:rPr>
              <w:t>NAT</w:t>
            </w:r>
            <w:r w:rsidRPr="004A7790">
              <w:rPr>
                <w:rFonts w:eastAsia="Times New Roman" w:cs="Times New Roman"/>
                <w:color w:val="000000"/>
                <w:kern w:val="0"/>
                <w:sz w:val="16"/>
                <w:szCs w:val="16"/>
                <w:lang w:eastAsia="es-CO"/>
                <w14:ligatures w14:val="none"/>
              </w:rPr>
              <w:t> </w:t>
            </w:r>
          </w:p>
        </w:tc>
        <w:tc>
          <w:tcPr>
            <w:tcW w:w="1217" w:type="pct"/>
            <w:tcBorders>
              <w:top w:val="nil"/>
              <w:left w:val="nil"/>
              <w:bottom w:val="single" w:sz="4" w:space="0" w:color="000000"/>
              <w:right w:val="single" w:sz="4" w:space="0" w:color="000000"/>
            </w:tcBorders>
            <w:vAlign w:val="center"/>
            <w:hideMark/>
          </w:tcPr>
          <w:p w14:paraId="068B0650" w14:textId="77777777" w:rsidR="004A7790" w:rsidRPr="004A7790" w:rsidRDefault="004A7790" w:rsidP="000A5389">
            <w:pPr>
              <w:spacing w:line="240" w:lineRule="auto"/>
              <w:jc w:val="center"/>
              <w:rPr>
                <w:rFonts w:eastAsia="Times New Roman" w:cs="Times New Roman"/>
                <w:b/>
                <w:bCs/>
                <w:color w:val="000000"/>
                <w:kern w:val="0"/>
                <w:sz w:val="16"/>
                <w:szCs w:val="16"/>
                <w:lang w:eastAsia="es-CO"/>
                <w14:ligatures w14:val="none"/>
              </w:rPr>
            </w:pPr>
            <w:r w:rsidRPr="004A7790">
              <w:rPr>
                <w:rFonts w:eastAsia="Times New Roman" w:cs="Times New Roman"/>
                <w:b/>
                <w:bCs/>
                <w:color w:val="000000"/>
                <w:kern w:val="0"/>
                <w:sz w:val="16"/>
                <w:szCs w:val="16"/>
                <w:lang w:eastAsia="es-CO"/>
                <w14:ligatures w14:val="none"/>
              </w:rPr>
              <w:t>CONCEPTO</w:t>
            </w:r>
            <w:r w:rsidRPr="004A7790">
              <w:rPr>
                <w:rFonts w:eastAsia="Times New Roman" w:cs="Times New Roman"/>
                <w:color w:val="000000"/>
                <w:kern w:val="0"/>
                <w:sz w:val="16"/>
                <w:szCs w:val="16"/>
                <w:lang w:eastAsia="es-CO"/>
                <w14:ligatures w14:val="none"/>
              </w:rPr>
              <w:t> </w:t>
            </w:r>
          </w:p>
        </w:tc>
        <w:tc>
          <w:tcPr>
            <w:tcW w:w="954" w:type="pct"/>
            <w:tcBorders>
              <w:top w:val="nil"/>
              <w:left w:val="nil"/>
              <w:bottom w:val="single" w:sz="4" w:space="0" w:color="000000"/>
              <w:right w:val="single" w:sz="4" w:space="0" w:color="000000"/>
            </w:tcBorders>
            <w:vAlign w:val="center"/>
            <w:hideMark/>
          </w:tcPr>
          <w:p w14:paraId="1E7DE01D" w14:textId="77777777" w:rsidR="004A7790" w:rsidRPr="004A7790" w:rsidRDefault="004A7790" w:rsidP="000A5389">
            <w:pPr>
              <w:spacing w:line="240" w:lineRule="auto"/>
              <w:jc w:val="center"/>
              <w:rPr>
                <w:rFonts w:eastAsia="Times New Roman" w:cs="Times New Roman"/>
                <w:b/>
                <w:bCs/>
                <w:color w:val="000000"/>
                <w:kern w:val="0"/>
                <w:sz w:val="16"/>
                <w:szCs w:val="16"/>
                <w:lang w:eastAsia="es-CO"/>
                <w14:ligatures w14:val="none"/>
              </w:rPr>
            </w:pPr>
            <w:r w:rsidRPr="004A7790">
              <w:rPr>
                <w:rFonts w:eastAsia="Times New Roman" w:cs="Times New Roman"/>
                <w:b/>
                <w:bCs/>
                <w:color w:val="000000"/>
                <w:kern w:val="0"/>
                <w:sz w:val="16"/>
                <w:szCs w:val="16"/>
                <w:lang w:eastAsia="es-CO"/>
                <w14:ligatures w14:val="none"/>
              </w:rPr>
              <w:t>2025</w:t>
            </w:r>
            <w:r w:rsidRPr="004A7790">
              <w:rPr>
                <w:rFonts w:eastAsia="Times New Roman" w:cs="Times New Roman"/>
                <w:color w:val="000000"/>
                <w:kern w:val="0"/>
                <w:sz w:val="16"/>
                <w:szCs w:val="16"/>
                <w:lang w:eastAsia="es-CO"/>
                <w14:ligatures w14:val="none"/>
              </w:rPr>
              <w:t> </w:t>
            </w:r>
          </w:p>
        </w:tc>
        <w:tc>
          <w:tcPr>
            <w:tcW w:w="954" w:type="pct"/>
            <w:tcBorders>
              <w:top w:val="nil"/>
              <w:left w:val="nil"/>
              <w:bottom w:val="single" w:sz="4" w:space="0" w:color="000000"/>
              <w:right w:val="single" w:sz="4" w:space="0" w:color="000000"/>
            </w:tcBorders>
            <w:vAlign w:val="center"/>
            <w:hideMark/>
          </w:tcPr>
          <w:p w14:paraId="5E0B8316" w14:textId="77777777" w:rsidR="004A7790" w:rsidRPr="004A7790" w:rsidRDefault="004A7790" w:rsidP="000A5389">
            <w:pPr>
              <w:spacing w:line="240" w:lineRule="auto"/>
              <w:jc w:val="center"/>
              <w:rPr>
                <w:rFonts w:eastAsia="Times New Roman" w:cs="Times New Roman"/>
                <w:b/>
                <w:bCs/>
                <w:color w:val="000000"/>
                <w:kern w:val="0"/>
                <w:sz w:val="16"/>
                <w:szCs w:val="16"/>
                <w:lang w:eastAsia="es-CO"/>
                <w14:ligatures w14:val="none"/>
              </w:rPr>
            </w:pPr>
            <w:r w:rsidRPr="004A7790">
              <w:rPr>
                <w:rFonts w:eastAsia="Times New Roman" w:cs="Times New Roman"/>
                <w:b/>
                <w:bCs/>
                <w:color w:val="000000"/>
                <w:kern w:val="0"/>
                <w:sz w:val="16"/>
                <w:szCs w:val="16"/>
                <w:lang w:eastAsia="es-CO"/>
                <w14:ligatures w14:val="none"/>
              </w:rPr>
              <w:t>2024</w:t>
            </w:r>
            <w:r w:rsidRPr="004A7790">
              <w:rPr>
                <w:rFonts w:eastAsia="Times New Roman" w:cs="Times New Roman"/>
                <w:color w:val="000000"/>
                <w:kern w:val="0"/>
                <w:sz w:val="16"/>
                <w:szCs w:val="16"/>
                <w:lang w:eastAsia="es-CO"/>
                <w14:ligatures w14:val="none"/>
              </w:rPr>
              <w:t> </w:t>
            </w:r>
          </w:p>
        </w:tc>
        <w:tc>
          <w:tcPr>
            <w:tcW w:w="902" w:type="pct"/>
            <w:tcBorders>
              <w:top w:val="nil"/>
              <w:left w:val="nil"/>
              <w:bottom w:val="single" w:sz="4" w:space="0" w:color="000000"/>
              <w:right w:val="single" w:sz="4" w:space="0" w:color="000000"/>
            </w:tcBorders>
            <w:vAlign w:val="center"/>
            <w:hideMark/>
          </w:tcPr>
          <w:p w14:paraId="7AB0D8ED" w14:textId="77777777" w:rsidR="004A7790" w:rsidRPr="004A7790" w:rsidRDefault="004A7790" w:rsidP="000A5389">
            <w:pPr>
              <w:spacing w:line="240" w:lineRule="auto"/>
              <w:jc w:val="center"/>
              <w:rPr>
                <w:rFonts w:eastAsia="Times New Roman" w:cs="Times New Roman"/>
                <w:b/>
                <w:bCs/>
                <w:color w:val="000000"/>
                <w:kern w:val="0"/>
                <w:sz w:val="16"/>
                <w:szCs w:val="16"/>
                <w:lang w:eastAsia="es-CO"/>
                <w14:ligatures w14:val="none"/>
              </w:rPr>
            </w:pPr>
            <w:r w:rsidRPr="004A7790">
              <w:rPr>
                <w:rFonts w:eastAsia="Times New Roman" w:cs="Times New Roman"/>
                <w:b/>
                <w:bCs/>
                <w:color w:val="000000"/>
                <w:kern w:val="0"/>
                <w:sz w:val="16"/>
                <w:szCs w:val="16"/>
                <w:lang w:eastAsia="es-CO"/>
                <w14:ligatures w14:val="none"/>
              </w:rPr>
              <w:t>VALOR VARIACIÓN</w:t>
            </w:r>
          </w:p>
        </w:tc>
      </w:tr>
      <w:tr w:rsidR="004A7790" w:rsidRPr="004A7790" w14:paraId="1B21DFB5" w14:textId="77777777" w:rsidTr="004A7790">
        <w:trPr>
          <w:trHeight w:val="408"/>
          <w:jc w:val="center"/>
        </w:trPr>
        <w:tc>
          <w:tcPr>
            <w:tcW w:w="657" w:type="pct"/>
            <w:tcBorders>
              <w:top w:val="nil"/>
              <w:left w:val="single" w:sz="4" w:space="0" w:color="000000"/>
              <w:bottom w:val="single" w:sz="4" w:space="0" w:color="000000"/>
              <w:right w:val="single" w:sz="4" w:space="0" w:color="000000"/>
            </w:tcBorders>
            <w:vAlign w:val="center"/>
            <w:hideMark/>
          </w:tcPr>
          <w:p w14:paraId="3B122E30" w14:textId="77777777" w:rsidR="004A7790" w:rsidRPr="004A7790" w:rsidRDefault="004A7790" w:rsidP="000A5389">
            <w:pPr>
              <w:spacing w:line="240" w:lineRule="auto"/>
              <w:rPr>
                <w:rFonts w:eastAsia="Times New Roman" w:cs="Times New Roman"/>
                <w:b/>
                <w:bCs/>
                <w:color w:val="000000"/>
                <w:kern w:val="0"/>
                <w:sz w:val="16"/>
                <w:szCs w:val="16"/>
                <w:lang w:eastAsia="es-CO"/>
                <w14:ligatures w14:val="none"/>
              </w:rPr>
            </w:pPr>
            <w:r w:rsidRPr="004A7790">
              <w:rPr>
                <w:rFonts w:eastAsia="Times New Roman" w:cs="Times New Roman"/>
                <w:b/>
                <w:bCs/>
                <w:color w:val="000000"/>
                <w:kern w:val="0"/>
                <w:sz w:val="16"/>
                <w:szCs w:val="16"/>
                <w:lang w:eastAsia="es-CO"/>
                <w14:ligatures w14:val="none"/>
              </w:rPr>
              <w:t>3.1</w:t>
            </w:r>
            <w:r w:rsidRPr="004A7790">
              <w:rPr>
                <w:rFonts w:eastAsia="Times New Roman" w:cs="Times New Roman"/>
                <w:color w:val="000000"/>
                <w:kern w:val="0"/>
                <w:sz w:val="16"/>
                <w:szCs w:val="16"/>
                <w:lang w:eastAsia="es-CO"/>
                <w14:ligatures w14:val="none"/>
              </w:rPr>
              <w:t> </w:t>
            </w:r>
          </w:p>
        </w:tc>
        <w:tc>
          <w:tcPr>
            <w:tcW w:w="316" w:type="pct"/>
            <w:tcBorders>
              <w:top w:val="nil"/>
              <w:left w:val="nil"/>
              <w:bottom w:val="single" w:sz="4" w:space="0" w:color="000000"/>
              <w:right w:val="single" w:sz="4" w:space="0" w:color="000000"/>
            </w:tcBorders>
            <w:vAlign w:val="center"/>
            <w:hideMark/>
          </w:tcPr>
          <w:p w14:paraId="4382AFBE" w14:textId="77777777" w:rsidR="004A7790" w:rsidRPr="004A7790" w:rsidRDefault="004A7790" w:rsidP="000A5389">
            <w:pPr>
              <w:spacing w:line="240" w:lineRule="auto"/>
              <w:jc w:val="center"/>
              <w:rPr>
                <w:rFonts w:eastAsia="Times New Roman" w:cs="Times New Roman"/>
                <w:b/>
                <w:bCs/>
                <w:color w:val="000000"/>
                <w:kern w:val="0"/>
                <w:sz w:val="16"/>
                <w:szCs w:val="16"/>
                <w:lang w:eastAsia="es-CO"/>
                <w14:ligatures w14:val="none"/>
              </w:rPr>
            </w:pPr>
            <w:r w:rsidRPr="004A7790">
              <w:rPr>
                <w:rFonts w:eastAsia="Times New Roman" w:cs="Times New Roman"/>
                <w:b/>
                <w:bCs/>
                <w:color w:val="000000"/>
                <w:kern w:val="0"/>
                <w:sz w:val="16"/>
                <w:szCs w:val="16"/>
                <w:lang w:eastAsia="es-CO"/>
                <w14:ligatures w14:val="none"/>
              </w:rPr>
              <w:t>Cr</w:t>
            </w:r>
            <w:r w:rsidRPr="004A7790">
              <w:rPr>
                <w:rFonts w:eastAsia="Times New Roman" w:cs="Times New Roman"/>
                <w:color w:val="000000"/>
                <w:kern w:val="0"/>
                <w:sz w:val="16"/>
                <w:szCs w:val="16"/>
                <w:lang w:eastAsia="es-CO"/>
                <w14:ligatures w14:val="none"/>
              </w:rPr>
              <w:t> </w:t>
            </w:r>
          </w:p>
        </w:tc>
        <w:tc>
          <w:tcPr>
            <w:tcW w:w="1217" w:type="pct"/>
            <w:tcBorders>
              <w:top w:val="nil"/>
              <w:left w:val="nil"/>
              <w:bottom w:val="single" w:sz="4" w:space="0" w:color="000000"/>
              <w:right w:val="single" w:sz="4" w:space="0" w:color="000000"/>
            </w:tcBorders>
            <w:vAlign w:val="center"/>
            <w:hideMark/>
          </w:tcPr>
          <w:p w14:paraId="079CF0BB" w14:textId="77777777" w:rsidR="004A7790" w:rsidRPr="004A7790" w:rsidRDefault="004A7790" w:rsidP="000A5389">
            <w:pPr>
              <w:spacing w:line="240" w:lineRule="auto"/>
              <w:jc w:val="center"/>
              <w:rPr>
                <w:rFonts w:eastAsia="Times New Roman" w:cs="Times New Roman"/>
                <w:b/>
                <w:bCs/>
                <w:color w:val="000000"/>
                <w:kern w:val="0"/>
                <w:sz w:val="16"/>
                <w:szCs w:val="16"/>
                <w:lang w:eastAsia="es-CO"/>
                <w14:ligatures w14:val="none"/>
              </w:rPr>
            </w:pPr>
            <w:r w:rsidRPr="004A7790">
              <w:rPr>
                <w:rFonts w:eastAsia="Times New Roman" w:cs="Times New Roman"/>
                <w:b/>
                <w:bCs/>
                <w:color w:val="000000"/>
                <w:kern w:val="0"/>
                <w:sz w:val="16"/>
                <w:szCs w:val="16"/>
                <w:lang w:eastAsia="es-CO"/>
                <w14:ligatures w14:val="none"/>
              </w:rPr>
              <w:t>PATRIMONIO DE LAS ENTIDADES DE GOBIERNO</w:t>
            </w:r>
            <w:r w:rsidRPr="004A7790">
              <w:rPr>
                <w:rFonts w:eastAsia="Times New Roman" w:cs="Times New Roman"/>
                <w:color w:val="000000"/>
                <w:kern w:val="0"/>
                <w:sz w:val="16"/>
                <w:szCs w:val="16"/>
                <w:lang w:eastAsia="es-CO"/>
                <w14:ligatures w14:val="none"/>
              </w:rPr>
              <w:t> </w:t>
            </w:r>
          </w:p>
        </w:tc>
        <w:tc>
          <w:tcPr>
            <w:tcW w:w="954" w:type="pct"/>
            <w:tcBorders>
              <w:top w:val="nil"/>
              <w:left w:val="nil"/>
              <w:bottom w:val="single" w:sz="4" w:space="0" w:color="000000"/>
              <w:right w:val="single" w:sz="4" w:space="0" w:color="000000"/>
            </w:tcBorders>
            <w:noWrap/>
            <w:vAlign w:val="center"/>
            <w:hideMark/>
          </w:tcPr>
          <w:p w14:paraId="2ACBEE35" w14:textId="77777777" w:rsidR="004A7790" w:rsidRPr="004A7790" w:rsidRDefault="004A7790" w:rsidP="000A5389">
            <w:pPr>
              <w:spacing w:line="240" w:lineRule="auto"/>
              <w:jc w:val="right"/>
              <w:rPr>
                <w:rFonts w:ascii="Arial" w:eastAsia="Times New Roman" w:hAnsi="Arial" w:cs="Arial"/>
                <w:b/>
                <w:bCs/>
                <w:kern w:val="0"/>
                <w:sz w:val="16"/>
                <w:szCs w:val="16"/>
                <w:lang w:eastAsia="es-CO"/>
                <w14:ligatures w14:val="none"/>
              </w:rPr>
            </w:pPr>
            <w:r w:rsidRPr="004A7790">
              <w:rPr>
                <w:rFonts w:ascii="Arial" w:eastAsia="Times New Roman" w:hAnsi="Arial" w:cs="Arial"/>
                <w:b/>
                <w:bCs/>
                <w:kern w:val="0"/>
                <w:sz w:val="16"/>
                <w:szCs w:val="16"/>
                <w:lang w:eastAsia="es-CO"/>
                <w14:ligatures w14:val="none"/>
              </w:rPr>
              <w:t>29.539.455.769.965</w:t>
            </w:r>
          </w:p>
        </w:tc>
        <w:tc>
          <w:tcPr>
            <w:tcW w:w="954" w:type="pct"/>
            <w:tcBorders>
              <w:top w:val="nil"/>
              <w:left w:val="nil"/>
              <w:bottom w:val="single" w:sz="4" w:space="0" w:color="000000"/>
              <w:right w:val="single" w:sz="4" w:space="0" w:color="000000"/>
            </w:tcBorders>
            <w:noWrap/>
            <w:vAlign w:val="center"/>
            <w:hideMark/>
          </w:tcPr>
          <w:p w14:paraId="6C7E2A8A" w14:textId="77777777" w:rsidR="004A7790" w:rsidRPr="004A7790" w:rsidRDefault="004A7790" w:rsidP="000A5389">
            <w:pPr>
              <w:spacing w:line="240" w:lineRule="auto"/>
              <w:jc w:val="right"/>
              <w:rPr>
                <w:rFonts w:ascii="Arial" w:eastAsia="Times New Roman" w:hAnsi="Arial" w:cs="Arial"/>
                <w:b/>
                <w:bCs/>
                <w:kern w:val="0"/>
                <w:sz w:val="16"/>
                <w:szCs w:val="16"/>
                <w:lang w:eastAsia="es-CO"/>
                <w14:ligatures w14:val="none"/>
              </w:rPr>
            </w:pPr>
            <w:r w:rsidRPr="004A7790">
              <w:rPr>
                <w:rFonts w:ascii="Arial" w:eastAsia="Times New Roman" w:hAnsi="Arial" w:cs="Arial"/>
                <w:b/>
                <w:bCs/>
                <w:kern w:val="0"/>
                <w:sz w:val="16"/>
                <w:szCs w:val="16"/>
                <w:lang w:eastAsia="es-CO"/>
                <w14:ligatures w14:val="none"/>
              </w:rPr>
              <w:t>30.756.886.387.076</w:t>
            </w:r>
          </w:p>
        </w:tc>
        <w:tc>
          <w:tcPr>
            <w:tcW w:w="902" w:type="pct"/>
            <w:tcBorders>
              <w:top w:val="nil"/>
              <w:left w:val="nil"/>
              <w:bottom w:val="single" w:sz="4" w:space="0" w:color="000000"/>
              <w:right w:val="single" w:sz="4" w:space="0" w:color="000000"/>
            </w:tcBorders>
            <w:noWrap/>
            <w:vAlign w:val="center"/>
            <w:hideMark/>
          </w:tcPr>
          <w:p w14:paraId="3F32CE51" w14:textId="77777777" w:rsidR="004A7790" w:rsidRPr="004A7790" w:rsidRDefault="004A7790" w:rsidP="000A5389">
            <w:pPr>
              <w:spacing w:line="240" w:lineRule="auto"/>
              <w:jc w:val="right"/>
              <w:rPr>
                <w:rFonts w:ascii="Arial" w:eastAsia="Times New Roman" w:hAnsi="Arial" w:cs="Arial"/>
                <w:b/>
                <w:bCs/>
                <w:kern w:val="0"/>
                <w:sz w:val="16"/>
                <w:szCs w:val="16"/>
                <w:lang w:eastAsia="es-CO"/>
                <w14:ligatures w14:val="none"/>
              </w:rPr>
            </w:pPr>
            <w:r w:rsidRPr="004A7790">
              <w:rPr>
                <w:rFonts w:ascii="Arial" w:eastAsia="Times New Roman" w:hAnsi="Arial" w:cs="Arial"/>
                <w:b/>
                <w:bCs/>
                <w:kern w:val="0"/>
                <w:sz w:val="16"/>
                <w:szCs w:val="16"/>
                <w:lang w:eastAsia="es-CO"/>
                <w14:ligatures w14:val="none"/>
              </w:rPr>
              <w:t>-1.217.430.617.111</w:t>
            </w:r>
          </w:p>
        </w:tc>
      </w:tr>
      <w:tr w:rsidR="004A7790" w:rsidRPr="004A7790" w14:paraId="3CB37697" w14:textId="77777777" w:rsidTr="004A7790">
        <w:trPr>
          <w:trHeight w:val="288"/>
          <w:jc w:val="center"/>
        </w:trPr>
        <w:tc>
          <w:tcPr>
            <w:tcW w:w="657" w:type="pct"/>
            <w:tcBorders>
              <w:top w:val="nil"/>
              <w:left w:val="single" w:sz="4" w:space="0" w:color="000000"/>
              <w:bottom w:val="single" w:sz="4" w:space="0" w:color="000000"/>
              <w:right w:val="single" w:sz="4" w:space="0" w:color="000000"/>
            </w:tcBorders>
            <w:vAlign w:val="center"/>
            <w:hideMark/>
          </w:tcPr>
          <w:p w14:paraId="7D8FD3E7" w14:textId="77777777" w:rsidR="004A7790" w:rsidRPr="004A7790" w:rsidRDefault="004A7790" w:rsidP="000A5389">
            <w:pPr>
              <w:spacing w:line="240" w:lineRule="auto"/>
              <w:rPr>
                <w:rFonts w:eastAsia="Times New Roman" w:cs="Times New Roman"/>
                <w:color w:val="000000"/>
                <w:kern w:val="0"/>
                <w:sz w:val="16"/>
                <w:szCs w:val="16"/>
                <w:lang w:eastAsia="es-CO"/>
                <w14:ligatures w14:val="none"/>
              </w:rPr>
            </w:pPr>
            <w:r w:rsidRPr="004A7790">
              <w:rPr>
                <w:rFonts w:eastAsia="Times New Roman" w:cs="Times New Roman"/>
                <w:color w:val="000000"/>
                <w:kern w:val="0"/>
                <w:sz w:val="16"/>
                <w:szCs w:val="16"/>
                <w:lang w:eastAsia="es-CO"/>
                <w14:ligatures w14:val="none"/>
              </w:rPr>
              <w:t>3.1.09  </w:t>
            </w:r>
          </w:p>
        </w:tc>
        <w:tc>
          <w:tcPr>
            <w:tcW w:w="316" w:type="pct"/>
            <w:tcBorders>
              <w:top w:val="nil"/>
              <w:left w:val="nil"/>
              <w:bottom w:val="single" w:sz="4" w:space="0" w:color="000000"/>
              <w:right w:val="single" w:sz="4" w:space="0" w:color="000000"/>
            </w:tcBorders>
            <w:vAlign w:val="center"/>
            <w:hideMark/>
          </w:tcPr>
          <w:p w14:paraId="11C14B1E" w14:textId="77777777" w:rsidR="004A7790" w:rsidRPr="004A7790" w:rsidRDefault="004A7790" w:rsidP="000A5389">
            <w:pPr>
              <w:spacing w:line="240" w:lineRule="auto"/>
              <w:jc w:val="center"/>
              <w:rPr>
                <w:rFonts w:eastAsia="Times New Roman" w:cs="Times New Roman"/>
                <w:color w:val="000000"/>
                <w:kern w:val="0"/>
                <w:sz w:val="16"/>
                <w:szCs w:val="16"/>
                <w:lang w:eastAsia="es-CO"/>
                <w14:ligatures w14:val="none"/>
              </w:rPr>
            </w:pPr>
            <w:r w:rsidRPr="004A7790">
              <w:rPr>
                <w:rFonts w:eastAsia="Times New Roman" w:cs="Times New Roman"/>
                <w:color w:val="000000"/>
                <w:kern w:val="0"/>
                <w:sz w:val="16"/>
                <w:szCs w:val="16"/>
                <w:lang w:eastAsia="es-CO"/>
                <w14:ligatures w14:val="none"/>
              </w:rPr>
              <w:t>Cr  </w:t>
            </w:r>
          </w:p>
        </w:tc>
        <w:tc>
          <w:tcPr>
            <w:tcW w:w="1217" w:type="pct"/>
            <w:tcBorders>
              <w:top w:val="nil"/>
              <w:left w:val="nil"/>
              <w:bottom w:val="single" w:sz="4" w:space="0" w:color="000000"/>
              <w:right w:val="single" w:sz="4" w:space="0" w:color="000000"/>
            </w:tcBorders>
            <w:vAlign w:val="center"/>
            <w:hideMark/>
          </w:tcPr>
          <w:p w14:paraId="3F6B7DAA" w14:textId="77777777" w:rsidR="004A7790" w:rsidRPr="004A7790" w:rsidRDefault="004A7790" w:rsidP="000A5389">
            <w:pPr>
              <w:spacing w:line="240" w:lineRule="auto"/>
              <w:rPr>
                <w:rFonts w:eastAsia="Times New Roman" w:cs="Times New Roman"/>
                <w:color w:val="000000"/>
                <w:kern w:val="0"/>
                <w:sz w:val="16"/>
                <w:szCs w:val="16"/>
                <w:lang w:eastAsia="es-CO"/>
                <w14:ligatures w14:val="none"/>
              </w:rPr>
            </w:pPr>
            <w:r w:rsidRPr="004A7790">
              <w:rPr>
                <w:rFonts w:eastAsia="Times New Roman" w:cs="Times New Roman"/>
                <w:color w:val="000000"/>
                <w:kern w:val="0"/>
                <w:sz w:val="16"/>
                <w:szCs w:val="16"/>
                <w:lang w:eastAsia="es-CO"/>
                <w14:ligatures w14:val="none"/>
              </w:rPr>
              <w:t>Resultados de ejercicios anteriores  </w:t>
            </w:r>
          </w:p>
        </w:tc>
        <w:tc>
          <w:tcPr>
            <w:tcW w:w="954" w:type="pct"/>
            <w:tcBorders>
              <w:top w:val="nil"/>
              <w:left w:val="nil"/>
              <w:bottom w:val="single" w:sz="4" w:space="0" w:color="000000"/>
              <w:right w:val="single" w:sz="4" w:space="0" w:color="000000"/>
            </w:tcBorders>
            <w:noWrap/>
            <w:vAlign w:val="center"/>
            <w:hideMark/>
          </w:tcPr>
          <w:p w14:paraId="19C0AC57" w14:textId="77777777" w:rsidR="004A7790" w:rsidRPr="004A7790" w:rsidRDefault="004A7790" w:rsidP="000A5389">
            <w:pPr>
              <w:spacing w:line="240" w:lineRule="auto"/>
              <w:jc w:val="right"/>
              <w:rPr>
                <w:rFonts w:ascii="Arial" w:eastAsia="Times New Roman" w:hAnsi="Arial" w:cs="Arial"/>
                <w:kern w:val="0"/>
                <w:sz w:val="16"/>
                <w:szCs w:val="16"/>
                <w:lang w:eastAsia="es-CO"/>
                <w14:ligatures w14:val="none"/>
              </w:rPr>
            </w:pPr>
            <w:r w:rsidRPr="004A7790">
              <w:rPr>
                <w:rFonts w:ascii="Arial" w:eastAsia="Times New Roman" w:hAnsi="Arial" w:cs="Arial"/>
                <w:kern w:val="0"/>
                <w:sz w:val="16"/>
                <w:szCs w:val="16"/>
                <w:lang w:eastAsia="es-CO"/>
                <w14:ligatures w14:val="none"/>
              </w:rPr>
              <w:t>19.534.764.986.816</w:t>
            </w:r>
          </w:p>
        </w:tc>
        <w:tc>
          <w:tcPr>
            <w:tcW w:w="954" w:type="pct"/>
            <w:tcBorders>
              <w:top w:val="nil"/>
              <w:left w:val="nil"/>
              <w:bottom w:val="single" w:sz="4" w:space="0" w:color="000000"/>
              <w:right w:val="single" w:sz="4" w:space="0" w:color="000000"/>
            </w:tcBorders>
            <w:noWrap/>
            <w:vAlign w:val="center"/>
            <w:hideMark/>
          </w:tcPr>
          <w:p w14:paraId="0FA04752" w14:textId="77777777" w:rsidR="004A7790" w:rsidRPr="004A7790" w:rsidRDefault="004A7790" w:rsidP="000A5389">
            <w:pPr>
              <w:spacing w:line="240" w:lineRule="auto"/>
              <w:jc w:val="right"/>
              <w:rPr>
                <w:rFonts w:ascii="Arial" w:eastAsia="Times New Roman" w:hAnsi="Arial" w:cs="Arial"/>
                <w:kern w:val="0"/>
                <w:sz w:val="16"/>
                <w:szCs w:val="16"/>
                <w:lang w:eastAsia="es-CO"/>
                <w14:ligatures w14:val="none"/>
              </w:rPr>
            </w:pPr>
            <w:r w:rsidRPr="004A7790">
              <w:rPr>
                <w:rFonts w:ascii="Arial" w:eastAsia="Times New Roman" w:hAnsi="Arial" w:cs="Arial"/>
                <w:kern w:val="0"/>
                <w:sz w:val="16"/>
                <w:szCs w:val="16"/>
                <w:lang w:eastAsia="es-CO"/>
                <w14:ligatures w14:val="none"/>
              </w:rPr>
              <w:t>13.090.486.611.979</w:t>
            </w:r>
          </w:p>
        </w:tc>
        <w:tc>
          <w:tcPr>
            <w:tcW w:w="902" w:type="pct"/>
            <w:tcBorders>
              <w:top w:val="nil"/>
              <w:left w:val="nil"/>
              <w:bottom w:val="single" w:sz="4" w:space="0" w:color="000000"/>
              <w:right w:val="single" w:sz="4" w:space="0" w:color="000000"/>
            </w:tcBorders>
            <w:noWrap/>
            <w:vAlign w:val="center"/>
            <w:hideMark/>
          </w:tcPr>
          <w:p w14:paraId="12DCD3BB" w14:textId="77777777" w:rsidR="004A7790" w:rsidRPr="004A7790" w:rsidRDefault="004A7790" w:rsidP="000A5389">
            <w:pPr>
              <w:spacing w:line="240" w:lineRule="auto"/>
              <w:jc w:val="right"/>
              <w:rPr>
                <w:rFonts w:ascii="Arial" w:eastAsia="Times New Roman" w:hAnsi="Arial" w:cs="Arial"/>
                <w:kern w:val="0"/>
                <w:sz w:val="16"/>
                <w:szCs w:val="16"/>
                <w:lang w:eastAsia="es-CO"/>
                <w14:ligatures w14:val="none"/>
              </w:rPr>
            </w:pPr>
            <w:r w:rsidRPr="004A7790">
              <w:rPr>
                <w:rFonts w:ascii="Arial" w:eastAsia="Times New Roman" w:hAnsi="Arial" w:cs="Arial"/>
                <w:kern w:val="0"/>
                <w:sz w:val="16"/>
                <w:szCs w:val="16"/>
                <w:lang w:eastAsia="es-CO"/>
                <w14:ligatures w14:val="none"/>
              </w:rPr>
              <w:t>6.444.278.374.837</w:t>
            </w:r>
          </w:p>
        </w:tc>
      </w:tr>
      <w:tr w:rsidR="004A7790" w:rsidRPr="004A7790" w14:paraId="7F076E41" w14:textId="77777777" w:rsidTr="004A7790">
        <w:trPr>
          <w:trHeight w:val="300"/>
          <w:jc w:val="center"/>
        </w:trPr>
        <w:tc>
          <w:tcPr>
            <w:tcW w:w="657" w:type="pct"/>
            <w:tcBorders>
              <w:top w:val="nil"/>
              <w:left w:val="single" w:sz="4" w:space="0" w:color="000000"/>
              <w:bottom w:val="single" w:sz="4" w:space="0" w:color="000000"/>
              <w:right w:val="single" w:sz="4" w:space="0" w:color="000000"/>
            </w:tcBorders>
            <w:vAlign w:val="center"/>
            <w:hideMark/>
          </w:tcPr>
          <w:p w14:paraId="4BD94789" w14:textId="77777777" w:rsidR="004A7790" w:rsidRPr="004A7790" w:rsidRDefault="004A7790" w:rsidP="000A5389">
            <w:pPr>
              <w:spacing w:line="240" w:lineRule="auto"/>
              <w:rPr>
                <w:rFonts w:eastAsia="Times New Roman" w:cs="Times New Roman"/>
                <w:color w:val="000000"/>
                <w:kern w:val="0"/>
                <w:sz w:val="16"/>
                <w:szCs w:val="16"/>
                <w:lang w:eastAsia="es-CO"/>
                <w14:ligatures w14:val="none"/>
              </w:rPr>
            </w:pPr>
            <w:r w:rsidRPr="004A7790">
              <w:rPr>
                <w:rFonts w:eastAsia="Times New Roman" w:cs="Times New Roman"/>
                <w:color w:val="000000"/>
                <w:kern w:val="0"/>
                <w:sz w:val="16"/>
                <w:szCs w:val="16"/>
                <w:lang w:eastAsia="es-CO"/>
                <w14:ligatures w14:val="none"/>
              </w:rPr>
              <w:t>3.1.05  </w:t>
            </w:r>
          </w:p>
        </w:tc>
        <w:tc>
          <w:tcPr>
            <w:tcW w:w="316" w:type="pct"/>
            <w:tcBorders>
              <w:top w:val="nil"/>
              <w:left w:val="nil"/>
              <w:bottom w:val="single" w:sz="4" w:space="0" w:color="000000"/>
              <w:right w:val="single" w:sz="4" w:space="0" w:color="000000"/>
            </w:tcBorders>
            <w:vAlign w:val="center"/>
            <w:hideMark/>
          </w:tcPr>
          <w:p w14:paraId="699A33F3" w14:textId="77777777" w:rsidR="004A7790" w:rsidRPr="004A7790" w:rsidRDefault="004A7790" w:rsidP="000A5389">
            <w:pPr>
              <w:spacing w:line="240" w:lineRule="auto"/>
              <w:jc w:val="center"/>
              <w:rPr>
                <w:rFonts w:eastAsia="Times New Roman" w:cs="Times New Roman"/>
                <w:color w:val="000000"/>
                <w:kern w:val="0"/>
                <w:sz w:val="16"/>
                <w:szCs w:val="16"/>
                <w:lang w:eastAsia="es-CO"/>
                <w14:ligatures w14:val="none"/>
              </w:rPr>
            </w:pPr>
            <w:r w:rsidRPr="004A7790">
              <w:rPr>
                <w:rFonts w:eastAsia="Times New Roman" w:cs="Times New Roman"/>
                <w:color w:val="000000"/>
                <w:kern w:val="0"/>
                <w:sz w:val="16"/>
                <w:szCs w:val="16"/>
                <w:lang w:eastAsia="es-CO"/>
                <w14:ligatures w14:val="none"/>
              </w:rPr>
              <w:t>Cr  </w:t>
            </w:r>
          </w:p>
        </w:tc>
        <w:tc>
          <w:tcPr>
            <w:tcW w:w="1217" w:type="pct"/>
            <w:tcBorders>
              <w:top w:val="nil"/>
              <w:left w:val="nil"/>
              <w:bottom w:val="single" w:sz="4" w:space="0" w:color="000000"/>
              <w:right w:val="single" w:sz="4" w:space="0" w:color="000000"/>
            </w:tcBorders>
            <w:vAlign w:val="center"/>
            <w:hideMark/>
          </w:tcPr>
          <w:p w14:paraId="5BC7E1AB" w14:textId="77777777" w:rsidR="004A7790" w:rsidRPr="004A7790" w:rsidRDefault="004A7790" w:rsidP="000A5389">
            <w:pPr>
              <w:spacing w:line="240" w:lineRule="auto"/>
              <w:rPr>
                <w:rFonts w:eastAsia="Times New Roman" w:cs="Times New Roman"/>
                <w:color w:val="000000"/>
                <w:kern w:val="0"/>
                <w:sz w:val="16"/>
                <w:szCs w:val="16"/>
                <w:lang w:eastAsia="es-CO"/>
                <w14:ligatures w14:val="none"/>
              </w:rPr>
            </w:pPr>
            <w:r w:rsidRPr="004A7790">
              <w:rPr>
                <w:rFonts w:eastAsia="Times New Roman" w:cs="Times New Roman"/>
                <w:color w:val="000000"/>
                <w:kern w:val="0"/>
                <w:sz w:val="16"/>
                <w:szCs w:val="16"/>
                <w:lang w:eastAsia="es-CO"/>
                <w14:ligatures w14:val="none"/>
              </w:rPr>
              <w:t>Capital fiscal  </w:t>
            </w:r>
          </w:p>
        </w:tc>
        <w:tc>
          <w:tcPr>
            <w:tcW w:w="954" w:type="pct"/>
            <w:tcBorders>
              <w:top w:val="nil"/>
              <w:left w:val="nil"/>
              <w:bottom w:val="single" w:sz="4" w:space="0" w:color="000000"/>
              <w:right w:val="single" w:sz="4" w:space="0" w:color="000000"/>
            </w:tcBorders>
            <w:noWrap/>
            <w:vAlign w:val="center"/>
            <w:hideMark/>
          </w:tcPr>
          <w:p w14:paraId="1E2948A5" w14:textId="77777777" w:rsidR="004A7790" w:rsidRPr="004A7790" w:rsidRDefault="004A7790" w:rsidP="000A5389">
            <w:pPr>
              <w:spacing w:line="240" w:lineRule="auto"/>
              <w:jc w:val="right"/>
              <w:rPr>
                <w:rFonts w:ascii="Arial" w:eastAsia="Times New Roman" w:hAnsi="Arial" w:cs="Arial"/>
                <w:kern w:val="0"/>
                <w:sz w:val="16"/>
                <w:szCs w:val="16"/>
                <w:lang w:eastAsia="es-CO"/>
                <w14:ligatures w14:val="none"/>
              </w:rPr>
            </w:pPr>
            <w:r w:rsidRPr="004A7790">
              <w:rPr>
                <w:rFonts w:ascii="Arial" w:eastAsia="Times New Roman" w:hAnsi="Arial" w:cs="Arial"/>
                <w:kern w:val="0"/>
                <w:sz w:val="16"/>
                <w:szCs w:val="16"/>
                <w:lang w:eastAsia="es-CO"/>
                <w14:ligatures w14:val="none"/>
              </w:rPr>
              <w:t>13.090.486.611.979</w:t>
            </w:r>
          </w:p>
        </w:tc>
        <w:tc>
          <w:tcPr>
            <w:tcW w:w="954" w:type="pct"/>
            <w:tcBorders>
              <w:top w:val="nil"/>
              <w:left w:val="nil"/>
              <w:bottom w:val="single" w:sz="4" w:space="0" w:color="000000"/>
              <w:right w:val="single" w:sz="4" w:space="0" w:color="000000"/>
            </w:tcBorders>
            <w:noWrap/>
            <w:vAlign w:val="center"/>
            <w:hideMark/>
          </w:tcPr>
          <w:p w14:paraId="30D4AE85" w14:textId="77777777" w:rsidR="004A7790" w:rsidRPr="004A7790" w:rsidRDefault="004A7790" w:rsidP="000A5389">
            <w:pPr>
              <w:spacing w:line="240" w:lineRule="auto"/>
              <w:jc w:val="right"/>
              <w:rPr>
                <w:rFonts w:ascii="Arial" w:eastAsia="Times New Roman" w:hAnsi="Arial" w:cs="Arial"/>
                <w:kern w:val="0"/>
                <w:sz w:val="16"/>
                <w:szCs w:val="16"/>
                <w:lang w:eastAsia="es-CO"/>
                <w14:ligatures w14:val="none"/>
              </w:rPr>
            </w:pPr>
            <w:r w:rsidRPr="004A7790">
              <w:rPr>
                <w:rFonts w:ascii="Arial" w:eastAsia="Times New Roman" w:hAnsi="Arial" w:cs="Arial"/>
                <w:kern w:val="0"/>
                <w:sz w:val="16"/>
                <w:szCs w:val="16"/>
                <w:lang w:eastAsia="es-CO"/>
                <w14:ligatures w14:val="none"/>
              </w:rPr>
              <w:t>13.090.486.611.979</w:t>
            </w:r>
          </w:p>
        </w:tc>
        <w:tc>
          <w:tcPr>
            <w:tcW w:w="902" w:type="pct"/>
            <w:tcBorders>
              <w:top w:val="nil"/>
              <w:left w:val="nil"/>
              <w:bottom w:val="single" w:sz="4" w:space="0" w:color="000000"/>
              <w:right w:val="single" w:sz="4" w:space="0" w:color="000000"/>
            </w:tcBorders>
            <w:noWrap/>
            <w:vAlign w:val="center"/>
            <w:hideMark/>
          </w:tcPr>
          <w:p w14:paraId="6A37F037" w14:textId="77777777" w:rsidR="004A7790" w:rsidRPr="004A7790" w:rsidRDefault="004A7790" w:rsidP="000A5389">
            <w:pPr>
              <w:spacing w:line="240" w:lineRule="auto"/>
              <w:jc w:val="right"/>
              <w:rPr>
                <w:rFonts w:ascii="Arial" w:eastAsia="Times New Roman" w:hAnsi="Arial" w:cs="Arial"/>
                <w:kern w:val="0"/>
                <w:sz w:val="16"/>
                <w:szCs w:val="16"/>
                <w:lang w:eastAsia="es-CO"/>
                <w14:ligatures w14:val="none"/>
              </w:rPr>
            </w:pPr>
            <w:r w:rsidRPr="004A7790">
              <w:rPr>
                <w:rFonts w:ascii="Arial" w:eastAsia="Times New Roman" w:hAnsi="Arial" w:cs="Arial"/>
                <w:kern w:val="0"/>
                <w:sz w:val="16"/>
                <w:szCs w:val="16"/>
                <w:lang w:eastAsia="es-CO"/>
                <w14:ligatures w14:val="none"/>
              </w:rPr>
              <w:t>0</w:t>
            </w:r>
          </w:p>
        </w:tc>
      </w:tr>
      <w:tr w:rsidR="004A7790" w:rsidRPr="004A7790" w14:paraId="4282A817" w14:textId="77777777" w:rsidTr="004A7790">
        <w:trPr>
          <w:trHeight w:val="288"/>
          <w:jc w:val="center"/>
        </w:trPr>
        <w:tc>
          <w:tcPr>
            <w:tcW w:w="657" w:type="pct"/>
            <w:tcBorders>
              <w:top w:val="nil"/>
              <w:left w:val="single" w:sz="4" w:space="0" w:color="000000"/>
              <w:bottom w:val="single" w:sz="4" w:space="0" w:color="000000"/>
              <w:right w:val="single" w:sz="4" w:space="0" w:color="000000"/>
            </w:tcBorders>
            <w:vAlign w:val="center"/>
            <w:hideMark/>
          </w:tcPr>
          <w:p w14:paraId="5B1DB29E" w14:textId="77777777" w:rsidR="004A7790" w:rsidRPr="004A7790" w:rsidRDefault="004A7790" w:rsidP="000A5389">
            <w:pPr>
              <w:spacing w:line="240" w:lineRule="auto"/>
              <w:rPr>
                <w:rFonts w:eastAsia="Times New Roman" w:cs="Times New Roman"/>
                <w:color w:val="000000"/>
                <w:kern w:val="0"/>
                <w:sz w:val="16"/>
                <w:szCs w:val="16"/>
                <w:lang w:eastAsia="es-CO"/>
                <w14:ligatures w14:val="none"/>
              </w:rPr>
            </w:pPr>
            <w:r w:rsidRPr="004A7790">
              <w:rPr>
                <w:rFonts w:eastAsia="Times New Roman" w:cs="Times New Roman"/>
                <w:color w:val="000000"/>
                <w:kern w:val="0"/>
                <w:sz w:val="16"/>
                <w:szCs w:val="16"/>
                <w:lang w:eastAsia="es-CO"/>
                <w14:ligatures w14:val="none"/>
              </w:rPr>
              <w:t>3.1.10  </w:t>
            </w:r>
          </w:p>
        </w:tc>
        <w:tc>
          <w:tcPr>
            <w:tcW w:w="316" w:type="pct"/>
            <w:tcBorders>
              <w:top w:val="nil"/>
              <w:left w:val="nil"/>
              <w:bottom w:val="single" w:sz="4" w:space="0" w:color="000000"/>
              <w:right w:val="single" w:sz="4" w:space="0" w:color="000000"/>
            </w:tcBorders>
            <w:vAlign w:val="center"/>
            <w:hideMark/>
          </w:tcPr>
          <w:p w14:paraId="1D5A2CBF" w14:textId="77777777" w:rsidR="004A7790" w:rsidRPr="004A7790" w:rsidRDefault="004A7790" w:rsidP="000A5389">
            <w:pPr>
              <w:spacing w:line="240" w:lineRule="auto"/>
              <w:jc w:val="center"/>
              <w:rPr>
                <w:rFonts w:eastAsia="Times New Roman" w:cs="Times New Roman"/>
                <w:color w:val="000000"/>
                <w:kern w:val="0"/>
                <w:sz w:val="16"/>
                <w:szCs w:val="16"/>
                <w:lang w:eastAsia="es-CO"/>
                <w14:ligatures w14:val="none"/>
              </w:rPr>
            </w:pPr>
            <w:r w:rsidRPr="004A7790">
              <w:rPr>
                <w:rFonts w:eastAsia="Times New Roman" w:cs="Times New Roman"/>
                <w:color w:val="000000"/>
                <w:kern w:val="0"/>
                <w:sz w:val="16"/>
                <w:szCs w:val="16"/>
                <w:lang w:eastAsia="es-CO"/>
                <w14:ligatures w14:val="none"/>
              </w:rPr>
              <w:t>Cr  </w:t>
            </w:r>
          </w:p>
        </w:tc>
        <w:tc>
          <w:tcPr>
            <w:tcW w:w="1217" w:type="pct"/>
            <w:tcBorders>
              <w:top w:val="nil"/>
              <w:left w:val="nil"/>
              <w:bottom w:val="single" w:sz="4" w:space="0" w:color="000000"/>
              <w:right w:val="single" w:sz="4" w:space="0" w:color="000000"/>
            </w:tcBorders>
            <w:vAlign w:val="center"/>
            <w:hideMark/>
          </w:tcPr>
          <w:p w14:paraId="27734A98" w14:textId="77777777" w:rsidR="004A7790" w:rsidRPr="004A7790" w:rsidRDefault="004A7790" w:rsidP="000A5389">
            <w:pPr>
              <w:spacing w:line="240" w:lineRule="auto"/>
              <w:rPr>
                <w:rFonts w:eastAsia="Times New Roman" w:cs="Times New Roman"/>
                <w:color w:val="000000"/>
                <w:kern w:val="0"/>
                <w:sz w:val="16"/>
                <w:szCs w:val="16"/>
                <w:lang w:eastAsia="es-CO"/>
                <w14:ligatures w14:val="none"/>
              </w:rPr>
            </w:pPr>
            <w:r w:rsidRPr="004A7790">
              <w:rPr>
                <w:rFonts w:eastAsia="Times New Roman" w:cs="Times New Roman"/>
                <w:color w:val="000000"/>
                <w:kern w:val="0"/>
                <w:sz w:val="16"/>
                <w:szCs w:val="16"/>
                <w:lang w:eastAsia="es-CO"/>
                <w14:ligatures w14:val="none"/>
              </w:rPr>
              <w:t>Resultado del ejercicio  </w:t>
            </w:r>
          </w:p>
        </w:tc>
        <w:tc>
          <w:tcPr>
            <w:tcW w:w="954" w:type="pct"/>
            <w:tcBorders>
              <w:top w:val="nil"/>
              <w:left w:val="nil"/>
              <w:bottom w:val="single" w:sz="4" w:space="0" w:color="000000"/>
              <w:right w:val="single" w:sz="4" w:space="0" w:color="000000"/>
            </w:tcBorders>
            <w:noWrap/>
            <w:vAlign w:val="center"/>
            <w:hideMark/>
          </w:tcPr>
          <w:p w14:paraId="0D016D55" w14:textId="77777777" w:rsidR="004A7790" w:rsidRPr="004A7790" w:rsidRDefault="004A7790" w:rsidP="000A5389">
            <w:pPr>
              <w:spacing w:line="240" w:lineRule="auto"/>
              <w:jc w:val="right"/>
              <w:rPr>
                <w:rFonts w:ascii="Arial" w:eastAsia="Times New Roman" w:hAnsi="Arial" w:cs="Arial"/>
                <w:kern w:val="0"/>
                <w:sz w:val="16"/>
                <w:szCs w:val="16"/>
                <w:lang w:eastAsia="es-CO"/>
                <w14:ligatures w14:val="none"/>
              </w:rPr>
            </w:pPr>
            <w:r w:rsidRPr="004A7790">
              <w:rPr>
                <w:rFonts w:ascii="Arial" w:eastAsia="Times New Roman" w:hAnsi="Arial" w:cs="Arial"/>
                <w:kern w:val="0"/>
                <w:sz w:val="16"/>
                <w:szCs w:val="16"/>
                <w:lang w:eastAsia="es-CO"/>
                <w14:ligatures w14:val="none"/>
              </w:rPr>
              <w:t>-3.085.795.828.829</w:t>
            </w:r>
          </w:p>
        </w:tc>
        <w:tc>
          <w:tcPr>
            <w:tcW w:w="954" w:type="pct"/>
            <w:tcBorders>
              <w:top w:val="nil"/>
              <w:left w:val="nil"/>
              <w:bottom w:val="single" w:sz="4" w:space="0" w:color="000000"/>
              <w:right w:val="single" w:sz="4" w:space="0" w:color="000000"/>
            </w:tcBorders>
            <w:noWrap/>
            <w:vAlign w:val="center"/>
            <w:hideMark/>
          </w:tcPr>
          <w:p w14:paraId="0ACC0DA1" w14:textId="77777777" w:rsidR="004A7790" w:rsidRPr="004A7790" w:rsidRDefault="004A7790" w:rsidP="000A5389">
            <w:pPr>
              <w:spacing w:line="240" w:lineRule="auto"/>
              <w:jc w:val="right"/>
              <w:rPr>
                <w:rFonts w:ascii="Arial" w:eastAsia="Times New Roman" w:hAnsi="Arial" w:cs="Arial"/>
                <w:kern w:val="0"/>
                <w:sz w:val="16"/>
                <w:szCs w:val="16"/>
                <w:lang w:eastAsia="es-CO"/>
                <w14:ligatures w14:val="none"/>
              </w:rPr>
            </w:pPr>
            <w:r w:rsidRPr="004A7790">
              <w:rPr>
                <w:rFonts w:ascii="Arial" w:eastAsia="Times New Roman" w:hAnsi="Arial" w:cs="Arial"/>
                <w:kern w:val="0"/>
                <w:sz w:val="16"/>
                <w:szCs w:val="16"/>
                <w:lang w:eastAsia="es-CO"/>
                <w14:ligatures w14:val="none"/>
              </w:rPr>
              <w:t>-5.961.191.836.108</w:t>
            </w:r>
          </w:p>
        </w:tc>
        <w:tc>
          <w:tcPr>
            <w:tcW w:w="902" w:type="pct"/>
            <w:tcBorders>
              <w:top w:val="nil"/>
              <w:left w:val="nil"/>
              <w:bottom w:val="single" w:sz="4" w:space="0" w:color="000000"/>
              <w:right w:val="single" w:sz="4" w:space="0" w:color="000000"/>
            </w:tcBorders>
            <w:noWrap/>
            <w:vAlign w:val="center"/>
            <w:hideMark/>
          </w:tcPr>
          <w:p w14:paraId="5133925C" w14:textId="77777777" w:rsidR="004A7790" w:rsidRPr="004A7790" w:rsidRDefault="004A7790" w:rsidP="000A5389">
            <w:pPr>
              <w:spacing w:line="240" w:lineRule="auto"/>
              <w:jc w:val="right"/>
              <w:rPr>
                <w:rFonts w:ascii="Arial" w:eastAsia="Times New Roman" w:hAnsi="Arial" w:cs="Arial"/>
                <w:kern w:val="0"/>
                <w:sz w:val="16"/>
                <w:szCs w:val="16"/>
                <w:lang w:eastAsia="es-CO"/>
                <w14:ligatures w14:val="none"/>
              </w:rPr>
            </w:pPr>
            <w:r w:rsidRPr="004A7790">
              <w:rPr>
                <w:rFonts w:ascii="Arial" w:eastAsia="Times New Roman" w:hAnsi="Arial" w:cs="Arial"/>
                <w:kern w:val="0"/>
                <w:sz w:val="16"/>
                <w:szCs w:val="16"/>
                <w:lang w:eastAsia="es-CO"/>
                <w14:ligatures w14:val="none"/>
              </w:rPr>
              <w:t>2.875.396.007.279</w:t>
            </w:r>
          </w:p>
        </w:tc>
      </w:tr>
    </w:tbl>
    <w:p w14:paraId="5264E52B" w14:textId="5451B068" w:rsidR="00522627" w:rsidRPr="00951AB1" w:rsidRDefault="084D6DC8" w:rsidP="000A5389">
      <w:pPr>
        <w:spacing w:line="240" w:lineRule="auto"/>
        <w:rPr>
          <w:rFonts w:cs="Times New Roman"/>
        </w:rPr>
      </w:pPr>
      <w:r w:rsidRPr="00951AB1">
        <w:rPr>
          <w:rFonts w:eastAsia="Times New Roman" w:cs="Times New Roman"/>
          <w:sz w:val="14"/>
          <w:szCs w:val="14"/>
        </w:rPr>
        <w:t>Cifras expresadas en pesos</w:t>
      </w:r>
    </w:p>
    <w:p w14:paraId="522378DE" w14:textId="6BC610C1" w:rsidR="00522627" w:rsidRPr="00951AB1" w:rsidRDefault="6717EF38" w:rsidP="000A5389">
      <w:pPr>
        <w:spacing w:line="240" w:lineRule="auto"/>
        <w:rPr>
          <w:rFonts w:cs="Times New Roman"/>
        </w:rPr>
      </w:pPr>
      <w:r w:rsidRPr="00951AB1">
        <w:rPr>
          <w:rFonts w:eastAsia="Times New Roman" w:cs="Times New Roman"/>
          <w:szCs w:val="24"/>
        </w:rPr>
        <w:t xml:space="preserve"> </w:t>
      </w:r>
    </w:p>
    <w:p w14:paraId="6183DCF1" w14:textId="528E792B" w:rsidR="0021505B" w:rsidRPr="00951AB1" w:rsidRDefault="03AD5897" w:rsidP="000A5389">
      <w:pPr>
        <w:spacing w:line="240" w:lineRule="auto"/>
        <w:rPr>
          <w:rFonts w:cs="Times New Roman"/>
        </w:rPr>
      </w:pPr>
      <w:r w:rsidRPr="00951AB1">
        <w:rPr>
          <w:rFonts w:eastAsia="Times New Roman" w:cs="Times New Roman"/>
          <w:szCs w:val="24"/>
        </w:rPr>
        <w:t>El Patrimonio de la Agencia, representa los recursos destinados para su creación y desarrollo, así como las variaciones patrimoniales originadas producto del desarrollo de sus funciones y cometido estatal, al igual que, los ajustes de los hechos económicos relacionados con los acuerdos de concesión por cambios de estimaciones y política producto de lo dispuesto en la Resolución CGN No. 602 de 2018, modificada por la Resolución CGN No. 443 de 2024 y, por último, los ajustes por corrección de errores de hechos ocurridos en vigencias anteriores.</w:t>
      </w:r>
    </w:p>
    <w:p w14:paraId="03B0C617" w14:textId="0E094520" w:rsidR="00522627" w:rsidRPr="00951AB1" w:rsidRDefault="6717EF38" w:rsidP="000A5389">
      <w:pPr>
        <w:spacing w:line="240" w:lineRule="auto"/>
        <w:rPr>
          <w:rFonts w:cs="Times New Roman"/>
        </w:rPr>
      </w:pPr>
      <w:r w:rsidRPr="00951AB1">
        <w:rPr>
          <w:rFonts w:eastAsia="Times New Roman" w:cs="Times New Roman"/>
          <w:szCs w:val="24"/>
        </w:rPr>
        <w:t xml:space="preserve"> </w:t>
      </w:r>
    </w:p>
    <w:p w14:paraId="264D36B1" w14:textId="72525B88" w:rsidR="00522627" w:rsidRPr="00951AB1" w:rsidRDefault="6717EF38" w:rsidP="000A5389">
      <w:pPr>
        <w:pStyle w:val="Ttulo2"/>
        <w:numPr>
          <w:ilvl w:val="0"/>
          <w:numId w:val="0"/>
        </w:numPr>
        <w:spacing w:line="240" w:lineRule="auto"/>
        <w:rPr>
          <w:rFonts w:eastAsia="Times New Roman" w:cs="Times New Roman"/>
        </w:rPr>
      </w:pPr>
      <w:bookmarkStart w:id="688" w:name="_Toc222824156"/>
      <w:bookmarkStart w:id="689" w:name="_Toc222955524"/>
      <w:r w:rsidRPr="00951AB1">
        <w:rPr>
          <w:rFonts w:eastAsia="Times New Roman" w:cs="Times New Roman"/>
        </w:rPr>
        <w:t>26.1</w:t>
      </w:r>
      <w:r w:rsidR="0068415C" w:rsidRPr="00951AB1">
        <w:rPr>
          <w:rFonts w:eastAsia="Times New Roman" w:cs="Times New Roman"/>
        </w:rPr>
        <w:t xml:space="preserve">.  </w:t>
      </w:r>
      <w:r w:rsidR="0068415C" w:rsidRPr="00951AB1">
        <w:rPr>
          <w:rFonts w:cs="Times New Roman"/>
        </w:rPr>
        <w:tab/>
      </w:r>
      <w:r w:rsidRPr="00951AB1">
        <w:rPr>
          <w:rFonts w:eastAsia="Times New Roman" w:cs="Times New Roman"/>
        </w:rPr>
        <w:t>Resultado de ejercicios anteriores</w:t>
      </w:r>
      <w:bookmarkEnd w:id="688"/>
      <w:bookmarkEnd w:id="689"/>
    </w:p>
    <w:p w14:paraId="0A9BA9A3" w14:textId="58B0FD05" w:rsidR="00522627" w:rsidRPr="00951AB1" w:rsidRDefault="6717EF38" w:rsidP="000A5389">
      <w:pPr>
        <w:spacing w:line="240" w:lineRule="auto"/>
        <w:rPr>
          <w:rFonts w:cs="Times New Roman"/>
        </w:rPr>
      </w:pPr>
      <w:r w:rsidRPr="00951AB1">
        <w:rPr>
          <w:rFonts w:cs="Times New Roman"/>
        </w:rPr>
        <w:t xml:space="preserve"> </w:t>
      </w:r>
    </w:p>
    <w:p w14:paraId="4459E88D" w14:textId="6DC811AE" w:rsidR="00522627" w:rsidRDefault="6717EF38" w:rsidP="000A5389">
      <w:pPr>
        <w:spacing w:line="240" w:lineRule="auto"/>
        <w:rPr>
          <w:rFonts w:cs="Times New Roman"/>
        </w:rPr>
      </w:pPr>
      <w:r w:rsidRPr="2A085367">
        <w:rPr>
          <w:rFonts w:eastAsia="Times New Roman" w:cs="Times New Roman"/>
          <w:szCs w:val="24"/>
        </w:rPr>
        <w:t>Esta cuenta representa el valor del resultado acumulado de ejercicios anteriores; para el periodo 2025, finalizó con el siguiente detalle:</w:t>
      </w:r>
      <w:r w:rsidRPr="2A085367">
        <w:rPr>
          <w:rFonts w:cs="Times New Roman"/>
        </w:rPr>
        <w:t xml:space="preserve"> </w:t>
      </w:r>
    </w:p>
    <w:p w14:paraId="4263F0B9" w14:textId="77777777" w:rsidR="00953AA2" w:rsidRDefault="00953AA2" w:rsidP="000A5389">
      <w:pPr>
        <w:spacing w:line="240" w:lineRule="auto"/>
        <w:rPr>
          <w:rFonts w:cs="Times New Roman"/>
        </w:rPr>
      </w:pPr>
    </w:p>
    <w:tbl>
      <w:tblPr>
        <w:tblW w:w="5000" w:type="pct"/>
        <w:tbl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insideH w:val="single" w:sz="2" w:space="0" w:color="A6A6A6" w:themeColor="background1" w:themeShade="A6"/>
          <w:insideV w:val="single" w:sz="2" w:space="0" w:color="A6A6A6" w:themeColor="background1" w:themeShade="A6"/>
        </w:tblBorders>
        <w:tblCellMar>
          <w:left w:w="70" w:type="dxa"/>
          <w:right w:w="70" w:type="dxa"/>
        </w:tblCellMar>
        <w:tblLook w:val="04A0" w:firstRow="1" w:lastRow="0" w:firstColumn="1" w:lastColumn="0" w:noHBand="0" w:noVBand="1"/>
      </w:tblPr>
      <w:tblGrid>
        <w:gridCol w:w="4020"/>
        <w:gridCol w:w="1634"/>
        <w:gridCol w:w="1634"/>
        <w:gridCol w:w="1544"/>
      </w:tblGrid>
      <w:tr w:rsidR="004A7790" w:rsidRPr="0039091F" w14:paraId="17EE60ED" w14:textId="77777777" w:rsidTr="0039091F">
        <w:trPr>
          <w:trHeight w:val="340"/>
          <w:tblHeader/>
        </w:trPr>
        <w:tc>
          <w:tcPr>
            <w:tcW w:w="2113" w:type="pct"/>
            <w:noWrap/>
            <w:vAlign w:val="center"/>
            <w:hideMark/>
          </w:tcPr>
          <w:p w14:paraId="045DF96F" w14:textId="77777777" w:rsidR="004A7790" w:rsidRPr="0039091F" w:rsidRDefault="004A7790" w:rsidP="000A5389">
            <w:pPr>
              <w:spacing w:line="240" w:lineRule="auto"/>
              <w:jc w:val="center"/>
              <w:rPr>
                <w:rFonts w:eastAsia="Times New Roman" w:cs="Times New Roman"/>
                <w:b/>
                <w:bCs/>
                <w:color w:val="000000"/>
                <w:kern w:val="0"/>
                <w:sz w:val="18"/>
                <w:szCs w:val="18"/>
                <w:lang w:eastAsia="es-CO"/>
                <w14:ligatures w14:val="none"/>
              </w:rPr>
            </w:pPr>
            <w:r w:rsidRPr="0039091F">
              <w:rPr>
                <w:rFonts w:eastAsia="Times New Roman" w:cs="Times New Roman"/>
                <w:b/>
                <w:bCs/>
                <w:color w:val="000000"/>
                <w:kern w:val="0"/>
                <w:sz w:val="18"/>
                <w:szCs w:val="18"/>
                <w:lang w:eastAsia="es-CO"/>
                <w14:ligatures w14:val="none"/>
              </w:rPr>
              <w:t>CONCEPTO</w:t>
            </w:r>
          </w:p>
        </w:tc>
        <w:tc>
          <w:tcPr>
            <w:tcW w:w="868" w:type="pct"/>
            <w:noWrap/>
            <w:vAlign w:val="center"/>
            <w:hideMark/>
          </w:tcPr>
          <w:p w14:paraId="2436D36B" w14:textId="77777777" w:rsidR="004A7790" w:rsidRPr="0039091F" w:rsidRDefault="004A7790" w:rsidP="000A5389">
            <w:pPr>
              <w:spacing w:line="240" w:lineRule="auto"/>
              <w:jc w:val="center"/>
              <w:rPr>
                <w:rFonts w:eastAsia="Times New Roman" w:cs="Times New Roman"/>
                <w:b/>
                <w:bCs/>
                <w:color w:val="000000"/>
                <w:kern w:val="0"/>
                <w:sz w:val="18"/>
                <w:szCs w:val="18"/>
                <w:lang w:eastAsia="es-CO"/>
                <w14:ligatures w14:val="none"/>
              </w:rPr>
            </w:pPr>
            <w:r w:rsidRPr="0039091F">
              <w:rPr>
                <w:rFonts w:eastAsia="Times New Roman" w:cs="Times New Roman"/>
                <w:b/>
                <w:bCs/>
                <w:color w:val="000000"/>
                <w:kern w:val="0"/>
                <w:sz w:val="18"/>
                <w:szCs w:val="18"/>
                <w:lang w:eastAsia="es-CO"/>
                <w14:ligatures w14:val="none"/>
              </w:rPr>
              <w:t>2025</w:t>
            </w:r>
          </w:p>
        </w:tc>
        <w:tc>
          <w:tcPr>
            <w:tcW w:w="868" w:type="pct"/>
            <w:noWrap/>
            <w:vAlign w:val="center"/>
            <w:hideMark/>
          </w:tcPr>
          <w:p w14:paraId="66597D45" w14:textId="77777777" w:rsidR="004A7790" w:rsidRPr="0039091F" w:rsidRDefault="004A7790" w:rsidP="000A5389">
            <w:pPr>
              <w:spacing w:line="240" w:lineRule="auto"/>
              <w:jc w:val="center"/>
              <w:rPr>
                <w:rFonts w:eastAsia="Times New Roman" w:cs="Times New Roman"/>
                <w:b/>
                <w:bCs/>
                <w:color w:val="000000"/>
                <w:kern w:val="0"/>
                <w:sz w:val="18"/>
                <w:szCs w:val="18"/>
                <w:lang w:eastAsia="es-CO"/>
                <w14:ligatures w14:val="none"/>
              </w:rPr>
            </w:pPr>
            <w:r w:rsidRPr="0039091F">
              <w:rPr>
                <w:rFonts w:eastAsia="Times New Roman" w:cs="Times New Roman"/>
                <w:b/>
                <w:bCs/>
                <w:color w:val="000000"/>
                <w:kern w:val="0"/>
                <w:sz w:val="18"/>
                <w:szCs w:val="18"/>
                <w:lang w:eastAsia="es-CO"/>
                <w14:ligatures w14:val="none"/>
              </w:rPr>
              <w:t>2024</w:t>
            </w:r>
          </w:p>
        </w:tc>
        <w:tc>
          <w:tcPr>
            <w:tcW w:w="1151" w:type="pct"/>
            <w:noWrap/>
            <w:vAlign w:val="center"/>
            <w:hideMark/>
          </w:tcPr>
          <w:p w14:paraId="1227B243" w14:textId="77777777" w:rsidR="004A7790" w:rsidRPr="0039091F" w:rsidRDefault="004A7790" w:rsidP="000A5389">
            <w:pPr>
              <w:spacing w:line="240" w:lineRule="auto"/>
              <w:jc w:val="center"/>
              <w:rPr>
                <w:rFonts w:eastAsia="Times New Roman" w:cs="Times New Roman"/>
                <w:b/>
                <w:bCs/>
                <w:color w:val="000000"/>
                <w:kern w:val="0"/>
                <w:sz w:val="18"/>
                <w:szCs w:val="18"/>
                <w:lang w:eastAsia="es-CO"/>
                <w14:ligatures w14:val="none"/>
              </w:rPr>
            </w:pPr>
            <w:r w:rsidRPr="0039091F">
              <w:rPr>
                <w:rFonts w:eastAsia="Times New Roman" w:cs="Times New Roman"/>
                <w:b/>
                <w:bCs/>
                <w:color w:val="000000"/>
                <w:kern w:val="0"/>
                <w:sz w:val="18"/>
                <w:szCs w:val="18"/>
                <w:lang w:eastAsia="es-CO"/>
                <w14:ligatures w14:val="none"/>
              </w:rPr>
              <w:t>VARICIÓN</w:t>
            </w:r>
          </w:p>
        </w:tc>
      </w:tr>
      <w:tr w:rsidR="004A7790" w:rsidRPr="0039091F" w14:paraId="359D821A" w14:textId="77777777" w:rsidTr="00953AA2">
        <w:trPr>
          <w:trHeight w:val="340"/>
        </w:trPr>
        <w:tc>
          <w:tcPr>
            <w:tcW w:w="2113" w:type="pct"/>
            <w:noWrap/>
            <w:vAlign w:val="center"/>
            <w:hideMark/>
          </w:tcPr>
          <w:p w14:paraId="2F091A7F" w14:textId="77777777" w:rsidR="004A7790" w:rsidRPr="0039091F" w:rsidRDefault="004A7790" w:rsidP="000A5389">
            <w:pPr>
              <w:spacing w:line="240" w:lineRule="auto"/>
              <w:rPr>
                <w:rFonts w:eastAsia="Times New Roman" w:cs="Times New Roman"/>
                <w:b/>
                <w:bCs/>
                <w:color w:val="000000"/>
                <w:kern w:val="0"/>
                <w:sz w:val="18"/>
                <w:szCs w:val="18"/>
                <w:lang w:eastAsia="es-CO"/>
                <w14:ligatures w14:val="none"/>
              </w:rPr>
            </w:pPr>
            <w:r w:rsidRPr="0039091F">
              <w:rPr>
                <w:rFonts w:eastAsia="Times New Roman" w:cs="Times New Roman"/>
                <w:b/>
                <w:bCs/>
                <w:color w:val="000000"/>
                <w:kern w:val="0"/>
                <w:sz w:val="18"/>
                <w:szCs w:val="18"/>
                <w:lang w:eastAsia="es-CO"/>
                <w14:ligatures w14:val="none"/>
              </w:rPr>
              <w:t>RESULTADOS DE EJERCICIOS ANTERIORES</w:t>
            </w:r>
          </w:p>
        </w:tc>
        <w:tc>
          <w:tcPr>
            <w:tcW w:w="868" w:type="pct"/>
            <w:noWrap/>
            <w:vAlign w:val="center"/>
            <w:hideMark/>
          </w:tcPr>
          <w:p w14:paraId="0B4A4F09" w14:textId="77777777" w:rsidR="004A7790" w:rsidRPr="0039091F" w:rsidRDefault="004A7790" w:rsidP="000A5389">
            <w:pPr>
              <w:spacing w:line="240" w:lineRule="auto"/>
              <w:jc w:val="right"/>
              <w:rPr>
                <w:rFonts w:eastAsia="Times New Roman" w:cs="Times New Roman"/>
                <w:b/>
                <w:bCs/>
                <w:color w:val="000000"/>
                <w:kern w:val="0"/>
                <w:sz w:val="18"/>
                <w:szCs w:val="18"/>
                <w:lang w:eastAsia="es-CO"/>
                <w14:ligatures w14:val="none"/>
              </w:rPr>
            </w:pPr>
            <w:r w:rsidRPr="0039091F">
              <w:rPr>
                <w:rFonts w:eastAsia="Times New Roman" w:cs="Times New Roman"/>
                <w:b/>
                <w:bCs/>
                <w:color w:val="000000"/>
                <w:kern w:val="0"/>
                <w:sz w:val="18"/>
                <w:szCs w:val="18"/>
                <w:lang w:eastAsia="es-CO"/>
                <w14:ligatures w14:val="none"/>
              </w:rPr>
              <w:t>19.534.764.986.816</w:t>
            </w:r>
          </w:p>
        </w:tc>
        <w:tc>
          <w:tcPr>
            <w:tcW w:w="868" w:type="pct"/>
            <w:noWrap/>
            <w:vAlign w:val="center"/>
            <w:hideMark/>
          </w:tcPr>
          <w:p w14:paraId="3CC6B807" w14:textId="77777777" w:rsidR="004A7790" w:rsidRPr="0039091F" w:rsidRDefault="004A7790" w:rsidP="000A5389">
            <w:pPr>
              <w:spacing w:line="240" w:lineRule="auto"/>
              <w:jc w:val="right"/>
              <w:rPr>
                <w:rFonts w:eastAsia="Times New Roman" w:cs="Times New Roman"/>
                <w:b/>
                <w:bCs/>
                <w:color w:val="000000"/>
                <w:kern w:val="0"/>
                <w:sz w:val="18"/>
                <w:szCs w:val="18"/>
                <w:lang w:eastAsia="es-CO"/>
                <w14:ligatures w14:val="none"/>
              </w:rPr>
            </w:pPr>
            <w:r w:rsidRPr="0039091F">
              <w:rPr>
                <w:rFonts w:eastAsia="Times New Roman" w:cs="Times New Roman"/>
                <w:b/>
                <w:bCs/>
                <w:color w:val="000000"/>
                <w:kern w:val="0"/>
                <w:sz w:val="18"/>
                <w:szCs w:val="18"/>
                <w:lang w:eastAsia="es-CO"/>
                <w14:ligatures w14:val="none"/>
              </w:rPr>
              <w:t>23.627.591.611.207</w:t>
            </w:r>
          </w:p>
        </w:tc>
        <w:tc>
          <w:tcPr>
            <w:tcW w:w="1151" w:type="pct"/>
            <w:noWrap/>
            <w:vAlign w:val="center"/>
            <w:hideMark/>
          </w:tcPr>
          <w:p w14:paraId="2E8EC161" w14:textId="77777777" w:rsidR="004A7790" w:rsidRPr="0039091F" w:rsidRDefault="004A7790" w:rsidP="000A5389">
            <w:pPr>
              <w:spacing w:line="240" w:lineRule="auto"/>
              <w:jc w:val="right"/>
              <w:rPr>
                <w:rFonts w:eastAsia="Times New Roman" w:cs="Times New Roman"/>
                <w:b/>
                <w:bCs/>
                <w:color w:val="000000"/>
                <w:kern w:val="0"/>
                <w:sz w:val="18"/>
                <w:szCs w:val="18"/>
                <w:lang w:eastAsia="es-CO"/>
                <w14:ligatures w14:val="none"/>
              </w:rPr>
            </w:pPr>
            <w:r w:rsidRPr="0039091F">
              <w:rPr>
                <w:rFonts w:eastAsia="Times New Roman" w:cs="Times New Roman"/>
                <w:b/>
                <w:bCs/>
                <w:color w:val="000000"/>
                <w:kern w:val="0"/>
                <w:sz w:val="18"/>
                <w:szCs w:val="18"/>
                <w:lang w:eastAsia="es-CO"/>
                <w14:ligatures w14:val="none"/>
              </w:rPr>
              <w:t>-4.092.826.624.391</w:t>
            </w:r>
          </w:p>
        </w:tc>
      </w:tr>
      <w:tr w:rsidR="004A7790" w:rsidRPr="0039091F" w14:paraId="6E9B45FE" w14:textId="77777777" w:rsidTr="00953AA2">
        <w:trPr>
          <w:trHeight w:val="340"/>
        </w:trPr>
        <w:tc>
          <w:tcPr>
            <w:tcW w:w="2113" w:type="pct"/>
            <w:noWrap/>
            <w:vAlign w:val="center"/>
            <w:hideMark/>
          </w:tcPr>
          <w:p w14:paraId="7694ED71" w14:textId="77777777" w:rsidR="004A7790" w:rsidRPr="0039091F" w:rsidRDefault="004A7790" w:rsidP="000A5389">
            <w:pPr>
              <w:spacing w:line="240" w:lineRule="auto"/>
              <w:rPr>
                <w:rFonts w:eastAsia="Times New Roman" w:cs="Times New Roman"/>
                <w:color w:val="000000"/>
                <w:kern w:val="0"/>
                <w:sz w:val="18"/>
                <w:szCs w:val="18"/>
                <w:lang w:eastAsia="es-CO"/>
                <w14:ligatures w14:val="none"/>
              </w:rPr>
            </w:pPr>
            <w:r w:rsidRPr="0039091F">
              <w:rPr>
                <w:rFonts w:eastAsia="Times New Roman" w:cs="Times New Roman"/>
                <w:color w:val="000000"/>
                <w:kern w:val="0"/>
                <w:sz w:val="18"/>
                <w:szCs w:val="18"/>
                <w:lang w:eastAsia="es-CO"/>
                <w14:ligatures w14:val="none"/>
              </w:rPr>
              <w:t xml:space="preserve">Utilidad o excedentes acumulados </w:t>
            </w:r>
          </w:p>
        </w:tc>
        <w:tc>
          <w:tcPr>
            <w:tcW w:w="868" w:type="pct"/>
            <w:noWrap/>
            <w:vAlign w:val="center"/>
            <w:hideMark/>
          </w:tcPr>
          <w:p w14:paraId="4A660BA0" w14:textId="77777777" w:rsidR="004A7790" w:rsidRPr="0039091F" w:rsidRDefault="004A7790" w:rsidP="000A5389">
            <w:pPr>
              <w:spacing w:line="240" w:lineRule="auto"/>
              <w:jc w:val="right"/>
              <w:rPr>
                <w:rFonts w:eastAsia="Times New Roman" w:cs="Times New Roman"/>
                <w:color w:val="000000"/>
                <w:kern w:val="0"/>
                <w:sz w:val="18"/>
                <w:szCs w:val="18"/>
                <w:lang w:eastAsia="es-CO"/>
                <w14:ligatures w14:val="none"/>
              </w:rPr>
            </w:pPr>
            <w:r w:rsidRPr="0039091F">
              <w:rPr>
                <w:rFonts w:eastAsia="Times New Roman" w:cs="Times New Roman"/>
                <w:color w:val="000000"/>
                <w:kern w:val="0"/>
                <w:sz w:val="18"/>
                <w:szCs w:val="18"/>
                <w:lang w:eastAsia="es-CO"/>
                <w14:ligatures w14:val="none"/>
              </w:rPr>
              <w:t>34.715.582.377.137</w:t>
            </w:r>
          </w:p>
        </w:tc>
        <w:tc>
          <w:tcPr>
            <w:tcW w:w="868" w:type="pct"/>
            <w:noWrap/>
            <w:vAlign w:val="center"/>
            <w:hideMark/>
          </w:tcPr>
          <w:p w14:paraId="47D8D177" w14:textId="77777777" w:rsidR="004A7790" w:rsidRPr="0039091F" w:rsidRDefault="004A7790" w:rsidP="000A5389">
            <w:pPr>
              <w:spacing w:line="240" w:lineRule="auto"/>
              <w:jc w:val="right"/>
              <w:rPr>
                <w:rFonts w:eastAsia="Times New Roman" w:cs="Times New Roman"/>
                <w:color w:val="000000"/>
                <w:kern w:val="0"/>
                <w:sz w:val="18"/>
                <w:szCs w:val="18"/>
                <w:lang w:eastAsia="es-CO"/>
                <w14:ligatures w14:val="none"/>
              </w:rPr>
            </w:pPr>
            <w:r w:rsidRPr="0039091F">
              <w:rPr>
                <w:rFonts w:eastAsia="Times New Roman" w:cs="Times New Roman"/>
                <w:color w:val="000000"/>
                <w:kern w:val="0"/>
                <w:sz w:val="18"/>
                <w:szCs w:val="18"/>
                <w:lang w:eastAsia="es-CO"/>
                <w14:ligatures w14:val="none"/>
              </w:rPr>
              <w:t>32.403.306.389.757</w:t>
            </w:r>
          </w:p>
        </w:tc>
        <w:tc>
          <w:tcPr>
            <w:tcW w:w="1151" w:type="pct"/>
            <w:noWrap/>
            <w:vAlign w:val="center"/>
            <w:hideMark/>
          </w:tcPr>
          <w:p w14:paraId="63E8A1FD" w14:textId="77777777" w:rsidR="004A7790" w:rsidRPr="0039091F" w:rsidRDefault="004A7790" w:rsidP="000A5389">
            <w:pPr>
              <w:spacing w:line="240" w:lineRule="auto"/>
              <w:jc w:val="right"/>
              <w:rPr>
                <w:rFonts w:eastAsia="Times New Roman" w:cs="Times New Roman"/>
                <w:color w:val="000000"/>
                <w:kern w:val="0"/>
                <w:sz w:val="18"/>
                <w:szCs w:val="18"/>
                <w:lang w:eastAsia="es-CO"/>
                <w14:ligatures w14:val="none"/>
              </w:rPr>
            </w:pPr>
            <w:r w:rsidRPr="0039091F">
              <w:rPr>
                <w:rFonts w:eastAsia="Times New Roman" w:cs="Times New Roman"/>
                <w:color w:val="000000"/>
                <w:kern w:val="0"/>
                <w:sz w:val="18"/>
                <w:szCs w:val="18"/>
                <w:lang w:eastAsia="es-CO"/>
                <w14:ligatures w14:val="none"/>
              </w:rPr>
              <w:t>2.312.275.987.380</w:t>
            </w:r>
          </w:p>
        </w:tc>
      </w:tr>
      <w:tr w:rsidR="004A7790" w:rsidRPr="0039091F" w14:paraId="551A4935" w14:textId="77777777" w:rsidTr="00953AA2">
        <w:trPr>
          <w:trHeight w:val="340"/>
        </w:trPr>
        <w:tc>
          <w:tcPr>
            <w:tcW w:w="2113" w:type="pct"/>
            <w:noWrap/>
            <w:vAlign w:val="center"/>
            <w:hideMark/>
          </w:tcPr>
          <w:p w14:paraId="55D90E5E" w14:textId="77777777" w:rsidR="004A7790" w:rsidRPr="0039091F" w:rsidRDefault="004A7790" w:rsidP="000A5389">
            <w:pPr>
              <w:spacing w:line="240" w:lineRule="auto"/>
              <w:rPr>
                <w:rFonts w:eastAsia="Times New Roman" w:cs="Times New Roman"/>
                <w:color w:val="000000"/>
                <w:kern w:val="0"/>
                <w:sz w:val="18"/>
                <w:szCs w:val="18"/>
                <w:lang w:eastAsia="es-CO"/>
                <w14:ligatures w14:val="none"/>
              </w:rPr>
            </w:pPr>
            <w:r w:rsidRPr="0039091F">
              <w:rPr>
                <w:rFonts w:eastAsia="Times New Roman" w:cs="Times New Roman"/>
                <w:color w:val="000000"/>
                <w:kern w:val="0"/>
                <w:sz w:val="18"/>
                <w:szCs w:val="18"/>
                <w:lang w:eastAsia="es-CO"/>
                <w14:ligatures w14:val="none"/>
              </w:rPr>
              <w:t xml:space="preserve">Corrección de errores de un periodo contable anterior </w:t>
            </w:r>
          </w:p>
        </w:tc>
        <w:tc>
          <w:tcPr>
            <w:tcW w:w="868" w:type="pct"/>
            <w:noWrap/>
            <w:vAlign w:val="center"/>
            <w:hideMark/>
          </w:tcPr>
          <w:p w14:paraId="030917F9" w14:textId="77777777" w:rsidR="004A7790" w:rsidRPr="0039091F" w:rsidRDefault="004A7790" w:rsidP="000A5389">
            <w:pPr>
              <w:spacing w:line="240" w:lineRule="auto"/>
              <w:jc w:val="right"/>
              <w:rPr>
                <w:rFonts w:eastAsia="Times New Roman" w:cs="Times New Roman"/>
                <w:color w:val="000000"/>
                <w:kern w:val="0"/>
                <w:sz w:val="18"/>
                <w:szCs w:val="18"/>
                <w:lang w:eastAsia="es-CO"/>
                <w14:ligatures w14:val="none"/>
              </w:rPr>
            </w:pPr>
            <w:r w:rsidRPr="0039091F">
              <w:rPr>
                <w:rFonts w:eastAsia="Times New Roman" w:cs="Times New Roman"/>
                <w:color w:val="000000"/>
                <w:kern w:val="0"/>
                <w:sz w:val="18"/>
                <w:szCs w:val="18"/>
                <w:lang w:eastAsia="es-CO"/>
                <w14:ligatures w14:val="none"/>
              </w:rPr>
              <w:t>3.642.664.905.444</w:t>
            </w:r>
          </w:p>
        </w:tc>
        <w:tc>
          <w:tcPr>
            <w:tcW w:w="868" w:type="pct"/>
            <w:noWrap/>
            <w:vAlign w:val="center"/>
            <w:hideMark/>
          </w:tcPr>
          <w:p w14:paraId="0EE96D8C" w14:textId="77777777" w:rsidR="004A7790" w:rsidRPr="0039091F" w:rsidRDefault="004A7790" w:rsidP="000A5389">
            <w:pPr>
              <w:spacing w:line="240" w:lineRule="auto"/>
              <w:jc w:val="right"/>
              <w:rPr>
                <w:rFonts w:eastAsia="Times New Roman" w:cs="Times New Roman"/>
                <w:color w:val="000000"/>
                <w:kern w:val="0"/>
                <w:sz w:val="18"/>
                <w:szCs w:val="18"/>
                <w:lang w:eastAsia="es-CO"/>
                <w14:ligatures w14:val="none"/>
              </w:rPr>
            </w:pPr>
            <w:r w:rsidRPr="0039091F">
              <w:rPr>
                <w:rFonts w:eastAsia="Times New Roman" w:cs="Times New Roman"/>
                <w:color w:val="000000"/>
                <w:kern w:val="0"/>
                <w:sz w:val="18"/>
                <w:szCs w:val="18"/>
                <w:lang w:eastAsia="es-CO"/>
                <w14:ligatures w14:val="none"/>
              </w:rPr>
              <w:t>4.086.575.681.106</w:t>
            </w:r>
          </w:p>
        </w:tc>
        <w:tc>
          <w:tcPr>
            <w:tcW w:w="1151" w:type="pct"/>
            <w:noWrap/>
            <w:vAlign w:val="center"/>
            <w:hideMark/>
          </w:tcPr>
          <w:p w14:paraId="2C1C4F48" w14:textId="77777777" w:rsidR="004A7790" w:rsidRPr="0039091F" w:rsidRDefault="004A7790" w:rsidP="000A5389">
            <w:pPr>
              <w:spacing w:line="240" w:lineRule="auto"/>
              <w:jc w:val="right"/>
              <w:rPr>
                <w:rFonts w:eastAsia="Times New Roman" w:cs="Times New Roman"/>
                <w:color w:val="000000"/>
                <w:kern w:val="0"/>
                <w:sz w:val="18"/>
                <w:szCs w:val="18"/>
                <w:lang w:eastAsia="es-CO"/>
                <w14:ligatures w14:val="none"/>
              </w:rPr>
            </w:pPr>
            <w:r w:rsidRPr="0039091F">
              <w:rPr>
                <w:rFonts w:eastAsia="Times New Roman" w:cs="Times New Roman"/>
                <w:color w:val="000000"/>
                <w:kern w:val="0"/>
                <w:sz w:val="18"/>
                <w:szCs w:val="18"/>
                <w:lang w:eastAsia="es-CO"/>
                <w14:ligatures w14:val="none"/>
              </w:rPr>
              <w:t>-443.910.775.661</w:t>
            </w:r>
          </w:p>
        </w:tc>
      </w:tr>
      <w:tr w:rsidR="004A7790" w:rsidRPr="0039091F" w14:paraId="43BA162F" w14:textId="77777777" w:rsidTr="00953AA2">
        <w:trPr>
          <w:trHeight w:val="340"/>
        </w:trPr>
        <w:tc>
          <w:tcPr>
            <w:tcW w:w="2113" w:type="pct"/>
            <w:noWrap/>
            <w:vAlign w:val="center"/>
            <w:hideMark/>
          </w:tcPr>
          <w:p w14:paraId="6C775E1A" w14:textId="77777777" w:rsidR="004A7790" w:rsidRPr="0039091F" w:rsidRDefault="004A7790" w:rsidP="000A5389">
            <w:pPr>
              <w:spacing w:line="240" w:lineRule="auto"/>
              <w:rPr>
                <w:rFonts w:eastAsia="Times New Roman" w:cs="Times New Roman"/>
                <w:color w:val="000000"/>
                <w:kern w:val="0"/>
                <w:sz w:val="18"/>
                <w:szCs w:val="18"/>
                <w:lang w:eastAsia="es-CO"/>
                <w14:ligatures w14:val="none"/>
              </w:rPr>
            </w:pPr>
            <w:r w:rsidRPr="0039091F">
              <w:rPr>
                <w:rFonts w:eastAsia="Times New Roman" w:cs="Times New Roman"/>
                <w:color w:val="000000"/>
                <w:kern w:val="0"/>
                <w:sz w:val="18"/>
                <w:szCs w:val="18"/>
                <w:lang w:eastAsia="es-CO"/>
                <w14:ligatures w14:val="none"/>
              </w:rPr>
              <w:t>Por cambio de política contable</w:t>
            </w:r>
          </w:p>
        </w:tc>
        <w:tc>
          <w:tcPr>
            <w:tcW w:w="868" w:type="pct"/>
            <w:noWrap/>
            <w:vAlign w:val="center"/>
            <w:hideMark/>
          </w:tcPr>
          <w:p w14:paraId="3A620235" w14:textId="77777777" w:rsidR="004A7790" w:rsidRPr="0039091F" w:rsidRDefault="004A7790" w:rsidP="000A5389">
            <w:pPr>
              <w:spacing w:line="240" w:lineRule="auto"/>
              <w:jc w:val="right"/>
              <w:rPr>
                <w:rFonts w:eastAsia="Times New Roman" w:cs="Times New Roman"/>
                <w:color w:val="000000"/>
                <w:kern w:val="0"/>
                <w:sz w:val="18"/>
                <w:szCs w:val="18"/>
                <w:lang w:eastAsia="es-CO"/>
                <w14:ligatures w14:val="none"/>
              </w:rPr>
            </w:pPr>
            <w:r w:rsidRPr="0039091F">
              <w:rPr>
                <w:rFonts w:eastAsia="Times New Roman" w:cs="Times New Roman"/>
                <w:color w:val="000000"/>
                <w:kern w:val="0"/>
                <w:sz w:val="18"/>
                <w:szCs w:val="18"/>
                <w:lang w:eastAsia="es-CO"/>
                <w14:ligatures w14:val="none"/>
              </w:rPr>
              <w:t>2.307.038.461.524</w:t>
            </w:r>
          </w:p>
        </w:tc>
        <w:tc>
          <w:tcPr>
            <w:tcW w:w="868" w:type="pct"/>
            <w:noWrap/>
            <w:vAlign w:val="center"/>
            <w:hideMark/>
          </w:tcPr>
          <w:p w14:paraId="5CFB8158" w14:textId="77777777" w:rsidR="004A7790" w:rsidRPr="0039091F" w:rsidRDefault="004A7790" w:rsidP="000A5389">
            <w:pPr>
              <w:spacing w:line="240" w:lineRule="auto"/>
              <w:jc w:val="right"/>
              <w:rPr>
                <w:rFonts w:eastAsia="Times New Roman" w:cs="Times New Roman"/>
                <w:color w:val="000000"/>
                <w:kern w:val="0"/>
                <w:sz w:val="18"/>
                <w:szCs w:val="18"/>
                <w:lang w:eastAsia="es-CO"/>
                <w14:ligatures w14:val="none"/>
              </w:rPr>
            </w:pPr>
            <w:r w:rsidRPr="0039091F">
              <w:rPr>
                <w:rFonts w:eastAsia="Times New Roman" w:cs="Times New Roman"/>
                <w:color w:val="000000"/>
                <w:kern w:val="0"/>
                <w:sz w:val="18"/>
                <w:szCs w:val="18"/>
                <w:lang w:eastAsia="es-CO"/>
                <w14:ligatures w14:val="none"/>
              </w:rPr>
              <w:t>2.307.038.461.524</w:t>
            </w:r>
          </w:p>
        </w:tc>
        <w:tc>
          <w:tcPr>
            <w:tcW w:w="1151" w:type="pct"/>
            <w:noWrap/>
            <w:vAlign w:val="center"/>
            <w:hideMark/>
          </w:tcPr>
          <w:p w14:paraId="379E01DC" w14:textId="77777777" w:rsidR="004A7790" w:rsidRPr="0039091F" w:rsidRDefault="004A7790" w:rsidP="000A5389">
            <w:pPr>
              <w:spacing w:line="240" w:lineRule="auto"/>
              <w:jc w:val="right"/>
              <w:rPr>
                <w:rFonts w:eastAsia="Times New Roman" w:cs="Times New Roman"/>
                <w:color w:val="000000"/>
                <w:kern w:val="0"/>
                <w:sz w:val="18"/>
                <w:szCs w:val="18"/>
                <w:lang w:eastAsia="es-CO"/>
                <w14:ligatures w14:val="none"/>
              </w:rPr>
            </w:pPr>
            <w:r w:rsidRPr="0039091F">
              <w:rPr>
                <w:rFonts w:eastAsia="Times New Roman" w:cs="Times New Roman"/>
                <w:color w:val="000000"/>
                <w:kern w:val="0"/>
                <w:sz w:val="18"/>
                <w:szCs w:val="18"/>
                <w:lang w:eastAsia="es-CO"/>
                <w14:ligatures w14:val="none"/>
              </w:rPr>
              <w:t>0</w:t>
            </w:r>
          </w:p>
        </w:tc>
      </w:tr>
      <w:tr w:rsidR="004A7790" w:rsidRPr="0039091F" w14:paraId="5394BA38" w14:textId="77777777" w:rsidTr="00953AA2">
        <w:trPr>
          <w:trHeight w:val="340"/>
        </w:trPr>
        <w:tc>
          <w:tcPr>
            <w:tcW w:w="2113" w:type="pct"/>
            <w:noWrap/>
            <w:vAlign w:val="center"/>
            <w:hideMark/>
          </w:tcPr>
          <w:p w14:paraId="54F1EAEE" w14:textId="77777777" w:rsidR="004A7790" w:rsidRPr="0039091F" w:rsidRDefault="004A7790" w:rsidP="000A5389">
            <w:pPr>
              <w:spacing w:line="240" w:lineRule="auto"/>
              <w:rPr>
                <w:rFonts w:eastAsia="Times New Roman" w:cs="Times New Roman"/>
                <w:color w:val="000000"/>
                <w:kern w:val="0"/>
                <w:sz w:val="18"/>
                <w:szCs w:val="18"/>
                <w:lang w:eastAsia="es-CO"/>
                <w14:ligatures w14:val="none"/>
              </w:rPr>
            </w:pPr>
            <w:r w:rsidRPr="0039091F">
              <w:rPr>
                <w:rFonts w:eastAsia="Times New Roman" w:cs="Times New Roman"/>
                <w:color w:val="000000"/>
                <w:kern w:val="0"/>
                <w:sz w:val="18"/>
                <w:szCs w:val="18"/>
                <w:lang w:eastAsia="es-CO"/>
                <w14:ligatures w14:val="none"/>
              </w:rPr>
              <w:t xml:space="preserve">Pérdidas o déficits acumulados </w:t>
            </w:r>
          </w:p>
        </w:tc>
        <w:tc>
          <w:tcPr>
            <w:tcW w:w="868" w:type="pct"/>
            <w:noWrap/>
            <w:vAlign w:val="center"/>
            <w:hideMark/>
          </w:tcPr>
          <w:p w14:paraId="5FCE8ED7" w14:textId="77777777" w:rsidR="004A7790" w:rsidRPr="0039091F" w:rsidRDefault="004A7790" w:rsidP="000A5389">
            <w:pPr>
              <w:spacing w:line="240" w:lineRule="auto"/>
              <w:jc w:val="right"/>
              <w:rPr>
                <w:rFonts w:eastAsia="Times New Roman" w:cs="Times New Roman"/>
                <w:color w:val="000000"/>
                <w:kern w:val="0"/>
                <w:sz w:val="18"/>
                <w:szCs w:val="18"/>
                <w:lang w:eastAsia="es-CO"/>
                <w14:ligatures w14:val="none"/>
              </w:rPr>
            </w:pPr>
            <w:r w:rsidRPr="0039091F">
              <w:rPr>
                <w:rFonts w:eastAsia="Times New Roman" w:cs="Times New Roman"/>
                <w:color w:val="000000"/>
                <w:kern w:val="0"/>
                <w:sz w:val="18"/>
                <w:szCs w:val="18"/>
                <w:lang w:eastAsia="es-CO"/>
                <w14:ligatures w14:val="none"/>
              </w:rPr>
              <w:t>-21.130.520.757.289</w:t>
            </w:r>
          </w:p>
        </w:tc>
        <w:tc>
          <w:tcPr>
            <w:tcW w:w="868" w:type="pct"/>
            <w:noWrap/>
            <w:vAlign w:val="center"/>
            <w:hideMark/>
          </w:tcPr>
          <w:p w14:paraId="124ABAE8" w14:textId="77777777" w:rsidR="004A7790" w:rsidRPr="0039091F" w:rsidRDefault="004A7790" w:rsidP="000A5389">
            <w:pPr>
              <w:spacing w:line="240" w:lineRule="auto"/>
              <w:jc w:val="right"/>
              <w:rPr>
                <w:rFonts w:eastAsia="Times New Roman" w:cs="Times New Roman"/>
                <w:color w:val="000000"/>
                <w:kern w:val="0"/>
                <w:sz w:val="18"/>
                <w:szCs w:val="18"/>
                <w:lang w:eastAsia="es-CO"/>
                <w14:ligatures w14:val="none"/>
              </w:rPr>
            </w:pPr>
            <w:r w:rsidRPr="0039091F">
              <w:rPr>
                <w:rFonts w:eastAsia="Times New Roman" w:cs="Times New Roman"/>
                <w:color w:val="000000"/>
                <w:kern w:val="0"/>
                <w:sz w:val="18"/>
                <w:szCs w:val="18"/>
                <w:lang w:eastAsia="es-CO"/>
                <w14:ligatures w14:val="none"/>
              </w:rPr>
              <w:t>-15.169.328.921.180</w:t>
            </w:r>
          </w:p>
        </w:tc>
        <w:tc>
          <w:tcPr>
            <w:tcW w:w="1151" w:type="pct"/>
            <w:noWrap/>
            <w:vAlign w:val="center"/>
            <w:hideMark/>
          </w:tcPr>
          <w:p w14:paraId="57F0FFDE" w14:textId="77777777" w:rsidR="004A7790" w:rsidRPr="0039091F" w:rsidRDefault="004A7790" w:rsidP="000A5389">
            <w:pPr>
              <w:spacing w:line="240" w:lineRule="auto"/>
              <w:jc w:val="right"/>
              <w:rPr>
                <w:rFonts w:eastAsia="Times New Roman" w:cs="Times New Roman"/>
                <w:color w:val="000000"/>
                <w:kern w:val="0"/>
                <w:sz w:val="18"/>
                <w:szCs w:val="18"/>
                <w:lang w:eastAsia="es-CO"/>
                <w14:ligatures w14:val="none"/>
              </w:rPr>
            </w:pPr>
            <w:r w:rsidRPr="0039091F">
              <w:rPr>
                <w:rFonts w:eastAsia="Times New Roman" w:cs="Times New Roman"/>
                <w:color w:val="000000"/>
                <w:kern w:val="0"/>
                <w:sz w:val="18"/>
                <w:szCs w:val="18"/>
                <w:lang w:eastAsia="es-CO"/>
                <w14:ligatures w14:val="none"/>
              </w:rPr>
              <w:t>-5.961.191.836.109</w:t>
            </w:r>
          </w:p>
        </w:tc>
      </w:tr>
    </w:tbl>
    <w:p w14:paraId="6D50068A" w14:textId="7E038DAF" w:rsidR="00953C90" w:rsidRPr="00951AB1" w:rsidRDefault="00953C90" w:rsidP="000A5389">
      <w:pPr>
        <w:spacing w:line="240" w:lineRule="auto"/>
        <w:rPr>
          <w:rFonts w:eastAsia="Times New Roman" w:cs="Times New Roman"/>
          <w:sz w:val="14"/>
          <w:szCs w:val="14"/>
        </w:rPr>
      </w:pPr>
      <w:r w:rsidRPr="2A085367">
        <w:rPr>
          <w:rFonts w:eastAsia="Times New Roman" w:cs="Times New Roman"/>
          <w:sz w:val="14"/>
          <w:szCs w:val="14"/>
        </w:rPr>
        <w:t>Cifras expresadas en pesos</w:t>
      </w:r>
    </w:p>
    <w:p w14:paraId="6E1733CD" w14:textId="6D0C8704" w:rsidR="00953C90" w:rsidRPr="00951AB1" w:rsidRDefault="00953C90" w:rsidP="000A5389">
      <w:pPr>
        <w:spacing w:line="240" w:lineRule="auto"/>
        <w:rPr>
          <w:rFonts w:cs="Times New Roman"/>
        </w:rPr>
      </w:pPr>
    </w:p>
    <w:p w14:paraId="538E7CC4" w14:textId="61B09A2C" w:rsidR="27D2291C" w:rsidRDefault="27D2291C" w:rsidP="000A5389">
      <w:pPr>
        <w:spacing w:line="240" w:lineRule="auto"/>
        <w:rPr>
          <w:rFonts w:cs="Times New Roman"/>
        </w:rPr>
      </w:pPr>
      <w:r w:rsidRPr="2A085367">
        <w:rPr>
          <w:rFonts w:eastAsia="Times New Roman" w:cs="Times New Roman"/>
          <w:b/>
          <w:bCs/>
          <w:i/>
          <w:iCs/>
          <w:szCs w:val="24"/>
        </w:rPr>
        <w:t xml:space="preserve">i. </w:t>
      </w:r>
      <w:r w:rsidRPr="2A085367">
        <w:rPr>
          <w:rFonts w:eastAsia="Times New Roman" w:cs="Times New Roman"/>
          <w:szCs w:val="24"/>
        </w:rPr>
        <w:t xml:space="preserve">La </w:t>
      </w:r>
      <w:r w:rsidRPr="2A085367">
        <w:rPr>
          <w:rFonts w:eastAsia="Times New Roman" w:cs="Times New Roman"/>
          <w:b/>
          <w:bCs/>
          <w:szCs w:val="24"/>
        </w:rPr>
        <w:t>Utilidad o excedentes acumulados</w:t>
      </w:r>
      <w:r w:rsidRPr="2A085367">
        <w:rPr>
          <w:rFonts w:eastAsia="Times New Roman" w:cs="Times New Roman"/>
          <w:szCs w:val="24"/>
        </w:rPr>
        <w:t xml:space="preserve">, presentó un aumento sobre la cuenta del patrimonio de </w:t>
      </w:r>
      <w:r w:rsidRPr="2A085367">
        <w:rPr>
          <w:rFonts w:eastAsia="Times New Roman" w:cs="Times New Roman"/>
          <w:b/>
          <w:bCs/>
          <w:szCs w:val="24"/>
        </w:rPr>
        <w:t>$2.312.275.987.380</w:t>
      </w:r>
      <w:r w:rsidRPr="2A085367">
        <w:rPr>
          <w:rFonts w:eastAsia="Times New Roman" w:cs="Times New Roman"/>
          <w:szCs w:val="24"/>
        </w:rPr>
        <w:t>, lo cual se justifica en los movimientos contables con ocasión a la aplicación del plan de trabajo suscrito con la Contaduría General de la Nación para la implementación de la Resolución No. 602 de 2018, prorrogada por la Resolución 443 de 2024. Siendo preciso indicar que mientras la Agencia se encuentre en los plazos otorgados por la CGN, no aplicará lo establecido en la Norma de políticas contables, cambios en las estimaciones contables y corrección de errores de conformidad con el Concepto CGN No. 20211100002041 del 10 de febrero 2021. A continuación, se detalla la información:</w:t>
      </w:r>
    </w:p>
    <w:p w14:paraId="78DE553E" w14:textId="6332628E" w:rsidR="27D2291C" w:rsidRDefault="27D2291C" w:rsidP="000A5389">
      <w:pPr>
        <w:spacing w:line="240" w:lineRule="auto"/>
        <w:rPr>
          <w:rFonts w:cs="Times New Roman"/>
        </w:rPr>
      </w:pPr>
      <w:r w:rsidRPr="2A085367">
        <w:rPr>
          <w:rFonts w:eastAsia="Times New Roman" w:cs="Times New Roman"/>
          <w:szCs w:val="24"/>
        </w:rPr>
        <w:lastRenderedPageBreak/>
        <w:t xml:space="preserve"> </w:t>
      </w:r>
    </w:p>
    <w:p w14:paraId="1B1E3122" w14:textId="0107356F" w:rsidR="27D2291C" w:rsidRDefault="27D2291C" w:rsidP="000A5389">
      <w:pPr>
        <w:spacing w:line="240" w:lineRule="auto"/>
        <w:rPr>
          <w:rFonts w:cs="Times New Roman"/>
        </w:rPr>
      </w:pPr>
      <w:r w:rsidRPr="2A085367">
        <w:rPr>
          <w:rFonts w:eastAsia="Times New Roman" w:cs="Times New Roman"/>
          <w:szCs w:val="24"/>
        </w:rPr>
        <w:t xml:space="preserve">- Incorporaciones de saldos contables para los proyectos del modo carretero remitido por la entidad titular Invias, lo cual incrementó la cuenta contable por valor de </w:t>
      </w:r>
      <w:r w:rsidRPr="2A085367">
        <w:rPr>
          <w:rFonts w:eastAsia="Times New Roman" w:cs="Times New Roman"/>
          <w:b/>
          <w:bCs/>
          <w:szCs w:val="24"/>
        </w:rPr>
        <w:t>$4.486.476.573.337</w:t>
      </w:r>
      <w:r w:rsidRPr="2A085367">
        <w:rPr>
          <w:rFonts w:eastAsia="Times New Roman" w:cs="Times New Roman"/>
          <w:szCs w:val="24"/>
        </w:rPr>
        <w:t>, cuyo detalle se relaciona a continuación: Nueva Malla Vial del Valle del Cauca para el Corredor Accesos Cali y Palmira  y el Corredor Vial Loboguerrero – Buga por valor de  $1.587.163.005.330, Troncal del Magdalena 2 por valor de $1.420.877.100.381, Troncal del Magdalena 1: Puerto Salgar – Barrancabermeja por $1.344.661.547.886, y Santa Marta Riohacha Paraguachón por $133.774.919.740.</w:t>
      </w:r>
    </w:p>
    <w:p w14:paraId="60F3755D" w14:textId="65283D6D" w:rsidR="27D2291C" w:rsidRDefault="27D2291C" w:rsidP="000A5389">
      <w:pPr>
        <w:spacing w:line="240" w:lineRule="auto"/>
        <w:rPr>
          <w:rFonts w:cs="Times New Roman"/>
        </w:rPr>
      </w:pPr>
      <w:r w:rsidRPr="2A085367">
        <w:rPr>
          <w:rFonts w:eastAsia="Times New Roman" w:cs="Times New Roman"/>
          <w:szCs w:val="24"/>
        </w:rPr>
        <w:t xml:space="preserve"> </w:t>
      </w:r>
    </w:p>
    <w:p w14:paraId="512907A8" w14:textId="3319615E" w:rsidR="27D2291C" w:rsidRDefault="27D2291C" w:rsidP="000A5389">
      <w:pPr>
        <w:spacing w:line="240" w:lineRule="auto"/>
        <w:rPr>
          <w:rFonts w:cs="Times New Roman"/>
        </w:rPr>
      </w:pPr>
      <w:r w:rsidRPr="2A085367">
        <w:rPr>
          <w:rFonts w:eastAsia="Times New Roman" w:cs="Times New Roman"/>
          <w:szCs w:val="24"/>
        </w:rPr>
        <w:t>- Desincorporaciones de saldos contables que se remitieron a las diferentes entidades titulares sobre proyectos revertidos, disminuyendo la cuenta contable en -</w:t>
      </w:r>
      <w:r w:rsidRPr="2A085367">
        <w:rPr>
          <w:rFonts w:eastAsia="Times New Roman" w:cs="Times New Roman"/>
          <w:b/>
          <w:bCs/>
          <w:szCs w:val="24"/>
        </w:rPr>
        <w:t>$2.321.859.288.195</w:t>
      </w:r>
      <w:r w:rsidRPr="2A085367">
        <w:rPr>
          <w:rFonts w:eastAsia="Times New Roman" w:cs="Times New Roman"/>
          <w:szCs w:val="24"/>
        </w:rPr>
        <w:t>, del cual el 91,56% de toda la desincorporación por valor de $2.125.944.129.391 se remitió al Invias, a continuación, se detalla los proyectos:</w:t>
      </w:r>
    </w:p>
    <w:p w14:paraId="4FEC154F" w14:textId="20E5C48A" w:rsidR="2A085367" w:rsidRDefault="2A085367" w:rsidP="000A5389">
      <w:pPr>
        <w:spacing w:line="240" w:lineRule="auto"/>
        <w:rPr>
          <w:rFonts w:eastAsia="Times New Roman" w:cs="Times New Roman"/>
          <w:szCs w:val="24"/>
        </w:rPr>
      </w:pPr>
    </w:p>
    <w:p w14:paraId="255A7B73" w14:textId="4ACB3D60" w:rsidR="2A085367" w:rsidRDefault="27D2291C" w:rsidP="000A5389">
      <w:pPr>
        <w:spacing w:line="240" w:lineRule="auto"/>
        <w:rPr>
          <w:rFonts w:eastAsia="Times New Roman" w:cs="Times New Roman"/>
          <w:szCs w:val="24"/>
        </w:rPr>
      </w:pPr>
      <w:r w:rsidRPr="2A085367">
        <w:rPr>
          <w:rFonts w:eastAsia="Times New Roman" w:cs="Times New Roman"/>
          <w:szCs w:val="24"/>
        </w:rPr>
        <w:t xml:space="preserve">-Aumento en el patrimonio por valor de </w:t>
      </w:r>
      <w:r w:rsidRPr="2A085367">
        <w:rPr>
          <w:rFonts w:eastAsia="Times New Roman" w:cs="Times New Roman"/>
          <w:b/>
          <w:bCs/>
          <w:szCs w:val="24"/>
        </w:rPr>
        <w:t>$147.658.702.238,</w:t>
      </w:r>
      <w:r w:rsidRPr="2A085367">
        <w:rPr>
          <w:rFonts w:eastAsia="Times New Roman" w:cs="Times New Roman"/>
          <w:szCs w:val="24"/>
        </w:rPr>
        <w:t xml:space="preserve"> en atención al ajuste sobre la estimación que se había realizado para el pasivo financiero y diferido del proyecto vial Área Metropolitana de Cúcuta y Norte de Santander, contrato 006 de 2008, según lo informado por la Vicepresidencia Ejecutiva.</w:t>
      </w:r>
    </w:p>
    <w:p w14:paraId="7B9662D5" w14:textId="6616F568" w:rsidR="2A085367" w:rsidRDefault="2A085367" w:rsidP="000A5389">
      <w:pPr>
        <w:spacing w:line="240" w:lineRule="auto"/>
        <w:rPr>
          <w:rFonts w:cs="Times New Roman"/>
        </w:rPr>
      </w:pPr>
    </w:p>
    <w:tbl>
      <w:tblPr>
        <w:tblW w:w="5000" w:type="pct"/>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6A0" w:firstRow="1" w:lastRow="0" w:firstColumn="1" w:lastColumn="0" w:noHBand="1" w:noVBand="1"/>
      </w:tblPr>
      <w:tblGrid>
        <w:gridCol w:w="1996"/>
        <w:gridCol w:w="4260"/>
        <w:gridCol w:w="2572"/>
      </w:tblGrid>
      <w:tr w:rsidR="2A085367" w:rsidRPr="0039091F" w14:paraId="7458B0F4" w14:textId="77777777" w:rsidTr="0039091F">
        <w:trPr>
          <w:trHeight w:val="300"/>
          <w:tblHeader/>
        </w:trPr>
        <w:tc>
          <w:tcPr>
            <w:tcW w:w="1130" w:type="pct"/>
            <w:vAlign w:val="center"/>
          </w:tcPr>
          <w:p w14:paraId="3797D3D8" w14:textId="01073A14" w:rsidR="2A085367" w:rsidRPr="0039091F" w:rsidRDefault="2A085367" w:rsidP="000A5389">
            <w:pPr>
              <w:spacing w:line="240" w:lineRule="auto"/>
              <w:jc w:val="center"/>
              <w:rPr>
                <w:rFonts w:cs="Times New Roman"/>
                <w:sz w:val="18"/>
                <w:szCs w:val="18"/>
              </w:rPr>
            </w:pPr>
            <w:r w:rsidRPr="0039091F">
              <w:rPr>
                <w:rFonts w:eastAsia="Times New Roman" w:cs="Times New Roman"/>
                <w:b/>
                <w:bCs/>
                <w:sz w:val="18"/>
                <w:szCs w:val="18"/>
              </w:rPr>
              <w:t>Entidad titular</w:t>
            </w:r>
          </w:p>
        </w:tc>
        <w:tc>
          <w:tcPr>
            <w:tcW w:w="2413" w:type="pct"/>
            <w:vAlign w:val="center"/>
          </w:tcPr>
          <w:p w14:paraId="05516728" w14:textId="212D1E4A" w:rsidR="2A085367" w:rsidRPr="0039091F" w:rsidRDefault="2A085367" w:rsidP="000A5389">
            <w:pPr>
              <w:spacing w:line="240" w:lineRule="auto"/>
              <w:jc w:val="center"/>
              <w:rPr>
                <w:rFonts w:cs="Times New Roman"/>
                <w:sz w:val="18"/>
                <w:szCs w:val="18"/>
              </w:rPr>
            </w:pPr>
            <w:r w:rsidRPr="0039091F">
              <w:rPr>
                <w:rFonts w:eastAsia="Times New Roman" w:cs="Times New Roman"/>
                <w:b/>
                <w:bCs/>
                <w:sz w:val="18"/>
                <w:szCs w:val="18"/>
              </w:rPr>
              <w:t>Proyecto</w:t>
            </w:r>
          </w:p>
        </w:tc>
        <w:tc>
          <w:tcPr>
            <w:tcW w:w="1457" w:type="pct"/>
            <w:vAlign w:val="center"/>
          </w:tcPr>
          <w:p w14:paraId="58C73011" w14:textId="39CAA314" w:rsidR="2A085367" w:rsidRPr="0039091F" w:rsidRDefault="2A085367" w:rsidP="000A5389">
            <w:pPr>
              <w:spacing w:line="240" w:lineRule="auto"/>
              <w:jc w:val="center"/>
              <w:rPr>
                <w:rFonts w:cs="Times New Roman"/>
                <w:sz w:val="18"/>
                <w:szCs w:val="18"/>
              </w:rPr>
            </w:pPr>
            <w:r w:rsidRPr="0039091F">
              <w:rPr>
                <w:rFonts w:eastAsia="Times New Roman" w:cs="Times New Roman"/>
                <w:b/>
                <w:bCs/>
                <w:sz w:val="18"/>
                <w:szCs w:val="18"/>
              </w:rPr>
              <w:t xml:space="preserve"> Valor </w:t>
            </w:r>
          </w:p>
        </w:tc>
      </w:tr>
      <w:tr w:rsidR="2A085367" w:rsidRPr="0039091F" w14:paraId="3A7F6951" w14:textId="77777777" w:rsidTr="00715DF7">
        <w:trPr>
          <w:trHeight w:val="300"/>
        </w:trPr>
        <w:tc>
          <w:tcPr>
            <w:tcW w:w="1130" w:type="pct"/>
            <w:vAlign w:val="center"/>
          </w:tcPr>
          <w:p w14:paraId="23A85F43" w14:textId="035658F9" w:rsidR="2A085367" w:rsidRPr="0039091F" w:rsidRDefault="2A085367" w:rsidP="000A5389">
            <w:pPr>
              <w:spacing w:line="240" w:lineRule="auto"/>
              <w:rPr>
                <w:rFonts w:cs="Times New Roman"/>
                <w:sz w:val="18"/>
                <w:szCs w:val="18"/>
              </w:rPr>
            </w:pPr>
            <w:r w:rsidRPr="0039091F">
              <w:rPr>
                <w:rFonts w:eastAsia="Times New Roman" w:cs="Times New Roman"/>
                <w:sz w:val="18"/>
                <w:szCs w:val="18"/>
              </w:rPr>
              <w:t>Invias</w:t>
            </w:r>
          </w:p>
        </w:tc>
        <w:tc>
          <w:tcPr>
            <w:tcW w:w="2413" w:type="pct"/>
            <w:vAlign w:val="center"/>
          </w:tcPr>
          <w:p w14:paraId="2CFAAD61" w14:textId="607173DD" w:rsidR="2A085367" w:rsidRPr="0039091F" w:rsidRDefault="2A085367" w:rsidP="000A5389">
            <w:pPr>
              <w:spacing w:line="240" w:lineRule="auto"/>
              <w:rPr>
                <w:rFonts w:cs="Times New Roman"/>
                <w:sz w:val="18"/>
                <w:szCs w:val="18"/>
              </w:rPr>
            </w:pPr>
            <w:r w:rsidRPr="0039091F">
              <w:rPr>
                <w:rFonts w:eastAsia="Times New Roman" w:cs="Times New Roman"/>
                <w:sz w:val="18"/>
                <w:szCs w:val="18"/>
              </w:rPr>
              <w:t xml:space="preserve">Transversal de las Américas </w:t>
            </w:r>
          </w:p>
        </w:tc>
        <w:tc>
          <w:tcPr>
            <w:tcW w:w="1457" w:type="pct"/>
            <w:vAlign w:val="center"/>
          </w:tcPr>
          <w:p w14:paraId="44C43308" w14:textId="5D99E5CE" w:rsidR="2A085367" w:rsidRPr="0039091F" w:rsidRDefault="2A085367" w:rsidP="000A5389">
            <w:pPr>
              <w:spacing w:line="240" w:lineRule="auto"/>
              <w:jc w:val="right"/>
              <w:rPr>
                <w:rFonts w:cs="Times New Roman"/>
                <w:sz w:val="18"/>
                <w:szCs w:val="18"/>
              </w:rPr>
            </w:pPr>
            <w:r w:rsidRPr="0039091F">
              <w:rPr>
                <w:rFonts w:eastAsia="Times New Roman" w:cs="Times New Roman"/>
                <w:sz w:val="18"/>
                <w:szCs w:val="18"/>
              </w:rPr>
              <w:t xml:space="preserve">                  1.146.053.346.038 </w:t>
            </w:r>
          </w:p>
        </w:tc>
      </w:tr>
      <w:tr w:rsidR="2A085367" w:rsidRPr="0039091F" w14:paraId="08976696" w14:textId="77777777" w:rsidTr="00715DF7">
        <w:trPr>
          <w:trHeight w:val="300"/>
        </w:trPr>
        <w:tc>
          <w:tcPr>
            <w:tcW w:w="1130" w:type="pct"/>
            <w:vAlign w:val="center"/>
          </w:tcPr>
          <w:p w14:paraId="33462A03" w14:textId="2F97AC31" w:rsidR="2A085367" w:rsidRPr="0039091F" w:rsidRDefault="2A085367" w:rsidP="000A5389">
            <w:pPr>
              <w:spacing w:line="240" w:lineRule="auto"/>
              <w:rPr>
                <w:rFonts w:cs="Times New Roman"/>
                <w:sz w:val="18"/>
                <w:szCs w:val="18"/>
              </w:rPr>
            </w:pPr>
            <w:r w:rsidRPr="0039091F">
              <w:rPr>
                <w:rFonts w:eastAsia="Times New Roman" w:cs="Times New Roman"/>
                <w:sz w:val="18"/>
                <w:szCs w:val="18"/>
              </w:rPr>
              <w:t>Invias</w:t>
            </w:r>
          </w:p>
        </w:tc>
        <w:tc>
          <w:tcPr>
            <w:tcW w:w="2413" w:type="pct"/>
            <w:vAlign w:val="center"/>
          </w:tcPr>
          <w:p w14:paraId="0C9235FD" w14:textId="7C6564E0" w:rsidR="2A085367" w:rsidRPr="0039091F" w:rsidRDefault="2A085367" w:rsidP="000A5389">
            <w:pPr>
              <w:spacing w:line="240" w:lineRule="auto"/>
              <w:rPr>
                <w:rFonts w:cs="Times New Roman"/>
                <w:sz w:val="18"/>
                <w:szCs w:val="18"/>
              </w:rPr>
            </w:pPr>
            <w:r w:rsidRPr="0039091F">
              <w:rPr>
                <w:rFonts w:eastAsia="Times New Roman" w:cs="Times New Roman"/>
                <w:sz w:val="18"/>
                <w:szCs w:val="18"/>
              </w:rPr>
              <w:t xml:space="preserve">Briceño Tunja Sogamoso - BTS </w:t>
            </w:r>
          </w:p>
        </w:tc>
        <w:tc>
          <w:tcPr>
            <w:tcW w:w="1457" w:type="pct"/>
            <w:vAlign w:val="center"/>
          </w:tcPr>
          <w:p w14:paraId="043BB13F" w14:textId="1B8446DC" w:rsidR="2A085367" w:rsidRPr="0039091F" w:rsidRDefault="2A085367" w:rsidP="000A5389">
            <w:pPr>
              <w:spacing w:line="240" w:lineRule="auto"/>
              <w:jc w:val="right"/>
              <w:rPr>
                <w:rFonts w:cs="Times New Roman"/>
                <w:sz w:val="18"/>
                <w:szCs w:val="18"/>
              </w:rPr>
            </w:pPr>
            <w:r w:rsidRPr="0039091F">
              <w:rPr>
                <w:rFonts w:eastAsia="Times New Roman" w:cs="Times New Roman"/>
                <w:sz w:val="18"/>
                <w:szCs w:val="18"/>
              </w:rPr>
              <w:t xml:space="preserve">                     719.225.876.077 </w:t>
            </w:r>
          </w:p>
        </w:tc>
      </w:tr>
      <w:tr w:rsidR="2A085367" w:rsidRPr="0039091F" w14:paraId="76F6A6AE" w14:textId="77777777" w:rsidTr="00715DF7">
        <w:trPr>
          <w:trHeight w:val="300"/>
        </w:trPr>
        <w:tc>
          <w:tcPr>
            <w:tcW w:w="1130" w:type="pct"/>
            <w:vAlign w:val="center"/>
          </w:tcPr>
          <w:p w14:paraId="4262C956" w14:textId="2BC5A8A2" w:rsidR="2A085367" w:rsidRPr="0039091F" w:rsidRDefault="2A085367" w:rsidP="000A5389">
            <w:pPr>
              <w:spacing w:line="240" w:lineRule="auto"/>
              <w:rPr>
                <w:rFonts w:cs="Times New Roman"/>
                <w:sz w:val="18"/>
                <w:szCs w:val="18"/>
              </w:rPr>
            </w:pPr>
            <w:r w:rsidRPr="0039091F">
              <w:rPr>
                <w:rFonts w:eastAsia="Times New Roman" w:cs="Times New Roman"/>
                <w:sz w:val="18"/>
                <w:szCs w:val="18"/>
              </w:rPr>
              <w:t>Invias</w:t>
            </w:r>
          </w:p>
        </w:tc>
        <w:tc>
          <w:tcPr>
            <w:tcW w:w="2413" w:type="pct"/>
            <w:vAlign w:val="center"/>
          </w:tcPr>
          <w:p w14:paraId="12C7C256" w14:textId="0C1FFB23" w:rsidR="2A085367" w:rsidRPr="0039091F" w:rsidRDefault="2A085367" w:rsidP="000A5389">
            <w:pPr>
              <w:spacing w:line="240" w:lineRule="auto"/>
              <w:rPr>
                <w:rFonts w:cs="Times New Roman"/>
                <w:sz w:val="18"/>
                <w:szCs w:val="18"/>
              </w:rPr>
            </w:pPr>
            <w:r w:rsidRPr="0039091F">
              <w:rPr>
                <w:rFonts w:eastAsia="Times New Roman" w:cs="Times New Roman"/>
                <w:sz w:val="18"/>
                <w:szCs w:val="18"/>
              </w:rPr>
              <w:t xml:space="preserve">Área Metropolitana de Cúcuta y Norte de Santander </w:t>
            </w:r>
          </w:p>
        </w:tc>
        <w:tc>
          <w:tcPr>
            <w:tcW w:w="1457" w:type="pct"/>
            <w:vAlign w:val="center"/>
          </w:tcPr>
          <w:p w14:paraId="5C671454" w14:textId="6E2C269F" w:rsidR="2A085367" w:rsidRPr="0039091F" w:rsidRDefault="2A085367" w:rsidP="000A5389">
            <w:pPr>
              <w:spacing w:line="240" w:lineRule="auto"/>
              <w:jc w:val="right"/>
              <w:rPr>
                <w:rFonts w:cs="Times New Roman"/>
                <w:sz w:val="18"/>
                <w:szCs w:val="18"/>
              </w:rPr>
            </w:pPr>
            <w:r w:rsidRPr="0039091F">
              <w:rPr>
                <w:rFonts w:eastAsia="Times New Roman" w:cs="Times New Roman"/>
                <w:sz w:val="18"/>
                <w:szCs w:val="18"/>
              </w:rPr>
              <w:t xml:space="preserve">                     259.043.988.631 </w:t>
            </w:r>
          </w:p>
        </w:tc>
      </w:tr>
      <w:tr w:rsidR="2A085367" w:rsidRPr="0039091F" w14:paraId="1B6C8384" w14:textId="77777777" w:rsidTr="00715DF7">
        <w:trPr>
          <w:trHeight w:val="300"/>
        </w:trPr>
        <w:tc>
          <w:tcPr>
            <w:tcW w:w="1130" w:type="pct"/>
            <w:vAlign w:val="center"/>
          </w:tcPr>
          <w:p w14:paraId="3974A4ED" w14:textId="6D7EE195" w:rsidR="2A085367" w:rsidRPr="0039091F" w:rsidRDefault="2A085367" w:rsidP="000A5389">
            <w:pPr>
              <w:spacing w:line="240" w:lineRule="auto"/>
              <w:rPr>
                <w:rFonts w:cs="Times New Roman"/>
                <w:sz w:val="18"/>
                <w:szCs w:val="18"/>
              </w:rPr>
            </w:pPr>
            <w:r w:rsidRPr="0039091F">
              <w:rPr>
                <w:rFonts w:eastAsia="Times New Roman" w:cs="Times New Roman"/>
                <w:sz w:val="18"/>
                <w:szCs w:val="18"/>
              </w:rPr>
              <w:t>AMC</w:t>
            </w:r>
          </w:p>
        </w:tc>
        <w:tc>
          <w:tcPr>
            <w:tcW w:w="2413" w:type="pct"/>
            <w:vAlign w:val="center"/>
          </w:tcPr>
          <w:p w14:paraId="4EF55248" w14:textId="66573011" w:rsidR="2A085367" w:rsidRPr="0039091F" w:rsidRDefault="2A085367" w:rsidP="000A5389">
            <w:pPr>
              <w:spacing w:line="240" w:lineRule="auto"/>
              <w:rPr>
                <w:rFonts w:cs="Times New Roman"/>
                <w:sz w:val="18"/>
                <w:szCs w:val="18"/>
              </w:rPr>
            </w:pPr>
            <w:r w:rsidRPr="0039091F">
              <w:rPr>
                <w:rFonts w:eastAsia="Times New Roman" w:cs="Times New Roman"/>
                <w:sz w:val="18"/>
                <w:szCs w:val="18"/>
              </w:rPr>
              <w:t xml:space="preserve">Área Metropolitana de Cúcuta y Norte de Santander </w:t>
            </w:r>
          </w:p>
        </w:tc>
        <w:tc>
          <w:tcPr>
            <w:tcW w:w="1457" w:type="pct"/>
            <w:vAlign w:val="center"/>
          </w:tcPr>
          <w:p w14:paraId="2A1624C2" w14:textId="4882E64F" w:rsidR="2A085367" w:rsidRPr="0039091F" w:rsidRDefault="2A085367" w:rsidP="000A5389">
            <w:pPr>
              <w:spacing w:line="240" w:lineRule="auto"/>
              <w:jc w:val="right"/>
              <w:rPr>
                <w:rFonts w:cs="Times New Roman"/>
                <w:sz w:val="18"/>
                <w:szCs w:val="18"/>
              </w:rPr>
            </w:pPr>
            <w:r w:rsidRPr="0039091F">
              <w:rPr>
                <w:rFonts w:eastAsia="Times New Roman" w:cs="Times New Roman"/>
                <w:sz w:val="18"/>
                <w:szCs w:val="18"/>
              </w:rPr>
              <w:t xml:space="preserve">                     121.484.492.457 </w:t>
            </w:r>
          </w:p>
        </w:tc>
      </w:tr>
      <w:tr w:rsidR="2A085367" w:rsidRPr="0039091F" w14:paraId="28004194" w14:textId="77777777" w:rsidTr="00715DF7">
        <w:trPr>
          <w:trHeight w:val="300"/>
        </w:trPr>
        <w:tc>
          <w:tcPr>
            <w:tcW w:w="1130" w:type="pct"/>
            <w:vAlign w:val="center"/>
          </w:tcPr>
          <w:p w14:paraId="627CDAFA" w14:textId="3C327BF0" w:rsidR="2A085367" w:rsidRPr="0039091F" w:rsidRDefault="2A085367" w:rsidP="000A5389">
            <w:pPr>
              <w:spacing w:line="240" w:lineRule="auto"/>
              <w:rPr>
                <w:rFonts w:cs="Times New Roman"/>
                <w:sz w:val="18"/>
                <w:szCs w:val="18"/>
              </w:rPr>
            </w:pPr>
            <w:r w:rsidRPr="0039091F">
              <w:rPr>
                <w:rFonts w:eastAsia="Times New Roman" w:cs="Times New Roman"/>
                <w:sz w:val="18"/>
                <w:szCs w:val="18"/>
              </w:rPr>
              <w:t>San Pelayo</w:t>
            </w:r>
          </w:p>
        </w:tc>
        <w:tc>
          <w:tcPr>
            <w:tcW w:w="2413" w:type="pct"/>
            <w:vAlign w:val="center"/>
          </w:tcPr>
          <w:p w14:paraId="633BBC4D" w14:textId="32412B6A" w:rsidR="2A085367" w:rsidRPr="0039091F" w:rsidRDefault="2A085367" w:rsidP="000A5389">
            <w:pPr>
              <w:spacing w:line="240" w:lineRule="auto"/>
              <w:rPr>
                <w:rFonts w:cs="Times New Roman"/>
                <w:sz w:val="18"/>
                <w:szCs w:val="18"/>
              </w:rPr>
            </w:pPr>
            <w:r w:rsidRPr="0039091F">
              <w:rPr>
                <w:rFonts w:eastAsia="Times New Roman" w:cs="Times New Roman"/>
                <w:sz w:val="18"/>
                <w:szCs w:val="18"/>
              </w:rPr>
              <w:t xml:space="preserve">Transversal de las Américas </w:t>
            </w:r>
          </w:p>
        </w:tc>
        <w:tc>
          <w:tcPr>
            <w:tcW w:w="1457" w:type="pct"/>
            <w:vAlign w:val="center"/>
          </w:tcPr>
          <w:p w14:paraId="0A11E91C" w14:textId="6228A04A" w:rsidR="2A085367" w:rsidRPr="0039091F" w:rsidRDefault="2A085367" w:rsidP="000A5389">
            <w:pPr>
              <w:spacing w:line="240" w:lineRule="auto"/>
              <w:jc w:val="right"/>
              <w:rPr>
                <w:rFonts w:cs="Times New Roman"/>
                <w:sz w:val="18"/>
                <w:szCs w:val="18"/>
              </w:rPr>
            </w:pPr>
            <w:r w:rsidRPr="0039091F">
              <w:rPr>
                <w:rFonts w:eastAsia="Times New Roman" w:cs="Times New Roman"/>
                <w:sz w:val="18"/>
                <w:szCs w:val="18"/>
              </w:rPr>
              <w:t xml:space="preserve">                       53.456.735.931 </w:t>
            </w:r>
          </w:p>
        </w:tc>
      </w:tr>
      <w:tr w:rsidR="2A085367" w:rsidRPr="0039091F" w14:paraId="10BD3BC3" w14:textId="77777777" w:rsidTr="00715DF7">
        <w:trPr>
          <w:trHeight w:val="300"/>
        </w:trPr>
        <w:tc>
          <w:tcPr>
            <w:tcW w:w="1130" w:type="pct"/>
            <w:vAlign w:val="center"/>
          </w:tcPr>
          <w:p w14:paraId="62F91853" w14:textId="7AC73F67" w:rsidR="2A085367" w:rsidRPr="0039091F" w:rsidRDefault="2A085367" w:rsidP="000A5389">
            <w:pPr>
              <w:spacing w:line="240" w:lineRule="auto"/>
              <w:rPr>
                <w:rFonts w:cs="Times New Roman"/>
                <w:sz w:val="18"/>
                <w:szCs w:val="18"/>
              </w:rPr>
            </w:pPr>
            <w:r w:rsidRPr="0039091F">
              <w:rPr>
                <w:rFonts w:eastAsia="Times New Roman" w:cs="Times New Roman"/>
                <w:sz w:val="18"/>
                <w:szCs w:val="18"/>
              </w:rPr>
              <w:t>Gobernación de Sucre</w:t>
            </w:r>
          </w:p>
        </w:tc>
        <w:tc>
          <w:tcPr>
            <w:tcW w:w="2413" w:type="pct"/>
            <w:vAlign w:val="center"/>
          </w:tcPr>
          <w:p w14:paraId="4745E13D" w14:textId="354761DB" w:rsidR="2A085367" w:rsidRPr="0039091F" w:rsidRDefault="2A085367" w:rsidP="000A5389">
            <w:pPr>
              <w:spacing w:line="240" w:lineRule="auto"/>
              <w:rPr>
                <w:rFonts w:cs="Times New Roman"/>
                <w:sz w:val="18"/>
                <w:szCs w:val="18"/>
              </w:rPr>
            </w:pPr>
            <w:r w:rsidRPr="0039091F">
              <w:rPr>
                <w:rFonts w:eastAsia="Times New Roman" w:cs="Times New Roman"/>
                <w:sz w:val="18"/>
                <w:szCs w:val="18"/>
              </w:rPr>
              <w:t xml:space="preserve">Transversal de las Américas </w:t>
            </w:r>
          </w:p>
        </w:tc>
        <w:tc>
          <w:tcPr>
            <w:tcW w:w="1457" w:type="pct"/>
            <w:vAlign w:val="center"/>
          </w:tcPr>
          <w:p w14:paraId="7CB3C889" w14:textId="30BDC738" w:rsidR="2A085367" w:rsidRPr="0039091F" w:rsidRDefault="2A085367" w:rsidP="000A5389">
            <w:pPr>
              <w:spacing w:line="240" w:lineRule="auto"/>
              <w:jc w:val="right"/>
              <w:rPr>
                <w:rFonts w:cs="Times New Roman"/>
                <w:sz w:val="18"/>
                <w:szCs w:val="18"/>
              </w:rPr>
            </w:pPr>
            <w:r w:rsidRPr="0039091F">
              <w:rPr>
                <w:rFonts w:eastAsia="Times New Roman" w:cs="Times New Roman"/>
                <w:sz w:val="18"/>
                <w:szCs w:val="18"/>
              </w:rPr>
              <w:t xml:space="preserve">                       15.362.131.665 </w:t>
            </w:r>
          </w:p>
        </w:tc>
      </w:tr>
      <w:tr w:rsidR="2A085367" w:rsidRPr="0039091F" w14:paraId="797FE4A7" w14:textId="77777777" w:rsidTr="00715DF7">
        <w:trPr>
          <w:trHeight w:val="300"/>
        </w:trPr>
        <w:tc>
          <w:tcPr>
            <w:tcW w:w="1130" w:type="pct"/>
            <w:vAlign w:val="center"/>
          </w:tcPr>
          <w:p w14:paraId="2AD4ADF9" w14:textId="1995CAF5" w:rsidR="2A085367" w:rsidRPr="0039091F" w:rsidRDefault="2A085367" w:rsidP="000A5389">
            <w:pPr>
              <w:spacing w:line="240" w:lineRule="auto"/>
              <w:rPr>
                <w:rFonts w:cs="Times New Roman"/>
                <w:sz w:val="18"/>
                <w:szCs w:val="18"/>
              </w:rPr>
            </w:pPr>
            <w:r w:rsidRPr="0039091F">
              <w:rPr>
                <w:rFonts w:eastAsia="Times New Roman" w:cs="Times New Roman"/>
                <w:sz w:val="18"/>
                <w:szCs w:val="18"/>
              </w:rPr>
              <w:t>Majagual</w:t>
            </w:r>
          </w:p>
        </w:tc>
        <w:tc>
          <w:tcPr>
            <w:tcW w:w="2413" w:type="pct"/>
            <w:vAlign w:val="center"/>
          </w:tcPr>
          <w:p w14:paraId="75C17EEE" w14:textId="0FA3EB19" w:rsidR="2A085367" w:rsidRPr="0039091F" w:rsidRDefault="2A085367" w:rsidP="000A5389">
            <w:pPr>
              <w:spacing w:line="240" w:lineRule="auto"/>
              <w:rPr>
                <w:rFonts w:cs="Times New Roman"/>
                <w:sz w:val="18"/>
                <w:szCs w:val="18"/>
              </w:rPr>
            </w:pPr>
            <w:r w:rsidRPr="0039091F">
              <w:rPr>
                <w:rFonts w:eastAsia="Times New Roman" w:cs="Times New Roman"/>
                <w:sz w:val="18"/>
                <w:szCs w:val="18"/>
              </w:rPr>
              <w:t xml:space="preserve">Transversal de las Américas </w:t>
            </w:r>
          </w:p>
        </w:tc>
        <w:tc>
          <w:tcPr>
            <w:tcW w:w="1457" w:type="pct"/>
            <w:vAlign w:val="center"/>
          </w:tcPr>
          <w:p w14:paraId="1ACD986B" w14:textId="2FF8FEC8" w:rsidR="2A085367" w:rsidRPr="0039091F" w:rsidRDefault="2A085367" w:rsidP="000A5389">
            <w:pPr>
              <w:spacing w:line="240" w:lineRule="auto"/>
              <w:jc w:val="right"/>
              <w:rPr>
                <w:rFonts w:cs="Times New Roman"/>
                <w:sz w:val="18"/>
                <w:szCs w:val="18"/>
              </w:rPr>
            </w:pPr>
            <w:r w:rsidRPr="0039091F">
              <w:rPr>
                <w:rFonts w:eastAsia="Times New Roman" w:cs="Times New Roman"/>
                <w:sz w:val="18"/>
                <w:szCs w:val="18"/>
              </w:rPr>
              <w:t xml:space="preserve">                         5.611.798.751 </w:t>
            </w:r>
          </w:p>
        </w:tc>
      </w:tr>
      <w:tr w:rsidR="2A085367" w:rsidRPr="0039091F" w14:paraId="7BA5FC71" w14:textId="77777777" w:rsidTr="00715DF7">
        <w:trPr>
          <w:trHeight w:val="300"/>
        </w:trPr>
        <w:tc>
          <w:tcPr>
            <w:tcW w:w="1130" w:type="pct"/>
            <w:vAlign w:val="center"/>
          </w:tcPr>
          <w:p w14:paraId="561A3326" w14:textId="1A89D268" w:rsidR="2A085367" w:rsidRPr="0039091F" w:rsidRDefault="2A085367" w:rsidP="000A5389">
            <w:pPr>
              <w:spacing w:line="240" w:lineRule="auto"/>
              <w:rPr>
                <w:rFonts w:cs="Times New Roman"/>
                <w:sz w:val="18"/>
                <w:szCs w:val="18"/>
              </w:rPr>
            </w:pPr>
            <w:r w:rsidRPr="0039091F">
              <w:rPr>
                <w:rFonts w:eastAsia="Times New Roman" w:cs="Times New Roman"/>
                <w:sz w:val="18"/>
                <w:szCs w:val="18"/>
              </w:rPr>
              <w:t>Invias</w:t>
            </w:r>
          </w:p>
        </w:tc>
        <w:tc>
          <w:tcPr>
            <w:tcW w:w="2413" w:type="pct"/>
            <w:vAlign w:val="center"/>
          </w:tcPr>
          <w:p w14:paraId="4AF081D0" w14:textId="1E1A7931" w:rsidR="2A085367" w:rsidRPr="0039091F" w:rsidRDefault="2A085367" w:rsidP="000A5389">
            <w:pPr>
              <w:spacing w:line="240" w:lineRule="auto"/>
              <w:rPr>
                <w:rFonts w:cs="Times New Roman"/>
                <w:sz w:val="18"/>
                <w:szCs w:val="18"/>
              </w:rPr>
            </w:pPr>
            <w:r w:rsidRPr="0039091F">
              <w:rPr>
                <w:rFonts w:eastAsia="Times New Roman" w:cs="Times New Roman"/>
                <w:sz w:val="18"/>
                <w:szCs w:val="18"/>
              </w:rPr>
              <w:t xml:space="preserve">Sociedad Terminal Marítimos del Pacífico </w:t>
            </w:r>
          </w:p>
        </w:tc>
        <w:tc>
          <w:tcPr>
            <w:tcW w:w="1457" w:type="pct"/>
            <w:vAlign w:val="center"/>
          </w:tcPr>
          <w:p w14:paraId="42A56F0D" w14:textId="5A0C1774" w:rsidR="2A085367" w:rsidRPr="0039091F" w:rsidRDefault="2A085367" w:rsidP="000A5389">
            <w:pPr>
              <w:spacing w:line="240" w:lineRule="auto"/>
              <w:jc w:val="right"/>
              <w:rPr>
                <w:rFonts w:cs="Times New Roman"/>
                <w:sz w:val="18"/>
                <w:szCs w:val="18"/>
              </w:rPr>
            </w:pPr>
            <w:r w:rsidRPr="0039091F">
              <w:rPr>
                <w:rFonts w:eastAsia="Times New Roman" w:cs="Times New Roman"/>
                <w:sz w:val="18"/>
                <w:szCs w:val="18"/>
              </w:rPr>
              <w:t xml:space="preserve">                         1.203.634.324 </w:t>
            </w:r>
          </w:p>
        </w:tc>
      </w:tr>
      <w:tr w:rsidR="2A085367" w:rsidRPr="0039091F" w14:paraId="2434B060" w14:textId="77777777" w:rsidTr="00715DF7">
        <w:trPr>
          <w:trHeight w:val="300"/>
        </w:trPr>
        <w:tc>
          <w:tcPr>
            <w:tcW w:w="1130" w:type="pct"/>
            <w:vAlign w:val="center"/>
          </w:tcPr>
          <w:p w14:paraId="2A897FDD" w14:textId="5B2D7FBA" w:rsidR="2A085367" w:rsidRPr="0039091F" w:rsidRDefault="2A085367" w:rsidP="000A5389">
            <w:pPr>
              <w:spacing w:line="240" w:lineRule="auto"/>
              <w:rPr>
                <w:rFonts w:cs="Times New Roman"/>
                <w:sz w:val="18"/>
                <w:szCs w:val="18"/>
              </w:rPr>
            </w:pPr>
            <w:r w:rsidRPr="0039091F">
              <w:rPr>
                <w:rFonts w:eastAsia="Times New Roman" w:cs="Times New Roman"/>
                <w:sz w:val="18"/>
                <w:szCs w:val="18"/>
              </w:rPr>
              <w:t>Invias</w:t>
            </w:r>
          </w:p>
        </w:tc>
        <w:tc>
          <w:tcPr>
            <w:tcW w:w="2413" w:type="pct"/>
            <w:vAlign w:val="center"/>
          </w:tcPr>
          <w:p w14:paraId="5E4FB59D" w14:textId="38EBE90C" w:rsidR="2A085367" w:rsidRPr="0039091F" w:rsidRDefault="2A085367" w:rsidP="000A5389">
            <w:pPr>
              <w:spacing w:line="240" w:lineRule="auto"/>
              <w:rPr>
                <w:rFonts w:cs="Times New Roman"/>
                <w:sz w:val="18"/>
                <w:szCs w:val="18"/>
              </w:rPr>
            </w:pPr>
            <w:r w:rsidRPr="0039091F">
              <w:rPr>
                <w:rFonts w:eastAsia="Times New Roman" w:cs="Times New Roman"/>
                <w:sz w:val="18"/>
                <w:szCs w:val="18"/>
              </w:rPr>
              <w:t xml:space="preserve">Rumichaca – Pasto – Chachagui – Aeropuerto </w:t>
            </w:r>
          </w:p>
        </w:tc>
        <w:tc>
          <w:tcPr>
            <w:tcW w:w="1457" w:type="pct"/>
            <w:vAlign w:val="center"/>
          </w:tcPr>
          <w:p w14:paraId="27F2A92C" w14:textId="35B5952F" w:rsidR="2A085367" w:rsidRPr="0039091F" w:rsidRDefault="2A085367" w:rsidP="000A5389">
            <w:pPr>
              <w:spacing w:line="240" w:lineRule="auto"/>
              <w:jc w:val="right"/>
              <w:rPr>
                <w:rFonts w:cs="Times New Roman"/>
                <w:sz w:val="18"/>
                <w:szCs w:val="18"/>
              </w:rPr>
            </w:pPr>
            <w:r w:rsidRPr="0039091F">
              <w:rPr>
                <w:rFonts w:eastAsia="Times New Roman" w:cs="Times New Roman"/>
                <w:sz w:val="18"/>
                <w:szCs w:val="18"/>
              </w:rPr>
              <w:t xml:space="preserve"> 417.284.321</w:t>
            </w:r>
          </w:p>
        </w:tc>
      </w:tr>
    </w:tbl>
    <w:p w14:paraId="1CF6635E" w14:textId="33106B96" w:rsidR="00522627" w:rsidRPr="00951AB1" w:rsidRDefault="6717EF38" w:rsidP="000A5389">
      <w:pPr>
        <w:spacing w:line="240" w:lineRule="auto"/>
        <w:rPr>
          <w:rFonts w:cs="Times New Roman"/>
        </w:rPr>
      </w:pPr>
      <w:r w:rsidRPr="2A085367">
        <w:rPr>
          <w:rFonts w:eastAsia="Times New Roman" w:cs="Times New Roman"/>
          <w:szCs w:val="24"/>
        </w:rPr>
        <w:t xml:space="preserve"> </w:t>
      </w:r>
    </w:p>
    <w:p w14:paraId="51EB406A" w14:textId="5C7B519D" w:rsidR="00522627" w:rsidRPr="00951AB1" w:rsidRDefault="6717EF38" w:rsidP="000A5389">
      <w:pPr>
        <w:spacing w:line="240" w:lineRule="auto"/>
        <w:rPr>
          <w:rFonts w:cs="Times New Roman"/>
        </w:rPr>
      </w:pPr>
      <w:r w:rsidRPr="00951AB1">
        <w:rPr>
          <w:rFonts w:eastAsia="Times New Roman" w:cs="Times New Roman"/>
          <w:b/>
          <w:bCs/>
          <w:i/>
          <w:iCs/>
          <w:szCs w:val="24"/>
        </w:rPr>
        <w:t xml:space="preserve">ii. </w:t>
      </w:r>
      <w:r w:rsidRPr="00951AB1">
        <w:rPr>
          <w:rFonts w:eastAsia="Times New Roman" w:cs="Times New Roman"/>
          <w:szCs w:val="24"/>
        </w:rPr>
        <w:t xml:space="preserve">En cuanto la </w:t>
      </w:r>
      <w:r w:rsidRPr="00951AB1">
        <w:rPr>
          <w:rFonts w:eastAsia="Times New Roman" w:cs="Times New Roman"/>
          <w:b/>
          <w:bCs/>
          <w:szCs w:val="24"/>
        </w:rPr>
        <w:t>Corrección de errores de un periodo contable anterior</w:t>
      </w:r>
      <w:r w:rsidRPr="00951AB1">
        <w:rPr>
          <w:rFonts w:eastAsia="Times New Roman" w:cs="Times New Roman"/>
          <w:szCs w:val="24"/>
        </w:rPr>
        <w:t xml:space="preserve">, se observa una disminución del saldo en la cuenta contable frente al periodo anterior en </w:t>
      </w:r>
      <w:r w:rsidRPr="00951AB1">
        <w:rPr>
          <w:rFonts w:eastAsia="Times New Roman" w:cs="Times New Roman"/>
          <w:b/>
          <w:bCs/>
          <w:szCs w:val="24"/>
        </w:rPr>
        <w:t>-$443.910.775.661</w:t>
      </w:r>
      <w:r w:rsidRPr="00951AB1">
        <w:rPr>
          <w:rFonts w:eastAsia="Times New Roman" w:cs="Times New Roman"/>
          <w:szCs w:val="24"/>
        </w:rPr>
        <w:t>, lo cual se justifica a continuación:</w:t>
      </w:r>
    </w:p>
    <w:p w14:paraId="544A9C49" w14:textId="25BD4634" w:rsidR="00522627" w:rsidRPr="00951AB1" w:rsidRDefault="6717EF38" w:rsidP="000A5389">
      <w:pPr>
        <w:spacing w:line="240" w:lineRule="auto"/>
        <w:rPr>
          <w:rFonts w:cs="Times New Roman"/>
        </w:rPr>
      </w:pPr>
      <w:r w:rsidRPr="00951AB1">
        <w:rPr>
          <w:rFonts w:eastAsia="Times New Roman" w:cs="Times New Roman"/>
          <w:szCs w:val="24"/>
        </w:rPr>
        <w:t xml:space="preserve"> </w:t>
      </w:r>
    </w:p>
    <w:p w14:paraId="6F1ECA92" w14:textId="7FA4FF51" w:rsidR="00522627" w:rsidRPr="00951AB1" w:rsidRDefault="6717EF38" w:rsidP="000A5389">
      <w:pPr>
        <w:pStyle w:val="Prrafodelista"/>
        <w:numPr>
          <w:ilvl w:val="0"/>
          <w:numId w:val="29"/>
        </w:numPr>
        <w:spacing w:line="240" w:lineRule="auto"/>
        <w:ind w:left="360"/>
        <w:rPr>
          <w:rFonts w:eastAsia="Times New Roman" w:cs="Times New Roman"/>
          <w:szCs w:val="24"/>
        </w:rPr>
      </w:pPr>
      <w:r w:rsidRPr="00951AB1">
        <w:rPr>
          <w:rFonts w:eastAsia="Times New Roman" w:cs="Times New Roman"/>
          <w:szCs w:val="24"/>
        </w:rPr>
        <w:t xml:space="preserve">Disminución en el saldo de la cuenta contable del patrimonio por valor de </w:t>
      </w:r>
      <w:r w:rsidRPr="00951AB1">
        <w:rPr>
          <w:rFonts w:eastAsia="Times New Roman" w:cs="Times New Roman"/>
          <w:b/>
          <w:bCs/>
          <w:szCs w:val="24"/>
        </w:rPr>
        <w:t>-$356.175.454.882</w:t>
      </w:r>
      <w:r w:rsidRPr="00951AB1">
        <w:rPr>
          <w:rFonts w:eastAsia="Times New Roman" w:cs="Times New Roman"/>
          <w:szCs w:val="24"/>
        </w:rPr>
        <w:t>, correspondiente a los rendimientos de las cuentas en el patrimonio autónomo para Obras Menores informados en el Informe de Inversión modo carretero año 2025 para los proyectos:</w:t>
      </w:r>
      <w:r w:rsidRPr="00951AB1">
        <w:rPr>
          <w:rFonts w:eastAsia="Calibri" w:cs="Times New Roman"/>
        </w:rPr>
        <w:t xml:space="preserve"> </w:t>
      </w:r>
      <w:r w:rsidRPr="00951AB1">
        <w:rPr>
          <w:rFonts w:eastAsia="Times New Roman" w:cs="Times New Roman"/>
          <w:szCs w:val="24"/>
        </w:rPr>
        <w:t>Perimetral De Oriente Cundinamarca (-$339.022.084.648), Autopista Para La Prosperidad Mar 2</w:t>
      </w:r>
      <w:r w:rsidR="00522627" w:rsidRPr="00951AB1">
        <w:rPr>
          <w:rFonts w:cs="Times New Roman"/>
        </w:rPr>
        <w:tab/>
      </w:r>
      <w:r w:rsidRPr="00951AB1">
        <w:rPr>
          <w:rFonts w:eastAsia="Times New Roman" w:cs="Times New Roman"/>
          <w:szCs w:val="24"/>
        </w:rPr>
        <w:t>(-$58.436.917.351), Santana - Mocoa – Neiva (-$1.031.457.871), Ip Tercer Carril (-$394.454.846), Autopista Conexión Pacifico 3 (-$27.000), Autopista para la Prosperidad - Mar 1</w:t>
      </w:r>
      <w:r w:rsidR="00522627" w:rsidRPr="00951AB1">
        <w:rPr>
          <w:rFonts w:cs="Times New Roman"/>
        </w:rPr>
        <w:tab/>
      </w:r>
      <w:r w:rsidRPr="00951AB1">
        <w:rPr>
          <w:rFonts w:eastAsia="Times New Roman" w:cs="Times New Roman"/>
          <w:szCs w:val="24"/>
        </w:rPr>
        <w:t xml:space="preserve"> ($2.827.366), Pacifico 1 ($20.865.054), Bucaramanga -Pamplona ($647.316.757), Rumichaca Pasto ($5.617.939.730), y Autopistas Al Rio Magdalena 2</w:t>
      </w:r>
      <w:r w:rsidR="00522627" w:rsidRPr="00951AB1">
        <w:rPr>
          <w:rFonts w:cs="Times New Roman"/>
        </w:rPr>
        <w:tab/>
      </w:r>
      <w:r w:rsidRPr="00951AB1">
        <w:rPr>
          <w:rFonts w:eastAsia="Times New Roman" w:cs="Times New Roman"/>
          <w:szCs w:val="24"/>
        </w:rPr>
        <w:t>($36.420.537.927).</w:t>
      </w:r>
    </w:p>
    <w:p w14:paraId="29DFD84E" w14:textId="507D4B0E" w:rsidR="00522627" w:rsidRPr="00951AB1" w:rsidRDefault="6717EF38" w:rsidP="000A5389">
      <w:pPr>
        <w:spacing w:line="240" w:lineRule="auto"/>
        <w:ind w:left="360"/>
        <w:rPr>
          <w:rFonts w:cs="Times New Roman"/>
        </w:rPr>
      </w:pPr>
      <w:r w:rsidRPr="00951AB1">
        <w:rPr>
          <w:rFonts w:eastAsia="Times New Roman" w:cs="Times New Roman"/>
          <w:szCs w:val="24"/>
        </w:rPr>
        <w:lastRenderedPageBreak/>
        <w:t xml:space="preserve"> </w:t>
      </w:r>
    </w:p>
    <w:p w14:paraId="3EB6EB82" w14:textId="760CF137" w:rsidR="00522627" w:rsidRPr="00951AB1" w:rsidRDefault="6717EF38" w:rsidP="000A5389">
      <w:pPr>
        <w:pStyle w:val="Prrafodelista"/>
        <w:numPr>
          <w:ilvl w:val="0"/>
          <w:numId w:val="29"/>
        </w:numPr>
        <w:spacing w:line="240" w:lineRule="auto"/>
        <w:ind w:left="360"/>
        <w:rPr>
          <w:rFonts w:eastAsia="Times New Roman" w:cs="Times New Roman"/>
          <w:szCs w:val="24"/>
        </w:rPr>
      </w:pPr>
      <w:r w:rsidRPr="00951AB1">
        <w:rPr>
          <w:rFonts w:eastAsia="Times New Roman" w:cs="Times New Roman"/>
          <w:szCs w:val="24"/>
        </w:rPr>
        <w:t xml:space="preserve">Disminución en el patrimonio por </w:t>
      </w:r>
      <w:r w:rsidRPr="00951AB1">
        <w:rPr>
          <w:rFonts w:eastAsia="Times New Roman" w:cs="Times New Roman"/>
          <w:b/>
          <w:bCs/>
          <w:szCs w:val="24"/>
        </w:rPr>
        <w:t>-$242.937.115.864</w:t>
      </w:r>
      <w:r w:rsidRPr="00951AB1">
        <w:rPr>
          <w:rFonts w:eastAsia="Times New Roman" w:cs="Times New Roman"/>
          <w:szCs w:val="24"/>
        </w:rPr>
        <w:t>, en atención a la actualización y ajustes en el capital e intereses por concepto de laudos de las entidades Yuma Concesionaria S A -$119.427.262.151, APP Gica S.A.          -$939.000.000, BTS Concesionario S.A.S. -$51.840.781.166, Concesionaria San Rafael S A -$116.641.446, Concesionaria San Simón $ 383.088.396, Concesionaria Vial Andina SAS -$52.930.820.748, Perimetral Oriental de Bogotá SAS $4.100.000.000, y del proyecto IP Vía al Puerto -$22.165.698.749.</w:t>
      </w:r>
    </w:p>
    <w:p w14:paraId="6BA62609" w14:textId="3861A7A6" w:rsidR="00522627" w:rsidRPr="00951AB1" w:rsidRDefault="6717EF38" w:rsidP="000A5389">
      <w:pPr>
        <w:spacing w:line="240" w:lineRule="auto"/>
        <w:ind w:left="720"/>
        <w:rPr>
          <w:rFonts w:cs="Times New Roman"/>
        </w:rPr>
      </w:pPr>
      <w:r w:rsidRPr="00951AB1">
        <w:rPr>
          <w:rFonts w:eastAsia="Times New Roman" w:cs="Times New Roman"/>
          <w:szCs w:val="24"/>
        </w:rPr>
        <w:t xml:space="preserve"> </w:t>
      </w:r>
    </w:p>
    <w:p w14:paraId="3B935260" w14:textId="3114C0E3" w:rsidR="00522627" w:rsidRPr="00951AB1" w:rsidRDefault="6717EF38" w:rsidP="000A5389">
      <w:pPr>
        <w:pStyle w:val="Prrafodelista"/>
        <w:numPr>
          <w:ilvl w:val="0"/>
          <w:numId w:val="29"/>
        </w:numPr>
        <w:spacing w:line="240" w:lineRule="auto"/>
        <w:ind w:left="360"/>
        <w:rPr>
          <w:rFonts w:eastAsia="Times New Roman" w:cs="Times New Roman"/>
          <w:szCs w:val="24"/>
        </w:rPr>
      </w:pPr>
      <w:r w:rsidRPr="00951AB1">
        <w:rPr>
          <w:rFonts w:eastAsia="Times New Roman" w:cs="Times New Roman"/>
          <w:szCs w:val="24"/>
        </w:rPr>
        <w:t xml:space="preserve">Aumento en la cuenta contable del patrimonio de la Agencia en </w:t>
      </w:r>
      <w:r w:rsidRPr="00951AB1">
        <w:rPr>
          <w:rFonts w:eastAsia="Times New Roman" w:cs="Times New Roman"/>
          <w:b/>
          <w:bCs/>
          <w:szCs w:val="24"/>
        </w:rPr>
        <w:t xml:space="preserve">$212.741.896.122, </w:t>
      </w:r>
      <w:r w:rsidRPr="00951AB1">
        <w:rPr>
          <w:rFonts w:eastAsia="Times New Roman" w:cs="Times New Roman"/>
          <w:szCs w:val="24"/>
        </w:rPr>
        <w:t>por el reconocimiento de los recursos generados antes del periodo contable 2025 en el patrimonio autónomo de los proyectos revertidos: Transversal de las Américas ($143.676.449.821), Zipaquirá – Bucaramanga (Palenque $68.922.174.587) y Área Metropolitana de Cúcuta y Norte de Santander ($143.271.715), cuyo saldo posteriormente se trasladó al Fondo de Fuentes Alternativas de Pago para el Desarrollo de Infraestructura – FIP.</w:t>
      </w:r>
    </w:p>
    <w:p w14:paraId="4B0899B6" w14:textId="74F973F7" w:rsidR="00522627" w:rsidRPr="00951AB1" w:rsidRDefault="6717EF38" w:rsidP="000A5389">
      <w:pPr>
        <w:spacing w:line="240" w:lineRule="auto"/>
        <w:ind w:left="720"/>
        <w:rPr>
          <w:rFonts w:cs="Times New Roman"/>
        </w:rPr>
      </w:pPr>
      <w:r w:rsidRPr="00951AB1">
        <w:rPr>
          <w:rFonts w:eastAsia="Times New Roman" w:cs="Times New Roman"/>
          <w:szCs w:val="24"/>
        </w:rPr>
        <w:t xml:space="preserve"> </w:t>
      </w:r>
    </w:p>
    <w:p w14:paraId="187A7D07" w14:textId="44024700" w:rsidR="00522627" w:rsidRPr="00951AB1" w:rsidRDefault="5FE69126" w:rsidP="000A5389">
      <w:pPr>
        <w:pStyle w:val="Prrafodelista"/>
        <w:numPr>
          <w:ilvl w:val="0"/>
          <w:numId w:val="29"/>
        </w:numPr>
        <w:spacing w:line="240" w:lineRule="auto"/>
        <w:ind w:left="360"/>
        <w:rPr>
          <w:rFonts w:eastAsia="Times New Roman" w:cs="Times New Roman"/>
          <w:szCs w:val="24"/>
        </w:rPr>
      </w:pPr>
      <w:r w:rsidRPr="00951AB1">
        <w:rPr>
          <w:rFonts w:eastAsia="Times New Roman" w:cs="Times New Roman"/>
          <w:szCs w:val="24"/>
        </w:rPr>
        <w:t xml:space="preserve">Aumento en el patrimonio por valor de </w:t>
      </w:r>
      <w:r w:rsidRPr="00951AB1">
        <w:rPr>
          <w:rFonts w:eastAsia="Times New Roman" w:cs="Times New Roman"/>
          <w:b/>
          <w:bCs/>
          <w:szCs w:val="24"/>
        </w:rPr>
        <w:t>$148.485.658.951</w:t>
      </w:r>
      <w:r w:rsidRPr="00951AB1">
        <w:rPr>
          <w:rFonts w:eastAsia="Times New Roman" w:cs="Times New Roman"/>
          <w:szCs w:val="24"/>
        </w:rPr>
        <w:t>, a causa de los ajustes a los proyectos férreos según el formato GCSP-F-288 Información de bienes de uso público y propiedad planta y equipo en el modo férreo según el nuevo marco normativo para Entidades de Gobierno,</w:t>
      </w:r>
      <w:r w:rsidRPr="00951AB1">
        <w:rPr>
          <w:rFonts w:eastAsia="Calibri" w:cs="Times New Roman"/>
        </w:rPr>
        <w:t xml:space="preserve"> para la R</w:t>
      </w:r>
      <w:r w:rsidRPr="00951AB1">
        <w:rPr>
          <w:rFonts w:eastAsia="Times New Roman" w:cs="Times New Roman"/>
          <w:szCs w:val="24"/>
        </w:rPr>
        <w:t>ed Férrea del Atlántico ($12.173.552.225) y Red Férrea del Pacífico ($136.312.106.725).</w:t>
      </w:r>
    </w:p>
    <w:p w14:paraId="466F7D8D" w14:textId="50B97E07" w:rsidR="00522627" w:rsidRPr="00951AB1" w:rsidRDefault="5FE69126" w:rsidP="000A5389">
      <w:pPr>
        <w:spacing w:line="240" w:lineRule="auto"/>
        <w:ind w:left="360"/>
        <w:rPr>
          <w:rFonts w:eastAsia="Times New Roman" w:cs="Times New Roman"/>
          <w:szCs w:val="24"/>
        </w:rPr>
      </w:pPr>
      <w:r w:rsidRPr="00951AB1">
        <w:rPr>
          <w:rFonts w:eastAsia="Times New Roman" w:cs="Times New Roman"/>
          <w:szCs w:val="24"/>
        </w:rPr>
        <w:t xml:space="preserve"> </w:t>
      </w:r>
    </w:p>
    <w:p w14:paraId="78D81463" w14:textId="3690B6E6" w:rsidR="00522627" w:rsidRPr="00951AB1" w:rsidRDefault="6717EF38" w:rsidP="000A5389">
      <w:pPr>
        <w:pStyle w:val="Prrafodelista"/>
        <w:numPr>
          <w:ilvl w:val="0"/>
          <w:numId w:val="29"/>
        </w:numPr>
        <w:spacing w:line="240" w:lineRule="auto"/>
        <w:ind w:left="360"/>
        <w:rPr>
          <w:rFonts w:eastAsia="Times New Roman" w:cs="Times New Roman"/>
          <w:szCs w:val="24"/>
        </w:rPr>
      </w:pPr>
      <w:r w:rsidRPr="00951AB1">
        <w:rPr>
          <w:rFonts w:eastAsia="Times New Roman" w:cs="Times New Roman"/>
          <w:szCs w:val="24"/>
        </w:rPr>
        <w:t>Disminución en la cuenta patrimonial por valor de -</w:t>
      </w:r>
      <w:r w:rsidRPr="00951AB1">
        <w:rPr>
          <w:rFonts w:eastAsia="Times New Roman" w:cs="Times New Roman"/>
          <w:b/>
          <w:bCs/>
          <w:szCs w:val="24"/>
        </w:rPr>
        <w:t xml:space="preserve">$129.408.179.951 </w:t>
      </w:r>
      <w:r w:rsidRPr="00951AB1">
        <w:rPr>
          <w:rFonts w:eastAsia="Times New Roman" w:cs="Times New Roman"/>
          <w:szCs w:val="24"/>
        </w:rPr>
        <w:t>a causa de los ajustes en el formato Informe de Inversión del Modo Carretero según el Marco Normativo para Entidades de Gobierno, remitido por la Vicepresidencia Ejecutiva, el cual, por modificaciones en las variables utilizadas para estimar el valor del Capex, Opex (Mantenimiento), Carga financiera, pasivo financiero y pasivo diferido arroja un valor diferente con el cual finalizó el año 2024 para algunos proyectos así:</w:t>
      </w:r>
      <w:r w:rsidRPr="00951AB1">
        <w:rPr>
          <w:rFonts w:eastAsia="Calibri" w:cs="Times New Roman"/>
        </w:rPr>
        <w:t xml:space="preserve"> </w:t>
      </w:r>
      <w:r w:rsidRPr="00951AB1">
        <w:rPr>
          <w:rFonts w:eastAsia="Times New Roman" w:cs="Times New Roman"/>
          <w:szCs w:val="24"/>
        </w:rPr>
        <w:t>Buga Loboguerrero Buenaventura $471.460.461.957, Autopista Para La Prosperidad Mar 2 $235.294.916.502, Autopistas Al Rio Magdalena 2 $100.118.714.973, Autopistas Al Rio Magdalena 2 $20.209.805.100, Troncal Magdalena 2 $9.444.597.925, Armenia Pereira Manizales $3.556.250.404, Desarrollo Vial para el Oriente de Medellin y Valle de Rionegro $2.389.899.444, IPP Neiva Espinal Girardot $1.641.194.886, Troncal Magdalena 1 Puerto Salgar – Barrancabermeja $1.177.917.746, Cambao la Esperanza Ibagué- Honda $73.200.354, Conexión Norte -$5.572.190, Rumichaca Pasto -$8.971.491.517, Santa Marta-Riohacha-Paraguachón -$14.388.464.362, Bucaramanga-Barrancabermeja-Yondó</w:t>
      </w:r>
      <w:r w:rsidR="00522627" w:rsidRPr="00951AB1">
        <w:rPr>
          <w:rFonts w:cs="Times New Roman"/>
        </w:rPr>
        <w:tab/>
      </w:r>
      <w:r w:rsidRPr="00951AB1">
        <w:rPr>
          <w:rFonts w:eastAsia="Times New Roman" w:cs="Times New Roman"/>
          <w:szCs w:val="24"/>
        </w:rPr>
        <w:t>-$35.185.208.505, y Perimetral De Oriente Cundinamarca</w:t>
      </w:r>
      <w:r w:rsidR="00522627" w:rsidRPr="00951AB1">
        <w:rPr>
          <w:rFonts w:cs="Times New Roman"/>
        </w:rPr>
        <w:tab/>
      </w:r>
      <w:r w:rsidRPr="00951AB1">
        <w:rPr>
          <w:rFonts w:eastAsia="Times New Roman" w:cs="Times New Roman"/>
          <w:szCs w:val="24"/>
        </w:rPr>
        <w:t>-$916.224.402.667.</w:t>
      </w:r>
    </w:p>
    <w:p w14:paraId="7E4D2BC7" w14:textId="63349E04" w:rsidR="00522627" w:rsidRPr="00951AB1" w:rsidRDefault="6717EF38" w:rsidP="000A5389">
      <w:pPr>
        <w:spacing w:line="240" w:lineRule="auto"/>
        <w:ind w:left="360"/>
        <w:rPr>
          <w:rFonts w:cs="Times New Roman"/>
        </w:rPr>
      </w:pPr>
      <w:r w:rsidRPr="00951AB1">
        <w:rPr>
          <w:rFonts w:eastAsia="Times New Roman" w:cs="Times New Roman"/>
          <w:szCs w:val="24"/>
        </w:rPr>
        <w:t xml:space="preserve"> </w:t>
      </w:r>
    </w:p>
    <w:p w14:paraId="58BFF25C" w14:textId="6B48C17F" w:rsidR="00522627" w:rsidRPr="00951AB1" w:rsidRDefault="6717EF38" w:rsidP="000A5389">
      <w:pPr>
        <w:pStyle w:val="Prrafodelista"/>
        <w:numPr>
          <w:ilvl w:val="0"/>
          <w:numId w:val="29"/>
        </w:numPr>
        <w:spacing w:line="240" w:lineRule="auto"/>
        <w:ind w:left="360"/>
        <w:rPr>
          <w:rFonts w:eastAsia="Times New Roman" w:cs="Times New Roman"/>
          <w:szCs w:val="24"/>
        </w:rPr>
      </w:pPr>
      <w:r w:rsidRPr="00951AB1">
        <w:rPr>
          <w:rFonts w:eastAsia="Times New Roman" w:cs="Times New Roman"/>
          <w:szCs w:val="24"/>
        </w:rPr>
        <w:t xml:space="preserve">Disminución en la cuenta del patrimonio por valor de </w:t>
      </w:r>
      <w:r w:rsidRPr="00951AB1">
        <w:rPr>
          <w:rFonts w:eastAsia="Times New Roman" w:cs="Times New Roman"/>
          <w:b/>
          <w:bCs/>
          <w:szCs w:val="24"/>
        </w:rPr>
        <w:t>-$46.576.020.715</w:t>
      </w:r>
      <w:r w:rsidRPr="00951AB1">
        <w:rPr>
          <w:rFonts w:eastAsia="Times New Roman" w:cs="Times New Roman"/>
          <w:szCs w:val="24"/>
        </w:rPr>
        <w:t xml:space="preserve">, que corresponde a Recursos administrados cuya ejecución fue de periodos anteriores e informadas en el año 2025 en el formato GADF-F-083 Informe de ejecución de seguimiento de recursos </w:t>
      </w:r>
      <w:r w:rsidRPr="00951AB1">
        <w:rPr>
          <w:rFonts w:eastAsia="Times New Roman" w:cs="Times New Roman"/>
          <w:szCs w:val="24"/>
        </w:rPr>
        <w:lastRenderedPageBreak/>
        <w:t>entregados y recibidos en administración, para las entidades Cenit $2.239.960.978, Financiera de Desarrollo Nacional – FDN $586.482.234, e Invias -$49.402.463.927.</w:t>
      </w:r>
    </w:p>
    <w:p w14:paraId="59249275" w14:textId="7A03374C" w:rsidR="00522627" w:rsidRPr="00951AB1" w:rsidRDefault="6717EF38" w:rsidP="000A5389">
      <w:pPr>
        <w:spacing w:line="240" w:lineRule="auto"/>
        <w:ind w:left="720"/>
        <w:rPr>
          <w:rFonts w:cs="Times New Roman"/>
        </w:rPr>
      </w:pPr>
      <w:r w:rsidRPr="00951AB1">
        <w:rPr>
          <w:rFonts w:eastAsia="Times New Roman" w:cs="Times New Roman"/>
          <w:szCs w:val="24"/>
        </w:rPr>
        <w:t xml:space="preserve"> </w:t>
      </w:r>
    </w:p>
    <w:p w14:paraId="41AD5944" w14:textId="154CB5EB" w:rsidR="00522627" w:rsidRPr="00951AB1" w:rsidRDefault="6717EF38" w:rsidP="000A5389">
      <w:pPr>
        <w:pStyle w:val="Prrafodelista"/>
        <w:numPr>
          <w:ilvl w:val="0"/>
          <w:numId w:val="29"/>
        </w:numPr>
        <w:spacing w:line="240" w:lineRule="auto"/>
        <w:ind w:left="360"/>
        <w:rPr>
          <w:rFonts w:eastAsia="Times New Roman" w:cs="Times New Roman"/>
          <w:szCs w:val="24"/>
        </w:rPr>
      </w:pPr>
      <w:r w:rsidRPr="00951AB1">
        <w:rPr>
          <w:rFonts w:eastAsia="Times New Roman" w:cs="Times New Roman"/>
          <w:szCs w:val="24"/>
        </w:rPr>
        <w:t>Disminución en la cuenta del patrimonio por valor de -</w:t>
      </w:r>
      <w:r w:rsidRPr="00951AB1">
        <w:rPr>
          <w:rFonts w:eastAsia="Times New Roman" w:cs="Times New Roman"/>
          <w:b/>
          <w:bCs/>
          <w:szCs w:val="24"/>
        </w:rPr>
        <w:t>$23.569.530.290</w:t>
      </w:r>
      <w:r w:rsidRPr="00951AB1">
        <w:rPr>
          <w:rFonts w:eastAsia="Times New Roman" w:cs="Times New Roman"/>
          <w:szCs w:val="24"/>
        </w:rPr>
        <w:t xml:space="preserve"> con ocasión del reconocimiento del cruce de Cuenta por cobrar por concepto de Sanciones contractuales en el proyecto vial Bucaramanga-Barrancabermeja-Yondó, efectuado a través del Fondo de Contingencia.</w:t>
      </w:r>
    </w:p>
    <w:p w14:paraId="26EE8CA5" w14:textId="1C439A8A" w:rsidR="00522627" w:rsidRPr="00951AB1" w:rsidRDefault="6717EF38" w:rsidP="000A5389">
      <w:pPr>
        <w:spacing w:line="240" w:lineRule="auto"/>
        <w:rPr>
          <w:rFonts w:cs="Times New Roman"/>
        </w:rPr>
      </w:pPr>
      <w:r w:rsidRPr="00951AB1">
        <w:rPr>
          <w:rFonts w:eastAsia="Times New Roman" w:cs="Times New Roman"/>
          <w:szCs w:val="24"/>
        </w:rPr>
        <w:t xml:space="preserve"> </w:t>
      </w:r>
    </w:p>
    <w:p w14:paraId="0089E98E" w14:textId="3E1EF112" w:rsidR="00522627" w:rsidRPr="00951AB1" w:rsidRDefault="6717EF38" w:rsidP="000A5389">
      <w:pPr>
        <w:pStyle w:val="Prrafodelista"/>
        <w:numPr>
          <w:ilvl w:val="0"/>
          <w:numId w:val="29"/>
        </w:numPr>
        <w:spacing w:line="240" w:lineRule="auto"/>
        <w:ind w:left="360"/>
        <w:rPr>
          <w:rFonts w:eastAsia="Times New Roman" w:cs="Times New Roman"/>
          <w:szCs w:val="24"/>
        </w:rPr>
      </w:pPr>
      <w:r w:rsidRPr="00951AB1">
        <w:rPr>
          <w:rFonts w:eastAsia="Times New Roman" w:cs="Times New Roman"/>
          <w:szCs w:val="24"/>
        </w:rPr>
        <w:t xml:space="preserve">Disminución al patrimonio en </w:t>
      </w:r>
      <w:r w:rsidRPr="00951AB1">
        <w:rPr>
          <w:rFonts w:eastAsia="Times New Roman" w:cs="Times New Roman"/>
          <w:b/>
          <w:bCs/>
          <w:szCs w:val="24"/>
        </w:rPr>
        <w:t xml:space="preserve">-$5.717.477.578 </w:t>
      </w:r>
      <w:r w:rsidRPr="00951AB1">
        <w:rPr>
          <w:rFonts w:eastAsia="Times New Roman" w:cs="Times New Roman"/>
          <w:szCs w:val="24"/>
        </w:rPr>
        <w:t>por los ingresos de contraprestación aeroportuaria reconocido en el año 2024 para el Aeropuerto de Cartagena, según conciliación de valores realizados entre la Vicepresidencia de Gestión Contractual y la Aeronáutica Civil de Colombia – Aerocivil.</w:t>
      </w:r>
    </w:p>
    <w:p w14:paraId="56620F03" w14:textId="5811B79B" w:rsidR="00522627" w:rsidRPr="00951AB1" w:rsidRDefault="6717EF38" w:rsidP="000A5389">
      <w:pPr>
        <w:spacing w:line="240" w:lineRule="auto"/>
        <w:ind w:left="720"/>
        <w:rPr>
          <w:rFonts w:cs="Times New Roman"/>
        </w:rPr>
      </w:pPr>
      <w:r w:rsidRPr="00951AB1">
        <w:rPr>
          <w:rFonts w:eastAsia="Times New Roman" w:cs="Times New Roman"/>
          <w:szCs w:val="24"/>
        </w:rPr>
        <w:t xml:space="preserve"> </w:t>
      </w:r>
    </w:p>
    <w:p w14:paraId="2ECD5140" w14:textId="68AFEF22" w:rsidR="00522627" w:rsidRPr="00951AB1" w:rsidRDefault="6717EF38" w:rsidP="000A5389">
      <w:pPr>
        <w:pStyle w:val="Prrafodelista"/>
        <w:numPr>
          <w:ilvl w:val="0"/>
          <w:numId w:val="29"/>
        </w:numPr>
        <w:spacing w:line="240" w:lineRule="auto"/>
        <w:ind w:left="360"/>
        <w:rPr>
          <w:rFonts w:eastAsia="Times New Roman" w:cs="Times New Roman"/>
          <w:szCs w:val="24"/>
        </w:rPr>
      </w:pPr>
      <w:r w:rsidRPr="00951AB1">
        <w:rPr>
          <w:rFonts w:eastAsia="Times New Roman" w:cs="Times New Roman"/>
          <w:szCs w:val="24"/>
        </w:rPr>
        <w:t xml:space="preserve">Disminución en el patrimonio por </w:t>
      </w:r>
      <w:r w:rsidRPr="00951AB1">
        <w:rPr>
          <w:rFonts w:eastAsia="Times New Roman" w:cs="Times New Roman"/>
          <w:b/>
          <w:bCs/>
          <w:szCs w:val="24"/>
        </w:rPr>
        <w:t>-$4.969.779.053</w:t>
      </w:r>
      <w:r w:rsidRPr="00951AB1">
        <w:rPr>
          <w:rFonts w:eastAsia="Times New Roman" w:cs="Times New Roman"/>
          <w:szCs w:val="24"/>
        </w:rPr>
        <w:t xml:space="preserve"> en el modo portuario por la actualización de la inversión en los proyectos Grupo Portuario S.A. -$2.999.344.994, Sociedad Portuaria Terminal de IFO'S S.A. -$1.317.864.580, y Vopak Colombia S.A. -$652.569.479, de acuerdo con lo reportado en formato GCSP-F-011 Informe de Activos Entregados en Concesión e Inversión de Capital Privado en Bienes de Uso Público del Modo Portuario.</w:t>
      </w:r>
    </w:p>
    <w:p w14:paraId="297B0471" w14:textId="1BF8A407" w:rsidR="00522627" w:rsidRPr="00951AB1" w:rsidRDefault="6717EF38" w:rsidP="000A5389">
      <w:pPr>
        <w:spacing w:line="240" w:lineRule="auto"/>
        <w:ind w:left="720"/>
        <w:rPr>
          <w:rFonts w:cs="Times New Roman"/>
        </w:rPr>
      </w:pPr>
      <w:r w:rsidRPr="00951AB1">
        <w:rPr>
          <w:rFonts w:eastAsia="Times New Roman" w:cs="Times New Roman"/>
          <w:szCs w:val="24"/>
        </w:rPr>
        <w:t xml:space="preserve"> </w:t>
      </w:r>
    </w:p>
    <w:p w14:paraId="531BE285" w14:textId="4E62ED39" w:rsidR="00522627" w:rsidRPr="00951AB1" w:rsidRDefault="6717EF38" w:rsidP="000A5389">
      <w:pPr>
        <w:pStyle w:val="Prrafodelista"/>
        <w:numPr>
          <w:ilvl w:val="0"/>
          <w:numId w:val="29"/>
        </w:numPr>
        <w:spacing w:line="240" w:lineRule="auto"/>
        <w:ind w:left="360"/>
        <w:rPr>
          <w:rFonts w:eastAsia="Times New Roman" w:cs="Times New Roman"/>
          <w:szCs w:val="24"/>
        </w:rPr>
      </w:pPr>
      <w:r w:rsidRPr="00951AB1">
        <w:rPr>
          <w:rFonts w:eastAsia="Times New Roman" w:cs="Times New Roman"/>
          <w:szCs w:val="24"/>
        </w:rPr>
        <w:t xml:space="preserve">Aumento en el patrimonio por valor de </w:t>
      </w:r>
      <w:r w:rsidRPr="00951AB1">
        <w:rPr>
          <w:rFonts w:eastAsia="Times New Roman" w:cs="Times New Roman"/>
          <w:b/>
          <w:bCs/>
          <w:szCs w:val="24"/>
        </w:rPr>
        <w:t>$3.798.443.279</w:t>
      </w:r>
      <w:r w:rsidRPr="00951AB1">
        <w:rPr>
          <w:rFonts w:eastAsia="Times New Roman" w:cs="Times New Roman"/>
          <w:szCs w:val="24"/>
        </w:rPr>
        <w:t>, por los procesos judiciales terminados y debió ajustarse el valor correspondiente a Propiedades e Inversiones Laussana S.A.S $3.108.334, Concesionaria Vial de los Andes S.A.S. Coviandes S.A.S. $4.211.274.806 y Leidy Tatiana Bustamante Abello -$415.939.860.</w:t>
      </w:r>
    </w:p>
    <w:p w14:paraId="1844E4D5" w14:textId="7BEE0AAF" w:rsidR="495A60B2" w:rsidRPr="00951AB1" w:rsidRDefault="495A60B2" w:rsidP="000A5389">
      <w:pPr>
        <w:pStyle w:val="Prrafodelista"/>
        <w:spacing w:line="240" w:lineRule="auto"/>
        <w:ind w:left="360"/>
        <w:rPr>
          <w:rFonts w:eastAsia="Times New Roman" w:cs="Times New Roman"/>
          <w:szCs w:val="24"/>
        </w:rPr>
      </w:pPr>
    </w:p>
    <w:p w14:paraId="055F05A9" w14:textId="7C57EE73" w:rsidR="00522627" w:rsidRPr="00951AB1" w:rsidRDefault="6717EF38" w:rsidP="000A5389">
      <w:pPr>
        <w:pStyle w:val="Prrafodelista"/>
        <w:numPr>
          <w:ilvl w:val="0"/>
          <w:numId w:val="29"/>
        </w:numPr>
        <w:spacing w:line="240" w:lineRule="auto"/>
        <w:ind w:left="360"/>
        <w:rPr>
          <w:rFonts w:eastAsia="Times New Roman" w:cs="Times New Roman"/>
          <w:szCs w:val="24"/>
        </w:rPr>
      </w:pPr>
      <w:r w:rsidRPr="00951AB1">
        <w:rPr>
          <w:rFonts w:eastAsia="Times New Roman" w:cs="Times New Roman"/>
          <w:szCs w:val="24"/>
        </w:rPr>
        <w:t xml:space="preserve">Aumento en el patrimonio por </w:t>
      </w:r>
      <w:r w:rsidRPr="00951AB1">
        <w:rPr>
          <w:rFonts w:eastAsia="Times New Roman" w:cs="Times New Roman"/>
          <w:b/>
          <w:bCs/>
          <w:szCs w:val="24"/>
        </w:rPr>
        <w:t>$416.784.320</w:t>
      </w:r>
      <w:r w:rsidRPr="00951AB1">
        <w:rPr>
          <w:rFonts w:eastAsia="Times New Roman" w:cs="Times New Roman"/>
          <w:szCs w:val="24"/>
        </w:rPr>
        <w:t>, a causa del reconocimiento del proceso ejecutivo derivado de la expropiación para la ejecución del proyecto vial Rumichaca – Pasto – Chachagüí – Aeropuerto revertido al Invias por $417.284.320, y ajuste</w:t>
      </w:r>
      <w:r w:rsidRPr="00951AB1">
        <w:rPr>
          <w:rFonts w:eastAsia="Calibri" w:cs="Times New Roman"/>
        </w:rPr>
        <w:t xml:space="preserve"> por </w:t>
      </w:r>
      <w:r w:rsidRPr="00951AB1">
        <w:rPr>
          <w:rFonts w:eastAsia="Times New Roman" w:cs="Times New Roman"/>
          <w:szCs w:val="24"/>
        </w:rPr>
        <w:t>la suma de -$500.000 por concepto de honorarios para el perito valuador en el proceso de expropiación del proyecto Malla Vila del Cauca y Cauca.</w:t>
      </w:r>
    </w:p>
    <w:p w14:paraId="40F273FF" w14:textId="6C2A6083" w:rsidR="00522627" w:rsidRDefault="6717EF38" w:rsidP="000A5389">
      <w:pPr>
        <w:spacing w:line="240" w:lineRule="auto"/>
        <w:rPr>
          <w:rFonts w:eastAsia="Times New Roman" w:cs="Times New Roman"/>
          <w:szCs w:val="24"/>
        </w:rPr>
      </w:pPr>
      <w:r w:rsidRPr="00951AB1">
        <w:rPr>
          <w:rFonts w:eastAsia="Times New Roman" w:cs="Times New Roman"/>
          <w:szCs w:val="24"/>
        </w:rPr>
        <w:t xml:space="preserve"> </w:t>
      </w:r>
    </w:p>
    <w:p w14:paraId="424E857D" w14:textId="77777777" w:rsidR="00786226" w:rsidRPr="00951AB1" w:rsidRDefault="00786226" w:rsidP="000A5389">
      <w:pPr>
        <w:spacing w:line="240" w:lineRule="auto"/>
        <w:rPr>
          <w:rFonts w:cs="Times New Roman"/>
        </w:rPr>
      </w:pPr>
      <w:r w:rsidRPr="2A085367">
        <w:rPr>
          <w:rFonts w:eastAsia="Times New Roman" w:cs="Times New Roman"/>
          <w:b/>
          <w:bCs/>
          <w:i/>
          <w:iCs/>
          <w:szCs w:val="24"/>
        </w:rPr>
        <w:t>i</w:t>
      </w:r>
      <w:r>
        <w:rPr>
          <w:rFonts w:eastAsia="Times New Roman" w:cs="Times New Roman"/>
          <w:b/>
          <w:bCs/>
          <w:i/>
          <w:iCs/>
          <w:szCs w:val="24"/>
        </w:rPr>
        <w:t>i</w:t>
      </w:r>
      <w:r w:rsidRPr="2A085367">
        <w:rPr>
          <w:rFonts w:eastAsia="Times New Roman" w:cs="Times New Roman"/>
          <w:b/>
          <w:bCs/>
          <w:i/>
          <w:iCs/>
          <w:szCs w:val="24"/>
        </w:rPr>
        <w:t xml:space="preserve">i. </w:t>
      </w:r>
      <w:r w:rsidRPr="00786226">
        <w:rPr>
          <w:rFonts w:eastAsia="Times New Roman" w:cs="Times New Roman"/>
          <w:szCs w:val="24"/>
        </w:rPr>
        <w:t xml:space="preserve">La </w:t>
      </w:r>
      <w:r w:rsidRPr="00786226">
        <w:rPr>
          <w:rFonts w:eastAsia="Times New Roman" w:cs="Times New Roman"/>
          <w:b/>
          <w:bCs/>
          <w:szCs w:val="24"/>
        </w:rPr>
        <w:t>Pérdidas o déficits acumulados</w:t>
      </w:r>
      <w:r w:rsidRPr="2A085367">
        <w:rPr>
          <w:rFonts w:eastAsia="Times New Roman" w:cs="Times New Roman"/>
          <w:szCs w:val="24"/>
        </w:rPr>
        <w:t xml:space="preserve"> se incrementó frente al año 2024, por el resultado del ejercicio durante el periodo 2024 por valor de </w:t>
      </w:r>
      <w:r w:rsidRPr="2A085367">
        <w:rPr>
          <w:rFonts w:eastAsia="Times New Roman" w:cs="Times New Roman"/>
          <w:b/>
          <w:bCs/>
          <w:szCs w:val="24"/>
        </w:rPr>
        <w:t>-$5.961.191.836.109</w:t>
      </w:r>
      <w:r w:rsidRPr="2A085367">
        <w:rPr>
          <w:rFonts w:eastAsia="Times New Roman" w:cs="Times New Roman"/>
          <w:szCs w:val="24"/>
        </w:rPr>
        <w:t>, justificado en que no se recibió por parte del Ministerio de Hacienda y Crédito Público los recursos para el pago de los aportes estatales de los proyectos de concesión carreteros, fluvial y otros proveedores por valor de 4,2 billones de pesos aproximadamente. Así como, se incrementaron los gastos en Provisión que se realizaron durante el año 2024 por concepto de Garantías Contractuales - Concesiones (por la materialización del riesgo comercial DR – Diferencial de Recaudo) en $2.597.383.484.042 y Provisiones Diversas (como resultado de la actualización en los procesos arbitrales con calificación del riesgo “Alto”) por valor de $3.562.875.472.290, aun cuando se disminuyó la Provisión de Litigios y Demandas en $1.812.627.465.450, para un efecto neto que incrementaría el déficit sobre el resultado del ejercicio en más de cuatro billones.</w:t>
      </w:r>
    </w:p>
    <w:p w14:paraId="65ED4A7B" w14:textId="2F14E74A" w:rsidR="00054048" w:rsidRDefault="6717EF38" w:rsidP="000A5389">
      <w:pPr>
        <w:spacing w:line="240" w:lineRule="auto"/>
        <w:rPr>
          <w:rFonts w:eastAsia="Times New Roman" w:cs="Times New Roman"/>
          <w:szCs w:val="24"/>
        </w:rPr>
      </w:pPr>
      <w:r w:rsidRPr="00951AB1">
        <w:rPr>
          <w:rFonts w:eastAsia="Times New Roman" w:cs="Times New Roman"/>
          <w:szCs w:val="24"/>
        </w:rPr>
        <w:t xml:space="preserve"> </w:t>
      </w:r>
    </w:p>
    <w:p w14:paraId="3EBA0207" w14:textId="77777777" w:rsidR="00054048" w:rsidRDefault="00054048" w:rsidP="000A5389">
      <w:pPr>
        <w:spacing w:line="240" w:lineRule="auto"/>
        <w:rPr>
          <w:rFonts w:eastAsia="Times New Roman" w:cs="Times New Roman"/>
          <w:szCs w:val="24"/>
        </w:rPr>
      </w:pPr>
    </w:p>
    <w:p w14:paraId="6D93BF80" w14:textId="77777777" w:rsidR="00054048" w:rsidRPr="00054048" w:rsidRDefault="00054048" w:rsidP="000A5389">
      <w:pPr>
        <w:spacing w:line="240" w:lineRule="auto"/>
        <w:rPr>
          <w:rFonts w:eastAsia="Times New Roman" w:cs="Times New Roman"/>
          <w:szCs w:val="24"/>
        </w:rPr>
      </w:pPr>
    </w:p>
    <w:p w14:paraId="2CA0B33F" w14:textId="13982A63" w:rsidR="00522627" w:rsidRPr="00951AB1" w:rsidRDefault="6717EF38" w:rsidP="000A5389">
      <w:pPr>
        <w:pStyle w:val="Ttulo2"/>
        <w:numPr>
          <w:ilvl w:val="0"/>
          <w:numId w:val="0"/>
        </w:numPr>
        <w:spacing w:line="240" w:lineRule="auto"/>
        <w:rPr>
          <w:rFonts w:eastAsia="Times New Roman" w:cs="Times New Roman"/>
        </w:rPr>
      </w:pPr>
      <w:bookmarkStart w:id="690" w:name="_Toc222824157"/>
      <w:bookmarkStart w:id="691" w:name="_Toc222955525"/>
      <w:r w:rsidRPr="00951AB1">
        <w:rPr>
          <w:rFonts w:eastAsia="Times New Roman" w:cs="Times New Roman"/>
        </w:rPr>
        <w:t>26.2</w:t>
      </w:r>
      <w:r w:rsidR="0068415C" w:rsidRPr="00951AB1">
        <w:rPr>
          <w:rFonts w:eastAsia="Times New Roman" w:cs="Times New Roman"/>
        </w:rPr>
        <w:t xml:space="preserve">. </w:t>
      </w:r>
      <w:r w:rsidR="0068415C" w:rsidRPr="00951AB1">
        <w:rPr>
          <w:rFonts w:cs="Times New Roman"/>
        </w:rPr>
        <w:tab/>
      </w:r>
      <w:r w:rsidRPr="00951AB1">
        <w:rPr>
          <w:rFonts w:eastAsia="Times New Roman" w:cs="Times New Roman"/>
        </w:rPr>
        <w:t xml:space="preserve"> Resultado del ejercicio</w:t>
      </w:r>
      <w:bookmarkEnd w:id="690"/>
      <w:bookmarkEnd w:id="691"/>
    </w:p>
    <w:p w14:paraId="1FE62FF5" w14:textId="0141462E" w:rsidR="00522627" w:rsidRPr="00951AB1" w:rsidRDefault="6717EF38" w:rsidP="000A5389">
      <w:pPr>
        <w:spacing w:line="240" w:lineRule="auto"/>
        <w:rPr>
          <w:rFonts w:cs="Times New Roman"/>
        </w:rPr>
      </w:pPr>
      <w:r w:rsidRPr="00951AB1">
        <w:rPr>
          <w:rFonts w:eastAsia="Times New Roman" w:cs="Times New Roman"/>
          <w:szCs w:val="24"/>
        </w:rPr>
        <w:t xml:space="preserve"> </w:t>
      </w:r>
    </w:p>
    <w:p w14:paraId="39D21565" w14:textId="77777777" w:rsidR="00953C90" w:rsidRPr="00951AB1" w:rsidRDefault="6717EF38" w:rsidP="000A5389">
      <w:pPr>
        <w:spacing w:line="240" w:lineRule="auto"/>
        <w:rPr>
          <w:rFonts w:cs="Times New Roman"/>
        </w:rPr>
      </w:pPr>
      <w:r w:rsidRPr="00951AB1">
        <w:rPr>
          <w:rFonts w:eastAsia="Times New Roman" w:cs="Times New Roman"/>
          <w:szCs w:val="24"/>
        </w:rPr>
        <w:t xml:space="preserve">Representa el valor del resultado obtenido por la Agencia, como consecuencia de las operaciones realizadas durante el periodo contable en cumplimiento de su cometido estatal, el periodo inició con un saldo en déficit del año 2024 por valor de -$5.961.191.836.108, no obstante, a pesar del aumento en los ingresos ($6.103.457.835.893) frente al año anterior, así como también incrementó los gastos en el año 2025 ($3.228.061.828.614) en comparación al año 2024 presentando una variación de $2.875.396.007.279, finalmente a 31 de diciembre 2025 se refleja una pérdida o déficit por valor de </w:t>
      </w:r>
      <w:r w:rsidRPr="00951AB1">
        <w:rPr>
          <w:rFonts w:eastAsia="Times New Roman" w:cs="Times New Roman"/>
          <w:b/>
          <w:bCs/>
          <w:szCs w:val="24"/>
        </w:rPr>
        <w:t>-$3.085.795.828.829</w:t>
      </w:r>
      <w:r w:rsidRPr="00951AB1">
        <w:rPr>
          <w:rFonts w:eastAsia="Times New Roman" w:cs="Times New Roman"/>
          <w:szCs w:val="24"/>
        </w:rPr>
        <w:t xml:space="preserve"> la cual se explica a continuación las variaciones más significativas:</w:t>
      </w:r>
      <w:r w:rsidR="00953C90" w:rsidRPr="00951AB1">
        <w:rPr>
          <w:rFonts w:cs="Times New Roman"/>
        </w:rPr>
        <w:br/>
      </w:r>
    </w:p>
    <w:p w14:paraId="1ED06590" w14:textId="0E382FBB" w:rsidR="00953C90" w:rsidRPr="00951AB1" w:rsidRDefault="6717EF38" w:rsidP="000A5389">
      <w:pPr>
        <w:pStyle w:val="Prrafodelista"/>
        <w:numPr>
          <w:ilvl w:val="0"/>
          <w:numId w:val="30"/>
        </w:numPr>
        <w:spacing w:line="240" w:lineRule="auto"/>
        <w:rPr>
          <w:rFonts w:cs="Times New Roman"/>
          <w:szCs w:val="24"/>
        </w:rPr>
      </w:pPr>
      <w:r w:rsidRPr="00951AB1">
        <w:rPr>
          <w:rFonts w:cs="Times New Roman"/>
          <w:szCs w:val="24"/>
        </w:rPr>
        <w:t>Los Ingresos</w:t>
      </w:r>
      <w:r w:rsidRPr="00951AB1">
        <w:rPr>
          <w:rFonts w:eastAsia="Calibri" w:cs="Times New Roman"/>
        </w:rPr>
        <w:t xml:space="preserve"> por O</w:t>
      </w:r>
      <w:r w:rsidRPr="00951AB1">
        <w:rPr>
          <w:rFonts w:cs="Times New Roman"/>
          <w:szCs w:val="24"/>
        </w:rPr>
        <w:t>peraciones Interistitucionales corresponde a los recursos asignados por el Ministerio de Hacienda para honrar los compromisos contractuales adquiridos, presentó una variación positiva de $3.442.413.886.374. Aunque si bien en el año 2025 se recibieron los 4,2 billones de pesos que no colocaron en el año 2024 para pagar las obligaciones adquiridas; la situación se repitió finalizando el periodo 2025, en cuanto el Minhacienda dejo de ubicar el PAC de $5.360.106.648.014, para atender los compromisos con el Fondo de Contingencia, el pago de los Aportes Estatales de vigencias futuras para los proyectos carreteros, y el aporte del Convenio Interadministrativo con Finder. En conclusión, se dejó de percibir un billón aproximadamente que afecta el ingreso de la Agencia.</w:t>
      </w:r>
    </w:p>
    <w:p w14:paraId="36759511" w14:textId="781B770A" w:rsidR="00953C90" w:rsidRPr="00951AB1" w:rsidRDefault="00953C90" w:rsidP="000A5389">
      <w:pPr>
        <w:pStyle w:val="Prrafodelista"/>
        <w:spacing w:line="240" w:lineRule="auto"/>
        <w:ind w:left="360"/>
        <w:rPr>
          <w:rFonts w:cs="Times New Roman"/>
          <w:szCs w:val="24"/>
        </w:rPr>
      </w:pPr>
    </w:p>
    <w:p w14:paraId="7414D986" w14:textId="017B0A25" w:rsidR="00953C90" w:rsidRPr="00951AB1" w:rsidRDefault="6717EF38" w:rsidP="000A5389">
      <w:pPr>
        <w:pStyle w:val="Prrafodelista"/>
        <w:numPr>
          <w:ilvl w:val="0"/>
          <w:numId w:val="30"/>
        </w:numPr>
        <w:spacing w:line="240" w:lineRule="auto"/>
        <w:rPr>
          <w:rFonts w:cs="Times New Roman"/>
          <w:szCs w:val="24"/>
        </w:rPr>
      </w:pPr>
      <w:r w:rsidRPr="2A085367">
        <w:rPr>
          <w:rFonts w:cs="Times New Roman"/>
          <w:szCs w:val="24"/>
        </w:rPr>
        <w:t xml:space="preserve">Otros Ingresos presenta una variación en mayor valor de $2.485.629.878.676, principalmente por la reversión de las provisiones el litigios y demandas, siendo el más representativo de le </w:t>
      </w:r>
      <w:r w:rsidR="79AAC624" w:rsidRPr="2A085367">
        <w:rPr>
          <w:rFonts w:cs="Times New Roman"/>
          <w:szCs w:val="24"/>
        </w:rPr>
        <w:t>Unión</w:t>
      </w:r>
      <w:r w:rsidRPr="2A085367">
        <w:rPr>
          <w:rFonts w:cs="Times New Roman"/>
          <w:szCs w:val="24"/>
        </w:rPr>
        <w:t xml:space="preserve"> Temporal Desarrollo Vial del Valle del Cauca y Cauca por valor de $1.344.583.261.694, en atención a la calificación al proceso otorgado por el apoderado.</w:t>
      </w:r>
    </w:p>
    <w:p w14:paraId="165F4CEB" w14:textId="3AC38158" w:rsidR="00953C90" w:rsidRPr="00951AB1" w:rsidRDefault="00953C90" w:rsidP="000A5389">
      <w:pPr>
        <w:pStyle w:val="Prrafodelista"/>
        <w:spacing w:line="240" w:lineRule="auto"/>
        <w:rPr>
          <w:rFonts w:eastAsia="Times New Roman" w:cs="Times New Roman"/>
          <w:szCs w:val="24"/>
        </w:rPr>
      </w:pPr>
    </w:p>
    <w:p w14:paraId="42645B6A" w14:textId="1648F577" w:rsidR="00953C90" w:rsidRPr="00951AB1" w:rsidRDefault="6717EF38" w:rsidP="000A5389">
      <w:pPr>
        <w:pStyle w:val="Prrafodelista"/>
        <w:numPr>
          <w:ilvl w:val="0"/>
          <w:numId w:val="30"/>
        </w:numPr>
        <w:spacing w:line="240" w:lineRule="auto"/>
        <w:rPr>
          <w:rFonts w:cs="Times New Roman"/>
          <w:szCs w:val="24"/>
        </w:rPr>
      </w:pPr>
      <w:r w:rsidRPr="00951AB1">
        <w:rPr>
          <w:rFonts w:eastAsia="Times New Roman" w:cs="Times New Roman"/>
          <w:szCs w:val="24"/>
        </w:rPr>
        <w:t>De igual manera, se registró como aprovechamiento los recursos de los remanentes de las diferentes cuentas de los patrimonios autónomos de los proyectos de concesión revertidos del modo de transporte carreteros Área Metropolitana de Cúcuta y Norte de Santander</w:t>
      </w:r>
      <w:r w:rsidR="00522627" w:rsidRPr="00951AB1">
        <w:rPr>
          <w:rFonts w:cs="Times New Roman"/>
        </w:rPr>
        <w:tab/>
      </w:r>
      <w:r w:rsidRPr="00951AB1">
        <w:rPr>
          <w:rFonts w:eastAsia="Times New Roman" w:cs="Times New Roman"/>
          <w:szCs w:val="24"/>
        </w:rPr>
        <w:t>($11.710.072.420), Desarrollo Vial del Norte de Bogotá – Devinorte ($22.851.027.755), Rumichaca – Pasto – Chachagüí – Aeropuerto ($14.245.625) y Bosa – Granada - Girardot ($159.157.582.744) trasladados al FIP.</w:t>
      </w:r>
    </w:p>
    <w:p w14:paraId="211AE774" w14:textId="6A3EF264" w:rsidR="00522627" w:rsidRPr="00951AB1" w:rsidRDefault="6717EF38" w:rsidP="000A5389">
      <w:pPr>
        <w:pStyle w:val="Prrafodelista"/>
        <w:spacing w:line="240" w:lineRule="auto"/>
        <w:ind w:left="360"/>
        <w:rPr>
          <w:rFonts w:cs="Times New Roman"/>
          <w:szCs w:val="24"/>
        </w:rPr>
      </w:pPr>
      <w:r w:rsidRPr="00951AB1">
        <w:rPr>
          <w:rFonts w:eastAsia="Times New Roman" w:cs="Times New Roman"/>
          <w:szCs w:val="24"/>
        </w:rPr>
        <w:t xml:space="preserve"> </w:t>
      </w:r>
    </w:p>
    <w:p w14:paraId="4EEBC560" w14:textId="78F9417B" w:rsidR="00953C90" w:rsidRPr="00951AB1" w:rsidRDefault="6717EF38" w:rsidP="000A5389">
      <w:pPr>
        <w:pStyle w:val="Prrafodelista"/>
        <w:numPr>
          <w:ilvl w:val="0"/>
          <w:numId w:val="30"/>
        </w:numPr>
        <w:spacing w:line="240" w:lineRule="auto"/>
        <w:rPr>
          <w:rFonts w:cs="Times New Roman"/>
          <w:szCs w:val="24"/>
        </w:rPr>
      </w:pPr>
      <w:r w:rsidRPr="2A085367">
        <w:rPr>
          <w:rFonts w:cs="Times New Roman"/>
          <w:szCs w:val="24"/>
        </w:rPr>
        <w:t xml:space="preserve">El Gasto por Transferencias y Subvenciones aumentó en comparación con el 2024 en $1.669.006.037.686, con ocasión a las reversiones de los proyectos: Cordoba Sucre, </w:t>
      </w:r>
      <w:r w:rsidR="575F7331" w:rsidRPr="2A085367">
        <w:rPr>
          <w:rFonts w:cs="Times New Roman"/>
          <w:szCs w:val="24"/>
        </w:rPr>
        <w:t>Autovía</w:t>
      </w:r>
      <w:r w:rsidRPr="2A085367">
        <w:rPr>
          <w:rFonts w:cs="Times New Roman"/>
          <w:szCs w:val="24"/>
        </w:rPr>
        <w:t xml:space="preserve"> Bucaramanga Pamplona S.A.S, Ip </w:t>
      </w:r>
      <w:r w:rsidR="0BB568F8" w:rsidRPr="2A085367">
        <w:rPr>
          <w:rFonts w:cs="Times New Roman"/>
          <w:szCs w:val="24"/>
        </w:rPr>
        <w:t>Vías</w:t>
      </w:r>
      <w:r w:rsidRPr="2A085367">
        <w:rPr>
          <w:rFonts w:cs="Times New Roman"/>
          <w:szCs w:val="24"/>
        </w:rPr>
        <w:t xml:space="preserve"> del Nus a las entidades titulares invias, Montería y Sincelejo. Así como Propiedad Planta y Equipo (Vehículos) por entrega del concesionario APP GICA S.A. al Invias y ejecución de recursos de convenios con Invias.</w:t>
      </w:r>
    </w:p>
    <w:p w14:paraId="75CFB1EE" w14:textId="77777777" w:rsidR="00953C90" w:rsidRPr="00951AB1" w:rsidRDefault="00953C90" w:rsidP="000A5389">
      <w:pPr>
        <w:pStyle w:val="Prrafodelista"/>
        <w:spacing w:line="240" w:lineRule="auto"/>
        <w:ind w:left="360"/>
        <w:rPr>
          <w:rFonts w:cs="Times New Roman"/>
          <w:szCs w:val="24"/>
        </w:rPr>
      </w:pPr>
    </w:p>
    <w:p w14:paraId="0F30FAC5" w14:textId="6B6261D3" w:rsidR="00493EFE" w:rsidRPr="00951AB1" w:rsidRDefault="6717EF38" w:rsidP="000A5389">
      <w:pPr>
        <w:pStyle w:val="Prrafodelista"/>
        <w:numPr>
          <w:ilvl w:val="0"/>
          <w:numId w:val="30"/>
        </w:numPr>
        <w:spacing w:line="240" w:lineRule="auto"/>
        <w:rPr>
          <w:rFonts w:cs="Times New Roman"/>
          <w:szCs w:val="24"/>
        </w:rPr>
      </w:pPr>
      <w:r w:rsidRPr="2A085367">
        <w:rPr>
          <w:rFonts w:eastAsia="Times New Roman" w:cs="Times New Roman"/>
          <w:szCs w:val="24"/>
        </w:rPr>
        <w:lastRenderedPageBreak/>
        <w:t xml:space="preserve">El Gasto por Deterioro, Depreciaciones, Amortizaciones y Provisiones, aumentó frente al año anterior en $828.904.225.827 en atención al incremento en la provisión de Mecanismos alternativos de solución de conflictos ($2.749.712.406.679) y la disminución de la Provisión </w:t>
      </w:r>
      <w:r w:rsidR="12A36F85" w:rsidRPr="2A085367">
        <w:rPr>
          <w:rFonts w:eastAsia="Times New Roman" w:cs="Times New Roman"/>
          <w:szCs w:val="24"/>
        </w:rPr>
        <w:t>por Garantías</w:t>
      </w:r>
      <w:r w:rsidRPr="2A085367">
        <w:rPr>
          <w:rFonts w:eastAsia="Times New Roman" w:cs="Times New Roman"/>
          <w:szCs w:val="24"/>
        </w:rPr>
        <w:t xml:space="preserve"> contractuales – concesiones -$1.958.285.845.784</w:t>
      </w:r>
      <w:r w:rsidRPr="2A085367">
        <w:rPr>
          <w:rFonts w:eastAsia="Times New Roman" w:cs="Times New Roman"/>
        </w:rPr>
        <w:t>.</w:t>
      </w:r>
    </w:p>
    <w:p w14:paraId="5472D116" w14:textId="12B779A9" w:rsidR="00493EFE" w:rsidRPr="00951AB1" w:rsidRDefault="00493EFE" w:rsidP="000A5389">
      <w:pPr>
        <w:pStyle w:val="Prrafodelista"/>
        <w:spacing w:line="240" w:lineRule="auto"/>
        <w:rPr>
          <w:rFonts w:cs="Times New Roman"/>
          <w:szCs w:val="24"/>
        </w:rPr>
      </w:pPr>
    </w:p>
    <w:p w14:paraId="1C66E14D" w14:textId="10700CE1" w:rsidR="00493EFE" w:rsidRPr="00951AB1" w:rsidRDefault="6717EF38" w:rsidP="000A5389">
      <w:pPr>
        <w:pStyle w:val="Prrafodelista"/>
        <w:numPr>
          <w:ilvl w:val="0"/>
          <w:numId w:val="30"/>
        </w:numPr>
        <w:spacing w:line="240" w:lineRule="auto"/>
        <w:rPr>
          <w:rFonts w:cs="Times New Roman"/>
          <w:szCs w:val="24"/>
        </w:rPr>
      </w:pPr>
      <w:r w:rsidRPr="00951AB1">
        <w:rPr>
          <w:rFonts w:cs="Times New Roman"/>
          <w:szCs w:val="24"/>
        </w:rPr>
        <w:t>Los Otros gastos aumentaron en $657.632.547.633, principalmente por la actualización de Intereses de laudos arbitrales y conciliaciones extrajudiciales informada en el formato GADF-F-120 Liquidación de la Deuda con Fines Contables.</w:t>
      </w:r>
    </w:p>
    <w:p w14:paraId="20E178E1" w14:textId="7D9811A6" w:rsidR="00493EFE" w:rsidRPr="00951AB1" w:rsidRDefault="00493EFE" w:rsidP="000A5389">
      <w:pPr>
        <w:pStyle w:val="Prrafodelista"/>
        <w:spacing w:line="240" w:lineRule="auto"/>
        <w:rPr>
          <w:rFonts w:cs="Times New Roman"/>
          <w:szCs w:val="24"/>
        </w:rPr>
      </w:pPr>
    </w:p>
    <w:p w14:paraId="61AC3A06" w14:textId="67953AA3" w:rsidR="00953C90" w:rsidRPr="00951AB1" w:rsidRDefault="6717EF38" w:rsidP="000A5389">
      <w:pPr>
        <w:pStyle w:val="Prrafodelista"/>
        <w:numPr>
          <w:ilvl w:val="0"/>
          <w:numId w:val="30"/>
        </w:numPr>
        <w:spacing w:line="240" w:lineRule="auto"/>
        <w:rPr>
          <w:rFonts w:cs="Times New Roman"/>
          <w:szCs w:val="24"/>
        </w:rPr>
      </w:pPr>
      <w:r w:rsidRPr="00951AB1">
        <w:rPr>
          <w:rFonts w:cs="Times New Roman"/>
          <w:szCs w:val="24"/>
        </w:rPr>
        <w:t>En los Ingresos Fiscales por concepto de Contribuciones, Tasas e Ingresos no Tributarios aumentó frente al año 2024 en $175.414.070.844, con la utilización de la subcuenta 411059 Derechos de explotación no relacionados con la infraestructura de transporte, para el reconocimiento por valor de $113.845.886.733 de los ingresos por la contraprestación portuaria (en cabeza del Invias por cuanto no indicó la entidad a la cual había realizado el recaudo) y aeroportuaria del periodo 2024 y 2025, atendiendo el concepto de la Contaduría General de la Nación Nos. 20251100041751 del 05-11-2025 y 20251110043731 del 11-11-2025. Así mismo, en la subcuenta 411002 Multas y sanciones se efectuó el registro por valor de $88.128.488.323 a la Concesionaria Ruta del Cacao S.A.S., con ocasión de la Res. 20257070000175 de 13-01-2025 y constancia de ejecutoriada radicada No. 20251010037029 del 12-05-2025.</w:t>
      </w:r>
    </w:p>
    <w:p w14:paraId="58CF5885" w14:textId="77777777" w:rsidR="00953C90" w:rsidRPr="00951AB1" w:rsidRDefault="00953C90" w:rsidP="000A5389">
      <w:pPr>
        <w:pStyle w:val="Prrafodelista"/>
        <w:spacing w:line="240" w:lineRule="auto"/>
        <w:ind w:left="413"/>
        <w:rPr>
          <w:rFonts w:cs="Times New Roman"/>
          <w:szCs w:val="24"/>
        </w:rPr>
      </w:pPr>
    </w:p>
    <w:p w14:paraId="6AB4D4B0" w14:textId="7F591D61" w:rsidR="00522627" w:rsidRPr="00951AB1" w:rsidRDefault="6717EF38" w:rsidP="000A5389">
      <w:pPr>
        <w:pStyle w:val="Prrafodelista"/>
        <w:numPr>
          <w:ilvl w:val="0"/>
          <w:numId w:val="30"/>
        </w:numPr>
        <w:spacing w:line="240" w:lineRule="auto"/>
        <w:rPr>
          <w:rFonts w:cs="Times New Roman"/>
          <w:szCs w:val="24"/>
        </w:rPr>
      </w:pPr>
      <w:r w:rsidRPr="00951AB1">
        <w:rPr>
          <w:rFonts w:cs="Times New Roman"/>
          <w:szCs w:val="24"/>
        </w:rPr>
        <w:t>Los Gastos de Administración y Operación aumentaron frente al año 2024 en Mantenimiento por valor de $40.828.691.319, en atención al reconocimiento de lo reportado en la ejecución de los Contratos Interadministrativos No.VE-629-2022 y VE-809-2023 con el tercero Findeter, así como el Opex de los proyectos carreteros reportados en el informe de inversión y ejecución de recursos de Red Férreo Ferrocarril del Pacifico.</w:t>
      </w:r>
    </w:p>
    <w:p w14:paraId="63A796CA" w14:textId="5C061C47" w:rsidR="00522627" w:rsidRPr="00951AB1" w:rsidRDefault="6717EF38" w:rsidP="000A5389">
      <w:pPr>
        <w:spacing w:line="240" w:lineRule="auto"/>
        <w:rPr>
          <w:rFonts w:cs="Times New Roman"/>
        </w:rPr>
      </w:pPr>
      <w:r w:rsidRPr="00951AB1">
        <w:rPr>
          <w:rFonts w:eastAsia="Times New Roman" w:cs="Times New Roman"/>
          <w:szCs w:val="24"/>
        </w:rPr>
        <w:t xml:space="preserve"> </w:t>
      </w:r>
    </w:p>
    <w:p w14:paraId="3C8041AD" w14:textId="5B3C58A3" w:rsidR="00522627" w:rsidRPr="00951AB1" w:rsidRDefault="6717EF38" w:rsidP="000A5389">
      <w:pPr>
        <w:spacing w:line="240" w:lineRule="auto"/>
        <w:rPr>
          <w:rFonts w:cs="Times New Roman"/>
        </w:rPr>
      </w:pPr>
      <w:r w:rsidRPr="00951AB1">
        <w:rPr>
          <w:rFonts w:eastAsia="Times New Roman" w:cs="Times New Roman"/>
          <w:szCs w:val="24"/>
        </w:rPr>
        <w:t xml:space="preserve">Así mismo, la subcuenta de Estudios y proyectos presentó un incremento de $31.282.800.307 por la ejecución de los Contratos Interadministrativos Financiera de Desarrollo Territorial S A – Findeter, </w:t>
      </w:r>
      <w:r w:rsidR="00953C90" w:rsidRPr="00951AB1">
        <w:rPr>
          <w:rFonts w:eastAsia="Times New Roman" w:cs="Times New Roman"/>
          <w:szCs w:val="24"/>
        </w:rPr>
        <w:t>Financiera de</w:t>
      </w:r>
      <w:r w:rsidRPr="00951AB1">
        <w:rPr>
          <w:rFonts w:eastAsia="Times New Roman" w:cs="Times New Roman"/>
          <w:szCs w:val="24"/>
        </w:rPr>
        <w:t xml:space="preserve"> Desarrollo Nacional S.A., y Cenit Transporte y Logística de Hidrocarburos S.A.S.</w:t>
      </w:r>
    </w:p>
    <w:p w14:paraId="25F5A690" w14:textId="368A888E" w:rsidR="00522627" w:rsidRPr="00951AB1" w:rsidRDefault="6717EF38" w:rsidP="000A5389">
      <w:pPr>
        <w:spacing w:line="240" w:lineRule="auto"/>
        <w:ind w:left="360"/>
        <w:rPr>
          <w:rFonts w:cs="Times New Roman"/>
        </w:rPr>
      </w:pPr>
      <w:r w:rsidRPr="00951AB1">
        <w:rPr>
          <w:rFonts w:eastAsia="Times New Roman" w:cs="Times New Roman"/>
          <w:szCs w:val="24"/>
        </w:rPr>
        <w:t xml:space="preserve"> </w:t>
      </w:r>
    </w:p>
    <w:p w14:paraId="5ADC0A5E" w14:textId="5D13ACFA" w:rsidR="00522627" w:rsidRPr="00951AB1" w:rsidRDefault="6717EF38" w:rsidP="000A5389">
      <w:pPr>
        <w:spacing w:line="240" w:lineRule="auto"/>
        <w:rPr>
          <w:rFonts w:cs="Times New Roman"/>
        </w:rPr>
      </w:pPr>
      <w:r w:rsidRPr="00951AB1">
        <w:rPr>
          <w:rFonts w:eastAsia="Times New Roman" w:cs="Times New Roman"/>
          <w:szCs w:val="24"/>
        </w:rPr>
        <w:t xml:space="preserve">La subcuenta de Costas Procesales refleja un aumento de $21.199.049.435 frente al año 2024 en atención al reconocimiento principalmente con Perimetral Oriental de Bogotá SAS ($8.423.907.754), Vías de las Americas S.A.S. ($2.980.736.867), Consorcio Vial Helios ($2.978.234.660), Consorcio Integrado por Consultores del Desarrollo S A y Edgardo Navarro Vives ($1.823.500.000), Concesión Vías del Nus S.A.S ($1.765.952.000), Concesionaria San Rafael S A ($1.690.965.000), y Concesión Sabana de Occidente S.A.S ($1.492.867.841).  </w:t>
      </w:r>
    </w:p>
    <w:p w14:paraId="2FB0CDC3" w14:textId="7CF0078B" w:rsidR="15316FB5" w:rsidRDefault="15316FB5" w:rsidP="000A5389">
      <w:pPr>
        <w:spacing w:line="240" w:lineRule="auto"/>
        <w:rPr>
          <w:rFonts w:eastAsia="Times New Roman" w:cs="Times New Roman"/>
          <w:szCs w:val="24"/>
        </w:rPr>
      </w:pPr>
    </w:p>
    <w:p w14:paraId="7F5E3F39" w14:textId="4370A7A9" w:rsidR="00522627" w:rsidRPr="00951AB1" w:rsidRDefault="6717EF38" w:rsidP="000A5389">
      <w:pPr>
        <w:pStyle w:val="Ttulo2"/>
        <w:numPr>
          <w:ilvl w:val="0"/>
          <w:numId w:val="0"/>
        </w:numPr>
        <w:spacing w:line="240" w:lineRule="auto"/>
        <w:rPr>
          <w:rFonts w:eastAsia="Times New Roman" w:cs="Times New Roman"/>
        </w:rPr>
      </w:pPr>
      <w:bookmarkStart w:id="692" w:name="_Toc222824158"/>
      <w:bookmarkStart w:id="693" w:name="_Toc222955526"/>
      <w:r w:rsidRPr="00951AB1">
        <w:rPr>
          <w:rFonts w:eastAsia="Times New Roman" w:cs="Times New Roman"/>
        </w:rPr>
        <w:t>26.3</w:t>
      </w:r>
      <w:r w:rsidR="0068415C" w:rsidRPr="00951AB1">
        <w:rPr>
          <w:rFonts w:eastAsia="Times New Roman" w:cs="Times New Roman"/>
        </w:rPr>
        <w:t xml:space="preserve">.  </w:t>
      </w:r>
      <w:r w:rsidR="0068415C" w:rsidRPr="00951AB1">
        <w:rPr>
          <w:rFonts w:cs="Times New Roman"/>
        </w:rPr>
        <w:tab/>
      </w:r>
      <w:r w:rsidRPr="00951AB1">
        <w:rPr>
          <w:rFonts w:eastAsia="Times New Roman" w:cs="Times New Roman"/>
        </w:rPr>
        <w:t>Capital fiscal</w:t>
      </w:r>
      <w:bookmarkEnd w:id="692"/>
      <w:bookmarkEnd w:id="693"/>
    </w:p>
    <w:p w14:paraId="6B9BE4CF" w14:textId="4FA12C31" w:rsidR="00522627" w:rsidRPr="00951AB1" w:rsidRDefault="6717EF38" w:rsidP="000A5389">
      <w:pPr>
        <w:spacing w:line="240" w:lineRule="auto"/>
        <w:rPr>
          <w:rFonts w:cs="Times New Roman"/>
        </w:rPr>
      </w:pPr>
      <w:r w:rsidRPr="00951AB1">
        <w:rPr>
          <w:rFonts w:eastAsia="Times New Roman" w:cs="Times New Roman"/>
          <w:szCs w:val="24"/>
        </w:rPr>
        <w:t xml:space="preserve"> </w:t>
      </w:r>
    </w:p>
    <w:p w14:paraId="5C918F1E" w14:textId="34130F0A" w:rsidR="00522627" w:rsidRPr="00951AB1" w:rsidRDefault="6717EF38" w:rsidP="000A5389">
      <w:pPr>
        <w:spacing w:line="240" w:lineRule="auto"/>
        <w:rPr>
          <w:rFonts w:cs="Times New Roman"/>
        </w:rPr>
      </w:pPr>
      <w:r w:rsidRPr="00951AB1">
        <w:rPr>
          <w:rFonts w:eastAsia="Times New Roman" w:cs="Times New Roman"/>
          <w:szCs w:val="24"/>
        </w:rPr>
        <w:lastRenderedPageBreak/>
        <w:t>Esta cuenta está representada por los recursos para la creación y desarrollo de la Agencia Nacional de Infraestructura, para la vigencia 2025 no presentó ninguna variación. No obstante, se realizó una reclasificación entre cuentas contables auxiliares a partir de la instrucción impartida por la CGN, mediante la cual solicitó que los valores asignados a la entidad mediante documento CONPES para el periodo 2024 y anteriores, fueron retirados del auxiliar contable 310506002 - Excedentes financieros distribuidos a la entidad, y llevados en el auxiliar contable 310506001 - Capital fiscal nación.</w:t>
      </w:r>
    </w:p>
    <w:p w14:paraId="16736EE5" w14:textId="22FEB2BE" w:rsidR="007B4128" w:rsidRPr="00951AB1" w:rsidRDefault="6717EF38" w:rsidP="000A5389">
      <w:pPr>
        <w:spacing w:line="240" w:lineRule="auto"/>
        <w:rPr>
          <w:rFonts w:cs="Times New Roman"/>
          <w:szCs w:val="24"/>
        </w:rPr>
      </w:pPr>
      <w:r w:rsidRPr="00951AB1">
        <w:rPr>
          <w:rFonts w:eastAsia="Times New Roman" w:cs="Times New Roman"/>
          <w:szCs w:val="24"/>
        </w:rPr>
        <w:t xml:space="preserve"> </w:t>
      </w:r>
    </w:p>
    <w:p w14:paraId="5B12A5F9" w14:textId="77777777" w:rsidR="007B4128" w:rsidRPr="00951AB1" w:rsidRDefault="007B4128" w:rsidP="000A5389">
      <w:pPr>
        <w:spacing w:line="240" w:lineRule="auto"/>
        <w:rPr>
          <w:rFonts w:cs="Times New Roman"/>
          <w:szCs w:val="24"/>
        </w:rPr>
      </w:pPr>
    </w:p>
    <w:p w14:paraId="7049332E" w14:textId="31C4EE77" w:rsidR="00241626" w:rsidRPr="00951AB1" w:rsidRDefault="00241626" w:rsidP="000A5389">
      <w:pPr>
        <w:pStyle w:val="Ttulo1"/>
        <w:spacing w:line="240" w:lineRule="auto"/>
        <w:rPr>
          <w:rFonts w:cs="Times New Roman"/>
        </w:rPr>
      </w:pPr>
      <w:bookmarkStart w:id="694" w:name="_Toc191369551"/>
      <w:bookmarkStart w:id="695" w:name="_Toc191456878"/>
      <w:bookmarkStart w:id="696" w:name="_Toc191456988"/>
      <w:bookmarkStart w:id="697" w:name="_Toc191457098"/>
      <w:bookmarkStart w:id="698" w:name="_Toc191475725"/>
      <w:bookmarkStart w:id="699" w:name="_Toc191475834"/>
      <w:bookmarkStart w:id="700" w:name="_Toc191475943"/>
      <w:bookmarkStart w:id="701" w:name="_Toc191475466"/>
      <w:bookmarkStart w:id="702" w:name="_Toc191505842"/>
      <w:bookmarkStart w:id="703" w:name="_Toc222824159"/>
      <w:bookmarkStart w:id="704" w:name="_Toc222955527"/>
      <w:r w:rsidRPr="00951AB1">
        <w:rPr>
          <w:rFonts w:cs="Times New Roman"/>
        </w:rPr>
        <w:t>NOTA 2</w:t>
      </w:r>
      <w:r w:rsidR="00340379" w:rsidRPr="00951AB1">
        <w:rPr>
          <w:rFonts w:cs="Times New Roman"/>
        </w:rPr>
        <w:t>7</w:t>
      </w:r>
      <w:r w:rsidRPr="00951AB1">
        <w:rPr>
          <w:rFonts w:cs="Times New Roman"/>
        </w:rPr>
        <w:t>. ACTIVOS Y PASIVOS CONTINGENTES</w:t>
      </w:r>
      <w:bookmarkEnd w:id="694"/>
      <w:bookmarkEnd w:id="695"/>
      <w:bookmarkEnd w:id="696"/>
      <w:bookmarkEnd w:id="697"/>
      <w:bookmarkEnd w:id="698"/>
      <w:bookmarkEnd w:id="699"/>
      <w:bookmarkEnd w:id="700"/>
      <w:bookmarkEnd w:id="701"/>
      <w:bookmarkEnd w:id="702"/>
      <w:bookmarkEnd w:id="703"/>
      <w:bookmarkEnd w:id="704"/>
    </w:p>
    <w:p w14:paraId="6D4CCBF2" w14:textId="77777777" w:rsidR="00241626" w:rsidRPr="00951AB1" w:rsidRDefault="00241626" w:rsidP="000A5389">
      <w:pPr>
        <w:spacing w:line="240" w:lineRule="auto"/>
        <w:rPr>
          <w:rFonts w:cs="Times New Roman"/>
          <w:b/>
        </w:rPr>
      </w:pPr>
    </w:p>
    <w:p w14:paraId="010D68AB" w14:textId="66333B7B" w:rsidR="00F22703" w:rsidRPr="00951AB1" w:rsidRDefault="009C505C" w:rsidP="000A5389">
      <w:pPr>
        <w:pStyle w:val="Ttulo2"/>
        <w:numPr>
          <w:ilvl w:val="0"/>
          <w:numId w:val="0"/>
        </w:numPr>
        <w:spacing w:line="240" w:lineRule="auto"/>
        <w:rPr>
          <w:rFonts w:cs="Times New Roman"/>
        </w:rPr>
      </w:pPr>
      <w:bookmarkStart w:id="705" w:name="_Toc222955528"/>
      <w:r w:rsidRPr="00951AB1">
        <w:rPr>
          <w:rFonts w:cs="Times New Roman"/>
        </w:rPr>
        <w:t xml:space="preserve">27.1.  </w:t>
      </w:r>
      <w:r w:rsidRPr="00951AB1">
        <w:rPr>
          <w:rFonts w:cs="Times New Roman"/>
        </w:rPr>
        <w:tab/>
      </w:r>
      <w:r w:rsidR="00823A36" w:rsidRPr="00951AB1">
        <w:rPr>
          <w:rFonts w:cs="Times New Roman"/>
        </w:rPr>
        <w:t>Activos Contingentes</w:t>
      </w:r>
      <w:bookmarkEnd w:id="705"/>
    </w:p>
    <w:p w14:paraId="0426F9E0" w14:textId="6E3AD9D7" w:rsidR="001A0236" w:rsidRPr="00951AB1" w:rsidRDefault="001A0236" w:rsidP="000A5389">
      <w:pPr>
        <w:spacing w:line="240" w:lineRule="auto"/>
        <w:rPr>
          <w:rFonts w:cs="Times New Roman"/>
        </w:rPr>
      </w:pPr>
    </w:p>
    <w:tbl>
      <w:tblPr>
        <w:tblW w:w="5000" w:type="pct"/>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CellMar>
          <w:left w:w="70" w:type="dxa"/>
          <w:right w:w="70" w:type="dxa"/>
        </w:tblCellMar>
        <w:tblLook w:val="04A0" w:firstRow="1" w:lastRow="0" w:firstColumn="1" w:lastColumn="0" w:noHBand="0" w:noVBand="1"/>
      </w:tblPr>
      <w:tblGrid>
        <w:gridCol w:w="718"/>
        <w:gridCol w:w="502"/>
        <w:gridCol w:w="3138"/>
        <w:gridCol w:w="1490"/>
        <w:gridCol w:w="1490"/>
        <w:gridCol w:w="1490"/>
      </w:tblGrid>
      <w:tr w:rsidR="00934AB7" w:rsidRPr="00951AB1" w14:paraId="7E10FE42" w14:textId="77777777" w:rsidTr="00F936CC">
        <w:trPr>
          <w:trHeight w:val="300"/>
          <w:tblHeader/>
        </w:trPr>
        <w:tc>
          <w:tcPr>
            <w:tcW w:w="2669" w:type="pct"/>
            <w:gridSpan w:val="3"/>
            <w:noWrap/>
            <w:vAlign w:val="center"/>
            <w:hideMark/>
          </w:tcPr>
          <w:p w14:paraId="73BD06B6" w14:textId="77777777" w:rsidR="00F10F7B" w:rsidRPr="00951AB1" w:rsidRDefault="00F10F7B" w:rsidP="000A5389">
            <w:pPr>
              <w:spacing w:line="240" w:lineRule="auto"/>
              <w:rPr>
                <w:rFonts w:eastAsia="Times New Roman" w:cs="Times New Roman"/>
                <w:color w:val="000000"/>
                <w:kern w:val="0"/>
                <w:sz w:val="18"/>
                <w:szCs w:val="18"/>
                <w:lang w:eastAsia="es-CO"/>
                <w14:ligatures w14:val="none"/>
              </w:rPr>
            </w:pPr>
            <w:r w:rsidRPr="00951AB1">
              <w:rPr>
                <w:rFonts w:eastAsia="Times New Roman" w:cs="Times New Roman"/>
                <w:b/>
                <w:kern w:val="0"/>
                <w:sz w:val="18"/>
                <w:szCs w:val="18"/>
                <w:lang w:eastAsia="es-CO"/>
                <w14:ligatures w14:val="none"/>
              </w:rPr>
              <w:t>CONCEPTO</w:t>
            </w:r>
          </w:p>
        </w:tc>
        <w:tc>
          <w:tcPr>
            <w:tcW w:w="790" w:type="pct"/>
            <w:vAlign w:val="center"/>
            <w:hideMark/>
          </w:tcPr>
          <w:p w14:paraId="35B75DD8" w14:textId="77777777" w:rsidR="00F10F7B" w:rsidRPr="00951AB1" w:rsidRDefault="00F10F7B" w:rsidP="000A5389">
            <w:pPr>
              <w:spacing w:line="240" w:lineRule="auto"/>
              <w:jc w:val="center"/>
              <w:rPr>
                <w:rFonts w:eastAsia="Times New Roman" w:cs="Times New Roman"/>
                <w:b/>
                <w:kern w:val="0"/>
                <w:sz w:val="18"/>
                <w:szCs w:val="18"/>
                <w:lang w:eastAsia="es-CO"/>
                <w14:ligatures w14:val="none"/>
              </w:rPr>
            </w:pPr>
            <w:r w:rsidRPr="00951AB1">
              <w:rPr>
                <w:rFonts w:eastAsia="Times New Roman" w:cs="Times New Roman"/>
                <w:b/>
                <w:kern w:val="0"/>
                <w:sz w:val="18"/>
                <w:szCs w:val="18"/>
                <w:lang w:eastAsia="es-CO"/>
                <w14:ligatures w14:val="none"/>
              </w:rPr>
              <w:t xml:space="preserve">2025 </w:t>
            </w:r>
          </w:p>
        </w:tc>
        <w:tc>
          <w:tcPr>
            <w:tcW w:w="783" w:type="pct"/>
            <w:vAlign w:val="center"/>
            <w:hideMark/>
          </w:tcPr>
          <w:p w14:paraId="5697E655" w14:textId="77777777" w:rsidR="00F10F7B" w:rsidRPr="00951AB1" w:rsidRDefault="00F10F7B" w:rsidP="000A5389">
            <w:pPr>
              <w:spacing w:line="240" w:lineRule="auto"/>
              <w:jc w:val="center"/>
              <w:rPr>
                <w:rFonts w:eastAsia="Times New Roman" w:cs="Times New Roman"/>
                <w:b/>
                <w:kern w:val="0"/>
                <w:sz w:val="18"/>
                <w:szCs w:val="18"/>
                <w:lang w:eastAsia="es-CO"/>
                <w14:ligatures w14:val="none"/>
              </w:rPr>
            </w:pPr>
            <w:r w:rsidRPr="00951AB1">
              <w:rPr>
                <w:rFonts w:eastAsia="Times New Roman" w:cs="Times New Roman"/>
                <w:b/>
                <w:kern w:val="0"/>
                <w:sz w:val="18"/>
                <w:szCs w:val="18"/>
                <w:lang w:eastAsia="es-CO"/>
                <w14:ligatures w14:val="none"/>
              </w:rPr>
              <w:t xml:space="preserve">2024 </w:t>
            </w:r>
          </w:p>
        </w:tc>
        <w:tc>
          <w:tcPr>
            <w:tcW w:w="759" w:type="pct"/>
            <w:vAlign w:val="center"/>
            <w:hideMark/>
          </w:tcPr>
          <w:p w14:paraId="1C6C33EE" w14:textId="79E90E09" w:rsidR="00F10F7B" w:rsidRPr="00951AB1" w:rsidRDefault="00F10F7B" w:rsidP="000A5389">
            <w:pPr>
              <w:spacing w:line="240" w:lineRule="auto"/>
              <w:jc w:val="center"/>
              <w:rPr>
                <w:rFonts w:eastAsia="Times New Roman" w:cs="Times New Roman"/>
                <w:b/>
                <w:kern w:val="0"/>
                <w:sz w:val="18"/>
                <w:szCs w:val="18"/>
                <w:lang w:eastAsia="es-CO"/>
                <w14:ligatures w14:val="none"/>
              </w:rPr>
            </w:pPr>
            <w:r w:rsidRPr="00951AB1">
              <w:rPr>
                <w:rFonts w:eastAsia="Times New Roman" w:cs="Times New Roman"/>
                <w:b/>
                <w:kern w:val="0"/>
                <w:sz w:val="18"/>
                <w:szCs w:val="18"/>
                <w:lang w:eastAsia="es-CO"/>
                <w14:ligatures w14:val="none"/>
              </w:rPr>
              <w:t>VARIACIÓN</w:t>
            </w:r>
          </w:p>
        </w:tc>
      </w:tr>
      <w:tr w:rsidR="00934AB7" w:rsidRPr="00951AB1" w14:paraId="714C2C78" w14:textId="77777777" w:rsidTr="00F936CC">
        <w:trPr>
          <w:trHeight w:val="285"/>
        </w:trPr>
        <w:tc>
          <w:tcPr>
            <w:tcW w:w="474" w:type="pct"/>
            <w:noWrap/>
            <w:vAlign w:val="center"/>
            <w:hideMark/>
          </w:tcPr>
          <w:p w14:paraId="6CF73125" w14:textId="77777777" w:rsidR="00F10F7B" w:rsidRPr="00951AB1" w:rsidRDefault="00F10F7B" w:rsidP="000A5389">
            <w:pPr>
              <w:spacing w:line="240" w:lineRule="auto"/>
              <w:rPr>
                <w:rFonts w:eastAsia="Times New Roman" w:cs="Times New Roman"/>
                <w:b/>
                <w:color w:val="000000"/>
                <w:kern w:val="0"/>
                <w:sz w:val="18"/>
                <w:szCs w:val="18"/>
                <w:lang w:eastAsia="es-CO"/>
                <w14:ligatures w14:val="none"/>
              </w:rPr>
            </w:pPr>
            <w:r w:rsidRPr="00951AB1">
              <w:rPr>
                <w:rFonts w:eastAsia="Times New Roman" w:cs="Times New Roman"/>
                <w:b/>
                <w:color w:val="000000"/>
                <w:kern w:val="0"/>
                <w:sz w:val="18"/>
                <w:szCs w:val="18"/>
                <w:lang w:eastAsia="es-CO"/>
                <w14:ligatures w14:val="none"/>
              </w:rPr>
              <w:t>8.1</w:t>
            </w:r>
          </w:p>
        </w:tc>
        <w:tc>
          <w:tcPr>
            <w:tcW w:w="351" w:type="pct"/>
            <w:noWrap/>
            <w:vAlign w:val="center"/>
            <w:hideMark/>
          </w:tcPr>
          <w:p w14:paraId="62254C5B" w14:textId="77777777" w:rsidR="00F10F7B" w:rsidRPr="00951AB1" w:rsidRDefault="00F10F7B" w:rsidP="000A5389">
            <w:pPr>
              <w:spacing w:line="240" w:lineRule="auto"/>
              <w:jc w:val="center"/>
              <w:rPr>
                <w:rFonts w:eastAsia="Times New Roman" w:cs="Times New Roman"/>
                <w:b/>
                <w:color w:val="000000"/>
                <w:kern w:val="0"/>
                <w:sz w:val="18"/>
                <w:szCs w:val="18"/>
                <w:lang w:eastAsia="es-CO"/>
                <w14:ligatures w14:val="none"/>
              </w:rPr>
            </w:pPr>
            <w:r w:rsidRPr="00951AB1">
              <w:rPr>
                <w:rFonts w:eastAsia="Times New Roman" w:cs="Times New Roman"/>
                <w:b/>
                <w:color w:val="000000"/>
                <w:kern w:val="0"/>
                <w:sz w:val="18"/>
                <w:szCs w:val="18"/>
                <w:lang w:eastAsia="es-CO"/>
                <w14:ligatures w14:val="none"/>
              </w:rPr>
              <w:t>Db</w:t>
            </w:r>
          </w:p>
        </w:tc>
        <w:tc>
          <w:tcPr>
            <w:tcW w:w="1844" w:type="pct"/>
            <w:vAlign w:val="center"/>
            <w:hideMark/>
          </w:tcPr>
          <w:p w14:paraId="4BEF18E6" w14:textId="77777777" w:rsidR="00F10F7B" w:rsidRPr="00951AB1" w:rsidRDefault="00F10F7B" w:rsidP="000A5389">
            <w:pPr>
              <w:spacing w:line="240" w:lineRule="auto"/>
              <w:jc w:val="center"/>
              <w:rPr>
                <w:rFonts w:eastAsia="Times New Roman" w:cs="Times New Roman"/>
                <w:b/>
                <w:color w:val="000000"/>
                <w:kern w:val="0"/>
                <w:sz w:val="18"/>
                <w:szCs w:val="18"/>
                <w:lang w:eastAsia="es-CO"/>
                <w14:ligatures w14:val="none"/>
              </w:rPr>
            </w:pPr>
            <w:r w:rsidRPr="00951AB1">
              <w:rPr>
                <w:rFonts w:eastAsia="Times New Roman" w:cs="Times New Roman"/>
                <w:b/>
                <w:color w:val="000000"/>
                <w:kern w:val="0"/>
                <w:sz w:val="18"/>
                <w:szCs w:val="18"/>
                <w:lang w:eastAsia="es-CO"/>
                <w14:ligatures w14:val="none"/>
              </w:rPr>
              <w:t>ACTIVOS CONTINGENTES</w:t>
            </w:r>
          </w:p>
        </w:tc>
        <w:tc>
          <w:tcPr>
            <w:tcW w:w="790" w:type="pct"/>
            <w:noWrap/>
            <w:vAlign w:val="center"/>
            <w:hideMark/>
          </w:tcPr>
          <w:p w14:paraId="2E9B013A" w14:textId="77777777" w:rsidR="00F10F7B" w:rsidRPr="00951AB1" w:rsidRDefault="00F10F7B" w:rsidP="000A5389">
            <w:pPr>
              <w:spacing w:line="240" w:lineRule="auto"/>
              <w:jc w:val="right"/>
              <w:rPr>
                <w:rFonts w:eastAsia="Times New Roman" w:cs="Times New Roman"/>
                <w:b/>
                <w:color w:val="000000"/>
                <w:kern w:val="0"/>
                <w:sz w:val="18"/>
                <w:szCs w:val="18"/>
                <w:lang w:eastAsia="es-CO"/>
                <w14:ligatures w14:val="none"/>
              </w:rPr>
            </w:pPr>
            <w:r w:rsidRPr="00951AB1">
              <w:rPr>
                <w:rFonts w:eastAsia="Times New Roman" w:cs="Times New Roman"/>
                <w:b/>
                <w:color w:val="000000"/>
                <w:kern w:val="0"/>
                <w:sz w:val="18"/>
                <w:szCs w:val="18"/>
                <w:lang w:eastAsia="es-CO"/>
                <w14:ligatures w14:val="none"/>
              </w:rPr>
              <w:t>7.207.667.328.672</w:t>
            </w:r>
          </w:p>
        </w:tc>
        <w:tc>
          <w:tcPr>
            <w:tcW w:w="783" w:type="pct"/>
            <w:noWrap/>
            <w:vAlign w:val="center"/>
            <w:hideMark/>
          </w:tcPr>
          <w:p w14:paraId="0B8AE777" w14:textId="77777777" w:rsidR="00F10F7B" w:rsidRPr="00951AB1" w:rsidRDefault="00F10F7B" w:rsidP="000A5389">
            <w:pPr>
              <w:spacing w:line="240" w:lineRule="auto"/>
              <w:jc w:val="right"/>
              <w:rPr>
                <w:rFonts w:eastAsia="Times New Roman" w:cs="Times New Roman"/>
                <w:b/>
                <w:color w:val="000000"/>
                <w:kern w:val="0"/>
                <w:sz w:val="18"/>
                <w:szCs w:val="18"/>
                <w:lang w:eastAsia="es-CO"/>
                <w14:ligatures w14:val="none"/>
              </w:rPr>
            </w:pPr>
            <w:r w:rsidRPr="00951AB1">
              <w:rPr>
                <w:rFonts w:eastAsia="Times New Roman" w:cs="Times New Roman"/>
                <w:b/>
                <w:color w:val="000000"/>
                <w:kern w:val="0"/>
                <w:sz w:val="18"/>
                <w:szCs w:val="18"/>
                <w:lang w:eastAsia="es-CO"/>
                <w14:ligatures w14:val="none"/>
              </w:rPr>
              <w:t>4.728.083.596.114</w:t>
            </w:r>
          </w:p>
        </w:tc>
        <w:tc>
          <w:tcPr>
            <w:tcW w:w="759" w:type="pct"/>
            <w:noWrap/>
            <w:vAlign w:val="center"/>
            <w:hideMark/>
          </w:tcPr>
          <w:p w14:paraId="6ADE6817" w14:textId="77777777" w:rsidR="00F10F7B" w:rsidRPr="00951AB1" w:rsidRDefault="00F10F7B" w:rsidP="000A5389">
            <w:pPr>
              <w:spacing w:line="240" w:lineRule="auto"/>
              <w:jc w:val="right"/>
              <w:rPr>
                <w:rFonts w:eastAsia="Times New Roman" w:cs="Times New Roman"/>
                <w:b/>
                <w:color w:val="000000"/>
                <w:kern w:val="0"/>
                <w:sz w:val="18"/>
                <w:szCs w:val="18"/>
                <w:lang w:eastAsia="es-CO"/>
                <w14:ligatures w14:val="none"/>
              </w:rPr>
            </w:pPr>
            <w:r w:rsidRPr="00951AB1">
              <w:rPr>
                <w:rFonts w:eastAsia="Times New Roman" w:cs="Times New Roman"/>
                <w:b/>
                <w:color w:val="000000"/>
                <w:kern w:val="0"/>
                <w:sz w:val="18"/>
                <w:szCs w:val="18"/>
                <w:lang w:eastAsia="es-CO"/>
                <w14:ligatures w14:val="none"/>
              </w:rPr>
              <w:t>2.479.583.732.558</w:t>
            </w:r>
          </w:p>
        </w:tc>
      </w:tr>
      <w:tr w:rsidR="00934AB7" w:rsidRPr="00951AB1" w14:paraId="7DBB21A6" w14:textId="77777777" w:rsidTr="00F936CC">
        <w:trPr>
          <w:trHeight w:val="300"/>
        </w:trPr>
        <w:tc>
          <w:tcPr>
            <w:tcW w:w="474" w:type="pct"/>
            <w:noWrap/>
            <w:vAlign w:val="center"/>
            <w:hideMark/>
          </w:tcPr>
          <w:p w14:paraId="1252EA03" w14:textId="77777777" w:rsidR="00F10F7B" w:rsidRPr="00951AB1" w:rsidRDefault="00F10F7B" w:rsidP="000A5389">
            <w:pPr>
              <w:spacing w:line="240" w:lineRule="auto"/>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8.1.28</w:t>
            </w:r>
          </w:p>
        </w:tc>
        <w:tc>
          <w:tcPr>
            <w:tcW w:w="351" w:type="pct"/>
            <w:noWrap/>
            <w:vAlign w:val="center"/>
            <w:hideMark/>
          </w:tcPr>
          <w:p w14:paraId="11E836A8" w14:textId="77777777" w:rsidR="00F10F7B" w:rsidRPr="00951AB1" w:rsidRDefault="00F10F7B" w:rsidP="000A5389">
            <w:pPr>
              <w:spacing w:line="240" w:lineRule="auto"/>
              <w:jc w:val="center"/>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Db</w:t>
            </w:r>
          </w:p>
        </w:tc>
        <w:tc>
          <w:tcPr>
            <w:tcW w:w="1844" w:type="pct"/>
            <w:vAlign w:val="center"/>
            <w:hideMark/>
          </w:tcPr>
          <w:p w14:paraId="14857C0A" w14:textId="77777777" w:rsidR="00F10F7B" w:rsidRPr="00951AB1" w:rsidRDefault="00F10F7B" w:rsidP="000A5389">
            <w:pPr>
              <w:spacing w:line="240" w:lineRule="auto"/>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Garantías Contractuales</w:t>
            </w:r>
          </w:p>
        </w:tc>
        <w:tc>
          <w:tcPr>
            <w:tcW w:w="790" w:type="pct"/>
            <w:noWrap/>
            <w:vAlign w:val="center"/>
            <w:hideMark/>
          </w:tcPr>
          <w:p w14:paraId="5FF4372A" w14:textId="77777777" w:rsidR="00F10F7B" w:rsidRPr="00951AB1" w:rsidRDefault="00F10F7B"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6.355.739.800.701</w:t>
            </w:r>
          </w:p>
        </w:tc>
        <w:tc>
          <w:tcPr>
            <w:tcW w:w="783" w:type="pct"/>
            <w:noWrap/>
            <w:vAlign w:val="center"/>
            <w:hideMark/>
          </w:tcPr>
          <w:p w14:paraId="36F5348E" w14:textId="77777777" w:rsidR="00F10F7B" w:rsidRPr="00951AB1" w:rsidRDefault="00F10F7B"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4.159.512.241.205</w:t>
            </w:r>
          </w:p>
        </w:tc>
        <w:tc>
          <w:tcPr>
            <w:tcW w:w="759" w:type="pct"/>
            <w:noWrap/>
            <w:vAlign w:val="center"/>
            <w:hideMark/>
          </w:tcPr>
          <w:p w14:paraId="77EDED72" w14:textId="77777777" w:rsidR="00F10F7B" w:rsidRPr="00951AB1" w:rsidRDefault="00F10F7B"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2.196.227.559.496</w:t>
            </w:r>
          </w:p>
        </w:tc>
      </w:tr>
      <w:tr w:rsidR="00934AB7" w:rsidRPr="00951AB1" w14:paraId="7DEC2AC7" w14:textId="77777777" w:rsidTr="00F936CC">
        <w:trPr>
          <w:trHeight w:val="570"/>
        </w:trPr>
        <w:tc>
          <w:tcPr>
            <w:tcW w:w="474" w:type="pct"/>
            <w:noWrap/>
            <w:vAlign w:val="center"/>
            <w:hideMark/>
          </w:tcPr>
          <w:p w14:paraId="0F06EB99" w14:textId="77777777" w:rsidR="00F10F7B" w:rsidRPr="00951AB1" w:rsidRDefault="00F10F7B" w:rsidP="000A5389">
            <w:pPr>
              <w:spacing w:line="240" w:lineRule="auto"/>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8.1.20</w:t>
            </w:r>
          </w:p>
        </w:tc>
        <w:tc>
          <w:tcPr>
            <w:tcW w:w="351" w:type="pct"/>
            <w:noWrap/>
            <w:vAlign w:val="center"/>
            <w:hideMark/>
          </w:tcPr>
          <w:p w14:paraId="1788FDAA" w14:textId="77777777" w:rsidR="00F10F7B" w:rsidRPr="00951AB1" w:rsidRDefault="00F10F7B" w:rsidP="000A5389">
            <w:pPr>
              <w:spacing w:line="240" w:lineRule="auto"/>
              <w:jc w:val="center"/>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Db</w:t>
            </w:r>
          </w:p>
        </w:tc>
        <w:tc>
          <w:tcPr>
            <w:tcW w:w="1844" w:type="pct"/>
            <w:vAlign w:val="center"/>
            <w:hideMark/>
          </w:tcPr>
          <w:p w14:paraId="7D781542" w14:textId="77777777" w:rsidR="00F10F7B" w:rsidRPr="00951AB1" w:rsidRDefault="00F10F7B" w:rsidP="000A5389">
            <w:pPr>
              <w:spacing w:line="240" w:lineRule="auto"/>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Litigios y mecanismos alternativos de solución de conflictos</w:t>
            </w:r>
          </w:p>
        </w:tc>
        <w:tc>
          <w:tcPr>
            <w:tcW w:w="790" w:type="pct"/>
            <w:noWrap/>
            <w:vAlign w:val="center"/>
            <w:hideMark/>
          </w:tcPr>
          <w:p w14:paraId="02D46F27" w14:textId="77777777" w:rsidR="00F10F7B" w:rsidRPr="00951AB1" w:rsidRDefault="00F10F7B"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835.335.527.970</w:t>
            </w:r>
          </w:p>
        </w:tc>
        <w:tc>
          <w:tcPr>
            <w:tcW w:w="783" w:type="pct"/>
            <w:noWrap/>
            <w:vAlign w:val="center"/>
            <w:hideMark/>
          </w:tcPr>
          <w:p w14:paraId="2AB8ED7B" w14:textId="77777777" w:rsidR="00F10F7B" w:rsidRPr="00951AB1" w:rsidRDefault="00F10F7B"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551.979.354.909</w:t>
            </w:r>
          </w:p>
        </w:tc>
        <w:tc>
          <w:tcPr>
            <w:tcW w:w="759" w:type="pct"/>
            <w:noWrap/>
            <w:vAlign w:val="center"/>
            <w:hideMark/>
          </w:tcPr>
          <w:p w14:paraId="137B5803" w14:textId="77777777" w:rsidR="00F10F7B" w:rsidRPr="00951AB1" w:rsidRDefault="00F10F7B"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283.356.173.061</w:t>
            </w:r>
          </w:p>
        </w:tc>
      </w:tr>
      <w:tr w:rsidR="00934AB7" w:rsidRPr="00951AB1" w14:paraId="209ECBAD" w14:textId="77777777" w:rsidTr="00F936CC">
        <w:trPr>
          <w:trHeight w:val="300"/>
        </w:trPr>
        <w:tc>
          <w:tcPr>
            <w:tcW w:w="474" w:type="pct"/>
            <w:noWrap/>
            <w:vAlign w:val="center"/>
            <w:hideMark/>
          </w:tcPr>
          <w:p w14:paraId="6831FD44" w14:textId="77777777" w:rsidR="00F10F7B" w:rsidRPr="00951AB1" w:rsidRDefault="00F10F7B" w:rsidP="000A5389">
            <w:pPr>
              <w:spacing w:line="240" w:lineRule="auto"/>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8.1.90</w:t>
            </w:r>
          </w:p>
        </w:tc>
        <w:tc>
          <w:tcPr>
            <w:tcW w:w="351" w:type="pct"/>
            <w:noWrap/>
            <w:vAlign w:val="center"/>
            <w:hideMark/>
          </w:tcPr>
          <w:p w14:paraId="60CE05F9" w14:textId="77777777" w:rsidR="00F10F7B" w:rsidRPr="00951AB1" w:rsidRDefault="00F10F7B" w:rsidP="000A5389">
            <w:pPr>
              <w:spacing w:line="240" w:lineRule="auto"/>
              <w:jc w:val="center"/>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Db</w:t>
            </w:r>
          </w:p>
        </w:tc>
        <w:tc>
          <w:tcPr>
            <w:tcW w:w="1844" w:type="pct"/>
            <w:vAlign w:val="center"/>
            <w:hideMark/>
          </w:tcPr>
          <w:p w14:paraId="5AC80D5A" w14:textId="77777777" w:rsidR="00F10F7B" w:rsidRPr="00951AB1" w:rsidRDefault="00F10F7B" w:rsidP="000A5389">
            <w:pPr>
              <w:spacing w:line="240" w:lineRule="auto"/>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Otros activos contingentes</w:t>
            </w:r>
          </w:p>
        </w:tc>
        <w:tc>
          <w:tcPr>
            <w:tcW w:w="790" w:type="pct"/>
            <w:noWrap/>
            <w:vAlign w:val="center"/>
            <w:hideMark/>
          </w:tcPr>
          <w:p w14:paraId="47B5251D" w14:textId="77777777" w:rsidR="00F10F7B" w:rsidRPr="00951AB1" w:rsidRDefault="00F10F7B"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16.592.000.000</w:t>
            </w:r>
          </w:p>
        </w:tc>
        <w:tc>
          <w:tcPr>
            <w:tcW w:w="783" w:type="pct"/>
            <w:noWrap/>
            <w:vAlign w:val="center"/>
            <w:hideMark/>
          </w:tcPr>
          <w:p w14:paraId="0B5DA733" w14:textId="77777777" w:rsidR="00F10F7B" w:rsidRPr="00951AB1" w:rsidRDefault="00F10F7B"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16.592.000.000</w:t>
            </w:r>
          </w:p>
        </w:tc>
        <w:tc>
          <w:tcPr>
            <w:tcW w:w="759" w:type="pct"/>
            <w:noWrap/>
            <w:vAlign w:val="center"/>
            <w:hideMark/>
          </w:tcPr>
          <w:p w14:paraId="22E404F4" w14:textId="77777777" w:rsidR="00F10F7B" w:rsidRPr="00951AB1" w:rsidRDefault="00F10F7B"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0</w:t>
            </w:r>
          </w:p>
        </w:tc>
      </w:tr>
    </w:tbl>
    <w:p w14:paraId="5892357C" w14:textId="77777777" w:rsidR="00F8292D" w:rsidRPr="00951AB1" w:rsidRDefault="00F8292D" w:rsidP="000A5389">
      <w:pPr>
        <w:spacing w:line="240" w:lineRule="auto"/>
        <w:rPr>
          <w:rFonts w:cs="Times New Roman"/>
          <w:sz w:val="14"/>
          <w:szCs w:val="14"/>
        </w:rPr>
      </w:pPr>
      <w:r w:rsidRPr="00951AB1">
        <w:rPr>
          <w:rFonts w:cs="Times New Roman"/>
          <w:sz w:val="14"/>
          <w:szCs w:val="14"/>
        </w:rPr>
        <w:t xml:space="preserve">Cifras expresadas en pesos </w:t>
      </w:r>
    </w:p>
    <w:p w14:paraId="4521B1E5" w14:textId="77777777" w:rsidR="00241626" w:rsidRPr="00951AB1" w:rsidRDefault="00241626" w:rsidP="000A5389">
      <w:pPr>
        <w:spacing w:line="240" w:lineRule="auto"/>
        <w:rPr>
          <w:rFonts w:cs="Times New Roman"/>
        </w:rPr>
      </w:pPr>
    </w:p>
    <w:p w14:paraId="6B424A74" w14:textId="77777777" w:rsidR="00DD57BD" w:rsidRPr="00951AB1" w:rsidRDefault="00DD57BD" w:rsidP="000A5389">
      <w:pPr>
        <w:spacing w:line="240" w:lineRule="auto"/>
        <w:rPr>
          <w:rFonts w:cs="Times New Roman"/>
          <w:szCs w:val="24"/>
        </w:rPr>
      </w:pPr>
      <w:r w:rsidRPr="00951AB1">
        <w:rPr>
          <w:rFonts w:cs="Times New Roman"/>
          <w:szCs w:val="24"/>
        </w:rPr>
        <w:t>Conforme la política contable adoptada por la Agencia, un activo contingente es un activo de naturaleza posible surgido a raíz de sucesos pasados, cuya existencia se confirmará solo por la ocurrencia o, en su caso, por la no ocurrencia de uno o más eventos inciertos en el futuro que no están enteramente bajo el control de la entidad.</w:t>
      </w:r>
    </w:p>
    <w:p w14:paraId="692F3B80" w14:textId="77777777" w:rsidR="00DD57BD" w:rsidRPr="00951AB1" w:rsidRDefault="00DD57BD" w:rsidP="000A5389">
      <w:pPr>
        <w:spacing w:line="240" w:lineRule="auto"/>
        <w:rPr>
          <w:rFonts w:cs="Times New Roman"/>
          <w:szCs w:val="24"/>
        </w:rPr>
      </w:pPr>
    </w:p>
    <w:p w14:paraId="540A84FA" w14:textId="77777777" w:rsidR="00DD57BD" w:rsidRPr="00951AB1" w:rsidRDefault="00DD57BD" w:rsidP="000A5389">
      <w:pPr>
        <w:spacing w:line="240" w:lineRule="auto"/>
        <w:rPr>
          <w:rFonts w:cs="Times New Roman"/>
          <w:szCs w:val="24"/>
        </w:rPr>
      </w:pPr>
      <w:r w:rsidRPr="00951AB1">
        <w:rPr>
          <w:rFonts w:cs="Times New Roman"/>
          <w:szCs w:val="24"/>
        </w:rPr>
        <w:t>Los activos contingentes se evaluarán de forma continuada, con el fin de asegurar que su evolución se refleje apropiadamente en los Estados Financieros.  En caso de que la entrada de beneficios económicos o potencial de servicio a la entidad pase a ser prácticamente cierta, se procederá al reconocimiento del ingreso y del activo en los Estados Financieros del periodo en el que dicho cambio tenga lugar.</w:t>
      </w:r>
    </w:p>
    <w:p w14:paraId="2F1FC349" w14:textId="77777777" w:rsidR="00DD57BD" w:rsidRPr="00951AB1" w:rsidRDefault="00DD57BD" w:rsidP="000A5389">
      <w:pPr>
        <w:spacing w:line="240" w:lineRule="auto"/>
        <w:rPr>
          <w:rFonts w:cs="Times New Roman"/>
          <w:szCs w:val="24"/>
        </w:rPr>
      </w:pPr>
      <w:r w:rsidRPr="00951AB1">
        <w:rPr>
          <w:rFonts w:cs="Times New Roman"/>
          <w:szCs w:val="24"/>
        </w:rPr>
        <w:t xml:space="preserve">Una vez sean admitidas las contingencias judiciales iniciadas, son objeto de reconocimiento en cuentas de orden deudoras si tienen una medición fiable. Cuando esta no exista o la misma sea igual a cero ($0), no son objeto de reconocimiento.  </w:t>
      </w:r>
    </w:p>
    <w:p w14:paraId="70938D33" w14:textId="77777777" w:rsidR="00DD57BD" w:rsidRPr="00951AB1" w:rsidRDefault="00DD57BD" w:rsidP="000A5389">
      <w:pPr>
        <w:spacing w:line="240" w:lineRule="auto"/>
        <w:rPr>
          <w:rFonts w:cs="Times New Roman"/>
          <w:szCs w:val="24"/>
        </w:rPr>
      </w:pPr>
    </w:p>
    <w:p w14:paraId="679CDAE1" w14:textId="77777777" w:rsidR="00DD57BD" w:rsidRDefault="00DD57BD" w:rsidP="000A5389">
      <w:pPr>
        <w:pStyle w:val="Default"/>
        <w:jc w:val="both"/>
        <w:rPr>
          <w:rFonts w:ascii="Times New Roman" w:hAnsi="Times New Roman" w:cs="Times New Roman"/>
        </w:rPr>
      </w:pPr>
      <w:r w:rsidRPr="00951AB1">
        <w:rPr>
          <w:rFonts w:ascii="Times New Roman" w:hAnsi="Times New Roman" w:cs="Times New Roman"/>
        </w:rPr>
        <w:t>Para ello se requiere que el Grupo Interno de Trabajo de Defensa Judicial, prepare el reporte de litigios y demandas y el reporte de Mecanismos Alternativos de Solución de Conflictos a favor de la Agencia y reporte según la periodicidad establecida, al Grupo Interno de Trabajo Administrativo y Financiero, con el fin de actualizar la información financiera correspondiente.</w:t>
      </w:r>
    </w:p>
    <w:p w14:paraId="21E71BB9" w14:textId="77777777" w:rsidR="00FE1E23" w:rsidRDefault="00FE1E23" w:rsidP="000A5389">
      <w:pPr>
        <w:pStyle w:val="Default"/>
        <w:jc w:val="both"/>
        <w:rPr>
          <w:rFonts w:ascii="Times New Roman" w:hAnsi="Times New Roman" w:cs="Times New Roman"/>
        </w:rPr>
      </w:pPr>
    </w:p>
    <w:p w14:paraId="5BF971F8" w14:textId="77777777" w:rsidR="00FE1E23" w:rsidRPr="00951AB1" w:rsidRDefault="00FE1E23" w:rsidP="000A5389">
      <w:pPr>
        <w:pStyle w:val="Default"/>
        <w:jc w:val="both"/>
        <w:rPr>
          <w:rFonts w:ascii="Times New Roman" w:hAnsi="Times New Roman" w:cs="Times New Roman"/>
        </w:rPr>
      </w:pPr>
    </w:p>
    <w:p w14:paraId="3459E0D7" w14:textId="77777777" w:rsidR="002340B1" w:rsidRPr="00951AB1" w:rsidRDefault="002340B1" w:rsidP="000A5389">
      <w:pPr>
        <w:pStyle w:val="Default"/>
        <w:jc w:val="both"/>
        <w:rPr>
          <w:rFonts w:ascii="Times New Roman" w:hAnsi="Times New Roman" w:cs="Times New Roman"/>
        </w:rPr>
      </w:pPr>
    </w:p>
    <w:p w14:paraId="0CA5E6F8" w14:textId="5E52780F" w:rsidR="00AE7E1E" w:rsidRPr="00951AB1" w:rsidRDefault="002340B1" w:rsidP="000A5389">
      <w:pPr>
        <w:pStyle w:val="Ttulo3"/>
        <w:spacing w:line="240" w:lineRule="auto"/>
      </w:pPr>
      <w:bookmarkStart w:id="706" w:name="_Toc222955529"/>
      <w:r w:rsidRPr="00951AB1">
        <w:lastRenderedPageBreak/>
        <w:t xml:space="preserve">27.1.1.  </w:t>
      </w:r>
      <w:r w:rsidRPr="00951AB1">
        <w:tab/>
        <w:t>Revelaciones Generales</w:t>
      </w:r>
      <w:bookmarkEnd w:id="706"/>
    </w:p>
    <w:p w14:paraId="690D0E45" w14:textId="77777777" w:rsidR="00CC4C5D" w:rsidRPr="00951AB1" w:rsidRDefault="00CC4C5D" w:rsidP="000A5389">
      <w:pPr>
        <w:spacing w:line="240" w:lineRule="auto"/>
        <w:rPr>
          <w:rFonts w:cs="Times New Roman"/>
          <w:sz w:val="14"/>
          <w:szCs w:val="14"/>
        </w:rPr>
      </w:pPr>
    </w:p>
    <w:tbl>
      <w:tblPr>
        <w:tblW w:w="5000" w:type="pct"/>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CellMar>
          <w:left w:w="70" w:type="dxa"/>
          <w:right w:w="70" w:type="dxa"/>
        </w:tblCellMar>
        <w:tblLook w:val="04A0" w:firstRow="1" w:lastRow="0" w:firstColumn="1" w:lastColumn="0" w:noHBand="0" w:noVBand="1"/>
      </w:tblPr>
      <w:tblGrid>
        <w:gridCol w:w="815"/>
        <w:gridCol w:w="598"/>
        <w:gridCol w:w="3883"/>
        <w:gridCol w:w="2098"/>
        <w:gridCol w:w="1434"/>
      </w:tblGrid>
      <w:tr w:rsidR="004811C3" w:rsidRPr="00951AB1" w14:paraId="193CDCA8" w14:textId="77777777" w:rsidTr="002340B1">
        <w:trPr>
          <w:trHeight w:val="300"/>
          <w:tblHeader/>
        </w:trPr>
        <w:tc>
          <w:tcPr>
            <w:tcW w:w="2999" w:type="pct"/>
            <w:gridSpan w:val="3"/>
            <w:vMerge w:val="restart"/>
            <w:noWrap/>
            <w:vAlign w:val="center"/>
            <w:hideMark/>
          </w:tcPr>
          <w:p w14:paraId="5BCD51C8" w14:textId="77777777" w:rsidR="00593BFD" w:rsidRPr="00951AB1" w:rsidRDefault="00593BFD" w:rsidP="000A5389">
            <w:pPr>
              <w:spacing w:line="240" w:lineRule="auto"/>
              <w:jc w:val="center"/>
              <w:rPr>
                <w:rFonts w:eastAsia="Times New Roman" w:cs="Times New Roman"/>
                <w:b/>
                <w:kern w:val="0"/>
                <w:sz w:val="18"/>
                <w:szCs w:val="18"/>
                <w:lang w:eastAsia="es-CO"/>
                <w14:ligatures w14:val="none"/>
              </w:rPr>
            </w:pPr>
            <w:r w:rsidRPr="00951AB1">
              <w:rPr>
                <w:rFonts w:eastAsia="Times New Roman" w:cs="Times New Roman"/>
                <w:b/>
                <w:kern w:val="0"/>
                <w:sz w:val="18"/>
                <w:szCs w:val="18"/>
                <w:lang w:eastAsia="es-CO"/>
                <w14:ligatures w14:val="none"/>
              </w:rPr>
              <w:t>CONCEPTO</w:t>
            </w:r>
          </w:p>
        </w:tc>
        <w:tc>
          <w:tcPr>
            <w:tcW w:w="1188" w:type="pct"/>
            <w:vAlign w:val="center"/>
            <w:hideMark/>
          </w:tcPr>
          <w:p w14:paraId="6EC74D34" w14:textId="77777777" w:rsidR="00593BFD" w:rsidRPr="00951AB1" w:rsidRDefault="00593BFD" w:rsidP="000A5389">
            <w:pPr>
              <w:spacing w:line="240" w:lineRule="auto"/>
              <w:jc w:val="center"/>
              <w:rPr>
                <w:rFonts w:eastAsia="Times New Roman" w:cs="Times New Roman"/>
                <w:b/>
                <w:kern w:val="0"/>
                <w:sz w:val="18"/>
                <w:szCs w:val="18"/>
                <w:lang w:eastAsia="es-CO"/>
                <w14:ligatures w14:val="none"/>
              </w:rPr>
            </w:pPr>
            <w:r w:rsidRPr="00951AB1">
              <w:rPr>
                <w:rFonts w:eastAsia="Times New Roman" w:cs="Times New Roman"/>
                <w:b/>
                <w:kern w:val="0"/>
                <w:sz w:val="18"/>
                <w:szCs w:val="18"/>
                <w:lang w:eastAsia="es-CO"/>
                <w14:ligatures w14:val="none"/>
              </w:rPr>
              <w:t>CORTE 2025</w:t>
            </w:r>
          </w:p>
        </w:tc>
        <w:tc>
          <w:tcPr>
            <w:tcW w:w="813" w:type="pct"/>
            <w:vMerge w:val="restart"/>
            <w:vAlign w:val="center"/>
            <w:hideMark/>
          </w:tcPr>
          <w:p w14:paraId="6EE9C524" w14:textId="77777777" w:rsidR="00593BFD" w:rsidRPr="00951AB1" w:rsidRDefault="00593BFD" w:rsidP="000A5389">
            <w:pPr>
              <w:spacing w:line="240" w:lineRule="auto"/>
              <w:jc w:val="center"/>
              <w:rPr>
                <w:rFonts w:eastAsia="Times New Roman" w:cs="Times New Roman"/>
                <w:b/>
                <w:kern w:val="0"/>
                <w:sz w:val="18"/>
                <w:szCs w:val="18"/>
                <w:lang w:eastAsia="es-CO"/>
                <w14:ligatures w14:val="none"/>
              </w:rPr>
            </w:pPr>
            <w:r w:rsidRPr="00951AB1">
              <w:rPr>
                <w:rFonts w:eastAsia="Times New Roman" w:cs="Times New Roman"/>
                <w:b/>
                <w:kern w:val="0"/>
                <w:sz w:val="18"/>
                <w:szCs w:val="18"/>
                <w:lang w:eastAsia="es-CO"/>
                <w14:ligatures w14:val="none"/>
              </w:rPr>
              <w:t>CANTIDAD</w:t>
            </w:r>
            <w:r w:rsidRPr="00951AB1">
              <w:rPr>
                <w:rFonts w:eastAsia="Times New Roman" w:cs="Times New Roman"/>
                <w:b/>
                <w:kern w:val="0"/>
                <w:sz w:val="18"/>
                <w:szCs w:val="18"/>
                <w:lang w:eastAsia="es-CO"/>
                <w14:ligatures w14:val="none"/>
              </w:rPr>
              <w:br/>
              <w:t>(Procesos o casos)</w:t>
            </w:r>
          </w:p>
        </w:tc>
      </w:tr>
      <w:tr w:rsidR="00346E6B" w:rsidRPr="00951AB1" w14:paraId="473D8D40" w14:textId="77777777" w:rsidTr="002340B1">
        <w:trPr>
          <w:trHeight w:val="31"/>
        </w:trPr>
        <w:tc>
          <w:tcPr>
            <w:tcW w:w="2999" w:type="pct"/>
            <w:gridSpan w:val="3"/>
            <w:vMerge/>
            <w:noWrap/>
            <w:vAlign w:val="center"/>
            <w:hideMark/>
          </w:tcPr>
          <w:p w14:paraId="58718F8D" w14:textId="77777777" w:rsidR="00593BFD" w:rsidRPr="00951AB1" w:rsidRDefault="00593BFD" w:rsidP="000A5389">
            <w:pPr>
              <w:spacing w:line="240" w:lineRule="auto"/>
              <w:rPr>
                <w:rFonts w:eastAsia="Times New Roman" w:cs="Times New Roman"/>
                <w:b/>
                <w:kern w:val="0"/>
                <w:sz w:val="18"/>
                <w:szCs w:val="18"/>
                <w:lang w:eastAsia="es-CO"/>
                <w14:ligatures w14:val="none"/>
              </w:rPr>
            </w:pPr>
          </w:p>
        </w:tc>
        <w:tc>
          <w:tcPr>
            <w:tcW w:w="1188" w:type="pct"/>
            <w:vAlign w:val="center"/>
            <w:hideMark/>
          </w:tcPr>
          <w:p w14:paraId="179CEF90" w14:textId="77777777" w:rsidR="00593BFD" w:rsidRPr="00951AB1" w:rsidRDefault="00593BFD" w:rsidP="000A5389">
            <w:pPr>
              <w:spacing w:line="240" w:lineRule="auto"/>
              <w:jc w:val="center"/>
              <w:rPr>
                <w:rFonts w:eastAsia="Times New Roman" w:cs="Times New Roman"/>
                <w:b/>
                <w:kern w:val="0"/>
                <w:sz w:val="18"/>
                <w:szCs w:val="18"/>
                <w:lang w:eastAsia="es-CO"/>
                <w14:ligatures w14:val="none"/>
              </w:rPr>
            </w:pPr>
            <w:r w:rsidRPr="00951AB1">
              <w:rPr>
                <w:rFonts w:eastAsia="Times New Roman" w:cs="Times New Roman"/>
                <w:b/>
                <w:kern w:val="0"/>
                <w:sz w:val="18"/>
                <w:szCs w:val="18"/>
                <w:lang w:eastAsia="es-CO"/>
                <w14:ligatures w14:val="none"/>
              </w:rPr>
              <w:t>VALOR EN LIBROS</w:t>
            </w:r>
          </w:p>
        </w:tc>
        <w:tc>
          <w:tcPr>
            <w:tcW w:w="813" w:type="pct"/>
            <w:vMerge/>
            <w:vAlign w:val="center"/>
            <w:hideMark/>
          </w:tcPr>
          <w:p w14:paraId="7A9F2AE5" w14:textId="77777777" w:rsidR="00593BFD" w:rsidRPr="00951AB1" w:rsidRDefault="00593BFD" w:rsidP="000A5389">
            <w:pPr>
              <w:spacing w:line="240" w:lineRule="auto"/>
              <w:rPr>
                <w:rFonts w:eastAsia="Times New Roman" w:cs="Times New Roman"/>
                <w:b/>
                <w:kern w:val="0"/>
                <w:sz w:val="18"/>
                <w:szCs w:val="18"/>
                <w:lang w:eastAsia="es-CO"/>
                <w14:ligatures w14:val="none"/>
              </w:rPr>
            </w:pPr>
          </w:p>
        </w:tc>
      </w:tr>
      <w:tr w:rsidR="004D48A0" w:rsidRPr="00951AB1" w14:paraId="13D7F318" w14:textId="77777777" w:rsidTr="002340B1">
        <w:trPr>
          <w:trHeight w:val="285"/>
        </w:trPr>
        <w:tc>
          <w:tcPr>
            <w:tcW w:w="2999" w:type="pct"/>
            <w:gridSpan w:val="3"/>
            <w:noWrap/>
            <w:vAlign w:val="center"/>
            <w:hideMark/>
          </w:tcPr>
          <w:p w14:paraId="6D9BBDD6" w14:textId="5FE96D36" w:rsidR="00593BFD" w:rsidRPr="00951AB1" w:rsidRDefault="00F936CC" w:rsidP="000A5389">
            <w:pPr>
              <w:spacing w:line="240" w:lineRule="auto"/>
              <w:rPr>
                <w:rFonts w:eastAsia="Times New Roman" w:cs="Times New Roman"/>
                <w:b/>
                <w:color w:val="000000"/>
                <w:kern w:val="0"/>
                <w:sz w:val="18"/>
                <w:szCs w:val="18"/>
                <w:lang w:eastAsia="es-CO"/>
                <w14:ligatures w14:val="none"/>
              </w:rPr>
            </w:pPr>
            <w:r w:rsidRPr="00951AB1">
              <w:rPr>
                <w:rFonts w:eastAsia="Times New Roman" w:cs="Times New Roman"/>
                <w:b/>
                <w:color w:val="000000"/>
                <w:kern w:val="0"/>
                <w:sz w:val="18"/>
                <w:szCs w:val="18"/>
                <w:lang w:eastAsia="es-CO"/>
                <w14:ligatures w14:val="none"/>
              </w:rPr>
              <w:t> </w:t>
            </w:r>
            <w:r w:rsidR="00593BFD" w:rsidRPr="00951AB1">
              <w:rPr>
                <w:rFonts w:eastAsia="Times New Roman" w:cs="Times New Roman"/>
                <w:b/>
                <w:color w:val="000000"/>
                <w:kern w:val="0"/>
                <w:sz w:val="18"/>
                <w:szCs w:val="18"/>
                <w:lang w:eastAsia="es-CO"/>
                <w14:ligatures w14:val="none"/>
              </w:rPr>
              <w:t>ACTIVOS CONTINGENTES</w:t>
            </w:r>
          </w:p>
        </w:tc>
        <w:tc>
          <w:tcPr>
            <w:tcW w:w="1188" w:type="pct"/>
            <w:noWrap/>
            <w:vAlign w:val="center"/>
            <w:hideMark/>
          </w:tcPr>
          <w:p w14:paraId="0ACE9B1B" w14:textId="0ECEF309" w:rsidR="00593BFD" w:rsidRPr="00951AB1" w:rsidRDefault="47EF99B9" w:rsidP="000A5389">
            <w:pPr>
              <w:spacing w:line="240" w:lineRule="auto"/>
              <w:jc w:val="right"/>
              <w:rPr>
                <w:rFonts w:eastAsia="Times New Roman" w:cs="Times New Roman"/>
                <w:b/>
                <w:color w:val="000000"/>
                <w:kern w:val="0"/>
                <w:sz w:val="18"/>
                <w:szCs w:val="18"/>
                <w:lang w:eastAsia="es-CO"/>
                <w14:ligatures w14:val="none"/>
              </w:rPr>
            </w:pPr>
            <w:r w:rsidRPr="5B0C84B6">
              <w:rPr>
                <w:rFonts w:eastAsia="Times New Roman" w:cs="Times New Roman"/>
                <w:b/>
                <w:bCs/>
                <w:color w:val="000000"/>
                <w:kern w:val="0"/>
                <w:sz w:val="18"/>
                <w:szCs w:val="18"/>
                <w:lang w:eastAsia="es-CO"/>
                <w14:ligatures w14:val="none"/>
              </w:rPr>
              <w:t>7</w:t>
            </w:r>
            <w:r w:rsidR="327E2DA8" w:rsidRPr="5B0C84B6">
              <w:rPr>
                <w:rFonts w:eastAsia="Times New Roman" w:cs="Times New Roman"/>
                <w:b/>
                <w:bCs/>
                <w:color w:val="000000"/>
                <w:kern w:val="0"/>
                <w:sz w:val="18"/>
                <w:szCs w:val="18"/>
                <w:lang w:eastAsia="es-CO"/>
                <w14:ligatures w14:val="none"/>
              </w:rPr>
              <w:t>.2</w:t>
            </w:r>
            <w:r w:rsidR="4C99875A" w:rsidRPr="5B0C84B6">
              <w:rPr>
                <w:rFonts w:eastAsia="Times New Roman" w:cs="Times New Roman"/>
                <w:b/>
                <w:bCs/>
                <w:color w:val="000000"/>
                <w:kern w:val="0"/>
                <w:sz w:val="18"/>
                <w:szCs w:val="18"/>
                <w:lang w:eastAsia="es-CO"/>
                <w14:ligatures w14:val="none"/>
              </w:rPr>
              <w:t>07</w:t>
            </w:r>
            <w:r w:rsidR="327E2DA8" w:rsidRPr="5B0C84B6">
              <w:rPr>
                <w:rFonts w:eastAsia="Times New Roman" w:cs="Times New Roman"/>
                <w:b/>
                <w:bCs/>
                <w:color w:val="000000"/>
                <w:kern w:val="0"/>
                <w:sz w:val="18"/>
                <w:szCs w:val="18"/>
                <w:lang w:eastAsia="es-CO"/>
                <w14:ligatures w14:val="none"/>
              </w:rPr>
              <w:t>.</w:t>
            </w:r>
            <w:r w:rsidR="164E5B4E" w:rsidRPr="5B0C84B6">
              <w:rPr>
                <w:rFonts w:eastAsia="Times New Roman" w:cs="Times New Roman"/>
                <w:b/>
                <w:bCs/>
                <w:color w:val="000000"/>
                <w:kern w:val="0"/>
                <w:sz w:val="18"/>
                <w:szCs w:val="18"/>
                <w:lang w:eastAsia="es-CO"/>
                <w14:ligatures w14:val="none"/>
              </w:rPr>
              <w:t>667</w:t>
            </w:r>
            <w:r w:rsidR="327E2DA8" w:rsidRPr="5B0C84B6">
              <w:rPr>
                <w:rFonts w:eastAsia="Times New Roman" w:cs="Times New Roman"/>
                <w:b/>
                <w:bCs/>
                <w:color w:val="000000"/>
                <w:kern w:val="0"/>
                <w:sz w:val="18"/>
                <w:szCs w:val="18"/>
                <w:lang w:eastAsia="es-CO"/>
                <w14:ligatures w14:val="none"/>
              </w:rPr>
              <w:t>.</w:t>
            </w:r>
            <w:r w:rsidR="736F698B" w:rsidRPr="5B0C84B6">
              <w:rPr>
                <w:rFonts w:eastAsia="Times New Roman" w:cs="Times New Roman"/>
                <w:b/>
                <w:bCs/>
                <w:color w:val="000000"/>
                <w:kern w:val="0"/>
                <w:sz w:val="18"/>
                <w:szCs w:val="18"/>
                <w:lang w:eastAsia="es-CO"/>
                <w14:ligatures w14:val="none"/>
              </w:rPr>
              <w:t>3</w:t>
            </w:r>
            <w:r w:rsidR="327E2DA8" w:rsidRPr="5B0C84B6">
              <w:rPr>
                <w:rFonts w:eastAsia="Times New Roman" w:cs="Times New Roman"/>
                <w:b/>
                <w:bCs/>
                <w:color w:val="000000"/>
                <w:kern w:val="0"/>
                <w:sz w:val="18"/>
                <w:szCs w:val="18"/>
                <w:lang w:eastAsia="es-CO"/>
                <w14:ligatures w14:val="none"/>
              </w:rPr>
              <w:t>2</w:t>
            </w:r>
            <w:r w:rsidR="15DFFE2E" w:rsidRPr="5B0C84B6">
              <w:rPr>
                <w:rFonts w:eastAsia="Times New Roman" w:cs="Times New Roman"/>
                <w:b/>
                <w:bCs/>
                <w:color w:val="000000"/>
                <w:kern w:val="0"/>
                <w:sz w:val="18"/>
                <w:szCs w:val="18"/>
                <w:lang w:eastAsia="es-CO"/>
                <w14:ligatures w14:val="none"/>
              </w:rPr>
              <w:t>8</w:t>
            </w:r>
            <w:r w:rsidR="327E2DA8" w:rsidRPr="5B0C84B6">
              <w:rPr>
                <w:rFonts w:eastAsia="Times New Roman" w:cs="Times New Roman"/>
                <w:b/>
                <w:bCs/>
                <w:color w:val="000000"/>
                <w:kern w:val="0"/>
                <w:sz w:val="18"/>
                <w:szCs w:val="18"/>
                <w:lang w:eastAsia="es-CO"/>
                <w14:ligatures w14:val="none"/>
              </w:rPr>
              <w:t>.6</w:t>
            </w:r>
            <w:r w:rsidR="696E68C1" w:rsidRPr="5B0C84B6">
              <w:rPr>
                <w:rFonts w:eastAsia="Times New Roman" w:cs="Times New Roman"/>
                <w:b/>
                <w:bCs/>
                <w:color w:val="000000"/>
                <w:kern w:val="0"/>
                <w:sz w:val="18"/>
                <w:szCs w:val="18"/>
                <w:lang w:eastAsia="es-CO"/>
                <w14:ligatures w14:val="none"/>
              </w:rPr>
              <w:t>7</w:t>
            </w:r>
            <w:r w:rsidR="327E2DA8" w:rsidRPr="5B0C84B6">
              <w:rPr>
                <w:rFonts w:eastAsia="Times New Roman" w:cs="Times New Roman"/>
                <w:b/>
                <w:bCs/>
                <w:color w:val="000000"/>
                <w:kern w:val="0"/>
                <w:sz w:val="18"/>
                <w:szCs w:val="18"/>
                <w:lang w:eastAsia="es-CO"/>
                <w14:ligatures w14:val="none"/>
              </w:rPr>
              <w:t xml:space="preserve">2 </w:t>
            </w:r>
          </w:p>
        </w:tc>
        <w:tc>
          <w:tcPr>
            <w:tcW w:w="813" w:type="pct"/>
            <w:noWrap/>
            <w:vAlign w:val="center"/>
            <w:hideMark/>
          </w:tcPr>
          <w:p w14:paraId="3320FEB3" w14:textId="77777777" w:rsidR="00593BFD" w:rsidRPr="00951AB1" w:rsidRDefault="175E8EA8" w:rsidP="000A5389">
            <w:pPr>
              <w:spacing w:line="240" w:lineRule="auto"/>
              <w:jc w:val="center"/>
              <w:rPr>
                <w:rFonts w:eastAsia="Times New Roman" w:cs="Times New Roman"/>
                <w:b/>
                <w:color w:val="000000"/>
                <w:kern w:val="0"/>
                <w:sz w:val="18"/>
                <w:szCs w:val="18"/>
                <w:lang w:eastAsia="es-CO"/>
                <w14:ligatures w14:val="none"/>
              </w:rPr>
            </w:pPr>
            <w:r w:rsidRPr="5B0C84B6">
              <w:rPr>
                <w:rFonts w:eastAsia="Times New Roman" w:cs="Times New Roman"/>
                <w:b/>
                <w:bCs/>
                <w:color w:val="000000"/>
                <w:kern w:val="0"/>
                <w:sz w:val="18"/>
                <w:szCs w:val="18"/>
                <w:lang w:eastAsia="es-CO"/>
                <w14:ligatures w14:val="none"/>
              </w:rPr>
              <w:t>58</w:t>
            </w:r>
          </w:p>
        </w:tc>
      </w:tr>
      <w:tr w:rsidR="004D48A0" w:rsidRPr="00951AB1" w14:paraId="17D26064" w14:textId="77777777" w:rsidTr="002340B1">
        <w:trPr>
          <w:trHeight w:val="285"/>
        </w:trPr>
        <w:tc>
          <w:tcPr>
            <w:tcW w:w="462" w:type="pct"/>
            <w:noWrap/>
            <w:vAlign w:val="center"/>
            <w:hideMark/>
          </w:tcPr>
          <w:p w14:paraId="5E959FEE" w14:textId="77777777" w:rsidR="00593BFD" w:rsidRPr="00951AB1" w:rsidRDefault="00593BFD" w:rsidP="000A5389">
            <w:pPr>
              <w:spacing w:line="240" w:lineRule="auto"/>
              <w:rPr>
                <w:rFonts w:eastAsia="Times New Roman" w:cs="Times New Roman"/>
                <w:b/>
                <w:color w:val="000000"/>
                <w:kern w:val="0"/>
                <w:sz w:val="18"/>
                <w:szCs w:val="18"/>
                <w:lang w:eastAsia="es-CO"/>
                <w14:ligatures w14:val="none"/>
              </w:rPr>
            </w:pPr>
            <w:r w:rsidRPr="00951AB1">
              <w:rPr>
                <w:rFonts w:eastAsia="Times New Roman" w:cs="Times New Roman"/>
                <w:b/>
                <w:color w:val="000000"/>
                <w:kern w:val="0"/>
                <w:sz w:val="18"/>
                <w:szCs w:val="18"/>
                <w:lang w:eastAsia="es-CO"/>
                <w14:ligatures w14:val="none"/>
              </w:rPr>
              <w:t>8.1.28</w:t>
            </w:r>
          </w:p>
        </w:tc>
        <w:tc>
          <w:tcPr>
            <w:tcW w:w="339" w:type="pct"/>
            <w:noWrap/>
            <w:vAlign w:val="center"/>
            <w:hideMark/>
          </w:tcPr>
          <w:p w14:paraId="2D2560DA" w14:textId="77777777" w:rsidR="00593BFD" w:rsidRPr="00951AB1" w:rsidRDefault="00593BFD" w:rsidP="000A5389">
            <w:pPr>
              <w:spacing w:line="240" w:lineRule="auto"/>
              <w:jc w:val="center"/>
              <w:rPr>
                <w:rFonts w:eastAsia="Times New Roman" w:cs="Times New Roman"/>
                <w:b/>
                <w:color w:val="000000"/>
                <w:kern w:val="0"/>
                <w:sz w:val="18"/>
                <w:szCs w:val="18"/>
                <w:lang w:eastAsia="es-CO"/>
                <w14:ligatures w14:val="none"/>
              </w:rPr>
            </w:pPr>
            <w:r w:rsidRPr="00951AB1">
              <w:rPr>
                <w:rFonts w:eastAsia="Times New Roman" w:cs="Times New Roman"/>
                <w:b/>
                <w:color w:val="000000"/>
                <w:kern w:val="0"/>
                <w:sz w:val="18"/>
                <w:szCs w:val="18"/>
                <w:lang w:eastAsia="es-CO"/>
                <w14:ligatures w14:val="none"/>
              </w:rPr>
              <w:t>Db</w:t>
            </w:r>
          </w:p>
        </w:tc>
        <w:tc>
          <w:tcPr>
            <w:tcW w:w="2199" w:type="pct"/>
            <w:vAlign w:val="center"/>
            <w:hideMark/>
          </w:tcPr>
          <w:p w14:paraId="0E015A8C" w14:textId="77777777" w:rsidR="00593BFD" w:rsidRPr="00951AB1" w:rsidRDefault="00593BFD" w:rsidP="000A5389">
            <w:pPr>
              <w:spacing w:line="240" w:lineRule="auto"/>
              <w:rPr>
                <w:rFonts w:eastAsia="Times New Roman" w:cs="Times New Roman"/>
                <w:b/>
                <w:color w:val="000000"/>
                <w:kern w:val="0"/>
                <w:sz w:val="18"/>
                <w:szCs w:val="18"/>
                <w:lang w:eastAsia="es-CO"/>
                <w14:ligatures w14:val="none"/>
              </w:rPr>
            </w:pPr>
            <w:r w:rsidRPr="00951AB1">
              <w:rPr>
                <w:rFonts w:eastAsia="Times New Roman" w:cs="Times New Roman"/>
                <w:b/>
                <w:color w:val="000000"/>
                <w:kern w:val="0"/>
                <w:sz w:val="18"/>
                <w:szCs w:val="18"/>
                <w:lang w:eastAsia="es-CO"/>
                <w14:ligatures w14:val="none"/>
              </w:rPr>
              <w:t>Garantías contractuales</w:t>
            </w:r>
          </w:p>
        </w:tc>
        <w:tc>
          <w:tcPr>
            <w:tcW w:w="1188" w:type="pct"/>
            <w:noWrap/>
            <w:vAlign w:val="center"/>
            <w:hideMark/>
          </w:tcPr>
          <w:p w14:paraId="64FB6E0C" w14:textId="77777777" w:rsidR="00593BFD" w:rsidRPr="00951AB1" w:rsidRDefault="00593BFD" w:rsidP="000A5389">
            <w:pPr>
              <w:spacing w:line="240" w:lineRule="auto"/>
              <w:jc w:val="right"/>
              <w:rPr>
                <w:rFonts w:eastAsia="Times New Roman" w:cs="Times New Roman"/>
                <w:b/>
                <w:color w:val="000000"/>
                <w:kern w:val="0"/>
                <w:sz w:val="18"/>
                <w:szCs w:val="18"/>
                <w:lang w:eastAsia="es-CO"/>
                <w14:ligatures w14:val="none"/>
              </w:rPr>
            </w:pPr>
            <w:r w:rsidRPr="00951AB1">
              <w:rPr>
                <w:rFonts w:eastAsia="Times New Roman" w:cs="Times New Roman"/>
                <w:b/>
                <w:color w:val="000000"/>
                <w:kern w:val="0"/>
                <w:sz w:val="18"/>
                <w:szCs w:val="18"/>
                <w:lang w:eastAsia="es-CO"/>
                <w14:ligatures w14:val="none"/>
              </w:rPr>
              <w:t xml:space="preserve">6.355.739.800.701 </w:t>
            </w:r>
          </w:p>
        </w:tc>
        <w:tc>
          <w:tcPr>
            <w:tcW w:w="813" w:type="pct"/>
            <w:noWrap/>
            <w:vAlign w:val="center"/>
            <w:hideMark/>
          </w:tcPr>
          <w:p w14:paraId="1CB99D40" w14:textId="77777777" w:rsidR="00593BFD" w:rsidRPr="00951AB1" w:rsidRDefault="00593BFD" w:rsidP="000A5389">
            <w:pPr>
              <w:spacing w:line="240" w:lineRule="auto"/>
              <w:jc w:val="center"/>
              <w:rPr>
                <w:rFonts w:eastAsia="Times New Roman" w:cs="Times New Roman"/>
                <w:b/>
                <w:color w:val="000000"/>
                <w:kern w:val="0"/>
                <w:sz w:val="18"/>
                <w:szCs w:val="18"/>
                <w:lang w:eastAsia="es-CO"/>
                <w14:ligatures w14:val="none"/>
              </w:rPr>
            </w:pPr>
            <w:r w:rsidRPr="00951AB1">
              <w:rPr>
                <w:rFonts w:eastAsia="Times New Roman" w:cs="Times New Roman"/>
                <w:b/>
                <w:color w:val="000000"/>
                <w:kern w:val="0"/>
                <w:sz w:val="18"/>
                <w:szCs w:val="18"/>
                <w:lang w:eastAsia="es-CO"/>
                <w14:ligatures w14:val="none"/>
              </w:rPr>
              <w:t>0</w:t>
            </w:r>
          </w:p>
        </w:tc>
      </w:tr>
      <w:tr w:rsidR="004D48A0" w:rsidRPr="00951AB1" w14:paraId="6251CFEB" w14:textId="77777777" w:rsidTr="002340B1">
        <w:trPr>
          <w:trHeight w:val="300"/>
        </w:trPr>
        <w:tc>
          <w:tcPr>
            <w:tcW w:w="462" w:type="pct"/>
            <w:noWrap/>
            <w:vAlign w:val="center"/>
            <w:hideMark/>
          </w:tcPr>
          <w:p w14:paraId="7CC8A262" w14:textId="77777777" w:rsidR="00593BFD" w:rsidRPr="00951AB1" w:rsidRDefault="00593BFD" w:rsidP="000A5389">
            <w:pPr>
              <w:spacing w:line="240" w:lineRule="auto"/>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8.1.28.01</w:t>
            </w:r>
          </w:p>
        </w:tc>
        <w:tc>
          <w:tcPr>
            <w:tcW w:w="339" w:type="pct"/>
            <w:noWrap/>
            <w:vAlign w:val="center"/>
            <w:hideMark/>
          </w:tcPr>
          <w:p w14:paraId="380A8370" w14:textId="77777777" w:rsidR="00593BFD" w:rsidRPr="00951AB1" w:rsidRDefault="00593BFD" w:rsidP="000A5389">
            <w:pPr>
              <w:spacing w:line="240" w:lineRule="auto"/>
              <w:jc w:val="center"/>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Db</w:t>
            </w:r>
          </w:p>
        </w:tc>
        <w:tc>
          <w:tcPr>
            <w:tcW w:w="2199" w:type="pct"/>
            <w:vAlign w:val="center"/>
            <w:hideMark/>
          </w:tcPr>
          <w:p w14:paraId="066120A7" w14:textId="77777777" w:rsidR="00593BFD" w:rsidRPr="00951AB1" w:rsidRDefault="00593BFD" w:rsidP="000A5389">
            <w:pPr>
              <w:spacing w:line="240" w:lineRule="auto"/>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Acuerdos de concesión</w:t>
            </w:r>
          </w:p>
        </w:tc>
        <w:tc>
          <w:tcPr>
            <w:tcW w:w="1188" w:type="pct"/>
            <w:noWrap/>
            <w:vAlign w:val="center"/>
            <w:hideMark/>
          </w:tcPr>
          <w:p w14:paraId="572E6CA6" w14:textId="77777777" w:rsidR="00593BFD" w:rsidRPr="00951AB1" w:rsidRDefault="00593BFD"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 xml:space="preserve">6.355.739.800.701 </w:t>
            </w:r>
          </w:p>
        </w:tc>
        <w:tc>
          <w:tcPr>
            <w:tcW w:w="813" w:type="pct"/>
            <w:noWrap/>
            <w:vAlign w:val="center"/>
            <w:hideMark/>
          </w:tcPr>
          <w:p w14:paraId="2B0B0F2C" w14:textId="77777777" w:rsidR="00593BFD" w:rsidRPr="00951AB1" w:rsidRDefault="00593BFD" w:rsidP="000A5389">
            <w:pPr>
              <w:spacing w:line="240" w:lineRule="auto"/>
              <w:jc w:val="center"/>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0</w:t>
            </w:r>
          </w:p>
        </w:tc>
      </w:tr>
      <w:tr w:rsidR="004D48A0" w:rsidRPr="00951AB1" w14:paraId="3858063D" w14:textId="77777777" w:rsidTr="002340B1">
        <w:trPr>
          <w:trHeight w:val="450"/>
        </w:trPr>
        <w:tc>
          <w:tcPr>
            <w:tcW w:w="462" w:type="pct"/>
            <w:noWrap/>
            <w:vAlign w:val="center"/>
            <w:hideMark/>
          </w:tcPr>
          <w:p w14:paraId="77A24867" w14:textId="77777777" w:rsidR="00593BFD" w:rsidRPr="00951AB1" w:rsidRDefault="00593BFD" w:rsidP="000A5389">
            <w:pPr>
              <w:spacing w:line="240" w:lineRule="auto"/>
              <w:rPr>
                <w:rFonts w:eastAsia="Times New Roman" w:cs="Times New Roman"/>
                <w:b/>
                <w:color w:val="000000"/>
                <w:kern w:val="0"/>
                <w:sz w:val="18"/>
                <w:szCs w:val="18"/>
                <w:lang w:eastAsia="es-CO"/>
                <w14:ligatures w14:val="none"/>
              </w:rPr>
            </w:pPr>
            <w:r w:rsidRPr="00951AB1">
              <w:rPr>
                <w:rFonts w:eastAsia="Times New Roman" w:cs="Times New Roman"/>
                <w:b/>
                <w:color w:val="000000"/>
                <w:kern w:val="0"/>
                <w:sz w:val="18"/>
                <w:szCs w:val="18"/>
                <w:lang w:eastAsia="es-CO"/>
                <w14:ligatures w14:val="none"/>
              </w:rPr>
              <w:t>8.1.20</w:t>
            </w:r>
          </w:p>
        </w:tc>
        <w:tc>
          <w:tcPr>
            <w:tcW w:w="339" w:type="pct"/>
            <w:noWrap/>
            <w:vAlign w:val="center"/>
            <w:hideMark/>
          </w:tcPr>
          <w:p w14:paraId="27C0960C" w14:textId="77777777" w:rsidR="00593BFD" w:rsidRPr="00951AB1" w:rsidRDefault="00593BFD" w:rsidP="000A5389">
            <w:pPr>
              <w:spacing w:line="240" w:lineRule="auto"/>
              <w:jc w:val="center"/>
              <w:rPr>
                <w:rFonts w:eastAsia="Times New Roman" w:cs="Times New Roman"/>
                <w:b/>
                <w:color w:val="000000"/>
                <w:kern w:val="0"/>
                <w:sz w:val="18"/>
                <w:szCs w:val="18"/>
                <w:lang w:eastAsia="es-CO"/>
                <w14:ligatures w14:val="none"/>
              </w:rPr>
            </w:pPr>
            <w:r w:rsidRPr="00951AB1">
              <w:rPr>
                <w:rFonts w:eastAsia="Times New Roman" w:cs="Times New Roman"/>
                <w:b/>
                <w:color w:val="000000"/>
                <w:kern w:val="0"/>
                <w:sz w:val="18"/>
                <w:szCs w:val="18"/>
                <w:lang w:eastAsia="es-CO"/>
                <w14:ligatures w14:val="none"/>
              </w:rPr>
              <w:t>Db</w:t>
            </w:r>
          </w:p>
        </w:tc>
        <w:tc>
          <w:tcPr>
            <w:tcW w:w="2199" w:type="pct"/>
            <w:vAlign w:val="center"/>
            <w:hideMark/>
          </w:tcPr>
          <w:p w14:paraId="2249234D" w14:textId="77777777" w:rsidR="00593BFD" w:rsidRPr="00951AB1" w:rsidRDefault="00593BFD" w:rsidP="000A5389">
            <w:pPr>
              <w:spacing w:line="240" w:lineRule="auto"/>
              <w:rPr>
                <w:rFonts w:eastAsia="Times New Roman" w:cs="Times New Roman"/>
                <w:b/>
                <w:color w:val="000000"/>
                <w:kern w:val="0"/>
                <w:sz w:val="18"/>
                <w:szCs w:val="18"/>
                <w:lang w:eastAsia="es-CO"/>
                <w14:ligatures w14:val="none"/>
              </w:rPr>
            </w:pPr>
            <w:r w:rsidRPr="00951AB1">
              <w:rPr>
                <w:rFonts w:eastAsia="Times New Roman" w:cs="Times New Roman"/>
                <w:b/>
                <w:color w:val="000000"/>
                <w:kern w:val="0"/>
                <w:sz w:val="18"/>
                <w:szCs w:val="18"/>
                <w:lang w:eastAsia="es-CO"/>
                <w14:ligatures w14:val="none"/>
              </w:rPr>
              <w:t>Litigios y mecanismos alternativos de solución de conflictos</w:t>
            </w:r>
          </w:p>
        </w:tc>
        <w:tc>
          <w:tcPr>
            <w:tcW w:w="1188" w:type="pct"/>
            <w:noWrap/>
            <w:vAlign w:val="center"/>
            <w:hideMark/>
          </w:tcPr>
          <w:p w14:paraId="6ADC0BC0" w14:textId="2D721E87" w:rsidR="00593BFD" w:rsidRPr="00951AB1" w:rsidRDefault="00593BFD" w:rsidP="000A5389">
            <w:pPr>
              <w:spacing w:line="240" w:lineRule="auto"/>
              <w:jc w:val="right"/>
              <w:rPr>
                <w:rFonts w:eastAsia="Times New Roman" w:cs="Times New Roman"/>
                <w:b/>
                <w:color w:val="000000"/>
                <w:kern w:val="0"/>
                <w:sz w:val="18"/>
                <w:szCs w:val="18"/>
                <w:lang w:eastAsia="es-CO"/>
                <w14:ligatures w14:val="none"/>
              </w:rPr>
            </w:pPr>
            <w:r w:rsidRPr="71BBCBB8">
              <w:rPr>
                <w:rFonts w:eastAsia="Times New Roman" w:cs="Times New Roman"/>
                <w:b/>
                <w:bCs/>
                <w:color w:val="000000"/>
                <w:kern w:val="0"/>
                <w:sz w:val="18"/>
                <w:szCs w:val="18"/>
                <w:lang w:eastAsia="es-CO"/>
                <w14:ligatures w14:val="none"/>
              </w:rPr>
              <w:t>8</w:t>
            </w:r>
            <w:r w:rsidR="0F2AD94D" w:rsidRPr="71BBCBB8">
              <w:rPr>
                <w:rFonts w:eastAsia="Times New Roman" w:cs="Times New Roman"/>
                <w:b/>
                <w:bCs/>
                <w:color w:val="000000"/>
                <w:kern w:val="0"/>
                <w:sz w:val="18"/>
                <w:szCs w:val="18"/>
                <w:lang w:eastAsia="es-CO"/>
                <w14:ligatures w14:val="none"/>
              </w:rPr>
              <w:t>35</w:t>
            </w:r>
            <w:r w:rsidRPr="71BBCBB8">
              <w:rPr>
                <w:rFonts w:eastAsia="Times New Roman" w:cs="Times New Roman"/>
                <w:b/>
                <w:bCs/>
                <w:color w:val="000000"/>
                <w:kern w:val="0"/>
                <w:sz w:val="18"/>
                <w:szCs w:val="18"/>
                <w:lang w:eastAsia="es-CO"/>
                <w14:ligatures w14:val="none"/>
              </w:rPr>
              <w:t>.</w:t>
            </w:r>
            <w:r w:rsidR="074593BF" w:rsidRPr="71BBCBB8">
              <w:rPr>
                <w:rFonts w:eastAsia="Times New Roman" w:cs="Times New Roman"/>
                <w:b/>
                <w:bCs/>
                <w:color w:val="000000"/>
                <w:kern w:val="0"/>
                <w:sz w:val="18"/>
                <w:szCs w:val="18"/>
                <w:lang w:eastAsia="es-CO"/>
                <w14:ligatures w14:val="none"/>
              </w:rPr>
              <w:t>335</w:t>
            </w:r>
            <w:r w:rsidRPr="00951AB1">
              <w:rPr>
                <w:rFonts w:eastAsia="Times New Roman" w:cs="Times New Roman"/>
                <w:b/>
                <w:color w:val="000000"/>
                <w:kern w:val="0"/>
                <w:sz w:val="18"/>
                <w:szCs w:val="18"/>
                <w:lang w:eastAsia="es-CO"/>
                <w14:ligatures w14:val="none"/>
              </w:rPr>
              <w:t>.</w:t>
            </w:r>
            <w:r w:rsidRPr="73E245B9">
              <w:rPr>
                <w:rFonts w:eastAsia="Times New Roman" w:cs="Times New Roman"/>
                <w:b/>
                <w:bCs/>
                <w:color w:val="000000"/>
                <w:kern w:val="0"/>
                <w:sz w:val="18"/>
                <w:szCs w:val="18"/>
                <w:lang w:eastAsia="es-CO"/>
                <w14:ligatures w14:val="none"/>
              </w:rPr>
              <w:t>5</w:t>
            </w:r>
            <w:r w:rsidR="4D36850E" w:rsidRPr="73E245B9">
              <w:rPr>
                <w:rFonts w:eastAsia="Times New Roman" w:cs="Times New Roman"/>
                <w:b/>
                <w:bCs/>
                <w:color w:val="000000"/>
                <w:kern w:val="0"/>
                <w:sz w:val="18"/>
                <w:szCs w:val="18"/>
                <w:lang w:eastAsia="es-CO"/>
                <w14:ligatures w14:val="none"/>
              </w:rPr>
              <w:t>27</w:t>
            </w:r>
            <w:r w:rsidRPr="73E245B9">
              <w:rPr>
                <w:rFonts w:eastAsia="Times New Roman" w:cs="Times New Roman"/>
                <w:b/>
                <w:bCs/>
                <w:color w:val="000000"/>
                <w:kern w:val="0"/>
                <w:sz w:val="18"/>
                <w:szCs w:val="18"/>
                <w:lang w:eastAsia="es-CO"/>
                <w14:ligatures w14:val="none"/>
              </w:rPr>
              <w:t>.9</w:t>
            </w:r>
            <w:r w:rsidR="28C77139" w:rsidRPr="73E245B9">
              <w:rPr>
                <w:rFonts w:eastAsia="Times New Roman" w:cs="Times New Roman"/>
                <w:b/>
                <w:bCs/>
                <w:color w:val="000000"/>
                <w:kern w:val="0"/>
                <w:sz w:val="18"/>
                <w:szCs w:val="18"/>
                <w:lang w:eastAsia="es-CO"/>
                <w14:ligatures w14:val="none"/>
              </w:rPr>
              <w:t>7</w:t>
            </w:r>
            <w:r w:rsidRPr="73E245B9">
              <w:rPr>
                <w:rFonts w:eastAsia="Times New Roman" w:cs="Times New Roman"/>
                <w:b/>
                <w:bCs/>
                <w:color w:val="000000"/>
                <w:kern w:val="0"/>
                <w:sz w:val="18"/>
                <w:szCs w:val="18"/>
                <w:lang w:eastAsia="es-CO"/>
                <w14:ligatures w14:val="none"/>
              </w:rPr>
              <w:t>0</w:t>
            </w:r>
            <w:r w:rsidRPr="00951AB1">
              <w:rPr>
                <w:rFonts w:eastAsia="Times New Roman" w:cs="Times New Roman"/>
                <w:b/>
                <w:color w:val="000000"/>
                <w:kern w:val="0"/>
                <w:sz w:val="18"/>
                <w:szCs w:val="18"/>
                <w:lang w:eastAsia="es-CO"/>
                <w14:ligatures w14:val="none"/>
              </w:rPr>
              <w:t xml:space="preserve"> </w:t>
            </w:r>
          </w:p>
        </w:tc>
        <w:tc>
          <w:tcPr>
            <w:tcW w:w="813" w:type="pct"/>
            <w:noWrap/>
            <w:vAlign w:val="center"/>
            <w:hideMark/>
          </w:tcPr>
          <w:p w14:paraId="16BBA93B" w14:textId="77777777" w:rsidR="00593BFD" w:rsidRPr="00951AB1" w:rsidRDefault="2738A9AF" w:rsidP="000A5389">
            <w:pPr>
              <w:spacing w:line="240" w:lineRule="auto"/>
              <w:jc w:val="center"/>
              <w:rPr>
                <w:rFonts w:eastAsia="Times New Roman" w:cs="Times New Roman"/>
                <w:b/>
                <w:color w:val="000000"/>
                <w:kern w:val="0"/>
                <w:sz w:val="18"/>
                <w:szCs w:val="18"/>
                <w:lang w:eastAsia="es-CO"/>
                <w14:ligatures w14:val="none"/>
              </w:rPr>
            </w:pPr>
            <w:r w:rsidRPr="5B0C84B6">
              <w:rPr>
                <w:rFonts w:eastAsia="Times New Roman" w:cs="Times New Roman"/>
                <w:b/>
                <w:bCs/>
                <w:color w:val="000000"/>
                <w:kern w:val="0"/>
                <w:sz w:val="18"/>
                <w:szCs w:val="18"/>
                <w:lang w:eastAsia="es-CO"/>
                <w14:ligatures w14:val="none"/>
              </w:rPr>
              <w:t>58</w:t>
            </w:r>
          </w:p>
        </w:tc>
      </w:tr>
      <w:tr w:rsidR="004D48A0" w:rsidRPr="00951AB1" w14:paraId="358B7408" w14:textId="77777777" w:rsidTr="002340B1">
        <w:trPr>
          <w:trHeight w:val="300"/>
        </w:trPr>
        <w:tc>
          <w:tcPr>
            <w:tcW w:w="462" w:type="pct"/>
            <w:noWrap/>
            <w:vAlign w:val="center"/>
            <w:hideMark/>
          </w:tcPr>
          <w:p w14:paraId="23F428C8" w14:textId="77777777" w:rsidR="00593BFD" w:rsidRPr="00951AB1" w:rsidRDefault="00593BFD" w:rsidP="000A5389">
            <w:pPr>
              <w:spacing w:line="240" w:lineRule="auto"/>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8.1.20.04</w:t>
            </w:r>
          </w:p>
        </w:tc>
        <w:tc>
          <w:tcPr>
            <w:tcW w:w="339" w:type="pct"/>
            <w:noWrap/>
            <w:vAlign w:val="center"/>
            <w:hideMark/>
          </w:tcPr>
          <w:p w14:paraId="68CD333B" w14:textId="77777777" w:rsidR="00593BFD" w:rsidRPr="00951AB1" w:rsidRDefault="00593BFD" w:rsidP="000A5389">
            <w:pPr>
              <w:spacing w:line="240" w:lineRule="auto"/>
              <w:jc w:val="center"/>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Db</w:t>
            </w:r>
          </w:p>
        </w:tc>
        <w:tc>
          <w:tcPr>
            <w:tcW w:w="2199" w:type="pct"/>
            <w:vAlign w:val="center"/>
            <w:hideMark/>
          </w:tcPr>
          <w:p w14:paraId="23334F94" w14:textId="77777777" w:rsidR="00593BFD" w:rsidRPr="00951AB1" w:rsidRDefault="00593BFD" w:rsidP="000A5389">
            <w:pPr>
              <w:spacing w:line="240" w:lineRule="auto"/>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Administrativas</w:t>
            </w:r>
          </w:p>
        </w:tc>
        <w:tc>
          <w:tcPr>
            <w:tcW w:w="1188" w:type="pct"/>
            <w:noWrap/>
            <w:vAlign w:val="center"/>
            <w:hideMark/>
          </w:tcPr>
          <w:p w14:paraId="02809EE3" w14:textId="77777777" w:rsidR="00593BFD" w:rsidRPr="00951AB1" w:rsidRDefault="00593BFD"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 xml:space="preserve">682.819.298.978 </w:t>
            </w:r>
          </w:p>
        </w:tc>
        <w:tc>
          <w:tcPr>
            <w:tcW w:w="813" w:type="pct"/>
            <w:noWrap/>
            <w:vAlign w:val="center"/>
            <w:hideMark/>
          </w:tcPr>
          <w:p w14:paraId="1B5C0DD5" w14:textId="77777777" w:rsidR="00593BFD" w:rsidRPr="00951AB1" w:rsidRDefault="00593BFD" w:rsidP="000A5389">
            <w:pPr>
              <w:spacing w:line="240" w:lineRule="auto"/>
              <w:jc w:val="center"/>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52</w:t>
            </w:r>
          </w:p>
        </w:tc>
      </w:tr>
      <w:tr w:rsidR="004D48A0" w:rsidRPr="00951AB1" w14:paraId="5FB419FA" w14:textId="77777777" w:rsidTr="002340B1">
        <w:trPr>
          <w:trHeight w:val="300"/>
        </w:trPr>
        <w:tc>
          <w:tcPr>
            <w:tcW w:w="462" w:type="pct"/>
            <w:noWrap/>
            <w:vAlign w:val="center"/>
            <w:hideMark/>
          </w:tcPr>
          <w:p w14:paraId="41EF249B" w14:textId="77777777" w:rsidR="00593BFD" w:rsidRPr="00951AB1" w:rsidRDefault="00593BFD" w:rsidP="000A5389">
            <w:pPr>
              <w:spacing w:line="240" w:lineRule="auto"/>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8.1.20.90</w:t>
            </w:r>
          </w:p>
        </w:tc>
        <w:tc>
          <w:tcPr>
            <w:tcW w:w="339" w:type="pct"/>
            <w:noWrap/>
            <w:vAlign w:val="center"/>
            <w:hideMark/>
          </w:tcPr>
          <w:p w14:paraId="0E5C3603" w14:textId="77777777" w:rsidR="00593BFD" w:rsidRPr="00951AB1" w:rsidRDefault="00593BFD" w:rsidP="000A5389">
            <w:pPr>
              <w:spacing w:line="240" w:lineRule="auto"/>
              <w:jc w:val="center"/>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Db</w:t>
            </w:r>
          </w:p>
        </w:tc>
        <w:tc>
          <w:tcPr>
            <w:tcW w:w="2199" w:type="pct"/>
            <w:vAlign w:val="center"/>
            <w:hideMark/>
          </w:tcPr>
          <w:p w14:paraId="0290D38E" w14:textId="77777777" w:rsidR="00593BFD" w:rsidRPr="00951AB1" w:rsidRDefault="00593BFD" w:rsidP="000A5389">
            <w:pPr>
              <w:spacing w:line="240" w:lineRule="auto"/>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Otros litigios y mecanismos alternativos de solución de conflictos</w:t>
            </w:r>
          </w:p>
        </w:tc>
        <w:tc>
          <w:tcPr>
            <w:tcW w:w="1188" w:type="pct"/>
            <w:noWrap/>
            <w:vAlign w:val="center"/>
            <w:hideMark/>
          </w:tcPr>
          <w:p w14:paraId="0910A67C" w14:textId="77777777" w:rsidR="00593BFD" w:rsidRPr="00951AB1" w:rsidRDefault="00593BFD"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 xml:space="preserve">152.477.823.091 </w:t>
            </w:r>
          </w:p>
        </w:tc>
        <w:tc>
          <w:tcPr>
            <w:tcW w:w="813" w:type="pct"/>
            <w:noWrap/>
            <w:vAlign w:val="center"/>
            <w:hideMark/>
          </w:tcPr>
          <w:p w14:paraId="5ECFA9DB" w14:textId="77777777" w:rsidR="00593BFD" w:rsidRPr="00951AB1" w:rsidRDefault="00593BFD" w:rsidP="000A5389">
            <w:pPr>
              <w:spacing w:line="240" w:lineRule="auto"/>
              <w:jc w:val="center"/>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3</w:t>
            </w:r>
          </w:p>
        </w:tc>
      </w:tr>
      <w:tr w:rsidR="004D48A0" w:rsidRPr="00951AB1" w14:paraId="5E90A4DE" w14:textId="77777777" w:rsidTr="002340B1">
        <w:trPr>
          <w:trHeight w:val="300"/>
        </w:trPr>
        <w:tc>
          <w:tcPr>
            <w:tcW w:w="462" w:type="pct"/>
            <w:noWrap/>
            <w:vAlign w:val="center"/>
            <w:hideMark/>
          </w:tcPr>
          <w:p w14:paraId="1B557E2A" w14:textId="77777777" w:rsidR="00593BFD" w:rsidRPr="00951AB1" w:rsidRDefault="00593BFD" w:rsidP="000A5389">
            <w:pPr>
              <w:spacing w:line="240" w:lineRule="auto"/>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8.1.20.02</w:t>
            </w:r>
          </w:p>
        </w:tc>
        <w:tc>
          <w:tcPr>
            <w:tcW w:w="339" w:type="pct"/>
            <w:noWrap/>
            <w:vAlign w:val="center"/>
            <w:hideMark/>
          </w:tcPr>
          <w:p w14:paraId="39D5CBC7" w14:textId="77777777" w:rsidR="00593BFD" w:rsidRPr="00951AB1" w:rsidRDefault="00593BFD" w:rsidP="000A5389">
            <w:pPr>
              <w:spacing w:line="240" w:lineRule="auto"/>
              <w:jc w:val="center"/>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Db</w:t>
            </w:r>
          </w:p>
        </w:tc>
        <w:tc>
          <w:tcPr>
            <w:tcW w:w="2199" w:type="pct"/>
            <w:vAlign w:val="center"/>
            <w:hideMark/>
          </w:tcPr>
          <w:p w14:paraId="59F765D0" w14:textId="77777777" w:rsidR="00593BFD" w:rsidRPr="00951AB1" w:rsidRDefault="00593BFD" w:rsidP="000A5389">
            <w:pPr>
              <w:spacing w:line="240" w:lineRule="auto"/>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Laborales</w:t>
            </w:r>
          </w:p>
        </w:tc>
        <w:tc>
          <w:tcPr>
            <w:tcW w:w="1188" w:type="pct"/>
            <w:noWrap/>
            <w:vAlign w:val="center"/>
            <w:hideMark/>
          </w:tcPr>
          <w:p w14:paraId="0309B236" w14:textId="77777777" w:rsidR="00593BFD" w:rsidRPr="00951AB1" w:rsidRDefault="00593BFD"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 xml:space="preserve">38.405.901 </w:t>
            </w:r>
          </w:p>
        </w:tc>
        <w:tc>
          <w:tcPr>
            <w:tcW w:w="813" w:type="pct"/>
            <w:noWrap/>
            <w:vAlign w:val="center"/>
            <w:hideMark/>
          </w:tcPr>
          <w:p w14:paraId="26066655" w14:textId="77777777" w:rsidR="00593BFD" w:rsidRPr="00951AB1" w:rsidRDefault="00593BFD" w:rsidP="000A5389">
            <w:pPr>
              <w:spacing w:line="240" w:lineRule="auto"/>
              <w:jc w:val="center"/>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3</w:t>
            </w:r>
          </w:p>
        </w:tc>
      </w:tr>
      <w:tr w:rsidR="004D48A0" w:rsidRPr="00951AB1" w14:paraId="70C4FB34" w14:textId="77777777" w:rsidTr="002340B1">
        <w:trPr>
          <w:trHeight w:val="285"/>
        </w:trPr>
        <w:tc>
          <w:tcPr>
            <w:tcW w:w="462" w:type="pct"/>
            <w:noWrap/>
            <w:vAlign w:val="center"/>
            <w:hideMark/>
          </w:tcPr>
          <w:p w14:paraId="6E11CF42" w14:textId="77777777" w:rsidR="00593BFD" w:rsidRPr="00951AB1" w:rsidRDefault="00593BFD" w:rsidP="000A5389">
            <w:pPr>
              <w:spacing w:line="240" w:lineRule="auto"/>
              <w:rPr>
                <w:rFonts w:eastAsia="Times New Roman" w:cs="Times New Roman"/>
                <w:b/>
                <w:color w:val="000000"/>
                <w:kern w:val="0"/>
                <w:sz w:val="18"/>
                <w:szCs w:val="18"/>
                <w:lang w:eastAsia="es-CO"/>
                <w14:ligatures w14:val="none"/>
              </w:rPr>
            </w:pPr>
            <w:r w:rsidRPr="00951AB1">
              <w:rPr>
                <w:rFonts w:eastAsia="Times New Roman" w:cs="Times New Roman"/>
                <w:b/>
                <w:color w:val="000000"/>
                <w:kern w:val="0"/>
                <w:sz w:val="18"/>
                <w:szCs w:val="18"/>
                <w:lang w:eastAsia="es-CO"/>
                <w14:ligatures w14:val="none"/>
              </w:rPr>
              <w:t>8.1.90</w:t>
            </w:r>
          </w:p>
        </w:tc>
        <w:tc>
          <w:tcPr>
            <w:tcW w:w="339" w:type="pct"/>
            <w:noWrap/>
            <w:vAlign w:val="center"/>
            <w:hideMark/>
          </w:tcPr>
          <w:p w14:paraId="3C49056C" w14:textId="77777777" w:rsidR="00593BFD" w:rsidRPr="00951AB1" w:rsidRDefault="00593BFD" w:rsidP="000A5389">
            <w:pPr>
              <w:spacing w:line="240" w:lineRule="auto"/>
              <w:jc w:val="center"/>
              <w:rPr>
                <w:rFonts w:eastAsia="Times New Roman" w:cs="Times New Roman"/>
                <w:b/>
                <w:color w:val="000000"/>
                <w:kern w:val="0"/>
                <w:sz w:val="18"/>
                <w:szCs w:val="18"/>
                <w:lang w:eastAsia="es-CO"/>
                <w14:ligatures w14:val="none"/>
              </w:rPr>
            </w:pPr>
            <w:r w:rsidRPr="00951AB1">
              <w:rPr>
                <w:rFonts w:eastAsia="Times New Roman" w:cs="Times New Roman"/>
                <w:b/>
                <w:color w:val="000000"/>
                <w:kern w:val="0"/>
                <w:sz w:val="18"/>
                <w:szCs w:val="18"/>
                <w:lang w:eastAsia="es-CO"/>
                <w14:ligatures w14:val="none"/>
              </w:rPr>
              <w:t>Db</w:t>
            </w:r>
          </w:p>
        </w:tc>
        <w:tc>
          <w:tcPr>
            <w:tcW w:w="2199" w:type="pct"/>
            <w:vAlign w:val="center"/>
            <w:hideMark/>
          </w:tcPr>
          <w:p w14:paraId="5861D02F" w14:textId="77777777" w:rsidR="00593BFD" w:rsidRPr="00951AB1" w:rsidRDefault="00593BFD" w:rsidP="000A5389">
            <w:pPr>
              <w:spacing w:line="240" w:lineRule="auto"/>
              <w:rPr>
                <w:rFonts w:eastAsia="Times New Roman" w:cs="Times New Roman"/>
                <w:b/>
                <w:color w:val="000000"/>
                <w:kern w:val="0"/>
                <w:sz w:val="18"/>
                <w:szCs w:val="18"/>
                <w:lang w:eastAsia="es-CO"/>
                <w14:ligatures w14:val="none"/>
              </w:rPr>
            </w:pPr>
            <w:r w:rsidRPr="00951AB1">
              <w:rPr>
                <w:rFonts w:eastAsia="Times New Roman" w:cs="Times New Roman"/>
                <w:b/>
                <w:color w:val="000000"/>
                <w:kern w:val="0"/>
                <w:sz w:val="18"/>
                <w:szCs w:val="18"/>
                <w:lang w:eastAsia="es-CO"/>
                <w14:ligatures w14:val="none"/>
              </w:rPr>
              <w:t>Otros activos contingentes</w:t>
            </w:r>
          </w:p>
        </w:tc>
        <w:tc>
          <w:tcPr>
            <w:tcW w:w="1188" w:type="pct"/>
            <w:noWrap/>
            <w:vAlign w:val="center"/>
            <w:hideMark/>
          </w:tcPr>
          <w:p w14:paraId="3B7C6DA5" w14:textId="77777777" w:rsidR="00593BFD" w:rsidRPr="00951AB1" w:rsidRDefault="00593BFD" w:rsidP="000A5389">
            <w:pPr>
              <w:spacing w:line="240" w:lineRule="auto"/>
              <w:jc w:val="right"/>
              <w:rPr>
                <w:rFonts w:eastAsia="Times New Roman" w:cs="Times New Roman"/>
                <w:b/>
                <w:color w:val="000000"/>
                <w:kern w:val="0"/>
                <w:sz w:val="18"/>
                <w:szCs w:val="18"/>
                <w:lang w:eastAsia="es-CO"/>
                <w14:ligatures w14:val="none"/>
              </w:rPr>
            </w:pPr>
            <w:r w:rsidRPr="00951AB1">
              <w:rPr>
                <w:rFonts w:eastAsia="Times New Roman" w:cs="Times New Roman"/>
                <w:b/>
                <w:color w:val="000000"/>
                <w:kern w:val="0"/>
                <w:sz w:val="18"/>
                <w:szCs w:val="18"/>
                <w:lang w:eastAsia="es-CO"/>
                <w14:ligatures w14:val="none"/>
              </w:rPr>
              <w:t xml:space="preserve">16.592.000.000,0 </w:t>
            </w:r>
          </w:p>
        </w:tc>
        <w:tc>
          <w:tcPr>
            <w:tcW w:w="813" w:type="pct"/>
            <w:noWrap/>
            <w:vAlign w:val="center"/>
            <w:hideMark/>
          </w:tcPr>
          <w:p w14:paraId="2F87333A" w14:textId="77777777" w:rsidR="00593BFD" w:rsidRPr="00951AB1" w:rsidRDefault="00593BFD" w:rsidP="000A5389">
            <w:pPr>
              <w:spacing w:line="240" w:lineRule="auto"/>
              <w:jc w:val="center"/>
              <w:rPr>
                <w:rFonts w:eastAsia="Times New Roman" w:cs="Times New Roman"/>
                <w:b/>
                <w:color w:val="000000"/>
                <w:kern w:val="0"/>
                <w:sz w:val="18"/>
                <w:szCs w:val="18"/>
                <w:lang w:eastAsia="es-CO"/>
                <w14:ligatures w14:val="none"/>
              </w:rPr>
            </w:pPr>
            <w:r w:rsidRPr="00951AB1">
              <w:rPr>
                <w:rFonts w:eastAsia="Times New Roman" w:cs="Times New Roman"/>
                <w:b/>
                <w:color w:val="000000"/>
                <w:kern w:val="0"/>
                <w:sz w:val="18"/>
                <w:szCs w:val="18"/>
                <w:lang w:eastAsia="es-CO"/>
                <w14:ligatures w14:val="none"/>
              </w:rPr>
              <w:t>0</w:t>
            </w:r>
          </w:p>
        </w:tc>
      </w:tr>
      <w:tr w:rsidR="004D48A0" w:rsidRPr="00951AB1" w14:paraId="20BD8092" w14:textId="77777777" w:rsidTr="002340B1">
        <w:trPr>
          <w:trHeight w:val="300"/>
        </w:trPr>
        <w:tc>
          <w:tcPr>
            <w:tcW w:w="462" w:type="pct"/>
            <w:noWrap/>
            <w:vAlign w:val="center"/>
            <w:hideMark/>
          </w:tcPr>
          <w:p w14:paraId="4FE5F080" w14:textId="77777777" w:rsidR="00593BFD" w:rsidRPr="00951AB1" w:rsidRDefault="00593BFD" w:rsidP="000A5389">
            <w:pPr>
              <w:spacing w:line="240" w:lineRule="auto"/>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8.1.90.90</w:t>
            </w:r>
          </w:p>
        </w:tc>
        <w:tc>
          <w:tcPr>
            <w:tcW w:w="339" w:type="pct"/>
            <w:noWrap/>
            <w:vAlign w:val="center"/>
            <w:hideMark/>
          </w:tcPr>
          <w:p w14:paraId="43484D05" w14:textId="77777777" w:rsidR="00593BFD" w:rsidRPr="00951AB1" w:rsidRDefault="00593BFD" w:rsidP="000A5389">
            <w:pPr>
              <w:spacing w:line="240" w:lineRule="auto"/>
              <w:jc w:val="center"/>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Db</w:t>
            </w:r>
          </w:p>
        </w:tc>
        <w:tc>
          <w:tcPr>
            <w:tcW w:w="2199" w:type="pct"/>
            <w:vAlign w:val="center"/>
            <w:hideMark/>
          </w:tcPr>
          <w:p w14:paraId="47BF8F95" w14:textId="77777777" w:rsidR="00593BFD" w:rsidRPr="00951AB1" w:rsidRDefault="00593BFD" w:rsidP="000A5389">
            <w:pPr>
              <w:spacing w:line="240" w:lineRule="auto"/>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Otros activos contingentes</w:t>
            </w:r>
          </w:p>
        </w:tc>
        <w:tc>
          <w:tcPr>
            <w:tcW w:w="1188" w:type="pct"/>
            <w:noWrap/>
            <w:vAlign w:val="center"/>
            <w:hideMark/>
          </w:tcPr>
          <w:p w14:paraId="1AF42E02" w14:textId="77777777" w:rsidR="00593BFD" w:rsidRPr="00951AB1" w:rsidRDefault="00593BFD"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 xml:space="preserve">16.592.000.000,0 </w:t>
            </w:r>
          </w:p>
        </w:tc>
        <w:tc>
          <w:tcPr>
            <w:tcW w:w="813" w:type="pct"/>
            <w:noWrap/>
            <w:vAlign w:val="center"/>
            <w:hideMark/>
          </w:tcPr>
          <w:p w14:paraId="2495C544" w14:textId="77777777" w:rsidR="00593BFD" w:rsidRPr="00951AB1" w:rsidRDefault="00593BFD" w:rsidP="000A5389">
            <w:pPr>
              <w:spacing w:line="240" w:lineRule="auto"/>
              <w:jc w:val="center"/>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0</w:t>
            </w:r>
          </w:p>
        </w:tc>
      </w:tr>
    </w:tbl>
    <w:p w14:paraId="15E1D36D" w14:textId="59FB9C57" w:rsidR="00163E88" w:rsidRPr="00951AB1" w:rsidRDefault="00163E88" w:rsidP="000A5389">
      <w:pPr>
        <w:spacing w:line="240" w:lineRule="auto"/>
        <w:rPr>
          <w:rFonts w:cs="Times New Roman"/>
          <w:sz w:val="14"/>
          <w:szCs w:val="14"/>
        </w:rPr>
      </w:pPr>
      <w:r w:rsidRPr="00951AB1">
        <w:rPr>
          <w:rFonts w:cs="Times New Roman"/>
          <w:sz w:val="14"/>
          <w:szCs w:val="14"/>
        </w:rPr>
        <w:t xml:space="preserve">Cifras expresadas en pesos </w:t>
      </w:r>
    </w:p>
    <w:p w14:paraId="1186AC3A" w14:textId="0B8240D4" w:rsidR="006C6D83" w:rsidRPr="00951AB1" w:rsidRDefault="006C6D83" w:rsidP="000A5389">
      <w:pPr>
        <w:spacing w:line="240" w:lineRule="auto"/>
        <w:rPr>
          <w:rFonts w:eastAsia="Times New Roman" w:cs="Times New Roman"/>
          <w:i/>
          <w:szCs w:val="24"/>
        </w:rPr>
      </w:pPr>
    </w:p>
    <w:p w14:paraId="11280E51" w14:textId="5A92D65A" w:rsidR="1C6FD584" w:rsidRPr="00951AB1" w:rsidRDefault="468C9B45" w:rsidP="000A5389">
      <w:pPr>
        <w:spacing w:line="240" w:lineRule="auto"/>
        <w:rPr>
          <w:rFonts w:cs="Times New Roman"/>
        </w:rPr>
      </w:pPr>
      <w:bookmarkStart w:id="707" w:name="_1770122420"/>
      <w:bookmarkStart w:id="708" w:name="_1770135587"/>
      <w:bookmarkStart w:id="709" w:name="_1770137397"/>
      <w:bookmarkStart w:id="710" w:name="_1770137688"/>
      <w:bookmarkStart w:id="711" w:name="_1770137825"/>
      <w:bookmarkStart w:id="712" w:name="_1770137989"/>
      <w:bookmarkStart w:id="713" w:name="_1770138038"/>
      <w:bookmarkStart w:id="714" w:name="_1770138139"/>
      <w:bookmarkStart w:id="715" w:name="_1770138333"/>
      <w:bookmarkEnd w:id="707"/>
      <w:bookmarkEnd w:id="708"/>
      <w:bookmarkEnd w:id="709"/>
      <w:bookmarkEnd w:id="710"/>
      <w:bookmarkEnd w:id="711"/>
      <w:bookmarkEnd w:id="712"/>
      <w:bookmarkEnd w:id="713"/>
      <w:bookmarkEnd w:id="714"/>
      <w:bookmarkEnd w:id="715"/>
      <w:r w:rsidRPr="00951AB1">
        <w:rPr>
          <w:rFonts w:eastAsia="Times New Roman" w:cs="Times New Roman"/>
          <w:i/>
          <w:szCs w:val="24"/>
        </w:rPr>
        <w:t>En la Subcuenta Garantías Contractuales</w:t>
      </w:r>
      <w:r w:rsidR="002340B1" w:rsidRPr="00951AB1">
        <w:rPr>
          <w:rFonts w:eastAsia="Times New Roman" w:cs="Times New Roman"/>
          <w:szCs w:val="24"/>
        </w:rPr>
        <w:t>:</w:t>
      </w:r>
      <w:r w:rsidRPr="00951AB1">
        <w:rPr>
          <w:rFonts w:eastAsia="Times New Roman" w:cs="Times New Roman"/>
          <w:szCs w:val="24"/>
        </w:rPr>
        <w:t xml:space="preserve"> se registran los aportes pendientes de giro al Fondo de Contingencias de las Entidades Estatales – FCEE, con corte a 31 de diciembre de 2025 que fueron reportadas por la Fiduprevisora. </w:t>
      </w:r>
    </w:p>
    <w:p w14:paraId="1755E585" w14:textId="34FE0BE4" w:rsidR="1C6FD584" w:rsidRPr="00951AB1" w:rsidRDefault="468C9B45" w:rsidP="000A5389">
      <w:pPr>
        <w:spacing w:line="240" w:lineRule="auto"/>
        <w:ind w:left="-20" w:right="-20"/>
        <w:rPr>
          <w:rFonts w:cs="Times New Roman"/>
        </w:rPr>
      </w:pPr>
      <w:r w:rsidRPr="00951AB1">
        <w:rPr>
          <w:rFonts w:eastAsia="Times New Roman" w:cs="Times New Roman"/>
          <w:b/>
          <w:bCs/>
          <w:szCs w:val="24"/>
        </w:rPr>
        <w:t xml:space="preserve"> </w:t>
      </w:r>
    </w:p>
    <w:tbl>
      <w:tblPr>
        <w:tblW w:w="5000" w:type="pct"/>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CellMar>
          <w:left w:w="70" w:type="dxa"/>
          <w:right w:w="70" w:type="dxa"/>
        </w:tblCellMar>
        <w:tblLook w:val="04A0" w:firstRow="1" w:lastRow="0" w:firstColumn="1" w:lastColumn="0" w:noHBand="0" w:noVBand="1"/>
      </w:tblPr>
      <w:tblGrid>
        <w:gridCol w:w="4248"/>
        <w:gridCol w:w="4580"/>
      </w:tblGrid>
      <w:tr w:rsidR="00E86B94" w:rsidRPr="00951AB1" w14:paraId="726026C5" w14:textId="77777777" w:rsidTr="003D4F03">
        <w:trPr>
          <w:trHeight w:val="375"/>
        </w:trPr>
        <w:tc>
          <w:tcPr>
            <w:tcW w:w="2406" w:type="pct"/>
            <w:vMerge w:val="restart"/>
            <w:vAlign w:val="center"/>
            <w:hideMark/>
          </w:tcPr>
          <w:p w14:paraId="2D627BC9" w14:textId="77777777" w:rsidR="00E86B94" w:rsidRPr="00951AB1" w:rsidRDefault="00E86B94" w:rsidP="000A5389">
            <w:pPr>
              <w:spacing w:line="240" w:lineRule="auto"/>
              <w:jc w:val="center"/>
              <w:rPr>
                <w:rFonts w:eastAsia="Times New Roman" w:cs="Times New Roman"/>
                <w:b/>
                <w:bCs/>
                <w:color w:val="000000"/>
                <w:kern w:val="0"/>
                <w:sz w:val="20"/>
                <w:szCs w:val="20"/>
                <w:lang w:eastAsia="es-CO"/>
                <w14:ligatures w14:val="none"/>
              </w:rPr>
            </w:pPr>
            <w:r w:rsidRPr="00951AB1">
              <w:rPr>
                <w:rFonts w:eastAsia="Times New Roman" w:cs="Times New Roman"/>
                <w:b/>
                <w:bCs/>
                <w:color w:val="000000"/>
                <w:kern w:val="0"/>
                <w:sz w:val="20"/>
                <w:szCs w:val="20"/>
                <w:lang w:eastAsia="es-CO"/>
                <w14:ligatures w14:val="none"/>
              </w:rPr>
              <w:t>AÑO DE INCUMPLIMIENTO</w:t>
            </w:r>
          </w:p>
        </w:tc>
        <w:tc>
          <w:tcPr>
            <w:tcW w:w="2594" w:type="pct"/>
            <w:vAlign w:val="center"/>
            <w:hideMark/>
          </w:tcPr>
          <w:p w14:paraId="36338ACA" w14:textId="77777777" w:rsidR="00E86B94" w:rsidRPr="00951AB1" w:rsidRDefault="00E86B94" w:rsidP="000A5389">
            <w:pPr>
              <w:spacing w:line="240" w:lineRule="auto"/>
              <w:jc w:val="center"/>
              <w:rPr>
                <w:rFonts w:eastAsia="Times New Roman" w:cs="Times New Roman"/>
                <w:b/>
                <w:bCs/>
                <w:color w:val="000000"/>
                <w:kern w:val="0"/>
                <w:sz w:val="20"/>
                <w:szCs w:val="20"/>
                <w:lang w:eastAsia="es-CO"/>
                <w14:ligatures w14:val="none"/>
              </w:rPr>
            </w:pPr>
            <w:r w:rsidRPr="00951AB1">
              <w:rPr>
                <w:rFonts w:eastAsia="Times New Roman" w:cs="Times New Roman"/>
                <w:b/>
                <w:bCs/>
                <w:color w:val="000000"/>
                <w:kern w:val="0"/>
                <w:sz w:val="20"/>
                <w:szCs w:val="20"/>
                <w:lang w:eastAsia="es-CO"/>
                <w14:ligatures w14:val="none"/>
              </w:rPr>
              <w:t>VALOR APORTES PENDIENTES DE GIRO</w:t>
            </w:r>
          </w:p>
        </w:tc>
      </w:tr>
      <w:tr w:rsidR="00E86B94" w:rsidRPr="00951AB1" w14:paraId="26C65216" w14:textId="77777777" w:rsidTr="003D4F03">
        <w:trPr>
          <w:trHeight w:val="30"/>
        </w:trPr>
        <w:tc>
          <w:tcPr>
            <w:tcW w:w="2406" w:type="pct"/>
            <w:vMerge/>
            <w:vAlign w:val="center"/>
            <w:hideMark/>
          </w:tcPr>
          <w:p w14:paraId="6DBC4707" w14:textId="77777777" w:rsidR="00E86B94" w:rsidRPr="00951AB1" w:rsidRDefault="00E86B94" w:rsidP="000A5389">
            <w:pPr>
              <w:spacing w:line="240" w:lineRule="auto"/>
              <w:rPr>
                <w:rFonts w:eastAsia="Times New Roman" w:cs="Times New Roman"/>
                <w:b/>
                <w:bCs/>
                <w:color w:val="000000"/>
                <w:kern w:val="0"/>
                <w:sz w:val="20"/>
                <w:szCs w:val="20"/>
                <w:lang w:eastAsia="es-CO"/>
                <w14:ligatures w14:val="none"/>
              </w:rPr>
            </w:pPr>
          </w:p>
        </w:tc>
        <w:tc>
          <w:tcPr>
            <w:tcW w:w="2594" w:type="pct"/>
            <w:vAlign w:val="center"/>
            <w:hideMark/>
          </w:tcPr>
          <w:p w14:paraId="6AFDD44C" w14:textId="77777777" w:rsidR="00E86B94" w:rsidRPr="00951AB1" w:rsidRDefault="00E86B94" w:rsidP="000A5389">
            <w:pPr>
              <w:spacing w:line="240" w:lineRule="auto"/>
              <w:jc w:val="center"/>
              <w:rPr>
                <w:rFonts w:eastAsia="Times New Roman" w:cs="Times New Roman"/>
                <w:b/>
                <w:bCs/>
                <w:color w:val="000000"/>
                <w:kern w:val="0"/>
                <w:sz w:val="20"/>
                <w:szCs w:val="20"/>
                <w:lang w:eastAsia="es-CO"/>
                <w14:ligatures w14:val="none"/>
              </w:rPr>
            </w:pPr>
            <w:r w:rsidRPr="00951AB1">
              <w:rPr>
                <w:rFonts w:eastAsia="Times New Roman" w:cs="Times New Roman"/>
                <w:b/>
                <w:bCs/>
                <w:color w:val="000000"/>
                <w:kern w:val="0"/>
                <w:sz w:val="20"/>
                <w:szCs w:val="20"/>
                <w:lang w:eastAsia="es-CO"/>
                <w14:ligatures w14:val="none"/>
              </w:rPr>
              <w:t xml:space="preserve"> (DÉFICIT FCEE A 31 - DIC - 2025)</w:t>
            </w:r>
          </w:p>
        </w:tc>
      </w:tr>
      <w:tr w:rsidR="00E86B94" w:rsidRPr="00951AB1" w14:paraId="1B6B51C1" w14:textId="77777777" w:rsidTr="003D4F03">
        <w:trPr>
          <w:trHeight w:val="293"/>
        </w:trPr>
        <w:tc>
          <w:tcPr>
            <w:tcW w:w="2406" w:type="pct"/>
            <w:vAlign w:val="center"/>
            <w:hideMark/>
          </w:tcPr>
          <w:p w14:paraId="2147CDD1" w14:textId="77777777" w:rsidR="00E86B94" w:rsidRPr="00951AB1" w:rsidRDefault="00E86B94" w:rsidP="000A5389">
            <w:pPr>
              <w:spacing w:line="240" w:lineRule="auto"/>
              <w:jc w:val="center"/>
              <w:rPr>
                <w:rFonts w:eastAsia="Times New Roman" w:cs="Times New Roman"/>
                <w:color w:val="000000"/>
                <w:kern w:val="0"/>
                <w:sz w:val="20"/>
                <w:szCs w:val="20"/>
                <w:lang w:eastAsia="es-CO"/>
                <w14:ligatures w14:val="none"/>
              </w:rPr>
            </w:pPr>
            <w:r w:rsidRPr="00951AB1">
              <w:rPr>
                <w:rFonts w:eastAsia="Times New Roman" w:cs="Times New Roman"/>
                <w:color w:val="000000"/>
                <w:kern w:val="0"/>
                <w:sz w:val="20"/>
                <w:szCs w:val="20"/>
                <w:lang w:eastAsia="es-CO"/>
                <w14:ligatures w14:val="none"/>
              </w:rPr>
              <w:t>2025</w:t>
            </w:r>
          </w:p>
        </w:tc>
        <w:tc>
          <w:tcPr>
            <w:tcW w:w="2594" w:type="pct"/>
            <w:vAlign w:val="center"/>
            <w:hideMark/>
          </w:tcPr>
          <w:p w14:paraId="5AAF8AC3" w14:textId="77777777" w:rsidR="00E86B94" w:rsidRPr="00951AB1" w:rsidRDefault="00E86B94" w:rsidP="000A5389">
            <w:pPr>
              <w:spacing w:line="240" w:lineRule="auto"/>
              <w:jc w:val="right"/>
              <w:rPr>
                <w:rFonts w:eastAsia="Times New Roman" w:cs="Times New Roman"/>
                <w:color w:val="000000"/>
                <w:kern w:val="0"/>
                <w:sz w:val="20"/>
                <w:szCs w:val="20"/>
                <w:lang w:eastAsia="es-CO"/>
                <w14:ligatures w14:val="none"/>
              </w:rPr>
            </w:pPr>
            <w:r w:rsidRPr="00951AB1">
              <w:rPr>
                <w:rFonts w:eastAsia="Times New Roman" w:cs="Times New Roman"/>
                <w:color w:val="000000"/>
                <w:kern w:val="0"/>
                <w:sz w:val="20"/>
                <w:szCs w:val="20"/>
                <w:lang w:eastAsia="es-CO"/>
                <w14:ligatures w14:val="none"/>
              </w:rPr>
              <w:t>2.782.543.743.684</w:t>
            </w:r>
          </w:p>
        </w:tc>
      </w:tr>
      <w:tr w:rsidR="00E86B94" w:rsidRPr="00951AB1" w14:paraId="3380C1BF" w14:textId="77777777" w:rsidTr="003D4F03">
        <w:trPr>
          <w:trHeight w:val="293"/>
        </w:trPr>
        <w:tc>
          <w:tcPr>
            <w:tcW w:w="2406" w:type="pct"/>
            <w:vAlign w:val="center"/>
            <w:hideMark/>
          </w:tcPr>
          <w:p w14:paraId="7F2C16B3" w14:textId="77777777" w:rsidR="00E86B94" w:rsidRPr="00951AB1" w:rsidRDefault="00E86B94" w:rsidP="000A5389">
            <w:pPr>
              <w:spacing w:line="240" w:lineRule="auto"/>
              <w:jc w:val="center"/>
              <w:rPr>
                <w:rFonts w:eastAsia="Times New Roman" w:cs="Times New Roman"/>
                <w:color w:val="000000"/>
                <w:kern w:val="0"/>
                <w:sz w:val="20"/>
                <w:szCs w:val="20"/>
                <w:lang w:eastAsia="es-CO"/>
                <w14:ligatures w14:val="none"/>
              </w:rPr>
            </w:pPr>
            <w:r w:rsidRPr="00951AB1">
              <w:rPr>
                <w:rFonts w:eastAsia="Times New Roman" w:cs="Times New Roman"/>
                <w:color w:val="000000"/>
                <w:kern w:val="0"/>
                <w:sz w:val="20"/>
                <w:szCs w:val="20"/>
                <w:lang w:eastAsia="es-CO"/>
                <w14:ligatures w14:val="none"/>
              </w:rPr>
              <w:t>2024</w:t>
            </w:r>
          </w:p>
        </w:tc>
        <w:tc>
          <w:tcPr>
            <w:tcW w:w="2594" w:type="pct"/>
            <w:vAlign w:val="center"/>
            <w:hideMark/>
          </w:tcPr>
          <w:p w14:paraId="596FDD11" w14:textId="77777777" w:rsidR="00E86B94" w:rsidRPr="00951AB1" w:rsidRDefault="00E86B94" w:rsidP="000A5389">
            <w:pPr>
              <w:spacing w:line="240" w:lineRule="auto"/>
              <w:jc w:val="right"/>
              <w:rPr>
                <w:rFonts w:eastAsia="Times New Roman" w:cs="Times New Roman"/>
                <w:color w:val="000000"/>
                <w:kern w:val="0"/>
                <w:sz w:val="20"/>
                <w:szCs w:val="20"/>
                <w:lang w:eastAsia="es-CO"/>
                <w14:ligatures w14:val="none"/>
              </w:rPr>
            </w:pPr>
            <w:r w:rsidRPr="00951AB1">
              <w:rPr>
                <w:rFonts w:eastAsia="Times New Roman" w:cs="Times New Roman"/>
                <w:color w:val="000000"/>
                <w:kern w:val="0"/>
                <w:sz w:val="20"/>
                <w:szCs w:val="20"/>
                <w:lang w:eastAsia="es-CO"/>
                <w14:ligatures w14:val="none"/>
              </w:rPr>
              <w:t>1.815.384.162.576</w:t>
            </w:r>
          </w:p>
        </w:tc>
      </w:tr>
      <w:tr w:rsidR="00E86B94" w:rsidRPr="00951AB1" w14:paraId="093E1973" w14:textId="77777777" w:rsidTr="003D4F03">
        <w:trPr>
          <w:trHeight w:val="293"/>
        </w:trPr>
        <w:tc>
          <w:tcPr>
            <w:tcW w:w="2406" w:type="pct"/>
            <w:vAlign w:val="center"/>
            <w:hideMark/>
          </w:tcPr>
          <w:p w14:paraId="6D959DCB" w14:textId="77777777" w:rsidR="00E86B94" w:rsidRPr="00951AB1" w:rsidRDefault="00E86B94" w:rsidP="000A5389">
            <w:pPr>
              <w:spacing w:line="240" w:lineRule="auto"/>
              <w:jc w:val="center"/>
              <w:rPr>
                <w:rFonts w:eastAsia="Times New Roman" w:cs="Times New Roman"/>
                <w:color w:val="000000"/>
                <w:kern w:val="0"/>
                <w:sz w:val="20"/>
                <w:szCs w:val="20"/>
                <w:lang w:eastAsia="es-CO"/>
                <w14:ligatures w14:val="none"/>
              </w:rPr>
            </w:pPr>
            <w:r w:rsidRPr="00951AB1">
              <w:rPr>
                <w:rFonts w:eastAsia="Times New Roman" w:cs="Times New Roman"/>
                <w:color w:val="000000"/>
                <w:kern w:val="0"/>
                <w:sz w:val="20"/>
                <w:szCs w:val="20"/>
                <w:lang w:eastAsia="es-CO"/>
                <w14:ligatures w14:val="none"/>
              </w:rPr>
              <w:t>2023</w:t>
            </w:r>
          </w:p>
        </w:tc>
        <w:tc>
          <w:tcPr>
            <w:tcW w:w="2594" w:type="pct"/>
            <w:vAlign w:val="center"/>
            <w:hideMark/>
          </w:tcPr>
          <w:p w14:paraId="1FD353AF" w14:textId="77777777" w:rsidR="00E86B94" w:rsidRPr="00951AB1" w:rsidRDefault="00E86B94" w:rsidP="000A5389">
            <w:pPr>
              <w:spacing w:line="240" w:lineRule="auto"/>
              <w:jc w:val="right"/>
              <w:rPr>
                <w:rFonts w:eastAsia="Times New Roman" w:cs="Times New Roman"/>
                <w:color w:val="000000"/>
                <w:kern w:val="0"/>
                <w:sz w:val="20"/>
                <w:szCs w:val="20"/>
                <w:lang w:eastAsia="es-CO"/>
                <w14:ligatures w14:val="none"/>
              </w:rPr>
            </w:pPr>
            <w:r w:rsidRPr="00951AB1">
              <w:rPr>
                <w:rFonts w:eastAsia="Times New Roman" w:cs="Times New Roman"/>
                <w:color w:val="000000"/>
                <w:kern w:val="0"/>
                <w:sz w:val="20"/>
                <w:szCs w:val="20"/>
                <w:lang w:eastAsia="es-CO"/>
                <w14:ligatures w14:val="none"/>
              </w:rPr>
              <w:t>1.288.149.114.733</w:t>
            </w:r>
          </w:p>
        </w:tc>
      </w:tr>
      <w:tr w:rsidR="00E86B94" w:rsidRPr="00951AB1" w14:paraId="143B5675" w14:textId="77777777" w:rsidTr="003D4F03">
        <w:trPr>
          <w:trHeight w:val="293"/>
        </w:trPr>
        <w:tc>
          <w:tcPr>
            <w:tcW w:w="2406" w:type="pct"/>
            <w:vAlign w:val="center"/>
            <w:hideMark/>
          </w:tcPr>
          <w:p w14:paraId="2E62FF16" w14:textId="77777777" w:rsidR="00E86B94" w:rsidRPr="00951AB1" w:rsidRDefault="00E86B94" w:rsidP="000A5389">
            <w:pPr>
              <w:spacing w:line="240" w:lineRule="auto"/>
              <w:jc w:val="center"/>
              <w:rPr>
                <w:rFonts w:eastAsia="Times New Roman" w:cs="Times New Roman"/>
                <w:color w:val="000000"/>
                <w:kern w:val="0"/>
                <w:sz w:val="20"/>
                <w:szCs w:val="20"/>
                <w:lang w:eastAsia="es-CO"/>
                <w14:ligatures w14:val="none"/>
              </w:rPr>
            </w:pPr>
            <w:r w:rsidRPr="00951AB1">
              <w:rPr>
                <w:rFonts w:eastAsia="Times New Roman" w:cs="Times New Roman"/>
                <w:color w:val="000000"/>
                <w:kern w:val="0"/>
                <w:sz w:val="20"/>
                <w:szCs w:val="20"/>
                <w:lang w:eastAsia="es-CO"/>
                <w14:ligatures w14:val="none"/>
              </w:rPr>
              <w:t>2022</w:t>
            </w:r>
          </w:p>
        </w:tc>
        <w:tc>
          <w:tcPr>
            <w:tcW w:w="2594" w:type="pct"/>
            <w:vAlign w:val="center"/>
            <w:hideMark/>
          </w:tcPr>
          <w:p w14:paraId="26E0AC36" w14:textId="77777777" w:rsidR="00E86B94" w:rsidRPr="00951AB1" w:rsidRDefault="00E86B94" w:rsidP="000A5389">
            <w:pPr>
              <w:spacing w:line="240" w:lineRule="auto"/>
              <w:jc w:val="right"/>
              <w:rPr>
                <w:rFonts w:eastAsia="Times New Roman" w:cs="Times New Roman"/>
                <w:color w:val="000000"/>
                <w:kern w:val="0"/>
                <w:sz w:val="20"/>
                <w:szCs w:val="20"/>
                <w:lang w:eastAsia="es-CO"/>
                <w14:ligatures w14:val="none"/>
              </w:rPr>
            </w:pPr>
            <w:r w:rsidRPr="00951AB1">
              <w:rPr>
                <w:rFonts w:eastAsia="Times New Roman" w:cs="Times New Roman"/>
                <w:color w:val="000000"/>
                <w:kern w:val="0"/>
                <w:sz w:val="20"/>
                <w:szCs w:val="20"/>
                <w:lang w:eastAsia="es-CO"/>
                <w14:ligatures w14:val="none"/>
              </w:rPr>
              <w:t>386.067.175.789</w:t>
            </w:r>
          </w:p>
        </w:tc>
      </w:tr>
      <w:tr w:rsidR="00E86B94" w:rsidRPr="00951AB1" w14:paraId="67C498A2" w14:textId="77777777" w:rsidTr="003D4F03">
        <w:trPr>
          <w:trHeight w:val="293"/>
        </w:trPr>
        <w:tc>
          <w:tcPr>
            <w:tcW w:w="2406" w:type="pct"/>
            <w:vAlign w:val="center"/>
            <w:hideMark/>
          </w:tcPr>
          <w:p w14:paraId="43707AE1" w14:textId="77777777" w:rsidR="00E86B94" w:rsidRPr="00951AB1" w:rsidRDefault="00E86B94" w:rsidP="000A5389">
            <w:pPr>
              <w:spacing w:line="240" w:lineRule="auto"/>
              <w:jc w:val="center"/>
              <w:rPr>
                <w:rFonts w:eastAsia="Times New Roman" w:cs="Times New Roman"/>
                <w:color w:val="000000"/>
                <w:kern w:val="0"/>
                <w:sz w:val="20"/>
                <w:szCs w:val="20"/>
                <w:lang w:eastAsia="es-CO"/>
                <w14:ligatures w14:val="none"/>
              </w:rPr>
            </w:pPr>
            <w:r w:rsidRPr="00951AB1">
              <w:rPr>
                <w:rFonts w:eastAsia="Times New Roman" w:cs="Times New Roman"/>
                <w:color w:val="000000"/>
                <w:kern w:val="0"/>
                <w:sz w:val="20"/>
                <w:szCs w:val="20"/>
                <w:lang w:eastAsia="es-CO"/>
                <w14:ligatures w14:val="none"/>
              </w:rPr>
              <w:t>2020</w:t>
            </w:r>
          </w:p>
        </w:tc>
        <w:tc>
          <w:tcPr>
            <w:tcW w:w="2594" w:type="pct"/>
            <w:vAlign w:val="center"/>
            <w:hideMark/>
          </w:tcPr>
          <w:p w14:paraId="4D26E24E" w14:textId="77777777" w:rsidR="00E86B94" w:rsidRPr="00951AB1" w:rsidRDefault="00E86B94" w:rsidP="000A5389">
            <w:pPr>
              <w:spacing w:line="240" w:lineRule="auto"/>
              <w:jc w:val="right"/>
              <w:rPr>
                <w:rFonts w:eastAsia="Times New Roman" w:cs="Times New Roman"/>
                <w:color w:val="000000"/>
                <w:kern w:val="0"/>
                <w:sz w:val="20"/>
                <w:szCs w:val="20"/>
                <w:lang w:eastAsia="es-CO"/>
                <w14:ligatures w14:val="none"/>
              </w:rPr>
            </w:pPr>
            <w:r w:rsidRPr="00951AB1">
              <w:rPr>
                <w:rFonts w:eastAsia="Times New Roman" w:cs="Times New Roman"/>
                <w:color w:val="000000"/>
                <w:kern w:val="0"/>
                <w:sz w:val="20"/>
                <w:szCs w:val="20"/>
                <w:lang w:eastAsia="es-CO"/>
                <w14:ligatures w14:val="none"/>
              </w:rPr>
              <w:t>38.635.444.022</w:t>
            </w:r>
          </w:p>
        </w:tc>
      </w:tr>
      <w:tr w:rsidR="00E86B94" w:rsidRPr="00951AB1" w14:paraId="6E765953" w14:textId="77777777" w:rsidTr="003D4F03">
        <w:trPr>
          <w:trHeight w:val="293"/>
        </w:trPr>
        <w:tc>
          <w:tcPr>
            <w:tcW w:w="2406" w:type="pct"/>
            <w:vAlign w:val="center"/>
            <w:hideMark/>
          </w:tcPr>
          <w:p w14:paraId="7C2077EF" w14:textId="77777777" w:rsidR="00E86B94" w:rsidRPr="00951AB1" w:rsidRDefault="00E86B94" w:rsidP="000A5389">
            <w:pPr>
              <w:spacing w:line="240" w:lineRule="auto"/>
              <w:jc w:val="center"/>
              <w:rPr>
                <w:rFonts w:eastAsia="Times New Roman" w:cs="Times New Roman"/>
                <w:color w:val="000000"/>
                <w:kern w:val="0"/>
                <w:sz w:val="20"/>
                <w:szCs w:val="20"/>
                <w:lang w:eastAsia="es-CO"/>
                <w14:ligatures w14:val="none"/>
              </w:rPr>
            </w:pPr>
            <w:r w:rsidRPr="00951AB1">
              <w:rPr>
                <w:rFonts w:eastAsia="Times New Roman" w:cs="Times New Roman"/>
                <w:color w:val="000000"/>
                <w:kern w:val="0"/>
                <w:sz w:val="20"/>
                <w:szCs w:val="20"/>
                <w:lang w:eastAsia="es-CO"/>
                <w14:ligatures w14:val="none"/>
              </w:rPr>
              <w:t>2021</w:t>
            </w:r>
          </w:p>
        </w:tc>
        <w:tc>
          <w:tcPr>
            <w:tcW w:w="2594" w:type="pct"/>
            <w:vAlign w:val="center"/>
            <w:hideMark/>
          </w:tcPr>
          <w:p w14:paraId="04A5FA0C" w14:textId="77777777" w:rsidR="00E86B94" w:rsidRPr="00951AB1" w:rsidRDefault="00E86B94" w:rsidP="000A5389">
            <w:pPr>
              <w:spacing w:line="240" w:lineRule="auto"/>
              <w:jc w:val="right"/>
              <w:rPr>
                <w:rFonts w:eastAsia="Times New Roman" w:cs="Times New Roman"/>
                <w:color w:val="000000"/>
                <w:kern w:val="0"/>
                <w:sz w:val="20"/>
                <w:szCs w:val="20"/>
                <w:lang w:eastAsia="es-CO"/>
                <w14:ligatures w14:val="none"/>
              </w:rPr>
            </w:pPr>
            <w:r w:rsidRPr="00951AB1">
              <w:rPr>
                <w:rFonts w:eastAsia="Times New Roman" w:cs="Times New Roman"/>
                <w:color w:val="000000"/>
                <w:kern w:val="0"/>
                <w:sz w:val="20"/>
                <w:szCs w:val="20"/>
                <w:lang w:eastAsia="es-CO"/>
                <w14:ligatures w14:val="none"/>
              </w:rPr>
              <w:t>25.753.128.891</w:t>
            </w:r>
          </w:p>
        </w:tc>
      </w:tr>
      <w:tr w:rsidR="00E86B94" w:rsidRPr="00951AB1" w14:paraId="33A318CD" w14:textId="77777777" w:rsidTr="003D4F03">
        <w:trPr>
          <w:trHeight w:val="293"/>
        </w:trPr>
        <w:tc>
          <w:tcPr>
            <w:tcW w:w="2406" w:type="pct"/>
            <w:vAlign w:val="center"/>
            <w:hideMark/>
          </w:tcPr>
          <w:p w14:paraId="4D4DC37B" w14:textId="77777777" w:rsidR="00E86B94" w:rsidRPr="00951AB1" w:rsidRDefault="00E86B94" w:rsidP="000A5389">
            <w:pPr>
              <w:spacing w:line="240" w:lineRule="auto"/>
              <w:jc w:val="center"/>
              <w:rPr>
                <w:rFonts w:eastAsia="Times New Roman" w:cs="Times New Roman"/>
                <w:color w:val="000000"/>
                <w:kern w:val="0"/>
                <w:sz w:val="20"/>
                <w:szCs w:val="20"/>
                <w:lang w:eastAsia="es-CO"/>
                <w14:ligatures w14:val="none"/>
              </w:rPr>
            </w:pPr>
            <w:r w:rsidRPr="00951AB1">
              <w:rPr>
                <w:rFonts w:eastAsia="Times New Roman" w:cs="Times New Roman"/>
                <w:color w:val="000000"/>
                <w:kern w:val="0"/>
                <w:sz w:val="20"/>
                <w:szCs w:val="20"/>
                <w:lang w:eastAsia="es-CO"/>
                <w14:ligatures w14:val="none"/>
              </w:rPr>
              <w:t>2019</w:t>
            </w:r>
          </w:p>
        </w:tc>
        <w:tc>
          <w:tcPr>
            <w:tcW w:w="2594" w:type="pct"/>
            <w:vAlign w:val="center"/>
            <w:hideMark/>
          </w:tcPr>
          <w:p w14:paraId="3B51291D" w14:textId="77777777" w:rsidR="00E86B94" w:rsidRPr="00951AB1" w:rsidRDefault="00E86B94" w:rsidP="000A5389">
            <w:pPr>
              <w:spacing w:line="240" w:lineRule="auto"/>
              <w:jc w:val="right"/>
              <w:rPr>
                <w:rFonts w:eastAsia="Times New Roman" w:cs="Times New Roman"/>
                <w:color w:val="000000"/>
                <w:kern w:val="0"/>
                <w:sz w:val="20"/>
                <w:szCs w:val="20"/>
                <w:lang w:eastAsia="es-CO"/>
                <w14:ligatures w14:val="none"/>
              </w:rPr>
            </w:pPr>
            <w:r w:rsidRPr="00951AB1">
              <w:rPr>
                <w:rFonts w:eastAsia="Times New Roman" w:cs="Times New Roman"/>
                <w:color w:val="000000"/>
                <w:kern w:val="0"/>
                <w:sz w:val="20"/>
                <w:szCs w:val="20"/>
                <w:lang w:eastAsia="es-CO"/>
                <w14:ligatures w14:val="none"/>
              </w:rPr>
              <w:t>19.207.031.007</w:t>
            </w:r>
          </w:p>
        </w:tc>
      </w:tr>
      <w:tr w:rsidR="00E86B94" w:rsidRPr="00951AB1" w14:paraId="4569A454" w14:textId="77777777" w:rsidTr="003D4F03">
        <w:trPr>
          <w:trHeight w:val="518"/>
        </w:trPr>
        <w:tc>
          <w:tcPr>
            <w:tcW w:w="2406" w:type="pct"/>
            <w:vAlign w:val="center"/>
            <w:hideMark/>
          </w:tcPr>
          <w:p w14:paraId="12FB2D18" w14:textId="77777777" w:rsidR="00E86B94" w:rsidRPr="00951AB1" w:rsidRDefault="00E86B94" w:rsidP="000A5389">
            <w:pPr>
              <w:spacing w:line="240" w:lineRule="auto"/>
              <w:jc w:val="center"/>
              <w:rPr>
                <w:rFonts w:eastAsia="Times New Roman" w:cs="Times New Roman"/>
                <w:b/>
                <w:bCs/>
                <w:color w:val="000000"/>
                <w:kern w:val="0"/>
                <w:sz w:val="20"/>
                <w:szCs w:val="20"/>
                <w:lang w:eastAsia="es-CO"/>
                <w14:ligatures w14:val="none"/>
              </w:rPr>
            </w:pPr>
            <w:r w:rsidRPr="00951AB1">
              <w:rPr>
                <w:rFonts w:eastAsia="Times New Roman" w:cs="Times New Roman"/>
                <w:b/>
                <w:bCs/>
                <w:color w:val="000000"/>
                <w:kern w:val="0"/>
                <w:sz w:val="20"/>
                <w:szCs w:val="20"/>
                <w:lang w:eastAsia="es-CO"/>
                <w14:ligatures w14:val="none"/>
              </w:rPr>
              <w:t>VALOR TOTAL</w:t>
            </w:r>
          </w:p>
        </w:tc>
        <w:tc>
          <w:tcPr>
            <w:tcW w:w="2594" w:type="pct"/>
            <w:vAlign w:val="center"/>
            <w:hideMark/>
          </w:tcPr>
          <w:p w14:paraId="48FDA32C" w14:textId="77777777" w:rsidR="00E86B94" w:rsidRPr="00951AB1" w:rsidRDefault="00E86B94" w:rsidP="000A5389">
            <w:pPr>
              <w:spacing w:line="240" w:lineRule="auto"/>
              <w:jc w:val="right"/>
              <w:rPr>
                <w:rFonts w:eastAsia="Times New Roman" w:cs="Times New Roman"/>
                <w:b/>
                <w:bCs/>
                <w:color w:val="000000"/>
                <w:kern w:val="0"/>
                <w:sz w:val="20"/>
                <w:szCs w:val="20"/>
                <w:lang w:eastAsia="es-CO"/>
                <w14:ligatures w14:val="none"/>
              </w:rPr>
            </w:pPr>
            <w:r w:rsidRPr="00951AB1">
              <w:rPr>
                <w:rFonts w:eastAsia="Times New Roman" w:cs="Times New Roman"/>
                <w:b/>
                <w:bCs/>
                <w:color w:val="000000"/>
                <w:kern w:val="0"/>
                <w:sz w:val="20"/>
                <w:szCs w:val="20"/>
                <w:lang w:eastAsia="es-CO"/>
                <w14:ligatures w14:val="none"/>
              </w:rPr>
              <w:t>6.355.739.800.701</w:t>
            </w:r>
          </w:p>
        </w:tc>
      </w:tr>
    </w:tbl>
    <w:p w14:paraId="5FA05CCA" w14:textId="5DDE9CFF" w:rsidR="7968328A" w:rsidRPr="00951AB1" w:rsidRDefault="7968328A" w:rsidP="000A5389">
      <w:pPr>
        <w:spacing w:line="240" w:lineRule="auto"/>
        <w:ind w:left="-20" w:right="-20"/>
        <w:rPr>
          <w:rFonts w:eastAsia="Times New Roman" w:cs="Times New Roman"/>
          <w:szCs w:val="24"/>
        </w:rPr>
      </w:pPr>
    </w:p>
    <w:p w14:paraId="2C0857A8" w14:textId="52AE5049" w:rsidR="1C6FD584" w:rsidRPr="00951AB1" w:rsidRDefault="468C9B45" w:rsidP="000A5389">
      <w:pPr>
        <w:spacing w:line="240" w:lineRule="auto"/>
        <w:ind w:left="-20" w:right="-20"/>
        <w:rPr>
          <w:rFonts w:cs="Times New Roman"/>
        </w:rPr>
      </w:pPr>
      <w:r w:rsidRPr="00951AB1">
        <w:rPr>
          <w:rFonts w:eastAsia="Times New Roman" w:cs="Times New Roman"/>
          <w:szCs w:val="24"/>
        </w:rPr>
        <w:t>En relación con las gestiones realizadas para cubrir la deuda de aportes de giro para la vigencia 2025</w:t>
      </w:r>
      <w:r w:rsidRPr="00951AB1">
        <w:rPr>
          <w:rFonts w:eastAsia="Times New Roman" w:cs="Times New Roman"/>
          <w:i/>
          <w:iCs/>
          <w:szCs w:val="24"/>
        </w:rPr>
        <w:t xml:space="preserve">, </w:t>
      </w:r>
      <w:r w:rsidRPr="00951AB1">
        <w:rPr>
          <w:rFonts w:eastAsia="Times New Roman" w:cs="Times New Roman"/>
          <w:szCs w:val="24"/>
        </w:rPr>
        <w:t>la Vicepresidencia de Riesgos y Entornos indica:</w:t>
      </w:r>
    </w:p>
    <w:p w14:paraId="77F6D1CC" w14:textId="1CBF07A2" w:rsidR="1C6FD584" w:rsidRPr="00951AB1" w:rsidRDefault="468C9B45" w:rsidP="000A5389">
      <w:pPr>
        <w:spacing w:line="240" w:lineRule="auto"/>
        <w:ind w:left="-20" w:right="-20"/>
        <w:rPr>
          <w:rFonts w:cs="Times New Roman"/>
        </w:rPr>
      </w:pPr>
      <w:r w:rsidRPr="00951AB1">
        <w:rPr>
          <w:rFonts w:eastAsia="Times New Roman" w:cs="Times New Roman"/>
          <w:szCs w:val="24"/>
        </w:rPr>
        <w:t xml:space="preserve"> </w:t>
      </w:r>
    </w:p>
    <w:p w14:paraId="76756B68" w14:textId="0E5DF018" w:rsidR="1C6FD584" w:rsidRPr="00951AB1" w:rsidRDefault="468C9B45" w:rsidP="000A5389">
      <w:pPr>
        <w:spacing w:line="240" w:lineRule="auto"/>
        <w:ind w:left="-20" w:right="-20"/>
        <w:rPr>
          <w:rFonts w:cs="Times New Roman"/>
        </w:rPr>
      </w:pPr>
      <w:r w:rsidRPr="00951AB1">
        <w:rPr>
          <w:rFonts w:eastAsia="Times New Roman" w:cs="Times New Roman"/>
          <w:szCs w:val="24"/>
        </w:rPr>
        <w:t xml:space="preserve">Aunque el presupuesto de necesidades de servicio a la deuda estimado en el </w:t>
      </w:r>
      <w:r w:rsidRPr="00951AB1">
        <w:rPr>
          <w:rFonts w:eastAsia="Times New Roman" w:cs="Times New Roman"/>
          <w:i/>
          <w:iCs/>
          <w:szCs w:val="24"/>
        </w:rPr>
        <w:t>“Anteproyecto de presupuesto vigencia 2025 - Rubro del Servicio</w:t>
      </w:r>
      <w:r w:rsidRPr="00951AB1">
        <w:rPr>
          <w:rFonts w:eastAsia="Times New Roman" w:cs="Times New Roman"/>
          <w:szCs w:val="24"/>
        </w:rPr>
        <w:t xml:space="preserve"> </w:t>
      </w:r>
      <w:r w:rsidRPr="00951AB1">
        <w:rPr>
          <w:rFonts w:eastAsia="Times New Roman" w:cs="Times New Roman"/>
          <w:i/>
          <w:iCs/>
          <w:szCs w:val="24"/>
        </w:rPr>
        <w:t xml:space="preserve">de la Deuda” </w:t>
      </w:r>
      <w:r w:rsidRPr="00951AB1">
        <w:rPr>
          <w:rFonts w:eastAsia="Times New Roman" w:cs="Times New Roman"/>
          <w:szCs w:val="24"/>
        </w:rPr>
        <w:t>ascendió a la suma de $7.012.134 millones, mediante Decreto N° 1523 del 18 de diciembre de 2024, “</w:t>
      </w:r>
      <w:r w:rsidRPr="00951AB1">
        <w:rPr>
          <w:rFonts w:eastAsia="Times New Roman" w:cs="Times New Roman"/>
          <w:i/>
          <w:iCs/>
          <w:szCs w:val="24"/>
        </w:rPr>
        <w:t>Por medio del cual de</w:t>
      </w:r>
      <w:r w:rsidRPr="00951AB1">
        <w:rPr>
          <w:rFonts w:eastAsia="Times New Roman" w:cs="Times New Roman"/>
          <w:szCs w:val="24"/>
        </w:rPr>
        <w:t xml:space="preserve"> </w:t>
      </w:r>
      <w:r w:rsidRPr="00951AB1">
        <w:rPr>
          <w:rFonts w:eastAsia="Times New Roman" w:cs="Times New Roman"/>
          <w:i/>
          <w:iCs/>
          <w:szCs w:val="24"/>
        </w:rPr>
        <w:t>decreta el presupuesto de rentas y recursos de capital y el presupuesto</w:t>
      </w:r>
      <w:r w:rsidRPr="00951AB1">
        <w:rPr>
          <w:rFonts w:eastAsia="Times New Roman" w:cs="Times New Roman"/>
          <w:szCs w:val="24"/>
        </w:rPr>
        <w:t xml:space="preserve"> </w:t>
      </w:r>
      <w:r w:rsidRPr="00951AB1">
        <w:rPr>
          <w:rFonts w:eastAsia="Times New Roman" w:cs="Times New Roman"/>
          <w:i/>
          <w:iCs/>
          <w:szCs w:val="24"/>
        </w:rPr>
        <w:t>de gastos para la vigencia fiscal del 1° de enero al 31 de diciembre de</w:t>
      </w:r>
      <w:r w:rsidRPr="00951AB1">
        <w:rPr>
          <w:rFonts w:eastAsia="Times New Roman" w:cs="Times New Roman"/>
          <w:szCs w:val="24"/>
        </w:rPr>
        <w:t xml:space="preserve"> </w:t>
      </w:r>
      <w:r w:rsidRPr="00951AB1">
        <w:rPr>
          <w:rFonts w:eastAsia="Times New Roman" w:cs="Times New Roman"/>
          <w:i/>
          <w:iCs/>
          <w:szCs w:val="24"/>
        </w:rPr>
        <w:t>2025.</w:t>
      </w:r>
      <w:r w:rsidRPr="00951AB1">
        <w:rPr>
          <w:rFonts w:eastAsia="Times New Roman" w:cs="Times New Roman"/>
          <w:szCs w:val="24"/>
        </w:rPr>
        <w:t>” se apropió para la ANI la suma de $2.013.839.757.091 para atender las necesidades de servicio a la deuda pública.</w:t>
      </w:r>
    </w:p>
    <w:p w14:paraId="611BDE10" w14:textId="168FECA4" w:rsidR="1C6FD584" w:rsidRPr="00951AB1" w:rsidRDefault="468C9B45" w:rsidP="000A5389">
      <w:pPr>
        <w:spacing w:line="240" w:lineRule="auto"/>
        <w:ind w:left="-20" w:right="-20"/>
        <w:rPr>
          <w:rFonts w:cs="Times New Roman"/>
        </w:rPr>
      </w:pPr>
      <w:r w:rsidRPr="00951AB1">
        <w:rPr>
          <w:rFonts w:eastAsia="Times New Roman" w:cs="Times New Roman"/>
          <w:szCs w:val="24"/>
        </w:rPr>
        <w:t xml:space="preserve"> </w:t>
      </w:r>
    </w:p>
    <w:p w14:paraId="2B4F311A" w14:textId="5891C9A8" w:rsidR="1C6FD584" w:rsidRPr="00951AB1" w:rsidRDefault="468C9B45" w:rsidP="000A5389">
      <w:pPr>
        <w:spacing w:line="240" w:lineRule="auto"/>
        <w:ind w:left="-20" w:right="-20"/>
        <w:rPr>
          <w:rFonts w:cs="Times New Roman"/>
        </w:rPr>
      </w:pPr>
      <w:r w:rsidRPr="00951AB1">
        <w:rPr>
          <w:rFonts w:eastAsia="Times New Roman" w:cs="Times New Roman"/>
          <w:szCs w:val="24"/>
        </w:rPr>
        <w:lastRenderedPageBreak/>
        <w:t xml:space="preserve">Posteriormente, por medio del Decreto 1621 del 30 de diciembre de 2024 </w:t>
      </w:r>
      <w:r w:rsidRPr="00951AB1">
        <w:rPr>
          <w:rFonts w:eastAsia="Times New Roman" w:cs="Times New Roman"/>
          <w:i/>
          <w:iCs/>
          <w:szCs w:val="24"/>
        </w:rPr>
        <w:t>“Por el cual se liquida el Presupuesto General de la Nación para la</w:t>
      </w:r>
      <w:r w:rsidRPr="00951AB1">
        <w:rPr>
          <w:rFonts w:eastAsia="Times New Roman" w:cs="Times New Roman"/>
          <w:szCs w:val="24"/>
        </w:rPr>
        <w:t xml:space="preserve"> </w:t>
      </w:r>
      <w:r w:rsidRPr="00951AB1">
        <w:rPr>
          <w:rFonts w:eastAsia="Times New Roman" w:cs="Times New Roman"/>
          <w:i/>
          <w:iCs/>
          <w:szCs w:val="24"/>
        </w:rPr>
        <w:t>vigencia fiscal de 2025, se detallan las apropiaciones y se clasifican y</w:t>
      </w:r>
      <w:r w:rsidRPr="00951AB1">
        <w:rPr>
          <w:rFonts w:eastAsia="Times New Roman" w:cs="Times New Roman"/>
          <w:szCs w:val="24"/>
        </w:rPr>
        <w:t xml:space="preserve"> </w:t>
      </w:r>
      <w:r w:rsidRPr="00951AB1">
        <w:rPr>
          <w:rFonts w:eastAsia="Times New Roman" w:cs="Times New Roman"/>
          <w:i/>
          <w:iCs/>
          <w:szCs w:val="24"/>
        </w:rPr>
        <w:t xml:space="preserve">definen los gastos” </w:t>
      </w:r>
      <w:r w:rsidRPr="00951AB1">
        <w:rPr>
          <w:rFonts w:eastAsia="Times New Roman" w:cs="Times New Roman"/>
          <w:szCs w:val="24"/>
        </w:rPr>
        <w:t>se especificaron las apropiaciones del Presupuesto General de la Nación. Para el caso de la ANI, en el rubro Servicio de la Deuda Pública Interna, concepto Aportes al Fondo de Contingencias, correspondió a la suma de $1.907.097.618.124.</w:t>
      </w:r>
    </w:p>
    <w:p w14:paraId="1563F27E" w14:textId="519AFEAD" w:rsidR="1C6FD584" w:rsidRPr="00951AB1" w:rsidRDefault="468C9B45" w:rsidP="000A5389">
      <w:pPr>
        <w:spacing w:line="240" w:lineRule="auto"/>
        <w:ind w:left="-20" w:right="-20"/>
        <w:rPr>
          <w:rFonts w:cs="Times New Roman"/>
        </w:rPr>
      </w:pPr>
      <w:r w:rsidRPr="00951AB1">
        <w:rPr>
          <w:rFonts w:eastAsia="Times New Roman" w:cs="Times New Roman"/>
          <w:szCs w:val="24"/>
        </w:rPr>
        <w:t xml:space="preserve"> A enero de 2025, los planes de aportes aprobados para la vigencia sumaban alrededor de $2,87 billones, es decir que con la apropiación asignada para este período quedarían pendiente de giro recursos por valores superiores a los $963.000 millones, correspondientes a obligaciones contingentes que la ANI debe cubrir y que fueron aprobadas por la Dirección General de Crédito Público y Tesoro Nacional.</w:t>
      </w:r>
    </w:p>
    <w:p w14:paraId="74A4E9FB" w14:textId="6CC8F50D" w:rsidR="1C6FD584" w:rsidRPr="00951AB1" w:rsidRDefault="468C9B45" w:rsidP="000A5389">
      <w:pPr>
        <w:spacing w:line="240" w:lineRule="auto"/>
        <w:ind w:left="-20" w:right="-20"/>
        <w:rPr>
          <w:rFonts w:cs="Times New Roman"/>
        </w:rPr>
      </w:pPr>
      <w:r w:rsidRPr="00951AB1">
        <w:rPr>
          <w:rFonts w:eastAsia="Times New Roman" w:cs="Times New Roman"/>
          <w:szCs w:val="24"/>
        </w:rPr>
        <w:t xml:space="preserve"> </w:t>
      </w:r>
    </w:p>
    <w:p w14:paraId="28968DD4" w14:textId="1E4021DC" w:rsidR="1C6FD584" w:rsidRPr="00951AB1" w:rsidRDefault="468C9B45" w:rsidP="000A5389">
      <w:pPr>
        <w:spacing w:line="240" w:lineRule="auto"/>
        <w:ind w:left="-20" w:right="-20"/>
        <w:rPr>
          <w:rFonts w:cs="Times New Roman"/>
        </w:rPr>
      </w:pPr>
      <w:r w:rsidRPr="00951AB1">
        <w:rPr>
          <w:rFonts w:eastAsia="Times New Roman" w:cs="Times New Roman"/>
          <w:szCs w:val="24"/>
        </w:rPr>
        <w:t>La necesidad reportada para los aportes pendientes de vigencias anteriores tampoco fue cubierta con la asignación presupuestal aprobada para el año 2025. Esta necesidad ha surgido de la insuficiencia de recursos apropiados desde la vigencia 2010, generando que la ANI deba priorizar los giros de aquellos planes de aportes cuyos riesgos están más próximos a materializarse de acuerdo con la ejecución contractual de los proyectos, ocasionando que cada año el déficit en el Fondo de Contingencias se incremente.</w:t>
      </w:r>
    </w:p>
    <w:p w14:paraId="5A82096F" w14:textId="293E7A7A" w:rsidR="1C6FD584" w:rsidRPr="00951AB1" w:rsidRDefault="468C9B45" w:rsidP="000A5389">
      <w:pPr>
        <w:spacing w:line="240" w:lineRule="auto"/>
        <w:ind w:right="-20"/>
        <w:rPr>
          <w:rFonts w:cs="Times New Roman"/>
        </w:rPr>
      </w:pPr>
      <w:r w:rsidRPr="00951AB1">
        <w:rPr>
          <w:rFonts w:eastAsia="Times New Roman" w:cs="Times New Roman"/>
          <w:szCs w:val="24"/>
        </w:rPr>
        <w:t xml:space="preserve"> </w:t>
      </w:r>
    </w:p>
    <w:p w14:paraId="61A5E2C1" w14:textId="1935C150" w:rsidR="1C6FD584" w:rsidRPr="00951AB1" w:rsidRDefault="468C9B45" w:rsidP="000A5389">
      <w:pPr>
        <w:spacing w:line="240" w:lineRule="auto"/>
        <w:ind w:right="-20"/>
        <w:rPr>
          <w:rFonts w:cs="Times New Roman"/>
        </w:rPr>
      </w:pPr>
      <w:r w:rsidRPr="00951AB1">
        <w:rPr>
          <w:rFonts w:eastAsia="Times New Roman" w:cs="Times New Roman"/>
          <w:szCs w:val="24"/>
        </w:rPr>
        <w:t>Ante la insuficiencia de recursos asignados para el servicio a la deuda pública interna, durante el año 2025 se realizó la mejor gestión posible, necesaria para cubrir los siguientes aportes pendientes de giro correspondientes a períodos anteriores (déficit):</w:t>
      </w:r>
    </w:p>
    <w:p w14:paraId="23100051" w14:textId="2C099C0C" w:rsidR="1C6FD584" w:rsidRPr="00951AB1" w:rsidRDefault="1C6FD584" w:rsidP="000A5389">
      <w:pPr>
        <w:spacing w:line="240" w:lineRule="auto"/>
        <w:ind w:right="-20"/>
        <w:rPr>
          <w:rFonts w:eastAsia="Times New Roman" w:cs="Times New Roman"/>
          <w:szCs w:val="24"/>
        </w:rPr>
      </w:pPr>
    </w:p>
    <w:tbl>
      <w:tblPr>
        <w:tblW w:w="5000" w:type="pct"/>
        <w:tblCellMar>
          <w:left w:w="70" w:type="dxa"/>
          <w:right w:w="70" w:type="dxa"/>
        </w:tblCellMar>
        <w:tblLook w:val="04A0" w:firstRow="1" w:lastRow="0" w:firstColumn="1" w:lastColumn="0" w:noHBand="0" w:noVBand="1"/>
      </w:tblPr>
      <w:tblGrid>
        <w:gridCol w:w="3109"/>
        <w:gridCol w:w="2125"/>
        <w:gridCol w:w="1702"/>
        <w:gridCol w:w="1882"/>
      </w:tblGrid>
      <w:tr w:rsidR="00244097" w:rsidRPr="00951AB1" w14:paraId="020BDE73" w14:textId="77777777" w:rsidTr="00244097">
        <w:trPr>
          <w:trHeight w:val="340"/>
          <w:tblHeader/>
        </w:trPr>
        <w:tc>
          <w:tcPr>
            <w:tcW w:w="1763" w:type="pct"/>
            <w:tcBorders>
              <w:top w:val="single" w:sz="8" w:space="0" w:color="A6A6A6"/>
              <w:left w:val="single" w:sz="8" w:space="0" w:color="A6A6A6"/>
              <w:bottom w:val="single" w:sz="8" w:space="0" w:color="A6A6A6"/>
              <w:right w:val="single" w:sz="8" w:space="0" w:color="A6A6A6"/>
            </w:tcBorders>
            <w:vAlign w:val="center"/>
            <w:hideMark/>
          </w:tcPr>
          <w:p w14:paraId="6DEA2450" w14:textId="77777777" w:rsidR="00BC605D" w:rsidRPr="00951AB1" w:rsidRDefault="00BC605D" w:rsidP="000A5389">
            <w:pPr>
              <w:spacing w:line="240" w:lineRule="auto"/>
              <w:jc w:val="center"/>
              <w:rPr>
                <w:rFonts w:eastAsia="Times New Roman" w:cs="Times New Roman"/>
                <w:b/>
                <w:bCs/>
                <w:color w:val="000000"/>
                <w:kern w:val="0"/>
                <w:sz w:val="18"/>
                <w:szCs w:val="18"/>
                <w:lang w:eastAsia="es-CO"/>
                <w14:ligatures w14:val="none"/>
              </w:rPr>
            </w:pPr>
            <w:r w:rsidRPr="00951AB1">
              <w:rPr>
                <w:rFonts w:eastAsia="Times New Roman" w:cs="Times New Roman"/>
                <w:b/>
                <w:bCs/>
                <w:color w:val="000000"/>
                <w:kern w:val="0"/>
                <w:sz w:val="18"/>
                <w:szCs w:val="18"/>
                <w:lang w:eastAsia="es-CO"/>
                <w14:ligatures w14:val="none"/>
              </w:rPr>
              <w:t>PROYECTO</w:t>
            </w:r>
          </w:p>
        </w:tc>
        <w:tc>
          <w:tcPr>
            <w:tcW w:w="1205" w:type="pct"/>
            <w:tcBorders>
              <w:top w:val="single" w:sz="8" w:space="0" w:color="A6A6A6"/>
              <w:left w:val="nil"/>
              <w:bottom w:val="single" w:sz="8" w:space="0" w:color="A6A6A6"/>
              <w:right w:val="single" w:sz="8" w:space="0" w:color="A6A6A6"/>
            </w:tcBorders>
            <w:vAlign w:val="center"/>
            <w:hideMark/>
          </w:tcPr>
          <w:p w14:paraId="4A800427" w14:textId="77777777" w:rsidR="00BC605D" w:rsidRPr="00951AB1" w:rsidRDefault="00BC605D" w:rsidP="000A5389">
            <w:pPr>
              <w:spacing w:line="240" w:lineRule="auto"/>
              <w:jc w:val="center"/>
              <w:rPr>
                <w:rFonts w:eastAsia="Times New Roman" w:cs="Times New Roman"/>
                <w:b/>
                <w:bCs/>
                <w:color w:val="000000"/>
                <w:kern w:val="0"/>
                <w:sz w:val="18"/>
                <w:szCs w:val="18"/>
                <w:lang w:eastAsia="es-CO"/>
                <w14:ligatures w14:val="none"/>
              </w:rPr>
            </w:pPr>
            <w:r w:rsidRPr="00951AB1">
              <w:rPr>
                <w:rFonts w:eastAsia="Times New Roman" w:cs="Times New Roman"/>
                <w:b/>
                <w:bCs/>
                <w:color w:val="000000"/>
                <w:kern w:val="0"/>
                <w:sz w:val="18"/>
                <w:szCs w:val="18"/>
                <w:lang w:eastAsia="es-CO"/>
                <w14:ligatures w14:val="none"/>
              </w:rPr>
              <w:t>RIESGO</w:t>
            </w:r>
          </w:p>
        </w:tc>
        <w:tc>
          <w:tcPr>
            <w:tcW w:w="965" w:type="pct"/>
            <w:tcBorders>
              <w:top w:val="single" w:sz="8" w:space="0" w:color="A6A6A6"/>
              <w:left w:val="nil"/>
              <w:bottom w:val="single" w:sz="8" w:space="0" w:color="A6A6A6"/>
              <w:right w:val="single" w:sz="8" w:space="0" w:color="A6A6A6"/>
            </w:tcBorders>
            <w:vAlign w:val="center"/>
            <w:hideMark/>
          </w:tcPr>
          <w:p w14:paraId="2C2C2602" w14:textId="77777777" w:rsidR="00BC605D" w:rsidRPr="00951AB1" w:rsidRDefault="00BC605D" w:rsidP="000A5389">
            <w:pPr>
              <w:spacing w:line="240" w:lineRule="auto"/>
              <w:jc w:val="center"/>
              <w:rPr>
                <w:rFonts w:eastAsia="Times New Roman" w:cs="Times New Roman"/>
                <w:b/>
                <w:bCs/>
                <w:color w:val="000000"/>
                <w:kern w:val="0"/>
                <w:sz w:val="18"/>
                <w:szCs w:val="18"/>
                <w:lang w:eastAsia="es-CO"/>
                <w14:ligatures w14:val="none"/>
              </w:rPr>
            </w:pPr>
            <w:r w:rsidRPr="00951AB1">
              <w:rPr>
                <w:rFonts w:eastAsia="Times New Roman" w:cs="Times New Roman"/>
                <w:b/>
                <w:bCs/>
                <w:color w:val="000000"/>
                <w:kern w:val="0"/>
                <w:sz w:val="18"/>
                <w:szCs w:val="18"/>
                <w:lang w:eastAsia="es-CO"/>
                <w14:ligatures w14:val="none"/>
              </w:rPr>
              <w:t>PLAN APORTES VIGENCIA AFECTADA</w:t>
            </w:r>
          </w:p>
        </w:tc>
        <w:tc>
          <w:tcPr>
            <w:tcW w:w="1067" w:type="pct"/>
            <w:tcBorders>
              <w:top w:val="single" w:sz="8" w:space="0" w:color="A6A6A6"/>
              <w:left w:val="nil"/>
              <w:bottom w:val="single" w:sz="8" w:space="0" w:color="A6A6A6"/>
              <w:right w:val="single" w:sz="8" w:space="0" w:color="A6A6A6"/>
            </w:tcBorders>
            <w:vAlign w:val="center"/>
            <w:hideMark/>
          </w:tcPr>
          <w:p w14:paraId="34BAEC66" w14:textId="77777777" w:rsidR="00BC605D" w:rsidRPr="00951AB1" w:rsidRDefault="00BC605D" w:rsidP="000A5389">
            <w:pPr>
              <w:spacing w:line="240" w:lineRule="auto"/>
              <w:jc w:val="center"/>
              <w:rPr>
                <w:rFonts w:eastAsia="Times New Roman" w:cs="Times New Roman"/>
                <w:b/>
                <w:bCs/>
                <w:color w:val="000000"/>
                <w:kern w:val="0"/>
                <w:sz w:val="18"/>
                <w:szCs w:val="18"/>
                <w:lang w:eastAsia="es-CO"/>
                <w14:ligatures w14:val="none"/>
              </w:rPr>
            </w:pPr>
            <w:r w:rsidRPr="00951AB1">
              <w:rPr>
                <w:rFonts w:eastAsia="Times New Roman" w:cs="Times New Roman"/>
                <w:b/>
                <w:bCs/>
                <w:color w:val="000000"/>
                <w:kern w:val="0"/>
                <w:sz w:val="18"/>
                <w:szCs w:val="18"/>
                <w:lang w:eastAsia="es-CO"/>
                <w14:ligatures w14:val="none"/>
              </w:rPr>
              <w:t>VALOR CORRIENTE FONDEADO</w:t>
            </w:r>
          </w:p>
        </w:tc>
      </w:tr>
      <w:tr w:rsidR="00244097" w:rsidRPr="00951AB1" w14:paraId="2ABAE601" w14:textId="77777777" w:rsidTr="00244097">
        <w:trPr>
          <w:trHeight w:val="340"/>
        </w:trPr>
        <w:tc>
          <w:tcPr>
            <w:tcW w:w="1763" w:type="pct"/>
            <w:tcBorders>
              <w:top w:val="nil"/>
              <w:left w:val="single" w:sz="8" w:space="0" w:color="A6A6A6"/>
              <w:bottom w:val="single" w:sz="8" w:space="0" w:color="A6A6A6"/>
              <w:right w:val="single" w:sz="8" w:space="0" w:color="A6A6A6"/>
            </w:tcBorders>
            <w:vAlign w:val="center"/>
            <w:hideMark/>
          </w:tcPr>
          <w:p w14:paraId="1C6189A4" w14:textId="77777777" w:rsidR="00BC605D" w:rsidRPr="00951AB1" w:rsidRDefault="00BC605D" w:rsidP="000A5389">
            <w:pPr>
              <w:spacing w:line="240" w:lineRule="auto"/>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Neiva - Mocoa - Santana</w:t>
            </w:r>
          </w:p>
        </w:tc>
        <w:tc>
          <w:tcPr>
            <w:tcW w:w="1205" w:type="pct"/>
            <w:tcBorders>
              <w:top w:val="nil"/>
              <w:left w:val="nil"/>
              <w:bottom w:val="single" w:sz="8" w:space="0" w:color="A6A6A6"/>
              <w:right w:val="single" w:sz="8" w:space="0" w:color="A6A6A6"/>
            </w:tcBorders>
            <w:vAlign w:val="center"/>
            <w:hideMark/>
          </w:tcPr>
          <w:p w14:paraId="64EA2455" w14:textId="77777777" w:rsidR="00BC605D" w:rsidRPr="00951AB1" w:rsidRDefault="00BC605D" w:rsidP="000A5389">
            <w:pPr>
              <w:spacing w:line="240" w:lineRule="auto"/>
              <w:jc w:val="center"/>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Comercial</w:t>
            </w:r>
          </w:p>
        </w:tc>
        <w:tc>
          <w:tcPr>
            <w:tcW w:w="965" w:type="pct"/>
            <w:tcBorders>
              <w:top w:val="nil"/>
              <w:left w:val="nil"/>
              <w:bottom w:val="single" w:sz="8" w:space="0" w:color="A6A6A6"/>
              <w:right w:val="single" w:sz="8" w:space="0" w:color="A6A6A6"/>
            </w:tcBorders>
            <w:vAlign w:val="center"/>
            <w:hideMark/>
          </w:tcPr>
          <w:p w14:paraId="0580B3DD" w14:textId="77777777" w:rsidR="00BC605D" w:rsidRPr="00951AB1" w:rsidRDefault="00BC605D" w:rsidP="000A5389">
            <w:pPr>
              <w:spacing w:line="240" w:lineRule="auto"/>
              <w:jc w:val="center"/>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2024</w:t>
            </w:r>
          </w:p>
        </w:tc>
        <w:tc>
          <w:tcPr>
            <w:tcW w:w="1067" w:type="pct"/>
            <w:tcBorders>
              <w:top w:val="nil"/>
              <w:left w:val="nil"/>
              <w:bottom w:val="single" w:sz="8" w:space="0" w:color="A6A6A6"/>
              <w:right w:val="single" w:sz="8" w:space="0" w:color="A6A6A6"/>
            </w:tcBorders>
            <w:vAlign w:val="center"/>
            <w:hideMark/>
          </w:tcPr>
          <w:p w14:paraId="3580D6BD" w14:textId="77777777" w:rsidR="00BC605D" w:rsidRPr="00951AB1" w:rsidRDefault="00BC605D"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337.801.790.095</w:t>
            </w:r>
          </w:p>
        </w:tc>
      </w:tr>
      <w:tr w:rsidR="00244097" w:rsidRPr="00951AB1" w14:paraId="1BA55F1F" w14:textId="77777777" w:rsidTr="00244097">
        <w:trPr>
          <w:trHeight w:val="340"/>
        </w:trPr>
        <w:tc>
          <w:tcPr>
            <w:tcW w:w="1763" w:type="pct"/>
            <w:tcBorders>
              <w:top w:val="nil"/>
              <w:left w:val="single" w:sz="8" w:space="0" w:color="A6A6A6"/>
              <w:bottom w:val="single" w:sz="8" w:space="0" w:color="A6A6A6"/>
              <w:right w:val="single" w:sz="8" w:space="0" w:color="A6A6A6"/>
            </w:tcBorders>
            <w:vAlign w:val="center"/>
            <w:hideMark/>
          </w:tcPr>
          <w:p w14:paraId="5F1689EE" w14:textId="77777777" w:rsidR="00BC605D" w:rsidRPr="00951AB1" w:rsidRDefault="00BC605D" w:rsidP="000A5389">
            <w:pPr>
              <w:spacing w:line="240" w:lineRule="auto"/>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Neiva - Mocoa - Santana</w:t>
            </w:r>
          </w:p>
        </w:tc>
        <w:tc>
          <w:tcPr>
            <w:tcW w:w="1205" w:type="pct"/>
            <w:tcBorders>
              <w:top w:val="nil"/>
              <w:left w:val="nil"/>
              <w:bottom w:val="single" w:sz="8" w:space="0" w:color="A6A6A6"/>
              <w:right w:val="single" w:sz="8" w:space="0" w:color="A6A6A6"/>
            </w:tcBorders>
            <w:vAlign w:val="center"/>
            <w:hideMark/>
          </w:tcPr>
          <w:p w14:paraId="7EB659EE" w14:textId="77777777" w:rsidR="00BC605D" w:rsidRPr="00951AB1" w:rsidRDefault="00BC605D" w:rsidP="000A5389">
            <w:pPr>
              <w:spacing w:line="240" w:lineRule="auto"/>
              <w:jc w:val="center"/>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Comercial</w:t>
            </w:r>
          </w:p>
        </w:tc>
        <w:tc>
          <w:tcPr>
            <w:tcW w:w="965" w:type="pct"/>
            <w:tcBorders>
              <w:top w:val="nil"/>
              <w:left w:val="nil"/>
              <w:bottom w:val="single" w:sz="8" w:space="0" w:color="A6A6A6"/>
              <w:right w:val="single" w:sz="8" w:space="0" w:color="A6A6A6"/>
            </w:tcBorders>
            <w:vAlign w:val="center"/>
            <w:hideMark/>
          </w:tcPr>
          <w:p w14:paraId="34A503EF" w14:textId="77777777" w:rsidR="00BC605D" w:rsidRPr="00951AB1" w:rsidRDefault="00BC605D" w:rsidP="000A5389">
            <w:pPr>
              <w:spacing w:line="240" w:lineRule="auto"/>
              <w:jc w:val="center"/>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2023</w:t>
            </w:r>
          </w:p>
        </w:tc>
        <w:tc>
          <w:tcPr>
            <w:tcW w:w="1067" w:type="pct"/>
            <w:tcBorders>
              <w:top w:val="nil"/>
              <w:left w:val="nil"/>
              <w:bottom w:val="single" w:sz="8" w:space="0" w:color="A6A6A6"/>
              <w:right w:val="single" w:sz="8" w:space="0" w:color="A6A6A6"/>
            </w:tcBorders>
            <w:vAlign w:val="center"/>
            <w:hideMark/>
          </w:tcPr>
          <w:p w14:paraId="3994C70F" w14:textId="77777777" w:rsidR="00BC605D" w:rsidRPr="00951AB1" w:rsidRDefault="00BC605D"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117.826.543.576</w:t>
            </w:r>
          </w:p>
        </w:tc>
      </w:tr>
      <w:tr w:rsidR="00244097" w:rsidRPr="00951AB1" w14:paraId="5BDC1CF7" w14:textId="77777777" w:rsidTr="00244097">
        <w:trPr>
          <w:trHeight w:val="340"/>
        </w:trPr>
        <w:tc>
          <w:tcPr>
            <w:tcW w:w="1763" w:type="pct"/>
            <w:tcBorders>
              <w:top w:val="nil"/>
              <w:left w:val="single" w:sz="8" w:space="0" w:color="A6A6A6"/>
              <w:bottom w:val="single" w:sz="8" w:space="0" w:color="A6A6A6"/>
              <w:right w:val="single" w:sz="8" w:space="0" w:color="A6A6A6"/>
            </w:tcBorders>
            <w:vAlign w:val="center"/>
            <w:hideMark/>
          </w:tcPr>
          <w:p w14:paraId="323EE57B" w14:textId="77777777" w:rsidR="00BC605D" w:rsidRPr="00951AB1" w:rsidRDefault="00BC605D" w:rsidP="000A5389">
            <w:pPr>
              <w:spacing w:line="240" w:lineRule="auto"/>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Popayán - Santander de Quilichao</w:t>
            </w:r>
          </w:p>
        </w:tc>
        <w:tc>
          <w:tcPr>
            <w:tcW w:w="1205" w:type="pct"/>
            <w:tcBorders>
              <w:top w:val="nil"/>
              <w:left w:val="nil"/>
              <w:bottom w:val="single" w:sz="8" w:space="0" w:color="A6A6A6"/>
              <w:right w:val="single" w:sz="8" w:space="0" w:color="A6A6A6"/>
            </w:tcBorders>
            <w:vAlign w:val="center"/>
            <w:hideMark/>
          </w:tcPr>
          <w:p w14:paraId="31F66285" w14:textId="77777777" w:rsidR="00BC605D" w:rsidRPr="00951AB1" w:rsidRDefault="00BC605D" w:rsidP="000A5389">
            <w:pPr>
              <w:spacing w:line="240" w:lineRule="auto"/>
              <w:jc w:val="center"/>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Comercial</w:t>
            </w:r>
          </w:p>
        </w:tc>
        <w:tc>
          <w:tcPr>
            <w:tcW w:w="965" w:type="pct"/>
            <w:tcBorders>
              <w:top w:val="nil"/>
              <w:left w:val="nil"/>
              <w:bottom w:val="single" w:sz="8" w:space="0" w:color="A6A6A6"/>
              <w:right w:val="single" w:sz="8" w:space="0" w:color="A6A6A6"/>
            </w:tcBorders>
            <w:vAlign w:val="center"/>
            <w:hideMark/>
          </w:tcPr>
          <w:p w14:paraId="542E630E" w14:textId="77777777" w:rsidR="00BC605D" w:rsidRPr="00951AB1" w:rsidRDefault="00BC605D" w:rsidP="000A5389">
            <w:pPr>
              <w:spacing w:line="240" w:lineRule="auto"/>
              <w:jc w:val="center"/>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2021-2022-2023-2024</w:t>
            </w:r>
          </w:p>
        </w:tc>
        <w:tc>
          <w:tcPr>
            <w:tcW w:w="1067" w:type="pct"/>
            <w:tcBorders>
              <w:top w:val="nil"/>
              <w:left w:val="nil"/>
              <w:bottom w:val="single" w:sz="8" w:space="0" w:color="A6A6A6"/>
              <w:right w:val="single" w:sz="8" w:space="0" w:color="A6A6A6"/>
            </w:tcBorders>
            <w:vAlign w:val="center"/>
            <w:hideMark/>
          </w:tcPr>
          <w:p w14:paraId="129AE8A7" w14:textId="77777777" w:rsidR="00BC605D" w:rsidRPr="00951AB1" w:rsidRDefault="00BC605D"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102.151.677.474</w:t>
            </w:r>
          </w:p>
        </w:tc>
      </w:tr>
      <w:tr w:rsidR="00244097" w:rsidRPr="00951AB1" w14:paraId="12CA6D82" w14:textId="77777777" w:rsidTr="00244097">
        <w:trPr>
          <w:trHeight w:val="340"/>
        </w:trPr>
        <w:tc>
          <w:tcPr>
            <w:tcW w:w="1763" w:type="pct"/>
            <w:tcBorders>
              <w:top w:val="nil"/>
              <w:left w:val="single" w:sz="8" w:space="0" w:color="A6A6A6"/>
              <w:bottom w:val="single" w:sz="8" w:space="0" w:color="A6A6A6"/>
              <w:right w:val="single" w:sz="8" w:space="0" w:color="A6A6A6"/>
            </w:tcBorders>
            <w:vAlign w:val="center"/>
            <w:hideMark/>
          </w:tcPr>
          <w:p w14:paraId="265028D1" w14:textId="77777777" w:rsidR="00BC605D" w:rsidRPr="00951AB1" w:rsidRDefault="00BC605D" w:rsidP="000A5389">
            <w:pPr>
              <w:spacing w:line="240" w:lineRule="auto"/>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Cartagena - Barranquilla</w:t>
            </w:r>
          </w:p>
        </w:tc>
        <w:tc>
          <w:tcPr>
            <w:tcW w:w="1205" w:type="pct"/>
            <w:tcBorders>
              <w:top w:val="nil"/>
              <w:left w:val="nil"/>
              <w:bottom w:val="single" w:sz="8" w:space="0" w:color="A6A6A6"/>
              <w:right w:val="single" w:sz="8" w:space="0" w:color="A6A6A6"/>
            </w:tcBorders>
            <w:vAlign w:val="center"/>
            <w:hideMark/>
          </w:tcPr>
          <w:p w14:paraId="6C3AA1C8" w14:textId="77777777" w:rsidR="00BC605D" w:rsidRPr="00951AB1" w:rsidRDefault="00BC605D" w:rsidP="000A5389">
            <w:pPr>
              <w:spacing w:line="240" w:lineRule="auto"/>
              <w:jc w:val="center"/>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Tarifario</w:t>
            </w:r>
          </w:p>
        </w:tc>
        <w:tc>
          <w:tcPr>
            <w:tcW w:w="965" w:type="pct"/>
            <w:tcBorders>
              <w:top w:val="nil"/>
              <w:left w:val="nil"/>
              <w:bottom w:val="single" w:sz="8" w:space="0" w:color="A6A6A6"/>
              <w:right w:val="single" w:sz="8" w:space="0" w:color="A6A6A6"/>
            </w:tcBorders>
            <w:vAlign w:val="center"/>
            <w:hideMark/>
          </w:tcPr>
          <w:p w14:paraId="205D56EA" w14:textId="77777777" w:rsidR="00BC605D" w:rsidRPr="00951AB1" w:rsidRDefault="00BC605D" w:rsidP="000A5389">
            <w:pPr>
              <w:spacing w:line="240" w:lineRule="auto"/>
              <w:jc w:val="center"/>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2024</w:t>
            </w:r>
          </w:p>
        </w:tc>
        <w:tc>
          <w:tcPr>
            <w:tcW w:w="1067" w:type="pct"/>
            <w:tcBorders>
              <w:top w:val="nil"/>
              <w:left w:val="nil"/>
              <w:bottom w:val="single" w:sz="8" w:space="0" w:color="A6A6A6"/>
              <w:right w:val="single" w:sz="8" w:space="0" w:color="A6A6A6"/>
            </w:tcBorders>
            <w:vAlign w:val="center"/>
            <w:hideMark/>
          </w:tcPr>
          <w:p w14:paraId="37DC2028" w14:textId="77777777" w:rsidR="00BC605D" w:rsidRPr="00951AB1" w:rsidRDefault="00BC605D"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29.173.633.185</w:t>
            </w:r>
          </w:p>
        </w:tc>
      </w:tr>
      <w:tr w:rsidR="00244097" w:rsidRPr="00951AB1" w14:paraId="60D94385" w14:textId="77777777" w:rsidTr="00244097">
        <w:trPr>
          <w:trHeight w:val="340"/>
        </w:trPr>
        <w:tc>
          <w:tcPr>
            <w:tcW w:w="1763" w:type="pct"/>
            <w:tcBorders>
              <w:top w:val="nil"/>
              <w:left w:val="single" w:sz="8" w:space="0" w:color="A6A6A6"/>
              <w:bottom w:val="single" w:sz="8" w:space="0" w:color="A6A6A6"/>
              <w:right w:val="single" w:sz="8" w:space="0" w:color="A6A6A6"/>
            </w:tcBorders>
            <w:vAlign w:val="center"/>
            <w:hideMark/>
          </w:tcPr>
          <w:p w14:paraId="7AD7D8EF" w14:textId="77777777" w:rsidR="00BC605D" w:rsidRPr="00951AB1" w:rsidRDefault="00BC605D" w:rsidP="000A5389">
            <w:pPr>
              <w:spacing w:line="240" w:lineRule="auto"/>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Conexión Pacífico 2</w:t>
            </w:r>
          </w:p>
        </w:tc>
        <w:tc>
          <w:tcPr>
            <w:tcW w:w="1205" w:type="pct"/>
            <w:tcBorders>
              <w:top w:val="nil"/>
              <w:left w:val="nil"/>
              <w:bottom w:val="single" w:sz="8" w:space="0" w:color="A6A6A6"/>
              <w:right w:val="single" w:sz="8" w:space="0" w:color="A6A6A6"/>
            </w:tcBorders>
            <w:vAlign w:val="center"/>
            <w:hideMark/>
          </w:tcPr>
          <w:p w14:paraId="45AA3851" w14:textId="77777777" w:rsidR="00BC605D" w:rsidRPr="00951AB1" w:rsidRDefault="00BC605D" w:rsidP="000A5389">
            <w:pPr>
              <w:spacing w:line="240" w:lineRule="auto"/>
              <w:jc w:val="center"/>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Tarifario</w:t>
            </w:r>
          </w:p>
        </w:tc>
        <w:tc>
          <w:tcPr>
            <w:tcW w:w="965" w:type="pct"/>
            <w:tcBorders>
              <w:top w:val="nil"/>
              <w:left w:val="nil"/>
              <w:bottom w:val="single" w:sz="8" w:space="0" w:color="A6A6A6"/>
              <w:right w:val="single" w:sz="8" w:space="0" w:color="A6A6A6"/>
            </w:tcBorders>
            <w:vAlign w:val="center"/>
            <w:hideMark/>
          </w:tcPr>
          <w:p w14:paraId="2E3F600E" w14:textId="77777777" w:rsidR="00BC605D" w:rsidRPr="00951AB1" w:rsidRDefault="00BC605D" w:rsidP="000A5389">
            <w:pPr>
              <w:spacing w:line="240" w:lineRule="auto"/>
              <w:jc w:val="center"/>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2024</w:t>
            </w:r>
          </w:p>
        </w:tc>
        <w:tc>
          <w:tcPr>
            <w:tcW w:w="1067" w:type="pct"/>
            <w:tcBorders>
              <w:top w:val="nil"/>
              <w:left w:val="nil"/>
              <w:bottom w:val="single" w:sz="8" w:space="0" w:color="A6A6A6"/>
              <w:right w:val="single" w:sz="8" w:space="0" w:color="A6A6A6"/>
            </w:tcBorders>
            <w:vAlign w:val="center"/>
            <w:hideMark/>
          </w:tcPr>
          <w:p w14:paraId="5054D0C0" w14:textId="77777777" w:rsidR="00BC605D" w:rsidRPr="00951AB1" w:rsidRDefault="00BC605D"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22.000.000.000</w:t>
            </w:r>
          </w:p>
        </w:tc>
      </w:tr>
      <w:tr w:rsidR="00244097" w:rsidRPr="00951AB1" w14:paraId="6F436CE9" w14:textId="77777777" w:rsidTr="00244097">
        <w:trPr>
          <w:trHeight w:val="340"/>
        </w:trPr>
        <w:tc>
          <w:tcPr>
            <w:tcW w:w="1763" w:type="pct"/>
            <w:tcBorders>
              <w:top w:val="nil"/>
              <w:left w:val="single" w:sz="8" w:space="0" w:color="A6A6A6"/>
              <w:bottom w:val="single" w:sz="8" w:space="0" w:color="A6A6A6"/>
              <w:right w:val="single" w:sz="8" w:space="0" w:color="A6A6A6"/>
            </w:tcBorders>
            <w:vAlign w:val="center"/>
            <w:hideMark/>
          </w:tcPr>
          <w:p w14:paraId="0A002321" w14:textId="77777777" w:rsidR="00BC605D" w:rsidRPr="00951AB1" w:rsidRDefault="00BC605D" w:rsidP="000A5389">
            <w:pPr>
              <w:spacing w:line="240" w:lineRule="auto"/>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Autopista al Mar 1</w:t>
            </w:r>
          </w:p>
        </w:tc>
        <w:tc>
          <w:tcPr>
            <w:tcW w:w="1205" w:type="pct"/>
            <w:tcBorders>
              <w:top w:val="nil"/>
              <w:left w:val="nil"/>
              <w:bottom w:val="single" w:sz="8" w:space="0" w:color="A6A6A6"/>
              <w:right w:val="single" w:sz="8" w:space="0" w:color="A6A6A6"/>
            </w:tcBorders>
            <w:vAlign w:val="center"/>
            <w:hideMark/>
          </w:tcPr>
          <w:p w14:paraId="42506C59" w14:textId="77777777" w:rsidR="00BC605D" w:rsidRPr="00951AB1" w:rsidRDefault="00BC605D" w:rsidP="000A5389">
            <w:pPr>
              <w:spacing w:line="240" w:lineRule="auto"/>
              <w:jc w:val="center"/>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Tarifario</w:t>
            </w:r>
          </w:p>
        </w:tc>
        <w:tc>
          <w:tcPr>
            <w:tcW w:w="965" w:type="pct"/>
            <w:tcBorders>
              <w:top w:val="nil"/>
              <w:left w:val="nil"/>
              <w:bottom w:val="single" w:sz="8" w:space="0" w:color="A6A6A6"/>
              <w:right w:val="single" w:sz="8" w:space="0" w:color="A6A6A6"/>
            </w:tcBorders>
            <w:vAlign w:val="center"/>
            <w:hideMark/>
          </w:tcPr>
          <w:p w14:paraId="2259777D" w14:textId="77777777" w:rsidR="00BC605D" w:rsidRPr="00951AB1" w:rsidRDefault="00BC605D" w:rsidP="000A5389">
            <w:pPr>
              <w:spacing w:line="240" w:lineRule="auto"/>
              <w:jc w:val="center"/>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2024</w:t>
            </w:r>
          </w:p>
        </w:tc>
        <w:tc>
          <w:tcPr>
            <w:tcW w:w="1067" w:type="pct"/>
            <w:tcBorders>
              <w:top w:val="nil"/>
              <w:left w:val="nil"/>
              <w:bottom w:val="single" w:sz="8" w:space="0" w:color="A6A6A6"/>
              <w:right w:val="single" w:sz="8" w:space="0" w:color="A6A6A6"/>
            </w:tcBorders>
            <w:vAlign w:val="center"/>
            <w:hideMark/>
          </w:tcPr>
          <w:p w14:paraId="5D49B220" w14:textId="77777777" w:rsidR="00BC605D" w:rsidRPr="00951AB1" w:rsidRDefault="00BC605D"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18.653.506.350</w:t>
            </w:r>
          </w:p>
        </w:tc>
      </w:tr>
      <w:tr w:rsidR="00244097" w:rsidRPr="00951AB1" w14:paraId="2F32F09C" w14:textId="77777777" w:rsidTr="00244097">
        <w:trPr>
          <w:trHeight w:val="340"/>
        </w:trPr>
        <w:tc>
          <w:tcPr>
            <w:tcW w:w="1763" w:type="pct"/>
            <w:tcBorders>
              <w:top w:val="nil"/>
              <w:left w:val="single" w:sz="8" w:space="0" w:color="A6A6A6"/>
              <w:bottom w:val="single" w:sz="8" w:space="0" w:color="A6A6A6"/>
              <w:right w:val="single" w:sz="8" w:space="0" w:color="A6A6A6"/>
            </w:tcBorders>
            <w:vAlign w:val="center"/>
            <w:hideMark/>
          </w:tcPr>
          <w:p w14:paraId="08B60715" w14:textId="77777777" w:rsidR="00BC605D" w:rsidRPr="00951AB1" w:rsidRDefault="00BC605D" w:rsidP="000A5389">
            <w:pPr>
              <w:spacing w:line="240" w:lineRule="auto"/>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Conexión Pacífico 1</w:t>
            </w:r>
          </w:p>
        </w:tc>
        <w:tc>
          <w:tcPr>
            <w:tcW w:w="1205" w:type="pct"/>
            <w:tcBorders>
              <w:top w:val="nil"/>
              <w:left w:val="nil"/>
              <w:bottom w:val="single" w:sz="8" w:space="0" w:color="A6A6A6"/>
              <w:right w:val="single" w:sz="8" w:space="0" w:color="A6A6A6"/>
            </w:tcBorders>
            <w:vAlign w:val="center"/>
            <w:hideMark/>
          </w:tcPr>
          <w:p w14:paraId="4A3A5B6A" w14:textId="77777777" w:rsidR="00BC605D" w:rsidRPr="00951AB1" w:rsidRDefault="00BC605D" w:rsidP="000A5389">
            <w:pPr>
              <w:spacing w:line="240" w:lineRule="auto"/>
              <w:jc w:val="center"/>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Tarifario</w:t>
            </w:r>
          </w:p>
        </w:tc>
        <w:tc>
          <w:tcPr>
            <w:tcW w:w="965" w:type="pct"/>
            <w:tcBorders>
              <w:top w:val="nil"/>
              <w:left w:val="nil"/>
              <w:bottom w:val="single" w:sz="8" w:space="0" w:color="A6A6A6"/>
              <w:right w:val="single" w:sz="8" w:space="0" w:color="A6A6A6"/>
            </w:tcBorders>
            <w:vAlign w:val="center"/>
            <w:hideMark/>
          </w:tcPr>
          <w:p w14:paraId="3BD1C07C" w14:textId="77777777" w:rsidR="00BC605D" w:rsidRPr="00951AB1" w:rsidRDefault="00BC605D" w:rsidP="000A5389">
            <w:pPr>
              <w:spacing w:line="240" w:lineRule="auto"/>
              <w:jc w:val="center"/>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2024</w:t>
            </w:r>
          </w:p>
        </w:tc>
        <w:tc>
          <w:tcPr>
            <w:tcW w:w="1067" w:type="pct"/>
            <w:tcBorders>
              <w:top w:val="nil"/>
              <w:left w:val="nil"/>
              <w:bottom w:val="single" w:sz="8" w:space="0" w:color="A6A6A6"/>
              <w:right w:val="single" w:sz="8" w:space="0" w:color="A6A6A6"/>
            </w:tcBorders>
            <w:vAlign w:val="center"/>
            <w:hideMark/>
          </w:tcPr>
          <w:p w14:paraId="78D219C1" w14:textId="77777777" w:rsidR="00BC605D" w:rsidRPr="00951AB1" w:rsidRDefault="00BC605D"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18.403.876.532</w:t>
            </w:r>
          </w:p>
        </w:tc>
      </w:tr>
      <w:tr w:rsidR="00244097" w:rsidRPr="00951AB1" w14:paraId="698560DB" w14:textId="77777777" w:rsidTr="00244097">
        <w:trPr>
          <w:trHeight w:val="340"/>
        </w:trPr>
        <w:tc>
          <w:tcPr>
            <w:tcW w:w="1763" w:type="pct"/>
            <w:tcBorders>
              <w:top w:val="nil"/>
              <w:left w:val="single" w:sz="8" w:space="0" w:color="A6A6A6"/>
              <w:bottom w:val="single" w:sz="8" w:space="0" w:color="A6A6A6"/>
              <w:right w:val="single" w:sz="8" w:space="0" w:color="A6A6A6"/>
            </w:tcBorders>
            <w:vAlign w:val="center"/>
            <w:hideMark/>
          </w:tcPr>
          <w:p w14:paraId="50454EF0" w14:textId="77777777" w:rsidR="00BC605D" w:rsidRPr="00951AB1" w:rsidRDefault="00BC605D" w:rsidP="000A5389">
            <w:pPr>
              <w:spacing w:line="240" w:lineRule="auto"/>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Conexión Pacífico 1</w:t>
            </w:r>
          </w:p>
        </w:tc>
        <w:tc>
          <w:tcPr>
            <w:tcW w:w="1205" w:type="pct"/>
            <w:tcBorders>
              <w:top w:val="nil"/>
              <w:left w:val="nil"/>
              <w:bottom w:val="single" w:sz="8" w:space="0" w:color="A6A6A6"/>
              <w:right w:val="single" w:sz="8" w:space="0" w:color="A6A6A6"/>
            </w:tcBorders>
            <w:vAlign w:val="center"/>
            <w:hideMark/>
          </w:tcPr>
          <w:p w14:paraId="0DF224DB" w14:textId="77777777" w:rsidR="00BC605D" w:rsidRPr="00951AB1" w:rsidRDefault="00BC605D" w:rsidP="000A5389">
            <w:pPr>
              <w:spacing w:line="240" w:lineRule="auto"/>
              <w:jc w:val="center"/>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Tarifario</w:t>
            </w:r>
          </w:p>
        </w:tc>
        <w:tc>
          <w:tcPr>
            <w:tcW w:w="965" w:type="pct"/>
            <w:tcBorders>
              <w:top w:val="nil"/>
              <w:left w:val="nil"/>
              <w:bottom w:val="single" w:sz="8" w:space="0" w:color="A6A6A6"/>
              <w:right w:val="single" w:sz="8" w:space="0" w:color="A6A6A6"/>
            </w:tcBorders>
            <w:vAlign w:val="center"/>
            <w:hideMark/>
          </w:tcPr>
          <w:p w14:paraId="1D7CACF8" w14:textId="77777777" w:rsidR="00BC605D" w:rsidRPr="00951AB1" w:rsidRDefault="00BC605D" w:rsidP="000A5389">
            <w:pPr>
              <w:spacing w:line="240" w:lineRule="auto"/>
              <w:jc w:val="center"/>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2022 y 2024</w:t>
            </w:r>
          </w:p>
        </w:tc>
        <w:tc>
          <w:tcPr>
            <w:tcW w:w="1067" w:type="pct"/>
            <w:tcBorders>
              <w:top w:val="nil"/>
              <w:left w:val="nil"/>
              <w:bottom w:val="single" w:sz="8" w:space="0" w:color="A6A6A6"/>
              <w:right w:val="single" w:sz="8" w:space="0" w:color="A6A6A6"/>
            </w:tcBorders>
            <w:vAlign w:val="center"/>
            <w:hideMark/>
          </w:tcPr>
          <w:p w14:paraId="53045D8A" w14:textId="77777777" w:rsidR="00BC605D" w:rsidRPr="00951AB1" w:rsidRDefault="00BC605D"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13.278.851.462</w:t>
            </w:r>
          </w:p>
        </w:tc>
      </w:tr>
      <w:tr w:rsidR="00244097" w:rsidRPr="00951AB1" w14:paraId="2C2C2FB1" w14:textId="77777777" w:rsidTr="00244097">
        <w:trPr>
          <w:trHeight w:val="340"/>
        </w:trPr>
        <w:tc>
          <w:tcPr>
            <w:tcW w:w="1763" w:type="pct"/>
            <w:tcBorders>
              <w:top w:val="nil"/>
              <w:left w:val="single" w:sz="8" w:space="0" w:color="A6A6A6"/>
              <w:bottom w:val="single" w:sz="8" w:space="0" w:color="A6A6A6"/>
              <w:right w:val="single" w:sz="8" w:space="0" w:color="A6A6A6"/>
            </w:tcBorders>
            <w:vAlign w:val="center"/>
            <w:hideMark/>
          </w:tcPr>
          <w:p w14:paraId="3CE196B6" w14:textId="77777777" w:rsidR="00BC605D" w:rsidRPr="00951AB1" w:rsidRDefault="00BC605D" w:rsidP="000A5389">
            <w:pPr>
              <w:spacing w:line="240" w:lineRule="auto"/>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Conexión Norte</w:t>
            </w:r>
          </w:p>
        </w:tc>
        <w:tc>
          <w:tcPr>
            <w:tcW w:w="1205" w:type="pct"/>
            <w:tcBorders>
              <w:top w:val="nil"/>
              <w:left w:val="nil"/>
              <w:bottom w:val="single" w:sz="8" w:space="0" w:color="A6A6A6"/>
              <w:right w:val="single" w:sz="8" w:space="0" w:color="A6A6A6"/>
            </w:tcBorders>
            <w:vAlign w:val="center"/>
            <w:hideMark/>
          </w:tcPr>
          <w:p w14:paraId="355FA633" w14:textId="77777777" w:rsidR="00BC605D" w:rsidRPr="00951AB1" w:rsidRDefault="00BC605D" w:rsidP="000A5389">
            <w:pPr>
              <w:spacing w:line="240" w:lineRule="auto"/>
              <w:jc w:val="center"/>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Redes</w:t>
            </w:r>
          </w:p>
        </w:tc>
        <w:tc>
          <w:tcPr>
            <w:tcW w:w="965" w:type="pct"/>
            <w:tcBorders>
              <w:top w:val="nil"/>
              <w:left w:val="nil"/>
              <w:bottom w:val="single" w:sz="8" w:space="0" w:color="A6A6A6"/>
              <w:right w:val="single" w:sz="8" w:space="0" w:color="A6A6A6"/>
            </w:tcBorders>
            <w:vAlign w:val="center"/>
            <w:hideMark/>
          </w:tcPr>
          <w:p w14:paraId="3177C373" w14:textId="77777777" w:rsidR="00BC605D" w:rsidRPr="00951AB1" w:rsidRDefault="00BC605D" w:rsidP="000A5389">
            <w:pPr>
              <w:spacing w:line="240" w:lineRule="auto"/>
              <w:jc w:val="center"/>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2024</w:t>
            </w:r>
          </w:p>
        </w:tc>
        <w:tc>
          <w:tcPr>
            <w:tcW w:w="1067" w:type="pct"/>
            <w:tcBorders>
              <w:top w:val="nil"/>
              <w:left w:val="nil"/>
              <w:bottom w:val="single" w:sz="8" w:space="0" w:color="A6A6A6"/>
              <w:right w:val="single" w:sz="8" w:space="0" w:color="A6A6A6"/>
            </w:tcBorders>
            <w:vAlign w:val="center"/>
            <w:hideMark/>
          </w:tcPr>
          <w:p w14:paraId="5A91F335" w14:textId="77777777" w:rsidR="00BC605D" w:rsidRPr="00951AB1" w:rsidRDefault="00BC605D"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6.771.812.556</w:t>
            </w:r>
          </w:p>
        </w:tc>
      </w:tr>
      <w:tr w:rsidR="00244097" w:rsidRPr="00951AB1" w14:paraId="398B9145" w14:textId="77777777" w:rsidTr="00244097">
        <w:trPr>
          <w:trHeight w:val="340"/>
        </w:trPr>
        <w:tc>
          <w:tcPr>
            <w:tcW w:w="1763" w:type="pct"/>
            <w:tcBorders>
              <w:top w:val="nil"/>
              <w:left w:val="single" w:sz="8" w:space="0" w:color="A6A6A6"/>
              <w:bottom w:val="single" w:sz="8" w:space="0" w:color="A6A6A6"/>
              <w:right w:val="single" w:sz="8" w:space="0" w:color="A6A6A6"/>
            </w:tcBorders>
            <w:vAlign w:val="center"/>
            <w:hideMark/>
          </w:tcPr>
          <w:p w14:paraId="362E614F" w14:textId="77777777" w:rsidR="00BC605D" w:rsidRPr="00951AB1" w:rsidRDefault="00BC605D" w:rsidP="000A5389">
            <w:pPr>
              <w:spacing w:line="240" w:lineRule="auto"/>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Pamplona - Cúcuta</w:t>
            </w:r>
          </w:p>
        </w:tc>
        <w:tc>
          <w:tcPr>
            <w:tcW w:w="1205" w:type="pct"/>
            <w:tcBorders>
              <w:top w:val="nil"/>
              <w:left w:val="nil"/>
              <w:bottom w:val="single" w:sz="8" w:space="0" w:color="A6A6A6"/>
              <w:right w:val="single" w:sz="8" w:space="0" w:color="A6A6A6"/>
            </w:tcBorders>
            <w:vAlign w:val="center"/>
            <w:hideMark/>
          </w:tcPr>
          <w:p w14:paraId="2C57DC88" w14:textId="77777777" w:rsidR="00BC605D" w:rsidRPr="00951AB1" w:rsidRDefault="00BC605D" w:rsidP="000A5389">
            <w:pPr>
              <w:spacing w:line="240" w:lineRule="auto"/>
              <w:jc w:val="center"/>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Comercial</w:t>
            </w:r>
          </w:p>
        </w:tc>
        <w:tc>
          <w:tcPr>
            <w:tcW w:w="965" w:type="pct"/>
            <w:tcBorders>
              <w:top w:val="nil"/>
              <w:left w:val="nil"/>
              <w:bottom w:val="single" w:sz="8" w:space="0" w:color="A6A6A6"/>
              <w:right w:val="single" w:sz="8" w:space="0" w:color="A6A6A6"/>
            </w:tcBorders>
            <w:vAlign w:val="center"/>
            <w:hideMark/>
          </w:tcPr>
          <w:p w14:paraId="41B41629" w14:textId="77777777" w:rsidR="00BC605D" w:rsidRPr="00951AB1" w:rsidRDefault="00BC605D" w:rsidP="000A5389">
            <w:pPr>
              <w:spacing w:line="240" w:lineRule="auto"/>
              <w:jc w:val="center"/>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2022-2023-2024</w:t>
            </w:r>
          </w:p>
        </w:tc>
        <w:tc>
          <w:tcPr>
            <w:tcW w:w="1067" w:type="pct"/>
            <w:tcBorders>
              <w:top w:val="nil"/>
              <w:left w:val="nil"/>
              <w:bottom w:val="single" w:sz="8" w:space="0" w:color="A6A6A6"/>
              <w:right w:val="single" w:sz="8" w:space="0" w:color="A6A6A6"/>
            </w:tcBorders>
            <w:vAlign w:val="center"/>
            <w:hideMark/>
          </w:tcPr>
          <w:p w14:paraId="34C30B0C" w14:textId="77777777" w:rsidR="00BC605D" w:rsidRPr="00951AB1" w:rsidRDefault="00BC605D"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6.179.527.087</w:t>
            </w:r>
          </w:p>
        </w:tc>
      </w:tr>
      <w:tr w:rsidR="00244097" w:rsidRPr="00951AB1" w14:paraId="325DD41B" w14:textId="77777777" w:rsidTr="00244097">
        <w:trPr>
          <w:trHeight w:val="340"/>
        </w:trPr>
        <w:tc>
          <w:tcPr>
            <w:tcW w:w="1763" w:type="pct"/>
            <w:tcBorders>
              <w:top w:val="nil"/>
              <w:left w:val="single" w:sz="8" w:space="0" w:color="A6A6A6"/>
              <w:bottom w:val="single" w:sz="8" w:space="0" w:color="A6A6A6"/>
              <w:right w:val="single" w:sz="8" w:space="0" w:color="A6A6A6"/>
            </w:tcBorders>
            <w:vAlign w:val="center"/>
            <w:hideMark/>
          </w:tcPr>
          <w:p w14:paraId="3A50C99A" w14:textId="77777777" w:rsidR="00BC605D" w:rsidRPr="00951AB1" w:rsidRDefault="00BC605D" w:rsidP="000A5389">
            <w:pPr>
              <w:spacing w:line="240" w:lineRule="auto"/>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Briceño - Tunja - Sogamoso</w:t>
            </w:r>
          </w:p>
        </w:tc>
        <w:tc>
          <w:tcPr>
            <w:tcW w:w="1205" w:type="pct"/>
            <w:tcBorders>
              <w:top w:val="nil"/>
              <w:left w:val="nil"/>
              <w:bottom w:val="single" w:sz="8" w:space="0" w:color="A6A6A6"/>
              <w:right w:val="single" w:sz="8" w:space="0" w:color="A6A6A6"/>
            </w:tcBorders>
            <w:vAlign w:val="center"/>
            <w:hideMark/>
          </w:tcPr>
          <w:p w14:paraId="4852E200" w14:textId="77777777" w:rsidR="00BC605D" w:rsidRPr="00951AB1" w:rsidRDefault="00BC605D" w:rsidP="000A5389">
            <w:pPr>
              <w:spacing w:line="240" w:lineRule="auto"/>
              <w:jc w:val="center"/>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Tarifario</w:t>
            </w:r>
          </w:p>
        </w:tc>
        <w:tc>
          <w:tcPr>
            <w:tcW w:w="965" w:type="pct"/>
            <w:tcBorders>
              <w:top w:val="nil"/>
              <w:left w:val="nil"/>
              <w:bottom w:val="single" w:sz="8" w:space="0" w:color="A6A6A6"/>
              <w:right w:val="single" w:sz="8" w:space="0" w:color="A6A6A6"/>
            </w:tcBorders>
            <w:vAlign w:val="center"/>
            <w:hideMark/>
          </w:tcPr>
          <w:p w14:paraId="2EB4F7A9" w14:textId="77777777" w:rsidR="00BC605D" w:rsidRPr="00951AB1" w:rsidRDefault="00BC605D" w:rsidP="000A5389">
            <w:pPr>
              <w:spacing w:line="240" w:lineRule="auto"/>
              <w:jc w:val="center"/>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2024</w:t>
            </w:r>
          </w:p>
        </w:tc>
        <w:tc>
          <w:tcPr>
            <w:tcW w:w="1067" w:type="pct"/>
            <w:tcBorders>
              <w:top w:val="nil"/>
              <w:left w:val="nil"/>
              <w:bottom w:val="single" w:sz="8" w:space="0" w:color="A6A6A6"/>
              <w:right w:val="single" w:sz="8" w:space="0" w:color="A6A6A6"/>
            </w:tcBorders>
            <w:vAlign w:val="center"/>
            <w:hideMark/>
          </w:tcPr>
          <w:p w14:paraId="6F8DEA2E" w14:textId="77777777" w:rsidR="00BC605D" w:rsidRPr="00951AB1" w:rsidRDefault="00BC605D"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6.056.322.474</w:t>
            </w:r>
          </w:p>
        </w:tc>
      </w:tr>
      <w:tr w:rsidR="00244097" w:rsidRPr="00951AB1" w14:paraId="54A9D9FE" w14:textId="77777777" w:rsidTr="00244097">
        <w:trPr>
          <w:trHeight w:val="340"/>
        </w:trPr>
        <w:tc>
          <w:tcPr>
            <w:tcW w:w="1763" w:type="pct"/>
            <w:tcBorders>
              <w:top w:val="nil"/>
              <w:left w:val="single" w:sz="8" w:space="0" w:color="A6A6A6"/>
              <w:bottom w:val="single" w:sz="8" w:space="0" w:color="A6A6A6"/>
              <w:right w:val="single" w:sz="8" w:space="0" w:color="A6A6A6"/>
            </w:tcBorders>
            <w:vAlign w:val="center"/>
            <w:hideMark/>
          </w:tcPr>
          <w:p w14:paraId="549EF124" w14:textId="77777777" w:rsidR="00BC605D" w:rsidRPr="00951AB1" w:rsidRDefault="00BC605D" w:rsidP="000A5389">
            <w:pPr>
              <w:spacing w:line="240" w:lineRule="auto"/>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Neiva - Mocoa - Santana</w:t>
            </w:r>
          </w:p>
        </w:tc>
        <w:tc>
          <w:tcPr>
            <w:tcW w:w="1205" w:type="pct"/>
            <w:tcBorders>
              <w:top w:val="nil"/>
              <w:left w:val="nil"/>
              <w:bottom w:val="single" w:sz="8" w:space="0" w:color="A6A6A6"/>
              <w:right w:val="single" w:sz="8" w:space="0" w:color="A6A6A6"/>
            </w:tcBorders>
            <w:vAlign w:val="center"/>
            <w:hideMark/>
          </w:tcPr>
          <w:p w14:paraId="7095CA0B" w14:textId="77777777" w:rsidR="00BC605D" w:rsidRPr="00951AB1" w:rsidRDefault="00BC605D" w:rsidP="000A5389">
            <w:pPr>
              <w:spacing w:line="240" w:lineRule="auto"/>
              <w:jc w:val="center"/>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Comercial</w:t>
            </w:r>
          </w:p>
        </w:tc>
        <w:tc>
          <w:tcPr>
            <w:tcW w:w="965" w:type="pct"/>
            <w:tcBorders>
              <w:top w:val="nil"/>
              <w:left w:val="nil"/>
              <w:bottom w:val="single" w:sz="8" w:space="0" w:color="A6A6A6"/>
              <w:right w:val="single" w:sz="8" w:space="0" w:color="A6A6A6"/>
            </w:tcBorders>
            <w:vAlign w:val="center"/>
            <w:hideMark/>
          </w:tcPr>
          <w:p w14:paraId="3D74EB47" w14:textId="77777777" w:rsidR="00BC605D" w:rsidRPr="00951AB1" w:rsidRDefault="00BC605D" w:rsidP="000A5389">
            <w:pPr>
              <w:spacing w:line="240" w:lineRule="auto"/>
              <w:jc w:val="center"/>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2023</w:t>
            </w:r>
          </w:p>
        </w:tc>
        <w:tc>
          <w:tcPr>
            <w:tcW w:w="1067" w:type="pct"/>
            <w:tcBorders>
              <w:top w:val="nil"/>
              <w:left w:val="nil"/>
              <w:bottom w:val="single" w:sz="8" w:space="0" w:color="A6A6A6"/>
              <w:right w:val="single" w:sz="8" w:space="0" w:color="A6A6A6"/>
            </w:tcBorders>
            <w:vAlign w:val="center"/>
            <w:hideMark/>
          </w:tcPr>
          <w:p w14:paraId="4972D032" w14:textId="77777777" w:rsidR="00BC605D" w:rsidRPr="00951AB1" w:rsidRDefault="00BC605D"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2.493.273.271</w:t>
            </w:r>
          </w:p>
        </w:tc>
      </w:tr>
    </w:tbl>
    <w:p w14:paraId="623B6C57" w14:textId="6F356747" w:rsidR="1C6FD584" w:rsidRPr="00951AB1" w:rsidRDefault="468C9B45" w:rsidP="000A5389">
      <w:pPr>
        <w:spacing w:line="240" w:lineRule="auto"/>
        <w:ind w:right="-20"/>
        <w:rPr>
          <w:rFonts w:cs="Times New Roman"/>
        </w:rPr>
      </w:pPr>
      <w:r w:rsidRPr="00951AB1">
        <w:rPr>
          <w:rFonts w:eastAsia="Times New Roman" w:cs="Times New Roman"/>
          <w:szCs w:val="24"/>
        </w:rPr>
        <w:t xml:space="preserve"> </w:t>
      </w:r>
    </w:p>
    <w:p w14:paraId="65FA5329" w14:textId="20965290" w:rsidR="1C6FD584" w:rsidRPr="00951AB1" w:rsidRDefault="468C9B45" w:rsidP="000A5389">
      <w:pPr>
        <w:spacing w:line="240" w:lineRule="auto"/>
        <w:ind w:right="-20"/>
        <w:rPr>
          <w:rFonts w:cs="Times New Roman"/>
        </w:rPr>
      </w:pPr>
      <w:r w:rsidRPr="00951AB1">
        <w:rPr>
          <w:rFonts w:eastAsia="Times New Roman" w:cs="Times New Roman"/>
          <w:szCs w:val="24"/>
        </w:rPr>
        <w:t xml:space="preserve">Es necesario precisar que la Entidad realizó, con la oportunidad debida, las gestiones y trámites pertinentes para obtener PAC en los meses de noviembre y diciembre de 2025, </w:t>
      </w:r>
      <w:r w:rsidRPr="00951AB1">
        <w:rPr>
          <w:rFonts w:eastAsia="Times New Roman" w:cs="Times New Roman"/>
          <w:szCs w:val="24"/>
        </w:rPr>
        <w:lastRenderedPageBreak/>
        <w:t>asociado al rubro 10-04-01, por valor de $520.282.355.179, de los cuales, más de $135.000.000.000 se encontraban destinados a cubrir aportes pendientes de giro en proyectos tales como: Autopista al Mar 1 (Tarifario: 2024), Neiva - Santana - Mocoa (Tarifario: 2024), Briceño - Tunja - Sogamoso (Tarifario: 2024), Pasto - Rumichaca (No instalación de peajes: 2022 y 2024).</w:t>
      </w:r>
    </w:p>
    <w:p w14:paraId="31536D73" w14:textId="4B9177A3" w:rsidR="1C6FD584" w:rsidRPr="00951AB1" w:rsidRDefault="468C9B45" w:rsidP="000A5389">
      <w:pPr>
        <w:spacing w:line="240" w:lineRule="auto"/>
        <w:ind w:right="-20"/>
        <w:rPr>
          <w:rFonts w:cs="Times New Roman"/>
        </w:rPr>
      </w:pPr>
      <w:r w:rsidRPr="00951AB1">
        <w:rPr>
          <w:rFonts w:eastAsia="Times New Roman" w:cs="Times New Roman"/>
          <w:szCs w:val="24"/>
        </w:rPr>
        <w:t xml:space="preserve"> </w:t>
      </w:r>
    </w:p>
    <w:p w14:paraId="0BD2FC4C" w14:textId="30365186" w:rsidR="1C6FD584" w:rsidRPr="00951AB1" w:rsidRDefault="468C9B45" w:rsidP="000A5389">
      <w:pPr>
        <w:spacing w:line="240" w:lineRule="auto"/>
        <w:ind w:right="-20"/>
        <w:rPr>
          <w:rFonts w:eastAsia="Times New Roman" w:cs="Times New Roman"/>
          <w:i/>
          <w:iCs/>
          <w:szCs w:val="24"/>
        </w:rPr>
      </w:pPr>
      <w:r w:rsidRPr="00951AB1">
        <w:rPr>
          <w:rFonts w:eastAsia="Times New Roman" w:cs="Times New Roman"/>
          <w:i/>
          <w:iCs/>
          <w:szCs w:val="24"/>
        </w:rPr>
        <w:t>Mediante traslados entre proyectos (previa autorización del ministerio de hacienda y crédito público)</w:t>
      </w:r>
    </w:p>
    <w:p w14:paraId="2C6175E4" w14:textId="77777777" w:rsidR="00C72D6E" w:rsidRPr="00951AB1" w:rsidRDefault="00C72D6E" w:rsidP="000A5389">
      <w:pPr>
        <w:spacing w:line="240" w:lineRule="auto"/>
        <w:ind w:right="-20"/>
        <w:rPr>
          <w:rFonts w:cs="Times New Roman"/>
        </w:rPr>
      </w:pPr>
    </w:p>
    <w:tbl>
      <w:tblPr>
        <w:tblW w:w="0" w:type="auto"/>
        <w:tblLook w:val="04A0" w:firstRow="1" w:lastRow="0" w:firstColumn="1" w:lastColumn="0" w:noHBand="0" w:noVBand="1"/>
      </w:tblPr>
      <w:tblGrid>
        <w:gridCol w:w="2536"/>
        <w:gridCol w:w="2327"/>
        <w:gridCol w:w="2137"/>
        <w:gridCol w:w="1818"/>
      </w:tblGrid>
      <w:tr w:rsidR="04E4DFA6" w:rsidRPr="00951AB1" w14:paraId="777EF9C7" w14:textId="77777777" w:rsidTr="00C72D6E">
        <w:trPr>
          <w:trHeight w:val="642"/>
          <w:tblHeader/>
        </w:trPr>
        <w:tc>
          <w:tcPr>
            <w:tcW w:w="2536" w:type="dxa"/>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tcMar>
              <w:left w:w="70" w:type="dxa"/>
              <w:right w:w="70" w:type="dxa"/>
            </w:tcMar>
            <w:vAlign w:val="center"/>
          </w:tcPr>
          <w:p w14:paraId="0A831586" w14:textId="7C51DE4A" w:rsidR="04E4DFA6" w:rsidRPr="00951AB1" w:rsidRDefault="468C9B45" w:rsidP="000A5389">
            <w:pPr>
              <w:spacing w:line="240" w:lineRule="auto"/>
              <w:jc w:val="center"/>
              <w:rPr>
                <w:rFonts w:cs="Times New Roman"/>
                <w:sz w:val="18"/>
                <w:szCs w:val="18"/>
              </w:rPr>
            </w:pPr>
            <w:r w:rsidRPr="00951AB1">
              <w:rPr>
                <w:rFonts w:eastAsia="Times New Roman" w:cs="Times New Roman"/>
                <w:sz w:val="18"/>
                <w:szCs w:val="18"/>
              </w:rPr>
              <w:t xml:space="preserve">  </w:t>
            </w:r>
            <w:r w:rsidR="04E4DFA6" w:rsidRPr="00951AB1">
              <w:rPr>
                <w:rFonts w:eastAsia="Times New Roman" w:cs="Times New Roman"/>
                <w:b/>
                <w:bCs/>
                <w:color w:val="000000" w:themeColor="text1"/>
                <w:sz w:val="18"/>
                <w:szCs w:val="18"/>
              </w:rPr>
              <w:t>PROYECTO</w:t>
            </w:r>
          </w:p>
        </w:tc>
        <w:tc>
          <w:tcPr>
            <w:tcW w:w="2327" w:type="dxa"/>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tcMar>
              <w:left w:w="70" w:type="dxa"/>
              <w:right w:w="70" w:type="dxa"/>
            </w:tcMar>
            <w:vAlign w:val="center"/>
          </w:tcPr>
          <w:p w14:paraId="05B2C04D" w14:textId="2AC79A0C" w:rsidR="04E4DFA6" w:rsidRPr="00951AB1" w:rsidRDefault="04E4DFA6" w:rsidP="000A5389">
            <w:pPr>
              <w:spacing w:line="240" w:lineRule="auto"/>
              <w:jc w:val="center"/>
              <w:rPr>
                <w:rFonts w:cs="Times New Roman"/>
                <w:sz w:val="18"/>
                <w:szCs w:val="18"/>
              </w:rPr>
            </w:pPr>
            <w:r w:rsidRPr="00951AB1">
              <w:rPr>
                <w:rFonts w:eastAsia="Times New Roman" w:cs="Times New Roman"/>
                <w:b/>
                <w:bCs/>
                <w:color w:val="000000" w:themeColor="text1"/>
                <w:sz w:val="18"/>
                <w:szCs w:val="18"/>
              </w:rPr>
              <w:t>RIESGO</w:t>
            </w:r>
          </w:p>
        </w:tc>
        <w:tc>
          <w:tcPr>
            <w:tcW w:w="2137" w:type="dxa"/>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tcMar>
              <w:left w:w="70" w:type="dxa"/>
              <w:right w:w="70" w:type="dxa"/>
            </w:tcMar>
            <w:vAlign w:val="center"/>
          </w:tcPr>
          <w:p w14:paraId="475EC7A4" w14:textId="078F8A6E" w:rsidR="04E4DFA6" w:rsidRPr="00951AB1" w:rsidRDefault="04E4DFA6" w:rsidP="000A5389">
            <w:pPr>
              <w:spacing w:line="240" w:lineRule="auto"/>
              <w:jc w:val="center"/>
              <w:rPr>
                <w:rFonts w:cs="Times New Roman"/>
                <w:sz w:val="18"/>
                <w:szCs w:val="18"/>
              </w:rPr>
            </w:pPr>
            <w:r w:rsidRPr="00951AB1">
              <w:rPr>
                <w:rFonts w:eastAsia="Times New Roman" w:cs="Times New Roman"/>
                <w:b/>
                <w:bCs/>
                <w:color w:val="000000" w:themeColor="text1"/>
                <w:sz w:val="18"/>
                <w:szCs w:val="18"/>
              </w:rPr>
              <w:t>PLAN DE APORTES</w:t>
            </w:r>
            <w:r w:rsidRPr="00951AB1">
              <w:rPr>
                <w:rFonts w:cs="Times New Roman"/>
                <w:sz w:val="18"/>
                <w:szCs w:val="18"/>
              </w:rPr>
              <w:br/>
            </w:r>
            <w:r w:rsidRPr="00951AB1">
              <w:rPr>
                <w:rFonts w:eastAsia="Times New Roman" w:cs="Times New Roman"/>
                <w:b/>
                <w:bCs/>
                <w:color w:val="000000" w:themeColor="text1"/>
                <w:sz w:val="18"/>
                <w:szCs w:val="18"/>
              </w:rPr>
              <w:t xml:space="preserve"> (MM-AAAA)</w:t>
            </w:r>
          </w:p>
        </w:tc>
        <w:tc>
          <w:tcPr>
            <w:tcW w:w="1818" w:type="dxa"/>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tcMar>
              <w:left w:w="70" w:type="dxa"/>
              <w:right w:w="70" w:type="dxa"/>
            </w:tcMar>
            <w:vAlign w:val="center"/>
          </w:tcPr>
          <w:p w14:paraId="4F41E94B" w14:textId="57D99A3C" w:rsidR="04E4DFA6" w:rsidRPr="00951AB1" w:rsidRDefault="04E4DFA6" w:rsidP="000A5389">
            <w:pPr>
              <w:spacing w:line="240" w:lineRule="auto"/>
              <w:jc w:val="center"/>
              <w:rPr>
                <w:rFonts w:cs="Times New Roman"/>
                <w:sz w:val="18"/>
                <w:szCs w:val="18"/>
              </w:rPr>
            </w:pPr>
            <w:r w:rsidRPr="00951AB1">
              <w:rPr>
                <w:rFonts w:eastAsia="Times New Roman" w:cs="Times New Roman"/>
                <w:b/>
                <w:bCs/>
                <w:color w:val="000000" w:themeColor="text1"/>
                <w:sz w:val="18"/>
                <w:szCs w:val="18"/>
              </w:rPr>
              <w:t>VALOR CORRIENTE</w:t>
            </w:r>
            <w:r w:rsidRPr="00951AB1">
              <w:rPr>
                <w:rFonts w:cs="Times New Roman"/>
                <w:sz w:val="18"/>
                <w:szCs w:val="18"/>
              </w:rPr>
              <w:br/>
            </w:r>
            <w:r w:rsidRPr="00951AB1">
              <w:rPr>
                <w:rFonts w:eastAsia="Times New Roman" w:cs="Times New Roman"/>
                <w:b/>
                <w:bCs/>
                <w:color w:val="000000" w:themeColor="text1"/>
                <w:sz w:val="18"/>
                <w:szCs w:val="18"/>
              </w:rPr>
              <w:t xml:space="preserve"> FONDEADO</w:t>
            </w:r>
          </w:p>
        </w:tc>
      </w:tr>
      <w:tr w:rsidR="04E4DFA6" w:rsidRPr="00951AB1" w14:paraId="5BDCDD07" w14:textId="77777777" w:rsidTr="00C72D6E">
        <w:trPr>
          <w:trHeight w:val="495"/>
        </w:trPr>
        <w:tc>
          <w:tcPr>
            <w:tcW w:w="2536" w:type="dxa"/>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tcMar>
              <w:left w:w="70" w:type="dxa"/>
              <w:right w:w="70" w:type="dxa"/>
            </w:tcMar>
            <w:vAlign w:val="bottom"/>
          </w:tcPr>
          <w:p w14:paraId="73C8D223" w14:textId="33C04397" w:rsidR="04E4DFA6" w:rsidRPr="00951AB1" w:rsidRDefault="04E4DFA6" w:rsidP="000A5389">
            <w:pPr>
              <w:spacing w:line="240" w:lineRule="auto"/>
              <w:rPr>
                <w:rFonts w:cs="Times New Roman"/>
                <w:sz w:val="18"/>
                <w:szCs w:val="18"/>
              </w:rPr>
            </w:pPr>
            <w:r w:rsidRPr="00951AB1">
              <w:rPr>
                <w:rFonts w:eastAsia="Times New Roman" w:cs="Times New Roman"/>
                <w:color w:val="000000" w:themeColor="text1"/>
                <w:sz w:val="18"/>
                <w:szCs w:val="18"/>
              </w:rPr>
              <w:t>Conexión Pacífico 1</w:t>
            </w:r>
          </w:p>
        </w:tc>
        <w:tc>
          <w:tcPr>
            <w:tcW w:w="2327" w:type="dxa"/>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tcMar>
              <w:left w:w="70" w:type="dxa"/>
              <w:right w:w="70" w:type="dxa"/>
            </w:tcMar>
            <w:vAlign w:val="bottom"/>
          </w:tcPr>
          <w:p w14:paraId="07E7FAE8" w14:textId="6D432B21" w:rsidR="04E4DFA6" w:rsidRPr="00951AB1" w:rsidRDefault="04E4DFA6" w:rsidP="000A5389">
            <w:pPr>
              <w:spacing w:line="240" w:lineRule="auto"/>
              <w:jc w:val="center"/>
              <w:rPr>
                <w:rFonts w:cs="Times New Roman"/>
                <w:sz w:val="18"/>
                <w:szCs w:val="18"/>
              </w:rPr>
            </w:pPr>
            <w:r w:rsidRPr="00951AB1">
              <w:rPr>
                <w:rFonts w:eastAsia="Times New Roman" w:cs="Times New Roman"/>
                <w:color w:val="000000" w:themeColor="text1"/>
                <w:sz w:val="18"/>
                <w:szCs w:val="18"/>
              </w:rPr>
              <w:t>Obras Solicitadas por</w:t>
            </w:r>
            <w:r w:rsidRPr="00951AB1">
              <w:rPr>
                <w:rFonts w:cs="Times New Roman"/>
                <w:sz w:val="18"/>
                <w:szCs w:val="18"/>
              </w:rPr>
              <w:br/>
            </w:r>
            <w:r w:rsidRPr="00951AB1">
              <w:rPr>
                <w:rFonts w:eastAsia="Times New Roman" w:cs="Times New Roman"/>
                <w:color w:val="000000" w:themeColor="text1"/>
                <w:sz w:val="18"/>
                <w:szCs w:val="18"/>
              </w:rPr>
              <w:t xml:space="preserve"> Autoridad Ambiental</w:t>
            </w:r>
          </w:p>
        </w:tc>
        <w:tc>
          <w:tcPr>
            <w:tcW w:w="2137" w:type="dxa"/>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tcMar>
              <w:left w:w="70" w:type="dxa"/>
              <w:right w:w="70" w:type="dxa"/>
            </w:tcMar>
            <w:vAlign w:val="bottom"/>
          </w:tcPr>
          <w:p w14:paraId="742A22BD" w14:textId="02EE2C9F" w:rsidR="04E4DFA6" w:rsidRPr="00951AB1" w:rsidRDefault="5B8BF92F" w:rsidP="000A5389">
            <w:pPr>
              <w:spacing w:line="240" w:lineRule="auto"/>
              <w:jc w:val="center"/>
              <w:rPr>
                <w:rFonts w:eastAsia="Times New Roman" w:cs="Times New Roman"/>
                <w:color w:val="000000" w:themeColor="text1"/>
                <w:sz w:val="18"/>
                <w:szCs w:val="18"/>
              </w:rPr>
            </w:pPr>
            <w:r w:rsidRPr="00951AB1">
              <w:rPr>
                <w:rFonts w:eastAsia="Times New Roman" w:cs="Times New Roman"/>
                <w:color w:val="000000" w:themeColor="text1"/>
                <w:sz w:val="18"/>
                <w:szCs w:val="18"/>
              </w:rPr>
              <w:t>Junio - 2023</w:t>
            </w:r>
          </w:p>
        </w:tc>
        <w:tc>
          <w:tcPr>
            <w:tcW w:w="1818" w:type="dxa"/>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tcMar>
              <w:left w:w="70" w:type="dxa"/>
              <w:right w:w="70" w:type="dxa"/>
            </w:tcMar>
            <w:vAlign w:val="bottom"/>
          </w:tcPr>
          <w:p w14:paraId="1E7F7A81" w14:textId="64011FC1" w:rsidR="04E4DFA6" w:rsidRPr="00951AB1" w:rsidRDefault="04E4DFA6" w:rsidP="000A5389">
            <w:pPr>
              <w:spacing w:line="240" w:lineRule="auto"/>
              <w:jc w:val="right"/>
              <w:rPr>
                <w:rFonts w:cs="Times New Roman"/>
                <w:sz w:val="18"/>
                <w:szCs w:val="18"/>
              </w:rPr>
            </w:pPr>
            <w:r w:rsidRPr="00951AB1">
              <w:rPr>
                <w:rFonts w:eastAsia="Times New Roman" w:cs="Times New Roman"/>
                <w:color w:val="000000" w:themeColor="text1"/>
                <w:sz w:val="18"/>
                <w:szCs w:val="18"/>
              </w:rPr>
              <w:t xml:space="preserve">45.910.532.223 </w:t>
            </w:r>
          </w:p>
        </w:tc>
      </w:tr>
      <w:tr w:rsidR="04E4DFA6" w:rsidRPr="00951AB1" w14:paraId="18B33F28" w14:textId="77777777" w:rsidTr="00C72D6E">
        <w:trPr>
          <w:trHeight w:val="300"/>
        </w:trPr>
        <w:tc>
          <w:tcPr>
            <w:tcW w:w="2536" w:type="dxa"/>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tcMar>
              <w:left w:w="70" w:type="dxa"/>
              <w:right w:w="70" w:type="dxa"/>
            </w:tcMar>
            <w:vAlign w:val="bottom"/>
          </w:tcPr>
          <w:p w14:paraId="77D5DDA9" w14:textId="7A338933" w:rsidR="04E4DFA6" w:rsidRPr="00951AB1" w:rsidRDefault="04E4DFA6" w:rsidP="000A5389">
            <w:pPr>
              <w:spacing w:line="240" w:lineRule="auto"/>
              <w:rPr>
                <w:rFonts w:cs="Times New Roman"/>
                <w:sz w:val="18"/>
                <w:szCs w:val="18"/>
              </w:rPr>
            </w:pPr>
            <w:r w:rsidRPr="00951AB1">
              <w:rPr>
                <w:rFonts w:eastAsia="Times New Roman" w:cs="Times New Roman"/>
                <w:color w:val="000000" w:themeColor="text1"/>
                <w:sz w:val="18"/>
                <w:szCs w:val="18"/>
              </w:rPr>
              <w:t>Autopista al Mar 1</w:t>
            </w:r>
          </w:p>
        </w:tc>
        <w:tc>
          <w:tcPr>
            <w:tcW w:w="2327" w:type="dxa"/>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tcMar>
              <w:left w:w="70" w:type="dxa"/>
              <w:right w:w="70" w:type="dxa"/>
            </w:tcMar>
            <w:vAlign w:val="bottom"/>
          </w:tcPr>
          <w:p w14:paraId="56333CA7" w14:textId="4B6628C1" w:rsidR="04E4DFA6" w:rsidRPr="00951AB1" w:rsidRDefault="04E4DFA6" w:rsidP="000A5389">
            <w:pPr>
              <w:spacing w:line="240" w:lineRule="auto"/>
              <w:jc w:val="center"/>
              <w:rPr>
                <w:rFonts w:cs="Times New Roman"/>
                <w:sz w:val="18"/>
                <w:szCs w:val="18"/>
              </w:rPr>
            </w:pPr>
            <w:r w:rsidRPr="00951AB1">
              <w:rPr>
                <w:rFonts w:eastAsia="Times New Roman" w:cs="Times New Roman"/>
                <w:color w:val="000000" w:themeColor="text1"/>
                <w:sz w:val="18"/>
                <w:szCs w:val="18"/>
              </w:rPr>
              <w:t>Tarifario</w:t>
            </w:r>
          </w:p>
        </w:tc>
        <w:tc>
          <w:tcPr>
            <w:tcW w:w="2137" w:type="dxa"/>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tcMar>
              <w:left w:w="70" w:type="dxa"/>
              <w:right w:w="70" w:type="dxa"/>
            </w:tcMar>
            <w:vAlign w:val="bottom"/>
          </w:tcPr>
          <w:p w14:paraId="35640AD6" w14:textId="28696A5B" w:rsidR="04E4DFA6" w:rsidRPr="00951AB1" w:rsidRDefault="1AC77704" w:rsidP="000A5389">
            <w:pPr>
              <w:spacing w:line="240" w:lineRule="auto"/>
              <w:jc w:val="center"/>
              <w:rPr>
                <w:rFonts w:eastAsia="Times New Roman" w:cs="Times New Roman"/>
                <w:color w:val="000000" w:themeColor="text1"/>
                <w:sz w:val="18"/>
                <w:szCs w:val="18"/>
              </w:rPr>
            </w:pPr>
            <w:r w:rsidRPr="00951AB1">
              <w:rPr>
                <w:rFonts w:eastAsia="Times New Roman" w:cs="Times New Roman"/>
                <w:color w:val="000000" w:themeColor="text1"/>
                <w:sz w:val="18"/>
                <w:szCs w:val="18"/>
              </w:rPr>
              <w:t>Marzo - 2024</w:t>
            </w:r>
          </w:p>
        </w:tc>
        <w:tc>
          <w:tcPr>
            <w:tcW w:w="1818" w:type="dxa"/>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tcMar>
              <w:left w:w="70" w:type="dxa"/>
              <w:right w:w="70" w:type="dxa"/>
            </w:tcMar>
            <w:vAlign w:val="bottom"/>
          </w:tcPr>
          <w:p w14:paraId="383C17E9" w14:textId="0D7998D7" w:rsidR="04E4DFA6" w:rsidRPr="00951AB1" w:rsidRDefault="04E4DFA6" w:rsidP="000A5389">
            <w:pPr>
              <w:spacing w:line="240" w:lineRule="auto"/>
              <w:jc w:val="right"/>
              <w:rPr>
                <w:rFonts w:cs="Times New Roman"/>
                <w:sz w:val="18"/>
                <w:szCs w:val="18"/>
              </w:rPr>
            </w:pPr>
            <w:r w:rsidRPr="00951AB1">
              <w:rPr>
                <w:rFonts w:eastAsia="Times New Roman" w:cs="Times New Roman"/>
                <w:color w:val="000000" w:themeColor="text1"/>
                <w:sz w:val="18"/>
                <w:szCs w:val="18"/>
              </w:rPr>
              <w:t xml:space="preserve">7.226.789.053 </w:t>
            </w:r>
          </w:p>
        </w:tc>
      </w:tr>
      <w:tr w:rsidR="04E4DFA6" w:rsidRPr="00951AB1" w14:paraId="58478B47" w14:textId="77777777" w:rsidTr="00C72D6E">
        <w:trPr>
          <w:trHeight w:val="300"/>
        </w:trPr>
        <w:tc>
          <w:tcPr>
            <w:tcW w:w="2536" w:type="dxa"/>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tcMar>
              <w:left w:w="70" w:type="dxa"/>
              <w:right w:w="70" w:type="dxa"/>
            </w:tcMar>
            <w:vAlign w:val="bottom"/>
          </w:tcPr>
          <w:p w14:paraId="49D45C00" w14:textId="130690FC" w:rsidR="04E4DFA6" w:rsidRPr="00951AB1" w:rsidRDefault="04E4DFA6" w:rsidP="000A5389">
            <w:pPr>
              <w:spacing w:line="240" w:lineRule="auto"/>
              <w:rPr>
                <w:rFonts w:cs="Times New Roman"/>
                <w:sz w:val="18"/>
                <w:szCs w:val="18"/>
              </w:rPr>
            </w:pPr>
            <w:r w:rsidRPr="00951AB1">
              <w:rPr>
                <w:rFonts w:eastAsia="Times New Roman" w:cs="Times New Roman"/>
                <w:color w:val="000000" w:themeColor="text1"/>
                <w:sz w:val="18"/>
                <w:szCs w:val="18"/>
              </w:rPr>
              <w:t>Puerta de Hierro - Cruz del Viso</w:t>
            </w:r>
          </w:p>
        </w:tc>
        <w:tc>
          <w:tcPr>
            <w:tcW w:w="2327" w:type="dxa"/>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tcMar>
              <w:left w:w="70" w:type="dxa"/>
              <w:right w:w="70" w:type="dxa"/>
            </w:tcMar>
            <w:vAlign w:val="bottom"/>
          </w:tcPr>
          <w:p w14:paraId="3E33F565" w14:textId="3BB66DA7" w:rsidR="04E4DFA6" w:rsidRPr="00951AB1" w:rsidRDefault="04E4DFA6" w:rsidP="000A5389">
            <w:pPr>
              <w:spacing w:line="240" w:lineRule="auto"/>
              <w:jc w:val="center"/>
              <w:rPr>
                <w:rFonts w:cs="Times New Roman"/>
                <w:sz w:val="18"/>
                <w:szCs w:val="18"/>
              </w:rPr>
            </w:pPr>
            <w:r w:rsidRPr="00951AB1">
              <w:rPr>
                <w:rFonts w:eastAsia="Times New Roman" w:cs="Times New Roman"/>
                <w:color w:val="000000" w:themeColor="text1"/>
                <w:sz w:val="18"/>
                <w:szCs w:val="18"/>
              </w:rPr>
              <w:t>Interventoría</w:t>
            </w:r>
          </w:p>
        </w:tc>
        <w:tc>
          <w:tcPr>
            <w:tcW w:w="2137" w:type="dxa"/>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tcMar>
              <w:left w:w="70" w:type="dxa"/>
              <w:right w:w="70" w:type="dxa"/>
            </w:tcMar>
            <w:vAlign w:val="bottom"/>
          </w:tcPr>
          <w:p w14:paraId="5B06801D" w14:textId="15C904D9" w:rsidR="04E4DFA6" w:rsidRPr="00951AB1" w:rsidRDefault="1C35CC51" w:rsidP="000A5389">
            <w:pPr>
              <w:spacing w:line="240" w:lineRule="auto"/>
              <w:jc w:val="center"/>
              <w:rPr>
                <w:rFonts w:eastAsia="Times New Roman" w:cs="Times New Roman"/>
                <w:color w:val="000000" w:themeColor="text1"/>
                <w:sz w:val="18"/>
                <w:szCs w:val="18"/>
              </w:rPr>
            </w:pPr>
            <w:r w:rsidRPr="00951AB1">
              <w:rPr>
                <w:rFonts w:eastAsia="Times New Roman" w:cs="Times New Roman"/>
                <w:color w:val="000000" w:themeColor="text1"/>
                <w:sz w:val="18"/>
                <w:szCs w:val="18"/>
              </w:rPr>
              <w:t>Junio - 2024</w:t>
            </w:r>
          </w:p>
        </w:tc>
        <w:tc>
          <w:tcPr>
            <w:tcW w:w="1818" w:type="dxa"/>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tcMar>
              <w:left w:w="70" w:type="dxa"/>
              <w:right w:w="70" w:type="dxa"/>
            </w:tcMar>
            <w:vAlign w:val="bottom"/>
          </w:tcPr>
          <w:p w14:paraId="450D3144" w14:textId="79CC0EB8" w:rsidR="04E4DFA6" w:rsidRPr="00951AB1" w:rsidRDefault="04E4DFA6" w:rsidP="000A5389">
            <w:pPr>
              <w:spacing w:line="240" w:lineRule="auto"/>
              <w:jc w:val="right"/>
              <w:rPr>
                <w:rFonts w:cs="Times New Roman"/>
                <w:sz w:val="18"/>
                <w:szCs w:val="18"/>
              </w:rPr>
            </w:pPr>
            <w:r w:rsidRPr="00951AB1">
              <w:rPr>
                <w:rFonts w:eastAsia="Times New Roman" w:cs="Times New Roman"/>
                <w:color w:val="000000" w:themeColor="text1"/>
                <w:sz w:val="18"/>
                <w:szCs w:val="18"/>
              </w:rPr>
              <w:t>9.041.372</w:t>
            </w:r>
          </w:p>
        </w:tc>
      </w:tr>
    </w:tbl>
    <w:p w14:paraId="664DD95D" w14:textId="22FB8262" w:rsidR="1C6FD584" w:rsidRPr="00951AB1" w:rsidRDefault="468C9B45" w:rsidP="000A5389">
      <w:pPr>
        <w:spacing w:line="240" w:lineRule="auto"/>
        <w:ind w:right="-20"/>
        <w:rPr>
          <w:rFonts w:cs="Times New Roman"/>
        </w:rPr>
      </w:pPr>
      <w:r w:rsidRPr="00951AB1">
        <w:rPr>
          <w:rFonts w:eastAsia="Times New Roman" w:cs="Times New Roman"/>
          <w:szCs w:val="24"/>
        </w:rPr>
        <w:t xml:space="preserve"> </w:t>
      </w:r>
    </w:p>
    <w:p w14:paraId="19FF4E86" w14:textId="3CFF06E3" w:rsidR="1C6FD584" w:rsidRPr="00951AB1" w:rsidRDefault="468C9B45" w:rsidP="000A5389">
      <w:pPr>
        <w:spacing w:line="240" w:lineRule="auto"/>
        <w:ind w:right="-20"/>
        <w:rPr>
          <w:rFonts w:cs="Times New Roman"/>
        </w:rPr>
      </w:pPr>
      <w:r w:rsidRPr="00951AB1">
        <w:rPr>
          <w:rFonts w:eastAsia="Times New Roman" w:cs="Times New Roman"/>
          <w:szCs w:val="24"/>
        </w:rPr>
        <w:t>Desde el G.I.T. de Riesgos informan no tener conocimiento acerca de la existencia de recursos de reposición presentados con ocasión de los aportes pendientes de giro al Fondo de Contingencias de las Entidades Estatales, o por cualquier otro asunto que recaiga bajo nuestra competencia.</w:t>
      </w:r>
    </w:p>
    <w:p w14:paraId="036ED8CC" w14:textId="6C860E36" w:rsidR="1C6FD584" w:rsidRPr="00951AB1" w:rsidRDefault="468C9B45" w:rsidP="000A5389">
      <w:pPr>
        <w:spacing w:line="240" w:lineRule="auto"/>
        <w:ind w:right="-20"/>
        <w:rPr>
          <w:rFonts w:cs="Times New Roman"/>
        </w:rPr>
      </w:pPr>
      <w:r w:rsidRPr="00951AB1">
        <w:rPr>
          <w:rFonts w:eastAsia="Times New Roman" w:cs="Times New Roman"/>
          <w:szCs w:val="24"/>
        </w:rPr>
        <w:t xml:space="preserve"> </w:t>
      </w:r>
    </w:p>
    <w:p w14:paraId="48D4806B" w14:textId="4348DDED" w:rsidR="1C6FD584" w:rsidRPr="00951AB1" w:rsidRDefault="468C9B45" w:rsidP="000A5389">
      <w:pPr>
        <w:spacing w:line="240" w:lineRule="auto"/>
        <w:ind w:right="-20"/>
        <w:rPr>
          <w:rFonts w:cs="Times New Roman"/>
          <w:i/>
          <w:iCs/>
        </w:rPr>
      </w:pPr>
      <w:r w:rsidRPr="00951AB1">
        <w:rPr>
          <w:rFonts w:eastAsia="Times New Roman" w:cs="Times New Roman"/>
          <w:i/>
          <w:iCs/>
          <w:szCs w:val="24"/>
        </w:rPr>
        <w:t>Informe de diferencia de recaudo “DR’S” (riesgo comercial) Proyectos de Concesión Modo Carretero.</w:t>
      </w:r>
    </w:p>
    <w:p w14:paraId="3A8704C3" w14:textId="6DC093E8" w:rsidR="1C6FD584" w:rsidRPr="00951AB1" w:rsidRDefault="468C9B45" w:rsidP="000A5389">
      <w:pPr>
        <w:spacing w:line="240" w:lineRule="auto"/>
        <w:ind w:right="-20"/>
        <w:rPr>
          <w:rFonts w:cs="Times New Roman"/>
        </w:rPr>
      </w:pPr>
      <w:r w:rsidRPr="00951AB1">
        <w:rPr>
          <w:rFonts w:eastAsia="Times New Roman" w:cs="Times New Roman"/>
          <w:szCs w:val="24"/>
        </w:rPr>
        <w:t xml:space="preserve"> </w:t>
      </w:r>
    </w:p>
    <w:p w14:paraId="1E4D3E93" w14:textId="4BF7845D" w:rsidR="1C6FD584" w:rsidRPr="00951AB1" w:rsidRDefault="468C9B45" w:rsidP="000A5389">
      <w:pPr>
        <w:spacing w:line="240" w:lineRule="auto"/>
        <w:ind w:right="-20"/>
        <w:rPr>
          <w:rFonts w:eastAsia="Times New Roman" w:cs="Times New Roman"/>
          <w:szCs w:val="24"/>
        </w:rPr>
      </w:pPr>
      <w:r w:rsidRPr="00951AB1">
        <w:rPr>
          <w:rFonts w:eastAsia="Times New Roman" w:cs="Times New Roman"/>
          <w:szCs w:val="24"/>
        </w:rPr>
        <w:t xml:space="preserve">Como se observa en la siguiente tabla, durante la vigencia 2025 la mayor proporción de pagos realizados a través del Fondo de Contingencias de las Entidades Estatales (FCEE) corresponde al Riesgo Comercial, con ocasión del cumplimiento del plazo contractual para el reconocimiento del </w:t>
      </w:r>
      <w:r w:rsidRPr="00951AB1">
        <w:rPr>
          <w:rFonts w:eastAsia="Times New Roman" w:cs="Times New Roman"/>
          <w:b/>
          <w:szCs w:val="24"/>
        </w:rPr>
        <w:t>Diferencial</w:t>
      </w:r>
      <w:r w:rsidRPr="00951AB1">
        <w:rPr>
          <w:rFonts w:eastAsia="Times New Roman" w:cs="Times New Roman"/>
          <w:szCs w:val="24"/>
        </w:rPr>
        <w:t xml:space="preserve"> de Recaudo en los proyectos de concesión del modo carretero del programa 4G:</w:t>
      </w:r>
    </w:p>
    <w:p w14:paraId="7D1A3F5C" w14:textId="77777777" w:rsidR="1C6FD584" w:rsidRPr="00951AB1" w:rsidRDefault="1C6FD584" w:rsidP="000A5389">
      <w:pPr>
        <w:spacing w:line="240" w:lineRule="auto"/>
        <w:ind w:right="-20"/>
        <w:rPr>
          <w:rFonts w:cs="Times New Roman"/>
        </w:rPr>
      </w:pPr>
    </w:p>
    <w:tbl>
      <w:tblPr>
        <w:tblW w:w="0" w:type="auto"/>
        <w:tblLook w:val="06A0" w:firstRow="1" w:lastRow="0" w:firstColumn="1" w:lastColumn="0" w:noHBand="1" w:noVBand="1"/>
      </w:tblPr>
      <w:tblGrid>
        <w:gridCol w:w="4501"/>
        <w:gridCol w:w="2265"/>
        <w:gridCol w:w="1951"/>
      </w:tblGrid>
      <w:tr w:rsidR="72CE0456" w:rsidRPr="00951AB1" w14:paraId="46F2CD79" w14:textId="77777777" w:rsidTr="00A4228A">
        <w:trPr>
          <w:trHeight w:val="495"/>
          <w:tblHeader/>
        </w:trPr>
        <w:tc>
          <w:tcPr>
            <w:tcW w:w="450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4AA47581" w14:textId="603B9F4B" w:rsidR="72CE0456" w:rsidRPr="00951AB1" w:rsidRDefault="72CE0456" w:rsidP="000A5389">
            <w:pPr>
              <w:spacing w:line="240" w:lineRule="auto"/>
              <w:jc w:val="center"/>
              <w:rPr>
                <w:rFonts w:cs="Times New Roman"/>
                <w:sz w:val="20"/>
                <w:szCs w:val="20"/>
              </w:rPr>
            </w:pPr>
            <w:r w:rsidRPr="00951AB1">
              <w:rPr>
                <w:rFonts w:eastAsia="Times New Roman" w:cs="Times New Roman"/>
                <w:b/>
                <w:bCs/>
                <w:color w:val="000000" w:themeColor="text1"/>
                <w:sz w:val="20"/>
                <w:szCs w:val="20"/>
              </w:rPr>
              <w:t>RIESGO</w:t>
            </w:r>
          </w:p>
        </w:tc>
        <w:tc>
          <w:tcPr>
            <w:tcW w:w="226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71D3FF81" w14:textId="0DA8933C" w:rsidR="72CE0456" w:rsidRPr="00951AB1" w:rsidRDefault="72CE0456" w:rsidP="000A5389">
            <w:pPr>
              <w:spacing w:line="240" w:lineRule="auto"/>
              <w:jc w:val="center"/>
              <w:rPr>
                <w:rFonts w:cs="Times New Roman"/>
                <w:sz w:val="20"/>
                <w:szCs w:val="20"/>
              </w:rPr>
            </w:pPr>
            <w:r w:rsidRPr="00951AB1">
              <w:rPr>
                <w:rFonts w:eastAsia="Times New Roman" w:cs="Times New Roman"/>
                <w:b/>
                <w:bCs/>
                <w:color w:val="000000" w:themeColor="text1"/>
                <w:sz w:val="20"/>
                <w:szCs w:val="20"/>
              </w:rPr>
              <w:t>VALOR PAGADO</w:t>
            </w:r>
            <w:r w:rsidRPr="00951AB1">
              <w:rPr>
                <w:rFonts w:cs="Times New Roman"/>
                <w:sz w:val="20"/>
                <w:szCs w:val="20"/>
              </w:rPr>
              <w:br/>
            </w:r>
            <w:r w:rsidRPr="00951AB1">
              <w:rPr>
                <w:rFonts w:eastAsia="Times New Roman" w:cs="Times New Roman"/>
                <w:b/>
                <w:bCs/>
                <w:color w:val="000000" w:themeColor="text1"/>
                <w:sz w:val="20"/>
                <w:szCs w:val="20"/>
              </w:rPr>
              <w:t xml:space="preserve"> FCEE 2025</w:t>
            </w:r>
          </w:p>
        </w:tc>
        <w:tc>
          <w:tcPr>
            <w:tcW w:w="195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center"/>
          </w:tcPr>
          <w:p w14:paraId="00CC2617" w14:textId="214B464F" w:rsidR="72CE0456" w:rsidRPr="00951AB1" w:rsidRDefault="72CE0456" w:rsidP="000A5389">
            <w:pPr>
              <w:spacing w:line="240" w:lineRule="auto"/>
              <w:jc w:val="center"/>
              <w:rPr>
                <w:rFonts w:cs="Times New Roman"/>
                <w:sz w:val="20"/>
                <w:szCs w:val="20"/>
              </w:rPr>
            </w:pPr>
            <w:r w:rsidRPr="00951AB1">
              <w:rPr>
                <w:rFonts w:eastAsia="Times New Roman" w:cs="Times New Roman"/>
                <w:b/>
                <w:bCs/>
                <w:color w:val="000000" w:themeColor="text1"/>
                <w:sz w:val="20"/>
                <w:szCs w:val="20"/>
              </w:rPr>
              <w:t>PROPORCIÓN</w:t>
            </w:r>
            <w:r w:rsidRPr="00951AB1">
              <w:rPr>
                <w:rFonts w:cs="Times New Roman"/>
                <w:sz w:val="20"/>
                <w:szCs w:val="20"/>
              </w:rPr>
              <w:br/>
            </w:r>
            <w:r w:rsidRPr="00951AB1">
              <w:rPr>
                <w:rFonts w:eastAsia="Times New Roman" w:cs="Times New Roman"/>
                <w:b/>
                <w:bCs/>
                <w:color w:val="000000" w:themeColor="text1"/>
                <w:sz w:val="20"/>
                <w:szCs w:val="20"/>
              </w:rPr>
              <w:t xml:space="preserve"> PORCENTUAL</w:t>
            </w:r>
          </w:p>
        </w:tc>
      </w:tr>
      <w:tr w:rsidR="72CE0456" w:rsidRPr="00951AB1" w14:paraId="499F5DDC" w14:textId="77777777" w:rsidTr="00222723">
        <w:trPr>
          <w:trHeight w:val="300"/>
        </w:trPr>
        <w:tc>
          <w:tcPr>
            <w:tcW w:w="450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bottom"/>
          </w:tcPr>
          <w:p w14:paraId="1EA9625E" w14:textId="37C54DB8" w:rsidR="72CE0456" w:rsidRPr="00951AB1" w:rsidRDefault="72CE0456" w:rsidP="000A5389">
            <w:pPr>
              <w:spacing w:line="240" w:lineRule="auto"/>
              <w:rPr>
                <w:rFonts w:cs="Times New Roman"/>
                <w:sz w:val="20"/>
                <w:szCs w:val="20"/>
              </w:rPr>
            </w:pPr>
            <w:r w:rsidRPr="00951AB1">
              <w:rPr>
                <w:rFonts w:eastAsia="Times New Roman" w:cs="Times New Roman"/>
                <w:color w:val="000000" w:themeColor="text1"/>
                <w:sz w:val="20"/>
                <w:szCs w:val="20"/>
              </w:rPr>
              <w:t>Comercial</w:t>
            </w:r>
          </w:p>
        </w:tc>
        <w:tc>
          <w:tcPr>
            <w:tcW w:w="226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bottom"/>
          </w:tcPr>
          <w:p w14:paraId="4EADC57C" w14:textId="002CCDC2" w:rsidR="72CE0456" w:rsidRPr="00951AB1" w:rsidRDefault="72CE0456" w:rsidP="000A5389">
            <w:pPr>
              <w:spacing w:line="240" w:lineRule="auto"/>
              <w:jc w:val="right"/>
              <w:rPr>
                <w:rFonts w:cs="Times New Roman"/>
                <w:sz w:val="20"/>
                <w:szCs w:val="20"/>
              </w:rPr>
            </w:pPr>
            <w:r w:rsidRPr="00951AB1">
              <w:rPr>
                <w:rFonts w:eastAsia="Times New Roman" w:cs="Times New Roman"/>
                <w:color w:val="000000" w:themeColor="text1"/>
                <w:sz w:val="20"/>
                <w:szCs w:val="20"/>
              </w:rPr>
              <w:t>639.097.638.258</w:t>
            </w:r>
          </w:p>
        </w:tc>
        <w:tc>
          <w:tcPr>
            <w:tcW w:w="195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bottom"/>
          </w:tcPr>
          <w:p w14:paraId="3BFACE4F" w14:textId="665BEEC4" w:rsidR="72CE0456" w:rsidRPr="00951AB1" w:rsidRDefault="72CE0456" w:rsidP="000A5389">
            <w:pPr>
              <w:spacing w:line="240" w:lineRule="auto"/>
              <w:jc w:val="center"/>
              <w:rPr>
                <w:rFonts w:cs="Times New Roman"/>
                <w:sz w:val="20"/>
                <w:szCs w:val="20"/>
              </w:rPr>
            </w:pPr>
            <w:r w:rsidRPr="00951AB1">
              <w:rPr>
                <w:rFonts w:eastAsia="Times New Roman" w:cs="Times New Roman"/>
                <w:color w:val="000000" w:themeColor="text1"/>
                <w:sz w:val="20"/>
                <w:szCs w:val="20"/>
              </w:rPr>
              <w:t>48,33%</w:t>
            </w:r>
          </w:p>
        </w:tc>
      </w:tr>
      <w:tr w:rsidR="72CE0456" w:rsidRPr="00951AB1" w14:paraId="4EF0C8A8" w14:textId="77777777" w:rsidTr="00222723">
        <w:trPr>
          <w:trHeight w:val="300"/>
        </w:trPr>
        <w:tc>
          <w:tcPr>
            <w:tcW w:w="450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bottom"/>
          </w:tcPr>
          <w:p w14:paraId="1859881E" w14:textId="362C0A10" w:rsidR="72CE0456" w:rsidRPr="00951AB1" w:rsidRDefault="72CE0456" w:rsidP="000A5389">
            <w:pPr>
              <w:spacing w:line="240" w:lineRule="auto"/>
              <w:rPr>
                <w:rFonts w:cs="Times New Roman"/>
                <w:sz w:val="20"/>
                <w:szCs w:val="20"/>
              </w:rPr>
            </w:pPr>
            <w:r w:rsidRPr="00951AB1">
              <w:rPr>
                <w:rFonts w:eastAsia="Times New Roman" w:cs="Times New Roman"/>
                <w:color w:val="000000" w:themeColor="text1"/>
                <w:sz w:val="20"/>
                <w:szCs w:val="20"/>
              </w:rPr>
              <w:t>Tarifario</w:t>
            </w:r>
          </w:p>
        </w:tc>
        <w:tc>
          <w:tcPr>
            <w:tcW w:w="226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bottom"/>
          </w:tcPr>
          <w:p w14:paraId="243F62F1" w14:textId="54C72D42" w:rsidR="72CE0456" w:rsidRPr="00951AB1" w:rsidRDefault="72CE0456" w:rsidP="000A5389">
            <w:pPr>
              <w:spacing w:line="240" w:lineRule="auto"/>
              <w:jc w:val="right"/>
              <w:rPr>
                <w:rFonts w:cs="Times New Roman"/>
                <w:sz w:val="20"/>
                <w:szCs w:val="20"/>
              </w:rPr>
            </w:pPr>
            <w:r w:rsidRPr="00951AB1">
              <w:rPr>
                <w:rFonts w:eastAsia="Times New Roman" w:cs="Times New Roman"/>
                <w:color w:val="000000" w:themeColor="text1"/>
                <w:sz w:val="20"/>
                <w:szCs w:val="20"/>
              </w:rPr>
              <w:t>329.612.562.921</w:t>
            </w:r>
          </w:p>
        </w:tc>
        <w:tc>
          <w:tcPr>
            <w:tcW w:w="195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bottom"/>
          </w:tcPr>
          <w:p w14:paraId="1BF02C58" w14:textId="661D28D4" w:rsidR="72CE0456" w:rsidRPr="00951AB1" w:rsidRDefault="72CE0456" w:rsidP="000A5389">
            <w:pPr>
              <w:spacing w:line="240" w:lineRule="auto"/>
              <w:jc w:val="center"/>
              <w:rPr>
                <w:rFonts w:cs="Times New Roman"/>
                <w:sz w:val="20"/>
                <w:szCs w:val="20"/>
              </w:rPr>
            </w:pPr>
            <w:r w:rsidRPr="00951AB1">
              <w:rPr>
                <w:rFonts w:eastAsia="Times New Roman" w:cs="Times New Roman"/>
                <w:color w:val="000000" w:themeColor="text1"/>
                <w:sz w:val="20"/>
                <w:szCs w:val="20"/>
              </w:rPr>
              <w:t>24,93%</w:t>
            </w:r>
          </w:p>
        </w:tc>
      </w:tr>
      <w:tr w:rsidR="72CE0456" w:rsidRPr="00951AB1" w14:paraId="4252A48A" w14:textId="77777777" w:rsidTr="00222723">
        <w:trPr>
          <w:trHeight w:val="300"/>
        </w:trPr>
        <w:tc>
          <w:tcPr>
            <w:tcW w:w="450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bottom"/>
          </w:tcPr>
          <w:p w14:paraId="16CFE21B" w14:textId="450D61F6" w:rsidR="72CE0456" w:rsidRPr="00951AB1" w:rsidRDefault="72CE0456" w:rsidP="000A5389">
            <w:pPr>
              <w:spacing w:line="240" w:lineRule="auto"/>
              <w:rPr>
                <w:rFonts w:cs="Times New Roman"/>
                <w:sz w:val="20"/>
                <w:szCs w:val="20"/>
              </w:rPr>
            </w:pPr>
            <w:r w:rsidRPr="00951AB1">
              <w:rPr>
                <w:rFonts w:eastAsia="Times New Roman" w:cs="Times New Roman"/>
                <w:color w:val="000000" w:themeColor="text1"/>
                <w:sz w:val="20"/>
                <w:szCs w:val="20"/>
              </w:rPr>
              <w:t>No instalación de peajes</w:t>
            </w:r>
          </w:p>
        </w:tc>
        <w:tc>
          <w:tcPr>
            <w:tcW w:w="226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bottom"/>
          </w:tcPr>
          <w:p w14:paraId="2C2B62BB" w14:textId="1949CE7E" w:rsidR="72CE0456" w:rsidRPr="00951AB1" w:rsidRDefault="72CE0456" w:rsidP="000A5389">
            <w:pPr>
              <w:spacing w:line="240" w:lineRule="auto"/>
              <w:jc w:val="right"/>
              <w:rPr>
                <w:rFonts w:cs="Times New Roman"/>
                <w:sz w:val="20"/>
                <w:szCs w:val="20"/>
              </w:rPr>
            </w:pPr>
            <w:r w:rsidRPr="00951AB1">
              <w:rPr>
                <w:rFonts w:eastAsia="Times New Roman" w:cs="Times New Roman"/>
                <w:color w:val="000000" w:themeColor="text1"/>
                <w:sz w:val="20"/>
                <w:szCs w:val="20"/>
              </w:rPr>
              <w:t>175.484.642.818</w:t>
            </w:r>
          </w:p>
        </w:tc>
        <w:tc>
          <w:tcPr>
            <w:tcW w:w="195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bottom"/>
          </w:tcPr>
          <w:p w14:paraId="3F0D1E9F" w14:textId="134F8C26" w:rsidR="72CE0456" w:rsidRPr="00951AB1" w:rsidRDefault="72CE0456" w:rsidP="000A5389">
            <w:pPr>
              <w:spacing w:line="240" w:lineRule="auto"/>
              <w:jc w:val="center"/>
              <w:rPr>
                <w:rFonts w:cs="Times New Roman"/>
                <w:sz w:val="20"/>
                <w:szCs w:val="20"/>
              </w:rPr>
            </w:pPr>
            <w:r w:rsidRPr="00951AB1">
              <w:rPr>
                <w:rFonts w:eastAsia="Times New Roman" w:cs="Times New Roman"/>
                <w:color w:val="000000" w:themeColor="text1"/>
                <w:sz w:val="20"/>
                <w:szCs w:val="20"/>
              </w:rPr>
              <w:t>13,27%</w:t>
            </w:r>
          </w:p>
        </w:tc>
      </w:tr>
      <w:tr w:rsidR="72CE0456" w:rsidRPr="00951AB1" w14:paraId="1346A4C1" w14:textId="77777777" w:rsidTr="00222723">
        <w:trPr>
          <w:trHeight w:val="300"/>
        </w:trPr>
        <w:tc>
          <w:tcPr>
            <w:tcW w:w="450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bottom"/>
          </w:tcPr>
          <w:p w14:paraId="39CF7430" w14:textId="37F147EA" w:rsidR="72CE0456" w:rsidRPr="00951AB1" w:rsidRDefault="72CE0456" w:rsidP="000A5389">
            <w:pPr>
              <w:spacing w:line="240" w:lineRule="auto"/>
              <w:rPr>
                <w:rFonts w:cs="Times New Roman"/>
                <w:sz w:val="20"/>
                <w:szCs w:val="20"/>
              </w:rPr>
            </w:pPr>
            <w:r w:rsidRPr="00951AB1">
              <w:rPr>
                <w:rFonts w:eastAsia="Times New Roman" w:cs="Times New Roman"/>
                <w:color w:val="000000" w:themeColor="text1"/>
                <w:sz w:val="20"/>
                <w:szCs w:val="20"/>
              </w:rPr>
              <w:t>Predial</w:t>
            </w:r>
          </w:p>
        </w:tc>
        <w:tc>
          <w:tcPr>
            <w:tcW w:w="226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bottom"/>
          </w:tcPr>
          <w:p w14:paraId="1B31BB91" w14:textId="3C8A3D46" w:rsidR="72CE0456" w:rsidRPr="00951AB1" w:rsidRDefault="72CE0456" w:rsidP="000A5389">
            <w:pPr>
              <w:spacing w:line="240" w:lineRule="auto"/>
              <w:jc w:val="right"/>
              <w:rPr>
                <w:rFonts w:cs="Times New Roman"/>
                <w:sz w:val="20"/>
                <w:szCs w:val="20"/>
              </w:rPr>
            </w:pPr>
            <w:r w:rsidRPr="00951AB1">
              <w:rPr>
                <w:rFonts w:eastAsia="Times New Roman" w:cs="Times New Roman"/>
                <w:color w:val="000000" w:themeColor="text1"/>
                <w:sz w:val="20"/>
                <w:szCs w:val="20"/>
              </w:rPr>
              <w:t>82.705.322.977</w:t>
            </w:r>
          </w:p>
        </w:tc>
        <w:tc>
          <w:tcPr>
            <w:tcW w:w="195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bottom"/>
          </w:tcPr>
          <w:p w14:paraId="2D84BF04" w14:textId="1AE352F2" w:rsidR="72CE0456" w:rsidRPr="00951AB1" w:rsidRDefault="72CE0456" w:rsidP="000A5389">
            <w:pPr>
              <w:spacing w:line="240" w:lineRule="auto"/>
              <w:jc w:val="center"/>
              <w:rPr>
                <w:rFonts w:cs="Times New Roman"/>
                <w:sz w:val="20"/>
                <w:szCs w:val="20"/>
              </w:rPr>
            </w:pPr>
            <w:r w:rsidRPr="00951AB1">
              <w:rPr>
                <w:rFonts w:eastAsia="Times New Roman" w:cs="Times New Roman"/>
                <w:color w:val="000000" w:themeColor="text1"/>
                <w:sz w:val="20"/>
                <w:szCs w:val="20"/>
              </w:rPr>
              <w:t>6,25%</w:t>
            </w:r>
          </w:p>
        </w:tc>
      </w:tr>
      <w:tr w:rsidR="72CE0456" w:rsidRPr="00951AB1" w14:paraId="7E0C1062" w14:textId="77777777" w:rsidTr="00222723">
        <w:trPr>
          <w:trHeight w:val="300"/>
        </w:trPr>
        <w:tc>
          <w:tcPr>
            <w:tcW w:w="450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bottom"/>
          </w:tcPr>
          <w:p w14:paraId="6FBC2E99" w14:textId="165EA661" w:rsidR="72CE0456" w:rsidRPr="00951AB1" w:rsidRDefault="72CE0456" w:rsidP="000A5389">
            <w:pPr>
              <w:spacing w:line="240" w:lineRule="auto"/>
              <w:rPr>
                <w:rFonts w:cs="Times New Roman"/>
                <w:sz w:val="20"/>
                <w:szCs w:val="20"/>
              </w:rPr>
            </w:pPr>
            <w:r w:rsidRPr="00951AB1">
              <w:rPr>
                <w:rFonts w:eastAsia="Times New Roman" w:cs="Times New Roman"/>
                <w:color w:val="000000" w:themeColor="text1"/>
                <w:sz w:val="20"/>
                <w:szCs w:val="20"/>
              </w:rPr>
              <w:t>No operación de peajes</w:t>
            </w:r>
          </w:p>
        </w:tc>
        <w:tc>
          <w:tcPr>
            <w:tcW w:w="226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bottom"/>
          </w:tcPr>
          <w:p w14:paraId="0EF6FBF3" w14:textId="754A79DD" w:rsidR="72CE0456" w:rsidRPr="00951AB1" w:rsidRDefault="72CE0456" w:rsidP="000A5389">
            <w:pPr>
              <w:spacing w:line="240" w:lineRule="auto"/>
              <w:jc w:val="right"/>
              <w:rPr>
                <w:rFonts w:cs="Times New Roman"/>
                <w:sz w:val="20"/>
                <w:szCs w:val="20"/>
              </w:rPr>
            </w:pPr>
            <w:r w:rsidRPr="00951AB1">
              <w:rPr>
                <w:rFonts w:eastAsia="Times New Roman" w:cs="Times New Roman"/>
                <w:color w:val="000000" w:themeColor="text1"/>
                <w:sz w:val="20"/>
                <w:szCs w:val="20"/>
              </w:rPr>
              <w:t>55.168.932.894</w:t>
            </w:r>
          </w:p>
        </w:tc>
        <w:tc>
          <w:tcPr>
            <w:tcW w:w="195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bottom"/>
          </w:tcPr>
          <w:p w14:paraId="2D6DCF09" w14:textId="4BB21633" w:rsidR="72CE0456" w:rsidRPr="00951AB1" w:rsidRDefault="72CE0456" w:rsidP="000A5389">
            <w:pPr>
              <w:spacing w:line="240" w:lineRule="auto"/>
              <w:jc w:val="center"/>
              <w:rPr>
                <w:rFonts w:cs="Times New Roman"/>
                <w:sz w:val="20"/>
                <w:szCs w:val="20"/>
              </w:rPr>
            </w:pPr>
            <w:r w:rsidRPr="00951AB1">
              <w:rPr>
                <w:rFonts w:eastAsia="Times New Roman" w:cs="Times New Roman"/>
                <w:color w:val="000000" w:themeColor="text1"/>
                <w:sz w:val="20"/>
                <w:szCs w:val="20"/>
              </w:rPr>
              <w:t>4,17%</w:t>
            </w:r>
          </w:p>
        </w:tc>
      </w:tr>
      <w:tr w:rsidR="72CE0456" w:rsidRPr="00951AB1" w14:paraId="3A42565F" w14:textId="77777777" w:rsidTr="00222723">
        <w:trPr>
          <w:trHeight w:val="300"/>
        </w:trPr>
        <w:tc>
          <w:tcPr>
            <w:tcW w:w="450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bottom"/>
          </w:tcPr>
          <w:p w14:paraId="3C2370A9" w14:textId="3D3068AF" w:rsidR="72CE0456" w:rsidRPr="00951AB1" w:rsidRDefault="72CE0456" w:rsidP="000A5389">
            <w:pPr>
              <w:spacing w:line="240" w:lineRule="auto"/>
              <w:rPr>
                <w:rFonts w:cs="Times New Roman"/>
                <w:sz w:val="20"/>
                <w:szCs w:val="20"/>
              </w:rPr>
            </w:pPr>
            <w:r w:rsidRPr="00951AB1">
              <w:rPr>
                <w:rFonts w:eastAsia="Times New Roman" w:cs="Times New Roman"/>
                <w:color w:val="000000" w:themeColor="text1"/>
                <w:sz w:val="20"/>
                <w:szCs w:val="20"/>
              </w:rPr>
              <w:t>Obras solicitadas por autoridad</w:t>
            </w:r>
          </w:p>
        </w:tc>
        <w:tc>
          <w:tcPr>
            <w:tcW w:w="226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bottom"/>
          </w:tcPr>
          <w:p w14:paraId="07ADCF06" w14:textId="68C0BCDB" w:rsidR="72CE0456" w:rsidRPr="00951AB1" w:rsidRDefault="72CE0456" w:rsidP="000A5389">
            <w:pPr>
              <w:spacing w:line="240" w:lineRule="auto"/>
              <w:jc w:val="right"/>
              <w:rPr>
                <w:rFonts w:cs="Times New Roman"/>
                <w:sz w:val="20"/>
                <w:szCs w:val="20"/>
              </w:rPr>
            </w:pPr>
            <w:r w:rsidRPr="00951AB1">
              <w:rPr>
                <w:rFonts w:eastAsia="Times New Roman" w:cs="Times New Roman"/>
                <w:color w:val="000000" w:themeColor="text1"/>
                <w:sz w:val="20"/>
                <w:szCs w:val="20"/>
              </w:rPr>
              <w:t>19.174.744.038</w:t>
            </w:r>
          </w:p>
        </w:tc>
        <w:tc>
          <w:tcPr>
            <w:tcW w:w="195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bottom"/>
          </w:tcPr>
          <w:p w14:paraId="109297DD" w14:textId="299DECB6" w:rsidR="72CE0456" w:rsidRPr="00951AB1" w:rsidRDefault="72CE0456" w:rsidP="000A5389">
            <w:pPr>
              <w:spacing w:line="240" w:lineRule="auto"/>
              <w:jc w:val="center"/>
              <w:rPr>
                <w:rFonts w:cs="Times New Roman"/>
                <w:sz w:val="20"/>
                <w:szCs w:val="20"/>
              </w:rPr>
            </w:pPr>
            <w:r w:rsidRPr="00951AB1">
              <w:rPr>
                <w:rFonts w:eastAsia="Times New Roman" w:cs="Times New Roman"/>
                <w:color w:val="000000" w:themeColor="text1"/>
                <w:sz w:val="20"/>
                <w:szCs w:val="20"/>
              </w:rPr>
              <w:t>1,45%</w:t>
            </w:r>
          </w:p>
        </w:tc>
      </w:tr>
      <w:tr w:rsidR="72CE0456" w:rsidRPr="00951AB1" w14:paraId="60C55AC2" w14:textId="77777777" w:rsidTr="00222723">
        <w:trPr>
          <w:trHeight w:val="300"/>
        </w:trPr>
        <w:tc>
          <w:tcPr>
            <w:tcW w:w="450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bottom"/>
          </w:tcPr>
          <w:p w14:paraId="3944449C" w14:textId="262A1EA1" w:rsidR="72CE0456" w:rsidRPr="00951AB1" w:rsidRDefault="72CE0456" w:rsidP="000A5389">
            <w:pPr>
              <w:spacing w:line="240" w:lineRule="auto"/>
              <w:rPr>
                <w:rFonts w:cs="Times New Roman"/>
                <w:sz w:val="20"/>
                <w:szCs w:val="20"/>
              </w:rPr>
            </w:pPr>
            <w:r w:rsidRPr="00951AB1">
              <w:rPr>
                <w:rFonts w:eastAsia="Times New Roman" w:cs="Times New Roman"/>
                <w:color w:val="000000" w:themeColor="text1"/>
                <w:sz w:val="20"/>
                <w:szCs w:val="20"/>
              </w:rPr>
              <w:t>Costos ociosos</w:t>
            </w:r>
          </w:p>
        </w:tc>
        <w:tc>
          <w:tcPr>
            <w:tcW w:w="226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bottom"/>
          </w:tcPr>
          <w:p w14:paraId="5FB2C280" w14:textId="3848F818" w:rsidR="72CE0456" w:rsidRPr="00951AB1" w:rsidRDefault="72CE0456" w:rsidP="000A5389">
            <w:pPr>
              <w:spacing w:line="240" w:lineRule="auto"/>
              <w:jc w:val="right"/>
              <w:rPr>
                <w:rFonts w:cs="Times New Roman"/>
                <w:sz w:val="20"/>
                <w:szCs w:val="20"/>
              </w:rPr>
            </w:pPr>
            <w:r w:rsidRPr="00951AB1">
              <w:rPr>
                <w:rFonts w:eastAsia="Times New Roman" w:cs="Times New Roman"/>
                <w:color w:val="000000" w:themeColor="text1"/>
                <w:sz w:val="20"/>
                <w:szCs w:val="20"/>
              </w:rPr>
              <w:t>7.996.497.551</w:t>
            </w:r>
          </w:p>
        </w:tc>
        <w:tc>
          <w:tcPr>
            <w:tcW w:w="195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bottom"/>
          </w:tcPr>
          <w:p w14:paraId="32CF695C" w14:textId="0E624C16" w:rsidR="72CE0456" w:rsidRPr="00951AB1" w:rsidRDefault="72CE0456" w:rsidP="000A5389">
            <w:pPr>
              <w:spacing w:line="240" w:lineRule="auto"/>
              <w:jc w:val="center"/>
              <w:rPr>
                <w:rFonts w:cs="Times New Roman"/>
                <w:sz w:val="20"/>
                <w:szCs w:val="20"/>
              </w:rPr>
            </w:pPr>
            <w:r w:rsidRPr="00951AB1">
              <w:rPr>
                <w:rFonts w:eastAsia="Times New Roman" w:cs="Times New Roman"/>
                <w:color w:val="000000" w:themeColor="text1"/>
                <w:sz w:val="20"/>
                <w:szCs w:val="20"/>
              </w:rPr>
              <w:t>0,61%</w:t>
            </w:r>
          </w:p>
        </w:tc>
      </w:tr>
      <w:tr w:rsidR="72CE0456" w:rsidRPr="00951AB1" w14:paraId="4AB3002B" w14:textId="77777777" w:rsidTr="00222723">
        <w:trPr>
          <w:trHeight w:val="300"/>
        </w:trPr>
        <w:tc>
          <w:tcPr>
            <w:tcW w:w="450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bottom"/>
          </w:tcPr>
          <w:p w14:paraId="3FD6495C" w14:textId="1DD5632D" w:rsidR="72CE0456" w:rsidRPr="00951AB1" w:rsidRDefault="72CE0456" w:rsidP="000A5389">
            <w:pPr>
              <w:spacing w:line="240" w:lineRule="auto"/>
              <w:rPr>
                <w:rFonts w:cs="Times New Roman"/>
                <w:sz w:val="20"/>
                <w:szCs w:val="20"/>
              </w:rPr>
            </w:pPr>
            <w:r w:rsidRPr="00951AB1">
              <w:rPr>
                <w:rFonts w:eastAsia="Times New Roman" w:cs="Times New Roman"/>
                <w:color w:val="000000" w:themeColor="text1"/>
                <w:sz w:val="20"/>
                <w:szCs w:val="20"/>
              </w:rPr>
              <w:t>Interventoría</w:t>
            </w:r>
          </w:p>
        </w:tc>
        <w:tc>
          <w:tcPr>
            <w:tcW w:w="226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bottom"/>
          </w:tcPr>
          <w:p w14:paraId="3AEE7605" w14:textId="7FF2D6A6" w:rsidR="72CE0456" w:rsidRPr="00951AB1" w:rsidRDefault="72CE0456" w:rsidP="000A5389">
            <w:pPr>
              <w:spacing w:line="240" w:lineRule="auto"/>
              <w:jc w:val="right"/>
              <w:rPr>
                <w:rFonts w:cs="Times New Roman"/>
                <w:sz w:val="20"/>
                <w:szCs w:val="20"/>
              </w:rPr>
            </w:pPr>
            <w:r w:rsidRPr="00951AB1">
              <w:rPr>
                <w:rFonts w:eastAsia="Times New Roman" w:cs="Times New Roman"/>
                <w:color w:val="000000" w:themeColor="text1"/>
                <w:sz w:val="20"/>
                <w:szCs w:val="20"/>
              </w:rPr>
              <w:t>6.957.446.090</w:t>
            </w:r>
          </w:p>
        </w:tc>
        <w:tc>
          <w:tcPr>
            <w:tcW w:w="195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bottom"/>
          </w:tcPr>
          <w:p w14:paraId="19D9CA6F" w14:textId="7CEB1F4F" w:rsidR="72CE0456" w:rsidRPr="00951AB1" w:rsidRDefault="72CE0456" w:rsidP="000A5389">
            <w:pPr>
              <w:spacing w:line="240" w:lineRule="auto"/>
              <w:jc w:val="center"/>
              <w:rPr>
                <w:rFonts w:cs="Times New Roman"/>
                <w:sz w:val="20"/>
                <w:szCs w:val="20"/>
              </w:rPr>
            </w:pPr>
            <w:r w:rsidRPr="00951AB1">
              <w:rPr>
                <w:rFonts w:eastAsia="Times New Roman" w:cs="Times New Roman"/>
                <w:color w:val="000000" w:themeColor="text1"/>
                <w:sz w:val="20"/>
                <w:szCs w:val="20"/>
              </w:rPr>
              <w:t>0,53%</w:t>
            </w:r>
          </w:p>
        </w:tc>
      </w:tr>
      <w:tr w:rsidR="72CE0456" w:rsidRPr="00951AB1" w14:paraId="7B2D1699" w14:textId="77777777" w:rsidTr="00222723">
        <w:trPr>
          <w:trHeight w:val="300"/>
        </w:trPr>
        <w:tc>
          <w:tcPr>
            <w:tcW w:w="450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bottom"/>
          </w:tcPr>
          <w:p w14:paraId="0097FB93" w14:textId="12735705" w:rsidR="72CE0456" w:rsidRPr="00951AB1" w:rsidRDefault="72CE0456" w:rsidP="000A5389">
            <w:pPr>
              <w:spacing w:line="240" w:lineRule="auto"/>
              <w:rPr>
                <w:rFonts w:cs="Times New Roman"/>
                <w:sz w:val="20"/>
                <w:szCs w:val="20"/>
              </w:rPr>
            </w:pPr>
            <w:r w:rsidRPr="00951AB1">
              <w:rPr>
                <w:rFonts w:eastAsia="Times New Roman" w:cs="Times New Roman"/>
                <w:color w:val="000000" w:themeColor="text1"/>
                <w:sz w:val="20"/>
                <w:szCs w:val="20"/>
              </w:rPr>
              <w:t>Redes</w:t>
            </w:r>
          </w:p>
        </w:tc>
        <w:tc>
          <w:tcPr>
            <w:tcW w:w="226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bottom"/>
          </w:tcPr>
          <w:p w14:paraId="0062E65A" w14:textId="29FA4590" w:rsidR="72CE0456" w:rsidRPr="00951AB1" w:rsidRDefault="72CE0456" w:rsidP="000A5389">
            <w:pPr>
              <w:spacing w:line="240" w:lineRule="auto"/>
              <w:jc w:val="right"/>
              <w:rPr>
                <w:rFonts w:cs="Times New Roman"/>
                <w:sz w:val="20"/>
                <w:szCs w:val="20"/>
              </w:rPr>
            </w:pPr>
            <w:r w:rsidRPr="00951AB1">
              <w:rPr>
                <w:rFonts w:eastAsia="Times New Roman" w:cs="Times New Roman"/>
                <w:color w:val="000000" w:themeColor="text1"/>
                <w:sz w:val="20"/>
                <w:szCs w:val="20"/>
              </w:rPr>
              <w:t>3.561.988.682</w:t>
            </w:r>
          </w:p>
        </w:tc>
        <w:tc>
          <w:tcPr>
            <w:tcW w:w="195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bottom"/>
          </w:tcPr>
          <w:p w14:paraId="0F040CE6" w14:textId="5543A218" w:rsidR="72CE0456" w:rsidRPr="00951AB1" w:rsidRDefault="72CE0456" w:rsidP="000A5389">
            <w:pPr>
              <w:spacing w:line="240" w:lineRule="auto"/>
              <w:jc w:val="center"/>
              <w:rPr>
                <w:rFonts w:cs="Times New Roman"/>
                <w:sz w:val="20"/>
                <w:szCs w:val="20"/>
              </w:rPr>
            </w:pPr>
            <w:r w:rsidRPr="00951AB1">
              <w:rPr>
                <w:rFonts w:eastAsia="Times New Roman" w:cs="Times New Roman"/>
                <w:color w:val="000000" w:themeColor="text1"/>
                <w:sz w:val="20"/>
                <w:szCs w:val="20"/>
              </w:rPr>
              <w:t>0,27%</w:t>
            </w:r>
          </w:p>
        </w:tc>
      </w:tr>
      <w:tr w:rsidR="72CE0456" w:rsidRPr="00951AB1" w14:paraId="721F8E7C" w14:textId="77777777" w:rsidTr="00222723">
        <w:trPr>
          <w:trHeight w:val="300"/>
        </w:trPr>
        <w:tc>
          <w:tcPr>
            <w:tcW w:w="450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bottom"/>
          </w:tcPr>
          <w:p w14:paraId="4B905346" w14:textId="598620BE" w:rsidR="72CE0456" w:rsidRPr="00951AB1" w:rsidRDefault="72CE0456" w:rsidP="000A5389">
            <w:pPr>
              <w:spacing w:line="240" w:lineRule="auto"/>
              <w:rPr>
                <w:rFonts w:cs="Times New Roman"/>
                <w:sz w:val="20"/>
                <w:szCs w:val="20"/>
              </w:rPr>
            </w:pPr>
            <w:r w:rsidRPr="00951AB1">
              <w:rPr>
                <w:rFonts w:eastAsia="Times New Roman" w:cs="Times New Roman"/>
                <w:color w:val="000000" w:themeColor="text1"/>
                <w:sz w:val="20"/>
                <w:szCs w:val="20"/>
              </w:rPr>
              <w:t>Ambiental</w:t>
            </w:r>
          </w:p>
        </w:tc>
        <w:tc>
          <w:tcPr>
            <w:tcW w:w="226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bottom"/>
          </w:tcPr>
          <w:p w14:paraId="448CA7D4" w14:textId="557B0B86" w:rsidR="72CE0456" w:rsidRPr="00951AB1" w:rsidRDefault="72CE0456" w:rsidP="000A5389">
            <w:pPr>
              <w:spacing w:line="240" w:lineRule="auto"/>
              <w:jc w:val="right"/>
              <w:rPr>
                <w:rFonts w:cs="Times New Roman"/>
                <w:sz w:val="20"/>
                <w:szCs w:val="20"/>
              </w:rPr>
            </w:pPr>
            <w:r w:rsidRPr="00951AB1">
              <w:rPr>
                <w:rFonts w:eastAsia="Times New Roman" w:cs="Times New Roman"/>
                <w:color w:val="000000" w:themeColor="text1"/>
                <w:sz w:val="20"/>
                <w:szCs w:val="20"/>
              </w:rPr>
              <w:t>1.600.541.829</w:t>
            </w:r>
          </w:p>
        </w:tc>
        <w:tc>
          <w:tcPr>
            <w:tcW w:w="195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bottom"/>
          </w:tcPr>
          <w:p w14:paraId="23A916AB" w14:textId="67C4B817" w:rsidR="72CE0456" w:rsidRPr="00951AB1" w:rsidRDefault="72CE0456" w:rsidP="000A5389">
            <w:pPr>
              <w:spacing w:line="240" w:lineRule="auto"/>
              <w:jc w:val="center"/>
              <w:rPr>
                <w:rFonts w:cs="Times New Roman"/>
                <w:sz w:val="20"/>
                <w:szCs w:val="20"/>
              </w:rPr>
            </w:pPr>
            <w:r w:rsidRPr="00951AB1">
              <w:rPr>
                <w:rFonts w:eastAsia="Times New Roman" w:cs="Times New Roman"/>
                <w:color w:val="000000" w:themeColor="text1"/>
                <w:sz w:val="20"/>
                <w:szCs w:val="20"/>
              </w:rPr>
              <w:t>0,12%</w:t>
            </w:r>
          </w:p>
        </w:tc>
      </w:tr>
      <w:tr w:rsidR="72CE0456" w:rsidRPr="00951AB1" w14:paraId="1F667EE7" w14:textId="77777777" w:rsidTr="00222723">
        <w:trPr>
          <w:trHeight w:val="300"/>
        </w:trPr>
        <w:tc>
          <w:tcPr>
            <w:tcW w:w="450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bottom"/>
          </w:tcPr>
          <w:p w14:paraId="7D48B1F0" w14:textId="1B49FDE7" w:rsidR="72CE0456" w:rsidRPr="00951AB1" w:rsidRDefault="72CE0456" w:rsidP="000A5389">
            <w:pPr>
              <w:spacing w:line="240" w:lineRule="auto"/>
              <w:rPr>
                <w:rFonts w:cs="Times New Roman"/>
                <w:sz w:val="20"/>
                <w:szCs w:val="20"/>
              </w:rPr>
            </w:pPr>
            <w:r w:rsidRPr="00951AB1">
              <w:rPr>
                <w:rFonts w:eastAsia="Times New Roman" w:cs="Times New Roman"/>
                <w:color w:val="000000" w:themeColor="text1"/>
                <w:sz w:val="20"/>
                <w:szCs w:val="20"/>
              </w:rPr>
              <w:lastRenderedPageBreak/>
              <w:t>Insuficiencia prima póliza todo riesgo</w:t>
            </w:r>
          </w:p>
        </w:tc>
        <w:tc>
          <w:tcPr>
            <w:tcW w:w="226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bottom"/>
          </w:tcPr>
          <w:p w14:paraId="18A07FF9" w14:textId="23B06008" w:rsidR="72CE0456" w:rsidRPr="00951AB1" w:rsidRDefault="72CE0456" w:rsidP="000A5389">
            <w:pPr>
              <w:spacing w:line="240" w:lineRule="auto"/>
              <w:jc w:val="right"/>
              <w:rPr>
                <w:rFonts w:cs="Times New Roman"/>
                <w:sz w:val="20"/>
                <w:szCs w:val="20"/>
              </w:rPr>
            </w:pPr>
            <w:r w:rsidRPr="00951AB1">
              <w:rPr>
                <w:rFonts w:eastAsia="Times New Roman" w:cs="Times New Roman"/>
                <w:color w:val="000000" w:themeColor="text1"/>
                <w:sz w:val="20"/>
                <w:szCs w:val="20"/>
              </w:rPr>
              <w:t>917.348.179</w:t>
            </w:r>
          </w:p>
        </w:tc>
        <w:tc>
          <w:tcPr>
            <w:tcW w:w="195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bottom"/>
          </w:tcPr>
          <w:p w14:paraId="482A68B0" w14:textId="09C39689" w:rsidR="72CE0456" w:rsidRPr="00951AB1" w:rsidRDefault="72CE0456" w:rsidP="000A5389">
            <w:pPr>
              <w:spacing w:line="240" w:lineRule="auto"/>
              <w:jc w:val="center"/>
              <w:rPr>
                <w:rFonts w:cs="Times New Roman"/>
                <w:sz w:val="20"/>
                <w:szCs w:val="20"/>
              </w:rPr>
            </w:pPr>
            <w:r w:rsidRPr="00951AB1">
              <w:rPr>
                <w:rFonts w:eastAsia="Times New Roman" w:cs="Times New Roman"/>
                <w:color w:val="000000" w:themeColor="text1"/>
                <w:sz w:val="20"/>
                <w:szCs w:val="20"/>
              </w:rPr>
              <w:t>0,07%</w:t>
            </w:r>
          </w:p>
        </w:tc>
      </w:tr>
      <w:tr w:rsidR="72CE0456" w:rsidRPr="00951AB1" w14:paraId="0363D5D4" w14:textId="77777777" w:rsidTr="00222723">
        <w:trPr>
          <w:trHeight w:val="300"/>
        </w:trPr>
        <w:tc>
          <w:tcPr>
            <w:tcW w:w="450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bottom"/>
          </w:tcPr>
          <w:p w14:paraId="74546DBC" w14:textId="305C83E1" w:rsidR="72CE0456" w:rsidRPr="00951AB1" w:rsidRDefault="72CE0456" w:rsidP="000A5389">
            <w:pPr>
              <w:spacing w:line="240" w:lineRule="auto"/>
              <w:rPr>
                <w:rFonts w:cs="Times New Roman"/>
                <w:sz w:val="20"/>
                <w:szCs w:val="20"/>
              </w:rPr>
            </w:pPr>
            <w:r w:rsidRPr="00951AB1">
              <w:rPr>
                <w:rFonts w:eastAsia="Times New Roman" w:cs="Times New Roman"/>
                <w:b/>
                <w:bCs/>
                <w:color w:val="000000" w:themeColor="text1"/>
                <w:sz w:val="20"/>
                <w:szCs w:val="20"/>
              </w:rPr>
              <w:t>Valor Total</w:t>
            </w:r>
          </w:p>
        </w:tc>
        <w:tc>
          <w:tcPr>
            <w:tcW w:w="2265"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bottom"/>
          </w:tcPr>
          <w:p w14:paraId="3840A3F6" w14:textId="729BD960" w:rsidR="72CE0456" w:rsidRPr="00951AB1" w:rsidRDefault="72CE0456" w:rsidP="000A5389">
            <w:pPr>
              <w:spacing w:line="240" w:lineRule="auto"/>
              <w:jc w:val="right"/>
              <w:rPr>
                <w:rFonts w:cs="Times New Roman"/>
                <w:sz w:val="20"/>
                <w:szCs w:val="20"/>
              </w:rPr>
            </w:pPr>
            <w:r w:rsidRPr="00951AB1">
              <w:rPr>
                <w:rFonts w:eastAsia="Times New Roman" w:cs="Times New Roman"/>
                <w:b/>
                <w:bCs/>
                <w:color w:val="000000" w:themeColor="text1"/>
                <w:sz w:val="20"/>
                <w:szCs w:val="20"/>
              </w:rPr>
              <w:t>1.322.277.666.237</w:t>
            </w:r>
          </w:p>
        </w:tc>
        <w:tc>
          <w:tcPr>
            <w:tcW w:w="195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vAlign w:val="bottom"/>
          </w:tcPr>
          <w:p w14:paraId="32066E55" w14:textId="41AC7566" w:rsidR="72CE0456" w:rsidRPr="00951AB1" w:rsidRDefault="72CE0456" w:rsidP="000A5389">
            <w:pPr>
              <w:spacing w:line="240" w:lineRule="auto"/>
              <w:jc w:val="center"/>
              <w:rPr>
                <w:rFonts w:cs="Times New Roman"/>
                <w:sz w:val="20"/>
                <w:szCs w:val="20"/>
              </w:rPr>
            </w:pPr>
            <w:r w:rsidRPr="00951AB1">
              <w:rPr>
                <w:rFonts w:eastAsia="Times New Roman" w:cs="Times New Roman"/>
                <w:b/>
                <w:bCs/>
                <w:color w:val="000000" w:themeColor="text1"/>
                <w:sz w:val="20"/>
                <w:szCs w:val="20"/>
              </w:rPr>
              <w:t>100,00%</w:t>
            </w:r>
          </w:p>
        </w:tc>
      </w:tr>
    </w:tbl>
    <w:p w14:paraId="420F6FE1" w14:textId="2B3AC8DC" w:rsidR="1C6FD584" w:rsidRPr="00951AB1" w:rsidRDefault="468C9B45" w:rsidP="000A5389">
      <w:pPr>
        <w:spacing w:line="240" w:lineRule="auto"/>
        <w:ind w:right="-20"/>
        <w:rPr>
          <w:rFonts w:eastAsia="Times New Roman" w:cs="Times New Roman"/>
          <w:szCs w:val="24"/>
        </w:rPr>
      </w:pPr>
      <w:r w:rsidRPr="00951AB1">
        <w:rPr>
          <w:rFonts w:eastAsia="Times New Roman" w:cs="Times New Roman"/>
          <w:b/>
          <w:bCs/>
          <w:i/>
          <w:iCs/>
          <w:sz w:val="14"/>
          <w:szCs w:val="14"/>
        </w:rPr>
        <w:t>Fuente: Arqueo de pagos a 09-ene-2026 suministrado por FIDUPREVISORA S.A</w:t>
      </w:r>
    </w:p>
    <w:p w14:paraId="0D7384AE" w14:textId="5EBEB0E3" w:rsidR="1C6FD584" w:rsidRPr="00951AB1" w:rsidRDefault="468C9B45" w:rsidP="000A5389">
      <w:pPr>
        <w:spacing w:line="240" w:lineRule="auto"/>
        <w:ind w:left="-20" w:right="-20"/>
        <w:rPr>
          <w:rFonts w:cs="Times New Roman"/>
        </w:rPr>
      </w:pPr>
      <w:r w:rsidRPr="00951AB1">
        <w:rPr>
          <w:rFonts w:eastAsia="Times New Roman" w:cs="Times New Roman"/>
          <w:b/>
          <w:bCs/>
          <w:szCs w:val="24"/>
        </w:rPr>
        <w:t xml:space="preserve"> </w:t>
      </w:r>
    </w:p>
    <w:p w14:paraId="1F0FF6C5" w14:textId="55F8F8E3" w:rsidR="1C6FD584" w:rsidRPr="00951AB1" w:rsidRDefault="468C9B45" w:rsidP="000A5389">
      <w:pPr>
        <w:spacing w:line="240" w:lineRule="auto"/>
        <w:ind w:left="-20" w:right="-20"/>
        <w:rPr>
          <w:rFonts w:cs="Times New Roman"/>
        </w:rPr>
      </w:pPr>
      <w:r w:rsidRPr="00951AB1">
        <w:rPr>
          <w:rFonts w:eastAsia="Times New Roman" w:cs="Times New Roman"/>
          <w:szCs w:val="24"/>
        </w:rPr>
        <w:t>Así las cosas, se tiene que durante la vigencia 2025 se reconocieron y pagaron a los concesionarios $639.097.638.258,44 corrientes por concepto del Diferencial de Recaudo (DR- Riesgo Comercial), como se desagrega a continuación:</w:t>
      </w:r>
    </w:p>
    <w:p w14:paraId="3D097BD2" w14:textId="14145161" w:rsidR="1C6FD584" w:rsidRPr="00951AB1" w:rsidRDefault="468C9B45" w:rsidP="000A5389">
      <w:pPr>
        <w:spacing w:line="240" w:lineRule="auto"/>
        <w:ind w:left="-20" w:right="-20"/>
        <w:rPr>
          <w:rFonts w:cs="Times New Roman"/>
        </w:rPr>
      </w:pPr>
      <w:r w:rsidRPr="00951AB1">
        <w:rPr>
          <w:rFonts w:eastAsia="Times New Roman" w:cs="Times New Roman"/>
          <w:b/>
          <w:bCs/>
          <w:szCs w:val="24"/>
        </w:rPr>
        <w:t xml:space="preserve"> </w:t>
      </w:r>
    </w:p>
    <w:p w14:paraId="5293A9D5" w14:textId="08B11B8F" w:rsidR="1C6FD584" w:rsidRPr="00951AB1" w:rsidRDefault="468C9B45" w:rsidP="000A5389">
      <w:pPr>
        <w:spacing w:line="240" w:lineRule="auto"/>
        <w:ind w:left="-20" w:right="-20"/>
        <w:rPr>
          <w:rFonts w:cs="Times New Roman"/>
        </w:rPr>
      </w:pPr>
      <w:r w:rsidRPr="00951AB1">
        <w:rPr>
          <w:rFonts w:eastAsia="Times New Roman" w:cs="Times New Roman"/>
          <w:b/>
          <w:bCs/>
          <w:szCs w:val="24"/>
        </w:rPr>
        <w:t xml:space="preserve"> </w:t>
      </w:r>
    </w:p>
    <w:tbl>
      <w:tblPr>
        <w:tblW w:w="0" w:type="auto"/>
        <w:tblLook w:val="04A0" w:firstRow="1" w:lastRow="0" w:firstColumn="1" w:lastColumn="0" w:noHBand="0" w:noVBand="1"/>
      </w:tblPr>
      <w:tblGrid>
        <w:gridCol w:w="4038"/>
        <w:gridCol w:w="2685"/>
        <w:gridCol w:w="2095"/>
      </w:tblGrid>
      <w:tr w:rsidR="135E915A" w:rsidRPr="00951AB1" w14:paraId="3AC2E6EB" w14:textId="77777777" w:rsidTr="135E915A">
        <w:trPr>
          <w:trHeight w:val="480"/>
        </w:trPr>
        <w:tc>
          <w:tcPr>
            <w:tcW w:w="4050" w:type="dxa"/>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tcMar>
              <w:left w:w="70" w:type="dxa"/>
              <w:right w:w="70" w:type="dxa"/>
            </w:tcMar>
            <w:vAlign w:val="center"/>
          </w:tcPr>
          <w:p w14:paraId="54CDA192" w14:textId="2DA1BE80" w:rsidR="135E915A" w:rsidRPr="00951AB1" w:rsidRDefault="135E915A" w:rsidP="000A5389">
            <w:pPr>
              <w:spacing w:line="240" w:lineRule="auto"/>
              <w:jc w:val="center"/>
              <w:rPr>
                <w:rFonts w:cs="Times New Roman"/>
              </w:rPr>
            </w:pPr>
            <w:r w:rsidRPr="00951AB1">
              <w:rPr>
                <w:rFonts w:eastAsia="Times New Roman" w:cs="Times New Roman"/>
                <w:b/>
                <w:color w:val="000000" w:themeColor="text1"/>
              </w:rPr>
              <w:t>PROYECTO</w:t>
            </w:r>
          </w:p>
        </w:tc>
        <w:tc>
          <w:tcPr>
            <w:tcW w:w="2689" w:type="dxa"/>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tcMar>
              <w:left w:w="70" w:type="dxa"/>
              <w:right w:w="70" w:type="dxa"/>
            </w:tcMar>
            <w:vAlign w:val="center"/>
          </w:tcPr>
          <w:p w14:paraId="14F57D9B" w14:textId="6BBC7379" w:rsidR="135E915A" w:rsidRPr="00951AB1" w:rsidRDefault="135E915A" w:rsidP="000A5389">
            <w:pPr>
              <w:spacing w:line="240" w:lineRule="auto"/>
              <w:jc w:val="center"/>
              <w:rPr>
                <w:rFonts w:cs="Times New Roman"/>
              </w:rPr>
            </w:pPr>
            <w:r w:rsidRPr="00951AB1">
              <w:rPr>
                <w:rFonts w:eastAsia="Times New Roman" w:cs="Times New Roman"/>
                <w:b/>
                <w:color w:val="000000" w:themeColor="text1"/>
              </w:rPr>
              <w:t>VALOR PAGADO</w:t>
            </w:r>
            <w:r w:rsidRPr="00951AB1">
              <w:rPr>
                <w:rFonts w:cs="Times New Roman"/>
              </w:rPr>
              <w:br/>
            </w:r>
            <w:r w:rsidRPr="00951AB1">
              <w:rPr>
                <w:rFonts w:eastAsia="Times New Roman" w:cs="Times New Roman"/>
                <w:b/>
                <w:color w:val="000000" w:themeColor="text1"/>
              </w:rPr>
              <w:t xml:space="preserve"> DR - 2025</w:t>
            </w:r>
          </w:p>
        </w:tc>
        <w:tc>
          <w:tcPr>
            <w:tcW w:w="2096" w:type="dxa"/>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tcMar>
              <w:left w:w="70" w:type="dxa"/>
              <w:right w:w="70" w:type="dxa"/>
            </w:tcMar>
            <w:vAlign w:val="center"/>
          </w:tcPr>
          <w:p w14:paraId="393515EB" w14:textId="19634EE7" w:rsidR="135E915A" w:rsidRPr="00951AB1" w:rsidRDefault="135E915A" w:rsidP="000A5389">
            <w:pPr>
              <w:spacing w:line="240" w:lineRule="auto"/>
              <w:jc w:val="center"/>
              <w:rPr>
                <w:rFonts w:cs="Times New Roman"/>
              </w:rPr>
            </w:pPr>
            <w:r w:rsidRPr="00951AB1">
              <w:rPr>
                <w:rFonts w:eastAsia="Times New Roman" w:cs="Times New Roman"/>
                <w:b/>
                <w:color w:val="000000" w:themeColor="text1"/>
              </w:rPr>
              <w:t>PROPORCIÓN</w:t>
            </w:r>
            <w:r w:rsidRPr="00951AB1">
              <w:rPr>
                <w:rFonts w:cs="Times New Roman"/>
              </w:rPr>
              <w:br/>
            </w:r>
            <w:r w:rsidRPr="00951AB1">
              <w:rPr>
                <w:rFonts w:eastAsia="Times New Roman" w:cs="Times New Roman"/>
                <w:b/>
                <w:color w:val="000000" w:themeColor="text1"/>
              </w:rPr>
              <w:t xml:space="preserve"> PORCENTUAL</w:t>
            </w:r>
          </w:p>
        </w:tc>
      </w:tr>
      <w:tr w:rsidR="135E915A" w:rsidRPr="00951AB1" w14:paraId="0C4E1137" w14:textId="77777777" w:rsidTr="135E915A">
        <w:trPr>
          <w:trHeight w:val="300"/>
        </w:trPr>
        <w:tc>
          <w:tcPr>
            <w:tcW w:w="4050" w:type="dxa"/>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tcMar>
              <w:left w:w="70" w:type="dxa"/>
              <w:right w:w="70" w:type="dxa"/>
            </w:tcMar>
            <w:vAlign w:val="bottom"/>
          </w:tcPr>
          <w:p w14:paraId="05E1121B" w14:textId="4A231751" w:rsidR="135E915A" w:rsidRPr="00951AB1" w:rsidRDefault="135E915A" w:rsidP="000A5389">
            <w:pPr>
              <w:spacing w:line="240" w:lineRule="auto"/>
              <w:rPr>
                <w:rFonts w:cs="Times New Roman"/>
              </w:rPr>
            </w:pPr>
            <w:r w:rsidRPr="00951AB1">
              <w:rPr>
                <w:rFonts w:eastAsia="Times New Roman" w:cs="Times New Roman"/>
                <w:color w:val="000000" w:themeColor="text1"/>
              </w:rPr>
              <w:t>Autopista al Río Magdalena 2</w:t>
            </w:r>
          </w:p>
        </w:tc>
        <w:tc>
          <w:tcPr>
            <w:tcW w:w="2689" w:type="dxa"/>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tcMar>
              <w:left w:w="70" w:type="dxa"/>
              <w:right w:w="70" w:type="dxa"/>
            </w:tcMar>
            <w:vAlign w:val="bottom"/>
          </w:tcPr>
          <w:p w14:paraId="035979FB" w14:textId="5FA49835" w:rsidR="135E915A" w:rsidRPr="00951AB1" w:rsidRDefault="135E915A" w:rsidP="000A5389">
            <w:pPr>
              <w:spacing w:line="240" w:lineRule="auto"/>
              <w:jc w:val="right"/>
              <w:rPr>
                <w:rFonts w:cs="Times New Roman"/>
              </w:rPr>
            </w:pPr>
            <w:r w:rsidRPr="00951AB1">
              <w:rPr>
                <w:rFonts w:eastAsia="Times New Roman" w:cs="Times New Roman"/>
                <w:color w:val="000000" w:themeColor="text1"/>
              </w:rPr>
              <w:t>266.077.219.463</w:t>
            </w:r>
          </w:p>
        </w:tc>
        <w:tc>
          <w:tcPr>
            <w:tcW w:w="2096" w:type="dxa"/>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tcMar>
              <w:left w:w="70" w:type="dxa"/>
              <w:right w:w="70" w:type="dxa"/>
            </w:tcMar>
            <w:vAlign w:val="bottom"/>
          </w:tcPr>
          <w:p w14:paraId="0F8E2132" w14:textId="7D5530DF" w:rsidR="135E915A" w:rsidRPr="00951AB1" w:rsidRDefault="135E915A" w:rsidP="000A5389">
            <w:pPr>
              <w:spacing w:line="240" w:lineRule="auto"/>
              <w:jc w:val="center"/>
              <w:rPr>
                <w:rFonts w:cs="Times New Roman"/>
              </w:rPr>
            </w:pPr>
            <w:r w:rsidRPr="00951AB1">
              <w:rPr>
                <w:rFonts w:eastAsia="Times New Roman" w:cs="Times New Roman"/>
                <w:color w:val="000000" w:themeColor="text1"/>
              </w:rPr>
              <w:t>41,63%</w:t>
            </w:r>
          </w:p>
        </w:tc>
      </w:tr>
      <w:tr w:rsidR="135E915A" w:rsidRPr="00951AB1" w14:paraId="15E05E29" w14:textId="77777777" w:rsidTr="135E915A">
        <w:trPr>
          <w:trHeight w:val="300"/>
        </w:trPr>
        <w:tc>
          <w:tcPr>
            <w:tcW w:w="4050" w:type="dxa"/>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tcMar>
              <w:left w:w="70" w:type="dxa"/>
              <w:right w:w="70" w:type="dxa"/>
            </w:tcMar>
            <w:vAlign w:val="bottom"/>
          </w:tcPr>
          <w:p w14:paraId="082C29E6" w14:textId="7978FB26" w:rsidR="135E915A" w:rsidRPr="00951AB1" w:rsidRDefault="135E915A" w:rsidP="000A5389">
            <w:pPr>
              <w:spacing w:line="240" w:lineRule="auto"/>
              <w:rPr>
                <w:rFonts w:cs="Times New Roman"/>
              </w:rPr>
            </w:pPr>
            <w:r w:rsidRPr="00951AB1">
              <w:rPr>
                <w:rFonts w:eastAsia="Times New Roman" w:cs="Times New Roman"/>
                <w:color w:val="000000" w:themeColor="text1"/>
              </w:rPr>
              <w:t>Neiva - Mocoa - Santana</w:t>
            </w:r>
          </w:p>
        </w:tc>
        <w:tc>
          <w:tcPr>
            <w:tcW w:w="2689" w:type="dxa"/>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tcMar>
              <w:left w:w="70" w:type="dxa"/>
              <w:right w:w="70" w:type="dxa"/>
            </w:tcMar>
            <w:vAlign w:val="bottom"/>
          </w:tcPr>
          <w:p w14:paraId="485B8FC4" w14:textId="3062225B" w:rsidR="135E915A" w:rsidRPr="00951AB1" w:rsidRDefault="135E915A" w:rsidP="000A5389">
            <w:pPr>
              <w:spacing w:line="240" w:lineRule="auto"/>
              <w:jc w:val="right"/>
              <w:rPr>
                <w:rFonts w:cs="Times New Roman"/>
              </w:rPr>
            </w:pPr>
            <w:r w:rsidRPr="00951AB1">
              <w:rPr>
                <w:rFonts w:eastAsia="Times New Roman" w:cs="Times New Roman"/>
                <w:color w:val="000000" w:themeColor="text1"/>
              </w:rPr>
              <w:t>201.994.792.245</w:t>
            </w:r>
          </w:p>
        </w:tc>
        <w:tc>
          <w:tcPr>
            <w:tcW w:w="2096" w:type="dxa"/>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tcMar>
              <w:left w:w="70" w:type="dxa"/>
              <w:right w:w="70" w:type="dxa"/>
            </w:tcMar>
            <w:vAlign w:val="bottom"/>
          </w:tcPr>
          <w:p w14:paraId="690EC92A" w14:textId="5B4E81A1" w:rsidR="135E915A" w:rsidRPr="00951AB1" w:rsidRDefault="135E915A" w:rsidP="000A5389">
            <w:pPr>
              <w:spacing w:line="240" w:lineRule="auto"/>
              <w:jc w:val="center"/>
              <w:rPr>
                <w:rFonts w:cs="Times New Roman"/>
              </w:rPr>
            </w:pPr>
            <w:r w:rsidRPr="00951AB1">
              <w:rPr>
                <w:rFonts w:eastAsia="Times New Roman" w:cs="Times New Roman"/>
                <w:color w:val="000000" w:themeColor="text1"/>
              </w:rPr>
              <w:t>31,61%</w:t>
            </w:r>
          </w:p>
        </w:tc>
      </w:tr>
      <w:tr w:rsidR="135E915A" w:rsidRPr="00951AB1" w14:paraId="228EE1F6" w14:textId="77777777" w:rsidTr="135E915A">
        <w:trPr>
          <w:trHeight w:val="300"/>
        </w:trPr>
        <w:tc>
          <w:tcPr>
            <w:tcW w:w="4050" w:type="dxa"/>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tcMar>
              <w:left w:w="70" w:type="dxa"/>
              <w:right w:w="70" w:type="dxa"/>
            </w:tcMar>
            <w:vAlign w:val="bottom"/>
          </w:tcPr>
          <w:p w14:paraId="174A7855" w14:textId="1FA5BFF9" w:rsidR="135E915A" w:rsidRPr="00951AB1" w:rsidRDefault="135E915A" w:rsidP="000A5389">
            <w:pPr>
              <w:spacing w:line="240" w:lineRule="auto"/>
              <w:rPr>
                <w:rFonts w:cs="Times New Roman"/>
              </w:rPr>
            </w:pPr>
            <w:r w:rsidRPr="00951AB1">
              <w:rPr>
                <w:rFonts w:eastAsia="Times New Roman" w:cs="Times New Roman"/>
                <w:color w:val="000000" w:themeColor="text1"/>
              </w:rPr>
              <w:t>Pamplona - Cúcuta</w:t>
            </w:r>
          </w:p>
        </w:tc>
        <w:tc>
          <w:tcPr>
            <w:tcW w:w="2689" w:type="dxa"/>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tcMar>
              <w:left w:w="70" w:type="dxa"/>
              <w:right w:w="70" w:type="dxa"/>
            </w:tcMar>
            <w:vAlign w:val="bottom"/>
          </w:tcPr>
          <w:p w14:paraId="46BD5945" w14:textId="17E1CE88" w:rsidR="135E915A" w:rsidRPr="00951AB1" w:rsidRDefault="135E915A" w:rsidP="000A5389">
            <w:pPr>
              <w:spacing w:line="240" w:lineRule="auto"/>
              <w:jc w:val="right"/>
              <w:rPr>
                <w:rFonts w:cs="Times New Roman"/>
              </w:rPr>
            </w:pPr>
            <w:r w:rsidRPr="00951AB1">
              <w:rPr>
                <w:rFonts w:eastAsia="Times New Roman" w:cs="Times New Roman"/>
                <w:color w:val="000000" w:themeColor="text1"/>
              </w:rPr>
              <w:t>102.698.629.165</w:t>
            </w:r>
          </w:p>
        </w:tc>
        <w:tc>
          <w:tcPr>
            <w:tcW w:w="2096" w:type="dxa"/>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tcMar>
              <w:left w:w="70" w:type="dxa"/>
              <w:right w:w="70" w:type="dxa"/>
            </w:tcMar>
            <w:vAlign w:val="bottom"/>
          </w:tcPr>
          <w:p w14:paraId="6466B2FF" w14:textId="5B3468F7" w:rsidR="135E915A" w:rsidRPr="00951AB1" w:rsidRDefault="135E915A" w:rsidP="000A5389">
            <w:pPr>
              <w:spacing w:line="240" w:lineRule="auto"/>
              <w:jc w:val="center"/>
              <w:rPr>
                <w:rFonts w:cs="Times New Roman"/>
              </w:rPr>
            </w:pPr>
            <w:r w:rsidRPr="00951AB1">
              <w:rPr>
                <w:rFonts w:eastAsia="Times New Roman" w:cs="Times New Roman"/>
                <w:color w:val="000000" w:themeColor="text1"/>
              </w:rPr>
              <w:t>16,07%</w:t>
            </w:r>
          </w:p>
        </w:tc>
      </w:tr>
      <w:tr w:rsidR="135E915A" w:rsidRPr="00951AB1" w14:paraId="201EFE57" w14:textId="77777777" w:rsidTr="135E915A">
        <w:trPr>
          <w:trHeight w:val="300"/>
        </w:trPr>
        <w:tc>
          <w:tcPr>
            <w:tcW w:w="4050" w:type="dxa"/>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tcMar>
              <w:left w:w="70" w:type="dxa"/>
              <w:right w:w="70" w:type="dxa"/>
            </w:tcMar>
            <w:vAlign w:val="bottom"/>
          </w:tcPr>
          <w:p w14:paraId="1E96A722" w14:textId="5B84C8B9" w:rsidR="135E915A" w:rsidRPr="00951AB1" w:rsidRDefault="135E915A" w:rsidP="000A5389">
            <w:pPr>
              <w:spacing w:line="240" w:lineRule="auto"/>
              <w:rPr>
                <w:rFonts w:cs="Times New Roman"/>
              </w:rPr>
            </w:pPr>
            <w:r w:rsidRPr="00951AB1">
              <w:rPr>
                <w:rFonts w:eastAsia="Times New Roman" w:cs="Times New Roman"/>
                <w:color w:val="000000" w:themeColor="text1"/>
              </w:rPr>
              <w:t>Autopista al Mar 2</w:t>
            </w:r>
          </w:p>
        </w:tc>
        <w:tc>
          <w:tcPr>
            <w:tcW w:w="2689" w:type="dxa"/>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tcMar>
              <w:left w:w="70" w:type="dxa"/>
              <w:right w:w="70" w:type="dxa"/>
            </w:tcMar>
            <w:vAlign w:val="bottom"/>
          </w:tcPr>
          <w:p w14:paraId="77AE496A" w14:textId="0EEF9804" w:rsidR="135E915A" w:rsidRPr="00951AB1" w:rsidRDefault="135E915A" w:rsidP="000A5389">
            <w:pPr>
              <w:spacing w:line="240" w:lineRule="auto"/>
              <w:jc w:val="right"/>
              <w:rPr>
                <w:rFonts w:cs="Times New Roman"/>
              </w:rPr>
            </w:pPr>
            <w:r w:rsidRPr="00951AB1">
              <w:rPr>
                <w:rFonts w:eastAsia="Times New Roman" w:cs="Times New Roman"/>
                <w:color w:val="000000" w:themeColor="text1"/>
              </w:rPr>
              <w:t>68.326.997.385</w:t>
            </w:r>
          </w:p>
        </w:tc>
        <w:tc>
          <w:tcPr>
            <w:tcW w:w="2096" w:type="dxa"/>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tcMar>
              <w:left w:w="70" w:type="dxa"/>
              <w:right w:w="70" w:type="dxa"/>
            </w:tcMar>
            <w:vAlign w:val="bottom"/>
          </w:tcPr>
          <w:p w14:paraId="1C09138B" w14:textId="4F64817F" w:rsidR="135E915A" w:rsidRPr="00951AB1" w:rsidRDefault="135E915A" w:rsidP="000A5389">
            <w:pPr>
              <w:spacing w:line="240" w:lineRule="auto"/>
              <w:jc w:val="center"/>
              <w:rPr>
                <w:rFonts w:cs="Times New Roman"/>
              </w:rPr>
            </w:pPr>
            <w:r w:rsidRPr="00951AB1">
              <w:rPr>
                <w:rFonts w:eastAsia="Times New Roman" w:cs="Times New Roman"/>
                <w:color w:val="000000" w:themeColor="text1"/>
              </w:rPr>
              <w:t>10,69%</w:t>
            </w:r>
          </w:p>
        </w:tc>
      </w:tr>
      <w:tr w:rsidR="135E915A" w:rsidRPr="00951AB1" w14:paraId="518959D8" w14:textId="77777777" w:rsidTr="135E915A">
        <w:trPr>
          <w:trHeight w:val="300"/>
        </w:trPr>
        <w:tc>
          <w:tcPr>
            <w:tcW w:w="4050" w:type="dxa"/>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tcMar>
              <w:left w:w="70" w:type="dxa"/>
              <w:right w:w="70" w:type="dxa"/>
            </w:tcMar>
            <w:vAlign w:val="bottom"/>
          </w:tcPr>
          <w:p w14:paraId="304DBD3D" w14:textId="23A22206" w:rsidR="135E915A" w:rsidRPr="00951AB1" w:rsidRDefault="135E915A" w:rsidP="000A5389">
            <w:pPr>
              <w:spacing w:line="240" w:lineRule="auto"/>
              <w:rPr>
                <w:rFonts w:cs="Times New Roman"/>
              </w:rPr>
            </w:pPr>
            <w:r w:rsidRPr="00951AB1">
              <w:rPr>
                <w:rFonts w:eastAsia="Times New Roman" w:cs="Times New Roman"/>
                <w:b/>
                <w:color w:val="000000" w:themeColor="text1"/>
              </w:rPr>
              <w:t>Valor Total</w:t>
            </w:r>
          </w:p>
        </w:tc>
        <w:tc>
          <w:tcPr>
            <w:tcW w:w="2689" w:type="dxa"/>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tcMar>
              <w:left w:w="70" w:type="dxa"/>
              <w:right w:w="70" w:type="dxa"/>
            </w:tcMar>
            <w:vAlign w:val="bottom"/>
          </w:tcPr>
          <w:p w14:paraId="0B82D9CA" w14:textId="2E43D99D" w:rsidR="135E915A" w:rsidRPr="00951AB1" w:rsidRDefault="135E915A" w:rsidP="000A5389">
            <w:pPr>
              <w:spacing w:line="240" w:lineRule="auto"/>
              <w:jc w:val="right"/>
              <w:rPr>
                <w:rFonts w:cs="Times New Roman"/>
              </w:rPr>
            </w:pPr>
            <w:r w:rsidRPr="00951AB1">
              <w:rPr>
                <w:rFonts w:eastAsia="Times New Roman" w:cs="Times New Roman"/>
                <w:b/>
                <w:color w:val="000000" w:themeColor="text1"/>
              </w:rPr>
              <w:t>639.097.638.258</w:t>
            </w:r>
          </w:p>
        </w:tc>
        <w:tc>
          <w:tcPr>
            <w:tcW w:w="2096" w:type="dxa"/>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tcMar>
              <w:left w:w="70" w:type="dxa"/>
              <w:right w:w="70" w:type="dxa"/>
            </w:tcMar>
            <w:vAlign w:val="bottom"/>
          </w:tcPr>
          <w:p w14:paraId="6D688871" w14:textId="3A0DEF59" w:rsidR="135E915A" w:rsidRPr="00951AB1" w:rsidRDefault="135E915A" w:rsidP="000A5389">
            <w:pPr>
              <w:spacing w:line="240" w:lineRule="auto"/>
              <w:jc w:val="center"/>
              <w:rPr>
                <w:rFonts w:cs="Times New Roman"/>
              </w:rPr>
            </w:pPr>
            <w:r w:rsidRPr="00951AB1">
              <w:rPr>
                <w:rFonts w:eastAsia="Times New Roman" w:cs="Times New Roman"/>
                <w:b/>
                <w:color w:val="000000" w:themeColor="text1"/>
              </w:rPr>
              <w:t>100,00%</w:t>
            </w:r>
          </w:p>
        </w:tc>
      </w:tr>
    </w:tbl>
    <w:p w14:paraId="5F74F08A" w14:textId="4E264FCD" w:rsidR="1C6FD584" w:rsidRPr="00951AB1" w:rsidRDefault="1C6FD584" w:rsidP="000A5389">
      <w:pPr>
        <w:pStyle w:val="Default"/>
        <w:ind w:left="-20" w:right="-20"/>
        <w:jc w:val="both"/>
        <w:rPr>
          <w:rFonts w:ascii="Times New Roman" w:eastAsia="Times New Roman" w:hAnsi="Times New Roman" w:cs="Times New Roman"/>
          <w:b/>
        </w:rPr>
      </w:pPr>
    </w:p>
    <w:p w14:paraId="2B083A7E" w14:textId="77777777" w:rsidR="006C6D83" w:rsidRPr="00951AB1" w:rsidRDefault="006C6D83" w:rsidP="000A5389">
      <w:pPr>
        <w:pStyle w:val="Default"/>
        <w:jc w:val="both"/>
        <w:rPr>
          <w:rFonts w:ascii="Times New Roman" w:hAnsi="Times New Roman" w:cs="Times New Roman"/>
        </w:rPr>
      </w:pPr>
      <w:r w:rsidRPr="00951AB1">
        <w:rPr>
          <w:rFonts w:ascii="Times New Roman" w:hAnsi="Times New Roman" w:cs="Times New Roman"/>
        </w:rPr>
        <w:t xml:space="preserve">En la subcuenta Litigios y mecanismos alternativos de solución de conflictos de la cuenta activos contingentes, se registran los procesos judiciales y tribunales de arbitramento iniciados por la entidad, y tal como lo establece la Resolución </w:t>
      </w:r>
      <w:r w:rsidRPr="00951AB1">
        <w:rPr>
          <w:rFonts w:ascii="Times New Roman" w:hAnsi="Times New Roman" w:cs="Times New Roman"/>
          <w:color w:val="auto"/>
        </w:rPr>
        <w:t xml:space="preserve">No. 431 del 28 de julio de 2023 </w:t>
      </w:r>
      <w:r w:rsidRPr="00951AB1">
        <w:rPr>
          <w:rFonts w:ascii="Times New Roman" w:hAnsi="Times New Roman" w:cs="Times New Roman"/>
        </w:rPr>
        <w:t>de la ANDJE, que fue adoptada por la ANI mediante la resolución 20247010010885 del 27 de agosto de 2024. Se estableció en el artículo 18, párrafo segundo, del CAPÍTULO V OTRAS DISPOSICIONES, lo siguiente:</w:t>
      </w:r>
    </w:p>
    <w:p w14:paraId="75B8B7BB" w14:textId="77777777" w:rsidR="006C6D83" w:rsidRPr="00951AB1" w:rsidRDefault="006C6D83" w:rsidP="000A5389">
      <w:pPr>
        <w:pStyle w:val="Default"/>
        <w:jc w:val="both"/>
        <w:rPr>
          <w:rFonts w:ascii="Times New Roman" w:hAnsi="Times New Roman" w:cs="Times New Roman"/>
        </w:rPr>
      </w:pPr>
    </w:p>
    <w:p w14:paraId="4A6D7778" w14:textId="77777777" w:rsidR="006C6D83" w:rsidRPr="00951AB1" w:rsidRDefault="006C6D83" w:rsidP="000A5389">
      <w:pPr>
        <w:pStyle w:val="Default"/>
        <w:jc w:val="both"/>
        <w:rPr>
          <w:rFonts w:ascii="Times New Roman" w:hAnsi="Times New Roman" w:cs="Times New Roman"/>
          <w:i/>
          <w:iCs/>
          <w:color w:val="auto"/>
          <w:sz w:val="20"/>
          <w:szCs w:val="20"/>
        </w:rPr>
      </w:pPr>
      <w:r w:rsidRPr="00951AB1">
        <w:rPr>
          <w:rFonts w:ascii="Times New Roman" w:hAnsi="Times New Roman" w:cs="Times New Roman"/>
          <w:i/>
          <w:iCs/>
        </w:rPr>
        <w:t>“En los casos en los cuales la entidad actúa en calidad de demandante, en procesos judiciales (excepto en los procesos de expropiación judicial), conciliaciones extrajudiciales y trámites arbitrales, la entidad registrará en Cuentas de Orden Deudoras - Activos Contingentes el valor de las pretensiones reportadas por el GIT Defensa Judicial GIT Administrativo y Financiero – Área de Contabilidad en el formato adoptado.”</w:t>
      </w:r>
    </w:p>
    <w:p w14:paraId="4A58D786" w14:textId="77777777" w:rsidR="00FA20A0" w:rsidRPr="00951AB1" w:rsidRDefault="00FA20A0" w:rsidP="000A5389">
      <w:pPr>
        <w:pStyle w:val="Default"/>
        <w:ind w:left="284" w:right="900"/>
        <w:jc w:val="right"/>
        <w:rPr>
          <w:rFonts w:ascii="Times New Roman" w:hAnsi="Times New Roman" w:cs="Times New Roman"/>
          <w:i/>
          <w:iCs/>
          <w:sz w:val="20"/>
          <w:szCs w:val="20"/>
        </w:rPr>
      </w:pPr>
    </w:p>
    <w:p w14:paraId="71EA53D6" w14:textId="2E33C87C" w:rsidR="0039091F" w:rsidRDefault="006A7A85" w:rsidP="000A5389">
      <w:pPr>
        <w:shd w:val="clear" w:color="auto" w:fill="FFFFFF"/>
        <w:spacing w:line="240" w:lineRule="auto"/>
        <w:textAlignment w:val="baseline"/>
        <w:rPr>
          <w:rFonts w:cs="Times New Roman"/>
          <w:i/>
          <w:iCs/>
          <w:szCs w:val="24"/>
        </w:rPr>
      </w:pPr>
      <w:r w:rsidRPr="00951AB1">
        <w:rPr>
          <w:rFonts w:cs="Times New Roman"/>
          <w:i/>
          <w:iCs/>
          <w:szCs w:val="24"/>
        </w:rPr>
        <w:t>PROCESOS ADMINISTRATIVOS</w:t>
      </w:r>
    </w:p>
    <w:p w14:paraId="5985B0E7" w14:textId="77777777" w:rsidR="0039091F" w:rsidRPr="00951AB1" w:rsidRDefault="0039091F" w:rsidP="000A5389">
      <w:pPr>
        <w:shd w:val="clear" w:color="auto" w:fill="FFFFFF"/>
        <w:spacing w:line="240" w:lineRule="auto"/>
        <w:textAlignment w:val="baseline"/>
        <w:rPr>
          <w:rFonts w:cs="Times New Roman"/>
          <w:i/>
          <w:iCs/>
          <w:szCs w:val="24"/>
        </w:rPr>
      </w:pPr>
    </w:p>
    <w:p w14:paraId="2E05FA50" w14:textId="77777777" w:rsidR="006A7A85" w:rsidRPr="00951AB1" w:rsidRDefault="006A7A85" w:rsidP="000A5389">
      <w:pPr>
        <w:shd w:val="clear" w:color="auto" w:fill="FFFFFF"/>
        <w:spacing w:line="240" w:lineRule="auto"/>
        <w:textAlignment w:val="baseline"/>
        <w:rPr>
          <w:rFonts w:cs="Times New Roman"/>
          <w:szCs w:val="24"/>
        </w:rPr>
      </w:pPr>
      <w:r w:rsidRPr="00951AB1">
        <w:rPr>
          <w:rFonts w:cs="Times New Roman"/>
          <w:i/>
          <w:iCs/>
          <w:szCs w:val="24"/>
        </w:rPr>
        <w:t>NATURALEZA DEL ACTIVO CONTINGENTE:</w:t>
      </w:r>
      <w:r w:rsidRPr="00951AB1">
        <w:rPr>
          <w:rFonts w:cs="Times New Roman"/>
          <w:szCs w:val="24"/>
        </w:rPr>
        <w:t xml:space="preserve"> Con relación a los procesos administrativos, El Grupo Interno de Trabajo de Defensa Judicial de la Vicepresidencia Jurídica, mediante el Sistema Único de Gestión e Información Litigiosa del Estado eKogui - </w:t>
      </w:r>
      <w:r w:rsidRPr="00951AB1">
        <w:rPr>
          <w:rFonts w:cs="Times New Roman"/>
          <w:i/>
          <w:iCs/>
          <w:szCs w:val="24"/>
        </w:rPr>
        <w:t>"Reporte Procesos Judiciales de la Entidad - Activos"</w:t>
      </w:r>
      <w:r w:rsidRPr="00951AB1">
        <w:rPr>
          <w:rFonts w:cs="Times New Roman"/>
          <w:szCs w:val="24"/>
        </w:rPr>
        <w:t xml:space="preserve"> a 31 de diciembre de 2025, reportó lo siguiente: </w:t>
      </w:r>
    </w:p>
    <w:p w14:paraId="3660890F" w14:textId="77777777" w:rsidR="006A7A85" w:rsidRPr="00951AB1" w:rsidRDefault="006A7A85" w:rsidP="000A5389">
      <w:pPr>
        <w:shd w:val="clear" w:color="auto" w:fill="FFFFFF"/>
        <w:spacing w:line="240" w:lineRule="auto"/>
        <w:textAlignment w:val="baseline"/>
        <w:rPr>
          <w:rFonts w:cs="Times New Roman"/>
          <w:szCs w:val="24"/>
        </w:rPr>
      </w:pPr>
    </w:p>
    <w:p w14:paraId="3076CE8E" w14:textId="77777777" w:rsidR="006A7A85" w:rsidRPr="00951AB1" w:rsidRDefault="006A7A85" w:rsidP="000A5389">
      <w:pPr>
        <w:pStyle w:val="Prrafodelista"/>
        <w:numPr>
          <w:ilvl w:val="0"/>
          <w:numId w:val="60"/>
        </w:numPr>
        <w:shd w:val="clear" w:color="auto" w:fill="FFFFFF"/>
        <w:spacing w:line="240" w:lineRule="auto"/>
        <w:textAlignment w:val="baseline"/>
        <w:rPr>
          <w:rFonts w:cs="Times New Roman"/>
          <w:szCs w:val="24"/>
        </w:rPr>
      </w:pPr>
      <w:r w:rsidRPr="00951AB1">
        <w:rPr>
          <w:rFonts w:cs="Times New Roman"/>
          <w:szCs w:val="24"/>
        </w:rPr>
        <w:t>Veintiocho (28), fueron iniciados en ejercicio del medio de control de Acción de Repetición, con el fin de recuperar los dineros pagados por la ANI, con ocasión de condenas impuestas y pagadas por la entidad.</w:t>
      </w:r>
    </w:p>
    <w:p w14:paraId="58DEE9B6" w14:textId="77777777" w:rsidR="006A7A85" w:rsidRPr="00951AB1" w:rsidRDefault="006A7A85" w:rsidP="000A5389">
      <w:pPr>
        <w:pStyle w:val="Prrafodelista"/>
        <w:numPr>
          <w:ilvl w:val="0"/>
          <w:numId w:val="60"/>
        </w:numPr>
        <w:shd w:val="clear" w:color="auto" w:fill="FFFFFF" w:themeFill="background1"/>
        <w:spacing w:line="240" w:lineRule="auto"/>
        <w:textAlignment w:val="baseline"/>
        <w:rPr>
          <w:rFonts w:cs="Times New Roman"/>
          <w:szCs w:val="24"/>
        </w:rPr>
      </w:pPr>
      <w:r w:rsidRPr="00951AB1">
        <w:rPr>
          <w:rFonts w:cs="Times New Roman"/>
          <w:szCs w:val="24"/>
        </w:rPr>
        <w:lastRenderedPageBreak/>
        <w:t xml:space="preserve">Cinco (5) procesos, iniciados en ejercicio del medio de control de controversias contractuales, por el incumplimiento de contratos o convenios, relacionados con entregas de obras. </w:t>
      </w:r>
    </w:p>
    <w:p w14:paraId="7AB8D9EF" w14:textId="77777777" w:rsidR="006A7A85" w:rsidRPr="00951AB1" w:rsidRDefault="006A7A85" w:rsidP="000A5389">
      <w:pPr>
        <w:pStyle w:val="Prrafodelista"/>
        <w:numPr>
          <w:ilvl w:val="0"/>
          <w:numId w:val="60"/>
        </w:numPr>
        <w:shd w:val="clear" w:color="auto" w:fill="FFFFFF" w:themeFill="background1"/>
        <w:spacing w:line="240" w:lineRule="auto"/>
        <w:textAlignment w:val="baseline"/>
        <w:rPr>
          <w:rFonts w:cs="Times New Roman"/>
          <w:szCs w:val="24"/>
        </w:rPr>
      </w:pPr>
      <w:r w:rsidRPr="00951AB1">
        <w:rPr>
          <w:rFonts w:cs="Times New Roman"/>
          <w:szCs w:val="24"/>
        </w:rPr>
        <w:t>Ocho (8) procesos ejecutivos, que cursan ante la jurisdicción de lo contencioso administrativo.</w:t>
      </w:r>
    </w:p>
    <w:p w14:paraId="208D9877" w14:textId="77777777" w:rsidR="006A7A85" w:rsidRPr="00951AB1" w:rsidRDefault="006A7A85" w:rsidP="000A5389">
      <w:pPr>
        <w:pStyle w:val="Prrafodelista"/>
        <w:numPr>
          <w:ilvl w:val="0"/>
          <w:numId w:val="60"/>
        </w:numPr>
        <w:shd w:val="clear" w:color="auto" w:fill="FFFFFF"/>
        <w:spacing w:line="240" w:lineRule="auto"/>
        <w:textAlignment w:val="baseline"/>
        <w:rPr>
          <w:rFonts w:cs="Times New Roman"/>
          <w:szCs w:val="24"/>
        </w:rPr>
      </w:pPr>
      <w:r w:rsidRPr="00951AB1">
        <w:rPr>
          <w:rFonts w:cs="Times New Roman"/>
          <w:szCs w:val="24"/>
        </w:rPr>
        <w:t>Tres (3) procesos, iniciados en ejercicio del medio de control de nulidad y restablecimiento del derecho en contra de actos administrativos, expedidos por entidades públicas.</w:t>
      </w:r>
    </w:p>
    <w:p w14:paraId="731EE3C5" w14:textId="77777777" w:rsidR="006A7A85" w:rsidRPr="00951AB1" w:rsidRDefault="006A7A85" w:rsidP="000A5389">
      <w:pPr>
        <w:pStyle w:val="Prrafodelista"/>
        <w:numPr>
          <w:ilvl w:val="0"/>
          <w:numId w:val="60"/>
        </w:numPr>
        <w:shd w:val="clear" w:color="auto" w:fill="FFFFFF" w:themeFill="background1"/>
        <w:spacing w:line="240" w:lineRule="auto"/>
        <w:textAlignment w:val="baseline"/>
        <w:rPr>
          <w:rFonts w:cs="Times New Roman"/>
          <w:szCs w:val="24"/>
        </w:rPr>
      </w:pPr>
      <w:r w:rsidRPr="00951AB1">
        <w:rPr>
          <w:rFonts w:cs="Times New Roman"/>
          <w:szCs w:val="24"/>
        </w:rPr>
        <w:t>Un (1) procesos en ejercicio del medio de control recurso extraordinario de por violación al debido proceso</w:t>
      </w:r>
    </w:p>
    <w:p w14:paraId="0314F4E8" w14:textId="77777777" w:rsidR="006A7A85" w:rsidRPr="00951AB1" w:rsidRDefault="006A7A85" w:rsidP="000A5389">
      <w:pPr>
        <w:pStyle w:val="Prrafodelista"/>
        <w:numPr>
          <w:ilvl w:val="0"/>
          <w:numId w:val="59"/>
        </w:numPr>
        <w:shd w:val="clear" w:color="auto" w:fill="FFFFFF"/>
        <w:spacing w:line="240" w:lineRule="auto"/>
        <w:textAlignment w:val="baseline"/>
        <w:rPr>
          <w:rFonts w:cs="Times New Roman"/>
          <w:szCs w:val="24"/>
        </w:rPr>
      </w:pPr>
      <w:r w:rsidRPr="00951AB1">
        <w:rPr>
          <w:rFonts w:cs="Times New Roman"/>
          <w:szCs w:val="24"/>
        </w:rPr>
        <w:t>Seis (6) procesos en ejercicio del medio de control de reparación directa, entre los cuales se encuentra el iniciado con ocasión de los perjuicios causados a la entidad, por la suscrición irregular de contratos de concesión.</w:t>
      </w:r>
    </w:p>
    <w:p w14:paraId="560410F7" w14:textId="77777777" w:rsidR="006A7A85" w:rsidRPr="00951AB1" w:rsidRDefault="006A7A85" w:rsidP="000A5389">
      <w:pPr>
        <w:shd w:val="clear" w:color="auto" w:fill="FFFFFF"/>
        <w:spacing w:line="240" w:lineRule="auto"/>
        <w:ind w:left="11"/>
        <w:textAlignment w:val="baseline"/>
        <w:rPr>
          <w:rFonts w:cs="Times New Roman"/>
          <w:szCs w:val="24"/>
        </w:rPr>
      </w:pPr>
    </w:p>
    <w:p w14:paraId="750BC5C5" w14:textId="77777777" w:rsidR="006A7A85" w:rsidRPr="00951AB1" w:rsidRDefault="006A7A85" w:rsidP="000A5389">
      <w:pPr>
        <w:shd w:val="clear" w:color="auto" w:fill="FFFFFF" w:themeFill="background1"/>
        <w:spacing w:line="240" w:lineRule="auto"/>
        <w:textAlignment w:val="baseline"/>
        <w:rPr>
          <w:rFonts w:cs="Times New Roman"/>
          <w:szCs w:val="24"/>
        </w:rPr>
      </w:pPr>
      <w:r w:rsidRPr="00951AB1">
        <w:rPr>
          <w:rFonts w:cs="Times New Roman"/>
          <w:szCs w:val="24"/>
        </w:rPr>
        <w:t xml:space="preserve">Adicionalmente, uno (1) proceso sancionatorio </w:t>
      </w:r>
      <w:r w:rsidR="5C86FF3E" w:rsidRPr="00951AB1">
        <w:rPr>
          <w:rFonts w:cs="Times New Roman"/>
          <w:szCs w:val="24"/>
        </w:rPr>
        <w:t>registrado</w:t>
      </w:r>
      <w:r w:rsidRPr="00951AB1">
        <w:rPr>
          <w:rFonts w:cs="Times New Roman"/>
          <w:szCs w:val="24"/>
        </w:rPr>
        <w:t xml:space="preserve"> en las subcuentas 8.1.20.04 Administrativas y 8.1.20.90 </w:t>
      </w:r>
      <w:r w:rsidRPr="00951AB1">
        <w:rPr>
          <w:rFonts w:eastAsia="Times New Roman" w:cs="Times New Roman"/>
          <w:color w:val="000000"/>
          <w:szCs w:val="24"/>
          <w:lang w:eastAsia="es-CO"/>
        </w:rPr>
        <w:t>Litigios y mecanismos alternativos de solución de conflictos, corresponden a l</w:t>
      </w:r>
      <w:r w:rsidRPr="00951AB1">
        <w:rPr>
          <w:rFonts w:cs="Times New Roman"/>
          <w:szCs w:val="24"/>
        </w:rPr>
        <w:t>as sanciones que se relacionan a continuación y que fueron informadas por el Grupo Interno</w:t>
      </w:r>
      <w:r w:rsidRPr="00951AB1">
        <w:rPr>
          <w:rFonts w:cs="Times New Roman"/>
          <w:color w:val="1F4E79"/>
          <w:szCs w:val="24"/>
          <w:shd w:val="clear" w:color="auto" w:fill="FFFFFF"/>
        </w:rPr>
        <w:t xml:space="preserve"> </w:t>
      </w:r>
      <w:r w:rsidRPr="00951AB1">
        <w:rPr>
          <w:rFonts w:cs="Times New Roman"/>
          <w:szCs w:val="24"/>
        </w:rPr>
        <w:t xml:space="preserve">de Trabajo de Procedimientos Administrativos Sancionatorios Contractuales, a la Coordinación del GTI Administrativo y Financiero: </w:t>
      </w:r>
    </w:p>
    <w:p w14:paraId="5FAF18F1" w14:textId="77777777" w:rsidR="006A7A85" w:rsidRPr="00951AB1" w:rsidRDefault="006A7A85" w:rsidP="000A5389">
      <w:pPr>
        <w:shd w:val="clear" w:color="auto" w:fill="FFFFFF"/>
        <w:spacing w:line="240" w:lineRule="auto"/>
        <w:textAlignment w:val="baseline"/>
        <w:rPr>
          <w:rFonts w:eastAsia="Times New Roman" w:cs="Times New Roman"/>
          <w:color w:val="000000"/>
          <w:szCs w:val="24"/>
          <w:lang w:eastAsia="es-CO"/>
        </w:rPr>
      </w:pPr>
    </w:p>
    <w:p w14:paraId="5B5CB17D" w14:textId="585B9B72" w:rsidR="006A7A85" w:rsidRPr="00951AB1" w:rsidRDefault="006A7A85" w:rsidP="000A5389">
      <w:pPr>
        <w:pStyle w:val="Prrafodelista"/>
        <w:numPr>
          <w:ilvl w:val="0"/>
          <w:numId w:val="58"/>
        </w:numPr>
        <w:shd w:val="clear" w:color="auto" w:fill="FFFFFF" w:themeFill="background1"/>
        <w:spacing w:line="240" w:lineRule="auto"/>
        <w:textAlignment w:val="baseline"/>
        <w:rPr>
          <w:rFonts w:cs="Times New Roman"/>
          <w:szCs w:val="24"/>
        </w:rPr>
      </w:pPr>
      <w:r w:rsidRPr="00951AB1">
        <w:rPr>
          <w:rFonts w:cs="Times New Roman"/>
          <w:szCs w:val="24"/>
        </w:rPr>
        <w:t xml:space="preserve">Se registró la Resolución No 1216 de 2014, por la cual se resuelve el recurso de reposición contra la Resolución No. 833 del 20 de junio de 2014 y se hace efectiva una causal contractual prevista para la terminación anticipada del contrato de concesión 7000002-OK-2007 suscrito con la Sociedad Concesión Aeropuerto San </w:t>
      </w:r>
      <w:r w:rsidR="00DB617E" w:rsidRPr="00951AB1">
        <w:rPr>
          <w:rFonts w:cs="Times New Roman"/>
          <w:szCs w:val="24"/>
        </w:rPr>
        <w:t>Andrés</w:t>
      </w:r>
      <w:r w:rsidRPr="00951AB1">
        <w:rPr>
          <w:rFonts w:cs="Times New Roman"/>
          <w:szCs w:val="24"/>
        </w:rPr>
        <w:t xml:space="preserve"> y Providencia CASYP S.A. y se reconoce el valor de $4.376.680 miles, por la cláusula penal del contrato, el cual se encuentra etapa persuasiva primer requerimiento de acuerdo a lo informado por el grupo de Defensa Judicial. </w:t>
      </w:r>
    </w:p>
    <w:p w14:paraId="0E11DD62" w14:textId="6AB3B863" w:rsidR="006A7A85" w:rsidRPr="00951AB1" w:rsidRDefault="006A7A85" w:rsidP="000A5389">
      <w:pPr>
        <w:spacing w:line="240" w:lineRule="auto"/>
        <w:rPr>
          <w:rFonts w:cs="Times New Roman"/>
          <w:szCs w:val="24"/>
        </w:rPr>
      </w:pPr>
    </w:p>
    <w:p w14:paraId="39A849AC" w14:textId="63149F71" w:rsidR="006A7A85" w:rsidRPr="00951AB1" w:rsidRDefault="006A7A85" w:rsidP="000A5389">
      <w:pPr>
        <w:spacing w:line="240" w:lineRule="auto"/>
        <w:rPr>
          <w:rFonts w:cs="Times New Roman"/>
          <w:szCs w:val="24"/>
        </w:rPr>
      </w:pPr>
      <w:r w:rsidRPr="00951AB1">
        <w:rPr>
          <w:rFonts w:cs="Times New Roman"/>
          <w:i/>
          <w:iCs/>
          <w:szCs w:val="24"/>
        </w:rPr>
        <w:t>INCERTIDUMBRES ASOCIADAS AL VALOR</w:t>
      </w:r>
      <w:r w:rsidR="00493EFE" w:rsidRPr="00951AB1">
        <w:rPr>
          <w:rFonts w:cs="Times New Roman"/>
          <w:i/>
          <w:iCs/>
          <w:szCs w:val="24"/>
        </w:rPr>
        <w:t>:</w:t>
      </w:r>
      <w:r w:rsidR="08514D49" w:rsidRPr="5B0C84B6">
        <w:rPr>
          <w:rFonts w:cs="Times New Roman"/>
          <w:i/>
          <w:iCs/>
          <w:szCs w:val="24"/>
        </w:rPr>
        <w:t xml:space="preserve"> </w:t>
      </w:r>
      <w:r w:rsidRPr="00951AB1">
        <w:rPr>
          <w:rFonts w:cs="Times New Roman"/>
          <w:szCs w:val="24"/>
        </w:rPr>
        <w:t>Frente a los procesos descritos en el acápite anterior, la incertidumbre respecto al valor varía dependiendo de las decisiones adoptadas por cada despacho, no obstante:</w:t>
      </w:r>
    </w:p>
    <w:p w14:paraId="081F15F8" w14:textId="77777777" w:rsidR="006A7A85" w:rsidRPr="00951AB1" w:rsidRDefault="006A7A85" w:rsidP="000A5389">
      <w:pPr>
        <w:spacing w:line="240" w:lineRule="auto"/>
        <w:rPr>
          <w:rFonts w:cs="Times New Roman"/>
          <w:szCs w:val="24"/>
        </w:rPr>
      </w:pPr>
    </w:p>
    <w:p w14:paraId="2B9A6D56" w14:textId="77777777" w:rsidR="006A7A85" w:rsidRPr="00951AB1" w:rsidRDefault="006A7A85" w:rsidP="000A5389">
      <w:pPr>
        <w:pStyle w:val="Prrafodelista"/>
        <w:numPr>
          <w:ilvl w:val="0"/>
          <w:numId w:val="57"/>
        </w:numPr>
        <w:spacing w:line="240" w:lineRule="auto"/>
        <w:rPr>
          <w:rFonts w:cs="Times New Roman"/>
          <w:szCs w:val="24"/>
        </w:rPr>
      </w:pPr>
      <w:r w:rsidRPr="00951AB1">
        <w:rPr>
          <w:rFonts w:cs="Times New Roman"/>
          <w:szCs w:val="24"/>
        </w:rPr>
        <w:t xml:space="preserve">Con relación a los procesos en ejercicio del medio de control de Repetición, teniendo en cuenta que la pretensión está asociada al valor efectivamente pagado por la entidad, la incertidumbre radica en la decisión que adopte el despacho frente a la responsabilidad de las demandadas por el daño causado. En ese sentido, la suma de $ 8.233.676.103, tendría un menor valor de incertidumbre asociada al valor. </w:t>
      </w:r>
    </w:p>
    <w:p w14:paraId="5E615674" w14:textId="77777777" w:rsidR="006A7A85" w:rsidRPr="00951AB1" w:rsidRDefault="006A7A85" w:rsidP="000A5389">
      <w:pPr>
        <w:spacing w:line="240" w:lineRule="auto"/>
        <w:rPr>
          <w:rFonts w:cs="Times New Roman"/>
          <w:szCs w:val="24"/>
        </w:rPr>
      </w:pPr>
    </w:p>
    <w:p w14:paraId="573E94A7" w14:textId="77777777" w:rsidR="006A7A85" w:rsidRPr="00951AB1" w:rsidRDefault="006A7A85" w:rsidP="000A5389">
      <w:pPr>
        <w:pStyle w:val="Prrafodelista"/>
        <w:numPr>
          <w:ilvl w:val="0"/>
          <w:numId w:val="57"/>
        </w:numPr>
        <w:spacing w:line="240" w:lineRule="auto"/>
        <w:rPr>
          <w:rFonts w:cs="Times New Roman"/>
          <w:szCs w:val="24"/>
        </w:rPr>
      </w:pPr>
      <w:r w:rsidRPr="00951AB1">
        <w:rPr>
          <w:rFonts w:cs="Times New Roman"/>
          <w:szCs w:val="24"/>
        </w:rPr>
        <w:t xml:space="preserve">Los demás procesos que suma el valor de $ 670.529.551.481, presentan un mayor nivel de incertidumbre asociados al valor, por cuanto dependen de un mayor nivel de análisis por parte del despacho en cuanto a niveles de responsabilidad, elementos probatorios, diversidad de pretensiones, entre otros. </w:t>
      </w:r>
    </w:p>
    <w:p w14:paraId="16D9B5D1" w14:textId="77777777" w:rsidR="006A7A85" w:rsidRPr="00951AB1" w:rsidRDefault="006A7A85" w:rsidP="000A5389">
      <w:pPr>
        <w:spacing w:line="240" w:lineRule="auto"/>
        <w:rPr>
          <w:rFonts w:eastAsia="Times New Roman" w:cs="Times New Roman"/>
          <w:color w:val="000000"/>
          <w:lang w:eastAsia="es-CO"/>
        </w:rPr>
      </w:pPr>
      <w:r w:rsidRPr="00951AB1">
        <w:rPr>
          <w:rFonts w:eastAsia="Times New Roman" w:cs="Times New Roman"/>
          <w:color w:val="000000"/>
          <w:lang w:eastAsia="es-CO"/>
        </w:rPr>
        <w:t xml:space="preserve">                  </w:t>
      </w:r>
    </w:p>
    <w:p w14:paraId="3920E306" w14:textId="77777777" w:rsidR="006A7A85" w:rsidRPr="00951AB1" w:rsidRDefault="006A7A85" w:rsidP="000A5389">
      <w:pPr>
        <w:spacing w:line="240" w:lineRule="auto"/>
        <w:rPr>
          <w:rFonts w:cs="Times New Roman"/>
          <w:szCs w:val="24"/>
        </w:rPr>
      </w:pPr>
      <w:r w:rsidRPr="00951AB1">
        <w:rPr>
          <w:rFonts w:cs="Times New Roman"/>
          <w:i/>
          <w:iCs/>
          <w:szCs w:val="24"/>
        </w:rPr>
        <w:lastRenderedPageBreak/>
        <w:t>INCERTIDUMBRES ASOCIADAS CON LA FECHA:</w:t>
      </w:r>
      <w:r w:rsidRPr="00951AB1">
        <w:rPr>
          <w:rFonts w:cs="Times New Roman"/>
          <w:szCs w:val="24"/>
        </w:rPr>
        <w:t xml:space="preserve"> La incertidumbre asociada con la fecha es alta, teniendo en cuenta que son procesos que se encuentran cursando la primera instancia, siendo improbable determinar la fecha exacta en que se contaría con la decisión en firme por parte de los despachos judiciales, sumado al tiempo que requeriría el proceso de cobro en aquellos casos en que la sentencia ejecutoriada, reconozca valores a favor de la entidad. </w:t>
      </w:r>
    </w:p>
    <w:p w14:paraId="79F560FA" w14:textId="77777777" w:rsidR="006A7A85" w:rsidRPr="00951AB1" w:rsidRDefault="006A7A85" w:rsidP="000A5389">
      <w:pPr>
        <w:spacing w:line="240" w:lineRule="auto"/>
        <w:rPr>
          <w:rFonts w:cs="Times New Roman"/>
          <w:szCs w:val="24"/>
        </w:rPr>
      </w:pPr>
    </w:p>
    <w:p w14:paraId="55964111" w14:textId="77777777" w:rsidR="006A7A85" w:rsidRPr="00951AB1" w:rsidRDefault="006A7A85" w:rsidP="000A5389">
      <w:pPr>
        <w:shd w:val="clear" w:color="auto" w:fill="FFFFFF"/>
        <w:spacing w:line="240" w:lineRule="auto"/>
        <w:textAlignment w:val="baseline"/>
        <w:rPr>
          <w:rFonts w:cs="Times New Roman"/>
          <w:i/>
          <w:iCs/>
          <w:szCs w:val="24"/>
        </w:rPr>
      </w:pPr>
      <w:r w:rsidRPr="00951AB1">
        <w:rPr>
          <w:rFonts w:cs="Times New Roman"/>
          <w:i/>
          <w:iCs/>
          <w:szCs w:val="24"/>
        </w:rPr>
        <w:t>PROCESOS OTROS LITIGIOS Y MECANISMOS ALTERNATIVOS DE SOLUCIÓN DE CONFLICTOS</w:t>
      </w:r>
    </w:p>
    <w:p w14:paraId="004B18E6" w14:textId="77777777" w:rsidR="006A7A85" w:rsidRPr="00951AB1" w:rsidRDefault="006A7A85" w:rsidP="000A5389">
      <w:pPr>
        <w:shd w:val="clear" w:color="auto" w:fill="FFFFFF"/>
        <w:spacing w:line="240" w:lineRule="auto"/>
        <w:textAlignment w:val="baseline"/>
        <w:rPr>
          <w:rFonts w:cs="Times New Roman"/>
          <w:szCs w:val="24"/>
        </w:rPr>
      </w:pPr>
    </w:p>
    <w:p w14:paraId="5C06DC5C" w14:textId="77777777" w:rsidR="006A7A85" w:rsidRPr="00951AB1" w:rsidRDefault="006A7A85" w:rsidP="000A5389">
      <w:pPr>
        <w:spacing w:line="240" w:lineRule="auto"/>
        <w:rPr>
          <w:rFonts w:cs="Times New Roman"/>
          <w:szCs w:val="24"/>
        </w:rPr>
      </w:pPr>
      <w:r w:rsidRPr="00951AB1">
        <w:rPr>
          <w:rFonts w:cs="Times New Roman"/>
          <w:i/>
          <w:iCs/>
          <w:szCs w:val="24"/>
        </w:rPr>
        <w:t>NATURALEZA DEL ACTIVO CONTINGENTE</w:t>
      </w:r>
      <w:r w:rsidRPr="00951AB1">
        <w:rPr>
          <w:rFonts w:cs="Times New Roman"/>
          <w:szCs w:val="24"/>
        </w:rPr>
        <w:t>: En materia de procesos arbitrales, los procesos a favor pueden iniciar por convocatoria directa que realice la entidad, o a través de la figura de la demanda de reconvención, en el marco de procesos en los que inicialmente fue vinculada como convocada (demandada).</w:t>
      </w:r>
    </w:p>
    <w:p w14:paraId="065AB170" w14:textId="77777777" w:rsidR="00445AA5" w:rsidRPr="00951AB1" w:rsidRDefault="00445AA5" w:rsidP="000A5389">
      <w:pPr>
        <w:spacing w:line="240" w:lineRule="auto"/>
        <w:rPr>
          <w:rFonts w:cs="Times New Roman"/>
          <w:color w:val="000000"/>
          <w:szCs w:val="24"/>
        </w:rPr>
      </w:pPr>
      <w:r w:rsidRPr="00951AB1">
        <w:rPr>
          <w:rFonts w:cs="Times New Roman"/>
          <w:szCs w:val="24"/>
        </w:rPr>
        <w:t>Hecha esta aclaración, con relación a los procesos arbitrales, el Grupo Interno de Trabajo de Defensa Judicial de la Vicepresidencia Jurídica, mediante el formato GEJU-F-010 - Reporte de Tribunales de Arbitramento</w:t>
      </w:r>
      <w:r w:rsidRPr="00951AB1">
        <w:rPr>
          <w:rFonts w:cs="Times New Roman"/>
          <w:i/>
          <w:iCs/>
          <w:szCs w:val="24"/>
        </w:rPr>
        <w:t xml:space="preserve"> </w:t>
      </w:r>
      <w:r w:rsidRPr="00951AB1">
        <w:rPr>
          <w:rFonts w:cs="Times New Roman"/>
          <w:szCs w:val="24"/>
        </w:rPr>
        <w:t>a 31 de diciembre de 2025, reportó tres (3) tramites arbitrales activos, con ocasión de incumplimientos de los concesionarios, con pretensiones económicas que suman el valor de $152.477.823.091</w:t>
      </w:r>
      <w:r w:rsidRPr="00951AB1">
        <w:rPr>
          <w:rFonts w:cs="Times New Roman"/>
          <w:color w:val="000000"/>
          <w:szCs w:val="24"/>
        </w:rPr>
        <w:t>.</w:t>
      </w:r>
    </w:p>
    <w:p w14:paraId="6156F445" w14:textId="77777777" w:rsidR="006A7A85" w:rsidRPr="00951AB1" w:rsidRDefault="006A7A85" w:rsidP="000A5389">
      <w:pPr>
        <w:spacing w:line="240" w:lineRule="auto"/>
        <w:rPr>
          <w:rFonts w:cs="Times New Roman"/>
          <w:color w:val="000000"/>
          <w:szCs w:val="24"/>
        </w:rPr>
      </w:pPr>
    </w:p>
    <w:p w14:paraId="5FE5EFE1" w14:textId="77777777" w:rsidR="006A7A85" w:rsidRPr="00951AB1" w:rsidRDefault="006A7A85" w:rsidP="000A5389">
      <w:pPr>
        <w:spacing w:line="240" w:lineRule="auto"/>
        <w:rPr>
          <w:rFonts w:cs="Times New Roman"/>
          <w:szCs w:val="24"/>
        </w:rPr>
      </w:pPr>
      <w:r w:rsidRPr="00951AB1">
        <w:rPr>
          <w:rFonts w:cs="Times New Roman"/>
          <w:i/>
          <w:iCs/>
          <w:szCs w:val="24"/>
        </w:rPr>
        <w:t>INCERTIDUMBRES ASOCIADAS AL VALOR</w:t>
      </w:r>
      <w:r w:rsidRPr="00951AB1">
        <w:rPr>
          <w:rFonts w:cs="Times New Roman"/>
          <w:szCs w:val="24"/>
        </w:rPr>
        <w:t>: Frente a los procesos descritos en el acápite anterior, la incertidumbre respecto al valor es alta, por cuanto dependen de un exigente nivel de análisis por parte del Tribunal, en cuanto a niveles de responsabilidad, elementos probatorios, diversidad de pretensiones, entre otros.</w:t>
      </w:r>
    </w:p>
    <w:p w14:paraId="074838FB" w14:textId="57C1B1AA" w:rsidR="00493EFE" w:rsidRPr="00951AB1" w:rsidRDefault="006A7A85" w:rsidP="000A5389">
      <w:pPr>
        <w:spacing w:line="240" w:lineRule="auto"/>
        <w:rPr>
          <w:rFonts w:cs="Times New Roman"/>
          <w:szCs w:val="24"/>
        </w:rPr>
      </w:pPr>
      <w:r w:rsidRPr="00951AB1">
        <w:rPr>
          <w:rFonts w:cs="Times New Roman"/>
          <w:i/>
          <w:iCs/>
          <w:szCs w:val="24"/>
        </w:rPr>
        <w:t>INCERTIDUMBRES ASOCIADAS CON LA FECHA:</w:t>
      </w:r>
      <w:r w:rsidRPr="00951AB1">
        <w:rPr>
          <w:rFonts w:cs="Times New Roman"/>
          <w:szCs w:val="24"/>
        </w:rPr>
        <w:t xml:space="preserve"> </w:t>
      </w:r>
      <w:r w:rsidR="00B9401D" w:rsidRPr="00951AB1">
        <w:rPr>
          <w:rFonts w:cs="Times New Roman"/>
          <w:szCs w:val="24"/>
        </w:rPr>
        <w:t>Teniendo en cuenta el límite que la ley impone a la duración de los tramites arbitrales, la incertidumbre asociada con la fecha es media, pues una vez que el Tribunal asume competencia, esto es en la audiencia primera de trámite (una vez agotada las etapas de contestación de la demanda principal y reformada- si a ello hubiera lugar-; contestación de la demanda de reconvención principal y reformada- si a ello hubiera lugar-; y la audiencia de conciliación), el trámite arbitral tendría una duración máxima de 12 meses aproximadamente.</w:t>
      </w:r>
    </w:p>
    <w:p w14:paraId="307A879E" w14:textId="77777777" w:rsidR="007A5449" w:rsidRPr="00951AB1" w:rsidRDefault="007A5449" w:rsidP="000A5389">
      <w:pPr>
        <w:shd w:val="clear" w:color="auto" w:fill="FFFFFF"/>
        <w:spacing w:line="240" w:lineRule="auto"/>
        <w:textAlignment w:val="baseline"/>
        <w:rPr>
          <w:rFonts w:cs="Times New Roman"/>
          <w:i/>
          <w:iCs/>
          <w:szCs w:val="24"/>
        </w:rPr>
      </w:pPr>
      <w:r w:rsidRPr="00951AB1">
        <w:rPr>
          <w:rFonts w:cs="Times New Roman"/>
          <w:i/>
          <w:iCs/>
          <w:szCs w:val="24"/>
        </w:rPr>
        <w:t>PROCESOS LABORALES</w:t>
      </w:r>
    </w:p>
    <w:p w14:paraId="0C6CA550" w14:textId="77777777" w:rsidR="006815F0" w:rsidRPr="00951AB1" w:rsidRDefault="006815F0" w:rsidP="000A5389">
      <w:pPr>
        <w:shd w:val="clear" w:color="auto" w:fill="FFFFFF"/>
        <w:spacing w:line="240" w:lineRule="auto"/>
        <w:textAlignment w:val="baseline"/>
        <w:rPr>
          <w:rFonts w:cs="Times New Roman"/>
          <w:szCs w:val="24"/>
          <w:u w:val="single"/>
        </w:rPr>
      </w:pPr>
    </w:p>
    <w:p w14:paraId="211FD59B" w14:textId="642E644B" w:rsidR="006815F0" w:rsidRPr="00951AB1" w:rsidRDefault="006815F0" w:rsidP="000A5389">
      <w:pPr>
        <w:shd w:val="clear" w:color="auto" w:fill="FFFFFF"/>
        <w:spacing w:line="240" w:lineRule="auto"/>
        <w:textAlignment w:val="baseline"/>
        <w:rPr>
          <w:rFonts w:cs="Times New Roman"/>
          <w:szCs w:val="24"/>
        </w:rPr>
      </w:pPr>
      <w:r w:rsidRPr="00951AB1">
        <w:rPr>
          <w:rFonts w:cs="Times New Roman"/>
          <w:i/>
          <w:iCs/>
          <w:szCs w:val="24"/>
        </w:rPr>
        <w:t>NATURALEZA DEL ACTIVO CONTINGENTE:</w:t>
      </w:r>
      <w:r w:rsidRPr="00951AB1">
        <w:rPr>
          <w:rFonts w:cs="Times New Roman"/>
          <w:szCs w:val="24"/>
        </w:rPr>
        <w:t xml:space="preserve"> Con relación a los procesos laborales, El Grupo Interno de Trabajo de Defensa Judicial de la Vicepresidencia Jurídica, mediante el Sistema Único de Gestión e Información Litigiosa del Estado eKogui - </w:t>
      </w:r>
      <w:r w:rsidRPr="00951AB1">
        <w:rPr>
          <w:rFonts w:cs="Times New Roman"/>
          <w:i/>
          <w:szCs w:val="24"/>
        </w:rPr>
        <w:t>"Reporte Procesos Judiciales</w:t>
      </w:r>
      <w:r w:rsidRPr="00951AB1">
        <w:rPr>
          <w:rFonts w:cs="Times New Roman"/>
          <w:i/>
          <w:iCs/>
          <w:szCs w:val="24"/>
        </w:rPr>
        <w:t xml:space="preserve"> de la Entidad - Activos</w:t>
      </w:r>
      <w:r w:rsidRPr="00951AB1">
        <w:rPr>
          <w:rFonts w:cs="Times New Roman"/>
          <w:i/>
          <w:szCs w:val="24"/>
        </w:rPr>
        <w:t>"</w:t>
      </w:r>
      <w:r w:rsidRPr="00951AB1">
        <w:rPr>
          <w:rFonts w:cs="Times New Roman"/>
          <w:szCs w:val="24"/>
        </w:rPr>
        <w:t xml:space="preserve"> a 31 de diciembre de 2025, reportó lo siguiente: </w:t>
      </w:r>
    </w:p>
    <w:p w14:paraId="5D525F31" w14:textId="77777777" w:rsidR="006815F0" w:rsidRPr="00951AB1" w:rsidRDefault="006815F0" w:rsidP="000A5389">
      <w:pPr>
        <w:shd w:val="clear" w:color="auto" w:fill="FFFFFF"/>
        <w:spacing w:line="240" w:lineRule="auto"/>
        <w:textAlignment w:val="baseline"/>
        <w:rPr>
          <w:rFonts w:cs="Times New Roman"/>
          <w:szCs w:val="24"/>
        </w:rPr>
      </w:pPr>
    </w:p>
    <w:p w14:paraId="3C1ACA5F" w14:textId="77777777" w:rsidR="006815F0" w:rsidRPr="00951AB1" w:rsidRDefault="006815F0" w:rsidP="000A5389">
      <w:pPr>
        <w:pStyle w:val="Prrafodelista"/>
        <w:numPr>
          <w:ilvl w:val="0"/>
          <w:numId w:val="25"/>
        </w:numPr>
        <w:shd w:val="clear" w:color="auto" w:fill="FFFFFF"/>
        <w:spacing w:line="240" w:lineRule="auto"/>
        <w:ind w:left="284" w:hanging="284"/>
        <w:textAlignment w:val="baseline"/>
        <w:rPr>
          <w:rFonts w:cs="Times New Roman"/>
          <w:szCs w:val="24"/>
        </w:rPr>
      </w:pPr>
      <w:r w:rsidRPr="00951AB1">
        <w:rPr>
          <w:rFonts w:cs="Times New Roman"/>
          <w:szCs w:val="24"/>
        </w:rPr>
        <w:t xml:space="preserve">Un (1) proceso ordinario laboral, iniciado por la ANI y cuya pretensión es el pago de una licencia de maternidad. </w:t>
      </w:r>
    </w:p>
    <w:p w14:paraId="6AD263BE" w14:textId="7BEAE107" w:rsidR="006815F0" w:rsidRPr="00951AB1" w:rsidRDefault="752A04B3" w:rsidP="000A5389">
      <w:pPr>
        <w:pStyle w:val="Prrafodelista"/>
        <w:numPr>
          <w:ilvl w:val="0"/>
          <w:numId w:val="25"/>
        </w:numPr>
        <w:shd w:val="clear" w:color="auto" w:fill="FFFFFF" w:themeFill="background1"/>
        <w:spacing w:line="240" w:lineRule="auto"/>
        <w:ind w:left="284" w:hanging="284"/>
        <w:textAlignment w:val="baseline"/>
        <w:rPr>
          <w:rFonts w:cs="Times New Roman"/>
          <w:szCs w:val="24"/>
        </w:rPr>
      </w:pPr>
      <w:r w:rsidRPr="5B0C84B6">
        <w:rPr>
          <w:rFonts w:cs="Times New Roman"/>
          <w:szCs w:val="24"/>
        </w:rPr>
        <w:t>Dos</w:t>
      </w:r>
      <w:r w:rsidR="006815F0" w:rsidRPr="00951AB1">
        <w:rPr>
          <w:rFonts w:cs="Times New Roman"/>
          <w:szCs w:val="24"/>
        </w:rPr>
        <w:t xml:space="preserve"> (</w:t>
      </w:r>
      <w:r w:rsidR="00224A8A" w:rsidRPr="00951AB1">
        <w:rPr>
          <w:rFonts w:cs="Times New Roman"/>
          <w:szCs w:val="24"/>
        </w:rPr>
        <w:t>2</w:t>
      </w:r>
      <w:r w:rsidR="006815F0" w:rsidRPr="00951AB1">
        <w:rPr>
          <w:rFonts w:cs="Times New Roman"/>
          <w:szCs w:val="24"/>
        </w:rPr>
        <w:t>) procesos ordinarios laborales iniciado</w:t>
      </w:r>
      <w:r w:rsidR="00AF0E5F" w:rsidRPr="00951AB1">
        <w:rPr>
          <w:rFonts w:cs="Times New Roman"/>
          <w:szCs w:val="24"/>
        </w:rPr>
        <w:t>s</w:t>
      </w:r>
      <w:r w:rsidR="006815F0" w:rsidRPr="00951AB1">
        <w:rPr>
          <w:rFonts w:cs="Times New Roman"/>
          <w:szCs w:val="24"/>
        </w:rPr>
        <w:t xml:space="preserve"> por la ANI y cuya pretensión es el reconocimiento de una incapacidad por enfermedad general</w:t>
      </w:r>
    </w:p>
    <w:p w14:paraId="244969EF" w14:textId="77777777" w:rsidR="006815F0" w:rsidRPr="00951AB1" w:rsidRDefault="006815F0" w:rsidP="000A5389">
      <w:pPr>
        <w:pStyle w:val="Prrafodelista"/>
        <w:shd w:val="clear" w:color="auto" w:fill="FFFFFF"/>
        <w:spacing w:line="240" w:lineRule="auto"/>
        <w:ind w:left="284"/>
        <w:textAlignment w:val="baseline"/>
        <w:rPr>
          <w:rFonts w:cs="Times New Roman"/>
          <w:szCs w:val="24"/>
        </w:rPr>
      </w:pPr>
    </w:p>
    <w:p w14:paraId="2F71BDAF" w14:textId="77777777" w:rsidR="006815F0" w:rsidRPr="00951AB1" w:rsidRDefault="006815F0" w:rsidP="000A5389">
      <w:pPr>
        <w:pStyle w:val="Prrafodelista"/>
        <w:shd w:val="clear" w:color="auto" w:fill="FFFFFF"/>
        <w:spacing w:line="240" w:lineRule="auto"/>
        <w:ind w:left="0"/>
        <w:textAlignment w:val="baseline"/>
        <w:rPr>
          <w:rFonts w:cs="Times New Roman"/>
          <w:szCs w:val="24"/>
        </w:rPr>
      </w:pPr>
      <w:r w:rsidRPr="00951AB1">
        <w:rPr>
          <w:rFonts w:cs="Times New Roman"/>
          <w:i/>
          <w:iCs/>
          <w:szCs w:val="24"/>
        </w:rPr>
        <w:lastRenderedPageBreak/>
        <w:t>INCERTIDUMBRES ASOCIADAS AL VALOR:</w:t>
      </w:r>
      <w:r w:rsidRPr="00951AB1">
        <w:rPr>
          <w:rFonts w:cs="Times New Roman"/>
          <w:szCs w:val="24"/>
        </w:rPr>
        <w:t xml:space="preserve"> Frente a los procesos descritos en el acápite anterior, la incertidumbre respecto al valor varía dependiendo de las decisiones adoptadas por cada despacho. </w:t>
      </w:r>
    </w:p>
    <w:p w14:paraId="39869D78" w14:textId="77777777" w:rsidR="006815F0" w:rsidRPr="00951AB1" w:rsidRDefault="006815F0" w:rsidP="000A5389">
      <w:pPr>
        <w:pStyle w:val="Prrafodelista"/>
        <w:shd w:val="clear" w:color="auto" w:fill="FFFFFF"/>
        <w:spacing w:line="240" w:lineRule="auto"/>
        <w:ind w:left="0"/>
        <w:textAlignment w:val="baseline"/>
        <w:rPr>
          <w:rFonts w:cs="Times New Roman"/>
          <w:szCs w:val="24"/>
        </w:rPr>
      </w:pPr>
    </w:p>
    <w:p w14:paraId="7C53D596" w14:textId="77777777" w:rsidR="006815F0" w:rsidRPr="00951AB1" w:rsidRDefault="006815F0" w:rsidP="000A5389">
      <w:pPr>
        <w:spacing w:line="240" w:lineRule="auto"/>
        <w:rPr>
          <w:rFonts w:cs="Times New Roman"/>
          <w:szCs w:val="24"/>
        </w:rPr>
      </w:pPr>
      <w:r w:rsidRPr="00951AB1">
        <w:rPr>
          <w:rFonts w:cs="Times New Roman"/>
          <w:i/>
          <w:iCs/>
          <w:szCs w:val="24"/>
        </w:rPr>
        <w:t>INCERTIDUMBRES ASOCIADAS CON LA FECHA:</w:t>
      </w:r>
      <w:r w:rsidRPr="00951AB1">
        <w:rPr>
          <w:rFonts w:cs="Times New Roman"/>
          <w:szCs w:val="24"/>
        </w:rPr>
        <w:t xml:space="preserve"> La fecha en que se espera contar con la liquidación definitiva de las costas procesales no es posible determinar, pues depende de la gestión a cargo del despacho judicial, a la que debe sumarse el tiempo que requeriría el proceso de cobro. </w:t>
      </w:r>
    </w:p>
    <w:p w14:paraId="22DE32FB" w14:textId="07B4A410" w:rsidR="00091D10" w:rsidRPr="00951AB1" w:rsidRDefault="006E4CAD" w:rsidP="000A5389">
      <w:pPr>
        <w:pStyle w:val="Ttulo2"/>
        <w:numPr>
          <w:ilvl w:val="1"/>
          <w:numId w:val="61"/>
        </w:numPr>
        <w:spacing w:line="240" w:lineRule="auto"/>
        <w:rPr>
          <w:rFonts w:cs="Times New Roman"/>
        </w:rPr>
      </w:pPr>
      <w:bookmarkStart w:id="716" w:name="_Toc191369554"/>
      <w:bookmarkStart w:id="717" w:name="_Toc191456881"/>
      <w:bookmarkStart w:id="718" w:name="_Toc191456991"/>
      <w:bookmarkStart w:id="719" w:name="_Toc191457101"/>
      <w:bookmarkStart w:id="720" w:name="_Toc191475728"/>
      <w:bookmarkStart w:id="721" w:name="_Toc191475837"/>
      <w:bookmarkStart w:id="722" w:name="_Toc191475946"/>
      <w:bookmarkStart w:id="723" w:name="_Toc191475469"/>
      <w:bookmarkStart w:id="724" w:name="_Toc191505845"/>
      <w:bookmarkStart w:id="725" w:name="_Toc222824163"/>
      <w:r w:rsidRPr="00951AB1">
        <w:rPr>
          <w:rFonts w:cs="Times New Roman"/>
        </w:rPr>
        <w:t xml:space="preserve"> </w:t>
      </w:r>
      <w:r w:rsidRPr="00951AB1">
        <w:rPr>
          <w:rFonts w:cs="Times New Roman"/>
        </w:rPr>
        <w:tab/>
      </w:r>
      <w:bookmarkStart w:id="726" w:name="_Toc222955530"/>
      <w:r w:rsidR="00091D10" w:rsidRPr="00951AB1">
        <w:rPr>
          <w:rFonts w:cs="Times New Roman"/>
        </w:rPr>
        <w:t>Pasivos contingentes</w:t>
      </w:r>
      <w:bookmarkEnd w:id="716"/>
      <w:bookmarkEnd w:id="717"/>
      <w:bookmarkEnd w:id="718"/>
      <w:bookmarkEnd w:id="719"/>
      <w:bookmarkEnd w:id="720"/>
      <w:bookmarkEnd w:id="721"/>
      <w:bookmarkEnd w:id="722"/>
      <w:bookmarkEnd w:id="723"/>
      <w:bookmarkEnd w:id="724"/>
      <w:bookmarkEnd w:id="725"/>
      <w:bookmarkEnd w:id="726"/>
    </w:p>
    <w:p w14:paraId="65758DA0" w14:textId="028B172C" w:rsidR="00091D10" w:rsidRPr="00951AB1" w:rsidRDefault="00091D10" w:rsidP="000A5389">
      <w:pPr>
        <w:spacing w:line="240" w:lineRule="auto"/>
        <w:rPr>
          <w:rFonts w:cs="Times New Roman"/>
        </w:rPr>
      </w:pPr>
    </w:p>
    <w:tbl>
      <w:tblPr>
        <w:tblW w:w="5000" w:type="pct"/>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CellMar>
          <w:left w:w="70" w:type="dxa"/>
          <w:right w:w="70" w:type="dxa"/>
        </w:tblCellMar>
        <w:tblLook w:val="04A0" w:firstRow="1" w:lastRow="0" w:firstColumn="1" w:lastColumn="0" w:noHBand="0" w:noVBand="1"/>
      </w:tblPr>
      <w:tblGrid>
        <w:gridCol w:w="672"/>
        <w:gridCol w:w="320"/>
        <w:gridCol w:w="3126"/>
        <w:gridCol w:w="1580"/>
        <w:gridCol w:w="1580"/>
        <w:gridCol w:w="1550"/>
      </w:tblGrid>
      <w:tr w:rsidR="004D48A0" w:rsidRPr="00951AB1" w14:paraId="20521CB7" w14:textId="77777777" w:rsidTr="00953AA2">
        <w:trPr>
          <w:trHeight w:val="340"/>
        </w:trPr>
        <w:tc>
          <w:tcPr>
            <w:tcW w:w="2332" w:type="pct"/>
            <w:gridSpan w:val="3"/>
            <w:noWrap/>
            <w:vAlign w:val="center"/>
            <w:hideMark/>
          </w:tcPr>
          <w:p w14:paraId="1732449C" w14:textId="77777777" w:rsidR="00886FAC" w:rsidRPr="00951AB1" w:rsidRDefault="00886FAC" w:rsidP="000A5389">
            <w:pPr>
              <w:spacing w:line="240" w:lineRule="auto"/>
              <w:jc w:val="center"/>
              <w:rPr>
                <w:rFonts w:eastAsia="Times New Roman" w:cs="Times New Roman"/>
                <w:b/>
                <w:kern w:val="0"/>
                <w:sz w:val="18"/>
                <w:szCs w:val="18"/>
                <w:lang w:eastAsia="es-CO"/>
                <w14:ligatures w14:val="none"/>
              </w:rPr>
            </w:pPr>
            <w:r w:rsidRPr="00951AB1">
              <w:rPr>
                <w:rFonts w:eastAsia="Times New Roman" w:cs="Times New Roman"/>
                <w:b/>
                <w:kern w:val="0"/>
                <w:sz w:val="18"/>
                <w:szCs w:val="18"/>
                <w:lang w:eastAsia="es-CO"/>
                <w14:ligatures w14:val="none"/>
              </w:rPr>
              <w:t>CONCEPTO</w:t>
            </w:r>
          </w:p>
        </w:tc>
        <w:tc>
          <w:tcPr>
            <w:tcW w:w="895" w:type="pct"/>
            <w:vAlign w:val="center"/>
            <w:hideMark/>
          </w:tcPr>
          <w:p w14:paraId="7E7EC55F" w14:textId="77777777" w:rsidR="00886FAC" w:rsidRPr="00951AB1" w:rsidRDefault="00886FAC" w:rsidP="000A5389">
            <w:pPr>
              <w:spacing w:line="240" w:lineRule="auto"/>
              <w:jc w:val="center"/>
              <w:rPr>
                <w:rFonts w:eastAsia="Times New Roman" w:cs="Times New Roman"/>
                <w:b/>
                <w:kern w:val="0"/>
                <w:sz w:val="18"/>
                <w:szCs w:val="18"/>
                <w:lang w:eastAsia="es-CO"/>
                <w14:ligatures w14:val="none"/>
              </w:rPr>
            </w:pPr>
            <w:r w:rsidRPr="00951AB1">
              <w:rPr>
                <w:rFonts w:eastAsia="Times New Roman" w:cs="Times New Roman"/>
                <w:b/>
                <w:kern w:val="0"/>
                <w:sz w:val="18"/>
                <w:szCs w:val="18"/>
                <w:lang w:eastAsia="es-CO"/>
                <w14:ligatures w14:val="none"/>
              </w:rPr>
              <w:t xml:space="preserve">2025 </w:t>
            </w:r>
          </w:p>
        </w:tc>
        <w:tc>
          <w:tcPr>
            <w:tcW w:w="895" w:type="pct"/>
            <w:vAlign w:val="center"/>
            <w:hideMark/>
          </w:tcPr>
          <w:p w14:paraId="6066D043" w14:textId="77777777" w:rsidR="00886FAC" w:rsidRPr="00951AB1" w:rsidRDefault="00886FAC" w:rsidP="000A5389">
            <w:pPr>
              <w:spacing w:line="240" w:lineRule="auto"/>
              <w:jc w:val="center"/>
              <w:rPr>
                <w:rFonts w:eastAsia="Times New Roman" w:cs="Times New Roman"/>
                <w:b/>
                <w:kern w:val="0"/>
                <w:sz w:val="18"/>
                <w:szCs w:val="18"/>
                <w:lang w:eastAsia="es-CO"/>
                <w14:ligatures w14:val="none"/>
              </w:rPr>
            </w:pPr>
            <w:r w:rsidRPr="00951AB1">
              <w:rPr>
                <w:rFonts w:eastAsia="Times New Roman" w:cs="Times New Roman"/>
                <w:b/>
                <w:kern w:val="0"/>
                <w:sz w:val="18"/>
                <w:szCs w:val="18"/>
                <w:lang w:eastAsia="es-CO"/>
                <w14:ligatures w14:val="none"/>
              </w:rPr>
              <w:t xml:space="preserve">2024 </w:t>
            </w:r>
          </w:p>
        </w:tc>
        <w:tc>
          <w:tcPr>
            <w:tcW w:w="878" w:type="pct"/>
            <w:vAlign w:val="center"/>
            <w:hideMark/>
          </w:tcPr>
          <w:p w14:paraId="635072D4" w14:textId="1DD1CA11" w:rsidR="00886FAC" w:rsidRPr="00951AB1" w:rsidRDefault="00886FAC" w:rsidP="000A5389">
            <w:pPr>
              <w:spacing w:line="240" w:lineRule="auto"/>
              <w:jc w:val="center"/>
              <w:rPr>
                <w:rFonts w:eastAsia="Times New Roman" w:cs="Times New Roman"/>
                <w:b/>
                <w:kern w:val="0"/>
                <w:sz w:val="18"/>
                <w:szCs w:val="18"/>
                <w:lang w:eastAsia="es-CO"/>
                <w14:ligatures w14:val="none"/>
              </w:rPr>
            </w:pPr>
            <w:r w:rsidRPr="00951AB1">
              <w:rPr>
                <w:rFonts w:eastAsia="Times New Roman" w:cs="Times New Roman"/>
                <w:b/>
                <w:kern w:val="0"/>
                <w:sz w:val="18"/>
                <w:szCs w:val="18"/>
                <w:lang w:eastAsia="es-CO"/>
                <w14:ligatures w14:val="none"/>
              </w:rPr>
              <w:t>VARIACIÓN</w:t>
            </w:r>
          </w:p>
        </w:tc>
      </w:tr>
      <w:tr w:rsidR="00346E6B" w:rsidRPr="00951AB1" w14:paraId="05235CDE" w14:textId="77777777" w:rsidTr="00953AA2">
        <w:trPr>
          <w:trHeight w:val="340"/>
        </w:trPr>
        <w:tc>
          <w:tcPr>
            <w:tcW w:w="2332" w:type="pct"/>
            <w:gridSpan w:val="3"/>
            <w:noWrap/>
            <w:vAlign w:val="center"/>
            <w:hideMark/>
          </w:tcPr>
          <w:p w14:paraId="0932859D" w14:textId="77777777" w:rsidR="00886FAC" w:rsidRPr="00951AB1" w:rsidRDefault="00886FAC" w:rsidP="000A5389">
            <w:pPr>
              <w:spacing w:line="240" w:lineRule="auto"/>
              <w:rPr>
                <w:rFonts w:eastAsia="Times New Roman" w:cs="Times New Roman"/>
                <w:b/>
                <w:color w:val="000000"/>
                <w:kern w:val="0"/>
                <w:sz w:val="18"/>
                <w:szCs w:val="18"/>
                <w:lang w:eastAsia="es-CO"/>
                <w14:ligatures w14:val="none"/>
              </w:rPr>
            </w:pPr>
            <w:r w:rsidRPr="00951AB1">
              <w:rPr>
                <w:rFonts w:eastAsia="Times New Roman" w:cs="Times New Roman"/>
                <w:b/>
                <w:color w:val="000000"/>
                <w:kern w:val="0"/>
                <w:sz w:val="18"/>
                <w:szCs w:val="18"/>
                <w:lang w:eastAsia="es-CO"/>
                <w14:ligatures w14:val="none"/>
              </w:rPr>
              <w:t>PASIVOS CONTINGENTES</w:t>
            </w:r>
          </w:p>
        </w:tc>
        <w:tc>
          <w:tcPr>
            <w:tcW w:w="895" w:type="pct"/>
            <w:noWrap/>
            <w:vAlign w:val="center"/>
            <w:hideMark/>
          </w:tcPr>
          <w:p w14:paraId="723C9746" w14:textId="77777777" w:rsidR="00886FAC" w:rsidRPr="00951AB1" w:rsidRDefault="00886FAC" w:rsidP="000A5389">
            <w:pPr>
              <w:spacing w:line="240" w:lineRule="auto"/>
              <w:jc w:val="right"/>
              <w:rPr>
                <w:rFonts w:eastAsia="Times New Roman" w:cs="Times New Roman"/>
                <w:b/>
                <w:color w:val="000000"/>
                <w:kern w:val="0"/>
                <w:sz w:val="18"/>
                <w:szCs w:val="18"/>
                <w:lang w:eastAsia="es-CO"/>
                <w14:ligatures w14:val="none"/>
              </w:rPr>
            </w:pPr>
            <w:r w:rsidRPr="00951AB1">
              <w:rPr>
                <w:rFonts w:eastAsia="Times New Roman" w:cs="Times New Roman"/>
                <w:b/>
                <w:color w:val="000000"/>
                <w:kern w:val="0"/>
                <w:sz w:val="18"/>
                <w:szCs w:val="18"/>
                <w:lang w:eastAsia="es-CO"/>
                <w14:ligatures w14:val="none"/>
              </w:rPr>
              <w:t>35.036.138.328.715</w:t>
            </w:r>
          </w:p>
        </w:tc>
        <w:tc>
          <w:tcPr>
            <w:tcW w:w="895" w:type="pct"/>
            <w:noWrap/>
            <w:vAlign w:val="center"/>
            <w:hideMark/>
          </w:tcPr>
          <w:p w14:paraId="19843DF6" w14:textId="77777777" w:rsidR="00886FAC" w:rsidRPr="00951AB1" w:rsidRDefault="00886FAC" w:rsidP="000A5389">
            <w:pPr>
              <w:spacing w:line="240" w:lineRule="auto"/>
              <w:jc w:val="right"/>
              <w:rPr>
                <w:rFonts w:eastAsia="Times New Roman" w:cs="Times New Roman"/>
                <w:b/>
                <w:color w:val="000000"/>
                <w:kern w:val="0"/>
                <w:sz w:val="18"/>
                <w:szCs w:val="18"/>
                <w:lang w:eastAsia="es-CO"/>
                <w14:ligatures w14:val="none"/>
              </w:rPr>
            </w:pPr>
            <w:r w:rsidRPr="00951AB1">
              <w:rPr>
                <w:rFonts w:eastAsia="Times New Roman" w:cs="Times New Roman"/>
                <w:b/>
                <w:color w:val="000000"/>
                <w:kern w:val="0"/>
                <w:sz w:val="18"/>
                <w:szCs w:val="18"/>
                <w:lang w:eastAsia="es-CO"/>
                <w14:ligatures w14:val="none"/>
              </w:rPr>
              <w:t>34.357.746.894.032</w:t>
            </w:r>
          </w:p>
        </w:tc>
        <w:tc>
          <w:tcPr>
            <w:tcW w:w="878" w:type="pct"/>
            <w:noWrap/>
            <w:vAlign w:val="center"/>
            <w:hideMark/>
          </w:tcPr>
          <w:p w14:paraId="0149BEA4" w14:textId="77777777" w:rsidR="00886FAC" w:rsidRPr="00951AB1" w:rsidRDefault="00886FAC" w:rsidP="000A5389">
            <w:pPr>
              <w:spacing w:line="240" w:lineRule="auto"/>
              <w:jc w:val="right"/>
              <w:rPr>
                <w:rFonts w:eastAsia="Times New Roman" w:cs="Times New Roman"/>
                <w:b/>
                <w:color w:val="000000"/>
                <w:kern w:val="0"/>
                <w:sz w:val="18"/>
                <w:szCs w:val="18"/>
                <w:lang w:eastAsia="es-CO"/>
                <w14:ligatures w14:val="none"/>
              </w:rPr>
            </w:pPr>
            <w:r w:rsidRPr="00951AB1">
              <w:rPr>
                <w:rFonts w:eastAsia="Times New Roman" w:cs="Times New Roman"/>
                <w:b/>
                <w:color w:val="000000"/>
                <w:kern w:val="0"/>
                <w:sz w:val="18"/>
                <w:szCs w:val="18"/>
                <w:lang w:eastAsia="es-CO"/>
                <w14:ligatures w14:val="none"/>
              </w:rPr>
              <w:t>678.391.434.683</w:t>
            </w:r>
          </w:p>
        </w:tc>
      </w:tr>
      <w:tr w:rsidR="00346E6B" w:rsidRPr="00951AB1" w14:paraId="54655597" w14:textId="77777777" w:rsidTr="00953AA2">
        <w:trPr>
          <w:trHeight w:val="340"/>
        </w:trPr>
        <w:tc>
          <w:tcPr>
            <w:tcW w:w="381" w:type="pct"/>
            <w:noWrap/>
            <w:vAlign w:val="center"/>
            <w:hideMark/>
          </w:tcPr>
          <w:p w14:paraId="38AE6879" w14:textId="77777777" w:rsidR="00886FAC" w:rsidRPr="00951AB1" w:rsidRDefault="00886FAC" w:rsidP="000A5389">
            <w:pPr>
              <w:spacing w:line="240" w:lineRule="auto"/>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9.1.20</w:t>
            </w:r>
          </w:p>
        </w:tc>
        <w:tc>
          <w:tcPr>
            <w:tcW w:w="181" w:type="pct"/>
            <w:noWrap/>
            <w:vAlign w:val="center"/>
            <w:hideMark/>
          </w:tcPr>
          <w:p w14:paraId="15EAB54C" w14:textId="77777777" w:rsidR="00886FAC" w:rsidRPr="00951AB1" w:rsidRDefault="00886FAC" w:rsidP="000A5389">
            <w:pPr>
              <w:spacing w:line="240" w:lineRule="auto"/>
              <w:jc w:val="center"/>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Cr</w:t>
            </w:r>
          </w:p>
        </w:tc>
        <w:tc>
          <w:tcPr>
            <w:tcW w:w="1771" w:type="pct"/>
            <w:vAlign w:val="center"/>
            <w:hideMark/>
          </w:tcPr>
          <w:p w14:paraId="6839D5D6" w14:textId="77777777" w:rsidR="00886FAC" w:rsidRPr="00951AB1" w:rsidRDefault="00886FAC" w:rsidP="000A5389">
            <w:pPr>
              <w:spacing w:line="240" w:lineRule="auto"/>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Litigios y mecanismos alternativos de solución de conflictos</w:t>
            </w:r>
          </w:p>
        </w:tc>
        <w:tc>
          <w:tcPr>
            <w:tcW w:w="895" w:type="pct"/>
            <w:noWrap/>
            <w:vAlign w:val="center"/>
            <w:hideMark/>
          </w:tcPr>
          <w:p w14:paraId="0DCD598C" w14:textId="77777777" w:rsidR="00886FAC" w:rsidRPr="00951AB1" w:rsidRDefault="00886FAC"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27.115.173.734.740</w:t>
            </w:r>
          </w:p>
        </w:tc>
        <w:tc>
          <w:tcPr>
            <w:tcW w:w="895" w:type="pct"/>
            <w:noWrap/>
            <w:vAlign w:val="center"/>
            <w:hideMark/>
          </w:tcPr>
          <w:p w14:paraId="19F10B6E" w14:textId="77777777" w:rsidR="00886FAC" w:rsidRPr="00951AB1" w:rsidRDefault="00886FAC"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29.148.202.022.767</w:t>
            </w:r>
          </w:p>
        </w:tc>
        <w:tc>
          <w:tcPr>
            <w:tcW w:w="878" w:type="pct"/>
            <w:noWrap/>
            <w:vAlign w:val="center"/>
            <w:hideMark/>
          </w:tcPr>
          <w:p w14:paraId="4F503DF2" w14:textId="77777777" w:rsidR="00886FAC" w:rsidRPr="00951AB1" w:rsidRDefault="00886FAC"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-2.033.028.288.027</w:t>
            </w:r>
          </w:p>
        </w:tc>
      </w:tr>
      <w:tr w:rsidR="00346E6B" w:rsidRPr="00951AB1" w14:paraId="5EB44916" w14:textId="77777777" w:rsidTr="00953AA2">
        <w:trPr>
          <w:trHeight w:val="340"/>
        </w:trPr>
        <w:tc>
          <w:tcPr>
            <w:tcW w:w="381" w:type="pct"/>
            <w:noWrap/>
            <w:vAlign w:val="center"/>
            <w:hideMark/>
          </w:tcPr>
          <w:p w14:paraId="4E91522E" w14:textId="77777777" w:rsidR="00886FAC" w:rsidRPr="00951AB1" w:rsidRDefault="00886FAC" w:rsidP="000A5389">
            <w:pPr>
              <w:spacing w:line="240" w:lineRule="auto"/>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9.1.28</w:t>
            </w:r>
          </w:p>
        </w:tc>
        <w:tc>
          <w:tcPr>
            <w:tcW w:w="181" w:type="pct"/>
            <w:noWrap/>
            <w:vAlign w:val="center"/>
            <w:hideMark/>
          </w:tcPr>
          <w:p w14:paraId="380A7DC3" w14:textId="77777777" w:rsidR="00886FAC" w:rsidRPr="00951AB1" w:rsidRDefault="00886FAC" w:rsidP="000A5389">
            <w:pPr>
              <w:spacing w:line="240" w:lineRule="auto"/>
              <w:jc w:val="center"/>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Cr</w:t>
            </w:r>
          </w:p>
        </w:tc>
        <w:tc>
          <w:tcPr>
            <w:tcW w:w="1771" w:type="pct"/>
            <w:vAlign w:val="center"/>
            <w:hideMark/>
          </w:tcPr>
          <w:p w14:paraId="05876D85" w14:textId="77777777" w:rsidR="00886FAC" w:rsidRPr="00951AB1" w:rsidRDefault="00886FAC" w:rsidP="000A5389">
            <w:pPr>
              <w:spacing w:line="240" w:lineRule="auto"/>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Garantías Contractuales</w:t>
            </w:r>
          </w:p>
        </w:tc>
        <w:tc>
          <w:tcPr>
            <w:tcW w:w="895" w:type="pct"/>
            <w:noWrap/>
            <w:vAlign w:val="center"/>
            <w:hideMark/>
          </w:tcPr>
          <w:p w14:paraId="37814C54" w14:textId="77777777" w:rsidR="00886FAC" w:rsidRPr="00951AB1" w:rsidRDefault="00886FAC"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7.920.964.593.976</w:t>
            </w:r>
          </w:p>
        </w:tc>
        <w:tc>
          <w:tcPr>
            <w:tcW w:w="895" w:type="pct"/>
            <w:noWrap/>
            <w:vAlign w:val="center"/>
            <w:hideMark/>
          </w:tcPr>
          <w:p w14:paraId="7659F127" w14:textId="77777777" w:rsidR="00886FAC" w:rsidRPr="00951AB1" w:rsidRDefault="00886FAC"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5.202.843.902.559</w:t>
            </w:r>
          </w:p>
        </w:tc>
        <w:tc>
          <w:tcPr>
            <w:tcW w:w="878" w:type="pct"/>
            <w:noWrap/>
            <w:vAlign w:val="center"/>
            <w:hideMark/>
          </w:tcPr>
          <w:p w14:paraId="73855FAC" w14:textId="77777777" w:rsidR="00886FAC" w:rsidRPr="00951AB1" w:rsidRDefault="00886FAC"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2.718.120.691.416</w:t>
            </w:r>
          </w:p>
        </w:tc>
      </w:tr>
      <w:tr w:rsidR="004D48A0" w:rsidRPr="00951AB1" w14:paraId="6C0EE1C3" w14:textId="77777777" w:rsidTr="00953AA2">
        <w:trPr>
          <w:trHeight w:val="340"/>
        </w:trPr>
        <w:tc>
          <w:tcPr>
            <w:tcW w:w="381" w:type="pct"/>
            <w:noWrap/>
            <w:vAlign w:val="center"/>
            <w:hideMark/>
          </w:tcPr>
          <w:p w14:paraId="4564B7B8" w14:textId="77777777" w:rsidR="00886FAC" w:rsidRPr="00951AB1" w:rsidRDefault="00886FAC" w:rsidP="000A5389">
            <w:pPr>
              <w:spacing w:line="240" w:lineRule="auto"/>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9.1.90</w:t>
            </w:r>
          </w:p>
        </w:tc>
        <w:tc>
          <w:tcPr>
            <w:tcW w:w="181" w:type="pct"/>
            <w:noWrap/>
            <w:vAlign w:val="center"/>
            <w:hideMark/>
          </w:tcPr>
          <w:p w14:paraId="43E8E8CF" w14:textId="77777777" w:rsidR="00886FAC" w:rsidRPr="00951AB1" w:rsidRDefault="00886FAC" w:rsidP="000A5389">
            <w:pPr>
              <w:spacing w:line="240" w:lineRule="auto"/>
              <w:jc w:val="center"/>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Cr</w:t>
            </w:r>
          </w:p>
        </w:tc>
        <w:tc>
          <w:tcPr>
            <w:tcW w:w="1771" w:type="pct"/>
            <w:vAlign w:val="center"/>
            <w:hideMark/>
          </w:tcPr>
          <w:p w14:paraId="5938144E" w14:textId="77777777" w:rsidR="00886FAC" w:rsidRPr="00951AB1" w:rsidRDefault="00886FAC" w:rsidP="000A5389">
            <w:pPr>
              <w:spacing w:line="240" w:lineRule="auto"/>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Otros pasivos contingentes</w:t>
            </w:r>
          </w:p>
        </w:tc>
        <w:tc>
          <w:tcPr>
            <w:tcW w:w="895" w:type="pct"/>
            <w:noWrap/>
            <w:vAlign w:val="center"/>
            <w:hideMark/>
          </w:tcPr>
          <w:p w14:paraId="576FDCA3" w14:textId="77777777" w:rsidR="00886FAC" w:rsidRPr="00951AB1" w:rsidRDefault="00886FAC"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0</w:t>
            </w:r>
          </w:p>
        </w:tc>
        <w:tc>
          <w:tcPr>
            <w:tcW w:w="895" w:type="pct"/>
            <w:noWrap/>
            <w:vAlign w:val="center"/>
            <w:hideMark/>
          </w:tcPr>
          <w:p w14:paraId="79702D0E" w14:textId="77777777" w:rsidR="00886FAC" w:rsidRPr="00951AB1" w:rsidRDefault="00886FAC"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6.700.968.706</w:t>
            </w:r>
          </w:p>
        </w:tc>
        <w:tc>
          <w:tcPr>
            <w:tcW w:w="878" w:type="pct"/>
            <w:noWrap/>
            <w:vAlign w:val="center"/>
            <w:hideMark/>
          </w:tcPr>
          <w:p w14:paraId="5F7D7C1A" w14:textId="77777777" w:rsidR="00886FAC" w:rsidRPr="00951AB1" w:rsidRDefault="00886FAC"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-6.700.968.706</w:t>
            </w:r>
          </w:p>
        </w:tc>
      </w:tr>
    </w:tbl>
    <w:p w14:paraId="251497FE" w14:textId="68E7B07A" w:rsidR="004C776B" w:rsidRPr="00951AB1" w:rsidRDefault="00B02B12" w:rsidP="000A5389">
      <w:pPr>
        <w:spacing w:line="240" w:lineRule="auto"/>
        <w:rPr>
          <w:rFonts w:cs="Times New Roman"/>
          <w:sz w:val="14"/>
          <w:szCs w:val="14"/>
        </w:rPr>
      </w:pPr>
      <w:r w:rsidRPr="00951AB1">
        <w:rPr>
          <w:rFonts w:cs="Times New Roman"/>
          <w:sz w:val="14"/>
          <w:szCs w:val="14"/>
        </w:rPr>
        <w:t xml:space="preserve">Cifras expresadas en pesos </w:t>
      </w:r>
    </w:p>
    <w:p w14:paraId="5920B92F" w14:textId="77777777" w:rsidR="00B02B12" w:rsidRPr="00951AB1" w:rsidRDefault="00B02B12" w:rsidP="000A5389">
      <w:pPr>
        <w:spacing w:line="240" w:lineRule="auto"/>
        <w:rPr>
          <w:rFonts w:cs="Times New Roman"/>
          <w:sz w:val="14"/>
          <w:szCs w:val="14"/>
        </w:rPr>
      </w:pPr>
    </w:p>
    <w:p w14:paraId="2926F182" w14:textId="77777777" w:rsidR="0086794E" w:rsidRPr="00951AB1" w:rsidRDefault="0086794E" w:rsidP="000A5389">
      <w:pPr>
        <w:spacing w:line="240" w:lineRule="auto"/>
        <w:rPr>
          <w:rFonts w:cs="Times New Roman"/>
          <w:szCs w:val="24"/>
        </w:rPr>
      </w:pPr>
      <w:r w:rsidRPr="00951AB1">
        <w:rPr>
          <w:rFonts w:cs="Times New Roman"/>
          <w:szCs w:val="24"/>
        </w:rPr>
        <w:t>De conformidad con la política contable adoptada por la entidad, un pasivo contingente corresponde a una obligación posible surgida a raíz de sucesos pasados, cuya existencia quedará confirmada solo si llegan a ocurrir o si no llegan a ocurrir uno o más sucesos futuros inciertos que no estén enteramente bajo el control de la entidad. Un pasivo contingente también corresponde a toda obligación presente, surgida a raíz de sucesos pasados, pero no reconocida en los Estados Financieros, bien sea porque no es probable que, para satisfacerla, se requiera que la entidad tenga que desprenderse de recursos que incorporen beneficios económicos o potencial de servicio, o bien sea porque no puede estimarse el valor de la obligación con la suficiente fiabilidad.</w:t>
      </w:r>
    </w:p>
    <w:p w14:paraId="1EF84E5A" w14:textId="77777777" w:rsidR="0086794E" w:rsidRPr="00951AB1" w:rsidRDefault="0086794E" w:rsidP="000A5389">
      <w:pPr>
        <w:spacing w:line="240" w:lineRule="auto"/>
        <w:rPr>
          <w:rFonts w:cs="Times New Roman"/>
          <w:szCs w:val="24"/>
        </w:rPr>
      </w:pPr>
      <w:r w:rsidRPr="00951AB1">
        <w:rPr>
          <w:rFonts w:cs="Times New Roman"/>
          <w:szCs w:val="24"/>
        </w:rPr>
        <w:t>Los pasivos contingentes se evaluarán de forma continuada, con el fin de asegurar que su evolución se refleje apropiadamente en los estados financieros. En caso de que la salida de recursos sea probable y que se obtenga una medición fiable de la obligación, se procederá al reconocimiento del pasivo en los Estados Financieros del periodo en el que dicho cambio tenga lugar.</w:t>
      </w:r>
    </w:p>
    <w:p w14:paraId="2F2A6AA7" w14:textId="77777777" w:rsidR="0086794E" w:rsidRPr="00951AB1" w:rsidRDefault="0086794E" w:rsidP="000A5389">
      <w:pPr>
        <w:spacing w:line="240" w:lineRule="auto"/>
        <w:rPr>
          <w:rFonts w:cs="Times New Roman"/>
          <w:szCs w:val="24"/>
        </w:rPr>
      </w:pPr>
      <w:r w:rsidRPr="00951AB1">
        <w:rPr>
          <w:rFonts w:cs="Times New Roman"/>
          <w:szCs w:val="24"/>
        </w:rPr>
        <w:t xml:space="preserve">Una vez sean admitidas las contingencias judiciales iniciadas, son objeto de reconocimiento en cuentas de orden acreedoras si tienen una medición fiable. Cuando esta no exista o la misma sea igual a cero ($0), no son objeto de reconocimiento.  </w:t>
      </w:r>
    </w:p>
    <w:p w14:paraId="094A5360" w14:textId="77777777" w:rsidR="0086794E" w:rsidRPr="00951AB1" w:rsidRDefault="0086794E" w:rsidP="000A5389">
      <w:pPr>
        <w:spacing w:line="240" w:lineRule="auto"/>
        <w:rPr>
          <w:rFonts w:cs="Times New Roman"/>
          <w:szCs w:val="24"/>
        </w:rPr>
      </w:pPr>
    </w:p>
    <w:p w14:paraId="1FA3E535" w14:textId="7AA030C1" w:rsidR="003B1F72" w:rsidRPr="00951AB1" w:rsidRDefault="0086794E" w:rsidP="000A5389">
      <w:pPr>
        <w:spacing w:line="240" w:lineRule="auto"/>
        <w:rPr>
          <w:rFonts w:cs="Times New Roman"/>
          <w:szCs w:val="24"/>
        </w:rPr>
      </w:pPr>
      <w:r w:rsidRPr="00951AB1">
        <w:rPr>
          <w:rFonts w:cs="Times New Roman"/>
          <w:szCs w:val="24"/>
        </w:rPr>
        <w:t xml:space="preserve">La variación en esta cuenta corresponde al impacto </w:t>
      </w:r>
      <w:r w:rsidR="002A3782" w:rsidRPr="00951AB1">
        <w:rPr>
          <w:rFonts w:cs="Times New Roman"/>
          <w:szCs w:val="24"/>
        </w:rPr>
        <w:t xml:space="preserve">como causa en la calificación del riesgo </w:t>
      </w:r>
      <w:r w:rsidR="00B86072" w:rsidRPr="00951AB1">
        <w:rPr>
          <w:rFonts w:cs="Times New Roman"/>
          <w:szCs w:val="24"/>
        </w:rPr>
        <w:t>realizada</w:t>
      </w:r>
      <w:r w:rsidR="002A3782" w:rsidRPr="00951AB1">
        <w:rPr>
          <w:rFonts w:cs="Times New Roman"/>
          <w:szCs w:val="24"/>
        </w:rPr>
        <w:t xml:space="preserve"> por los </w:t>
      </w:r>
      <w:r w:rsidR="00B86072" w:rsidRPr="00951AB1">
        <w:rPr>
          <w:rFonts w:cs="Times New Roman"/>
          <w:szCs w:val="24"/>
        </w:rPr>
        <w:t>apoderados</w:t>
      </w:r>
      <w:r w:rsidR="005364F0" w:rsidRPr="00951AB1">
        <w:rPr>
          <w:rFonts w:cs="Times New Roman"/>
          <w:szCs w:val="24"/>
        </w:rPr>
        <w:t xml:space="preserve"> con corte de 31 diciembre de 2025</w:t>
      </w:r>
      <w:r w:rsidRPr="00951AB1">
        <w:rPr>
          <w:rFonts w:cs="Times New Roman"/>
          <w:szCs w:val="24"/>
        </w:rPr>
        <w:t xml:space="preserve"> </w:t>
      </w:r>
      <w:r w:rsidR="00B86072" w:rsidRPr="00951AB1">
        <w:rPr>
          <w:rFonts w:cs="Times New Roman"/>
          <w:szCs w:val="24"/>
        </w:rPr>
        <w:t xml:space="preserve">y de los procesos terminados durante el año, conforme a la </w:t>
      </w:r>
      <w:r w:rsidRPr="00951AB1">
        <w:rPr>
          <w:rFonts w:cs="Times New Roman"/>
          <w:szCs w:val="24"/>
        </w:rPr>
        <w:t xml:space="preserve">metodología adoptado en el año 2024 a través de la Resolución ANI No. </w:t>
      </w:r>
      <w:r w:rsidRPr="00951AB1">
        <w:rPr>
          <w:rFonts w:cs="Times New Roman"/>
          <w:color w:val="000000" w:themeColor="text1"/>
          <w:szCs w:val="24"/>
        </w:rPr>
        <w:t>20247010010885 del 27-08-2024.</w:t>
      </w:r>
      <w:r w:rsidRPr="00951AB1">
        <w:rPr>
          <w:rFonts w:cs="Times New Roman"/>
          <w:szCs w:val="24"/>
        </w:rPr>
        <w:t xml:space="preserve"> El Grupo Interno de Trabajo de Defensa Judicial, reporta los litigios y demandas y los Mecanismos Alternativos de Solución de Conflictos en contra de la Agencia e informará según la periodicidad establecida, al Grupo Interno de Trabajo Administrativo y Financiero, con el fin de actualizar la información financiera correspondiente.</w:t>
      </w:r>
    </w:p>
    <w:p w14:paraId="6D9CE337" w14:textId="77777777" w:rsidR="003B1F72" w:rsidRPr="00951AB1" w:rsidRDefault="003B1F72" w:rsidP="000A5389">
      <w:pPr>
        <w:spacing w:line="240" w:lineRule="auto"/>
        <w:rPr>
          <w:rFonts w:cs="Times New Roman"/>
          <w:szCs w:val="24"/>
        </w:rPr>
      </w:pPr>
    </w:p>
    <w:p w14:paraId="36C5A154" w14:textId="671CA2B2" w:rsidR="003B1F72" w:rsidRPr="00951AB1" w:rsidRDefault="001B71D5" w:rsidP="000A5389">
      <w:pPr>
        <w:pStyle w:val="Ttulo3"/>
        <w:numPr>
          <w:ilvl w:val="2"/>
          <w:numId w:val="61"/>
        </w:numPr>
        <w:spacing w:line="240" w:lineRule="auto"/>
        <w:rPr>
          <w:rFonts w:cs="Times New Roman"/>
          <w:color w:val="1F3864" w:themeColor="accent1" w:themeShade="80"/>
        </w:rPr>
      </w:pPr>
      <w:bookmarkStart w:id="727" w:name="_Toc54016816"/>
      <w:bookmarkStart w:id="728" w:name="_Toc191369555"/>
      <w:bookmarkStart w:id="729" w:name="_Toc191456882"/>
      <w:bookmarkStart w:id="730" w:name="_Toc191456992"/>
      <w:bookmarkStart w:id="731" w:name="_Toc191457102"/>
      <w:bookmarkStart w:id="732" w:name="_Toc191475729"/>
      <w:bookmarkStart w:id="733" w:name="_Toc191475838"/>
      <w:bookmarkStart w:id="734" w:name="_Toc191475947"/>
      <w:bookmarkStart w:id="735" w:name="_Toc191475470"/>
      <w:bookmarkStart w:id="736" w:name="_Toc191505846"/>
      <w:r w:rsidRPr="00951AB1">
        <w:rPr>
          <w:rFonts w:cs="Times New Roman"/>
          <w:color w:val="1F3864" w:themeColor="accent1" w:themeShade="80"/>
        </w:rPr>
        <w:t xml:space="preserve"> </w:t>
      </w:r>
      <w:bookmarkStart w:id="737" w:name="_Toc222824165"/>
      <w:r w:rsidR="00FB53B5" w:rsidRPr="00951AB1">
        <w:rPr>
          <w:rFonts w:cs="Times New Roman"/>
          <w:color w:val="1F3864" w:themeColor="accent1" w:themeShade="80"/>
        </w:rPr>
        <w:tab/>
      </w:r>
      <w:bookmarkStart w:id="738" w:name="_Toc222955531"/>
      <w:r w:rsidR="003B1F72" w:rsidRPr="00951AB1">
        <w:rPr>
          <w:rFonts w:cs="Times New Roman"/>
          <w:color w:val="1F3864" w:themeColor="accent1" w:themeShade="80"/>
        </w:rPr>
        <w:t>Revelaciones generales de pasivos contingentes</w:t>
      </w:r>
      <w:bookmarkEnd w:id="727"/>
      <w:bookmarkEnd w:id="728"/>
      <w:bookmarkEnd w:id="729"/>
      <w:bookmarkEnd w:id="730"/>
      <w:bookmarkEnd w:id="731"/>
      <w:bookmarkEnd w:id="732"/>
      <w:bookmarkEnd w:id="733"/>
      <w:bookmarkEnd w:id="734"/>
      <w:bookmarkEnd w:id="735"/>
      <w:bookmarkEnd w:id="736"/>
      <w:bookmarkEnd w:id="737"/>
      <w:bookmarkEnd w:id="738"/>
    </w:p>
    <w:p w14:paraId="56CAE02B" w14:textId="77777777" w:rsidR="003B1F72" w:rsidRPr="00951AB1" w:rsidRDefault="003B1F72" w:rsidP="000A5389">
      <w:pPr>
        <w:spacing w:line="240" w:lineRule="auto"/>
        <w:rPr>
          <w:rFonts w:cs="Times New Roman"/>
          <w:szCs w:val="24"/>
        </w:rPr>
      </w:pPr>
    </w:p>
    <w:p w14:paraId="4006A47E" w14:textId="168A2EB3" w:rsidR="003B1F72" w:rsidRPr="00951AB1" w:rsidRDefault="003B1F72" w:rsidP="000A5389">
      <w:pPr>
        <w:spacing w:line="240" w:lineRule="auto"/>
        <w:rPr>
          <w:rFonts w:cs="Times New Roman"/>
          <w:color w:val="000000" w:themeColor="text1"/>
          <w:szCs w:val="24"/>
        </w:rPr>
      </w:pPr>
      <w:r w:rsidRPr="00951AB1">
        <w:rPr>
          <w:rFonts w:cs="Times New Roman"/>
          <w:szCs w:val="24"/>
        </w:rPr>
        <w:t xml:space="preserve">Corresponde a los procesos judiciales y trámites arbitrales en los que la entidad es parte demandada y que en aplicación a la metodología establecida en la Resolución </w:t>
      </w:r>
      <w:r w:rsidRPr="00951AB1">
        <w:rPr>
          <w:rFonts w:cs="Times New Roman"/>
          <w:color w:val="000000" w:themeColor="text1"/>
          <w:szCs w:val="24"/>
        </w:rPr>
        <w:t xml:space="preserve">ANI No. 20247010010885 del 27-08-2024 </w:t>
      </w:r>
      <w:r w:rsidRPr="00951AB1">
        <w:rPr>
          <w:rFonts w:cs="Times New Roman"/>
          <w:i/>
          <w:color w:val="000000" w:themeColor="text1"/>
          <w:szCs w:val="24"/>
        </w:rPr>
        <w:t xml:space="preserve">" “Por medio de la cual la Agencia Nacional de Infraestructura - ANI, adopta la Resolución 431 del 28 de julio de 2023 expedida por la Agencia Nacional de Defensa Jurídica del Estado ANDJE "Por la cual se adopta una metodología de reconocido valor técnico para el cálculo de la obligación contingente de los procesos judiciales, conciliaciones extrajudiciales y trámites arbitrales que se adelanten contra la entidad y deban ser registrados en el sistema eKOGUI” y se dictan otras disposiciones” </w:t>
      </w:r>
      <w:r w:rsidRPr="00951AB1">
        <w:rPr>
          <w:rFonts w:cs="Times New Roman"/>
          <w:color w:val="000000" w:themeColor="text1"/>
          <w:szCs w:val="24"/>
        </w:rPr>
        <w:t xml:space="preserve"> da como resultado, un riesgo “Medio” y/o “Bajo” de condena y la necesidad de registro en cuentas de orden. </w:t>
      </w:r>
    </w:p>
    <w:p w14:paraId="4C4AB047" w14:textId="77777777" w:rsidR="003B1F72" w:rsidRPr="00951AB1" w:rsidRDefault="003B1F72" w:rsidP="000A5389">
      <w:pPr>
        <w:spacing w:line="240" w:lineRule="auto"/>
        <w:rPr>
          <w:rFonts w:cs="Times New Roman"/>
          <w:color w:val="000000" w:themeColor="text1"/>
          <w:szCs w:val="24"/>
        </w:rPr>
      </w:pPr>
    </w:p>
    <w:tbl>
      <w:tblPr>
        <w:tblW w:w="5000" w:type="pct"/>
        <w:tblBorders>
          <w:top w:val="single" w:sz="4" w:space="0" w:color="A6A6A6"/>
          <w:left w:val="single" w:sz="4" w:space="0" w:color="A6A6A6"/>
          <w:bottom w:val="single" w:sz="4" w:space="0" w:color="A6A6A6"/>
          <w:right w:val="single" w:sz="4" w:space="0" w:color="A6A6A6"/>
          <w:insideH w:val="single" w:sz="4" w:space="0" w:color="A6A6A6"/>
          <w:insideV w:val="single" w:sz="4" w:space="0" w:color="A6A6A6"/>
        </w:tblBorders>
        <w:tblCellMar>
          <w:left w:w="70" w:type="dxa"/>
          <w:right w:w="70" w:type="dxa"/>
        </w:tblCellMar>
        <w:tblLook w:val="04A0" w:firstRow="1" w:lastRow="0" w:firstColumn="1" w:lastColumn="0" w:noHBand="0" w:noVBand="1"/>
      </w:tblPr>
      <w:tblGrid>
        <w:gridCol w:w="815"/>
        <w:gridCol w:w="539"/>
        <w:gridCol w:w="4630"/>
        <w:gridCol w:w="1683"/>
        <w:gridCol w:w="1161"/>
      </w:tblGrid>
      <w:tr w:rsidR="00934AB7" w:rsidRPr="00951AB1" w14:paraId="7E9B5071" w14:textId="77777777" w:rsidTr="004A7790">
        <w:trPr>
          <w:trHeight w:val="239"/>
          <w:tblHeader/>
        </w:trPr>
        <w:tc>
          <w:tcPr>
            <w:tcW w:w="3358" w:type="pct"/>
            <w:gridSpan w:val="3"/>
            <w:vMerge w:val="restart"/>
            <w:noWrap/>
            <w:vAlign w:val="center"/>
            <w:hideMark/>
          </w:tcPr>
          <w:p w14:paraId="7ED9A9E7" w14:textId="77777777" w:rsidR="00A32AC3" w:rsidRPr="00951AB1" w:rsidRDefault="00A32AC3" w:rsidP="000A5389">
            <w:pPr>
              <w:spacing w:line="240" w:lineRule="auto"/>
              <w:jc w:val="center"/>
              <w:rPr>
                <w:rFonts w:eastAsia="Times New Roman" w:cs="Times New Roman"/>
                <w:b/>
                <w:kern w:val="0"/>
                <w:sz w:val="18"/>
                <w:szCs w:val="18"/>
                <w:lang w:eastAsia="es-CO"/>
                <w14:ligatures w14:val="none"/>
              </w:rPr>
            </w:pPr>
            <w:r w:rsidRPr="00951AB1">
              <w:rPr>
                <w:rFonts w:eastAsia="Times New Roman" w:cs="Times New Roman"/>
                <w:b/>
                <w:kern w:val="0"/>
                <w:sz w:val="18"/>
                <w:szCs w:val="18"/>
                <w:lang w:eastAsia="es-CO"/>
                <w14:ligatures w14:val="none"/>
              </w:rPr>
              <w:t>CONCEPTO</w:t>
            </w:r>
          </w:p>
        </w:tc>
        <w:tc>
          <w:tcPr>
            <w:tcW w:w="969" w:type="pct"/>
            <w:vAlign w:val="center"/>
            <w:hideMark/>
          </w:tcPr>
          <w:p w14:paraId="7F57F88D" w14:textId="77777777" w:rsidR="00A32AC3" w:rsidRPr="00951AB1" w:rsidRDefault="00A32AC3" w:rsidP="000A5389">
            <w:pPr>
              <w:spacing w:line="240" w:lineRule="auto"/>
              <w:jc w:val="center"/>
              <w:rPr>
                <w:rFonts w:eastAsia="Times New Roman" w:cs="Times New Roman"/>
                <w:b/>
                <w:kern w:val="0"/>
                <w:sz w:val="18"/>
                <w:szCs w:val="18"/>
                <w:lang w:eastAsia="es-CO"/>
                <w14:ligatures w14:val="none"/>
              </w:rPr>
            </w:pPr>
            <w:r w:rsidRPr="00951AB1">
              <w:rPr>
                <w:rFonts w:eastAsia="Times New Roman" w:cs="Times New Roman"/>
                <w:b/>
                <w:kern w:val="0"/>
                <w:sz w:val="18"/>
                <w:szCs w:val="18"/>
                <w:lang w:eastAsia="es-CO"/>
                <w14:ligatures w14:val="none"/>
              </w:rPr>
              <w:t>CORTE 2025</w:t>
            </w:r>
          </w:p>
        </w:tc>
        <w:tc>
          <w:tcPr>
            <w:tcW w:w="673" w:type="pct"/>
            <w:vMerge w:val="restart"/>
            <w:vAlign w:val="center"/>
            <w:hideMark/>
          </w:tcPr>
          <w:p w14:paraId="6CE74051" w14:textId="77777777" w:rsidR="00A32AC3" w:rsidRPr="00951AB1" w:rsidRDefault="00A32AC3" w:rsidP="000A5389">
            <w:pPr>
              <w:spacing w:line="240" w:lineRule="auto"/>
              <w:jc w:val="center"/>
              <w:rPr>
                <w:rFonts w:eastAsia="Times New Roman" w:cs="Times New Roman"/>
                <w:b/>
                <w:kern w:val="0"/>
                <w:sz w:val="18"/>
                <w:szCs w:val="18"/>
                <w:lang w:eastAsia="es-CO"/>
                <w14:ligatures w14:val="none"/>
              </w:rPr>
            </w:pPr>
            <w:r w:rsidRPr="00951AB1">
              <w:rPr>
                <w:rFonts w:eastAsia="Times New Roman" w:cs="Times New Roman"/>
                <w:b/>
                <w:kern w:val="0"/>
                <w:sz w:val="18"/>
                <w:szCs w:val="18"/>
                <w:lang w:eastAsia="es-CO"/>
                <w14:ligatures w14:val="none"/>
              </w:rPr>
              <w:t>CANTIDAD</w:t>
            </w:r>
            <w:r w:rsidRPr="00951AB1">
              <w:rPr>
                <w:rFonts w:eastAsia="Times New Roman" w:cs="Times New Roman"/>
                <w:b/>
                <w:kern w:val="0"/>
                <w:sz w:val="18"/>
                <w:szCs w:val="18"/>
                <w:lang w:eastAsia="es-CO"/>
                <w14:ligatures w14:val="none"/>
              </w:rPr>
              <w:br/>
              <w:t>(Procesos o casos)</w:t>
            </w:r>
          </w:p>
        </w:tc>
      </w:tr>
      <w:tr w:rsidR="004811C3" w:rsidRPr="00951AB1" w14:paraId="12DE9135" w14:textId="77777777" w:rsidTr="00706F14">
        <w:trPr>
          <w:trHeight w:val="147"/>
        </w:trPr>
        <w:tc>
          <w:tcPr>
            <w:tcW w:w="3358" w:type="pct"/>
            <w:gridSpan w:val="3"/>
            <w:vMerge/>
            <w:noWrap/>
            <w:vAlign w:val="center"/>
            <w:hideMark/>
          </w:tcPr>
          <w:p w14:paraId="00B80B9A" w14:textId="77777777" w:rsidR="00A32AC3" w:rsidRPr="00951AB1" w:rsidRDefault="00A32AC3" w:rsidP="000A5389">
            <w:pPr>
              <w:spacing w:line="240" w:lineRule="auto"/>
              <w:rPr>
                <w:rFonts w:eastAsia="Times New Roman" w:cs="Times New Roman"/>
                <w:b/>
                <w:kern w:val="0"/>
                <w:sz w:val="18"/>
                <w:szCs w:val="18"/>
                <w:lang w:eastAsia="es-CO"/>
                <w14:ligatures w14:val="none"/>
              </w:rPr>
            </w:pPr>
          </w:p>
        </w:tc>
        <w:tc>
          <w:tcPr>
            <w:tcW w:w="969" w:type="pct"/>
            <w:vAlign w:val="center"/>
            <w:hideMark/>
          </w:tcPr>
          <w:p w14:paraId="2FA1C7C5" w14:textId="77777777" w:rsidR="00A32AC3" w:rsidRPr="00951AB1" w:rsidRDefault="00A32AC3" w:rsidP="000A5389">
            <w:pPr>
              <w:spacing w:line="240" w:lineRule="auto"/>
              <w:jc w:val="center"/>
              <w:rPr>
                <w:rFonts w:eastAsia="Times New Roman" w:cs="Times New Roman"/>
                <w:b/>
                <w:kern w:val="0"/>
                <w:sz w:val="18"/>
                <w:szCs w:val="18"/>
                <w:lang w:eastAsia="es-CO"/>
                <w14:ligatures w14:val="none"/>
              </w:rPr>
            </w:pPr>
            <w:r w:rsidRPr="00951AB1">
              <w:rPr>
                <w:rFonts w:eastAsia="Times New Roman" w:cs="Times New Roman"/>
                <w:b/>
                <w:kern w:val="0"/>
                <w:sz w:val="18"/>
                <w:szCs w:val="18"/>
                <w:lang w:eastAsia="es-CO"/>
                <w14:ligatures w14:val="none"/>
              </w:rPr>
              <w:t>VALOR EN LIBROS</w:t>
            </w:r>
          </w:p>
        </w:tc>
        <w:tc>
          <w:tcPr>
            <w:tcW w:w="673" w:type="pct"/>
            <w:vMerge/>
            <w:vAlign w:val="center"/>
            <w:hideMark/>
          </w:tcPr>
          <w:p w14:paraId="6C79AC94" w14:textId="77777777" w:rsidR="00A32AC3" w:rsidRPr="00951AB1" w:rsidRDefault="00A32AC3" w:rsidP="000A5389">
            <w:pPr>
              <w:spacing w:line="240" w:lineRule="auto"/>
              <w:rPr>
                <w:rFonts w:eastAsia="Times New Roman" w:cs="Times New Roman"/>
                <w:b/>
                <w:kern w:val="0"/>
                <w:sz w:val="18"/>
                <w:szCs w:val="18"/>
                <w:lang w:eastAsia="es-CO"/>
                <w14:ligatures w14:val="none"/>
              </w:rPr>
            </w:pPr>
          </w:p>
        </w:tc>
      </w:tr>
      <w:tr w:rsidR="004811C3" w:rsidRPr="00951AB1" w14:paraId="686B132E" w14:textId="77777777" w:rsidTr="00706F14">
        <w:trPr>
          <w:trHeight w:val="285"/>
        </w:trPr>
        <w:tc>
          <w:tcPr>
            <w:tcW w:w="3358" w:type="pct"/>
            <w:gridSpan w:val="3"/>
            <w:noWrap/>
            <w:vAlign w:val="center"/>
            <w:hideMark/>
          </w:tcPr>
          <w:p w14:paraId="041C616B" w14:textId="77777777" w:rsidR="00A32AC3" w:rsidRPr="00951AB1" w:rsidRDefault="00A32AC3" w:rsidP="000A5389">
            <w:pPr>
              <w:spacing w:line="240" w:lineRule="auto"/>
              <w:rPr>
                <w:rFonts w:eastAsia="Times New Roman" w:cs="Times New Roman"/>
                <w:b/>
                <w:color w:val="000000"/>
                <w:kern w:val="0"/>
                <w:sz w:val="18"/>
                <w:szCs w:val="18"/>
                <w:lang w:eastAsia="es-CO"/>
                <w14:ligatures w14:val="none"/>
              </w:rPr>
            </w:pPr>
            <w:r w:rsidRPr="00951AB1">
              <w:rPr>
                <w:rFonts w:eastAsia="Times New Roman" w:cs="Times New Roman"/>
                <w:b/>
                <w:color w:val="000000"/>
                <w:kern w:val="0"/>
                <w:sz w:val="18"/>
                <w:szCs w:val="18"/>
                <w:lang w:eastAsia="es-CO"/>
                <w14:ligatures w14:val="none"/>
              </w:rPr>
              <w:t>PASIVOS CONTINGENTES</w:t>
            </w:r>
          </w:p>
        </w:tc>
        <w:tc>
          <w:tcPr>
            <w:tcW w:w="969" w:type="pct"/>
            <w:noWrap/>
            <w:vAlign w:val="center"/>
            <w:hideMark/>
          </w:tcPr>
          <w:p w14:paraId="4FD206C2" w14:textId="6051FD5A" w:rsidR="00A32AC3" w:rsidRPr="00951AB1" w:rsidRDefault="16C90E49" w:rsidP="000A5389">
            <w:pPr>
              <w:spacing w:line="240" w:lineRule="auto"/>
              <w:jc w:val="right"/>
              <w:rPr>
                <w:rFonts w:eastAsia="Times New Roman" w:cs="Times New Roman"/>
                <w:b/>
                <w:color w:val="000000"/>
                <w:kern w:val="0"/>
                <w:sz w:val="18"/>
                <w:szCs w:val="18"/>
                <w:lang w:eastAsia="es-CO"/>
                <w14:ligatures w14:val="none"/>
              </w:rPr>
            </w:pPr>
            <w:r w:rsidRPr="5B0C84B6">
              <w:rPr>
                <w:rFonts w:eastAsia="Times New Roman" w:cs="Times New Roman"/>
                <w:b/>
                <w:bCs/>
                <w:color w:val="000000" w:themeColor="text1"/>
                <w:sz w:val="18"/>
                <w:szCs w:val="18"/>
                <w:lang w:eastAsia="es-CO"/>
              </w:rPr>
              <w:t>35.036.138.328.715</w:t>
            </w:r>
          </w:p>
        </w:tc>
        <w:tc>
          <w:tcPr>
            <w:tcW w:w="673" w:type="pct"/>
            <w:noWrap/>
            <w:vAlign w:val="center"/>
            <w:hideMark/>
          </w:tcPr>
          <w:p w14:paraId="475A25DB" w14:textId="31658C03" w:rsidR="00A32AC3" w:rsidRPr="00951AB1" w:rsidRDefault="62A07E3E" w:rsidP="000A5389">
            <w:pPr>
              <w:spacing w:line="240" w:lineRule="auto"/>
              <w:jc w:val="center"/>
              <w:rPr>
                <w:rFonts w:eastAsia="Times New Roman" w:cs="Times New Roman"/>
                <w:b/>
                <w:color w:val="000000"/>
                <w:kern w:val="0"/>
                <w:sz w:val="18"/>
                <w:szCs w:val="18"/>
                <w:lang w:eastAsia="es-CO"/>
                <w14:ligatures w14:val="none"/>
              </w:rPr>
            </w:pPr>
            <w:r w:rsidRPr="5B0C84B6">
              <w:rPr>
                <w:rFonts w:eastAsia="Times New Roman" w:cs="Times New Roman"/>
                <w:b/>
                <w:bCs/>
                <w:color w:val="000000"/>
                <w:kern w:val="0"/>
                <w:sz w:val="18"/>
                <w:szCs w:val="18"/>
                <w:lang w:eastAsia="es-CO"/>
                <w14:ligatures w14:val="none"/>
              </w:rPr>
              <w:t>876</w:t>
            </w:r>
            <w:r w:rsidR="00A32AC3" w:rsidRPr="00951AB1">
              <w:rPr>
                <w:rFonts w:eastAsia="Times New Roman" w:cs="Times New Roman"/>
                <w:b/>
                <w:color w:val="000000"/>
                <w:kern w:val="0"/>
                <w:sz w:val="18"/>
                <w:szCs w:val="18"/>
                <w:lang w:eastAsia="es-CO"/>
                <w14:ligatures w14:val="none"/>
              </w:rPr>
              <w:t xml:space="preserve"> </w:t>
            </w:r>
          </w:p>
        </w:tc>
      </w:tr>
      <w:tr w:rsidR="00240AB6" w:rsidRPr="00951AB1" w14:paraId="51F9FB9D" w14:textId="77777777" w:rsidTr="00706F14">
        <w:trPr>
          <w:trHeight w:val="285"/>
        </w:trPr>
        <w:tc>
          <w:tcPr>
            <w:tcW w:w="399" w:type="pct"/>
            <w:noWrap/>
            <w:vAlign w:val="center"/>
            <w:hideMark/>
          </w:tcPr>
          <w:p w14:paraId="6ECBB6A2" w14:textId="77777777" w:rsidR="00A32AC3" w:rsidRPr="00951AB1" w:rsidRDefault="00A32AC3" w:rsidP="000A5389">
            <w:pPr>
              <w:spacing w:line="240" w:lineRule="auto"/>
              <w:rPr>
                <w:rFonts w:eastAsia="Times New Roman" w:cs="Times New Roman"/>
                <w:b/>
                <w:color w:val="000000"/>
                <w:kern w:val="0"/>
                <w:sz w:val="18"/>
                <w:szCs w:val="18"/>
                <w:lang w:eastAsia="es-CO"/>
                <w14:ligatures w14:val="none"/>
              </w:rPr>
            </w:pPr>
            <w:r w:rsidRPr="00951AB1">
              <w:rPr>
                <w:rFonts w:eastAsia="Times New Roman" w:cs="Times New Roman"/>
                <w:b/>
                <w:color w:val="000000"/>
                <w:kern w:val="0"/>
                <w:sz w:val="18"/>
                <w:szCs w:val="18"/>
                <w:lang w:eastAsia="es-CO"/>
                <w14:ligatures w14:val="none"/>
              </w:rPr>
              <w:t>9.1.20</w:t>
            </w:r>
          </w:p>
        </w:tc>
        <w:tc>
          <w:tcPr>
            <w:tcW w:w="321" w:type="pct"/>
            <w:noWrap/>
            <w:vAlign w:val="center"/>
            <w:hideMark/>
          </w:tcPr>
          <w:p w14:paraId="182A4669" w14:textId="77777777" w:rsidR="00A32AC3" w:rsidRPr="00951AB1" w:rsidRDefault="00A32AC3" w:rsidP="000A5389">
            <w:pPr>
              <w:spacing w:line="240" w:lineRule="auto"/>
              <w:jc w:val="center"/>
              <w:rPr>
                <w:rFonts w:eastAsia="Times New Roman" w:cs="Times New Roman"/>
                <w:b/>
                <w:color w:val="000000"/>
                <w:kern w:val="0"/>
                <w:sz w:val="18"/>
                <w:szCs w:val="18"/>
                <w:lang w:eastAsia="es-CO"/>
                <w14:ligatures w14:val="none"/>
              </w:rPr>
            </w:pPr>
            <w:r w:rsidRPr="00951AB1">
              <w:rPr>
                <w:rFonts w:eastAsia="Times New Roman" w:cs="Times New Roman"/>
                <w:b/>
                <w:color w:val="000000"/>
                <w:kern w:val="0"/>
                <w:sz w:val="18"/>
                <w:szCs w:val="18"/>
                <w:lang w:eastAsia="es-CO"/>
                <w14:ligatures w14:val="none"/>
              </w:rPr>
              <w:t>Db</w:t>
            </w:r>
          </w:p>
        </w:tc>
        <w:tc>
          <w:tcPr>
            <w:tcW w:w="2638" w:type="pct"/>
            <w:vAlign w:val="center"/>
            <w:hideMark/>
          </w:tcPr>
          <w:p w14:paraId="28DBF0CE" w14:textId="77777777" w:rsidR="00A32AC3" w:rsidRPr="00951AB1" w:rsidRDefault="00A32AC3" w:rsidP="000A5389">
            <w:pPr>
              <w:spacing w:line="240" w:lineRule="auto"/>
              <w:rPr>
                <w:rFonts w:eastAsia="Times New Roman" w:cs="Times New Roman"/>
                <w:b/>
                <w:color w:val="000000"/>
                <w:kern w:val="0"/>
                <w:sz w:val="18"/>
                <w:szCs w:val="18"/>
                <w:lang w:eastAsia="es-CO"/>
                <w14:ligatures w14:val="none"/>
              </w:rPr>
            </w:pPr>
            <w:r w:rsidRPr="00951AB1">
              <w:rPr>
                <w:rFonts w:eastAsia="Times New Roman" w:cs="Times New Roman"/>
                <w:b/>
                <w:color w:val="000000"/>
                <w:kern w:val="0"/>
                <w:sz w:val="18"/>
                <w:szCs w:val="18"/>
                <w:lang w:eastAsia="es-CO"/>
                <w14:ligatures w14:val="none"/>
              </w:rPr>
              <w:t>Litigios y mecanismos alternativos de solución de conflictos</w:t>
            </w:r>
          </w:p>
        </w:tc>
        <w:tc>
          <w:tcPr>
            <w:tcW w:w="969" w:type="pct"/>
            <w:noWrap/>
            <w:vAlign w:val="center"/>
            <w:hideMark/>
          </w:tcPr>
          <w:p w14:paraId="18B1CD54" w14:textId="22BD5F8C" w:rsidR="00A32AC3" w:rsidRPr="00951AB1" w:rsidRDefault="1AFB01DB" w:rsidP="000A5389">
            <w:pPr>
              <w:spacing w:line="240" w:lineRule="auto"/>
              <w:jc w:val="right"/>
              <w:rPr>
                <w:rFonts w:eastAsia="Times New Roman" w:cs="Times New Roman"/>
                <w:b/>
                <w:color w:val="000000"/>
                <w:kern w:val="0"/>
                <w:sz w:val="18"/>
                <w:szCs w:val="18"/>
                <w:lang w:eastAsia="es-CO"/>
                <w14:ligatures w14:val="none"/>
              </w:rPr>
            </w:pPr>
            <w:r w:rsidRPr="5B0C84B6">
              <w:rPr>
                <w:rFonts w:eastAsia="Times New Roman" w:cs="Times New Roman"/>
                <w:b/>
                <w:bCs/>
                <w:color w:val="000000" w:themeColor="text1"/>
                <w:sz w:val="18"/>
                <w:szCs w:val="18"/>
                <w:lang w:eastAsia="es-CO"/>
              </w:rPr>
              <w:t>27.115.173.734.740</w:t>
            </w:r>
            <w:r w:rsidR="2A5E075F" w:rsidRPr="5B0C84B6">
              <w:rPr>
                <w:rFonts w:eastAsia="Times New Roman" w:cs="Times New Roman"/>
                <w:b/>
                <w:bCs/>
                <w:color w:val="000000"/>
                <w:kern w:val="0"/>
                <w:sz w:val="18"/>
                <w:szCs w:val="18"/>
                <w:lang w:eastAsia="es-CO"/>
                <w14:ligatures w14:val="none"/>
              </w:rPr>
              <w:t xml:space="preserve"> </w:t>
            </w:r>
          </w:p>
        </w:tc>
        <w:tc>
          <w:tcPr>
            <w:tcW w:w="673" w:type="pct"/>
            <w:noWrap/>
            <w:vAlign w:val="center"/>
            <w:hideMark/>
          </w:tcPr>
          <w:p w14:paraId="781ED5B8" w14:textId="5B7F9FF9" w:rsidR="00A32AC3" w:rsidRPr="00951AB1" w:rsidRDefault="11531E3C" w:rsidP="000A5389">
            <w:pPr>
              <w:spacing w:line="240" w:lineRule="auto"/>
              <w:jc w:val="center"/>
              <w:rPr>
                <w:rFonts w:eastAsia="Times New Roman" w:cs="Times New Roman"/>
                <w:b/>
                <w:color w:val="000000"/>
                <w:kern w:val="0"/>
                <w:sz w:val="18"/>
                <w:szCs w:val="18"/>
                <w:lang w:eastAsia="es-CO"/>
                <w14:ligatures w14:val="none"/>
              </w:rPr>
            </w:pPr>
            <w:r w:rsidRPr="5B0C84B6">
              <w:rPr>
                <w:rFonts w:eastAsia="Times New Roman" w:cs="Times New Roman"/>
                <w:b/>
                <w:bCs/>
                <w:color w:val="000000"/>
                <w:kern w:val="0"/>
                <w:sz w:val="18"/>
                <w:szCs w:val="18"/>
                <w:lang w:eastAsia="es-CO"/>
                <w14:ligatures w14:val="none"/>
              </w:rPr>
              <w:t>876</w:t>
            </w:r>
            <w:r w:rsidR="00A32AC3" w:rsidRPr="00951AB1">
              <w:rPr>
                <w:rFonts w:eastAsia="Times New Roman" w:cs="Times New Roman"/>
                <w:b/>
                <w:color w:val="000000"/>
                <w:kern w:val="0"/>
                <w:sz w:val="18"/>
                <w:szCs w:val="18"/>
                <w:lang w:eastAsia="es-CO"/>
                <w14:ligatures w14:val="none"/>
              </w:rPr>
              <w:t xml:space="preserve"> </w:t>
            </w:r>
          </w:p>
        </w:tc>
      </w:tr>
      <w:tr w:rsidR="00240AB6" w:rsidRPr="00951AB1" w14:paraId="338A0D6D" w14:textId="77777777" w:rsidTr="00706F14">
        <w:trPr>
          <w:trHeight w:val="300"/>
        </w:trPr>
        <w:tc>
          <w:tcPr>
            <w:tcW w:w="399" w:type="pct"/>
            <w:noWrap/>
            <w:vAlign w:val="center"/>
            <w:hideMark/>
          </w:tcPr>
          <w:p w14:paraId="7E3694F7" w14:textId="77777777" w:rsidR="00A32AC3" w:rsidRPr="00951AB1" w:rsidRDefault="00A32AC3" w:rsidP="000A5389">
            <w:pPr>
              <w:spacing w:line="240" w:lineRule="auto"/>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9.1.20.04</w:t>
            </w:r>
          </w:p>
        </w:tc>
        <w:tc>
          <w:tcPr>
            <w:tcW w:w="321" w:type="pct"/>
            <w:noWrap/>
            <w:vAlign w:val="center"/>
            <w:hideMark/>
          </w:tcPr>
          <w:p w14:paraId="0EFDCD42" w14:textId="77777777" w:rsidR="00A32AC3" w:rsidRPr="00951AB1" w:rsidRDefault="00A32AC3" w:rsidP="000A5389">
            <w:pPr>
              <w:spacing w:line="240" w:lineRule="auto"/>
              <w:jc w:val="center"/>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Db</w:t>
            </w:r>
          </w:p>
        </w:tc>
        <w:tc>
          <w:tcPr>
            <w:tcW w:w="2638" w:type="pct"/>
            <w:vAlign w:val="center"/>
            <w:hideMark/>
          </w:tcPr>
          <w:p w14:paraId="39B80477" w14:textId="77777777" w:rsidR="00A32AC3" w:rsidRPr="00951AB1" w:rsidRDefault="00A32AC3" w:rsidP="000A5389">
            <w:pPr>
              <w:spacing w:line="240" w:lineRule="auto"/>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Administrativos</w:t>
            </w:r>
          </w:p>
        </w:tc>
        <w:tc>
          <w:tcPr>
            <w:tcW w:w="969" w:type="pct"/>
            <w:noWrap/>
            <w:vAlign w:val="center"/>
            <w:hideMark/>
          </w:tcPr>
          <w:p w14:paraId="63901881" w14:textId="77777777" w:rsidR="00A32AC3" w:rsidRPr="00951AB1" w:rsidRDefault="00A32AC3"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 xml:space="preserve">26.019.726.410.313 </w:t>
            </w:r>
          </w:p>
        </w:tc>
        <w:tc>
          <w:tcPr>
            <w:tcW w:w="673" w:type="pct"/>
            <w:noWrap/>
            <w:vAlign w:val="center"/>
            <w:hideMark/>
          </w:tcPr>
          <w:p w14:paraId="2A08ED73" w14:textId="77777777" w:rsidR="00A32AC3" w:rsidRPr="00951AB1" w:rsidRDefault="00A32AC3" w:rsidP="000A5389">
            <w:pPr>
              <w:spacing w:line="240" w:lineRule="auto"/>
              <w:jc w:val="center"/>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 xml:space="preserve">831 </w:t>
            </w:r>
          </w:p>
        </w:tc>
      </w:tr>
      <w:tr w:rsidR="00240AB6" w:rsidRPr="00951AB1" w14:paraId="1D5F7141" w14:textId="77777777" w:rsidTr="00706F14">
        <w:trPr>
          <w:trHeight w:val="300"/>
        </w:trPr>
        <w:tc>
          <w:tcPr>
            <w:tcW w:w="399" w:type="pct"/>
            <w:noWrap/>
            <w:vAlign w:val="center"/>
            <w:hideMark/>
          </w:tcPr>
          <w:p w14:paraId="5231CE5C" w14:textId="77777777" w:rsidR="00A32AC3" w:rsidRPr="00951AB1" w:rsidRDefault="00A32AC3" w:rsidP="000A5389">
            <w:pPr>
              <w:spacing w:line="240" w:lineRule="auto"/>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9.1.20.90</w:t>
            </w:r>
          </w:p>
        </w:tc>
        <w:tc>
          <w:tcPr>
            <w:tcW w:w="321" w:type="pct"/>
            <w:noWrap/>
            <w:vAlign w:val="center"/>
            <w:hideMark/>
          </w:tcPr>
          <w:p w14:paraId="5BC68F5D" w14:textId="77777777" w:rsidR="00A32AC3" w:rsidRPr="00951AB1" w:rsidRDefault="00A32AC3" w:rsidP="000A5389">
            <w:pPr>
              <w:spacing w:line="240" w:lineRule="auto"/>
              <w:jc w:val="center"/>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Db</w:t>
            </w:r>
          </w:p>
        </w:tc>
        <w:tc>
          <w:tcPr>
            <w:tcW w:w="2638" w:type="pct"/>
            <w:vAlign w:val="center"/>
            <w:hideMark/>
          </w:tcPr>
          <w:p w14:paraId="6B76CADC" w14:textId="77777777" w:rsidR="00A32AC3" w:rsidRPr="00951AB1" w:rsidRDefault="00A32AC3" w:rsidP="000A5389">
            <w:pPr>
              <w:spacing w:line="240" w:lineRule="auto"/>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Otros litigios y mecanismos alternativos de solución de conflictos</w:t>
            </w:r>
          </w:p>
        </w:tc>
        <w:tc>
          <w:tcPr>
            <w:tcW w:w="969" w:type="pct"/>
            <w:noWrap/>
            <w:vAlign w:val="center"/>
            <w:hideMark/>
          </w:tcPr>
          <w:p w14:paraId="47513F3A" w14:textId="77777777" w:rsidR="00A32AC3" w:rsidRPr="00951AB1" w:rsidRDefault="00A32AC3"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 xml:space="preserve">1.067.754.103.629 </w:t>
            </w:r>
          </w:p>
        </w:tc>
        <w:tc>
          <w:tcPr>
            <w:tcW w:w="673" w:type="pct"/>
            <w:noWrap/>
            <w:vAlign w:val="center"/>
            <w:hideMark/>
          </w:tcPr>
          <w:p w14:paraId="12F35DBA" w14:textId="77777777" w:rsidR="00A32AC3" w:rsidRPr="00951AB1" w:rsidRDefault="00A32AC3" w:rsidP="000A5389">
            <w:pPr>
              <w:spacing w:line="240" w:lineRule="auto"/>
              <w:jc w:val="center"/>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 xml:space="preserve">8 </w:t>
            </w:r>
          </w:p>
        </w:tc>
      </w:tr>
      <w:tr w:rsidR="00240AB6" w:rsidRPr="00951AB1" w14:paraId="771EF0F1" w14:textId="77777777" w:rsidTr="00706F14">
        <w:trPr>
          <w:trHeight w:val="300"/>
        </w:trPr>
        <w:tc>
          <w:tcPr>
            <w:tcW w:w="399" w:type="pct"/>
            <w:noWrap/>
            <w:vAlign w:val="center"/>
            <w:hideMark/>
          </w:tcPr>
          <w:p w14:paraId="7188856E" w14:textId="77777777" w:rsidR="00A32AC3" w:rsidRPr="00951AB1" w:rsidRDefault="00A32AC3" w:rsidP="000A5389">
            <w:pPr>
              <w:spacing w:line="240" w:lineRule="auto"/>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9.1.20.02</w:t>
            </w:r>
          </w:p>
        </w:tc>
        <w:tc>
          <w:tcPr>
            <w:tcW w:w="321" w:type="pct"/>
            <w:noWrap/>
            <w:vAlign w:val="center"/>
            <w:hideMark/>
          </w:tcPr>
          <w:p w14:paraId="1D73BD5B" w14:textId="77777777" w:rsidR="00A32AC3" w:rsidRPr="00951AB1" w:rsidRDefault="00A32AC3" w:rsidP="000A5389">
            <w:pPr>
              <w:spacing w:line="240" w:lineRule="auto"/>
              <w:jc w:val="center"/>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Db</w:t>
            </w:r>
          </w:p>
        </w:tc>
        <w:tc>
          <w:tcPr>
            <w:tcW w:w="2638" w:type="pct"/>
            <w:vAlign w:val="center"/>
            <w:hideMark/>
          </w:tcPr>
          <w:p w14:paraId="7C341137" w14:textId="77777777" w:rsidR="00A32AC3" w:rsidRPr="00951AB1" w:rsidRDefault="00A32AC3" w:rsidP="000A5389">
            <w:pPr>
              <w:spacing w:line="240" w:lineRule="auto"/>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Laborales</w:t>
            </w:r>
          </w:p>
        </w:tc>
        <w:tc>
          <w:tcPr>
            <w:tcW w:w="969" w:type="pct"/>
            <w:noWrap/>
            <w:vAlign w:val="center"/>
            <w:hideMark/>
          </w:tcPr>
          <w:p w14:paraId="74855DEB" w14:textId="77777777" w:rsidR="00A32AC3" w:rsidRPr="00951AB1" w:rsidRDefault="00A32AC3"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 xml:space="preserve">20.201.848.434 </w:t>
            </w:r>
          </w:p>
        </w:tc>
        <w:tc>
          <w:tcPr>
            <w:tcW w:w="673" w:type="pct"/>
            <w:noWrap/>
            <w:vAlign w:val="center"/>
            <w:hideMark/>
          </w:tcPr>
          <w:p w14:paraId="3B70F2CA" w14:textId="77777777" w:rsidR="00A32AC3" w:rsidRPr="00951AB1" w:rsidRDefault="00A32AC3" w:rsidP="000A5389">
            <w:pPr>
              <w:spacing w:line="240" w:lineRule="auto"/>
              <w:jc w:val="center"/>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 xml:space="preserve">33 </w:t>
            </w:r>
          </w:p>
        </w:tc>
      </w:tr>
      <w:tr w:rsidR="00240AB6" w:rsidRPr="00951AB1" w14:paraId="064122B7" w14:textId="77777777" w:rsidTr="00706F14">
        <w:trPr>
          <w:trHeight w:val="300"/>
        </w:trPr>
        <w:tc>
          <w:tcPr>
            <w:tcW w:w="399" w:type="pct"/>
            <w:noWrap/>
            <w:vAlign w:val="center"/>
            <w:hideMark/>
          </w:tcPr>
          <w:p w14:paraId="790E4B47" w14:textId="77777777" w:rsidR="00A32AC3" w:rsidRPr="00951AB1" w:rsidRDefault="00A32AC3" w:rsidP="000A5389">
            <w:pPr>
              <w:spacing w:line="240" w:lineRule="auto"/>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9.1.20.01</w:t>
            </w:r>
          </w:p>
        </w:tc>
        <w:tc>
          <w:tcPr>
            <w:tcW w:w="321" w:type="pct"/>
            <w:noWrap/>
            <w:vAlign w:val="center"/>
            <w:hideMark/>
          </w:tcPr>
          <w:p w14:paraId="346ADB34" w14:textId="77777777" w:rsidR="00A32AC3" w:rsidRPr="00951AB1" w:rsidRDefault="00A32AC3" w:rsidP="000A5389">
            <w:pPr>
              <w:spacing w:line="240" w:lineRule="auto"/>
              <w:jc w:val="center"/>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Db</w:t>
            </w:r>
          </w:p>
        </w:tc>
        <w:tc>
          <w:tcPr>
            <w:tcW w:w="2638" w:type="pct"/>
            <w:vAlign w:val="center"/>
            <w:hideMark/>
          </w:tcPr>
          <w:p w14:paraId="02682FD6" w14:textId="77777777" w:rsidR="00A32AC3" w:rsidRPr="00951AB1" w:rsidRDefault="00A32AC3" w:rsidP="000A5389">
            <w:pPr>
              <w:spacing w:line="240" w:lineRule="auto"/>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 xml:space="preserve">Civiles </w:t>
            </w:r>
          </w:p>
        </w:tc>
        <w:tc>
          <w:tcPr>
            <w:tcW w:w="969" w:type="pct"/>
            <w:noWrap/>
            <w:vAlign w:val="center"/>
            <w:hideMark/>
          </w:tcPr>
          <w:p w14:paraId="71FFE554" w14:textId="77777777" w:rsidR="00A32AC3" w:rsidRPr="00951AB1" w:rsidRDefault="00A32AC3"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 xml:space="preserve">7.491.372.364 </w:t>
            </w:r>
          </w:p>
        </w:tc>
        <w:tc>
          <w:tcPr>
            <w:tcW w:w="673" w:type="pct"/>
            <w:noWrap/>
            <w:vAlign w:val="center"/>
            <w:hideMark/>
          </w:tcPr>
          <w:p w14:paraId="010DB764" w14:textId="77777777" w:rsidR="00A32AC3" w:rsidRPr="00951AB1" w:rsidRDefault="00A32AC3" w:rsidP="000A5389">
            <w:pPr>
              <w:spacing w:line="240" w:lineRule="auto"/>
              <w:jc w:val="center"/>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 xml:space="preserve">4 </w:t>
            </w:r>
          </w:p>
        </w:tc>
      </w:tr>
      <w:tr w:rsidR="00240AB6" w:rsidRPr="00951AB1" w14:paraId="000FBA98" w14:textId="77777777" w:rsidTr="00706F14">
        <w:trPr>
          <w:trHeight w:val="285"/>
        </w:trPr>
        <w:tc>
          <w:tcPr>
            <w:tcW w:w="399" w:type="pct"/>
            <w:noWrap/>
            <w:vAlign w:val="center"/>
            <w:hideMark/>
          </w:tcPr>
          <w:p w14:paraId="0BDD807B" w14:textId="77777777" w:rsidR="00A32AC3" w:rsidRPr="00951AB1" w:rsidRDefault="00A32AC3" w:rsidP="000A5389">
            <w:pPr>
              <w:spacing w:line="240" w:lineRule="auto"/>
              <w:rPr>
                <w:rFonts w:eastAsia="Times New Roman" w:cs="Times New Roman"/>
                <w:b/>
                <w:color w:val="000000"/>
                <w:kern w:val="0"/>
                <w:sz w:val="18"/>
                <w:szCs w:val="18"/>
                <w:lang w:eastAsia="es-CO"/>
                <w14:ligatures w14:val="none"/>
              </w:rPr>
            </w:pPr>
            <w:r w:rsidRPr="00951AB1">
              <w:rPr>
                <w:rFonts w:eastAsia="Times New Roman" w:cs="Times New Roman"/>
                <w:b/>
                <w:color w:val="000000"/>
                <w:kern w:val="0"/>
                <w:sz w:val="18"/>
                <w:szCs w:val="18"/>
                <w:lang w:eastAsia="es-CO"/>
                <w14:ligatures w14:val="none"/>
              </w:rPr>
              <w:t>9.1.28</w:t>
            </w:r>
          </w:p>
        </w:tc>
        <w:tc>
          <w:tcPr>
            <w:tcW w:w="321" w:type="pct"/>
            <w:noWrap/>
            <w:vAlign w:val="center"/>
            <w:hideMark/>
          </w:tcPr>
          <w:p w14:paraId="4B969DEC" w14:textId="77777777" w:rsidR="00A32AC3" w:rsidRPr="00951AB1" w:rsidRDefault="00A32AC3" w:rsidP="000A5389">
            <w:pPr>
              <w:spacing w:line="240" w:lineRule="auto"/>
              <w:jc w:val="center"/>
              <w:rPr>
                <w:rFonts w:eastAsia="Times New Roman" w:cs="Times New Roman"/>
                <w:b/>
                <w:color w:val="000000"/>
                <w:kern w:val="0"/>
                <w:sz w:val="18"/>
                <w:szCs w:val="18"/>
                <w:lang w:eastAsia="es-CO"/>
                <w14:ligatures w14:val="none"/>
              </w:rPr>
            </w:pPr>
            <w:r w:rsidRPr="00951AB1">
              <w:rPr>
                <w:rFonts w:eastAsia="Times New Roman" w:cs="Times New Roman"/>
                <w:b/>
                <w:color w:val="000000"/>
                <w:kern w:val="0"/>
                <w:sz w:val="18"/>
                <w:szCs w:val="18"/>
                <w:lang w:eastAsia="es-CO"/>
                <w14:ligatures w14:val="none"/>
              </w:rPr>
              <w:t>Db</w:t>
            </w:r>
          </w:p>
        </w:tc>
        <w:tc>
          <w:tcPr>
            <w:tcW w:w="2638" w:type="pct"/>
            <w:vAlign w:val="center"/>
            <w:hideMark/>
          </w:tcPr>
          <w:p w14:paraId="6C3539E2" w14:textId="77777777" w:rsidR="00A32AC3" w:rsidRPr="00951AB1" w:rsidRDefault="00A32AC3" w:rsidP="000A5389">
            <w:pPr>
              <w:spacing w:line="240" w:lineRule="auto"/>
              <w:rPr>
                <w:rFonts w:eastAsia="Times New Roman" w:cs="Times New Roman"/>
                <w:b/>
                <w:color w:val="000000"/>
                <w:kern w:val="0"/>
                <w:sz w:val="18"/>
                <w:szCs w:val="18"/>
                <w:lang w:eastAsia="es-CO"/>
                <w14:ligatures w14:val="none"/>
              </w:rPr>
            </w:pPr>
            <w:r w:rsidRPr="00951AB1">
              <w:rPr>
                <w:rFonts w:eastAsia="Times New Roman" w:cs="Times New Roman"/>
                <w:b/>
                <w:color w:val="000000"/>
                <w:kern w:val="0"/>
                <w:sz w:val="18"/>
                <w:szCs w:val="18"/>
                <w:lang w:eastAsia="es-CO"/>
                <w14:ligatures w14:val="none"/>
              </w:rPr>
              <w:t>Garantías contractuales</w:t>
            </w:r>
          </w:p>
        </w:tc>
        <w:tc>
          <w:tcPr>
            <w:tcW w:w="969" w:type="pct"/>
            <w:noWrap/>
            <w:vAlign w:val="center"/>
            <w:hideMark/>
          </w:tcPr>
          <w:p w14:paraId="50FA8CA2" w14:textId="77777777" w:rsidR="00A32AC3" w:rsidRPr="00951AB1" w:rsidRDefault="00A32AC3" w:rsidP="000A5389">
            <w:pPr>
              <w:spacing w:line="240" w:lineRule="auto"/>
              <w:jc w:val="right"/>
              <w:rPr>
                <w:rFonts w:eastAsia="Times New Roman" w:cs="Times New Roman"/>
                <w:b/>
                <w:color w:val="000000"/>
                <w:kern w:val="0"/>
                <w:sz w:val="18"/>
                <w:szCs w:val="18"/>
                <w:lang w:eastAsia="es-CO"/>
                <w14:ligatures w14:val="none"/>
              </w:rPr>
            </w:pPr>
            <w:r w:rsidRPr="00951AB1">
              <w:rPr>
                <w:rFonts w:eastAsia="Times New Roman" w:cs="Times New Roman"/>
                <w:b/>
                <w:color w:val="000000"/>
                <w:kern w:val="0"/>
                <w:sz w:val="18"/>
                <w:szCs w:val="18"/>
                <w:lang w:eastAsia="es-CO"/>
                <w14:ligatures w14:val="none"/>
              </w:rPr>
              <w:t xml:space="preserve">7.920.964.593.976 </w:t>
            </w:r>
          </w:p>
        </w:tc>
        <w:tc>
          <w:tcPr>
            <w:tcW w:w="673" w:type="pct"/>
            <w:noWrap/>
            <w:vAlign w:val="center"/>
            <w:hideMark/>
          </w:tcPr>
          <w:p w14:paraId="36F214AB" w14:textId="77777777" w:rsidR="00A32AC3" w:rsidRPr="00951AB1" w:rsidRDefault="00A32AC3" w:rsidP="000A5389">
            <w:pPr>
              <w:spacing w:line="240" w:lineRule="auto"/>
              <w:jc w:val="center"/>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 xml:space="preserve">0 </w:t>
            </w:r>
          </w:p>
        </w:tc>
      </w:tr>
      <w:tr w:rsidR="00240AB6" w:rsidRPr="00951AB1" w14:paraId="6CB653A0" w14:textId="77777777" w:rsidTr="00706F14">
        <w:trPr>
          <w:trHeight w:val="285"/>
        </w:trPr>
        <w:tc>
          <w:tcPr>
            <w:tcW w:w="399" w:type="pct"/>
            <w:noWrap/>
            <w:vAlign w:val="center"/>
            <w:hideMark/>
          </w:tcPr>
          <w:p w14:paraId="7675FDDB" w14:textId="77777777" w:rsidR="00A32AC3" w:rsidRPr="00951AB1" w:rsidRDefault="00A32AC3" w:rsidP="000A5389">
            <w:pPr>
              <w:spacing w:line="240" w:lineRule="auto"/>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9.1.28.01</w:t>
            </w:r>
          </w:p>
        </w:tc>
        <w:tc>
          <w:tcPr>
            <w:tcW w:w="321" w:type="pct"/>
            <w:noWrap/>
            <w:vAlign w:val="center"/>
            <w:hideMark/>
          </w:tcPr>
          <w:p w14:paraId="2798B3F2" w14:textId="77777777" w:rsidR="00A32AC3" w:rsidRPr="00951AB1" w:rsidRDefault="00A32AC3" w:rsidP="000A5389">
            <w:pPr>
              <w:spacing w:line="240" w:lineRule="auto"/>
              <w:jc w:val="center"/>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Db</w:t>
            </w:r>
          </w:p>
        </w:tc>
        <w:tc>
          <w:tcPr>
            <w:tcW w:w="2638" w:type="pct"/>
            <w:vAlign w:val="center"/>
            <w:hideMark/>
          </w:tcPr>
          <w:p w14:paraId="283C1612" w14:textId="77777777" w:rsidR="00A32AC3" w:rsidRPr="00951AB1" w:rsidRDefault="00A32AC3" w:rsidP="000A5389">
            <w:pPr>
              <w:spacing w:line="240" w:lineRule="auto"/>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Acuerdos de concesión</w:t>
            </w:r>
          </w:p>
        </w:tc>
        <w:tc>
          <w:tcPr>
            <w:tcW w:w="969" w:type="pct"/>
            <w:noWrap/>
            <w:vAlign w:val="center"/>
            <w:hideMark/>
          </w:tcPr>
          <w:p w14:paraId="24276B23" w14:textId="77777777" w:rsidR="00A32AC3" w:rsidRPr="00951AB1" w:rsidRDefault="00A32AC3"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 xml:space="preserve">7.920.964.593.976 </w:t>
            </w:r>
          </w:p>
        </w:tc>
        <w:tc>
          <w:tcPr>
            <w:tcW w:w="673" w:type="pct"/>
            <w:noWrap/>
            <w:vAlign w:val="center"/>
            <w:hideMark/>
          </w:tcPr>
          <w:p w14:paraId="1745D2D8" w14:textId="77777777" w:rsidR="00A32AC3" w:rsidRPr="00951AB1" w:rsidRDefault="00A32AC3" w:rsidP="000A5389">
            <w:pPr>
              <w:spacing w:line="240" w:lineRule="auto"/>
              <w:jc w:val="center"/>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 xml:space="preserve">0 </w:t>
            </w:r>
          </w:p>
        </w:tc>
      </w:tr>
      <w:tr w:rsidR="00240AB6" w:rsidRPr="00951AB1" w14:paraId="39B2291A" w14:textId="77777777" w:rsidTr="00706F14">
        <w:trPr>
          <w:trHeight w:val="285"/>
        </w:trPr>
        <w:tc>
          <w:tcPr>
            <w:tcW w:w="399" w:type="pct"/>
            <w:noWrap/>
            <w:vAlign w:val="center"/>
            <w:hideMark/>
          </w:tcPr>
          <w:p w14:paraId="29B312F1" w14:textId="77777777" w:rsidR="00A32AC3" w:rsidRPr="00951AB1" w:rsidRDefault="00A32AC3" w:rsidP="000A5389">
            <w:pPr>
              <w:spacing w:line="240" w:lineRule="auto"/>
              <w:rPr>
                <w:rFonts w:eastAsia="Times New Roman" w:cs="Times New Roman"/>
                <w:b/>
                <w:color w:val="000000"/>
                <w:kern w:val="0"/>
                <w:sz w:val="18"/>
                <w:szCs w:val="18"/>
                <w:lang w:eastAsia="es-CO"/>
                <w14:ligatures w14:val="none"/>
              </w:rPr>
            </w:pPr>
            <w:r w:rsidRPr="00951AB1">
              <w:rPr>
                <w:rFonts w:eastAsia="Times New Roman" w:cs="Times New Roman"/>
                <w:b/>
                <w:color w:val="000000"/>
                <w:kern w:val="0"/>
                <w:sz w:val="18"/>
                <w:szCs w:val="18"/>
                <w:lang w:eastAsia="es-CO"/>
                <w14:ligatures w14:val="none"/>
              </w:rPr>
              <w:t>9.1.90</w:t>
            </w:r>
          </w:p>
        </w:tc>
        <w:tc>
          <w:tcPr>
            <w:tcW w:w="321" w:type="pct"/>
            <w:noWrap/>
            <w:vAlign w:val="center"/>
            <w:hideMark/>
          </w:tcPr>
          <w:p w14:paraId="55EA7E18" w14:textId="77777777" w:rsidR="00A32AC3" w:rsidRPr="00951AB1" w:rsidRDefault="00A32AC3" w:rsidP="000A5389">
            <w:pPr>
              <w:spacing w:line="240" w:lineRule="auto"/>
              <w:jc w:val="center"/>
              <w:rPr>
                <w:rFonts w:eastAsia="Times New Roman" w:cs="Times New Roman"/>
                <w:b/>
                <w:color w:val="000000"/>
                <w:kern w:val="0"/>
                <w:sz w:val="18"/>
                <w:szCs w:val="18"/>
                <w:lang w:eastAsia="es-CO"/>
                <w14:ligatures w14:val="none"/>
              </w:rPr>
            </w:pPr>
            <w:r w:rsidRPr="00951AB1">
              <w:rPr>
                <w:rFonts w:eastAsia="Times New Roman" w:cs="Times New Roman"/>
                <w:b/>
                <w:color w:val="000000"/>
                <w:kern w:val="0"/>
                <w:sz w:val="18"/>
                <w:szCs w:val="18"/>
                <w:lang w:eastAsia="es-CO"/>
                <w14:ligatures w14:val="none"/>
              </w:rPr>
              <w:t>Db</w:t>
            </w:r>
          </w:p>
        </w:tc>
        <w:tc>
          <w:tcPr>
            <w:tcW w:w="2638" w:type="pct"/>
            <w:vAlign w:val="center"/>
            <w:hideMark/>
          </w:tcPr>
          <w:p w14:paraId="1FF430B1" w14:textId="77777777" w:rsidR="00A32AC3" w:rsidRPr="00951AB1" w:rsidRDefault="00A32AC3" w:rsidP="000A5389">
            <w:pPr>
              <w:spacing w:line="240" w:lineRule="auto"/>
              <w:rPr>
                <w:rFonts w:eastAsia="Times New Roman" w:cs="Times New Roman"/>
                <w:b/>
                <w:color w:val="000000"/>
                <w:kern w:val="0"/>
                <w:sz w:val="18"/>
                <w:szCs w:val="18"/>
                <w:lang w:eastAsia="es-CO"/>
                <w14:ligatures w14:val="none"/>
              </w:rPr>
            </w:pPr>
            <w:r w:rsidRPr="00951AB1">
              <w:rPr>
                <w:rFonts w:eastAsia="Times New Roman" w:cs="Times New Roman"/>
                <w:b/>
                <w:color w:val="000000"/>
                <w:kern w:val="0"/>
                <w:sz w:val="18"/>
                <w:szCs w:val="18"/>
                <w:lang w:eastAsia="es-CO"/>
                <w14:ligatures w14:val="none"/>
              </w:rPr>
              <w:t>Otros pasivos contingentes</w:t>
            </w:r>
          </w:p>
        </w:tc>
        <w:tc>
          <w:tcPr>
            <w:tcW w:w="969" w:type="pct"/>
            <w:noWrap/>
            <w:vAlign w:val="center"/>
            <w:hideMark/>
          </w:tcPr>
          <w:p w14:paraId="75FCC533" w14:textId="77777777" w:rsidR="00A32AC3" w:rsidRPr="00951AB1" w:rsidRDefault="00A32AC3" w:rsidP="000A5389">
            <w:pPr>
              <w:spacing w:line="240" w:lineRule="auto"/>
              <w:jc w:val="right"/>
              <w:rPr>
                <w:rFonts w:eastAsia="Times New Roman" w:cs="Times New Roman"/>
                <w:b/>
                <w:color w:val="000000"/>
                <w:kern w:val="0"/>
                <w:sz w:val="18"/>
                <w:szCs w:val="18"/>
                <w:lang w:eastAsia="es-CO"/>
                <w14:ligatures w14:val="none"/>
              </w:rPr>
            </w:pPr>
            <w:r w:rsidRPr="00951AB1">
              <w:rPr>
                <w:rFonts w:eastAsia="Times New Roman" w:cs="Times New Roman"/>
                <w:b/>
                <w:color w:val="000000"/>
                <w:kern w:val="0"/>
                <w:sz w:val="18"/>
                <w:szCs w:val="18"/>
                <w:lang w:eastAsia="es-CO"/>
                <w14:ligatures w14:val="none"/>
              </w:rPr>
              <w:t xml:space="preserve">0 </w:t>
            </w:r>
          </w:p>
        </w:tc>
        <w:tc>
          <w:tcPr>
            <w:tcW w:w="673" w:type="pct"/>
            <w:noWrap/>
            <w:vAlign w:val="center"/>
            <w:hideMark/>
          </w:tcPr>
          <w:p w14:paraId="7D2619A1" w14:textId="77777777" w:rsidR="00A32AC3" w:rsidRPr="00951AB1" w:rsidRDefault="00A32AC3" w:rsidP="000A5389">
            <w:pPr>
              <w:spacing w:line="240" w:lineRule="auto"/>
              <w:jc w:val="center"/>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 xml:space="preserve">0 </w:t>
            </w:r>
          </w:p>
        </w:tc>
      </w:tr>
      <w:tr w:rsidR="00240AB6" w:rsidRPr="00951AB1" w14:paraId="4C0852ED" w14:textId="77777777" w:rsidTr="00706F14">
        <w:trPr>
          <w:trHeight w:val="300"/>
        </w:trPr>
        <w:tc>
          <w:tcPr>
            <w:tcW w:w="399" w:type="pct"/>
            <w:noWrap/>
            <w:vAlign w:val="center"/>
            <w:hideMark/>
          </w:tcPr>
          <w:p w14:paraId="02DFAEC7" w14:textId="77777777" w:rsidR="00A32AC3" w:rsidRPr="00951AB1" w:rsidRDefault="00A32AC3" w:rsidP="000A5389">
            <w:pPr>
              <w:spacing w:line="240" w:lineRule="auto"/>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9.1.90.90</w:t>
            </w:r>
          </w:p>
        </w:tc>
        <w:tc>
          <w:tcPr>
            <w:tcW w:w="321" w:type="pct"/>
            <w:noWrap/>
            <w:vAlign w:val="center"/>
            <w:hideMark/>
          </w:tcPr>
          <w:p w14:paraId="5A40C416" w14:textId="77777777" w:rsidR="00A32AC3" w:rsidRPr="00951AB1" w:rsidRDefault="00A32AC3" w:rsidP="000A5389">
            <w:pPr>
              <w:spacing w:line="240" w:lineRule="auto"/>
              <w:jc w:val="center"/>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Db</w:t>
            </w:r>
          </w:p>
        </w:tc>
        <w:tc>
          <w:tcPr>
            <w:tcW w:w="2638" w:type="pct"/>
            <w:vAlign w:val="center"/>
            <w:hideMark/>
          </w:tcPr>
          <w:p w14:paraId="01AF57E4" w14:textId="77777777" w:rsidR="00A32AC3" w:rsidRPr="00951AB1" w:rsidRDefault="00A32AC3" w:rsidP="000A5389">
            <w:pPr>
              <w:spacing w:line="240" w:lineRule="auto"/>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Otros pasivos contingentes</w:t>
            </w:r>
          </w:p>
        </w:tc>
        <w:tc>
          <w:tcPr>
            <w:tcW w:w="969" w:type="pct"/>
            <w:noWrap/>
            <w:vAlign w:val="center"/>
            <w:hideMark/>
          </w:tcPr>
          <w:p w14:paraId="3ECB6C6B" w14:textId="77777777" w:rsidR="00A32AC3" w:rsidRPr="00951AB1" w:rsidRDefault="00A32AC3"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 xml:space="preserve">0 </w:t>
            </w:r>
          </w:p>
        </w:tc>
        <w:tc>
          <w:tcPr>
            <w:tcW w:w="673" w:type="pct"/>
            <w:noWrap/>
            <w:vAlign w:val="center"/>
            <w:hideMark/>
          </w:tcPr>
          <w:p w14:paraId="1D0B0D42" w14:textId="77777777" w:rsidR="00A32AC3" w:rsidRPr="00951AB1" w:rsidRDefault="00A32AC3" w:rsidP="000A5389">
            <w:pPr>
              <w:spacing w:line="240" w:lineRule="auto"/>
              <w:jc w:val="center"/>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 xml:space="preserve">0 </w:t>
            </w:r>
          </w:p>
        </w:tc>
      </w:tr>
    </w:tbl>
    <w:p w14:paraId="74552AD7" w14:textId="77777777" w:rsidR="00706F14" w:rsidRPr="00951AB1" w:rsidRDefault="00706F14" w:rsidP="000A5389">
      <w:pPr>
        <w:spacing w:line="240" w:lineRule="auto"/>
        <w:rPr>
          <w:rFonts w:cs="Times New Roman"/>
          <w:sz w:val="14"/>
          <w:szCs w:val="14"/>
        </w:rPr>
      </w:pPr>
      <w:r w:rsidRPr="00951AB1">
        <w:rPr>
          <w:rFonts w:cs="Times New Roman"/>
          <w:sz w:val="14"/>
          <w:szCs w:val="14"/>
        </w:rPr>
        <w:t xml:space="preserve">Cifras expresadas en pesos </w:t>
      </w:r>
    </w:p>
    <w:p w14:paraId="4D000CCB" w14:textId="77777777" w:rsidR="00A32AC3" w:rsidRPr="00951AB1" w:rsidRDefault="00A32AC3" w:rsidP="000A5389">
      <w:pPr>
        <w:spacing w:line="240" w:lineRule="auto"/>
        <w:rPr>
          <w:rFonts w:cs="Times New Roman"/>
          <w:szCs w:val="24"/>
        </w:rPr>
      </w:pPr>
    </w:p>
    <w:p w14:paraId="3161EF4A" w14:textId="77777777" w:rsidR="000665F9" w:rsidRPr="00951AB1" w:rsidRDefault="000665F9" w:rsidP="000A5389">
      <w:pPr>
        <w:shd w:val="clear" w:color="auto" w:fill="FFFFFF"/>
        <w:spacing w:line="240" w:lineRule="auto"/>
        <w:textAlignment w:val="baseline"/>
        <w:rPr>
          <w:rFonts w:cs="Times New Roman"/>
          <w:i/>
          <w:iCs/>
          <w:szCs w:val="24"/>
        </w:rPr>
      </w:pPr>
      <w:r w:rsidRPr="00951AB1">
        <w:rPr>
          <w:rFonts w:cs="Times New Roman"/>
          <w:i/>
          <w:iCs/>
          <w:szCs w:val="24"/>
        </w:rPr>
        <w:t>PROCESOS ADMINISTRATIVOS</w:t>
      </w:r>
    </w:p>
    <w:p w14:paraId="1525AFB8" w14:textId="77777777" w:rsidR="000665F9" w:rsidRPr="00951AB1" w:rsidRDefault="000665F9" w:rsidP="000A5389">
      <w:pPr>
        <w:shd w:val="clear" w:color="auto" w:fill="FFFFFF"/>
        <w:spacing w:line="240" w:lineRule="auto"/>
        <w:textAlignment w:val="baseline"/>
        <w:rPr>
          <w:rFonts w:cs="Times New Roman"/>
          <w:szCs w:val="24"/>
        </w:rPr>
      </w:pPr>
    </w:p>
    <w:p w14:paraId="61D2E468" w14:textId="77777777" w:rsidR="000665F9" w:rsidRPr="00951AB1" w:rsidRDefault="000665F9" w:rsidP="000A5389">
      <w:pPr>
        <w:shd w:val="clear" w:color="auto" w:fill="FFFFFF" w:themeFill="background1"/>
        <w:spacing w:line="240" w:lineRule="auto"/>
        <w:textAlignment w:val="baseline"/>
        <w:rPr>
          <w:rFonts w:cs="Times New Roman"/>
          <w:szCs w:val="24"/>
        </w:rPr>
      </w:pPr>
      <w:r w:rsidRPr="00951AB1">
        <w:rPr>
          <w:rFonts w:cs="Times New Roman"/>
          <w:i/>
          <w:szCs w:val="24"/>
        </w:rPr>
        <w:t>NATURALEZA DEL PASIVO CONTINGENTE:</w:t>
      </w:r>
      <w:r w:rsidRPr="00951AB1">
        <w:rPr>
          <w:rFonts w:cs="Times New Roman"/>
          <w:szCs w:val="24"/>
        </w:rPr>
        <w:t xml:space="preserve"> Con relación a los procesos administrativos, el Grupo Interno de Trabajo de Defensa Judicial de la Vicepresidencia Jurídica, mediante el Sistema Único de Gestión e Información Litigiosa del Estado eKogui - </w:t>
      </w:r>
      <w:r w:rsidRPr="00951AB1">
        <w:rPr>
          <w:rFonts w:cs="Times New Roman"/>
          <w:i/>
          <w:szCs w:val="24"/>
        </w:rPr>
        <w:t>"Reporte Procesos Judiciales</w:t>
      </w:r>
      <w:r w:rsidRPr="00951AB1">
        <w:rPr>
          <w:rFonts w:cs="Times New Roman"/>
          <w:i/>
          <w:iCs/>
          <w:szCs w:val="24"/>
        </w:rPr>
        <w:t xml:space="preserve"> de la Entidad - Activos</w:t>
      </w:r>
      <w:r w:rsidRPr="00951AB1">
        <w:rPr>
          <w:rFonts w:cs="Times New Roman"/>
          <w:i/>
          <w:szCs w:val="24"/>
        </w:rPr>
        <w:t>"</w:t>
      </w:r>
      <w:r w:rsidRPr="00951AB1">
        <w:rPr>
          <w:rFonts w:cs="Times New Roman"/>
          <w:szCs w:val="24"/>
        </w:rPr>
        <w:t xml:space="preserve"> a 31 de diciembre de 2025, reportó lo siguiente: se encuentran diferentes medios de control, así: </w:t>
      </w:r>
    </w:p>
    <w:p w14:paraId="72915D51" w14:textId="77777777" w:rsidR="000665F9" w:rsidRPr="00951AB1" w:rsidRDefault="000665F9" w:rsidP="000A5389">
      <w:pPr>
        <w:shd w:val="clear" w:color="auto" w:fill="FFFFFF" w:themeFill="background1"/>
        <w:spacing w:line="240" w:lineRule="auto"/>
        <w:textAlignment w:val="baseline"/>
        <w:rPr>
          <w:rFonts w:cs="Times New Roman"/>
          <w:szCs w:val="24"/>
        </w:rPr>
      </w:pPr>
    </w:p>
    <w:p w14:paraId="57C7E849" w14:textId="18C1DE2E" w:rsidR="000665F9" w:rsidRPr="00951AB1" w:rsidRDefault="000665F9" w:rsidP="000A5389">
      <w:pPr>
        <w:shd w:val="clear" w:color="auto" w:fill="FFFFFF" w:themeFill="background1"/>
        <w:spacing w:line="240" w:lineRule="auto"/>
        <w:textAlignment w:val="baseline"/>
        <w:rPr>
          <w:rFonts w:cs="Times New Roman"/>
        </w:rPr>
      </w:pPr>
      <w:r w:rsidRPr="00951AB1">
        <w:rPr>
          <w:rFonts w:cs="Times New Roman"/>
          <w:szCs w:val="24"/>
        </w:rPr>
        <w:t xml:space="preserve">Dentro de esta categoría de procesos, se encuentran diferentes medios de control, así: </w:t>
      </w:r>
    </w:p>
    <w:p w14:paraId="2B271B20" w14:textId="77777777" w:rsidR="000665F9" w:rsidRPr="00951AB1" w:rsidRDefault="000665F9" w:rsidP="000A5389">
      <w:pPr>
        <w:pStyle w:val="Prrafodelista"/>
        <w:numPr>
          <w:ilvl w:val="0"/>
          <w:numId w:val="26"/>
        </w:numPr>
        <w:shd w:val="clear" w:color="auto" w:fill="FFFFFF" w:themeFill="background1"/>
        <w:spacing w:line="240" w:lineRule="auto"/>
        <w:textAlignment w:val="baseline"/>
        <w:rPr>
          <w:rFonts w:cs="Times New Roman"/>
          <w:szCs w:val="24"/>
        </w:rPr>
      </w:pPr>
      <w:r w:rsidRPr="00951AB1">
        <w:rPr>
          <w:rFonts w:cs="Times New Roman"/>
          <w:szCs w:val="24"/>
        </w:rPr>
        <w:t xml:space="preserve">Treinta y tres (33) procesos de controversias contractuales registrados contablemente en cuentas de orden por la suma de $ 457.110.003.601, relacionados entre otros, con contratos de adquisición predial, liquidación de contratos o actos sancionatorios contractuales. </w:t>
      </w:r>
    </w:p>
    <w:p w14:paraId="27FD1F1F" w14:textId="12584B6D" w:rsidR="000665F9" w:rsidRPr="00951AB1" w:rsidRDefault="000665F9" w:rsidP="000A5389">
      <w:pPr>
        <w:pStyle w:val="Prrafodelista"/>
        <w:numPr>
          <w:ilvl w:val="0"/>
          <w:numId w:val="26"/>
        </w:numPr>
        <w:shd w:val="clear" w:color="auto" w:fill="FFFFFF" w:themeFill="background1"/>
        <w:spacing w:line="240" w:lineRule="auto"/>
        <w:textAlignment w:val="baseline"/>
        <w:rPr>
          <w:rFonts w:cs="Times New Roman"/>
          <w:szCs w:val="24"/>
        </w:rPr>
      </w:pPr>
      <w:r w:rsidRPr="00951AB1">
        <w:rPr>
          <w:rFonts w:cs="Times New Roman"/>
          <w:szCs w:val="24"/>
        </w:rPr>
        <w:t xml:space="preserve">Cuatro (04) procesos de cumplimiento de normas con fuerza material de ley o de actos administrativos relacionados entre otros, con daños a bienes por ejecución de obra pública </w:t>
      </w:r>
      <w:r w:rsidRPr="00951AB1">
        <w:rPr>
          <w:rFonts w:cs="Times New Roman"/>
          <w:szCs w:val="24"/>
        </w:rPr>
        <w:lastRenderedPageBreak/>
        <w:t>e incumplimiento de norma jurídica, registrados un (01) contablemente en cuentas de orden por la suma de $ 1.110.985.482.</w:t>
      </w:r>
    </w:p>
    <w:p w14:paraId="6F4AF819" w14:textId="15E6298B" w:rsidR="000665F9" w:rsidRPr="00951AB1" w:rsidRDefault="000665F9" w:rsidP="000A5389">
      <w:pPr>
        <w:pStyle w:val="Prrafodelista"/>
        <w:numPr>
          <w:ilvl w:val="0"/>
          <w:numId w:val="26"/>
        </w:numPr>
        <w:shd w:val="clear" w:color="auto" w:fill="FFFFFF" w:themeFill="background1"/>
        <w:spacing w:line="240" w:lineRule="auto"/>
        <w:textAlignment w:val="baseline"/>
        <w:rPr>
          <w:rFonts w:cs="Times New Roman"/>
          <w:szCs w:val="24"/>
        </w:rPr>
      </w:pPr>
      <w:r w:rsidRPr="00951AB1">
        <w:rPr>
          <w:rFonts w:cs="Times New Roman"/>
          <w:szCs w:val="24"/>
        </w:rPr>
        <w:t>Seis (6) procesos ejecutivos no registrados contablemente en cuentas de orden por valor presente contingencia sugerido reportado en $ 0 por ser acción y control ejecutivo, los cuales se califican, pero no generan valor a contabilizar.</w:t>
      </w:r>
    </w:p>
    <w:p w14:paraId="2E456B3C" w14:textId="28F9FD42" w:rsidR="000665F9" w:rsidRPr="00951AB1" w:rsidRDefault="000665F9" w:rsidP="000A5389">
      <w:pPr>
        <w:pStyle w:val="Prrafodelista"/>
        <w:numPr>
          <w:ilvl w:val="0"/>
          <w:numId w:val="26"/>
        </w:numPr>
        <w:shd w:val="clear" w:color="auto" w:fill="FFFFFF" w:themeFill="background1"/>
        <w:spacing w:line="240" w:lineRule="auto"/>
        <w:textAlignment w:val="baseline"/>
        <w:rPr>
          <w:rFonts w:cs="Times New Roman"/>
          <w:szCs w:val="24"/>
        </w:rPr>
      </w:pPr>
      <w:r w:rsidRPr="00951AB1">
        <w:rPr>
          <w:rFonts w:cs="Times New Roman"/>
          <w:szCs w:val="24"/>
        </w:rPr>
        <w:t>Siete (7) procesos de acción de simple nulidad que, por su naturaleza, no presenta valor de pretensiones y busca, atacar la validez de actos administrativos de carácter general.</w:t>
      </w:r>
    </w:p>
    <w:p w14:paraId="182E0C05" w14:textId="6D766A34" w:rsidR="000665F9" w:rsidRPr="00951AB1" w:rsidRDefault="000665F9" w:rsidP="000A5389">
      <w:pPr>
        <w:pStyle w:val="Prrafodelista"/>
        <w:numPr>
          <w:ilvl w:val="0"/>
          <w:numId w:val="26"/>
        </w:numPr>
        <w:shd w:val="clear" w:color="auto" w:fill="FFFFFF" w:themeFill="background1"/>
        <w:spacing w:line="240" w:lineRule="auto"/>
        <w:textAlignment w:val="baseline"/>
        <w:rPr>
          <w:rFonts w:cs="Times New Roman"/>
          <w:szCs w:val="24"/>
        </w:rPr>
      </w:pPr>
      <w:r w:rsidRPr="00951AB1">
        <w:rPr>
          <w:rFonts w:cs="Times New Roman"/>
          <w:szCs w:val="24"/>
        </w:rPr>
        <w:t>Treinta y dos (32) procesos con pretensiones de nulidad y restablecimiento del derecho, de los cuales veinticinco (25) con registro contable en cuentas de orden por valor de $ 100.051.878.455, cuya pretensión está dirigida a atacar la validez de actos administrativos expedidos por la entidad en su mayoría relacionados con inicio de procesos de expropiación.</w:t>
      </w:r>
    </w:p>
    <w:p w14:paraId="60437D0F" w14:textId="436DA51F" w:rsidR="000665F9" w:rsidRPr="00951AB1" w:rsidRDefault="000665F9" w:rsidP="000A5389">
      <w:pPr>
        <w:pStyle w:val="Prrafodelista"/>
        <w:numPr>
          <w:ilvl w:val="0"/>
          <w:numId w:val="26"/>
        </w:numPr>
        <w:shd w:val="clear" w:color="auto" w:fill="FFFFFF" w:themeFill="background1"/>
        <w:spacing w:line="240" w:lineRule="auto"/>
        <w:textAlignment w:val="baseline"/>
        <w:rPr>
          <w:rFonts w:cs="Times New Roman"/>
          <w:szCs w:val="24"/>
        </w:rPr>
      </w:pPr>
      <w:r w:rsidRPr="00951AB1">
        <w:rPr>
          <w:rFonts w:cs="Times New Roman"/>
          <w:szCs w:val="24"/>
        </w:rPr>
        <w:t xml:space="preserve">Ciento veintiocho (128) acciones populares, promovidas por los ciudadanos en procura de la protección de los derechos colectivos, principalmente al medio ambiente sano, a la moralidad administrativa, seguridad y prevención de desastres, entre otros; que en su mayoría no presentan cuantía, toda vez que, por su naturaleza, no es un medio de control de carácter indemnizatorio, no obstante, en </w:t>
      </w:r>
      <w:r w:rsidR="2F28E8FD" w:rsidRPr="5B0C84B6">
        <w:rPr>
          <w:rFonts w:cs="Times New Roman"/>
          <w:szCs w:val="24"/>
        </w:rPr>
        <w:t>c</w:t>
      </w:r>
      <w:r w:rsidR="32635467" w:rsidRPr="5B0C84B6">
        <w:rPr>
          <w:rFonts w:cs="Times New Roman"/>
          <w:szCs w:val="24"/>
        </w:rPr>
        <w:t>inco</w:t>
      </w:r>
      <w:r w:rsidRPr="00951AB1">
        <w:rPr>
          <w:rFonts w:cs="Times New Roman"/>
          <w:szCs w:val="24"/>
        </w:rPr>
        <w:t xml:space="preserve"> (5) de ellas, los actores populares, incluyeron cuantificación de las obras pretendidas, por lo que no genera un registro contable en cuentas de orden.</w:t>
      </w:r>
    </w:p>
    <w:p w14:paraId="1821909A" w14:textId="77777777" w:rsidR="000665F9" w:rsidRPr="00951AB1" w:rsidRDefault="000665F9" w:rsidP="000A5389">
      <w:pPr>
        <w:pStyle w:val="Prrafodelista"/>
        <w:numPr>
          <w:ilvl w:val="0"/>
          <w:numId w:val="26"/>
        </w:numPr>
        <w:shd w:val="clear" w:color="auto" w:fill="FFFFFF" w:themeFill="background1"/>
        <w:spacing w:line="240" w:lineRule="auto"/>
        <w:textAlignment w:val="baseline"/>
        <w:rPr>
          <w:rFonts w:cs="Times New Roman"/>
          <w:szCs w:val="24"/>
        </w:rPr>
      </w:pPr>
      <w:r w:rsidRPr="00951AB1">
        <w:rPr>
          <w:rFonts w:cs="Times New Roman"/>
          <w:szCs w:val="24"/>
        </w:rPr>
        <w:t>Doce (12) acciones de grupo, de las cuales diez (10) registradas contablemente en cuentas de orden por la suma de $24.225.456.674.885, promovidos por grupos de ciudadanos que reclaman indemnización de perjuicios, morales y materiales por un mismo hecho, por vía de ejemplo.</w:t>
      </w:r>
    </w:p>
    <w:p w14:paraId="73137C17" w14:textId="77777777" w:rsidR="000665F9" w:rsidRPr="00951AB1" w:rsidRDefault="000665F9" w:rsidP="000A5389">
      <w:pPr>
        <w:pStyle w:val="Prrafodelista"/>
        <w:numPr>
          <w:ilvl w:val="0"/>
          <w:numId w:val="26"/>
        </w:numPr>
        <w:shd w:val="clear" w:color="auto" w:fill="FFFFFF"/>
        <w:spacing w:line="240" w:lineRule="auto"/>
        <w:textAlignment w:val="baseline"/>
        <w:rPr>
          <w:rFonts w:cs="Times New Roman"/>
          <w:szCs w:val="24"/>
        </w:rPr>
      </w:pPr>
      <w:r w:rsidRPr="00951AB1">
        <w:rPr>
          <w:rFonts w:cs="Times New Roman"/>
          <w:szCs w:val="24"/>
        </w:rPr>
        <w:t>Setecientos ochenta y un (781) procesos de reparación directa registrados (765) en cuentas de orden por la suma de $1.235.996.867.890, promovidos para la indemnización de perjuicios morales y materiales presuntamente causados con ocasión de la gestión adelantada en desarrollo de los proyectos de infraestructura a cargo de la entidad, particularmente por accidentes de tránsito, ocupación de inmuebles, daños causados a predios por el desarrollo de las obras, entre otros.</w:t>
      </w:r>
    </w:p>
    <w:p w14:paraId="1F5C22AB" w14:textId="77777777" w:rsidR="000665F9" w:rsidRPr="00951AB1" w:rsidRDefault="000665F9" w:rsidP="000A5389">
      <w:pPr>
        <w:spacing w:line="240" w:lineRule="auto"/>
        <w:rPr>
          <w:rFonts w:cs="Times New Roman"/>
        </w:rPr>
      </w:pPr>
    </w:p>
    <w:p w14:paraId="2CAAB684" w14:textId="77777777" w:rsidR="000665F9" w:rsidRPr="00951AB1" w:rsidRDefault="000665F9" w:rsidP="000A5389">
      <w:pPr>
        <w:spacing w:line="240" w:lineRule="auto"/>
        <w:rPr>
          <w:rFonts w:cs="Times New Roman"/>
          <w:szCs w:val="24"/>
        </w:rPr>
      </w:pPr>
      <w:r w:rsidRPr="00951AB1">
        <w:rPr>
          <w:rFonts w:cs="Times New Roman"/>
          <w:i/>
          <w:szCs w:val="24"/>
        </w:rPr>
        <w:t>INCERTIDUMBRES ASOCIADAS AL VALOR</w:t>
      </w:r>
      <w:r w:rsidRPr="00951AB1">
        <w:rPr>
          <w:rFonts w:cs="Times New Roman"/>
          <w:szCs w:val="24"/>
        </w:rPr>
        <w:t xml:space="preserve">: Frente a los procesos descritos en el acápite anterior, la incertidumbre es alta, toda vez que son diversas las categorías de pretensiones formuladas por los demandantes y/o accionantes, que incluyen entre otros, el reconocimiento de perjuicios morales y materiales, sumado al hecho que, en este tipo de procesos son numerosos y diversos los demandados. </w:t>
      </w:r>
    </w:p>
    <w:p w14:paraId="2C28A8DE" w14:textId="77777777" w:rsidR="000665F9" w:rsidRPr="00951AB1" w:rsidRDefault="000665F9" w:rsidP="000A5389">
      <w:pPr>
        <w:spacing w:line="240" w:lineRule="auto"/>
        <w:rPr>
          <w:rFonts w:cs="Times New Roman"/>
          <w:szCs w:val="24"/>
        </w:rPr>
      </w:pPr>
    </w:p>
    <w:p w14:paraId="2EE307FE" w14:textId="77777777" w:rsidR="000665F9" w:rsidRPr="00951AB1" w:rsidRDefault="000665F9" w:rsidP="000A5389">
      <w:pPr>
        <w:spacing w:line="240" w:lineRule="auto"/>
        <w:rPr>
          <w:rFonts w:cs="Times New Roman"/>
          <w:szCs w:val="24"/>
        </w:rPr>
      </w:pPr>
      <w:r w:rsidRPr="00951AB1">
        <w:rPr>
          <w:rFonts w:cs="Times New Roman"/>
          <w:i/>
          <w:szCs w:val="24"/>
        </w:rPr>
        <w:t xml:space="preserve">INCERTIDUMBRES ASOCIADAS CON LA FECHA: </w:t>
      </w:r>
      <w:r w:rsidRPr="00951AB1">
        <w:rPr>
          <w:rFonts w:cs="Times New Roman"/>
          <w:szCs w:val="24"/>
        </w:rPr>
        <w:t xml:space="preserve">La incertidumbre asociada con la fecha es alta, toda vez que, los procesos que se encuentran en diferentes etapas, siendo complejo determinar la fecha exacta en que se contaría con la decisión en firme por parte de los despachos judiciales, no obstante, lo cual, se tiene que, los eventuales pagos deban realizarse en un promedio de 2 a 5 años. </w:t>
      </w:r>
    </w:p>
    <w:p w14:paraId="56B66FB7" w14:textId="77777777" w:rsidR="000665F9" w:rsidRPr="00951AB1" w:rsidRDefault="000665F9" w:rsidP="000A5389">
      <w:pPr>
        <w:spacing w:line="240" w:lineRule="auto"/>
        <w:rPr>
          <w:rFonts w:cs="Times New Roman"/>
          <w:szCs w:val="24"/>
          <w:highlight w:val="yellow"/>
        </w:rPr>
      </w:pPr>
    </w:p>
    <w:p w14:paraId="2FE8B485" w14:textId="77777777" w:rsidR="000665F9" w:rsidRPr="00951AB1" w:rsidRDefault="000665F9" w:rsidP="000A5389">
      <w:pPr>
        <w:shd w:val="clear" w:color="auto" w:fill="FFFFFF"/>
        <w:spacing w:line="240" w:lineRule="auto"/>
        <w:textAlignment w:val="baseline"/>
        <w:rPr>
          <w:rFonts w:cs="Times New Roman"/>
          <w:i/>
          <w:iCs/>
          <w:szCs w:val="24"/>
        </w:rPr>
      </w:pPr>
      <w:r w:rsidRPr="00951AB1">
        <w:rPr>
          <w:rFonts w:cs="Times New Roman"/>
          <w:i/>
          <w:iCs/>
          <w:szCs w:val="24"/>
        </w:rPr>
        <w:t>PROCESOS OTROS LITIGIOS Y MECANISMOS ALTERNATIVOS DE SOLUCIÓN DE CONFLICTOS</w:t>
      </w:r>
    </w:p>
    <w:p w14:paraId="0D622185" w14:textId="77777777" w:rsidR="000665F9" w:rsidRPr="00951AB1" w:rsidRDefault="000665F9" w:rsidP="000A5389">
      <w:pPr>
        <w:shd w:val="clear" w:color="auto" w:fill="FFFFFF"/>
        <w:spacing w:line="240" w:lineRule="auto"/>
        <w:textAlignment w:val="baseline"/>
        <w:rPr>
          <w:rFonts w:cs="Times New Roman"/>
          <w:szCs w:val="24"/>
        </w:rPr>
      </w:pPr>
    </w:p>
    <w:p w14:paraId="08AC9E92" w14:textId="77777777" w:rsidR="000665F9" w:rsidRPr="00951AB1" w:rsidRDefault="000665F9" w:rsidP="000A5389">
      <w:pPr>
        <w:spacing w:line="240" w:lineRule="auto"/>
        <w:rPr>
          <w:rFonts w:cs="Times New Roman"/>
          <w:szCs w:val="24"/>
        </w:rPr>
      </w:pPr>
      <w:r w:rsidRPr="00951AB1">
        <w:rPr>
          <w:rFonts w:cs="Times New Roman"/>
          <w:i/>
          <w:szCs w:val="24"/>
        </w:rPr>
        <w:t>NATURALEZA DEL PASIVO CONTINGENTE</w:t>
      </w:r>
      <w:r w:rsidRPr="00951AB1">
        <w:rPr>
          <w:rFonts w:cs="Times New Roman"/>
          <w:szCs w:val="24"/>
        </w:rPr>
        <w:t xml:space="preserve">: En materia de procesos arbitrales, los procesos en contra inician por convocatoria directa que realizan los concesionario o interventorías (en cuyo contrato contemple la cláusula compromisoria) o a través de la figura de la demanda de reconvención presentada por el concesionario o interventoría, en el marco de procesos en los que la ANI actuó como convocante (demandante). </w:t>
      </w:r>
    </w:p>
    <w:p w14:paraId="7213815E" w14:textId="77777777" w:rsidR="007B228B" w:rsidRPr="00951AB1" w:rsidRDefault="007B228B" w:rsidP="000A5389">
      <w:pPr>
        <w:spacing w:line="240" w:lineRule="auto"/>
        <w:rPr>
          <w:rFonts w:cs="Times New Roman"/>
          <w:color w:val="000000"/>
          <w:szCs w:val="24"/>
        </w:rPr>
      </w:pPr>
      <w:r w:rsidRPr="00951AB1">
        <w:rPr>
          <w:rFonts w:cs="Times New Roman"/>
          <w:szCs w:val="24"/>
        </w:rPr>
        <w:t xml:space="preserve">Hecha esta aclaración, con relación a los procesos arbitrales, el Grupo Interno de Trabajo de Defensa Judicial de la Vicepresidencia Jurídica, mediante el formato GEJU-F-010 - Reporte de Tribunales de Arbitramento a 31 de diciembre de 2025, reportó nueve (9) tramites arbitrales, iniciados por los concesionarios, a través de los cuales, pretenden dirimir controversias derivadas de la ejecución de los contratos de concesión, de los cuales siete (7) se encuentran registrados en cuentas de orden por la suma de $936.795.640.385 y dos (2) con </w:t>
      </w:r>
      <w:r w:rsidRPr="00951AB1">
        <w:rPr>
          <w:rFonts w:cs="Times New Roman"/>
          <w:color w:val="000000"/>
          <w:szCs w:val="24"/>
        </w:rPr>
        <w:t>valor $0 de valor presente contingente y no son objeto de contabilización.</w:t>
      </w:r>
    </w:p>
    <w:p w14:paraId="3C3ADB97" w14:textId="77777777" w:rsidR="000665F9" w:rsidRPr="00951AB1" w:rsidRDefault="000665F9" w:rsidP="000A5389">
      <w:pPr>
        <w:spacing w:line="240" w:lineRule="auto"/>
        <w:rPr>
          <w:rFonts w:cs="Times New Roman"/>
        </w:rPr>
      </w:pPr>
    </w:p>
    <w:p w14:paraId="3906FCF5" w14:textId="77777777" w:rsidR="000665F9" w:rsidRPr="00951AB1" w:rsidRDefault="000665F9" w:rsidP="000A5389">
      <w:pPr>
        <w:spacing w:line="240" w:lineRule="auto"/>
        <w:rPr>
          <w:rFonts w:cs="Times New Roman"/>
          <w:szCs w:val="24"/>
        </w:rPr>
      </w:pPr>
      <w:r w:rsidRPr="00951AB1">
        <w:rPr>
          <w:rFonts w:cs="Times New Roman"/>
          <w:i/>
          <w:szCs w:val="24"/>
        </w:rPr>
        <w:t>INCERTIDUMBRES ASOCIADAS AL VALOR:</w:t>
      </w:r>
      <w:r w:rsidRPr="00951AB1">
        <w:rPr>
          <w:rFonts w:cs="Times New Roman"/>
          <w:szCs w:val="24"/>
        </w:rPr>
        <w:t xml:space="preserve"> Frente a los procesos descritos en el acápite anterior, la incertidumbre respecto al valor es alta, por cuanto dependen de un exigente nivel de análisis por parte del Tribunal, en cuanto a niveles de responsabilidad, elementos probatorios, diversidad de pretensiones, entre otros. </w:t>
      </w:r>
    </w:p>
    <w:p w14:paraId="5C231952" w14:textId="541B3859" w:rsidR="000665F9" w:rsidRPr="00951AB1" w:rsidRDefault="000665F9" w:rsidP="000A5389">
      <w:pPr>
        <w:spacing w:line="240" w:lineRule="auto"/>
        <w:rPr>
          <w:rFonts w:cs="Times New Roman"/>
          <w:szCs w:val="24"/>
        </w:rPr>
      </w:pPr>
      <w:r w:rsidRPr="00951AB1">
        <w:rPr>
          <w:rFonts w:cs="Times New Roman"/>
          <w:i/>
          <w:szCs w:val="24"/>
        </w:rPr>
        <w:t>INCERTIDUMBRES ASOCIADAS CON LA FECHA:</w:t>
      </w:r>
      <w:r w:rsidRPr="00951AB1">
        <w:rPr>
          <w:rFonts w:cs="Times New Roman"/>
          <w:szCs w:val="24"/>
        </w:rPr>
        <w:t xml:space="preserve"> </w:t>
      </w:r>
      <w:r w:rsidR="00A839A6" w:rsidRPr="00951AB1">
        <w:rPr>
          <w:rFonts w:cs="Times New Roman"/>
          <w:szCs w:val="24"/>
        </w:rPr>
        <w:t>Teniendo en cuenta el límite que la ley impone a la duración de los tramites arbitrales, la incertidumbre asociada con la fecha es media, pues una vez que el Tribunal asume competencia, esto es en la audiencia primera de trámite (una vez agotada las etapas de contestación de la demanda principal y reformada- si a ello hubiera lugar-; contestación de la demanda de reconvención principal y reformada- si a ello hubiera lugar-; y la audiencia de conciliación), el trámite arbitral tendría una duración máxima de 12 meses aproximadamente.</w:t>
      </w:r>
    </w:p>
    <w:p w14:paraId="7ABA8ECF" w14:textId="21340FB3" w:rsidR="00A839A6" w:rsidRPr="00951AB1" w:rsidRDefault="00A839A6" w:rsidP="000A5389">
      <w:pPr>
        <w:spacing w:line="240" w:lineRule="auto"/>
        <w:rPr>
          <w:rFonts w:cs="Times New Roman"/>
          <w:szCs w:val="24"/>
        </w:rPr>
      </w:pPr>
      <w:r w:rsidRPr="00951AB1">
        <w:rPr>
          <w:rFonts w:cs="Times New Roman"/>
          <w:szCs w:val="24"/>
        </w:rPr>
        <w:t>Así mismo, en la subcuenta contable Otros litigios y mecanismos alternativos de solución de conflictos, se encuentra registrado un valor de $130.958.463.244, que corresponde a la diferencia entre el valor de la condena ejecutoriada por $247.514.887.954, por el fallo del laudo Arbitral No. 5206 del 15-05-2020, en el que condenó a la ANI a reconocerle a YUMA CONCESIONARIA S.A., como obra adicional, el valor de seis (6) variantes no previstas y adicionales al Pliego de Condiciones de la Licitación, por valores de $60.122.210.599 y $56.434.214.111, que corresponden a valores de referencia expresado en precios INVIAS a la luz de no tener un valor cierto del costo de la infraestructura por los Hitos 12BVN y 12B3 MJ, según actas de terminación suscritas el 11 de septiembre de 2024 y 31 de diciembre de 2024, respectivamente.</w:t>
      </w:r>
    </w:p>
    <w:p w14:paraId="72503652" w14:textId="77777777" w:rsidR="0027464D" w:rsidRPr="00951AB1" w:rsidRDefault="0027464D" w:rsidP="000A5389">
      <w:pPr>
        <w:spacing w:line="240" w:lineRule="auto"/>
        <w:rPr>
          <w:rFonts w:cs="Times New Roman"/>
          <w:szCs w:val="24"/>
        </w:rPr>
      </w:pPr>
    </w:p>
    <w:p w14:paraId="01EF2B7B" w14:textId="77777777" w:rsidR="000515CB" w:rsidRPr="00951AB1" w:rsidRDefault="000515CB" w:rsidP="000A5389">
      <w:pPr>
        <w:shd w:val="clear" w:color="auto" w:fill="FFFFFF"/>
        <w:spacing w:line="240" w:lineRule="auto"/>
        <w:textAlignment w:val="baseline"/>
        <w:rPr>
          <w:rFonts w:cs="Times New Roman"/>
          <w:i/>
          <w:iCs/>
          <w:szCs w:val="24"/>
        </w:rPr>
      </w:pPr>
      <w:r w:rsidRPr="00951AB1">
        <w:rPr>
          <w:rFonts w:cs="Times New Roman"/>
          <w:i/>
          <w:iCs/>
          <w:szCs w:val="24"/>
        </w:rPr>
        <w:t>PROCESOS LABORALES</w:t>
      </w:r>
    </w:p>
    <w:p w14:paraId="4F63C355" w14:textId="77777777" w:rsidR="000515CB" w:rsidRPr="00951AB1" w:rsidRDefault="000515CB" w:rsidP="000A5389">
      <w:pPr>
        <w:shd w:val="clear" w:color="auto" w:fill="FFFFFF"/>
        <w:spacing w:line="240" w:lineRule="auto"/>
        <w:textAlignment w:val="baseline"/>
        <w:rPr>
          <w:rFonts w:cs="Times New Roman"/>
          <w:szCs w:val="24"/>
        </w:rPr>
      </w:pPr>
    </w:p>
    <w:p w14:paraId="41496FD2" w14:textId="77777777" w:rsidR="000515CB" w:rsidRPr="00951AB1" w:rsidRDefault="000515CB" w:rsidP="000A5389">
      <w:pPr>
        <w:shd w:val="clear" w:color="auto" w:fill="FFFFFF" w:themeFill="background1"/>
        <w:spacing w:line="240" w:lineRule="auto"/>
        <w:textAlignment w:val="baseline"/>
        <w:rPr>
          <w:rFonts w:cs="Times New Roman"/>
          <w:szCs w:val="24"/>
        </w:rPr>
      </w:pPr>
      <w:r w:rsidRPr="00951AB1">
        <w:rPr>
          <w:rFonts w:cs="Times New Roman"/>
          <w:i/>
          <w:szCs w:val="24"/>
        </w:rPr>
        <w:t>NATURALEZA DEL PASIVO CONTINGENTE</w:t>
      </w:r>
      <w:r w:rsidRPr="00951AB1">
        <w:rPr>
          <w:rFonts w:cs="Times New Roman"/>
          <w:szCs w:val="24"/>
        </w:rPr>
        <w:t xml:space="preserve">: Con relación a los procesos laborales, el Grupo Interno de Trabajo de Defensa Judicial de la Vicepresidencia Jurídica, mediante el Sistema Único de Gestión e Información Litigiosa del Estado eKogui - </w:t>
      </w:r>
      <w:r w:rsidRPr="00951AB1">
        <w:rPr>
          <w:rFonts w:cs="Times New Roman"/>
          <w:i/>
          <w:iCs/>
          <w:szCs w:val="24"/>
        </w:rPr>
        <w:t>"Reporte Procesos Judiciales de la Entidad - Activos"</w:t>
      </w:r>
      <w:r w:rsidRPr="00951AB1">
        <w:rPr>
          <w:rFonts w:cs="Times New Roman"/>
          <w:szCs w:val="24"/>
        </w:rPr>
        <w:t xml:space="preserve"> a 31 de diciembre de 2025, reportó lo siguiente: </w:t>
      </w:r>
    </w:p>
    <w:p w14:paraId="395390E6" w14:textId="77777777" w:rsidR="000515CB" w:rsidRPr="00951AB1" w:rsidRDefault="000515CB" w:rsidP="000A5389">
      <w:pPr>
        <w:shd w:val="clear" w:color="auto" w:fill="FFFFFF"/>
        <w:spacing w:line="240" w:lineRule="auto"/>
        <w:textAlignment w:val="baseline"/>
        <w:rPr>
          <w:rFonts w:cs="Times New Roman"/>
          <w:szCs w:val="24"/>
        </w:rPr>
      </w:pPr>
    </w:p>
    <w:p w14:paraId="55EA9794" w14:textId="77777777" w:rsidR="000515CB" w:rsidRPr="00951AB1" w:rsidRDefault="000515CB" w:rsidP="000A5389">
      <w:pPr>
        <w:shd w:val="clear" w:color="auto" w:fill="FFFFFF" w:themeFill="background1"/>
        <w:spacing w:line="240" w:lineRule="auto"/>
        <w:textAlignment w:val="baseline"/>
        <w:rPr>
          <w:rFonts w:cs="Times New Roman"/>
          <w:szCs w:val="24"/>
        </w:rPr>
      </w:pPr>
      <w:r w:rsidRPr="00951AB1">
        <w:rPr>
          <w:rFonts w:cs="Times New Roman"/>
          <w:szCs w:val="24"/>
        </w:rPr>
        <w:lastRenderedPageBreak/>
        <w:t xml:space="preserve">En materia de procesos laborales, la mayoría de estos, son promovidos por trabajadores de los concesionarios y/o sus subcontratistas, que vinculan a la ANI en virtud del llamado principio de solidaridad patronal, y otros son promovidos por exfuncionarios y/o excontratistas de la entidad, siendo estos últimos el mínimo porcentaje de procesos. </w:t>
      </w:r>
    </w:p>
    <w:p w14:paraId="23C5E24F" w14:textId="77777777" w:rsidR="000515CB" w:rsidRPr="00951AB1" w:rsidRDefault="000515CB" w:rsidP="000A5389">
      <w:pPr>
        <w:shd w:val="clear" w:color="auto" w:fill="FFFFFF"/>
        <w:spacing w:line="240" w:lineRule="auto"/>
        <w:textAlignment w:val="baseline"/>
        <w:rPr>
          <w:rFonts w:cs="Times New Roman"/>
          <w:szCs w:val="24"/>
        </w:rPr>
      </w:pPr>
    </w:p>
    <w:p w14:paraId="7987A67F" w14:textId="77777777" w:rsidR="000515CB" w:rsidRPr="00951AB1" w:rsidRDefault="000515CB" w:rsidP="000A5389">
      <w:pPr>
        <w:shd w:val="clear" w:color="auto" w:fill="FFFFFF" w:themeFill="background1"/>
        <w:spacing w:line="240" w:lineRule="auto"/>
        <w:textAlignment w:val="baseline"/>
        <w:rPr>
          <w:rFonts w:cs="Times New Roman"/>
          <w:szCs w:val="24"/>
        </w:rPr>
      </w:pPr>
      <w:r w:rsidRPr="00951AB1">
        <w:rPr>
          <w:rFonts w:cs="Times New Roman"/>
          <w:szCs w:val="24"/>
        </w:rPr>
        <w:t xml:space="preserve">Hecha esta aclaración, de treinta y cuatro (34) procesos laborales que se registran en cuentas de orden, en su mayoría pertenecen a la primera categoría, es decir, trabajadores de los concesionarios y/o sus subcontratistas, y los demás promovidos por exfuncionarios de la entidad. </w:t>
      </w:r>
    </w:p>
    <w:p w14:paraId="640B4002" w14:textId="77777777" w:rsidR="000515CB" w:rsidRPr="00951AB1" w:rsidRDefault="000515CB" w:rsidP="000A5389">
      <w:pPr>
        <w:spacing w:line="240" w:lineRule="auto"/>
        <w:rPr>
          <w:rFonts w:cs="Times New Roman"/>
        </w:rPr>
      </w:pPr>
    </w:p>
    <w:p w14:paraId="1EA37FE5" w14:textId="77777777" w:rsidR="000515CB" w:rsidRPr="00951AB1" w:rsidRDefault="000515CB" w:rsidP="000A5389">
      <w:pPr>
        <w:spacing w:line="240" w:lineRule="auto"/>
        <w:rPr>
          <w:rFonts w:cs="Times New Roman"/>
          <w:szCs w:val="24"/>
        </w:rPr>
      </w:pPr>
      <w:r w:rsidRPr="00951AB1">
        <w:rPr>
          <w:rFonts w:cs="Times New Roman"/>
          <w:i/>
          <w:szCs w:val="24"/>
        </w:rPr>
        <w:t>INCERTIDUMBRES ASOCIADAS AL VALOR</w:t>
      </w:r>
      <w:r w:rsidRPr="00951AB1">
        <w:rPr>
          <w:rFonts w:cs="Times New Roman"/>
          <w:szCs w:val="24"/>
        </w:rPr>
        <w:t xml:space="preserve">: Frente a los procesos descritos en el acápite anterior, la incertidumbre es alta, toda vez que son diversas las categorías de pretensiones formuladas por los demandantes, que incluyen entre otros, el reconocimiento de salarios, prestaciones, indemnizaciones moratorias, o por despidos sin justa causa, sumado al hecho que, en este tipo de procesos son numerosos y diversos los demandados. </w:t>
      </w:r>
    </w:p>
    <w:p w14:paraId="016E2EA4" w14:textId="77777777" w:rsidR="000515CB" w:rsidRPr="00951AB1" w:rsidRDefault="000515CB" w:rsidP="000A5389">
      <w:pPr>
        <w:spacing w:line="240" w:lineRule="auto"/>
        <w:rPr>
          <w:rFonts w:cs="Times New Roman"/>
          <w:szCs w:val="24"/>
        </w:rPr>
      </w:pPr>
    </w:p>
    <w:p w14:paraId="7AFFF0C3" w14:textId="76F58C21" w:rsidR="000515CB" w:rsidRPr="00951AB1" w:rsidRDefault="000515CB" w:rsidP="000A5389">
      <w:pPr>
        <w:spacing w:line="240" w:lineRule="auto"/>
        <w:rPr>
          <w:rFonts w:cs="Times New Roman"/>
          <w:szCs w:val="24"/>
        </w:rPr>
      </w:pPr>
      <w:r w:rsidRPr="00951AB1">
        <w:rPr>
          <w:rFonts w:cs="Times New Roman"/>
          <w:i/>
          <w:szCs w:val="24"/>
        </w:rPr>
        <w:t>INCERTIDUMBRES ASOCIADAS CON LA FECHA:</w:t>
      </w:r>
      <w:r w:rsidRPr="00951AB1">
        <w:rPr>
          <w:rFonts w:cs="Times New Roman"/>
          <w:szCs w:val="24"/>
        </w:rPr>
        <w:t xml:space="preserve"> La incertidumbre asociada con la fecha es alta, teniendo en cuenta que son procesos que se encuentran cursando la primera instancia, siendo complejo determinar la fecha exacta en que se contaría con la decisión en firme por parte de los despachos judiciales, no obstante, lo cual, se tiene que, los eventuales pagos deban realizarse en un promedio de 2 a 4 años.</w:t>
      </w:r>
    </w:p>
    <w:p w14:paraId="42221A90" w14:textId="77777777" w:rsidR="00771FD3" w:rsidRPr="00951AB1" w:rsidRDefault="00771FD3" w:rsidP="000A5389">
      <w:pPr>
        <w:spacing w:line="240" w:lineRule="auto"/>
        <w:rPr>
          <w:rFonts w:cs="Times New Roman"/>
          <w:szCs w:val="24"/>
        </w:rPr>
      </w:pPr>
    </w:p>
    <w:p w14:paraId="2DA00CD5" w14:textId="77777777" w:rsidR="00A354B1" w:rsidRPr="00951AB1" w:rsidRDefault="00A354B1" w:rsidP="000A5389">
      <w:pPr>
        <w:shd w:val="clear" w:color="auto" w:fill="FFFFFF"/>
        <w:spacing w:line="240" w:lineRule="auto"/>
        <w:textAlignment w:val="baseline"/>
        <w:rPr>
          <w:rFonts w:cs="Times New Roman"/>
          <w:i/>
          <w:iCs/>
          <w:szCs w:val="24"/>
        </w:rPr>
      </w:pPr>
      <w:r w:rsidRPr="00951AB1">
        <w:rPr>
          <w:rFonts w:cs="Times New Roman"/>
          <w:i/>
          <w:iCs/>
          <w:szCs w:val="24"/>
        </w:rPr>
        <w:t>PROCESOS CIVILES</w:t>
      </w:r>
    </w:p>
    <w:p w14:paraId="7019032B" w14:textId="77777777" w:rsidR="00A354B1" w:rsidRPr="00951AB1" w:rsidRDefault="00A354B1" w:rsidP="000A5389">
      <w:pPr>
        <w:shd w:val="clear" w:color="auto" w:fill="FFFFFF"/>
        <w:spacing w:line="240" w:lineRule="auto"/>
        <w:textAlignment w:val="baseline"/>
        <w:rPr>
          <w:rFonts w:cs="Times New Roman"/>
          <w:szCs w:val="24"/>
        </w:rPr>
      </w:pPr>
    </w:p>
    <w:p w14:paraId="0A9B86E1" w14:textId="51C6F2FC" w:rsidR="00A354B1" w:rsidRPr="00951AB1" w:rsidRDefault="00A354B1" w:rsidP="000A5389">
      <w:pPr>
        <w:shd w:val="clear" w:color="auto" w:fill="FFFFFF" w:themeFill="background1"/>
        <w:spacing w:line="240" w:lineRule="auto"/>
        <w:textAlignment w:val="baseline"/>
        <w:rPr>
          <w:rFonts w:cs="Times New Roman"/>
          <w:szCs w:val="24"/>
        </w:rPr>
      </w:pPr>
      <w:r w:rsidRPr="00951AB1">
        <w:rPr>
          <w:rFonts w:cs="Times New Roman"/>
          <w:i/>
          <w:szCs w:val="24"/>
        </w:rPr>
        <w:t>NATURALEZA DEL PASIVO CONTINGENTE:</w:t>
      </w:r>
      <w:r w:rsidRPr="00951AB1">
        <w:rPr>
          <w:rFonts w:cs="Times New Roman"/>
          <w:szCs w:val="24"/>
        </w:rPr>
        <w:t xml:space="preserve"> Con relación a los procesos civiles, el Grupo Interno de Trabajo de Defensa Judicial de la Vicepresidencia Jurídica, mediante el Sistema Único de Gestión e Información Litigiosa del Estado eKogui - </w:t>
      </w:r>
      <w:r w:rsidRPr="00951AB1">
        <w:rPr>
          <w:rFonts w:cs="Times New Roman"/>
          <w:i/>
          <w:szCs w:val="24"/>
        </w:rPr>
        <w:t>"Reporte Procesos Judiciales</w:t>
      </w:r>
      <w:r w:rsidRPr="00951AB1">
        <w:rPr>
          <w:rFonts w:cs="Times New Roman"/>
          <w:i/>
          <w:iCs/>
          <w:szCs w:val="24"/>
        </w:rPr>
        <w:t xml:space="preserve"> de la Entidad - Activos</w:t>
      </w:r>
      <w:r w:rsidRPr="00951AB1">
        <w:rPr>
          <w:rFonts w:cs="Times New Roman"/>
          <w:i/>
          <w:szCs w:val="24"/>
        </w:rPr>
        <w:t>"</w:t>
      </w:r>
      <w:r w:rsidRPr="00951AB1">
        <w:rPr>
          <w:rFonts w:cs="Times New Roman"/>
          <w:szCs w:val="24"/>
        </w:rPr>
        <w:t xml:space="preserve"> a 31 de diciembre de 202</w:t>
      </w:r>
      <w:r w:rsidR="006F4549" w:rsidRPr="00951AB1">
        <w:rPr>
          <w:rFonts w:cs="Times New Roman"/>
          <w:szCs w:val="24"/>
        </w:rPr>
        <w:t>5</w:t>
      </w:r>
      <w:r w:rsidRPr="00951AB1">
        <w:rPr>
          <w:rFonts w:cs="Times New Roman"/>
          <w:szCs w:val="24"/>
        </w:rPr>
        <w:t xml:space="preserve">, reportó lo siguiente: </w:t>
      </w:r>
    </w:p>
    <w:p w14:paraId="0E676BED" w14:textId="77777777" w:rsidR="00A354B1" w:rsidRPr="00951AB1" w:rsidRDefault="00A354B1" w:rsidP="000A5389">
      <w:pPr>
        <w:spacing w:line="240" w:lineRule="auto"/>
        <w:rPr>
          <w:rFonts w:cs="Times New Roman"/>
          <w:highlight w:val="yellow"/>
        </w:rPr>
      </w:pPr>
    </w:p>
    <w:p w14:paraId="23C85098" w14:textId="1A2E17AB" w:rsidR="00B167CF" w:rsidRPr="00951AB1" w:rsidRDefault="00B167CF" w:rsidP="000A5389">
      <w:pPr>
        <w:shd w:val="clear" w:color="auto" w:fill="FFFFFF" w:themeFill="background1"/>
        <w:spacing w:line="240" w:lineRule="auto"/>
        <w:textAlignment w:val="baseline"/>
        <w:rPr>
          <w:rFonts w:cs="Times New Roman"/>
          <w:szCs w:val="24"/>
        </w:rPr>
      </w:pPr>
      <w:r w:rsidRPr="00951AB1">
        <w:rPr>
          <w:rFonts w:cs="Times New Roman"/>
          <w:szCs w:val="24"/>
        </w:rPr>
        <w:t xml:space="preserve">Se tienen un total de </w:t>
      </w:r>
      <w:r w:rsidR="00D45D86" w:rsidRPr="00951AB1">
        <w:rPr>
          <w:rFonts w:cs="Times New Roman"/>
          <w:szCs w:val="24"/>
        </w:rPr>
        <w:t xml:space="preserve">nueve </w:t>
      </w:r>
      <w:r w:rsidRPr="00951AB1">
        <w:rPr>
          <w:rFonts w:cs="Times New Roman"/>
          <w:szCs w:val="24"/>
        </w:rPr>
        <w:t>(</w:t>
      </w:r>
      <w:r w:rsidR="006358EF" w:rsidRPr="00951AB1">
        <w:rPr>
          <w:rFonts w:cs="Times New Roman"/>
          <w:szCs w:val="24"/>
        </w:rPr>
        <w:t>09</w:t>
      </w:r>
      <w:r w:rsidRPr="00951AB1">
        <w:rPr>
          <w:rFonts w:cs="Times New Roman"/>
          <w:szCs w:val="24"/>
        </w:rPr>
        <w:t xml:space="preserve">) procesos de naturaleza civil, de los cuales </w:t>
      </w:r>
      <w:r w:rsidR="002C0E12" w:rsidRPr="00951AB1">
        <w:rPr>
          <w:rFonts w:cs="Times New Roman"/>
          <w:szCs w:val="24"/>
        </w:rPr>
        <w:t xml:space="preserve">cinco </w:t>
      </w:r>
      <w:r w:rsidRPr="00951AB1">
        <w:rPr>
          <w:rFonts w:cs="Times New Roman"/>
          <w:szCs w:val="24"/>
        </w:rPr>
        <w:t>(</w:t>
      </w:r>
      <w:r w:rsidR="002C0E12" w:rsidRPr="00951AB1">
        <w:rPr>
          <w:rFonts w:cs="Times New Roman"/>
          <w:szCs w:val="24"/>
        </w:rPr>
        <w:t>5</w:t>
      </w:r>
      <w:r w:rsidRPr="00951AB1">
        <w:rPr>
          <w:rFonts w:cs="Times New Roman"/>
          <w:szCs w:val="24"/>
        </w:rPr>
        <w:t>) no presenta cuantía por ser meramente declarativos, es decir, no hay pretensiones llamadas a generar pago de condena, estando entre ell</w:t>
      </w:r>
      <w:r w:rsidR="00414B5F" w:rsidRPr="00951AB1">
        <w:rPr>
          <w:rFonts w:cs="Times New Roman"/>
          <w:szCs w:val="24"/>
        </w:rPr>
        <w:t>os</w:t>
      </w:r>
      <w:r w:rsidRPr="00951AB1">
        <w:rPr>
          <w:rFonts w:cs="Times New Roman"/>
          <w:szCs w:val="24"/>
        </w:rPr>
        <w:t xml:space="preserve"> de </w:t>
      </w:r>
      <w:r w:rsidR="00414B5F" w:rsidRPr="00951AB1">
        <w:rPr>
          <w:rFonts w:cs="Times New Roman"/>
          <w:szCs w:val="24"/>
        </w:rPr>
        <w:t>acción verbal</w:t>
      </w:r>
      <w:r w:rsidRPr="00951AB1">
        <w:rPr>
          <w:rFonts w:cs="Times New Roman"/>
          <w:szCs w:val="24"/>
        </w:rPr>
        <w:t>.</w:t>
      </w:r>
    </w:p>
    <w:p w14:paraId="27C185AE" w14:textId="77777777" w:rsidR="008717F2" w:rsidRPr="00951AB1" w:rsidRDefault="008717F2" w:rsidP="000A5389">
      <w:pPr>
        <w:shd w:val="clear" w:color="auto" w:fill="FFFFFF" w:themeFill="background1"/>
        <w:spacing w:line="240" w:lineRule="auto"/>
        <w:textAlignment w:val="baseline"/>
        <w:rPr>
          <w:rFonts w:cs="Times New Roman"/>
          <w:szCs w:val="24"/>
        </w:rPr>
      </w:pPr>
    </w:p>
    <w:p w14:paraId="17C0C98B" w14:textId="63E2BA00" w:rsidR="008717F2" w:rsidRPr="00951AB1" w:rsidRDefault="008717F2" w:rsidP="000A5389">
      <w:pPr>
        <w:shd w:val="clear" w:color="auto" w:fill="FFFFFF"/>
        <w:spacing w:line="240" w:lineRule="auto"/>
        <w:textAlignment w:val="baseline"/>
        <w:rPr>
          <w:rFonts w:cs="Times New Roman"/>
          <w:szCs w:val="24"/>
        </w:rPr>
      </w:pPr>
      <w:r w:rsidRPr="00951AB1">
        <w:rPr>
          <w:rFonts w:cs="Times New Roman"/>
          <w:szCs w:val="24"/>
        </w:rPr>
        <w:t>Siete (</w:t>
      </w:r>
      <w:r w:rsidR="00556B29" w:rsidRPr="00951AB1">
        <w:rPr>
          <w:rFonts w:cs="Times New Roman"/>
          <w:szCs w:val="24"/>
        </w:rPr>
        <w:t>4</w:t>
      </w:r>
      <w:r w:rsidRPr="00951AB1">
        <w:rPr>
          <w:rFonts w:cs="Times New Roman"/>
          <w:szCs w:val="24"/>
        </w:rPr>
        <w:t xml:space="preserve">) procesos, presentan valor de pretensiones, y de ellos: </w:t>
      </w:r>
    </w:p>
    <w:p w14:paraId="5A00961D" w14:textId="77777777" w:rsidR="008717F2" w:rsidRPr="00951AB1" w:rsidRDefault="008717F2" w:rsidP="000A5389">
      <w:pPr>
        <w:pStyle w:val="Prrafodelista"/>
        <w:numPr>
          <w:ilvl w:val="0"/>
          <w:numId w:val="26"/>
        </w:numPr>
        <w:shd w:val="clear" w:color="auto" w:fill="FFFFFF"/>
        <w:spacing w:line="240" w:lineRule="auto"/>
        <w:textAlignment w:val="baseline"/>
        <w:rPr>
          <w:rFonts w:cs="Times New Roman"/>
          <w:szCs w:val="24"/>
        </w:rPr>
      </w:pPr>
      <w:r w:rsidRPr="00951AB1">
        <w:rPr>
          <w:rFonts w:cs="Times New Roman"/>
          <w:szCs w:val="24"/>
        </w:rPr>
        <w:t xml:space="preserve">Un (01) corresponden a proceso Declarativo Especial – Desline y Amojonamiento, por el presunto no pago en la adquisición predial. </w:t>
      </w:r>
    </w:p>
    <w:p w14:paraId="4F4C32DA" w14:textId="51413537" w:rsidR="00131F1B" w:rsidRPr="00951AB1" w:rsidRDefault="00DA0129" w:rsidP="000A5389">
      <w:pPr>
        <w:pStyle w:val="Prrafodelista"/>
        <w:numPr>
          <w:ilvl w:val="0"/>
          <w:numId w:val="26"/>
        </w:numPr>
        <w:shd w:val="clear" w:color="auto" w:fill="FFFFFF"/>
        <w:spacing w:line="240" w:lineRule="auto"/>
        <w:textAlignment w:val="baseline"/>
        <w:rPr>
          <w:rFonts w:cs="Times New Roman"/>
          <w:szCs w:val="24"/>
        </w:rPr>
      </w:pPr>
      <w:r w:rsidRPr="00951AB1">
        <w:rPr>
          <w:rFonts w:cs="Times New Roman"/>
          <w:szCs w:val="24"/>
        </w:rPr>
        <w:t>Un (01) corresponden a proceso ver</w:t>
      </w:r>
      <w:r w:rsidR="00A27FE8" w:rsidRPr="00951AB1">
        <w:rPr>
          <w:rFonts w:cs="Times New Roman"/>
          <w:szCs w:val="24"/>
        </w:rPr>
        <w:t xml:space="preserve">bal - </w:t>
      </w:r>
      <w:r w:rsidR="00020C6E" w:rsidRPr="00951AB1">
        <w:rPr>
          <w:rFonts w:cs="Times New Roman"/>
          <w:szCs w:val="24"/>
        </w:rPr>
        <w:t>restitución de inmueble arrendado</w:t>
      </w:r>
    </w:p>
    <w:p w14:paraId="638BAE59" w14:textId="2F6C8104" w:rsidR="008717F2" w:rsidRPr="00951AB1" w:rsidRDefault="008717F2" w:rsidP="000A5389">
      <w:pPr>
        <w:pStyle w:val="Prrafodelista"/>
        <w:numPr>
          <w:ilvl w:val="0"/>
          <w:numId w:val="26"/>
        </w:numPr>
        <w:shd w:val="clear" w:color="auto" w:fill="FFFFFF"/>
        <w:spacing w:line="240" w:lineRule="auto"/>
        <w:textAlignment w:val="baseline"/>
        <w:rPr>
          <w:rFonts w:cs="Times New Roman"/>
          <w:szCs w:val="24"/>
        </w:rPr>
      </w:pPr>
      <w:r w:rsidRPr="00951AB1">
        <w:rPr>
          <w:rFonts w:cs="Times New Roman"/>
          <w:szCs w:val="24"/>
        </w:rPr>
        <w:t xml:space="preserve">Un (01) corresponden a proceso Declarativo Especial – </w:t>
      </w:r>
      <w:r w:rsidR="00B7241A" w:rsidRPr="00951AB1">
        <w:rPr>
          <w:rFonts w:cs="Times New Roman"/>
          <w:szCs w:val="24"/>
        </w:rPr>
        <w:t>deslinde y amojonamiento</w:t>
      </w:r>
      <w:r w:rsidRPr="00951AB1">
        <w:rPr>
          <w:rFonts w:cs="Times New Roman"/>
          <w:szCs w:val="24"/>
        </w:rPr>
        <w:t xml:space="preserve">, por la presunta división material de bien inmueble. </w:t>
      </w:r>
    </w:p>
    <w:p w14:paraId="66B0C43C" w14:textId="2BAC2E78" w:rsidR="00336B47" w:rsidRPr="00951AB1" w:rsidRDefault="00336B47" w:rsidP="000A5389">
      <w:pPr>
        <w:pStyle w:val="Prrafodelista"/>
        <w:numPr>
          <w:ilvl w:val="0"/>
          <w:numId w:val="26"/>
        </w:numPr>
        <w:shd w:val="clear" w:color="auto" w:fill="FFFFFF"/>
        <w:spacing w:line="240" w:lineRule="auto"/>
        <w:textAlignment w:val="baseline"/>
        <w:rPr>
          <w:rFonts w:cs="Times New Roman"/>
          <w:szCs w:val="24"/>
        </w:rPr>
      </w:pPr>
      <w:r w:rsidRPr="00951AB1">
        <w:rPr>
          <w:rFonts w:cs="Times New Roman"/>
          <w:szCs w:val="24"/>
        </w:rPr>
        <w:t xml:space="preserve">Un (01) corresponden a </w:t>
      </w:r>
      <w:r w:rsidR="005C3599" w:rsidRPr="00951AB1">
        <w:rPr>
          <w:rFonts w:cs="Times New Roman"/>
          <w:szCs w:val="24"/>
        </w:rPr>
        <w:t>Verbal posesorio</w:t>
      </w:r>
      <w:r w:rsidR="004E4AD5" w:rsidRPr="00951AB1">
        <w:rPr>
          <w:rFonts w:cs="Times New Roman"/>
          <w:szCs w:val="24"/>
        </w:rPr>
        <w:t>, por prescripción adquisitiva de dominio</w:t>
      </w:r>
    </w:p>
    <w:p w14:paraId="41D3ED61" w14:textId="77777777" w:rsidR="00771FD3" w:rsidRPr="00951AB1" w:rsidRDefault="00771FD3" w:rsidP="000A5389">
      <w:pPr>
        <w:spacing w:line="240" w:lineRule="auto"/>
        <w:rPr>
          <w:rFonts w:cs="Times New Roman"/>
        </w:rPr>
      </w:pPr>
    </w:p>
    <w:p w14:paraId="4451A947" w14:textId="77777777" w:rsidR="00B2168A" w:rsidRPr="00951AB1" w:rsidRDefault="00B2168A" w:rsidP="000A5389">
      <w:pPr>
        <w:spacing w:line="240" w:lineRule="auto"/>
        <w:rPr>
          <w:rFonts w:cs="Times New Roman"/>
          <w:szCs w:val="24"/>
        </w:rPr>
      </w:pPr>
      <w:r w:rsidRPr="00951AB1">
        <w:rPr>
          <w:rFonts w:cs="Times New Roman"/>
          <w:i/>
          <w:szCs w:val="24"/>
        </w:rPr>
        <w:t>INCERTIDUMBRES ASOCIADAS AL VALOR:</w:t>
      </w:r>
      <w:r w:rsidRPr="00951AB1">
        <w:rPr>
          <w:rFonts w:cs="Times New Roman"/>
          <w:szCs w:val="24"/>
        </w:rPr>
        <w:t xml:space="preserve"> Frente a los procesos descritos en el acápite anterior, la incertidumbre es media, toda vez que respecto al valor varía dependiendo de las pretensiones formuladas en las demandas y, las decisiones adoptadas por cada despacho. </w:t>
      </w:r>
    </w:p>
    <w:p w14:paraId="0BD7DC44" w14:textId="77777777" w:rsidR="00B2168A" w:rsidRPr="00951AB1" w:rsidRDefault="00B2168A" w:rsidP="000A5389">
      <w:pPr>
        <w:spacing w:line="240" w:lineRule="auto"/>
        <w:rPr>
          <w:rFonts w:cs="Times New Roman"/>
          <w:szCs w:val="24"/>
        </w:rPr>
      </w:pPr>
    </w:p>
    <w:p w14:paraId="5FBD6DB1" w14:textId="17D270BC" w:rsidR="003002B3" w:rsidRPr="00951AB1" w:rsidRDefault="00B2168A" w:rsidP="000A5389">
      <w:pPr>
        <w:spacing w:line="240" w:lineRule="auto"/>
        <w:rPr>
          <w:rFonts w:cs="Times New Roman"/>
          <w:szCs w:val="24"/>
        </w:rPr>
      </w:pPr>
      <w:r w:rsidRPr="00951AB1">
        <w:rPr>
          <w:rFonts w:cs="Times New Roman"/>
          <w:i/>
          <w:szCs w:val="24"/>
        </w:rPr>
        <w:t>INCERTIDUMBRES ASOCIADAS CON LA FECHA:</w:t>
      </w:r>
      <w:r w:rsidRPr="00951AB1">
        <w:rPr>
          <w:rFonts w:cs="Times New Roman"/>
          <w:szCs w:val="24"/>
        </w:rPr>
        <w:t xml:space="preserve"> La incertidumbre asociada con la fecha es alta, teniendo en cuenta que son procesos que se encuentran cursando la primera instancia, siendo complejo determinar la fecha exacta en que se contaría con la decisión en firme por parte de los despachos judiciales, por vía de ejemplo.</w:t>
      </w:r>
    </w:p>
    <w:p w14:paraId="2568FE23" w14:textId="48B272C3" w:rsidR="00B2168A" w:rsidRPr="00951AB1" w:rsidRDefault="00B2168A" w:rsidP="000A5389">
      <w:pPr>
        <w:spacing w:line="240" w:lineRule="auto"/>
        <w:rPr>
          <w:rFonts w:cs="Times New Roman"/>
          <w:i/>
        </w:rPr>
      </w:pPr>
    </w:p>
    <w:p w14:paraId="36B22C91" w14:textId="5B0E3EF2" w:rsidR="00F9262B" w:rsidRDefault="000F5B52" w:rsidP="000A5389">
      <w:pPr>
        <w:spacing w:line="240" w:lineRule="auto"/>
        <w:contextualSpacing/>
        <w:rPr>
          <w:rFonts w:eastAsia="Times New Roman" w:cs="Times New Roman"/>
          <w:szCs w:val="24"/>
        </w:rPr>
      </w:pPr>
      <w:r w:rsidRPr="00951AB1">
        <w:rPr>
          <w:rFonts w:cs="Times New Roman"/>
          <w:i/>
          <w:szCs w:val="24"/>
        </w:rPr>
        <w:t>GARANTÍAS CONTRACTUALES</w:t>
      </w:r>
      <w:r w:rsidR="00FB53B5" w:rsidRPr="00951AB1">
        <w:rPr>
          <w:rFonts w:cs="Times New Roman"/>
          <w:i/>
          <w:iCs/>
          <w:szCs w:val="24"/>
        </w:rPr>
        <w:t xml:space="preserve">: </w:t>
      </w:r>
      <w:r w:rsidR="3E9AA73D" w:rsidRPr="00951AB1">
        <w:rPr>
          <w:rFonts w:eastAsia="Times New Roman" w:cs="Times New Roman"/>
          <w:szCs w:val="24"/>
        </w:rPr>
        <w:t>Se registran los aportes pendientes de giro al Fondo de Contingencias de las Entidades Estatales – FCEE, con corte a 31 de diciembre de 2025 que fueron reportadas por la Fiduprevisora.</w:t>
      </w:r>
    </w:p>
    <w:p w14:paraId="25C7A839" w14:textId="77777777" w:rsidR="004A7790" w:rsidRPr="00951AB1" w:rsidRDefault="004A7790" w:rsidP="000A5389">
      <w:pPr>
        <w:spacing w:line="240" w:lineRule="auto"/>
        <w:contextualSpacing/>
        <w:rPr>
          <w:rFonts w:eastAsia="Times New Roman" w:cs="Times New Roman"/>
          <w:szCs w:val="24"/>
        </w:rPr>
      </w:pPr>
    </w:p>
    <w:p w14:paraId="2CC21CB0" w14:textId="77777777" w:rsidR="0027464D" w:rsidRPr="00951AB1" w:rsidRDefault="0027464D" w:rsidP="000A5389">
      <w:pPr>
        <w:spacing w:line="240" w:lineRule="auto"/>
        <w:contextualSpacing/>
        <w:rPr>
          <w:rFonts w:cs="Times New Roman"/>
        </w:rPr>
      </w:pPr>
    </w:p>
    <w:tbl>
      <w:tblPr>
        <w:tblW w:w="0" w:type="auto"/>
        <w:tblLook w:val="04A0" w:firstRow="1" w:lastRow="0" w:firstColumn="1" w:lastColumn="0" w:noHBand="0" w:noVBand="1"/>
      </w:tblPr>
      <w:tblGrid>
        <w:gridCol w:w="4098"/>
        <w:gridCol w:w="4720"/>
      </w:tblGrid>
      <w:tr w:rsidR="012A6C64" w:rsidRPr="00951AB1" w14:paraId="7D065601" w14:textId="77777777" w:rsidTr="004A7790">
        <w:trPr>
          <w:trHeight w:val="666"/>
          <w:tblHeader/>
        </w:trPr>
        <w:tc>
          <w:tcPr>
            <w:tcW w:w="4098" w:type="dxa"/>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tcMar>
              <w:left w:w="70" w:type="dxa"/>
              <w:right w:w="70" w:type="dxa"/>
            </w:tcMar>
            <w:vAlign w:val="center"/>
          </w:tcPr>
          <w:p w14:paraId="227A71AC" w14:textId="689B9D36" w:rsidR="012A6C64" w:rsidRPr="00951AB1" w:rsidRDefault="012A6C64" w:rsidP="000A5389">
            <w:pPr>
              <w:spacing w:line="240" w:lineRule="auto"/>
              <w:jc w:val="center"/>
              <w:rPr>
                <w:rFonts w:cs="Times New Roman"/>
                <w:sz w:val="18"/>
                <w:szCs w:val="18"/>
              </w:rPr>
            </w:pPr>
            <w:r w:rsidRPr="00951AB1">
              <w:rPr>
                <w:rFonts w:eastAsia="Times New Roman" w:cs="Times New Roman"/>
                <w:b/>
                <w:bCs/>
                <w:color w:val="000000" w:themeColor="text1"/>
                <w:sz w:val="18"/>
                <w:szCs w:val="18"/>
              </w:rPr>
              <w:t>AÑO DE INCUMPLIMIENTO</w:t>
            </w:r>
          </w:p>
        </w:tc>
        <w:tc>
          <w:tcPr>
            <w:tcW w:w="4720" w:type="dxa"/>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tcMar>
              <w:left w:w="70" w:type="dxa"/>
              <w:right w:w="70" w:type="dxa"/>
            </w:tcMar>
            <w:vAlign w:val="center"/>
          </w:tcPr>
          <w:p w14:paraId="21A96088" w14:textId="4088827B" w:rsidR="012A6C64" w:rsidRPr="00951AB1" w:rsidRDefault="012A6C64" w:rsidP="000A5389">
            <w:pPr>
              <w:spacing w:line="240" w:lineRule="auto"/>
              <w:jc w:val="center"/>
              <w:rPr>
                <w:rFonts w:cs="Times New Roman"/>
                <w:sz w:val="18"/>
                <w:szCs w:val="18"/>
              </w:rPr>
            </w:pPr>
            <w:r w:rsidRPr="00951AB1">
              <w:rPr>
                <w:rFonts w:eastAsia="Times New Roman" w:cs="Times New Roman"/>
                <w:b/>
                <w:bCs/>
                <w:color w:val="000000" w:themeColor="text1"/>
                <w:sz w:val="18"/>
                <w:szCs w:val="18"/>
              </w:rPr>
              <w:t>VALOR APORTES PENDIENTES DE GIRO</w:t>
            </w:r>
            <w:r w:rsidRPr="00951AB1">
              <w:rPr>
                <w:rFonts w:cs="Times New Roman"/>
                <w:sz w:val="18"/>
                <w:szCs w:val="18"/>
              </w:rPr>
              <w:br/>
            </w:r>
            <w:r w:rsidRPr="00951AB1">
              <w:rPr>
                <w:rFonts w:eastAsia="Times New Roman" w:cs="Times New Roman"/>
                <w:b/>
                <w:bCs/>
                <w:color w:val="000000" w:themeColor="text1"/>
                <w:sz w:val="18"/>
                <w:szCs w:val="18"/>
              </w:rPr>
              <w:t xml:space="preserve"> (DÉFICIT FCEE A 31 - DIC - 2025)</w:t>
            </w:r>
          </w:p>
        </w:tc>
      </w:tr>
      <w:tr w:rsidR="012A6C64" w:rsidRPr="00951AB1" w14:paraId="6F38C60A" w14:textId="77777777" w:rsidTr="004A7790">
        <w:trPr>
          <w:trHeight w:val="300"/>
        </w:trPr>
        <w:tc>
          <w:tcPr>
            <w:tcW w:w="4098" w:type="dxa"/>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tcMar>
              <w:left w:w="70" w:type="dxa"/>
              <w:right w:w="70" w:type="dxa"/>
            </w:tcMar>
            <w:vAlign w:val="bottom"/>
          </w:tcPr>
          <w:p w14:paraId="74FEC27C" w14:textId="47C170CC" w:rsidR="012A6C64" w:rsidRPr="00951AB1" w:rsidRDefault="012A6C64" w:rsidP="000A5389">
            <w:pPr>
              <w:spacing w:line="240" w:lineRule="auto"/>
              <w:jc w:val="center"/>
              <w:rPr>
                <w:rFonts w:cs="Times New Roman"/>
                <w:sz w:val="18"/>
                <w:szCs w:val="18"/>
              </w:rPr>
            </w:pPr>
            <w:r w:rsidRPr="00951AB1">
              <w:rPr>
                <w:rFonts w:eastAsia="Times New Roman" w:cs="Times New Roman"/>
                <w:color w:val="000000" w:themeColor="text1"/>
                <w:sz w:val="18"/>
                <w:szCs w:val="18"/>
              </w:rPr>
              <w:t>2025</w:t>
            </w:r>
          </w:p>
        </w:tc>
        <w:tc>
          <w:tcPr>
            <w:tcW w:w="4720" w:type="dxa"/>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tcMar>
              <w:left w:w="70" w:type="dxa"/>
              <w:right w:w="70" w:type="dxa"/>
            </w:tcMar>
            <w:vAlign w:val="bottom"/>
          </w:tcPr>
          <w:p w14:paraId="7B90BE2F" w14:textId="0C0CBD32" w:rsidR="012A6C64" w:rsidRPr="00951AB1" w:rsidRDefault="012A6C64" w:rsidP="000A5389">
            <w:pPr>
              <w:spacing w:line="240" w:lineRule="auto"/>
              <w:jc w:val="right"/>
              <w:rPr>
                <w:rFonts w:cs="Times New Roman"/>
                <w:sz w:val="18"/>
                <w:szCs w:val="18"/>
              </w:rPr>
            </w:pPr>
            <w:r w:rsidRPr="00951AB1">
              <w:rPr>
                <w:rFonts w:eastAsia="Times New Roman" w:cs="Times New Roman"/>
                <w:color w:val="000000" w:themeColor="text1"/>
                <w:sz w:val="18"/>
                <w:szCs w:val="18"/>
              </w:rPr>
              <w:t>2.782.543.743.684</w:t>
            </w:r>
          </w:p>
        </w:tc>
      </w:tr>
      <w:tr w:rsidR="012A6C64" w:rsidRPr="00951AB1" w14:paraId="2A6175CB" w14:textId="77777777" w:rsidTr="004A7790">
        <w:trPr>
          <w:trHeight w:val="300"/>
        </w:trPr>
        <w:tc>
          <w:tcPr>
            <w:tcW w:w="4098" w:type="dxa"/>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tcMar>
              <w:left w:w="70" w:type="dxa"/>
              <w:right w:w="70" w:type="dxa"/>
            </w:tcMar>
            <w:vAlign w:val="bottom"/>
          </w:tcPr>
          <w:p w14:paraId="5623378F" w14:textId="4DA18073" w:rsidR="012A6C64" w:rsidRPr="00951AB1" w:rsidRDefault="012A6C64" w:rsidP="000A5389">
            <w:pPr>
              <w:spacing w:line="240" w:lineRule="auto"/>
              <w:jc w:val="center"/>
              <w:rPr>
                <w:rFonts w:cs="Times New Roman"/>
                <w:sz w:val="18"/>
                <w:szCs w:val="18"/>
              </w:rPr>
            </w:pPr>
            <w:r w:rsidRPr="00951AB1">
              <w:rPr>
                <w:rFonts w:eastAsia="Times New Roman" w:cs="Times New Roman"/>
                <w:color w:val="000000" w:themeColor="text1"/>
                <w:sz w:val="18"/>
                <w:szCs w:val="18"/>
              </w:rPr>
              <w:t>2024</w:t>
            </w:r>
          </w:p>
        </w:tc>
        <w:tc>
          <w:tcPr>
            <w:tcW w:w="4720" w:type="dxa"/>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tcMar>
              <w:left w:w="70" w:type="dxa"/>
              <w:right w:w="70" w:type="dxa"/>
            </w:tcMar>
            <w:vAlign w:val="bottom"/>
          </w:tcPr>
          <w:p w14:paraId="46DAE731" w14:textId="04C301AB" w:rsidR="012A6C64" w:rsidRPr="00951AB1" w:rsidRDefault="012A6C64" w:rsidP="000A5389">
            <w:pPr>
              <w:spacing w:line="240" w:lineRule="auto"/>
              <w:jc w:val="right"/>
              <w:rPr>
                <w:rFonts w:cs="Times New Roman"/>
                <w:sz w:val="18"/>
                <w:szCs w:val="18"/>
              </w:rPr>
            </w:pPr>
            <w:r w:rsidRPr="00951AB1">
              <w:rPr>
                <w:rFonts w:eastAsia="Times New Roman" w:cs="Times New Roman"/>
                <w:color w:val="000000" w:themeColor="text1"/>
                <w:sz w:val="18"/>
                <w:szCs w:val="18"/>
              </w:rPr>
              <w:t>1.815.384.162.576</w:t>
            </w:r>
          </w:p>
        </w:tc>
      </w:tr>
      <w:tr w:rsidR="012A6C64" w:rsidRPr="00951AB1" w14:paraId="51FD1225" w14:textId="77777777" w:rsidTr="004A7790">
        <w:trPr>
          <w:trHeight w:val="300"/>
        </w:trPr>
        <w:tc>
          <w:tcPr>
            <w:tcW w:w="4098" w:type="dxa"/>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tcMar>
              <w:left w:w="70" w:type="dxa"/>
              <w:right w:w="70" w:type="dxa"/>
            </w:tcMar>
            <w:vAlign w:val="bottom"/>
          </w:tcPr>
          <w:p w14:paraId="37D302A9" w14:textId="67268B2E" w:rsidR="012A6C64" w:rsidRPr="00951AB1" w:rsidRDefault="012A6C64" w:rsidP="000A5389">
            <w:pPr>
              <w:spacing w:line="240" w:lineRule="auto"/>
              <w:jc w:val="center"/>
              <w:rPr>
                <w:rFonts w:cs="Times New Roman"/>
                <w:sz w:val="18"/>
                <w:szCs w:val="18"/>
              </w:rPr>
            </w:pPr>
            <w:r w:rsidRPr="00951AB1">
              <w:rPr>
                <w:rFonts w:eastAsia="Times New Roman" w:cs="Times New Roman"/>
                <w:color w:val="000000" w:themeColor="text1"/>
                <w:sz w:val="18"/>
                <w:szCs w:val="18"/>
              </w:rPr>
              <w:t>2023</w:t>
            </w:r>
          </w:p>
        </w:tc>
        <w:tc>
          <w:tcPr>
            <w:tcW w:w="4720" w:type="dxa"/>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tcMar>
              <w:left w:w="70" w:type="dxa"/>
              <w:right w:w="70" w:type="dxa"/>
            </w:tcMar>
            <w:vAlign w:val="bottom"/>
          </w:tcPr>
          <w:p w14:paraId="003A580E" w14:textId="7CE4C9DE" w:rsidR="012A6C64" w:rsidRPr="00951AB1" w:rsidRDefault="012A6C64" w:rsidP="000A5389">
            <w:pPr>
              <w:spacing w:line="240" w:lineRule="auto"/>
              <w:jc w:val="right"/>
              <w:rPr>
                <w:rFonts w:cs="Times New Roman"/>
                <w:sz w:val="18"/>
                <w:szCs w:val="18"/>
              </w:rPr>
            </w:pPr>
            <w:r w:rsidRPr="00951AB1">
              <w:rPr>
                <w:rFonts w:eastAsia="Times New Roman" w:cs="Times New Roman"/>
                <w:color w:val="000000" w:themeColor="text1"/>
                <w:sz w:val="18"/>
                <w:szCs w:val="18"/>
              </w:rPr>
              <w:t>1.288.149.114.733</w:t>
            </w:r>
          </w:p>
        </w:tc>
      </w:tr>
      <w:tr w:rsidR="012A6C64" w:rsidRPr="00951AB1" w14:paraId="4185B484" w14:textId="77777777" w:rsidTr="004A7790">
        <w:trPr>
          <w:trHeight w:val="300"/>
        </w:trPr>
        <w:tc>
          <w:tcPr>
            <w:tcW w:w="4098" w:type="dxa"/>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tcMar>
              <w:left w:w="70" w:type="dxa"/>
              <w:right w:w="70" w:type="dxa"/>
            </w:tcMar>
            <w:vAlign w:val="bottom"/>
          </w:tcPr>
          <w:p w14:paraId="497AE130" w14:textId="4D439AA8" w:rsidR="012A6C64" w:rsidRPr="00951AB1" w:rsidRDefault="012A6C64" w:rsidP="000A5389">
            <w:pPr>
              <w:spacing w:line="240" w:lineRule="auto"/>
              <w:jc w:val="center"/>
              <w:rPr>
                <w:rFonts w:cs="Times New Roman"/>
                <w:sz w:val="18"/>
                <w:szCs w:val="18"/>
              </w:rPr>
            </w:pPr>
            <w:r w:rsidRPr="00951AB1">
              <w:rPr>
                <w:rFonts w:eastAsia="Times New Roman" w:cs="Times New Roman"/>
                <w:color w:val="000000" w:themeColor="text1"/>
                <w:sz w:val="18"/>
                <w:szCs w:val="18"/>
              </w:rPr>
              <w:t>2022</w:t>
            </w:r>
          </w:p>
        </w:tc>
        <w:tc>
          <w:tcPr>
            <w:tcW w:w="4720" w:type="dxa"/>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tcMar>
              <w:left w:w="70" w:type="dxa"/>
              <w:right w:w="70" w:type="dxa"/>
            </w:tcMar>
            <w:vAlign w:val="bottom"/>
          </w:tcPr>
          <w:p w14:paraId="7EDB0484" w14:textId="14343CC8" w:rsidR="012A6C64" w:rsidRPr="00951AB1" w:rsidRDefault="012A6C64" w:rsidP="000A5389">
            <w:pPr>
              <w:spacing w:line="240" w:lineRule="auto"/>
              <w:jc w:val="right"/>
              <w:rPr>
                <w:rFonts w:cs="Times New Roman"/>
                <w:sz w:val="18"/>
                <w:szCs w:val="18"/>
              </w:rPr>
            </w:pPr>
            <w:r w:rsidRPr="00951AB1">
              <w:rPr>
                <w:rFonts w:eastAsia="Times New Roman" w:cs="Times New Roman"/>
                <w:color w:val="000000" w:themeColor="text1"/>
                <w:sz w:val="18"/>
                <w:szCs w:val="18"/>
              </w:rPr>
              <w:t>386.067.175.789</w:t>
            </w:r>
          </w:p>
        </w:tc>
      </w:tr>
      <w:tr w:rsidR="012A6C64" w:rsidRPr="00951AB1" w14:paraId="44BB4153" w14:textId="77777777" w:rsidTr="004A7790">
        <w:trPr>
          <w:trHeight w:val="300"/>
        </w:trPr>
        <w:tc>
          <w:tcPr>
            <w:tcW w:w="4098" w:type="dxa"/>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tcMar>
              <w:left w:w="70" w:type="dxa"/>
              <w:right w:w="70" w:type="dxa"/>
            </w:tcMar>
            <w:vAlign w:val="bottom"/>
          </w:tcPr>
          <w:p w14:paraId="0B587390" w14:textId="4C06A767" w:rsidR="012A6C64" w:rsidRPr="00951AB1" w:rsidRDefault="012A6C64" w:rsidP="000A5389">
            <w:pPr>
              <w:spacing w:line="240" w:lineRule="auto"/>
              <w:jc w:val="center"/>
              <w:rPr>
                <w:rFonts w:cs="Times New Roman"/>
                <w:sz w:val="18"/>
                <w:szCs w:val="18"/>
              </w:rPr>
            </w:pPr>
            <w:r w:rsidRPr="00951AB1">
              <w:rPr>
                <w:rFonts w:eastAsia="Times New Roman" w:cs="Times New Roman"/>
                <w:color w:val="000000" w:themeColor="text1"/>
                <w:sz w:val="18"/>
                <w:szCs w:val="18"/>
              </w:rPr>
              <w:t>2020</w:t>
            </w:r>
          </w:p>
        </w:tc>
        <w:tc>
          <w:tcPr>
            <w:tcW w:w="4720" w:type="dxa"/>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tcMar>
              <w:left w:w="70" w:type="dxa"/>
              <w:right w:w="70" w:type="dxa"/>
            </w:tcMar>
            <w:vAlign w:val="bottom"/>
          </w:tcPr>
          <w:p w14:paraId="2E4050D4" w14:textId="71A214C5" w:rsidR="012A6C64" w:rsidRPr="00951AB1" w:rsidRDefault="012A6C64" w:rsidP="000A5389">
            <w:pPr>
              <w:spacing w:line="240" w:lineRule="auto"/>
              <w:jc w:val="right"/>
              <w:rPr>
                <w:rFonts w:cs="Times New Roman"/>
                <w:sz w:val="18"/>
                <w:szCs w:val="18"/>
              </w:rPr>
            </w:pPr>
            <w:r w:rsidRPr="00951AB1">
              <w:rPr>
                <w:rFonts w:eastAsia="Times New Roman" w:cs="Times New Roman"/>
                <w:color w:val="000000" w:themeColor="text1"/>
                <w:sz w:val="18"/>
                <w:szCs w:val="18"/>
              </w:rPr>
              <w:t>38.635.444.022</w:t>
            </w:r>
          </w:p>
        </w:tc>
      </w:tr>
      <w:tr w:rsidR="012A6C64" w:rsidRPr="00951AB1" w14:paraId="4FE74858" w14:textId="77777777" w:rsidTr="004A7790">
        <w:trPr>
          <w:trHeight w:val="300"/>
        </w:trPr>
        <w:tc>
          <w:tcPr>
            <w:tcW w:w="4098" w:type="dxa"/>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tcMar>
              <w:left w:w="70" w:type="dxa"/>
              <w:right w:w="70" w:type="dxa"/>
            </w:tcMar>
            <w:vAlign w:val="bottom"/>
          </w:tcPr>
          <w:p w14:paraId="6244E691" w14:textId="18B70CFF" w:rsidR="012A6C64" w:rsidRPr="00951AB1" w:rsidRDefault="012A6C64" w:rsidP="000A5389">
            <w:pPr>
              <w:spacing w:line="240" w:lineRule="auto"/>
              <w:jc w:val="center"/>
              <w:rPr>
                <w:rFonts w:cs="Times New Roman"/>
                <w:sz w:val="18"/>
                <w:szCs w:val="18"/>
              </w:rPr>
            </w:pPr>
            <w:r w:rsidRPr="00951AB1">
              <w:rPr>
                <w:rFonts w:eastAsia="Times New Roman" w:cs="Times New Roman"/>
                <w:color w:val="000000" w:themeColor="text1"/>
                <w:sz w:val="18"/>
                <w:szCs w:val="18"/>
              </w:rPr>
              <w:t>2021</w:t>
            </w:r>
          </w:p>
        </w:tc>
        <w:tc>
          <w:tcPr>
            <w:tcW w:w="4720" w:type="dxa"/>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tcMar>
              <w:left w:w="70" w:type="dxa"/>
              <w:right w:w="70" w:type="dxa"/>
            </w:tcMar>
            <w:vAlign w:val="bottom"/>
          </w:tcPr>
          <w:p w14:paraId="09C940DF" w14:textId="614A0B19" w:rsidR="012A6C64" w:rsidRPr="00951AB1" w:rsidRDefault="012A6C64" w:rsidP="000A5389">
            <w:pPr>
              <w:spacing w:line="240" w:lineRule="auto"/>
              <w:jc w:val="right"/>
              <w:rPr>
                <w:rFonts w:cs="Times New Roman"/>
                <w:sz w:val="18"/>
                <w:szCs w:val="18"/>
              </w:rPr>
            </w:pPr>
            <w:r w:rsidRPr="00951AB1">
              <w:rPr>
                <w:rFonts w:eastAsia="Times New Roman" w:cs="Times New Roman"/>
                <w:color w:val="000000" w:themeColor="text1"/>
                <w:sz w:val="18"/>
                <w:szCs w:val="18"/>
              </w:rPr>
              <w:t>25.753.128.891</w:t>
            </w:r>
          </w:p>
        </w:tc>
      </w:tr>
      <w:tr w:rsidR="012A6C64" w:rsidRPr="00951AB1" w14:paraId="63F24D0F" w14:textId="77777777" w:rsidTr="004A7790">
        <w:trPr>
          <w:trHeight w:val="300"/>
        </w:trPr>
        <w:tc>
          <w:tcPr>
            <w:tcW w:w="4098" w:type="dxa"/>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tcMar>
              <w:left w:w="70" w:type="dxa"/>
              <w:right w:w="70" w:type="dxa"/>
            </w:tcMar>
            <w:vAlign w:val="bottom"/>
          </w:tcPr>
          <w:p w14:paraId="7A689643" w14:textId="5B56DC44" w:rsidR="012A6C64" w:rsidRPr="00951AB1" w:rsidRDefault="012A6C64" w:rsidP="000A5389">
            <w:pPr>
              <w:spacing w:line="240" w:lineRule="auto"/>
              <w:jc w:val="center"/>
              <w:rPr>
                <w:rFonts w:cs="Times New Roman"/>
                <w:sz w:val="18"/>
                <w:szCs w:val="18"/>
              </w:rPr>
            </w:pPr>
            <w:r w:rsidRPr="00951AB1">
              <w:rPr>
                <w:rFonts w:eastAsia="Times New Roman" w:cs="Times New Roman"/>
                <w:color w:val="000000" w:themeColor="text1"/>
                <w:sz w:val="18"/>
                <w:szCs w:val="18"/>
              </w:rPr>
              <w:t>2019</w:t>
            </w:r>
          </w:p>
        </w:tc>
        <w:tc>
          <w:tcPr>
            <w:tcW w:w="4720" w:type="dxa"/>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tcMar>
              <w:left w:w="70" w:type="dxa"/>
              <w:right w:w="70" w:type="dxa"/>
            </w:tcMar>
            <w:vAlign w:val="bottom"/>
          </w:tcPr>
          <w:p w14:paraId="52935721" w14:textId="17213306" w:rsidR="012A6C64" w:rsidRPr="00951AB1" w:rsidRDefault="012A6C64" w:rsidP="000A5389">
            <w:pPr>
              <w:spacing w:line="240" w:lineRule="auto"/>
              <w:jc w:val="right"/>
              <w:rPr>
                <w:rFonts w:cs="Times New Roman"/>
                <w:sz w:val="18"/>
                <w:szCs w:val="18"/>
              </w:rPr>
            </w:pPr>
            <w:r w:rsidRPr="00951AB1">
              <w:rPr>
                <w:rFonts w:eastAsia="Times New Roman" w:cs="Times New Roman"/>
                <w:color w:val="000000" w:themeColor="text1"/>
                <w:sz w:val="18"/>
                <w:szCs w:val="18"/>
              </w:rPr>
              <w:t>19.207.031.007</w:t>
            </w:r>
          </w:p>
        </w:tc>
      </w:tr>
      <w:tr w:rsidR="012A6C64" w:rsidRPr="00951AB1" w14:paraId="6DCAA9AC" w14:textId="77777777" w:rsidTr="004A7790">
        <w:trPr>
          <w:trHeight w:val="300"/>
        </w:trPr>
        <w:tc>
          <w:tcPr>
            <w:tcW w:w="4098" w:type="dxa"/>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tcMar>
              <w:left w:w="70" w:type="dxa"/>
              <w:right w:w="70" w:type="dxa"/>
            </w:tcMar>
            <w:vAlign w:val="bottom"/>
          </w:tcPr>
          <w:p w14:paraId="57C5BF88" w14:textId="11D6F48E" w:rsidR="012A6C64" w:rsidRPr="00951AB1" w:rsidRDefault="012A6C64" w:rsidP="000A5389">
            <w:pPr>
              <w:spacing w:line="240" w:lineRule="auto"/>
              <w:jc w:val="center"/>
              <w:rPr>
                <w:rFonts w:cs="Times New Roman"/>
                <w:sz w:val="18"/>
                <w:szCs w:val="18"/>
              </w:rPr>
            </w:pPr>
            <w:r w:rsidRPr="00951AB1">
              <w:rPr>
                <w:rFonts w:eastAsia="Times New Roman" w:cs="Times New Roman"/>
                <w:b/>
                <w:bCs/>
                <w:color w:val="000000" w:themeColor="text1"/>
                <w:sz w:val="18"/>
                <w:szCs w:val="18"/>
              </w:rPr>
              <w:t>VALOR TOTAL</w:t>
            </w:r>
          </w:p>
        </w:tc>
        <w:tc>
          <w:tcPr>
            <w:tcW w:w="4720" w:type="dxa"/>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tcMar>
              <w:left w:w="70" w:type="dxa"/>
              <w:right w:w="70" w:type="dxa"/>
            </w:tcMar>
            <w:vAlign w:val="bottom"/>
          </w:tcPr>
          <w:p w14:paraId="20AE84C1" w14:textId="2414458B" w:rsidR="012A6C64" w:rsidRPr="00951AB1" w:rsidRDefault="012A6C64" w:rsidP="000A5389">
            <w:pPr>
              <w:spacing w:line="240" w:lineRule="auto"/>
              <w:jc w:val="right"/>
              <w:rPr>
                <w:rFonts w:cs="Times New Roman"/>
                <w:sz w:val="18"/>
                <w:szCs w:val="18"/>
              </w:rPr>
            </w:pPr>
            <w:r w:rsidRPr="00951AB1">
              <w:rPr>
                <w:rFonts w:eastAsia="Times New Roman" w:cs="Times New Roman"/>
                <w:b/>
                <w:bCs/>
                <w:color w:val="000000" w:themeColor="text1"/>
                <w:sz w:val="18"/>
                <w:szCs w:val="18"/>
              </w:rPr>
              <w:t>6.355.739.800.701</w:t>
            </w:r>
          </w:p>
        </w:tc>
      </w:tr>
    </w:tbl>
    <w:p w14:paraId="76D2D6F0" w14:textId="77777777" w:rsidR="004A7790" w:rsidRPr="00951AB1" w:rsidRDefault="004A7790" w:rsidP="000A5389">
      <w:pPr>
        <w:spacing w:line="240" w:lineRule="auto"/>
        <w:rPr>
          <w:rFonts w:cs="Times New Roman"/>
          <w:sz w:val="14"/>
          <w:szCs w:val="14"/>
        </w:rPr>
      </w:pPr>
      <w:r w:rsidRPr="00951AB1">
        <w:rPr>
          <w:rFonts w:cs="Times New Roman"/>
          <w:sz w:val="14"/>
          <w:szCs w:val="14"/>
        </w:rPr>
        <w:t xml:space="preserve">Cifras expresadas en pesos </w:t>
      </w:r>
    </w:p>
    <w:p w14:paraId="0678F4D2" w14:textId="77777777" w:rsidR="004A7790" w:rsidRDefault="004A7790" w:rsidP="000A5389">
      <w:pPr>
        <w:spacing w:line="240" w:lineRule="auto"/>
        <w:contextualSpacing/>
        <w:rPr>
          <w:rFonts w:eastAsia="Times New Roman" w:cs="Times New Roman"/>
          <w:szCs w:val="24"/>
        </w:rPr>
      </w:pPr>
    </w:p>
    <w:p w14:paraId="43624C44" w14:textId="778D656D" w:rsidR="00F9262B" w:rsidRPr="00951AB1" w:rsidRDefault="390B375C" w:rsidP="000A5389">
      <w:pPr>
        <w:spacing w:line="240" w:lineRule="auto"/>
        <w:contextualSpacing/>
        <w:rPr>
          <w:rFonts w:cs="Times New Roman"/>
        </w:rPr>
      </w:pPr>
      <w:r w:rsidRPr="00951AB1">
        <w:rPr>
          <w:rFonts w:eastAsia="Times New Roman" w:cs="Times New Roman"/>
          <w:szCs w:val="24"/>
        </w:rPr>
        <w:t>De conformidad con el Memorando 20266020014513 del 16 de enero de 2026 emitido por la Coordinación del GIT de Riesgos de la Vicepresidencia de Planeación, Riesgos y Entorno (VPRE) de la entidad, se relaciona el saldo de las subcuentas presentado por Fiduciaria la Previsora S.A. (Fiduprevisora) como entidad administradora del Fondo de Contingencias de las Entidades Estatales y refleja las cuentas para los proyectos de cuarta generación (4G) en los que la Agencia ha realizado aportes hasta el momento por concepto de Riesgos comerciales.</w:t>
      </w:r>
    </w:p>
    <w:p w14:paraId="4FA1618D" w14:textId="46D5507D" w:rsidR="00F9262B" w:rsidRPr="00951AB1" w:rsidRDefault="390B375C" w:rsidP="000A5389">
      <w:pPr>
        <w:spacing w:line="240" w:lineRule="auto"/>
        <w:rPr>
          <w:rFonts w:cs="Times New Roman"/>
        </w:rPr>
      </w:pPr>
      <w:r w:rsidRPr="00951AB1">
        <w:rPr>
          <w:rFonts w:eastAsia="Times New Roman" w:cs="Times New Roman"/>
          <w:szCs w:val="24"/>
        </w:rPr>
        <w:t xml:space="preserve"> </w:t>
      </w:r>
    </w:p>
    <w:p w14:paraId="604418FA" w14:textId="7731C33B" w:rsidR="00F9262B" w:rsidRPr="00951AB1" w:rsidRDefault="390B375C" w:rsidP="000A5389">
      <w:pPr>
        <w:spacing w:line="240" w:lineRule="auto"/>
        <w:rPr>
          <w:rFonts w:cs="Times New Roman"/>
        </w:rPr>
      </w:pPr>
      <w:r w:rsidRPr="00951AB1">
        <w:rPr>
          <w:rFonts w:eastAsia="Times New Roman" w:cs="Times New Roman"/>
          <w:szCs w:val="24"/>
        </w:rPr>
        <w:t>A continuación, se relaciona su composición con corte 31 de diciembre de 2025 para los 19 proyectos de concesión del modo de transporte carretero:</w:t>
      </w:r>
    </w:p>
    <w:p w14:paraId="2D2DA026" w14:textId="229F73D4" w:rsidR="00F9262B" w:rsidRPr="00951AB1" w:rsidRDefault="00F9262B" w:rsidP="000A5389">
      <w:pPr>
        <w:spacing w:line="240" w:lineRule="auto"/>
        <w:rPr>
          <w:rFonts w:cs="Times New Roman"/>
          <w:highlight w:val="yellow"/>
        </w:rPr>
      </w:pPr>
    </w:p>
    <w:tbl>
      <w:tblPr>
        <w:tblW w:w="8818" w:type="dxa"/>
        <w:tblLook w:val="04A0" w:firstRow="1" w:lastRow="0" w:firstColumn="1" w:lastColumn="0" w:noHBand="0" w:noVBand="1"/>
      </w:tblPr>
      <w:tblGrid>
        <w:gridCol w:w="1880"/>
        <w:gridCol w:w="924"/>
        <w:gridCol w:w="1355"/>
        <w:gridCol w:w="291"/>
        <w:gridCol w:w="1812"/>
        <w:gridCol w:w="1066"/>
        <w:gridCol w:w="1490"/>
      </w:tblGrid>
      <w:tr w:rsidR="3C8C763A" w:rsidRPr="00951AB1" w14:paraId="4B79E042" w14:textId="77777777" w:rsidTr="004A7790">
        <w:trPr>
          <w:trHeight w:val="300"/>
        </w:trPr>
        <w:tc>
          <w:tcPr>
            <w:tcW w:w="1880" w:type="dxa"/>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tcMar>
              <w:left w:w="70" w:type="dxa"/>
              <w:right w:w="70" w:type="dxa"/>
            </w:tcMar>
            <w:vAlign w:val="center"/>
          </w:tcPr>
          <w:p w14:paraId="05DC5186" w14:textId="50FD20FF" w:rsidR="3C8C763A" w:rsidRPr="00951AB1" w:rsidRDefault="3C8C763A" w:rsidP="000A5389">
            <w:pPr>
              <w:spacing w:line="240" w:lineRule="auto"/>
              <w:jc w:val="center"/>
              <w:rPr>
                <w:rFonts w:cs="Times New Roman"/>
                <w:sz w:val="18"/>
                <w:szCs w:val="18"/>
              </w:rPr>
            </w:pPr>
            <w:r w:rsidRPr="00951AB1">
              <w:rPr>
                <w:rFonts w:eastAsia="Times New Roman" w:cs="Times New Roman"/>
                <w:b/>
                <w:bCs/>
                <w:color w:val="000000" w:themeColor="text1"/>
                <w:sz w:val="18"/>
                <w:szCs w:val="18"/>
              </w:rPr>
              <w:t xml:space="preserve">Proyecto </w:t>
            </w:r>
          </w:p>
        </w:tc>
        <w:tc>
          <w:tcPr>
            <w:tcW w:w="924" w:type="dxa"/>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tcMar>
              <w:left w:w="70" w:type="dxa"/>
              <w:right w:w="70" w:type="dxa"/>
            </w:tcMar>
            <w:vAlign w:val="center"/>
          </w:tcPr>
          <w:p w14:paraId="3DAE42E6" w14:textId="10498E67" w:rsidR="3C8C763A" w:rsidRPr="00951AB1" w:rsidRDefault="3C8C763A" w:rsidP="000A5389">
            <w:pPr>
              <w:spacing w:line="240" w:lineRule="auto"/>
              <w:jc w:val="center"/>
              <w:rPr>
                <w:rFonts w:cs="Times New Roman"/>
                <w:sz w:val="18"/>
                <w:szCs w:val="18"/>
              </w:rPr>
            </w:pPr>
            <w:r w:rsidRPr="00951AB1">
              <w:rPr>
                <w:rFonts w:eastAsia="Times New Roman" w:cs="Times New Roman"/>
                <w:b/>
                <w:bCs/>
                <w:color w:val="000000" w:themeColor="text1"/>
                <w:sz w:val="18"/>
                <w:szCs w:val="18"/>
              </w:rPr>
              <w:t xml:space="preserve"> Riesgo </w:t>
            </w:r>
          </w:p>
        </w:tc>
        <w:tc>
          <w:tcPr>
            <w:tcW w:w="1355" w:type="dxa"/>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tcMar>
              <w:left w:w="70" w:type="dxa"/>
              <w:right w:w="70" w:type="dxa"/>
            </w:tcMar>
            <w:vAlign w:val="center"/>
          </w:tcPr>
          <w:p w14:paraId="7421B4A7" w14:textId="58D84ABE" w:rsidR="3C8C763A" w:rsidRPr="00951AB1" w:rsidRDefault="3C8C763A" w:rsidP="000A5389">
            <w:pPr>
              <w:spacing w:line="240" w:lineRule="auto"/>
              <w:jc w:val="center"/>
              <w:rPr>
                <w:rFonts w:cs="Times New Roman"/>
                <w:sz w:val="18"/>
                <w:szCs w:val="18"/>
              </w:rPr>
            </w:pPr>
            <w:r w:rsidRPr="00951AB1">
              <w:rPr>
                <w:rFonts w:eastAsia="Times New Roman" w:cs="Times New Roman"/>
                <w:b/>
                <w:bCs/>
                <w:color w:val="000000" w:themeColor="text1"/>
                <w:sz w:val="18"/>
                <w:szCs w:val="18"/>
              </w:rPr>
              <w:t xml:space="preserve"> Valor </w:t>
            </w:r>
          </w:p>
        </w:tc>
        <w:tc>
          <w:tcPr>
            <w:tcW w:w="291" w:type="dxa"/>
            <w:tcMar>
              <w:left w:w="70" w:type="dxa"/>
              <w:right w:w="70" w:type="dxa"/>
            </w:tcMar>
            <w:vAlign w:val="center"/>
          </w:tcPr>
          <w:p w14:paraId="5B765042" w14:textId="471CC19F" w:rsidR="3C8C763A" w:rsidRPr="00951AB1" w:rsidRDefault="3C8C763A" w:rsidP="000A5389">
            <w:pPr>
              <w:spacing w:line="240" w:lineRule="auto"/>
              <w:rPr>
                <w:rFonts w:cs="Times New Roman"/>
                <w:sz w:val="18"/>
                <w:szCs w:val="18"/>
              </w:rPr>
            </w:pPr>
          </w:p>
        </w:tc>
        <w:tc>
          <w:tcPr>
            <w:tcW w:w="1812" w:type="dxa"/>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tcMar>
              <w:left w:w="70" w:type="dxa"/>
              <w:right w:w="70" w:type="dxa"/>
            </w:tcMar>
            <w:vAlign w:val="center"/>
          </w:tcPr>
          <w:p w14:paraId="67EE9B45" w14:textId="06D77307" w:rsidR="3C8C763A" w:rsidRPr="00951AB1" w:rsidRDefault="3C8C763A" w:rsidP="000A5389">
            <w:pPr>
              <w:spacing w:line="240" w:lineRule="auto"/>
              <w:jc w:val="center"/>
              <w:rPr>
                <w:rFonts w:cs="Times New Roman"/>
                <w:sz w:val="18"/>
                <w:szCs w:val="18"/>
              </w:rPr>
            </w:pPr>
            <w:r w:rsidRPr="00951AB1">
              <w:rPr>
                <w:rFonts w:eastAsia="Times New Roman" w:cs="Times New Roman"/>
                <w:b/>
                <w:bCs/>
                <w:color w:val="000000" w:themeColor="text1"/>
                <w:sz w:val="18"/>
                <w:szCs w:val="18"/>
              </w:rPr>
              <w:t xml:space="preserve"> Proyecto </w:t>
            </w:r>
          </w:p>
        </w:tc>
        <w:tc>
          <w:tcPr>
            <w:tcW w:w="1066" w:type="dxa"/>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tcMar>
              <w:left w:w="70" w:type="dxa"/>
              <w:right w:w="70" w:type="dxa"/>
            </w:tcMar>
            <w:vAlign w:val="center"/>
          </w:tcPr>
          <w:p w14:paraId="052A84E3" w14:textId="7C6C4D6B" w:rsidR="3C8C763A" w:rsidRPr="00951AB1" w:rsidRDefault="3C8C763A" w:rsidP="000A5389">
            <w:pPr>
              <w:spacing w:line="240" w:lineRule="auto"/>
              <w:jc w:val="center"/>
              <w:rPr>
                <w:rFonts w:cs="Times New Roman"/>
                <w:sz w:val="18"/>
                <w:szCs w:val="18"/>
              </w:rPr>
            </w:pPr>
            <w:r w:rsidRPr="00951AB1">
              <w:rPr>
                <w:rFonts w:eastAsia="Times New Roman" w:cs="Times New Roman"/>
                <w:b/>
                <w:bCs/>
                <w:color w:val="000000" w:themeColor="text1"/>
                <w:sz w:val="18"/>
                <w:szCs w:val="18"/>
              </w:rPr>
              <w:t xml:space="preserve"> Riesgo </w:t>
            </w:r>
          </w:p>
        </w:tc>
        <w:tc>
          <w:tcPr>
            <w:tcW w:w="1490" w:type="dxa"/>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tcMar>
              <w:left w:w="70" w:type="dxa"/>
              <w:right w:w="70" w:type="dxa"/>
            </w:tcMar>
            <w:vAlign w:val="center"/>
          </w:tcPr>
          <w:p w14:paraId="555A99DF" w14:textId="04AC2BBD" w:rsidR="3C8C763A" w:rsidRPr="00951AB1" w:rsidRDefault="3C8C763A" w:rsidP="000A5389">
            <w:pPr>
              <w:spacing w:line="240" w:lineRule="auto"/>
              <w:jc w:val="center"/>
              <w:rPr>
                <w:rFonts w:cs="Times New Roman"/>
                <w:sz w:val="18"/>
                <w:szCs w:val="18"/>
              </w:rPr>
            </w:pPr>
            <w:r w:rsidRPr="00951AB1">
              <w:rPr>
                <w:rFonts w:eastAsia="Times New Roman" w:cs="Times New Roman"/>
                <w:b/>
                <w:bCs/>
                <w:color w:val="000000" w:themeColor="text1"/>
                <w:sz w:val="18"/>
                <w:szCs w:val="18"/>
              </w:rPr>
              <w:t xml:space="preserve"> Valor </w:t>
            </w:r>
          </w:p>
        </w:tc>
      </w:tr>
      <w:tr w:rsidR="3C8C763A" w:rsidRPr="00951AB1" w14:paraId="6A394567" w14:textId="77777777" w:rsidTr="004A7790">
        <w:trPr>
          <w:trHeight w:val="300"/>
        </w:trPr>
        <w:tc>
          <w:tcPr>
            <w:tcW w:w="1880" w:type="dxa"/>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tcMar>
              <w:left w:w="70" w:type="dxa"/>
              <w:right w:w="70" w:type="dxa"/>
            </w:tcMar>
            <w:vAlign w:val="center"/>
          </w:tcPr>
          <w:p w14:paraId="434890EB" w14:textId="2B0CAA47" w:rsidR="3C8C763A" w:rsidRPr="00951AB1" w:rsidRDefault="3C8C763A" w:rsidP="000A5389">
            <w:pPr>
              <w:spacing w:line="240" w:lineRule="auto"/>
              <w:rPr>
                <w:rFonts w:cs="Times New Roman"/>
                <w:sz w:val="18"/>
                <w:szCs w:val="18"/>
              </w:rPr>
            </w:pPr>
            <w:r w:rsidRPr="00951AB1">
              <w:rPr>
                <w:rFonts w:eastAsia="Times New Roman" w:cs="Times New Roman"/>
                <w:color w:val="000000" w:themeColor="text1"/>
                <w:sz w:val="18"/>
                <w:szCs w:val="18"/>
              </w:rPr>
              <w:t xml:space="preserve"> Neiva - Mocoa - Santana </w:t>
            </w:r>
          </w:p>
        </w:tc>
        <w:tc>
          <w:tcPr>
            <w:tcW w:w="924" w:type="dxa"/>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tcMar>
              <w:left w:w="70" w:type="dxa"/>
              <w:right w:w="70" w:type="dxa"/>
            </w:tcMar>
            <w:vAlign w:val="center"/>
          </w:tcPr>
          <w:p w14:paraId="43C510C2" w14:textId="0EC7FFF6" w:rsidR="3C8C763A" w:rsidRPr="00951AB1" w:rsidRDefault="3C8C763A" w:rsidP="000A5389">
            <w:pPr>
              <w:spacing w:line="240" w:lineRule="auto"/>
              <w:jc w:val="center"/>
              <w:rPr>
                <w:rFonts w:cs="Times New Roman"/>
                <w:sz w:val="18"/>
                <w:szCs w:val="18"/>
              </w:rPr>
            </w:pPr>
            <w:r w:rsidRPr="00951AB1">
              <w:rPr>
                <w:rFonts w:eastAsia="Times New Roman" w:cs="Times New Roman"/>
                <w:color w:val="000000" w:themeColor="text1"/>
                <w:sz w:val="18"/>
                <w:szCs w:val="18"/>
              </w:rPr>
              <w:t xml:space="preserve"> Comercial </w:t>
            </w:r>
          </w:p>
        </w:tc>
        <w:tc>
          <w:tcPr>
            <w:tcW w:w="1355" w:type="dxa"/>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tcMar>
              <w:left w:w="70" w:type="dxa"/>
              <w:right w:w="70" w:type="dxa"/>
            </w:tcMar>
            <w:vAlign w:val="center"/>
          </w:tcPr>
          <w:p w14:paraId="04BCED1A" w14:textId="63FC68F4" w:rsidR="3C8C763A" w:rsidRPr="00951AB1" w:rsidRDefault="3C8C763A" w:rsidP="000A5389">
            <w:pPr>
              <w:spacing w:line="240" w:lineRule="auto"/>
              <w:jc w:val="right"/>
              <w:rPr>
                <w:rFonts w:cs="Times New Roman"/>
                <w:sz w:val="18"/>
                <w:szCs w:val="18"/>
              </w:rPr>
            </w:pPr>
            <w:r w:rsidRPr="00951AB1">
              <w:rPr>
                <w:rFonts w:eastAsia="Times New Roman" w:cs="Times New Roman"/>
                <w:color w:val="000000" w:themeColor="text1"/>
                <w:sz w:val="18"/>
                <w:szCs w:val="18"/>
              </w:rPr>
              <w:t xml:space="preserve">      717.148.192.388 </w:t>
            </w:r>
          </w:p>
        </w:tc>
        <w:tc>
          <w:tcPr>
            <w:tcW w:w="291" w:type="dxa"/>
            <w:tcMar>
              <w:left w:w="70" w:type="dxa"/>
              <w:right w:w="70" w:type="dxa"/>
            </w:tcMar>
            <w:vAlign w:val="center"/>
          </w:tcPr>
          <w:p w14:paraId="0D460AA8" w14:textId="78B24189" w:rsidR="3C8C763A" w:rsidRPr="00951AB1" w:rsidRDefault="3C8C763A" w:rsidP="000A5389">
            <w:pPr>
              <w:spacing w:line="240" w:lineRule="auto"/>
              <w:rPr>
                <w:rFonts w:cs="Times New Roman"/>
                <w:sz w:val="18"/>
                <w:szCs w:val="18"/>
              </w:rPr>
            </w:pPr>
          </w:p>
        </w:tc>
        <w:tc>
          <w:tcPr>
            <w:tcW w:w="1812" w:type="dxa"/>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tcMar>
              <w:left w:w="70" w:type="dxa"/>
              <w:right w:w="70" w:type="dxa"/>
            </w:tcMar>
            <w:vAlign w:val="center"/>
          </w:tcPr>
          <w:p w14:paraId="0CD261C2" w14:textId="495401F7" w:rsidR="3C8C763A" w:rsidRPr="00951AB1" w:rsidRDefault="3C8C763A" w:rsidP="000A5389">
            <w:pPr>
              <w:spacing w:line="240" w:lineRule="auto"/>
              <w:rPr>
                <w:rFonts w:cs="Times New Roman"/>
                <w:sz w:val="18"/>
                <w:szCs w:val="18"/>
              </w:rPr>
            </w:pPr>
            <w:r w:rsidRPr="00951AB1">
              <w:rPr>
                <w:rFonts w:eastAsia="Times New Roman" w:cs="Times New Roman"/>
                <w:color w:val="000000" w:themeColor="text1"/>
                <w:sz w:val="18"/>
                <w:szCs w:val="18"/>
              </w:rPr>
              <w:t xml:space="preserve"> Autopista al Mar 2 </w:t>
            </w:r>
          </w:p>
        </w:tc>
        <w:tc>
          <w:tcPr>
            <w:tcW w:w="1066" w:type="dxa"/>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tcMar>
              <w:left w:w="70" w:type="dxa"/>
              <w:right w:w="70" w:type="dxa"/>
            </w:tcMar>
            <w:vAlign w:val="center"/>
          </w:tcPr>
          <w:p w14:paraId="369D0192" w14:textId="51CA1C40" w:rsidR="3C8C763A" w:rsidRPr="00951AB1" w:rsidRDefault="3C8C763A" w:rsidP="000A5389">
            <w:pPr>
              <w:spacing w:line="240" w:lineRule="auto"/>
              <w:jc w:val="center"/>
              <w:rPr>
                <w:rFonts w:cs="Times New Roman"/>
                <w:sz w:val="18"/>
                <w:szCs w:val="18"/>
              </w:rPr>
            </w:pPr>
            <w:r w:rsidRPr="00951AB1">
              <w:rPr>
                <w:rFonts w:eastAsia="Times New Roman" w:cs="Times New Roman"/>
                <w:color w:val="000000" w:themeColor="text1"/>
                <w:sz w:val="18"/>
                <w:szCs w:val="18"/>
              </w:rPr>
              <w:t xml:space="preserve"> Comercial </w:t>
            </w:r>
          </w:p>
        </w:tc>
        <w:tc>
          <w:tcPr>
            <w:tcW w:w="1490" w:type="dxa"/>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tcMar>
              <w:left w:w="70" w:type="dxa"/>
              <w:right w:w="70" w:type="dxa"/>
            </w:tcMar>
            <w:vAlign w:val="center"/>
          </w:tcPr>
          <w:p w14:paraId="2DE9321B" w14:textId="70CAB9A2" w:rsidR="3C8C763A" w:rsidRPr="00951AB1" w:rsidRDefault="3C8C763A" w:rsidP="000A5389">
            <w:pPr>
              <w:spacing w:line="240" w:lineRule="auto"/>
              <w:jc w:val="right"/>
              <w:rPr>
                <w:rFonts w:cs="Times New Roman"/>
                <w:sz w:val="18"/>
                <w:szCs w:val="18"/>
              </w:rPr>
            </w:pPr>
            <w:r w:rsidRPr="00951AB1">
              <w:rPr>
                <w:rFonts w:eastAsia="Times New Roman" w:cs="Times New Roman"/>
                <w:color w:val="000000" w:themeColor="text1"/>
                <w:sz w:val="18"/>
                <w:szCs w:val="18"/>
              </w:rPr>
              <w:t>21.237.661.017</w:t>
            </w:r>
          </w:p>
        </w:tc>
      </w:tr>
      <w:tr w:rsidR="3C8C763A" w:rsidRPr="00951AB1" w14:paraId="5843476D" w14:textId="77777777" w:rsidTr="004A7790">
        <w:trPr>
          <w:trHeight w:val="495"/>
        </w:trPr>
        <w:tc>
          <w:tcPr>
            <w:tcW w:w="1880" w:type="dxa"/>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tcMar>
              <w:left w:w="70" w:type="dxa"/>
              <w:right w:w="70" w:type="dxa"/>
            </w:tcMar>
            <w:vAlign w:val="center"/>
          </w:tcPr>
          <w:p w14:paraId="2B4C4251" w14:textId="71830D57" w:rsidR="3C8C763A" w:rsidRPr="00951AB1" w:rsidRDefault="3C8C763A" w:rsidP="000A5389">
            <w:pPr>
              <w:spacing w:line="240" w:lineRule="auto"/>
              <w:rPr>
                <w:rFonts w:cs="Times New Roman"/>
                <w:sz w:val="18"/>
                <w:szCs w:val="18"/>
              </w:rPr>
            </w:pPr>
            <w:r w:rsidRPr="00951AB1">
              <w:rPr>
                <w:rFonts w:eastAsia="Times New Roman" w:cs="Times New Roman"/>
                <w:color w:val="000000" w:themeColor="text1"/>
                <w:sz w:val="18"/>
                <w:szCs w:val="18"/>
              </w:rPr>
              <w:t xml:space="preserve"> Popayán - Santander de Quilichao </w:t>
            </w:r>
          </w:p>
        </w:tc>
        <w:tc>
          <w:tcPr>
            <w:tcW w:w="924" w:type="dxa"/>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tcMar>
              <w:left w:w="70" w:type="dxa"/>
              <w:right w:w="70" w:type="dxa"/>
            </w:tcMar>
            <w:vAlign w:val="center"/>
          </w:tcPr>
          <w:p w14:paraId="54345F52" w14:textId="636F7C1C" w:rsidR="3C8C763A" w:rsidRPr="00951AB1" w:rsidRDefault="3C8C763A" w:rsidP="000A5389">
            <w:pPr>
              <w:spacing w:line="240" w:lineRule="auto"/>
              <w:jc w:val="center"/>
              <w:rPr>
                <w:rFonts w:cs="Times New Roman"/>
                <w:sz w:val="18"/>
                <w:szCs w:val="18"/>
              </w:rPr>
            </w:pPr>
            <w:r w:rsidRPr="00951AB1">
              <w:rPr>
                <w:rFonts w:eastAsia="Times New Roman" w:cs="Times New Roman"/>
                <w:color w:val="000000" w:themeColor="text1"/>
                <w:sz w:val="18"/>
                <w:szCs w:val="18"/>
              </w:rPr>
              <w:t xml:space="preserve"> Comercial </w:t>
            </w:r>
          </w:p>
        </w:tc>
        <w:tc>
          <w:tcPr>
            <w:tcW w:w="1355" w:type="dxa"/>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tcMar>
              <w:left w:w="70" w:type="dxa"/>
              <w:right w:w="70" w:type="dxa"/>
            </w:tcMar>
            <w:vAlign w:val="center"/>
          </w:tcPr>
          <w:p w14:paraId="3DAD7A9F" w14:textId="576FB322" w:rsidR="3C8C763A" w:rsidRPr="00951AB1" w:rsidRDefault="3C8C763A" w:rsidP="000A5389">
            <w:pPr>
              <w:spacing w:line="240" w:lineRule="auto"/>
              <w:jc w:val="right"/>
              <w:rPr>
                <w:rFonts w:cs="Times New Roman"/>
                <w:sz w:val="18"/>
                <w:szCs w:val="18"/>
              </w:rPr>
            </w:pPr>
            <w:r w:rsidRPr="00951AB1">
              <w:rPr>
                <w:rFonts w:eastAsia="Times New Roman" w:cs="Times New Roman"/>
                <w:color w:val="000000" w:themeColor="text1"/>
                <w:sz w:val="18"/>
                <w:szCs w:val="18"/>
              </w:rPr>
              <w:t xml:space="preserve">      248.251.981.895 </w:t>
            </w:r>
          </w:p>
        </w:tc>
        <w:tc>
          <w:tcPr>
            <w:tcW w:w="291" w:type="dxa"/>
            <w:tcMar>
              <w:left w:w="70" w:type="dxa"/>
              <w:right w:w="70" w:type="dxa"/>
            </w:tcMar>
            <w:vAlign w:val="center"/>
          </w:tcPr>
          <w:p w14:paraId="55B82F6B" w14:textId="09B74341" w:rsidR="3C8C763A" w:rsidRPr="00951AB1" w:rsidRDefault="3C8C763A" w:rsidP="000A5389">
            <w:pPr>
              <w:spacing w:line="240" w:lineRule="auto"/>
              <w:rPr>
                <w:rFonts w:cs="Times New Roman"/>
                <w:sz w:val="18"/>
                <w:szCs w:val="18"/>
              </w:rPr>
            </w:pPr>
          </w:p>
        </w:tc>
        <w:tc>
          <w:tcPr>
            <w:tcW w:w="1812" w:type="dxa"/>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tcMar>
              <w:left w:w="70" w:type="dxa"/>
              <w:right w:w="70" w:type="dxa"/>
            </w:tcMar>
            <w:vAlign w:val="center"/>
          </w:tcPr>
          <w:p w14:paraId="3F23C23C" w14:textId="4A2FDD42" w:rsidR="3C8C763A" w:rsidRPr="00951AB1" w:rsidRDefault="3C8C763A" w:rsidP="000A5389">
            <w:pPr>
              <w:spacing w:line="240" w:lineRule="auto"/>
              <w:rPr>
                <w:rFonts w:cs="Times New Roman"/>
                <w:sz w:val="18"/>
                <w:szCs w:val="18"/>
              </w:rPr>
            </w:pPr>
            <w:r w:rsidRPr="00951AB1">
              <w:rPr>
                <w:rFonts w:eastAsia="Times New Roman" w:cs="Times New Roman"/>
                <w:color w:val="000000" w:themeColor="text1"/>
                <w:sz w:val="18"/>
                <w:szCs w:val="18"/>
              </w:rPr>
              <w:t xml:space="preserve"> Conexión Pacífico 3 </w:t>
            </w:r>
          </w:p>
        </w:tc>
        <w:tc>
          <w:tcPr>
            <w:tcW w:w="1066" w:type="dxa"/>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tcMar>
              <w:left w:w="70" w:type="dxa"/>
              <w:right w:w="70" w:type="dxa"/>
            </w:tcMar>
            <w:vAlign w:val="center"/>
          </w:tcPr>
          <w:p w14:paraId="4C8982F0" w14:textId="4C2417E8" w:rsidR="3C8C763A" w:rsidRPr="00951AB1" w:rsidRDefault="3C8C763A" w:rsidP="000A5389">
            <w:pPr>
              <w:spacing w:line="240" w:lineRule="auto"/>
              <w:jc w:val="center"/>
              <w:rPr>
                <w:rFonts w:cs="Times New Roman"/>
                <w:sz w:val="18"/>
                <w:szCs w:val="18"/>
              </w:rPr>
            </w:pPr>
            <w:r w:rsidRPr="00951AB1">
              <w:rPr>
                <w:rFonts w:eastAsia="Times New Roman" w:cs="Times New Roman"/>
                <w:color w:val="000000" w:themeColor="text1"/>
                <w:sz w:val="18"/>
                <w:szCs w:val="18"/>
              </w:rPr>
              <w:t xml:space="preserve"> Comercial </w:t>
            </w:r>
          </w:p>
        </w:tc>
        <w:tc>
          <w:tcPr>
            <w:tcW w:w="1490" w:type="dxa"/>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tcMar>
              <w:left w:w="70" w:type="dxa"/>
              <w:right w:w="70" w:type="dxa"/>
            </w:tcMar>
            <w:vAlign w:val="center"/>
          </w:tcPr>
          <w:p w14:paraId="53569C7D" w14:textId="7BCF9725" w:rsidR="3C8C763A" w:rsidRPr="00951AB1" w:rsidRDefault="3C8C763A" w:rsidP="000A5389">
            <w:pPr>
              <w:spacing w:line="240" w:lineRule="auto"/>
              <w:jc w:val="right"/>
              <w:rPr>
                <w:rFonts w:cs="Times New Roman"/>
                <w:sz w:val="18"/>
                <w:szCs w:val="18"/>
              </w:rPr>
            </w:pPr>
            <w:r w:rsidRPr="00951AB1">
              <w:rPr>
                <w:rFonts w:eastAsia="Times New Roman" w:cs="Times New Roman"/>
                <w:color w:val="000000" w:themeColor="text1"/>
                <w:sz w:val="18"/>
                <w:szCs w:val="18"/>
              </w:rPr>
              <w:t>20.266.455.528</w:t>
            </w:r>
          </w:p>
        </w:tc>
      </w:tr>
      <w:tr w:rsidR="3C8C763A" w:rsidRPr="00951AB1" w14:paraId="20A5D019" w14:textId="77777777" w:rsidTr="004A7790">
        <w:trPr>
          <w:trHeight w:val="495"/>
        </w:trPr>
        <w:tc>
          <w:tcPr>
            <w:tcW w:w="1880" w:type="dxa"/>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tcMar>
              <w:left w:w="70" w:type="dxa"/>
              <w:right w:w="70" w:type="dxa"/>
            </w:tcMar>
            <w:vAlign w:val="center"/>
          </w:tcPr>
          <w:p w14:paraId="121DA716" w14:textId="77B9EB43" w:rsidR="3C8C763A" w:rsidRPr="00951AB1" w:rsidRDefault="3C8C763A" w:rsidP="000A5389">
            <w:pPr>
              <w:spacing w:line="240" w:lineRule="auto"/>
              <w:rPr>
                <w:rFonts w:cs="Times New Roman"/>
                <w:sz w:val="18"/>
                <w:szCs w:val="18"/>
              </w:rPr>
            </w:pPr>
            <w:r w:rsidRPr="00951AB1">
              <w:rPr>
                <w:rFonts w:eastAsia="Times New Roman" w:cs="Times New Roman"/>
                <w:color w:val="000000" w:themeColor="text1"/>
                <w:sz w:val="18"/>
                <w:szCs w:val="18"/>
              </w:rPr>
              <w:t xml:space="preserve"> Ctg - B/quilla Circunvalar de la Prosper </w:t>
            </w:r>
          </w:p>
        </w:tc>
        <w:tc>
          <w:tcPr>
            <w:tcW w:w="924" w:type="dxa"/>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tcMar>
              <w:left w:w="70" w:type="dxa"/>
              <w:right w:w="70" w:type="dxa"/>
            </w:tcMar>
            <w:vAlign w:val="center"/>
          </w:tcPr>
          <w:p w14:paraId="58D79F68" w14:textId="4051F5D7" w:rsidR="3C8C763A" w:rsidRPr="00951AB1" w:rsidRDefault="3C8C763A" w:rsidP="000A5389">
            <w:pPr>
              <w:spacing w:line="240" w:lineRule="auto"/>
              <w:jc w:val="center"/>
              <w:rPr>
                <w:rFonts w:cs="Times New Roman"/>
                <w:sz w:val="18"/>
                <w:szCs w:val="18"/>
              </w:rPr>
            </w:pPr>
            <w:r w:rsidRPr="00951AB1">
              <w:rPr>
                <w:rFonts w:eastAsia="Times New Roman" w:cs="Times New Roman"/>
                <w:color w:val="000000" w:themeColor="text1"/>
                <w:sz w:val="18"/>
                <w:szCs w:val="18"/>
              </w:rPr>
              <w:t xml:space="preserve"> Comercial </w:t>
            </w:r>
          </w:p>
        </w:tc>
        <w:tc>
          <w:tcPr>
            <w:tcW w:w="1355" w:type="dxa"/>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tcMar>
              <w:left w:w="70" w:type="dxa"/>
              <w:right w:w="70" w:type="dxa"/>
            </w:tcMar>
            <w:vAlign w:val="center"/>
          </w:tcPr>
          <w:p w14:paraId="0DDE6D3A" w14:textId="182F6CC2" w:rsidR="3C8C763A" w:rsidRPr="00951AB1" w:rsidRDefault="3C8C763A" w:rsidP="000A5389">
            <w:pPr>
              <w:spacing w:line="240" w:lineRule="auto"/>
              <w:jc w:val="right"/>
              <w:rPr>
                <w:rFonts w:cs="Times New Roman"/>
                <w:sz w:val="18"/>
                <w:szCs w:val="18"/>
              </w:rPr>
            </w:pPr>
            <w:r w:rsidRPr="00951AB1">
              <w:rPr>
                <w:rFonts w:eastAsia="Times New Roman" w:cs="Times New Roman"/>
                <w:color w:val="000000" w:themeColor="text1"/>
                <w:sz w:val="18"/>
                <w:szCs w:val="18"/>
              </w:rPr>
              <w:t xml:space="preserve">      125.047.658.932 </w:t>
            </w:r>
          </w:p>
        </w:tc>
        <w:tc>
          <w:tcPr>
            <w:tcW w:w="291" w:type="dxa"/>
            <w:tcMar>
              <w:left w:w="70" w:type="dxa"/>
              <w:right w:w="70" w:type="dxa"/>
            </w:tcMar>
            <w:vAlign w:val="center"/>
          </w:tcPr>
          <w:p w14:paraId="71CF32FE" w14:textId="07D60C2B" w:rsidR="3C8C763A" w:rsidRPr="00951AB1" w:rsidRDefault="3C8C763A" w:rsidP="000A5389">
            <w:pPr>
              <w:spacing w:line="240" w:lineRule="auto"/>
              <w:rPr>
                <w:rFonts w:cs="Times New Roman"/>
                <w:sz w:val="18"/>
                <w:szCs w:val="18"/>
              </w:rPr>
            </w:pPr>
          </w:p>
        </w:tc>
        <w:tc>
          <w:tcPr>
            <w:tcW w:w="1812" w:type="dxa"/>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tcMar>
              <w:left w:w="70" w:type="dxa"/>
              <w:right w:w="70" w:type="dxa"/>
            </w:tcMar>
            <w:vAlign w:val="center"/>
          </w:tcPr>
          <w:p w14:paraId="3D973F44" w14:textId="489CEC6A" w:rsidR="3C8C763A" w:rsidRPr="00951AB1" w:rsidRDefault="3C8C763A" w:rsidP="000A5389">
            <w:pPr>
              <w:spacing w:line="240" w:lineRule="auto"/>
              <w:rPr>
                <w:rFonts w:cs="Times New Roman"/>
                <w:sz w:val="18"/>
                <w:szCs w:val="18"/>
              </w:rPr>
            </w:pPr>
            <w:r w:rsidRPr="00951AB1">
              <w:rPr>
                <w:rFonts w:eastAsia="Times New Roman" w:cs="Times New Roman"/>
                <w:color w:val="000000" w:themeColor="text1"/>
                <w:sz w:val="18"/>
                <w:szCs w:val="18"/>
              </w:rPr>
              <w:t xml:space="preserve"> Villavicencio - Yopal </w:t>
            </w:r>
          </w:p>
        </w:tc>
        <w:tc>
          <w:tcPr>
            <w:tcW w:w="1066" w:type="dxa"/>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tcMar>
              <w:left w:w="70" w:type="dxa"/>
              <w:right w:w="70" w:type="dxa"/>
            </w:tcMar>
            <w:vAlign w:val="center"/>
          </w:tcPr>
          <w:p w14:paraId="77A1C933" w14:textId="6478894C" w:rsidR="3C8C763A" w:rsidRPr="00951AB1" w:rsidRDefault="3C8C763A" w:rsidP="000A5389">
            <w:pPr>
              <w:spacing w:line="240" w:lineRule="auto"/>
              <w:jc w:val="center"/>
              <w:rPr>
                <w:rFonts w:cs="Times New Roman"/>
                <w:sz w:val="18"/>
                <w:szCs w:val="18"/>
              </w:rPr>
            </w:pPr>
            <w:r w:rsidRPr="00951AB1">
              <w:rPr>
                <w:rFonts w:eastAsia="Times New Roman" w:cs="Times New Roman"/>
                <w:color w:val="000000" w:themeColor="text1"/>
                <w:sz w:val="18"/>
                <w:szCs w:val="18"/>
              </w:rPr>
              <w:t xml:space="preserve"> Comercial </w:t>
            </w:r>
          </w:p>
        </w:tc>
        <w:tc>
          <w:tcPr>
            <w:tcW w:w="1490" w:type="dxa"/>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tcMar>
              <w:left w:w="70" w:type="dxa"/>
              <w:right w:w="70" w:type="dxa"/>
            </w:tcMar>
            <w:vAlign w:val="center"/>
          </w:tcPr>
          <w:p w14:paraId="1FDC633B" w14:textId="7A661921" w:rsidR="3C8C763A" w:rsidRPr="00951AB1" w:rsidRDefault="3C8C763A" w:rsidP="000A5389">
            <w:pPr>
              <w:spacing w:line="240" w:lineRule="auto"/>
              <w:jc w:val="right"/>
              <w:rPr>
                <w:rFonts w:cs="Times New Roman"/>
                <w:sz w:val="18"/>
                <w:szCs w:val="18"/>
              </w:rPr>
            </w:pPr>
            <w:r w:rsidRPr="00951AB1">
              <w:rPr>
                <w:rFonts w:eastAsia="Times New Roman" w:cs="Times New Roman"/>
                <w:color w:val="000000" w:themeColor="text1"/>
                <w:sz w:val="18"/>
                <w:szCs w:val="18"/>
              </w:rPr>
              <w:t>17.933.716.345</w:t>
            </w:r>
          </w:p>
        </w:tc>
      </w:tr>
      <w:tr w:rsidR="3C8C763A" w:rsidRPr="00951AB1" w14:paraId="007C7A90" w14:textId="77777777" w:rsidTr="004A7790">
        <w:trPr>
          <w:trHeight w:val="495"/>
        </w:trPr>
        <w:tc>
          <w:tcPr>
            <w:tcW w:w="1880" w:type="dxa"/>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tcMar>
              <w:left w:w="70" w:type="dxa"/>
              <w:right w:w="70" w:type="dxa"/>
            </w:tcMar>
            <w:vAlign w:val="center"/>
          </w:tcPr>
          <w:p w14:paraId="2E693B2F" w14:textId="31DF00C6" w:rsidR="3C8C763A" w:rsidRPr="00951AB1" w:rsidRDefault="3C8C763A" w:rsidP="000A5389">
            <w:pPr>
              <w:spacing w:line="240" w:lineRule="auto"/>
              <w:rPr>
                <w:rFonts w:cs="Times New Roman"/>
                <w:sz w:val="18"/>
                <w:szCs w:val="18"/>
              </w:rPr>
            </w:pPr>
            <w:r w:rsidRPr="00951AB1">
              <w:rPr>
                <w:rFonts w:eastAsia="Times New Roman" w:cs="Times New Roman"/>
                <w:color w:val="000000" w:themeColor="text1"/>
                <w:sz w:val="18"/>
                <w:szCs w:val="18"/>
              </w:rPr>
              <w:lastRenderedPageBreak/>
              <w:t xml:space="preserve"> Bucaramanga - Barrancabermeja - Yondó </w:t>
            </w:r>
          </w:p>
        </w:tc>
        <w:tc>
          <w:tcPr>
            <w:tcW w:w="924" w:type="dxa"/>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tcMar>
              <w:left w:w="70" w:type="dxa"/>
              <w:right w:w="70" w:type="dxa"/>
            </w:tcMar>
            <w:vAlign w:val="center"/>
          </w:tcPr>
          <w:p w14:paraId="3548A856" w14:textId="18E3EA3C" w:rsidR="3C8C763A" w:rsidRPr="00951AB1" w:rsidRDefault="3C8C763A" w:rsidP="000A5389">
            <w:pPr>
              <w:spacing w:line="240" w:lineRule="auto"/>
              <w:jc w:val="center"/>
              <w:rPr>
                <w:rFonts w:cs="Times New Roman"/>
                <w:sz w:val="18"/>
                <w:szCs w:val="18"/>
              </w:rPr>
            </w:pPr>
            <w:r w:rsidRPr="00951AB1">
              <w:rPr>
                <w:rFonts w:eastAsia="Times New Roman" w:cs="Times New Roman"/>
                <w:color w:val="000000" w:themeColor="text1"/>
                <w:sz w:val="18"/>
                <w:szCs w:val="18"/>
              </w:rPr>
              <w:t xml:space="preserve"> Comercial </w:t>
            </w:r>
          </w:p>
        </w:tc>
        <w:tc>
          <w:tcPr>
            <w:tcW w:w="1355" w:type="dxa"/>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tcMar>
              <w:left w:w="70" w:type="dxa"/>
              <w:right w:w="70" w:type="dxa"/>
            </w:tcMar>
            <w:vAlign w:val="center"/>
          </w:tcPr>
          <w:p w14:paraId="6D3FF0F0" w14:textId="51547C38" w:rsidR="3C8C763A" w:rsidRPr="00951AB1" w:rsidRDefault="3C8C763A" w:rsidP="000A5389">
            <w:pPr>
              <w:spacing w:line="240" w:lineRule="auto"/>
              <w:jc w:val="right"/>
              <w:rPr>
                <w:rFonts w:cs="Times New Roman"/>
                <w:sz w:val="18"/>
                <w:szCs w:val="18"/>
              </w:rPr>
            </w:pPr>
            <w:r w:rsidRPr="00951AB1">
              <w:rPr>
                <w:rFonts w:eastAsia="Times New Roman" w:cs="Times New Roman"/>
                <w:color w:val="000000" w:themeColor="text1"/>
                <w:sz w:val="18"/>
                <w:szCs w:val="18"/>
              </w:rPr>
              <w:t xml:space="preserve">        84.483.935.555 </w:t>
            </w:r>
          </w:p>
        </w:tc>
        <w:tc>
          <w:tcPr>
            <w:tcW w:w="291" w:type="dxa"/>
            <w:tcMar>
              <w:left w:w="70" w:type="dxa"/>
              <w:right w:w="70" w:type="dxa"/>
            </w:tcMar>
            <w:vAlign w:val="center"/>
          </w:tcPr>
          <w:p w14:paraId="50F28520" w14:textId="07F4800A" w:rsidR="3C8C763A" w:rsidRPr="00951AB1" w:rsidRDefault="3C8C763A" w:rsidP="000A5389">
            <w:pPr>
              <w:spacing w:line="240" w:lineRule="auto"/>
              <w:rPr>
                <w:rFonts w:cs="Times New Roman"/>
                <w:sz w:val="18"/>
                <w:szCs w:val="18"/>
              </w:rPr>
            </w:pPr>
          </w:p>
        </w:tc>
        <w:tc>
          <w:tcPr>
            <w:tcW w:w="1812" w:type="dxa"/>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tcMar>
              <w:left w:w="70" w:type="dxa"/>
              <w:right w:w="70" w:type="dxa"/>
            </w:tcMar>
            <w:vAlign w:val="center"/>
          </w:tcPr>
          <w:p w14:paraId="1B1B55F6" w14:textId="19973CAA" w:rsidR="3C8C763A" w:rsidRPr="00951AB1" w:rsidRDefault="3C8C763A" w:rsidP="000A5389">
            <w:pPr>
              <w:spacing w:line="240" w:lineRule="auto"/>
              <w:rPr>
                <w:rFonts w:cs="Times New Roman"/>
                <w:sz w:val="18"/>
                <w:szCs w:val="18"/>
              </w:rPr>
            </w:pPr>
            <w:r w:rsidRPr="00951AB1">
              <w:rPr>
                <w:rFonts w:eastAsia="Times New Roman" w:cs="Times New Roman"/>
                <w:color w:val="000000" w:themeColor="text1"/>
                <w:sz w:val="18"/>
                <w:szCs w:val="18"/>
              </w:rPr>
              <w:t xml:space="preserve"> Bucaramanga - Pamplona </w:t>
            </w:r>
          </w:p>
        </w:tc>
        <w:tc>
          <w:tcPr>
            <w:tcW w:w="1066" w:type="dxa"/>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tcMar>
              <w:left w:w="70" w:type="dxa"/>
              <w:right w:w="70" w:type="dxa"/>
            </w:tcMar>
            <w:vAlign w:val="center"/>
          </w:tcPr>
          <w:p w14:paraId="3CF93692" w14:textId="6D9A0809" w:rsidR="3C8C763A" w:rsidRPr="00951AB1" w:rsidRDefault="3C8C763A" w:rsidP="000A5389">
            <w:pPr>
              <w:spacing w:line="240" w:lineRule="auto"/>
              <w:jc w:val="center"/>
              <w:rPr>
                <w:rFonts w:cs="Times New Roman"/>
                <w:sz w:val="18"/>
                <w:szCs w:val="18"/>
              </w:rPr>
            </w:pPr>
            <w:r w:rsidRPr="00951AB1">
              <w:rPr>
                <w:rFonts w:eastAsia="Times New Roman" w:cs="Times New Roman"/>
                <w:color w:val="000000" w:themeColor="text1"/>
                <w:sz w:val="18"/>
                <w:szCs w:val="18"/>
              </w:rPr>
              <w:t xml:space="preserve"> Comercial </w:t>
            </w:r>
          </w:p>
        </w:tc>
        <w:tc>
          <w:tcPr>
            <w:tcW w:w="1490" w:type="dxa"/>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tcMar>
              <w:left w:w="70" w:type="dxa"/>
              <w:right w:w="70" w:type="dxa"/>
            </w:tcMar>
            <w:vAlign w:val="center"/>
          </w:tcPr>
          <w:p w14:paraId="47C79F13" w14:textId="31DB0BEE" w:rsidR="3C8C763A" w:rsidRPr="00951AB1" w:rsidRDefault="3C8C763A" w:rsidP="000A5389">
            <w:pPr>
              <w:spacing w:line="240" w:lineRule="auto"/>
              <w:jc w:val="right"/>
              <w:rPr>
                <w:rFonts w:cs="Times New Roman"/>
                <w:sz w:val="18"/>
                <w:szCs w:val="18"/>
              </w:rPr>
            </w:pPr>
            <w:r w:rsidRPr="00951AB1">
              <w:rPr>
                <w:rFonts w:eastAsia="Times New Roman" w:cs="Times New Roman"/>
                <w:color w:val="000000" w:themeColor="text1"/>
                <w:sz w:val="18"/>
                <w:szCs w:val="18"/>
              </w:rPr>
              <w:t>12.237.174.542</w:t>
            </w:r>
          </w:p>
        </w:tc>
      </w:tr>
      <w:tr w:rsidR="3C8C763A" w:rsidRPr="00951AB1" w14:paraId="7C558BC9" w14:textId="77777777" w:rsidTr="004A7790">
        <w:trPr>
          <w:trHeight w:val="495"/>
        </w:trPr>
        <w:tc>
          <w:tcPr>
            <w:tcW w:w="1880" w:type="dxa"/>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tcMar>
              <w:left w:w="70" w:type="dxa"/>
              <w:right w:w="70" w:type="dxa"/>
            </w:tcMar>
            <w:vAlign w:val="center"/>
          </w:tcPr>
          <w:p w14:paraId="32E7A2B3" w14:textId="3B8E6955" w:rsidR="3C8C763A" w:rsidRPr="00951AB1" w:rsidRDefault="3C8C763A" w:rsidP="000A5389">
            <w:pPr>
              <w:spacing w:line="240" w:lineRule="auto"/>
              <w:rPr>
                <w:rFonts w:cs="Times New Roman"/>
                <w:sz w:val="18"/>
                <w:szCs w:val="18"/>
              </w:rPr>
            </w:pPr>
            <w:r w:rsidRPr="00951AB1">
              <w:rPr>
                <w:rFonts w:eastAsia="Times New Roman" w:cs="Times New Roman"/>
                <w:color w:val="000000" w:themeColor="text1"/>
                <w:sz w:val="18"/>
                <w:szCs w:val="18"/>
              </w:rPr>
              <w:t xml:space="preserve"> Perimetral del Oriente de Cundinamarca </w:t>
            </w:r>
          </w:p>
        </w:tc>
        <w:tc>
          <w:tcPr>
            <w:tcW w:w="924" w:type="dxa"/>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tcMar>
              <w:left w:w="70" w:type="dxa"/>
              <w:right w:w="70" w:type="dxa"/>
            </w:tcMar>
            <w:vAlign w:val="center"/>
          </w:tcPr>
          <w:p w14:paraId="22E1509B" w14:textId="62CA2E83" w:rsidR="3C8C763A" w:rsidRPr="00951AB1" w:rsidRDefault="3C8C763A" w:rsidP="000A5389">
            <w:pPr>
              <w:spacing w:line="240" w:lineRule="auto"/>
              <w:jc w:val="center"/>
              <w:rPr>
                <w:rFonts w:cs="Times New Roman"/>
                <w:sz w:val="18"/>
                <w:szCs w:val="18"/>
              </w:rPr>
            </w:pPr>
            <w:r w:rsidRPr="00951AB1">
              <w:rPr>
                <w:rFonts w:eastAsia="Times New Roman" w:cs="Times New Roman"/>
                <w:color w:val="000000" w:themeColor="text1"/>
                <w:sz w:val="18"/>
                <w:szCs w:val="18"/>
              </w:rPr>
              <w:t xml:space="preserve"> Comercial </w:t>
            </w:r>
          </w:p>
        </w:tc>
        <w:tc>
          <w:tcPr>
            <w:tcW w:w="1355" w:type="dxa"/>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tcMar>
              <w:left w:w="70" w:type="dxa"/>
              <w:right w:w="70" w:type="dxa"/>
            </w:tcMar>
            <w:vAlign w:val="center"/>
          </w:tcPr>
          <w:p w14:paraId="234C214C" w14:textId="7C9AD939" w:rsidR="3C8C763A" w:rsidRPr="00951AB1" w:rsidRDefault="3C8C763A" w:rsidP="000A5389">
            <w:pPr>
              <w:spacing w:line="240" w:lineRule="auto"/>
              <w:jc w:val="right"/>
              <w:rPr>
                <w:rFonts w:cs="Times New Roman"/>
                <w:sz w:val="18"/>
                <w:szCs w:val="18"/>
              </w:rPr>
            </w:pPr>
            <w:r w:rsidRPr="00951AB1">
              <w:rPr>
                <w:rFonts w:eastAsia="Times New Roman" w:cs="Times New Roman"/>
                <w:color w:val="000000" w:themeColor="text1"/>
                <w:sz w:val="18"/>
                <w:szCs w:val="18"/>
              </w:rPr>
              <w:t xml:space="preserve">        68.943.540.713 </w:t>
            </w:r>
          </w:p>
        </w:tc>
        <w:tc>
          <w:tcPr>
            <w:tcW w:w="291" w:type="dxa"/>
            <w:tcMar>
              <w:left w:w="70" w:type="dxa"/>
              <w:right w:w="70" w:type="dxa"/>
            </w:tcMar>
            <w:vAlign w:val="center"/>
          </w:tcPr>
          <w:p w14:paraId="1F13D2D1" w14:textId="4C18F0F0" w:rsidR="3C8C763A" w:rsidRPr="00951AB1" w:rsidRDefault="3C8C763A" w:rsidP="000A5389">
            <w:pPr>
              <w:spacing w:line="240" w:lineRule="auto"/>
              <w:rPr>
                <w:rFonts w:cs="Times New Roman"/>
                <w:sz w:val="18"/>
                <w:szCs w:val="18"/>
              </w:rPr>
            </w:pPr>
          </w:p>
        </w:tc>
        <w:tc>
          <w:tcPr>
            <w:tcW w:w="1812" w:type="dxa"/>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tcMar>
              <w:left w:w="70" w:type="dxa"/>
              <w:right w:w="70" w:type="dxa"/>
            </w:tcMar>
            <w:vAlign w:val="center"/>
          </w:tcPr>
          <w:p w14:paraId="6E151221" w14:textId="6B60B94E" w:rsidR="3C8C763A" w:rsidRPr="00951AB1" w:rsidRDefault="3C8C763A" w:rsidP="000A5389">
            <w:pPr>
              <w:spacing w:line="240" w:lineRule="auto"/>
              <w:rPr>
                <w:rFonts w:cs="Times New Roman"/>
                <w:sz w:val="18"/>
                <w:szCs w:val="18"/>
              </w:rPr>
            </w:pPr>
            <w:r w:rsidRPr="00951AB1">
              <w:rPr>
                <w:rFonts w:eastAsia="Times New Roman" w:cs="Times New Roman"/>
                <w:color w:val="000000" w:themeColor="text1"/>
                <w:sz w:val="18"/>
                <w:szCs w:val="18"/>
              </w:rPr>
              <w:t xml:space="preserve"> Transversal del Sisga </w:t>
            </w:r>
          </w:p>
        </w:tc>
        <w:tc>
          <w:tcPr>
            <w:tcW w:w="1066" w:type="dxa"/>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tcMar>
              <w:left w:w="70" w:type="dxa"/>
              <w:right w:w="70" w:type="dxa"/>
            </w:tcMar>
            <w:vAlign w:val="center"/>
          </w:tcPr>
          <w:p w14:paraId="2031BC9C" w14:textId="53A46347" w:rsidR="3C8C763A" w:rsidRPr="00951AB1" w:rsidRDefault="3C8C763A" w:rsidP="000A5389">
            <w:pPr>
              <w:spacing w:line="240" w:lineRule="auto"/>
              <w:jc w:val="center"/>
              <w:rPr>
                <w:rFonts w:cs="Times New Roman"/>
                <w:sz w:val="18"/>
                <w:szCs w:val="18"/>
              </w:rPr>
            </w:pPr>
            <w:r w:rsidRPr="00951AB1">
              <w:rPr>
                <w:rFonts w:eastAsia="Times New Roman" w:cs="Times New Roman"/>
                <w:color w:val="000000" w:themeColor="text1"/>
                <w:sz w:val="18"/>
                <w:szCs w:val="18"/>
              </w:rPr>
              <w:t xml:space="preserve"> Comercial </w:t>
            </w:r>
          </w:p>
        </w:tc>
        <w:tc>
          <w:tcPr>
            <w:tcW w:w="1490" w:type="dxa"/>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tcMar>
              <w:left w:w="70" w:type="dxa"/>
              <w:right w:w="70" w:type="dxa"/>
            </w:tcMar>
            <w:vAlign w:val="center"/>
          </w:tcPr>
          <w:p w14:paraId="56DBD8DC" w14:textId="39C6409F" w:rsidR="3C8C763A" w:rsidRPr="00951AB1" w:rsidRDefault="3C8C763A" w:rsidP="000A5389">
            <w:pPr>
              <w:spacing w:line="240" w:lineRule="auto"/>
              <w:jc w:val="right"/>
              <w:rPr>
                <w:rFonts w:cs="Times New Roman"/>
                <w:sz w:val="18"/>
                <w:szCs w:val="18"/>
              </w:rPr>
            </w:pPr>
            <w:r w:rsidRPr="00951AB1">
              <w:rPr>
                <w:rFonts w:eastAsia="Times New Roman" w:cs="Times New Roman"/>
                <w:color w:val="000000" w:themeColor="text1"/>
                <w:sz w:val="18"/>
                <w:szCs w:val="18"/>
              </w:rPr>
              <w:t>7.059.118.797</w:t>
            </w:r>
          </w:p>
        </w:tc>
      </w:tr>
      <w:tr w:rsidR="3C8C763A" w:rsidRPr="00951AB1" w14:paraId="7BD8E100" w14:textId="77777777" w:rsidTr="004A7790">
        <w:trPr>
          <w:trHeight w:val="300"/>
        </w:trPr>
        <w:tc>
          <w:tcPr>
            <w:tcW w:w="1880" w:type="dxa"/>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tcMar>
              <w:left w:w="70" w:type="dxa"/>
              <w:right w:w="70" w:type="dxa"/>
            </w:tcMar>
            <w:vAlign w:val="center"/>
          </w:tcPr>
          <w:p w14:paraId="154BE48A" w14:textId="498E92FC" w:rsidR="3C8C763A" w:rsidRPr="00951AB1" w:rsidRDefault="3C8C763A" w:rsidP="000A5389">
            <w:pPr>
              <w:spacing w:line="240" w:lineRule="auto"/>
              <w:rPr>
                <w:rFonts w:cs="Times New Roman"/>
                <w:sz w:val="18"/>
                <w:szCs w:val="18"/>
              </w:rPr>
            </w:pPr>
            <w:r w:rsidRPr="00951AB1">
              <w:rPr>
                <w:rFonts w:eastAsia="Times New Roman" w:cs="Times New Roman"/>
                <w:color w:val="000000" w:themeColor="text1"/>
                <w:sz w:val="18"/>
                <w:szCs w:val="18"/>
              </w:rPr>
              <w:t xml:space="preserve"> Conexión Norte </w:t>
            </w:r>
          </w:p>
        </w:tc>
        <w:tc>
          <w:tcPr>
            <w:tcW w:w="924" w:type="dxa"/>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tcMar>
              <w:left w:w="70" w:type="dxa"/>
              <w:right w:w="70" w:type="dxa"/>
            </w:tcMar>
            <w:vAlign w:val="center"/>
          </w:tcPr>
          <w:p w14:paraId="6D921521" w14:textId="2EBA4781" w:rsidR="3C8C763A" w:rsidRPr="00951AB1" w:rsidRDefault="3C8C763A" w:rsidP="000A5389">
            <w:pPr>
              <w:spacing w:line="240" w:lineRule="auto"/>
              <w:jc w:val="center"/>
              <w:rPr>
                <w:rFonts w:cs="Times New Roman"/>
                <w:sz w:val="18"/>
                <w:szCs w:val="18"/>
              </w:rPr>
            </w:pPr>
            <w:r w:rsidRPr="00951AB1">
              <w:rPr>
                <w:rFonts w:eastAsia="Times New Roman" w:cs="Times New Roman"/>
                <w:color w:val="000000" w:themeColor="text1"/>
                <w:sz w:val="18"/>
                <w:szCs w:val="18"/>
              </w:rPr>
              <w:t xml:space="preserve"> Comercial </w:t>
            </w:r>
          </w:p>
        </w:tc>
        <w:tc>
          <w:tcPr>
            <w:tcW w:w="1355" w:type="dxa"/>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tcMar>
              <w:left w:w="70" w:type="dxa"/>
              <w:right w:w="70" w:type="dxa"/>
            </w:tcMar>
            <w:vAlign w:val="center"/>
          </w:tcPr>
          <w:p w14:paraId="3648688D" w14:textId="473E100F" w:rsidR="3C8C763A" w:rsidRPr="00951AB1" w:rsidRDefault="3C8C763A" w:rsidP="000A5389">
            <w:pPr>
              <w:spacing w:line="240" w:lineRule="auto"/>
              <w:jc w:val="right"/>
              <w:rPr>
                <w:rFonts w:cs="Times New Roman"/>
                <w:sz w:val="18"/>
                <w:szCs w:val="18"/>
              </w:rPr>
            </w:pPr>
            <w:r w:rsidRPr="00951AB1">
              <w:rPr>
                <w:rFonts w:eastAsia="Times New Roman" w:cs="Times New Roman"/>
                <w:color w:val="000000" w:themeColor="text1"/>
                <w:sz w:val="18"/>
                <w:szCs w:val="18"/>
              </w:rPr>
              <w:t xml:space="preserve">        61.298.004.525 </w:t>
            </w:r>
          </w:p>
        </w:tc>
        <w:tc>
          <w:tcPr>
            <w:tcW w:w="291" w:type="dxa"/>
            <w:tcMar>
              <w:left w:w="70" w:type="dxa"/>
              <w:right w:w="70" w:type="dxa"/>
            </w:tcMar>
            <w:vAlign w:val="center"/>
          </w:tcPr>
          <w:p w14:paraId="3A7F9286" w14:textId="6E496C98" w:rsidR="3C8C763A" w:rsidRPr="00951AB1" w:rsidRDefault="3C8C763A" w:rsidP="000A5389">
            <w:pPr>
              <w:spacing w:line="240" w:lineRule="auto"/>
              <w:rPr>
                <w:rFonts w:cs="Times New Roman"/>
                <w:sz w:val="18"/>
                <w:szCs w:val="18"/>
              </w:rPr>
            </w:pPr>
          </w:p>
        </w:tc>
        <w:tc>
          <w:tcPr>
            <w:tcW w:w="1812" w:type="dxa"/>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tcMar>
              <w:left w:w="70" w:type="dxa"/>
              <w:right w:w="70" w:type="dxa"/>
            </w:tcMar>
            <w:vAlign w:val="center"/>
          </w:tcPr>
          <w:p w14:paraId="721BEFEC" w14:textId="2443D6C5" w:rsidR="3C8C763A" w:rsidRPr="00951AB1" w:rsidRDefault="3C8C763A" w:rsidP="000A5389">
            <w:pPr>
              <w:spacing w:line="240" w:lineRule="auto"/>
              <w:rPr>
                <w:rFonts w:cs="Times New Roman"/>
                <w:sz w:val="18"/>
                <w:szCs w:val="18"/>
              </w:rPr>
            </w:pPr>
            <w:r w:rsidRPr="00951AB1">
              <w:rPr>
                <w:rFonts w:eastAsia="Times New Roman" w:cs="Times New Roman"/>
                <w:color w:val="000000" w:themeColor="text1"/>
                <w:sz w:val="18"/>
                <w:szCs w:val="18"/>
              </w:rPr>
              <w:t xml:space="preserve"> Pamplona - Cúcuta </w:t>
            </w:r>
          </w:p>
        </w:tc>
        <w:tc>
          <w:tcPr>
            <w:tcW w:w="1066" w:type="dxa"/>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tcMar>
              <w:left w:w="70" w:type="dxa"/>
              <w:right w:w="70" w:type="dxa"/>
            </w:tcMar>
            <w:vAlign w:val="center"/>
          </w:tcPr>
          <w:p w14:paraId="7FF01EB0" w14:textId="7FD4893B" w:rsidR="3C8C763A" w:rsidRPr="00951AB1" w:rsidRDefault="3C8C763A" w:rsidP="000A5389">
            <w:pPr>
              <w:spacing w:line="240" w:lineRule="auto"/>
              <w:jc w:val="center"/>
              <w:rPr>
                <w:rFonts w:cs="Times New Roman"/>
                <w:sz w:val="18"/>
                <w:szCs w:val="18"/>
              </w:rPr>
            </w:pPr>
            <w:r w:rsidRPr="00951AB1">
              <w:rPr>
                <w:rFonts w:eastAsia="Times New Roman" w:cs="Times New Roman"/>
                <w:color w:val="000000" w:themeColor="text1"/>
                <w:sz w:val="18"/>
                <w:szCs w:val="18"/>
              </w:rPr>
              <w:t xml:space="preserve"> Comercial </w:t>
            </w:r>
          </w:p>
        </w:tc>
        <w:tc>
          <w:tcPr>
            <w:tcW w:w="1490" w:type="dxa"/>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tcMar>
              <w:left w:w="70" w:type="dxa"/>
              <w:right w:w="70" w:type="dxa"/>
            </w:tcMar>
            <w:vAlign w:val="center"/>
          </w:tcPr>
          <w:p w14:paraId="6A357499" w14:textId="77DCD449" w:rsidR="3C8C763A" w:rsidRPr="00951AB1" w:rsidRDefault="3C8C763A" w:rsidP="000A5389">
            <w:pPr>
              <w:spacing w:line="240" w:lineRule="auto"/>
              <w:jc w:val="right"/>
              <w:rPr>
                <w:rFonts w:cs="Times New Roman"/>
                <w:sz w:val="18"/>
                <w:szCs w:val="18"/>
              </w:rPr>
            </w:pPr>
            <w:r w:rsidRPr="00951AB1">
              <w:rPr>
                <w:rFonts w:eastAsia="Times New Roman" w:cs="Times New Roman"/>
                <w:color w:val="000000" w:themeColor="text1"/>
                <w:sz w:val="18"/>
                <w:szCs w:val="18"/>
              </w:rPr>
              <w:t>844.482.925</w:t>
            </w:r>
          </w:p>
        </w:tc>
      </w:tr>
      <w:tr w:rsidR="3C8C763A" w:rsidRPr="00951AB1" w14:paraId="748BE70A" w14:textId="77777777" w:rsidTr="004A7790">
        <w:trPr>
          <w:trHeight w:val="495"/>
        </w:trPr>
        <w:tc>
          <w:tcPr>
            <w:tcW w:w="1880" w:type="dxa"/>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tcMar>
              <w:left w:w="70" w:type="dxa"/>
              <w:right w:w="70" w:type="dxa"/>
            </w:tcMar>
            <w:vAlign w:val="center"/>
          </w:tcPr>
          <w:p w14:paraId="756CFCF3" w14:textId="633F6A1D" w:rsidR="3C8C763A" w:rsidRPr="00951AB1" w:rsidRDefault="3C8C763A" w:rsidP="000A5389">
            <w:pPr>
              <w:spacing w:line="240" w:lineRule="auto"/>
              <w:rPr>
                <w:rFonts w:cs="Times New Roman"/>
                <w:sz w:val="18"/>
                <w:szCs w:val="18"/>
              </w:rPr>
            </w:pPr>
            <w:r w:rsidRPr="00951AB1">
              <w:rPr>
                <w:rFonts w:eastAsia="Times New Roman" w:cs="Times New Roman"/>
                <w:color w:val="000000" w:themeColor="text1"/>
                <w:sz w:val="18"/>
                <w:szCs w:val="18"/>
              </w:rPr>
              <w:t xml:space="preserve"> Honda - Girardot - Puerto Salgar </w:t>
            </w:r>
          </w:p>
        </w:tc>
        <w:tc>
          <w:tcPr>
            <w:tcW w:w="924" w:type="dxa"/>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tcMar>
              <w:left w:w="70" w:type="dxa"/>
              <w:right w:w="70" w:type="dxa"/>
            </w:tcMar>
            <w:vAlign w:val="center"/>
          </w:tcPr>
          <w:p w14:paraId="0274DA41" w14:textId="1BB3D6FD" w:rsidR="3C8C763A" w:rsidRPr="00951AB1" w:rsidRDefault="3C8C763A" w:rsidP="000A5389">
            <w:pPr>
              <w:spacing w:line="240" w:lineRule="auto"/>
              <w:jc w:val="center"/>
              <w:rPr>
                <w:rFonts w:cs="Times New Roman"/>
                <w:sz w:val="18"/>
                <w:szCs w:val="18"/>
              </w:rPr>
            </w:pPr>
            <w:r w:rsidRPr="00951AB1">
              <w:rPr>
                <w:rFonts w:eastAsia="Times New Roman" w:cs="Times New Roman"/>
                <w:color w:val="000000" w:themeColor="text1"/>
                <w:sz w:val="18"/>
                <w:szCs w:val="18"/>
              </w:rPr>
              <w:t xml:space="preserve"> Comercial </w:t>
            </w:r>
          </w:p>
        </w:tc>
        <w:tc>
          <w:tcPr>
            <w:tcW w:w="1355" w:type="dxa"/>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tcMar>
              <w:left w:w="70" w:type="dxa"/>
              <w:right w:w="70" w:type="dxa"/>
            </w:tcMar>
            <w:vAlign w:val="center"/>
          </w:tcPr>
          <w:p w14:paraId="55E62B3B" w14:textId="52B9B888" w:rsidR="3C8C763A" w:rsidRPr="00951AB1" w:rsidRDefault="3C8C763A" w:rsidP="000A5389">
            <w:pPr>
              <w:spacing w:line="240" w:lineRule="auto"/>
              <w:jc w:val="right"/>
              <w:rPr>
                <w:rFonts w:cs="Times New Roman"/>
                <w:sz w:val="18"/>
                <w:szCs w:val="18"/>
              </w:rPr>
            </w:pPr>
            <w:r w:rsidRPr="00951AB1">
              <w:rPr>
                <w:rFonts w:eastAsia="Times New Roman" w:cs="Times New Roman"/>
                <w:color w:val="000000" w:themeColor="text1"/>
                <w:sz w:val="18"/>
                <w:szCs w:val="18"/>
              </w:rPr>
              <w:t xml:space="preserve">        60.892.380.722 </w:t>
            </w:r>
          </w:p>
        </w:tc>
        <w:tc>
          <w:tcPr>
            <w:tcW w:w="291" w:type="dxa"/>
            <w:tcMar>
              <w:left w:w="70" w:type="dxa"/>
              <w:right w:w="70" w:type="dxa"/>
            </w:tcMar>
            <w:vAlign w:val="center"/>
          </w:tcPr>
          <w:p w14:paraId="790FAEFE" w14:textId="52010C73" w:rsidR="3C8C763A" w:rsidRPr="00951AB1" w:rsidRDefault="3C8C763A" w:rsidP="000A5389">
            <w:pPr>
              <w:spacing w:line="240" w:lineRule="auto"/>
              <w:rPr>
                <w:rFonts w:cs="Times New Roman"/>
                <w:sz w:val="18"/>
                <w:szCs w:val="18"/>
              </w:rPr>
            </w:pPr>
          </w:p>
        </w:tc>
        <w:tc>
          <w:tcPr>
            <w:tcW w:w="1812" w:type="dxa"/>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tcMar>
              <w:left w:w="70" w:type="dxa"/>
              <w:right w:w="70" w:type="dxa"/>
            </w:tcMar>
            <w:vAlign w:val="center"/>
          </w:tcPr>
          <w:p w14:paraId="0186ED14" w14:textId="6DCDC96F" w:rsidR="3C8C763A" w:rsidRPr="00951AB1" w:rsidRDefault="3C8C763A" w:rsidP="000A5389">
            <w:pPr>
              <w:spacing w:line="240" w:lineRule="auto"/>
              <w:rPr>
                <w:rFonts w:cs="Times New Roman"/>
                <w:sz w:val="18"/>
                <w:szCs w:val="18"/>
              </w:rPr>
            </w:pPr>
            <w:r w:rsidRPr="00951AB1">
              <w:rPr>
                <w:rFonts w:eastAsia="Times New Roman" w:cs="Times New Roman"/>
                <w:color w:val="000000" w:themeColor="text1"/>
                <w:sz w:val="18"/>
                <w:szCs w:val="18"/>
              </w:rPr>
              <w:t xml:space="preserve"> Pasto - Rumichaca 4G </w:t>
            </w:r>
          </w:p>
        </w:tc>
        <w:tc>
          <w:tcPr>
            <w:tcW w:w="1066" w:type="dxa"/>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tcMar>
              <w:left w:w="70" w:type="dxa"/>
              <w:right w:w="70" w:type="dxa"/>
            </w:tcMar>
            <w:vAlign w:val="center"/>
          </w:tcPr>
          <w:p w14:paraId="229874AB" w14:textId="7E9FF7B8" w:rsidR="3C8C763A" w:rsidRPr="00951AB1" w:rsidRDefault="3C8C763A" w:rsidP="000A5389">
            <w:pPr>
              <w:spacing w:line="240" w:lineRule="auto"/>
              <w:jc w:val="center"/>
              <w:rPr>
                <w:rFonts w:cs="Times New Roman"/>
                <w:sz w:val="18"/>
                <w:szCs w:val="18"/>
              </w:rPr>
            </w:pPr>
            <w:r w:rsidRPr="00951AB1">
              <w:rPr>
                <w:rFonts w:eastAsia="Times New Roman" w:cs="Times New Roman"/>
                <w:color w:val="000000" w:themeColor="text1"/>
                <w:sz w:val="18"/>
                <w:szCs w:val="18"/>
              </w:rPr>
              <w:t xml:space="preserve"> Comercial </w:t>
            </w:r>
          </w:p>
        </w:tc>
        <w:tc>
          <w:tcPr>
            <w:tcW w:w="1490" w:type="dxa"/>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tcMar>
              <w:left w:w="70" w:type="dxa"/>
              <w:right w:w="70" w:type="dxa"/>
            </w:tcMar>
            <w:vAlign w:val="center"/>
          </w:tcPr>
          <w:p w14:paraId="183BA7DE" w14:textId="2C04A64F" w:rsidR="3C8C763A" w:rsidRPr="00951AB1" w:rsidRDefault="3C8C763A" w:rsidP="000A5389">
            <w:pPr>
              <w:spacing w:line="240" w:lineRule="auto"/>
              <w:jc w:val="right"/>
              <w:rPr>
                <w:rFonts w:cs="Times New Roman"/>
                <w:sz w:val="18"/>
                <w:szCs w:val="18"/>
              </w:rPr>
            </w:pPr>
            <w:r w:rsidRPr="00951AB1">
              <w:rPr>
                <w:rFonts w:eastAsia="Times New Roman" w:cs="Times New Roman"/>
                <w:color w:val="000000" w:themeColor="text1"/>
                <w:sz w:val="18"/>
                <w:szCs w:val="18"/>
              </w:rPr>
              <w:t>527.618.859</w:t>
            </w:r>
          </w:p>
        </w:tc>
      </w:tr>
      <w:tr w:rsidR="3C8C763A" w:rsidRPr="00951AB1" w14:paraId="2C3E53AB" w14:textId="77777777" w:rsidTr="004A7790">
        <w:trPr>
          <w:trHeight w:val="495"/>
        </w:trPr>
        <w:tc>
          <w:tcPr>
            <w:tcW w:w="1880" w:type="dxa"/>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tcMar>
              <w:left w:w="70" w:type="dxa"/>
              <w:right w:w="70" w:type="dxa"/>
            </w:tcMar>
            <w:vAlign w:val="center"/>
          </w:tcPr>
          <w:p w14:paraId="0C321649" w14:textId="2ECBE896" w:rsidR="3C8C763A" w:rsidRPr="00951AB1" w:rsidRDefault="3C8C763A" w:rsidP="000A5389">
            <w:pPr>
              <w:spacing w:line="240" w:lineRule="auto"/>
              <w:rPr>
                <w:rFonts w:cs="Times New Roman"/>
                <w:sz w:val="18"/>
                <w:szCs w:val="18"/>
              </w:rPr>
            </w:pPr>
            <w:r w:rsidRPr="00951AB1">
              <w:rPr>
                <w:rFonts w:eastAsia="Times New Roman" w:cs="Times New Roman"/>
                <w:color w:val="000000" w:themeColor="text1"/>
                <w:sz w:val="18"/>
                <w:szCs w:val="18"/>
              </w:rPr>
              <w:t xml:space="preserve"> Rio Magdalena 2 </w:t>
            </w:r>
          </w:p>
        </w:tc>
        <w:tc>
          <w:tcPr>
            <w:tcW w:w="924" w:type="dxa"/>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tcMar>
              <w:left w:w="70" w:type="dxa"/>
              <w:right w:w="70" w:type="dxa"/>
            </w:tcMar>
            <w:vAlign w:val="center"/>
          </w:tcPr>
          <w:p w14:paraId="67642A7D" w14:textId="3C71C005" w:rsidR="3C8C763A" w:rsidRPr="00951AB1" w:rsidRDefault="3C8C763A" w:rsidP="000A5389">
            <w:pPr>
              <w:spacing w:line="240" w:lineRule="auto"/>
              <w:jc w:val="center"/>
              <w:rPr>
                <w:rFonts w:cs="Times New Roman"/>
                <w:sz w:val="18"/>
                <w:szCs w:val="18"/>
              </w:rPr>
            </w:pPr>
            <w:r w:rsidRPr="00951AB1">
              <w:rPr>
                <w:rFonts w:eastAsia="Times New Roman" w:cs="Times New Roman"/>
                <w:color w:val="000000" w:themeColor="text1"/>
                <w:sz w:val="18"/>
                <w:szCs w:val="18"/>
              </w:rPr>
              <w:t xml:space="preserve"> Comercial </w:t>
            </w:r>
          </w:p>
        </w:tc>
        <w:tc>
          <w:tcPr>
            <w:tcW w:w="1355" w:type="dxa"/>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tcMar>
              <w:left w:w="70" w:type="dxa"/>
              <w:right w:w="70" w:type="dxa"/>
            </w:tcMar>
            <w:vAlign w:val="center"/>
          </w:tcPr>
          <w:p w14:paraId="58FEDE32" w14:textId="49AB6B7D" w:rsidR="3C8C763A" w:rsidRPr="00951AB1" w:rsidRDefault="3C8C763A" w:rsidP="000A5389">
            <w:pPr>
              <w:spacing w:line="240" w:lineRule="auto"/>
              <w:jc w:val="right"/>
              <w:rPr>
                <w:rFonts w:cs="Times New Roman"/>
                <w:sz w:val="18"/>
                <w:szCs w:val="18"/>
              </w:rPr>
            </w:pPr>
            <w:r w:rsidRPr="00951AB1">
              <w:rPr>
                <w:rFonts w:eastAsia="Times New Roman" w:cs="Times New Roman"/>
                <w:color w:val="000000" w:themeColor="text1"/>
                <w:sz w:val="18"/>
                <w:szCs w:val="18"/>
              </w:rPr>
              <w:t xml:space="preserve">        41.827.381.617 </w:t>
            </w:r>
          </w:p>
        </w:tc>
        <w:tc>
          <w:tcPr>
            <w:tcW w:w="291" w:type="dxa"/>
            <w:tcMar>
              <w:left w:w="70" w:type="dxa"/>
              <w:right w:w="70" w:type="dxa"/>
            </w:tcMar>
            <w:vAlign w:val="center"/>
          </w:tcPr>
          <w:p w14:paraId="1515EB3F" w14:textId="00DB38E8" w:rsidR="3C8C763A" w:rsidRPr="00951AB1" w:rsidRDefault="3C8C763A" w:rsidP="000A5389">
            <w:pPr>
              <w:spacing w:line="240" w:lineRule="auto"/>
              <w:rPr>
                <w:rFonts w:cs="Times New Roman"/>
                <w:sz w:val="18"/>
                <w:szCs w:val="18"/>
              </w:rPr>
            </w:pPr>
          </w:p>
        </w:tc>
        <w:tc>
          <w:tcPr>
            <w:tcW w:w="1812" w:type="dxa"/>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tcMar>
              <w:left w:w="70" w:type="dxa"/>
              <w:right w:w="70" w:type="dxa"/>
            </w:tcMar>
            <w:vAlign w:val="center"/>
          </w:tcPr>
          <w:p w14:paraId="3F489833" w14:textId="52D4062B" w:rsidR="3C8C763A" w:rsidRPr="00951AB1" w:rsidRDefault="3C8C763A" w:rsidP="000A5389">
            <w:pPr>
              <w:spacing w:line="240" w:lineRule="auto"/>
              <w:rPr>
                <w:rFonts w:cs="Times New Roman"/>
                <w:sz w:val="18"/>
                <w:szCs w:val="18"/>
              </w:rPr>
            </w:pPr>
            <w:r w:rsidRPr="00951AB1">
              <w:rPr>
                <w:rFonts w:eastAsia="Times New Roman" w:cs="Times New Roman"/>
                <w:color w:val="000000" w:themeColor="text1"/>
                <w:sz w:val="18"/>
                <w:szCs w:val="18"/>
              </w:rPr>
              <w:t xml:space="preserve"> Puerta de Hierro - Cruz de Viso </w:t>
            </w:r>
          </w:p>
        </w:tc>
        <w:tc>
          <w:tcPr>
            <w:tcW w:w="1066" w:type="dxa"/>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tcMar>
              <w:left w:w="70" w:type="dxa"/>
              <w:right w:w="70" w:type="dxa"/>
            </w:tcMar>
            <w:vAlign w:val="center"/>
          </w:tcPr>
          <w:p w14:paraId="6D9954D0" w14:textId="2EFA90BB" w:rsidR="3C8C763A" w:rsidRPr="00951AB1" w:rsidRDefault="3C8C763A" w:rsidP="000A5389">
            <w:pPr>
              <w:spacing w:line="240" w:lineRule="auto"/>
              <w:jc w:val="center"/>
              <w:rPr>
                <w:rFonts w:cs="Times New Roman"/>
                <w:sz w:val="18"/>
                <w:szCs w:val="18"/>
              </w:rPr>
            </w:pPr>
            <w:r w:rsidRPr="00951AB1">
              <w:rPr>
                <w:rFonts w:eastAsia="Times New Roman" w:cs="Times New Roman"/>
                <w:color w:val="000000" w:themeColor="text1"/>
                <w:sz w:val="18"/>
                <w:szCs w:val="18"/>
              </w:rPr>
              <w:t xml:space="preserve"> Comercial </w:t>
            </w:r>
          </w:p>
        </w:tc>
        <w:tc>
          <w:tcPr>
            <w:tcW w:w="1490" w:type="dxa"/>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tcMar>
              <w:left w:w="70" w:type="dxa"/>
              <w:right w:w="70" w:type="dxa"/>
            </w:tcMar>
            <w:vAlign w:val="center"/>
          </w:tcPr>
          <w:p w14:paraId="09ACD1AF" w14:textId="7D39665B" w:rsidR="3C8C763A" w:rsidRPr="00951AB1" w:rsidRDefault="3C8C763A" w:rsidP="000A5389">
            <w:pPr>
              <w:spacing w:line="240" w:lineRule="auto"/>
              <w:jc w:val="right"/>
              <w:rPr>
                <w:rFonts w:cs="Times New Roman"/>
                <w:sz w:val="18"/>
                <w:szCs w:val="18"/>
              </w:rPr>
            </w:pPr>
            <w:r w:rsidRPr="00951AB1">
              <w:rPr>
                <w:rFonts w:eastAsia="Times New Roman" w:cs="Times New Roman"/>
                <w:color w:val="000000" w:themeColor="text1"/>
                <w:sz w:val="18"/>
                <w:szCs w:val="18"/>
              </w:rPr>
              <w:t>480.557.190</w:t>
            </w:r>
          </w:p>
        </w:tc>
      </w:tr>
      <w:tr w:rsidR="3C8C763A" w:rsidRPr="00951AB1" w14:paraId="330BCCFA" w14:textId="77777777" w:rsidTr="004A7790">
        <w:trPr>
          <w:trHeight w:val="300"/>
        </w:trPr>
        <w:tc>
          <w:tcPr>
            <w:tcW w:w="1880" w:type="dxa"/>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tcMar>
              <w:left w:w="70" w:type="dxa"/>
              <w:right w:w="70" w:type="dxa"/>
            </w:tcMar>
            <w:vAlign w:val="center"/>
          </w:tcPr>
          <w:p w14:paraId="67436D0D" w14:textId="429A1B48" w:rsidR="3C8C763A" w:rsidRPr="00951AB1" w:rsidRDefault="3C8C763A" w:rsidP="000A5389">
            <w:pPr>
              <w:spacing w:line="240" w:lineRule="auto"/>
              <w:rPr>
                <w:rFonts w:cs="Times New Roman"/>
                <w:sz w:val="18"/>
                <w:szCs w:val="18"/>
              </w:rPr>
            </w:pPr>
            <w:r w:rsidRPr="00951AB1">
              <w:rPr>
                <w:rFonts w:eastAsia="Times New Roman" w:cs="Times New Roman"/>
                <w:color w:val="000000" w:themeColor="text1"/>
                <w:sz w:val="18"/>
                <w:szCs w:val="18"/>
              </w:rPr>
              <w:t xml:space="preserve"> Conexión Pacífico 1 </w:t>
            </w:r>
          </w:p>
        </w:tc>
        <w:tc>
          <w:tcPr>
            <w:tcW w:w="924" w:type="dxa"/>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tcMar>
              <w:left w:w="70" w:type="dxa"/>
              <w:right w:w="70" w:type="dxa"/>
            </w:tcMar>
            <w:vAlign w:val="center"/>
          </w:tcPr>
          <w:p w14:paraId="7532753F" w14:textId="0806D957" w:rsidR="3C8C763A" w:rsidRPr="00951AB1" w:rsidRDefault="3C8C763A" w:rsidP="000A5389">
            <w:pPr>
              <w:spacing w:line="240" w:lineRule="auto"/>
              <w:jc w:val="center"/>
              <w:rPr>
                <w:rFonts w:cs="Times New Roman"/>
                <w:sz w:val="18"/>
                <w:szCs w:val="18"/>
              </w:rPr>
            </w:pPr>
            <w:r w:rsidRPr="00951AB1">
              <w:rPr>
                <w:rFonts w:eastAsia="Times New Roman" w:cs="Times New Roman"/>
                <w:color w:val="000000" w:themeColor="text1"/>
                <w:sz w:val="18"/>
                <w:szCs w:val="18"/>
              </w:rPr>
              <w:t xml:space="preserve"> Comercial </w:t>
            </w:r>
          </w:p>
        </w:tc>
        <w:tc>
          <w:tcPr>
            <w:tcW w:w="1355" w:type="dxa"/>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tcMar>
              <w:left w:w="70" w:type="dxa"/>
              <w:right w:w="70" w:type="dxa"/>
            </w:tcMar>
            <w:vAlign w:val="center"/>
          </w:tcPr>
          <w:p w14:paraId="3C4F657B" w14:textId="1519CF55" w:rsidR="3C8C763A" w:rsidRPr="00951AB1" w:rsidRDefault="3C8C763A" w:rsidP="000A5389">
            <w:pPr>
              <w:spacing w:line="240" w:lineRule="auto"/>
              <w:jc w:val="right"/>
              <w:rPr>
                <w:rFonts w:cs="Times New Roman"/>
                <w:sz w:val="18"/>
                <w:szCs w:val="18"/>
              </w:rPr>
            </w:pPr>
            <w:r w:rsidRPr="00951AB1">
              <w:rPr>
                <w:rFonts w:eastAsia="Times New Roman" w:cs="Times New Roman"/>
                <w:color w:val="000000" w:themeColor="text1"/>
                <w:sz w:val="18"/>
                <w:szCs w:val="18"/>
              </w:rPr>
              <w:t xml:space="preserve">        40.424.243.034 </w:t>
            </w:r>
          </w:p>
        </w:tc>
        <w:tc>
          <w:tcPr>
            <w:tcW w:w="291" w:type="dxa"/>
            <w:tcMar>
              <w:left w:w="70" w:type="dxa"/>
              <w:right w:w="70" w:type="dxa"/>
            </w:tcMar>
            <w:vAlign w:val="center"/>
          </w:tcPr>
          <w:p w14:paraId="1923FFD9" w14:textId="7FA1AA5B" w:rsidR="3C8C763A" w:rsidRPr="00951AB1" w:rsidRDefault="3C8C763A" w:rsidP="000A5389">
            <w:pPr>
              <w:spacing w:line="240" w:lineRule="auto"/>
              <w:rPr>
                <w:rFonts w:cs="Times New Roman"/>
                <w:sz w:val="18"/>
                <w:szCs w:val="18"/>
              </w:rPr>
            </w:pPr>
          </w:p>
        </w:tc>
        <w:tc>
          <w:tcPr>
            <w:tcW w:w="1812" w:type="dxa"/>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tcMar>
              <w:left w:w="70" w:type="dxa"/>
              <w:right w:w="70" w:type="dxa"/>
            </w:tcMar>
            <w:vAlign w:val="center"/>
          </w:tcPr>
          <w:p w14:paraId="7AC65233" w14:textId="68AEFD8C" w:rsidR="3C8C763A" w:rsidRPr="00951AB1" w:rsidRDefault="3C8C763A" w:rsidP="000A5389">
            <w:pPr>
              <w:spacing w:line="240" w:lineRule="auto"/>
              <w:rPr>
                <w:rFonts w:cs="Times New Roman"/>
                <w:sz w:val="18"/>
                <w:szCs w:val="18"/>
              </w:rPr>
            </w:pPr>
            <w:r w:rsidRPr="00951AB1">
              <w:rPr>
                <w:rFonts w:eastAsia="Times New Roman" w:cs="Times New Roman"/>
                <w:color w:val="000000" w:themeColor="text1"/>
                <w:sz w:val="18"/>
                <w:szCs w:val="18"/>
              </w:rPr>
              <w:t xml:space="preserve"> Autopista al Mar 1 </w:t>
            </w:r>
          </w:p>
        </w:tc>
        <w:tc>
          <w:tcPr>
            <w:tcW w:w="1066" w:type="dxa"/>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tcMar>
              <w:left w:w="70" w:type="dxa"/>
              <w:right w:w="70" w:type="dxa"/>
            </w:tcMar>
            <w:vAlign w:val="center"/>
          </w:tcPr>
          <w:p w14:paraId="7BB0CA16" w14:textId="20A7DE25" w:rsidR="3C8C763A" w:rsidRPr="00951AB1" w:rsidRDefault="3C8C763A" w:rsidP="000A5389">
            <w:pPr>
              <w:spacing w:line="240" w:lineRule="auto"/>
              <w:jc w:val="center"/>
              <w:rPr>
                <w:rFonts w:cs="Times New Roman"/>
                <w:sz w:val="18"/>
                <w:szCs w:val="18"/>
              </w:rPr>
            </w:pPr>
            <w:r w:rsidRPr="00951AB1">
              <w:rPr>
                <w:rFonts w:eastAsia="Times New Roman" w:cs="Times New Roman"/>
                <w:color w:val="000000" w:themeColor="text1"/>
                <w:sz w:val="18"/>
                <w:szCs w:val="18"/>
              </w:rPr>
              <w:t xml:space="preserve"> Comercial </w:t>
            </w:r>
          </w:p>
        </w:tc>
        <w:tc>
          <w:tcPr>
            <w:tcW w:w="1490" w:type="dxa"/>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tcMar>
              <w:left w:w="70" w:type="dxa"/>
              <w:right w:w="70" w:type="dxa"/>
            </w:tcMar>
            <w:vAlign w:val="center"/>
          </w:tcPr>
          <w:p w14:paraId="424879E9" w14:textId="0F932419" w:rsidR="3C8C763A" w:rsidRPr="00951AB1" w:rsidRDefault="3C8C763A" w:rsidP="000A5389">
            <w:pPr>
              <w:spacing w:line="240" w:lineRule="auto"/>
              <w:jc w:val="right"/>
              <w:rPr>
                <w:rFonts w:cs="Times New Roman"/>
                <w:sz w:val="18"/>
                <w:szCs w:val="18"/>
              </w:rPr>
            </w:pPr>
            <w:r w:rsidRPr="00951AB1">
              <w:rPr>
                <w:rFonts w:eastAsia="Times New Roman" w:cs="Times New Roman"/>
                <w:color w:val="000000" w:themeColor="text1"/>
                <w:sz w:val="18"/>
                <w:szCs w:val="18"/>
              </w:rPr>
              <w:t>3.154.981</w:t>
            </w:r>
          </w:p>
        </w:tc>
      </w:tr>
      <w:tr w:rsidR="3C8C763A" w:rsidRPr="00951AB1" w14:paraId="6B954FCA" w14:textId="77777777" w:rsidTr="004A7790">
        <w:trPr>
          <w:trHeight w:val="300"/>
        </w:trPr>
        <w:tc>
          <w:tcPr>
            <w:tcW w:w="1880" w:type="dxa"/>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tcMar>
              <w:left w:w="70" w:type="dxa"/>
              <w:right w:w="70" w:type="dxa"/>
            </w:tcMar>
            <w:vAlign w:val="center"/>
          </w:tcPr>
          <w:p w14:paraId="6617F1A5" w14:textId="679E048F" w:rsidR="3C8C763A" w:rsidRPr="00951AB1" w:rsidRDefault="3C8C763A" w:rsidP="000A5389">
            <w:pPr>
              <w:spacing w:line="240" w:lineRule="auto"/>
              <w:rPr>
                <w:rFonts w:cs="Times New Roman"/>
                <w:sz w:val="18"/>
                <w:szCs w:val="18"/>
              </w:rPr>
            </w:pPr>
            <w:r w:rsidRPr="00951AB1">
              <w:rPr>
                <w:rFonts w:eastAsia="Times New Roman" w:cs="Times New Roman"/>
                <w:color w:val="000000" w:themeColor="text1"/>
                <w:sz w:val="18"/>
                <w:szCs w:val="18"/>
              </w:rPr>
              <w:t xml:space="preserve"> Conexión Pacífico 2 </w:t>
            </w:r>
          </w:p>
        </w:tc>
        <w:tc>
          <w:tcPr>
            <w:tcW w:w="924" w:type="dxa"/>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tcMar>
              <w:left w:w="70" w:type="dxa"/>
              <w:right w:w="70" w:type="dxa"/>
            </w:tcMar>
            <w:vAlign w:val="center"/>
          </w:tcPr>
          <w:p w14:paraId="667D7614" w14:textId="65C67747" w:rsidR="3C8C763A" w:rsidRPr="00951AB1" w:rsidRDefault="3C8C763A" w:rsidP="000A5389">
            <w:pPr>
              <w:spacing w:line="240" w:lineRule="auto"/>
              <w:jc w:val="center"/>
              <w:rPr>
                <w:rFonts w:cs="Times New Roman"/>
                <w:sz w:val="18"/>
                <w:szCs w:val="18"/>
              </w:rPr>
            </w:pPr>
            <w:r w:rsidRPr="00951AB1">
              <w:rPr>
                <w:rFonts w:eastAsia="Times New Roman" w:cs="Times New Roman"/>
                <w:color w:val="000000" w:themeColor="text1"/>
                <w:sz w:val="18"/>
                <w:szCs w:val="18"/>
              </w:rPr>
              <w:t xml:space="preserve"> Comercial </w:t>
            </w:r>
          </w:p>
        </w:tc>
        <w:tc>
          <w:tcPr>
            <w:tcW w:w="1355" w:type="dxa"/>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tcMar>
              <w:left w:w="70" w:type="dxa"/>
              <w:right w:w="70" w:type="dxa"/>
            </w:tcMar>
            <w:vAlign w:val="center"/>
          </w:tcPr>
          <w:p w14:paraId="133242B6" w14:textId="21D6BA4F" w:rsidR="3C8C763A" w:rsidRPr="00951AB1" w:rsidRDefault="3C8C763A" w:rsidP="000A5389">
            <w:pPr>
              <w:spacing w:line="240" w:lineRule="auto"/>
              <w:jc w:val="right"/>
              <w:rPr>
                <w:rFonts w:cs="Times New Roman"/>
                <w:sz w:val="18"/>
                <w:szCs w:val="18"/>
              </w:rPr>
            </w:pPr>
            <w:r w:rsidRPr="00951AB1">
              <w:rPr>
                <w:rFonts w:eastAsia="Times New Roman" w:cs="Times New Roman"/>
                <w:color w:val="000000" w:themeColor="text1"/>
                <w:sz w:val="18"/>
                <w:szCs w:val="18"/>
              </w:rPr>
              <w:t xml:space="preserve">        36.317.533.711 </w:t>
            </w:r>
          </w:p>
        </w:tc>
        <w:tc>
          <w:tcPr>
            <w:tcW w:w="291" w:type="dxa"/>
            <w:tcMar>
              <w:left w:w="70" w:type="dxa"/>
              <w:right w:w="70" w:type="dxa"/>
            </w:tcMar>
            <w:vAlign w:val="center"/>
          </w:tcPr>
          <w:p w14:paraId="6C434CB2" w14:textId="407BE21A" w:rsidR="3C8C763A" w:rsidRPr="00951AB1" w:rsidRDefault="3C8C763A" w:rsidP="000A5389">
            <w:pPr>
              <w:spacing w:line="240" w:lineRule="auto"/>
              <w:rPr>
                <w:rFonts w:cs="Times New Roman"/>
                <w:sz w:val="18"/>
                <w:szCs w:val="18"/>
              </w:rPr>
            </w:pPr>
          </w:p>
        </w:tc>
        <w:tc>
          <w:tcPr>
            <w:tcW w:w="2878" w:type="dxa"/>
            <w:gridSpan w:val="2"/>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tcMar>
              <w:left w:w="70" w:type="dxa"/>
              <w:right w:w="70" w:type="dxa"/>
            </w:tcMar>
            <w:vAlign w:val="center"/>
          </w:tcPr>
          <w:p w14:paraId="3CA46BA4" w14:textId="6B8705D4" w:rsidR="3C8C763A" w:rsidRPr="00951AB1" w:rsidRDefault="3C8C763A" w:rsidP="000A5389">
            <w:pPr>
              <w:spacing w:line="240" w:lineRule="auto"/>
              <w:jc w:val="center"/>
              <w:rPr>
                <w:rFonts w:cs="Times New Roman"/>
                <w:sz w:val="18"/>
                <w:szCs w:val="18"/>
              </w:rPr>
            </w:pPr>
            <w:r w:rsidRPr="00951AB1">
              <w:rPr>
                <w:rFonts w:eastAsia="Times New Roman" w:cs="Times New Roman"/>
                <w:color w:val="000000" w:themeColor="text1"/>
                <w:sz w:val="18"/>
                <w:szCs w:val="18"/>
              </w:rPr>
              <w:t xml:space="preserve"> Total </w:t>
            </w:r>
          </w:p>
        </w:tc>
        <w:tc>
          <w:tcPr>
            <w:tcW w:w="1490" w:type="dxa"/>
            <w:tcBorders>
              <w:top w:val="single" w:sz="8" w:space="0" w:color="A6A6A6" w:themeColor="background1" w:themeShade="A6"/>
              <w:left w:val="nil"/>
              <w:bottom w:val="single" w:sz="8" w:space="0" w:color="A6A6A6" w:themeColor="background1" w:themeShade="A6"/>
              <w:right w:val="single" w:sz="8" w:space="0" w:color="A6A6A6" w:themeColor="background1" w:themeShade="A6"/>
            </w:tcBorders>
            <w:tcMar>
              <w:left w:w="70" w:type="dxa"/>
              <w:right w:w="70" w:type="dxa"/>
            </w:tcMar>
            <w:vAlign w:val="center"/>
          </w:tcPr>
          <w:p w14:paraId="5CE9A623" w14:textId="19C3FF8D" w:rsidR="3C8C763A" w:rsidRPr="00951AB1" w:rsidRDefault="3C8C763A" w:rsidP="000A5389">
            <w:pPr>
              <w:spacing w:line="240" w:lineRule="auto"/>
              <w:jc w:val="right"/>
              <w:rPr>
                <w:rFonts w:cs="Times New Roman"/>
                <w:sz w:val="18"/>
                <w:szCs w:val="18"/>
              </w:rPr>
            </w:pPr>
            <w:r w:rsidRPr="00951AB1">
              <w:rPr>
                <w:rFonts w:eastAsia="Times New Roman" w:cs="Times New Roman"/>
                <w:b/>
                <w:bCs/>
                <w:color w:val="000000" w:themeColor="text1"/>
                <w:sz w:val="18"/>
                <w:szCs w:val="18"/>
              </w:rPr>
              <w:t xml:space="preserve">         1.565.224.793.274</w:t>
            </w:r>
          </w:p>
        </w:tc>
      </w:tr>
    </w:tbl>
    <w:p w14:paraId="118CBED5" w14:textId="77777777" w:rsidR="004A7790" w:rsidRPr="00951AB1" w:rsidRDefault="004A7790" w:rsidP="000A5389">
      <w:pPr>
        <w:spacing w:line="240" w:lineRule="auto"/>
        <w:rPr>
          <w:rFonts w:cs="Times New Roman"/>
          <w:sz w:val="14"/>
          <w:szCs w:val="14"/>
        </w:rPr>
      </w:pPr>
      <w:r w:rsidRPr="00951AB1">
        <w:rPr>
          <w:rFonts w:cs="Times New Roman"/>
          <w:sz w:val="14"/>
          <w:szCs w:val="14"/>
        </w:rPr>
        <w:t xml:space="preserve">Cifras expresadas en pesos </w:t>
      </w:r>
    </w:p>
    <w:p w14:paraId="057D843F" w14:textId="77777777" w:rsidR="008049FB" w:rsidRDefault="008049FB" w:rsidP="000A5389">
      <w:pPr>
        <w:spacing w:line="240" w:lineRule="auto"/>
        <w:rPr>
          <w:rFonts w:cs="Times New Roman"/>
          <w:szCs w:val="24"/>
        </w:rPr>
      </w:pPr>
    </w:p>
    <w:p w14:paraId="55B6DB1A" w14:textId="77777777" w:rsidR="0039091F" w:rsidRPr="00951AB1" w:rsidRDefault="0039091F" w:rsidP="000A5389">
      <w:pPr>
        <w:spacing w:line="240" w:lineRule="auto"/>
        <w:rPr>
          <w:rFonts w:cs="Times New Roman"/>
          <w:szCs w:val="24"/>
        </w:rPr>
      </w:pPr>
    </w:p>
    <w:p w14:paraId="3B471CB5" w14:textId="5E6F52B3" w:rsidR="008049FB" w:rsidRPr="00951AB1" w:rsidRDefault="008049FB" w:rsidP="000A5389">
      <w:pPr>
        <w:pStyle w:val="Ttulo1"/>
        <w:spacing w:line="240" w:lineRule="auto"/>
        <w:rPr>
          <w:rFonts w:cs="Times New Roman"/>
        </w:rPr>
      </w:pPr>
      <w:bookmarkStart w:id="739" w:name="_Toc191369556"/>
      <w:bookmarkStart w:id="740" w:name="_Toc191456883"/>
      <w:bookmarkStart w:id="741" w:name="_Toc191456993"/>
      <w:bookmarkStart w:id="742" w:name="_Toc191457103"/>
      <w:bookmarkStart w:id="743" w:name="_Toc191475730"/>
      <w:bookmarkStart w:id="744" w:name="_Toc191475839"/>
      <w:bookmarkStart w:id="745" w:name="_Toc191475948"/>
      <w:bookmarkStart w:id="746" w:name="_Toc191475471"/>
      <w:bookmarkStart w:id="747" w:name="_Toc191505847"/>
      <w:bookmarkStart w:id="748" w:name="_Toc222824166"/>
      <w:bookmarkStart w:id="749" w:name="_Toc222955532"/>
      <w:r w:rsidRPr="00951AB1">
        <w:rPr>
          <w:rFonts w:cs="Times New Roman"/>
        </w:rPr>
        <w:t>NOTA 2</w:t>
      </w:r>
      <w:r w:rsidR="00E20414" w:rsidRPr="00951AB1">
        <w:rPr>
          <w:rFonts w:cs="Times New Roman"/>
        </w:rPr>
        <w:t>8</w:t>
      </w:r>
      <w:r w:rsidRPr="00951AB1">
        <w:rPr>
          <w:rFonts w:cs="Times New Roman"/>
        </w:rPr>
        <w:t>. CUENTAS DE ORDEN</w:t>
      </w:r>
      <w:bookmarkEnd w:id="739"/>
      <w:bookmarkEnd w:id="740"/>
      <w:bookmarkEnd w:id="741"/>
      <w:bookmarkEnd w:id="742"/>
      <w:bookmarkEnd w:id="743"/>
      <w:bookmarkEnd w:id="744"/>
      <w:bookmarkEnd w:id="745"/>
      <w:bookmarkEnd w:id="746"/>
      <w:bookmarkEnd w:id="747"/>
      <w:r w:rsidR="00E20414" w:rsidRPr="00951AB1">
        <w:rPr>
          <w:rFonts w:cs="Times New Roman"/>
        </w:rPr>
        <w:t xml:space="preserve"> (OTRAS)</w:t>
      </w:r>
      <w:bookmarkEnd w:id="748"/>
      <w:bookmarkEnd w:id="749"/>
    </w:p>
    <w:p w14:paraId="322531F5" w14:textId="77777777" w:rsidR="008049FB" w:rsidRPr="00951AB1" w:rsidRDefault="008049FB" w:rsidP="000A5389">
      <w:pPr>
        <w:spacing w:line="240" w:lineRule="auto"/>
        <w:rPr>
          <w:rFonts w:cs="Times New Roman"/>
          <w:b/>
          <w:szCs w:val="24"/>
        </w:rPr>
      </w:pPr>
    </w:p>
    <w:p w14:paraId="78A0C851" w14:textId="77777777" w:rsidR="00953AA2" w:rsidRPr="00951AB1" w:rsidRDefault="00953AA2" w:rsidP="00953AA2">
      <w:pPr>
        <w:pStyle w:val="Ttulo2"/>
        <w:numPr>
          <w:ilvl w:val="1"/>
          <w:numId w:val="22"/>
        </w:numPr>
        <w:spacing w:line="240" w:lineRule="auto"/>
        <w:rPr>
          <w:rFonts w:cs="Times New Roman"/>
          <w:szCs w:val="22"/>
        </w:rPr>
      </w:pPr>
      <w:bookmarkStart w:id="750" w:name="_Toc191369558"/>
      <w:bookmarkStart w:id="751" w:name="_Toc191456885"/>
      <w:bookmarkStart w:id="752" w:name="_Toc191456995"/>
      <w:bookmarkStart w:id="753" w:name="_Toc191457105"/>
      <w:bookmarkStart w:id="754" w:name="_Toc191475732"/>
      <w:bookmarkStart w:id="755" w:name="_Toc191475841"/>
      <w:bookmarkStart w:id="756" w:name="_Toc191475950"/>
      <w:bookmarkStart w:id="757" w:name="_Toc191475473"/>
      <w:bookmarkStart w:id="758" w:name="_Toc191505849"/>
      <w:bookmarkStart w:id="759" w:name="_Toc222824168"/>
      <w:r w:rsidRPr="00951AB1">
        <w:rPr>
          <w:rFonts w:cs="Times New Roman"/>
          <w:szCs w:val="22"/>
        </w:rPr>
        <w:t xml:space="preserve">  </w:t>
      </w:r>
      <w:bookmarkStart w:id="760" w:name="_Toc191369557"/>
      <w:bookmarkStart w:id="761" w:name="_Toc191456884"/>
      <w:bookmarkStart w:id="762" w:name="_Toc191456994"/>
      <w:bookmarkStart w:id="763" w:name="_Toc191457104"/>
      <w:bookmarkStart w:id="764" w:name="_Toc191475731"/>
      <w:bookmarkStart w:id="765" w:name="_Toc191475840"/>
      <w:bookmarkStart w:id="766" w:name="_Toc191475949"/>
      <w:bookmarkStart w:id="767" w:name="_Toc191475472"/>
      <w:bookmarkStart w:id="768" w:name="_Toc191505848"/>
      <w:bookmarkStart w:id="769" w:name="_Toc222824167"/>
      <w:r w:rsidRPr="00951AB1">
        <w:rPr>
          <w:rFonts w:cs="Times New Roman"/>
          <w:szCs w:val="22"/>
        </w:rPr>
        <w:tab/>
      </w:r>
      <w:bookmarkStart w:id="770" w:name="_Toc222955533"/>
      <w:r w:rsidRPr="00951AB1">
        <w:rPr>
          <w:rFonts w:cs="Times New Roman"/>
          <w:szCs w:val="22"/>
        </w:rPr>
        <w:t>Cuentas de orden deudoras</w:t>
      </w:r>
      <w:bookmarkEnd w:id="760"/>
      <w:bookmarkEnd w:id="761"/>
      <w:bookmarkEnd w:id="762"/>
      <w:bookmarkEnd w:id="763"/>
      <w:bookmarkEnd w:id="764"/>
      <w:bookmarkEnd w:id="765"/>
      <w:bookmarkEnd w:id="766"/>
      <w:bookmarkEnd w:id="767"/>
      <w:bookmarkEnd w:id="768"/>
      <w:bookmarkEnd w:id="769"/>
      <w:bookmarkEnd w:id="770"/>
    </w:p>
    <w:p w14:paraId="4B31D43F" w14:textId="77777777" w:rsidR="00953AA2" w:rsidRPr="00951AB1" w:rsidRDefault="00953AA2" w:rsidP="00953AA2">
      <w:pPr>
        <w:spacing w:line="240" w:lineRule="auto"/>
        <w:rPr>
          <w:rFonts w:cs="Times New Roman"/>
        </w:rPr>
      </w:pPr>
    </w:p>
    <w:tbl>
      <w:tblPr>
        <w:tblW w:w="8818" w:type="dxa"/>
        <w:tblLook w:val="04A0" w:firstRow="1" w:lastRow="0" w:firstColumn="1" w:lastColumn="0" w:noHBand="0" w:noVBand="1"/>
      </w:tblPr>
      <w:tblGrid>
        <w:gridCol w:w="590"/>
        <w:gridCol w:w="444"/>
        <w:gridCol w:w="2254"/>
        <w:gridCol w:w="2387"/>
        <w:gridCol w:w="1653"/>
        <w:gridCol w:w="1490"/>
      </w:tblGrid>
      <w:tr w:rsidR="00953AA2" w:rsidRPr="00951AB1" w14:paraId="679F7208" w14:textId="77777777" w:rsidTr="00810111">
        <w:trPr>
          <w:trHeight w:val="300"/>
          <w:tblHeader/>
        </w:trPr>
        <w:tc>
          <w:tcPr>
            <w:tcW w:w="3288" w:type="dxa"/>
            <w:gridSpan w:val="3"/>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tcMar>
              <w:left w:w="70" w:type="dxa"/>
              <w:right w:w="70" w:type="dxa"/>
            </w:tcMar>
            <w:vAlign w:val="center"/>
          </w:tcPr>
          <w:p w14:paraId="51A84270" w14:textId="77777777" w:rsidR="00953AA2" w:rsidRPr="00951AB1" w:rsidRDefault="00953AA2" w:rsidP="00810111">
            <w:pPr>
              <w:spacing w:line="240" w:lineRule="auto"/>
              <w:jc w:val="center"/>
              <w:rPr>
                <w:rFonts w:cs="Times New Roman"/>
                <w:sz w:val="18"/>
                <w:szCs w:val="18"/>
              </w:rPr>
            </w:pPr>
            <w:r w:rsidRPr="00951AB1">
              <w:rPr>
                <w:rFonts w:eastAsia="Times New Roman" w:cs="Times New Roman"/>
                <w:b/>
                <w:sz w:val="18"/>
                <w:szCs w:val="18"/>
              </w:rPr>
              <w:t>CONCEPTO</w:t>
            </w:r>
          </w:p>
        </w:tc>
        <w:tc>
          <w:tcPr>
            <w:tcW w:w="2387" w:type="dxa"/>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tcMar>
              <w:left w:w="70" w:type="dxa"/>
              <w:right w:w="70" w:type="dxa"/>
            </w:tcMar>
            <w:vAlign w:val="center"/>
          </w:tcPr>
          <w:p w14:paraId="3F099C74" w14:textId="77777777" w:rsidR="00953AA2" w:rsidRPr="00951AB1" w:rsidRDefault="00953AA2" w:rsidP="00810111">
            <w:pPr>
              <w:spacing w:line="240" w:lineRule="auto"/>
              <w:jc w:val="center"/>
              <w:rPr>
                <w:rFonts w:cs="Times New Roman"/>
                <w:sz w:val="18"/>
                <w:szCs w:val="18"/>
              </w:rPr>
            </w:pPr>
            <w:r w:rsidRPr="00951AB1">
              <w:rPr>
                <w:rFonts w:eastAsia="Times New Roman" w:cs="Times New Roman"/>
                <w:b/>
                <w:sz w:val="18"/>
                <w:szCs w:val="18"/>
              </w:rPr>
              <w:t xml:space="preserve">2025 </w:t>
            </w:r>
          </w:p>
        </w:tc>
        <w:tc>
          <w:tcPr>
            <w:tcW w:w="1653" w:type="dxa"/>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tcMar>
              <w:left w:w="70" w:type="dxa"/>
              <w:right w:w="70" w:type="dxa"/>
            </w:tcMar>
            <w:vAlign w:val="center"/>
          </w:tcPr>
          <w:p w14:paraId="6EC3D8D7" w14:textId="77777777" w:rsidR="00953AA2" w:rsidRPr="00951AB1" w:rsidRDefault="00953AA2" w:rsidP="00810111">
            <w:pPr>
              <w:spacing w:line="240" w:lineRule="auto"/>
              <w:jc w:val="center"/>
              <w:rPr>
                <w:rFonts w:cs="Times New Roman"/>
                <w:sz w:val="18"/>
                <w:szCs w:val="18"/>
              </w:rPr>
            </w:pPr>
            <w:r w:rsidRPr="00951AB1">
              <w:rPr>
                <w:rFonts w:eastAsia="Times New Roman" w:cs="Times New Roman"/>
                <w:b/>
                <w:sz w:val="18"/>
                <w:szCs w:val="18"/>
              </w:rPr>
              <w:t xml:space="preserve">2024 </w:t>
            </w:r>
          </w:p>
        </w:tc>
        <w:tc>
          <w:tcPr>
            <w:tcW w:w="1490" w:type="dxa"/>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tcMar>
              <w:left w:w="70" w:type="dxa"/>
              <w:right w:w="70" w:type="dxa"/>
            </w:tcMar>
            <w:vAlign w:val="center"/>
          </w:tcPr>
          <w:p w14:paraId="6A62B3FA" w14:textId="77777777" w:rsidR="00953AA2" w:rsidRPr="00951AB1" w:rsidRDefault="00953AA2" w:rsidP="00810111">
            <w:pPr>
              <w:spacing w:line="240" w:lineRule="auto"/>
              <w:jc w:val="center"/>
              <w:rPr>
                <w:rFonts w:cs="Times New Roman"/>
                <w:sz w:val="18"/>
                <w:szCs w:val="18"/>
              </w:rPr>
            </w:pPr>
            <w:r w:rsidRPr="00951AB1">
              <w:rPr>
                <w:rFonts w:eastAsia="Times New Roman" w:cs="Times New Roman"/>
                <w:b/>
                <w:sz w:val="18"/>
                <w:szCs w:val="18"/>
              </w:rPr>
              <w:t>VARIACIÓN</w:t>
            </w:r>
          </w:p>
        </w:tc>
      </w:tr>
      <w:tr w:rsidR="00953AA2" w:rsidRPr="00951AB1" w14:paraId="4900A16B" w14:textId="77777777" w:rsidTr="00810111">
        <w:trPr>
          <w:trHeight w:val="300"/>
        </w:trPr>
        <w:tc>
          <w:tcPr>
            <w:tcW w:w="3288" w:type="dxa"/>
            <w:gridSpan w:val="3"/>
            <w:tcBorders>
              <w:top w:val="single" w:sz="8" w:space="0" w:color="A6A6A6" w:themeColor="background1" w:themeShade="A6"/>
              <w:left w:val="single" w:sz="8" w:space="0" w:color="A6A6A6" w:themeColor="background1" w:themeShade="A6"/>
              <w:bottom w:val="single" w:sz="8" w:space="0" w:color="A6A6A6" w:themeColor="background1" w:themeShade="A6"/>
              <w:right w:val="nil"/>
            </w:tcBorders>
            <w:tcMar>
              <w:left w:w="70" w:type="dxa"/>
              <w:right w:w="70" w:type="dxa"/>
            </w:tcMar>
            <w:vAlign w:val="center"/>
          </w:tcPr>
          <w:p w14:paraId="6AE6928B" w14:textId="77777777" w:rsidR="00953AA2" w:rsidRPr="00951AB1" w:rsidRDefault="00953AA2" w:rsidP="00810111">
            <w:pPr>
              <w:spacing w:line="240" w:lineRule="auto"/>
              <w:jc w:val="center"/>
              <w:rPr>
                <w:rFonts w:cs="Times New Roman"/>
                <w:sz w:val="18"/>
                <w:szCs w:val="18"/>
              </w:rPr>
            </w:pPr>
            <w:r w:rsidRPr="00951AB1">
              <w:rPr>
                <w:rFonts w:eastAsia="Times New Roman" w:cs="Times New Roman"/>
                <w:b/>
                <w:sz w:val="18"/>
                <w:szCs w:val="18"/>
              </w:rPr>
              <w:t>CUENTAS DE ORDEN DEUDORAS (OTRAS)</w:t>
            </w:r>
          </w:p>
        </w:tc>
        <w:tc>
          <w:tcPr>
            <w:tcW w:w="2387" w:type="dxa"/>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tcMar>
              <w:left w:w="70" w:type="dxa"/>
              <w:right w:w="70" w:type="dxa"/>
            </w:tcMar>
            <w:vAlign w:val="center"/>
          </w:tcPr>
          <w:p w14:paraId="2A90BF15" w14:textId="77777777" w:rsidR="00953AA2" w:rsidRPr="00951AB1" w:rsidRDefault="00953AA2" w:rsidP="00810111">
            <w:pPr>
              <w:spacing w:line="240" w:lineRule="auto"/>
              <w:jc w:val="right"/>
              <w:rPr>
                <w:rFonts w:cs="Times New Roman"/>
                <w:sz w:val="18"/>
                <w:szCs w:val="18"/>
              </w:rPr>
            </w:pPr>
            <w:r w:rsidRPr="00951AB1">
              <w:rPr>
                <w:rFonts w:eastAsia="Times New Roman" w:cs="Times New Roman"/>
                <w:b/>
                <w:sz w:val="18"/>
                <w:szCs w:val="18"/>
              </w:rPr>
              <w:t>0</w:t>
            </w:r>
          </w:p>
        </w:tc>
        <w:tc>
          <w:tcPr>
            <w:tcW w:w="1653" w:type="dxa"/>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tcMar>
              <w:left w:w="70" w:type="dxa"/>
              <w:right w:w="70" w:type="dxa"/>
            </w:tcMar>
            <w:vAlign w:val="center"/>
          </w:tcPr>
          <w:p w14:paraId="0DFF415A" w14:textId="77777777" w:rsidR="00953AA2" w:rsidRPr="00951AB1" w:rsidRDefault="00953AA2" w:rsidP="00810111">
            <w:pPr>
              <w:spacing w:line="240" w:lineRule="auto"/>
              <w:jc w:val="right"/>
              <w:rPr>
                <w:rFonts w:cs="Times New Roman"/>
                <w:sz w:val="18"/>
                <w:szCs w:val="18"/>
              </w:rPr>
            </w:pPr>
            <w:r w:rsidRPr="00951AB1">
              <w:rPr>
                <w:rFonts w:eastAsia="Times New Roman" w:cs="Times New Roman"/>
                <w:b/>
                <w:sz w:val="18"/>
                <w:szCs w:val="18"/>
              </w:rPr>
              <w:t>0</w:t>
            </w:r>
          </w:p>
        </w:tc>
        <w:tc>
          <w:tcPr>
            <w:tcW w:w="1490" w:type="dxa"/>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tcMar>
              <w:left w:w="70" w:type="dxa"/>
              <w:right w:w="70" w:type="dxa"/>
            </w:tcMar>
            <w:vAlign w:val="center"/>
          </w:tcPr>
          <w:p w14:paraId="147AE06E" w14:textId="77777777" w:rsidR="00953AA2" w:rsidRPr="00951AB1" w:rsidRDefault="00953AA2" w:rsidP="00810111">
            <w:pPr>
              <w:spacing w:line="240" w:lineRule="auto"/>
              <w:jc w:val="right"/>
              <w:rPr>
                <w:rFonts w:cs="Times New Roman"/>
                <w:sz w:val="18"/>
                <w:szCs w:val="18"/>
              </w:rPr>
            </w:pPr>
            <w:r w:rsidRPr="00951AB1">
              <w:rPr>
                <w:rFonts w:eastAsia="Times New Roman" w:cs="Times New Roman"/>
                <w:b/>
                <w:sz w:val="18"/>
                <w:szCs w:val="18"/>
              </w:rPr>
              <w:t>0</w:t>
            </w:r>
          </w:p>
        </w:tc>
      </w:tr>
      <w:tr w:rsidR="00953AA2" w:rsidRPr="00951AB1" w14:paraId="09F19F24" w14:textId="77777777" w:rsidTr="00810111">
        <w:trPr>
          <w:trHeight w:val="300"/>
        </w:trPr>
        <w:tc>
          <w:tcPr>
            <w:tcW w:w="590" w:type="dxa"/>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tcMar>
              <w:left w:w="70" w:type="dxa"/>
              <w:right w:w="70" w:type="dxa"/>
            </w:tcMar>
            <w:vAlign w:val="center"/>
          </w:tcPr>
          <w:p w14:paraId="383D6E52" w14:textId="77777777" w:rsidR="00953AA2" w:rsidRPr="00951AB1" w:rsidRDefault="00953AA2" w:rsidP="00810111">
            <w:pPr>
              <w:spacing w:line="240" w:lineRule="auto"/>
              <w:rPr>
                <w:rFonts w:cs="Times New Roman"/>
                <w:sz w:val="18"/>
                <w:szCs w:val="18"/>
              </w:rPr>
            </w:pPr>
            <w:r w:rsidRPr="00951AB1">
              <w:rPr>
                <w:rFonts w:eastAsia="Times New Roman" w:cs="Times New Roman"/>
                <w:sz w:val="18"/>
                <w:szCs w:val="18"/>
              </w:rPr>
              <w:t>8.1</w:t>
            </w:r>
          </w:p>
        </w:tc>
        <w:tc>
          <w:tcPr>
            <w:tcW w:w="444" w:type="dxa"/>
            <w:tcBorders>
              <w:top w:val="single" w:sz="8" w:space="0" w:color="A6A6A6" w:themeColor="background1" w:themeShade="A6"/>
              <w:left w:val="single" w:sz="8" w:space="0" w:color="A6A6A6" w:themeColor="background1" w:themeShade="A6"/>
              <w:bottom w:val="single" w:sz="8" w:space="0" w:color="A6A6A6" w:themeColor="background1" w:themeShade="A6"/>
              <w:right w:val="nil"/>
            </w:tcBorders>
            <w:tcMar>
              <w:left w:w="70" w:type="dxa"/>
              <w:right w:w="70" w:type="dxa"/>
            </w:tcMar>
            <w:vAlign w:val="center"/>
          </w:tcPr>
          <w:p w14:paraId="27BE2193" w14:textId="77777777" w:rsidR="00953AA2" w:rsidRPr="00951AB1" w:rsidRDefault="00953AA2" w:rsidP="00810111">
            <w:pPr>
              <w:spacing w:line="240" w:lineRule="auto"/>
              <w:jc w:val="center"/>
              <w:rPr>
                <w:rFonts w:cs="Times New Roman"/>
                <w:sz w:val="18"/>
                <w:szCs w:val="18"/>
              </w:rPr>
            </w:pPr>
            <w:r w:rsidRPr="00951AB1">
              <w:rPr>
                <w:rFonts w:eastAsia="Times New Roman" w:cs="Times New Roman"/>
                <w:sz w:val="18"/>
                <w:szCs w:val="18"/>
              </w:rPr>
              <w:t>Db</w:t>
            </w:r>
          </w:p>
        </w:tc>
        <w:tc>
          <w:tcPr>
            <w:tcW w:w="2254" w:type="dxa"/>
            <w:tcBorders>
              <w:top w:val="single" w:sz="8" w:space="0" w:color="A6A6A6" w:themeColor="background1" w:themeShade="A6"/>
              <w:left w:val="single" w:sz="8" w:space="0" w:color="A6A6A6" w:themeColor="background1" w:themeShade="A6"/>
              <w:bottom w:val="single" w:sz="8" w:space="0" w:color="A6A6A6" w:themeColor="background1" w:themeShade="A6"/>
              <w:right w:val="nil"/>
            </w:tcBorders>
            <w:tcMar>
              <w:left w:w="70" w:type="dxa"/>
              <w:right w:w="70" w:type="dxa"/>
            </w:tcMar>
            <w:vAlign w:val="center"/>
          </w:tcPr>
          <w:p w14:paraId="441AB974" w14:textId="77777777" w:rsidR="00953AA2" w:rsidRPr="00951AB1" w:rsidRDefault="00953AA2" w:rsidP="00810111">
            <w:pPr>
              <w:spacing w:line="240" w:lineRule="auto"/>
              <w:rPr>
                <w:rFonts w:cs="Times New Roman"/>
                <w:sz w:val="18"/>
                <w:szCs w:val="18"/>
              </w:rPr>
            </w:pPr>
            <w:r w:rsidRPr="00951AB1">
              <w:rPr>
                <w:rFonts w:eastAsia="Times New Roman" w:cs="Times New Roman"/>
                <w:sz w:val="18"/>
                <w:szCs w:val="18"/>
              </w:rPr>
              <w:t>ACTIVOS CONTINGENTES</w:t>
            </w:r>
          </w:p>
        </w:tc>
        <w:tc>
          <w:tcPr>
            <w:tcW w:w="2387" w:type="dxa"/>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tcMar>
              <w:left w:w="70" w:type="dxa"/>
              <w:right w:w="70" w:type="dxa"/>
            </w:tcMar>
            <w:vAlign w:val="center"/>
          </w:tcPr>
          <w:p w14:paraId="504961B2" w14:textId="77777777" w:rsidR="00953AA2" w:rsidRPr="00951AB1" w:rsidRDefault="00953AA2" w:rsidP="00810111">
            <w:pPr>
              <w:spacing w:line="240" w:lineRule="auto"/>
              <w:jc w:val="right"/>
              <w:rPr>
                <w:rFonts w:cs="Times New Roman"/>
                <w:sz w:val="18"/>
                <w:szCs w:val="18"/>
              </w:rPr>
            </w:pPr>
            <w:r w:rsidRPr="00951AB1">
              <w:rPr>
                <w:rFonts w:eastAsia="Times New Roman" w:cs="Times New Roman"/>
                <w:sz w:val="18"/>
                <w:szCs w:val="18"/>
              </w:rPr>
              <w:t>7.207.667.328.672</w:t>
            </w:r>
          </w:p>
        </w:tc>
        <w:tc>
          <w:tcPr>
            <w:tcW w:w="1653" w:type="dxa"/>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tcMar>
              <w:left w:w="70" w:type="dxa"/>
              <w:right w:w="70" w:type="dxa"/>
            </w:tcMar>
            <w:vAlign w:val="center"/>
          </w:tcPr>
          <w:p w14:paraId="2A35B93D" w14:textId="77777777" w:rsidR="00953AA2" w:rsidRPr="00951AB1" w:rsidRDefault="00953AA2" w:rsidP="00810111">
            <w:pPr>
              <w:spacing w:line="240" w:lineRule="auto"/>
              <w:jc w:val="right"/>
              <w:rPr>
                <w:rFonts w:cs="Times New Roman"/>
                <w:sz w:val="18"/>
                <w:szCs w:val="18"/>
              </w:rPr>
            </w:pPr>
            <w:r w:rsidRPr="00951AB1">
              <w:rPr>
                <w:rFonts w:eastAsia="Times New Roman" w:cs="Times New Roman"/>
                <w:sz w:val="18"/>
                <w:szCs w:val="18"/>
              </w:rPr>
              <w:t>4.728.083.596.114</w:t>
            </w:r>
          </w:p>
        </w:tc>
        <w:tc>
          <w:tcPr>
            <w:tcW w:w="1490" w:type="dxa"/>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tcMar>
              <w:left w:w="70" w:type="dxa"/>
              <w:right w:w="70" w:type="dxa"/>
            </w:tcMar>
            <w:vAlign w:val="center"/>
          </w:tcPr>
          <w:p w14:paraId="6A102F40" w14:textId="77777777" w:rsidR="00953AA2" w:rsidRPr="00951AB1" w:rsidRDefault="00953AA2" w:rsidP="00810111">
            <w:pPr>
              <w:spacing w:line="240" w:lineRule="auto"/>
              <w:jc w:val="right"/>
              <w:rPr>
                <w:rFonts w:cs="Times New Roman"/>
                <w:sz w:val="18"/>
                <w:szCs w:val="18"/>
              </w:rPr>
            </w:pPr>
            <w:r w:rsidRPr="00951AB1">
              <w:rPr>
                <w:rFonts w:eastAsia="Times New Roman" w:cs="Times New Roman"/>
                <w:sz w:val="18"/>
                <w:szCs w:val="18"/>
              </w:rPr>
              <w:t>2.479.583.732.558</w:t>
            </w:r>
          </w:p>
        </w:tc>
      </w:tr>
      <w:tr w:rsidR="00953AA2" w:rsidRPr="00951AB1" w14:paraId="496A45BC" w14:textId="77777777" w:rsidTr="00810111">
        <w:trPr>
          <w:trHeight w:val="300"/>
        </w:trPr>
        <w:tc>
          <w:tcPr>
            <w:tcW w:w="590" w:type="dxa"/>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tcMar>
              <w:left w:w="70" w:type="dxa"/>
              <w:right w:w="70" w:type="dxa"/>
            </w:tcMar>
            <w:vAlign w:val="center"/>
          </w:tcPr>
          <w:p w14:paraId="1572E958" w14:textId="77777777" w:rsidR="00953AA2" w:rsidRPr="00951AB1" w:rsidRDefault="00953AA2" w:rsidP="00810111">
            <w:pPr>
              <w:spacing w:line="240" w:lineRule="auto"/>
              <w:rPr>
                <w:rFonts w:cs="Times New Roman"/>
                <w:sz w:val="18"/>
                <w:szCs w:val="18"/>
              </w:rPr>
            </w:pPr>
            <w:r w:rsidRPr="00951AB1">
              <w:rPr>
                <w:rFonts w:eastAsia="Times New Roman" w:cs="Times New Roman"/>
                <w:sz w:val="18"/>
                <w:szCs w:val="18"/>
              </w:rPr>
              <w:t>8.2</w:t>
            </w:r>
          </w:p>
        </w:tc>
        <w:tc>
          <w:tcPr>
            <w:tcW w:w="444" w:type="dxa"/>
            <w:tcBorders>
              <w:top w:val="single" w:sz="8" w:space="0" w:color="A6A6A6" w:themeColor="background1" w:themeShade="A6"/>
              <w:left w:val="single" w:sz="8" w:space="0" w:color="A6A6A6" w:themeColor="background1" w:themeShade="A6"/>
              <w:bottom w:val="single" w:sz="8" w:space="0" w:color="A6A6A6" w:themeColor="background1" w:themeShade="A6"/>
              <w:right w:val="nil"/>
            </w:tcBorders>
            <w:tcMar>
              <w:left w:w="70" w:type="dxa"/>
              <w:right w:w="70" w:type="dxa"/>
            </w:tcMar>
            <w:vAlign w:val="center"/>
          </w:tcPr>
          <w:p w14:paraId="746E9075" w14:textId="77777777" w:rsidR="00953AA2" w:rsidRPr="00951AB1" w:rsidRDefault="00953AA2" w:rsidP="00810111">
            <w:pPr>
              <w:spacing w:line="240" w:lineRule="auto"/>
              <w:jc w:val="center"/>
              <w:rPr>
                <w:rFonts w:cs="Times New Roman"/>
                <w:sz w:val="18"/>
                <w:szCs w:val="18"/>
              </w:rPr>
            </w:pPr>
            <w:r w:rsidRPr="00951AB1">
              <w:rPr>
                <w:rFonts w:eastAsia="Times New Roman" w:cs="Times New Roman"/>
                <w:sz w:val="18"/>
                <w:szCs w:val="18"/>
              </w:rPr>
              <w:t>Db</w:t>
            </w:r>
          </w:p>
        </w:tc>
        <w:tc>
          <w:tcPr>
            <w:tcW w:w="2254" w:type="dxa"/>
            <w:tcBorders>
              <w:top w:val="single" w:sz="8" w:space="0" w:color="A6A6A6" w:themeColor="background1" w:themeShade="A6"/>
              <w:left w:val="single" w:sz="8" w:space="0" w:color="A6A6A6" w:themeColor="background1" w:themeShade="A6"/>
              <w:bottom w:val="single" w:sz="8" w:space="0" w:color="A6A6A6" w:themeColor="background1" w:themeShade="A6"/>
              <w:right w:val="nil"/>
            </w:tcBorders>
            <w:tcMar>
              <w:left w:w="70" w:type="dxa"/>
              <w:right w:w="70" w:type="dxa"/>
            </w:tcMar>
            <w:vAlign w:val="center"/>
          </w:tcPr>
          <w:p w14:paraId="50A8E13F" w14:textId="77777777" w:rsidR="00953AA2" w:rsidRPr="00951AB1" w:rsidRDefault="00953AA2" w:rsidP="00810111">
            <w:pPr>
              <w:spacing w:line="240" w:lineRule="auto"/>
              <w:rPr>
                <w:rFonts w:cs="Times New Roman"/>
                <w:sz w:val="18"/>
                <w:szCs w:val="18"/>
              </w:rPr>
            </w:pPr>
            <w:r w:rsidRPr="00951AB1">
              <w:rPr>
                <w:rFonts w:eastAsia="Times New Roman" w:cs="Times New Roman"/>
                <w:sz w:val="18"/>
                <w:szCs w:val="18"/>
              </w:rPr>
              <w:t>DEUDORAS FISCALES</w:t>
            </w:r>
          </w:p>
        </w:tc>
        <w:tc>
          <w:tcPr>
            <w:tcW w:w="2387" w:type="dxa"/>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tcMar>
              <w:left w:w="70" w:type="dxa"/>
              <w:right w:w="70" w:type="dxa"/>
            </w:tcMar>
            <w:vAlign w:val="center"/>
          </w:tcPr>
          <w:p w14:paraId="79D61AC1" w14:textId="77777777" w:rsidR="00953AA2" w:rsidRPr="00951AB1" w:rsidRDefault="00953AA2" w:rsidP="00810111">
            <w:pPr>
              <w:spacing w:line="240" w:lineRule="auto"/>
              <w:jc w:val="right"/>
              <w:rPr>
                <w:rFonts w:cs="Times New Roman"/>
                <w:sz w:val="18"/>
                <w:szCs w:val="18"/>
              </w:rPr>
            </w:pPr>
            <w:r w:rsidRPr="00951AB1">
              <w:rPr>
                <w:rFonts w:eastAsia="Times New Roman" w:cs="Times New Roman"/>
                <w:sz w:val="18"/>
                <w:szCs w:val="18"/>
              </w:rPr>
              <w:t xml:space="preserve"> </w:t>
            </w:r>
            <w:r>
              <w:rPr>
                <w:rFonts w:eastAsia="Times New Roman" w:cs="Times New Roman"/>
                <w:sz w:val="18"/>
                <w:szCs w:val="18"/>
              </w:rPr>
              <w:t>0</w:t>
            </w:r>
          </w:p>
        </w:tc>
        <w:tc>
          <w:tcPr>
            <w:tcW w:w="1653" w:type="dxa"/>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tcMar>
              <w:left w:w="70" w:type="dxa"/>
              <w:right w:w="70" w:type="dxa"/>
            </w:tcMar>
            <w:vAlign w:val="center"/>
          </w:tcPr>
          <w:p w14:paraId="25CD5B65" w14:textId="77777777" w:rsidR="00953AA2" w:rsidRPr="00951AB1" w:rsidRDefault="00953AA2" w:rsidP="00810111">
            <w:pPr>
              <w:spacing w:line="240" w:lineRule="auto"/>
              <w:jc w:val="right"/>
              <w:rPr>
                <w:rFonts w:cs="Times New Roman"/>
                <w:sz w:val="18"/>
                <w:szCs w:val="18"/>
              </w:rPr>
            </w:pPr>
            <w:r w:rsidRPr="00951AB1">
              <w:rPr>
                <w:rFonts w:eastAsia="Times New Roman" w:cs="Times New Roman"/>
                <w:sz w:val="18"/>
                <w:szCs w:val="18"/>
              </w:rPr>
              <w:t>0</w:t>
            </w:r>
          </w:p>
        </w:tc>
        <w:tc>
          <w:tcPr>
            <w:tcW w:w="1490" w:type="dxa"/>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tcMar>
              <w:left w:w="70" w:type="dxa"/>
              <w:right w:w="70" w:type="dxa"/>
            </w:tcMar>
            <w:vAlign w:val="center"/>
          </w:tcPr>
          <w:p w14:paraId="52380024" w14:textId="77777777" w:rsidR="00953AA2" w:rsidRPr="00951AB1" w:rsidRDefault="00953AA2" w:rsidP="00810111">
            <w:pPr>
              <w:spacing w:line="240" w:lineRule="auto"/>
              <w:jc w:val="right"/>
              <w:rPr>
                <w:rFonts w:cs="Times New Roman"/>
                <w:sz w:val="18"/>
                <w:szCs w:val="18"/>
              </w:rPr>
            </w:pPr>
            <w:r w:rsidRPr="00951AB1">
              <w:rPr>
                <w:rFonts w:eastAsia="Times New Roman" w:cs="Times New Roman"/>
                <w:sz w:val="18"/>
                <w:szCs w:val="18"/>
              </w:rPr>
              <w:t>0</w:t>
            </w:r>
          </w:p>
        </w:tc>
      </w:tr>
      <w:tr w:rsidR="00953AA2" w:rsidRPr="00951AB1" w14:paraId="702453AF" w14:textId="77777777" w:rsidTr="00810111">
        <w:trPr>
          <w:trHeight w:val="300"/>
        </w:trPr>
        <w:tc>
          <w:tcPr>
            <w:tcW w:w="590" w:type="dxa"/>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tcMar>
              <w:left w:w="70" w:type="dxa"/>
              <w:right w:w="70" w:type="dxa"/>
            </w:tcMar>
            <w:vAlign w:val="center"/>
          </w:tcPr>
          <w:p w14:paraId="0D022347" w14:textId="77777777" w:rsidR="00953AA2" w:rsidRPr="00951AB1" w:rsidRDefault="00953AA2" w:rsidP="00810111">
            <w:pPr>
              <w:spacing w:line="240" w:lineRule="auto"/>
              <w:rPr>
                <w:rFonts w:cs="Times New Roman"/>
                <w:sz w:val="18"/>
                <w:szCs w:val="18"/>
              </w:rPr>
            </w:pPr>
            <w:r w:rsidRPr="00951AB1">
              <w:rPr>
                <w:rFonts w:eastAsia="Times New Roman" w:cs="Times New Roman"/>
                <w:b/>
                <w:sz w:val="18"/>
                <w:szCs w:val="18"/>
              </w:rPr>
              <w:t>8.3</w:t>
            </w:r>
          </w:p>
        </w:tc>
        <w:tc>
          <w:tcPr>
            <w:tcW w:w="444" w:type="dxa"/>
            <w:tcBorders>
              <w:top w:val="single" w:sz="8" w:space="0" w:color="A6A6A6" w:themeColor="background1" w:themeShade="A6"/>
              <w:left w:val="single" w:sz="8" w:space="0" w:color="A6A6A6" w:themeColor="background1" w:themeShade="A6"/>
              <w:bottom w:val="single" w:sz="8" w:space="0" w:color="A6A6A6" w:themeColor="background1" w:themeShade="A6"/>
              <w:right w:val="nil"/>
            </w:tcBorders>
            <w:tcMar>
              <w:left w:w="70" w:type="dxa"/>
              <w:right w:w="70" w:type="dxa"/>
            </w:tcMar>
            <w:vAlign w:val="center"/>
          </w:tcPr>
          <w:p w14:paraId="26101670" w14:textId="77777777" w:rsidR="00953AA2" w:rsidRPr="00951AB1" w:rsidRDefault="00953AA2" w:rsidP="00810111">
            <w:pPr>
              <w:spacing w:line="240" w:lineRule="auto"/>
              <w:jc w:val="center"/>
              <w:rPr>
                <w:rFonts w:cs="Times New Roman"/>
                <w:sz w:val="18"/>
                <w:szCs w:val="18"/>
              </w:rPr>
            </w:pPr>
            <w:r w:rsidRPr="00951AB1">
              <w:rPr>
                <w:rFonts w:eastAsia="Times New Roman" w:cs="Times New Roman"/>
                <w:b/>
                <w:sz w:val="18"/>
                <w:szCs w:val="18"/>
              </w:rPr>
              <w:t>Db</w:t>
            </w:r>
          </w:p>
        </w:tc>
        <w:tc>
          <w:tcPr>
            <w:tcW w:w="2254" w:type="dxa"/>
            <w:tcBorders>
              <w:top w:val="single" w:sz="8" w:space="0" w:color="A6A6A6" w:themeColor="background1" w:themeShade="A6"/>
              <w:left w:val="single" w:sz="8" w:space="0" w:color="A6A6A6" w:themeColor="background1" w:themeShade="A6"/>
              <w:bottom w:val="single" w:sz="8" w:space="0" w:color="A6A6A6" w:themeColor="background1" w:themeShade="A6"/>
              <w:right w:val="nil"/>
            </w:tcBorders>
            <w:tcMar>
              <w:left w:w="70" w:type="dxa"/>
              <w:right w:w="70" w:type="dxa"/>
            </w:tcMar>
            <w:vAlign w:val="center"/>
          </w:tcPr>
          <w:p w14:paraId="523990A4" w14:textId="77777777" w:rsidR="00953AA2" w:rsidRPr="00951AB1" w:rsidRDefault="00953AA2" w:rsidP="00810111">
            <w:pPr>
              <w:spacing w:line="240" w:lineRule="auto"/>
              <w:rPr>
                <w:rFonts w:cs="Times New Roman"/>
                <w:sz w:val="18"/>
                <w:szCs w:val="18"/>
              </w:rPr>
            </w:pPr>
            <w:r w:rsidRPr="00951AB1">
              <w:rPr>
                <w:rFonts w:eastAsia="Times New Roman" w:cs="Times New Roman"/>
                <w:b/>
                <w:sz w:val="18"/>
                <w:szCs w:val="18"/>
              </w:rPr>
              <w:t>DEUDORAS DE CONTROL</w:t>
            </w:r>
          </w:p>
        </w:tc>
        <w:tc>
          <w:tcPr>
            <w:tcW w:w="2387" w:type="dxa"/>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tcMar>
              <w:left w:w="70" w:type="dxa"/>
              <w:right w:w="70" w:type="dxa"/>
            </w:tcMar>
            <w:vAlign w:val="center"/>
          </w:tcPr>
          <w:p w14:paraId="056EC823" w14:textId="77777777" w:rsidR="00953AA2" w:rsidRPr="00951AB1" w:rsidRDefault="00953AA2" w:rsidP="00810111">
            <w:pPr>
              <w:spacing w:line="240" w:lineRule="auto"/>
              <w:jc w:val="right"/>
              <w:rPr>
                <w:rFonts w:cs="Times New Roman"/>
                <w:sz w:val="18"/>
                <w:szCs w:val="18"/>
              </w:rPr>
            </w:pPr>
            <w:r w:rsidRPr="00951AB1">
              <w:rPr>
                <w:rFonts w:eastAsia="Times New Roman" w:cs="Times New Roman"/>
                <w:b/>
                <w:sz w:val="18"/>
                <w:szCs w:val="18"/>
              </w:rPr>
              <w:t>1.217.399.017.</w:t>
            </w:r>
            <w:r w:rsidRPr="00951AB1">
              <w:rPr>
                <w:rFonts w:eastAsia="Times New Roman" w:cs="Times New Roman"/>
                <w:b/>
                <w:bCs/>
                <w:sz w:val="18"/>
                <w:szCs w:val="18"/>
              </w:rPr>
              <w:t>52</w:t>
            </w:r>
            <w:r>
              <w:rPr>
                <w:rFonts w:eastAsia="Times New Roman" w:cs="Times New Roman"/>
                <w:b/>
                <w:bCs/>
                <w:sz w:val="18"/>
                <w:szCs w:val="18"/>
              </w:rPr>
              <w:t>1</w:t>
            </w:r>
          </w:p>
        </w:tc>
        <w:tc>
          <w:tcPr>
            <w:tcW w:w="1653" w:type="dxa"/>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tcMar>
              <w:left w:w="70" w:type="dxa"/>
              <w:right w:w="70" w:type="dxa"/>
            </w:tcMar>
            <w:vAlign w:val="center"/>
          </w:tcPr>
          <w:p w14:paraId="0600910E" w14:textId="77777777" w:rsidR="00953AA2" w:rsidRPr="00951AB1" w:rsidRDefault="00953AA2" w:rsidP="00810111">
            <w:pPr>
              <w:spacing w:line="240" w:lineRule="auto"/>
              <w:jc w:val="right"/>
              <w:rPr>
                <w:rFonts w:cs="Times New Roman"/>
                <w:sz w:val="18"/>
                <w:szCs w:val="18"/>
              </w:rPr>
            </w:pPr>
            <w:r w:rsidRPr="00951AB1">
              <w:rPr>
                <w:rFonts w:eastAsia="Times New Roman" w:cs="Times New Roman"/>
                <w:b/>
                <w:sz w:val="18"/>
                <w:szCs w:val="18"/>
              </w:rPr>
              <w:t>1.245.781.950.429</w:t>
            </w:r>
          </w:p>
        </w:tc>
        <w:tc>
          <w:tcPr>
            <w:tcW w:w="1490" w:type="dxa"/>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tcMar>
              <w:left w:w="70" w:type="dxa"/>
              <w:right w:w="70" w:type="dxa"/>
            </w:tcMar>
            <w:vAlign w:val="center"/>
          </w:tcPr>
          <w:p w14:paraId="5EC96B40" w14:textId="77777777" w:rsidR="00953AA2" w:rsidRPr="00951AB1" w:rsidRDefault="00953AA2" w:rsidP="00810111">
            <w:pPr>
              <w:spacing w:line="240" w:lineRule="auto"/>
              <w:jc w:val="right"/>
              <w:rPr>
                <w:rFonts w:cs="Times New Roman"/>
                <w:sz w:val="18"/>
                <w:szCs w:val="18"/>
              </w:rPr>
            </w:pPr>
            <w:r w:rsidRPr="00951AB1">
              <w:rPr>
                <w:rFonts w:eastAsia="Times New Roman" w:cs="Times New Roman"/>
                <w:b/>
                <w:sz w:val="18"/>
                <w:szCs w:val="18"/>
              </w:rPr>
              <w:t>-28.382.932.908</w:t>
            </w:r>
          </w:p>
        </w:tc>
      </w:tr>
      <w:tr w:rsidR="00953AA2" w:rsidRPr="00951AB1" w14:paraId="1FDECA6B" w14:textId="77777777" w:rsidTr="00810111">
        <w:trPr>
          <w:trHeight w:val="300"/>
        </w:trPr>
        <w:tc>
          <w:tcPr>
            <w:tcW w:w="590" w:type="dxa"/>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tcMar>
              <w:left w:w="70" w:type="dxa"/>
              <w:right w:w="70" w:type="dxa"/>
            </w:tcMar>
            <w:vAlign w:val="center"/>
          </w:tcPr>
          <w:p w14:paraId="3CAB4DD2" w14:textId="77777777" w:rsidR="00953AA2" w:rsidRPr="00951AB1" w:rsidRDefault="00953AA2" w:rsidP="00810111">
            <w:pPr>
              <w:spacing w:line="240" w:lineRule="auto"/>
              <w:rPr>
                <w:rFonts w:cs="Times New Roman"/>
                <w:sz w:val="18"/>
                <w:szCs w:val="18"/>
              </w:rPr>
            </w:pPr>
            <w:r w:rsidRPr="00951AB1">
              <w:rPr>
                <w:rFonts w:eastAsia="Times New Roman" w:cs="Times New Roman"/>
                <w:sz w:val="18"/>
                <w:szCs w:val="18"/>
              </w:rPr>
              <w:t>8.3.15</w:t>
            </w:r>
          </w:p>
        </w:tc>
        <w:tc>
          <w:tcPr>
            <w:tcW w:w="444" w:type="dxa"/>
            <w:tcBorders>
              <w:top w:val="single" w:sz="8" w:space="0" w:color="A6A6A6" w:themeColor="background1" w:themeShade="A6"/>
              <w:left w:val="single" w:sz="8" w:space="0" w:color="A6A6A6" w:themeColor="background1" w:themeShade="A6"/>
              <w:bottom w:val="single" w:sz="8" w:space="0" w:color="A6A6A6" w:themeColor="background1" w:themeShade="A6"/>
              <w:right w:val="nil"/>
            </w:tcBorders>
            <w:tcMar>
              <w:left w:w="70" w:type="dxa"/>
              <w:right w:w="70" w:type="dxa"/>
            </w:tcMar>
            <w:vAlign w:val="center"/>
          </w:tcPr>
          <w:p w14:paraId="12D544D6" w14:textId="77777777" w:rsidR="00953AA2" w:rsidRPr="00951AB1" w:rsidRDefault="00953AA2" w:rsidP="00810111">
            <w:pPr>
              <w:spacing w:line="240" w:lineRule="auto"/>
              <w:jc w:val="center"/>
              <w:rPr>
                <w:rFonts w:cs="Times New Roman"/>
                <w:sz w:val="18"/>
                <w:szCs w:val="18"/>
              </w:rPr>
            </w:pPr>
            <w:r w:rsidRPr="00951AB1">
              <w:rPr>
                <w:rFonts w:eastAsia="Times New Roman" w:cs="Times New Roman"/>
                <w:sz w:val="18"/>
                <w:szCs w:val="18"/>
              </w:rPr>
              <w:t>Db</w:t>
            </w:r>
          </w:p>
        </w:tc>
        <w:tc>
          <w:tcPr>
            <w:tcW w:w="2254" w:type="dxa"/>
            <w:tcBorders>
              <w:top w:val="single" w:sz="8" w:space="0" w:color="A6A6A6" w:themeColor="background1" w:themeShade="A6"/>
              <w:left w:val="single" w:sz="8" w:space="0" w:color="A6A6A6" w:themeColor="background1" w:themeShade="A6"/>
              <w:bottom w:val="single" w:sz="8" w:space="0" w:color="A6A6A6" w:themeColor="background1" w:themeShade="A6"/>
              <w:right w:val="nil"/>
            </w:tcBorders>
            <w:tcMar>
              <w:left w:w="70" w:type="dxa"/>
              <w:right w:w="70" w:type="dxa"/>
            </w:tcMar>
            <w:vAlign w:val="center"/>
          </w:tcPr>
          <w:p w14:paraId="1ABE8D87" w14:textId="77777777" w:rsidR="00953AA2" w:rsidRPr="00951AB1" w:rsidRDefault="00953AA2" w:rsidP="00810111">
            <w:pPr>
              <w:spacing w:line="240" w:lineRule="auto"/>
              <w:rPr>
                <w:rFonts w:cs="Times New Roman"/>
                <w:sz w:val="18"/>
                <w:szCs w:val="18"/>
              </w:rPr>
            </w:pPr>
            <w:r w:rsidRPr="00951AB1">
              <w:rPr>
                <w:rFonts w:eastAsia="Times New Roman" w:cs="Times New Roman"/>
                <w:sz w:val="18"/>
                <w:szCs w:val="18"/>
              </w:rPr>
              <w:t>Bienes y derechos entregados en garantía</w:t>
            </w:r>
          </w:p>
        </w:tc>
        <w:tc>
          <w:tcPr>
            <w:tcW w:w="2387" w:type="dxa"/>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tcMar>
              <w:left w:w="70" w:type="dxa"/>
              <w:right w:w="70" w:type="dxa"/>
            </w:tcMar>
            <w:vAlign w:val="center"/>
          </w:tcPr>
          <w:p w14:paraId="1B4827F9" w14:textId="77777777" w:rsidR="00953AA2" w:rsidRPr="00951AB1" w:rsidRDefault="00953AA2" w:rsidP="00810111">
            <w:pPr>
              <w:spacing w:line="240" w:lineRule="auto"/>
              <w:jc w:val="right"/>
              <w:rPr>
                <w:rFonts w:cs="Times New Roman"/>
                <w:sz w:val="18"/>
                <w:szCs w:val="18"/>
              </w:rPr>
            </w:pPr>
            <w:r w:rsidRPr="00951AB1">
              <w:rPr>
                <w:rFonts w:eastAsia="Times New Roman" w:cs="Times New Roman"/>
                <w:sz w:val="18"/>
                <w:szCs w:val="18"/>
              </w:rPr>
              <w:t xml:space="preserve"> </w:t>
            </w:r>
            <w:r>
              <w:rPr>
                <w:rFonts w:eastAsia="Times New Roman" w:cs="Times New Roman"/>
                <w:sz w:val="18"/>
                <w:szCs w:val="18"/>
              </w:rPr>
              <w:t>0</w:t>
            </w:r>
          </w:p>
        </w:tc>
        <w:tc>
          <w:tcPr>
            <w:tcW w:w="1653" w:type="dxa"/>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tcMar>
              <w:left w:w="70" w:type="dxa"/>
              <w:right w:w="70" w:type="dxa"/>
            </w:tcMar>
            <w:vAlign w:val="center"/>
          </w:tcPr>
          <w:p w14:paraId="3A322A37" w14:textId="77777777" w:rsidR="00953AA2" w:rsidRPr="00951AB1" w:rsidRDefault="00953AA2" w:rsidP="00810111">
            <w:pPr>
              <w:spacing w:line="240" w:lineRule="auto"/>
              <w:jc w:val="right"/>
              <w:rPr>
                <w:rFonts w:cs="Times New Roman"/>
                <w:sz w:val="18"/>
                <w:szCs w:val="18"/>
              </w:rPr>
            </w:pPr>
            <w:r w:rsidRPr="00951AB1">
              <w:rPr>
                <w:rFonts w:eastAsia="Times New Roman" w:cs="Times New Roman"/>
                <w:sz w:val="18"/>
                <w:szCs w:val="18"/>
              </w:rPr>
              <w:t xml:space="preserve"> </w:t>
            </w:r>
            <w:r>
              <w:rPr>
                <w:rFonts w:eastAsia="Times New Roman" w:cs="Times New Roman"/>
                <w:sz w:val="18"/>
                <w:szCs w:val="18"/>
              </w:rPr>
              <w:t>0</w:t>
            </w:r>
          </w:p>
        </w:tc>
        <w:tc>
          <w:tcPr>
            <w:tcW w:w="1490" w:type="dxa"/>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tcMar>
              <w:left w:w="70" w:type="dxa"/>
              <w:right w:w="70" w:type="dxa"/>
            </w:tcMar>
            <w:vAlign w:val="center"/>
          </w:tcPr>
          <w:p w14:paraId="318A40A5" w14:textId="77777777" w:rsidR="00953AA2" w:rsidRPr="00951AB1" w:rsidRDefault="00953AA2" w:rsidP="00810111">
            <w:pPr>
              <w:spacing w:line="240" w:lineRule="auto"/>
              <w:jc w:val="right"/>
              <w:rPr>
                <w:rFonts w:cs="Times New Roman"/>
                <w:sz w:val="18"/>
                <w:szCs w:val="18"/>
              </w:rPr>
            </w:pPr>
            <w:r w:rsidRPr="00951AB1">
              <w:rPr>
                <w:rFonts w:eastAsia="Times New Roman" w:cs="Times New Roman"/>
                <w:sz w:val="18"/>
                <w:szCs w:val="18"/>
              </w:rPr>
              <w:t>0</w:t>
            </w:r>
          </w:p>
        </w:tc>
      </w:tr>
      <w:tr w:rsidR="00953AA2" w:rsidRPr="00951AB1" w14:paraId="033725A2" w14:textId="77777777" w:rsidTr="00810111">
        <w:trPr>
          <w:trHeight w:val="300"/>
        </w:trPr>
        <w:tc>
          <w:tcPr>
            <w:tcW w:w="590" w:type="dxa"/>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tcMar>
              <w:left w:w="70" w:type="dxa"/>
              <w:right w:w="70" w:type="dxa"/>
            </w:tcMar>
            <w:vAlign w:val="center"/>
          </w:tcPr>
          <w:p w14:paraId="4108217E" w14:textId="77777777" w:rsidR="00953AA2" w:rsidRPr="00951AB1" w:rsidRDefault="00953AA2" w:rsidP="00810111">
            <w:pPr>
              <w:spacing w:line="240" w:lineRule="auto"/>
              <w:rPr>
                <w:rFonts w:cs="Times New Roman"/>
                <w:sz w:val="18"/>
                <w:szCs w:val="18"/>
              </w:rPr>
            </w:pPr>
            <w:r w:rsidRPr="00951AB1">
              <w:rPr>
                <w:rFonts w:eastAsia="Times New Roman" w:cs="Times New Roman"/>
                <w:sz w:val="18"/>
                <w:szCs w:val="18"/>
              </w:rPr>
              <w:t>8.3.47</w:t>
            </w:r>
          </w:p>
        </w:tc>
        <w:tc>
          <w:tcPr>
            <w:tcW w:w="444" w:type="dxa"/>
            <w:tcBorders>
              <w:top w:val="single" w:sz="8" w:space="0" w:color="A6A6A6" w:themeColor="background1" w:themeShade="A6"/>
              <w:left w:val="single" w:sz="8" w:space="0" w:color="A6A6A6" w:themeColor="background1" w:themeShade="A6"/>
              <w:bottom w:val="single" w:sz="8" w:space="0" w:color="A6A6A6" w:themeColor="background1" w:themeShade="A6"/>
              <w:right w:val="nil"/>
            </w:tcBorders>
            <w:tcMar>
              <w:left w:w="70" w:type="dxa"/>
              <w:right w:w="70" w:type="dxa"/>
            </w:tcMar>
            <w:vAlign w:val="center"/>
          </w:tcPr>
          <w:p w14:paraId="6FF9C892" w14:textId="77777777" w:rsidR="00953AA2" w:rsidRPr="00951AB1" w:rsidRDefault="00953AA2" w:rsidP="00810111">
            <w:pPr>
              <w:spacing w:line="240" w:lineRule="auto"/>
              <w:jc w:val="center"/>
              <w:rPr>
                <w:rFonts w:cs="Times New Roman"/>
                <w:sz w:val="18"/>
                <w:szCs w:val="18"/>
              </w:rPr>
            </w:pPr>
            <w:r w:rsidRPr="00951AB1">
              <w:rPr>
                <w:rFonts w:eastAsia="Times New Roman" w:cs="Times New Roman"/>
                <w:sz w:val="18"/>
                <w:szCs w:val="18"/>
              </w:rPr>
              <w:t>Db</w:t>
            </w:r>
          </w:p>
        </w:tc>
        <w:tc>
          <w:tcPr>
            <w:tcW w:w="2254" w:type="dxa"/>
            <w:tcBorders>
              <w:top w:val="single" w:sz="8" w:space="0" w:color="A6A6A6" w:themeColor="background1" w:themeShade="A6"/>
              <w:left w:val="single" w:sz="8" w:space="0" w:color="A6A6A6" w:themeColor="background1" w:themeShade="A6"/>
              <w:bottom w:val="single" w:sz="8" w:space="0" w:color="A6A6A6" w:themeColor="background1" w:themeShade="A6"/>
              <w:right w:val="nil"/>
            </w:tcBorders>
            <w:tcMar>
              <w:left w:w="70" w:type="dxa"/>
              <w:right w:w="70" w:type="dxa"/>
            </w:tcMar>
            <w:vAlign w:val="center"/>
          </w:tcPr>
          <w:p w14:paraId="5C907529" w14:textId="77777777" w:rsidR="00953AA2" w:rsidRPr="00951AB1" w:rsidRDefault="00953AA2" w:rsidP="00810111">
            <w:pPr>
              <w:spacing w:line="240" w:lineRule="auto"/>
              <w:rPr>
                <w:rFonts w:cs="Times New Roman"/>
                <w:sz w:val="18"/>
                <w:szCs w:val="18"/>
              </w:rPr>
            </w:pPr>
            <w:r w:rsidRPr="00951AB1">
              <w:rPr>
                <w:rFonts w:eastAsia="Times New Roman" w:cs="Times New Roman"/>
                <w:sz w:val="18"/>
                <w:szCs w:val="18"/>
              </w:rPr>
              <w:t>Bienes entregados a terceros</w:t>
            </w:r>
          </w:p>
        </w:tc>
        <w:tc>
          <w:tcPr>
            <w:tcW w:w="2387" w:type="dxa"/>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tcMar>
              <w:left w:w="70" w:type="dxa"/>
              <w:right w:w="70" w:type="dxa"/>
            </w:tcMar>
            <w:vAlign w:val="center"/>
          </w:tcPr>
          <w:p w14:paraId="2CEB83EE" w14:textId="77777777" w:rsidR="00953AA2" w:rsidRPr="00951AB1" w:rsidRDefault="00953AA2" w:rsidP="00810111">
            <w:pPr>
              <w:spacing w:line="240" w:lineRule="auto"/>
              <w:jc w:val="right"/>
              <w:rPr>
                <w:rFonts w:cs="Times New Roman"/>
                <w:sz w:val="18"/>
                <w:szCs w:val="18"/>
              </w:rPr>
            </w:pPr>
            <w:r w:rsidRPr="00951AB1">
              <w:rPr>
                <w:rFonts w:eastAsia="Times New Roman" w:cs="Times New Roman"/>
                <w:sz w:val="18"/>
                <w:szCs w:val="18"/>
              </w:rPr>
              <w:t>462.102.740</w:t>
            </w:r>
          </w:p>
        </w:tc>
        <w:tc>
          <w:tcPr>
            <w:tcW w:w="1653" w:type="dxa"/>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tcMar>
              <w:left w:w="70" w:type="dxa"/>
              <w:right w:w="70" w:type="dxa"/>
            </w:tcMar>
            <w:vAlign w:val="center"/>
          </w:tcPr>
          <w:p w14:paraId="623119BA" w14:textId="77777777" w:rsidR="00953AA2" w:rsidRPr="00951AB1" w:rsidRDefault="00953AA2" w:rsidP="00810111">
            <w:pPr>
              <w:spacing w:line="240" w:lineRule="auto"/>
              <w:jc w:val="right"/>
              <w:rPr>
                <w:rFonts w:cs="Times New Roman"/>
                <w:sz w:val="18"/>
                <w:szCs w:val="18"/>
              </w:rPr>
            </w:pPr>
            <w:r w:rsidRPr="00951AB1">
              <w:rPr>
                <w:rFonts w:eastAsia="Times New Roman" w:cs="Times New Roman"/>
                <w:sz w:val="18"/>
                <w:szCs w:val="18"/>
              </w:rPr>
              <w:t>462.102.740</w:t>
            </w:r>
          </w:p>
        </w:tc>
        <w:tc>
          <w:tcPr>
            <w:tcW w:w="1490" w:type="dxa"/>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tcMar>
              <w:left w:w="70" w:type="dxa"/>
              <w:right w:w="70" w:type="dxa"/>
            </w:tcMar>
            <w:vAlign w:val="center"/>
          </w:tcPr>
          <w:p w14:paraId="10B4CD5D" w14:textId="77777777" w:rsidR="00953AA2" w:rsidRPr="00951AB1" w:rsidRDefault="00953AA2" w:rsidP="00810111">
            <w:pPr>
              <w:spacing w:line="240" w:lineRule="auto"/>
              <w:jc w:val="right"/>
              <w:rPr>
                <w:rFonts w:cs="Times New Roman"/>
                <w:sz w:val="18"/>
                <w:szCs w:val="18"/>
              </w:rPr>
            </w:pPr>
            <w:r w:rsidRPr="00951AB1">
              <w:rPr>
                <w:rFonts w:eastAsia="Times New Roman" w:cs="Times New Roman"/>
                <w:sz w:val="18"/>
                <w:szCs w:val="18"/>
              </w:rPr>
              <w:t>0</w:t>
            </w:r>
          </w:p>
        </w:tc>
      </w:tr>
      <w:tr w:rsidR="00953AA2" w:rsidRPr="00951AB1" w14:paraId="1BD8B8F1" w14:textId="77777777" w:rsidTr="00810111">
        <w:trPr>
          <w:trHeight w:val="300"/>
        </w:trPr>
        <w:tc>
          <w:tcPr>
            <w:tcW w:w="590" w:type="dxa"/>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tcMar>
              <w:left w:w="70" w:type="dxa"/>
              <w:right w:w="70" w:type="dxa"/>
            </w:tcMar>
            <w:vAlign w:val="center"/>
          </w:tcPr>
          <w:p w14:paraId="75AB57D8" w14:textId="77777777" w:rsidR="00953AA2" w:rsidRPr="00951AB1" w:rsidRDefault="00953AA2" w:rsidP="00810111">
            <w:pPr>
              <w:spacing w:line="240" w:lineRule="auto"/>
              <w:rPr>
                <w:rFonts w:cs="Times New Roman"/>
                <w:sz w:val="18"/>
                <w:szCs w:val="18"/>
              </w:rPr>
            </w:pPr>
            <w:r w:rsidRPr="00951AB1">
              <w:rPr>
                <w:rFonts w:eastAsia="Times New Roman" w:cs="Times New Roman"/>
                <w:sz w:val="18"/>
                <w:szCs w:val="18"/>
              </w:rPr>
              <w:t>8.3.90</w:t>
            </w:r>
          </w:p>
        </w:tc>
        <w:tc>
          <w:tcPr>
            <w:tcW w:w="444" w:type="dxa"/>
            <w:tcBorders>
              <w:top w:val="single" w:sz="8" w:space="0" w:color="A6A6A6" w:themeColor="background1" w:themeShade="A6"/>
              <w:left w:val="single" w:sz="8" w:space="0" w:color="A6A6A6" w:themeColor="background1" w:themeShade="A6"/>
              <w:bottom w:val="single" w:sz="8" w:space="0" w:color="A6A6A6" w:themeColor="background1" w:themeShade="A6"/>
              <w:right w:val="nil"/>
            </w:tcBorders>
            <w:tcMar>
              <w:left w:w="70" w:type="dxa"/>
              <w:right w:w="70" w:type="dxa"/>
            </w:tcMar>
            <w:vAlign w:val="center"/>
          </w:tcPr>
          <w:p w14:paraId="4955E8D0" w14:textId="77777777" w:rsidR="00953AA2" w:rsidRPr="00951AB1" w:rsidRDefault="00953AA2" w:rsidP="00810111">
            <w:pPr>
              <w:spacing w:line="240" w:lineRule="auto"/>
              <w:jc w:val="center"/>
              <w:rPr>
                <w:rFonts w:cs="Times New Roman"/>
                <w:sz w:val="18"/>
                <w:szCs w:val="18"/>
              </w:rPr>
            </w:pPr>
            <w:r w:rsidRPr="00951AB1">
              <w:rPr>
                <w:rFonts w:eastAsia="Times New Roman" w:cs="Times New Roman"/>
                <w:sz w:val="18"/>
                <w:szCs w:val="18"/>
              </w:rPr>
              <w:t>Db</w:t>
            </w:r>
          </w:p>
        </w:tc>
        <w:tc>
          <w:tcPr>
            <w:tcW w:w="2254" w:type="dxa"/>
            <w:tcBorders>
              <w:top w:val="single" w:sz="8" w:space="0" w:color="A6A6A6" w:themeColor="background1" w:themeShade="A6"/>
              <w:left w:val="single" w:sz="8" w:space="0" w:color="A6A6A6" w:themeColor="background1" w:themeShade="A6"/>
              <w:bottom w:val="single" w:sz="8" w:space="0" w:color="A6A6A6" w:themeColor="background1" w:themeShade="A6"/>
              <w:right w:val="nil"/>
            </w:tcBorders>
            <w:tcMar>
              <w:left w:w="70" w:type="dxa"/>
              <w:right w:w="70" w:type="dxa"/>
            </w:tcMar>
            <w:vAlign w:val="center"/>
          </w:tcPr>
          <w:p w14:paraId="7FD16154" w14:textId="77777777" w:rsidR="00953AA2" w:rsidRPr="00951AB1" w:rsidRDefault="00953AA2" w:rsidP="00810111">
            <w:pPr>
              <w:spacing w:line="240" w:lineRule="auto"/>
              <w:rPr>
                <w:rFonts w:cs="Times New Roman"/>
                <w:sz w:val="18"/>
                <w:szCs w:val="18"/>
              </w:rPr>
            </w:pPr>
            <w:r w:rsidRPr="00951AB1">
              <w:rPr>
                <w:rFonts w:eastAsia="Times New Roman" w:cs="Times New Roman"/>
                <w:sz w:val="18"/>
                <w:szCs w:val="18"/>
              </w:rPr>
              <w:t>Otras cuentas deudoras de control</w:t>
            </w:r>
          </w:p>
        </w:tc>
        <w:tc>
          <w:tcPr>
            <w:tcW w:w="2387" w:type="dxa"/>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tcMar>
              <w:left w:w="70" w:type="dxa"/>
              <w:right w:w="70" w:type="dxa"/>
            </w:tcMar>
            <w:vAlign w:val="center"/>
          </w:tcPr>
          <w:p w14:paraId="1E8FD7B1" w14:textId="77777777" w:rsidR="00953AA2" w:rsidRPr="00951AB1" w:rsidRDefault="00953AA2" w:rsidP="00810111">
            <w:pPr>
              <w:spacing w:line="240" w:lineRule="auto"/>
              <w:jc w:val="right"/>
              <w:rPr>
                <w:rFonts w:cs="Times New Roman"/>
                <w:sz w:val="18"/>
                <w:szCs w:val="18"/>
              </w:rPr>
            </w:pPr>
            <w:r w:rsidRPr="00951AB1">
              <w:rPr>
                <w:rFonts w:eastAsia="Times New Roman" w:cs="Times New Roman"/>
                <w:sz w:val="18"/>
                <w:szCs w:val="18"/>
              </w:rPr>
              <w:t>1.216.936.914.781</w:t>
            </w:r>
          </w:p>
        </w:tc>
        <w:tc>
          <w:tcPr>
            <w:tcW w:w="1653" w:type="dxa"/>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tcMar>
              <w:left w:w="70" w:type="dxa"/>
              <w:right w:w="70" w:type="dxa"/>
            </w:tcMar>
            <w:vAlign w:val="center"/>
          </w:tcPr>
          <w:p w14:paraId="0F5264AA" w14:textId="77777777" w:rsidR="00953AA2" w:rsidRPr="00951AB1" w:rsidRDefault="00953AA2" w:rsidP="00810111">
            <w:pPr>
              <w:spacing w:line="240" w:lineRule="auto"/>
              <w:jc w:val="right"/>
              <w:rPr>
                <w:rFonts w:cs="Times New Roman"/>
                <w:sz w:val="18"/>
                <w:szCs w:val="18"/>
              </w:rPr>
            </w:pPr>
            <w:r w:rsidRPr="00951AB1">
              <w:rPr>
                <w:rFonts w:eastAsia="Times New Roman" w:cs="Times New Roman"/>
                <w:sz w:val="18"/>
                <w:szCs w:val="18"/>
              </w:rPr>
              <w:t>1.245.319.847.689</w:t>
            </w:r>
          </w:p>
        </w:tc>
        <w:tc>
          <w:tcPr>
            <w:tcW w:w="1490" w:type="dxa"/>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tcMar>
              <w:left w:w="70" w:type="dxa"/>
              <w:right w:w="70" w:type="dxa"/>
            </w:tcMar>
            <w:vAlign w:val="center"/>
          </w:tcPr>
          <w:p w14:paraId="66EC8C8C" w14:textId="77777777" w:rsidR="00953AA2" w:rsidRPr="00951AB1" w:rsidRDefault="00953AA2" w:rsidP="00810111">
            <w:pPr>
              <w:spacing w:line="240" w:lineRule="auto"/>
              <w:jc w:val="right"/>
              <w:rPr>
                <w:rFonts w:cs="Times New Roman"/>
                <w:sz w:val="18"/>
                <w:szCs w:val="18"/>
              </w:rPr>
            </w:pPr>
            <w:r w:rsidRPr="00951AB1">
              <w:rPr>
                <w:rFonts w:eastAsia="Times New Roman" w:cs="Times New Roman"/>
                <w:sz w:val="18"/>
                <w:szCs w:val="18"/>
              </w:rPr>
              <w:t>-28.382.932.908</w:t>
            </w:r>
          </w:p>
        </w:tc>
      </w:tr>
      <w:tr w:rsidR="00953AA2" w:rsidRPr="00951AB1" w14:paraId="467A36B5" w14:textId="77777777" w:rsidTr="00810111">
        <w:trPr>
          <w:trHeight w:val="300"/>
        </w:trPr>
        <w:tc>
          <w:tcPr>
            <w:tcW w:w="590" w:type="dxa"/>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tcMar>
              <w:left w:w="70" w:type="dxa"/>
              <w:right w:w="70" w:type="dxa"/>
            </w:tcMar>
            <w:vAlign w:val="center"/>
          </w:tcPr>
          <w:p w14:paraId="643BC679" w14:textId="77777777" w:rsidR="00953AA2" w:rsidRPr="00951AB1" w:rsidRDefault="00953AA2" w:rsidP="00810111">
            <w:pPr>
              <w:spacing w:line="240" w:lineRule="auto"/>
              <w:rPr>
                <w:rFonts w:cs="Times New Roman"/>
                <w:sz w:val="18"/>
                <w:szCs w:val="18"/>
              </w:rPr>
            </w:pPr>
            <w:r w:rsidRPr="00951AB1">
              <w:rPr>
                <w:rFonts w:eastAsia="Times New Roman" w:cs="Times New Roman"/>
                <w:b/>
                <w:sz w:val="18"/>
                <w:szCs w:val="18"/>
              </w:rPr>
              <w:t>8.9</w:t>
            </w:r>
          </w:p>
        </w:tc>
        <w:tc>
          <w:tcPr>
            <w:tcW w:w="444" w:type="dxa"/>
            <w:tcBorders>
              <w:top w:val="single" w:sz="8" w:space="0" w:color="A6A6A6" w:themeColor="background1" w:themeShade="A6"/>
              <w:left w:val="single" w:sz="8" w:space="0" w:color="A6A6A6" w:themeColor="background1" w:themeShade="A6"/>
              <w:bottom w:val="single" w:sz="8" w:space="0" w:color="A6A6A6" w:themeColor="background1" w:themeShade="A6"/>
              <w:right w:val="nil"/>
            </w:tcBorders>
            <w:tcMar>
              <w:left w:w="70" w:type="dxa"/>
              <w:right w:w="70" w:type="dxa"/>
            </w:tcMar>
            <w:vAlign w:val="center"/>
          </w:tcPr>
          <w:p w14:paraId="6439F063" w14:textId="77777777" w:rsidR="00953AA2" w:rsidRPr="00951AB1" w:rsidRDefault="00953AA2" w:rsidP="00810111">
            <w:pPr>
              <w:spacing w:line="240" w:lineRule="auto"/>
              <w:jc w:val="center"/>
              <w:rPr>
                <w:rFonts w:cs="Times New Roman"/>
                <w:sz w:val="18"/>
                <w:szCs w:val="18"/>
              </w:rPr>
            </w:pPr>
            <w:r w:rsidRPr="00951AB1">
              <w:rPr>
                <w:rFonts w:eastAsia="Times New Roman" w:cs="Times New Roman"/>
                <w:b/>
                <w:sz w:val="18"/>
                <w:szCs w:val="18"/>
              </w:rPr>
              <w:t>Cr</w:t>
            </w:r>
          </w:p>
        </w:tc>
        <w:tc>
          <w:tcPr>
            <w:tcW w:w="2254" w:type="dxa"/>
            <w:tcBorders>
              <w:top w:val="single" w:sz="8" w:space="0" w:color="A6A6A6" w:themeColor="background1" w:themeShade="A6"/>
              <w:left w:val="single" w:sz="8" w:space="0" w:color="A6A6A6" w:themeColor="background1" w:themeShade="A6"/>
              <w:bottom w:val="single" w:sz="8" w:space="0" w:color="A6A6A6" w:themeColor="background1" w:themeShade="A6"/>
              <w:right w:val="nil"/>
            </w:tcBorders>
            <w:tcMar>
              <w:left w:w="70" w:type="dxa"/>
              <w:right w:w="70" w:type="dxa"/>
            </w:tcMar>
            <w:vAlign w:val="center"/>
          </w:tcPr>
          <w:p w14:paraId="1DC7FD67" w14:textId="77777777" w:rsidR="00953AA2" w:rsidRPr="00951AB1" w:rsidRDefault="00953AA2" w:rsidP="00810111">
            <w:pPr>
              <w:spacing w:line="240" w:lineRule="auto"/>
              <w:rPr>
                <w:rFonts w:cs="Times New Roman"/>
                <w:sz w:val="18"/>
                <w:szCs w:val="18"/>
              </w:rPr>
            </w:pPr>
            <w:r w:rsidRPr="00951AB1">
              <w:rPr>
                <w:rFonts w:eastAsia="Times New Roman" w:cs="Times New Roman"/>
                <w:b/>
                <w:sz w:val="18"/>
                <w:szCs w:val="18"/>
              </w:rPr>
              <w:t>DEUDORAS POR CONTRA (CR)</w:t>
            </w:r>
          </w:p>
        </w:tc>
        <w:tc>
          <w:tcPr>
            <w:tcW w:w="2387" w:type="dxa"/>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tcMar>
              <w:left w:w="70" w:type="dxa"/>
              <w:right w:w="70" w:type="dxa"/>
            </w:tcMar>
            <w:vAlign w:val="center"/>
          </w:tcPr>
          <w:p w14:paraId="1C51206D" w14:textId="77777777" w:rsidR="00953AA2" w:rsidRPr="00951AB1" w:rsidRDefault="00953AA2" w:rsidP="00810111">
            <w:pPr>
              <w:spacing w:line="240" w:lineRule="auto"/>
              <w:jc w:val="right"/>
              <w:rPr>
                <w:rFonts w:cs="Times New Roman"/>
                <w:sz w:val="18"/>
                <w:szCs w:val="18"/>
              </w:rPr>
            </w:pPr>
            <w:r w:rsidRPr="00951AB1">
              <w:rPr>
                <w:rFonts w:eastAsia="Times New Roman" w:cs="Times New Roman"/>
                <w:b/>
                <w:sz w:val="18"/>
                <w:szCs w:val="18"/>
              </w:rPr>
              <w:t>-8.425.066.346.</w:t>
            </w:r>
            <w:r w:rsidRPr="00951AB1">
              <w:rPr>
                <w:rFonts w:eastAsia="Times New Roman" w:cs="Times New Roman"/>
                <w:b/>
                <w:bCs/>
                <w:sz w:val="18"/>
                <w:szCs w:val="18"/>
              </w:rPr>
              <w:t>192</w:t>
            </w:r>
          </w:p>
        </w:tc>
        <w:tc>
          <w:tcPr>
            <w:tcW w:w="1653" w:type="dxa"/>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tcMar>
              <w:left w:w="70" w:type="dxa"/>
              <w:right w:w="70" w:type="dxa"/>
            </w:tcMar>
            <w:vAlign w:val="center"/>
          </w:tcPr>
          <w:p w14:paraId="6F55BE6D" w14:textId="77777777" w:rsidR="00953AA2" w:rsidRPr="00951AB1" w:rsidRDefault="00953AA2" w:rsidP="00810111">
            <w:pPr>
              <w:spacing w:line="240" w:lineRule="auto"/>
              <w:jc w:val="right"/>
              <w:rPr>
                <w:rFonts w:cs="Times New Roman"/>
                <w:sz w:val="18"/>
                <w:szCs w:val="18"/>
              </w:rPr>
            </w:pPr>
            <w:r w:rsidRPr="00951AB1">
              <w:rPr>
                <w:rFonts w:eastAsia="Times New Roman" w:cs="Times New Roman"/>
                <w:b/>
                <w:sz w:val="18"/>
                <w:szCs w:val="18"/>
              </w:rPr>
              <w:t>-5.973.865.546.543</w:t>
            </w:r>
          </w:p>
        </w:tc>
        <w:tc>
          <w:tcPr>
            <w:tcW w:w="1490" w:type="dxa"/>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tcMar>
              <w:left w:w="70" w:type="dxa"/>
              <w:right w:w="70" w:type="dxa"/>
            </w:tcMar>
            <w:vAlign w:val="center"/>
          </w:tcPr>
          <w:p w14:paraId="47774AB7" w14:textId="77777777" w:rsidR="00953AA2" w:rsidRPr="00951AB1" w:rsidRDefault="00953AA2" w:rsidP="00810111">
            <w:pPr>
              <w:spacing w:line="240" w:lineRule="auto"/>
              <w:jc w:val="right"/>
              <w:rPr>
                <w:rFonts w:cs="Times New Roman"/>
                <w:sz w:val="18"/>
                <w:szCs w:val="18"/>
              </w:rPr>
            </w:pPr>
            <w:r w:rsidRPr="00951AB1">
              <w:rPr>
                <w:rFonts w:eastAsia="Times New Roman" w:cs="Times New Roman"/>
                <w:b/>
                <w:sz w:val="18"/>
                <w:szCs w:val="18"/>
              </w:rPr>
              <w:t>-2.451.200.799.650</w:t>
            </w:r>
          </w:p>
        </w:tc>
      </w:tr>
      <w:tr w:rsidR="00953AA2" w:rsidRPr="00951AB1" w14:paraId="6B287B5E" w14:textId="77777777" w:rsidTr="00810111">
        <w:trPr>
          <w:trHeight w:val="300"/>
        </w:trPr>
        <w:tc>
          <w:tcPr>
            <w:tcW w:w="590" w:type="dxa"/>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tcMar>
              <w:left w:w="70" w:type="dxa"/>
              <w:right w:w="70" w:type="dxa"/>
            </w:tcMar>
            <w:vAlign w:val="center"/>
          </w:tcPr>
          <w:p w14:paraId="59918AA1" w14:textId="77777777" w:rsidR="00953AA2" w:rsidRPr="00951AB1" w:rsidRDefault="00953AA2" w:rsidP="00810111">
            <w:pPr>
              <w:spacing w:line="240" w:lineRule="auto"/>
              <w:rPr>
                <w:rFonts w:cs="Times New Roman"/>
                <w:sz w:val="18"/>
                <w:szCs w:val="18"/>
              </w:rPr>
            </w:pPr>
            <w:r w:rsidRPr="00951AB1">
              <w:rPr>
                <w:rFonts w:eastAsia="Times New Roman" w:cs="Times New Roman"/>
                <w:sz w:val="18"/>
                <w:szCs w:val="18"/>
              </w:rPr>
              <w:t>8.9.05</w:t>
            </w:r>
          </w:p>
        </w:tc>
        <w:tc>
          <w:tcPr>
            <w:tcW w:w="444" w:type="dxa"/>
            <w:tcBorders>
              <w:top w:val="single" w:sz="8" w:space="0" w:color="A6A6A6" w:themeColor="background1" w:themeShade="A6"/>
              <w:left w:val="single" w:sz="8" w:space="0" w:color="A6A6A6" w:themeColor="background1" w:themeShade="A6"/>
              <w:bottom w:val="single" w:sz="8" w:space="0" w:color="A6A6A6" w:themeColor="background1" w:themeShade="A6"/>
              <w:right w:val="nil"/>
            </w:tcBorders>
            <w:tcMar>
              <w:left w:w="70" w:type="dxa"/>
              <w:right w:w="70" w:type="dxa"/>
            </w:tcMar>
            <w:vAlign w:val="center"/>
          </w:tcPr>
          <w:p w14:paraId="3F802A44" w14:textId="77777777" w:rsidR="00953AA2" w:rsidRPr="00951AB1" w:rsidRDefault="00953AA2" w:rsidP="00810111">
            <w:pPr>
              <w:spacing w:line="240" w:lineRule="auto"/>
              <w:jc w:val="center"/>
              <w:rPr>
                <w:rFonts w:cs="Times New Roman"/>
                <w:sz w:val="18"/>
                <w:szCs w:val="18"/>
              </w:rPr>
            </w:pPr>
            <w:r w:rsidRPr="00951AB1">
              <w:rPr>
                <w:rFonts w:eastAsia="Times New Roman" w:cs="Times New Roman"/>
                <w:sz w:val="18"/>
                <w:szCs w:val="18"/>
              </w:rPr>
              <w:t>Cr</w:t>
            </w:r>
          </w:p>
        </w:tc>
        <w:tc>
          <w:tcPr>
            <w:tcW w:w="2254" w:type="dxa"/>
            <w:tcBorders>
              <w:top w:val="single" w:sz="8" w:space="0" w:color="A6A6A6" w:themeColor="background1" w:themeShade="A6"/>
              <w:left w:val="single" w:sz="8" w:space="0" w:color="A6A6A6" w:themeColor="background1" w:themeShade="A6"/>
              <w:bottom w:val="single" w:sz="8" w:space="0" w:color="A6A6A6" w:themeColor="background1" w:themeShade="A6"/>
              <w:right w:val="nil"/>
            </w:tcBorders>
            <w:tcMar>
              <w:left w:w="70" w:type="dxa"/>
              <w:right w:w="70" w:type="dxa"/>
            </w:tcMar>
            <w:vAlign w:val="center"/>
          </w:tcPr>
          <w:p w14:paraId="32E23C22" w14:textId="77777777" w:rsidR="00953AA2" w:rsidRPr="00951AB1" w:rsidRDefault="00953AA2" w:rsidP="00810111">
            <w:pPr>
              <w:spacing w:line="240" w:lineRule="auto"/>
              <w:rPr>
                <w:rFonts w:cs="Times New Roman"/>
                <w:sz w:val="18"/>
                <w:szCs w:val="18"/>
              </w:rPr>
            </w:pPr>
            <w:r w:rsidRPr="00951AB1">
              <w:rPr>
                <w:rFonts w:eastAsia="Times New Roman" w:cs="Times New Roman"/>
                <w:sz w:val="18"/>
                <w:szCs w:val="18"/>
              </w:rPr>
              <w:t>Activos contingentes por contra (cr)</w:t>
            </w:r>
          </w:p>
        </w:tc>
        <w:tc>
          <w:tcPr>
            <w:tcW w:w="2387" w:type="dxa"/>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tcMar>
              <w:left w:w="70" w:type="dxa"/>
              <w:right w:w="70" w:type="dxa"/>
            </w:tcMar>
            <w:vAlign w:val="center"/>
          </w:tcPr>
          <w:p w14:paraId="2C29BE7E" w14:textId="77777777" w:rsidR="00953AA2" w:rsidRPr="00951AB1" w:rsidRDefault="00953AA2" w:rsidP="00810111">
            <w:pPr>
              <w:spacing w:line="240" w:lineRule="auto"/>
              <w:jc w:val="right"/>
              <w:rPr>
                <w:rFonts w:cs="Times New Roman"/>
                <w:sz w:val="18"/>
                <w:szCs w:val="18"/>
              </w:rPr>
            </w:pPr>
            <w:r w:rsidRPr="00951AB1">
              <w:rPr>
                <w:rFonts w:eastAsia="Times New Roman" w:cs="Times New Roman"/>
                <w:sz w:val="18"/>
                <w:szCs w:val="18"/>
              </w:rPr>
              <w:t>-7.207.667.328.672</w:t>
            </w:r>
          </w:p>
        </w:tc>
        <w:tc>
          <w:tcPr>
            <w:tcW w:w="1653" w:type="dxa"/>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tcMar>
              <w:left w:w="70" w:type="dxa"/>
              <w:right w:w="70" w:type="dxa"/>
            </w:tcMar>
            <w:vAlign w:val="center"/>
          </w:tcPr>
          <w:p w14:paraId="587DAEF4" w14:textId="77777777" w:rsidR="00953AA2" w:rsidRPr="00951AB1" w:rsidRDefault="00953AA2" w:rsidP="00810111">
            <w:pPr>
              <w:spacing w:line="240" w:lineRule="auto"/>
              <w:jc w:val="right"/>
              <w:rPr>
                <w:rFonts w:cs="Times New Roman"/>
                <w:sz w:val="18"/>
                <w:szCs w:val="18"/>
              </w:rPr>
            </w:pPr>
            <w:r w:rsidRPr="00951AB1">
              <w:rPr>
                <w:rFonts w:eastAsia="Times New Roman" w:cs="Times New Roman"/>
                <w:sz w:val="18"/>
                <w:szCs w:val="18"/>
              </w:rPr>
              <w:t>-4.728.083.596.114</w:t>
            </w:r>
          </w:p>
        </w:tc>
        <w:tc>
          <w:tcPr>
            <w:tcW w:w="1490" w:type="dxa"/>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tcMar>
              <w:left w:w="70" w:type="dxa"/>
              <w:right w:w="70" w:type="dxa"/>
            </w:tcMar>
            <w:vAlign w:val="center"/>
          </w:tcPr>
          <w:p w14:paraId="68ADB5E8" w14:textId="77777777" w:rsidR="00953AA2" w:rsidRPr="00951AB1" w:rsidRDefault="00953AA2" w:rsidP="00810111">
            <w:pPr>
              <w:spacing w:line="240" w:lineRule="auto"/>
              <w:jc w:val="right"/>
              <w:rPr>
                <w:rFonts w:cs="Times New Roman"/>
                <w:sz w:val="18"/>
                <w:szCs w:val="18"/>
              </w:rPr>
            </w:pPr>
            <w:r w:rsidRPr="00951AB1">
              <w:rPr>
                <w:rFonts w:eastAsia="Times New Roman" w:cs="Times New Roman"/>
                <w:sz w:val="18"/>
                <w:szCs w:val="18"/>
              </w:rPr>
              <w:t>-2.479.583.732.559</w:t>
            </w:r>
          </w:p>
        </w:tc>
      </w:tr>
      <w:tr w:rsidR="00953AA2" w:rsidRPr="00951AB1" w14:paraId="729676DD" w14:textId="77777777" w:rsidTr="00810111">
        <w:trPr>
          <w:trHeight w:val="300"/>
        </w:trPr>
        <w:tc>
          <w:tcPr>
            <w:tcW w:w="590" w:type="dxa"/>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tcMar>
              <w:left w:w="70" w:type="dxa"/>
              <w:right w:w="70" w:type="dxa"/>
            </w:tcMar>
            <w:vAlign w:val="center"/>
          </w:tcPr>
          <w:p w14:paraId="0B11A92E" w14:textId="77777777" w:rsidR="00953AA2" w:rsidRPr="00951AB1" w:rsidRDefault="00953AA2" w:rsidP="00810111">
            <w:pPr>
              <w:spacing w:line="240" w:lineRule="auto"/>
              <w:rPr>
                <w:rFonts w:cs="Times New Roman"/>
                <w:sz w:val="18"/>
                <w:szCs w:val="18"/>
              </w:rPr>
            </w:pPr>
            <w:r w:rsidRPr="00951AB1">
              <w:rPr>
                <w:rFonts w:eastAsia="Times New Roman" w:cs="Times New Roman"/>
                <w:sz w:val="18"/>
                <w:szCs w:val="18"/>
              </w:rPr>
              <w:t>8.9.15</w:t>
            </w:r>
          </w:p>
        </w:tc>
        <w:tc>
          <w:tcPr>
            <w:tcW w:w="444" w:type="dxa"/>
            <w:tcBorders>
              <w:top w:val="single" w:sz="8" w:space="0" w:color="A6A6A6" w:themeColor="background1" w:themeShade="A6"/>
              <w:left w:val="single" w:sz="8" w:space="0" w:color="A6A6A6" w:themeColor="background1" w:themeShade="A6"/>
              <w:bottom w:val="single" w:sz="8" w:space="0" w:color="A6A6A6" w:themeColor="background1" w:themeShade="A6"/>
              <w:right w:val="nil"/>
            </w:tcBorders>
            <w:tcMar>
              <w:left w:w="70" w:type="dxa"/>
              <w:right w:w="70" w:type="dxa"/>
            </w:tcMar>
            <w:vAlign w:val="center"/>
          </w:tcPr>
          <w:p w14:paraId="3F941012" w14:textId="77777777" w:rsidR="00953AA2" w:rsidRPr="00951AB1" w:rsidRDefault="00953AA2" w:rsidP="00810111">
            <w:pPr>
              <w:spacing w:line="240" w:lineRule="auto"/>
              <w:jc w:val="center"/>
              <w:rPr>
                <w:rFonts w:cs="Times New Roman"/>
                <w:sz w:val="18"/>
                <w:szCs w:val="18"/>
              </w:rPr>
            </w:pPr>
            <w:r w:rsidRPr="00951AB1">
              <w:rPr>
                <w:rFonts w:eastAsia="Times New Roman" w:cs="Times New Roman"/>
                <w:sz w:val="18"/>
                <w:szCs w:val="18"/>
              </w:rPr>
              <w:t>Cr</w:t>
            </w:r>
          </w:p>
        </w:tc>
        <w:tc>
          <w:tcPr>
            <w:tcW w:w="2254" w:type="dxa"/>
            <w:tcBorders>
              <w:top w:val="single" w:sz="8" w:space="0" w:color="A6A6A6" w:themeColor="background1" w:themeShade="A6"/>
              <w:left w:val="single" w:sz="8" w:space="0" w:color="A6A6A6" w:themeColor="background1" w:themeShade="A6"/>
              <w:bottom w:val="single" w:sz="8" w:space="0" w:color="A6A6A6" w:themeColor="background1" w:themeShade="A6"/>
              <w:right w:val="nil"/>
            </w:tcBorders>
            <w:tcMar>
              <w:left w:w="70" w:type="dxa"/>
              <w:right w:w="70" w:type="dxa"/>
            </w:tcMar>
            <w:vAlign w:val="center"/>
          </w:tcPr>
          <w:p w14:paraId="2E394B85" w14:textId="77777777" w:rsidR="00953AA2" w:rsidRPr="00951AB1" w:rsidRDefault="00953AA2" w:rsidP="00810111">
            <w:pPr>
              <w:spacing w:line="240" w:lineRule="auto"/>
              <w:rPr>
                <w:rFonts w:cs="Times New Roman"/>
                <w:sz w:val="18"/>
                <w:szCs w:val="18"/>
              </w:rPr>
            </w:pPr>
            <w:r w:rsidRPr="00951AB1">
              <w:rPr>
                <w:rFonts w:eastAsia="Times New Roman" w:cs="Times New Roman"/>
                <w:sz w:val="18"/>
                <w:szCs w:val="18"/>
              </w:rPr>
              <w:t>Deudoras de control por contra (cr)</w:t>
            </w:r>
          </w:p>
        </w:tc>
        <w:tc>
          <w:tcPr>
            <w:tcW w:w="2387" w:type="dxa"/>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tcMar>
              <w:left w:w="70" w:type="dxa"/>
              <w:right w:w="70" w:type="dxa"/>
            </w:tcMar>
            <w:vAlign w:val="center"/>
          </w:tcPr>
          <w:p w14:paraId="67130402" w14:textId="77777777" w:rsidR="00953AA2" w:rsidRPr="00951AB1" w:rsidRDefault="00953AA2" w:rsidP="00810111">
            <w:pPr>
              <w:spacing w:line="240" w:lineRule="auto"/>
              <w:jc w:val="right"/>
              <w:rPr>
                <w:rFonts w:cs="Times New Roman"/>
                <w:sz w:val="18"/>
                <w:szCs w:val="18"/>
              </w:rPr>
            </w:pPr>
            <w:r w:rsidRPr="00951AB1">
              <w:rPr>
                <w:rFonts w:eastAsia="Times New Roman" w:cs="Times New Roman"/>
                <w:sz w:val="18"/>
                <w:szCs w:val="18"/>
              </w:rPr>
              <w:t>-1.217.399.017.520</w:t>
            </w:r>
          </w:p>
        </w:tc>
        <w:tc>
          <w:tcPr>
            <w:tcW w:w="1653" w:type="dxa"/>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tcMar>
              <w:left w:w="70" w:type="dxa"/>
              <w:right w:w="70" w:type="dxa"/>
            </w:tcMar>
            <w:vAlign w:val="center"/>
          </w:tcPr>
          <w:p w14:paraId="5F8DA0A2" w14:textId="77777777" w:rsidR="00953AA2" w:rsidRPr="00951AB1" w:rsidRDefault="00953AA2" w:rsidP="00810111">
            <w:pPr>
              <w:spacing w:line="240" w:lineRule="auto"/>
              <w:jc w:val="right"/>
              <w:rPr>
                <w:rFonts w:cs="Times New Roman"/>
                <w:sz w:val="18"/>
                <w:szCs w:val="18"/>
              </w:rPr>
            </w:pPr>
            <w:r w:rsidRPr="00951AB1">
              <w:rPr>
                <w:rFonts w:eastAsia="Times New Roman" w:cs="Times New Roman"/>
                <w:sz w:val="18"/>
                <w:szCs w:val="18"/>
              </w:rPr>
              <w:t>-1.245.781.950.429</w:t>
            </w:r>
          </w:p>
        </w:tc>
        <w:tc>
          <w:tcPr>
            <w:tcW w:w="1490" w:type="dxa"/>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tcMar>
              <w:left w:w="70" w:type="dxa"/>
              <w:right w:w="70" w:type="dxa"/>
            </w:tcMar>
            <w:vAlign w:val="center"/>
          </w:tcPr>
          <w:p w14:paraId="575853DF" w14:textId="77777777" w:rsidR="00953AA2" w:rsidRPr="00951AB1" w:rsidRDefault="00953AA2" w:rsidP="00810111">
            <w:pPr>
              <w:spacing w:line="240" w:lineRule="auto"/>
              <w:jc w:val="right"/>
              <w:rPr>
                <w:rFonts w:cs="Times New Roman"/>
                <w:sz w:val="18"/>
                <w:szCs w:val="18"/>
              </w:rPr>
            </w:pPr>
            <w:r w:rsidRPr="00951AB1">
              <w:rPr>
                <w:rFonts w:eastAsia="Times New Roman" w:cs="Times New Roman"/>
                <w:sz w:val="18"/>
                <w:szCs w:val="18"/>
              </w:rPr>
              <w:t>28.382.932.909</w:t>
            </w:r>
          </w:p>
        </w:tc>
      </w:tr>
    </w:tbl>
    <w:p w14:paraId="115AE8DC" w14:textId="77777777" w:rsidR="00953AA2" w:rsidRPr="00951AB1" w:rsidRDefault="00953AA2" w:rsidP="00953AA2">
      <w:pPr>
        <w:spacing w:line="240" w:lineRule="auto"/>
        <w:rPr>
          <w:rFonts w:cs="Times New Roman"/>
          <w:sz w:val="14"/>
          <w:szCs w:val="14"/>
        </w:rPr>
      </w:pPr>
      <w:r w:rsidRPr="00951AB1">
        <w:rPr>
          <w:rFonts w:cs="Times New Roman"/>
          <w:sz w:val="14"/>
          <w:szCs w:val="14"/>
        </w:rPr>
        <w:t xml:space="preserve">Cifras expresadas en pesos </w:t>
      </w:r>
    </w:p>
    <w:p w14:paraId="67A3FB0A" w14:textId="77777777" w:rsidR="00953AA2" w:rsidRPr="00951AB1" w:rsidRDefault="00953AA2" w:rsidP="00953AA2">
      <w:pPr>
        <w:spacing w:line="240" w:lineRule="auto"/>
        <w:rPr>
          <w:rFonts w:cs="Times New Roman"/>
          <w:highlight w:val="yellow"/>
        </w:rPr>
      </w:pPr>
    </w:p>
    <w:p w14:paraId="18E2948A" w14:textId="77777777" w:rsidR="00953AA2" w:rsidRPr="00951AB1" w:rsidRDefault="00953AA2" w:rsidP="00953AA2">
      <w:pPr>
        <w:spacing w:line="240" w:lineRule="auto"/>
        <w:ind w:right="-234"/>
        <w:rPr>
          <w:rFonts w:cs="Times New Roman"/>
        </w:rPr>
      </w:pPr>
      <w:r w:rsidRPr="00951AB1">
        <w:rPr>
          <w:rFonts w:eastAsia="Times New Roman" w:cs="Times New Roman"/>
          <w:szCs w:val="24"/>
        </w:rPr>
        <w:t>Los Activos contingentes</w:t>
      </w:r>
      <w:r w:rsidRPr="00951AB1">
        <w:rPr>
          <w:rFonts w:eastAsia="Times New Roman" w:cs="Times New Roman"/>
          <w:b/>
          <w:bCs/>
          <w:szCs w:val="24"/>
        </w:rPr>
        <w:t xml:space="preserve"> </w:t>
      </w:r>
      <w:r w:rsidRPr="00951AB1">
        <w:rPr>
          <w:rFonts w:eastAsia="Times New Roman" w:cs="Times New Roman"/>
          <w:szCs w:val="24"/>
        </w:rPr>
        <w:t>del Grupo 8.1 fueron desarrollados en la Nota No. 27</w:t>
      </w:r>
    </w:p>
    <w:p w14:paraId="476926CF" w14:textId="77777777" w:rsidR="00953AA2" w:rsidRPr="00951AB1" w:rsidRDefault="00953AA2" w:rsidP="00953AA2">
      <w:pPr>
        <w:spacing w:line="240" w:lineRule="auto"/>
        <w:ind w:left="-20" w:right="-20"/>
        <w:rPr>
          <w:rFonts w:cs="Times New Roman"/>
        </w:rPr>
      </w:pPr>
      <w:r w:rsidRPr="00951AB1">
        <w:rPr>
          <w:rFonts w:eastAsia="Times New Roman" w:cs="Times New Roman"/>
          <w:i/>
          <w:szCs w:val="24"/>
        </w:rPr>
        <w:t>Bienes entregados a Terceros:</w:t>
      </w:r>
      <w:r w:rsidRPr="00951AB1">
        <w:rPr>
          <w:rFonts w:eastAsia="Times New Roman" w:cs="Times New Roman"/>
          <w:b/>
          <w:bCs/>
          <w:szCs w:val="24"/>
        </w:rPr>
        <w:t xml:space="preserve"> </w:t>
      </w:r>
      <w:r w:rsidRPr="00951AB1">
        <w:rPr>
          <w:rFonts w:eastAsia="Times New Roman" w:cs="Times New Roman"/>
          <w:szCs w:val="24"/>
        </w:rPr>
        <w:t xml:space="preserve">Para el periodo 2025 la Agencia Nacional de Infraestructura continua con el Contrato Interadministrativo de Comodato No. CI-017 de 2019 celebrado con el Ministerio de Transporte para el vehículo: Camioneta Toyota Prado 3.0 Diesel, blindada con numero de motor IKD2314236-Chasis JTEBH9FJOEK112729, por valor de 7.602.740. </w:t>
      </w:r>
    </w:p>
    <w:p w14:paraId="2802A147" w14:textId="77777777" w:rsidR="00953AA2" w:rsidRPr="00951AB1" w:rsidRDefault="00953AA2" w:rsidP="00953AA2">
      <w:pPr>
        <w:spacing w:line="240" w:lineRule="auto"/>
        <w:ind w:right="-232"/>
        <w:rPr>
          <w:rFonts w:cs="Times New Roman"/>
        </w:rPr>
      </w:pPr>
      <w:r w:rsidRPr="00951AB1">
        <w:rPr>
          <w:rFonts w:eastAsia="Times New Roman" w:cs="Times New Roman"/>
          <w:szCs w:val="24"/>
        </w:rPr>
        <w:t xml:space="preserve"> </w:t>
      </w:r>
    </w:p>
    <w:p w14:paraId="07F1DE9D" w14:textId="77777777" w:rsidR="00953AA2" w:rsidRPr="00951AB1" w:rsidRDefault="00953AA2" w:rsidP="00953AA2">
      <w:pPr>
        <w:spacing w:line="240" w:lineRule="auto"/>
        <w:ind w:right="-232"/>
        <w:rPr>
          <w:rFonts w:cs="Times New Roman"/>
        </w:rPr>
      </w:pPr>
      <w:r w:rsidRPr="00951AB1">
        <w:rPr>
          <w:rFonts w:eastAsia="Times New Roman" w:cs="Times New Roman"/>
          <w:szCs w:val="24"/>
        </w:rPr>
        <w:lastRenderedPageBreak/>
        <w:t>Mediante Acta de inicio del 7 de junio 2023, se cuenta con el Contrato Interadministrativo No. VGCOR-552-2023, suscrito entre la Agencia y el Ministerio de Transporte, por 2 años, con valor de $454.500.000, por transferencia de dos vehículos sin contraprestación para uso del Ministerio, cuyas especificaciones técnicas son:</w:t>
      </w:r>
      <w:r w:rsidRPr="00951AB1">
        <w:rPr>
          <w:rFonts w:eastAsia="Times New Roman" w:cs="Times New Roman"/>
        </w:rPr>
        <w:t xml:space="preserve"> </w:t>
      </w:r>
      <w:r w:rsidRPr="00951AB1">
        <w:rPr>
          <w:rFonts w:eastAsia="Times New Roman" w:cs="Times New Roman"/>
          <w:szCs w:val="24"/>
        </w:rPr>
        <w:t>Camioneta Toyota Fortuner 3.0 4x4 A/T Campero Wagon Mecánica Diesel placa YBK-051, por valor de $162.600.000. Y Camioneta Toyota Fortuner 3.0 4X4 A/T Campero Wagon Mecánica Diesel Blindada Placa YBK-054 por valor de $291.900.000.</w:t>
      </w:r>
    </w:p>
    <w:p w14:paraId="64F5DAE4" w14:textId="77777777" w:rsidR="00953AA2" w:rsidRPr="00951AB1" w:rsidRDefault="00953AA2" w:rsidP="00953AA2">
      <w:pPr>
        <w:spacing w:line="240" w:lineRule="auto"/>
        <w:rPr>
          <w:rFonts w:cs="Times New Roman"/>
        </w:rPr>
      </w:pPr>
      <w:r w:rsidRPr="00951AB1">
        <w:rPr>
          <w:rFonts w:eastAsia="Calibri" w:cs="Times New Roman"/>
        </w:rPr>
        <w:t xml:space="preserve"> </w:t>
      </w:r>
    </w:p>
    <w:p w14:paraId="46DB3CF6" w14:textId="77777777" w:rsidR="00953AA2" w:rsidRPr="00951AB1" w:rsidRDefault="00953AA2" w:rsidP="00953AA2">
      <w:pPr>
        <w:spacing w:line="240" w:lineRule="auto"/>
        <w:rPr>
          <w:rFonts w:cs="Times New Roman"/>
        </w:rPr>
      </w:pPr>
      <w:r w:rsidRPr="00951AB1">
        <w:rPr>
          <w:rFonts w:eastAsia="Times New Roman" w:cs="Times New Roman"/>
          <w:i/>
          <w:iCs/>
          <w:szCs w:val="24"/>
        </w:rPr>
        <w:t>Otras cuentas deudoras de control:</w:t>
      </w:r>
      <w:r w:rsidRPr="00951AB1">
        <w:rPr>
          <w:rFonts w:cs="Times New Roman"/>
          <w:szCs w:val="24"/>
        </w:rPr>
        <w:t xml:space="preserve"> Corresponde al reconocimiento de la contraprestación portuaria por valor de $22.187.037.771</w:t>
      </w:r>
      <w:r w:rsidRPr="00951AB1">
        <w:rPr>
          <w:rFonts w:eastAsia="Times New Roman" w:cs="Times New Roman"/>
          <w:kern w:val="0"/>
          <w:szCs w:val="24"/>
          <w:lang w:eastAsia="es-CO"/>
          <w14:ligatures w14:val="none"/>
        </w:rPr>
        <w:t xml:space="preserve"> </w:t>
      </w:r>
      <w:r w:rsidRPr="00951AB1">
        <w:rPr>
          <w:rFonts w:cs="Times New Roman"/>
          <w:szCs w:val="24"/>
        </w:rPr>
        <w:t>en favor de la ANI, de conformidad</w:t>
      </w:r>
      <w:r w:rsidRPr="00951AB1">
        <w:rPr>
          <w:rFonts w:eastAsia="Times New Roman" w:cs="Times New Roman"/>
          <w:kern w:val="0"/>
          <w:szCs w:val="24"/>
          <w:lang w:eastAsia="es-CO"/>
          <w14:ligatures w14:val="none"/>
        </w:rPr>
        <w:t xml:space="preserve"> </w:t>
      </w:r>
      <w:r w:rsidRPr="00951AB1">
        <w:rPr>
          <w:rFonts w:eastAsia="Times New Roman" w:cs="Times New Roman"/>
          <w:kern w:val="0"/>
          <w:lang w:eastAsia="es-CO"/>
          <w14:ligatures w14:val="none"/>
        </w:rPr>
        <w:t xml:space="preserve">con el </w:t>
      </w:r>
      <w:r w:rsidRPr="00951AB1">
        <w:rPr>
          <w:rFonts w:eastAsia="Times New Roman" w:cs="Times New Roman"/>
          <w:kern w:val="0"/>
          <w:szCs w:val="24"/>
          <w:lang w:eastAsia="es-CO"/>
          <w14:ligatures w14:val="none"/>
        </w:rPr>
        <w:t>concepto de la Contaduría General de la Nación No 20251100041751 de fecha 05-11-2025 "Tratamiento contable del porcentaje de contraprestación decreto 008 del 2024</w:t>
      </w:r>
      <w:r w:rsidRPr="00951AB1">
        <w:rPr>
          <w:rFonts w:eastAsia="Times New Roman" w:cs="Times New Roman"/>
          <w:kern w:val="0"/>
          <w:lang w:eastAsia="es-CO"/>
          <w14:ligatures w14:val="none"/>
        </w:rPr>
        <w:t xml:space="preserve"> y </w:t>
      </w:r>
      <w:r w:rsidRPr="00951AB1">
        <w:rPr>
          <w:rFonts w:eastAsia="Times New Roman" w:cs="Times New Roman"/>
          <w:kern w:val="0"/>
          <w:szCs w:val="24"/>
          <w:lang w:eastAsia="es-CO"/>
          <w14:ligatures w14:val="none"/>
        </w:rPr>
        <w:t>según información reportada por VGCON mediante correo de fecha 17-02-2026</w:t>
      </w:r>
      <w:r w:rsidRPr="00951AB1">
        <w:rPr>
          <w:rFonts w:cs="Times New Roman"/>
          <w:szCs w:val="24"/>
        </w:rPr>
        <w:t>. Asimismo, representa el valor de obligaciones contingentes en favor de la ANI por proceso de liquidación judicial de Tren de Occidente estimado en $252.031.792.969 lo cual será definida una vez sea liquidado el contrato de concesión y, proceso ante la Superintendencia de Sociedades, Resolución No. 20223070021395 del 23 de diciembre de 2022 por valor de $942.718.084.040 que compila las Resoluciones No. 1685 del 12 de noviembre de 2019 y No. 20207070005945 del 15 de mayo de 2020</w:t>
      </w:r>
    </w:p>
    <w:p w14:paraId="63BE84ED" w14:textId="77777777" w:rsidR="00953AA2" w:rsidRPr="00951AB1" w:rsidRDefault="00953AA2" w:rsidP="00953AA2">
      <w:pPr>
        <w:spacing w:line="240" w:lineRule="auto"/>
        <w:rPr>
          <w:rFonts w:cs="Times New Roman"/>
          <w:szCs w:val="24"/>
        </w:rPr>
      </w:pPr>
    </w:p>
    <w:p w14:paraId="1EFE76F4" w14:textId="77777777" w:rsidR="00953AA2" w:rsidRPr="00951AB1" w:rsidRDefault="00953AA2" w:rsidP="00953AA2">
      <w:pPr>
        <w:spacing w:line="240" w:lineRule="auto"/>
        <w:rPr>
          <w:rFonts w:cs="Times New Roman"/>
          <w:szCs w:val="24"/>
        </w:rPr>
      </w:pPr>
      <w:r w:rsidRPr="00951AB1">
        <w:rPr>
          <w:rFonts w:cs="Times New Roman"/>
          <w:szCs w:val="24"/>
        </w:rPr>
        <w:t>Detalle Terceros contraprestación Portuaria:</w:t>
      </w:r>
    </w:p>
    <w:p w14:paraId="232635F9" w14:textId="77777777" w:rsidR="00953AA2" w:rsidRPr="00951AB1" w:rsidRDefault="00953AA2" w:rsidP="00953AA2">
      <w:pPr>
        <w:spacing w:line="240" w:lineRule="auto"/>
        <w:rPr>
          <w:rFonts w:cs="Times New Roman"/>
          <w:szCs w:val="24"/>
        </w:rPr>
      </w:pPr>
    </w:p>
    <w:tbl>
      <w:tblPr>
        <w:tblW w:w="5000" w:type="pct"/>
        <w:tbl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insideH w:val="single" w:sz="2" w:space="0" w:color="A6A6A6" w:themeColor="background1" w:themeShade="A6"/>
          <w:insideV w:val="single" w:sz="2" w:space="0" w:color="A6A6A6" w:themeColor="background1" w:themeShade="A6"/>
        </w:tblBorders>
        <w:tblLayout w:type="fixed"/>
        <w:tblCellMar>
          <w:left w:w="70" w:type="dxa"/>
          <w:right w:w="70" w:type="dxa"/>
        </w:tblCellMar>
        <w:tblLook w:val="04A0" w:firstRow="1" w:lastRow="0" w:firstColumn="1" w:lastColumn="0" w:noHBand="0" w:noVBand="1"/>
      </w:tblPr>
      <w:tblGrid>
        <w:gridCol w:w="5812"/>
        <w:gridCol w:w="1784"/>
        <w:gridCol w:w="1236"/>
      </w:tblGrid>
      <w:tr w:rsidR="00953AA2" w:rsidRPr="00951AB1" w14:paraId="296F2BFA" w14:textId="77777777" w:rsidTr="00810111">
        <w:trPr>
          <w:trHeight w:val="340"/>
          <w:tblHeader/>
        </w:trPr>
        <w:tc>
          <w:tcPr>
            <w:tcW w:w="3290" w:type="pct"/>
            <w:noWrap/>
            <w:vAlign w:val="center"/>
            <w:hideMark/>
          </w:tcPr>
          <w:p w14:paraId="0BF1684D" w14:textId="77777777" w:rsidR="00953AA2" w:rsidRPr="00951AB1" w:rsidRDefault="00953AA2" w:rsidP="00810111">
            <w:pPr>
              <w:spacing w:line="240" w:lineRule="auto"/>
              <w:jc w:val="center"/>
              <w:rPr>
                <w:rFonts w:eastAsia="Times New Roman" w:cs="Times New Roman"/>
                <w:b/>
                <w:bCs/>
                <w:color w:val="000000"/>
                <w:kern w:val="0"/>
                <w:sz w:val="18"/>
                <w:szCs w:val="18"/>
                <w:lang w:eastAsia="es-CO"/>
                <w14:ligatures w14:val="none"/>
              </w:rPr>
            </w:pPr>
            <w:r w:rsidRPr="00951AB1">
              <w:rPr>
                <w:rFonts w:eastAsia="Times New Roman" w:cs="Times New Roman"/>
                <w:b/>
                <w:bCs/>
                <w:color w:val="000000"/>
                <w:kern w:val="0"/>
                <w:sz w:val="18"/>
                <w:szCs w:val="18"/>
                <w:lang w:eastAsia="es-CO"/>
                <w14:ligatures w14:val="none"/>
              </w:rPr>
              <w:t>DESCRIPCIÓN</w:t>
            </w:r>
          </w:p>
        </w:tc>
        <w:tc>
          <w:tcPr>
            <w:tcW w:w="1010" w:type="pct"/>
            <w:vMerge w:val="restart"/>
            <w:noWrap/>
            <w:vAlign w:val="center"/>
            <w:hideMark/>
          </w:tcPr>
          <w:p w14:paraId="473B1974" w14:textId="77777777" w:rsidR="00953AA2" w:rsidRPr="00951AB1" w:rsidRDefault="00953AA2" w:rsidP="00810111">
            <w:pPr>
              <w:spacing w:line="240" w:lineRule="auto"/>
              <w:jc w:val="center"/>
              <w:rPr>
                <w:rFonts w:eastAsia="Times New Roman" w:cs="Times New Roman"/>
                <w:b/>
                <w:bCs/>
                <w:color w:val="000000"/>
                <w:kern w:val="0"/>
                <w:sz w:val="18"/>
                <w:szCs w:val="18"/>
                <w:lang w:eastAsia="es-CO"/>
                <w14:ligatures w14:val="none"/>
              </w:rPr>
            </w:pPr>
            <w:r w:rsidRPr="00951AB1">
              <w:rPr>
                <w:rFonts w:eastAsia="Times New Roman" w:cs="Times New Roman"/>
                <w:b/>
                <w:bCs/>
                <w:color w:val="000000"/>
                <w:kern w:val="0"/>
                <w:sz w:val="18"/>
                <w:szCs w:val="18"/>
                <w:lang w:eastAsia="es-CO"/>
                <w14:ligatures w14:val="none"/>
              </w:rPr>
              <w:t>IDENTIFICACIÓN</w:t>
            </w:r>
          </w:p>
        </w:tc>
        <w:tc>
          <w:tcPr>
            <w:tcW w:w="700" w:type="pct"/>
            <w:vMerge w:val="restart"/>
            <w:noWrap/>
            <w:vAlign w:val="center"/>
            <w:hideMark/>
          </w:tcPr>
          <w:p w14:paraId="414C5BEB" w14:textId="77777777" w:rsidR="00953AA2" w:rsidRPr="00951AB1" w:rsidRDefault="00953AA2" w:rsidP="00810111">
            <w:pPr>
              <w:spacing w:line="240" w:lineRule="auto"/>
              <w:jc w:val="center"/>
              <w:rPr>
                <w:rFonts w:eastAsia="Times New Roman" w:cs="Times New Roman"/>
                <w:b/>
                <w:bCs/>
                <w:color w:val="000000"/>
                <w:kern w:val="0"/>
                <w:sz w:val="18"/>
                <w:szCs w:val="18"/>
                <w:lang w:eastAsia="es-CO"/>
                <w14:ligatures w14:val="none"/>
              </w:rPr>
            </w:pPr>
            <w:r w:rsidRPr="00951AB1">
              <w:rPr>
                <w:rFonts w:eastAsia="Times New Roman" w:cs="Times New Roman"/>
                <w:b/>
                <w:bCs/>
                <w:color w:val="000000"/>
                <w:kern w:val="0"/>
                <w:sz w:val="18"/>
                <w:szCs w:val="18"/>
                <w:lang w:eastAsia="es-CO"/>
                <w14:ligatures w14:val="none"/>
              </w:rPr>
              <w:t xml:space="preserve">SALDOS FINAL </w:t>
            </w:r>
          </w:p>
        </w:tc>
      </w:tr>
      <w:tr w:rsidR="00953AA2" w:rsidRPr="00951AB1" w14:paraId="6C6769B7" w14:textId="77777777" w:rsidTr="00810111">
        <w:trPr>
          <w:trHeight w:val="340"/>
        </w:trPr>
        <w:tc>
          <w:tcPr>
            <w:tcW w:w="3290" w:type="pct"/>
            <w:noWrap/>
            <w:vAlign w:val="center"/>
            <w:hideMark/>
          </w:tcPr>
          <w:p w14:paraId="28F6D4FD" w14:textId="77777777" w:rsidR="00953AA2" w:rsidRPr="00951AB1" w:rsidRDefault="00953AA2" w:rsidP="00810111">
            <w:pPr>
              <w:spacing w:line="240" w:lineRule="auto"/>
              <w:rPr>
                <w:rFonts w:eastAsia="Times New Roman" w:cs="Times New Roman"/>
                <w:color w:val="000000"/>
                <w:kern w:val="0"/>
                <w:sz w:val="18"/>
                <w:szCs w:val="18"/>
                <w:lang w:eastAsia="es-CO"/>
                <w14:ligatures w14:val="none"/>
              </w:rPr>
            </w:pPr>
            <w:r>
              <w:rPr>
                <w:rFonts w:eastAsia="Times New Roman" w:cs="Times New Roman"/>
                <w:color w:val="000000"/>
                <w:kern w:val="0"/>
                <w:sz w:val="18"/>
                <w:szCs w:val="18"/>
                <w:lang w:eastAsia="es-CO"/>
                <w14:ligatures w14:val="none"/>
              </w:rPr>
              <w:t xml:space="preserve">Estimación en la liquidación de la </w:t>
            </w:r>
            <w:r w:rsidRPr="00951AB1">
              <w:rPr>
                <w:rFonts w:eastAsia="Times New Roman" w:cs="Times New Roman"/>
                <w:color w:val="000000"/>
                <w:kern w:val="0"/>
                <w:sz w:val="18"/>
                <w:szCs w:val="18"/>
                <w:lang w:eastAsia="es-CO"/>
                <w14:ligatures w14:val="none"/>
              </w:rPr>
              <w:t>contraprestación no pagada</w:t>
            </w:r>
            <w:r>
              <w:rPr>
                <w:rFonts w:eastAsia="Times New Roman" w:cs="Times New Roman"/>
                <w:color w:val="000000"/>
                <w:kern w:val="0"/>
                <w:sz w:val="18"/>
                <w:szCs w:val="18"/>
                <w:lang w:eastAsia="es-CO"/>
                <w14:ligatures w14:val="none"/>
              </w:rPr>
              <w:t xml:space="preserve"> </w:t>
            </w:r>
            <w:r w:rsidRPr="00951AB1">
              <w:rPr>
                <w:rFonts w:eastAsia="Times New Roman" w:cs="Times New Roman"/>
                <w:color w:val="000000"/>
                <w:kern w:val="0"/>
                <w:sz w:val="18"/>
                <w:szCs w:val="18"/>
                <w:lang w:eastAsia="es-CO"/>
                <w14:ligatures w14:val="none"/>
              </w:rPr>
              <w:t>de los concesionarios con la entidad recaudadora</w:t>
            </w:r>
          </w:p>
        </w:tc>
        <w:tc>
          <w:tcPr>
            <w:tcW w:w="1010" w:type="pct"/>
            <w:vMerge/>
            <w:vAlign w:val="center"/>
            <w:hideMark/>
          </w:tcPr>
          <w:p w14:paraId="2055A61C" w14:textId="77777777" w:rsidR="00953AA2" w:rsidRPr="00951AB1" w:rsidRDefault="00953AA2" w:rsidP="00810111">
            <w:pPr>
              <w:spacing w:line="240" w:lineRule="auto"/>
              <w:rPr>
                <w:rFonts w:eastAsia="Times New Roman" w:cs="Times New Roman"/>
                <w:b/>
                <w:bCs/>
                <w:color w:val="000000"/>
                <w:kern w:val="0"/>
                <w:sz w:val="18"/>
                <w:szCs w:val="18"/>
                <w:lang w:eastAsia="es-CO"/>
                <w14:ligatures w14:val="none"/>
              </w:rPr>
            </w:pPr>
          </w:p>
        </w:tc>
        <w:tc>
          <w:tcPr>
            <w:tcW w:w="700" w:type="pct"/>
            <w:vMerge/>
            <w:vAlign w:val="center"/>
            <w:hideMark/>
          </w:tcPr>
          <w:p w14:paraId="10D23C7E" w14:textId="77777777" w:rsidR="00953AA2" w:rsidRPr="00951AB1" w:rsidRDefault="00953AA2" w:rsidP="00810111">
            <w:pPr>
              <w:spacing w:line="240" w:lineRule="auto"/>
              <w:rPr>
                <w:rFonts w:eastAsia="Times New Roman" w:cs="Times New Roman"/>
                <w:b/>
                <w:bCs/>
                <w:color w:val="000000"/>
                <w:kern w:val="0"/>
                <w:sz w:val="18"/>
                <w:szCs w:val="18"/>
                <w:lang w:eastAsia="es-CO"/>
                <w14:ligatures w14:val="none"/>
              </w:rPr>
            </w:pPr>
          </w:p>
        </w:tc>
      </w:tr>
      <w:tr w:rsidR="00953AA2" w:rsidRPr="00951AB1" w14:paraId="5C20EE89" w14:textId="77777777" w:rsidTr="00810111">
        <w:trPr>
          <w:trHeight w:val="340"/>
        </w:trPr>
        <w:tc>
          <w:tcPr>
            <w:tcW w:w="3290" w:type="pct"/>
            <w:vAlign w:val="center"/>
            <w:hideMark/>
          </w:tcPr>
          <w:p w14:paraId="564F774F" w14:textId="77777777" w:rsidR="00953AA2" w:rsidRPr="00951AB1" w:rsidRDefault="00953AA2" w:rsidP="00810111">
            <w:pPr>
              <w:spacing w:line="240" w:lineRule="auto"/>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Sociedad Portuaria Energética Multipropósito Y Contenedores Puerto Solo Buenaventura S. A</w:t>
            </w:r>
          </w:p>
        </w:tc>
        <w:tc>
          <w:tcPr>
            <w:tcW w:w="1010" w:type="pct"/>
            <w:noWrap/>
            <w:vAlign w:val="center"/>
            <w:hideMark/>
          </w:tcPr>
          <w:p w14:paraId="41A0E5D8" w14:textId="77777777" w:rsidR="00953AA2" w:rsidRPr="00951AB1" w:rsidRDefault="00953AA2" w:rsidP="00810111">
            <w:pPr>
              <w:spacing w:line="240" w:lineRule="auto"/>
              <w:jc w:val="center"/>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900739289 - 9</w:t>
            </w:r>
          </w:p>
        </w:tc>
        <w:tc>
          <w:tcPr>
            <w:tcW w:w="700" w:type="pct"/>
            <w:noWrap/>
            <w:vAlign w:val="center"/>
            <w:hideMark/>
          </w:tcPr>
          <w:p w14:paraId="549E68A2" w14:textId="77777777" w:rsidR="00953AA2" w:rsidRPr="00951AB1" w:rsidRDefault="00953AA2" w:rsidP="00810111">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2.970.662.143</w:t>
            </w:r>
          </w:p>
        </w:tc>
      </w:tr>
      <w:tr w:rsidR="00953AA2" w:rsidRPr="00951AB1" w14:paraId="2075FCDB" w14:textId="77777777" w:rsidTr="00810111">
        <w:trPr>
          <w:trHeight w:val="340"/>
        </w:trPr>
        <w:tc>
          <w:tcPr>
            <w:tcW w:w="3290" w:type="pct"/>
            <w:noWrap/>
            <w:vAlign w:val="center"/>
            <w:hideMark/>
          </w:tcPr>
          <w:p w14:paraId="766BD5E2" w14:textId="77777777" w:rsidR="00953AA2" w:rsidRPr="00951AB1" w:rsidRDefault="00953AA2" w:rsidP="00810111">
            <w:pPr>
              <w:spacing w:line="240" w:lineRule="auto"/>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Sociedad Portuaria Terminal De Ifo's S.A.</w:t>
            </w:r>
          </w:p>
        </w:tc>
        <w:tc>
          <w:tcPr>
            <w:tcW w:w="1010" w:type="pct"/>
            <w:noWrap/>
            <w:vAlign w:val="center"/>
            <w:hideMark/>
          </w:tcPr>
          <w:p w14:paraId="21F93052" w14:textId="77777777" w:rsidR="00953AA2" w:rsidRPr="00951AB1" w:rsidRDefault="00953AA2" w:rsidP="00810111">
            <w:pPr>
              <w:spacing w:line="240" w:lineRule="auto"/>
              <w:jc w:val="center"/>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900677144 - 2</w:t>
            </w:r>
          </w:p>
        </w:tc>
        <w:tc>
          <w:tcPr>
            <w:tcW w:w="700" w:type="pct"/>
            <w:noWrap/>
            <w:vAlign w:val="center"/>
            <w:hideMark/>
          </w:tcPr>
          <w:p w14:paraId="6FBF7EF2" w14:textId="77777777" w:rsidR="00953AA2" w:rsidRPr="00951AB1" w:rsidRDefault="00953AA2" w:rsidP="00810111">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109.834.747</w:t>
            </w:r>
          </w:p>
        </w:tc>
      </w:tr>
      <w:tr w:rsidR="00953AA2" w:rsidRPr="00951AB1" w14:paraId="32E85B49" w14:textId="77777777" w:rsidTr="00810111">
        <w:trPr>
          <w:trHeight w:val="340"/>
        </w:trPr>
        <w:tc>
          <w:tcPr>
            <w:tcW w:w="3290" w:type="pct"/>
            <w:noWrap/>
            <w:vAlign w:val="center"/>
            <w:hideMark/>
          </w:tcPr>
          <w:p w14:paraId="6972299C" w14:textId="77777777" w:rsidR="00953AA2" w:rsidRPr="00951AB1" w:rsidRDefault="00953AA2" w:rsidP="00810111">
            <w:pPr>
              <w:spacing w:line="240" w:lineRule="auto"/>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Grupo Portuario S.A. - 50 Mts</w:t>
            </w:r>
          </w:p>
        </w:tc>
        <w:tc>
          <w:tcPr>
            <w:tcW w:w="1010" w:type="pct"/>
            <w:noWrap/>
            <w:vAlign w:val="center"/>
            <w:hideMark/>
          </w:tcPr>
          <w:p w14:paraId="5BB32D85" w14:textId="77777777" w:rsidR="00953AA2" w:rsidRPr="00951AB1" w:rsidRDefault="00953AA2" w:rsidP="00810111">
            <w:pPr>
              <w:spacing w:line="240" w:lineRule="auto"/>
              <w:jc w:val="center"/>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830020263 - 7</w:t>
            </w:r>
          </w:p>
        </w:tc>
        <w:tc>
          <w:tcPr>
            <w:tcW w:w="700" w:type="pct"/>
            <w:noWrap/>
            <w:vAlign w:val="center"/>
            <w:hideMark/>
          </w:tcPr>
          <w:p w14:paraId="03E63E15" w14:textId="77777777" w:rsidR="00953AA2" w:rsidRPr="00951AB1" w:rsidRDefault="00953AA2" w:rsidP="00810111">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103.007.710</w:t>
            </w:r>
          </w:p>
        </w:tc>
      </w:tr>
      <w:tr w:rsidR="00953AA2" w:rsidRPr="00951AB1" w14:paraId="5522E8EC" w14:textId="77777777" w:rsidTr="00810111">
        <w:trPr>
          <w:trHeight w:val="340"/>
        </w:trPr>
        <w:tc>
          <w:tcPr>
            <w:tcW w:w="3290" w:type="pct"/>
            <w:noWrap/>
            <w:vAlign w:val="center"/>
            <w:hideMark/>
          </w:tcPr>
          <w:p w14:paraId="1702C714" w14:textId="77777777" w:rsidR="00953AA2" w:rsidRPr="00951AB1" w:rsidRDefault="00953AA2" w:rsidP="00810111">
            <w:pPr>
              <w:spacing w:line="240" w:lineRule="auto"/>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Sociedad Portuaria Regional Tumaco Pacific Port S. A</w:t>
            </w:r>
          </w:p>
        </w:tc>
        <w:tc>
          <w:tcPr>
            <w:tcW w:w="1010" w:type="pct"/>
            <w:noWrap/>
            <w:vAlign w:val="center"/>
            <w:hideMark/>
          </w:tcPr>
          <w:p w14:paraId="609C0FA6" w14:textId="77777777" w:rsidR="00953AA2" w:rsidRPr="00951AB1" w:rsidRDefault="00953AA2" w:rsidP="00810111">
            <w:pPr>
              <w:spacing w:line="240" w:lineRule="auto"/>
              <w:jc w:val="center"/>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901057588 - 2</w:t>
            </w:r>
          </w:p>
        </w:tc>
        <w:tc>
          <w:tcPr>
            <w:tcW w:w="700" w:type="pct"/>
            <w:noWrap/>
            <w:vAlign w:val="center"/>
            <w:hideMark/>
          </w:tcPr>
          <w:p w14:paraId="5E1134C9" w14:textId="77777777" w:rsidR="00953AA2" w:rsidRPr="00951AB1" w:rsidRDefault="00953AA2" w:rsidP="00810111">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416.346.004</w:t>
            </w:r>
          </w:p>
        </w:tc>
      </w:tr>
      <w:tr w:rsidR="00953AA2" w:rsidRPr="00951AB1" w14:paraId="7D4E94B6" w14:textId="77777777" w:rsidTr="00810111">
        <w:trPr>
          <w:trHeight w:val="340"/>
        </w:trPr>
        <w:tc>
          <w:tcPr>
            <w:tcW w:w="3290" w:type="pct"/>
            <w:noWrap/>
            <w:vAlign w:val="center"/>
            <w:hideMark/>
          </w:tcPr>
          <w:p w14:paraId="374E80C6" w14:textId="77777777" w:rsidR="00953AA2" w:rsidRPr="00951AB1" w:rsidRDefault="00953AA2" w:rsidP="00810111">
            <w:pPr>
              <w:spacing w:line="240" w:lineRule="auto"/>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Petróleos Y Derivados De Colombia</w:t>
            </w:r>
          </w:p>
        </w:tc>
        <w:tc>
          <w:tcPr>
            <w:tcW w:w="1010" w:type="pct"/>
            <w:noWrap/>
            <w:vAlign w:val="center"/>
            <w:hideMark/>
          </w:tcPr>
          <w:p w14:paraId="59AEFA01" w14:textId="77777777" w:rsidR="00953AA2" w:rsidRPr="00951AB1" w:rsidRDefault="00953AA2" w:rsidP="00810111">
            <w:pPr>
              <w:spacing w:line="240" w:lineRule="auto"/>
              <w:jc w:val="center"/>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900135202 - 6</w:t>
            </w:r>
          </w:p>
        </w:tc>
        <w:tc>
          <w:tcPr>
            <w:tcW w:w="700" w:type="pct"/>
            <w:noWrap/>
            <w:vAlign w:val="center"/>
            <w:hideMark/>
          </w:tcPr>
          <w:p w14:paraId="28B9DC8B" w14:textId="77777777" w:rsidR="00953AA2" w:rsidRPr="00951AB1" w:rsidRDefault="00953AA2" w:rsidP="00810111">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33.996.210</w:t>
            </w:r>
          </w:p>
        </w:tc>
      </w:tr>
      <w:tr w:rsidR="00953AA2" w:rsidRPr="00951AB1" w14:paraId="10803A21" w14:textId="77777777" w:rsidTr="00810111">
        <w:trPr>
          <w:trHeight w:val="340"/>
        </w:trPr>
        <w:tc>
          <w:tcPr>
            <w:tcW w:w="3290" w:type="pct"/>
            <w:noWrap/>
            <w:vAlign w:val="center"/>
            <w:hideMark/>
          </w:tcPr>
          <w:p w14:paraId="4AAC109D" w14:textId="77777777" w:rsidR="00953AA2" w:rsidRPr="00951AB1" w:rsidRDefault="00953AA2" w:rsidP="00810111">
            <w:pPr>
              <w:spacing w:line="240" w:lineRule="auto"/>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Sociedad Portuaria De La Península S. A</w:t>
            </w:r>
          </w:p>
        </w:tc>
        <w:tc>
          <w:tcPr>
            <w:tcW w:w="1010" w:type="pct"/>
            <w:noWrap/>
            <w:vAlign w:val="center"/>
            <w:hideMark/>
          </w:tcPr>
          <w:p w14:paraId="460632AC" w14:textId="77777777" w:rsidR="00953AA2" w:rsidRPr="00951AB1" w:rsidRDefault="00953AA2" w:rsidP="00810111">
            <w:pPr>
              <w:spacing w:line="240" w:lineRule="auto"/>
              <w:jc w:val="center"/>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839000348 - 1</w:t>
            </w:r>
          </w:p>
        </w:tc>
        <w:tc>
          <w:tcPr>
            <w:tcW w:w="700" w:type="pct"/>
            <w:noWrap/>
            <w:vAlign w:val="center"/>
            <w:hideMark/>
          </w:tcPr>
          <w:p w14:paraId="76D2CFF1" w14:textId="77777777" w:rsidR="00953AA2" w:rsidRPr="00951AB1" w:rsidRDefault="00953AA2" w:rsidP="00810111">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24.997.564</w:t>
            </w:r>
          </w:p>
        </w:tc>
      </w:tr>
      <w:tr w:rsidR="00953AA2" w:rsidRPr="00951AB1" w14:paraId="7BC2221A" w14:textId="77777777" w:rsidTr="00810111">
        <w:trPr>
          <w:trHeight w:val="340"/>
        </w:trPr>
        <w:tc>
          <w:tcPr>
            <w:tcW w:w="3290" w:type="pct"/>
            <w:noWrap/>
            <w:vAlign w:val="center"/>
            <w:hideMark/>
          </w:tcPr>
          <w:p w14:paraId="2242B4EB" w14:textId="77777777" w:rsidR="00953AA2" w:rsidRPr="00951AB1" w:rsidRDefault="00953AA2" w:rsidP="00810111">
            <w:pPr>
              <w:spacing w:line="240" w:lineRule="auto"/>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Sociedad Portuaria Punta De Vaca S.A.</w:t>
            </w:r>
          </w:p>
        </w:tc>
        <w:tc>
          <w:tcPr>
            <w:tcW w:w="1010" w:type="pct"/>
            <w:noWrap/>
            <w:vAlign w:val="center"/>
            <w:hideMark/>
          </w:tcPr>
          <w:p w14:paraId="7423664C" w14:textId="77777777" w:rsidR="00953AA2" w:rsidRPr="00951AB1" w:rsidRDefault="00953AA2" w:rsidP="00810111">
            <w:pPr>
              <w:spacing w:line="240" w:lineRule="auto"/>
              <w:jc w:val="center"/>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841000270 - 3</w:t>
            </w:r>
          </w:p>
        </w:tc>
        <w:tc>
          <w:tcPr>
            <w:tcW w:w="700" w:type="pct"/>
            <w:noWrap/>
            <w:vAlign w:val="center"/>
            <w:hideMark/>
          </w:tcPr>
          <w:p w14:paraId="0D186407" w14:textId="77777777" w:rsidR="00953AA2" w:rsidRPr="00951AB1" w:rsidRDefault="00953AA2" w:rsidP="00810111">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1.631.518</w:t>
            </w:r>
          </w:p>
        </w:tc>
      </w:tr>
    </w:tbl>
    <w:tbl>
      <w:tblPr>
        <w:tblW w:w="5000" w:type="pct"/>
        <w:tblCellMar>
          <w:left w:w="70" w:type="dxa"/>
          <w:right w:w="70" w:type="dxa"/>
        </w:tblCellMar>
        <w:tblLook w:val="04A0" w:firstRow="1" w:lastRow="0" w:firstColumn="1" w:lastColumn="0" w:noHBand="0" w:noVBand="1"/>
      </w:tblPr>
      <w:tblGrid>
        <w:gridCol w:w="5395"/>
        <w:gridCol w:w="3443"/>
      </w:tblGrid>
      <w:tr w:rsidR="00953AA2" w:rsidRPr="00951AB1" w14:paraId="759FA6EE" w14:textId="77777777" w:rsidTr="00810111">
        <w:trPr>
          <w:trHeight w:val="300"/>
        </w:trPr>
        <w:tc>
          <w:tcPr>
            <w:tcW w:w="3052" w:type="pct"/>
            <w:tcBorders>
              <w:top w:val="nil"/>
              <w:left w:val="nil"/>
              <w:bottom w:val="nil"/>
              <w:right w:val="nil"/>
            </w:tcBorders>
            <w:noWrap/>
            <w:vAlign w:val="center"/>
            <w:hideMark/>
          </w:tcPr>
          <w:p w14:paraId="61A33D2C" w14:textId="77777777" w:rsidR="00953AA2" w:rsidRPr="00951AB1" w:rsidRDefault="00953AA2" w:rsidP="00810111">
            <w:pPr>
              <w:spacing w:line="240" w:lineRule="auto"/>
              <w:rPr>
                <w:rFonts w:cs="Times New Roman"/>
                <w:sz w:val="14"/>
                <w:szCs w:val="14"/>
              </w:rPr>
            </w:pPr>
            <w:r w:rsidRPr="00951AB1">
              <w:rPr>
                <w:rFonts w:cs="Times New Roman"/>
                <w:sz w:val="14"/>
                <w:szCs w:val="14"/>
              </w:rPr>
              <w:t xml:space="preserve">Cifras expresadas en pesos </w:t>
            </w:r>
          </w:p>
          <w:p w14:paraId="4E6EB965" w14:textId="77777777" w:rsidR="00953AA2" w:rsidRPr="00951AB1" w:rsidRDefault="00953AA2" w:rsidP="00810111">
            <w:pPr>
              <w:spacing w:line="240" w:lineRule="auto"/>
              <w:jc w:val="center"/>
              <w:rPr>
                <w:rFonts w:eastAsia="Times New Roman" w:cs="Times New Roman"/>
                <w:color w:val="000000"/>
                <w:kern w:val="0"/>
                <w:sz w:val="16"/>
                <w:szCs w:val="16"/>
                <w:lang w:eastAsia="es-CO"/>
                <w14:ligatures w14:val="none"/>
              </w:rPr>
            </w:pPr>
          </w:p>
        </w:tc>
        <w:tc>
          <w:tcPr>
            <w:tcW w:w="1948" w:type="pct"/>
            <w:tcBorders>
              <w:top w:val="nil"/>
              <w:left w:val="nil"/>
              <w:bottom w:val="nil"/>
              <w:right w:val="nil"/>
            </w:tcBorders>
            <w:noWrap/>
            <w:vAlign w:val="center"/>
            <w:hideMark/>
          </w:tcPr>
          <w:p w14:paraId="08CB2D90" w14:textId="77777777" w:rsidR="00953AA2" w:rsidRPr="00951AB1" w:rsidRDefault="00953AA2" w:rsidP="00810111">
            <w:pPr>
              <w:spacing w:line="240" w:lineRule="auto"/>
              <w:rPr>
                <w:rFonts w:eastAsia="Times New Roman" w:cs="Times New Roman"/>
                <w:kern w:val="0"/>
                <w:sz w:val="20"/>
                <w:szCs w:val="20"/>
                <w:lang w:eastAsia="es-CO"/>
                <w14:ligatures w14:val="none"/>
              </w:rPr>
            </w:pPr>
          </w:p>
        </w:tc>
      </w:tr>
    </w:tbl>
    <w:p w14:paraId="08D3EC74" w14:textId="77777777" w:rsidR="00953AA2" w:rsidRDefault="00953AA2" w:rsidP="00953AA2">
      <w:pPr>
        <w:spacing w:line="240" w:lineRule="auto"/>
        <w:rPr>
          <w:rFonts w:cs="Times New Roman"/>
          <w:b/>
          <w:szCs w:val="24"/>
        </w:rPr>
      </w:pPr>
    </w:p>
    <w:tbl>
      <w:tblPr>
        <w:tblW w:w="5058" w:type="pct"/>
        <w:tblBorders>
          <w:top w:val="single" w:sz="2" w:space="0" w:color="A6A6A6"/>
          <w:left w:val="single" w:sz="2" w:space="0" w:color="A6A6A6"/>
          <w:bottom w:val="single" w:sz="2" w:space="0" w:color="A6A6A6"/>
          <w:right w:val="single" w:sz="2" w:space="0" w:color="A6A6A6"/>
          <w:insideH w:val="single" w:sz="2" w:space="0" w:color="A6A6A6"/>
          <w:insideV w:val="single" w:sz="2" w:space="0" w:color="A6A6A6"/>
        </w:tblBorders>
        <w:tblLayout w:type="fixed"/>
        <w:tblCellMar>
          <w:left w:w="70" w:type="dxa"/>
          <w:right w:w="70" w:type="dxa"/>
        </w:tblCellMar>
        <w:tblLook w:val="04A0" w:firstRow="1" w:lastRow="0" w:firstColumn="1" w:lastColumn="0" w:noHBand="0" w:noVBand="1"/>
      </w:tblPr>
      <w:tblGrid>
        <w:gridCol w:w="5811"/>
        <w:gridCol w:w="1783"/>
        <w:gridCol w:w="1340"/>
      </w:tblGrid>
      <w:tr w:rsidR="00953AA2" w:rsidRPr="00951AB1" w14:paraId="40459657" w14:textId="77777777" w:rsidTr="00810111">
        <w:trPr>
          <w:trHeight w:val="340"/>
          <w:tblHeader/>
        </w:trPr>
        <w:tc>
          <w:tcPr>
            <w:tcW w:w="3252" w:type="pct"/>
            <w:noWrap/>
            <w:vAlign w:val="center"/>
            <w:hideMark/>
          </w:tcPr>
          <w:p w14:paraId="4522D883" w14:textId="77777777" w:rsidR="00953AA2" w:rsidRPr="00951AB1" w:rsidRDefault="00953AA2" w:rsidP="00810111">
            <w:pPr>
              <w:spacing w:line="240" w:lineRule="auto"/>
              <w:jc w:val="center"/>
              <w:rPr>
                <w:rFonts w:eastAsia="Times New Roman" w:cs="Times New Roman"/>
                <w:b/>
                <w:bCs/>
                <w:color w:val="000000"/>
                <w:kern w:val="0"/>
                <w:sz w:val="18"/>
                <w:szCs w:val="18"/>
                <w:lang w:eastAsia="es-CO"/>
                <w14:ligatures w14:val="none"/>
              </w:rPr>
            </w:pPr>
            <w:r w:rsidRPr="00951AB1">
              <w:rPr>
                <w:rFonts w:eastAsia="Times New Roman" w:cs="Times New Roman"/>
                <w:b/>
                <w:bCs/>
                <w:color w:val="000000"/>
                <w:kern w:val="0"/>
                <w:sz w:val="18"/>
                <w:szCs w:val="18"/>
                <w:lang w:eastAsia="es-CO"/>
                <w14:ligatures w14:val="none"/>
              </w:rPr>
              <w:t>DESCRIPCIÓN</w:t>
            </w:r>
          </w:p>
        </w:tc>
        <w:tc>
          <w:tcPr>
            <w:tcW w:w="998" w:type="pct"/>
            <w:vMerge w:val="restart"/>
            <w:noWrap/>
            <w:vAlign w:val="center"/>
            <w:hideMark/>
          </w:tcPr>
          <w:p w14:paraId="64D8E02C" w14:textId="77777777" w:rsidR="00953AA2" w:rsidRPr="00951AB1" w:rsidRDefault="00953AA2" w:rsidP="00810111">
            <w:pPr>
              <w:spacing w:line="240" w:lineRule="auto"/>
              <w:jc w:val="center"/>
              <w:rPr>
                <w:rFonts w:eastAsia="Times New Roman" w:cs="Times New Roman"/>
                <w:b/>
                <w:bCs/>
                <w:color w:val="000000"/>
                <w:kern w:val="0"/>
                <w:sz w:val="18"/>
                <w:szCs w:val="18"/>
                <w:lang w:eastAsia="es-CO"/>
                <w14:ligatures w14:val="none"/>
              </w:rPr>
            </w:pPr>
            <w:r w:rsidRPr="00951AB1">
              <w:rPr>
                <w:rFonts w:eastAsia="Times New Roman" w:cs="Times New Roman"/>
                <w:b/>
                <w:bCs/>
                <w:color w:val="000000"/>
                <w:kern w:val="0"/>
                <w:sz w:val="18"/>
                <w:szCs w:val="18"/>
                <w:lang w:eastAsia="es-CO"/>
                <w14:ligatures w14:val="none"/>
              </w:rPr>
              <w:t>IDENTIFICACIÓN</w:t>
            </w:r>
          </w:p>
        </w:tc>
        <w:tc>
          <w:tcPr>
            <w:tcW w:w="750" w:type="pct"/>
            <w:vMerge w:val="restart"/>
            <w:noWrap/>
            <w:vAlign w:val="center"/>
            <w:hideMark/>
          </w:tcPr>
          <w:p w14:paraId="6F1CD5DE" w14:textId="77777777" w:rsidR="00953AA2" w:rsidRPr="00951AB1" w:rsidRDefault="00953AA2" w:rsidP="00810111">
            <w:pPr>
              <w:spacing w:line="240" w:lineRule="auto"/>
              <w:jc w:val="center"/>
              <w:rPr>
                <w:rFonts w:eastAsia="Times New Roman" w:cs="Times New Roman"/>
                <w:b/>
                <w:bCs/>
                <w:color w:val="000000"/>
                <w:kern w:val="0"/>
                <w:sz w:val="18"/>
                <w:szCs w:val="18"/>
                <w:lang w:eastAsia="es-CO"/>
                <w14:ligatures w14:val="none"/>
              </w:rPr>
            </w:pPr>
            <w:r w:rsidRPr="00951AB1">
              <w:rPr>
                <w:rFonts w:eastAsia="Times New Roman" w:cs="Times New Roman"/>
                <w:b/>
                <w:bCs/>
                <w:color w:val="000000"/>
                <w:kern w:val="0"/>
                <w:sz w:val="18"/>
                <w:szCs w:val="18"/>
                <w:lang w:eastAsia="es-CO"/>
                <w14:ligatures w14:val="none"/>
              </w:rPr>
              <w:t xml:space="preserve">SALDOS FINAL </w:t>
            </w:r>
          </w:p>
        </w:tc>
      </w:tr>
      <w:tr w:rsidR="00953AA2" w:rsidRPr="00951AB1" w14:paraId="5B1D464A" w14:textId="77777777" w:rsidTr="00810111">
        <w:trPr>
          <w:trHeight w:val="340"/>
        </w:trPr>
        <w:tc>
          <w:tcPr>
            <w:tcW w:w="3252" w:type="pct"/>
            <w:noWrap/>
            <w:vAlign w:val="center"/>
            <w:hideMark/>
          </w:tcPr>
          <w:p w14:paraId="48A568A3" w14:textId="77777777" w:rsidR="00953AA2" w:rsidRPr="001762AB" w:rsidRDefault="00953AA2" w:rsidP="00810111">
            <w:pPr>
              <w:spacing w:line="240" w:lineRule="auto"/>
              <w:rPr>
                <w:rFonts w:eastAsia="Times New Roman" w:cs="Times New Roman"/>
                <w:color w:val="000000"/>
                <w:kern w:val="0"/>
                <w:sz w:val="18"/>
                <w:szCs w:val="18"/>
                <w:lang w:eastAsia="es-CO"/>
                <w14:ligatures w14:val="none"/>
              </w:rPr>
            </w:pPr>
            <w:r>
              <w:rPr>
                <w:rFonts w:eastAsia="Times New Roman" w:cs="Times New Roman"/>
                <w:color w:val="000000"/>
                <w:kern w:val="0"/>
                <w:sz w:val="18"/>
                <w:szCs w:val="18"/>
                <w:lang w:eastAsia="es-CO"/>
                <w14:ligatures w14:val="none"/>
              </w:rPr>
              <w:t xml:space="preserve">Estimación en la liquidación de la </w:t>
            </w:r>
            <w:r w:rsidRPr="00951AB1">
              <w:rPr>
                <w:rFonts w:eastAsia="Times New Roman" w:cs="Times New Roman"/>
                <w:color w:val="000000"/>
                <w:kern w:val="0"/>
                <w:sz w:val="18"/>
                <w:szCs w:val="18"/>
                <w:lang w:eastAsia="es-CO"/>
                <w14:ligatures w14:val="none"/>
              </w:rPr>
              <w:t>contraprestación no pagada</w:t>
            </w:r>
            <w:r>
              <w:rPr>
                <w:rFonts w:eastAsia="Times New Roman" w:cs="Times New Roman"/>
                <w:color w:val="000000"/>
                <w:kern w:val="0"/>
                <w:sz w:val="18"/>
                <w:szCs w:val="18"/>
                <w:lang w:eastAsia="es-CO"/>
                <w14:ligatures w14:val="none"/>
              </w:rPr>
              <w:t xml:space="preserve"> </w:t>
            </w:r>
            <w:r w:rsidRPr="00951AB1">
              <w:rPr>
                <w:rFonts w:eastAsia="Times New Roman" w:cs="Times New Roman"/>
                <w:color w:val="000000"/>
                <w:kern w:val="0"/>
                <w:sz w:val="18"/>
                <w:szCs w:val="18"/>
                <w:lang w:eastAsia="es-CO"/>
                <w14:ligatures w14:val="none"/>
              </w:rPr>
              <w:t xml:space="preserve">de la entidad recaudadora </w:t>
            </w:r>
            <w:r>
              <w:rPr>
                <w:rFonts w:eastAsia="Times New Roman" w:cs="Times New Roman"/>
                <w:color w:val="000000"/>
                <w:kern w:val="0"/>
                <w:sz w:val="18"/>
                <w:szCs w:val="18"/>
                <w:lang w:eastAsia="es-CO"/>
                <w14:ligatures w14:val="none"/>
              </w:rPr>
              <w:t>a la ANI</w:t>
            </w:r>
            <w:r w:rsidRPr="00951AB1">
              <w:rPr>
                <w:rFonts w:eastAsia="Times New Roman" w:cs="Times New Roman"/>
                <w:color w:val="000000"/>
                <w:kern w:val="0"/>
                <w:sz w:val="18"/>
                <w:szCs w:val="18"/>
                <w:lang w:eastAsia="es-CO"/>
                <w14:ligatures w14:val="none"/>
              </w:rPr>
              <w:t xml:space="preserve"> </w:t>
            </w:r>
          </w:p>
        </w:tc>
        <w:tc>
          <w:tcPr>
            <w:tcW w:w="998" w:type="pct"/>
            <w:vMerge/>
            <w:vAlign w:val="center"/>
            <w:hideMark/>
          </w:tcPr>
          <w:p w14:paraId="0CAC17AD" w14:textId="77777777" w:rsidR="00953AA2" w:rsidRPr="00951AB1" w:rsidRDefault="00953AA2" w:rsidP="00810111">
            <w:pPr>
              <w:spacing w:line="240" w:lineRule="auto"/>
              <w:rPr>
                <w:rFonts w:eastAsia="Times New Roman" w:cs="Times New Roman"/>
                <w:b/>
                <w:bCs/>
                <w:color w:val="000000"/>
                <w:kern w:val="0"/>
                <w:sz w:val="18"/>
                <w:szCs w:val="18"/>
                <w:lang w:eastAsia="es-CO"/>
                <w14:ligatures w14:val="none"/>
              </w:rPr>
            </w:pPr>
          </w:p>
        </w:tc>
        <w:tc>
          <w:tcPr>
            <w:tcW w:w="750" w:type="pct"/>
            <w:vMerge/>
            <w:vAlign w:val="center"/>
            <w:hideMark/>
          </w:tcPr>
          <w:p w14:paraId="4114EEE3" w14:textId="77777777" w:rsidR="00953AA2" w:rsidRPr="00951AB1" w:rsidRDefault="00953AA2" w:rsidP="00810111">
            <w:pPr>
              <w:spacing w:line="240" w:lineRule="auto"/>
              <w:rPr>
                <w:rFonts w:eastAsia="Times New Roman" w:cs="Times New Roman"/>
                <w:b/>
                <w:bCs/>
                <w:color w:val="000000"/>
                <w:kern w:val="0"/>
                <w:sz w:val="18"/>
                <w:szCs w:val="18"/>
                <w:lang w:eastAsia="es-CO"/>
                <w14:ligatures w14:val="none"/>
              </w:rPr>
            </w:pPr>
          </w:p>
        </w:tc>
      </w:tr>
      <w:tr w:rsidR="00953AA2" w:rsidRPr="00951AB1" w14:paraId="7974325F" w14:textId="77777777" w:rsidTr="00810111">
        <w:trPr>
          <w:trHeight w:val="340"/>
        </w:trPr>
        <w:tc>
          <w:tcPr>
            <w:tcW w:w="3252" w:type="pct"/>
            <w:noWrap/>
            <w:vAlign w:val="center"/>
            <w:hideMark/>
          </w:tcPr>
          <w:p w14:paraId="0D1E7E32" w14:textId="77777777" w:rsidR="00953AA2" w:rsidRPr="001762AB" w:rsidRDefault="00953AA2" w:rsidP="00810111">
            <w:pPr>
              <w:spacing w:line="240" w:lineRule="auto"/>
              <w:rPr>
                <w:rFonts w:eastAsia="Times New Roman" w:cs="Times New Roman"/>
                <w:color w:val="000000"/>
                <w:kern w:val="0"/>
                <w:sz w:val="18"/>
                <w:szCs w:val="18"/>
                <w:lang w:eastAsia="es-CO"/>
                <w14:ligatures w14:val="none"/>
              </w:rPr>
            </w:pPr>
            <w:r w:rsidRPr="001762AB">
              <w:rPr>
                <w:rFonts w:eastAsia="Times New Roman" w:cs="Times New Roman"/>
                <w:color w:val="000000"/>
                <w:kern w:val="0"/>
                <w:sz w:val="18"/>
                <w:szCs w:val="18"/>
                <w:lang w:eastAsia="es-CO"/>
                <w14:ligatures w14:val="none"/>
              </w:rPr>
              <w:t xml:space="preserve">Instituto Nacional De vías </w:t>
            </w:r>
          </w:p>
        </w:tc>
        <w:tc>
          <w:tcPr>
            <w:tcW w:w="998" w:type="pct"/>
            <w:noWrap/>
            <w:vAlign w:val="center"/>
            <w:hideMark/>
          </w:tcPr>
          <w:p w14:paraId="65DBFA8F" w14:textId="77777777" w:rsidR="00953AA2" w:rsidRPr="00951AB1" w:rsidRDefault="00953AA2" w:rsidP="00810111">
            <w:pPr>
              <w:spacing w:line="240" w:lineRule="auto"/>
              <w:jc w:val="center"/>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800215807-2</w:t>
            </w:r>
          </w:p>
        </w:tc>
        <w:tc>
          <w:tcPr>
            <w:tcW w:w="750" w:type="pct"/>
            <w:noWrap/>
            <w:vAlign w:val="center"/>
            <w:hideMark/>
          </w:tcPr>
          <w:p w14:paraId="43283B35" w14:textId="77777777" w:rsidR="00953AA2" w:rsidRPr="00951AB1" w:rsidRDefault="00953AA2" w:rsidP="00810111">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18.526.561.871</w:t>
            </w:r>
          </w:p>
        </w:tc>
      </w:tr>
    </w:tbl>
    <w:p w14:paraId="79BD69B5" w14:textId="77777777" w:rsidR="00953AA2" w:rsidRPr="00951AB1" w:rsidRDefault="00953AA2" w:rsidP="00953AA2">
      <w:pPr>
        <w:spacing w:line="240" w:lineRule="auto"/>
        <w:rPr>
          <w:rFonts w:cs="Times New Roman"/>
          <w:sz w:val="14"/>
          <w:szCs w:val="14"/>
        </w:rPr>
      </w:pPr>
      <w:r w:rsidRPr="00951AB1">
        <w:rPr>
          <w:rFonts w:cs="Times New Roman"/>
          <w:sz w:val="14"/>
          <w:szCs w:val="14"/>
        </w:rPr>
        <w:t xml:space="preserve">Cifras expresadas en pesos </w:t>
      </w:r>
    </w:p>
    <w:p w14:paraId="728D470D" w14:textId="77777777" w:rsidR="00953AA2" w:rsidRDefault="00953AA2" w:rsidP="00953AA2">
      <w:pPr>
        <w:spacing w:line="240" w:lineRule="auto"/>
        <w:rPr>
          <w:rFonts w:cs="Times New Roman"/>
          <w:b/>
          <w:szCs w:val="24"/>
        </w:rPr>
      </w:pPr>
    </w:p>
    <w:p w14:paraId="07333A15" w14:textId="77777777" w:rsidR="006F52CF" w:rsidRDefault="006F52CF" w:rsidP="00953AA2">
      <w:pPr>
        <w:spacing w:line="240" w:lineRule="auto"/>
        <w:rPr>
          <w:rFonts w:cs="Times New Roman"/>
          <w:b/>
          <w:szCs w:val="24"/>
        </w:rPr>
      </w:pPr>
    </w:p>
    <w:p w14:paraId="37D1F951" w14:textId="5DEA17D2" w:rsidR="000C6391" w:rsidRPr="00951AB1" w:rsidRDefault="00A233A7" w:rsidP="000A5389">
      <w:pPr>
        <w:pStyle w:val="Ttulo2"/>
        <w:numPr>
          <w:ilvl w:val="1"/>
          <w:numId w:val="22"/>
        </w:numPr>
        <w:spacing w:line="240" w:lineRule="auto"/>
        <w:rPr>
          <w:rFonts w:cs="Times New Roman"/>
        </w:rPr>
      </w:pPr>
      <w:r w:rsidRPr="00951AB1">
        <w:rPr>
          <w:rFonts w:cs="Times New Roman"/>
        </w:rPr>
        <w:lastRenderedPageBreak/>
        <w:tab/>
      </w:r>
      <w:bookmarkStart w:id="771" w:name="_Toc222955534"/>
      <w:r w:rsidR="000C6391" w:rsidRPr="00951AB1">
        <w:rPr>
          <w:rFonts w:cs="Times New Roman"/>
        </w:rPr>
        <w:t>Cuentas de orden acreedoras</w:t>
      </w:r>
      <w:bookmarkEnd w:id="750"/>
      <w:bookmarkEnd w:id="751"/>
      <w:bookmarkEnd w:id="752"/>
      <w:bookmarkEnd w:id="753"/>
      <w:bookmarkEnd w:id="754"/>
      <w:bookmarkEnd w:id="755"/>
      <w:bookmarkEnd w:id="756"/>
      <w:bookmarkEnd w:id="757"/>
      <w:bookmarkEnd w:id="758"/>
      <w:bookmarkEnd w:id="759"/>
      <w:bookmarkEnd w:id="771"/>
    </w:p>
    <w:p w14:paraId="1BC794FF" w14:textId="4D78B87C" w:rsidR="004D38FD" w:rsidRPr="00951AB1" w:rsidRDefault="004D38FD" w:rsidP="000A5389">
      <w:pPr>
        <w:spacing w:line="240" w:lineRule="auto"/>
        <w:rPr>
          <w:rFonts w:cs="Times New Roman"/>
          <w:highlight w:val="yellow"/>
        </w:rPr>
      </w:pPr>
    </w:p>
    <w:tbl>
      <w:tblPr>
        <w:tblW w:w="8841" w:type="dxa"/>
        <w:tblLook w:val="04A0" w:firstRow="1" w:lastRow="0" w:firstColumn="1" w:lastColumn="0" w:noHBand="0" w:noVBand="1"/>
      </w:tblPr>
      <w:tblGrid>
        <w:gridCol w:w="593"/>
        <w:gridCol w:w="371"/>
        <w:gridCol w:w="2931"/>
        <w:gridCol w:w="1743"/>
        <w:gridCol w:w="1650"/>
        <w:gridCol w:w="1553"/>
      </w:tblGrid>
      <w:tr w:rsidR="00C70C31" w:rsidRPr="00951AB1" w14:paraId="3AB7310A" w14:textId="77777777" w:rsidTr="0027464D">
        <w:trPr>
          <w:trHeight w:val="300"/>
          <w:tblHeader/>
        </w:trPr>
        <w:tc>
          <w:tcPr>
            <w:tcW w:w="3676" w:type="dxa"/>
            <w:gridSpan w:val="3"/>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tcMar>
              <w:left w:w="70" w:type="dxa"/>
              <w:right w:w="70" w:type="dxa"/>
            </w:tcMar>
            <w:vAlign w:val="center"/>
          </w:tcPr>
          <w:p w14:paraId="2A1520BB" w14:textId="5A79889C" w:rsidR="48FECCA8" w:rsidRPr="00951AB1" w:rsidRDefault="48FECCA8" w:rsidP="000A5389">
            <w:pPr>
              <w:spacing w:line="240" w:lineRule="auto"/>
              <w:jc w:val="center"/>
              <w:rPr>
                <w:rFonts w:eastAsia="Times New Roman" w:cs="Times New Roman"/>
                <w:b/>
                <w:sz w:val="18"/>
                <w:szCs w:val="18"/>
              </w:rPr>
            </w:pPr>
            <w:r w:rsidRPr="00951AB1">
              <w:rPr>
                <w:rFonts w:eastAsia="Times New Roman" w:cs="Times New Roman"/>
                <w:b/>
                <w:sz w:val="18"/>
                <w:szCs w:val="18"/>
              </w:rPr>
              <w:t>CONCEPTO</w:t>
            </w:r>
          </w:p>
        </w:tc>
        <w:tc>
          <w:tcPr>
            <w:tcW w:w="1863" w:type="dxa"/>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tcMar>
              <w:left w:w="70" w:type="dxa"/>
              <w:right w:w="70" w:type="dxa"/>
            </w:tcMar>
            <w:vAlign w:val="center"/>
          </w:tcPr>
          <w:p w14:paraId="0CB71439" w14:textId="19B6155C" w:rsidR="48FECCA8" w:rsidRPr="00951AB1" w:rsidRDefault="48FECCA8" w:rsidP="000A5389">
            <w:pPr>
              <w:spacing w:line="240" w:lineRule="auto"/>
              <w:jc w:val="center"/>
              <w:rPr>
                <w:rFonts w:eastAsia="Times New Roman" w:cs="Times New Roman"/>
                <w:b/>
                <w:sz w:val="18"/>
                <w:szCs w:val="18"/>
              </w:rPr>
            </w:pPr>
            <w:r w:rsidRPr="00951AB1">
              <w:rPr>
                <w:rFonts w:eastAsia="Times New Roman" w:cs="Times New Roman"/>
                <w:b/>
                <w:sz w:val="18"/>
                <w:szCs w:val="18"/>
              </w:rPr>
              <w:t xml:space="preserve">2025 </w:t>
            </w:r>
          </w:p>
        </w:tc>
        <w:tc>
          <w:tcPr>
            <w:tcW w:w="1702" w:type="dxa"/>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tcMar>
              <w:left w:w="70" w:type="dxa"/>
              <w:right w:w="70" w:type="dxa"/>
            </w:tcMar>
            <w:vAlign w:val="center"/>
          </w:tcPr>
          <w:p w14:paraId="5C9D8479" w14:textId="1DD66EE4" w:rsidR="48FECCA8" w:rsidRPr="00951AB1" w:rsidRDefault="48FECCA8" w:rsidP="000A5389">
            <w:pPr>
              <w:spacing w:line="240" w:lineRule="auto"/>
              <w:jc w:val="center"/>
              <w:rPr>
                <w:rFonts w:eastAsia="Times New Roman" w:cs="Times New Roman"/>
                <w:b/>
                <w:sz w:val="18"/>
                <w:szCs w:val="18"/>
              </w:rPr>
            </w:pPr>
            <w:r w:rsidRPr="00951AB1">
              <w:rPr>
                <w:rFonts w:eastAsia="Times New Roman" w:cs="Times New Roman"/>
                <w:b/>
                <w:sz w:val="18"/>
                <w:szCs w:val="18"/>
              </w:rPr>
              <w:t xml:space="preserve">2024 </w:t>
            </w:r>
          </w:p>
        </w:tc>
        <w:tc>
          <w:tcPr>
            <w:tcW w:w="1600" w:type="dxa"/>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tcMar>
              <w:left w:w="70" w:type="dxa"/>
              <w:right w:w="70" w:type="dxa"/>
            </w:tcMar>
            <w:vAlign w:val="center"/>
          </w:tcPr>
          <w:p w14:paraId="1A99D717" w14:textId="30D05626" w:rsidR="48FECCA8" w:rsidRPr="00951AB1" w:rsidRDefault="48FECCA8" w:rsidP="000A5389">
            <w:pPr>
              <w:spacing w:line="240" w:lineRule="auto"/>
              <w:jc w:val="center"/>
              <w:rPr>
                <w:rFonts w:eastAsia="Times New Roman" w:cs="Times New Roman"/>
                <w:b/>
                <w:sz w:val="18"/>
                <w:szCs w:val="18"/>
              </w:rPr>
            </w:pPr>
            <w:r w:rsidRPr="00951AB1">
              <w:rPr>
                <w:rFonts w:eastAsia="Times New Roman" w:cs="Times New Roman"/>
                <w:b/>
                <w:sz w:val="18"/>
                <w:szCs w:val="18"/>
              </w:rPr>
              <w:t>VARIACIÓN</w:t>
            </w:r>
          </w:p>
        </w:tc>
      </w:tr>
      <w:tr w:rsidR="00C70C31" w:rsidRPr="00951AB1" w14:paraId="618FD8BB" w14:textId="77777777" w:rsidTr="00FB53B5">
        <w:trPr>
          <w:trHeight w:val="300"/>
        </w:trPr>
        <w:tc>
          <w:tcPr>
            <w:tcW w:w="3676" w:type="dxa"/>
            <w:gridSpan w:val="3"/>
            <w:tcBorders>
              <w:top w:val="single" w:sz="8" w:space="0" w:color="A6A6A6" w:themeColor="background1" w:themeShade="A6"/>
              <w:left w:val="single" w:sz="8" w:space="0" w:color="A6A6A6" w:themeColor="background1" w:themeShade="A6"/>
              <w:bottom w:val="single" w:sz="8" w:space="0" w:color="A6A6A6" w:themeColor="background1" w:themeShade="A6"/>
              <w:right w:val="nil"/>
            </w:tcBorders>
            <w:tcMar>
              <w:left w:w="70" w:type="dxa"/>
              <w:right w:w="70" w:type="dxa"/>
            </w:tcMar>
            <w:vAlign w:val="center"/>
          </w:tcPr>
          <w:p w14:paraId="3E095D86" w14:textId="78AA09F7" w:rsidR="48FECCA8" w:rsidRPr="00951AB1" w:rsidRDefault="00BF1D87" w:rsidP="000A5389">
            <w:pPr>
              <w:spacing w:line="240" w:lineRule="auto"/>
              <w:rPr>
                <w:rFonts w:eastAsia="Times New Roman" w:cs="Times New Roman"/>
                <w:b/>
                <w:sz w:val="18"/>
                <w:szCs w:val="18"/>
              </w:rPr>
            </w:pPr>
            <w:r w:rsidRPr="00951AB1">
              <w:rPr>
                <w:rFonts w:eastAsia="Times New Roman" w:cs="Times New Roman"/>
                <w:b/>
                <w:sz w:val="18"/>
                <w:szCs w:val="18"/>
              </w:rPr>
              <w:t xml:space="preserve"> </w:t>
            </w:r>
            <w:r w:rsidR="48FECCA8" w:rsidRPr="00951AB1">
              <w:rPr>
                <w:rFonts w:eastAsia="Times New Roman" w:cs="Times New Roman"/>
                <w:b/>
                <w:sz w:val="18"/>
                <w:szCs w:val="18"/>
              </w:rPr>
              <w:t>CUENTAS DE ORDEN ACREEDORAS (OTRAS)</w:t>
            </w:r>
          </w:p>
        </w:tc>
        <w:tc>
          <w:tcPr>
            <w:tcW w:w="1863" w:type="dxa"/>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tcMar>
              <w:left w:w="70" w:type="dxa"/>
              <w:right w:w="70" w:type="dxa"/>
            </w:tcMar>
            <w:vAlign w:val="center"/>
          </w:tcPr>
          <w:p w14:paraId="20DE15FE" w14:textId="172E6AA1" w:rsidR="48FECCA8" w:rsidRPr="00951AB1" w:rsidRDefault="48FECCA8" w:rsidP="000A5389">
            <w:pPr>
              <w:spacing w:line="240" w:lineRule="auto"/>
              <w:jc w:val="right"/>
              <w:rPr>
                <w:rFonts w:eastAsia="Times New Roman" w:cs="Times New Roman"/>
                <w:b/>
                <w:sz w:val="18"/>
                <w:szCs w:val="18"/>
              </w:rPr>
            </w:pPr>
            <w:r w:rsidRPr="00951AB1">
              <w:rPr>
                <w:rFonts w:eastAsia="Times New Roman" w:cs="Times New Roman"/>
                <w:b/>
                <w:sz w:val="18"/>
                <w:szCs w:val="18"/>
              </w:rPr>
              <w:t>0</w:t>
            </w:r>
          </w:p>
        </w:tc>
        <w:tc>
          <w:tcPr>
            <w:tcW w:w="1702" w:type="dxa"/>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tcMar>
              <w:left w:w="70" w:type="dxa"/>
              <w:right w:w="70" w:type="dxa"/>
            </w:tcMar>
            <w:vAlign w:val="center"/>
          </w:tcPr>
          <w:p w14:paraId="5B63217B" w14:textId="63EB69DA" w:rsidR="48FECCA8" w:rsidRPr="00951AB1" w:rsidRDefault="48FECCA8" w:rsidP="000A5389">
            <w:pPr>
              <w:spacing w:line="240" w:lineRule="auto"/>
              <w:jc w:val="right"/>
              <w:rPr>
                <w:rFonts w:eastAsia="Times New Roman" w:cs="Times New Roman"/>
                <w:b/>
                <w:sz w:val="18"/>
                <w:szCs w:val="18"/>
              </w:rPr>
            </w:pPr>
            <w:r w:rsidRPr="00951AB1">
              <w:rPr>
                <w:rFonts w:eastAsia="Times New Roman" w:cs="Times New Roman"/>
                <w:b/>
                <w:sz w:val="18"/>
                <w:szCs w:val="18"/>
              </w:rPr>
              <w:t>0</w:t>
            </w:r>
          </w:p>
        </w:tc>
        <w:tc>
          <w:tcPr>
            <w:tcW w:w="1600" w:type="dxa"/>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tcMar>
              <w:left w:w="70" w:type="dxa"/>
              <w:right w:w="70" w:type="dxa"/>
            </w:tcMar>
            <w:vAlign w:val="center"/>
          </w:tcPr>
          <w:p w14:paraId="26E2A15E" w14:textId="1A85E05A" w:rsidR="48FECCA8" w:rsidRPr="00951AB1" w:rsidRDefault="48FECCA8" w:rsidP="000A5389">
            <w:pPr>
              <w:spacing w:line="240" w:lineRule="auto"/>
              <w:jc w:val="right"/>
              <w:rPr>
                <w:rFonts w:eastAsia="Times New Roman" w:cs="Times New Roman"/>
                <w:b/>
                <w:sz w:val="18"/>
                <w:szCs w:val="18"/>
              </w:rPr>
            </w:pPr>
            <w:r w:rsidRPr="00951AB1">
              <w:rPr>
                <w:rFonts w:eastAsia="Times New Roman" w:cs="Times New Roman"/>
                <w:b/>
                <w:sz w:val="18"/>
                <w:szCs w:val="18"/>
              </w:rPr>
              <w:t>0</w:t>
            </w:r>
          </w:p>
        </w:tc>
      </w:tr>
      <w:tr w:rsidR="00C70C31" w:rsidRPr="00951AB1" w14:paraId="4410704A" w14:textId="77777777" w:rsidTr="00FB53B5">
        <w:trPr>
          <w:trHeight w:val="300"/>
        </w:trPr>
        <w:tc>
          <w:tcPr>
            <w:tcW w:w="595" w:type="dxa"/>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tcMar>
              <w:left w:w="70" w:type="dxa"/>
              <w:right w:w="70" w:type="dxa"/>
            </w:tcMar>
            <w:vAlign w:val="center"/>
          </w:tcPr>
          <w:p w14:paraId="652FD393" w14:textId="56CABAC6" w:rsidR="48FECCA8" w:rsidRPr="00951AB1" w:rsidRDefault="48FECCA8" w:rsidP="000A5389">
            <w:pPr>
              <w:spacing w:line="240" w:lineRule="auto"/>
              <w:rPr>
                <w:rFonts w:eastAsia="Times New Roman" w:cs="Times New Roman"/>
                <w:sz w:val="18"/>
                <w:szCs w:val="18"/>
              </w:rPr>
            </w:pPr>
            <w:r w:rsidRPr="00951AB1">
              <w:rPr>
                <w:rFonts w:eastAsia="Times New Roman" w:cs="Times New Roman"/>
                <w:sz w:val="18"/>
                <w:szCs w:val="18"/>
              </w:rPr>
              <w:t>9.1</w:t>
            </w:r>
          </w:p>
        </w:tc>
        <w:tc>
          <w:tcPr>
            <w:tcW w:w="371" w:type="dxa"/>
            <w:tcBorders>
              <w:top w:val="single" w:sz="8" w:space="0" w:color="A6A6A6" w:themeColor="background1" w:themeShade="A6"/>
              <w:left w:val="single" w:sz="8" w:space="0" w:color="A6A6A6" w:themeColor="background1" w:themeShade="A6"/>
              <w:bottom w:val="single" w:sz="8" w:space="0" w:color="A6A6A6" w:themeColor="background1" w:themeShade="A6"/>
              <w:right w:val="nil"/>
            </w:tcBorders>
            <w:tcMar>
              <w:left w:w="70" w:type="dxa"/>
              <w:right w:w="70" w:type="dxa"/>
            </w:tcMar>
            <w:vAlign w:val="center"/>
          </w:tcPr>
          <w:p w14:paraId="21643466" w14:textId="0C6ED55D" w:rsidR="48FECCA8" w:rsidRPr="00951AB1" w:rsidRDefault="48FECCA8" w:rsidP="000A5389">
            <w:pPr>
              <w:spacing w:line="240" w:lineRule="auto"/>
              <w:jc w:val="center"/>
              <w:rPr>
                <w:rFonts w:eastAsia="Times New Roman" w:cs="Times New Roman"/>
                <w:sz w:val="18"/>
                <w:szCs w:val="18"/>
              </w:rPr>
            </w:pPr>
            <w:r w:rsidRPr="00951AB1">
              <w:rPr>
                <w:rFonts w:eastAsia="Times New Roman" w:cs="Times New Roman"/>
                <w:sz w:val="18"/>
                <w:szCs w:val="18"/>
              </w:rPr>
              <w:t>Cr</w:t>
            </w:r>
          </w:p>
        </w:tc>
        <w:tc>
          <w:tcPr>
            <w:tcW w:w="2710" w:type="dxa"/>
            <w:tcBorders>
              <w:top w:val="single" w:sz="8" w:space="0" w:color="A6A6A6" w:themeColor="background1" w:themeShade="A6"/>
              <w:left w:val="single" w:sz="8" w:space="0" w:color="A6A6A6" w:themeColor="background1" w:themeShade="A6"/>
              <w:bottom w:val="single" w:sz="8" w:space="0" w:color="A6A6A6" w:themeColor="background1" w:themeShade="A6"/>
              <w:right w:val="nil"/>
            </w:tcBorders>
            <w:tcMar>
              <w:left w:w="70" w:type="dxa"/>
              <w:right w:w="70" w:type="dxa"/>
            </w:tcMar>
            <w:vAlign w:val="center"/>
          </w:tcPr>
          <w:p w14:paraId="1E5021CC" w14:textId="5FA46FD3" w:rsidR="48FECCA8" w:rsidRPr="00951AB1" w:rsidRDefault="48FECCA8" w:rsidP="000A5389">
            <w:pPr>
              <w:spacing w:line="240" w:lineRule="auto"/>
              <w:rPr>
                <w:rFonts w:eastAsia="Times New Roman" w:cs="Times New Roman"/>
                <w:sz w:val="18"/>
                <w:szCs w:val="18"/>
              </w:rPr>
            </w:pPr>
            <w:r w:rsidRPr="00951AB1">
              <w:rPr>
                <w:rFonts w:eastAsia="Times New Roman" w:cs="Times New Roman"/>
                <w:sz w:val="18"/>
                <w:szCs w:val="18"/>
              </w:rPr>
              <w:t>PASIVOSCONTINGENTES</w:t>
            </w:r>
          </w:p>
        </w:tc>
        <w:tc>
          <w:tcPr>
            <w:tcW w:w="1863" w:type="dxa"/>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tcMar>
              <w:left w:w="70" w:type="dxa"/>
              <w:right w:w="70" w:type="dxa"/>
            </w:tcMar>
            <w:vAlign w:val="center"/>
          </w:tcPr>
          <w:p w14:paraId="5B174E4F" w14:textId="000C059A" w:rsidR="48FECCA8" w:rsidRPr="00951AB1" w:rsidRDefault="48FECCA8" w:rsidP="000A5389">
            <w:pPr>
              <w:spacing w:line="240" w:lineRule="auto"/>
              <w:jc w:val="right"/>
              <w:rPr>
                <w:rFonts w:eastAsia="Times New Roman" w:cs="Times New Roman"/>
                <w:sz w:val="18"/>
                <w:szCs w:val="18"/>
              </w:rPr>
            </w:pPr>
            <w:r w:rsidRPr="00951AB1">
              <w:rPr>
                <w:rFonts w:eastAsia="Times New Roman" w:cs="Times New Roman"/>
                <w:sz w:val="18"/>
                <w:szCs w:val="18"/>
              </w:rPr>
              <w:t>35.036.138.328.715</w:t>
            </w:r>
          </w:p>
        </w:tc>
        <w:tc>
          <w:tcPr>
            <w:tcW w:w="1702" w:type="dxa"/>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tcMar>
              <w:left w:w="70" w:type="dxa"/>
              <w:right w:w="70" w:type="dxa"/>
            </w:tcMar>
            <w:vAlign w:val="center"/>
          </w:tcPr>
          <w:p w14:paraId="2FE567A2" w14:textId="3C5FF7A1" w:rsidR="48FECCA8" w:rsidRPr="00951AB1" w:rsidRDefault="48FECCA8" w:rsidP="000A5389">
            <w:pPr>
              <w:spacing w:line="240" w:lineRule="auto"/>
              <w:jc w:val="right"/>
              <w:rPr>
                <w:rFonts w:eastAsia="Times New Roman" w:cs="Times New Roman"/>
                <w:sz w:val="18"/>
                <w:szCs w:val="18"/>
              </w:rPr>
            </w:pPr>
            <w:r w:rsidRPr="00951AB1">
              <w:rPr>
                <w:rFonts w:eastAsia="Times New Roman" w:cs="Times New Roman"/>
                <w:sz w:val="18"/>
                <w:szCs w:val="18"/>
              </w:rPr>
              <w:t>34.357.746.894.032</w:t>
            </w:r>
          </w:p>
        </w:tc>
        <w:tc>
          <w:tcPr>
            <w:tcW w:w="1600" w:type="dxa"/>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tcMar>
              <w:left w:w="70" w:type="dxa"/>
              <w:right w:w="70" w:type="dxa"/>
            </w:tcMar>
            <w:vAlign w:val="center"/>
          </w:tcPr>
          <w:p w14:paraId="302E449F" w14:textId="470FDB44" w:rsidR="48FECCA8" w:rsidRPr="00951AB1" w:rsidRDefault="48FECCA8" w:rsidP="000A5389">
            <w:pPr>
              <w:spacing w:line="240" w:lineRule="auto"/>
              <w:jc w:val="right"/>
              <w:rPr>
                <w:rFonts w:eastAsia="Times New Roman" w:cs="Times New Roman"/>
                <w:sz w:val="18"/>
                <w:szCs w:val="18"/>
              </w:rPr>
            </w:pPr>
            <w:r w:rsidRPr="00951AB1">
              <w:rPr>
                <w:rFonts w:eastAsia="Times New Roman" w:cs="Times New Roman"/>
                <w:sz w:val="18"/>
                <w:szCs w:val="18"/>
              </w:rPr>
              <w:t>678.391.434.683</w:t>
            </w:r>
          </w:p>
        </w:tc>
      </w:tr>
      <w:tr w:rsidR="00C70C31" w:rsidRPr="00951AB1" w14:paraId="0E09DD99" w14:textId="77777777" w:rsidTr="00FB53B5">
        <w:trPr>
          <w:trHeight w:val="300"/>
        </w:trPr>
        <w:tc>
          <w:tcPr>
            <w:tcW w:w="595" w:type="dxa"/>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tcMar>
              <w:left w:w="70" w:type="dxa"/>
              <w:right w:w="70" w:type="dxa"/>
            </w:tcMar>
            <w:vAlign w:val="center"/>
          </w:tcPr>
          <w:p w14:paraId="4D630EBD" w14:textId="18A9D3E7" w:rsidR="48FECCA8" w:rsidRPr="00951AB1" w:rsidRDefault="48FECCA8" w:rsidP="000A5389">
            <w:pPr>
              <w:spacing w:line="240" w:lineRule="auto"/>
              <w:rPr>
                <w:rFonts w:eastAsia="Times New Roman" w:cs="Times New Roman"/>
                <w:b/>
                <w:sz w:val="18"/>
                <w:szCs w:val="18"/>
              </w:rPr>
            </w:pPr>
            <w:r w:rsidRPr="00951AB1">
              <w:rPr>
                <w:rFonts w:eastAsia="Times New Roman" w:cs="Times New Roman"/>
                <w:b/>
                <w:sz w:val="18"/>
                <w:szCs w:val="18"/>
              </w:rPr>
              <w:t>9.3</w:t>
            </w:r>
          </w:p>
        </w:tc>
        <w:tc>
          <w:tcPr>
            <w:tcW w:w="371" w:type="dxa"/>
            <w:tcBorders>
              <w:top w:val="single" w:sz="8" w:space="0" w:color="A6A6A6" w:themeColor="background1" w:themeShade="A6"/>
              <w:left w:val="single" w:sz="8" w:space="0" w:color="A6A6A6" w:themeColor="background1" w:themeShade="A6"/>
              <w:bottom w:val="single" w:sz="8" w:space="0" w:color="A6A6A6" w:themeColor="background1" w:themeShade="A6"/>
              <w:right w:val="nil"/>
            </w:tcBorders>
            <w:tcMar>
              <w:left w:w="70" w:type="dxa"/>
              <w:right w:w="70" w:type="dxa"/>
            </w:tcMar>
            <w:vAlign w:val="center"/>
          </w:tcPr>
          <w:p w14:paraId="1960FC39" w14:textId="72AA3DAF" w:rsidR="48FECCA8" w:rsidRPr="00951AB1" w:rsidRDefault="48FECCA8" w:rsidP="000A5389">
            <w:pPr>
              <w:spacing w:line="240" w:lineRule="auto"/>
              <w:jc w:val="center"/>
              <w:rPr>
                <w:rFonts w:eastAsia="Times New Roman" w:cs="Times New Roman"/>
                <w:b/>
                <w:sz w:val="18"/>
                <w:szCs w:val="18"/>
              </w:rPr>
            </w:pPr>
            <w:r w:rsidRPr="00951AB1">
              <w:rPr>
                <w:rFonts w:eastAsia="Times New Roman" w:cs="Times New Roman"/>
                <w:b/>
                <w:sz w:val="18"/>
                <w:szCs w:val="18"/>
              </w:rPr>
              <w:t>Cr</w:t>
            </w:r>
          </w:p>
        </w:tc>
        <w:tc>
          <w:tcPr>
            <w:tcW w:w="2710" w:type="dxa"/>
            <w:tcBorders>
              <w:top w:val="single" w:sz="8" w:space="0" w:color="A6A6A6" w:themeColor="background1" w:themeShade="A6"/>
              <w:left w:val="single" w:sz="8" w:space="0" w:color="A6A6A6" w:themeColor="background1" w:themeShade="A6"/>
              <w:bottom w:val="single" w:sz="8" w:space="0" w:color="A6A6A6" w:themeColor="background1" w:themeShade="A6"/>
              <w:right w:val="nil"/>
            </w:tcBorders>
            <w:tcMar>
              <w:left w:w="70" w:type="dxa"/>
              <w:right w:w="70" w:type="dxa"/>
            </w:tcMar>
            <w:vAlign w:val="center"/>
          </w:tcPr>
          <w:p w14:paraId="2B4D8F33" w14:textId="6721E488" w:rsidR="48FECCA8" w:rsidRPr="00951AB1" w:rsidRDefault="48FECCA8" w:rsidP="000A5389">
            <w:pPr>
              <w:spacing w:line="240" w:lineRule="auto"/>
              <w:rPr>
                <w:rFonts w:eastAsia="Times New Roman" w:cs="Times New Roman"/>
                <w:b/>
                <w:sz w:val="18"/>
                <w:szCs w:val="18"/>
              </w:rPr>
            </w:pPr>
            <w:r w:rsidRPr="00951AB1">
              <w:rPr>
                <w:rFonts w:eastAsia="Times New Roman" w:cs="Times New Roman"/>
                <w:b/>
                <w:sz w:val="18"/>
                <w:szCs w:val="18"/>
              </w:rPr>
              <w:t>ACREEDORASDECONTROL</w:t>
            </w:r>
          </w:p>
        </w:tc>
        <w:tc>
          <w:tcPr>
            <w:tcW w:w="1863" w:type="dxa"/>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tcMar>
              <w:left w:w="70" w:type="dxa"/>
              <w:right w:w="70" w:type="dxa"/>
            </w:tcMar>
            <w:vAlign w:val="center"/>
          </w:tcPr>
          <w:p w14:paraId="3C37E5EE" w14:textId="464CC970" w:rsidR="48FECCA8" w:rsidRPr="00951AB1" w:rsidRDefault="48FECCA8" w:rsidP="000A5389">
            <w:pPr>
              <w:spacing w:line="240" w:lineRule="auto"/>
              <w:jc w:val="right"/>
              <w:rPr>
                <w:rFonts w:eastAsia="Times New Roman" w:cs="Times New Roman"/>
                <w:b/>
                <w:sz w:val="18"/>
                <w:szCs w:val="18"/>
              </w:rPr>
            </w:pPr>
            <w:r w:rsidRPr="00951AB1">
              <w:rPr>
                <w:rFonts w:eastAsia="Times New Roman" w:cs="Times New Roman"/>
                <w:b/>
                <w:sz w:val="18"/>
                <w:szCs w:val="18"/>
              </w:rPr>
              <w:t>5.360.106.648.014</w:t>
            </w:r>
          </w:p>
        </w:tc>
        <w:tc>
          <w:tcPr>
            <w:tcW w:w="1702" w:type="dxa"/>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tcMar>
              <w:left w:w="70" w:type="dxa"/>
              <w:right w:w="70" w:type="dxa"/>
            </w:tcMar>
            <w:vAlign w:val="center"/>
          </w:tcPr>
          <w:p w14:paraId="3F9EFEB3" w14:textId="1772594D" w:rsidR="48FECCA8" w:rsidRPr="00951AB1" w:rsidRDefault="48FECCA8" w:rsidP="000A5389">
            <w:pPr>
              <w:spacing w:line="240" w:lineRule="auto"/>
              <w:jc w:val="right"/>
              <w:rPr>
                <w:rFonts w:eastAsia="Times New Roman" w:cs="Times New Roman"/>
                <w:b/>
                <w:sz w:val="18"/>
                <w:szCs w:val="18"/>
              </w:rPr>
            </w:pPr>
            <w:r w:rsidRPr="00951AB1">
              <w:rPr>
                <w:rFonts w:eastAsia="Times New Roman" w:cs="Times New Roman"/>
                <w:b/>
                <w:sz w:val="18"/>
                <w:szCs w:val="18"/>
              </w:rPr>
              <w:t>0</w:t>
            </w:r>
          </w:p>
        </w:tc>
        <w:tc>
          <w:tcPr>
            <w:tcW w:w="1600" w:type="dxa"/>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tcMar>
              <w:left w:w="70" w:type="dxa"/>
              <w:right w:w="70" w:type="dxa"/>
            </w:tcMar>
            <w:vAlign w:val="center"/>
          </w:tcPr>
          <w:p w14:paraId="0DA025CE" w14:textId="41837D12" w:rsidR="48FECCA8" w:rsidRPr="00951AB1" w:rsidRDefault="48FECCA8" w:rsidP="000A5389">
            <w:pPr>
              <w:spacing w:line="240" w:lineRule="auto"/>
              <w:jc w:val="right"/>
              <w:rPr>
                <w:rFonts w:eastAsia="Times New Roman" w:cs="Times New Roman"/>
                <w:b/>
                <w:sz w:val="18"/>
                <w:szCs w:val="18"/>
              </w:rPr>
            </w:pPr>
            <w:r w:rsidRPr="00951AB1">
              <w:rPr>
                <w:rFonts w:eastAsia="Times New Roman" w:cs="Times New Roman"/>
                <w:b/>
                <w:sz w:val="18"/>
                <w:szCs w:val="18"/>
              </w:rPr>
              <w:t>5.360.106.648.014</w:t>
            </w:r>
          </w:p>
        </w:tc>
      </w:tr>
      <w:tr w:rsidR="00C70C31" w:rsidRPr="00951AB1" w14:paraId="039DC055" w14:textId="77777777" w:rsidTr="00FB53B5">
        <w:trPr>
          <w:trHeight w:val="300"/>
        </w:trPr>
        <w:tc>
          <w:tcPr>
            <w:tcW w:w="595" w:type="dxa"/>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tcMar>
              <w:left w:w="70" w:type="dxa"/>
              <w:right w:w="70" w:type="dxa"/>
            </w:tcMar>
            <w:vAlign w:val="center"/>
          </w:tcPr>
          <w:p w14:paraId="48A54AB7" w14:textId="37ABDECE" w:rsidR="48FECCA8" w:rsidRPr="00951AB1" w:rsidRDefault="48FECCA8" w:rsidP="000A5389">
            <w:pPr>
              <w:spacing w:line="240" w:lineRule="auto"/>
              <w:rPr>
                <w:rFonts w:eastAsia="Times New Roman" w:cs="Times New Roman"/>
                <w:sz w:val="18"/>
                <w:szCs w:val="18"/>
              </w:rPr>
            </w:pPr>
            <w:r w:rsidRPr="00951AB1">
              <w:rPr>
                <w:rFonts w:eastAsia="Times New Roman" w:cs="Times New Roman"/>
                <w:sz w:val="18"/>
                <w:szCs w:val="18"/>
              </w:rPr>
              <w:t>9.3.01</w:t>
            </w:r>
          </w:p>
        </w:tc>
        <w:tc>
          <w:tcPr>
            <w:tcW w:w="371" w:type="dxa"/>
            <w:tcBorders>
              <w:top w:val="single" w:sz="8" w:space="0" w:color="A6A6A6" w:themeColor="background1" w:themeShade="A6"/>
              <w:left w:val="single" w:sz="8" w:space="0" w:color="A6A6A6" w:themeColor="background1" w:themeShade="A6"/>
              <w:bottom w:val="single" w:sz="8" w:space="0" w:color="A6A6A6" w:themeColor="background1" w:themeShade="A6"/>
              <w:right w:val="nil"/>
            </w:tcBorders>
            <w:tcMar>
              <w:left w:w="70" w:type="dxa"/>
              <w:right w:w="70" w:type="dxa"/>
            </w:tcMar>
            <w:vAlign w:val="center"/>
          </w:tcPr>
          <w:p w14:paraId="3CD09C46" w14:textId="5F03FD76" w:rsidR="48FECCA8" w:rsidRPr="00951AB1" w:rsidRDefault="48FECCA8" w:rsidP="000A5389">
            <w:pPr>
              <w:spacing w:line="240" w:lineRule="auto"/>
              <w:jc w:val="center"/>
              <w:rPr>
                <w:rFonts w:eastAsia="Times New Roman" w:cs="Times New Roman"/>
                <w:sz w:val="18"/>
                <w:szCs w:val="18"/>
              </w:rPr>
            </w:pPr>
            <w:r w:rsidRPr="00951AB1">
              <w:rPr>
                <w:rFonts w:eastAsia="Times New Roman" w:cs="Times New Roman"/>
                <w:sz w:val="18"/>
                <w:szCs w:val="18"/>
              </w:rPr>
              <w:t>Cr</w:t>
            </w:r>
          </w:p>
        </w:tc>
        <w:tc>
          <w:tcPr>
            <w:tcW w:w="2710" w:type="dxa"/>
            <w:tcBorders>
              <w:top w:val="single" w:sz="8" w:space="0" w:color="A6A6A6" w:themeColor="background1" w:themeShade="A6"/>
              <w:left w:val="single" w:sz="8" w:space="0" w:color="A6A6A6" w:themeColor="background1" w:themeShade="A6"/>
              <w:bottom w:val="single" w:sz="8" w:space="0" w:color="A6A6A6" w:themeColor="background1" w:themeShade="A6"/>
              <w:right w:val="nil"/>
            </w:tcBorders>
            <w:tcMar>
              <w:left w:w="70" w:type="dxa"/>
              <w:right w:w="70" w:type="dxa"/>
            </w:tcMar>
            <w:vAlign w:val="center"/>
          </w:tcPr>
          <w:p w14:paraId="6FCB7D96" w14:textId="6C998BB1" w:rsidR="48FECCA8" w:rsidRPr="00951AB1" w:rsidRDefault="48FECCA8" w:rsidP="000A5389">
            <w:pPr>
              <w:spacing w:line="240" w:lineRule="auto"/>
              <w:rPr>
                <w:rFonts w:eastAsia="Times New Roman" w:cs="Times New Roman"/>
                <w:sz w:val="18"/>
                <w:szCs w:val="18"/>
              </w:rPr>
            </w:pPr>
            <w:r w:rsidRPr="00951AB1">
              <w:rPr>
                <w:rFonts w:eastAsia="Times New Roman" w:cs="Times New Roman"/>
                <w:sz w:val="18"/>
                <w:szCs w:val="18"/>
              </w:rPr>
              <w:t>Bienes y derechos recibidos en garantía</w:t>
            </w:r>
          </w:p>
        </w:tc>
        <w:tc>
          <w:tcPr>
            <w:tcW w:w="1863" w:type="dxa"/>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tcMar>
              <w:left w:w="70" w:type="dxa"/>
              <w:right w:w="70" w:type="dxa"/>
            </w:tcMar>
            <w:vAlign w:val="center"/>
          </w:tcPr>
          <w:p w14:paraId="7A91F993" w14:textId="79DA1CCE" w:rsidR="48FECCA8" w:rsidRPr="00951AB1" w:rsidRDefault="001762AB" w:rsidP="000A5389">
            <w:pPr>
              <w:spacing w:line="240" w:lineRule="auto"/>
              <w:jc w:val="right"/>
              <w:rPr>
                <w:rFonts w:eastAsia="Times New Roman" w:cs="Times New Roman"/>
                <w:sz w:val="18"/>
                <w:szCs w:val="18"/>
              </w:rPr>
            </w:pPr>
            <w:r>
              <w:rPr>
                <w:rFonts w:eastAsia="Times New Roman" w:cs="Times New Roman"/>
                <w:sz w:val="18"/>
                <w:szCs w:val="18"/>
              </w:rPr>
              <w:t>0</w:t>
            </w:r>
          </w:p>
        </w:tc>
        <w:tc>
          <w:tcPr>
            <w:tcW w:w="1702" w:type="dxa"/>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tcMar>
              <w:left w:w="70" w:type="dxa"/>
              <w:right w:w="70" w:type="dxa"/>
            </w:tcMar>
            <w:vAlign w:val="center"/>
          </w:tcPr>
          <w:p w14:paraId="142215CA" w14:textId="3F8FF29D" w:rsidR="48FECCA8" w:rsidRPr="00951AB1" w:rsidRDefault="001762AB" w:rsidP="000A5389">
            <w:pPr>
              <w:spacing w:line="240" w:lineRule="auto"/>
              <w:jc w:val="right"/>
              <w:rPr>
                <w:rFonts w:eastAsia="Times New Roman" w:cs="Times New Roman"/>
                <w:sz w:val="18"/>
                <w:szCs w:val="18"/>
              </w:rPr>
            </w:pPr>
            <w:r>
              <w:rPr>
                <w:rFonts w:eastAsia="Times New Roman" w:cs="Times New Roman"/>
                <w:sz w:val="18"/>
                <w:szCs w:val="18"/>
              </w:rPr>
              <w:t>0</w:t>
            </w:r>
          </w:p>
        </w:tc>
        <w:tc>
          <w:tcPr>
            <w:tcW w:w="1600" w:type="dxa"/>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tcMar>
              <w:left w:w="70" w:type="dxa"/>
              <w:right w:w="70" w:type="dxa"/>
            </w:tcMar>
            <w:vAlign w:val="center"/>
          </w:tcPr>
          <w:p w14:paraId="1511063D" w14:textId="7E5F7C72" w:rsidR="48FECCA8" w:rsidRPr="00951AB1" w:rsidRDefault="48FECCA8" w:rsidP="000A5389">
            <w:pPr>
              <w:spacing w:line="240" w:lineRule="auto"/>
              <w:jc w:val="right"/>
              <w:rPr>
                <w:rFonts w:eastAsia="Times New Roman" w:cs="Times New Roman"/>
                <w:sz w:val="18"/>
                <w:szCs w:val="18"/>
              </w:rPr>
            </w:pPr>
            <w:r w:rsidRPr="00951AB1">
              <w:rPr>
                <w:rFonts w:eastAsia="Times New Roman" w:cs="Times New Roman"/>
                <w:sz w:val="18"/>
                <w:szCs w:val="18"/>
              </w:rPr>
              <w:t>0</w:t>
            </w:r>
          </w:p>
        </w:tc>
      </w:tr>
      <w:tr w:rsidR="00C70C31" w:rsidRPr="00951AB1" w14:paraId="2C045F95" w14:textId="77777777" w:rsidTr="00FB53B5">
        <w:trPr>
          <w:trHeight w:val="300"/>
        </w:trPr>
        <w:tc>
          <w:tcPr>
            <w:tcW w:w="595" w:type="dxa"/>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tcMar>
              <w:left w:w="70" w:type="dxa"/>
              <w:right w:w="70" w:type="dxa"/>
            </w:tcMar>
            <w:vAlign w:val="center"/>
          </w:tcPr>
          <w:p w14:paraId="7A622525" w14:textId="600B3861" w:rsidR="48FECCA8" w:rsidRPr="00951AB1" w:rsidRDefault="48FECCA8" w:rsidP="000A5389">
            <w:pPr>
              <w:spacing w:line="240" w:lineRule="auto"/>
              <w:rPr>
                <w:rFonts w:eastAsia="Times New Roman" w:cs="Times New Roman"/>
                <w:sz w:val="18"/>
                <w:szCs w:val="18"/>
              </w:rPr>
            </w:pPr>
            <w:r w:rsidRPr="00951AB1">
              <w:rPr>
                <w:rFonts w:eastAsia="Times New Roman" w:cs="Times New Roman"/>
                <w:sz w:val="18"/>
                <w:szCs w:val="18"/>
              </w:rPr>
              <w:t>9.3.90</w:t>
            </w:r>
          </w:p>
        </w:tc>
        <w:tc>
          <w:tcPr>
            <w:tcW w:w="371" w:type="dxa"/>
            <w:tcBorders>
              <w:top w:val="single" w:sz="8" w:space="0" w:color="A6A6A6" w:themeColor="background1" w:themeShade="A6"/>
              <w:left w:val="single" w:sz="8" w:space="0" w:color="A6A6A6" w:themeColor="background1" w:themeShade="A6"/>
              <w:bottom w:val="single" w:sz="8" w:space="0" w:color="A6A6A6" w:themeColor="background1" w:themeShade="A6"/>
              <w:right w:val="nil"/>
            </w:tcBorders>
            <w:tcMar>
              <w:left w:w="70" w:type="dxa"/>
              <w:right w:w="70" w:type="dxa"/>
            </w:tcMar>
            <w:vAlign w:val="center"/>
          </w:tcPr>
          <w:p w14:paraId="2B567745" w14:textId="5B2F0461" w:rsidR="48FECCA8" w:rsidRPr="00951AB1" w:rsidRDefault="48FECCA8" w:rsidP="000A5389">
            <w:pPr>
              <w:spacing w:line="240" w:lineRule="auto"/>
              <w:jc w:val="center"/>
              <w:rPr>
                <w:rFonts w:eastAsia="Times New Roman" w:cs="Times New Roman"/>
                <w:sz w:val="18"/>
                <w:szCs w:val="18"/>
              </w:rPr>
            </w:pPr>
            <w:r w:rsidRPr="00951AB1">
              <w:rPr>
                <w:rFonts w:eastAsia="Times New Roman" w:cs="Times New Roman"/>
                <w:sz w:val="18"/>
                <w:szCs w:val="18"/>
              </w:rPr>
              <w:t>Cr</w:t>
            </w:r>
          </w:p>
        </w:tc>
        <w:tc>
          <w:tcPr>
            <w:tcW w:w="2710" w:type="dxa"/>
            <w:tcBorders>
              <w:top w:val="single" w:sz="8" w:space="0" w:color="A6A6A6" w:themeColor="background1" w:themeShade="A6"/>
              <w:left w:val="single" w:sz="8" w:space="0" w:color="A6A6A6" w:themeColor="background1" w:themeShade="A6"/>
              <w:bottom w:val="single" w:sz="8" w:space="0" w:color="A6A6A6" w:themeColor="background1" w:themeShade="A6"/>
              <w:right w:val="nil"/>
            </w:tcBorders>
            <w:tcMar>
              <w:left w:w="70" w:type="dxa"/>
              <w:right w:w="70" w:type="dxa"/>
            </w:tcMar>
            <w:vAlign w:val="center"/>
          </w:tcPr>
          <w:p w14:paraId="0C13AB33" w14:textId="28CE4B7D" w:rsidR="48FECCA8" w:rsidRPr="00951AB1" w:rsidRDefault="48FECCA8" w:rsidP="000A5389">
            <w:pPr>
              <w:spacing w:line="240" w:lineRule="auto"/>
              <w:rPr>
                <w:rFonts w:eastAsia="Times New Roman" w:cs="Times New Roman"/>
                <w:sz w:val="18"/>
                <w:szCs w:val="18"/>
              </w:rPr>
            </w:pPr>
            <w:r w:rsidRPr="00951AB1">
              <w:rPr>
                <w:rFonts w:eastAsia="Times New Roman" w:cs="Times New Roman"/>
                <w:sz w:val="18"/>
                <w:szCs w:val="18"/>
              </w:rPr>
              <w:t>Otras cuentas acreedoras de control</w:t>
            </w:r>
          </w:p>
        </w:tc>
        <w:tc>
          <w:tcPr>
            <w:tcW w:w="1863" w:type="dxa"/>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tcMar>
              <w:left w:w="70" w:type="dxa"/>
              <w:right w:w="70" w:type="dxa"/>
            </w:tcMar>
            <w:vAlign w:val="center"/>
          </w:tcPr>
          <w:p w14:paraId="0AFBB3AF" w14:textId="22449D1C" w:rsidR="48FECCA8" w:rsidRPr="00951AB1" w:rsidRDefault="48FECCA8" w:rsidP="000A5389">
            <w:pPr>
              <w:spacing w:line="240" w:lineRule="auto"/>
              <w:jc w:val="right"/>
              <w:rPr>
                <w:rFonts w:eastAsia="Times New Roman" w:cs="Times New Roman"/>
                <w:sz w:val="18"/>
                <w:szCs w:val="18"/>
              </w:rPr>
            </w:pPr>
            <w:r w:rsidRPr="00951AB1">
              <w:rPr>
                <w:rFonts w:eastAsia="Times New Roman" w:cs="Times New Roman"/>
                <w:sz w:val="18"/>
                <w:szCs w:val="18"/>
              </w:rPr>
              <w:t>5.360.106.648.014</w:t>
            </w:r>
          </w:p>
        </w:tc>
        <w:tc>
          <w:tcPr>
            <w:tcW w:w="1702" w:type="dxa"/>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tcMar>
              <w:left w:w="70" w:type="dxa"/>
              <w:right w:w="70" w:type="dxa"/>
            </w:tcMar>
            <w:vAlign w:val="center"/>
          </w:tcPr>
          <w:p w14:paraId="6EC6961C" w14:textId="1708007D" w:rsidR="48FECCA8" w:rsidRPr="00951AB1" w:rsidRDefault="001762AB" w:rsidP="000A5389">
            <w:pPr>
              <w:spacing w:line="240" w:lineRule="auto"/>
              <w:jc w:val="right"/>
              <w:rPr>
                <w:rFonts w:eastAsia="Times New Roman" w:cs="Times New Roman"/>
                <w:sz w:val="18"/>
                <w:szCs w:val="18"/>
              </w:rPr>
            </w:pPr>
            <w:r>
              <w:rPr>
                <w:rFonts w:eastAsia="Times New Roman" w:cs="Times New Roman"/>
                <w:sz w:val="18"/>
                <w:szCs w:val="18"/>
              </w:rPr>
              <w:t>0</w:t>
            </w:r>
          </w:p>
        </w:tc>
        <w:tc>
          <w:tcPr>
            <w:tcW w:w="1600" w:type="dxa"/>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tcMar>
              <w:left w:w="70" w:type="dxa"/>
              <w:right w:w="70" w:type="dxa"/>
            </w:tcMar>
            <w:vAlign w:val="center"/>
          </w:tcPr>
          <w:p w14:paraId="1AAEB29F" w14:textId="615A2D66" w:rsidR="48FECCA8" w:rsidRPr="00951AB1" w:rsidRDefault="48FECCA8" w:rsidP="000A5389">
            <w:pPr>
              <w:spacing w:line="240" w:lineRule="auto"/>
              <w:jc w:val="right"/>
              <w:rPr>
                <w:rFonts w:eastAsia="Times New Roman" w:cs="Times New Roman"/>
                <w:sz w:val="18"/>
                <w:szCs w:val="18"/>
              </w:rPr>
            </w:pPr>
            <w:r w:rsidRPr="00951AB1">
              <w:rPr>
                <w:rFonts w:eastAsia="Times New Roman" w:cs="Times New Roman"/>
                <w:sz w:val="18"/>
                <w:szCs w:val="18"/>
              </w:rPr>
              <w:t>5.360.106.648.014</w:t>
            </w:r>
          </w:p>
        </w:tc>
      </w:tr>
      <w:tr w:rsidR="00C70C31" w:rsidRPr="00951AB1" w14:paraId="6B4CF98A" w14:textId="77777777" w:rsidTr="00FB53B5">
        <w:trPr>
          <w:trHeight w:val="300"/>
        </w:trPr>
        <w:tc>
          <w:tcPr>
            <w:tcW w:w="595" w:type="dxa"/>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tcMar>
              <w:left w:w="70" w:type="dxa"/>
              <w:right w:w="70" w:type="dxa"/>
            </w:tcMar>
            <w:vAlign w:val="center"/>
          </w:tcPr>
          <w:p w14:paraId="0E31B7E9" w14:textId="600055F4" w:rsidR="48FECCA8" w:rsidRPr="00951AB1" w:rsidRDefault="48FECCA8" w:rsidP="000A5389">
            <w:pPr>
              <w:spacing w:line="240" w:lineRule="auto"/>
              <w:rPr>
                <w:rFonts w:eastAsia="Times New Roman" w:cs="Times New Roman"/>
                <w:b/>
                <w:sz w:val="18"/>
                <w:szCs w:val="18"/>
              </w:rPr>
            </w:pPr>
            <w:r w:rsidRPr="00951AB1">
              <w:rPr>
                <w:rFonts w:eastAsia="Times New Roman" w:cs="Times New Roman"/>
                <w:b/>
                <w:sz w:val="18"/>
                <w:szCs w:val="18"/>
              </w:rPr>
              <w:t>9.9</w:t>
            </w:r>
          </w:p>
        </w:tc>
        <w:tc>
          <w:tcPr>
            <w:tcW w:w="371" w:type="dxa"/>
            <w:tcBorders>
              <w:top w:val="single" w:sz="8" w:space="0" w:color="A6A6A6" w:themeColor="background1" w:themeShade="A6"/>
              <w:left w:val="single" w:sz="8" w:space="0" w:color="A6A6A6" w:themeColor="background1" w:themeShade="A6"/>
              <w:bottom w:val="single" w:sz="8" w:space="0" w:color="A6A6A6" w:themeColor="background1" w:themeShade="A6"/>
              <w:right w:val="nil"/>
            </w:tcBorders>
            <w:tcMar>
              <w:left w:w="70" w:type="dxa"/>
              <w:right w:w="70" w:type="dxa"/>
            </w:tcMar>
            <w:vAlign w:val="center"/>
          </w:tcPr>
          <w:p w14:paraId="20E1C104" w14:textId="76E93D32" w:rsidR="48FECCA8" w:rsidRPr="00951AB1" w:rsidRDefault="48FECCA8" w:rsidP="000A5389">
            <w:pPr>
              <w:spacing w:line="240" w:lineRule="auto"/>
              <w:jc w:val="center"/>
              <w:rPr>
                <w:rFonts w:eastAsia="Times New Roman" w:cs="Times New Roman"/>
                <w:b/>
                <w:sz w:val="18"/>
                <w:szCs w:val="18"/>
              </w:rPr>
            </w:pPr>
            <w:r w:rsidRPr="00951AB1">
              <w:rPr>
                <w:rFonts w:eastAsia="Times New Roman" w:cs="Times New Roman"/>
                <w:b/>
                <w:sz w:val="18"/>
                <w:szCs w:val="18"/>
              </w:rPr>
              <w:t>Db</w:t>
            </w:r>
          </w:p>
        </w:tc>
        <w:tc>
          <w:tcPr>
            <w:tcW w:w="2710" w:type="dxa"/>
            <w:tcBorders>
              <w:top w:val="single" w:sz="8" w:space="0" w:color="A6A6A6" w:themeColor="background1" w:themeShade="A6"/>
              <w:left w:val="single" w:sz="8" w:space="0" w:color="A6A6A6" w:themeColor="background1" w:themeShade="A6"/>
              <w:bottom w:val="single" w:sz="8" w:space="0" w:color="A6A6A6" w:themeColor="background1" w:themeShade="A6"/>
              <w:right w:val="nil"/>
            </w:tcBorders>
            <w:tcMar>
              <w:left w:w="70" w:type="dxa"/>
              <w:right w:w="70" w:type="dxa"/>
            </w:tcMar>
            <w:vAlign w:val="center"/>
          </w:tcPr>
          <w:p w14:paraId="178D22B0" w14:textId="6ADFEDB9" w:rsidR="48FECCA8" w:rsidRPr="00951AB1" w:rsidRDefault="48FECCA8" w:rsidP="000A5389">
            <w:pPr>
              <w:spacing w:line="240" w:lineRule="auto"/>
              <w:rPr>
                <w:rFonts w:eastAsia="Times New Roman" w:cs="Times New Roman"/>
                <w:b/>
                <w:sz w:val="18"/>
                <w:szCs w:val="18"/>
              </w:rPr>
            </w:pPr>
            <w:r w:rsidRPr="00951AB1">
              <w:rPr>
                <w:rFonts w:eastAsia="Times New Roman" w:cs="Times New Roman"/>
                <w:b/>
                <w:sz w:val="18"/>
                <w:szCs w:val="18"/>
              </w:rPr>
              <w:t>ACREEDORASPORCONTRA(DB)</w:t>
            </w:r>
          </w:p>
        </w:tc>
        <w:tc>
          <w:tcPr>
            <w:tcW w:w="1863" w:type="dxa"/>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tcMar>
              <w:left w:w="70" w:type="dxa"/>
              <w:right w:w="70" w:type="dxa"/>
            </w:tcMar>
            <w:vAlign w:val="center"/>
          </w:tcPr>
          <w:p w14:paraId="5C382FB9" w14:textId="0A87ED22" w:rsidR="48FECCA8" w:rsidRPr="00951AB1" w:rsidRDefault="48FECCA8" w:rsidP="000A5389">
            <w:pPr>
              <w:spacing w:line="240" w:lineRule="auto"/>
              <w:jc w:val="right"/>
              <w:rPr>
                <w:rFonts w:eastAsia="Times New Roman" w:cs="Times New Roman"/>
                <w:b/>
                <w:sz w:val="18"/>
                <w:szCs w:val="18"/>
              </w:rPr>
            </w:pPr>
            <w:r w:rsidRPr="00951AB1">
              <w:rPr>
                <w:rFonts w:eastAsia="Times New Roman" w:cs="Times New Roman"/>
                <w:b/>
                <w:sz w:val="18"/>
                <w:szCs w:val="18"/>
              </w:rPr>
              <w:t>-40.396.244.976.729</w:t>
            </w:r>
          </w:p>
        </w:tc>
        <w:tc>
          <w:tcPr>
            <w:tcW w:w="1702" w:type="dxa"/>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tcMar>
              <w:left w:w="70" w:type="dxa"/>
              <w:right w:w="70" w:type="dxa"/>
            </w:tcMar>
            <w:vAlign w:val="center"/>
          </w:tcPr>
          <w:p w14:paraId="2B0FC4F4" w14:textId="395B564F" w:rsidR="48FECCA8" w:rsidRPr="00951AB1" w:rsidRDefault="48FECCA8" w:rsidP="000A5389">
            <w:pPr>
              <w:spacing w:line="240" w:lineRule="auto"/>
              <w:jc w:val="right"/>
              <w:rPr>
                <w:rFonts w:eastAsia="Times New Roman" w:cs="Times New Roman"/>
                <w:b/>
                <w:sz w:val="18"/>
                <w:szCs w:val="18"/>
              </w:rPr>
            </w:pPr>
            <w:r w:rsidRPr="00951AB1">
              <w:rPr>
                <w:rFonts w:eastAsia="Times New Roman" w:cs="Times New Roman"/>
                <w:b/>
                <w:sz w:val="18"/>
                <w:szCs w:val="18"/>
              </w:rPr>
              <w:t>-34.357.746.894.032</w:t>
            </w:r>
          </w:p>
        </w:tc>
        <w:tc>
          <w:tcPr>
            <w:tcW w:w="1600" w:type="dxa"/>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tcMar>
              <w:left w:w="70" w:type="dxa"/>
              <w:right w:w="70" w:type="dxa"/>
            </w:tcMar>
            <w:vAlign w:val="center"/>
          </w:tcPr>
          <w:p w14:paraId="620B6757" w14:textId="75889C3A" w:rsidR="48FECCA8" w:rsidRPr="00951AB1" w:rsidRDefault="48FECCA8" w:rsidP="000A5389">
            <w:pPr>
              <w:spacing w:line="240" w:lineRule="auto"/>
              <w:jc w:val="right"/>
              <w:rPr>
                <w:rFonts w:eastAsia="Times New Roman" w:cs="Times New Roman"/>
                <w:b/>
                <w:sz w:val="18"/>
                <w:szCs w:val="18"/>
              </w:rPr>
            </w:pPr>
            <w:r w:rsidRPr="00951AB1">
              <w:rPr>
                <w:rFonts w:eastAsia="Times New Roman" w:cs="Times New Roman"/>
                <w:b/>
                <w:sz w:val="18"/>
                <w:szCs w:val="18"/>
              </w:rPr>
              <w:t>-6.038.498.082.697</w:t>
            </w:r>
          </w:p>
        </w:tc>
      </w:tr>
      <w:tr w:rsidR="00C70C31" w:rsidRPr="00951AB1" w14:paraId="0A8B579B" w14:textId="77777777" w:rsidTr="00FB53B5">
        <w:trPr>
          <w:trHeight w:val="300"/>
        </w:trPr>
        <w:tc>
          <w:tcPr>
            <w:tcW w:w="595" w:type="dxa"/>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tcMar>
              <w:left w:w="70" w:type="dxa"/>
              <w:right w:w="70" w:type="dxa"/>
            </w:tcMar>
            <w:vAlign w:val="center"/>
          </w:tcPr>
          <w:p w14:paraId="5C54CD6C" w14:textId="7155E1AB" w:rsidR="48FECCA8" w:rsidRPr="00951AB1" w:rsidRDefault="48FECCA8" w:rsidP="000A5389">
            <w:pPr>
              <w:spacing w:line="240" w:lineRule="auto"/>
              <w:rPr>
                <w:rFonts w:eastAsia="Times New Roman" w:cs="Times New Roman"/>
                <w:sz w:val="18"/>
                <w:szCs w:val="18"/>
              </w:rPr>
            </w:pPr>
            <w:r w:rsidRPr="00951AB1">
              <w:rPr>
                <w:rFonts w:eastAsia="Times New Roman" w:cs="Times New Roman"/>
                <w:sz w:val="18"/>
                <w:szCs w:val="18"/>
              </w:rPr>
              <w:t>9.9.05</w:t>
            </w:r>
          </w:p>
        </w:tc>
        <w:tc>
          <w:tcPr>
            <w:tcW w:w="371" w:type="dxa"/>
            <w:tcBorders>
              <w:top w:val="single" w:sz="8" w:space="0" w:color="A6A6A6" w:themeColor="background1" w:themeShade="A6"/>
              <w:left w:val="single" w:sz="8" w:space="0" w:color="A6A6A6" w:themeColor="background1" w:themeShade="A6"/>
              <w:bottom w:val="single" w:sz="8" w:space="0" w:color="A6A6A6" w:themeColor="background1" w:themeShade="A6"/>
              <w:right w:val="nil"/>
            </w:tcBorders>
            <w:tcMar>
              <w:left w:w="70" w:type="dxa"/>
              <w:right w:w="70" w:type="dxa"/>
            </w:tcMar>
            <w:vAlign w:val="center"/>
          </w:tcPr>
          <w:p w14:paraId="54E8CF0E" w14:textId="7CE247CF" w:rsidR="48FECCA8" w:rsidRPr="00951AB1" w:rsidRDefault="48FECCA8" w:rsidP="000A5389">
            <w:pPr>
              <w:spacing w:line="240" w:lineRule="auto"/>
              <w:jc w:val="center"/>
              <w:rPr>
                <w:rFonts w:eastAsia="Times New Roman" w:cs="Times New Roman"/>
                <w:sz w:val="18"/>
                <w:szCs w:val="18"/>
              </w:rPr>
            </w:pPr>
            <w:r w:rsidRPr="00951AB1">
              <w:rPr>
                <w:rFonts w:eastAsia="Times New Roman" w:cs="Times New Roman"/>
                <w:sz w:val="18"/>
                <w:szCs w:val="18"/>
              </w:rPr>
              <w:t>Db</w:t>
            </w:r>
          </w:p>
        </w:tc>
        <w:tc>
          <w:tcPr>
            <w:tcW w:w="2710" w:type="dxa"/>
            <w:tcBorders>
              <w:top w:val="single" w:sz="8" w:space="0" w:color="A6A6A6" w:themeColor="background1" w:themeShade="A6"/>
              <w:left w:val="single" w:sz="8" w:space="0" w:color="A6A6A6" w:themeColor="background1" w:themeShade="A6"/>
              <w:bottom w:val="single" w:sz="8" w:space="0" w:color="A6A6A6" w:themeColor="background1" w:themeShade="A6"/>
              <w:right w:val="nil"/>
            </w:tcBorders>
            <w:tcMar>
              <w:left w:w="70" w:type="dxa"/>
              <w:right w:w="70" w:type="dxa"/>
            </w:tcMar>
            <w:vAlign w:val="center"/>
          </w:tcPr>
          <w:p w14:paraId="02D43441" w14:textId="29EABF0F" w:rsidR="48FECCA8" w:rsidRPr="00951AB1" w:rsidRDefault="48FECCA8" w:rsidP="000A5389">
            <w:pPr>
              <w:spacing w:line="240" w:lineRule="auto"/>
              <w:rPr>
                <w:rFonts w:eastAsia="Times New Roman" w:cs="Times New Roman"/>
                <w:sz w:val="18"/>
                <w:szCs w:val="18"/>
              </w:rPr>
            </w:pPr>
            <w:r w:rsidRPr="00951AB1">
              <w:rPr>
                <w:rFonts w:eastAsia="Times New Roman" w:cs="Times New Roman"/>
                <w:sz w:val="18"/>
                <w:szCs w:val="18"/>
              </w:rPr>
              <w:t xml:space="preserve">Pasivos contingentes por </w:t>
            </w:r>
            <w:r w:rsidR="00D01B1D" w:rsidRPr="00951AB1">
              <w:rPr>
                <w:rFonts w:eastAsia="Times New Roman" w:cs="Times New Roman"/>
                <w:sz w:val="18"/>
                <w:szCs w:val="18"/>
              </w:rPr>
              <w:t>el contrario</w:t>
            </w:r>
            <w:r w:rsidRPr="00951AB1">
              <w:rPr>
                <w:rFonts w:eastAsia="Times New Roman" w:cs="Times New Roman"/>
                <w:sz w:val="18"/>
                <w:szCs w:val="18"/>
              </w:rPr>
              <w:t xml:space="preserve"> (db)</w:t>
            </w:r>
          </w:p>
        </w:tc>
        <w:tc>
          <w:tcPr>
            <w:tcW w:w="1863" w:type="dxa"/>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tcMar>
              <w:left w:w="70" w:type="dxa"/>
              <w:right w:w="70" w:type="dxa"/>
            </w:tcMar>
            <w:vAlign w:val="center"/>
          </w:tcPr>
          <w:p w14:paraId="25020533" w14:textId="7DF039BC" w:rsidR="48FECCA8" w:rsidRPr="00951AB1" w:rsidRDefault="48FECCA8" w:rsidP="000A5389">
            <w:pPr>
              <w:spacing w:line="240" w:lineRule="auto"/>
              <w:jc w:val="right"/>
              <w:rPr>
                <w:rFonts w:eastAsia="Times New Roman" w:cs="Times New Roman"/>
                <w:sz w:val="18"/>
                <w:szCs w:val="18"/>
              </w:rPr>
            </w:pPr>
            <w:r w:rsidRPr="00951AB1">
              <w:rPr>
                <w:rFonts w:eastAsia="Times New Roman" w:cs="Times New Roman"/>
                <w:sz w:val="18"/>
                <w:szCs w:val="18"/>
              </w:rPr>
              <w:t>-35.036.138.328.715</w:t>
            </w:r>
          </w:p>
        </w:tc>
        <w:tc>
          <w:tcPr>
            <w:tcW w:w="1702" w:type="dxa"/>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tcMar>
              <w:left w:w="70" w:type="dxa"/>
              <w:right w:w="70" w:type="dxa"/>
            </w:tcMar>
            <w:vAlign w:val="center"/>
          </w:tcPr>
          <w:p w14:paraId="37827D6B" w14:textId="25D4E546" w:rsidR="48FECCA8" w:rsidRPr="00951AB1" w:rsidRDefault="48FECCA8" w:rsidP="000A5389">
            <w:pPr>
              <w:spacing w:line="240" w:lineRule="auto"/>
              <w:jc w:val="right"/>
              <w:rPr>
                <w:rFonts w:eastAsia="Times New Roman" w:cs="Times New Roman"/>
                <w:sz w:val="18"/>
                <w:szCs w:val="18"/>
              </w:rPr>
            </w:pPr>
            <w:r w:rsidRPr="00951AB1">
              <w:rPr>
                <w:rFonts w:eastAsia="Times New Roman" w:cs="Times New Roman"/>
                <w:sz w:val="18"/>
                <w:szCs w:val="18"/>
              </w:rPr>
              <w:t>-34.357.746.894.032</w:t>
            </w:r>
          </w:p>
        </w:tc>
        <w:tc>
          <w:tcPr>
            <w:tcW w:w="1600" w:type="dxa"/>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tcMar>
              <w:left w:w="70" w:type="dxa"/>
              <w:right w:w="70" w:type="dxa"/>
            </w:tcMar>
            <w:vAlign w:val="center"/>
          </w:tcPr>
          <w:p w14:paraId="53C493A6" w14:textId="50D49A33" w:rsidR="48FECCA8" w:rsidRPr="00951AB1" w:rsidRDefault="48FECCA8" w:rsidP="000A5389">
            <w:pPr>
              <w:spacing w:line="240" w:lineRule="auto"/>
              <w:jc w:val="right"/>
              <w:rPr>
                <w:rFonts w:eastAsia="Times New Roman" w:cs="Times New Roman"/>
                <w:sz w:val="18"/>
                <w:szCs w:val="18"/>
              </w:rPr>
            </w:pPr>
            <w:r w:rsidRPr="00951AB1">
              <w:rPr>
                <w:rFonts w:eastAsia="Times New Roman" w:cs="Times New Roman"/>
                <w:sz w:val="18"/>
                <w:szCs w:val="18"/>
              </w:rPr>
              <w:t>-678.391.434.683</w:t>
            </w:r>
          </w:p>
        </w:tc>
      </w:tr>
      <w:tr w:rsidR="00C70C31" w:rsidRPr="00951AB1" w14:paraId="1588FA36" w14:textId="77777777" w:rsidTr="00FB53B5">
        <w:trPr>
          <w:trHeight w:val="300"/>
        </w:trPr>
        <w:tc>
          <w:tcPr>
            <w:tcW w:w="595" w:type="dxa"/>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tcMar>
              <w:left w:w="70" w:type="dxa"/>
              <w:right w:w="70" w:type="dxa"/>
            </w:tcMar>
            <w:vAlign w:val="center"/>
          </w:tcPr>
          <w:p w14:paraId="10F349BB" w14:textId="4476CF4F" w:rsidR="48FECCA8" w:rsidRPr="00951AB1" w:rsidRDefault="48FECCA8" w:rsidP="000A5389">
            <w:pPr>
              <w:spacing w:line="240" w:lineRule="auto"/>
              <w:rPr>
                <w:rFonts w:eastAsia="Times New Roman" w:cs="Times New Roman"/>
                <w:sz w:val="18"/>
                <w:szCs w:val="18"/>
              </w:rPr>
            </w:pPr>
            <w:r w:rsidRPr="00951AB1">
              <w:rPr>
                <w:rFonts w:eastAsia="Times New Roman" w:cs="Times New Roman"/>
                <w:sz w:val="18"/>
                <w:szCs w:val="18"/>
              </w:rPr>
              <w:t>9.9.10</w:t>
            </w:r>
          </w:p>
        </w:tc>
        <w:tc>
          <w:tcPr>
            <w:tcW w:w="371" w:type="dxa"/>
            <w:tcBorders>
              <w:top w:val="single" w:sz="8" w:space="0" w:color="A6A6A6" w:themeColor="background1" w:themeShade="A6"/>
              <w:left w:val="single" w:sz="8" w:space="0" w:color="A6A6A6" w:themeColor="background1" w:themeShade="A6"/>
              <w:bottom w:val="single" w:sz="8" w:space="0" w:color="A6A6A6" w:themeColor="background1" w:themeShade="A6"/>
              <w:right w:val="nil"/>
            </w:tcBorders>
            <w:tcMar>
              <w:left w:w="70" w:type="dxa"/>
              <w:right w:w="70" w:type="dxa"/>
            </w:tcMar>
            <w:vAlign w:val="center"/>
          </w:tcPr>
          <w:p w14:paraId="0D32E16D" w14:textId="1CB702EA" w:rsidR="48FECCA8" w:rsidRPr="00951AB1" w:rsidRDefault="48FECCA8" w:rsidP="000A5389">
            <w:pPr>
              <w:spacing w:line="240" w:lineRule="auto"/>
              <w:jc w:val="center"/>
              <w:rPr>
                <w:rFonts w:eastAsia="Times New Roman" w:cs="Times New Roman"/>
                <w:sz w:val="18"/>
                <w:szCs w:val="18"/>
              </w:rPr>
            </w:pPr>
            <w:r w:rsidRPr="00951AB1">
              <w:rPr>
                <w:rFonts w:eastAsia="Times New Roman" w:cs="Times New Roman"/>
                <w:sz w:val="18"/>
                <w:szCs w:val="18"/>
              </w:rPr>
              <w:t>Db</w:t>
            </w:r>
          </w:p>
        </w:tc>
        <w:tc>
          <w:tcPr>
            <w:tcW w:w="2710" w:type="dxa"/>
            <w:tcBorders>
              <w:top w:val="single" w:sz="8" w:space="0" w:color="A6A6A6" w:themeColor="background1" w:themeShade="A6"/>
              <w:left w:val="single" w:sz="8" w:space="0" w:color="A6A6A6" w:themeColor="background1" w:themeShade="A6"/>
              <w:bottom w:val="single" w:sz="8" w:space="0" w:color="A6A6A6" w:themeColor="background1" w:themeShade="A6"/>
              <w:right w:val="nil"/>
            </w:tcBorders>
            <w:tcMar>
              <w:left w:w="70" w:type="dxa"/>
              <w:right w:w="70" w:type="dxa"/>
            </w:tcMar>
            <w:vAlign w:val="center"/>
          </w:tcPr>
          <w:p w14:paraId="23200555" w14:textId="010D99A1" w:rsidR="48FECCA8" w:rsidRPr="00951AB1" w:rsidRDefault="48FECCA8" w:rsidP="000A5389">
            <w:pPr>
              <w:spacing w:line="240" w:lineRule="auto"/>
              <w:rPr>
                <w:rFonts w:eastAsia="Times New Roman" w:cs="Times New Roman"/>
                <w:sz w:val="18"/>
                <w:szCs w:val="18"/>
              </w:rPr>
            </w:pPr>
            <w:r w:rsidRPr="00951AB1">
              <w:rPr>
                <w:rFonts w:eastAsia="Times New Roman" w:cs="Times New Roman"/>
                <w:sz w:val="18"/>
                <w:szCs w:val="18"/>
              </w:rPr>
              <w:t>Acreedoras fiscales por contra(db)</w:t>
            </w:r>
          </w:p>
        </w:tc>
        <w:tc>
          <w:tcPr>
            <w:tcW w:w="1863" w:type="dxa"/>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tcMar>
              <w:left w:w="70" w:type="dxa"/>
              <w:right w:w="70" w:type="dxa"/>
            </w:tcMar>
            <w:vAlign w:val="center"/>
          </w:tcPr>
          <w:p w14:paraId="03B52C98" w14:textId="105B3A8B" w:rsidR="48FECCA8" w:rsidRPr="00951AB1" w:rsidRDefault="001762AB" w:rsidP="000A5389">
            <w:pPr>
              <w:spacing w:line="240" w:lineRule="auto"/>
              <w:jc w:val="right"/>
              <w:rPr>
                <w:rFonts w:eastAsia="Times New Roman" w:cs="Times New Roman"/>
                <w:sz w:val="18"/>
                <w:szCs w:val="18"/>
              </w:rPr>
            </w:pPr>
            <w:r>
              <w:rPr>
                <w:rFonts w:eastAsia="Times New Roman" w:cs="Times New Roman"/>
                <w:sz w:val="18"/>
                <w:szCs w:val="18"/>
              </w:rPr>
              <w:t>0</w:t>
            </w:r>
          </w:p>
        </w:tc>
        <w:tc>
          <w:tcPr>
            <w:tcW w:w="1702" w:type="dxa"/>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tcMar>
              <w:left w:w="70" w:type="dxa"/>
              <w:right w:w="70" w:type="dxa"/>
            </w:tcMar>
            <w:vAlign w:val="center"/>
          </w:tcPr>
          <w:p w14:paraId="49E5B450" w14:textId="16E1A13E" w:rsidR="48FECCA8" w:rsidRPr="00951AB1" w:rsidRDefault="001762AB" w:rsidP="000A5389">
            <w:pPr>
              <w:spacing w:line="240" w:lineRule="auto"/>
              <w:jc w:val="right"/>
              <w:rPr>
                <w:rFonts w:eastAsia="Times New Roman" w:cs="Times New Roman"/>
                <w:sz w:val="18"/>
                <w:szCs w:val="18"/>
              </w:rPr>
            </w:pPr>
            <w:r>
              <w:rPr>
                <w:rFonts w:eastAsia="Times New Roman" w:cs="Times New Roman"/>
                <w:sz w:val="18"/>
                <w:szCs w:val="18"/>
              </w:rPr>
              <w:t>0</w:t>
            </w:r>
          </w:p>
        </w:tc>
        <w:tc>
          <w:tcPr>
            <w:tcW w:w="1600" w:type="dxa"/>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tcMar>
              <w:left w:w="70" w:type="dxa"/>
              <w:right w:w="70" w:type="dxa"/>
            </w:tcMar>
            <w:vAlign w:val="center"/>
          </w:tcPr>
          <w:p w14:paraId="760D55E6" w14:textId="1D1D4F17" w:rsidR="48FECCA8" w:rsidRPr="00951AB1" w:rsidRDefault="48FECCA8" w:rsidP="000A5389">
            <w:pPr>
              <w:spacing w:line="240" w:lineRule="auto"/>
              <w:jc w:val="right"/>
              <w:rPr>
                <w:rFonts w:eastAsia="Times New Roman" w:cs="Times New Roman"/>
                <w:sz w:val="18"/>
                <w:szCs w:val="18"/>
              </w:rPr>
            </w:pPr>
            <w:r w:rsidRPr="00951AB1">
              <w:rPr>
                <w:rFonts w:eastAsia="Times New Roman" w:cs="Times New Roman"/>
                <w:sz w:val="18"/>
                <w:szCs w:val="18"/>
              </w:rPr>
              <w:t>0</w:t>
            </w:r>
          </w:p>
        </w:tc>
      </w:tr>
      <w:tr w:rsidR="00C70C31" w:rsidRPr="00951AB1" w14:paraId="414FE171" w14:textId="77777777" w:rsidTr="00FB53B5">
        <w:trPr>
          <w:trHeight w:val="300"/>
        </w:trPr>
        <w:tc>
          <w:tcPr>
            <w:tcW w:w="595" w:type="dxa"/>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tcMar>
              <w:left w:w="70" w:type="dxa"/>
              <w:right w:w="70" w:type="dxa"/>
            </w:tcMar>
            <w:vAlign w:val="center"/>
          </w:tcPr>
          <w:p w14:paraId="0AD84D11" w14:textId="2C376B8F" w:rsidR="48FECCA8" w:rsidRPr="00951AB1" w:rsidRDefault="48FECCA8" w:rsidP="000A5389">
            <w:pPr>
              <w:spacing w:line="240" w:lineRule="auto"/>
              <w:rPr>
                <w:rFonts w:eastAsia="Times New Roman" w:cs="Times New Roman"/>
                <w:sz w:val="18"/>
                <w:szCs w:val="18"/>
              </w:rPr>
            </w:pPr>
            <w:r w:rsidRPr="00951AB1">
              <w:rPr>
                <w:rFonts w:eastAsia="Times New Roman" w:cs="Times New Roman"/>
                <w:sz w:val="18"/>
                <w:szCs w:val="18"/>
              </w:rPr>
              <w:t>9.9.15</w:t>
            </w:r>
          </w:p>
        </w:tc>
        <w:tc>
          <w:tcPr>
            <w:tcW w:w="371" w:type="dxa"/>
            <w:tcBorders>
              <w:top w:val="single" w:sz="8" w:space="0" w:color="A6A6A6" w:themeColor="background1" w:themeShade="A6"/>
              <w:left w:val="single" w:sz="8" w:space="0" w:color="A6A6A6" w:themeColor="background1" w:themeShade="A6"/>
              <w:bottom w:val="single" w:sz="8" w:space="0" w:color="A6A6A6" w:themeColor="background1" w:themeShade="A6"/>
              <w:right w:val="nil"/>
            </w:tcBorders>
            <w:tcMar>
              <w:left w:w="70" w:type="dxa"/>
              <w:right w:w="70" w:type="dxa"/>
            </w:tcMar>
            <w:vAlign w:val="center"/>
          </w:tcPr>
          <w:p w14:paraId="2BF8C050" w14:textId="099868A7" w:rsidR="48FECCA8" w:rsidRPr="00951AB1" w:rsidRDefault="48FECCA8" w:rsidP="000A5389">
            <w:pPr>
              <w:spacing w:line="240" w:lineRule="auto"/>
              <w:jc w:val="center"/>
              <w:rPr>
                <w:rFonts w:eastAsia="Times New Roman" w:cs="Times New Roman"/>
                <w:sz w:val="18"/>
                <w:szCs w:val="18"/>
              </w:rPr>
            </w:pPr>
            <w:r w:rsidRPr="00951AB1">
              <w:rPr>
                <w:rFonts w:eastAsia="Times New Roman" w:cs="Times New Roman"/>
                <w:sz w:val="18"/>
                <w:szCs w:val="18"/>
              </w:rPr>
              <w:t>Db</w:t>
            </w:r>
          </w:p>
        </w:tc>
        <w:tc>
          <w:tcPr>
            <w:tcW w:w="2710" w:type="dxa"/>
            <w:tcBorders>
              <w:top w:val="single" w:sz="8" w:space="0" w:color="A6A6A6" w:themeColor="background1" w:themeShade="A6"/>
              <w:left w:val="single" w:sz="8" w:space="0" w:color="A6A6A6" w:themeColor="background1" w:themeShade="A6"/>
              <w:bottom w:val="single" w:sz="8" w:space="0" w:color="A6A6A6" w:themeColor="background1" w:themeShade="A6"/>
              <w:right w:val="nil"/>
            </w:tcBorders>
            <w:tcMar>
              <w:left w:w="70" w:type="dxa"/>
              <w:right w:w="70" w:type="dxa"/>
            </w:tcMar>
            <w:vAlign w:val="center"/>
          </w:tcPr>
          <w:p w14:paraId="036A1BED" w14:textId="446F05E0" w:rsidR="48FECCA8" w:rsidRPr="00951AB1" w:rsidRDefault="48FECCA8" w:rsidP="000A5389">
            <w:pPr>
              <w:spacing w:line="240" w:lineRule="auto"/>
              <w:rPr>
                <w:rFonts w:eastAsia="Times New Roman" w:cs="Times New Roman"/>
                <w:sz w:val="18"/>
                <w:szCs w:val="18"/>
              </w:rPr>
            </w:pPr>
            <w:r w:rsidRPr="00951AB1">
              <w:rPr>
                <w:rFonts w:eastAsia="Times New Roman" w:cs="Times New Roman"/>
                <w:sz w:val="18"/>
                <w:szCs w:val="18"/>
              </w:rPr>
              <w:t>Acreedoras de control por contra (db)</w:t>
            </w:r>
          </w:p>
        </w:tc>
        <w:tc>
          <w:tcPr>
            <w:tcW w:w="1863" w:type="dxa"/>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tcMar>
              <w:left w:w="70" w:type="dxa"/>
              <w:right w:w="70" w:type="dxa"/>
            </w:tcMar>
            <w:vAlign w:val="center"/>
          </w:tcPr>
          <w:p w14:paraId="26EE9E10" w14:textId="2E32BCBB" w:rsidR="48FECCA8" w:rsidRPr="00951AB1" w:rsidRDefault="48FECCA8" w:rsidP="000A5389">
            <w:pPr>
              <w:spacing w:line="240" w:lineRule="auto"/>
              <w:jc w:val="right"/>
              <w:rPr>
                <w:rFonts w:eastAsia="Times New Roman" w:cs="Times New Roman"/>
                <w:sz w:val="18"/>
                <w:szCs w:val="18"/>
              </w:rPr>
            </w:pPr>
            <w:r w:rsidRPr="00951AB1">
              <w:rPr>
                <w:rFonts w:eastAsia="Times New Roman" w:cs="Times New Roman"/>
                <w:sz w:val="18"/>
                <w:szCs w:val="18"/>
              </w:rPr>
              <w:t>-5.360.106.648.014</w:t>
            </w:r>
          </w:p>
        </w:tc>
        <w:tc>
          <w:tcPr>
            <w:tcW w:w="1702" w:type="dxa"/>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tcMar>
              <w:left w:w="70" w:type="dxa"/>
              <w:right w:w="70" w:type="dxa"/>
            </w:tcMar>
            <w:vAlign w:val="center"/>
          </w:tcPr>
          <w:p w14:paraId="268AD6CA" w14:textId="68F38A95" w:rsidR="48FECCA8" w:rsidRPr="00951AB1" w:rsidRDefault="001762AB" w:rsidP="000A5389">
            <w:pPr>
              <w:spacing w:line="240" w:lineRule="auto"/>
              <w:jc w:val="right"/>
              <w:rPr>
                <w:rFonts w:eastAsia="Times New Roman" w:cs="Times New Roman"/>
                <w:sz w:val="18"/>
                <w:szCs w:val="18"/>
              </w:rPr>
            </w:pPr>
            <w:r>
              <w:rPr>
                <w:rFonts w:eastAsia="Times New Roman" w:cs="Times New Roman"/>
                <w:sz w:val="18"/>
                <w:szCs w:val="18"/>
              </w:rPr>
              <w:t>0</w:t>
            </w:r>
          </w:p>
        </w:tc>
        <w:tc>
          <w:tcPr>
            <w:tcW w:w="1600" w:type="dxa"/>
            <w:tcBorders>
              <w:top w:val="single" w:sz="8" w:space="0" w:color="A6A6A6" w:themeColor="background1" w:themeShade="A6"/>
              <w:left w:val="single" w:sz="8" w:space="0" w:color="A6A6A6" w:themeColor="background1" w:themeShade="A6"/>
              <w:bottom w:val="single" w:sz="8" w:space="0" w:color="A6A6A6" w:themeColor="background1" w:themeShade="A6"/>
              <w:right w:val="single" w:sz="8" w:space="0" w:color="A6A6A6" w:themeColor="background1" w:themeShade="A6"/>
            </w:tcBorders>
            <w:tcMar>
              <w:left w:w="70" w:type="dxa"/>
              <w:right w:w="70" w:type="dxa"/>
            </w:tcMar>
            <w:vAlign w:val="center"/>
          </w:tcPr>
          <w:p w14:paraId="15177B44" w14:textId="0F1D4D89" w:rsidR="48FECCA8" w:rsidRPr="00951AB1" w:rsidRDefault="48FECCA8" w:rsidP="000A5389">
            <w:pPr>
              <w:spacing w:line="240" w:lineRule="auto"/>
              <w:jc w:val="right"/>
              <w:rPr>
                <w:rFonts w:eastAsia="Times New Roman" w:cs="Times New Roman"/>
                <w:sz w:val="18"/>
                <w:szCs w:val="18"/>
              </w:rPr>
            </w:pPr>
            <w:r w:rsidRPr="00951AB1">
              <w:rPr>
                <w:rFonts w:eastAsia="Times New Roman" w:cs="Times New Roman"/>
                <w:sz w:val="18"/>
                <w:szCs w:val="18"/>
              </w:rPr>
              <w:t>-5.360.106.648.014</w:t>
            </w:r>
          </w:p>
        </w:tc>
      </w:tr>
    </w:tbl>
    <w:p w14:paraId="660DA955" w14:textId="77777777" w:rsidR="00BF1D87" w:rsidRPr="00951AB1" w:rsidRDefault="00BF1D87" w:rsidP="000A5389">
      <w:pPr>
        <w:spacing w:line="240" w:lineRule="auto"/>
        <w:rPr>
          <w:rFonts w:cs="Times New Roman"/>
          <w:sz w:val="14"/>
          <w:szCs w:val="14"/>
        </w:rPr>
      </w:pPr>
      <w:r w:rsidRPr="00951AB1">
        <w:rPr>
          <w:rFonts w:cs="Times New Roman"/>
          <w:sz w:val="14"/>
          <w:szCs w:val="14"/>
        </w:rPr>
        <w:t xml:space="preserve">Cifras expresadas en pesos </w:t>
      </w:r>
    </w:p>
    <w:p w14:paraId="661C1423" w14:textId="4DC6E1CC" w:rsidR="48FECCA8" w:rsidRPr="00951AB1" w:rsidRDefault="48FECCA8" w:rsidP="000A5389">
      <w:pPr>
        <w:spacing w:line="240" w:lineRule="auto"/>
        <w:rPr>
          <w:rFonts w:cs="Times New Roman"/>
          <w:highlight w:val="yellow"/>
        </w:rPr>
      </w:pPr>
    </w:p>
    <w:p w14:paraId="4622AF3C" w14:textId="63005B52" w:rsidR="0154B08A" w:rsidRPr="00951AB1" w:rsidRDefault="416884F1" w:rsidP="0039091F">
      <w:pPr>
        <w:spacing w:line="240" w:lineRule="auto"/>
        <w:ind w:right="191"/>
        <w:rPr>
          <w:rFonts w:cs="Times New Roman"/>
        </w:rPr>
      </w:pPr>
      <w:r w:rsidRPr="00951AB1">
        <w:rPr>
          <w:rFonts w:eastAsia="Times New Roman" w:cs="Times New Roman"/>
          <w:szCs w:val="24"/>
        </w:rPr>
        <w:t>Los Pasivos contingentes</w:t>
      </w:r>
      <w:r w:rsidRPr="00951AB1">
        <w:rPr>
          <w:rFonts w:eastAsia="Times New Roman" w:cs="Times New Roman"/>
          <w:b/>
          <w:bCs/>
          <w:szCs w:val="24"/>
        </w:rPr>
        <w:t xml:space="preserve"> </w:t>
      </w:r>
      <w:r w:rsidRPr="00951AB1">
        <w:rPr>
          <w:rFonts w:eastAsia="Times New Roman" w:cs="Times New Roman"/>
          <w:szCs w:val="24"/>
        </w:rPr>
        <w:t>del Grupo 9.1 fueron desarrollados en la Nota No. 27</w:t>
      </w:r>
      <w:r w:rsidR="0039091F">
        <w:rPr>
          <w:rFonts w:eastAsia="Times New Roman" w:cs="Times New Roman"/>
          <w:szCs w:val="24"/>
        </w:rPr>
        <w:br/>
      </w:r>
    </w:p>
    <w:p w14:paraId="1478053A" w14:textId="0F02B525" w:rsidR="0154B08A" w:rsidRDefault="416884F1" w:rsidP="0039091F">
      <w:pPr>
        <w:spacing w:line="240" w:lineRule="auto"/>
        <w:ind w:right="191"/>
        <w:rPr>
          <w:rFonts w:eastAsia="Times New Roman" w:cs="Times New Roman"/>
          <w:szCs w:val="24"/>
        </w:rPr>
      </w:pPr>
      <w:r w:rsidRPr="00951AB1">
        <w:rPr>
          <w:rFonts w:eastAsia="Times New Roman" w:cs="Times New Roman"/>
          <w:i/>
          <w:szCs w:val="24"/>
        </w:rPr>
        <w:t>Otras cuentas acreedoras de control:</w:t>
      </w:r>
      <w:r w:rsidRPr="00951AB1">
        <w:rPr>
          <w:rFonts w:eastAsia="Times New Roman" w:cs="Times New Roman"/>
          <w:szCs w:val="24"/>
        </w:rPr>
        <w:t xml:space="preserve"> Corresponde al valor de los Aportes Estatales de la vigencia 2025 para los Contratos de Concesión (Vigencias Futuras), los giros a la Fiduciaria La Previsora S.A. (Aportes al Fondo de Contingencia de las Entidades Estatales) y el saldo del Otrosí No. 2 del Convenio VE-809-2023 con Findeter. Estos recursos fueron constituidos como reserva presupuestal debido a la falta de disponibilidad de PAC, según el siguiente detalle:</w:t>
      </w:r>
    </w:p>
    <w:p w14:paraId="5E2A071F" w14:textId="77777777" w:rsidR="00953AA2" w:rsidRPr="00951AB1" w:rsidRDefault="00953AA2" w:rsidP="000A5389">
      <w:pPr>
        <w:spacing w:line="240" w:lineRule="auto"/>
        <w:ind w:right="-234"/>
        <w:rPr>
          <w:rFonts w:cs="Times New Roman"/>
        </w:rPr>
      </w:pPr>
    </w:p>
    <w:p w14:paraId="30A1B15F" w14:textId="77777777" w:rsidR="006556E0" w:rsidRPr="00951AB1" w:rsidRDefault="006556E0" w:rsidP="000A5389">
      <w:pPr>
        <w:spacing w:line="240" w:lineRule="auto"/>
        <w:jc w:val="center"/>
        <w:rPr>
          <w:rFonts w:eastAsia="Times New Roman" w:cs="Times New Roman"/>
          <w:b/>
          <w:bCs/>
          <w:color w:val="000000"/>
          <w:kern w:val="0"/>
          <w:sz w:val="16"/>
          <w:szCs w:val="16"/>
          <w:lang w:eastAsia="es-CO"/>
          <w14:ligatures w14:val="none"/>
        </w:rPr>
      </w:pPr>
    </w:p>
    <w:p w14:paraId="108D23DE" w14:textId="77777777" w:rsidR="00D01B1D" w:rsidRPr="00951AB1" w:rsidRDefault="00D01B1D" w:rsidP="000A5389">
      <w:pPr>
        <w:spacing w:line="240" w:lineRule="auto"/>
        <w:jc w:val="center"/>
        <w:rPr>
          <w:rFonts w:eastAsia="Times New Roman" w:cs="Times New Roman"/>
          <w:b/>
          <w:bCs/>
          <w:color w:val="000000"/>
          <w:kern w:val="0"/>
          <w:sz w:val="16"/>
          <w:szCs w:val="16"/>
          <w:lang w:eastAsia="es-CO"/>
          <w14:ligatures w14:val="none"/>
        </w:rPr>
        <w:sectPr w:rsidR="00D01B1D" w:rsidRPr="00951AB1" w:rsidSect="00757B36">
          <w:headerReference w:type="default" r:id="rId10"/>
          <w:footerReference w:type="default" r:id="rId11"/>
          <w:pgSz w:w="12240" w:h="15840"/>
          <w:pgMar w:top="2127" w:right="1701" w:bottom="1417" w:left="1701" w:header="708" w:footer="708" w:gutter="0"/>
          <w:cols w:space="708"/>
          <w:docGrid w:linePitch="360"/>
        </w:sectPr>
      </w:pPr>
    </w:p>
    <w:tbl>
      <w:tblPr>
        <w:tblW w:w="5000" w:type="pct"/>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CellMar>
          <w:left w:w="70" w:type="dxa"/>
          <w:right w:w="70" w:type="dxa"/>
        </w:tblCellMar>
        <w:tblLook w:val="04A0" w:firstRow="1" w:lastRow="0" w:firstColumn="1" w:lastColumn="0" w:noHBand="0" w:noVBand="1"/>
      </w:tblPr>
      <w:tblGrid>
        <w:gridCol w:w="2552"/>
        <w:gridCol w:w="1357"/>
        <w:gridCol w:w="146"/>
      </w:tblGrid>
      <w:tr w:rsidR="006556E0" w:rsidRPr="00951AB1" w14:paraId="5332AA5C" w14:textId="77777777" w:rsidTr="006F52CF">
        <w:trPr>
          <w:gridAfter w:val="1"/>
          <w:wAfter w:w="178" w:type="pct"/>
          <w:trHeight w:val="293"/>
          <w:tblHeader/>
        </w:trPr>
        <w:tc>
          <w:tcPr>
            <w:tcW w:w="3148" w:type="pct"/>
            <w:shd w:val="clear" w:color="000000" w:fill="FFFFFF"/>
            <w:vAlign w:val="center"/>
            <w:hideMark/>
          </w:tcPr>
          <w:p w14:paraId="6EFBC79B" w14:textId="77777777" w:rsidR="006556E0" w:rsidRPr="00951AB1" w:rsidRDefault="006556E0" w:rsidP="000A5389">
            <w:pPr>
              <w:spacing w:line="240" w:lineRule="auto"/>
              <w:jc w:val="center"/>
              <w:rPr>
                <w:rFonts w:eastAsia="Times New Roman" w:cs="Times New Roman"/>
                <w:b/>
                <w:bCs/>
                <w:color w:val="000000"/>
                <w:kern w:val="0"/>
                <w:sz w:val="16"/>
                <w:szCs w:val="16"/>
                <w:lang w:eastAsia="es-CO"/>
                <w14:ligatures w14:val="none"/>
              </w:rPr>
            </w:pPr>
            <w:r w:rsidRPr="00951AB1">
              <w:rPr>
                <w:rFonts w:eastAsia="Times New Roman" w:cs="Times New Roman"/>
                <w:b/>
                <w:bCs/>
                <w:color w:val="000000"/>
                <w:kern w:val="0"/>
                <w:sz w:val="16"/>
                <w:szCs w:val="16"/>
                <w:lang w:eastAsia="es-CO"/>
                <w14:ligatures w14:val="none"/>
              </w:rPr>
              <w:t>Nombre Razón Social</w:t>
            </w:r>
          </w:p>
        </w:tc>
        <w:tc>
          <w:tcPr>
            <w:tcW w:w="1674" w:type="pct"/>
            <w:shd w:val="clear" w:color="000000" w:fill="FFFFFF"/>
            <w:vAlign w:val="center"/>
            <w:hideMark/>
          </w:tcPr>
          <w:p w14:paraId="4C256F7B" w14:textId="77777777" w:rsidR="006556E0" w:rsidRPr="00951AB1" w:rsidRDefault="006556E0" w:rsidP="000A5389">
            <w:pPr>
              <w:spacing w:line="240" w:lineRule="auto"/>
              <w:jc w:val="center"/>
              <w:rPr>
                <w:rFonts w:eastAsia="Times New Roman" w:cs="Times New Roman"/>
                <w:b/>
                <w:bCs/>
                <w:color w:val="000000"/>
                <w:kern w:val="0"/>
                <w:sz w:val="16"/>
                <w:szCs w:val="16"/>
                <w:lang w:eastAsia="es-CO"/>
                <w14:ligatures w14:val="none"/>
              </w:rPr>
            </w:pPr>
            <w:r w:rsidRPr="00951AB1">
              <w:rPr>
                <w:rFonts w:eastAsia="Times New Roman" w:cs="Times New Roman"/>
                <w:b/>
                <w:bCs/>
                <w:color w:val="000000"/>
                <w:kern w:val="0"/>
                <w:sz w:val="16"/>
                <w:szCs w:val="16"/>
                <w:lang w:eastAsia="es-CO"/>
                <w14:ligatures w14:val="none"/>
              </w:rPr>
              <w:t xml:space="preserve"> Valor </w:t>
            </w:r>
          </w:p>
        </w:tc>
      </w:tr>
      <w:tr w:rsidR="006556E0" w:rsidRPr="00951AB1" w14:paraId="0422FD5E" w14:textId="77777777" w:rsidTr="006F52CF">
        <w:trPr>
          <w:gridAfter w:val="1"/>
          <w:wAfter w:w="178" w:type="pct"/>
          <w:trHeight w:val="293"/>
        </w:trPr>
        <w:tc>
          <w:tcPr>
            <w:tcW w:w="3148" w:type="pct"/>
            <w:vAlign w:val="center"/>
            <w:hideMark/>
          </w:tcPr>
          <w:p w14:paraId="59BE5BBE" w14:textId="77777777" w:rsidR="006556E0" w:rsidRPr="00951AB1" w:rsidRDefault="006556E0" w:rsidP="000A5389">
            <w:pPr>
              <w:spacing w:line="240" w:lineRule="auto"/>
              <w:rPr>
                <w:rFonts w:eastAsia="Times New Roman" w:cs="Times New Roman"/>
                <w:color w:val="000000"/>
                <w:kern w:val="0"/>
                <w:sz w:val="16"/>
                <w:szCs w:val="16"/>
                <w:lang w:eastAsia="es-CO"/>
                <w14:ligatures w14:val="none"/>
              </w:rPr>
            </w:pPr>
            <w:r w:rsidRPr="00951AB1">
              <w:rPr>
                <w:rFonts w:eastAsia="Times New Roman" w:cs="Times New Roman"/>
                <w:color w:val="000000"/>
                <w:kern w:val="0"/>
                <w:sz w:val="16"/>
                <w:szCs w:val="16"/>
                <w:lang w:eastAsia="es-CO"/>
                <w14:ligatures w14:val="none"/>
              </w:rPr>
              <w:t>Unión Vial Camino Del Pacífico S.A.S.</w:t>
            </w:r>
          </w:p>
        </w:tc>
        <w:tc>
          <w:tcPr>
            <w:tcW w:w="1674" w:type="pct"/>
            <w:vAlign w:val="center"/>
            <w:hideMark/>
          </w:tcPr>
          <w:p w14:paraId="76D27D6F" w14:textId="77777777" w:rsidR="006556E0" w:rsidRPr="00951AB1" w:rsidRDefault="006556E0" w:rsidP="000A5389">
            <w:pPr>
              <w:spacing w:line="240" w:lineRule="auto"/>
              <w:jc w:val="right"/>
              <w:rPr>
                <w:rFonts w:eastAsia="Times New Roman" w:cs="Times New Roman"/>
                <w:color w:val="000000"/>
                <w:kern w:val="0"/>
                <w:sz w:val="16"/>
                <w:szCs w:val="16"/>
                <w:lang w:eastAsia="es-CO"/>
                <w14:ligatures w14:val="none"/>
              </w:rPr>
            </w:pPr>
            <w:r w:rsidRPr="00951AB1">
              <w:rPr>
                <w:rFonts w:eastAsia="Times New Roman" w:cs="Times New Roman"/>
                <w:color w:val="000000"/>
                <w:kern w:val="0"/>
                <w:sz w:val="16"/>
                <w:szCs w:val="16"/>
                <w:lang w:eastAsia="es-CO"/>
                <w14:ligatures w14:val="none"/>
              </w:rPr>
              <w:t>395.927.154.984</w:t>
            </w:r>
          </w:p>
        </w:tc>
      </w:tr>
      <w:tr w:rsidR="006556E0" w:rsidRPr="00951AB1" w14:paraId="0D588AB3" w14:textId="77777777" w:rsidTr="006F52CF">
        <w:trPr>
          <w:gridAfter w:val="1"/>
          <w:wAfter w:w="178" w:type="pct"/>
          <w:trHeight w:val="293"/>
        </w:trPr>
        <w:tc>
          <w:tcPr>
            <w:tcW w:w="3148" w:type="pct"/>
            <w:vAlign w:val="center"/>
            <w:hideMark/>
          </w:tcPr>
          <w:p w14:paraId="4D5EC44F" w14:textId="77777777" w:rsidR="006556E0" w:rsidRPr="00951AB1" w:rsidRDefault="006556E0" w:rsidP="000A5389">
            <w:pPr>
              <w:spacing w:line="240" w:lineRule="auto"/>
              <w:rPr>
                <w:rFonts w:eastAsia="Times New Roman" w:cs="Times New Roman"/>
                <w:color w:val="000000"/>
                <w:kern w:val="0"/>
                <w:sz w:val="16"/>
                <w:szCs w:val="16"/>
                <w:lang w:eastAsia="es-CO"/>
                <w14:ligatures w14:val="none"/>
              </w:rPr>
            </w:pPr>
            <w:r w:rsidRPr="00951AB1">
              <w:rPr>
                <w:rFonts w:eastAsia="Times New Roman" w:cs="Times New Roman"/>
                <w:color w:val="000000"/>
                <w:kern w:val="0"/>
                <w:sz w:val="16"/>
                <w:szCs w:val="16"/>
                <w:lang w:eastAsia="es-CO"/>
                <w14:ligatures w14:val="none"/>
              </w:rPr>
              <w:t>Desarrollo Vial Al Mar S.A.S</w:t>
            </w:r>
          </w:p>
        </w:tc>
        <w:tc>
          <w:tcPr>
            <w:tcW w:w="1674" w:type="pct"/>
            <w:vAlign w:val="center"/>
            <w:hideMark/>
          </w:tcPr>
          <w:p w14:paraId="479DD747" w14:textId="77777777" w:rsidR="006556E0" w:rsidRPr="00951AB1" w:rsidRDefault="006556E0" w:rsidP="000A5389">
            <w:pPr>
              <w:spacing w:line="240" w:lineRule="auto"/>
              <w:jc w:val="right"/>
              <w:rPr>
                <w:rFonts w:eastAsia="Times New Roman" w:cs="Times New Roman"/>
                <w:color w:val="000000"/>
                <w:kern w:val="0"/>
                <w:sz w:val="16"/>
                <w:szCs w:val="16"/>
                <w:lang w:eastAsia="es-CO"/>
                <w14:ligatures w14:val="none"/>
              </w:rPr>
            </w:pPr>
            <w:r w:rsidRPr="00951AB1">
              <w:rPr>
                <w:rFonts w:eastAsia="Times New Roman" w:cs="Times New Roman"/>
                <w:color w:val="000000"/>
                <w:kern w:val="0"/>
                <w:sz w:val="16"/>
                <w:szCs w:val="16"/>
                <w:lang w:eastAsia="es-CO"/>
                <w14:ligatures w14:val="none"/>
              </w:rPr>
              <w:t>326.040.777.592</w:t>
            </w:r>
          </w:p>
        </w:tc>
      </w:tr>
      <w:tr w:rsidR="006556E0" w:rsidRPr="00951AB1" w14:paraId="503A810D" w14:textId="77777777" w:rsidTr="006F52CF">
        <w:trPr>
          <w:gridAfter w:val="1"/>
          <w:wAfter w:w="178" w:type="pct"/>
          <w:trHeight w:val="293"/>
        </w:trPr>
        <w:tc>
          <w:tcPr>
            <w:tcW w:w="3148" w:type="pct"/>
            <w:vAlign w:val="center"/>
            <w:hideMark/>
          </w:tcPr>
          <w:p w14:paraId="18CDA895" w14:textId="77777777" w:rsidR="006556E0" w:rsidRPr="00951AB1" w:rsidRDefault="006556E0" w:rsidP="000A5389">
            <w:pPr>
              <w:spacing w:line="240" w:lineRule="auto"/>
              <w:rPr>
                <w:rFonts w:eastAsia="Times New Roman" w:cs="Times New Roman"/>
                <w:color w:val="000000"/>
                <w:kern w:val="0"/>
                <w:sz w:val="16"/>
                <w:szCs w:val="16"/>
                <w:lang w:eastAsia="es-CO"/>
                <w14:ligatures w14:val="none"/>
              </w:rPr>
            </w:pPr>
            <w:r w:rsidRPr="00951AB1">
              <w:rPr>
                <w:rFonts w:eastAsia="Times New Roman" w:cs="Times New Roman"/>
                <w:color w:val="000000"/>
                <w:kern w:val="0"/>
                <w:sz w:val="16"/>
                <w:szCs w:val="16"/>
                <w:lang w:eastAsia="es-CO"/>
                <w14:ligatures w14:val="none"/>
              </w:rPr>
              <w:t>Autopista Magdalena Medio SAS</w:t>
            </w:r>
          </w:p>
        </w:tc>
        <w:tc>
          <w:tcPr>
            <w:tcW w:w="1674" w:type="pct"/>
            <w:vAlign w:val="center"/>
            <w:hideMark/>
          </w:tcPr>
          <w:p w14:paraId="24C90E68" w14:textId="77777777" w:rsidR="006556E0" w:rsidRPr="00951AB1" w:rsidRDefault="006556E0" w:rsidP="000A5389">
            <w:pPr>
              <w:spacing w:line="240" w:lineRule="auto"/>
              <w:jc w:val="right"/>
              <w:rPr>
                <w:rFonts w:eastAsia="Times New Roman" w:cs="Times New Roman"/>
                <w:color w:val="000000"/>
                <w:kern w:val="0"/>
                <w:sz w:val="16"/>
                <w:szCs w:val="16"/>
                <w:lang w:eastAsia="es-CO"/>
                <w14:ligatures w14:val="none"/>
              </w:rPr>
            </w:pPr>
            <w:r w:rsidRPr="00951AB1">
              <w:rPr>
                <w:rFonts w:eastAsia="Times New Roman" w:cs="Times New Roman"/>
                <w:color w:val="000000"/>
                <w:kern w:val="0"/>
                <w:sz w:val="16"/>
                <w:szCs w:val="16"/>
                <w:lang w:eastAsia="es-CO"/>
                <w14:ligatures w14:val="none"/>
              </w:rPr>
              <w:t>317.458.551.211</w:t>
            </w:r>
          </w:p>
        </w:tc>
      </w:tr>
      <w:tr w:rsidR="006556E0" w:rsidRPr="00951AB1" w14:paraId="6C93F356" w14:textId="77777777" w:rsidTr="006F52CF">
        <w:trPr>
          <w:gridAfter w:val="1"/>
          <w:wAfter w:w="178" w:type="pct"/>
          <w:trHeight w:val="293"/>
        </w:trPr>
        <w:tc>
          <w:tcPr>
            <w:tcW w:w="3148" w:type="pct"/>
            <w:vAlign w:val="center"/>
            <w:hideMark/>
          </w:tcPr>
          <w:p w14:paraId="6F759E52" w14:textId="77777777" w:rsidR="006556E0" w:rsidRPr="00951AB1" w:rsidRDefault="006556E0" w:rsidP="000A5389">
            <w:pPr>
              <w:spacing w:line="240" w:lineRule="auto"/>
              <w:rPr>
                <w:rFonts w:eastAsia="Times New Roman" w:cs="Times New Roman"/>
                <w:color w:val="000000"/>
                <w:kern w:val="0"/>
                <w:sz w:val="16"/>
                <w:szCs w:val="16"/>
                <w:lang w:eastAsia="es-CO"/>
                <w14:ligatures w14:val="none"/>
              </w:rPr>
            </w:pPr>
            <w:r w:rsidRPr="00951AB1">
              <w:rPr>
                <w:rFonts w:eastAsia="Times New Roman" w:cs="Times New Roman"/>
                <w:color w:val="000000"/>
                <w:kern w:val="0"/>
                <w:sz w:val="16"/>
                <w:szCs w:val="16"/>
                <w:lang w:eastAsia="es-CO"/>
                <w14:ligatures w14:val="none"/>
              </w:rPr>
              <w:t>Autopistas Urabá SAS</w:t>
            </w:r>
          </w:p>
        </w:tc>
        <w:tc>
          <w:tcPr>
            <w:tcW w:w="1674" w:type="pct"/>
            <w:vAlign w:val="center"/>
            <w:hideMark/>
          </w:tcPr>
          <w:p w14:paraId="0E479E63" w14:textId="77777777" w:rsidR="006556E0" w:rsidRPr="00951AB1" w:rsidRDefault="006556E0" w:rsidP="000A5389">
            <w:pPr>
              <w:spacing w:line="240" w:lineRule="auto"/>
              <w:jc w:val="right"/>
              <w:rPr>
                <w:rFonts w:eastAsia="Times New Roman" w:cs="Times New Roman"/>
                <w:color w:val="000000"/>
                <w:kern w:val="0"/>
                <w:sz w:val="16"/>
                <w:szCs w:val="16"/>
                <w:lang w:eastAsia="es-CO"/>
                <w14:ligatures w14:val="none"/>
              </w:rPr>
            </w:pPr>
            <w:r w:rsidRPr="00951AB1">
              <w:rPr>
                <w:rFonts w:eastAsia="Times New Roman" w:cs="Times New Roman"/>
                <w:color w:val="000000"/>
                <w:kern w:val="0"/>
                <w:sz w:val="16"/>
                <w:szCs w:val="16"/>
                <w:lang w:eastAsia="es-CO"/>
                <w14:ligatures w14:val="none"/>
              </w:rPr>
              <w:t>316.731.955.706</w:t>
            </w:r>
          </w:p>
        </w:tc>
      </w:tr>
      <w:tr w:rsidR="006556E0" w:rsidRPr="00951AB1" w14:paraId="59CA3B18" w14:textId="77777777" w:rsidTr="006F52CF">
        <w:trPr>
          <w:gridAfter w:val="1"/>
          <w:wAfter w:w="178" w:type="pct"/>
          <w:trHeight w:val="293"/>
        </w:trPr>
        <w:tc>
          <w:tcPr>
            <w:tcW w:w="3148" w:type="pct"/>
            <w:vAlign w:val="center"/>
            <w:hideMark/>
          </w:tcPr>
          <w:p w14:paraId="02EB0D00" w14:textId="77777777" w:rsidR="006556E0" w:rsidRPr="00951AB1" w:rsidRDefault="006556E0" w:rsidP="000A5389">
            <w:pPr>
              <w:spacing w:line="240" w:lineRule="auto"/>
              <w:rPr>
                <w:rFonts w:eastAsia="Times New Roman" w:cs="Times New Roman"/>
                <w:color w:val="000000"/>
                <w:kern w:val="0"/>
                <w:sz w:val="16"/>
                <w:szCs w:val="16"/>
                <w:lang w:eastAsia="es-CO"/>
                <w14:ligatures w14:val="none"/>
              </w:rPr>
            </w:pPr>
            <w:r w:rsidRPr="00951AB1">
              <w:rPr>
                <w:rFonts w:eastAsia="Times New Roman" w:cs="Times New Roman"/>
                <w:color w:val="000000"/>
                <w:kern w:val="0"/>
                <w:sz w:val="16"/>
                <w:szCs w:val="16"/>
                <w:lang w:eastAsia="es-CO"/>
                <w14:ligatures w14:val="none"/>
              </w:rPr>
              <w:t xml:space="preserve">Concesionaria Vial Del Pacifico S.A.S </w:t>
            </w:r>
          </w:p>
        </w:tc>
        <w:tc>
          <w:tcPr>
            <w:tcW w:w="1674" w:type="pct"/>
            <w:vAlign w:val="center"/>
            <w:hideMark/>
          </w:tcPr>
          <w:p w14:paraId="0E5E7C10" w14:textId="77777777" w:rsidR="006556E0" w:rsidRPr="00951AB1" w:rsidRDefault="006556E0" w:rsidP="000A5389">
            <w:pPr>
              <w:spacing w:line="240" w:lineRule="auto"/>
              <w:jc w:val="right"/>
              <w:rPr>
                <w:rFonts w:eastAsia="Times New Roman" w:cs="Times New Roman"/>
                <w:color w:val="000000"/>
                <w:kern w:val="0"/>
                <w:sz w:val="16"/>
                <w:szCs w:val="16"/>
                <w:lang w:eastAsia="es-CO"/>
                <w14:ligatures w14:val="none"/>
              </w:rPr>
            </w:pPr>
            <w:r w:rsidRPr="00951AB1">
              <w:rPr>
                <w:rFonts w:eastAsia="Times New Roman" w:cs="Times New Roman"/>
                <w:color w:val="000000"/>
                <w:kern w:val="0"/>
                <w:sz w:val="16"/>
                <w:szCs w:val="16"/>
                <w:lang w:eastAsia="es-CO"/>
                <w14:ligatures w14:val="none"/>
              </w:rPr>
              <w:t>254.639.068.714</w:t>
            </w:r>
          </w:p>
        </w:tc>
      </w:tr>
      <w:tr w:rsidR="006556E0" w:rsidRPr="00951AB1" w14:paraId="366FED7C" w14:textId="77777777" w:rsidTr="006F52CF">
        <w:trPr>
          <w:gridAfter w:val="1"/>
          <w:wAfter w:w="178" w:type="pct"/>
          <w:trHeight w:val="293"/>
        </w:trPr>
        <w:tc>
          <w:tcPr>
            <w:tcW w:w="3148" w:type="pct"/>
            <w:vAlign w:val="center"/>
            <w:hideMark/>
          </w:tcPr>
          <w:p w14:paraId="3E49EAED" w14:textId="77777777" w:rsidR="006556E0" w:rsidRPr="00951AB1" w:rsidRDefault="006556E0" w:rsidP="000A5389">
            <w:pPr>
              <w:spacing w:line="240" w:lineRule="auto"/>
              <w:rPr>
                <w:rFonts w:eastAsia="Times New Roman" w:cs="Times New Roman"/>
                <w:color w:val="000000"/>
                <w:kern w:val="0"/>
                <w:sz w:val="16"/>
                <w:szCs w:val="16"/>
                <w:lang w:eastAsia="es-CO"/>
                <w14:ligatures w14:val="none"/>
              </w:rPr>
            </w:pPr>
            <w:r w:rsidRPr="00951AB1">
              <w:rPr>
                <w:rFonts w:eastAsia="Times New Roman" w:cs="Times New Roman"/>
                <w:color w:val="000000"/>
                <w:kern w:val="0"/>
                <w:sz w:val="16"/>
                <w:szCs w:val="16"/>
                <w:lang w:eastAsia="es-CO"/>
                <w14:ligatures w14:val="none"/>
              </w:rPr>
              <w:t>Concesionaria Vial Unión Del Sur S.A.S.</w:t>
            </w:r>
          </w:p>
        </w:tc>
        <w:tc>
          <w:tcPr>
            <w:tcW w:w="1674" w:type="pct"/>
            <w:vAlign w:val="center"/>
            <w:hideMark/>
          </w:tcPr>
          <w:p w14:paraId="34C64C75" w14:textId="77777777" w:rsidR="006556E0" w:rsidRPr="00951AB1" w:rsidRDefault="006556E0" w:rsidP="000A5389">
            <w:pPr>
              <w:spacing w:line="240" w:lineRule="auto"/>
              <w:jc w:val="right"/>
              <w:rPr>
                <w:rFonts w:eastAsia="Times New Roman" w:cs="Times New Roman"/>
                <w:color w:val="000000"/>
                <w:kern w:val="0"/>
                <w:sz w:val="16"/>
                <w:szCs w:val="16"/>
                <w:lang w:eastAsia="es-CO"/>
                <w14:ligatures w14:val="none"/>
              </w:rPr>
            </w:pPr>
            <w:r w:rsidRPr="00951AB1">
              <w:rPr>
                <w:rFonts w:eastAsia="Times New Roman" w:cs="Times New Roman"/>
                <w:color w:val="000000"/>
                <w:kern w:val="0"/>
                <w:sz w:val="16"/>
                <w:szCs w:val="16"/>
                <w:lang w:eastAsia="es-CO"/>
                <w14:ligatures w14:val="none"/>
              </w:rPr>
              <w:t>244.104.051.564</w:t>
            </w:r>
          </w:p>
        </w:tc>
      </w:tr>
      <w:tr w:rsidR="006556E0" w:rsidRPr="00951AB1" w14:paraId="418775B2" w14:textId="77777777" w:rsidTr="006F52CF">
        <w:trPr>
          <w:gridAfter w:val="1"/>
          <w:wAfter w:w="178" w:type="pct"/>
          <w:trHeight w:val="293"/>
        </w:trPr>
        <w:tc>
          <w:tcPr>
            <w:tcW w:w="3148" w:type="pct"/>
            <w:vAlign w:val="center"/>
            <w:hideMark/>
          </w:tcPr>
          <w:p w14:paraId="7EF684BC" w14:textId="77777777" w:rsidR="006556E0" w:rsidRPr="00951AB1" w:rsidRDefault="006556E0" w:rsidP="000A5389">
            <w:pPr>
              <w:spacing w:line="240" w:lineRule="auto"/>
              <w:rPr>
                <w:rFonts w:eastAsia="Times New Roman" w:cs="Times New Roman"/>
                <w:color w:val="000000"/>
                <w:kern w:val="0"/>
                <w:sz w:val="16"/>
                <w:szCs w:val="16"/>
                <w:lang w:eastAsia="es-CO"/>
                <w14:ligatures w14:val="none"/>
              </w:rPr>
            </w:pPr>
            <w:r w:rsidRPr="00951AB1">
              <w:rPr>
                <w:rFonts w:eastAsia="Times New Roman" w:cs="Times New Roman"/>
                <w:color w:val="000000"/>
                <w:kern w:val="0"/>
                <w:sz w:val="16"/>
                <w:szCs w:val="16"/>
                <w:lang w:eastAsia="es-CO"/>
                <w14:ligatures w14:val="none"/>
              </w:rPr>
              <w:t>Concesionaria Ruta Del Cacao S.A.S.</w:t>
            </w:r>
          </w:p>
        </w:tc>
        <w:tc>
          <w:tcPr>
            <w:tcW w:w="1674" w:type="pct"/>
            <w:vAlign w:val="center"/>
            <w:hideMark/>
          </w:tcPr>
          <w:p w14:paraId="524F2691" w14:textId="77777777" w:rsidR="006556E0" w:rsidRPr="00951AB1" w:rsidRDefault="006556E0" w:rsidP="000A5389">
            <w:pPr>
              <w:spacing w:line="240" w:lineRule="auto"/>
              <w:jc w:val="right"/>
              <w:rPr>
                <w:rFonts w:eastAsia="Times New Roman" w:cs="Times New Roman"/>
                <w:color w:val="000000"/>
                <w:kern w:val="0"/>
                <w:sz w:val="16"/>
                <w:szCs w:val="16"/>
                <w:lang w:eastAsia="es-CO"/>
                <w14:ligatures w14:val="none"/>
              </w:rPr>
            </w:pPr>
            <w:r w:rsidRPr="00951AB1">
              <w:rPr>
                <w:rFonts w:eastAsia="Times New Roman" w:cs="Times New Roman"/>
                <w:color w:val="000000"/>
                <w:kern w:val="0"/>
                <w:sz w:val="16"/>
                <w:szCs w:val="16"/>
                <w:lang w:eastAsia="es-CO"/>
                <w14:ligatures w14:val="none"/>
              </w:rPr>
              <w:t>238.710.063.474</w:t>
            </w:r>
          </w:p>
        </w:tc>
      </w:tr>
      <w:tr w:rsidR="006556E0" w:rsidRPr="00951AB1" w14:paraId="11E57C17" w14:textId="77777777" w:rsidTr="006F52CF">
        <w:trPr>
          <w:gridAfter w:val="1"/>
          <w:wAfter w:w="178" w:type="pct"/>
          <w:trHeight w:val="293"/>
        </w:trPr>
        <w:tc>
          <w:tcPr>
            <w:tcW w:w="3148" w:type="pct"/>
            <w:vAlign w:val="center"/>
            <w:hideMark/>
          </w:tcPr>
          <w:p w14:paraId="04BB1286" w14:textId="77777777" w:rsidR="006556E0" w:rsidRPr="00951AB1" w:rsidRDefault="006556E0" w:rsidP="000A5389">
            <w:pPr>
              <w:spacing w:line="240" w:lineRule="auto"/>
              <w:rPr>
                <w:rFonts w:eastAsia="Times New Roman" w:cs="Times New Roman"/>
                <w:color w:val="000000"/>
                <w:kern w:val="0"/>
                <w:sz w:val="16"/>
                <w:szCs w:val="16"/>
                <w:lang w:eastAsia="es-CO"/>
                <w14:ligatures w14:val="none"/>
              </w:rPr>
            </w:pPr>
            <w:r w:rsidRPr="00951AB1">
              <w:rPr>
                <w:rFonts w:eastAsia="Times New Roman" w:cs="Times New Roman"/>
                <w:color w:val="000000"/>
                <w:kern w:val="0"/>
                <w:sz w:val="16"/>
                <w:szCs w:val="16"/>
                <w:lang w:eastAsia="es-CO"/>
                <w14:ligatures w14:val="none"/>
              </w:rPr>
              <w:t>Concesión Unión Vial Rio Pamplonita S.A.S</w:t>
            </w:r>
          </w:p>
        </w:tc>
        <w:tc>
          <w:tcPr>
            <w:tcW w:w="1674" w:type="pct"/>
            <w:vAlign w:val="center"/>
            <w:hideMark/>
          </w:tcPr>
          <w:p w14:paraId="17C23E87" w14:textId="77777777" w:rsidR="006556E0" w:rsidRPr="00951AB1" w:rsidRDefault="006556E0" w:rsidP="000A5389">
            <w:pPr>
              <w:spacing w:line="240" w:lineRule="auto"/>
              <w:jc w:val="right"/>
              <w:rPr>
                <w:rFonts w:eastAsia="Times New Roman" w:cs="Times New Roman"/>
                <w:color w:val="000000"/>
                <w:kern w:val="0"/>
                <w:sz w:val="16"/>
                <w:szCs w:val="16"/>
                <w:lang w:eastAsia="es-CO"/>
                <w14:ligatures w14:val="none"/>
              </w:rPr>
            </w:pPr>
            <w:r w:rsidRPr="00951AB1">
              <w:rPr>
                <w:rFonts w:eastAsia="Times New Roman" w:cs="Times New Roman"/>
                <w:color w:val="000000"/>
                <w:kern w:val="0"/>
                <w:sz w:val="16"/>
                <w:szCs w:val="16"/>
                <w:lang w:eastAsia="es-CO"/>
                <w14:ligatures w14:val="none"/>
              </w:rPr>
              <w:t>233.993.121.694</w:t>
            </w:r>
          </w:p>
        </w:tc>
      </w:tr>
      <w:tr w:rsidR="006556E0" w:rsidRPr="00951AB1" w14:paraId="056B0EAE" w14:textId="77777777" w:rsidTr="006F52CF">
        <w:trPr>
          <w:gridAfter w:val="1"/>
          <w:wAfter w:w="178" w:type="pct"/>
          <w:trHeight w:val="293"/>
        </w:trPr>
        <w:tc>
          <w:tcPr>
            <w:tcW w:w="3148" w:type="pct"/>
            <w:vAlign w:val="center"/>
            <w:hideMark/>
          </w:tcPr>
          <w:p w14:paraId="2BD636EE" w14:textId="77777777" w:rsidR="006556E0" w:rsidRPr="00951AB1" w:rsidRDefault="006556E0" w:rsidP="000A5389">
            <w:pPr>
              <w:spacing w:line="240" w:lineRule="auto"/>
              <w:rPr>
                <w:rFonts w:eastAsia="Times New Roman" w:cs="Times New Roman"/>
                <w:color w:val="000000"/>
                <w:kern w:val="0"/>
                <w:sz w:val="16"/>
                <w:szCs w:val="16"/>
                <w:lang w:eastAsia="es-CO"/>
                <w14:ligatures w14:val="none"/>
              </w:rPr>
            </w:pPr>
            <w:r w:rsidRPr="00951AB1">
              <w:rPr>
                <w:rFonts w:eastAsia="Times New Roman" w:cs="Times New Roman"/>
                <w:color w:val="000000"/>
                <w:kern w:val="0"/>
                <w:sz w:val="16"/>
                <w:szCs w:val="16"/>
                <w:lang w:eastAsia="es-CO"/>
                <w14:ligatures w14:val="none"/>
              </w:rPr>
              <w:t>Autopista Rio Magdalena S A S</w:t>
            </w:r>
          </w:p>
        </w:tc>
        <w:tc>
          <w:tcPr>
            <w:tcW w:w="1674" w:type="pct"/>
            <w:vAlign w:val="center"/>
            <w:hideMark/>
          </w:tcPr>
          <w:p w14:paraId="54060141" w14:textId="77777777" w:rsidR="006556E0" w:rsidRPr="00951AB1" w:rsidRDefault="006556E0" w:rsidP="000A5389">
            <w:pPr>
              <w:spacing w:line="240" w:lineRule="auto"/>
              <w:jc w:val="right"/>
              <w:rPr>
                <w:rFonts w:eastAsia="Times New Roman" w:cs="Times New Roman"/>
                <w:color w:val="000000"/>
                <w:kern w:val="0"/>
                <w:sz w:val="16"/>
                <w:szCs w:val="16"/>
                <w:lang w:eastAsia="es-CO"/>
                <w14:ligatures w14:val="none"/>
              </w:rPr>
            </w:pPr>
            <w:r w:rsidRPr="00951AB1">
              <w:rPr>
                <w:rFonts w:eastAsia="Times New Roman" w:cs="Times New Roman"/>
                <w:color w:val="000000"/>
                <w:kern w:val="0"/>
                <w:sz w:val="16"/>
                <w:szCs w:val="16"/>
                <w:lang w:eastAsia="es-CO"/>
                <w14:ligatures w14:val="none"/>
              </w:rPr>
              <w:t>229.281.795.384</w:t>
            </w:r>
          </w:p>
        </w:tc>
      </w:tr>
      <w:tr w:rsidR="006556E0" w:rsidRPr="00951AB1" w14:paraId="6E3048E8" w14:textId="77777777" w:rsidTr="006F52CF">
        <w:trPr>
          <w:gridAfter w:val="1"/>
          <w:wAfter w:w="178" w:type="pct"/>
          <w:trHeight w:val="293"/>
        </w:trPr>
        <w:tc>
          <w:tcPr>
            <w:tcW w:w="3148" w:type="pct"/>
            <w:vAlign w:val="center"/>
            <w:hideMark/>
          </w:tcPr>
          <w:p w14:paraId="771EEA8C" w14:textId="77777777" w:rsidR="006556E0" w:rsidRPr="00951AB1" w:rsidRDefault="006556E0" w:rsidP="000A5389">
            <w:pPr>
              <w:spacing w:line="240" w:lineRule="auto"/>
              <w:rPr>
                <w:rFonts w:eastAsia="Times New Roman" w:cs="Times New Roman"/>
                <w:color w:val="000000"/>
                <w:kern w:val="0"/>
                <w:sz w:val="16"/>
                <w:szCs w:val="16"/>
                <w:lang w:eastAsia="es-CO"/>
                <w14:ligatures w14:val="none"/>
              </w:rPr>
            </w:pPr>
            <w:r w:rsidRPr="00951AB1">
              <w:rPr>
                <w:rFonts w:eastAsia="Times New Roman" w:cs="Times New Roman"/>
                <w:color w:val="000000"/>
                <w:kern w:val="0"/>
                <w:sz w:val="16"/>
                <w:szCs w:val="16"/>
                <w:lang w:eastAsia="es-CO"/>
                <w14:ligatures w14:val="none"/>
              </w:rPr>
              <w:t>Concesionaria Vial Del Oriente S A S</w:t>
            </w:r>
          </w:p>
        </w:tc>
        <w:tc>
          <w:tcPr>
            <w:tcW w:w="1674" w:type="pct"/>
            <w:vAlign w:val="center"/>
            <w:hideMark/>
          </w:tcPr>
          <w:p w14:paraId="7818E5AE" w14:textId="77777777" w:rsidR="006556E0" w:rsidRPr="00951AB1" w:rsidRDefault="006556E0" w:rsidP="000A5389">
            <w:pPr>
              <w:spacing w:line="240" w:lineRule="auto"/>
              <w:jc w:val="right"/>
              <w:rPr>
                <w:rFonts w:eastAsia="Times New Roman" w:cs="Times New Roman"/>
                <w:color w:val="000000"/>
                <w:kern w:val="0"/>
                <w:sz w:val="16"/>
                <w:szCs w:val="16"/>
                <w:lang w:eastAsia="es-CO"/>
                <w14:ligatures w14:val="none"/>
              </w:rPr>
            </w:pPr>
            <w:r w:rsidRPr="00951AB1">
              <w:rPr>
                <w:rFonts w:eastAsia="Times New Roman" w:cs="Times New Roman"/>
                <w:color w:val="000000"/>
                <w:kern w:val="0"/>
                <w:sz w:val="16"/>
                <w:szCs w:val="16"/>
                <w:lang w:eastAsia="es-CO"/>
                <w14:ligatures w14:val="none"/>
              </w:rPr>
              <w:t>214.990.260.727</w:t>
            </w:r>
          </w:p>
        </w:tc>
      </w:tr>
      <w:tr w:rsidR="006556E0" w:rsidRPr="00951AB1" w14:paraId="421B7799" w14:textId="77777777" w:rsidTr="006F52CF">
        <w:trPr>
          <w:gridAfter w:val="1"/>
          <w:wAfter w:w="178" w:type="pct"/>
          <w:trHeight w:val="293"/>
        </w:trPr>
        <w:tc>
          <w:tcPr>
            <w:tcW w:w="3148" w:type="pct"/>
            <w:vAlign w:val="center"/>
            <w:hideMark/>
          </w:tcPr>
          <w:p w14:paraId="4D69E07F" w14:textId="77777777" w:rsidR="006556E0" w:rsidRPr="00951AB1" w:rsidRDefault="006556E0" w:rsidP="000A5389">
            <w:pPr>
              <w:spacing w:line="240" w:lineRule="auto"/>
              <w:rPr>
                <w:rFonts w:eastAsia="Times New Roman" w:cs="Times New Roman"/>
                <w:color w:val="000000"/>
                <w:kern w:val="0"/>
                <w:sz w:val="16"/>
                <w:szCs w:val="16"/>
                <w:lang w:eastAsia="es-CO"/>
                <w14:ligatures w14:val="none"/>
              </w:rPr>
            </w:pPr>
            <w:r w:rsidRPr="00951AB1">
              <w:rPr>
                <w:rFonts w:eastAsia="Times New Roman" w:cs="Times New Roman"/>
                <w:color w:val="000000"/>
                <w:kern w:val="0"/>
                <w:sz w:val="16"/>
                <w:szCs w:val="16"/>
                <w:lang w:eastAsia="es-CO"/>
                <w14:ligatures w14:val="none"/>
              </w:rPr>
              <w:t>Yuma Concesionaria S A - En Reorganización</w:t>
            </w:r>
          </w:p>
        </w:tc>
        <w:tc>
          <w:tcPr>
            <w:tcW w:w="1674" w:type="pct"/>
            <w:vAlign w:val="center"/>
            <w:hideMark/>
          </w:tcPr>
          <w:p w14:paraId="71D6377C" w14:textId="77777777" w:rsidR="006556E0" w:rsidRPr="00951AB1" w:rsidRDefault="006556E0" w:rsidP="000A5389">
            <w:pPr>
              <w:spacing w:line="240" w:lineRule="auto"/>
              <w:jc w:val="right"/>
              <w:rPr>
                <w:rFonts w:eastAsia="Times New Roman" w:cs="Times New Roman"/>
                <w:color w:val="000000"/>
                <w:kern w:val="0"/>
                <w:sz w:val="16"/>
                <w:szCs w:val="16"/>
                <w:lang w:eastAsia="es-CO"/>
                <w14:ligatures w14:val="none"/>
              </w:rPr>
            </w:pPr>
            <w:r w:rsidRPr="00951AB1">
              <w:rPr>
                <w:rFonts w:eastAsia="Times New Roman" w:cs="Times New Roman"/>
                <w:color w:val="000000"/>
                <w:kern w:val="0"/>
                <w:sz w:val="16"/>
                <w:szCs w:val="16"/>
                <w:lang w:eastAsia="es-CO"/>
                <w14:ligatures w14:val="none"/>
              </w:rPr>
              <w:t>210.894.726.862</w:t>
            </w:r>
          </w:p>
        </w:tc>
      </w:tr>
      <w:tr w:rsidR="006556E0" w:rsidRPr="00951AB1" w14:paraId="2DA2CDEC" w14:textId="77777777" w:rsidTr="006F52CF">
        <w:trPr>
          <w:gridAfter w:val="1"/>
          <w:wAfter w:w="178" w:type="pct"/>
          <w:trHeight w:val="293"/>
        </w:trPr>
        <w:tc>
          <w:tcPr>
            <w:tcW w:w="3148" w:type="pct"/>
            <w:vAlign w:val="center"/>
            <w:hideMark/>
          </w:tcPr>
          <w:p w14:paraId="32C8039F" w14:textId="77777777" w:rsidR="006556E0" w:rsidRPr="00951AB1" w:rsidRDefault="006556E0" w:rsidP="000A5389">
            <w:pPr>
              <w:spacing w:line="240" w:lineRule="auto"/>
              <w:rPr>
                <w:rFonts w:eastAsia="Times New Roman" w:cs="Times New Roman"/>
                <w:color w:val="000000"/>
                <w:kern w:val="0"/>
                <w:sz w:val="16"/>
                <w:szCs w:val="16"/>
                <w:lang w:eastAsia="es-CO"/>
                <w14:ligatures w14:val="none"/>
              </w:rPr>
            </w:pPr>
            <w:r w:rsidRPr="00951AB1">
              <w:rPr>
                <w:rFonts w:eastAsia="Times New Roman" w:cs="Times New Roman"/>
                <w:color w:val="000000"/>
                <w:kern w:val="0"/>
                <w:sz w:val="16"/>
                <w:szCs w:val="16"/>
                <w:lang w:eastAsia="es-CO"/>
                <w14:ligatures w14:val="none"/>
              </w:rPr>
              <w:t>Concesión Pacifico Tres S.A.S.</w:t>
            </w:r>
          </w:p>
        </w:tc>
        <w:tc>
          <w:tcPr>
            <w:tcW w:w="1674" w:type="pct"/>
            <w:vAlign w:val="center"/>
            <w:hideMark/>
          </w:tcPr>
          <w:p w14:paraId="3E3FB8D6" w14:textId="77777777" w:rsidR="006556E0" w:rsidRPr="00951AB1" w:rsidRDefault="006556E0" w:rsidP="000A5389">
            <w:pPr>
              <w:spacing w:line="240" w:lineRule="auto"/>
              <w:jc w:val="right"/>
              <w:rPr>
                <w:rFonts w:eastAsia="Times New Roman" w:cs="Times New Roman"/>
                <w:color w:val="000000"/>
                <w:kern w:val="0"/>
                <w:sz w:val="16"/>
                <w:szCs w:val="16"/>
                <w:lang w:eastAsia="es-CO"/>
                <w14:ligatures w14:val="none"/>
              </w:rPr>
            </w:pPr>
            <w:r w:rsidRPr="00951AB1">
              <w:rPr>
                <w:rFonts w:eastAsia="Times New Roman" w:cs="Times New Roman"/>
                <w:color w:val="000000"/>
                <w:kern w:val="0"/>
                <w:sz w:val="16"/>
                <w:szCs w:val="16"/>
                <w:lang w:eastAsia="es-CO"/>
                <w14:ligatures w14:val="none"/>
              </w:rPr>
              <w:t>174.738.753.893</w:t>
            </w:r>
          </w:p>
        </w:tc>
      </w:tr>
      <w:tr w:rsidR="006556E0" w:rsidRPr="00951AB1" w14:paraId="5A19B17E" w14:textId="77777777" w:rsidTr="006F52CF">
        <w:trPr>
          <w:gridAfter w:val="1"/>
          <w:wAfter w:w="178" w:type="pct"/>
          <w:trHeight w:val="293"/>
        </w:trPr>
        <w:tc>
          <w:tcPr>
            <w:tcW w:w="3148" w:type="pct"/>
            <w:vAlign w:val="center"/>
            <w:hideMark/>
          </w:tcPr>
          <w:p w14:paraId="59C2AAF4" w14:textId="77777777" w:rsidR="006556E0" w:rsidRPr="00951AB1" w:rsidRDefault="006556E0" w:rsidP="000A5389">
            <w:pPr>
              <w:spacing w:line="240" w:lineRule="auto"/>
              <w:rPr>
                <w:rFonts w:eastAsia="Times New Roman" w:cs="Times New Roman"/>
                <w:color w:val="000000"/>
                <w:kern w:val="0"/>
                <w:sz w:val="16"/>
                <w:szCs w:val="16"/>
                <w:lang w:eastAsia="es-CO"/>
                <w14:ligatures w14:val="none"/>
              </w:rPr>
            </w:pPr>
            <w:r w:rsidRPr="00951AB1">
              <w:rPr>
                <w:rFonts w:eastAsia="Times New Roman" w:cs="Times New Roman"/>
                <w:color w:val="000000"/>
                <w:kern w:val="0"/>
                <w:sz w:val="16"/>
                <w:szCs w:val="16"/>
                <w:lang w:eastAsia="es-CO"/>
                <w14:ligatures w14:val="none"/>
              </w:rPr>
              <w:t>Autopistas Del Nordeste S.A.S.</w:t>
            </w:r>
          </w:p>
        </w:tc>
        <w:tc>
          <w:tcPr>
            <w:tcW w:w="1674" w:type="pct"/>
            <w:vAlign w:val="center"/>
            <w:hideMark/>
          </w:tcPr>
          <w:p w14:paraId="1C2532C7" w14:textId="77777777" w:rsidR="006556E0" w:rsidRPr="00951AB1" w:rsidRDefault="006556E0" w:rsidP="000A5389">
            <w:pPr>
              <w:spacing w:line="240" w:lineRule="auto"/>
              <w:jc w:val="right"/>
              <w:rPr>
                <w:rFonts w:eastAsia="Times New Roman" w:cs="Times New Roman"/>
                <w:color w:val="000000"/>
                <w:kern w:val="0"/>
                <w:sz w:val="16"/>
                <w:szCs w:val="16"/>
                <w:lang w:eastAsia="es-CO"/>
                <w14:ligatures w14:val="none"/>
              </w:rPr>
            </w:pPr>
            <w:r w:rsidRPr="00951AB1">
              <w:rPr>
                <w:rFonts w:eastAsia="Times New Roman" w:cs="Times New Roman"/>
                <w:color w:val="000000"/>
                <w:kern w:val="0"/>
                <w:sz w:val="16"/>
                <w:szCs w:val="16"/>
                <w:lang w:eastAsia="es-CO"/>
                <w14:ligatures w14:val="none"/>
              </w:rPr>
              <w:t>173.449.917.157</w:t>
            </w:r>
          </w:p>
        </w:tc>
      </w:tr>
      <w:tr w:rsidR="006556E0" w:rsidRPr="00951AB1" w14:paraId="1139C71D" w14:textId="77777777" w:rsidTr="006F52CF">
        <w:trPr>
          <w:gridAfter w:val="1"/>
          <w:wAfter w:w="178" w:type="pct"/>
          <w:trHeight w:val="293"/>
        </w:trPr>
        <w:tc>
          <w:tcPr>
            <w:tcW w:w="3148" w:type="pct"/>
            <w:vAlign w:val="center"/>
            <w:hideMark/>
          </w:tcPr>
          <w:p w14:paraId="26BB0744" w14:textId="77777777" w:rsidR="006556E0" w:rsidRPr="00951AB1" w:rsidRDefault="006556E0" w:rsidP="000A5389">
            <w:pPr>
              <w:spacing w:line="240" w:lineRule="auto"/>
              <w:rPr>
                <w:rFonts w:eastAsia="Times New Roman" w:cs="Times New Roman"/>
                <w:color w:val="000000"/>
                <w:kern w:val="0"/>
                <w:sz w:val="16"/>
                <w:szCs w:val="16"/>
                <w:lang w:eastAsia="es-CO"/>
                <w14:ligatures w14:val="none"/>
              </w:rPr>
            </w:pPr>
            <w:r w:rsidRPr="00951AB1">
              <w:rPr>
                <w:rFonts w:eastAsia="Times New Roman" w:cs="Times New Roman"/>
                <w:color w:val="000000"/>
                <w:kern w:val="0"/>
                <w:sz w:val="16"/>
                <w:szCs w:val="16"/>
                <w:lang w:eastAsia="es-CO"/>
                <w14:ligatures w14:val="none"/>
              </w:rPr>
              <w:t>Concesión Costera Cartagena Barranquilla S.A.S.</w:t>
            </w:r>
          </w:p>
        </w:tc>
        <w:tc>
          <w:tcPr>
            <w:tcW w:w="1674" w:type="pct"/>
            <w:vAlign w:val="center"/>
            <w:hideMark/>
          </w:tcPr>
          <w:p w14:paraId="70128308" w14:textId="77777777" w:rsidR="006556E0" w:rsidRPr="00951AB1" w:rsidRDefault="006556E0" w:rsidP="000A5389">
            <w:pPr>
              <w:spacing w:line="240" w:lineRule="auto"/>
              <w:jc w:val="right"/>
              <w:rPr>
                <w:rFonts w:eastAsia="Times New Roman" w:cs="Times New Roman"/>
                <w:color w:val="000000"/>
                <w:kern w:val="0"/>
                <w:sz w:val="16"/>
                <w:szCs w:val="16"/>
                <w:lang w:eastAsia="es-CO"/>
                <w14:ligatures w14:val="none"/>
              </w:rPr>
            </w:pPr>
            <w:r w:rsidRPr="00951AB1">
              <w:rPr>
                <w:rFonts w:eastAsia="Times New Roman" w:cs="Times New Roman"/>
                <w:color w:val="000000"/>
                <w:kern w:val="0"/>
                <w:sz w:val="16"/>
                <w:szCs w:val="16"/>
                <w:lang w:eastAsia="es-CO"/>
                <w14:ligatures w14:val="none"/>
              </w:rPr>
              <w:t>162.463.069.352</w:t>
            </w:r>
          </w:p>
        </w:tc>
      </w:tr>
      <w:tr w:rsidR="006556E0" w:rsidRPr="00951AB1" w14:paraId="21A1F014" w14:textId="77777777" w:rsidTr="006F52CF">
        <w:trPr>
          <w:gridAfter w:val="1"/>
          <w:wAfter w:w="178" w:type="pct"/>
          <w:trHeight w:val="293"/>
        </w:trPr>
        <w:tc>
          <w:tcPr>
            <w:tcW w:w="3148" w:type="pct"/>
            <w:vAlign w:val="center"/>
            <w:hideMark/>
          </w:tcPr>
          <w:p w14:paraId="70986B17" w14:textId="77777777" w:rsidR="006556E0" w:rsidRPr="00951AB1" w:rsidRDefault="006556E0" w:rsidP="000A5389">
            <w:pPr>
              <w:spacing w:line="240" w:lineRule="auto"/>
              <w:rPr>
                <w:rFonts w:eastAsia="Times New Roman" w:cs="Times New Roman"/>
                <w:color w:val="000000"/>
                <w:kern w:val="0"/>
                <w:sz w:val="16"/>
                <w:szCs w:val="16"/>
                <w:lang w:eastAsia="es-CO"/>
                <w14:ligatures w14:val="none"/>
              </w:rPr>
            </w:pPr>
            <w:r w:rsidRPr="00951AB1">
              <w:rPr>
                <w:rFonts w:eastAsia="Times New Roman" w:cs="Times New Roman"/>
                <w:color w:val="000000"/>
                <w:kern w:val="0"/>
                <w:sz w:val="16"/>
                <w:szCs w:val="16"/>
                <w:lang w:eastAsia="es-CO"/>
                <w14:ligatures w14:val="none"/>
              </w:rPr>
              <w:t>Nuevo Cauca S A S</w:t>
            </w:r>
          </w:p>
        </w:tc>
        <w:tc>
          <w:tcPr>
            <w:tcW w:w="1674" w:type="pct"/>
            <w:vAlign w:val="center"/>
            <w:hideMark/>
          </w:tcPr>
          <w:p w14:paraId="22513D1B" w14:textId="77777777" w:rsidR="006556E0" w:rsidRPr="00951AB1" w:rsidRDefault="006556E0" w:rsidP="000A5389">
            <w:pPr>
              <w:spacing w:line="240" w:lineRule="auto"/>
              <w:jc w:val="right"/>
              <w:rPr>
                <w:rFonts w:eastAsia="Times New Roman" w:cs="Times New Roman"/>
                <w:color w:val="000000"/>
                <w:kern w:val="0"/>
                <w:sz w:val="16"/>
                <w:szCs w:val="16"/>
                <w:lang w:eastAsia="es-CO"/>
                <w14:ligatures w14:val="none"/>
              </w:rPr>
            </w:pPr>
            <w:r w:rsidRPr="00951AB1">
              <w:rPr>
                <w:rFonts w:eastAsia="Times New Roman" w:cs="Times New Roman"/>
                <w:color w:val="000000"/>
                <w:kern w:val="0"/>
                <w:sz w:val="16"/>
                <w:szCs w:val="16"/>
                <w:lang w:eastAsia="es-CO"/>
                <w14:ligatures w14:val="none"/>
              </w:rPr>
              <w:t>162.219.696.729</w:t>
            </w:r>
          </w:p>
        </w:tc>
      </w:tr>
      <w:tr w:rsidR="006556E0" w:rsidRPr="00951AB1" w14:paraId="32FB621D" w14:textId="77777777" w:rsidTr="006F52CF">
        <w:trPr>
          <w:gridAfter w:val="1"/>
          <w:wAfter w:w="178" w:type="pct"/>
          <w:trHeight w:val="293"/>
        </w:trPr>
        <w:tc>
          <w:tcPr>
            <w:tcW w:w="3148" w:type="pct"/>
            <w:vAlign w:val="center"/>
            <w:hideMark/>
          </w:tcPr>
          <w:p w14:paraId="5C83FCBD" w14:textId="77777777" w:rsidR="006556E0" w:rsidRPr="00951AB1" w:rsidRDefault="006556E0" w:rsidP="000A5389">
            <w:pPr>
              <w:spacing w:line="240" w:lineRule="auto"/>
              <w:rPr>
                <w:rFonts w:eastAsia="Times New Roman" w:cs="Times New Roman"/>
                <w:color w:val="000000"/>
                <w:kern w:val="0"/>
                <w:sz w:val="16"/>
                <w:szCs w:val="16"/>
                <w:lang w:eastAsia="es-CO"/>
                <w14:ligatures w14:val="none"/>
              </w:rPr>
            </w:pPr>
            <w:r w:rsidRPr="00951AB1">
              <w:rPr>
                <w:rFonts w:eastAsia="Times New Roman" w:cs="Times New Roman"/>
                <w:color w:val="000000"/>
                <w:kern w:val="0"/>
                <w:sz w:val="16"/>
                <w:szCs w:val="16"/>
                <w:lang w:eastAsia="es-CO"/>
                <w14:ligatures w14:val="none"/>
              </w:rPr>
              <w:t>Concesionaria Ruta Al Sur S.A.S.</w:t>
            </w:r>
          </w:p>
        </w:tc>
        <w:tc>
          <w:tcPr>
            <w:tcW w:w="1674" w:type="pct"/>
            <w:vAlign w:val="center"/>
            <w:hideMark/>
          </w:tcPr>
          <w:p w14:paraId="4E83D7D2" w14:textId="77777777" w:rsidR="006556E0" w:rsidRPr="00951AB1" w:rsidRDefault="006556E0" w:rsidP="000A5389">
            <w:pPr>
              <w:spacing w:line="240" w:lineRule="auto"/>
              <w:jc w:val="right"/>
              <w:rPr>
                <w:rFonts w:eastAsia="Times New Roman" w:cs="Times New Roman"/>
                <w:color w:val="000000"/>
                <w:kern w:val="0"/>
                <w:sz w:val="16"/>
                <w:szCs w:val="16"/>
                <w:lang w:eastAsia="es-CO"/>
                <w14:ligatures w14:val="none"/>
              </w:rPr>
            </w:pPr>
            <w:r w:rsidRPr="00951AB1">
              <w:rPr>
                <w:rFonts w:eastAsia="Times New Roman" w:cs="Times New Roman"/>
                <w:color w:val="000000"/>
                <w:kern w:val="0"/>
                <w:sz w:val="16"/>
                <w:szCs w:val="16"/>
                <w:lang w:eastAsia="es-CO"/>
                <w14:ligatures w14:val="none"/>
              </w:rPr>
              <w:t>153.144.464.878</w:t>
            </w:r>
          </w:p>
        </w:tc>
      </w:tr>
      <w:tr w:rsidR="006556E0" w:rsidRPr="00951AB1" w14:paraId="5BB91796" w14:textId="77777777" w:rsidTr="006F52CF">
        <w:trPr>
          <w:gridAfter w:val="1"/>
          <w:wAfter w:w="178" w:type="pct"/>
          <w:trHeight w:val="413"/>
        </w:trPr>
        <w:tc>
          <w:tcPr>
            <w:tcW w:w="3148" w:type="pct"/>
            <w:vAlign w:val="center"/>
            <w:hideMark/>
          </w:tcPr>
          <w:p w14:paraId="70EFCFAB" w14:textId="77777777" w:rsidR="006556E0" w:rsidRPr="00951AB1" w:rsidRDefault="006556E0" w:rsidP="000A5389">
            <w:pPr>
              <w:spacing w:line="240" w:lineRule="auto"/>
              <w:rPr>
                <w:rFonts w:eastAsia="Times New Roman" w:cs="Times New Roman"/>
                <w:color w:val="000000"/>
                <w:kern w:val="0"/>
                <w:sz w:val="16"/>
                <w:szCs w:val="16"/>
                <w:lang w:eastAsia="es-CO"/>
                <w14:ligatures w14:val="none"/>
              </w:rPr>
            </w:pPr>
            <w:r w:rsidRPr="00951AB1">
              <w:rPr>
                <w:rFonts w:eastAsia="Times New Roman" w:cs="Times New Roman"/>
                <w:color w:val="000000"/>
                <w:kern w:val="0"/>
                <w:sz w:val="16"/>
                <w:szCs w:val="16"/>
                <w:lang w:eastAsia="es-CO"/>
                <w14:ligatures w14:val="none"/>
              </w:rPr>
              <w:t>Fiduciaria La Previsora S.A. Popayán - Santander De Quilichao</w:t>
            </w:r>
          </w:p>
        </w:tc>
        <w:tc>
          <w:tcPr>
            <w:tcW w:w="1674" w:type="pct"/>
            <w:vAlign w:val="center"/>
            <w:hideMark/>
          </w:tcPr>
          <w:p w14:paraId="3AFECADB" w14:textId="77777777" w:rsidR="006556E0" w:rsidRPr="00951AB1" w:rsidRDefault="006556E0" w:rsidP="000A5389">
            <w:pPr>
              <w:spacing w:line="240" w:lineRule="auto"/>
              <w:jc w:val="right"/>
              <w:rPr>
                <w:rFonts w:eastAsia="Times New Roman" w:cs="Times New Roman"/>
                <w:color w:val="000000"/>
                <w:kern w:val="0"/>
                <w:sz w:val="16"/>
                <w:szCs w:val="16"/>
                <w:lang w:eastAsia="es-CO"/>
                <w14:ligatures w14:val="none"/>
              </w:rPr>
            </w:pPr>
            <w:r w:rsidRPr="00951AB1">
              <w:rPr>
                <w:rFonts w:eastAsia="Times New Roman" w:cs="Times New Roman"/>
                <w:color w:val="000000"/>
                <w:kern w:val="0"/>
                <w:sz w:val="16"/>
                <w:szCs w:val="16"/>
                <w:lang w:eastAsia="es-CO"/>
                <w14:ligatures w14:val="none"/>
              </w:rPr>
              <w:t>152.709.904.474</w:t>
            </w:r>
          </w:p>
        </w:tc>
      </w:tr>
      <w:tr w:rsidR="006556E0" w:rsidRPr="00951AB1" w14:paraId="46DECA2B" w14:textId="77777777" w:rsidTr="006F52CF">
        <w:trPr>
          <w:gridAfter w:val="1"/>
          <w:wAfter w:w="178" w:type="pct"/>
          <w:trHeight w:val="293"/>
        </w:trPr>
        <w:tc>
          <w:tcPr>
            <w:tcW w:w="3148" w:type="pct"/>
            <w:vAlign w:val="center"/>
            <w:hideMark/>
          </w:tcPr>
          <w:p w14:paraId="66CAC223" w14:textId="77777777" w:rsidR="006556E0" w:rsidRPr="00951AB1" w:rsidRDefault="006556E0" w:rsidP="000A5389">
            <w:pPr>
              <w:spacing w:line="240" w:lineRule="auto"/>
              <w:rPr>
                <w:rFonts w:eastAsia="Times New Roman" w:cs="Times New Roman"/>
                <w:color w:val="000000"/>
                <w:kern w:val="0"/>
                <w:sz w:val="16"/>
                <w:szCs w:val="16"/>
                <w:lang w:eastAsia="es-CO"/>
                <w14:ligatures w14:val="none"/>
              </w:rPr>
            </w:pPr>
            <w:r w:rsidRPr="00951AB1">
              <w:rPr>
                <w:rFonts w:eastAsia="Times New Roman" w:cs="Times New Roman"/>
                <w:color w:val="000000"/>
                <w:kern w:val="0"/>
                <w:sz w:val="16"/>
                <w:szCs w:val="16"/>
                <w:lang w:eastAsia="es-CO"/>
                <w14:ligatures w14:val="none"/>
              </w:rPr>
              <w:t>Autopista Del Rio Grande S.A.S</w:t>
            </w:r>
          </w:p>
        </w:tc>
        <w:tc>
          <w:tcPr>
            <w:tcW w:w="1674" w:type="pct"/>
            <w:vAlign w:val="center"/>
            <w:hideMark/>
          </w:tcPr>
          <w:p w14:paraId="0B86A118" w14:textId="77777777" w:rsidR="006556E0" w:rsidRPr="00951AB1" w:rsidRDefault="006556E0" w:rsidP="000A5389">
            <w:pPr>
              <w:spacing w:line="240" w:lineRule="auto"/>
              <w:jc w:val="right"/>
              <w:rPr>
                <w:rFonts w:eastAsia="Times New Roman" w:cs="Times New Roman"/>
                <w:color w:val="000000"/>
                <w:kern w:val="0"/>
                <w:sz w:val="16"/>
                <w:szCs w:val="16"/>
                <w:lang w:eastAsia="es-CO"/>
                <w14:ligatures w14:val="none"/>
              </w:rPr>
            </w:pPr>
            <w:r w:rsidRPr="00951AB1">
              <w:rPr>
                <w:rFonts w:eastAsia="Times New Roman" w:cs="Times New Roman"/>
                <w:color w:val="000000"/>
                <w:kern w:val="0"/>
                <w:sz w:val="16"/>
                <w:szCs w:val="16"/>
                <w:lang w:eastAsia="es-CO"/>
                <w14:ligatures w14:val="none"/>
              </w:rPr>
              <w:t>146.699.523.593</w:t>
            </w:r>
          </w:p>
        </w:tc>
      </w:tr>
      <w:tr w:rsidR="006556E0" w:rsidRPr="00951AB1" w14:paraId="1CCC4C5D" w14:textId="77777777" w:rsidTr="006F52CF">
        <w:trPr>
          <w:gridAfter w:val="1"/>
          <w:wAfter w:w="178" w:type="pct"/>
          <w:trHeight w:val="293"/>
        </w:trPr>
        <w:tc>
          <w:tcPr>
            <w:tcW w:w="3148" w:type="pct"/>
            <w:vAlign w:val="center"/>
            <w:hideMark/>
          </w:tcPr>
          <w:p w14:paraId="6BFEB327" w14:textId="77777777" w:rsidR="006556E0" w:rsidRPr="00951AB1" w:rsidRDefault="006556E0" w:rsidP="000A5389">
            <w:pPr>
              <w:spacing w:line="240" w:lineRule="auto"/>
              <w:rPr>
                <w:rFonts w:eastAsia="Times New Roman" w:cs="Times New Roman"/>
                <w:color w:val="000000"/>
                <w:kern w:val="0"/>
                <w:sz w:val="16"/>
                <w:szCs w:val="16"/>
                <w:lang w:eastAsia="es-CO"/>
                <w14:ligatures w14:val="none"/>
              </w:rPr>
            </w:pPr>
            <w:r w:rsidRPr="00951AB1">
              <w:rPr>
                <w:rFonts w:eastAsia="Times New Roman" w:cs="Times New Roman"/>
                <w:color w:val="000000"/>
                <w:kern w:val="0"/>
                <w:sz w:val="16"/>
                <w:szCs w:val="16"/>
                <w:lang w:eastAsia="es-CO"/>
                <w14:ligatures w14:val="none"/>
              </w:rPr>
              <w:t>Concesión La Pintada S.A.S.</w:t>
            </w:r>
          </w:p>
        </w:tc>
        <w:tc>
          <w:tcPr>
            <w:tcW w:w="1674" w:type="pct"/>
            <w:vAlign w:val="center"/>
            <w:hideMark/>
          </w:tcPr>
          <w:p w14:paraId="252BCFB6" w14:textId="77777777" w:rsidR="006556E0" w:rsidRPr="00951AB1" w:rsidRDefault="006556E0" w:rsidP="000A5389">
            <w:pPr>
              <w:spacing w:line="240" w:lineRule="auto"/>
              <w:jc w:val="right"/>
              <w:rPr>
                <w:rFonts w:eastAsia="Times New Roman" w:cs="Times New Roman"/>
                <w:color w:val="000000"/>
                <w:kern w:val="0"/>
                <w:sz w:val="16"/>
                <w:szCs w:val="16"/>
                <w:lang w:eastAsia="es-CO"/>
                <w14:ligatures w14:val="none"/>
              </w:rPr>
            </w:pPr>
            <w:r w:rsidRPr="00951AB1">
              <w:rPr>
                <w:rFonts w:eastAsia="Times New Roman" w:cs="Times New Roman"/>
                <w:color w:val="000000"/>
                <w:kern w:val="0"/>
                <w:sz w:val="16"/>
                <w:szCs w:val="16"/>
                <w:lang w:eastAsia="es-CO"/>
                <w14:ligatures w14:val="none"/>
              </w:rPr>
              <w:t>129.921.633.274</w:t>
            </w:r>
          </w:p>
        </w:tc>
      </w:tr>
      <w:tr w:rsidR="006556E0" w:rsidRPr="00951AB1" w14:paraId="40ADB08B" w14:textId="77777777" w:rsidTr="006F52CF">
        <w:trPr>
          <w:gridAfter w:val="1"/>
          <w:wAfter w:w="178" w:type="pct"/>
          <w:trHeight w:val="293"/>
        </w:trPr>
        <w:tc>
          <w:tcPr>
            <w:tcW w:w="3148" w:type="pct"/>
            <w:vAlign w:val="center"/>
            <w:hideMark/>
          </w:tcPr>
          <w:p w14:paraId="649A5E0E" w14:textId="77777777" w:rsidR="006556E0" w:rsidRPr="00951AB1" w:rsidRDefault="006556E0" w:rsidP="000A5389">
            <w:pPr>
              <w:spacing w:line="240" w:lineRule="auto"/>
              <w:rPr>
                <w:rFonts w:eastAsia="Times New Roman" w:cs="Times New Roman"/>
                <w:color w:val="000000"/>
                <w:kern w:val="0"/>
                <w:sz w:val="16"/>
                <w:szCs w:val="16"/>
                <w:lang w:eastAsia="es-CO"/>
                <w14:ligatures w14:val="none"/>
              </w:rPr>
            </w:pPr>
            <w:r w:rsidRPr="00951AB1">
              <w:rPr>
                <w:rFonts w:eastAsia="Times New Roman" w:cs="Times New Roman"/>
                <w:color w:val="000000"/>
                <w:kern w:val="0"/>
                <w:sz w:val="16"/>
                <w:szCs w:val="16"/>
                <w:lang w:eastAsia="es-CO"/>
                <w14:ligatures w14:val="none"/>
              </w:rPr>
              <w:t>Fiduciaria La Previsora S.A. - Rumichaca - Pasto</w:t>
            </w:r>
          </w:p>
        </w:tc>
        <w:tc>
          <w:tcPr>
            <w:tcW w:w="1674" w:type="pct"/>
            <w:vAlign w:val="center"/>
            <w:hideMark/>
          </w:tcPr>
          <w:p w14:paraId="111729DD" w14:textId="77777777" w:rsidR="006556E0" w:rsidRPr="00951AB1" w:rsidRDefault="006556E0" w:rsidP="000A5389">
            <w:pPr>
              <w:spacing w:line="240" w:lineRule="auto"/>
              <w:jc w:val="right"/>
              <w:rPr>
                <w:rFonts w:eastAsia="Times New Roman" w:cs="Times New Roman"/>
                <w:color w:val="000000"/>
                <w:kern w:val="0"/>
                <w:sz w:val="16"/>
                <w:szCs w:val="16"/>
                <w:lang w:eastAsia="es-CO"/>
                <w14:ligatures w14:val="none"/>
              </w:rPr>
            </w:pPr>
            <w:r w:rsidRPr="00951AB1">
              <w:rPr>
                <w:rFonts w:eastAsia="Times New Roman" w:cs="Times New Roman"/>
                <w:color w:val="000000"/>
                <w:kern w:val="0"/>
                <w:sz w:val="16"/>
                <w:szCs w:val="16"/>
                <w:lang w:eastAsia="es-CO"/>
                <w14:ligatures w14:val="none"/>
              </w:rPr>
              <w:t>116.069.456.476</w:t>
            </w:r>
          </w:p>
        </w:tc>
      </w:tr>
      <w:tr w:rsidR="006556E0" w:rsidRPr="00951AB1" w14:paraId="05552495" w14:textId="77777777" w:rsidTr="006F52CF">
        <w:trPr>
          <w:gridAfter w:val="1"/>
          <w:wAfter w:w="178" w:type="pct"/>
          <w:trHeight w:val="413"/>
        </w:trPr>
        <w:tc>
          <w:tcPr>
            <w:tcW w:w="3148" w:type="pct"/>
            <w:vAlign w:val="center"/>
            <w:hideMark/>
          </w:tcPr>
          <w:p w14:paraId="625A933E" w14:textId="77777777" w:rsidR="006556E0" w:rsidRPr="00951AB1" w:rsidRDefault="006556E0" w:rsidP="000A5389">
            <w:pPr>
              <w:spacing w:line="240" w:lineRule="auto"/>
              <w:rPr>
                <w:rFonts w:eastAsia="Times New Roman" w:cs="Times New Roman"/>
                <w:color w:val="000000"/>
                <w:kern w:val="0"/>
                <w:sz w:val="16"/>
                <w:szCs w:val="16"/>
                <w:lang w:eastAsia="es-CO"/>
                <w14:ligatures w14:val="none"/>
              </w:rPr>
            </w:pPr>
            <w:r w:rsidRPr="00951AB1">
              <w:rPr>
                <w:rFonts w:eastAsia="Times New Roman" w:cs="Times New Roman"/>
                <w:color w:val="000000"/>
                <w:kern w:val="0"/>
                <w:sz w:val="16"/>
                <w:szCs w:val="16"/>
                <w:lang w:eastAsia="es-CO"/>
                <w14:ligatures w14:val="none"/>
              </w:rPr>
              <w:t>Fiduciaria La Previsora S.A. Popayán - Santander De Quilichao</w:t>
            </w:r>
          </w:p>
        </w:tc>
        <w:tc>
          <w:tcPr>
            <w:tcW w:w="1674" w:type="pct"/>
            <w:vAlign w:val="center"/>
            <w:hideMark/>
          </w:tcPr>
          <w:p w14:paraId="47CFAE0E" w14:textId="77777777" w:rsidR="006556E0" w:rsidRPr="00951AB1" w:rsidRDefault="006556E0" w:rsidP="000A5389">
            <w:pPr>
              <w:spacing w:line="240" w:lineRule="auto"/>
              <w:jc w:val="right"/>
              <w:rPr>
                <w:rFonts w:eastAsia="Times New Roman" w:cs="Times New Roman"/>
                <w:color w:val="000000"/>
                <w:kern w:val="0"/>
                <w:sz w:val="16"/>
                <w:szCs w:val="16"/>
                <w:lang w:eastAsia="es-CO"/>
                <w14:ligatures w14:val="none"/>
              </w:rPr>
            </w:pPr>
            <w:r w:rsidRPr="00951AB1">
              <w:rPr>
                <w:rFonts w:eastAsia="Times New Roman" w:cs="Times New Roman"/>
                <w:color w:val="000000"/>
                <w:kern w:val="0"/>
                <w:sz w:val="16"/>
                <w:szCs w:val="16"/>
                <w:lang w:eastAsia="es-CO"/>
                <w14:ligatures w14:val="none"/>
              </w:rPr>
              <w:t>115.435.325.666</w:t>
            </w:r>
          </w:p>
        </w:tc>
      </w:tr>
      <w:tr w:rsidR="006556E0" w:rsidRPr="00951AB1" w14:paraId="10DD0479" w14:textId="77777777" w:rsidTr="006F52CF">
        <w:trPr>
          <w:gridAfter w:val="1"/>
          <w:wAfter w:w="178" w:type="pct"/>
          <w:trHeight w:val="293"/>
        </w:trPr>
        <w:tc>
          <w:tcPr>
            <w:tcW w:w="3148" w:type="pct"/>
            <w:vAlign w:val="center"/>
            <w:hideMark/>
          </w:tcPr>
          <w:p w14:paraId="2E692546" w14:textId="77777777" w:rsidR="006556E0" w:rsidRPr="00951AB1" w:rsidRDefault="006556E0" w:rsidP="000A5389">
            <w:pPr>
              <w:spacing w:line="240" w:lineRule="auto"/>
              <w:rPr>
                <w:rFonts w:eastAsia="Times New Roman" w:cs="Times New Roman"/>
                <w:color w:val="000000"/>
                <w:kern w:val="0"/>
                <w:sz w:val="16"/>
                <w:szCs w:val="16"/>
                <w:lang w:eastAsia="es-CO"/>
                <w14:ligatures w14:val="none"/>
              </w:rPr>
            </w:pPr>
            <w:r w:rsidRPr="00951AB1">
              <w:rPr>
                <w:rFonts w:eastAsia="Times New Roman" w:cs="Times New Roman"/>
                <w:color w:val="000000"/>
                <w:kern w:val="0"/>
                <w:sz w:val="16"/>
                <w:szCs w:val="16"/>
                <w:lang w:eastAsia="es-CO"/>
                <w14:ligatures w14:val="none"/>
              </w:rPr>
              <w:t>Perimetral Oriental De Bogotá SAS</w:t>
            </w:r>
          </w:p>
        </w:tc>
        <w:tc>
          <w:tcPr>
            <w:tcW w:w="1674" w:type="pct"/>
            <w:vAlign w:val="center"/>
            <w:hideMark/>
          </w:tcPr>
          <w:p w14:paraId="12C7AA4D" w14:textId="77777777" w:rsidR="006556E0" w:rsidRPr="00951AB1" w:rsidRDefault="006556E0" w:rsidP="000A5389">
            <w:pPr>
              <w:spacing w:line="240" w:lineRule="auto"/>
              <w:jc w:val="right"/>
              <w:rPr>
                <w:rFonts w:eastAsia="Times New Roman" w:cs="Times New Roman"/>
                <w:color w:val="000000"/>
                <w:kern w:val="0"/>
                <w:sz w:val="16"/>
                <w:szCs w:val="16"/>
                <w:lang w:eastAsia="es-CO"/>
                <w14:ligatures w14:val="none"/>
              </w:rPr>
            </w:pPr>
            <w:r w:rsidRPr="00951AB1">
              <w:rPr>
                <w:rFonts w:eastAsia="Times New Roman" w:cs="Times New Roman"/>
                <w:color w:val="000000"/>
                <w:kern w:val="0"/>
                <w:sz w:val="16"/>
                <w:szCs w:val="16"/>
                <w:lang w:eastAsia="es-CO"/>
                <w14:ligatures w14:val="none"/>
              </w:rPr>
              <w:t>114.160.957.469</w:t>
            </w:r>
          </w:p>
        </w:tc>
      </w:tr>
      <w:tr w:rsidR="006556E0" w:rsidRPr="00951AB1" w14:paraId="1ED20E6F" w14:textId="77777777" w:rsidTr="006F52CF">
        <w:trPr>
          <w:gridAfter w:val="1"/>
          <w:wAfter w:w="178" w:type="pct"/>
          <w:trHeight w:val="293"/>
        </w:trPr>
        <w:tc>
          <w:tcPr>
            <w:tcW w:w="3148" w:type="pct"/>
            <w:vAlign w:val="center"/>
            <w:hideMark/>
          </w:tcPr>
          <w:p w14:paraId="0A0147CA" w14:textId="77777777" w:rsidR="006556E0" w:rsidRPr="00951AB1" w:rsidRDefault="006556E0" w:rsidP="000A5389">
            <w:pPr>
              <w:spacing w:line="240" w:lineRule="auto"/>
              <w:rPr>
                <w:rFonts w:eastAsia="Times New Roman" w:cs="Times New Roman"/>
                <w:color w:val="000000"/>
                <w:kern w:val="0"/>
                <w:sz w:val="16"/>
                <w:szCs w:val="16"/>
                <w:lang w:eastAsia="es-CO"/>
                <w14:ligatures w14:val="none"/>
              </w:rPr>
            </w:pPr>
            <w:r w:rsidRPr="00951AB1">
              <w:rPr>
                <w:rFonts w:eastAsia="Times New Roman" w:cs="Times New Roman"/>
                <w:color w:val="000000"/>
                <w:kern w:val="0"/>
                <w:sz w:val="16"/>
                <w:szCs w:val="16"/>
                <w:lang w:eastAsia="es-CO"/>
                <w14:ligatures w14:val="none"/>
              </w:rPr>
              <w:t>concesión Alto Magdalena S A S</w:t>
            </w:r>
          </w:p>
        </w:tc>
        <w:tc>
          <w:tcPr>
            <w:tcW w:w="1674" w:type="pct"/>
            <w:vAlign w:val="center"/>
            <w:hideMark/>
          </w:tcPr>
          <w:p w14:paraId="6E2BBBD7" w14:textId="77777777" w:rsidR="006556E0" w:rsidRPr="00951AB1" w:rsidRDefault="006556E0" w:rsidP="000A5389">
            <w:pPr>
              <w:spacing w:line="240" w:lineRule="auto"/>
              <w:jc w:val="right"/>
              <w:rPr>
                <w:rFonts w:eastAsia="Times New Roman" w:cs="Times New Roman"/>
                <w:color w:val="000000"/>
                <w:kern w:val="0"/>
                <w:sz w:val="16"/>
                <w:szCs w:val="16"/>
                <w:lang w:eastAsia="es-CO"/>
                <w14:ligatures w14:val="none"/>
              </w:rPr>
            </w:pPr>
            <w:r w:rsidRPr="00951AB1">
              <w:rPr>
                <w:rFonts w:eastAsia="Times New Roman" w:cs="Times New Roman"/>
                <w:color w:val="000000"/>
                <w:kern w:val="0"/>
                <w:sz w:val="16"/>
                <w:szCs w:val="16"/>
                <w:lang w:eastAsia="es-CO"/>
                <w14:ligatures w14:val="none"/>
              </w:rPr>
              <w:t>110.554.166.486</w:t>
            </w:r>
          </w:p>
        </w:tc>
      </w:tr>
      <w:tr w:rsidR="006556E0" w:rsidRPr="00951AB1" w14:paraId="60691EDD" w14:textId="77777777" w:rsidTr="006F52CF">
        <w:trPr>
          <w:gridAfter w:val="1"/>
          <w:wAfter w:w="178" w:type="pct"/>
          <w:trHeight w:val="293"/>
        </w:trPr>
        <w:tc>
          <w:tcPr>
            <w:tcW w:w="3148" w:type="pct"/>
            <w:vAlign w:val="center"/>
            <w:hideMark/>
          </w:tcPr>
          <w:p w14:paraId="7B807E61" w14:textId="77777777" w:rsidR="006556E0" w:rsidRPr="00951AB1" w:rsidRDefault="006556E0" w:rsidP="000A5389">
            <w:pPr>
              <w:spacing w:line="240" w:lineRule="auto"/>
              <w:rPr>
                <w:rFonts w:eastAsia="Times New Roman" w:cs="Times New Roman"/>
                <w:color w:val="000000"/>
                <w:kern w:val="0"/>
                <w:sz w:val="16"/>
                <w:szCs w:val="16"/>
                <w:lang w:eastAsia="es-CO"/>
                <w14:ligatures w14:val="none"/>
              </w:rPr>
            </w:pPr>
            <w:r w:rsidRPr="00951AB1">
              <w:rPr>
                <w:rFonts w:eastAsia="Times New Roman" w:cs="Times New Roman"/>
                <w:color w:val="000000"/>
                <w:kern w:val="0"/>
                <w:sz w:val="16"/>
                <w:szCs w:val="16"/>
                <w:lang w:eastAsia="es-CO"/>
                <w14:ligatures w14:val="none"/>
              </w:rPr>
              <w:t>Nuevo Cauca S A S</w:t>
            </w:r>
          </w:p>
        </w:tc>
        <w:tc>
          <w:tcPr>
            <w:tcW w:w="1674" w:type="pct"/>
            <w:vAlign w:val="center"/>
            <w:hideMark/>
          </w:tcPr>
          <w:p w14:paraId="0B7D4913" w14:textId="77777777" w:rsidR="006556E0" w:rsidRPr="00951AB1" w:rsidRDefault="006556E0" w:rsidP="000A5389">
            <w:pPr>
              <w:spacing w:line="240" w:lineRule="auto"/>
              <w:jc w:val="right"/>
              <w:rPr>
                <w:rFonts w:eastAsia="Times New Roman" w:cs="Times New Roman"/>
                <w:color w:val="000000"/>
                <w:kern w:val="0"/>
                <w:sz w:val="16"/>
                <w:szCs w:val="16"/>
                <w:lang w:eastAsia="es-CO"/>
                <w14:ligatures w14:val="none"/>
              </w:rPr>
            </w:pPr>
            <w:r w:rsidRPr="00951AB1">
              <w:rPr>
                <w:rFonts w:eastAsia="Times New Roman" w:cs="Times New Roman"/>
                <w:color w:val="000000"/>
                <w:kern w:val="0"/>
                <w:sz w:val="16"/>
                <w:szCs w:val="16"/>
                <w:lang w:eastAsia="es-CO"/>
                <w14:ligatures w14:val="none"/>
              </w:rPr>
              <w:t>87.205.463.375</w:t>
            </w:r>
          </w:p>
        </w:tc>
      </w:tr>
      <w:tr w:rsidR="006556E0" w:rsidRPr="00951AB1" w14:paraId="7E69BEFD" w14:textId="77777777" w:rsidTr="006F52CF">
        <w:trPr>
          <w:gridAfter w:val="1"/>
          <w:wAfter w:w="178" w:type="pct"/>
          <w:trHeight w:val="293"/>
        </w:trPr>
        <w:tc>
          <w:tcPr>
            <w:tcW w:w="3148" w:type="pct"/>
            <w:vAlign w:val="center"/>
            <w:hideMark/>
          </w:tcPr>
          <w:p w14:paraId="3BD1F0A2" w14:textId="77777777" w:rsidR="006556E0" w:rsidRPr="00951AB1" w:rsidRDefault="006556E0" w:rsidP="000A5389">
            <w:pPr>
              <w:spacing w:line="240" w:lineRule="auto"/>
              <w:rPr>
                <w:rFonts w:eastAsia="Times New Roman" w:cs="Times New Roman"/>
                <w:color w:val="000000"/>
                <w:kern w:val="0"/>
                <w:sz w:val="16"/>
                <w:szCs w:val="16"/>
                <w:lang w:eastAsia="es-CO"/>
                <w14:ligatures w14:val="none"/>
              </w:rPr>
            </w:pPr>
            <w:r w:rsidRPr="00951AB1">
              <w:rPr>
                <w:rFonts w:eastAsia="Times New Roman" w:cs="Times New Roman"/>
                <w:color w:val="000000"/>
                <w:kern w:val="0"/>
                <w:sz w:val="16"/>
                <w:szCs w:val="16"/>
                <w:lang w:eastAsia="es-CO"/>
                <w14:ligatures w14:val="none"/>
              </w:rPr>
              <w:t>Concesionaria Ruta Al Sur S.A.S.</w:t>
            </w:r>
          </w:p>
        </w:tc>
        <w:tc>
          <w:tcPr>
            <w:tcW w:w="1674" w:type="pct"/>
            <w:vAlign w:val="center"/>
            <w:hideMark/>
          </w:tcPr>
          <w:p w14:paraId="0009435C" w14:textId="77777777" w:rsidR="006556E0" w:rsidRPr="00951AB1" w:rsidRDefault="006556E0" w:rsidP="000A5389">
            <w:pPr>
              <w:spacing w:line="240" w:lineRule="auto"/>
              <w:jc w:val="right"/>
              <w:rPr>
                <w:rFonts w:eastAsia="Times New Roman" w:cs="Times New Roman"/>
                <w:color w:val="000000"/>
                <w:kern w:val="0"/>
                <w:sz w:val="16"/>
                <w:szCs w:val="16"/>
                <w:lang w:eastAsia="es-CO"/>
                <w14:ligatures w14:val="none"/>
              </w:rPr>
            </w:pPr>
            <w:r w:rsidRPr="00951AB1">
              <w:rPr>
                <w:rFonts w:eastAsia="Times New Roman" w:cs="Times New Roman"/>
                <w:color w:val="000000"/>
                <w:kern w:val="0"/>
                <w:sz w:val="16"/>
                <w:szCs w:val="16"/>
                <w:lang w:eastAsia="es-CO"/>
                <w14:ligatures w14:val="none"/>
              </w:rPr>
              <w:t>76.814.036.529</w:t>
            </w:r>
          </w:p>
        </w:tc>
      </w:tr>
      <w:tr w:rsidR="006556E0" w:rsidRPr="00951AB1" w14:paraId="543EAEDA" w14:textId="77777777" w:rsidTr="006F52CF">
        <w:trPr>
          <w:gridAfter w:val="1"/>
          <w:wAfter w:w="178" w:type="pct"/>
          <w:trHeight w:val="293"/>
        </w:trPr>
        <w:tc>
          <w:tcPr>
            <w:tcW w:w="3148" w:type="pct"/>
            <w:vAlign w:val="center"/>
            <w:hideMark/>
          </w:tcPr>
          <w:p w14:paraId="39D0F44F" w14:textId="77777777" w:rsidR="006556E0" w:rsidRPr="00951AB1" w:rsidRDefault="006556E0" w:rsidP="000A5389">
            <w:pPr>
              <w:spacing w:line="240" w:lineRule="auto"/>
              <w:rPr>
                <w:rFonts w:eastAsia="Times New Roman" w:cs="Times New Roman"/>
                <w:color w:val="000000"/>
                <w:kern w:val="0"/>
                <w:sz w:val="16"/>
                <w:szCs w:val="16"/>
                <w:lang w:eastAsia="es-CO"/>
                <w14:ligatures w14:val="none"/>
              </w:rPr>
            </w:pPr>
            <w:r w:rsidRPr="00951AB1">
              <w:rPr>
                <w:rFonts w:eastAsia="Times New Roman" w:cs="Times New Roman"/>
                <w:color w:val="000000"/>
                <w:kern w:val="0"/>
                <w:sz w:val="16"/>
                <w:szCs w:val="16"/>
                <w:lang w:eastAsia="es-CO"/>
                <w14:ligatures w14:val="none"/>
              </w:rPr>
              <w:t xml:space="preserve">Perimetral Oriental De Bogotá SAS </w:t>
            </w:r>
          </w:p>
        </w:tc>
        <w:tc>
          <w:tcPr>
            <w:tcW w:w="1674" w:type="pct"/>
            <w:vAlign w:val="center"/>
            <w:hideMark/>
          </w:tcPr>
          <w:p w14:paraId="203960AE" w14:textId="77777777" w:rsidR="006556E0" w:rsidRPr="00951AB1" w:rsidRDefault="006556E0" w:rsidP="000A5389">
            <w:pPr>
              <w:spacing w:line="240" w:lineRule="auto"/>
              <w:jc w:val="right"/>
              <w:rPr>
                <w:rFonts w:eastAsia="Times New Roman" w:cs="Times New Roman"/>
                <w:color w:val="000000"/>
                <w:kern w:val="0"/>
                <w:sz w:val="16"/>
                <w:szCs w:val="16"/>
                <w:lang w:eastAsia="es-CO"/>
                <w14:ligatures w14:val="none"/>
              </w:rPr>
            </w:pPr>
            <w:r w:rsidRPr="00951AB1">
              <w:rPr>
                <w:rFonts w:eastAsia="Times New Roman" w:cs="Times New Roman"/>
                <w:color w:val="000000"/>
                <w:kern w:val="0"/>
                <w:sz w:val="16"/>
                <w:szCs w:val="16"/>
                <w:lang w:eastAsia="es-CO"/>
                <w14:ligatures w14:val="none"/>
              </w:rPr>
              <w:t>74.782.925.591</w:t>
            </w:r>
          </w:p>
        </w:tc>
      </w:tr>
      <w:tr w:rsidR="006556E0" w:rsidRPr="00951AB1" w14:paraId="782E2323" w14:textId="77777777" w:rsidTr="006F52CF">
        <w:trPr>
          <w:gridAfter w:val="1"/>
          <w:wAfter w:w="178" w:type="pct"/>
          <w:trHeight w:val="293"/>
        </w:trPr>
        <w:tc>
          <w:tcPr>
            <w:tcW w:w="3148" w:type="pct"/>
            <w:vAlign w:val="center"/>
            <w:hideMark/>
          </w:tcPr>
          <w:p w14:paraId="03C6D184" w14:textId="77777777" w:rsidR="006556E0" w:rsidRPr="00951AB1" w:rsidRDefault="006556E0" w:rsidP="000A5389">
            <w:pPr>
              <w:spacing w:line="240" w:lineRule="auto"/>
              <w:rPr>
                <w:rFonts w:eastAsia="Times New Roman" w:cs="Times New Roman"/>
                <w:color w:val="000000"/>
                <w:kern w:val="0"/>
                <w:sz w:val="16"/>
                <w:szCs w:val="16"/>
                <w:lang w:eastAsia="es-CO"/>
                <w14:ligatures w14:val="none"/>
              </w:rPr>
            </w:pPr>
            <w:r w:rsidRPr="00951AB1">
              <w:rPr>
                <w:rFonts w:eastAsia="Times New Roman" w:cs="Times New Roman"/>
                <w:color w:val="000000"/>
                <w:kern w:val="0"/>
                <w:sz w:val="16"/>
                <w:szCs w:val="16"/>
                <w:lang w:eastAsia="es-CO"/>
                <w14:ligatures w14:val="none"/>
              </w:rPr>
              <w:t>Fiduciaria La Previsora S.A. Pamplona – Cúcuta</w:t>
            </w:r>
          </w:p>
        </w:tc>
        <w:tc>
          <w:tcPr>
            <w:tcW w:w="1674" w:type="pct"/>
            <w:vAlign w:val="center"/>
            <w:hideMark/>
          </w:tcPr>
          <w:p w14:paraId="7D607324" w14:textId="77777777" w:rsidR="006556E0" w:rsidRPr="00951AB1" w:rsidRDefault="006556E0" w:rsidP="000A5389">
            <w:pPr>
              <w:spacing w:line="240" w:lineRule="auto"/>
              <w:jc w:val="right"/>
              <w:rPr>
                <w:rFonts w:eastAsia="Times New Roman" w:cs="Times New Roman"/>
                <w:color w:val="000000"/>
                <w:kern w:val="0"/>
                <w:sz w:val="16"/>
                <w:szCs w:val="16"/>
                <w:lang w:eastAsia="es-CO"/>
                <w14:ligatures w14:val="none"/>
              </w:rPr>
            </w:pPr>
            <w:r w:rsidRPr="00951AB1">
              <w:rPr>
                <w:rFonts w:eastAsia="Times New Roman" w:cs="Times New Roman"/>
                <w:color w:val="000000"/>
                <w:kern w:val="0"/>
                <w:sz w:val="16"/>
                <w:szCs w:val="16"/>
                <w:lang w:eastAsia="es-CO"/>
                <w14:ligatures w14:val="none"/>
              </w:rPr>
              <w:t>69.170.273.821</w:t>
            </w:r>
          </w:p>
        </w:tc>
      </w:tr>
      <w:tr w:rsidR="006556E0" w:rsidRPr="00951AB1" w14:paraId="7CEF6A07" w14:textId="77777777" w:rsidTr="006F52CF">
        <w:trPr>
          <w:gridAfter w:val="1"/>
          <w:wAfter w:w="178" w:type="pct"/>
          <w:trHeight w:val="293"/>
        </w:trPr>
        <w:tc>
          <w:tcPr>
            <w:tcW w:w="3148" w:type="pct"/>
            <w:vAlign w:val="center"/>
            <w:hideMark/>
          </w:tcPr>
          <w:p w14:paraId="1D06E7AF" w14:textId="77777777" w:rsidR="006556E0" w:rsidRPr="00951AB1" w:rsidRDefault="006556E0" w:rsidP="000A5389">
            <w:pPr>
              <w:spacing w:line="240" w:lineRule="auto"/>
              <w:rPr>
                <w:rFonts w:eastAsia="Times New Roman" w:cs="Times New Roman"/>
                <w:color w:val="000000"/>
                <w:kern w:val="0"/>
                <w:sz w:val="16"/>
                <w:szCs w:val="16"/>
                <w:lang w:eastAsia="es-CO"/>
                <w14:ligatures w14:val="none"/>
              </w:rPr>
            </w:pPr>
            <w:r w:rsidRPr="00951AB1">
              <w:rPr>
                <w:rFonts w:eastAsia="Times New Roman" w:cs="Times New Roman"/>
                <w:color w:val="000000"/>
                <w:kern w:val="0"/>
                <w:sz w:val="16"/>
                <w:szCs w:val="16"/>
                <w:lang w:eastAsia="es-CO"/>
                <w14:ligatures w14:val="none"/>
              </w:rPr>
              <w:t>Concesión Transversal Del Sisga S.A.S</w:t>
            </w:r>
          </w:p>
        </w:tc>
        <w:tc>
          <w:tcPr>
            <w:tcW w:w="1674" w:type="pct"/>
            <w:vAlign w:val="center"/>
            <w:hideMark/>
          </w:tcPr>
          <w:p w14:paraId="2CF2E2B1" w14:textId="77777777" w:rsidR="006556E0" w:rsidRPr="00951AB1" w:rsidRDefault="006556E0" w:rsidP="000A5389">
            <w:pPr>
              <w:spacing w:line="240" w:lineRule="auto"/>
              <w:jc w:val="right"/>
              <w:rPr>
                <w:rFonts w:eastAsia="Times New Roman" w:cs="Times New Roman"/>
                <w:color w:val="000000"/>
                <w:kern w:val="0"/>
                <w:sz w:val="16"/>
                <w:szCs w:val="16"/>
                <w:lang w:eastAsia="es-CO"/>
                <w14:ligatures w14:val="none"/>
              </w:rPr>
            </w:pPr>
            <w:r w:rsidRPr="00951AB1">
              <w:rPr>
                <w:rFonts w:eastAsia="Times New Roman" w:cs="Times New Roman"/>
                <w:color w:val="000000"/>
                <w:kern w:val="0"/>
                <w:sz w:val="16"/>
                <w:szCs w:val="16"/>
                <w:lang w:eastAsia="es-CO"/>
                <w14:ligatures w14:val="none"/>
              </w:rPr>
              <w:t>65.148.803.779</w:t>
            </w:r>
          </w:p>
        </w:tc>
      </w:tr>
      <w:tr w:rsidR="006556E0" w:rsidRPr="00951AB1" w14:paraId="74DE4294" w14:textId="77777777" w:rsidTr="006F52CF">
        <w:trPr>
          <w:gridAfter w:val="1"/>
          <w:wAfter w:w="178" w:type="pct"/>
          <w:trHeight w:val="293"/>
        </w:trPr>
        <w:tc>
          <w:tcPr>
            <w:tcW w:w="3148" w:type="pct"/>
            <w:vAlign w:val="center"/>
            <w:hideMark/>
          </w:tcPr>
          <w:p w14:paraId="07C3848F" w14:textId="77777777" w:rsidR="006556E0" w:rsidRPr="00951AB1" w:rsidRDefault="006556E0" w:rsidP="000A5389">
            <w:pPr>
              <w:spacing w:line="240" w:lineRule="auto"/>
              <w:rPr>
                <w:rFonts w:eastAsia="Times New Roman" w:cs="Times New Roman"/>
                <w:color w:val="000000"/>
                <w:kern w:val="0"/>
                <w:sz w:val="16"/>
                <w:szCs w:val="16"/>
                <w:lang w:eastAsia="es-CO"/>
                <w14:ligatures w14:val="none"/>
              </w:rPr>
            </w:pPr>
            <w:r w:rsidRPr="00951AB1">
              <w:rPr>
                <w:rFonts w:eastAsia="Times New Roman" w:cs="Times New Roman"/>
                <w:color w:val="000000"/>
                <w:kern w:val="0"/>
                <w:sz w:val="16"/>
                <w:szCs w:val="16"/>
                <w:lang w:eastAsia="es-CO"/>
                <w14:ligatures w14:val="none"/>
              </w:rPr>
              <w:lastRenderedPageBreak/>
              <w:t>Yuma Concesionaria S A - En Reorganización</w:t>
            </w:r>
          </w:p>
        </w:tc>
        <w:tc>
          <w:tcPr>
            <w:tcW w:w="1674" w:type="pct"/>
            <w:vAlign w:val="center"/>
            <w:hideMark/>
          </w:tcPr>
          <w:p w14:paraId="72C118B8" w14:textId="77777777" w:rsidR="006556E0" w:rsidRPr="00951AB1" w:rsidRDefault="006556E0" w:rsidP="000A5389">
            <w:pPr>
              <w:spacing w:line="240" w:lineRule="auto"/>
              <w:jc w:val="right"/>
              <w:rPr>
                <w:rFonts w:eastAsia="Times New Roman" w:cs="Times New Roman"/>
                <w:color w:val="000000"/>
                <w:kern w:val="0"/>
                <w:sz w:val="16"/>
                <w:szCs w:val="16"/>
                <w:lang w:eastAsia="es-CO"/>
                <w14:ligatures w14:val="none"/>
              </w:rPr>
            </w:pPr>
            <w:r w:rsidRPr="00951AB1">
              <w:rPr>
                <w:rFonts w:eastAsia="Times New Roman" w:cs="Times New Roman"/>
                <w:color w:val="000000"/>
                <w:kern w:val="0"/>
                <w:sz w:val="16"/>
                <w:szCs w:val="16"/>
                <w:lang w:eastAsia="es-CO"/>
                <w14:ligatures w14:val="none"/>
              </w:rPr>
              <w:t>63.145.153.797</w:t>
            </w:r>
          </w:p>
        </w:tc>
      </w:tr>
      <w:tr w:rsidR="006556E0" w:rsidRPr="00951AB1" w14:paraId="1BEA5F94" w14:textId="77777777" w:rsidTr="006F52CF">
        <w:trPr>
          <w:gridAfter w:val="1"/>
          <w:wAfter w:w="178" w:type="pct"/>
          <w:trHeight w:val="615"/>
        </w:trPr>
        <w:tc>
          <w:tcPr>
            <w:tcW w:w="3148" w:type="pct"/>
            <w:vAlign w:val="center"/>
            <w:hideMark/>
          </w:tcPr>
          <w:p w14:paraId="0DAD0BCC" w14:textId="77777777" w:rsidR="006556E0" w:rsidRPr="00951AB1" w:rsidRDefault="006556E0" w:rsidP="000A5389">
            <w:pPr>
              <w:spacing w:line="240" w:lineRule="auto"/>
              <w:rPr>
                <w:rFonts w:eastAsia="Times New Roman" w:cs="Times New Roman"/>
                <w:color w:val="000000"/>
                <w:kern w:val="0"/>
                <w:sz w:val="16"/>
                <w:szCs w:val="16"/>
                <w:lang w:eastAsia="es-CO"/>
                <w14:ligatures w14:val="none"/>
              </w:rPr>
            </w:pPr>
            <w:r w:rsidRPr="00951AB1">
              <w:rPr>
                <w:rFonts w:eastAsia="Times New Roman" w:cs="Times New Roman"/>
                <w:color w:val="000000"/>
                <w:kern w:val="0"/>
                <w:sz w:val="16"/>
                <w:szCs w:val="16"/>
                <w:lang w:eastAsia="es-CO"/>
                <w14:ligatures w14:val="none"/>
              </w:rPr>
              <w:t>Sociedad Concesionaria Vial Montes De Maria SAS - Proyecto Puerta De Hierro - Palmar De Varela Y Carreto - Cruz Del Viso</w:t>
            </w:r>
          </w:p>
        </w:tc>
        <w:tc>
          <w:tcPr>
            <w:tcW w:w="1674" w:type="pct"/>
            <w:vAlign w:val="center"/>
            <w:hideMark/>
          </w:tcPr>
          <w:p w14:paraId="42AA5778" w14:textId="77777777" w:rsidR="006556E0" w:rsidRPr="00951AB1" w:rsidRDefault="006556E0" w:rsidP="000A5389">
            <w:pPr>
              <w:spacing w:line="240" w:lineRule="auto"/>
              <w:jc w:val="right"/>
              <w:rPr>
                <w:rFonts w:eastAsia="Times New Roman" w:cs="Times New Roman"/>
                <w:color w:val="000000"/>
                <w:kern w:val="0"/>
                <w:sz w:val="16"/>
                <w:szCs w:val="16"/>
                <w:lang w:eastAsia="es-CO"/>
                <w14:ligatures w14:val="none"/>
              </w:rPr>
            </w:pPr>
            <w:r w:rsidRPr="00951AB1">
              <w:rPr>
                <w:rFonts w:eastAsia="Times New Roman" w:cs="Times New Roman"/>
                <w:color w:val="000000"/>
                <w:kern w:val="0"/>
                <w:sz w:val="16"/>
                <w:szCs w:val="16"/>
                <w:lang w:eastAsia="es-CO"/>
                <w14:ligatures w14:val="none"/>
              </w:rPr>
              <w:t>47.007.512.840</w:t>
            </w:r>
          </w:p>
        </w:tc>
      </w:tr>
      <w:tr w:rsidR="006556E0" w:rsidRPr="00951AB1" w14:paraId="0302A826" w14:textId="77777777" w:rsidTr="006F52CF">
        <w:trPr>
          <w:gridAfter w:val="1"/>
          <w:wAfter w:w="178" w:type="pct"/>
          <w:trHeight w:val="293"/>
        </w:trPr>
        <w:tc>
          <w:tcPr>
            <w:tcW w:w="3148" w:type="pct"/>
            <w:vAlign w:val="center"/>
            <w:hideMark/>
          </w:tcPr>
          <w:p w14:paraId="09616119" w14:textId="77777777" w:rsidR="006556E0" w:rsidRPr="00951AB1" w:rsidRDefault="006556E0" w:rsidP="000A5389">
            <w:pPr>
              <w:spacing w:line="240" w:lineRule="auto"/>
              <w:rPr>
                <w:rFonts w:eastAsia="Times New Roman" w:cs="Times New Roman"/>
                <w:color w:val="000000"/>
                <w:kern w:val="0"/>
                <w:sz w:val="16"/>
                <w:szCs w:val="16"/>
                <w:lang w:eastAsia="es-CO"/>
                <w14:ligatures w14:val="none"/>
              </w:rPr>
            </w:pPr>
            <w:r w:rsidRPr="00951AB1">
              <w:rPr>
                <w:rFonts w:eastAsia="Times New Roman" w:cs="Times New Roman"/>
                <w:color w:val="000000"/>
                <w:kern w:val="0"/>
                <w:sz w:val="16"/>
                <w:szCs w:val="16"/>
                <w:lang w:eastAsia="es-CO"/>
                <w14:ligatures w14:val="none"/>
              </w:rPr>
              <w:t>Autopista Magdalena Medio SAS</w:t>
            </w:r>
          </w:p>
        </w:tc>
        <w:tc>
          <w:tcPr>
            <w:tcW w:w="1674" w:type="pct"/>
            <w:vAlign w:val="center"/>
            <w:hideMark/>
          </w:tcPr>
          <w:p w14:paraId="77D6B5A0" w14:textId="77777777" w:rsidR="006556E0" w:rsidRPr="00951AB1" w:rsidRDefault="006556E0" w:rsidP="000A5389">
            <w:pPr>
              <w:spacing w:line="240" w:lineRule="auto"/>
              <w:jc w:val="right"/>
              <w:rPr>
                <w:rFonts w:eastAsia="Times New Roman" w:cs="Times New Roman"/>
                <w:color w:val="000000"/>
                <w:kern w:val="0"/>
                <w:sz w:val="16"/>
                <w:szCs w:val="16"/>
                <w:lang w:eastAsia="es-CO"/>
                <w14:ligatures w14:val="none"/>
              </w:rPr>
            </w:pPr>
            <w:r w:rsidRPr="00951AB1">
              <w:rPr>
                <w:rFonts w:eastAsia="Times New Roman" w:cs="Times New Roman"/>
                <w:color w:val="000000"/>
                <w:kern w:val="0"/>
                <w:sz w:val="16"/>
                <w:szCs w:val="16"/>
                <w:lang w:eastAsia="es-CO"/>
                <w14:ligatures w14:val="none"/>
              </w:rPr>
              <w:t>41.483.686.180</w:t>
            </w:r>
          </w:p>
        </w:tc>
      </w:tr>
      <w:tr w:rsidR="006556E0" w:rsidRPr="00951AB1" w14:paraId="7FC6D139" w14:textId="77777777" w:rsidTr="006F52CF">
        <w:trPr>
          <w:gridAfter w:val="1"/>
          <w:wAfter w:w="178" w:type="pct"/>
          <w:trHeight w:val="293"/>
        </w:trPr>
        <w:tc>
          <w:tcPr>
            <w:tcW w:w="3148" w:type="pct"/>
            <w:vAlign w:val="center"/>
            <w:hideMark/>
          </w:tcPr>
          <w:p w14:paraId="17F9785F" w14:textId="77777777" w:rsidR="006556E0" w:rsidRPr="00951AB1" w:rsidRDefault="006556E0" w:rsidP="000A5389">
            <w:pPr>
              <w:spacing w:line="240" w:lineRule="auto"/>
              <w:rPr>
                <w:rFonts w:eastAsia="Times New Roman" w:cs="Times New Roman"/>
                <w:color w:val="000000"/>
                <w:kern w:val="0"/>
                <w:sz w:val="16"/>
                <w:szCs w:val="16"/>
                <w:lang w:eastAsia="es-CO"/>
                <w14:ligatures w14:val="none"/>
              </w:rPr>
            </w:pPr>
            <w:r w:rsidRPr="00951AB1">
              <w:rPr>
                <w:rFonts w:eastAsia="Times New Roman" w:cs="Times New Roman"/>
                <w:color w:val="000000"/>
                <w:kern w:val="0"/>
                <w:sz w:val="16"/>
                <w:szCs w:val="16"/>
                <w:lang w:eastAsia="es-CO"/>
                <w14:ligatures w14:val="none"/>
              </w:rPr>
              <w:t>Concesión Santa Marta Paraguachon S.A.</w:t>
            </w:r>
          </w:p>
        </w:tc>
        <w:tc>
          <w:tcPr>
            <w:tcW w:w="1674" w:type="pct"/>
            <w:vAlign w:val="center"/>
            <w:hideMark/>
          </w:tcPr>
          <w:p w14:paraId="588BA1B0" w14:textId="77777777" w:rsidR="006556E0" w:rsidRPr="00951AB1" w:rsidRDefault="006556E0" w:rsidP="000A5389">
            <w:pPr>
              <w:spacing w:line="240" w:lineRule="auto"/>
              <w:jc w:val="right"/>
              <w:rPr>
                <w:rFonts w:eastAsia="Times New Roman" w:cs="Times New Roman"/>
                <w:color w:val="000000"/>
                <w:kern w:val="0"/>
                <w:sz w:val="16"/>
                <w:szCs w:val="16"/>
                <w:lang w:eastAsia="es-CO"/>
                <w14:ligatures w14:val="none"/>
              </w:rPr>
            </w:pPr>
            <w:r w:rsidRPr="00951AB1">
              <w:rPr>
                <w:rFonts w:eastAsia="Times New Roman" w:cs="Times New Roman"/>
                <w:color w:val="000000"/>
                <w:kern w:val="0"/>
                <w:sz w:val="16"/>
                <w:szCs w:val="16"/>
                <w:lang w:eastAsia="es-CO"/>
                <w14:ligatures w14:val="none"/>
              </w:rPr>
              <w:t>40.684.000.000</w:t>
            </w:r>
          </w:p>
        </w:tc>
      </w:tr>
      <w:tr w:rsidR="006556E0" w:rsidRPr="00951AB1" w14:paraId="1A1CBCF0" w14:textId="77777777" w:rsidTr="006F52CF">
        <w:trPr>
          <w:gridAfter w:val="1"/>
          <w:wAfter w:w="178" w:type="pct"/>
          <w:trHeight w:val="293"/>
        </w:trPr>
        <w:tc>
          <w:tcPr>
            <w:tcW w:w="3148" w:type="pct"/>
            <w:vAlign w:val="center"/>
            <w:hideMark/>
          </w:tcPr>
          <w:p w14:paraId="09557451" w14:textId="77777777" w:rsidR="006556E0" w:rsidRPr="00951AB1" w:rsidRDefault="006556E0" w:rsidP="000A5389">
            <w:pPr>
              <w:spacing w:line="240" w:lineRule="auto"/>
              <w:rPr>
                <w:rFonts w:eastAsia="Times New Roman" w:cs="Times New Roman"/>
                <w:color w:val="000000"/>
                <w:kern w:val="0"/>
                <w:sz w:val="16"/>
                <w:szCs w:val="16"/>
                <w:lang w:eastAsia="es-CO"/>
                <w14:ligatures w14:val="none"/>
              </w:rPr>
            </w:pPr>
            <w:r w:rsidRPr="00951AB1">
              <w:rPr>
                <w:rFonts w:eastAsia="Times New Roman" w:cs="Times New Roman"/>
                <w:color w:val="000000"/>
                <w:kern w:val="0"/>
                <w:sz w:val="16"/>
                <w:szCs w:val="16"/>
                <w:lang w:eastAsia="es-CO"/>
                <w14:ligatures w14:val="none"/>
              </w:rPr>
              <w:t>Autopista Del Rio Grande S.A.S</w:t>
            </w:r>
          </w:p>
        </w:tc>
        <w:tc>
          <w:tcPr>
            <w:tcW w:w="1674" w:type="pct"/>
            <w:vAlign w:val="center"/>
            <w:hideMark/>
          </w:tcPr>
          <w:p w14:paraId="2E5BFD9A" w14:textId="77777777" w:rsidR="006556E0" w:rsidRPr="00951AB1" w:rsidRDefault="006556E0" w:rsidP="000A5389">
            <w:pPr>
              <w:spacing w:line="240" w:lineRule="auto"/>
              <w:jc w:val="right"/>
              <w:rPr>
                <w:rFonts w:eastAsia="Times New Roman" w:cs="Times New Roman"/>
                <w:color w:val="000000"/>
                <w:kern w:val="0"/>
                <w:sz w:val="16"/>
                <w:szCs w:val="16"/>
                <w:lang w:eastAsia="es-CO"/>
                <w14:ligatures w14:val="none"/>
              </w:rPr>
            </w:pPr>
            <w:r w:rsidRPr="00951AB1">
              <w:rPr>
                <w:rFonts w:eastAsia="Times New Roman" w:cs="Times New Roman"/>
                <w:color w:val="000000"/>
                <w:kern w:val="0"/>
                <w:sz w:val="16"/>
                <w:szCs w:val="16"/>
                <w:lang w:eastAsia="es-CO"/>
                <w14:ligatures w14:val="none"/>
              </w:rPr>
              <w:t>29.034.999.539</w:t>
            </w:r>
          </w:p>
        </w:tc>
      </w:tr>
      <w:tr w:rsidR="006556E0" w:rsidRPr="00951AB1" w14:paraId="625D5F92" w14:textId="77777777" w:rsidTr="006F52CF">
        <w:trPr>
          <w:gridAfter w:val="1"/>
          <w:wAfter w:w="178" w:type="pct"/>
          <w:trHeight w:val="293"/>
        </w:trPr>
        <w:tc>
          <w:tcPr>
            <w:tcW w:w="3148" w:type="pct"/>
            <w:vAlign w:val="center"/>
            <w:hideMark/>
          </w:tcPr>
          <w:p w14:paraId="5B88FB4F" w14:textId="77777777" w:rsidR="006556E0" w:rsidRPr="00951AB1" w:rsidRDefault="006556E0" w:rsidP="000A5389">
            <w:pPr>
              <w:spacing w:line="240" w:lineRule="auto"/>
              <w:rPr>
                <w:rFonts w:eastAsia="Times New Roman" w:cs="Times New Roman"/>
                <w:color w:val="000000"/>
                <w:kern w:val="0"/>
                <w:sz w:val="16"/>
                <w:szCs w:val="16"/>
                <w:lang w:eastAsia="es-CO"/>
                <w14:ligatures w14:val="none"/>
              </w:rPr>
            </w:pPr>
            <w:r w:rsidRPr="00951AB1">
              <w:rPr>
                <w:rFonts w:eastAsia="Times New Roman" w:cs="Times New Roman"/>
                <w:color w:val="000000"/>
                <w:kern w:val="0"/>
                <w:sz w:val="16"/>
                <w:szCs w:val="16"/>
                <w:lang w:eastAsia="es-CO"/>
                <w14:ligatures w14:val="none"/>
              </w:rPr>
              <w:t>Fiduciaria La Previsora S.A. Autopista Al Mar 1</w:t>
            </w:r>
          </w:p>
        </w:tc>
        <w:tc>
          <w:tcPr>
            <w:tcW w:w="1674" w:type="pct"/>
            <w:vAlign w:val="center"/>
            <w:hideMark/>
          </w:tcPr>
          <w:p w14:paraId="311DE16A" w14:textId="77777777" w:rsidR="006556E0" w:rsidRPr="00951AB1" w:rsidRDefault="006556E0" w:rsidP="000A5389">
            <w:pPr>
              <w:spacing w:line="240" w:lineRule="auto"/>
              <w:jc w:val="right"/>
              <w:rPr>
                <w:rFonts w:eastAsia="Times New Roman" w:cs="Times New Roman"/>
                <w:color w:val="000000"/>
                <w:kern w:val="0"/>
                <w:sz w:val="16"/>
                <w:szCs w:val="16"/>
                <w:lang w:eastAsia="es-CO"/>
                <w14:ligatures w14:val="none"/>
              </w:rPr>
            </w:pPr>
            <w:r w:rsidRPr="00951AB1">
              <w:rPr>
                <w:rFonts w:eastAsia="Times New Roman" w:cs="Times New Roman"/>
                <w:color w:val="000000"/>
                <w:kern w:val="0"/>
                <w:sz w:val="16"/>
                <w:szCs w:val="16"/>
                <w:lang w:eastAsia="es-CO"/>
                <w14:ligatures w14:val="none"/>
              </w:rPr>
              <w:t>23.753.191.741</w:t>
            </w:r>
          </w:p>
        </w:tc>
      </w:tr>
      <w:tr w:rsidR="006556E0" w:rsidRPr="00951AB1" w14:paraId="0A9D5C97" w14:textId="77777777" w:rsidTr="006F52CF">
        <w:trPr>
          <w:gridAfter w:val="1"/>
          <w:wAfter w:w="178" w:type="pct"/>
          <w:trHeight w:val="413"/>
        </w:trPr>
        <w:tc>
          <w:tcPr>
            <w:tcW w:w="3148" w:type="pct"/>
            <w:vAlign w:val="center"/>
            <w:hideMark/>
          </w:tcPr>
          <w:p w14:paraId="3328497E" w14:textId="77777777" w:rsidR="006556E0" w:rsidRPr="00951AB1" w:rsidRDefault="006556E0" w:rsidP="000A5389">
            <w:pPr>
              <w:spacing w:line="240" w:lineRule="auto"/>
              <w:rPr>
                <w:rFonts w:eastAsia="Times New Roman" w:cs="Times New Roman"/>
                <w:color w:val="000000"/>
                <w:kern w:val="0"/>
                <w:sz w:val="16"/>
                <w:szCs w:val="16"/>
                <w:lang w:eastAsia="es-CO"/>
                <w14:ligatures w14:val="none"/>
              </w:rPr>
            </w:pPr>
            <w:r w:rsidRPr="00951AB1">
              <w:rPr>
                <w:rFonts w:eastAsia="Times New Roman" w:cs="Times New Roman"/>
                <w:color w:val="000000"/>
                <w:kern w:val="0"/>
                <w:sz w:val="16"/>
                <w:szCs w:val="16"/>
                <w:lang w:eastAsia="es-CO"/>
                <w14:ligatures w14:val="none"/>
              </w:rPr>
              <w:t>Fiduciaria La Previsora S.A. Briceño - Tunja - Sogamoso</w:t>
            </w:r>
          </w:p>
        </w:tc>
        <w:tc>
          <w:tcPr>
            <w:tcW w:w="1674" w:type="pct"/>
            <w:vAlign w:val="center"/>
            <w:hideMark/>
          </w:tcPr>
          <w:p w14:paraId="2B983E5E" w14:textId="77777777" w:rsidR="006556E0" w:rsidRPr="00951AB1" w:rsidRDefault="006556E0" w:rsidP="000A5389">
            <w:pPr>
              <w:spacing w:line="240" w:lineRule="auto"/>
              <w:jc w:val="right"/>
              <w:rPr>
                <w:rFonts w:eastAsia="Times New Roman" w:cs="Times New Roman"/>
                <w:color w:val="000000"/>
                <w:kern w:val="0"/>
                <w:sz w:val="16"/>
                <w:szCs w:val="16"/>
                <w:lang w:eastAsia="es-CO"/>
                <w14:ligatures w14:val="none"/>
              </w:rPr>
            </w:pPr>
            <w:r w:rsidRPr="00951AB1">
              <w:rPr>
                <w:rFonts w:eastAsia="Times New Roman" w:cs="Times New Roman"/>
                <w:color w:val="000000"/>
                <w:kern w:val="0"/>
                <w:sz w:val="16"/>
                <w:szCs w:val="16"/>
                <w:lang w:eastAsia="es-CO"/>
                <w14:ligatures w14:val="none"/>
              </w:rPr>
              <w:t>12.258.489.544</w:t>
            </w:r>
          </w:p>
        </w:tc>
      </w:tr>
      <w:tr w:rsidR="006556E0" w:rsidRPr="00951AB1" w14:paraId="4CE6FCCE" w14:textId="77777777" w:rsidTr="006F52CF">
        <w:trPr>
          <w:gridAfter w:val="1"/>
          <w:wAfter w:w="178" w:type="pct"/>
          <w:trHeight w:val="293"/>
        </w:trPr>
        <w:tc>
          <w:tcPr>
            <w:tcW w:w="3148" w:type="pct"/>
            <w:vAlign w:val="center"/>
            <w:hideMark/>
          </w:tcPr>
          <w:p w14:paraId="51F5C86C" w14:textId="77777777" w:rsidR="006556E0" w:rsidRPr="00951AB1" w:rsidRDefault="006556E0" w:rsidP="000A5389">
            <w:pPr>
              <w:spacing w:line="240" w:lineRule="auto"/>
              <w:rPr>
                <w:rFonts w:eastAsia="Times New Roman" w:cs="Times New Roman"/>
                <w:color w:val="000000"/>
                <w:kern w:val="0"/>
                <w:sz w:val="16"/>
                <w:szCs w:val="16"/>
                <w:lang w:eastAsia="es-CO"/>
                <w14:ligatures w14:val="none"/>
              </w:rPr>
            </w:pPr>
            <w:r w:rsidRPr="00951AB1">
              <w:rPr>
                <w:rFonts w:eastAsia="Times New Roman" w:cs="Times New Roman"/>
                <w:color w:val="000000"/>
                <w:kern w:val="0"/>
                <w:sz w:val="16"/>
                <w:szCs w:val="16"/>
                <w:lang w:eastAsia="es-CO"/>
                <w14:ligatures w14:val="none"/>
              </w:rPr>
              <w:t>Fiduciaria La Previsora S.A.  Pamplona – Cúcuta</w:t>
            </w:r>
          </w:p>
        </w:tc>
        <w:tc>
          <w:tcPr>
            <w:tcW w:w="1674" w:type="pct"/>
            <w:vAlign w:val="center"/>
            <w:hideMark/>
          </w:tcPr>
          <w:p w14:paraId="5D16C095" w14:textId="77777777" w:rsidR="006556E0" w:rsidRPr="00951AB1" w:rsidRDefault="006556E0" w:rsidP="000A5389">
            <w:pPr>
              <w:spacing w:line="240" w:lineRule="auto"/>
              <w:jc w:val="right"/>
              <w:rPr>
                <w:rFonts w:eastAsia="Times New Roman" w:cs="Times New Roman"/>
                <w:color w:val="000000"/>
                <w:kern w:val="0"/>
                <w:sz w:val="16"/>
                <w:szCs w:val="16"/>
                <w:lang w:eastAsia="es-CO"/>
                <w14:ligatures w14:val="none"/>
              </w:rPr>
            </w:pPr>
            <w:r w:rsidRPr="00951AB1">
              <w:rPr>
                <w:rFonts w:eastAsia="Times New Roman" w:cs="Times New Roman"/>
                <w:color w:val="000000"/>
                <w:kern w:val="0"/>
                <w:sz w:val="16"/>
                <w:szCs w:val="16"/>
                <w:lang w:eastAsia="es-CO"/>
                <w14:ligatures w14:val="none"/>
              </w:rPr>
              <w:t>11.683.899.829</w:t>
            </w:r>
          </w:p>
        </w:tc>
      </w:tr>
      <w:tr w:rsidR="006556E0" w:rsidRPr="00951AB1" w14:paraId="1107A998" w14:textId="77777777" w:rsidTr="006F52CF">
        <w:trPr>
          <w:gridAfter w:val="1"/>
          <w:wAfter w:w="178" w:type="pct"/>
          <w:trHeight w:val="293"/>
        </w:trPr>
        <w:tc>
          <w:tcPr>
            <w:tcW w:w="3148" w:type="pct"/>
            <w:vAlign w:val="center"/>
            <w:hideMark/>
          </w:tcPr>
          <w:p w14:paraId="547D3B28" w14:textId="77777777" w:rsidR="006556E0" w:rsidRPr="00951AB1" w:rsidRDefault="006556E0" w:rsidP="000A5389">
            <w:pPr>
              <w:spacing w:line="240" w:lineRule="auto"/>
              <w:rPr>
                <w:rFonts w:eastAsia="Times New Roman" w:cs="Times New Roman"/>
                <w:color w:val="000000"/>
                <w:kern w:val="0"/>
                <w:sz w:val="16"/>
                <w:szCs w:val="16"/>
                <w:lang w:eastAsia="es-CO"/>
                <w14:ligatures w14:val="none"/>
              </w:rPr>
            </w:pPr>
            <w:r w:rsidRPr="00951AB1">
              <w:rPr>
                <w:rFonts w:eastAsia="Times New Roman" w:cs="Times New Roman"/>
                <w:color w:val="000000"/>
                <w:kern w:val="0"/>
                <w:sz w:val="16"/>
                <w:szCs w:val="16"/>
                <w:lang w:eastAsia="es-CO"/>
                <w14:ligatures w14:val="none"/>
              </w:rPr>
              <w:t>Fiduciaria La Previsora S.A. Conexión Pacifico 1</w:t>
            </w:r>
          </w:p>
        </w:tc>
        <w:tc>
          <w:tcPr>
            <w:tcW w:w="1674" w:type="pct"/>
            <w:vAlign w:val="center"/>
            <w:hideMark/>
          </w:tcPr>
          <w:p w14:paraId="635362F1" w14:textId="77777777" w:rsidR="006556E0" w:rsidRPr="00951AB1" w:rsidRDefault="006556E0" w:rsidP="000A5389">
            <w:pPr>
              <w:spacing w:line="240" w:lineRule="auto"/>
              <w:jc w:val="right"/>
              <w:rPr>
                <w:rFonts w:eastAsia="Times New Roman" w:cs="Times New Roman"/>
                <w:color w:val="000000"/>
                <w:kern w:val="0"/>
                <w:sz w:val="16"/>
                <w:szCs w:val="16"/>
                <w:lang w:eastAsia="es-CO"/>
                <w14:ligatures w14:val="none"/>
              </w:rPr>
            </w:pPr>
            <w:r w:rsidRPr="00951AB1">
              <w:rPr>
                <w:rFonts w:eastAsia="Times New Roman" w:cs="Times New Roman"/>
                <w:color w:val="000000"/>
                <w:kern w:val="0"/>
                <w:sz w:val="16"/>
                <w:szCs w:val="16"/>
                <w:lang w:eastAsia="es-CO"/>
                <w14:ligatures w14:val="none"/>
              </w:rPr>
              <w:t>9.648.252.727</w:t>
            </w:r>
          </w:p>
        </w:tc>
      </w:tr>
      <w:tr w:rsidR="006556E0" w:rsidRPr="00951AB1" w14:paraId="439E640C" w14:textId="77777777" w:rsidTr="006F52CF">
        <w:trPr>
          <w:gridAfter w:val="1"/>
          <w:wAfter w:w="178" w:type="pct"/>
          <w:trHeight w:val="413"/>
        </w:trPr>
        <w:tc>
          <w:tcPr>
            <w:tcW w:w="3148" w:type="pct"/>
            <w:vAlign w:val="center"/>
            <w:hideMark/>
          </w:tcPr>
          <w:p w14:paraId="6E01F13A" w14:textId="77777777" w:rsidR="006556E0" w:rsidRPr="00951AB1" w:rsidRDefault="006556E0" w:rsidP="000A5389">
            <w:pPr>
              <w:spacing w:line="240" w:lineRule="auto"/>
              <w:rPr>
                <w:rFonts w:eastAsia="Times New Roman" w:cs="Times New Roman"/>
                <w:color w:val="000000"/>
                <w:kern w:val="0"/>
                <w:sz w:val="16"/>
                <w:szCs w:val="16"/>
                <w:lang w:eastAsia="es-CO"/>
                <w14:ligatures w14:val="none"/>
              </w:rPr>
            </w:pPr>
            <w:r w:rsidRPr="00951AB1">
              <w:rPr>
                <w:rFonts w:eastAsia="Times New Roman" w:cs="Times New Roman"/>
                <w:color w:val="000000"/>
                <w:kern w:val="0"/>
                <w:sz w:val="16"/>
                <w:szCs w:val="16"/>
                <w:lang w:eastAsia="es-CO"/>
                <w14:ligatures w14:val="none"/>
              </w:rPr>
              <w:t>Fiduciaria La Previsora S.A. Santana Mocoa- Neiva</w:t>
            </w:r>
          </w:p>
        </w:tc>
        <w:tc>
          <w:tcPr>
            <w:tcW w:w="1674" w:type="pct"/>
            <w:vAlign w:val="center"/>
            <w:hideMark/>
          </w:tcPr>
          <w:p w14:paraId="5B902313" w14:textId="77777777" w:rsidR="006556E0" w:rsidRPr="00951AB1" w:rsidRDefault="006556E0" w:rsidP="000A5389">
            <w:pPr>
              <w:spacing w:line="240" w:lineRule="auto"/>
              <w:jc w:val="right"/>
              <w:rPr>
                <w:rFonts w:eastAsia="Times New Roman" w:cs="Times New Roman"/>
                <w:color w:val="000000"/>
                <w:kern w:val="0"/>
                <w:sz w:val="16"/>
                <w:szCs w:val="16"/>
                <w:lang w:eastAsia="es-CO"/>
                <w14:ligatures w14:val="none"/>
              </w:rPr>
            </w:pPr>
            <w:r w:rsidRPr="00951AB1">
              <w:rPr>
                <w:rFonts w:eastAsia="Times New Roman" w:cs="Times New Roman"/>
                <w:color w:val="000000"/>
                <w:kern w:val="0"/>
                <w:sz w:val="16"/>
                <w:szCs w:val="16"/>
                <w:lang w:eastAsia="es-CO"/>
                <w14:ligatures w14:val="none"/>
              </w:rPr>
              <w:t>6.602.441.998</w:t>
            </w:r>
          </w:p>
        </w:tc>
      </w:tr>
      <w:tr w:rsidR="006556E0" w:rsidRPr="00951AB1" w14:paraId="7FD3ECE6" w14:textId="77777777" w:rsidTr="006F52CF">
        <w:trPr>
          <w:gridAfter w:val="1"/>
          <w:wAfter w:w="178" w:type="pct"/>
          <w:trHeight w:val="293"/>
        </w:trPr>
        <w:tc>
          <w:tcPr>
            <w:tcW w:w="3148" w:type="pct"/>
            <w:vAlign w:val="center"/>
            <w:hideMark/>
          </w:tcPr>
          <w:p w14:paraId="2E70F987" w14:textId="77777777" w:rsidR="006556E0" w:rsidRPr="00951AB1" w:rsidRDefault="006556E0" w:rsidP="000A5389">
            <w:pPr>
              <w:spacing w:line="240" w:lineRule="auto"/>
              <w:rPr>
                <w:rFonts w:eastAsia="Times New Roman" w:cs="Times New Roman"/>
                <w:color w:val="000000"/>
                <w:kern w:val="0"/>
                <w:sz w:val="16"/>
                <w:szCs w:val="16"/>
                <w:lang w:eastAsia="es-CO"/>
                <w14:ligatures w14:val="none"/>
              </w:rPr>
            </w:pPr>
            <w:r w:rsidRPr="00951AB1">
              <w:rPr>
                <w:rFonts w:eastAsia="Times New Roman" w:cs="Times New Roman"/>
                <w:color w:val="000000"/>
                <w:kern w:val="0"/>
                <w:sz w:val="16"/>
                <w:szCs w:val="16"/>
                <w:lang w:eastAsia="es-CO"/>
                <w14:ligatures w14:val="none"/>
              </w:rPr>
              <w:t>Autopistas Del Café S.A.</w:t>
            </w:r>
          </w:p>
        </w:tc>
        <w:tc>
          <w:tcPr>
            <w:tcW w:w="1674" w:type="pct"/>
            <w:vAlign w:val="center"/>
            <w:hideMark/>
          </w:tcPr>
          <w:p w14:paraId="3F21695D" w14:textId="77777777" w:rsidR="006556E0" w:rsidRPr="00951AB1" w:rsidRDefault="006556E0" w:rsidP="000A5389">
            <w:pPr>
              <w:spacing w:line="240" w:lineRule="auto"/>
              <w:jc w:val="right"/>
              <w:rPr>
                <w:rFonts w:eastAsia="Times New Roman" w:cs="Times New Roman"/>
                <w:color w:val="000000"/>
                <w:kern w:val="0"/>
                <w:sz w:val="16"/>
                <w:szCs w:val="16"/>
                <w:lang w:eastAsia="es-CO"/>
                <w14:ligatures w14:val="none"/>
              </w:rPr>
            </w:pPr>
            <w:r w:rsidRPr="00951AB1">
              <w:rPr>
                <w:rFonts w:eastAsia="Times New Roman" w:cs="Times New Roman"/>
                <w:color w:val="000000"/>
                <w:kern w:val="0"/>
                <w:sz w:val="16"/>
                <w:szCs w:val="16"/>
                <w:lang w:eastAsia="es-CO"/>
                <w14:ligatures w14:val="none"/>
              </w:rPr>
              <w:t>3.452.936.109</w:t>
            </w:r>
          </w:p>
        </w:tc>
      </w:tr>
      <w:tr w:rsidR="006556E0" w:rsidRPr="00951AB1" w14:paraId="49C58FEF" w14:textId="77777777" w:rsidTr="006F52CF">
        <w:trPr>
          <w:gridAfter w:val="1"/>
          <w:wAfter w:w="178" w:type="pct"/>
          <w:trHeight w:val="413"/>
        </w:trPr>
        <w:tc>
          <w:tcPr>
            <w:tcW w:w="3148" w:type="pct"/>
            <w:vAlign w:val="center"/>
            <w:hideMark/>
          </w:tcPr>
          <w:p w14:paraId="003424C7" w14:textId="77777777" w:rsidR="006556E0" w:rsidRPr="00951AB1" w:rsidRDefault="006556E0" w:rsidP="000A5389">
            <w:pPr>
              <w:spacing w:line="240" w:lineRule="auto"/>
              <w:rPr>
                <w:rFonts w:eastAsia="Times New Roman" w:cs="Times New Roman"/>
                <w:color w:val="000000"/>
                <w:kern w:val="0"/>
                <w:sz w:val="16"/>
                <w:szCs w:val="16"/>
                <w:lang w:eastAsia="es-CO"/>
                <w14:ligatures w14:val="none"/>
              </w:rPr>
            </w:pPr>
            <w:r w:rsidRPr="00951AB1">
              <w:rPr>
                <w:rFonts w:eastAsia="Times New Roman" w:cs="Times New Roman"/>
                <w:color w:val="000000"/>
                <w:kern w:val="0"/>
                <w:sz w:val="16"/>
                <w:szCs w:val="16"/>
                <w:lang w:eastAsia="es-CO"/>
                <w14:ligatures w14:val="none"/>
              </w:rPr>
              <w:t>Fiduciaria La Previsora S.A. Popayán - Santander De Quilichao</w:t>
            </w:r>
          </w:p>
        </w:tc>
        <w:tc>
          <w:tcPr>
            <w:tcW w:w="1674" w:type="pct"/>
            <w:vAlign w:val="center"/>
            <w:hideMark/>
          </w:tcPr>
          <w:p w14:paraId="6B738516" w14:textId="77777777" w:rsidR="006556E0" w:rsidRPr="00951AB1" w:rsidRDefault="006556E0" w:rsidP="000A5389">
            <w:pPr>
              <w:spacing w:line="240" w:lineRule="auto"/>
              <w:jc w:val="right"/>
              <w:rPr>
                <w:rFonts w:eastAsia="Times New Roman" w:cs="Times New Roman"/>
                <w:color w:val="000000"/>
                <w:kern w:val="0"/>
                <w:sz w:val="16"/>
                <w:szCs w:val="16"/>
                <w:lang w:eastAsia="es-CO"/>
                <w14:ligatures w14:val="none"/>
              </w:rPr>
            </w:pPr>
            <w:r w:rsidRPr="00951AB1">
              <w:rPr>
                <w:rFonts w:eastAsia="Times New Roman" w:cs="Times New Roman"/>
                <w:color w:val="000000"/>
                <w:kern w:val="0"/>
                <w:sz w:val="16"/>
                <w:szCs w:val="16"/>
                <w:lang w:eastAsia="es-CO"/>
                <w14:ligatures w14:val="none"/>
              </w:rPr>
              <w:t>2.443.358.471</w:t>
            </w:r>
          </w:p>
        </w:tc>
      </w:tr>
      <w:tr w:rsidR="006556E0" w:rsidRPr="00951AB1" w14:paraId="7F1A54B1" w14:textId="77777777" w:rsidTr="006F52CF">
        <w:trPr>
          <w:gridAfter w:val="1"/>
          <w:wAfter w:w="178" w:type="pct"/>
          <w:trHeight w:val="293"/>
        </w:trPr>
        <w:tc>
          <w:tcPr>
            <w:tcW w:w="3148" w:type="pct"/>
            <w:vAlign w:val="center"/>
            <w:hideMark/>
          </w:tcPr>
          <w:p w14:paraId="3B2F9E1D" w14:textId="77777777" w:rsidR="006556E0" w:rsidRPr="00951AB1" w:rsidRDefault="006556E0" w:rsidP="000A5389">
            <w:pPr>
              <w:spacing w:line="240" w:lineRule="auto"/>
              <w:rPr>
                <w:rFonts w:eastAsia="Times New Roman" w:cs="Times New Roman"/>
                <w:color w:val="000000"/>
                <w:kern w:val="0"/>
                <w:sz w:val="16"/>
                <w:szCs w:val="16"/>
                <w:lang w:eastAsia="es-CO"/>
                <w14:ligatures w14:val="none"/>
              </w:rPr>
            </w:pPr>
            <w:r w:rsidRPr="00951AB1">
              <w:rPr>
                <w:rFonts w:eastAsia="Times New Roman" w:cs="Times New Roman"/>
                <w:color w:val="000000"/>
                <w:kern w:val="0"/>
                <w:sz w:val="16"/>
                <w:szCs w:val="16"/>
                <w:lang w:eastAsia="es-CO"/>
                <w14:ligatures w14:val="none"/>
              </w:rPr>
              <w:t>Findeter VE-809-2023</w:t>
            </w:r>
          </w:p>
        </w:tc>
        <w:tc>
          <w:tcPr>
            <w:tcW w:w="1674" w:type="pct"/>
            <w:vAlign w:val="center"/>
            <w:hideMark/>
          </w:tcPr>
          <w:p w14:paraId="2CD193A8" w14:textId="77777777" w:rsidR="006556E0" w:rsidRPr="00951AB1" w:rsidRDefault="006556E0" w:rsidP="000A5389">
            <w:pPr>
              <w:spacing w:line="240" w:lineRule="auto"/>
              <w:jc w:val="right"/>
              <w:rPr>
                <w:rFonts w:eastAsia="Times New Roman" w:cs="Times New Roman"/>
                <w:color w:val="000000"/>
                <w:kern w:val="0"/>
                <w:sz w:val="16"/>
                <w:szCs w:val="16"/>
                <w:lang w:eastAsia="es-CO"/>
                <w14:ligatures w14:val="none"/>
              </w:rPr>
            </w:pPr>
            <w:r w:rsidRPr="00951AB1">
              <w:rPr>
                <w:rFonts w:eastAsia="Times New Roman" w:cs="Times New Roman"/>
                <w:color w:val="000000"/>
                <w:kern w:val="0"/>
                <w:sz w:val="16"/>
                <w:szCs w:val="16"/>
                <w:lang w:eastAsia="es-CO"/>
                <w14:ligatures w14:val="none"/>
              </w:rPr>
              <w:t>941.064.353</w:t>
            </w:r>
          </w:p>
        </w:tc>
      </w:tr>
      <w:tr w:rsidR="006556E0" w:rsidRPr="00951AB1" w14:paraId="26311492" w14:textId="77777777" w:rsidTr="006F52CF">
        <w:trPr>
          <w:gridAfter w:val="1"/>
          <w:wAfter w:w="178" w:type="pct"/>
          <w:trHeight w:val="293"/>
        </w:trPr>
        <w:tc>
          <w:tcPr>
            <w:tcW w:w="3148" w:type="pct"/>
            <w:vAlign w:val="center"/>
            <w:hideMark/>
          </w:tcPr>
          <w:p w14:paraId="30300123" w14:textId="77777777" w:rsidR="006556E0" w:rsidRPr="00951AB1" w:rsidRDefault="006556E0" w:rsidP="000A5389">
            <w:pPr>
              <w:spacing w:line="240" w:lineRule="auto"/>
              <w:rPr>
                <w:rFonts w:eastAsia="Times New Roman" w:cs="Times New Roman"/>
                <w:color w:val="000000"/>
                <w:kern w:val="0"/>
                <w:sz w:val="16"/>
                <w:szCs w:val="16"/>
                <w:lang w:eastAsia="es-CO"/>
                <w14:ligatures w14:val="none"/>
              </w:rPr>
            </w:pPr>
            <w:r w:rsidRPr="00951AB1">
              <w:rPr>
                <w:rFonts w:eastAsia="Times New Roman" w:cs="Times New Roman"/>
                <w:color w:val="000000"/>
                <w:kern w:val="0"/>
                <w:sz w:val="16"/>
                <w:szCs w:val="16"/>
                <w:lang w:eastAsia="es-CO"/>
                <w14:ligatures w14:val="none"/>
              </w:rPr>
              <w:t>Fiduciaria La Previsora S.A. Rumichaca- Pasto</w:t>
            </w:r>
          </w:p>
        </w:tc>
        <w:tc>
          <w:tcPr>
            <w:tcW w:w="1674" w:type="pct"/>
            <w:vAlign w:val="center"/>
            <w:hideMark/>
          </w:tcPr>
          <w:p w14:paraId="3CA878DA" w14:textId="77777777" w:rsidR="006556E0" w:rsidRPr="00951AB1" w:rsidRDefault="006556E0" w:rsidP="000A5389">
            <w:pPr>
              <w:spacing w:line="240" w:lineRule="auto"/>
              <w:jc w:val="right"/>
              <w:rPr>
                <w:rFonts w:eastAsia="Times New Roman" w:cs="Times New Roman"/>
                <w:color w:val="000000"/>
                <w:kern w:val="0"/>
                <w:sz w:val="16"/>
                <w:szCs w:val="16"/>
                <w:lang w:eastAsia="es-CO"/>
                <w14:ligatures w14:val="none"/>
              </w:rPr>
            </w:pPr>
            <w:r w:rsidRPr="00951AB1">
              <w:rPr>
                <w:rFonts w:eastAsia="Times New Roman" w:cs="Times New Roman"/>
                <w:color w:val="000000"/>
                <w:kern w:val="0"/>
                <w:sz w:val="16"/>
                <w:szCs w:val="16"/>
                <w:lang w:eastAsia="es-CO"/>
                <w14:ligatures w14:val="none"/>
              </w:rPr>
              <w:t>507.760.432</w:t>
            </w:r>
          </w:p>
        </w:tc>
      </w:tr>
      <w:tr w:rsidR="000610ED" w:rsidRPr="00951AB1" w14:paraId="598D6DDD" w14:textId="77777777" w:rsidTr="006F52CF">
        <w:trPr>
          <w:gridAfter w:val="1"/>
          <w:wAfter w:w="178" w:type="pct"/>
          <w:trHeight w:val="458"/>
        </w:trPr>
        <w:tc>
          <w:tcPr>
            <w:tcW w:w="3148" w:type="pct"/>
            <w:vMerge w:val="restart"/>
            <w:shd w:val="clear" w:color="000000" w:fill="FFFFFF"/>
            <w:vAlign w:val="center"/>
            <w:hideMark/>
          </w:tcPr>
          <w:p w14:paraId="43EEE28E" w14:textId="77777777" w:rsidR="006556E0" w:rsidRPr="00951AB1" w:rsidRDefault="006556E0" w:rsidP="000A5389">
            <w:pPr>
              <w:spacing w:line="240" w:lineRule="auto"/>
              <w:jc w:val="center"/>
              <w:rPr>
                <w:rFonts w:eastAsia="Times New Roman" w:cs="Times New Roman"/>
                <w:b/>
                <w:bCs/>
                <w:color w:val="000000"/>
                <w:kern w:val="0"/>
                <w:sz w:val="16"/>
                <w:szCs w:val="16"/>
                <w:lang w:eastAsia="es-CO"/>
                <w14:ligatures w14:val="none"/>
              </w:rPr>
            </w:pPr>
            <w:r w:rsidRPr="00951AB1">
              <w:rPr>
                <w:rFonts w:eastAsia="Times New Roman" w:cs="Times New Roman"/>
                <w:b/>
                <w:bCs/>
                <w:color w:val="000000"/>
                <w:kern w:val="0"/>
                <w:sz w:val="16"/>
                <w:szCs w:val="16"/>
                <w:lang w:eastAsia="es-CO"/>
                <w14:ligatures w14:val="none"/>
              </w:rPr>
              <w:t>Total</w:t>
            </w:r>
          </w:p>
        </w:tc>
        <w:tc>
          <w:tcPr>
            <w:tcW w:w="1674" w:type="pct"/>
            <w:vMerge w:val="restart"/>
            <w:shd w:val="clear" w:color="000000" w:fill="FFFFFF"/>
            <w:vAlign w:val="center"/>
            <w:hideMark/>
          </w:tcPr>
          <w:p w14:paraId="3E76404C" w14:textId="77777777" w:rsidR="006556E0" w:rsidRPr="00951AB1" w:rsidRDefault="006556E0" w:rsidP="000A5389">
            <w:pPr>
              <w:spacing w:line="240" w:lineRule="auto"/>
              <w:jc w:val="center"/>
              <w:rPr>
                <w:rFonts w:eastAsia="Times New Roman" w:cs="Times New Roman"/>
                <w:b/>
                <w:bCs/>
                <w:color w:val="000000"/>
                <w:kern w:val="0"/>
                <w:sz w:val="16"/>
                <w:szCs w:val="16"/>
                <w:lang w:eastAsia="es-CO"/>
                <w14:ligatures w14:val="none"/>
              </w:rPr>
            </w:pPr>
            <w:r w:rsidRPr="00951AB1">
              <w:rPr>
                <w:rFonts w:eastAsia="Times New Roman" w:cs="Times New Roman"/>
                <w:b/>
                <w:bCs/>
                <w:color w:val="000000"/>
                <w:kern w:val="0"/>
                <w:sz w:val="16"/>
                <w:szCs w:val="16"/>
                <w:lang w:eastAsia="es-CO"/>
                <w14:ligatures w14:val="none"/>
              </w:rPr>
              <w:t>5.360.106.648.014</w:t>
            </w:r>
          </w:p>
        </w:tc>
      </w:tr>
      <w:tr w:rsidR="006556E0" w:rsidRPr="00951AB1" w14:paraId="778201D5" w14:textId="77777777" w:rsidTr="006F52CF">
        <w:trPr>
          <w:trHeight w:val="285"/>
        </w:trPr>
        <w:tc>
          <w:tcPr>
            <w:tcW w:w="3148" w:type="pct"/>
            <w:vMerge/>
            <w:vAlign w:val="center"/>
            <w:hideMark/>
          </w:tcPr>
          <w:p w14:paraId="21BC915A" w14:textId="77777777" w:rsidR="006556E0" w:rsidRPr="00951AB1" w:rsidRDefault="006556E0" w:rsidP="000A5389">
            <w:pPr>
              <w:spacing w:line="240" w:lineRule="auto"/>
              <w:rPr>
                <w:rFonts w:eastAsia="Times New Roman" w:cs="Times New Roman"/>
                <w:b/>
                <w:bCs/>
                <w:color w:val="000000"/>
                <w:kern w:val="0"/>
                <w:sz w:val="16"/>
                <w:szCs w:val="16"/>
                <w:lang w:eastAsia="es-CO"/>
                <w14:ligatures w14:val="none"/>
              </w:rPr>
            </w:pPr>
          </w:p>
        </w:tc>
        <w:tc>
          <w:tcPr>
            <w:tcW w:w="1674" w:type="pct"/>
            <w:vMerge/>
            <w:vAlign w:val="center"/>
            <w:hideMark/>
          </w:tcPr>
          <w:p w14:paraId="5A20E9E8" w14:textId="77777777" w:rsidR="006556E0" w:rsidRPr="00951AB1" w:rsidRDefault="006556E0" w:rsidP="000A5389">
            <w:pPr>
              <w:spacing w:line="240" w:lineRule="auto"/>
              <w:rPr>
                <w:rFonts w:eastAsia="Times New Roman" w:cs="Times New Roman"/>
                <w:b/>
                <w:bCs/>
                <w:color w:val="000000"/>
                <w:kern w:val="0"/>
                <w:sz w:val="16"/>
                <w:szCs w:val="16"/>
                <w:lang w:eastAsia="es-CO"/>
                <w14:ligatures w14:val="none"/>
              </w:rPr>
            </w:pPr>
          </w:p>
        </w:tc>
        <w:tc>
          <w:tcPr>
            <w:tcW w:w="178" w:type="pct"/>
            <w:noWrap/>
            <w:vAlign w:val="bottom"/>
            <w:hideMark/>
          </w:tcPr>
          <w:p w14:paraId="3BBA5CAC" w14:textId="77777777" w:rsidR="006556E0" w:rsidRPr="00951AB1" w:rsidRDefault="006556E0" w:rsidP="000A5389">
            <w:pPr>
              <w:spacing w:line="240" w:lineRule="auto"/>
              <w:jc w:val="center"/>
              <w:rPr>
                <w:rFonts w:eastAsia="Times New Roman" w:cs="Times New Roman"/>
                <w:b/>
                <w:bCs/>
                <w:color w:val="000000"/>
                <w:kern w:val="0"/>
                <w:sz w:val="16"/>
                <w:szCs w:val="16"/>
                <w:lang w:eastAsia="es-CO"/>
                <w14:ligatures w14:val="none"/>
              </w:rPr>
            </w:pPr>
          </w:p>
        </w:tc>
      </w:tr>
    </w:tbl>
    <w:p w14:paraId="11A5C65B" w14:textId="77777777" w:rsidR="006556E0" w:rsidRPr="00951AB1" w:rsidRDefault="006556E0" w:rsidP="000A5389">
      <w:pPr>
        <w:spacing w:line="240" w:lineRule="auto"/>
        <w:rPr>
          <w:rFonts w:cs="Times New Roman"/>
          <w:sz w:val="14"/>
          <w:szCs w:val="14"/>
        </w:rPr>
        <w:sectPr w:rsidR="006556E0" w:rsidRPr="00951AB1" w:rsidSect="006556E0">
          <w:type w:val="continuous"/>
          <w:pgSz w:w="12240" w:h="15840"/>
          <w:pgMar w:top="2127" w:right="1701" w:bottom="1417" w:left="1701" w:header="708" w:footer="708" w:gutter="0"/>
          <w:cols w:num="2" w:space="708"/>
          <w:docGrid w:linePitch="360"/>
        </w:sectPr>
      </w:pPr>
    </w:p>
    <w:p w14:paraId="0D563219" w14:textId="77777777" w:rsidR="00BF1D87" w:rsidRDefault="00BF1D87" w:rsidP="000A5389">
      <w:pPr>
        <w:spacing w:line="240" w:lineRule="auto"/>
        <w:rPr>
          <w:rFonts w:cs="Times New Roman"/>
          <w:sz w:val="14"/>
          <w:szCs w:val="14"/>
        </w:rPr>
      </w:pPr>
      <w:r w:rsidRPr="00951AB1">
        <w:rPr>
          <w:rFonts w:cs="Times New Roman"/>
          <w:sz w:val="14"/>
          <w:szCs w:val="14"/>
        </w:rPr>
        <w:t xml:space="preserve">Cifras expresadas en pesos </w:t>
      </w:r>
    </w:p>
    <w:p w14:paraId="67E4648D" w14:textId="77777777" w:rsidR="00953AA2" w:rsidRDefault="00953AA2" w:rsidP="000A5389">
      <w:pPr>
        <w:spacing w:line="240" w:lineRule="auto"/>
        <w:rPr>
          <w:rFonts w:cs="Times New Roman"/>
          <w:sz w:val="14"/>
          <w:szCs w:val="14"/>
        </w:rPr>
      </w:pPr>
    </w:p>
    <w:p w14:paraId="4EA1C10B" w14:textId="77777777" w:rsidR="00953AA2" w:rsidRPr="00951AB1" w:rsidRDefault="00953AA2" w:rsidP="000A5389">
      <w:pPr>
        <w:spacing w:line="240" w:lineRule="auto"/>
        <w:rPr>
          <w:rFonts w:cs="Times New Roman"/>
          <w:sz w:val="14"/>
          <w:szCs w:val="14"/>
        </w:rPr>
      </w:pPr>
    </w:p>
    <w:p w14:paraId="28C0C6CC" w14:textId="7477DF69" w:rsidR="48FECCA8" w:rsidRPr="00951AB1" w:rsidRDefault="48FECCA8" w:rsidP="000A5389">
      <w:pPr>
        <w:spacing w:line="240" w:lineRule="auto"/>
        <w:rPr>
          <w:rFonts w:cs="Times New Roman"/>
          <w:highlight w:val="yellow"/>
        </w:rPr>
      </w:pPr>
    </w:p>
    <w:p w14:paraId="468A5162" w14:textId="6E8F2718" w:rsidR="00904F0A" w:rsidRPr="00951AB1" w:rsidRDefault="00904F0A" w:rsidP="000A5389">
      <w:pPr>
        <w:pStyle w:val="Ttulo1"/>
        <w:spacing w:line="240" w:lineRule="auto"/>
        <w:rPr>
          <w:rFonts w:cs="Times New Roman"/>
        </w:rPr>
      </w:pPr>
      <w:bookmarkStart w:id="772" w:name="_Toc191369564"/>
      <w:bookmarkStart w:id="773" w:name="_Toc191456891"/>
      <w:bookmarkStart w:id="774" w:name="_Toc191457001"/>
      <w:bookmarkStart w:id="775" w:name="_Toc191457111"/>
      <w:bookmarkStart w:id="776" w:name="_Toc191475738"/>
      <w:bookmarkStart w:id="777" w:name="_Toc191475847"/>
      <w:bookmarkStart w:id="778" w:name="_Toc191475956"/>
      <w:bookmarkStart w:id="779" w:name="_Toc191475479"/>
      <w:bookmarkStart w:id="780" w:name="_Toc191505855"/>
      <w:bookmarkStart w:id="781" w:name="_Toc222824169"/>
      <w:bookmarkStart w:id="782" w:name="_Toc222955535"/>
      <w:r w:rsidRPr="00951AB1">
        <w:rPr>
          <w:rFonts w:eastAsia="Times New Roman" w:cs="Times New Roman"/>
          <w:szCs w:val="26"/>
          <w:lang w:val="es-ES"/>
        </w:rPr>
        <w:t>NOTA 29. INGRESOS</w:t>
      </w:r>
      <w:bookmarkEnd w:id="772"/>
      <w:bookmarkEnd w:id="773"/>
      <w:bookmarkEnd w:id="774"/>
      <w:bookmarkEnd w:id="775"/>
      <w:bookmarkEnd w:id="776"/>
      <w:bookmarkEnd w:id="777"/>
      <w:bookmarkEnd w:id="778"/>
      <w:bookmarkEnd w:id="779"/>
      <w:bookmarkEnd w:id="780"/>
      <w:bookmarkEnd w:id="781"/>
      <w:bookmarkEnd w:id="782"/>
      <w:r w:rsidRPr="00951AB1">
        <w:rPr>
          <w:rFonts w:eastAsia="Times New Roman" w:cs="Times New Roman"/>
          <w:szCs w:val="26"/>
          <w:lang w:val="es-ES"/>
        </w:rPr>
        <w:t xml:space="preserve"> </w:t>
      </w:r>
    </w:p>
    <w:p w14:paraId="4360FAB6" w14:textId="77777777" w:rsidR="00904F0A" w:rsidRPr="00951AB1" w:rsidRDefault="00904F0A" w:rsidP="000A5389">
      <w:pPr>
        <w:spacing w:line="240" w:lineRule="auto"/>
        <w:rPr>
          <w:rFonts w:cs="Times New Roman"/>
        </w:rPr>
      </w:pPr>
      <w:r w:rsidRPr="00951AB1">
        <w:rPr>
          <w:rFonts w:eastAsia="Times New Roman" w:cs="Times New Roman"/>
          <w:b/>
          <w:bCs/>
          <w:sz w:val="18"/>
          <w:szCs w:val="18"/>
          <w:lang w:val="es-ES"/>
        </w:rPr>
        <w:t xml:space="preserve"> </w:t>
      </w:r>
    </w:p>
    <w:p w14:paraId="7A7EF759" w14:textId="77777777" w:rsidR="00904F0A" w:rsidRPr="00951AB1" w:rsidRDefault="00904F0A" w:rsidP="000A5389">
      <w:pPr>
        <w:pStyle w:val="Ttulo2"/>
        <w:numPr>
          <w:ilvl w:val="0"/>
          <w:numId w:val="0"/>
        </w:numPr>
        <w:spacing w:line="240" w:lineRule="auto"/>
        <w:rPr>
          <w:rFonts w:eastAsia="Times New Roman" w:cs="Times New Roman"/>
          <w:szCs w:val="24"/>
          <w:lang w:val="es-ES"/>
        </w:rPr>
      </w:pPr>
      <w:bookmarkStart w:id="783" w:name="_Toc191369565"/>
      <w:bookmarkStart w:id="784" w:name="_Toc191456892"/>
      <w:bookmarkStart w:id="785" w:name="_Toc191457002"/>
      <w:bookmarkStart w:id="786" w:name="_Toc191457112"/>
      <w:bookmarkStart w:id="787" w:name="_Toc191475739"/>
      <w:bookmarkStart w:id="788" w:name="_Toc191475848"/>
      <w:bookmarkStart w:id="789" w:name="_Toc191475957"/>
      <w:bookmarkStart w:id="790" w:name="_Toc191475480"/>
      <w:bookmarkStart w:id="791" w:name="_Toc191505856"/>
      <w:bookmarkStart w:id="792" w:name="_Toc222824170"/>
      <w:bookmarkStart w:id="793" w:name="_Toc222955536"/>
      <w:r w:rsidRPr="00951AB1">
        <w:rPr>
          <w:rFonts w:eastAsia="Times New Roman" w:cs="Times New Roman"/>
          <w:szCs w:val="24"/>
          <w:lang w:val="es-ES"/>
        </w:rPr>
        <w:t>Composición</w:t>
      </w:r>
      <w:bookmarkEnd w:id="783"/>
      <w:bookmarkEnd w:id="784"/>
      <w:bookmarkEnd w:id="785"/>
      <w:bookmarkEnd w:id="786"/>
      <w:bookmarkEnd w:id="787"/>
      <w:bookmarkEnd w:id="788"/>
      <w:bookmarkEnd w:id="789"/>
      <w:bookmarkEnd w:id="790"/>
      <w:bookmarkEnd w:id="791"/>
      <w:bookmarkEnd w:id="792"/>
      <w:bookmarkEnd w:id="793"/>
    </w:p>
    <w:p w14:paraId="73E40C5D" w14:textId="6847E3CD" w:rsidR="00904F0A" w:rsidRPr="00951AB1" w:rsidRDefault="00904F0A" w:rsidP="000A5389">
      <w:pPr>
        <w:spacing w:line="240" w:lineRule="auto"/>
        <w:rPr>
          <w:rFonts w:cs="Times New Roman"/>
        </w:rPr>
      </w:pPr>
      <w:r w:rsidRPr="00951AB1">
        <w:rPr>
          <w:rFonts w:eastAsia="Times New Roman" w:cs="Times New Roman"/>
          <w:szCs w:val="24"/>
          <w:lang w:val="es-ES"/>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878"/>
        <w:gridCol w:w="641"/>
        <w:gridCol w:w="2749"/>
        <w:gridCol w:w="1580"/>
        <w:gridCol w:w="1490"/>
        <w:gridCol w:w="1490"/>
      </w:tblGrid>
      <w:tr w:rsidR="00C772BD" w:rsidRPr="00951AB1" w14:paraId="551D044C" w14:textId="77777777" w:rsidTr="00D01B1D">
        <w:trPr>
          <w:trHeight w:val="428"/>
        </w:trPr>
        <w:tc>
          <w:tcPr>
            <w:tcW w:w="2417" w:type="pct"/>
            <w:gridSpan w:val="3"/>
            <w:noWrap/>
            <w:vAlign w:val="center"/>
            <w:hideMark/>
          </w:tcPr>
          <w:p w14:paraId="34BCAAEB" w14:textId="77777777" w:rsidR="00C772BD" w:rsidRPr="00951AB1" w:rsidRDefault="00C772BD" w:rsidP="000A5389">
            <w:pPr>
              <w:spacing w:line="240" w:lineRule="auto"/>
              <w:jc w:val="center"/>
              <w:rPr>
                <w:rFonts w:eastAsia="Times New Roman" w:cs="Times New Roman"/>
                <w:b/>
                <w:bCs/>
                <w:color w:val="000000"/>
                <w:kern w:val="0"/>
                <w:sz w:val="18"/>
                <w:szCs w:val="18"/>
                <w:lang w:eastAsia="es-CO"/>
                <w14:ligatures w14:val="none"/>
              </w:rPr>
            </w:pPr>
            <w:r w:rsidRPr="00951AB1">
              <w:rPr>
                <w:rFonts w:eastAsia="Times New Roman" w:cs="Times New Roman"/>
                <w:b/>
                <w:bCs/>
                <w:color w:val="000000"/>
                <w:kern w:val="0"/>
                <w:sz w:val="18"/>
                <w:szCs w:val="18"/>
                <w:lang w:eastAsia="es-CO"/>
                <w14:ligatures w14:val="none"/>
              </w:rPr>
              <w:t>CONCEPTO</w:t>
            </w:r>
          </w:p>
        </w:tc>
        <w:tc>
          <w:tcPr>
            <w:tcW w:w="895" w:type="pct"/>
            <w:vAlign w:val="center"/>
            <w:hideMark/>
          </w:tcPr>
          <w:p w14:paraId="44F5BEC1" w14:textId="77777777" w:rsidR="00C772BD" w:rsidRPr="00951AB1" w:rsidRDefault="00C772BD" w:rsidP="000A5389">
            <w:pPr>
              <w:spacing w:line="240" w:lineRule="auto"/>
              <w:jc w:val="center"/>
              <w:rPr>
                <w:rFonts w:eastAsia="Times New Roman" w:cs="Times New Roman"/>
                <w:b/>
                <w:bCs/>
                <w:color w:val="000000"/>
                <w:kern w:val="0"/>
                <w:sz w:val="18"/>
                <w:szCs w:val="18"/>
                <w:lang w:eastAsia="es-CO"/>
                <w14:ligatures w14:val="none"/>
              </w:rPr>
            </w:pPr>
            <w:r w:rsidRPr="00951AB1">
              <w:rPr>
                <w:rFonts w:eastAsia="Times New Roman" w:cs="Times New Roman"/>
                <w:b/>
                <w:bCs/>
                <w:color w:val="000000"/>
                <w:kern w:val="0"/>
                <w:sz w:val="18"/>
                <w:szCs w:val="18"/>
                <w:lang w:eastAsia="es-CO"/>
                <w14:ligatures w14:val="none"/>
              </w:rPr>
              <w:t xml:space="preserve">2025 </w:t>
            </w:r>
          </w:p>
        </w:tc>
        <w:tc>
          <w:tcPr>
            <w:tcW w:w="844" w:type="pct"/>
            <w:vAlign w:val="center"/>
            <w:hideMark/>
          </w:tcPr>
          <w:p w14:paraId="22A3D399" w14:textId="77777777" w:rsidR="00C772BD" w:rsidRPr="00951AB1" w:rsidRDefault="00C772BD" w:rsidP="000A5389">
            <w:pPr>
              <w:spacing w:line="240" w:lineRule="auto"/>
              <w:jc w:val="center"/>
              <w:rPr>
                <w:rFonts w:eastAsia="Times New Roman" w:cs="Times New Roman"/>
                <w:b/>
                <w:bCs/>
                <w:color w:val="000000"/>
                <w:kern w:val="0"/>
                <w:sz w:val="18"/>
                <w:szCs w:val="18"/>
                <w:lang w:eastAsia="es-CO"/>
                <w14:ligatures w14:val="none"/>
              </w:rPr>
            </w:pPr>
            <w:r w:rsidRPr="00951AB1">
              <w:rPr>
                <w:rFonts w:eastAsia="Times New Roman" w:cs="Times New Roman"/>
                <w:b/>
                <w:bCs/>
                <w:color w:val="000000"/>
                <w:kern w:val="0"/>
                <w:sz w:val="18"/>
                <w:szCs w:val="18"/>
                <w:lang w:eastAsia="es-CO"/>
                <w14:ligatures w14:val="none"/>
              </w:rPr>
              <w:t xml:space="preserve">2024 </w:t>
            </w:r>
          </w:p>
        </w:tc>
        <w:tc>
          <w:tcPr>
            <w:tcW w:w="844" w:type="pct"/>
            <w:vAlign w:val="center"/>
            <w:hideMark/>
          </w:tcPr>
          <w:p w14:paraId="01F95420" w14:textId="5907D36D" w:rsidR="00C772BD" w:rsidRPr="00951AB1" w:rsidRDefault="00C772BD" w:rsidP="000A5389">
            <w:pPr>
              <w:spacing w:line="240" w:lineRule="auto"/>
              <w:jc w:val="center"/>
              <w:rPr>
                <w:rFonts w:eastAsia="Times New Roman" w:cs="Times New Roman"/>
                <w:b/>
                <w:bCs/>
                <w:color w:val="000000"/>
                <w:kern w:val="0"/>
                <w:sz w:val="18"/>
                <w:szCs w:val="18"/>
                <w:lang w:eastAsia="es-CO"/>
                <w14:ligatures w14:val="none"/>
              </w:rPr>
            </w:pPr>
            <w:r w:rsidRPr="00951AB1">
              <w:rPr>
                <w:rFonts w:eastAsia="Times New Roman" w:cs="Times New Roman"/>
                <w:b/>
                <w:bCs/>
                <w:color w:val="000000"/>
                <w:kern w:val="0"/>
                <w:sz w:val="18"/>
                <w:szCs w:val="18"/>
                <w:lang w:eastAsia="es-CO"/>
                <w14:ligatures w14:val="none"/>
              </w:rPr>
              <w:t>VARIACIÓN</w:t>
            </w:r>
          </w:p>
        </w:tc>
      </w:tr>
      <w:tr w:rsidR="009F78DC" w:rsidRPr="00951AB1" w14:paraId="03E37F97" w14:textId="77777777" w:rsidTr="00C772BD">
        <w:trPr>
          <w:trHeight w:val="285"/>
        </w:trPr>
        <w:tc>
          <w:tcPr>
            <w:tcW w:w="497" w:type="pct"/>
            <w:noWrap/>
            <w:vAlign w:val="center"/>
            <w:hideMark/>
          </w:tcPr>
          <w:p w14:paraId="553ACC0D" w14:textId="77777777" w:rsidR="009F78DC" w:rsidRPr="00951AB1" w:rsidRDefault="009F78DC" w:rsidP="000A5389">
            <w:pPr>
              <w:spacing w:line="240" w:lineRule="auto"/>
              <w:rPr>
                <w:rFonts w:eastAsia="Times New Roman" w:cs="Times New Roman"/>
                <w:b/>
                <w:bCs/>
                <w:color w:val="000000"/>
                <w:kern w:val="0"/>
                <w:sz w:val="18"/>
                <w:szCs w:val="18"/>
                <w:lang w:eastAsia="es-CO"/>
                <w14:ligatures w14:val="none"/>
              </w:rPr>
            </w:pPr>
            <w:r w:rsidRPr="00951AB1">
              <w:rPr>
                <w:rFonts w:eastAsia="Times New Roman" w:cs="Times New Roman"/>
                <w:b/>
                <w:bCs/>
                <w:color w:val="000000"/>
                <w:kern w:val="0"/>
                <w:sz w:val="18"/>
                <w:szCs w:val="18"/>
                <w:lang w:eastAsia="es-CO"/>
                <w14:ligatures w14:val="none"/>
              </w:rPr>
              <w:t>4</w:t>
            </w:r>
          </w:p>
        </w:tc>
        <w:tc>
          <w:tcPr>
            <w:tcW w:w="363" w:type="pct"/>
            <w:noWrap/>
            <w:vAlign w:val="center"/>
            <w:hideMark/>
          </w:tcPr>
          <w:p w14:paraId="4BB2E38B" w14:textId="77777777" w:rsidR="009F78DC" w:rsidRPr="00951AB1" w:rsidRDefault="009F78DC" w:rsidP="000A5389">
            <w:pPr>
              <w:spacing w:line="240" w:lineRule="auto"/>
              <w:jc w:val="center"/>
              <w:rPr>
                <w:rFonts w:eastAsia="Times New Roman" w:cs="Times New Roman"/>
                <w:b/>
                <w:bCs/>
                <w:color w:val="000000"/>
                <w:kern w:val="0"/>
                <w:sz w:val="18"/>
                <w:szCs w:val="18"/>
                <w:lang w:eastAsia="es-CO"/>
                <w14:ligatures w14:val="none"/>
              </w:rPr>
            </w:pPr>
            <w:r w:rsidRPr="00951AB1">
              <w:rPr>
                <w:rFonts w:eastAsia="Times New Roman" w:cs="Times New Roman"/>
                <w:b/>
                <w:bCs/>
                <w:color w:val="000000"/>
                <w:kern w:val="0"/>
                <w:sz w:val="18"/>
                <w:szCs w:val="18"/>
                <w:lang w:eastAsia="es-CO"/>
                <w14:ligatures w14:val="none"/>
              </w:rPr>
              <w:t>Cr</w:t>
            </w:r>
          </w:p>
        </w:tc>
        <w:tc>
          <w:tcPr>
            <w:tcW w:w="1557" w:type="pct"/>
            <w:vAlign w:val="center"/>
            <w:hideMark/>
          </w:tcPr>
          <w:p w14:paraId="28D016A7" w14:textId="77777777" w:rsidR="009F78DC" w:rsidRPr="00951AB1" w:rsidRDefault="009F78DC" w:rsidP="000A5389">
            <w:pPr>
              <w:spacing w:line="240" w:lineRule="auto"/>
              <w:jc w:val="center"/>
              <w:rPr>
                <w:rFonts w:eastAsia="Times New Roman" w:cs="Times New Roman"/>
                <w:b/>
                <w:bCs/>
                <w:color w:val="000000"/>
                <w:kern w:val="0"/>
                <w:sz w:val="18"/>
                <w:szCs w:val="18"/>
                <w:lang w:eastAsia="es-CO"/>
                <w14:ligatures w14:val="none"/>
              </w:rPr>
            </w:pPr>
            <w:r w:rsidRPr="00951AB1">
              <w:rPr>
                <w:rFonts w:eastAsia="Times New Roman" w:cs="Times New Roman"/>
                <w:b/>
                <w:bCs/>
                <w:color w:val="000000"/>
                <w:kern w:val="0"/>
                <w:sz w:val="18"/>
                <w:szCs w:val="18"/>
                <w:lang w:eastAsia="es-CO"/>
                <w14:ligatures w14:val="none"/>
              </w:rPr>
              <w:t>INGRESOS</w:t>
            </w:r>
          </w:p>
        </w:tc>
        <w:tc>
          <w:tcPr>
            <w:tcW w:w="895" w:type="pct"/>
            <w:noWrap/>
            <w:vAlign w:val="center"/>
            <w:hideMark/>
          </w:tcPr>
          <w:p w14:paraId="5201BF43" w14:textId="77777777" w:rsidR="009F78DC" w:rsidRPr="00951AB1" w:rsidRDefault="009F78DC" w:rsidP="000A5389">
            <w:pPr>
              <w:spacing w:line="240" w:lineRule="auto"/>
              <w:jc w:val="right"/>
              <w:rPr>
                <w:rFonts w:eastAsia="Times New Roman" w:cs="Times New Roman"/>
                <w:b/>
                <w:bCs/>
                <w:color w:val="000000"/>
                <w:kern w:val="0"/>
                <w:sz w:val="18"/>
                <w:szCs w:val="18"/>
                <w:lang w:eastAsia="es-CO"/>
                <w14:ligatures w14:val="none"/>
              </w:rPr>
            </w:pPr>
            <w:r w:rsidRPr="00951AB1">
              <w:rPr>
                <w:rFonts w:eastAsia="Times New Roman" w:cs="Times New Roman"/>
                <w:b/>
                <w:bCs/>
                <w:color w:val="000000"/>
                <w:kern w:val="0"/>
                <w:sz w:val="18"/>
                <w:szCs w:val="18"/>
                <w:lang w:eastAsia="es-CO"/>
                <w14:ligatures w14:val="none"/>
              </w:rPr>
              <w:t>12.533.702.345.480</w:t>
            </w:r>
          </w:p>
        </w:tc>
        <w:tc>
          <w:tcPr>
            <w:tcW w:w="844" w:type="pct"/>
            <w:noWrap/>
            <w:vAlign w:val="center"/>
            <w:hideMark/>
          </w:tcPr>
          <w:p w14:paraId="281348D4" w14:textId="77777777" w:rsidR="009F78DC" w:rsidRPr="00951AB1" w:rsidRDefault="009F78DC" w:rsidP="000A5389">
            <w:pPr>
              <w:spacing w:line="240" w:lineRule="auto"/>
              <w:jc w:val="right"/>
              <w:rPr>
                <w:rFonts w:eastAsia="Times New Roman" w:cs="Times New Roman"/>
                <w:b/>
                <w:bCs/>
                <w:color w:val="000000"/>
                <w:kern w:val="0"/>
                <w:sz w:val="18"/>
                <w:szCs w:val="18"/>
                <w:lang w:eastAsia="es-CO"/>
                <w14:ligatures w14:val="none"/>
              </w:rPr>
            </w:pPr>
            <w:r w:rsidRPr="00951AB1">
              <w:rPr>
                <w:rFonts w:eastAsia="Times New Roman" w:cs="Times New Roman"/>
                <w:b/>
                <w:bCs/>
                <w:color w:val="000000"/>
                <w:kern w:val="0"/>
                <w:sz w:val="18"/>
                <w:szCs w:val="18"/>
                <w:lang w:eastAsia="es-CO"/>
                <w14:ligatures w14:val="none"/>
              </w:rPr>
              <w:t>6.430.244.509.586</w:t>
            </w:r>
          </w:p>
        </w:tc>
        <w:tc>
          <w:tcPr>
            <w:tcW w:w="844" w:type="pct"/>
            <w:noWrap/>
            <w:vAlign w:val="center"/>
            <w:hideMark/>
          </w:tcPr>
          <w:p w14:paraId="06DDBE8B" w14:textId="77777777" w:rsidR="009F78DC" w:rsidRPr="00951AB1" w:rsidRDefault="009F78DC" w:rsidP="000A5389">
            <w:pPr>
              <w:spacing w:line="240" w:lineRule="auto"/>
              <w:jc w:val="right"/>
              <w:rPr>
                <w:rFonts w:eastAsia="Times New Roman" w:cs="Times New Roman"/>
                <w:b/>
                <w:bCs/>
                <w:color w:val="000000"/>
                <w:kern w:val="0"/>
                <w:sz w:val="18"/>
                <w:szCs w:val="18"/>
                <w:lang w:eastAsia="es-CO"/>
                <w14:ligatures w14:val="none"/>
              </w:rPr>
            </w:pPr>
            <w:r w:rsidRPr="00951AB1">
              <w:rPr>
                <w:rFonts w:eastAsia="Times New Roman" w:cs="Times New Roman"/>
                <w:b/>
                <w:bCs/>
                <w:color w:val="000000"/>
                <w:kern w:val="0"/>
                <w:sz w:val="18"/>
                <w:szCs w:val="18"/>
                <w:lang w:eastAsia="es-CO"/>
                <w14:ligatures w14:val="none"/>
              </w:rPr>
              <w:t>6.103.457.835.893</w:t>
            </w:r>
          </w:p>
        </w:tc>
      </w:tr>
      <w:tr w:rsidR="009F78DC" w:rsidRPr="00951AB1" w14:paraId="762EB869" w14:textId="77777777" w:rsidTr="00C772BD">
        <w:trPr>
          <w:trHeight w:val="300"/>
        </w:trPr>
        <w:tc>
          <w:tcPr>
            <w:tcW w:w="497" w:type="pct"/>
            <w:noWrap/>
            <w:vAlign w:val="center"/>
            <w:hideMark/>
          </w:tcPr>
          <w:p w14:paraId="49A273F6" w14:textId="77777777" w:rsidR="009F78DC" w:rsidRPr="00951AB1" w:rsidRDefault="009F78DC" w:rsidP="000A5389">
            <w:pPr>
              <w:spacing w:line="240" w:lineRule="auto"/>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4.7</w:t>
            </w:r>
          </w:p>
        </w:tc>
        <w:tc>
          <w:tcPr>
            <w:tcW w:w="363" w:type="pct"/>
            <w:noWrap/>
            <w:vAlign w:val="center"/>
            <w:hideMark/>
          </w:tcPr>
          <w:p w14:paraId="78476F5E" w14:textId="77777777" w:rsidR="009F78DC" w:rsidRPr="00951AB1" w:rsidRDefault="009F78DC" w:rsidP="000A5389">
            <w:pPr>
              <w:spacing w:line="240" w:lineRule="auto"/>
              <w:jc w:val="center"/>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Cr</w:t>
            </w:r>
          </w:p>
        </w:tc>
        <w:tc>
          <w:tcPr>
            <w:tcW w:w="1557" w:type="pct"/>
            <w:vAlign w:val="center"/>
            <w:hideMark/>
          </w:tcPr>
          <w:p w14:paraId="67886288" w14:textId="77777777" w:rsidR="009F78DC" w:rsidRPr="00951AB1" w:rsidRDefault="009F78DC" w:rsidP="000A5389">
            <w:pPr>
              <w:spacing w:line="240" w:lineRule="auto"/>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Operaciones interinstitucionales</w:t>
            </w:r>
          </w:p>
        </w:tc>
        <w:tc>
          <w:tcPr>
            <w:tcW w:w="895" w:type="pct"/>
            <w:noWrap/>
            <w:vAlign w:val="center"/>
            <w:hideMark/>
          </w:tcPr>
          <w:p w14:paraId="7638DF22" w14:textId="77777777" w:rsidR="009F78DC" w:rsidRPr="00951AB1" w:rsidRDefault="009F78DC"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6.849.819.932.032</w:t>
            </w:r>
          </w:p>
        </w:tc>
        <w:tc>
          <w:tcPr>
            <w:tcW w:w="844" w:type="pct"/>
            <w:noWrap/>
            <w:vAlign w:val="center"/>
            <w:hideMark/>
          </w:tcPr>
          <w:p w14:paraId="7ED5127C" w14:textId="77777777" w:rsidR="009F78DC" w:rsidRPr="00951AB1" w:rsidRDefault="009F78DC"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3.407.406.045.659</w:t>
            </w:r>
          </w:p>
        </w:tc>
        <w:tc>
          <w:tcPr>
            <w:tcW w:w="844" w:type="pct"/>
            <w:noWrap/>
            <w:vAlign w:val="center"/>
            <w:hideMark/>
          </w:tcPr>
          <w:p w14:paraId="4F33180E" w14:textId="77777777" w:rsidR="009F78DC" w:rsidRPr="00951AB1" w:rsidRDefault="009F78DC"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3.442.413.886.374</w:t>
            </w:r>
          </w:p>
        </w:tc>
      </w:tr>
      <w:tr w:rsidR="009F78DC" w:rsidRPr="00951AB1" w14:paraId="3C79290F" w14:textId="77777777" w:rsidTr="00C772BD">
        <w:trPr>
          <w:trHeight w:val="300"/>
        </w:trPr>
        <w:tc>
          <w:tcPr>
            <w:tcW w:w="497" w:type="pct"/>
            <w:noWrap/>
            <w:vAlign w:val="center"/>
            <w:hideMark/>
          </w:tcPr>
          <w:p w14:paraId="7965807D" w14:textId="77777777" w:rsidR="009F78DC" w:rsidRPr="00951AB1" w:rsidRDefault="009F78DC" w:rsidP="000A5389">
            <w:pPr>
              <w:spacing w:line="240" w:lineRule="auto"/>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4.8</w:t>
            </w:r>
          </w:p>
        </w:tc>
        <w:tc>
          <w:tcPr>
            <w:tcW w:w="363" w:type="pct"/>
            <w:noWrap/>
            <w:vAlign w:val="center"/>
            <w:hideMark/>
          </w:tcPr>
          <w:p w14:paraId="45FF2E6D" w14:textId="77777777" w:rsidR="009F78DC" w:rsidRPr="00951AB1" w:rsidRDefault="009F78DC" w:rsidP="000A5389">
            <w:pPr>
              <w:spacing w:line="240" w:lineRule="auto"/>
              <w:jc w:val="center"/>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Cr</w:t>
            </w:r>
          </w:p>
        </w:tc>
        <w:tc>
          <w:tcPr>
            <w:tcW w:w="1557" w:type="pct"/>
            <w:vAlign w:val="center"/>
            <w:hideMark/>
          </w:tcPr>
          <w:p w14:paraId="69A4DE8B" w14:textId="77777777" w:rsidR="009F78DC" w:rsidRPr="00951AB1" w:rsidRDefault="009F78DC" w:rsidP="000A5389">
            <w:pPr>
              <w:spacing w:line="240" w:lineRule="auto"/>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 xml:space="preserve">Otros ingresos </w:t>
            </w:r>
          </w:p>
        </w:tc>
        <w:tc>
          <w:tcPr>
            <w:tcW w:w="895" w:type="pct"/>
            <w:noWrap/>
            <w:vAlign w:val="center"/>
            <w:hideMark/>
          </w:tcPr>
          <w:p w14:paraId="74FA5741" w14:textId="77777777" w:rsidR="009F78DC" w:rsidRPr="00951AB1" w:rsidRDefault="009F78DC"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5.287.347.110.248</w:t>
            </w:r>
          </w:p>
        </w:tc>
        <w:tc>
          <w:tcPr>
            <w:tcW w:w="844" w:type="pct"/>
            <w:noWrap/>
            <w:vAlign w:val="center"/>
            <w:hideMark/>
          </w:tcPr>
          <w:p w14:paraId="42F253DF" w14:textId="77777777" w:rsidR="009F78DC" w:rsidRPr="00951AB1" w:rsidRDefault="009F78DC"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2.801.717.231.572</w:t>
            </w:r>
          </w:p>
        </w:tc>
        <w:tc>
          <w:tcPr>
            <w:tcW w:w="844" w:type="pct"/>
            <w:noWrap/>
            <w:vAlign w:val="center"/>
            <w:hideMark/>
          </w:tcPr>
          <w:p w14:paraId="65886435" w14:textId="77777777" w:rsidR="009F78DC" w:rsidRPr="00951AB1" w:rsidRDefault="009F78DC"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2.485.629.878.676</w:t>
            </w:r>
          </w:p>
        </w:tc>
      </w:tr>
      <w:tr w:rsidR="009F78DC" w:rsidRPr="00951AB1" w14:paraId="139CF926" w14:textId="77777777" w:rsidTr="00C772BD">
        <w:trPr>
          <w:trHeight w:val="300"/>
        </w:trPr>
        <w:tc>
          <w:tcPr>
            <w:tcW w:w="497" w:type="pct"/>
            <w:noWrap/>
            <w:vAlign w:val="center"/>
            <w:hideMark/>
          </w:tcPr>
          <w:p w14:paraId="0F28FC32" w14:textId="77777777" w:rsidR="009F78DC" w:rsidRPr="00951AB1" w:rsidRDefault="009F78DC" w:rsidP="000A5389">
            <w:pPr>
              <w:spacing w:line="240" w:lineRule="auto"/>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4.1</w:t>
            </w:r>
          </w:p>
        </w:tc>
        <w:tc>
          <w:tcPr>
            <w:tcW w:w="363" w:type="pct"/>
            <w:noWrap/>
            <w:vAlign w:val="center"/>
            <w:hideMark/>
          </w:tcPr>
          <w:p w14:paraId="325FB22D" w14:textId="77777777" w:rsidR="009F78DC" w:rsidRPr="00951AB1" w:rsidRDefault="009F78DC" w:rsidP="000A5389">
            <w:pPr>
              <w:spacing w:line="240" w:lineRule="auto"/>
              <w:jc w:val="center"/>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Cr</w:t>
            </w:r>
          </w:p>
        </w:tc>
        <w:tc>
          <w:tcPr>
            <w:tcW w:w="1557" w:type="pct"/>
            <w:vAlign w:val="center"/>
            <w:hideMark/>
          </w:tcPr>
          <w:p w14:paraId="1C43420A" w14:textId="77777777" w:rsidR="009F78DC" w:rsidRPr="00951AB1" w:rsidRDefault="009F78DC" w:rsidP="000A5389">
            <w:pPr>
              <w:spacing w:line="240" w:lineRule="auto"/>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 xml:space="preserve">Ingresos fiscales </w:t>
            </w:r>
          </w:p>
        </w:tc>
        <w:tc>
          <w:tcPr>
            <w:tcW w:w="895" w:type="pct"/>
            <w:noWrap/>
            <w:vAlign w:val="center"/>
            <w:hideMark/>
          </w:tcPr>
          <w:p w14:paraId="5B493D5E" w14:textId="77777777" w:rsidR="009F78DC" w:rsidRPr="00951AB1" w:rsidRDefault="009F78DC"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396.535.303.199</w:t>
            </w:r>
          </w:p>
        </w:tc>
        <w:tc>
          <w:tcPr>
            <w:tcW w:w="844" w:type="pct"/>
            <w:noWrap/>
            <w:vAlign w:val="center"/>
            <w:hideMark/>
          </w:tcPr>
          <w:p w14:paraId="23C420C8" w14:textId="77777777" w:rsidR="009F78DC" w:rsidRPr="00951AB1" w:rsidRDefault="009F78DC"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221.121.232.356</w:t>
            </w:r>
          </w:p>
        </w:tc>
        <w:tc>
          <w:tcPr>
            <w:tcW w:w="844" w:type="pct"/>
            <w:noWrap/>
            <w:vAlign w:val="center"/>
            <w:hideMark/>
          </w:tcPr>
          <w:p w14:paraId="362A6622" w14:textId="77777777" w:rsidR="009F78DC" w:rsidRPr="00951AB1" w:rsidRDefault="009F78DC"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175.414.070.844</w:t>
            </w:r>
          </w:p>
        </w:tc>
      </w:tr>
    </w:tbl>
    <w:p w14:paraId="734ED6D9" w14:textId="3F1D30F2" w:rsidR="00265CF8" w:rsidRPr="00951AB1" w:rsidRDefault="00265CF8" w:rsidP="000A5389">
      <w:pPr>
        <w:spacing w:line="240" w:lineRule="auto"/>
        <w:rPr>
          <w:rFonts w:cs="Times New Roman"/>
        </w:rPr>
      </w:pPr>
      <w:r w:rsidRPr="00951AB1">
        <w:rPr>
          <w:rFonts w:eastAsia="Times New Roman" w:cs="Times New Roman"/>
          <w:sz w:val="14"/>
          <w:szCs w:val="14"/>
          <w:lang w:val="es-ES"/>
        </w:rPr>
        <w:t>Cifras expresadas en pesos</w:t>
      </w:r>
    </w:p>
    <w:p w14:paraId="79158916" w14:textId="77777777" w:rsidR="00913E14" w:rsidRPr="00951AB1" w:rsidRDefault="00913E14" w:rsidP="000A5389">
      <w:pPr>
        <w:spacing w:line="240" w:lineRule="auto"/>
        <w:rPr>
          <w:rFonts w:cs="Times New Roman"/>
        </w:rPr>
      </w:pPr>
    </w:p>
    <w:p w14:paraId="66BE3F02" w14:textId="77777777" w:rsidR="00043657" w:rsidRPr="00951AB1" w:rsidRDefault="00043657" w:rsidP="000A5389">
      <w:pPr>
        <w:spacing w:line="240" w:lineRule="auto"/>
        <w:rPr>
          <w:rFonts w:eastAsia="Times New Roman" w:cs="Times New Roman"/>
          <w:szCs w:val="24"/>
        </w:rPr>
      </w:pPr>
      <w:r w:rsidRPr="00951AB1">
        <w:rPr>
          <w:rFonts w:eastAsia="Times New Roman" w:cs="Times New Roman"/>
          <w:szCs w:val="24"/>
        </w:rPr>
        <w:t>En la vigencia 2025, los ingresos de la Agencia Nacional de Infraestructura ascendieron a $12.533.702.345.480, presentando un incremento del 94,9% frente a 2024.</w:t>
      </w:r>
    </w:p>
    <w:p w14:paraId="50DC57A4" w14:textId="30EAAA8D" w:rsidR="5B0C84B6" w:rsidRDefault="5B0C84B6" w:rsidP="000A5389">
      <w:pPr>
        <w:spacing w:line="240" w:lineRule="auto"/>
        <w:rPr>
          <w:rFonts w:eastAsia="Times New Roman" w:cs="Times New Roman"/>
          <w:szCs w:val="24"/>
        </w:rPr>
      </w:pPr>
    </w:p>
    <w:p w14:paraId="2B842B23" w14:textId="77777777" w:rsidR="00043657" w:rsidRPr="00951AB1" w:rsidRDefault="00043657" w:rsidP="000A5389">
      <w:pPr>
        <w:spacing w:line="240" w:lineRule="auto"/>
        <w:rPr>
          <w:rFonts w:eastAsia="Times New Roman" w:cs="Times New Roman"/>
          <w:szCs w:val="24"/>
        </w:rPr>
      </w:pPr>
      <w:r w:rsidRPr="00951AB1">
        <w:rPr>
          <w:rFonts w:eastAsia="Times New Roman" w:cs="Times New Roman"/>
          <w:szCs w:val="24"/>
        </w:rPr>
        <w:t>El crecimiento obedece principalmente a:</w:t>
      </w:r>
    </w:p>
    <w:p w14:paraId="66CA5E2D" w14:textId="77777777" w:rsidR="00043657" w:rsidRPr="00951AB1" w:rsidRDefault="00043657" w:rsidP="000A5389">
      <w:pPr>
        <w:spacing w:line="240" w:lineRule="auto"/>
        <w:rPr>
          <w:rFonts w:eastAsia="Times New Roman" w:cs="Times New Roman"/>
          <w:szCs w:val="24"/>
        </w:rPr>
      </w:pPr>
    </w:p>
    <w:p w14:paraId="0877976A" w14:textId="77777777" w:rsidR="00043657" w:rsidRPr="00951AB1" w:rsidRDefault="00043657" w:rsidP="000A5389">
      <w:pPr>
        <w:pStyle w:val="Prrafodelista"/>
        <w:numPr>
          <w:ilvl w:val="0"/>
          <w:numId w:val="39"/>
        </w:numPr>
        <w:spacing w:line="240" w:lineRule="auto"/>
        <w:rPr>
          <w:rFonts w:eastAsia="Times New Roman" w:cs="Times New Roman"/>
          <w:szCs w:val="24"/>
        </w:rPr>
      </w:pPr>
      <w:r w:rsidRPr="00951AB1">
        <w:rPr>
          <w:rFonts w:eastAsia="Times New Roman" w:cs="Times New Roman"/>
          <w:szCs w:val="24"/>
        </w:rPr>
        <w:t>Mayor volumen de operaciones interinstitucionales, especialmente recursos recibidos del Presupuesto General de la Nación.</w:t>
      </w:r>
    </w:p>
    <w:p w14:paraId="6EF86BBC" w14:textId="77777777" w:rsidR="00043657" w:rsidRPr="00951AB1" w:rsidRDefault="00043657" w:rsidP="000A5389">
      <w:pPr>
        <w:pStyle w:val="Prrafodelista"/>
        <w:numPr>
          <w:ilvl w:val="0"/>
          <w:numId w:val="39"/>
        </w:numPr>
        <w:spacing w:line="240" w:lineRule="auto"/>
        <w:rPr>
          <w:rFonts w:eastAsia="Times New Roman" w:cs="Times New Roman"/>
          <w:szCs w:val="24"/>
        </w:rPr>
      </w:pPr>
      <w:r w:rsidRPr="00951AB1">
        <w:rPr>
          <w:rFonts w:eastAsia="Times New Roman" w:cs="Times New Roman"/>
          <w:szCs w:val="24"/>
        </w:rPr>
        <w:t>Incremento en otros ingresos, asociados a la dinámica financiera de los acuerdos de concesión.</w:t>
      </w:r>
    </w:p>
    <w:p w14:paraId="4B4A0E45" w14:textId="77777777" w:rsidR="00043657" w:rsidRPr="00951AB1" w:rsidRDefault="00043657" w:rsidP="000A5389">
      <w:pPr>
        <w:pStyle w:val="Prrafodelista"/>
        <w:numPr>
          <w:ilvl w:val="0"/>
          <w:numId w:val="39"/>
        </w:numPr>
        <w:spacing w:line="240" w:lineRule="auto"/>
        <w:rPr>
          <w:rFonts w:eastAsia="Times New Roman" w:cs="Times New Roman"/>
          <w:szCs w:val="24"/>
        </w:rPr>
      </w:pPr>
      <w:r w:rsidRPr="00951AB1">
        <w:rPr>
          <w:rFonts w:eastAsia="Times New Roman" w:cs="Times New Roman"/>
          <w:szCs w:val="24"/>
        </w:rPr>
        <w:t>Aumento en los ingresos fiscales, principalmente por contribuciones y tasas.</w:t>
      </w:r>
    </w:p>
    <w:p w14:paraId="13F7E261" w14:textId="77777777" w:rsidR="00043657" w:rsidRPr="00951AB1" w:rsidRDefault="00043657" w:rsidP="000A5389">
      <w:pPr>
        <w:spacing w:line="240" w:lineRule="auto"/>
        <w:ind w:left="720"/>
        <w:rPr>
          <w:rFonts w:eastAsia="Times New Roman" w:cs="Times New Roman"/>
          <w:szCs w:val="24"/>
        </w:rPr>
      </w:pPr>
    </w:p>
    <w:p w14:paraId="73125A62" w14:textId="77777777" w:rsidR="00043657" w:rsidRPr="00951AB1" w:rsidRDefault="00043657" w:rsidP="000A5389">
      <w:pPr>
        <w:spacing w:line="240" w:lineRule="auto"/>
        <w:rPr>
          <w:rFonts w:eastAsia="Times New Roman" w:cs="Times New Roman"/>
          <w:szCs w:val="24"/>
        </w:rPr>
      </w:pPr>
      <w:r w:rsidRPr="00951AB1">
        <w:rPr>
          <w:rFonts w:eastAsia="Times New Roman" w:cs="Times New Roman"/>
          <w:szCs w:val="24"/>
        </w:rPr>
        <w:t>La estructura de ingresos evidencia una alta dependencia de recursos provenientes de la Nación, coherente con el modelo institucional de la ANI como entidad ejecutora de política pública en infraestructura.</w:t>
      </w:r>
    </w:p>
    <w:p w14:paraId="395942AE" w14:textId="77777777" w:rsidR="00541931" w:rsidRPr="00951AB1" w:rsidRDefault="00541931" w:rsidP="000A5389">
      <w:pPr>
        <w:spacing w:line="240" w:lineRule="auto"/>
        <w:rPr>
          <w:rFonts w:cs="Times New Roman"/>
        </w:rPr>
      </w:pPr>
    </w:p>
    <w:p w14:paraId="108F3C6F" w14:textId="2329CE94" w:rsidR="004624A7" w:rsidRPr="00951AB1" w:rsidRDefault="004624A7" w:rsidP="000A5389">
      <w:pPr>
        <w:pStyle w:val="Ttulo2"/>
        <w:numPr>
          <w:ilvl w:val="0"/>
          <w:numId w:val="0"/>
        </w:numPr>
        <w:spacing w:line="240" w:lineRule="auto"/>
        <w:rPr>
          <w:rFonts w:eastAsia="Times New Roman" w:cs="Times New Roman"/>
          <w:bCs/>
          <w:szCs w:val="24"/>
          <w:lang w:val="es-ES"/>
        </w:rPr>
      </w:pPr>
      <w:bookmarkStart w:id="794" w:name="_Toc191369566"/>
      <w:bookmarkStart w:id="795" w:name="_Toc191456893"/>
      <w:bookmarkStart w:id="796" w:name="_Toc191457003"/>
      <w:bookmarkStart w:id="797" w:name="_Toc191457113"/>
      <w:bookmarkStart w:id="798" w:name="_Toc191475740"/>
      <w:bookmarkStart w:id="799" w:name="_Toc191475849"/>
      <w:bookmarkStart w:id="800" w:name="_Toc191475958"/>
      <w:bookmarkStart w:id="801" w:name="_Toc191475481"/>
      <w:bookmarkStart w:id="802" w:name="_Toc191505857"/>
      <w:bookmarkStart w:id="803" w:name="_Toc222824171"/>
      <w:bookmarkStart w:id="804" w:name="_Toc222955537"/>
      <w:r w:rsidRPr="00951AB1">
        <w:rPr>
          <w:rFonts w:eastAsia="Times New Roman" w:cs="Times New Roman"/>
          <w:bCs/>
          <w:szCs w:val="24"/>
          <w:lang w:val="es-ES"/>
        </w:rPr>
        <w:lastRenderedPageBreak/>
        <w:t>29.1.</w:t>
      </w:r>
      <w:r w:rsidRPr="00951AB1">
        <w:rPr>
          <w:rFonts w:eastAsia="Times New Roman" w:cs="Times New Roman"/>
          <w:b w:val="0"/>
          <w:sz w:val="14"/>
          <w:szCs w:val="14"/>
          <w:lang w:val="es-ES"/>
        </w:rPr>
        <w:t xml:space="preserve">   </w:t>
      </w:r>
      <w:r w:rsidRPr="00951AB1">
        <w:rPr>
          <w:rFonts w:eastAsia="Times New Roman" w:cs="Times New Roman"/>
          <w:bCs/>
          <w:szCs w:val="24"/>
          <w:lang w:val="es-ES"/>
        </w:rPr>
        <w:t>Ingresos de transacciones sin contraprestación</w:t>
      </w:r>
      <w:bookmarkEnd w:id="794"/>
      <w:bookmarkEnd w:id="795"/>
      <w:bookmarkEnd w:id="796"/>
      <w:bookmarkEnd w:id="797"/>
      <w:bookmarkEnd w:id="798"/>
      <w:bookmarkEnd w:id="799"/>
      <w:bookmarkEnd w:id="800"/>
      <w:bookmarkEnd w:id="801"/>
      <w:bookmarkEnd w:id="802"/>
      <w:bookmarkEnd w:id="803"/>
      <w:bookmarkEnd w:id="804"/>
    </w:p>
    <w:p w14:paraId="620E2638" w14:textId="77777777" w:rsidR="004624A7" w:rsidRPr="00951AB1" w:rsidRDefault="004624A7" w:rsidP="000A5389">
      <w:pPr>
        <w:spacing w:line="240" w:lineRule="auto"/>
        <w:rPr>
          <w:rFonts w:cs="Times New Roman"/>
        </w:rPr>
      </w:pPr>
      <w:r w:rsidRPr="00951AB1">
        <w:rPr>
          <w:rFonts w:eastAsia="Times New Roman" w:cs="Times New Roman"/>
          <w:szCs w:val="24"/>
          <w:lang w:val="es-ES"/>
        </w:rPr>
        <w:t xml:space="preserve"> </w:t>
      </w:r>
    </w:p>
    <w:p w14:paraId="44C1E7EF" w14:textId="77777777" w:rsidR="00DE1B1F" w:rsidRPr="00951AB1" w:rsidRDefault="00DE1B1F" w:rsidP="000A5389">
      <w:pPr>
        <w:spacing w:line="240" w:lineRule="auto"/>
        <w:rPr>
          <w:rFonts w:eastAsia="Times New Roman" w:cs="Times New Roman"/>
          <w:szCs w:val="24"/>
        </w:rPr>
      </w:pPr>
      <w:r w:rsidRPr="00951AB1">
        <w:rPr>
          <w:rFonts w:eastAsia="Times New Roman" w:cs="Times New Roman"/>
          <w:szCs w:val="24"/>
        </w:rPr>
        <w:t>Los ingresos sin contraprestación representan el 57,8% del total de ingresos de la vigencia 2025 y presentan un incremento de 99,7% frente a 2024. La variación está explicada fundamentalmente por el aumento en los fondos recibidos del Tesoro Nacional, destinados a inversión y servicio de la deuda.</w:t>
      </w:r>
    </w:p>
    <w:p w14:paraId="2F302B15" w14:textId="77777777" w:rsidR="00DE1B1F" w:rsidRPr="00951AB1" w:rsidRDefault="00DE1B1F" w:rsidP="000A5389">
      <w:pPr>
        <w:spacing w:line="240" w:lineRule="auto"/>
        <w:rPr>
          <w:rFonts w:eastAsia="Times New Roman" w:cs="Times New Roman"/>
          <w:szCs w:val="24"/>
        </w:rPr>
      </w:pPr>
    </w:p>
    <w:p w14:paraId="4260933B" w14:textId="77777777" w:rsidR="00DE1B1F" w:rsidRPr="00951AB1" w:rsidRDefault="00DE1B1F" w:rsidP="000A5389">
      <w:pPr>
        <w:spacing w:line="240" w:lineRule="auto"/>
        <w:rPr>
          <w:rFonts w:eastAsia="Times New Roman" w:cs="Times New Roman"/>
          <w:color w:val="000000" w:themeColor="text1"/>
          <w:szCs w:val="24"/>
        </w:rPr>
      </w:pPr>
      <w:r w:rsidRPr="00951AB1">
        <w:rPr>
          <w:rFonts w:eastAsia="Times New Roman" w:cs="Times New Roman"/>
          <w:color w:val="000000" w:themeColor="text1"/>
          <w:szCs w:val="24"/>
        </w:rPr>
        <w:t>De conformidad con la política contable adoptada y el marco normativo de la CGN, un ingreso sin contraprestación se reconoce cuando:</w:t>
      </w:r>
    </w:p>
    <w:p w14:paraId="0DFD0744" w14:textId="77777777" w:rsidR="00DE1B1F" w:rsidRPr="00951AB1" w:rsidRDefault="00DE1B1F" w:rsidP="000A5389">
      <w:pPr>
        <w:pStyle w:val="Prrafodelista"/>
        <w:numPr>
          <w:ilvl w:val="0"/>
          <w:numId w:val="40"/>
        </w:numPr>
        <w:spacing w:line="240" w:lineRule="auto"/>
        <w:rPr>
          <w:rFonts w:eastAsia="Times New Roman" w:cs="Times New Roman"/>
          <w:color w:val="000000" w:themeColor="text1"/>
          <w:szCs w:val="24"/>
        </w:rPr>
      </w:pPr>
      <w:r w:rsidRPr="00951AB1">
        <w:rPr>
          <w:rFonts w:eastAsia="Times New Roman" w:cs="Times New Roman"/>
          <w:color w:val="000000" w:themeColor="text1"/>
          <w:szCs w:val="24"/>
        </w:rPr>
        <w:t>La entidad controla el activo recibido.</w:t>
      </w:r>
    </w:p>
    <w:p w14:paraId="3F0C8475" w14:textId="77777777" w:rsidR="00DE1B1F" w:rsidRPr="00951AB1" w:rsidRDefault="00DE1B1F" w:rsidP="000A5389">
      <w:pPr>
        <w:pStyle w:val="Prrafodelista"/>
        <w:numPr>
          <w:ilvl w:val="0"/>
          <w:numId w:val="40"/>
        </w:numPr>
        <w:spacing w:line="240" w:lineRule="auto"/>
        <w:rPr>
          <w:rFonts w:eastAsia="Times New Roman" w:cs="Times New Roman"/>
          <w:color w:val="000000" w:themeColor="text1"/>
          <w:szCs w:val="24"/>
        </w:rPr>
      </w:pPr>
      <w:r w:rsidRPr="00951AB1">
        <w:rPr>
          <w:rFonts w:eastAsia="Times New Roman" w:cs="Times New Roman"/>
          <w:color w:val="000000" w:themeColor="text1"/>
          <w:szCs w:val="24"/>
        </w:rPr>
        <w:t>Es probable la entrada de beneficios económicos futuros o potencial de servicio.</w:t>
      </w:r>
    </w:p>
    <w:p w14:paraId="5E4264A7" w14:textId="77777777" w:rsidR="00DE1B1F" w:rsidRDefault="00DE1B1F" w:rsidP="000A5389">
      <w:pPr>
        <w:pStyle w:val="Prrafodelista"/>
        <w:numPr>
          <w:ilvl w:val="0"/>
          <w:numId w:val="40"/>
        </w:numPr>
        <w:spacing w:line="240" w:lineRule="auto"/>
        <w:rPr>
          <w:rFonts w:eastAsia="Times New Roman" w:cs="Times New Roman"/>
          <w:color w:val="000000" w:themeColor="text1"/>
          <w:szCs w:val="24"/>
        </w:rPr>
      </w:pPr>
      <w:r w:rsidRPr="00951AB1">
        <w:rPr>
          <w:rFonts w:eastAsia="Times New Roman" w:cs="Times New Roman"/>
          <w:color w:val="000000" w:themeColor="text1"/>
          <w:szCs w:val="24"/>
        </w:rPr>
        <w:t>El valor puede medirse con fiabilidad.</w:t>
      </w:r>
    </w:p>
    <w:p w14:paraId="7C551948" w14:textId="77777777" w:rsidR="001762AB" w:rsidRPr="00951AB1" w:rsidRDefault="001762AB" w:rsidP="000A5389">
      <w:pPr>
        <w:pStyle w:val="Prrafodelista"/>
        <w:spacing w:line="240" w:lineRule="auto"/>
        <w:rPr>
          <w:rFonts w:eastAsia="Times New Roman" w:cs="Times New Roman"/>
          <w:color w:val="000000" w:themeColor="text1"/>
          <w:szCs w:val="24"/>
        </w:rPr>
      </w:pPr>
    </w:p>
    <w:p w14:paraId="6A0B7989" w14:textId="77777777" w:rsidR="004624A7" w:rsidRPr="00951AB1" w:rsidRDefault="004624A7" w:rsidP="000A5389">
      <w:pPr>
        <w:spacing w:line="240" w:lineRule="auto"/>
        <w:rPr>
          <w:rFonts w:cs="Times New Roma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852"/>
        <w:gridCol w:w="630"/>
        <w:gridCol w:w="3304"/>
        <w:gridCol w:w="1362"/>
        <w:gridCol w:w="1340"/>
        <w:gridCol w:w="1340"/>
      </w:tblGrid>
      <w:tr w:rsidR="00C772BD" w:rsidRPr="00951AB1" w14:paraId="0F820709" w14:textId="77777777" w:rsidTr="00C772BD">
        <w:trPr>
          <w:trHeight w:val="414"/>
          <w:tblHeader/>
        </w:trPr>
        <w:tc>
          <w:tcPr>
            <w:tcW w:w="2630" w:type="pct"/>
            <w:gridSpan w:val="3"/>
            <w:noWrap/>
            <w:vAlign w:val="center"/>
            <w:hideMark/>
          </w:tcPr>
          <w:p w14:paraId="77B87BAA" w14:textId="77777777" w:rsidR="00C772BD" w:rsidRPr="00951AB1" w:rsidRDefault="00C772BD" w:rsidP="000A5389">
            <w:pPr>
              <w:spacing w:line="240" w:lineRule="auto"/>
              <w:jc w:val="center"/>
              <w:rPr>
                <w:rFonts w:eastAsia="Times New Roman" w:cs="Times New Roman"/>
                <w:b/>
                <w:bCs/>
                <w:color w:val="000000"/>
                <w:kern w:val="0"/>
                <w:sz w:val="16"/>
                <w:szCs w:val="16"/>
                <w:lang w:eastAsia="es-CO"/>
                <w14:ligatures w14:val="none"/>
              </w:rPr>
            </w:pPr>
            <w:r w:rsidRPr="00951AB1">
              <w:rPr>
                <w:rFonts w:eastAsia="Times New Roman" w:cs="Times New Roman"/>
                <w:b/>
                <w:bCs/>
                <w:color w:val="000000"/>
                <w:kern w:val="0"/>
                <w:sz w:val="16"/>
                <w:szCs w:val="16"/>
                <w:lang w:eastAsia="es-CO"/>
                <w14:ligatures w14:val="none"/>
              </w:rPr>
              <w:t>CONCEPTO</w:t>
            </w:r>
          </w:p>
        </w:tc>
        <w:tc>
          <w:tcPr>
            <w:tcW w:w="832" w:type="pct"/>
            <w:vAlign w:val="center"/>
            <w:hideMark/>
          </w:tcPr>
          <w:p w14:paraId="7B6D2AC1" w14:textId="77777777" w:rsidR="00C772BD" w:rsidRPr="00951AB1" w:rsidRDefault="00C772BD" w:rsidP="000A5389">
            <w:pPr>
              <w:spacing w:line="240" w:lineRule="auto"/>
              <w:jc w:val="center"/>
              <w:rPr>
                <w:rFonts w:eastAsia="Times New Roman" w:cs="Times New Roman"/>
                <w:b/>
                <w:bCs/>
                <w:color w:val="000000"/>
                <w:kern w:val="0"/>
                <w:sz w:val="16"/>
                <w:szCs w:val="16"/>
                <w:lang w:eastAsia="es-CO"/>
                <w14:ligatures w14:val="none"/>
              </w:rPr>
            </w:pPr>
            <w:r w:rsidRPr="00951AB1">
              <w:rPr>
                <w:rFonts w:eastAsia="Times New Roman" w:cs="Times New Roman"/>
                <w:b/>
                <w:bCs/>
                <w:color w:val="000000"/>
                <w:kern w:val="0"/>
                <w:sz w:val="16"/>
                <w:szCs w:val="16"/>
                <w:lang w:eastAsia="es-CO"/>
                <w14:ligatures w14:val="none"/>
              </w:rPr>
              <w:t xml:space="preserve">2025 </w:t>
            </w:r>
          </w:p>
        </w:tc>
        <w:tc>
          <w:tcPr>
            <w:tcW w:w="759" w:type="pct"/>
            <w:vAlign w:val="center"/>
            <w:hideMark/>
          </w:tcPr>
          <w:p w14:paraId="260E3403" w14:textId="77777777" w:rsidR="00C772BD" w:rsidRPr="00951AB1" w:rsidRDefault="00C772BD" w:rsidP="000A5389">
            <w:pPr>
              <w:spacing w:line="240" w:lineRule="auto"/>
              <w:jc w:val="center"/>
              <w:rPr>
                <w:rFonts w:eastAsia="Times New Roman" w:cs="Times New Roman"/>
                <w:b/>
                <w:bCs/>
                <w:color w:val="000000"/>
                <w:kern w:val="0"/>
                <w:sz w:val="16"/>
                <w:szCs w:val="16"/>
                <w:lang w:eastAsia="es-CO"/>
                <w14:ligatures w14:val="none"/>
              </w:rPr>
            </w:pPr>
            <w:r w:rsidRPr="00951AB1">
              <w:rPr>
                <w:rFonts w:eastAsia="Times New Roman" w:cs="Times New Roman"/>
                <w:b/>
                <w:bCs/>
                <w:color w:val="000000"/>
                <w:kern w:val="0"/>
                <w:sz w:val="16"/>
                <w:szCs w:val="16"/>
                <w:lang w:eastAsia="es-CO"/>
                <w14:ligatures w14:val="none"/>
              </w:rPr>
              <w:t xml:space="preserve">2024 </w:t>
            </w:r>
          </w:p>
        </w:tc>
        <w:tc>
          <w:tcPr>
            <w:tcW w:w="779" w:type="pct"/>
            <w:vAlign w:val="center"/>
            <w:hideMark/>
          </w:tcPr>
          <w:p w14:paraId="09EE2159" w14:textId="45912FA5" w:rsidR="00C772BD" w:rsidRPr="00951AB1" w:rsidRDefault="00C772BD" w:rsidP="000A5389">
            <w:pPr>
              <w:spacing w:line="240" w:lineRule="auto"/>
              <w:jc w:val="center"/>
              <w:rPr>
                <w:rFonts w:eastAsia="Times New Roman" w:cs="Times New Roman"/>
                <w:b/>
                <w:bCs/>
                <w:color w:val="000000"/>
                <w:kern w:val="0"/>
                <w:sz w:val="16"/>
                <w:szCs w:val="16"/>
                <w:lang w:eastAsia="es-CO"/>
                <w14:ligatures w14:val="none"/>
              </w:rPr>
            </w:pPr>
            <w:r w:rsidRPr="00951AB1">
              <w:rPr>
                <w:rFonts w:eastAsia="Times New Roman" w:cs="Times New Roman"/>
                <w:b/>
                <w:bCs/>
                <w:color w:val="000000"/>
                <w:kern w:val="0"/>
                <w:sz w:val="16"/>
                <w:szCs w:val="16"/>
                <w:lang w:eastAsia="es-CO"/>
                <w14:ligatures w14:val="none"/>
              </w:rPr>
              <w:t>VARIACIÓN</w:t>
            </w:r>
          </w:p>
        </w:tc>
      </w:tr>
      <w:tr w:rsidR="00C772BD" w:rsidRPr="00951AB1" w14:paraId="32AFF45C" w14:textId="77777777" w:rsidTr="00C772BD">
        <w:trPr>
          <w:trHeight w:val="570"/>
        </w:trPr>
        <w:tc>
          <w:tcPr>
            <w:tcW w:w="2630" w:type="pct"/>
            <w:gridSpan w:val="3"/>
            <w:noWrap/>
            <w:vAlign w:val="center"/>
            <w:hideMark/>
          </w:tcPr>
          <w:p w14:paraId="138B0641" w14:textId="064CA637" w:rsidR="00C772BD" w:rsidRPr="00951AB1" w:rsidRDefault="00C772BD" w:rsidP="000A5389">
            <w:pPr>
              <w:spacing w:line="240" w:lineRule="auto"/>
              <w:rPr>
                <w:rFonts w:eastAsia="Times New Roman" w:cs="Times New Roman"/>
                <w:b/>
                <w:bCs/>
                <w:color w:val="000000"/>
                <w:kern w:val="0"/>
                <w:sz w:val="16"/>
                <w:szCs w:val="16"/>
                <w:lang w:eastAsia="es-CO"/>
                <w14:ligatures w14:val="none"/>
              </w:rPr>
            </w:pPr>
            <w:r w:rsidRPr="00951AB1">
              <w:rPr>
                <w:rFonts w:eastAsia="Times New Roman" w:cs="Times New Roman"/>
                <w:b/>
                <w:bCs/>
                <w:color w:val="000000"/>
                <w:kern w:val="0"/>
                <w:sz w:val="16"/>
                <w:szCs w:val="16"/>
                <w:lang w:eastAsia="es-CO"/>
                <w14:ligatures w14:val="none"/>
              </w:rPr>
              <w:t> INGRESOS DE TRANSACCIONES SIN CONTRAPRESTACIÓN</w:t>
            </w:r>
          </w:p>
        </w:tc>
        <w:tc>
          <w:tcPr>
            <w:tcW w:w="832" w:type="pct"/>
            <w:noWrap/>
            <w:vAlign w:val="center"/>
            <w:hideMark/>
          </w:tcPr>
          <w:p w14:paraId="577BACE0" w14:textId="77777777" w:rsidR="00C772BD" w:rsidRPr="00951AB1" w:rsidRDefault="00C772BD" w:rsidP="000A5389">
            <w:pPr>
              <w:spacing w:line="240" w:lineRule="auto"/>
              <w:jc w:val="right"/>
              <w:rPr>
                <w:rFonts w:eastAsia="Times New Roman" w:cs="Times New Roman"/>
                <w:b/>
                <w:bCs/>
                <w:color w:val="000000"/>
                <w:kern w:val="0"/>
                <w:sz w:val="16"/>
                <w:szCs w:val="16"/>
                <w:lang w:eastAsia="es-CO"/>
                <w14:ligatures w14:val="none"/>
              </w:rPr>
            </w:pPr>
            <w:r w:rsidRPr="00951AB1">
              <w:rPr>
                <w:rFonts w:eastAsia="Times New Roman" w:cs="Times New Roman"/>
                <w:b/>
                <w:bCs/>
                <w:color w:val="000000"/>
                <w:kern w:val="0"/>
                <w:sz w:val="16"/>
                <w:szCs w:val="16"/>
                <w:lang w:eastAsia="es-CO"/>
                <w14:ligatures w14:val="none"/>
              </w:rPr>
              <w:t>7.246.355.235.232</w:t>
            </w:r>
          </w:p>
        </w:tc>
        <w:tc>
          <w:tcPr>
            <w:tcW w:w="759" w:type="pct"/>
            <w:noWrap/>
            <w:vAlign w:val="center"/>
            <w:hideMark/>
          </w:tcPr>
          <w:p w14:paraId="3EA3EF3B" w14:textId="77777777" w:rsidR="00C772BD" w:rsidRPr="00951AB1" w:rsidRDefault="00C772BD" w:rsidP="000A5389">
            <w:pPr>
              <w:spacing w:line="240" w:lineRule="auto"/>
              <w:jc w:val="right"/>
              <w:rPr>
                <w:rFonts w:eastAsia="Times New Roman" w:cs="Times New Roman"/>
                <w:b/>
                <w:bCs/>
                <w:color w:val="000000"/>
                <w:kern w:val="0"/>
                <w:sz w:val="16"/>
                <w:szCs w:val="16"/>
                <w:lang w:eastAsia="es-CO"/>
                <w14:ligatures w14:val="none"/>
              </w:rPr>
            </w:pPr>
            <w:r w:rsidRPr="00951AB1">
              <w:rPr>
                <w:rFonts w:eastAsia="Times New Roman" w:cs="Times New Roman"/>
                <w:b/>
                <w:bCs/>
                <w:color w:val="000000"/>
                <w:kern w:val="0"/>
                <w:sz w:val="16"/>
                <w:szCs w:val="16"/>
                <w:lang w:eastAsia="es-CO"/>
                <w14:ligatures w14:val="none"/>
              </w:rPr>
              <w:t>3.628.527.278.014</w:t>
            </w:r>
          </w:p>
        </w:tc>
        <w:tc>
          <w:tcPr>
            <w:tcW w:w="779" w:type="pct"/>
            <w:noWrap/>
            <w:vAlign w:val="center"/>
            <w:hideMark/>
          </w:tcPr>
          <w:p w14:paraId="321D8CD1" w14:textId="77777777" w:rsidR="00C772BD" w:rsidRPr="00951AB1" w:rsidRDefault="00C772BD" w:rsidP="000A5389">
            <w:pPr>
              <w:spacing w:line="240" w:lineRule="auto"/>
              <w:jc w:val="right"/>
              <w:rPr>
                <w:rFonts w:eastAsia="Times New Roman" w:cs="Times New Roman"/>
                <w:b/>
                <w:bCs/>
                <w:color w:val="000000"/>
                <w:kern w:val="0"/>
                <w:sz w:val="16"/>
                <w:szCs w:val="16"/>
                <w:lang w:eastAsia="es-CO"/>
                <w14:ligatures w14:val="none"/>
              </w:rPr>
            </w:pPr>
            <w:r w:rsidRPr="00951AB1">
              <w:rPr>
                <w:rFonts w:eastAsia="Times New Roman" w:cs="Times New Roman"/>
                <w:b/>
                <w:bCs/>
                <w:color w:val="000000"/>
                <w:kern w:val="0"/>
                <w:sz w:val="16"/>
                <w:szCs w:val="16"/>
                <w:lang w:eastAsia="es-CO"/>
                <w14:ligatures w14:val="none"/>
              </w:rPr>
              <w:t>3.617.827.957.218</w:t>
            </w:r>
          </w:p>
        </w:tc>
      </w:tr>
      <w:tr w:rsidR="008B0B00" w:rsidRPr="00951AB1" w14:paraId="29EA5967" w14:textId="77777777" w:rsidTr="00C772BD">
        <w:trPr>
          <w:trHeight w:val="285"/>
        </w:trPr>
        <w:tc>
          <w:tcPr>
            <w:tcW w:w="468" w:type="pct"/>
            <w:noWrap/>
            <w:vAlign w:val="center"/>
            <w:hideMark/>
          </w:tcPr>
          <w:p w14:paraId="233E3D5F" w14:textId="77777777" w:rsidR="008B0B00" w:rsidRPr="00951AB1" w:rsidRDefault="008B0B00" w:rsidP="000A5389">
            <w:pPr>
              <w:spacing w:line="240" w:lineRule="auto"/>
              <w:rPr>
                <w:rFonts w:eastAsia="Times New Roman" w:cs="Times New Roman"/>
                <w:b/>
                <w:bCs/>
                <w:color w:val="000000"/>
                <w:kern w:val="0"/>
                <w:sz w:val="16"/>
                <w:szCs w:val="16"/>
                <w:lang w:eastAsia="es-CO"/>
                <w14:ligatures w14:val="none"/>
              </w:rPr>
            </w:pPr>
            <w:r w:rsidRPr="00951AB1">
              <w:rPr>
                <w:rFonts w:eastAsia="Times New Roman" w:cs="Times New Roman"/>
                <w:b/>
                <w:bCs/>
                <w:color w:val="000000"/>
                <w:kern w:val="0"/>
                <w:sz w:val="16"/>
                <w:szCs w:val="16"/>
                <w:lang w:eastAsia="es-CO"/>
                <w14:ligatures w14:val="none"/>
              </w:rPr>
              <w:t>4.7</w:t>
            </w:r>
          </w:p>
        </w:tc>
        <w:tc>
          <w:tcPr>
            <w:tcW w:w="346" w:type="pct"/>
            <w:noWrap/>
            <w:vAlign w:val="center"/>
            <w:hideMark/>
          </w:tcPr>
          <w:p w14:paraId="25C53816" w14:textId="77777777" w:rsidR="008B0B00" w:rsidRPr="00951AB1" w:rsidRDefault="008B0B00" w:rsidP="000A5389">
            <w:pPr>
              <w:spacing w:line="240" w:lineRule="auto"/>
              <w:jc w:val="center"/>
              <w:rPr>
                <w:rFonts w:eastAsia="Times New Roman" w:cs="Times New Roman"/>
                <w:b/>
                <w:bCs/>
                <w:color w:val="000000"/>
                <w:kern w:val="0"/>
                <w:sz w:val="16"/>
                <w:szCs w:val="16"/>
                <w:lang w:eastAsia="es-CO"/>
                <w14:ligatures w14:val="none"/>
              </w:rPr>
            </w:pPr>
            <w:r w:rsidRPr="00951AB1">
              <w:rPr>
                <w:rFonts w:eastAsia="Times New Roman" w:cs="Times New Roman"/>
                <w:b/>
                <w:bCs/>
                <w:color w:val="000000"/>
                <w:kern w:val="0"/>
                <w:sz w:val="16"/>
                <w:szCs w:val="16"/>
                <w:lang w:eastAsia="es-CO"/>
                <w14:ligatures w14:val="none"/>
              </w:rPr>
              <w:t>Cr</w:t>
            </w:r>
          </w:p>
        </w:tc>
        <w:tc>
          <w:tcPr>
            <w:tcW w:w="1816" w:type="pct"/>
            <w:vAlign w:val="center"/>
            <w:hideMark/>
          </w:tcPr>
          <w:p w14:paraId="1A055DEA" w14:textId="77777777" w:rsidR="008B0B00" w:rsidRPr="00951AB1" w:rsidRDefault="008B0B00" w:rsidP="000A5389">
            <w:pPr>
              <w:spacing w:line="240" w:lineRule="auto"/>
              <w:rPr>
                <w:rFonts w:eastAsia="Times New Roman" w:cs="Times New Roman"/>
                <w:b/>
                <w:bCs/>
                <w:color w:val="000000"/>
                <w:kern w:val="0"/>
                <w:sz w:val="16"/>
                <w:szCs w:val="16"/>
                <w:lang w:eastAsia="es-CO"/>
                <w14:ligatures w14:val="none"/>
              </w:rPr>
            </w:pPr>
            <w:r w:rsidRPr="00951AB1">
              <w:rPr>
                <w:rFonts w:eastAsia="Times New Roman" w:cs="Times New Roman"/>
                <w:b/>
                <w:bCs/>
                <w:color w:val="000000"/>
                <w:kern w:val="0"/>
                <w:sz w:val="16"/>
                <w:szCs w:val="16"/>
                <w:lang w:eastAsia="es-CO"/>
                <w14:ligatures w14:val="none"/>
              </w:rPr>
              <w:t>OPERACIONES INTERINSTITUCIONALES</w:t>
            </w:r>
          </w:p>
        </w:tc>
        <w:tc>
          <w:tcPr>
            <w:tcW w:w="832" w:type="pct"/>
            <w:noWrap/>
            <w:vAlign w:val="center"/>
            <w:hideMark/>
          </w:tcPr>
          <w:p w14:paraId="5AF09D24" w14:textId="77777777" w:rsidR="008B0B00" w:rsidRPr="00951AB1" w:rsidRDefault="008B0B00" w:rsidP="000A5389">
            <w:pPr>
              <w:spacing w:line="240" w:lineRule="auto"/>
              <w:jc w:val="right"/>
              <w:rPr>
                <w:rFonts w:eastAsia="Times New Roman" w:cs="Times New Roman"/>
                <w:b/>
                <w:bCs/>
                <w:color w:val="000000"/>
                <w:kern w:val="0"/>
                <w:sz w:val="16"/>
                <w:szCs w:val="16"/>
                <w:lang w:eastAsia="es-CO"/>
                <w14:ligatures w14:val="none"/>
              </w:rPr>
            </w:pPr>
            <w:r w:rsidRPr="00951AB1">
              <w:rPr>
                <w:rFonts w:eastAsia="Times New Roman" w:cs="Times New Roman"/>
                <w:b/>
                <w:bCs/>
                <w:color w:val="000000"/>
                <w:kern w:val="0"/>
                <w:sz w:val="16"/>
                <w:szCs w:val="16"/>
                <w:lang w:eastAsia="es-CO"/>
                <w14:ligatures w14:val="none"/>
              </w:rPr>
              <w:t>6.849.819.932.032</w:t>
            </w:r>
          </w:p>
        </w:tc>
        <w:tc>
          <w:tcPr>
            <w:tcW w:w="759" w:type="pct"/>
            <w:noWrap/>
            <w:vAlign w:val="center"/>
            <w:hideMark/>
          </w:tcPr>
          <w:p w14:paraId="5BC964B0" w14:textId="77777777" w:rsidR="008B0B00" w:rsidRPr="00951AB1" w:rsidRDefault="008B0B00" w:rsidP="000A5389">
            <w:pPr>
              <w:spacing w:line="240" w:lineRule="auto"/>
              <w:jc w:val="right"/>
              <w:rPr>
                <w:rFonts w:eastAsia="Times New Roman" w:cs="Times New Roman"/>
                <w:b/>
                <w:bCs/>
                <w:color w:val="000000"/>
                <w:kern w:val="0"/>
                <w:sz w:val="16"/>
                <w:szCs w:val="16"/>
                <w:lang w:eastAsia="es-CO"/>
                <w14:ligatures w14:val="none"/>
              </w:rPr>
            </w:pPr>
            <w:r w:rsidRPr="00951AB1">
              <w:rPr>
                <w:rFonts w:eastAsia="Times New Roman" w:cs="Times New Roman"/>
                <w:b/>
                <w:bCs/>
                <w:color w:val="000000"/>
                <w:kern w:val="0"/>
                <w:sz w:val="16"/>
                <w:szCs w:val="16"/>
                <w:lang w:eastAsia="es-CO"/>
                <w14:ligatures w14:val="none"/>
              </w:rPr>
              <w:t>3.407.406.045.659</w:t>
            </w:r>
          </w:p>
        </w:tc>
        <w:tc>
          <w:tcPr>
            <w:tcW w:w="779" w:type="pct"/>
            <w:noWrap/>
            <w:vAlign w:val="center"/>
            <w:hideMark/>
          </w:tcPr>
          <w:p w14:paraId="5828A261" w14:textId="77777777" w:rsidR="008B0B00" w:rsidRPr="00951AB1" w:rsidRDefault="008B0B00" w:rsidP="000A5389">
            <w:pPr>
              <w:spacing w:line="240" w:lineRule="auto"/>
              <w:jc w:val="right"/>
              <w:rPr>
                <w:rFonts w:eastAsia="Times New Roman" w:cs="Times New Roman"/>
                <w:b/>
                <w:bCs/>
                <w:color w:val="000000"/>
                <w:kern w:val="0"/>
                <w:sz w:val="16"/>
                <w:szCs w:val="16"/>
                <w:lang w:eastAsia="es-CO"/>
                <w14:ligatures w14:val="none"/>
              </w:rPr>
            </w:pPr>
            <w:r w:rsidRPr="00951AB1">
              <w:rPr>
                <w:rFonts w:eastAsia="Times New Roman" w:cs="Times New Roman"/>
                <w:b/>
                <w:bCs/>
                <w:color w:val="000000"/>
                <w:kern w:val="0"/>
                <w:sz w:val="16"/>
                <w:szCs w:val="16"/>
                <w:lang w:eastAsia="es-CO"/>
                <w14:ligatures w14:val="none"/>
              </w:rPr>
              <w:t>3.442.413.886.374</w:t>
            </w:r>
          </w:p>
        </w:tc>
      </w:tr>
      <w:tr w:rsidR="008B0B00" w:rsidRPr="00951AB1" w14:paraId="2CC41121" w14:textId="77777777" w:rsidTr="00C772BD">
        <w:trPr>
          <w:trHeight w:val="300"/>
        </w:trPr>
        <w:tc>
          <w:tcPr>
            <w:tcW w:w="468" w:type="pct"/>
            <w:noWrap/>
            <w:vAlign w:val="center"/>
            <w:hideMark/>
          </w:tcPr>
          <w:p w14:paraId="1E74890E" w14:textId="77777777" w:rsidR="008B0B00" w:rsidRPr="00951AB1" w:rsidRDefault="008B0B00" w:rsidP="000A5389">
            <w:pPr>
              <w:spacing w:line="240" w:lineRule="auto"/>
              <w:rPr>
                <w:rFonts w:eastAsia="Times New Roman" w:cs="Times New Roman"/>
                <w:color w:val="000000"/>
                <w:kern w:val="0"/>
                <w:sz w:val="16"/>
                <w:szCs w:val="16"/>
                <w:lang w:eastAsia="es-CO"/>
                <w14:ligatures w14:val="none"/>
              </w:rPr>
            </w:pPr>
            <w:r w:rsidRPr="00951AB1">
              <w:rPr>
                <w:rFonts w:eastAsia="Times New Roman" w:cs="Times New Roman"/>
                <w:color w:val="000000"/>
                <w:kern w:val="0"/>
                <w:sz w:val="16"/>
                <w:szCs w:val="16"/>
                <w:lang w:eastAsia="es-CO"/>
                <w14:ligatures w14:val="none"/>
              </w:rPr>
              <w:t>4.7.05</w:t>
            </w:r>
          </w:p>
        </w:tc>
        <w:tc>
          <w:tcPr>
            <w:tcW w:w="346" w:type="pct"/>
            <w:noWrap/>
            <w:vAlign w:val="center"/>
            <w:hideMark/>
          </w:tcPr>
          <w:p w14:paraId="77BAA03F" w14:textId="77777777" w:rsidR="008B0B00" w:rsidRPr="00951AB1" w:rsidRDefault="008B0B00" w:rsidP="000A5389">
            <w:pPr>
              <w:spacing w:line="240" w:lineRule="auto"/>
              <w:jc w:val="center"/>
              <w:rPr>
                <w:rFonts w:eastAsia="Times New Roman" w:cs="Times New Roman"/>
                <w:color w:val="000000"/>
                <w:kern w:val="0"/>
                <w:sz w:val="16"/>
                <w:szCs w:val="16"/>
                <w:lang w:eastAsia="es-CO"/>
                <w14:ligatures w14:val="none"/>
              </w:rPr>
            </w:pPr>
            <w:r w:rsidRPr="00951AB1">
              <w:rPr>
                <w:rFonts w:eastAsia="Times New Roman" w:cs="Times New Roman"/>
                <w:color w:val="000000"/>
                <w:kern w:val="0"/>
                <w:sz w:val="16"/>
                <w:szCs w:val="16"/>
                <w:lang w:eastAsia="es-CO"/>
                <w14:ligatures w14:val="none"/>
              </w:rPr>
              <w:t>Cr</w:t>
            </w:r>
          </w:p>
        </w:tc>
        <w:tc>
          <w:tcPr>
            <w:tcW w:w="1816" w:type="pct"/>
            <w:vAlign w:val="center"/>
            <w:hideMark/>
          </w:tcPr>
          <w:p w14:paraId="4DA279A3" w14:textId="77777777" w:rsidR="008B0B00" w:rsidRPr="00951AB1" w:rsidRDefault="008B0B00" w:rsidP="000A5389">
            <w:pPr>
              <w:spacing w:line="240" w:lineRule="auto"/>
              <w:rPr>
                <w:rFonts w:eastAsia="Times New Roman" w:cs="Times New Roman"/>
                <w:color w:val="000000"/>
                <w:kern w:val="0"/>
                <w:sz w:val="16"/>
                <w:szCs w:val="16"/>
                <w:lang w:eastAsia="es-CO"/>
                <w14:ligatures w14:val="none"/>
              </w:rPr>
            </w:pPr>
            <w:r w:rsidRPr="00951AB1">
              <w:rPr>
                <w:rFonts w:eastAsia="Times New Roman" w:cs="Times New Roman"/>
                <w:color w:val="000000"/>
                <w:kern w:val="0"/>
                <w:sz w:val="16"/>
                <w:szCs w:val="16"/>
                <w:lang w:eastAsia="es-CO"/>
                <w14:ligatures w14:val="none"/>
              </w:rPr>
              <w:t>Fondos recibidos</w:t>
            </w:r>
          </w:p>
        </w:tc>
        <w:tc>
          <w:tcPr>
            <w:tcW w:w="832" w:type="pct"/>
            <w:noWrap/>
            <w:vAlign w:val="center"/>
            <w:hideMark/>
          </w:tcPr>
          <w:p w14:paraId="6D2139A7" w14:textId="77777777" w:rsidR="008B0B00" w:rsidRPr="00951AB1" w:rsidRDefault="008B0B00" w:rsidP="000A5389">
            <w:pPr>
              <w:spacing w:line="240" w:lineRule="auto"/>
              <w:jc w:val="right"/>
              <w:rPr>
                <w:rFonts w:eastAsia="Times New Roman" w:cs="Times New Roman"/>
                <w:color w:val="000000"/>
                <w:kern w:val="0"/>
                <w:sz w:val="16"/>
                <w:szCs w:val="16"/>
                <w:lang w:eastAsia="es-CO"/>
                <w14:ligatures w14:val="none"/>
              </w:rPr>
            </w:pPr>
            <w:r w:rsidRPr="00951AB1">
              <w:rPr>
                <w:rFonts w:eastAsia="Times New Roman" w:cs="Times New Roman"/>
                <w:color w:val="000000"/>
                <w:kern w:val="0"/>
                <w:sz w:val="16"/>
                <w:szCs w:val="16"/>
                <w:lang w:eastAsia="es-CO"/>
                <w14:ligatures w14:val="none"/>
              </w:rPr>
              <w:t>6.740.610.139.691</w:t>
            </w:r>
          </w:p>
        </w:tc>
        <w:tc>
          <w:tcPr>
            <w:tcW w:w="759" w:type="pct"/>
            <w:noWrap/>
            <w:vAlign w:val="center"/>
            <w:hideMark/>
          </w:tcPr>
          <w:p w14:paraId="2EADBAE6" w14:textId="77777777" w:rsidR="008B0B00" w:rsidRPr="00951AB1" w:rsidRDefault="008B0B00" w:rsidP="000A5389">
            <w:pPr>
              <w:spacing w:line="240" w:lineRule="auto"/>
              <w:jc w:val="right"/>
              <w:rPr>
                <w:rFonts w:eastAsia="Times New Roman" w:cs="Times New Roman"/>
                <w:color w:val="000000"/>
                <w:kern w:val="0"/>
                <w:sz w:val="16"/>
                <w:szCs w:val="16"/>
                <w:lang w:eastAsia="es-CO"/>
                <w14:ligatures w14:val="none"/>
              </w:rPr>
            </w:pPr>
            <w:r w:rsidRPr="00951AB1">
              <w:rPr>
                <w:rFonts w:eastAsia="Times New Roman" w:cs="Times New Roman"/>
                <w:color w:val="000000"/>
                <w:kern w:val="0"/>
                <w:sz w:val="16"/>
                <w:szCs w:val="16"/>
                <w:lang w:eastAsia="es-CO"/>
                <w14:ligatures w14:val="none"/>
              </w:rPr>
              <w:t>3.290.898.180.414</w:t>
            </w:r>
          </w:p>
        </w:tc>
        <w:tc>
          <w:tcPr>
            <w:tcW w:w="779" w:type="pct"/>
            <w:noWrap/>
            <w:vAlign w:val="center"/>
            <w:hideMark/>
          </w:tcPr>
          <w:p w14:paraId="59E7CD83" w14:textId="77777777" w:rsidR="008B0B00" w:rsidRPr="00951AB1" w:rsidRDefault="008B0B00" w:rsidP="000A5389">
            <w:pPr>
              <w:spacing w:line="240" w:lineRule="auto"/>
              <w:jc w:val="right"/>
              <w:rPr>
                <w:rFonts w:eastAsia="Times New Roman" w:cs="Times New Roman"/>
                <w:color w:val="000000"/>
                <w:kern w:val="0"/>
                <w:sz w:val="16"/>
                <w:szCs w:val="16"/>
                <w:lang w:eastAsia="es-CO"/>
                <w14:ligatures w14:val="none"/>
              </w:rPr>
            </w:pPr>
            <w:r w:rsidRPr="00951AB1">
              <w:rPr>
                <w:rFonts w:eastAsia="Times New Roman" w:cs="Times New Roman"/>
                <w:color w:val="000000"/>
                <w:kern w:val="0"/>
                <w:sz w:val="16"/>
                <w:szCs w:val="16"/>
                <w:lang w:eastAsia="es-CO"/>
                <w14:ligatures w14:val="none"/>
              </w:rPr>
              <w:t>3.449.711.959.277</w:t>
            </w:r>
          </w:p>
        </w:tc>
      </w:tr>
      <w:tr w:rsidR="008B0B00" w:rsidRPr="00951AB1" w14:paraId="1FE4F8FC" w14:textId="77777777" w:rsidTr="00C772BD">
        <w:trPr>
          <w:trHeight w:val="300"/>
        </w:trPr>
        <w:tc>
          <w:tcPr>
            <w:tcW w:w="468" w:type="pct"/>
            <w:noWrap/>
            <w:vAlign w:val="center"/>
            <w:hideMark/>
          </w:tcPr>
          <w:p w14:paraId="78D1E019" w14:textId="77777777" w:rsidR="008B0B00" w:rsidRPr="00951AB1" w:rsidRDefault="008B0B00" w:rsidP="000A5389">
            <w:pPr>
              <w:spacing w:line="240" w:lineRule="auto"/>
              <w:rPr>
                <w:rFonts w:eastAsia="Times New Roman" w:cs="Times New Roman"/>
                <w:color w:val="000000"/>
                <w:kern w:val="0"/>
                <w:sz w:val="16"/>
                <w:szCs w:val="16"/>
                <w:lang w:eastAsia="es-CO"/>
                <w14:ligatures w14:val="none"/>
              </w:rPr>
            </w:pPr>
            <w:r w:rsidRPr="00951AB1">
              <w:rPr>
                <w:rFonts w:eastAsia="Times New Roman" w:cs="Times New Roman"/>
                <w:color w:val="000000"/>
                <w:kern w:val="0"/>
                <w:sz w:val="16"/>
                <w:szCs w:val="16"/>
                <w:lang w:eastAsia="es-CO"/>
                <w14:ligatures w14:val="none"/>
              </w:rPr>
              <w:t>4.7.22</w:t>
            </w:r>
          </w:p>
        </w:tc>
        <w:tc>
          <w:tcPr>
            <w:tcW w:w="346" w:type="pct"/>
            <w:noWrap/>
            <w:vAlign w:val="center"/>
            <w:hideMark/>
          </w:tcPr>
          <w:p w14:paraId="268F195E" w14:textId="77777777" w:rsidR="008B0B00" w:rsidRPr="00951AB1" w:rsidRDefault="008B0B00" w:rsidP="000A5389">
            <w:pPr>
              <w:spacing w:line="240" w:lineRule="auto"/>
              <w:jc w:val="center"/>
              <w:rPr>
                <w:rFonts w:eastAsia="Times New Roman" w:cs="Times New Roman"/>
                <w:color w:val="000000"/>
                <w:kern w:val="0"/>
                <w:sz w:val="16"/>
                <w:szCs w:val="16"/>
                <w:lang w:eastAsia="es-CO"/>
                <w14:ligatures w14:val="none"/>
              </w:rPr>
            </w:pPr>
            <w:r w:rsidRPr="00951AB1">
              <w:rPr>
                <w:rFonts w:eastAsia="Times New Roman" w:cs="Times New Roman"/>
                <w:color w:val="000000"/>
                <w:kern w:val="0"/>
                <w:sz w:val="16"/>
                <w:szCs w:val="16"/>
                <w:lang w:eastAsia="es-CO"/>
                <w14:ligatures w14:val="none"/>
              </w:rPr>
              <w:t>Cr</w:t>
            </w:r>
          </w:p>
        </w:tc>
        <w:tc>
          <w:tcPr>
            <w:tcW w:w="1816" w:type="pct"/>
            <w:vAlign w:val="center"/>
            <w:hideMark/>
          </w:tcPr>
          <w:p w14:paraId="5ACCEF68" w14:textId="77777777" w:rsidR="008B0B00" w:rsidRPr="00951AB1" w:rsidRDefault="008B0B00" w:rsidP="000A5389">
            <w:pPr>
              <w:spacing w:line="240" w:lineRule="auto"/>
              <w:rPr>
                <w:rFonts w:eastAsia="Times New Roman" w:cs="Times New Roman"/>
                <w:color w:val="000000"/>
                <w:kern w:val="0"/>
                <w:sz w:val="16"/>
                <w:szCs w:val="16"/>
                <w:lang w:eastAsia="es-CO"/>
                <w14:ligatures w14:val="none"/>
              </w:rPr>
            </w:pPr>
            <w:r w:rsidRPr="00951AB1">
              <w:rPr>
                <w:rFonts w:eastAsia="Times New Roman" w:cs="Times New Roman"/>
                <w:color w:val="000000"/>
                <w:kern w:val="0"/>
                <w:sz w:val="16"/>
                <w:szCs w:val="16"/>
                <w:lang w:eastAsia="es-CO"/>
                <w14:ligatures w14:val="none"/>
              </w:rPr>
              <w:t>Operaciones sin flujo de efectivo</w:t>
            </w:r>
          </w:p>
        </w:tc>
        <w:tc>
          <w:tcPr>
            <w:tcW w:w="832" w:type="pct"/>
            <w:noWrap/>
            <w:vAlign w:val="center"/>
            <w:hideMark/>
          </w:tcPr>
          <w:p w14:paraId="030954D5" w14:textId="77777777" w:rsidR="008B0B00" w:rsidRPr="00951AB1" w:rsidRDefault="008B0B00" w:rsidP="000A5389">
            <w:pPr>
              <w:spacing w:line="240" w:lineRule="auto"/>
              <w:jc w:val="right"/>
              <w:rPr>
                <w:rFonts w:eastAsia="Times New Roman" w:cs="Times New Roman"/>
                <w:color w:val="000000"/>
                <w:kern w:val="0"/>
                <w:sz w:val="16"/>
                <w:szCs w:val="16"/>
                <w:lang w:eastAsia="es-CO"/>
                <w14:ligatures w14:val="none"/>
              </w:rPr>
            </w:pPr>
            <w:r w:rsidRPr="00951AB1">
              <w:rPr>
                <w:rFonts w:eastAsia="Times New Roman" w:cs="Times New Roman"/>
                <w:color w:val="000000"/>
                <w:kern w:val="0"/>
                <w:sz w:val="16"/>
                <w:szCs w:val="16"/>
                <w:lang w:eastAsia="es-CO"/>
                <w14:ligatures w14:val="none"/>
              </w:rPr>
              <w:t>109.209.792.341</w:t>
            </w:r>
          </w:p>
        </w:tc>
        <w:tc>
          <w:tcPr>
            <w:tcW w:w="759" w:type="pct"/>
            <w:noWrap/>
            <w:vAlign w:val="center"/>
            <w:hideMark/>
          </w:tcPr>
          <w:p w14:paraId="18082003" w14:textId="77777777" w:rsidR="008B0B00" w:rsidRPr="00951AB1" w:rsidRDefault="008B0B00" w:rsidP="000A5389">
            <w:pPr>
              <w:spacing w:line="240" w:lineRule="auto"/>
              <w:jc w:val="right"/>
              <w:rPr>
                <w:rFonts w:eastAsia="Times New Roman" w:cs="Times New Roman"/>
                <w:color w:val="000000"/>
                <w:kern w:val="0"/>
                <w:sz w:val="16"/>
                <w:szCs w:val="16"/>
                <w:lang w:eastAsia="es-CO"/>
                <w14:ligatures w14:val="none"/>
              </w:rPr>
            </w:pPr>
            <w:r w:rsidRPr="00951AB1">
              <w:rPr>
                <w:rFonts w:eastAsia="Times New Roman" w:cs="Times New Roman"/>
                <w:color w:val="000000"/>
                <w:kern w:val="0"/>
                <w:sz w:val="16"/>
                <w:szCs w:val="16"/>
                <w:lang w:eastAsia="es-CO"/>
                <w14:ligatures w14:val="none"/>
              </w:rPr>
              <w:t>116.507.865.245</w:t>
            </w:r>
          </w:p>
        </w:tc>
        <w:tc>
          <w:tcPr>
            <w:tcW w:w="779" w:type="pct"/>
            <w:noWrap/>
            <w:vAlign w:val="center"/>
            <w:hideMark/>
          </w:tcPr>
          <w:p w14:paraId="0AC0C227" w14:textId="77777777" w:rsidR="008B0B00" w:rsidRPr="00951AB1" w:rsidRDefault="008B0B00" w:rsidP="000A5389">
            <w:pPr>
              <w:spacing w:line="240" w:lineRule="auto"/>
              <w:jc w:val="right"/>
              <w:rPr>
                <w:rFonts w:eastAsia="Times New Roman" w:cs="Times New Roman"/>
                <w:color w:val="000000"/>
                <w:kern w:val="0"/>
                <w:sz w:val="16"/>
                <w:szCs w:val="16"/>
                <w:lang w:eastAsia="es-CO"/>
                <w14:ligatures w14:val="none"/>
              </w:rPr>
            </w:pPr>
            <w:r w:rsidRPr="00951AB1">
              <w:rPr>
                <w:rFonts w:eastAsia="Times New Roman" w:cs="Times New Roman"/>
                <w:color w:val="000000"/>
                <w:kern w:val="0"/>
                <w:sz w:val="16"/>
                <w:szCs w:val="16"/>
                <w:lang w:eastAsia="es-CO"/>
                <w14:ligatures w14:val="none"/>
              </w:rPr>
              <w:t>-7.298.072.903</w:t>
            </w:r>
          </w:p>
        </w:tc>
      </w:tr>
      <w:tr w:rsidR="008B0B00" w:rsidRPr="00951AB1" w14:paraId="56A146CE" w14:textId="77777777" w:rsidTr="00C772BD">
        <w:trPr>
          <w:trHeight w:val="285"/>
        </w:trPr>
        <w:tc>
          <w:tcPr>
            <w:tcW w:w="468" w:type="pct"/>
            <w:noWrap/>
            <w:vAlign w:val="center"/>
            <w:hideMark/>
          </w:tcPr>
          <w:p w14:paraId="2E309279" w14:textId="77777777" w:rsidR="008B0B00" w:rsidRPr="00951AB1" w:rsidRDefault="008B0B00" w:rsidP="000A5389">
            <w:pPr>
              <w:spacing w:line="240" w:lineRule="auto"/>
              <w:rPr>
                <w:rFonts w:eastAsia="Times New Roman" w:cs="Times New Roman"/>
                <w:b/>
                <w:bCs/>
                <w:color w:val="000000"/>
                <w:kern w:val="0"/>
                <w:sz w:val="16"/>
                <w:szCs w:val="16"/>
                <w:lang w:eastAsia="es-CO"/>
                <w14:ligatures w14:val="none"/>
              </w:rPr>
            </w:pPr>
            <w:r w:rsidRPr="00951AB1">
              <w:rPr>
                <w:rFonts w:eastAsia="Times New Roman" w:cs="Times New Roman"/>
                <w:b/>
                <w:bCs/>
                <w:color w:val="000000"/>
                <w:kern w:val="0"/>
                <w:sz w:val="16"/>
                <w:szCs w:val="16"/>
                <w:lang w:eastAsia="es-CO"/>
                <w14:ligatures w14:val="none"/>
              </w:rPr>
              <w:t>4.1</w:t>
            </w:r>
          </w:p>
        </w:tc>
        <w:tc>
          <w:tcPr>
            <w:tcW w:w="346" w:type="pct"/>
            <w:noWrap/>
            <w:vAlign w:val="center"/>
            <w:hideMark/>
          </w:tcPr>
          <w:p w14:paraId="186FE4E8" w14:textId="77777777" w:rsidR="008B0B00" w:rsidRPr="00951AB1" w:rsidRDefault="008B0B00" w:rsidP="000A5389">
            <w:pPr>
              <w:spacing w:line="240" w:lineRule="auto"/>
              <w:jc w:val="center"/>
              <w:rPr>
                <w:rFonts w:eastAsia="Times New Roman" w:cs="Times New Roman"/>
                <w:b/>
                <w:bCs/>
                <w:color w:val="000000"/>
                <w:kern w:val="0"/>
                <w:sz w:val="16"/>
                <w:szCs w:val="16"/>
                <w:lang w:eastAsia="es-CO"/>
                <w14:ligatures w14:val="none"/>
              </w:rPr>
            </w:pPr>
            <w:r w:rsidRPr="00951AB1">
              <w:rPr>
                <w:rFonts w:eastAsia="Times New Roman" w:cs="Times New Roman"/>
                <w:b/>
                <w:bCs/>
                <w:color w:val="000000"/>
                <w:kern w:val="0"/>
                <w:sz w:val="16"/>
                <w:szCs w:val="16"/>
                <w:lang w:eastAsia="es-CO"/>
                <w14:ligatures w14:val="none"/>
              </w:rPr>
              <w:t>Cr</w:t>
            </w:r>
          </w:p>
        </w:tc>
        <w:tc>
          <w:tcPr>
            <w:tcW w:w="1816" w:type="pct"/>
            <w:vAlign w:val="center"/>
            <w:hideMark/>
          </w:tcPr>
          <w:p w14:paraId="17AD4D8F" w14:textId="77777777" w:rsidR="008B0B00" w:rsidRPr="00951AB1" w:rsidRDefault="008B0B00" w:rsidP="000A5389">
            <w:pPr>
              <w:spacing w:line="240" w:lineRule="auto"/>
              <w:rPr>
                <w:rFonts w:eastAsia="Times New Roman" w:cs="Times New Roman"/>
                <w:b/>
                <w:bCs/>
                <w:color w:val="000000"/>
                <w:kern w:val="0"/>
                <w:sz w:val="16"/>
                <w:szCs w:val="16"/>
                <w:lang w:eastAsia="es-CO"/>
                <w14:ligatures w14:val="none"/>
              </w:rPr>
            </w:pPr>
            <w:r w:rsidRPr="00951AB1">
              <w:rPr>
                <w:rFonts w:eastAsia="Times New Roman" w:cs="Times New Roman"/>
                <w:b/>
                <w:bCs/>
                <w:color w:val="000000"/>
                <w:kern w:val="0"/>
                <w:sz w:val="16"/>
                <w:szCs w:val="16"/>
                <w:lang w:eastAsia="es-CO"/>
                <w14:ligatures w14:val="none"/>
              </w:rPr>
              <w:t>INGRESOS FISCALES</w:t>
            </w:r>
          </w:p>
        </w:tc>
        <w:tc>
          <w:tcPr>
            <w:tcW w:w="832" w:type="pct"/>
            <w:noWrap/>
            <w:vAlign w:val="center"/>
            <w:hideMark/>
          </w:tcPr>
          <w:p w14:paraId="6E85200B" w14:textId="77777777" w:rsidR="008B0B00" w:rsidRPr="00951AB1" w:rsidRDefault="008B0B00" w:rsidP="000A5389">
            <w:pPr>
              <w:spacing w:line="240" w:lineRule="auto"/>
              <w:jc w:val="right"/>
              <w:rPr>
                <w:rFonts w:eastAsia="Times New Roman" w:cs="Times New Roman"/>
                <w:b/>
                <w:bCs/>
                <w:color w:val="000000"/>
                <w:kern w:val="0"/>
                <w:sz w:val="16"/>
                <w:szCs w:val="16"/>
                <w:lang w:eastAsia="es-CO"/>
                <w14:ligatures w14:val="none"/>
              </w:rPr>
            </w:pPr>
            <w:r w:rsidRPr="00951AB1">
              <w:rPr>
                <w:rFonts w:eastAsia="Times New Roman" w:cs="Times New Roman"/>
                <w:b/>
                <w:bCs/>
                <w:color w:val="000000"/>
                <w:kern w:val="0"/>
                <w:sz w:val="16"/>
                <w:szCs w:val="16"/>
                <w:lang w:eastAsia="es-CO"/>
                <w14:ligatures w14:val="none"/>
              </w:rPr>
              <w:t>396.535.303.199</w:t>
            </w:r>
          </w:p>
        </w:tc>
        <w:tc>
          <w:tcPr>
            <w:tcW w:w="759" w:type="pct"/>
            <w:noWrap/>
            <w:vAlign w:val="center"/>
            <w:hideMark/>
          </w:tcPr>
          <w:p w14:paraId="042B2F93" w14:textId="77777777" w:rsidR="008B0B00" w:rsidRPr="00951AB1" w:rsidRDefault="008B0B00" w:rsidP="000A5389">
            <w:pPr>
              <w:spacing w:line="240" w:lineRule="auto"/>
              <w:jc w:val="right"/>
              <w:rPr>
                <w:rFonts w:eastAsia="Times New Roman" w:cs="Times New Roman"/>
                <w:b/>
                <w:bCs/>
                <w:color w:val="000000"/>
                <w:kern w:val="0"/>
                <w:sz w:val="16"/>
                <w:szCs w:val="16"/>
                <w:lang w:eastAsia="es-CO"/>
                <w14:ligatures w14:val="none"/>
              </w:rPr>
            </w:pPr>
            <w:r w:rsidRPr="00951AB1">
              <w:rPr>
                <w:rFonts w:eastAsia="Times New Roman" w:cs="Times New Roman"/>
                <w:b/>
                <w:bCs/>
                <w:color w:val="000000"/>
                <w:kern w:val="0"/>
                <w:sz w:val="16"/>
                <w:szCs w:val="16"/>
                <w:lang w:eastAsia="es-CO"/>
                <w14:ligatures w14:val="none"/>
              </w:rPr>
              <w:t>221.121.232.356</w:t>
            </w:r>
          </w:p>
        </w:tc>
        <w:tc>
          <w:tcPr>
            <w:tcW w:w="779" w:type="pct"/>
            <w:noWrap/>
            <w:vAlign w:val="center"/>
            <w:hideMark/>
          </w:tcPr>
          <w:p w14:paraId="07CCCB56" w14:textId="77777777" w:rsidR="008B0B00" w:rsidRPr="00951AB1" w:rsidRDefault="008B0B00" w:rsidP="000A5389">
            <w:pPr>
              <w:spacing w:line="240" w:lineRule="auto"/>
              <w:jc w:val="right"/>
              <w:rPr>
                <w:rFonts w:eastAsia="Times New Roman" w:cs="Times New Roman"/>
                <w:b/>
                <w:bCs/>
                <w:color w:val="000000"/>
                <w:kern w:val="0"/>
                <w:sz w:val="16"/>
                <w:szCs w:val="16"/>
                <w:lang w:eastAsia="es-CO"/>
                <w14:ligatures w14:val="none"/>
              </w:rPr>
            </w:pPr>
            <w:r w:rsidRPr="00951AB1">
              <w:rPr>
                <w:rFonts w:eastAsia="Times New Roman" w:cs="Times New Roman"/>
                <w:b/>
                <w:bCs/>
                <w:color w:val="000000"/>
                <w:kern w:val="0"/>
                <w:sz w:val="16"/>
                <w:szCs w:val="16"/>
                <w:lang w:eastAsia="es-CO"/>
                <w14:ligatures w14:val="none"/>
              </w:rPr>
              <w:t>175.414.070.844</w:t>
            </w:r>
          </w:p>
        </w:tc>
      </w:tr>
      <w:tr w:rsidR="008B0B00" w:rsidRPr="00951AB1" w14:paraId="397371AC" w14:textId="77777777" w:rsidTr="00C772BD">
        <w:trPr>
          <w:trHeight w:val="300"/>
        </w:trPr>
        <w:tc>
          <w:tcPr>
            <w:tcW w:w="468" w:type="pct"/>
            <w:noWrap/>
            <w:vAlign w:val="center"/>
            <w:hideMark/>
          </w:tcPr>
          <w:p w14:paraId="04263F41" w14:textId="77777777" w:rsidR="008B0B00" w:rsidRPr="00951AB1" w:rsidRDefault="008B0B00" w:rsidP="000A5389">
            <w:pPr>
              <w:spacing w:line="240" w:lineRule="auto"/>
              <w:rPr>
                <w:rFonts w:eastAsia="Times New Roman" w:cs="Times New Roman"/>
                <w:color w:val="000000"/>
                <w:kern w:val="0"/>
                <w:sz w:val="16"/>
                <w:szCs w:val="16"/>
                <w:lang w:eastAsia="es-CO"/>
                <w14:ligatures w14:val="none"/>
              </w:rPr>
            </w:pPr>
            <w:r w:rsidRPr="00951AB1">
              <w:rPr>
                <w:rFonts w:eastAsia="Times New Roman" w:cs="Times New Roman"/>
                <w:color w:val="000000"/>
                <w:kern w:val="0"/>
                <w:sz w:val="16"/>
                <w:szCs w:val="16"/>
                <w:lang w:eastAsia="es-CO"/>
                <w14:ligatures w14:val="none"/>
              </w:rPr>
              <w:t>4.1.10</w:t>
            </w:r>
          </w:p>
        </w:tc>
        <w:tc>
          <w:tcPr>
            <w:tcW w:w="346" w:type="pct"/>
            <w:noWrap/>
            <w:vAlign w:val="center"/>
            <w:hideMark/>
          </w:tcPr>
          <w:p w14:paraId="4A55621A" w14:textId="77777777" w:rsidR="008B0B00" w:rsidRPr="00951AB1" w:rsidRDefault="008B0B00" w:rsidP="000A5389">
            <w:pPr>
              <w:spacing w:line="240" w:lineRule="auto"/>
              <w:jc w:val="center"/>
              <w:rPr>
                <w:rFonts w:eastAsia="Times New Roman" w:cs="Times New Roman"/>
                <w:color w:val="000000"/>
                <w:kern w:val="0"/>
                <w:sz w:val="16"/>
                <w:szCs w:val="16"/>
                <w:lang w:eastAsia="es-CO"/>
                <w14:ligatures w14:val="none"/>
              </w:rPr>
            </w:pPr>
            <w:r w:rsidRPr="00951AB1">
              <w:rPr>
                <w:rFonts w:eastAsia="Times New Roman" w:cs="Times New Roman"/>
                <w:color w:val="000000"/>
                <w:kern w:val="0"/>
                <w:sz w:val="16"/>
                <w:szCs w:val="16"/>
                <w:lang w:eastAsia="es-CO"/>
                <w14:ligatures w14:val="none"/>
              </w:rPr>
              <w:t>Cr</w:t>
            </w:r>
          </w:p>
        </w:tc>
        <w:tc>
          <w:tcPr>
            <w:tcW w:w="1816" w:type="pct"/>
            <w:vAlign w:val="center"/>
            <w:hideMark/>
          </w:tcPr>
          <w:p w14:paraId="48A14FD8" w14:textId="77777777" w:rsidR="008B0B00" w:rsidRPr="00951AB1" w:rsidRDefault="008B0B00" w:rsidP="000A5389">
            <w:pPr>
              <w:spacing w:line="240" w:lineRule="auto"/>
              <w:rPr>
                <w:rFonts w:eastAsia="Times New Roman" w:cs="Times New Roman"/>
                <w:color w:val="000000"/>
                <w:kern w:val="0"/>
                <w:sz w:val="16"/>
                <w:szCs w:val="16"/>
                <w:lang w:eastAsia="es-CO"/>
                <w14:ligatures w14:val="none"/>
              </w:rPr>
            </w:pPr>
            <w:r w:rsidRPr="00951AB1">
              <w:rPr>
                <w:rFonts w:eastAsia="Times New Roman" w:cs="Times New Roman"/>
                <w:color w:val="000000"/>
                <w:kern w:val="0"/>
                <w:sz w:val="16"/>
                <w:szCs w:val="16"/>
                <w:lang w:eastAsia="es-CO"/>
                <w14:ligatures w14:val="none"/>
              </w:rPr>
              <w:t>Contribuciones, Tasas E Ingresos No Tributarios</w:t>
            </w:r>
          </w:p>
        </w:tc>
        <w:tc>
          <w:tcPr>
            <w:tcW w:w="832" w:type="pct"/>
            <w:noWrap/>
            <w:vAlign w:val="center"/>
            <w:hideMark/>
          </w:tcPr>
          <w:p w14:paraId="6F80E77C" w14:textId="77777777" w:rsidR="008B0B00" w:rsidRPr="00951AB1" w:rsidRDefault="008B0B00" w:rsidP="000A5389">
            <w:pPr>
              <w:spacing w:line="240" w:lineRule="auto"/>
              <w:jc w:val="right"/>
              <w:rPr>
                <w:rFonts w:eastAsia="Times New Roman" w:cs="Times New Roman"/>
                <w:color w:val="000000"/>
                <w:kern w:val="0"/>
                <w:sz w:val="16"/>
                <w:szCs w:val="16"/>
                <w:lang w:eastAsia="es-CO"/>
                <w14:ligatures w14:val="none"/>
              </w:rPr>
            </w:pPr>
            <w:r w:rsidRPr="00951AB1">
              <w:rPr>
                <w:rFonts w:eastAsia="Times New Roman" w:cs="Times New Roman"/>
                <w:color w:val="000000"/>
                <w:kern w:val="0"/>
                <w:sz w:val="16"/>
                <w:szCs w:val="16"/>
                <w:lang w:eastAsia="es-CO"/>
                <w14:ligatures w14:val="none"/>
              </w:rPr>
              <w:t>396.535.303.199</w:t>
            </w:r>
          </w:p>
        </w:tc>
        <w:tc>
          <w:tcPr>
            <w:tcW w:w="759" w:type="pct"/>
            <w:noWrap/>
            <w:vAlign w:val="center"/>
            <w:hideMark/>
          </w:tcPr>
          <w:p w14:paraId="3F3D6DF8" w14:textId="77777777" w:rsidR="008B0B00" w:rsidRPr="00951AB1" w:rsidRDefault="008B0B00" w:rsidP="000A5389">
            <w:pPr>
              <w:spacing w:line="240" w:lineRule="auto"/>
              <w:jc w:val="right"/>
              <w:rPr>
                <w:rFonts w:eastAsia="Times New Roman" w:cs="Times New Roman"/>
                <w:color w:val="000000"/>
                <w:kern w:val="0"/>
                <w:sz w:val="16"/>
                <w:szCs w:val="16"/>
                <w:lang w:eastAsia="es-CO"/>
                <w14:ligatures w14:val="none"/>
              </w:rPr>
            </w:pPr>
            <w:r w:rsidRPr="00951AB1">
              <w:rPr>
                <w:rFonts w:eastAsia="Times New Roman" w:cs="Times New Roman"/>
                <w:color w:val="000000"/>
                <w:kern w:val="0"/>
                <w:sz w:val="16"/>
                <w:szCs w:val="16"/>
                <w:lang w:eastAsia="es-CO"/>
                <w14:ligatures w14:val="none"/>
              </w:rPr>
              <w:t>221.121.232.356</w:t>
            </w:r>
          </w:p>
        </w:tc>
        <w:tc>
          <w:tcPr>
            <w:tcW w:w="779" w:type="pct"/>
            <w:noWrap/>
            <w:vAlign w:val="center"/>
            <w:hideMark/>
          </w:tcPr>
          <w:p w14:paraId="32B0888E" w14:textId="77777777" w:rsidR="008B0B00" w:rsidRPr="00951AB1" w:rsidRDefault="008B0B00" w:rsidP="000A5389">
            <w:pPr>
              <w:spacing w:line="240" w:lineRule="auto"/>
              <w:jc w:val="right"/>
              <w:rPr>
                <w:rFonts w:eastAsia="Times New Roman" w:cs="Times New Roman"/>
                <w:color w:val="000000"/>
                <w:kern w:val="0"/>
                <w:sz w:val="16"/>
                <w:szCs w:val="16"/>
                <w:lang w:eastAsia="es-CO"/>
                <w14:ligatures w14:val="none"/>
              </w:rPr>
            </w:pPr>
            <w:r w:rsidRPr="00951AB1">
              <w:rPr>
                <w:rFonts w:eastAsia="Times New Roman" w:cs="Times New Roman"/>
                <w:color w:val="000000"/>
                <w:kern w:val="0"/>
                <w:sz w:val="16"/>
                <w:szCs w:val="16"/>
                <w:lang w:eastAsia="es-CO"/>
                <w14:ligatures w14:val="none"/>
              </w:rPr>
              <w:t>175.414.070.844</w:t>
            </w:r>
          </w:p>
        </w:tc>
      </w:tr>
    </w:tbl>
    <w:p w14:paraId="51FC0EB9" w14:textId="77777777" w:rsidR="008B0B00" w:rsidRPr="00951AB1" w:rsidRDefault="008B0B00" w:rsidP="000A5389">
      <w:pPr>
        <w:spacing w:line="240" w:lineRule="auto"/>
        <w:rPr>
          <w:rFonts w:cs="Times New Roman"/>
        </w:rPr>
      </w:pPr>
      <w:r w:rsidRPr="00951AB1">
        <w:rPr>
          <w:rFonts w:eastAsia="Times New Roman" w:cs="Times New Roman"/>
          <w:sz w:val="14"/>
          <w:szCs w:val="14"/>
          <w:lang w:val="es-ES"/>
        </w:rPr>
        <w:t>Cifras expresadas en pesos</w:t>
      </w:r>
    </w:p>
    <w:p w14:paraId="47D9A30A" w14:textId="77777777" w:rsidR="00F77194" w:rsidRPr="00951AB1" w:rsidRDefault="00F77194" w:rsidP="000A5389">
      <w:pPr>
        <w:spacing w:line="240" w:lineRule="auto"/>
        <w:rPr>
          <w:rFonts w:cs="Times New Roman"/>
        </w:rPr>
      </w:pPr>
    </w:p>
    <w:p w14:paraId="3D8F4EA6" w14:textId="6966168B" w:rsidR="00DE1B1F" w:rsidRPr="00951AB1" w:rsidRDefault="00DE1B1F" w:rsidP="000A5389">
      <w:pPr>
        <w:spacing w:line="240" w:lineRule="auto"/>
        <w:rPr>
          <w:rFonts w:cs="Times New Roman"/>
          <w:szCs w:val="24"/>
        </w:rPr>
      </w:pPr>
      <w:r w:rsidRPr="00951AB1">
        <w:rPr>
          <w:rFonts w:cs="Times New Roman"/>
          <w:i/>
          <w:iCs/>
          <w:szCs w:val="24"/>
        </w:rPr>
        <w:t>Operaciones interinstitucionales:</w:t>
      </w:r>
      <w:r w:rsidRPr="00951AB1">
        <w:rPr>
          <w:rFonts w:cs="Times New Roman"/>
          <w:szCs w:val="24"/>
        </w:rPr>
        <w:t xml:space="preserve"> Las operaciones interinstitucionales ascienden a $6.849.819.932.032 y corresponden a recursos recibidos principalmente de la Dirección del Tesoro Nacional del Ministerio de Hacienda y Crédito Público.</w:t>
      </w:r>
    </w:p>
    <w:p w14:paraId="242B0424" w14:textId="396D0F22" w:rsidR="00DE1B1F" w:rsidRPr="00951AB1" w:rsidRDefault="00DE1B1F" w:rsidP="000A5389">
      <w:pPr>
        <w:spacing w:line="240" w:lineRule="auto"/>
        <w:rPr>
          <w:rFonts w:cs="Times New Roman"/>
        </w:rPr>
      </w:pPr>
    </w:p>
    <w:p w14:paraId="2B9F0FB6" w14:textId="11A2DCF2" w:rsidR="00590BD1" w:rsidRPr="00951AB1" w:rsidRDefault="00590BD1" w:rsidP="000A5389">
      <w:pPr>
        <w:spacing w:line="240" w:lineRule="auto"/>
        <w:rPr>
          <w:rFonts w:cs="Times New Roman"/>
          <w:sz w:val="14"/>
          <w:szCs w:val="14"/>
        </w:rPr>
      </w:pPr>
      <w:r w:rsidRPr="00951AB1">
        <w:rPr>
          <w:rFonts w:cs="Times New Roman"/>
          <w:szCs w:val="24"/>
        </w:rPr>
        <w:t xml:space="preserve">Respecto a las </w:t>
      </w:r>
      <w:r w:rsidR="001C455B" w:rsidRPr="00951AB1">
        <w:rPr>
          <w:rFonts w:cs="Times New Roman"/>
          <w:szCs w:val="24"/>
        </w:rPr>
        <w:t>o</w:t>
      </w:r>
      <w:r w:rsidRPr="00951AB1">
        <w:rPr>
          <w:rFonts w:cs="Times New Roman"/>
          <w:szCs w:val="24"/>
        </w:rPr>
        <w:t xml:space="preserve">peraciones </w:t>
      </w:r>
      <w:r w:rsidR="001C455B" w:rsidRPr="00951AB1">
        <w:rPr>
          <w:rFonts w:cs="Times New Roman"/>
          <w:szCs w:val="24"/>
        </w:rPr>
        <w:t>i</w:t>
      </w:r>
      <w:r w:rsidRPr="00951AB1">
        <w:rPr>
          <w:rFonts w:cs="Times New Roman"/>
          <w:szCs w:val="24"/>
        </w:rPr>
        <w:t>nterinstitucionales a continuación se presenta su composición:</w:t>
      </w:r>
    </w:p>
    <w:tbl>
      <w:tblPr>
        <w:tblW w:w="5000" w:type="pct"/>
        <w:tblCellMar>
          <w:left w:w="70" w:type="dxa"/>
          <w:right w:w="70" w:type="dxa"/>
        </w:tblCellMar>
        <w:tblLook w:val="04A0" w:firstRow="1" w:lastRow="0" w:firstColumn="1" w:lastColumn="0" w:noHBand="0" w:noVBand="1"/>
      </w:tblPr>
      <w:tblGrid>
        <w:gridCol w:w="1741"/>
        <w:gridCol w:w="1501"/>
        <w:gridCol w:w="3752"/>
        <w:gridCol w:w="1844"/>
      </w:tblGrid>
      <w:tr w:rsidR="00590BD1" w:rsidRPr="00951AB1" w14:paraId="5A67CF02" w14:textId="77777777">
        <w:trPr>
          <w:trHeight w:val="315"/>
        </w:trPr>
        <w:tc>
          <w:tcPr>
            <w:tcW w:w="1012" w:type="pct"/>
            <w:tcBorders>
              <w:top w:val="nil"/>
              <w:left w:val="nil"/>
              <w:bottom w:val="nil"/>
              <w:right w:val="nil"/>
            </w:tcBorders>
            <w:noWrap/>
            <w:vAlign w:val="bottom"/>
            <w:hideMark/>
          </w:tcPr>
          <w:p w14:paraId="102A8912" w14:textId="77777777" w:rsidR="00590BD1" w:rsidRPr="00951AB1" w:rsidRDefault="00590BD1" w:rsidP="000A5389">
            <w:pPr>
              <w:spacing w:line="240" w:lineRule="auto"/>
              <w:rPr>
                <w:rFonts w:eastAsia="Times New Roman" w:cs="Times New Roman"/>
                <w:szCs w:val="24"/>
                <w:lang w:eastAsia="es-CO"/>
              </w:rPr>
            </w:pPr>
          </w:p>
        </w:tc>
        <w:tc>
          <w:tcPr>
            <w:tcW w:w="769" w:type="pct"/>
            <w:tcBorders>
              <w:top w:val="nil"/>
              <w:left w:val="nil"/>
              <w:bottom w:val="nil"/>
              <w:right w:val="nil"/>
            </w:tcBorders>
            <w:noWrap/>
            <w:vAlign w:val="bottom"/>
            <w:hideMark/>
          </w:tcPr>
          <w:p w14:paraId="4AD923BF" w14:textId="77777777" w:rsidR="00590BD1" w:rsidRPr="00951AB1" w:rsidRDefault="00590BD1" w:rsidP="000A5389">
            <w:pPr>
              <w:spacing w:line="240" w:lineRule="auto"/>
              <w:rPr>
                <w:rFonts w:eastAsia="Times New Roman" w:cs="Times New Roman"/>
                <w:sz w:val="20"/>
                <w:szCs w:val="20"/>
                <w:lang w:eastAsia="es-CO"/>
              </w:rPr>
            </w:pPr>
          </w:p>
        </w:tc>
        <w:tc>
          <w:tcPr>
            <w:tcW w:w="2149" w:type="pct"/>
            <w:tcBorders>
              <w:top w:val="nil"/>
              <w:left w:val="nil"/>
              <w:bottom w:val="nil"/>
              <w:right w:val="nil"/>
            </w:tcBorders>
            <w:noWrap/>
            <w:vAlign w:val="bottom"/>
            <w:hideMark/>
          </w:tcPr>
          <w:p w14:paraId="073D36AC" w14:textId="77777777" w:rsidR="00590BD1" w:rsidRPr="00951AB1" w:rsidRDefault="00590BD1" w:rsidP="000A5389">
            <w:pPr>
              <w:spacing w:line="240" w:lineRule="auto"/>
              <w:rPr>
                <w:rFonts w:eastAsia="Times New Roman" w:cs="Times New Roman"/>
                <w:sz w:val="20"/>
                <w:szCs w:val="20"/>
                <w:lang w:eastAsia="es-CO"/>
              </w:rPr>
            </w:pPr>
          </w:p>
        </w:tc>
        <w:tc>
          <w:tcPr>
            <w:tcW w:w="1070" w:type="pct"/>
            <w:tcBorders>
              <w:top w:val="nil"/>
              <w:left w:val="nil"/>
              <w:bottom w:val="nil"/>
              <w:right w:val="nil"/>
            </w:tcBorders>
            <w:noWrap/>
            <w:vAlign w:val="bottom"/>
            <w:hideMark/>
          </w:tcPr>
          <w:p w14:paraId="5267279F" w14:textId="77777777" w:rsidR="00590BD1" w:rsidRPr="00951AB1" w:rsidRDefault="00590BD1" w:rsidP="000A5389">
            <w:pPr>
              <w:spacing w:line="240" w:lineRule="auto"/>
              <w:rPr>
                <w:rFonts w:eastAsia="Times New Roman" w:cs="Times New Roman"/>
                <w:sz w:val="20"/>
                <w:szCs w:val="20"/>
                <w:lang w:eastAsia="es-CO"/>
              </w:rPr>
            </w:pPr>
          </w:p>
        </w:tc>
      </w:tr>
      <w:tr w:rsidR="00590BD1" w:rsidRPr="00951AB1" w14:paraId="721B1F8C" w14:textId="77777777">
        <w:trPr>
          <w:trHeight w:val="315"/>
        </w:trPr>
        <w:tc>
          <w:tcPr>
            <w:tcW w:w="1012" w:type="pct"/>
            <w:tcBorders>
              <w:top w:val="single" w:sz="8" w:space="0" w:color="A6A6A6"/>
              <w:left w:val="single" w:sz="8" w:space="0" w:color="A6A6A6"/>
              <w:bottom w:val="nil"/>
              <w:right w:val="single" w:sz="8" w:space="0" w:color="A6A6A6"/>
            </w:tcBorders>
            <w:noWrap/>
            <w:vAlign w:val="center"/>
            <w:hideMark/>
          </w:tcPr>
          <w:p w14:paraId="5B7D6E2B" w14:textId="77777777" w:rsidR="00590BD1" w:rsidRPr="00951AB1" w:rsidRDefault="00590BD1" w:rsidP="000A5389">
            <w:pPr>
              <w:spacing w:line="240" w:lineRule="auto"/>
              <w:jc w:val="center"/>
              <w:rPr>
                <w:rFonts w:eastAsia="Times New Roman" w:cs="Times New Roman"/>
                <w:b/>
                <w:bCs/>
                <w:color w:val="000000"/>
                <w:sz w:val="18"/>
                <w:szCs w:val="18"/>
                <w:lang w:eastAsia="es-CO"/>
              </w:rPr>
            </w:pPr>
            <w:r w:rsidRPr="00951AB1">
              <w:rPr>
                <w:rFonts w:eastAsia="Times New Roman" w:cs="Times New Roman"/>
                <w:b/>
                <w:bCs/>
                <w:color w:val="000000"/>
                <w:sz w:val="18"/>
                <w:szCs w:val="18"/>
                <w:lang w:eastAsia="es-CO"/>
              </w:rPr>
              <w:t>DESCRIPCIÓN</w:t>
            </w:r>
          </w:p>
        </w:tc>
        <w:tc>
          <w:tcPr>
            <w:tcW w:w="769" w:type="pct"/>
            <w:tcBorders>
              <w:top w:val="single" w:sz="8" w:space="0" w:color="A6A6A6"/>
              <w:left w:val="nil"/>
              <w:bottom w:val="nil"/>
              <w:right w:val="single" w:sz="8" w:space="0" w:color="A6A6A6"/>
            </w:tcBorders>
            <w:vAlign w:val="center"/>
            <w:hideMark/>
          </w:tcPr>
          <w:p w14:paraId="75F85DC8" w14:textId="77777777" w:rsidR="00590BD1" w:rsidRPr="00951AB1" w:rsidRDefault="00590BD1" w:rsidP="000A5389">
            <w:pPr>
              <w:spacing w:line="240" w:lineRule="auto"/>
              <w:jc w:val="center"/>
              <w:rPr>
                <w:rFonts w:eastAsia="Times New Roman" w:cs="Times New Roman"/>
                <w:b/>
                <w:bCs/>
                <w:color w:val="000000"/>
                <w:sz w:val="18"/>
                <w:szCs w:val="18"/>
                <w:lang w:eastAsia="es-CO"/>
              </w:rPr>
            </w:pPr>
            <w:r w:rsidRPr="00951AB1">
              <w:rPr>
                <w:rFonts w:eastAsia="Times New Roman" w:cs="Times New Roman"/>
                <w:b/>
                <w:bCs/>
                <w:color w:val="000000"/>
                <w:sz w:val="18"/>
                <w:szCs w:val="18"/>
                <w:lang w:eastAsia="es-CO"/>
              </w:rPr>
              <w:t>PCI RELACIONADA</w:t>
            </w:r>
          </w:p>
        </w:tc>
        <w:tc>
          <w:tcPr>
            <w:tcW w:w="2149" w:type="pct"/>
            <w:tcBorders>
              <w:top w:val="single" w:sz="8" w:space="0" w:color="A6A6A6"/>
              <w:left w:val="nil"/>
              <w:bottom w:val="nil"/>
              <w:right w:val="single" w:sz="8" w:space="0" w:color="A6A6A6"/>
            </w:tcBorders>
            <w:noWrap/>
            <w:vAlign w:val="center"/>
            <w:hideMark/>
          </w:tcPr>
          <w:p w14:paraId="5432ACA7" w14:textId="77777777" w:rsidR="00590BD1" w:rsidRPr="00951AB1" w:rsidRDefault="00590BD1" w:rsidP="000A5389">
            <w:pPr>
              <w:spacing w:line="240" w:lineRule="auto"/>
              <w:jc w:val="center"/>
              <w:rPr>
                <w:rFonts w:eastAsia="Times New Roman" w:cs="Times New Roman"/>
                <w:b/>
                <w:bCs/>
                <w:color w:val="000000"/>
                <w:sz w:val="18"/>
                <w:szCs w:val="18"/>
                <w:lang w:eastAsia="es-CO"/>
              </w:rPr>
            </w:pPr>
            <w:r w:rsidRPr="00951AB1">
              <w:rPr>
                <w:rFonts w:eastAsia="Times New Roman" w:cs="Times New Roman"/>
                <w:b/>
                <w:bCs/>
                <w:color w:val="000000"/>
                <w:sz w:val="18"/>
                <w:szCs w:val="18"/>
                <w:lang w:eastAsia="es-CO"/>
              </w:rPr>
              <w:t>TERCERO BENEFICIARIO</w:t>
            </w:r>
          </w:p>
        </w:tc>
        <w:tc>
          <w:tcPr>
            <w:tcW w:w="1070" w:type="pct"/>
            <w:tcBorders>
              <w:top w:val="single" w:sz="8" w:space="0" w:color="A6A6A6"/>
              <w:left w:val="nil"/>
              <w:bottom w:val="nil"/>
              <w:right w:val="single" w:sz="8" w:space="0" w:color="A6A6A6"/>
            </w:tcBorders>
            <w:noWrap/>
            <w:vAlign w:val="center"/>
            <w:hideMark/>
          </w:tcPr>
          <w:p w14:paraId="37166B32" w14:textId="77777777" w:rsidR="00590BD1" w:rsidRPr="00951AB1" w:rsidRDefault="00590BD1" w:rsidP="000A5389">
            <w:pPr>
              <w:spacing w:line="240" w:lineRule="auto"/>
              <w:jc w:val="center"/>
              <w:rPr>
                <w:rFonts w:eastAsia="Times New Roman" w:cs="Times New Roman"/>
                <w:b/>
                <w:bCs/>
                <w:color w:val="000000"/>
                <w:sz w:val="18"/>
                <w:szCs w:val="18"/>
                <w:lang w:eastAsia="es-CO"/>
              </w:rPr>
            </w:pPr>
            <w:r w:rsidRPr="00951AB1">
              <w:rPr>
                <w:rFonts w:eastAsia="Times New Roman" w:cs="Times New Roman"/>
                <w:b/>
                <w:bCs/>
                <w:color w:val="000000"/>
                <w:sz w:val="18"/>
                <w:szCs w:val="18"/>
                <w:lang w:eastAsia="es-CO"/>
              </w:rPr>
              <w:t xml:space="preserve"> VALOR </w:t>
            </w:r>
          </w:p>
        </w:tc>
      </w:tr>
      <w:tr w:rsidR="00590BD1" w:rsidRPr="00951AB1" w14:paraId="1EE51F6B" w14:textId="77777777">
        <w:trPr>
          <w:trHeight w:val="315"/>
        </w:trPr>
        <w:tc>
          <w:tcPr>
            <w:tcW w:w="1012" w:type="pct"/>
            <w:tcBorders>
              <w:top w:val="single" w:sz="8" w:space="0" w:color="A6A6A6"/>
              <w:left w:val="single" w:sz="8" w:space="0" w:color="A6A6A6"/>
              <w:bottom w:val="single" w:sz="8" w:space="0" w:color="A6A6A6"/>
              <w:right w:val="single" w:sz="8" w:space="0" w:color="A6A6A6"/>
            </w:tcBorders>
            <w:noWrap/>
            <w:vAlign w:val="center"/>
            <w:hideMark/>
          </w:tcPr>
          <w:p w14:paraId="15963B84" w14:textId="77777777" w:rsidR="00590BD1" w:rsidRPr="00951AB1" w:rsidRDefault="00590BD1" w:rsidP="000A5389">
            <w:pPr>
              <w:spacing w:line="240" w:lineRule="auto"/>
              <w:rPr>
                <w:rFonts w:eastAsia="Times New Roman" w:cs="Times New Roman"/>
                <w:color w:val="000000"/>
                <w:sz w:val="18"/>
                <w:szCs w:val="18"/>
                <w:lang w:eastAsia="es-CO"/>
              </w:rPr>
            </w:pPr>
            <w:r w:rsidRPr="00951AB1">
              <w:rPr>
                <w:rFonts w:eastAsia="Times New Roman" w:cs="Times New Roman"/>
                <w:color w:val="000000"/>
                <w:sz w:val="18"/>
                <w:szCs w:val="18"/>
                <w:lang w:eastAsia="es-CO"/>
              </w:rPr>
              <w:t>Inversión</w:t>
            </w:r>
          </w:p>
        </w:tc>
        <w:tc>
          <w:tcPr>
            <w:tcW w:w="769" w:type="pct"/>
            <w:tcBorders>
              <w:top w:val="single" w:sz="8" w:space="0" w:color="A6A6A6"/>
              <w:left w:val="nil"/>
              <w:bottom w:val="single" w:sz="8" w:space="0" w:color="A6A6A6"/>
              <w:right w:val="single" w:sz="8" w:space="0" w:color="A6A6A6"/>
            </w:tcBorders>
            <w:noWrap/>
            <w:vAlign w:val="center"/>
            <w:hideMark/>
          </w:tcPr>
          <w:p w14:paraId="3F7601F5" w14:textId="77777777" w:rsidR="00590BD1" w:rsidRPr="00951AB1" w:rsidRDefault="00590BD1" w:rsidP="000A5389">
            <w:pPr>
              <w:spacing w:line="240" w:lineRule="auto"/>
              <w:jc w:val="center"/>
              <w:rPr>
                <w:rFonts w:eastAsia="Times New Roman" w:cs="Times New Roman"/>
                <w:color w:val="000000"/>
                <w:sz w:val="18"/>
                <w:szCs w:val="18"/>
                <w:lang w:eastAsia="es-CO"/>
              </w:rPr>
            </w:pPr>
            <w:r w:rsidRPr="00951AB1">
              <w:rPr>
                <w:rFonts w:eastAsia="Times New Roman" w:cs="Times New Roman"/>
                <w:color w:val="000000"/>
                <w:sz w:val="18"/>
                <w:szCs w:val="18"/>
                <w:lang w:eastAsia="es-CO"/>
              </w:rPr>
              <w:t>13-01-01-DT</w:t>
            </w:r>
          </w:p>
        </w:tc>
        <w:tc>
          <w:tcPr>
            <w:tcW w:w="2149" w:type="pct"/>
            <w:tcBorders>
              <w:top w:val="single" w:sz="8" w:space="0" w:color="A6A6A6"/>
              <w:left w:val="nil"/>
              <w:bottom w:val="single" w:sz="8" w:space="0" w:color="A6A6A6"/>
              <w:right w:val="single" w:sz="8" w:space="0" w:color="A6A6A6"/>
            </w:tcBorders>
            <w:noWrap/>
            <w:vAlign w:val="center"/>
            <w:hideMark/>
          </w:tcPr>
          <w:p w14:paraId="2D35E707" w14:textId="77777777" w:rsidR="00590BD1" w:rsidRPr="00951AB1" w:rsidRDefault="00590BD1" w:rsidP="000A5389">
            <w:pPr>
              <w:spacing w:line="240" w:lineRule="auto"/>
              <w:jc w:val="center"/>
              <w:rPr>
                <w:rFonts w:eastAsia="Times New Roman" w:cs="Times New Roman"/>
                <w:color w:val="000000"/>
                <w:sz w:val="18"/>
                <w:szCs w:val="18"/>
                <w:lang w:eastAsia="es-CO"/>
              </w:rPr>
            </w:pPr>
            <w:r w:rsidRPr="00951AB1">
              <w:rPr>
                <w:rFonts w:eastAsia="Times New Roman" w:cs="Times New Roman"/>
                <w:color w:val="000000"/>
                <w:sz w:val="18"/>
                <w:szCs w:val="18"/>
                <w:lang w:eastAsia="es-CO"/>
              </w:rPr>
              <w:t>DIRECCION TESORO NACION DGCPTN</w:t>
            </w:r>
          </w:p>
        </w:tc>
        <w:tc>
          <w:tcPr>
            <w:tcW w:w="1070" w:type="pct"/>
            <w:tcBorders>
              <w:top w:val="single" w:sz="8" w:space="0" w:color="A6A6A6"/>
              <w:left w:val="nil"/>
              <w:bottom w:val="single" w:sz="8" w:space="0" w:color="A6A6A6"/>
              <w:right w:val="single" w:sz="8" w:space="0" w:color="A6A6A6"/>
            </w:tcBorders>
            <w:noWrap/>
            <w:vAlign w:val="center"/>
            <w:hideMark/>
          </w:tcPr>
          <w:p w14:paraId="07ECB4EA" w14:textId="77777777" w:rsidR="00590BD1" w:rsidRPr="00951AB1" w:rsidRDefault="00590BD1" w:rsidP="000A5389">
            <w:pPr>
              <w:spacing w:line="240" w:lineRule="auto"/>
              <w:jc w:val="right"/>
              <w:rPr>
                <w:rFonts w:eastAsia="Times New Roman" w:cs="Times New Roman"/>
                <w:color w:val="000000"/>
                <w:sz w:val="18"/>
                <w:szCs w:val="18"/>
                <w:lang w:eastAsia="es-CO"/>
              </w:rPr>
            </w:pPr>
            <w:r w:rsidRPr="00951AB1">
              <w:rPr>
                <w:rFonts w:eastAsia="Times New Roman" w:cs="Times New Roman"/>
                <w:color w:val="000000"/>
                <w:sz w:val="18"/>
                <w:szCs w:val="18"/>
                <w:lang w:eastAsia="es-CO"/>
              </w:rPr>
              <w:t>5.342.636.361.515</w:t>
            </w:r>
          </w:p>
        </w:tc>
      </w:tr>
      <w:tr w:rsidR="00590BD1" w:rsidRPr="00951AB1" w14:paraId="092FE020" w14:textId="77777777">
        <w:trPr>
          <w:trHeight w:val="315"/>
        </w:trPr>
        <w:tc>
          <w:tcPr>
            <w:tcW w:w="1012" w:type="pct"/>
            <w:tcBorders>
              <w:top w:val="nil"/>
              <w:left w:val="single" w:sz="8" w:space="0" w:color="A6A6A6"/>
              <w:bottom w:val="single" w:sz="8" w:space="0" w:color="A6A6A6"/>
              <w:right w:val="single" w:sz="8" w:space="0" w:color="A6A6A6"/>
            </w:tcBorders>
            <w:noWrap/>
            <w:vAlign w:val="center"/>
            <w:hideMark/>
          </w:tcPr>
          <w:p w14:paraId="56F31E5E" w14:textId="77777777" w:rsidR="00590BD1" w:rsidRPr="00951AB1" w:rsidRDefault="00590BD1" w:rsidP="000A5389">
            <w:pPr>
              <w:spacing w:line="240" w:lineRule="auto"/>
              <w:rPr>
                <w:rFonts w:eastAsia="Times New Roman" w:cs="Times New Roman"/>
                <w:color w:val="000000"/>
                <w:sz w:val="18"/>
                <w:szCs w:val="18"/>
                <w:lang w:eastAsia="es-CO"/>
              </w:rPr>
            </w:pPr>
            <w:r w:rsidRPr="00951AB1">
              <w:rPr>
                <w:rFonts w:eastAsia="Times New Roman" w:cs="Times New Roman"/>
                <w:color w:val="000000"/>
                <w:sz w:val="18"/>
                <w:szCs w:val="18"/>
                <w:lang w:eastAsia="es-CO"/>
              </w:rPr>
              <w:t>Servicio de la deuda</w:t>
            </w:r>
          </w:p>
        </w:tc>
        <w:tc>
          <w:tcPr>
            <w:tcW w:w="769" w:type="pct"/>
            <w:tcBorders>
              <w:top w:val="nil"/>
              <w:left w:val="nil"/>
              <w:bottom w:val="single" w:sz="8" w:space="0" w:color="A6A6A6"/>
              <w:right w:val="single" w:sz="8" w:space="0" w:color="A6A6A6"/>
            </w:tcBorders>
            <w:noWrap/>
            <w:vAlign w:val="center"/>
            <w:hideMark/>
          </w:tcPr>
          <w:p w14:paraId="47E0D576" w14:textId="77777777" w:rsidR="00590BD1" w:rsidRPr="00951AB1" w:rsidRDefault="00590BD1" w:rsidP="000A5389">
            <w:pPr>
              <w:spacing w:line="240" w:lineRule="auto"/>
              <w:jc w:val="center"/>
              <w:rPr>
                <w:rFonts w:eastAsia="Times New Roman" w:cs="Times New Roman"/>
                <w:color w:val="000000"/>
                <w:sz w:val="18"/>
                <w:szCs w:val="18"/>
                <w:lang w:eastAsia="es-CO"/>
              </w:rPr>
            </w:pPr>
            <w:r w:rsidRPr="00951AB1">
              <w:rPr>
                <w:rFonts w:eastAsia="Times New Roman" w:cs="Times New Roman"/>
                <w:color w:val="000000"/>
                <w:sz w:val="18"/>
                <w:szCs w:val="18"/>
                <w:lang w:eastAsia="es-CO"/>
              </w:rPr>
              <w:t>13-01-01-DT</w:t>
            </w:r>
          </w:p>
        </w:tc>
        <w:tc>
          <w:tcPr>
            <w:tcW w:w="2149" w:type="pct"/>
            <w:tcBorders>
              <w:top w:val="nil"/>
              <w:left w:val="nil"/>
              <w:bottom w:val="single" w:sz="8" w:space="0" w:color="A6A6A6"/>
              <w:right w:val="single" w:sz="8" w:space="0" w:color="A6A6A6"/>
            </w:tcBorders>
            <w:noWrap/>
            <w:vAlign w:val="center"/>
            <w:hideMark/>
          </w:tcPr>
          <w:p w14:paraId="1769FD7D" w14:textId="77777777" w:rsidR="00590BD1" w:rsidRPr="00951AB1" w:rsidRDefault="00590BD1" w:rsidP="000A5389">
            <w:pPr>
              <w:spacing w:line="240" w:lineRule="auto"/>
              <w:jc w:val="center"/>
              <w:rPr>
                <w:rFonts w:eastAsia="Times New Roman" w:cs="Times New Roman"/>
                <w:color w:val="000000"/>
                <w:sz w:val="18"/>
                <w:szCs w:val="18"/>
                <w:lang w:eastAsia="es-CO"/>
              </w:rPr>
            </w:pPr>
            <w:r w:rsidRPr="00951AB1">
              <w:rPr>
                <w:rFonts w:eastAsia="Times New Roman" w:cs="Times New Roman"/>
                <w:color w:val="000000"/>
                <w:sz w:val="18"/>
                <w:szCs w:val="18"/>
                <w:lang w:eastAsia="es-CO"/>
              </w:rPr>
              <w:t>DIRECCION TESORO NACION DGCPTN</w:t>
            </w:r>
          </w:p>
        </w:tc>
        <w:tc>
          <w:tcPr>
            <w:tcW w:w="1070" w:type="pct"/>
            <w:tcBorders>
              <w:top w:val="nil"/>
              <w:left w:val="nil"/>
              <w:bottom w:val="single" w:sz="8" w:space="0" w:color="A6A6A6"/>
              <w:right w:val="single" w:sz="8" w:space="0" w:color="A6A6A6"/>
            </w:tcBorders>
            <w:noWrap/>
            <w:vAlign w:val="center"/>
            <w:hideMark/>
          </w:tcPr>
          <w:p w14:paraId="582E7448" w14:textId="77777777" w:rsidR="00590BD1" w:rsidRPr="00951AB1" w:rsidRDefault="00590BD1" w:rsidP="000A5389">
            <w:pPr>
              <w:spacing w:line="240" w:lineRule="auto"/>
              <w:jc w:val="right"/>
              <w:rPr>
                <w:rFonts w:eastAsia="Times New Roman" w:cs="Times New Roman"/>
                <w:color w:val="000000"/>
                <w:sz w:val="18"/>
                <w:szCs w:val="18"/>
                <w:lang w:eastAsia="es-CO"/>
              </w:rPr>
            </w:pPr>
            <w:r w:rsidRPr="00951AB1">
              <w:rPr>
                <w:rFonts w:eastAsia="Times New Roman" w:cs="Times New Roman"/>
                <w:color w:val="000000"/>
                <w:sz w:val="18"/>
                <w:szCs w:val="18"/>
                <w:lang w:eastAsia="es-CO"/>
              </w:rPr>
              <w:t>1.386.815.262.945</w:t>
            </w:r>
          </w:p>
        </w:tc>
      </w:tr>
      <w:tr w:rsidR="00590BD1" w:rsidRPr="00951AB1" w14:paraId="346987F4" w14:textId="77777777">
        <w:trPr>
          <w:trHeight w:val="315"/>
        </w:trPr>
        <w:tc>
          <w:tcPr>
            <w:tcW w:w="1012" w:type="pct"/>
            <w:tcBorders>
              <w:top w:val="nil"/>
              <w:left w:val="single" w:sz="8" w:space="0" w:color="A6A6A6"/>
              <w:bottom w:val="single" w:sz="8" w:space="0" w:color="A6A6A6"/>
              <w:right w:val="single" w:sz="8" w:space="0" w:color="A6A6A6"/>
            </w:tcBorders>
            <w:noWrap/>
            <w:vAlign w:val="center"/>
            <w:hideMark/>
          </w:tcPr>
          <w:p w14:paraId="0CB5E9AB" w14:textId="77777777" w:rsidR="00590BD1" w:rsidRPr="00951AB1" w:rsidRDefault="00590BD1" w:rsidP="000A5389">
            <w:pPr>
              <w:spacing w:line="240" w:lineRule="auto"/>
              <w:rPr>
                <w:rFonts w:eastAsia="Times New Roman" w:cs="Times New Roman"/>
                <w:color w:val="000000"/>
                <w:sz w:val="18"/>
                <w:szCs w:val="18"/>
                <w:lang w:eastAsia="es-CO"/>
              </w:rPr>
            </w:pPr>
            <w:r w:rsidRPr="00951AB1">
              <w:rPr>
                <w:rFonts w:eastAsia="Times New Roman" w:cs="Times New Roman"/>
                <w:color w:val="000000"/>
                <w:sz w:val="18"/>
                <w:szCs w:val="18"/>
                <w:lang w:eastAsia="es-CO"/>
              </w:rPr>
              <w:t>Funcionamiento</w:t>
            </w:r>
          </w:p>
        </w:tc>
        <w:tc>
          <w:tcPr>
            <w:tcW w:w="769" w:type="pct"/>
            <w:tcBorders>
              <w:top w:val="nil"/>
              <w:left w:val="nil"/>
              <w:bottom w:val="single" w:sz="8" w:space="0" w:color="A6A6A6"/>
              <w:right w:val="single" w:sz="8" w:space="0" w:color="A6A6A6"/>
            </w:tcBorders>
            <w:noWrap/>
            <w:vAlign w:val="center"/>
            <w:hideMark/>
          </w:tcPr>
          <w:p w14:paraId="39D207E2" w14:textId="77777777" w:rsidR="00590BD1" w:rsidRPr="00951AB1" w:rsidRDefault="00590BD1" w:rsidP="000A5389">
            <w:pPr>
              <w:spacing w:line="240" w:lineRule="auto"/>
              <w:jc w:val="center"/>
              <w:rPr>
                <w:rFonts w:eastAsia="Times New Roman" w:cs="Times New Roman"/>
                <w:color w:val="000000"/>
                <w:sz w:val="18"/>
                <w:szCs w:val="18"/>
                <w:lang w:eastAsia="es-CO"/>
              </w:rPr>
            </w:pPr>
            <w:r w:rsidRPr="00951AB1">
              <w:rPr>
                <w:rFonts w:eastAsia="Times New Roman" w:cs="Times New Roman"/>
                <w:color w:val="000000"/>
                <w:sz w:val="18"/>
                <w:szCs w:val="18"/>
                <w:lang w:eastAsia="es-CO"/>
              </w:rPr>
              <w:t>13-01-01-DT</w:t>
            </w:r>
          </w:p>
        </w:tc>
        <w:tc>
          <w:tcPr>
            <w:tcW w:w="2149" w:type="pct"/>
            <w:tcBorders>
              <w:top w:val="nil"/>
              <w:left w:val="nil"/>
              <w:bottom w:val="single" w:sz="8" w:space="0" w:color="A6A6A6"/>
              <w:right w:val="single" w:sz="8" w:space="0" w:color="A6A6A6"/>
            </w:tcBorders>
            <w:noWrap/>
            <w:vAlign w:val="center"/>
            <w:hideMark/>
          </w:tcPr>
          <w:p w14:paraId="49853CDF" w14:textId="77777777" w:rsidR="00590BD1" w:rsidRPr="00951AB1" w:rsidRDefault="00590BD1" w:rsidP="000A5389">
            <w:pPr>
              <w:spacing w:line="240" w:lineRule="auto"/>
              <w:jc w:val="center"/>
              <w:rPr>
                <w:rFonts w:eastAsia="Times New Roman" w:cs="Times New Roman"/>
                <w:color w:val="000000"/>
                <w:sz w:val="18"/>
                <w:szCs w:val="18"/>
                <w:lang w:eastAsia="es-CO"/>
              </w:rPr>
            </w:pPr>
            <w:r w:rsidRPr="00951AB1">
              <w:rPr>
                <w:rFonts w:eastAsia="Times New Roman" w:cs="Times New Roman"/>
                <w:color w:val="000000"/>
                <w:sz w:val="18"/>
                <w:szCs w:val="18"/>
                <w:lang w:eastAsia="es-CO"/>
              </w:rPr>
              <w:t>DIRECCION TESORO NACION DGCPTN</w:t>
            </w:r>
          </w:p>
        </w:tc>
        <w:tc>
          <w:tcPr>
            <w:tcW w:w="1070" w:type="pct"/>
            <w:tcBorders>
              <w:top w:val="nil"/>
              <w:left w:val="nil"/>
              <w:bottom w:val="single" w:sz="8" w:space="0" w:color="A6A6A6"/>
              <w:right w:val="single" w:sz="8" w:space="0" w:color="A6A6A6"/>
            </w:tcBorders>
            <w:noWrap/>
            <w:vAlign w:val="center"/>
            <w:hideMark/>
          </w:tcPr>
          <w:p w14:paraId="177D13B3" w14:textId="77777777" w:rsidR="00590BD1" w:rsidRPr="00951AB1" w:rsidRDefault="00590BD1" w:rsidP="000A5389">
            <w:pPr>
              <w:spacing w:line="240" w:lineRule="auto"/>
              <w:jc w:val="right"/>
              <w:rPr>
                <w:rFonts w:eastAsia="Times New Roman" w:cs="Times New Roman"/>
                <w:color w:val="000000"/>
                <w:sz w:val="18"/>
                <w:szCs w:val="18"/>
                <w:lang w:eastAsia="es-CO"/>
              </w:rPr>
            </w:pPr>
            <w:r w:rsidRPr="00951AB1">
              <w:rPr>
                <w:rFonts w:eastAsia="Times New Roman" w:cs="Times New Roman"/>
                <w:color w:val="000000"/>
                <w:sz w:val="18"/>
                <w:szCs w:val="18"/>
                <w:lang w:eastAsia="es-CO"/>
              </w:rPr>
              <w:t xml:space="preserve">    11.158.515.231</w:t>
            </w:r>
          </w:p>
        </w:tc>
      </w:tr>
      <w:tr w:rsidR="00590BD1" w:rsidRPr="00951AB1" w14:paraId="53115367" w14:textId="77777777">
        <w:trPr>
          <w:trHeight w:val="315"/>
        </w:trPr>
        <w:tc>
          <w:tcPr>
            <w:tcW w:w="1012" w:type="pct"/>
            <w:vMerge w:val="restart"/>
            <w:tcBorders>
              <w:top w:val="nil"/>
              <w:left w:val="single" w:sz="8" w:space="0" w:color="A6A6A6"/>
              <w:bottom w:val="single" w:sz="8" w:space="0" w:color="A6A6A6"/>
              <w:right w:val="single" w:sz="8" w:space="0" w:color="A6A6A6"/>
            </w:tcBorders>
            <w:vAlign w:val="center"/>
            <w:hideMark/>
          </w:tcPr>
          <w:p w14:paraId="4F9171E2" w14:textId="77777777" w:rsidR="00590BD1" w:rsidRPr="00951AB1" w:rsidRDefault="00590BD1" w:rsidP="000A5389">
            <w:pPr>
              <w:spacing w:line="240" w:lineRule="auto"/>
              <w:rPr>
                <w:rFonts w:eastAsia="Times New Roman" w:cs="Times New Roman"/>
                <w:color w:val="000000"/>
                <w:sz w:val="18"/>
                <w:szCs w:val="18"/>
                <w:lang w:eastAsia="es-CO"/>
              </w:rPr>
            </w:pPr>
            <w:r w:rsidRPr="00951AB1">
              <w:rPr>
                <w:rFonts w:eastAsia="Times New Roman" w:cs="Times New Roman"/>
                <w:color w:val="000000"/>
                <w:sz w:val="18"/>
                <w:szCs w:val="18"/>
                <w:lang w:eastAsia="es-CO"/>
              </w:rPr>
              <w:t>Cruce de cuentas</w:t>
            </w:r>
          </w:p>
        </w:tc>
        <w:tc>
          <w:tcPr>
            <w:tcW w:w="769" w:type="pct"/>
            <w:tcBorders>
              <w:top w:val="nil"/>
              <w:left w:val="nil"/>
              <w:bottom w:val="single" w:sz="8" w:space="0" w:color="A6A6A6"/>
              <w:right w:val="single" w:sz="8" w:space="0" w:color="A6A6A6"/>
            </w:tcBorders>
            <w:noWrap/>
            <w:vAlign w:val="center"/>
            <w:hideMark/>
          </w:tcPr>
          <w:p w14:paraId="19CAC791" w14:textId="77777777" w:rsidR="00590BD1" w:rsidRPr="00951AB1" w:rsidRDefault="00590BD1" w:rsidP="000A5389">
            <w:pPr>
              <w:spacing w:line="240" w:lineRule="auto"/>
              <w:jc w:val="center"/>
              <w:rPr>
                <w:rFonts w:eastAsia="Times New Roman" w:cs="Times New Roman"/>
                <w:color w:val="000000"/>
                <w:sz w:val="18"/>
                <w:szCs w:val="18"/>
                <w:lang w:eastAsia="es-CO"/>
              </w:rPr>
            </w:pPr>
            <w:r w:rsidRPr="00951AB1">
              <w:rPr>
                <w:rFonts w:eastAsia="Times New Roman" w:cs="Times New Roman"/>
                <w:color w:val="000000"/>
                <w:sz w:val="18"/>
                <w:szCs w:val="18"/>
                <w:lang w:eastAsia="es-CO"/>
              </w:rPr>
              <w:t>14-01-00-001</w:t>
            </w:r>
          </w:p>
        </w:tc>
        <w:tc>
          <w:tcPr>
            <w:tcW w:w="2149" w:type="pct"/>
            <w:tcBorders>
              <w:top w:val="nil"/>
              <w:left w:val="nil"/>
              <w:bottom w:val="single" w:sz="8" w:space="0" w:color="A6A6A6"/>
              <w:right w:val="single" w:sz="8" w:space="0" w:color="A6A6A6"/>
            </w:tcBorders>
            <w:noWrap/>
            <w:vAlign w:val="center"/>
            <w:hideMark/>
          </w:tcPr>
          <w:p w14:paraId="1356BEB3" w14:textId="77777777" w:rsidR="00590BD1" w:rsidRPr="00951AB1" w:rsidRDefault="00590BD1" w:rsidP="000A5389">
            <w:pPr>
              <w:spacing w:line="240" w:lineRule="auto"/>
              <w:jc w:val="center"/>
              <w:rPr>
                <w:rFonts w:eastAsia="Times New Roman" w:cs="Times New Roman"/>
                <w:color w:val="000000"/>
                <w:sz w:val="18"/>
                <w:szCs w:val="18"/>
                <w:lang w:eastAsia="es-CO"/>
              </w:rPr>
            </w:pPr>
            <w:r w:rsidRPr="00951AB1">
              <w:rPr>
                <w:rFonts w:eastAsia="Times New Roman" w:cs="Times New Roman"/>
                <w:color w:val="000000"/>
                <w:sz w:val="18"/>
                <w:szCs w:val="18"/>
                <w:lang w:eastAsia="es-CO"/>
              </w:rPr>
              <w:t>DGCPTN–DEUDA PUBLICA</w:t>
            </w:r>
          </w:p>
        </w:tc>
        <w:tc>
          <w:tcPr>
            <w:tcW w:w="1070" w:type="pct"/>
            <w:tcBorders>
              <w:top w:val="nil"/>
              <w:left w:val="nil"/>
              <w:bottom w:val="single" w:sz="8" w:space="0" w:color="A6A6A6"/>
              <w:right w:val="single" w:sz="8" w:space="0" w:color="A6A6A6"/>
            </w:tcBorders>
            <w:noWrap/>
            <w:vAlign w:val="center"/>
            <w:hideMark/>
          </w:tcPr>
          <w:p w14:paraId="01DE9546" w14:textId="77777777" w:rsidR="00590BD1" w:rsidRPr="00951AB1" w:rsidRDefault="00590BD1" w:rsidP="000A5389">
            <w:pPr>
              <w:spacing w:line="240" w:lineRule="auto"/>
              <w:jc w:val="right"/>
              <w:rPr>
                <w:rFonts w:eastAsia="Times New Roman" w:cs="Times New Roman"/>
                <w:color w:val="000000"/>
                <w:sz w:val="18"/>
                <w:szCs w:val="18"/>
                <w:lang w:eastAsia="es-CO"/>
              </w:rPr>
            </w:pPr>
            <w:r w:rsidRPr="00951AB1">
              <w:rPr>
                <w:rFonts w:eastAsia="Times New Roman" w:cs="Times New Roman"/>
                <w:color w:val="000000"/>
                <w:sz w:val="18"/>
                <w:szCs w:val="18"/>
                <w:lang w:eastAsia="es-CO"/>
              </w:rPr>
              <w:t xml:space="preserve"> 106.742.138.967</w:t>
            </w:r>
          </w:p>
        </w:tc>
      </w:tr>
      <w:tr w:rsidR="00590BD1" w:rsidRPr="00951AB1" w14:paraId="2CBC912A" w14:textId="77777777">
        <w:trPr>
          <w:trHeight w:val="495"/>
        </w:trPr>
        <w:tc>
          <w:tcPr>
            <w:tcW w:w="1012" w:type="pct"/>
            <w:vMerge/>
            <w:tcBorders>
              <w:top w:val="nil"/>
              <w:left w:val="single" w:sz="8" w:space="0" w:color="A6A6A6"/>
              <w:bottom w:val="single" w:sz="8" w:space="0" w:color="A6A6A6"/>
              <w:right w:val="single" w:sz="8" w:space="0" w:color="A6A6A6"/>
            </w:tcBorders>
            <w:vAlign w:val="center"/>
            <w:hideMark/>
          </w:tcPr>
          <w:p w14:paraId="5AB9805E" w14:textId="77777777" w:rsidR="00590BD1" w:rsidRPr="00951AB1" w:rsidRDefault="00590BD1" w:rsidP="000A5389">
            <w:pPr>
              <w:spacing w:line="240" w:lineRule="auto"/>
              <w:jc w:val="center"/>
              <w:rPr>
                <w:rFonts w:eastAsia="Times New Roman" w:cs="Times New Roman"/>
                <w:color w:val="000000"/>
                <w:sz w:val="18"/>
                <w:szCs w:val="18"/>
                <w:lang w:eastAsia="es-CO"/>
              </w:rPr>
            </w:pPr>
          </w:p>
        </w:tc>
        <w:tc>
          <w:tcPr>
            <w:tcW w:w="769" w:type="pct"/>
            <w:tcBorders>
              <w:top w:val="nil"/>
              <w:left w:val="nil"/>
              <w:bottom w:val="single" w:sz="8" w:space="0" w:color="A6A6A6"/>
              <w:right w:val="single" w:sz="8" w:space="0" w:color="A6A6A6"/>
            </w:tcBorders>
            <w:noWrap/>
            <w:vAlign w:val="center"/>
            <w:hideMark/>
          </w:tcPr>
          <w:p w14:paraId="197E80D9" w14:textId="77777777" w:rsidR="00590BD1" w:rsidRPr="00951AB1" w:rsidRDefault="00590BD1" w:rsidP="000A5389">
            <w:pPr>
              <w:spacing w:line="240" w:lineRule="auto"/>
              <w:jc w:val="center"/>
              <w:rPr>
                <w:rFonts w:eastAsia="Times New Roman" w:cs="Times New Roman"/>
                <w:color w:val="000000"/>
                <w:sz w:val="18"/>
                <w:szCs w:val="18"/>
                <w:lang w:eastAsia="es-CO"/>
              </w:rPr>
            </w:pPr>
            <w:r w:rsidRPr="00951AB1">
              <w:rPr>
                <w:rFonts w:eastAsia="Times New Roman" w:cs="Times New Roman"/>
                <w:color w:val="000000"/>
                <w:sz w:val="18"/>
                <w:szCs w:val="18"/>
                <w:lang w:eastAsia="es-CO"/>
              </w:rPr>
              <w:t>13-01-13</w:t>
            </w:r>
          </w:p>
        </w:tc>
        <w:tc>
          <w:tcPr>
            <w:tcW w:w="2149" w:type="pct"/>
            <w:tcBorders>
              <w:top w:val="nil"/>
              <w:left w:val="nil"/>
              <w:bottom w:val="single" w:sz="8" w:space="0" w:color="A6A6A6"/>
              <w:right w:val="single" w:sz="8" w:space="0" w:color="A6A6A6"/>
            </w:tcBorders>
            <w:vAlign w:val="center"/>
            <w:hideMark/>
          </w:tcPr>
          <w:p w14:paraId="2521D17C" w14:textId="77777777" w:rsidR="00590BD1" w:rsidRPr="00951AB1" w:rsidRDefault="00590BD1" w:rsidP="000A5389">
            <w:pPr>
              <w:spacing w:line="240" w:lineRule="auto"/>
              <w:jc w:val="center"/>
              <w:rPr>
                <w:rFonts w:eastAsia="Times New Roman" w:cs="Times New Roman"/>
                <w:color w:val="000000"/>
                <w:sz w:val="18"/>
                <w:szCs w:val="18"/>
                <w:lang w:eastAsia="es-CO"/>
              </w:rPr>
            </w:pPr>
            <w:r w:rsidRPr="00951AB1">
              <w:rPr>
                <w:rFonts w:eastAsia="Times New Roman" w:cs="Times New Roman"/>
                <w:color w:val="000000"/>
                <w:sz w:val="18"/>
                <w:szCs w:val="18"/>
                <w:lang w:eastAsia="es-CO"/>
              </w:rPr>
              <w:t>UNIDAD ADMINISTRATIVA ESPECIAL DIRECCION DE IMPUESTOS Y ADUANAS NACIONALES</w:t>
            </w:r>
          </w:p>
        </w:tc>
        <w:tc>
          <w:tcPr>
            <w:tcW w:w="1070" w:type="pct"/>
            <w:tcBorders>
              <w:top w:val="nil"/>
              <w:left w:val="nil"/>
              <w:bottom w:val="single" w:sz="8" w:space="0" w:color="A6A6A6"/>
              <w:right w:val="single" w:sz="8" w:space="0" w:color="A6A6A6"/>
            </w:tcBorders>
            <w:noWrap/>
            <w:vAlign w:val="center"/>
            <w:hideMark/>
          </w:tcPr>
          <w:p w14:paraId="1D6E54EC" w14:textId="77777777" w:rsidR="00590BD1" w:rsidRPr="00951AB1" w:rsidRDefault="00590BD1" w:rsidP="000A5389">
            <w:pPr>
              <w:spacing w:line="240" w:lineRule="auto"/>
              <w:jc w:val="right"/>
              <w:rPr>
                <w:rFonts w:eastAsia="Times New Roman" w:cs="Times New Roman"/>
                <w:color w:val="000000"/>
                <w:sz w:val="18"/>
                <w:szCs w:val="18"/>
                <w:lang w:eastAsia="es-CO"/>
              </w:rPr>
            </w:pPr>
            <w:r w:rsidRPr="00951AB1">
              <w:rPr>
                <w:rFonts w:eastAsia="Times New Roman" w:cs="Times New Roman"/>
                <w:color w:val="000000"/>
                <w:sz w:val="18"/>
                <w:szCs w:val="18"/>
                <w:lang w:eastAsia="es-CO"/>
              </w:rPr>
              <w:t xml:space="preserve">   2.346.880.717</w:t>
            </w:r>
          </w:p>
        </w:tc>
      </w:tr>
      <w:tr w:rsidR="00590BD1" w:rsidRPr="00951AB1" w14:paraId="20A7A30D" w14:textId="77777777">
        <w:trPr>
          <w:trHeight w:val="495"/>
        </w:trPr>
        <w:tc>
          <w:tcPr>
            <w:tcW w:w="1012" w:type="pct"/>
            <w:vMerge/>
            <w:tcBorders>
              <w:top w:val="nil"/>
              <w:left w:val="single" w:sz="8" w:space="0" w:color="A6A6A6"/>
              <w:bottom w:val="single" w:sz="8" w:space="0" w:color="A6A6A6"/>
              <w:right w:val="single" w:sz="8" w:space="0" w:color="A6A6A6"/>
            </w:tcBorders>
            <w:vAlign w:val="center"/>
            <w:hideMark/>
          </w:tcPr>
          <w:p w14:paraId="5919D145" w14:textId="77777777" w:rsidR="00590BD1" w:rsidRPr="00951AB1" w:rsidRDefault="00590BD1" w:rsidP="000A5389">
            <w:pPr>
              <w:spacing w:line="240" w:lineRule="auto"/>
              <w:jc w:val="center"/>
              <w:rPr>
                <w:rFonts w:eastAsia="Times New Roman" w:cs="Times New Roman"/>
                <w:color w:val="000000"/>
                <w:sz w:val="18"/>
                <w:szCs w:val="18"/>
                <w:lang w:eastAsia="es-CO"/>
              </w:rPr>
            </w:pPr>
          </w:p>
        </w:tc>
        <w:tc>
          <w:tcPr>
            <w:tcW w:w="769" w:type="pct"/>
            <w:tcBorders>
              <w:top w:val="nil"/>
              <w:left w:val="nil"/>
              <w:bottom w:val="single" w:sz="8" w:space="0" w:color="A6A6A6"/>
              <w:right w:val="single" w:sz="8" w:space="0" w:color="A6A6A6"/>
            </w:tcBorders>
            <w:noWrap/>
            <w:vAlign w:val="center"/>
            <w:hideMark/>
          </w:tcPr>
          <w:p w14:paraId="4E7E3C2D" w14:textId="77777777" w:rsidR="00590BD1" w:rsidRPr="00951AB1" w:rsidRDefault="00590BD1" w:rsidP="000A5389">
            <w:pPr>
              <w:spacing w:line="240" w:lineRule="auto"/>
              <w:jc w:val="center"/>
              <w:rPr>
                <w:rFonts w:eastAsia="Times New Roman" w:cs="Times New Roman"/>
                <w:color w:val="000000"/>
                <w:sz w:val="18"/>
                <w:szCs w:val="18"/>
                <w:lang w:eastAsia="es-CO"/>
              </w:rPr>
            </w:pPr>
            <w:r w:rsidRPr="00951AB1">
              <w:rPr>
                <w:rFonts w:eastAsia="Times New Roman" w:cs="Times New Roman"/>
                <w:color w:val="000000"/>
                <w:sz w:val="18"/>
                <w:szCs w:val="18"/>
                <w:lang w:eastAsia="es-CO"/>
              </w:rPr>
              <w:t>22-01-01-00Q</w:t>
            </w:r>
          </w:p>
        </w:tc>
        <w:tc>
          <w:tcPr>
            <w:tcW w:w="2149" w:type="pct"/>
            <w:tcBorders>
              <w:top w:val="nil"/>
              <w:left w:val="nil"/>
              <w:bottom w:val="single" w:sz="8" w:space="0" w:color="A6A6A6"/>
              <w:right w:val="single" w:sz="8" w:space="0" w:color="A6A6A6"/>
            </w:tcBorders>
            <w:vAlign w:val="center"/>
            <w:hideMark/>
          </w:tcPr>
          <w:p w14:paraId="5BD76AB4" w14:textId="77777777" w:rsidR="00590BD1" w:rsidRPr="00951AB1" w:rsidRDefault="00590BD1" w:rsidP="000A5389">
            <w:pPr>
              <w:spacing w:line="240" w:lineRule="auto"/>
              <w:jc w:val="center"/>
              <w:rPr>
                <w:rFonts w:eastAsia="Times New Roman" w:cs="Times New Roman"/>
                <w:color w:val="000000"/>
                <w:sz w:val="18"/>
                <w:szCs w:val="18"/>
                <w:lang w:eastAsia="es-CO"/>
              </w:rPr>
            </w:pPr>
            <w:r w:rsidRPr="00951AB1">
              <w:rPr>
                <w:rFonts w:eastAsia="Times New Roman" w:cs="Times New Roman"/>
                <w:color w:val="000000"/>
                <w:sz w:val="18"/>
                <w:szCs w:val="18"/>
                <w:lang w:eastAsia="es-CO"/>
              </w:rPr>
              <w:t>FONDO NACIONAL DE LAS UNIVERSIDADES ESTATALES DE COLOMBIA</w:t>
            </w:r>
          </w:p>
        </w:tc>
        <w:tc>
          <w:tcPr>
            <w:tcW w:w="1070" w:type="pct"/>
            <w:tcBorders>
              <w:top w:val="nil"/>
              <w:left w:val="nil"/>
              <w:bottom w:val="single" w:sz="8" w:space="0" w:color="A6A6A6"/>
              <w:right w:val="single" w:sz="8" w:space="0" w:color="A6A6A6"/>
            </w:tcBorders>
            <w:noWrap/>
            <w:vAlign w:val="center"/>
            <w:hideMark/>
          </w:tcPr>
          <w:p w14:paraId="72256BDB" w14:textId="77777777" w:rsidR="00590BD1" w:rsidRPr="00951AB1" w:rsidRDefault="00590BD1" w:rsidP="000A5389">
            <w:pPr>
              <w:spacing w:line="240" w:lineRule="auto"/>
              <w:jc w:val="right"/>
              <w:rPr>
                <w:rFonts w:eastAsia="Times New Roman" w:cs="Times New Roman"/>
                <w:color w:val="000000"/>
                <w:sz w:val="18"/>
                <w:szCs w:val="18"/>
                <w:lang w:eastAsia="es-CO"/>
              </w:rPr>
            </w:pPr>
            <w:r w:rsidRPr="00951AB1">
              <w:rPr>
                <w:rFonts w:eastAsia="Times New Roman" w:cs="Times New Roman"/>
                <w:color w:val="000000"/>
                <w:sz w:val="18"/>
                <w:szCs w:val="18"/>
                <w:lang w:eastAsia="es-CO"/>
              </w:rPr>
              <w:t xml:space="preserve">      120.772.657</w:t>
            </w:r>
          </w:p>
        </w:tc>
      </w:tr>
    </w:tbl>
    <w:p w14:paraId="5A26F22D" w14:textId="77777777" w:rsidR="00590BD1" w:rsidRPr="00951AB1" w:rsidRDefault="00590BD1" w:rsidP="000A5389">
      <w:pPr>
        <w:spacing w:line="240" w:lineRule="auto"/>
        <w:rPr>
          <w:rFonts w:cs="Times New Roman"/>
          <w:sz w:val="14"/>
          <w:szCs w:val="14"/>
        </w:rPr>
      </w:pPr>
      <w:r w:rsidRPr="00951AB1">
        <w:rPr>
          <w:rFonts w:cs="Times New Roman"/>
          <w:sz w:val="14"/>
          <w:szCs w:val="14"/>
        </w:rPr>
        <w:t>Cifras expresadas en pesos</w:t>
      </w:r>
    </w:p>
    <w:p w14:paraId="23259AFD" w14:textId="77777777" w:rsidR="00590BD1" w:rsidRPr="00951AB1" w:rsidRDefault="00590BD1" w:rsidP="000A5389">
      <w:pPr>
        <w:spacing w:line="240" w:lineRule="auto"/>
        <w:rPr>
          <w:rFonts w:cs="Times New Roman"/>
          <w:szCs w:val="24"/>
        </w:rPr>
      </w:pPr>
    </w:p>
    <w:p w14:paraId="24B46B0D" w14:textId="1115083B" w:rsidR="00DE1B1F" w:rsidRPr="00951AB1" w:rsidRDefault="00DE1B1F" w:rsidP="000A5389">
      <w:pPr>
        <w:spacing w:line="240" w:lineRule="auto"/>
        <w:rPr>
          <w:rFonts w:cs="Times New Roman"/>
          <w:szCs w:val="24"/>
        </w:rPr>
      </w:pPr>
      <w:r w:rsidRPr="00951AB1">
        <w:rPr>
          <w:rFonts w:cs="Times New Roman"/>
          <w:i/>
          <w:iCs/>
          <w:szCs w:val="24"/>
        </w:rPr>
        <w:lastRenderedPageBreak/>
        <w:t>Recursos para inversión:</w:t>
      </w:r>
      <w:r w:rsidRPr="00951AB1">
        <w:rPr>
          <w:rFonts w:cs="Times New Roman"/>
          <w:b/>
          <w:bCs/>
          <w:szCs w:val="24"/>
        </w:rPr>
        <w:t xml:space="preserve"> </w:t>
      </w:r>
      <w:r w:rsidRPr="00951AB1">
        <w:rPr>
          <w:rFonts w:cs="Times New Roman"/>
          <w:szCs w:val="24"/>
        </w:rPr>
        <w:t>Los $5.342.636.361.515 corresponden a recursos destinados principalmente a:</w:t>
      </w:r>
    </w:p>
    <w:p w14:paraId="4DEDDD6A" w14:textId="77777777" w:rsidR="00DE1B1F" w:rsidRPr="00951AB1" w:rsidRDefault="00DE1B1F" w:rsidP="000A5389">
      <w:pPr>
        <w:pStyle w:val="Prrafodelista"/>
        <w:numPr>
          <w:ilvl w:val="0"/>
          <w:numId w:val="41"/>
        </w:numPr>
        <w:spacing w:line="240" w:lineRule="auto"/>
        <w:rPr>
          <w:rFonts w:cs="Times New Roman"/>
          <w:szCs w:val="24"/>
        </w:rPr>
      </w:pPr>
      <w:r w:rsidRPr="00951AB1">
        <w:rPr>
          <w:rFonts w:cs="Times New Roman"/>
          <w:szCs w:val="24"/>
        </w:rPr>
        <w:t>Aportes a concesionarios del modo carretero.</w:t>
      </w:r>
    </w:p>
    <w:p w14:paraId="39541768" w14:textId="77777777" w:rsidR="00DE1B1F" w:rsidRPr="00951AB1" w:rsidRDefault="00DE1B1F" w:rsidP="000A5389">
      <w:pPr>
        <w:pStyle w:val="Prrafodelista"/>
        <w:numPr>
          <w:ilvl w:val="0"/>
          <w:numId w:val="41"/>
        </w:numPr>
        <w:spacing w:line="240" w:lineRule="auto"/>
        <w:rPr>
          <w:rFonts w:cs="Times New Roman"/>
          <w:szCs w:val="24"/>
        </w:rPr>
      </w:pPr>
      <w:r w:rsidRPr="00951AB1">
        <w:rPr>
          <w:rFonts w:cs="Times New Roman"/>
          <w:szCs w:val="24"/>
        </w:rPr>
        <w:t>Giro a patrimonios autónomos constituidos por concesionarios.</w:t>
      </w:r>
    </w:p>
    <w:p w14:paraId="6A12B9D6" w14:textId="77777777" w:rsidR="00DE1B1F" w:rsidRPr="00951AB1" w:rsidRDefault="00DE1B1F" w:rsidP="000A5389">
      <w:pPr>
        <w:pStyle w:val="Prrafodelista"/>
        <w:numPr>
          <w:ilvl w:val="0"/>
          <w:numId w:val="41"/>
        </w:numPr>
        <w:spacing w:line="240" w:lineRule="auto"/>
        <w:rPr>
          <w:rFonts w:cs="Times New Roman"/>
          <w:szCs w:val="24"/>
        </w:rPr>
      </w:pPr>
      <w:r w:rsidRPr="00951AB1">
        <w:rPr>
          <w:rFonts w:cs="Times New Roman"/>
          <w:szCs w:val="24"/>
        </w:rPr>
        <w:t>Pago de obligaciones contractuales (honorarios, bienes y servicios).</w:t>
      </w:r>
    </w:p>
    <w:p w14:paraId="065ED252" w14:textId="77777777" w:rsidR="0027464D" w:rsidRPr="00951AB1" w:rsidRDefault="0027464D" w:rsidP="000A5389">
      <w:pPr>
        <w:spacing w:line="240" w:lineRule="auto"/>
        <w:rPr>
          <w:rFonts w:cs="Times New Roman"/>
          <w:szCs w:val="24"/>
        </w:rPr>
      </w:pPr>
    </w:p>
    <w:p w14:paraId="6B702466" w14:textId="5D57A4EC" w:rsidR="00DE1B1F" w:rsidRPr="00951AB1" w:rsidRDefault="00DE1B1F" w:rsidP="000A5389">
      <w:pPr>
        <w:spacing w:line="240" w:lineRule="auto"/>
        <w:rPr>
          <w:rFonts w:cs="Times New Roman"/>
          <w:szCs w:val="24"/>
        </w:rPr>
      </w:pPr>
      <w:r w:rsidRPr="00951AB1">
        <w:rPr>
          <w:rFonts w:cs="Times New Roman"/>
          <w:szCs w:val="24"/>
        </w:rPr>
        <w:t>Estos recursos se reflejan contablemente en la cuenta “Recursos de la entidad concedente en patrimonios autónomos constituidos por los concesionarios” (Nota 16), en la medida en que no han sido ejecutados a la fecha de cierre.</w:t>
      </w:r>
    </w:p>
    <w:p w14:paraId="58FC2473" w14:textId="77777777" w:rsidR="00DE1B1F" w:rsidRPr="00951AB1" w:rsidRDefault="00DE1B1F" w:rsidP="000A5389">
      <w:pPr>
        <w:spacing w:line="240" w:lineRule="auto"/>
        <w:rPr>
          <w:rFonts w:cs="Times New Roman"/>
          <w:szCs w:val="24"/>
        </w:rPr>
      </w:pPr>
    </w:p>
    <w:p w14:paraId="48315F34" w14:textId="77777777" w:rsidR="00DE1B1F" w:rsidRPr="00951AB1" w:rsidRDefault="00DE1B1F" w:rsidP="000A5389">
      <w:pPr>
        <w:spacing w:line="240" w:lineRule="auto"/>
        <w:rPr>
          <w:rFonts w:cs="Times New Roman"/>
          <w:szCs w:val="24"/>
        </w:rPr>
      </w:pPr>
      <w:r w:rsidRPr="00951AB1">
        <w:rPr>
          <w:rFonts w:cs="Times New Roman"/>
          <w:szCs w:val="24"/>
        </w:rPr>
        <w:t>El incremento frente a 2024 refleja:</w:t>
      </w:r>
    </w:p>
    <w:p w14:paraId="291E3B5D" w14:textId="77777777" w:rsidR="00DE1B1F" w:rsidRPr="00951AB1" w:rsidRDefault="00DE1B1F" w:rsidP="000A5389">
      <w:pPr>
        <w:pStyle w:val="Prrafodelista"/>
        <w:numPr>
          <w:ilvl w:val="0"/>
          <w:numId w:val="45"/>
        </w:numPr>
        <w:spacing w:line="240" w:lineRule="auto"/>
        <w:rPr>
          <w:rFonts w:cs="Times New Roman"/>
          <w:szCs w:val="24"/>
        </w:rPr>
      </w:pPr>
      <w:r w:rsidRPr="00951AB1">
        <w:rPr>
          <w:rFonts w:cs="Times New Roman"/>
          <w:szCs w:val="24"/>
        </w:rPr>
        <w:t>Mayor nivel de ejecución presupuestal.</w:t>
      </w:r>
    </w:p>
    <w:p w14:paraId="07D820BA" w14:textId="77777777" w:rsidR="00DE1B1F" w:rsidRPr="00951AB1" w:rsidRDefault="00DE1B1F" w:rsidP="000A5389">
      <w:pPr>
        <w:pStyle w:val="Prrafodelista"/>
        <w:numPr>
          <w:ilvl w:val="0"/>
          <w:numId w:val="45"/>
        </w:numPr>
        <w:spacing w:line="240" w:lineRule="auto"/>
        <w:rPr>
          <w:rFonts w:cs="Times New Roman"/>
          <w:szCs w:val="24"/>
        </w:rPr>
      </w:pPr>
      <w:r w:rsidRPr="00951AB1">
        <w:rPr>
          <w:rFonts w:cs="Times New Roman"/>
          <w:szCs w:val="24"/>
        </w:rPr>
        <w:t>Incremento en los compromisos contractuales asociados a proyectos 4G y 5G.</w:t>
      </w:r>
    </w:p>
    <w:p w14:paraId="096C2D0E" w14:textId="77777777" w:rsidR="00DE1B1F" w:rsidRPr="00951AB1" w:rsidRDefault="00DE1B1F" w:rsidP="000A5389">
      <w:pPr>
        <w:pStyle w:val="Prrafodelista"/>
        <w:numPr>
          <w:ilvl w:val="0"/>
          <w:numId w:val="45"/>
        </w:numPr>
        <w:spacing w:line="240" w:lineRule="auto"/>
        <w:rPr>
          <w:rFonts w:cs="Times New Roman"/>
          <w:szCs w:val="24"/>
        </w:rPr>
      </w:pPr>
      <w:r w:rsidRPr="00951AB1">
        <w:rPr>
          <w:rFonts w:cs="Times New Roman"/>
          <w:szCs w:val="24"/>
        </w:rPr>
        <w:t>Mayor necesidad de aportes para mantener el equilibrio financiero de los contratos</w:t>
      </w:r>
    </w:p>
    <w:p w14:paraId="3B893D7A" w14:textId="77777777" w:rsidR="00DE1B1F" w:rsidRPr="00951AB1" w:rsidRDefault="00DE1B1F" w:rsidP="000A5389">
      <w:pPr>
        <w:spacing w:line="240" w:lineRule="auto"/>
        <w:rPr>
          <w:rFonts w:cs="Times New Roman"/>
          <w:szCs w:val="24"/>
        </w:rPr>
      </w:pPr>
    </w:p>
    <w:p w14:paraId="1B083210" w14:textId="77777777" w:rsidR="00590BD1" w:rsidRPr="00951AB1" w:rsidRDefault="00590BD1" w:rsidP="000A5389">
      <w:pPr>
        <w:spacing w:line="240" w:lineRule="auto"/>
        <w:rPr>
          <w:rFonts w:cs="Times New Roman"/>
          <w:szCs w:val="24"/>
        </w:rPr>
      </w:pPr>
      <w:r w:rsidRPr="00951AB1">
        <w:rPr>
          <w:rFonts w:cs="Times New Roman"/>
          <w:szCs w:val="24"/>
        </w:rPr>
        <w:t>Los demás pagos, hacen parte de la operación normal de la Agencia, como son honorarios, bienes y servicios, que cancelan el pasivo constituido previamente en virtud de la ejecución de contratos suscritos con estos recursos.</w:t>
      </w:r>
    </w:p>
    <w:p w14:paraId="247540E4" w14:textId="77777777" w:rsidR="00590BD1" w:rsidRPr="00951AB1" w:rsidRDefault="00590BD1" w:rsidP="000A5389">
      <w:pPr>
        <w:spacing w:line="240" w:lineRule="auto"/>
        <w:rPr>
          <w:rFonts w:cs="Times New Roman"/>
          <w:szCs w:val="24"/>
        </w:rPr>
      </w:pPr>
    </w:p>
    <w:p w14:paraId="414743B1" w14:textId="5ADB37E0" w:rsidR="00590BD1" w:rsidRPr="00951AB1" w:rsidRDefault="00DE1B1F" w:rsidP="000A5389">
      <w:pPr>
        <w:spacing w:line="240" w:lineRule="auto"/>
        <w:rPr>
          <w:rFonts w:cs="Times New Roman"/>
          <w:szCs w:val="24"/>
        </w:rPr>
      </w:pPr>
      <w:r w:rsidRPr="00951AB1">
        <w:rPr>
          <w:rFonts w:cs="Times New Roman"/>
          <w:i/>
          <w:iCs/>
          <w:szCs w:val="24"/>
        </w:rPr>
        <w:t>Recursos para servicio de la deuda:</w:t>
      </w:r>
      <w:r w:rsidRPr="00951AB1">
        <w:rPr>
          <w:rFonts w:cs="Times New Roman"/>
          <w:szCs w:val="24"/>
        </w:rPr>
        <w:t xml:space="preserve"> </w:t>
      </w:r>
      <w:r w:rsidR="00590BD1" w:rsidRPr="00951AB1">
        <w:rPr>
          <w:rFonts w:cs="Times New Roman"/>
          <w:szCs w:val="24"/>
        </w:rPr>
        <w:t xml:space="preserve">por valor $1.386.815.262.945, corresponden a los fondeos realizados a FIDUPREVISORA, entidad administradora del Fondo de contingencias para entidades estatales en la Vigencia 2025, los cuales, se encuentra reflejados en </w:t>
      </w:r>
      <w:r w:rsidR="00590BD1" w:rsidRPr="00951AB1">
        <w:rPr>
          <w:rFonts w:cs="Times New Roman"/>
          <w:i/>
          <w:iCs/>
          <w:szCs w:val="24"/>
        </w:rPr>
        <w:t>“Depósitos Entregados en Garantía</w:t>
      </w:r>
      <w:r w:rsidR="00590BD1" w:rsidRPr="00951AB1">
        <w:rPr>
          <w:rFonts w:cs="Times New Roman"/>
          <w:szCs w:val="24"/>
        </w:rPr>
        <w:t>”. Los proyectos de concesión que fueron fondeados en la vigencia 2025 se evidencian en la Nota 16.</w:t>
      </w:r>
    </w:p>
    <w:p w14:paraId="2D7D558F" w14:textId="77777777" w:rsidR="00590BD1" w:rsidRPr="00951AB1" w:rsidRDefault="00590BD1" w:rsidP="000A5389">
      <w:pPr>
        <w:spacing w:line="240" w:lineRule="auto"/>
        <w:rPr>
          <w:rFonts w:cs="Times New Roman"/>
          <w:szCs w:val="24"/>
        </w:rPr>
      </w:pPr>
    </w:p>
    <w:p w14:paraId="3C48184E" w14:textId="525FBB3E" w:rsidR="00590BD1" w:rsidRPr="00951AB1" w:rsidRDefault="00590BD1" w:rsidP="000A5389">
      <w:pPr>
        <w:spacing w:line="240" w:lineRule="auto"/>
        <w:rPr>
          <w:rFonts w:cs="Times New Roman"/>
          <w:szCs w:val="24"/>
        </w:rPr>
      </w:pPr>
      <w:r w:rsidRPr="00951AB1">
        <w:rPr>
          <w:rFonts w:cs="Times New Roman"/>
          <w:szCs w:val="24"/>
        </w:rPr>
        <w:t xml:space="preserve">Los ingresos por funcionamiento por valor de </w:t>
      </w:r>
      <w:r w:rsidR="7CD33A93" w:rsidRPr="5B0C84B6">
        <w:rPr>
          <w:rFonts w:cs="Times New Roman"/>
          <w:szCs w:val="24"/>
        </w:rPr>
        <w:t>$</w:t>
      </w:r>
      <w:r w:rsidRPr="00951AB1">
        <w:rPr>
          <w:rFonts w:cs="Times New Roman"/>
          <w:szCs w:val="24"/>
        </w:rPr>
        <w:t>11.158.515.231 reflejan los recursos recibidos del presupuesto nacional, en la vigencia 2025, para cubrir las obligaciones previamente constituidas por concepto de sentencias y conciliaciones</w:t>
      </w:r>
    </w:p>
    <w:p w14:paraId="0CCCB588" w14:textId="77777777" w:rsidR="00590BD1" w:rsidRPr="00951AB1" w:rsidRDefault="00590BD1" w:rsidP="000A5389">
      <w:pPr>
        <w:spacing w:line="240" w:lineRule="auto"/>
        <w:rPr>
          <w:rFonts w:cs="Times New Roman"/>
          <w:szCs w:val="24"/>
        </w:rPr>
      </w:pPr>
      <w:r w:rsidRPr="00951AB1">
        <w:rPr>
          <w:rFonts w:cs="Times New Roman"/>
          <w:szCs w:val="24"/>
        </w:rPr>
        <w:t>Los ingresos por Cruce de Cuentas corresponden a:</w:t>
      </w:r>
    </w:p>
    <w:p w14:paraId="245CEAF0" w14:textId="77777777" w:rsidR="00590BD1" w:rsidRPr="00951AB1" w:rsidRDefault="00590BD1" w:rsidP="000A5389">
      <w:pPr>
        <w:spacing w:line="240" w:lineRule="auto"/>
        <w:rPr>
          <w:rFonts w:cs="Times New Roman"/>
          <w:szCs w:val="24"/>
        </w:rPr>
      </w:pPr>
    </w:p>
    <w:p w14:paraId="1BADCC6F" w14:textId="77777777" w:rsidR="00590BD1" w:rsidRPr="00951AB1" w:rsidRDefault="00590BD1" w:rsidP="000A5389">
      <w:pPr>
        <w:spacing w:line="240" w:lineRule="auto"/>
        <w:rPr>
          <w:rFonts w:cs="Times New Roman"/>
          <w:szCs w:val="24"/>
        </w:rPr>
      </w:pPr>
      <w:r w:rsidRPr="00951AB1">
        <w:rPr>
          <w:rFonts w:cs="Times New Roman"/>
          <w:szCs w:val="24"/>
        </w:rPr>
        <w:t>El valor de $106.742.138.967, corresponde al pago de la alícuota anual de los acuerdos de pago suscritos entre la Entidad y el Ministerio de Hacienda</w:t>
      </w:r>
    </w:p>
    <w:p w14:paraId="75889098" w14:textId="77777777" w:rsidR="00590BD1" w:rsidRPr="00951AB1" w:rsidRDefault="00590BD1" w:rsidP="000A5389">
      <w:pPr>
        <w:spacing w:line="240" w:lineRule="auto"/>
        <w:rPr>
          <w:rFonts w:cs="Times New Roman"/>
          <w:sz w:val="18"/>
          <w:szCs w:val="18"/>
        </w:rPr>
      </w:pPr>
    </w:p>
    <w:p w14:paraId="2411D89E" w14:textId="5CB3C1D4" w:rsidR="00112AEE" w:rsidRPr="00951AB1" w:rsidRDefault="00590BD1" w:rsidP="000A5389">
      <w:pPr>
        <w:pStyle w:val="Prrafodelista"/>
        <w:numPr>
          <w:ilvl w:val="0"/>
          <w:numId w:val="28"/>
        </w:numPr>
        <w:spacing w:line="240" w:lineRule="auto"/>
        <w:rPr>
          <w:rFonts w:cs="Times New Roman"/>
          <w:szCs w:val="24"/>
        </w:rPr>
      </w:pPr>
      <w:r w:rsidRPr="00951AB1">
        <w:rPr>
          <w:rFonts w:cs="Times New Roman"/>
          <w:szCs w:val="24"/>
        </w:rPr>
        <w:t xml:space="preserve">Con la U.A.E. Dirección de Impuestos y Aduanas Nacionales (DIAN) por valor de $2.346.880.717 obedecen al concepto de retención en la fuente a título de renta pagados bajo la modalidad de </w:t>
      </w:r>
      <w:r w:rsidRPr="00951AB1">
        <w:rPr>
          <w:rFonts w:cs="Times New Roman"/>
          <w:i/>
          <w:iCs/>
          <w:szCs w:val="24"/>
        </w:rPr>
        <w:t>“Compensación de deducciones”</w:t>
      </w:r>
      <w:r w:rsidRPr="00951AB1">
        <w:rPr>
          <w:rFonts w:cs="Times New Roman"/>
          <w:szCs w:val="24"/>
        </w:rPr>
        <w:t xml:space="preserve"> a través del Sistema Integrado de Información Financiera (SIIF)-Nación.</w:t>
      </w:r>
    </w:p>
    <w:p w14:paraId="4DF940F8" w14:textId="77777777" w:rsidR="00590BD1" w:rsidRPr="00951AB1" w:rsidRDefault="00590BD1" w:rsidP="000A5389">
      <w:pPr>
        <w:pStyle w:val="Prrafodelista"/>
        <w:numPr>
          <w:ilvl w:val="0"/>
          <w:numId w:val="28"/>
        </w:numPr>
        <w:spacing w:line="240" w:lineRule="auto"/>
        <w:rPr>
          <w:rFonts w:cs="Times New Roman"/>
          <w:szCs w:val="24"/>
        </w:rPr>
      </w:pPr>
      <w:r w:rsidRPr="00951AB1">
        <w:rPr>
          <w:rFonts w:cs="Times New Roman"/>
          <w:szCs w:val="24"/>
        </w:rPr>
        <w:t>Fondo Nacional de las Universidades Estatales de Colombia por valor de $120.772.657, por concepto de pago de estampilla.</w:t>
      </w:r>
    </w:p>
    <w:p w14:paraId="6522E09B" w14:textId="77777777" w:rsidR="00590BD1" w:rsidRPr="00951AB1" w:rsidRDefault="00590BD1" w:rsidP="000A5389">
      <w:pPr>
        <w:spacing w:line="240" w:lineRule="auto"/>
        <w:rPr>
          <w:rFonts w:cs="Times New Roman"/>
        </w:rPr>
      </w:pPr>
    </w:p>
    <w:p w14:paraId="060F969E" w14:textId="77777777" w:rsidR="00590BD1" w:rsidRPr="00951AB1" w:rsidRDefault="00590BD1" w:rsidP="000A5389">
      <w:pPr>
        <w:spacing w:line="240" w:lineRule="auto"/>
        <w:rPr>
          <w:rFonts w:cs="Times New Roman"/>
          <w:szCs w:val="24"/>
        </w:rPr>
      </w:pPr>
      <w:r w:rsidRPr="00951AB1">
        <w:rPr>
          <w:rFonts w:cs="Times New Roman"/>
          <w:szCs w:val="24"/>
        </w:rPr>
        <w:t xml:space="preserve">Finalmente se precisa que las operaciones recíprocas generadas con la Dirección del Tesoro Nacional- Ministerio de Hacienda y Crédito Público, se concilian de manera mensual en el formato establecido para el efecto, operaciones que son reportadas a través del Sistema </w:t>
      </w:r>
      <w:r w:rsidRPr="00951AB1">
        <w:rPr>
          <w:rFonts w:cs="Times New Roman"/>
          <w:szCs w:val="24"/>
        </w:rPr>
        <w:lastRenderedPageBreak/>
        <w:t>Consolidador de Hacienda e Información Pública (CHIP) de la Contaduría General de la Nación de manera trimestral.</w:t>
      </w:r>
    </w:p>
    <w:p w14:paraId="1F11EBFD" w14:textId="77777777" w:rsidR="00590BD1" w:rsidRPr="00951AB1" w:rsidRDefault="00590BD1" w:rsidP="000A5389">
      <w:pPr>
        <w:spacing w:line="240" w:lineRule="auto"/>
        <w:rPr>
          <w:rFonts w:cs="Times New Roman"/>
          <w:szCs w:val="24"/>
        </w:rPr>
      </w:pPr>
    </w:p>
    <w:p w14:paraId="0D97126B" w14:textId="77777777" w:rsidR="00590BD1" w:rsidRDefault="00590BD1" w:rsidP="000A5389">
      <w:pPr>
        <w:spacing w:line="240" w:lineRule="auto"/>
        <w:rPr>
          <w:rFonts w:cs="Times New Roman"/>
          <w:szCs w:val="24"/>
        </w:rPr>
      </w:pPr>
      <w:r w:rsidRPr="00951AB1">
        <w:rPr>
          <w:rFonts w:cs="Times New Roman"/>
          <w:szCs w:val="24"/>
        </w:rPr>
        <w:t>Las Operaciones recíprocas con la DIAN- Recaudadora también se concilian de manera trimestral en el formato que la DIAN tiene destinado para ello.</w:t>
      </w:r>
    </w:p>
    <w:p w14:paraId="148DF466" w14:textId="77777777" w:rsidR="008C0703" w:rsidRPr="00951AB1" w:rsidRDefault="008C0703" w:rsidP="000A5389">
      <w:pPr>
        <w:spacing w:line="240" w:lineRule="auto"/>
        <w:rPr>
          <w:rFonts w:cs="Times New Roman"/>
          <w:szCs w:val="24"/>
        </w:rPr>
      </w:pPr>
    </w:p>
    <w:p w14:paraId="21EBD6EA" w14:textId="7C058D58" w:rsidR="00F77194" w:rsidRDefault="00F77194" w:rsidP="000A5389">
      <w:pPr>
        <w:pStyle w:val="Ttulo3"/>
        <w:tabs>
          <w:tab w:val="left" w:pos="0"/>
          <w:tab w:val="left" w:pos="360"/>
        </w:tabs>
        <w:spacing w:line="240" w:lineRule="auto"/>
        <w:ind w:left="709" w:hanging="709"/>
        <w:rPr>
          <w:rFonts w:eastAsia="Times New Roman" w:cs="Times New Roman"/>
          <w:bCs/>
          <w:color w:val="1F3864" w:themeColor="accent1" w:themeShade="80"/>
          <w:lang w:val="es-ES"/>
        </w:rPr>
      </w:pPr>
      <w:bookmarkStart w:id="805" w:name="_Toc191369567"/>
      <w:bookmarkStart w:id="806" w:name="_Toc191456894"/>
      <w:bookmarkStart w:id="807" w:name="_Toc191457004"/>
      <w:bookmarkStart w:id="808" w:name="_Toc191457114"/>
      <w:bookmarkStart w:id="809" w:name="_Toc191475741"/>
      <w:bookmarkStart w:id="810" w:name="_Toc191475850"/>
      <w:bookmarkStart w:id="811" w:name="_Toc191475959"/>
      <w:bookmarkStart w:id="812" w:name="_Toc191475482"/>
      <w:bookmarkStart w:id="813" w:name="_Toc191505858"/>
      <w:bookmarkStart w:id="814" w:name="_Toc222824172"/>
      <w:bookmarkStart w:id="815" w:name="_Toc222955538"/>
      <w:r w:rsidRPr="00951AB1">
        <w:rPr>
          <w:rFonts w:eastAsia="Times New Roman" w:cs="Times New Roman"/>
          <w:bCs/>
          <w:color w:val="1F3864" w:themeColor="accent1" w:themeShade="80"/>
          <w:lang w:val="es-ES"/>
        </w:rPr>
        <w:t>29.1.1.</w:t>
      </w:r>
      <w:r w:rsidRPr="00951AB1">
        <w:rPr>
          <w:rFonts w:eastAsia="Times New Roman" w:cs="Times New Roman"/>
          <w:b w:val="0"/>
          <w:color w:val="1F3864" w:themeColor="accent1" w:themeShade="80"/>
          <w:sz w:val="14"/>
          <w:szCs w:val="14"/>
          <w:lang w:val="es-ES"/>
        </w:rPr>
        <w:t xml:space="preserve">  </w:t>
      </w:r>
      <w:r w:rsidRPr="00951AB1">
        <w:rPr>
          <w:rFonts w:eastAsia="Times New Roman" w:cs="Times New Roman"/>
          <w:bCs/>
          <w:color w:val="1F3864" w:themeColor="accent1" w:themeShade="80"/>
          <w:lang w:val="es-ES"/>
        </w:rPr>
        <w:t>Ingresos fiscales – Detallado</w:t>
      </w:r>
      <w:bookmarkEnd w:id="805"/>
      <w:bookmarkEnd w:id="806"/>
      <w:bookmarkEnd w:id="807"/>
      <w:bookmarkEnd w:id="808"/>
      <w:bookmarkEnd w:id="809"/>
      <w:bookmarkEnd w:id="810"/>
      <w:bookmarkEnd w:id="811"/>
      <w:bookmarkEnd w:id="812"/>
      <w:bookmarkEnd w:id="813"/>
      <w:bookmarkEnd w:id="814"/>
      <w:bookmarkEnd w:id="815"/>
    </w:p>
    <w:p w14:paraId="3EA025B7" w14:textId="77777777" w:rsidR="00953AA2" w:rsidRPr="00953AA2" w:rsidRDefault="00953AA2" w:rsidP="00953AA2">
      <w:pPr>
        <w:rPr>
          <w:lang w:val="es-ES"/>
        </w:rPr>
      </w:pPr>
    </w:p>
    <w:p w14:paraId="422DD7EA" w14:textId="0A11B9C4" w:rsidR="00C23490" w:rsidRPr="00951AB1" w:rsidRDefault="00C23490" w:rsidP="000A5389">
      <w:pPr>
        <w:spacing w:line="240" w:lineRule="auto"/>
        <w:rPr>
          <w:rFonts w:eastAsia="Times New Roman" w:cs="Times New Roman"/>
          <w:szCs w:val="24"/>
          <w:lang w:val="es-ES"/>
        </w:rPr>
      </w:pPr>
      <w:r w:rsidRPr="00951AB1">
        <w:rPr>
          <w:rFonts w:eastAsia="Times New Roman" w:cs="Times New Roman"/>
          <w:szCs w:val="24"/>
          <w:lang w:val="es-ES"/>
        </w:rPr>
        <w:t>La siguiente es la estructura de los ingresos fiscales con corte 31 de diciembre de 2025:</w:t>
      </w:r>
    </w:p>
    <w:p w14:paraId="38B98302" w14:textId="77777777" w:rsidR="0009435D" w:rsidRPr="00951AB1" w:rsidRDefault="0009435D" w:rsidP="000A5389">
      <w:pPr>
        <w:spacing w:line="240" w:lineRule="auto"/>
        <w:rPr>
          <w:rFonts w:eastAsia="Times New Roman" w:cs="Times New Roman"/>
          <w:szCs w:val="24"/>
          <w:lang w:val="es-E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815"/>
        <w:gridCol w:w="350"/>
        <w:gridCol w:w="2092"/>
        <w:gridCol w:w="1842"/>
        <w:gridCol w:w="1418"/>
        <w:gridCol w:w="1384"/>
        <w:gridCol w:w="927"/>
      </w:tblGrid>
      <w:tr w:rsidR="00C772BD" w:rsidRPr="00951AB1" w14:paraId="4E2A8EC4" w14:textId="77777777" w:rsidTr="00C772BD">
        <w:trPr>
          <w:trHeight w:val="300"/>
        </w:trPr>
        <w:tc>
          <w:tcPr>
            <w:tcW w:w="1845" w:type="pct"/>
            <w:gridSpan w:val="3"/>
            <w:noWrap/>
            <w:vAlign w:val="center"/>
            <w:hideMark/>
          </w:tcPr>
          <w:p w14:paraId="2C617606" w14:textId="77777777" w:rsidR="00C772BD" w:rsidRPr="00951AB1" w:rsidRDefault="00C772BD" w:rsidP="000A5389">
            <w:pPr>
              <w:spacing w:line="240" w:lineRule="auto"/>
              <w:jc w:val="center"/>
              <w:rPr>
                <w:rFonts w:eastAsia="Times New Roman" w:cs="Times New Roman"/>
                <w:b/>
                <w:bCs/>
                <w:color w:val="000000"/>
                <w:kern w:val="0"/>
                <w:sz w:val="16"/>
                <w:szCs w:val="16"/>
                <w:lang w:eastAsia="es-CO"/>
                <w14:ligatures w14:val="none"/>
              </w:rPr>
            </w:pPr>
            <w:r w:rsidRPr="00951AB1">
              <w:rPr>
                <w:rFonts w:eastAsia="Times New Roman" w:cs="Times New Roman"/>
                <w:b/>
                <w:bCs/>
                <w:color w:val="000000"/>
                <w:kern w:val="0"/>
                <w:sz w:val="16"/>
                <w:szCs w:val="16"/>
                <w:lang w:eastAsia="es-CO"/>
                <w14:ligatures w14:val="none"/>
              </w:rPr>
              <w:t>DESCRIPCIÓN</w:t>
            </w:r>
          </w:p>
        </w:tc>
        <w:tc>
          <w:tcPr>
            <w:tcW w:w="3155" w:type="pct"/>
            <w:gridSpan w:val="4"/>
            <w:vAlign w:val="center"/>
            <w:hideMark/>
          </w:tcPr>
          <w:p w14:paraId="31F99088" w14:textId="77777777" w:rsidR="00C772BD" w:rsidRPr="00951AB1" w:rsidRDefault="00C772BD" w:rsidP="000A5389">
            <w:pPr>
              <w:spacing w:line="240" w:lineRule="auto"/>
              <w:jc w:val="center"/>
              <w:rPr>
                <w:rFonts w:eastAsia="Times New Roman" w:cs="Times New Roman"/>
                <w:b/>
                <w:bCs/>
                <w:color w:val="000000"/>
                <w:kern w:val="0"/>
                <w:sz w:val="16"/>
                <w:szCs w:val="16"/>
                <w:lang w:eastAsia="es-CO"/>
                <w14:ligatures w14:val="none"/>
              </w:rPr>
            </w:pPr>
            <w:r w:rsidRPr="00951AB1">
              <w:rPr>
                <w:rFonts w:eastAsia="Times New Roman" w:cs="Times New Roman"/>
                <w:b/>
                <w:bCs/>
                <w:color w:val="000000"/>
                <w:kern w:val="0"/>
                <w:sz w:val="16"/>
                <w:szCs w:val="16"/>
                <w:lang w:eastAsia="es-CO"/>
                <w14:ligatures w14:val="none"/>
              </w:rPr>
              <w:t>RESUMEN DE TRASANCCIONES</w:t>
            </w:r>
          </w:p>
        </w:tc>
      </w:tr>
      <w:tr w:rsidR="00C772BD" w:rsidRPr="00951AB1" w14:paraId="092BD732" w14:textId="77777777" w:rsidTr="00C772BD">
        <w:trPr>
          <w:trHeight w:val="960"/>
        </w:trPr>
        <w:tc>
          <w:tcPr>
            <w:tcW w:w="1845" w:type="pct"/>
            <w:gridSpan w:val="3"/>
            <w:noWrap/>
            <w:vAlign w:val="center"/>
            <w:hideMark/>
          </w:tcPr>
          <w:p w14:paraId="6DBAE55C" w14:textId="77777777" w:rsidR="00C772BD" w:rsidRPr="00951AB1" w:rsidRDefault="00C772BD" w:rsidP="000A5389">
            <w:pPr>
              <w:spacing w:line="240" w:lineRule="auto"/>
              <w:jc w:val="center"/>
              <w:rPr>
                <w:rFonts w:eastAsia="Times New Roman" w:cs="Times New Roman"/>
                <w:b/>
                <w:bCs/>
                <w:color w:val="000000"/>
                <w:kern w:val="0"/>
                <w:sz w:val="16"/>
                <w:szCs w:val="16"/>
                <w:lang w:eastAsia="es-CO"/>
                <w14:ligatures w14:val="none"/>
              </w:rPr>
            </w:pPr>
            <w:r w:rsidRPr="00951AB1">
              <w:rPr>
                <w:rFonts w:eastAsia="Times New Roman" w:cs="Times New Roman"/>
                <w:b/>
                <w:bCs/>
                <w:color w:val="000000"/>
                <w:kern w:val="0"/>
                <w:sz w:val="16"/>
                <w:szCs w:val="16"/>
                <w:lang w:eastAsia="es-CO"/>
                <w14:ligatures w14:val="none"/>
              </w:rPr>
              <w:t>CONCEPTO</w:t>
            </w:r>
          </w:p>
        </w:tc>
        <w:tc>
          <w:tcPr>
            <w:tcW w:w="1043" w:type="pct"/>
            <w:vAlign w:val="center"/>
            <w:hideMark/>
          </w:tcPr>
          <w:p w14:paraId="35FDE08D" w14:textId="77777777" w:rsidR="00C772BD" w:rsidRPr="00951AB1" w:rsidRDefault="00C772BD" w:rsidP="000A5389">
            <w:pPr>
              <w:spacing w:line="240" w:lineRule="auto"/>
              <w:jc w:val="center"/>
              <w:rPr>
                <w:rFonts w:eastAsia="Times New Roman" w:cs="Times New Roman"/>
                <w:b/>
                <w:bCs/>
                <w:color w:val="000000"/>
                <w:kern w:val="0"/>
                <w:sz w:val="16"/>
                <w:szCs w:val="16"/>
                <w:lang w:eastAsia="es-CO"/>
                <w14:ligatures w14:val="none"/>
              </w:rPr>
            </w:pPr>
            <w:r w:rsidRPr="00951AB1">
              <w:rPr>
                <w:rFonts w:eastAsia="Times New Roman" w:cs="Times New Roman"/>
                <w:b/>
                <w:bCs/>
                <w:color w:val="000000"/>
                <w:kern w:val="0"/>
                <w:sz w:val="16"/>
                <w:szCs w:val="16"/>
                <w:lang w:eastAsia="es-CO"/>
                <w14:ligatures w14:val="none"/>
              </w:rPr>
              <w:t>RECONOCIMIENTO DE INGRESOS (CR)</w:t>
            </w:r>
          </w:p>
        </w:tc>
        <w:tc>
          <w:tcPr>
            <w:tcW w:w="803" w:type="pct"/>
            <w:vAlign w:val="center"/>
            <w:hideMark/>
          </w:tcPr>
          <w:p w14:paraId="679C4AE0" w14:textId="77777777" w:rsidR="00C772BD" w:rsidRPr="00951AB1" w:rsidRDefault="00C772BD" w:rsidP="000A5389">
            <w:pPr>
              <w:spacing w:line="240" w:lineRule="auto"/>
              <w:jc w:val="center"/>
              <w:rPr>
                <w:rFonts w:eastAsia="Times New Roman" w:cs="Times New Roman"/>
                <w:b/>
                <w:bCs/>
                <w:color w:val="000000"/>
                <w:kern w:val="0"/>
                <w:sz w:val="16"/>
                <w:szCs w:val="16"/>
                <w:lang w:eastAsia="es-CO"/>
                <w14:ligatures w14:val="none"/>
              </w:rPr>
            </w:pPr>
            <w:r w:rsidRPr="00951AB1">
              <w:rPr>
                <w:rFonts w:eastAsia="Times New Roman" w:cs="Times New Roman"/>
                <w:b/>
                <w:bCs/>
                <w:color w:val="000000"/>
                <w:kern w:val="0"/>
                <w:sz w:val="16"/>
                <w:szCs w:val="16"/>
                <w:lang w:eastAsia="es-CO"/>
                <w14:ligatures w14:val="none"/>
              </w:rPr>
              <w:t>AJUSTES POR: DEVOLUCIONES, REBAJAS Y DESCUENTOS (DB)</w:t>
            </w:r>
          </w:p>
        </w:tc>
        <w:tc>
          <w:tcPr>
            <w:tcW w:w="784" w:type="pct"/>
            <w:vAlign w:val="center"/>
            <w:hideMark/>
          </w:tcPr>
          <w:p w14:paraId="71F1626A" w14:textId="77777777" w:rsidR="00C772BD" w:rsidRPr="00951AB1" w:rsidRDefault="00C772BD" w:rsidP="000A5389">
            <w:pPr>
              <w:spacing w:line="240" w:lineRule="auto"/>
              <w:jc w:val="center"/>
              <w:rPr>
                <w:rFonts w:eastAsia="Times New Roman" w:cs="Times New Roman"/>
                <w:b/>
                <w:bCs/>
                <w:color w:val="000000"/>
                <w:kern w:val="0"/>
                <w:sz w:val="16"/>
                <w:szCs w:val="16"/>
                <w:lang w:eastAsia="es-CO"/>
                <w14:ligatures w14:val="none"/>
              </w:rPr>
            </w:pPr>
            <w:r w:rsidRPr="00951AB1">
              <w:rPr>
                <w:rFonts w:eastAsia="Times New Roman" w:cs="Times New Roman"/>
                <w:b/>
                <w:bCs/>
                <w:color w:val="000000"/>
                <w:kern w:val="0"/>
                <w:sz w:val="16"/>
                <w:szCs w:val="16"/>
                <w:lang w:eastAsia="es-CO"/>
                <w14:ligatures w14:val="none"/>
              </w:rPr>
              <w:t>SALDO FINAL</w:t>
            </w:r>
          </w:p>
        </w:tc>
        <w:tc>
          <w:tcPr>
            <w:tcW w:w="525" w:type="pct"/>
            <w:vAlign w:val="center"/>
            <w:hideMark/>
          </w:tcPr>
          <w:p w14:paraId="5459840D" w14:textId="77777777" w:rsidR="00C772BD" w:rsidRPr="00951AB1" w:rsidRDefault="00C772BD" w:rsidP="000A5389">
            <w:pPr>
              <w:spacing w:line="240" w:lineRule="auto"/>
              <w:jc w:val="center"/>
              <w:rPr>
                <w:rFonts w:eastAsia="Times New Roman" w:cs="Times New Roman"/>
                <w:b/>
                <w:bCs/>
                <w:color w:val="000000"/>
                <w:kern w:val="0"/>
                <w:sz w:val="16"/>
                <w:szCs w:val="16"/>
                <w:lang w:eastAsia="es-CO"/>
                <w14:ligatures w14:val="none"/>
              </w:rPr>
            </w:pPr>
            <w:r w:rsidRPr="00951AB1">
              <w:rPr>
                <w:rFonts w:eastAsia="Times New Roman" w:cs="Times New Roman"/>
                <w:b/>
                <w:bCs/>
                <w:color w:val="000000"/>
                <w:kern w:val="0"/>
                <w:sz w:val="16"/>
                <w:szCs w:val="16"/>
                <w:lang w:eastAsia="es-CO"/>
                <w14:ligatures w14:val="none"/>
              </w:rPr>
              <w:t>% DE AJUSTES</w:t>
            </w:r>
          </w:p>
        </w:tc>
      </w:tr>
      <w:tr w:rsidR="00C772BD" w:rsidRPr="00951AB1" w14:paraId="0515B8D7" w14:textId="77777777" w:rsidTr="00C772BD">
        <w:trPr>
          <w:trHeight w:val="285"/>
        </w:trPr>
        <w:tc>
          <w:tcPr>
            <w:tcW w:w="462" w:type="pct"/>
            <w:noWrap/>
            <w:vAlign w:val="center"/>
            <w:hideMark/>
          </w:tcPr>
          <w:p w14:paraId="71EB3EED" w14:textId="77777777" w:rsidR="00C772BD" w:rsidRPr="00951AB1" w:rsidRDefault="00C772BD" w:rsidP="000A5389">
            <w:pPr>
              <w:spacing w:line="240" w:lineRule="auto"/>
              <w:rPr>
                <w:rFonts w:eastAsia="Times New Roman" w:cs="Times New Roman"/>
                <w:b/>
                <w:bCs/>
                <w:color w:val="000000"/>
                <w:kern w:val="0"/>
                <w:sz w:val="18"/>
                <w:szCs w:val="18"/>
                <w:lang w:eastAsia="es-CO"/>
                <w14:ligatures w14:val="none"/>
              </w:rPr>
            </w:pPr>
            <w:r w:rsidRPr="00951AB1">
              <w:rPr>
                <w:rFonts w:eastAsia="Times New Roman" w:cs="Times New Roman"/>
                <w:b/>
                <w:bCs/>
                <w:color w:val="000000"/>
                <w:kern w:val="0"/>
                <w:sz w:val="18"/>
                <w:szCs w:val="18"/>
                <w:lang w:eastAsia="es-CO"/>
                <w14:ligatures w14:val="none"/>
              </w:rPr>
              <w:t>4.1</w:t>
            </w:r>
          </w:p>
        </w:tc>
        <w:tc>
          <w:tcPr>
            <w:tcW w:w="1383" w:type="pct"/>
            <w:gridSpan w:val="2"/>
            <w:noWrap/>
            <w:vAlign w:val="center"/>
            <w:hideMark/>
          </w:tcPr>
          <w:p w14:paraId="0D2F1BBA" w14:textId="77777777" w:rsidR="00C772BD" w:rsidRPr="00951AB1" w:rsidRDefault="00C772BD" w:rsidP="000A5389">
            <w:pPr>
              <w:spacing w:line="240" w:lineRule="auto"/>
              <w:rPr>
                <w:rFonts w:eastAsia="Times New Roman" w:cs="Times New Roman"/>
                <w:b/>
                <w:bCs/>
                <w:color w:val="000000"/>
                <w:kern w:val="0"/>
                <w:sz w:val="18"/>
                <w:szCs w:val="18"/>
                <w:lang w:eastAsia="es-CO"/>
                <w14:ligatures w14:val="none"/>
              </w:rPr>
            </w:pPr>
            <w:r w:rsidRPr="00951AB1">
              <w:rPr>
                <w:rFonts w:eastAsia="Times New Roman" w:cs="Times New Roman"/>
                <w:b/>
                <w:bCs/>
                <w:color w:val="000000"/>
                <w:kern w:val="0"/>
                <w:sz w:val="18"/>
                <w:szCs w:val="18"/>
                <w:lang w:eastAsia="es-CO"/>
                <w14:ligatures w14:val="none"/>
              </w:rPr>
              <w:t>INGRESOS FISCALES</w:t>
            </w:r>
          </w:p>
        </w:tc>
        <w:tc>
          <w:tcPr>
            <w:tcW w:w="1043" w:type="pct"/>
            <w:noWrap/>
            <w:vAlign w:val="center"/>
            <w:hideMark/>
          </w:tcPr>
          <w:p w14:paraId="63476591" w14:textId="270587C6" w:rsidR="00C772BD" w:rsidRPr="00951AB1" w:rsidRDefault="00C772BD" w:rsidP="000A5389">
            <w:pPr>
              <w:spacing w:line="240" w:lineRule="auto"/>
              <w:jc w:val="right"/>
              <w:rPr>
                <w:rFonts w:eastAsia="Times New Roman" w:cs="Times New Roman"/>
                <w:b/>
                <w:bCs/>
                <w:color w:val="000000"/>
                <w:kern w:val="0"/>
                <w:sz w:val="18"/>
                <w:szCs w:val="18"/>
                <w:lang w:eastAsia="es-CO"/>
                <w14:ligatures w14:val="none"/>
              </w:rPr>
            </w:pPr>
            <w:r w:rsidRPr="00951AB1">
              <w:rPr>
                <w:rFonts w:eastAsia="Times New Roman" w:cs="Times New Roman"/>
                <w:b/>
                <w:bCs/>
                <w:color w:val="000000"/>
                <w:kern w:val="0"/>
                <w:sz w:val="18"/>
                <w:szCs w:val="18"/>
                <w:lang w:eastAsia="es-CO"/>
                <w14:ligatures w14:val="none"/>
              </w:rPr>
              <w:t>396.535.303.199</w:t>
            </w:r>
          </w:p>
        </w:tc>
        <w:tc>
          <w:tcPr>
            <w:tcW w:w="803" w:type="pct"/>
            <w:noWrap/>
            <w:vAlign w:val="center"/>
            <w:hideMark/>
          </w:tcPr>
          <w:p w14:paraId="451051F4" w14:textId="31F060EC" w:rsidR="00C772BD" w:rsidRPr="00951AB1" w:rsidRDefault="00C772BD" w:rsidP="000A5389">
            <w:pPr>
              <w:spacing w:line="240" w:lineRule="auto"/>
              <w:jc w:val="right"/>
              <w:rPr>
                <w:rFonts w:eastAsia="Times New Roman" w:cs="Times New Roman"/>
                <w:b/>
                <w:bCs/>
                <w:color w:val="000000"/>
                <w:kern w:val="0"/>
                <w:sz w:val="18"/>
                <w:szCs w:val="18"/>
                <w:lang w:eastAsia="es-CO"/>
                <w14:ligatures w14:val="none"/>
              </w:rPr>
            </w:pPr>
            <w:r w:rsidRPr="00951AB1">
              <w:rPr>
                <w:rFonts w:eastAsia="Times New Roman" w:cs="Times New Roman"/>
                <w:b/>
                <w:bCs/>
                <w:color w:val="000000"/>
                <w:kern w:val="0"/>
                <w:sz w:val="18"/>
                <w:szCs w:val="18"/>
                <w:lang w:eastAsia="es-CO"/>
                <w14:ligatures w14:val="none"/>
              </w:rPr>
              <w:t>0</w:t>
            </w:r>
          </w:p>
        </w:tc>
        <w:tc>
          <w:tcPr>
            <w:tcW w:w="784" w:type="pct"/>
            <w:noWrap/>
            <w:vAlign w:val="center"/>
            <w:hideMark/>
          </w:tcPr>
          <w:p w14:paraId="1E24D529" w14:textId="3177E8C3" w:rsidR="00C772BD" w:rsidRPr="00951AB1" w:rsidRDefault="00C772BD" w:rsidP="000A5389">
            <w:pPr>
              <w:spacing w:line="240" w:lineRule="auto"/>
              <w:jc w:val="right"/>
              <w:rPr>
                <w:rFonts w:eastAsia="Times New Roman" w:cs="Times New Roman"/>
                <w:b/>
                <w:bCs/>
                <w:color w:val="000000"/>
                <w:kern w:val="0"/>
                <w:sz w:val="18"/>
                <w:szCs w:val="18"/>
                <w:lang w:eastAsia="es-CO"/>
                <w14:ligatures w14:val="none"/>
              </w:rPr>
            </w:pPr>
            <w:r w:rsidRPr="00951AB1">
              <w:rPr>
                <w:rFonts w:eastAsia="Times New Roman" w:cs="Times New Roman"/>
                <w:b/>
                <w:bCs/>
                <w:color w:val="000000"/>
                <w:kern w:val="0"/>
                <w:sz w:val="18"/>
                <w:szCs w:val="18"/>
                <w:lang w:eastAsia="es-CO"/>
                <w14:ligatures w14:val="none"/>
              </w:rPr>
              <w:t>396.535.303.199</w:t>
            </w:r>
          </w:p>
        </w:tc>
        <w:tc>
          <w:tcPr>
            <w:tcW w:w="525" w:type="pct"/>
            <w:vAlign w:val="center"/>
            <w:hideMark/>
          </w:tcPr>
          <w:p w14:paraId="06123F5E" w14:textId="1B096136" w:rsidR="00C772BD" w:rsidRPr="00951AB1" w:rsidRDefault="001762AB" w:rsidP="000A5389">
            <w:pPr>
              <w:spacing w:line="240" w:lineRule="auto"/>
              <w:jc w:val="center"/>
              <w:rPr>
                <w:rFonts w:eastAsia="Times New Roman" w:cs="Times New Roman"/>
                <w:b/>
                <w:bCs/>
                <w:color w:val="000000"/>
                <w:kern w:val="0"/>
                <w:sz w:val="18"/>
                <w:szCs w:val="18"/>
                <w:lang w:eastAsia="es-CO"/>
                <w14:ligatures w14:val="none"/>
              </w:rPr>
            </w:pPr>
            <w:r w:rsidRPr="00951AB1">
              <w:rPr>
                <w:rFonts w:eastAsia="Times New Roman" w:cs="Times New Roman"/>
                <w:b/>
                <w:bCs/>
                <w:color w:val="000000"/>
                <w:kern w:val="0"/>
                <w:sz w:val="18"/>
                <w:szCs w:val="18"/>
                <w:lang w:eastAsia="es-CO"/>
                <w14:ligatures w14:val="none"/>
              </w:rPr>
              <w:t>0</w:t>
            </w:r>
          </w:p>
        </w:tc>
      </w:tr>
      <w:tr w:rsidR="00C772BD" w:rsidRPr="00951AB1" w14:paraId="57BA7D77" w14:textId="77777777" w:rsidTr="00C772BD">
        <w:trPr>
          <w:trHeight w:val="570"/>
        </w:trPr>
        <w:tc>
          <w:tcPr>
            <w:tcW w:w="462" w:type="pct"/>
            <w:noWrap/>
            <w:vAlign w:val="center"/>
            <w:hideMark/>
          </w:tcPr>
          <w:p w14:paraId="2D60D2B8" w14:textId="77777777" w:rsidR="0026235B" w:rsidRPr="00951AB1" w:rsidRDefault="0026235B" w:rsidP="000A5389">
            <w:pPr>
              <w:spacing w:line="240" w:lineRule="auto"/>
              <w:rPr>
                <w:rFonts w:eastAsia="Times New Roman" w:cs="Times New Roman"/>
                <w:b/>
                <w:bCs/>
                <w:color w:val="000000"/>
                <w:kern w:val="0"/>
                <w:sz w:val="18"/>
                <w:szCs w:val="18"/>
                <w:lang w:eastAsia="es-CO"/>
                <w14:ligatures w14:val="none"/>
              </w:rPr>
            </w:pPr>
            <w:r w:rsidRPr="00951AB1">
              <w:rPr>
                <w:rFonts w:eastAsia="Times New Roman" w:cs="Times New Roman"/>
                <w:b/>
                <w:bCs/>
                <w:color w:val="000000"/>
                <w:kern w:val="0"/>
                <w:sz w:val="18"/>
                <w:szCs w:val="18"/>
                <w:lang w:eastAsia="es-CO"/>
                <w14:ligatures w14:val="none"/>
              </w:rPr>
              <w:t>4.1.10</w:t>
            </w:r>
          </w:p>
        </w:tc>
        <w:tc>
          <w:tcPr>
            <w:tcW w:w="198" w:type="pct"/>
            <w:noWrap/>
            <w:vAlign w:val="center"/>
            <w:hideMark/>
          </w:tcPr>
          <w:p w14:paraId="7680A2AD" w14:textId="77777777" w:rsidR="0026235B" w:rsidRPr="00951AB1" w:rsidRDefault="0026235B" w:rsidP="000A5389">
            <w:pPr>
              <w:spacing w:line="240" w:lineRule="auto"/>
              <w:jc w:val="center"/>
              <w:rPr>
                <w:rFonts w:eastAsia="Times New Roman" w:cs="Times New Roman"/>
                <w:b/>
                <w:bCs/>
                <w:color w:val="000000"/>
                <w:kern w:val="0"/>
                <w:sz w:val="18"/>
                <w:szCs w:val="18"/>
                <w:lang w:eastAsia="es-CO"/>
                <w14:ligatures w14:val="none"/>
              </w:rPr>
            </w:pPr>
            <w:r w:rsidRPr="00951AB1">
              <w:rPr>
                <w:rFonts w:eastAsia="Times New Roman" w:cs="Times New Roman"/>
                <w:b/>
                <w:bCs/>
                <w:color w:val="000000"/>
                <w:kern w:val="0"/>
                <w:sz w:val="18"/>
                <w:szCs w:val="18"/>
                <w:lang w:eastAsia="es-CO"/>
                <w14:ligatures w14:val="none"/>
              </w:rPr>
              <w:t>Cr</w:t>
            </w:r>
          </w:p>
        </w:tc>
        <w:tc>
          <w:tcPr>
            <w:tcW w:w="1185" w:type="pct"/>
            <w:vAlign w:val="center"/>
            <w:hideMark/>
          </w:tcPr>
          <w:p w14:paraId="3FEDABC7" w14:textId="77777777" w:rsidR="0026235B" w:rsidRPr="00951AB1" w:rsidRDefault="0026235B" w:rsidP="000A5389">
            <w:pPr>
              <w:spacing w:line="240" w:lineRule="auto"/>
              <w:rPr>
                <w:rFonts w:eastAsia="Times New Roman" w:cs="Times New Roman"/>
                <w:b/>
                <w:bCs/>
                <w:color w:val="000000"/>
                <w:kern w:val="0"/>
                <w:sz w:val="18"/>
                <w:szCs w:val="18"/>
                <w:lang w:eastAsia="es-CO"/>
                <w14:ligatures w14:val="none"/>
              </w:rPr>
            </w:pPr>
            <w:r w:rsidRPr="00951AB1">
              <w:rPr>
                <w:rFonts w:eastAsia="Times New Roman" w:cs="Times New Roman"/>
                <w:b/>
                <w:bCs/>
                <w:color w:val="000000"/>
                <w:kern w:val="0"/>
                <w:sz w:val="18"/>
                <w:szCs w:val="18"/>
                <w:lang w:eastAsia="es-CO"/>
                <w14:ligatures w14:val="none"/>
              </w:rPr>
              <w:t>Contribuciones, Tasas E Ingresos No Tributarios</w:t>
            </w:r>
          </w:p>
        </w:tc>
        <w:tc>
          <w:tcPr>
            <w:tcW w:w="1043" w:type="pct"/>
            <w:noWrap/>
            <w:vAlign w:val="center"/>
            <w:hideMark/>
          </w:tcPr>
          <w:p w14:paraId="1BE3BE8C" w14:textId="77777777" w:rsidR="0026235B" w:rsidRPr="00951AB1" w:rsidRDefault="0026235B" w:rsidP="000A5389">
            <w:pPr>
              <w:spacing w:line="240" w:lineRule="auto"/>
              <w:jc w:val="right"/>
              <w:rPr>
                <w:rFonts w:eastAsia="Times New Roman" w:cs="Times New Roman"/>
                <w:b/>
                <w:bCs/>
                <w:color w:val="000000"/>
                <w:kern w:val="0"/>
                <w:sz w:val="18"/>
                <w:szCs w:val="18"/>
                <w:lang w:eastAsia="es-CO"/>
                <w14:ligatures w14:val="none"/>
              </w:rPr>
            </w:pPr>
            <w:r w:rsidRPr="00951AB1">
              <w:rPr>
                <w:rFonts w:eastAsia="Times New Roman" w:cs="Times New Roman"/>
                <w:b/>
                <w:bCs/>
                <w:color w:val="000000"/>
                <w:kern w:val="0"/>
                <w:sz w:val="18"/>
                <w:szCs w:val="18"/>
                <w:lang w:eastAsia="es-CO"/>
                <w14:ligatures w14:val="none"/>
              </w:rPr>
              <w:t>396.535.303.199</w:t>
            </w:r>
          </w:p>
        </w:tc>
        <w:tc>
          <w:tcPr>
            <w:tcW w:w="803" w:type="pct"/>
            <w:noWrap/>
            <w:vAlign w:val="center"/>
            <w:hideMark/>
          </w:tcPr>
          <w:p w14:paraId="0B11BEC1" w14:textId="01BC0EE5" w:rsidR="0026235B" w:rsidRPr="00951AB1" w:rsidRDefault="001762AB" w:rsidP="000A5389">
            <w:pPr>
              <w:spacing w:line="240" w:lineRule="auto"/>
              <w:jc w:val="right"/>
              <w:rPr>
                <w:rFonts w:eastAsia="Times New Roman" w:cs="Times New Roman"/>
                <w:b/>
                <w:bCs/>
                <w:color w:val="000000"/>
                <w:kern w:val="0"/>
                <w:sz w:val="18"/>
                <w:szCs w:val="18"/>
                <w:lang w:eastAsia="es-CO"/>
                <w14:ligatures w14:val="none"/>
              </w:rPr>
            </w:pPr>
            <w:r w:rsidRPr="00951AB1">
              <w:rPr>
                <w:rFonts w:eastAsia="Times New Roman" w:cs="Times New Roman"/>
                <w:b/>
                <w:bCs/>
                <w:color w:val="000000"/>
                <w:kern w:val="0"/>
                <w:sz w:val="18"/>
                <w:szCs w:val="18"/>
                <w:lang w:eastAsia="es-CO"/>
                <w14:ligatures w14:val="none"/>
              </w:rPr>
              <w:t>0</w:t>
            </w:r>
          </w:p>
        </w:tc>
        <w:tc>
          <w:tcPr>
            <w:tcW w:w="784" w:type="pct"/>
            <w:noWrap/>
            <w:vAlign w:val="center"/>
            <w:hideMark/>
          </w:tcPr>
          <w:p w14:paraId="42CFA6F0" w14:textId="31AC3B66" w:rsidR="0026235B" w:rsidRPr="00951AB1" w:rsidRDefault="0026235B" w:rsidP="000A5389">
            <w:pPr>
              <w:spacing w:line="240" w:lineRule="auto"/>
              <w:jc w:val="right"/>
              <w:rPr>
                <w:rFonts w:eastAsia="Times New Roman" w:cs="Times New Roman"/>
                <w:b/>
                <w:bCs/>
                <w:color w:val="000000"/>
                <w:kern w:val="0"/>
                <w:sz w:val="18"/>
                <w:szCs w:val="18"/>
                <w:lang w:eastAsia="es-CO"/>
                <w14:ligatures w14:val="none"/>
              </w:rPr>
            </w:pPr>
            <w:r w:rsidRPr="00951AB1">
              <w:rPr>
                <w:rFonts w:eastAsia="Times New Roman" w:cs="Times New Roman"/>
                <w:b/>
                <w:bCs/>
                <w:color w:val="000000"/>
                <w:kern w:val="0"/>
                <w:sz w:val="18"/>
                <w:szCs w:val="18"/>
                <w:lang w:eastAsia="es-CO"/>
                <w14:ligatures w14:val="none"/>
              </w:rPr>
              <w:t>396.535.303.199</w:t>
            </w:r>
          </w:p>
        </w:tc>
        <w:tc>
          <w:tcPr>
            <w:tcW w:w="525" w:type="pct"/>
            <w:vAlign w:val="center"/>
            <w:hideMark/>
          </w:tcPr>
          <w:p w14:paraId="33442133" w14:textId="1041154C" w:rsidR="0026235B" w:rsidRPr="00951AB1" w:rsidRDefault="001762AB" w:rsidP="000A5389">
            <w:pPr>
              <w:spacing w:line="240" w:lineRule="auto"/>
              <w:jc w:val="center"/>
              <w:rPr>
                <w:rFonts w:eastAsia="Times New Roman" w:cs="Times New Roman"/>
                <w:b/>
                <w:bCs/>
                <w:color w:val="000000"/>
                <w:kern w:val="0"/>
                <w:sz w:val="18"/>
                <w:szCs w:val="18"/>
                <w:lang w:eastAsia="es-CO"/>
                <w14:ligatures w14:val="none"/>
              </w:rPr>
            </w:pPr>
            <w:r w:rsidRPr="00951AB1">
              <w:rPr>
                <w:rFonts w:eastAsia="Times New Roman" w:cs="Times New Roman"/>
                <w:b/>
                <w:bCs/>
                <w:color w:val="000000"/>
                <w:kern w:val="0"/>
                <w:sz w:val="18"/>
                <w:szCs w:val="18"/>
                <w:lang w:eastAsia="es-CO"/>
                <w14:ligatures w14:val="none"/>
              </w:rPr>
              <w:t>0</w:t>
            </w:r>
          </w:p>
        </w:tc>
      </w:tr>
      <w:tr w:rsidR="00C772BD" w:rsidRPr="00951AB1" w14:paraId="3ECDA0AA" w14:textId="77777777" w:rsidTr="00C772BD">
        <w:trPr>
          <w:trHeight w:val="300"/>
        </w:trPr>
        <w:tc>
          <w:tcPr>
            <w:tcW w:w="462" w:type="pct"/>
            <w:noWrap/>
            <w:vAlign w:val="center"/>
            <w:hideMark/>
          </w:tcPr>
          <w:p w14:paraId="286C1333" w14:textId="77777777" w:rsidR="0026235B" w:rsidRPr="00951AB1" w:rsidRDefault="0026235B" w:rsidP="000A5389">
            <w:pPr>
              <w:spacing w:line="240" w:lineRule="auto"/>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4.1.10.34</w:t>
            </w:r>
          </w:p>
        </w:tc>
        <w:tc>
          <w:tcPr>
            <w:tcW w:w="198" w:type="pct"/>
            <w:noWrap/>
            <w:vAlign w:val="center"/>
            <w:hideMark/>
          </w:tcPr>
          <w:p w14:paraId="5529649E" w14:textId="77777777" w:rsidR="0026235B" w:rsidRPr="00951AB1" w:rsidRDefault="0026235B" w:rsidP="000A5389">
            <w:pPr>
              <w:spacing w:line="240" w:lineRule="auto"/>
              <w:jc w:val="center"/>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Cr</w:t>
            </w:r>
          </w:p>
        </w:tc>
        <w:tc>
          <w:tcPr>
            <w:tcW w:w="1185" w:type="pct"/>
            <w:vAlign w:val="center"/>
            <w:hideMark/>
          </w:tcPr>
          <w:p w14:paraId="3005DA1D" w14:textId="77777777" w:rsidR="0026235B" w:rsidRPr="00951AB1" w:rsidRDefault="0026235B" w:rsidP="000A5389">
            <w:pPr>
              <w:spacing w:line="240" w:lineRule="auto"/>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Derechos de tránsito</w:t>
            </w:r>
          </w:p>
        </w:tc>
        <w:tc>
          <w:tcPr>
            <w:tcW w:w="1043" w:type="pct"/>
            <w:noWrap/>
            <w:vAlign w:val="center"/>
            <w:hideMark/>
          </w:tcPr>
          <w:p w14:paraId="6B8D66C5" w14:textId="77777777" w:rsidR="0026235B" w:rsidRPr="00951AB1" w:rsidRDefault="0026235B"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182.490.692.568</w:t>
            </w:r>
          </w:p>
        </w:tc>
        <w:tc>
          <w:tcPr>
            <w:tcW w:w="803" w:type="pct"/>
            <w:noWrap/>
            <w:vAlign w:val="center"/>
            <w:hideMark/>
          </w:tcPr>
          <w:p w14:paraId="2AAC8469" w14:textId="754CDC50" w:rsidR="0026235B" w:rsidRPr="00951AB1" w:rsidRDefault="0026235B"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0</w:t>
            </w:r>
          </w:p>
        </w:tc>
        <w:tc>
          <w:tcPr>
            <w:tcW w:w="784" w:type="pct"/>
            <w:noWrap/>
            <w:vAlign w:val="center"/>
            <w:hideMark/>
          </w:tcPr>
          <w:p w14:paraId="376078E7" w14:textId="58B34B3D" w:rsidR="0026235B" w:rsidRPr="00951AB1" w:rsidRDefault="0026235B"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182.490.692.568</w:t>
            </w:r>
          </w:p>
        </w:tc>
        <w:tc>
          <w:tcPr>
            <w:tcW w:w="525" w:type="pct"/>
            <w:vAlign w:val="center"/>
            <w:hideMark/>
          </w:tcPr>
          <w:p w14:paraId="0B0AF7B5" w14:textId="3DDF68A5" w:rsidR="0026235B" w:rsidRPr="00951AB1" w:rsidRDefault="001762AB" w:rsidP="000A5389">
            <w:pPr>
              <w:spacing w:line="240" w:lineRule="auto"/>
              <w:jc w:val="center"/>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0</w:t>
            </w:r>
          </w:p>
        </w:tc>
      </w:tr>
      <w:tr w:rsidR="00C772BD" w:rsidRPr="00951AB1" w14:paraId="268114B4" w14:textId="77777777" w:rsidTr="00C772BD">
        <w:trPr>
          <w:trHeight w:val="600"/>
        </w:trPr>
        <w:tc>
          <w:tcPr>
            <w:tcW w:w="462" w:type="pct"/>
            <w:noWrap/>
            <w:vAlign w:val="center"/>
            <w:hideMark/>
          </w:tcPr>
          <w:p w14:paraId="71995F4A" w14:textId="77777777" w:rsidR="0026235B" w:rsidRPr="00951AB1" w:rsidRDefault="0026235B" w:rsidP="000A5389">
            <w:pPr>
              <w:spacing w:line="240" w:lineRule="auto"/>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4.1.10.59</w:t>
            </w:r>
          </w:p>
        </w:tc>
        <w:tc>
          <w:tcPr>
            <w:tcW w:w="198" w:type="pct"/>
            <w:noWrap/>
            <w:vAlign w:val="center"/>
            <w:hideMark/>
          </w:tcPr>
          <w:p w14:paraId="23E9894E" w14:textId="77777777" w:rsidR="0026235B" w:rsidRPr="00951AB1" w:rsidRDefault="0026235B" w:rsidP="000A5389">
            <w:pPr>
              <w:spacing w:line="240" w:lineRule="auto"/>
              <w:jc w:val="center"/>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Cr</w:t>
            </w:r>
          </w:p>
        </w:tc>
        <w:tc>
          <w:tcPr>
            <w:tcW w:w="1185" w:type="pct"/>
            <w:vAlign w:val="center"/>
            <w:hideMark/>
          </w:tcPr>
          <w:p w14:paraId="51452CB5" w14:textId="77777777" w:rsidR="0026235B" w:rsidRPr="00951AB1" w:rsidRDefault="0026235B" w:rsidP="000A5389">
            <w:pPr>
              <w:spacing w:line="240" w:lineRule="auto"/>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Derechos de explotación no relacionados con la infraestructura de transporte</w:t>
            </w:r>
          </w:p>
        </w:tc>
        <w:tc>
          <w:tcPr>
            <w:tcW w:w="1043" w:type="pct"/>
            <w:noWrap/>
            <w:vAlign w:val="center"/>
            <w:hideMark/>
          </w:tcPr>
          <w:p w14:paraId="65D0FE82" w14:textId="77777777" w:rsidR="0026235B" w:rsidRPr="00951AB1" w:rsidRDefault="0026235B"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113.845.886.733</w:t>
            </w:r>
          </w:p>
        </w:tc>
        <w:tc>
          <w:tcPr>
            <w:tcW w:w="803" w:type="pct"/>
            <w:noWrap/>
            <w:vAlign w:val="center"/>
            <w:hideMark/>
          </w:tcPr>
          <w:p w14:paraId="1DC0AA81" w14:textId="0CEB7DEC" w:rsidR="0026235B" w:rsidRPr="00951AB1" w:rsidRDefault="001762AB"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0</w:t>
            </w:r>
          </w:p>
        </w:tc>
        <w:tc>
          <w:tcPr>
            <w:tcW w:w="784" w:type="pct"/>
            <w:noWrap/>
            <w:vAlign w:val="center"/>
            <w:hideMark/>
          </w:tcPr>
          <w:p w14:paraId="0359D236" w14:textId="2899F7B9" w:rsidR="0026235B" w:rsidRPr="00951AB1" w:rsidRDefault="0026235B"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113.845.886.733</w:t>
            </w:r>
          </w:p>
        </w:tc>
        <w:tc>
          <w:tcPr>
            <w:tcW w:w="525" w:type="pct"/>
            <w:vAlign w:val="center"/>
            <w:hideMark/>
          </w:tcPr>
          <w:p w14:paraId="27E20FB3" w14:textId="2A01803E" w:rsidR="0026235B" w:rsidRPr="00951AB1" w:rsidRDefault="001762AB" w:rsidP="000A5389">
            <w:pPr>
              <w:spacing w:line="240" w:lineRule="auto"/>
              <w:jc w:val="center"/>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0</w:t>
            </w:r>
          </w:p>
        </w:tc>
      </w:tr>
      <w:tr w:rsidR="00C772BD" w:rsidRPr="00951AB1" w14:paraId="603F5F2A" w14:textId="77777777" w:rsidTr="00C772BD">
        <w:trPr>
          <w:trHeight w:val="300"/>
        </w:trPr>
        <w:tc>
          <w:tcPr>
            <w:tcW w:w="462" w:type="pct"/>
            <w:noWrap/>
            <w:vAlign w:val="center"/>
            <w:hideMark/>
          </w:tcPr>
          <w:p w14:paraId="41040C97" w14:textId="77777777" w:rsidR="0026235B" w:rsidRPr="00951AB1" w:rsidRDefault="0026235B" w:rsidP="000A5389">
            <w:pPr>
              <w:spacing w:line="240" w:lineRule="auto"/>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4.1.10.02</w:t>
            </w:r>
          </w:p>
        </w:tc>
        <w:tc>
          <w:tcPr>
            <w:tcW w:w="198" w:type="pct"/>
            <w:noWrap/>
            <w:vAlign w:val="center"/>
            <w:hideMark/>
          </w:tcPr>
          <w:p w14:paraId="5363D678" w14:textId="77777777" w:rsidR="0026235B" w:rsidRPr="00951AB1" w:rsidRDefault="0026235B" w:rsidP="000A5389">
            <w:pPr>
              <w:spacing w:line="240" w:lineRule="auto"/>
              <w:jc w:val="center"/>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Cr</w:t>
            </w:r>
          </w:p>
        </w:tc>
        <w:tc>
          <w:tcPr>
            <w:tcW w:w="1185" w:type="pct"/>
            <w:vAlign w:val="center"/>
            <w:hideMark/>
          </w:tcPr>
          <w:p w14:paraId="38279CBA" w14:textId="77777777" w:rsidR="0026235B" w:rsidRPr="00951AB1" w:rsidRDefault="0026235B" w:rsidP="000A5389">
            <w:pPr>
              <w:spacing w:line="240" w:lineRule="auto"/>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Multas y sanciones</w:t>
            </w:r>
          </w:p>
        </w:tc>
        <w:tc>
          <w:tcPr>
            <w:tcW w:w="1043" w:type="pct"/>
            <w:noWrap/>
            <w:vAlign w:val="center"/>
            <w:hideMark/>
          </w:tcPr>
          <w:p w14:paraId="62B44AF5" w14:textId="77777777" w:rsidR="0026235B" w:rsidRPr="00951AB1" w:rsidRDefault="0026235B"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100.198.723.898</w:t>
            </w:r>
          </w:p>
        </w:tc>
        <w:tc>
          <w:tcPr>
            <w:tcW w:w="803" w:type="pct"/>
            <w:noWrap/>
            <w:vAlign w:val="center"/>
            <w:hideMark/>
          </w:tcPr>
          <w:p w14:paraId="39AC8C78" w14:textId="6475564D" w:rsidR="0026235B" w:rsidRPr="00951AB1" w:rsidRDefault="001762AB"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0</w:t>
            </w:r>
          </w:p>
        </w:tc>
        <w:tc>
          <w:tcPr>
            <w:tcW w:w="784" w:type="pct"/>
            <w:noWrap/>
            <w:vAlign w:val="center"/>
            <w:hideMark/>
          </w:tcPr>
          <w:p w14:paraId="2B95ADEA" w14:textId="05E46817" w:rsidR="0026235B" w:rsidRPr="00951AB1" w:rsidRDefault="0026235B"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100.198.723.89</w:t>
            </w:r>
            <w:r w:rsidR="00C772BD" w:rsidRPr="00951AB1">
              <w:rPr>
                <w:rFonts w:eastAsia="Times New Roman" w:cs="Times New Roman"/>
                <w:color w:val="000000"/>
                <w:kern w:val="0"/>
                <w:sz w:val="18"/>
                <w:szCs w:val="18"/>
                <w:lang w:eastAsia="es-CO"/>
                <w14:ligatures w14:val="none"/>
              </w:rPr>
              <w:t>8</w:t>
            </w:r>
          </w:p>
        </w:tc>
        <w:tc>
          <w:tcPr>
            <w:tcW w:w="525" w:type="pct"/>
            <w:vAlign w:val="center"/>
            <w:hideMark/>
          </w:tcPr>
          <w:p w14:paraId="283DA713" w14:textId="4D460DD8" w:rsidR="0026235B" w:rsidRPr="00951AB1" w:rsidRDefault="001762AB" w:rsidP="000A5389">
            <w:pPr>
              <w:spacing w:line="240" w:lineRule="auto"/>
              <w:jc w:val="center"/>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0</w:t>
            </w:r>
          </w:p>
        </w:tc>
      </w:tr>
    </w:tbl>
    <w:p w14:paraId="7EE552D9" w14:textId="77777777" w:rsidR="00AA777F" w:rsidRPr="00951AB1" w:rsidRDefault="00AA777F" w:rsidP="000A5389">
      <w:pPr>
        <w:spacing w:line="240" w:lineRule="auto"/>
        <w:ind w:left="-20" w:right="-20"/>
        <w:rPr>
          <w:rFonts w:cs="Times New Roman"/>
        </w:rPr>
      </w:pPr>
      <w:r w:rsidRPr="00951AB1">
        <w:rPr>
          <w:rFonts w:eastAsia="Times New Roman" w:cs="Times New Roman"/>
          <w:sz w:val="14"/>
          <w:szCs w:val="14"/>
          <w:lang w:val="es-ES"/>
        </w:rPr>
        <w:t>Cifras expresadas en pesos</w:t>
      </w:r>
      <w:r w:rsidRPr="00951AB1">
        <w:rPr>
          <w:rFonts w:eastAsia="Times New Roman" w:cs="Times New Roman"/>
          <w:szCs w:val="24"/>
          <w:lang w:val="es-ES"/>
        </w:rPr>
        <w:t xml:space="preserve"> </w:t>
      </w:r>
    </w:p>
    <w:p w14:paraId="02DBC94C" w14:textId="77777777" w:rsidR="00C23490" w:rsidRPr="00951AB1" w:rsidRDefault="00C23490" w:rsidP="000A5389">
      <w:pPr>
        <w:spacing w:line="240" w:lineRule="auto"/>
        <w:rPr>
          <w:rFonts w:cs="Times New Roman"/>
        </w:rPr>
      </w:pPr>
    </w:p>
    <w:p w14:paraId="313A0DCB" w14:textId="76307818" w:rsidR="004C4845" w:rsidRDefault="004C4845" w:rsidP="000A5389">
      <w:pPr>
        <w:spacing w:line="240" w:lineRule="auto"/>
        <w:rPr>
          <w:rFonts w:eastAsia="Times New Roman" w:cs="Times New Roman"/>
          <w:szCs w:val="24"/>
          <w:lang w:val="es-ES"/>
        </w:rPr>
      </w:pPr>
      <w:r w:rsidRPr="00951AB1">
        <w:rPr>
          <w:rFonts w:eastAsia="Times New Roman" w:cs="Times New Roman"/>
          <w:szCs w:val="24"/>
          <w:lang w:val="es-ES"/>
        </w:rPr>
        <w:t>A continuación, se detalla la composición de los ingresos por concepto de derechos de tránsito percibidos durante la vigencia 202</w:t>
      </w:r>
      <w:r w:rsidR="009A4321" w:rsidRPr="00951AB1">
        <w:rPr>
          <w:rFonts w:eastAsia="Times New Roman" w:cs="Times New Roman"/>
          <w:szCs w:val="24"/>
          <w:lang w:val="es-ES"/>
        </w:rPr>
        <w:t>5</w:t>
      </w:r>
      <w:r w:rsidRPr="00951AB1">
        <w:rPr>
          <w:rFonts w:eastAsia="Times New Roman" w:cs="Times New Roman"/>
          <w:szCs w:val="24"/>
          <w:lang w:val="es-ES"/>
        </w:rPr>
        <w:t>, en virtud de la información suministrada por la Gerencia de Proyectos Férreos de la Vicepresidencia Contractual de la ANI, a nivel de terceros:</w:t>
      </w:r>
    </w:p>
    <w:p w14:paraId="466C8103" w14:textId="77777777" w:rsidR="001762AB" w:rsidRPr="00951AB1" w:rsidRDefault="001762AB" w:rsidP="000A5389">
      <w:pPr>
        <w:spacing w:line="240" w:lineRule="auto"/>
        <w:rPr>
          <w:rFonts w:eastAsia="Times New Roman" w:cs="Times New Roman"/>
          <w:szCs w:val="24"/>
          <w:lang w:val="es-ES"/>
        </w:rPr>
      </w:pPr>
    </w:p>
    <w:tbl>
      <w:tblPr>
        <w:tblW w:w="5000" w:type="pct"/>
        <w:tbl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insideH w:val="single" w:sz="2" w:space="0" w:color="A6A6A6" w:themeColor="background1" w:themeShade="A6"/>
          <w:insideV w:val="single" w:sz="2" w:space="0" w:color="A6A6A6" w:themeColor="background1" w:themeShade="A6"/>
        </w:tblBorders>
        <w:tblCellMar>
          <w:left w:w="70" w:type="dxa"/>
          <w:right w:w="70" w:type="dxa"/>
        </w:tblCellMar>
        <w:tblLook w:val="04A0" w:firstRow="1" w:lastRow="0" w:firstColumn="1" w:lastColumn="0" w:noHBand="0" w:noVBand="1"/>
      </w:tblPr>
      <w:tblGrid>
        <w:gridCol w:w="6301"/>
        <w:gridCol w:w="2531"/>
      </w:tblGrid>
      <w:tr w:rsidR="00F65979" w:rsidRPr="00951AB1" w14:paraId="3C6292A6" w14:textId="77777777" w:rsidTr="001762AB">
        <w:trPr>
          <w:trHeight w:val="300"/>
        </w:trPr>
        <w:tc>
          <w:tcPr>
            <w:tcW w:w="3567" w:type="pct"/>
            <w:vAlign w:val="center"/>
          </w:tcPr>
          <w:p w14:paraId="09E971B3" w14:textId="03F9701F" w:rsidR="0F96F722" w:rsidRPr="5B0C84B6" w:rsidRDefault="0F96F722" w:rsidP="000A5389">
            <w:pPr>
              <w:spacing w:line="240" w:lineRule="auto"/>
              <w:jc w:val="center"/>
              <w:rPr>
                <w:rFonts w:eastAsia="Times New Roman" w:cs="Times New Roman"/>
                <w:b/>
                <w:bCs/>
                <w:color w:val="000000" w:themeColor="text1"/>
                <w:sz w:val="18"/>
                <w:szCs w:val="18"/>
                <w:lang w:eastAsia="es-CO"/>
              </w:rPr>
            </w:pPr>
            <w:r w:rsidRPr="5B0C84B6">
              <w:rPr>
                <w:rFonts w:eastAsia="Times New Roman" w:cs="Times New Roman"/>
                <w:b/>
                <w:bCs/>
                <w:color w:val="000000" w:themeColor="text1"/>
                <w:sz w:val="18"/>
                <w:szCs w:val="18"/>
                <w:lang w:eastAsia="es-CO"/>
              </w:rPr>
              <w:t>ENTIDAD</w:t>
            </w:r>
          </w:p>
        </w:tc>
        <w:tc>
          <w:tcPr>
            <w:tcW w:w="1433" w:type="pct"/>
            <w:vAlign w:val="center"/>
            <w:hideMark/>
          </w:tcPr>
          <w:p w14:paraId="65AD1745" w14:textId="77777777" w:rsidR="00F65979" w:rsidRPr="00951AB1" w:rsidRDefault="00F65979" w:rsidP="000A5389">
            <w:pPr>
              <w:spacing w:line="240" w:lineRule="auto"/>
              <w:jc w:val="center"/>
              <w:rPr>
                <w:rFonts w:eastAsia="Times New Roman" w:cs="Times New Roman"/>
                <w:b/>
                <w:bCs/>
                <w:color w:val="000000"/>
                <w:kern w:val="0"/>
                <w:sz w:val="18"/>
                <w:szCs w:val="18"/>
                <w:lang w:eastAsia="es-CO"/>
                <w14:ligatures w14:val="none"/>
              </w:rPr>
            </w:pPr>
            <w:r w:rsidRPr="00951AB1">
              <w:rPr>
                <w:rFonts w:eastAsia="Times New Roman" w:cs="Times New Roman"/>
                <w:b/>
                <w:bCs/>
                <w:color w:val="000000"/>
                <w:kern w:val="0"/>
                <w:sz w:val="18"/>
                <w:szCs w:val="18"/>
                <w:lang w:eastAsia="es-CO"/>
                <w14:ligatures w14:val="none"/>
              </w:rPr>
              <w:t>VALOR</w:t>
            </w:r>
          </w:p>
        </w:tc>
      </w:tr>
      <w:tr w:rsidR="00F65979" w:rsidRPr="00951AB1" w14:paraId="189E9651" w14:textId="77777777" w:rsidTr="001762AB">
        <w:trPr>
          <w:trHeight w:val="300"/>
        </w:trPr>
        <w:tc>
          <w:tcPr>
            <w:tcW w:w="3567" w:type="pct"/>
            <w:vAlign w:val="center"/>
            <w:hideMark/>
          </w:tcPr>
          <w:p w14:paraId="2F57E831" w14:textId="4546F6AC" w:rsidR="00F65979" w:rsidRPr="00951AB1" w:rsidRDefault="00C772BD" w:rsidP="000A5389">
            <w:pPr>
              <w:spacing w:line="240" w:lineRule="auto"/>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Drummond</w:t>
            </w:r>
            <w:r w:rsidR="00F65979" w:rsidRPr="00951AB1">
              <w:rPr>
                <w:rFonts w:eastAsia="Times New Roman" w:cs="Times New Roman"/>
                <w:color w:val="000000"/>
                <w:kern w:val="0"/>
                <w:sz w:val="18"/>
                <w:szCs w:val="18"/>
                <w:lang w:eastAsia="es-CO"/>
                <w14:ligatures w14:val="none"/>
              </w:rPr>
              <w:t xml:space="preserve"> LTD</w:t>
            </w:r>
          </w:p>
        </w:tc>
        <w:tc>
          <w:tcPr>
            <w:tcW w:w="1433" w:type="pct"/>
            <w:vAlign w:val="center"/>
            <w:hideMark/>
          </w:tcPr>
          <w:p w14:paraId="5A736961" w14:textId="77777777" w:rsidR="00F65979" w:rsidRPr="00951AB1" w:rsidRDefault="00F65979"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164.258.193.870</w:t>
            </w:r>
          </w:p>
        </w:tc>
      </w:tr>
      <w:tr w:rsidR="00F65979" w:rsidRPr="00951AB1" w14:paraId="5A614B49" w14:textId="77777777" w:rsidTr="001762AB">
        <w:trPr>
          <w:trHeight w:val="300"/>
        </w:trPr>
        <w:tc>
          <w:tcPr>
            <w:tcW w:w="3567" w:type="pct"/>
            <w:vAlign w:val="center"/>
            <w:hideMark/>
          </w:tcPr>
          <w:p w14:paraId="77F2BFCD" w14:textId="7ACE5F64" w:rsidR="00F65979" w:rsidRPr="00951AB1" w:rsidRDefault="00C772BD" w:rsidP="000A5389">
            <w:pPr>
              <w:spacing w:line="240" w:lineRule="auto"/>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val="pt-PT" w:eastAsia="es-CO"/>
                <w14:ligatures w14:val="none"/>
              </w:rPr>
              <w:t>C.I. Prodeco S.A.</w:t>
            </w:r>
          </w:p>
        </w:tc>
        <w:tc>
          <w:tcPr>
            <w:tcW w:w="1433" w:type="pct"/>
            <w:vAlign w:val="center"/>
            <w:hideMark/>
          </w:tcPr>
          <w:p w14:paraId="36B50A84" w14:textId="77777777" w:rsidR="00F65979" w:rsidRPr="00951AB1" w:rsidRDefault="00F65979"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9.719.515.399</w:t>
            </w:r>
          </w:p>
        </w:tc>
      </w:tr>
      <w:tr w:rsidR="00F65979" w:rsidRPr="00951AB1" w14:paraId="09B77555" w14:textId="77777777" w:rsidTr="001762AB">
        <w:trPr>
          <w:trHeight w:val="329"/>
        </w:trPr>
        <w:tc>
          <w:tcPr>
            <w:tcW w:w="3567" w:type="pct"/>
            <w:vAlign w:val="center"/>
            <w:hideMark/>
          </w:tcPr>
          <w:p w14:paraId="3A360354" w14:textId="4183DCBF" w:rsidR="00F65979" w:rsidRPr="00951AB1" w:rsidRDefault="00C772BD" w:rsidP="000A5389">
            <w:pPr>
              <w:spacing w:line="240" w:lineRule="auto"/>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Transporte Ferroportuario De Colombia -Transferport S.A.S</w:t>
            </w:r>
          </w:p>
        </w:tc>
        <w:tc>
          <w:tcPr>
            <w:tcW w:w="1433" w:type="pct"/>
            <w:vAlign w:val="center"/>
            <w:hideMark/>
          </w:tcPr>
          <w:p w14:paraId="452A7AD7" w14:textId="77777777" w:rsidR="00F65979" w:rsidRPr="00951AB1" w:rsidRDefault="00C772BD"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7.498.136.034</w:t>
            </w:r>
          </w:p>
        </w:tc>
      </w:tr>
      <w:tr w:rsidR="00E66EAC" w:rsidRPr="00951AB1" w14:paraId="1120D07A" w14:textId="77777777" w:rsidTr="001762AB">
        <w:trPr>
          <w:trHeight w:val="300"/>
        </w:trPr>
        <w:tc>
          <w:tcPr>
            <w:tcW w:w="3567" w:type="pct"/>
            <w:vAlign w:val="center"/>
          </w:tcPr>
          <w:p w14:paraId="619ED981" w14:textId="2211CAEB" w:rsidR="00E66EAC" w:rsidRPr="00951AB1" w:rsidRDefault="00C772BD" w:rsidP="000A5389">
            <w:pPr>
              <w:spacing w:line="240" w:lineRule="auto"/>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Consorcio San Felipe Férreo</w:t>
            </w:r>
          </w:p>
        </w:tc>
        <w:tc>
          <w:tcPr>
            <w:tcW w:w="1433" w:type="pct"/>
            <w:vAlign w:val="center"/>
          </w:tcPr>
          <w:p w14:paraId="260B0DE5" w14:textId="63B323EF" w:rsidR="00E66EAC" w:rsidRPr="00951AB1" w:rsidRDefault="00E66EAC"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557.888.001</w:t>
            </w:r>
          </w:p>
        </w:tc>
      </w:tr>
      <w:tr w:rsidR="00F65979" w:rsidRPr="00951AB1" w14:paraId="014672E1" w14:textId="77777777" w:rsidTr="001762AB">
        <w:trPr>
          <w:trHeight w:val="300"/>
        </w:trPr>
        <w:tc>
          <w:tcPr>
            <w:tcW w:w="3567" w:type="pct"/>
            <w:vAlign w:val="center"/>
            <w:hideMark/>
          </w:tcPr>
          <w:p w14:paraId="16F9A685" w14:textId="2712A0C2" w:rsidR="00F65979" w:rsidRPr="00951AB1" w:rsidRDefault="00C772BD" w:rsidP="000A5389">
            <w:pPr>
              <w:spacing w:line="240" w:lineRule="auto"/>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Consorcio Ctsa - Ingeral</w:t>
            </w:r>
          </w:p>
        </w:tc>
        <w:tc>
          <w:tcPr>
            <w:tcW w:w="1433" w:type="pct"/>
            <w:vAlign w:val="center"/>
            <w:hideMark/>
          </w:tcPr>
          <w:p w14:paraId="0275EE5F" w14:textId="77777777" w:rsidR="00F65979" w:rsidRPr="00951AB1" w:rsidRDefault="00F65979"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434.591.470</w:t>
            </w:r>
          </w:p>
        </w:tc>
      </w:tr>
      <w:tr w:rsidR="00F65979" w:rsidRPr="00951AB1" w14:paraId="7BDE38DB" w14:textId="77777777" w:rsidTr="001762AB">
        <w:trPr>
          <w:trHeight w:val="300"/>
        </w:trPr>
        <w:tc>
          <w:tcPr>
            <w:tcW w:w="3567" w:type="pct"/>
            <w:vAlign w:val="center"/>
            <w:hideMark/>
          </w:tcPr>
          <w:p w14:paraId="4335AA98" w14:textId="7D18F3C1" w:rsidR="00F65979" w:rsidRPr="00951AB1" w:rsidRDefault="00C772BD" w:rsidP="000A5389">
            <w:pPr>
              <w:spacing w:line="240" w:lineRule="auto"/>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Consorcio Ferreobelen C&amp;E</w:t>
            </w:r>
          </w:p>
        </w:tc>
        <w:tc>
          <w:tcPr>
            <w:tcW w:w="1433" w:type="pct"/>
            <w:vAlign w:val="center"/>
            <w:hideMark/>
          </w:tcPr>
          <w:p w14:paraId="7CDE6BE5" w14:textId="77777777" w:rsidR="00F65979" w:rsidRPr="00951AB1" w:rsidRDefault="00F65979"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22.367.794</w:t>
            </w:r>
          </w:p>
        </w:tc>
      </w:tr>
      <w:tr w:rsidR="00C772BD" w:rsidRPr="00951AB1" w14:paraId="3897EEBE" w14:textId="77777777" w:rsidTr="001762AB">
        <w:trPr>
          <w:trHeight w:val="300"/>
        </w:trPr>
        <w:tc>
          <w:tcPr>
            <w:tcW w:w="3567" w:type="pct"/>
            <w:vAlign w:val="center"/>
          </w:tcPr>
          <w:p w14:paraId="018D2217" w14:textId="137D4688" w:rsidR="4110A597" w:rsidRPr="5B0C84B6" w:rsidRDefault="4110A597" w:rsidP="000A5389">
            <w:pPr>
              <w:spacing w:line="240" w:lineRule="auto"/>
              <w:rPr>
                <w:rFonts w:eastAsia="Times New Roman" w:cs="Times New Roman"/>
                <w:b/>
                <w:bCs/>
                <w:color w:val="000000" w:themeColor="text1"/>
                <w:sz w:val="18"/>
                <w:szCs w:val="18"/>
                <w:lang w:eastAsia="es-CO"/>
              </w:rPr>
            </w:pPr>
            <w:r w:rsidRPr="5B0C84B6">
              <w:rPr>
                <w:rFonts w:eastAsia="Times New Roman" w:cs="Times New Roman"/>
                <w:b/>
                <w:bCs/>
                <w:color w:val="000000" w:themeColor="text1"/>
                <w:sz w:val="18"/>
                <w:szCs w:val="18"/>
                <w:lang w:eastAsia="es-CO"/>
              </w:rPr>
              <w:t>TOTAL</w:t>
            </w:r>
          </w:p>
        </w:tc>
        <w:tc>
          <w:tcPr>
            <w:tcW w:w="1433" w:type="pct"/>
            <w:vAlign w:val="center"/>
            <w:hideMark/>
          </w:tcPr>
          <w:p w14:paraId="6B445C5B" w14:textId="77777777" w:rsidR="00C772BD" w:rsidRPr="00951AB1" w:rsidRDefault="00C772BD" w:rsidP="000A5389">
            <w:pPr>
              <w:spacing w:line="240" w:lineRule="auto"/>
              <w:jc w:val="right"/>
              <w:rPr>
                <w:rFonts w:eastAsia="Times New Roman" w:cs="Times New Roman"/>
                <w:b/>
                <w:bCs/>
                <w:color w:val="000000"/>
                <w:kern w:val="0"/>
                <w:sz w:val="18"/>
                <w:szCs w:val="18"/>
                <w:lang w:eastAsia="es-CO"/>
                <w14:ligatures w14:val="none"/>
              </w:rPr>
            </w:pPr>
            <w:r w:rsidRPr="00951AB1">
              <w:rPr>
                <w:rFonts w:eastAsia="Times New Roman" w:cs="Times New Roman"/>
                <w:b/>
                <w:bCs/>
                <w:color w:val="000000"/>
                <w:kern w:val="0"/>
                <w:sz w:val="18"/>
                <w:szCs w:val="18"/>
                <w:lang w:eastAsia="es-CO"/>
                <w14:ligatures w14:val="none"/>
              </w:rPr>
              <w:t>182.490.692.568</w:t>
            </w:r>
          </w:p>
        </w:tc>
      </w:tr>
    </w:tbl>
    <w:p w14:paraId="6845DB97" w14:textId="77777777" w:rsidR="0069354B" w:rsidRPr="00951AB1" w:rsidRDefault="0069354B" w:rsidP="000A5389">
      <w:pPr>
        <w:spacing w:line="240" w:lineRule="auto"/>
        <w:ind w:left="-20" w:right="-20"/>
        <w:rPr>
          <w:rFonts w:cs="Times New Roman"/>
        </w:rPr>
      </w:pPr>
      <w:r w:rsidRPr="00951AB1">
        <w:rPr>
          <w:rFonts w:eastAsia="Times New Roman" w:cs="Times New Roman"/>
          <w:sz w:val="14"/>
          <w:szCs w:val="14"/>
          <w:lang w:val="es-ES"/>
        </w:rPr>
        <w:t>Cifras expresadas en pesos</w:t>
      </w:r>
      <w:r w:rsidRPr="00951AB1">
        <w:rPr>
          <w:rFonts w:eastAsia="Times New Roman" w:cs="Times New Roman"/>
          <w:szCs w:val="24"/>
          <w:lang w:val="es-ES"/>
        </w:rPr>
        <w:t xml:space="preserve"> </w:t>
      </w:r>
    </w:p>
    <w:p w14:paraId="76F6F939" w14:textId="77777777" w:rsidR="002F5B47" w:rsidRPr="00951AB1" w:rsidRDefault="002F5B47" w:rsidP="000A5389">
      <w:pPr>
        <w:spacing w:line="240" w:lineRule="auto"/>
        <w:rPr>
          <w:rFonts w:cs="Times New Roman"/>
        </w:rPr>
      </w:pPr>
    </w:p>
    <w:p w14:paraId="6056F402" w14:textId="0AB59FD7" w:rsidR="00C23490" w:rsidRPr="00951AB1" w:rsidRDefault="00444907" w:rsidP="000A5389">
      <w:pPr>
        <w:spacing w:line="240" w:lineRule="auto"/>
        <w:rPr>
          <w:rFonts w:cs="Times New Roman"/>
          <w:szCs w:val="24"/>
        </w:rPr>
      </w:pPr>
      <w:r w:rsidRPr="00951AB1">
        <w:rPr>
          <w:rFonts w:cs="Times New Roman"/>
          <w:szCs w:val="24"/>
        </w:rPr>
        <w:t xml:space="preserve">En cuanto a los ingresos por concepto de Derechos de explotación no relacionados con la infraestructura de transporte, la Agencia Nacional de Infraestructura dio reconocimiento a la contraprestación aeroportuaria correspondiente a las vigencias 2024 y 2025, con base en la </w:t>
      </w:r>
      <w:r w:rsidRPr="00951AB1">
        <w:rPr>
          <w:rFonts w:cs="Times New Roman"/>
          <w:szCs w:val="24"/>
        </w:rPr>
        <w:lastRenderedPageBreak/>
        <w:t>información reportada mediante radicado No. 20263080042333 del 12-02-2026, la contraprestación portuaria reportada mediante correo electrónico del 17-02-2026</w:t>
      </w:r>
      <w:r w:rsidR="004C6372" w:rsidRPr="00951AB1">
        <w:rPr>
          <w:rFonts w:cs="Times New Roman"/>
          <w:szCs w:val="24"/>
        </w:rPr>
        <w:t xml:space="preserve"> y así como la contraprestación férrea reportada</w:t>
      </w:r>
      <w:r w:rsidR="00E55A4A" w:rsidRPr="00951AB1">
        <w:rPr>
          <w:rFonts w:cs="Times New Roman"/>
          <w:szCs w:val="24"/>
        </w:rPr>
        <w:t xml:space="preserve"> mensualmente</w:t>
      </w:r>
      <w:r w:rsidR="00DF4EEA" w:rsidRPr="00951AB1">
        <w:rPr>
          <w:rFonts w:cs="Times New Roman"/>
          <w:szCs w:val="24"/>
        </w:rPr>
        <w:t xml:space="preserve"> durante la vigencia 2025</w:t>
      </w:r>
      <w:r w:rsidR="00CB247B" w:rsidRPr="00951AB1">
        <w:rPr>
          <w:rFonts w:cs="Times New Roman"/>
          <w:szCs w:val="24"/>
        </w:rPr>
        <w:t xml:space="preserve"> por parte de la por Vicepresidencia de Gestión Contractual.</w:t>
      </w:r>
    </w:p>
    <w:p w14:paraId="47C61006" w14:textId="77777777" w:rsidR="00AC7F47" w:rsidRPr="00951AB1" w:rsidRDefault="00AC7F47" w:rsidP="000A5389">
      <w:pPr>
        <w:spacing w:line="240" w:lineRule="auto"/>
        <w:rPr>
          <w:rFonts w:cs="Times New Roman"/>
          <w:szCs w:val="24"/>
        </w:rPr>
      </w:pPr>
    </w:p>
    <w:p w14:paraId="77CAA6D7" w14:textId="5186F0E4" w:rsidR="00AC7F47" w:rsidRPr="00951AB1" w:rsidRDefault="00AC7F47" w:rsidP="000A5389">
      <w:pPr>
        <w:spacing w:line="240" w:lineRule="auto"/>
        <w:rPr>
          <w:rFonts w:cs="Times New Roman"/>
          <w:szCs w:val="24"/>
        </w:rPr>
      </w:pPr>
      <w:r w:rsidRPr="00951AB1">
        <w:rPr>
          <w:rFonts w:cs="Times New Roman"/>
          <w:szCs w:val="24"/>
        </w:rPr>
        <w:t xml:space="preserve">Lo anterior, de conformidad con el concepto emitido por la Contaduría General de la Nación, No. 20251100041751 del 05-11-2025, denominado </w:t>
      </w:r>
      <w:r w:rsidRPr="00951AB1">
        <w:rPr>
          <w:rFonts w:cs="Times New Roman"/>
          <w:i/>
          <w:iCs/>
          <w:szCs w:val="24"/>
        </w:rPr>
        <w:t>“Tratamiento contable del porcentaje de contraprestación aeroportuaria Decreto 008 de 2024”</w:t>
      </w:r>
      <w:r w:rsidRPr="00951AB1">
        <w:rPr>
          <w:rFonts w:cs="Times New Roman"/>
          <w:szCs w:val="24"/>
        </w:rPr>
        <w:t>, en el cual se establecen los lineamientos para el reconocimiento contable del porcentaje de contraprestación aeroportuaria previsto en el Decreto 008 de 2024.</w:t>
      </w:r>
    </w:p>
    <w:p w14:paraId="7910D4B1" w14:textId="77777777" w:rsidR="003E16A9" w:rsidRPr="00951AB1" w:rsidRDefault="003E16A9" w:rsidP="000A5389">
      <w:pPr>
        <w:spacing w:line="240" w:lineRule="auto"/>
        <w:rPr>
          <w:rFonts w:cs="Times New Roman"/>
        </w:rPr>
      </w:pPr>
    </w:p>
    <w:p w14:paraId="355BF730" w14:textId="55C14EDA" w:rsidR="000E5A80" w:rsidRPr="00951AB1" w:rsidRDefault="000E5A80" w:rsidP="000A5389">
      <w:pPr>
        <w:spacing w:line="240" w:lineRule="auto"/>
        <w:rPr>
          <w:rFonts w:cs="Times New Roman"/>
          <w:szCs w:val="24"/>
        </w:rPr>
      </w:pPr>
      <w:r w:rsidRPr="00951AB1">
        <w:rPr>
          <w:rFonts w:eastAsia="Times New Roman" w:cs="Times New Roman"/>
          <w:szCs w:val="24"/>
          <w:lang w:val="es-ES"/>
        </w:rPr>
        <w:t>Detalle</w:t>
      </w:r>
      <w:r w:rsidR="00FD51A8" w:rsidRPr="00951AB1">
        <w:rPr>
          <w:rFonts w:eastAsia="Times New Roman" w:cs="Times New Roman"/>
          <w:szCs w:val="24"/>
          <w:lang w:val="es-ES"/>
        </w:rPr>
        <w:t xml:space="preserve"> </w:t>
      </w:r>
      <w:r w:rsidR="00C772BD" w:rsidRPr="00951AB1">
        <w:rPr>
          <w:rFonts w:eastAsia="Times New Roman" w:cs="Times New Roman"/>
          <w:szCs w:val="24"/>
          <w:lang w:val="es-ES"/>
        </w:rPr>
        <w:t>de la</w:t>
      </w:r>
      <w:r w:rsidRPr="00951AB1">
        <w:rPr>
          <w:rFonts w:eastAsia="Times New Roman" w:cs="Times New Roman"/>
          <w:szCs w:val="24"/>
          <w:lang w:val="es-ES"/>
        </w:rPr>
        <w:t xml:space="preserve"> composición</w:t>
      </w:r>
      <w:r w:rsidRPr="00951AB1">
        <w:rPr>
          <w:rFonts w:cs="Times New Roman"/>
          <w:szCs w:val="24"/>
        </w:rPr>
        <w:t xml:space="preserve"> Derechos de explotación no relacionados con la infraestructura de transporte</w:t>
      </w:r>
      <w:r w:rsidR="00FD51A8" w:rsidRPr="00951AB1">
        <w:rPr>
          <w:rFonts w:cs="Times New Roman"/>
          <w:szCs w:val="24"/>
        </w:rPr>
        <w:t xml:space="preserve"> a nivel de terceros</w:t>
      </w:r>
      <w:r w:rsidR="00E55A4A" w:rsidRPr="00951AB1">
        <w:rPr>
          <w:rFonts w:cs="Times New Roman"/>
          <w:szCs w:val="24"/>
        </w:rPr>
        <w:t>.</w:t>
      </w:r>
    </w:p>
    <w:p w14:paraId="0A6699F7" w14:textId="77777777" w:rsidR="00C22805" w:rsidRPr="00951AB1" w:rsidRDefault="00C22805" w:rsidP="000A5389">
      <w:pPr>
        <w:spacing w:line="240" w:lineRule="auto"/>
        <w:rPr>
          <w:rFonts w:cs="Times New Roman"/>
          <w:szCs w:val="24"/>
        </w:rPr>
      </w:pPr>
    </w:p>
    <w:tbl>
      <w:tblPr>
        <w:tblW w:w="5000" w:type="pct"/>
        <w:tbl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insideH w:val="single" w:sz="2" w:space="0" w:color="A6A6A6" w:themeColor="background1" w:themeShade="A6"/>
          <w:insideV w:val="single" w:sz="2" w:space="0" w:color="A6A6A6" w:themeColor="background1" w:themeShade="A6"/>
        </w:tblBorders>
        <w:tblCellMar>
          <w:left w:w="70" w:type="dxa"/>
          <w:right w:w="70" w:type="dxa"/>
        </w:tblCellMar>
        <w:tblLook w:val="04A0" w:firstRow="1" w:lastRow="0" w:firstColumn="1" w:lastColumn="0" w:noHBand="0" w:noVBand="1"/>
      </w:tblPr>
      <w:tblGrid>
        <w:gridCol w:w="6991"/>
        <w:gridCol w:w="1841"/>
      </w:tblGrid>
      <w:tr w:rsidR="00C22805" w:rsidRPr="00951AB1" w14:paraId="3D731D04" w14:textId="77777777" w:rsidTr="002D6214">
        <w:trPr>
          <w:trHeight w:val="340"/>
          <w:tblHeader/>
        </w:trPr>
        <w:tc>
          <w:tcPr>
            <w:tcW w:w="3958" w:type="pct"/>
            <w:vAlign w:val="center"/>
          </w:tcPr>
          <w:p w14:paraId="7DE8B13B" w14:textId="7EAF9D21" w:rsidR="52755390" w:rsidRPr="5B0C84B6" w:rsidRDefault="52755390" w:rsidP="000A5389">
            <w:pPr>
              <w:spacing w:line="240" w:lineRule="auto"/>
              <w:jc w:val="center"/>
              <w:rPr>
                <w:rFonts w:eastAsia="Times New Roman" w:cs="Times New Roman"/>
                <w:b/>
                <w:bCs/>
                <w:color w:val="000000" w:themeColor="text1"/>
                <w:sz w:val="20"/>
                <w:szCs w:val="20"/>
                <w:lang w:eastAsia="es-CO"/>
              </w:rPr>
            </w:pPr>
            <w:r w:rsidRPr="5B0C84B6">
              <w:rPr>
                <w:rFonts w:eastAsia="Times New Roman" w:cs="Times New Roman"/>
                <w:b/>
                <w:bCs/>
                <w:color w:val="000000" w:themeColor="text1"/>
                <w:sz w:val="20"/>
                <w:szCs w:val="20"/>
                <w:lang w:eastAsia="es-CO"/>
              </w:rPr>
              <w:t>ENTIDAD</w:t>
            </w:r>
          </w:p>
        </w:tc>
        <w:tc>
          <w:tcPr>
            <w:tcW w:w="1042" w:type="pct"/>
            <w:vAlign w:val="center"/>
            <w:hideMark/>
          </w:tcPr>
          <w:p w14:paraId="029C3392" w14:textId="77777777" w:rsidR="00C22805" w:rsidRPr="00951AB1" w:rsidRDefault="00C22805" w:rsidP="000A5389">
            <w:pPr>
              <w:spacing w:line="240" w:lineRule="auto"/>
              <w:jc w:val="center"/>
              <w:rPr>
                <w:rFonts w:eastAsia="Times New Roman" w:cs="Times New Roman"/>
                <w:b/>
                <w:bCs/>
                <w:color w:val="000000"/>
                <w:kern w:val="0"/>
                <w:sz w:val="20"/>
                <w:szCs w:val="20"/>
                <w:lang w:eastAsia="es-CO"/>
                <w14:ligatures w14:val="none"/>
              </w:rPr>
            </w:pPr>
            <w:r w:rsidRPr="00951AB1">
              <w:rPr>
                <w:rFonts w:eastAsia="Times New Roman" w:cs="Times New Roman"/>
                <w:b/>
                <w:bCs/>
                <w:color w:val="000000"/>
                <w:kern w:val="0"/>
                <w:sz w:val="20"/>
                <w:szCs w:val="20"/>
                <w:lang w:eastAsia="es-CO"/>
                <w14:ligatures w14:val="none"/>
              </w:rPr>
              <w:t>VALOR</w:t>
            </w:r>
          </w:p>
        </w:tc>
      </w:tr>
      <w:tr w:rsidR="00C22805" w:rsidRPr="00951AB1" w14:paraId="70E1B146" w14:textId="77777777" w:rsidTr="002D6214">
        <w:trPr>
          <w:trHeight w:val="340"/>
        </w:trPr>
        <w:tc>
          <w:tcPr>
            <w:tcW w:w="3958" w:type="pct"/>
            <w:vAlign w:val="center"/>
            <w:hideMark/>
          </w:tcPr>
          <w:p w14:paraId="4981F855" w14:textId="4DB4192E" w:rsidR="00C22805" w:rsidRPr="00951AB1" w:rsidRDefault="00C772BD" w:rsidP="000A5389">
            <w:pPr>
              <w:spacing w:line="240" w:lineRule="auto"/>
              <w:rPr>
                <w:rFonts w:eastAsia="Times New Roman" w:cs="Times New Roman"/>
                <w:color w:val="000000"/>
                <w:kern w:val="0"/>
                <w:sz w:val="20"/>
                <w:szCs w:val="20"/>
                <w:lang w:eastAsia="es-CO"/>
                <w14:ligatures w14:val="none"/>
              </w:rPr>
            </w:pPr>
            <w:r w:rsidRPr="00951AB1">
              <w:rPr>
                <w:rFonts w:eastAsia="Times New Roman" w:cs="Times New Roman"/>
                <w:color w:val="000000"/>
                <w:kern w:val="0"/>
                <w:sz w:val="20"/>
                <w:szCs w:val="20"/>
                <w:lang w:eastAsia="es-CO"/>
                <w14:ligatures w14:val="none"/>
              </w:rPr>
              <w:t>Sociedad Concesionaria Operadora Aeroportuaria Internacional S A</w:t>
            </w:r>
          </w:p>
        </w:tc>
        <w:tc>
          <w:tcPr>
            <w:tcW w:w="1042" w:type="pct"/>
            <w:vAlign w:val="center"/>
            <w:hideMark/>
          </w:tcPr>
          <w:p w14:paraId="1A20A188" w14:textId="77777777" w:rsidR="00C22805" w:rsidRPr="00951AB1" w:rsidRDefault="00C22805" w:rsidP="000A5389">
            <w:pPr>
              <w:spacing w:line="240" w:lineRule="auto"/>
              <w:jc w:val="right"/>
              <w:rPr>
                <w:rFonts w:eastAsia="Times New Roman" w:cs="Times New Roman"/>
                <w:color w:val="000000"/>
                <w:kern w:val="0"/>
                <w:sz w:val="20"/>
                <w:szCs w:val="20"/>
                <w:lang w:eastAsia="es-CO"/>
                <w14:ligatures w14:val="none"/>
              </w:rPr>
            </w:pPr>
            <w:r w:rsidRPr="00951AB1">
              <w:rPr>
                <w:rFonts w:eastAsia="Times New Roman" w:cs="Times New Roman"/>
                <w:color w:val="000000"/>
                <w:kern w:val="0"/>
                <w:sz w:val="20"/>
                <w:szCs w:val="20"/>
                <w:lang w:eastAsia="es-CO"/>
                <w14:ligatures w14:val="none"/>
              </w:rPr>
              <w:t>74.810.802.765</w:t>
            </w:r>
          </w:p>
        </w:tc>
      </w:tr>
      <w:tr w:rsidR="00C22805" w:rsidRPr="00951AB1" w14:paraId="2EF53FB5" w14:textId="77777777" w:rsidTr="002D6214">
        <w:trPr>
          <w:trHeight w:val="340"/>
        </w:trPr>
        <w:tc>
          <w:tcPr>
            <w:tcW w:w="3958" w:type="pct"/>
            <w:vAlign w:val="center"/>
            <w:hideMark/>
          </w:tcPr>
          <w:p w14:paraId="3E814195" w14:textId="40C291E0" w:rsidR="00C22805" w:rsidRPr="00951AB1" w:rsidRDefault="00C772BD" w:rsidP="000A5389">
            <w:pPr>
              <w:spacing w:line="240" w:lineRule="auto"/>
              <w:rPr>
                <w:rFonts w:eastAsia="Times New Roman" w:cs="Times New Roman"/>
                <w:color w:val="000000"/>
                <w:kern w:val="0"/>
                <w:sz w:val="20"/>
                <w:szCs w:val="20"/>
                <w:lang w:eastAsia="es-CO"/>
                <w14:ligatures w14:val="none"/>
              </w:rPr>
            </w:pPr>
            <w:r w:rsidRPr="00951AB1">
              <w:rPr>
                <w:rFonts w:eastAsia="Times New Roman" w:cs="Times New Roman"/>
                <w:color w:val="000000"/>
                <w:kern w:val="0"/>
                <w:sz w:val="20"/>
                <w:szCs w:val="20"/>
                <w:lang w:eastAsia="es-CO"/>
                <w14:ligatures w14:val="none"/>
              </w:rPr>
              <w:t>Instituto Nacional De Vías</w:t>
            </w:r>
          </w:p>
        </w:tc>
        <w:tc>
          <w:tcPr>
            <w:tcW w:w="1042" w:type="pct"/>
            <w:vAlign w:val="center"/>
            <w:hideMark/>
          </w:tcPr>
          <w:p w14:paraId="7FBDC9D7" w14:textId="77777777" w:rsidR="00C22805" w:rsidRPr="00951AB1" w:rsidRDefault="00C22805" w:rsidP="000A5389">
            <w:pPr>
              <w:spacing w:line="240" w:lineRule="auto"/>
              <w:jc w:val="right"/>
              <w:rPr>
                <w:rFonts w:eastAsia="Times New Roman" w:cs="Times New Roman"/>
                <w:color w:val="000000"/>
                <w:kern w:val="0"/>
                <w:sz w:val="20"/>
                <w:szCs w:val="20"/>
                <w:lang w:eastAsia="es-CO"/>
                <w14:ligatures w14:val="none"/>
              </w:rPr>
            </w:pPr>
            <w:r w:rsidRPr="00951AB1">
              <w:rPr>
                <w:rFonts w:eastAsia="Times New Roman" w:cs="Times New Roman"/>
                <w:color w:val="000000"/>
                <w:kern w:val="0"/>
                <w:sz w:val="20"/>
                <w:szCs w:val="20"/>
                <w:lang w:eastAsia="es-CO"/>
                <w14:ligatures w14:val="none"/>
              </w:rPr>
              <w:t>12.218.295.722</w:t>
            </w:r>
          </w:p>
        </w:tc>
      </w:tr>
      <w:tr w:rsidR="00C22805" w:rsidRPr="00951AB1" w14:paraId="32FD6135" w14:textId="77777777" w:rsidTr="002D6214">
        <w:trPr>
          <w:trHeight w:val="340"/>
        </w:trPr>
        <w:tc>
          <w:tcPr>
            <w:tcW w:w="3958" w:type="pct"/>
            <w:vAlign w:val="center"/>
            <w:hideMark/>
          </w:tcPr>
          <w:p w14:paraId="54661F46" w14:textId="60CF02FA" w:rsidR="00C22805" w:rsidRPr="00951AB1" w:rsidRDefault="00C772BD" w:rsidP="000A5389">
            <w:pPr>
              <w:spacing w:line="240" w:lineRule="auto"/>
              <w:rPr>
                <w:rFonts w:eastAsia="Times New Roman" w:cs="Times New Roman"/>
                <w:color w:val="000000"/>
                <w:kern w:val="0"/>
                <w:sz w:val="20"/>
                <w:szCs w:val="20"/>
                <w:lang w:eastAsia="es-CO"/>
                <w14:ligatures w14:val="none"/>
              </w:rPr>
            </w:pPr>
            <w:r w:rsidRPr="00951AB1">
              <w:rPr>
                <w:rFonts w:eastAsia="Times New Roman" w:cs="Times New Roman"/>
                <w:color w:val="000000"/>
                <w:kern w:val="0"/>
                <w:sz w:val="20"/>
                <w:szCs w:val="20"/>
                <w:lang w:eastAsia="es-CO"/>
                <w14:ligatures w14:val="none"/>
              </w:rPr>
              <w:t>Sociedad Operadora De Aeropuertos Centro Norte S.A.S</w:t>
            </w:r>
          </w:p>
        </w:tc>
        <w:tc>
          <w:tcPr>
            <w:tcW w:w="1042" w:type="pct"/>
            <w:vAlign w:val="center"/>
            <w:hideMark/>
          </w:tcPr>
          <w:p w14:paraId="6CCA9685" w14:textId="77777777" w:rsidR="00C22805" w:rsidRPr="00951AB1" w:rsidRDefault="00C22805" w:rsidP="000A5389">
            <w:pPr>
              <w:spacing w:line="240" w:lineRule="auto"/>
              <w:jc w:val="right"/>
              <w:rPr>
                <w:rFonts w:eastAsia="Times New Roman" w:cs="Times New Roman"/>
                <w:color w:val="000000"/>
                <w:kern w:val="0"/>
                <w:sz w:val="20"/>
                <w:szCs w:val="20"/>
                <w:lang w:eastAsia="es-CO"/>
                <w14:ligatures w14:val="none"/>
              </w:rPr>
            </w:pPr>
            <w:r w:rsidRPr="00951AB1">
              <w:rPr>
                <w:rFonts w:eastAsia="Times New Roman" w:cs="Times New Roman"/>
                <w:color w:val="000000"/>
                <w:kern w:val="0"/>
                <w:sz w:val="20"/>
                <w:szCs w:val="20"/>
                <w:lang w:eastAsia="es-CO"/>
                <w14:ligatures w14:val="none"/>
              </w:rPr>
              <w:t>11.687.234.082</w:t>
            </w:r>
          </w:p>
        </w:tc>
      </w:tr>
      <w:tr w:rsidR="00C22805" w:rsidRPr="00951AB1" w14:paraId="1A2461A4" w14:textId="77777777" w:rsidTr="002D6214">
        <w:trPr>
          <w:trHeight w:val="340"/>
        </w:trPr>
        <w:tc>
          <w:tcPr>
            <w:tcW w:w="3958" w:type="pct"/>
            <w:vAlign w:val="center"/>
            <w:hideMark/>
          </w:tcPr>
          <w:p w14:paraId="7C9F7CCE" w14:textId="4CA2A0C9" w:rsidR="00C22805" w:rsidRPr="00951AB1" w:rsidRDefault="00C772BD" w:rsidP="000A5389">
            <w:pPr>
              <w:spacing w:line="240" w:lineRule="auto"/>
              <w:rPr>
                <w:rFonts w:eastAsia="Times New Roman" w:cs="Times New Roman"/>
                <w:color w:val="000000"/>
                <w:kern w:val="0"/>
                <w:sz w:val="20"/>
                <w:szCs w:val="20"/>
                <w:lang w:eastAsia="es-CO"/>
                <w14:ligatures w14:val="none"/>
              </w:rPr>
            </w:pPr>
            <w:r w:rsidRPr="00951AB1">
              <w:rPr>
                <w:rFonts w:eastAsia="Times New Roman" w:cs="Times New Roman"/>
                <w:color w:val="000000"/>
                <w:kern w:val="0"/>
                <w:sz w:val="20"/>
                <w:szCs w:val="20"/>
                <w:lang w:eastAsia="es-CO"/>
                <w14:ligatures w14:val="none"/>
              </w:rPr>
              <w:t>Aerocali S.A.</w:t>
            </w:r>
          </w:p>
        </w:tc>
        <w:tc>
          <w:tcPr>
            <w:tcW w:w="1042" w:type="pct"/>
            <w:vAlign w:val="center"/>
            <w:hideMark/>
          </w:tcPr>
          <w:p w14:paraId="0D83F395" w14:textId="77777777" w:rsidR="00C22805" w:rsidRPr="00951AB1" w:rsidRDefault="00C22805" w:rsidP="000A5389">
            <w:pPr>
              <w:spacing w:line="240" w:lineRule="auto"/>
              <w:jc w:val="right"/>
              <w:rPr>
                <w:rFonts w:eastAsia="Times New Roman" w:cs="Times New Roman"/>
                <w:color w:val="000000"/>
                <w:kern w:val="0"/>
                <w:sz w:val="20"/>
                <w:szCs w:val="20"/>
                <w:lang w:eastAsia="es-CO"/>
                <w14:ligatures w14:val="none"/>
              </w:rPr>
            </w:pPr>
            <w:r w:rsidRPr="00951AB1">
              <w:rPr>
                <w:rFonts w:eastAsia="Times New Roman" w:cs="Times New Roman"/>
                <w:color w:val="000000"/>
                <w:kern w:val="0"/>
                <w:sz w:val="20"/>
                <w:szCs w:val="20"/>
                <w:lang w:eastAsia="es-CO"/>
                <w14:ligatures w14:val="none"/>
              </w:rPr>
              <w:t>9.716.902.890</w:t>
            </w:r>
          </w:p>
        </w:tc>
      </w:tr>
      <w:tr w:rsidR="00C22805" w:rsidRPr="00951AB1" w14:paraId="500E936E" w14:textId="77777777" w:rsidTr="002D6214">
        <w:trPr>
          <w:trHeight w:val="340"/>
        </w:trPr>
        <w:tc>
          <w:tcPr>
            <w:tcW w:w="3958" w:type="pct"/>
            <w:vAlign w:val="center"/>
            <w:hideMark/>
          </w:tcPr>
          <w:p w14:paraId="40E0C3CD" w14:textId="77834061" w:rsidR="00C22805" w:rsidRPr="00951AB1" w:rsidRDefault="00C772BD" w:rsidP="000A5389">
            <w:pPr>
              <w:spacing w:line="240" w:lineRule="auto"/>
              <w:rPr>
                <w:rFonts w:eastAsia="Times New Roman" w:cs="Times New Roman"/>
                <w:color w:val="000000"/>
                <w:kern w:val="0"/>
                <w:sz w:val="20"/>
                <w:szCs w:val="20"/>
                <w:lang w:eastAsia="es-CO"/>
                <w14:ligatures w14:val="none"/>
              </w:rPr>
            </w:pPr>
            <w:r w:rsidRPr="00951AB1">
              <w:rPr>
                <w:rFonts w:eastAsia="Times New Roman" w:cs="Times New Roman"/>
                <w:color w:val="000000"/>
                <w:kern w:val="0"/>
                <w:sz w:val="20"/>
                <w:szCs w:val="20"/>
                <w:lang w:eastAsia="es-CO"/>
                <w14:ligatures w14:val="none"/>
              </w:rPr>
              <w:t>Operadora Internacional Aeropuerto De Cartagena S.A.S</w:t>
            </w:r>
          </w:p>
        </w:tc>
        <w:tc>
          <w:tcPr>
            <w:tcW w:w="1042" w:type="pct"/>
            <w:vAlign w:val="center"/>
            <w:hideMark/>
          </w:tcPr>
          <w:p w14:paraId="09C47023" w14:textId="77777777" w:rsidR="00C22805" w:rsidRPr="00951AB1" w:rsidRDefault="00C22805" w:rsidP="000A5389">
            <w:pPr>
              <w:spacing w:line="240" w:lineRule="auto"/>
              <w:jc w:val="right"/>
              <w:rPr>
                <w:rFonts w:eastAsia="Times New Roman" w:cs="Times New Roman"/>
                <w:color w:val="000000"/>
                <w:kern w:val="0"/>
                <w:sz w:val="20"/>
                <w:szCs w:val="20"/>
                <w:lang w:eastAsia="es-CO"/>
                <w14:ligatures w14:val="none"/>
              </w:rPr>
            </w:pPr>
            <w:r w:rsidRPr="00951AB1">
              <w:rPr>
                <w:rFonts w:eastAsia="Times New Roman" w:cs="Times New Roman"/>
                <w:color w:val="000000"/>
                <w:kern w:val="0"/>
                <w:sz w:val="20"/>
                <w:szCs w:val="20"/>
                <w:lang w:eastAsia="es-CO"/>
                <w14:ligatures w14:val="none"/>
              </w:rPr>
              <w:t>3.270.668.301</w:t>
            </w:r>
          </w:p>
        </w:tc>
      </w:tr>
      <w:tr w:rsidR="00C22805" w:rsidRPr="00951AB1" w14:paraId="3C62B403" w14:textId="77777777" w:rsidTr="002D6214">
        <w:trPr>
          <w:trHeight w:val="340"/>
        </w:trPr>
        <w:tc>
          <w:tcPr>
            <w:tcW w:w="3958" w:type="pct"/>
            <w:vAlign w:val="center"/>
            <w:hideMark/>
          </w:tcPr>
          <w:p w14:paraId="1A6F95E3" w14:textId="0834950B" w:rsidR="00C22805" w:rsidRPr="00951AB1" w:rsidRDefault="00C772BD" w:rsidP="000A5389">
            <w:pPr>
              <w:spacing w:line="240" w:lineRule="auto"/>
              <w:rPr>
                <w:rFonts w:eastAsia="Times New Roman" w:cs="Times New Roman"/>
                <w:color w:val="000000"/>
                <w:kern w:val="0"/>
                <w:sz w:val="20"/>
                <w:szCs w:val="20"/>
                <w:lang w:eastAsia="es-CO"/>
                <w14:ligatures w14:val="none"/>
              </w:rPr>
            </w:pPr>
            <w:r w:rsidRPr="00951AB1">
              <w:rPr>
                <w:rFonts w:eastAsia="Times New Roman" w:cs="Times New Roman"/>
                <w:color w:val="000000"/>
                <w:kern w:val="0"/>
                <w:sz w:val="20"/>
                <w:szCs w:val="20"/>
                <w:lang w:eastAsia="es-CO"/>
                <w14:ligatures w14:val="none"/>
              </w:rPr>
              <w:t>Sociedad Aeroportuaria De La Costa S.A. Sacsa</w:t>
            </w:r>
          </w:p>
        </w:tc>
        <w:tc>
          <w:tcPr>
            <w:tcW w:w="1042" w:type="pct"/>
            <w:vAlign w:val="center"/>
            <w:hideMark/>
          </w:tcPr>
          <w:p w14:paraId="45D5F69D" w14:textId="77777777" w:rsidR="00C22805" w:rsidRPr="00951AB1" w:rsidRDefault="00C22805" w:rsidP="000A5389">
            <w:pPr>
              <w:spacing w:line="240" w:lineRule="auto"/>
              <w:jc w:val="right"/>
              <w:rPr>
                <w:rFonts w:eastAsia="Times New Roman" w:cs="Times New Roman"/>
                <w:color w:val="000000"/>
                <w:kern w:val="0"/>
                <w:sz w:val="20"/>
                <w:szCs w:val="20"/>
                <w:lang w:eastAsia="es-CO"/>
                <w14:ligatures w14:val="none"/>
              </w:rPr>
            </w:pPr>
            <w:r w:rsidRPr="00951AB1">
              <w:rPr>
                <w:rFonts w:eastAsia="Times New Roman" w:cs="Times New Roman"/>
                <w:color w:val="000000"/>
                <w:kern w:val="0"/>
                <w:sz w:val="20"/>
                <w:szCs w:val="20"/>
                <w:lang w:eastAsia="es-CO"/>
                <w14:ligatures w14:val="none"/>
              </w:rPr>
              <w:t>1.330.724.204</w:t>
            </w:r>
          </w:p>
        </w:tc>
      </w:tr>
      <w:tr w:rsidR="00C22805" w:rsidRPr="00951AB1" w14:paraId="32A44725" w14:textId="77777777" w:rsidTr="002D6214">
        <w:trPr>
          <w:trHeight w:val="340"/>
        </w:trPr>
        <w:tc>
          <w:tcPr>
            <w:tcW w:w="3958" w:type="pct"/>
            <w:vAlign w:val="center"/>
            <w:hideMark/>
          </w:tcPr>
          <w:p w14:paraId="7985D099" w14:textId="7F95E876" w:rsidR="00C22805" w:rsidRPr="00951AB1" w:rsidRDefault="00C772BD" w:rsidP="000A5389">
            <w:pPr>
              <w:spacing w:line="240" w:lineRule="auto"/>
              <w:rPr>
                <w:rFonts w:eastAsia="Times New Roman" w:cs="Times New Roman"/>
                <w:color w:val="000000"/>
                <w:kern w:val="0"/>
                <w:sz w:val="20"/>
                <w:szCs w:val="20"/>
                <w:lang w:eastAsia="es-CO"/>
                <w14:ligatures w14:val="none"/>
              </w:rPr>
            </w:pPr>
            <w:r w:rsidRPr="00951AB1">
              <w:rPr>
                <w:rFonts w:eastAsia="Times New Roman" w:cs="Times New Roman"/>
                <w:color w:val="000000"/>
                <w:kern w:val="0"/>
                <w:sz w:val="20"/>
                <w:szCs w:val="20"/>
                <w:lang w:eastAsia="es-CO"/>
                <w14:ligatures w14:val="none"/>
              </w:rPr>
              <w:t>Grupo Aeroportuario Del Caribe S.A.S.</w:t>
            </w:r>
          </w:p>
        </w:tc>
        <w:tc>
          <w:tcPr>
            <w:tcW w:w="1042" w:type="pct"/>
            <w:vAlign w:val="center"/>
            <w:hideMark/>
          </w:tcPr>
          <w:p w14:paraId="1DA08894" w14:textId="77777777" w:rsidR="00C22805" w:rsidRPr="00951AB1" w:rsidRDefault="00C22805" w:rsidP="000A5389">
            <w:pPr>
              <w:spacing w:line="240" w:lineRule="auto"/>
              <w:jc w:val="right"/>
              <w:rPr>
                <w:rFonts w:eastAsia="Times New Roman" w:cs="Times New Roman"/>
                <w:color w:val="000000"/>
                <w:kern w:val="0"/>
                <w:sz w:val="20"/>
                <w:szCs w:val="20"/>
                <w:lang w:eastAsia="es-CO"/>
                <w14:ligatures w14:val="none"/>
              </w:rPr>
            </w:pPr>
            <w:r w:rsidRPr="00951AB1">
              <w:rPr>
                <w:rFonts w:eastAsia="Times New Roman" w:cs="Times New Roman"/>
                <w:color w:val="000000"/>
                <w:kern w:val="0"/>
                <w:sz w:val="20"/>
                <w:szCs w:val="20"/>
                <w:lang w:eastAsia="es-CO"/>
                <w14:ligatures w14:val="none"/>
              </w:rPr>
              <w:t>525.057.709</w:t>
            </w:r>
          </w:p>
        </w:tc>
      </w:tr>
      <w:tr w:rsidR="00C22805" w:rsidRPr="00951AB1" w14:paraId="6F147DFB" w14:textId="77777777" w:rsidTr="002D6214">
        <w:trPr>
          <w:trHeight w:val="340"/>
        </w:trPr>
        <w:tc>
          <w:tcPr>
            <w:tcW w:w="3958" w:type="pct"/>
            <w:vAlign w:val="center"/>
            <w:hideMark/>
          </w:tcPr>
          <w:p w14:paraId="2E733F9E" w14:textId="752A13B3" w:rsidR="00C22805" w:rsidRPr="00951AB1" w:rsidRDefault="00C772BD" w:rsidP="000A5389">
            <w:pPr>
              <w:spacing w:line="240" w:lineRule="auto"/>
              <w:rPr>
                <w:rFonts w:eastAsia="Times New Roman" w:cs="Times New Roman"/>
                <w:color w:val="000000"/>
                <w:kern w:val="0"/>
                <w:sz w:val="20"/>
                <w:szCs w:val="20"/>
                <w:lang w:eastAsia="es-CO"/>
                <w14:ligatures w14:val="none"/>
              </w:rPr>
            </w:pPr>
            <w:r w:rsidRPr="00951AB1">
              <w:rPr>
                <w:rFonts w:eastAsia="Times New Roman" w:cs="Times New Roman"/>
                <w:color w:val="000000"/>
                <w:kern w:val="0"/>
                <w:sz w:val="20"/>
                <w:szCs w:val="20"/>
                <w:lang w:eastAsia="es-CO"/>
                <w14:ligatures w14:val="none"/>
              </w:rPr>
              <w:t>Transporte Ferroportuario De Colombia - Transferport S.A.S</w:t>
            </w:r>
          </w:p>
        </w:tc>
        <w:tc>
          <w:tcPr>
            <w:tcW w:w="1042" w:type="pct"/>
            <w:vAlign w:val="center"/>
            <w:hideMark/>
          </w:tcPr>
          <w:p w14:paraId="165C5423" w14:textId="77777777" w:rsidR="00C22805" w:rsidRPr="00951AB1" w:rsidRDefault="00C22805" w:rsidP="000A5389">
            <w:pPr>
              <w:spacing w:line="240" w:lineRule="auto"/>
              <w:jc w:val="right"/>
              <w:rPr>
                <w:rFonts w:eastAsia="Times New Roman" w:cs="Times New Roman"/>
                <w:color w:val="000000"/>
                <w:kern w:val="0"/>
                <w:sz w:val="20"/>
                <w:szCs w:val="20"/>
                <w:lang w:eastAsia="es-CO"/>
                <w14:ligatures w14:val="none"/>
              </w:rPr>
            </w:pPr>
            <w:r w:rsidRPr="00951AB1">
              <w:rPr>
                <w:rFonts w:eastAsia="Times New Roman" w:cs="Times New Roman"/>
                <w:color w:val="000000"/>
                <w:kern w:val="0"/>
                <w:sz w:val="20"/>
                <w:szCs w:val="20"/>
                <w:lang w:eastAsia="es-CO"/>
                <w14:ligatures w14:val="none"/>
              </w:rPr>
              <w:t>280.566.104</w:t>
            </w:r>
          </w:p>
        </w:tc>
      </w:tr>
      <w:tr w:rsidR="00C22805" w:rsidRPr="00951AB1" w14:paraId="101AE43B" w14:textId="77777777" w:rsidTr="002D6214">
        <w:trPr>
          <w:trHeight w:val="340"/>
        </w:trPr>
        <w:tc>
          <w:tcPr>
            <w:tcW w:w="3958" w:type="pct"/>
            <w:vAlign w:val="center"/>
            <w:hideMark/>
          </w:tcPr>
          <w:p w14:paraId="18518B21" w14:textId="0F68DBC0" w:rsidR="00C22805" w:rsidRPr="00951AB1" w:rsidRDefault="00C772BD" w:rsidP="000A5389">
            <w:pPr>
              <w:spacing w:line="240" w:lineRule="auto"/>
              <w:rPr>
                <w:rFonts w:eastAsia="Times New Roman" w:cs="Times New Roman"/>
                <w:color w:val="000000"/>
                <w:kern w:val="0"/>
                <w:sz w:val="20"/>
                <w:szCs w:val="20"/>
                <w:lang w:eastAsia="es-CO"/>
                <w14:ligatures w14:val="none"/>
              </w:rPr>
            </w:pPr>
            <w:r w:rsidRPr="00951AB1">
              <w:rPr>
                <w:rFonts w:eastAsia="Times New Roman" w:cs="Times New Roman"/>
                <w:color w:val="000000"/>
                <w:kern w:val="0"/>
                <w:sz w:val="20"/>
                <w:szCs w:val="20"/>
                <w:lang w:eastAsia="es-CO"/>
                <w14:ligatures w14:val="none"/>
              </w:rPr>
              <w:t>Cooperativa De Trabajo Asociado Y De Servicios Múltiples De Colombia Limitada</w:t>
            </w:r>
          </w:p>
        </w:tc>
        <w:tc>
          <w:tcPr>
            <w:tcW w:w="1042" w:type="pct"/>
            <w:vAlign w:val="center"/>
            <w:hideMark/>
          </w:tcPr>
          <w:p w14:paraId="0B532764" w14:textId="77777777" w:rsidR="00C22805" w:rsidRPr="00951AB1" w:rsidRDefault="00C22805" w:rsidP="000A5389">
            <w:pPr>
              <w:spacing w:line="240" w:lineRule="auto"/>
              <w:jc w:val="right"/>
              <w:rPr>
                <w:rFonts w:eastAsia="Times New Roman" w:cs="Times New Roman"/>
                <w:color w:val="000000"/>
                <w:kern w:val="0"/>
                <w:sz w:val="20"/>
                <w:szCs w:val="20"/>
                <w:lang w:eastAsia="es-CO"/>
                <w14:ligatures w14:val="none"/>
              </w:rPr>
            </w:pPr>
            <w:r w:rsidRPr="00951AB1">
              <w:rPr>
                <w:rFonts w:eastAsia="Times New Roman" w:cs="Times New Roman"/>
                <w:color w:val="000000"/>
                <w:kern w:val="0"/>
                <w:sz w:val="20"/>
                <w:szCs w:val="20"/>
                <w:lang w:eastAsia="es-CO"/>
                <w14:ligatures w14:val="none"/>
              </w:rPr>
              <w:t>5.634.957</w:t>
            </w:r>
          </w:p>
        </w:tc>
      </w:tr>
      <w:tr w:rsidR="00C772BD" w:rsidRPr="00951AB1" w14:paraId="268C5580" w14:textId="77777777" w:rsidTr="002D6214">
        <w:trPr>
          <w:trHeight w:val="340"/>
        </w:trPr>
        <w:tc>
          <w:tcPr>
            <w:tcW w:w="3958" w:type="pct"/>
            <w:vAlign w:val="center"/>
          </w:tcPr>
          <w:p w14:paraId="248D608C" w14:textId="7BE1BC6B" w:rsidR="4C8F1DC7" w:rsidRPr="5B0C84B6" w:rsidRDefault="4C8F1DC7" w:rsidP="000A5389">
            <w:pPr>
              <w:spacing w:line="240" w:lineRule="auto"/>
              <w:rPr>
                <w:rFonts w:eastAsia="Times New Roman" w:cs="Times New Roman"/>
                <w:b/>
                <w:bCs/>
                <w:color w:val="000000" w:themeColor="text1"/>
                <w:sz w:val="20"/>
                <w:szCs w:val="20"/>
                <w:lang w:eastAsia="es-CO"/>
              </w:rPr>
            </w:pPr>
            <w:r w:rsidRPr="5B0C84B6">
              <w:rPr>
                <w:rFonts w:eastAsia="Times New Roman" w:cs="Times New Roman"/>
                <w:b/>
                <w:bCs/>
                <w:color w:val="000000" w:themeColor="text1"/>
                <w:sz w:val="20"/>
                <w:szCs w:val="20"/>
                <w:lang w:eastAsia="es-CO"/>
              </w:rPr>
              <w:t>TOTAL</w:t>
            </w:r>
          </w:p>
        </w:tc>
        <w:tc>
          <w:tcPr>
            <w:tcW w:w="1042" w:type="pct"/>
            <w:vAlign w:val="center"/>
            <w:hideMark/>
          </w:tcPr>
          <w:p w14:paraId="202AD724" w14:textId="77777777" w:rsidR="00C772BD" w:rsidRPr="00951AB1" w:rsidRDefault="00C772BD" w:rsidP="000A5389">
            <w:pPr>
              <w:spacing w:line="240" w:lineRule="auto"/>
              <w:jc w:val="right"/>
              <w:rPr>
                <w:rFonts w:eastAsia="Times New Roman" w:cs="Times New Roman"/>
                <w:b/>
                <w:bCs/>
                <w:color w:val="000000"/>
                <w:kern w:val="0"/>
                <w:sz w:val="20"/>
                <w:szCs w:val="20"/>
                <w:lang w:eastAsia="es-CO"/>
                <w14:ligatures w14:val="none"/>
              </w:rPr>
            </w:pPr>
            <w:r w:rsidRPr="00951AB1">
              <w:rPr>
                <w:rFonts w:eastAsia="Times New Roman" w:cs="Times New Roman"/>
                <w:b/>
                <w:bCs/>
                <w:color w:val="000000"/>
                <w:kern w:val="0"/>
                <w:sz w:val="20"/>
                <w:szCs w:val="20"/>
                <w:lang w:eastAsia="es-CO"/>
                <w14:ligatures w14:val="none"/>
              </w:rPr>
              <w:t>113.845.886.733</w:t>
            </w:r>
          </w:p>
        </w:tc>
      </w:tr>
    </w:tbl>
    <w:p w14:paraId="3C483E94" w14:textId="77777777" w:rsidR="006F48AC" w:rsidRDefault="006F48AC" w:rsidP="000A5389">
      <w:pPr>
        <w:spacing w:line="240" w:lineRule="auto"/>
        <w:ind w:left="-20" w:right="-20"/>
        <w:rPr>
          <w:rFonts w:eastAsia="Times New Roman" w:cs="Times New Roman"/>
          <w:szCs w:val="24"/>
          <w:lang w:val="es-ES"/>
        </w:rPr>
      </w:pPr>
      <w:r w:rsidRPr="00951AB1">
        <w:rPr>
          <w:rFonts w:eastAsia="Times New Roman" w:cs="Times New Roman"/>
          <w:sz w:val="14"/>
          <w:szCs w:val="14"/>
          <w:lang w:val="es-ES"/>
        </w:rPr>
        <w:t>Cifras expresadas en pesos</w:t>
      </w:r>
      <w:r w:rsidRPr="00951AB1">
        <w:rPr>
          <w:rFonts w:eastAsia="Times New Roman" w:cs="Times New Roman"/>
          <w:szCs w:val="24"/>
          <w:lang w:val="es-ES"/>
        </w:rPr>
        <w:t xml:space="preserve"> </w:t>
      </w:r>
    </w:p>
    <w:p w14:paraId="3B4ED9A4" w14:textId="77777777" w:rsidR="002D6214" w:rsidRPr="00951AB1" w:rsidRDefault="002D6214" w:rsidP="000A5389">
      <w:pPr>
        <w:spacing w:line="240" w:lineRule="auto"/>
        <w:ind w:left="-20" w:right="-20"/>
        <w:rPr>
          <w:rFonts w:cs="Times New Roman"/>
        </w:rPr>
      </w:pPr>
    </w:p>
    <w:p w14:paraId="3D852B30" w14:textId="06847212" w:rsidR="005571A9" w:rsidRPr="00951AB1" w:rsidRDefault="005571A9" w:rsidP="000A5389">
      <w:pPr>
        <w:spacing w:line="240" w:lineRule="auto"/>
        <w:ind w:left="-20" w:right="-20"/>
        <w:rPr>
          <w:rFonts w:eastAsia="Times New Roman" w:cs="Times New Roman"/>
          <w:szCs w:val="24"/>
          <w:lang w:val="es-ES"/>
        </w:rPr>
      </w:pPr>
      <w:r w:rsidRPr="00951AB1">
        <w:rPr>
          <w:rFonts w:eastAsia="Times New Roman" w:cs="Times New Roman"/>
          <w:szCs w:val="24"/>
          <w:lang w:val="es-ES"/>
        </w:rPr>
        <w:t xml:space="preserve">Las Sanciones por valor de $ </w:t>
      </w:r>
      <w:r w:rsidR="00E953C9" w:rsidRPr="00951AB1">
        <w:rPr>
          <w:rFonts w:eastAsia="Times New Roman" w:cs="Times New Roman"/>
          <w:szCs w:val="24"/>
          <w:lang w:val="es-ES"/>
        </w:rPr>
        <w:t>110.</w:t>
      </w:r>
      <w:r w:rsidR="00D31E69" w:rsidRPr="00951AB1">
        <w:rPr>
          <w:rFonts w:eastAsia="Times New Roman" w:cs="Times New Roman"/>
          <w:szCs w:val="24"/>
          <w:lang w:val="es-ES"/>
        </w:rPr>
        <w:t>198.723.</w:t>
      </w:r>
      <w:r w:rsidR="00A21848" w:rsidRPr="00951AB1">
        <w:rPr>
          <w:rFonts w:eastAsia="Times New Roman" w:cs="Times New Roman"/>
          <w:szCs w:val="24"/>
          <w:lang w:val="es-ES"/>
        </w:rPr>
        <w:t>897</w:t>
      </w:r>
      <w:r w:rsidRPr="00951AB1">
        <w:rPr>
          <w:rFonts w:eastAsia="Times New Roman" w:cs="Times New Roman"/>
          <w:szCs w:val="24"/>
          <w:lang w:val="es-ES"/>
        </w:rPr>
        <w:t xml:space="preserve">, corresponden a ingresos imputados en virtud de actos administrativos expedidos por la Agencia Nacional de Infraestructura, previamente ejecutoriados, cuya naturaleza obedece a sanciones contractuales. </w:t>
      </w:r>
    </w:p>
    <w:p w14:paraId="2CEB3B63" w14:textId="5148A15D" w:rsidR="00E51643" w:rsidRPr="00951AB1" w:rsidRDefault="00E51643" w:rsidP="000A5389">
      <w:pPr>
        <w:spacing w:line="240" w:lineRule="auto"/>
        <w:ind w:left="-20" w:right="-20"/>
        <w:rPr>
          <w:rFonts w:eastAsia="Times New Roman" w:cs="Times New Roman"/>
          <w:szCs w:val="24"/>
          <w:lang w:val="es-ES"/>
        </w:rPr>
      </w:pPr>
    </w:p>
    <w:p w14:paraId="5FA343DE" w14:textId="3C672FD0" w:rsidR="00EA56A8" w:rsidRPr="00951AB1" w:rsidRDefault="00EA56A8" w:rsidP="000A5389">
      <w:pPr>
        <w:spacing w:line="240" w:lineRule="auto"/>
        <w:ind w:left="-20" w:right="-20"/>
        <w:rPr>
          <w:rFonts w:eastAsia="Times New Roman" w:cs="Times New Roman"/>
          <w:szCs w:val="24"/>
          <w:lang w:val="es-ES"/>
        </w:rPr>
      </w:pPr>
      <w:r w:rsidRPr="00951AB1">
        <w:rPr>
          <w:rFonts w:eastAsia="Times New Roman" w:cs="Times New Roman"/>
          <w:szCs w:val="24"/>
          <w:lang w:val="es-ES"/>
        </w:rPr>
        <w:t xml:space="preserve">Se relaciona el saldo a 31 de diciembre de </w:t>
      </w:r>
      <w:r w:rsidR="00C772BD" w:rsidRPr="00951AB1">
        <w:rPr>
          <w:rFonts w:eastAsia="Times New Roman" w:cs="Times New Roman"/>
          <w:szCs w:val="24"/>
          <w:lang w:val="es-ES"/>
        </w:rPr>
        <w:t>2025 a</w:t>
      </w:r>
      <w:r w:rsidRPr="00951AB1">
        <w:rPr>
          <w:rFonts w:eastAsia="Times New Roman" w:cs="Times New Roman"/>
          <w:szCs w:val="24"/>
          <w:lang w:val="es-ES"/>
        </w:rPr>
        <w:t xml:space="preserve"> nivel de terceros:</w:t>
      </w:r>
    </w:p>
    <w:p w14:paraId="4FA2358C" w14:textId="77777777" w:rsidR="00C772BD" w:rsidRPr="00951AB1" w:rsidRDefault="00C772BD" w:rsidP="000A5389">
      <w:pPr>
        <w:spacing w:line="240" w:lineRule="auto"/>
        <w:ind w:left="-20" w:right="-20"/>
        <w:rPr>
          <w:rFonts w:eastAsia="Times New Roman" w:cs="Times New Roman"/>
          <w:szCs w:val="24"/>
          <w:lang w:val="es-ES"/>
        </w:rPr>
      </w:pPr>
    </w:p>
    <w:tbl>
      <w:tblPr>
        <w:tblW w:w="5000" w:type="pct"/>
        <w:tbl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insideH w:val="single" w:sz="2" w:space="0" w:color="A6A6A6" w:themeColor="background1" w:themeShade="A6"/>
          <w:insideV w:val="single" w:sz="2" w:space="0" w:color="A6A6A6" w:themeColor="background1" w:themeShade="A6"/>
        </w:tblBorders>
        <w:tblCellMar>
          <w:left w:w="70" w:type="dxa"/>
          <w:right w:w="70" w:type="dxa"/>
        </w:tblCellMar>
        <w:tblLook w:val="04A0" w:firstRow="1" w:lastRow="0" w:firstColumn="1" w:lastColumn="0" w:noHBand="0" w:noVBand="1"/>
      </w:tblPr>
      <w:tblGrid>
        <w:gridCol w:w="6202"/>
        <w:gridCol w:w="2630"/>
      </w:tblGrid>
      <w:tr w:rsidR="00C804CA" w:rsidRPr="00951AB1" w14:paraId="13089088" w14:textId="77777777" w:rsidTr="002D6214">
        <w:trPr>
          <w:trHeight w:val="315"/>
          <w:tblHeader/>
        </w:trPr>
        <w:tc>
          <w:tcPr>
            <w:tcW w:w="3511" w:type="pct"/>
            <w:vAlign w:val="center"/>
          </w:tcPr>
          <w:p w14:paraId="73E47843" w14:textId="09FAD9B6" w:rsidR="21AA72DF" w:rsidRPr="5B0C84B6" w:rsidRDefault="21AA72DF" w:rsidP="000A5389">
            <w:pPr>
              <w:spacing w:line="240" w:lineRule="auto"/>
              <w:jc w:val="center"/>
              <w:rPr>
                <w:rFonts w:eastAsia="Times New Roman" w:cs="Times New Roman"/>
                <w:b/>
                <w:bCs/>
                <w:color w:val="000000" w:themeColor="text1"/>
                <w:sz w:val="20"/>
                <w:szCs w:val="20"/>
                <w:lang w:eastAsia="es-CO"/>
              </w:rPr>
            </w:pPr>
            <w:r w:rsidRPr="5B0C84B6">
              <w:rPr>
                <w:rFonts w:eastAsia="Times New Roman" w:cs="Times New Roman"/>
                <w:b/>
                <w:bCs/>
                <w:color w:val="000000" w:themeColor="text1"/>
                <w:sz w:val="20"/>
                <w:szCs w:val="20"/>
                <w:lang w:eastAsia="es-CO"/>
              </w:rPr>
              <w:t>ENTIDAD</w:t>
            </w:r>
          </w:p>
        </w:tc>
        <w:tc>
          <w:tcPr>
            <w:tcW w:w="1489" w:type="pct"/>
            <w:vAlign w:val="center"/>
            <w:hideMark/>
          </w:tcPr>
          <w:p w14:paraId="58FA3D25" w14:textId="77777777" w:rsidR="00C804CA" w:rsidRPr="00951AB1" w:rsidRDefault="00C804CA" w:rsidP="000A5389">
            <w:pPr>
              <w:spacing w:line="240" w:lineRule="auto"/>
              <w:jc w:val="center"/>
              <w:rPr>
                <w:rFonts w:eastAsia="Times New Roman" w:cs="Times New Roman"/>
                <w:b/>
                <w:bCs/>
                <w:color w:val="000000"/>
                <w:kern w:val="0"/>
                <w:sz w:val="20"/>
                <w:szCs w:val="20"/>
                <w:lang w:eastAsia="es-CO"/>
                <w14:ligatures w14:val="none"/>
              </w:rPr>
            </w:pPr>
            <w:r w:rsidRPr="00951AB1">
              <w:rPr>
                <w:rFonts w:eastAsia="Times New Roman" w:cs="Times New Roman"/>
                <w:b/>
                <w:bCs/>
                <w:color w:val="000000"/>
                <w:kern w:val="0"/>
                <w:sz w:val="20"/>
                <w:szCs w:val="20"/>
                <w:lang w:eastAsia="es-CO"/>
                <w14:ligatures w14:val="none"/>
              </w:rPr>
              <w:t>VALOR</w:t>
            </w:r>
          </w:p>
        </w:tc>
      </w:tr>
      <w:tr w:rsidR="00C804CA" w:rsidRPr="00951AB1" w14:paraId="0F68AC8D" w14:textId="77777777" w:rsidTr="002D6214">
        <w:trPr>
          <w:trHeight w:val="148"/>
        </w:trPr>
        <w:tc>
          <w:tcPr>
            <w:tcW w:w="3511" w:type="pct"/>
            <w:vAlign w:val="center"/>
            <w:hideMark/>
          </w:tcPr>
          <w:p w14:paraId="148FD421" w14:textId="4D5F1625" w:rsidR="00C804CA" w:rsidRPr="00951AB1" w:rsidRDefault="00C772BD" w:rsidP="000A5389">
            <w:pPr>
              <w:spacing w:line="240" w:lineRule="auto"/>
              <w:rPr>
                <w:rFonts w:eastAsia="Times New Roman" w:cs="Times New Roman"/>
                <w:color w:val="000000"/>
                <w:kern w:val="0"/>
                <w:sz w:val="20"/>
                <w:szCs w:val="20"/>
                <w:lang w:eastAsia="es-CO"/>
                <w14:ligatures w14:val="none"/>
              </w:rPr>
            </w:pPr>
            <w:r w:rsidRPr="00951AB1">
              <w:rPr>
                <w:rFonts w:eastAsia="Times New Roman" w:cs="Times New Roman"/>
                <w:color w:val="000000"/>
                <w:kern w:val="0"/>
                <w:sz w:val="20"/>
                <w:szCs w:val="20"/>
                <w:lang w:eastAsia="es-CO"/>
                <w14:ligatures w14:val="none"/>
              </w:rPr>
              <w:t>Concesionaria Ruta Del Cacao S.A.S.</w:t>
            </w:r>
          </w:p>
        </w:tc>
        <w:tc>
          <w:tcPr>
            <w:tcW w:w="1489" w:type="pct"/>
            <w:vAlign w:val="center"/>
            <w:hideMark/>
          </w:tcPr>
          <w:p w14:paraId="6CC9A916" w14:textId="63752FCE" w:rsidR="00C804CA" w:rsidRPr="00951AB1" w:rsidRDefault="00C804CA" w:rsidP="000A5389">
            <w:pPr>
              <w:spacing w:line="240" w:lineRule="auto"/>
              <w:jc w:val="right"/>
              <w:rPr>
                <w:rFonts w:eastAsia="Times New Roman" w:cs="Times New Roman"/>
                <w:color w:val="000000"/>
                <w:kern w:val="0"/>
                <w:sz w:val="20"/>
                <w:szCs w:val="20"/>
                <w:lang w:eastAsia="es-CO"/>
                <w14:ligatures w14:val="none"/>
              </w:rPr>
            </w:pPr>
            <w:r w:rsidRPr="00951AB1">
              <w:rPr>
                <w:rFonts w:eastAsia="Times New Roman" w:cs="Times New Roman"/>
                <w:color w:val="000000"/>
                <w:kern w:val="0"/>
                <w:sz w:val="20"/>
                <w:szCs w:val="20"/>
                <w:lang w:eastAsia="es-CO"/>
                <w14:ligatures w14:val="none"/>
              </w:rPr>
              <w:t xml:space="preserve">88.128.488.323 </w:t>
            </w:r>
          </w:p>
        </w:tc>
      </w:tr>
      <w:tr w:rsidR="00C804CA" w:rsidRPr="00951AB1" w14:paraId="2BB03DD8" w14:textId="77777777" w:rsidTr="002D6214">
        <w:trPr>
          <w:trHeight w:val="435"/>
        </w:trPr>
        <w:tc>
          <w:tcPr>
            <w:tcW w:w="3511" w:type="pct"/>
            <w:vAlign w:val="center"/>
            <w:hideMark/>
          </w:tcPr>
          <w:p w14:paraId="331CD1C8" w14:textId="744A117B" w:rsidR="00C804CA" w:rsidRPr="00951AB1" w:rsidRDefault="00C772BD" w:rsidP="000A5389">
            <w:pPr>
              <w:spacing w:line="240" w:lineRule="auto"/>
              <w:rPr>
                <w:rFonts w:eastAsia="Times New Roman" w:cs="Times New Roman"/>
                <w:color w:val="000000"/>
                <w:kern w:val="0"/>
                <w:sz w:val="20"/>
                <w:szCs w:val="20"/>
                <w:lang w:eastAsia="es-CO"/>
                <w14:ligatures w14:val="none"/>
              </w:rPr>
            </w:pPr>
            <w:r w:rsidRPr="00951AB1">
              <w:rPr>
                <w:rFonts w:eastAsia="Times New Roman" w:cs="Times New Roman"/>
                <w:color w:val="000000"/>
                <w:kern w:val="0"/>
                <w:sz w:val="20"/>
                <w:szCs w:val="20"/>
                <w:lang w:eastAsia="es-CO"/>
                <w14:ligatures w14:val="none"/>
              </w:rPr>
              <w:t>Sociedad Portuaria Energética Multipropósito Y Contenedores Puerto Solo Buenaventura S. A</w:t>
            </w:r>
          </w:p>
        </w:tc>
        <w:tc>
          <w:tcPr>
            <w:tcW w:w="1489" w:type="pct"/>
            <w:vAlign w:val="center"/>
            <w:hideMark/>
          </w:tcPr>
          <w:p w14:paraId="73A8BEE5" w14:textId="31240B65" w:rsidR="00C804CA" w:rsidRPr="00951AB1" w:rsidRDefault="00C804CA" w:rsidP="000A5389">
            <w:pPr>
              <w:spacing w:line="240" w:lineRule="auto"/>
              <w:jc w:val="right"/>
              <w:rPr>
                <w:rFonts w:eastAsia="Times New Roman" w:cs="Times New Roman"/>
                <w:color w:val="000000"/>
                <w:kern w:val="0"/>
                <w:sz w:val="20"/>
                <w:szCs w:val="20"/>
                <w:lang w:eastAsia="es-CO"/>
                <w14:ligatures w14:val="none"/>
              </w:rPr>
            </w:pPr>
            <w:r w:rsidRPr="00951AB1">
              <w:rPr>
                <w:rFonts w:eastAsia="Times New Roman" w:cs="Times New Roman"/>
                <w:color w:val="000000"/>
                <w:kern w:val="0"/>
                <w:sz w:val="20"/>
                <w:szCs w:val="20"/>
                <w:lang w:eastAsia="es-CO"/>
                <w14:ligatures w14:val="none"/>
              </w:rPr>
              <w:t xml:space="preserve">9.869.720.000 </w:t>
            </w:r>
          </w:p>
        </w:tc>
      </w:tr>
      <w:tr w:rsidR="00C804CA" w:rsidRPr="00951AB1" w14:paraId="07EF0ABD" w14:textId="77777777" w:rsidTr="002D6214">
        <w:trPr>
          <w:trHeight w:val="166"/>
        </w:trPr>
        <w:tc>
          <w:tcPr>
            <w:tcW w:w="3511" w:type="pct"/>
            <w:vAlign w:val="center"/>
            <w:hideMark/>
          </w:tcPr>
          <w:p w14:paraId="1D646F34" w14:textId="5B296406" w:rsidR="00C804CA" w:rsidRPr="00951AB1" w:rsidRDefault="00C772BD" w:rsidP="000A5389">
            <w:pPr>
              <w:spacing w:line="240" w:lineRule="auto"/>
              <w:rPr>
                <w:rFonts w:eastAsia="Times New Roman" w:cs="Times New Roman"/>
                <w:color w:val="000000"/>
                <w:kern w:val="0"/>
                <w:sz w:val="20"/>
                <w:szCs w:val="20"/>
                <w:lang w:eastAsia="es-CO"/>
                <w14:ligatures w14:val="none"/>
              </w:rPr>
            </w:pPr>
            <w:r w:rsidRPr="00951AB1">
              <w:rPr>
                <w:rFonts w:eastAsia="Times New Roman" w:cs="Times New Roman"/>
                <w:color w:val="000000"/>
                <w:kern w:val="0"/>
                <w:sz w:val="20"/>
                <w:szCs w:val="20"/>
                <w:lang w:eastAsia="es-CO"/>
                <w14:ligatures w14:val="none"/>
              </w:rPr>
              <w:t>Consorcio Velnec - Gng</w:t>
            </w:r>
          </w:p>
        </w:tc>
        <w:tc>
          <w:tcPr>
            <w:tcW w:w="1489" w:type="pct"/>
            <w:vAlign w:val="center"/>
            <w:hideMark/>
          </w:tcPr>
          <w:p w14:paraId="310AD736" w14:textId="47BBDCEE" w:rsidR="00C804CA" w:rsidRPr="00951AB1" w:rsidRDefault="00C804CA" w:rsidP="000A5389">
            <w:pPr>
              <w:spacing w:line="240" w:lineRule="auto"/>
              <w:jc w:val="right"/>
              <w:rPr>
                <w:rFonts w:eastAsia="Times New Roman" w:cs="Times New Roman"/>
                <w:color w:val="000000"/>
                <w:kern w:val="0"/>
                <w:sz w:val="20"/>
                <w:szCs w:val="20"/>
                <w:lang w:eastAsia="es-CO"/>
                <w14:ligatures w14:val="none"/>
              </w:rPr>
            </w:pPr>
            <w:r w:rsidRPr="00951AB1">
              <w:rPr>
                <w:rFonts w:eastAsia="Times New Roman" w:cs="Times New Roman"/>
                <w:color w:val="000000"/>
                <w:kern w:val="0"/>
                <w:sz w:val="20"/>
                <w:szCs w:val="20"/>
                <w:lang w:eastAsia="es-CO"/>
                <w14:ligatures w14:val="none"/>
              </w:rPr>
              <w:t xml:space="preserve">2.176.129.175 </w:t>
            </w:r>
          </w:p>
        </w:tc>
      </w:tr>
      <w:tr w:rsidR="00C804CA" w:rsidRPr="00951AB1" w14:paraId="7132F378" w14:textId="77777777" w:rsidTr="002D6214">
        <w:trPr>
          <w:trHeight w:val="270"/>
        </w:trPr>
        <w:tc>
          <w:tcPr>
            <w:tcW w:w="3511" w:type="pct"/>
            <w:vAlign w:val="center"/>
            <w:hideMark/>
          </w:tcPr>
          <w:p w14:paraId="38AF3241" w14:textId="1D362EDF" w:rsidR="00C804CA" w:rsidRPr="00951AB1" w:rsidRDefault="00C772BD" w:rsidP="000A5389">
            <w:pPr>
              <w:spacing w:line="240" w:lineRule="auto"/>
              <w:rPr>
                <w:rFonts w:eastAsia="Times New Roman" w:cs="Times New Roman"/>
                <w:color w:val="000000"/>
                <w:kern w:val="0"/>
                <w:sz w:val="20"/>
                <w:szCs w:val="20"/>
                <w:lang w:eastAsia="es-CO"/>
                <w14:ligatures w14:val="none"/>
              </w:rPr>
            </w:pPr>
            <w:r w:rsidRPr="00951AB1">
              <w:rPr>
                <w:rFonts w:eastAsia="Times New Roman" w:cs="Times New Roman"/>
                <w:color w:val="000000"/>
                <w:kern w:val="0"/>
                <w:sz w:val="20"/>
                <w:szCs w:val="20"/>
                <w:lang w:eastAsia="es-CO"/>
                <w14:ligatures w14:val="none"/>
              </w:rPr>
              <w:t>Benavides Sansevieria Sociedad Por Acciones Simplificada</w:t>
            </w:r>
          </w:p>
        </w:tc>
        <w:tc>
          <w:tcPr>
            <w:tcW w:w="1489" w:type="pct"/>
            <w:vAlign w:val="center"/>
            <w:hideMark/>
          </w:tcPr>
          <w:p w14:paraId="3427AD5F" w14:textId="6EE13920" w:rsidR="00C804CA" w:rsidRPr="00951AB1" w:rsidRDefault="00C804CA" w:rsidP="000A5389">
            <w:pPr>
              <w:spacing w:line="240" w:lineRule="auto"/>
              <w:jc w:val="right"/>
              <w:rPr>
                <w:rFonts w:eastAsia="Times New Roman" w:cs="Times New Roman"/>
                <w:color w:val="000000"/>
                <w:kern w:val="0"/>
                <w:sz w:val="20"/>
                <w:szCs w:val="20"/>
                <w:lang w:eastAsia="es-CO"/>
                <w14:ligatures w14:val="none"/>
              </w:rPr>
            </w:pPr>
            <w:r w:rsidRPr="00951AB1">
              <w:rPr>
                <w:rFonts w:eastAsia="Times New Roman" w:cs="Times New Roman"/>
                <w:color w:val="000000"/>
                <w:kern w:val="0"/>
                <w:sz w:val="20"/>
                <w:szCs w:val="20"/>
                <w:lang w:eastAsia="es-CO"/>
                <w14:ligatures w14:val="none"/>
              </w:rPr>
              <w:t xml:space="preserve">24.386.400 </w:t>
            </w:r>
          </w:p>
        </w:tc>
      </w:tr>
      <w:tr w:rsidR="00C772BD" w:rsidRPr="00951AB1" w14:paraId="6C4B9C5C" w14:textId="77777777" w:rsidTr="002D6214">
        <w:trPr>
          <w:trHeight w:val="315"/>
        </w:trPr>
        <w:tc>
          <w:tcPr>
            <w:tcW w:w="3511" w:type="pct"/>
            <w:vAlign w:val="center"/>
          </w:tcPr>
          <w:p w14:paraId="336657C6" w14:textId="2E889B81" w:rsidR="2C8A1658" w:rsidRPr="5B0C84B6" w:rsidRDefault="2C8A1658" w:rsidP="000A5389">
            <w:pPr>
              <w:spacing w:line="240" w:lineRule="auto"/>
              <w:rPr>
                <w:rFonts w:eastAsia="Times New Roman" w:cs="Times New Roman"/>
                <w:b/>
                <w:bCs/>
                <w:color w:val="000000" w:themeColor="text1"/>
                <w:sz w:val="20"/>
                <w:szCs w:val="20"/>
                <w:lang w:eastAsia="es-CO"/>
              </w:rPr>
            </w:pPr>
            <w:r w:rsidRPr="5B0C84B6">
              <w:rPr>
                <w:rFonts w:eastAsia="Times New Roman" w:cs="Times New Roman"/>
                <w:b/>
                <w:bCs/>
                <w:color w:val="000000" w:themeColor="text1"/>
                <w:sz w:val="20"/>
                <w:szCs w:val="20"/>
                <w:lang w:eastAsia="es-CO"/>
              </w:rPr>
              <w:t>TOTAL</w:t>
            </w:r>
          </w:p>
        </w:tc>
        <w:tc>
          <w:tcPr>
            <w:tcW w:w="1489" w:type="pct"/>
            <w:vAlign w:val="center"/>
            <w:hideMark/>
          </w:tcPr>
          <w:p w14:paraId="0BC05362" w14:textId="00ED2781" w:rsidR="00C772BD" w:rsidRPr="00951AB1" w:rsidRDefault="00C772BD" w:rsidP="000A5389">
            <w:pPr>
              <w:spacing w:line="240" w:lineRule="auto"/>
              <w:jc w:val="right"/>
              <w:rPr>
                <w:rFonts w:eastAsia="Times New Roman" w:cs="Times New Roman"/>
                <w:b/>
                <w:bCs/>
                <w:color w:val="000000"/>
                <w:kern w:val="0"/>
                <w:sz w:val="20"/>
                <w:szCs w:val="20"/>
                <w:lang w:eastAsia="es-CO"/>
                <w14:ligatures w14:val="none"/>
              </w:rPr>
            </w:pPr>
            <w:r w:rsidRPr="00951AB1">
              <w:rPr>
                <w:rFonts w:eastAsia="Times New Roman" w:cs="Times New Roman"/>
                <w:b/>
                <w:bCs/>
                <w:color w:val="000000"/>
                <w:kern w:val="0"/>
                <w:sz w:val="20"/>
                <w:szCs w:val="20"/>
                <w:lang w:eastAsia="es-CO"/>
                <w14:ligatures w14:val="none"/>
              </w:rPr>
              <w:t xml:space="preserve">100.198.723.898 </w:t>
            </w:r>
          </w:p>
        </w:tc>
      </w:tr>
    </w:tbl>
    <w:p w14:paraId="3E5CBEA6" w14:textId="77777777" w:rsidR="00C804CA" w:rsidRPr="00951AB1" w:rsidRDefault="00C804CA" w:rsidP="000A5389">
      <w:pPr>
        <w:spacing w:line="240" w:lineRule="auto"/>
        <w:ind w:left="-20" w:right="-20"/>
        <w:rPr>
          <w:rFonts w:cs="Times New Roman"/>
        </w:rPr>
      </w:pPr>
      <w:r w:rsidRPr="00951AB1">
        <w:rPr>
          <w:rFonts w:eastAsia="Times New Roman" w:cs="Times New Roman"/>
          <w:sz w:val="14"/>
          <w:szCs w:val="14"/>
          <w:lang w:val="es-ES"/>
        </w:rPr>
        <w:t>Cifras expresadas en pesos</w:t>
      </w:r>
      <w:r w:rsidRPr="00951AB1">
        <w:rPr>
          <w:rFonts w:eastAsia="Times New Roman" w:cs="Times New Roman"/>
          <w:szCs w:val="24"/>
          <w:lang w:val="es-ES"/>
        </w:rPr>
        <w:t xml:space="preserve"> </w:t>
      </w:r>
    </w:p>
    <w:p w14:paraId="1F6CE7F9" w14:textId="77777777" w:rsidR="00563708" w:rsidRPr="00951AB1" w:rsidRDefault="00563708" w:rsidP="000A5389">
      <w:pPr>
        <w:spacing w:line="240" w:lineRule="auto"/>
        <w:ind w:left="-20" w:right="-20"/>
        <w:rPr>
          <w:rFonts w:eastAsia="Times New Roman" w:cs="Times New Roman"/>
          <w:i/>
          <w:iCs/>
          <w:color w:val="000000"/>
          <w:kern w:val="0"/>
          <w:szCs w:val="24"/>
          <w:lang w:eastAsia="es-CO"/>
          <w14:ligatures w14:val="none"/>
        </w:rPr>
      </w:pPr>
    </w:p>
    <w:p w14:paraId="3504549A" w14:textId="13262873" w:rsidR="00C804CA" w:rsidRPr="00951AB1" w:rsidRDefault="00F6138E" w:rsidP="000A5389">
      <w:pPr>
        <w:spacing w:line="240" w:lineRule="auto"/>
        <w:ind w:left="-20" w:right="-20"/>
        <w:rPr>
          <w:rFonts w:cs="Times New Roman"/>
          <w:szCs w:val="24"/>
        </w:rPr>
      </w:pPr>
      <w:r w:rsidRPr="00951AB1">
        <w:rPr>
          <w:rFonts w:eastAsia="Times New Roman" w:cs="Times New Roman"/>
          <w:i/>
          <w:iCs/>
          <w:color w:val="000000"/>
          <w:kern w:val="0"/>
          <w:szCs w:val="24"/>
          <w:lang w:eastAsia="es-CO"/>
          <w14:ligatures w14:val="none"/>
        </w:rPr>
        <w:lastRenderedPageBreak/>
        <w:t>CONCESIONARIA RUTA DEL CACAO S.A.S.</w:t>
      </w:r>
      <w:r w:rsidR="00DE1B1F" w:rsidRPr="00951AB1">
        <w:rPr>
          <w:rFonts w:eastAsia="Times New Roman" w:cs="Times New Roman"/>
          <w:i/>
          <w:iCs/>
          <w:color w:val="000000"/>
          <w:kern w:val="0"/>
          <w:szCs w:val="24"/>
          <w:lang w:eastAsia="es-CO"/>
          <w14:ligatures w14:val="none"/>
        </w:rPr>
        <w:t xml:space="preserve">: </w:t>
      </w:r>
      <w:r w:rsidR="00913B0F" w:rsidRPr="00951AB1">
        <w:rPr>
          <w:rFonts w:cs="Times New Roman"/>
          <w:szCs w:val="24"/>
        </w:rPr>
        <w:t xml:space="preserve">Se </w:t>
      </w:r>
      <w:r w:rsidR="00531926" w:rsidRPr="00951AB1">
        <w:rPr>
          <w:rFonts w:cs="Times New Roman"/>
          <w:szCs w:val="24"/>
        </w:rPr>
        <w:t xml:space="preserve">dio reconocimiento a la </w:t>
      </w:r>
      <w:r w:rsidR="002C06A5" w:rsidRPr="00951AB1">
        <w:rPr>
          <w:rFonts w:cs="Times New Roman"/>
          <w:szCs w:val="24"/>
        </w:rPr>
        <w:t>Resolución 20237070017615</w:t>
      </w:r>
      <w:r w:rsidR="0066277B" w:rsidRPr="00951AB1">
        <w:rPr>
          <w:rFonts w:cs="Times New Roman"/>
          <w:szCs w:val="24"/>
        </w:rPr>
        <w:t xml:space="preserve"> de fecha</w:t>
      </w:r>
      <w:r w:rsidR="002C06A5" w:rsidRPr="00951AB1">
        <w:rPr>
          <w:rFonts w:cs="Times New Roman"/>
          <w:szCs w:val="24"/>
        </w:rPr>
        <w:t xml:space="preserve"> 15-12-2023,</w:t>
      </w:r>
      <w:r w:rsidR="0066277B" w:rsidRPr="00951AB1">
        <w:rPr>
          <w:rFonts w:cs="Times New Roman"/>
          <w:szCs w:val="24"/>
        </w:rPr>
        <w:t xml:space="preserve"> proceso </w:t>
      </w:r>
      <w:r w:rsidR="00E258D0" w:rsidRPr="00951AB1">
        <w:rPr>
          <w:rFonts w:cs="Times New Roman"/>
          <w:szCs w:val="24"/>
        </w:rPr>
        <w:t>administrativo sancionatorio</w:t>
      </w:r>
      <w:r w:rsidR="00747BA5" w:rsidRPr="00951AB1">
        <w:rPr>
          <w:rFonts w:cs="Times New Roman"/>
          <w:szCs w:val="24"/>
        </w:rPr>
        <w:t xml:space="preserve"> seguido</w:t>
      </w:r>
      <w:r w:rsidR="0025574E" w:rsidRPr="00951AB1">
        <w:rPr>
          <w:rFonts w:cs="Times New Roman"/>
          <w:szCs w:val="24"/>
        </w:rPr>
        <w:t xml:space="preserve"> por el presunto </w:t>
      </w:r>
      <w:r w:rsidR="00887B4E" w:rsidRPr="00951AB1">
        <w:rPr>
          <w:rFonts w:cs="Times New Roman"/>
          <w:szCs w:val="24"/>
        </w:rPr>
        <w:t xml:space="preserve">incumplimiento del concesionario </w:t>
      </w:r>
      <w:r w:rsidR="002C06A5" w:rsidRPr="00951AB1">
        <w:rPr>
          <w:rFonts w:cs="Times New Roman"/>
          <w:szCs w:val="24"/>
        </w:rPr>
        <w:t>RUTA DEL CACAO S.A.S.</w:t>
      </w:r>
      <w:r w:rsidR="00FA29A7" w:rsidRPr="00951AB1">
        <w:rPr>
          <w:rFonts w:cs="Times New Roman"/>
          <w:szCs w:val="24"/>
        </w:rPr>
        <w:t xml:space="preserve"> de las obligaciones referidas</w:t>
      </w:r>
      <w:r w:rsidR="001F76FB" w:rsidRPr="00951AB1">
        <w:rPr>
          <w:rFonts w:cs="Times New Roman"/>
          <w:szCs w:val="24"/>
        </w:rPr>
        <w:t xml:space="preserve"> a la puesta en disposición de las intervenciones</w:t>
      </w:r>
      <w:r w:rsidR="00FA29A7" w:rsidRPr="00951AB1">
        <w:rPr>
          <w:rFonts w:cs="Times New Roman"/>
          <w:szCs w:val="24"/>
        </w:rPr>
        <w:t xml:space="preserve"> </w:t>
      </w:r>
      <w:r w:rsidR="009F0A36" w:rsidRPr="00951AB1">
        <w:rPr>
          <w:rFonts w:cs="Times New Roman"/>
          <w:szCs w:val="24"/>
        </w:rPr>
        <w:t>de la unidad funcional</w:t>
      </w:r>
      <w:r w:rsidR="00634C62" w:rsidRPr="00951AB1">
        <w:rPr>
          <w:rFonts w:cs="Times New Roman"/>
          <w:szCs w:val="24"/>
        </w:rPr>
        <w:t xml:space="preserve"> 8 dentro del contrato </w:t>
      </w:r>
      <w:r w:rsidR="00CF7296" w:rsidRPr="00951AB1">
        <w:rPr>
          <w:rFonts w:cs="Times New Roman"/>
          <w:szCs w:val="24"/>
        </w:rPr>
        <w:t xml:space="preserve">de concesión 013 de 2015, proyecto </w:t>
      </w:r>
      <w:r w:rsidR="00A833E0" w:rsidRPr="00951AB1">
        <w:rPr>
          <w:rFonts w:cs="Times New Roman"/>
          <w:szCs w:val="24"/>
        </w:rPr>
        <w:t>Bucaramanga – Barrancabermeja – Yond</w:t>
      </w:r>
      <w:r w:rsidR="00A76D17" w:rsidRPr="00951AB1">
        <w:rPr>
          <w:rFonts w:cs="Times New Roman"/>
          <w:szCs w:val="24"/>
        </w:rPr>
        <w:t xml:space="preserve">ó </w:t>
      </w:r>
      <w:r w:rsidR="006B01FF" w:rsidRPr="00951AB1">
        <w:rPr>
          <w:rFonts w:cs="Times New Roman"/>
          <w:szCs w:val="24"/>
        </w:rPr>
        <w:t xml:space="preserve">de acuerdo al </w:t>
      </w:r>
      <w:r w:rsidR="00A833E0" w:rsidRPr="00951AB1">
        <w:rPr>
          <w:rFonts w:cs="Times New Roman"/>
          <w:i/>
          <w:iCs/>
          <w:szCs w:val="24"/>
        </w:rPr>
        <w:t>Expediente No. 20227070320700017E”</w:t>
      </w:r>
      <w:r w:rsidR="006B01FF" w:rsidRPr="00951AB1">
        <w:rPr>
          <w:rFonts w:cs="Times New Roman"/>
          <w:szCs w:val="24"/>
        </w:rPr>
        <w:t>;</w:t>
      </w:r>
      <w:r w:rsidR="002C06A5" w:rsidRPr="00951AB1">
        <w:rPr>
          <w:rFonts w:cs="Times New Roman"/>
          <w:szCs w:val="24"/>
        </w:rPr>
        <w:t xml:space="preserve">que con la </w:t>
      </w:r>
      <w:r w:rsidR="00E8306F" w:rsidRPr="00951AB1">
        <w:rPr>
          <w:rFonts w:cs="Times New Roman"/>
          <w:szCs w:val="24"/>
        </w:rPr>
        <w:t xml:space="preserve">resolución </w:t>
      </w:r>
      <w:r w:rsidR="002C06A5" w:rsidRPr="00951AB1">
        <w:rPr>
          <w:rFonts w:cs="Times New Roman"/>
          <w:szCs w:val="24"/>
        </w:rPr>
        <w:t xml:space="preserve"> 20257070000175 de fecha 13-01-2025</w:t>
      </w:r>
      <w:r w:rsidR="00640C3F" w:rsidRPr="00951AB1">
        <w:rPr>
          <w:rFonts w:cs="Times New Roman"/>
          <w:i/>
          <w:iCs/>
          <w:szCs w:val="24"/>
        </w:rPr>
        <w:t xml:space="preserve">“Por medio de la cual se resuelven los recursos de </w:t>
      </w:r>
      <w:r w:rsidR="00013D99" w:rsidRPr="00951AB1">
        <w:rPr>
          <w:rFonts w:cs="Times New Roman"/>
          <w:i/>
          <w:iCs/>
          <w:szCs w:val="24"/>
        </w:rPr>
        <w:t>reposición</w:t>
      </w:r>
      <w:r w:rsidR="00640C3F" w:rsidRPr="00951AB1">
        <w:rPr>
          <w:rFonts w:cs="Times New Roman"/>
          <w:i/>
          <w:iCs/>
          <w:szCs w:val="24"/>
        </w:rPr>
        <w:t xml:space="preserve"> interpuestos contra la</w:t>
      </w:r>
      <w:r w:rsidR="00013D99" w:rsidRPr="00951AB1">
        <w:rPr>
          <w:rFonts w:cs="Times New Roman"/>
          <w:i/>
          <w:iCs/>
          <w:szCs w:val="24"/>
        </w:rPr>
        <w:t xml:space="preserve"> resolución</w:t>
      </w:r>
      <w:r w:rsidR="00640C3F" w:rsidRPr="00951AB1">
        <w:rPr>
          <w:rFonts w:cs="Times New Roman"/>
          <w:i/>
          <w:iCs/>
          <w:szCs w:val="24"/>
        </w:rPr>
        <w:t xml:space="preserve"> No. 20237070017615 de 15 de diciembre de 2023”</w:t>
      </w:r>
      <w:r w:rsidR="00013D99" w:rsidRPr="00951AB1">
        <w:rPr>
          <w:rFonts w:cs="Times New Roman"/>
          <w:i/>
          <w:iCs/>
          <w:szCs w:val="24"/>
        </w:rPr>
        <w:t xml:space="preserve"> </w:t>
      </w:r>
      <w:r w:rsidR="006B01FF" w:rsidRPr="00951AB1">
        <w:rPr>
          <w:rFonts w:cs="Times New Roman"/>
          <w:szCs w:val="24"/>
        </w:rPr>
        <w:t xml:space="preserve">y que </w:t>
      </w:r>
      <w:r w:rsidR="0057772E" w:rsidRPr="00951AB1">
        <w:rPr>
          <w:rFonts w:cs="Times New Roman"/>
          <w:szCs w:val="24"/>
        </w:rPr>
        <w:t>con la resolución</w:t>
      </w:r>
      <w:r w:rsidR="0057772E" w:rsidRPr="00951AB1">
        <w:rPr>
          <w:rFonts w:cs="Times New Roman"/>
          <w:i/>
          <w:iCs/>
          <w:szCs w:val="24"/>
        </w:rPr>
        <w:t xml:space="preserve"> </w:t>
      </w:r>
      <w:r w:rsidR="0057772E" w:rsidRPr="00951AB1">
        <w:rPr>
          <w:rFonts w:cs="Times New Roman"/>
          <w:szCs w:val="24"/>
        </w:rPr>
        <w:t xml:space="preserve">20257070000625 de fecha 22-01-2025 </w:t>
      </w:r>
      <w:r w:rsidR="004E6B51" w:rsidRPr="00951AB1">
        <w:rPr>
          <w:rFonts w:cs="Times New Roman"/>
          <w:i/>
          <w:iCs/>
          <w:szCs w:val="24"/>
        </w:rPr>
        <w:t>“Por medio de la cual se modifica la Resolución No. 20237070017615 del 15 de diciembre de 2023, confirmada por la Resolución No. 20257070000175 de 13 de enero de 2025”</w:t>
      </w:r>
      <w:r w:rsidR="002C06A5" w:rsidRPr="00951AB1">
        <w:rPr>
          <w:rFonts w:cs="Times New Roman"/>
          <w:szCs w:val="24"/>
        </w:rPr>
        <w:t>y con Const</w:t>
      </w:r>
      <w:r w:rsidR="00485EEE" w:rsidRPr="00951AB1">
        <w:rPr>
          <w:rFonts w:cs="Times New Roman"/>
          <w:szCs w:val="24"/>
        </w:rPr>
        <w:t>ancia</w:t>
      </w:r>
      <w:r w:rsidR="002C06A5" w:rsidRPr="00951AB1">
        <w:rPr>
          <w:rFonts w:cs="Times New Roman"/>
          <w:szCs w:val="24"/>
        </w:rPr>
        <w:t xml:space="preserve"> de Ejec</w:t>
      </w:r>
      <w:r w:rsidR="00485EEE" w:rsidRPr="00951AB1">
        <w:rPr>
          <w:rFonts w:cs="Times New Roman"/>
          <w:szCs w:val="24"/>
        </w:rPr>
        <w:t>utoria</w:t>
      </w:r>
      <w:r w:rsidR="002C06A5" w:rsidRPr="00951AB1">
        <w:rPr>
          <w:rFonts w:cs="Times New Roman"/>
          <w:szCs w:val="24"/>
        </w:rPr>
        <w:t xml:space="preserve"> con Rad</w:t>
      </w:r>
      <w:r w:rsidR="0085357A" w:rsidRPr="00951AB1">
        <w:rPr>
          <w:rFonts w:cs="Times New Roman"/>
          <w:szCs w:val="24"/>
        </w:rPr>
        <w:t xml:space="preserve">icado </w:t>
      </w:r>
      <w:r w:rsidR="002C06A5" w:rsidRPr="00951AB1">
        <w:rPr>
          <w:rFonts w:cs="Times New Roman"/>
          <w:szCs w:val="24"/>
        </w:rPr>
        <w:t xml:space="preserve"> ANI 20251010037029 </w:t>
      </w:r>
      <w:r w:rsidR="0085357A" w:rsidRPr="00951AB1">
        <w:rPr>
          <w:rFonts w:cs="Times New Roman"/>
          <w:szCs w:val="24"/>
        </w:rPr>
        <w:t>de fecha</w:t>
      </w:r>
      <w:r w:rsidR="002C06A5" w:rsidRPr="00951AB1">
        <w:rPr>
          <w:rFonts w:cs="Times New Roman"/>
          <w:szCs w:val="24"/>
        </w:rPr>
        <w:t xml:space="preserve"> 12-05-2025</w:t>
      </w:r>
      <w:r w:rsidR="0085357A" w:rsidRPr="00951AB1">
        <w:rPr>
          <w:rFonts w:cs="Times New Roman"/>
          <w:szCs w:val="24"/>
        </w:rPr>
        <w:t>.</w:t>
      </w:r>
    </w:p>
    <w:p w14:paraId="3B453353" w14:textId="77777777" w:rsidR="0085357A" w:rsidRPr="00951AB1" w:rsidRDefault="0085357A" w:rsidP="000A5389">
      <w:pPr>
        <w:spacing w:line="240" w:lineRule="auto"/>
        <w:ind w:left="-20" w:right="-20"/>
        <w:rPr>
          <w:rFonts w:cs="Times New Roman"/>
          <w:szCs w:val="24"/>
        </w:rPr>
      </w:pPr>
    </w:p>
    <w:p w14:paraId="50CDEB47" w14:textId="016D0605" w:rsidR="0093224C" w:rsidRPr="00951AB1" w:rsidRDefault="00C96F58" w:rsidP="000A5389">
      <w:pPr>
        <w:spacing w:line="240" w:lineRule="auto"/>
        <w:ind w:left="-20" w:right="-20"/>
        <w:rPr>
          <w:rFonts w:cs="Times New Roman"/>
          <w:szCs w:val="24"/>
        </w:rPr>
      </w:pPr>
      <w:r w:rsidRPr="00951AB1">
        <w:rPr>
          <w:rFonts w:cs="Times New Roman"/>
          <w:szCs w:val="24"/>
        </w:rPr>
        <w:t>En virtud de lo anterior y d</w:t>
      </w:r>
      <w:r w:rsidR="00CC365E" w:rsidRPr="00951AB1">
        <w:rPr>
          <w:rFonts w:cs="Times New Roman"/>
          <w:szCs w:val="24"/>
        </w:rPr>
        <w:t xml:space="preserve">e conformidad </w:t>
      </w:r>
      <w:r w:rsidR="0093224C" w:rsidRPr="00951AB1">
        <w:rPr>
          <w:rFonts w:cs="Times New Roman"/>
          <w:szCs w:val="24"/>
        </w:rPr>
        <w:t>a lo dispuesto en el radicado 20255050132943 de</w:t>
      </w:r>
      <w:r w:rsidR="00FA0CB4" w:rsidRPr="00951AB1">
        <w:rPr>
          <w:rFonts w:cs="Times New Roman"/>
          <w:szCs w:val="24"/>
        </w:rPr>
        <w:t xml:space="preserve"> fecha </w:t>
      </w:r>
      <w:r w:rsidR="0093224C" w:rsidRPr="00951AB1">
        <w:rPr>
          <w:rFonts w:cs="Times New Roman"/>
          <w:szCs w:val="24"/>
        </w:rPr>
        <w:t>28-07-2025</w:t>
      </w:r>
      <w:r w:rsidR="000C1DC8" w:rsidRPr="00951AB1">
        <w:rPr>
          <w:rFonts w:cs="Times New Roman"/>
          <w:szCs w:val="24"/>
        </w:rPr>
        <w:t xml:space="preserve"> se </w:t>
      </w:r>
      <w:r w:rsidR="009B7D9D" w:rsidRPr="00951AB1">
        <w:rPr>
          <w:rFonts w:cs="Times New Roman"/>
          <w:szCs w:val="24"/>
        </w:rPr>
        <w:t>realizó</w:t>
      </w:r>
      <w:r w:rsidR="000C1DC8" w:rsidRPr="00951AB1">
        <w:rPr>
          <w:rFonts w:cs="Times New Roman"/>
          <w:szCs w:val="24"/>
        </w:rPr>
        <w:t xml:space="preserve"> actualización </w:t>
      </w:r>
      <w:r w:rsidR="009B7D9D" w:rsidRPr="00951AB1">
        <w:rPr>
          <w:rFonts w:cs="Times New Roman"/>
          <w:szCs w:val="24"/>
        </w:rPr>
        <w:t>de la multa</w:t>
      </w:r>
      <w:r w:rsidR="0093224C" w:rsidRPr="00951AB1">
        <w:rPr>
          <w:rFonts w:cs="Times New Roman"/>
          <w:szCs w:val="24"/>
        </w:rPr>
        <w:t xml:space="preserve"> conforme a los dispuesto</w:t>
      </w:r>
      <w:r w:rsidR="009B7D9D" w:rsidRPr="00951AB1">
        <w:rPr>
          <w:rFonts w:cs="Times New Roman"/>
          <w:szCs w:val="24"/>
        </w:rPr>
        <w:t xml:space="preserve"> en el contrato</w:t>
      </w:r>
      <w:r w:rsidR="0093224C" w:rsidRPr="00951AB1">
        <w:rPr>
          <w:rFonts w:cs="Times New Roman"/>
          <w:szCs w:val="24"/>
        </w:rPr>
        <w:t xml:space="preserve"> 013/2015 Parte general en la sección 10.4.</w:t>
      </w:r>
    </w:p>
    <w:p w14:paraId="00E9F065" w14:textId="77777777" w:rsidR="009B7D9D" w:rsidRPr="00951AB1" w:rsidRDefault="009B7D9D" w:rsidP="000A5389">
      <w:pPr>
        <w:spacing w:line="240" w:lineRule="auto"/>
        <w:ind w:left="-20" w:right="-20"/>
        <w:rPr>
          <w:rFonts w:cs="Times New Roman"/>
          <w:szCs w:val="24"/>
          <w:u w:val="single"/>
        </w:rPr>
      </w:pPr>
    </w:p>
    <w:p w14:paraId="21493082" w14:textId="04F0B732" w:rsidR="000104D1" w:rsidRPr="00951AB1" w:rsidRDefault="009B7D9D" w:rsidP="000A5389">
      <w:pPr>
        <w:spacing w:line="240" w:lineRule="auto"/>
        <w:ind w:left="-20" w:right="-20"/>
        <w:rPr>
          <w:rFonts w:cs="Times New Roman"/>
          <w:szCs w:val="24"/>
        </w:rPr>
      </w:pPr>
      <w:r w:rsidRPr="00951AB1">
        <w:rPr>
          <w:rFonts w:eastAsia="Times New Roman" w:cs="Times New Roman"/>
          <w:i/>
          <w:iCs/>
          <w:color w:val="000000"/>
          <w:kern w:val="0"/>
          <w:szCs w:val="24"/>
          <w:lang w:eastAsia="es-CO"/>
          <w14:ligatures w14:val="none"/>
        </w:rPr>
        <w:t xml:space="preserve">SOCIEDAD PORTUARIA ENERGETICA MULTIPROPOSITO Y CONTENEDORES </w:t>
      </w:r>
      <w:r w:rsidR="00C772BD" w:rsidRPr="00951AB1">
        <w:rPr>
          <w:rFonts w:eastAsia="Times New Roman" w:cs="Times New Roman"/>
          <w:i/>
          <w:iCs/>
          <w:color w:val="000000"/>
          <w:kern w:val="0"/>
          <w:szCs w:val="24"/>
          <w:lang w:eastAsia="es-CO"/>
          <w14:ligatures w14:val="none"/>
        </w:rPr>
        <w:t>PUERTO SOLO</w:t>
      </w:r>
      <w:r w:rsidRPr="00951AB1">
        <w:rPr>
          <w:rFonts w:eastAsia="Times New Roman" w:cs="Times New Roman"/>
          <w:i/>
          <w:iCs/>
          <w:color w:val="000000"/>
          <w:kern w:val="0"/>
          <w:szCs w:val="24"/>
          <w:lang w:eastAsia="es-CO"/>
          <w14:ligatures w14:val="none"/>
        </w:rPr>
        <w:t xml:space="preserve"> BUENAVENTURA S. A</w:t>
      </w:r>
      <w:r w:rsidR="00DE1B1F" w:rsidRPr="00951AB1">
        <w:rPr>
          <w:rFonts w:eastAsia="Times New Roman" w:cs="Times New Roman"/>
          <w:i/>
          <w:iCs/>
          <w:color w:val="000000"/>
          <w:kern w:val="0"/>
          <w:szCs w:val="24"/>
          <w:lang w:eastAsia="es-CO"/>
          <w14:ligatures w14:val="none"/>
        </w:rPr>
        <w:t xml:space="preserve">: </w:t>
      </w:r>
      <w:r w:rsidR="005613E8" w:rsidRPr="00951AB1">
        <w:rPr>
          <w:rFonts w:cs="Times New Roman"/>
          <w:szCs w:val="24"/>
        </w:rPr>
        <w:t xml:space="preserve">Se dio reconocimiento a la Resolución </w:t>
      </w:r>
      <w:r w:rsidR="006947AE" w:rsidRPr="00951AB1">
        <w:rPr>
          <w:rFonts w:cs="Times New Roman"/>
          <w:szCs w:val="24"/>
        </w:rPr>
        <w:t xml:space="preserve">20247070014225 </w:t>
      </w:r>
      <w:r w:rsidR="001B25E8" w:rsidRPr="00951AB1">
        <w:rPr>
          <w:rFonts w:cs="Times New Roman"/>
          <w:szCs w:val="24"/>
        </w:rPr>
        <w:t>de fecha 07-11-2024</w:t>
      </w:r>
      <w:r w:rsidR="00924EF1" w:rsidRPr="00951AB1">
        <w:rPr>
          <w:rFonts w:cs="Times New Roman"/>
          <w:szCs w:val="24"/>
        </w:rPr>
        <w:t xml:space="preserve">, </w:t>
      </w:r>
      <w:r w:rsidR="000F1980" w:rsidRPr="00951AB1">
        <w:rPr>
          <w:rFonts w:cs="Times New Roman"/>
          <w:szCs w:val="24"/>
        </w:rPr>
        <w:t>“</w:t>
      </w:r>
      <w:r w:rsidR="000F1980" w:rsidRPr="00951AB1">
        <w:rPr>
          <w:rFonts w:cs="Times New Roman"/>
          <w:i/>
          <w:iCs/>
          <w:szCs w:val="24"/>
        </w:rPr>
        <w:t>por la que se declara un incumplimiento dentro del procedimiento administrativo sancionatorio contractual adelantado contra la Sociedad Portuaria Energética Multipropósito y Contenedores Puerto Solo Buenaventura S.A. PUERTO SOLO S.A., en el marco del Contrato de Concesión Portuaria No. 001 de 2021. Expediente No.20237070320700033E”</w:t>
      </w:r>
      <w:r w:rsidR="00F827FD" w:rsidRPr="00951AB1">
        <w:rPr>
          <w:rFonts w:cs="Times New Roman"/>
          <w:i/>
          <w:iCs/>
          <w:szCs w:val="24"/>
        </w:rPr>
        <w:t xml:space="preserve"> </w:t>
      </w:r>
      <w:r w:rsidR="00F827FD" w:rsidRPr="00951AB1">
        <w:rPr>
          <w:rFonts w:cs="Times New Roman"/>
          <w:szCs w:val="24"/>
        </w:rPr>
        <w:t xml:space="preserve">y que con </w:t>
      </w:r>
      <w:r w:rsidR="0070052B" w:rsidRPr="00951AB1">
        <w:rPr>
          <w:rFonts w:cs="Times New Roman"/>
          <w:szCs w:val="24"/>
        </w:rPr>
        <w:t xml:space="preserve">la resolución </w:t>
      </w:r>
      <w:r w:rsidR="009F3661" w:rsidRPr="00951AB1">
        <w:rPr>
          <w:rFonts w:cs="Times New Roman"/>
          <w:szCs w:val="24"/>
        </w:rPr>
        <w:t xml:space="preserve">20257070012435 de fecha </w:t>
      </w:r>
      <w:r w:rsidR="009275E2" w:rsidRPr="00951AB1">
        <w:rPr>
          <w:rFonts w:cs="Times New Roman"/>
          <w:szCs w:val="24"/>
        </w:rPr>
        <w:t xml:space="preserve">29-08-2025, </w:t>
      </w:r>
      <w:r w:rsidR="0070052B" w:rsidRPr="00951AB1">
        <w:rPr>
          <w:rFonts w:cs="Times New Roman"/>
          <w:szCs w:val="24"/>
        </w:rPr>
        <w:t>“</w:t>
      </w:r>
      <w:r w:rsidR="0070052B" w:rsidRPr="00951AB1">
        <w:rPr>
          <w:rFonts w:cs="Times New Roman"/>
          <w:i/>
          <w:iCs/>
          <w:szCs w:val="24"/>
        </w:rPr>
        <w:t>por medio de la cual se resuelven los recursos de reposición interpuestos contra la Resolución No. 20247070014225 de 7 de noviembre de 2024”</w:t>
      </w:r>
      <w:r w:rsidR="000104D1" w:rsidRPr="00951AB1">
        <w:rPr>
          <w:rFonts w:cs="Times New Roman"/>
          <w:szCs w:val="24"/>
        </w:rPr>
        <w:t xml:space="preserve"> y con Constancia de Ejecutoria con </w:t>
      </w:r>
      <w:r w:rsidR="00C772BD" w:rsidRPr="00951AB1">
        <w:rPr>
          <w:rFonts w:cs="Times New Roman"/>
          <w:szCs w:val="24"/>
        </w:rPr>
        <w:t>Radicado ANI</w:t>
      </w:r>
      <w:r w:rsidR="000104D1" w:rsidRPr="00951AB1">
        <w:rPr>
          <w:rFonts w:cs="Times New Roman"/>
          <w:szCs w:val="24"/>
        </w:rPr>
        <w:t xml:space="preserve"> </w:t>
      </w:r>
      <w:r w:rsidR="007F130A" w:rsidRPr="00951AB1">
        <w:rPr>
          <w:rFonts w:cs="Times New Roman"/>
          <w:b/>
          <w:bCs/>
          <w:szCs w:val="24"/>
        </w:rPr>
        <w:t>2</w:t>
      </w:r>
      <w:r w:rsidR="007F130A" w:rsidRPr="00951AB1">
        <w:rPr>
          <w:rFonts w:cs="Times New Roman"/>
          <w:szCs w:val="24"/>
        </w:rPr>
        <w:t>0251010073689</w:t>
      </w:r>
      <w:r w:rsidR="000104D1" w:rsidRPr="00951AB1">
        <w:rPr>
          <w:rFonts w:cs="Times New Roman"/>
          <w:szCs w:val="24"/>
        </w:rPr>
        <w:t xml:space="preserve"> de fecha </w:t>
      </w:r>
      <w:r w:rsidR="00BA33CE" w:rsidRPr="00951AB1">
        <w:rPr>
          <w:rFonts w:cs="Times New Roman"/>
          <w:szCs w:val="24"/>
        </w:rPr>
        <w:t>05</w:t>
      </w:r>
      <w:r w:rsidR="000104D1" w:rsidRPr="00951AB1">
        <w:rPr>
          <w:rFonts w:cs="Times New Roman"/>
          <w:szCs w:val="24"/>
        </w:rPr>
        <w:t>-0</w:t>
      </w:r>
      <w:r w:rsidR="00BA33CE" w:rsidRPr="00951AB1">
        <w:rPr>
          <w:rFonts w:cs="Times New Roman"/>
          <w:szCs w:val="24"/>
        </w:rPr>
        <w:t>9</w:t>
      </w:r>
      <w:r w:rsidR="000104D1" w:rsidRPr="00951AB1">
        <w:rPr>
          <w:rFonts w:cs="Times New Roman"/>
          <w:szCs w:val="24"/>
        </w:rPr>
        <w:t>-2025.</w:t>
      </w:r>
    </w:p>
    <w:p w14:paraId="565B78B3" w14:textId="0FD6A18E" w:rsidR="005613E8" w:rsidRPr="00951AB1" w:rsidRDefault="005613E8" w:rsidP="000A5389">
      <w:pPr>
        <w:spacing w:line="240" w:lineRule="auto"/>
        <w:ind w:left="-20" w:right="-20"/>
        <w:rPr>
          <w:rFonts w:cs="Times New Roman"/>
          <w:i/>
          <w:iCs/>
          <w:szCs w:val="24"/>
        </w:rPr>
      </w:pPr>
    </w:p>
    <w:p w14:paraId="43049227" w14:textId="710D7987" w:rsidR="00EA4854" w:rsidRPr="00951AB1" w:rsidRDefault="006374D7" w:rsidP="000A5389">
      <w:pPr>
        <w:spacing w:line="240" w:lineRule="auto"/>
        <w:ind w:left="-20" w:right="-20"/>
        <w:rPr>
          <w:rFonts w:cs="Times New Roman"/>
          <w:szCs w:val="24"/>
        </w:rPr>
      </w:pPr>
      <w:r w:rsidRPr="00951AB1">
        <w:rPr>
          <w:rFonts w:eastAsia="Times New Roman" w:cs="Times New Roman"/>
          <w:i/>
          <w:iCs/>
          <w:color w:val="000000"/>
          <w:kern w:val="0"/>
          <w:szCs w:val="24"/>
          <w:lang w:eastAsia="es-CO"/>
          <w14:ligatures w14:val="none"/>
        </w:rPr>
        <w:t>CONSORCIO VELNEC – GNG</w:t>
      </w:r>
      <w:r w:rsidR="00DE1B1F" w:rsidRPr="00951AB1">
        <w:rPr>
          <w:rFonts w:eastAsia="Times New Roman" w:cs="Times New Roman"/>
          <w:i/>
          <w:iCs/>
          <w:color w:val="000000"/>
          <w:kern w:val="0"/>
          <w:szCs w:val="24"/>
          <w:lang w:eastAsia="es-CO"/>
          <w14:ligatures w14:val="none"/>
        </w:rPr>
        <w:t xml:space="preserve">: </w:t>
      </w:r>
      <w:r w:rsidRPr="00951AB1">
        <w:rPr>
          <w:rFonts w:cs="Times New Roman"/>
          <w:szCs w:val="24"/>
        </w:rPr>
        <w:t xml:space="preserve">Se dio reconocimiento a la Resolución </w:t>
      </w:r>
      <w:r w:rsidR="00FC6EE2" w:rsidRPr="00951AB1">
        <w:rPr>
          <w:rFonts w:cs="Times New Roman"/>
          <w:szCs w:val="24"/>
        </w:rPr>
        <w:t xml:space="preserve">20247070009845 de fecha 08-08-2024 </w:t>
      </w:r>
      <w:r w:rsidR="00D041EB" w:rsidRPr="00951AB1">
        <w:rPr>
          <w:rFonts w:cs="Times New Roman"/>
          <w:szCs w:val="24"/>
        </w:rPr>
        <w:t>“</w:t>
      </w:r>
      <w:r w:rsidR="00D041EB" w:rsidRPr="00951AB1">
        <w:rPr>
          <w:rFonts w:cs="Times New Roman"/>
          <w:i/>
          <w:iCs/>
          <w:szCs w:val="24"/>
        </w:rPr>
        <w:t>por la que se declaran unos incumplimientos y se hace efectiva la cláusula penal,</w:t>
      </w:r>
      <w:r w:rsidR="007D3C36" w:rsidRPr="00951AB1">
        <w:rPr>
          <w:rFonts w:cs="Times New Roman"/>
          <w:i/>
          <w:iCs/>
          <w:szCs w:val="24"/>
        </w:rPr>
        <w:t xml:space="preserve"> </w:t>
      </w:r>
      <w:r w:rsidR="00D041EB" w:rsidRPr="00951AB1">
        <w:rPr>
          <w:rFonts w:cs="Times New Roman"/>
          <w:i/>
          <w:iCs/>
          <w:szCs w:val="24"/>
        </w:rPr>
        <w:t>dentro del proceso administrativo sancionatorio contractual adelantado contra el CONSORCIO VELNEC-GNG, en el marco del Contrato de Interventoría No. 100 de 2016. Expediente No. 20237070320700049E”</w:t>
      </w:r>
      <w:r w:rsidR="00B86FED" w:rsidRPr="00951AB1">
        <w:rPr>
          <w:rFonts w:cs="Times New Roman"/>
          <w:i/>
          <w:iCs/>
          <w:szCs w:val="24"/>
        </w:rPr>
        <w:t xml:space="preserve"> </w:t>
      </w:r>
      <w:r w:rsidR="00B86FED" w:rsidRPr="00951AB1">
        <w:rPr>
          <w:rFonts w:cs="Times New Roman"/>
          <w:szCs w:val="24"/>
        </w:rPr>
        <w:t xml:space="preserve">y que con resolución </w:t>
      </w:r>
      <w:r w:rsidR="008018D4" w:rsidRPr="00951AB1">
        <w:rPr>
          <w:rFonts w:cs="Times New Roman"/>
          <w:szCs w:val="24"/>
        </w:rPr>
        <w:t>20257070012045 de fecha 20-08-2025</w:t>
      </w:r>
      <w:r w:rsidR="008018D4" w:rsidRPr="00951AB1">
        <w:rPr>
          <w:rFonts w:cs="Times New Roman"/>
          <w:b/>
          <w:bCs/>
          <w:i/>
          <w:iCs/>
          <w:szCs w:val="24"/>
        </w:rPr>
        <w:t xml:space="preserve"> </w:t>
      </w:r>
      <w:r w:rsidR="008018D4" w:rsidRPr="00951AB1">
        <w:rPr>
          <w:rFonts w:cs="Times New Roman"/>
          <w:i/>
          <w:iCs/>
          <w:szCs w:val="24"/>
        </w:rPr>
        <w:t>“Por medio de la cual se resuelven unos recursos de reposición interpuestos contra la Resolución No. 20247070009845 de 8 de agosto de 2024”</w:t>
      </w:r>
      <w:r w:rsidR="00EA4854" w:rsidRPr="00951AB1">
        <w:rPr>
          <w:rFonts w:cs="Times New Roman"/>
          <w:szCs w:val="24"/>
        </w:rPr>
        <w:t xml:space="preserve"> y con Constancia de Ejecutoria con </w:t>
      </w:r>
      <w:r w:rsidR="00DE1B1F" w:rsidRPr="00951AB1">
        <w:rPr>
          <w:rFonts w:cs="Times New Roman"/>
          <w:szCs w:val="24"/>
        </w:rPr>
        <w:t>Radicado ANI</w:t>
      </w:r>
      <w:r w:rsidR="00EA4854" w:rsidRPr="00951AB1">
        <w:rPr>
          <w:rFonts w:cs="Times New Roman"/>
          <w:szCs w:val="24"/>
        </w:rPr>
        <w:t xml:space="preserve"> 20251010074969 de fecha 09-09-2025.</w:t>
      </w:r>
    </w:p>
    <w:p w14:paraId="47EC48B7" w14:textId="77777777" w:rsidR="00FB0BEF" w:rsidRPr="00951AB1" w:rsidRDefault="00FB0BEF" w:rsidP="000A5389">
      <w:pPr>
        <w:spacing w:line="240" w:lineRule="auto"/>
        <w:ind w:left="-20" w:right="-20"/>
        <w:rPr>
          <w:rFonts w:cs="Times New Roman"/>
          <w:szCs w:val="24"/>
        </w:rPr>
      </w:pPr>
    </w:p>
    <w:p w14:paraId="77B034E0" w14:textId="10BA13BB" w:rsidR="00F4039D" w:rsidRPr="00951AB1" w:rsidRDefault="0077065C" w:rsidP="000A5389">
      <w:pPr>
        <w:spacing w:line="240" w:lineRule="auto"/>
        <w:ind w:left="-20" w:right="-20"/>
        <w:rPr>
          <w:rFonts w:cs="Times New Roman"/>
          <w:szCs w:val="24"/>
        </w:rPr>
      </w:pPr>
      <w:r w:rsidRPr="00951AB1">
        <w:rPr>
          <w:rFonts w:eastAsia="Times New Roman" w:cs="Times New Roman"/>
          <w:i/>
          <w:iCs/>
          <w:color w:val="000000"/>
          <w:kern w:val="0"/>
          <w:szCs w:val="24"/>
          <w:lang w:eastAsia="es-CO"/>
          <w14:ligatures w14:val="none"/>
        </w:rPr>
        <w:t>BENAVIDES SANSEVIERO SOCIEDAD POR ACCIONES SIMPLIFICADA</w:t>
      </w:r>
      <w:r w:rsidR="00DE1B1F" w:rsidRPr="00951AB1">
        <w:rPr>
          <w:rFonts w:eastAsia="Times New Roman" w:cs="Times New Roman"/>
          <w:i/>
          <w:iCs/>
          <w:color w:val="000000"/>
          <w:kern w:val="0"/>
          <w:szCs w:val="24"/>
          <w:lang w:eastAsia="es-CO"/>
          <w14:ligatures w14:val="none"/>
        </w:rPr>
        <w:t xml:space="preserve">: </w:t>
      </w:r>
      <w:r w:rsidRPr="00951AB1">
        <w:rPr>
          <w:rFonts w:cs="Times New Roman"/>
          <w:szCs w:val="24"/>
        </w:rPr>
        <w:t xml:space="preserve">Se dio reconocimiento a la Resolución </w:t>
      </w:r>
      <w:r w:rsidR="00411593" w:rsidRPr="00951AB1">
        <w:rPr>
          <w:rFonts w:cs="Times New Roman"/>
          <w:szCs w:val="24"/>
        </w:rPr>
        <w:t>20247070005825 d</w:t>
      </w:r>
      <w:r w:rsidR="00D76C7C" w:rsidRPr="00951AB1">
        <w:rPr>
          <w:rFonts w:cs="Times New Roman"/>
          <w:szCs w:val="24"/>
        </w:rPr>
        <w:t>e</w:t>
      </w:r>
      <w:r w:rsidR="00411593" w:rsidRPr="00951AB1">
        <w:rPr>
          <w:rFonts w:cs="Times New Roman"/>
          <w:szCs w:val="24"/>
        </w:rPr>
        <w:t xml:space="preserve"> fecha 28-05-2024</w:t>
      </w:r>
      <w:r w:rsidR="00411593" w:rsidRPr="00951AB1">
        <w:rPr>
          <w:rFonts w:cs="Times New Roman"/>
          <w:b/>
          <w:bCs/>
          <w:szCs w:val="24"/>
        </w:rPr>
        <w:t xml:space="preserve"> </w:t>
      </w:r>
      <w:r w:rsidR="00D76C7C" w:rsidRPr="00951AB1">
        <w:rPr>
          <w:rFonts w:cs="Times New Roman"/>
          <w:i/>
          <w:iCs/>
          <w:szCs w:val="24"/>
        </w:rPr>
        <w:t>“por la que se resuelve el proceso administrativo sancionatorio contractual adelantado contra la</w:t>
      </w:r>
      <w:r w:rsidR="00DA7FF2" w:rsidRPr="00951AB1">
        <w:rPr>
          <w:rFonts w:cs="Times New Roman"/>
          <w:i/>
          <w:iCs/>
          <w:szCs w:val="24"/>
        </w:rPr>
        <w:t xml:space="preserve"> </w:t>
      </w:r>
      <w:r w:rsidR="00D76C7C" w:rsidRPr="00951AB1">
        <w:rPr>
          <w:rFonts w:cs="Times New Roman"/>
          <w:i/>
          <w:iCs/>
          <w:szCs w:val="24"/>
        </w:rPr>
        <w:t>sociedad Benavides Sanseviero S.A.S. Expediente No. 20237070320700026</w:t>
      </w:r>
      <w:r w:rsidR="00DA7FF2" w:rsidRPr="00951AB1">
        <w:rPr>
          <w:rFonts w:cs="Times New Roman"/>
          <w:i/>
          <w:iCs/>
          <w:szCs w:val="24"/>
        </w:rPr>
        <w:t>E”</w:t>
      </w:r>
      <w:r w:rsidR="00DA7FF2" w:rsidRPr="00951AB1">
        <w:rPr>
          <w:rFonts w:cs="Times New Roman"/>
          <w:szCs w:val="24"/>
        </w:rPr>
        <w:t xml:space="preserve"> y que con la resolución </w:t>
      </w:r>
      <w:r w:rsidR="00343E61" w:rsidRPr="00951AB1">
        <w:rPr>
          <w:rFonts w:cs="Times New Roman"/>
          <w:szCs w:val="24"/>
        </w:rPr>
        <w:t>20257070007005</w:t>
      </w:r>
      <w:r w:rsidR="00DA7FF2" w:rsidRPr="00951AB1">
        <w:rPr>
          <w:rFonts w:cs="Times New Roman"/>
          <w:szCs w:val="24"/>
        </w:rPr>
        <w:t xml:space="preserve"> </w:t>
      </w:r>
      <w:r w:rsidR="00343E61" w:rsidRPr="00951AB1">
        <w:rPr>
          <w:rFonts w:cs="Times New Roman"/>
          <w:szCs w:val="24"/>
        </w:rPr>
        <w:t xml:space="preserve">de fecha </w:t>
      </w:r>
      <w:r w:rsidR="00F4039D" w:rsidRPr="00951AB1">
        <w:rPr>
          <w:rFonts w:cs="Times New Roman"/>
          <w:szCs w:val="24"/>
        </w:rPr>
        <w:t>28-05-2025 “</w:t>
      </w:r>
      <w:r w:rsidR="00F4039D" w:rsidRPr="00951AB1">
        <w:rPr>
          <w:rFonts w:cs="Times New Roman"/>
          <w:i/>
          <w:iCs/>
          <w:szCs w:val="24"/>
        </w:rPr>
        <w:t xml:space="preserve">Por medio de la cual se resuelven los recursos de reposición interpuestos en contra de la resolución No. 20247070005825 de 28 de mayo de </w:t>
      </w:r>
      <w:r w:rsidR="00F4039D" w:rsidRPr="00951AB1">
        <w:rPr>
          <w:rFonts w:cs="Times New Roman"/>
          <w:i/>
          <w:iCs/>
          <w:szCs w:val="24"/>
        </w:rPr>
        <w:lastRenderedPageBreak/>
        <w:t>2024</w:t>
      </w:r>
      <w:r w:rsidR="00F4039D" w:rsidRPr="00951AB1">
        <w:rPr>
          <w:rFonts w:cs="Times New Roman"/>
          <w:szCs w:val="24"/>
        </w:rPr>
        <w:t xml:space="preserve">” y con Constancia de Ejecutoria con Radicado  ANI </w:t>
      </w:r>
      <w:r w:rsidR="0070430C" w:rsidRPr="00951AB1">
        <w:rPr>
          <w:rFonts w:cs="Times New Roman"/>
          <w:szCs w:val="24"/>
        </w:rPr>
        <w:t>20251010045049</w:t>
      </w:r>
      <w:r w:rsidR="00F4039D" w:rsidRPr="00951AB1">
        <w:rPr>
          <w:rFonts w:cs="Times New Roman"/>
          <w:szCs w:val="24"/>
        </w:rPr>
        <w:t xml:space="preserve"> de fecha 0</w:t>
      </w:r>
      <w:r w:rsidR="0070430C" w:rsidRPr="00951AB1">
        <w:rPr>
          <w:rFonts w:cs="Times New Roman"/>
          <w:szCs w:val="24"/>
        </w:rPr>
        <w:t>4</w:t>
      </w:r>
      <w:r w:rsidR="00F4039D" w:rsidRPr="00951AB1">
        <w:rPr>
          <w:rFonts w:cs="Times New Roman"/>
          <w:szCs w:val="24"/>
        </w:rPr>
        <w:t>-0</w:t>
      </w:r>
      <w:r w:rsidR="0070430C" w:rsidRPr="00951AB1">
        <w:rPr>
          <w:rFonts w:cs="Times New Roman"/>
          <w:szCs w:val="24"/>
        </w:rPr>
        <w:t>6</w:t>
      </w:r>
      <w:r w:rsidR="00F4039D" w:rsidRPr="00951AB1">
        <w:rPr>
          <w:rFonts w:cs="Times New Roman"/>
          <w:szCs w:val="24"/>
        </w:rPr>
        <w:t>-2025.</w:t>
      </w:r>
    </w:p>
    <w:p w14:paraId="7424BE6E" w14:textId="3DE95AFA" w:rsidR="0077065C" w:rsidRPr="00951AB1" w:rsidRDefault="0077065C" w:rsidP="000A5389">
      <w:pPr>
        <w:spacing w:line="240" w:lineRule="auto"/>
        <w:ind w:left="-20" w:right="-20"/>
        <w:rPr>
          <w:rFonts w:cs="Times New Roman"/>
          <w:i/>
          <w:iCs/>
          <w:szCs w:val="24"/>
        </w:rPr>
      </w:pPr>
    </w:p>
    <w:p w14:paraId="11E8E6A6" w14:textId="268D79B1" w:rsidR="00C361CD" w:rsidRPr="00951AB1" w:rsidRDefault="00C361CD" w:rsidP="000A5389">
      <w:pPr>
        <w:spacing w:line="240" w:lineRule="auto"/>
        <w:rPr>
          <w:rFonts w:cs="Times New Roman"/>
        </w:rPr>
      </w:pPr>
      <w:r w:rsidRPr="00951AB1">
        <w:rPr>
          <w:rFonts w:eastAsia="Times New Roman" w:cs="Times New Roman"/>
          <w:szCs w:val="24"/>
          <w:lang w:val="es-ES"/>
        </w:rPr>
        <w:t>De otra parte, la Agencia a 31 de diciembre de 2025, no presenta pasivos reconocidos originados por recursos recibidos sujetos a condiciones. Así mismo, no presenta cobros anticipados con respecto a las transacciones sin contraprestación.</w:t>
      </w:r>
    </w:p>
    <w:p w14:paraId="4E9C1D2D" w14:textId="77777777" w:rsidR="00DE1B1F" w:rsidRPr="00951AB1" w:rsidRDefault="00DE1B1F" w:rsidP="000A5389">
      <w:pPr>
        <w:spacing w:line="240" w:lineRule="auto"/>
        <w:rPr>
          <w:rFonts w:cs="Times New Roman"/>
        </w:rPr>
      </w:pPr>
    </w:p>
    <w:p w14:paraId="561825D5" w14:textId="77777777" w:rsidR="00DE1B1F" w:rsidRPr="00951AB1" w:rsidRDefault="00DE1B1F" w:rsidP="000A5389">
      <w:pPr>
        <w:numPr>
          <w:ilvl w:val="0"/>
          <w:numId w:val="42"/>
        </w:numPr>
        <w:spacing w:line="240" w:lineRule="auto"/>
        <w:rPr>
          <w:rFonts w:cs="Times New Roman"/>
          <w:szCs w:val="24"/>
        </w:rPr>
      </w:pPr>
      <w:r w:rsidRPr="00951AB1">
        <w:rPr>
          <w:rFonts w:cs="Times New Roman"/>
          <w:szCs w:val="24"/>
        </w:rPr>
        <w:t xml:space="preserve">b) el valor de las cuentas por cobrar reconocidas con respecto a los ingresos sin contraprestación; </w:t>
      </w:r>
    </w:p>
    <w:p w14:paraId="5A830D74" w14:textId="77777777" w:rsidR="00DE1B1F" w:rsidRPr="00951AB1" w:rsidRDefault="00DE1B1F" w:rsidP="000A5389">
      <w:pPr>
        <w:spacing w:line="240" w:lineRule="auto"/>
        <w:rPr>
          <w:rFonts w:cs="Times New Roman"/>
        </w:rPr>
      </w:pPr>
    </w:p>
    <w:tbl>
      <w:tblPr>
        <w:tblW w:w="5000" w:type="pct"/>
        <w:tbl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insideH w:val="single" w:sz="2" w:space="0" w:color="A6A6A6" w:themeColor="background1" w:themeShade="A6"/>
          <w:insideV w:val="single" w:sz="2" w:space="0" w:color="A6A6A6" w:themeColor="background1" w:themeShade="A6"/>
        </w:tblBorders>
        <w:tblCellMar>
          <w:left w:w="70" w:type="dxa"/>
          <w:right w:w="70" w:type="dxa"/>
        </w:tblCellMar>
        <w:tblLook w:val="04A0" w:firstRow="1" w:lastRow="0" w:firstColumn="1" w:lastColumn="0" w:noHBand="0" w:noVBand="1"/>
      </w:tblPr>
      <w:tblGrid>
        <w:gridCol w:w="1748"/>
        <w:gridCol w:w="5594"/>
        <w:gridCol w:w="1490"/>
      </w:tblGrid>
      <w:tr w:rsidR="00D836B8" w:rsidRPr="00951AB1" w14:paraId="4F8D9756" w14:textId="77777777" w:rsidTr="002D6214">
        <w:trPr>
          <w:trHeight w:val="300"/>
          <w:tblHeader/>
        </w:trPr>
        <w:tc>
          <w:tcPr>
            <w:tcW w:w="990" w:type="pct"/>
            <w:vAlign w:val="center"/>
            <w:hideMark/>
          </w:tcPr>
          <w:p w14:paraId="1B047C5D" w14:textId="77777777" w:rsidR="00D836B8" w:rsidRPr="00951AB1" w:rsidRDefault="00D836B8" w:rsidP="000A5389">
            <w:pPr>
              <w:spacing w:line="240" w:lineRule="auto"/>
              <w:jc w:val="center"/>
              <w:rPr>
                <w:rFonts w:eastAsia="Times New Roman" w:cs="Times New Roman"/>
                <w:b/>
                <w:bCs/>
                <w:color w:val="000000"/>
                <w:kern w:val="0"/>
                <w:sz w:val="20"/>
                <w:szCs w:val="20"/>
                <w:lang w:eastAsia="es-CO"/>
                <w14:ligatures w14:val="none"/>
              </w:rPr>
            </w:pPr>
            <w:r w:rsidRPr="00951AB1">
              <w:rPr>
                <w:rFonts w:eastAsia="Times New Roman" w:cs="Times New Roman"/>
                <w:b/>
                <w:bCs/>
                <w:color w:val="000000"/>
                <w:kern w:val="0"/>
                <w:sz w:val="20"/>
                <w:szCs w:val="20"/>
                <w:lang w:eastAsia="es-CO"/>
                <w14:ligatures w14:val="none"/>
              </w:rPr>
              <w:t>CONCEPTO</w:t>
            </w:r>
          </w:p>
        </w:tc>
        <w:tc>
          <w:tcPr>
            <w:tcW w:w="3167" w:type="pct"/>
            <w:vAlign w:val="center"/>
            <w:hideMark/>
          </w:tcPr>
          <w:p w14:paraId="1623ADFD" w14:textId="77777777" w:rsidR="00D836B8" w:rsidRPr="00951AB1" w:rsidRDefault="00D836B8" w:rsidP="000A5389">
            <w:pPr>
              <w:spacing w:line="240" w:lineRule="auto"/>
              <w:jc w:val="center"/>
              <w:rPr>
                <w:rFonts w:eastAsia="Times New Roman" w:cs="Times New Roman"/>
                <w:b/>
                <w:bCs/>
                <w:color w:val="000000"/>
                <w:kern w:val="0"/>
                <w:sz w:val="20"/>
                <w:szCs w:val="20"/>
                <w:lang w:eastAsia="es-CO"/>
                <w14:ligatures w14:val="none"/>
              </w:rPr>
            </w:pPr>
            <w:r w:rsidRPr="00951AB1">
              <w:rPr>
                <w:rFonts w:eastAsia="Times New Roman" w:cs="Times New Roman"/>
                <w:b/>
                <w:bCs/>
                <w:color w:val="000000"/>
                <w:kern w:val="0"/>
                <w:sz w:val="20"/>
                <w:szCs w:val="20"/>
                <w:lang w:eastAsia="es-CO"/>
                <w14:ligatures w14:val="none"/>
              </w:rPr>
              <w:t>TERCERO</w:t>
            </w:r>
          </w:p>
        </w:tc>
        <w:tc>
          <w:tcPr>
            <w:tcW w:w="844" w:type="pct"/>
            <w:vAlign w:val="center"/>
            <w:hideMark/>
          </w:tcPr>
          <w:p w14:paraId="71D69135" w14:textId="77777777" w:rsidR="00D836B8" w:rsidRPr="00951AB1" w:rsidRDefault="00D836B8" w:rsidP="000A5389">
            <w:pPr>
              <w:spacing w:line="240" w:lineRule="auto"/>
              <w:jc w:val="center"/>
              <w:rPr>
                <w:rFonts w:eastAsia="Times New Roman" w:cs="Times New Roman"/>
                <w:b/>
                <w:bCs/>
                <w:color w:val="000000"/>
                <w:kern w:val="0"/>
                <w:sz w:val="20"/>
                <w:szCs w:val="20"/>
                <w:lang w:eastAsia="es-CO"/>
                <w14:ligatures w14:val="none"/>
              </w:rPr>
            </w:pPr>
            <w:r w:rsidRPr="00951AB1">
              <w:rPr>
                <w:rFonts w:eastAsia="Times New Roman" w:cs="Times New Roman"/>
                <w:b/>
                <w:bCs/>
                <w:color w:val="000000"/>
                <w:kern w:val="0"/>
                <w:sz w:val="20"/>
                <w:szCs w:val="20"/>
                <w:lang w:eastAsia="es-CO"/>
                <w14:ligatures w14:val="none"/>
              </w:rPr>
              <w:t>VALOR</w:t>
            </w:r>
          </w:p>
        </w:tc>
      </w:tr>
      <w:tr w:rsidR="002D6214" w:rsidRPr="00951AB1" w14:paraId="1923D33E" w14:textId="77777777" w:rsidTr="002D6214">
        <w:trPr>
          <w:trHeight w:val="300"/>
        </w:trPr>
        <w:tc>
          <w:tcPr>
            <w:tcW w:w="990" w:type="pct"/>
            <w:vMerge w:val="restart"/>
            <w:vAlign w:val="center"/>
            <w:hideMark/>
          </w:tcPr>
          <w:p w14:paraId="05F3AC77" w14:textId="77777777" w:rsidR="002D6214" w:rsidRPr="00951AB1" w:rsidRDefault="002D6214" w:rsidP="000A5389">
            <w:pPr>
              <w:spacing w:line="240" w:lineRule="auto"/>
              <w:rPr>
                <w:rFonts w:eastAsia="Times New Roman" w:cs="Times New Roman"/>
                <w:color w:val="000000"/>
                <w:kern w:val="0"/>
                <w:sz w:val="20"/>
                <w:szCs w:val="20"/>
                <w:lang w:eastAsia="es-CO"/>
                <w14:ligatures w14:val="none"/>
              </w:rPr>
            </w:pPr>
            <w:r w:rsidRPr="00951AB1">
              <w:rPr>
                <w:rFonts w:eastAsia="Times New Roman" w:cs="Times New Roman"/>
                <w:color w:val="000000"/>
                <w:kern w:val="0"/>
                <w:sz w:val="20"/>
                <w:szCs w:val="20"/>
                <w:lang w:eastAsia="es-CO"/>
                <w14:ligatures w14:val="none"/>
              </w:rPr>
              <w:t>Derechos de tránsito</w:t>
            </w:r>
          </w:p>
        </w:tc>
        <w:tc>
          <w:tcPr>
            <w:tcW w:w="3167" w:type="pct"/>
            <w:noWrap/>
            <w:vAlign w:val="center"/>
            <w:hideMark/>
          </w:tcPr>
          <w:p w14:paraId="702C0C1F" w14:textId="7A2E52E6" w:rsidR="002D6214" w:rsidRPr="00951AB1" w:rsidRDefault="002D6214" w:rsidP="000A5389">
            <w:pPr>
              <w:spacing w:line="240" w:lineRule="auto"/>
              <w:rPr>
                <w:rFonts w:eastAsia="Times New Roman" w:cs="Times New Roman"/>
                <w:color w:val="000000"/>
                <w:kern w:val="0"/>
                <w:sz w:val="20"/>
                <w:szCs w:val="20"/>
                <w:lang w:eastAsia="es-CO"/>
                <w14:ligatures w14:val="none"/>
              </w:rPr>
            </w:pPr>
            <w:r w:rsidRPr="00951AB1">
              <w:rPr>
                <w:rFonts w:eastAsia="Times New Roman" w:cs="Times New Roman"/>
                <w:color w:val="000000"/>
                <w:kern w:val="0"/>
                <w:sz w:val="20"/>
                <w:szCs w:val="20"/>
                <w:lang w:eastAsia="es-CO"/>
                <w14:ligatures w14:val="none"/>
              </w:rPr>
              <w:t>Drummond Ltd.</w:t>
            </w:r>
          </w:p>
        </w:tc>
        <w:tc>
          <w:tcPr>
            <w:tcW w:w="844" w:type="pct"/>
            <w:noWrap/>
            <w:vAlign w:val="center"/>
            <w:hideMark/>
          </w:tcPr>
          <w:p w14:paraId="64D9F89F" w14:textId="77777777" w:rsidR="002D6214" w:rsidRPr="00951AB1" w:rsidRDefault="002D6214" w:rsidP="000A5389">
            <w:pPr>
              <w:spacing w:line="240" w:lineRule="auto"/>
              <w:jc w:val="right"/>
              <w:rPr>
                <w:rFonts w:eastAsia="Times New Roman" w:cs="Times New Roman"/>
                <w:color w:val="000000"/>
                <w:kern w:val="0"/>
                <w:sz w:val="20"/>
                <w:szCs w:val="20"/>
                <w:lang w:eastAsia="es-CO"/>
                <w14:ligatures w14:val="none"/>
              </w:rPr>
            </w:pPr>
            <w:r w:rsidRPr="00951AB1">
              <w:rPr>
                <w:rFonts w:eastAsia="Times New Roman" w:cs="Times New Roman"/>
                <w:color w:val="000000"/>
                <w:kern w:val="0"/>
                <w:sz w:val="20"/>
                <w:szCs w:val="20"/>
                <w:lang w:eastAsia="es-CO"/>
                <w14:ligatures w14:val="none"/>
              </w:rPr>
              <w:t>13.873.722.086</w:t>
            </w:r>
          </w:p>
        </w:tc>
      </w:tr>
      <w:tr w:rsidR="002D6214" w:rsidRPr="00951AB1" w14:paraId="31A2B495" w14:textId="77777777" w:rsidTr="002D6214">
        <w:trPr>
          <w:trHeight w:val="300"/>
        </w:trPr>
        <w:tc>
          <w:tcPr>
            <w:tcW w:w="990" w:type="pct"/>
            <w:vMerge/>
            <w:vAlign w:val="center"/>
          </w:tcPr>
          <w:p w14:paraId="0E6B9F15" w14:textId="04DAE7FF" w:rsidR="002D6214" w:rsidRPr="00951AB1" w:rsidRDefault="002D6214" w:rsidP="000A5389">
            <w:pPr>
              <w:spacing w:line="240" w:lineRule="auto"/>
              <w:rPr>
                <w:rFonts w:eastAsia="Times New Roman" w:cs="Times New Roman"/>
                <w:color w:val="000000"/>
                <w:kern w:val="0"/>
                <w:sz w:val="20"/>
                <w:szCs w:val="20"/>
                <w:lang w:eastAsia="es-CO"/>
                <w14:ligatures w14:val="none"/>
              </w:rPr>
            </w:pPr>
          </w:p>
        </w:tc>
        <w:tc>
          <w:tcPr>
            <w:tcW w:w="3167" w:type="pct"/>
            <w:noWrap/>
            <w:vAlign w:val="center"/>
            <w:hideMark/>
          </w:tcPr>
          <w:p w14:paraId="51C2ACE3" w14:textId="59ABA6F0" w:rsidR="002D6214" w:rsidRPr="00951AB1" w:rsidRDefault="002D6214" w:rsidP="000A5389">
            <w:pPr>
              <w:spacing w:line="240" w:lineRule="auto"/>
              <w:rPr>
                <w:rFonts w:eastAsia="Times New Roman" w:cs="Times New Roman"/>
                <w:color w:val="000000"/>
                <w:kern w:val="0"/>
                <w:sz w:val="20"/>
                <w:szCs w:val="20"/>
                <w:lang w:eastAsia="es-CO"/>
                <w14:ligatures w14:val="none"/>
              </w:rPr>
            </w:pPr>
            <w:r w:rsidRPr="00951AB1">
              <w:rPr>
                <w:rFonts w:eastAsia="Times New Roman" w:cs="Times New Roman"/>
                <w:color w:val="000000"/>
                <w:kern w:val="0"/>
                <w:sz w:val="20"/>
                <w:szCs w:val="20"/>
                <w:lang w:eastAsia="es-CO"/>
                <w14:ligatures w14:val="none"/>
              </w:rPr>
              <w:t>Transporte Ferroportuario De Colombia - Transferport S.A.S</w:t>
            </w:r>
          </w:p>
        </w:tc>
        <w:tc>
          <w:tcPr>
            <w:tcW w:w="844" w:type="pct"/>
            <w:noWrap/>
            <w:vAlign w:val="center"/>
            <w:hideMark/>
          </w:tcPr>
          <w:p w14:paraId="346F6C83" w14:textId="77777777" w:rsidR="002D6214" w:rsidRPr="00951AB1" w:rsidRDefault="002D6214" w:rsidP="000A5389">
            <w:pPr>
              <w:spacing w:line="240" w:lineRule="auto"/>
              <w:jc w:val="right"/>
              <w:rPr>
                <w:rFonts w:eastAsia="Times New Roman" w:cs="Times New Roman"/>
                <w:color w:val="000000"/>
                <w:kern w:val="0"/>
                <w:sz w:val="20"/>
                <w:szCs w:val="20"/>
                <w:lang w:eastAsia="es-CO"/>
                <w14:ligatures w14:val="none"/>
              </w:rPr>
            </w:pPr>
            <w:r w:rsidRPr="00951AB1">
              <w:rPr>
                <w:rFonts w:eastAsia="Times New Roman" w:cs="Times New Roman"/>
                <w:color w:val="000000"/>
                <w:kern w:val="0"/>
                <w:sz w:val="20"/>
                <w:szCs w:val="20"/>
                <w:lang w:eastAsia="es-CO"/>
                <w14:ligatures w14:val="none"/>
              </w:rPr>
              <w:t>1.075.314.172</w:t>
            </w:r>
          </w:p>
        </w:tc>
      </w:tr>
      <w:tr w:rsidR="002D6214" w:rsidRPr="00951AB1" w14:paraId="16D9597C" w14:textId="77777777" w:rsidTr="002D6214">
        <w:trPr>
          <w:trHeight w:val="300"/>
        </w:trPr>
        <w:tc>
          <w:tcPr>
            <w:tcW w:w="990" w:type="pct"/>
            <w:vMerge/>
            <w:vAlign w:val="center"/>
          </w:tcPr>
          <w:p w14:paraId="49F68D8C" w14:textId="5D02D99B" w:rsidR="002D6214" w:rsidRPr="00951AB1" w:rsidRDefault="002D6214" w:rsidP="000A5389">
            <w:pPr>
              <w:spacing w:line="240" w:lineRule="auto"/>
              <w:rPr>
                <w:rFonts w:eastAsia="Times New Roman" w:cs="Times New Roman"/>
                <w:color w:val="000000"/>
                <w:kern w:val="0"/>
                <w:sz w:val="20"/>
                <w:szCs w:val="20"/>
                <w:lang w:eastAsia="es-CO"/>
                <w14:ligatures w14:val="none"/>
              </w:rPr>
            </w:pPr>
          </w:p>
        </w:tc>
        <w:tc>
          <w:tcPr>
            <w:tcW w:w="3167" w:type="pct"/>
            <w:noWrap/>
            <w:vAlign w:val="center"/>
            <w:hideMark/>
          </w:tcPr>
          <w:p w14:paraId="12A11066" w14:textId="38EC0125" w:rsidR="002D6214" w:rsidRPr="00951AB1" w:rsidRDefault="002D6214" w:rsidP="000A5389">
            <w:pPr>
              <w:spacing w:line="240" w:lineRule="auto"/>
              <w:rPr>
                <w:rFonts w:eastAsia="Times New Roman" w:cs="Times New Roman"/>
                <w:color w:val="000000"/>
                <w:kern w:val="0"/>
                <w:sz w:val="20"/>
                <w:szCs w:val="20"/>
                <w:lang w:eastAsia="es-CO"/>
                <w14:ligatures w14:val="none"/>
              </w:rPr>
            </w:pPr>
            <w:r w:rsidRPr="00951AB1">
              <w:rPr>
                <w:rFonts w:eastAsia="Times New Roman" w:cs="Times New Roman"/>
                <w:color w:val="000000"/>
                <w:kern w:val="0"/>
                <w:sz w:val="20"/>
                <w:szCs w:val="20"/>
                <w:lang w:eastAsia="es-CO"/>
                <w14:ligatures w14:val="none"/>
              </w:rPr>
              <w:t>C.I. Prodeco S.A.</w:t>
            </w:r>
          </w:p>
        </w:tc>
        <w:tc>
          <w:tcPr>
            <w:tcW w:w="844" w:type="pct"/>
            <w:noWrap/>
            <w:vAlign w:val="center"/>
            <w:hideMark/>
          </w:tcPr>
          <w:p w14:paraId="47FED90B" w14:textId="77777777" w:rsidR="002D6214" w:rsidRPr="00951AB1" w:rsidRDefault="002D6214" w:rsidP="000A5389">
            <w:pPr>
              <w:spacing w:line="240" w:lineRule="auto"/>
              <w:jc w:val="right"/>
              <w:rPr>
                <w:rFonts w:eastAsia="Times New Roman" w:cs="Times New Roman"/>
                <w:color w:val="000000"/>
                <w:kern w:val="0"/>
                <w:sz w:val="20"/>
                <w:szCs w:val="20"/>
                <w:lang w:eastAsia="es-CO"/>
                <w14:ligatures w14:val="none"/>
              </w:rPr>
            </w:pPr>
            <w:r w:rsidRPr="00951AB1">
              <w:rPr>
                <w:rFonts w:eastAsia="Times New Roman" w:cs="Times New Roman"/>
                <w:color w:val="000000"/>
                <w:kern w:val="0"/>
                <w:sz w:val="20"/>
                <w:szCs w:val="20"/>
                <w:lang w:eastAsia="es-CO"/>
                <w14:ligatures w14:val="none"/>
              </w:rPr>
              <w:t>926.099.782</w:t>
            </w:r>
          </w:p>
        </w:tc>
      </w:tr>
      <w:tr w:rsidR="002D6214" w:rsidRPr="00951AB1" w14:paraId="6998D449" w14:textId="77777777" w:rsidTr="002D6214">
        <w:trPr>
          <w:trHeight w:val="300"/>
        </w:trPr>
        <w:tc>
          <w:tcPr>
            <w:tcW w:w="990" w:type="pct"/>
            <w:vMerge/>
            <w:vAlign w:val="center"/>
          </w:tcPr>
          <w:p w14:paraId="2B4A9F66" w14:textId="51630372" w:rsidR="002D6214" w:rsidRPr="00951AB1" w:rsidRDefault="002D6214" w:rsidP="000A5389">
            <w:pPr>
              <w:spacing w:line="240" w:lineRule="auto"/>
              <w:rPr>
                <w:rFonts w:eastAsia="Times New Roman" w:cs="Times New Roman"/>
                <w:color w:val="000000"/>
                <w:kern w:val="0"/>
                <w:sz w:val="20"/>
                <w:szCs w:val="20"/>
                <w:lang w:eastAsia="es-CO"/>
                <w14:ligatures w14:val="none"/>
              </w:rPr>
            </w:pPr>
          </w:p>
        </w:tc>
        <w:tc>
          <w:tcPr>
            <w:tcW w:w="3167" w:type="pct"/>
            <w:noWrap/>
            <w:vAlign w:val="center"/>
            <w:hideMark/>
          </w:tcPr>
          <w:p w14:paraId="68D1CC1E" w14:textId="550E0106" w:rsidR="002D6214" w:rsidRPr="00951AB1" w:rsidRDefault="002D6214" w:rsidP="000A5389">
            <w:pPr>
              <w:spacing w:line="240" w:lineRule="auto"/>
              <w:rPr>
                <w:rFonts w:eastAsia="Times New Roman" w:cs="Times New Roman"/>
                <w:color w:val="000000"/>
                <w:kern w:val="0"/>
                <w:sz w:val="20"/>
                <w:szCs w:val="20"/>
                <w:lang w:eastAsia="es-CO"/>
                <w14:ligatures w14:val="none"/>
              </w:rPr>
            </w:pPr>
            <w:r w:rsidRPr="00951AB1">
              <w:rPr>
                <w:rFonts w:eastAsia="Times New Roman" w:cs="Times New Roman"/>
                <w:color w:val="000000"/>
                <w:kern w:val="0"/>
                <w:sz w:val="20"/>
                <w:szCs w:val="20"/>
                <w:lang w:eastAsia="es-CO"/>
                <w14:ligatures w14:val="none"/>
              </w:rPr>
              <w:t>Consorcio Ferreobelen C&amp;E</w:t>
            </w:r>
          </w:p>
        </w:tc>
        <w:tc>
          <w:tcPr>
            <w:tcW w:w="844" w:type="pct"/>
            <w:noWrap/>
            <w:vAlign w:val="center"/>
            <w:hideMark/>
          </w:tcPr>
          <w:p w14:paraId="5390805A" w14:textId="77777777" w:rsidR="002D6214" w:rsidRPr="00951AB1" w:rsidRDefault="002D6214" w:rsidP="000A5389">
            <w:pPr>
              <w:spacing w:line="240" w:lineRule="auto"/>
              <w:jc w:val="right"/>
              <w:rPr>
                <w:rFonts w:eastAsia="Times New Roman" w:cs="Times New Roman"/>
                <w:color w:val="000000"/>
                <w:kern w:val="0"/>
                <w:sz w:val="20"/>
                <w:szCs w:val="20"/>
                <w:lang w:eastAsia="es-CO"/>
                <w14:ligatures w14:val="none"/>
              </w:rPr>
            </w:pPr>
            <w:r w:rsidRPr="00951AB1">
              <w:rPr>
                <w:rFonts w:eastAsia="Times New Roman" w:cs="Times New Roman"/>
                <w:color w:val="000000"/>
                <w:kern w:val="0"/>
                <w:sz w:val="20"/>
                <w:szCs w:val="20"/>
                <w:lang w:eastAsia="es-CO"/>
                <w14:ligatures w14:val="none"/>
              </w:rPr>
              <w:t>22.367.794</w:t>
            </w:r>
          </w:p>
        </w:tc>
      </w:tr>
      <w:tr w:rsidR="002D6214" w:rsidRPr="00951AB1" w14:paraId="7B335679" w14:textId="77777777" w:rsidTr="002D6214">
        <w:trPr>
          <w:trHeight w:val="300"/>
        </w:trPr>
        <w:tc>
          <w:tcPr>
            <w:tcW w:w="990" w:type="pct"/>
            <w:vMerge/>
            <w:vAlign w:val="center"/>
          </w:tcPr>
          <w:p w14:paraId="2714DB53" w14:textId="5E881B15" w:rsidR="002D6214" w:rsidRPr="00951AB1" w:rsidRDefault="002D6214" w:rsidP="000A5389">
            <w:pPr>
              <w:spacing w:line="240" w:lineRule="auto"/>
              <w:rPr>
                <w:rFonts w:eastAsia="Times New Roman" w:cs="Times New Roman"/>
                <w:color w:val="000000"/>
                <w:kern w:val="0"/>
                <w:sz w:val="20"/>
                <w:szCs w:val="20"/>
                <w:lang w:eastAsia="es-CO"/>
                <w14:ligatures w14:val="none"/>
              </w:rPr>
            </w:pPr>
          </w:p>
        </w:tc>
        <w:tc>
          <w:tcPr>
            <w:tcW w:w="3167" w:type="pct"/>
            <w:noWrap/>
            <w:vAlign w:val="center"/>
            <w:hideMark/>
          </w:tcPr>
          <w:p w14:paraId="662EBAB8" w14:textId="5684A348" w:rsidR="002D6214" w:rsidRPr="00951AB1" w:rsidRDefault="002D6214" w:rsidP="000A5389">
            <w:pPr>
              <w:spacing w:line="240" w:lineRule="auto"/>
              <w:rPr>
                <w:rFonts w:eastAsia="Times New Roman" w:cs="Times New Roman"/>
                <w:color w:val="000000"/>
                <w:kern w:val="0"/>
                <w:sz w:val="20"/>
                <w:szCs w:val="20"/>
                <w:lang w:eastAsia="es-CO"/>
                <w14:ligatures w14:val="none"/>
              </w:rPr>
            </w:pPr>
            <w:r w:rsidRPr="00951AB1">
              <w:rPr>
                <w:rFonts w:eastAsia="Times New Roman" w:cs="Times New Roman"/>
                <w:color w:val="000000"/>
                <w:kern w:val="0"/>
                <w:sz w:val="20"/>
                <w:szCs w:val="20"/>
                <w:lang w:eastAsia="es-CO"/>
                <w14:ligatures w14:val="none"/>
              </w:rPr>
              <w:t>Consorcio Ctsa - Ingeral</w:t>
            </w:r>
          </w:p>
        </w:tc>
        <w:tc>
          <w:tcPr>
            <w:tcW w:w="844" w:type="pct"/>
            <w:noWrap/>
            <w:vAlign w:val="center"/>
            <w:hideMark/>
          </w:tcPr>
          <w:p w14:paraId="29BE0E32" w14:textId="77777777" w:rsidR="002D6214" w:rsidRPr="00951AB1" w:rsidRDefault="002D6214" w:rsidP="000A5389">
            <w:pPr>
              <w:spacing w:line="240" w:lineRule="auto"/>
              <w:jc w:val="right"/>
              <w:rPr>
                <w:rFonts w:eastAsia="Times New Roman" w:cs="Times New Roman"/>
                <w:color w:val="000000"/>
                <w:kern w:val="0"/>
                <w:sz w:val="20"/>
                <w:szCs w:val="20"/>
                <w:lang w:eastAsia="es-CO"/>
                <w14:ligatures w14:val="none"/>
              </w:rPr>
            </w:pPr>
            <w:r w:rsidRPr="00951AB1">
              <w:rPr>
                <w:rFonts w:eastAsia="Times New Roman" w:cs="Times New Roman"/>
                <w:color w:val="000000"/>
                <w:kern w:val="0"/>
                <w:sz w:val="20"/>
                <w:szCs w:val="20"/>
                <w:lang w:eastAsia="es-CO"/>
                <w14:ligatures w14:val="none"/>
              </w:rPr>
              <w:t>5.754.669</w:t>
            </w:r>
          </w:p>
        </w:tc>
      </w:tr>
      <w:tr w:rsidR="002D6214" w:rsidRPr="00951AB1" w14:paraId="1DEE3A86" w14:textId="77777777" w:rsidTr="002D6214">
        <w:trPr>
          <w:trHeight w:val="388"/>
        </w:trPr>
        <w:tc>
          <w:tcPr>
            <w:tcW w:w="990" w:type="pct"/>
            <w:vMerge w:val="restart"/>
            <w:vAlign w:val="center"/>
            <w:hideMark/>
          </w:tcPr>
          <w:p w14:paraId="7B8956A4" w14:textId="77777777" w:rsidR="002D6214" w:rsidRPr="00951AB1" w:rsidRDefault="002D6214" w:rsidP="000A5389">
            <w:pPr>
              <w:spacing w:line="240" w:lineRule="auto"/>
              <w:rPr>
                <w:rFonts w:eastAsia="Times New Roman" w:cs="Times New Roman"/>
                <w:color w:val="000000"/>
                <w:kern w:val="0"/>
                <w:sz w:val="20"/>
                <w:szCs w:val="20"/>
                <w:lang w:eastAsia="es-CO"/>
                <w14:ligatures w14:val="none"/>
              </w:rPr>
            </w:pPr>
            <w:r w:rsidRPr="00951AB1">
              <w:rPr>
                <w:rFonts w:eastAsia="Times New Roman" w:cs="Times New Roman"/>
                <w:color w:val="000000"/>
                <w:kern w:val="0"/>
                <w:sz w:val="20"/>
                <w:szCs w:val="20"/>
                <w:lang w:eastAsia="es-CO"/>
                <w14:ligatures w14:val="none"/>
              </w:rPr>
              <w:t>Derechos de explotación no relacionados con la infraestructura de transporte</w:t>
            </w:r>
          </w:p>
        </w:tc>
        <w:tc>
          <w:tcPr>
            <w:tcW w:w="3167" w:type="pct"/>
            <w:noWrap/>
            <w:vAlign w:val="center"/>
            <w:hideMark/>
          </w:tcPr>
          <w:p w14:paraId="5ECDC6FD" w14:textId="6E2566E8" w:rsidR="002D6214" w:rsidRPr="00951AB1" w:rsidRDefault="002D6214" w:rsidP="000A5389">
            <w:pPr>
              <w:spacing w:line="240" w:lineRule="auto"/>
              <w:rPr>
                <w:rFonts w:eastAsia="Times New Roman" w:cs="Times New Roman"/>
                <w:color w:val="000000"/>
                <w:kern w:val="0"/>
                <w:sz w:val="20"/>
                <w:szCs w:val="20"/>
                <w:lang w:eastAsia="es-CO"/>
                <w14:ligatures w14:val="none"/>
              </w:rPr>
            </w:pPr>
            <w:r w:rsidRPr="00951AB1">
              <w:rPr>
                <w:rFonts w:eastAsia="Times New Roman" w:cs="Times New Roman"/>
                <w:color w:val="000000"/>
                <w:kern w:val="0"/>
                <w:sz w:val="20"/>
                <w:szCs w:val="20"/>
                <w:lang w:eastAsia="es-CO"/>
                <w14:ligatures w14:val="none"/>
              </w:rPr>
              <w:t>Sociedad Concesionaria Operadora Aeroportuaria Internacional S A</w:t>
            </w:r>
          </w:p>
        </w:tc>
        <w:tc>
          <w:tcPr>
            <w:tcW w:w="844" w:type="pct"/>
            <w:noWrap/>
            <w:vAlign w:val="center"/>
            <w:hideMark/>
          </w:tcPr>
          <w:p w14:paraId="1757CA07" w14:textId="77777777" w:rsidR="002D6214" w:rsidRPr="00951AB1" w:rsidRDefault="002D6214" w:rsidP="000A5389">
            <w:pPr>
              <w:spacing w:line="240" w:lineRule="auto"/>
              <w:jc w:val="right"/>
              <w:rPr>
                <w:rFonts w:eastAsia="Times New Roman" w:cs="Times New Roman"/>
                <w:color w:val="000000"/>
                <w:kern w:val="0"/>
                <w:sz w:val="20"/>
                <w:szCs w:val="20"/>
                <w:lang w:eastAsia="es-CO"/>
                <w14:ligatures w14:val="none"/>
              </w:rPr>
            </w:pPr>
            <w:r w:rsidRPr="00951AB1">
              <w:rPr>
                <w:rFonts w:eastAsia="Times New Roman" w:cs="Times New Roman"/>
                <w:color w:val="000000"/>
                <w:kern w:val="0"/>
                <w:sz w:val="20"/>
                <w:szCs w:val="20"/>
                <w:lang w:eastAsia="es-CO"/>
                <w14:ligatures w14:val="none"/>
              </w:rPr>
              <w:t>19.703.628.956</w:t>
            </w:r>
          </w:p>
        </w:tc>
      </w:tr>
      <w:tr w:rsidR="002D6214" w:rsidRPr="00951AB1" w14:paraId="12013185" w14:textId="77777777" w:rsidTr="002D6214">
        <w:trPr>
          <w:trHeight w:val="421"/>
        </w:trPr>
        <w:tc>
          <w:tcPr>
            <w:tcW w:w="990" w:type="pct"/>
            <w:vMerge/>
            <w:vAlign w:val="center"/>
          </w:tcPr>
          <w:p w14:paraId="5747E133" w14:textId="797B0693" w:rsidR="002D6214" w:rsidRPr="00951AB1" w:rsidRDefault="002D6214" w:rsidP="000A5389">
            <w:pPr>
              <w:spacing w:line="240" w:lineRule="auto"/>
              <w:rPr>
                <w:rFonts w:eastAsia="Times New Roman" w:cs="Times New Roman"/>
                <w:color w:val="000000"/>
                <w:kern w:val="0"/>
                <w:sz w:val="20"/>
                <w:szCs w:val="20"/>
                <w:lang w:eastAsia="es-CO"/>
                <w14:ligatures w14:val="none"/>
              </w:rPr>
            </w:pPr>
          </w:p>
        </w:tc>
        <w:tc>
          <w:tcPr>
            <w:tcW w:w="3167" w:type="pct"/>
            <w:noWrap/>
            <w:vAlign w:val="center"/>
            <w:hideMark/>
          </w:tcPr>
          <w:p w14:paraId="7B97360B" w14:textId="4384B912" w:rsidR="002D6214" w:rsidRPr="00951AB1" w:rsidRDefault="002D6214" w:rsidP="000A5389">
            <w:pPr>
              <w:spacing w:line="240" w:lineRule="auto"/>
              <w:rPr>
                <w:rFonts w:eastAsia="Times New Roman" w:cs="Times New Roman"/>
                <w:color w:val="000000"/>
                <w:kern w:val="0"/>
                <w:sz w:val="20"/>
                <w:szCs w:val="20"/>
                <w:lang w:eastAsia="es-CO"/>
                <w14:ligatures w14:val="none"/>
              </w:rPr>
            </w:pPr>
            <w:r w:rsidRPr="00951AB1">
              <w:rPr>
                <w:rFonts w:eastAsia="Times New Roman" w:cs="Times New Roman"/>
                <w:color w:val="000000"/>
                <w:kern w:val="0"/>
                <w:sz w:val="20"/>
                <w:szCs w:val="20"/>
                <w:lang w:eastAsia="es-CO"/>
                <w14:ligatures w14:val="none"/>
              </w:rPr>
              <w:t>Operadora Internacional Aeropuerto De Cartagena S.A.S</w:t>
            </w:r>
          </w:p>
        </w:tc>
        <w:tc>
          <w:tcPr>
            <w:tcW w:w="844" w:type="pct"/>
            <w:noWrap/>
            <w:vAlign w:val="center"/>
            <w:hideMark/>
          </w:tcPr>
          <w:p w14:paraId="73014000" w14:textId="77777777" w:rsidR="002D6214" w:rsidRPr="00951AB1" w:rsidRDefault="002D6214" w:rsidP="000A5389">
            <w:pPr>
              <w:spacing w:line="240" w:lineRule="auto"/>
              <w:jc w:val="right"/>
              <w:rPr>
                <w:rFonts w:eastAsia="Times New Roman" w:cs="Times New Roman"/>
                <w:color w:val="000000"/>
                <w:kern w:val="0"/>
                <w:sz w:val="20"/>
                <w:szCs w:val="20"/>
                <w:lang w:eastAsia="es-CO"/>
                <w14:ligatures w14:val="none"/>
              </w:rPr>
            </w:pPr>
            <w:r w:rsidRPr="00951AB1">
              <w:rPr>
                <w:rFonts w:eastAsia="Times New Roman" w:cs="Times New Roman"/>
                <w:color w:val="000000"/>
                <w:kern w:val="0"/>
                <w:sz w:val="20"/>
                <w:szCs w:val="20"/>
                <w:lang w:eastAsia="es-CO"/>
                <w14:ligatures w14:val="none"/>
              </w:rPr>
              <w:t>1.015.359.187</w:t>
            </w:r>
          </w:p>
        </w:tc>
      </w:tr>
      <w:tr w:rsidR="002D6214" w:rsidRPr="00951AB1" w14:paraId="44D61108" w14:textId="77777777" w:rsidTr="002D6214">
        <w:trPr>
          <w:trHeight w:val="413"/>
        </w:trPr>
        <w:tc>
          <w:tcPr>
            <w:tcW w:w="990" w:type="pct"/>
            <w:vMerge/>
            <w:vAlign w:val="center"/>
          </w:tcPr>
          <w:p w14:paraId="52D575FC" w14:textId="7FB83633" w:rsidR="002D6214" w:rsidRPr="00951AB1" w:rsidRDefault="002D6214" w:rsidP="000A5389">
            <w:pPr>
              <w:spacing w:line="240" w:lineRule="auto"/>
              <w:rPr>
                <w:rFonts w:eastAsia="Times New Roman" w:cs="Times New Roman"/>
                <w:color w:val="000000"/>
                <w:kern w:val="0"/>
                <w:sz w:val="20"/>
                <w:szCs w:val="20"/>
                <w:lang w:eastAsia="es-CO"/>
                <w14:ligatures w14:val="none"/>
              </w:rPr>
            </w:pPr>
          </w:p>
        </w:tc>
        <w:tc>
          <w:tcPr>
            <w:tcW w:w="3167" w:type="pct"/>
            <w:noWrap/>
            <w:vAlign w:val="center"/>
            <w:hideMark/>
          </w:tcPr>
          <w:p w14:paraId="621C2700" w14:textId="459594F0" w:rsidR="002D6214" w:rsidRPr="00951AB1" w:rsidRDefault="002D6214" w:rsidP="000A5389">
            <w:pPr>
              <w:spacing w:line="240" w:lineRule="auto"/>
              <w:rPr>
                <w:rFonts w:eastAsia="Times New Roman" w:cs="Times New Roman"/>
                <w:color w:val="000000"/>
                <w:kern w:val="0"/>
                <w:sz w:val="20"/>
                <w:szCs w:val="20"/>
                <w:lang w:eastAsia="es-CO"/>
                <w14:ligatures w14:val="none"/>
              </w:rPr>
            </w:pPr>
            <w:r w:rsidRPr="00951AB1">
              <w:rPr>
                <w:rFonts w:eastAsia="Times New Roman" w:cs="Times New Roman"/>
                <w:color w:val="000000"/>
                <w:kern w:val="0"/>
                <w:sz w:val="20"/>
                <w:szCs w:val="20"/>
                <w:lang w:eastAsia="es-CO"/>
                <w14:ligatures w14:val="none"/>
              </w:rPr>
              <w:t>Sociedad Operadora De Aeropuertos Centro Norte S.A.S</w:t>
            </w:r>
          </w:p>
        </w:tc>
        <w:tc>
          <w:tcPr>
            <w:tcW w:w="844" w:type="pct"/>
            <w:noWrap/>
            <w:vAlign w:val="center"/>
            <w:hideMark/>
          </w:tcPr>
          <w:p w14:paraId="6D111EC3" w14:textId="77777777" w:rsidR="002D6214" w:rsidRPr="00951AB1" w:rsidRDefault="002D6214" w:rsidP="000A5389">
            <w:pPr>
              <w:spacing w:line="240" w:lineRule="auto"/>
              <w:jc w:val="right"/>
              <w:rPr>
                <w:rFonts w:eastAsia="Times New Roman" w:cs="Times New Roman"/>
                <w:color w:val="000000"/>
                <w:kern w:val="0"/>
                <w:sz w:val="20"/>
                <w:szCs w:val="20"/>
                <w:lang w:eastAsia="es-CO"/>
                <w14:ligatures w14:val="none"/>
              </w:rPr>
            </w:pPr>
            <w:r w:rsidRPr="00951AB1">
              <w:rPr>
                <w:rFonts w:eastAsia="Times New Roman" w:cs="Times New Roman"/>
                <w:color w:val="000000"/>
                <w:kern w:val="0"/>
                <w:sz w:val="20"/>
                <w:szCs w:val="20"/>
                <w:lang w:eastAsia="es-CO"/>
                <w14:ligatures w14:val="none"/>
              </w:rPr>
              <w:t>510.252.166</w:t>
            </w:r>
          </w:p>
        </w:tc>
      </w:tr>
      <w:tr w:rsidR="002D6214" w:rsidRPr="00951AB1" w14:paraId="1103C1AE" w14:textId="77777777" w:rsidTr="002D6214">
        <w:trPr>
          <w:trHeight w:val="420"/>
        </w:trPr>
        <w:tc>
          <w:tcPr>
            <w:tcW w:w="990" w:type="pct"/>
            <w:vMerge/>
            <w:vAlign w:val="center"/>
          </w:tcPr>
          <w:p w14:paraId="635832DA" w14:textId="59044C05" w:rsidR="002D6214" w:rsidRPr="00951AB1" w:rsidRDefault="002D6214" w:rsidP="000A5389">
            <w:pPr>
              <w:spacing w:line="240" w:lineRule="auto"/>
              <w:rPr>
                <w:rFonts w:eastAsia="Times New Roman" w:cs="Times New Roman"/>
                <w:color w:val="000000"/>
                <w:kern w:val="0"/>
                <w:sz w:val="20"/>
                <w:szCs w:val="20"/>
                <w:lang w:eastAsia="es-CO"/>
                <w14:ligatures w14:val="none"/>
              </w:rPr>
            </w:pPr>
          </w:p>
        </w:tc>
        <w:tc>
          <w:tcPr>
            <w:tcW w:w="3167" w:type="pct"/>
            <w:noWrap/>
            <w:vAlign w:val="center"/>
            <w:hideMark/>
          </w:tcPr>
          <w:p w14:paraId="49A3B1F5" w14:textId="34BEFF29" w:rsidR="002D6214" w:rsidRPr="00951AB1" w:rsidRDefault="002D6214" w:rsidP="000A5389">
            <w:pPr>
              <w:spacing w:line="240" w:lineRule="auto"/>
              <w:rPr>
                <w:rFonts w:eastAsia="Times New Roman" w:cs="Times New Roman"/>
                <w:color w:val="000000"/>
                <w:kern w:val="0"/>
                <w:sz w:val="20"/>
                <w:szCs w:val="20"/>
                <w:lang w:eastAsia="es-CO"/>
                <w14:ligatures w14:val="none"/>
              </w:rPr>
            </w:pPr>
            <w:r w:rsidRPr="00951AB1">
              <w:rPr>
                <w:rFonts w:eastAsia="Times New Roman" w:cs="Times New Roman"/>
                <w:color w:val="000000"/>
                <w:kern w:val="0"/>
                <w:sz w:val="20"/>
                <w:szCs w:val="20"/>
                <w:lang w:eastAsia="es-CO"/>
                <w14:ligatures w14:val="none"/>
              </w:rPr>
              <w:t>Transporte Ferroportuario De Colombia - Transferport S.A.S</w:t>
            </w:r>
          </w:p>
        </w:tc>
        <w:tc>
          <w:tcPr>
            <w:tcW w:w="844" w:type="pct"/>
            <w:noWrap/>
            <w:vAlign w:val="center"/>
            <w:hideMark/>
          </w:tcPr>
          <w:p w14:paraId="27EED8E6" w14:textId="77777777" w:rsidR="002D6214" w:rsidRPr="00951AB1" w:rsidRDefault="002D6214" w:rsidP="000A5389">
            <w:pPr>
              <w:spacing w:line="240" w:lineRule="auto"/>
              <w:jc w:val="right"/>
              <w:rPr>
                <w:rFonts w:eastAsia="Times New Roman" w:cs="Times New Roman"/>
                <w:color w:val="000000"/>
                <w:kern w:val="0"/>
                <w:sz w:val="20"/>
                <w:szCs w:val="20"/>
                <w:lang w:eastAsia="es-CO"/>
                <w14:ligatures w14:val="none"/>
              </w:rPr>
            </w:pPr>
            <w:r w:rsidRPr="00951AB1">
              <w:rPr>
                <w:rFonts w:eastAsia="Times New Roman" w:cs="Times New Roman"/>
                <w:color w:val="000000"/>
                <w:kern w:val="0"/>
                <w:sz w:val="20"/>
                <w:szCs w:val="20"/>
                <w:lang w:eastAsia="es-CO"/>
                <w14:ligatures w14:val="none"/>
              </w:rPr>
              <w:t>280.566.104</w:t>
            </w:r>
          </w:p>
        </w:tc>
      </w:tr>
      <w:tr w:rsidR="002D6214" w:rsidRPr="00951AB1" w14:paraId="36DCB626" w14:textId="77777777" w:rsidTr="002D6214">
        <w:trPr>
          <w:trHeight w:val="567"/>
        </w:trPr>
        <w:tc>
          <w:tcPr>
            <w:tcW w:w="990" w:type="pct"/>
            <w:vMerge/>
            <w:vAlign w:val="center"/>
          </w:tcPr>
          <w:p w14:paraId="5829E6AF" w14:textId="14E541A6" w:rsidR="002D6214" w:rsidRPr="00951AB1" w:rsidRDefault="002D6214" w:rsidP="000A5389">
            <w:pPr>
              <w:spacing w:line="240" w:lineRule="auto"/>
              <w:rPr>
                <w:rFonts w:eastAsia="Times New Roman" w:cs="Times New Roman"/>
                <w:color w:val="000000"/>
                <w:kern w:val="0"/>
                <w:sz w:val="20"/>
                <w:szCs w:val="20"/>
                <w:lang w:eastAsia="es-CO"/>
                <w14:ligatures w14:val="none"/>
              </w:rPr>
            </w:pPr>
          </w:p>
        </w:tc>
        <w:tc>
          <w:tcPr>
            <w:tcW w:w="3167" w:type="pct"/>
            <w:vAlign w:val="center"/>
            <w:hideMark/>
          </w:tcPr>
          <w:p w14:paraId="5A83A36F" w14:textId="541796F3" w:rsidR="002D6214" w:rsidRPr="00951AB1" w:rsidRDefault="002D6214" w:rsidP="000A5389">
            <w:pPr>
              <w:spacing w:line="240" w:lineRule="auto"/>
              <w:rPr>
                <w:rFonts w:eastAsia="Times New Roman" w:cs="Times New Roman"/>
                <w:color w:val="000000"/>
                <w:kern w:val="0"/>
                <w:sz w:val="20"/>
                <w:szCs w:val="20"/>
                <w:lang w:eastAsia="es-CO"/>
                <w14:ligatures w14:val="none"/>
              </w:rPr>
            </w:pPr>
            <w:r w:rsidRPr="00951AB1">
              <w:rPr>
                <w:rFonts w:eastAsia="Times New Roman" w:cs="Times New Roman"/>
                <w:color w:val="000000"/>
                <w:kern w:val="0"/>
                <w:sz w:val="20"/>
                <w:szCs w:val="20"/>
                <w:lang w:eastAsia="es-CO"/>
                <w14:ligatures w14:val="none"/>
              </w:rPr>
              <w:t>Cooperativa De Trabajo Asociado Y De Servicios Múltiples De Colombia Limitada</w:t>
            </w:r>
          </w:p>
        </w:tc>
        <w:tc>
          <w:tcPr>
            <w:tcW w:w="844" w:type="pct"/>
            <w:noWrap/>
            <w:vAlign w:val="center"/>
            <w:hideMark/>
          </w:tcPr>
          <w:p w14:paraId="0721CDB1" w14:textId="77777777" w:rsidR="002D6214" w:rsidRPr="00951AB1" w:rsidRDefault="002D6214" w:rsidP="000A5389">
            <w:pPr>
              <w:spacing w:line="240" w:lineRule="auto"/>
              <w:jc w:val="right"/>
              <w:rPr>
                <w:rFonts w:eastAsia="Times New Roman" w:cs="Times New Roman"/>
                <w:color w:val="000000"/>
                <w:kern w:val="0"/>
                <w:sz w:val="20"/>
                <w:szCs w:val="20"/>
                <w:lang w:eastAsia="es-CO"/>
                <w14:ligatures w14:val="none"/>
              </w:rPr>
            </w:pPr>
            <w:r w:rsidRPr="00951AB1">
              <w:rPr>
                <w:rFonts w:eastAsia="Times New Roman" w:cs="Times New Roman"/>
                <w:color w:val="000000"/>
                <w:kern w:val="0"/>
                <w:sz w:val="20"/>
                <w:szCs w:val="20"/>
                <w:lang w:eastAsia="es-CO"/>
                <w14:ligatures w14:val="none"/>
              </w:rPr>
              <w:t>5.634.957</w:t>
            </w:r>
          </w:p>
        </w:tc>
      </w:tr>
      <w:tr w:rsidR="002D6214" w:rsidRPr="00951AB1" w14:paraId="45162FC5" w14:textId="77777777" w:rsidTr="002D6214">
        <w:trPr>
          <w:trHeight w:val="255"/>
        </w:trPr>
        <w:tc>
          <w:tcPr>
            <w:tcW w:w="990" w:type="pct"/>
            <w:vMerge w:val="restart"/>
            <w:vAlign w:val="center"/>
            <w:hideMark/>
          </w:tcPr>
          <w:p w14:paraId="4C44A825" w14:textId="77777777" w:rsidR="002D6214" w:rsidRPr="00951AB1" w:rsidRDefault="002D6214" w:rsidP="000A5389">
            <w:pPr>
              <w:spacing w:line="240" w:lineRule="auto"/>
              <w:rPr>
                <w:rFonts w:eastAsia="Times New Roman" w:cs="Times New Roman"/>
                <w:color w:val="000000"/>
                <w:kern w:val="0"/>
                <w:sz w:val="20"/>
                <w:szCs w:val="20"/>
                <w:lang w:eastAsia="es-CO"/>
                <w14:ligatures w14:val="none"/>
              </w:rPr>
            </w:pPr>
            <w:r w:rsidRPr="00951AB1">
              <w:rPr>
                <w:rFonts w:eastAsia="Times New Roman" w:cs="Times New Roman"/>
                <w:color w:val="000000"/>
                <w:kern w:val="0"/>
                <w:sz w:val="20"/>
                <w:szCs w:val="20"/>
                <w:lang w:eastAsia="es-CO"/>
                <w14:ligatures w14:val="none"/>
              </w:rPr>
              <w:t>Sanciones contractuales</w:t>
            </w:r>
          </w:p>
        </w:tc>
        <w:tc>
          <w:tcPr>
            <w:tcW w:w="3167" w:type="pct"/>
            <w:vAlign w:val="center"/>
            <w:hideMark/>
          </w:tcPr>
          <w:p w14:paraId="00F37334" w14:textId="1A018299" w:rsidR="002D6214" w:rsidRPr="00951AB1" w:rsidRDefault="002D6214" w:rsidP="000A5389">
            <w:pPr>
              <w:spacing w:line="240" w:lineRule="auto"/>
              <w:rPr>
                <w:rFonts w:eastAsia="Times New Roman" w:cs="Times New Roman"/>
                <w:color w:val="000000"/>
                <w:kern w:val="0"/>
                <w:sz w:val="20"/>
                <w:szCs w:val="20"/>
                <w:lang w:eastAsia="es-CO"/>
                <w14:ligatures w14:val="none"/>
              </w:rPr>
            </w:pPr>
            <w:r w:rsidRPr="00951AB1">
              <w:rPr>
                <w:rFonts w:eastAsia="Times New Roman" w:cs="Times New Roman"/>
                <w:color w:val="000000"/>
                <w:kern w:val="0"/>
                <w:sz w:val="20"/>
                <w:szCs w:val="20"/>
                <w:lang w:eastAsia="es-CO"/>
                <w14:ligatures w14:val="none"/>
              </w:rPr>
              <w:t>Concesionaria Vial De Los Andes S.A.S. Coviandes S.A.S.</w:t>
            </w:r>
          </w:p>
        </w:tc>
        <w:tc>
          <w:tcPr>
            <w:tcW w:w="844" w:type="pct"/>
            <w:vAlign w:val="center"/>
            <w:hideMark/>
          </w:tcPr>
          <w:p w14:paraId="16974A9D" w14:textId="77777777" w:rsidR="002D6214" w:rsidRPr="00951AB1" w:rsidRDefault="002D6214" w:rsidP="000A5389">
            <w:pPr>
              <w:spacing w:line="240" w:lineRule="auto"/>
              <w:jc w:val="right"/>
              <w:rPr>
                <w:rFonts w:eastAsia="Times New Roman" w:cs="Times New Roman"/>
                <w:color w:val="000000"/>
                <w:kern w:val="0"/>
                <w:sz w:val="20"/>
                <w:szCs w:val="20"/>
                <w:lang w:eastAsia="es-CO"/>
                <w14:ligatures w14:val="none"/>
              </w:rPr>
            </w:pPr>
            <w:r w:rsidRPr="00951AB1">
              <w:rPr>
                <w:rFonts w:eastAsia="Times New Roman" w:cs="Times New Roman"/>
                <w:color w:val="000000"/>
                <w:kern w:val="0"/>
                <w:sz w:val="20"/>
                <w:szCs w:val="20"/>
                <w:lang w:eastAsia="es-CO"/>
                <w14:ligatures w14:val="none"/>
              </w:rPr>
              <w:t>69.234.528.579</w:t>
            </w:r>
          </w:p>
        </w:tc>
      </w:tr>
      <w:tr w:rsidR="002D6214" w:rsidRPr="00951AB1" w14:paraId="1F9D8C5E" w14:textId="77777777" w:rsidTr="002D6214">
        <w:trPr>
          <w:trHeight w:val="450"/>
        </w:trPr>
        <w:tc>
          <w:tcPr>
            <w:tcW w:w="990" w:type="pct"/>
            <w:vMerge/>
            <w:vAlign w:val="center"/>
          </w:tcPr>
          <w:p w14:paraId="7F336986" w14:textId="5E1DEB24" w:rsidR="002D6214" w:rsidRPr="00951AB1" w:rsidRDefault="002D6214" w:rsidP="000A5389">
            <w:pPr>
              <w:spacing w:line="240" w:lineRule="auto"/>
              <w:rPr>
                <w:rFonts w:eastAsia="Times New Roman" w:cs="Times New Roman"/>
                <w:color w:val="000000"/>
                <w:kern w:val="0"/>
                <w:sz w:val="20"/>
                <w:szCs w:val="20"/>
                <w:lang w:eastAsia="es-CO"/>
                <w14:ligatures w14:val="none"/>
              </w:rPr>
            </w:pPr>
          </w:p>
        </w:tc>
        <w:tc>
          <w:tcPr>
            <w:tcW w:w="3167" w:type="pct"/>
            <w:vAlign w:val="center"/>
            <w:hideMark/>
          </w:tcPr>
          <w:p w14:paraId="726430D0" w14:textId="54EFA786" w:rsidR="002D6214" w:rsidRPr="00951AB1" w:rsidRDefault="002D6214" w:rsidP="000A5389">
            <w:pPr>
              <w:spacing w:line="240" w:lineRule="auto"/>
              <w:rPr>
                <w:rFonts w:eastAsia="Times New Roman" w:cs="Times New Roman"/>
                <w:color w:val="000000"/>
                <w:kern w:val="0"/>
                <w:sz w:val="20"/>
                <w:szCs w:val="20"/>
                <w:lang w:eastAsia="es-CO"/>
                <w14:ligatures w14:val="none"/>
              </w:rPr>
            </w:pPr>
            <w:r w:rsidRPr="00951AB1">
              <w:rPr>
                <w:rFonts w:eastAsia="Times New Roman" w:cs="Times New Roman"/>
                <w:color w:val="000000"/>
                <w:kern w:val="0"/>
                <w:sz w:val="20"/>
                <w:szCs w:val="20"/>
                <w:lang w:eastAsia="es-CO"/>
                <w14:ligatures w14:val="none"/>
              </w:rPr>
              <w:t>Sociedad Portuaria Energética Multipropósito Y Contenedores Puerto Solo Buenaventura S.A</w:t>
            </w:r>
          </w:p>
        </w:tc>
        <w:tc>
          <w:tcPr>
            <w:tcW w:w="844" w:type="pct"/>
            <w:vAlign w:val="center"/>
            <w:hideMark/>
          </w:tcPr>
          <w:p w14:paraId="08B19493" w14:textId="77777777" w:rsidR="002D6214" w:rsidRPr="00951AB1" w:rsidRDefault="002D6214" w:rsidP="000A5389">
            <w:pPr>
              <w:spacing w:line="240" w:lineRule="auto"/>
              <w:jc w:val="right"/>
              <w:rPr>
                <w:rFonts w:eastAsia="Times New Roman" w:cs="Times New Roman"/>
                <w:color w:val="000000"/>
                <w:kern w:val="0"/>
                <w:sz w:val="20"/>
                <w:szCs w:val="20"/>
                <w:lang w:eastAsia="es-CO"/>
                <w14:ligatures w14:val="none"/>
              </w:rPr>
            </w:pPr>
            <w:r w:rsidRPr="00951AB1">
              <w:rPr>
                <w:rFonts w:eastAsia="Times New Roman" w:cs="Times New Roman"/>
                <w:color w:val="000000"/>
                <w:kern w:val="0"/>
                <w:sz w:val="20"/>
                <w:szCs w:val="20"/>
                <w:lang w:eastAsia="es-CO"/>
                <w14:ligatures w14:val="none"/>
              </w:rPr>
              <w:t>38.280.593.490</w:t>
            </w:r>
          </w:p>
        </w:tc>
      </w:tr>
      <w:tr w:rsidR="002D6214" w:rsidRPr="00951AB1" w14:paraId="5BAFB9AE" w14:textId="77777777" w:rsidTr="002D6214">
        <w:trPr>
          <w:trHeight w:val="255"/>
        </w:trPr>
        <w:tc>
          <w:tcPr>
            <w:tcW w:w="990" w:type="pct"/>
            <w:vMerge/>
            <w:vAlign w:val="center"/>
          </w:tcPr>
          <w:p w14:paraId="7A1EB821" w14:textId="3CD2A8A2" w:rsidR="002D6214" w:rsidRPr="00951AB1" w:rsidRDefault="002D6214" w:rsidP="000A5389">
            <w:pPr>
              <w:spacing w:line="240" w:lineRule="auto"/>
              <w:rPr>
                <w:rFonts w:eastAsia="Times New Roman" w:cs="Times New Roman"/>
                <w:color w:val="000000"/>
                <w:kern w:val="0"/>
                <w:sz w:val="20"/>
                <w:szCs w:val="20"/>
                <w:lang w:eastAsia="es-CO"/>
                <w14:ligatures w14:val="none"/>
              </w:rPr>
            </w:pPr>
          </w:p>
        </w:tc>
        <w:tc>
          <w:tcPr>
            <w:tcW w:w="3167" w:type="pct"/>
            <w:vAlign w:val="center"/>
            <w:hideMark/>
          </w:tcPr>
          <w:p w14:paraId="078ABCDB" w14:textId="0D60F7AC" w:rsidR="002D6214" w:rsidRPr="00951AB1" w:rsidRDefault="002D6214" w:rsidP="000A5389">
            <w:pPr>
              <w:spacing w:line="240" w:lineRule="auto"/>
              <w:rPr>
                <w:rFonts w:eastAsia="Times New Roman" w:cs="Times New Roman"/>
                <w:color w:val="000000"/>
                <w:kern w:val="0"/>
                <w:sz w:val="20"/>
                <w:szCs w:val="20"/>
                <w:lang w:eastAsia="es-CO"/>
                <w14:ligatures w14:val="none"/>
              </w:rPr>
            </w:pPr>
            <w:r w:rsidRPr="00951AB1">
              <w:rPr>
                <w:rFonts w:eastAsia="Times New Roman" w:cs="Times New Roman"/>
                <w:color w:val="000000"/>
                <w:kern w:val="0"/>
                <w:sz w:val="20"/>
                <w:szCs w:val="20"/>
                <w:lang w:eastAsia="es-CO"/>
                <w14:ligatures w14:val="none"/>
              </w:rPr>
              <w:t>M P S Importaciones Y Exportaciones S.A.S</w:t>
            </w:r>
          </w:p>
        </w:tc>
        <w:tc>
          <w:tcPr>
            <w:tcW w:w="844" w:type="pct"/>
            <w:vAlign w:val="center"/>
            <w:hideMark/>
          </w:tcPr>
          <w:p w14:paraId="707BE291" w14:textId="77777777" w:rsidR="002D6214" w:rsidRPr="00951AB1" w:rsidRDefault="002D6214" w:rsidP="000A5389">
            <w:pPr>
              <w:spacing w:line="240" w:lineRule="auto"/>
              <w:jc w:val="right"/>
              <w:rPr>
                <w:rFonts w:eastAsia="Times New Roman" w:cs="Times New Roman"/>
                <w:color w:val="000000"/>
                <w:kern w:val="0"/>
                <w:sz w:val="20"/>
                <w:szCs w:val="20"/>
                <w:lang w:eastAsia="es-CO"/>
                <w14:ligatures w14:val="none"/>
              </w:rPr>
            </w:pPr>
            <w:r w:rsidRPr="00951AB1">
              <w:rPr>
                <w:rFonts w:eastAsia="Times New Roman" w:cs="Times New Roman"/>
                <w:color w:val="000000"/>
                <w:kern w:val="0"/>
                <w:sz w:val="20"/>
                <w:szCs w:val="20"/>
                <w:lang w:eastAsia="es-CO"/>
                <w14:ligatures w14:val="none"/>
              </w:rPr>
              <w:t>23.506.994.882</w:t>
            </w:r>
          </w:p>
        </w:tc>
      </w:tr>
      <w:tr w:rsidR="002D6214" w:rsidRPr="00951AB1" w14:paraId="781BFE42" w14:textId="77777777" w:rsidTr="002D6214">
        <w:trPr>
          <w:trHeight w:val="255"/>
        </w:trPr>
        <w:tc>
          <w:tcPr>
            <w:tcW w:w="990" w:type="pct"/>
            <w:vMerge/>
            <w:vAlign w:val="center"/>
          </w:tcPr>
          <w:p w14:paraId="7F731C5A" w14:textId="789C1F8C" w:rsidR="002D6214" w:rsidRPr="00951AB1" w:rsidRDefault="002D6214" w:rsidP="000A5389">
            <w:pPr>
              <w:spacing w:line="240" w:lineRule="auto"/>
              <w:rPr>
                <w:rFonts w:eastAsia="Times New Roman" w:cs="Times New Roman"/>
                <w:color w:val="000000"/>
                <w:kern w:val="0"/>
                <w:sz w:val="20"/>
                <w:szCs w:val="20"/>
                <w:lang w:eastAsia="es-CO"/>
                <w14:ligatures w14:val="none"/>
              </w:rPr>
            </w:pPr>
          </w:p>
        </w:tc>
        <w:tc>
          <w:tcPr>
            <w:tcW w:w="3167" w:type="pct"/>
            <w:vAlign w:val="center"/>
            <w:hideMark/>
          </w:tcPr>
          <w:p w14:paraId="7E13A838" w14:textId="0DC13D00" w:rsidR="002D6214" w:rsidRPr="00951AB1" w:rsidRDefault="002D6214" w:rsidP="000A5389">
            <w:pPr>
              <w:spacing w:line="240" w:lineRule="auto"/>
              <w:rPr>
                <w:rFonts w:eastAsia="Times New Roman" w:cs="Times New Roman"/>
                <w:color w:val="000000"/>
                <w:kern w:val="0"/>
                <w:sz w:val="20"/>
                <w:szCs w:val="20"/>
                <w:lang w:eastAsia="es-CO"/>
                <w14:ligatures w14:val="none"/>
              </w:rPr>
            </w:pPr>
            <w:r w:rsidRPr="00951AB1">
              <w:rPr>
                <w:rFonts w:eastAsia="Times New Roman" w:cs="Times New Roman"/>
                <w:color w:val="000000"/>
                <w:kern w:val="0"/>
                <w:sz w:val="20"/>
                <w:szCs w:val="20"/>
                <w:lang w:eastAsia="es-CO"/>
                <w14:ligatures w14:val="none"/>
              </w:rPr>
              <w:t>Sociedad Portuaria Bullpesa S.A</w:t>
            </w:r>
          </w:p>
        </w:tc>
        <w:tc>
          <w:tcPr>
            <w:tcW w:w="844" w:type="pct"/>
            <w:vAlign w:val="center"/>
            <w:hideMark/>
          </w:tcPr>
          <w:p w14:paraId="5329728A" w14:textId="77777777" w:rsidR="002D6214" w:rsidRPr="00951AB1" w:rsidRDefault="002D6214" w:rsidP="000A5389">
            <w:pPr>
              <w:spacing w:line="240" w:lineRule="auto"/>
              <w:jc w:val="right"/>
              <w:rPr>
                <w:rFonts w:eastAsia="Times New Roman" w:cs="Times New Roman"/>
                <w:color w:val="000000"/>
                <w:kern w:val="0"/>
                <w:sz w:val="20"/>
                <w:szCs w:val="20"/>
                <w:lang w:eastAsia="es-CO"/>
                <w14:ligatures w14:val="none"/>
              </w:rPr>
            </w:pPr>
            <w:r w:rsidRPr="00951AB1">
              <w:rPr>
                <w:rFonts w:eastAsia="Times New Roman" w:cs="Times New Roman"/>
                <w:color w:val="000000"/>
                <w:kern w:val="0"/>
                <w:sz w:val="20"/>
                <w:szCs w:val="20"/>
                <w:lang w:eastAsia="es-CO"/>
                <w14:ligatures w14:val="none"/>
              </w:rPr>
              <w:t>2.483.733.384</w:t>
            </w:r>
          </w:p>
        </w:tc>
      </w:tr>
      <w:tr w:rsidR="002D6214" w:rsidRPr="00951AB1" w14:paraId="1CB6D648" w14:textId="77777777" w:rsidTr="002D6214">
        <w:trPr>
          <w:trHeight w:val="255"/>
        </w:trPr>
        <w:tc>
          <w:tcPr>
            <w:tcW w:w="990" w:type="pct"/>
            <w:vMerge/>
            <w:vAlign w:val="center"/>
          </w:tcPr>
          <w:p w14:paraId="64F619EB" w14:textId="18732FC1" w:rsidR="002D6214" w:rsidRPr="00951AB1" w:rsidRDefault="002D6214" w:rsidP="000A5389">
            <w:pPr>
              <w:spacing w:line="240" w:lineRule="auto"/>
              <w:rPr>
                <w:rFonts w:eastAsia="Times New Roman" w:cs="Times New Roman"/>
                <w:color w:val="000000"/>
                <w:kern w:val="0"/>
                <w:sz w:val="20"/>
                <w:szCs w:val="20"/>
                <w:lang w:eastAsia="es-CO"/>
                <w14:ligatures w14:val="none"/>
              </w:rPr>
            </w:pPr>
          </w:p>
        </w:tc>
        <w:tc>
          <w:tcPr>
            <w:tcW w:w="3167" w:type="pct"/>
            <w:vAlign w:val="center"/>
            <w:hideMark/>
          </w:tcPr>
          <w:p w14:paraId="504D3498" w14:textId="247DA689" w:rsidR="002D6214" w:rsidRPr="00951AB1" w:rsidRDefault="002D6214" w:rsidP="000A5389">
            <w:pPr>
              <w:spacing w:line="240" w:lineRule="auto"/>
              <w:rPr>
                <w:rFonts w:eastAsia="Times New Roman" w:cs="Times New Roman"/>
                <w:color w:val="000000"/>
                <w:kern w:val="0"/>
                <w:sz w:val="20"/>
                <w:szCs w:val="20"/>
                <w:lang w:eastAsia="es-CO"/>
                <w14:ligatures w14:val="none"/>
              </w:rPr>
            </w:pPr>
            <w:r w:rsidRPr="00951AB1">
              <w:rPr>
                <w:rFonts w:eastAsia="Times New Roman" w:cs="Times New Roman"/>
                <w:color w:val="000000"/>
                <w:kern w:val="0"/>
                <w:sz w:val="20"/>
                <w:szCs w:val="20"/>
                <w:lang w:eastAsia="es-CO"/>
                <w14:ligatures w14:val="none"/>
              </w:rPr>
              <w:t>Consorcio Velnec - GNG</w:t>
            </w:r>
          </w:p>
        </w:tc>
        <w:tc>
          <w:tcPr>
            <w:tcW w:w="844" w:type="pct"/>
            <w:vAlign w:val="center"/>
            <w:hideMark/>
          </w:tcPr>
          <w:p w14:paraId="3CE79E75" w14:textId="77777777" w:rsidR="002D6214" w:rsidRPr="00951AB1" w:rsidRDefault="002D6214" w:rsidP="000A5389">
            <w:pPr>
              <w:spacing w:line="240" w:lineRule="auto"/>
              <w:jc w:val="right"/>
              <w:rPr>
                <w:rFonts w:eastAsia="Times New Roman" w:cs="Times New Roman"/>
                <w:color w:val="000000"/>
                <w:kern w:val="0"/>
                <w:sz w:val="20"/>
                <w:szCs w:val="20"/>
                <w:lang w:eastAsia="es-CO"/>
                <w14:ligatures w14:val="none"/>
              </w:rPr>
            </w:pPr>
            <w:r w:rsidRPr="00951AB1">
              <w:rPr>
                <w:rFonts w:eastAsia="Times New Roman" w:cs="Times New Roman"/>
                <w:color w:val="000000"/>
                <w:kern w:val="0"/>
                <w:sz w:val="20"/>
                <w:szCs w:val="20"/>
                <w:lang w:eastAsia="es-CO"/>
                <w14:ligatures w14:val="none"/>
              </w:rPr>
              <w:t>2.388.950.503</w:t>
            </w:r>
          </w:p>
        </w:tc>
      </w:tr>
      <w:tr w:rsidR="002D6214" w:rsidRPr="00951AB1" w14:paraId="6405C12C" w14:textId="77777777" w:rsidTr="002D6214">
        <w:trPr>
          <w:trHeight w:val="255"/>
        </w:trPr>
        <w:tc>
          <w:tcPr>
            <w:tcW w:w="990" w:type="pct"/>
            <w:vMerge/>
            <w:vAlign w:val="center"/>
          </w:tcPr>
          <w:p w14:paraId="2D475196" w14:textId="15FBB630" w:rsidR="002D6214" w:rsidRPr="00951AB1" w:rsidRDefault="002D6214" w:rsidP="000A5389">
            <w:pPr>
              <w:spacing w:line="240" w:lineRule="auto"/>
              <w:rPr>
                <w:rFonts w:eastAsia="Times New Roman" w:cs="Times New Roman"/>
                <w:color w:val="000000"/>
                <w:kern w:val="0"/>
                <w:sz w:val="20"/>
                <w:szCs w:val="20"/>
                <w:lang w:eastAsia="es-CO"/>
                <w14:ligatures w14:val="none"/>
              </w:rPr>
            </w:pPr>
          </w:p>
        </w:tc>
        <w:tc>
          <w:tcPr>
            <w:tcW w:w="3167" w:type="pct"/>
            <w:vAlign w:val="center"/>
            <w:hideMark/>
          </w:tcPr>
          <w:p w14:paraId="2411C1A2" w14:textId="2D2AD901" w:rsidR="002D6214" w:rsidRPr="00951AB1" w:rsidRDefault="002D6214" w:rsidP="000A5389">
            <w:pPr>
              <w:spacing w:line="240" w:lineRule="auto"/>
              <w:rPr>
                <w:rFonts w:eastAsia="Times New Roman" w:cs="Times New Roman"/>
                <w:color w:val="000000"/>
                <w:kern w:val="0"/>
                <w:sz w:val="20"/>
                <w:szCs w:val="20"/>
                <w:lang w:eastAsia="es-CO"/>
                <w14:ligatures w14:val="none"/>
              </w:rPr>
            </w:pPr>
            <w:r w:rsidRPr="00951AB1">
              <w:rPr>
                <w:rFonts w:eastAsia="Times New Roman" w:cs="Times New Roman"/>
                <w:color w:val="000000"/>
                <w:kern w:val="0"/>
                <w:sz w:val="20"/>
                <w:szCs w:val="20"/>
                <w:lang w:eastAsia="es-CO"/>
                <w14:ligatures w14:val="none"/>
              </w:rPr>
              <w:t>Sociedad Portuaria De La Península</w:t>
            </w:r>
          </w:p>
        </w:tc>
        <w:tc>
          <w:tcPr>
            <w:tcW w:w="844" w:type="pct"/>
            <w:vAlign w:val="center"/>
            <w:hideMark/>
          </w:tcPr>
          <w:p w14:paraId="583E2B08" w14:textId="77777777" w:rsidR="002D6214" w:rsidRPr="00951AB1" w:rsidRDefault="002D6214" w:rsidP="000A5389">
            <w:pPr>
              <w:spacing w:line="240" w:lineRule="auto"/>
              <w:jc w:val="right"/>
              <w:rPr>
                <w:rFonts w:eastAsia="Times New Roman" w:cs="Times New Roman"/>
                <w:color w:val="000000"/>
                <w:kern w:val="0"/>
                <w:sz w:val="20"/>
                <w:szCs w:val="20"/>
                <w:lang w:eastAsia="es-CO"/>
                <w14:ligatures w14:val="none"/>
              </w:rPr>
            </w:pPr>
            <w:r w:rsidRPr="00951AB1">
              <w:rPr>
                <w:rFonts w:eastAsia="Times New Roman" w:cs="Times New Roman"/>
                <w:color w:val="000000"/>
                <w:kern w:val="0"/>
                <w:sz w:val="20"/>
                <w:szCs w:val="20"/>
                <w:lang w:eastAsia="es-CO"/>
                <w14:ligatures w14:val="none"/>
              </w:rPr>
              <w:t>262.867.895</w:t>
            </w:r>
          </w:p>
        </w:tc>
      </w:tr>
      <w:tr w:rsidR="002D6214" w:rsidRPr="00951AB1" w14:paraId="381FFA2A" w14:textId="77777777" w:rsidTr="002D6214">
        <w:trPr>
          <w:trHeight w:val="255"/>
        </w:trPr>
        <w:tc>
          <w:tcPr>
            <w:tcW w:w="990" w:type="pct"/>
            <w:vMerge/>
            <w:vAlign w:val="center"/>
          </w:tcPr>
          <w:p w14:paraId="4BD0AB12" w14:textId="74891651" w:rsidR="002D6214" w:rsidRPr="00951AB1" w:rsidRDefault="002D6214" w:rsidP="000A5389">
            <w:pPr>
              <w:spacing w:line="240" w:lineRule="auto"/>
              <w:rPr>
                <w:rFonts w:eastAsia="Times New Roman" w:cs="Times New Roman"/>
                <w:color w:val="000000"/>
                <w:kern w:val="0"/>
                <w:sz w:val="20"/>
                <w:szCs w:val="20"/>
                <w:lang w:eastAsia="es-CO"/>
                <w14:ligatures w14:val="none"/>
              </w:rPr>
            </w:pPr>
          </w:p>
        </w:tc>
        <w:tc>
          <w:tcPr>
            <w:tcW w:w="3167" w:type="pct"/>
            <w:vAlign w:val="center"/>
            <w:hideMark/>
          </w:tcPr>
          <w:p w14:paraId="1F3FB592" w14:textId="5A676C81" w:rsidR="002D6214" w:rsidRPr="00951AB1" w:rsidRDefault="002D6214" w:rsidP="000A5389">
            <w:pPr>
              <w:spacing w:line="240" w:lineRule="auto"/>
              <w:rPr>
                <w:rFonts w:eastAsia="Times New Roman" w:cs="Times New Roman"/>
                <w:color w:val="000000"/>
                <w:kern w:val="0"/>
                <w:sz w:val="20"/>
                <w:szCs w:val="20"/>
                <w:lang w:eastAsia="es-CO"/>
                <w14:ligatures w14:val="none"/>
              </w:rPr>
            </w:pPr>
            <w:r w:rsidRPr="00951AB1">
              <w:rPr>
                <w:rFonts w:eastAsia="Times New Roman" w:cs="Times New Roman"/>
                <w:color w:val="000000"/>
                <w:kern w:val="0"/>
                <w:sz w:val="20"/>
                <w:szCs w:val="20"/>
                <w:lang w:eastAsia="es-CO"/>
                <w14:ligatures w14:val="none"/>
              </w:rPr>
              <w:t>Sociedad Portuaria Puerto Hondo S.A.</w:t>
            </w:r>
          </w:p>
        </w:tc>
        <w:tc>
          <w:tcPr>
            <w:tcW w:w="844" w:type="pct"/>
            <w:vAlign w:val="center"/>
            <w:hideMark/>
          </w:tcPr>
          <w:p w14:paraId="6A256852" w14:textId="77777777" w:rsidR="002D6214" w:rsidRPr="00951AB1" w:rsidRDefault="002D6214" w:rsidP="000A5389">
            <w:pPr>
              <w:spacing w:line="240" w:lineRule="auto"/>
              <w:jc w:val="right"/>
              <w:rPr>
                <w:rFonts w:eastAsia="Times New Roman" w:cs="Times New Roman"/>
                <w:color w:val="000000"/>
                <w:kern w:val="0"/>
                <w:sz w:val="20"/>
                <w:szCs w:val="20"/>
                <w:lang w:eastAsia="es-CO"/>
                <w14:ligatures w14:val="none"/>
              </w:rPr>
            </w:pPr>
            <w:r w:rsidRPr="00951AB1">
              <w:rPr>
                <w:rFonts w:eastAsia="Times New Roman" w:cs="Times New Roman"/>
                <w:color w:val="000000"/>
                <w:kern w:val="0"/>
                <w:sz w:val="20"/>
                <w:szCs w:val="20"/>
                <w:lang w:eastAsia="es-CO"/>
                <w14:ligatures w14:val="none"/>
              </w:rPr>
              <w:t>78.581.789</w:t>
            </w:r>
          </w:p>
        </w:tc>
      </w:tr>
      <w:tr w:rsidR="002D6214" w:rsidRPr="00951AB1" w14:paraId="2CB4A9E0" w14:textId="77777777" w:rsidTr="002D6214">
        <w:trPr>
          <w:trHeight w:val="255"/>
        </w:trPr>
        <w:tc>
          <w:tcPr>
            <w:tcW w:w="990" w:type="pct"/>
            <w:vMerge/>
            <w:vAlign w:val="center"/>
          </w:tcPr>
          <w:p w14:paraId="3DCCF812" w14:textId="4A2A1B2F" w:rsidR="002D6214" w:rsidRPr="00951AB1" w:rsidRDefault="002D6214" w:rsidP="000A5389">
            <w:pPr>
              <w:spacing w:line="240" w:lineRule="auto"/>
              <w:rPr>
                <w:rFonts w:eastAsia="Times New Roman" w:cs="Times New Roman"/>
                <w:color w:val="000000"/>
                <w:kern w:val="0"/>
                <w:sz w:val="20"/>
                <w:szCs w:val="20"/>
                <w:lang w:eastAsia="es-CO"/>
                <w14:ligatures w14:val="none"/>
              </w:rPr>
            </w:pPr>
          </w:p>
        </w:tc>
        <w:tc>
          <w:tcPr>
            <w:tcW w:w="3167" w:type="pct"/>
            <w:vAlign w:val="center"/>
            <w:hideMark/>
          </w:tcPr>
          <w:p w14:paraId="7B55AA12" w14:textId="58B8EAD3" w:rsidR="002D6214" w:rsidRPr="00951AB1" w:rsidRDefault="002D6214" w:rsidP="000A5389">
            <w:pPr>
              <w:spacing w:line="240" w:lineRule="auto"/>
              <w:rPr>
                <w:rFonts w:eastAsia="Times New Roman" w:cs="Times New Roman"/>
                <w:color w:val="000000"/>
                <w:kern w:val="0"/>
                <w:sz w:val="20"/>
                <w:szCs w:val="20"/>
                <w:lang w:eastAsia="es-CO"/>
                <w14:ligatures w14:val="none"/>
              </w:rPr>
            </w:pPr>
            <w:r w:rsidRPr="00951AB1">
              <w:rPr>
                <w:rFonts w:eastAsia="Times New Roman" w:cs="Times New Roman"/>
                <w:color w:val="000000"/>
                <w:kern w:val="0"/>
                <w:sz w:val="20"/>
                <w:szCs w:val="20"/>
                <w:lang w:eastAsia="es-CO"/>
                <w14:ligatures w14:val="none"/>
              </w:rPr>
              <w:t>Sociedad Portuaria Terminal De IFO'S S.A.</w:t>
            </w:r>
          </w:p>
        </w:tc>
        <w:tc>
          <w:tcPr>
            <w:tcW w:w="844" w:type="pct"/>
            <w:vAlign w:val="center"/>
            <w:hideMark/>
          </w:tcPr>
          <w:p w14:paraId="206A6515" w14:textId="77777777" w:rsidR="002D6214" w:rsidRPr="00951AB1" w:rsidRDefault="002D6214" w:rsidP="000A5389">
            <w:pPr>
              <w:spacing w:line="240" w:lineRule="auto"/>
              <w:jc w:val="right"/>
              <w:rPr>
                <w:rFonts w:eastAsia="Times New Roman" w:cs="Times New Roman"/>
                <w:color w:val="000000"/>
                <w:kern w:val="0"/>
                <w:sz w:val="20"/>
                <w:szCs w:val="20"/>
                <w:lang w:eastAsia="es-CO"/>
                <w14:ligatures w14:val="none"/>
              </w:rPr>
            </w:pPr>
            <w:r w:rsidRPr="00951AB1">
              <w:rPr>
                <w:rFonts w:eastAsia="Times New Roman" w:cs="Times New Roman"/>
                <w:color w:val="000000"/>
                <w:kern w:val="0"/>
                <w:sz w:val="20"/>
                <w:szCs w:val="20"/>
                <w:lang w:eastAsia="es-CO"/>
                <w14:ligatures w14:val="none"/>
              </w:rPr>
              <w:t>51.997.461</w:t>
            </w:r>
          </w:p>
        </w:tc>
      </w:tr>
      <w:tr w:rsidR="002D6214" w:rsidRPr="00951AB1" w14:paraId="168EA033" w14:textId="77777777" w:rsidTr="002D6214">
        <w:trPr>
          <w:trHeight w:val="255"/>
        </w:trPr>
        <w:tc>
          <w:tcPr>
            <w:tcW w:w="990" w:type="pct"/>
            <w:vMerge/>
            <w:vAlign w:val="center"/>
          </w:tcPr>
          <w:p w14:paraId="29E5C8A6" w14:textId="4C61BA5B" w:rsidR="002D6214" w:rsidRPr="00951AB1" w:rsidRDefault="002D6214" w:rsidP="000A5389">
            <w:pPr>
              <w:spacing w:line="240" w:lineRule="auto"/>
              <w:rPr>
                <w:rFonts w:eastAsia="Times New Roman" w:cs="Times New Roman"/>
                <w:color w:val="000000"/>
                <w:kern w:val="0"/>
                <w:sz w:val="20"/>
                <w:szCs w:val="20"/>
                <w:lang w:eastAsia="es-CO"/>
                <w14:ligatures w14:val="none"/>
              </w:rPr>
            </w:pPr>
          </w:p>
        </w:tc>
        <w:tc>
          <w:tcPr>
            <w:tcW w:w="3167" w:type="pct"/>
            <w:vAlign w:val="center"/>
            <w:hideMark/>
          </w:tcPr>
          <w:p w14:paraId="6F4F4CB6" w14:textId="5B675EA5" w:rsidR="002D6214" w:rsidRPr="00951AB1" w:rsidRDefault="002D6214" w:rsidP="000A5389">
            <w:pPr>
              <w:spacing w:line="240" w:lineRule="auto"/>
              <w:rPr>
                <w:rFonts w:eastAsia="Times New Roman" w:cs="Times New Roman"/>
                <w:color w:val="000000"/>
                <w:kern w:val="0"/>
                <w:sz w:val="20"/>
                <w:szCs w:val="20"/>
                <w:lang w:eastAsia="es-CO"/>
                <w14:ligatures w14:val="none"/>
              </w:rPr>
            </w:pPr>
            <w:r w:rsidRPr="00951AB1">
              <w:rPr>
                <w:rFonts w:eastAsia="Times New Roman" w:cs="Times New Roman"/>
                <w:color w:val="000000"/>
                <w:kern w:val="0"/>
                <w:sz w:val="20"/>
                <w:szCs w:val="20"/>
                <w:lang w:eastAsia="es-CO"/>
                <w14:ligatures w14:val="none"/>
              </w:rPr>
              <w:t>Digicom System Corporation SA</w:t>
            </w:r>
          </w:p>
        </w:tc>
        <w:tc>
          <w:tcPr>
            <w:tcW w:w="844" w:type="pct"/>
            <w:vAlign w:val="center"/>
            <w:hideMark/>
          </w:tcPr>
          <w:p w14:paraId="503EDC1A" w14:textId="77777777" w:rsidR="002D6214" w:rsidRPr="00951AB1" w:rsidRDefault="002D6214" w:rsidP="000A5389">
            <w:pPr>
              <w:spacing w:line="240" w:lineRule="auto"/>
              <w:jc w:val="right"/>
              <w:rPr>
                <w:rFonts w:eastAsia="Times New Roman" w:cs="Times New Roman"/>
                <w:color w:val="000000"/>
                <w:kern w:val="0"/>
                <w:sz w:val="20"/>
                <w:szCs w:val="20"/>
                <w:lang w:eastAsia="es-CO"/>
                <w14:ligatures w14:val="none"/>
              </w:rPr>
            </w:pPr>
            <w:r w:rsidRPr="00951AB1">
              <w:rPr>
                <w:rFonts w:eastAsia="Times New Roman" w:cs="Times New Roman"/>
                <w:color w:val="000000"/>
                <w:kern w:val="0"/>
                <w:sz w:val="20"/>
                <w:szCs w:val="20"/>
                <w:lang w:eastAsia="es-CO"/>
                <w14:ligatures w14:val="none"/>
              </w:rPr>
              <w:t>4.680.000</w:t>
            </w:r>
          </w:p>
        </w:tc>
      </w:tr>
      <w:tr w:rsidR="00D836B8" w:rsidRPr="00951AB1" w14:paraId="025EE18F" w14:textId="77777777" w:rsidTr="002D6214">
        <w:trPr>
          <w:trHeight w:val="300"/>
        </w:trPr>
        <w:tc>
          <w:tcPr>
            <w:tcW w:w="990" w:type="pct"/>
            <w:vAlign w:val="center"/>
            <w:hideMark/>
          </w:tcPr>
          <w:p w14:paraId="78A47454" w14:textId="77777777" w:rsidR="00D836B8" w:rsidRPr="00951AB1" w:rsidRDefault="00D836B8" w:rsidP="000A5389">
            <w:pPr>
              <w:spacing w:line="240" w:lineRule="auto"/>
              <w:rPr>
                <w:rFonts w:eastAsia="Times New Roman" w:cs="Times New Roman"/>
                <w:color w:val="000000"/>
                <w:kern w:val="0"/>
                <w:sz w:val="20"/>
                <w:szCs w:val="20"/>
                <w:lang w:eastAsia="es-CO"/>
                <w14:ligatures w14:val="none"/>
              </w:rPr>
            </w:pPr>
            <w:r w:rsidRPr="00951AB1">
              <w:rPr>
                <w:rFonts w:eastAsia="Times New Roman" w:cs="Times New Roman"/>
                <w:color w:val="000000"/>
                <w:kern w:val="0"/>
                <w:sz w:val="20"/>
                <w:szCs w:val="20"/>
                <w:lang w:eastAsia="es-CO"/>
                <w14:ligatures w14:val="none"/>
              </w:rPr>
              <w:t> </w:t>
            </w:r>
          </w:p>
        </w:tc>
        <w:tc>
          <w:tcPr>
            <w:tcW w:w="3167" w:type="pct"/>
            <w:vAlign w:val="center"/>
            <w:hideMark/>
          </w:tcPr>
          <w:p w14:paraId="580FB65F" w14:textId="77777777" w:rsidR="00D836B8" w:rsidRPr="00951AB1" w:rsidRDefault="00D836B8" w:rsidP="000A5389">
            <w:pPr>
              <w:spacing w:line="240" w:lineRule="auto"/>
              <w:rPr>
                <w:rFonts w:eastAsia="Times New Roman" w:cs="Times New Roman"/>
                <w:b/>
                <w:bCs/>
                <w:color w:val="000000"/>
                <w:kern w:val="0"/>
                <w:sz w:val="20"/>
                <w:szCs w:val="20"/>
                <w:lang w:eastAsia="es-CO"/>
                <w14:ligatures w14:val="none"/>
              </w:rPr>
            </w:pPr>
            <w:r w:rsidRPr="00951AB1">
              <w:rPr>
                <w:rFonts w:eastAsia="Times New Roman" w:cs="Times New Roman"/>
                <w:b/>
                <w:bCs/>
                <w:color w:val="000000"/>
                <w:kern w:val="0"/>
                <w:sz w:val="20"/>
                <w:szCs w:val="20"/>
                <w:lang w:eastAsia="es-CO"/>
                <w14:ligatures w14:val="none"/>
              </w:rPr>
              <w:t>TOTAL</w:t>
            </w:r>
          </w:p>
        </w:tc>
        <w:tc>
          <w:tcPr>
            <w:tcW w:w="844" w:type="pct"/>
            <w:vAlign w:val="center"/>
            <w:hideMark/>
          </w:tcPr>
          <w:p w14:paraId="6DD43E17" w14:textId="77777777" w:rsidR="00D836B8" w:rsidRPr="00951AB1" w:rsidRDefault="00D836B8" w:rsidP="000A5389">
            <w:pPr>
              <w:spacing w:line="240" w:lineRule="auto"/>
              <w:jc w:val="right"/>
              <w:rPr>
                <w:rFonts w:eastAsia="Times New Roman" w:cs="Times New Roman"/>
                <w:b/>
                <w:bCs/>
                <w:color w:val="000000"/>
                <w:kern w:val="0"/>
                <w:sz w:val="20"/>
                <w:szCs w:val="20"/>
                <w:lang w:eastAsia="es-CO"/>
                <w14:ligatures w14:val="none"/>
              </w:rPr>
            </w:pPr>
            <w:r w:rsidRPr="00951AB1">
              <w:rPr>
                <w:rFonts w:eastAsia="Times New Roman" w:cs="Times New Roman"/>
                <w:b/>
                <w:bCs/>
                <w:color w:val="000000"/>
                <w:kern w:val="0"/>
                <w:sz w:val="20"/>
                <w:szCs w:val="20"/>
                <w:lang w:eastAsia="es-CO"/>
                <w14:ligatures w14:val="none"/>
              </w:rPr>
              <w:t>173.711.627.856</w:t>
            </w:r>
          </w:p>
        </w:tc>
      </w:tr>
    </w:tbl>
    <w:p w14:paraId="750B4DA9" w14:textId="77777777" w:rsidR="00AE6B1F" w:rsidRPr="00951AB1" w:rsidRDefault="00AE6B1F" w:rsidP="000A5389">
      <w:pPr>
        <w:spacing w:line="240" w:lineRule="auto"/>
        <w:ind w:left="-20" w:right="-20"/>
        <w:rPr>
          <w:rFonts w:cs="Times New Roman"/>
        </w:rPr>
      </w:pPr>
      <w:r w:rsidRPr="00951AB1">
        <w:rPr>
          <w:rFonts w:eastAsia="Times New Roman" w:cs="Times New Roman"/>
          <w:sz w:val="14"/>
          <w:szCs w:val="14"/>
          <w:lang w:val="es-ES"/>
        </w:rPr>
        <w:t>Cifras expresadas en pesos</w:t>
      </w:r>
      <w:r w:rsidRPr="00951AB1">
        <w:rPr>
          <w:rFonts w:eastAsia="Times New Roman" w:cs="Times New Roman"/>
          <w:szCs w:val="24"/>
          <w:lang w:val="es-ES"/>
        </w:rPr>
        <w:t xml:space="preserve"> </w:t>
      </w:r>
    </w:p>
    <w:p w14:paraId="14CCF7D4" w14:textId="77777777" w:rsidR="00563708" w:rsidRPr="00951AB1" w:rsidRDefault="00563708" w:rsidP="000A5389">
      <w:pPr>
        <w:spacing w:line="240" w:lineRule="auto"/>
        <w:rPr>
          <w:rFonts w:cs="Times New Roman"/>
          <w:szCs w:val="24"/>
        </w:rPr>
      </w:pPr>
    </w:p>
    <w:p w14:paraId="5162D5F0" w14:textId="2D1DCEA4" w:rsidR="00DE1B1F" w:rsidRPr="00951AB1" w:rsidRDefault="00DE1B1F" w:rsidP="000A5389">
      <w:pPr>
        <w:spacing w:line="240" w:lineRule="auto"/>
        <w:rPr>
          <w:rFonts w:cs="Times New Roman"/>
          <w:szCs w:val="24"/>
        </w:rPr>
      </w:pPr>
      <w:r w:rsidRPr="00951AB1">
        <w:rPr>
          <w:rFonts w:cs="Times New Roman"/>
          <w:szCs w:val="24"/>
        </w:rPr>
        <w:t>La Agencia no reconoció ni tiene reconocidos pasivos originados en recursos recibidos sujetos a condiciones; así como tampoco, tiene cobro</w:t>
      </w:r>
      <w:r w:rsidR="00234DCE" w:rsidRPr="00951AB1">
        <w:rPr>
          <w:rFonts w:cs="Times New Roman"/>
          <w:szCs w:val="24"/>
        </w:rPr>
        <w:t>s</w:t>
      </w:r>
      <w:r w:rsidRPr="00951AB1">
        <w:rPr>
          <w:rFonts w:cs="Times New Roman"/>
          <w:szCs w:val="24"/>
        </w:rPr>
        <w:t xml:space="preserve"> anticipado</w:t>
      </w:r>
      <w:r w:rsidR="00234DCE" w:rsidRPr="00951AB1">
        <w:rPr>
          <w:rFonts w:cs="Times New Roman"/>
          <w:szCs w:val="24"/>
        </w:rPr>
        <w:t>s</w:t>
      </w:r>
      <w:r w:rsidRPr="00951AB1">
        <w:rPr>
          <w:rFonts w:cs="Times New Roman"/>
          <w:szCs w:val="24"/>
        </w:rPr>
        <w:t xml:space="preserve"> con respecto a las transacciones sin contraprestación</w:t>
      </w:r>
      <w:r w:rsidR="00234DCE" w:rsidRPr="00951AB1">
        <w:rPr>
          <w:rFonts w:cs="Times New Roman"/>
          <w:szCs w:val="24"/>
        </w:rPr>
        <w:t>.</w:t>
      </w:r>
      <w:r w:rsidRPr="00951AB1">
        <w:rPr>
          <w:rFonts w:cs="Times New Roman"/>
          <w:szCs w:val="24"/>
        </w:rPr>
        <w:t xml:space="preserve"> </w:t>
      </w:r>
    </w:p>
    <w:p w14:paraId="36B6BCD8" w14:textId="77777777" w:rsidR="000B2E4B" w:rsidRPr="00951AB1" w:rsidRDefault="000B2E4B" w:rsidP="000A5389">
      <w:pPr>
        <w:spacing w:line="240" w:lineRule="auto"/>
        <w:rPr>
          <w:rFonts w:cs="Times New Roman"/>
        </w:rPr>
      </w:pPr>
    </w:p>
    <w:p w14:paraId="3181ADC6" w14:textId="020C56D9" w:rsidR="000B2E4B" w:rsidRPr="00951AB1" w:rsidRDefault="008B550E" w:rsidP="000A5389">
      <w:pPr>
        <w:spacing w:line="240" w:lineRule="auto"/>
        <w:rPr>
          <w:rFonts w:cs="Times New Roman"/>
        </w:rPr>
      </w:pPr>
      <w:r w:rsidRPr="00951AB1">
        <w:rPr>
          <w:rFonts w:cs="Times New Roman"/>
          <w:szCs w:val="24"/>
        </w:rPr>
        <w:t>No recibió</w:t>
      </w:r>
      <w:r w:rsidR="000B2E4B" w:rsidRPr="00951AB1">
        <w:rPr>
          <w:rFonts w:cs="Times New Roman"/>
          <w:szCs w:val="24"/>
        </w:rPr>
        <w:t xml:space="preserve"> </w:t>
      </w:r>
      <w:r w:rsidRPr="00951AB1">
        <w:rPr>
          <w:rFonts w:cs="Times New Roman"/>
          <w:szCs w:val="24"/>
        </w:rPr>
        <w:t xml:space="preserve">bienes </w:t>
      </w:r>
      <w:r w:rsidR="000B2E4B" w:rsidRPr="00951AB1">
        <w:rPr>
          <w:rFonts w:cs="Times New Roman"/>
          <w:szCs w:val="24"/>
        </w:rPr>
        <w:t xml:space="preserve">sin entregar nada a cambio </w:t>
      </w:r>
      <w:r w:rsidRPr="00951AB1">
        <w:rPr>
          <w:rFonts w:cs="Times New Roman"/>
          <w:szCs w:val="24"/>
        </w:rPr>
        <w:t>ni</w:t>
      </w:r>
      <w:r w:rsidR="000B2E4B" w:rsidRPr="00951AB1">
        <w:rPr>
          <w:rFonts w:cs="Times New Roman"/>
          <w:szCs w:val="24"/>
        </w:rPr>
        <w:t xml:space="preserve"> entregando un valor significativamente menor a su valor de mercado, que no cumplan los criterios de reconocimiento de las normas de Inventarios; de Propiedades, planta y equipo; de Bienes de uso público; de Bienes </w:t>
      </w:r>
      <w:r w:rsidR="000B2E4B" w:rsidRPr="00951AB1">
        <w:rPr>
          <w:rFonts w:cs="Times New Roman"/>
          <w:szCs w:val="24"/>
        </w:rPr>
        <w:lastRenderedPageBreak/>
        <w:t>históricos y culturales; de Propiedades de inversión; de Activos intangibles</w:t>
      </w:r>
      <w:r w:rsidR="00970DFD" w:rsidRPr="00951AB1">
        <w:rPr>
          <w:rFonts w:cs="Times New Roman"/>
          <w:szCs w:val="24"/>
        </w:rPr>
        <w:t xml:space="preserve"> y, </w:t>
      </w:r>
      <w:r w:rsidR="000B2E4B" w:rsidRPr="00951AB1">
        <w:rPr>
          <w:rFonts w:cs="Times New Roman"/>
          <w:szCs w:val="24"/>
        </w:rPr>
        <w:t>no tiene reconocido Activos biológicos</w:t>
      </w:r>
      <w:r w:rsidR="00970DFD" w:rsidRPr="00951AB1">
        <w:rPr>
          <w:rFonts w:cs="Times New Roman"/>
          <w:szCs w:val="24"/>
        </w:rPr>
        <w:t>.</w:t>
      </w:r>
      <w:r w:rsidR="000B2E4B" w:rsidRPr="00951AB1">
        <w:rPr>
          <w:rFonts w:cs="Times New Roman"/>
          <w:szCs w:val="24"/>
        </w:rPr>
        <w:t xml:space="preserve"> </w:t>
      </w:r>
    </w:p>
    <w:p w14:paraId="154C1F38" w14:textId="77777777" w:rsidR="00DE1B1F" w:rsidRPr="00951AB1" w:rsidRDefault="00DE1B1F" w:rsidP="000A5389">
      <w:pPr>
        <w:spacing w:line="240" w:lineRule="auto"/>
        <w:rPr>
          <w:rFonts w:cs="Times New Roman"/>
        </w:rPr>
      </w:pPr>
    </w:p>
    <w:p w14:paraId="15BC760D" w14:textId="1B148257" w:rsidR="003E16A9" w:rsidRPr="00951AB1" w:rsidRDefault="003E16A9" w:rsidP="000A5389">
      <w:pPr>
        <w:pStyle w:val="Ttulo2"/>
        <w:numPr>
          <w:ilvl w:val="0"/>
          <w:numId w:val="0"/>
        </w:numPr>
        <w:spacing w:line="240" w:lineRule="auto"/>
        <w:rPr>
          <w:rFonts w:eastAsia="Times New Roman" w:cs="Times New Roman"/>
          <w:bCs/>
          <w:szCs w:val="24"/>
          <w:lang w:val="es-ES"/>
        </w:rPr>
      </w:pPr>
      <w:bookmarkStart w:id="816" w:name="_Toc191369568"/>
      <w:bookmarkStart w:id="817" w:name="_Toc191456895"/>
      <w:bookmarkStart w:id="818" w:name="_Toc191457005"/>
      <w:bookmarkStart w:id="819" w:name="_Toc191457115"/>
      <w:bookmarkStart w:id="820" w:name="_Toc191475742"/>
      <w:bookmarkStart w:id="821" w:name="_Toc191475851"/>
      <w:bookmarkStart w:id="822" w:name="_Toc191475960"/>
      <w:bookmarkStart w:id="823" w:name="_Toc191475483"/>
      <w:bookmarkStart w:id="824" w:name="_Toc191505859"/>
      <w:bookmarkStart w:id="825" w:name="_Toc222824173"/>
      <w:bookmarkStart w:id="826" w:name="_Toc222955539"/>
      <w:r w:rsidRPr="00951AB1">
        <w:rPr>
          <w:rFonts w:eastAsia="Times New Roman" w:cs="Times New Roman"/>
          <w:bCs/>
          <w:szCs w:val="24"/>
          <w:lang w:val="es-ES"/>
        </w:rPr>
        <w:t>29.2.</w:t>
      </w:r>
      <w:r w:rsidRPr="00951AB1">
        <w:rPr>
          <w:rFonts w:eastAsia="Times New Roman" w:cs="Times New Roman"/>
          <w:b w:val="0"/>
          <w:sz w:val="14"/>
          <w:szCs w:val="14"/>
          <w:lang w:val="es-ES"/>
        </w:rPr>
        <w:t xml:space="preserve">   </w:t>
      </w:r>
      <w:r w:rsidRPr="00951AB1">
        <w:rPr>
          <w:rFonts w:eastAsia="Times New Roman" w:cs="Times New Roman"/>
          <w:bCs/>
          <w:szCs w:val="24"/>
          <w:lang w:val="es-ES"/>
        </w:rPr>
        <w:t>Ingresos de transacciones con contraprestación</w:t>
      </w:r>
      <w:bookmarkEnd w:id="816"/>
      <w:bookmarkEnd w:id="817"/>
      <w:bookmarkEnd w:id="818"/>
      <w:bookmarkEnd w:id="819"/>
      <w:bookmarkEnd w:id="820"/>
      <w:bookmarkEnd w:id="821"/>
      <w:bookmarkEnd w:id="822"/>
      <w:bookmarkEnd w:id="823"/>
      <w:bookmarkEnd w:id="824"/>
      <w:bookmarkEnd w:id="825"/>
      <w:bookmarkEnd w:id="826"/>
      <w:r w:rsidRPr="00951AB1">
        <w:rPr>
          <w:rFonts w:eastAsia="Times New Roman" w:cs="Times New Roman"/>
          <w:bCs/>
          <w:szCs w:val="24"/>
          <w:lang w:val="es-ES"/>
        </w:rPr>
        <w:t xml:space="preserve"> </w:t>
      </w:r>
    </w:p>
    <w:p w14:paraId="7A098BFD" w14:textId="77777777" w:rsidR="003E16A9" w:rsidRPr="00951AB1" w:rsidRDefault="003E16A9" w:rsidP="000A5389">
      <w:pPr>
        <w:spacing w:line="240" w:lineRule="auto"/>
        <w:rPr>
          <w:rFonts w:cs="Times New Roman"/>
        </w:rPr>
      </w:pPr>
      <w:r w:rsidRPr="00951AB1">
        <w:rPr>
          <w:rFonts w:eastAsia="Times New Roman" w:cs="Times New Roman"/>
          <w:szCs w:val="24"/>
          <w:lang w:val="es-ES"/>
        </w:rPr>
        <w:t xml:space="preserve"> </w:t>
      </w:r>
    </w:p>
    <w:p w14:paraId="5B4C5CBF" w14:textId="77777777" w:rsidR="003E16A9" w:rsidRPr="00951AB1" w:rsidRDefault="003E16A9" w:rsidP="000A5389">
      <w:pPr>
        <w:spacing w:line="240" w:lineRule="auto"/>
        <w:rPr>
          <w:rFonts w:cs="Times New Roman"/>
          <w:szCs w:val="24"/>
        </w:rPr>
      </w:pPr>
      <w:r w:rsidRPr="00951AB1">
        <w:rPr>
          <w:rFonts w:eastAsia="Times New Roman" w:cs="Times New Roman"/>
          <w:color w:val="000000" w:themeColor="text1"/>
          <w:szCs w:val="24"/>
          <w:lang w:val="es-ES"/>
        </w:rPr>
        <w:t xml:space="preserve">De conformidad con la política contable adoptada, la Agencia reconocerá como ingresos de transacciones con contraprestación aquellos que se originan por la venta de </w:t>
      </w:r>
      <w:r w:rsidRPr="00951AB1">
        <w:rPr>
          <w:rFonts w:cs="Times New Roman"/>
          <w:szCs w:val="24"/>
        </w:rPr>
        <w:t>bienes, la prestación de servicios o el uso que terceros hacen de activos, los cuales producen intereses, derechos de explotación, arrendamientos, dividendos, participaciones o excedentes financieros, entre otros. Lo anterior, con independencia de que la transacción se realice a precios de mercado o a un precio menor a este.</w:t>
      </w:r>
    </w:p>
    <w:p w14:paraId="1B8F04B3" w14:textId="77777777" w:rsidR="003E16A9" w:rsidRPr="00951AB1" w:rsidRDefault="003E16A9" w:rsidP="000A5389">
      <w:pPr>
        <w:spacing w:line="240" w:lineRule="auto"/>
        <w:rPr>
          <w:rFonts w:cs="Times New Roman"/>
          <w:szCs w:val="24"/>
        </w:rPr>
      </w:pPr>
      <w:r w:rsidRPr="00951AB1">
        <w:rPr>
          <w:rFonts w:eastAsia="Times New Roman" w:cs="Times New Roman"/>
          <w:color w:val="000000" w:themeColor="text1"/>
          <w:szCs w:val="24"/>
          <w:lang w:val="es-ES"/>
        </w:rPr>
        <w:t xml:space="preserve"> </w:t>
      </w:r>
    </w:p>
    <w:p w14:paraId="58B3FD6D" w14:textId="77777777" w:rsidR="003E16A9" w:rsidRPr="00951AB1" w:rsidRDefault="003E16A9" w:rsidP="000A5389">
      <w:pPr>
        <w:spacing w:line="240" w:lineRule="auto"/>
        <w:rPr>
          <w:rFonts w:cs="Times New Roman"/>
          <w:szCs w:val="24"/>
        </w:rPr>
      </w:pPr>
      <w:r w:rsidRPr="00951AB1">
        <w:rPr>
          <w:rFonts w:eastAsia="Times New Roman" w:cs="Times New Roman"/>
          <w:color w:val="000000" w:themeColor="text1"/>
          <w:szCs w:val="24"/>
          <w:lang w:val="es-ES"/>
        </w:rPr>
        <w:t xml:space="preserve">El criterio para el reconocimiento de ingresos de </w:t>
      </w:r>
      <w:r w:rsidRPr="00951AB1">
        <w:rPr>
          <w:rFonts w:cs="Times New Roman"/>
          <w:szCs w:val="24"/>
        </w:rPr>
        <w:t>transacciones con contraprestación se aplicará por separado a cada transacción. No obstante, en determinadas circunstancias, será necesario aplicar tal criterio de reconocimiento por separado a los componentes identificables de una única transacción, con el fin de reflejar la sustancia de la operación. Por su parte, el criterio de reconocimiento se aplicará a dos o más transacciones conjuntamente cuando estén ligadas de manera que el efecto comercial no pueda ser entendido sin referencia al conjunto completo de transacciones.</w:t>
      </w:r>
    </w:p>
    <w:p w14:paraId="0C0E137F" w14:textId="77777777" w:rsidR="003E16A9" w:rsidRPr="00951AB1" w:rsidRDefault="003E16A9" w:rsidP="000A5389">
      <w:pPr>
        <w:spacing w:line="240" w:lineRule="auto"/>
        <w:rPr>
          <w:rFonts w:cs="Times New Roman"/>
        </w:rPr>
      </w:pPr>
      <w:r w:rsidRPr="00951AB1">
        <w:rPr>
          <w:rFonts w:eastAsia="Times New Roman" w:cs="Times New Roman"/>
          <w:color w:val="000000" w:themeColor="text1"/>
          <w:szCs w:val="24"/>
          <w:lang w:val="es-ES"/>
        </w:rPr>
        <w:t xml:space="preserve"> </w:t>
      </w:r>
    </w:p>
    <w:p w14:paraId="4655253D" w14:textId="2FBF445D" w:rsidR="000319A0" w:rsidRPr="00951AB1" w:rsidRDefault="000319A0" w:rsidP="000A5389">
      <w:pPr>
        <w:spacing w:line="240" w:lineRule="auto"/>
        <w:rPr>
          <w:rFonts w:cs="Times New Roman"/>
        </w:rPr>
      </w:pPr>
      <w:r w:rsidRPr="00951AB1">
        <w:rPr>
          <w:rFonts w:eastAsia="Times New Roman" w:cs="Times New Roman"/>
          <w:color w:val="000000" w:themeColor="text1"/>
          <w:szCs w:val="24"/>
          <w:lang w:val="es-ES"/>
        </w:rPr>
        <w:t xml:space="preserve">Estos ingresos se </w:t>
      </w:r>
      <w:r w:rsidRPr="00951AB1">
        <w:rPr>
          <w:rFonts w:cs="Times New Roman"/>
        </w:rPr>
        <w:t>miden por el valor de mercado de la contraprestación recibida o por recibir, una vez deducidas las rebajas o descuentos condicionados y no condicionados</w:t>
      </w:r>
      <w:r w:rsidR="00315361" w:rsidRPr="00951AB1">
        <w:rPr>
          <w:rFonts w:cs="Times New Roman"/>
        </w:rPr>
        <w:t>; a</w:t>
      </w:r>
      <w:r w:rsidRPr="00951AB1">
        <w:rPr>
          <w:rFonts w:eastAsia="Times New Roman" w:cs="Times New Roman"/>
          <w:szCs w:val="24"/>
          <w:lang w:val="es-ES"/>
        </w:rPr>
        <w:t xml:space="preserve"> continuación, se detalla la composición de los ingresos de transacciones con contraprestación:</w:t>
      </w:r>
    </w:p>
    <w:p w14:paraId="09C8CFAE" w14:textId="77777777" w:rsidR="003E16A9" w:rsidRPr="00951AB1" w:rsidRDefault="003E16A9" w:rsidP="000A5389">
      <w:pPr>
        <w:spacing w:line="240" w:lineRule="auto"/>
        <w:rPr>
          <w:rFonts w:cs="Times New Roman"/>
          <w:b/>
          <w:bCs/>
          <w:color w:val="1F3864" w:themeColor="accent1" w:themeShade="8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668"/>
        <w:gridCol w:w="404"/>
        <w:gridCol w:w="3176"/>
        <w:gridCol w:w="1559"/>
        <w:gridCol w:w="1559"/>
        <w:gridCol w:w="1462"/>
      </w:tblGrid>
      <w:tr w:rsidR="00315361" w:rsidRPr="00951AB1" w14:paraId="7BEF8A52" w14:textId="77777777" w:rsidTr="0027464D">
        <w:trPr>
          <w:trHeight w:val="508"/>
          <w:tblHeader/>
        </w:trPr>
        <w:tc>
          <w:tcPr>
            <w:tcW w:w="2406" w:type="pct"/>
            <w:gridSpan w:val="3"/>
            <w:noWrap/>
            <w:vAlign w:val="center"/>
            <w:hideMark/>
          </w:tcPr>
          <w:p w14:paraId="08CF108D" w14:textId="77777777" w:rsidR="00315361" w:rsidRPr="00951AB1" w:rsidRDefault="00315361" w:rsidP="000A5389">
            <w:pPr>
              <w:spacing w:line="240" w:lineRule="auto"/>
              <w:jc w:val="center"/>
              <w:rPr>
                <w:rFonts w:eastAsia="Times New Roman" w:cs="Times New Roman"/>
                <w:b/>
                <w:color w:val="000000"/>
                <w:kern w:val="0"/>
                <w:sz w:val="16"/>
                <w:szCs w:val="16"/>
                <w:lang w:eastAsia="es-CO"/>
                <w14:ligatures w14:val="none"/>
              </w:rPr>
            </w:pPr>
            <w:r w:rsidRPr="00951AB1">
              <w:rPr>
                <w:rFonts w:eastAsia="Times New Roman" w:cs="Times New Roman"/>
                <w:b/>
                <w:color w:val="000000"/>
                <w:kern w:val="0"/>
                <w:sz w:val="16"/>
                <w:szCs w:val="16"/>
                <w:lang w:eastAsia="es-CO"/>
                <w14:ligatures w14:val="none"/>
              </w:rPr>
              <w:t>CONCEPTO</w:t>
            </w:r>
          </w:p>
        </w:tc>
        <w:tc>
          <w:tcPr>
            <w:tcW w:w="883" w:type="pct"/>
            <w:vAlign w:val="center"/>
            <w:hideMark/>
          </w:tcPr>
          <w:p w14:paraId="0ABAB03E" w14:textId="77777777" w:rsidR="00315361" w:rsidRPr="00951AB1" w:rsidRDefault="00315361" w:rsidP="000A5389">
            <w:pPr>
              <w:spacing w:line="240" w:lineRule="auto"/>
              <w:jc w:val="center"/>
              <w:rPr>
                <w:rFonts w:eastAsia="Times New Roman" w:cs="Times New Roman"/>
                <w:b/>
                <w:color w:val="000000"/>
                <w:kern w:val="0"/>
                <w:sz w:val="16"/>
                <w:szCs w:val="16"/>
                <w:lang w:eastAsia="es-CO"/>
                <w14:ligatures w14:val="none"/>
              </w:rPr>
            </w:pPr>
            <w:r w:rsidRPr="00951AB1">
              <w:rPr>
                <w:rFonts w:eastAsia="Times New Roman" w:cs="Times New Roman"/>
                <w:b/>
                <w:color w:val="000000"/>
                <w:kern w:val="0"/>
                <w:sz w:val="16"/>
                <w:szCs w:val="16"/>
                <w:lang w:eastAsia="es-CO"/>
                <w14:ligatures w14:val="none"/>
              </w:rPr>
              <w:t xml:space="preserve">2025 </w:t>
            </w:r>
          </w:p>
        </w:tc>
        <w:tc>
          <w:tcPr>
            <w:tcW w:w="883" w:type="pct"/>
            <w:vAlign w:val="center"/>
            <w:hideMark/>
          </w:tcPr>
          <w:p w14:paraId="3707E4C9" w14:textId="77777777" w:rsidR="00315361" w:rsidRPr="00951AB1" w:rsidRDefault="00315361" w:rsidP="000A5389">
            <w:pPr>
              <w:spacing w:line="240" w:lineRule="auto"/>
              <w:jc w:val="center"/>
              <w:rPr>
                <w:rFonts w:eastAsia="Times New Roman" w:cs="Times New Roman"/>
                <w:b/>
                <w:color w:val="000000"/>
                <w:kern w:val="0"/>
                <w:sz w:val="16"/>
                <w:szCs w:val="16"/>
                <w:lang w:eastAsia="es-CO"/>
                <w14:ligatures w14:val="none"/>
              </w:rPr>
            </w:pPr>
            <w:r w:rsidRPr="00951AB1">
              <w:rPr>
                <w:rFonts w:eastAsia="Times New Roman" w:cs="Times New Roman"/>
                <w:b/>
                <w:color w:val="000000"/>
                <w:kern w:val="0"/>
                <w:sz w:val="16"/>
                <w:szCs w:val="16"/>
                <w:lang w:eastAsia="es-CO"/>
                <w14:ligatures w14:val="none"/>
              </w:rPr>
              <w:t xml:space="preserve">2024 </w:t>
            </w:r>
          </w:p>
        </w:tc>
        <w:tc>
          <w:tcPr>
            <w:tcW w:w="828" w:type="pct"/>
            <w:vAlign w:val="center"/>
            <w:hideMark/>
          </w:tcPr>
          <w:p w14:paraId="44E0B794" w14:textId="5023B360" w:rsidR="00315361" w:rsidRPr="00951AB1" w:rsidRDefault="00315361" w:rsidP="000A5389">
            <w:pPr>
              <w:spacing w:line="240" w:lineRule="auto"/>
              <w:jc w:val="center"/>
              <w:rPr>
                <w:rFonts w:eastAsia="Times New Roman" w:cs="Times New Roman"/>
                <w:b/>
                <w:color w:val="000000"/>
                <w:kern w:val="0"/>
                <w:sz w:val="16"/>
                <w:szCs w:val="16"/>
                <w:lang w:eastAsia="es-CO"/>
                <w14:ligatures w14:val="none"/>
              </w:rPr>
            </w:pPr>
            <w:r w:rsidRPr="00951AB1">
              <w:rPr>
                <w:rFonts w:eastAsia="Times New Roman" w:cs="Times New Roman"/>
                <w:b/>
                <w:color w:val="000000"/>
                <w:kern w:val="0"/>
                <w:sz w:val="16"/>
                <w:szCs w:val="16"/>
                <w:lang w:eastAsia="es-CO"/>
                <w14:ligatures w14:val="none"/>
              </w:rPr>
              <w:t>VARIACIÓN</w:t>
            </w:r>
          </w:p>
        </w:tc>
      </w:tr>
      <w:tr w:rsidR="00315361" w:rsidRPr="00951AB1" w14:paraId="0A1E4EDA" w14:textId="77777777" w:rsidTr="00315361">
        <w:trPr>
          <w:trHeight w:val="502"/>
        </w:trPr>
        <w:tc>
          <w:tcPr>
            <w:tcW w:w="2406" w:type="pct"/>
            <w:gridSpan w:val="3"/>
            <w:noWrap/>
            <w:vAlign w:val="center"/>
            <w:hideMark/>
          </w:tcPr>
          <w:p w14:paraId="1D5C0563" w14:textId="62C58C4B" w:rsidR="00315361" w:rsidRPr="00951AB1" w:rsidRDefault="00315361" w:rsidP="000A5389">
            <w:pPr>
              <w:spacing w:line="240" w:lineRule="auto"/>
              <w:jc w:val="center"/>
              <w:rPr>
                <w:rFonts w:eastAsia="Times New Roman" w:cs="Times New Roman"/>
                <w:b/>
                <w:color w:val="000000"/>
                <w:kern w:val="0"/>
                <w:sz w:val="16"/>
                <w:szCs w:val="16"/>
                <w:lang w:eastAsia="es-CO"/>
                <w14:ligatures w14:val="none"/>
              </w:rPr>
            </w:pPr>
            <w:r w:rsidRPr="00951AB1">
              <w:rPr>
                <w:rFonts w:eastAsia="Times New Roman" w:cs="Times New Roman"/>
                <w:b/>
                <w:color w:val="000000"/>
                <w:kern w:val="0"/>
                <w:sz w:val="16"/>
                <w:szCs w:val="16"/>
                <w:lang w:eastAsia="es-CO"/>
                <w14:ligatures w14:val="none"/>
              </w:rPr>
              <w:t>INGRESOS DE TRANSACCIONES CON CONTRAPRESTACIÓN</w:t>
            </w:r>
          </w:p>
        </w:tc>
        <w:tc>
          <w:tcPr>
            <w:tcW w:w="883" w:type="pct"/>
            <w:noWrap/>
            <w:vAlign w:val="center"/>
            <w:hideMark/>
          </w:tcPr>
          <w:p w14:paraId="6E475D23" w14:textId="77777777" w:rsidR="00315361" w:rsidRPr="00951AB1" w:rsidRDefault="00315361" w:rsidP="000A5389">
            <w:pPr>
              <w:spacing w:line="240" w:lineRule="auto"/>
              <w:jc w:val="right"/>
              <w:rPr>
                <w:rFonts w:eastAsia="Times New Roman" w:cs="Times New Roman"/>
                <w:b/>
                <w:color w:val="000000"/>
                <w:kern w:val="0"/>
                <w:sz w:val="16"/>
                <w:szCs w:val="16"/>
                <w:lang w:eastAsia="es-CO"/>
                <w14:ligatures w14:val="none"/>
              </w:rPr>
            </w:pPr>
            <w:r w:rsidRPr="00951AB1">
              <w:rPr>
                <w:rFonts w:eastAsia="Times New Roman" w:cs="Times New Roman"/>
                <w:b/>
                <w:color w:val="000000"/>
                <w:kern w:val="0"/>
                <w:sz w:val="16"/>
                <w:szCs w:val="16"/>
                <w:lang w:eastAsia="es-CO"/>
                <w14:ligatures w14:val="none"/>
              </w:rPr>
              <w:t>5.287.347.110.248</w:t>
            </w:r>
          </w:p>
        </w:tc>
        <w:tc>
          <w:tcPr>
            <w:tcW w:w="883" w:type="pct"/>
            <w:noWrap/>
            <w:vAlign w:val="center"/>
            <w:hideMark/>
          </w:tcPr>
          <w:p w14:paraId="42CCEE11" w14:textId="77777777" w:rsidR="00315361" w:rsidRPr="00951AB1" w:rsidRDefault="00315361" w:rsidP="000A5389">
            <w:pPr>
              <w:spacing w:line="240" w:lineRule="auto"/>
              <w:jc w:val="right"/>
              <w:rPr>
                <w:rFonts w:eastAsia="Times New Roman" w:cs="Times New Roman"/>
                <w:b/>
                <w:color w:val="000000"/>
                <w:kern w:val="0"/>
                <w:sz w:val="16"/>
                <w:szCs w:val="16"/>
                <w:lang w:eastAsia="es-CO"/>
                <w14:ligatures w14:val="none"/>
              </w:rPr>
            </w:pPr>
            <w:r w:rsidRPr="00951AB1">
              <w:rPr>
                <w:rFonts w:eastAsia="Times New Roman" w:cs="Times New Roman"/>
                <w:b/>
                <w:color w:val="000000"/>
                <w:kern w:val="0"/>
                <w:sz w:val="16"/>
                <w:szCs w:val="16"/>
                <w:lang w:eastAsia="es-CO"/>
                <w14:ligatures w14:val="none"/>
              </w:rPr>
              <w:t>2.801.717.231.572</w:t>
            </w:r>
          </w:p>
        </w:tc>
        <w:tc>
          <w:tcPr>
            <w:tcW w:w="828" w:type="pct"/>
            <w:noWrap/>
            <w:vAlign w:val="center"/>
            <w:hideMark/>
          </w:tcPr>
          <w:p w14:paraId="4AD5E0CF" w14:textId="77777777" w:rsidR="00315361" w:rsidRPr="00951AB1" w:rsidRDefault="00315361" w:rsidP="000A5389">
            <w:pPr>
              <w:spacing w:line="240" w:lineRule="auto"/>
              <w:jc w:val="right"/>
              <w:rPr>
                <w:rFonts w:eastAsia="Times New Roman" w:cs="Times New Roman"/>
                <w:b/>
                <w:color w:val="000000"/>
                <w:kern w:val="0"/>
                <w:sz w:val="16"/>
                <w:szCs w:val="16"/>
                <w:lang w:eastAsia="es-CO"/>
                <w14:ligatures w14:val="none"/>
              </w:rPr>
            </w:pPr>
            <w:r w:rsidRPr="00951AB1">
              <w:rPr>
                <w:rFonts w:eastAsia="Times New Roman" w:cs="Times New Roman"/>
                <w:b/>
                <w:color w:val="000000"/>
                <w:kern w:val="0"/>
                <w:sz w:val="16"/>
                <w:szCs w:val="16"/>
                <w:lang w:eastAsia="es-CO"/>
                <w14:ligatures w14:val="none"/>
              </w:rPr>
              <w:t>2.485.629.878.676</w:t>
            </w:r>
          </w:p>
        </w:tc>
      </w:tr>
      <w:tr w:rsidR="00315361" w:rsidRPr="00951AB1" w14:paraId="00CAF602" w14:textId="77777777" w:rsidTr="00315361">
        <w:trPr>
          <w:trHeight w:val="285"/>
        </w:trPr>
        <w:tc>
          <w:tcPr>
            <w:tcW w:w="378" w:type="pct"/>
            <w:noWrap/>
            <w:vAlign w:val="center"/>
            <w:hideMark/>
          </w:tcPr>
          <w:p w14:paraId="47C3B904" w14:textId="77777777" w:rsidR="00131A29" w:rsidRPr="00951AB1" w:rsidRDefault="00131A29" w:rsidP="000A5389">
            <w:pPr>
              <w:spacing w:line="240" w:lineRule="auto"/>
              <w:rPr>
                <w:rFonts w:eastAsia="Times New Roman" w:cs="Times New Roman"/>
                <w:b/>
                <w:color w:val="000000"/>
                <w:kern w:val="0"/>
                <w:sz w:val="16"/>
                <w:szCs w:val="16"/>
                <w:lang w:eastAsia="es-CO"/>
                <w14:ligatures w14:val="none"/>
              </w:rPr>
            </w:pPr>
            <w:r w:rsidRPr="00951AB1">
              <w:rPr>
                <w:rFonts w:eastAsia="Times New Roman" w:cs="Times New Roman"/>
                <w:b/>
                <w:color w:val="000000"/>
                <w:kern w:val="0"/>
                <w:sz w:val="16"/>
                <w:szCs w:val="16"/>
                <w:lang w:eastAsia="es-CO"/>
                <w14:ligatures w14:val="none"/>
              </w:rPr>
              <w:t>4.8</w:t>
            </w:r>
          </w:p>
        </w:tc>
        <w:tc>
          <w:tcPr>
            <w:tcW w:w="229" w:type="pct"/>
            <w:noWrap/>
            <w:vAlign w:val="center"/>
            <w:hideMark/>
          </w:tcPr>
          <w:p w14:paraId="3A9DB4A8" w14:textId="77777777" w:rsidR="00131A29" w:rsidRPr="00951AB1" w:rsidRDefault="00131A29" w:rsidP="000A5389">
            <w:pPr>
              <w:spacing w:line="240" w:lineRule="auto"/>
              <w:jc w:val="center"/>
              <w:rPr>
                <w:rFonts w:eastAsia="Times New Roman" w:cs="Times New Roman"/>
                <w:b/>
                <w:color w:val="000000"/>
                <w:kern w:val="0"/>
                <w:sz w:val="16"/>
                <w:szCs w:val="16"/>
                <w:lang w:eastAsia="es-CO"/>
                <w14:ligatures w14:val="none"/>
              </w:rPr>
            </w:pPr>
            <w:r w:rsidRPr="00951AB1">
              <w:rPr>
                <w:rFonts w:eastAsia="Times New Roman" w:cs="Times New Roman"/>
                <w:b/>
                <w:color w:val="000000"/>
                <w:kern w:val="0"/>
                <w:sz w:val="16"/>
                <w:szCs w:val="16"/>
                <w:lang w:eastAsia="es-CO"/>
                <w14:ligatures w14:val="none"/>
              </w:rPr>
              <w:t>Cr</w:t>
            </w:r>
          </w:p>
        </w:tc>
        <w:tc>
          <w:tcPr>
            <w:tcW w:w="1799" w:type="pct"/>
            <w:vAlign w:val="center"/>
            <w:hideMark/>
          </w:tcPr>
          <w:p w14:paraId="4F286194" w14:textId="77777777" w:rsidR="00131A29" w:rsidRPr="00951AB1" w:rsidRDefault="00131A29" w:rsidP="000A5389">
            <w:pPr>
              <w:spacing w:line="240" w:lineRule="auto"/>
              <w:rPr>
                <w:rFonts w:eastAsia="Times New Roman" w:cs="Times New Roman"/>
                <w:b/>
                <w:color w:val="000000"/>
                <w:kern w:val="0"/>
                <w:sz w:val="16"/>
                <w:szCs w:val="16"/>
                <w:lang w:eastAsia="es-CO"/>
                <w14:ligatures w14:val="none"/>
              </w:rPr>
            </w:pPr>
            <w:r w:rsidRPr="00951AB1">
              <w:rPr>
                <w:rFonts w:eastAsia="Times New Roman" w:cs="Times New Roman"/>
                <w:b/>
                <w:color w:val="000000"/>
                <w:kern w:val="0"/>
                <w:sz w:val="16"/>
                <w:szCs w:val="16"/>
                <w:lang w:eastAsia="es-CO"/>
                <w14:ligatures w14:val="none"/>
              </w:rPr>
              <w:t xml:space="preserve">Otros ingresos </w:t>
            </w:r>
          </w:p>
        </w:tc>
        <w:tc>
          <w:tcPr>
            <w:tcW w:w="883" w:type="pct"/>
            <w:noWrap/>
            <w:vAlign w:val="center"/>
            <w:hideMark/>
          </w:tcPr>
          <w:p w14:paraId="5B344EB8" w14:textId="77777777" w:rsidR="00131A29" w:rsidRPr="00951AB1" w:rsidRDefault="00131A29" w:rsidP="000A5389">
            <w:pPr>
              <w:spacing w:line="240" w:lineRule="auto"/>
              <w:jc w:val="right"/>
              <w:rPr>
                <w:rFonts w:eastAsia="Times New Roman" w:cs="Times New Roman"/>
                <w:b/>
                <w:color w:val="000000"/>
                <w:kern w:val="0"/>
                <w:sz w:val="16"/>
                <w:szCs w:val="16"/>
                <w:lang w:eastAsia="es-CO"/>
                <w14:ligatures w14:val="none"/>
              </w:rPr>
            </w:pPr>
            <w:r w:rsidRPr="00951AB1">
              <w:rPr>
                <w:rFonts w:eastAsia="Times New Roman" w:cs="Times New Roman"/>
                <w:b/>
                <w:color w:val="000000"/>
                <w:kern w:val="0"/>
                <w:sz w:val="16"/>
                <w:szCs w:val="16"/>
                <w:lang w:eastAsia="es-CO"/>
                <w14:ligatures w14:val="none"/>
              </w:rPr>
              <w:t>5.287.347.110.248</w:t>
            </w:r>
          </w:p>
        </w:tc>
        <w:tc>
          <w:tcPr>
            <w:tcW w:w="883" w:type="pct"/>
            <w:noWrap/>
            <w:vAlign w:val="center"/>
            <w:hideMark/>
          </w:tcPr>
          <w:p w14:paraId="00BCCE87" w14:textId="77777777" w:rsidR="00131A29" w:rsidRPr="00951AB1" w:rsidRDefault="00131A29" w:rsidP="000A5389">
            <w:pPr>
              <w:spacing w:line="240" w:lineRule="auto"/>
              <w:jc w:val="right"/>
              <w:rPr>
                <w:rFonts w:eastAsia="Times New Roman" w:cs="Times New Roman"/>
                <w:b/>
                <w:color w:val="000000"/>
                <w:kern w:val="0"/>
                <w:sz w:val="16"/>
                <w:szCs w:val="16"/>
                <w:lang w:eastAsia="es-CO"/>
                <w14:ligatures w14:val="none"/>
              </w:rPr>
            </w:pPr>
            <w:r w:rsidRPr="00951AB1">
              <w:rPr>
                <w:rFonts w:eastAsia="Times New Roman" w:cs="Times New Roman"/>
                <w:b/>
                <w:color w:val="000000"/>
                <w:kern w:val="0"/>
                <w:sz w:val="16"/>
                <w:szCs w:val="16"/>
                <w:lang w:eastAsia="es-CO"/>
                <w14:ligatures w14:val="none"/>
              </w:rPr>
              <w:t>2.801.717.231.572</w:t>
            </w:r>
          </w:p>
        </w:tc>
        <w:tc>
          <w:tcPr>
            <w:tcW w:w="828" w:type="pct"/>
            <w:noWrap/>
            <w:vAlign w:val="center"/>
            <w:hideMark/>
          </w:tcPr>
          <w:p w14:paraId="664BB0D0" w14:textId="77777777" w:rsidR="00131A29" w:rsidRPr="00951AB1" w:rsidRDefault="00131A29" w:rsidP="000A5389">
            <w:pPr>
              <w:spacing w:line="240" w:lineRule="auto"/>
              <w:jc w:val="right"/>
              <w:rPr>
                <w:rFonts w:eastAsia="Times New Roman" w:cs="Times New Roman"/>
                <w:b/>
                <w:color w:val="000000"/>
                <w:kern w:val="0"/>
                <w:sz w:val="16"/>
                <w:szCs w:val="16"/>
                <w:lang w:eastAsia="es-CO"/>
                <w14:ligatures w14:val="none"/>
              </w:rPr>
            </w:pPr>
            <w:r w:rsidRPr="00951AB1">
              <w:rPr>
                <w:rFonts w:eastAsia="Times New Roman" w:cs="Times New Roman"/>
                <w:b/>
                <w:color w:val="000000"/>
                <w:kern w:val="0"/>
                <w:sz w:val="16"/>
                <w:szCs w:val="16"/>
                <w:lang w:eastAsia="es-CO"/>
                <w14:ligatures w14:val="none"/>
              </w:rPr>
              <w:t>2.485.629.878.676</w:t>
            </w:r>
          </w:p>
        </w:tc>
      </w:tr>
      <w:tr w:rsidR="00315361" w:rsidRPr="00951AB1" w14:paraId="78C4459D" w14:textId="77777777" w:rsidTr="00315361">
        <w:trPr>
          <w:trHeight w:val="300"/>
        </w:trPr>
        <w:tc>
          <w:tcPr>
            <w:tcW w:w="378" w:type="pct"/>
            <w:noWrap/>
            <w:vAlign w:val="center"/>
            <w:hideMark/>
          </w:tcPr>
          <w:p w14:paraId="054C4C86" w14:textId="77777777" w:rsidR="00131A29" w:rsidRPr="00951AB1" w:rsidRDefault="00131A29" w:rsidP="000A5389">
            <w:pPr>
              <w:spacing w:line="240" w:lineRule="auto"/>
              <w:rPr>
                <w:rFonts w:eastAsia="Times New Roman" w:cs="Times New Roman"/>
                <w:color w:val="000000"/>
                <w:kern w:val="0"/>
                <w:sz w:val="16"/>
                <w:szCs w:val="16"/>
                <w:lang w:eastAsia="es-CO"/>
                <w14:ligatures w14:val="none"/>
              </w:rPr>
            </w:pPr>
            <w:r w:rsidRPr="00951AB1">
              <w:rPr>
                <w:rFonts w:eastAsia="Times New Roman" w:cs="Times New Roman"/>
                <w:color w:val="000000"/>
                <w:kern w:val="0"/>
                <w:sz w:val="16"/>
                <w:szCs w:val="16"/>
                <w:lang w:eastAsia="es-CO"/>
                <w14:ligatures w14:val="none"/>
              </w:rPr>
              <w:t>4.8.08</w:t>
            </w:r>
          </w:p>
        </w:tc>
        <w:tc>
          <w:tcPr>
            <w:tcW w:w="229" w:type="pct"/>
            <w:noWrap/>
            <w:vAlign w:val="center"/>
            <w:hideMark/>
          </w:tcPr>
          <w:p w14:paraId="5B206115" w14:textId="77777777" w:rsidR="00131A29" w:rsidRPr="00951AB1" w:rsidRDefault="00131A29" w:rsidP="000A5389">
            <w:pPr>
              <w:spacing w:line="240" w:lineRule="auto"/>
              <w:jc w:val="center"/>
              <w:rPr>
                <w:rFonts w:eastAsia="Times New Roman" w:cs="Times New Roman"/>
                <w:color w:val="000000"/>
                <w:kern w:val="0"/>
                <w:sz w:val="16"/>
                <w:szCs w:val="16"/>
                <w:lang w:eastAsia="es-CO"/>
                <w14:ligatures w14:val="none"/>
              </w:rPr>
            </w:pPr>
            <w:r w:rsidRPr="00951AB1">
              <w:rPr>
                <w:rFonts w:eastAsia="Times New Roman" w:cs="Times New Roman"/>
                <w:color w:val="000000"/>
                <w:kern w:val="0"/>
                <w:sz w:val="16"/>
                <w:szCs w:val="16"/>
                <w:lang w:eastAsia="es-CO"/>
                <w14:ligatures w14:val="none"/>
              </w:rPr>
              <w:t>Cr</w:t>
            </w:r>
          </w:p>
        </w:tc>
        <w:tc>
          <w:tcPr>
            <w:tcW w:w="1799" w:type="pct"/>
            <w:vAlign w:val="center"/>
            <w:hideMark/>
          </w:tcPr>
          <w:p w14:paraId="04395502" w14:textId="77777777" w:rsidR="00131A29" w:rsidRPr="00951AB1" w:rsidRDefault="00131A29" w:rsidP="000A5389">
            <w:pPr>
              <w:spacing w:line="240" w:lineRule="auto"/>
              <w:rPr>
                <w:rFonts w:eastAsia="Times New Roman" w:cs="Times New Roman"/>
                <w:color w:val="000000"/>
                <w:kern w:val="0"/>
                <w:sz w:val="16"/>
                <w:szCs w:val="16"/>
                <w:lang w:eastAsia="es-CO"/>
                <w14:ligatures w14:val="none"/>
              </w:rPr>
            </w:pPr>
            <w:r w:rsidRPr="00951AB1">
              <w:rPr>
                <w:rFonts w:eastAsia="Times New Roman" w:cs="Times New Roman"/>
                <w:color w:val="000000"/>
                <w:kern w:val="0"/>
                <w:sz w:val="16"/>
                <w:szCs w:val="16"/>
                <w:lang w:eastAsia="es-CO"/>
                <w14:ligatures w14:val="none"/>
              </w:rPr>
              <w:t>Ingresos Diversos</w:t>
            </w:r>
          </w:p>
        </w:tc>
        <w:tc>
          <w:tcPr>
            <w:tcW w:w="883" w:type="pct"/>
            <w:noWrap/>
            <w:vAlign w:val="center"/>
            <w:hideMark/>
          </w:tcPr>
          <w:p w14:paraId="267ED0F2" w14:textId="77777777" w:rsidR="00131A29" w:rsidRPr="00951AB1" w:rsidRDefault="00131A29" w:rsidP="000A5389">
            <w:pPr>
              <w:spacing w:line="240" w:lineRule="auto"/>
              <w:jc w:val="right"/>
              <w:rPr>
                <w:rFonts w:eastAsia="Times New Roman" w:cs="Times New Roman"/>
                <w:color w:val="000000"/>
                <w:kern w:val="0"/>
                <w:sz w:val="16"/>
                <w:szCs w:val="16"/>
                <w:lang w:eastAsia="es-CO"/>
                <w14:ligatures w14:val="none"/>
              </w:rPr>
            </w:pPr>
            <w:r w:rsidRPr="00951AB1">
              <w:rPr>
                <w:rFonts w:eastAsia="Times New Roman" w:cs="Times New Roman"/>
                <w:color w:val="000000"/>
                <w:kern w:val="0"/>
                <w:sz w:val="16"/>
                <w:szCs w:val="16"/>
                <w:lang w:eastAsia="es-CO"/>
                <w14:ligatures w14:val="none"/>
              </w:rPr>
              <w:t>2.234.053.658.086</w:t>
            </w:r>
          </w:p>
        </w:tc>
        <w:tc>
          <w:tcPr>
            <w:tcW w:w="883" w:type="pct"/>
            <w:noWrap/>
            <w:vAlign w:val="center"/>
            <w:hideMark/>
          </w:tcPr>
          <w:p w14:paraId="6A2295A0" w14:textId="77777777" w:rsidR="00131A29" w:rsidRPr="00951AB1" w:rsidRDefault="00131A29" w:rsidP="000A5389">
            <w:pPr>
              <w:spacing w:line="240" w:lineRule="auto"/>
              <w:jc w:val="right"/>
              <w:rPr>
                <w:rFonts w:eastAsia="Times New Roman" w:cs="Times New Roman"/>
                <w:color w:val="000000"/>
                <w:kern w:val="0"/>
                <w:sz w:val="16"/>
                <w:szCs w:val="16"/>
                <w:lang w:eastAsia="es-CO"/>
                <w14:ligatures w14:val="none"/>
              </w:rPr>
            </w:pPr>
            <w:r w:rsidRPr="00951AB1">
              <w:rPr>
                <w:rFonts w:eastAsia="Times New Roman" w:cs="Times New Roman"/>
                <w:color w:val="000000"/>
                <w:kern w:val="0"/>
                <w:sz w:val="16"/>
                <w:szCs w:val="16"/>
                <w:lang w:eastAsia="es-CO"/>
                <w14:ligatures w14:val="none"/>
              </w:rPr>
              <w:t>1.662.177.396.292</w:t>
            </w:r>
          </w:p>
        </w:tc>
        <w:tc>
          <w:tcPr>
            <w:tcW w:w="828" w:type="pct"/>
            <w:noWrap/>
            <w:vAlign w:val="center"/>
            <w:hideMark/>
          </w:tcPr>
          <w:p w14:paraId="4BD3006D" w14:textId="77777777" w:rsidR="00131A29" w:rsidRPr="00951AB1" w:rsidRDefault="00131A29" w:rsidP="000A5389">
            <w:pPr>
              <w:spacing w:line="240" w:lineRule="auto"/>
              <w:jc w:val="right"/>
              <w:rPr>
                <w:rFonts w:eastAsia="Times New Roman" w:cs="Times New Roman"/>
                <w:color w:val="000000"/>
                <w:kern w:val="0"/>
                <w:sz w:val="16"/>
                <w:szCs w:val="16"/>
                <w:lang w:eastAsia="es-CO"/>
                <w14:ligatures w14:val="none"/>
              </w:rPr>
            </w:pPr>
            <w:r w:rsidRPr="00951AB1">
              <w:rPr>
                <w:rFonts w:eastAsia="Times New Roman" w:cs="Times New Roman"/>
                <w:color w:val="000000"/>
                <w:kern w:val="0"/>
                <w:sz w:val="16"/>
                <w:szCs w:val="16"/>
                <w:lang w:eastAsia="es-CO"/>
                <w14:ligatures w14:val="none"/>
              </w:rPr>
              <w:t>571.876.261.794</w:t>
            </w:r>
          </w:p>
        </w:tc>
      </w:tr>
      <w:tr w:rsidR="00315361" w:rsidRPr="00951AB1" w14:paraId="4F9818A5" w14:textId="77777777" w:rsidTr="00315361">
        <w:trPr>
          <w:trHeight w:val="300"/>
        </w:trPr>
        <w:tc>
          <w:tcPr>
            <w:tcW w:w="378" w:type="pct"/>
            <w:noWrap/>
            <w:vAlign w:val="center"/>
            <w:hideMark/>
          </w:tcPr>
          <w:p w14:paraId="1CAF8715" w14:textId="77777777" w:rsidR="00131A29" w:rsidRPr="00951AB1" w:rsidRDefault="00131A29" w:rsidP="000A5389">
            <w:pPr>
              <w:spacing w:line="240" w:lineRule="auto"/>
              <w:rPr>
                <w:rFonts w:eastAsia="Times New Roman" w:cs="Times New Roman"/>
                <w:color w:val="000000"/>
                <w:kern w:val="0"/>
                <w:sz w:val="16"/>
                <w:szCs w:val="16"/>
                <w:lang w:eastAsia="es-CO"/>
                <w14:ligatures w14:val="none"/>
              </w:rPr>
            </w:pPr>
            <w:r w:rsidRPr="00951AB1">
              <w:rPr>
                <w:rFonts w:eastAsia="Times New Roman" w:cs="Times New Roman"/>
                <w:color w:val="000000"/>
                <w:kern w:val="0"/>
                <w:sz w:val="16"/>
                <w:szCs w:val="16"/>
                <w:lang w:eastAsia="es-CO"/>
                <w14:ligatures w14:val="none"/>
              </w:rPr>
              <w:t>4.8.31</w:t>
            </w:r>
          </w:p>
        </w:tc>
        <w:tc>
          <w:tcPr>
            <w:tcW w:w="229" w:type="pct"/>
            <w:noWrap/>
            <w:vAlign w:val="center"/>
            <w:hideMark/>
          </w:tcPr>
          <w:p w14:paraId="14DDEB9A" w14:textId="77777777" w:rsidR="00131A29" w:rsidRPr="00951AB1" w:rsidRDefault="00131A29" w:rsidP="000A5389">
            <w:pPr>
              <w:spacing w:line="240" w:lineRule="auto"/>
              <w:jc w:val="center"/>
              <w:rPr>
                <w:rFonts w:eastAsia="Times New Roman" w:cs="Times New Roman"/>
                <w:color w:val="000000"/>
                <w:kern w:val="0"/>
                <w:sz w:val="16"/>
                <w:szCs w:val="16"/>
                <w:lang w:eastAsia="es-CO"/>
                <w14:ligatures w14:val="none"/>
              </w:rPr>
            </w:pPr>
            <w:r w:rsidRPr="00951AB1">
              <w:rPr>
                <w:rFonts w:eastAsia="Times New Roman" w:cs="Times New Roman"/>
                <w:color w:val="000000"/>
                <w:kern w:val="0"/>
                <w:sz w:val="16"/>
                <w:szCs w:val="16"/>
                <w:lang w:eastAsia="es-CO"/>
                <w14:ligatures w14:val="none"/>
              </w:rPr>
              <w:t>Cr</w:t>
            </w:r>
          </w:p>
        </w:tc>
        <w:tc>
          <w:tcPr>
            <w:tcW w:w="1799" w:type="pct"/>
            <w:vAlign w:val="center"/>
            <w:hideMark/>
          </w:tcPr>
          <w:p w14:paraId="20A4248D" w14:textId="77777777" w:rsidR="00131A29" w:rsidRPr="00951AB1" w:rsidRDefault="00131A29" w:rsidP="000A5389">
            <w:pPr>
              <w:spacing w:line="240" w:lineRule="auto"/>
              <w:rPr>
                <w:rFonts w:eastAsia="Times New Roman" w:cs="Times New Roman"/>
                <w:color w:val="000000"/>
                <w:kern w:val="0"/>
                <w:sz w:val="16"/>
                <w:szCs w:val="16"/>
                <w:lang w:eastAsia="es-CO"/>
                <w14:ligatures w14:val="none"/>
              </w:rPr>
            </w:pPr>
            <w:r w:rsidRPr="00951AB1">
              <w:rPr>
                <w:rFonts w:eastAsia="Times New Roman" w:cs="Times New Roman"/>
                <w:color w:val="000000"/>
                <w:kern w:val="0"/>
                <w:sz w:val="16"/>
                <w:szCs w:val="16"/>
                <w:lang w:eastAsia="es-CO"/>
                <w14:ligatures w14:val="none"/>
              </w:rPr>
              <w:t>Reversión de provisiones</w:t>
            </w:r>
          </w:p>
        </w:tc>
        <w:tc>
          <w:tcPr>
            <w:tcW w:w="883" w:type="pct"/>
            <w:noWrap/>
            <w:vAlign w:val="center"/>
            <w:hideMark/>
          </w:tcPr>
          <w:p w14:paraId="541AF223" w14:textId="77777777" w:rsidR="00131A29" w:rsidRPr="00951AB1" w:rsidRDefault="00131A29" w:rsidP="000A5389">
            <w:pPr>
              <w:spacing w:line="240" w:lineRule="auto"/>
              <w:jc w:val="right"/>
              <w:rPr>
                <w:rFonts w:eastAsia="Times New Roman" w:cs="Times New Roman"/>
                <w:color w:val="000000"/>
                <w:kern w:val="0"/>
                <w:sz w:val="16"/>
                <w:szCs w:val="16"/>
                <w:lang w:eastAsia="es-CO"/>
                <w14:ligatures w14:val="none"/>
              </w:rPr>
            </w:pPr>
            <w:r w:rsidRPr="00951AB1">
              <w:rPr>
                <w:rFonts w:eastAsia="Times New Roman" w:cs="Times New Roman"/>
                <w:color w:val="000000"/>
                <w:kern w:val="0"/>
                <w:sz w:val="16"/>
                <w:szCs w:val="16"/>
                <w:lang w:eastAsia="es-CO"/>
                <w14:ligatures w14:val="none"/>
              </w:rPr>
              <w:t>1.680.224.194.024</w:t>
            </w:r>
          </w:p>
        </w:tc>
        <w:tc>
          <w:tcPr>
            <w:tcW w:w="883" w:type="pct"/>
            <w:noWrap/>
            <w:vAlign w:val="center"/>
            <w:hideMark/>
          </w:tcPr>
          <w:p w14:paraId="28C81C68" w14:textId="77777777" w:rsidR="00131A29" w:rsidRPr="00951AB1" w:rsidRDefault="00131A29" w:rsidP="000A5389">
            <w:pPr>
              <w:spacing w:line="240" w:lineRule="auto"/>
              <w:jc w:val="right"/>
              <w:rPr>
                <w:rFonts w:eastAsia="Times New Roman" w:cs="Times New Roman"/>
                <w:color w:val="000000"/>
                <w:kern w:val="0"/>
                <w:sz w:val="16"/>
                <w:szCs w:val="16"/>
                <w:lang w:eastAsia="es-CO"/>
                <w14:ligatures w14:val="none"/>
              </w:rPr>
            </w:pPr>
            <w:r w:rsidRPr="00951AB1">
              <w:rPr>
                <w:rFonts w:eastAsia="Times New Roman" w:cs="Times New Roman"/>
                <w:color w:val="000000"/>
                <w:kern w:val="0"/>
                <w:sz w:val="16"/>
                <w:szCs w:val="16"/>
                <w:lang w:eastAsia="es-CO"/>
                <w14:ligatures w14:val="none"/>
              </w:rPr>
              <w:t>45.526.639.390</w:t>
            </w:r>
          </w:p>
        </w:tc>
        <w:tc>
          <w:tcPr>
            <w:tcW w:w="828" w:type="pct"/>
            <w:noWrap/>
            <w:vAlign w:val="center"/>
            <w:hideMark/>
          </w:tcPr>
          <w:p w14:paraId="1FF686A5" w14:textId="77777777" w:rsidR="00131A29" w:rsidRPr="00951AB1" w:rsidRDefault="00131A29" w:rsidP="000A5389">
            <w:pPr>
              <w:spacing w:line="240" w:lineRule="auto"/>
              <w:jc w:val="right"/>
              <w:rPr>
                <w:rFonts w:eastAsia="Times New Roman" w:cs="Times New Roman"/>
                <w:color w:val="000000"/>
                <w:kern w:val="0"/>
                <w:sz w:val="16"/>
                <w:szCs w:val="16"/>
                <w:lang w:eastAsia="es-CO"/>
                <w14:ligatures w14:val="none"/>
              </w:rPr>
            </w:pPr>
            <w:r w:rsidRPr="00951AB1">
              <w:rPr>
                <w:rFonts w:eastAsia="Times New Roman" w:cs="Times New Roman"/>
                <w:color w:val="000000"/>
                <w:kern w:val="0"/>
                <w:sz w:val="16"/>
                <w:szCs w:val="16"/>
                <w:lang w:eastAsia="es-CO"/>
                <w14:ligatures w14:val="none"/>
              </w:rPr>
              <w:t>1.634.697.554.634</w:t>
            </w:r>
          </w:p>
        </w:tc>
      </w:tr>
      <w:tr w:rsidR="00315361" w:rsidRPr="00951AB1" w14:paraId="511C7407" w14:textId="77777777" w:rsidTr="00315361">
        <w:trPr>
          <w:trHeight w:val="300"/>
        </w:trPr>
        <w:tc>
          <w:tcPr>
            <w:tcW w:w="378" w:type="pct"/>
            <w:noWrap/>
            <w:vAlign w:val="center"/>
            <w:hideMark/>
          </w:tcPr>
          <w:p w14:paraId="18F64E55" w14:textId="77777777" w:rsidR="00131A29" w:rsidRPr="00951AB1" w:rsidRDefault="00131A29" w:rsidP="000A5389">
            <w:pPr>
              <w:spacing w:line="240" w:lineRule="auto"/>
              <w:rPr>
                <w:rFonts w:eastAsia="Times New Roman" w:cs="Times New Roman"/>
                <w:color w:val="000000"/>
                <w:kern w:val="0"/>
                <w:sz w:val="16"/>
                <w:szCs w:val="16"/>
                <w:lang w:eastAsia="es-CO"/>
                <w14:ligatures w14:val="none"/>
              </w:rPr>
            </w:pPr>
            <w:r w:rsidRPr="00951AB1">
              <w:rPr>
                <w:rFonts w:eastAsia="Times New Roman" w:cs="Times New Roman"/>
                <w:color w:val="000000"/>
                <w:kern w:val="0"/>
                <w:sz w:val="16"/>
                <w:szCs w:val="16"/>
                <w:lang w:eastAsia="es-CO"/>
                <w14:ligatures w14:val="none"/>
              </w:rPr>
              <w:t>4.8.02</w:t>
            </w:r>
          </w:p>
        </w:tc>
        <w:tc>
          <w:tcPr>
            <w:tcW w:w="229" w:type="pct"/>
            <w:noWrap/>
            <w:vAlign w:val="center"/>
            <w:hideMark/>
          </w:tcPr>
          <w:p w14:paraId="3C27C4EE" w14:textId="77777777" w:rsidR="00131A29" w:rsidRPr="00951AB1" w:rsidRDefault="00131A29" w:rsidP="000A5389">
            <w:pPr>
              <w:spacing w:line="240" w:lineRule="auto"/>
              <w:jc w:val="center"/>
              <w:rPr>
                <w:rFonts w:eastAsia="Times New Roman" w:cs="Times New Roman"/>
                <w:color w:val="000000"/>
                <w:kern w:val="0"/>
                <w:sz w:val="16"/>
                <w:szCs w:val="16"/>
                <w:lang w:eastAsia="es-CO"/>
                <w14:ligatures w14:val="none"/>
              </w:rPr>
            </w:pPr>
            <w:r w:rsidRPr="00951AB1">
              <w:rPr>
                <w:rFonts w:eastAsia="Times New Roman" w:cs="Times New Roman"/>
                <w:color w:val="000000"/>
                <w:kern w:val="0"/>
                <w:sz w:val="16"/>
                <w:szCs w:val="16"/>
                <w:lang w:eastAsia="es-CO"/>
                <w14:ligatures w14:val="none"/>
              </w:rPr>
              <w:t>Cr</w:t>
            </w:r>
          </w:p>
        </w:tc>
        <w:tc>
          <w:tcPr>
            <w:tcW w:w="1799" w:type="pct"/>
            <w:vAlign w:val="center"/>
            <w:hideMark/>
          </w:tcPr>
          <w:p w14:paraId="5CBAC530" w14:textId="77777777" w:rsidR="00131A29" w:rsidRPr="00951AB1" w:rsidRDefault="00131A29" w:rsidP="000A5389">
            <w:pPr>
              <w:spacing w:line="240" w:lineRule="auto"/>
              <w:rPr>
                <w:rFonts w:eastAsia="Times New Roman" w:cs="Times New Roman"/>
                <w:color w:val="000000"/>
                <w:kern w:val="0"/>
                <w:sz w:val="16"/>
                <w:szCs w:val="16"/>
                <w:lang w:eastAsia="es-CO"/>
                <w14:ligatures w14:val="none"/>
              </w:rPr>
            </w:pPr>
            <w:r w:rsidRPr="00951AB1">
              <w:rPr>
                <w:rFonts w:eastAsia="Times New Roman" w:cs="Times New Roman"/>
                <w:color w:val="000000"/>
                <w:kern w:val="0"/>
                <w:sz w:val="16"/>
                <w:szCs w:val="16"/>
                <w:lang w:eastAsia="es-CO"/>
                <w14:ligatures w14:val="none"/>
              </w:rPr>
              <w:t>Financieros</w:t>
            </w:r>
          </w:p>
        </w:tc>
        <w:tc>
          <w:tcPr>
            <w:tcW w:w="883" w:type="pct"/>
            <w:noWrap/>
            <w:vAlign w:val="center"/>
            <w:hideMark/>
          </w:tcPr>
          <w:p w14:paraId="042B9D68" w14:textId="77777777" w:rsidR="00131A29" w:rsidRPr="00951AB1" w:rsidRDefault="00131A29" w:rsidP="000A5389">
            <w:pPr>
              <w:spacing w:line="240" w:lineRule="auto"/>
              <w:jc w:val="right"/>
              <w:rPr>
                <w:rFonts w:eastAsia="Times New Roman" w:cs="Times New Roman"/>
                <w:color w:val="000000"/>
                <w:kern w:val="0"/>
                <w:sz w:val="16"/>
                <w:szCs w:val="16"/>
                <w:lang w:eastAsia="es-CO"/>
                <w14:ligatures w14:val="none"/>
              </w:rPr>
            </w:pPr>
            <w:r w:rsidRPr="00951AB1">
              <w:rPr>
                <w:rFonts w:eastAsia="Times New Roman" w:cs="Times New Roman"/>
                <w:color w:val="000000"/>
                <w:kern w:val="0"/>
                <w:sz w:val="16"/>
                <w:szCs w:val="16"/>
                <w:lang w:eastAsia="es-CO"/>
                <w14:ligatures w14:val="none"/>
              </w:rPr>
              <w:t>1.270.322.332.928</w:t>
            </w:r>
          </w:p>
        </w:tc>
        <w:tc>
          <w:tcPr>
            <w:tcW w:w="883" w:type="pct"/>
            <w:noWrap/>
            <w:vAlign w:val="center"/>
            <w:hideMark/>
          </w:tcPr>
          <w:p w14:paraId="18423F87" w14:textId="77777777" w:rsidR="00131A29" w:rsidRPr="00951AB1" w:rsidRDefault="00131A29" w:rsidP="000A5389">
            <w:pPr>
              <w:spacing w:line="240" w:lineRule="auto"/>
              <w:jc w:val="right"/>
              <w:rPr>
                <w:rFonts w:eastAsia="Times New Roman" w:cs="Times New Roman"/>
                <w:color w:val="000000"/>
                <w:kern w:val="0"/>
                <w:sz w:val="16"/>
                <w:szCs w:val="16"/>
                <w:lang w:eastAsia="es-CO"/>
                <w14:ligatures w14:val="none"/>
              </w:rPr>
            </w:pPr>
            <w:r w:rsidRPr="00951AB1">
              <w:rPr>
                <w:rFonts w:eastAsia="Times New Roman" w:cs="Times New Roman"/>
                <w:color w:val="000000"/>
                <w:kern w:val="0"/>
                <w:sz w:val="16"/>
                <w:szCs w:val="16"/>
                <w:lang w:eastAsia="es-CO"/>
                <w14:ligatures w14:val="none"/>
              </w:rPr>
              <w:t>1.086.702.332.111</w:t>
            </w:r>
          </w:p>
        </w:tc>
        <w:tc>
          <w:tcPr>
            <w:tcW w:w="828" w:type="pct"/>
            <w:noWrap/>
            <w:vAlign w:val="center"/>
            <w:hideMark/>
          </w:tcPr>
          <w:p w14:paraId="408BDFFB" w14:textId="77777777" w:rsidR="00131A29" w:rsidRPr="00951AB1" w:rsidRDefault="00131A29" w:rsidP="000A5389">
            <w:pPr>
              <w:spacing w:line="240" w:lineRule="auto"/>
              <w:jc w:val="right"/>
              <w:rPr>
                <w:rFonts w:eastAsia="Times New Roman" w:cs="Times New Roman"/>
                <w:color w:val="000000"/>
                <w:kern w:val="0"/>
                <w:sz w:val="16"/>
                <w:szCs w:val="16"/>
                <w:lang w:eastAsia="es-CO"/>
                <w14:ligatures w14:val="none"/>
              </w:rPr>
            </w:pPr>
            <w:r w:rsidRPr="00951AB1">
              <w:rPr>
                <w:rFonts w:eastAsia="Times New Roman" w:cs="Times New Roman"/>
                <w:color w:val="000000"/>
                <w:kern w:val="0"/>
                <w:sz w:val="16"/>
                <w:szCs w:val="16"/>
                <w:lang w:eastAsia="es-CO"/>
                <w14:ligatures w14:val="none"/>
              </w:rPr>
              <w:t>183.620.000.817</w:t>
            </w:r>
          </w:p>
        </w:tc>
      </w:tr>
      <w:tr w:rsidR="00315361" w:rsidRPr="00951AB1" w14:paraId="3D4E69F1" w14:textId="77777777" w:rsidTr="00315361">
        <w:trPr>
          <w:trHeight w:val="300"/>
        </w:trPr>
        <w:tc>
          <w:tcPr>
            <w:tcW w:w="378" w:type="pct"/>
            <w:noWrap/>
            <w:vAlign w:val="center"/>
            <w:hideMark/>
          </w:tcPr>
          <w:p w14:paraId="4B9C1432" w14:textId="77777777" w:rsidR="00131A29" w:rsidRPr="00951AB1" w:rsidRDefault="00131A29" w:rsidP="000A5389">
            <w:pPr>
              <w:spacing w:line="240" w:lineRule="auto"/>
              <w:rPr>
                <w:rFonts w:eastAsia="Times New Roman" w:cs="Times New Roman"/>
                <w:color w:val="000000"/>
                <w:kern w:val="0"/>
                <w:sz w:val="16"/>
                <w:szCs w:val="16"/>
                <w:lang w:eastAsia="es-CO"/>
                <w14:ligatures w14:val="none"/>
              </w:rPr>
            </w:pPr>
            <w:r w:rsidRPr="00951AB1">
              <w:rPr>
                <w:rFonts w:eastAsia="Times New Roman" w:cs="Times New Roman"/>
                <w:color w:val="000000"/>
                <w:kern w:val="0"/>
                <w:sz w:val="16"/>
                <w:szCs w:val="16"/>
                <w:lang w:eastAsia="es-CO"/>
                <w14:ligatures w14:val="none"/>
              </w:rPr>
              <w:t>4.8.30</w:t>
            </w:r>
          </w:p>
        </w:tc>
        <w:tc>
          <w:tcPr>
            <w:tcW w:w="229" w:type="pct"/>
            <w:noWrap/>
            <w:vAlign w:val="center"/>
            <w:hideMark/>
          </w:tcPr>
          <w:p w14:paraId="3DBFB255" w14:textId="77777777" w:rsidR="00131A29" w:rsidRPr="00951AB1" w:rsidRDefault="00131A29" w:rsidP="000A5389">
            <w:pPr>
              <w:spacing w:line="240" w:lineRule="auto"/>
              <w:jc w:val="center"/>
              <w:rPr>
                <w:rFonts w:eastAsia="Times New Roman" w:cs="Times New Roman"/>
                <w:color w:val="000000"/>
                <w:kern w:val="0"/>
                <w:sz w:val="16"/>
                <w:szCs w:val="16"/>
                <w:lang w:eastAsia="es-CO"/>
                <w14:ligatures w14:val="none"/>
              </w:rPr>
            </w:pPr>
            <w:r w:rsidRPr="00951AB1">
              <w:rPr>
                <w:rFonts w:eastAsia="Times New Roman" w:cs="Times New Roman"/>
                <w:color w:val="000000"/>
                <w:kern w:val="0"/>
                <w:sz w:val="16"/>
                <w:szCs w:val="16"/>
                <w:lang w:eastAsia="es-CO"/>
                <w14:ligatures w14:val="none"/>
              </w:rPr>
              <w:t>Cr</w:t>
            </w:r>
          </w:p>
        </w:tc>
        <w:tc>
          <w:tcPr>
            <w:tcW w:w="1799" w:type="pct"/>
            <w:vAlign w:val="center"/>
            <w:hideMark/>
          </w:tcPr>
          <w:p w14:paraId="7E293D7E" w14:textId="77777777" w:rsidR="00131A29" w:rsidRPr="00951AB1" w:rsidRDefault="00131A29" w:rsidP="000A5389">
            <w:pPr>
              <w:spacing w:line="240" w:lineRule="auto"/>
              <w:rPr>
                <w:rFonts w:eastAsia="Times New Roman" w:cs="Times New Roman"/>
                <w:color w:val="000000"/>
                <w:kern w:val="0"/>
                <w:sz w:val="16"/>
                <w:szCs w:val="16"/>
                <w:lang w:eastAsia="es-CO"/>
                <w14:ligatures w14:val="none"/>
              </w:rPr>
            </w:pPr>
            <w:r w:rsidRPr="00951AB1">
              <w:rPr>
                <w:rFonts w:eastAsia="Times New Roman" w:cs="Times New Roman"/>
                <w:color w:val="000000"/>
                <w:kern w:val="0"/>
                <w:sz w:val="16"/>
                <w:szCs w:val="16"/>
                <w:lang w:eastAsia="es-CO"/>
                <w14:ligatures w14:val="none"/>
              </w:rPr>
              <w:t>Reversión Del Deterioro Del Valor</w:t>
            </w:r>
          </w:p>
        </w:tc>
        <w:tc>
          <w:tcPr>
            <w:tcW w:w="883" w:type="pct"/>
            <w:noWrap/>
            <w:vAlign w:val="center"/>
            <w:hideMark/>
          </w:tcPr>
          <w:p w14:paraId="0F290A14" w14:textId="77777777" w:rsidR="00131A29" w:rsidRPr="00951AB1" w:rsidRDefault="00131A29" w:rsidP="000A5389">
            <w:pPr>
              <w:spacing w:line="240" w:lineRule="auto"/>
              <w:jc w:val="right"/>
              <w:rPr>
                <w:rFonts w:eastAsia="Times New Roman" w:cs="Times New Roman"/>
                <w:color w:val="000000"/>
                <w:kern w:val="0"/>
                <w:sz w:val="16"/>
                <w:szCs w:val="16"/>
                <w:lang w:eastAsia="es-CO"/>
                <w14:ligatures w14:val="none"/>
              </w:rPr>
            </w:pPr>
            <w:r w:rsidRPr="00951AB1">
              <w:rPr>
                <w:rFonts w:eastAsia="Times New Roman" w:cs="Times New Roman"/>
                <w:color w:val="000000"/>
                <w:kern w:val="0"/>
                <w:sz w:val="16"/>
                <w:szCs w:val="16"/>
                <w:lang w:eastAsia="es-CO"/>
                <w14:ligatures w14:val="none"/>
              </w:rPr>
              <w:t>102.746.925.209</w:t>
            </w:r>
          </w:p>
        </w:tc>
        <w:tc>
          <w:tcPr>
            <w:tcW w:w="883" w:type="pct"/>
            <w:noWrap/>
            <w:vAlign w:val="center"/>
            <w:hideMark/>
          </w:tcPr>
          <w:p w14:paraId="34746C1F" w14:textId="77777777" w:rsidR="00131A29" w:rsidRPr="00951AB1" w:rsidRDefault="00131A29" w:rsidP="000A5389">
            <w:pPr>
              <w:spacing w:line="240" w:lineRule="auto"/>
              <w:jc w:val="right"/>
              <w:rPr>
                <w:rFonts w:eastAsia="Times New Roman" w:cs="Times New Roman"/>
                <w:color w:val="000000"/>
                <w:kern w:val="0"/>
                <w:sz w:val="16"/>
                <w:szCs w:val="16"/>
                <w:lang w:eastAsia="es-CO"/>
                <w14:ligatures w14:val="none"/>
              </w:rPr>
            </w:pPr>
            <w:r w:rsidRPr="00951AB1">
              <w:rPr>
                <w:rFonts w:eastAsia="Times New Roman" w:cs="Times New Roman"/>
                <w:color w:val="000000"/>
                <w:kern w:val="0"/>
                <w:sz w:val="16"/>
                <w:szCs w:val="16"/>
                <w:lang w:eastAsia="es-CO"/>
                <w14:ligatures w14:val="none"/>
              </w:rPr>
              <w:t>925.342.660</w:t>
            </w:r>
          </w:p>
        </w:tc>
        <w:tc>
          <w:tcPr>
            <w:tcW w:w="828" w:type="pct"/>
            <w:noWrap/>
            <w:vAlign w:val="center"/>
            <w:hideMark/>
          </w:tcPr>
          <w:p w14:paraId="7164A658" w14:textId="77777777" w:rsidR="00131A29" w:rsidRPr="00951AB1" w:rsidRDefault="00131A29" w:rsidP="000A5389">
            <w:pPr>
              <w:spacing w:line="240" w:lineRule="auto"/>
              <w:jc w:val="right"/>
              <w:rPr>
                <w:rFonts w:eastAsia="Times New Roman" w:cs="Times New Roman"/>
                <w:color w:val="000000"/>
                <w:kern w:val="0"/>
                <w:sz w:val="16"/>
                <w:szCs w:val="16"/>
                <w:lang w:eastAsia="es-CO"/>
                <w14:ligatures w14:val="none"/>
              </w:rPr>
            </w:pPr>
            <w:r w:rsidRPr="00951AB1">
              <w:rPr>
                <w:rFonts w:eastAsia="Times New Roman" w:cs="Times New Roman"/>
                <w:color w:val="000000"/>
                <w:kern w:val="0"/>
                <w:sz w:val="16"/>
                <w:szCs w:val="16"/>
                <w:lang w:eastAsia="es-CO"/>
                <w14:ligatures w14:val="none"/>
              </w:rPr>
              <w:t>101.821.582.550</w:t>
            </w:r>
          </w:p>
        </w:tc>
      </w:tr>
      <w:tr w:rsidR="00315361" w:rsidRPr="00951AB1" w14:paraId="0CDC79EF" w14:textId="77777777" w:rsidTr="00315361">
        <w:trPr>
          <w:trHeight w:val="300"/>
        </w:trPr>
        <w:tc>
          <w:tcPr>
            <w:tcW w:w="378" w:type="pct"/>
            <w:noWrap/>
            <w:vAlign w:val="center"/>
            <w:hideMark/>
          </w:tcPr>
          <w:p w14:paraId="044312A7" w14:textId="77777777" w:rsidR="00131A29" w:rsidRPr="00951AB1" w:rsidRDefault="00131A29" w:rsidP="000A5389">
            <w:pPr>
              <w:spacing w:line="240" w:lineRule="auto"/>
              <w:rPr>
                <w:rFonts w:eastAsia="Times New Roman" w:cs="Times New Roman"/>
                <w:color w:val="000000"/>
                <w:kern w:val="0"/>
                <w:sz w:val="16"/>
                <w:szCs w:val="16"/>
                <w:lang w:eastAsia="es-CO"/>
                <w14:ligatures w14:val="none"/>
              </w:rPr>
            </w:pPr>
            <w:r w:rsidRPr="00951AB1">
              <w:rPr>
                <w:rFonts w:eastAsia="Times New Roman" w:cs="Times New Roman"/>
                <w:color w:val="000000"/>
                <w:kern w:val="0"/>
                <w:sz w:val="16"/>
                <w:szCs w:val="16"/>
                <w:lang w:eastAsia="es-CO"/>
                <w14:ligatures w14:val="none"/>
              </w:rPr>
              <w:t>4.8.06</w:t>
            </w:r>
          </w:p>
        </w:tc>
        <w:tc>
          <w:tcPr>
            <w:tcW w:w="229" w:type="pct"/>
            <w:noWrap/>
            <w:vAlign w:val="center"/>
            <w:hideMark/>
          </w:tcPr>
          <w:p w14:paraId="1C2F4AD1" w14:textId="77777777" w:rsidR="00131A29" w:rsidRPr="00951AB1" w:rsidRDefault="00131A29" w:rsidP="000A5389">
            <w:pPr>
              <w:spacing w:line="240" w:lineRule="auto"/>
              <w:jc w:val="center"/>
              <w:rPr>
                <w:rFonts w:eastAsia="Times New Roman" w:cs="Times New Roman"/>
                <w:color w:val="000000"/>
                <w:kern w:val="0"/>
                <w:sz w:val="16"/>
                <w:szCs w:val="16"/>
                <w:lang w:eastAsia="es-CO"/>
                <w14:ligatures w14:val="none"/>
              </w:rPr>
            </w:pPr>
            <w:r w:rsidRPr="00951AB1">
              <w:rPr>
                <w:rFonts w:eastAsia="Times New Roman" w:cs="Times New Roman"/>
                <w:color w:val="000000"/>
                <w:kern w:val="0"/>
                <w:sz w:val="16"/>
                <w:szCs w:val="16"/>
                <w:lang w:eastAsia="es-CO"/>
                <w14:ligatures w14:val="none"/>
              </w:rPr>
              <w:t>Cr</w:t>
            </w:r>
          </w:p>
        </w:tc>
        <w:tc>
          <w:tcPr>
            <w:tcW w:w="1799" w:type="pct"/>
            <w:vAlign w:val="center"/>
            <w:hideMark/>
          </w:tcPr>
          <w:p w14:paraId="5D55E59A" w14:textId="77777777" w:rsidR="00131A29" w:rsidRPr="00951AB1" w:rsidRDefault="00131A29" w:rsidP="000A5389">
            <w:pPr>
              <w:spacing w:line="240" w:lineRule="auto"/>
              <w:rPr>
                <w:rFonts w:eastAsia="Times New Roman" w:cs="Times New Roman"/>
                <w:color w:val="000000"/>
                <w:kern w:val="0"/>
                <w:sz w:val="16"/>
                <w:szCs w:val="16"/>
                <w:lang w:eastAsia="es-CO"/>
                <w14:ligatures w14:val="none"/>
              </w:rPr>
            </w:pPr>
            <w:r w:rsidRPr="00951AB1">
              <w:rPr>
                <w:rFonts w:eastAsia="Times New Roman" w:cs="Times New Roman"/>
                <w:color w:val="000000"/>
                <w:kern w:val="0"/>
                <w:sz w:val="16"/>
                <w:szCs w:val="16"/>
                <w:lang w:eastAsia="es-CO"/>
                <w14:ligatures w14:val="none"/>
              </w:rPr>
              <w:t>Ajuste Por Diferencia En Cambio</w:t>
            </w:r>
          </w:p>
        </w:tc>
        <w:tc>
          <w:tcPr>
            <w:tcW w:w="883" w:type="pct"/>
            <w:noWrap/>
            <w:vAlign w:val="center"/>
            <w:hideMark/>
          </w:tcPr>
          <w:p w14:paraId="43562F32" w14:textId="77777777" w:rsidR="00131A29" w:rsidRPr="00951AB1" w:rsidRDefault="00131A29" w:rsidP="000A5389">
            <w:pPr>
              <w:spacing w:line="240" w:lineRule="auto"/>
              <w:jc w:val="right"/>
              <w:rPr>
                <w:rFonts w:eastAsia="Times New Roman" w:cs="Times New Roman"/>
                <w:color w:val="000000"/>
                <w:kern w:val="0"/>
                <w:sz w:val="16"/>
                <w:szCs w:val="16"/>
                <w:lang w:eastAsia="es-CO"/>
                <w14:ligatures w14:val="none"/>
              </w:rPr>
            </w:pPr>
            <w:r w:rsidRPr="00951AB1">
              <w:rPr>
                <w:rFonts w:eastAsia="Times New Roman" w:cs="Times New Roman"/>
                <w:color w:val="000000"/>
                <w:kern w:val="0"/>
                <w:sz w:val="16"/>
                <w:szCs w:val="16"/>
                <w:lang w:eastAsia="es-CO"/>
                <w14:ligatures w14:val="none"/>
              </w:rPr>
              <w:t>0</w:t>
            </w:r>
          </w:p>
        </w:tc>
        <w:tc>
          <w:tcPr>
            <w:tcW w:w="883" w:type="pct"/>
            <w:noWrap/>
            <w:vAlign w:val="center"/>
            <w:hideMark/>
          </w:tcPr>
          <w:p w14:paraId="5C5D5A5E" w14:textId="77777777" w:rsidR="00131A29" w:rsidRPr="00951AB1" w:rsidRDefault="00131A29" w:rsidP="000A5389">
            <w:pPr>
              <w:spacing w:line="240" w:lineRule="auto"/>
              <w:jc w:val="right"/>
              <w:rPr>
                <w:rFonts w:eastAsia="Times New Roman" w:cs="Times New Roman"/>
                <w:color w:val="000000"/>
                <w:kern w:val="0"/>
                <w:sz w:val="16"/>
                <w:szCs w:val="16"/>
                <w:lang w:eastAsia="es-CO"/>
                <w14:ligatures w14:val="none"/>
              </w:rPr>
            </w:pPr>
            <w:r w:rsidRPr="00951AB1">
              <w:rPr>
                <w:rFonts w:eastAsia="Times New Roman" w:cs="Times New Roman"/>
                <w:color w:val="000000"/>
                <w:kern w:val="0"/>
                <w:sz w:val="16"/>
                <w:szCs w:val="16"/>
                <w:lang w:eastAsia="es-CO"/>
                <w14:ligatures w14:val="none"/>
              </w:rPr>
              <w:t>6.385.521.120</w:t>
            </w:r>
          </w:p>
        </w:tc>
        <w:tc>
          <w:tcPr>
            <w:tcW w:w="828" w:type="pct"/>
            <w:noWrap/>
            <w:vAlign w:val="center"/>
            <w:hideMark/>
          </w:tcPr>
          <w:p w14:paraId="0460B3C0" w14:textId="77777777" w:rsidR="00131A29" w:rsidRPr="00951AB1" w:rsidRDefault="00131A29" w:rsidP="000A5389">
            <w:pPr>
              <w:spacing w:line="240" w:lineRule="auto"/>
              <w:jc w:val="right"/>
              <w:rPr>
                <w:rFonts w:eastAsia="Times New Roman" w:cs="Times New Roman"/>
                <w:color w:val="000000"/>
                <w:kern w:val="0"/>
                <w:sz w:val="16"/>
                <w:szCs w:val="16"/>
                <w:lang w:eastAsia="es-CO"/>
                <w14:ligatures w14:val="none"/>
              </w:rPr>
            </w:pPr>
            <w:r w:rsidRPr="00951AB1">
              <w:rPr>
                <w:rFonts w:eastAsia="Times New Roman" w:cs="Times New Roman"/>
                <w:color w:val="000000"/>
                <w:kern w:val="0"/>
                <w:sz w:val="16"/>
                <w:szCs w:val="16"/>
                <w:lang w:eastAsia="es-CO"/>
                <w14:ligatures w14:val="none"/>
              </w:rPr>
              <w:t>-6.385.521.120</w:t>
            </w:r>
          </w:p>
        </w:tc>
      </w:tr>
    </w:tbl>
    <w:p w14:paraId="5B08418A" w14:textId="77777777" w:rsidR="00356A23" w:rsidRPr="00951AB1" w:rsidRDefault="00356A23" w:rsidP="000A5389">
      <w:pPr>
        <w:spacing w:line="240" w:lineRule="auto"/>
        <w:rPr>
          <w:rFonts w:cs="Times New Roman"/>
        </w:rPr>
      </w:pPr>
      <w:r w:rsidRPr="00951AB1">
        <w:rPr>
          <w:rFonts w:eastAsia="Times New Roman" w:cs="Times New Roman"/>
          <w:color w:val="000000" w:themeColor="text1"/>
          <w:sz w:val="16"/>
          <w:szCs w:val="16"/>
          <w:lang w:val="es-ES"/>
        </w:rPr>
        <w:t>Cifras expresadas en pesos</w:t>
      </w:r>
      <w:r w:rsidRPr="00951AB1">
        <w:rPr>
          <w:rFonts w:cs="Times New Roman"/>
        </w:rPr>
        <w:t xml:space="preserve"> </w:t>
      </w:r>
    </w:p>
    <w:p w14:paraId="32592007" w14:textId="44ACF7A7" w:rsidR="003E16A9" w:rsidRPr="00951AB1" w:rsidRDefault="003E16A9" w:rsidP="000A5389">
      <w:pPr>
        <w:spacing w:line="240" w:lineRule="auto"/>
        <w:rPr>
          <w:rFonts w:cs="Times New Roman"/>
        </w:rPr>
      </w:pPr>
    </w:p>
    <w:p w14:paraId="5716AA42" w14:textId="77777777" w:rsidR="00FF4DDB" w:rsidRPr="00951AB1" w:rsidRDefault="00FF4DDB" w:rsidP="000A5389">
      <w:pPr>
        <w:spacing w:line="240" w:lineRule="auto"/>
        <w:rPr>
          <w:rFonts w:cs="Times New Roman"/>
          <w:szCs w:val="24"/>
        </w:rPr>
      </w:pPr>
      <w:r w:rsidRPr="00951AB1">
        <w:rPr>
          <w:rFonts w:cs="Times New Roman"/>
          <w:szCs w:val="24"/>
        </w:rPr>
        <w:t>Durante la vigencia 2025, los ingresos de transacciones con contraprestación ascendieron a $5.287.347.110.248, presentando un incremento de $2.485.629.878.676 frente a 2024, lo que evidencia una variación significativa en el resultado del período.</w:t>
      </w:r>
    </w:p>
    <w:p w14:paraId="6EBB90A8" w14:textId="77777777" w:rsidR="00D974A9" w:rsidRPr="00951AB1" w:rsidRDefault="00D974A9" w:rsidP="000A5389">
      <w:pPr>
        <w:spacing w:line="240" w:lineRule="auto"/>
        <w:rPr>
          <w:rFonts w:cs="Times New Roman"/>
          <w:szCs w:val="24"/>
        </w:rPr>
      </w:pPr>
    </w:p>
    <w:p w14:paraId="5410DA31" w14:textId="77777777" w:rsidR="00FF4DDB" w:rsidRPr="00951AB1" w:rsidRDefault="00FF4DDB" w:rsidP="000A5389">
      <w:pPr>
        <w:spacing w:line="240" w:lineRule="auto"/>
        <w:rPr>
          <w:rFonts w:cs="Times New Roman"/>
          <w:szCs w:val="24"/>
        </w:rPr>
      </w:pPr>
      <w:r w:rsidRPr="00951AB1">
        <w:rPr>
          <w:rFonts w:cs="Times New Roman"/>
          <w:szCs w:val="24"/>
        </w:rPr>
        <w:t>Los Ingresos diversos alcanzaron un valor de $2.234.053.658.086, con un aumento de $571.876.261.794 respecto a la vigencia anterior.</w:t>
      </w:r>
    </w:p>
    <w:p w14:paraId="5974E1D9" w14:textId="77777777" w:rsidR="00D04C10" w:rsidRPr="00951AB1" w:rsidRDefault="00D04C10" w:rsidP="000A5389">
      <w:pPr>
        <w:spacing w:line="240" w:lineRule="auto"/>
        <w:rPr>
          <w:rFonts w:cs="Times New Roman"/>
          <w:szCs w:val="24"/>
        </w:rPr>
      </w:pPr>
    </w:p>
    <w:p w14:paraId="258F6F41" w14:textId="77777777" w:rsidR="00FF4DDB" w:rsidRPr="00951AB1" w:rsidRDefault="00FF4DDB" w:rsidP="000A5389">
      <w:pPr>
        <w:spacing w:line="240" w:lineRule="auto"/>
        <w:rPr>
          <w:rFonts w:cs="Times New Roman"/>
          <w:szCs w:val="24"/>
        </w:rPr>
      </w:pPr>
      <w:r w:rsidRPr="00951AB1">
        <w:rPr>
          <w:rFonts w:cs="Times New Roman"/>
          <w:szCs w:val="24"/>
        </w:rPr>
        <w:lastRenderedPageBreak/>
        <w:t>El rubro más representativo corresponde a la Amortización del pasivo diferido de la entidad concedente, por valor de $2.018.418.812.749, constituyéndose en el principal componente de este grupo y en una de las partidas de mayor impacto dentro del total de ingresos. Este ingreso se deriva de la aplicación del tratamiento contable establecido para los acuerdos de concesión, reflejando la amortización sistemática del pasivo diferido reconocido por la entidad concedente.</w:t>
      </w:r>
    </w:p>
    <w:p w14:paraId="61D685BA" w14:textId="77777777" w:rsidR="00D04C10" w:rsidRPr="00951AB1" w:rsidRDefault="00D04C10" w:rsidP="000A5389">
      <w:pPr>
        <w:spacing w:line="240" w:lineRule="auto"/>
        <w:rPr>
          <w:rFonts w:cs="Times New Roman"/>
          <w:szCs w:val="24"/>
        </w:rPr>
      </w:pPr>
    </w:p>
    <w:p w14:paraId="0AABE835" w14:textId="77777777" w:rsidR="00FF4DDB" w:rsidRPr="00951AB1" w:rsidRDefault="00FF4DDB" w:rsidP="000A5389">
      <w:pPr>
        <w:spacing w:line="240" w:lineRule="auto"/>
        <w:rPr>
          <w:rFonts w:cs="Times New Roman"/>
          <w:szCs w:val="24"/>
        </w:rPr>
      </w:pPr>
      <w:r w:rsidRPr="00951AB1">
        <w:rPr>
          <w:rFonts w:cs="Times New Roman"/>
          <w:szCs w:val="24"/>
        </w:rPr>
        <w:t>Adicionalmente, se incluyen conceptos tales como:</w:t>
      </w:r>
    </w:p>
    <w:p w14:paraId="7FF7F9B0" w14:textId="77777777" w:rsidR="00FF4DDB" w:rsidRPr="00951AB1" w:rsidRDefault="00FF4DDB" w:rsidP="000A5389">
      <w:pPr>
        <w:pStyle w:val="Prrafodelista"/>
        <w:numPr>
          <w:ilvl w:val="0"/>
          <w:numId w:val="48"/>
        </w:numPr>
        <w:spacing w:line="240" w:lineRule="auto"/>
        <w:rPr>
          <w:rFonts w:cs="Times New Roman"/>
          <w:szCs w:val="24"/>
        </w:rPr>
      </w:pPr>
      <w:r w:rsidRPr="00951AB1">
        <w:rPr>
          <w:rFonts w:cs="Times New Roman"/>
          <w:szCs w:val="24"/>
        </w:rPr>
        <w:t>Aprovechamientos ($204.521.281.945)</w:t>
      </w:r>
    </w:p>
    <w:p w14:paraId="6732DD3B" w14:textId="77777777" w:rsidR="00FF4DDB" w:rsidRPr="00951AB1" w:rsidRDefault="00FF4DDB" w:rsidP="000A5389">
      <w:pPr>
        <w:pStyle w:val="Prrafodelista"/>
        <w:numPr>
          <w:ilvl w:val="0"/>
          <w:numId w:val="48"/>
        </w:numPr>
        <w:spacing w:line="240" w:lineRule="auto"/>
        <w:rPr>
          <w:rFonts w:cs="Times New Roman"/>
          <w:szCs w:val="24"/>
        </w:rPr>
      </w:pPr>
      <w:r w:rsidRPr="00951AB1">
        <w:rPr>
          <w:rFonts w:cs="Times New Roman"/>
          <w:szCs w:val="24"/>
        </w:rPr>
        <w:t>Reintegros ($4.791.221.989)</w:t>
      </w:r>
    </w:p>
    <w:p w14:paraId="255E09DC" w14:textId="77777777" w:rsidR="00563708" w:rsidRPr="00951AB1" w:rsidRDefault="00FF4DDB" w:rsidP="000A5389">
      <w:pPr>
        <w:pStyle w:val="Prrafodelista"/>
        <w:numPr>
          <w:ilvl w:val="0"/>
          <w:numId w:val="48"/>
        </w:numPr>
        <w:spacing w:line="240" w:lineRule="auto"/>
        <w:rPr>
          <w:rFonts w:cs="Times New Roman"/>
          <w:szCs w:val="24"/>
        </w:rPr>
      </w:pPr>
      <w:r w:rsidRPr="00951AB1">
        <w:rPr>
          <w:rFonts w:cs="Times New Roman"/>
          <w:szCs w:val="24"/>
        </w:rPr>
        <w:t>Laudos arbitrales y conciliaciones extrajudiciales a favor de la entidad ($4.365.278.051)</w:t>
      </w:r>
    </w:p>
    <w:p w14:paraId="23AD0634" w14:textId="77777777" w:rsidR="00FF4DDB" w:rsidRPr="00951AB1" w:rsidRDefault="00FF4DDB" w:rsidP="000A5389">
      <w:pPr>
        <w:pStyle w:val="Prrafodelista"/>
        <w:numPr>
          <w:ilvl w:val="0"/>
          <w:numId w:val="48"/>
        </w:numPr>
        <w:spacing w:line="240" w:lineRule="auto"/>
        <w:rPr>
          <w:rFonts w:cs="Times New Roman"/>
          <w:szCs w:val="24"/>
        </w:rPr>
      </w:pPr>
      <w:r w:rsidRPr="00951AB1">
        <w:rPr>
          <w:rFonts w:cs="Times New Roman"/>
          <w:szCs w:val="24"/>
        </w:rPr>
        <w:t>Arrendamiento operativo ($1.131.634.034)</w:t>
      </w:r>
    </w:p>
    <w:p w14:paraId="3FD3C518" w14:textId="77777777" w:rsidR="00FF4DDB" w:rsidRPr="00951AB1" w:rsidRDefault="00FF4DDB" w:rsidP="000A5389">
      <w:pPr>
        <w:pStyle w:val="Prrafodelista"/>
        <w:numPr>
          <w:ilvl w:val="0"/>
          <w:numId w:val="48"/>
        </w:numPr>
        <w:spacing w:line="240" w:lineRule="auto"/>
        <w:rPr>
          <w:rFonts w:cs="Times New Roman"/>
          <w:szCs w:val="24"/>
        </w:rPr>
      </w:pPr>
      <w:r w:rsidRPr="00951AB1">
        <w:rPr>
          <w:rFonts w:cs="Times New Roman"/>
          <w:szCs w:val="24"/>
        </w:rPr>
        <w:t>Derechos de sustitución de activos deteriorados por daño físico ($789.446.452)</w:t>
      </w:r>
    </w:p>
    <w:p w14:paraId="3A3CF925" w14:textId="77777777" w:rsidR="00FF4DDB" w:rsidRPr="00951AB1" w:rsidRDefault="00FF4DDB" w:rsidP="000A5389">
      <w:pPr>
        <w:pStyle w:val="Prrafodelista"/>
        <w:numPr>
          <w:ilvl w:val="0"/>
          <w:numId w:val="48"/>
        </w:numPr>
        <w:spacing w:line="240" w:lineRule="auto"/>
        <w:rPr>
          <w:rFonts w:cs="Times New Roman"/>
          <w:szCs w:val="24"/>
        </w:rPr>
      </w:pPr>
      <w:r w:rsidRPr="00951AB1">
        <w:rPr>
          <w:rFonts w:cs="Times New Roman"/>
          <w:szCs w:val="24"/>
        </w:rPr>
        <w:t>Costas procesales a favor de la entidad ($27.813.138), entre otros de menor cuantía.</w:t>
      </w:r>
    </w:p>
    <w:p w14:paraId="573E77B1" w14:textId="4AFC1A16" w:rsidR="00A2202C" w:rsidRPr="00951AB1" w:rsidRDefault="00A2202C" w:rsidP="000A5389">
      <w:pPr>
        <w:spacing w:line="240" w:lineRule="auto"/>
        <w:rPr>
          <w:rFonts w:cs="Times New Roman"/>
          <w:szCs w:val="24"/>
        </w:rPr>
      </w:pPr>
    </w:p>
    <w:p w14:paraId="1E2B022E" w14:textId="77777777" w:rsidR="00C55139" w:rsidRPr="00951AB1" w:rsidRDefault="00C55139" w:rsidP="000A5389">
      <w:pPr>
        <w:spacing w:line="240" w:lineRule="auto"/>
        <w:rPr>
          <w:rFonts w:eastAsia="Times New Roman" w:cs="Times New Roman"/>
          <w:b/>
          <w:color w:val="1F3864" w:themeColor="accent1" w:themeShade="80"/>
          <w:szCs w:val="24"/>
          <w:lang w:val="es-ES"/>
        </w:rPr>
      </w:pPr>
      <w:r w:rsidRPr="00951AB1">
        <w:rPr>
          <w:rFonts w:eastAsia="Times New Roman" w:cs="Times New Roman"/>
          <w:b/>
          <w:color w:val="1F3864" w:themeColor="accent1" w:themeShade="80"/>
          <w:szCs w:val="24"/>
          <w:lang w:val="es-ES"/>
        </w:rPr>
        <w:t>Ingresos Diversos</w:t>
      </w:r>
    </w:p>
    <w:p w14:paraId="1AD9E2A2" w14:textId="77777777" w:rsidR="00C55139" w:rsidRPr="00951AB1" w:rsidRDefault="00C55139" w:rsidP="000A5389">
      <w:pPr>
        <w:spacing w:line="240" w:lineRule="auto"/>
        <w:rPr>
          <w:rFonts w:cs="Times New Roman"/>
        </w:rPr>
      </w:pPr>
    </w:p>
    <w:p w14:paraId="20844472" w14:textId="3C184070" w:rsidR="00066328" w:rsidRPr="00951AB1" w:rsidRDefault="00A8056A" w:rsidP="000A5389">
      <w:pPr>
        <w:spacing w:line="240" w:lineRule="auto"/>
        <w:rPr>
          <w:rFonts w:cs="Times New Roman"/>
          <w:szCs w:val="24"/>
        </w:rPr>
      </w:pPr>
      <w:r w:rsidRPr="00951AB1">
        <w:rPr>
          <w:rFonts w:eastAsia="Times New Roman" w:cs="Times New Roman"/>
          <w:bCs/>
          <w:i/>
          <w:iCs/>
          <w:szCs w:val="24"/>
          <w:lang w:val="es-ES"/>
        </w:rPr>
        <w:t>Amortización del pasivo diferido de la entidad concedente</w:t>
      </w:r>
      <w:r w:rsidR="007E6BBF" w:rsidRPr="00951AB1">
        <w:rPr>
          <w:rFonts w:eastAsia="Times New Roman" w:cs="Times New Roman"/>
          <w:bCs/>
          <w:i/>
          <w:iCs/>
          <w:szCs w:val="24"/>
          <w:lang w:val="es-ES"/>
        </w:rPr>
        <w:t xml:space="preserve">: </w:t>
      </w:r>
      <w:r w:rsidR="00E93D6C" w:rsidRPr="00951AB1">
        <w:rPr>
          <w:rFonts w:cs="Times New Roman"/>
          <w:szCs w:val="24"/>
        </w:rPr>
        <w:t>Son partidas no monetarias</w:t>
      </w:r>
      <w:r w:rsidR="00E93D6C" w:rsidRPr="00951AB1">
        <w:rPr>
          <w:rFonts w:cs="Times New Roman"/>
          <w:szCs w:val="24"/>
          <w:lang w:val="es-ES"/>
        </w:rPr>
        <w:t xml:space="preserve">. </w:t>
      </w:r>
      <w:r w:rsidR="00066328" w:rsidRPr="00951AB1">
        <w:rPr>
          <w:rFonts w:cs="Times New Roman"/>
          <w:szCs w:val="24"/>
          <w:lang w:val="es-ES"/>
        </w:rPr>
        <w:t>Estos ingresos corresponden al reconocimiento de la amortización del pasivo diferido por acuerdos de concesión de</w:t>
      </w:r>
      <w:r w:rsidR="00066328" w:rsidRPr="00951AB1">
        <w:rPr>
          <w:rFonts w:cs="Times New Roman"/>
          <w:szCs w:val="24"/>
        </w:rPr>
        <w:t xml:space="preserve"> los modos de transporte Carretero, Férreo y Portuario, en atención a las técnicas establecidas para la estimación y medición de los activos y pasivos de infraestructura de transporte</w:t>
      </w:r>
      <w:r w:rsidR="00E93D6C" w:rsidRPr="00951AB1">
        <w:rPr>
          <w:rFonts w:cs="Times New Roman"/>
          <w:szCs w:val="24"/>
        </w:rPr>
        <w:t xml:space="preserve">. </w:t>
      </w:r>
    </w:p>
    <w:p w14:paraId="0D4289DB" w14:textId="77777777" w:rsidR="00066328" w:rsidRPr="00951AB1" w:rsidRDefault="00066328" w:rsidP="000A5389">
      <w:pPr>
        <w:spacing w:line="240" w:lineRule="auto"/>
        <w:rPr>
          <w:rFonts w:cs="Times New Roman"/>
          <w:szCs w:val="24"/>
        </w:rPr>
      </w:pPr>
    </w:p>
    <w:p w14:paraId="4532DD7E" w14:textId="77777777" w:rsidR="00ED27A4" w:rsidRPr="00951AB1" w:rsidRDefault="00ED27A4" w:rsidP="000A5389">
      <w:pPr>
        <w:spacing w:line="240" w:lineRule="auto"/>
        <w:rPr>
          <w:rFonts w:eastAsia="Times New Roman" w:cs="Times New Roman"/>
          <w:i/>
          <w:iCs/>
          <w:szCs w:val="24"/>
          <w:u w:val="single"/>
          <w:lang w:val="es-ES"/>
        </w:rPr>
      </w:pPr>
      <w:r w:rsidRPr="00951AB1">
        <w:rPr>
          <w:rFonts w:eastAsia="Times New Roman" w:cs="Times New Roman"/>
          <w:i/>
          <w:iCs/>
          <w:szCs w:val="24"/>
          <w:u w:val="single"/>
          <w:lang w:val="es-ES"/>
        </w:rPr>
        <w:t>Portuario:</w:t>
      </w:r>
    </w:p>
    <w:p w14:paraId="7CEE7EF9" w14:textId="77777777" w:rsidR="00066328" w:rsidRPr="00951AB1" w:rsidRDefault="00066328" w:rsidP="000A5389">
      <w:pPr>
        <w:spacing w:line="240" w:lineRule="auto"/>
        <w:rPr>
          <w:rFonts w:eastAsia="Times New Roman" w:cs="Times New Roman"/>
          <w:b/>
          <w:color w:val="1F3864" w:themeColor="accent1" w:themeShade="80"/>
          <w:szCs w:val="24"/>
          <w:lang w:val="es-E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347"/>
        <w:gridCol w:w="1347"/>
        <w:gridCol w:w="3999"/>
        <w:gridCol w:w="2135"/>
      </w:tblGrid>
      <w:tr w:rsidR="00912835" w:rsidRPr="00951AB1" w14:paraId="09979BEB" w14:textId="77777777" w:rsidTr="00912835">
        <w:trPr>
          <w:trHeight w:val="300"/>
          <w:tblHeader/>
        </w:trPr>
        <w:tc>
          <w:tcPr>
            <w:tcW w:w="763" w:type="pct"/>
            <w:vAlign w:val="center"/>
            <w:hideMark/>
          </w:tcPr>
          <w:p w14:paraId="634E760E" w14:textId="18570BBB" w:rsidR="00912835" w:rsidRPr="00951AB1" w:rsidRDefault="00912835" w:rsidP="000A5389">
            <w:pPr>
              <w:spacing w:line="240" w:lineRule="auto"/>
              <w:jc w:val="center"/>
              <w:rPr>
                <w:rFonts w:eastAsia="Times New Roman" w:cs="Times New Roman"/>
                <w:b/>
                <w:bCs/>
                <w:color w:val="000000"/>
                <w:kern w:val="0"/>
                <w:sz w:val="20"/>
                <w:szCs w:val="20"/>
                <w:lang w:eastAsia="es-CO"/>
                <w14:ligatures w14:val="none"/>
              </w:rPr>
            </w:pPr>
            <w:r w:rsidRPr="00951AB1">
              <w:rPr>
                <w:rFonts w:eastAsia="Times New Roman" w:cs="Times New Roman"/>
                <w:b/>
                <w:bCs/>
                <w:color w:val="000000"/>
                <w:kern w:val="0"/>
                <w:sz w:val="20"/>
                <w:szCs w:val="20"/>
                <w:lang w:eastAsia="es-CO"/>
                <w14:ligatures w14:val="none"/>
              </w:rPr>
              <w:t>Modo</w:t>
            </w:r>
          </w:p>
        </w:tc>
        <w:tc>
          <w:tcPr>
            <w:tcW w:w="3028" w:type="pct"/>
            <w:gridSpan w:val="2"/>
            <w:vAlign w:val="center"/>
            <w:hideMark/>
          </w:tcPr>
          <w:p w14:paraId="193CCF03" w14:textId="3E5253EC" w:rsidR="00912835" w:rsidRPr="00951AB1" w:rsidRDefault="00912835" w:rsidP="000A5389">
            <w:pPr>
              <w:spacing w:line="240" w:lineRule="auto"/>
              <w:jc w:val="center"/>
              <w:rPr>
                <w:rFonts w:eastAsia="Times New Roman" w:cs="Times New Roman"/>
                <w:b/>
                <w:bCs/>
                <w:color w:val="000000"/>
                <w:kern w:val="0"/>
                <w:sz w:val="20"/>
                <w:szCs w:val="20"/>
                <w:lang w:eastAsia="es-CO"/>
                <w14:ligatures w14:val="none"/>
              </w:rPr>
            </w:pPr>
            <w:r w:rsidRPr="00951AB1">
              <w:rPr>
                <w:rFonts w:eastAsia="Times New Roman" w:cs="Times New Roman"/>
                <w:b/>
                <w:bCs/>
                <w:color w:val="000000"/>
                <w:kern w:val="0"/>
                <w:sz w:val="20"/>
                <w:szCs w:val="20"/>
                <w:lang w:eastAsia="es-CO"/>
                <w14:ligatures w14:val="none"/>
              </w:rPr>
              <w:t>Tercero</w:t>
            </w:r>
          </w:p>
        </w:tc>
        <w:tc>
          <w:tcPr>
            <w:tcW w:w="1209" w:type="pct"/>
            <w:vAlign w:val="center"/>
            <w:hideMark/>
          </w:tcPr>
          <w:p w14:paraId="4CDE5CB6" w14:textId="59D7F801" w:rsidR="00912835" w:rsidRPr="00951AB1" w:rsidRDefault="00912835" w:rsidP="000A5389">
            <w:pPr>
              <w:spacing w:line="240" w:lineRule="auto"/>
              <w:jc w:val="center"/>
              <w:rPr>
                <w:rFonts w:eastAsia="Times New Roman" w:cs="Times New Roman"/>
                <w:b/>
                <w:bCs/>
                <w:color w:val="000000"/>
                <w:kern w:val="0"/>
                <w:sz w:val="20"/>
                <w:szCs w:val="20"/>
                <w:lang w:eastAsia="es-CO"/>
                <w14:ligatures w14:val="none"/>
              </w:rPr>
            </w:pPr>
            <w:r w:rsidRPr="00951AB1">
              <w:rPr>
                <w:rFonts w:eastAsia="Times New Roman" w:cs="Times New Roman"/>
                <w:b/>
                <w:bCs/>
                <w:color w:val="000000"/>
                <w:kern w:val="0"/>
                <w:sz w:val="20"/>
                <w:szCs w:val="20"/>
                <w:lang w:eastAsia="es-CO"/>
                <w14:ligatures w14:val="none"/>
              </w:rPr>
              <w:t xml:space="preserve">Valor  </w:t>
            </w:r>
          </w:p>
        </w:tc>
      </w:tr>
      <w:tr w:rsidR="00ED27A4" w:rsidRPr="00951AB1" w14:paraId="1C0C1DE6" w14:textId="77777777" w:rsidTr="00ED27A4">
        <w:trPr>
          <w:trHeight w:val="285"/>
        </w:trPr>
        <w:tc>
          <w:tcPr>
            <w:tcW w:w="763" w:type="pct"/>
            <w:vMerge w:val="restart"/>
            <w:vAlign w:val="center"/>
            <w:hideMark/>
          </w:tcPr>
          <w:p w14:paraId="7FD6C893" w14:textId="4B53B1D4" w:rsidR="00ED27A4" w:rsidRPr="00951AB1" w:rsidRDefault="00ED27A4" w:rsidP="000A5389">
            <w:pPr>
              <w:spacing w:line="240" w:lineRule="auto"/>
              <w:rPr>
                <w:rFonts w:eastAsia="Times New Roman" w:cs="Times New Roman"/>
                <w:color w:val="000000"/>
                <w:kern w:val="0"/>
                <w:sz w:val="20"/>
                <w:szCs w:val="20"/>
                <w:lang w:eastAsia="es-CO"/>
                <w14:ligatures w14:val="none"/>
              </w:rPr>
            </w:pPr>
            <w:r w:rsidRPr="00951AB1">
              <w:rPr>
                <w:rFonts w:eastAsia="Times New Roman" w:cs="Times New Roman"/>
                <w:color w:val="000000"/>
                <w:kern w:val="0"/>
                <w:sz w:val="20"/>
                <w:szCs w:val="20"/>
                <w:lang w:eastAsia="es-CO"/>
                <w14:ligatures w14:val="none"/>
              </w:rPr>
              <w:t>Carretero</w:t>
            </w:r>
          </w:p>
          <w:p w14:paraId="18454C22" w14:textId="12A7D2EE" w:rsidR="00ED27A4" w:rsidRPr="00951AB1" w:rsidRDefault="00ED27A4" w:rsidP="000A5389">
            <w:pPr>
              <w:spacing w:line="240" w:lineRule="auto"/>
              <w:rPr>
                <w:rFonts w:eastAsia="Times New Roman" w:cs="Times New Roman"/>
                <w:b/>
                <w:bCs/>
                <w:color w:val="000000"/>
                <w:kern w:val="0"/>
                <w:sz w:val="20"/>
                <w:szCs w:val="20"/>
                <w:lang w:eastAsia="es-CO"/>
                <w14:ligatures w14:val="none"/>
              </w:rPr>
            </w:pPr>
          </w:p>
        </w:tc>
        <w:tc>
          <w:tcPr>
            <w:tcW w:w="3028" w:type="pct"/>
            <w:gridSpan w:val="2"/>
            <w:vAlign w:val="center"/>
            <w:hideMark/>
          </w:tcPr>
          <w:p w14:paraId="00E81A94" w14:textId="29ED973C" w:rsidR="00ED27A4" w:rsidRPr="00951AB1" w:rsidRDefault="00912835" w:rsidP="000A5389">
            <w:pPr>
              <w:spacing w:line="240" w:lineRule="auto"/>
              <w:jc w:val="center"/>
              <w:rPr>
                <w:rFonts w:eastAsia="Times New Roman" w:cs="Times New Roman"/>
                <w:b/>
                <w:bCs/>
                <w:kern w:val="0"/>
                <w:sz w:val="20"/>
                <w:szCs w:val="20"/>
                <w:lang w:eastAsia="es-CO"/>
                <w14:ligatures w14:val="none"/>
              </w:rPr>
            </w:pPr>
            <w:r w:rsidRPr="00951AB1">
              <w:rPr>
                <w:rFonts w:eastAsia="Times New Roman" w:cs="Times New Roman"/>
                <w:b/>
                <w:bCs/>
                <w:kern w:val="0"/>
                <w:sz w:val="20"/>
                <w:szCs w:val="20"/>
                <w:lang w:eastAsia="es-CO"/>
                <w14:ligatures w14:val="none"/>
              </w:rPr>
              <w:t>Total,</w:t>
            </w:r>
            <w:r w:rsidR="00ED27A4" w:rsidRPr="00951AB1">
              <w:rPr>
                <w:rFonts w:eastAsia="Times New Roman" w:cs="Times New Roman"/>
                <w:b/>
                <w:bCs/>
                <w:kern w:val="0"/>
                <w:sz w:val="20"/>
                <w:szCs w:val="20"/>
                <w:lang w:eastAsia="es-CO"/>
                <w14:ligatures w14:val="none"/>
              </w:rPr>
              <w:t xml:space="preserve"> Carretero</w:t>
            </w:r>
          </w:p>
        </w:tc>
        <w:tc>
          <w:tcPr>
            <w:tcW w:w="1209" w:type="pct"/>
            <w:vAlign w:val="center"/>
            <w:hideMark/>
          </w:tcPr>
          <w:p w14:paraId="63505650" w14:textId="77777777" w:rsidR="00ED27A4" w:rsidRPr="00951AB1" w:rsidRDefault="00ED27A4" w:rsidP="000A5389">
            <w:pPr>
              <w:spacing w:line="240" w:lineRule="auto"/>
              <w:jc w:val="right"/>
              <w:rPr>
                <w:rFonts w:eastAsia="Times New Roman" w:cs="Times New Roman"/>
                <w:b/>
                <w:bCs/>
                <w:color w:val="000000"/>
                <w:kern w:val="0"/>
                <w:sz w:val="20"/>
                <w:szCs w:val="20"/>
                <w:lang w:eastAsia="es-CO"/>
                <w14:ligatures w14:val="none"/>
              </w:rPr>
            </w:pPr>
            <w:r w:rsidRPr="00951AB1">
              <w:rPr>
                <w:rFonts w:eastAsia="Times New Roman" w:cs="Times New Roman"/>
                <w:b/>
                <w:bCs/>
                <w:color w:val="000000"/>
                <w:kern w:val="0"/>
                <w:sz w:val="20"/>
                <w:szCs w:val="20"/>
                <w:lang w:eastAsia="es-CO"/>
                <w14:ligatures w14:val="none"/>
              </w:rPr>
              <w:t xml:space="preserve">                           1.548.795.485.852 </w:t>
            </w:r>
          </w:p>
        </w:tc>
      </w:tr>
      <w:tr w:rsidR="00ED27A4" w:rsidRPr="00951AB1" w14:paraId="75F70716" w14:textId="77777777" w:rsidTr="00ED27A4">
        <w:trPr>
          <w:trHeight w:val="293"/>
        </w:trPr>
        <w:tc>
          <w:tcPr>
            <w:tcW w:w="763" w:type="pct"/>
            <w:vMerge/>
            <w:vAlign w:val="center"/>
            <w:hideMark/>
          </w:tcPr>
          <w:p w14:paraId="17E3AF8A" w14:textId="136AA7DA" w:rsidR="00ED27A4" w:rsidRPr="00951AB1" w:rsidRDefault="00ED27A4" w:rsidP="000A5389">
            <w:pPr>
              <w:spacing w:line="240" w:lineRule="auto"/>
              <w:rPr>
                <w:rFonts w:eastAsia="Times New Roman" w:cs="Times New Roman"/>
                <w:color w:val="000000"/>
                <w:kern w:val="0"/>
                <w:sz w:val="20"/>
                <w:szCs w:val="20"/>
                <w:lang w:eastAsia="es-CO"/>
                <w14:ligatures w14:val="none"/>
              </w:rPr>
            </w:pPr>
          </w:p>
        </w:tc>
        <w:tc>
          <w:tcPr>
            <w:tcW w:w="763" w:type="pct"/>
            <w:vAlign w:val="center"/>
            <w:hideMark/>
          </w:tcPr>
          <w:p w14:paraId="14D1F057" w14:textId="77777777" w:rsidR="00ED27A4" w:rsidRPr="00951AB1" w:rsidRDefault="00ED27A4" w:rsidP="000A5389">
            <w:pPr>
              <w:spacing w:line="240" w:lineRule="auto"/>
              <w:jc w:val="right"/>
              <w:rPr>
                <w:rFonts w:eastAsia="Times New Roman" w:cs="Times New Roman"/>
                <w:color w:val="000000"/>
                <w:kern w:val="0"/>
                <w:sz w:val="20"/>
                <w:szCs w:val="20"/>
                <w:lang w:eastAsia="es-CO"/>
                <w14:ligatures w14:val="none"/>
              </w:rPr>
            </w:pPr>
            <w:r w:rsidRPr="00951AB1">
              <w:rPr>
                <w:rFonts w:eastAsia="Times New Roman" w:cs="Times New Roman"/>
                <w:color w:val="000000"/>
                <w:kern w:val="0"/>
                <w:sz w:val="20"/>
                <w:szCs w:val="20"/>
                <w:lang w:eastAsia="es-CO"/>
                <w14:ligatures w14:val="none"/>
              </w:rPr>
              <w:t>830025490</w:t>
            </w:r>
          </w:p>
        </w:tc>
        <w:tc>
          <w:tcPr>
            <w:tcW w:w="2265" w:type="pct"/>
            <w:vAlign w:val="center"/>
            <w:hideMark/>
          </w:tcPr>
          <w:p w14:paraId="54FDFDB7" w14:textId="77777777" w:rsidR="00ED27A4" w:rsidRPr="00951AB1" w:rsidRDefault="00ED27A4" w:rsidP="000A5389">
            <w:pPr>
              <w:spacing w:line="240" w:lineRule="auto"/>
              <w:rPr>
                <w:rFonts w:eastAsia="Times New Roman" w:cs="Times New Roman"/>
                <w:color w:val="000000"/>
                <w:kern w:val="0"/>
                <w:sz w:val="20"/>
                <w:szCs w:val="20"/>
                <w:lang w:eastAsia="es-CO"/>
                <w14:ligatures w14:val="none"/>
              </w:rPr>
            </w:pPr>
            <w:r w:rsidRPr="00951AB1">
              <w:rPr>
                <w:rFonts w:eastAsia="Times New Roman" w:cs="Times New Roman"/>
                <w:color w:val="000000"/>
                <w:kern w:val="0"/>
                <w:sz w:val="20"/>
                <w:szCs w:val="20"/>
                <w:lang w:eastAsia="es-CO"/>
                <w14:ligatures w14:val="none"/>
              </w:rPr>
              <w:t>Autopistas del Cafe S.A.</w:t>
            </w:r>
          </w:p>
        </w:tc>
        <w:tc>
          <w:tcPr>
            <w:tcW w:w="1209" w:type="pct"/>
            <w:vAlign w:val="center"/>
            <w:hideMark/>
          </w:tcPr>
          <w:p w14:paraId="2EFB3397" w14:textId="77777777" w:rsidR="00ED27A4" w:rsidRPr="00951AB1" w:rsidRDefault="00ED27A4" w:rsidP="000A5389">
            <w:pPr>
              <w:spacing w:line="240" w:lineRule="auto"/>
              <w:jc w:val="right"/>
              <w:rPr>
                <w:rFonts w:eastAsia="Times New Roman" w:cs="Times New Roman"/>
                <w:color w:val="000000"/>
                <w:kern w:val="0"/>
                <w:sz w:val="20"/>
                <w:szCs w:val="20"/>
                <w:lang w:eastAsia="es-CO"/>
                <w14:ligatures w14:val="none"/>
              </w:rPr>
            </w:pPr>
            <w:r w:rsidRPr="00951AB1">
              <w:rPr>
                <w:rFonts w:eastAsia="Times New Roman" w:cs="Times New Roman"/>
                <w:color w:val="000000"/>
                <w:kern w:val="0"/>
                <w:sz w:val="20"/>
                <w:szCs w:val="20"/>
                <w:lang w:eastAsia="es-CO"/>
                <w14:ligatures w14:val="none"/>
              </w:rPr>
              <w:t xml:space="preserve">      175.203.747.785 </w:t>
            </w:r>
          </w:p>
        </w:tc>
      </w:tr>
      <w:tr w:rsidR="00ED27A4" w:rsidRPr="00951AB1" w14:paraId="349EB077" w14:textId="77777777" w:rsidTr="00ED27A4">
        <w:trPr>
          <w:trHeight w:val="293"/>
        </w:trPr>
        <w:tc>
          <w:tcPr>
            <w:tcW w:w="763" w:type="pct"/>
            <w:vMerge/>
            <w:vAlign w:val="center"/>
            <w:hideMark/>
          </w:tcPr>
          <w:p w14:paraId="20D7D207" w14:textId="158AF698" w:rsidR="00ED27A4" w:rsidRPr="00951AB1" w:rsidRDefault="00ED27A4" w:rsidP="000A5389">
            <w:pPr>
              <w:spacing w:line="240" w:lineRule="auto"/>
              <w:rPr>
                <w:rFonts w:eastAsia="Times New Roman" w:cs="Times New Roman"/>
                <w:color w:val="000000"/>
                <w:kern w:val="0"/>
                <w:sz w:val="20"/>
                <w:szCs w:val="20"/>
                <w:lang w:eastAsia="es-CO"/>
                <w14:ligatures w14:val="none"/>
              </w:rPr>
            </w:pPr>
          </w:p>
        </w:tc>
        <w:tc>
          <w:tcPr>
            <w:tcW w:w="763" w:type="pct"/>
            <w:vAlign w:val="center"/>
            <w:hideMark/>
          </w:tcPr>
          <w:p w14:paraId="12A113EA" w14:textId="77777777" w:rsidR="00ED27A4" w:rsidRPr="00951AB1" w:rsidRDefault="00ED27A4" w:rsidP="000A5389">
            <w:pPr>
              <w:spacing w:line="240" w:lineRule="auto"/>
              <w:jc w:val="right"/>
              <w:rPr>
                <w:rFonts w:eastAsia="Times New Roman" w:cs="Times New Roman"/>
                <w:color w:val="000000"/>
                <w:kern w:val="0"/>
                <w:sz w:val="20"/>
                <w:szCs w:val="20"/>
                <w:lang w:eastAsia="es-CO"/>
                <w14:ligatures w14:val="none"/>
              </w:rPr>
            </w:pPr>
            <w:r w:rsidRPr="00951AB1">
              <w:rPr>
                <w:rFonts w:eastAsia="Times New Roman" w:cs="Times New Roman"/>
                <w:color w:val="000000"/>
                <w:kern w:val="0"/>
                <w:sz w:val="20"/>
                <w:szCs w:val="20"/>
                <w:lang w:eastAsia="es-CO"/>
                <w14:ligatures w14:val="none"/>
              </w:rPr>
              <w:t>901009478</w:t>
            </w:r>
          </w:p>
        </w:tc>
        <w:tc>
          <w:tcPr>
            <w:tcW w:w="2265" w:type="pct"/>
            <w:vAlign w:val="center"/>
            <w:hideMark/>
          </w:tcPr>
          <w:p w14:paraId="4885A26B" w14:textId="77777777" w:rsidR="00ED27A4" w:rsidRPr="00951AB1" w:rsidRDefault="00ED27A4" w:rsidP="000A5389">
            <w:pPr>
              <w:spacing w:line="240" w:lineRule="auto"/>
              <w:rPr>
                <w:rFonts w:eastAsia="Times New Roman" w:cs="Times New Roman"/>
                <w:color w:val="000000"/>
                <w:kern w:val="0"/>
                <w:sz w:val="20"/>
                <w:szCs w:val="20"/>
                <w:lang w:eastAsia="es-CO"/>
                <w14:ligatures w14:val="none"/>
              </w:rPr>
            </w:pPr>
            <w:r w:rsidRPr="00951AB1">
              <w:rPr>
                <w:rFonts w:eastAsia="Times New Roman" w:cs="Times New Roman"/>
                <w:color w:val="000000"/>
                <w:kern w:val="0"/>
                <w:sz w:val="20"/>
                <w:szCs w:val="20"/>
                <w:lang w:eastAsia="es-CO"/>
                <w14:ligatures w14:val="none"/>
              </w:rPr>
              <w:t>Vía 40 Express S.A.S.</w:t>
            </w:r>
          </w:p>
        </w:tc>
        <w:tc>
          <w:tcPr>
            <w:tcW w:w="1209" w:type="pct"/>
            <w:vAlign w:val="center"/>
            <w:hideMark/>
          </w:tcPr>
          <w:p w14:paraId="49B4B55E" w14:textId="77777777" w:rsidR="00ED27A4" w:rsidRPr="00951AB1" w:rsidRDefault="00ED27A4" w:rsidP="000A5389">
            <w:pPr>
              <w:spacing w:line="240" w:lineRule="auto"/>
              <w:jc w:val="right"/>
              <w:rPr>
                <w:rFonts w:eastAsia="Times New Roman" w:cs="Times New Roman"/>
                <w:color w:val="000000"/>
                <w:kern w:val="0"/>
                <w:sz w:val="20"/>
                <w:szCs w:val="20"/>
                <w:lang w:eastAsia="es-CO"/>
                <w14:ligatures w14:val="none"/>
              </w:rPr>
            </w:pPr>
            <w:r w:rsidRPr="00951AB1">
              <w:rPr>
                <w:rFonts w:eastAsia="Times New Roman" w:cs="Times New Roman"/>
                <w:color w:val="000000"/>
                <w:kern w:val="0"/>
                <w:sz w:val="20"/>
                <w:szCs w:val="20"/>
                <w:lang w:eastAsia="es-CO"/>
                <w14:ligatures w14:val="none"/>
              </w:rPr>
              <w:t xml:space="preserve">      123.299.635.968 </w:t>
            </w:r>
          </w:p>
        </w:tc>
      </w:tr>
      <w:tr w:rsidR="00ED27A4" w:rsidRPr="00951AB1" w14:paraId="2C69C6E2" w14:textId="77777777" w:rsidTr="00ED27A4">
        <w:trPr>
          <w:trHeight w:val="293"/>
        </w:trPr>
        <w:tc>
          <w:tcPr>
            <w:tcW w:w="763" w:type="pct"/>
            <w:vMerge/>
            <w:vAlign w:val="center"/>
            <w:hideMark/>
          </w:tcPr>
          <w:p w14:paraId="46E48C7D" w14:textId="5EA12F3A" w:rsidR="00ED27A4" w:rsidRPr="00951AB1" w:rsidRDefault="00ED27A4" w:rsidP="000A5389">
            <w:pPr>
              <w:spacing w:line="240" w:lineRule="auto"/>
              <w:rPr>
                <w:rFonts w:eastAsia="Times New Roman" w:cs="Times New Roman"/>
                <w:color w:val="000000"/>
                <w:kern w:val="0"/>
                <w:sz w:val="20"/>
                <w:szCs w:val="20"/>
                <w:lang w:eastAsia="es-CO"/>
                <w14:ligatures w14:val="none"/>
              </w:rPr>
            </w:pPr>
          </w:p>
        </w:tc>
        <w:tc>
          <w:tcPr>
            <w:tcW w:w="763" w:type="pct"/>
            <w:vAlign w:val="center"/>
            <w:hideMark/>
          </w:tcPr>
          <w:p w14:paraId="48EE6749" w14:textId="77777777" w:rsidR="00ED27A4" w:rsidRPr="00951AB1" w:rsidRDefault="00ED27A4" w:rsidP="000A5389">
            <w:pPr>
              <w:spacing w:line="240" w:lineRule="auto"/>
              <w:jc w:val="right"/>
              <w:rPr>
                <w:rFonts w:eastAsia="Times New Roman" w:cs="Times New Roman"/>
                <w:color w:val="000000"/>
                <w:kern w:val="0"/>
                <w:sz w:val="20"/>
                <w:szCs w:val="20"/>
                <w:lang w:eastAsia="es-CO"/>
                <w14:ligatures w14:val="none"/>
              </w:rPr>
            </w:pPr>
            <w:r w:rsidRPr="00951AB1">
              <w:rPr>
                <w:rFonts w:eastAsia="Times New Roman" w:cs="Times New Roman"/>
                <w:color w:val="000000"/>
                <w:kern w:val="0"/>
                <w:sz w:val="20"/>
                <w:szCs w:val="20"/>
                <w:lang w:eastAsia="es-CO"/>
                <w14:ligatures w14:val="none"/>
              </w:rPr>
              <w:t>900871368</w:t>
            </w:r>
          </w:p>
        </w:tc>
        <w:tc>
          <w:tcPr>
            <w:tcW w:w="2265" w:type="pct"/>
            <w:vAlign w:val="center"/>
            <w:hideMark/>
          </w:tcPr>
          <w:p w14:paraId="7CFD271E" w14:textId="77777777" w:rsidR="00ED27A4" w:rsidRPr="00951AB1" w:rsidRDefault="00ED27A4" w:rsidP="000A5389">
            <w:pPr>
              <w:spacing w:line="240" w:lineRule="auto"/>
              <w:rPr>
                <w:rFonts w:eastAsia="Times New Roman" w:cs="Times New Roman"/>
                <w:color w:val="000000"/>
                <w:kern w:val="0"/>
                <w:sz w:val="20"/>
                <w:szCs w:val="20"/>
                <w:lang w:eastAsia="es-CO"/>
                <w14:ligatures w14:val="none"/>
              </w:rPr>
            </w:pPr>
            <w:r w:rsidRPr="00951AB1">
              <w:rPr>
                <w:rFonts w:eastAsia="Times New Roman" w:cs="Times New Roman"/>
                <w:color w:val="000000"/>
                <w:kern w:val="0"/>
                <w:sz w:val="20"/>
                <w:szCs w:val="20"/>
                <w:lang w:eastAsia="es-CO"/>
                <w14:ligatures w14:val="none"/>
              </w:rPr>
              <w:t>Concesionaria Ruta del Cacao S.A.S.</w:t>
            </w:r>
          </w:p>
        </w:tc>
        <w:tc>
          <w:tcPr>
            <w:tcW w:w="1209" w:type="pct"/>
            <w:vAlign w:val="center"/>
            <w:hideMark/>
          </w:tcPr>
          <w:p w14:paraId="16D2B4AB" w14:textId="77777777" w:rsidR="00ED27A4" w:rsidRPr="00951AB1" w:rsidRDefault="00ED27A4" w:rsidP="000A5389">
            <w:pPr>
              <w:spacing w:line="240" w:lineRule="auto"/>
              <w:jc w:val="right"/>
              <w:rPr>
                <w:rFonts w:eastAsia="Times New Roman" w:cs="Times New Roman"/>
                <w:color w:val="000000"/>
                <w:kern w:val="0"/>
                <w:sz w:val="20"/>
                <w:szCs w:val="20"/>
                <w:lang w:eastAsia="es-CO"/>
                <w14:ligatures w14:val="none"/>
              </w:rPr>
            </w:pPr>
            <w:r w:rsidRPr="00951AB1">
              <w:rPr>
                <w:rFonts w:eastAsia="Times New Roman" w:cs="Times New Roman"/>
                <w:color w:val="000000"/>
                <w:kern w:val="0"/>
                <w:sz w:val="20"/>
                <w:szCs w:val="20"/>
                <w:lang w:eastAsia="es-CO"/>
                <w14:ligatures w14:val="none"/>
              </w:rPr>
              <w:t xml:space="preserve">      101.964.208.080 </w:t>
            </w:r>
          </w:p>
        </w:tc>
      </w:tr>
      <w:tr w:rsidR="00ED27A4" w:rsidRPr="00951AB1" w14:paraId="60D10474" w14:textId="77777777" w:rsidTr="00ED27A4">
        <w:trPr>
          <w:trHeight w:val="293"/>
        </w:trPr>
        <w:tc>
          <w:tcPr>
            <w:tcW w:w="763" w:type="pct"/>
            <w:vMerge/>
            <w:vAlign w:val="center"/>
            <w:hideMark/>
          </w:tcPr>
          <w:p w14:paraId="70FF9FDE" w14:textId="30352AB8" w:rsidR="00ED27A4" w:rsidRPr="00951AB1" w:rsidRDefault="00ED27A4" w:rsidP="000A5389">
            <w:pPr>
              <w:spacing w:line="240" w:lineRule="auto"/>
              <w:rPr>
                <w:rFonts w:eastAsia="Times New Roman" w:cs="Times New Roman"/>
                <w:color w:val="000000"/>
                <w:kern w:val="0"/>
                <w:sz w:val="20"/>
                <w:szCs w:val="20"/>
                <w:lang w:eastAsia="es-CO"/>
                <w14:ligatures w14:val="none"/>
              </w:rPr>
            </w:pPr>
          </w:p>
        </w:tc>
        <w:tc>
          <w:tcPr>
            <w:tcW w:w="763" w:type="pct"/>
            <w:vAlign w:val="center"/>
            <w:hideMark/>
          </w:tcPr>
          <w:p w14:paraId="19A50AB3" w14:textId="77777777" w:rsidR="00ED27A4" w:rsidRPr="00951AB1" w:rsidRDefault="00ED27A4" w:rsidP="000A5389">
            <w:pPr>
              <w:spacing w:line="240" w:lineRule="auto"/>
              <w:jc w:val="right"/>
              <w:rPr>
                <w:rFonts w:eastAsia="Times New Roman" w:cs="Times New Roman"/>
                <w:color w:val="000000"/>
                <w:kern w:val="0"/>
                <w:sz w:val="20"/>
                <w:szCs w:val="20"/>
                <w:lang w:eastAsia="es-CO"/>
                <w14:ligatures w14:val="none"/>
              </w:rPr>
            </w:pPr>
            <w:r w:rsidRPr="00951AB1">
              <w:rPr>
                <w:rFonts w:eastAsia="Times New Roman" w:cs="Times New Roman"/>
                <w:color w:val="000000"/>
                <w:kern w:val="0"/>
                <w:sz w:val="20"/>
                <w:szCs w:val="20"/>
                <w:lang w:eastAsia="es-CO"/>
                <w14:ligatures w14:val="none"/>
              </w:rPr>
              <w:t>900848064</w:t>
            </w:r>
          </w:p>
        </w:tc>
        <w:tc>
          <w:tcPr>
            <w:tcW w:w="2265" w:type="pct"/>
            <w:vAlign w:val="center"/>
            <w:hideMark/>
          </w:tcPr>
          <w:p w14:paraId="6B984306" w14:textId="77777777" w:rsidR="00ED27A4" w:rsidRPr="00951AB1" w:rsidRDefault="00ED27A4" w:rsidP="000A5389">
            <w:pPr>
              <w:spacing w:line="240" w:lineRule="auto"/>
              <w:rPr>
                <w:rFonts w:eastAsia="Times New Roman" w:cs="Times New Roman"/>
                <w:color w:val="000000"/>
                <w:kern w:val="0"/>
                <w:sz w:val="20"/>
                <w:szCs w:val="20"/>
                <w:lang w:eastAsia="es-CO"/>
                <w14:ligatures w14:val="none"/>
              </w:rPr>
            </w:pPr>
            <w:r w:rsidRPr="00951AB1">
              <w:rPr>
                <w:rFonts w:eastAsia="Times New Roman" w:cs="Times New Roman"/>
                <w:color w:val="000000"/>
                <w:kern w:val="0"/>
                <w:sz w:val="20"/>
                <w:szCs w:val="20"/>
                <w:lang w:eastAsia="es-CO"/>
                <w14:ligatures w14:val="none"/>
              </w:rPr>
              <w:t xml:space="preserve">Concesionaria Vial Andina S A S  </w:t>
            </w:r>
          </w:p>
        </w:tc>
        <w:tc>
          <w:tcPr>
            <w:tcW w:w="1209" w:type="pct"/>
            <w:vAlign w:val="center"/>
            <w:hideMark/>
          </w:tcPr>
          <w:p w14:paraId="4B5040C1" w14:textId="77777777" w:rsidR="00ED27A4" w:rsidRPr="00951AB1" w:rsidRDefault="00ED27A4" w:rsidP="000A5389">
            <w:pPr>
              <w:spacing w:line="240" w:lineRule="auto"/>
              <w:jc w:val="right"/>
              <w:rPr>
                <w:rFonts w:eastAsia="Times New Roman" w:cs="Times New Roman"/>
                <w:color w:val="000000"/>
                <w:kern w:val="0"/>
                <w:sz w:val="20"/>
                <w:szCs w:val="20"/>
                <w:lang w:eastAsia="es-CO"/>
                <w14:ligatures w14:val="none"/>
              </w:rPr>
            </w:pPr>
            <w:r w:rsidRPr="00951AB1">
              <w:rPr>
                <w:rFonts w:eastAsia="Times New Roman" w:cs="Times New Roman"/>
                <w:color w:val="000000"/>
                <w:kern w:val="0"/>
                <w:sz w:val="20"/>
                <w:szCs w:val="20"/>
                <w:lang w:eastAsia="es-CO"/>
                <w14:ligatures w14:val="none"/>
              </w:rPr>
              <w:t xml:space="preserve">        89.193.716.563 </w:t>
            </w:r>
          </w:p>
        </w:tc>
      </w:tr>
      <w:tr w:rsidR="00ED27A4" w:rsidRPr="00951AB1" w14:paraId="57186DC4" w14:textId="77777777" w:rsidTr="00ED27A4">
        <w:trPr>
          <w:trHeight w:val="293"/>
        </w:trPr>
        <w:tc>
          <w:tcPr>
            <w:tcW w:w="763" w:type="pct"/>
            <w:vMerge/>
            <w:vAlign w:val="center"/>
            <w:hideMark/>
          </w:tcPr>
          <w:p w14:paraId="4DA4B5E6" w14:textId="18C5ABB2" w:rsidR="00ED27A4" w:rsidRPr="00951AB1" w:rsidRDefault="00ED27A4" w:rsidP="000A5389">
            <w:pPr>
              <w:spacing w:line="240" w:lineRule="auto"/>
              <w:rPr>
                <w:rFonts w:eastAsia="Times New Roman" w:cs="Times New Roman"/>
                <w:color w:val="000000"/>
                <w:kern w:val="0"/>
                <w:sz w:val="20"/>
                <w:szCs w:val="20"/>
                <w:lang w:eastAsia="es-CO"/>
                <w14:ligatures w14:val="none"/>
              </w:rPr>
            </w:pPr>
          </w:p>
        </w:tc>
        <w:tc>
          <w:tcPr>
            <w:tcW w:w="763" w:type="pct"/>
            <w:vAlign w:val="center"/>
            <w:hideMark/>
          </w:tcPr>
          <w:p w14:paraId="42E317A4" w14:textId="77777777" w:rsidR="00ED27A4" w:rsidRPr="00951AB1" w:rsidRDefault="00ED27A4" w:rsidP="000A5389">
            <w:pPr>
              <w:spacing w:line="240" w:lineRule="auto"/>
              <w:jc w:val="right"/>
              <w:rPr>
                <w:rFonts w:eastAsia="Times New Roman" w:cs="Times New Roman"/>
                <w:color w:val="000000"/>
                <w:kern w:val="0"/>
                <w:sz w:val="20"/>
                <w:szCs w:val="20"/>
                <w:lang w:eastAsia="es-CO"/>
                <w14:ligatures w14:val="none"/>
              </w:rPr>
            </w:pPr>
            <w:r w:rsidRPr="00951AB1">
              <w:rPr>
                <w:rFonts w:eastAsia="Times New Roman" w:cs="Times New Roman"/>
                <w:color w:val="000000"/>
                <w:kern w:val="0"/>
                <w:sz w:val="20"/>
                <w:szCs w:val="20"/>
                <w:lang w:eastAsia="es-CO"/>
                <w14:ligatures w14:val="none"/>
              </w:rPr>
              <w:t>900862215</w:t>
            </w:r>
          </w:p>
        </w:tc>
        <w:tc>
          <w:tcPr>
            <w:tcW w:w="2265" w:type="pct"/>
            <w:vAlign w:val="center"/>
            <w:hideMark/>
          </w:tcPr>
          <w:p w14:paraId="1D0EB550" w14:textId="77777777" w:rsidR="00ED27A4" w:rsidRPr="00951AB1" w:rsidRDefault="00ED27A4" w:rsidP="000A5389">
            <w:pPr>
              <w:spacing w:line="240" w:lineRule="auto"/>
              <w:rPr>
                <w:rFonts w:eastAsia="Times New Roman" w:cs="Times New Roman"/>
                <w:color w:val="000000"/>
                <w:kern w:val="0"/>
                <w:sz w:val="20"/>
                <w:szCs w:val="20"/>
                <w:lang w:eastAsia="es-CO"/>
                <w14:ligatures w14:val="none"/>
              </w:rPr>
            </w:pPr>
            <w:r w:rsidRPr="00951AB1">
              <w:rPr>
                <w:rFonts w:eastAsia="Times New Roman" w:cs="Times New Roman"/>
                <w:color w:val="000000"/>
                <w:kern w:val="0"/>
                <w:sz w:val="20"/>
                <w:szCs w:val="20"/>
                <w:lang w:eastAsia="es-CO"/>
                <w14:ligatures w14:val="none"/>
              </w:rPr>
              <w:t>Concesionaria Vial Del Oriente S A S</w:t>
            </w:r>
          </w:p>
        </w:tc>
        <w:tc>
          <w:tcPr>
            <w:tcW w:w="1209" w:type="pct"/>
            <w:vAlign w:val="center"/>
            <w:hideMark/>
          </w:tcPr>
          <w:p w14:paraId="584E8385" w14:textId="77777777" w:rsidR="00ED27A4" w:rsidRPr="00951AB1" w:rsidRDefault="00ED27A4" w:rsidP="000A5389">
            <w:pPr>
              <w:spacing w:line="240" w:lineRule="auto"/>
              <w:jc w:val="right"/>
              <w:rPr>
                <w:rFonts w:eastAsia="Times New Roman" w:cs="Times New Roman"/>
                <w:color w:val="000000"/>
                <w:kern w:val="0"/>
                <w:sz w:val="20"/>
                <w:szCs w:val="20"/>
                <w:lang w:eastAsia="es-CO"/>
                <w14:ligatures w14:val="none"/>
              </w:rPr>
            </w:pPr>
            <w:r w:rsidRPr="00951AB1">
              <w:rPr>
                <w:rFonts w:eastAsia="Times New Roman" w:cs="Times New Roman"/>
                <w:color w:val="000000"/>
                <w:kern w:val="0"/>
                <w:sz w:val="20"/>
                <w:szCs w:val="20"/>
                <w:lang w:eastAsia="es-CO"/>
                <w14:ligatures w14:val="none"/>
              </w:rPr>
              <w:t xml:space="preserve">        86.503.925.735 </w:t>
            </w:r>
          </w:p>
        </w:tc>
      </w:tr>
      <w:tr w:rsidR="00ED27A4" w:rsidRPr="00951AB1" w14:paraId="5FE543A9" w14:textId="77777777" w:rsidTr="00ED27A4">
        <w:trPr>
          <w:trHeight w:val="293"/>
        </w:trPr>
        <w:tc>
          <w:tcPr>
            <w:tcW w:w="763" w:type="pct"/>
            <w:vMerge/>
            <w:vAlign w:val="center"/>
            <w:hideMark/>
          </w:tcPr>
          <w:p w14:paraId="5F37D9FC" w14:textId="3276D7B1" w:rsidR="00ED27A4" w:rsidRPr="00951AB1" w:rsidRDefault="00ED27A4" w:rsidP="000A5389">
            <w:pPr>
              <w:spacing w:line="240" w:lineRule="auto"/>
              <w:rPr>
                <w:rFonts w:eastAsia="Times New Roman" w:cs="Times New Roman"/>
                <w:color w:val="000000"/>
                <w:kern w:val="0"/>
                <w:sz w:val="20"/>
                <w:szCs w:val="20"/>
                <w:lang w:eastAsia="es-CO"/>
                <w14:ligatures w14:val="none"/>
              </w:rPr>
            </w:pPr>
          </w:p>
        </w:tc>
        <w:tc>
          <w:tcPr>
            <w:tcW w:w="763" w:type="pct"/>
            <w:vAlign w:val="center"/>
            <w:hideMark/>
          </w:tcPr>
          <w:p w14:paraId="7CB273F5" w14:textId="77777777" w:rsidR="00ED27A4" w:rsidRPr="00951AB1" w:rsidRDefault="00ED27A4" w:rsidP="000A5389">
            <w:pPr>
              <w:spacing w:line="240" w:lineRule="auto"/>
              <w:jc w:val="right"/>
              <w:rPr>
                <w:rFonts w:eastAsia="Times New Roman" w:cs="Times New Roman"/>
                <w:color w:val="000000"/>
                <w:kern w:val="0"/>
                <w:sz w:val="20"/>
                <w:szCs w:val="20"/>
                <w:lang w:eastAsia="es-CO"/>
                <w14:ligatures w14:val="none"/>
              </w:rPr>
            </w:pPr>
            <w:r w:rsidRPr="00951AB1">
              <w:rPr>
                <w:rFonts w:eastAsia="Times New Roman" w:cs="Times New Roman"/>
                <w:color w:val="000000"/>
                <w:kern w:val="0"/>
                <w:sz w:val="20"/>
                <w:szCs w:val="20"/>
                <w:lang w:eastAsia="es-CO"/>
                <w14:ligatures w14:val="none"/>
              </w:rPr>
              <w:t>900744773</w:t>
            </w:r>
          </w:p>
        </w:tc>
        <w:tc>
          <w:tcPr>
            <w:tcW w:w="2265" w:type="pct"/>
            <w:vAlign w:val="center"/>
            <w:hideMark/>
          </w:tcPr>
          <w:p w14:paraId="65176EEB" w14:textId="77777777" w:rsidR="00ED27A4" w:rsidRPr="00951AB1" w:rsidRDefault="00ED27A4" w:rsidP="000A5389">
            <w:pPr>
              <w:spacing w:line="240" w:lineRule="auto"/>
              <w:rPr>
                <w:rFonts w:eastAsia="Times New Roman" w:cs="Times New Roman"/>
                <w:color w:val="000000"/>
                <w:kern w:val="0"/>
                <w:sz w:val="20"/>
                <w:szCs w:val="20"/>
                <w:lang w:eastAsia="es-CO"/>
                <w14:ligatures w14:val="none"/>
              </w:rPr>
            </w:pPr>
            <w:r w:rsidRPr="00951AB1">
              <w:rPr>
                <w:rFonts w:eastAsia="Times New Roman" w:cs="Times New Roman"/>
                <w:color w:val="000000"/>
                <w:kern w:val="0"/>
                <w:sz w:val="20"/>
                <w:szCs w:val="20"/>
                <w:lang w:eastAsia="es-CO"/>
                <w14:ligatures w14:val="none"/>
              </w:rPr>
              <w:t>Concesionaria Vial Del Pacifico S A S</w:t>
            </w:r>
          </w:p>
        </w:tc>
        <w:tc>
          <w:tcPr>
            <w:tcW w:w="1209" w:type="pct"/>
            <w:vAlign w:val="center"/>
            <w:hideMark/>
          </w:tcPr>
          <w:p w14:paraId="4F072362" w14:textId="77777777" w:rsidR="00ED27A4" w:rsidRPr="00951AB1" w:rsidRDefault="00ED27A4" w:rsidP="000A5389">
            <w:pPr>
              <w:spacing w:line="240" w:lineRule="auto"/>
              <w:jc w:val="right"/>
              <w:rPr>
                <w:rFonts w:eastAsia="Times New Roman" w:cs="Times New Roman"/>
                <w:color w:val="000000"/>
                <w:kern w:val="0"/>
                <w:sz w:val="20"/>
                <w:szCs w:val="20"/>
                <w:lang w:eastAsia="es-CO"/>
                <w14:ligatures w14:val="none"/>
              </w:rPr>
            </w:pPr>
            <w:r w:rsidRPr="00951AB1">
              <w:rPr>
                <w:rFonts w:eastAsia="Times New Roman" w:cs="Times New Roman"/>
                <w:color w:val="000000"/>
                <w:kern w:val="0"/>
                <w:sz w:val="20"/>
                <w:szCs w:val="20"/>
                <w:lang w:eastAsia="es-CO"/>
                <w14:ligatures w14:val="none"/>
              </w:rPr>
              <w:t xml:space="preserve">        67.559.156.598 </w:t>
            </w:r>
          </w:p>
        </w:tc>
      </w:tr>
      <w:tr w:rsidR="00ED27A4" w:rsidRPr="00951AB1" w14:paraId="26E6D699" w14:textId="77777777" w:rsidTr="00ED27A4">
        <w:trPr>
          <w:trHeight w:val="293"/>
        </w:trPr>
        <w:tc>
          <w:tcPr>
            <w:tcW w:w="763" w:type="pct"/>
            <w:vMerge/>
            <w:vAlign w:val="center"/>
            <w:hideMark/>
          </w:tcPr>
          <w:p w14:paraId="79619B29" w14:textId="45FE94B1" w:rsidR="00ED27A4" w:rsidRPr="00951AB1" w:rsidRDefault="00ED27A4" w:rsidP="000A5389">
            <w:pPr>
              <w:spacing w:line="240" w:lineRule="auto"/>
              <w:rPr>
                <w:rFonts w:eastAsia="Times New Roman" w:cs="Times New Roman"/>
                <w:color w:val="000000"/>
                <w:kern w:val="0"/>
                <w:sz w:val="20"/>
                <w:szCs w:val="20"/>
                <w:lang w:eastAsia="es-CO"/>
                <w14:ligatures w14:val="none"/>
              </w:rPr>
            </w:pPr>
          </w:p>
        </w:tc>
        <w:tc>
          <w:tcPr>
            <w:tcW w:w="763" w:type="pct"/>
            <w:vAlign w:val="center"/>
            <w:hideMark/>
          </w:tcPr>
          <w:p w14:paraId="308A5BE5" w14:textId="77777777" w:rsidR="00ED27A4" w:rsidRPr="00951AB1" w:rsidRDefault="00ED27A4" w:rsidP="000A5389">
            <w:pPr>
              <w:spacing w:line="240" w:lineRule="auto"/>
              <w:jc w:val="right"/>
              <w:rPr>
                <w:rFonts w:eastAsia="Times New Roman" w:cs="Times New Roman"/>
                <w:color w:val="000000"/>
                <w:kern w:val="0"/>
                <w:sz w:val="20"/>
                <w:szCs w:val="20"/>
                <w:lang w:eastAsia="es-CO"/>
                <w14:ligatures w14:val="none"/>
              </w:rPr>
            </w:pPr>
            <w:r w:rsidRPr="00951AB1">
              <w:rPr>
                <w:rFonts w:eastAsia="Times New Roman" w:cs="Times New Roman"/>
                <w:color w:val="000000"/>
                <w:kern w:val="0"/>
                <w:sz w:val="20"/>
                <w:szCs w:val="20"/>
                <w:lang w:eastAsia="es-CO"/>
                <w14:ligatures w14:val="none"/>
              </w:rPr>
              <w:t>811005050</w:t>
            </w:r>
          </w:p>
        </w:tc>
        <w:tc>
          <w:tcPr>
            <w:tcW w:w="2265" w:type="pct"/>
            <w:vAlign w:val="center"/>
            <w:hideMark/>
          </w:tcPr>
          <w:p w14:paraId="46F43E87" w14:textId="77777777" w:rsidR="00ED27A4" w:rsidRPr="00951AB1" w:rsidRDefault="00ED27A4" w:rsidP="000A5389">
            <w:pPr>
              <w:spacing w:line="240" w:lineRule="auto"/>
              <w:rPr>
                <w:rFonts w:eastAsia="Times New Roman" w:cs="Times New Roman"/>
                <w:color w:val="000000"/>
                <w:kern w:val="0"/>
                <w:sz w:val="20"/>
                <w:szCs w:val="20"/>
                <w:lang w:eastAsia="es-CO"/>
                <w14:ligatures w14:val="none"/>
              </w:rPr>
            </w:pPr>
            <w:r w:rsidRPr="00951AB1">
              <w:rPr>
                <w:rFonts w:eastAsia="Times New Roman" w:cs="Times New Roman"/>
                <w:color w:val="000000"/>
                <w:kern w:val="0"/>
                <w:sz w:val="20"/>
                <w:szCs w:val="20"/>
                <w:lang w:eastAsia="es-CO"/>
                <w14:ligatures w14:val="none"/>
              </w:rPr>
              <w:t>Devimed S.A.</w:t>
            </w:r>
          </w:p>
        </w:tc>
        <w:tc>
          <w:tcPr>
            <w:tcW w:w="1209" w:type="pct"/>
            <w:vAlign w:val="center"/>
            <w:hideMark/>
          </w:tcPr>
          <w:p w14:paraId="230F8ED2" w14:textId="77777777" w:rsidR="00ED27A4" w:rsidRPr="00951AB1" w:rsidRDefault="00ED27A4" w:rsidP="000A5389">
            <w:pPr>
              <w:spacing w:line="240" w:lineRule="auto"/>
              <w:jc w:val="right"/>
              <w:rPr>
                <w:rFonts w:eastAsia="Times New Roman" w:cs="Times New Roman"/>
                <w:color w:val="000000"/>
                <w:kern w:val="0"/>
                <w:sz w:val="20"/>
                <w:szCs w:val="20"/>
                <w:lang w:eastAsia="es-CO"/>
                <w14:ligatures w14:val="none"/>
              </w:rPr>
            </w:pPr>
            <w:r w:rsidRPr="00951AB1">
              <w:rPr>
                <w:rFonts w:eastAsia="Times New Roman" w:cs="Times New Roman"/>
                <w:color w:val="000000"/>
                <w:kern w:val="0"/>
                <w:sz w:val="20"/>
                <w:szCs w:val="20"/>
                <w:lang w:eastAsia="es-CO"/>
                <w14:ligatures w14:val="none"/>
              </w:rPr>
              <w:t xml:space="preserve">        60.083.817.102 </w:t>
            </w:r>
          </w:p>
        </w:tc>
      </w:tr>
      <w:tr w:rsidR="00ED27A4" w:rsidRPr="00951AB1" w14:paraId="6F45BBA9" w14:textId="77777777" w:rsidTr="00ED27A4">
        <w:trPr>
          <w:trHeight w:val="293"/>
        </w:trPr>
        <w:tc>
          <w:tcPr>
            <w:tcW w:w="763" w:type="pct"/>
            <w:vMerge/>
            <w:vAlign w:val="center"/>
            <w:hideMark/>
          </w:tcPr>
          <w:p w14:paraId="00C369ED" w14:textId="4ED1FA98" w:rsidR="00ED27A4" w:rsidRPr="00951AB1" w:rsidRDefault="00ED27A4" w:rsidP="000A5389">
            <w:pPr>
              <w:spacing w:line="240" w:lineRule="auto"/>
              <w:rPr>
                <w:rFonts w:eastAsia="Times New Roman" w:cs="Times New Roman"/>
                <w:color w:val="000000"/>
                <w:kern w:val="0"/>
                <w:sz w:val="20"/>
                <w:szCs w:val="20"/>
                <w:lang w:eastAsia="es-CO"/>
                <w14:ligatures w14:val="none"/>
              </w:rPr>
            </w:pPr>
          </w:p>
        </w:tc>
        <w:tc>
          <w:tcPr>
            <w:tcW w:w="763" w:type="pct"/>
            <w:vAlign w:val="center"/>
            <w:hideMark/>
          </w:tcPr>
          <w:p w14:paraId="63C3615E" w14:textId="77777777" w:rsidR="00ED27A4" w:rsidRPr="00951AB1" w:rsidRDefault="00ED27A4" w:rsidP="000A5389">
            <w:pPr>
              <w:spacing w:line="240" w:lineRule="auto"/>
              <w:jc w:val="right"/>
              <w:rPr>
                <w:rFonts w:eastAsia="Times New Roman" w:cs="Times New Roman"/>
                <w:color w:val="000000"/>
                <w:kern w:val="0"/>
                <w:sz w:val="20"/>
                <w:szCs w:val="20"/>
                <w:lang w:eastAsia="es-CO"/>
                <w14:ligatures w14:val="none"/>
              </w:rPr>
            </w:pPr>
            <w:r w:rsidRPr="00951AB1">
              <w:rPr>
                <w:rFonts w:eastAsia="Times New Roman" w:cs="Times New Roman"/>
                <w:color w:val="000000"/>
                <w:kern w:val="0"/>
                <w:sz w:val="20"/>
                <w:szCs w:val="20"/>
                <w:lang w:eastAsia="es-CO"/>
                <w14:ligatures w14:val="none"/>
              </w:rPr>
              <w:t>900880846</w:t>
            </w:r>
          </w:p>
        </w:tc>
        <w:tc>
          <w:tcPr>
            <w:tcW w:w="2265" w:type="pct"/>
            <w:vAlign w:val="center"/>
            <w:hideMark/>
          </w:tcPr>
          <w:p w14:paraId="597B3CCC" w14:textId="77777777" w:rsidR="00ED27A4" w:rsidRPr="00951AB1" w:rsidRDefault="00ED27A4" w:rsidP="000A5389">
            <w:pPr>
              <w:spacing w:line="240" w:lineRule="auto"/>
              <w:rPr>
                <w:rFonts w:eastAsia="Times New Roman" w:cs="Times New Roman"/>
                <w:color w:val="000000"/>
                <w:kern w:val="0"/>
                <w:sz w:val="20"/>
                <w:szCs w:val="20"/>
                <w:lang w:eastAsia="es-CO"/>
                <w14:ligatures w14:val="none"/>
              </w:rPr>
            </w:pPr>
            <w:r w:rsidRPr="00951AB1">
              <w:rPr>
                <w:rFonts w:eastAsia="Times New Roman" w:cs="Times New Roman"/>
                <w:color w:val="000000"/>
                <w:kern w:val="0"/>
                <w:sz w:val="20"/>
                <w:szCs w:val="20"/>
                <w:lang w:eastAsia="es-CO"/>
                <w14:ligatures w14:val="none"/>
              </w:rPr>
              <w:t>Concesionaria Vial Unión del Sur S.A.S.</w:t>
            </w:r>
          </w:p>
        </w:tc>
        <w:tc>
          <w:tcPr>
            <w:tcW w:w="1209" w:type="pct"/>
            <w:vAlign w:val="center"/>
            <w:hideMark/>
          </w:tcPr>
          <w:p w14:paraId="67D847C2" w14:textId="77777777" w:rsidR="00ED27A4" w:rsidRPr="00951AB1" w:rsidRDefault="00ED27A4" w:rsidP="000A5389">
            <w:pPr>
              <w:spacing w:line="240" w:lineRule="auto"/>
              <w:jc w:val="right"/>
              <w:rPr>
                <w:rFonts w:eastAsia="Times New Roman" w:cs="Times New Roman"/>
                <w:color w:val="000000"/>
                <w:kern w:val="0"/>
                <w:sz w:val="20"/>
                <w:szCs w:val="20"/>
                <w:lang w:eastAsia="es-CO"/>
                <w14:ligatures w14:val="none"/>
              </w:rPr>
            </w:pPr>
            <w:r w:rsidRPr="00951AB1">
              <w:rPr>
                <w:rFonts w:eastAsia="Times New Roman" w:cs="Times New Roman"/>
                <w:color w:val="000000"/>
                <w:kern w:val="0"/>
                <w:sz w:val="20"/>
                <w:szCs w:val="20"/>
                <w:lang w:eastAsia="es-CO"/>
                <w14:ligatures w14:val="none"/>
              </w:rPr>
              <w:t xml:space="preserve">        58.115.005.785 </w:t>
            </w:r>
          </w:p>
        </w:tc>
      </w:tr>
      <w:tr w:rsidR="00ED27A4" w:rsidRPr="00951AB1" w14:paraId="24BF6692" w14:textId="77777777" w:rsidTr="00ED27A4">
        <w:trPr>
          <w:trHeight w:val="533"/>
        </w:trPr>
        <w:tc>
          <w:tcPr>
            <w:tcW w:w="763" w:type="pct"/>
            <w:vMerge/>
            <w:vAlign w:val="center"/>
            <w:hideMark/>
          </w:tcPr>
          <w:p w14:paraId="613D2898" w14:textId="7B90DA5E" w:rsidR="00ED27A4" w:rsidRPr="00951AB1" w:rsidRDefault="00ED27A4" w:rsidP="000A5389">
            <w:pPr>
              <w:spacing w:line="240" w:lineRule="auto"/>
              <w:rPr>
                <w:rFonts w:eastAsia="Times New Roman" w:cs="Times New Roman"/>
                <w:color w:val="000000"/>
                <w:kern w:val="0"/>
                <w:sz w:val="20"/>
                <w:szCs w:val="20"/>
                <w:lang w:eastAsia="es-CO"/>
                <w14:ligatures w14:val="none"/>
              </w:rPr>
            </w:pPr>
          </w:p>
        </w:tc>
        <w:tc>
          <w:tcPr>
            <w:tcW w:w="763" w:type="pct"/>
            <w:vAlign w:val="center"/>
            <w:hideMark/>
          </w:tcPr>
          <w:p w14:paraId="024B4622" w14:textId="77777777" w:rsidR="00ED27A4" w:rsidRPr="00951AB1" w:rsidRDefault="00ED27A4" w:rsidP="000A5389">
            <w:pPr>
              <w:spacing w:line="240" w:lineRule="auto"/>
              <w:jc w:val="right"/>
              <w:rPr>
                <w:rFonts w:eastAsia="Times New Roman" w:cs="Times New Roman"/>
                <w:color w:val="000000"/>
                <w:kern w:val="0"/>
                <w:sz w:val="20"/>
                <w:szCs w:val="20"/>
                <w:lang w:eastAsia="es-CO"/>
                <w14:ligatures w14:val="none"/>
              </w:rPr>
            </w:pPr>
            <w:r w:rsidRPr="00951AB1">
              <w:rPr>
                <w:rFonts w:eastAsia="Times New Roman" w:cs="Times New Roman"/>
                <w:color w:val="000000"/>
                <w:kern w:val="0"/>
                <w:sz w:val="20"/>
                <w:szCs w:val="20"/>
                <w:lang w:eastAsia="es-CO"/>
                <w14:ligatures w14:val="none"/>
              </w:rPr>
              <w:t>900373092</w:t>
            </w:r>
          </w:p>
        </w:tc>
        <w:tc>
          <w:tcPr>
            <w:tcW w:w="2265" w:type="pct"/>
            <w:vAlign w:val="center"/>
            <w:hideMark/>
          </w:tcPr>
          <w:p w14:paraId="1CCE43F2" w14:textId="77777777" w:rsidR="00ED27A4" w:rsidRPr="00951AB1" w:rsidRDefault="00ED27A4" w:rsidP="000A5389">
            <w:pPr>
              <w:spacing w:line="240" w:lineRule="auto"/>
              <w:rPr>
                <w:rFonts w:eastAsia="Times New Roman" w:cs="Times New Roman"/>
                <w:color w:val="000000"/>
                <w:kern w:val="0"/>
                <w:sz w:val="20"/>
                <w:szCs w:val="20"/>
                <w:lang w:eastAsia="es-CO"/>
                <w14:ligatures w14:val="none"/>
              </w:rPr>
            </w:pPr>
            <w:r w:rsidRPr="00951AB1">
              <w:rPr>
                <w:rFonts w:eastAsia="Times New Roman" w:cs="Times New Roman"/>
                <w:color w:val="000000"/>
                <w:kern w:val="0"/>
                <w:sz w:val="20"/>
                <w:szCs w:val="20"/>
                <w:lang w:eastAsia="es-CO"/>
                <w14:ligatures w14:val="none"/>
              </w:rPr>
              <w:t>Yuma Concesionaria S A - En Reorganizacion</w:t>
            </w:r>
          </w:p>
        </w:tc>
        <w:tc>
          <w:tcPr>
            <w:tcW w:w="1209" w:type="pct"/>
            <w:vAlign w:val="center"/>
            <w:hideMark/>
          </w:tcPr>
          <w:p w14:paraId="30115A3B" w14:textId="77777777" w:rsidR="00ED27A4" w:rsidRPr="00951AB1" w:rsidRDefault="00ED27A4" w:rsidP="000A5389">
            <w:pPr>
              <w:spacing w:line="240" w:lineRule="auto"/>
              <w:jc w:val="right"/>
              <w:rPr>
                <w:rFonts w:eastAsia="Times New Roman" w:cs="Times New Roman"/>
                <w:color w:val="000000"/>
                <w:kern w:val="0"/>
                <w:sz w:val="20"/>
                <w:szCs w:val="20"/>
                <w:lang w:eastAsia="es-CO"/>
                <w14:ligatures w14:val="none"/>
              </w:rPr>
            </w:pPr>
            <w:r w:rsidRPr="00951AB1">
              <w:rPr>
                <w:rFonts w:eastAsia="Times New Roman" w:cs="Times New Roman"/>
                <w:color w:val="000000"/>
                <w:kern w:val="0"/>
                <w:sz w:val="20"/>
                <w:szCs w:val="20"/>
                <w:lang w:eastAsia="es-CO"/>
                <w14:ligatures w14:val="none"/>
              </w:rPr>
              <w:t xml:space="preserve">        53.840.835.363 </w:t>
            </w:r>
          </w:p>
        </w:tc>
      </w:tr>
      <w:tr w:rsidR="00ED27A4" w:rsidRPr="00951AB1" w14:paraId="2099C4B2" w14:textId="77777777" w:rsidTr="00ED27A4">
        <w:trPr>
          <w:trHeight w:val="293"/>
        </w:trPr>
        <w:tc>
          <w:tcPr>
            <w:tcW w:w="763" w:type="pct"/>
            <w:vMerge/>
            <w:vAlign w:val="center"/>
            <w:hideMark/>
          </w:tcPr>
          <w:p w14:paraId="5DCEC069" w14:textId="24C9AA41" w:rsidR="00ED27A4" w:rsidRPr="00951AB1" w:rsidRDefault="00ED27A4" w:rsidP="000A5389">
            <w:pPr>
              <w:spacing w:line="240" w:lineRule="auto"/>
              <w:rPr>
                <w:rFonts w:eastAsia="Times New Roman" w:cs="Times New Roman"/>
                <w:color w:val="000000"/>
                <w:kern w:val="0"/>
                <w:sz w:val="20"/>
                <w:szCs w:val="20"/>
                <w:lang w:eastAsia="es-CO"/>
                <w14:ligatures w14:val="none"/>
              </w:rPr>
            </w:pPr>
          </w:p>
        </w:tc>
        <w:tc>
          <w:tcPr>
            <w:tcW w:w="763" w:type="pct"/>
            <w:vAlign w:val="center"/>
            <w:hideMark/>
          </w:tcPr>
          <w:p w14:paraId="5FB86006" w14:textId="77777777" w:rsidR="00ED27A4" w:rsidRPr="00951AB1" w:rsidRDefault="00ED27A4" w:rsidP="000A5389">
            <w:pPr>
              <w:spacing w:line="240" w:lineRule="auto"/>
              <w:jc w:val="right"/>
              <w:rPr>
                <w:rFonts w:eastAsia="Times New Roman" w:cs="Times New Roman"/>
                <w:color w:val="000000"/>
                <w:kern w:val="0"/>
                <w:sz w:val="20"/>
                <w:szCs w:val="20"/>
                <w:lang w:eastAsia="es-CO"/>
                <w14:ligatures w14:val="none"/>
              </w:rPr>
            </w:pPr>
            <w:r w:rsidRPr="00951AB1">
              <w:rPr>
                <w:rFonts w:eastAsia="Times New Roman" w:cs="Times New Roman"/>
                <w:color w:val="000000"/>
                <w:kern w:val="0"/>
                <w:sz w:val="20"/>
                <w:szCs w:val="20"/>
                <w:lang w:eastAsia="es-CO"/>
                <w14:ligatures w14:val="none"/>
              </w:rPr>
              <w:t>901371481</w:t>
            </w:r>
          </w:p>
        </w:tc>
        <w:tc>
          <w:tcPr>
            <w:tcW w:w="2265" w:type="pct"/>
            <w:vAlign w:val="center"/>
            <w:hideMark/>
          </w:tcPr>
          <w:p w14:paraId="3F48A4E4" w14:textId="77777777" w:rsidR="00ED27A4" w:rsidRPr="00951AB1" w:rsidRDefault="00ED27A4" w:rsidP="000A5389">
            <w:pPr>
              <w:spacing w:line="240" w:lineRule="auto"/>
              <w:rPr>
                <w:rFonts w:eastAsia="Times New Roman" w:cs="Times New Roman"/>
                <w:color w:val="000000"/>
                <w:kern w:val="0"/>
                <w:sz w:val="20"/>
                <w:szCs w:val="20"/>
                <w:lang w:eastAsia="es-CO"/>
                <w14:ligatures w14:val="none"/>
              </w:rPr>
            </w:pPr>
            <w:r w:rsidRPr="00951AB1">
              <w:rPr>
                <w:rFonts w:eastAsia="Times New Roman" w:cs="Times New Roman"/>
                <w:color w:val="000000"/>
                <w:kern w:val="0"/>
                <w:sz w:val="20"/>
                <w:szCs w:val="20"/>
                <w:lang w:eastAsia="es-CO"/>
                <w14:ligatures w14:val="none"/>
              </w:rPr>
              <w:t>BTS Concesionario S.A.S.</w:t>
            </w:r>
          </w:p>
        </w:tc>
        <w:tc>
          <w:tcPr>
            <w:tcW w:w="1209" w:type="pct"/>
            <w:vAlign w:val="center"/>
            <w:hideMark/>
          </w:tcPr>
          <w:p w14:paraId="60EA8915" w14:textId="77777777" w:rsidR="00ED27A4" w:rsidRPr="00951AB1" w:rsidRDefault="00ED27A4" w:rsidP="000A5389">
            <w:pPr>
              <w:spacing w:line="240" w:lineRule="auto"/>
              <w:jc w:val="right"/>
              <w:rPr>
                <w:rFonts w:eastAsia="Times New Roman" w:cs="Times New Roman"/>
                <w:color w:val="000000"/>
                <w:kern w:val="0"/>
                <w:sz w:val="20"/>
                <w:szCs w:val="20"/>
                <w:lang w:eastAsia="es-CO"/>
                <w14:ligatures w14:val="none"/>
              </w:rPr>
            </w:pPr>
            <w:r w:rsidRPr="00951AB1">
              <w:rPr>
                <w:rFonts w:eastAsia="Times New Roman" w:cs="Times New Roman"/>
                <w:color w:val="000000"/>
                <w:kern w:val="0"/>
                <w:sz w:val="20"/>
                <w:szCs w:val="20"/>
                <w:lang w:eastAsia="es-CO"/>
                <w14:ligatures w14:val="none"/>
              </w:rPr>
              <w:t xml:space="preserve">        51.954.518.343 </w:t>
            </w:r>
          </w:p>
        </w:tc>
      </w:tr>
      <w:tr w:rsidR="00ED27A4" w:rsidRPr="00951AB1" w14:paraId="52C1C0D1" w14:textId="77777777" w:rsidTr="00ED27A4">
        <w:trPr>
          <w:trHeight w:val="293"/>
        </w:trPr>
        <w:tc>
          <w:tcPr>
            <w:tcW w:w="763" w:type="pct"/>
            <w:vMerge/>
            <w:vAlign w:val="center"/>
            <w:hideMark/>
          </w:tcPr>
          <w:p w14:paraId="461BA0E1" w14:textId="61665BB3" w:rsidR="00ED27A4" w:rsidRPr="00951AB1" w:rsidRDefault="00ED27A4" w:rsidP="000A5389">
            <w:pPr>
              <w:spacing w:line="240" w:lineRule="auto"/>
              <w:rPr>
                <w:rFonts w:eastAsia="Times New Roman" w:cs="Times New Roman"/>
                <w:color w:val="000000"/>
                <w:kern w:val="0"/>
                <w:sz w:val="20"/>
                <w:szCs w:val="20"/>
                <w:lang w:eastAsia="es-CO"/>
                <w14:ligatures w14:val="none"/>
              </w:rPr>
            </w:pPr>
          </w:p>
        </w:tc>
        <w:tc>
          <w:tcPr>
            <w:tcW w:w="763" w:type="pct"/>
            <w:vAlign w:val="center"/>
            <w:hideMark/>
          </w:tcPr>
          <w:p w14:paraId="2CF7A4C4" w14:textId="77777777" w:rsidR="00ED27A4" w:rsidRPr="00951AB1" w:rsidRDefault="00ED27A4" w:rsidP="000A5389">
            <w:pPr>
              <w:spacing w:line="240" w:lineRule="auto"/>
              <w:jc w:val="right"/>
              <w:rPr>
                <w:rFonts w:eastAsia="Times New Roman" w:cs="Times New Roman"/>
                <w:color w:val="000000"/>
                <w:kern w:val="0"/>
                <w:sz w:val="20"/>
                <w:szCs w:val="20"/>
                <w:lang w:eastAsia="es-CO"/>
                <w14:ligatures w14:val="none"/>
              </w:rPr>
            </w:pPr>
            <w:r w:rsidRPr="00951AB1">
              <w:rPr>
                <w:rFonts w:eastAsia="Times New Roman" w:cs="Times New Roman"/>
                <w:color w:val="000000"/>
                <w:kern w:val="0"/>
                <w:sz w:val="20"/>
                <w:szCs w:val="20"/>
                <w:lang w:eastAsia="es-CO"/>
                <w14:ligatures w14:val="none"/>
              </w:rPr>
              <w:t>900920562</w:t>
            </w:r>
          </w:p>
        </w:tc>
        <w:tc>
          <w:tcPr>
            <w:tcW w:w="2265" w:type="pct"/>
            <w:vAlign w:val="center"/>
            <w:hideMark/>
          </w:tcPr>
          <w:p w14:paraId="3378C28E" w14:textId="77777777" w:rsidR="00ED27A4" w:rsidRPr="00951AB1" w:rsidRDefault="00ED27A4" w:rsidP="000A5389">
            <w:pPr>
              <w:spacing w:line="240" w:lineRule="auto"/>
              <w:rPr>
                <w:rFonts w:eastAsia="Times New Roman" w:cs="Times New Roman"/>
                <w:color w:val="000000"/>
                <w:kern w:val="0"/>
                <w:sz w:val="20"/>
                <w:szCs w:val="20"/>
                <w:lang w:eastAsia="es-CO"/>
                <w14:ligatures w14:val="none"/>
              </w:rPr>
            </w:pPr>
            <w:r w:rsidRPr="00951AB1">
              <w:rPr>
                <w:rFonts w:eastAsia="Times New Roman" w:cs="Times New Roman"/>
                <w:color w:val="000000"/>
                <w:kern w:val="0"/>
                <w:sz w:val="20"/>
                <w:szCs w:val="20"/>
                <w:lang w:eastAsia="es-CO"/>
                <w14:ligatures w14:val="none"/>
              </w:rPr>
              <w:t>Concesión Vías del Nus S.A.S</w:t>
            </w:r>
          </w:p>
        </w:tc>
        <w:tc>
          <w:tcPr>
            <w:tcW w:w="1209" w:type="pct"/>
            <w:vAlign w:val="center"/>
            <w:hideMark/>
          </w:tcPr>
          <w:p w14:paraId="3ACC82C6" w14:textId="77777777" w:rsidR="00ED27A4" w:rsidRPr="00951AB1" w:rsidRDefault="00ED27A4" w:rsidP="000A5389">
            <w:pPr>
              <w:spacing w:line="240" w:lineRule="auto"/>
              <w:jc w:val="right"/>
              <w:rPr>
                <w:rFonts w:eastAsia="Times New Roman" w:cs="Times New Roman"/>
                <w:color w:val="000000"/>
                <w:kern w:val="0"/>
                <w:sz w:val="20"/>
                <w:szCs w:val="20"/>
                <w:lang w:eastAsia="es-CO"/>
                <w14:ligatures w14:val="none"/>
              </w:rPr>
            </w:pPr>
            <w:r w:rsidRPr="00951AB1">
              <w:rPr>
                <w:rFonts w:eastAsia="Times New Roman" w:cs="Times New Roman"/>
                <w:color w:val="000000"/>
                <w:kern w:val="0"/>
                <w:sz w:val="20"/>
                <w:szCs w:val="20"/>
                <w:lang w:eastAsia="es-CO"/>
                <w14:ligatures w14:val="none"/>
              </w:rPr>
              <w:t xml:space="preserve">        51.106.582.847 </w:t>
            </w:r>
          </w:p>
        </w:tc>
      </w:tr>
      <w:tr w:rsidR="00ED27A4" w:rsidRPr="00951AB1" w14:paraId="04533CF8" w14:textId="77777777" w:rsidTr="00ED27A4">
        <w:trPr>
          <w:trHeight w:val="293"/>
        </w:trPr>
        <w:tc>
          <w:tcPr>
            <w:tcW w:w="763" w:type="pct"/>
            <w:vMerge/>
            <w:vAlign w:val="center"/>
            <w:hideMark/>
          </w:tcPr>
          <w:p w14:paraId="6E0EF86D" w14:textId="0613FAA9" w:rsidR="00ED27A4" w:rsidRPr="00951AB1" w:rsidRDefault="00ED27A4" w:rsidP="000A5389">
            <w:pPr>
              <w:spacing w:line="240" w:lineRule="auto"/>
              <w:rPr>
                <w:rFonts w:eastAsia="Times New Roman" w:cs="Times New Roman"/>
                <w:color w:val="000000"/>
                <w:kern w:val="0"/>
                <w:sz w:val="20"/>
                <w:szCs w:val="20"/>
                <w:lang w:eastAsia="es-CO"/>
                <w14:ligatures w14:val="none"/>
              </w:rPr>
            </w:pPr>
          </w:p>
        </w:tc>
        <w:tc>
          <w:tcPr>
            <w:tcW w:w="763" w:type="pct"/>
            <w:vAlign w:val="center"/>
            <w:hideMark/>
          </w:tcPr>
          <w:p w14:paraId="4F5D5A05" w14:textId="77777777" w:rsidR="00ED27A4" w:rsidRPr="00951AB1" w:rsidRDefault="00ED27A4" w:rsidP="000A5389">
            <w:pPr>
              <w:spacing w:line="240" w:lineRule="auto"/>
              <w:jc w:val="right"/>
              <w:rPr>
                <w:rFonts w:eastAsia="Times New Roman" w:cs="Times New Roman"/>
                <w:color w:val="000000"/>
                <w:kern w:val="0"/>
                <w:sz w:val="20"/>
                <w:szCs w:val="20"/>
                <w:lang w:eastAsia="es-CO"/>
                <w14:ligatures w14:val="none"/>
              </w:rPr>
            </w:pPr>
            <w:r w:rsidRPr="00951AB1">
              <w:rPr>
                <w:rFonts w:eastAsia="Times New Roman" w:cs="Times New Roman"/>
                <w:color w:val="000000"/>
                <w:kern w:val="0"/>
                <w:sz w:val="20"/>
                <w:szCs w:val="20"/>
                <w:lang w:eastAsia="es-CO"/>
                <w14:ligatures w14:val="none"/>
              </w:rPr>
              <w:t>900903279</w:t>
            </w:r>
          </w:p>
        </w:tc>
        <w:tc>
          <w:tcPr>
            <w:tcW w:w="2265" w:type="pct"/>
            <w:vAlign w:val="center"/>
            <w:hideMark/>
          </w:tcPr>
          <w:p w14:paraId="4B53455C" w14:textId="77777777" w:rsidR="00ED27A4" w:rsidRPr="00951AB1" w:rsidRDefault="00ED27A4" w:rsidP="000A5389">
            <w:pPr>
              <w:spacing w:line="240" w:lineRule="auto"/>
              <w:rPr>
                <w:rFonts w:eastAsia="Times New Roman" w:cs="Times New Roman"/>
                <w:color w:val="000000"/>
                <w:kern w:val="0"/>
                <w:sz w:val="20"/>
                <w:szCs w:val="20"/>
                <w:lang w:eastAsia="es-CO"/>
                <w14:ligatures w14:val="none"/>
              </w:rPr>
            </w:pPr>
            <w:r w:rsidRPr="00951AB1">
              <w:rPr>
                <w:rFonts w:eastAsia="Times New Roman" w:cs="Times New Roman"/>
                <w:color w:val="000000"/>
                <w:kern w:val="0"/>
                <w:sz w:val="20"/>
                <w:szCs w:val="20"/>
                <w:lang w:eastAsia="es-CO"/>
                <w14:ligatures w14:val="none"/>
              </w:rPr>
              <w:t>Autovía Neiva Girardot S.A.S</w:t>
            </w:r>
          </w:p>
        </w:tc>
        <w:tc>
          <w:tcPr>
            <w:tcW w:w="1209" w:type="pct"/>
            <w:vAlign w:val="center"/>
            <w:hideMark/>
          </w:tcPr>
          <w:p w14:paraId="5498C891" w14:textId="77777777" w:rsidR="00ED27A4" w:rsidRPr="00951AB1" w:rsidRDefault="00ED27A4" w:rsidP="000A5389">
            <w:pPr>
              <w:spacing w:line="240" w:lineRule="auto"/>
              <w:jc w:val="right"/>
              <w:rPr>
                <w:rFonts w:eastAsia="Times New Roman" w:cs="Times New Roman"/>
                <w:color w:val="000000"/>
                <w:kern w:val="0"/>
                <w:sz w:val="20"/>
                <w:szCs w:val="20"/>
                <w:lang w:eastAsia="es-CO"/>
                <w14:ligatures w14:val="none"/>
              </w:rPr>
            </w:pPr>
            <w:r w:rsidRPr="00951AB1">
              <w:rPr>
                <w:rFonts w:eastAsia="Times New Roman" w:cs="Times New Roman"/>
                <w:color w:val="000000"/>
                <w:kern w:val="0"/>
                <w:sz w:val="20"/>
                <w:szCs w:val="20"/>
                <w:lang w:eastAsia="es-CO"/>
                <w14:ligatures w14:val="none"/>
              </w:rPr>
              <w:t xml:space="preserve">        46.863.434.174 </w:t>
            </w:r>
          </w:p>
        </w:tc>
      </w:tr>
      <w:tr w:rsidR="00ED27A4" w:rsidRPr="00951AB1" w14:paraId="56FF3C63" w14:textId="77777777" w:rsidTr="00ED27A4">
        <w:trPr>
          <w:trHeight w:val="293"/>
        </w:trPr>
        <w:tc>
          <w:tcPr>
            <w:tcW w:w="763" w:type="pct"/>
            <w:vMerge/>
            <w:vAlign w:val="center"/>
            <w:hideMark/>
          </w:tcPr>
          <w:p w14:paraId="0856A4DA" w14:textId="388A1785" w:rsidR="00ED27A4" w:rsidRPr="00951AB1" w:rsidRDefault="00ED27A4" w:rsidP="000A5389">
            <w:pPr>
              <w:spacing w:line="240" w:lineRule="auto"/>
              <w:rPr>
                <w:rFonts w:eastAsia="Times New Roman" w:cs="Times New Roman"/>
                <w:color w:val="000000"/>
                <w:kern w:val="0"/>
                <w:sz w:val="20"/>
                <w:szCs w:val="20"/>
                <w:lang w:eastAsia="es-CO"/>
                <w14:ligatures w14:val="none"/>
              </w:rPr>
            </w:pPr>
          </w:p>
        </w:tc>
        <w:tc>
          <w:tcPr>
            <w:tcW w:w="763" w:type="pct"/>
            <w:vAlign w:val="center"/>
            <w:hideMark/>
          </w:tcPr>
          <w:p w14:paraId="7EFEFFDB" w14:textId="77777777" w:rsidR="00ED27A4" w:rsidRPr="00951AB1" w:rsidRDefault="00ED27A4" w:rsidP="000A5389">
            <w:pPr>
              <w:spacing w:line="240" w:lineRule="auto"/>
              <w:jc w:val="right"/>
              <w:rPr>
                <w:rFonts w:eastAsia="Times New Roman" w:cs="Times New Roman"/>
                <w:color w:val="000000"/>
                <w:kern w:val="0"/>
                <w:sz w:val="20"/>
                <w:szCs w:val="20"/>
                <w:lang w:eastAsia="es-CO"/>
                <w14:ligatures w14:val="none"/>
              </w:rPr>
            </w:pPr>
            <w:r w:rsidRPr="00951AB1">
              <w:rPr>
                <w:rFonts w:eastAsia="Times New Roman" w:cs="Times New Roman"/>
                <w:color w:val="000000"/>
                <w:kern w:val="0"/>
                <w:sz w:val="20"/>
                <w:szCs w:val="20"/>
                <w:lang w:eastAsia="es-CO"/>
                <w14:ligatures w14:val="none"/>
              </w:rPr>
              <w:t>900788548</w:t>
            </w:r>
          </w:p>
        </w:tc>
        <w:tc>
          <w:tcPr>
            <w:tcW w:w="2265" w:type="pct"/>
            <w:vAlign w:val="center"/>
            <w:hideMark/>
          </w:tcPr>
          <w:p w14:paraId="17AA6B66" w14:textId="77777777" w:rsidR="00ED27A4" w:rsidRPr="00951AB1" w:rsidRDefault="00ED27A4" w:rsidP="000A5389">
            <w:pPr>
              <w:spacing w:line="240" w:lineRule="auto"/>
              <w:rPr>
                <w:rFonts w:eastAsia="Times New Roman" w:cs="Times New Roman"/>
                <w:color w:val="000000"/>
                <w:kern w:val="0"/>
                <w:sz w:val="20"/>
                <w:szCs w:val="20"/>
                <w:lang w:eastAsia="es-CO"/>
                <w14:ligatures w14:val="none"/>
              </w:rPr>
            </w:pPr>
            <w:r w:rsidRPr="00951AB1">
              <w:rPr>
                <w:rFonts w:eastAsia="Times New Roman" w:cs="Times New Roman"/>
                <w:color w:val="000000"/>
                <w:kern w:val="0"/>
                <w:sz w:val="20"/>
                <w:szCs w:val="20"/>
                <w:lang w:eastAsia="es-CO"/>
                <w14:ligatures w14:val="none"/>
              </w:rPr>
              <w:t>Autopista Rio Magdalena S A S</w:t>
            </w:r>
          </w:p>
        </w:tc>
        <w:tc>
          <w:tcPr>
            <w:tcW w:w="1209" w:type="pct"/>
            <w:vAlign w:val="center"/>
            <w:hideMark/>
          </w:tcPr>
          <w:p w14:paraId="7FE6DED3" w14:textId="77777777" w:rsidR="00ED27A4" w:rsidRPr="00951AB1" w:rsidRDefault="00ED27A4" w:rsidP="000A5389">
            <w:pPr>
              <w:spacing w:line="240" w:lineRule="auto"/>
              <w:jc w:val="right"/>
              <w:rPr>
                <w:rFonts w:eastAsia="Times New Roman" w:cs="Times New Roman"/>
                <w:color w:val="000000"/>
                <w:kern w:val="0"/>
                <w:sz w:val="20"/>
                <w:szCs w:val="20"/>
                <w:lang w:eastAsia="es-CO"/>
                <w14:ligatures w14:val="none"/>
              </w:rPr>
            </w:pPr>
            <w:r w:rsidRPr="00951AB1">
              <w:rPr>
                <w:rFonts w:eastAsia="Times New Roman" w:cs="Times New Roman"/>
                <w:color w:val="000000"/>
                <w:kern w:val="0"/>
                <w:sz w:val="20"/>
                <w:szCs w:val="20"/>
                <w:lang w:eastAsia="es-CO"/>
                <w14:ligatures w14:val="none"/>
              </w:rPr>
              <w:t xml:space="preserve">        44.760.990.591 </w:t>
            </w:r>
          </w:p>
        </w:tc>
      </w:tr>
      <w:tr w:rsidR="00ED27A4" w:rsidRPr="00951AB1" w14:paraId="5E37AE0F" w14:textId="77777777" w:rsidTr="00ED27A4">
        <w:trPr>
          <w:trHeight w:val="293"/>
        </w:trPr>
        <w:tc>
          <w:tcPr>
            <w:tcW w:w="763" w:type="pct"/>
            <w:vMerge/>
            <w:vAlign w:val="center"/>
            <w:hideMark/>
          </w:tcPr>
          <w:p w14:paraId="18BC85FF" w14:textId="638B661B" w:rsidR="00ED27A4" w:rsidRPr="00951AB1" w:rsidRDefault="00ED27A4" w:rsidP="000A5389">
            <w:pPr>
              <w:spacing w:line="240" w:lineRule="auto"/>
              <w:rPr>
                <w:rFonts w:eastAsia="Times New Roman" w:cs="Times New Roman"/>
                <w:color w:val="000000"/>
                <w:kern w:val="0"/>
                <w:sz w:val="20"/>
                <w:szCs w:val="20"/>
                <w:lang w:eastAsia="es-CO"/>
                <w14:ligatures w14:val="none"/>
              </w:rPr>
            </w:pPr>
          </w:p>
        </w:tc>
        <w:tc>
          <w:tcPr>
            <w:tcW w:w="763" w:type="pct"/>
            <w:vAlign w:val="center"/>
            <w:hideMark/>
          </w:tcPr>
          <w:p w14:paraId="136D4DEC" w14:textId="77777777" w:rsidR="00ED27A4" w:rsidRPr="00951AB1" w:rsidRDefault="00ED27A4" w:rsidP="000A5389">
            <w:pPr>
              <w:spacing w:line="240" w:lineRule="auto"/>
              <w:jc w:val="right"/>
              <w:rPr>
                <w:rFonts w:eastAsia="Times New Roman" w:cs="Times New Roman"/>
                <w:color w:val="000000"/>
                <w:kern w:val="0"/>
                <w:sz w:val="20"/>
                <w:szCs w:val="20"/>
                <w:lang w:eastAsia="es-CO"/>
                <w14:ligatures w14:val="none"/>
              </w:rPr>
            </w:pPr>
            <w:r w:rsidRPr="00951AB1">
              <w:rPr>
                <w:rFonts w:eastAsia="Times New Roman" w:cs="Times New Roman"/>
                <w:color w:val="000000"/>
                <w:kern w:val="0"/>
                <w:sz w:val="20"/>
                <w:szCs w:val="20"/>
                <w:lang w:eastAsia="es-CO"/>
                <w14:ligatures w14:val="none"/>
              </w:rPr>
              <w:t>900763357</w:t>
            </w:r>
          </w:p>
        </w:tc>
        <w:tc>
          <w:tcPr>
            <w:tcW w:w="2265" w:type="pct"/>
            <w:vAlign w:val="center"/>
            <w:hideMark/>
          </w:tcPr>
          <w:p w14:paraId="635318BF" w14:textId="77777777" w:rsidR="00ED27A4" w:rsidRPr="00951AB1" w:rsidRDefault="00ED27A4" w:rsidP="000A5389">
            <w:pPr>
              <w:spacing w:line="240" w:lineRule="auto"/>
              <w:rPr>
                <w:rFonts w:eastAsia="Times New Roman" w:cs="Times New Roman"/>
                <w:color w:val="000000"/>
                <w:kern w:val="0"/>
                <w:sz w:val="20"/>
                <w:szCs w:val="20"/>
                <w:lang w:eastAsia="es-CO"/>
                <w14:ligatures w14:val="none"/>
              </w:rPr>
            </w:pPr>
            <w:r w:rsidRPr="00951AB1">
              <w:rPr>
                <w:rFonts w:eastAsia="Times New Roman" w:cs="Times New Roman"/>
                <w:color w:val="000000"/>
                <w:kern w:val="0"/>
                <w:sz w:val="20"/>
                <w:szCs w:val="20"/>
                <w:lang w:eastAsia="es-CO"/>
                <w14:ligatures w14:val="none"/>
              </w:rPr>
              <w:t>Concesión Pacifico Tres S.A.S.</w:t>
            </w:r>
          </w:p>
        </w:tc>
        <w:tc>
          <w:tcPr>
            <w:tcW w:w="1209" w:type="pct"/>
            <w:vAlign w:val="center"/>
            <w:hideMark/>
          </w:tcPr>
          <w:p w14:paraId="05E93234" w14:textId="77777777" w:rsidR="00ED27A4" w:rsidRPr="00951AB1" w:rsidRDefault="00ED27A4" w:rsidP="000A5389">
            <w:pPr>
              <w:spacing w:line="240" w:lineRule="auto"/>
              <w:jc w:val="right"/>
              <w:rPr>
                <w:rFonts w:eastAsia="Times New Roman" w:cs="Times New Roman"/>
                <w:color w:val="000000"/>
                <w:kern w:val="0"/>
                <w:sz w:val="20"/>
                <w:szCs w:val="20"/>
                <w:lang w:eastAsia="es-CO"/>
                <w14:ligatures w14:val="none"/>
              </w:rPr>
            </w:pPr>
            <w:r w:rsidRPr="00951AB1">
              <w:rPr>
                <w:rFonts w:eastAsia="Times New Roman" w:cs="Times New Roman"/>
                <w:color w:val="000000"/>
                <w:kern w:val="0"/>
                <w:sz w:val="20"/>
                <w:szCs w:val="20"/>
                <w:lang w:eastAsia="es-CO"/>
                <w14:ligatures w14:val="none"/>
              </w:rPr>
              <w:t xml:space="preserve">        41.574.194.594 </w:t>
            </w:r>
          </w:p>
        </w:tc>
      </w:tr>
      <w:tr w:rsidR="00ED27A4" w:rsidRPr="00951AB1" w14:paraId="42C7B8EB" w14:textId="77777777" w:rsidTr="00ED27A4">
        <w:trPr>
          <w:trHeight w:val="293"/>
        </w:trPr>
        <w:tc>
          <w:tcPr>
            <w:tcW w:w="763" w:type="pct"/>
            <w:vMerge/>
            <w:vAlign w:val="center"/>
            <w:hideMark/>
          </w:tcPr>
          <w:p w14:paraId="191D65FF" w14:textId="5A94F3F4" w:rsidR="00ED27A4" w:rsidRPr="00951AB1" w:rsidRDefault="00ED27A4" w:rsidP="000A5389">
            <w:pPr>
              <w:spacing w:line="240" w:lineRule="auto"/>
              <w:rPr>
                <w:rFonts w:eastAsia="Times New Roman" w:cs="Times New Roman"/>
                <w:color w:val="000000"/>
                <w:kern w:val="0"/>
                <w:sz w:val="20"/>
                <w:szCs w:val="20"/>
                <w:lang w:eastAsia="es-CO"/>
                <w14:ligatures w14:val="none"/>
              </w:rPr>
            </w:pPr>
          </w:p>
        </w:tc>
        <w:tc>
          <w:tcPr>
            <w:tcW w:w="763" w:type="pct"/>
            <w:vAlign w:val="center"/>
            <w:hideMark/>
          </w:tcPr>
          <w:p w14:paraId="17DE945F" w14:textId="77777777" w:rsidR="00ED27A4" w:rsidRPr="00951AB1" w:rsidRDefault="00ED27A4" w:rsidP="000A5389">
            <w:pPr>
              <w:spacing w:line="240" w:lineRule="auto"/>
              <w:jc w:val="right"/>
              <w:rPr>
                <w:rFonts w:eastAsia="Times New Roman" w:cs="Times New Roman"/>
                <w:color w:val="000000"/>
                <w:kern w:val="0"/>
                <w:sz w:val="20"/>
                <w:szCs w:val="20"/>
                <w:lang w:eastAsia="es-CO"/>
                <w14:ligatures w14:val="none"/>
              </w:rPr>
            </w:pPr>
            <w:r w:rsidRPr="00951AB1">
              <w:rPr>
                <w:rFonts w:eastAsia="Times New Roman" w:cs="Times New Roman"/>
                <w:color w:val="000000"/>
                <w:kern w:val="0"/>
                <w:sz w:val="20"/>
                <w:szCs w:val="20"/>
                <w:lang w:eastAsia="es-CO"/>
                <w14:ligatures w14:val="none"/>
              </w:rPr>
              <w:t>901482899</w:t>
            </w:r>
          </w:p>
        </w:tc>
        <w:tc>
          <w:tcPr>
            <w:tcW w:w="2265" w:type="pct"/>
            <w:vAlign w:val="center"/>
            <w:hideMark/>
          </w:tcPr>
          <w:p w14:paraId="50EEC4D8" w14:textId="77777777" w:rsidR="00ED27A4" w:rsidRPr="00951AB1" w:rsidRDefault="00ED27A4" w:rsidP="000A5389">
            <w:pPr>
              <w:spacing w:line="240" w:lineRule="auto"/>
              <w:rPr>
                <w:rFonts w:eastAsia="Times New Roman" w:cs="Times New Roman"/>
                <w:color w:val="000000"/>
                <w:kern w:val="0"/>
                <w:sz w:val="20"/>
                <w:szCs w:val="20"/>
                <w:lang w:eastAsia="es-CO"/>
                <w14:ligatures w14:val="none"/>
              </w:rPr>
            </w:pPr>
            <w:r w:rsidRPr="00951AB1">
              <w:rPr>
                <w:rFonts w:eastAsia="Times New Roman" w:cs="Times New Roman"/>
                <w:color w:val="000000"/>
                <w:kern w:val="0"/>
                <w:sz w:val="20"/>
                <w:szCs w:val="20"/>
                <w:lang w:eastAsia="es-CO"/>
                <w14:ligatures w14:val="none"/>
              </w:rPr>
              <w:t>Concesionaria Ruta al Sur S.A.S.</w:t>
            </w:r>
          </w:p>
        </w:tc>
        <w:tc>
          <w:tcPr>
            <w:tcW w:w="1209" w:type="pct"/>
            <w:vAlign w:val="center"/>
            <w:hideMark/>
          </w:tcPr>
          <w:p w14:paraId="7302857B" w14:textId="77777777" w:rsidR="00ED27A4" w:rsidRPr="00951AB1" w:rsidRDefault="00ED27A4" w:rsidP="000A5389">
            <w:pPr>
              <w:spacing w:line="240" w:lineRule="auto"/>
              <w:jc w:val="right"/>
              <w:rPr>
                <w:rFonts w:eastAsia="Times New Roman" w:cs="Times New Roman"/>
                <w:color w:val="000000"/>
                <w:kern w:val="0"/>
                <w:sz w:val="20"/>
                <w:szCs w:val="20"/>
                <w:lang w:eastAsia="es-CO"/>
                <w14:ligatures w14:val="none"/>
              </w:rPr>
            </w:pPr>
            <w:r w:rsidRPr="00951AB1">
              <w:rPr>
                <w:rFonts w:eastAsia="Times New Roman" w:cs="Times New Roman"/>
                <w:color w:val="000000"/>
                <w:kern w:val="0"/>
                <w:sz w:val="20"/>
                <w:szCs w:val="20"/>
                <w:lang w:eastAsia="es-CO"/>
                <w14:ligatures w14:val="none"/>
              </w:rPr>
              <w:t xml:space="preserve">        40.887.135.967 </w:t>
            </w:r>
          </w:p>
        </w:tc>
      </w:tr>
      <w:tr w:rsidR="00ED27A4" w:rsidRPr="00951AB1" w14:paraId="340B26E5" w14:textId="77777777" w:rsidTr="00ED27A4">
        <w:trPr>
          <w:trHeight w:val="293"/>
        </w:trPr>
        <w:tc>
          <w:tcPr>
            <w:tcW w:w="763" w:type="pct"/>
            <w:vMerge/>
            <w:vAlign w:val="center"/>
            <w:hideMark/>
          </w:tcPr>
          <w:p w14:paraId="030DE551" w14:textId="7FB844C2" w:rsidR="00ED27A4" w:rsidRPr="00951AB1" w:rsidRDefault="00ED27A4" w:rsidP="000A5389">
            <w:pPr>
              <w:spacing w:line="240" w:lineRule="auto"/>
              <w:rPr>
                <w:rFonts w:eastAsia="Times New Roman" w:cs="Times New Roman"/>
                <w:color w:val="000000"/>
                <w:kern w:val="0"/>
                <w:sz w:val="20"/>
                <w:szCs w:val="20"/>
                <w:lang w:eastAsia="es-CO"/>
                <w14:ligatures w14:val="none"/>
              </w:rPr>
            </w:pPr>
          </w:p>
        </w:tc>
        <w:tc>
          <w:tcPr>
            <w:tcW w:w="763" w:type="pct"/>
            <w:vAlign w:val="center"/>
            <w:hideMark/>
          </w:tcPr>
          <w:p w14:paraId="47231504" w14:textId="77777777" w:rsidR="00ED27A4" w:rsidRPr="00951AB1" w:rsidRDefault="00ED27A4" w:rsidP="000A5389">
            <w:pPr>
              <w:spacing w:line="240" w:lineRule="auto"/>
              <w:jc w:val="right"/>
              <w:rPr>
                <w:rFonts w:eastAsia="Times New Roman" w:cs="Times New Roman"/>
                <w:color w:val="000000"/>
                <w:kern w:val="0"/>
                <w:sz w:val="20"/>
                <w:szCs w:val="20"/>
                <w:lang w:eastAsia="es-CO"/>
                <w14:ligatures w14:val="none"/>
              </w:rPr>
            </w:pPr>
            <w:r w:rsidRPr="00951AB1">
              <w:rPr>
                <w:rFonts w:eastAsia="Times New Roman" w:cs="Times New Roman"/>
                <w:color w:val="000000"/>
                <w:kern w:val="0"/>
                <w:sz w:val="20"/>
                <w:szCs w:val="20"/>
                <w:lang w:eastAsia="es-CO"/>
                <w14:ligatures w14:val="none"/>
              </w:rPr>
              <w:t>900740893</w:t>
            </w:r>
          </w:p>
        </w:tc>
        <w:tc>
          <w:tcPr>
            <w:tcW w:w="2265" w:type="pct"/>
            <w:vAlign w:val="center"/>
            <w:hideMark/>
          </w:tcPr>
          <w:p w14:paraId="27EA03F6" w14:textId="77777777" w:rsidR="00ED27A4" w:rsidRPr="00951AB1" w:rsidRDefault="00ED27A4" w:rsidP="000A5389">
            <w:pPr>
              <w:spacing w:line="240" w:lineRule="auto"/>
              <w:rPr>
                <w:rFonts w:eastAsia="Times New Roman" w:cs="Times New Roman"/>
                <w:color w:val="000000"/>
                <w:kern w:val="0"/>
                <w:sz w:val="20"/>
                <w:szCs w:val="20"/>
                <w:lang w:eastAsia="es-CO"/>
                <w14:ligatures w14:val="none"/>
              </w:rPr>
            </w:pPr>
            <w:r w:rsidRPr="00951AB1">
              <w:rPr>
                <w:rFonts w:eastAsia="Times New Roman" w:cs="Times New Roman"/>
                <w:color w:val="000000"/>
                <w:kern w:val="0"/>
                <w:sz w:val="20"/>
                <w:szCs w:val="20"/>
                <w:lang w:eastAsia="es-CO"/>
                <w14:ligatures w14:val="none"/>
              </w:rPr>
              <w:t>Concesión la Pintada S.A.S.</w:t>
            </w:r>
          </w:p>
        </w:tc>
        <w:tc>
          <w:tcPr>
            <w:tcW w:w="1209" w:type="pct"/>
            <w:vAlign w:val="center"/>
            <w:hideMark/>
          </w:tcPr>
          <w:p w14:paraId="57A6C61D" w14:textId="77777777" w:rsidR="00ED27A4" w:rsidRPr="00951AB1" w:rsidRDefault="00ED27A4" w:rsidP="000A5389">
            <w:pPr>
              <w:spacing w:line="240" w:lineRule="auto"/>
              <w:jc w:val="right"/>
              <w:rPr>
                <w:rFonts w:eastAsia="Times New Roman" w:cs="Times New Roman"/>
                <w:color w:val="000000"/>
                <w:kern w:val="0"/>
                <w:sz w:val="20"/>
                <w:szCs w:val="20"/>
                <w:lang w:eastAsia="es-CO"/>
                <w14:ligatures w14:val="none"/>
              </w:rPr>
            </w:pPr>
            <w:r w:rsidRPr="00951AB1">
              <w:rPr>
                <w:rFonts w:eastAsia="Times New Roman" w:cs="Times New Roman"/>
                <w:color w:val="000000"/>
                <w:kern w:val="0"/>
                <w:sz w:val="20"/>
                <w:szCs w:val="20"/>
                <w:lang w:eastAsia="es-CO"/>
                <w14:ligatures w14:val="none"/>
              </w:rPr>
              <w:t xml:space="preserve">        39.308.122.365 </w:t>
            </w:r>
          </w:p>
        </w:tc>
      </w:tr>
      <w:tr w:rsidR="00ED27A4" w:rsidRPr="00951AB1" w14:paraId="33730A9D" w14:textId="77777777" w:rsidTr="00ED27A4">
        <w:trPr>
          <w:trHeight w:val="293"/>
        </w:trPr>
        <w:tc>
          <w:tcPr>
            <w:tcW w:w="763" w:type="pct"/>
            <w:vMerge/>
            <w:vAlign w:val="center"/>
            <w:hideMark/>
          </w:tcPr>
          <w:p w14:paraId="2ADFE94C" w14:textId="68B36580" w:rsidR="00ED27A4" w:rsidRPr="00951AB1" w:rsidRDefault="00ED27A4" w:rsidP="000A5389">
            <w:pPr>
              <w:spacing w:line="240" w:lineRule="auto"/>
              <w:rPr>
                <w:rFonts w:eastAsia="Times New Roman" w:cs="Times New Roman"/>
                <w:color w:val="000000"/>
                <w:kern w:val="0"/>
                <w:sz w:val="20"/>
                <w:szCs w:val="20"/>
                <w:lang w:eastAsia="es-CO"/>
                <w14:ligatures w14:val="none"/>
              </w:rPr>
            </w:pPr>
          </w:p>
        </w:tc>
        <w:tc>
          <w:tcPr>
            <w:tcW w:w="763" w:type="pct"/>
            <w:vAlign w:val="center"/>
            <w:hideMark/>
          </w:tcPr>
          <w:p w14:paraId="6B05D4BC" w14:textId="77777777" w:rsidR="00ED27A4" w:rsidRPr="00951AB1" w:rsidRDefault="00ED27A4" w:rsidP="000A5389">
            <w:pPr>
              <w:spacing w:line="240" w:lineRule="auto"/>
              <w:jc w:val="right"/>
              <w:rPr>
                <w:rFonts w:eastAsia="Times New Roman" w:cs="Times New Roman"/>
                <w:color w:val="000000"/>
                <w:kern w:val="0"/>
                <w:sz w:val="20"/>
                <w:szCs w:val="20"/>
                <w:lang w:eastAsia="es-CO"/>
                <w14:ligatures w14:val="none"/>
              </w:rPr>
            </w:pPr>
            <w:r w:rsidRPr="00951AB1">
              <w:rPr>
                <w:rFonts w:eastAsia="Times New Roman" w:cs="Times New Roman"/>
                <w:color w:val="000000"/>
                <w:kern w:val="0"/>
                <w:sz w:val="20"/>
                <w:szCs w:val="20"/>
                <w:lang w:eastAsia="es-CO"/>
                <w14:ligatures w14:val="none"/>
              </w:rPr>
              <w:t>900843297</w:t>
            </w:r>
          </w:p>
        </w:tc>
        <w:tc>
          <w:tcPr>
            <w:tcW w:w="2265" w:type="pct"/>
            <w:vAlign w:val="center"/>
            <w:hideMark/>
          </w:tcPr>
          <w:p w14:paraId="59BF1F1D" w14:textId="77777777" w:rsidR="00ED27A4" w:rsidRPr="00951AB1" w:rsidRDefault="00ED27A4" w:rsidP="000A5389">
            <w:pPr>
              <w:spacing w:line="240" w:lineRule="auto"/>
              <w:rPr>
                <w:rFonts w:eastAsia="Times New Roman" w:cs="Times New Roman"/>
                <w:color w:val="000000"/>
                <w:kern w:val="0"/>
                <w:sz w:val="20"/>
                <w:szCs w:val="20"/>
                <w:lang w:eastAsia="es-CO"/>
                <w14:ligatures w14:val="none"/>
              </w:rPr>
            </w:pPr>
            <w:r w:rsidRPr="00951AB1">
              <w:rPr>
                <w:rFonts w:eastAsia="Times New Roman" w:cs="Times New Roman"/>
                <w:color w:val="000000"/>
                <w:kern w:val="0"/>
                <w:sz w:val="20"/>
                <w:szCs w:val="20"/>
                <w:lang w:eastAsia="es-CO"/>
                <w14:ligatures w14:val="none"/>
              </w:rPr>
              <w:t>Concesión Vial de los Llanos S.A.S.</w:t>
            </w:r>
          </w:p>
        </w:tc>
        <w:tc>
          <w:tcPr>
            <w:tcW w:w="1209" w:type="pct"/>
            <w:vAlign w:val="center"/>
            <w:hideMark/>
          </w:tcPr>
          <w:p w14:paraId="14198E41" w14:textId="77777777" w:rsidR="00ED27A4" w:rsidRPr="00951AB1" w:rsidRDefault="00ED27A4" w:rsidP="000A5389">
            <w:pPr>
              <w:spacing w:line="240" w:lineRule="auto"/>
              <w:jc w:val="right"/>
              <w:rPr>
                <w:rFonts w:eastAsia="Times New Roman" w:cs="Times New Roman"/>
                <w:color w:val="000000"/>
                <w:kern w:val="0"/>
                <w:sz w:val="20"/>
                <w:szCs w:val="20"/>
                <w:lang w:eastAsia="es-CO"/>
                <w14:ligatures w14:val="none"/>
              </w:rPr>
            </w:pPr>
            <w:r w:rsidRPr="00951AB1">
              <w:rPr>
                <w:rFonts w:eastAsia="Times New Roman" w:cs="Times New Roman"/>
                <w:color w:val="000000"/>
                <w:kern w:val="0"/>
                <w:sz w:val="20"/>
                <w:szCs w:val="20"/>
                <w:lang w:eastAsia="es-CO"/>
                <w14:ligatures w14:val="none"/>
              </w:rPr>
              <w:t xml:space="preserve">        37.314.994.718 </w:t>
            </w:r>
          </w:p>
        </w:tc>
      </w:tr>
      <w:tr w:rsidR="00ED27A4" w:rsidRPr="00951AB1" w14:paraId="6B76B1E6" w14:textId="77777777" w:rsidTr="00ED27A4">
        <w:trPr>
          <w:trHeight w:val="293"/>
        </w:trPr>
        <w:tc>
          <w:tcPr>
            <w:tcW w:w="763" w:type="pct"/>
            <w:vMerge/>
            <w:vAlign w:val="center"/>
            <w:hideMark/>
          </w:tcPr>
          <w:p w14:paraId="5F6AE8F3" w14:textId="2B4B454E" w:rsidR="00ED27A4" w:rsidRPr="00951AB1" w:rsidRDefault="00ED27A4" w:rsidP="000A5389">
            <w:pPr>
              <w:spacing w:line="240" w:lineRule="auto"/>
              <w:rPr>
                <w:rFonts w:eastAsia="Times New Roman" w:cs="Times New Roman"/>
                <w:color w:val="000000"/>
                <w:kern w:val="0"/>
                <w:sz w:val="20"/>
                <w:szCs w:val="20"/>
                <w:lang w:eastAsia="es-CO"/>
                <w14:ligatures w14:val="none"/>
              </w:rPr>
            </w:pPr>
          </w:p>
        </w:tc>
        <w:tc>
          <w:tcPr>
            <w:tcW w:w="763" w:type="pct"/>
            <w:vAlign w:val="center"/>
            <w:hideMark/>
          </w:tcPr>
          <w:p w14:paraId="237789CC" w14:textId="77777777" w:rsidR="00ED27A4" w:rsidRPr="00951AB1" w:rsidRDefault="00ED27A4" w:rsidP="000A5389">
            <w:pPr>
              <w:spacing w:line="240" w:lineRule="auto"/>
              <w:jc w:val="right"/>
              <w:rPr>
                <w:rFonts w:eastAsia="Times New Roman" w:cs="Times New Roman"/>
                <w:color w:val="000000"/>
                <w:kern w:val="0"/>
                <w:sz w:val="20"/>
                <w:szCs w:val="20"/>
                <w:lang w:eastAsia="es-CO"/>
                <w14:ligatures w14:val="none"/>
              </w:rPr>
            </w:pPr>
            <w:r w:rsidRPr="00951AB1">
              <w:rPr>
                <w:rFonts w:eastAsia="Times New Roman" w:cs="Times New Roman"/>
                <w:color w:val="000000"/>
                <w:kern w:val="0"/>
                <w:sz w:val="20"/>
                <w:szCs w:val="20"/>
                <w:lang w:eastAsia="es-CO"/>
                <w14:ligatures w14:val="none"/>
              </w:rPr>
              <w:t>900894996</w:t>
            </w:r>
          </w:p>
        </w:tc>
        <w:tc>
          <w:tcPr>
            <w:tcW w:w="2265" w:type="pct"/>
            <w:vAlign w:val="center"/>
            <w:hideMark/>
          </w:tcPr>
          <w:p w14:paraId="3BEE1094" w14:textId="77777777" w:rsidR="00ED27A4" w:rsidRPr="00951AB1" w:rsidRDefault="00ED27A4" w:rsidP="000A5389">
            <w:pPr>
              <w:spacing w:line="240" w:lineRule="auto"/>
              <w:rPr>
                <w:rFonts w:eastAsia="Times New Roman" w:cs="Times New Roman"/>
                <w:color w:val="000000"/>
                <w:kern w:val="0"/>
                <w:sz w:val="20"/>
                <w:szCs w:val="20"/>
                <w:lang w:eastAsia="es-CO"/>
                <w14:ligatures w14:val="none"/>
              </w:rPr>
            </w:pPr>
            <w:r w:rsidRPr="00951AB1">
              <w:rPr>
                <w:rFonts w:eastAsia="Times New Roman" w:cs="Times New Roman"/>
                <w:color w:val="000000"/>
                <w:kern w:val="0"/>
                <w:sz w:val="20"/>
                <w:szCs w:val="20"/>
                <w:lang w:eastAsia="es-CO"/>
                <w14:ligatures w14:val="none"/>
              </w:rPr>
              <w:t>Concesión Ruta al Mar S.A.S.</w:t>
            </w:r>
          </w:p>
        </w:tc>
        <w:tc>
          <w:tcPr>
            <w:tcW w:w="1209" w:type="pct"/>
            <w:vAlign w:val="center"/>
            <w:hideMark/>
          </w:tcPr>
          <w:p w14:paraId="36FEE3D2" w14:textId="77777777" w:rsidR="00ED27A4" w:rsidRPr="00951AB1" w:rsidRDefault="00ED27A4" w:rsidP="000A5389">
            <w:pPr>
              <w:spacing w:line="240" w:lineRule="auto"/>
              <w:jc w:val="right"/>
              <w:rPr>
                <w:rFonts w:eastAsia="Times New Roman" w:cs="Times New Roman"/>
                <w:color w:val="000000"/>
                <w:kern w:val="0"/>
                <w:sz w:val="20"/>
                <w:szCs w:val="20"/>
                <w:lang w:eastAsia="es-CO"/>
                <w14:ligatures w14:val="none"/>
              </w:rPr>
            </w:pPr>
            <w:r w:rsidRPr="00951AB1">
              <w:rPr>
                <w:rFonts w:eastAsia="Times New Roman" w:cs="Times New Roman"/>
                <w:color w:val="000000"/>
                <w:kern w:val="0"/>
                <w:sz w:val="20"/>
                <w:szCs w:val="20"/>
                <w:lang w:eastAsia="es-CO"/>
                <w14:ligatures w14:val="none"/>
              </w:rPr>
              <w:t xml:space="preserve">        35.790.529.068 </w:t>
            </w:r>
          </w:p>
        </w:tc>
      </w:tr>
      <w:tr w:rsidR="00ED27A4" w:rsidRPr="00951AB1" w14:paraId="7FA15F8E" w14:textId="77777777" w:rsidTr="00ED27A4">
        <w:trPr>
          <w:trHeight w:val="293"/>
        </w:trPr>
        <w:tc>
          <w:tcPr>
            <w:tcW w:w="763" w:type="pct"/>
            <w:vMerge/>
            <w:vAlign w:val="center"/>
            <w:hideMark/>
          </w:tcPr>
          <w:p w14:paraId="4393B0C0" w14:textId="7044B9C0" w:rsidR="00ED27A4" w:rsidRPr="00951AB1" w:rsidRDefault="00ED27A4" w:rsidP="000A5389">
            <w:pPr>
              <w:spacing w:line="240" w:lineRule="auto"/>
              <w:rPr>
                <w:rFonts w:eastAsia="Times New Roman" w:cs="Times New Roman"/>
                <w:color w:val="000000"/>
                <w:kern w:val="0"/>
                <w:sz w:val="20"/>
                <w:szCs w:val="20"/>
                <w:lang w:eastAsia="es-CO"/>
                <w14:ligatures w14:val="none"/>
              </w:rPr>
            </w:pPr>
          </w:p>
        </w:tc>
        <w:tc>
          <w:tcPr>
            <w:tcW w:w="763" w:type="pct"/>
            <w:vAlign w:val="center"/>
            <w:hideMark/>
          </w:tcPr>
          <w:p w14:paraId="13F09AAE" w14:textId="77777777" w:rsidR="00ED27A4" w:rsidRPr="00951AB1" w:rsidRDefault="00ED27A4" w:rsidP="000A5389">
            <w:pPr>
              <w:spacing w:line="240" w:lineRule="auto"/>
              <w:jc w:val="right"/>
              <w:rPr>
                <w:rFonts w:eastAsia="Times New Roman" w:cs="Times New Roman"/>
                <w:color w:val="000000"/>
                <w:kern w:val="0"/>
                <w:sz w:val="20"/>
                <w:szCs w:val="20"/>
                <w:lang w:eastAsia="es-CO"/>
                <w14:ligatures w14:val="none"/>
              </w:rPr>
            </w:pPr>
            <w:r w:rsidRPr="00951AB1">
              <w:rPr>
                <w:rFonts w:eastAsia="Times New Roman" w:cs="Times New Roman"/>
                <w:color w:val="000000"/>
                <w:kern w:val="0"/>
                <w:sz w:val="20"/>
                <w:szCs w:val="20"/>
                <w:lang w:eastAsia="es-CO"/>
                <w14:ligatures w14:val="none"/>
              </w:rPr>
              <w:t>800235280</w:t>
            </w:r>
          </w:p>
        </w:tc>
        <w:tc>
          <w:tcPr>
            <w:tcW w:w="2265" w:type="pct"/>
            <w:vAlign w:val="center"/>
            <w:hideMark/>
          </w:tcPr>
          <w:p w14:paraId="106AD264" w14:textId="77777777" w:rsidR="00ED27A4" w:rsidRPr="00951AB1" w:rsidRDefault="00ED27A4" w:rsidP="000A5389">
            <w:pPr>
              <w:spacing w:line="240" w:lineRule="auto"/>
              <w:rPr>
                <w:rFonts w:eastAsia="Times New Roman" w:cs="Times New Roman"/>
                <w:color w:val="000000"/>
                <w:kern w:val="0"/>
                <w:sz w:val="20"/>
                <w:szCs w:val="20"/>
                <w:lang w:eastAsia="es-CO"/>
                <w14:ligatures w14:val="none"/>
              </w:rPr>
            </w:pPr>
            <w:r w:rsidRPr="00951AB1">
              <w:rPr>
                <w:rFonts w:eastAsia="Times New Roman" w:cs="Times New Roman"/>
                <w:color w:val="000000"/>
                <w:kern w:val="0"/>
                <w:sz w:val="20"/>
                <w:szCs w:val="20"/>
                <w:lang w:eastAsia="es-CO"/>
                <w14:ligatures w14:val="none"/>
              </w:rPr>
              <w:t>Concesión Sabana de Occidente S.A.S</w:t>
            </w:r>
          </w:p>
        </w:tc>
        <w:tc>
          <w:tcPr>
            <w:tcW w:w="1209" w:type="pct"/>
            <w:vAlign w:val="center"/>
            <w:hideMark/>
          </w:tcPr>
          <w:p w14:paraId="6D15FD40" w14:textId="77777777" w:rsidR="00ED27A4" w:rsidRPr="00951AB1" w:rsidRDefault="00ED27A4" w:rsidP="000A5389">
            <w:pPr>
              <w:spacing w:line="240" w:lineRule="auto"/>
              <w:jc w:val="right"/>
              <w:rPr>
                <w:rFonts w:eastAsia="Times New Roman" w:cs="Times New Roman"/>
                <w:color w:val="000000"/>
                <w:kern w:val="0"/>
                <w:sz w:val="20"/>
                <w:szCs w:val="20"/>
                <w:lang w:eastAsia="es-CO"/>
                <w14:ligatures w14:val="none"/>
              </w:rPr>
            </w:pPr>
            <w:r w:rsidRPr="00951AB1">
              <w:rPr>
                <w:rFonts w:eastAsia="Times New Roman" w:cs="Times New Roman"/>
                <w:color w:val="000000"/>
                <w:kern w:val="0"/>
                <w:sz w:val="20"/>
                <w:szCs w:val="20"/>
                <w:lang w:eastAsia="es-CO"/>
                <w14:ligatures w14:val="none"/>
              </w:rPr>
              <w:t xml:space="preserve">        33.104.819.642 </w:t>
            </w:r>
          </w:p>
        </w:tc>
      </w:tr>
      <w:tr w:rsidR="00ED27A4" w:rsidRPr="00951AB1" w14:paraId="2D430E90" w14:textId="77777777" w:rsidTr="00ED27A4">
        <w:trPr>
          <w:trHeight w:val="293"/>
        </w:trPr>
        <w:tc>
          <w:tcPr>
            <w:tcW w:w="763" w:type="pct"/>
            <w:vMerge/>
            <w:vAlign w:val="center"/>
            <w:hideMark/>
          </w:tcPr>
          <w:p w14:paraId="6CDBCC96" w14:textId="7C350110" w:rsidR="00ED27A4" w:rsidRPr="00951AB1" w:rsidRDefault="00ED27A4" w:rsidP="000A5389">
            <w:pPr>
              <w:spacing w:line="240" w:lineRule="auto"/>
              <w:rPr>
                <w:rFonts w:eastAsia="Times New Roman" w:cs="Times New Roman"/>
                <w:color w:val="000000"/>
                <w:kern w:val="0"/>
                <w:sz w:val="20"/>
                <w:szCs w:val="20"/>
                <w:lang w:eastAsia="es-CO"/>
                <w14:ligatures w14:val="none"/>
              </w:rPr>
            </w:pPr>
          </w:p>
        </w:tc>
        <w:tc>
          <w:tcPr>
            <w:tcW w:w="763" w:type="pct"/>
            <w:vAlign w:val="center"/>
            <w:hideMark/>
          </w:tcPr>
          <w:p w14:paraId="47447607" w14:textId="77777777" w:rsidR="00ED27A4" w:rsidRPr="00951AB1" w:rsidRDefault="00ED27A4" w:rsidP="000A5389">
            <w:pPr>
              <w:spacing w:line="240" w:lineRule="auto"/>
              <w:jc w:val="right"/>
              <w:rPr>
                <w:rFonts w:eastAsia="Times New Roman" w:cs="Times New Roman"/>
                <w:color w:val="000000"/>
                <w:kern w:val="0"/>
                <w:sz w:val="20"/>
                <w:szCs w:val="20"/>
                <w:lang w:eastAsia="es-CO"/>
                <w14:ligatures w14:val="none"/>
              </w:rPr>
            </w:pPr>
            <w:r w:rsidRPr="00951AB1">
              <w:rPr>
                <w:rFonts w:eastAsia="Times New Roman" w:cs="Times New Roman"/>
                <w:color w:val="000000"/>
                <w:kern w:val="0"/>
                <w:sz w:val="20"/>
                <w:szCs w:val="20"/>
                <w:lang w:eastAsia="es-CO"/>
                <w14:ligatures w14:val="none"/>
              </w:rPr>
              <w:t>900816750</w:t>
            </w:r>
          </w:p>
        </w:tc>
        <w:tc>
          <w:tcPr>
            <w:tcW w:w="2265" w:type="pct"/>
            <w:vAlign w:val="center"/>
            <w:hideMark/>
          </w:tcPr>
          <w:p w14:paraId="2870B4CC" w14:textId="77777777" w:rsidR="00ED27A4" w:rsidRPr="00951AB1" w:rsidRDefault="00ED27A4" w:rsidP="000A5389">
            <w:pPr>
              <w:spacing w:line="240" w:lineRule="auto"/>
              <w:rPr>
                <w:rFonts w:eastAsia="Times New Roman" w:cs="Times New Roman"/>
                <w:color w:val="000000"/>
                <w:kern w:val="0"/>
                <w:sz w:val="20"/>
                <w:szCs w:val="20"/>
                <w:lang w:eastAsia="es-CO"/>
                <w14:ligatures w14:val="none"/>
              </w:rPr>
            </w:pPr>
            <w:r w:rsidRPr="00951AB1">
              <w:rPr>
                <w:rFonts w:eastAsia="Times New Roman" w:cs="Times New Roman"/>
                <w:color w:val="000000"/>
                <w:kern w:val="0"/>
                <w:sz w:val="20"/>
                <w:szCs w:val="20"/>
                <w:lang w:eastAsia="es-CO"/>
                <w14:ligatures w14:val="none"/>
              </w:rPr>
              <w:t>App Gica S.A.</w:t>
            </w:r>
          </w:p>
        </w:tc>
        <w:tc>
          <w:tcPr>
            <w:tcW w:w="1209" w:type="pct"/>
            <w:vAlign w:val="center"/>
            <w:hideMark/>
          </w:tcPr>
          <w:p w14:paraId="06D4D02D" w14:textId="77777777" w:rsidR="00ED27A4" w:rsidRPr="00951AB1" w:rsidRDefault="00ED27A4" w:rsidP="000A5389">
            <w:pPr>
              <w:spacing w:line="240" w:lineRule="auto"/>
              <w:jc w:val="right"/>
              <w:rPr>
                <w:rFonts w:eastAsia="Times New Roman" w:cs="Times New Roman"/>
                <w:color w:val="000000"/>
                <w:kern w:val="0"/>
                <w:sz w:val="20"/>
                <w:szCs w:val="20"/>
                <w:lang w:eastAsia="es-CO"/>
                <w14:ligatures w14:val="none"/>
              </w:rPr>
            </w:pPr>
            <w:r w:rsidRPr="00951AB1">
              <w:rPr>
                <w:rFonts w:eastAsia="Times New Roman" w:cs="Times New Roman"/>
                <w:color w:val="000000"/>
                <w:kern w:val="0"/>
                <w:sz w:val="20"/>
                <w:szCs w:val="20"/>
                <w:lang w:eastAsia="es-CO"/>
                <w14:ligatures w14:val="none"/>
              </w:rPr>
              <w:t xml:space="preserve">        29.274.765.156 </w:t>
            </w:r>
          </w:p>
        </w:tc>
      </w:tr>
      <w:tr w:rsidR="00ED27A4" w:rsidRPr="00951AB1" w14:paraId="5FC74396" w14:textId="77777777" w:rsidTr="00ED27A4">
        <w:trPr>
          <w:trHeight w:val="293"/>
        </w:trPr>
        <w:tc>
          <w:tcPr>
            <w:tcW w:w="763" w:type="pct"/>
            <w:vMerge/>
            <w:vAlign w:val="center"/>
            <w:hideMark/>
          </w:tcPr>
          <w:p w14:paraId="00927758" w14:textId="036A7C24" w:rsidR="00ED27A4" w:rsidRPr="00951AB1" w:rsidRDefault="00ED27A4" w:rsidP="000A5389">
            <w:pPr>
              <w:spacing w:line="240" w:lineRule="auto"/>
              <w:rPr>
                <w:rFonts w:eastAsia="Times New Roman" w:cs="Times New Roman"/>
                <w:color w:val="000000"/>
                <w:kern w:val="0"/>
                <w:sz w:val="20"/>
                <w:szCs w:val="20"/>
                <w:lang w:eastAsia="es-CO"/>
                <w14:ligatures w14:val="none"/>
              </w:rPr>
            </w:pPr>
          </w:p>
        </w:tc>
        <w:tc>
          <w:tcPr>
            <w:tcW w:w="763" w:type="pct"/>
            <w:vAlign w:val="center"/>
            <w:hideMark/>
          </w:tcPr>
          <w:p w14:paraId="0DF913F5" w14:textId="77777777" w:rsidR="00ED27A4" w:rsidRPr="00951AB1" w:rsidRDefault="00ED27A4" w:rsidP="000A5389">
            <w:pPr>
              <w:spacing w:line="240" w:lineRule="auto"/>
              <w:jc w:val="right"/>
              <w:rPr>
                <w:rFonts w:eastAsia="Times New Roman" w:cs="Times New Roman"/>
                <w:color w:val="000000"/>
                <w:kern w:val="0"/>
                <w:sz w:val="20"/>
                <w:szCs w:val="20"/>
                <w:lang w:eastAsia="es-CO"/>
                <w14:ligatures w14:val="none"/>
              </w:rPr>
            </w:pPr>
            <w:r w:rsidRPr="00951AB1">
              <w:rPr>
                <w:rFonts w:eastAsia="Times New Roman" w:cs="Times New Roman"/>
                <w:color w:val="000000"/>
                <w:kern w:val="0"/>
                <w:sz w:val="20"/>
                <w:szCs w:val="20"/>
                <w:lang w:eastAsia="es-CO"/>
                <w14:ligatures w14:val="none"/>
              </w:rPr>
              <w:t>900902591</w:t>
            </w:r>
          </w:p>
        </w:tc>
        <w:tc>
          <w:tcPr>
            <w:tcW w:w="2265" w:type="pct"/>
            <w:vAlign w:val="center"/>
            <w:hideMark/>
          </w:tcPr>
          <w:p w14:paraId="277F5F32" w14:textId="77777777" w:rsidR="00ED27A4" w:rsidRPr="00951AB1" w:rsidRDefault="00ED27A4" w:rsidP="000A5389">
            <w:pPr>
              <w:spacing w:line="240" w:lineRule="auto"/>
              <w:rPr>
                <w:rFonts w:eastAsia="Times New Roman" w:cs="Times New Roman"/>
                <w:color w:val="000000"/>
                <w:kern w:val="0"/>
                <w:sz w:val="20"/>
                <w:szCs w:val="20"/>
                <w:lang w:eastAsia="es-CO"/>
                <w14:ligatures w14:val="none"/>
              </w:rPr>
            </w:pPr>
            <w:r w:rsidRPr="00951AB1">
              <w:rPr>
                <w:rFonts w:eastAsia="Times New Roman" w:cs="Times New Roman"/>
                <w:color w:val="000000"/>
                <w:kern w:val="0"/>
                <w:sz w:val="20"/>
                <w:szCs w:val="20"/>
                <w:lang w:eastAsia="es-CO"/>
                <w14:ligatures w14:val="none"/>
              </w:rPr>
              <w:t>Autopistas   Urabá   S.A.S.</w:t>
            </w:r>
          </w:p>
        </w:tc>
        <w:tc>
          <w:tcPr>
            <w:tcW w:w="1209" w:type="pct"/>
            <w:vAlign w:val="center"/>
            <w:hideMark/>
          </w:tcPr>
          <w:p w14:paraId="5C73C130" w14:textId="77777777" w:rsidR="00ED27A4" w:rsidRPr="00951AB1" w:rsidRDefault="00ED27A4" w:rsidP="000A5389">
            <w:pPr>
              <w:spacing w:line="240" w:lineRule="auto"/>
              <w:jc w:val="right"/>
              <w:rPr>
                <w:rFonts w:eastAsia="Times New Roman" w:cs="Times New Roman"/>
                <w:color w:val="000000"/>
                <w:kern w:val="0"/>
                <w:sz w:val="20"/>
                <w:szCs w:val="20"/>
                <w:lang w:eastAsia="es-CO"/>
                <w14:ligatures w14:val="none"/>
              </w:rPr>
            </w:pPr>
            <w:r w:rsidRPr="00951AB1">
              <w:rPr>
                <w:rFonts w:eastAsia="Times New Roman" w:cs="Times New Roman"/>
                <w:color w:val="000000"/>
                <w:kern w:val="0"/>
                <w:sz w:val="20"/>
                <w:szCs w:val="20"/>
                <w:lang w:eastAsia="es-CO"/>
                <w14:ligatures w14:val="none"/>
              </w:rPr>
              <w:t xml:space="preserve">        29.063.990.755 </w:t>
            </w:r>
          </w:p>
        </w:tc>
      </w:tr>
      <w:tr w:rsidR="00ED27A4" w:rsidRPr="00951AB1" w14:paraId="3222A457" w14:textId="77777777" w:rsidTr="00ED27A4">
        <w:trPr>
          <w:trHeight w:val="533"/>
        </w:trPr>
        <w:tc>
          <w:tcPr>
            <w:tcW w:w="763" w:type="pct"/>
            <w:vMerge/>
            <w:vAlign w:val="center"/>
            <w:hideMark/>
          </w:tcPr>
          <w:p w14:paraId="7A78BE49" w14:textId="58B5C483" w:rsidR="00ED27A4" w:rsidRPr="00951AB1" w:rsidRDefault="00ED27A4" w:rsidP="000A5389">
            <w:pPr>
              <w:spacing w:line="240" w:lineRule="auto"/>
              <w:rPr>
                <w:rFonts w:eastAsia="Times New Roman" w:cs="Times New Roman"/>
                <w:color w:val="000000"/>
                <w:kern w:val="0"/>
                <w:sz w:val="20"/>
                <w:szCs w:val="20"/>
                <w:lang w:eastAsia="es-CO"/>
                <w14:ligatures w14:val="none"/>
              </w:rPr>
            </w:pPr>
          </w:p>
        </w:tc>
        <w:tc>
          <w:tcPr>
            <w:tcW w:w="763" w:type="pct"/>
            <w:vAlign w:val="center"/>
            <w:hideMark/>
          </w:tcPr>
          <w:p w14:paraId="0528ECD6" w14:textId="77777777" w:rsidR="00ED27A4" w:rsidRPr="00951AB1" w:rsidRDefault="00ED27A4" w:rsidP="000A5389">
            <w:pPr>
              <w:spacing w:line="240" w:lineRule="auto"/>
              <w:jc w:val="right"/>
              <w:rPr>
                <w:rFonts w:eastAsia="Times New Roman" w:cs="Times New Roman"/>
                <w:color w:val="000000"/>
                <w:kern w:val="0"/>
                <w:sz w:val="20"/>
                <w:szCs w:val="20"/>
                <w:lang w:eastAsia="es-CO"/>
                <w14:ligatures w14:val="none"/>
              </w:rPr>
            </w:pPr>
            <w:r w:rsidRPr="00951AB1">
              <w:rPr>
                <w:rFonts w:eastAsia="Times New Roman" w:cs="Times New Roman"/>
                <w:color w:val="000000"/>
                <w:kern w:val="0"/>
                <w:sz w:val="20"/>
                <w:szCs w:val="20"/>
                <w:lang w:eastAsia="es-CO"/>
                <w14:ligatures w14:val="none"/>
              </w:rPr>
              <w:t>900763355</w:t>
            </w:r>
          </w:p>
        </w:tc>
        <w:tc>
          <w:tcPr>
            <w:tcW w:w="2265" w:type="pct"/>
            <w:vAlign w:val="center"/>
            <w:hideMark/>
          </w:tcPr>
          <w:p w14:paraId="0E127A07" w14:textId="77777777" w:rsidR="00ED27A4" w:rsidRPr="00951AB1" w:rsidRDefault="00ED27A4" w:rsidP="000A5389">
            <w:pPr>
              <w:spacing w:line="240" w:lineRule="auto"/>
              <w:rPr>
                <w:rFonts w:eastAsia="Times New Roman" w:cs="Times New Roman"/>
                <w:color w:val="000000"/>
                <w:kern w:val="0"/>
                <w:sz w:val="20"/>
                <w:szCs w:val="20"/>
                <w:lang w:eastAsia="es-CO"/>
                <w14:ligatures w14:val="none"/>
              </w:rPr>
            </w:pPr>
            <w:r w:rsidRPr="00951AB1">
              <w:rPr>
                <w:rFonts w:eastAsia="Times New Roman" w:cs="Times New Roman"/>
                <w:color w:val="000000"/>
                <w:kern w:val="0"/>
                <w:sz w:val="20"/>
                <w:szCs w:val="20"/>
                <w:lang w:eastAsia="es-CO"/>
                <w14:ligatures w14:val="none"/>
              </w:rPr>
              <w:t>Concesión Costera Cartagena Barranquilla S.A.S.</w:t>
            </w:r>
          </w:p>
        </w:tc>
        <w:tc>
          <w:tcPr>
            <w:tcW w:w="1209" w:type="pct"/>
            <w:vAlign w:val="center"/>
            <w:hideMark/>
          </w:tcPr>
          <w:p w14:paraId="75E01F6E" w14:textId="77777777" w:rsidR="00ED27A4" w:rsidRPr="00951AB1" w:rsidRDefault="00ED27A4" w:rsidP="000A5389">
            <w:pPr>
              <w:spacing w:line="240" w:lineRule="auto"/>
              <w:jc w:val="right"/>
              <w:rPr>
                <w:rFonts w:eastAsia="Times New Roman" w:cs="Times New Roman"/>
                <w:color w:val="000000"/>
                <w:kern w:val="0"/>
                <w:sz w:val="20"/>
                <w:szCs w:val="20"/>
                <w:lang w:eastAsia="es-CO"/>
                <w14:ligatures w14:val="none"/>
              </w:rPr>
            </w:pPr>
            <w:r w:rsidRPr="00951AB1">
              <w:rPr>
                <w:rFonts w:eastAsia="Times New Roman" w:cs="Times New Roman"/>
                <w:color w:val="000000"/>
                <w:kern w:val="0"/>
                <w:sz w:val="20"/>
                <w:szCs w:val="20"/>
                <w:lang w:eastAsia="es-CO"/>
                <w14:ligatures w14:val="none"/>
              </w:rPr>
              <w:t xml:space="preserve">        28.198.002.185 </w:t>
            </w:r>
          </w:p>
        </w:tc>
      </w:tr>
      <w:tr w:rsidR="00ED27A4" w:rsidRPr="00951AB1" w14:paraId="2C150DC1" w14:textId="77777777" w:rsidTr="00ED27A4">
        <w:trPr>
          <w:trHeight w:val="293"/>
        </w:trPr>
        <w:tc>
          <w:tcPr>
            <w:tcW w:w="763" w:type="pct"/>
            <w:vMerge/>
            <w:vAlign w:val="center"/>
            <w:hideMark/>
          </w:tcPr>
          <w:p w14:paraId="76076E4D" w14:textId="29E8A4A7" w:rsidR="00ED27A4" w:rsidRPr="00951AB1" w:rsidRDefault="00ED27A4" w:rsidP="000A5389">
            <w:pPr>
              <w:spacing w:line="240" w:lineRule="auto"/>
              <w:rPr>
                <w:rFonts w:eastAsia="Times New Roman" w:cs="Times New Roman"/>
                <w:color w:val="000000"/>
                <w:kern w:val="0"/>
                <w:sz w:val="20"/>
                <w:szCs w:val="20"/>
                <w:lang w:eastAsia="es-CO"/>
                <w14:ligatures w14:val="none"/>
              </w:rPr>
            </w:pPr>
          </w:p>
        </w:tc>
        <w:tc>
          <w:tcPr>
            <w:tcW w:w="763" w:type="pct"/>
            <w:vAlign w:val="center"/>
            <w:hideMark/>
          </w:tcPr>
          <w:p w14:paraId="161F71DE" w14:textId="77777777" w:rsidR="00ED27A4" w:rsidRPr="00951AB1" w:rsidRDefault="00ED27A4" w:rsidP="000A5389">
            <w:pPr>
              <w:spacing w:line="240" w:lineRule="auto"/>
              <w:jc w:val="right"/>
              <w:rPr>
                <w:rFonts w:eastAsia="Times New Roman" w:cs="Times New Roman"/>
                <w:color w:val="000000"/>
                <w:kern w:val="0"/>
                <w:sz w:val="20"/>
                <w:szCs w:val="20"/>
                <w:lang w:eastAsia="es-CO"/>
                <w14:ligatures w14:val="none"/>
              </w:rPr>
            </w:pPr>
            <w:r w:rsidRPr="00951AB1">
              <w:rPr>
                <w:rFonts w:eastAsia="Times New Roman" w:cs="Times New Roman"/>
                <w:color w:val="000000"/>
                <w:kern w:val="0"/>
                <w:sz w:val="20"/>
                <w:szCs w:val="20"/>
                <w:lang w:eastAsia="es-CO"/>
                <w14:ligatures w14:val="none"/>
              </w:rPr>
              <w:t>900135168</w:t>
            </w:r>
          </w:p>
        </w:tc>
        <w:tc>
          <w:tcPr>
            <w:tcW w:w="2265" w:type="pct"/>
            <w:vAlign w:val="center"/>
            <w:hideMark/>
          </w:tcPr>
          <w:p w14:paraId="4F6008B8" w14:textId="77777777" w:rsidR="00ED27A4" w:rsidRPr="00951AB1" w:rsidRDefault="00ED27A4" w:rsidP="000A5389">
            <w:pPr>
              <w:spacing w:line="240" w:lineRule="auto"/>
              <w:rPr>
                <w:rFonts w:eastAsia="Times New Roman" w:cs="Times New Roman"/>
                <w:color w:val="000000"/>
                <w:kern w:val="0"/>
                <w:sz w:val="20"/>
                <w:szCs w:val="20"/>
                <w:lang w:eastAsia="es-CO"/>
                <w14:ligatures w14:val="none"/>
              </w:rPr>
            </w:pPr>
            <w:r w:rsidRPr="00951AB1">
              <w:rPr>
                <w:rFonts w:eastAsia="Times New Roman" w:cs="Times New Roman"/>
                <w:color w:val="000000"/>
                <w:kern w:val="0"/>
                <w:sz w:val="20"/>
                <w:szCs w:val="20"/>
                <w:lang w:eastAsia="es-CO"/>
                <w14:ligatures w14:val="none"/>
              </w:rPr>
              <w:t>Autopistas de la Sabana S.A.S</w:t>
            </w:r>
          </w:p>
        </w:tc>
        <w:tc>
          <w:tcPr>
            <w:tcW w:w="1209" w:type="pct"/>
            <w:vAlign w:val="center"/>
            <w:hideMark/>
          </w:tcPr>
          <w:p w14:paraId="323B6817" w14:textId="77777777" w:rsidR="00ED27A4" w:rsidRPr="00951AB1" w:rsidRDefault="00ED27A4" w:rsidP="000A5389">
            <w:pPr>
              <w:spacing w:line="240" w:lineRule="auto"/>
              <w:jc w:val="right"/>
              <w:rPr>
                <w:rFonts w:eastAsia="Times New Roman" w:cs="Times New Roman"/>
                <w:color w:val="000000"/>
                <w:kern w:val="0"/>
                <w:sz w:val="20"/>
                <w:szCs w:val="20"/>
                <w:lang w:eastAsia="es-CO"/>
                <w14:ligatures w14:val="none"/>
              </w:rPr>
            </w:pPr>
            <w:r w:rsidRPr="00951AB1">
              <w:rPr>
                <w:rFonts w:eastAsia="Times New Roman" w:cs="Times New Roman"/>
                <w:color w:val="000000"/>
                <w:kern w:val="0"/>
                <w:sz w:val="20"/>
                <w:szCs w:val="20"/>
                <w:lang w:eastAsia="es-CO"/>
                <w14:ligatures w14:val="none"/>
              </w:rPr>
              <w:t xml:space="preserve">        25.994.037.901 </w:t>
            </w:r>
          </w:p>
        </w:tc>
      </w:tr>
      <w:tr w:rsidR="00ED27A4" w:rsidRPr="00951AB1" w14:paraId="4155FC55" w14:textId="77777777" w:rsidTr="00ED27A4">
        <w:trPr>
          <w:trHeight w:val="533"/>
        </w:trPr>
        <w:tc>
          <w:tcPr>
            <w:tcW w:w="763" w:type="pct"/>
            <w:vMerge/>
            <w:vAlign w:val="center"/>
            <w:hideMark/>
          </w:tcPr>
          <w:p w14:paraId="3EBD5EF5" w14:textId="5C462886" w:rsidR="00ED27A4" w:rsidRPr="00951AB1" w:rsidRDefault="00ED27A4" w:rsidP="000A5389">
            <w:pPr>
              <w:spacing w:line="240" w:lineRule="auto"/>
              <w:rPr>
                <w:rFonts w:eastAsia="Times New Roman" w:cs="Times New Roman"/>
                <w:color w:val="000000"/>
                <w:kern w:val="0"/>
                <w:sz w:val="20"/>
                <w:szCs w:val="20"/>
                <w:lang w:eastAsia="es-CO"/>
                <w14:ligatures w14:val="none"/>
              </w:rPr>
            </w:pPr>
          </w:p>
        </w:tc>
        <w:tc>
          <w:tcPr>
            <w:tcW w:w="763" w:type="pct"/>
            <w:vAlign w:val="center"/>
            <w:hideMark/>
          </w:tcPr>
          <w:p w14:paraId="01F0BF8A" w14:textId="77777777" w:rsidR="00ED27A4" w:rsidRPr="00951AB1" w:rsidRDefault="00ED27A4" w:rsidP="000A5389">
            <w:pPr>
              <w:spacing w:line="240" w:lineRule="auto"/>
              <w:jc w:val="right"/>
              <w:rPr>
                <w:rFonts w:eastAsia="Times New Roman" w:cs="Times New Roman"/>
                <w:color w:val="000000"/>
                <w:kern w:val="0"/>
                <w:sz w:val="20"/>
                <w:szCs w:val="20"/>
                <w:lang w:eastAsia="es-CO"/>
                <w14:ligatures w14:val="none"/>
              </w:rPr>
            </w:pPr>
            <w:r w:rsidRPr="00951AB1">
              <w:rPr>
                <w:rFonts w:eastAsia="Times New Roman" w:cs="Times New Roman"/>
                <w:color w:val="000000"/>
                <w:kern w:val="0"/>
                <w:sz w:val="20"/>
                <w:szCs w:val="20"/>
                <w:lang w:eastAsia="es-CO"/>
                <w14:ligatures w14:val="none"/>
              </w:rPr>
              <w:t>900858096</w:t>
            </w:r>
          </w:p>
        </w:tc>
        <w:tc>
          <w:tcPr>
            <w:tcW w:w="2265" w:type="pct"/>
            <w:vAlign w:val="center"/>
            <w:hideMark/>
          </w:tcPr>
          <w:p w14:paraId="0BF0BF24" w14:textId="77777777" w:rsidR="00ED27A4" w:rsidRPr="00951AB1" w:rsidRDefault="00ED27A4" w:rsidP="000A5389">
            <w:pPr>
              <w:spacing w:line="240" w:lineRule="auto"/>
              <w:rPr>
                <w:rFonts w:eastAsia="Times New Roman" w:cs="Times New Roman"/>
                <w:color w:val="000000"/>
                <w:kern w:val="0"/>
                <w:sz w:val="20"/>
                <w:szCs w:val="20"/>
                <w:lang w:eastAsia="es-CO"/>
                <w14:ligatures w14:val="none"/>
              </w:rPr>
            </w:pPr>
            <w:r w:rsidRPr="00951AB1">
              <w:rPr>
                <w:rFonts w:eastAsia="Times New Roman" w:cs="Times New Roman"/>
                <w:color w:val="000000"/>
                <w:kern w:val="0"/>
                <w:sz w:val="20"/>
                <w:szCs w:val="20"/>
                <w:lang w:eastAsia="es-CO"/>
                <w14:ligatures w14:val="none"/>
              </w:rPr>
              <w:t>Sociedad Concesionaria Vial Montes de María S.A.S.</w:t>
            </w:r>
          </w:p>
        </w:tc>
        <w:tc>
          <w:tcPr>
            <w:tcW w:w="1209" w:type="pct"/>
            <w:vAlign w:val="center"/>
            <w:hideMark/>
          </w:tcPr>
          <w:p w14:paraId="2DE18FCA" w14:textId="77777777" w:rsidR="00ED27A4" w:rsidRPr="00951AB1" w:rsidRDefault="00ED27A4" w:rsidP="000A5389">
            <w:pPr>
              <w:spacing w:line="240" w:lineRule="auto"/>
              <w:jc w:val="right"/>
              <w:rPr>
                <w:rFonts w:eastAsia="Times New Roman" w:cs="Times New Roman"/>
                <w:color w:val="000000"/>
                <w:kern w:val="0"/>
                <w:sz w:val="20"/>
                <w:szCs w:val="20"/>
                <w:lang w:eastAsia="es-CO"/>
                <w14:ligatures w14:val="none"/>
              </w:rPr>
            </w:pPr>
            <w:r w:rsidRPr="00951AB1">
              <w:rPr>
                <w:rFonts w:eastAsia="Times New Roman" w:cs="Times New Roman"/>
                <w:color w:val="000000"/>
                <w:kern w:val="0"/>
                <w:sz w:val="20"/>
                <w:szCs w:val="20"/>
                <w:lang w:eastAsia="es-CO"/>
                <w14:ligatures w14:val="none"/>
              </w:rPr>
              <w:t xml:space="preserve">        25.712.780.011 </w:t>
            </w:r>
          </w:p>
        </w:tc>
      </w:tr>
      <w:tr w:rsidR="00ED27A4" w:rsidRPr="00951AB1" w14:paraId="4FF3D9C1" w14:textId="77777777" w:rsidTr="00ED27A4">
        <w:trPr>
          <w:trHeight w:val="293"/>
        </w:trPr>
        <w:tc>
          <w:tcPr>
            <w:tcW w:w="763" w:type="pct"/>
            <w:vMerge/>
            <w:vAlign w:val="center"/>
            <w:hideMark/>
          </w:tcPr>
          <w:p w14:paraId="1ABE302C" w14:textId="38BDB30D" w:rsidR="00ED27A4" w:rsidRPr="00951AB1" w:rsidRDefault="00ED27A4" w:rsidP="000A5389">
            <w:pPr>
              <w:spacing w:line="240" w:lineRule="auto"/>
              <w:rPr>
                <w:rFonts w:eastAsia="Times New Roman" w:cs="Times New Roman"/>
                <w:color w:val="000000"/>
                <w:kern w:val="0"/>
                <w:sz w:val="20"/>
                <w:szCs w:val="20"/>
                <w:lang w:eastAsia="es-CO"/>
                <w14:ligatures w14:val="none"/>
              </w:rPr>
            </w:pPr>
          </w:p>
        </w:tc>
        <w:tc>
          <w:tcPr>
            <w:tcW w:w="763" w:type="pct"/>
            <w:vAlign w:val="center"/>
            <w:hideMark/>
          </w:tcPr>
          <w:p w14:paraId="0D4AB758" w14:textId="77777777" w:rsidR="00ED27A4" w:rsidRPr="00951AB1" w:rsidRDefault="00ED27A4" w:rsidP="000A5389">
            <w:pPr>
              <w:spacing w:line="240" w:lineRule="auto"/>
              <w:jc w:val="right"/>
              <w:rPr>
                <w:rFonts w:eastAsia="Times New Roman" w:cs="Times New Roman"/>
                <w:color w:val="000000"/>
                <w:kern w:val="0"/>
                <w:sz w:val="20"/>
                <w:szCs w:val="20"/>
                <w:lang w:eastAsia="es-CO"/>
                <w14:ligatures w14:val="none"/>
              </w:rPr>
            </w:pPr>
            <w:r w:rsidRPr="00951AB1">
              <w:rPr>
                <w:rFonts w:eastAsia="Times New Roman" w:cs="Times New Roman"/>
                <w:color w:val="000000"/>
                <w:kern w:val="0"/>
                <w:sz w:val="20"/>
                <w:szCs w:val="20"/>
                <w:lang w:eastAsia="es-CO"/>
                <w14:ligatures w14:val="none"/>
              </w:rPr>
              <w:t>900745219</w:t>
            </w:r>
          </w:p>
        </w:tc>
        <w:tc>
          <w:tcPr>
            <w:tcW w:w="2265" w:type="pct"/>
            <w:vAlign w:val="center"/>
            <w:hideMark/>
          </w:tcPr>
          <w:p w14:paraId="066856A8" w14:textId="77777777" w:rsidR="00ED27A4" w:rsidRPr="00951AB1" w:rsidRDefault="00ED27A4" w:rsidP="000A5389">
            <w:pPr>
              <w:spacing w:line="240" w:lineRule="auto"/>
              <w:rPr>
                <w:rFonts w:eastAsia="Times New Roman" w:cs="Times New Roman"/>
                <w:color w:val="000000"/>
                <w:kern w:val="0"/>
                <w:sz w:val="20"/>
                <w:szCs w:val="20"/>
                <w:lang w:eastAsia="es-CO"/>
                <w14:ligatures w14:val="none"/>
              </w:rPr>
            </w:pPr>
            <w:r w:rsidRPr="00951AB1">
              <w:rPr>
                <w:rFonts w:eastAsia="Times New Roman" w:cs="Times New Roman"/>
                <w:color w:val="000000"/>
                <w:kern w:val="0"/>
                <w:sz w:val="20"/>
                <w:szCs w:val="20"/>
                <w:lang w:eastAsia="es-CO"/>
                <w14:ligatures w14:val="none"/>
              </w:rPr>
              <w:t>Concesión Alto Magdalena S A S</w:t>
            </w:r>
          </w:p>
        </w:tc>
        <w:tc>
          <w:tcPr>
            <w:tcW w:w="1209" w:type="pct"/>
            <w:vAlign w:val="center"/>
            <w:hideMark/>
          </w:tcPr>
          <w:p w14:paraId="6BD11A89" w14:textId="77777777" w:rsidR="00ED27A4" w:rsidRPr="00951AB1" w:rsidRDefault="00ED27A4" w:rsidP="000A5389">
            <w:pPr>
              <w:spacing w:line="240" w:lineRule="auto"/>
              <w:jc w:val="right"/>
              <w:rPr>
                <w:rFonts w:eastAsia="Times New Roman" w:cs="Times New Roman"/>
                <w:color w:val="000000"/>
                <w:kern w:val="0"/>
                <w:sz w:val="20"/>
                <w:szCs w:val="20"/>
                <w:lang w:eastAsia="es-CO"/>
                <w14:ligatures w14:val="none"/>
              </w:rPr>
            </w:pPr>
            <w:r w:rsidRPr="00951AB1">
              <w:rPr>
                <w:rFonts w:eastAsia="Times New Roman" w:cs="Times New Roman"/>
                <w:color w:val="000000"/>
                <w:kern w:val="0"/>
                <w:sz w:val="20"/>
                <w:szCs w:val="20"/>
                <w:lang w:eastAsia="es-CO"/>
                <w14:ligatures w14:val="none"/>
              </w:rPr>
              <w:t xml:space="preserve">        24.469.585.637 </w:t>
            </w:r>
          </w:p>
        </w:tc>
      </w:tr>
      <w:tr w:rsidR="00ED27A4" w:rsidRPr="00951AB1" w14:paraId="18E7B220" w14:textId="77777777" w:rsidTr="00ED27A4">
        <w:trPr>
          <w:trHeight w:val="293"/>
        </w:trPr>
        <w:tc>
          <w:tcPr>
            <w:tcW w:w="763" w:type="pct"/>
            <w:vMerge/>
            <w:vAlign w:val="center"/>
            <w:hideMark/>
          </w:tcPr>
          <w:p w14:paraId="58F58ED0" w14:textId="095CB4B4" w:rsidR="00ED27A4" w:rsidRPr="00951AB1" w:rsidRDefault="00ED27A4" w:rsidP="000A5389">
            <w:pPr>
              <w:spacing w:line="240" w:lineRule="auto"/>
              <w:rPr>
                <w:rFonts w:eastAsia="Times New Roman" w:cs="Times New Roman"/>
                <w:color w:val="000000"/>
                <w:kern w:val="0"/>
                <w:sz w:val="20"/>
                <w:szCs w:val="20"/>
                <w:lang w:eastAsia="es-CO"/>
                <w14:ligatures w14:val="none"/>
              </w:rPr>
            </w:pPr>
          </w:p>
        </w:tc>
        <w:tc>
          <w:tcPr>
            <w:tcW w:w="763" w:type="pct"/>
            <w:vAlign w:val="center"/>
            <w:hideMark/>
          </w:tcPr>
          <w:p w14:paraId="5F74A943" w14:textId="77777777" w:rsidR="00ED27A4" w:rsidRPr="00951AB1" w:rsidRDefault="00ED27A4" w:rsidP="000A5389">
            <w:pPr>
              <w:spacing w:line="240" w:lineRule="auto"/>
              <w:jc w:val="right"/>
              <w:rPr>
                <w:rFonts w:eastAsia="Times New Roman" w:cs="Times New Roman"/>
                <w:color w:val="000000"/>
                <w:kern w:val="0"/>
                <w:sz w:val="20"/>
                <w:szCs w:val="20"/>
                <w:lang w:eastAsia="es-CO"/>
                <w14:ligatures w14:val="none"/>
              </w:rPr>
            </w:pPr>
            <w:r w:rsidRPr="00951AB1">
              <w:rPr>
                <w:rFonts w:eastAsia="Times New Roman" w:cs="Times New Roman"/>
                <w:color w:val="000000"/>
                <w:kern w:val="0"/>
                <w:sz w:val="20"/>
                <w:szCs w:val="20"/>
                <w:lang w:eastAsia="es-CO"/>
                <w14:ligatures w14:val="none"/>
              </w:rPr>
              <w:t>900864150</w:t>
            </w:r>
          </w:p>
        </w:tc>
        <w:tc>
          <w:tcPr>
            <w:tcW w:w="2265" w:type="pct"/>
            <w:vAlign w:val="center"/>
            <w:hideMark/>
          </w:tcPr>
          <w:p w14:paraId="198E582B" w14:textId="77777777" w:rsidR="00ED27A4" w:rsidRPr="00951AB1" w:rsidRDefault="00ED27A4" w:rsidP="000A5389">
            <w:pPr>
              <w:spacing w:line="240" w:lineRule="auto"/>
              <w:rPr>
                <w:rFonts w:eastAsia="Times New Roman" w:cs="Times New Roman"/>
                <w:color w:val="000000"/>
                <w:kern w:val="0"/>
                <w:sz w:val="20"/>
                <w:szCs w:val="20"/>
                <w:lang w:eastAsia="es-CO"/>
                <w14:ligatures w14:val="none"/>
              </w:rPr>
            </w:pPr>
            <w:r w:rsidRPr="00951AB1">
              <w:rPr>
                <w:rFonts w:eastAsia="Times New Roman" w:cs="Times New Roman"/>
                <w:color w:val="000000"/>
                <w:kern w:val="0"/>
                <w:sz w:val="20"/>
                <w:szCs w:val="20"/>
                <w:lang w:eastAsia="es-CO"/>
                <w14:ligatures w14:val="none"/>
              </w:rPr>
              <w:t>Concesionaria Alternativas Viales S.A.S.</w:t>
            </w:r>
          </w:p>
        </w:tc>
        <w:tc>
          <w:tcPr>
            <w:tcW w:w="1209" w:type="pct"/>
            <w:vAlign w:val="center"/>
            <w:hideMark/>
          </w:tcPr>
          <w:p w14:paraId="04D92186" w14:textId="77777777" w:rsidR="00ED27A4" w:rsidRPr="00951AB1" w:rsidRDefault="00ED27A4" w:rsidP="000A5389">
            <w:pPr>
              <w:spacing w:line="240" w:lineRule="auto"/>
              <w:jc w:val="right"/>
              <w:rPr>
                <w:rFonts w:eastAsia="Times New Roman" w:cs="Times New Roman"/>
                <w:color w:val="000000"/>
                <w:kern w:val="0"/>
                <w:sz w:val="20"/>
                <w:szCs w:val="20"/>
                <w:lang w:eastAsia="es-CO"/>
                <w14:ligatures w14:val="none"/>
              </w:rPr>
            </w:pPr>
            <w:r w:rsidRPr="00951AB1">
              <w:rPr>
                <w:rFonts w:eastAsia="Times New Roman" w:cs="Times New Roman"/>
                <w:color w:val="000000"/>
                <w:kern w:val="0"/>
                <w:sz w:val="20"/>
                <w:szCs w:val="20"/>
                <w:lang w:eastAsia="es-CO"/>
                <w14:ligatures w14:val="none"/>
              </w:rPr>
              <w:t xml:space="preserve">        23.709.361.531 </w:t>
            </w:r>
          </w:p>
        </w:tc>
      </w:tr>
      <w:tr w:rsidR="00ED27A4" w:rsidRPr="00951AB1" w14:paraId="7476389D" w14:textId="77777777" w:rsidTr="00ED27A4">
        <w:trPr>
          <w:trHeight w:val="293"/>
        </w:trPr>
        <w:tc>
          <w:tcPr>
            <w:tcW w:w="763" w:type="pct"/>
            <w:vMerge/>
            <w:vAlign w:val="center"/>
            <w:hideMark/>
          </w:tcPr>
          <w:p w14:paraId="0BA9420E" w14:textId="2DED282C" w:rsidR="00ED27A4" w:rsidRPr="00951AB1" w:rsidRDefault="00ED27A4" w:rsidP="000A5389">
            <w:pPr>
              <w:spacing w:line="240" w:lineRule="auto"/>
              <w:rPr>
                <w:rFonts w:eastAsia="Times New Roman" w:cs="Times New Roman"/>
                <w:color w:val="000000"/>
                <w:kern w:val="0"/>
                <w:sz w:val="20"/>
                <w:szCs w:val="20"/>
                <w:lang w:eastAsia="es-CO"/>
                <w14:ligatures w14:val="none"/>
              </w:rPr>
            </w:pPr>
          </w:p>
        </w:tc>
        <w:tc>
          <w:tcPr>
            <w:tcW w:w="763" w:type="pct"/>
            <w:vAlign w:val="center"/>
            <w:hideMark/>
          </w:tcPr>
          <w:p w14:paraId="7757D10C" w14:textId="77777777" w:rsidR="00ED27A4" w:rsidRPr="00951AB1" w:rsidRDefault="00ED27A4" w:rsidP="000A5389">
            <w:pPr>
              <w:spacing w:line="240" w:lineRule="auto"/>
              <w:jc w:val="right"/>
              <w:rPr>
                <w:rFonts w:eastAsia="Times New Roman" w:cs="Times New Roman"/>
                <w:color w:val="000000"/>
                <w:kern w:val="0"/>
                <w:sz w:val="20"/>
                <w:szCs w:val="20"/>
                <w:lang w:eastAsia="es-CO"/>
                <w14:ligatures w14:val="none"/>
              </w:rPr>
            </w:pPr>
            <w:r w:rsidRPr="00951AB1">
              <w:rPr>
                <w:rFonts w:eastAsia="Times New Roman" w:cs="Times New Roman"/>
                <w:color w:val="000000"/>
                <w:kern w:val="0"/>
                <w:sz w:val="20"/>
                <w:szCs w:val="20"/>
                <w:lang w:eastAsia="es-CO"/>
                <w14:ligatures w14:val="none"/>
              </w:rPr>
              <w:t>900869678</w:t>
            </w:r>
          </w:p>
        </w:tc>
        <w:tc>
          <w:tcPr>
            <w:tcW w:w="2265" w:type="pct"/>
            <w:vAlign w:val="center"/>
            <w:hideMark/>
          </w:tcPr>
          <w:p w14:paraId="7EFBC1E0" w14:textId="30A4D5FC" w:rsidR="00ED27A4" w:rsidRPr="00951AB1" w:rsidRDefault="00ED27A4" w:rsidP="000A5389">
            <w:pPr>
              <w:spacing w:line="240" w:lineRule="auto"/>
              <w:rPr>
                <w:rFonts w:eastAsia="Times New Roman" w:cs="Times New Roman"/>
                <w:color w:val="000000"/>
                <w:kern w:val="0"/>
                <w:sz w:val="20"/>
                <w:szCs w:val="20"/>
                <w:lang w:eastAsia="es-CO"/>
                <w14:ligatures w14:val="none"/>
              </w:rPr>
            </w:pPr>
            <w:r w:rsidRPr="00951AB1">
              <w:rPr>
                <w:rFonts w:eastAsia="Times New Roman" w:cs="Times New Roman"/>
                <w:color w:val="000000"/>
                <w:kern w:val="0"/>
                <w:sz w:val="20"/>
                <w:szCs w:val="20"/>
                <w:lang w:eastAsia="es-CO"/>
                <w14:ligatures w14:val="none"/>
              </w:rPr>
              <w:t>Desarrollo Vial al Mar S.A.S</w:t>
            </w:r>
          </w:p>
        </w:tc>
        <w:tc>
          <w:tcPr>
            <w:tcW w:w="1209" w:type="pct"/>
            <w:vAlign w:val="center"/>
            <w:hideMark/>
          </w:tcPr>
          <w:p w14:paraId="1B49ACC8" w14:textId="77777777" w:rsidR="00ED27A4" w:rsidRPr="00951AB1" w:rsidRDefault="00ED27A4" w:rsidP="000A5389">
            <w:pPr>
              <w:spacing w:line="240" w:lineRule="auto"/>
              <w:jc w:val="right"/>
              <w:rPr>
                <w:rFonts w:eastAsia="Times New Roman" w:cs="Times New Roman"/>
                <w:color w:val="000000"/>
                <w:kern w:val="0"/>
                <w:sz w:val="20"/>
                <w:szCs w:val="20"/>
                <w:lang w:eastAsia="es-CO"/>
                <w14:ligatures w14:val="none"/>
              </w:rPr>
            </w:pPr>
            <w:r w:rsidRPr="00951AB1">
              <w:rPr>
                <w:rFonts w:eastAsia="Times New Roman" w:cs="Times New Roman"/>
                <w:color w:val="000000"/>
                <w:kern w:val="0"/>
                <w:sz w:val="20"/>
                <w:szCs w:val="20"/>
                <w:lang w:eastAsia="es-CO"/>
                <w14:ligatures w14:val="none"/>
              </w:rPr>
              <w:t xml:space="preserve">        23.691.850.880 </w:t>
            </w:r>
          </w:p>
        </w:tc>
      </w:tr>
      <w:tr w:rsidR="00ED27A4" w:rsidRPr="00951AB1" w14:paraId="0A149E59" w14:textId="77777777" w:rsidTr="00ED27A4">
        <w:trPr>
          <w:trHeight w:val="293"/>
        </w:trPr>
        <w:tc>
          <w:tcPr>
            <w:tcW w:w="763" w:type="pct"/>
            <w:vMerge/>
            <w:vAlign w:val="center"/>
            <w:hideMark/>
          </w:tcPr>
          <w:p w14:paraId="7666D592" w14:textId="205C1CC2" w:rsidR="00ED27A4" w:rsidRPr="00951AB1" w:rsidRDefault="00ED27A4" w:rsidP="000A5389">
            <w:pPr>
              <w:spacing w:line="240" w:lineRule="auto"/>
              <w:rPr>
                <w:rFonts w:eastAsia="Times New Roman" w:cs="Times New Roman"/>
                <w:color w:val="000000"/>
                <w:kern w:val="0"/>
                <w:sz w:val="20"/>
                <w:szCs w:val="20"/>
                <w:lang w:eastAsia="es-CO"/>
                <w14:ligatures w14:val="none"/>
              </w:rPr>
            </w:pPr>
          </w:p>
        </w:tc>
        <w:tc>
          <w:tcPr>
            <w:tcW w:w="763" w:type="pct"/>
            <w:vAlign w:val="center"/>
            <w:hideMark/>
          </w:tcPr>
          <w:p w14:paraId="621C29AA" w14:textId="77777777" w:rsidR="00ED27A4" w:rsidRPr="00951AB1" w:rsidRDefault="00ED27A4" w:rsidP="000A5389">
            <w:pPr>
              <w:spacing w:line="240" w:lineRule="auto"/>
              <w:jc w:val="right"/>
              <w:rPr>
                <w:rFonts w:eastAsia="Times New Roman" w:cs="Times New Roman"/>
                <w:color w:val="000000"/>
                <w:kern w:val="0"/>
                <w:sz w:val="20"/>
                <w:szCs w:val="20"/>
                <w:lang w:eastAsia="es-CO"/>
                <w14:ligatures w14:val="none"/>
              </w:rPr>
            </w:pPr>
            <w:r w:rsidRPr="00951AB1">
              <w:rPr>
                <w:rFonts w:eastAsia="Times New Roman" w:cs="Times New Roman"/>
                <w:color w:val="000000"/>
                <w:kern w:val="0"/>
                <w:sz w:val="20"/>
                <w:szCs w:val="20"/>
                <w:lang w:eastAsia="es-CO"/>
                <w14:ligatures w14:val="none"/>
              </w:rPr>
              <w:t>901082545</w:t>
            </w:r>
          </w:p>
        </w:tc>
        <w:tc>
          <w:tcPr>
            <w:tcW w:w="2265" w:type="pct"/>
            <w:vAlign w:val="center"/>
            <w:hideMark/>
          </w:tcPr>
          <w:p w14:paraId="6D7740B0" w14:textId="77777777" w:rsidR="00ED27A4" w:rsidRPr="00951AB1" w:rsidRDefault="00ED27A4" w:rsidP="000A5389">
            <w:pPr>
              <w:spacing w:line="240" w:lineRule="auto"/>
              <w:rPr>
                <w:rFonts w:eastAsia="Times New Roman" w:cs="Times New Roman"/>
                <w:color w:val="000000"/>
                <w:kern w:val="0"/>
                <w:sz w:val="20"/>
                <w:szCs w:val="20"/>
                <w:lang w:eastAsia="es-CO"/>
                <w14:ligatures w14:val="none"/>
              </w:rPr>
            </w:pPr>
            <w:r w:rsidRPr="00951AB1">
              <w:rPr>
                <w:rFonts w:eastAsia="Times New Roman" w:cs="Times New Roman"/>
                <w:color w:val="000000"/>
                <w:kern w:val="0"/>
                <w:sz w:val="20"/>
                <w:szCs w:val="20"/>
                <w:lang w:eastAsia="es-CO"/>
                <w14:ligatures w14:val="none"/>
              </w:rPr>
              <w:t>Union Vial Rio Pamplonita S.A.S.</w:t>
            </w:r>
          </w:p>
        </w:tc>
        <w:tc>
          <w:tcPr>
            <w:tcW w:w="1209" w:type="pct"/>
            <w:vAlign w:val="center"/>
            <w:hideMark/>
          </w:tcPr>
          <w:p w14:paraId="12F9894A" w14:textId="77777777" w:rsidR="00ED27A4" w:rsidRPr="00951AB1" w:rsidRDefault="00ED27A4" w:rsidP="000A5389">
            <w:pPr>
              <w:spacing w:line="240" w:lineRule="auto"/>
              <w:jc w:val="right"/>
              <w:rPr>
                <w:rFonts w:eastAsia="Times New Roman" w:cs="Times New Roman"/>
                <w:color w:val="000000"/>
                <w:kern w:val="0"/>
                <w:sz w:val="20"/>
                <w:szCs w:val="20"/>
                <w:lang w:eastAsia="es-CO"/>
                <w14:ligatures w14:val="none"/>
              </w:rPr>
            </w:pPr>
            <w:r w:rsidRPr="00951AB1">
              <w:rPr>
                <w:rFonts w:eastAsia="Times New Roman" w:cs="Times New Roman"/>
                <w:color w:val="000000"/>
                <w:kern w:val="0"/>
                <w:sz w:val="20"/>
                <w:szCs w:val="20"/>
                <w:lang w:eastAsia="es-CO"/>
                <w14:ligatures w14:val="none"/>
              </w:rPr>
              <w:t xml:space="preserve">        22.053.132.224 </w:t>
            </w:r>
          </w:p>
        </w:tc>
      </w:tr>
      <w:tr w:rsidR="00ED27A4" w:rsidRPr="00951AB1" w14:paraId="28188277" w14:textId="77777777" w:rsidTr="00ED27A4">
        <w:trPr>
          <w:trHeight w:val="293"/>
        </w:trPr>
        <w:tc>
          <w:tcPr>
            <w:tcW w:w="763" w:type="pct"/>
            <w:vMerge/>
            <w:vAlign w:val="center"/>
            <w:hideMark/>
          </w:tcPr>
          <w:p w14:paraId="540B743A" w14:textId="7FAA1107" w:rsidR="00ED27A4" w:rsidRPr="00951AB1" w:rsidRDefault="00ED27A4" w:rsidP="000A5389">
            <w:pPr>
              <w:spacing w:line="240" w:lineRule="auto"/>
              <w:rPr>
                <w:rFonts w:eastAsia="Times New Roman" w:cs="Times New Roman"/>
                <w:color w:val="000000"/>
                <w:kern w:val="0"/>
                <w:sz w:val="20"/>
                <w:szCs w:val="20"/>
                <w:lang w:eastAsia="es-CO"/>
                <w14:ligatures w14:val="none"/>
              </w:rPr>
            </w:pPr>
          </w:p>
        </w:tc>
        <w:tc>
          <w:tcPr>
            <w:tcW w:w="763" w:type="pct"/>
            <w:vAlign w:val="center"/>
            <w:hideMark/>
          </w:tcPr>
          <w:p w14:paraId="5676C23D" w14:textId="77777777" w:rsidR="00ED27A4" w:rsidRPr="00951AB1" w:rsidRDefault="00ED27A4" w:rsidP="000A5389">
            <w:pPr>
              <w:spacing w:line="240" w:lineRule="auto"/>
              <w:jc w:val="right"/>
              <w:rPr>
                <w:rFonts w:eastAsia="Times New Roman" w:cs="Times New Roman"/>
                <w:color w:val="000000"/>
                <w:kern w:val="0"/>
                <w:sz w:val="20"/>
                <w:szCs w:val="20"/>
                <w:lang w:eastAsia="es-CO"/>
                <w14:ligatures w14:val="none"/>
              </w:rPr>
            </w:pPr>
            <w:r w:rsidRPr="00951AB1">
              <w:rPr>
                <w:rFonts w:eastAsia="Times New Roman" w:cs="Times New Roman"/>
                <w:color w:val="000000"/>
                <w:kern w:val="0"/>
                <w:sz w:val="20"/>
                <w:szCs w:val="20"/>
                <w:lang w:eastAsia="es-CO"/>
                <w14:ligatures w14:val="none"/>
              </w:rPr>
              <w:t>800235278</w:t>
            </w:r>
          </w:p>
        </w:tc>
        <w:tc>
          <w:tcPr>
            <w:tcW w:w="2265" w:type="pct"/>
            <w:vAlign w:val="center"/>
            <w:hideMark/>
          </w:tcPr>
          <w:p w14:paraId="250690F4" w14:textId="77777777" w:rsidR="00ED27A4" w:rsidRPr="00951AB1" w:rsidRDefault="00ED27A4" w:rsidP="000A5389">
            <w:pPr>
              <w:spacing w:line="240" w:lineRule="auto"/>
              <w:rPr>
                <w:rFonts w:eastAsia="Times New Roman" w:cs="Times New Roman"/>
                <w:color w:val="000000"/>
                <w:kern w:val="0"/>
                <w:sz w:val="20"/>
                <w:szCs w:val="20"/>
                <w:lang w:eastAsia="es-CO"/>
                <w14:ligatures w14:val="none"/>
              </w:rPr>
            </w:pPr>
            <w:r w:rsidRPr="00951AB1">
              <w:rPr>
                <w:rFonts w:eastAsia="Times New Roman" w:cs="Times New Roman"/>
                <w:color w:val="000000"/>
                <w:kern w:val="0"/>
                <w:sz w:val="20"/>
                <w:szCs w:val="20"/>
                <w:lang w:eastAsia="es-CO"/>
                <w14:ligatures w14:val="none"/>
              </w:rPr>
              <w:t>Concesión Santa Marta Paraguachon S.A.</w:t>
            </w:r>
          </w:p>
        </w:tc>
        <w:tc>
          <w:tcPr>
            <w:tcW w:w="1209" w:type="pct"/>
            <w:vAlign w:val="center"/>
            <w:hideMark/>
          </w:tcPr>
          <w:p w14:paraId="07F39E9C" w14:textId="77777777" w:rsidR="00ED27A4" w:rsidRPr="00951AB1" w:rsidRDefault="00ED27A4" w:rsidP="000A5389">
            <w:pPr>
              <w:spacing w:line="240" w:lineRule="auto"/>
              <w:jc w:val="right"/>
              <w:rPr>
                <w:rFonts w:eastAsia="Times New Roman" w:cs="Times New Roman"/>
                <w:color w:val="000000"/>
                <w:kern w:val="0"/>
                <w:sz w:val="20"/>
                <w:szCs w:val="20"/>
                <w:lang w:eastAsia="es-CO"/>
                <w14:ligatures w14:val="none"/>
              </w:rPr>
            </w:pPr>
            <w:r w:rsidRPr="00951AB1">
              <w:rPr>
                <w:rFonts w:eastAsia="Times New Roman" w:cs="Times New Roman"/>
                <w:color w:val="000000"/>
                <w:kern w:val="0"/>
                <w:sz w:val="20"/>
                <w:szCs w:val="20"/>
                <w:lang w:eastAsia="es-CO"/>
                <w14:ligatures w14:val="none"/>
              </w:rPr>
              <w:t xml:space="preserve">        21.709.874.505 </w:t>
            </w:r>
          </w:p>
        </w:tc>
      </w:tr>
      <w:tr w:rsidR="00ED27A4" w:rsidRPr="00951AB1" w14:paraId="05E3F4CE" w14:textId="77777777" w:rsidTr="00ED27A4">
        <w:trPr>
          <w:trHeight w:val="293"/>
        </w:trPr>
        <w:tc>
          <w:tcPr>
            <w:tcW w:w="763" w:type="pct"/>
            <w:vMerge/>
            <w:vAlign w:val="center"/>
            <w:hideMark/>
          </w:tcPr>
          <w:p w14:paraId="4F51E71F" w14:textId="58413A42" w:rsidR="00ED27A4" w:rsidRPr="00951AB1" w:rsidRDefault="00ED27A4" w:rsidP="000A5389">
            <w:pPr>
              <w:spacing w:line="240" w:lineRule="auto"/>
              <w:rPr>
                <w:rFonts w:eastAsia="Times New Roman" w:cs="Times New Roman"/>
                <w:color w:val="000000"/>
                <w:kern w:val="0"/>
                <w:sz w:val="20"/>
                <w:szCs w:val="20"/>
                <w:lang w:eastAsia="es-CO"/>
                <w14:ligatures w14:val="none"/>
              </w:rPr>
            </w:pPr>
          </w:p>
        </w:tc>
        <w:tc>
          <w:tcPr>
            <w:tcW w:w="763" w:type="pct"/>
            <w:vAlign w:val="center"/>
            <w:hideMark/>
          </w:tcPr>
          <w:p w14:paraId="141C6C94" w14:textId="77777777" w:rsidR="00ED27A4" w:rsidRPr="00951AB1" w:rsidRDefault="00ED27A4" w:rsidP="000A5389">
            <w:pPr>
              <w:spacing w:line="240" w:lineRule="auto"/>
              <w:jc w:val="right"/>
              <w:rPr>
                <w:rFonts w:eastAsia="Times New Roman" w:cs="Times New Roman"/>
                <w:color w:val="000000"/>
                <w:kern w:val="0"/>
                <w:sz w:val="20"/>
                <w:szCs w:val="20"/>
                <w:lang w:eastAsia="es-CO"/>
                <w14:ligatures w14:val="none"/>
              </w:rPr>
            </w:pPr>
            <w:r w:rsidRPr="00951AB1">
              <w:rPr>
                <w:rFonts w:eastAsia="Times New Roman" w:cs="Times New Roman"/>
                <w:color w:val="000000"/>
                <w:kern w:val="0"/>
                <w:sz w:val="20"/>
                <w:szCs w:val="20"/>
                <w:lang w:eastAsia="es-CO"/>
                <w14:ligatures w14:val="none"/>
              </w:rPr>
              <w:t>900793991</w:t>
            </w:r>
          </w:p>
        </w:tc>
        <w:tc>
          <w:tcPr>
            <w:tcW w:w="2265" w:type="pct"/>
            <w:vAlign w:val="center"/>
            <w:hideMark/>
          </w:tcPr>
          <w:p w14:paraId="217E14DA" w14:textId="77777777" w:rsidR="00ED27A4" w:rsidRPr="00951AB1" w:rsidRDefault="00ED27A4" w:rsidP="000A5389">
            <w:pPr>
              <w:spacing w:line="240" w:lineRule="auto"/>
              <w:rPr>
                <w:rFonts w:eastAsia="Times New Roman" w:cs="Times New Roman"/>
                <w:color w:val="000000"/>
                <w:kern w:val="0"/>
                <w:sz w:val="20"/>
                <w:szCs w:val="20"/>
                <w:lang w:eastAsia="es-CO"/>
                <w14:ligatures w14:val="none"/>
              </w:rPr>
            </w:pPr>
            <w:r w:rsidRPr="00951AB1">
              <w:rPr>
                <w:rFonts w:eastAsia="Times New Roman" w:cs="Times New Roman"/>
                <w:color w:val="000000"/>
                <w:kern w:val="0"/>
                <w:sz w:val="20"/>
                <w:szCs w:val="20"/>
                <w:lang w:eastAsia="es-CO"/>
                <w14:ligatures w14:val="none"/>
              </w:rPr>
              <w:t>Autopistas del Nordeste S.A.S.</w:t>
            </w:r>
          </w:p>
        </w:tc>
        <w:tc>
          <w:tcPr>
            <w:tcW w:w="1209" w:type="pct"/>
            <w:vAlign w:val="center"/>
            <w:hideMark/>
          </w:tcPr>
          <w:p w14:paraId="7CF2B3AD" w14:textId="77777777" w:rsidR="00ED27A4" w:rsidRPr="00951AB1" w:rsidRDefault="00ED27A4" w:rsidP="000A5389">
            <w:pPr>
              <w:spacing w:line="240" w:lineRule="auto"/>
              <w:jc w:val="right"/>
              <w:rPr>
                <w:rFonts w:eastAsia="Times New Roman" w:cs="Times New Roman"/>
                <w:color w:val="000000"/>
                <w:kern w:val="0"/>
                <w:sz w:val="20"/>
                <w:szCs w:val="20"/>
                <w:lang w:eastAsia="es-CO"/>
                <w14:ligatures w14:val="none"/>
              </w:rPr>
            </w:pPr>
            <w:r w:rsidRPr="00951AB1">
              <w:rPr>
                <w:rFonts w:eastAsia="Times New Roman" w:cs="Times New Roman"/>
                <w:color w:val="000000"/>
                <w:kern w:val="0"/>
                <w:sz w:val="20"/>
                <w:szCs w:val="20"/>
                <w:lang w:eastAsia="es-CO"/>
                <w14:ligatures w14:val="none"/>
              </w:rPr>
              <w:t xml:space="preserve">        16.848.902.101 </w:t>
            </w:r>
          </w:p>
        </w:tc>
      </w:tr>
      <w:tr w:rsidR="00ED27A4" w:rsidRPr="00951AB1" w14:paraId="4113E579" w14:textId="77777777" w:rsidTr="00ED27A4">
        <w:trPr>
          <w:trHeight w:val="533"/>
        </w:trPr>
        <w:tc>
          <w:tcPr>
            <w:tcW w:w="763" w:type="pct"/>
            <w:vMerge/>
            <w:vAlign w:val="center"/>
            <w:hideMark/>
          </w:tcPr>
          <w:p w14:paraId="1533272E" w14:textId="32803EAD" w:rsidR="00ED27A4" w:rsidRPr="00951AB1" w:rsidRDefault="00ED27A4" w:rsidP="000A5389">
            <w:pPr>
              <w:spacing w:line="240" w:lineRule="auto"/>
              <w:rPr>
                <w:rFonts w:eastAsia="Times New Roman" w:cs="Times New Roman"/>
                <w:color w:val="000000"/>
                <w:kern w:val="0"/>
                <w:sz w:val="20"/>
                <w:szCs w:val="20"/>
                <w:lang w:eastAsia="es-CO"/>
                <w14:ligatures w14:val="none"/>
              </w:rPr>
            </w:pPr>
          </w:p>
        </w:tc>
        <w:tc>
          <w:tcPr>
            <w:tcW w:w="763" w:type="pct"/>
            <w:vAlign w:val="center"/>
            <w:hideMark/>
          </w:tcPr>
          <w:p w14:paraId="6672C6DB" w14:textId="77777777" w:rsidR="00ED27A4" w:rsidRPr="00951AB1" w:rsidRDefault="00ED27A4" w:rsidP="000A5389">
            <w:pPr>
              <w:spacing w:line="240" w:lineRule="auto"/>
              <w:jc w:val="right"/>
              <w:rPr>
                <w:rFonts w:eastAsia="Times New Roman" w:cs="Times New Roman"/>
                <w:color w:val="000000"/>
                <w:kern w:val="0"/>
                <w:sz w:val="20"/>
                <w:szCs w:val="20"/>
                <w:lang w:eastAsia="es-CO"/>
                <w14:ligatures w14:val="none"/>
              </w:rPr>
            </w:pPr>
            <w:r w:rsidRPr="00951AB1">
              <w:rPr>
                <w:rFonts w:eastAsia="Times New Roman" w:cs="Times New Roman"/>
                <w:color w:val="000000"/>
                <w:kern w:val="0"/>
                <w:sz w:val="20"/>
                <w:szCs w:val="20"/>
                <w:lang w:eastAsia="es-CO"/>
                <w14:ligatures w14:val="none"/>
              </w:rPr>
              <w:t>800187234</w:t>
            </w:r>
          </w:p>
        </w:tc>
        <w:tc>
          <w:tcPr>
            <w:tcW w:w="2265" w:type="pct"/>
            <w:vAlign w:val="center"/>
            <w:hideMark/>
          </w:tcPr>
          <w:p w14:paraId="5C43B3C5" w14:textId="77777777" w:rsidR="00ED27A4" w:rsidRPr="00951AB1" w:rsidRDefault="00ED27A4" w:rsidP="000A5389">
            <w:pPr>
              <w:spacing w:line="240" w:lineRule="auto"/>
              <w:rPr>
                <w:rFonts w:eastAsia="Times New Roman" w:cs="Times New Roman"/>
                <w:color w:val="000000"/>
                <w:kern w:val="0"/>
                <w:sz w:val="20"/>
                <w:szCs w:val="20"/>
                <w:lang w:eastAsia="es-CO"/>
                <w14:ligatures w14:val="none"/>
              </w:rPr>
            </w:pPr>
            <w:r w:rsidRPr="00951AB1">
              <w:rPr>
                <w:rFonts w:eastAsia="Times New Roman" w:cs="Times New Roman"/>
                <w:color w:val="000000"/>
                <w:kern w:val="0"/>
                <w:sz w:val="20"/>
                <w:szCs w:val="20"/>
                <w:lang w:eastAsia="es-CO"/>
                <w14:ligatures w14:val="none"/>
              </w:rPr>
              <w:t>Sociedad Portuaria Regional de Santa Marta S. A</w:t>
            </w:r>
          </w:p>
        </w:tc>
        <w:tc>
          <w:tcPr>
            <w:tcW w:w="1209" w:type="pct"/>
            <w:vAlign w:val="center"/>
            <w:hideMark/>
          </w:tcPr>
          <w:p w14:paraId="2C548235" w14:textId="77777777" w:rsidR="00ED27A4" w:rsidRPr="00951AB1" w:rsidRDefault="00ED27A4" w:rsidP="000A5389">
            <w:pPr>
              <w:spacing w:line="240" w:lineRule="auto"/>
              <w:jc w:val="right"/>
              <w:rPr>
                <w:rFonts w:eastAsia="Times New Roman" w:cs="Times New Roman"/>
                <w:color w:val="000000"/>
                <w:kern w:val="0"/>
                <w:sz w:val="20"/>
                <w:szCs w:val="20"/>
                <w:lang w:eastAsia="es-CO"/>
                <w14:ligatures w14:val="none"/>
              </w:rPr>
            </w:pPr>
            <w:r w:rsidRPr="00951AB1">
              <w:rPr>
                <w:rFonts w:eastAsia="Times New Roman" w:cs="Times New Roman"/>
                <w:color w:val="000000"/>
                <w:kern w:val="0"/>
                <w:sz w:val="20"/>
                <w:szCs w:val="20"/>
                <w:lang w:eastAsia="es-CO"/>
                <w14:ligatures w14:val="none"/>
              </w:rPr>
              <w:t xml:space="preserve">        16.676.754.976 </w:t>
            </w:r>
          </w:p>
        </w:tc>
      </w:tr>
      <w:tr w:rsidR="00ED27A4" w:rsidRPr="00951AB1" w14:paraId="066001B6" w14:textId="77777777" w:rsidTr="00ED27A4">
        <w:trPr>
          <w:trHeight w:val="293"/>
        </w:trPr>
        <w:tc>
          <w:tcPr>
            <w:tcW w:w="763" w:type="pct"/>
            <w:vMerge/>
            <w:vAlign w:val="center"/>
            <w:hideMark/>
          </w:tcPr>
          <w:p w14:paraId="335731F8" w14:textId="72AA8EDE" w:rsidR="00ED27A4" w:rsidRPr="00951AB1" w:rsidRDefault="00ED27A4" w:rsidP="000A5389">
            <w:pPr>
              <w:spacing w:line="240" w:lineRule="auto"/>
              <w:rPr>
                <w:rFonts w:eastAsia="Times New Roman" w:cs="Times New Roman"/>
                <w:color w:val="000000"/>
                <w:kern w:val="0"/>
                <w:sz w:val="20"/>
                <w:szCs w:val="20"/>
                <w:lang w:eastAsia="es-CO"/>
                <w14:ligatures w14:val="none"/>
              </w:rPr>
            </w:pPr>
          </w:p>
        </w:tc>
        <w:tc>
          <w:tcPr>
            <w:tcW w:w="763" w:type="pct"/>
            <w:vAlign w:val="center"/>
            <w:hideMark/>
          </w:tcPr>
          <w:p w14:paraId="3324B6DC" w14:textId="77777777" w:rsidR="00ED27A4" w:rsidRPr="00951AB1" w:rsidRDefault="00ED27A4" w:rsidP="000A5389">
            <w:pPr>
              <w:spacing w:line="240" w:lineRule="auto"/>
              <w:jc w:val="right"/>
              <w:rPr>
                <w:rFonts w:eastAsia="Times New Roman" w:cs="Times New Roman"/>
                <w:color w:val="000000"/>
                <w:kern w:val="0"/>
                <w:sz w:val="20"/>
                <w:szCs w:val="20"/>
                <w:lang w:eastAsia="es-CO"/>
                <w14:ligatures w14:val="none"/>
              </w:rPr>
            </w:pPr>
            <w:r w:rsidRPr="00951AB1">
              <w:rPr>
                <w:rFonts w:eastAsia="Times New Roman" w:cs="Times New Roman"/>
                <w:color w:val="000000"/>
                <w:kern w:val="0"/>
                <w:sz w:val="20"/>
                <w:szCs w:val="20"/>
                <w:lang w:eastAsia="es-CO"/>
                <w14:ligatures w14:val="none"/>
              </w:rPr>
              <w:t>901607093</w:t>
            </w:r>
          </w:p>
        </w:tc>
        <w:tc>
          <w:tcPr>
            <w:tcW w:w="2265" w:type="pct"/>
            <w:vAlign w:val="center"/>
            <w:hideMark/>
          </w:tcPr>
          <w:p w14:paraId="2287DF81" w14:textId="77777777" w:rsidR="00ED27A4" w:rsidRPr="00951AB1" w:rsidRDefault="00ED27A4" w:rsidP="000A5389">
            <w:pPr>
              <w:spacing w:line="240" w:lineRule="auto"/>
              <w:rPr>
                <w:rFonts w:eastAsia="Times New Roman" w:cs="Times New Roman"/>
                <w:color w:val="000000"/>
                <w:kern w:val="0"/>
                <w:sz w:val="20"/>
                <w:szCs w:val="20"/>
                <w:lang w:eastAsia="es-CO"/>
                <w14:ligatures w14:val="none"/>
              </w:rPr>
            </w:pPr>
            <w:r w:rsidRPr="00951AB1">
              <w:rPr>
                <w:rFonts w:eastAsia="Times New Roman" w:cs="Times New Roman"/>
                <w:color w:val="000000"/>
                <w:kern w:val="0"/>
                <w:sz w:val="20"/>
                <w:szCs w:val="20"/>
                <w:lang w:eastAsia="es-CO"/>
                <w14:ligatures w14:val="none"/>
              </w:rPr>
              <w:t>Autopista del Rio Grande S.A.S</w:t>
            </w:r>
          </w:p>
        </w:tc>
        <w:tc>
          <w:tcPr>
            <w:tcW w:w="1209" w:type="pct"/>
            <w:vAlign w:val="center"/>
            <w:hideMark/>
          </w:tcPr>
          <w:p w14:paraId="51961993" w14:textId="77777777" w:rsidR="00ED27A4" w:rsidRPr="00951AB1" w:rsidRDefault="00ED27A4" w:rsidP="000A5389">
            <w:pPr>
              <w:spacing w:line="240" w:lineRule="auto"/>
              <w:jc w:val="right"/>
              <w:rPr>
                <w:rFonts w:eastAsia="Times New Roman" w:cs="Times New Roman"/>
                <w:color w:val="000000"/>
                <w:kern w:val="0"/>
                <w:sz w:val="20"/>
                <w:szCs w:val="20"/>
                <w:lang w:eastAsia="es-CO"/>
                <w14:ligatures w14:val="none"/>
              </w:rPr>
            </w:pPr>
            <w:r w:rsidRPr="00951AB1">
              <w:rPr>
                <w:rFonts w:eastAsia="Times New Roman" w:cs="Times New Roman"/>
                <w:color w:val="000000"/>
                <w:kern w:val="0"/>
                <w:sz w:val="20"/>
                <w:szCs w:val="20"/>
                <w:lang w:eastAsia="es-CO"/>
                <w14:ligatures w14:val="none"/>
              </w:rPr>
              <w:t xml:space="preserve">          8.591.545.876 </w:t>
            </w:r>
          </w:p>
        </w:tc>
      </w:tr>
      <w:tr w:rsidR="00ED27A4" w:rsidRPr="00951AB1" w14:paraId="1E4A7117" w14:textId="77777777" w:rsidTr="00ED27A4">
        <w:trPr>
          <w:trHeight w:val="293"/>
        </w:trPr>
        <w:tc>
          <w:tcPr>
            <w:tcW w:w="763" w:type="pct"/>
            <w:vMerge/>
            <w:vAlign w:val="center"/>
            <w:hideMark/>
          </w:tcPr>
          <w:p w14:paraId="2C2E4669" w14:textId="743E8BAC" w:rsidR="00ED27A4" w:rsidRPr="00951AB1" w:rsidRDefault="00ED27A4" w:rsidP="000A5389">
            <w:pPr>
              <w:spacing w:line="240" w:lineRule="auto"/>
              <w:rPr>
                <w:rFonts w:eastAsia="Times New Roman" w:cs="Times New Roman"/>
                <w:color w:val="000000"/>
                <w:kern w:val="0"/>
                <w:sz w:val="20"/>
                <w:szCs w:val="20"/>
                <w:lang w:eastAsia="es-CO"/>
                <w14:ligatures w14:val="none"/>
              </w:rPr>
            </w:pPr>
          </w:p>
        </w:tc>
        <w:tc>
          <w:tcPr>
            <w:tcW w:w="763" w:type="pct"/>
            <w:vAlign w:val="center"/>
            <w:hideMark/>
          </w:tcPr>
          <w:p w14:paraId="064FF2D4" w14:textId="77777777" w:rsidR="00ED27A4" w:rsidRPr="00951AB1" w:rsidRDefault="00ED27A4" w:rsidP="000A5389">
            <w:pPr>
              <w:spacing w:line="240" w:lineRule="auto"/>
              <w:jc w:val="right"/>
              <w:rPr>
                <w:rFonts w:eastAsia="Times New Roman" w:cs="Times New Roman"/>
                <w:color w:val="000000"/>
                <w:kern w:val="0"/>
                <w:sz w:val="20"/>
                <w:szCs w:val="20"/>
                <w:lang w:eastAsia="es-CO"/>
                <w14:ligatures w14:val="none"/>
              </w:rPr>
            </w:pPr>
            <w:r w:rsidRPr="00951AB1">
              <w:rPr>
                <w:rFonts w:eastAsia="Times New Roman" w:cs="Times New Roman"/>
                <w:color w:val="000000"/>
                <w:kern w:val="0"/>
                <w:sz w:val="20"/>
                <w:szCs w:val="20"/>
                <w:lang w:eastAsia="es-CO"/>
                <w14:ligatures w14:val="none"/>
              </w:rPr>
              <w:t>900761657</w:t>
            </w:r>
          </w:p>
        </w:tc>
        <w:tc>
          <w:tcPr>
            <w:tcW w:w="2265" w:type="pct"/>
            <w:vAlign w:val="center"/>
            <w:hideMark/>
          </w:tcPr>
          <w:p w14:paraId="442369D6" w14:textId="77777777" w:rsidR="00ED27A4" w:rsidRPr="00951AB1" w:rsidRDefault="00ED27A4" w:rsidP="000A5389">
            <w:pPr>
              <w:spacing w:line="240" w:lineRule="auto"/>
              <w:rPr>
                <w:rFonts w:eastAsia="Times New Roman" w:cs="Times New Roman"/>
                <w:color w:val="000000"/>
                <w:kern w:val="0"/>
                <w:sz w:val="20"/>
                <w:szCs w:val="20"/>
                <w:lang w:eastAsia="es-CO"/>
                <w14:ligatures w14:val="none"/>
              </w:rPr>
            </w:pPr>
            <w:r w:rsidRPr="00951AB1">
              <w:rPr>
                <w:rFonts w:eastAsia="Times New Roman" w:cs="Times New Roman"/>
                <w:color w:val="000000"/>
                <w:kern w:val="0"/>
                <w:sz w:val="20"/>
                <w:szCs w:val="20"/>
                <w:lang w:eastAsia="es-CO"/>
                <w14:ligatures w14:val="none"/>
              </w:rPr>
              <w:t>Perimetral Oriental De Bogotá S.A.S.</w:t>
            </w:r>
          </w:p>
        </w:tc>
        <w:tc>
          <w:tcPr>
            <w:tcW w:w="1209" w:type="pct"/>
            <w:vAlign w:val="center"/>
            <w:hideMark/>
          </w:tcPr>
          <w:p w14:paraId="1DA000C6" w14:textId="77777777" w:rsidR="00ED27A4" w:rsidRPr="00951AB1" w:rsidRDefault="00ED27A4" w:rsidP="000A5389">
            <w:pPr>
              <w:spacing w:line="240" w:lineRule="auto"/>
              <w:jc w:val="right"/>
              <w:rPr>
                <w:rFonts w:eastAsia="Times New Roman" w:cs="Times New Roman"/>
                <w:color w:val="000000"/>
                <w:kern w:val="0"/>
                <w:sz w:val="20"/>
                <w:szCs w:val="20"/>
                <w:lang w:eastAsia="es-CO"/>
                <w14:ligatures w14:val="none"/>
              </w:rPr>
            </w:pPr>
            <w:r w:rsidRPr="00951AB1">
              <w:rPr>
                <w:rFonts w:eastAsia="Times New Roman" w:cs="Times New Roman"/>
                <w:color w:val="000000"/>
                <w:kern w:val="0"/>
                <w:sz w:val="20"/>
                <w:szCs w:val="20"/>
                <w:lang w:eastAsia="es-CO"/>
                <w14:ligatures w14:val="none"/>
              </w:rPr>
              <w:t xml:space="preserve">          8.175.310.355 </w:t>
            </w:r>
          </w:p>
        </w:tc>
      </w:tr>
      <w:tr w:rsidR="00ED27A4" w:rsidRPr="00951AB1" w14:paraId="053C5636" w14:textId="77777777" w:rsidTr="00ED27A4">
        <w:trPr>
          <w:trHeight w:val="293"/>
        </w:trPr>
        <w:tc>
          <w:tcPr>
            <w:tcW w:w="763" w:type="pct"/>
            <w:vMerge/>
            <w:vAlign w:val="center"/>
            <w:hideMark/>
          </w:tcPr>
          <w:p w14:paraId="28E14BEF" w14:textId="14F0D4E9" w:rsidR="00ED27A4" w:rsidRPr="00951AB1" w:rsidRDefault="00ED27A4" w:rsidP="000A5389">
            <w:pPr>
              <w:spacing w:line="240" w:lineRule="auto"/>
              <w:rPr>
                <w:rFonts w:eastAsia="Times New Roman" w:cs="Times New Roman"/>
                <w:color w:val="000000"/>
                <w:kern w:val="0"/>
                <w:sz w:val="20"/>
                <w:szCs w:val="20"/>
                <w:lang w:eastAsia="es-CO"/>
                <w14:ligatures w14:val="none"/>
              </w:rPr>
            </w:pPr>
          </w:p>
        </w:tc>
        <w:tc>
          <w:tcPr>
            <w:tcW w:w="763" w:type="pct"/>
            <w:vAlign w:val="center"/>
            <w:hideMark/>
          </w:tcPr>
          <w:p w14:paraId="662ADBB9" w14:textId="77777777" w:rsidR="00ED27A4" w:rsidRPr="00951AB1" w:rsidRDefault="00ED27A4" w:rsidP="000A5389">
            <w:pPr>
              <w:spacing w:line="240" w:lineRule="auto"/>
              <w:jc w:val="right"/>
              <w:rPr>
                <w:rFonts w:eastAsia="Times New Roman" w:cs="Times New Roman"/>
                <w:color w:val="000000"/>
                <w:kern w:val="0"/>
                <w:sz w:val="20"/>
                <w:szCs w:val="20"/>
                <w:lang w:eastAsia="es-CO"/>
                <w14:ligatures w14:val="none"/>
              </w:rPr>
            </w:pPr>
            <w:r w:rsidRPr="00951AB1">
              <w:rPr>
                <w:rFonts w:eastAsia="Times New Roman" w:cs="Times New Roman"/>
                <w:color w:val="000000"/>
                <w:kern w:val="0"/>
                <w:sz w:val="20"/>
                <w:szCs w:val="20"/>
                <w:lang w:eastAsia="es-CO"/>
                <w14:ligatures w14:val="none"/>
              </w:rPr>
              <w:t>901602085</w:t>
            </w:r>
          </w:p>
        </w:tc>
        <w:tc>
          <w:tcPr>
            <w:tcW w:w="2265" w:type="pct"/>
            <w:vAlign w:val="center"/>
            <w:hideMark/>
          </w:tcPr>
          <w:p w14:paraId="153C487D" w14:textId="77777777" w:rsidR="00ED27A4" w:rsidRPr="00951AB1" w:rsidRDefault="00ED27A4" w:rsidP="000A5389">
            <w:pPr>
              <w:spacing w:line="240" w:lineRule="auto"/>
              <w:rPr>
                <w:rFonts w:eastAsia="Times New Roman" w:cs="Times New Roman"/>
                <w:color w:val="000000"/>
                <w:kern w:val="0"/>
                <w:sz w:val="20"/>
                <w:szCs w:val="20"/>
                <w:lang w:eastAsia="es-CO"/>
                <w14:ligatures w14:val="none"/>
              </w:rPr>
            </w:pPr>
            <w:r w:rsidRPr="00951AB1">
              <w:rPr>
                <w:rFonts w:eastAsia="Times New Roman" w:cs="Times New Roman"/>
                <w:color w:val="000000"/>
                <w:kern w:val="0"/>
                <w:sz w:val="20"/>
                <w:szCs w:val="20"/>
                <w:lang w:eastAsia="es-CO"/>
                <w14:ligatures w14:val="none"/>
              </w:rPr>
              <w:t>Autopista Magdalena Medio S.A.S.</w:t>
            </w:r>
          </w:p>
        </w:tc>
        <w:tc>
          <w:tcPr>
            <w:tcW w:w="1209" w:type="pct"/>
            <w:vAlign w:val="center"/>
            <w:hideMark/>
          </w:tcPr>
          <w:p w14:paraId="44B595B0" w14:textId="77777777" w:rsidR="00ED27A4" w:rsidRPr="00951AB1" w:rsidRDefault="00ED27A4" w:rsidP="000A5389">
            <w:pPr>
              <w:spacing w:line="240" w:lineRule="auto"/>
              <w:jc w:val="right"/>
              <w:rPr>
                <w:rFonts w:eastAsia="Times New Roman" w:cs="Times New Roman"/>
                <w:color w:val="000000"/>
                <w:kern w:val="0"/>
                <w:sz w:val="20"/>
                <w:szCs w:val="20"/>
                <w:lang w:eastAsia="es-CO"/>
                <w14:ligatures w14:val="none"/>
              </w:rPr>
            </w:pPr>
            <w:r w:rsidRPr="00951AB1">
              <w:rPr>
                <w:rFonts w:eastAsia="Times New Roman" w:cs="Times New Roman"/>
                <w:color w:val="000000"/>
                <w:kern w:val="0"/>
                <w:sz w:val="20"/>
                <w:szCs w:val="20"/>
                <w:lang w:eastAsia="es-CO"/>
                <w14:ligatures w14:val="none"/>
              </w:rPr>
              <w:t xml:space="preserve">          5.157.523.957 </w:t>
            </w:r>
          </w:p>
        </w:tc>
      </w:tr>
      <w:tr w:rsidR="00ED27A4" w:rsidRPr="00951AB1" w14:paraId="02CA3219" w14:textId="77777777" w:rsidTr="00ED27A4">
        <w:trPr>
          <w:trHeight w:val="293"/>
        </w:trPr>
        <w:tc>
          <w:tcPr>
            <w:tcW w:w="763" w:type="pct"/>
            <w:vMerge/>
            <w:vAlign w:val="center"/>
            <w:hideMark/>
          </w:tcPr>
          <w:p w14:paraId="76C3FDDA" w14:textId="1814F844" w:rsidR="00ED27A4" w:rsidRPr="00951AB1" w:rsidRDefault="00ED27A4" w:rsidP="000A5389">
            <w:pPr>
              <w:spacing w:line="240" w:lineRule="auto"/>
              <w:rPr>
                <w:rFonts w:eastAsia="Times New Roman" w:cs="Times New Roman"/>
                <w:color w:val="000000"/>
                <w:kern w:val="0"/>
                <w:sz w:val="20"/>
                <w:szCs w:val="20"/>
                <w:lang w:eastAsia="es-CO"/>
                <w14:ligatures w14:val="none"/>
              </w:rPr>
            </w:pPr>
          </w:p>
        </w:tc>
        <w:tc>
          <w:tcPr>
            <w:tcW w:w="763" w:type="pct"/>
            <w:vAlign w:val="center"/>
            <w:hideMark/>
          </w:tcPr>
          <w:p w14:paraId="57EE82CA" w14:textId="77777777" w:rsidR="00ED27A4" w:rsidRPr="00951AB1" w:rsidRDefault="00ED27A4" w:rsidP="000A5389">
            <w:pPr>
              <w:spacing w:line="240" w:lineRule="auto"/>
              <w:jc w:val="right"/>
              <w:rPr>
                <w:rFonts w:eastAsia="Times New Roman" w:cs="Times New Roman"/>
                <w:color w:val="000000"/>
                <w:kern w:val="0"/>
                <w:sz w:val="20"/>
                <w:szCs w:val="20"/>
                <w:lang w:eastAsia="es-CO"/>
                <w14:ligatures w14:val="none"/>
              </w:rPr>
            </w:pPr>
            <w:r w:rsidRPr="00951AB1">
              <w:rPr>
                <w:rFonts w:eastAsia="Times New Roman" w:cs="Times New Roman"/>
                <w:color w:val="000000"/>
                <w:kern w:val="0"/>
                <w:sz w:val="20"/>
                <w:szCs w:val="20"/>
                <w:lang w:eastAsia="es-CO"/>
                <w14:ligatures w14:val="none"/>
              </w:rPr>
              <w:t>901515242</w:t>
            </w:r>
          </w:p>
        </w:tc>
        <w:tc>
          <w:tcPr>
            <w:tcW w:w="2265" w:type="pct"/>
            <w:vAlign w:val="center"/>
            <w:hideMark/>
          </w:tcPr>
          <w:p w14:paraId="741C5D1E" w14:textId="77777777" w:rsidR="00ED27A4" w:rsidRPr="00951AB1" w:rsidRDefault="00ED27A4" w:rsidP="000A5389">
            <w:pPr>
              <w:spacing w:line="240" w:lineRule="auto"/>
              <w:rPr>
                <w:rFonts w:eastAsia="Times New Roman" w:cs="Times New Roman"/>
                <w:color w:val="000000"/>
                <w:kern w:val="0"/>
                <w:sz w:val="20"/>
                <w:szCs w:val="20"/>
                <w:lang w:eastAsia="es-CO"/>
                <w14:ligatures w14:val="none"/>
              </w:rPr>
            </w:pPr>
            <w:r w:rsidRPr="00951AB1">
              <w:rPr>
                <w:rFonts w:eastAsia="Times New Roman" w:cs="Times New Roman"/>
                <w:color w:val="000000"/>
                <w:kern w:val="0"/>
                <w:sz w:val="20"/>
                <w:szCs w:val="20"/>
                <w:lang w:eastAsia="es-CO"/>
                <w14:ligatures w14:val="none"/>
              </w:rPr>
              <w:t>Autopistas del Caribe S.A.S.</w:t>
            </w:r>
          </w:p>
        </w:tc>
        <w:tc>
          <w:tcPr>
            <w:tcW w:w="1209" w:type="pct"/>
            <w:vAlign w:val="center"/>
            <w:hideMark/>
          </w:tcPr>
          <w:p w14:paraId="7F2D2AA7" w14:textId="77777777" w:rsidR="00ED27A4" w:rsidRPr="00951AB1" w:rsidRDefault="00ED27A4" w:rsidP="000A5389">
            <w:pPr>
              <w:spacing w:line="240" w:lineRule="auto"/>
              <w:jc w:val="right"/>
              <w:rPr>
                <w:rFonts w:eastAsia="Times New Roman" w:cs="Times New Roman"/>
                <w:color w:val="000000"/>
                <w:kern w:val="0"/>
                <w:sz w:val="20"/>
                <w:szCs w:val="20"/>
                <w:lang w:eastAsia="es-CO"/>
                <w14:ligatures w14:val="none"/>
              </w:rPr>
            </w:pPr>
            <w:r w:rsidRPr="00951AB1">
              <w:rPr>
                <w:rFonts w:eastAsia="Times New Roman" w:cs="Times New Roman"/>
                <w:color w:val="000000"/>
                <w:kern w:val="0"/>
                <w:sz w:val="20"/>
                <w:szCs w:val="20"/>
                <w:lang w:eastAsia="es-CO"/>
                <w14:ligatures w14:val="none"/>
              </w:rPr>
              <w:t xml:space="preserve">          1.005.032.056 </w:t>
            </w:r>
          </w:p>
        </w:tc>
      </w:tr>
      <w:tr w:rsidR="00ED27A4" w:rsidRPr="00951AB1" w14:paraId="72598FC5" w14:textId="77777777" w:rsidTr="00ED27A4">
        <w:trPr>
          <w:trHeight w:val="293"/>
        </w:trPr>
        <w:tc>
          <w:tcPr>
            <w:tcW w:w="763" w:type="pct"/>
            <w:vMerge/>
            <w:vAlign w:val="center"/>
            <w:hideMark/>
          </w:tcPr>
          <w:p w14:paraId="21F08C13" w14:textId="799C695C" w:rsidR="00ED27A4" w:rsidRPr="00951AB1" w:rsidRDefault="00ED27A4" w:rsidP="000A5389">
            <w:pPr>
              <w:spacing w:line="240" w:lineRule="auto"/>
              <w:rPr>
                <w:rFonts w:eastAsia="Times New Roman" w:cs="Times New Roman"/>
                <w:color w:val="000000"/>
                <w:kern w:val="0"/>
                <w:sz w:val="20"/>
                <w:szCs w:val="20"/>
                <w:lang w:eastAsia="es-CO"/>
                <w14:ligatures w14:val="none"/>
              </w:rPr>
            </w:pPr>
          </w:p>
        </w:tc>
        <w:tc>
          <w:tcPr>
            <w:tcW w:w="763" w:type="pct"/>
            <w:vAlign w:val="center"/>
            <w:hideMark/>
          </w:tcPr>
          <w:p w14:paraId="243A8814" w14:textId="77777777" w:rsidR="00ED27A4" w:rsidRPr="00951AB1" w:rsidRDefault="00ED27A4" w:rsidP="000A5389">
            <w:pPr>
              <w:spacing w:line="240" w:lineRule="auto"/>
              <w:jc w:val="right"/>
              <w:rPr>
                <w:rFonts w:eastAsia="Times New Roman" w:cs="Times New Roman"/>
                <w:color w:val="000000"/>
                <w:kern w:val="0"/>
                <w:sz w:val="20"/>
                <w:szCs w:val="20"/>
                <w:lang w:eastAsia="es-CO"/>
                <w14:ligatures w14:val="none"/>
              </w:rPr>
            </w:pPr>
            <w:r w:rsidRPr="00951AB1">
              <w:rPr>
                <w:rFonts w:eastAsia="Times New Roman" w:cs="Times New Roman"/>
                <w:color w:val="000000"/>
                <w:kern w:val="0"/>
                <w:sz w:val="20"/>
                <w:szCs w:val="20"/>
                <w:lang w:eastAsia="es-CO"/>
                <w14:ligatures w14:val="none"/>
              </w:rPr>
              <w:t>901039225</w:t>
            </w:r>
          </w:p>
        </w:tc>
        <w:tc>
          <w:tcPr>
            <w:tcW w:w="2265" w:type="pct"/>
            <w:vAlign w:val="center"/>
            <w:hideMark/>
          </w:tcPr>
          <w:p w14:paraId="74832335" w14:textId="77777777" w:rsidR="00ED27A4" w:rsidRPr="00951AB1" w:rsidRDefault="00ED27A4" w:rsidP="000A5389">
            <w:pPr>
              <w:spacing w:line="240" w:lineRule="auto"/>
              <w:rPr>
                <w:rFonts w:eastAsia="Times New Roman" w:cs="Times New Roman"/>
                <w:color w:val="000000"/>
                <w:kern w:val="0"/>
                <w:sz w:val="20"/>
                <w:szCs w:val="20"/>
                <w:lang w:eastAsia="es-CO"/>
                <w14:ligatures w14:val="none"/>
              </w:rPr>
            </w:pPr>
            <w:r w:rsidRPr="00951AB1">
              <w:rPr>
                <w:rFonts w:eastAsia="Times New Roman" w:cs="Times New Roman"/>
                <w:color w:val="000000"/>
                <w:kern w:val="0"/>
                <w:sz w:val="20"/>
                <w:szCs w:val="20"/>
                <w:lang w:eastAsia="es-CO"/>
                <w14:ligatures w14:val="none"/>
              </w:rPr>
              <w:t>Accesos Norte de Bogotá S.A.S.</w:t>
            </w:r>
          </w:p>
        </w:tc>
        <w:tc>
          <w:tcPr>
            <w:tcW w:w="1209" w:type="pct"/>
            <w:vAlign w:val="center"/>
            <w:hideMark/>
          </w:tcPr>
          <w:p w14:paraId="65EA8E14" w14:textId="77777777" w:rsidR="00ED27A4" w:rsidRPr="00951AB1" w:rsidRDefault="00ED27A4" w:rsidP="000A5389">
            <w:pPr>
              <w:spacing w:line="240" w:lineRule="auto"/>
              <w:jc w:val="right"/>
              <w:rPr>
                <w:rFonts w:eastAsia="Times New Roman" w:cs="Times New Roman"/>
                <w:color w:val="000000"/>
                <w:kern w:val="0"/>
                <w:sz w:val="20"/>
                <w:szCs w:val="20"/>
                <w:lang w:eastAsia="es-CO"/>
                <w14:ligatures w14:val="none"/>
              </w:rPr>
            </w:pPr>
            <w:r w:rsidRPr="00951AB1">
              <w:rPr>
                <w:rFonts w:eastAsia="Times New Roman" w:cs="Times New Roman"/>
                <w:color w:val="000000"/>
                <w:kern w:val="0"/>
                <w:sz w:val="20"/>
                <w:szCs w:val="20"/>
                <w:lang w:eastAsia="es-CO"/>
                <w14:ligatures w14:val="none"/>
              </w:rPr>
              <w:t xml:space="preserve">               33.664.457 </w:t>
            </w:r>
          </w:p>
        </w:tc>
      </w:tr>
    </w:tbl>
    <w:p w14:paraId="7D5CA0A8" w14:textId="77777777" w:rsidR="002D6214" w:rsidRPr="00951AB1" w:rsidRDefault="002D6214" w:rsidP="000A5389">
      <w:pPr>
        <w:spacing w:line="240" w:lineRule="auto"/>
        <w:rPr>
          <w:rFonts w:cs="Times New Roman"/>
        </w:rPr>
      </w:pPr>
      <w:r w:rsidRPr="00951AB1">
        <w:rPr>
          <w:rFonts w:eastAsia="Times New Roman" w:cs="Times New Roman"/>
          <w:color w:val="000000" w:themeColor="text1"/>
          <w:sz w:val="16"/>
          <w:szCs w:val="16"/>
          <w:lang w:val="es-ES"/>
        </w:rPr>
        <w:t>Cifras expresadas en pesos</w:t>
      </w:r>
      <w:r w:rsidRPr="00951AB1">
        <w:rPr>
          <w:rFonts w:cs="Times New Roman"/>
        </w:rPr>
        <w:t xml:space="preserve"> </w:t>
      </w:r>
    </w:p>
    <w:p w14:paraId="1D0D8BC1" w14:textId="77777777" w:rsidR="00066328" w:rsidRPr="00951AB1" w:rsidRDefault="00066328" w:rsidP="000A5389">
      <w:pPr>
        <w:spacing w:line="240" w:lineRule="auto"/>
        <w:rPr>
          <w:rFonts w:cs="Times New Roman"/>
        </w:rPr>
      </w:pPr>
    </w:p>
    <w:p w14:paraId="2BB71AC5" w14:textId="37E62B59" w:rsidR="00066328" w:rsidRPr="00951AB1" w:rsidRDefault="00066328" w:rsidP="000A5389">
      <w:pPr>
        <w:spacing w:line="240" w:lineRule="auto"/>
        <w:rPr>
          <w:rFonts w:eastAsia="Times New Roman" w:cs="Times New Roman"/>
          <w:i/>
          <w:iCs/>
          <w:szCs w:val="24"/>
          <w:u w:val="single"/>
          <w:lang w:val="es-ES"/>
        </w:rPr>
      </w:pPr>
      <w:r w:rsidRPr="00951AB1">
        <w:rPr>
          <w:rFonts w:eastAsia="Times New Roman" w:cs="Times New Roman"/>
          <w:i/>
          <w:iCs/>
          <w:szCs w:val="24"/>
          <w:u w:val="single"/>
          <w:lang w:val="es-ES"/>
        </w:rPr>
        <w:t>Portuario</w:t>
      </w:r>
      <w:r w:rsidR="00ED27A4" w:rsidRPr="00951AB1">
        <w:rPr>
          <w:rFonts w:eastAsia="Times New Roman" w:cs="Times New Roman"/>
          <w:i/>
          <w:iCs/>
          <w:szCs w:val="24"/>
          <w:u w:val="single"/>
          <w:lang w:val="es-ES"/>
        </w:rPr>
        <w:t>:</w:t>
      </w:r>
    </w:p>
    <w:p w14:paraId="3C6185D7" w14:textId="77777777" w:rsidR="00ED27A4" w:rsidRPr="00951AB1" w:rsidRDefault="00ED27A4" w:rsidP="000A5389">
      <w:pPr>
        <w:spacing w:line="240" w:lineRule="auto"/>
        <w:rPr>
          <w:rFonts w:cs="Times New Roma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347"/>
        <w:gridCol w:w="1347"/>
        <w:gridCol w:w="3999"/>
        <w:gridCol w:w="2135"/>
      </w:tblGrid>
      <w:tr w:rsidR="00ED27A4" w:rsidRPr="00951AB1" w14:paraId="14128D6B" w14:textId="77777777" w:rsidTr="00ED27A4">
        <w:trPr>
          <w:trHeight w:val="300"/>
          <w:tblHeader/>
        </w:trPr>
        <w:tc>
          <w:tcPr>
            <w:tcW w:w="763" w:type="pct"/>
            <w:vAlign w:val="center"/>
            <w:hideMark/>
          </w:tcPr>
          <w:p w14:paraId="4AE3A3A8" w14:textId="77777777" w:rsidR="00ED27A4" w:rsidRPr="00951AB1" w:rsidRDefault="00ED27A4" w:rsidP="000A5389">
            <w:pPr>
              <w:spacing w:line="240" w:lineRule="auto"/>
              <w:jc w:val="center"/>
              <w:rPr>
                <w:rFonts w:eastAsia="Times New Roman" w:cs="Times New Roman"/>
                <w:b/>
                <w:bCs/>
                <w:color w:val="000000"/>
                <w:kern w:val="0"/>
                <w:sz w:val="20"/>
                <w:szCs w:val="20"/>
                <w:lang w:eastAsia="es-CO"/>
                <w14:ligatures w14:val="none"/>
              </w:rPr>
            </w:pPr>
            <w:r w:rsidRPr="00951AB1">
              <w:rPr>
                <w:rFonts w:eastAsia="Times New Roman" w:cs="Times New Roman"/>
                <w:b/>
                <w:bCs/>
                <w:color w:val="000000"/>
                <w:kern w:val="0"/>
                <w:sz w:val="20"/>
                <w:szCs w:val="20"/>
                <w:lang w:eastAsia="es-CO"/>
                <w14:ligatures w14:val="none"/>
              </w:rPr>
              <w:t>Modo</w:t>
            </w:r>
          </w:p>
        </w:tc>
        <w:tc>
          <w:tcPr>
            <w:tcW w:w="3028" w:type="pct"/>
            <w:gridSpan w:val="2"/>
            <w:vAlign w:val="center"/>
            <w:hideMark/>
          </w:tcPr>
          <w:p w14:paraId="1633A2D7" w14:textId="156BEDBE" w:rsidR="00ED27A4" w:rsidRPr="00951AB1" w:rsidRDefault="00ED27A4" w:rsidP="000A5389">
            <w:pPr>
              <w:spacing w:line="240" w:lineRule="auto"/>
              <w:jc w:val="center"/>
              <w:rPr>
                <w:rFonts w:eastAsia="Times New Roman" w:cs="Times New Roman"/>
                <w:b/>
                <w:bCs/>
                <w:color w:val="000000"/>
                <w:kern w:val="0"/>
                <w:sz w:val="20"/>
                <w:szCs w:val="20"/>
                <w:lang w:eastAsia="es-CO"/>
                <w14:ligatures w14:val="none"/>
              </w:rPr>
            </w:pPr>
            <w:r w:rsidRPr="00951AB1">
              <w:rPr>
                <w:rFonts w:eastAsia="Times New Roman" w:cs="Times New Roman"/>
                <w:b/>
                <w:bCs/>
                <w:color w:val="000000"/>
                <w:kern w:val="0"/>
                <w:sz w:val="20"/>
                <w:szCs w:val="20"/>
                <w:lang w:eastAsia="es-CO"/>
                <w14:ligatures w14:val="none"/>
              </w:rPr>
              <w:t>Tercero</w:t>
            </w:r>
          </w:p>
        </w:tc>
        <w:tc>
          <w:tcPr>
            <w:tcW w:w="1209" w:type="pct"/>
            <w:vAlign w:val="center"/>
            <w:hideMark/>
          </w:tcPr>
          <w:p w14:paraId="55FADD8F" w14:textId="1BA7541E" w:rsidR="00ED27A4" w:rsidRPr="00951AB1" w:rsidRDefault="00ED27A4" w:rsidP="000A5389">
            <w:pPr>
              <w:spacing w:line="240" w:lineRule="auto"/>
              <w:jc w:val="center"/>
              <w:rPr>
                <w:rFonts w:eastAsia="Times New Roman" w:cs="Times New Roman"/>
                <w:b/>
                <w:bCs/>
                <w:color w:val="000000"/>
                <w:kern w:val="0"/>
                <w:sz w:val="20"/>
                <w:szCs w:val="20"/>
                <w:lang w:eastAsia="es-CO"/>
                <w14:ligatures w14:val="none"/>
              </w:rPr>
            </w:pPr>
            <w:r w:rsidRPr="00951AB1">
              <w:rPr>
                <w:rFonts w:eastAsia="Times New Roman" w:cs="Times New Roman"/>
                <w:b/>
                <w:bCs/>
                <w:color w:val="000000"/>
                <w:kern w:val="0"/>
                <w:sz w:val="20"/>
                <w:szCs w:val="20"/>
                <w:lang w:eastAsia="es-CO"/>
                <w14:ligatures w14:val="none"/>
              </w:rPr>
              <w:t>Valor</w:t>
            </w:r>
          </w:p>
        </w:tc>
      </w:tr>
      <w:tr w:rsidR="00912835" w:rsidRPr="00951AB1" w14:paraId="3EF4BABD" w14:textId="77777777" w:rsidTr="00912835">
        <w:trPr>
          <w:trHeight w:val="300"/>
          <w:tblHeader/>
        </w:trPr>
        <w:tc>
          <w:tcPr>
            <w:tcW w:w="3791" w:type="pct"/>
            <w:gridSpan w:val="3"/>
            <w:vAlign w:val="center"/>
          </w:tcPr>
          <w:p w14:paraId="7399AB31" w14:textId="3F8A6CDE" w:rsidR="00912835" w:rsidRPr="00951AB1" w:rsidRDefault="00912835" w:rsidP="000A5389">
            <w:pPr>
              <w:spacing w:line="240" w:lineRule="auto"/>
              <w:jc w:val="center"/>
              <w:rPr>
                <w:rFonts w:eastAsia="Times New Roman" w:cs="Times New Roman"/>
                <w:b/>
                <w:bCs/>
                <w:color w:val="000000"/>
                <w:kern w:val="0"/>
                <w:sz w:val="20"/>
                <w:szCs w:val="20"/>
                <w:lang w:eastAsia="es-CO"/>
                <w14:ligatures w14:val="none"/>
              </w:rPr>
            </w:pPr>
            <w:r w:rsidRPr="00951AB1">
              <w:rPr>
                <w:rFonts w:eastAsia="Times New Roman" w:cs="Times New Roman"/>
                <w:kern w:val="0"/>
                <w:sz w:val="20"/>
                <w:szCs w:val="20"/>
                <w:lang w:eastAsia="es-CO"/>
                <w14:ligatures w14:val="none"/>
              </w:rPr>
              <w:t>Total, portuario</w:t>
            </w:r>
          </w:p>
        </w:tc>
        <w:tc>
          <w:tcPr>
            <w:tcW w:w="1209" w:type="pct"/>
            <w:vAlign w:val="center"/>
          </w:tcPr>
          <w:p w14:paraId="69495FFF" w14:textId="76370E35" w:rsidR="00912835" w:rsidRPr="00951AB1" w:rsidRDefault="00912835" w:rsidP="000A5389">
            <w:pPr>
              <w:spacing w:line="240" w:lineRule="auto"/>
              <w:jc w:val="right"/>
              <w:rPr>
                <w:rFonts w:eastAsia="Times New Roman" w:cs="Times New Roman"/>
                <w:b/>
                <w:bCs/>
                <w:color w:val="000000"/>
                <w:kern w:val="0"/>
                <w:sz w:val="20"/>
                <w:szCs w:val="20"/>
                <w:lang w:eastAsia="es-CO"/>
                <w14:ligatures w14:val="none"/>
              </w:rPr>
            </w:pPr>
            <w:r w:rsidRPr="00951AB1">
              <w:rPr>
                <w:rFonts w:eastAsia="Times New Roman" w:cs="Times New Roman"/>
                <w:b/>
                <w:bCs/>
                <w:color w:val="000000"/>
                <w:kern w:val="0"/>
                <w:sz w:val="20"/>
                <w:szCs w:val="20"/>
                <w:lang w:eastAsia="es-CO"/>
                <w14:ligatures w14:val="none"/>
              </w:rPr>
              <w:t>412.697.716.347</w:t>
            </w:r>
          </w:p>
        </w:tc>
      </w:tr>
      <w:tr w:rsidR="00ED27A4" w:rsidRPr="00951AB1" w14:paraId="0E329560" w14:textId="77777777" w:rsidTr="00ED27A4">
        <w:trPr>
          <w:trHeight w:val="533"/>
        </w:trPr>
        <w:tc>
          <w:tcPr>
            <w:tcW w:w="763" w:type="pct"/>
            <w:vMerge w:val="restart"/>
            <w:vAlign w:val="center"/>
            <w:hideMark/>
          </w:tcPr>
          <w:p w14:paraId="435C4394" w14:textId="26F24229" w:rsidR="00ED27A4" w:rsidRPr="00951AB1" w:rsidRDefault="00ED27A4" w:rsidP="000A5389">
            <w:pPr>
              <w:spacing w:line="240" w:lineRule="auto"/>
              <w:rPr>
                <w:rFonts w:eastAsia="Times New Roman" w:cs="Times New Roman"/>
                <w:color w:val="000000"/>
                <w:kern w:val="0"/>
                <w:sz w:val="20"/>
                <w:szCs w:val="20"/>
                <w:lang w:eastAsia="es-CO"/>
                <w14:ligatures w14:val="none"/>
              </w:rPr>
            </w:pPr>
            <w:r w:rsidRPr="00951AB1">
              <w:rPr>
                <w:rFonts w:eastAsia="Times New Roman" w:cs="Times New Roman"/>
                <w:color w:val="000000"/>
                <w:kern w:val="0"/>
                <w:sz w:val="20"/>
                <w:szCs w:val="20"/>
                <w:lang w:eastAsia="es-CO"/>
                <w14:ligatures w14:val="none"/>
              </w:rPr>
              <w:t>Portuario</w:t>
            </w:r>
          </w:p>
          <w:p w14:paraId="26C80CE0" w14:textId="78951849" w:rsidR="00ED27A4" w:rsidRPr="00951AB1" w:rsidRDefault="00ED27A4" w:rsidP="000A5389">
            <w:pPr>
              <w:spacing w:line="240" w:lineRule="auto"/>
              <w:rPr>
                <w:rFonts w:eastAsia="Times New Roman" w:cs="Times New Roman"/>
                <w:color w:val="000000"/>
                <w:kern w:val="0"/>
                <w:sz w:val="20"/>
                <w:szCs w:val="20"/>
                <w:lang w:eastAsia="es-CO"/>
                <w14:ligatures w14:val="none"/>
              </w:rPr>
            </w:pPr>
          </w:p>
        </w:tc>
        <w:tc>
          <w:tcPr>
            <w:tcW w:w="763" w:type="pct"/>
            <w:vAlign w:val="center"/>
            <w:hideMark/>
          </w:tcPr>
          <w:p w14:paraId="63A2C065" w14:textId="77777777" w:rsidR="00ED27A4" w:rsidRPr="00951AB1" w:rsidRDefault="00ED27A4" w:rsidP="000A5389">
            <w:pPr>
              <w:spacing w:line="240" w:lineRule="auto"/>
              <w:jc w:val="right"/>
              <w:rPr>
                <w:rFonts w:eastAsia="Times New Roman" w:cs="Times New Roman"/>
                <w:color w:val="000000"/>
                <w:kern w:val="0"/>
                <w:sz w:val="20"/>
                <w:szCs w:val="20"/>
                <w:lang w:eastAsia="es-CO"/>
                <w14:ligatures w14:val="none"/>
              </w:rPr>
            </w:pPr>
            <w:r w:rsidRPr="00951AB1">
              <w:rPr>
                <w:rFonts w:eastAsia="Times New Roman" w:cs="Times New Roman"/>
                <w:color w:val="000000"/>
                <w:kern w:val="0"/>
                <w:sz w:val="20"/>
                <w:szCs w:val="20"/>
                <w:lang w:eastAsia="es-CO"/>
                <w14:ligatures w14:val="none"/>
              </w:rPr>
              <w:t>835000149</w:t>
            </w:r>
          </w:p>
        </w:tc>
        <w:tc>
          <w:tcPr>
            <w:tcW w:w="2265" w:type="pct"/>
            <w:vAlign w:val="center"/>
            <w:hideMark/>
          </w:tcPr>
          <w:p w14:paraId="75BBC66B" w14:textId="77777777" w:rsidR="00ED27A4" w:rsidRPr="00951AB1" w:rsidRDefault="00ED27A4" w:rsidP="000A5389">
            <w:pPr>
              <w:spacing w:line="240" w:lineRule="auto"/>
              <w:rPr>
                <w:rFonts w:eastAsia="Times New Roman" w:cs="Times New Roman"/>
                <w:color w:val="000000"/>
                <w:kern w:val="0"/>
                <w:sz w:val="20"/>
                <w:szCs w:val="20"/>
                <w:lang w:eastAsia="es-CO"/>
                <w14:ligatures w14:val="none"/>
              </w:rPr>
            </w:pPr>
            <w:r w:rsidRPr="00951AB1">
              <w:rPr>
                <w:rFonts w:eastAsia="Times New Roman" w:cs="Times New Roman"/>
                <w:color w:val="000000"/>
                <w:kern w:val="0"/>
                <w:sz w:val="20"/>
                <w:szCs w:val="20"/>
                <w:lang w:eastAsia="es-CO"/>
                <w14:ligatures w14:val="none"/>
              </w:rPr>
              <w:t>Sociedad Puerto Industrial Aguadulce S.A.</w:t>
            </w:r>
          </w:p>
        </w:tc>
        <w:tc>
          <w:tcPr>
            <w:tcW w:w="1209" w:type="pct"/>
            <w:vAlign w:val="center"/>
            <w:hideMark/>
          </w:tcPr>
          <w:p w14:paraId="3FB7EE02" w14:textId="77777777" w:rsidR="00ED27A4" w:rsidRPr="00951AB1" w:rsidRDefault="00ED27A4" w:rsidP="000A5389">
            <w:pPr>
              <w:spacing w:line="240" w:lineRule="auto"/>
              <w:jc w:val="right"/>
              <w:rPr>
                <w:rFonts w:eastAsia="Times New Roman" w:cs="Times New Roman"/>
                <w:color w:val="000000"/>
                <w:kern w:val="0"/>
                <w:sz w:val="20"/>
                <w:szCs w:val="20"/>
                <w:lang w:eastAsia="es-CO"/>
                <w14:ligatures w14:val="none"/>
              </w:rPr>
            </w:pPr>
            <w:r w:rsidRPr="00951AB1">
              <w:rPr>
                <w:rFonts w:eastAsia="Times New Roman" w:cs="Times New Roman"/>
                <w:color w:val="000000"/>
                <w:kern w:val="0"/>
                <w:sz w:val="20"/>
                <w:szCs w:val="20"/>
                <w:lang w:eastAsia="es-CO"/>
                <w14:ligatures w14:val="none"/>
              </w:rPr>
              <w:t xml:space="preserve">        61.734.743.762 </w:t>
            </w:r>
          </w:p>
        </w:tc>
      </w:tr>
      <w:tr w:rsidR="00ED27A4" w:rsidRPr="00951AB1" w14:paraId="42664C3A" w14:textId="77777777" w:rsidTr="00ED27A4">
        <w:trPr>
          <w:trHeight w:val="293"/>
        </w:trPr>
        <w:tc>
          <w:tcPr>
            <w:tcW w:w="763" w:type="pct"/>
            <w:vMerge/>
            <w:vAlign w:val="center"/>
            <w:hideMark/>
          </w:tcPr>
          <w:p w14:paraId="459944C3" w14:textId="78AFF991" w:rsidR="00ED27A4" w:rsidRPr="00951AB1" w:rsidRDefault="00ED27A4" w:rsidP="000A5389">
            <w:pPr>
              <w:spacing w:line="240" w:lineRule="auto"/>
              <w:rPr>
                <w:rFonts w:eastAsia="Times New Roman" w:cs="Times New Roman"/>
                <w:color w:val="000000"/>
                <w:kern w:val="0"/>
                <w:sz w:val="20"/>
                <w:szCs w:val="20"/>
                <w:lang w:eastAsia="es-CO"/>
                <w14:ligatures w14:val="none"/>
              </w:rPr>
            </w:pPr>
          </w:p>
        </w:tc>
        <w:tc>
          <w:tcPr>
            <w:tcW w:w="763" w:type="pct"/>
            <w:vAlign w:val="center"/>
            <w:hideMark/>
          </w:tcPr>
          <w:p w14:paraId="23EFD238" w14:textId="77777777" w:rsidR="00ED27A4" w:rsidRPr="00951AB1" w:rsidRDefault="00ED27A4" w:rsidP="000A5389">
            <w:pPr>
              <w:spacing w:line="240" w:lineRule="auto"/>
              <w:jc w:val="right"/>
              <w:rPr>
                <w:rFonts w:eastAsia="Times New Roman" w:cs="Times New Roman"/>
                <w:color w:val="000000"/>
                <w:kern w:val="0"/>
                <w:sz w:val="20"/>
                <w:szCs w:val="20"/>
                <w:lang w:eastAsia="es-CO"/>
                <w14:ligatures w14:val="none"/>
              </w:rPr>
            </w:pPr>
            <w:r w:rsidRPr="00951AB1">
              <w:rPr>
                <w:rFonts w:eastAsia="Times New Roman" w:cs="Times New Roman"/>
                <w:color w:val="000000"/>
                <w:kern w:val="0"/>
                <w:sz w:val="20"/>
                <w:szCs w:val="20"/>
                <w:lang w:eastAsia="es-CO"/>
                <w14:ligatures w14:val="none"/>
              </w:rPr>
              <w:t>900188593</w:t>
            </w:r>
          </w:p>
        </w:tc>
        <w:tc>
          <w:tcPr>
            <w:tcW w:w="2265" w:type="pct"/>
            <w:vAlign w:val="center"/>
            <w:hideMark/>
          </w:tcPr>
          <w:p w14:paraId="42607EF7" w14:textId="77777777" w:rsidR="00ED27A4" w:rsidRPr="00951AB1" w:rsidRDefault="00ED27A4" w:rsidP="000A5389">
            <w:pPr>
              <w:spacing w:line="240" w:lineRule="auto"/>
              <w:rPr>
                <w:rFonts w:eastAsia="Times New Roman" w:cs="Times New Roman"/>
                <w:color w:val="000000"/>
                <w:kern w:val="0"/>
                <w:sz w:val="20"/>
                <w:szCs w:val="20"/>
                <w:lang w:eastAsia="es-CO"/>
                <w14:ligatures w14:val="none"/>
              </w:rPr>
            </w:pPr>
            <w:r w:rsidRPr="00951AB1">
              <w:rPr>
                <w:rFonts w:eastAsia="Times New Roman" w:cs="Times New Roman"/>
                <w:color w:val="000000"/>
                <w:kern w:val="0"/>
                <w:sz w:val="20"/>
                <w:szCs w:val="20"/>
                <w:lang w:eastAsia="es-CO"/>
                <w14:ligatures w14:val="none"/>
              </w:rPr>
              <w:t>Puerto Bahia Colombia de Urabá Sa</w:t>
            </w:r>
          </w:p>
        </w:tc>
        <w:tc>
          <w:tcPr>
            <w:tcW w:w="1209" w:type="pct"/>
            <w:vAlign w:val="center"/>
            <w:hideMark/>
          </w:tcPr>
          <w:p w14:paraId="0AF3B4A8" w14:textId="77777777" w:rsidR="00ED27A4" w:rsidRPr="00951AB1" w:rsidRDefault="00ED27A4" w:rsidP="000A5389">
            <w:pPr>
              <w:spacing w:line="240" w:lineRule="auto"/>
              <w:jc w:val="right"/>
              <w:rPr>
                <w:rFonts w:eastAsia="Times New Roman" w:cs="Times New Roman"/>
                <w:color w:val="000000"/>
                <w:kern w:val="0"/>
                <w:sz w:val="20"/>
                <w:szCs w:val="20"/>
                <w:lang w:eastAsia="es-CO"/>
                <w14:ligatures w14:val="none"/>
              </w:rPr>
            </w:pPr>
            <w:r w:rsidRPr="00951AB1">
              <w:rPr>
                <w:rFonts w:eastAsia="Times New Roman" w:cs="Times New Roman"/>
                <w:color w:val="000000"/>
                <w:kern w:val="0"/>
                <w:sz w:val="20"/>
                <w:szCs w:val="20"/>
                <w:lang w:eastAsia="es-CO"/>
                <w14:ligatures w14:val="none"/>
              </w:rPr>
              <w:t xml:space="preserve">        60.924.377.679 </w:t>
            </w:r>
          </w:p>
        </w:tc>
      </w:tr>
      <w:tr w:rsidR="00ED27A4" w:rsidRPr="00951AB1" w14:paraId="23DCA498" w14:textId="77777777" w:rsidTr="00ED27A4">
        <w:trPr>
          <w:trHeight w:val="533"/>
        </w:trPr>
        <w:tc>
          <w:tcPr>
            <w:tcW w:w="763" w:type="pct"/>
            <w:vMerge/>
            <w:vAlign w:val="center"/>
            <w:hideMark/>
          </w:tcPr>
          <w:p w14:paraId="69871393" w14:textId="7F5BF949" w:rsidR="00ED27A4" w:rsidRPr="00951AB1" w:rsidRDefault="00ED27A4" w:rsidP="000A5389">
            <w:pPr>
              <w:spacing w:line="240" w:lineRule="auto"/>
              <w:rPr>
                <w:rFonts w:eastAsia="Times New Roman" w:cs="Times New Roman"/>
                <w:color w:val="000000"/>
                <w:kern w:val="0"/>
                <w:sz w:val="20"/>
                <w:szCs w:val="20"/>
                <w:lang w:eastAsia="es-CO"/>
                <w14:ligatures w14:val="none"/>
              </w:rPr>
            </w:pPr>
          </w:p>
        </w:tc>
        <w:tc>
          <w:tcPr>
            <w:tcW w:w="763" w:type="pct"/>
            <w:vAlign w:val="center"/>
            <w:hideMark/>
          </w:tcPr>
          <w:p w14:paraId="7E06EBAE" w14:textId="77777777" w:rsidR="00ED27A4" w:rsidRPr="00951AB1" w:rsidRDefault="00ED27A4" w:rsidP="000A5389">
            <w:pPr>
              <w:spacing w:line="240" w:lineRule="auto"/>
              <w:jc w:val="right"/>
              <w:rPr>
                <w:rFonts w:eastAsia="Times New Roman" w:cs="Times New Roman"/>
                <w:color w:val="000000"/>
                <w:kern w:val="0"/>
                <w:sz w:val="20"/>
                <w:szCs w:val="20"/>
                <w:lang w:eastAsia="es-CO"/>
                <w14:ligatures w14:val="none"/>
              </w:rPr>
            </w:pPr>
            <w:r w:rsidRPr="00951AB1">
              <w:rPr>
                <w:rFonts w:eastAsia="Times New Roman" w:cs="Times New Roman"/>
                <w:color w:val="000000"/>
                <w:kern w:val="0"/>
                <w:sz w:val="20"/>
                <w:szCs w:val="20"/>
                <w:lang w:eastAsia="es-CO"/>
                <w14:ligatures w14:val="none"/>
              </w:rPr>
              <w:t>800116164</w:t>
            </w:r>
          </w:p>
        </w:tc>
        <w:tc>
          <w:tcPr>
            <w:tcW w:w="2265" w:type="pct"/>
            <w:vAlign w:val="center"/>
            <w:hideMark/>
          </w:tcPr>
          <w:p w14:paraId="6A8C6706" w14:textId="77777777" w:rsidR="00ED27A4" w:rsidRPr="00951AB1" w:rsidRDefault="00ED27A4" w:rsidP="000A5389">
            <w:pPr>
              <w:spacing w:line="240" w:lineRule="auto"/>
              <w:rPr>
                <w:rFonts w:eastAsia="Times New Roman" w:cs="Times New Roman"/>
                <w:color w:val="000000"/>
                <w:kern w:val="0"/>
                <w:sz w:val="20"/>
                <w:szCs w:val="20"/>
                <w:lang w:eastAsia="es-CO"/>
                <w14:ligatures w14:val="none"/>
              </w:rPr>
            </w:pPr>
            <w:r w:rsidRPr="00951AB1">
              <w:rPr>
                <w:rFonts w:eastAsia="Times New Roman" w:cs="Times New Roman"/>
                <w:color w:val="000000"/>
                <w:kern w:val="0"/>
                <w:sz w:val="20"/>
                <w:szCs w:val="20"/>
                <w:lang w:eastAsia="es-CO"/>
                <w14:ligatures w14:val="none"/>
              </w:rPr>
              <w:t>Terminal de Contenedores de Cartagena S.A.</w:t>
            </w:r>
          </w:p>
        </w:tc>
        <w:tc>
          <w:tcPr>
            <w:tcW w:w="1209" w:type="pct"/>
            <w:vAlign w:val="center"/>
            <w:hideMark/>
          </w:tcPr>
          <w:p w14:paraId="275931EA" w14:textId="77777777" w:rsidR="00ED27A4" w:rsidRPr="00951AB1" w:rsidRDefault="00ED27A4" w:rsidP="000A5389">
            <w:pPr>
              <w:spacing w:line="240" w:lineRule="auto"/>
              <w:jc w:val="right"/>
              <w:rPr>
                <w:rFonts w:eastAsia="Times New Roman" w:cs="Times New Roman"/>
                <w:color w:val="000000"/>
                <w:kern w:val="0"/>
                <w:sz w:val="20"/>
                <w:szCs w:val="20"/>
                <w:lang w:eastAsia="es-CO"/>
                <w14:ligatures w14:val="none"/>
              </w:rPr>
            </w:pPr>
            <w:r w:rsidRPr="00951AB1">
              <w:rPr>
                <w:rFonts w:eastAsia="Times New Roman" w:cs="Times New Roman"/>
                <w:color w:val="000000"/>
                <w:kern w:val="0"/>
                <w:sz w:val="20"/>
                <w:szCs w:val="20"/>
                <w:lang w:eastAsia="es-CO"/>
                <w14:ligatures w14:val="none"/>
              </w:rPr>
              <w:t xml:space="preserve">        26.429.136.444 </w:t>
            </w:r>
          </w:p>
        </w:tc>
      </w:tr>
      <w:tr w:rsidR="00ED27A4" w:rsidRPr="00951AB1" w14:paraId="078A59F3" w14:textId="77777777" w:rsidTr="00ED27A4">
        <w:trPr>
          <w:trHeight w:val="533"/>
        </w:trPr>
        <w:tc>
          <w:tcPr>
            <w:tcW w:w="763" w:type="pct"/>
            <w:vMerge/>
            <w:vAlign w:val="center"/>
            <w:hideMark/>
          </w:tcPr>
          <w:p w14:paraId="62A312BD" w14:textId="132DE8CA" w:rsidR="00ED27A4" w:rsidRPr="00951AB1" w:rsidRDefault="00ED27A4" w:rsidP="000A5389">
            <w:pPr>
              <w:spacing w:line="240" w:lineRule="auto"/>
              <w:rPr>
                <w:rFonts w:eastAsia="Times New Roman" w:cs="Times New Roman"/>
                <w:color w:val="000000"/>
                <w:kern w:val="0"/>
                <w:sz w:val="20"/>
                <w:szCs w:val="20"/>
                <w:lang w:eastAsia="es-CO"/>
                <w14:ligatures w14:val="none"/>
              </w:rPr>
            </w:pPr>
          </w:p>
        </w:tc>
        <w:tc>
          <w:tcPr>
            <w:tcW w:w="763" w:type="pct"/>
            <w:vAlign w:val="center"/>
            <w:hideMark/>
          </w:tcPr>
          <w:p w14:paraId="2512CD5B" w14:textId="77777777" w:rsidR="00ED27A4" w:rsidRPr="00951AB1" w:rsidRDefault="00ED27A4" w:rsidP="000A5389">
            <w:pPr>
              <w:spacing w:line="240" w:lineRule="auto"/>
              <w:jc w:val="right"/>
              <w:rPr>
                <w:rFonts w:eastAsia="Times New Roman" w:cs="Times New Roman"/>
                <w:color w:val="000000"/>
                <w:kern w:val="0"/>
                <w:sz w:val="20"/>
                <w:szCs w:val="20"/>
                <w:lang w:eastAsia="es-CO"/>
                <w14:ligatures w14:val="none"/>
              </w:rPr>
            </w:pPr>
            <w:r w:rsidRPr="00951AB1">
              <w:rPr>
                <w:rFonts w:eastAsia="Times New Roman" w:cs="Times New Roman"/>
                <w:color w:val="000000"/>
                <w:kern w:val="0"/>
                <w:sz w:val="20"/>
                <w:szCs w:val="20"/>
                <w:lang w:eastAsia="es-CO"/>
                <w14:ligatures w14:val="none"/>
              </w:rPr>
              <w:t>900531210</w:t>
            </w:r>
          </w:p>
        </w:tc>
        <w:tc>
          <w:tcPr>
            <w:tcW w:w="2265" w:type="pct"/>
            <w:vAlign w:val="center"/>
            <w:hideMark/>
          </w:tcPr>
          <w:p w14:paraId="5D5CD6BA" w14:textId="77777777" w:rsidR="00ED27A4" w:rsidRPr="00951AB1" w:rsidRDefault="00ED27A4" w:rsidP="000A5389">
            <w:pPr>
              <w:spacing w:line="240" w:lineRule="auto"/>
              <w:rPr>
                <w:rFonts w:eastAsia="Times New Roman" w:cs="Times New Roman"/>
                <w:color w:val="000000"/>
                <w:kern w:val="0"/>
                <w:sz w:val="20"/>
                <w:szCs w:val="20"/>
                <w:lang w:eastAsia="es-CO"/>
                <w14:ligatures w14:val="none"/>
              </w:rPr>
            </w:pPr>
            <w:r w:rsidRPr="00951AB1">
              <w:rPr>
                <w:rFonts w:eastAsia="Times New Roman" w:cs="Times New Roman"/>
                <w:color w:val="000000"/>
                <w:kern w:val="0"/>
                <w:sz w:val="20"/>
                <w:szCs w:val="20"/>
                <w:lang w:eastAsia="es-CO"/>
                <w14:ligatures w14:val="none"/>
              </w:rPr>
              <w:t>Cenit Transporte y Logística de Hidrocarburos S.A.S.</w:t>
            </w:r>
          </w:p>
        </w:tc>
        <w:tc>
          <w:tcPr>
            <w:tcW w:w="1209" w:type="pct"/>
            <w:vAlign w:val="center"/>
            <w:hideMark/>
          </w:tcPr>
          <w:p w14:paraId="4DA68007" w14:textId="77777777" w:rsidR="00ED27A4" w:rsidRPr="00951AB1" w:rsidRDefault="00ED27A4" w:rsidP="000A5389">
            <w:pPr>
              <w:spacing w:line="240" w:lineRule="auto"/>
              <w:jc w:val="right"/>
              <w:rPr>
                <w:rFonts w:eastAsia="Times New Roman" w:cs="Times New Roman"/>
                <w:color w:val="000000"/>
                <w:kern w:val="0"/>
                <w:sz w:val="20"/>
                <w:szCs w:val="20"/>
                <w:lang w:eastAsia="es-CO"/>
                <w14:ligatures w14:val="none"/>
              </w:rPr>
            </w:pPr>
            <w:r w:rsidRPr="00951AB1">
              <w:rPr>
                <w:rFonts w:eastAsia="Times New Roman" w:cs="Times New Roman"/>
                <w:color w:val="000000"/>
                <w:kern w:val="0"/>
                <w:sz w:val="20"/>
                <w:szCs w:val="20"/>
                <w:lang w:eastAsia="es-CO"/>
                <w14:ligatures w14:val="none"/>
              </w:rPr>
              <w:t xml:space="preserve">        23.232.875.095 </w:t>
            </w:r>
          </w:p>
        </w:tc>
      </w:tr>
      <w:tr w:rsidR="00ED27A4" w:rsidRPr="00951AB1" w14:paraId="01F95357" w14:textId="77777777" w:rsidTr="00ED27A4">
        <w:trPr>
          <w:trHeight w:val="293"/>
        </w:trPr>
        <w:tc>
          <w:tcPr>
            <w:tcW w:w="763" w:type="pct"/>
            <w:vMerge/>
            <w:vAlign w:val="center"/>
            <w:hideMark/>
          </w:tcPr>
          <w:p w14:paraId="61A964BD" w14:textId="64A1E1A5" w:rsidR="00ED27A4" w:rsidRPr="00951AB1" w:rsidRDefault="00ED27A4" w:rsidP="000A5389">
            <w:pPr>
              <w:spacing w:line="240" w:lineRule="auto"/>
              <w:rPr>
                <w:rFonts w:eastAsia="Times New Roman" w:cs="Times New Roman"/>
                <w:color w:val="000000"/>
                <w:kern w:val="0"/>
                <w:sz w:val="20"/>
                <w:szCs w:val="20"/>
                <w:lang w:eastAsia="es-CO"/>
                <w14:ligatures w14:val="none"/>
              </w:rPr>
            </w:pPr>
          </w:p>
        </w:tc>
        <w:tc>
          <w:tcPr>
            <w:tcW w:w="763" w:type="pct"/>
            <w:vAlign w:val="center"/>
            <w:hideMark/>
          </w:tcPr>
          <w:p w14:paraId="3A8A9FF8" w14:textId="77777777" w:rsidR="00ED27A4" w:rsidRPr="00951AB1" w:rsidRDefault="00ED27A4" w:rsidP="000A5389">
            <w:pPr>
              <w:spacing w:line="240" w:lineRule="auto"/>
              <w:jc w:val="right"/>
              <w:rPr>
                <w:rFonts w:eastAsia="Times New Roman" w:cs="Times New Roman"/>
                <w:color w:val="000000"/>
                <w:kern w:val="0"/>
                <w:sz w:val="20"/>
                <w:szCs w:val="20"/>
                <w:lang w:eastAsia="es-CO"/>
                <w14:ligatures w14:val="none"/>
              </w:rPr>
            </w:pPr>
            <w:r w:rsidRPr="00951AB1">
              <w:rPr>
                <w:rFonts w:eastAsia="Times New Roman" w:cs="Times New Roman"/>
                <w:color w:val="000000"/>
                <w:kern w:val="0"/>
                <w:sz w:val="20"/>
                <w:szCs w:val="20"/>
                <w:lang w:eastAsia="es-CO"/>
                <w14:ligatures w14:val="none"/>
              </w:rPr>
              <w:t>830078038</w:t>
            </w:r>
          </w:p>
        </w:tc>
        <w:tc>
          <w:tcPr>
            <w:tcW w:w="2265" w:type="pct"/>
            <w:vAlign w:val="center"/>
            <w:hideMark/>
          </w:tcPr>
          <w:p w14:paraId="7327C9DA" w14:textId="77777777" w:rsidR="00ED27A4" w:rsidRPr="00951AB1" w:rsidRDefault="00ED27A4" w:rsidP="000A5389">
            <w:pPr>
              <w:spacing w:line="240" w:lineRule="auto"/>
              <w:rPr>
                <w:rFonts w:eastAsia="Times New Roman" w:cs="Times New Roman"/>
                <w:color w:val="000000"/>
                <w:kern w:val="0"/>
                <w:sz w:val="20"/>
                <w:szCs w:val="20"/>
                <w:lang w:eastAsia="es-CO"/>
                <w14:ligatures w14:val="none"/>
              </w:rPr>
            </w:pPr>
            <w:r w:rsidRPr="00951AB1">
              <w:rPr>
                <w:rFonts w:eastAsia="Times New Roman" w:cs="Times New Roman"/>
                <w:color w:val="000000"/>
                <w:kern w:val="0"/>
                <w:sz w:val="20"/>
                <w:szCs w:val="20"/>
                <w:lang w:eastAsia="es-CO"/>
                <w14:ligatures w14:val="none"/>
              </w:rPr>
              <w:t>Cerrejón Zona Norte S. A.</w:t>
            </w:r>
          </w:p>
        </w:tc>
        <w:tc>
          <w:tcPr>
            <w:tcW w:w="1209" w:type="pct"/>
            <w:vAlign w:val="center"/>
            <w:hideMark/>
          </w:tcPr>
          <w:p w14:paraId="5877AB74" w14:textId="77777777" w:rsidR="00ED27A4" w:rsidRPr="00951AB1" w:rsidRDefault="00ED27A4" w:rsidP="000A5389">
            <w:pPr>
              <w:spacing w:line="240" w:lineRule="auto"/>
              <w:jc w:val="right"/>
              <w:rPr>
                <w:rFonts w:eastAsia="Times New Roman" w:cs="Times New Roman"/>
                <w:color w:val="000000"/>
                <w:kern w:val="0"/>
                <w:sz w:val="20"/>
                <w:szCs w:val="20"/>
                <w:lang w:eastAsia="es-CO"/>
                <w14:ligatures w14:val="none"/>
              </w:rPr>
            </w:pPr>
            <w:r w:rsidRPr="00951AB1">
              <w:rPr>
                <w:rFonts w:eastAsia="Times New Roman" w:cs="Times New Roman"/>
                <w:color w:val="000000"/>
                <w:kern w:val="0"/>
                <w:sz w:val="20"/>
                <w:szCs w:val="20"/>
                <w:lang w:eastAsia="es-CO"/>
                <w14:ligatures w14:val="none"/>
              </w:rPr>
              <w:t xml:space="preserve">        22.373.299.272 </w:t>
            </w:r>
          </w:p>
        </w:tc>
      </w:tr>
      <w:tr w:rsidR="00ED27A4" w:rsidRPr="00951AB1" w14:paraId="4751D75A" w14:textId="77777777" w:rsidTr="00ED27A4">
        <w:trPr>
          <w:trHeight w:val="533"/>
        </w:trPr>
        <w:tc>
          <w:tcPr>
            <w:tcW w:w="763" w:type="pct"/>
            <w:vMerge/>
            <w:vAlign w:val="center"/>
            <w:hideMark/>
          </w:tcPr>
          <w:p w14:paraId="54FEEE0C" w14:textId="649BBBF2" w:rsidR="00ED27A4" w:rsidRPr="00951AB1" w:rsidRDefault="00ED27A4" w:rsidP="000A5389">
            <w:pPr>
              <w:spacing w:line="240" w:lineRule="auto"/>
              <w:rPr>
                <w:rFonts w:eastAsia="Times New Roman" w:cs="Times New Roman"/>
                <w:color w:val="000000"/>
                <w:kern w:val="0"/>
                <w:sz w:val="20"/>
                <w:szCs w:val="20"/>
                <w:lang w:eastAsia="es-CO"/>
                <w14:ligatures w14:val="none"/>
              </w:rPr>
            </w:pPr>
          </w:p>
        </w:tc>
        <w:tc>
          <w:tcPr>
            <w:tcW w:w="763" w:type="pct"/>
            <w:vAlign w:val="center"/>
            <w:hideMark/>
          </w:tcPr>
          <w:p w14:paraId="52FF1A1A" w14:textId="77777777" w:rsidR="00ED27A4" w:rsidRPr="00951AB1" w:rsidRDefault="00ED27A4" w:rsidP="000A5389">
            <w:pPr>
              <w:spacing w:line="240" w:lineRule="auto"/>
              <w:jc w:val="right"/>
              <w:rPr>
                <w:rFonts w:eastAsia="Times New Roman" w:cs="Times New Roman"/>
                <w:color w:val="000000"/>
                <w:kern w:val="0"/>
                <w:sz w:val="20"/>
                <w:szCs w:val="20"/>
                <w:lang w:eastAsia="es-CO"/>
                <w14:ligatures w14:val="none"/>
              </w:rPr>
            </w:pPr>
            <w:r w:rsidRPr="00951AB1">
              <w:rPr>
                <w:rFonts w:eastAsia="Times New Roman" w:cs="Times New Roman"/>
                <w:color w:val="000000"/>
                <w:kern w:val="0"/>
                <w:sz w:val="20"/>
                <w:szCs w:val="20"/>
                <w:lang w:eastAsia="es-CO"/>
                <w14:ligatures w14:val="none"/>
              </w:rPr>
              <w:t>800084048</w:t>
            </w:r>
          </w:p>
        </w:tc>
        <w:tc>
          <w:tcPr>
            <w:tcW w:w="2265" w:type="pct"/>
            <w:vAlign w:val="center"/>
            <w:hideMark/>
          </w:tcPr>
          <w:p w14:paraId="1F993CD3" w14:textId="77777777" w:rsidR="00ED27A4" w:rsidRPr="00951AB1" w:rsidRDefault="00ED27A4" w:rsidP="000A5389">
            <w:pPr>
              <w:spacing w:line="240" w:lineRule="auto"/>
              <w:rPr>
                <w:rFonts w:eastAsia="Times New Roman" w:cs="Times New Roman"/>
                <w:color w:val="000000"/>
                <w:kern w:val="0"/>
                <w:sz w:val="20"/>
                <w:szCs w:val="20"/>
                <w:lang w:eastAsia="es-CO"/>
                <w14:ligatures w14:val="none"/>
              </w:rPr>
            </w:pPr>
            <w:r w:rsidRPr="00951AB1">
              <w:rPr>
                <w:rFonts w:eastAsia="Times New Roman" w:cs="Times New Roman"/>
                <w:color w:val="000000"/>
                <w:kern w:val="0"/>
                <w:sz w:val="20"/>
                <w:szCs w:val="20"/>
                <w:lang w:eastAsia="es-CO"/>
                <w14:ligatures w14:val="none"/>
              </w:rPr>
              <w:t>Sociedad Portuaria Terminal de Contenedores de Buenaventura S.A.</w:t>
            </w:r>
          </w:p>
        </w:tc>
        <w:tc>
          <w:tcPr>
            <w:tcW w:w="1209" w:type="pct"/>
            <w:vAlign w:val="center"/>
            <w:hideMark/>
          </w:tcPr>
          <w:p w14:paraId="54BF3B46" w14:textId="77777777" w:rsidR="00ED27A4" w:rsidRPr="00951AB1" w:rsidRDefault="00ED27A4" w:rsidP="000A5389">
            <w:pPr>
              <w:spacing w:line="240" w:lineRule="auto"/>
              <w:jc w:val="right"/>
              <w:rPr>
                <w:rFonts w:eastAsia="Times New Roman" w:cs="Times New Roman"/>
                <w:color w:val="000000"/>
                <w:kern w:val="0"/>
                <w:sz w:val="20"/>
                <w:szCs w:val="20"/>
                <w:lang w:eastAsia="es-CO"/>
                <w14:ligatures w14:val="none"/>
              </w:rPr>
            </w:pPr>
            <w:r w:rsidRPr="00951AB1">
              <w:rPr>
                <w:rFonts w:eastAsia="Times New Roman" w:cs="Times New Roman"/>
                <w:color w:val="000000"/>
                <w:kern w:val="0"/>
                <w:sz w:val="20"/>
                <w:szCs w:val="20"/>
                <w:lang w:eastAsia="es-CO"/>
                <w14:ligatures w14:val="none"/>
              </w:rPr>
              <w:t xml:space="preserve">        20.289.358.990 </w:t>
            </w:r>
          </w:p>
        </w:tc>
      </w:tr>
      <w:tr w:rsidR="00ED27A4" w:rsidRPr="00951AB1" w14:paraId="34A4C58E" w14:textId="77777777" w:rsidTr="00ED27A4">
        <w:trPr>
          <w:trHeight w:val="293"/>
        </w:trPr>
        <w:tc>
          <w:tcPr>
            <w:tcW w:w="763" w:type="pct"/>
            <w:vMerge/>
            <w:vAlign w:val="center"/>
            <w:hideMark/>
          </w:tcPr>
          <w:p w14:paraId="29BF7941" w14:textId="79F2971B" w:rsidR="00ED27A4" w:rsidRPr="00951AB1" w:rsidRDefault="00ED27A4" w:rsidP="000A5389">
            <w:pPr>
              <w:spacing w:line="240" w:lineRule="auto"/>
              <w:rPr>
                <w:rFonts w:eastAsia="Times New Roman" w:cs="Times New Roman"/>
                <w:color w:val="000000"/>
                <w:kern w:val="0"/>
                <w:sz w:val="20"/>
                <w:szCs w:val="20"/>
                <w:lang w:eastAsia="es-CO"/>
                <w14:ligatures w14:val="none"/>
              </w:rPr>
            </w:pPr>
          </w:p>
        </w:tc>
        <w:tc>
          <w:tcPr>
            <w:tcW w:w="763" w:type="pct"/>
            <w:vAlign w:val="center"/>
            <w:hideMark/>
          </w:tcPr>
          <w:p w14:paraId="319B791F" w14:textId="77777777" w:rsidR="00ED27A4" w:rsidRPr="00951AB1" w:rsidRDefault="00ED27A4" w:rsidP="000A5389">
            <w:pPr>
              <w:spacing w:line="240" w:lineRule="auto"/>
              <w:jc w:val="right"/>
              <w:rPr>
                <w:rFonts w:eastAsia="Times New Roman" w:cs="Times New Roman"/>
                <w:color w:val="000000"/>
                <w:kern w:val="0"/>
                <w:sz w:val="20"/>
                <w:szCs w:val="20"/>
                <w:lang w:eastAsia="es-CO"/>
                <w14:ligatures w14:val="none"/>
              </w:rPr>
            </w:pPr>
            <w:r w:rsidRPr="00951AB1">
              <w:rPr>
                <w:rFonts w:eastAsia="Times New Roman" w:cs="Times New Roman"/>
                <w:color w:val="000000"/>
                <w:kern w:val="0"/>
                <w:sz w:val="20"/>
                <w:szCs w:val="20"/>
                <w:lang w:eastAsia="es-CO"/>
                <w14:ligatures w14:val="none"/>
              </w:rPr>
              <w:t>900164755</w:t>
            </w:r>
          </w:p>
        </w:tc>
        <w:tc>
          <w:tcPr>
            <w:tcW w:w="2265" w:type="pct"/>
            <w:vAlign w:val="center"/>
            <w:hideMark/>
          </w:tcPr>
          <w:p w14:paraId="3482712E" w14:textId="77777777" w:rsidR="00ED27A4" w:rsidRPr="00951AB1" w:rsidRDefault="00ED27A4" w:rsidP="000A5389">
            <w:pPr>
              <w:spacing w:line="240" w:lineRule="auto"/>
              <w:rPr>
                <w:rFonts w:eastAsia="Times New Roman" w:cs="Times New Roman"/>
                <w:color w:val="000000"/>
                <w:kern w:val="0"/>
                <w:sz w:val="20"/>
                <w:szCs w:val="20"/>
                <w:lang w:eastAsia="es-CO"/>
                <w14:ligatures w14:val="none"/>
              </w:rPr>
            </w:pPr>
            <w:r w:rsidRPr="00951AB1">
              <w:rPr>
                <w:rFonts w:eastAsia="Times New Roman" w:cs="Times New Roman"/>
                <w:color w:val="000000"/>
                <w:kern w:val="0"/>
                <w:sz w:val="20"/>
                <w:szCs w:val="20"/>
                <w:lang w:eastAsia="es-CO"/>
                <w14:ligatures w14:val="none"/>
              </w:rPr>
              <w:t>Zona Franca Argos S.A.S.</w:t>
            </w:r>
          </w:p>
        </w:tc>
        <w:tc>
          <w:tcPr>
            <w:tcW w:w="1209" w:type="pct"/>
            <w:vAlign w:val="center"/>
            <w:hideMark/>
          </w:tcPr>
          <w:p w14:paraId="0B3CC02A" w14:textId="77777777" w:rsidR="00ED27A4" w:rsidRPr="00951AB1" w:rsidRDefault="00ED27A4" w:rsidP="000A5389">
            <w:pPr>
              <w:spacing w:line="240" w:lineRule="auto"/>
              <w:jc w:val="right"/>
              <w:rPr>
                <w:rFonts w:eastAsia="Times New Roman" w:cs="Times New Roman"/>
                <w:color w:val="000000"/>
                <w:kern w:val="0"/>
                <w:sz w:val="20"/>
                <w:szCs w:val="20"/>
                <w:lang w:eastAsia="es-CO"/>
                <w14:ligatures w14:val="none"/>
              </w:rPr>
            </w:pPr>
            <w:r w:rsidRPr="00951AB1">
              <w:rPr>
                <w:rFonts w:eastAsia="Times New Roman" w:cs="Times New Roman"/>
                <w:color w:val="000000"/>
                <w:kern w:val="0"/>
                <w:sz w:val="20"/>
                <w:szCs w:val="20"/>
                <w:lang w:eastAsia="es-CO"/>
                <w14:ligatures w14:val="none"/>
              </w:rPr>
              <w:t xml:space="preserve">        19.935.577.509 </w:t>
            </w:r>
          </w:p>
        </w:tc>
      </w:tr>
      <w:tr w:rsidR="00ED27A4" w:rsidRPr="00951AB1" w14:paraId="32174169" w14:textId="77777777" w:rsidTr="00ED27A4">
        <w:trPr>
          <w:trHeight w:val="533"/>
        </w:trPr>
        <w:tc>
          <w:tcPr>
            <w:tcW w:w="763" w:type="pct"/>
            <w:vMerge/>
            <w:vAlign w:val="center"/>
            <w:hideMark/>
          </w:tcPr>
          <w:p w14:paraId="303B9834" w14:textId="55E1AD84" w:rsidR="00ED27A4" w:rsidRPr="00951AB1" w:rsidRDefault="00ED27A4" w:rsidP="000A5389">
            <w:pPr>
              <w:spacing w:line="240" w:lineRule="auto"/>
              <w:rPr>
                <w:rFonts w:eastAsia="Times New Roman" w:cs="Times New Roman"/>
                <w:color w:val="000000"/>
                <w:kern w:val="0"/>
                <w:sz w:val="20"/>
                <w:szCs w:val="20"/>
                <w:lang w:eastAsia="es-CO"/>
                <w14:ligatures w14:val="none"/>
              </w:rPr>
            </w:pPr>
          </w:p>
        </w:tc>
        <w:tc>
          <w:tcPr>
            <w:tcW w:w="763" w:type="pct"/>
            <w:vAlign w:val="center"/>
            <w:hideMark/>
          </w:tcPr>
          <w:p w14:paraId="794ABE88" w14:textId="77777777" w:rsidR="00ED27A4" w:rsidRPr="00951AB1" w:rsidRDefault="00ED27A4" w:rsidP="000A5389">
            <w:pPr>
              <w:spacing w:line="240" w:lineRule="auto"/>
              <w:jc w:val="right"/>
              <w:rPr>
                <w:rFonts w:eastAsia="Times New Roman" w:cs="Times New Roman"/>
                <w:color w:val="000000"/>
                <w:kern w:val="0"/>
                <w:sz w:val="20"/>
                <w:szCs w:val="20"/>
                <w:lang w:eastAsia="es-CO"/>
                <w14:ligatures w14:val="none"/>
              </w:rPr>
            </w:pPr>
            <w:r w:rsidRPr="00951AB1">
              <w:rPr>
                <w:rFonts w:eastAsia="Times New Roman" w:cs="Times New Roman"/>
                <w:color w:val="000000"/>
                <w:kern w:val="0"/>
                <w:sz w:val="20"/>
                <w:szCs w:val="20"/>
                <w:lang w:eastAsia="es-CO"/>
                <w14:ligatures w14:val="none"/>
              </w:rPr>
              <w:t>800215775</w:t>
            </w:r>
          </w:p>
        </w:tc>
        <w:tc>
          <w:tcPr>
            <w:tcW w:w="2265" w:type="pct"/>
            <w:vAlign w:val="center"/>
            <w:hideMark/>
          </w:tcPr>
          <w:p w14:paraId="437C57B9" w14:textId="77777777" w:rsidR="00ED27A4" w:rsidRPr="00951AB1" w:rsidRDefault="00ED27A4" w:rsidP="000A5389">
            <w:pPr>
              <w:spacing w:line="240" w:lineRule="auto"/>
              <w:rPr>
                <w:rFonts w:eastAsia="Times New Roman" w:cs="Times New Roman"/>
                <w:color w:val="000000"/>
                <w:kern w:val="0"/>
                <w:sz w:val="20"/>
                <w:szCs w:val="20"/>
                <w:lang w:eastAsia="es-CO"/>
                <w14:ligatures w14:val="none"/>
              </w:rPr>
            </w:pPr>
            <w:r w:rsidRPr="00951AB1">
              <w:rPr>
                <w:rFonts w:eastAsia="Times New Roman" w:cs="Times New Roman"/>
                <w:color w:val="000000"/>
                <w:kern w:val="0"/>
                <w:sz w:val="20"/>
                <w:szCs w:val="20"/>
                <w:lang w:eastAsia="es-CO"/>
                <w14:ligatures w14:val="none"/>
              </w:rPr>
              <w:t>Sociedad Portuaria Regional de Buenaventura S.A. S.P.R. BUN</w:t>
            </w:r>
          </w:p>
        </w:tc>
        <w:tc>
          <w:tcPr>
            <w:tcW w:w="1209" w:type="pct"/>
            <w:vAlign w:val="center"/>
            <w:hideMark/>
          </w:tcPr>
          <w:p w14:paraId="143E38D7" w14:textId="77777777" w:rsidR="00ED27A4" w:rsidRPr="00951AB1" w:rsidRDefault="00ED27A4" w:rsidP="000A5389">
            <w:pPr>
              <w:spacing w:line="240" w:lineRule="auto"/>
              <w:jc w:val="right"/>
              <w:rPr>
                <w:rFonts w:eastAsia="Times New Roman" w:cs="Times New Roman"/>
                <w:color w:val="000000"/>
                <w:kern w:val="0"/>
                <w:sz w:val="20"/>
                <w:szCs w:val="20"/>
                <w:lang w:eastAsia="es-CO"/>
                <w14:ligatures w14:val="none"/>
              </w:rPr>
            </w:pPr>
            <w:r w:rsidRPr="00951AB1">
              <w:rPr>
                <w:rFonts w:eastAsia="Times New Roman" w:cs="Times New Roman"/>
                <w:color w:val="000000"/>
                <w:kern w:val="0"/>
                <w:sz w:val="20"/>
                <w:szCs w:val="20"/>
                <w:lang w:eastAsia="es-CO"/>
                <w14:ligatures w14:val="none"/>
              </w:rPr>
              <w:t xml:space="preserve">        19.141.375.995 </w:t>
            </w:r>
          </w:p>
        </w:tc>
      </w:tr>
      <w:tr w:rsidR="00ED27A4" w:rsidRPr="00951AB1" w14:paraId="63375DA8" w14:textId="77777777" w:rsidTr="00ED27A4">
        <w:trPr>
          <w:trHeight w:val="533"/>
        </w:trPr>
        <w:tc>
          <w:tcPr>
            <w:tcW w:w="763" w:type="pct"/>
            <w:vMerge/>
            <w:vAlign w:val="center"/>
            <w:hideMark/>
          </w:tcPr>
          <w:p w14:paraId="4135208D" w14:textId="386AAFA6" w:rsidR="00ED27A4" w:rsidRPr="00951AB1" w:rsidRDefault="00ED27A4" w:rsidP="000A5389">
            <w:pPr>
              <w:spacing w:line="240" w:lineRule="auto"/>
              <w:rPr>
                <w:rFonts w:eastAsia="Times New Roman" w:cs="Times New Roman"/>
                <w:color w:val="000000"/>
                <w:kern w:val="0"/>
                <w:sz w:val="20"/>
                <w:szCs w:val="20"/>
                <w:lang w:eastAsia="es-CO"/>
                <w14:ligatures w14:val="none"/>
              </w:rPr>
            </w:pPr>
          </w:p>
        </w:tc>
        <w:tc>
          <w:tcPr>
            <w:tcW w:w="763" w:type="pct"/>
            <w:vAlign w:val="center"/>
            <w:hideMark/>
          </w:tcPr>
          <w:p w14:paraId="2E2E9F09" w14:textId="77777777" w:rsidR="00ED27A4" w:rsidRPr="00951AB1" w:rsidRDefault="00ED27A4" w:rsidP="000A5389">
            <w:pPr>
              <w:spacing w:line="240" w:lineRule="auto"/>
              <w:jc w:val="right"/>
              <w:rPr>
                <w:rFonts w:eastAsia="Times New Roman" w:cs="Times New Roman"/>
                <w:color w:val="000000"/>
                <w:kern w:val="0"/>
                <w:sz w:val="20"/>
                <w:szCs w:val="20"/>
                <w:lang w:eastAsia="es-CO"/>
                <w14:ligatures w14:val="none"/>
              </w:rPr>
            </w:pPr>
            <w:r w:rsidRPr="00951AB1">
              <w:rPr>
                <w:rFonts w:eastAsia="Times New Roman" w:cs="Times New Roman"/>
                <w:color w:val="000000"/>
                <w:kern w:val="0"/>
                <w:sz w:val="20"/>
                <w:szCs w:val="20"/>
                <w:lang w:eastAsia="es-CO"/>
                <w14:ligatures w14:val="none"/>
              </w:rPr>
              <w:t>800200969</w:t>
            </w:r>
          </w:p>
        </w:tc>
        <w:tc>
          <w:tcPr>
            <w:tcW w:w="2265" w:type="pct"/>
            <w:vAlign w:val="center"/>
            <w:hideMark/>
          </w:tcPr>
          <w:p w14:paraId="4D97DFA1" w14:textId="77777777" w:rsidR="00ED27A4" w:rsidRPr="00951AB1" w:rsidRDefault="00ED27A4" w:rsidP="000A5389">
            <w:pPr>
              <w:spacing w:line="240" w:lineRule="auto"/>
              <w:rPr>
                <w:rFonts w:eastAsia="Times New Roman" w:cs="Times New Roman"/>
                <w:color w:val="000000"/>
                <w:kern w:val="0"/>
                <w:sz w:val="20"/>
                <w:szCs w:val="20"/>
                <w:lang w:eastAsia="es-CO"/>
                <w14:ligatures w14:val="none"/>
              </w:rPr>
            </w:pPr>
            <w:r w:rsidRPr="00951AB1">
              <w:rPr>
                <w:rFonts w:eastAsia="Times New Roman" w:cs="Times New Roman"/>
                <w:color w:val="000000"/>
                <w:kern w:val="0"/>
                <w:sz w:val="20"/>
                <w:szCs w:val="20"/>
                <w:lang w:eastAsia="es-CO"/>
                <w14:ligatures w14:val="none"/>
              </w:rPr>
              <w:t xml:space="preserve">Sociedad Portuaria Regional de Cartagena S.A. </w:t>
            </w:r>
          </w:p>
        </w:tc>
        <w:tc>
          <w:tcPr>
            <w:tcW w:w="1209" w:type="pct"/>
            <w:vAlign w:val="center"/>
            <w:hideMark/>
          </w:tcPr>
          <w:p w14:paraId="566B08A4" w14:textId="77777777" w:rsidR="00ED27A4" w:rsidRPr="00951AB1" w:rsidRDefault="00ED27A4" w:rsidP="000A5389">
            <w:pPr>
              <w:spacing w:line="240" w:lineRule="auto"/>
              <w:jc w:val="right"/>
              <w:rPr>
                <w:rFonts w:eastAsia="Times New Roman" w:cs="Times New Roman"/>
                <w:color w:val="000000"/>
                <w:kern w:val="0"/>
                <w:sz w:val="20"/>
                <w:szCs w:val="20"/>
                <w:lang w:eastAsia="es-CO"/>
                <w14:ligatures w14:val="none"/>
              </w:rPr>
            </w:pPr>
            <w:r w:rsidRPr="00951AB1">
              <w:rPr>
                <w:rFonts w:eastAsia="Times New Roman" w:cs="Times New Roman"/>
                <w:color w:val="000000"/>
                <w:kern w:val="0"/>
                <w:sz w:val="20"/>
                <w:szCs w:val="20"/>
                <w:lang w:eastAsia="es-CO"/>
                <w14:ligatures w14:val="none"/>
              </w:rPr>
              <w:t xml:space="preserve">        18.644.621.083 </w:t>
            </w:r>
          </w:p>
        </w:tc>
      </w:tr>
      <w:tr w:rsidR="00ED27A4" w:rsidRPr="00951AB1" w14:paraId="2FFB5CC6" w14:textId="77777777" w:rsidTr="00ED27A4">
        <w:trPr>
          <w:trHeight w:val="293"/>
        </w:trPr>
        <w:tc>
          <w:tcPr>
            <w:tcW w:w="763" w:type="pct"/>
            <w:vMerge/>
            <w:vAlign w:val="center"/>
            <w:hideMark/>
          </w:tcPr>
          <w:p w14:paraId="5E10ED51" w14:textId="2A5172C1" w:rsidR="00ED27A4" w:rsidRPr="00951AB1" w:rsidRDefault="00ED27A4" w:rsidP="000A5389">
            <w:pPr>
              <w:spacing w:line="240" w:lineRule="auto"/>
              <w:rPr>
                <w:rFonts w:eastAsia="Times New Roman" w:cs="Times New Roman"/>
                <w:color w:val="000000"/>
                <w:kern w:val="0"/>
                <w:sz w:val="20"/>
                <w:szCs w:val="20"/>
                <w:lang w:eastAsia="es-CO"/>
                <w14:ligatures w14:val="none"/>
              </w:rPr>
            </w:pPr>
          </w:p>
        </w:tc>
        <w:tc>
          <w:tcPr>
            <w:tcW w:w="763" w:type="pct"/>
            <w:vAlign w:val="center"/>
            <w:hideMark/>
          </w:tcPr>
          <w:p w14:paraId="4A6D1CDC" w14:textId="77777777" w:rsidR="00ED27A4" w:rsidRPr="00951AB1" w:rsidRDefault="00ED27A4" w:rsidP="000A5389">
            <w:pPr>
              <w:spacing w:line="240" w:lineRule="auto"/>
              <w:jc w:val="right"/>
              <w:rPr>
                <w:rFonts w:eastAsia="Times New Roman" w:cs="Times New Roman"/>
                <w:color w:val="000000"/>
                <w:kern w:val="0"/>
                <w:sz w:val="20"/>
                <w:szCs w:val="20"/>
                <w:lang w:eastAsia="es-CO"/>
                <w14:ligatures w14:val="none"/>
              </w:rPr>
            </w:pPr>
            <w:r w:rsidRPr="00951AB1">
              <w:rPr>
                <w:rFonts w:eastAsia="Times New Roman" w:cs="Times New Roman"/>
                <w:color w:val="000000"/>
                <w:kern w:val="0"/>
                <w:sz w:val="20"/>
                <w:szCs w:val="20"/>
                <w:lang w:eastAsia="es-CO"/>
                <w14:ligatures w14:val="none"/>
              </w:rPr>
              <w:t>800153687</w:t>
            </w:r>
          </w:p>
        </w:tc>
        <w:tc>
          <w:tcPr>
            <w:tcW w:w="2265" w:type="pct"/>
            <w:vAlign w:val="center"/>
            <w:hideMark/>
          </w:tcPr>
          <w:p w14:paraId="56F8F4FE" w14:textId="77777777" w:rsidR="00ED27A4" w:rsidRPr="00951AB1" w:rsidRDefault="00ED27A4" w:rsidP="000A5389">
            <w:pPr>
              <w:spacing w:line="240" w:lineRule="auto"/>
              <w:rPr>
                <w:rFonts w:eastAsia="Times New Roman" w:cs="Times New Roman"/>
                <w:color w:val="000000"/>
                <w:kern w:val="0"/>
                <w:sz w:val="20"/>
                <w:szCs w:val="20"/>
                <w:lang w:eastAsia="es-CO"/>
                <w14:ligatures w14:val="none"/>
              </w:rPr>
            </w:pPr>
            <w:r w:rsidRPr="00951AB1">
              <w:rPr>
                <w:rFonts w:eastAsia="Times New Roman" w:cs="Times New Roman"/>
                <w:color w:val="000000"/>
                <w:kern w:val="0"/>
                <w:sz w:val="20"/>
                <w:szCs w:val="20"/>
                <w:lang w:eastAsia="es-CO"/>
                <w14:ligatures w14:val="none"/>
              </w:rPr>
              <w:t>American Port Company INC</w:t>
            </w:r>
          </w:p>
        </w:tc>
        <w:tc>
          <w:tcPr>
            <w:tcW w:w="1209" w:type="pct"/>
            <w:vAlign w:val="center"/>
            <w:hideMark/>
          </w:tcPr>
          <w:p w14:paraId="27DBA2A5" w14:textId="77777777" w:rsidR="00ED27A4" w:rsidRPr="00951AB1" w:rsidRDefault="00ED27A4" w:rsidP="000A5389">
            <w:pPr>
              <w:spacing w:line="240" w:lineRule="auto"/>
              <w:jc w:val="right"/>
              <w:rPr>
                <w:rFonts w:eastAsia="Times New Roman" w:cs="Times New Roman"/>
                <w:color w:val="000000"/>
                <w:kern w:val="0"/>
                <w:sz w:val="20"/>
                <w:szCs w:val="20"/>
                <w:lang w:eastAsia="es-CO"/>
                <w14:ligatures w14:val="none"/>
              </w:rPr>
            </w:pPr>
            <w:r w:rsidRPr="00951AB1">
              <w:rPr>
                <w:rFonts w:eastAsia="Times New Roman" w:cs="Times New Roman"/>
                <w:color w:val="000000"/>
                <w:kern w:val="0"/>
                <w:sz w:val="20"/>
                <w:szCs w:val="20"/>
                <w:lang w:eastAsia="es-CO"/>
                <w14:ligatures w14:val="none"/>
              </w:rPr>
              <w:t xml:space="preserve">        18.112.307.946 </w:t>
            </w:r>
          </w:p>
        </w:tc>
      </w:tr>
      <w:tr w:rsidR="00ED27A4" w:rsidRPr="00951AB1" w14:paraId="21022367" w14:textId="77777777" w:rsidTr="00ED27A4">
        <w:trPr>
          <w:trHeight w:val="293"/>
        </w:trPr>
        <w:tc>
          <w:tcPr>
            <w:tcW w:w="763" w:type="pct"/>
            <w:vMerge/>
            <w:vAlign w:val="center"/>
            <w:hideMark/>
          </w:tcPr>
          <w:p w14:paraId="5922E0AF" w14:textId="3932283B" w:rsidR="00ED27A4" w:rsidRPr="00951AB1" w:rsidRDefault="00ED27A4" w:rsidP="000A5389">
            <w:pPr>
              <w:spacing w:line="240" w:lineRule="auto"/>
              <w:rPr>
                <w:rFonts w:eastAsia="Times New Roman" w:cs="Times New Roman"/>
                <w:color w:val="000000"/>
                <w:kern w:val="0"/>
                <w:sz w:val="20"/>
                <w:szCs w:val="20"/>
                <w:lang w:eastAsia="es-CO"/>
                <w14:ligatures w14:val="none"/>
              </w:rPr>
            </w:pPr>
          </w:p>
        </w:tc>
        <w:tc>
          <w:tcPr>
            <w:tcW w:w="763" w:type="pct"/>
            <w:vAlign w:val="center"/>
            <w:hideMark/>
          </w:tcPr>
          <w:p w14:paraId="2A1281BA" w14:textId="77777777" w:rsidR="00ED27A4" w:rsidRPr="00951AB1" w:rsidRDefault="00ED27A4" w:rsidP="000A5389">
            <w:pPr>
              <w:spacing w:line="240" w:lineRule="auto"/>
              <w:jc w:val="right"/>
              <w:rPr>
                <w:rFonts w:eastAsia="Times New Roman" w:cs="Times New Roman"/>
                <w:color w:val="000000"/>
                <w:kern w:val="0"/>
                <w:sz w:val="20"/>
                <w:szCs w:val="20"/>
                <w:lang w:eastAsia="es-CO"/>
                <w14:ligatures w14:val="none"/>
              </w:rPr>
            </w:pPr>
            <w:r w:rsidRPr="00951AB1">
              <w:rPr>
                <w:rFonts w:eastAsia="Times New Roman" w:cs="Times New Roman"/>
                <w:color w:val="000000"/>
                <w:kern w:val="0"/>
                <w:sz w:val="20"/>
                <w:szCs w:val="20"/>
                <w:lang w:eastAsia="es-CO"/>
                <w14:ligatures w14:val="none"/>
              </w:rPr>
              <w:t>900273253</w:t>
            </w:r>
          </w:p>
        </w:tc>
        <w:tc>
          <w:tcPr>
            <w:tcW w:w="2265" w:type="pct"/>
            <w:vAlign w:val="center"/>
            <w:hideMark/>
          </w:tcPr>
          <w:p w14:paraId="2307827B" w14:textId="77777777" w:rsidR="00ED27A4" w:rsidRPr="00951AB1" w:rsidRDefault="00ED27A4" w:rsidP="000A5389">
            <w:pPr>
              <w:spacing w:line="240" w:lineRule="auto"/>
              <w:rPr>
                <w:rFonts w:eastAsia="Times New Roman" w:cs="Times New Roman"/>
                <w:color w:val="000000"/>
                <w:kern w:val="0"/>
                <w:sz w:val="20"/>
                <w:szCs w:val="20"/>
                <w:lang w:eastAsia="es-CO"/>
                <w14:ligatures w14:val="none"/>
              </w:rPr>
            </w:pPr>
            <w:r w:rsidRPr="00951AB1">
              <w:rPr>
                <w:rFonts w:eastAsia="Times New Roman" w:cs="Times New Roman"/>
                <w:color w:val="000000"/>
                <w:kern w:val="0"/>
                <w:sz w:val="20"/>
                <w:szCs w:val="20"/>
                <w:lang w:eastAsia="es-CO"/>
                <w14:ligatures w14:val="none"/>
              </w:rPr>
              <w:t>Sociedad Portuaria Puerto Nuevo S.A.</w:t>
            </w:r>
          </w:p>
        </w:tc>
        <w:tc>
          <w:tcPr>
            <w:tcW w:w="1209" w:type="pct"/>
            <w:vAlign w:val="center"/>
            <w:hideMark/>
          </w:tcPr>
          <w:p w14:paraId="72256E37" w14:textId="77777777" w:rsidR="00ED27A4" w:rsidRPr="00951AB1" w:rsidRDefault="00ED27A4" w:rsidP="000A5389">
            <w:pPr>
              <w:spacing w:line="240" w:lineRule="auto"/>
              <w:jc w:val="right"/>
              <w:rPr>
                <w:rFonts w:eastAsia="Times New Roman" w:cs="Times New Roman"/>
                <w:color w:val="000000"/>
                <w:kern w:val="0"/>
                <w:sz w:val="20"/>
                <w:szCs w:val="20"/>
                <w:lang w:eastAsia="es-CO"/>
                <w14:ligatures w14:val="none"/>
              </w:rPr>
            </w:pPr>
            <w:r w:rsidRPr="00951AB1">
              <w:rPr>
                <w:rFonts w:eastAsia="Times New Roman" w:cs="Times New Roman"/>
                <w:color w:val="000000"/>
                <w:kern w:val="0"/>
                <w:sz w:val="20"/>
                <w:szCs w:val="20"/>
                <w:lang w:eastAsia="es-CO"/>
                <w14:ligatures w14:val="none"/>
              </w:rPr>
              <w:t xml:space="preserve">        16.955.188.553 </w:t>
            </w:r>
          </w:p>
        </w:tc>
      </w:tr>
      <w:tr w:rsidR="00ED27A4" w:rsidRPr="00951AB1" w14:paraId="1ED114D8" w14:textId="77777777" w:rsidTr="00ED27A4">
        <w:trPr>
          <w:trHeight w:val="293"/>
        </w:trPr>
        <w:tc>
          <w:tcPr>
            <w:tcW w:w="763" w:type="pct"/>
            <w:vMerge/>
            <w:vAlign w:val="center"/>
            <w:hideMark/>
          </w:tcPr>
          <w:p w14:paraId="6A14DDCA" w14:textId="4F73BE3F" w:rsidR="00ED27A4" w:rsidRPr="00951AB1" w:rsidRDefault="00ED27A4" w:rsidP="000A5389">
            <w:pPr>
              <w:spacing w:line="240" w:lineRule="auto"/>
              <w:rPr>
                <w:rFonts w:eastAsia="Times New Roman" w:cs="Times New Roman"/>
                <w:color w:val="000000"/>
                <w:kern w:val="0"/>
                <w:sz w:val="20"/>
                <w:szCs w:val="20"/>
                <w:lang w:eastAsia="es-CO"/>
                <w14:ligatures w14:val="none"/>
              </w:rPr>
            </w:pPr>
          </w:p>
        </w:tc>
        <w:tc>
          <w:tcPr>
            <w:tcW w:w="763" w:type="pct"/>
            <w:vAlign w:val="center"/>
            <w:hideMark/>
          </w:tcPr>
          <w:p w14:paraId="3D8D7124" w14:textId="77777777" w:rsidR="00ED27A4" w:rsidRPr="00951AB1" w:rsidRDefault="00ED27A4" w:rsidP="000A5389">
            <w:pPr>
              <w:spacing w:line="240" w:lineRule="auto"/>
              <w:jc w:val="right"/>
              <w:rPr>
                <w:rFonts w:eastAsia="Times New Roman" w:cs="Times New Roman"/>
                <w:color w:val="000000"/>
                <w:kern w:val="0"/>
                <w:sz w:val="20"/>
                <w:szCs w:val="20"/>
                <w:lang w:eastAsia="es-CO"/>
                <w14:ligatures w14:val="none"/>
              </w:rPr>
            </w:pPr>
            <w:r w:rsidRPr="00951AB1">
              <w:rPr>
                <w:rFonts w:eastAsia="Times New Roman" w:cs="Times New Roman"/>
                <w:color w:val="000000"/>
                <w:kern w:val="0"/>
                <w:sz w:val="20"/>
                <w:szCs w:val="20"/>
                <w:lang w:eastAsia="es-CO"/>
                <w14:ligatures w14:val="none"/>
              </w:rPr>
              <w:t>800251163</w:t>
            </w:r>
          </w:p>
        </w:tc>
        <w:tc>
          <w:tcPr>
            <w:tcW w:w="2265" w:type="pct"/>
            <w:vAlign w:val="center"/>
            <w:hideMark/>
          </w:tcPr>
          <w:p w14:paraId="763A34FC" w14:textId="77777777" w:rsidR="00ED27A4" w:rsidRPr="00951AB1" w:rsidRDefault="00ED27A4" w:rsidP="000A5389">
            <w:pPr>
              <w:spacing w:line="240" w:lineRule="auto"/>
              <w:rPr>
                <w:rFonts w:eastAsia="Times New Roman" w:cs="Times New Roman"/>
                <w:color w:val="000000"/>
                <w:kern w:val="0"/>
                <w:sz w:val="20"/>
                <w:szCs w:val="20"/>
                <w:lang w:eastAsia="es-CO"/>
                <w14:ligatures w14:val="none"/>
              </w:rPr>
            </w:pPr>
            <w:r w:rsidRPr="00951AB1">
              <w:rPr>
                <w:rFonts w:eastAsia="Times New Roman" w:cs="Times New Roman"/>
                <w:color w:val="000000"/>
                <w:kern w:val="0"/>
                <w:sz w:val="20"/>
                <w:szCs w:val="20"/>
                <w:lang w:eastAsia="es-CO"/>
                <w14:ligatures w14:val="none"/>
              </w:rPr>
              <w:t>Oleoducto Central S.A.</w:t>
            </w:r>
          </w:p>
        </w:tc>
        <w:tc>
          <w:tcPr>
            <w:tcW w:w="1209" w:type="pct"/>
            <w:vAlign w:val="center"/>
            <w:hideMark/>
          </w:tcPr>
          <w:p w14:paraId="320FAF9E" w14:textId="77777777" w:rsidR="00ED27A4" w:rsidRPr="00951AB1" w:rsidRDefault="00ED27A4" w:rsidP="000A5389">
            <w:pPr>
              <w:spacing w:line="240" w:lineRule="auto"/>
              <w:jc w:val="right"/>
              <w:rPr>
                <w:rFonts w:eastAsia="Times New Roman" w:cs="Times New Roman"/>
                <w:color w:val="000000"/>
                <w:kern w:val="0"/>
                <w:sz w:val="20"/>
                <w:szCs w:val="20"/>
                <w:lang w:eastAsia="es-CO"/>
                <w14:ligatures w14:val="none"/>
              </w:rPr>
            </w:pPr>
            <w:r w:rsidRPr="00951AB1">
              <w:rPr>
                <w:rFonts w:eastAsia="Times New Roman" w:cs="Times New Roman"/>
                <w:color w:val="000000"/>
                <w:kern w:val="0"/>
                <w:sz w:val="20"/>
                <w:szCs w:val="20"/>
                <w:lang w:eastAsia="es-CO"/>
                <w14:ligatures w14:val="none"/>
              </w:rPr>
              <w:t xml:space="preserve">        16.850.974.343 </w:t>
            </w:r>
          </w:p>
        </w:tc>
      </w:tr>
      <w:tr w:rsidR="00ED27A4" w:rsidRPr="00951AB1" w14:paraId="69E93A36" w14:textId="77777777" w:rsidTr="00ED27A4">
        <w:trPr>
          <w:trHeight w:val="293"/>
        </w:trPr>
        <w:tc>
          <w:tcPr>
            <w:tcW w:w="763" w:type="pct"/>
            <w:vMerge/>
            <w:vAlign w:val="center"/>
            <w:hideMark/>
          </w:tcPr>
          <w:p w14:paraId="56197124" w14:textId="4350F1B0" w:rsidR="00ED27A4" w:rsidRPr="00951AB1" w:rsidRDefault="00ED27A4" w:rsidP="000A5389">
            <w:pPr>
              <w:spacing w:line="240" w:lineRule="auto"/>
              <w:rPr>
                <w:rFonts w:eastAsia="Times New Roman" w:cs="Times New Roman"/>
                <w:color w:val="000000"/>
                <w:kern w:val="0"/>
                <w:sz w:val="20"/>
                <w:szCs w:val="20"/>
                <w:lang w:eastAsia="es-CO"/>
                <w14:ligatures w14:val="none"/>
              </w:rPr>
            </w:pPr>
          </w:p>
        </w:tc>
        <w:tc>
          <w:tcPr>
            <w:tcW w:w="763" w:type="pct"/>
            <w:vAlign w:val="center"/>
            <w:hideMark/>
          </w:tcPr>
          <w:p w14:paraId="291667A4" w14:textId="77777777" w:rsidR="00ED27A4" w:rsidRPr="00951AB1" w:rsidRDefault="00ED27A4" w:rsidP="000A5389">
            <w:pPr>
              <w:spacing w:line="240" w:lineRule="auto"/>
              <w:jc w:val="right"/>
              <w:rPr>
                <w:rFonts w:eastAsia="Times New Roman" w:cs="Times New Roman"/>
                <w:color w:val="000000"/>
                <w:kern w:val="0"/>
                <w:sz w:val="20"/>
                <w:szCs w:val="20"/>
                <w:lang w:eastAsia="es-CO"/>
                <w14:ligatures w14:val="none"/>
              </w:rPr>
            </w:pPr>
            <w:r w:rsidRPr="00951AB1">
              <w:rPr>
                <w:rFonts w:eastAsia="Times New Roman" w:cs="Times New Roman"/>
                <w:color w:val="000000"/>
                <w:kern w:val="0"/>
                <w:sz w:val="20"/>
                <w:szCs w:val="20"/>
                <w:lang w:eastAsia="es-CO"/>
                <w14:ligatures w14:val="none"/>
              </w:rPr>
              <w:t>901161505</w:t>
            </w:r>
          </w:p>
        </w:tc>
        <w:tc>
          <w:tcPr>
            <w:tcW w:w="2265" w:type="pct"/>
            <w:vAlign w:val="center"/>
            <w:hideMark/>
          </w:tcPr>
          <w:p w14:paraId="5B92D831" w14:textId="77777777" w:rsidR="00ED27A4" w:rsidRPr="00951AB1" w:rsidRDefault="00ED27A4" w:rsidP="000A5389">
            <w:pPr>
              <w:spacing w:line="240" w:lineRule="auto"/>
              <w:rPr>
                <w:rFonts w:eastAsia="Times New Roman" w:cs="Times New Roman"/>
                <w:color w:val="000000"/>
                <w:kern w:val="0"/>
                <w:sz w:val="20"/>
                <w:szCs w:val="20"/>
                <w:lang w:eastAsia="es-CO"/>
                <w14:ligatures w14:val="none"/>
              </w:rPr>
            </w:pPr>
            <w:r w:rsidRPr="00951AB1">
              <w:rPr>
                <w:rFonts w:eastAsia="Times New Roman" w:cs="Times New Roman"/>
                <w:color w:val="000000"/>
                <w:kern w:val="0"/>
                <w:sz w:val="20"/>
                <w:szCs w:val="20"/>
                <w:lang w:eastAsia="es-CO"/>
                <w14:ligatures w14:val="none"/>
              </w:rPr>
              <w:t>Concesión Transversal del Sisga S.A.S</w:t>
            </w:r>
          </w:p>
        </w:tc>
        <w:tc>
          <w:tcPr>
            <w:tcW w:w="1209" w:type="pct"/>
            <w:vAlign w:val="center"/>
            <w:hideMark/>
          </w:tcPr>
          <w:p w14:paraId="2B7CB2EF" w14:textId="77777777" w:rsidR="00ED27A4" w:rsidRPr="00951AB1" w:rsidRDefault="00ED27A4" w:rsidP="000A5389">
            <w:pPr>
              <w:spacing w:line="240" w:lineRule="auto"/>
              <w:jc w:val="right"/>
              <w:rPr>
                <w:rFonts w:eastAsia="Times New Roman" w:cs="Times New Roman"/>
                <w:color w:val="000000"/>
                <w:kern w:val="0"/>
                <w:sz w:val="20"/>
                <w:szCs w:val="20"/>
                <w:lang w:eastAsia="es-CO"/>
                <w14:ligatures w14:val="none"/>
              </w:rPr>
            </w:pPr>
            <w:r w:rsidRPr="00951AB1">
              <w:rPr>
                <w:rFonts w:eastAsia="Times New Roman" w:cs="Times New Roman"/>
                <w:color w:val="000000"/>
                <w:kern w:val="0"/>
                <w:sz w:val="20"/>
                <w:szCs w:val="20"/>
                <w:lang w:eastAsia="es-CO"/>
                <w14:ligatures w14:val="none"/>
              </w:rPr>
              <w:t xml:space="preserve">        14.847.070.232 </w:t>
            </w:r>
          </w:p>
        </w:tc>
      </w:tr>
      <w:tr w:rsidR="00ED27A4" w:rsidRPr="00951AB1" w14:paraId="2515EC6A" w14:textId="77777777" w:rsidTr="00ED27A4">
        <w:trPr>
          <w:trHeight w:val="293"/>
        </w:trPr>
        <w:tc>
          <w:tcPr>
            <w:tcW w:w="763" w:type="pct"/>
            <w:vMerge/>
            <w:vAlign w:val="center"/>
            <w:hideMark/>
          </w:tcPr>
          <w:p w14:paraId="336B1D15" w14:textId="410C72B1" w:rsidR="00ED27A4" w:rsidRPr="00951AB1" w:rsidRDefault="00ED27A4" w:rsidP="000A5389">
            <w:pPr>
              <w:spacing w:line="240" w:lineRule="auto"/>
              <w:rPr>
                <w:rFonts w:eastAsia="Times New Roman" w:cs="Times New Roman"/>
                <w:color w:val="000000"/>
                <w:kern w:val="0"/>
                <w:sz w:val="20"/>
                <w:szCs w:val="20"/>
                <w:lang w:eastAsia="es-CO"/>
                <w14:ligatures w14:val="none"/>
              </w:rPr>
            </w:pPr>
          </w:p>
        </w:tc>
        <w:tc>
          <w:tcPr>
            <w:tcW w:w="763" w:type="pct"/>
            <w:vAlign w:val="center"/>
            <w:hideMark/>
          </w:tcPr>
          <w:p w14:paraId="2F4784F3" w14:textId="77777777" w:rsidR="00ED27A4" w:rsidRPr="00951AB1" w:rsidRDefault="00ED27A4" w:rsidP="000A5389">
            <w:pPr>
              <w:spacing w:line="240" w:lineRule="auto"/>
              <w:jc w:val="right"/>
              <w:rPr>
                <w:rFonts w:eastAsia="Times New Roman" w:cs="Times New Roman"/>
                <w:color w:val="000000"/>
                <w:kern w:val="0"/>
                <w:sz w:val="20"/>
                <w:szCs w:val="20"/>
                <w:lang w:eastAsia="es-CO"/>
                <w14:ligatures w14:val="none"/>
              </w:rPr>
            </w:pPr>
            <w:r w:rsidRPr="00951AB1">
              <w:rPr>
                <w:rFonts w:eastAsia="Times New Roman" w:cs="Times New Roman"/>
                <w:color w:val="000000"/>
                <w:kern w:val="0"/>
                <w:sz w:val="20"/>
                <w:szCs w:val="20"/>
                <w:lang w:eastAsia="es-CO"/>
                <w14:ligatures w14:val="none"/>
              </w:rPr>
              <w:t>860009873</w:t>
            </w:r>
          </w:p>
        </w:tc>
        <w:tc>
          <w:tcPr>
            <w:tcW w:w="2265" w:type="pct"/>
            <w:vAlign w:val="center"/>
            <w:hideMark/>
          </w:tcPr>
          <w:p w14:paraId="65C41B58" w14:textId="77777777" w:rsidR="00ED27A4" w:rsidRPr="00951AB1" w:rsidRDefault="00ED27A4" w:rsidP="000A5389">
            <w:pPr>
              <w:spacing w:line="240" w:lineRule="auto"/>
              <w:rPr>
                <w:rFonts w:eastAsia="Times New Roman" w:cs="Times New Roman"/>
                <w:color w:val="000000"/>
                <w:kern w:val="0"/>
                <w:sz w:val="20"/>
                <w:szCs w:val="20"/>
                <w:lang w:eastAsia="es-CO"/>
                <w14:ligatures w14:val="none"/>
              </w:rPr>
            </w:pPr>
            <w:r w:rsidRPr="00951AB1">
              <w:rPr>
                <w:rFonts w:eastAsia="Times New Roman" w:cs="Times New Roman"/>
                <w:color w:val="000000"/>
                <w:kern w:val="0"/>
                <w:sz w:val="20"/>
                <w:szCs w:val="20"/>
                <w:lang w:eastAsia="es-CO"/>
                <w14:ligatures w14:val="none"/>
              </w:rPr>
              <w:t>Sociedad Portuaria Puerto Bahia S. A</w:t>
            </w:r>
          </w:p>
        </w:tc>
        <w:tc>
          <w:tcPr>
            <w:tcW w:w="1209" w:type="pct"/>
            <w:vAlign w:val="center"/>
            <w:hideMark/>
          </w:tcPr>
          <w:p w14:paraId="2F59DA3C" w14:textId="77777777" w:rsidR="00ED27A4" w:rsidRPr="00951AB1" w:rsidRDefault="00ED27A4" w:rsidP="000A5389">
            <w:pPr>
              <w:spacing w:line="240" w:lineRule="auto"/>
              <w:jc w:val="right"/>
              <w:rPr>
                <w:rFonts w:eastAsia="Times New Roman" w:cs="Times New Roman"/>
                <w:color w:val="000000"/>
                <w:kern w:val="0"/>
                <w:sz w:val="20"/>
                <w:szCs w:val="20"/>
                <w:lang w:eastAsia="es-CO"/>
                <w14:ligatures w14:val="none"/>
              </w:rPr>
            </w:pPr>
            <w:r w:rsidRPr="00951AB1">
              <w:rPr>
                <w:rFonts w:eastAsia="Times New Roman" w:cs="Times New Roman"/>
                <w:color w:val="000000"/>
                <w:kern w:val="0"/>
                <w:sz w:val="20"/>
                <w:szCs w:val="20"/>
                <w:lang w:eastAsia="es-CO"/>
                <w14:ligatures w14:val="none"/>
              </w:rPr>
              <w:t xml:space="preserve">        14.708.913.163 </w:t>
            </w:r>
          </w:p>
        </w:tc>
      </w:tr>
      <w:tr w:rsidR="00ED27A4" w:rsidRPr="00951AB1" w14:paraId="05D6A766" w14:textId="77777777" w:rsidTr="00ED27A4">
        <w:trPr>
          <w:trHeight w:val="293"/>
        </w:trPr>
        <w:tc>
          <w:tcPr>
            <w:tcW w:w="763" w:type="pct"/>
            <w:vMerge/>
            <w:vAlign w:val="center"/>
            <w:hideMark/>
          </w:tcPr>
          <w:p w14:paraId="551B7653" w14:textId="5E41E15B" w:rsidR="00ED27A4" w:rsidRPr="00951AB1" w:rsidRDefault="00ED27A4" w:rsidP="000A5389">
            <w:pPr>
              <w:spacing w:line="240" w:lineRule="auto"/>
              <w:rPr>
                <w:rFonts w:eastAsia="Times New Roman" w:cs="Times New Roman"/>
                <w:color w:val="000000"/>
                <w:kern w:val="0"/>
                <w:sz w:val="20"/>
                <w:szCs w:val="20"/>
                <w:lang w:eastAsia="es-CO"/>
                <w14:ligatures w14:val="none"/>
              </w:rPr>
            </w:pPr>
          </w:p>
        </w:tc>
        <w:tc>
          <w:tcPr>
            <w:tcW w:w="763" w:type="pct"/>
            <w:vAlign w:val="center"/>
            <w:hideMark/>
          </w:tcPr>
          <w:p w14:paraId="19972380" w14:textId="77777777" w:rsidR="00ED27A4" w:rsidRPr="00951AB1" w:rsidRDefault="00ED27A4" w:rsidP="000A5389">
            <w:pPr>
              <w:spacing w:line="240" w:lineRule="auto"/>
              <w:jc w:val="right"/>
              <w:rPr>
                <w:rFonts w:eastAsia="Times New Roman" w:cs="Times New Roman"/>
                <w:color w:val="000000"/>
                <w:kern w:val="0"/>
                <w:sz w:val="20"/>
                <w:szCs w:val="20"/>
                <w:lang w:eastAsia="es-CO"/>
                <w14:ligatures w14:val="none"/>
              </w:rPr>
            </w:pPr>
            <w:r w:rsidRPr="00951AB1">
              <w:rPr>
                <w:rFonts w:eastAsia="Times New Roman" w:cs="Times New Roman"/>
                <w:color w:val="000000"/>
                <w:kern w:val="0"/>
                <w:sz w:val="20"/>
                <w:szCs w:val="20"/>
                <w:lang w:eastAsia="es-CO"/>
                <w14:ligatures w14:val="none"/>
              </w:rPr>
              <w:t>899999068</w:t>
            </w:r>
          </w:p>
        </w:tc>
        <w:tc>
          <w:tcPr>
            <w:tcW w:w="2265" w:type="pct"/>
            <w:vAlign w:val="center"/>
            <w:hideMark/>
          </w:tcPr>
          <w:p w14:paraId="563994B4" w14:textId="77777777" w:rsidR="00ED27A4" w:rsidRPr="00951AB1" w:rsidRDefault="00ED27A4" w:rsidP="000A5389">
            <w:pPr>
              <w:spacing w:line="240" w:lineRule="auto"/>
              <w:rPr>
                <w:rFonts w:eastAsia="Times New Roman" w:cs="Times New Roman"/>
                <w:color w:val="000000"/>
                <w:kern w:val="0"/>
                <w:sz w:val="20"/>
                <w:szCs w:val="20"/>
                <w:lang w:eastAsia="es-CO"/>
                <w14:ligatures w14:val="none"/>
              </w:rPr>
            </w:pPr>
            <w:r w:rsidRPr="00951AB1">
              <w:rPr>
                <w:rFonts w:eastAsia="Times New Roman" w:cs="Times New Roman"/>
                <w:color w:val="000000"/>
                <w:kern w:val="0"/>
                <w:sz w:val="20"/>
                <w:szCs w:val="20"/>
                <w:lang w:eastAsia="es-CO"/>
                <w14:ligatures w14:val="none"/>
              </w:rPr>
              <w:t>Ecopetrol S. A</w:t>
            </w:r>
          </w:p>
        </w:tc>
        <w:tc>
          <w:tcPr>
            <w:tcW w:w="1209" w:type="pct"/>
            <w:vAlign w:val="center"/>
            <w:hideMark/>
          </w:tcPr>
          <w:p w14:paraId="7A0AA7DC" w14:textId="77777777" w:rsidR="00ED27A4" w:rsidRPr="00951AB1" w:rsidRDefault="00ED27A4" w:rsidP="000A5389">
            <w:pPr>
              <w:spacing w:line="240" w:lineRule="auto"/>
              <w:jc w:val="right"/>
              <w:rPr>
                <w:rFonts w:eastAsia="Times New Roman" w:cs="Times New Roman"/>
                <w:color w:val="000000"/>
                <w:kern w:val="0"/>
                <w:sz w:val="20"/>
                <w:szCs w:val="20"/>
                <w:lang w:eastAsia="es-CO"/>
                <w14:ligatures w14:val="none"/>
              </w:rPr>
            </w:pPr>
            <w:r w:rsidRPr="00951AB1">
              <w:rPr>
                <w:rFonts w:eastAsia="Times New Roman" w:cs="Times New Roman"/>
                <w:color w:val="000000"/>
                <w:kern w:val="0"/>
                <w:sz w:val="20"/>
                <w:szCs w:val="20"/>
                <w:lang w:eastAsia="es-CO"/>
                <w14:ligatures w14:val="none"/>
              </w:rPr>
              <w:t xml:space="preserve">        14.637.139.675 </w:t>
            </w:r>
          </w:p>
        </w:tc>
      </w:tr>
      <w:tr w:rsidR="00ED27A4" w:rsidRPr="00951AB1" w14:paraId="03615F4D" w14:textId="77777777" w:rsidTr="00ED27A4">
        <w:trPr>
          <w:trHeight w:val="293"/>
        </w:trPr>
        <w:tc>
          <w:tcPr>
            <w:tcW w:w="763" w:type="pct"/>
            <w:vMerge/>
            <w:vAlign w:val="center"/>
            <w:hideMark/>
          </w:tcPr>
          <w:p w14:paraId="16E0ACEE" w14:textId="72C3355D" w:rsidR="00ED27A4" w:rsidRPr="00951AB1" w:rsidRDefault="00ED27A4" w:rsidP="000A5389">
            <w:pPr>
              <w:spacing w:line="240" w:lineRule="auto"/>
              <w:rPr>
                <w:rFonts w:eastAsia="Times New Roman" w:cs="Times New Roman"/>
                <w:color w:val="000000"/>
                <w:kern w:val="0"/>
                <w:sz w:val="20"/>
                <w:szCs w:val="20"/>
                <w:lang w:eastAsia="es-CO"/>
                <w14:ligatures w14:val="none"/>
              </w:rPr>
            </w:pPr>
          </w:p>
        </w:tc>
        <w:tc>
          <w:tcPr>
            <w:tcW w:w="763" w:type="pct"/>
            <w:vAlign w:val="center"/>
            <w:hideMark/>
          </w:tcPr>
          <w:p w14:paraId="4456D4C4" w14:textId="77777777" w:rsidR="00ED27A4" w:rsidRPr="00951AB1" w:rsidRDefault="00ED27A4" w:rsidP="000A5389">
            <w:pPr>
              <w:spacing w:line="240" w:lineRule="auto"/>
              <w:jc w:val="right"/>
              <w:rPr>
                <w:rFonts w:eastAsia="Times New Roman" w:cs="Times New Roman"/>
                <w:color w:val="000000"/>
                <w:kern w:val="0"/>
                <w:sz w:val="20"/>
                <w:szCs w:val="20"/>
                <w:lang w:eastAsia="es-CO"/>
                <w14:ligatures w14:val="none"/>
              </w:rPr>
            </w:pPr>
            <w:r w:rsidRPr="00951AB1">
              <w:rPr>
                <w:rFonts w:eastAsia="Times New Roman" w:cs="Times New Roman"/>
                <w:color w:val="000000"/>
                <w:kern w:val="0"/>
                <w:sz w:val="20"/>
                <w:szCs w:val="20"/>
                <w:lang w:eastAsia="es-CO"/>
                <w14:ligatures w14:val="none"/>
              </w:rPr>
              <w:t>800156044</w:t>
            </w:r>
          </w:p>
        </w:tc>
        <w:tc>
          <w:tcPr>
            <w:tcW w:w="2265" w:type="pct"/>
            <w:vAlign w:val="center"/>
            <w:hideMark/>
          </w:tcPr>
          <w:p w14:paraId="522D46C8" w14:textId="77777777" w:rsidR="00ED27A4" w:rsidRPr="00951AB1" w:rsidRDefault="00ED27A4" w:rsidP="000A5389">
            <w:pPr>
              <w:spacing w:line="240" w:lineRule="auto"/>
              <w:rPr>
                <w:rFonts w:eastAsia="Times New Roman" w:cs="Times New Roman"/>
                <w:color w:val="000000"/>
                <w:kern w:val="0"/>
                <w:sz w:val="20"/>
                <w:szCs w:val="20"/>
                <w:lang w:eastAsia="es-CO"/>
                <w14:ligatures w14:val="none"/>
              </w:rPr>
            </w:pPr>
            <w:r w:rsidRPr="00951AB1">
              <w:rPr>
                <w:rFonts w:eastAsia="Times New Roman" w:cs="Times New Roman"/>
                <w:color w:val="000000"/>
                <w:kern w:val="0"/>
                <w:sz w:val="20"/>
                <w:szCs w:val="20"/>
                <w:lang w:eastAsia="es-CO"/>
                <w14:ligatures w14:val="none"/>
              </w:rPr>
              <w:t>Compañía de Puertos Asociados S.A.</w:t>
            </w:r>
          </w:p>
        </w:tc>
        <w:tc>
          <w:tcPr>
            <w:tcW w:w="1209" w:type="pct"/>
            <w:vAlign w:val="center"/>
            <w:hideMark/>
          </w:tcPr>
          <w:p w14:paraId="2E014FDB" w14:textId="77777777" w:rsidR="00ED27A4" w:rsidRPr="00951AB1" w:rsidRDefault="00ED27A4" w:rsidP="000A5389">
            <w:pPr>
              <w:spacing w:line="240" w:lineRule="auto"/>
              <w:jc w:val="right"/>
              <w:rPr>
                <w:rFonts w:eastAsia="Times New Roman" w:cs="Times New Roman"/>
                <w:color w:val="000000"/>
                <w:kern w:val="0"/>
                <w:sz w:val="20"/>
                <w:szCs w:val="20"/>
                <w:lang w:eastAsia="es-CO"/>
                <w14:ligatures w14:val="none"/>
              </w:rPr>
            </w:pPr>
            <w:r w:rsidRPr="00951AB1">
              <w:rPr>
                <w:rFonts w:eastAsia="Times New Roman" w:cs="Times New Roman"/>
                <w:color w:val="000000"/>
                <w:kern w:val="0"/>
                <w:sz w:val="20"/>
                <w:szCs w:val="20"/>
                <w:lang w:eastAsia="es-CO"/>
                <w14:ligatures w14:val="none"/>
              </w:rPr>
              <w:t xml:space="preserve">        13.306.212.823 </w:t>
            </w:r>
          </w:p>
        </w:tc>
      </w:tr>
      <w:tr w:rsidR="00ED27A4" w:rsidRPr="00951AB1" w14:paraId="73F2644F" w14:textId="77777777" w:rsidTr="00ED27A4">
        <w:trPr>
          <w:trHeight w:val="293"/>
        </w:trPr>
        <w:tc>
          <w:tcPr>
            <w:tcW w:w="763" w:type="pct"/>
            <w:vMerge/>
            <w:vAlign w:val="center"/>
            <w:hideMark/>
          </w:tcPr>
          <w:p w14:paraId="4991BF2D" w14:textId="3B07E973" w:rsidR="00ED27A4" w:rsidRPr="00951AB1" w:rsidRDefault="00ED27A4" w:rsidP="000A5389">
            <w:pPr>
              <w:spacing w:line="240" w:lineRule="auto"/>
              <w:rPr>
                <w:rFonts w:eastAsia="Times New Roman" w:cs="Times New Roman"/>
                <w:color w:val="000000"/>
                <w:kern w:val="0"/>
                <w:sz w:val="20"/>
                <w:szCs w:val="20"/>
                <w:lang w:eastAsia="es-CO"/>
                <w14:ligatures w14:val="none"/>
              </w:rPr>
            </w:pPr>
          </w:p>
        </w:tc>
        <w:tc>
          <w:tcPr>
            <w:tcW w:w="763" w:type="pct"/>
            <w:vAlign w:val="center"/>
            <w:hideMark/>
          </w:tcPr>
          <w:p w14:paraId="775FEFA5" w14:textId="77777777" w:rsidR="00ED27A4" w:rsidRPr="00951AB1" w:rsidRDefault="00ED27A4" w:rsidP="000A5389">
            <w:pPr>
              <w:spacing w:line="240" w:lineRule="auto"/>
              <w:jc w:val="right"/>
              <w:rPr>
                <w:rFonts w:eastAsia="Times New Roman" w:cs="Times New Roman"/>
                <w:color w:val="000000"/>
                <w:kern w:val="0"/>
                <w:sz w:val="20"/>
                <w:szCs w:val="20"/>
                <w:lang w:eastAsia="es-CO"/>
                <w14:ligatures w14:val="none"/>
              </w:rPr>
            </w:pPr>
            <w:r w:rsidRPr="00951AB1">
              <w:rPr>
                <w:rFonts w:eastAsia="Times New Roman" w:cs="Times New Roman"/>
                <w:color w:val="000000"/>
                <w:kern w:val="0"/>
                <w:sz w:val="20"/>
                <w:szCs w:val="20"/>
                <w:lang w:eastAsia="es-CO"/>
                <w14:ligatures w14:val="none"/>
              </w:rPr>
              <w:t>800033858</w:t>
            </w:r>
          </w:p>
        </w:tc>
        <w:tc>
          <w:tcPr>
            <w:tcW w:w="2265" w:type="pct"/>
            <w:vAlign w:val="center"/>
            <w:hideMark/>
          </w:tcPr>
          <w:p w14:paraId="36798607" w14:textId="77777777" w:rsidR="00ED27A4" w:rsidRPr="00951AB1" w:rsidRDefault="00ED27A4" w:rsidP="000A5389">
            <w:pPr>
              <w:spacing w:line="240" w:lineRule="auto"/>
              <w:rPr>
                <w:rFonts w:eastAsia="Times New Roman" w:cs="Times New Roman"/>
                <w:color w:val="000000"/>
                <w:kern w:val="0"/>
                <w:sz w:val="20"/>
                <w:szCs w:val="20"/>
                <w:lang w:eastAsia="es-CO"/>
                <w14:ligatures w14:val="none"/>
              </w:rPr>
            </w:pPr>
            <w:r w:rsidRPr="00951AB1">
              <w:rPr>
                <w:rFonts w:eastAsia="Times New Roman" w:cs="Times New Roman"/>
                <w:color w:val="000000"/>
                <w:kern w:val="0"/>
                <w:sz w:val="20"/>
                <w:szCs w:val="20"/>
                <w:lang w:eastAsia="es-CO"/>
                <w14:ligatures w14:val="none"/>
              </w:rPr>
              <w:t>Sociedad Portuaria el Cayao S.A E.S. P</w:t>
            </w:r>
          </w:p>
        </w:tc>
        <w:tc>
          <w:tcPr>
            <w:tcW w:w="1209" w:type="pct"/>
            <w:vAlign w:val="center"/>
            <w:hideMark/>
          </w:tcPr>
          <w:p w14:paraId="6F178266" w14:textId="77777777" w:rsidR="00ED27A4" w:rsidRPr="00951AB1" w:rsidRDefault="00ED27A4" w:rsidP="000A5389">
            <w:pPr>
              <w:spacing w:line="240" w:lineRule="auto"/>
              <w:jc w:val="right"/>
              <w:rPr>
                <w:rFonts w:eastAsia="Times New Roman" w:cs="Times New Roman"/>
                <w:color w:val="000000"/>
                <w:kern w:val="0"/>
                <w:sz w:val="20"/>
                <w:szCs w:val="20"/>
                <w:lang w:eastAsia="es-CO"/>
                <w14:ligatures w14:val="none"/>
              </w:rPr>
            </w:pPr>
            <w:r w:rsidRPr="00951AB1">
              <w:rPr>
                <w:rFonts w:eastAsia="Times New Roman" w:cs="Times New Roman"/>
                <w:color w:val="000000"/>
                <w:kern w:val="0"/>
                <w:sz w:val="20"/>
                <w:szCs w:val="20"/>
                <w:lang w:eastAsia="es-CO"/>
                <w14:ligatures w14:val="none"/>
              </w:rPr>
              <w:t xml:space="preserve">          9.192.949.135 </w:t>
            </w:r>
          </w:p>
        </w:tc>
      </w:tr>
      <w:tr w:rsidR="00ED27A4" w:rsidRPr="00951AB1" w14:paraId="09B3FFB1" w14:textId="77777777" w:rsidTr="00ED27A4">
        <w:trPr>
          <w:trHeight w:val="293"/>
        </w:trPr>
        <w:tc>
          <w:tcPr>
            <w:tcW w:w="763" w:type="pct"/>
            <w:vMerge/>
            <w:vAlign w:val="center"/>
            <w:hideMark/>
          </w:tcPr>
          <w:p w14:paraId="34FF2236" w14:textId="0929E86E" w:rsidR="00ED27A4" w:rsidRPr="00951AB1" w:rsidRDefault="00ED27A4" w:rsidP="000A5389">
            <w:pPr>
              <w:spacing w:line="240" w:lineRule="auto"/>
              <w:rPr>
                <w:rFonts w:eastAsia="Times New Roman" w:cs="Times New Roman"/>
                <w:color w:val="000000"/>
                <w:kern w:val="0"/>
                <w:sz w:val="20"/>
                <w:szCs w:val="20"/>
                <w:lang w:eastAsia="es-CO"/>
                <w14:ligatures w14:val="none"/>
              </w:rPr>
            </w:pPr>
          </w:p>
        </w:tc>
        <w:tc>
          <w:tcPr>
            <w:tcW w:w="763" w:type="pct"/>
            <w:vAlign w:val="center"/>
            <w:hideMark/>
          </w:tcPr>
          <w:p w14:paraId="3AD040AB" w14:textId="77777777" w:rsidR="00ED27A4" w:rsidRPr="00951AB1" w:rsidRDefault="00ED27A4" w:rsidP="000A5389">
            <w:pPr>
              <w:spacing w:line="240" w:lineRule="auto"/>
              <w:jc w:val="right"/>
              <w:rPr>
                <w:rFonts w:eastAsia="Times New Roman" w:cs="Times New Roman"/>
                <w:color w:val="000000"/>
                <w:kern w:val="0"/>
                <w:sz w:val="20"/>
                <w:szCs w:val="20"/>
                <w:lang w:eastAsia="es-CO"/>
                <w14:ligatures w14:val="none"/>
              </w:rPr>
            </w:pPr>
            <w:r w:rsidRPr="00951AB1">
              <w:rPr>
                <w:rFonts w:eastAsia="Times New Roman" w:cs="Times New Roman"/>
                <w:color w:val="000000"/>
                <w:kern w:val="0"/>
                <w:sz w:val="20"/>
                <w:szCs w:val="20"/>
                <w:lang w:eastAsia="es-CO"/>
                <w14:ligatures w14:val="none"/>
              </w:rPr>
              <w:t>900096574</w:t>
            </w:r>
          </w:p>
        </w:tc>
        <w:tc>
          <w:tcPr>
            <w:tcW w:w="2265" w:type="pct"/>
            <w:vAlign w:val="center"/>
            <w:hideMark/>
          </w:tcPr>
          <w:p w14:paraId="624DABCC" w14:textId="77777777" w:rsidR="00ED27A4" w:rsidRPr="00951AB1" w:rsidRDefault="00ED27A4" w:rsidP="000A5389">
            <w:pPr>
              <w:spacing w:line="240" w:lineRule="auto"/>
              <w:rPr>
                <w:rFonts w:eastAsia="Times New Roman" w:cs="Times New Roman"/>
                <w:color w:val="000000"/>
                <w:kern w:val="0"/>
                <w:sz w:val="20"/>
                <w:szCs w:val="20"/>
                <w:lang w:eastAsia="es-CO"/>
                <w14:ligatures w14:val="none"/>
              </w:rPr>
            </w:pPr>
            <w:r w:rsidRPr="00951AB1">
              <w:rPr>
                <w:rFonts w:eastAsia="Times New Roman" w:cs="Times New Roman"/>
                <w:color w:val="000000"/>
                <w:kern w:val="0"/>
                <w:sz w:val="20"/>
                <w:szCs w:val="20"/>
                <w:lang w:eastAsia="es-CO"/>
                <w14:ligatures w14:val="none"/>
              </w:rPr>
              <w:t>Puerto Brisa S.A.</w:t>
            </w:r>
          </w:p>
        </w:tc>
        <w:tc>
          <w:tcPr>
            <w:tcW w:w="1209" w:type="pct"/>
            <w:vAlign w:val="center"/>
            <w:hideMark/>
          </w:tcPr>
          <w:p w14:paraId="58C49C7B" w14:textId="77777777" w:rsidR="00ED27A4" w:rsidRPr="00951AB1" w:rsidRDefault="00ED27A4" w:rsidP="000A5389">
            <w:pPr>
              <w:spacing w:line="240" w:lineRule="auto"/>
              <w:jc w:val="right"/>
              <w:rPr>
                <w:rFonts w:eastAsia="Times New Roman" w:cs="Times New Roman"/>
                <w:color w:val="000000"/>
                <w:kern w:val="0"/>
                <w:sz w:val="20"/>
                <w:szCs w:val="20"/>
                <w:lang w:eastAsia="es-CO"/>
                <w14:ligatures w14:val="none"/>
              </w:rPr>
            </w:pPr>
            <w:r w:rsidRPr="00951AB1">
              <w:rPr>
                <w:rFonts w:eastAsia="Times New Roman" w:cs="Times New Roman"/>
                <w:color w:val="000000"/>
                <w:kern w:val="0"/>
                <w:sz w:val="20"/>
                <w:szCs w:val="20"/>
                <w:lang w:eastAsia="es-CO"/>
                <w14:ligatures w14:val="none"/>
              </w:rPr>
              <w:t xml:space="preserve">          5.209.387.789 </w:t>
            </w:r>
          </w:p>
        </w:tc>
      </w:tr>
      <w:tr w:rsidR="00ED27A4" w:rsidRPr="00951AB1" w14:paraId="5D20AE1E" w14:textId="77777777" w:rsidTr="00ED27A4">
        <w:trPr>
          <w:trHeight w:val="293"/>
        </w:trPr>
        <w:tc>
          <w:tcPr>
            <w:tcW w:w="763" w:type="pct"/>
            <w:vMerge/>
            <w:vAlign w:val="center"/>
            <w:hideMark/>
          </w:tcPr>
          <w:p w14:paraId="5964D715" w14:textId="346E9F53" w:rsidR="00ED27A4" w:rsidRPr="00951AB1" w:rsidRDefault="00ED27A4" w:rsidP="000A5389">
            <w:pPr>
              <w:spacing w:line="240" w:lineRule="auto"/>
              <w:rPr>
                <w:rFonts w:eastAsia="Times New Roman" w:cs="Times New Roman"/>
                <w:color w:val="000000"/>
                <w:kern w:val="0"/>
                <w:sz w:val="20"/>
                <w:szCs w:val="20"/>
                <w:lang w:eastAsia="es-CO"/>
                <w14:ligatures w14:val="none"/>
              </w:rPr>
            </w:pPr>
          </w:p>
        </w:tc>
        <w:tc>
          <w:tcPr>
            <w:tcW w:w="763" w:type="pct"/>
            <w:vAlign w:val="center"/>
            <w:hideMark/>
          </w:tcPr>
          <w:p w14:paraId="0C9C19CC" w14:textId="77777777" w:rsidR="00ED27A4" w:rsidRPr="00951AB1" w:rsidRDefault="00ED27A4" w:rsidP="000A5389">
            <w:pPr>
              <w:spacing w:line="240" w:lineRule="auto"/>
              <w:jc w:val="right"/>
              <w:rPr>
                <w:rFonts w:eastAsia="Times New Roman" w:cs="Times New Roman"/>
                <w:color w:val="000000"/>
                <w:kern w:val="0"/>
                <w:sz w:val="20"/>
                <w:szCs w:val="20"/>
                <w:lang w:eastAsia="es-CO"/>
                <w14:ligatures w14:val="none"/>
              </w:rPr>
            </w:pPr>
            <w:r w:rsidRPr="00951AB1">
              <w:rPr>
                <w:rFonts w:eastAsia="Times New Roman" w:cs="Times New Roman"/>
                <w:color w:val="000000"/>
                <w:kern w:val="0"/>
                <w:sz w:val="20"/>
                <w:szCs w:val="20"/>
                <w:lang w:eastAsia="es-CO"/>
                <w14:ligatures w14:val="none"/>
              </w:rPr>
              <w:t>800096464</w:t>
            </w:r>
          </w:p>
        </w:tc>
        <w:tc>
          <w:tcPr>
            <w:tcW w:w="2265" w:type="pct"/>
            <w:vAlign w:val="center"/>
            <w:hideMark/>
          </w:tcPr>
          <w:p w14:paraId="5B96606E" w14:textId="77777777" w:rsidR="00ED27A4" w:rsidRPr="00951AB1" w:rsidRDefault="00ED27A4" w:rsidP="000A5389">
            <w:pPr>
              <w:spacing w:line="240" w:lineRule="auto"/>
              <w:rPr>
                <w:rFonts w:eastAsia="Times New Roman" w:cs="Times New Roman"/>
                <w:color w:val="000000"/>
                <w:kern w:val="0"/>
                <w:sz w:val="20"/>
                <w:szCs w:val="20"/>
                <w:lang w:eastAsia="es-CO"/>
                <w14:ligatures w14:val="none"/>
              </w:rPr>
            </w:pPr>
            <w:r w:rsidRPr="00951AB1">
              <w:rPr>
                <w:rFonts w:eastAsia="Times New Roman" w:cs="Times New Roman"/>
                <w:color w:val="000000"/>
                <w:kern w:val="0"/>
                <w:sz w:val="20"/>
                <w:szCs w:val="20"/>
                <w:lang w:eastAsia="es-CO"/>
                <w14:ligatures w14:val="none"/>
              </w:rPr>
              <w:t>Puerto de Mamonal S.A.</w:t>
            </w:r>
          </w:p>
        </w:tc>
        <w:tc>
          <w:tcPr>
            <w:tcW w:w="1209" w:type="pct"/>
            <w:vAlign w:val="center"/>
            <w:hideMark/>
          </w:tcPr>
          <w:p w14:paraId="32FE3414" w14:textId="77777777" w:rsidR="00ED27A4" w:rsidRPr="00951AB1" w:rsidRDefault="00ED27A4" w:rsidP="000A5389">
            <w:pPr>
              <w:spacing w:line="240" w:lineRule="auto"/>
              <w:jc w:val="right"/>
              <w:rPr>
                <w:rFonts w:eastAsia="Times New Roman" w:cs="Times New Roman"/>
                <w:color w:val="000000"/>
                <w:kern w:val="0"/>
                <w:sz w:val="20"/>
                <w:szCs w:val="20"/>
                <w:lang w:eastAsia="es-CO"/>
                <w14:ligatures w14:val="none"/>
              </w:rPr>
            </w:pPr>
            <w:r w:rsidRPr="00951AB1">
              <w:rPr>
                <w:rFonts w:eastAsia="Times New Roman" w:cs="Times New Roman"/>
                <w:color w:val="000000"/>
                <w:kern w:val="0"/>
                <w:sz w:val="20"/>
                <w:szCs w:val="20"/>
                <w:lang w:eastAsia="es-CO"/>
                <w14:ligatures w14:val="none"/>
              </w:rPr>
              <w:t xml:space="preserve">          2.895.255.484 </w:t>
            </w:r>
          </w:p>
        </w:tc>
      </w:tr>
      <w:tr w:rsidR="00ED27A4" w:rsidRPr="00951AB1" w14:paraId="730095B6" w14:textId="77777777" w:rsidTr="00ED27A4">
        <w:trPr>
          <w:trHeight w:val="293"/>
        </w:trPr>
        <w:tc>
          <w:tcPr>
            <w:tcW w:w="763" w:type="pct"/>
            <w:vMerge/>
            <w:vAlign w:val="center"/>
            <w:hideMark/>
          </w:tcPr>
          <w:p w14:paraId="49C4A058" w14:textId="0B45144F" w:rsidR="00ED27A4" w:rsidRPr="00951AB1" w:rsidRDefault="00ED27A4" w:rsidP="000A5389">
            <w:pPr>
              <w:spacing w:line="240" w:lineRule="auto"/>
              <w:rPr>
                <w:rFonts w:eastAsia="Times New Roman" w:cs="Times New Roman"/>
                <w:color w:val="000000"/>
                <w:kern w:val="0"/>
                <w:sz w:val="20"/>
                <w:szCs w:val="20"/>
                <w:lang w:eastAsia="es-CO"/>
                <w14:ligatures w14:val="none"/>
              </w:rPr>
            </w:pPr>
          </w:p>
        </w:tc>
        <w:tc>
          <w:tcPr>
            <w:tcW w:w="763" w:type="pct"/>
            <w:vAlign w:val="center"/>
            <w:hideMark/>
          </w:tcPr>
          <w:p w14:paraId="17483BF1" w14:textId="77777777" w:rsidR="00ED27A4" w:rsidRPr="00951AB1" w:rsidRDefault="00ED27A4" w:rsidP="000A5389">
            <w:pPr>
              <w:spacing w:line="240" w:lineRule="auto"/>
              <w:jc w:val="right"/>
              <w:rPr>
                <w:rFonts w:eastAsia="Times New Roman" w:cs="Times New Roman"/>
                <w:color w:val="000000"/>
                <w:kern w:val="0"/>
                <w:sz w:val="20"/>
                <w:szCs w:val="20"/>
                <w:lang w:eastAsia="es-CO"/>
                <w14:ligatures w14:val="none"/>
              </w:rPr>
            </w:pPr>
            <w:r w:rsidRPr="00951AB1">
              <w:rPr>
                <w:rFonts w:eastAsia="Times New Roman" w:cs="Times New Roman"/>
                <w:color w:val="000000"/>
                <w:kern w:val="0"/>
                <w:sz w:val="20"/>
                <w:szCs w:val="20"/>
                <w:lang w:eastAsia="es-CO"/>
                <w14:ligatures w14:val="none"/>
              </w:rPr>
              <w:t>900106818</w:t>
            </w:r>
          </w:p>
        </w:tc>
        <w:tc>
          <w:tcPr>
            <w:tcW w:w="2265" w:type="pct"/>
            <w:vAlign w:val="center"/>
            <w:hideMark/>
          </w:tcPr>
          <w:p w14:paraId="49305C93" w14:textId="77777777" w:rsidR="00ED27A4" w:rsidRPr="00951AB1" w:rsidRDefault="00ED27A4" w:rsidP="000A5389">
            <w:pPr>
              <w:spacing w:line="240" w:lineRule="auto"/>
              <w:rPr>
                <w:rFonts w:eastAsia="Times New Roman" w:cs="Times New Roman"/>
                <w:color w:val="000000"/>
                <w:kern w:val="0"/>
                <w:sz w:val="20"/>
                <w:szCs w:val="20"/>
                <w:lang w:eastAsia="es-CO"/>
                <w14:ligatures w14:val="none"/>
              </w:rPr>
            </w:pPr>
            <w:r w:rsidRPr="00951AB1">
              <w:rPr>
                <w:rFonts w:eastAsia="Times New Roman" w:cs="Times New Roman"/>
                <w:color w:val="000000"/>
                <w:kern w:val="0"/>
                <w:sz w:val="20"/>
                <w:szCs w:val="20"/>
                <w:lang w:eastAsia="es-CO"/>
                <w14:ligatures w14:val="none"/>
              </w:rPr>
              <w:t>Sociedad Portuaria Bavaria S.A.</w:t>
            </w:r>
          </w:p>
        </w:tc>
        <w:tc>
          <w:tcPr>
            <w:tcW w:w="1209" w:type="pct"/>
            <w:vAlign w:val="center"/>
            <w:hideMark/>
          </w:tcPr>
          <w:p w14:paraId="5F5C4CF1" w14:textId="77777777" w:rsidR="00ED27A4" w:rsidRPr="00951AB1" w:rsidRDefault="00ED27A4" w:rsidP="000A5389">
            <w:pPr>
              <w:spacing w:line="240" w:lineRule="auto"/>
              <w:jc w:val="right"/>
              <w:rPr>
                <w:rFonts w:eastAsia="Times New Roman" w:cs="Times New Roman"/>
                <w:color w:val="000000"/>
                <w:kern w:val="0"/>
                <w:sz w:val="20"/>
                <w:szCs w:val="20"/>
                <w:lang w:eastAsia="es-CO"/>
                <w14:ligatures w14:val="none"/>
              </w:rPr>
            </w:pPr>
            <w:r w:rsidRPr="00951AB1">
              <w:rPr>
                <w:rFonts w:eastAsia="Times New Roman" w:cs="Times New Roman"/>
                <w:color w:val="000000"/>
                <w:kern w:val="0"/>
                <w:sz w:val="20"/>
                <w:szCs w:val="20"/>
                <w:lang w:eastAsia="es-CO"/>
                <w14:ligatures w14:val="none"/>
              </w:rPr>
              <w:t xml:space="preserve">          2.629.660.492 </w:t>
            </w:r>
          </w:p>
        </w:tc>
      </w:tr>
      <w:tr w:rsidR="00ED27A4" w:rsidRPr="00951AB1" w14:paraId="090EACC8" w14:textId="77777777" w:rsidTr="00ED27A4">
        <w:trPr>
          <w:trHeight w:val="293"/>
        </w:trPr>
        <w:tc>
          <w:tcPr>
            <w:tcW w:w="763" w:type="pct"/>
            <w:vMerge/>
            <w:vAlign w:val="center"/>
            <w:hideMark/>
          </w:tcPr>
          <w:p w14:paraId="787C50FD" w14:textId="2FCB9701" w:rsidR="00ED27A4" w:rsidRPr="00951AB1" w:rsidRDefault="00ED27A4" w:rsidP="000A5389">
            <w:pPr>
              <w:spacing w:line="240" w:lineRule="auto"/>
              <w:rPr>
                <w:rFonts w:eastAsia="Times New Roman" w:cs="Times New Roman"/>
                <w:color w:val="000000"/>
                <w:kern w:val="0"/>
                <w:sz w:val="20"/>
                <w:szCs w:val="20"/>
                <w:lang w:eastAsia="es-CO"/>
                <w14:ligatures w14:val="none"/>
              </w:rPr>
            </w:pPr>
          </w:p>
        </w:tc>
        <w:tc>
          <w:tcPr>
            <w:tcW w:w="763" w:type="pct"/>
            <w:vAlign w:val="center"/>
            <w:hideMark/>
          </w:tcPr>
          <w:p w14:paraId="543BED13" w14:textId="77777777" w:rsidR="00ED27A4" w:rsidRPr="00951AB1" w:rsidRDefault="00ED27A4" w:rsidP="000A5389">
            <w:pPr>
              <w:spacing w:line="240" w:lineRule="auto"/>
              <w:jc w:val="right"/>
              <w:rPr>
                <w:rFonts w:eastAsia="Times New Roman" w:cs="Times New Roman"/>
                <w:color w:val="000000"/>
                <w:kern w:val="0"/>
                <w:sz w:val="20"/>
                <w:szCs w:val="20"/>
                <w:lang w:eastAsia="es-CO"/>
                <w14:ligatures w14:val="none"/>
              </w:rPr>
            </w:pPr>
            <w:r w:rsidRPr="00951AB1">
              <w:rPr>
                <w:rFonts w:eastAsia="Times New Roman" w:cs="Times New Roman"/>
                <w:color w:val="000000"/>
                <w:kern w:val="0"/>
                <w:sz w:val="20"/>
                <w:szCs w:val="20"/>
                <w:lang w:eastAsia="es-CO"/>
                <w14:ligatures w14:val="none"/>
              </w:rPr>
              <w:t>860053976</w:t>
            </w:r>
          </w:p>
        </w:tc>
        <w:tc>
          <w:tcPr>
            <w:tcW w:w="2265" w:type="pct"/>
            <w:vAlign w:val="center"/>
            <w:hideMark/>
          </w:tcPr>
          <w:p w14:paraId="1A02D2CA" w14:textId="77777777" w:rsidR="00ED27A4" w:rsidRPr="00951AB1" w:rsidRDefault="00ED27A4" w:rsidP="000A5389">
            <w:pPr>
              <w:spacing w:line="240" w:lineRule="auto"/>
              <w:rPr>
                <w:rFonts w:eastAsia="Times New Roman" w:cs="Times New Roman"/>
                <w:color w:val="000000"/>
                <w:kern w:val="0"/>
                <w:sz w:val="20"/>
                <w:szCs w:val="20"/>
                <w:lang w:eastAsia="es-CO"/>
                <w14:ligatures w14:val="none"/>
              </w:rPr>
            </w:pPr>
            <w:r w:rsidRPr="00951AB1">
              <w:rPr>
                <w:rFonts w:eastAsia="Times New Roman" w:cs="Times New Roman"/>
                <w:color w:val="000000"/>
                <w:kern w:val="0"/>
                <w:sz w:val="20"/>
                <w:szCs w:val="20"/>
                <w:lang w:eastAsia="es-CO"/>
                <w14:ligatures w14:val="none"/>
              </w:rPr>
              <w:t>Algranel S.A.</w:t>
            </w:r>
          </w:p>
        </w:tc>
        <w:tc>
          <w:tcPr>
            <w:tcW w:w="1209" w:type="pct"/>
            <w:vAlign w:val="center"/>
            <w:hideMark/>
          </w:tcPr>
          <w:p w14:paraId="795D3D89" w14:textId="77777777" w:rsidR="00ED27A4" w:rsidRPr="00951AB1" w:rsidRDefault="00ED27A4" w:rsidP="000A5389">
            <w:pPr>
              <w:spacing w:line="240" w:lineRule="auto"/>
              <w:jc w:val="right"/>
              <w:rPr>
                <w:rFonts w:eastAsia="Times New Roman" w:cs="Times New Roman"/>
                <w:color w:val="000000"/>
                <w:kern w:val="0"/>
                <w:sz w:val="20"/>
                <w:szCs w:val="20"/>
                <w:lang w:eastAsia="es-CO"/>
                <w14:ligatures w14:val="none"/>
              </w:rPr>
            </w:pPr>
            <w:r w:rsidRPr="00951AB1">
              <w:rPr>
                <w:rFonts w:eastAsia="Times New Roman" w:cs="Times New Roman"/>
                <w:color w:val="000000"/>
                <w:kern w:val="0"/>
                <w:sz w:val="20"/>
                <w:szCs w:val="20"/>
                <w:lang w:eastAsia="es-CO"/>
                <w14:ligatures w14:val="none"/>
              </w:rPr>
              <w:t xml:space="preserve">          2.402.447.387 </w:t>
            </w:r>
          </w:p>
        </w:tc>
      </w:tr>
      <w:tr w:rsidR="00ED27A4" w:rsidRPr="00951AB1" w14:paraId="3C6CDC22" w14:textId="77777777" w:rsidTr="00ED27A4">
        <w:trPr>
          <w:trHeight w:val="293"/>
        </w:trPr>
        <w:tc>
          <w:tcPr>
            <w:tcW w:w="763" w:type="pct"/>
            <w:vMerge/>
            <w:vAlign w:val="center"/>
            <w:hideMark/>
          </w:tcPr>
          <w:p w14:paraId="13071973" w14:textId="3EF34C32" w:rsidR="00ED27A4" w:rsidRPr="00951AB1" w:rsidRDefault="00ED27A4" w:rsidP="000A5389">
            <w:pPr>
              <w:spacing w:line="240" w:lineRule="auto"/>
              <w:rPr>
                <w:rFonts w:eastAsia="Times New Roman" w:cs="Times New Roman"/>
                <w:color w:val="000000"/>
                <w:kern w:val="0"/>
                <w:sz w:val="20"/>
                <w:szCs w:val="20"/>
                <w:lang w:eastAsia="es-CO"/>
                <w14:ligatures w14:val="none"/>
              </w:rPr>
            </w:pPr>
          </w:p>
        </w:tc>
        <w:tc>
          <w:tcPr>
            <w:tcW w:w="763" w:type="pct"/>
            <w:vAlign w:val="center"/>
            <w:hideMark/>
          </w:tcPr>
          <w:p w14:paraId="12680B60" w14:textId="77777777" w:rsidR="00ED27A4" w:rsidRPr="00951AB1" w:rsidRDefault="00ED27A4" w:rsidP="000A5389">
            <w:pPr>
              <w:spacing w:line="240" w:lineRule="auto"/>
              <w:jc w:val="right"/>
              <w:rPr>
                <w:rFonts w:eastAsia="Times New Roman" w:cs="Times New Roman"/>
                <w:color w:val="000000"/>
                <w:kern w:val="0"/>
                <w:sz w:val="20"/>
                <w:szCs w:val="20"/>
                <w:lang w:eastAsia="es-CO"/>
                <w14:ligatures w14:val="none"/>
              </w:rPr>
            </w:pPr>
            <w:r w:rsidRPr="00951AB1">
              <w:rPr>
                <w:rFonts w:eastAsia="Times New Roman" w:cs="Times New Roman"/>
                <w:color w:val="000000"/>
                <w:kern w:val="0"/>
                <w:sz w:val="20"/>
                <w:szCs w:val="20"/>
                <w:lang w:eastAsia="es-CO"/>
                <w14:ligatures w14:val="none"/>
              </w:rPr>
              <w:t>900257792</w:t>
            </w:r>
          </w:p>
        </w:tc>
        <w:tc>
          <w:tcPr>
            <w:tcW w:w="2265" w:type="pct"/>
            <w:vAlign w:val="center"/>
            <w:hideMark/>
          </w:tcPr>
          <w:p w14:paraId="3C891700" w14:textId="77777777" w:rsidR="00ED27A4" w:rsidRPr="00951AB1" w:rsidRDefault="00ED27A4" w:rsidP="000A5389">
            <w:pPr>
              <w:spacing w:line="240" w:lineRule="auto"/>
              <w:rPr>
                <w:rFonts w:eastAsia="Times New Roman" w:cs="Times New Roman"/>
                <w:color w:val="000000"/>
                <w:kern w:val="0"/>
                <w:sz w:val="20"/>
                <w:szCs w:val="20"/>
                <w:lang w:eastAsia="es-CO"/>
                <w14:ligatures w14:val="none"/>
              </w:rPr>
            </w:pPr>
            <w:r w:rsidRPr="00951AB1">
              <w:rPr>
                <w:rFonts w:eastAsia="Times New Roman" w:cs="Times New Roman"/>
                <w:color w:val="000000"/>
                <w:kern w:val="0"/>
                <w:sz w:val="20"/>
                <w:szCs w:val="20"/>
                <w:lang w:eastAsia="es-CO"/>
                <w14:ligatures w14:val="none"/>
              </w:rPr>
              <w:t>Oiltanking Colombia S.A.</w:t>
            </w:r>
          </w:p>
        </w:tc>
        <w:tc>
          <w:tcPr>
            <w:tcW w:w="1209" w:type="pct"/>
            <w:vAlign w:val="center"/>
            <w:hideMark/>
          </w:tcPr>
          <w:p w14:paraId="72442C85" w14:textId="77777777" w:rsidR="00ED27A4" w:rsidRPr="00951AB1" w:rsidRDefault="00ED27A4" w:rsidP="000A5389">
            <w:pPr>
              <w:spacing w:line="240" w:lineRule="auto"/>
              <w:jc w:val="right"/>
              <w:rPr>
                <w:rFonts w:eastAsia="Times New Roman" w:cs="Times New Roman"/>
                <w:color w:val="000000"/>
                <w:kern w:val="0"/>
                <w:sz w:val="20"/>
                <w:szCs w:val="20"/>
                <w:lang w:eastAsia="es-CO"/>
                <w14:ligatures w14:val="none"/>
              </w:rPr>
            </w:pPr>
            <w:r w:rsidRPr="00951AB1">
              <w:rPr>
                <w:rFonts w:eastAsia="Times New Roman" w:cs="Times New Roman"/>
                <w:color w:val="000000"/>
                <w:kern w:val="0"/>
                <w:sz w:val="20"/>
                <w:szCs w:val="20"/>
                <w:lang w:eastAsia="es-CO"/>
                <w14:ligatures w14:val="none"/>
              </w:rPr>
              <w:t xml:space="preserve">          1.783.122.370 </w:t>
            </w:r>
          </w:p>
        </w:tc>
      </w:tr>
      <w:tr w:rsidR="00ED27A4" w:rsidRPr="00951AB1" w14:paraId="2FBF6778" w14:textId="77777777" w:rsidTr="00ED27A4">
        <w:trPr>
          <w:trHeight w:val="293"/>
        </w:trPr>
        <w:tc>
          <w:tcPr>
            <w:tcW w:w="763" w:type="pct"/>
            <w:vMerge/>
            <w:vAlign w:val="center"/>
            <w:hideMark/>
          </w:tcPr>
          <w:p w14:paraId="3745DAE5" w14:textId="12B16EEE" w:rsidR="00ED27A4" w:rsidRPr="00951AB1" w:rsidRDefault="00ED27A4" w:rsidP="000A5389">
            <w:pPr>
              <w:spacing w:line="240" w:lineRule="auto"/>
              <w:rPr>
                <w:rFonts w:eastAsia="Times New Roman" w:cs="Times New Roman"/>
                <w:color w:val="000000"/>
                <w:kern w:val="0"/>
                <w:sz w:val="20"/>
                <w:szCs w:val="20"/>
                <w:lang w:eastAsia="es-CO"/>
                <w14:ligatures w14:val="none"/>
              </w:rPr>
            </w:pPr>
          </w:p>
        </w:tc>
        <w:tc>
          <w:tcPr>
            <w:tcW w:w="763" w:type="pct"/>
            <w:vAlign w:val="center"/>
            <w:hideMark/>
          </w:tcPr>
          <w:p w14:paraId="0DEB552B" w14:textId="77777777" w:rsidR="00ED27A4" w:rsidRPr="00951AB1" w:rsidRDefault="00ED27A4" w:rsidP="000A5389">
            <w:pPr>
              <w:spacing w:line="240" w:lineRule="auto"/>
              <w:jc w:val="right"/>
              <w:rPr>
                <w:rFonts w:eastAsia="Times New Roman" w:cs="Times New Roman"/>
                <w:color w:val="000000"/>
                <w:kern w:val="0"/>
                <w:sz w:val="20"/>
                <w:szCs w:val="20"/>
                <w:lang w:eastAsia="es-CO"/>
                <w14:ligatures w14:val="none"/>
              </w:rPr>
            </w:pPr>
            <w:r w:rsidRPr="00951AB1">
              <w:rPr>
                <w:rFonts w:eastAsia="Times New Roman" w:cs="Times New Roman"/>
                <w:color w:val="000000"/>
                <w:kern w:val="0"/>
                <w:sz w:val="20"/>
                <w:szCs w:val="20"/>
                <w:lang w:eastAsia="es-CO"/>
                <w14:ligatures w14:val="none"/>
              </w:rPr>
              <w:t>830020263</w:t>
            </w:r>
          </w:p>
        </w:tc>
        <w:tc>
          <w:tcPr>
            <w:tcW w:w="2265" w:type="pct"/>
            <w:vAlign w:val="center"/>
            <w:hideMark/>
          </w:tcPr>
          <w:p w14:paraId="182EFB29" w14:textId="77777777" w:rsidR="00ED27A4" w:rsidRPr="00951AB1" w:rsidRDefault="00ED27A4" w:rsidP="000A5389">
            <w:pPr>
              <w:spacing w:line="240" w:lineRule="auto"/>
              <w:rPr>
                <w:rFonts w:eastAsia="Times New Roman" w:cs="Times New Roman"/>
                <w:color w:val="000000"/>
                <w:kern w:val="0"/>
                <w:sz w:val="20"/>
                <w:szCs w:val="20"/>
                <w:lang w:eastAsia="es-CO"/>
                <w14:ligatures w14:val="none"/>
              </w:rPr>
            </w:pPr>
            <w:r w:rsidRPr="00951AB1">
              <w:rPr>
                <w:rFonts w:eastAsia="Times New Roman" w:cs="Times New Roman"/>
                <w:color w:val="000000"/>
                <w:kern w:val="0"/>
                <w:sz w:val="20"/>
                <w:szCs w:val="20"/>
                <w:lang w:eastAsia="es-CO"/>
                <w14:ligatures w14:val="none"/>
              </w:rPr>
              <w:t>Grupo Portuario S.A.</w:t>
            </w:r>
          </w:p>
        </w:tc>
        <w:tc>
          <w:tcPr>
            <w:tcW w:w="1209" w:type="pct"/>
            <w:vAlign w:val="center"/>
            <w:hideMark/>
          </w:tcPr>
          <w:p w14:paraId="5D6611A2" w14:textId="77777777" w:rsidR="00ED27A4" w:rsidRPr="00951AB1" w:rsidRDefault="00ED27A4" w:rsidP="000A5389">
            <w:pPr>
              <w:spacing w:line="240" w:lineRule="auto"/>
              <w:jc w:val="right"/>
              <w:rPr>
                <w:rFonts w:eastAsia="Times New Roman" w:cs="Times New Roman"/>
                <w:color w:val="000000"/>
                <w:kern w:val="0"/>
                <w:sz w:val="20"/>
                <w:szCs w:val="20"/>
                <w:lang w:eastAsia="es-CO"/>
                <w14:ligatures w14:val="none"/>
              </w:rPr>
            </w:pPr>
            <w:r w:rsidRPr="00951AB1">
              <w:rPr>
                <w:rFonts w:eastAsia="Times New Roman" w:cs="Times New Roman"/>
                <w:color w:val="000000"/>
                <w:kern w:val="0"/>
                <w:sz w:val="20"/>
                <w:szCs w:val="20"/>
                <w:lang w:eastAsia="es-CO"/>
                <w14:ligatures w14:val="none"/>
              </w:rPr>
              <w:t xml:space="preserve">          1.260.694.001 </w:t>
            </w:r>
          </w:p>
        </w:tc>
      </w:tr>
      <w:tr w:rsidR="00ED27A4" w:rsidRPr="00951AB1" w14:paraId="173CC5C3" w14:textId="77777777" w:rsidTr="00ED27A4">
        <w:trPr>
          <w:trHeight w:val="533"/>
        </w:trPr>
        <w:tc>
          <w:tcPr>
            <w:tcW w:w="763" w:type="pct"/>
            <w:vMerge/>
            <w:vAlign w:val="center"/>
            <w:hideMark/>
          </w:tcPr>
          <w:p w14:paraId="5CF1247C" w14:textId="367CFF91" w:rsidR="00ED27A4" w:rsidRPr="00951AB1" w:rsidRDefault="00ED27A4" w:rsidP="000A5389">
            <w:pPr>
              <w:spacing w:line="240" w:lineRule="auto"/>
              <w:rPr>
                <w:rFonts w:eastAsia="Times New Roman" w:cs="Times New Roman"/>
                <w:color w:val="000000"/>
                <w:kern w:val="0"/>
                <w:sz w:val="20"/>
                <w:szCs w:val="20"/>
                <w:lang w:eastAsia="es-CO"/>
                <w14:ligatures w14:val="none"/>
              </w:rPr>
            </w:pPr>
          </w:p>
        </w:tc>
        <w:tc>
          <w:tcPr>
            <w:tcW w:w="763" w:type="pct"/>
            <w:vAlign w:val="center"/>
            <w:hideMark/>
          </w:tcPr>
          <w:p w14:paraId="2A11843C" w14:textId="77777777" w:rsidR="00ED27A4" w:rsidRPr="00951AB1" w:rsidRDefault="00ED27A4" w:rsidP="000A5389">
            <w:pPr>
              <w:spacing w:line="240" w:lineRule="auto"/>
              <w:jc w:val="right"/>
              <w:rPr>
                <w:rFonts w:eastAsia="Times New Roman" w:cs="Times New Roman"/>
                <w:color w:val="000000"/>
                <w:kern w:val="0"/>
                <w:sz w:val="20"/>
                <w:szCs w:val="20"/>
                <w:lang w:eastAsia="es-CO"/>
                <w14:ligatures w14:val="none"/>
              </w:rPr>
            </w:pPr>
            <w:r w:rsidRPr="00951AB1">
              <w:rPr>
                <w:rFonts w:eastAsia="Times New Roman" w:cs="Times New Roman"/>
                <w:color w:val="000000"/>
                <w:kern w:val="0"/>
                <w:sz w:val="20"/>
                <w:szCs w:val="20"/>
                <w:lang w:eastAsia="es-CO"/>
                <w14:ligatures w14:val="none"/>
              </w:rPr>
              <w:t>806016414</w:t>
            </w:r>
          </w:p>
        </w:tc>
        <w:tc>
          <w:tcPr>
            <w:tcW w:w="2265" w:type="pct"/>
            <w:vAlign w:val="center"/>
            <w:hideMark/>
          </w:tcPr>
          <w:p w14:paraId="7D0ACDCE" w14:textId="77777777" w:rsidR="00ED27A4" w:rsidRPr="00951AB1" w:rsidRDefault="00ED27A4" w:rsidP="000A5389">
            <w:pPr>
              <w:spacing w:line="240" w:lineRule="auto"/>
              <w:rPr>
                <w:rFonts w:eastAsia="Times New Roman" w:cs="Times New Roman"/>
                <w:color w:val="000000"/>
                <w:kern w:val="0"/>
                <w:sz w:val="20"/>
                <w:szCs w:val="20"/>
                <w:lang w:eastAsia="es-CO"/>
                <w14:ligatures w14:val="none"/>
              </w:rPr>
            </w:pPr>
            <w:r w:rsidRPr="00951AB1">
              <w:rPr>
                <w:rFonts w:eastAsia="Times New Roman" w:cs="Times New Roman"/>
                <w:color w:val="000000"/>
                <w:kern w:val="0"/>
                <w:sz w:val="20"/>
                <w:szCs w:val="20"/>
                <w:lang w:eastAsia="es-CO"/>
                <w14:ligatures w14:val="none"/>
              </w:rPr>
              <w:t>Sociedad Portuaria Olefinas y Derivados S.A.</w:t>
            </w:r>
          </w:p>
        </w:tc>
        <w:tc>
          <w:tcPr>
            <w:tcW w:w="1209" w:type="pct"/>
            <w:vAlign w:val="center"/>
            <w:hideMark/>
          </w:tcPr>
          <w:p w14:paraId="22865A23" w14:textId="77777777" w:rsidR="00ED27A4" w:rsidRPr="00951AB1" w:rsidRDefault="00ED27A4" w:rsidP="000A5389">
            <w:pPr>
              <w:spacing w:line="240" w:lineRule="auto"/>
              <w:jc w:val="right"/>
              <w:rPr>
                <w:rFonts w:eastAsia="Times New Roman" w:cs="Times New Roman"/>
                <w:color w:val="000000"/>
                <w:kern w:val="0"/>
                <w:sz w:val="20"/>
                <w:szCs w:val="20"/>
                <w:lang w:eastAsia="es-CO"/>
                <w14:ligatures w14:val="none"/>
              </w:rPr>
            </w:pPr>
            <w:r w:rsidRPr="00951AB1">
              <w:rPr>
                <w:rFonts w:eastAsia="Times New Roman" w:cs="Times New Roman"/>
                <w:color w:val="000000"/>
                <w:kern w:val="0"/>
                <w:sz w:val="20"/>
                <w:szCs w:val="20"/>
                <w:lang w:eastAsia="es-CO"/>
                <w14:ligatures w14:val="none"/>
              </w:rPr>
              <w:t xml:space="preserve">          1.032.119.478 </w:t>
            </w:r>
          </w:p>
        </w:tc>
      </w:tr>
      <w:tr w:rsidR="00ED27A4" w:rsidRPr="00951AB1" w14:paraId="26570875" w14:textId="77777777" w:rsidTr="00ED27A4">
        <w:trPr>
          <w:trHeight w:val="293"/>
        </w:trPr>
        <w:tc>
          <w:tcPr>
            <w:tcW w:w="763" w:type="pct"/>
            <w:vMerge/>
            <w:vAlign w:val="center"/>
            <w:hideMark/>
          </w:tcPr>
          <w:p w14:paraId="117B838A" w14:textId="200BF812" w:rsidR="00ED27A4" w:rsidRPr="00951AB1" w:rsidRDefault="00ED27A4" w:rsidP="000A5389">
            <w:pPr>
              <w:spacing w:line="240" w:lineRule="auto"/>
              <w:rPr>
                <w:rFonts w:eastAsia="Times New Roman" w:cs="Times New Roman"/>
                <w:color w:val="000000"/>
                <w:kern w:val="0"/>
                <w:sz w:val="20"/>
                <w:szCs w:val="20"/>
                <w:lang w:eastAsia="es-CO"/>
                <w14:ligatures w14:val="none"/>
              </w:rPr>
            </w:pPr>
          </w:p>
        </w:tc>
        <w:tc>
          <w:tcPr>
            <w:tcW w:w="763" w:type="pct"/>
            <w:vAlign w:val="center"/>
            <w:hideMark/>
          </w:tcPr>
          <w:p w14:paraId="4A71F35D" w14:textId="77777777" w:rsidR="00ED27A4" w:rsidRPr="00951AB1" w:rsidRDefault="00ED27A4" w:rsidP="000A5389">
            <w:pPr>
              <w:spacing w:line="240" w:lineRule="auto"/>
              <w:jc w:val="right"/>
              <w:rPr>
                <w:rFonts w:eastAsia="Times New Roman" w:cs="Times New Roman"/>
                <w:color w:val="000000"/>
                <w:kern w:val="0"/>
                <w:sz w:val="20"/>
                <w:szCs w:val="20"/>
                <w:lang w:eastAsia="es-CO"/>
                <w14:ligatures w14:val="none"/>
              </w:rPr>
            </w:pPr>
            <w:r w:rsidRPr="00951AB1">
              <w:rPr>
                <w:rFonts w:eastAsia="Times New Roman" w:cs="Times New Roman"/>
                <w:color w:val="000000"/>
                <w:kern w:val="0"/>
                <w:sz w:val="20"/>
                <w:szCs w:val="20"/>
                <w:lang w:eastAsia="es-CO"/>
                <w14:ligatures w14:val="none"/>
              </w:rPr>
              <w:t>900112515</w:t>
            </w:r>
          </w:p>
        </w:tc>
        <w:tc>
          <w:tcPr>
            <w:tcW w:w="2265" w:type="pct"/>
            <w:vAlign w:val="center"/>
            <w:hideMark/>
          </w:tcPr>
          <w:p w14:paraId="10921366" w14:textId="77777777" w:rsidR="00ED27A4" w:rsidRPr="00951AB1" w:rsidRDefault="00ED27A4" w:rsidP="000A5389">
            <w:pPr>
              <w:spacing w:line="240" w:lineRule="auto"/>
              <w:rPr>
                <w:rFonts w:eastAsia="Times New Roman" w:cs="Times New Roman"/>
                <w:color w:val="000000"/>
                <w:kern w:val="0"/>
                <w:sz w:val="20"/>
                <w:szCs w:val="20"/>
                <w:lang w:eastAsia="es-CO"/>
                <w14:ligatures w14:val="none"/>
              </w:rPr>
            </w:pPr>
            <w:r w:rsidRPr="00951AB1">
              <w:rPr>
                <w:rFonts w:eastAsia="Times New Roman" w:cs="Times New Roman"/>
                <w:color w:val="000000"/>
                <w:kern w:val="0"/>
                <w:sz w:val="20"/>
                <w:szCs w:val="20"/>
                <w:lang w:eastAsia="es-CO"/>
                <w14:ligatures w14:val="none"/>
              </w:rPr>
              <w:t>Refinería de Cartagena S.A.S</w:t>
            </w:r>
          </w:p>
        </w:tc>
        <w:tc>
          <w:tcPr>
            <w:tcW w:w="1209" w:type="pct"/>
            <w:vAlign w:val="center"/>
            <w:hideMark/>
          </w:tcPr>
          <w:p w14:paraId="4EFEF703" w14:textId="77777777" w:rsidR="00ED27A4" w:rsidRPr="00951AB1" w:rsidRDefault="00ED27A4" w:rsidP="000A5389">
            <w:pPr>
              <w:spacing w:line="240" w:lineRule="auto"/>
              <w:jc w:val="right"/>
              <w:rPr>
                <w:rFonts w:eastAsia="Times New Roman" w:cs="Times New Roman"/>
                <w:color w:val="000000"/>
                <w:kern w:val="0"/>
                <w:sz w:val="20"/>
                <w:szCs w:val="20"/>
                <w:lang w:eastAsia="es-CO"/>
                <w14:ligatures w14:val="none"/>
              </w:rPr>
            </w:pPr>
            <w:r w:rsidRPr="00951AB1">
              <w:rPr>
                <w:rFonts w:eastAsia="Times New Roman" w:cs="Times New Roman"/>
                <w:color w:val="000000"/>
                <w:kern w:val="0"/>
                <w:sz w:val="20"/>
                <w:szCs w:val="20"/>
                <w:lang w:eastAsia="es-CO"/>
                <w14:ligatures w14:val="none"/>
              </w:rPr>
              <w:t xml:space="preserve">             622.458.124 </w:t>
            </w:r>
          </w:p>
        </w:tc>
      </w:tr>
      <w:tr w:rsidR="00ED27A4" w:rsidRPr="00951AB1" w14:paraId="1250E8B0" w14:textId="77777777" w:rsidTr="00ED27A4">
        <w:trPr>
          <w:trHeight w:val="533"/>
        </w:trPr>
        <w:tc>
          <w:tcPr>
            <w:tcW w:w="763" w:type="pct"/>
            <w:vMerge/>
            <w:vAlign w:val="center"/>
            <w:hideMark/>
          </w:tcPr>
          <w:p w14:paraId="73EC263A" w14:textId="231DD5C8" w:rsidR="00ED27A4" w:rsidRPr="00951AB1" w:rsidRDefault="00ED27A4" w:rsidP="000A5389">
            <w:pPr>
              <w:spacing w:line="240" w:lineRule="auto"/>
              <w:rPr>
                <w:rFonts w:eastAsia="Times New Roman" w:cs="Times New Roman"/>
                <w:color w:val="000000"/>
                <w:kern w:val="0"/>
                <w:sz w:val="20"/>
                <w:szCs w:val="20"/>
                <w:lang w:eastAsia="es-CO"/>
                <w14:ligatures w14:val="none"/>
              </w:rPr>
            </w:pPr>
          </w:p>
        </w:tc>
        <w:tc>
          <w:tcPr>
            <w:tcW w:w="763" w:type="pct"/>
            <w:vAlign w:val="center"/>
            <w:hideMark/>
          </w:tcPr>
          <w:p w14:paraId="458361FA" w14:textId="77777777" w:rsidR="00ED27A4" w:rsidRPr="00951AB1" w:rsidRDefault="00ED27A4" w:rsidP="000A5389">
            <w:pPr>
              <w:spacing w:line="240" w:lineRule="auto"/>
              <w:jc w:val="right"/>
              <w:rPr>
                <w:rFonts w:eastAsia="Times New Roman" w:cs="Times New Roman"/>
                <w:color w:val="000000"/>
                <w:kern w:val="0"/>
                <w:sz w:val="20"/>
                <w:szCs w:val="20"/>
                <w:lang w:eastAsia="es-CO"/>
                <w14:ligatures w14:val="none"/>
              </w:rPr>
            </w:pPr>
            <w:r w:rsidRPr="00951AB1">
              <w:rPr>
                <w:rFonts w:eastAsia="Times New Roman" w:cs="Times New Roman"/>
                <w:color w:val="000000"/>
                <w:kern w:val="0"/>
                <w:sz w:val="20"/>
                <w:szCs w:val="20"/>
                <w:lang w:eastAsia="es-CO"/>
                <w14:ligatures w14:val="none"/>
              </w:rPr>
              <w:t>901057588</w:t>
            </w:r>
          </w:p>
        </w:tc>
        <w:tc>
          <w:tcPr>
            <w:tcW w:w="2265" w:type="pct"/>
            <w:vAlign w:val="center"/>
            <w:hideMark/>
          </w:tcPr>
          <w:p w14:paraId="5C5284AB" w14:textId="77777777" w:rsidR="00ED27A4" w:rsidRPr="00951AB1" w:rsidRDefault="00ED27A4" w:rsidP="000A5389">
            <w:pPr>
              <w:spacing w:line="240" w:lineRule="auto"/>
              <w:rPr>
                <w:rFonts w:eastAsia="Times New Roman" w:cs="Times New Roman"/>
                <w:color w:val="000000"/>
                <w:kern w:val="0"/>
                <w:sz w:val="20"/>
                <w:szCs w:val="20"/>
                <w:lang w:eastAsia="es-CO"/>
                <w14:ligatures w14:val="none"/>
              </w:rPr>
            </w:pPr>
            <w:r w:rsidRPr="00951AB1">
              <w:rPr>
                <w:rFonts w:eastAsia="Times New Roman" w:cs="Times New Roman"/>
                <w:color w:val="000000"/>
                <w:kern w:val="0"/>
                <w:sz w:val="20"/>
                <w:szCs w:val="20"/>
                <w:lang w:eastAsia="es-CO"/>
                <w14:ligatures w14:val="none"/>
              </w:rPr>
              <w:t>Sociedad Portuaria Regional Tumaco Pacific Port S. A</w:t>
            </w:r>
          </w:p>
        </w:tc>
        <w:tc>
          <w:tcPr>
            <w:tcW w:w="1209" w:type="pct"/>
            <w:vAlign w:val="center"/>
            <w:hideMark/>
          </w:tcPr>
          <w:p w14:paraId="64B86D95" w14:textId="77777777" w:rsidR="00ED27A4" w:rsidRPr="00951AB1" w:rsidRDefault="00ED27A4" w:rsidP="000A5389">
            <w:pPr>
              <w:spacing w:line="240" w:lineRule="auto"/>
              <w:jc w:val="right"/>
              <w:rPr>
                <w:rFonts w:eastAsia="Times New Roman" w:cs="Times New Roman"/>
                <w:color w:val="000000"/>
                <w:kern w:val="0"/>
                <w:sz w:val="20"/>
                <w:szCs w:val="20"/>
                <w:lang w:eastAsia="es-CO"/>
                <w14:ligatures w14:val="none"/>
              </w:rPr>
            </w:pPr>
            <w:r w:rsidRPr="00951AB1">
              <w:rPr>
                <w:rFonts w:eastAsia="Times New Roman" w:cs="Times New Roman"/>
                <w:color w:val="000000"/>
                <w:kern w:val="0"/>
                <w:sz w:val="20"/>
                <w:szCs w:val="20"/>
                <w:lang w:eastAsia="es-CO"/>
                <w14:ligatures w14:val="none"/>
              </w:rPr>
              <w:t xml:space="preserve">             584.555.930 </w:t>
            </w:r>
          </w:p>
        </w:tc>
      </w:tr>
      <w:tr w:rsidR="00ED27A4" w:rsidRPr="00951AB1" w14:paraId="1C99A43E" w14:textId="77777777" w:rsidTr="00ED27A4">
        <w:trPr>
          <w:trHeight w:val="293"/>
        </w:trPr>
        <w:tc>
          <w:tcPr>
            <w:tcW w:w="763" w:type="pct"/>
            <w:vMerge/>
            <w:vAlign w:val="center"/>
            <w:hideMark/>
          </w:tcPr>
          <w:p w14:paraId="44FB6F92" w14:textId="34982CDB" w:rsidR="00ED27A4" w:rsidRPr="00951AB1" w:rsidRDefault="00ED27A4" w:rsidP="000A5389">
            <w:pPr>
              <w:spacing w:line="240" w:lineRule="auto"/>
              <w:rPr>
                <w:rFonts w:eastAsia="Times New Roman" w:cs="Times New Roman"/>
                <w:color w:val="000000"/>
                <w:kern w:val="0"/>
                <w:sz w:val="20"/>
                <w:szCs w:val="20"/>
                <w:lang w:eastAsia="es-CO"/>
                <w14:ligatures w14:val="none"/>
              </w:rPr>
            </w:pPr>
          </w:p>
        </w:tc>
        <w:tc>
          <w:tcPr>
            <w:tcW w:w="763" w:type="pct"/>
            <w:vAlign w:val="center"/>
            <w:hideMark/>
          </w:tcPr>
          <w:p w14:paraId="7CF40063" w14:textId="77777777" w:rsidR="00ED27A4" w:rsidRPr="00951AB1" w:rsidRDefault="00ED27A4" w:rsidP="000A5389">
            <w:pPr>
              <w:spacing w:line="240" w:lineRule="auto"/>
              <w:jc w:val="right"/>
              <w:rPr>
                <w:rFonts w:eastAsia="Times New Roman" w:cs="Times New Roman"/>
                <w:color w:val="000000"/>
                <w:kern w:val="0"/>
                <w:sz w:val="20"/>
                <w:szCs w:val="20"/>
                <w:lang w:eastAsia="es-CO"/>
                <w14:ligatures w14:val="none"/>
              </w:rPr>
            </w:pPr>
            <w:r w:rsidRPr="00951AB1">
              <w:rPr>
                <w:rFonts w:eastAsia="Times New Roman" w:cs="Times New Roman"/>
                <w:color w:val="000000"/>
                <w:kern w:val="0"/>
                <w:sz w:val="20"/>
                <w:szCs w:val="20"/>
                <w:lang w:eastAsia="es-CO"/>
                <w14:ligatures w14:val="none"/>
              </w:rPr>
              <w:t>800206129</w:t>
            </w:r>
          </w:p>
        </w:tc>
        <w:tc>
          <w:tcPr>
            <w:tcW w:w="2265" w:type="pct"/>
            <w:vAlign w:val="center"/>
            <w:hideMark/>
          </w:tcPr>
          <w:p w14:paraId="37BFD9B1" w14:textId="77777777" w:rsidR="00ED27A4" w:rsidRPr="00951AB1" w:rsidRDefault="00ED27A4" w:rsidP="000A5389">
            <w:pPr>
              <w:spacing w:line="240" w:lineRule="auto"/>
              <w:rPr>
                <w:rFonts w:eastAsia="Times New Roman" w:cs="Times New Roman"/>
                <w:color w:val="000000"/>
                <w:kern w:val="0"/>
                <w:sz w:val="20"/>
                <w:szCs w:val="20"/>
                <w:lang w:eastAsia="es-CO"/>
                <w14:ligatures w14:val="none"/>
              </w:rPr>
            </w:pPr>
            <w:r w:rsidRPr="00951AB1">
              <w:rPr>
                <w:rFonts w:eastAsia="Times New Roman" w:cs="Times New Roman"/>
                <w:color w:val="000000"/>
                <w:kern w:val="0"/>
                <w:sz w:val="20"/>
                <w:szCs w:val="20"/>
                <w:lang w:eastAsia="es-CO"/>
                <w14:ligatures w14:val="none"/>
              </w:rPr>
              <w:t>Puerto Buenavista S. A</w:t>
            </w:r>
          </w:p>
        </w:tc>
        <w:tc>
          <w:tcPr>
            <w:tcW w:w="1209" w:type="pct"/>
            <w:vAlign w:val="center"/>
            <w:hideMark/>
          </w:tcPr>
          <w:p w14:paraId="560F1B5D" w14:textId="77777777" w:rsidR="00ED27A4" w:rsidRPr="00951AB1" w:rsidRDefault="00ED27A4" w:rsidP="000A5389">
            <w:pPr>
              <w:spacing w:line="240" w:lineRule="auto"/>
              <w:jc w:val="right"/>
              <w:rPr>
                <w:rFonts w:eastAsia="Times New Roman" w:cs="Times New Roman"/>
                <w:color w:val="000000"/>
                <w:kern w:val="0"/>
                <w:sz w:val="20"/>
                <w:szCs w:val="20"/>
                <w:lang w:eastAsia="es-CO"/>
                <w14:ligatures w14:val="none"/>
              </w:rPr>
            </w:pPr>
            <w:r w:rsidRPr="00951AB1">
              <w:rPr>
                <w:rFonts w:eastAsia="Times New Roman" w:cs="Times New Roman"/>
                <w:color w:val="000000"/>
                <w:kern w:val="0"/>
                <w:sz w:val="20"/>
                <w:szCs w:val="20"/>
                <w:lang w:eastAsia="es-CO"/>
                <w14:ligatures w14:val="none"/>
              </w:rPr>
              <w:t xml:space="preserve">             484.117.082 </w:t>
            </w:r>
          </w:p>
        </w:tc>
      </w:tr>
      <w:tr w:rsidR="00ED27A4" w:rsidRPr="00951AB1" w14:paraId="5651237F" w14:textId="77777777" w:rsidTr="00ED27A4">
        <w:trPr>
          <w:trHeight w:val="533"/>
        </w:trPr>
        <w:tc>
          <w:tcPr>
            <w:tcW w:w="763" w:type="pct"/>
            <w:vMerge/>
            <w:vAlign w:val="center"/>
            <w:hideMark/>
          </w:tcPr>
          <w:p w14:paraId="4D3E8FC0" w14:textId="20FAAA45" w:rsidR="00ED27A4" w:rsidRPr="00951AB1" w:rsidRDefault="00ED27A4" w:rsidP="000A5389">
            <w:pPr>
              <w:spacing w:line="240" w:lineRule="auto"/>
              <w:rPr>
                <w:rFonts w:eastAsia="Times New Roman" w:cs="Times New Roman"/>
                <w:color w:val="000000"/>
                <w:kern w:val="0"/>
                <w:sz w:val="20"/>
                <w:szCs w:val="20"/>
                <w:lang w:eastAsia="es-CO"/>
                <w14:ligatures w14:val="none"/>
              </w:rPr>
            </w:pPr>
          </w:p>
        </w:tc>
        <w:tc>
          <w:tcPr>
            <w:tcW w:w="763" w:type="pct"/>
            <w:vAlign w:val="center"/>
            <w:hideMark/>
          </w:tcPr>
          <w:p w14:paraId="741D9F8C" w14:textId="77777777" w:rsidR="00ED27A4" w:rsidRPr="00951AB1" w:rsidRDefault="00ED27A4" w:rsidP="000A5389">
            <w:pPr>
              <w:spacing w:line="240" w:lineRule="auto"/>
              <w:jc w:val="right"/>
              <w:rPr>
                <w:rFonts w:eastAsia="Times New Roman" w:cs="Times New Roman"/>
                <w:color w:val="000000"/>
                <w:kern w:val="0"/>
                <w:sz w:val="20"/>
                <w:szCs w:val="20"/>
                <w:lang w:eastAsia="es-CO"/>
                <w14:ligatures w14:val="none"/>
              </w:rPr>
            </w:pPr>
            <w:r w:rsidRPr="00951AB1">
              <w:rPr>
                <w:rFonts w:eastAsia="Times New Roman" w:cs="Times New Roman"/>
                <w:color w:val="000000"/>
                <w:kern w:val="0"/>
                <w:sz w:val="20"/>
                <w:szCs w:val="20"/>
                <w:lang w:eastAsia="es-CO"/>
                <w14:ligatures w14:val="none"/>
              </w:rPr>
              <w:t>900325249</w:t>
            </w:r>
          </w:p>
        </w:tc>
        <w:tc>
          <w:tcPr>
            <w:tcW w:w="2265" w:type="pct"/>
            <w:vAlign w:val="center"/>
            <w:hideMark/>
          </w:tcPr>
          <w:p w14:paraId="2F7EC628" w14:textId="77777777" w:rsidR="00ED27A4" w:rsidRPr="00951AB1" w:rsidRDefault="00ED27A4" w:rsidP="000A5389">
            <w:pPr>
              <w:spacing w:line="240" w:lineRule="auto"/>
              <w:rPr>
                <w:rFonts w:eastAsia="Times New Roman" w:cs="Times New Roman"/>
                <w:color w:val="000000"/>
                <w:kern w:val="0"/>
                <w:sz w:val="20"/>
                <w:szCs w:val="20"/>
                <w:lang w:eastAsia="es-CO"/>
                <w14:ligatures w14:val="none"/>
              </w:rPr>
            </w:pPr>
            <w:r w:rsidRPr="00951AB1">
              <w:rPr>
                <w:rFonts w:eastAsia="Times New Roman" w:cs="Times New Roman"/>
                <w:color w:val="000000"/>
                <w:kern w:val="0"/>
                <w:sz w:val="20"/>
                <w:szCs w:val="20"/>
                <w:lang w:eastAsia="es-CO"/>
                <w14:ligatures w14:val="none"/>
              </w:rPr>
              <w:t>Sociedad Portuaria Central Cartagena S. A</w:t>
            </w:r>
          </w:p>
        </w:tc>
        <w:tc>
          <w:tcPr>
            <w:tcW w:w="1209" w:type="pct"/>
            <w:vAlign w:val="center"/>
            <w:hideMark/>
          </w:tcPr>
          <w:p w14:paraId="2D84AF98" w14:textId="77777777" w:rsidR="00ED27A4" w:rsidRPr="00951AB1" w:rsidRDefault="00ED27A4" w:rsidP="000A5389">
            <w:pPr>
              <w:spacing w:line="240" w:lineRule="auto"/>
              <w:jc w:val="right"/>
              <w:rPr>
                <w:rFonts w:eastAsia="Times New Roman" w:cs="Times New Roman"/>
                <w:color w:val="000000"/>
                <w:kern w:val="0"/>
                <w:sz w:val="20"/>
                <w:szCs w:val="20"/>
                <w:lang w:eastAsia="es-CO"/>
                <w14:ligatures w14:val="none"/>
              </w:rPr>
            </w:pPr>
            <w:r w:rsidRPr="00951AB1">
              <w:rPr>
                <w:rFonts w:eastAsia="Times New Roman" w:cs="Times New Roman"/>
                <w:color w:val="000000"/>
                <w:kern w:val="0"/>
                <w:sz w:val="20"/>
                <w:szCs w:val="20"/>
                <w:lang w:eastAsia="es-CO"/>
                <w14:ligatures w14:val="none"/>
              </w:rPr>
              <w:t xml:space="preserve">             463.699.257 </w:t>
            </w:r>
          </w:p>
        </w:tc>
      </w:tr>
      <w:tr w:rsidR="00ED27A4" w:rsidRPr="00951AB1" w14:paraId="1D20E0DE" w14:textId="77777777" w:rsidTr="00ED27A4">
        <w:trPr>
          <w:trHeight w:val="533"/>
        </w:trPr>
        <w:tc>
          <w:tcPr>
            <w:tcW w:w="763" w:type="pct"/>
            <w:vMerge/>
            <w:vAlign w:val="center"/>
            <w:hideMark/>
          </w:tcPr>
          <w:p w14:paraId="01CBB1B5" w14:textId="72EE35AF" w:rsidR="00ED27A4" w:rsidRPr="00951AB1" w:rsidRDefault="00ED27A4" w:rsidP="000A5389">
            <w:pPr>
              <w:spacing w:line="240" w:lineRule="auto"/>
              <w:rPr>
                <w:rFonts w:eastAsia="Times New Roman" w:cs="Times New Roman"/>
                <w:color w:val="000000"/>
                <w:kern w:val="0"/>
                <w:sz w:val="20"/>
                <w:szCs w:val="20"/>
                <w:lang w:eastAsia="es-CO"/>
                <w14:ligatures w14:val="none"/>
              </w:rPr>
            </w:pPr>
          </w:p>
        </w:tc>
        <w:tc>
          <w:tcPr>
            <w:tcW w:w="763" w:type="pct"/>
            <w:vAlign w:val="center"/>
            <w:hideMark/>
          </w:tcPr>
          <w:p w14:paraId="7E6D15D0" w14:textId="77777777" w:rsidR="00ED27A4" w:rsidRPr="00951AB1" w:rsidRDefault="00ED27A4" w:rsidP="000A5389">
            <w:pPr>
              <w:spacing w:line="240" w:lineRule="auto"/>
              <w:jc w:val="right"/>
              <w:rPr>
                <w:rFonts w:eastAsia="Times New Roman" w:cs="Times New Roman"/>
                <w:color w:val="000000"/>
                <w:kern w:val="0"/>
                <w:sz w:val="20"/>
                <w:szCs w:val="20"/>
                <w:lang w:eastAsia="es-CO"/>
                <w14:ligatures w14:val="none"/>
              </w:rPr>
            </w:pPr>
            <w:r w:rsidRPr="00951AB1">
              <w:rPr>
                <w:rFonts w:eastAsia="Times New Roman" w:cs="Times New Roman"/>
                <w:color w:val="000000"/>
                <w:kern w:val="0"/>
                <w:sz w:val="20"/>
                <w:szCs w:val="20"/>
                <w:lang w:eastAsia="es-CO"/>
                <w14:ligatures w14:val="none"/>
              </w:rPr>
              <w:t>900944661</w:t>
            </w:r>
          </w:p>
        </w:tc>
        <w:tc>
          <w:tcPr>
            <w:tcW w:w="2265" w:type="pct"/>
            <w:vAlign w:val="center"/>
            <w:hideMark/>
          </w:tcPr>
          <w:p w14:paraId="39EABB16" w14:textId="77777777" w:rsidR="00ED27A4" w:rsidRPr="00951AB1" w:rsidRDefault="00ED27A4" w:rsidP="000A5389">
            <w:pPr>
              <w:spacing w:line="240" w:lineRule="auto"/>
              <w:rPr>
                <w:rFonts w:eastAsia="Times New Roman" w:cs="Times New Roman"/>
                <w:color w:val="000000"/>
                <w:kern w:val="0"/>
                <w:sz w:val="20"/>
                <w:szCs w:val="20"/>
                <w:lang w:eastAsia="es-CO"/>
                <w14:ligatures w14:val="none"/>
              </w:rPr>
            </w:pPr>
            <w:r w:rsidRPr="00951AB1">
              <w:rPr>
                <w:rFonts w:eastAsia="Times New Roman" w:cs="Times New Roman"/>
                <w:color w:val="000000"/>
                <w:kern w:val="0"/>
                <w:sz w:val="20"/>
                <w:szCs w:val="20"/>
                <w:lang w:eastAsia="es-CO"/>
                <w14:ligatures w14:val="none"/>
              </w:rPr>
              <w:t>Nueva Sociedad Portuaria Zona Atlantica   S A</w:t>
            </w:r>
          </w:p>
        </w:tc>
        <w:tc>
          <w:tcPr>
            <w:tcW w:w="1209" w:type="pct"/>
            <w:vAlign w:val="center"/>
            <w:hideMark/>
          </w:tcPr>
          <w:p w14:paraId="7D180265" w14:textId="77777777" w:rsidR="00ED27A4" w:rsidRPr="00951AB1" w:rsidRDefault="00ED27A4" w:rsidP="000A5389">
            <w:pPr>
              <w:spacing w:line="240" w:lineRule="auto"/>
              <w:jc w:val="right"/>
              <w:rPr>
                <w:rFonts w:eastAsia="Times New Roman" w:cs="Times New Roman"/>
                <w:color w:val="000000"/>
                <w:kern w:val="0"/>
                <w:sz w:val="20"/>
                <w:szCs w:val="20"/>
                <w:lang w:eastAsia="es-CO"/>
                <w14:ligatures w14:val="none"/>
              </w:rPr>
            </w:pPr>
            <w:r w:rsidRPr="00951AB1">
              <w:rPr>
                <w:rFonts w:eastAsia="Times New Roman" w:cs="Times New Roman"/>
                <w:color w:val="000000"/>
                <w:kern w:val="0"/>
                <w:sz w:val="20"/>
                <w:szCs w:val="20"/>
                <w:lang w:eastAsia="es-CO"/>
                <w14:ligatures w14:val="none"/>
              </w:rPr>
              <w:t xml:space="preserve">             462.103.837 </w:t>
            </w:r>
          </w:p>
        </w:tc>
      </w:tr>
      <w:tr w:rsidR="00ED27A4" w:rsidRPr="00951AB1" w14:paraId="3CD27B0D" w14:textId="77777777" w:rsidTr="00ED27A4">
        <w:trPr>
          <w:trHeight w:val="293"/>
        </w:trPr>
        <w:tc>
          <w:tcPr>
            <w:tcW w:w="763" w:type="pct"/>
            <w:vMerge/>
            <w:vAlign w:val="center"/>
            <w:hideMark/>
          </w:tcPr>
          <w:p w14:paraId="115F6803" w14:textId="2C0E117E" w:rsidR="00ED27A4" w:rsidRPr="00951AB1" w:rsidRDefault="00ED27A4" w:rsidP="000A5389">
            <w:pPr>
              <w:spacing w:line="240" w:lineRule="auto"/>
              <w:rPr>
                <w:rFonts w:eastAsia="Times New Roman" w:cs="Times New Roman"/>
                <w:color w:val="000000"/>
                <w:kern w:val="0"/>
                <w:sz w:val="20"/>
                <w:szCs w:val="20"/>
                <w:lang w:eastAsia="es-CO"/>
                <w14:ligatures w14:val="none"/>
              </w:rPr>
            </w:pPr>
          </w:p>
        </w:tc>
        <w:tc>
          <w:tcPr>
            <w:tcW w:w="763" w:type="pct"/>
            <w:vAlign w:val="center"/>
            <w:hideMark/>
          </w:tcPr>
          <w:p w14:paraId="1425F9E2" w14:textId="77777777" w:rsidR="00ED27A4" w:rsidRPr="00951AB1" w:rsidRDefault="00ED27A4" w:rsidP="000A5389">
            <w:pPr>
              <w:spacing w:line="240" w:lineRule="auto"/>
              <w:jc w:val="right"/>
              <w:rPr>
                <w:rFonts w:eastAsia="Times New Roman" w:cs="Times New Roman"/>
                <w:color w:val="000000"/>
                <w:kern w:val="0"/>
                <w:sz w:val="20"/>
                <w:szCs w:val="20"/>
                <w:lang w:eastAsia="es-CO"/>
                <w14:ligatures w14:val="none"/>
              </w:rPr>
            </w:pPr>
            <w:r w:rsidRPr="00951AB1">
              <w:rPr>
                <w:rFonts w:eastAsia="Times New Roman" w:cs="Times New Roman"/>
                <w:color w:val="000000"/>
                <w:kern w:val="0"/>
                <w:sz w:val="20"/>
                <w:szCs w:val="20"/>
                <w:lang w:eastAsia="es-CO"/>
                <w14:ligatures w14:val="none"/>
              </w:rPr>
              <w:t>860040201</w:t>
            </w:r>
          </w:p>
        </w:tc>
        <w:tc>
          <w:tcPr>
            <w:tcW w:w="2265" w:type="pct"/>
            <w:vAlign w:val="center"/>
            <w:hideMark/>
          </w:tcPr>
          <w:p w14:paraId="0FF00ED3" w14:textId="77777777" w:rsidR="00ED27A4" w:rsidRPr="00951AB1" w:rsidRDefault="00ED27A4" w:rsidP="000A5389">
            <w:pPr>
              <w:spacing w:line="240" w:lineRule="auto"/>
              <w:rPr>
                <w:rFonts w:eastAsia="Times New Roman" w:cs="Times New Roman"/>
                <w:color w:val="000000"/>
                <w:kern w:val="0"/>
                <w:sz w:val="20"/>
                <w:szCs w:val="20"/>
                <w:lang w:eastAsia="es-CO"/>
                <w14:ligatures w14:val="none"/>
              </w:rPr>
            </w:pPr>
            <w:r w:rsidRPr="00951AB1">
              <w:rPr>
                <w:rFonts w:eastAsia="Times New Roman" w:cs="Times New Roman"/>
                <w:color w:val="000000"/>
                <w:kern w:val="0"/>
                <w:sz w:val="20"/>
                <w:szCs w:val="20"/>
                <w:lang w:eastAsia="es-CO"/>
                <w14:ligatures w14:val="none"/>
              </w:rPr>
              <w:t>Vopak Colombia S. A</w:t>
            </w:r>
          </w:p>
        </w:tc>
        <w:tc>
          <w:tcPr>
            <w:tcW w:w="1209" w:type="pct"/>
            <w:vAlign w:val="center"/>
            <w:hideMark/>
          </w:tcPr>
          <w:p w14:paraId="07755F37" w14:textId="77777777" w:rsidR="00ED27A4" w:rsidRPr="00951AB1" w:rsidRDefault="00ED27A4" w:rsidP="000A5389">
            <w:pPr>
              <w:spacing w:line="240" w:lineRule="auto"/>
              <w:jc w:val="right"/>
              <w:rPr>
                <w:rFonts w:eastAsia="Times New Roman" w:cs="Times New Roman"/>
                <w:color w:val="000000"/>
                <w:kern w:val="0"/>
                <w:sz w:val="20"/>
                <w:szCs w:val="20"/>
                <w:lang w:eastAsia="es-CO"/>
                <w14:ligatures w14:val="none"/>
              </w:rPr>
            </w:pPr>
            <w:r w:rsidRPr="00951AB1">
              <w:rPr>
                <w:rFonts w:eastAsia="Times New Roman" w:cs="Times New Roman"/>
                <w:color w:val="000000"/>
                <w:kern w:val="0"/>
                <w:sz w:val="20"/>
                <w:szCs w:val="20"/>
                <w:lang w:eastAsia="es-CO"/>
                <w14:ligatures w14:val="none"/>
              </w:rPr>
              <w:t xml:space="preserve">             320.863.466 </w:t>
            </w:r>
          </w:p>
        </w:tc>
      </w:tr>
      <w:tr w:rsidR="00ED27A4" w:rsidRPr="00951AB1" w14:paraId="67AB1AFA" w14:textId="77777777" w:rsidTr="00ED27A4">
        <w:trPr>
          <w:trHeight w:val="533"/>
        </w:trPr>
        <w:tc>
          <w:tcPr>
            <w:tcW w:w="763" w:type="pct"/>
            <w:vMerge/>
            <w:vAlign w:val="center"/>
            <w:hideMark/>
          </w:tcPr>
          <w:p w14:paraId="71C772CB" w14:textId="2E93B8E1" w:rsidR="00ED27A4" w:rsidRPr="00951AB1" w:rsidRDefault="00ED27A4" w:rsidP="000A5389">
            <w:pPr>
              <w:spacing w:line="240" w:lineRule="auto"/>
              <w:rPr>
                <w:rFonts w:eastAsia="Times New Roman" w:cs="Times New Roman"/>
                <w:color w:val="000000"/>
                <w:kern w:val="0"/>
                <w:sz w:val="20"/>
                <w:szCs w:val="20"/>
                <w:lang w:eastAsia="es-CO"/>
                <w14:ligatures w14:val="none"/>
              </w:rPr>
            </w:pPr>
          </w:p>
        </w:tc>
        <w:tc>
          <w:tcPr>
            <w:tcW w:w="763" w:type="pct"/>
            <w:vAlign w:val="center"/>
            <w:hideMark/>
          </w:tcPr>
          <w:p w14:paraId="0B8BC41E" w14:textId="77777777" w:rsidR="00ED27A4" w:rsidRPr="00951AB1" w:rsidRDefault="00ED27A4" w:rsidP="000A5389">
            <w:pPr>
              <w:spacing w:line="240" w:lineRule="auto"/>
              <w:jc w:val="right"/>
              <w:rPr>
                <w:rFonts w:eastAsia="Times New Roman" w:cs="Times New Roman"/>
                <w:color w:val="000000"/>
                <w:kern w:val="0"/>
                <w:sz w:val="20"/>
                <w:szCs w:val="20"/>
                <w:lang w:eastAsia="es-CO"/>
                <w14:ligatures w14:val="none"/>
              </w:rPr>
            </w:pPr>
            <w:r w:rsidRPr="00951AB1">
              <w:rPr>
                <w:rFonts w:eastAsia="Times New Roman" w:cs="Times New Roman"/>
                <w:color w:val="000000"/>
                <w:kern w:val="0"/>
                <w:sz w:val="20"/>
                <w:szCs w:val="20"/>
                <w:lang w:eastAsia="es-CO"/>
                <w14:ligatures w14:val="none"/>
              </w:rPr>
              <w:t>890401435</w:t>
            </w:r>
          </w:p>
        </w:tc>
        <w:tc>
          <w:tcPr>
            <w:tcW w:w="2265" w:type="pct"/>
            <w:vAlign w:val="center"/>
            <w:hideMark/>
          </w:tcPr>
          <w:p w14:paraId="0BEF7BCF" w14:textId="77777777" w:rsidR="00ED27A4" w:rsidRPr="00951AB1" w:rsidRDefault="00ED27A4" w:rsidP="000A5389">
            <w:pPr>
              <w:spacing w:line="240" w:lineRule="auto"/>
              <w:rPr>
                <w:rFonts w:eastAsia="Times New Roman" w:cs="Times New Roman"/>
                <w:color w:val="000000"/>
                <w:kern w:val="0"/>
                <w:sz w:val="20"/>
                <w:szCs w:val="20"/>
                <w:lang w:eastAsia="es-CO"/>
                <w14:ligatures w14:val="none"/>
              </w:rPr>
            </w:pPr>
            <w:r w:rsidRPr="00951AB1">
              <w:rPr>
                <w:rFonts w:eastAsia="Times New Roman" w:cs="Times New Roman"/>
                <w:color w:val="000000"/>
                <w:kern w:val="0"/>
                <w:sz w:val="20"/>
                <w:szCs w:val="20"/>
                <w:lang w:eastAsia="es-CO"/>
                <w14:ligatures w14:val="none"/>
              </w:rPr>
              <w:t>Sociedad Portuaria Operadora Internacional S.A..</w:t>
            </w:r>
          </w:p>
        </w:tc>
        <w:tc>
          <w:tcPr>
            <w:tcW w:w="1209" w:type="pct"/>
            <w:vAlign w:val="center"/>
            <w:hideMark/>
          </w:tcPr>
          <w:p w14:paraId="7D6D5D8E" w14:textId="77777777" w:rsidR="00ED27A4" w:rsidRPr="00951AB1" w:rsidRDefault="00ED27A4" w:rsidP="000A5389">
            <w:pPr>
              <w:spacing w:line="240" w:lineRule="auto"/>
              <w:jc w:val="right"/>
              <w:rPr>
                <w:rFonts w:eastAsia="Times New Roman" w:cs="Times New Roman"/>
                <w:color w:val="000000"/>
                <w:kern w:val="0"/>
                <w:sz w:val="20"/>
                <w:szCs w:val="20"/>
                <w:lang w:eastAsia="es-CO"/>
                <w14:ligatures w14:val="none"/>
              </w:rPr>
            </w:pPr>
            <w:r w:rsidRPr="00951AB1">
              <w:rPr>
                <w:rFonts w:eastAsia="Times New Roman" w:cs="Times New Roman"/>
                <w:color w:val="000000"/>
                <w:kern w:val="0"/>
                <w:sz w:val="20"/>
                <w:szCs w:val="20"/>
                <w:lang w:eastAsia="es-CO"/>
                <w14:ligatures w14:val="none"/>
              </w:rPr>
              <w:t xml:space="preserve">             259.932.236 </w:t>
            </w:r>
          </w:p>
        </w:tc>
      </w:tr>
      <w:tr w:rsidR="00ED27A4" w:rsidRPr="00951AB1" w14:paraId="274F3AA9" w14:textId="77777777" w:rsidTr="00ED27A4">
        <w:trPr>
          <w:trHeight w:val="293"/>
        </w:trPr>
        <w:tc>
          <w:tcPr>
            <w:tcW w:w="763" w:type="pct"/>
            <w:vMerge/>
            <w:vAlign w:val="center"/>
            <w:hideMark/>
          </w:tcPr>
          <w:p w14:paraId="2A36D58B" w14:textId="73BE2759" w:rsidR="00ED27A4" w:rsidRPr="00951AB1" w:rsidRDefault="00ED27A4" w:rsidP="000A5389">
            <w:pPr>
              <w:spacing w:line="240" w:lineRule="auto"/>
              <w:rPr>
                <w:rFonts w:eastAsia="Times New Roman" w:cs="Times New Roman"/>
                <w:color w:val="000000"/>
                <w:kern w:val="0"/>
                <w:sz w:val="20"/>
                <w:szCs w:val="20"/>
                <w:lang w:eastAsia="es-CO"/>
                <w14:ligatures w14:val="none"/>
              </w:rPr>
            </w:pPr>
          </w:p>
        </w:tc>
        <w:tc>
          <w:tcPr>
            <w:tcW w:w="763" w:type="pct"/>
            <w:vAlign w:val="center"/>
            <w:hideMark/>
          </w:tcPr>
          <w:p w14:paraId="14AAFE7B" w14:textId="77777777" w:rsidR="00ED27A4" w:rsidRPr="00951AB1" w:rsidRDefault="00ED27A4" w:rsidP="000A5389">
            <w:pPr>
              <w:spacing w:line="240" w:lineRule="auto"/>
              <w:jc w:val="right"/>
              <w:rPr>
                <w:rFonts w:eastAsia="Times New Roman" w:cs="Times New Roman"/>
                <w:color w:val="000000"/>
                <w:kern w:val="0"/>
                <w:sz w:val="20"/>
                <w:szCs w:val="20"/>
                <w:lang w:eastAsia="es-CO"/>
                <w14:ligatures w14:val="none"/>
              </w:rPr>
            </w:pPr>
            <w:r w:rsidRPr="00951AB1">
              <w:rPr>
                <w:rFonts w:eastAsia="Times New Roman" w:cs="Times New Roman"/>
                <w:color w:val="000000"/>
                <w:kern w:val="0"/>
                <w:sz w:val="20"/>
                <w:szCs w:val="20"/>
                <w:lang w:eastAsia="es-CO"/>
                <w14:ligatures w14:val="none"/>
              </w:rPr>
              <w:t>900815014</w:t>
            </w:r>
          </w:p>
        </w:tc>
        <w:tc>
          <w:tcPr>
            <w:tcW w:w="2265" w:type="pct"/>
            <w:vAlign w:val="center"/>
            <w:hideMark/>
          </w:tcPr>
          <w:p w14:paraId="7EF16502" w14:textId="77777777" w:rsidR="00ED27A4" w:rsidRPr="00951AB1" w:rsidRDefault="00ED27A4" w:rsidP="000A5389">
            <w:pPr>
              <w:spacing w:line="240" w:lineRule="auto"/>
              <w:rPr>
                <w:rFonts w:eastAsia="Times New Roman" w:cs="Times New Roman"/>
                <w:color w:val="000000"/>
                <w:kern w:val="0"/>
                <w:sz w:val="20"/>
                <w:szCs w:val="20"/>
                <w:lang w:eastAsia="es-CO"/>
                <w14:ligatures w14:val="none"/>
              </w:rPr>
            </w:pPr>
            <w:r w:rsidRPr="00951AB1">
              <w:rPr>
                <w:rFonts w:eastAsia="Times New Roman" w:cs="Times New Roman"/>
                <w:color w:val="000000"/>
                <w:kern w:val="0"/>
                <w:sz w:val="20"/>
                <w:szCs w:val="20"/>
                <w:lang w:eastAsia="es-CO"/>
                <w14:ligatures w14:val="none"/>
              </w:rPr>
              <w:t>Coremar Shore Base Sa</w:t>
            </w:r>
          </w:p>
        </w:tc>
        <w:tc>
          <w:tcPr>
            <w:tcW w:w="1209" w:type="pct"/>
            <w:vAlign w:val="center"/>
            <w:hideMark/>
          </w:tcPr>
          <w:p w14:paraId="0DBD0400" w14:textId="77777777" w:rsidR="00ED27A4" w:rsidRPr="00951AB1" w:rsidRDefault="00ED27A4" w:rsidP="000A5389">
            <w:pPr>
              <w:spacing w:line="240" w:lineRule="auto"/>
              <w:jc w:val="right"/>
              <w:rPr>
                <w:rFonts w:eastAsia="Times New Roman" w:cs="Times New Roman"/>
                <w:color w:val="000000"/>
                <w:kern w:val="0"/>
                <w:sz w:val="20"/>
                <w:szCs w:val="20"/>
                <w:lang w:eastAsia="es-CO"/>
                <w14:ligatures w14:val="none"/>
              </w:rPr>
            </w:pPr>
            <w:r w:rsidRPr="00951AB1">
              <w:rPr>
                <w:rFonts w:eastAsia="Times New Roman" w:cs="Times New Roman"/>
                <w:color w:val="000000"/>
                <w:kern w:val="0"/>
                <w:sz w:val="20"/>
                <w:szCs w:val="20"/>
                <w:lang w:eastAsia="es-CO"/>
                <w14:ligatures w14:val="none"/>
              </w:rPr>
              <w:t xml:space="preserve">             249.865.935 </w:t>
            </w:r>
          </w:p>
        </w:tc>
      </w:tr>
      <w:tr w:rsidR="00ED27A4" w:rsidRPr="00951AB1" w14:paraId="17D00114" w14:textId="77777777" w:rsidTr="00ED27A4">
        <w:trPr>
          <w:trHeight w:val="293"/>
        </w:trPr>
        <w:tc>
          <w:tcPr>
            <w:tcW w:w="763" w:type="pct"/>
            <w:vMerge/>
            <w:vAlign w:val="center"/>
            <w:hideMark/>
          </w:tcPr>
          <w:p w14:paraId="258A23E3" w14:textId="5E61E1C5" w:rsidR="00ED27A4" w:rsidRPr="00951AB1" w:rsidRDefault="00ED27A4" w:rsidP="000A5389">
            <w:pPr>
              <w:spacing w:line="240" w:lineRule="auto"/>
              <w:rPr>
                <w:rFonts w:eastAsia="Times New Roman" w:cs="Times New Roman"/>
                <w:color w:val="000000"/>
                <w:kern w:val="0"/>
                <w:sz w:val="20"/>
                <w:szCs w:val="20"/>
                <w:lang w:eastAsia="es-CO"/>
                <w14:ligatures w14:val="none"/>
              </w:rPr>
            </w:pPr>
          </w:p>
        </w:tc>
        <w:tc>
          <w:tcPr>
            <w:tcW w:w="763" w:type="pct"/>
            <w:vAlign w:val="center"/>
            <w:hideMark/>
          </w:tcPr>
          <w:p w14:paraId="3F8F81AC" w14:textId="77777777" w:rsidR="00ED27A4" w:rsidRPr="00951AB1" w:rsidRDefault="00ED27A4" w:rsidP="000A5389">
            <w:pPr>
              <w:spacing w:line="240" w:lineRule="auto"/>
              <w:jc w:val="right"/>
              <w:rPr>
                <w:rFonts w:eastAsia="Times New Roman" w:cs="Times New Roman"/>
                <w:color w:val="000000"/>
                <w:kern w:val="0"/>
                <w:sz w:val="20"/>
                <w:szCs w:val="20"/>
                <w:lang w:eastAsia="es-CO"/>
                <w14:ligatures w14:val="none"/>
              </w:rPr>
            </w:pPr>
            <w:r w:rsidRPr="00951AB1">
              <w:rPr>
                <w:rFonts w:eastAsia="Times New Roman" w:cs="Times New Roman"/>
                <w:color w:val="000000"/>
                <w:kern w:val="0"/>
                <w:sz w:val="20"/>
                <w:szCs w:val="20"/>
                <w:lang w:eastAsia="es-CO"/>
                <w14:ligatures w14:val="none"/>
              </w:rPr>
              <w:t>900162335</w:t>
            </w:r>
          </w:p>
        </w:tc>
        <w:tc>
          <w:tcPr>
            <w:tcW w:w="2265" w:type="pct"/>
            <w:vAlign w:val="center"/>
            <w:hideMark/>
          </w:tcPr>
          <w:p w14:paraId="7F6E84E3" w14:textId="77777777" w:rsidR="00ED27A4" w:rsidRPr="00951AB1" w:rsidRDefault="00ED27A4" w:rsidP="000A5389">
            <w:pPr>
              <w:spacing w:line="240" w:lineRule="auto"/>
              <w:rPr>
                <w:rFonts w:eastAsia="Times New Roman" w:cs="Times New Roman"/>
                <w:color w:val="000000"/>
                <w:kern w:val="0"/>
                <w:sz w:val="20"/>
                <w:szCs w:val="20"/>
                <w:lang w:eastAsia="es-CO"/>
                <w14:ligatures w14:val="none"/>
              </w:rPr>
            </w:pPr>
            <w:r w:rsidRPr="00951AB1">
              <w:rPr>
                <w:rFonts w:eastAsia="Times New Roman" w:cs="Times New Roman"/>
                <w:color w:val="000000"/>
                <w:kern w:val="0"/>
                <w:sz w:val="20"/>
                <w:szCs w:val="20"/>
                <w:lang w:eastAsia="es-CO"/>
                <w14:ligatures w14:val="none"/>
              </w:rPr>
              <w:t>Sociedad Portuaria Dexton S.A.</w:t>
            </w:r>
          </w:p>
        </w:tc>
        <w:tc>
          <w:tcPr>
            <w:tcW w:w="1209" w:type="pct"/>
            <w:vAlign w:val="center"/>
            <w:hideMark/>
          </w:tcPr>
          <w:p w14:paraId="4DECFDC3" w14:textId="77777777" w:rsidR="00ED27A4" w:rsidRPr="00951AB1" w:rsidRDefault="00ED27A4" w:rsidP="000A5389">
            <w:pPr>
              <w:spacing w:line="240" w:lineRule="auto"/>
              <w:jc w:val="right"/>
              <w:rPr>
                <w:rFonts w:eastAsia="Times New Roman" w:cs="Times New Roman"/>
                <w:color w:val="000000"/>
                <w:kern w:val="0"/>
                <w:sz w:val="20"/>
                <w:szCs w:val="20"/>
                <w:lang w:eastAsia="es-CO"/>
                <w14:ligatures w14:val="none"/>
              </w:rPr>
            </w:pPr>
            <w:r w:rsidRPr="00951AB1">
              <w:rPr>
                <w:rFonts w:eastAsia="Times New Roman" w:cs="Times New Roman"/>
                <w:color w:val="000000"/>
                <w:kern w:val="0"/>
                <w:sz w:val="20"/>
                <w:szCs w:val="20"/>
                <w:lang w:eastAsia="es-CO"/>
                <w14:ligatures w14:val="none"/>
              </w:rPr>
              <w:t xml:space="preserve">             234.576.105 </w:t>
            </w:r>
          </w:p>
        </w:tc>
      </w:tr>
      <w:tr w:rsidR="00ED27A4" w:rsidRPr="00951AB1" w14:paraId="40C28E5B" w14:textId="77777777" w:rsidTr="00ED27A4">
        <w:trPr>
          <w:trHeight w:val="293"/>
        </w:trPr>
        <w:tc>
          <w:tcPr>
            <w:tcW w:w="763" w:type="pct"/>
            <w:vMerge/>
            <w:vAlign w:val="center"/>
            <w:hideMark/>
          </w:tcPr>
          <w:p w14:paraId="21C60A93" w14:textId="66948449" w:rsidR="00ED27A4" w:rsidRPr="00951AB1" w:rsidRDefault="00ED27A4" w:rsidP="000A5389">
            <w:pPr>
              <w:spacing w:line="240" w:lineRule="auto"/>
              <w:rPr>
                <w:rFonts w:eastAsia="Times New Roman" w:cs="Times New Roman"/>
                <w:color w:val="000000"/>
                <w:kern w:val="0"/>
                <w:sz w:val="20"/>
                <w:szCs w:val="20"/>
                <w:lang w:eastAsia="es-CO"/>
                <w14:ligatures w14:val="none"/>
              </w:rPr>
            </w:pPr>
          </w:p>
        </w:tc>
        <w:tc>
          <w:tcPr>
            <w:tcW w:w="763" w:type="pct"/>
            <w:vAlign w:val="center"/>
            <w:hideMark/>
          </w:tcPr>
          <w:p w14:paraId="4590669E" w14:textId="77777777" w:rsidR="00ED27A4" w:rsidRPr="00951AB1" w:rsidRDefault="00ED27A4" w:rsidP="000A5389">
            <w:pPr>
              <w:spacing w:line="240" w:lineRule="auto"/>
              <w:jc w:val="right"/>
              <w:rPr>
                <w:rFonts w:eastAsia="Times New Roman" w:cs="Times New Roman"/>
                <w:color w:val="000000"/>
                <w:kern w:val="0"/>
                <w:sz w:val="20"/>
                <w:szCs w:val="20"/>
                <w:lang w:eastAsia="es-CO"/>
                <w14:ligatures w14:val="none"/>
              </w:rPr>
            </w:pPr>
            <w:r w:rsidRPr="00951AB1">
              <w:rPr>
                <w:rFonts w:eastAsia="Times New Roman" w:cs="Times New Roman"/>
                <w:color w:val="000000"/>
                <w:kern w:val="0"/>
                <w:sz w:val="20"/>
                <w:szCs w:val="20"/>
                <w:lang w:eastAsia="es-CO"/>
                <w14:ligatures w14:val="none"/>
              </w:rPr>
              <w:t>806008240</w:t>
            </w:r>
          </w:p>
        </w:tc>
        <w:tc>
          <w:tcPr>
            <w:tcW w:w="2265" w:type="pct"/>
            <w:vAlign w:val="center"/>
            <w:hideMark/>
          </w:tcPr>
          <w:p w14:paraId="4FBDA499" w14:textId="77777777" w:rsidR="00ED27A4" w:rsidRPr="00951AB1" w:rsidRDefault="00ED27A4" w:rsidP="000A5389">
            <w:pPr>
              <w:spacing w:line="240" w:lineRule="auto"/>
              <w:rPr>
                <w:rFonts w:eastAsia="Times New Roman" w:cs="Times New Roman"/>
                <w:color w:val="000000"/>
                <w:kern w:val="0"/>
                <w:sz w:val="20"/>
                <w:szCs w:val="20"/>
                <w:lang w:eastAsia="es-CO"/>
                <w14:ligatures w14:val="none"/>
              </w:rPr>
            </w:pPr>
            <w:r w:rsidRPr="00951AB1">
              <w:rPr>
                <w:rFonts w:eastAsia="Times New Roman" w:cs="Times New Roman"/>
                <w:color w:val="000000"/>
                <w:kern w:val="0"/>
                <w:sz w:val="20"/>
                <w:szCs w:val="20"/>
                <w:lang w:eastAsia="es-CO"/>
                <w14:ligatures w14:val="none"/>
              </w:rPr>
              <w:t>Atunamar LTDA</w:t>
            </w:r>
          </w:p>
        </w:tc>
        <w:tc>
          <w:tcPr>
            <w:tcW w:w="1209" w:type="pct"/>
            <w:vAlign w:val="center"/>
            <w:hideMark/>
          </w:tcPr>
          <w:p w14:paraId="39605C52" w14:textId="77777777" w:rsidR="00ED27A4" w:rsidRPr="00951AB1" w:rsidRDefault="00ED27A4" w:rsidP="000A5389">
            <w:pPr>
              <w:spacing w:line="240" w:lineRule="auto"/>
              <w:jc w:val="right"/>
              <w:rPr>
                <w:rFonts w:eastAsia="Times New Roman" w:cs="Times New Roman"/>
                <w:color w:val="000000"/>
                <w:kern w:val="0"/>
                <w:sz w:val="20"/>
                <w:szCs w:val="20"/>
                <w:lang w:eastAsia="es-CO"/>
                <w14:ligatures w14:val="none"/>
              </w:rPr>
            </w:pPr>
            <w:r w:rsidRPr="00951AB1">
              <w:rPr>
                <w:rFonts w:eastAsia="Times New Roman" w:cs="Times New Roman"/>
                <w:color w:val="000000"/>
                <w:kern w:val="0"/>
                <w:sz w:val="20"/>
                <w:szCs w:val="20"/>
                <w:lang w:eastAsia="es-CO"/>
                <w14:ligatures w14:val="none"/>
              </w:rPr>
              <w:t xml:space="preserve">             166.054.515 </w:t>
            </w:r>
          </w:p>
        </w:tc>
      </w:tr>
      <w:tr w:rsidR="00ED27A4" w:rsidRPr="00951AB1" w14:paraId="680B2FF1" w14:textId="77777777" w:rsidTr="00ED27A4">
        <w:trPr>
          <w:trHeight w:val="293"/>
        </w:trPr>
        <w:tc>
          <w:tcPr>
            <w:tcW w:w="763" w:type="pct"/>
            <w:vMerge/>
            <w:vAlign w:val="center"/>
            <w:hideMark/>
          </w:tcPr>
          <w:p w14:paraId="02DC075D" w14:textId="5D2F57DA" w:rsidR="00ED27A4" w:rsidRPr="00951AB1" w:rsidRDefault="00ED27A4" w:rsidP="000A5389">
            <w:pPr>
              <w:spacing w:line="240" w:lineRule="auto"/>
              <w:rPr>
                <w:rFonts w:eastAsia="Times New Roman" w:cs="Times New Roman"/>
                <w:color w:val="000000"/>
                <w:kern w:val="0"/>
                <w:sz w:val="20"/>
                <w:szCs w:val="20"/>
                <w:lang w:eastAsia="es-CO"/>
                <w14:ligatures w14:val="none"/>
              </w:rPr>
            </w:pPr>
          </w:p>
        </w:tc>
        <w:tc>
          <w:tcPr>
            <w:tcW w:w="763" w:type="pct"/>
            <w:vAlign w:val="center"/>
            <w:hideMark/>
          </w:tcPr>
          <w:p w14:paraId="4E132724" w14:textId="77777777" w:rsidR="00ED27A4" w:rsidRPr="00951AB1" w:rsidRDefault="00ED27A4" w:rsidP="000A5389">
            <w:pPr>
              <w:spacing w:line="240" w:lineRule="auto"/>
              <w:jc w:val="right"/>
              <w:rPr>
                <w:rFonts w:eastAsia="Times New Roman" w:cs="Times New Roman"/>
                <w:color w:val="000000"/>
                <w:kern w:val="0"/>
                <w:sz w:val="20"/>
                <w:szCs w:val="20"/>
                <w:lang w:eastAsia="es-CO"/>
                <w14:ligatures w14:val="none"/>
              </w:rPr>
            </w:pPr>
            <w:r w:rsidRPr="00951AB1">
              <w:rPr>
                <w:rFonts w:eastAsia="Times New Roman" w:cs="Times New Roman"/>
                <w:color w:val="000000"/>
                <w:kern w:val="0"/>
                <w:sz w:val="20"/>
                <w:szCs w:val="20"/>
                <w:lang w:eastAsia="es-CO"/>
                <w14:ligatures w14:val="none"/>
              </w:rPr>
              <w:t>806016841</w:t>
            </w:r>
          </w:p>
        </w:tc>
        <w:tc>
          <w:tcPr>
            <w:tcW w:w="2265" w:type="pct"/>
            <w:vAlign w:val="center"/>
            <w:hideMark/>
          </w:tcPr>
          <w:p w14:paraId="4FD17E4D" w14:textId="77777777" w:rsidR="00ED27A4" w:rsidRPr="00951AB1" w:rsidRDefault="00ED27A4" w:rsidP="000A5389">
            <w:pPr>
              <w:spacing w:line="240" w:lineRule="auto"/>
              <w:rPr>
                <w:rFonts w:eastAsia="Times New Roman" w:cs="Times New Roman"/>
                <w:color w:val="000000"/>
                <w:kern w:val="0"/>
                <w:sz w:val="20"/>
                <w:szCs w:val="20"/>
                <w:lang w:eastAsia="es-CO"/>
                <w14:ligatures w14:val="none"/>
              </w:rPr>
            </w:pPr>
            <w:r w:rsidRPr="00951AB1">
              <w:rPr>
                <w:rFonts w:eastAsia="Times New Roman" w:cs="Times New Roman"/>
                <w:color w:val="000000"/>
                <w:kern w:val="0"/>
                <w:sz w:val="20"/>
                <w:szCs w:val="20"/>
                <w:lang w:eastAsia="es-CO"/>
                <w14:ligatures w14:val="none"/>
              </w:rPr>
              <w:t>Sociedad Portuaria Transmarsyp S.A.</w:t>
            </w:r>
          </w:p>
        </w:tc>
        <w:tc>
          <w:tcPr>
            <w:tcW w:w="1209" w:type="pct"/>
            <w:vAlign w:val="center"/>
            <w:hideMark/>
          </w:tcPr>
          <w:p w14:paraId="32E721DF" w14:textId="77777777" w:rsidR="00ED27A4" w:rsidRPr="00951AB1" w:rsidRDefault="00ED27A4" w:rsidP="000A5389">
            <w:pPr>
              <w:spacing w:line="240" w:lineRule="auto"/>
              <w:jc w:val="right"/>
              <w:rPr>
                <w:rFonts w:eastAsia="Times New Roman" w:cs="Times New Roman"/>
                <w:color w:val="000000"/>
                <w:kern w:val="0"/>
                <w:sz w:val="20"/>
                <w:szCs w:val="20"/>
                <w:lang w:eastAsia="es-CO"/>
                <w14:ligatures w14:val="none"/>
              </w:rPr>
            </w:pPr>
            <w:r w:rsidRPr="00951AB1">
              <w:rPr>
                <w:rFonts w:eastAsia="Times New Roman" w:cs="Times New Roman"/>
                <w:color w:val="000000"/>
                <w:kern w:val="0"/>
                <w:sz w:val="20"/>
                <w:szCs w:val="20"/>
                <w:lang w:eastAsia="es-CO"/>
                <w14:ligatures w14:val="none"/>
              </w:rPr>
              <w:t xml:space="preserve">             115.886.689 </w:t>
            </w:r>
          </w:p>
        </w:tc>
      </w:tr>
      <w:tr w:rsidR="00ED27A4" w:rsidRPr="00951AB1" w14:paraId="78D78D2F" w14:textId="77777777" w:rsidTr="00ED27A4">
        <w:trPr>
          <w:trHeight w:val="293"/>
        </w:trPr>
        <w:tc>
          <w:tcPr>
            <w:tcW w:w="763" w:type="pct"/>
            <w:vMerge/>
            <w:vAlign w:val="center"/>
            <w:hideMark/>
          </w:tcPr>
          <w:p w14:paraId="103B18C7" w14:textId="1A8F88B4" w:rsidR="00ED27A4" w:rsidRPr="00951AB1" w:rsidRDefault="00ED27A4" w:rsidP="000A5389">
            <w:pPr>
              <w:spacing w:line="240" w:lineRule="auto"/>
              <w:rPr>
                <w:rFonts w:eastAsia="Times New Roman" w:cs="Times New Roman"/>
                <w:color w:val="000000"/>
                <w:kern w:val="0"/>
                <w:sz w:val="20"/>
                <w:szCs w:val="20"/>
                <w:lang w:eastAsia="es-CO"/>
                <w14:ligatures w14:val="none"/>
              </w:rPr>
            </w:pPr>
          </w:p>
        </w:tc>
        <w:tc>
          <w:tcPr>
            <w:tcW w:w="763" w:type="pct"/>
            <w:vAlign w:val="center"/>
            <w:hideMark/>
          </w:tcPr>
          <w:p w14:paraId="4632572B" w14:textId="77777777" w:rsidR="00ED27A4" w:rsidRPr="00951AB1" w:rsidRDefault="00ED27A4" w:rsidP="000A5389">
            <w:pPr>
              <w:spacing w:line="240" w:lineRule="auto"/>
              <w:jc w:val="right"/>
              <w:rPr>
                <w:rFonts w:eastAsia="Times New Roman" w:cs="Times New Roman"/>
                <w:color w:val="000000"/>
                <w:kern w:val="0"/>
                <w:sz w:val="20"/>
                <w:szCs w:val="20"/>
                <w:lang w:eastAsia="es-CO"/>
                <w14:ligatures w14:val="none"/>
              </w:rPr>
            </w:pPr>
            <w:r w:rsidRPr="00951AB1">
              <w:rPr>
                <w:rFonts w:eastAsia="Times New Roman" w:cs="Times New Roman"/>
                <w:color w:val="000000"/>
                <w:kern w:val="0"/>
                <w:sz w:val="20"/>
                <w:szCs w:val="20"/>
                <w:lang w:eastAsia="es-CO"/>
                <w14:ligatures w14:val="none"/>
              </w:rPr>
              <w:t>901077888</w:t>
            </w:r>
          </w:p>
        </w:tc>
        <w:tc>
          <w:tcPr>
            <w:tcW w:w="2265" w:type="pct"/>
            <w:vAlign w:val="center"/>
            <w:hideMark/>
          </w:tcPr>
          <w:p w14:paraId="1446F466" w14:textId="77777777" w:rsidR="00ED27A4" w:rsidRPr="00951AB1" w:rsidRDefault="00ED27A4" w:rsidP="000A5389">
            <w:pPr>
              <w:spacing w:line="240" w:lineRule="auto"/>
              <w:rPr>
                <w:rFonts w:eastAsia="Times New Roman" w:cs="Times New Roman"/>
                <w:color w:val="000000"/>
                <w:kern w:val="0"/>
                <w:sz w:val="20"/>
                <w:szCs w:val="20"/>
                <w:lang w:eastAsia="es-CO"/>
                <w14:ligatures w14:val="none"/>
              </w:rPr>
            </w:pPr>
            <w:r w:rsidRPr="00951AB1">
              <w:rPr>
                <w:rFonts w:eastAsia="Times New Roman" w:cs="Times New Roman"/>
                <w:color w:val="000000"/>
                <w:kern w:val="0"/>
                <w:sz w:val="20"/>
                <w:szCs w:val="20"/>
                <w:lang w:eastAsia="es-CO"/>
                <w14:ligatures w14:val="none"/>
              </w:rPr>
              <w:t>Sociedad Portuaria Bita Rm S.A.</w:t>
            </w:r>
          </w:p>
        </w:tc>
        <w:tc>
          <w:tcPr>
            <w:tcW w:w="1209" w:type="pct"/>
            <w:vAlign w:val="center"/>
            <w:hideMark/>
          </w:tcPr>
          <w:p w14:paraId="011AB67D" w14:textId="77777777" w:rsidR="00ED27A4" w:rsidRPr="00951AB1" w:rsidRDefault="00ED27A4" w:rsidP="000A5389">
            <w:pPr>
              <w:spacing w:line="240" w:lineRule="auto"/>
              <w:jc w:val="right"/>
              <w:rPr>
                <w:rFonts w:eastAsia="Times New Roman" w:cs="Times New Roman"/>
                <w:color w:val="000000"/>
                <w:kern w:val="0"/>
                <w:sz w:val="20"/>
                <w:szCs w:val="20"/>
                <w:lang w:eastAsia="es-CO"/>
                <w14:ligatures w14:val="none"/>
              </w:rPr>
            </w:pPr>
            <w:r w:rsidRPr="00951AB1">
              <w:rPr>
                <w:rFonts w:eastAsia="Times New Roman" w:cs="Times New Roman"/>
                <w:color w:val="000000"/>
                <w:kern w:val="0"/>
                <w:sz w:val="20"/>
                <w:szCs w:val="20"/>
                <w:lang w:eastAsia="es-CO"/>
                <w14:ligatures w14:val="none"/>
              </w:rPr>
              <w:t xml:space="preserve">               56.964.541 </w:t>
            </w:r>
          </w:p>
        </w:tc>
      </w:tr>
      <w:tr w:rsidR="00ED27A4" w:rsidRPr="00951AB1" w14:paraId="0D53492E" w14:textId="77777777" w:rsidTr="00ED27A4">
        <w:trPr>
          <w:trHeight w:val="293"/>
        </w:trPr>
        <w:tc>
          <w:tcPr>
            <w:tcW w:w="763" w:type="pct"/>
            <w:vMerge/>
            <w:vAlign w:val="center"/>
            <w:hideMark/>
          </w:tcPr>
          <w:p w14:paraId="005031A0" w14:textId="180058DF" w:rsidR="00ED27A4" w:rsidRPr="00951AB1" w:rsidRDefault="00ED27A4" w:rsidP="000A5389">
            <w:pPr>
              <w:spacing w:line="240" w:lineRule="auto"/>
              <w:rPr>
                <w:rFonts w:eastAsia="Times New Roman" w:cs="Times New Roman"/>
                <w:color w:val="000000"/>
                <w:kern w:val="0"/>
                <w:sz w:val="20"/>
                <w:szCs w:val="20"/>
                <w:lang w:eastAsia="es-CO"/>
                <w14:ligatures w14:val="none"/>
              </w:rPr>
            </w:pPr>
          </w:p>
        </w:tc>
        <w:tc>
          <w:tcPr>
            <w:tcW w:w="763" w:type="pct"/>
            <w:vAlign w:val="center"/>
            <w:hideMark/>
          </w:tcPr>
          <w:p w14:paraId="1F8C7535" w14:textId="77777777" w:rsidR="00ED27A4" w:rsidRPr="00951AB1" w:rsidRDefault="00ED27A4" w:rsidP="000A5389">
            <w:pPr>
              <w:spacing w:line="240" w:lineRule="auto"/>
              <w:jc w:val="right"/>
              <w:rPr>
                <w:rFonts w:eastAsia="Times New Roman" w:cs="Times New Roman"/>
                <w:color w:val="000000"/>
                <w:kern w:val="0"/>
                <w:sz w:val="20"/>
                <w:szCs w:val="20"/>
                <w:lang w:eastAsia="es-CO"/>
                <w14:ligatures w14:val="none"/>
              </w:rPr>
            </w:pPr>
            <w:r w:rsidRPr="00951AB1">
              <w:rPr>
                <w:rFonts w:eastAsia="Times New Roman" w:cs="Times New Roman"/>
                <w:color w:val="000000"/>
                <w:kern w:val="0"/>
                <w:sz w:val="20"/>
                <w:szCs w:val="20"/>
                <w:lang w:eastAsia="es-CO"/>
                <w14:ligatures w14:val="none"/>
              </w:rPr>
              <w:t>900135202</w:t>
            </w:r>
          </w:p>
        </w:tc>
        <w:tc>
          <w:tcPr>
            <w:tcW w:w="2265" w:type="pct"/>
            <w:vAlign w:val="center"/>
            <w:hideMark/>
          </w:tcPr>
          <w:p w14:paraId="6A7940EE" w14:textId="77777777" w:rsidR="00ED27A4" w:rsidRPr="00951AB1" w:rsidRDefault="00ED27A4" w:rsidP="000A5389">
            <w:pPr>
              <w:spacing w:line="240" w:lineRule="auto"/>
              <w:rPr>
                <w:rFonts w:eastAsia="Times New Roman" w:cs="Times New Roman"/>
                <w:color w:val="000000"/>
                <w:kern w:val="0"/>
                <w:sz w:val="20"/>
                <w:szCs w:val="20"/>
                <w:lang w:eastAsia="es-CO"/>
                <w14:ligatures w14:val="none"/>
              </w:rPr>
            </w:pPr>
            <w:r w:rsidRPr="00951AB1">
              <w:rPr>
                <w:rFonts w:eastAsia="Times New Roman" w:cs="Times New Roman"/>
                <w:color w:val="000000"/>
                <w:kern w:val="0"/>
                <w:sz w:val="20"/>
                <w:szCs w:val="20"/>
                <w:lang w:eastAsia="es-CO"/>
                <w14:ligatures w14:val="none"/>
              </w:rPr>
              <w:t>Petróleos y Derivados de Colombia S.A.</w:t>
            </w:r>
          </w:p>
        </w:tc>
        <w:tc>
          <w:tcPr>
            <w:tcW w:w="1209" w:type="pct"/>
            <w:vAlign w:val="center"/>
            <w:hideMark/>
          </w:tcPr>
          <w:p w14:paraId="48BCC80C" w14:textId="77777777" w:rsidR="00ED27A4" w:rsidRPr="00951AB1" w:rsidRDefault="00ED27A4" w:rsidP="000A5389">
            <w:pPr>
              <w:spacing w:line="240" w:lineRule="auto"/>
              <w:jc w:val="right"/>
              <w:rPr>
                <w:rFonts w:eastAsia="Times New Roman" w:cs="Times New Roman"/>
                <w:color w:val="000000"/>
                <w:kern w:val="0"/>
                <w:sz w:val="20"/>
                <w:szCs w:val="20"/>
                <w:lang w:eastAsia="es-CO"/>
                <w14:ligatures w14:val="none"/>
              </w:rPr>
            </w:pPr>
            <w:r w:rsidRPr="00951AB1">
              <w:rPr>
                <w:rFonts w:eastAsia="Times New Roman" w:cs="Times New Roman"/>
                <w:color w:val="000000"/>
                <w:kern w:val="0"/>
                <w:sz w:val="20"/>
                <w:szCs w:val="20"/>
                <w:lang w:eastAsia="es-CO"/>
                <w14:ligatures w14:val="none"/>
              </w:rPr>
              <w:t xml:space="preserve">               40.004.875 </w:t>
            </w:r>
          </w:p>
        </w:tc>
      </w:tr>
      <w:tr w:rsidR="00ED27A4" w:rsidRPr="00951AB1" w14:paraId="07CF4B7E" w14:textId="77777777" w:rsidTr="00ED27A4">
        <w:trPr>
          <w:trHeight w:val="293"/>
        </w:trPr>
        <w:tc>
          <w:tcPr>
            <w:tcW w:w="763" w:type="pct"/>
            <w:vMerge/>
            <w:vAlign w:val="center"/>
            <w:hideMark/>
          </w:tcPr>
          <w:p w14:paraId="4F2B34DD" w14:textId="0F38C750" w:rsidR="00ED27A4" w:rsidRPr="00951AB1" w:rsidRDefault="00ED27A4" w:rsidP="000A5389">
            <w:pPr>
              <w:spacing w:line="240" w:lineRule="auto"/>
              <w:rPr>
                <w:rFonts w:eastAsia="Times New Roman" w:cs="Times New Roman"/>
                <w:color w:val="000000"/>
                <w:kern w:val="0"/>
                <w:sz w:val="20"/>
                <w:szCs w:val="20"/>
                <w:lang w:eastAsia="es-CO"/>
                <w14:ligatures w14:val="none"/>
              </w:rPr>
            </w:pPr>
          </w:p>
        </w:tc>
        <w:tc>
          <w:tcPr>
            <w:tcW w:w="763" w:type="pct"/>
            <w:vAlign w:val="center"/>
            <w:hideMark/>
          </w:tcPr>
          <w:p w14:paraId="4797E33E" w14:textId="77777777" w:rsidR="00ED27A4" w:rsidRPr="00951AB1" w:rsidRDefault="00ED27A4" w:rsidP="000A5389">
            <w:pPr>
              <w:spacing w:line="240" w:lineRule="auto"/>
              <w:jc w:val="right"/>
              <w:rPr>
                <w:rFonts w:eastAsia="Times New Roman" w:cs="Times New Roman"/>
                <w:color w:val="000000"/>
                <w:kern w:val="0"/>
                <w:sz w:val="20"/>
                <w:szCs w:val="20"/>
                <w:lang w:eastAsia="es-CO"/>
                <w14:ligatures w14:val="none"/>
              </w:rPr>
            </w:pPr>
            <w:r w:rsidRPr="00951AB1">
              <w:rPr>
                <w:rFonts w:eastAsia="Times New Roman" w:cs="Times New Roman"/>
                <w:color w:val="000000"/>
                <w:kern w:val="0"/>
                <w:sz w:val="20"/>
                <w:szCs w:val="20"/>
                <w:lang w:eastAsia="es-CO"/>
                <w14:ligatures w14:val="none"/>
              </w:rPr>
              <w:t>839000348</w:t>
            </w:r>
          </w:p>
        </w:tc>
        <w:tc>
          <w:tcPr>
            <w:tcW w:w="2265" w:type="pct"/>
            <w:vAlign w:val="center"/>
            <w:hideMark/>
          </w:tcPr>
          <w:p w14:paraId="28F59D03" w14:textId="77777777" w:rsidR="00ED27A4" w:rsidRPr="00951AB1" w:rsidRDefault="00ED27A4" w:rsidP="000A5389">
            <w:pPr>
              <w:spacing w:line="240" w:lineRule="auto"/>
              <w:rPr>
                <w:rFonts w:eastAsia="Times New Roman" w:cs="Times New Roman"/>
                <w:color w:val="000000"/>
                <w:kern w:val="0"/>
                <w:sz w:val="20"/>
                <w:szCs w:val="20"/>
                <w:lang w:eastAsia="es-CO"/>
                <w14:ligatures w14:val="none"/>
              </w:rPr>
            </w:pPr>
            <w:r w:rsidRPr="00951AB1">
              <w:rPr>
                <w:rFonts w:eastAsia="Times New Roman" w:cs="Times New Roman"/>
                <w:color w:val="000000"/>
                <w:kern w:val="0"/>
                <w:sz w:val="20"/>
                <w:szCs w:val="20"/>
                <w:lang w:eastAsia="es-CO"/>
                <w14:ligatures w14:val="none"/>
              </w:rPr>
              <w:t>Sociedad Portuaria De La Península</w:t>
            </w:r>
          </w:p>
        </w:tc>
        <w:tc>
          <w:tcPr>
            <w:tcW w:w="1209" w:type="pct"/>
            <w:vAlign w:val="center"/>
            <w:hideMark/>
          </w:tcPr>
          <w:p w14:paraId="71954D9C" w14:textId="77777777" w:rsidR="00ED27A4" w:rsidRPr="00951AB1" w:rsidRDefault="00ED27A4" w:rsidP="000A5389">
            <w:pPr>
              <w:spacing w:line="240" w:lineRule="auto"/>
              <w:jc w:val="right"/>
              <w:rPr>
                <w:rFonts w:eastAsia="Times New Roman" w:cs="Times New Roman"/>
                <w:color w:val="000000"/>
                <w:kern w:val="0"/>
                <w:sz w:val="20"/>
                <w:szCs w:val="20"/>
                <w:lang w:eastAsia="es-CO"/>
                <w14:ligatures w14:val="none"/>
              </w:rPr>
            </w:pPr>
            <w:r w:rsidRPr="00951AB1">
              <w:rPr>
                <w:rFonts w:eastAsia="Times New Roman" w:cs="Times New Roman"/>
                <w:color w:val="000000"/>
                <w:kern w:val="0"/>
                <w:sz w:val="20"/>
                <w:szCs w:val="20"/>
                <w:lang w:eastAsia="es-CO"/>
                <w14:ligatures w14:val="none"/>
              </w:rPr>
              <w:t xml:space="preserve">               38.039.095 </w:t>
            </w:r>
          </w:p>
        </w:tc>
      </w:tr>
      <w:tr w:rsidR="00ED27A4" w:rsidRPr="00951AB1" w14:paraId="0E8152B7" w14:textId="77777777" w:rsidTr="00ED27A4">
        <w:trPr>
          <w:trHeight w:val="533"/>
        </w:trPr>
        <w:tc>
          <w:tcPr>
            <w:tcW w:w="763" w:type="pct"/>
            <w:vMerge/>
            <w:vAlign w:val="center"/>
            <w:hideMark/>
          </w:tcPr>
          <w:p w14:paraId="368FD0F4" w14:textId="62029B7E" w:rsidR="00ED27A4" w:rsidRPr="00951AB1" w:rsidRDefault="00ED27A4" w:rsidP="000A5389">
            <w:pPr>
              <w:spacing w:line="240" w:lineRule="auto"/>
              <w:rPr>
                <w:rFonts w:eastAsia="Times New Roman" w:cs="Times New Roman"/>
                <w:color w:val="000000"/>
                <w:kern w:val="0"/>
                <w:sz w:val="20"/>
                <w:szCs w:val="20"/>
                <w:lang w:eastAsia="es-CO"/>
                <w14:ligatures w14:val="none"/>
              </w:rPr>
            </w:pPr>
          </w:p>
        </w:tc>
        <w:tc>
          <w:tcPr>
            <w:tcW w:w="763" w:type="pct"/>
            <w:vAlign w:val="center"/>
            <w:hideMark/>
          </w:tcPr>
          <w:p w14:paraId="464FF29D" w14:textId="77777777" w:rsidR="00ED27A4" w:rsidRPr="00951AB1" w:rsidRDefault="00ED27A4" w:rsidP="000A5389">
            <w:pPr>
              <w:spacing w:line="240" w:lineRule="auto"/>
              <w:jc w:val="right"/>
              <w:rPr>
                <w:rFonts w:eastAsia="Times New Roman" w:cs="Times New Roman"/>
                <w:color w:val="000000"/>
                <w:kern w:val="0"/>
                <w:sz w:val="20"/>
                <w:szCs w:val="20"/>
                <w:lang w:eastAsia="es-CO"/>
                <w14:ligatures w14:val="none"/>
              </w:rPr>
            </w:pPr>
            <w:r w:rsidRPr="00951AB1">
              <w:rPr>
                <w:rFonts w:eastAsia="Times New Roman" w:cs="Times New Roman"/>
                <w:color w:val="000000"/>
                <w:kern w:val="0"/>
                <w:sz w:val="20"/>
                <w:szCs w:val="20"/>
                <w:lang w:eastAsia="es-CO"/>
                <w14:ligatures w14:val="none"/>
              </w:rPr>
              <w:t>901045599</w:t>
            </w:r>
          </w:p>
        </w:tc>
        <w:tc>
          <w:tcPr>
            <w:tcW w:w="2265" w:type="pct"/>
            <w:vAlign w:val="center"/>
            <w:hideMark/>
          </w:tcPr>
          <w:p w14:paraId="041B3FF0" w14:textId="77777777" w:rsidR="00ED27A4" w:rsidRPr="00951AB1" w:rsidRDefault="00ED27A4" w:rsidP="000A5389">
            <w:pPr>
              <w:spacing w:line="240" w:lineRule="auto"/>
              <w:rPr>
                <w:rFonts w:eastAsia="Times New Roman" w:cs="Times New Roman"/>
                <w:color w:val="000000"/>
                <w:kern w:val="0"/>
                <w:sz w:val="20"/>
                <w:szCs w:val="20"/>
                <w:lang w:eastAsia="es-CO"/>
                <w14:ligatures w14:val="none"/>
              </w:rPr>
            </w:pPr>
            <w:r w:rsidRPr="00951AB1">
              <w:rPr>
                <w:rFonts w:eastAsia="Times New Roman" w:cs="Times New Roman"/>
                <w:color w:val="000000"/>
                <w:kern w:val="0"/>
                <w:sz w:val="20"/>
                <w:szCs w:val="20"/>
                <w:lang w:eastAsia="es-CO"/>
                <w14:ligatures w14:val="none"/>
              </w:rPr>
              <w:t>Puertos del Caribe Sociedad Portuaria S A</w:t>
            </w:r>
          </w:p>
        </w:tc>
        <w:tc>
          <w:tcPr>
            <w:tcW w:w="1209" w:type="pct"/>
            <w:vAlign w:val="center"/>
            <w:hideMark/>
          </w:tcPr>
          <w:p w14:paraId="247097EE" w14:textId="77777777" w:rsidR="00ED27A4" w:rsidRPr="00951AB1" w:rsidRDefault="00ED27A4" w:rsidP="000A5389">
            <w:pPr>
              <w:spacing w:line="240" w:lineRule="auto"/>
              <w:jc w:val="right"/>
              <w:rPr>
                <w:rFonts w:eastAsia="Times New Roman" w:cs="Times New Roman"/>
                <w:color w:val="000000"/>
                <w:kern w:val="0"/>
                <w:sz w:val="20"/>
                <w:szCs w:val="20"/>
                <w:lang w:eastAsia="es-CO"/>
                <w14:ligatures w14:val="none"/>
              </w:rPr>
            </w:pPr>
            <w:r w:rsidRPr="00951AB1">
              <w:rPr>
                <w:rFonts w:eastAsia="Times New Roman" w:cs="Times New Roman"/>
                <w:color w:val="000000"/>
                <w:kern w:val="0"/>
                <w:sz w:val="20"/>
                <w:szCs w:val="20"/>
                <w:lang w:eastAsia="es-CO"/>
                <w14:ligatures w14:val="none"/>
              </w:rPr>
              <w:t xml:space="preserve">               23.760.582 </w:t>
            </w:r>
          </w:p>
        </w:tc>
      </w:tr>
      <w:tr w:rsidR="00ED27A4" w:rsidRPr="00951AB1" w14:paraId="1D57D303" w14:textId="77777777" w:rsidTr="00ED27A4">
        <w:trPr>
          <w:trHeight w:val="293"/>
        </w:trPr>
        <w:tc>
          <w:tcPr>
            <w:tcW w:w="763" w:type="pct"/>
            <w:vMerge/>
            <w:vAlign w:val="center"/>
            <w:hideMark/>
          </w:tcPr>
          <w:p w14:paraId="124EF460" w14:textId="77D23758" w:rsidR="00ED27A4" w:rsidRPr="00951AB1" w:rsidRDefault="00ED27A4" w:rsidP="000A5389">
            <w:pPr>
              <w:spacing w:line="240" w:lineRule="auto"/>
              <w:rPr>
                <w:rFonts w:eastAsia="Times New Roman" w:cs="Times New Roman"/>
                <w:color w:val="000000"/>
                <w:kern w:val="0"/>
                <w:sz w:val="20"/>
                <w:szCs w:val="20"/>
                <w:lang w:eastAsia="es-CO"/>
                <w14:ligatures w14:val="none"/>
              </w:rPr>
            </w:pPr>
          </w:p>
        </w:tc>
        <w:tc>
          <w:tcPr>
            <w:tcW w:w="763" w:type="pct"/>
            <w:vAlign w:val="center"/>
            <w:hideMark/>
          </w:tcPr>
          <w:p w14:paraId="7A01BBB2" w14:textId="77777777" w:rsidR="00ED27A4" w:rsidRPr="00951AB1" w:rsidRDefault="00ED27A4" w:rsidP="000A5389">
            <w:pPr>
              <w:spacing w:line="240" w:lineRule="auto"/>
              <w:jc w:val="right"/>
              <w:rPr>
                <w:rFonts w:eastAsia="Times New Roman" w:cs="Times New Roman"/>
                <w:color w:val="000000"/>
                <w:kern w:val="0"/>
                <w:sz w:val="20"/>
                <w:szCs w:val="20"/>
                <w:lang w:eastAsia="es-CO"/>
                <w14:ligatures w14:val="none"/>
              </w:rPr>
            </w:pPr>
            <w:r w:rsidRPr="00951AB1">
              <w:rPr>
                <w:rFonts w:eastAsia="Times New Roman" w:cs="Times New Roman"/>
                <w:color w:val="000000"/>
                <w:kern w:val="0"/>
                <w:sz w:val="20"/>
                <w:szCs w:val="20"/>
                <w:lang w:eastAsia="es-CO"/>
                <w14:ligatures w14:val="none"/>
              </w:rPr>
              <w:t>830117995</w:t>
            </w:r>
          </w:p>
        </w:tc>
        <w:tc>
          <w:tcPr>
            <w:tcW w:w="2265" w:type="pct"/>
            <w:vAlign w:val="center"/>
            <w:hideMark/>
          </w:tcPr>
          <w:p w14:paraId="2F8A9E0A" w14:textId="77777777" w:rsidR="00ED27A4" w:rsidRPr="00951AB1" w:rsidRDefault="00ED27A4" w:rsidP="000A5389">
            <w:pPr>
              <w:spacing w:line="240" w:lineRule="auto"/>
              <w:rPr>
                <w:rFonts w:eastAsia="Times New Roman" w:cs="Times New Roman"/>
                <w:color w:val="000000"/>
                <w:kern w:val="0"/>
                <w:sz w:val="20"/>
                <w:szCs w:val="20"/>
                <w:lang w:eastAsia="es-CO"/>
                <w14:ligatures w14:val="none"/>
              </w:rPr>
            </w:pPr>
            <w:r w:rsidRPr="00951AB1">
              <w:rPr>
                <w:rFonts w:eastAsia="Times New Roman" w:cs="Times New Roman"/>
                <w:color w:val="000000"/>
                <w:kern w:val="0"/>
                <w:sz w:val="20"/>
                <w:szCs w:val="20"/>
                <w:lang w:eastAsia="es-CO"/>
                <w14:ligatures w14:val="none"/>
              </w:rPr>
              <w:t>Sociedad Portuaria Palermo S. A</w:t>
            </w:r>
          </w:p>
        </w:tc>
        <w:tc>
          <w:tcPr>
            <w:tcW w:w="1209" w:type="pct"/>
            <w:vAlign w:val="center"/>
            <w:hideMark/>
          </w:tcPr>
          <w:p w14:paraId="73DDC191" w14:textId="77777777" w:rsidR="00ED27A4" w:rsidRPr="00951AB1" w:rsidRDefault="00ED27A4" w:rsidP="000A5389">
            <w:pPr>
              <w:spacing w:line="240" w:lineRule="auto"/>
              <w:jc w:val="right"/>
              <w:rPr>
                <w:rFonts w:eastAsia="Times New Roman" w:cs="Times New Roman"/>
                <w:color w:val="000000"/>
                <w:kern w:val="0"/>
                <w:sz w:val="20"/>
                <w:szCs w:val="20"/>
                <w:lang w:eastAsia="es-CO"/>
                <w14:ligatures w14:val="none"/>
              </w:rPr>
            </w:pPr>
            <w:r w:rsidRPr="00951AB1">
              <w:rPr>
                <w:rFonts w:eastAsia="Times New Roman" w:cs="Times New Roman"/>
                <w:color w:val="000000"/>
                <w:kern w:val="0"/>
                <w:sz w:val="20"/>
                <w:szCs w:val="20"/>
                <w:lang w:eastAsia="es-CO"/>
                <w14:ligatures w14:val="none"/>
              </w:rPr>
              <w:t xml:space="preserve">               21.801.312 </w:t>
            </w:r>
          </w:p>
        </w:tc>
      </w:tr>
      <w:tr w:rsidR="00ED27A4" w:rsidRPr="00951AB1" w14:paraId="1170BE21" w14:textId="77777777" w:rsidTr="00ED27A4">
        <w:trPr>
          <w:trHeight w:val="293"/>
        </w:trPr>
        <w:tc>
          <w:tcPr>
            <w:tcW w:w="763" w:type="pct"/>
            <w:vMerge/>
            <w:vAlign w:val="center"/>
            <w:hideMark/>
          </w:tcPr>
          <w:p w14:paraId="4D46CCF7" w14:textId="1D5CDAB0" w:rsidR="00ED27A4" w:rsidRPr="00951AB1" w:rsidRDefault="00ED27A4" w:rsidP="000A5389">
            <w:pPr>
              <w:spacing w:line="240" w:lineRule="auto"/>
              <w:rPr>
                <w:rFonts w:eastAsia="Times New Roman" w:cs="Times New Roman"/>
                <w:color w:val="000000"/>
                <w:kern w:val="0"/>
                <w:sz w:val="20"/>
                <w:szCs w:val="20"/>
                <w:lang w:eastAsia="es-CO"/>
                <w14:ligatures w14:val="none"/>
              </w:rPr>
            </w:pPr>
          </w:p>
        </w:tc>
        <w:tc>
          <w:tcPr>
            <w:tcW w:w="763" w:type="pct"/>
            <w:vAlign w:val="center"/>
            <w:hideMark/>
          </w:tcPr>
          <w:p w14:paraId="30320662" w14:textId="77777777" w:rsidR="00ED27A4" w:rsidRPr="00951AB1" w:rsidRDefault="00ED27A4" w:rsidP="000A5389">
            <w:pPr>
              <w:spacing w:line="240" w:lineRule="auto"/>
              <w:jc w:val="right"/>
              <w:rPr>
                <w:rFonts w:eastAsia="Times New Roman" w:cs="Times New Roman"/>
                <w:color w:val="000000"/>
                <w:kern w:val="0"/>
                <w:sz w:val="20"/>
                <w:szCs w:val="20"/>
                <w:lang w:eastAsia="es-CO"/>
                <w14:ligatures w14:val="none"/>
              </w:rPr>
            </w:pPr>
            <w:r w:rsidRPr="00951AB1">
              <w:rPr>
                <w:rFonts w:eastAsia="Times New Roman" w:cs="Times New Roman"/>
                <w:color w:val="000000"/>
                <w:kern w:val="0"/>
                <w:sz w:val="20"/>
                <w:szCs w:val="20"/>
                <w:lang w:eastAsia="es-CO"/>
                <w14:ligatures w14:val="none"/>
              </w:rPr>
              <w:t>841000270</w:t>
            </w:r>
          </w:p>
        </w:tc>
        <w:tc>
          <w:tcPr>
            <w:tcW w:w="2265" w:type="pct"/>
            <w:vAlign w:val="center"/>
            <w:hideMark/>
          </w:tcPr>
          <w:p w14:paraId="0A2BB19A" w14:textId="77777777" w:rsidR="00ED27A4" w:rsidRPr="00951AB1" w:rsidRDefault="00ED27A4" w:rsidP="000A5389">
            <w:pPr>
              <w:spacing w:line="240" w:lineRule="auto"/>
              <w:rPr>
                <w:rFonts w:eastAsia="Times New Roman" w:cs="Times New Roman"/>
                <w:color w:val="000000"/>
                <w:kern w:val="0"/>
                <w:sz w:val="20"/>
                <w:szCs w:val="20"/>
                <w:lang w:eastAsia="es-CO"/>
                <w14:ligatures w14:val="none"/>
              </w:rPr>
            </w:pPr>
            <w:r w:rsidRPr="00951AB1">
              <w:rPr>
                <w:rFonts w:eastAsia="Times New Roman" w:cs="Times New Roman"/>
                <w:color w:val="000000"/>
                <w:kern w:val="0"/>
                <w:sz w:val="20"/>
                <w:szCs w:val="20"/>
                <w:lang w:eastAsia="es-CO"/>
                <w14:ligatures w14:val="none"/>
              </w:rPr>
              <w:t>Portuaria Punta De Vaca S.A.</w:t>
            </w:r>
          </w:p>
        </w:tc>
        <w:tc>
          <w:tcPr>
            <w:tcW w:w="1209" w:type="pct"/>
            <w:vAlign w:val="center"/>
            <w:hideMark/>
          </w:tcPr>
          <w:p w14:paraId="494905CF" w14:textId="77777777" w:rsidR="00ED27A4" w:rsidRPr="00951AB1" w:rsidRDefault="00ED27A4" w:rsidP="000A5389">
            <w:pPr>
              <w:spacing w:line="240" w:lineRule="auto"/>
              <w:jc w:val="right"/>
              <w:rPr>
                <w:rFonts w:eastAsia="Times New Roman" w:cs="Times New Roman"/>
                <w:color w:val="000000"/>
                <w:kern w:val="0"/>
                <w:sz w:val="20"/>
                <w:szCs w:val="20"/>
                <w:lang w:eastAsia="es-CO"/>
                <w14:ligatures w14:val="none"/>
              </w:rPr>
            </w:pPr>
            <w:r w:rsidRPr="00951AB1">
              <w:rPr>
                <w:rFonts w:eastAsia="Times New Roman" w:cs="Times New Roman"/>
                <w:color w:val="000000"/>
                <w:kern w:val="0"/>
                <w:sz w:val="20"/>
                <w:szCs w:val="20"/>
                <w:lang w:eastAsia="es-CO"/>
                <w14:ligatures w14:val="none"/>
              </w:rPr>
              <w:t xml:space="preserve">               17.271.755 </w:t>
            </w:r>
          </w:p>
        </w:tc>
      </w:tr>
      <w:tr w:rsidR="00ED27A4" w:rsidRPr="00951AB1" w14:paraId="1FDB68AD" w14:textId="77777777" w:rsidTr="00ED27A4">
        <w:trPr>
          <w:trHeight w:val="293"/>
        </w:trPr>
        <w:tc>
          <w:tcPr>
            <w:tcW w:w="763" w:type="pct"/>
            <w:vMerge/>
            <w:vAlign w:val="center"/>
            <w:hideMark/>
          </w:tcPr>
          <w:p w14:paraId="2D3AA8FE" w14:textId="087366A0" w:rsidR="00ED27A4" w:rsidRPr="00951AB1" w:rsidRDefault="00ED27A4" w:rsidP="000A5389">
            <w:pPr>
              <w:spacing w:line="240" w:lineRule="auto"/>
              <w:rPr>
                <w:rFonts w:eastAsia="Times New Roman" w:cs="Times New Roman"/>
                <w:color w:val="000000"/>
                <w:kern w:val="0"/>
                <w:sz w:val="20"/>
                <w:szCs w:val="20"/>
                <w:lang w:eastAsia="es-CO"/>
                <w14:ligatures w14:val="none"/>
              </w:rPr>
            </w:pPr>
          </w:p>
        </w:tc>
        <w:tc>
          <w:tcPr>
            <w:tcW w:w="763" w:type="pct"/>
            <w:vAlign w:val="center"/>
            <w:hideMark/>
          </w:tcPr>
          <w:p w14:paraId="3E71EA2C" w14:textId="77777777" w:rsidR="00ED27A4" w:rsidRPr="00951AB1" w:rsidRDefault="00ED27A4" w:rsidP="000A5389">
            <w:pPr>
              <w:spacing w:line="240" w:lineRule="auto"/>
              <w:jc w:val="right"/>
              <w:rPr>
                <w:rFonts w:eastAsia="Times New Roman" w:cs="Times New Roman"/>
                <w:color w:val="000000"/>
                <w:kern w:val="0"/>
                <w:sz w:val="20"/>
                <w:szCs w:val="20"/>
                <w:lang w:eastAsia="es-CO"/>
                <w14:ligatures w14:val="none"/>
              </w:rPr>
            </w:pPr>
            <w:r w:rsidRPr="00951AB1">
              <w:rPr>
                <w:rFonts w:eastAsia="Times New Roman" w:cs="Times New Roman"/>
                <w:color w:val="000000"/>
                <w:kern w:val="0"/>
                <w:sz w:val="20"/>
                <w:szCs w:val="20"/>
                <w:lang w:eastAsia="es-CO"/>
                <w14:ligatures w14:val="none"/>
              </w:rPr>
              <w:t>890106493</w:t>
            </w:r>
          </w:p>
        </w:tc>
        <w:tc>
          <w:tcPr>
            <w:tcW w:w="2265" w:type="pct"/>
            <w:vAlign w:val="center"/>
            <w:hideMark/>
          </w:tcPr>
          <w:p w14:paraId="333161EB" w14:textId="77777777" w:rsidR="00ED27A4" w:rsidRPr="00951AB1" w:rsidRDefault="00ED27A4" w:rsidP="000A5389">
            <w:pPr>
              <w:spacing w:line="240" w:lineRule="auto"/>
              <w:rPr>
                <w:rFonts w:eastAsia="Times New Roman" w:cs="Times New Roman"/>
                <w:color w:val="000000"/>
                <w:kern w:val="0"/>
                <w:sz w:val="20"/>
                <w:szCs w:val="20"/>
                <w:lang w:eastAsia="es-CO"/>
                <w14:ligatures w14:val="none"/>
              </w:rPr>
            </w:pPr>
            <w:r w:rsidRPr="00951AB1">
              <w:rPr>
                <w:rFonts w:eastAsia="Times New Roman" w:cs="Times New Roman"/>
                <w:color w:val="000000"/>
                <w:kern w:val="0"/>
                <w:sz w:val="20"/>
                <w:szCs w:val="20"/>
                <w:lang w:eastAsia="es-CO"/>
                <w14:ligatures w14:val="none"/>
              </w:rPr>
              <w:t>Transpetrol Ltda.</w:t>
            </w:r>
          </w:p>
        </w:tc>
        <w:tc>
          <w:tcPr>
            <w:tcW w:w="1209" w:type="pct"/>
            <w:vAlign w:val="center"/>
            <w:hideMark/>
          </w:tcPr>
          <w:p w14:paraId="0886363D" w14:textId="77777777" w:rsidR="00ED27A4" w:rsidRPr="00951AB1" w:rsidRDefault="00ED27A4" w:rsidP="000A5389">
            <w:pPr>
              <w:spacing w:line="240" w:lineRule="auto"/>
              <w:jc w:val="right"/>
              <w:rPr>
                <w:rFonts w:eastAsia="Times New Roman" w:cs="Times New Roman"/>
                <w:color w:val="000000"/>
                <w:kern w:val="0"/>
                <w:sz w:val="20"/>
                <w:szCs w:val="20"/>
                <w:lang w:eastAsia="es-CO"/>
                <w14:ligatures w14:val="none"/>
              </w:rPr>
            </w:pPr>
            <w:r w:rsidRPr="00951AB1">
              <w:rPr>
                <w:rFonts w:eastAsia="Times New Roman" w:cs="Times New Roman"/>
                <w:color w:val="000000"/>
                <w:kern w:val="0"/>
                <w:sz w:val="20"/>
                <w:szCs w:val="20"/>
                <w:lang w:eastAsia="es-CO"/>
                <w14:ligatures w14:val="none"/>
              </w:rPr>
              <w:t xml:space="preserve">                 6.952.315 </w:t>
            </w:r>
          </w:p>
        </w:tc>
      </w:tr>
    </w:tbl>
    <w:p w14:paraId="658C4178" w14:textId="77777777" w:rsidR="002D6214" w:rsidRPr="00951AB1" w:rsidRDefault="002D6214" w:rsidP="000A5389">
      <w:pPr>
        <w:spacing w:line="240" w:lineRule="auto"/>
        <w:rPr>
          <w:rFonts w:cs="Times New Roman"/>
        </w:rPr>
      </w:pPr>
      <w:r w:rsidRPr="00951AB1">
        <w:rPr>
          <w:rFonts w:eastAsia="Times New Roman" w:cs="Times New Roman"/>
          <w:color w:val="000000" w:themeColor="text1"/>
          <w:sz w:val="16"/>
          <w:szCs w:val="16"/>
          <w:lang w:val="es-ES"/>
        </w:rPr>
        <w:t>Cifras expresadas en pesos</w:t>
      </w:r>
      <w:r w:rsidRPr="00951AB1">
        <w:rPr>
          <w:rFonts w:cs="Times New Roman"/>
        </w:rPr>
        <w:t xml:space="preserve"> </w:t>
      </w:r>
    </w:p>
    <w:p w14:paraId="27D2F403" w14:textId="77777777" w:rsidR="00066328" w:rsidRPr="00951AB1" w:rsidRDefault="00066328" w:rsidP="000A5389">
      <w:pPr>
        <w:spacing w:line="240" w:lineRule="auto"/>
        <w:rPr>
          <w:rFonts w:cs="Times New Roman"/>
        </w:rPr>
      </w:pPr>
    </w:p>
    <w:p w14:paraId="62E7D235" w14:textId="029BE9C7" w:rsidR="00066328" w:rsidRPr="00951AB1" w:rsidRDefault="00066328" w:rsidP="000A5389">
      <w:pPr>
        <w:spacing w:line="240" w:lineRule="auto"/>
        <w:rPr>
          <w:rFonts w:eastAsia="Times New Roman" w:cs="Times New Roman"/>
          <w:i/>
          <w:iCs/>
          <w:szCs w:val="24"/>
          <w:u w:val="single"/>
          <w:lang w:val="es-ES"/>
        </w:rPr>
      </w:pPr>
      <w:r w:rsidRPr="00951AB1">
        <w:rPr>
          <w:rFonts w:eastAsia="Times New Roman" w:cs="Times New Roman"/>
          <w:i/>
          <w:iCs/>
          <w:szCs w:val="24"/>
          <w:u w:val="single"/>
          <w:lang w:val="es-ES"/>
        </w:rPr>
        <w:t>Férreo</w:t>
      </w:r>
      <w:r w:rsidR="00912835" w:rsidRPr="00951AB1">
        <w:rPr>
          <w:rFonts w:eastAsia="Times New Roman" w:cs="Times New Roman"/>
          <w:i/>
          <w:iCs/>
          <w:szCs w:val="24"/>
          <w:u w:val="single"/>
          <w:lang w:val="es-ES"/>
        </w:rPr>
        <w:t>:</w:t>
      </w:r>
    </w:p>
    <w:p w14:paraId="1634C2B5" w14:textId="77777777" w:rsidR="00912835" w:rsidRPr="00951AB1" w:rsidRDefault="00912835" w:rsidP="000A5389">
      <w:pPr>
        <w:spacing w:line="240" w:lineRule="auto"/>
        <w:rPr>
          <w:rFonts w:cs="Times New Roman"/>
        </w:rPr>
      </w:pPr>
    </w:p>
    <w:tbl>
      <w:tblPr>
        <w:tblW w:w="497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201"/>
        <w:gridCol w:w="1202"/>
        <w:gridCol w:w="4396"/>
        <w:gridCol w:w="1985"/>
      </w:tblGrid>
      <w:tr w:rsidR="00912835" w:rsidRPr="00951AB1" w14:paraId="04BFC150" w14:textId="77777777" w:rsidTr="00912835">
        <w:trPr>
          <w:trHeight w:val="300"/>
          <w:tblHeader/>
        </w:trPr>
        <w:tc>
          <w:tcPr>
            <w:tcW w:w="1368" w:type="pct"/>
            <w:gridSpan w:val="2"/>
            <w:vAlign w:val="center"/>
            <w:hideMark/>
          </w:tcPr>
          <w:p w14:paraId="5004F212" w14:textId="77777777" w:rsidR="00912835" w:rsidRPr="00951AB1" w:rsidRDefault="00912835" w:rsidP="000A5389">
            <w:pPr>
              <w:spacing w:line="240" w:lineRule="auto"/>
              <w:jc w:val="center"/>
              <w:rPr>
                <w:rFonts w:eastAsia="Times New Roman" w:cs="Times New Roman"/>
                <w:b/>
                <w:bCs/>
                <w:color w:val="000000"/>
                <w:kern w:val="0"/>
                <w:sz w:val="20"/>
                <w:szCs w:val="20"/>
                <w:lang w:eastAsia="es-CO"/>
                <w14:ligatures w14:val="none"/>
              </w:rPr>
            </w:pPr>
            <w:r w:rsidRPr="00951AB1">
              <w:rPr>
                <w:rFonts w:eastAsia="Times New Roman" w:cs="Times New Roman"/>
                <w:b/>
                <w:bCs/>
                <w:color w:val="000000"/>
                <w:kern w:val="0"/>
                <w:sz w:val="20"/>
                <w:szCs w:val="20"/>
                <w:lang w:eastAsia="es-CO"/>
                <w14:ligatures w14:val="none"/>
              </w:rPr>
              <w:t>Modo</w:t>
            </w:r>
          </w:p>
        </w:tc>
        <w:tc>
          <w:tcPr>
            <w:tcW w:w="2502" w:type="pct"/>
            <w:vAlign w:val="center"/>
            <w:hideMark/>
          </w:tcPr>
          <w:p w14:paraId="68C76A8A" w14:textId="77777777" w:rsidR="00912835" w:rsidRPr="00951AB1" w:rsidRDefault="00912835" w:rsidP="000A5389">
            <w:pPr>
              <w:spacing w:line="240" w:lineRule="auto"/>
              <w:jc w:val="center"/>
              <w:rPr>
                <w:rFonts w:eastAsia="Times New Roman" w:cs="Times New Roman"/>
                <w:b/>
                <w:bCs/>
                <w:color w:val="000000"/>
                <w:kern w:val="0"/>
                <w:sz w:val="20"/>
                <w:szCs w:val="20"/>
                <w:lang w:eastAsia="es-CO"/>
                <w14:ligatures w14:val="none"/>
              </w:rPr>
            </w:pPr>
            <w:r w:rsidRPr="00951AB1">
              <w:rPr>
                <w:rFonts w:eastAsia="Times New Roman" w:cs="Times New Roman"/>
                <w:b/>
                <w:bCs/>
                <w:color w:val="000000"/>
                <w:kern w:val="0"/>
                <w:sz w:val="20"/>
                <w:szCs w:val="20"/>
                <w:lang w:eastAsia="es-CO"/>
                <w14:ligatures w14:val="none"/>
              </w:rPr>
              <w:t>Tercero</w:t>
            </w:r>
          </w:p>
        </w:tc>
        <w:tc>
          <w:tcPr>
            <w:tcW w:w="1130" w:type="pct"/>
            <w:vAlign w:val="center"/>
            <w:hideMark/>
          </w:tcPr>
          <w:p w14:paraId="454F0D58" w14:textId="77777777" w:rsidR="00912835" w:rsidRPr="00951AB1" w:rsidRDefault="00912835" w:rsidP="000A5389">
            <w:pPr>
              <w:spacing w:line="240" w:lineRule="auto"/>
              <w:jc w:val="right"/>
              <w:rPr>
                <w:rFonts w:eastAsia="Times New Roman" w:cs="Times New Roman"/>
                <w:b/>
                <w:bCs/>
                <w:color w:val="000000"/>
                <w:kern w:val="0"/>
                <w:sz w:val="20"/>
                <w:szCs w:val="20"/>
                <w:lang w:eastAsia="es-CO"/>
                <w14:ligatures w14:val="none"/>
              </w:rPr>
            </w:pPr>
            <w:r w:rsidRPr="00951AB1">
              <w:rPr>
                <w:rFonts w:eastAsia="Times New Roman" w:cs="Times New Roman"/>
                <w:b/>
                <w:bCs/>
                <w:color w:val="000000"/>
                <w:kern w:val="0"/>
                <w:sz w:val="20"/>
                <w:szCs w:val="20"/>
                <w:lang w:eastAsia="es-CO"/>
                <w14:ligatures w14:val="none"/>
              </w:rPr>
              <w:t xml:space="preserve"> Valor  </w:t>
            </w:r>
          </w:p>
        </w:tc>
      </w:tr>
      <w:tr w:rsidR="00912835" w:rsidRPr="00951AB1" w14:paraId="16531113" w14:textId="77777777" w:rsidTr="00912835">
        <w:trPr>
          <w:trHeight w:val="300"/>
          <w:tblHeader/>
        </w:trPr>
        <w:tc>
          <w:tcPr>
            <w:tcW w:w="3870" w:type="pct"/>
            <w:gridSpan w:val="3"/>
            <w:vAlign w:val="center"/>
          </w:tcPr>
          <w:p w14:paraId="7DE96A9A" w14:textId="1284D5FC" w:rsidR="00912835" w:rsidRPr="00951AB1" w:rsidRDefault="00912835" w:rsidP="000A5389">
            <w:pPr>
              <w:spacing w:line="240" w:lineRule="auto"/>
              <w:jc w:val="center"/>
              <w:rPr>
                <w:rFonts w:eastAsia="Times New Roman" w:cs="Times New Roman"/>
                <w:b/>
                <w:bCs/>
                <w:color w:val="000000"/>
                <w:kern w:val="0"/>
                <w:sz w:val="20"/>
                <w:szCs w:val="20"/>
                <w:lang w:eastAsia="es-CO"/>
                <w14:ligatures w14:val="none"/>
              </w:rPr>
            </w:pPr>
            <w:r w:rsidRPr="00951AB1">
              <w:rPr>
                <w:rFonts w:eastAsia="Times New Roman" w:cs="Times New Roman"/>
                <w:b/>
                <w:bCs/>
                <w:color w:val="000000"/>
                <w:kern w:val="0"/>
                <w:sz w:val="20"/>
                <w:szCs w:val="20"/>
                <w:lang w:eastAsia="es-CO"/>
                <w14:ligatures w14:val="none"/>
              </w:rPr>
              <w:t>Total, Férreo</w:t>
            </w:r>
          </w:p>
        </w:tc>
        <w:tc>
          <w:tcPr>
            <w:tcW w:w="1130" w:type="pct"/>
            <w:vAlign w:val="center"/>
          </w:tcPr>
          <w:p w14:paraId="7EAB8D27" w14:textId="53506175" w:rsidR="00912835" w:rsidRPr="00951AB1" w:rsidRDefault="00912835" w:rsidP="000A5389">
            <w:pPr>
              <w:spacing w:line="240" w:lineRule="auto"/>
              <w:jc w:val="right"/>
              <w:rPr>
                <w:rFonts w:eastAsia="Times New Roman" w:cs="Times New Roman"/>
                <w:b/>
                <w:bCs/>
                <w:color w:val="000000"/>
                <w:kern w:val="0"/>
                <w:sz w:val="20"/>
                <w:szCs w:val="20"/>
                <w:lang w:eastAsia="es-CO"/>
                <w14:ligatures w14:val="none"/>
              </w:rPr>
            </w:pPr>
            <w:r w:rsidRPr="00951AB1">
              <w:rPr>
                <w:rFonts w:eastAsia="Times New Roman" w:cs="Times New Roman"/>
                <w:b/>
                <w:bCs/>
                <w:color w:val="000000"/>
                <w:kern w:val="0"/>
                <w:sz w:val="20"/>
                <w:szCs w:val="20"/>
                <w:lang w:eastAsia="es-CO"/>
                <w14:ligatures w14:val="none"/>
              </w:rPr>
              <w:t>56.925.610.550</w:t>
            </w:r>
          </w:p>
        </w:tc>
      </w:tr>
      <w:tr w:rsidR="00912835" w:rsidRPr="00951AB1" w14:paraId="5F331E87" w14:textId="77777777" w:rsidTr="00912835">
        <w:trPr>
          <w:trHeight w:val="293"/>
        </w:trPr>
        <w:tc>
          <w:tcPr>
            <w:tcW w:w="684" w:type="pct"/>
            <w:vAlign w:val="center"/>
            <w:hideMark/>
          </w:tcPr>
          <w:p w14:paraId="42F5F287" w14:textId="77777777" w:rsidR="00912835" w:rsidRPr="00951AB1" w:rsidRDefault="00912835" w:rsidP="000A5389">
            <w:pPr>
              <w:spacing w:line="240" w:lineRule="auto"/>
              <w:rPr>
                <w:rFonts w:eastAsia="Times New Roman" w:cs="Times New Roman"/>
                <w:color w:val="000000"/>
                <w:kern w:val="0"/>
                <w:sz w:val="20"/>
                <w:szCs w:val="20"/>
                <w:lang w:eastAsia="es-CO"/>
                <w14:ligatures w14:val="none"/>
              </w:rPr>
            </w:pPr>
            <w:r w:rsidRPr="00951AB1">
              <w:rPr>
                <w:rFonts w:eastAsia="Times New Roman" w:cs="Times New Roman"/>
                <w:color w:val="000000"/>
                <w:kern w:val="0"/>
                <w:sz w:val="20"/>
                <w:szCs w:val="20"/>
                <w:lang w:eastAsia="es-CO"/>
                <w14:ligatures w14:val="none"/>
              </w:rPr>
              <w:t>Férreo</w:t>
            </w:r>
          </w:p>
        </w:tc>
        <w:tc>
          <w:tcPr>
            <w:tcW w:w="684" w:type="pct"/>
            <w:vAlign w:val="center"/>
            <w:hideMark/>
          </w:tcPr>
          <w:p w14:paraId="7065EA6D" w14:textId="77777777" w:rsidR="00912835" w:rsidRPr="00951AB1" w:rsidRDefault="00912835" w:rsidP="000A5389">
            <w:pPr>
              <w:spacing w:line="240" w:lineRule="auto"/>
              <w:jc w:val="right"/>
              <w:rPr>
                <w:rFonts w:eastAsia="Times New Roman" w:cs="Times New Roman"/>
                <w:color w:val="000000"/>
                <w:kern w:val="0"/>
                <w:sz w:val="20"/>
                <w:szCs w:val="20"/>
                <w:lang w:eastAsia="es-CO"/>
                <w14:ligatures w14:val="none"/>
              </w:rPr>
            </w:pPr>
            <w:r w:rsidRPr="00951AB1">
              <w:rPr>
                <w:rFonts w:eastAsia="Times New Roman" w:cs="Times New Roman"/>
                <w:color w:val="000000"/>
                <w:kern w:val="0"/>
                <w:sz w:val="20"/>
                <w:szCs w:val="20"/>
                <w:lang w:eastAsia="es-CO"/>
                <w14:ligatures w14:val="none"/>
              </w:rPr>
              <w:t>900225133</w:t>
            </w:r>
          </w:p>
        </w:tc>
        <w:tc>
          <w:tcPr>
            <w:tcW w:w="2502" w:type="pct"/>
            <w:vAlign w:val="center"/>
            <w:hideMark/>
          </w:tcPr>
          <w:p w14:paraId="10DF3915" w14:textId="77777777" w:rsidR="00912835" w:rsidRPr="00951AB1" w:rsidRDefault="00912835" w:rsidP="000A5389">
            <w:pPr>
              <w:spacing w:line="240" w:lineRule="auto"/>
              <w:rPr>
                <w:rFonts w:eastAsia="Times New Roman" w:cs="Times New Roman"/>
                <w:color w:val="000000"/>
                <w:kern w:val="0"/>
                <w:sz w:val="20"/>
                <w:szCs w:val="20"/>
                <w:lang w:eastAsia="es-CO"/>
                <w14:ligatures w14:val="none"/>
              </w:rPr>
            </w:pPr>
            <w:r w:rsidRPr="00951AB1">
              <w:rPr>
                <w:rFonts w:eastAsia="Times New Roman" w:cs="Times New Roman"/>
                <w:color w:val="000000"/>
                <w:kern w:val="0"/>
                <w:sz w:val="20"/>
                <w:szCs w:val="20"/>
                <w:lang w:eastAsia="es-CO"/>
                <w14:ligatures w14:val="none"/>
              </w:rPr>
              <w:t>Ferrocarril Del Pacifico SAS</w:t>
            </w:r>
          </w:p>
        </w:tc>
        <w:tc>
          <w:tcPr>
            <w:tcW w:w="1130" w:type="pct"/>
            <w:vAlign w:val="center"/>
            <w:hideMark/>
          </w:tcPr>
          <w:p w14:paraId="5E9D9A3E" w14:textId="77777777" w:rsidR="00912835" w:rsidRPr="00951AB1" w:rsidRDefault="00912835" w:rsidP="000A5389">
            <w:pPr>
              <w:spacing w:line="240" w:lineRule="auto"/>
              <w:jc w:val="right"/>
              <w:rPr>
                <w:rFonts w:eastAsia="Times New Roman" w:cs="Times New Roman"/>
                <w:color w:val="000000"/>
                <w:kern w:val="0"/>
                <w:sz w:val="20"/>
                <w:szCs w:val="20"/>
                <w:lang w:eastAsia="es-CO"/>
                <w14:ligatures w14:val="none"/>
              </w:rPr>
            </w:pPr>
            <w:r w:rsidRPr="00951AB1">
              <w:rPr>
                <w:rFonts w:eastAsia="Times New Roman" w:cs="Times New Roman"/>
                <w:color w:val="000000"/>
                <w:kern w:val="0"/>
                <w:sz w:val="20"/>
                <w:szCs w:val="20"/>
                <w:lang w:eastAsia="es-CO"/>
                <w14:ligatures w14:val="none"/>
              </w:rPr>
              <w:t xml:space="preserve">        56.180.514.781 </w:t>
            </w:r>
          </w:p>
        </w:tc>
      </w:tr>
      <w:tr w:rsidR="00912835" w:rsidRPr="00951AB1" w14:paraId="27D471E8" w14:textId="77777777" w:rsidTr="00912835">
        <w:trPr>
          <w:trHeight w:val="293"/>
        </w:trPr>
        <w:tc>
          <w:tcPr>
            <w:tcW w:w="684" w:type="pct"/>
            <w:vAlign w:val="center"/>
            <w:hideMark/>
          </w:tcPr>
          <w:p w14:paraId="4727115C" w14:textId="77777777" w:rsidR="00912835" w:rsidRPr="00951AB1" w:rsidRDefault="00912835" w:rsidP="000A5389">
            <w:pPr>
              <w:spacing w:line="240" w:lineRule="auto"/>
              <w:rPr>
                <w:rFonts w:eastAsia="Times New Roman" w:cs="Times New Roman"/>
                <w:color w:val="000000"/>
                <w:kern w:val="0"/>
                <w:sz w:val="20"/>
                <w:szCs w:val="20"/>
                <w:lang w:eastAsia="es-CO"/>
                <w14:ligatures w14:val="none"/>
              </w:rPr>
            </w:pPr>
            <w:r w:rsidRPr="00951AB1">
              <w:rPr>
                <w:rFonts w:eastAsia="Times New Roman" w:cs="Times New Roman"/>
                <w:color w:val="000000"/>
                <w:kern w:val="0"/>
                <w:sz w:val="20"/>
                <w:szCs w:val="20"/>
                <w:lang w:eastAsia="es-CO"/>
                <w14:ligatures w14:val="none"/>
              </w:rPr>
              <w:t>Férreo</w:t>
            </w:r>
          </w:p>
        </w:tc>
        <w:tc>
          <w:tcPr>
            <w:tcW w:w="684" w:type="pct"/>
            <w:vAlign w:val="center"/>
            <w:hideMark/>
          </w:tcPr>
          <w:p w14:paraId="40D1DAFA" w14:textId="77777777" w:rsidR="00912835" w:rsidRPr="00951AB1" w:rsidRDefault="00912835" w:rsidP="000A5389">
            <w:pPr>
              <w:spacing w:line="240" w:lineRule="auto"/>
              <w:jc w:val="right"/>
              <w:rPr>
                <w:rFonts w:eastAsia="Times New Roman" w:cs="Times New Roman"/>
                <w:color w:val="000000"/>
                <w:kern w:val="0"/>
                <w:sz w:val="20"/>
                <w:szCs w:val="20"/>
                <w:lang w:eastAsia="es-CO"/>
                <w14:ligatures w14:val="none"/>
              </w:rPr>
            </w:pPr>
            <w:r w:rsidRPr="00951AB1">
              <w:rPr>
                <w:rFonts w:eastAsia="Times New Roman" w:cs="Times New Roman"/>
                <w:color w:val="000000"/>
                <w:kern w:val="0"/>
                <w:sz w:val="20"/>
                <w:szCs w:val="20"/>
                <w:lang w:eastAsia="es-CO"/>
                <w14:ligatures w14:val="none"/>
              </w:rPr>
              <w:t>830061724</w:t>
            </w:r>
          </w:p>
        </w:tc>
        <w:tc>
          <w:tcPr>
            <w:tcW w:w="2502" w:type="pct"/>
            <w:vAlign w:val="center"/>
            <w:hideMark/>
          </w:tcPr>
          <w:p w14:paraId="4DCA7984" w14:textId="77777777" w:rsidR="00912835" w:rsidRPr="00951AB1" w:rsidRDefault="00912835" w:rsidP="000A5389">
            <w:pPr>
              <w:spacing w:line="240" w:lineRule="auto"/>
              <w:rPr>
                <w:rFonts w:eastAsia="Times New Roman" w:cs="Times New Roman"/>
                <w:color w:val="000000"/>
                <w:kern w:val="0"/>
                <w:sz w:val="20"/>
                <w:szCs w:val="20"/>
                <w:lang w:eastAsia="es-CO"/>
                <w14:ligatures w14:val="none"/>
              </w:rPr>
            </w:pPr>
            <w:r w:rsidRPr="00951AB1">
              <w:rPr>
                <w:rFonts w:eastAsia="Times New Roman" w:cs="Times New Roman"/>
                <w:color w:val="000000"/>
                <w:kern w:val="0"/>
                <w:sz w:val="20"/>
                <w:szCs w:val="20"/>
                <w:lang w:eastAsia="es-CO"/>
                <w14:ligatures w14:val="none"/>
              </w:rPr>
              <w:t>Ferrocarriles del Norte de Colombia S. A</w:t>
            </w:r>
          </w:p>
        </w:tc>
        <w:tc>
          <w:tcPr>
            <w:tcW w:w="1130" w:type="pct"/>
            <w:vAlign w:val="center"/>
            <w:hideMark/>
          </w:tcPr>
          <w:p w14:paraId="6BA4AED7" w14:textId="77777777" w:rsidR="00912835" w:rsidRPr="00951AB1" w:rsidRDefault="00912835" w:rsidP="000A5389">
            <w:pPr>
              <w:spacing w:line="240" w:lineRule="auto"/>
              <w:jc w:val="right"/>
              <w:rPr>
                <w:rFonts w:eastAsia="Times New Roman" w:cs="Times New Roman"/>
                <w:color w:val="000000"/>
                <w:kern w:val="0"/>
                <w:sz w:val="20"/>
                <w:szCs w:val="20"/>
                <w:lang w:eastAsia="es-CO"/>
                <w14:ligatures w14:val="none"/>
              </w:rPr>
            </w:pPr>
            <w:r w:rsidRPr="00951AB1">
              <w:rPr>
                <w:rFonts w:eastAsia="Times New Roman" w:cs="Times New Roman"/>
                <w:color w:val="000000"/>
                <w:kern w:val="0"/>
                <w:sz w:val="20"/>
                <w:szCs w:val="20"/>
                <w:lang w:eastAsia="es-CO"/>
                <w14:ligatures w14:val="none"/>
              </w:rPr>
              <w:t xml:space="preserve">             745.095.769 </w:t>
            </w:r>
          </w:p>
        </w:tc>
      </w:tr>
    </w:tbl>
    <w:p w14:paraId="50B87CEC" w14:textId="77777777" w:rsidR="002D6214" w:rsidRPr="00951AB1" w:rsidRDefault="002D6214" w:rsidP="000A5389">
      <w:pPr>
        <w:spacing w:line="240" w:lineRule="auto"/>
        <w:rPr>
          <w:rFonts w:cs="Times New Roman"/>
        </w:rPr>
      </w:pPr>
      <w:r w:rsidRPr="00951AB1">
        <w:rPr>
          <w:rFonts w:eastAsia="Times New Roman" w:cs="Times New Roman"/>
          <w:color w:val="000000" w:themeColor="text1"/>
          <w:sz w:val="16"/>
          <w:szCs w:val="16"/>
          <w:lang w:val="es-ES"/>
        </w:rPr>
        <w:t>Cifras expresadas en pesos</w:t>
      </w:r>
      <w:r w:rsidRPr="00951AB1">
        <w:rPr>
          <w:rFonts w:cs="Times New Roman"/>
        </w:rPr>
        <w:t xml:space="preserve"> </w:t>
      </w:r>
    </w:p>
    <w:p w14:paraId="3D653A31" w14:textId="77777777" w:rsidR="00D60DA6" w:rsidRPr="00951AB1" w:rsidRDefault="00D60DA6" w:rsidP="000A5389">
      <w:pPr>
        <w:spacing w:line="240" w:lineRule="auto"/>
        <w:rPr>
          <w:rFonts w:cs="Times New Roman"/>
          <w:i/>
          <w:iCs/>
          <w:szCs w:val="24"/>
        </w:rPr>
      </w:pPr>
    </w:p>
    <w:p w14:paraId="671566EF" w14:textId="77777777" w:rsidR="00A6510E" w:rsidRPr="00951AB1" w:rsidRDefault="00A6510E" w:rsidP="000A5389">
      <w:pPr>
        <w:pStyle w:val="Prrafodelista"/>
        <w:spacing w:line="240" w:lineRule="auto"/>
        <w:ind w:left="-20" w:right="-20"/>
        <w:rPr>
          <w:rFonts w:eastAsia="Times New Roman" w:cs="Times New Roman"/>
          <w:szCs w:val="24"/>
          <w:lang w:val="es-ES"/>
        </w:rPr>
      </w:pPr>
      <w:r w:rsidRPr="00951AB1">
        <w:rPr>
          <w:rFonts w:eastAsia="Times New Roman" w:cs="Times New Roman"/>
          <w:bCs/>
          <w:i/>
          <w:iCs/>
          <w:szCs w:val="24"/>
          <w:lang w:val="es-ES"/>
        </w:rPr>
        <w:t>Aprovechamientos:</w:t>
      </w:r>
      <w:r w:rsidRPr="00951AB1">
        <w:rPr>
          <w:rFonts w:eastAsia="Times New Roman" w:cs="Times New Roman"/>
          <w:szCs w:val="24"/>
          <w:lang w:val="es-ES"/>
        </w:rPr>
        <w:t xml:space="preserve"> Presenta un saldo a 31 de diciembre de 2025 de $ 204.521.281.945, el cual se detalla con las partidas representativas:</w:t>
      </w:r>
    </w:p>
    <w:p w14:paraId="3B1AD270" w14:textId="77777777" w:rsidR="00A6510E" w:rsidRPr="00951AB1" w:rsidRDefault="00A6510E" w:rsidP="000A5389">
      <w:pPr>
        <w:pStyle w:val="Prrafodelista"/>
        <w:spacing w:line="240" w:lineRule="auto"/>
        <w:ind w:left="-20" w:right="-20"/>
        <w:rPr>
          <w:rFonts w:eastAsia="Times New Roman" w:cs="Times New Roman"/>
          <w:szCs w:val="24"/>
          <w:lang w:val="es-ES"/>
        </w:rPr>
      </w:pPr>
    </w:p>
    <w:p w14:paraId="3F9956BD" w14:textId="05DA6CC8" w:rsidR="00A6510E" w:rsidRDefault="00A6510E" w:rsidP="000A5389">
      <w:pPr>
        <w:pStyle w:val="Prrafodelista"/>
        <w:numPr>
          <w:ilvl w:val="0"/>
          <w:numId w:val="43"/>
        </w:numPr>
        <w:spacing w:line="240" w:lineRule="auto"/>
        <w:rPr>
          <w:rFonts w:cs="Times New Roman"/>
          <w:szCs w:val="24"/>
        </w:rPr>
      </w:pPr>
      <w:r w:rsidRPr="00951AB1">
        <w:rPr>
          <w:rFonts w:cs="Times New Roman"/>
          <w:szCs w:val="24"/>
        </w:rPr>
        <w:t>El valor de $199.277.032.206   corresponde a los ingresos por traslados al Fondo de Fuentes Alternativas de Pago para el Desarrollo de Infraestructura “FIP” de los siguientes proyectos de concesión del modo de transporte carretero: el valor se desagrega de la siguiente manera:</w:t>
      </w:r>
      <w:r w:rsidR="240C738F" w:rsidRPr="5B0C84B6">
        <w:rPr>
          <w:rFonts w:cs="Times New Roman"/>
          <w:szCs w:val="24"/>
        </w:rPr>
        <w:t xml:space="preserve"> </w:t>
      </w:r>
      <w:r w:rsidRPr="00951AB1">
        <w:rPr>
          <w:rFonts w:cs="Times New Roman"/>
          <w:szCs w:val="24"/>
        </w:rPr>
        <w:t xml:space="preserve">Unión Temporal Devinorte $ </w:t>
      </w:r>
      <w:r w:rsidRPr="00951AB1">
        <w:rPr>
          <w:rFonts w:eastAsia="Times New Roman" w:cs="Times New Roman"/>
          <w:color w:val="000000"/>
          <w:kern w:val="0"/>
          <w:szCs w:val="24"/>
          <w:lang w:eastAsia="es-CO"/>
          <w14:ligatures w14:val="none"/>
        </w:rPr>
        <w:t>22.851.027.755, Concesión Autopista Bogotá Girardot $ 159.157.582.744, Desarrollo Vial de Nariño – Rumichaca Pasto Chachagüí $ 14.245.626, Concesionaria San Simón- Area Metropolitana de Cúcuta $</w:t>
      </w:r>
      <w:r w:rsidRPr="00951AB1">
        <w:rPr>
          <w:rFonts w:cs="Times New Roman"/>
          <w:color w:val="000000"/>
          <w:szCs w:val="24"/>
        </w:rPr>
        <w:t xml:space="preserve"> 1</w:t>
      </w:r>
      <w:r w:rsidRPr="00951AB1">
        <w:rPr>
          <w:rFonts w:eastAsia="Times New Roman" w:cs="Times New Roman"/>
          <w:color w:val="000000"/>
          <w:kern w:val="0"/>
          <w:szCs w:val="24"/>
          <w:lang w:eastAsia="es-CO"/>
          <w14:ligatures w14:val="none"/>
        </w:rPr>
        <w:t xml:space="preserve">1.710.072.420 y Concesionaria </w:t>
      </w:r>
      <w:r w:rsidRPr="00951AB1">
        <w:rPr>
          <w:rFonts w:cs="Times New Roman"/>
          <w:szCs w:val="24"/>
        </w:rPr>
        <w:t>Vía de Colombia- Zona Metropolitana de Bucaramanga $ 5.544.103.662.</w:t>
      </w:r>
    </w:p>
    <w:p w14:paraId="15ECB3EA" w14:textId="77777777" w:rsidR="008C1734" w:rsidRPr="00951AB1" w:rsidRDefault="008C1734" w:rsidP="006F52CF">
      <w:pPr>
        <w:pStyle w:val="Prrafodelista"/>
        <w:spacing w:line="240" w:lineRule="auto"/>
        <w:rPr>
          <w:rFonts w:cs="Times New Roman"/>
          <w:szCs w:val="24"/>
        </w:rPr>
      </w:pPr>
    </w:p>
    <w:p w14:paraId="78A16CAB" w14:textId="77777777" w:rsidR="00A6510E" w:rsidRDefault="00A6510E" w:rsidP="000A5389">
      <w:pPr>
        <w:spacing w:line="240" w:lineRule="auto"/>
        <w:rPr>
          <w:rFonts w:cs="Times New Roman"/>
          <w:szCs w:val="24"/>
        </w:rPr>
      </w:pPr>
      <w:r w:rsidRPr="00951AB1">
        <w:rPr>
          <w:rFonts w:cs="Times New Roman"/>
          <w:szCs w:val="24"/>
        </w:rPr>
        <w:t>Se resalta que en el año 2024 el Ministerio Hacienda y la Fiduciaria la Previsora, construyeron mediante un contrato de Fiducia Mercantil el Patrimonio Autónomo de Administración, pagos, garantía y fuente de pago denominado</w:t>
      </w:r>
      <w:r w:rsidRPr="00951AB1">
        <w:rPr>
          <w:rFonts w:eastAsia="Times New Roman" w:cs="Times New Roman"/>
          <w:i/>
          <w:iCs/>
          <w:color w:val="000000"/>
          <w:kern w:val="0"/>
          <w:szCs w:val="24"/>
          <w:lang w:eastAsia="es-CO"/>
          <w14:ligatures w14:val="none"/>
        </w:rPr>
        <w:t xml:space="preserve"> Fondo</w:t>
      </w:r>
      <w:r w:rsidRPr="00951AB1">
        <w:rPr>
          <w:rFonts w:cs="Times New Roman"/>
          <w:i/>
          <w:iCs/>
          <w:szCs w:val="24"/>
        </w:rPr>
        <w:t xml:space="preserve"> de Fuentes Alternativas de Pago para el Desarrollo de Infraestructura “FIP”</w:t>
      </w:r>
      <w:r w:rsidRPr="00951AB1">
        <w:rPr>
          <w:rFonts w:cs="Times New Roman"/>
          <w:szCs w:val="24"/>
        </w:rPr>
        <w:t xml:space="preserve"> con los activos que le san transferidos para que sean administrados y gestionados con el fin de ser destinados como fuente de pago para el desarrollo de Proyectos de Infraestructura.</w:t>
      </w:r>
    </w:p>
    <w:p w14:paraId="165D680D" w14:textId="77777777" w:rsidR="008C1734" w:rsidRPr="00951AB1" w:rsidRDefault="008C1734" w:rsidP="000A5389">
      <w:pPr>
        <w:spacing w:line="240" w:lineRule="auto"/>
        <w:rPr>
          <w:rFonts w:cs="Times New Roman"/>
          <w:szCs w:val="24"/>
        </w:rPr>
      </w:pPr>
    </w:p>
    <w:p w14:paraId="63D2DE6B" w14:textId="77777777" w:rsidR="00A6510E" w:rsidRDefault="00A6510E" w:rsidP="000A5389">
      <w:pPr>
        <w:spacing w:line="240" w:lineRule="auto"/>
        <w:rPr>
          <w:rFonts w:cs="Times New Roman"/>
          <w:szCs w:val="24"/>
        </w:rPr>
      </w:pPr>
      <w:r w:rsidRPr="00951AB1">
        <w:rPr>
          <w:rFonts w:cs="Times New Roman"/>
          <w:szCs w:val="24"/>
        </w:rPr>
        <w:t>Los ingresos se registraron contablemente con base en las Resoluciones No. 20255050015085 del 4 de noviembre de 2025, 20255050016565, 20255050016575 del 20 noviembre de 2025, 20255050017085 del 2 de diciembre de 2025 y 20255050017125 del 3 de diciembre de 2025, expedidas por la Vicepresidencia Ejecutiva de la Agencia Nacional de Infraestructura.</w:t>
      </w:r>
    </w:p>
    <w:p w14:paraId="38B6715F" w14:textId="77777777" w:rsidR="008C1734" w:rsidRPr="00951AB1" w:rsidRDefault="008C1734" w:rsidP="000A5389">
      <w:pPr>
        <w:spacing w:line="240" w:lineRule="auto"/>
        <w:rPr>
          <w:rFonts w:cs="Times New Roman"/>
          <w:szCs w:val="24"/>
        </w:rPr>
      </w:pPr>
    </w:p>
    <w:p w14:paraId="0A891D8F" w14:textId="0DF43170" w:rsidR="00A6510E" w:rsidRPr="00951AB1" w:rsidRDefault="00A6510E" w:rsidP="000A5389">
      <w:pPr>
        <w:pStyle w:val="Prrafodelista"/>
        <w:numPr>
          <w:ilvl w:val="0"/>
          <w:numId w:val="111"/>
        </w:numPr>
        <w:spacing w:line="240" w:lineRule="auto"/>
        <w:rPr>
          <w:rFonts w:cs="Times New Roman"/>
          <w:i/>
          <w:iCs/>
          <w:szCs w:val="24"/>
        </w:rPr>
      </w:pPr>
      <w:r w:rsidRPr="00951AB1">
        <w:rPr>
          <w:rFonts w:cs="Times New Roman"/>
          <w:szCs w:val="24"/>
        </w:rPr>
        <w:lastRenderedPageBreak/>
        <w:t>El valor de $5.244.234.181 a nombre de Cenit Transporte y Logística de Hidrocarburos S.A.S obedece a Pago parcial al Convenio Interadministrativo de Cooperación No. CI-013-2023, dando así cumplimiento a las obligaciones contractuales y compromisos del Convenio, en el marco de la sección 4.5 Fondeo de Subcuentas del Patrimonio Autónomo, literal (d) Subcuenta Otras Redes Ecopetrol; de la Parte Especial del Contrato de Concesión N.º 004 de 2022 del proyecto “Buenaventura-Loboguerrero-Buga, respecto a la creación y uso de la “Subcuenta Otras Redes Ecopetrol”; así como a las Cláusulas 7 a 10 del Convenio CENIT; que dada la terminación de Hitos se presenta en las Actas: “ACTA N.1 DE TERMINACIÓN DE HITO 1.1 “REALINEAMIENTO DE TUBERÍA DEL TRAMO ENTRE EL PK22+485 AL PK22+875 CORRESPONDIENTE AL PR24+435 AL PR24+803 y ACTA N.2. DE TERMINACIÓN DE HITO 2.1. “REALINEAMIENTO DE TUBERÍA DEL TRAMO UBICADO EN EL PK38+450 CORRESPONDIENTE AL PR41+150;</w:t>
      </w:r>
    </w:p>
    <w:p w14:paraId="686053F1" w14:textId="1B49B6F6" w:rsidR="5B0C84B6" w:rsidRDefault="5B0C84B6" w:rsidP="000A5389">
      <w:pPr>
        <w:spacing w:line="240" w:lineRule="auto"/>
        <w:rPr>
          <w:rFonts w:cs="Times New Roman"/>
          <w:i/>
          <w:iCs/>
          <w:szCs w:val="24"/>
        </w:rPr>
      </w:pPr>
    </w:p>
    <w:p w14:paraId="4C9C2C42" w14:textId="22F17740" w:rsidR="001D19B7" w:rsidRPr="00951AB1" w:rsidRDefault="001D19B7" w:rsidP="000A5389">
      <w:pPr>
        <w:spacing w:line="240" w:lineRule="auto"/>
        <w:rPr>
          <w:rFonts w:cs="Times New Roman"/>
          <w:i/>
          <w:iCs/>
          <w:szCs w:val="24"/>
        </w:rPr>
      </w:pPr>
      <w:r w:rsidRPr="00951AB1">
        <w:rPr>
          <w:rFonts w:cs="Times New Roman"/>
          <w:i/>
          <w:iCs/>
          <w:szCs w:val="24"/>
        </w:rPr>
        <w:t>Reintegros</w:t>
      </w:r>
      <w:r w:rsidR="00F158E9" w:rsidRPr="00951AB1">
        <w:rPr>
          <w:rFonts w:cs="Times New Roman"/>
          <w:i/>
          <w:iCs/>
          <w:szCs w:val="24"/>
        </w:rPr>
        <w:t xml:space="preserve">: </w:t>
      </w:r>
      <w:r w:rsidR="00AC2003" w:rsidRPr="00951AB1">
        <w:rPr>
          <w:rFonts w:cs="Times New Roman"/>
          <w:szCs w:val="24"/>
        </w:rPr>
        <w:t>para la vigencia 2025 se reconocieron</w:t>
      </w:r>
      <w:r w:rsidR="00E2527C" w:rsidRPr="00951AB1">
        <w:rPr>
          <w:rFonts w:cs="Times New Roman"/>
          <w:szCs w:val="24"/>
        </w:rPr>
        <w:t xml:space="preserve"> ingresos por </w:t>
      </w:r>
      <w:r w:rsidR="00AC2003" w:rsidRPr="00951AB1">
        <w:rPr>
          <w:rFonts w:cs="Times New Roman"/>
          <w:szCs w:val="24"/>
        </w:rPr>
        <w:t>reintegros</w:t>
      </w:r>
      <w:r w:rsidR="00CE67CB" w:rsidRPr="00951AB1">
        <w:rPr>
          <w:rFonts w:cs="Times New Roman"/>
          <w:szCs w:val="24"/>
        </w:rPr>
        <w:t xml:space="preserve"> por un valor de $ </w:t>
      </w:r>
      <w:r w:rsidR="00F57C62" w:rsidRPr="00951AB1">
        <w:rPr>
          <w:rFonts w:cs="Times New Roman"/>
          <w:szCs w:val="24"/>
        </w:rPr>
        <w:t xml:space="preserve">4.791.221.989 </w:t>
      </w:r>
      <w:r w:rsidR="00AC2003" w:rsidRPr="00951AB1">
        <w:rPr>
          <w:rFonts w:cs="Times New Roman"/>
          <w:szCs w:val="24"/>
        </w:rPr>
        <w:t>por conceptos de:</w:t>
      </w:r>
      <w:r w:rsidR="00E2527C" w:rsidRPr="00951AB1">
        <w:rPr>
          <w:rFonts w:cs="Times New Roman"/>
          <w:szCs w:val="24"/>
        </w:rPr>
        <w:t xml:space="preserve"> </w:t>
      </w:r>
      <w:r w:rsidR="00020038" w:rsidRPr="00951AB1">
        <w:rPr>
          <w:rFonts w:cs="Times New Roman"/>
          <w:szCs w:val="24"/>
        </w:rPr>
        <w:t xml:space="preserve">devoluciones en pago </w:t>
      </w:r>
      <w:r w:rsidR="00E73175" w:rsidRPr="00951AB1">
        <w:rPr>
          <w:rFonts w:cs="Times New Roman"/>
          <w:szCs w:val="24"/>
        </w:rPr>
        <w:t xml:space="preserve">depósitos judiciales, </w:t>
      </w:r>
      <w:r w:rsidR="00F57C62" w:rsidRPr="00951AB1">
        <w:rPr>
          <w:rFonts w:cs="Times New Roman"/>
          <w:szCs w:val="24"/>
        </w:rPr>
        <w:t>sentencias</w:t>
      </w:r>
      <w:r w:rsidR="002B3878" w:rsidRPr="00951AB1">
        <w:rPr>
          <w:rFonts w:cs="Times New Roman"/>
          <w:szCs w:val="24"/>
        </w:rPr>
        <w:t xml:space="preserve">, </w:t>
      </w:r>
      <w:r w:rsidR="00F10E84" w:rsidRPr="00951AB1">
        <w:rPr>
          <w:rFonts w:cs="Times New Roman"/>
          <w:szCs w:val="24"/>
        </w:rPr>
        <w:t>nomina</w:t>
      </w:r>
      <w:r w:rsidR="00D01CF9" w:rsidRPr="00951AB1">
        <w:rPr>
          <w:rFonts w:cs="Times New Roman"/>
          <w:szCs w:val="24"/>
        </w:rPr>
        <w:t>,</w:t>
      </w:r>
      <w:r w:rsidR="001A0D50" w:rsidRPr="00951AB1">
        <w:rPr>
          <w:rFonts w:cs="Times New Roman"/>
          <w:szCs w:val="24"/>
        </w:rPr>
        <w:t xml:space="preserve"> entre otros.</w:t>
      </w:r>
    </w:p>
    <w:p w14:paraId="294C16DA" w14:textId="77777777" w:rsidR="00A6510E" w:rsidRPr="00951AB1" w:rsidRDefault="00A6510E" w:rsidP="000A5389">
      <w:pPr>
        <w:spacing w:line="240" w:lineRule="auto"/>
        <w:rPr>
          <w:rFonts w:cs="Times New Roman"/>
          <w:i/>
          <w:iCs/>
          <w:szCs w:val="24"/>
        </w:rPr>
      </w:pPr>
    </w:p>
    <w:p w14:paraId="33242C39" w14:textId="1832FCDC" w:rsidR="00890F08" w:rsidRPr="00951AB1" w:rsidRDefault="00680B94" w:rsidP="000A5389">
      <w:pPr>
        <w:spacing w:line="240" w:lineRule="auto"/>
        <w:rPr>
          <w:rFonts w:eastAsia="Times New Roman" w:cs="Times New Roman"/>
          <w:bCs/>
          <w:szCs w:val="24"/>
        </w:rPr>
      </w:pPr>
      <w:r w:rsidRPr="00951AB1">
        <w:rPr>
          <w:rFonts w:eastAsia="Times New Roman" w:cs="Times New Roman"/>
          <w:bCs/>
          <w:i/>
          <w:iCs/>
          <w:szCs w:val="24"/>
          <w:lang w:val="es-ES"/>
        </w:rPr>
        <w:t>Laudos arbitrales y conciliaciones extrajudiciales a favor de la entidad:</w:t>
      </w:r>
      <w:r w:rsidR="00FF440D" w:rsidRPr="00951AB1">
        <w:rPr>
          <w:rFonts w:eastAsia="Times New Roman" w:cs="Times New Roman"/>
          <w:bCs/>
          <w:i/>
          <w:iCs/>
          <w:szCs w:val="24"/>
          <w:lang w:val="es-ES"/>
        </w:rPr>
        <w:t xml:space="preserve"> S</w:t>
      </w:r>
      <w:r w:rsidR="00890F08" w:rsidRPr="00951AB1">
        <w:rPr>
          <w:rFonts w:eastAsia="Times New Roman" w:cs="Times New Roman"/>
          <w:bCs/>
          <w:szCs w:val="24"/>
        </w:rPr>
        <w:t>e registró contablemente el valor de $4.365.278.051 a favor de la ANI, por la demanda de reconvención reformada por la Agencia Nacional de Infraestructura - ANI, decretado en el Laudo arbitral No. 141971, Auto No. 86 del 26 de mayo de 2025 ejecutoriado el 30 de mayo de 2025, iniciado por la Sociedad Concesión Santa Marta Paraguachón S.A. contra ANI, del proyecto de concesión Santa Marta Paraguachón. Lo anterior, informado por el Coordinador del Grupo Interno de Trabajo de Defensa Judicial de la Vicepresidencia Jurídica mediante el memorando con Radicado ANI No.: 20257010096003 del 03 de junio de 2025 y por la Vicepresidencia Ejecutiva mediante el formato GADF-F-120 Liquidación de la deuda con fines contables con corte al 30 de junio de 2025.</w:t>
      </w:r>
      <w:r w:rsidR="00FF440D" w:rsidRPr="00951AB1">
        <w:rPr>
          <w:rFonts w:eastAsia="Times New Roman" w:cs="Times New Roman"/>
          <w:bCs/>
          <w:szCs w:val="24"/>
        </w:rPr>
        <w:t xml:space="preserve"> </w:t>
      </w:r>
      <w:r w:rsidR="00890F08" w:rsidRPr="00951AB1">
        <w:rPr>
          <w:rFonts w:eastAsia="Times New Roman" w:cs="Times New Roman"/>
          <w:bCs/>
          <w:szCs w:val="24"/>
        </w:rPr>
        <w:t>Su contrapartida se produjo en la subcuenta contable 133802001 Laudos arbitrales y conciliaciones extrajudiciales. </w:t>
      </w:r>
    </w:p>
    <w:p w14:paraId="51F6E791" w14:textId="77777777" w:rsidR="00A17051" w:rsidRPr="00951AB1" w:rsidRDefault="00A17051" w:rsidP="000A5389">
      <w:pPr>
        <w:spacing w:line="240" w:lineRule="auto"/>
        <w:rPr>
          <w:rFonts w:cs="Times New Roman"/>
          <w:i/>
          <w:iCs/>
          <w:szCs w:val="24"/>
        </w:rPr>
      </w:pPr>
    </w:p>
    <w:p w14:paraId="369C60B6" w14:textId="3583A0CB" w:rsidR="00A17051" w:rsidRPr="00951AB1" w:rsidRDefault="004649ED" w:rsidP="000A5389">
      <w:pPr>
        <w:spacing w:line="240" w:lineRule="auto"/>
        <w:rPr>
          <w:rFonts w:cs="Times New Roman"/>
        </w:rPr>
      </w:pPr>
      <w:r w:rsidRPr="00951AB1">
        <w:rPr>
          <w:rFonts w:cs="Times New Roman"/>
          <w:i/>
          <w:iCs/>
          <w:szCs w:val="24"/>
        </w:rPr>
        <w:t xml:space="preserve">Arrendamientos operativos: </w:t>
      </w:r>
      <w:r w:rsidRPr="00951AB1">
        <w:rPr>
          <w:rFonts w:cs="Times New Roman"/>
          <w:szCs w:val="24"/>
        </w:rPr>
        <w:t xml:space="preserve">Corresponde a </w:t>
      </w:r>
      <w:r w:rsidR="00A17051" w:rsidRPr="00951AB1">
        <w:rPr>
          <w:rFonts w:eastAsia="Times New Roman" w:cs="Times New Roman"/>
          <w:szCs w:val="24"/>
          <w:lang w:val="es-ES"/>
        </w:rPr>
        <w:t>Ingresos por el uso de activos por parte de terceros</w:t>
      </w:r>
      <w:r w:rsidRPr="00951AB1">
        <w:rPr>
          <w:rFonts w:eastAsia="Times New Roman" w:cs="Times New Roman"/>
          <w:szCs w:val="24"/>
          <w:lang w:val="es-ES"/>
        </w:rPr>
        <w:t xml:space="preserve">. </w:t>
      </w:r>
      <w:r w:rsidR="00A17051" w:rsidRPr="00951AB1">
        <w:rPr>
          <w:rFonts w:eastAsia="Times New Roman" w:cs="Times New Roman"/>
          <w:color w:val="000000" w:themeColor="text1"/>
          <w:szCs w:val="24"/>
          <w:lang w:val="es-ES"/>
        </w:rPr>
        <w:t xml:space="preserve">La Agencia Nacional de Infraestructura percibe </w:t>
      </w:r>
      <w:r w:rsidR="00A17051" w:rsidRPr="00951AB1">
        <w:rPr>
          <w:rFonts w:cs="Times New Roman"/>
        </w:rPr>
        <w:t>arrendamientos operativos en virtud de los Contratos de Obra suscritos con los diferentes terceros (operadores) que tienen la obligación de ejecutar actividades de mantenimiento, conservación y mejoramiento de la infraestructura férrea entregada y que hacen parte de los tramos desafectados.</w:t>
      </w:r>
    </w:p>
    <w:p w14:paraId="5D9C52FD" w14:textId="085839A6" w:rsidR="00A17051" w:rsidRPr="00951AB1" w:rsidRDefault="00A17051" w:rsidP="000A5389">
      <w:pPr>
        <w:spacing w:line="240" w:lineRule="auto"/>
        <w:rPr>
          <w:rFonts w:cs="Times New Roman"/>
          <w:i/>
          <w:iCs/>
          <w:szCs w:val="24"/>
        </w:rPr>
      </w:pPr>
      <w:r w:rsidRPr="00951AB1">
        <w:rPr>
          <w:rFonts w:eastAsia="Times New Roman" w:cs="Times New Roman"/>
          <w:color w:val="000000" w:themeColor="text1"/>
          <w:szCs w:val="24"/>
          <w:lang w:val="es-ES"/>
        </w:rPr>
        <w:t xml:space="preserve"> </w:t>
      </w:r>
    </w:p>
    <w:p w14:paraId="1CC57D69" w14:textId="6147F9F6" w:rsidR="00142049" w:rsidRPr="00951AB1" w:rsidRDefault="29094DC9" w:rsidP="000A5389">
      <w:pPr>
        <w:spacing w:line="240" w:lineRule="auto"/>
        <w:rPr>
          <w:rFonts w:cs="Times New Roman"/>
          <w:szCs w:val="24"/>
        </w:rPr>
      </w:pPr>
      <w:r w:rsidRPr="5B0C84B6">
        <w:rPr>
          <w:rFonts w:eastAsia="Times New Roman" w:cs="Times New Roman"/>
          <w:color w:val="000000" w:themeColor="text1"/>
          <w:szCs w:val="24"/>
          <w:lang w:val="es-ES"/>
        </w:rPr>
        <w:t>D</w:t>
      </w:r>
      <w:r w:rsidR="1EEE44CC" w:rsidRPr="5B0C84B6">
        <w:rPr>
          <w:rFonts w:eastAsia="Times New Roman" w:cs="Times New Roman"/>
          <w:color w:val="000000" w:themeColor="text1"/>
          <w:szCs w:val="24"/>
          <w:lang w:val="es-ES"/>
        </w:rPr>
        <w:t>urante</w:t>
      </w:r>
      <w:r w:rsidR="00A17051" w:rsidRPr="00951AB1">
        <w:rPr>
          <w:rFonts w:eastAsia="Times New Roman" w:cs="Times New Roman"/>
          <w:color w:val="000000" w:themeColor="text1"/>
          <w:szCs w:val="24"/>
          <w:lang w:val="es-ES"/>
        </w:rPr>
        <w:t xml:space="preserve"> la vigencia 2025 se percibieron ingresos por </w:t>
      </w:r>
      <w:r w:rsidR="00A17051" w:rsidRPr="00951AB1">
        <w:rPr>
          <w:rFonts w:cs="Times New Roman"/>
          <w:szCs w:val="24"/>
        </w:rPr>
        <w:t>arrendamientos operativos en virtud de los Contratos de Obra suscritos con los diferentes terceros (operadores) que tienen la obligación de ejecutar actividades de mantenimiento, conservación y mejoramiento de la infraestructura férrea entregada y que hacen parte de los tramos desafectados, por un valor de $ 1.131.634.033</w:t>
      </w:r>
      <w:r w:rsidR="008C1734">
        <w:rPr>
          <w:rFonts w:cs="Times New Roman"/>
          <w:szCs w:val="24"/>
        </w:rPr>
        <w:t>.</w:t>
      </w:r>
    </w:p>
    <w:p w14:paraId="72DF57E7" w14:textId="77777777" w:rsidR="002A13D5" w:rsidRPr="00951AB1" w:rsidRDefault="002A13D5" w:rsidP="000A5389">
      <w:pPr>
        <w:spacing w:line="240" w:lineRule="auto"/>
        <w:rPr>
          <w:rFonts w:eastAsia="Times New Roman" w:cs="Times New Roman"/>
          <w:b/>
          <w:bCs/>
          <w:szCs w:val="24"/>
          <w:lang w:val="es-ES"/>
        </w:rPr>
      </w:pPr>
    </w:p>
    <w:p w14:paraId="7D3C2EC7" w14:textId="77777777" w:rsidR="002A13D5" w:rsidRPr="00951AB1" w:rsidRDefault="002A13D5" w:rsidP="000A5389">
      <w:pPr>
        <w:spacing w:line="240" w:lineRule="auto"/>
        <w:rPr>
          <w:rFonts w:eastAsia="Times New Roman" w:cs="Times New Roman"/>
          <w:bCs/>
          <w:i/>
          <w:iCs/>
          <w:szCs w:val="24"/>
          <w:lang w:val="es-ES"/>
        </w:rPr>
      </w:pPr>
      <w:r w:rsidRPr="00951AB1">
        <w:rPr>
          <w:rFonts w:eastAsia="Times New Roman" w:cs="Times New Roman"/>
          <w:bCs/>
          <w:i/>
          <w:iCs/>
          <w:szCs w:val="24"/>
          <w:lang w:val="es-ES"/>
        </w:rPr>
        <w:t>Derechos de sustitución de activos deteriorados por daño físico</w:t>
      </w:r>
    </w:p>
    <w:p w14:paraId="4D9B6B8C" w14:textId="2DFB32B3" w:rsidR="009A5576" w:rsidRPr="00951AB1" w:rsidRDefault="009A5576" w:rsidP="000A5389">
      <w:pPr>
        <w:spacing w:line="240" w:lineRule="auto"/>
        <w:rPr>
          <w:rFonts w:eastAsia="Times New Roman" w:cs="Times New Roman"/>
          <w:b/>
          <w:color w:val="1F3864" w:themeColor="accent1" w:themeShade="80"/>
          <w:szCs w:val="24"/>
          <w:lang w:val="es-ES"/>
        </w:rPr>
      </w:pPr>
      <w:r w:rsidRPr="00951AB1">
        <w:rPr>
          <w:rFonts w:eastAsia="Times New Roman" w:cs="Times New Roman"/>
          <w:bCs/>
          <w:szCs w:val="24"/>
          <w:lang w:val="es-ES"/>
        </w:rPr>
        <w:lastRenderedPageBreak/>
        <w:t xml:space="preserve">Se registra </w:t>
      </w:r>
      <w:r w:rsidR="006603D2" w:rsidRPr="00951AB1">
        <w:rPr>
          <w:rFonts w:eastAsia="Times New Roman" w:cs="Times New Roman"/>
          <w:bCs/>
          <w:szCs w:val="24"/>
          <w:lang w:val="es-ES"/>
        </w:rPr>
        <w:t xml:space="preserve">la reversión del deterioro conforme </w:t>
      </w:r>
      <w:r w:rsidR="00E43289" w:rsidRPr="00951AB1">
        <w:rPr>
          <w:rFonts w:eastAsia="Times New Roman" w:cs="Times New Roman"/>
          <w:bCs/>
          <w:szCs w:val="24"/>
          <w:lang w:val="es-ES"/>
        </w:rPr>
        <w:t>a lo informado mediante formato</w:t>
      </w:r>
      <w:r w:rsidR="00E43289" w:rsidRPr="00951AB1">
        <w:rPr>
          <w:rFonts w:eastAsia="Times New Roman" w:cs="Times New Roman"/>
          <w:b/>
          <w:szCs w:val="24"/>
          <w:lang w:val="es-ES"/>
        </w:rPr>
        <w:t xml:space="preserve"> </w:t>
      </w:r>
      <w:r w:rsidR="00E43289" w:rsidRPr="00951AB1">
        <w:rPr>
          <w:rFonts w:cs="Times New Roman"/>
          <w:szCs w:val="24"/>
        </w:rPr>
        <w:t>GADF-F-091 “</w:t>
      </w:r>
      <w:r w:rsidR="00E43289" w:rsidRPr="00951AB1">
        <w:rPr>
          <w:rFonts w:cs="Times New Roman"/>
          <w:i/>
          <w:iCs/>
          <w:szCs w:val="24"/>
        </w:rPr>
        <w:t>Test de indicios de deterioro del valor de los activos asociados al modo de transporte carretero</w:t>
      </w:r>
      <w:r w:rsidR="00E43289" w:rsidRPr="00951AB1">
        <w:rPr>
          <w:rFonts w:cs="Times New Roman"/>
          <w:szCs w:val="24"/>
        </w:rPr>
        <w:t xml:space="preserve">”, </w:t>
      </w:r>
      <w:r w:rsidR="00727B53" w:rsidRPr="00951AB1">
        <w:rPr>
          <w:rFonts w:cs="Times New Roman"/>
          <w:szCs w:val="24"/>
        </w:rPr>
        <w:t>de los siguientes proyectos del modo de transporte carretero</w:t>
      </w:r>
    </w:p>
    <w:p w14:paraId="08DB7DDC" w14:textId="77777777" w:rsidR="002A13D5" w:rsidRPr="00951AB1" w:rsidRDefault="002A13D5" w:rsidP="000A5389">
      <w:pPr>
        <w:spacing w:line="240" w:lineRule="auto"/>
        <w:rPr>
          <w:rFonts w:cs="Times New Roman"/>
        </w:rPr>
      </w:pPr>
    </w:p>
    <w:p w14:paraId="6778143F" w14:textId="69221C3C" w:rsidR="00E62FD7" w:rsidRPr="00951AB1" w:rsidRDefault="00727B53" w:rsidP="000A5389">
      <w:pPr>
        <w:pStyle w:val="Prrafodelista"/>
        <w:numPr>
          <w:ilvl w:val="0"/>
          <w:numId w:val="47"/>
        </w:numPr>
        <w:spacing w:line="240" w:lineRule="auto"/>
        <w:rPr>
          <w:rFonts w:cs="Times New Roman"/>
          <w:szCs w:val="24"/>
        </w:rPr>
      </w:pPr>
      <w:r w:rsidRPr="00951AB1">
        <w:rPr>
          <w:rFonts w:cs="Times New Roman"/>
          <w:szCs w:val="24"/>
        </w:rPr>
        <w:t>P</w:t>
      </w:r>
      <w:r w:rsidR="002A13D5" w:rsidRPr="00951AB1">
        <w:rPr>
          <w:rFonts w:cs="Times New Roman"/>
          <w:szCs w:val="24"/>
        </w:rPr>
        <w:t>royecto Transversal del SISGA, Contrato de Concesión No. 009-2015</w:t>
      </w:r>
      <w:r w:rsidR="0037312A" w:rsidRPr="00951AB1">
        <w:rPr>
          <w:rFonts w:cs="Times New Roman"/>
          <w:szCs w:val="24"/>
        </w:rPr>
        <w:t xml:space="preserve"> -</w:t>
      </w:r>
      <w:r w:rsidR="002A13D5" w:rsidRPr="00951AB1">
        <w:rPr>
          <w:rFonts w:cs="Times New Roman"/>
          <w:szCs w:val="24"/>
        </w:rPr>
        <w:t xml:space="preserve"> CONCESION TRANSVERSAL DEL SISGA S.A.S.</w:t>
      </w:r>
    </w:p>
    <w:p w14:paraId="4B9041F1" w14:textId="1189C393" w:rsidR="00727B53" w:rsidRPr="00951AB1" w:rsidRDefault="002E0820" w:rsidP="000A5389">
      <w:pPr>
        <w:pStyle w:val="Prrafodelista"/>
        <w:numPr>
          <w:ilvl w:val="0"/>
          <w:numId w:val="47"/>
        </w:numPr>
        <w:spacing w:line="240" w:lineRule="auto"/>
        <w:rPr>
          <w:rFonts w:cs="Times New Roman"/>
          <w:szCs w:val="24"/>
        </w:rPr>
      </w:pPr>
      <w:r w:rsidRPr="00951AB1">
        <w:rPr>
          <w:rFonts w:cs="Times New Roman"/>
          <w:szCs w:val="24"/>
        </w:rPr>
        <w:t xml:space="preserve">Proyecto Santana Mocoa Neiva </w:t>
      </w:r>
      <w:r w:rsidR="0037312A" w:rsidRPr="00951AB1">
        <w:rPr>
          <w:rFonts w:cs="Times New Roman"/>
          <w:szCs w:val="24"/>
        </w:rPr>
        <w:t xml:space="preserve">Contrato de Concesión No. 012-2025 CONCESIONARIA RUTA AL SUR </w:t>
      </w:r>
    </w:p>
    <w:p w14:paraId="2DFDECC9" w14:textId="3F3AFA2C" w:rsidR="00AC5A4F" w:rsidRPr="00951AB1" w:rsidRDefault="002A13D5" w:rsidP="000A5389">
      <w:pPr>
        <w:pStyle w:val="Prrafodelista"/>
        <w:spacing w:line="240" w:lineRule="auto"/>
        <w:rPr>
          <w:rFonts w:cs="Times New Roman"/>
          <w:szCs w:val="24"/>
        </w:rPr>
      </w:pPr>
      <w:r w:rsidRPr="00951AB1">
        <w:rPr>
          <w:rFonts w:cs="Times New Roman"/>
          <w:szCs w:val="24"/>
        </w:rPr>
        <w:t> </w:t>
      </w:r>
    </w:p>
    <w:p w14:paraId="0171A98C" w14:textId="7FE70989" w:rsidR="00AC5A4F" w:rsidRDefault="00AC5A4F" w:rsidP="000A5389">
      <w:pPr>
        <w:spacing w:line="240" w:lineRule="auto"/>
        <w:rPr>
          <w:rFonts w:eastAsia="Times New Roman" w:cs="Times New Roman"/>
          <w:bCs/>
          <w:szCs w:val="24"/>
          <w:lang w:val="es-ES"/>
        </w:rPr>
      </w:pPr>
      <w:r w:rsidRPr="00951AB1">
        <w:rPr>
          <w:rFonts w:eastAsia="Times New Roman" w:cs="Times New Roman"/>
          <w:i/>
          <w:szCs w:val="24"/>
          <w:lang w:val="es-ES"/>
        </w:rPr>
        <w:t>Costas procesales a favor de la entidad</w:t>
      </w:r>
      <w:r w:rsidR="00327966" w:rsidRPr="00951AB1">
        <w:rPr>
          <w:rFonts w:eastAsia="Times New Roman" w:cs="Times New Roman"/>
          <w:bCs/>
          <w:i/>
          <w:iCs/>
          <w:szCs w:val="24"/>
          <w:lang w:val="es-ES"/>
        </w:rPr>
        <w:t xml:space="preserve">: </w:t>
      </w:r>
      <w:r w:rsidR="00DB452A" w:rsidRPr="00951AB1">
        <w:rPr>
          <w:rFonts w:eastAsia="Times New Roman" w:cs="Times New Roman"/>
          <w:bCs/>
          <w:szCs w:val="24"/>
          <w:lang w:val="es-ES"/>
        </w:rPr>
        <w:t xml:space="preserve">La agencia Nacional de infraestructura para la vigencia </w:t>
      </w:r>
      <w:r w:rsidR="006B5FB5" w:rsidRPr="00951AB1">
        <w:rPr>
          <w:rFonts w:eastAsia="Times New Roman" w:cs="Times New Roman"/>
          <w:bCs/>
          <w:szCs w:val="24"/>
          <w:lang w:val="es-ES"/>
        </w:rPr>
        <w:t xml:space="preserve">percibió ingresos por concepto de constas procesales, de acuerdo </w:t>
      </w:r>
      <w:r w:rsidR="5907E71A" w:rsidRPr="5B0C84B6">
        <w:rPr>
          <w:rFonts w:eastAsia="Times New Roman" w:cs="Times New Roman"/>
          <w:szCs w:val="24"/>
          <w:lang w:val="es-ES"/>
        </w:rPr>
        <w:t>con el</w:t>
      </w:r>
      <w:r w:rsidR="006B5FB5" w:rsidRPr="00951AB1">
        <w:rPr>
          <w:rFonts w:eastAsia="Times New Roman" w:cs="Times New Roman"/>
          <w:bCs/>
          <w:szCs w:val="24"/>
          <w:lang w:val="es-ES"/>
        </w:rPr>
        <w:t xml:space="preserve"> siguiente detalle:</w:t>
      </w:r>
    </w:p>
    <w:p w14:paraId="773956C5" w14:textId="5DA0E7D7" w:rsidR="006B5FB5" w:rsidRPr="00951AB1" w:rsidRDefault="00FB4421" w:rsidP="000A5389">
      <w:pPr>
        <w:spacing w:line="240" w:lineRule="auto"/>
        <w:rPr>
          <w:rFonts w:eastAsia="Times New Roman" w:cs="Times New Roman"/>
          <w:bCs/>
          <w:szCs w:val="24"/>
        </w:rPr>
      </w:pPr>
      <w:r w:rsidRPr="00951AB1">
        <w:rPr>
          <w:rFonts w:eastAsia="Times New Roman" w:cs="Times New Roman"/>
          <w:bCs/>
          <w:szCs w:val="24"/>
          <w:lang w:val="es-ES"/>
        </w:rPr>
        <w:t xml:space="preserve">Se reconoció el valor de $ </w:t>
      </w:r>
      <w:r w:rsidR="00EA560A" w:rsidRPr="00951AB1">
        <w:rPr>
          <w:rFonts w:eastAsia="Times New Roman" w:cs="Times New Roman"/>
          <w:bCs/>
          <w:szCs w:val="24"/>
          <w:lang w:val="es-ES"/>
        </w:rPr>
        <w:t xml:space="preserve">13.000.000, </w:t>
      </w:r>
      <w:r w:rsidR="003A5A84" w:rsidRPr="00951AB1">
        <w:rPr>
          <w:rFonts w:eastAsia="Times New Roman" w:cs="Times New Roman"/>
          <w:bCs/>
          <w:szCs w:val="24"/>
          <w:lang w:val="es-ES"/>
        </w:rPr>
        <w:t>por agencia</w:t>
      </w:r>
      <w:r w:rsidR="00EB4338" w:rsidRPr="00951AB1">
        <w:rPr>
          <w:rFonts w:eastAsia="Times New Roman" w:cs="Times New Roman"/>
          <w:bCs/>
          <w:szCs w:val="24"/>
          <w:lang w:val="es-ES"/>
        </w:rPr>
        <w:t>s</w:t>
      </w:r>
      <w:r w:rsidR="003A5A84" w:rsidRPr="00951AB1">
        <w:rPr>
          <w:rFonts w:eastAsia="Times New Roman" w:cs="Times New Roman"/>
          <w:bCs/>
          <w:szCs w:val="24"/>
          <w:lang w:val="es-ES"/>
        </w:rPr>
        <w:t xml:space="preserve"> de derecho a favor de la ANI</w:t>
      </w:r>
      <w:r w:rsidR="00674A52" w:rsidRPr="00951AB1">
        <w:rPr>
          <w:rFonts w:eastAsia="Times New Roman" w:cs="Times New Roman"/>
          <w:bCs/>
          <w:szCs w:val="24"/>
          <w:lang w:val="es-ES"/>
        </w:rPr>
        <w:t xml:space="preserve"> dentro </w:t>
      </w:r>
      <w:r w:rsidR="00EB4338" w:rsidRPr="00951AB1">
        <w:rPr>
          <w:rFonts w:eastAsia="Times New Roman" w:cs="Times New Roman"/>
          <w:bCs/>
          <w:szCs w:val="24"/>
        </w:rPr>
        <w:t>Recurso Extraordinario de Anulación contra el Laudo proferido el 17-04-2023 por el tercero CONCESIONARIA NUEVA VIA AL MAR S.A.S.</w:t>
      </w:r>
    </w:p>
    <w:p w14:paraId="1F029B32" w14:textId="77777777" w:rsidR="004F4B36" w:rsidRPr="00951AB1" w:rsidRDefault="004F4B36" w:rsidP="000A5389">
      <w:pPr>
        <w:spacing w:line="240" w:lineRule="auto"/>
        <w:rPr>
          <w:rFonts w:eastAsia="Times New Roman" w:cs="Times New Roman"/>
          <w:bCs/>
          <w:szCs w:val="24"/>
        </w:rPr>
      </w:pPr>
    </w:p>
    <w:p w14:paraId="5CB4744F" w14:textId="76B1BC7C" w:rsidR="004F4B36" w:rsidRPr="00951AB1" w:rsidRDefault="004F4B36" w:rsidP="000A5389">
      <w:pPr>
        <w:spacing w:line="240" w:lineRule="auto"/>
        <w:rPr>
          <w:rFonts w:eastAsia="Times New Roman" w:cs="Times New Roman"/>
          <w:bCs/>
          <w:szCs w:val="24"/>
          <w:lang w:val="es-ES"/>
        </w:rPr>
      </w:pPr>
      <w:r w:rsidRPr="00951AB1">
        <w:rPr>
          <w:rFonts w:eastAsia="Times New Roman" w:cs="Times New Roman"/>
          <w:bCs/>
          <w:szCs w:val="24"/>
          <w:lang w:val="es-ES"/>
        </w:rPr>
        <w:t>Se reconoció el valor de $ 14.813.138</w:t>
      </w:r>
      <w:r w:rsidR="0072387F" w:rsidRPr="00951AB1">
        <w:rPr>
          <w:rFonts w:eastAsia="Times New Roman" w:cs="Times New Roman"/>
          <w:bCs/>
          <w:szCs w:val="24"/>
          <w:lang w:val="es-ES"/>
        </w:rPr>
        <w:t xml:space="preserve">, por costas procesales tasadas a favor de la ANI </w:t>
      </w:r>
      <w:r w:rsidR="002F65B1" w:rsidRPr="00951AB1">
        <w:rPr>
          <w:rFonts w:eastAsia="Times New Roman" w:cs="Times New Roman"/>
          <w:bCs/>
          <w:szCs w:val="24"/>
          <w:lang w:val="es-ES"/>
        </w:rPr>
        <w:t xml:space="preserve">dentro del radicado </w:t>
      </w:r>
      <w:r w:rsidR="00A70225" w:rsidRPr="00951AB1">
        <w:rPr>
          <w:rFonts w:eastAsia="Times New Roman" w:cs="Times New Roman"/>
          <w:bCs/>
          <w:szCs w:val="24"/>
        </w:rPr>
        <w:t xml:space="preserve">68001233300020150078900 </w:t>
      </w:r>
      <w:r w:rsidR="002F65B1" w:rsidRPr="00951AB1">
        <w:rPr>
          <w:rFonts w:eastAsia="Times New Roman" w:cs="Times New Roman"/>
          <w:bCs/>
          <w:szCs w:val="24"/>
        </w:rPr>
        <w:t xml:space="preserve">demandante </w:t>
      </w:r>
      <w:r w:rsidR="00A70225" w:rsidRPr="00951AB1">
        <w:rPr>
          <w:rFonts w:eastAsia="Times New Roman" w:cs="Times New Roman"/>
          <w:bCs/>
          <w:szCs w:val="24"/>
        </w:rPr>
        <w:t>AEROPUERTOS DE ORIENTE S.A.S.</w:t>
      </w:r>
    </w:p>
    <w:p w14:paraId="00822120" w14:textId="078720CC" w:rsidR="00AC5A4F" w:rsidRPr="00951AB1" w:rsidRDefault="00AC5A4F" w:rsidP="000A5389">
      <w:pPr>
        <w:spacing w:line="240" w:lineRule="auto"/>
        <w:rPr>
          <w:rFonts w:eastAsia="Times New Roman" w:cs="Times New Roman"/>
          <w:b/>
          <w:color w:val="1F3864" w:themeColor="accent1" w:themeShade="80"/>
          <w:szCs w:val="24"/>
          <w:lang w:val="es-ES"/>
        </w:rPr>
      </w:pPr>
    </w:p>
    <w:p w14:paraId="5B0BAD94" w14:textId="1595A890" w:rsidR="007608D5" w:rsidRPr="00951AB1" w:rsidRDefault="00327966" w:rsidP="000A5389">
      <w:pPr>
        <w:spacing w:line="240" w:lineRule="auto"/>
        <w:rPr>
          <w:rFonts w:eastAsia="Times New Roman" w:cs="Times New Roman"/>
          <w:szCs w:val="24"/>
        </w:rPr>
      </w:pPr>
      <w:r w:rsidRPr="00951AB1">
        <w:rPr>
          <w:rFonts w:cs="Times New Roman"/>
          <w:i/>
          <w:iCs/>
          <w:szCs w:val="24"/>
        </w:rPr>
        <w:t>Indemnizaciones</w:t>
      </w:r>
      <w:r w:rsidRPr="00951AB1">
        <w:rPr>
          <w:rFonts w:cs="Times New Roman"/>
          <w:szCs w:val="24"/>
        </w:rPr>
        <w:t>:</w:t>
      </w:r>
      <w:r w:rsidR="007608D5" w:rsidRPr="00951AB1">
        <w:rPr>
          <w:rFonts w:cs="Times New Roman"/>
          <w:szCs w:val="24"/>
        </w:rPr>
        <w:t xml:space="preserve"> </w:t>
      </w:r>
      <w:r w:rsidR="007608D5" w:rsidRPr="00951AB1">
        <w:rPr>
          <w:rFonts w:eastAsia="Times New Roman" w:cs="Times New Roman"/>
          <w:szCs w:val="24"/>
          <w:lang w:val="es-ES"/>
        </w:rPr>
        <w:t xml:space="preserve">Se percibieron ingresos por valor de $ 5.299.900 por concepto de indemnizaciones </w:t>
      </w:r>
      <w:r w:rsidR="007608D5" w:rsidRPr="00951AB1">
        <w:rPr>
          <w:rFonts w:eastAsia="Times New Roman" w:cs="Times New Roman"/>
          <w:szCs w:val="24"/>
        </w:rPr>
        <w:t xml:space="preserve">de acuerdo con entrada a almacén del mes de agosto de 2025, equipo de cómputo entregado por el tercero UNION TEMPORAL AXA COLPATRIA SEGUROS S.A.- ASEGURADORA SOLIDARIA DE COLOMBIA -   MAPFRE SEGUROS GENERALES DE COLOMBIA S.A. - ANI2023. </w:t>
      </w:r>
    </w:p>
    <w:p w14:paraId="62E6FFD9" w14:textId="77777777" w:rsidR="00327966" w:rsidRPr="00951AB1" w:rsidRDefault="00327966" w:rsidP="000A5389">
      <w:pPr>
        <w:spacing w:line="240" w:lineRule="auto"/>
        <w:rPr>
          <w:rFonts w:cs="Times New Roman"/>
          <w:i/>
          <w:iCs/>
          <w:szCs w:val="24"/>
        </w:rPr>
      </w:pPr>
    </w:p>
    <w:p w14:paraId="68769FCC" w14:textId="699940D2" w:rsidR="008D3392" w:rsidRPr="00951AB1" w:rsidRDefault="00327966" w:rsidP="000A5389">
      <w:pPr>
        <w:spacing w:line="240" w:lineRule="auto"/>
        <w:rPr>
          <w:rFonts w:cs="Times New Roman"/>
          <w:i/>
          <w:iCs/>
          <w:szCs w:val="24"/>
        </w:rPr>
      </w:pPr>
      <w:r w:rsidRPr="00951AB1">
        <w:rPr>
          <w:rFonts w:cs="Times New Roman"/>
          <w:i/>
          <w:iCs/>
          <w:szCs w:val="24"/>
        </w:rPr>
        <w:t xml:space="preserve">Otros ingresos diversos: </w:t>
      </w:r>
      <w:r w:rsidR="005A205E" w:rsidRPr="00951AB1">
        <w:rPr>
          <w:rFonts w:cs="Times New Roman"/>
          <w:szCs w:val="24"/>
        </w:rPr>
        <w:t xml:space="preserve">se reconoció </w:t>
      </w:r>
      <w:r w:rsidR="005912AB" w:rsidRPr="00951AB1">
        <w:rPr>
          <w:rFonts w:cs="Times New Roman"/>
          <w:szCs w:val="24"/>
        </w:rPr>
        <w:t xml:space="preserve">por reposición de activos no financieros el valor </w:t>
      </w:r>
      <w:r w:rsidR="00763087" w:rsidRPr="00951AB1">
        <w:rPr>
          <w:rFonts w:cs="Times New Roman"/>
          <w:szCs w:val="24"/>
        </w:rPr>
        <w:t xml:space="preserve">de </w:t>
      </w:r>
      <w:r w:rsidR="73B5E2CF" w:rsidRPr="5B0C84B6">
        <w:rPr>
          <w:rFonts w:cs="Times New Roman"/>
          <w:szCs w:val="24"/>
        </w:rPr>
        <w:t>$</w:t>
      </w:r>
      <w:r w:rsidRPr="00951AB1">
        <w:rPr>
          <w:rFonts w:cs="Times New Roman"/>
          <w:szCs w:val="24"/>
        </w:rPr>
        <w:t>2</w:t>
      </w:r>
      <w:r w:rsidR="00763087" w:rsidRPr="00951AB1">
        <w:rPr>
          <w:rFonts w:cs="Times New Roman"/>
          <w:szCs w:val="24"/>
        </w:rPr>
        <w:t>.</w:t>
      </w:r>
      <w:r w:rsidRPr="00951AB1">
        <w:rPr>
          <w:rFonts w:cs="Times New Roman"/>
          <w:szCs w:val="24"/>
        </w:rPr>
        <w:t>869</w:t>
      </w:r>
      <w:r w:rsidR="00763087" w:rsidRPr="00951AB1">
        <w:rPr>
          <w:rFonts w:cs="Times New Roman"/>
          <w:szCs w:val="24"/>
        </w:rPr>
        <w:t>.</w:t>
      </w:r>
      <w:r w:rsidRPr="00951AB1">
        <w:rPr>
          <w:rFonts w:cs="Times New Roman"/>
          <w:szCs w:val="24"/>
        </w:rPr>
        <w:t>827</w:t>
      </w:r>
      <w:r w:rsidR="00763087" w:rsidRPr="00951AB1">
        <w:rPr>
          <w:rFonts w:cs="Times New Roman"/>
          <w:szCs w:val="24"/>
        </w:rPr>
        <w:t xml:space="preserve"> </w:t>
      </w:r>
      <w:r w:rsidR="00A83C50" w:rsidRPr="00951AB1">
        <w:rPr>
          <w:rFonts w:cs="Times New Roman"/>
          <w:szCs w:val="24"/>
        </w:rPr>
        <w:t>que corresponde a entrada de almacén</w:t>
      </w:r>
      <w:r w:rsidR="00E92998" w:rsidRPr="00951AB1">
        <w:rPr>
          <w:rFonts w:cs="Times New Roman"/>
          <w:szCs w:val="24"/>
        </w:rPr>
        <w:t xml:space="preserve"> No 001694</w:t>
      </w:r>
      <w:r w:rsidR="00A83C50" w:rsidRPr="00951AB1">
        <w:rPr>
          <w:rFonts w:cs="Times New Roman"/>
          <w:szCs w:val="24"/>
        </w:rPr>
        <w:t xml:space="preserve"> de fecha 08-09-2025</w:t>
      </w:r>
      <w:r w:rsidR="0019247C" w:rsidRPr="00951AB1">
        <w:rPr>
          <w:rFonts w:cs="Times New Roman"/>
          <w:szCs w:val="24"/>
        </w:rPr>
        <w:t xml:space="preserve"> por concepto de </w:t>
      </w:r>
      <w:r w:rsidR="00380FEF" w:rsidRPr="00951AB1">
        <w:rPr>
          <w:rFonts w:cs="Times New Roman"/>
          <w:szCs w:val="24"/>
        </w:rPr>
        <w:t xml:space="preserve">reintegro de elementos devolutivos (equipo de </w:t>
      </w:r>
      <w:r w:rsidR="00E92998" w:rsidRPr="00951AB1">
        <w:rPr>
          <w:rFonts w:cs="Times New Roman"/>
          <w:szCs w:val="24"/>
        </w:rPr>
        <w:t>cómputo</w:t>
      </w:r>
      <w:r w:rsidR="00380FEF" w:rsidRPr="00951AB1">
        <w:rPr>
          <w:rFonts w:cs="Times New Roman"/>
          <w:szCs w:val="24"/>
        </w:rPr>
        <w:t>)</w:t>
      </w:r>
      <w:r w:rsidR="00607F54" w:rsidRPr="00951AB1">
        <w:rPr>
          <w:rFonts w:cs="Times New Roman"/>
          <w:szCs w:val="24"/>
        </w:rPr>
        <w:t>.</w:t>
      </w:r>
      <w:r w:rsidR="00380FEF" w:rsidRPr="00951AB1">
        <w:rPr>
          <w:rFonts w:cs="Times New Roman"/>
          <w:szCs w:val="24"/>
        </w:rPr>
        <w:t xml:space="preserve"> </w:t>
      </w:r>
    </w:p>
    <w:p w14:paraId="03C951C5" w14:textId="0086FF1F" w:rsidR="00327966" w:rsidRPr="00951AB1" w:rsidRDefault="00327966" w:rsidP="000A5389">
      <w:pPr>
        <w:spacing w:line="240" w:lineRule="auto"/>
        <w:rPr>
          <w:rFonts w:cs="Times New Roman"/>
          <w:i/>
          <w:iCs/>
          <w:szCs w:val="24"/>
        </w:rPr>
      </w:pPr>
    </w:p>
    <w:p w14:paraId="13EF1706" w14:textId="4C9A2949" w:rsidR="00D37464" w:rsidRDefault="00D60DA6" w:rsidP="000A5389">
      <w:pPr>
        <w:spacing w:line="240" w:lineRule="auto"/>
        <w:rPr>
          <w:rFonts w:eastAsia="Times New Roman" w:cs="Times New Roman"/>
          <w:b/>
          <w:i/>
          <w:iCs/>
          <w:szCs w:val="24"/>
          <w:lang w:val="es-ES"/>
        </w:rPr>
      </w:pPr>
      <w:r w:rsidRPr="00951AB1">
        <w:rPr>
          <w:rFonts w:eastAsia="Times New Roman" w:cs="Times New Roman"/>
          <w:b/>
          <w:i/>
          <w:iCs/>
          <w:szCs w:val="24"/>
          <w:lang w:val="es-ES"/>
        </w:rPr>
        <w:t xml:space="preserve">Reversión de provisiones </w:t>
      </w:r>
    </w:p>
    <w:p w14:paraId="2D6B67F7" w14:textId="77777777" w:rsidR="008C1734" w:rsidRPr="00951AB1" w:rsidRDefault="008C1734" w:rsidP="000A5389">
      <w:pPr>
        <w:spacing w:line="240" w:lineRule="auto"/>
        <w:rPr>
          <w:rFonts w:eastAsia="Times New Roman" w:cs="Times New Roman"/>
          <w:b/>
          <w:i/>
          <w:iCs/>
          <w:szCs w:val="24"/>
          <w:lang w:val="es-ES"/>
        </w:rPr>
      </w:pPr>
    </w:p>
    <w:p w14:paraId="59648A94" w14:textId="5652F15C" w:rsidR="00D60DA6" w:rsidRPr="00951AB1" w:rsidRDefault="00D60DA6" w:rsidP="000A5389">
      <w:pPr>
        <w:spacing w:line="240" w:lineRule="auto"/>
        <w:rPr>
          <w:rFonts w:eastAsia="Times New Roman" w:cs="Times New Roman"/>
          <w:szCs w:val="24"/>
          <w:lang w:val="es-ES"/>
        </w:rPr>
      </w:pPr>
      <w:r w:rsidRPr="00951AB1">
        <w:rPr>
          <w:rFonts w:eastAsia="Times New Roman" w:cs="Times New Roman"/>
          <w:bCs/>
          <w:i/>
          <w:iCs/>
          <w:szCs w:val="24"/>
          <w:lang w:val="es-ES"/>
        </w:rPr>
        <w:t>Litigios y demandas y Provisiones diversas:</w:t>
      </w:r>
      <w:r w:rsidRPr="00951AB1">
        <w:rPr>
          <w:rFonts w:eastAsia="Times New Roman" w:cs="Times New Roman"/>
          <w:szCs w:val="24"/>
          <w:lang w:val="es"/>
        </w:rPr>
        <w:t xml:space="preserve"> </w:t>
      </w:r>
      <w:r w:rsidRPr="00951AB1">
        <w:rPr>
          <w:rFonts w:eastAsia="Times New Roman" w:cs="Times New Roman"/>
          <w:szCs w:val="24"/>
          <w:lang w:val="es-ES"/>
        </w:rPr>
        <w:t xml:space="preserve">Corresponde a las reversiones de las provisiones generas en la actualización de los procesos judiciales y arbitrales reportados por el GIT de Defensa Judicial con corte a 31 de diciembre de 2025. </w:t>
      </w:r>
    </w:p>
    <w:p w14:paraId="012538F8" w14:textId="77777777" w:rsidR="00D60DA6" w:rsidRPr="00951AB1" w:rsidRDefault="00D60DA6" w:rsidP="000A5389">
      <w:pPr>
        <w:spacing w:line="240" w:lineRule="auto"/>
        <w:rPr>
          <w:rFonts w:eastAsia="Times New Roman" w:cs="Times New Roman"/>
          <w:szCs w:val="24"/>
          <w:lang w:val="es-ES"/>
        </w:rPr>
      </w:pPr>
    </w:p>
    <w:p w14:paraId="0C073679" w14:textId="77777777" w:rsidR="00D60DA6" w:rsidRPr="00951AB1" w:rsidRDefault="00D60DA6" w:rsidP="000A5389">
      <w:pPr>
        <w:autoSpaceDE w:val="0"/>
        <w:autoSpaceDN w:val="0"/>
        <w:adjustRightInd w:val="0"/>
        <w:spacing w:line="240" w:lineRule="auto"/>
        <w:rPr>
          <w:rFonts w:cs="Times New Roman"/>
          <w:color w:val="000000"/>
          <w:szCs w:val="24"/>
        </w:rPr>
      </w:pPr>
      <w:r w:rsidRPr="00951AB1">
        <w:rPr>
          <w:rFonts w:cs="Times New Roman"/>
          <w:color w:val="000000"/>
          <w:szCs w:val="24"/>
        </w:rPr>
        <w:t xml:space="preserve">La principal variación en esta subcuenta se presenta por: </w:t>
      </w:r>
    </w:p>
    <w:p w14:paraId="0BC1722A" w14:textId="77777777" w:rsidR="00D60DA6" w:rsidRPr="00951AB1" w:rsidRDefault="00D60DA6" w:rsidP="000A5389">
      <w:pPr>
        <w:autoSpaceDE w:val="0"/>
        <w:autoSpaceDN w:val="0"/>
        <w:adjustRightInd w:val="0"/>
        <w:spacing w:line="240" w:lineRule="auto"/>
        <w:rPr>
          <w:rFonts w:cs="Times New Roman"/>
          <w:color w:val="000000"/>
          <w:szCs w:val="24"/>
        </w:rPr>
      </w:pPr>
    </w:p>
    <w:p w14:paraId="174568B3" w14:textId="77777777" w:rsidR="00D60DA6" w:rsidRPr="00951AB1" w:rsidRDefault="00D60DA6" w:rsidP="000A5389">
      <w:pPr>
        <w:pStyle w:val="Prrafodelista"/>
        <w:numPr>
          <w:ilvl w:val="0"/>
          <w:numId w:val="17"/>
        </w:numPr>
        <w:autoSpaceDE w:val="0"/>
        <w:autoSpaceDN w:val="0"/>
        <w:adjustRightInd w:val="0"/>
        <w:spacing w:line="240" w:lineRule="auto"/>
        <w:rPr>
          <w:rFonts w:cs="Times New Roman"/>
          <w:color w:val="000000"/>
          <w:szCs w:val="24"/>
        </w:rPr>
      </w:pPr>
      <w:r w:rsidRPr="00951AB1">
        <w:rPr>
          <w:rFonts w:cs="Times New Roman"/>
          <w:color w:val="000000"/>
          <w:szCs w:val="24"/>
        </w:rPr>
        <w:t>la actualización de procesos reconocidos en vigencias anteriores entre otras por: actualización del valor de pretensión de la demanda, modificación del porcentaje de condena en virtud de la sentencia de primera instancia</w:t>
      </w:r>
    </w:p>
    <w:p w14:paraId="5CCE5608" w14:textId="77777777" w:rsidR="00D60DA6" w:rsidRPr="00951AB1" w:rsidRDefault="00D60DA6" w:rsidP="000A5389">
      <w:pPr>
        <w:pStyle w:val="Prrafodelista"/>
        <w:numPr>
          <w:ilvl w:val="0"/>
          <w:numId w:val="17"/>
        </w:numPr>
        <w:autoSpaceDE w:val="0"/>
        <w:autoSpaceDN w:val="0"/>
        <w:adjustRightInd w:val="0"/>
        <w:spacing w:line="240" w:lineRule="auto"/>
        <w:rPr>
          <w:rFonts w:cs="Times New Roman"/>
          <w:color w:val="000000"/>
          <w:szCs w:val="24"/>
        </w:rPr>
      </w:pPr>
      <w:r w:rsidRPr="00951AB1">
        <w:rPr>
          <w:rFonts w:cs="Times New Roman"/>
          <w:color w:val="000000"/>
          <w:szCs w:val="24"/>
        </w:rPr>
        <w:t xml:space="preserve">La exclusión de procesos a la subcuenta de provisión contable, por cambios procesales o modificación en los criterios de calificación del riesgo por parte de los apoderados. </w:t>
      </w:r>
    </w:p>
    <w:p w14:paraId="72C75F89" w14:textId="77777777" w:rsidR="00D60DA6" w:rsidRPr="00951AB1" w:rsidRDefault="00D60DA6" w:rsidP="000A5389">
      <w:pPr>
        <w:autoSpaceDE w:val="0"/>
        <w:autoSpaceDN w:val="0"/>
        <w:adjustRightInd w:val="0"/>
        <w:spacing w:line="240" w:lineRule="auto"/>
        <w:rPr>
          <w:rFonts w:cs="Times New Roman"/>
          <w:color w:val="000000"/>
          <w:szCs w:val="24"/>
        </w:rPr>
      </w:pPr>
    </w:p>
    <w:p w14:paraId="1F537896" w14:textId="0398568F" w:rsidR="00D60DA6" w:rsidRDefault="00D60DA6" w:rsidP="000A5389">
      <w:pPr>
        <w:spacing w:line="240" w:lineRule="auto"/>
        <w:rPr>
          <w:rFonts w:eastAsia="Times New Roman" w:cs="Times New Roman"/>
          <w:szCs w:val="24"/>
          <w:lang w:val="es-ES"/>
        </w:rPr>
      </w:pPr>
      <w:r w:rsidRPr="00951AB1">
        <w:rPr>
          <w:rFonts w:eastAsia="Times New Roman" w:cs="Times New Roman"/>
          <w:szCs w:val="24"/>
          <w:lang w:val="es-ES"/>
        </w:rPr>
        <w:lastRenderedPageBreak/>
        <w:t>Se detallan por terceros:</w:t>
      </w:r>
    </w:p>
    <w:p w14:paraId="7B0B189F" w14:textId="77777777" w:rsidR="007559A9" w:rsidRPr="00951AB1" w:rsidRDefault="007559A9" w:rsidP="000A5389">
      <w:pPr>
        <w:spacing w:line="240" w:lineRule="auto"/>
        <w:rPr>
          <w:rFonts w:eastAsia="Times New Roman" w:cs="Times New Roman"/>
          <w:color w:val="000000" w:themeColor="text1"/>
          <w:szCs w:val="24"/>
          <w:lang w:val="es-ES"/>
        </w:rPr>
      </w:pPr>
    </w:p>
    <w:p w14:paraId="28AF9B18" w14:textId="63A0DF03" w:rsidR="00D60DA6" w:rsidRPr="00951AB1" w:rsidRDefault="00D60DA6" w:rsidP="000A5389">
      <w:pPr>
        <w:spacing w:line="240" w:lineRule="auto"/>
        <w:rPr>
          <w:rFonts w:eastAsia="Times New Roman" w:cs="Times New Roman"/>
          <w:b/>
          <w:color w:val="1F3864" w:themeColor="accent1" w:themeShade="80"/>
          <w:szCs w:val="24"/>
          <w:lang w:val="es-ES"/>
        </w:rPr>
      </w:pPr>
      <w:r w:rsidRPr="00951AB1">
        <w:rPr>
          <w:rFonts w:eastAsia="Times New Roman" w:cs="Times New Roman"/>
          <w:bCs/>
          <w:i/>
          <w:iCs/>
          <w:szCs w:val="24"/>
          <w:lang w:val="es-ES"/>
        </w:rPr>
        <w:t>Litigios y demandas</w:t>
      </w:r>
    </w:p>
    <w:tbl>
      <w:tblPr>
        <w:tblW w:w="5000" w:type="pct"/>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CellMar>
          <w:left w:w="70" w:type="dxa"/>
          <w:right w:w="70" w:type="dxa"/>
        </w:tblCellMar>
        <w:tblLook w:val="04A0" w:firstRow="1" w:lastRow="0" w:firstColumn="1" w:lastColumn="0" w:noHBand="0" w:noVBand="1"/>
      </w:tblPr>
      <w:tblGrid>
        <w:gridCol w:w="1140"/>
        <w:gridCol w:w="5798"/>
        <w:gridCol w:w="1890"/>
      </w:tblGrid>
      <w:tr w:rsidR="00D60DA6" w:rsidRPr="00951AB1" w14:paraId="73B29FF3" w14:textId="77777777" w:rsidTr="00794C0D">
        <w:trPr>
          <w:trHeight w:val="300"/>
          <w:tblHeader/>
        </w:trPr>
        <w:tc>
          <w:tcPr>
            <w:tcW w:w="4102" w:type="pct"/>
            <w:gridSpan w:val="2"/>
            <w:vAlign w:val="center"/>
            <w:hideMark/>
          </w:tcPr>
          <w:p w14:paraId="71079E68" w14:textId="77777777" w:rsidR="00D60DA6" w:rsidRPr="00951AB1" w:rsidRDefault="00D60DA6" w:rsidP="000A5389">
            <w:pPr>
              <w:spacing w:line="240" w:lineRule="auto"/>
              <w:jc w:val="center"/>
              <w:rPr>
                <w:rFonts w:eastAsia="Times New Roman" w:cs="Times New Roman"/>
                <w:b/>
                <w:bCs/>
                <w:color w:val="000000"/>
                <w:kern w:val="0"/>
                <w:sz w:val="20"/>
                <w:szCs w:val="20"/>
                <w:lang w:eastAsia="es-CO"/>
                <w14:ligatures w14:val="none"/>
              </w:rPr>
            </w:pPr>
            <w:r w:rsidRPr="00951AB1">
              <w:rPr>
                <w:rFonts w:eastAsia="Times New Roman" w:cs="Times New Roman"/>
                <w:b/>
                <w:bCs/>
                <w:color w:val="000000"/>
                <w:kern w:val="0"/>
                <w:sz w:val="20"/>
                <w:szCs w:val="20"/>
                <w:lang w:eastAsia="es-CO"/>
                <w14:ligatures w14:val="none"/>
              </w:rPr>
              <w:t>TERCERO</w:t>
            </w:r>
          </w:p>
        </w:tc>
        <w:tc>
          <w:tcPr>
            <w:tcW w:w="898" w:type="pct"/>
            <w:vAlign w:val="center"/>
            <w:hideMark/>
          </w:tcPr>
          <w:p w14:paraId="4C54FE75" w14:textId="77777777" w:rsidR="00D60DA6" w:rsidRPr="00951AB1" w:rsidRDefault="00D60DA6" w:rsidP="000A5389">
            <w:pPr>
              <w:spacing w:line="240" w:lineRule="auto"/>
              <w:jc w:val="center"/>
              <w:rPr>
                <w:rFonts w:eastAsia="Times New Roman" w:cs="Times New Roman"/>
                <w:b/>
                <w:bCs/>
                <w:color w:val="000000"/>
                <w:kern w:val="0"/>
                <w:sz w:val="20"/>
                <w:szCs w:val="20"/>
                <w:lang w:eastAsia="es-CO"/>
                <w14:ligatures w14:val="none"/>
              </w:rPr>
            </w:pPr>
            <w:r w:rsidRPr="00951AB1">
              <w:rPr>
                <w:rFonts w:eastAsia="Times New Roman" w:cs="Times New Roman"/>
                <w:b/>
                <w:bCs/>
                <w:color w:val="000000"/>
                <w:kern w:val="0"/>
                <w:sz w:val="20"/>
                <w:szCs w:val="20"/>
                <w:lang w:eastAsia="es-CO"/>
                <w14:ligatures w14:val="none"/>
              </w:rPr>
              <w:t xml:space="preserve"> SALDO 2025 </w:t>
            </w:r>
          </w:p>
        </w:tc>
      </w:tr>
      <w:tr w:rsidR="00D60DA6" w:rsidRPr="00951AB1" w14:paraId="6419C0FE" w14:textId="77777777" w:rsidTr="00794C0D">
        <w:trPr>
          <w:trHeight w:val="300"/>
        </w:trPr>
        <w:tc>
          <w:tcPr>
            <w:tcW w:w="590" w:type="pct"/>
            <w:noWrap/>
            <w:vAlign w:val="bottom"/>
            <w:hideMark/>
          </w:tcPr>
          <w:p w14:paraId="26AF1821" w14:textId="77777777" w:rsidR="00D60DA6" w:rsidRPr="00951AB1" w:rsidRDefault="00D60DA6" w:rsidP="000A5389">
            <w:pPr>
              <w:spacing w:line="240" w:lineRule="auto"/>
              <w:rPr>
                <w:rFonts w:eastAsia="Times New Roman" w:cs="Times New Roman"/>
                <w:color w:val="000000"/>
                <w:kern w:val="0"/>
                <w:sz w:val="20"/>
                <w:szCs w:val="20"/>
                <w:lang w:eastAsia="es-CO"/>
                <w14:ligatures w14:val="none"/>
              </w:rPr>
            </w:pPr>
            <w:r w:rsidRPr="00951AB1">
              <w:rPr>
                <w:rFonts w:eastAsia="Times New Roman" w:cs="Times New Roman"/>
                <w:color w:val="000000"/>
                <w:kern w:val="0"/>
                <w:sz w:val="20"/>
                <w:szCs w:val="20"/>
                <w:lang w:eastAsia="es-CO"/>
                <w14:ligatures w14:val="none"/>
              </w:rPr>
              <w:t>830059605</w:t>
            </w:r>
          </w:p>
        </w:tc>
        <w:tc>
          <w:tcPr>
            <w:tcW w:w="3511" w:type="pct"/>
            <w:noWrap/>
            <w:vAlign w:val="bottom"/>
            <w:hideMark/>
          </w:tcPr>
          <w:p w14:paraId="263D5E5D" w14:textId="412EC7B0" w:rsidR="00D60DA6" w:rsidRPr="00951AB1" w:rsidRDefault="00D60DA6" w:rsidP="000A5389">
            <w:pPr>
              <w:spacing w:line="240" w:lineRule="auto"/>
              <w:rPr>
                <w:rFonts w:eastAsia="Times New Roman" w:cs="Times New Roman"/>
                <w:color w:val="000000"/>
                <w:kern w:val="0"/>
                <w:sz w:val="20"/>
                <w:szCs w:val="20"/>
                <w:lang w:eastAsia="es-CO"/>
                <w14:ligatures w14:val="none"/>
              </w:rPr>
            </w:pPr>
            <w:r w:rsidRPr="00951AB1">
              <w:rPr>
                <w:rFonts w:eastAsia="Times New Roman" w:cs="Times New Roman"/>
                <w:color w:val="000000"/>
                <w:kern w:val="0"/>
                <w:sz w:val="20"/>
                <w:szCs w:val="20"/>
                <w:lang w:eastAsia="es-CO"/>
                <w14:ligatures w14:val="none"/>
              </w:rPr>
              <w:t xml:space="preserve">Union Temporal Desarrollo Vial </w:t>
            </w:r>
            <w:r w:rsidR="00D37464" w:rsidRPr="00951AB1">
              <w:rPr>
                <w:rFonts w:eastAsia="Times New Roman" w:cs="Times New Roman"/>
                <w:color w:val="000000"/>
                <w:kern w:val="0"/>
                <w:sz w:val="20"/>
                <w:szCs w:val="20"/>
                <w:lang w:eastAsia="es-CO"/>
                <w14:ligatures w14:val="none"/>
              </w:rPr>
              <w:t>d</w:t>
            </w:r>
            <w:r w:rsidRPr="00951AB1">
              <w:rPr>
                <w:rFonts w:eastAsia="Times New Roman" w:cs="Times New Roman"/>
                <w:color w:val="000000"/>
                <w:kern w:val="0"/>
                <w:sz w:val="20"/>
                <w:szCs w:val="20"/>
                <w:lang w:eastAsia="es-CO"/>
                <w14:ligatures w14:val="none"/>
              </w:rPr>
              <w:t xml:space="preserve">el Valle </w:t>
            </w:r>
            <w:r w:rsidR="00D37464" w:rsidRPr="00951AB1">
              <w:rPr>
                <w:rFonts w:eastAsia="Times New Roman" w:cs="Times New Roman"/>
                <w:color w:val="000000"/>
                <w:kern w:val="0"/>
                <w:sz w:val="20"/>
                <w:szCs w:val="20"/>
                <w:lang w:eastAsia="es-CO"/>
                <w14:ligatures w14:val="none"/>
              </w:rPr>
              <w:t>d</w:t>
            </w:r>
            <w:r w:rsidRPr="00951AB1">
              <w:rPr>
                <w:rFonts w:eastAsia="Times New Roman" w:cs="Times New Roman"/>
                <w:color w:val="000000"/>
                <w:kern w:val="0"/>
                <w:sz w:val="20"/>
                <w:szCs w:val="20"/>
                <w:lang w:eastAsia="es-CO"/>
                <w14:ligatures w14:val="none"/>
              </w:rPr>
              <w:t xml:space="preserve">el Cauca </w:t>
            </w:r>
            <w:r w:rsidR="00BA645E" w:rsidRPr="00951AB1">
              <w:rPr>
                <w:rFonts w:eastAsia="Times New Roman" w:cs="Times New Roman"/>
                <w:color w:val="000000"/>
                <w:kern w:val="0"/>
                <w:sz w:val="20"/>
                <w:szCs w:val="20"/>
                <w:lang w:eastAsia="es-CO"/>
                <w14:ligatures w14:val="none"/>
              </w:rPr>
              <w:t>y</w:t>
            </w:r>
            <w:r w:rsidRPr="00951AB1">
              <w:rPr>
                <w:rFonts w:eastAsia="Times New Roman" w:cs="Times New Roman"/>
                <w:color w:val="000000"/>
                <w:kern w:val="0"/>
                <w:sz w:val="20"/>
                <w:szCs w:val="20"/>
                <w:lang w:eastAsia="es-CO"/>
                <w14:ligatures w14:val="none"/>
              </w:rPr>
              <w:t xml:space="preserve"> Cauca</w:t>
            </w:r>
          </w:p>
        </w:tc>
        <w:tc>
          <w:tcPr>
            <w:tcW w:w="898" w:type="pct"/>
            <w:noWrap/>
            <w:vAlign w:val="bottom"/>
            <w:hideMark/>
          </w:tcPr>
          <w:p w14:paraId="1B59EE5A" w14:textId="77777777" w:rsidR="00D60DA6" w:rsidRPr="00951AB1" w:rsidRDefault="00D60DA6" w:rsidP="000A5389">
            <w:pPr>
              <w:spacing w:line="240" w:lineRule="auto"/>
              <w:jc w:val="right"/>
              <w:rPr>
                <w:rFonts w:eastAsia="Times New Roman" w:cs="Times New Roman"/>
                <w:color w:val="000000"/>
                <w:kern w:val="0"/>
                <w:sz w:val="20"/>
                <w:szCs w:val="20"/>
                <w:lang w:eastAsia="es-CO"/>
                <w14:ligatures w14:val="none"/>
              </w:rPr>
            </w:pPr>
            <w:r w:rsidRPr="00951AB1">
              <w:rPr>
                <w:rFonts w:eastAsia="Times New Roman" w:cs="Times New Roman"/>
                <w:color w:val="000000"/>
                <w:kern w:val="0"/>
                <w:sz w:val="20"/>
                <w:szCs w:val="20"/>
                <w:lang w:eastAsia="es-CO"/>
                <w14:ligatures w14:val="none"/>
              </w:rPr>
              <w:t xml:space="preserve">     1.344.583.261.694 </w:t>
            </w:r>
          </w:p>
        </w:tc>
      </w:tr>
      <w:tr w:rsidR="00D60DA6" w:rsidRPr="00951AB1" w14:paraId="6B8DDADE" w14:textId="77777777" w:rsidTr="00794C0D">
        <w:trPr>
          <w:trHeight w:val="300"/>
        </w:trPr>
        <w:tc>
          <w:tcPr>
            <w:tcW w:w="590" w:type="pct"/>
            <w:noWrap/>
            <w:vAlign w:val="bottom"/>
            <w:hideMark/>
          </w:tcPr>
          <w:p w14:paraId="4B0DC95B" w14:textId="77777777" w:rsidR="00D60DA6" w:rsidRPr="00951AB1" w:rsidRDefault="00D60DA6" w:rsidP="000A5389">
            <w:pPr>
              <w:spacing w:line="240" w:lineRule="auto"/>
              <w:rPr>
                <w:rFonts w:eastAsia="Times New Roman" w:cs="Times New Roman"/>
                <w:color w:val="000000"/>
                <w:kern w:val="0"/>
                <w:sz w:val="20"/>
                <w:szCs w:val="20"/>
                <w:lang w:eastAsia="es-CO"/>
                <w14:ligatures w14:val="none"/>
              </w:rPr>
            </w:pPr>
            <w:r w:rsidRPr="00951AB1">
              <w:rPr>
                <w:rFonts w:eastAsia="Times New Roman" w:cs="Times New Roman"/>
                <w:color w:val="000000"/>
                <w:kern w:val="0"/>
                <w:sz w:val="20"/>
                <w:szCs w:val="20"/>
                <w:lang w:eastAsia="es-CO"/>
                <w14:ligatures w14:val="none"/>
              </w:rPr>
              <w:t>900125507</w:t>
            </w:r>
          </w:p>
        </w:tc>
        <w:tc>
          <w:tcPr>
            <w:tcW w:w="3511" w:type="pct"/>
            <w:noWrap/>
            <w:vAlign w:val="bottom"/>
            <w:hideMark/>
          </w:tcPr>
          <w:p w14:paraId="6AF29647" w14:textId="2A68FCBE" w:rsidR="00D60DA6" w:rsidRPr="00951AB1" w:rsidRDefault="00D60DA6" w:rsidP="000A5389">
            <w:pPr>
              <w:spacing w:line="240" w:lineRule="auto"/>
              <w:rPr>
                <w:rFonts w:eastAsia="Times New Roman" w:cs="Times New Roman"/>
                <w:color w:val="000000"/>
                <w:kern w:val="0"/>
                <w:sz w:val="20"/>
                <w:szCs w:val="20"/>
                <w:lang w:eastAsia="es-CO"/>
                <w14:ligatures w14:val="none"/>
              </w:rPr>
            </w:pPr>
            <w:r w:rsidRPr="00951AB1">
              <w:rPr>
                <w:rFonts w:eastAsia="Times New Roman" w:cs="Times New Roman"/>
                <w:color w:val="000000"/>
                <w:kern w:val="0"/>
                <w:sz w:val="20"/>
                <w:szCs w:val="20"/>
                <w:lang w:eastAsia="es-CO"/>
                <w14:ligatures w14:val="none"/>
              </w:rPr>
              <w:t xml:space="preserve">Desarrollo Vial </w:t>
            </w:r>
            <w:r w:rsidR="00D37464" w:rsidRPr="00951AB1">
              <w:rPr>
                <w:rFonts w:eastAsia="Times New Roman" w:cs="Times New Roman"/>
                <w:color w:val="000000"/>
                <w:kern w:val="0"/>
                <w:sz w:val="20"/>
                <w:szCs w:val="20"/>
                <w:lang w:eastAsia="es-CO"/>
                <w14:ligatures w14:val="none"/>
              </w:rPr>
              <w:t>d</w:t>
            </w:r>
            <w:r w:rsidRPr="00951AB1">
              <w:rPr>
                <w:rFonts w:eastAsia="Times New Roman" w:cs="Times New Roman"/>
                <w:color w:val="000000"/>
                <w:kern w:val="0"/>
                <w:sz w:val="20"/>
                <w:szCs w:val="20"/>
                <w:lang w:eastAsia="es-CO"/>
                <w14:ligatures w14:val="none"/>
              </w:rPr>
              <w:t>e Nariño S.A.</w:t>
            </w:r>
          </w:p>
        </w:tc>
        <w:tc>
          <w:tcPr>
            <w:tcW w:w="898" w:type="pct"/>
            <w:noWrap/>
            <w:vAlign w:val="bottom"/>
            <w:hideMark/>
          </w:tcPr>
          <w:p w14:paraId="777C030C" w14:textId="77777777" w:rsidR="00D60DA6" w:rsidRPr="00951AB1" w:rsidRDefault="00D60DA6" w:rsidP="000A5389">
            <w:pPr>
              <w:spacing w:line="240" w:lineRule="auto"/>
              <w:jc w:val="right"/>
              <w:rPr>
                <w:rFonts w:eastAsia="Times New Roman" w:cs="Times New Roman"/>
                <w:color w:val="000000"/>
                <w:kern w:val="0"/>
                <w:sz w:val="20"/>
                <w:szCs w:val="20"/>
                <w:lang w:eastAsia="es-CO"/>
                <w14:ligatures w14:val="none"/>
              </w:rPr>
            </w:pPr>
            <w:r w:rsidRPr="00951AB1">
              <w:rPr>
                <w:rFonts w:eastAsia="Times New Roman" w:cs="Times New Roman"/>
                <w:color w:val="000000"/>
                <w:kern w:val="0"/>
                <w:sz w:val="20"/>
                <w:szCs w:val="20"/>
                <w:lang w:eastAsia="es-CO"/>
                <w14:ligatures w14:val="none"/>
              </w:rPr>
              <w:t xml:space="preserve">          87.906.183.980 </w:t>
            </w:r>
          </w:p>
        </w:tc>
      </w:tr>
      <w:tr w:rsidR="00D60DA6" w:rsidRPr="00951AB1" w14:paraId="306B2A8D" w14:textId="77777777" w:rsidTr="00794C0D">
        <w:trPr>
          <w:trHeight w:val="300"/>
        </w:trPr>
        <w:tc>
          <w:tcPr>
            <w:tcW w:w="590" w:type="pct"/>
            <w:noWrap/>
            <w:vAlign w:val="bottom"/>
            <w:hideMark/>
          </w:tcPr>
          <w:p w14:paraId="3C126C10" w14:textId="77777777" w:rsidR="00D60DA6" w:rsidRPr="00951AB1" w:rsidRDefault="00D60DA6" w:rsidP="000A5389">
            <w:pPr>
              <w:spacing w:line="240" w:lineRule="auto"/>
              <w:rPr>
                <w:rFonts w:eastAsia="Times New Roman" w:cs="Times New Roman"/>
                <w:color w:val="000000"/>
                <w:kern w:val="0"/>
                <w:sz w:val="20"/>
                <w:szCs w:val="20"/>
                <w:lang w:eastAsia="es-CO"/>
                <w14:ligatures w14:val="none"/>
              </w:rPr>
            </w:pPr>
            <w:r w:rsidRPr="00951AB1">
              <w:rPr>
                <w:rFonts w:eastAsia="Times New Roman" w:cs="Times New Roman"/>
                <w:color w:val="000000"/>
                <w:kern w:val="0"/>
                <w:sz w:val="20"/>
                <w:szCs w:val="20"/>
                <w:lang w:eastAsia="es-CO"/>
                <w14:ligatures w14:val="none"/>
              </w:rPr>
              <w:t>900127236</w:t>
            </w:r>
          </w:p>
        </w:tc>
        <w:tc>
          <w:tcPr>
            <w:tcW w:w="3511" w:type="pct"/>
            <w:noWrap/>
            <w:vAlign w:val="bottom"/>
            <w:hideMark/>
          </w:tcPr>
          <w:p w14:paraId="29C86D91" w14:textId="09358A0E" w:rsidR="00D60DA6" w:rsidRPr="00951AB1" w:rsidRDefault="00D60DA6" w:rsidP="000A5389">
            <w:pPr>
              <w:spacing w:line="240" w:lineRule="auto"/>
              <w:rPr>
                <w:rFonts w:eastAsia="Times New Roman" w:cs="Times New Roman"/>
                <w:color w:val="000000"/>
                <w:kern w:val="0"/>
                <w:sz w:val="20"/>
                <w:szCs w:val="20"/>
                <w:lang w:eastAsia="es-CO"/>
                <w14:ligatures w14:val="none"/>
              </w:rPr>
            </w:pPr>
            <w:r w:rsidRPr="00951AB1">
              <w:rPr>
                <w:rFonts w:eastAsia="Times New Roman" w:cs="Times New Roman"/>
                <w:color w:val="000000"/>
                <w:kern w:val="0"/>
                <w:sz w:val="20"/>
                <w:szCs w:val="20"/>
                <w:lang w:eastAsia="es-CO"/>
                <w14:ligatures w14:val="none"/>
              </w:rPr>
              <w:t>Concesión Aepto San Andrés y Provid Sa</w:t>
            </w:r>
          </w:p>
        </w:tc>
        <w:tc>
          <w:tcPr>
            <w:tcW w:w="898" w:type="pct"/>
            <w:noWrap/>
            <w:vAlign w:val="bottom"/>
            <w:hideMark/>
          </w:tcPr>
          <w:p w14:paraId="09201FA8" w14:textId="77777777" w:rsidR="00D60DA6" w:rsidRPr="00951AB1" w:rsidRDefault="00D60DA6" w:rsidP="000A5389">
            <w:pPr>
              <w:spacing w:line="240" w:lineRule="auto"/>
              <w:jc w:val="right"/>
              <w:rPr>
                <w:rFonts w:eastAsia="Times New Roman" w:cs="Times New Roman"/>
                <w:color w:val="000000"/>
                <w:kern w:val="0"/>
                <w:sz w:val="20"/>
                <w:szCs w:val="20"/>
                <w:lang w:eastAsia="es-CO"/>
                <w14:ligatures w14:val="none"/>
              </w:rPr>
            </w:pPr>
            <w:r w:rsidRPr="00951AB1">
              <w:rPr>
                <w:rFonts w:eastAsia="Times New Roman" w:cs="Times New Roman"/>
                <w:color w:val="000000"/>
                <w:kern w:val="0"/>
                <w:sz w:val="20"/>
                <w:szCs w:val="20"/>
                <w:lang w:eastAsia="es-CO"/>
                <w14:ligatures w14:val="none"/>
              </w:rPr>
              <w:t xml:space="preserve">          55.410.867.337 </w:t>
            </w:r>
          </w:p>
        </w:tc>
      </w:tr>
      <w:tr w:rsidR="00D60DA6" w:rsidRPr="00951AB1" w14:paraId="1364AEAB" w14:textId="77777777" w:rsidTr="00794C0D">
        <w:trPr>
          <w:trHeight w:val="300"/>
        </w:trPr>
        <w:tc>
          <w:tcPr>
            <w:tcW w:w="590" w:type="pct"/>
            <w:noWrap/>
            <w:vAlign w:val="bottom"/>
            <w:hideMark/>
          </w:tcPr>
          <w:p w14:paraId="1A4C37BF" w14:textId="77777777" w:rsidR="00D60DA6" w:rsidRPr="00951AB1" w:rsidRDefault="00D60DA6" w:rsidP="000A5389">
            <w:pPr>
              <w:spacing w:line="240" w:lineRule="auto"/>
              <w:rPr>
                <w:rFonts w:eastAsia="Times New Roman" w:cs="Times New Roman"/>
                <w:color w:val="000000"/>
                <w:kern w:val="0"/>
                <w:sz w:val="20"/>
                <w:szCs w:val="20"/>
                <w:lang w:eastAsia="es-CO"/>
                <w14:ligatures w14:val="none"/>
              </w:rPr>
            </w:pPr>
            <w:r w:rsidRPr="00951AB1">
              <w:rPr>
                <w:rFonts w:eastAsia="Times New Roman" w:cs="Times New Roman"/>
                <w:color w:val="000000"/>
                <w:kern w:val="0"/>
                <w:sz w:val="20"/>
                <w:szCs w:val="20"/>
                <w:lang w:eastAsia="es-CO"/>
                <w14:ligatures w14:val="none"/>
              </w:rPr>
              <w:t>13742088</w:t>
            </w:r>
          </w:p>
        </w:tc>
        <w:tc>
          <w:tcPr>
            <w:tcW w:w="3511" w:type="pct"/>
            <w:noWrap/>
            <w:vAlign w:val="bottom"/>
            <w:hideMark/>
          </w:tcPr>
          <w:p w14:paraId="790349AA" w14:textId="0DE4D008" w:rsidR="00D60DA6" w:rsidRPr="00951AB1" w:rsidRDefault="00D60DA6" w:rsidP="000A5389">
            <w:pPr>
              <w:spacing w:line="240" w:lineRule="auto"/>
              <w:rPr>
                <w:rFonts w:eastAsia="Times New Roman" w:cs="Times New Roman"/>
                <w:color w:val="000000"/>
                <w:kern w:val="0"/>
                <w:sz w:val="20"/>
                <w:szCs w:val="20"/>
                <w:lang w:eastAsia="es-CO"/>
                <w14:ligatures w14:val="none"/>
              </w:rPr>
            </w:pPr>
            <w:r w:rsidRPr="00951AB1">
              <w:rPr>
                <w:rFonts w:eastAsia="Times New Roman" w:cs="Times New Roman"/>
                <w:color w:val="000000"/>
                <w:kern w:val="0"/>
                <w:sz w:val="20"/>
                <w:szCs w:val="20"/>
                <w:lang w:eastAsia="es-CO"/>
                <w14:ligatures w14:val="none"/>
              </w:rPr>
              <w:t>Jhon Fredy Toscano Rojas</w:t>
            </w:r>
          </w:p>
        </w:tc>
        <w:tc>
          <w:tcPr>
            <w:tcW w:w="898" w:type="pct"/>
            <w:noWrap/>
            <w:vAlign w:val="bottom"/>
            <w:hideMark/>
          </w:tcPr>
          <w:p w14:paraId="0E2DF034" w14:textId="77777777" w:rsidR="00D60DA6" w:rsidRPr="00951AB1" w:rsidRDefault="00D60DA6" w:rsidP="000A5389">
            <w:pPr>
              <w:spacing w:line="240" w:lineRule="auto"/>
              <w:jc w:val="right"/>
              <w:rPr>
                <w:rFonts w:eastAsia="Times New Roman" w:cs="Times New Roman"/>
                <w:color w:val="000000"/>
                <w:kern w:val="0"/>
                <w:sz w:val="20"/>
                <w:szCs w:val="20"/>
                <w:lang w:eastAsia="es-CO"/>
                <w14:ligatures w14:val="none"/>
              </w:rPr>
            </w:pPr>
            <w:r w:rsidRPr="00951AB1">
              <w:rPr>
                <w:rFonts w:eastAsia="Times New Roman" w:cs="Times New Roman"/>
                <w:color w:val="000000"/>
                <w:kern w:val="0"/>
                <w:sz w:val="20"/>
                <w:szCs w:val="20"/>
                <w:lang w:eastAsia="es-CO"/>
                <w14:ligatures w14:val="none"/>
              </w:rPr>
              <w:t xml:space="preserve">            3.581.227.195 </w:t>
            </w:r>
          </w:p>
        </w:tc>
      </w:tr>
      <w:tr w:rsidR="00D60DA6" w:rsidRPr="00951AB1" w14:paraId="5CF1D8EA" w14:textId="77777777" w:rsidTr="00794C0D">
        <w:trPr>
          <w:trHeight w:val="300"/>
        </w:trPr>
        <w:tc>
          <w:tcPr>
            <w:tcW w:w="590" w:type="pct"/>
            <w:noWrap/>
            <w:vAlign w:val="bottom"/>
            <w:hideMark/>
          </w:tcPr>
          <w:p w14:paraId="188D9D4E" w14:textId="77777777" w:rsidR="00D60DA6" w:rsidRPr="00951AB1" w:rsidRDefault="00D60DA6" w:rsidP="000A5389">
            <w:pPr>
              <w:spacing w:line="240" w:lineRule="auto"/>
              <w:rPr>
                <w:rFonts w:eastAsia="Times New Roman" w:cs="Times New Roman"/>
                <w:color w:val="000000"/>
                <w:kern w:val="0"/>
                <w:sz w:val="20"/>
                <w:szCs w:val="20"/>
                <w:lang w:eastAsia="es-CO"/>
                <w14:ligatures w14:val="none"/>
              </w:rPr>
            </w:pPr>
            <w:r w:rsidRPr="00951AB1">
              <w:rPr>
                <w:rFonts w:eastAsia="Times New Roman" w:cs="Times New Roman"/>
                <w:color w:val="000000"/>
                <w:kern w:val="0"/>
                <w:sz w:val="20"/>
                <w:szCs w:val="20"/>
                <w:lang w:eastAsia="es-CO"/>
                <w14:ligatures w14:val="none"/>
              </w:rPr>
              <w:t>811014217</w:t>
            </w:r>
          </w:p>
        </w:tc>
        <w:tc>
          <w:tcPr>
            <w:tcW w:w="3511" w:type="pct"/>
            <w:noWrap/>
            <w:vAlign w:val="bottom"/>
            <w:hideMark/>
          </w:tcPr>
          <w:p w14:paraId="0BD8823F" w14:textId="042A6ECC" w:rsidR="00D60DA6" w:rsidRPr="00951AB1" w:rsidRDefault="00D60DA6" w:rsidP="000A5389">
            <w:pPr>
              <w:spacing w:line="240" w:lineRule="auto"/>
              <w:rPr>
                <w:rFonts w:eastAsia="Times New Roman" w:cs="Times New Roman"/>
                <w:color w:val="000000"/>
                <w:kern w:val="0"/>
                <w:sz w:val="20"/>
                <w:szCs w:val="20"/>
                <w:lang w:eastAsia="es-CO"/>
                <w14:ligatures w14:val="none"/>
              </w:rPr>
            </w:pPr>
            <w:r w:rsidRPr="00951AB1">
              <w:rPr>
                <w:rFonts w:eastAsia="Times New Roman" w:cs="Times New Roman"/>
                <w:color w:val="000000"/>
                <w:kern w:val="0"/>
                <w:sz w:val="20"/>
                <w:szCs w:val="20"/>
                <w:lang w:eastAsia="es-CO"/>
                <w14:ligatures w14:val="none"/>
              </w:rPr>
              <w:t>Bananera La Florida Sa</w:t>
            </w:r>
          </w:p>
        </w:tc>
        <w:tc>
          <w:tcPr>
            <w:tcW w:w="898" w:type="pct"/>
            <w:noWrap/>
            <w:vAlign w:val="bottom"/>
            <w:hideMark/>
          </w:tcPr>
          <w:p w14:paraId="0C095440" w14:textId="77777777" w:rsidR="00D60DA6" w:rsidRPr="00951AB1" w:rsidRDefault="00D60DA6" w:rsidP="000A5389">
            <w:pPr>
              <w:spacing w:line="240" w:lineRule="auto"/>
              <w:jc w:val="right"/>
              <w:rPr>
                <w:rFonts w:eastAsia="Times New Roman" w:cs="Times New Roman"/>
                <w:color w:val="000000"/>
                <w:kern w:val="0"/>
                <w:sz w:val="20"/>
                <w:szCs w:val="20"/>
                <w:lang w:eastAsia="es-CO"/>
                <w14:ligatures w14:val="none"/>
              </w:rPr>
            </w:pPr>
            <w:r w:rsidRPr="00951AB1">
              <w:rPr>
                <w:rFonts w:eastAsia="Times New Roman" w:cs="Times New Roman"/>
                <w:color w:val="000000"/>
                <w:kern w:val="0"/>
                <w:sz w:val="20"/>
                <w:szCs w:val="20"/>
                <w:lang w:eastAsia="es-CO"/>
                <w14:ligatures w14:val="none"/>
              </w:rPr>
              <w:t xml:space="preserve">            3.374.030.136 </w:t>
            </w:r>
          </w:p>
        </w:tc>
      </w:tr>
      <w:tr w:rsidR="00D60DA6" w:rsidRPr="00951AB1" w14:paraId="759D54BB" w14:textId="77777777" w:rsidTr="00794C0D">
        <w:trPr>
          <w:trHeight w:val="300"/>
        </w:trPr>
        <w:tc>
          <w:tcPr>
            <w:tcW w:w="590" w:type="pct"/>
            <w:noWrap/>
            <w:vAlign w:val="bottom"/>
            <w:hideMark/>
          </w:tcPr>
          <w:p w14:paraId="451B75A7" w14:textId="77777777" w:rsidR="00D60DA6" w:rsidRPr="00951AB1" w:rsidRDefault="00D60DA6" w:rsidP="000A5389">
            <w:pPr>
              <w:spacing w:line="240" w:lineRule="auto"/>
              <w:rPr>
                <w:rFonts w:eastAsia="Times New Roman" w:cs="Times New Roman"/>
                <w:color w:val="000000"/>
                <w:kern w:val="0"/>
                <w:sz w:val="20"/>
                <w:szCs w:val="20"/>
                <w:lang w:eastAsia="es-CO"/>
                <w14:ligatures w14:val="none"/>
              </w:rPr>
            </w:pPr>
            <w:r w:rsidRPr="00951AB1">
              <w:rPr>
                <w:rFonts w:eastAsia="Times New Roman" w:cs="Times New Roman"/>
                <w:color w:val="000000"/>
                <w:kern w:val="0"/>
                <w:sz w:val="20"/>
                <w:szCs w:val="20"/>
                <w:lang w:eastAsia="es-CO"/>
                <w14:ligatures w14:val="none"/>
              </w:rPr>
              <w:t>41588013</w:t>
            </w:r>
          </w:p>
        </w:tc>
        <w:tc>
          <w:tcPr>
            <w:tcW w:w="3511" w:type="pct"/>
            <w:noWrap/>
            <w:vAlign w:val="bottom"/>
            <w:hideMark/>
          </w:tcPr>
          <w:p w14:paraId="497D700B" w14:textId="0FED832F" w:rsidR="00D60DA6" w:rsidRPr="00951AB1" w:rsidRDefault="00D60DA6" w:rsidP="000A5389">
            <w:pPr>
              <w:spacing w:line="240" w:lineRule="auto"/>
              <w:rPr>
                <w:rFonts w:eastAsia="Times New Roman" w:cs="Times New Roman"/>
                <w:color w:val="000000"/>
                <w:kern w:val="0"/>
                <w:sz w:val="20"/>
                <w:szCs w:val="20"/>
                <w:lang w:eastAsia="es-CO"/>
                <w14:ligatures w14:val="none"/>
              </w:rPr>
            </w:pPr>
            <w:r w:rsidRPr="00951AB1">
              <w:rPr>
                <w:rFonts w:eastAsia="Times New Roman" w:cs="Times New Roman"/>
                <w:color w:val="000000"/>
                <w:kern w:val="0"/>
                <w:sz w:val="20"/>
                <w:szCs w:val="20"/>
                <w:lang w:eastAsia="es-CO"/>
                <w14:ligatures w14:val="none"/>
              </w:rPr>
              <w:t>Ana Tulia Parra Velosa</w:t>
            </w:r>
          </w:p>
        </w:tc>
        <w:tc>
          <w:tcPr>
            <w:tcW w:w="898" w:type="pct"/>
            <w:noWrap/>
            <w:vAlign w:val="bottom"/>
            <w:hideMark/>
          </w:tcPr>
          <w:p w14:paraId="6C4030CF" w14:textId="77777777" w:rsidR="00D60DA6" w:rsidRPr="00951AB1" w:rsidRDefault="00D60DA6" w:rsidP="000A5389">
            <w:pPr>
              <w:spacing w:line="240" w:lineRule="auto"/>
              <w:jc w:val="right"/>
              <w:rPr>
                <w:rFonts w:eastAsia="Times New Roman" w:cs="Times New Roman"/>
                <w:color w:val="000000"/>
                <w:kern w:val="0"/>
                <w:sz w:val="20"/>
                <w:szCs w:val="20"/>
                <w:lang w:eastAsia="es-CO"/>
                <w14:ligatures w14:val="none"/>
              </w:rPr>
            </w:pPr>
            <w:r w:rsidRPr="00951AB1">
              <w:rPr>
                <w:rFonts w:eastAsia="Times New Roman" w:cs="Times New Roman"/>
                <w:color w:val="000000"/>
                <w:kern w:val="0"/>
                <w:sz w:val="20"/>
                <w:szCs w:val="20"/>
                <w:lang w:eastAsia="es-CO"/>
                <w14:ligatures w14:val="none"/>
              </w:rPr>
              <w:t xml:space="preserve">            2.347.257.201 </w:t>
            </w:r>
          </w:p>
        </w:tc>
      </w:tr>
      <w:tr w:rsidR="00D60DA6" w:rsidRPr="00951AB1" w14:paraId="30218600" w14:textId="77777777" w:rsidTr="00794C0D">
        <w:trPr>
          <w:trHeight w:val="300"/>
        </w:trPr>
        <w:tc>
          <w:tcPr>
            <w:tcW w:w="590" w:type="pct"/>
            <w:noWrap/>
            <w:vAlign w:val="bottom"/>
            <w:hideMark/>
          </w:tcPr>
          <w:p w14:paraId="2FC87A8D" w14:textId="77777777" w:rsidR="00D60DA6" w:rsidRPr="00951AB1" w:rsidRDefault="00D60DA6" w:rsidP="000A5389">
            <w:pPr>
              <w:spacing w:line="240" w:lineRule="auto"/>
              <w:rPr>
                <w:rFonts w:eastAsia="Times New Roman" w:cs="Times New Roman"/>
                <w:color w:val="000000"/>
                <w:kern w:val="0"/>
                <w:sz w:val="20"/>
                <w:szCs w:val="20"/>
                <w:lang w:eastAsia="es-CO"/>
                <w14:ligatures w14:val="none"/>
              </w:rPr>
            </w:pPr>
            <w:r w:rsidRPr="00951AB1">
              <w:rPr>
                <w:rFonts w:eastAsia="Times New Roman" w:cs="Times New Roman"/>
                <w:color w:val="000000"/>
                <w:kern w:val="0"/>
                <w:sz w:val="20"/>
                <w:szCs w:val="20"/>
                <w:lang w:eastAsia="es-CO"/>
                <w14:ligatures w14:val="none"/>
              </w:rPr>
              <w:t>42006824</w:t>
            </w:r>
          </w:p>
        </w:tc>
        <w:tc>
          <w:tcPr>
            <w:tcW w:w="3511" w:type="pct"/>
            <w:noWrap/>
            <w:vAlign w:val="bottom"/>
            <w:hideMark/>
          </w:tcPr>
          <w:p w14:paraId="39124D5D" w14:textId="2ED173AA" w:rsidR="00D60DA6" w:rsidRPr="00951AB1" w:rsidRDefault="00D37464" w:rsidP="000A5389">
            <w:pPr>
              <w:spacing w:line="240" w:lineRule="auto"/>
              <w:rPr>
                <w:rFonts w:eastAsia="Times New Roman" w:cs="Times New Roman"/>
                <w:color w:val="000000"/>
                <w:kern w:val="0"/>
                <w:sz w:val="20"/>
                <w:szCs w:val="20"/>
                <w:lang w:eastAsia="es-CO"/>
                <w14:ligatures w14:val="none"/>
              </w:rPr>
            </w:pPr>
            <w:r w:rsidRPr="00951AB1">
              <w:rPr>
                <w:rFonts w:eastAsia="Times New Roman" w:cs="Times New Roman"/>
                <w:color w:val="000000"/>
                <w:kern w:val="0"/>
                <w:sz w:val="20"/>
                <w:szCs w:val="20"/>
                <w:lang w:eastAsia="es-CO"/>
                <w14:ligatures w14:val="none"/>
              </w:rPr>
              <w:t>María</w:t>
            </w:r>
            <w:r w:rsidR="00D60DA6" w:rsidRPr="00951AB1">
              <w:rPr>
                <w:rFonts w:eastAsia="Times New Roman" w:cs="Times New Roman"/>
                <w:color w:val="000000"/>
                <w:kern w:val="0"/>
                <w:sz w:val="20"/>
                <w:szCs w:val="20"/>
                <w:lang w:eastAsia="es-CO"/>
                <w14:ligatures w14:val="none"/>
              </w:rPr>
              <w:t xml:space="preserve"> Esperanza Campiño Arcila</w:t>
            </w:r>
          </w:p>
        </w:tc>
        <w:tc>
          <w:tcPr>
            <w:tcW w:w="898" w:type="pct"/>
            <w:noWrap/>
            <w:vAlign w:val="bottom"/>
            <w:hideMark/>
          </w:tcPr>
          <w:p w14:paraId="0E2EAFF8" w14:textId="77777777" w:rsidR="00D60DA6" w:rsidRPr="00951AB1" w:rsidRDefault="00D60DA6" w:rsidP="000A5389">
            <w:pPr>
              <w:spacing w:line="240" w:lineRule="auto"/>
              <w:jc w:val="right"/>
              <w:rPr>
                <w:rFonts w:eastAsia="Times New Roman" w:cs="Times New Roman"/>
                <w:color w:val="000000"/>
                <w:kern w:val="0"/>
                <w:sz w:val="20"/>
                <w:szCs w:val="20"/>
                <w:lang w:eastAsia="es-CO"/>
                <w14:ligatures w14:val="none"/>
              </w:rPr>
            </w:pPr>
            <w:r w:rsidRPr="00951AB1">
              <w:rPr>
                <w:rFonts w:eastAsia="Times New Roman" w:cs="Times New Roman"/>
                <w:color w:val="000000"/>
                <w:kern w:val="0"/>
                <w:sz w:val="20"/>
                <w:szCs w:val="20"/>
                <w:lang w:eastAsia="es-CO"/>
                <w14:ligatures w14:val="none"/>
              </w:rPr>
              <w:t xml:space="preserve">            1.820.000.000 </w:t>
            </w:r>
          </w:p>
        </w:tc>
      </w:tr>
      <w:tr w:rsidR="00D60DA6" w:rsidRPr="00951AB1" w14:paraId="52DC8F6D" w14:textId="77777777" w:rsidTr="00794C0D">
        <w:trPr>
          <w:trHeight w:val="300"/>
        </w:trPr>
        <w:tc>
          <w:tcPr>
            <w:tcW w:w="590" w:type="pct"/>
            <w:noWrap/>
            <w:vAlign w:val="bottom"/>
            <w:hideMark/>
          </w:tcPr>
          <w:p w14:paraId="111E7DBA" w14:textId="77777777" w:rsidR="00D60DA6" w:rsidRPr="00951AB1" w:rsidRDefault="00D60DA6" w:rsidP="000A5389">
            <w:pPr>
              <w:spacing w:line="240" w:lineRule="auto"/>
              <w:rPr>
                <w:rFonts w:eastAsia="Times New Roman" w:cs="Times New Roman"/>
                <w:color w:val="000000"/>
                <w:kern w:val="0"/>
                <w:sz w:val="20"/>
                <w:szCs w:val="20"/>
                <w:lang w:eastAsia="es-CO"/>
                <w14:ligatures w14:val="none"/>
              </w:rPr>
            </w:pPr>
            <w:r w:rsidRPr="00951AB1">
              <w:rPr>
                <w:rFonts w:eastAsia="Times New Roman" w:cs="Times New Roman"/>
                <w:color w:val="000000"/>
                <w:kern w:val="0"/>
                <w:sz w:val="20"/>
                <w:szCs w:val="20"/>
                <w:lang w:eastAsia="es-CO"/>
                <w14:ligatures w14:val="none"/>
              </w:rPr>
              <w:t>860039988</w:t>
            </w:r>
          </w:p>
        </w:tc>
        <w:tc>
          <w:tcPr>
            <w:tcW w:w="3511" w:type="pct"/>
            <w:noWrap/>
            <w:vAlign w:val="bottom"/>
            <w:hideMark/>
          </w:tcPr>
          <w:p w14:paraId="59CA063C" w14:textId="2C3A12C0" w:rsidR="00D60DA6" w:rsidRPr="00951AB1" w:rsidRDefault="00D60DA6" w:rsidP="000A5389">
            <w:pPr>
              <w:spacing w:line="240" w:lineRule="auto"/>
              <w:rPr>
                <w:rFonts w:eastAsia="Times New Roman" w:cs="Times New Roman"/>
                <w:color w:val="000000"/>
                <w:kern w:val="0"/>
                <w:sz w:val="20"/>
                <w:szCs w:val="20"/>
                <w:lang w:eastAsia="es-CO"/>
                <w14:ligatures w14:val="none"/>
              </w:rPr>
            </w:pPr>
            <w:r w:rsidRPr="00951AB1">
              <w:rPr>
                <w:rFonts w:eastAsia="Times New Roman" w:cs="Times New Roman"/>
                <w:color w:val="000000"/>
                <w:kern w:val="0"/>
                <w:sz w:val="20"/>
                <w:szCs w:val="20"/>
                <w:lang w:eastAsia="es-CO"/>
                <w14:ligatures w14:val="none"/>
              </w:rPr>
              <w:t>Hdi Seguros Colombia S. A</w:t>
            </w:r>
          </w:p>
        </w:tc>
        <w:tc>
          <w:tcPr>
            <w:tcW w:w="898" w:type="pct"/>
            <w:noWrap/>
            <w:vAlign w:val="bottom"/>
            <w:hideMark/>
          </w:tcPr>
          <w:p w14:paraId="365E1872" w14:textId="77777777" w:rsidR="00D60DA6" w:rsidRPr="00951AB1" w:rsidRDefault="00D60DA6" w:rsidP="000A5389">
            <w:pPr>
              <w:spacing w:line="240" w:lineRule="auto"/>
              <w:jc w:val="right"/>
              <w:rPr>
                <w:rFonts w:eastAsia="Times New Roman" w:cs="Times New Roman"/>
                <w:color w:val="000000"/>
                <w:kern w:val="0"/>
                <w:sz w:val="20"/>
                <w:szCs w:val="20"/>
                <w:lang w:eastAsia="es-CO"/>
                <w14:ligatures w14:val="none"/>
              </w:rPr>
            </w:pPr>
            <w:r w:rsidRPr="00951AB1">
              <w:rPr>
                <w:rFonts w:eastAsia="Times New Roman" w:cs="Times New Roman"/>
                <w:color w:val="000000"/>
                <w:kern w:val="0"/>
                <w:sz w:val="20"/>
                <w:szCs w:val="20"/>
                <w:lang w:eastAsia="es-CO"/>
                <w14:ligatures w14:val="none"/>
              </w:rPr>
              <w:t xml:space="preserve">            1.624.478.863 </w:t>
            </w:r>
          </w:p>
        </w:tc>
      </w:tr>
      <w:tr w:rsidR="00D60DA6" w:rsidRPr="00951AB1" w14:paraId="729B5A4B" w14:textId="77777777" w:rsidTr="00794C0D">
        <w:trPr>
          <w:trHeight w:val="300"/>
        </w:trPr>
        <w:tc>
          <w:tcPr>
            <w:tcW w:w="590" w:type="pct"/>
            <w:noWrap/>
            <w:vAlign w:val="bottom"/>
            <w:hideMark/>
          </w:tcPr>
          <w:p w14:paraId="72772368" w14:textId="77777777" w:rsidR="00D60DA6" w:rsidRPr="00951AB1" w:rsidRDefault="00D60DA6" w:rsidP="000A5389">
            <w:pPr>
              <w:spacing w:line="240" w:lineRule="auto"/>
              <w:rPr>
                <w:rFonts w:eastAsia="Times New Roman" w:cs="Times New Roman"/>
                <w:color w:val="000000"/>
                <w:kern w:val="0"/>
                <w:sz w:val="20"/>
                <w:szCs w:val="20"/>
                <w:lang w:eastAsia="es-CO"/>
                <w14:ligatures w14:val="none"/>
              </w:rPr>
            </w:pPr>
            <w:r w:rsidRPr="00951AB1">
              <w:rPr>
                <w:rFonts w:eastAsia="Times New Roman" w:cs="Times New Roman"/>
                <w:color w:val="000000"/>
                <w:kern w:val="0"/>
                <w:sz w:val="20"/>
                <w:szCs w:val="20"/>
                <w:lang w:eastAsia="es-CO"/>
                <w14:ligatures w14:val="none"/>
              </w:rPr>
              <w:t>63291766</w:t>
            </w:r>
          </w:p>
        </w:tc>
        <w:tc>
          <w:tcPr>
            <w:tcW w:w="3511" w:type="pct"/>
            <w:noWrap/>
            <w:vAlign w:val="bottom"/>
            <w:hideMark/>
          </w:tcPr>
          <w:p w14:paraId="5F9652AD" w14:textId="095565B7" w:rsidR="00D60DA6" w:rsidRPr="00951AB1" w:rsidRDefault="00D60DA6" w:rsidP="000A5389">
            <w:pPr>
              <w:spacing w:line="240" w:lineRule="auto"/>
              <w:rPr>
                <w:rFonts w:eastAsia="Times New Roman" w:cs="Times New Roman"/>
                <w:color w:val="000000"/>
                <w:kern w:val="0"/>
                <w:sz w:val="20"/>
                <w:szCs w:val="20"/>
                <w:lang w:eastAsia="es-CO"/>
                <w14:ligatures w14:val="none"/>
              </w:rPr>
            </w:pPr>
            <w:r w:rsidRPr="00951AB1">
              <w:rPr>
                <w:rFonts w:eastAsia="Times New Roman" w:cs="Times New Roman"/>
                <w:color w:val="000000"/>
                <w:kern w:val="0"/>
                <w:sz w:val="20"/>
                <w:szCs w:val="20"/>
                <w:lang w:eastAsia="es-CO"/>
                <w14:ligatures w14:val="none"/>
              </w:rPr>
              <w:t xml:space="preserve">Leonor Patricia Giraldo </w:t>
            </w:r>
            <w:r w:rsidR="00D37464" w:rsidRPr="00951AB1">
              <w:rPr>
                <w:rFonts w:eastAsia="Times New Roman" w:cs="Times New Roman"/>
                <w:color w:val="000000"/>
                <w:kern w:val="0"/>
                <w:sz w:val="20"/>
                <w:szCs w:val="20"/>
                <w:lang w:eastAsia="es-CO"/>
                <w14:ligatures w14:val="none"/>
              </w:rPr>
              <w:t>González</w:t>
            </w:r>
          </w:p>
        </w:tc>
        <w:tc>
          <w:tcPr>
            <w:tcW w:w="898" w:type="pct"/>
            <w:noWrap/>
            <w:vAlign w:val="bottom"/>
            <w:hideMark/>
          </w:tcPr>
          <w:p w14:paraId="24EEA778" w14:textId="77777777" w:rsidR="00D60DA6" w:rsidRPr="00951AB1" w:rsidRDefault="00D60DA6" w:rsidP="000A5389">
            <w:pPr>
              <w:spacing w:line="240" w:lineRule="auto"/>
              <w:jc w:val="right"/>
              <w:rPr>
                <w:rFonts w:eastAsia="Times New Roman" w:cs="Times New Roman"/>
                <w:color w:val="000000"/>
                <w:kern w:val="0"/>
                <w:sz w:val="20"/>
                <w:szCs w:val="20"/>
                <w:lang w:eastAsia="es-CO"/>
                <w14:ligatures w14:val="none"/>
              </w:rPr>
            </w:pPr>
            <w:r w:rsidRPr="00951AB1">
              <w:rPr>
                <w:rFonts w:eastAsia="Times New Roman" w:cs="Times New Roman"/>
                <w:color w:val="000000"/>
                <w:kern w:val="0"/>
                <w:sz w:val="20"/>
                <w:szCs w:val="20"/>
                <w:lang w:eastAsia="es-CO"/>
                <w14:ligatures w14:val="none"/>
              </w:rPr>
              <w:t xml:space="preserve">            1.412.014.496 </w:t>
            </w:r>
          </w:p>
        </w:tc>
      </w:tr>
      <w:tr w:rsidR="00D60DA6" w:rsidRPr="00951AB1" w14:paraId="2FCF0564" w14:textId="77777777" w:rsidTr="00794C0D">
        <w:trPr>
          <w:trHeight w:val="300"/>
        </w:trPr>
        <w:tc>
          <w:tcPr>
            <w:tcW w:w="590" w:type="pct"/>
            <w:noWrap/>
            <w:vAlign w:val="bottom"/>
            <w:hideMark/>
          </w:tcPr>
          <w:p w14:paraId="4CE3D5D3" w14:textId="77777777" w:rsidR="00D60DA6" w:rsidRPr="00951AB1" w:rsidRDefault="00D60DA6" w:rsidP="000A5389">
            <w:pPr>
              <w:spacing w:line="240" w:lineRule="auto"/>
              <w:rPr>
                <w:rFonts w:eastAsia="Times New Roman" w:cs="Times New Roman"/>
                <w:color w:val="000000"/>
                <w:kern w:val="0"/>
                <w:sz w:val="20"/>
                <w:szCs w:val="20"/>
                <w:lang w:eastAsia="es-CO"/>
                <w14:ligatures w14:val="none"/>
              </w:rPr>
            </w:pPr>
            <w:r w:rsidRPr="00951AB1">
              <w:rPr>
                <w:rFonts w:eastAsia="Times New Roman" w:cs="Times New Roman"/>
                <w:color w:val="000000"/>
                <w:kern w:val="0"/>
                <w:sz w:val="20"/>
                <w:szCs w:val="20"/>
                <w:lang w:eastAsia="es-CO"/>
                <w14:ligatures w14:val="none"/>
              </w:rPr>
              <w:t>17315554</w:t>
            </w:r>
          </w:p>
        </w:tc>
        <w:tc>
          <w:tcPr>
            <w:tcW w:w="3511" w:type="pct"/>
            <w:noWrap/>
            <w:vAlign w:val="bottom"/>
            <w:hideMark/>
          </w:tcPr>
          <w:p w14:paraId="5B8ECCC1" w14:textId="57CDC77F" w:rsidR="00D60DA6" w:rsidRPr="00951AB1" w:rsidRDefault="00D60DA6" w:rsidP="000A5389">
            <w:pPr>
              <w:spacing w:line="240" w:lineRule="auto"/>
              <w:rPr>
                <w:rFonts w:eastAsia="Times New Roman" w:cs="Times New Roman"/>
                <w:color w:val="000000"/>
                <w:kern w:val="0"/>
                <w:sz w:val="20"/>
                <w:szCs w:val="20"/>
                <w:lang w:eastAsia="es-CO"/>
                <w14:ligatures w14:val="none"/>
              </w:rPr>
            </w:pPr>
            <w:r w:rsidRPr="00951AB1">
              <w:rPr>
                <w:rFonts w:eastAsia="Times New Roman" w:cs="Times New Roman"/>
                <w:color w:val="000000"/>
                <w:kern w:val="0"/>
                <w:sz w:val="20"/>
                <w:szCs w:val="20"/>
                <w:lang w:eastAsia="es-CO"/>
                <w14:ligatures w14:val="none"/>
              </w:rPr>
              <w:t xml:space="preserve">Omar Ocampo </w:t>
            </w:r>
            <w:r w:rsidR="00D37464" w:rsidRPr="00951AB1">
              <w:rPr>
                <w:rFonts w:eastAsia="Times New Roman" w:cs="Times New Roman"/>
                <w:color w:val="000000"/>
                <w:kern w:val="0"/>
                <w:sz w:val="20"/>
                <w:szCs w:val="20"/>
                <w:lang w:eastAsia="es-CO"/>
                <w14:ligatures w14:val="none"/>
              </w:rPr>
              <w:t>Hernández</w:t>
            </w:r>
            <w:r w:rsidRPr="00951AB1">
              <w:rPr>
                <w:rFonts w:eastAsia="Times New Roman" w:cs="Times New Roman"/>
                <w:color w:val="000000"/>
                <w:kern w:val="0"/>
                <w:sz w:val="20"/>
                <w:szCs w:val="20"/>
                <w:lang w:eastAsia="es-CO"/>
                <w14:ligatures w14:val="none"/>
              </w:rPr>
              <w:t xml:space="preserve"> Vargas</w:t>
            </w:r>
          </w:p>
        </w:tc>
        <w:tc>
          <w:tcPr>
            <w:tcW w:w="898" w:type="pct"/>
            <w:noWrap/>
            <w:vAlign w:val="bottom"/>
            <w:hideMark/>
          </w:tcPr>
          <w:p w14:paraId="1051DE6F" w14:textId="77777777" w:rsidR="00D60DA6" w:rsidRPr="00951AB1" w:rsidRDefault="00D60DA6" w:rsidP="000A5389">
            <w:pPr>
              <w:spacing w:line="240" w:lineRule="auto"/>
              <w:jc w:val="right"/>
              <w:rPr>
                <w:rFonts w:eastAsia="Times New Roman" w:cs="Times New Roman"/>
                <w:color w:val="000000"/>
                <w:kern w:val="0"/>
                <w:sz w:val="20"/>
                <w:szCs w:val="20"/>
                <w:lang w:eastAsia="es-CO"/>
                <w14:ligatures w14:val="none"/>
              </w:rPr>
            </w:pPr>
            <w:r w:rsidRPr="00951AB1">
              <w:rPr>
                <w:rFonts w:eastAsia="Times New Roman" w:cs="Times New Roman"/>
                <w:color w:val="000000"/>
                <w:kern w:val="0"/>
                <w:sz w:val="20"/>
                <w:szCs w:val="20"/>
                <w:lang w:eastAsia="es-CO"/>
                <w14:ligatures w14:val="none"/>
              </w:rPr>
              <w:t xml:space="preserve">            1.335.613.427 </w:t>
            </w:r>
          </w:p>
        </w:tc>
      </w:tr>
      <w:tr w:rsidR="00D60DA6" w:rsidRPr="00951AB1" w14:paraId="582B0B4B" w14:textId="77777777" w:rsidTr="00794C0D">
        <w:trPr>
          <w:trHeight w:val="300"/>
        </w:trPr>
        <w:tc>
          <w:tcPr>
            <w:tcW w:w="590" w:type="pct"/>
            <w:noWrap/>
            <w:vAlign w:val="bottom"/>
            <w:hideMark/>
          </w:tcPr>
          <w:p w14:paraId="340EA898" w14:textId="77777777" w:rsidR="00D60DA6" w:rsidRPr="00951AB1" w:rsidRDefault="00D60DA6" w:rsidP="000A5389">
            <w:pPr>
              <w:spacing w:line="240" w:lineRule="auto"/>
              <w:rPr>
                <w:rFonts w:eastAsia="Times New Roman" w:cs="Times New Roman"/>
                <w:color w:val="000000"/>
                <w:kern w:val="0"/>
                <w:sz w:val="20"/>
                <w:szCs w:val="20"/>
                <w:lang w:eastAsia="es-CO"/>
                <w14:ligatures w14:val="none"/>
              </w:rPr>
            </w:pPr>
            <w:r w:rsidRPr="00951AB1">
              <w:rPr>
                <w:rFonts w:eastAsia="Times New Roman" w:cs="Times New Roman"/>
                <w:color w:val="000000"/>
                <w:kern w:val="0"/>
                <w:sz w:val="20"/>
                <w:szCs w:val="20"/>
                <w:lang w:eastAsia="es-CO"/>
                <w14:ligatures w14:val="none"/>
              </w:rPr>
              <w:t>13363948</w:t>
            </w:r>
          </w:p>
        </w:tc>
        <w:tc>
          <w:tcPr>
            <w:tcW w:w="3511" w:type="pct"/>
            <w:noWrap/>
            <w:vAlign w:val="bottom"/>
            <w:hideMark/>
          </w:tcPr>
          <w:p w14:paraId="31668BD6" w14:textId="2701036C" w:rsidR="00D60DA6" w:rsidRPr="00951AB1" w:rsidRDefault="00D60DA6" w:rsidP="000A5389">
            <w:pPr>
              <w:spacing w:line="240" w:lineRule="auto"/>
              <w:rPr>
                <w:rFonts w:eastAsia="Times New Roman" w:cs="Times New Roman"/>
                <w:color w:val="000000"/>
                <w:kern w:val="0"/>
                <w:sz w:val="20"/>
                <w:szCs w:val="20"/>
                <w:lang w:eastAsia="es-CO"/>
                <w14:ligatures w14:val="none"/>
              </w:rPr>
            </w:pPr>
            <w:r w:rsidRPr="00951AB1">
              <w:rPr>
                <w:rFonts w:eastAsia="Times New Roman" w:cs="Times New Roman"/>
                <w:color w:val="000000"/>
                <w:kern w:val="0"/>
                <w:sz w:val="20"/>
                <w:szCs w:val="20"/>
                <w:lang w:eastAsia="es-CO"/>
                <w14:ligatures w14:val="none"/>
              </w:rPr>
              <w:t xml:space="preserve">Rafael Nayib Quintero </w:t>
            </w:r>
          </w:p>
        </w:tc>
        <w:tc>
          <w:tcPr>
            <w:tcW w:w="898" w:type="pct"/>
            <w:noWrap/>
            <w:vAlign w:val="bottom"/>
            <w:hideMark/>
          </w:tcPr>
          <w:p w14:paraId="460F688F" w14:textId="77777777" w:rsidR="00D60DA6" w:rsidRPr="00951AB1" w:rsidRDefault="00D60DA6" w:rsidP="000A5389">
            <w:pPr>
              <w:spacing w:line="240" w:lineRule="auto"/>
              <w:jc w:val="right"/>
              <w:rPr>
                <w:rFonts w:eastAsia="Times New Roman" w:cs="Times New Roman"/>
                <w:color w:val="000000"/>
                <w:kern w:val="0"/>
                <w:sz w:val="20"/>
                <w:szCs w:val="20"/>
                <w:lang w:eastAsia="es-CO"/>
                <w14:ligatures w14:val="none"/>
              </w:rPr>
            </w:pPr>
            <w:r w:rsidRPr="00951AB1">
              <w:rPr>
                <w:rFonts w:eastAsia="Times New Roman" w:cs="Times New Roman"/>
                <w:color w:val="000000"/>
                <w:kern w:val="0"/>
                <w:sz w:val="20"/>
                <w:szCs w:val="20"/>
                <w:lang w:eastAsia="es-CO"/>
                <w14:ligatures w14:val="none"/>
              </w:rPr>
              <w:t xml:space="preserve">               883.839.053 </w:t>
            </w:r>
          </w:p>
        </w:tc>
      </w:tr>
      <w:tr w:rsidR="00D60DA6" w:rsidRPr="00951AB1" w14:paraId="2F63FE79" w14:textId="77777777" w:rsidTr="00794C0D">
        <w:trPr>
          <w:trHeight w:val="300"/>
        </w:trPr>
        <w:tc>
          <w:tcPr>
            <w:tcW w:w="590" w:type="pct"/>
            <w:noWrap/>
            <w:vAlign w:val="bottom"/>
            <w:hideMark/>
          </w:tcPr>
          <w:p w14:paraId="065D11D1" w14:textId="77777777" w:rsidR="00D60DA6" w:rsidRPr="00951AB1" w:rsidRDefault="00D60DA6" w:rsidP="000A5389">
            <w:pPr>
              <w:spacing w:line="240" w:lineRule="auto"/>
              <w:rPr>
                <w:rFonts w:eastAsia="Times New Roman" w:cs="Times New Roman"/>
                <w:color w:val="000000"/>
                <w:kern w:val="0"/>
                <w:sz w:val="20"/>
                <w:szCs w:val="20"/>
                <w:lang w:eastAsia="es-CO"/>
                <w14:ligatures w14:val="none"/>
              </w:rPr>
            </w:pPr>
            <w:r w:rsidRPr="00951AB1">
              <w:rPr>
                <w:rFonts w:eastAsia="Times New Roman" w:cs="Times New Roman"/>
                <w:color w:val="000000"/>
                <w:kern w:val="0"/>
                <w:sz w:val="20"/>
                <w:szCs w:val="20"/>
                <w:lang w:eastAsia="es-CO"/>
                <w14:ligatures w14:val="none"/>
              </w:rPr>
              <w:t>6774680</w:t>
            </w:r>
          </w:p>
        </w:tc>
        <w:tc>
          <w:tcPr>
            <w:tcW w:w="3511" w:type="pct"/>
            <w:noWrap/>
            <w:vAlign w:val="bottom"/>
            <w:hideMark/>
          </w:tcPr>
          <w:p w14:paraId="3B814309" w14:textId="73CF5B29" w:rsidR="00D60DA6" w:rsidRPr="00951AB1" w:rsidRDefault="00D60DA6" w:rsidP="000A5389">
            <w:pPr>
              <w:spacing w:line="240" w:lineRule="auto"/>
              <w:rPr>
                <w:rFonts w:eastAsia="Times New Roman" w:cs="Times New Roman"/>
                <w:color w:val="000000"/>
                <w:kern w:val="0"/>
                <w:sz w:val="20"/>
                <w:szCs w:val="20"/>
                <w:lang w:eastAsia="es-CO"/>
                <w14:ligatures w14:val="none"/>
              </w:rPr>
            </w:pPr>
            <w:r w:rsidRPr="00951AB1">
              <w:rPr>
                <w:rFonts w:eastAsia="Times New Roman" w:cs="Times New Roman"/>
                <w:color w:val="000000"/>
                <w:kern w:val="0"/>
                <w:sz w:val="20"/>
                <w:szCs w:val="20"/>
                <w:lang w:eastAsia="es-CO"/>
                <w14:ligatures w14:val="none"/>
              </w:rPr>
              <w:t xml:space="preserve">Carlos Orlando Caro </w:t>
            </w:r>
            <w:r w:rsidR="00D37464" w:rsidRPr="00951AB1">
              <w:rPr>
                <w:rFonts w:eastAsia="Times New Roman" w:cs="Times New Roman"/>
                <w:color w:val="000000"/>
                <w:kern w:val="0"/>
                <w:sz w:val="20"/>
                <w:szCs w:val="20"/>
                <w:lang w:eastAsia="es-CO"/>
                <w14:ligatures w14:val="none"/>
              </w:rPr>
              <w:t>Sánchez</w:t>
            </w:r>
          </w:p>
        </w:tc>
        <w:tc>
          <w:tcPr>
            <w:tcW w:w="898" w:type="pct"/>
            <w:noWrap/>
            <w:vAlign w:val="bottom"/>
            <w:hideMark/>
          </w:tcPr>
          <w:p w14:paraId="68F58E61" w14:textId="77777777" w:rsidR="00D60DA6" w:rsidRPr="00951AB1" w:rsidRDefault="00D60DA6" w:rsidP="000A5389">
            <w:pPr>
              <w:spacing w:line="240" w:lineRule="auto"/>
              <w:jc w:val="right"/>
              <w:rPr>
                <w:rFonts w:eastAsia="Times New Roman" w:cs="Times New Roman"/>
                <w:color w:val="000000"/>
                <w:kern w:val="0"/>
                <w:sz w:val="20"/>
                <w:szCs w:val="20"/>
                <w:lang w:eastAsia="es-CO"/>
                <w14:ligatures w14:val="none"/>
              </w:rPr>
            </w:pPr>
            <w:r w:rsidRPr="00951AB1">
              <w:rPr>
                <w:rFonts w:eastAsia="Times New Roman" w:cs="Times New Roman"/>
                <w:color w:val="000000"/>
                <w:kern w:val="0"/>
                <w:sz w:val="20"/>
                <w:szCs w:val="20"/>
                <w:lang w:eastAsia="es-CO"/>
                <w14:ligatures w14:val="none"/>
              </w:rPr>
              <w:t xml:space="preserve">               871.292.704 </w:t>
            </w:r>
          </w:p>
        </w:tc>
      </w:tr>
      <w:tr w:rsidR="00D60DA6" w:rsidRPr="00951AB1" w14:paraId="73E64697" w14:textId="77777777" w:rsidTr="00794C0D">
        <w:trPr>
          <w:trHeight w:val="300"/>
        </w:trPr>
        <w:tc>
          <w:tcPr>
            <w:tcW w:w="590" w:type="pct"/>
            <w:noWrap/>
            <w:vAlign w:val="bottom"/>
            <w:hideMark/>
          </w:tcPr>
          <w:p w14:paraId="2A263CA1" w14:textId="77777777" w:rsidR="00D60DA6" w:rsidRPr="00951AB1" w:rsidRDefault="00D60DA6" w:rsidP="000A5389">
            <w:pPr>
              <w:spacing w:line="240" w:lineRule="auto"/>
              <w:rPr>
                <w:rFonts w:eastAsia="Times New Roman" w:cs="Times New Roman"/>
                <w:color w:val="000000"/>
                <w:kern w:val="0"/>
                <w:sz w:val="20"/>
                <w:szCs w:val="20"/>
                <w:lang w:eastAsia="es-CO"/>
                <w14:ligatures w14:val="none"/>
              </w:rPr>
            </w:pPr>
            <w:r w:rsidRPr="00951AB1">
              <w:rPr>
                <w:rFonts w:eastAsia="Times New Roman" w:cs="Times New Roman"/>
                <w:color w:val="000000"/>
                <w:kern w:val="0"/>
                <w:sz w:val="20"/>
                <w:szCs w:val="20"/>
                <w:lang w:eastAsia="es-CO"/>
                <w14:ligatures w14:val="none"/>
              </w:rPr>
              <w:t>37932532</w:t>
            </w:r>
          </w:p>
        </w:tc>
        <w:tc>
          <w:tcPr>
            <w:tcW w:w="3511" w:type="pct"/>
            <w:noWrap/>
            <w:vAlign w:val="bottom"/>
            <w:hideMark/>
          </w:tcPr>
          <w:p w14:paraId="17F0A9B5" w14:textId="5A914E2E" w:rsidR="00D60DA6" w:rsidRPr="00951AB1" w:rsidRDefault="00D37464" w:rsidP="000A5389">
            <w:pPr>
              <w:spacing w:line="240" w:lineRule="auto"/>
              <w:rPr>
                <w:rFonts w:eastAsia="Times New Roman" w:cs="Times New Roman"/>
                <w:color w:val="000000"/>
                <w:kern w:val="0"/>
                <w:sz w:val="20"/>
                <w:szCs w:val="20"/>
                <w:lang w:eastAsia="es-CO"/>
                <w14:ligatures w14:val="none"/>
              </w:rPr>
            </w:pPr>
            <w:r w:rsidRPr="00951AB1">
              <w:rPr>
                <w:rFonts w:eastAsia="Times New Roman" w:cs="Times New Roman"/>
                <w:color w:val="000000"/>
                <w:kern w:val="0"/>
                <w:sz w:val="20"/>
                <w:szCs w:val="20"/>
                <w:lang w:eastAsia="es-CO"/>
                <w14:ligatures w14:val="none"/>
              </w:rPr>
              <w:t>María</w:t>
            </w:r>
            <w:r w:rsidR="00D60DA6" w:rsidRPr="00951AB1">
              <w:rPr>
                <w:rFonts w:eastAsia="Times New Roman" w:cs="Times New Roman"/>
                <w:color w:val="000000"/>
                <w:kern w:val="0"/>
                <w:sz w:val="20"/>
                <w:szCs w:val="20"/>
                <w:lang w:eastAsia="es-CO"/>
                <w14:ligatures w14:val="none"/>
              </w:rPr>
              <w:t xml:space="preserve"> Del Carmen Ardila Silva</w:t>
            </w:r>
          </w:p>
        </w:tc>
        <w:tc>
          <w:tcPr>
            <w:tcW w:w="898" w:type="pct"/>
            <w:noWrap/>
            <w:vAlign w:val="bottom"/>
            <w:hideMark/>
          </w:tcPr>
          <w:p w14:paraId="06AB4798" w14:textId="77777777" w:rsidR="00D60DA6" w:rsidRPr="00951AB1" w:rsidRDefault="00D60DA6" w:rsidP="000A5389">
            <w:pPr>
              <w:spacing w:line="240" w:lineRule="auto"/>
              <w:jc w:val="right"/>
              <w:rPr>
                <w:rFonts w:eastAsia="Times New Roman" w:cs="Times New Roman"/>
                <w:color w:val="000000"/>
                <w:kern w:val="0"/>
                <w:sz w:val="20"/>
                <w:szCs w:val="20"/>
                <w:lang w:eastAsia="es-CO"/>
                <w14:ligatures w14:val="none"/>
              </w:rPr>
            </w:pPr>
            <w:r w:rsidRPr="00951AB1">
              <w:rPr>
                <w:rFonts w:eastAsia="Times New Roman" w:cs="Times New Roman"/>
                <w:color w:val="000000"/>
                <w:kern w:val="0"/>
                <w:sz w:val="20"/>
                <w:szCs w:val="20"/>
                <w:lang w:eastAsia="es-CO"/>
                <w14:ligatures w14:val="none"/>
              </w:rPr>
              <w:t xml:space="preserve">               520.000.000 </w:t>
            </w:r>
          </w:p>
        </w:tc>
      </w:tr>
      <w:tr w:rsidR="00D60DA6" w:rsidRPr="00951AB1" w14:paraId="50B4BF60" w14:textId="77777777" w:rsidTr="00794C0D">
        <w:trPr>
          <w:trHeight w:val="300"/>
        </w:trPr>
        <w:tc>
          <w:tcPr>
            <w:tcW w:w="590" w:type="pct"/>
            <w:noWrap/>
            <w:vAlign w:val="bottom"/>
            <w:hideMark/>
          </w:tcPr>
          <w:p w14:paraId="642F0DC8" w14:textId="77777777" w:rsidR="00D60DA6" w:rsidRPr="00951AB1" w:rsidRDefault="00D60DA6" w:rsidP="000A5389">
            <w:pPr>
              <w:spacing w:line="240" w:lineRule="auto"/>
              <w:rPr>
                <w:rFonts w:eastAsia="Times New Roman" w:cs="Times New Roman"/>
                <w:color w:val="000000"/>
                <w:kern w:val="0"/>
                <w:sz w:val="20"/>
                <w:szCs w:val="20"/>
                <w:lang w:eastAsia="es-CO"/>
                <w14:ligatures w14:val="none"/>
              </w:rPr>
            </w:pPr>
            <w:r w:rsidRPr="00951AB1">
              <w:rPr>
                <w:rFonts w:eastAsia="Times New Roman" w:cs="Times New Roman"/>
                <w:color w:val="000000"/>
                <w:kern w:val="0"/>
                <w:sz w:val="20"/>
                <w:szCs w:val="20"/>
                <w:lang w:eastAsia="es-CO"/>
                <w14:ligatures w14:val="none"/>
              </w:rPr>
              <w:t>63310110</w:t>
            </w:r>
          </w:p>
        </w:tc>
        <w:tc>
          <w:tcPr>
            <w:tcW w:w="3511" w:type="pct"/>
            <w:noWrap/>
            <w:vAlign w:val="bottom"/>
            <w:hideMark/>
          </w:tcPr>
          <w:p w14:paraId="7C30A677" w14:textId="1D705E6C" w:rsidR="00D60DA6" w:rsidRPr="00951AB1" w:rsidRDefault="00D60DA6" w:rsidP="000A5389">
            <w:pPr>
              <w:spacing w:line="240" w:lineRule="auto"/>
              <w:rPr>
                <w:rFonts w:eastAsia="Times New Roman" w:cs="Times New Roman"/>
                <w:color w:val="000000"/>
                <w:kern w:val="0"/>
                <w:sz w:val="20"/>
                <w:szCs w:val="20"/>
                <w:lang w:eastAsia="es-CO"/>
                <w14:ligatures w14:val="none"/>
              </w:rPr>
            </w:pPr>
            <w:r w:rsidRPr="00951AB1">
              <w:rPr>
                <w:rFonts w:eastAsia="Times New Roman" w:cs="Times New Roman"/>
                <w:color w:val="000000"/>
                <w:kern w:val="0"/>
                <w:sz w:val="20"/>
                <w:szCs w:val="20"/>
                <w:lang w:eastAsia="es-CO"/>
                <w14:ligatures w14:val="none"/>
              </w:rPr>
              <w:t>Libia Eugenia Duran Barajas</w:t>
            </w:r>
          </w:p>
        </w:tc>
        <w:tc>
          <w:tcPr>
            <w:tcW w:w="898" w:type="pct"/>
            <w:noWrap/>
            <w:vAlign w:val="bottom"/>
            <w:hideMark/>
          </w:tcPr>
          <w:p w14:paraId="716F2A40" w14:textId="77777777" w:rsidR="00D60DA6" w:rsidRPr="00951AB1" w:rsidRDefault="00D60DA6" w:rsidP="000A5389">
            <w:pPr>
              <w:spacing w:line="240" w:lineRule="auto"/>
              <w:jc w:val="right"/>
              <w:rPr>
                <w:rFonts w:eastAsia="Times New Roman" w:cs="Times New Roman"/>
                <w:color w:val="000000"/>
                <w:kern w:val="0"/>
                <w:sz w:val="20"/>
                <w:szCs w:val="20"/>
                <w:lang w:eastAsia="es-CO"/>
                <w14:ligatures w14:val="none"/>
              </w:rPr>
            </w:pPr>
            <w:r w:rsidRPr="00951AB1">
              <w:rPr>
                <w:rFonts w:eastAsia="Times New Roman" w:cs="Times New Roman"/>
                <w:color w:val="000000"/>
                <w:kern w:val="0"/>
                <w:sz w:val="20"/>
                <w:szCs w:val="20"/>
                <w:lang w:eastAsia="es-CO"/>
                <w14:ligatures w14:val="none"/>
              </w:rPr>
              <w:t xml:space="preserve">               502.683.471 </w:t>
            </w:r>
          </w:p>
        </w:tc>
      </w:tr>
      <w:tr w:rsidR="00D60DA6" w:rsidRPr="00951AB1" w14:paraId="109F0E32" w14:textId="77777777" w:rsidTr="00794C0D">
        <w:trPr>
          <w:trHeight w:val="300"/>
        </w:trPr>
        <w:tc>
          <w:tcPr>
            <w:tcW w:w="590" w:type="pct"/>
            <w:noWrap/>
            <w:vAlign w:val="bottom"/>
            <w:hideMark/>
          </w:tcPr>
          <w:p w14:paraId="411EB5E5" w14:textId="77777777" w:rsidR="00D60DA6" w:rsidRPr="00951AB1" w:rsidRDefault="00D60DA6" w:rsidP="000A5389">
            <w:pPr>
              <w:spacing w:line="240" w:lineRule="auto"/>
              <w:rPr>
                <w:rFonts w:eastAsia="Times New Roman" w:cs="Times New Roman"/>
                <w:color w:val="000000"/>
                <w:kern w:val="0"/>
                <w:sz w:val="20"/>
                <w:szCs w:val="20"/>
                <w:lang w:eastAsia="es-CO"/>
                <w14:ligatures w14:val="none"/>
              </w:rPr>
            </w:pPr>
            <w:r w:rsidRPr="00951AB1">
              <w:rPr>
                <w:rFonts w:eastAsia="Times New Roman" w:cs="Times New Roman"/>
                <w:color w:val="000000"/>
                <w:kern w:val="0"/>
                <w:sz w:val="20"/>
                <w:szCs w:val="20"/>
                <w:lang w:eastAsia="es-CO"/>
                <w14:ligatures w14:val="none"/>
              </w:rPr>
              <w:t>13493196</w:t>
            </w:r>
          </w:p>
        </w:tc>
        <w:tc>
          <w:tcPr>
            <w:tcW w:w="3511" w:type="pct"/>
            <w:noWrap/>
            <w:vAlign w:val="bottom"/>
            <w:hideMark/>
          </w:tcPr>
          <w:p w14:paraId="5234DADF" w14:textId="73D1D447" w:rsidR="00D60DA6" w:rsidRPr="00951AB1" w:rsidRDefault="00D60DA6" w:rsidP="000A5389">
            <w:pPr>
              <w:spacing w:line="240" w:lineRule="auto"/>
              <w:rPr>
                <w:rFonts w:eastAsia="Times New Roman" w:cs="Times New Roman"/>
                <w:color w:val="000000"/>
                <w:kern w:val="0"/>
                <w:sz w:val="20"/>
                <w:szCs w:val="20"/>
                <w:lang w:eastAsia="es-CO"/>
                <w14:ligatures w14:val="none"/>
              </w:rPr>
            </w:pPr>
            <w:r w:rsidRPr="00951AB1">
              <w:rPr>
                <w:rFonts w:eastAsia="Times New Roman" w:cs="Times New Roman"/>
                <w:color w:val="000000"/>
                <w:kern w:val="0"/>
                <w:sz w:val="20"/>
                <w:szCs w:val="20"/>
                <w:lang w:eastAsia="es-CO"/>
                <w14:ligatures w14:val="none"/>
              </w:rPr>
              <w:t>Hernan Trillos Contreras</w:t>
            </w:r>
          </w:p>
        </w:tc>
        <w:tc>
          <w:tcPr>
            <w:tcW w:w="898" w:type="pct"/>
            <w:noWrap/>
            <w:vAlign w:val="bottom"/>
            <w:hideMark/>
          </w:tcPr>
          <w:p w14:paraId="50BD7E31" w14:textId="77777777" w:rsidR="00D60DA6" w:rsidRPr="00951AB1" w:rsidRDefault="00D60DA6" w:rsidP="000A5389">
            <w:pPr>
              <w:spacing w:line="240" w:lineRule="auto"/>
              <w:jc w:val="right"/>
              <w:rPr>
                <w:rFonts w:eastAsia="Times New Roman" w:cs="Times New Roman"/>
                <w:color w:val="000000"/>
                <w:kern w:val="0"/>
                <w:sz w:val="20"/>
                <w:szCs w:val="20"/>
                <w:lang w:eastAsia="es-CO"/>
                <w14:ligatures w14:val="none"/>
              </w:rPr>
            </w:pPr>
            <w:r w:rsidRPr="00951AB1">
              <w:rPr>
                <w:rFonts w:eastAsia="Times New Roman" w:cs="Times New Roman"/>
                <w:color w:val="000000"/>
                <w:kern w:val="0"/>
                <w:sz w:val="20"/>
                <w:szCs w:val="20"/>
                <w:lang w:eastAsia="es-CO"/>
                <w14:ligatures w14:val="none"/>
              </w:rPr>
              <w:t xml:space="preserve">               494.294.739 </w:t>
            </w:r>
          </w:p>
        </w:tc>
      </w:tr>
      <w:tr w:rsidR="00D60DA6" w:rsidRPr="00951AB1" w14:paraId="195CB1A9" w14:textId="77777777" w:rsidTr="00794C0D">
        <w:trPr>
          <w:trHeight w:val="300"/>
        </w:trPr>
        <w:tc>
          <w:tcPr>
            <w:tcW w:w="590" w:type="pct"/>
            <w:noWrap/>
            <w:vAlign w:val="bottom"/>
            <w:hideMark/>
          </w:tcPr>
          <w:p w14:paraId="40F05953" w14:textId="77777777" w:rsidR="00D60DA6" w:rsidRPr="00951AB1" w:rsidRDefault="00D60DA6" w:rsidP="000A5389">
            <w:pPr>
              <w:spacing w:line="240" w:lineRule="auto"/>
              <w:rPr>
                <w:rFonts w:eastAsia="Times New Roman" w:cs="Times New Roman"/>
                <w:color w:val="000000"/>
                <w:kern w:val="0"/>
                <w:sz w:val="20"/>
                <w:szCs w:val="20"/>
                <w:lang w:eastAsia="es-CO"/>
                <w14:ligatures w14:val="none"/>
              </w:rPr>
            </w:pPr>
            <w:r w:rsidRPr="00951AB1">
              <w:rPr>
                <w:rFonts w:eastAsia="Times New Roman" w:cs="Times New Roman"/>
                <w:color w:val="000000"/>
                <w:kern w:val="0"/>
                <w:sz w:val="20"/>
                <w:szCs w:val="20"/>
                <w:lang w:eastAsia="es-CO"/>
                <w14:ligatures w14:val="none"/>
              </w:rPr>
              <w:t>7178352</w:t>
            </w:r>
          </w:p>
        </w:tc>
        <w:tc>
          <w:tcPr>
            <w:tcW w:w="3511" w:type="pct"/>
            <w:noWrap/>
            <w:vAlign w:val="bottom"/>
            <w:hideMark/>
          </w:tcPr>
          <w:p w14:paraId="5F9F91BA" w14:textId="76F75925" w:rsidR="00D60DA6" w:rsidRPr="00951AB1" w:rsidRDefault="00D60DA6" w:rsidP="000A5389">
            <w:pPr>
              <w:spacing w:line="240" w:lineRule="auto"/>
              <w:rPr>
                <w:rFonts w:eastAsia="Times New Roman" w:cs="Times New Roman"/>
                <w:color w:val="000000"/>
                <w:kern w:val="0"/>
                <w:sz w:val="20"/>
                <w:szCs w:val="20"/>
                <w:lang w:eastAsia="es-CO"/>
                <w14:ligatures w14:val="none"/>
              </w:rPr>
            </w:pPr>
            <w:r w:rsidRPr="00951AB1">
              <w:rPr>
                <w:rFonts w:eastAsia="Times New Roman" w:cs="Times New Roman"/>
                <w:color w:val="000000"/>
                <w:kern w:val="0"/>
                <w:sz w:val="20"/>
                <w:szCs w:val="20"/>
                <w:lang w:eastAsia="es-CO"/>
                <w14:ligatures w14:val="none"/>
              </w:rPr>
              <w:t>Eduar Freddy Bolivar Gamboa</w:t>
            </w:r>
          </w:p>
        </w:tc>
        <w:tc>
          <w:tcPr>
            <w:tcW w:w="898" w:type="pct"/>
            <w:noWrap/>
            <w:vAlign w:val="bottom"/>
            <w:hideMark/>
          </w:tcPr>
          <w:p w14:paraId="07A67ED7" w14:textId="77777777" w:rsidR="00D60DA6" w:rsidRPr="00951AB1" w:rsidRDefault="00D60DA6" w:rsidP="000A5389">
            <w:pPr>
              <w:spacing w:line="240" w:lineRule="auto"/>
              <w:jc w:val="right"/>
              <w:rPr>
                <w:rFonts w:eastAsia="Times New Roman" w:cs="Times New Roman"/>
                <w:color w:val="000000"/>
                <w:kern w:val="0"/>
                <w:sz w:val="20"/>
                <w:szCs w:val="20"/>
                <w:lang w:eastAsia="es-CO"/>
                <w14:ligatures w14:val="none"/>
              </w:rPr>
            </w:pPr>
            <w:r w:rsidRPr="00951AB1">
              <w:rPr>
                <w:rFonts w:eastAsia="Times New Roman" w:cs="Times New Roman"/>
                <w:color w:val="000000"/>
                <w:kern w:val="0"/>
                <w:sz w:val="20"/>
                <w:szCs w:val="20"/>
                <w:lang w:eastAsia="es-CO"/>
                <w14:ligatures w14:val="none"/>
              </w:rPr>
              <w:t xml:space="preserve">               429.117.476 </w:t>
            </w:r>
          </w:p>
        </w:tc>
      </w:tr>
      <w:tr w:rsidR="00D60DA6" w:rsidRPr="00951AB1" w14:paraId="1C3513B7" w14:textId="77777777" w:rsidTr="00794C0D">
        <w:trPr>
          <w:trHeight w:val="300"/>
        </w:trPr>
        <w:tc>
          <w:tcPr>
            <w:tcW w:w="590" w:type="pct"/>
            <w:noWrap/>
            <w:vAlign w:val="bottom"/>
            <w:hideMark/>
          </w:tcPr>
          <w:p w14:paraId="141852AD" w14:textId="77777777" w:rsidR="00D60DA6" w:rsidRPr="00951AB1" w:rsidRDefault="00D60DA6" w:rsidP="000A5389">
            <w:pPr>
              <w:spacing w:line="240" w:lineRule="auto"/>
              <w:rPr>
                <w:rFonts w:eastAsia="Times New Roman" w:cs="Times New Roman"/>
                <w:color w:val="000000"/>
                <w:kern w:val="0"/>
                <w:sz w:val="20"/>
                <w:szCs w:val="20"/>
                <w:lang w:eastAsia="es-CO"/>
                <w14:ligatures w14:val="none"/>
              </w:rPr>
            </w:pPr>
            <w:r w:rsidRPr="00951AB1">
              <w:rPr>
                <w:rFonts w:eastAsia="Times New Roman" w:cs="Times New Roman"/>
                <w:color w:val="000000"/>
                <w:kern w:val="0"/>
                <w:sz w:val="20"/>
                <w:szCs w:val="20"/>
                <w:lang w:eastAsia="es-CO"/>
                <w14:ligatures w14:val="none"/>
              </w:rPr>
              <w:t>53008846</w:t>
            </w:r>
          </w:p>
        </w:tc>
        <w:tc>
          <w:tcPr>
            <w:tcW w:w="3511" w:type="pct"/>
            <w:noWrap/>
            <w:vAlign w:val="bottom"/>
            <w:hideMark/>
          </w:tcPr>
          <w:p w14:paraId="042865C2" w14:textId="1AC4AA6A" w:rsidR="00D60DA6" w:rsidRPr="00951AB1" w:rsidRDefault="00D60DA6" w:rsidP="000A5389">
            <w:pPr>
              <w:spacing w:line="240" w:lineRule="auto"/>
              <w:rPr>
                <w:rFonts w:eastAsia="Times New Roman" w:cs="Times New Roman"/>
                <w:color w:val="000000"/>
                <w:kern w:val="0"/>
                <w:sz w:val="20"/>
                <w:szCs w:val="20"/>
                <w:lang w:eastAsia="es-CO"/>
                <w14:ligatures w14:val="none"/>
              </w:rPr>
            </w:pPr>
            <w:r w:rsidRPr="00951AB1">
              <w:rPr>
                <w:rFonts w:eastAsia="Times New Roman" w:cs="Times New Roman"/>
                <w:color w:val="000000"/>
                <w:kern w:val="0"/>
                <w:sz w:val="20"/>
                <w:szCs w:val="20"/>
                <w:lang w:eastAsia="es-CO"/>
                <w14:ligatures w14:val="none"/>
              </w:rPr>
              <w:t>Derlys Yurley Ruiz Torres</w:t>
            </w:r>
          </w:p>
        </w:tc>
        <w:tc>
          <w:tcPr>
            <w:tcW w:w="898" w:type="pct"/>
            <w:noWrap/>
            <w:vAlign w:val="bottom"/>
            <w:hideMark/>
          </w:tcPr>
          <w:p w14:paraId="1CD46BB7" w14:textId="77777777" w:rsidR="00D60DA6" w:rsidRPr="00951AB1" w:rsidRDefault="00D60DA6" w:rsidP="000A5389">
            <w:pPr>
              <w:spacing w:line="240" w:lineRule="auto"/>
              <w:jc w:val="right"/>
              <w:rPr>
                <w:rFonts w:eastAsia="Times New Roman" w:cs="Times New Roman"/>
                <w:color w:val="000000"/>
                <w:kern w:val="0"/>
                <w:sz w:val="20"/>
                <w:szCs w:val="20"/>
                <w:lang w:eastAsia="es-CO"/>
                <w14:ligatures w14:val="none"/>
              </w:rPr>
            </w:pPr>
            <w:r w:rsidRPr="00951AB1">
              <w:rPr>
                <w:rFonts w:eastAsia="Times New Roman" w:cs="Times New Roman"/>
                <w:color w:val="000000"/>
                <w:kern w:val="0"/>
                <w:sz w:val="20"/>
                <w:szCs w:val="20"/>
                <w:lang w:eastAsia="es-CO"/>
                <w14:ligatures w14:val="none"/>
              </w:rPr>
              <w:t xml:space="preserve">               409.825.000 </w:t>
            </w:r>
          </w:p>
        </w:tc>
      </w:tr>
      <w:tr w:rsidR="00D60DA6" w:rsidRPr="00951AB1" w14:paraId="77561100" w14:textId="77777777" w:rsidTr="00794C0D">
        <w:trPr>
          <w:trHeight w:val="300"/>
        </w:trPr>
        <w:tc>
          <w:tcPr>
            <w:tcW w:w="590" w:type="pct"/>
            <w:noWrap/>
            <w:vAlign w:val="bottom"/>
            <w:hideMark/>
          </w:tcPr>
          <w:p w14:paraId="3B420ADA" w14:textId="77777777" w:rsidR="00D60DA6" w:rsidRPr="00951AB1" w:rsidRDefault="00D60DA6" w:rsidP="000A5389">
            <w:pPr>
              <w:spacing w:line="240" w:lineRule="auto"/>
              <w:rPr>
                <w:rFonts w:eastAsia="Times New Roman" w:cs="Times New Roman"/>
                <w:color w:val="000000"/>
                <w:kern w:val="0"/>
                <w:sz w:val="20"/>
                <w:szCs w:val="20"/>
                <w:lang w:eastAsia="es-CO"/>
                <w14:ligatures w14:val="none"/>
              </w:rPr>
            </w:pPr>
            <w:r w:rsidRPr="00951AB1">
              <w:rPr>
                <w:rFonts w:eastAsia="Times New Roman" w:cs="Times New Roman"/>
                <w:color w:val="000000"/>
                <w:kern w:val="0"/>
                <w:sz w:val="20"/>
                <w:szCs w:val="20"/>
                <w:lang w:eastAsia="es-CO"/>
                <w14:ligatures w14:val="none"/>
              </w:rPr>
              <w:t>45441387</w:t>
            </w:r>
          </w:p>
        </w:tc>
        <w:tc>
          <w:tcPr>
            <w:tcW w:w="3511" w:type="pct"/>
            <w:noWrap/>
            <w:vAlign w:val="bottom"/>
            <w:hideMark/>
          </w:tcPr>
          <w:p w14:paraId="6FA72FF3" w14:textId="43471A8C" w:rsidR="00D60DA6" w:rsidRPr="00951AB1" w:rsidRDefault="00D60DA6" w:rsidP="000A5389">
            <w:pPr>
              <w:spacing w:line="240" w:lineRule="auto"/>
              <w:rPr>
                <w:rFonts w:eastAsia="Times New Roman" w:cs="Times New Roman"/>
                <w:color w:val="000000"/>
                <w:kern w:val="0"/>
                <w:sz w:val="20"/>
                <w:szCs w:val="20"/>
                <w:lang w:eastAsia="es-CO"/>
                <w14:ligatures w14:val="none"/>
              </w:rPr>
            </w:pPr>
            <w:r w:rsidRPr="00951AB1">
              <w:rPr>
                <w:rFonts w:eastAsia="Times New Roman" w:cs="Times New Roman"/>
                <w:color w:val="000000"/>
                <w:kern w:val="0"/>
                <w:sz w:val="20"/>
                <w:szCs w:val="20"/>
                <w:lang w:eastAsia="es-CO"/>
                <w14:ligatures w14:val="none"/>
              </w:rPr>
              <w:t>Nohora Elvira Durango Villadiego</w:t>
            </w:r>
          </w:p>
        </w:tc>
        <w:tc>
          <w:tcPr>
            <w:tcW w:w="898" w:type="pct"/>
            <w:noWrap/>
            <w:vAlign w:val="bottom"/>
            <w:hideMark/>
          </w:tcPr>
          <w:p w14:paraId="7BE7668C" w14:textId="77777777" w:rsidR="00D60DA6" w:rsidRPr="00951AB1" w:rsidRDefault="00D60DA6" w:rsidP="000A5389">
            <w:pPr>
              <w:spacing w:line="240" w:lineRule="auto"/>
              <w:jc w:val="right"/>
              <w:rPr>
                <w:rFonts w:eastAsia="Times New Roman" w:cs="Times New Roman"/>
                <w:color w:val="000000"/>
                <w:kern w:val="0"/>
                <w:sz w:val="20"/>
                <w:szCs w:val="20"/>
                <w:lang w:eastAsia="es-CO"/>
                <w14:ligatures w14:val="none"/>
              </w:rPr>
            </w:pPr>
            <w:r w:rsidRPr="00951AB1">
              <w:rPr>
                <w:rFonts w:eastAsia="Times New Roman" w:cs="Times New Roman"/>
                <w:color w:val="000000"/>
                <w:kern w:val="0"/>
                <w:sz w:val="20"/>
                <w:szCs w:val="20"/>
                <w:lang w:eastAsia="es-CO"/>
                <w14:ligatures w14:val="none"/>
              </w:rPr>
              <w:t xml:space="preserve">               365.079.221 </w:t>
            </w:r>
          </w:p>
        </w:tc>
      </w:tr>
      <w:tr w:rsidR="00D60DA6" w:rsidRPr="00951AB1" w14:paraId="05630BF9" w14:textId="77777777" w:rsidTr="00794C0D">
        <w:trPr>
          <w:trHeight w:val="300"/>
        </w:trPr>
        <w:tc>
          <w:tcPr>
            <w:tcW w:w="590" w:type="pct"/>
            <w:noWrap/>
            <w:vAlign w:val="bottom"/>
            <w:hideMark/>
          </w:tcPr>
          <w:p w14:paraId="3BD72EDA" w14:textId="77777777" w:rsidR="00D60DA6" w:rsidRPr="00951AB1" w:rsidRDefault="00D60DA6" w:rsidP="000A5389">
            <w:pPr>
              <w:spacing w:line="240" w:lineRule="auto"/>
              <w:rPr>
                <w:rFonts w:eastAsia="Times New Roman" w:cs="Times New Roman"/>
                <w:color w:val="000000"/>
                <w:kern w:val="0"/>
                <w:sz w:val="20"/>
                <w:szCs w:val="20"/>
                <w:lang w:eastAsia="es-CO"/>
                <w14:ligatures w14:val="none"/>
              </w:rPr>
            </w:pPr>
            <w:r w:rsidRPr="00951AB1">
              <w:rPr>
                <w:rFonts w:eastAsia="Times New Roman" w:cs="Times New Roman"/>
                <w:color w:val="000000"/>
                <w:kern w:val="0"/>
                <w:sz w:val="20"/>
                <w:szCs w:val="20"/>
                <w:lang w:eastAsia="es-CO"/>
                <w14:ligatures w14:val="none"/>
              </w:rPr>
              <w:t>77180321</w:t>
            </w:r>
          </w:p>
        </w:tc>
        <w:tc>
          <w:tcPr>
            <w:tcW w:w="3511" w:type="pct"/>
            <w:noWrap/>
            <w:vAlign w:val="bottom"/>
            <w:hideMark/>
          </w:tcPr>
          <w:p w14:paraId="492D32CB" w14:textId="3547D7AC" w:rsidR="00D60DA6" w:rsidRPr="00951AB1" w:rsidRDefault="00D60DA6" w:rsidP="000A5389">
            <w:pPr>
              <w:spacing w:line="240" w:lineRule="auto"/>
              <w:rPr>
                <w:rFonts w:eastAsia="Times New Roman" w:cs="Times New Roman"/>
                <w:color w:val="000000"/>
                <w:kern w:val="0"/>
                <w:sz w:val="20"/>
                <w:szCs w:val="20"/>
                <w:lang w:eastAsia="es-CO"/>
                <w14:ligatures w14:val="none"/>
              </w:rPr>
            </w:pPr>
            <w:r w:rsidRPr="00951AB1">
              <w:rPr>
                <w:rFonts w:eastAsia="Times New Roman" w:cs="Times New Roman"/>
                <w:color w:val="000000"/>
                <w:kern w:val="0"/>
                <w:sz w:val="20"/>
                <w:szCs w:val="20"/>
                <w:lang w:eastAsia="es-CO"/>
                <w14:ligatures w14:val="none"/>
              </w:rPr>
              <w:t xml:space="preserve">Arley Vega </w:t>
            </w:r>
          </w:p>
        </w:tc>
        <w:tc>
          <w:tcPr>
            <w:tcW w:w="898" w:type="pct"/>
            <w:noWrap/>
            <w:vAlign w:val="bottom"/>
            <w:hideMark/>
          </w:tcPr>
          <w:p w14:paraId="6602682A" w14:textId="77777777" w:rsidR="00D60DA6" w:rsidRPr="00951AB1" w:rsidRDefault="00D60DA6" w:rsidP="000A5389">
            <w:pPr>
              <w:spacing w:line="240" w:lineRule="auto"/>
              <w:jc w:val="right"/>
              <w:rPr>
                <w:rFonts w:eastAsia="Times New Roman" w:cs="Times New Roman"/>
                <w:color w:val="000000"/>
                <w:kern w:val="0"/>
                <w:sz w:val="20"/>
                <w:szCs w:val="20"/>
                <w:lang w:eastAsia="es-CO"/>
                <w14:ligatures w14:val="none"/>
              </w:rPr>
            </w:pPr>
            <w:r w:rsidRPr="00951AB1">
              <w:rPr>
                <w:rFonts w:eastAsia="Times New Roman" w:cs="Times New Roman"/>
                <w:color w:val="000000"/>
                <w:kern w:val="0"/>
                <w:sz w:val="20"/>
                <w:szCs w:val="20"/>
                <w:lang w:eastAsia="es-CO"/>
                <w14:ligatures w14:val="none"/>
              </w:rPr>
              <w:t xml:space="preserve">               361.609.315 </w:t>
            </w:r>
          </w:p>
        </w:tc>
      </w:tr>
      <w:tr w:rsidR="00D60DA6" w:rsidRPr="00951AB1" w14:paraId="05F78B23" w14:textId="77777777" w:rsidTr="00794C0D">
        <w:trPr>
          <w:trHeight w:val="300"/>
        </w:trPr>
        <w:tc>
          <w:tcPr>
            <w:tcW w:w="590" w:type="pct"/>
            <w:noWrap/>
            <w:vAlign w:val="bottom"/>
            <w:hideMark/>
          </w:tcPr>
          <w:p w14:paraId="43CEF479" w14:textId="77777777" w:rsidR="00D60DA6" w:rsidRPr="00951AB1" w:rsidRDefault="00D60DA6" w:rsidP="000A5389">
            <w:pPr>
              <w:spacing w:line="240" w:lineRule="auto"/>
              <w:rPr>
                <w:rFonts w:eastAsia="Times New Roman" w:cs="Times New Roman"/>
                <w:color w:val="000000"/>
                <w:kern w:val="0"/>
                <w:sz w:val="20"/>
                <w:szCs w:val="20"/>
                <w:lang w:eastAsia="es-CO"/>
                <w14:ligatures w14:val="none"/>
              </w:rPr>
            </w:pPr>
            <w:r w:rsidRPr="00951AB1">
              <w:rPr>
                <w:rFonts w:eastAsia="Times New Roman" w:cs="Times New Roman"/>
                <w:color w:val="000000"/>
                <w:kern w:val="0"/>
                <w:sz w:val="20"/>
                <w:szCs w:val="20"/>
                <w:lang w:eastAsia="es-CO"/>
                <w14:ligatures w14:val="none"/>
              </w:rPr>
              <w:t>860002566</w:t>
            </w:r>
          </w:p>
        </w:tc>
        <w:tc>
          <w:tcPr>
            <w:tcW w:w="3511" w:type="pct"/>
            <w:noWrap/>
            <w:vAlign w:val="bottom"/>
            <w:hideMark/>
          </w:tcPr>
          <w:p w14:paraId="75859574" w14:textId="795AEF79" w:rsidR="00D60DA6" w:rsidRPr="00951AB1" w:rsidRDefault="00D60DA6" w:rsidP="000A5389">
            <w:pPr>
              <w:spacing w:line="240" w:lineRule="auto"/>
              <w:rPr>
                <w:rFonts w:eastAsia="Times New Roman" w:cs="Times New Roman"/>
                <w:color w:val="000000"/>
                <w:kern w:val="0"/>
                <w:sz w:val="20"/>
                <w:szCs w:val="20"/>
                <w:lang w:eastAsia="es-CO"/>
                <w14:ligatures w14:val="none"/>
              </w:rPr>
            </w:pPr>
            <w:r w:rsidRPr="00951AB1">
              <w:rPr>
                <w:rFonts w:eastAsia="Times New Roman" w:cs="Times New Roman"/>
                <w:color w:val="000000"/>
                <w:kern w:val="0"/>
                <w:sz w:val="20"/>
                <w:szCs w:val="20"/>
                <w:lang w:eastAsia="es-CO"/>
                <w14:ligatures w14:val="none"/>
              </w:rPr>
              <w:t>Flota La Macarena S A</w:t>
            </w:r>
          </w:p>
        </w:tc>
        <w:tc>
          <w:tcPr>
            <w:tcW w:w="898" w:type="pct"/>
            <w:noWrap/>
            <w:vAlign w:val="bottom"/>
            <w:hideMark/>
          </w:tcPr>
          <w:p w14:paraId="20C378A1" w14:textId="77777777" w:rsidR="00D60DA6" w:rsidRPr="00951AB1" w:rsidRDefault="00D60DA6" w:rsidP="000A5389">
            <w:pPr>
              <w:spacing w:line="240" w:lineRule="auto"/>
              <w:jc w:val="right"/>
              <w:rPr>
                <w:rFonts w:eastAsia="Times New Roman" w:cs="Times New Roman"/>
                <w:color w:val="000000"/>
                <w:kern w:val="0"/>
                <w:sz w:val="20"/>
                <w:szCs w:val="20"/>
                <w:lang w:eastAsia="es-CO"/>
                <w14:ligatures w14:val="none"/>
              </w:rPr>
            </w:pPr>
            <w:r w:rsidRPr="00951AB1">
              <w:rPr>
                <w:rFonts w:eastAsia="Times New Roman" w:cs="Times New Roman"/>
                <w:color w:val="000000"/>
                <w:kern w:val="0"/>
                <w:sz w:val="20"/>
                <w:szCs w:val="20"/>
                <w:lang w:eastAsia="es-CO"/>
                <w14:ligatures w14:val="none"/>
              </w:rPr>
              <w:t xml:space="preserve">               285.389.492 </w:t>
            </w:r>
          </w:p>
        </w:tc>
      </w:tr>
      <w:tr w:rsidR="00D60DA6" w:rsidRPr="00951AB1" w14:paraId="7381CDD9" w14:textId="77777777" w:rsidTr="00794C0D">
        <w:trPr>
          <w:trHeight w:val="300"/>
        </w:trPr>
        <w:tc>
          <w:tcPr>
            <w:tcW w:w="590" w:type="pct"/>
            <w:noWrap/>
            <w:vAlign w:val="bottom"/>
            <w:hideMark/>
          </w:tcPr>
          <w:p w14:paraId="04A17E9B" w14:textId="77777777" w:rsidR="00D60DA6" w:rsidRPr="00951AB1" w:rsidRDefault="00D60DA6" w:rsidP="000A5389">
            <w:pPr>
              <w:spacing w:line="240" w:lineRule="auto"/>
              <w:rPr>
                <w:rFonts w:eastAsia="Times New Roman" w:cs="Times New Roman"/>
                <w:color w:val="000000"/>
                <w:kern w:val="0"/>
                <w:sz w:val="20"/>
                <w:szCs w:val="20"/>
                <w:lang w:eastAsia="es-CO"/>
                <w14:ligatures w14:val="none"/>
              </w:rPr>
            </w:pPr>
            <w:r w:rsidRPr="00951AB1">
              <w:rPr>
                <w:rFonts w:eastAsia="Times New Roman" w:cs="Times New Roman"/>
                <w:color w:val="000000"/>
                <w:kern w:val="0"/>
                <w:sz w:val="20"/>
                <w:szCs w:val="20"/>
                <w:lang w:eastAsia="es-CO"/>
                <w14:ligatures w14:val="none"/>
              </w:rPr>
              <w:t>1085322071</w:t>
            </w:r>
          </w:p>
        </w:tc>
        <w:tc>
          <w:tcPr>
            <w:tcW w:w="3511" w:type="pct"/>
            <w:noWrap/>
            <w:vAlign w:val="bottom"/>
            <w:hideMark/>
          </w:tcPr>
          <w:p w14:paraId="4282BF53" w14:textId="7F9EBF47" w:rsidR="00D60DA6" w:rsidRPr="00951AB1" w:rsidRDefault="00D60DA6" w:rsidP="000A5389">
            <w:pPr>
              <w:spacing w:line="240" w:lineRule="auto"/>
              <w:rPr>
                <w:rFonts w:eastAsia="Times New Roman" w:cs="Times New Roman"/>
                <w:color w:val="000000"/>
                <w:kern w:val="0"/>
                <w:sz w:val="20"/>
                <w:szCs w:val="20"/>
                <w:lang w:eastAsia="es-CO"/>
                <w14:ligatures w14:val="none"/>
              </w:rPr>
            </w:pPr>
            <w:r w:rsidRPr="00951AB1">
              <w:rPr>
                <w:rFonts w:eastAsia="Times New Roman" w:cs="Times New Roman"/>
                <w:color w:val="000000"/>
                <w:kern w:val="0"/>
                <w:sz w:val="20"/>
                <w:szCs w:val="20"/>
                <w:lang w:eastAsia="es-CO"/>
                <w14:ligatures w14:val="none"/>
              </w:rPr>
              <w:t xml:space="preserve">Eliana Alejandra </w:t>
            </w:r>
            <w:r w:rsidR="00D37464" w:rsidRPr="00951AB1">
              <w:rPr>
                <w:rFonts w:eastAsia="Times New Roman" w:cs="Times New Roman"/>
                <w:color w:val="000000"/>
                <w:kern w:val="0"/>
                <w:sz w:val="20"/>
                <w:szCs w:val="20"/>
                <w:lang w:eastAsia="es-CO"/>
                <w14:ligatures w14:val="none"/>
              </w:rPr>
              <w:t>González</w:t>
            </w:r>
            <w:r w:rsidRPr="00951AB1">
              <w:rPr>
                <w:rFonts w:eastAsia="Times New Roman" w:cs="Times New Roman"/>
                <w:color w:val="000000"/>
                <w:kern w:val="0"/>
                <w:sz w:val="20"/>
                <w:szCs w:val="20"/>
                <w:lang w:eastAsia="es-CO"/>
                <w14:ligatures w14:val="none"/>
              </w:rPr>
              <w:t xml:space="preserve"> Pantoja</w:t>
            </w:r>
          </w:p>
        </w:tc>
        <w:tc>
          <w:tcPr>
            <w:tcW w:w="898" w:type="pct"/>
            <w:noWrap/>
            <w:vAlign w:val="bottom"/>
            <w:hideMark/>
          </w:tcPr>
          <w:p w14:paraId="2CF2A3C7" w14:textId="77777777" w:rsidR="00D60DA6" w:rsidRPr="00951AB1" w:rsidRDefault="00D60DA6" w:rsidP="000A5389">
            <w:pPr>
              <w:spacing w:line="240" w:lineRule="auto"/>
              <w:jc w:val="right"/>
              <w:rPr>
                <w:rFonts w:eastAsia="Times New Roman" w:cs="Times New Roman"/>
                <w:color w:val="000000"/>
                <w:kern w:val="0"/>
                <w:sz w:val="20"/>
                <w:szCs w:val="20"/>
                <w:lang w:eastAsia="es-CO"/>
                <w14:ligatures w14:val="none"/>
              </w:rPr>
            </w:pPr>
            <w:r w:rsidRPr="00951AB1">
              <w:rPr>
                <w:rFonts w:eastAsia="Times New Roman" w:cs="Times New Roman"/>
                <w:color w:val="000000"/>
                <w:kern w:val="0"/>
                <w:sz w:val="20"/>
                <w:szCs w:val="20"/>
                <w:lang w:eastAsia="es-CO"/>
                <w14:ligatures w14:val="none"/>
              </w:rPr>
              <w:t xml:space="preserve">               226.585.075 </w:t>
            </w:r>
          </w:p>
        </w:tc>
      </w:tr>
      <w:tr w:rsidR="00D60DA6" w:rsidRPr="00951AB1" w14:paraId="571F5271" w14:textId="77777777" w:rsidTr="00794C0D">
        <w:trPr>
          <w:trHeight w:val="300"/>
        </w:trPr>
        <w:tc>
          <w:tcPr>
            <w:tcW w:w="590" w:type="pct"/>
            <w:noWrap/>
            <w:vAlign w:val="bottom"/>
            <w:hideMark/>
          </w:tcPr>
          <w:p w14:paraId="55C305C0" w14:textId="77777777" w:rsidR="00D60DA6" w:rsidRPr="00951AB1" w:rsidRDefault="00D60DA6" w:rsidP="000A5389">
            <w:pPr>
              <w:spacing w:line="240" w:lineRule="auto"/>
              <w:rPr>
                <w:rFonts w:eastAsia="Times New Roman" w:cs="Times New Roman"/>
                <w:color w:val="000000"/>
                <w:kern w:val="0"/>
                <w:sz w:val="20"/>
                <w:szCs w:val="20"/>
                <w:lang w:eastAsia="es-CO"/>
                <w14:ligatures w14:val="none"/>
              </w:rPr>
            </w:pPr>
            <w:r w:rsidRPr="00951AB1">
              <w:rPr>
                <w:rFonts w:eastAsia="Times New Roman" w:cs="Times New Roman"/>
                <w:color w:val="000000"/>
                <w:kern w:val="0"/>
                <w:sz w:val="20"/>
                <w:szCs w:val="20"/>
                <w:lang w:eastAsia="es-CO"/>
                <w14:ligatures w14:val="none"/>
              </w:rPr>
              <w:t>40402817</w:t>
            </w:r>
          </w:p>
        </w:tc>
        <w:tc>
          <w:tcPr>
            <w:tcW w:w="3511" w:type="pct"/>
            <w:noWrap/>
            <w:vAlign w:val="bottom"/>
            <w:hideMark/>
          </w:tcPr>
          <w:p w14:paraId="35C083C6" w14:textId="1E1E332E" w:rsidR="00D60DA6" w:rsidRPr="00951AB1" w:rsidRDefault="00D60DA6" w:rsidP="000A5389">
            <w:pPr>
              <w:spacing w:line="240" w:lineRule="auto"/>
              <w:rPr>
                <w:rFonts w:eastAsia="Times New Roman" w:cs="Times New Roman"/>
                <w:color w:val="000000"/>
                <w:kern w:val="0"/>
                <w:sz w:val="20"/>
                <w:szCs w:val="20"/>
                <w:lang w:eastAsia="es-CO"/>
                <w14:ligatures w14:val="none"/>
              </w:rPr>
            </w:pPr>
            <w:r w:rsidRPr="00951AB1">
              <w:rPr>
                <w:rFonts w:eastAsia="Times New Roman" w:cs="Times New Roman"/>
                <w:color w:val="000000"/>
                <w:kern w:val="0"/>
                <w:sz w:val="20"/>
                <w:szCs w:val="20"/>
                <w:lang w:eastAsia="es-CO"/>
                <w14:ligatures w14:val="none"/>
              </w:rPr>
              <w:t xml:space="preserve">Sara Barreto </w:t>
            </w:r>
            <w:r w:rsidR="00D37464" w:rsidRPr="00951AB1">
              <w:rPr>
                <w:rFonts w:eastAsia="Times New Roman" w:cs="Times New Roman"/>
                <w:color w:val="000000"/>
                <w:kern w:val="0"/>
                <w:sz w:val="20"/>
                <w:szCs w:val="20"/>
                <w:lang w:eastAsia="es-CO"/>
                <w14:ligatures w14:val="none"/>
              </w:rPr>
              <w:t>Hernández</w:t>
            </w:r>
          </w:p>
        </w:tc>
        <w:tc>
          <w:tcPr>
            <w:tcW w:w="898" w:type="pct"/>
            <w:noWrap/>
            <w:vAlign w:val="bottom"/>
            <w:hideMark/>
          </w:tcPr>
          <w:p w14:paraId="358C016C" w14:textId="77777777" w:rsidR="00D60DA6" w:rsidRPr="00951AB1" w:rsidRDefault="00D60DA6" w:rsidP="000A5389">
            <w:pPr>
              <w:spacing w:line="240" w:lineRule="auto"/>
              <w:jc w:val="right"/>
              <w:rPr>
                <w:rFonts w:eastAsia="Times New Roman" w:cs="Times New Roman"/>
                <w:color w:val="000000"/>
                <w:kern w:val="0"/>
                <w:sz w:val="20"/>
                <w:szCs w:val="20"/>
                <w:lang w:eastAsia="es-CO"/>
                <w14:ligatures w14:val="none"/>
              </w:rPr>
            </w:pPr>
            <w:r w:rsidRPr="00951AB1">
              <w:rPr>
                <w:rFonts w:eastAsia="Times New Roman" w:cs="Times New Roman"/>
                <w:color w:val="000000"/>
                <w:kern w:val="0"/>
                <w:sz w:val="20"/>
                <w:szCs w:val="20"/>
                <w:lang w:eastAsia="es-CO"/>
                <w14:ligatures w14:val="none"/>
              </w:rPr>
              <w:t xml:space="preserve">               219.180.000 </w:t>
            </w:r>
          </w:p>
        </w:tc>
      </w:tr>
      <w:tr w:rsidR="00D60DA6" w:rsidRPr="00951AB1" w14:paraId="2E4BDE89" w14:textId="77777777" w:rsidTr="00794C0D">
        <w:trPr>
          <w:trHeight w:val="300"/>
        </w:trPr>
        <w:tc>
          <w:tcPr>
            <w:tcW w:w="590" w:type="pct"/>
            <w:noWrap/>
            <w:vAlign w:val="bottom"/>
            <w:hideMark/>
          </w:tcPr>
          <w:p w14:paraId="67AA9A75" w14:textId="77777777" w:rsidR="00D60DA6" w:rsidRPr="00951AB1" w:rsidRDefault="00D60DA6" w:rsidP="000A5389">
            <w:pPr>
              <w:spacing w:line="240" w:lineRule="auto"/>
              <w:rPr>
                <w:rFonts w:eastAsia="Times New Roman" w:cs="Times New Roman"/>
                <w:color w:val="000000"/>
                <w:kern w:val="0"/>
                <w:sz w:val="20"/>
                <w:szCs w:val="20"/>
                <w:lang w:eastAsia="es-CO"/>
                <w14:ligatures w14:val="none"/>
              </w:rPr>
            </w:pPr>
            <w:r w:rsidRPr="00951AB1">
              <w:rPr>
                <w:rFonts w:eastAsia="Times New Roman" w:cs="Times New Roman"/>
                <w:color w:val="000000"/>
                <w:kern w:val="0"/>
                <w:sz w:val="20"/>
                <w:szCs w:val="20"/>
                <w:lang w:eastAsia="es-CO"/>
                <w14:ligatures w14:val="none"/>
              </w:rPr>
              <w:t>26573886</w:t>
            </w:r>
          </w:p>
        </w:tc>
        <w:tc>
          <w:tcPr>
            <w:tcW w:w="3511" w:type="pct"/>
            <w:noWrap/>
            <w:vAlign w:val="bottom"/>
            <w:hideMark/>
          </w:tcPr>
          <w:p w14:paraId="16F45971" w14:textId="55281170" w:rsidR="00D60DA6" w:rsidRPr="00951AB1" w:rsidRDefault="00D60DA6" w:rsidP="000A5389">
            <w:pPr>
              <w:spacing w:line="240" w:lineRule="auto"/>
              <w:rPr>
                <w:rFonts w:eastAsia="Times New Roman" w:cs="Times New Roman"/>
                <w:color w:val="000000"/>
                <w:kern w:val="0"/>
                <w:sz w:val="20"/>
                <w:szCs w:val="20"/>
                <w:lang w:eastAsia="es-CO"/>
                <w14:ligatures w14:val="none"/>
              </w:rPr>
            </w:pPr>
            <w:r w:rsidRPr="00951AB1">
              <w:rPr>
                <w:rFonts w:eastAsia="Times New Roman" w:cs="Times New Roman"/>
                <w:color w:val="000000"/>
                <w:kern w:val="0"/>
                <w:sz w:val="20"/>
                <w:szCs w:val="20"/>
                <w:lang w:eastAsia="es-CO"/>
                <w14:ligatures w14:val="none"/>
              </w:rPr>
              <w:t>Enelia Jimenez Lozano</w:t>
            </w:r>
          </w:p>
        </w:tc>
        <w:tc>
          <w:tcPr>
            <w:tcW w:w="898" w:type="pct"/>
            <w:noWrap/>
            <w:vAlign w:val="bottom"/>
            <w:hideMark/>
          </w:tcPr>
          <w:p w14:paraId="3717FCD9" w14:textId="77777777" w:rsidR="00D60DA6" w:rsidRPr="00951AB1" w:rsidRDefault="00D60DA6" w:rsidP="000A5389">
            <w:pPr>
              <w:spacing w:line="240" w:lineRule="auto"/>
              <w:jc w:val="right"/>
              <w:rPr>
                <w:rFonts w:eastAsia="Times New Roman" w:cs="Times New Roman"/>
                <w:color w:val="000000"/>
                <w:kern w:val="0"/>
                <w:sz w:val="20"/>
                <w:szCs w:val="20"/>
                <w:lang w:eastAsia="es-CO"/>
                <w14:ligatures w14:val="none"/>
              </w:rPr>
            </w:pPr>
            <w:r w:rsidRPr="00951AB1">
              <w:rPr>
                <w:rFonts w:eastAsia="Times New Roman" w:cs="Times New Roman"/>
                <w:color w:val="000000"/>
                <w:kern w:val="0"/>
                <w:sz w:val="20"/>
                <w:szCs w:val="20"/>
                <w:lang w:eastAsia="es-CO"/>
                <w14:ligatures w14:val="none"/>
              </w:rPr>
              <w:t xml:space="preserve">               210.869.085 </w:t>
            </w:r>
          </w:p>
        </w:tc>
      </w:tr>
      <w:tr w:rsidR="00D60DA6" w:rsidRPr="00951AB1" w14:paraId="1171CF58" w14:textId="77777777" w:rsidTr="00794C0D">
        <w:trPr>
          <w:trHeight w:val="300"/>
        </w:trPr>
        <w:tc>
          <w:tcPr>
            <w:tcW w:w="590" w:type="pct"/>
            <w:noWrap/>
            <w:vAlign w:val="bottom"/>
            <w:hideMark/>
          </w:tcPr>
          <w:p w14:paraId="2FA4EF1C" w14:textId="77777777" w:rsidR="00D60DA6" w:rsidRPr="00951AB1" w:rsidRDefault="00D60DA6" w:rsidP="000A5389">
            <w:pPr>
              <w:spacing w:line="240" w:lineRule="auto"/>
              <w:rPr>
                <w:rFonts w:eastAsia="Times New Roman" w:cs="Times New Roman"/>
                <w:color w:val="000000"/>
                <w:kern w:val="0"/>
                <w:sz w:val="20"/>
                <w:szCs w:val="20"/>
                <w:lang w:eastAsia="es-CO"/>
                <w14:ligatures w14:val="none"/>
              </w:rPr>
            </w:pPr>
            <w:r w:rsidRPr="00951AB1">
              <w:rPr>
                <w:rFonts w:eastAsia="Times New Roman" w:cs="Times New Roman"/>
                <w:color w:val="000000"/>
                <w:kern w:val="0"/>
                <w:sz w:val="20"/>
                <w:szCs w:val="20"/>
                <w:lang w:eastAsia="es-CO"/>
                <w14:ligatures w14:val="none"/>
              </w:rPr>
              <w:t>23606253</w:t>
            </w:r>
          </w:p>
        </w:tc>
        <w:tc>
          <w:tcPr>
            <w:tcW w:w="3511" w:type="pct"/>
            <w:noWrap/>
            <w:vAlign w:val="bottom"/>
            <w:hideMark/>
          </w:tcPr>
          <w:p w14:paraId="6575C7A2" w14:textId="5A52ACC3" w:rsidR="00D60DA6" w:rsidRPr="00951AB1" w:rsidRDefault="00D60DA6" w:rsidP="000A5389">
            <w:pPr>
              <w:spacing w:line="240" w:lineRule="auto"/>
              <w:rPr>
                <w:rFonts w:eastAsia="Times New Roman" w:cs="Times New Roman"/>
                <w:color w:val="000000"/>
                <w:kern w:val="0"/>
                <w:sz w:val="20"/>
                <w:szCs w:val="20"/>
                <w:lang w:eastAsia="es-CO"/>
                <w14:ligatures w14:val="none"/>
              </w:rPr>
            </w:pPr>
            <w:r w:rsidRPr="00951AB1">
              <w:rPr>
                <w:rFonts w:eastAsia="Times New Roman" w:cs="Times New Roman"/>
                <w:color w:val="000000"/>
                <w:kern w:val="0"/>
                <w:sz w:val="20"/>
                <w:szCs w:val="20"/>
                <w:lang w:eastAsia="es-CO"/>
                <w14:ligatures w14:val="none"/>
              </w:rPr>
              <w:t xml:space="preserve">Luz Nelly </w:t>
            </w:r>
            <w:r w:rsidR="00D37464" w:rsidRPr="00951AB1">
              <w:rPr>
                <w:rFonts w:eastAsia="Times New Roman" w:cs="Times New Roman"/>
                <w:color w:val="000000"/>
                <w:kern w:val="0"/>
                <w:sz w:val="20"/>
                <w:szCs w:val="20"/>
                <w:lang w:eastAsia="es-CO"/>
                <w14:ligatures w14:val="none"/>
              </w:rPr>
              <w:t>Ramírez</w:t>
            </w:r>
            <w:r w:rsidRPr="00951AB1">
              <w:rPr>
                <w:rFonts w:eastAsia="Times New Roman" w:cs="Times New Roman"/>
                <w:color w:val="000000"/>
                <w:kern w:val="0"/>
                <w:sz w:val="20"/>
                <w:szCs w:val="20"/>
                <w:lang w:eastAsia="es-CO"/>
                <w14:ligatures w14:val="none"/>
              </w:rPr>
              <w:t xml:space="preserve"> Vargas</w:t>
            </w:r>
          </w:p>
        </w:tc>
        <w:tc>
          <w:tcPr>
            <w:tcW w:w="898" w:type="pct"/>
            <w:noWrap/>
            <w:vAlign w:val="bottom"/>
            <w:hideMark/>
          </w:tcPr>
          <w:p w14:paraId="7278701C" w14:textId="77777777" w:rsidR="00D60DA6" w:rsidRPr="00951AB1" w:rsidRDefault="00D60DA6" w:rsidP="000A5389">
            <w:pPr>
              <w:spacing w:line="240" w:lineRule="auto"/>
              <w:jc w:val="right"/>
              <w:rPr>
                <w:rFonts w:eastAsia="Times New Roman" w:cs="Times New Roman"/>
                <w:color w:val="000000"/>
                <w:kern w:val="0"/>
                <w:sz w:val="20"/>
                <w:szCs w:val="20"/>
                <w:lang w:eastAsia="es-CO"/>
                <w14:ligatures w14:val="none"/>
              </w:rPr>
            </w:pPr>
            <w:r w:rsidRPr="00951AB1">
              <w:rPr>
                <w:rFonts w:eastAsia="Times New Roman" w:cs="Times New Roman"/>
                <w:color w:val="000000"/>
                <w:kern w:val="0"/>
                <w:sz w:val="20"/>
                <w:szCs w:val="20"/>
                <w:lang w:eastAsia="es-CO"/>
                <w14:ligatures w14:val="none"/>
              </w:rPr>
              <w:t xml:space="preserve">               204.403.028 </w:t>
            </w:r>
          </w:p>
        </w:tc>
      </w:tr>
      <w:tr w:rsidR="00D60DA6" w:rsidRPr="00951AB1" w14:paraId="1C195FA1" w14:textId="77777777" w:rsidTr="00794C0D">
        <w:trPr>
          <w:trHeight w:val="300"/>
        </w:trPr>
        <w:tc>
          <w:tcPr>
            <w:tcW w:w="590" w:type="pct"/>
            <w:noWrap/>
            <w:vAlign w:val="bottom"/>
            <w:hideMark/>
          </w:tcPr>
          <w:p w14:paraId="562C2F78" w14:textId="77777777" w:rsidR="00D60DA6" w:rsidRPr="00951AB1" w:rsidRDefault="00D60DA6" w:rsidP="000A5389">
            <w:pPr>
              <w:spacing w:line="240" w:lineRule="auto"/>
              <w:rPr>
                <w:rFonts w:eastAsia="Times New Roman" w:cs="Times New Roman"/>
                <w:color w:val="000000"/>
                <w:kern w:val="0"/>
                <w:sz w:val="20"/>
                <w:szCs w:val="20"/>
                <w:lang w:eastAsia="es-CO"/>
                <w14:ligatures w14:val="none"/>
              </w:rPr>
            </w:pPr>
            <w:r w:rsidRPr="00951AB1">
              <w:rPr>
                <w:rFonts w:eastAsia="Times New Roman" w:cs="Times New Roman"/>
                <w:color w:val="000000"/>
                <w:kern w:val="0"/>
                <w:sz w:val="20"/>
                <w:szCs w:val="20"/>
                <w:lang w:eastAsia="es-CO"/>
                <w14:ligatures w14:val="none"/>
              </w:rPr>
              <w:t>32270327</w:t>
            </w:r>
          </w:p>
        </w:tc>
        <w:tc>
          <w:tcPr>
            <w:tcW w:w="3511" w:type="pct"/>
            <w:noWrap/>
            <w:vAlign w:val="bottom"/>
            <w:hideMark/>
          </w:tcPr>
          <w:p w14:paraId="7825F9E3" w14:textId="7B4E3719" w:rsidR="00D60DA6" w:rsidRPr="00951AB1" w:rsidRDefault="00D60DA6" w:rsidP="000A5389">
            <w:pPr>
              <w:spacing w:line="240" w:lineRule="auto"/>
              <w:rPr>
                <w:rFonts w:eastAsia="Times New Roman" w:cs="Times New Roman"/>
                <w:color w:val="000000"/>
                <w:kern w:val="0"/>
                <w:sz w:val="20"/>
                <w:szCs w:val="20"/>
                <w:lang w:eastAsia="es-CO"/>
                <w14:ligatures w14:val="none"/>
              </w:rPr>
            </w:pPr>
            <w:r w:rsidRPr="00951AB1">
              <w:rPr>
                <w:rFonts w:eastAsia="Times New Roman" w:cs="Times New Roman"/>
                <w:color w:val="000000"/>
                <w:kern w:val="0"/>
                <w:sz w:val="20"/>
                <w:szCs w:val="20"/>
                <w:lang w:eastAsia="es-CO"/>
                <w14:ligatures w14:val="none"/>
              </w:rPr>
              <w:t>Magali Isabel Padilla Navarro</w:t>
            </w:r>
          </w:p>
        </w:tc>
        <w:tc>
          <w:tcPr>
            <w:tcW w:w="898" w:type="pct"/>
            <w:noWrap/>
            <w:vAlign w:val="bottom"/>
            <w:hideMark/>
          </w:tcPr>
          <w:p w14:paraId="63F07DDC" w14:textId="77777777" w:rsidR="00D60DA6" w:rsidRPr="00951AB1" w:rsidRDefault="00D60DA6" w:rsidP="000A5389">
            <w:pPr>
              <w:spacing w:line="240" w:lineRule="auto"/>
              <w:jc w:val="right"/>
              <w:rPr>
                <w:rFonts w:eastAsia="Times New Roman" w:cs="Times New Roman"/>
                <w:color w:val="000000"/>
                <w:kern w:val="0"/>
                <w:sz w:val="20"/>
                <w:szCs w:val="20"/>
                <w:lang w:eastAsia="es-CO"/>
                <w14:ligatures w14:val="none"/>
              </w:rPr>
            </w:pPr>
            <w:r w:rsidRPr="00951AB1">
              <w:rPr>
                <w:rFonts w:eastAsia="Times New Roman" w:cs="Times New Roman"/>
                <w:color w:val="000000"/>
                <w:kern w:val="0"/>
                <w:sz w:val="20"/>
                <w:szCs w:val="20"/>
                <w:lang w:eastAsia="es-CO"/>
                <w14:ligatures w14:val="none"/>
              </w:rPr>
              <w:t xml:space="preserve">               158.163.873 </w:t>
            </w:r>
          </w:p>
        </w:tc>
      </w:tr>
      <w:tr w:rsidR="00D60DA6" w:rsidRPr="00951AB1" w14:paraId="768FA671" w14:textId="77777777" w:rsidTr="00794C0D">
        <w:trPr>
          <w:trHeight w:val="300"/>
        </w:trPr>
        <w:tc>
          <w:tcPr>
            <w:tcW w:w="590" w:type="pct"/>
            <w:noWrap/>
            <w:vAlign w:val="bottom"/>
            <w:hideMark/>
          </w:tcPr>
          <w:p w14:paraId="14765CE3" w14:textId="77777777" w:rsidR="00D60DA6" w:rsidRPr="00951AB1" w:rsidRDefault="00D60DA6" w:rsidP="000A5389">
            <w:pPr>
              <w:spacing w:line="240" w:lineRule="auto"/>
              <w:rPr>
                <w:rFonts w:eastAsia="Times New Roman" w:cs="Times New Roman"/>
                <w:color w:val="000000"/>
                <w:kern w:val="0"/>
                <w:sz w:val="20"/>
                <w:szCs w:val="20"/>
                <w:lang w:eastAsia="es-CO"/>
                <w14:ligatures w14:val="none"/>
              </w:rPr>
            </w:pPr>
            <w:r w:rsidRPr="00951AB1">
              <w:rPr>
                <w:rFonts w:eastAsia="Times New Roman" w:cs="Times New Roman"/>
                <w:color w:val="000000"/>
                <w:kern w:val="0"/>
                <w:sz w:val="20"/>
                <w:szCs w:val="20"/>
                <w:lang w:eastAsia="es-CO"/>
                <w14:ligatures w14:val="none"/>
              </w:rPr>
              <w:t>1093801895</w:t>
            </w:r>
          </w:p>
        </w:tc>
        <w:tc>
          <w:tcPr>
            <w:tcW w:w="3511" w:type="pct"/>
            <w:noWrap/>
            <w:vAlign w:val="bottom"/>
            <w:hideMark/>
          </w:tcPr>
          <w:p w14:paraId="1BD62930" w14:textId="01EAB288" w:rsidR="00D60DA6" w:rsidRPr="00951AB1" w:rsidRDefault="00D60DA6" w:rsidP="000A5389">
            <w:pPr>
              <w:spacing w:line="240" w:lineRule="auto"/>
              <w:rPr>
                <w:rFonts w:eastAsia="Times New Roman" w:cs="Times New Roman"/>
                <w:color w:val="000000"/>
                <w:kern w:val="0"/>
                <w:sz w:val="20"/>
                <w:szCs w:val="20"/>
                <w:lang w:eastAsia="es-CO"/>
                <w14:ligatures w14:val="none"/>
              </w:rPr>
            </w:pPr>
            <w:r w:rsidRPr="00951AB1">
              <w:rPr>
                <w:rFonts w:eastAsia="Times New Roman" w:cs="Times New Roman"/>
                <w:color w:val="000000"/>
                <w:kern w:val="0"/>
                <w:sz w:val="20"/>
                <w:szCs w:val="20"/>
                <w:lang w:eastAsia="es-CO"/>
                <w14:ligatures w14:val="none"/>
              </w:rPr>
              <w:t>Dayana Michelle Carvajal Tellez</w:t>
            </w:r>
          </w:p>
        </w:tc>
        <w:tc>
          <w:tcPr>
            <w:tcW w:w="898" w:type="pct"/>
            <w:noWrap/>
            <w:vAlign w:val="bottom"/>
            <w:hideMark/>
          </w:tcPr>
          <w:p w14:paraId="01F6DD2D" w14:textId="77777777" w:rsidR="00D60DA6" w:rsidRPr="00951AB1" w:rsidRDefault="00D60DA6" w:rsidP="000A5389">
            <w:pPr>
              <w:spacing w:line="240" w:lineRule="auto"/>
              <w:jc w:val="right"/>
              <w:rPr>
                <w:rFonts w:eastAsia="Times New Roman" w:cs="Times New Roman"/>
                <w:color w:val="000000"/>
                <w:kern w:val="0"/>
                <w:sz w:val="20"/>
                <w:szCs w:val="20"/>
                <w:lang w:eastAsia="es-CO"/>
                <w14:ligatures w14:val="none"/>
              </w:rPr>
            </w:pPr>
            <w:r w:rsidRPr="00951AB1">
              <w:rPr>
                <w:rFonts w:eastAsia="Times New Roman" w:cs="Times New Roman"/>
                <w:color w:val="000000"/>
                <w:kern w:val="0"/>
                <w:sz w:val="20"/>
                <w:szCs w:val="20"/>
                <w:lang w:eastAsia="es-CO"/>
                <w14:ligatures w14:val="none"/>
              </w:rPr>
              <w:t xml:space="preserve">               135.098.971 </w:t>
            </w:r>
          </w:p>
        </w:tc>
      </w:tr>
      <w:tr w:rsidR="00D60DA6" w:rsidRPr="00951AB1" w14:paraId="6D8C2BC9" w14:textId="77777777" w:rsidTr="00794C0D">
        <w:trPr>
          <w:trHeight w:val="300"/>
        </w:trPr>
        <w:tc>
          <w:tcPr>
            <w:tcW w:w="590" w:type="pct"/>
            <w:noWrap/>
            <w:vAlign w:val="bottom"/>
            <w:hideMark/>
          </w:tcPr>
          <w:p w14:paraId="7FF12580" w14:textId="77777777" w:rsidR="00D60DA6" w:rsidRPr="00951AB1" w:rsidRDefault="00D60DA6" w:rsidP="000A5389">
            <w:pPr>
              <w:spacing w:line="240" w:lineRule="auto"/>
              <w:rPr>
                <w:rFonts w:eastAsia="Times New Roman" w:cs="Times New Roman"/>
                <w:color w:val="000000"/>
                <w:kern w:val="0"/>
                <w:sz w:val="20"/>
                <w:szCs w:val="20"/>
                <w:lang w:eastAsia="es-CO"/>
                <w14:ligatures w14:val="none"/>
              </w:rPr>
            </w:pPr>
            <w:r w:rsidRPr="00951AB1">
              <w:rPr>
                <w:rFonts w:eastAsia="Times New Roman" w:cs="Times New Roman"/>
                <w:color w:val="000000"/>
                <w:kern w:val="0"/>
                <w:sz w:val="20"/>
                <w:szCs w:val="20"/>
                <w:lang w:eastAsia="es-CO"/>
                <w14:ligatures w14:val="none"/>
              </w:rPr>
              <w:t>6493917</w:t>
            </w:r>
          </w:p>
        </w:tc>
        <w:tc>
          <w:tcPr>
            <w:tcW w:w="3511" w:type="pct"/>
            <w:noWrap/>
            <w:vAlign w:val="bottom"/>
            <w:hideMark/>
          </w:tcPr>
          <w:p w14:paraId="6138985C" w14:textId="77F285F4" w:rsidR="00D60DA6" w:rsidRPr="00951AB1" w:rsidRDefault="00D37464" w:rsidP="000A5389">
            <w:pPr>
              <w:spacing w:line="240" w:lineRule="auto"/>
              <w:rPr>
                <w:rFonts w:eastAsia="Times New Roman" w:cs="Times New Roman"/>
                <w:color w:val="000000"/>
                <w:kern w:val="0"/>
                <w:sz w:val="20"/>
                <w:szCs w:val="20"/>
                <w:lang w:eastAsia="es-CO"/>
                <w14:ligatures w14:val="none"/>
              </w:rPr>
            </w:pPr>
            <w:r w:rsidRPr="00951AB1">
              <w:rPr>
                <w:rFonts w:eastAsia="Times New Roman" w:cs="Times New Roman"/>
                <w:color w:val="000000"/>
                <w:kern w:val="0"/>
                <w:sz w:val="20"/>
                <w:szCs w:val="20"/>
                <w:lang w:eastAsia="es-CO"/>
                <w14:ligatures w14:val="none"/>
              </w:rPr>
              <w:t>José</w:t>
            </w:r>
            <w:r w:rsidR="00D60DA6" w:rsidRPr="00951AB1">
              <w:rPr>
                <w:rFonts w:eastAsia="Times New Roman" w:cs="Times New Roman"/>
                <w:color w:val="000000"/>
                <w:kern w:val="0"/>
                <w:sz w:val="20"/>
                <w:szCs w:val="20"/>
                <w:lang w:eastAsia="es-CO"/>
                <w14:ligatures w14:val="none"/>
              </w:rPr>
              <w:t xml:space="preserve"> Libardo Prado </w:t>
            </w:r>
          </w:p>
        </w:tc>
        <w:tc>
          <w:tcPr>
            <w:tcW w:w="898" w:type="pct"/>
            <w:noWrap/>
            <w:vAlign w:val="bottom"/>
            <w:hideMark/>
          </w:tcPr>
          <w:p w14:paraId="5339DACF" w14:textId="77777777" w:rsidR="00D60DA6" w:rsidRPr="00951AB1" w:rsidRDefault="00D60DA6" w:rsidP="000A5389">
            <w:pPr>
              <w:spacing w:line="240" w:lineRule="auto"/>
              <w:jc w:val="right"/>
              <w:rPr>
                <w:rFonts w:eastAsia="Times New Roman" w:cs="Times New Roman"/>
                <w:color w:val="000000"/>
                <w:kern w:val="0"/>
                <w:sz w:val="20"/>
                <w:szCs w:val="20"/>
                <w:lang w:eastAsia="es-CO"/>
                <w14:ligatures w14:val="none"/>
              </w:rPr>
            </w:pPr>
            <w:r w:rsidRPr="00951AB1">
              <w:rPr>
                <w:rFonts w:eastAsia="Times New Roman" w:cs="Times New Roman"/>
                <w:color w:val="000000"/>
                <w:kern w:val="0"/>
                <w:sz w:val="20"/>
                <w:szCs w:val="20"/>
                <w:lang w:eastAsia="es-CO"/>
                <w14:ligatures w14:val="none"/>
              </w:rPr>
              <w:t xml:space="preserve">               115.338.900 </w:t>
            </w:r>
          </w:p>
        </w:tc>
      </w:tr>
      <w:tr w:rsidR="00D60DA6" w:rsidRPr="00951AB1" w14:paraId="2D5BFEA3" w14:textId="77777777" w:rsidTr="00794C0D">
        <w:trPr>
          <w:trHeight w:val="300"/>
        </w:trPr>
        <w:tc>
          <w:tcPr>
            <w:tcW w:w="590" w:type="pct"/>
            <w:noWrap/>
            <w:vAlign w:val="bottom"/>
            <w:hideMark/>
          </w:tcPr>
          <w:p w14:paraId="3578B023" w14:textId="77777777" w:rsidR="00D60DA6" w:rsidRPr="00951AB1" w:rsidRDefault="00D60DA6" w:rsidP="000A5389">
            <w:pPr>
              <w:spacing w:line="240" w:lineRule="auto"/>
              <w:rPr>
                <w:rFonts w:eastAsia="Times New Roman" w:cs="Times New Roman"/>
                <w:color w:val="000000"/>
                <w:kern w:val="0"/>
                <w:sz w:val="20"/>
                <w:szCs w:val="20"/>
                <w:lang w:eastAsia="es-CO"/>
                <w14:ligatures w14:val="none"/>
              </w:rPr>
            </w:pPr>
            <w:r w:rsidRPr="00951AB1">
              <w:rPr>
                <w:rFonts w:eastAsia="Times New Roman" w:cs="Times New Roman"/>
                <w:color w:val="000000"/>
                <w:kern w:val="0"/>
                <w:sz w:val="20"/>
                <w:szCs w:val="20"/>
                <w:lang w:eastAsia="es-CO"/>
                <w14:ligatures w14:val="none"/>
              </w:rPr>
              <w:t>19323774</w:t>
            </w:r>
          </w:p>
        </w:tc>
        <w:tc>
          <w:tcPr>
            <w:tcW w:w="3511" w:type="pct"/>
            <w:noWrap/>
            <w:vAlign w:val="bottom"/>
            <w:hideMark/>
          </w:tcPr>
          <w:p w14:paraId="7209FAC4" w14:textId="5A08D4BD" w:rsidR="00D60DA6" w:rsidRPr="00951AB1" w:rsidRDefault="00D60DA6" w:rsidP="000A5389">
            <w:pPr>
              <w:spacing w:line="240" w:lineRule="auto"/>
              <w:rPr>
                <w:rFonts w:eastAsia="Times New Roman" w:cs="Times New Roman"/>
                <w:color w:val="000000"/>
                <w:kern w:val="0"/>
                <w:sz w:val="20"/>
                <w:szCs w:val="20"/>
                <w:lang w:eastAsia="es-CO"/>
                <w14:ligatures w14:val="none"/>
              </w:rPr>
            </w:pPr>
            <w:r w:rsidRPr="00951AB1">
              <w:rPr>
                <w:rFonts w:eastAsia="Times New Roman" w:cs="Times New Roman"/>
                <w:color w:val="000000"/>
                <w:kern w:val="0"/>
                <w:sz w:val="20"/>
                <w:szCs w:val="20"/>
                <w:lang w:eastAsia="es-CO"/>
                <w14:ligatures w14:val="none"/>
              </w:rPr>
              <w:t xml:space="preserve">Pedro Pablo </w:t>
            </w:r>
            <w:r w:rsidR="00D37464" w:rsidRPr="00951AB1">
              <w:rPr>
                <w:rFonts w:eastAsia="Times New Roman" w:cs="Times New Roman"/>
                <w:color w:val="000000"/>
                <w:kern w:val="0"/>
                <w:sz w:val="20"/>
                <w:szCs w:val="20"/>
                <w:lang w:eastAsia="es-CO"/>
                <w14:ligatures w14:val="none"/>
              </w:rPr>
              <w:t>Rodríguez</w:t>
            </w:r>
            <w:r w:rsidRPr="00951AB1">
              <w:rPr>
                <w:rFonts w:eastAsia="Times New Roman" w:cs="Times New Roman"/>
                <w:color w:val="000000"/>
                <w:kern w:val="0"/>
                <w:sz w:val="20"/>
                <w:szCs w:val="20"/>
                <w:lang w:eastAsia="es-CO"/>
                <w14:ligatures w14:val="none"/>
              </w:rPr>
              <w:t xml:space="preserve"> Sanchez</w:t>
            </w:r>
          </w:p>
        </w:tc>
        <w:tc>
          <w:tcPr>
            <w:tcW w:w="898" w:type="pct"/>
            <w:noWrap/>
            <w:vAlign w:val="bottom"/>
            <w:hideMark/>
          </w:tcPr>
          <w:p w14:paraId="03E6190F" w14:textId="77777777" w:rsidR="00D60DA6" w:rsidRPr="00951AB1" w:rsidRDefault="00D60DA6" w:rsidP="000A5389">
            <w:pPr>
              <w:spacing w:line="240" w:lineRule="auto"/>
              <w:jc w:val="right"/>
              <w:rPr>
                <w:rFonts w:eastAsia="Times New Roman" w:cs="Times New Roman"/>
                <w:color w:val="000000"/>
                <w:kern w:val="0"/>
                <w:sz w:val="20"/>
                <w:szCs w:val="20"/>
                <w:lang w:eastAsia="es-CO"/>
                <w14:ligatures w14:val="none"/>
              </w:rPr>
            </w:pPr>
            <w:r w:rsidRPr="00951AB1">
              <w:rPr>
                <w:rFonts w:eastAsia="Times New Roman" w:cs="Times New Roman"/>
                <w:color w:val="000000"/>
                <w:kern w:val="0"/>
                <w:sz w:val="20"/>
                <w:szCs w:val="20"/>
                <w:lang w:eastAsia="es-CO"/>
                <w14:ligatures w14:val="none"/>
              </w:rPr>
              <w:t xml:space="preserve">                 89.700.000 </w:t>
            </w:r>
          </w:p>
        </w:tc>
      </w:tr>
      <w:tr w:rsidR="00D60DA6" w:rsidRPr="00951AB1" w14:paraId="25DED06F" w14:textId="77777777" w:rsidTr="00794C0D">
        <w:trPr>
          <w:trHeight w:val="300"/>
        </w:trPr>
        <w:tc>
          <w:tcPr>
            <w:tcW w:w="590" w:type="pct"/>
            <w:noWrap/>
            <w:vAlign w:val="bottom"/>
            <w:hideMark/>
          </w:tcPr>
          <w:p w14:paraId="3D4470CE" w14:textId="77777777" w:rsidR="00D60DA6" w:rsidRPr="00951AB1" w:rsidRDefault="00D60DA6" w:rsidP="000A5389">
            <w:pPr>
              <w:spacing w:line="240" w:lineRule="auto"/>
              <w:rPr>
                <w:rFonts w:eastAsia="Times New Roman" w:cs="Times New Roman"/>
                <w:color w:val="000000"/>
                <w:kern w:val="0"/>
                <w:sz w:val="20"/>
                <w:szCs w:val="20"/>
                <w:lang w:eastAsia="es-CO"/>
                <w14:ligatures w14:val="none"/>
              </w:rPr>
            </w:pPr>
            <w:r w:rsidRPr="00951AB1">
              <w:rPr>
                <w:rFonts w:eastAsia="Times New Roman" w:cs="Times New Roman"/>
                <w:color w:val="000000"/>
                <w:kern w:val="0"/>
                <w:sz w:val="20"/>
                <w:szCs w:val="20"/>
                <w:lang w:eastAsia="es-CO"/>
                <w14:ligatures w14:val="none"/>
              </w:rPr>
              <w:t>34593407</w:t>
            </w:r>
          </w:p>
        </w:tc>
        <w:tc>
          <w:tcPr>
            <w:tcW w:w="3511" w:type="pct"/>
            <w:noWrap/>
            <w:vAlign w:val="bottom"/>
            <w:hideMark/>
          </w:tcPr>
          <w:p w14:paraId="05A87484" w14:textId="11670189" w:rsidR="00D60DA6" w:rsidRPr="00951AB1" w:rsidRDefault="00D37464" w:rsidP="000A5389">
            <w:pPr>
              <w:spacing w:line="240" w:lineRule="auto"/>
              <w:rPr>
                <w:rFonts w:eastAsia="Times New Roman" w:cs="Times New Roman"/>
                <w:color w:val="000000"/>
                <w:kern w:val="0"/>
                <w:sz w:val="20"/>
                <w:szCs w:val="20"/>
                <w:lang w:eastAsia="es-CO"/>
                <w14:ligatures w14:val="none"/>
              </w:rPr>
            </w:pPr>
            <w:r w:rsidRPr="00951AB1">
              <w:rPr>
                <w:rFonts w:eastAsia="Times New Roman" w:cs="Times New Roman"/>
                <w:color w:val="000000"/>
                <w:kern w:val="0"/>
                <w:sz w:val="20"/>
                <w:szCs w:val="20"/>
                <w:lang w:eastAsia="es-CO"/>
                <w14:ligatures w14:val="none"/>
              </w:rPr>
              <w:t>María</w:t>
            </w:r>
            <w:r w:rsidR="00D60DA6" w:rsidRPr="00951AB1">
              <w:rPr>
                <w:rFonts w:eastAsia="Times New Roman" w:cs="Times New Roman"/>
                <w:color w:val="000000"/>
                <w:kern w:val="0"/>
                <w:sz w:val="20"/>
                <w:szCs w:val="20"/>
                <w:lang w:eastAsia="es-CO"/>
                <w14:ligatures w14:val="none"/>
              </w:rPr>
              <w:t xml:space="preserve"> Del Carmen Guzman </w:t>
            </w:r>
            <w:r w:rsidRPr="00951AB1">
              <w:rPr>
                <w:rFonts w:eastAsia="Times New Roman" w:cs="Times New Roman"/>
                <w:color w:val="000000"/>
                <w:kern w:val="0"/>
                <w:sz w:val="20"/>
                <w:szCs w:val="20"/>
                <w:lang w:eastAsia="es-CO"/>
                <w14:ligatures w14:val="none"/>
              </w:rPr>
              <w:t>López</w:t>
            </w:r>
          </w:p>
        </w:tc>
        <w:tc>
          <w:tcPr>
            <w:tcW w:w="898" w:type="pct"/>
            <w:noWrap/>
            <w:vAlign w:val="bottom"/>
            <w:hideMark/>
          </w:tcPr>
          <w:p w14:paraId="2A8AB216" w14:textId="77777777" w:rsidR="00D60DA6" w:rsidRPr="00951AB1" w:rsidRDefault="00D60DA6" w:rsidP="000A5389">
            <w:pPr>
              <w:spacing w:line="240" w:lineRule="auto"/>
              <w:jc w:val="right"/>
              <w:rPr>
                <w:rFonts w:eastAsia="Times New Roman" w:cs="Times New Roman"/>
                <w:color w:val="000000"/>
                <w:kern w:val="0"/>
                <w:sz w:val="20"/>
                <w:szCs w:val="20"/>
                <w:lang w:eastAsia="es-CO"/>
                <w14:ligatures w14:val="none"/>
              </w:rPr>
            </w:pPr>
            <w:r w:rsidRPr="00951AB1">
              <w:rPr>
                <w:rFonts w:eastAsia="Times New Roman" w:cs="Times New Roman"/>
                <w:color w:val="000000"/>
                <w:kern w:val="0"/>
                <w:sz w:val="20"/>
                <w:szCs w:val="20"/>
                <w:lang w:eastAsia="es-CO"/>
                <w14:ligatures w14:val="none"/>
              </w:rPr>
              <w:t xml:space="preserve">                 72.320.812 </w:t>
            </w:r>
          </w:p>
        </w:tc>
      </w:tr>
      <w:tr w:rsidR="00D60DA6" w:rsidRPr="00951AB1" w14:paraId="4304496A" w14:textId="77777777" w:rsidTr="00794C0D">
        <w:trPr>
          <w:trHeight w:val="300"/>
        </w:trPr>
        <w:tc>
          <w:tcPr>
            <w:tcW w:w="590" w:type="pct"/>
            <w:noWrap/>
            <w:vAlign w:val="bottom"/>
            <w:hideMark/>
          </w:tcPr>
          <w:p w14:paraId="6FEEEF03" w14:textId="77777777" w:rsidR="00D60DA6" w:rsidRPr="00951AB1" w:rsidRDefault="00D60DA6" w:rsidP="000A5389">
            <w:pPr>
              <w:spacing w:line="240" w:lineRule="auto"/>
              <w:rPr>
                <w:rFonts w:eastAsia="Times New Roman" w:cs="Times New Roman"/>
                <w:color w:val="000000"/>
                <w:kern w:val="0"/>
                <w:sz w:val="20"/>
                <w:szCs w:val="20"/>
                <w:lang w:eastAsia="es-CO"/>
                <w14:ligatures w14:val="none"/>
              </w:rPr>
            </w:pPr>
            <w:r w:rsidRPr="00951AB1">
              <w:rPr>
                <w:rFonts w:eastAsia="Times New Roman" w:cs="Times New Roman"/>
                <w:color w:val="000000"/>
                <w:kern w:val="0"/>
                <w:sz w:val="20"/>
                <w:szCs w:val="20"/>
                <w:lang w:eastAsia="es-CO"/>
                <w14:ligatures w14:val="none"/>
              </w:rPr>
              <w:t>9535844</w:t>
            </w:r>
          </w:p>
        </w:tc>
        <w:tc>
          <w:tcPr>
            <w:tcW w:w="3511" w:type="pct"/>
            <w:noWrap/>
            <w:vAlign w:val="bottom"/>
            <w:hideMark/>
          </w:tcPr>
          <w:p w14:paraId="3C544B3D" w14:textId="2D1828E6" w:rsidR="00D60DA6" w:rsidRPr="00951AB1" w:rsidRDefault="00D60DA6" w:rsidP="000A5389">
            <w:pPr>
              <w:spacing w:line="240" w:lineRule="auto"/>
              <w:rPr>
                <w:rFonts w:eastAsia="Times New Roman" w:cs="Times New Roman"/>
                <w:color w:val="000000"/>
                <w:kern w:val="0"/>
                <w:sz w:val="20"/>
                <w:szCs w:val="20"/>
                <w:lang w:eastAsia="es-CO"/>
                <w14:ligatures w14:val="none"/>
              </w:rPr>
            </w:pPr>
            <w:r w:rsidRPr="00951AB1">
              <w:rPr>
                <w:rFonts w:eastAsia="Times New Roman" w:cs="Times New Roman"/>
                <w:color w:val="000000"/>
                <w:kern w:val="0"/>
                <w:sz w:val="20"/>
                <w:szCs w:val="20"/>
                <w:lang w:eastAsia="es-CO"/>
                <w14:ligatures w14:val="none"/>
              </w:rPr>
              <w:t>Hernando Aldana Maldonado</w:t>
            </w:r>
          </w:p>
        </w:tc>
        <w:tc>
          <w:tcPr>
            <w:tcW w:w="898" w:type="pct"/>
            <w:noWrap/>
            <w:vAlign w:val="bottom"/>
            <w:hideMark/>
          </w:tcPr>
          <w:p w14:paraId="08D73476" w14:textId="77777777" w:rsidR="00D60DA6" w:rsidRPr="00951AB1" w:rsidRDefault="00D60DA6" w:rsidP="000A5389">
            <w:pPr>
              <w:spacing w:line="240" w:lineRule="auto"/>
              <w:jc w:val="right"/>
              <w:rPr>
                <w:rFonts w:eastAsia="Times New Roman" w:cs="Times New Roman"/>
                <w:color w:val="000000"/>
                <w:kern w:val="0"/>
                <w:sz w:val="20"/>
                <w:szCs w:val="20"/>
                <w:lang w:eastAsia="es-CO"/>
                <w14:ligatures w14:val="none"/>
              </w:rPr>
            </w:pPr>
            <w:r w:rsidRPr="00951AB1">
              <w:rPr>
                <w:rFonts w:eastAsia="Times New Roman" w:cs="Times New Roman"/>
                <w:color w:val="000000"/>
                <w:kern w:val="0"/>
                <w:sz w:val="20"/>
                <w:szCs w:val="20"/>
                <w:lang w:eastAsia="es-CO"/>
                <w14:ligatures w14:val="none"/>
              </w:rPr>
              <w:t xml:space="preserve">                 69.323.345 </w:t>
            </w:r>
          </w:p>
        </w:tc>
      </w:tr>
      <w:tr w:rsidR="00D60DA6" w:rsidRPr="00951AB1" w14:paraId="55E1A2BF" w14:textId="77777777" w:rsidTr="00794C0D">
        <w:trPr>
          <w:trHeight w:val="300"/>
        </w:trPr>
        <w:tc>
          <w:tcPr>
            <w:tcW w:w="590" w:type="pct"/>
            <w:noWrap/>
            <w:vAlign w:val="bottom"/>
            <w:hideMark/>
          </w:tcPr>
          <w:p w14:paraId="16814A57" w14:textId="77777777" w:rsidR="00D60DA6" w:rsidRPr="00951AB1" w:rsidRDefault="00D60DA6" w:rsidP="000A5389">
            <w:pPr>
              <w:spacing w:line="240" w:lineRule="auto"/>
              <w:rPr>
                <w:rFonts w:eastAsia="Times New Roman" w:cs="Times New Roman"/>
                <w:color w:val="000000"/>
                <w:kern w:val="0"/>
                <w:sz w:val="20"/>
                <w:szCs w:val="20"/>
                <w:lang w:eastAsia="es-CO"/>
                <w14:ligatures w14:val="none"/>
              </w:rPr>
            </w:pPr>
            <w:r w:rsidRPr="00951AB1">
              <w:rPr>
                <w:rFonts w:eastAsia="Times New Roman" w:cs="Times New Roman"/>
                <w:color w:val="000000"/>
                <w:kern w:val="0"/>
                <w:sz w:val="20"/>
                <w:szCs w:val="20"/>
                <w:lang w:eastAsia="es-CO"/>
                <w14:ligatures w14:val="none"/>
              </w:rPr>
              <w:t>15607136</w:t>
            </w:r>
          </w:p>
        </w:tc>
        <w:tc>
          <w:tcPr>
            <w:tcW w:w="3511" w:type="pct"/>
            <w:noWrap/>
            <w:vAlign w:val="bottom"/>
            <w:hideMark/>
          </w:tcPr>
          <w:p w14:paraId="790DB57B" w14:textId="781D1D3D" w:rsidR="00D60DA6" w:rsidRPr="00951AB1" w:rsidRDefault="00D60DA6" w:rsidP="000A5389">
            <w:pPr>
              <w:spacing w:line="240" w:lineRule="auto"/>
              <w:rPr>
                <w:rFonts w:eastAsia="Times New Roman" w:cs="Times New Roman"/>
                <w:color w:val="000000"/>
                <w:kern w:val="0"/>
                <w:sz w:val="20"/>
                <w:szCs w:val="20"/>
                <w:lang w:eastAsia="es-CO"/>
                <w14:ligatures w14:val="none"/>
              </w:rPr>
            </w:pPr>
            <w:r w:rsidRPr="00951AB1">
              <w:rPr>
                <w:rFonts w:eastAsia="Times New Roman" w:cs="Times New Roman"/>
                <w:color w:val="000000"/>
                <w:kern w:val="0"/>
                <w:sz w:val="20"/>
                <w:szCs w:val="20"/>
                <w:lang w:eastAsia="es-CO"/>
                <w14:ligatures w14:val="none"/>
              </w:rPr>
              <w:t xml:space="preserve">Hernando </w:t>
            </w:r>
            <w:r w:rsidR="00D37464" w:rsidRPr="00951AB1">
              <w:rPr>
                <w:rFonts w:eastAsia="Times New Roman" w:cs="Times New Roman"/>
                <w:color w:val="000000"/>
                <w:kern w:val="0"/>
                <w:sz w:val="20"/>
                <w:szCs w:val="20"/>
                <w:lang w:eastAsia="es-CO"/>
                <w14:ligatures w14:val="none"/>
              </w:rPr>
              <w:t>García</w:t>
            </w:r>
            <w:r w:rsidRPr="00951AB1">
              <w:rPr>
                <w:rFonts w:eastAsia="Times New Roman" w:cs="Times New Roman"/>
                <w:color w:val="000000"/>
                <w:kern w:val="0"/>
                <w:sz w:val="20"/>
                <w:szCs w:val="20"/>
                <w:lang w:eastAsia="es-CO"/>
                <w14:ligatures w14:val="none"/>
              </w:rPr>
              <w:t xml:space="preserve"> Alturo</w:t>
            </w:r>
          </w:p>
        </w:tc>
        <w:tc>
          <w:tcPr>
            <w:tcW w:w="898" w:type="pct"/>
            <w:noWrap/>
            <w:vAlign w:val="bottom"/>
            <w:hideMark/>
          </w:tcPr>
          <w:p w14:paraId="1DF833A2" w14:textId="77777777" w:rsidR="00D60DA6" w:rsidRPr="00951AB1" w:rsidRDefault="00D60DA6" w:rsidP="000A5389">
            <w:pPr>
              <w:spacing w:line="240" w:lineRule="auto"/>
              <w:jc w:val="right"/>
              <w:rPr>
                <w:rFonts w:eastAsia="Times New Roman" w:cs="Times New Roman"/>
                <w:color w:val="000000"/>
                <w:kern w:val="0"/>
                <w:sz w:val="20"/>
                <w:szCs w:val="20"/>
                <w:lang w:eastAsia="es-CO"/>
                <w14:ligatures w14:val="none"/>
              </w:rPr>
            </w:pPr>
            <w:r w:rsidRPr="00951AB1">
              <w:rPr>
                <w:rFonts w:eastAsia="Times New Roman" w:cs="Times New Roman"/>
                <w:color w:val="000000"/>
                <w:kern w:val="0"/>
                <w:sz w:val="20"/>
                <w:szCs w:val="20"/>
                <w:lang w:eastAsia="es-CO"/>
                <w14:ligatures w14:val="none"/>
              </w:rPr>
              <w:t xml:space="preserve">                 66.341.279 </w:t>
            </w:r>
          </w:p>
        </w:tc>
      </w:tr>
      <w:tr w:rsidR="00D60DA6" w:rsidRPr="00951AB1" w14:paraId="392EE6DA" w14:textId="77777777" w:rsidTr="00794C0D">
        <w:trPr>
          <w:trHeight w:val="300"/>
        </w:trPr>
        <w:tc>
          <w:tcPr>
            <w:tcW w:w="590" w:type="pct"/>
            <w:noWrap/>
            <w:vAlign w:val="bottom"/>
            <w:hideMark/>
          </w:tcPr>
          <w:p w14:paraId="4C2D4B82" w14:textId="77777777" w:rsidR="00D60DA6" w:rsidRPr="00951AB1" w:rsidRDefault="00D60DA6" w:rsidP="000A5389">
            <w:pPr>
              <w:spacing w:line="240" w:lineRule="auto"/>
              <w:rPr>
                <w:rFonts w:eastAsia="Times New Roman" w:cs="Times New Roman"/>
                <w:color w:val="000000"/>
                <w:kern w:val="0"/>
                <w:sz w:val="20"/>
                <w:szCs w:val="20"/>
                <w:lang w:eastAsia="es-CO"/>
                <w14:ligatures w14:val="none"/>
              </w:rPr>
            </w:pPr>
            <w:r w:rsidRPr="00951AB1">
              <w:rPr>
                <w:rFonts w:eastAsia="Times New Roman" w:cs="Times New Roman"/>
                <w:color w:val="000000"/>
                <w:kern w:val="0"/>
                <w:sz w:val="20"/>
                <w:szCs w:val="20"/>
                <w:lang w:eastAsia="es-CO"/>
                <w14:ligatures w14:val="none"/>
              </w:rPr>
              <w:t>6749222</w:t>
            </w:r>
          </w:p>
        </w:tc>
        <w:tc>
          <w:tcPr>
            <w:tcW w:w="3511" w:type="pct"/>
            <w:noWrap/>
            <w:vAlign w:val="bottom"/>
            <w:hideMark/>
          </w:tcPr>
          <w:p w14:paraId="00B69711" w14:textId="64C75AD0" w:rsidR="00D60DA6" w:rsidRPr="00951AB1" w:rsidRDefault="00D60DA6" w:rsidP="000A5389">
            <w:pPr>
              <w:spacing w:line="240" w:lineRule="auto"/>
              <w:rPr>
                <w:rFonts w:eastAsia="Times New Roman" w:cs="Times New Roman"/>
                <w:color w:val="000000"/>
                <w:kern w:val="0"/>
                <w:sz w:val="20"/>
                <w:szCs w:val="20"/>
                <w:lang w:eastAsia="es-CO"/>
                <w14:ligatures w14:val="none"/>
              </w:rPr>
            </w:pPr>
            <w:r w:rsidRPr="00951AB1">
              <w:rPr>
                <w:rFonts w:eastAsia="Times New Roman" w:cs="Times New Roman"/>
                <w:color w:val="000000"/>
                <w:kern w:val="0"/>
                <w:sz w:val="20"/>
                <w:szCs w:val="20"/>
                <w:lang w:eastAsia="es-CO"/>
                <w14:ligatures w14:val="none"/>
              </w:rPr>
              <w:t>Pascual Contreras Flores</w:t>
            </w:r>
          </w:p>
        </w:tc>
        <w:tc>
          <w:tcPr>
            <w:tcW w:w="898" w:type="pct"/>
            <w:noWrap/>
            <w:vAlign w:val="bottom"/>
            <w:hideMark/>
          </w:tcPr>
          <w:p w14:paraId="77CE1CAC" w14:textId="77777777" w:rsidR="00D60DA6" w:rsidRPr="00951AB1" w:rsidRDefault="00D60DA6" w:rsidP="000A5389">
            <w:pPr>
              <w:spacing w:line="240" w:lineRule="auto"/>
              <w:jc w:val="right"/>
              <w:rPr>
                <w:rFonts w:eastAsia="Times New Roman" w:cs="Times New Roman"/>
                <w:color w:val="000000"/>
                <w:kern w:val="0"/>
                <w:sz w:val="20"/>
                <w:szCs w:val="20"/>
                <w:lang w:eastAsia="es-CO"/>
                <w14:ligatures w14:val="none"/>
              </w:rPr>
            </w:pPr>
            <w:r w:rsidRPr="00951AB1">
              <w:rPr>
                <w:rFonts w:eastAsia="Times New Roman" w:cs="Times New Roman"/>
                <w:color w:val="000000"/>
                <w:kern w:val="0"/>
                <w:sz w:val="20"/>
                <w:szCs w:val="20"/>
                <w:lang w:eastAsia="es-CO"/>
                <w14:ligatures w14:val="none"/>
              </w:rPr>
              <w:t xml:space="preserve">                 58.753.365 </w:t>
            </w:r>
          </w:p>
        </w:tc>
      </w:tr>
      <w:tr w:rsidR="00D60DA6" w:rsidRPr="00951AB1" w14:paraId="493CE383" w14:textId="77777777" w:rsidTr="00794C0D">
        <w:trPr>
          <w:trHeight w:val="300"/>
        </w:trPr>
        <w:tc>
          <w:tcPr>
            <w:tcW w:w="590" w:type="pct"/>
            <w:noWrap/>
            <w:vAlign w:val="bottom"/>
            <w:hideMark/>
          </w:tcPr>
          <w:p w14:paraId="575AFBA8" w14:textId="77777777" w:rsidR="00D60DA6" w:rsidRPr="00951AB1" w:rsidRDefault="00D60DA6" w:rsidP="000A5389">
            <w:pPr>
              <w:spacing w:line="240" w:lineRule="auto"/>
              <w:rPr>
                <w:rFonts w:eastAsia="Times New Roman" w:cs="Times New Roman"/>
                <w:color w:val="000000"/>
                <w:kern w:val="0"/>
                <w:sz w:val="20"/>
                <w:szCs w:val="20"/>
                <w:lang w:eastAsia="es-CO"/>
                <w14:ligatures w14:val="none"/>
              </w:rPr>
            </w:pPr>
            <w:r w:rsidRPr="00951AB1">
              <w:rPr>
                <w:rFonts w:eastAsia="Times New Roman" w:cs="Times New Roman"/>
                <w:color w:val="000000"/>
                <w:kern w:val="0"/>
                <w:sz w:val="20"/>
                <w:szCs w:val="20"/>
                <w:lang w:eastAsia="es-CO"/>
                <w14:ligatures w14:val="none"/>
              </w:rPr>
              <w:t>32002595</w:t>
            </w:r>
          </w:p>
        </w:tc>
        <w:tc>
          <w:tcPr>
            <w:tcW w:w="3511" w:type="pct"/>
            <w:noWrap/>
            <w:vAlign w:val="bottom"/>
            <w:hideMark/>
          </w:tcPr>
          <w:p w14:paraId="58753A4A" w14:textId="7828AC91" w:rsidR="00D60DA6" w:rsidRPr="00951AB1" w:rsidRDefault="00D60DA6" w:rsidP="000A5389">
            <w:pPr>
              <w:spacing w:line="240" w:lineRule="auto"/>
              <w:rPr>
                <w:rFonts w:eastAsia="Times New Roman" w:cs="Times New Roman"/>
                <w:color w:val="000000"/>
                <w:kern w:val="0"/>
                <w:sz w:val="20"/>
                <w:szCs w:val="20"/>
                <w:lang w:eastAsia="es-CO"/>
                <w14:ligatures w14:val="none"/>
              </w:rPr>
            </w:pPr>
            <w:r w:rsidRPr="00951AB1">
              <w:rPr>
                <w:rFonts w:eastAsia="Times New Roman" w:cs="Times New Roman"/>
                <w:color w:val="000000"/>
                <w:kern w:val="0"/>
                <w:sz w:val="20"/>
                <w:szCs w:val="20"/>
                <w:lang w:eastAsia="es-CO"/>
                <w14:ligatures w14:val="none"/>
              </w:rPr>
              <w:t>Martha Bibian Cely Insignares</w:t>
            </w:r>
          </w:p>
        </w:tc>
        <w:tc>
          <w:tcPr>
            <w:tcW w:w="898" w:type="pct"/>
            <w:noWrap/>
            <w:vAlign w:val="bottom"/>
            <w:hideMark/>
          </w:tcPr>
          <w:p w14:paraId="244A160E" w14:textId="77777777" w:rsidR="00D60DA6" w:rsidRPr="00951AB1" w:rsidRDefault="00D60DA6" w:rsidP="000A5389">
            <w:pPr>
              <w:spacing w:line="240" w:lineRule="auto"/>
              <w:jc w:val="right"/>
              <w:rPr>
                <w:rFonts w:eastAsia="Times New Roman" w:cs="Times New Roman"/>
                <w:color w:val="000000"/>
                <w:kern w:val="0"/>
                <w:sz w:val="20"/>
                <w:szCs w:val="20"/>
                <w:lang w:eastAsia="es-CO"/>
                <w14:ligatures w14:val="none"/>
              </w:rPr>
            </w:pPr>
            <w:r w:rsidRPr="00951AB1">
              <w:rPr>
                <w:rFonts w:eastAsia="Times New Roman" w:cs="Times New Roman"/>
                <w:color w:val="000000"/>
                <w:kern w:val="0"/>
                <w:sz w:val="20"/>
                <w:szCs w:val="20"/>
                <w:lang w:eastAsia="es-CO"/>
                <w14:ligatures w14:val="none"/>
              </w:rPr>
              <w:t xml:space="preserve">                 58.577.139 </w:t>
            </w:r>
          </w:p>
        </w:tc>
      </w:tr>
      <w:tr w:rsidR="00D60DA6" w:rsidRPr="00951AB1" w14:paraId="19ADC423" w14:textId="77777777" w:rsidTr="00794C0D">
        <w:trPr>
          <w:trHeight w:val="300"/>
        </w:trPr>
        <w:tc>
          <w:tcPr>
            <w:tcW w:w="590" w:type="pct"/>
            <w:noWrap/>
            <w:vAlign w:val="bottom"/>
            <w:hideMark/>
          </w:tcPr>
          <w:p w14:paraId="3FF0FCEB" w14:textId="77777777" w:rsidR="00D60DA6" w:rsidRPr="00951AB1" w:rsidRDefault="00D60DA6" w:rsidP="000A5389">
            <w:pPr>
              <w:spacing w:line="240" w:lineRule="auto"/>
              <w:rPr>
                <w:rFonts w:eastAsia="Times New Roman" w:cs="Times New Roman"/>
                <w:color w:val="000000"/>
                <w:kern w:val="0"/>
                <w:sz w:val="20"/>
                <w:szCs w:val="20"/>
                <w:lang w:eastAsia="es-CO"/>
                <w14:ligatures w14:val="none"/>
              </w:rPr>
            </w:pPr>
            <w:r w:rsidRPr="00951AB1">
              <w:rPr>
                <w:rFonts w:eastAsia="Times New Roman" w:cs="Times New Roman"/>
                <w:color w:val="000000"/>
                <w:kern w:val="0"/>
                <w:sz w:val="20"/>
                <w:szCs w:val="20"/>
                <w:lang w:eastAsia="es-CO"/>
                <w14:ligatures w14:val="none"/>
              </w:rPr>
              <w:t>59831654</w:t>
            </w:r>
          </w:p>
        </w:tc>
        <w:tc>
          <w:tcPr>
            <w:tcW w:w="3511" w:type="pct"/>
            <w:noWrap/>
            <w:vAlign w:val="bottom"/>
            <w:hideMark/>
          </w:tcPr>
          <w:p w14:paraId="1B23A588" w14:textId="51E2E105" w:rsidR="00D60DA6" w:rsidRPr="00951AB1" w:rsidRDefault="00D60DA6" w:rsidP="000A5389">
            <w:pPr>
              <w:spacing w:line="240" w:lineRule="auto"/>
              <w:rPr>
                <w:rFonts w:eastAsia="Times New Roman" w:cs="Times New Roman"/>
                <w:color w:val="000000"/>
                <w:kern w:val="0"/>
                <w:sz w:val="20"/>
                <w:szCs w:val="20"/>
                <w:lang w:eastAsia="es-CO"/>
                <w14:ligatures w14:val="none"/>
              </w:rPr>
            </w:pPr>
            <w:r w:rsidRPr="00951AB1">
              <w:rPr>
                <w:rFonts w:eastAsia="Times New Roman" w:cs="Times New Roman"/>
                <w:color w:val="000000"/>
                <w:kern w:val="0"/>
                <w:sz w:val="20"/>
                <w:szCs w:val="20"/>
                <w:lang w:eastAsia="es-CO"/>
                <w14:ligatures w14:val="none"/>
              </w:rPr>
              <w:t>Carmen Alicia Henao Ortiz</w:t>
            </w:r>
          </w:p>
        </w:tc>
        <w:tc>
          <w:tcPr>
            <w:tcW w:w="898" w:type="pct"/>
            <w:noWrap/>
            <w:vAlign w:val="bottom"/>
            <w:hideMark/>
          </w:tcPr>
          <w:p w14:paraId="419203EF" w14:textId="77777777" w:rsidR="00D60DA6" w:rsidRPr="00951AB1" w:rsidRDefault="00D60DA6" w:rsidP="000A5389">
            <w:pPr>
              <w:spacing w:line="240" w:lineRule="auto"/>
              <w:jc w:val="right"/>
              <w:rPr>
                <w:rFonts w:eastAsia="Times New Roman" w:cs="Times New Roman"/>
                <w:color w:val="000000"/>
                <w:kern w:val="0"/>
                <w:sz w:val="20"/>
                <w:szCs w:val="20"/>
                <w:lang w:eastAsia="es-CO"/>
                <w14:ligatures w14:val="none"/>
              </w:rPr>
            </w:pPr>
            <w:r w:rsidRPr="00951AB1">
              <w:rPr>
                <w:rFonts w:eastAsia="Times New Roman" w:cs="Times New Roman"/>
                <w:color w:val="000000"/>
                <w:kern w:val="0"/>
                <w:sz w:val="20"/>
                <w:szCs w:val="20"/>
                <w:lang w:eastAsia="es-CO"/>
                <w14:ligatures w14:val="none"/>
              </w:rPr>
              <w:t xml:space="preserve">                 58.236.617 </w:t>
            </w:r>
          </w:p>
        </w:tc>
      </w:tr>
      <w:tr w:rsidR="00D60DA6" w:rsidRPr="00951AB1" w14:paraId="551693AA" w14:textId="77777777" w:rsidTr="00794C0D">
        <w:trPr>
          <w:trHeight w:val="300"/>
        </w:trPr>
        <w:tc>
          <w:tcPr>
            <w:tcW w:w="590" w:type="pct"/>
            <w:noWrap/>
            <w:vAlign w:val="bottom"/>
            <w:hideMark/>
          </w:tcPr>
          <w:p w14:paraId="3A4A442A" w14:textId="77777777" w:rsidR="00D60DA6" w:rsidRPr="00951AB1" w:rsidRDefault="00D60DA6" w:rsidP="000A5389">
            <w:pPr>
              <w:spacing w:line="240" w:lineRule="auto"/>
              <w:rPr>
                <w:rFonts w:eastAsia="Times New Roman" w:cs="Times New Roman"/>
                <w:color w:val="000000"/>
                <w:kern w:val="0"/>
                <w:sz w:val="20"/>
                <w:szCs w:val="20"/>
                <w:lang w:eastAsia="es-CO"/>
                <w14:ligatures w14:val="none"/>
              </w:rPr>
            </w:pPr>
            <w:r w:rsidRPr="00951AB1">
              <w:rPr>
                <w:rFonts w:eastAsia="Times New Roman" w:cs="Times New Roman"/>
                <w:color w:val="000000"/>
                <w:kern w:val="0"/>
                <w:sz w:val="20"/>
                <w:szCs w:val="20"/>
                <w:lang w:eastAsia="es-CO"/>
                <w14:ligatures w14:val="none"/>
              </w:rPr>
              <w:t>860016610</w:t>
            </w:r>
          </w:p>
        </w:tc>
        <w:tc>
          <w:tcPr>
            <w:tcW w:w="3511" w:type="pct"/>
            <w:noWrap/>
            <w:vAlign w:val="bottom"/>
            <w:hideMark/>
          </w:tcPr>
          <w:p w14:paraId="4E25C3BE" w14:textId="0569EDB0" w:rsidR="00D60DA6" w:rsidRPr="00951AB1" w:rsidRDefault="00D37464" w:rsidP="000A5389">
            <w:pPr>
              <w:spacing w:line="240" w:lineRule="auto"/>
              <w:rPr>
                <w:rFonts w:eastAsia="Times New Roman" w:cs="Times New Roman"/>
                <w:color w:val="000000"/>
                <w:kern w:val="0"/>
                <w:sz w:val="20"/>
                <w:szCs w:val="20"/>
                <w:lang w:eastAsia="es-CO"/>
                <w14:ligatures w14:val="none"/>
              </w:rPr>
            </w:pPr>
            <w:r w:rsidRPr="00951AB1">
              <w:rPr>
                <w:rFonts w:eastAsia="Times New Roman" w:cs="Times New Roman"/>
                <w:color w:val="000000"/>
                <w:kern w:val="0"/>
                <w:sz w:val="20"/>
                <w:szCs w:val="20"/>
                <w:lang w:eastAsia="es-CO"/>
                <w14:ligatures w14:val="none"/>
              </w:rPr>
              <w:t>Interconexión</w:t>
            </w:r>
            <w:r w:rsidR="00D60DA6" w:rsidRPr="00951AB1">
              <w:rPr>
                <w:rFonts w:eastAsia="Times New Roman" w:cs="Times New Roman"/>
                <w:color w:val="000000"/>
                <w:kern w:val="0"/>
                <w:sz w:val="20"/>
                <w:szCs w:val="20"/>
                <w:lang w:eastAsia="es-CO"/>
                <w14:ligatures w14:val="none"/>
              </w:rPr>
              <w:t xml:space="preserve"> </w:t>
            </w:r>
            <w:r w:rsidR="00794C0D" w:rsidRPr="00951AB1">
              <w:rPr>
                <w:rFonts w:eastAsia="Times New Roman" w:cs="Times New Roman"/>
                <w:color w:val="000000"/>
                <w:kern w:val="0"/>
                <w:sz w:val="20"/>
                <w:szCs w:val="20"/>
                <w:lang w:eastAsia="es-CO"/>
                <w14:ligatures w14:val="none"/>
              </w:rPr>
              <w:t>Eléctrica</w:t>
            </w:r>
            <w:r w:rsidR="00D60DA6" w:rsidRPr="00951AB1">
              <w:rPr>
                <w:rFonts w:eastAsia="Times New Roman" w:cs="Times New Roman"/>
                <w:color w:val="000000"/>
                <w:kern w:val="0"/>
                <w:sz w:val="20"/>
                <w:szCs w:val="20"/>
                <w:lang w:eastAsia="es-CO"/>
                <w14:ligatures w14:val="none"/>
              </w:rPr>
              <w:t xml:space="preserve"> S.A.  E.S.P.</w:t>
            </w:r>
          </w:p>
        </w:tc>
        <w:tc>
          <w:tcPr>
            <w:tcW w:w="898" w:type="pct"/>
            <w:noWrap/>
            <w:vAlign w:val="bottom"/>
            <w:hideMark/>
          </w:tcPr>
          <w:p w14:paraId="19D32A9D" w14:textId="77777777" w:rsidR="00D60DA6" w:rsidRPr="00951AB1" w:rsidRDefault="00D60DA6" w:rsidP="000A5389">
            <w:pPr>
              <w:spacing w:line="240" w:lineRule="auto"/>
              <w:jc w:val="right"/>
              <w:rPr>
                <w:rFonts w:eastAsia="Times New Roman" w:cs="Times New Roman"/>
                <w:color w:val="000000"/>
                <w:kern w:val="0"/>
                <w:sz w:val="20"/>
                <w:szCs w:val="20"/>
                <w:lang w:eastAsia="es-CO"/>
                <w14:ligatures w14:val="none"/>
              </w:rPr>
            </w:pPr>
            <w:r w:rsidRPr="00951AB1">
              <w:rPr>
                <w:rFonts w:eastAsia="Times New Roman" w:cs="Times New Roman"/>
                <w:color w:val="000000"/>
                <w:kern w:val="0"/>
                <w:sz w:val="20"/>
                <w:szCs w:val="20"/>
                <w:lang w:eastAsia="es-CO"/>
                <w14:ligatures w14:val="none"/>
              </w:rPr>
              <w:t xml:space="preserve">                 57.118.255 </w:t>
            </w:r>
          </w:p>
        </w:tc>
      </w:tr>
      <w:tr w:rsidR="00D60DA6" w:rsidRPr="00951AB1" w14:paraId="3DCC9FAB" w14:textId="77777777" w:rsidTr="00794C0D">
        <w:trPr>
          <w:trHeight w:val="300"/>
        </w:trPr>
        <w:tc>
          <w:tcPr>
            <w:tcW w:w="590" w:type="pct"/>
            <w:noWrap/>
            <w:vAlign w:val="bottom"/>
            <w:hideMark/>
          </w:tcPr>
          <w:p w14:paraId="5E2BB74C" w14:textId="77777777" w:rsidR="00D60DA6" w:rsidRPr="00951AB1" w:rsidRDefault="00D60DA6" w:rsidP="000A5389">
            <w:pPr>
              <w:spacing w:line="240" w:lineRule="auto"/>
              <w:rPr>
                <w:rFonts w:eastAsia="Times New Roman" w:cs="Times New Roman"/>
                <w:color w:val="000000"/>
                <w:kern w:val="0"/>
                <w:sz w:val="20"/>
                <w:szCs w:val="20"/>
                <w:lang w:eastAsia="es-CO"/>
                <w14:ligatures w14:val="none"/>
              </w:rPr>
            </w:pPr>
            <w:r w:rsidRPr="00951AB1">
              <w:rPr>
                <w:rFonts w:eastAsia="Times New Roman" w:cs="Times New Roman"/>
                <w:color w:val="000000"/>
                <w:kern w:val="0"/>
                <w:sz w:val="20"/>
                <w:szCs w:val="20"/>
                <w:lang w:eastAsia="es-CO"/>
                <w14:ligatures w14:val="none"/>
              </w:rPr>
              <w:lastRenderedPageBreak/>
              <w:t>32220019</w:t>
            </w:r>
          </w:p>
        </w:tc>
        <w:tc>
          <w:tcPr>
            <w:tcW w:w="3511" w:type="pct"/>
            <w:noWrap/>
            <w:vAlign w:val="bottom"/>
            <w:hideMark/>
          </w:tcPr>
          <w:p w14:paraId="4E23D6F2" w14:textId="7200E7FE" w:rsidR="00D60DA6" w:rsidRPr="00951AB1" w:rsidRDefault="00D60DA6" w:rsidP="000A5389">
            <w:pPr>
              <w:spacing w:line="240" w:lineRule="auto"/>
              <w:rPr>
                <w:rFonts w:eastAsia="Times New Roman" w:cs="Times New Roman"/>
                <w:color w:val="000000"/>
                <w:kern w:val="0"/>
                <w:sz w:val="20"/>
                <w:szCs w:val="20"/>
                <w:lang w:eastAsia="es-CO"/>
                <w14:ligatures w14:val="none"/>
              </w:rPr>
            </w:pPr>
            <w:r w:rsidRPr="00951AB1">
              <w:rPr>
                <w:rFonts w:eastAsia="Times New Roman" w:cs="Times New Roman"/>
                <w:color w:val="000000"/>
                <w:kern w:val="0"/>
                <w:sz w:val="20"/>
                <w:szCs w:val="20"/>
                <w:lang w:eastAsia="es-CO"/>
                <w14:ligatures w14:val="none"/>
              </w:rPr>
              <w:t>Marta Lucelly Valencia Salazar</w:t>
            </w:r>
          </w:p>
        </w:tc>
        <w:tc>
          <w:tcPr>
            <w:tcW w:w="898" w:type="pct"/>
            <w:noWrap/>
            <w:vAlign w:val="bottom"/>
            <w:hideMark/>
          </w:tcPr>
          <w:p w14:paraId="4FF9D0D0" w14:textId="77777777" w:rsidR="00D60DA6" w:rsidRPr="00951AB1" w:rsidRDefault="00D60DA6" w:rsidP="000A5389">
            <w:pPr>
              <w:spacing w:line="240" w:lineRule="auto"/>
              <w:jc w:val="right"/>
              <w:rPr>
                <w:rFonts w:eastAsia="Times New Roman" w:cs="Times New Roman"/>
                <w:color w:val="000000"/>
                <w:kern w:val="0"/>
                <w:sz w:val="20"/>
                <w:szCs w:val="20"/>
                <w:lang w:eastAsia="es-CO"/>
                <w14:ligatures w14:val="none"/>
              </w:rPr>
            </w:pPr>
            <w:r w:rsidRPr="00951AB1">
              <w:rPr>
                <w:rFonts w:eastAsia="Times New Roman" w:cs="Times New Roman"/>
                <w:color w:val="000000"/>
                <w:kern w:val="0"/>
                <w:sz w:val="20"/>
                <w:szCs w:val="20"/>
                <w:lang w:eastAsia="es-CO"/>
                <w14:ligatures w14:val="none"/>
              </w:rPr>
              <w:t xml:space="preserve">                 50.895.956 </w:t>
            </w:r>
          </w:p>
        </w:tc>
      </w:tr>
      <w:tr w:rsidR="00D60DA6" w:rsidRPr="00951AB1" w14:paraId="78EFBA14" w14:textId="77777777" w:rsidTr="00794C0D">
        <w:trPr>
          <w:trHeight w:val="300"/>
        </w:trPr>
        <w:tc>
          <w:tcPr>
            <w:tcW w:w="590" w:type="pct"/>
            <w:noWrap/>
            <w:vAlign w:val="bottom"/>
            <w:hideMark/>
          </w:tcPr>
          <w:p w14:paraId="6E16305F" w14:textId="77777777" w:rsidR="00D60DA6" w:rsidRPr="00951AB1" w:rsidRDefault="00D60DA6" w:rsidP="000A5389">
            <w:pPr>
              <w:spacing w:line="240" w:lineRule="auto"/>
              <w:rPr>
                <w:rFonts w:eastAsia="Times New Roman" w:cs="Times New Roman"/>
                <w:color w:val="000000"/>
                <w:kern w:val="0"/>
                <w:sz w:val="20"/>
                <w:szCs w:val="20"/>
                <w:lang w:eastAsia="es-CO"/>
                <w14:ligatures w14:val="none"/>
              </w:rPr>
            </w:pPr>
            <w:r w:rsidRPr="00951AB1">
              <w:rPr>
                <w:rFonts w:eastAsia="Times New Roman" w:cs="Times New Roman"/>
                <w:color w:val="000000"/>
                <w:kern w:val="0"/>
                <w:sz w:val="20"/>
                <w:szCs w:val="20"/>
                <w:lang w:eastAsia="es-CO"/>
                <w14:ligatures w14:val="none"/>
              </w:rPr>
              <w:t>28298799</w:t>
            </w:r>
          </w:p>
        </w:tc>
        <w:tc>
          <w:tcPr>
            <w:tcW w:w="3511" w:type="pct"/>
            <w:noWrap/>
            <w:vAlign w:val="bottom"/>
            <w:hideMark/>
          </w:tcPr>
          <w:p w14:paraId="644A90C4" w14:textId="0E940B9C" w:rsidR="00D60DA6" w:rsidRPr="00951AB1" w:rsidRDefault="00D37464" w:rsidP="000A5389">
            <w:pPr>
              <w:spacing w:line="240" w:lineRule="auto"/>
              <w:rPr>
                <w:rFonts w:eastAsia="Times New Roman" w:cs="Times New Roman"/>
                <w:color w:val="000000"/>
                <w:kern w:val="0"/>
                <w:sz w:val="20"/>
                <w:szCs w:val="20"/>
                <w:lang w:eastAsia="es-CO"/>
                <w14:ligatures w14:val="none"/>
              </w:rPr>
            </w:pPr>
            <w:r w:rsidRPr="00951AB1">
              <w:rPr>
                <w:rFonts w:eastAsia="Times New Roman" w:cs="Times New Roman"/>
                <w:color w:val="000000"/>
                <w:kern w:val="0"/>
                <w:sz w:val="20"/>
                <w:szCs w:val="20"/>
                <w:lang w:eastAsia="es-CO"/>
                <w14:ligatures w14:val="none"/>
              </w:rPr>
              <w:t>María</w:t>
            </w:r>
            <w:r w:rsidR="00D60DA6" w:rsidRPr="00951AB1">
              <w:rPr>
                <w:rFonts w:eastAsia="Times New Roman" w:cs="Times New Roman"/>
                <w:color w:val="000000"/>
                <w:kern w:val="0"/>
                <w:sz w:val="20"/>
                <w:szCs w:val="20"/>
                <w:lang w:eastAsia="es-CO"/>
                <w14:ligatures w14:val="none"/>
              </w:rPr>
              <w:t xml:space="preserve"> Esperanza Ardila Silva</w:t>
            </w:r>
          </w:p>
        </w:tc>
        <w:tc>
          <w:tcPr>
            <w:tcW w:w="898" w:type="pct"/>
            <w:noWrap/>
            <w:vAlign w:val="bottom"/>
            <w:hideMark/>
          </w:tcPr>
          <w:p w14:paraId="1BA08A8B" w14:textId="77777777" w:rsidR="00D60DA6" w:rsidRPr="00951AB1" w:rsidRDefault="00D60DA6" w:rsidP="000A5389">
            <w:pPr>
              <w:spacing w:line="240" w:lineRule="auto"/>
              <w:jc w:val="right"/>
              <w:rPr>
                <w:rFonts w:eastAsia="Times New Roman" w:cs="Times New Roman"/>
                <w:color w:val="000000"/>
                <w:kern w:val="0"/>
                <w:sz w:val="20"/>
                <w:szCs w:val="20"/>
                <w:lang w:eastAsia="es-CO"/>
                <w14:ligatures w14:val="none"/>
              </w:rPr>
            </w:pPr>
            <w:r w:rsidRPr="00951AB1">
              <w:rPr>
                <w:rFonts w:eastAsia="Times New Roman" w:cs="Times New Roman"/>
                <w:color w:val="000000"/>
                <w:kern w:val="0"/>
                <w:sz w:val="20"/>
                <w:szCs w:val="20"/>
                <w:lang w:eastAsia="es-CO"/>
                <w14:ligatures w14:val="none"/>
              </w:rPr>
              <w:t xml:space="preserve">                 48.555.890 </w:t>
            </w:r>
          </w:p>
        </w:tc>
      </w:tr>
      <w:tr w:rsidR="00D60DA6" w:rsidRPr="00951AB1" w14:paraId="5C5C8C35" w14:textId="77777777" w:rsidTr="00794C0D">
        <w:trPr>
          <w:trHeight w:val="300"/>
        </w:trPr>
        <w:tc>
          <w:tcPr>
            <w:tcW w:w="590" w:type="pct"/>
            <w:noWrap/>
            <w:vAlign w:val="bottom"/>
            <w:hideMark/>
          </w:tcPr>
          <w:p w14:paraId="1FC28B53" w14:textId="77777777" w:rsidR="00D60DA6" w:rsidRPr="00951AB1" w:rsidRDefault="00D60DA6" w:rsidP="000A5389">
            <w:pPr>
              <w:spacing w:line="240" w:lineRule="auto"/>
              <w:rPr>
                <w:rFonts w:eastAsia="Times New Roman" w:cs="Times New Roman"/>
                <w:color w:val="000000"/>
                <w:kern w:val="0"/>
                <w:sz w:val="20"/>
                <w:szCs w:val="20"/>
                <w:lang w:eastAsia="es-CO"/>
                <w14:ligatures w14:val="none"/>
              </w:rPr>
            </w:pPr>
            <w:r w:rsidRPr="00951AB1">
              <w:rPr>
                <w:rFonts w:eastAsia="Times New Roman" w:cs="Times New Roman"/>
                <w:color w:val="000000"/>
                <w:kern w:val="0"/>
                <w:sz w:val="20"/>
                <w:szCs w:val="20"/>
                <w:lang w:eastAsia="es-CO"/>
                <w14:ligatures w14:val="none"/>
              </w:rPr>
              <w:t>15427895</w:t>
            </w:r>
          </w:p>
        </w:tc>
        <w:tc>
          <w:tcPr>
            <w:tcW w:w="3511" w:type="pct"/>
            <w:noWrap/>
            <w:vAlign w:val="bottom"/>
            <w:hideMark/>
          </w:tcPr>
          <w:p w14:paraId="0567C4F3" w14:textId="0DA36068" w:rsidR="00D60DA6" w:rsidRPr="00951AB1" w:rsidRDefault="00D37464" w:rsidP="000A5389">
            <w:pPr>
              <w:spacing w:line="240" w:lineRule="auto"/>
              <w:rPr>
                <w:rFonts w:eastAsia="Times New Roman" w:cs="Times New Roman"/>
                <w:color w:val="000000"/>
                <w:kern w:val="0"/>
                <w:sz w:val="20"/>
                <w:szCs w:val="20"/>
                <w:lang w:eastAsia="es-CO"/>
                <w14:ligatures w14:val="none"/>
              </w:rPr>
            </w:pPr>
            <w:r w:rsidRPr="00951AB1">
              <w:rPr>
                <w:rFonts w:eastAsia="Times New Roman" w:cs="Times New Roman"/>
                <w:color w:val="000000"/>
                <w:kern w:val="0"/>
                <w:sz w:val="20"/>
                <w:szCs w:val="20"/>
                <w:lang w:eastAsia="es-CO"/>
                <w14:ligatures w14:val="none"/>
              </w:rPr>
              <w:t>Héctor</w:t>
            </w:r>
            <w:r w:rsidR="00D60DA6" w:rsidRPr="00951AB1">
              <w:rPr>
                <w:rFonts w:eastAsia="Times New Roman" w:cs="Times New Roman"/>
                <w:color w:val="000000"/>
                <w:kern w:val="0"/>
                <w:sz w:val="20"/>
                <w:szCs w:val="20"/>
                <w:lang w:eastAsia="es-CO"/>
                <w14:ligatures w14:val="none"/>
              </w:rPr>
              <w:t xml:space="preserve"> </w:t>
            </w:r>
            <w:r w:rsidR="00794C0D" w:rsidRPr="00951AB1">
              <w:rPr>
                <w:rFonts w:eastAsia="Times New Roman" w:cs="Times New Roman"/>
                <w:color w:val="000000"/>
                <w:kern w:val="0"/>
                <w:sz w:val="20"/>
                <w:szCs w:val="20"/>
                <w:lang w:eastAsia="es-CO"/>
                <w14:ligatures w14:val="none"/>
              </w:rPr>
              <w:t>García</w:t>
            </w:r>
            <w:r w:rsidR="00D60DA6" w:rsidRPr="00951AB1">
              <w:rPr>
                <w:rFonts w:eastAsia="Times New Roman" w:cs="Times New Roman"/>
                <w:color w:val="000000"/>
                <w:kern w:val="0"/>
                <w:sz w:val="20"/>
                <w:szCs w:val="20"/>
                <w:lang w:eastAsia="es-CO"/>
                <w14:ligatures w14:val="none"/>
              </w:rPr>
              <w:t xml:space="preserve"> </w:t>
            </w:r>
          </w:p>
        </w:tc>
        <w:tc>
          <w:tcPr>
            <w:tcW w:w="898" w:type="pct"/>
            <w:noWrap/>
            <w:vAlign w:val="bottom"/>
            <w:hideMark/>
          </w:tcPr>
          <w:p w14:paraId="78FB50ED" w14:textId="77777777" w:rsidR="00D60DA6" w:rsidRPr="00951AB1" w:rsidRDefault="00D60DA6" w:rsidP="000A5389">
            <w:pPr>
              <w:spacing w:line="240" w:lineRule="auto"/>
              <w:jc w:val="right"/>
              <w:rPr>
                <w:rFonts w:eastAsia="Times New Roman" w:cs="Times New Roman"/>
                <w:color w:val="000000"/>
                <w:kern w:val="0"/>
                <w:sz w:val="20"/>
                <w:szCs w:val="20"/>
                <w:lang w:eastAsia="es-CO"/>
                <w14:ligatures w14:val="none"/>
              </w:rPr>
            </w:pPr>
            <w:r w:rsidRPr="00951AB1">
              <w:rPr>
                <w:rFonts w:eastAsia="Times New Roman" w:cs="Times New Roman"/>
                <w:color w:val="000000"/>
                <w:kern w:val="0"/>
                <w:sz w:val="20"/>
                <w:szCs w:val="20"/>
                <w:lang w:eastAsia="es-CO"/>
                <w14:ligatures w14:val="none"/>
              </w:rPr>
              <w:t xml:space="preserve">                 35.004.335 </w:t>
            </w:r>
          </w:p>
        </w:tc>
      </w:tr>
      <w:tr w:rsidR="00D60DA6" w:rsidRPr="00951AB1" w14:paraId="6725D0E9" w14:textId="77777777" w:rsidTr="00794C0D">
        <w:trPr>
          <w:trHeight w:val="300"/>
        </w:trPr>
        <w:tc>
          <w:tcPr>
            <w:tcW w:w="590" w:type="pct"/>
            <w:noWrap/>
            <w:vAlign w:val="bottom"/>
            <w:hideMark/>
          </w:tcPr>
          <w:p w14:paraId="657BADAF" w14:textId="77777777" w:rsidR="00D60DA6" w:rsidRPr="00951AB1" w:rsidRDefault="00D60DA6" w:rsidP="000A5389">
            <w:pPr>
              <w:spacing w:line="240" w:lineRule="auto"/>
              <w:rPr>
                <w:rFonts w:eastAsia="Times New Roman" w:cs="Times New Roman"/>
                <w:color w:val="000000"/>
                <w:kern w:val="0"/>
                <w:sz w:val="20"/>
                <w:szCs w:val="20"/>
                <w:lang w:eastAsia="es-CO"/>
                <w14:ligatures w14:val="none"/>
              </w:rPr>
            </w:pPr>
            <w:r w:rsidRPr="00951AB1">
              <w:rPr>
                <w:rFonts w:eastAsia="Times New Roman" w:cs="Times New Roman"/>
                <w:color w:val="000000"/>
                <w:kern w:val="0"/>
                <w:sz w:val="20"/>
                <w:szCs w:val="20"/>
                <w:lang w:eastAsia="es-CO"/>
                <w14:ligatures w14:val="none"/>
              </w:rPr>
              <w:t>800249860</w:t>
            </w:r>
          </w:p>
        </w:tc>
        <w:tc>
          <w:tcPr>
            <w:tcW w:w="3511" w:type="pct"/>
            <w:noWrap/>
            <w:vAlign w:val="bottom"/>
            <w:hideMark/>
          </w:tcPr>
          <w:p w14:paraId="54C30A02" w14:textId="226F3A04" w:rsidR="00D60DA6" w:rsidRPr="00951AB1" w:rsidRDefault="00D60DA6" w:rsidP="000A5389">
            <w:pPr>
              <w:spacing w:line="240" w:lineRule="auto"/>
              <w:rPr>
                <w:rFonts w:eastAsia="Times New Roman" w:cs="Times New Roman"/>
                <w:color w:val="000000"/>
                <w:kern w:val="0"/>
                <w:sz w:val="20"/>
                <w:szCs w:val="20"/>
                <w:lang w:eastAsia="es-CO"/>
                <w14:ligatures w14:val="none"/>
              </w:rPr>
            </w:pPr>
            <w:r w:rsidRPr="00951AB1">
              <w:rPr>
                <w:rFonts w:eastAsia="Times New Roman" w:cs="Times New Roman"/>
                <w:color w:val="000000"/>
                <w:kern w:val="0"/>
                <w:sz w:val="20"/>
                <w:szCs w:val="20"/>
                <w:lang w:eastAsia="es-CO"/>
                <w14:ligatures w14:val="none"/>
              </w:rPr>
              <w:t>Celsia Colombia S.A E.S.P.</w:t>
            </w:r>
          </w:p>
        </w:tc>
        <w:tc>
          <w:tcPr>
            <w:tcW w:w="898" w:type="pct"/>
            <w:noWrap/>
            <w:vAlign w:val="bottom"/>
            <w:hideMark/>
          </w:tcPr>
          <w:p w14:paraId="5963DD18" w14:textId="77777777" w:rsidR="00D60DA6" w:rsidRPr="00951AB1" w:rsidRDefault="00D60DA6" w:rsidP="000A5389">
            <w:pPr>
              <w:spacing w:line="240" w:lineRule="auto"/>
              <w:jc w:val="right"/>
              <w:rPr>
                <w:rFonts w:eastAsia="Times New Roman" w:cs="Times New Roman"/>
                <w:color w:val="000000"/>
                <w:kern w:val="0"/>
                <w:sz w:val="20"/>
                <w:szCs w:val="20"/>
                <w:lang w:eastAsia="es-CO"/>
                <w14:ligatures w14:val="none"/>
              </w:rPr>
            </w:pPr>
            <w:r w:rsidRPr="00951AB1">
              <w:rPr>
                <w:rFonts w:eastAsia="Times New Roman" w:cs="Times New Roman"/>
                <w:color w:val="000000"/>
                <w:kern w:val="0"/>
                <w:sz w:val="20"/>
                <w:szCs w:val="20"/>
                <w:lang w:eastAsia="es-CO"/>
                <w14:ligatures w14:val="none"/>
              </w:rPr>
              <w:t xml:space="preserve">                 29.526.325 </w:t>
            </w:r>
          </w:p>
        </w:tc>
      </w:tr>
      <w:tr w:rsidR="00D60DA6" w:rsidRPr="00951AB1" w14:paraId="0708BB9D" w14:textId="77777777" w:rsidTr="00794C0D">
        <w:trPr>
          <w:trHeight w:val="300"/>
        </w:trPr>
        <w:tc>
          <w:tcPr>
            <w:tcW w:w="590" w:type="pct"/>
            <w:noWrap/>
            <w:vAlign w:val="bottom"/>
            <w:hideMark/>
          </w:tcPr>
          <w:p w14:paraId="30CC69C4" w14:textId="77777777" w:rsidR="00D60DA6" w:rsidRPr="00951AB1" w:rsidRDefault="00D60DA6" w:rsidP="000A5389">
            <w:pPr>
              <w:spacing w:line="240" w:lineRule="auto"/>
              <w:rPr>
                <w:rFonts w:eastAsia="Times New Roman" w:cs="Times New Roman"/>
                <w:color w:val="000000"/>
                <w:kern w:val="0"/>
                <w:sz w:val="20"/>
                <w:szCs w:val="20"/>
                <w:lang w:eastAsia="es-CO"/>
                <w14:ligatures w14:val="none"/>
              </w:rPr>
            </w:pPr>
            <w:r w:rsidRPr="00951AB1">
              <w:rPr>
                <w:rFonts w:eastAsia="Times New Roman" w:cs="Times New Roman"/>
                <w:color w:val="000000"/>
                <w:kern w:val="0"/>
                <w:sz w:val="20"/>
                <w:szCs w:val="20"/>
                <w:lang w:eastAsia="es-CO"/>
                <w14:ligatures w14:val="none"/>
              </w:rPr>
              <w:t>9994843</w:t>
            </w:r>
          </w:p>
        </w:tc>
        <w:tc>
          <w:tcPr>
            <w:tcW w:w="3511" w:type="pct"/>
            <w:noWrap/>
            <w:vAlign w:val="bottom"/>
            <w:hideMark/>
          </w:tcPr>
          <w:p w14:paraId="2D0245FE" w14:textId="7FD89F9D" w:rsidR="00D60DA6" w:rsidRPr="00951AB1" w:rsidRDefault="00D60DA6" w:rsidP="000A5389">
            <w:pPr>
              <w:spacing w:line="240" w:lineRule="auto"/>
              <w:rPr>
                <w:rFonts w:eastAsia="Times New Roman" w:cs="Times New Roman"/>
                <w:color w:val="000000"/>
                <w:kern w:val="0"/>
                <w:sz w:val="20"/>
                <w:szCs w:val="20"/>
                <w:lang w:eastAsia="es-CO"/>
                <w14:ligatures w14:val="none"/>
              </w:rPr>
            </w:pPr>
            <w:r w:rsidRPr="00951AB1">
              <w:rPr>
                <w:rFonts w:eastAsia="Times New Roman" w:cs="Times New Roman"/>
                <w:color w:val="000000"/>
                <w:kern w:val="0"/>
                <w:sz w:val="20"/>
                <w:szCs w:val="20"/>
                <w:lang w:eastAsia="es-CO"/>
                <w14:ligatures w14:val="none"/>
              </w:rPr>
              <w:t xml:space="preserve">Luis Fernando Gualteros </w:t>
            </w:r>
            <w:r w:rsidR="00D37464" w:rsidRPr="00951AB1">
              <w:rPr>
                <w:rFonts w:eastAsia="Times New Roman" w:cs="Times New Roman"/>
                <w:color w:val="000000"/>
                <w:kern w:val="0"/>
                <w:sz w:val="20"/>
                <w:szCs w:val="20"/>
                <w:lang w:eastAsia="es-CO"/>
                <w14:ligatures w14:val="none"/>
              </w:rPr>
              <w:t>Gutiérrez</w:t>
            </w:r>
          </w:p>
        </w:tc>
        <w:tc>
          <w:tcPr>
            <w:tcW w:w="898" w:type="pct"/>
            <w:noWrap/>
            <w:vAlign w:val="bottom"/>
            <w:hideMark/>
          </w:tcPr>
          <w:p w14:paraId="4B43E72E" w14:textId="77777777" w:rsidR="00D60DA6" w:rsidRPr="00951AB1" w:rsidRDefault="00D60DA6" w:rsidP="000A5389">
            <w:pPr>
              <w:spacing w:line="240" w:lineRule="auto"/>
              <w:jc w:val="right"/>
              <w:rPr>
                <w:rFonts w:eastAsia="Times New Roman" w:cs="Times New Roman"/>
                <w:color w:val="000000"/>
                <w:kern w:val="0"/>
                <w:sz w:val="20"/>
                <w:szCs w:val="20"/>
                <w:lang w:eastAsia="es-CO"/>
                <w14:ligatures w14:val="none"/>
              </w:rPr>
            </w:pPr>
            <w:r w:rsidRPr="00951AB1">
              <w:rPr>
                <w:rFonts w:eastAsia="Times New Roman" w:cs="Times New Roman"/>
                <w:color w:val="000000"/>
                <w:kern w:val="0"/>
                <w:sz w:val="20"/>
                <w:szCs w:val="20"/>
                <w:lang w:eastAsia="es-CO"/>
                <w14:ligatures w14:val="none"/>
              </w:rPr>
              <w:t xml:space="preserve">                 24.447.131 </w:t>
            </w:r>
          </w:p>
        </w:tc>
      </w:tr>
      <w:tr w:rsidR="00D60DA6" w:rsidRPr="00951AB1" w14:paraId="482EF57B" w14:textId="77777777" w:rsidTr="00794C0D">
        <w:trPr>
          <w:trHeight w:val="300"/>
        </w:trPr>
        <w:tc>
          <w:tcPr>
            <w:tcW w:w="590" w:type="pct"/>
            <w:noWrap/>
            <w:vAlign w:val="bottom"/>
            <w:hideMark/>
          </w:tcPr>
          <w:p w14:paraId="751218B9" w14:textId="77777777" w:rsidR="00D60DA6" w:rsidRPr="00951AB1" w:rsidRDefault="00D60DA6" w:rsidP="000A5389">
            <w:pPr>
              <w:spacing w:line="240" w:lineRule="auto"/>
              <w:rPr>
                <w:rFonts w:eastAsia="Times New Roman" w:cs="Times New Roman"/>
                <w:color w:val="000000"/>
                <w:kern w:val="0"/>
                <w:sz w:val="20"/>
                <w:szCs w:val="20"/>
                <w:lang w:eastAsia="es-CO"/>
                <w14:ligatures w14:val="none"/>
              </w:rPr>
            </w:pPr>
            <w:r w:rsidRPr="00951AB1">
              <w:rPr>
                <w:rFonts w:eastAsia="Times New Roman" w:cs="Times New Roman"/>
                <w:color w:val="000000"/>
                <w:kern w:val="0"/>
                <w:sz w:val="20"/>
                <w:szCs w:val="20"/>
                <w:lang w:eastAsia="es-CO"/>
                <w14:ligatures w14:val="none"/>
              </w:rPr>
              <w:t>20956834</w:t>
            </w:r>
          </w:p>
        </w:tc>
        <w:tc>
          <w:tcPr>
            <w:tcW w:w="3511" w:type="pct"/>
            <w:noWrap/>
            <w:vAlign w:val="bottom"/>
            <w:hideMark/>
          </w:tcPr>
          <w:p w14:paraId="524B753B" w14:textId="38D47997" w:rsidR="00D60DA6" w:rsidRPr="00951AB1" w:rsidRDefault="00D37464" w:rsidP="000A5389">
            <w:pPr>
              <w:spacing w:line="240" w:lineRule="auto"/>
              <w:rPr>
                <w:rFonts w:eastAsia="Times New Roman" w:cs="Times New Roman"/>
                <w:color w:val="000000"/>
                <w:kern w:val="0"/>
                <w:sz w:val="20"/>
                <w:szCs w:val="20"/>
                <w:lang w:eastAsia="es-CO"/>
                <w14:ligatures w14:val="none"/>
              </w:rPr>
            </w:pPr>
            <w:r w:rsidRPr="00951AB1">
              <w:rPr>
                <w:rFonts w:eastAsia="Times New Roman" w:cs="Times New Roman"/>
                <w:color w:val="000000"/>
                <w:kern w:val="0"/>
                <w:sz w:val="20"/>
                <w:szCs w:val="20"/>
                <w:lang w:eastAsia="es-CO"/>
                <w14:ligatures w14:val="none"/>
              </w:rPr>
              <w:t>María</w:t>
            </w:r>
            <w:r w:rsidR="00D60DA6" w:rsidRPr="00951AB1">
              <w:rPr>
                <w:rFonts w:eastAsia="Times New Roman" w:cs="Times New Roman"/>
                <w:color w:val="000000"/>
                <w:kern w:val="0"/>
                <w:sz w:val="20"/>
                <w:szCs w:val="20"/>
                <w:lang w:eastAsia="es-CO"/>
                <w14:ligatures w14:val="none"/>
              </w:rPr>
              <w:t xml:space="preserve"> Victoria Camacho Forero</w:t>
            </w:r>
          </w:p>
        </w:tc>
        <w:tc>
          <w:tcPr>
            <w:tcW w:w="898" w:type="pct"/>
            <w:noWrap/>
            <w:vAlign w:val="bottom"/>
            <w:hideMark/>
          </w:tcPr>
          <w:p w14:paraId="33DD345F" w14:textId="77777777" w:rsidR="00D60DA6" w:rsidRPr="00951AB1" w:rsidRDefault="00D60DA6" w:rsidP="000A5389">
            <w:pPr>
              <w:spacing w:line="240" w:lineRule="auto"/>
              <w:jc w:val="right"/>
              <w:rPr>
                <w:rFonts w:eastAsia="Times New Roman" w:cs="Times New Roman"/>
                <w:color w:val="000000"/>
                <w:kern w:val="0"/>
                <w:sz w:val="20"/>
                <w:szCs w:val="20"/>
                <w:lang w:eastAsia="es-CO"/>
                <w14:ligatures w14:val="none"/>
              </w:rPr>
            </w:pPr>
            <w:r w:rsidRPr="00951AB1">
              <w:rPr>
                <w:rFonts w:eastAsia="Times New Roman" w:cs="Times New Roman"/>
                <w:color w:val="000000"/>
                <w:kern w:val="0"/>
                <w:sz w:val="20"/>
                <w:szCs w:val="20"/>
                <w:lang w:eastAsia="es-CO"/>
                <w14:ligatures w14:val="none"/>
              </w:rPr>
              <w:t xml:space="preserve">                 24.084.751 </w:t>
            </w:r>
          </w:p>
        </w:tc>
      </w:tr>
      <w:tr w:rsidR="00D60DA6" w:rsidRPr="00951AB1" w14:paraId="2ED23931" w14:textId="77777777" w:rsidTr="00794C0D">
        <w:trPr>
          <w:trHeight w:val="300"/>
        </w:trPr>
        <w:tc>
          <w:tcPr>
            <w:tcW w:w="590" w:type="pct"/>
            <w:noWrap/>
            <w:vAlign w:val="bottom"/>
            <w:hideMark/>
          </w:tcPr>
          <w:p w14:paraId="4C8C48C6" w14:textId="77777777" w:rsidR="00D60DA6" w:rsidRPr="00951AB1" w:rsidRDefault="00D60DA6" w:rsidP="000A5389">
            <w:pPr>
              <w:spacing w:line="240" w:lineRule="auto"/>
              <w:rPr>
                <w:rFonts w:eastAsia="Times New Roman" w:cs="Times New Roman"/>
                <w:color w:val="000000"/>
                <w:kern w:val="0"/>
                <w:sz w:val="20"/>
                <w:szCs w:val="20"/>
                <w:lang w:eastAsia="es-CO"/>
                <w14:ligatures w14:val="none"/>
              </w:rPr>
            </w:pPr>
            <w:r w:rsidRPr="00951AB1">
              <w:rPr>
                <w:rFonts w:eastAsia="Times New Roman" w:cs="Times New Roman"/>
                <w:color w:val="000000"/>
                <w:kern w:val="0"/>
                <w:sz w:val="20"/>
                <w:szCs w:val="20"/>
                <w:lang w:eastAsia="es-CO"/>
                <w14:ligatures w14:val="none"/>
              </w:rPr>
              <w:t>860067561</w:t>
            </w:r>
          </w:p>
        </w:tc>
        <w:tc>
          <w:tcPr>
            <w:tcW w:w="3511" w:type="pct"/>
            <w:noWrap/>
            <w:vAlign w:val="bottom"/>
            <w:hideMark/>
          </w:tcPr>
          <w:p w14:paraId="3CD0ACA5" w14:textId="01790F97" w:rsidR="00D60DA6" w:rsidRPr="00951AB1" w:rsidRDefault="00D60DA6" w:rsidP="000A5389">
            <w:pPr>
              <w:spacing w:line="240" w:lineRule="auto"/>
              <w:rPr>
                <w:rFonts w:eastAsia="Times New Roman" w:cs="Times New Roman"/>
                <w:color w:val="000000"/>
                <w:kern w:val="0"/>
                <w:sz w:val="20"/>
                <w:szCs w:val="20"/>
                <w:lang w:eastAsia="es-CO"/>
                <w14:ligatures w14:val="none"/>
              </w:rPr>
            </w:pPr>
            <w:r w:rsidRPr="00951AB1">
              <w:rPr>
                <w:rFonts w:eastAsia="Times New Roman" w:cs="Times New Roman"/>
                <w:color w:val="000000"/>
                <w:kern w:val="0"/>
                <w:sz w:val="20"/>
                <w:szCs w:val="20"/>
                <w:lang w:eastAsia="es-CO"/>
                <w14:ligatures w14:val="none"/>
              </w:rPr>
              <w:t>Joyco S.A.S. Bic</w:t>
            </w:r>
          </w:p>
        </w:tc>
        <w:tc>
          <w:tcPr>
            <w:tcW w:w="898" w:type="pct"/>
            <w:noWrap/>
            <w:vAlign w:val="bottom"/>
            <w:hideMark/>
          </w:tcPr>
          <w:p w14:paraId="2C7C122E" w14:textId="77777777" w:rsidR="00D60DA6" w:rsidRPr="00951AB1" w:rsidRDefault="00D60DA6" w:rsidP="000A5389">
            <w:pPr>
              <w:spacing w:line="240" w:lineRule="auto"/>
              <w:jc w:val="right"/>
              <w:rPr>
                <w:rFonts w:eastAsia="Times New Roman" w:cs="Times New Roman"/>
                <w:color w:val="000000"/>
                <w:kern w:val="0"/>
                <w:sz w:val="20"/>
                <w:szCs w:val="20"/>
                <w:lang w:eastAsia="es-CO"/>
                <w14:ligatures w14:val="none"/>
              </w:rPr>
            </w:pPr>
            <w:r w:rsidRPr="00951AB1">
              <w:rPr>
                <w:rFonts w:eastAsia="Times New Roman" w:cs="Times New Roman"/>
                <w:color w:val="000000"/>
                <w:kern w:val="0"/>
                <w:sz w:val="20"/>
                <w:szCs w:val="20"/>
                <w:lang w:eastAsia="es-CO"/>
                <w14:ligatures w14:val="none"/>
              </w:rPr>
              <w:t xml:space="preserve">                 22.608.732 </w:t>
            </w:r>
          </w:p>
        </w:tc>
      </w:tr>
      <w:tr w:rsidR="00D60DA6" w:rsidRPr="00951AB1" w14:paraId="3685CE3E" w14:textId="77777777" w:rsidTr="00794C0D">
        <w:trPr>
          <w:trHeight w:val="300"/>
        </w:trPr>
        <w:tc>
          <w:tcPr>
            <w:tcW w:w="590" w:type="pct"/>
            <w:noWrap/>
            <w:vAlign w:val="bottom"/>
            <w:hideMark/>
          </w:tcPr>
          <w:p w14:paraId="51E8D568" w14:textId="77777777" w:rsidR="00D60DA6" w:rsidRPr="00951AB1" w:rsidRDefault="00D60DA6" w:rsidP="000A5389">
            <w:pPr>
              <w:spacing w:line="240" w:lineRule="auto"/>
              <w:rPr>
                <w:rFonts w:eastAsia="Times New Roman" w:cs="Times New Roman"/>
                <w:color w:val="000000"/>
                <w:kern w:val="0"/>
                <w:sz w:val="20"/>
                <w:szCs w:val="20"/>
                <w:lang w:eastAsia="es-CO"/>
                <w14:ligatures w14:val="none"/>
              </w:rPr>
            </w:pPr>
            <w:r w:rsidRPr="00951AB1">
              <w:rPr>
                <w:rFonts w:eastAsia="Times New Roman" w:cs="Times New Roman"/>
                <w:color w:val="000000"/>
                <w:kern w:val="0"/>
                <w:sz w:val="20"/>
                <w:szCs w:val="20"/>
                <w:lang w:eastAsia="es-CO"/>
                <w14:ligatures w14:val="none"/>
              </w:rPr>
              <w:t>8401091</w:t>
            </w:r>
          </w:p>
        </w:tc>
        <w:tc>
          <w:tcPr>
            <w:tcW w:w="3511" w:type="pct"/>
            <w:noWrap/>
            <w:vAlign w:val="bottom"/>
            <w:hideMark/>
          </w:tcPr>
          <w:p w14:paraId="6C4FD0FE" w14:textId="6BA41AC9" w:rsidR="00D60DA6" w:rsidRPr="00951AB1" w:rsidRDefault="00D60DA6" w:rsidP="000A5389">
            <w:pPr>
              <w:spacing w:line="240" w:lineRule="auto"/>
              <w:rPr>
                <w:rFonts w:eastAsia="Times New Roman" w:cs="Times New Roman"/>
                <w:color w:val="000000"/>
                <w:kern w:val="0"/>
                <w:sz w:val="20"/>
                <w:szCs w:val="20"/>
                <w:lang w:eastAsia="es-CO"/>
                <w14:ligatures w14:val="none"/>
              </w:rPr>
            </w:pPr>
            <w:r w:rsidRPr="00951AB1">
              <w:rPr>
                <w:rFonts w:eastAsia="Times New Roman" w:cs="Times New Roman"/>
                <w:color w:val="000000"/>
                <w:kern w:val="0"/>
                <w:sz w:val="20"/>
                <w:szCs w:val="20"/>
                <w:lang w:eastAsia="es-CO"/>
                <w14:ligatures w14:val="none"/>
              </w:rPr>
              <w:t>Carlos Alberto Londoño Ascencio</w:t>
            </w:r>
          </w:p>
        </w:tc>
        <w:tc>
          <w:tcPr>
            <w:tcW w:w="898" w:type="pct"/>
            <w:noWrap/>
            <w:vAlign w:val="bottom"/>
            <w:hideMark/>
          </w:tcPr>
          <w:p w14:paraId="4D1194C9" w14:textId="77777777" w:rsidR="00D60DA6" w:rsidRPr="00951AB1" w:rsidRDefault="00D60DA6" w:rsidP="000A5389">
            <w:pPr>
              <w:spacing w:line="240" w:lineRule="auto"/>
              <w:jc w:val="right"/>
              <w:rPr>
                <w:rFonts w:eastAsia="Times New Roman" w:cs="Times New Roman"/>
                <w:color w:val="000000"/>
                <w:kern w:val="0"/>
                <w:sz w:val="20"/>
                <w:szCs w:val="20"/>
                <w:lang w:eastAsia="es-CO"/>
                <w14:ligatures w14:val="none"/>
              </w:rPr>
            </w:pPr>
            <w:r w:rsidRPr="00951AB1">
              <w:rPr>
                <w:rFonts w:eastAsia="Times New Roman" w:cs="Times New Roman"/>
                <w:color w:val="000000"/>
                <w:kern w:val="0"/>
                <w:sz w:val="20"/>
                <w:szCs w:val="20"/>
                <w:lang w:eastAsia="es-CO"/>
                <w14:ligatures w14:val="none"/>
              </w:rPr>
              <w:t xml:space="preserve">                   7.097.553 </w:t>
            </w:r>
          </w:p>
        </w:tc>
      </w:tr>
      <w:tr w:rsidR="00D60DA6" w:rsidRPr="00951AB1" w14:paraId="1DC32FEB" w14:textId="77777777" w:rsidTr="00794C0D">
        <w:trPr>
          <w:trHeight w:val="300"/>
        </w:trPr>
        <w:tc>
          <w:tcPr>
            <w:tcW w:w="590" w:type="pct"/>
            <w:noWrap/>
            <w:vAlign w:val="bottom"/>
            <w:hideMark/>
          </w:tcPr>
          <w:p w14:paraId="4645F797" w14:textId="77777777" w:rsidR="00D60DA6" w:rsidRPr="00951AB1" w:rsidRDefault="00D60DA6" w:rsidP="000A5389">
            <w:pPr>
              <w:spacing w:line="240" w:lineRule="auto"/>
              <w:rPr>
                <w:rFonts w:eastAsia="Times New Roman" w:cs="Times New Roman"/>
                <w:color w:val="000000"/>
                <w:kern w:val="0"/>
                <w:sz w:val="20"/>
                <w:szCs w:val="20"/>
                <w:lang w:eastAsia="es-CO"/>
                <w14:ligatures w14:val="none"/>
              </w:rPr>
            </w:pPr>
            <w:r w:rsidRPr="00951AB1">
              <w:rPr>
                <w:rFonts w:eastAsia="Times New Roman" w:cs="Times New Roman"/>
                <w:color w:val="000000"/>
                <w:kern w:val="0"/>
                <w:sz w:val="20"/>
                <w:szCs w:val="20"/>
                <w:lang w:eastAsia="es-CO"/>
                <w14:ligatures w14:val="none"/>
              </w:rPr>
              <w:t>13832295</w:t>
            </w:r>
          </w:p>
        </w:tc>
        <w:tc>
          <w:tcPr>
            <w:tcW w:w="3511" w:type="pct"/>
            <w:noWrap/>
            <w:vAlign w:val="bottom"/>
            <w:hideMark/>
          </w:tcPr>
          <w:p w14:paraId="0538383F" w14:textId="546C6601" w:rsidR="00D60DA6" w:rsidRPr="00951AB1" w:rsidRDefault="00D60DA6" w:rsidP="000A5389">
            <w:pPr>
              <w:spacing w:line="240" w:lineRule="auto"/>
              <w:rPr>
                <w:rFonts w:eastAsia="Times New Roman" w:cs="Times New Roman"/>
                <w:color w:val="000000"/>
                <w:kern w:val="0"/>
                <w:sz w:val="20"/>
                <w:szCs w:val="20"/>
                <w:lang w:eastAsia="es-CO"/>
                <w14:ligatures w14:val="none"/>
              </w:rPr>
            </w:pPr>
            <w:r w:rsidRPr="00951AB1">
              <w:rPr>
                <w:rFonts w:eastAsia="Times New Roman" w:cs="Times New Roman"/>
                <w:color w:val="000000"/>
                <w:kern w:val="0"/>
                <w:sz w:val="20"/>
                <w:szCs w:val="20"/>
                <w:lang w:eastAsia="es-CO"/>
                <w14:ligatures w14:val="none"/>
              </w:rPr>
              <w:t xml:space="preserve">Graciliano </w:t>
            </w:r>
            <w:r w:rsidR="00D37464" w:rsidRPr="00951AB1">
              <w:rPr>
                <w:rFonts w:eastAsia="Times New Roman" w:cs="Times New Roman"/>
                <w:color w:val="000000"/>
                <w:kern w:val="0"/>
                <w:sz w:val="20"/>
                <w:szCs w:val="20"/>
                <w:lang w:eastAsia="es-CO"/>
                <w14:ligatures w14:val="none"/>
              </w:rPr>
              <w:t>Gómez</w:t>
            </w:r>
            <w:r w:rsidRPr="00951AB1">
              <w:rPr>
                <w:rFonts w:eastAsia="Times New Roman" w:cs="Times New Roman"/>
                <w:color w:val="000000"/>
                <w:kern w:val="0"/>
                <w:sz w:val="20"/>
                <w:szCs w:val="20"/>
                <w:lang w:eastAsia="es-CO"/>
                <w14:ligatures w14:val="none"/>
              </w:rPr>
              <w:t xml:space="preserve"> Rios</w:t>
            </w:r>
          </w:p>
        </w:tc>
        <w:tc>
          <w:tcPr>
            <w:tcW w:w="898" w:type="pct"/>
            <w:noWrap/>
            <w:vAlign w:val="bottom"/>
            <w:hideMark/>
          </w:tcPr>
          <w:p w14:paraId="58D27AF0" w14:textId="77777777" w:rsidR="00D60DA6" w:rsidRPr="00951AB1" w:rsidRDefault="00D60DA6" w:rsidP="000A5389">
            <w:pPr>
              <w:spacing w:line="240" w:lineRule="auto"/>
              <w:jc w:val="right"/>
              <w:rPr>
                <w:rFonts w:eastAsia="Times New Roman" w:cs="Times New Roman"/>
                <w:color w:val="000000"/>
                <w:kern w:val="0"/>
                <w:sz w:val="20"/>
                <w:szCs w:val="20"/>
                <w:lang w:eastAsia="es-CO"/>
                <w14:ligatures w14:val="none"/>
              </w:rPr>
            </w:pPr>
            <w:r w:rsidRPr="00951AB1">
              <w:rPr>
                <w:rFonts w:eastAsia="Times New Roman" w:cs="Times New Roman"/>
                <w:color w:val="000000"/>
                <w:kern w:val="0"/>
                <w:sz w:val="20"/>
                <w:szCs w:val="20"/>
                <w:lang w:eastAsia="es-CO"/>
                <w14:ligatures w14:val="none"/>
              </w:rPr>
              <w:t xml:space="preserve">                   6.282.981 </w:t>
            </w:r>
          </w:p>
        </w:tc>
      </w:tr>
      <w:tr w:rsidR="00D60DA6" w:rsidRPr="00951AB1" w14:paraId="702C6BE1" w14:textId="77777777" w:rsidTr="00794C0D">
        <w:trPr>
          <w:trHeight w:val="300"/>
        </w:trPr>
        <w:tc>
          <w:tcPr>
            <w:tcW w:w="590" w:type="pct"/>
            <w:noWrap/>
            <w:vAlign w:val="bottom"/>
            <w:hideMark/>
          </w:tcPr>
          <w:p w14:paraId="6411FEF8" w14:textId="77777777" w:rsidR="00D60DA6" w:rsidRPr="00951AB1" w:rsidRDefault="00D60DA6" w:rsidP="000A5389">
            <w:pPr>
              <w:spacing w:line="240" w:lineRule="auto"/>
              <w:rPr>
                <w:rFonts w:eastAsia="Times New Roman" w:cs="Times New Roman"/>
                <w:color w:val="000000"/>
                <w:kern w:val="0"/>
                <w:sz w:val="20"/>
                <w:szCs w:val="20"/>
                <w:lang w:eastAsia="es-CO"/>
                <w14:ligatures w14:val="none"/>
              </w:rPr>
            </w:pPr>
            <w:r w:rsidRPr="00951AB1">
              <w:rPr>
                <w:rFonts w:eastAsia="Times New Roman" w:cs="Times New Roman"/>
                <w:color w:val="000000"/>
                <w:kern w:val="0"/>
                <w:sz w:val="20"/>
                <w:szCs w:val="20"/>
                <w:lang w:eastAsia="es-CO"/>
                <w14:ligatures w14:val="none"/>
              </w:rPr>
              <w:t>13826159</w:t>
            </w:r>
          </w:p>
        </w:tc>
        <w:tc>
          <w:tcPr>
            <w:tcW w:w="3511" w:type="pct"/>
            <w:noWrap/>
            <w:vAlign w:val="bottom"/>
            <w:hideMark/>
          </w:tcPr>
          <w:p w14:paraId="216F5D91" w14:textId="11779E24" w:rsidR="00D60DA6" w:rsidRPr="00951AB1" w:rsidRDefault="00D60DA6" w:rsidP="000A5389">
            <w:pPr>
              <w:spacing w:line="240" w:lineRule="auto"/>
              <w:rPr>
                <w:rFonts w:eastAsia="Times New Roman" w:cs="Times New Roman"/>
                <w:color w:val="000000"/>
                <w:kern w:val="0"/>
                <w:sz w:val="20"/>
                <w:szCs w:val="20"/>
                <w:lang w:eastAsia="es-CO"/>
                <w14:ligatures w14:val="none"/>
              </w:rPr>
            </w:pPr>
            <w:r w:rsidRPr="00951AB1">
              <w:rPr>
                <w:rFonts w:eastAsia="Times New Roman" w:cs="Times New Roman"/>
                <w:color w:val="000000"/>
                <w:kern w:val="0"/>
                <w:sz w:val="20"/>
                <w:szCs w:val="20"/>
                <w:lang w:eastAsia="es-CO"/>
                <w14:ligatures w14:val="none"/>
              </w:rPr>
              <w:t xml:space="preserve">Francisco </w:t>
            </w:r>
            <w:r w:rsidR="00D37464" w:rsidRPr="00951AB1">
              <w:rPr>
                <w:rFonts w:eastAsia="Times New Roman" w:cs="Times New Roman"/>
                <w:color w:val="000000"/>
                <w:kern w:val="0"/>
                <w:sz w:val="20"/>
                <w:szCs w:val="20"/>
                <w:lang w:eastAsia="es-CO"/>
                <w14:ligatures w14:val="none"/>
              </w:rPr>
              <w:t>García</w:t>
            </w:r>
            <w:r w:rsidRPr="00951AB1">
              <w:rPr>
                <w:rFonts w:eastAsia="Times New Roman" w:cs="Times New Roman"/>
                <w:color w:val="000000"/>
                <w:kern w:val="0"/>
                <w:sz w:val="20"/>
                <w:szCs w:val="20"/>
                <w:lang w:eastAsia="es-CO"/>
                <w14:ligatures w14:val="none"/>
              </w:rPr>
              <w:t xml:space="preserve"> Andrade</w:t>
            </w:r>
          </w:p>
        </w:tc>
        <w:tc>
          <w:tcPr>
            <w:tcW w:w="898" w:type="pct"/>
            <w:noWrap/>
            <w:vAlign w:val="bottom"/>
            <w:hideMark/>
          </w:tcPr>
          <w:p w14:paraId="4865459D" w14:textId="77777777" w:rsidR="00D60DA6" w:rsidRPr="00951AB1" w:rsidRDefault="00D60DA6" w:rsidP="000A5389">
            <w:pPr>
              <w:spacing w:line="240" w:lineRule="auto"/>
              <w:jc w:val="right"/>
              <w:rPr>
                <w:rFonts w:eastAsia="Times New Roman" w:cs="Times New Roman"/>
                <w:color w:val="000000"/>
                <w:kern w:val="0"/>
                <w:sz w:val="20"/>
                <w:szCs w:val="20"/>
                <w:lang w:eastAsia="es-CO"/>
                <w14:ligatures w14:val="none"/>
              </w:rPr>
            </w:pPr>
            <w:r w:rsidRPr="00951AB1">
              <w:rPr>
                <w:rFonts w:eastAsia="Times New Roman" w:cs="Times New Roman"/>
                <w:color w:val="000000"/>
                <w:kern w:val="0"/>
                <w:sz w:val="20"/>
                <w:szCs w:val="20"/>
                <w:lang w:eastAsia="es-CO"/>
                <w14:ligatures w14:val="none"/>
              </w:rPr>
              <w:t xml:space="preserve">                   5.105.138 </w:t>
            </w:r>
          </w:p>
        </w:tc>
      </w:tr>
      <w:tr w:rsidR="00D60DA6" w:rsidRPr="00951AB1" w14:paraId="0CBACCB5" w14:textId="77777777" w:rsidTr="00794C0D">
        <w:trPr>
          <w:trHeight w:val="300"/>
        </w:trPr>
        <w:tc>
          <w:tcPr>
            <w:tcW w:w="590" w:type="pct"/>
            <w:noWrap/>
            <w:vAlign w:val="bottom"/>
            <w:hideMark/>
          </w:tcPr>
          <w:p w14:paraId="73337A64" w14:textId="77777777" w:rsidR="00D60DA6" w:rsidRPr="00951AB1" w:rsidRDefault="00D60DA6" w:rsidP="000A5389">
            <w:pPr>
              <w:spacing w:line="240" w:lineRule="auto"/>
              <w:rPr>
                <w:rFonts w:eastAsia="Times New Roman" w:cs="Times New Roman"/>
                <w:color w:val="000000"/>
                <w:kern w:val="0"/>
                <w:sz w:val="20"/>
                <w:szCs w:val="20"/>
                <w:lang w:eastAsia="es-CO"/>
                <w14:ligatures w14:val="none"/>
              </w:rPr>
            </w:pPr>
            <w:r w:rsidRPr="00951AB1">
              <w:rPr>
                <w:rFonts w:eastAsia="Times New Roman" w:cs="Times New Roman"/>
                <w:color w:val="000000"/>
                <w:kern w:val="0"/>
                <w:sz w:val="20"/>
                <w:szCs w:val="20"/>
                <w:lang w:eastAsia="es-CO"/>
                <w14:ligatures w14:val="none"/>
              </w:rPr>
              <w:t>91207698</w:t>
            </w:r>
          </w:p>
        </w:tc>
        <w:tc>
          <w:tcPr>
            <w:tcW w:w="3511" w:type="pct"/>
            <w:noWrap/>
            <w:vAlign w:val="bottom"/>
            <w:hideMark/>
          </w:tcPr>
          <w:p w14:paraId="18EB3EA6" w14:textId="799886BE" w:rsidR="00D60DA6" w:rsidRPr="00951AB1" w:rsidRDefault="00D60DA6" w:rsidP="000A5389">
            <w:pPr>
              <w:spacing w:line="240" w:lineRule="auto"/>
              <w:rPr>
                <w:rFonts w:eastAsia="Times New Roman" w:cs="Times New Roman"/>
                <w:color w:val="000000"/>
                <w:kern w:val="0"/>
                <w:sz w:val="20"/>
                <w:szCs w:val="20"/>
                <w:lang w:eastAsia="es-CO"/>
                <w14:ligatures w14:val="none"/>
              </w:rPr>
            </w:pPr>
            <w:r w:rsidRPr="00951AB1">
              <w:rPr>
                <w:rFonts w:eastAsia="Times New Roman" w:cs="Times New Roman"/>
                <w:color w:val="000000"/>
                <w:kern w:val="0"/>
                <w:sz w:val="20"/>
                <w:szCs w:val="20"/>
                <w:lang w:eastAsia="es-CO"/>
                <w14:ligatures w14:val="none"/>
              </w:rPr>
              <w:t>Luis Alberto Villamizar Rios</w:t>
            </w:r>
          </w:p>
        </w:tc>
        <w:tc>
          <w:tcPr>
            <w:tcW w:w="898" w:type="pct"/>
            <w:noWrap/>
            <w:vAlign w:val="bottom"/>
            <w:hideMark/>
          </w:tcPr>
          <w:p w14:paraId="13CF2493" w14:textId="77777777" w:rsidR="00D60DA6" w:rsidRPr="00951AB1" w:rsidRDefault="00D60DA6" w:rsidP="000A5389">
            <w:pPr>
              <w:spacing w:line="240" w:lineRule="auto"/>
              <w:jc w:val="right"/>
              <w:rPr>
                <w:rFonts w:eastAsia="Times New Roman" w:cs="Times New Roman"/>
                <w:color w:val="000000"/>
                <w:kern w:val="0"/>
                <w:sz w:val="20"/>
                <w:szCs w:val="20"/>
                <w:lang w:eastAsia="es-CO"/>
                <w14:ligatures w14:val="none"/>
              </w:rPr>
            </w:pPr>
            <w:r w:rsidRPr="00951AB1">
              <w:rPr>
                <w:rFonts w:eastAsia="Times New Roman" w:cs="Times New Roman"/>
                <w:color w:val="000000"/>
                <w:kern w:val="0"/>
                <w:sz w:val="20"/>
                <w:szCs w:val="20"/>
                <w:lang w:eastAsia="es-CO"/>
                <w14:ligatures w14:val="none"/>
              </w:rPr>
              <w:t xml:space="preserve">                   1.390.402 </w:t>
            </w:r>
          </w:p>
        </w:tc>
      </w:tr>
      <w:tr w:rsidR="00D60DA6" w:rsidRPr="00951AB1" w14:paraId="527B55B0" w14:textId="77777777" w:rsidTr="00794C0D">
        <w:trPr>
          <w:trHeight w:val="300"/>
        </w:trPr>
        <w:tc>
          <w:tcPr>
            <w:tcW w:w="590" w:type="pct"/>
            <w:noWrap/>
            <w:vAlign w:val="bottom"/>
            <w:hideMark/>
          </w:tcPr>
          <w:p w14:paraId="754C0328" w14:textId="77777777" w:rsidR="00D60DA6" w:rsidRPr="00951AB1" w:rsidRDefault="00D60DA6" w:rsidP="000A5389">
            <w:pPr>
              <w:spacing w:line="240" w:lineRule="auto"/>
              <w:rPr>
                <w:rFonts w:eastAsia="Times New Roman" w:cs="Times New Roman"/>
                <w:color w:val="000000"/>
                <w:kern w:val="0"/>
                <w:sz w:val="20"/>
                <w:szCs w:val="20"/>
                <w:lang w:eastAsia="es-CO"/>
                <w14:ligatures w14:val="none"/>
              </w:rPr>
            </w:pPr>
            <w:r w:rsidRPr="00951AB1">
              <w:rPr>
                <w:rFonts w:eastAsia="Times New Roman" w:cs="Times New Roman"/>
                <w:color w:val="000000"/>
                <w:kern w:val="0"/>
                <w:sz w:val="20"/>
                <w:szCs w:val="20"/>
                <w:lang w:eastAsia="es-CO"/>
                <w14:ligatures w14:val="none"/>
              </w:rPr>
              <w:t>11413086</w:t>
            </w:r>
          </w:p>
        </w:tc>
        <w:tc>
          <w:tcPr>
            <w:tcW w:w="3511" w:type="pct"/>
            <w:noWrap/>
            <w:vAlign w:val="bottom"/>
            <w:hideMark/>
          </w:tcPr>
          <w:p w14:paraId="002219B5" w14:textId="0BB2DE48" w:rsidR="00D60DA6" w:rsidRPr="00951AB1" w:rsidRDefault="00D37464" w:rsidP="000A5389">
            <w:pPr>
              <w:spacing w:line="240" w:lineRule="auto"/>
              <w:rPr>
                <w:rFonts w:eastAsia="Times New Roman" w:cs="Times New Roman"/>
                <w:color w:val="000000"/>
                <w:kern w:val="0"/>
                <w:sz w:val="20"/>
                <w:szCs w:val="20"/>
                <w:lang w:eastAsia="es-CO"/>
                <w14:ligatures w14:val="none"/>
              </w:rPr>
            </w:pPr>
            <w:r w:rsidRPr="00951AB1">
              <w:rPr>
                <w:rFonts w:eastAsia="Times New Roman" w:cs="Times New Roman"/>
                <w:color w:val="000000"/>
                <w:kern w:val="0"/>
                <w:sz w:val="20"/>
                <w:szCs w:val="20"/>
                <w:lang w:eastAsia="es-CO"/>
                <w14:ligatures w14:val="none"/>
              </w:rPr>
              <w:t>Ángel</w:t>
            </w:r>
            <w:r w:rsidR="00D60DA6" w:rsidRPr="00951AB1">
              <w:rPr>
                <w:rFonts w:eastAsia="Times New Roman" w:cs="Times New Roman"/>
                <w:color w:val="000000"/>
                <w:kern w:val="0"/>
                <w:sz w:val="20"/>
                <w:szCs w:val="20"/>
                <w:lang w:eastAsia="es-CO"/>
                <w14:ligatures w14:val="none"/>
              </w:rPr>
              <w:t xml:space="preserve"> Ramon Guevara </w:t>
            </w:r>
          </w:p>
        </w:tc>
        <w:tc>
          <w:tcPr>
            <w:tcW w:w="898" w:type="pct"/>
            <w:noWrap/>
            <w:vAlign w:val="bottom"/>
            <w:hideMark/>
          </w:tcPr>
          <w:p w14:paraId="3740F81E" w14:textId="77777777" w:rsidR="00D60DA6" w:rsidRPr="00951AB1" w:rsidRDefault="00D60DA6" w:rsidP="000A5389">
            <w:pPr>
              <w:spacing w:line="240" w:lineRule="auto"/>
              <w:jc w:val="right"/>
              <w:rPr>
                <w:rFonts w:eastAsia="Times New Roman" w:cs="Times New Roman"/>
                <w:color w:val="000000"/>
                <w:kern w:val="0"/>
                <w:sz w:val="20"/>
                <w:szCs w:val="20"/>
                <w:lang w:eastAsia="es-CO"/>
                <w14:ligatures w14:val="none"/>
              </w:rPr>
            </w:pPr>
            <w:r w:rsidRPr="00951AB1">
              <w:rPr>
                <w:rFonts w:eastAsia="Times New Roman" w:cs="Times New Roman"/>
                <w:color w:val="000000"/>
                <w:kern w:val="0"/>
                <w:sz w:val="20"/>
                <w:szCs w:val="20"/>
                <w:lang w:eastAsia="es-CO"/>
                <w14:ligatures w14:val="none"/>
              </w:rPr>
              <w:t xml:space="preserve">                   1.347.466 </w:t>
            </w:r>
          </w:p>
        </w:tc>
      </w:tr>
      <w:tr w:rsidR="00D60DA6" w:rsidRPr="00951AB1" w14:paraId="7003D6B8" w14:textId="77777777" w:rsidTr="00794C0D">
        <w:trPr>
          <w:trHeight w:val="300"/>
        </w:trPr>
        <w:tc>
          <w:tcPr>
            <w:tcW w:w="590" w:type="pct"/>
            <w:noWrap/>
            <w:vAlign w:val="bottom"/>
            <w:hideMark/>
          </w:tcPr>
          <w:p w14:paraId="60933167" w14:textId="77777777" w:rsidR="00D60DA6" w:rsidRPr="00951AB1" w:rsidRDefault="00D60DA6" w:rsidP="000A5389">
            <w:pPr>
              <w:spacing w:line="240" w:lineRule="auto"/>
              <w:rPr>
                <w:rFonts w:eastAsia="Times New Roman" w:cs="Times New Roman"/>
                <w:color w:val="000000"/>
                <w:kern w:val="0"/>
                <w:sz w:val="20"/>
                <w:szCs w:val="20"/>
                <w:lang w:eastAsia="es-CO"/>
                <w14:ligatures w14:val="none"/>
              </w:rPr>
            </w:pPr>
            <w:r w:rsidRPr="00951AB1">
              <w:rPr>
                <w:rFonts w:eastAsia="Times New Roman" w:cs="Times New Roman"/>
                <w:color w:val="000000"/>
                <w:kern w:val="0"/>
                <w:sz w:val="20"/>
                <w:szCs w:val="20"/>
                <w:lang w:eastAsia="es-CO"/>
                <w14:ligatures w14:val="none"/>
              </w:rPr>
              <w:t>1063177669</w:t>
            </w:r>
          </w:p>
        </w:tc>
        <w:tc>
          <w:tcPr>
            <w:tcW w:w="3511" w:type="pct"/>
            <w:noWrap/>
            <w:vAlign w:val="bottom"/>
            <w:hideMark/>
          </w:tcPr>
          <w:p w14:paraId="09DB2EE9" w14:textId="1ED1AD27" w:rsidR="00D60DA6" w:rsidRPr="00951AB1" w:rsidRDefault="00D60DA6" w:rsidP="000A5389">
            <w:pPr>
              <w:spacing w:line="240" w:lineRule="auto"/>
              <w:rPr>
                <w:rFonts w:eastAsia="Times New Roman" w:cs="Times New Roman"/>
                <w:color w:val="000000"/>
                <w:kern w:val="0"/>
                <w:sz w:val="20"/>
                <w:szCs w:val="20"/>
                <w:lang w:eastAsia="es-CO"/>
                <w14:ligatures w14:val="none"/>
              </w:rPr>
            </w:pPr>
            <w:r w:rsidRPr="00951AB1">
              <w:rPr>
                <w:rFonts w:eastAsia="Times New Roman" w:cs="Times New Roman"/>
                <w:color w:val="000000"/>
                <w:kern w:val="0"/>
                <w:sz w:val="20"/>
                <w:szCs w:val="20"/>
                <w:lang w:eastAsia="es-CO"/>
                <w14:ligatures w14:val="none"/>
              </w:rPr>
              <w:t>Luis Miguel Doria Diaz</w:t>
            </w:r>
          </w:p>
        </w:tc>
        <w:tc>
          <w:tcPr>
            <w:tcW w:w="898" w:type="pct"/>
            <w:noWrap/>
            <w:vAlign w:val="bottom"/>
            <w:hideMark/>
          </w:tcPr>
          <w:p w14:paraId="38A3691A" w14:textId="77777777" w:rsidR="00D60DA6" w:rsidRPr="00951AB1" w:rsidRDefault="00D60DA6" w:rsidP="000A5389">
            <w:pPr>
              <w:spacing w:line="240" w:lineRule="auto"/>
              <w:jc w:val="right"/>
              <w:rPr>
                <w:rFonts w:eastAsia="Times New Roman" w:cs="Times New Roman"/>
                <w:color w:val="000000"/>
                <w:kern w:val="0"/>
                <w:sz w:val="20"/>
                <w:szCs w:val="20"/>
                <w:lang w:eastAsia="es-CO"/>
                <w14:ligatures w14:val="none"/>
              </w:rPr>
            </w:pPr>
            <w:r w:rsidRPr="00951AB1">
              <w:rPr>
                <w:rFonts w:eastAsia="Times New Roman" w:cs="Times New Roman"/>
                <w:color w:val="000000"/>
                <w:kern w:val="0"/>
                <w:sz w:val="20"/>
                <w:szCs w:val="20"/>
                <w:lang w:eastAsia="es-CO"/>
                <w14:ligatures w14:val="none"/>
              </w:rPr>
              <w:t xml:space="preserve">                      571.800 </w:t>
            </w:r>
          </w:p>
        </w:tc>
      </w:tr>
      <w:tr w:rsidR="00D60DA6" w:rsidRPr="00951AB1" w14:paraId="68893165" w14:textId="77777777" w:rsidTr="00794C0D">
        <w:trPr>
          <w:trHeight w:val="300"/>
        </w:trPr>
        <w:tc>
          <w:tcPr>
            <w:tcW w:w="590" w:type="pct"/>
            <w:noWrap/>
            <w:vAlign w:val="bottom"/>
            <w:hideMark/>
          </w:tcPr>
          <w:p w14:paraId="5E514D99" w14:textId="77777777" w:rsidR="00D60DA6" w:rsidRPr="00951AB1" w:rsidRDefault="00D60DA6" w:rsidP="000A5389">
            <w:pPr>
              <w:spacing w:line="240" w:lineRule="auto"/>
              <w:rPr>
                <w:rFonts w:eastAsia="Times New Roman" w:cs="Times New Roman"/>
                <w:color w:val="000000"/>
                <w:kern w:val="0"/>
                <w:sz w:val="20"/>
                <w:szCs w:val="20"/>
                <w:lang w:eastAsia="es-CO"/>
                <w14:ligatures w14:val="none"/>
              </w:rPr>
            </w:pPr>
            <w:r w:rsidRPr="00951AB1">
              <w:rPr>
                <w:rFonts w:eastAsia="Times New Roman" w:cs="Times New Roman"/>
                <w:color w:val="000000"/>
                <w:kern w:val="0"/>
                <w:sz w:val="20"/>
                <w:szCs w:val="20"/>
                <w:lang w:eastAsia="es-CO"/>
                <w14:ligatures w14:val="none"/>
              </w:rPr>
              <w:t>900667207</w:t>
            </w:r>
          </w:p>
        </w:tc>
        <w:tc>
          <w:tcPr>
            <w:tcW w:w="3511" w:type="pct"/>
            <w:noWrap/>
            <w:vAlign w:val="bottom"/>
            <w:hideMark/>
          </w:tcPr>
          <w:p w14:paraId="701AD10D" w14:textId="48EB656B" w:rsidR="00D60DA6" w:rsidRPr="00951AB1" w:rsidRDefault="00D60DA6" w:rsidP="000A5389">
            <w:pPr>
              <w:spacing w:line="240" w:lineRule="auto"/>
              <w:rPr>
                <w:rFonts w:eastAsia="Times New Roman" w:cs="Times New Roman"/>
                <w:color w:val="000000"/>
                <w:kern w:val="0"/>
                <w:sz w:val="20"/>
                <w:szCs w:val="20"/>
                <w:lang w:eastAsia="es-CO"/>
                <w14:ligatures w14:val="none"/>
              </w:rPr>
            </w:pPr>
            <w:r w:rsidRPr="00951AB1">
              <w:rPr>
                <w:rFonts w:eastAsia="Times New Roman" w:cs="Times New Roman"/>
                <w:color w:val="000000"/>
                <w:kern w:val="0"/>
                <w:sz w:val="20"/>
                <w:szCs w:val="20"/>
                <w:lang w:eastAsia="es-CO"/>
                <w14:ligatures w14:val="none"/>
              </w:rPr>
              <w:t>Propiedades E Inversiones Laussana S.A.S.</w:t>
            </w:r>
          </w:p>
        </w:tc>
        <w:tc>
          <w:tcPr>
            <w:tcW w:w="898" w:type="pct"/>
            <w:noWrap/>
            <w:vAlign w:val="bottom"/>
            <w:hideMark/>
          </w:tcPr>
          <w:p w14:paraId="4FD2E432" w14:textId="77777777" w:rsidR="00D60DA6" w:rsidRPr="00951AB1" w:rsidRDefault="00D60DA6" w:rsidP="000A5389">
            <w:pPr>
              <w:spacing w:line="240" w:lineRule="auto"/>
              <w:jc w:val="right"/>
              <w:rPr>
                <w:rFonts w:eastAsia="Times New Roman" w:cs="Times New Roman"/>
                <w:color w:val="000000"/>
                <w:kern w:val="0"/>
                <w:sz w:val="20"/>
                <w:szCs w:val="20"/>
                <w:lang w:eastAsia="es-CO"/>
                <w14:ligatures w14:val="none"/>
              </w:rPr>
            </w:pPr>
            <w:r w:rsidRPr="00951AB1">
              <w:rPr>
                <w:rFonts w:eastAsia="Times New Roman" w:cs="Times New Roman"/>
                <w:color w:val="000000"/>
                <w:kern w:val="0"/>
                <w:sz w:val="20"/>
                <w:szCs w:val="20"/>
                <w:lang w:eastAsia="es-CO"/>
                <w14:ligatures w14:val="none"/>
              </w:rPr>
              <w:t xml:space="preserve">                                 6 </w:t>
            </w:r>
          </w:p>
        </w:tc>
      </w:tr>
      <w:tr w:rsidR="00D60DA6" w:rsidRPr="00951AB1" w14:paraId="49856E4B" w14:textId="77777777" w:rsidTr="00794C0D">
        <w:trPr>
          <w:trHeight w:val="300"/>
        </w:trPr>
        <w:tc>
          <w:tcPr>
            <w:tcW w:w="4102" w:type="pct"/>
            <w:gridSpan w:val="2"/>
            <w:vAlign w:val="bottom"/>
            <w:hideMark/>
          </w:tcPr>
          <w:p w14:paraId="7238EAB9" w14:textId="77777777" w:rsidR="00D60DA6" w:rsidRPr="00951AB1" w:rsidRDefault="00D60DA6" w:rsidP="000A5389">
            <w:pPr>
              <w:spacing w:line="240" w:lineRule="auto"/>
              <w:jc w:val="center"/>
              <w:rPr>
                <w:rFonts w:eastAsia="Times New Roman" w:cs="Times New Roman"/>
                <w:b/>
                <w:bCs/>
                <w:color w:val="000000"/>
                <w:kern w:val="0"/>
                <w:sz w:val="20"/>
                <w:szCs w:val="20"/>
                <w:lang w:eastAsia="es-CO"/>
                <w14:ligatures w14:val="none"/>
              </w:rPr>
            </w:pPr>
            <w:r w:rsidRPr="00951AB1">
              <w:rPr>
                <w:rFonts w:eastAsia="Times New Roman" w:cs="Times New Roman"/>
                <w:b/>
                <w:bCs/>
                <w:color w:val="000000"/>
                <w:kern w:val="0"/>
                <w:sz w:val="20"/>
                <w:szCs w:val="20"/>
                <w:lang w:eastAsia="es-CO"/>
                <w14:ligatures w14:val="none"/>
              </w:rPr>
              <w:t>TOTAL</w:t>
            </w:r>
          </w:p>
        </w:tc>
        <w:tc>
          <w:tcPr>
            <w:tcW w:w="898" w:type="pct"/>
            <w:noWrap/>
            <w:vAlign w:val="bottom"/>
            <w:hideMark/>
          </w:tcPr>
          <w:p w14:paraId="0C919ECA" w14:textId="77777777" w:rsidR="00D60DA6" w:rsidRPr="00951AB1" w:rsidRDefault="00D60DA6" w:rsidP="000A5389">
            <w:pPr>
              <w:spacing w:line="240" w:lineRule="auto"/>
              <w:jc w:val="right"/>
              <w:rPr>
                <w:rFonts w:eastAsia="Times New Roman" w:cs="Times New Roman"/>
                <w:b/>
                <w:bCs/>
                <w:color w:val="000000"/>
                <w:kern w:val="0"/>
                <w:sz w:val="20"/>
                <w:szCs w:val="20"/>
                <w:lang w:eastAsia="es-CO"/>
                <w14:ligatures w14:val="none"/>
              </w:rPr>
            </w:pPr>
            <w:r w:rsidRPr="00951AB1">
              <w:rPr>
                <w:rFonts w:eastAsia="Times New Roman" w:cs="Times New Roman"/>
                <w:b/>
                <w:bCs/>
                <w:color w:val="000000"/>
                <w:kern w:val="0"/>
                <w:sz w:val="20"/>
                <w:szCs w:val="20"/>
                <w:lang w:eastAsia="es-CO"/>
                <w14:ligatures w14:val="none"/>
              </w:rPr>
              <w:t xml:space="preserve">     1.510.574.993.009 </w:t>
            </w:r>
          </w:p>
        </w:tc>
      </w:tr>
    </w:tbl>
    <w:p w14:paraId="1EE514F4" w14:textId="6BAC0447" w:rsidR="00D60DA6" w:rsidRPr="00951AB1" w:rsidRDefault="00D37464" w:rsidP="000A5389">
      <w:pPr>
        <w:spacing w:line="240" w:lineRule="auto"/>
        <w:rPr>
          <w:rFonts w:eastAsia="Times New Roman" w:cs="Times New Roman"/>
          <w:sz w:val="16"/>
          <w:szCs w:val="16"/>
          <w:lang w:val="es-ES"/>
        </w:rPr>
      </w:pPr>
      <w:r w:rsidRPr="00951AB1">
        <w:rPr>
          <w:rFonts w:eastAsia="Times New Roman" w:cs="Times New Roman"/>
          <w:sz w:val="16"/>
          <w:szCs w:val="16"/>
          <w:lang w:val="es-ES"/>
        </w:rPr>
        <w:t xml:space="preserve">Cifras expresadas en pesos </w:t>
      </w:r>
    </w:p>
    <w:p w14:paraId="7AFCA4F1" w14:textId="09B6AB2B" w:rsidR="00D37464" w:rsidRPr="00951AB1" w:rsidRDefault="00D37464" w:rsidP="000A5389">
      <w:pPr>
        <w:spacing w:line="240" w:lineRule="auto"/>
        <w:rPr>
          <w:rFonts w:eastAsia="Times New Roman" w:cs="Times New Roman"/>
          <w:szCs w:val="24"/>
          <w:lang w:val="es-ES"/>
        </w:rPr>
      </w:pPr>
    </w:p>
    <w:p w14:paraId="412131EE" w14:textId="5877E9AD" w:rsidR="00D60DA6" w:rsidRPr="00951AB1" w:rsidRDefault="00D60DA6" w:rsidP="000A5389">
      <w:pPr>
        <w:spacing w:line="240" w:lineRule="auto"/>
        <w:rPr>
          <w:rFonts w:eastAsia="Times New Roman" w:cs="Times New Roman"/>
          <w:szCs w:val="24"/>
          <w:lang w:val="es-ES"/>
        </w:rPr>
      </w:pPr>
      <w:r w:rsidRPr="00951AB1">
        <w:rPr>
          <w:rFonts w:eastAsia="Times New Roman" w:cs="Times New Roman"/>
          <w:bCs/>
          <w:i/>
          <w:iCs/>
          <w:szCs w:val="24"/>
          <w:lang w:val="es-ES"/>
        </w:rPr>
        <w:t>Provisiones diversas</w:t>
      </w:r>
    </w:p>
    <w:tbl>
      <w:tblPr>
        <w:tblW w:w="5000" w:type="pct"/>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CellMar>
          <w:left w:w="70" w:type="dxa"/>
          <w:right w:w="70" w:type="dxa"/>
        </w:tblCellMar>
        <w:tblLook w:val="04A0" w:firstRow="1" w:lastRow="0" w:firstColumn="1" w:lastColumn="0" w:noHBand="0" w:noVBand="1"/>
      </w:tblPr>
      <w:tblGrid>
        <w:gridCol w:w="1130"/>
        <w:gridCol w:w="5658"/>
        <w:gridCol w:w="2040"/>
      </w:tblGrid>
      <w:tr w:rsidR="00D60DA6" w:rsidRPr="00951AB1" w14:paraId="77502D66" w14:textId="77777777" w:rsidTr="0059341F">
        <w:trPr>
          <w:trHeight w:val="300"/>
          <w:tblHeader/>
        </w:trPr>
        <w:tc>
          <w:tcPr>
            <w:tcW w:w="3856" w:type="pct"/>
            <w:gridSpan w:val="2"/>
            <w:vAlign w:val="center"/>
            <w:hideMark/>
          </w:tcPr>
          <w:p w14:paraId="1EA07FAB" w14:textId="77777777" w:rsidR="00D60DA6" w:rsidRPr="00951AB1" w:rsidRDefault="00D60DA6" w:rsidP="000A5389">
            <w:pPr>
              <w:spacing w:line="240" w:lineRule="auto"/>
              <w:jc w:val="center"/>
              <w:rPr>
                <w:rFonts w:eastAsia="Times New Roman" w:cs="Times New Roman"/>
                <w:b/>
                <w:bCs/>
                <w:color w:val="000000"/>
                <w:kern w:val="0"/>
                <w:sz w:val="20"/>
                <w:szCs w:val="20"/>
                <w:lang w:eastAsia="es-CO"/>
                <w14:ligatures w14:val="none"/>
              </w:rPr>
            </w:pPr>
            <w:r w:rsidRPr="00951AB1">
              <w:rPr>
                <w:rFonts w:eastAsia="Times New Roman" w:cs="Times New Roman"/>
                <w:b/>
                <w:bCs/>
                <w:color w:val="000000"/>
                <w:kern w:val="0"/>
                <w:sz w:val="20"/>
                <w:szCs w:val="20"/>
                <w:lang w:eastAsia="es-CO"/>
                <w14:ligatures w14:val="none"/>
              </w:rPr>
              <w:t>TERCERO</w:t>
            </w:r>
          </w:p>
        </w:tc>
        <w:tc>
          <w:tcPr>
            <w:tcW w:w="1144" w:type="pct"/>
            <w:vAlign w:val="center"/>
            <w:hideMark/>
          </w:tcPr>
          <w:p w14:paraId="0E4E9253" w14:textId="77777777" w:rsidR="00D60DA6" w:rsidRPr="00951AB1" w:rsidRDefault="00D60DA6" w:rsidP="000A5389">
            <w:pPr>
              <w:spacing w:line="240" w:lineRule="auto"/>
              <w:jc w:val="center"/>
              <w:rPr>
                <w:rFonts w:eastAsia="Times New Roman" w:cs="Times New Roman"/>
                <w:b/>
                <w:bCs/>
                <w:color w:val="000000"/>
                <w:kern w:val="0"/>
                <w:sz w:val="20"/>
                <w:szCs w:val="20"/>
                <w:lang w:eastAsia="es-CO"/>
                <w14:ligatures w14:val="none"/>
              </w:rPr>
            </w:pPr>
            <w:r w:rsidRPr="00951AB1">
              <w:rPr>
                <w:rFonts w:eastAsia="Times New Roman" w:cs="Times New Roman"/>
                <w:b/>
                <w:bCs/>
                <w:color w:val="000000"/>
                <w:kern w:val="0"/>
                <w:sz w:val="20"/>
                <w:szCs w:val="20"/>
                <w:lang w:eastAsia="es-CO"/>
                <w14:ligatures w14:val="none"/>
              </w:rPr>
              <w:t xml:space="preserve"> SALDO 2025 </w:t>
            </w:r>
          </w:p>
        </w:tc>
      </w:tr>
      <w:tr w:rsidR="00D60DA6" w:rsidRPr="00951AB1" w14:paraId="422939EC" w14:textId="77777777" w:rsidTr="00794C0D">
        <w:trPr>
          <w:trHeight w:val="300"/>
        </w:trPr>
        <w:tc>
          <w:tcPr>
            <w:tcW w:w="646" w:type="pct"/>
            <w:noWrap/>
            <w:vAlign w:val="bottom"/>
            <w:hideMark/>
          </w:tcPr>
          <w:p w14:paraId="59EAAB8C" w14:textId="77777777" w:rsidR="00D60DA6" w:rsidRPr="00951AB1" w:rsidRDefault="00D60DA6" w:rsidP="000A5389">
            <w:pPr>
              <w:spacing w:line="240" w:lineRule="auto"/>
              <w:rPr>
                <w:rFonts w:eastAsia="Times New Roman" w:cs="Times New Roman"/>
                <w:color w:val="000000"/>
                <w:kern w:val="0"/>
                <w:sz w:val="20"/>
                <w:szCs w:val="20"/>
                <w:lang w:eastAsia="es-CO"/>
                <w14:ligatures w14:val="none"/>
              </w:rPr>
            </w:pPr>
            <w:r w:rsidRPr="00951AB1">
              <w:rPr>
                <w:rFonts w:eastAsia="Times New Roman" w:cs="Times New Roman"/>
                <w:color w:val="000000"/>
                <w:kern w:val="0"/>
                <w:sz w:val="20"/>
                <w:szCs w:val="20"/>
                <w:lang w:eastAsia="es-CO"/>
                <w14:ligatures w14:val="none"/>
              </w:rPr>
              <w:t>800235278</w:t>
            </w:r>
          </w:p>
        </w:tc>
        <w:tc>
          <w:tcPr>
            <w:tcW w:w="3210" w:type="pct"/>
            <w:noWrap/>
            <w:vAlign w:val="bottom"/>
            <w:hideMark/>
          </w:tcPr>
          <w:p w14:paraId="1AC3FFB1" w14:textId="6F60355D" w:rsidR="00D60DA6" w:rsidRPr="00951AB1" w:rsidRDefault="00051F0B" w:rsidP="000A5389">
            <w:pPr>
              <w:spacing w:line="240" w:lineRule="auto"/>
              <w:rPr>
                <w:rFonts w:eastAsia="Times New Roman" w:cs="Times New Roman"/>
                <w:color w:val="000000"/>
                <w:kern w:val="0"/>
                <w:sz w:val="20"/>
                <w:szCs w:val="20"/>
                <w:lang w:eastAsia="es-CO"/>
                <w14:ligatures w14:val="none"/>
              </w:rPr>
            </w:pPr>
            <w:r w:rsidRPr="00951AB1">
              <w:rPr>
                <w:rFonts w:eastAsia="Times New Roman" w:cs="Times New Roman"/>
                <w:color w:val="000000"/>
                <w:kern w:val="0"/>
                <w:sz w:val="20"/>
                <w:szCs w:val="20"/>
                <w:lang w:eastAsia="es-CO"/>
                <w14:ligatures w14:val="none"/>
              </w:rPr>
              <w:t>Concesión</w:t>
            </w:r>
            <w:r w:rsidR="00BA645E" w:rsidRPr="00951AB1">
              <w:rPr>
                <w:rFonts w:eastAsia="Times New Roman" w:cs="Times New Roman"/>
                <w:color w:val="000000"/>
                <w:kern w:val="0"/>
                <w:sz w:val="20"/>
                <w:szCs w:val="20"/>
                <w:lang w:eastAsia="es-CO"/>
                <w14:ligatures w14:val="none"/>
              </w:rPr>
              <w:t xml:space="preserve"> Santa Marta Paraguachon S.A.</w:t>
            </w:r>
          </w:p>
        </w:tc>
        <w:tc>
          <w:tcPr>
            <w:tcW w:w="1144" w:type="pct"/>
            <w:noWrap/>
            <w:vAlign w:val="bottom"/>
            <w:hideMark/>
          </w:tcPr>
          <w:p w14:paraId="6C34D701" w14:textId="77777777" w:rsidR="00D60DA6" w:rsidRPr="00951AB1" w:rsidRDefault="00D60DA6" w:rsidP="000A5389">
            <w:pPr>
              <w:spacing w:line="240" w:lineRule="auto"/>
              <w:jc w:val="right"/>
              <w:rPr>
                <w:rFonts w:eastAsia="Times New Roman" w:cs="Times New Roman"/>
                <w:color w:val="000000"/>
                <w:kern w:val="0"/>
                <w:sz w:val="20"/>
                <w:szCs w:val="20"/>
                <w:lang w:eastAsia="es-CO"/>
                <w14:ligatures w14:val="none"/>
              </w:rPr>
            </w:pPr>
            <w:r w:rsidRPr="00951AB1">
              <w:rPr>
                <w:rFonts w:eastAsia="Times New Roman" w:cs="Times New Roman"/>
                <w:color w:val="000000"/>
                <w:kern w:val="0"/>
                <w:sz w:val="20"/>
                <w:szCs w:val="20"/>
                <w:lang w:eastAsia="es-CO"/>
                <w14:ligatures w14:val="none"/>
              </w:rPr>
              <w:t xml:space="preserve">           121.701.404.084 </w:t>
            </w:r>
          </w:p>
        </w:tc>
      </w:tr>
      <w:tr w:rsidR="00D60DA6" w:rsidRPr="00951AB1" w14:paraId="2F3AADA5" w14:textId="77777777" w:rsidTr="00794C0D">
        <w:trPr>
          <w:trHeight w:val="300"/>
        </w:trPr>
        <w:tc>
          <w:tcPr>
            <w:tcW w:w="646" w:type="pct"/>
            <w:noWrap/>
            <w:vAlign w:val="bottom"/>
          </w:tcPr>
          <w:p w14:paraId="429FF69D" w14:textId="77777777" w:rsidR="00D60DA6" w:rsidRPr="00951AB1" w:rsidRDefault="00D60DA6" w:rsidP="000A5389">
            <w:pPr>
              <w:spacing w:line="240" w:lineRule="auto"/>
              <w:rPr>
                <w:rFonts w:eastAsia="Times New Roman" w:cs="Times New Roman"/>
                <w:color w:val="000000"/>
                <w:kern w:val="0"/>
                <w:sz w:val="20"/>
                <w:szCs w:val="20"/>
                <w:lang w:eastAsia="es-CO"/>
                <w14:ligatures w14:val="none"/>
              </w:rPr>
            </w:pPr>
            <w:r w:rsidRPr="00951AB1">
              <w:rPr>
                <w:rFonts w:eastAsia="Times New Roman" w:cs="Times New Roman"/>
                <w:color w:val="000000"/>
                <w:kern w:val="0"/>
                <w:sz w:val="20"/>
                <w:szCs w:val="20"/>
                <w:lang w:eastAsia="es-CO"/>
                <w14:ligatures w14:val="none"/>
              </w:rPr>
              <w:t>900871368</w:t>
            </w:r>
          </w:p>
        </w:tc>
        <w:tc>
          <w:tcPr>
            <w:tcW w:w="3210" w:type="pct"/>
            <w:noWrap/>
            <w:vAlign w:val="bottom"/>
          </w:tcPr>
          <w:p w14:paraId="0DC4C3BF" w14:textId="5C3D62FA" w:rsidR="00D60DA6" w:rsidRPr="00951AB1" w:rsidRDefault="00BA645E" w:rsidP="000A5389">
            <w:pPr>
              <w:spacing w:line="240" w:lineRule="auto"/>
              <w:rPr>
                <w:rFonts w:eastAsia="Times New Roman" w:cs="Times New Roman"/>
                <w:color w:val="000000"/>
                <w:kern w:val="0"/>
                <w:sz w:val="20"/>
                <w:szCs w:val="20"/>
                <w:lang w:eastAsia="es-CO"/>
                <w14:ligatures w14:val="none"/>
              </w:rPr>
            </w:pPr>
            <w:r w:rsidRPr="00951AB1">
              <w:rPr>
                <w:rFonts w:eastAsia="Times New Roman" w:cs="Times New Roman"/>
                <w:color w:val="000000"/>
                <w:kern w:val="0"/>
                <w:sz w:val="20"/>
                <w:szCs w:val="20"/>
                <w:lang w:eastAsia="es-CO"/>
                <w14:ligatures w14:val="none"/>
              </w:rPr>
              <w:t xml:space="preserve">Concesionaria Ruta </w:t>
            </w:r>
            <w:r w:rsidR="00D37464" w:rsidRPr="00951AB1">
              <w:rPr>
                <w:rFonts w:eastAsia="Times New Roman" w:cs="Times New Roman"/>
                <w:color w:val="000000"/>
                <w:kern w:val="0"/>
                <w:sz w:val="20"/>
                <w:szCs w:val="20"/>
                <w:lang w:eastAsia="es-CO"/>
                <w14:ligatures w14:val="none"/>
              </w:rPr>
              <w:t>d</w:t>
            </w:r>
            <w:r w:rsidRPr="00951AB1">
              <w:rPr>
                <w:rFonts w:eastAsia="Times New Roman" w:cs="Times New Roman"/>
                <w:color w:val="000000"/>
                <w:kern w:val="0"/>
                <w:sz w:val="20"/>
                <w:szCs w:val="20"/>
                <w:lang w:eastAsia="es-CO"/>
                <w14:ligatures w14:val="none"/>
              </w:rPr>
              <w:t>el Cacao S.A.S.</w:t>
            </w:r>
          </w:p>
        </w:tc>
        <w:tc>
          <w:tcPr>
            <w:tcW w:w="1144" w:type="pct"/>
            <w:noWrap/>
            <w:vAlign w:val="bottom"/>
          </w:tcPr>
          <w:p w14:paraId="509640A4" w14:textId="77777777" w:rsidR="00D60DA6" w:rsidRPr="00951AB1" w:rsidRDefault="00D60DA6" w:rsidP="000A5389">
            <w:pPr>
              <w:spacing w:line="240" w:lineRule="auto"/>
              <w:jc w:val="right"/>
              <w:rPr>
                <w:rFonts w:eastAsia="Times New Roman" w:cs="Times New Roman"/>
                <w:color w:val="000000"/>
                <w:kern w:val="0"/>
                <w:sz w:val="20"/>
                <w:szCs w:val="20"/>
                <w:lang w:eastAsia="es-CO"/>
                <w14:ligatures w14:val="none"/>
              </w:rPr>
            </w:pPr>
            <w:r w:rsidRPr="00951AB1">
              <w:rPr>
                <w:rFonts w:eastAsia="Times New Roman" w:cs="Times New Roman"/>
                <w:color w:val="000000"/>
                <w:kern w:val="0"/>
                <w:sz w:val="20"/>
                <w:szCs w:val="20"/>
                <w:lang w:eastAsia="es-CO"/>
                <w14:ligatures w14:val="none"/>
              </w:rPr>
              <w:t xml:space="preserve">             46.730.528.083 </w:t>
            </w:r>
          </w:p>
        </w:tc>
      </w:tr>
      <w:tr w:rsidR="00D60DA6" w:rsidRPr="00951AB1" w14:paraId="49C47629" w14:textId="77777777" w:rsidTr="00794C0D">
        <w:trPr>
          <w:trHeight w:val="300"/>
        </w:trPr>
        <w:tc>
          <w:tcPr>
            <w:tcW w:w="646" w:type="pct"/>
            <w:noWrap/>
            <w:vAlign w:val="bottom"/>
            <w:hideMark/>
          </w:tcPr>
          <w:p w14:paraId="79245327" w14:textId="77777777" w:rsidR="00D60DA6" w:rsidRPr="00951AB1" w:rsidRDefault="00D60DA6" w:rsidP="000A5389">
            <w:pPr>
              <w:spacing w:line="240" w:lineRule="auto"/>
              <w:rPr>
                <w:rFonts w:eastAsia="Times New Roman" w:cs="Times New Roman"/>
                <w:color w:val="000000"/>
                <w:kern w:val="0"/>
                <w:sz w:val="20"/>
                <w:szCs w:val="20"/>
                <w:lang w:eastAsia="es-CO"/>
                <w14:ligatures w14:val="none"/>
              </w:rPr>
            </w:pPr>
            <w:r w:rsidRPr="00951AB1">
              <w:rPr>
                <w:rFonts w:eastAsia="Times New Roman" w:cs="Times New Roman"/>
                <w:color w:val="000000"/>
                <w:kern w:val="0"/>
                <w:sz w:val="20"/>
                <w:szCs w:val="20"/>
                <w:lang w:eastAsia="es-CO"/>
                <w14:ligatures w14:val="none"/>
              </w:rPr>
              <w:t>900869678</w:t>
            </w:r>
          </w:p>
        </w:tc>
        <w:tc>
          <w:tcPr>
            <w:tcW w:w="3210" w:type="pct"/>
            <w:noWrap/>
            <w:vAlign w:val="bottom"/>
            <w:hideMark/>
          </w:tcPr>
          <w:p w14:paraId="0196F290" w14:textId="7A071DA7" w:rsidR="00D60DA6" w:rsidRPr="00951AB1" w:rsidRDefault="00BA645E" w:rsidP="000A5389">
            <w:pPr>
              <w:spacing w:line="240" w:lineRule="auto"/>
              <w:rPr>
                <w:rFonts w:eastAsia="Times New Roman" w:cs="Times New Roman"/>
                <w:color w:val="000000"/>
                <w:kern w:val="0"/>
                <w:sz w:val="20"/>
                <w:szCs w:val="20"/>
                <w:lang w:eastAsia="es-CO"/>
                <w14:ligatures w14:val="none"/>
              </w:rPr>
            </w:pPr>
            <w:r w:rsidRPr="00951AB1">
              <w:rPr>
                <w:rFonts w:eastAsia="Times New Roman" w:cs="Times New Roman"/>
                <w:color w:val="000000"/>
                <w:kern w:val="0"/>
                <w:sz w:val="20"/>
                <w:szCs w:val="20"/>
                <w:lang w:eastAsia="es-CO"/>
                <w14:ligatures w14:val="none"/>
              </w:rPr>
              <w:t xml:space="preserve">Desarrollo Vial </w:t>
            </w:r>
            <w:r w:rsidR="00D37464" w:rsidRPr="00951AB1">
              <w:rPr>
                <w:rFonts w:eastAsia="Times New Roman" w:cs="Times New Roman"/>
                <w:color w:val="000000"/>
                <w:kern w:val="0"/>
                <w:sz w:val="20"/>
                <w:szCs w:val="20"/>
                <w:lang w:eastAsia="es-CO"/>
                <w14:ligatures w14:val="none"/>
              </w:rPr>
              <w:t>a</w:t>
            </w:r>
            <w:r w:rsidRPr="00951AB1">
              <w:rPr>
                <w:rFonts w:eastAsia="Times New Roman" w:cs="Times New Roman"/>
                <w:color w:val="000000"/>
                <w:kern w:val="0"/>
                <w:sz w:val="20"/>
                <w:szCs w:val="20"/>
                <w:lang w:eastAsia="es-CO"/>
                <w14:ligatures w14:val="none"/>
              </w:rPr>
              <w:t>l Mar   S.A.S</w:t>
            </w:r>
          </w:p>
        </w:tc>
        <w:tc>
          <w:tcPr>
            <w:tcW w:w="1144" w:type="pct"/>
            <w:noWrap/>
            <w:vAlign w:val="bottom"/>
            <w:hideMark/>
          </w:tcPr>
          <w:p w14:paraId="16E4274D" w14:textId="77777777" w:rsidR="00D60DA6" w:rsidRPr="00951AB1" w:rsidRDefault="00D60DA6" w:rsidP="000A5389">
            <w:pPr>
              <w:spacing w:line="240" w:lineRule="auto"/>
              <w:jc w:val="right"/>
              <w:rPr>
                <w:rFonts w:eastAsia="Times New Roman" w:cs="Times New Roman"/>
                <w:color w:val="000000"/>
                <w:kern w:val="0"/>
                <w:sz w:val="20"/>
                <w:szCs w:val="20"/>
                <w:lang w:eastAsia="es-CO"/>
                <w14:ligatures w14:val="none"/>
              </w:rPr>
            </w:pPr>
            <w:r w:rsidRPr="00951AB1">
              <w:rPr>
                <w:rFonts w:eastAsia="Times New Roman" w:cs="Times New Roman"/>
                <w:color w:val="000000"/>
                <w:kern w:val="0"/>
                <w:sz w:val="20"/>
                <w:szCs w:val="20"/>
                <w:lang w:eastAsia="es-CO"/>
                <w14:ligatures w14:val="none"/>
              </w:rPr>
              <w:t xml:space="preserve">               1.217.268.848 </w:t>
            </w:r>
          </w:p>
        </w:tc>
      </w:tr>
      <w:tr w:rsidR="00D60DA6" w:rsidRPr="00951AB1" w14:paraId="2E2D611B" w14:textId="77777777" w:rsidTr="00794C0D">
        <w:trPr>
          <w:trHeight w:val="300"/>
        </w:trPr>
        <w:tc>
          <w:tcPr>
            <w:tcW w:w="3856" w:type="pct"/>
            <w:gridSpan w:val="2"/>
            <w:vAlign w:val="bottom"/>
            <w:hideMark/>
          </w:tcPr>
          <w:p w14:paraId="10F5E94A" w14:textId="77777777" w:rsidR="00D60DA6" w:rsidRPr="00951AB1" w:rsidRDefault="00D60DA6" w:rsidP="000A5389">
            <w:pPr>
              <w:spacing w:line="240" w:lineRule="auto"/>
              <w:jc w:val="center"/>
              <w:rPr>
                <w:rFonts w:eastAsia="Times New Roman" w:cs="Times New Roman"/>
                <w:b/>
                <w:bCs/>
                <w:color w:val="000000"/>
                <w:kern w:val="0"/>
                <w:sz w:val="20"/>
                <w:szCs w:val="20"/>
                <w:lang w:eastAsia="es-CO"/>
                <w14:ligatures w14:val="none"/>
              </w:rPr>
            </w:pPr>
            <w:r w:rsidRPr="00951AB1">
              <w:rPr>
                <w:rFonts w:eastAsia="Times New Roman" w:cs="Times New Roman"/>
                <w:b/>
                <w:bCs/>
                <w:color w:val="000000"/>
                <w:kern w:val="0"/>
                <w:sz w:val="20"/>
                <w:szCs w:val="20"/>
                <w:lang w:eastAsia="es-CO"/>
                <w14:ligatures w14:val="none"/>
              </w:rPr>
              <w:t>TOTAL</w:t>
            </w:r>
          </w:p>
        </w:tc>
        <w:tc>
          <w:tcPr>
            <w:tcW w:w="1144" w:type="pct"/>
            <w:noWrap/>
            <w:vAlign w:val="bottom"/>
            <w:hideMark/>
          </w:tcPr>
          <w:p w14:paraId="45036458" w14:textId="77777777" w:rsidR="00D60DA6" w:rsidRPr="00951AB1" w:rsidRDefault="00D60DA6" w:rsidP="000A5389">
            <w:pPr>
              <w:spacing w:line="240" w:lineRule="auto"/>
              <w:jc w:val="right"/>
              <w:rPr>
                <w:rFonts w:eastAsia="Times New Roman" w:cs="Times New Roman"/>
                <w:b/>
                <w:bCs/>
                <w:color w:val="000000"/>
                <w:kern w:val="0"/>
                <w:sz w:val="20"/>
                <w:szCs w:val="20"/>
                <w:lang w:eastAsia="es-CO"/>
                <w14:ligatures w14:val="none"/>
              </w:rPr>
            </w:pPr>
            <w:r w:rsidRPr="00951AB1">
              <w:rPr>
                <w:rFonts w:eastAsia="Times New Roman" w:cs="Times New Roman"/>
                <w:b/>
                <w:bCs/>
                <w:color w:val="000000"/>
                <w:kern w:val="0"/>
                <w:sz w:val="20"/>
                <w:szCs w:val="20"/>
                <w:lang w:eastAsia="es-CO"/>
                <w14:ligatures w14:val="none"/>
              </w:rPr>
              <w:t xml:space="preserve">           169.649.201.015 </w:t>
            </w:r>
          </w:p>
        </w:tc>
      </w:tr>
    </w:tbl>
    <w:p w14:paraId="75D0CF7C" w14:textId="061D0061" w:rsidR="00D37464" w:rsidRPr="00951AB1" w:rsidRDefault="00D37464" w:rsidP="000A5389">
      <w:pPr>
        <w:spacing w:line="240" w:lineRule="auto"/>
        <w:rPr>
          <w:rFonts w:eastAsia="Times New Roman" w:cs="Times New Roman"/>
          <w:sz w:val="16"/>
          <w:szCs w:val="16"/>
          <w:lang w:val="es-ES"/>
        </w:rPr>
      </w:pPr>
      <w:r w:rsidRPr="00951AB1">
        <w:rPr>
          <w:rFonts w:eastAsia="Times New Roman" w:cs="Times New Roman"/>
          <w:sz w:val="16"/>
          <w:szCs w:val="16"/>
          <w:lang w:val="es-ES"/>
        </w:rPr>
        <w:t xml:space="preserve">Cifras expresadas en pesos </w:t>
      </w:r>
    </w:p>
    <w:p w14:paraId="12403A98" w14:textId="77777777" w:rsidR="00D60DA6" w:rsidRPr="00951AB1" w:rsidRDefault="00D60DA6" w:rsidP="000A5389">
      <w:pPr>
        <w:spacing w:line="240" w:lineRule="auto"/>
        <w:ind w:right="-20"/>
        <w:rPr>
          <w:rFonts w:eastAsia="Times New Roman" w:cs="Times New Roman"/>
          <w:szCs w:val="24"/>
          <w:lang w:val="es"/>
        </w:rPr>
      </w:pPr>
      <w:r w:rsidRPr="00951AB1">
        <w:rPr>
          <w:rFonts w:eastAsia="Times New Roman" w:cs="Times New Roman"/>
          <w:szCs w:val="24"/>
          <w:lang w:val="es"/>
        </w:rPr>
        <w:t xml:space="preserve">Se registraron los menores valores de la provisión contable reportada por el Grupo Interno de Trabajo de Defensa Judicial de la Vicepresidencia Jurídica de los procesos judiciales y trámites arbitrales en contra de la entidad con calificación de riesgo “Alto”, y que fueron registrados en periodos contables anteriores. </w:t>
      </w:r>
    </w:p>
    <w:p w14:paraId="32B81526" w14:textId="77777777" w:rsidR="00783898" w:rsidRPr="00951AB1" w:rsidRDefault="00783898" w:rsidP="000A5389">
      <w:pPr>
        <w:spacing w:line="240" w:lineRule="auto"/>
        <w:rPr>
          <w:rFonts w:eastAsia="Times New Roman" w:cs="Times New Roman"/>
          <w:b/>
          <w:color w:val="1F3864" w:themeColor="accent1" w:themeShade="80"/>
          <w:szCs w:val="24"/>
          <w:lang w:val="es-ES"/>
        </w:rPr>
      </w:pPr>
    </w:p>
    <w:p w14:paraId="6809D136" w14:textId="6CAFD298" w:rsidR="000125DA" w:rsidRPr="00951AB1" w:rsidRDefault="000125DA" w:rsidP="000A5389">
      <w:pPr>
        <w:spacing w:line="240" w:lineRule="auto"/>
        <w:rPr>
          <w:rFonts w:eastAsia="Times New Roman" w:cs="Times New Roman"/>
          <w:b/>
          <w:color w:val="1F3864" w:themeColor="accent1" w:themeShade="80"/>
          <w:szCs w:val="24"/>
          <w:lang w:val="es-ES"/>
        </w:rPr>
      </w:pPr>
      <w:r w:rsidRPr="00951AB1">
        <w:rPr>
          <w:rFonts w:eastAsia="Times New Roman" w:cs="Times New Roman"/>
          <w:b/>
          <w:color w:val="1F3864" w:themeColor="accent1" w:themeShade="80"/>
          <w:szCs w:val="24"/>
          <w:lang w:val="es-ES"/>
        </w:rPr>
        <w:t xml:space="preserve">Composición Financieros </w:t>
      </w:r>
    </w:p>
    <w:p w14:paraId="761C7732" w14:textId="5BABE653" w:rsidR="000125DA" w:rsidRPr="00951AB1" w:rsidRDefault="000125DA" w:rsidP="000A5389">
      <w:pPr>
        <w:spacing w:line="240" w:lineRule="auto"/>
        <w:rPr>
          <w:rFonts w:eastAsia="Times New Roman" w:cs="Times New Roman"/>
          <w:b/>
          <w:color w:val="1F3864" w:themeColor="accent1" w:themeShade="80"/>
          <w:szCs w:val="24"/>
          <w:lang w:val="es-ES"/>
        </w:rPr>
      </w:pPr>
    </w:p>
    <w:tbl>
      <w:tblPr>
        <w:tblStyle w:val="cuadrcula-11"/>
        <w:tblW w:w="5000" w:type="pct"/>
        <w:tblLook w:val="04A0" w:firstRow="1" w:lastRow="0" w:firstColumn="1" w:lastColumn="0" w:noHBand="0" w:noVBand="1"/>
      </w:tblPr>
      <w:tblGrid>
        <w:gridCol w:w="6655"/>
        <w:gridCol w:w="2173"/>
      </w:tblGrid>
      <w:tr w:rsidR="000125DA" w:rsidRPr="002D6214" w14:paraId="7B67B304" w14:textId="77777777" w:rsidTr="000663B1">
        <w:trPr>
          <w:tblHeader/>
        </w:trPr>
        <w:tc>
          <w:tcPr>
            <w:tcW w:w="3769" w:type="pct"/>
            <w:vAlign w:val="center"/>
            <w:hideMark/>
          </w:tcPr>
          <w:p w14:paraId="3D15A3B6" w14:textId="77777777" w:rsidR="000125DA" w:rsidRPr="002D6214" w:rsidRDefault="000125DA" w:rsidP="000A5389">
            <w:pPr>
              <w:spacing w:line="240" w:lineRule="auto"/>
              <w:jc w:val="center"/>
              <w:rPr>
                <w:rFonts w:eastAsia="Times New Roman"/>
                <w:b/>
                <w:bCs/>
                <w:sz w:val="18"/>
                <w:szCs w:val="18"/>
              </w:rPr>
            </w:pPr>
            <w:r w:rsidRPr="002D6214">
              <w:rPr>
                <w:rFonts w:eastAsia="Times New Roman"/>
                <w:b/>
                <w:bCs/>
                <w:sz w:val="18"/>
                <w:szCs w:val="18"/>
              </w:rPr>
              <w:t>Concepto</w:t>
            </w:r>
          </w:p>
        </w:tc>
        <w:tc>
          <w:tcPr>
            <w:tcW w:w="1231" w:type="pct"/>
            <w:vAlign w:val="center"/>
            <w:hideMark/>
          </w:tcPr>
          <w:p w14:paraId="02366259" w14:textId="77777777" w:rsidR="000125DA" w:rsidRPr="002D6214" w:rsidRDefault="000125DA" w:rsidP="000A5389">
            <w:pPr>
              <w:spacing w:line="240" w:lineRule="auto"/>
              <w:jc w:val="center"/>
              <w:rPr>
                <w:rFonts w:eastAsia="Times New Roman"/>
                <w:b/>
                <w:bCs/>
                <w:sz w:val="18"/>
                <w:szCs w:val="18"/>
              </w:rPr>
            </w:pPr>
            <w:r w:rsidRPr="002D6214">
              <w:rPr>
                <w:rFonts w:eastAsia="Times New Roman"/>
                <w:b/>
                <w:bCs/>
                <w:sz w:val="18"/>
                <w:szCs w:val="18"/>
              </w:rPr>
              <w:t>Valor 2025</w:t>
            </w:r>
          </w:p>
        </w:tc>
      </w:tr>
      <w:tr w:rsidR="000125DA" w:rsidRPr="002D6214" w14:paraId="0FC0381B" w14:textId="77777777" w:rsidTr="000663B1">
        <w:tc>
          <w:tcPr>
            <w:tcW w:w="3769" w:type="pct"/>
            <w:vAlign w:val="center"/>
            <w:hideMark/>
          </w:tcPr>
          <w:p w14:paraId="544B939F" w14:textId="77777777" w:rsidR="000125DA" w:rsidRPr="002D6214" w:rsidRDefault="000125DA" w:rsidP="000A5389">
            <w:pPr>
              <w:spacing w:line="240" w:lineRule="auto"/>
              <w:rPr>
                <w:rFonts w:eastAsia="Times New Roman"/>
                <w:sz w:val="18"/>
                <w:szCs w:val="18"/>
              </w:rPr>
            </w:pPr>
            <w:r w:rsidRPr="002D6214">
              <w:rPr>
                <w:rFonts w:eastAsia="Times New Roman"/>
                <w:sz w:val="18"/>
                <w:szCs w:val="18"/>
              </w:rPr>
              <w:t>Recursos de la entidad concedente en patrimonios autónomos constituidos por los concesionarios</w:t>
            </w:r>
          </w:p>
        </w:tc>
        <w:tc>
          <w:tcPr>
            <w:tcW w:w="1231" w:type="pct"/>
            <w:vAlign w:val="center"/>
            <w:hideMark/>
          </w:tcPr>
          <w:p w14:paraId="726B0C35" w14:textId="34E60480" w:rsidR="000125DA" w:rsidRPr="002D6214" w:rsidRDefault="000125DA" w:rsidP="000A5389">
            <w:pPr>
              <w:spacing w:line="240" w:lineRule="auto"/>
              <w:jc w:val="right"/>
              <w:rPr>
                <w:rFonts w:eastAsia="Times New Roman"/>
                <w:sz w:val="18"/>
                <w:szCs w:val="18"/>
              </w:rPr>
            </w:pPr>
            <w:r w:rsidRPr="002D6214">
              <w:rPr>
                <w:rFonts w:eastAsia="Times New Roman"/>
                <w:sz w:val="18"/>
                <w:szCs w:val="18"/>
              </w:rPr>
              <w:t>666.681.018.960</w:t>
            </w:r>
          </w:p>
        </w:tc>
      </w:tr>
      <w:tr w:rsidR="000125DA" w:rsidRPr="002D6214" w14:paraId="6578B0E0" w14:textId="77777777" w:rsidTr="000663B1">
        <w:tc>
          <w:tcPr>
            <w:tcW w:w="3769" w:type="pct"/>
            <w:vAlign w:val="center"/>
            <w:hideMark/>
          </w:tcPr>
          <w:p w14:paraId="5C35182F" w14:textId="77777777" w:rsidR="000125DA" w:rsidRPr="002D6214" w:rsidRDefault="000125DA" w:rsidP="000A5389">
            <w:pPr>
              <w:spacing w:line="240" w:lineRule="auto"/>
              <w:rPr>
                <w:rFonts w:eastAsia="Times New Roman"/>
                <w:sz w:val="18"/>
                <w:szCs w:val="18"/>
              </w:rPr>
            </w:pPr>
            <w:r w:rsidRPr="002D6214">
              <w:rPr>
                <w:rFonts w:eastAsia="Times New Roman"/>
                <w:sz w:val="18"/>
                <w:szCs w:val="18"/>
              </w:rPr>
              <w:t>Rendimientos sobre recursos entregados en administración</w:t>
            </w:r>
          </w:p>
        </w:tc>
        <w:tc>
          <w:tcPr>
            <w:tcW w:w="1231" w:type="pct"/>
            <w:vAlign w:val="center"/>
            <w:hideMark/>
          </w:tcPr>
          <w:p w14:paraId="7BED9BA3" w14:textId="05F6F32A" w:rsidR="000125DA" w:rsidRPr="002D6214" w:rsidRDefault="000125DA" w:rsidP="000A5389">
            <w:pPr>
              <w:spacing w:line="240" w:lineRule="auto"/>
              <w:jc w:val="right"/>
              <w:rPr>
                <w:rFonts w:eastAsia="Times New Roman"/>
                <w:sz w:val="18"/>
                <w:szCs w:val="18"/>
              </w:rPr>
            </w:pPr>
            <w:r w:rsidRPr="002D6214">
              <w:rPr>
                <w:rFonts w:eastAsia="Times New Roman"/>
                <w:sz w:val="18"/>
                <w:szCs w:val="18"/>
              </w:rPr>
              <w:t>595.875.924.196</w:t>
            </w:r>
          </w:p>
        </w:tc>
      </w:tr>
      <w:tr w:rsidR="000125DA" w:rsidRPr="002D6214" w14:paraId="674BAC5A" w14:textId="77777777" w:rsidTr="000663B1">
        <w:tc>
          <w:tcPr>
            <w:tcW w:w="3769" w:type="pct"/>
            <w:vAlign w:val="center"/>
            <w:hideMark/>
          </w:tcPr>
          <w:p w14:paraId="62267A88" w14:textId="77777777" w:rsidR="000125DA" w:rsidRPr="002D6214" w:rsidRDefault="000125DA" w:rsidP="000A5389">
            <w:pPr>
              <w:spacing w:line="240" w:lineRule="auto"/>
              <w:rPr>
                <w:rFonts w:eastAsia="Times New Roman"/>
                <w:sz w:val="18"/>
                <w:szCs w:val="18"/>
              </w:rPr>
            </w:pPr>
            <w:r w:rsidRPr="002D6214">
              <w:rPr>
                <w:rFonts w:eastAsia="Times New Roman"/>
                <w:sz w:val="18"/>
                <w:szCs w:val="18"/>
              </w:rPr>
              <w:t>Créditos judiciales</w:t>
            </w:r>
          </w:p>
        </w:tc>
        <w:tc>
          <w:tcPr>
            <w:tcW w:w="1231" w:type="pct"/>
            <w:vAlign w:val="center"/>
            <w:hideMark/>
          </w:tcPr>
          <w:p w14:paraId="7937A897" w14:textId="24933B07" w:rsidR="000125DA" w:rsidRPr="002D6214" w:rsidRDefault="000125DA" w:rsidP="000A5389">
            <w:pPr>
              <w:spacing w:line="240" w:lineRule="auto"/>
              <w:jc w:val="right"/>
              <w:rPr>
                <w:rFonts w:eastAsia="Times New Roman"/>
                <w:sz w:val="18"/>
                <w:szCs w:val="18"/>
              </w:rPr>
            </w:pPr>
            <w:r w:rsidRPr="002D6214">
              <w:rPr>
                <w:rFonts w:eastAsia="Times New Roman"/>
                <w:sz w:val="18"/>
                <w:szCs w:val="18"/>
              </w:rPr>
              <w:t>7.723.292.854</w:t>
            </w:r>
          </w:p>
        </w:tc>
      </w:tr>
      <w:tr w:rsidR="000125DA" w:rsidRPr="002D6214" w14:paraId="017C73B6" w14:textId="77777777" w:rsidTr="000663B1">
        <w:tc>
          <w:tcPr>
            <w:tcW w:w="3769" w:type="pct"/>
            <w:vAlign w:val="center"/>
            <w:hideMark/>
          </w:tcPr>
          <w:p w14:paraId="5D1FF081" w14:textId="77777777" w:rsidR="000125DA" w:rsidRPr="002D6214" w:rsidRDefault="000125DA" w:rsidP="000A5389">
            <w:pPr>
              <w:spacing w:line="240" w:lineRule="auto"/>
              <w:rPr>
                <w:rFonts w:eastAsia="Times New Roman"/>
                <w:sz w:val="18"/>
                <w:szCs w:val="18"/>
              </w:rPr>
            </w:pPr>
            <w:r w:rsidRPr="002D6214">
              <w:rPr>
                <w:rFonts w:eastAsia="Times New Roman"/>
                <w:sz w:val="18"/>
                <w:szCs w:val="18"/>
              </w:rPr>
              <w:t>Intereses sobre depósitos en instituciones financieras</w:t>
            </w:r>
          </w:p>
        </w:tc>
        <w:tc>
          <w:tcPr>
            <w:tcW w:w="1231" w:type="pct"/>
            <w:vAlign w:val="center"/>
            <w:hideMark/>
          </w:tcPr>
          <w:p w14:paraId="2D5A6FB6" w14:textId="5AE8905E" w:rsidR="000125DA" w:rsidRPr="002D6214" w:rsidRDefault="000125DA" w:rsidP="000A5389">
            <w:pPr>
              <w:spacing w:line="240" w:lineRule="auto"/>
              <w:jc w:val="right"/>
              <w:rPr>
                <w:rFonts w:eastAsia="Times New Roman"/>
                <w:sz w:val="18"/>
                <w:szCs w:val="18"/>
              </w:rPr>
            </w:pPr>
            <w:r w:rsidRPr="002D6214">
              <w:rPr>
                <w:rFonts w:eastAsia="Times New Roman"/>
                <w:sz w:val="18"/>
                <w:szCs w:val="18"/>
              </w:rPr>
              <w:t>42.096.918</w:t>
            </w:r>
          </w:p>
        </w:tc>
      </w:tr>
      <w:tr w:rsidR="000125DA" w:rsidRPr="002D6214" w14:paraId="74550FE9" w14:textId="77777777" w:rsidTr="000663B1">
        <w:tc>
          <w:tcPr>
            <w:tcW w:w="3769" w:type="pct"/>
            <w:vAlign w:val="center"/>
            <w:hideMark/>
          </w:tcPr>
          <w:p w14:paraId="1E6FB163" w14:textId="3C26DCC3" w:rsidR="000125DA" w:rsidRPr="002D6214" w:rsidRDefault="000125DA" w:rsidP="000A5389">
            <w:pPr>
              <w:spacing w:line="240" w:lineRule="auto"/>
              <w:rPr>
                <w:rFonts w:eastAsia="Times New Roman"/>
                <w:sz w:val="18"/>
                <w:szCs w:val="18"/>
              </w:rPr>
            </w:pPr>
            <w:r w:rsidRPr="002D6214">
              <w:rPr>
                <w:rFonts w:eastAsia="Times New Roman"/>
                <w:b/>
                <w:bCs/>
                <w:sz w:val="18"/>
                <w:szCs w:val="18"/>
              </w:rPr>
              <w:t>Total, ingresos financieros</w:t>
            </w:r>
          </w:p>
        </w:tc>
        <w:tc>
          <w:tcPr>
            <w:tcW w:w="1231" w:type="pct"/>
            <w:vAlign w:val="center"/>
            <w:hideMark/>
          </w:tcPr>
          <w:p w14:paraId="3DF4D325" w14:textId="53586DD0" w:rsidR="000125DA" w:rsidRPr="002D6214" w:rsidRDefault="000125DA" w:rsidP="000A5389">
            <w:pPr>
              <w:spacing w:line="240" w:lineRule="auto"/>
              <w:jc w:val="right"/>
              <w:rPr>
                <w:rFonts w:eastAsia="Times New Roman"/>
                <w:sz w:val="18"/>
                <w:szCs w:val="18"/>
              </w:rPr>
            </w:pPr>
            <w:r w:rsidRPr="002D6214">
              <w:rPr>
                <w:rFonts w:eastAsia="Times New Roman"/>
                <w:b/>
                <w:bCs/>
                <w:sz w:val="18"/>
                <w:szCs w:val="18"/>
              </w:rPr>
              <w:t>1.270.322.332.928</w:t>
            </w:r>
          </w:p>
        </w:tc>
      </w:tr>
    </w:tbl>
    <w:p w14:paraId="705A0562" w14:textId="0B95F2B5" w:rsidR="002F51E2" w:rsidRPr="00951AB1" w:rsidRDefault="000663B1" w:rsidP="000A5389">
      <w:pPr>
        <w:spacing w:line="240" w:lineRule="auto"/>
        <w:rPr>
          <w:rFonts w:eastAsia="Times New Roman" w:cs="Times New Roman"/>
          <w:sz w:val="16"/>
          <w:szCs w:val="16"/>
          <w:lang w:val="es-ES"/>
        </w:rPr>
      </w:pPr>
      <w:r w:rsidRPr="00951AB1">
        <w:rPr>
          <w:rFonts w:eastAsia="Times New Roman" w:cs="Times New Roman"/>
          <w:sz w:val="16"/>
          <w:szCs w:val="16"/>
          <w:lang w:val="es-ES"/>
        </w:rPr>
        <w:t>Cifras expresadas en pesos</w:t>
      </w:r>
    </w:p>
    <w:p w14:paraId="5B62BDF3" w14:textId="77777777" w:rsidR="008D5D86" w:rsidRPr="00951AB1" w:rsidRDefault="008D5D86" w:rsidP="000A5389">
      <w:pPr>
        <w:pStyle w:val="Prrafodelista"/>
        <w:spacing w:line="240" w:lineRule="auto"/>
        <w:rPr>
          <w:rFonts w:eastAsia="Times New Roman" w:cs="Times New Roman"/>
          <w:bCs/>
          <w:szCs w:val="24"/>
          <w:lang w:val="es-ES"/>
        </w:rPr>
      </w:pPr>
    </w:p>
    <w:p w14:paraId="763EB017" w14:textId="569ED7F9" w:rsidR="00794C0D" w:rsidRPr="00951AB1" w:rsidRDefault="00794C0D" w:rsidP="000A5389">
      <w:pPr>
        <w:spacing w:line="240" w:lineRule="auto"/>
        <w:rPr>
          <w:rFonts w:eastAsia="Times New Roman" w:cs="Times New Roman"/>
          <w:bCs/>
          <w:szCs w:val="24"/>
          <w:lang w:val="es-ES"/>
        </w:rPr>
      </w:pPr>
      <w:r w:rsidRPr="00951AB1">
        <w:rPr>
          <w:rFonts w:eastAsia="Times New Roman" w:cs="Times New Roman"/>
          <w:bCs/>
          <w:i/>
          <w:iCs/>
          <w:szCs w:val="24"/>
          <w:lang w:val="es-ES"/>
        </w:rPr>
        <w:t>F</w:t>
      </w:r>
      <w:r w:rsidR="00002F28" w:rsidRPr="00951AB1">
        <w:rPr>
          <w:rFonts w:eastAsia="Times New Roman" w:cs="Times New Roman"/>
          <w:bCs/>
          <w:i/>
          <w:iCs/>
          <w:szCs w:val="24"/>
          <w:lang w:val="es-ES"/>
        </w:rPr>
        <w:t>inancieros:</w:t>
      </w:r>
      <w:r w:rsidRPr="00951AB1">
        <w:rPr>
          <w:rFonts w:eastAsia="Times New Roman" w:cs="Times New Roman"/>
          <w:bCs/>
          <w:szCs w:val="24"/>
          <w:lang w:val="es-ES"/>
        </w:rPr>
        <w:t xml:space="preserve"> Corresponde a los rendimientos financieros generados por los recursos que la Agencia transfiere a los patrimonios autónomos constituidos por los concesionarios, en desarrollo de los contratos de concesión. Este concepto asciende a $666.681.018.960 </w:t>
      </w:r>
      <w:r w:rsidRPr="00951AB1">
        <w:rPr>
          <w:rFonts w:eastAsia="Times New Roman" w:cs="Times New Roman"/>
          <w:bCs/>
          <w:szCs w:val="24"/>
          <w:lang w:val="es-ES"/>
        </w:rPr>
        <w:lastRenderedPageBreak/>
        <w:t>representando el 52,5% del total de ingresos financieros, constituyéndose en el rubro más representativo.</w:t>
      </w:r>
    </w:p>
    <w:p w14:paraId="5DF66361" w14:textId="77777777" w:rsidR="00794C0D" w:rsidRPr="00951AB1" w:rsidRDefault="00794C0D" w:rsidP="000A5389">
      <w:pPr>
        <w:spacing w:line="240" w:lineRule="auto"/>
        <w:rPr>
          <w:rFonts w:eastAsia="Times New Roman" w:cs="Times New Roman"/>
          <w:bCs/>
          <w:szCs w:val="24"/>
          <w:lang w:val="es-ES"/>
        </w:rPr>
      </w:pPr>
    </w:p>
    <w:p w14:paraId="504F7859" w14:textId="77777777" w:rsidR="00794C0D" w:rsidRPr="00951AB1" w:rsidRDefault="00794C0D" w:rsidP="000A5389">
      <w:pPr>
        <w:spacing w:line="240" w:lineRule="auto"/>
        <w:rPr>
          <w:rFonts w:eastAsia="Times New Roman" w:cs="Times New Roman"/>
          <w:bCs/>
          <w:szCs w:val="24"/>
          <w:lang w:val="es-ES"/>
        </w:rPr>
      </w:pPr>
      <w:r w:rsidRPr="00951AB1">
        <w:rPr>
          <w:rFonts w:eastAsia="Times New Roman" w:cs="Times New Roman"/>
          <w:bCs/>
          <w:szCs w:val="24"/>
          <w:lang w:val="es-ES"/>
        </w:rPr>
        <w:t>Estos rendimientos se originan en:</w:t>
      </w:r>
    </w:p>
    <w:p w14:paraId="13C8CEB1" w14:textId="77777777" w:rsidR="00794C0D" w:rsidRPr="00951AB1" w:rsidRDefault="00794C0D" w:rsidP="000A5389">
      <w:pPr>
        <w:pStyle w:val="Prrafodelista"/>
        <w:numPr>
          <w:ilvl w:val="0"/>
          <w:numId w:val="44"/>
        </w:numPr>
        <w:spacing w:line="240" w:lineRule="auto"/>
        <w:rPr>
          <w:rFonts w:eastAsia="Times New Roman" w:cs="Times New Roman"/>
          <w:bCs/>
          <w:szCs w:val="24"/>
          <w:lang w:val="es-ES"/>
        </w:rPr>
      </w:pPr>
      <w:r w:rsidRPr="00951AB1">
        <w:rPr>
          <w:rFonts w:eastAsia="Times New Roman" w:cs="Times New Roman"/>
          <w:bCs/>
          <w:szCs w:val="24"/>
          <w:lang w:val="es-ES"/>
        </w:rPr>
        <w:t>Recursos girados para aportes de la Nación.</w:t>
      </w:r>
    </w:p>
    <w:p w14:paraId="19AE2668" w14:textId="77777777" w:rsidR="00794C0D" w:rsidRPr="00951AB1" w:rsidRDefault="00794C0D" w:rsidP="000A5389">
      <w:pPr>
        <w:pStyle w:val="Prrafodelista"/>
        <w:numPr>
          <w:ilvl w:val="0"/>
          <w:numId w:val="44"/>
        </w:numPr>
        <w:spacing w:line="240" w:lineRule="auto"/>
        <w:rPr>
          <w:rFonts w:eastAsia="Times New Roman" w:cs="Times New Roman"/>
          <w:bCs/>
          <w:szCs w:val="24"/>
          <w:lang w:val="es-ES"/>
        </w:rPr>
      </w:pPr>
      <w:r w:rsidRPr="00951AB1">
        <w:rPr>
          <w:rFonts w:eastAsia="Times New Roman" w:cs="Times New Roman"/>
          <w:bCs/>
          <w:szCs w:val="24"/>
          <w:lang w:val="es-ES"/>
        </w:rPr>
        <w:t>Recursos destinados a cubrir obligaciones contractuales.</w:t>
      </w:r>
    </w:p>
    <w:p w14:paraId="49042FE8" w14:textId="77777777" w:rsidR="00794C0D" w:rsidRPr="00951AB1" w:rsidRDefault="00794C0D" w:rsidP="000A5389">
      <w:pPr>
        <w:pStyle w:val="Prrafodelista"/>
        <w:numPr>
          <w:ilvl w:val="0"/>
          <w:numId w:val="44"/>
        </w:numPr>
        <w:spacing w:line="240" w:lineRule="auto"/>
        <w:rPr>
          <w:rFonts w:eastAsia="Times New Roman" w:cs="Times New Roman"/>
          <w:bCs/>
          <w:szCs w:val="24"/>
          <w:lang w:val="es-ES"/>
        </w:rPr>
      </w:pPr>
      <w:r w:rsidRPr="00951AB1">
        <w:rPr>
          <w:rFonts w:eastAsia="Times New Roman" w:cs="Times New Roman"/>
          <w:bCs/>
          <w:szCs w:val="24"/>
          <w:lang w:val="es-ES"/>
        </w:rPr>
        <w:t>Saldos no ejecutados que permanecen invertidos conforme a los lineamientos fiduciarios.</w:t>
      </w:r>
    </w:p>
    <w:p w14:paraId="7C482F80" w14:textId="77777777" w:rsidR="00840455" w:rsidRPr="00951AB1" w:rsidRDefault="00840455" w:rsidP="000A5389">
      <w:pPr>
        <w:pStyle w:val="Prrafodelista"/>
        <w:spacing w:line="240" w:lineRule="auto"/>
        <w:ind w:left="0"/>
        <w:rPr>
          <w:rFonts w:eastAsia="Times New Roman" w:cs="Times New Roman"/>
          <w:bCs/>
          <w:i/>
          <w:iCs/>
          <w:szCs w:val="24"/>
          <w:highlight w:val="yellow"/>
          <w:lang w:val="es-ES"/>
        </w:rPr>
      </w:pPr>
    </w:p>
    <w:p w14:paraId="0F8623FF" w14:textId="77777777" w:rsidR="00840455" w:rsidRDefault="00002F28" w:rsidP="000A5389">
      <w:pPr>
        <w:pStyle w:val="Prrafodelista"/>
        <w:spacing w:line="240" w:lineRule="auto"/>
        <w:ind w:left="0"/>
        <w:rPr>
          <w:rFonts w:eastAsia="Times New Roman" w:cs="Times New Roman"/>
          <w:b/>
          <w:i/>
          <w:iCs/>
          <w:szCs w:val="24"/>
          <w:lang w:val="es-ES"/>
        </w:rPr>
      </w:pPr>
      <w:r w:rsidRPr="00951AB1">
        <w:rPr>
          <w:rFonts w:eastAsia="Times New Roman" w:cs="Times New Roman"/>
          <w:b/>
          <w:i/>
          <w:iCs/>
          <w:szCs w:val="24"/>
          <w:lang w:val="es-ES"/>
        </w:rPr>
        <w:t>Otros ingresos financieros</w:t>
      </w:r>
    </w:p>
    <w:p w14:paraId="328EBFE3" w14:textId="77777777" w:rsidR="00054048" w:rsidRPr="00951AB1" w:rsidRDefault="00054048" w:rsidP="000A5389">
      <w:pPr>
        <w:pStyle w:val="Prrafodelista"/>
        <w:spacing w:line="240" w:lineRule="auto"/>
        <w:ind w:left="0"/>
        <w:rPr>
          <w:rFonts w:eastAsia="Times New Roman" w:cs="Times New Roman"/>
          <w:b/>
          <w:i/>
          <w:iCs/>
          <w:szCs w:val="24"/>
          <w:lang w:val="es-ES"/>
        </w:rPr>
      </w:pPr>
    </w:p>
    <w:p w14:paraId="78B496E8" w14:textId="3CFB111C" w:rsidR="00590024" w:rsidRPr="00951AB1" w:rsidRDefault="008D5D86" w:rsidP="000A5389">
      <w:pPr>
        <w:pStyle w:val="Prrafodelista"/>
        <w:spacing w:line="240" w:lineRule="auto"/>
        <w:ind w:left="0"/>
        <w:rPr>
          <w:rFonts w:eastAsia="Times New Roman" w:cs="Times New Roman"/>
          <w:bCs/>
          <w:i/>
          <w:iCs/>
          <w:szCs w:val="24"/>
          <w:lang w:val="es-ES"/>
        </w:rPr>
      </w:pPr>
      <w:r w:rsidRPr="00951AB1">
        <w:rPr>
          <w:rFonts w:eastAsia="Times New Roman" w:cs="Times New Roman"/>
          <w:bCs/>
          <w:i/>
          <w:iCs/>
          <w:szCs w:val="24"/>
          <w:lang w:val="es-ES"/>
        </w:rPr>
        <w:t>Rendimientos sobre recursos entregados en administración:</w:t>
      </w:r>
      <w:r w:rsidR="00933FD2" w:rsidRPr="00951AB1">
        <w:rPr>
          <w:rFonts w:eastAsia="Times New Roman" w:cs="Times New Roman"/>
          <w:bCs/>
          <w:szCs w:val="24"/>
          <w:lang w:val="es-ES"/>
        </w:rPr>
        <w:t xml:space="preserve"> Corresponde a los rendimientos financieros generados por los recursos que la Agencia transfiere </w:t>
      </w:r>
      <w:r w:rsidR="008B04A2" w:rsidRPr="00951AB1">
        <w:rPr>
          <w:rFonts w:eastAsia="Times New Roman" w:cs="Times New Roman"/>
          <w:bCs/>
          <w:szCs w:val="24"/>
          <w:lang w:val="es-ES"/>
        </w:rPr>
        <w:t xml:space="preserve">en virtud de los contratos interadministrativos </w:t>
      </w:r>
      <w:r w:rsidR="00753BD6" w:rsidRPr="00951AB1">
        <w:rPr>
          <w:rFonts w:eastAsia="Times New Roman" w:cs="Times New Roman"/>
          <w:bCs/>
          <w:szCs w:val="24"/>
          <w:lang w:val="es-ES"/>
        </w:rPr>
        <w:t>susc</w:t>
      </w:r>
      <w:r w:rsidR="00537596" w:rsidRPr="00951AB1">
        <w:rPr>
          <w:rFonts w:eastAsia="Times New Roman" w:cs="Times New Roman"/>
          <w:bCs/>
          <w:szCs w:val="24"/>
          <w:lang w:val="es-ES"/>
        </w:rPr>
        <w:t>ritos</w:t>
      </w:r>
      <w:r w:rsidR="00F72C82" w:rsidRPr="00951AB1">
        <w:rPr>
          <w:rFonts w:eastAsia="Times New Roman" w:cs="Times New Roman"/>
          <w:bCs/>
          <w:szCs w:val="24"/>
          <w:lang w:val="es-ES"/>
        </w:rPr>
        <w:t xml:space="preserve"> y </w:t>
      </w:r>
      <w:r w:rsidR="00A16396" w:rsidRPr="00951AB1">
        <w:rPr>
          <w:rFonts w:eastAsia="Times New Roman" w:cs="Times New Roman"/>
          <w:bCs/>
          <w:szCs w:val="24"/>
          <w:lang w:val="es-ES"/>
        </w:rPr>
        <w:t>los valores aportados al fondo de contingencia en el rubro de Sentencias y Conciliaciones, de acuerdo con la "Actualización del procedimiento contable para el registro de los procesos judiciales, arbitrajes, conciliaciones extrajudiciales y embargos sobre cuentas bancarias en el sistema integrado de información financiera (SIIF)"</w:t>
      </w:r>
      <w:r w:rsidR="00215168" w:rsidRPr="00951AB1">
        <w:rPr>
          <w:rFonts w:eastAsia="Times New Roman" w:cs="Times New Roman"/>
          <w:bCs/>
          <w:szCs w:val="24"/>
          <w:lang w:val="es-ES"/>
        </w:rPr>
        <w:t xml:space="preserve">de conformidad </w:t>
      </w:r>
      <w:r w:rsidR="00942248" w:rsidRPr="00951AB1">
        <w:rPr>
          <w:rFonts w:eastAsia="Times New Roman" w:cs="Times New Roman"/>
          <w:bCs/>
          <w:szCs w:val="24"/>
          <w:lang w:val="es-ES"/>
        </w:rPr>
        <w:t>a la resolución 080 de 2021</w:t>
      </w:r>
      <w:r w:rsidR="00E22BA6" w:rsidRPr="00951AB1">
        <w:rPr>
          <w:rFonts w:eastAsia="Times New Roman" w:cs="Times New Roman"/>
          <w:bCs/>
          <w:szCs w:val="24"/>
          <w:lang w:val="es-ES"/>
        </w:rPr>
        <w:t>. Se detallan los terceros.</w:t>
      </w:r>
      <w:r w:rsidR="00D85E25" w:rsidRPr="00951AB1">
        <w:rPr>
          <w:rFonts w:cs="Times New Roman"/>
        </w:rPr>
        <w:t xml:space="preserve"> </w:t>
      </w:r>
    </w:p>
    <w:p w14:paraId="5B28458A" w14:textId="77777777" w:rsidR="000D2AAD" w:rsidRPr="00951AB1" w:rsidRDefault="00590024" w:rsidP="000A5389">
      <w:pPr>
        <w:spacing w:line="240" w:lineRule="auto"/>
        <w:rPr>
          <w:rFonts w:eastAsia="Times New Roman" w:cs="Times New Roman"/>
          <w:bCs/>
          <w:szCs w:val="24"/>
          <w:lang w:val="es-ES"/>
        </w:rPr>
      </w:pPr>
      <w:r w:rsidRPr="00951AB1">
        <w:rPr>
          <w:rFonts w:eastAsia="Times New Roman" w:cs="Times New Roman"/>
          <w:bCs/>
          <w:i/>
          <w:iCs/>
          <w:szCs w:val="24"/>
          <w:lang w:val="es-ES"/>
        </w:rPr>
        <w:t xml:space="preserve"> </w:t>
      </w:r>
    </w:p>
    <w:tbl>
      <w:tblPr>
        <w:tblW w:w="5000" w:type="pct"/>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Layout w:type="fixed"/>
        <w:tblCellMar>
          <w:left w:w="70" w:type="dxa"/>
          <w:right w:w="70" w:type="dxa"/>
        </w:tblCellMar>
        <w:tblLook w:val="04A0" w:firstRow="1" w:lastRow="0" w:firstColumn="1" w:lastColumn="0" w:noHBand="0" w:noVBand="1"/>
      </w:tblPr>
      <w:tblGrid>
        <w:gridCol w:w="1413"/>
        <w:gridCol w:w="5104"/>
        <w:gridCol w:w="2311"/>
      </w:tblGrid>
      <w:tr w:rsidR="00942248" w:rsidRPr="002D6214" w14:paraId="7B95C56C" w14:textId="77777777" w:rsidTr="00840455">
        <w:trPr>
          <w:trHeight w:val="300"/>
        </w:trPr>
        <w:tc>
          <w:tcPr>
            <w:tcW w:w="3691" w:type="pct"/>
            <w:gridSpan w:val="2"/>
            <w:vAlign w:val="center"/>
            <w:hideMark/>
          </w:tcPr>
          <w:p w14:paraId="3300B718" w14:textId="77777777" w:rsidR="000D2AAD" w:rsidRPr="002D6214" w:rsidRDefault="000D2AAD" w:rsidP="000A5389">
            <w:pPr>
              <w:spacing w:line="240" w:lineRule="auto"/>
              <w:jc w:val="center"/>
              <w:rPr>
                <w:rFonts w:eastAsia="Times New Roman" w:cs="Times New Roman"/>
                <w:b/>
                <w:color w:val="000000"/>
                <w:kern w:val="0"/>
                <w:sz w:val="18"/>
                <w:szCs w:val="18"/>
                <w:lang w:eastAsia="es-CO"/>
                <w14:ligatures w14:val="none"/>
              </w:rPr>
            </w:pPr>
            <w:r w:rsidRPr="002D6214">
              <w:rPr>
                <w:rFonts w:eastAsia="Times New Roman" w:cs="Times New Roman"/>
                <w:b/>
                <w:color w:val="000000"/>
                <w:kern w:val="0"/>
                <w:sz w:val="18"/>
                <w:szCs w:val="18"/>
                <w:lang w:eastAsia="es-CO"/>
                <w14:ligatures w14:val="none"/>
              </w:rPr>
              <w:t>TERCERO</w:t>
            </w:r>
          </w:p>
        </w:tc>
        <w:tc>
          <w:tcPr>
            <w:tcW w:w="1309" w:type="pct"/>
            <w:vAlign w:val="center"/>
            <w:hideMark/>
          </w:tcPr>
          <w:p w14:paraId="3D7CE624" w14:textId="77777777" w:rsidR="000D2AAD" w:rsidRPr="002D6214" w:rsidRDefault="000D2AAD" w:rsidP="000A5389">
            <w:pPr>
              <w:spacing w:line="240" w:lineRule="auto"/>
              <w:jc w:val="center"/>
              <w:rPr>
                <w:rFonts w:eastAsia="Times New Roman" w:cs="Times New Roman"/>
                <w:b/>
                <w:color w:val="000000"/>
                <w:kern w:val="0"/>
                <w:sz w:val="18"/>
                <w:szCs w:val="18"/>
                <w:lang w:eastAsia="es-CO"/>
                <w14:ligatures w14:val="none"/>
              </w:rPr>
            </w:pPr>
            <w:r w:rsidRPr="002D6214">
              <w:rPr>
                <w:rFonts w:eastAsia="Times New Roman" w:cs="Times New Roman"/>
                <w:b/>
                <w:color w:val="000000"/>
                <w:kern w:val="0"/>
                <w:sz w:val="18"/>
                <w:szCs w:val="18"/>
                <w:lang w:eastAsia="es-CO"/>
                <w14:ligatures w14:val="none"/>
              </w:rPr>
              <w:t xml:space="preserve"> SALDO 2025 </w:t>
            </w:r>
          </w:p>
        </w:tc>
      </w:tr>
      <w:tr w:rsidR="00942248" w:rsidRPr="002D6214" w14:paraId="2BABDA70" w14:textId="77777777" w:rsidTr="002D6214">
        <w:trPr>
          <w:trHeight w:val="300"/>
        </w:trPr>
        <w:tc>
          <w:tcPr>
            <w:tcW w:w="800" w:type="pct"/>
            <w:vAlign w:val="center"/>
            <w:hideMark/>
          </w:tcPr>
          <w:p w14:paraId="3BC3B1FA" w14:textId="77777777" w:rsidR="000D2AAD" w:rsidRPr="002D6214" w:rsidRDefault="000D2AAD" w:rsidP="000A5389">
            <w:pPr>
              <w:spacing w:line="240" w:lineRule="auto"/>
              <w:rPr>
                <w:rFonts w:eastAsia="Times New Roman" w:cs="Times New Roman"/>
                <w:color w:val="000000"/>
                <w:kern w:val="0"/>
                <w:sz w:val="18"/>
                <w:szCs w:val="18"/>
                <w:lang w:eastAsia="es-CO"/>
                <w14:ligatures w14:val="none"/>
              </w:rPr>
            </w:pPr>
            <w:r w:rsidRPr="002D6214">
              <w:rPr>
                <w:rFonts w:eastAsia="Times New Roman" w:cs="Times New Roman"/>
                <w:color w:val="000000"/>
                <w:kern w:val="0"/>
                <w:sz w:val="18"/>
                <w:szCs w:val="18"/>
                <w:lang w:eastAsia="es-CO"/>
                <w14:ligatures w14:val="none"/>
              </w:rPr>
              <w:t>860525148</w:t>
            </w:r>
          </w:p>
        </w:tc>
        <w:tc>
          <w:tcPr>
            <w:tcW w:w="2891" w:type="pct"/>
            <w:vAlign w:val="center"/>
            <w:hideMark/>
          </w:tcPr>
          <w:p w14:paraId="5D8F9378" w14:textId="2B6E3A68" w:rsidR="000D2AAD" w:rsidRPr="002D6214" w:rsidRDefault="00840455" w:rsidP="000A5389">
            <w:pPr>
              <w:spacing w:line="240" w:lineRule="auto"/>
              <w:rPr>
                <w:rFonts w:eastAsia="Times New Roman" w:cs="Times New Roman"/>
                <w:color w:val="000000"/>
                <w:kern w:val="0"/>
                <w:sz w:val="18"/>
                <w:szCs w:val="18"/>
                <w:lang w:eastAsia="es-CO"/>
                <w14:ligatures w14:val="none"/>
              </w:rPr>
            </w:pPr>
            <w:r w:rsidRPr="002D6214">
              <w:rPr>
                <w:rFonts w:eastAsia="Times New Roman" w:cs="Times New Roman"/>
                <w:color w:val="000000"/>
                <w:kern w:val="0"/>
                <w:sz w:val="18"/>
                <w:szCs w:val="18"/>
                <w:lang w:eastAsia="es-CO"/>
                <w14:ligatures w14:val="none"/>
              </w:rPr>
              <w:t xml:space="preserve">Fiduciaria La Previsora S.A. </w:t>
            </w:r>
          </w:p>
        </w:tc>
        <w:tc>
          <w:tcPr>
            <w:tcW w:w="1309" w:type="pct"/>
            <w:vAlign w:val="center"/>
            <w:hideMark/>
          </w:tcPr>
          <w:p w14:paraId="68193FA7" w14:textId="1B2ADE6A" w:rsidR="000D2AAD" w:rsidRPr="002D6214" w:rsidRDefault="000D2AAD" w:rsidP="000A5389">
            <w:pPr>
              <w:spacing w:line="240" w:lineRule="auto"/>
              <w:jc w:val="right"/>
              <w:rPr>
                <w:rFonts w:eastAsia="Times New Roman" w:cs="Times New Roman"/>
                <w:color w:val="000000"/>
                <w:kern w:val="0"/>
                <w:sz w:val="18"/>
                <w:szCs w:val="18"/>
                <w:lang w:eastAsia="es-CO"/>
                <w14:ligatures w14:val="none"/>
              </w:rPr>
            </w:pPr>
            <w:r w:rsidRPr="002D6214">
              <w:rPr>
                <w:rFonts w:eastAsia="Times New Roman" w:cs="Times New Roman"/>
                <w:color w:val="000000"/>
                <w:kern w:val="0"/>
                <w:sz w:val="18"/>
                <w:szCs w:val="18"/>
                <w:lang w:eastAsia="es-CO"/>
                <w14:ligatures w14:val="none"/>
              </w:rPr>
              <w:t xml:space="preserve">571.938.895.470 </w:t>
            </w:r>
          </w:p>
        </w:tc>
      </w:tr>
      <w:tr w:rsidR="00942248" w:rsidRPr="002D6214" w14:paraId="30BC889E" w14:textId="77777777" w:rsidTr="002D6214">
        <w:trPr>
          <w:trHeight w:val="231"/>
        </w:trPr>
        <w:tc>
          <w:tcPr>
            <w:tcW w:w="800" w:type="pct"/>
            <w:vAlign w:val="center"/>
            <w:hideMark/>
          </w:tcPr>
          <w:p w14:paraId="7AE7BC52" w14:textId="77777777" w:rsidR="000D2AAD" w:rsidRPr="002D6214" w:rsidRDefault="000D2AAD" w:rsidP="000A5389">
            <w:pPr>
              <w:spacing w:line="240" w:lineRule="auto"/>
              <w:rPr>
                <w:rFonts w:eastAsia="Times New Roman" w:cs="Times New Roman"/>
                <w:color w:val="000000"/>
                <w:kern w:val="0"/>
                <w:sz w:val="18"/>
                <w:szCs w:val="18"/>
                <w:lang w:eastAsia="es-CO"/>
                <w14:ligatures w14:val="none"/>
              </w:rPr>
            </w:pPr>
            <w:r w:rsidRPr="002D6214">
              <w:rPr>
                <w:rFonts w:eastAsia="Times New Roman" w:cs="Times New Roman"/>
                <w:color w:val="000000"/>
                <w:kern w:val="0"/>
                <w:sz w:val="18"/>
                <w:szCs w:val="18"/>
                <w:lang w:eastAsia="es-CO"/>
                <w14:ligatures w14:val="none"/>
              </w:rPr>
              <w:t>800096329</w:t>
            </w:r>
          </w:p>
        </w:tc>
        <w:tc>
          <w:tcPr>
            <w:tcW w:w="2891" w:type="pct"/>
            <w:vAlign w:val="center"/>
            <w:hideMark/>
          </w:tcPr>
          <w:p w14:paraId="27309A7D" w14:textId="6B341ABF" w:rsidR="000D2AAD" w:rsidRPr="002D6214" w:rsidRDefault="00840455" w:rsidP="000A5389">
            <w:pPr>
              <w:spacing w:line="240" w:lineRule="auto"/>
              <w:rPr>
                <w:rFonts w:eastAsia="Times New Roman" w:cs="Times New Roman"/>
                <w:color w:val="000000"/>
                <w:kern w:val="0"/>
                <w:sz w:val="18"/>
                <w:szCs w:val="18"/>
                <w:lang w:eastAsia="es-CO"/>
                <w14:ligatures w14:val="none"/>
              </w:rPr>
            </w:pPr>
            <w:r w:rsidRPr="002D6214">
              <w:rPr>
                <w:rFonts w:eastAsia="Times New Roman" w:cs="Times New Roman"/>
                <w:color w:val="000000"/>
                <w:kern w:val="0"/>
                <w:sz w:val="18"/>
                <w:szCs w:val="18"/>
                <w:lang w:eastAsia="es-CO"/>
                <w14:ligatures w14:val="none"/>
              </w:rPr>
              <w:t>Financiera De Desarrollo Territorial S A Findeter</w:t>
            </w:r>
          </w:p>
        </w:tc>
        <w:tc>
          <w:tcPr>
            <w:tcW w:w="1309" w:type="pct"/>
            <w:vAlign w:val="center"/>
            <w:hideMark/>
          </w:tcPr>
          <w:p w14:paraId="0EA37B44" w14:textId="3BCC4E9B" w:rsidR="000D2AAD" w:rsidRPr="002D6214" w:rsidRDefault="000D2AAD" w:rsidP="000A5389">
            <w:pPr>
              <w:spacing w:line="240" w:lineRule="auto"/>
              <w:jc w:val="right"/>
              <w:rPr>
                <w:rFonts w:eastAsia="Times New Roman" w:cs="Times New Roman"/>
                <w:color w:val="000000"/>
                <w:kern w:val="0"/>
                <w:sz w:val="18"/>
                <w:szCs w:val="18"/>
                <w:lang w:eastAsia="es-CO"/>
                <w14:ligatures w14:val="none"/>
              </w:rPr>
            </w:pPr>
            <w:r w:rsidRPr="002D6214">
              <w:rPr>
                <w:rFonts w:eastAsia="Times New Roman" w:cs="Times New Roman"/>
                <w:color w:val="000000"/>
                <w:kern w:val="0"/>
                <w:sz w:val="18"/>
                <w:szCs w:val="18"/>
                <w:lang w:eastAsia="es-CO"/>
                <w14:ligatures w14:val="none"/>
              </w:rPr>
              <w:t xml:space="preserve">19.088.921.862 </w:t>
            </w:r>
          </w:p>
        </w:tc>
      </w:tr>
      <w:tr w:rsidR="00942248" w:rsidRPr="002D6214" w14:paraId="6FA95A39" w14:textId="77777777" w:rsidTr="002D6214">
        <w:trPr>
          <w:trHeight w:val="300"/>
        </w:trPr>
        <w:tc>
          <w:tcPr>
            <w:tcW w:w="800" w:type="pct"/>
            <w:vAlign w:val="center"/>
            <w:hideMark/>
          </w:tcPr>
          <w:p w14:paraId="4BD1CF9E" w14:textId="77777777" w:rsidR="000D2AAD" w:rsidRPr="002D6214" w:rsidRDefault="000D2AAD" w:rsidP="000A5389">
            <w:pPr>
              <w:spacing w:line="240" w:lineRule="auto"/>
              <w:rPr>
                <w:rFonts w:eastAsia="Times New Roman" w:cs="Times New Roman"/>
                <w:color w:val="000000"/>
                <w:kern w:val="0"/>
                <w:sz w:val="18"/>
                <w:szCs w:val="18"/>
                <w:lang w:eastAsia="es-CO"/>
                <w14:ligatures w14:val="none"/>
              </w:rPr>
            </w:pPr>
            <w:r w:rsidRPr="002D6214">
              <w:rPr>
                <w:rFonts w:eastAsia="Times New Roman" w:cs="Times New Roman"/>
                <w:color w:val="000000"/>
                <w:kern w:val="0"/>
                <w:sz w:val="18"/>
                <w:szCs w:val="18"/>
                <w:lang w:eastAsia="es-CO"/>
                <w14:ligatures w14:val="none"/>
              </w:rPr>
              <w:t>899999090</w:t>
            </w:r>
          </w:p>
        </w:tc>
        <w:tc>
          <w:tcPr>
            <w:tcW w:w="2891" w:type="pct"/>
            <w:vAlign w:val="center"/>
            <w:hideMark/>
          </w:tcPr>
          <w:p w14:paraId="4B16BF68" w14:textId="0154F423" w:rsidR="000D2AAD" w:rsidRPr="002D6214" w:rsidRDefault="00840455" w:rsidP="000A5389">
            <w:pPr>
              <w:spacing w:line="240" w:lineRule="auto"/>
              <w:rPr>
                <w:rFonts w:eastAsia="Times New Roman" w:cs="Times New Roman"/>
                <w:color w:val="000000"/>
                <w:kern w:val="0"/>
                <w:sz w:val="18"/>
                <w:szCs w:val="18"/>
                <w:lang w:eastAsia="es-CO"/>
                <w14:ligatures w14:val="none"/>
              </w:rPr>
            </w:pPr>
            <w:r w:rsidRPr="002D6214">
              <w:rPr>
                <w:rFonts w:eastAsia="Times New Roman" w:cs="Times New Roman"/>
                <w:color w:val="000000"/>
                <w:kern w:val="0"/>
                <w:sz w:val="18"/>
                <w:szCs w:val="18"/>
                <w:lang w:eastAsia="es-CO"/>
                <w14:ligatures w14:val="none"/>
              </w:rPr>
              <w:t xml:space="preserve">Ministerio De Hacienda Y </w:t>
            </w:r>
            <w:r w:rsidR="002D6214" w:rsidRPr="002D6214">
              <w:rPr>
                <w:rFonts w:eastAsia="Times New Roman" w:cs="Times New Roman"/>
                <w:color w:val="000000"/>
                <w:kern w:val="0"/>
                <w:sz w:val="18"/>
                <w:szCs w:val="18"/>
                <w:lang w:eastAsia="es-CO"/>
                <w14:ligatures w14:val="none"/>
              </w:rPr>
              <w:t>Crédito</w:t>
            </w:r>
            <w:r w:rsidRPr="002D6214">
              <w:rPr>
                <w:rFonts w:eastAsia="Times New Roman" w:cs="Times New Roman"/>
                <w:color w:val="000000"/>
                <w:kern w:val="0"/>
                <w:sz w:val="18"/>
                <w:szCs w:val="18"/>
                <w:lang w:eastAsia="es-CO"/>
                <w14:ligatures w14:val="none"/>
              </w:rPr>
              <w:t xml:space="preserve"> Publico</w:t>
            </w:r>
          </w:p>
        </w:tc>
        <w:tc>
          <w:tcPr>
            <w:tcW w:w="1309" w:type="pct"/>
            <w:vAlign w:val="center"/>
            <w:hideMark/>
          </w:tcPr>
          <w:p w14:paraId="42B9DEE9" w14:textId="057BD31C" w:rsidR="000D2AAD" w:rsidRPr="002D6214" w:rsidRDefault="000D2AAD" w:rsidP="000A5389">
            <w:pPr>
              <w:spacing w:line="240" w:lineRule="auto"/>
              <w:jc w:val="right"/>
              <w:rPr>
                <w:rFonts w:eastAsia="Times New Roman" w:cs="Times New Roman"/>
                <w:color w:val="000000"/>
                <w:kern w:val="0"/>
                <w:sz w:val="18"/>
                <w:szCs w:val="18"/>
                <w:lang w:eastAsia="es-CO"/>
                <w14:ligatures w14:val="none"/>
              </w:rPr>
            </w:pPr>
            <w:r w:rsidRPr="002D6214">
              <w:rPr>
                <w:rFonts w:eastAsia="Times New Roman" w:cs="Times New Roman"/>
                <w:color w:val="000000"/>
                <w:kern w:val="0"/>
                <w:sz w:val="18"/>
                <w:szCs w:val="18"/>
                <w:lang w:eastAsia="es-CO"/>
                <w14:ligatures w14:val="none"/>
              </w:rPr>
              <w:t xml:space="preserve">2.314.779.150 </w:t>
            </w:r>
          </w:p>
        </w:tc>
      </w:tr>
      <w:tr w:rsidR="00942248" w:rsidRPr="002D6214" w14:paraId="70EBFCC0" w14:textId="77777777" w:rsidTr="002D6214">
        <w:trPr>
          <w:trHeight w:val="300"/>
        </w:trPr>
        <w:tc>
          <w:tcPr>
            <w:tcW w:w="800" w:type="pct"/>
            <w:noWrap/>
            <w:vAlign w:val="center"/>
            <w:hideMark/>
          </w:tcPr>
          <w:p w14:paraId="4EF724C8" w14:textId="77777777" w:rsidR="000D2AAD" w:rsidRPr="002D6214" w:rsidRDefault="000D2AAD" w:rsidP="000A5389">
            <w:pPr>
              <w:spacing w:line="240" w:lineRule="auto"/>
              <w:rPr>
                <w:rFonts w:eastAsia="Times New Roman" w:cs="Times New Roman"/>
                <w:color w:val="000000"/>
                <w:kern w:val="0"/>
                <w:sz w:val="18"/>
                <w:szCs w:val="18"/>
                <w:lang w:eastAsia="es-CO"/>
                <w14:ligatures w14:val="none"/>
              </w:rPr>
            </w:pPr>
            <w:r w:rsidRPr="002D6214">
              <w:rPr>
                <w:rFonts w:eastAsia="Times New Roman" w:cs="Times New Roman"/>
                <w:color w:val="000000"/>
                <w:kern w:val="0"/>
                <w:sz w:val="18"/>
                <w:szCs w:val="18"/>
                <w:lang w:eastAsia="es-CO"/>
                <w14:ligatures w14:val="none"/>
              </w:rPr>
              <w:t>900531210</w:t>
            </w:r>
          </w:p>
        </w:tc>
        <w:tc>
          <w:tcPr>
            <w:tcW w:w="2891" w:type="pct"/>
            <w:noWrap/>
            <w:vAlign w:val="center"/>
            <w:hideMark/>
          </w:tcPr>
          <w:p w14:paraId="7A4AF208" w14:textId="47CB00AF" w:rsidR="000D2AAD" w:rsidRPr="002D6214" w:rsidRDefault="00840455" w:rsidP="000A5389">
            <w:pPr>
              <w:spacing w:line="240" w:lineRule="auto"/>
              <w:rPr>
                <w:rFonts w:eastAsia="Times New Roman" w:cs="Times New Roman"/>
                <w:color w:val="000000"/>
                <w:kern w:val="0"/>
                <w:sz w:val="18"/>
                <w:szCs w:val="18"/>
                <w:lang w:eastAsia="es-CO"/>
                <w14:ligatures w14:val="none"/>
              </w:rPr>
            </w:pPr>
            <w:r w:rsidRPr="002D6214">
              <w:rPr>
                <w:rFonts w:eastAsia="Times New Roman" w:cs="Times New Roman"/>
                <w:color w:val="000000"/>
                <w:kern w:val="0"/>
                <w:sz w:val="18"/>
                <w:szCs w:val="18"/>
                <w:lang w:eastAsia="es-CO"/>
                <w14:ligatures w14:val="none"/>
              </w:rPr>
              <w:t>Cenit Transporte Y Logística De Hidrocarburos S.A.S.</w:t>
            </w:r>
          </w:p>
        </w:tc>
        <w:tc>
          <w:tcPr>
            <w:tcW w:w="1309" w:type="pct"/>
            <w:noWrap/>
            <w:vAlign w:val="center"/>
            <w:hideMark/>
          </w:tcPr>
          <w:p w14:paraId="283413E5" w14:textId="4B450259" w:rsidR="000D2AAD" w:rsidRPr="002D6214" w:rsidRDefault="000D2AAD" w:rsidP="000A5389">
            <w:pPr>
              <w:spacing w:line="240" w:lineRule="auto"/>
              <w:jc w:val="right"/>
              <w:rPr>
                <w:rFonts w:eastAsia="Times New Roman" w:cs="Times New Roman"/>
                <w:color w:val="000000"/>
                <w:kern w:val="0"/>
                <w:sz w:val="18"/>
                <w:szCs w:val="18"/>
                <w:lang w:eastAsia="es-CO"/>
                <w14:ligatures w14:val="none"/>
              </w:rPr>
            </w:pPr>
            <w:r w:rsidRPr="002D6214">
              <w:rPr>
                <w:rFonts w:eastAsia="Times New Roman" w:cs="Times New Roman"/>
                <w:color w:val="000000"/>
                <w:kern w:val="0"/>
                <w:sz w:val="18"/>
                <w:szCs w:val="18"/>
                <w:lang w:eastAsia="es-CO"/>
                <w14:ligatures w14:val="none"/>
              </w:rPr>
              <w:t xml:space="preserve">1.583.292.342 </w:t>
            </w:r>
          </w:p>
        </w:tc>
      </w:tr>
      <w:tr w:rsidR="00942248" w:rsidRPr="002D6214" w14:paraId="536E2637" w14:textId="77777777" w:rsidTr="002D6214">
        <w:trPr>
          <w:trHeight w:val="300"/>
        </w:trPr>
        <w:tc>
          <w:tcPr>
            <w:tcW w:w="800" w:type="pct"/>
            <w:vAlign w:val="center"/>
            <w:hideMark/>
          </w:tcPr>
          <w:p w14:paraId="284C334F" w14:textId="77777777" w:rsidR="000D2AAD" w:rsidRPr="002D6214" w:rsidRDefault="000D2AAD" w:rsidP="000A5389">
            <w:pPr>
              <w:spacing w:line="240" w:lineRule="auto"/>
              <w:rPr>
                <w:rFonts w:eastAsia="Times New Roman" w:cs="Times New Roman"/>
                <w:color w:val="000000"/>
                <w:kern w:val="0"/>
                <w:sz w:val="18"/>
                <w:szCs w:val="18"/>
                <w:lang w:eastAsia="es-CO"/>
                <w14:ligatures w14:val="none"/>
              </w:rPr>
            </w:pPr>
            <w:r w:rsidRPr="002D6214">
              <w:rPr>
                <w:rFonts w:eastAsia="Times New Roman" w:cs="Times New Roman"/>
                <w:color w:val="000000"/>
                <w:kern w:val="0"/>
                <w:sz w:val="18"/>
                <w:szCs w:val="18"/>
                <w:lang w:eastAsia="es-CO"/>
                <w14:ligatures w14:val="none"/>
              </w:rPr>
              <w:t>860509022</w:t>
            </w:r>
          </w:p>
        </w:tc>
        <w:tc>
          <w:tcPr>
            <w:tcW w:w="2891" w:type="pct"/>
            <w:vAlign w:val="center"/>
            <w:hideMark/>
          </w:tcPr>
          <w:p w14:paraId="0E59245C" w14:textId="0297BA47" w:rsidR="000D2AAD" w:rsidRPr="002D6214" w:rsidRDefault="00840455" w:rsidP="000A5389">
            <w:pPr>
              <w:spacing w:line="240" w:lineRule="auto"/>
              <w:rPr>
                <w:rFonts w:eastAsia="Times New Roman" w:cs="Times New Roman"/>
                <w:color w:val="000000"/>
                <w:kern w:val="0"/>
                <w:sz w:val="18"/>
                <w:szCs w:val="18"/>
                <w:lang w:eastAsia="es-CO"/>
                <w14:ligatures w14:val="none"/>
              </w:rPr>
            </w:pPr>
            <w:r w:rsidRPr="002D6214">
              <w:rPr>
                <w:rFonts w:eastAsia="Times New Roman" w:cs="Times New Roman"/>
                <w:color w:val="000000"/>
                <w:kern w:val="0"/>
                <w:sz w:val="18"/>
                <w:szCs w:val="18"/>
                <w:lang w:eastAsia="es-CO"/>
                <w14:ligatures w14:val="none"/>
              </w:rPr>
              <w:t xml:space="preserve">Financiera De Desarrollo Nacional S.A. </w:t>
            </w:r>
          </w:p>
        </w:tc>
        <w:tc>
          <w:tcPr>
            <w:tcW w:w="1309" w:type="pct"/>
            <w:vAlign w:val="center"/>
            <w:hideMark/>
          </w:tcPr>
          <w:p w14:paraId="0CD49BEA" w14:textId="1F6692F6" w:rsidR="000D2AAD" w:rsidRPr="002D6214" w:rsidRDefault="000D2AAD" w:rsidP="000A5389">
            <w:pPr>
              <w:spacing w:line="240" w:lineRule="auto"/>
              <w:jc w:val="right"/>
              <w:rPr>
                <w:rFonts w:eastAsia="Times New Roman" w:cs="Times New Roman"/>
                <w:color w:val="000000"/>
                <w:kern w:val="0"/>
                <w:sz w:val="18"/>
                <w:szCs w:val="18"/>
                <w:lang w:eastAsia="es-CO"/>
                <w14:ligatures w14:val="none"/>
              </w:rPr>
            </w:pPr>
            <w:r w:rsidRPr="002D6214">
              <w:rPr>
                <w:rFonts w:eastAsia="Times New Roman" w:cs="Times New Roman"/>
                <w:color w:val="000000"/>
                <w:kern w:val="0"/>
                <w:sz w:val="18"/>
                <w:szCs w:val="18"/>
                <w:lang w:eastAsia="es-CO"/>
                <w14:ligatures w14:val="none"/>
              </w:rPr>
              <w:t>938.152.91</w:t>
            </w:r>
            <w:r w:rsidR="00E22BA6" w:rsidRPr="002D6214">
              <w:rPr>
                <w:rFonts w:eastAsia="Times New Roman" w:cs="Times New Roman"/>
                <w:color w:val="000000"/>
                <w:kern w:val="0"/>
                <w:sz w:val="18"/>
                <w:szCs w:val="18"/>
                <w:lang w:eastAsia="es-CO"/>
                <w14:ligatures w14:val="none"/>
              </w:rPr>
              <w:t>2</w:t>
            </w:r>
            <w:r w:rsidRPr="002D6214">
              <w:rPr>
                <w:rFonts w:eastAsia="Times New Roman" w:cs="Times New Roman"/>
                <w:color w:val="000000"/>
                <w:kern w:val="0"/>
                <w:sz w:val="18"/>
                <w:szCs w:val="18"/>
                <w:lang w:eastAsia="es-CO"/>
                <w14:ligatures w14:val="none"/>
              </w:rPr>
              <w:t xml:space="preserve"> </w:t>
            </w:r>
          </w:p>
        </w:tc>
      </w:tr>
      <w:tr w:rsidR="00942248" w:rsidRPr="002D6214" w14:paraId="4D9B6D2E" w14:textId="77777777" w:rsidTr="002D6214">
        <w:trPr>
          <w:trHeight w:val="300"/>
        </w:trPr>
        <w:tc>
          <w:tcPr>
            <w:tcW w:w="800" w:type="pct"/>
            <w:vAlign w:val="center"/>
            <w:hideMark/>
          </w:tcPr>
          <w:p w14:paraId="43BCED63" w14:textId="77777777" w:rsidR="000D2AAD" w:rsidRPr="002D6214" w:rsidRDefault="000D2AAD" w:rsidP="000A5389">
            <w:pPr>
              <w:spacing w:line="240" w:lineRule="auto"/>
              <w:rPr>
                <w:rFonts w:eastAsia="Times New Roman" w:cs="Times New Roman"/>
                <w:color w:val="000000"/>
                <w:kern w:val="0"/>
                <w:sz w:val="18"/>
                <w:szCs w:val="18"/>
                <w:lang w:eastAsia="es-CO"/>
                <w14:ligatures w14:val="none"/>
              </w:rPr>
            </w:pPr>
            <w:r w:rsidRPr="002D6214">
              <w:rPr>
                <w:rFonts w:eastAsia="Times New Roman" w:cs="Times New Roman"/>
                <w:color w:val="000000"/>
                <w:kern w:val="0"/>
                <w:sz w:val="18"/>
                <w:szCs w:val="18"/>
                <w:lang w:eastAsia="es-CO"/>
                <w14:ligatures w14:val="none"/>
              </w:rPr>
              <w:t>891800498</w:t>
            </w:r>
          </w:p>
        </w:tc>
        <w:tc>
          <w:tcPr>
            <w:tcW w:w="2891" w:type="pct"/>
            <w:vAlign w:val="center"/>
            <w:hideMark/>
          </w:tcPr>
          <w:p w14:paraId="41EBCDE6" w14:textId="6B3FBD41" w:rsidR="000D2AAD" w:rsidRPr="002D6214" w:rsidRDefault="00840455" w:rsidP="000A5389">
            <w:pPr>
              <w:spacing w:line="240" w:lineRule="auto"/>
              <w:rPr>
                <w:rFonts w:eastAsia="Times New Roman" w:cs="Times New Roman"/>
                <w:color w:val="000000"/>
                <w:kern w:val="0"/>
                <w:sz w:val="18"/>
                <w:szCs w:val="18"/>
                <w:lang w:eastAsia="es-CO"/>
                <w14:ligatures w14:val="none"/>
              </w:rPr>
            </w:pPr>
            <w:r w:rsidRPr="002D6214">
              <w:rPr>
                <w:rFonts w:eastAsia="Times New Roman" w:cs="Times New Roman"/>
                <w:color w:val="000000"/>
                <w:kern w:val="0"/>
                <w:sz w:val="18"/>
                <w:szCs w:val="18"/>
                <w:lang w:eastAsia="es-CO"/>
                <w14:ligatures w14:val="none"/>
              </w:rPr>
              <w:t xml:space="preserve">Departamento De </w:t>
            </w:r>
            <w:r w:rsidR="002D6214" w:rsidRPr="002D6214">
              <w:rPr>
                <w:rFonts w:eastAsia="Times New Roman" w:cs="Times New Roman"/>
                <w:color w:val="000000"/>
                <w:kern w:val="0"/>
                <w:sz w:val="18"/>
                <w:szCs w:val="18"/>
                <w:lang w:eastAsia="es-CO"/>
                <w14:ligatures w14:val="none"/>
              </w:rPr>
              <w:t>Boyacá</w:t>
            </w:r>
          </w:p>
        </w:tc>
        <w:tc>
          <w:tcPr>
            <w:tcW w:w="1309" w:type="pct"/>
            <w:vAlign w:val="center"/>
            <w:hideMark/>
          </w:tcPr>
          <w:p w14:paraId="0E46CFB8" w14:textId="600DF5AF" w:rsidR="000D2AAD" w:rsidRPr="002D6214" w:rsidRDefault="000D2AAD" w:rsidP="000A5389">
            <w:pPr>
              <w:spacing w:line="240" w:lineRule="auto"/>
              <w:jc w:val="right"/>
              <w:rPr>
                <w:rFonts w:eastAsia="Times New Roman" w:cs="Times New Roman"/>
                <w:color w:val="000000"/>
                <w:kern w:val="0"/>
                <w:sz w:val="18"/>
                <w:szCs w:val="18"/>
                <w:lang w:eastAsia="es-CO"/>
                <w14:ligatures w14:val="none"/>
              </w:rPr>
            </w:pPr>
            <w:r w:rsidRPr="002D6214">
              <w:rPr>
                <w:rFonts w:eastAsia="Times New Roman" w:cs="Times New Roman"/>
                <w:color w:val="000000"/>
                <w:kern w:val="0"/>
                <w:sz w:val="18"/>
                <w:szCs w:val="18"/>
                <w:lang w:eastAsia="es-CO"/>
                <w14:ligatures w14:val="none"/>
              </w:rPr>
              <w:t xml:space="preserve">11.882.460 </w:t>
            </w:r>
          </w:p>
        </w:tc>
      </w:tr>
      <w:tr w:rsidR="00942248" w:rsidRPr="002D6214" w14:paraId="1149E95B" w14:textId="77777777" w:rsidTr="00840455">
        <w:trPr>
          <w:trHeight w:val="300"/>
        </w:trPr>
        <w:tc>
          <w:tcPr>
            <w:tcW w:w="3691" w:type="pct"/>
            <w:gridSpan w:val="2"/>
            <w:vAlign w:val="center"/>
            <w:hideMark/>
          </w:tcPr>
          <w:p w14:paraId="5EB86569" w14:textId="77777777" w:rsidR="000D2AAD" w:rsidRPr="002D6214" w:rsidRDefault="000D2AAD" w:rsidP="000A5389">
            <w:pPr>
              <w:spacing w:line="240" w:lineRule="auto"/>
              <w:jc w:val="center"/>
              <w:rPr>
                <w:rFonts w:eastAsia="Times New Roman" w:cs="Times New Roman"/>
                <w:b/>
                <w:color w:val="000000"/>
                <w:kern w:val="0"/>
                <w:sz w:val="18"/>
                <w:szCs w:val="18"/>
                <w:lang w:eastAsia="es-CO"/>
                <w14:ligatures w14:val="none"/>
              </w:rPr>
            </w:pPr>
            <w:r w:rsidRPr="002D6214">
              <w:rPr>
                <w:rFonts w:eastAsia="Times New Roman" w:cs="Times New Roman"/>
                <w:b/>
                <w:color w:val="000000"/>
                <w:kern w:val="0"/>
                <w:sz w:val="18"/>
                <w:szCs w:val="18"/>
                <w:lang w:eastAsia="es-CO"/>
                <w14:ligatures w14:val="none"/>
              </w:rPr>
              <w:t>TOTAL</w:t>
            </w:r>
          </w:p>
        </w:tc>
        <w:tc>
          <w:tcPr>
            <w:tcW w:w="1309" w:type="pct"/>
            <w:noWrap/>
            <w:vAlign w:val="center"/>
            <w:hideMark/>
          </w:tcPr>
          <w:p w14:paraId="631755F8" w14:textId="1BAAAB36" w:rsidR="000D2AAD" w:rsidRPr="002D6214" w:rsidRDefault="000D2AAD" w:rsidP="000A5389">
            <w:pPr>
              <w:spacing w:line="240" w:lineRule="auto"/>
              <w:jc w:val="right"/>
              <w:rPr>
                <w:rFonts w:eastAsia="Times New Roman" w:cs="Times New Roman"/>
                <w:b/>
                <w:color w:val="000000"/>
                <w:kern w:val="0"/>
                <w:sz w:val="18"/>
                <w:szCs w:val="18"/>
                <w:lang w:eastAsia="es-CO"/>
                <w14:ligatures w14:val="none"/>
              </w:rPr>
            </w:pPr>
            <w:r w:rsidRPr="002D6214">
              <w:rPr>
                <w:rFonts w:eastAsia="Times New Roman" w:cs="Times New Roman"/>
                <w:b/>
                <w:bCs/>
                <w:color w:val="000000"/>
                <w:kern w:val="0"/>
                <w:sz w:val="18"/>
                <w:szCs w:val="18"/>
                <w:lang w:eastAsia="es-CO"/>
                <w14:ligatures w14:val="none"/>
              </w:rPr>
              <w:t xml:space="preserve">595.875.924.196 </w:t>
            </w:r>
          </w:p>
        </w:tc>
      </w:tr>
    </w:tbl>
    <w:p w14:paraId="0494F446" w14:textId="77777777" w:rsidR="002D6214" w:rsidRPr="00951AB1" w:rsidRDefault="002D6214" w:rsidP="000A5389">
      <w:pPr>
        <w:spacing w:line="240" w:lineRule="auto"/>
        <w:rPr>
          <w:rFonts w:cs="Times New Roman"/>
        </w:rPr>
      </w:pPr>
      <w:r w:rsidRPr="00951AB1">
        <w:rPr>
          <w:rFonts w:eastAsia="Times New Roman" w:cs="Times New Roman"/>
          <w:color w:val="000000" w:themeColor="text1"/>
          <w:sz w:val="16"/>
          <w:szCs w:val="16"/>
          <w:lang w:val="es-ES"/>
        </w:rPr>
        <w:t>Cifras expresadas en pesos</w:t>
      </w:r>
      <w:r w:rsidRPr="00951AB1">
        <w:rPr>
          <w:rFonts w:cs="Times New Roman"/>
        </w:rPr>
        <w:t xml:space="preserve"> </w:t>
      </w:r>
    </w:p>
    <w:p w14:paraId="0088079D" w14:textId="77777777" w:rsidR="000A5D51" w:rsidRPr="00951AB1" w:rsidRDefault="000A5D51" w:rsidP="000A5389">
      <w:pPr>
        <w:tabs>
          <w:tab w:val="num" w:pos="720"/>
        </w:tabs>
        <w:spacing w:line="240" w:lineRule="auto"/>
        <w:rPr>
          <w:rFonts w:eastAsia="Times New Roman" w:cs="Times New Roman"/>
          <w:i/>
          <w:szCs w:val="24"/>
        </w:rPr>
      </w:pPr>
    </w:p>
    <w:p w14:paraId="2500AC1F" w14:textId="1B32A246" w:rsidR="000A5D51" w:rsidRPr="00951AB1" w:rsidRDefault="000A5D51" w:rsidP="000A5389">
      <w:pPr>
        <w:tabs>
          <w:tab w:val="num" w:pos="720"/>
        </w:tabs>
        <w:spacing w:line="240" w:lineRule="auto"/>
        <w:rPr>
          <w:rFonts w:eastAsia="Times New Roman" w:cs="Times New Roman"/>
          <w:bCs/>
          <w:szCs w:val="24"/>
        </w:rPr>
      </w:pPr>
      <w:r w:rsidRPr="00951AB1">
        <w:rPr>
          <w:rFonts w:eastAsia="Times New Roman" w:cs="Times New Roman"/>
          <w:bCs/>
          <w:i/>
          <w:iCs/>
          <w:szCs w:val="24"/>
        </w:rPr>
        <w:t>Ganancia por bajas en cuentas de cuentas por pagar: S</w:t>
      </w:r>
      <w:r w:rsidRPr="00951AB1">
        <w:rPr>
          <w:rFonts w:eastAsia="Times New Roman" w:cs="Times New Roman"/>
          <w:bCs/>
          <w:szCs w:val="24"/>
        </w:rPr>
        <w:t>e registró un valor de $7.578.035.688, por la condonación de los intereses corrientes, a nombre de la Concesión Vías del Nus S.A.S Nit. 900920562, contrato de concesión No. 001 de 2016, el proyecto IP Vías del Nus, producto del pago total de la deuda que se encontraba reconocida por concepto de Laudo arbitral No. 135526 del 07/11/2023, aclaraciones del 21/11/2023. Lo anterior, fue informado mediante el formato GADF-F-120 -Liquidación de la deuda con fines contables con fecha de liquidación a 30 de septiembre de 2025.</w:t>
      </w:r>
      <w:r w:rsidR="00D845E4" w:rsidRPr="00951AB1">
        <w:rPr>
          <w:rFonts w:eastAsia="Times New Roman" w:cs="Times New Roman"/>
          <w:bCs/>
          <w:szCs w:val="24"/>
        </w:rPr>
        <w:t xml:space="preserve"> </w:t>
      </w:r>
      <w:r w:rsidRPr="00951AB1">
        <w:rPr>
          <w:rFonts w:eastAsia="Times New Roman" w:cs="Times New Roman"/>
          <w:bCs/>
          <w:szCs w:val="24"/>
        </w:rPr>
        <w:t>Su contrapartida se produjo en la subcuenta contable 246092001 Intereses de laudos arbitrales y conciliaciones extrajudiciales.</w:t>
      </w:r>
    </w:p>
    <w:p w14:paraId="25D7E526" w14:textId="3D137C49" w:rsidR="000A5D51" w:rsidRPr="00951AB1" w:rsidRDefault="000A5D51" w:rsidP="000A5389">
      <w:pPr>
        <w:spacing w:line="240" w:lineRule="auto"/>
        <w:rPr>
          <w:rFonts w:eastAsia="Times New Roman" w:cs="Times New Roman"/>
          <w:bCs/>
          <w:szCs w:val="24"/>
        </w:rPr>
      </w:pPr>
      <w:r w:rsidRPr="00951AB1">
        <w:rPr>
          <w:rFonts w:eastAsia="Times New Roman" w:cs="Times New Roman"/>
          <w:bCs/>
          <w:szCs w:val="24"/>
        </w:rPr>
        <w:t> </w:t>
      </w:r>
    </w:p>
    <w:p w14:paraId="667EAC02" w14:textId="2E9B0E52" w:rsidR="000A5D51" w:rsidRPr="00951AB1" w:rsidRDefault="000A5D51" w:rsidP="000A5389">
      <w:pPr>
        <w:spacing w:line="240" w:lineRule="auto"/>
        <w:rPr>
          <w:rFonts w:eastAsia="Times New Roman" w:cs="Times New Roman"/>
          <w:bCs/>
          <w:szCs w:val="24"/>
        </w:rPr>
      </w:pPr>
      <w:r w:rsidRPr="00951AB1">
        <w:rPr>
          <w:rFonts w:eastAsia="Times New Roman" w:cs="Times New Roman"/>
          <w:bCs/>
          <w:szCs w:val="24"/>
        </w:rPr>
        <w:t>El valor de $34.346.637 registrado contablemente a nombre del demandante Carlos Orlando Caro Sánchez con radicado:15001233300020120001000 con Ekogui: 314737 y de acuerdo con el memorando No. 20257010148903 de fecha 21-08-2025 de Defensa judicial indica que el pago lo realizó la aseguradora, razón por la cual se registró la baja de esta cuenta por pagar, afectando el ingreso por concepto de ganancia por bajas en cuentas de cuentas por pagar.</w:t>
      </w:r>
    </w:p>
    <w:p w14:paraId="2499B453" w14:textId="7258820A" w:rsidR="000A5D51" w:rsidRPr="00951AB1" w:rsidRDefault="000A5D51" w:rsidP="000A5389">
      <w:pPr>
        <w:spacing w:line="240" w:lineRule="auto"/>
        <w:rPr>
          <w:rFonts w:eastAsia="Times New Roman" w:cs="Times New Roman"/>
          <w:bCs/>
          <w:szCs w:val="24"/>
        </w:rPr>
      </w:pPr>
      <w:r w:rsidRPr="00951AB1">
        <w:rPr>
          <w:rFonts w:eastAsia="Times New Roman" w:cs="Times New Roman"/>
          <w:bCs/>
          <w:szCs w:val="24"/>
        </w:rPr>
        <w:lastRenderedPageBreak/>
        <w:t> </w:t>
      </w:r>
    </w:p>
    <w:p w14:paraId="35D945CF" w14:textId="7248E0A6" w:rsidR="000A5D51" w:rsidRPr="00951AB1" w:rsidRDefault="000A5D51" w:rsidP="000A5389">
      <w:pPr>
        <w:spacing w:line="240" w:lineRule="auto"/>
        <w:rPr>
          <w:rFonts w:eastAsia="Times New Roman" w:cs="Times New Roman"/>
          <w:bCs/>
          <w:szCs w:val="24"/>
        </w:rPr>
      </w:pPr>
      <w:r w:rsidRPr="00951AB1">
        <w:rPr>
          <w:rFonts w:eastAsia="Times New Roman" w:cs="Times New Roman"/>
          <w:bCs/>
          <w:szCs w:val="24"/>
        </w:rPr>
        <w:t xml:space="preserve">El valor de $110.910.529 registrado contablemente a nombre del demandante Hernando García </w:t>
      </w:r>
      <w:r w:rsidR="74C17A7F" w:rsidRPr="5B0C84B6">
        <w:rPr>
          <w:rFonts w:eastAsia="Times New Roman" w:cs="Times New Roman"/>
          <w:szCs w:val="24"/>
        </w:rPr>
        <w:t>A</w:t>
      </w:r>
      <w:r w:rsidR="5DAA4128" w:rsidRPr="5B0C84B6">
        <w:rPr>
          <w:rFonts w:eastAsia="Times New Roman" w:cs="Times New Roman"/>
          <w:szCs w:val="24"/>
        </w:rPr>
        <w:t>r</w:t>
      </w:r>
      <w:r w:rsidR="74C17A7F" w:rsidRPr="5B0C84B6">
        <w:rPr>
          <w:rFonts w:eastAsia="Times New Roman" w:cs="Times New Roman"/>
          <w:szCs w:val="24"/>
        </w:rPr>
        <w:t>turo</w:t>
      </w:r>
      <w:r w:rsidRPr="00951AB1">
        <w:rPr>
          <w:rFonts w:eastAsia="Times New Roman" w:cs="Times New Roman"/>
          <w:bCs/>
          <w:szCs w:val="24"/>
        </w:rPr>
        <w:t xml:space="preserve"> con radicado:47001333300420130028700 con Ekogui: 2154926 y de acuerdo con el memorando No. 20267010045073 de fecha 17-02-2026 de Defensa judicial indica que el pago lo realizó la aseguradora, razón por la cual se registró la baja de esta cuenta por pagar, afectando el ingreso por concepto de ganancia por bajas en cuentas de cuentas por pagar. </w:t>
      </w:r>
    </w:p>
    <w:p w14:paraId="2485C059" w14:textId="5B6833B2" w:rsidR="00202BE5" w:rsidRPr="00951AB1" w:rsidRDefault="000A5D51" w:rsidP="000A5389">
      <w:pPr>
        <w:spacing w:line="240" w:lineRule="auto"/>
        <w:rPr>
          <w:rFonts w:eastAsia="Times New Roman" w:cs="Times New Roman"/>
          <w:szCs w:val="24"/>
          <w:lang w:val="es-ES"/>
        </w:rPr>
      </w:pPr>
      <w:r w:rsidRPr="00951AB1">
        <w:rPr>
          <w:rFonts w:eastAsia="Times New Roman" w:cs="Times New Roman"/>
          <w:bCs/>
          <w:szCs w:val="24"/>
        </w:rPr>
        <w:t> </w:t>
      </w:r>
    </w:p>
    <w:p w14:paraId="209C7324" w14:textId="58757007" w:rsidR="00E2232F" w:rsidRPr="00951AB1" w:rsidRDefault="00202BE5" w:rsidP="000A5389">
      <w:pPr>
        <w:spacing w:line="240" w:lineRule="auto"/>
        <w:rPr>
          <w:rFonts w:eastAsia="Times New Roman" w:cs="Times New Roman"/>
          <w:szCs w:val="24"/>
          <w:lang w:val="es-ES"/>
        </w:rPr>
      </w:pPr>
      <w:r w:rsidRPr="00951AB1">
        <w:rPr>
          <w:rFonts w:eastAsia="Times New Roman" w:cs="Times New Roman"/>
          <w:b/>
          <w:i/>
          <w:szCs w:val="24"/>
          <w:lang w:val="es"/>
        </w:rPr>
        <w:t>Reversión del deterioro del Valor - Cuentas por cobrar</w:t>
      </w:r>
    </w:p>
    <w:p w14:paraId="2703D331" w14:textId="2C613C31" w:rsidR="5B0C84B6" w:rsidRDefault="5B0C84B6" w:rsidP="000A5389">
      <w:pPr>
        <w:spacing w:line="240" w:lineRule="auto"/>
        <w:ind w:right="-20"/>
        <w:rPr>
          <w:rFonts w:eastAsia="Times New Roman" w:cs="Times New Roman"/>
          <w:szCs w:val="24"/>
          <w:lang w:val="es-ES"/>
        </w:rPr>
      </w:pPr>
    </w:p>
    <w:p w14:paraId="24ABD58E" w14:textId="16920143" w:rsidR="00A23DF0" w:rsidRPr="00951AB1" w:rsidRDefault="00A23DF0" w:rsidP="000A5389">
      <w:pPr>
        <w:spacing w:line="240" w:lineRule="auto"/>
        <w:ind w:right="-20"/>
        <w:rPr>
          <w:rFonts w:eastAsia="Times New Roman" w:cs="Times New Roman"/>
          <w:szCs w:val="24"/>
          <w:lang w:val="es-ES"/>
        </w:rPr>
      </w:pPr>
      <w:r w:rsidRPr="00951AB1">
        <w:rPr>
          <w:rFonts w:eastAsia="Times New Roman" w:cs="Times New Roman"/>
          <w:szCs w:val="24"/>
          <w:lang w:val="es-ES"/>
        </w:rPr>
        <w:t xml:space="preserve">Corresponde al reconocimiento del deterioro de otras cuentas por cobrar de acuerdo </w:t>
      </w:r>
      <w:r w:rsidR="4A1BF92F" w:rsidRPr="5B0C84B6">
        <w:rPr>
          <w:rFonts w:eastAsia="Times New Roman" w:cs="Times New Roman"/>
          <w:szCs w:val="24"/>
          <w:lang w:val="es-ES"/>
        </w:rPr>
        <w:t>con el</w:t>
      </w:r>
      <w:r w:rsidRPr="00951AB1">
        <w:rPr>
          <w:rFonts w:eastAsia="Times New Roman" w:cs="Times New Roman"/>
          <w:szCs w:val="24"/>
          <w:lang w:val="es-ES"/>
        </w:rPr>
        <w:t xml:space="preserve"> test de deterioro enviado por el GIT de Defensa Judicial, a continuación, se detallan por terceros, así:</w:t>
      </w:r>
    </w:p>
    <w:p w14:paraId="7C6F945F" w14:textId="77777777" w:rsidR="00CA1191" w:rsidRPr="00951AB1" w:rsidRDefault="00CA1191" w:rsidP="000A5389">
      <w:pPr>
        <w:spacing w:line="240" w:lineRule="auto"/>
        <w:rPr>
          <w:rFonts w:eastAsia="Times New Roman" w:cs="Times New Roman"/>
          <w:szCs w:val="24"/>
          <w:lang w:val="es"/>
        </w:rPr>
      </w:pPr>
    </w:p>
    <w:p w14:paraId="724C76BC" w14:textId="03D76310" w:rsidR="00315361" w:rsidRPr="00951AB1" w:rsidRDefault="006B3D0A" w:rsidP="000A5389">
      <w:pPr>
        <w:spacing w:line="240" w:lineRule="auto"/>
        <w:ind w:right="-20"/>
        <w:rPr>
          <w:rFonts w:eastAsia="Times New Roman" w:cs="Times New Roman"/>
          <w:szCs w:val="24"/>
          <w:lang w:val="es"/>
        </w:rPr>
      </w:pPr>
      <w:r w:rsidRPr="00951AB1">
        <w:rPr>
          <w:rFonts w:eastAsia="Times New Roman" w:cs="Times New Roman"/>
          <w:szCs w:val="24"/>
          <w:lang w:val="es-ES"/>
        </w:rPr>
        <w:t xml:space="preserve">Ingresos </w:t>
      </w:r>
      <w:r w:rsidR="004B1AEE" w:rsidRPr="00951AB1">
        <w:rPr>
          <w:rFonts w:eastAsia="Times New Roman" w:cs="Times New Roman"/>
          <w:szCs w:val="24"/>
          <w:lang w:val="es-ES"/>
        </w:rPr>
        <w:t>n</w:t>
      </w:r>
      <w:r w:rsidRPr="00951AB1">
        <w:rPr>
          <w:rFonts w:eastAsia="Times New Roman" w:cs="Times New Roman"/>
          <w:szCs w:val="24"/>
          <w:lang w:val="es-ES"/>
        </w:rPr>
        <w:t>o tributarios:</w:t>
      </w:r>
    </w:p>
    <w:tbl>
      <w:tblPr>
        <w:tblW w:w="5000" w:type="pct"/>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4A0" w:firstRow="1" w:lastRow="0" w:firstColumn="1" w:lastColumn="0" w:noHBand="0" w:noVBand="1"/>
      </w:tblPr>
      <w:tblGrid>
        <w:gridCol w:w="1545"/>
        <w:gridCol w:w="5429"/>
        <w:gridCol w:w="1854"/>
      </w:tblGrid>
      <w:tr w:rsidR="006A090B" w:rsidRPr="002D6214" w14:paraId="75427EE1" w14:textId="77777777" w:rsidTr="0059341F">
        <w:trPr>
          <w:trHeight w:val="300"/>
          <w:tblHeader/>
        </w:trPr>
        <w:tc>
          <w:tcPr>
            <w:tcW w:w="3950" w:type="pct"/>
            <w:gridSpan w:val="2"/>
            <w:tcMar>
              <w:left w:w="70" w:type="dxa"/>
              <w:right w:w="70" w:type="dxa"/>
            </w:tcMar>
            <w:vAlign w:val="center"/>
          </w:tcPr>
          <w:p w14:paraId="7EC5C27E" w14:textId="77777777" w:rsidR="006A090B" w:rsidRPr="002D6214" w:rsidRDefault="006A090B" w:rsidP="000A5389">
            <w:pPr>
              <w:spacing w:line="240" w:lineRule="auto"/>
              <w:jc w:val="center"/>
              <w:rPr>
                <w:rFonts w:eastAsia="Times New Roman" w:cs="Times New Roman"/>
                <w:b/>
                <w:sz w:val="18"/>
                <w:szCs w:val="18"/>
                <w:lang w:eastAsia="es-CO"/>
              </w:rPr>
            </w:pPr>
            <w:r w:rsidRPr="002D6214">
              <w:rPr>
                <w:rFonts w:eastAsia="Times New Roman" w:cs="Times New Roman"/>
                <w:b/>
                <w:sz w:val="18"/>
                <w:szCs w:val="18"/>
                <w:lang w:eastAsia="es-CO"/>
              </w:rPr>
              <w:t>TERCERO</w:t>
            </w:r>
          </w:p>
        </w:tc>
        <w:tc>
          <w:tcPr>
            <w:tcW w:w="1050" w:type="pct"/>
            <w:tcMar>
              <w:left w:w="70" w:type="dxa"/>
              <w:right w:w="70" w:type="dxa"/>
            </w:tcMar>
            <w:vAlign w:val="center"/>
          </w:tcPr>
          <w:p w14:paraId="03C34534" w14:textId="072996BF" w:rsidR="006A090B" w:rsidRPr="002D6214" w:rsidRDefault="006A090B" w:rsidP="000A5389">
            <w:pPr>
              <w:spacing w:line="240" w:lineRule="auto"/>
              <w:jc w:val="center"/>
              <w:rPr>
                <w:rFonts w:eastAsia="Times New Roman" w:cs="Times New Roman"/>
                <w:b/>
                <w:sz w:val="18"/>
                <w:szCs w:val="18"/>
                <w:lang w:eastAsia="es-CO"/>
              </w:rPr>
            </w:pPr>
            <w:r w:rsidRPr="002D6214">
              <w:rPr>
                <w:rFonts w:eastAsia="Times New Roman" w:cs="Times New Roman"/>
                <w:b/>
                <w:sz w:val="18"/>
                <w:szCs w:val="18"/>
                <w:lang w:eastAsia="es-CO"/>
              </w:rPr>
              <w:t>SALDO 202</w:t>
            </w:r>
            <w:r w:rsidR="00201416" w:rsidRPr="002D6214">
              <w:rPr>
                <w:rFonts w:eastAsia="Times New Roman" w:cs="Times New Roman"/>
                <w:b/>
                <w:sz w:val="18"/>
                <w:szCs w:val="18"/>
                <w:lang w:eastAsia="es-CO"/>
              </w:rPr>
              <w:t>5</w:t>
            </w:r>
          </w:p>
        </w:tc>
      </w:tr>
      <w:tr w:rsidR="006A090B" w:rsidRPr="002D6214" w14:paraId="386DEB0B" w14:textId="77777777">
        <w:trPr>
          <w:trHeight w:val="300"/>
        </w:trPr>
        <w:tc>
          <w:tcPr>
            <w:tcW w:w="875" w:type="pct"/>
            <w:tcMar>
              <w:left w:w="70" w:type="dxa"/>
              <w:right w:w="70" w:type="dxa"/>
            </w:tcMar>
            <w:vAlign w:val="center"/>
          </w:tcPr>
          <w:p w14:paraId="130A7746" w14:textId="66826D47" w:rsidR="006A090B" w:rsidRPr="002D6214" w:rsidRDefault="00201416" w:rsidP="000A5389">
            <w:pPr>
              <w:spacing w:line="240" w:lineRule="auto"/>
              <w:rPr>
                <w:rFonts w:eastAsia="Times New Roman" w:cs="Times New Roman"/>
                <w:sz w:val="18"/>
                <w:szCs w:val="18"/>
                <w:lang w:eastAsia="es-CO"/>
              </w:rPr>
            </w:pPr>
            <w:r w:rsidRPr="002D6214">
              <w:rPr>
                <w:rFonts w:eastAsia="Times New Roman" w:cs="Times New Roman"/>
                <w:sz w:val="18"/>
                <w:szCs w:val="18"/>
                <w:lang w:eastAsia="es-CO"/>
              </w:rPr>
              <w:t>900677144</w:t>
            </w:r>
          </w:p>
        </w:tc>
        <w:tc>
          <w:tcPr>
            <w:tcW w:w="3075" w:type="pct"/>
            <w:tcMar>
              <w:left w:w="70" w:type="dxa"/>
              <w:right w:w="70" w:type="dxa"/>
            </w:tcMar>
            <w:vAlign w:val="center"/>
          </w:tcPr>
          <w:p w14:paraId="138E83E3" w14:textId="7BBAD1AC" w:rsidR="006A090B" w:rsidRPr="002D6214" w:rsidRDefault="0DF5DF4F" w:rsidP="000A5389">
            <w:pPr>
              <w:spacing w:line="240" w:lineRule="auto"/>
              <w:rPr>
                <w:rFonts w:eastAsia="Times New Roman" w:cs="Times New Roman"/>
                <w:sz w:val="18"/>
                <w:szCs w:val="18"/>
                <w:lang w:eastAsia="es-CO"/>
              </w:rPr>
            </w:pPr>
            <w:r w:rsidRPr="002D6214">
              <w:rPr>
                <w:rFonts w:eastAsia="Times New Roman" w:cs="Times New Roman"/>
                <w:sz w:val="18"/>
                <w:szCs w:val="18"/>
                <w:lang w:eastAsia="es-CO"/>
              </w:rPr>
              <w:t>S</w:t>
            </w:r>
            <w:r w:rsidR="2A89FF58" w:rsidRPr="002D6214">
              <w:rPr>
                <w:rFonts w:eastAsia="Times New Roman" w:cs="Times New Roman"/>
                <w:sz w:val="18"/>
                <w:szCs w:val="18"/>
                <w:lang w:eastAsia="es-CO"/>
              </w:rPr>
              <w:t>ociedad</w:t>
            </w:r>
            <w:r w:rsidR="004B1AEE" w:rsidRPr="002D6214">
              <w:rPr>
                <w:rFonts w:eastAsia="Times New Roman" w:cs="Times New Roman"/>
                <w:sz w:val="18"/>
                <w:szCs w:val="18"/>
                <w:lang w:eastAsia="es-CO"/>
              </w:rPr>
              <w:t xml:space="preserve"> portuaria terminal de IFOS s.a.</w:t>
            </w:r>
          </w:p>
        </w:tc>
        <w:tc>
          <w:tcPr>
            <w:tcW w:w="1050" w:type="pct"/>
            <w:tcMar>
              <w:left w:w="70" w:type="dxa"/>
              <w:right w:w="70" w:type="dxa"/>
            </w:tcMar>
            <w:vAlign w:val="center"/>
          </w:tcPr>
          <w:p w14:paraId="5D664B91" w14:textId="525E43F4" w:rsidR="006A090B" w:rsidRPr="002D6214" w:rsidRDefault="004B3C62" w:rsidP="000A5389">
            <w:pPr>
              <w:spacing w:line="240" w:lineRule="auto"/>
              <w:jc w:val="right"/>
              <w:rPr>
                <w:rFonts w:eastAsia="Times New Roman" w:cs="Times New Roman"/>
                <w:sz w:val="18"/>
                <w:szCs w:val="18"/>
                <w:lang w:eastAsia="es-CO"/>
              </w:rPr>
            </w:pPr>
            <w:r w:rsidRPr="002D6214">
              <w:rPr>
                <w:rFonts w:eastAsia="Times New Roman" w:cs="Times New Roman"/>
                <w:sz w:val="18"/>
                <w:szCs w:val="18"/>
                <w:lang w:eastAsia="es-CO"/>
              </w:rPr>
              <w:t>173.163.962</w:t>
            </w:r>
          </w:p>
        </w:tc>
      </w:tr>
      <w:tr w:rsidR="006A090B" w:rsidRPr="002D6214" w14:paraId="15E32334" w14:textId="77777777">
        <w:trPr>
          <w:trHeight w:val="300"/>
        </w:trPr>
        <w:tc>
          <w:tcPr>
            <w:tcW w:w="875" w:type="pct"/>
            <w:tcMar>
              <w:left w:w="70" w:type="dxa"/>
              <w:right w:w="70" w:type="dxa"/>
            </w:tcMar>
            <w:vAlign w:val="center"/>
          </w:tcPr>
          <w:p w14:paraId="6BDED804" w14:textId="3CB9908F" w:rsidR="006A090B" w:rsidRPr="002D6214" w:rsidRDefault="004B3C62" w:rsidP="000A5389">
            <w:pPr>
              <w:spacing w:line="240" w:lineRule="auto"/>
              <w:rPr>
                <w:rFonts w:eastAsia="Times New Roman" w:cs="Times New Roman"/>
                <w:sz w:val="18"/>
                <w:szCs w:val="18"/>
                <w:lang w:eastAsia="es-CO"/>
              </w:rPr>
            </w:pPr>
            <w:r w:rsidRPr="002D6214">
              <w:rPr>
                <w:rFonts w:eastAsia="Times New Roman" w:cs="Times New Roman"/>
                <w:sz w:val="18"/>
                <w:szCs w:val="18"/>
                <w:lang w:eastAsia="es-CO"/>
              </w:rPr>
              <w:t>839000348</w:t>
            </w:r>
          </w:p>
        </w:tc>
        <w:tc>
          <w:tcPr>
            <w:tcW w:w="3075" w:type="pct"/>
            <w:tcMar>
              <w:left w:w="70" w:type="dxa"/>
              <w:right w:w="70" w:type="dxa"/>
            </w:tcMar>
            <w:vAlign w:val="center"/>
          </w:tcPr>
          <w:p w14:paraId="5F11F52E" w14:textId="4C913DF8" w:rsidR="006A090B" w:rsidRPr="002D6214" w:rsidRDefault="73B33DEB" w:rsidP="000A5389">
            <w:pPr>
              <w:spacing w:line="240" w:lineRule="auto"/>
              <w:rPr>
                <w:rFonts w:eastAsia="Times New Roman" w:cs="Times New Roman"/>
                <w:sz w:val="18"/>
                <w:szCs w:val="18"/>
                <w:lang w:eastAsia="es-CO"/>
              </w:rPr>
            </w:pPr>
            <w:r w:rsidRPr="002D6214">
              <w:rPr>
                <w:rFonts w:eastAsia="Times New Roman" w:cs="Times New Roman"/>
                <w:sz w:val="18"/>
                <w:szCs w:val="18"/>
                <w:lang w:eastAsia="es-CO"/>
              </w:rPr>
              <w:t>S</w:t>
            </w:r>
            <w:r w:rsidR="2A89FF58" w:rsidRPr="002D6214">
              <w:rPr>
                <w:rFonts w:eastAsia="Times New Roman" w:cs="Times New Roman"/>
                <w:sz w:val="18"/>
                <w:szCs w:val="18"/>
                <w:lang w:eastAsia="es-CO"/>
              </w:rPr>
              <w:t>ociedad</w:t>
            </w:r>
            <w:r w:rsidR="004B1AEE" w:rsidRPr="002D6214">
              <w:rPr>
                <w:rFonts w:eastAsia="Times New Roman" w:cs="Times New Roman"/>
                <w:sz w:val="18"/>
                <w:szCs w:val="18"/>
                <w:lang w:eastAsia="es-CO"/>
              </w:rPr>
              <w:t xml:space="preserve"> portuaria de la península</w:t>
            </w:r>
          </w:p>
        </w:tc>
        <w:tc>
          <w:tcPr>
            <w:tcW w:w="1050" w:type="pct"/>
            <w:tcMar>
              <w:left w:w="70" w:type="dxa"/>
              <w:right w:w="70" w:type="dxa"/>
            </w:tcMar>
            <w:vAlign w:val="center"/>
          </w:tcPr>
          <w:p w14:paraId="4EF7DCEC" w14:textId="5DEB927A" w:rsidR="006A090B" w:rsidRPr="002D6214" w:rsidRDefault="00605D21" w:rsidP="000A5389">
            <w:pPr>
              <w:spacing w:line="240" w:lineRule="auto"/>
              <w:jc w:val="right"/>
              <w:rPr>
                <w:rFonts w:eastAsia="Times New Roman" w:cs="Times New Roman"/>
                <w:sz w:val="18"/>
                <w:szCs w:val="18"/>
                <w:lang w:eastAsia="es-CO"/>
              </w:rPr>
            </w:pPr>
            <w:r w:rsidRPr="002D6214">
              <w:rPr>
                <w:rFonts w:eastAsia="Times New Roman" w:cs="Times New Roman"/>
                <w:sz w:val="18"/>
                <w:szCs w:val="18"/>
                <w:lang w:eastAsia="es-CO"/>
              </w:rPr>
              <w:t>33.743.986</w:t>
            </w:r>
          </w:p>
        </w:tc>
      </w:tr>
      <w:tr w:rsidR="004B1AEE" w:rsidRPr="002D6214" w14:paraId="78F2BBED" w14:textId="77777777" w:rsidTr="004B1AEE">
        <w:trPr>
          <w:trHeight w:val="300"/>
        </w:trPr>
        <w:tc>
          <w:tcPr>
            <w:tcW w:w="3950" w:type="pct"/>
            <w:gridSpan w:val="2"/>
            <w:tcMar>
              <w:left w:w="70" w:type="dxa"/>
              <w:right w:w="70" w:type="dxa"/>
            </w:tcMar>
            <w:vAlign w:val="center"/>
          </w:tcPr>
          <w:p w14:paraId="21589981" w14:textId="77777777" w:rsidR="004B1AEE" w:rsidRPr="002D6214" w:rsidRDefault="004B1AEE" w:rsidP="000A5389">
            <w:pPr>
              <w:spacing w:line="240" w:lineRule="auto"/>
              <w:rPr>
                <w:rFonts w:eastAsia="Times New Roman" w:cs="Times New Roman"/>
                <w:sz w:val="18"/>
                <w:szCs w:val="18"/>
                <w:lang w:eastAsia="es-CO"/>
              </w:rPr>
            </w:pPr>
            <w:r w:rsidRPr="002D6214">
              <w:rPr>
                <w:rFonts w:eastAsia="Times New Roman" w:cs="Times New Roman"/>
                <w:b/>
                <w:bCs/>
                <w:sz w:val="18"/>
                <w:szCs w:val="18"/>
                <w:lang w:eastAsia="es-CO"/>
              </w:rPr>
              <w:t>TOTAL</w:t>
            </w:r>
          </w:p>
        </w:tc>
        <w:tc>
          <w:tcPr>
            <w:tcW w:w="1050" w:type="pct"/>
            <w:tcMar>
              <w:left w:w="70" w:type="dxa"/>
              <w:right w:w="70" w:type="dxa"/>
            </w:tcMar>
            <w:vAlign w:val="center"/>
          </w:tcPr>
          <w:p w14:paraId="5F05B4B7" w14:textId="64ECD05B" w:rsidR="004B1AEE" w:rsidRPr="002D6214" w:rsidRDefault="004B1AEE" w:rsidP="000A5389">
            <w:pPr>
              <w:spacing w:line="240" w:lineRule="auto"/>
              <w:jc w:val="right"/>
              <w:rPr>
                <w:rFonts w:eastAsia="Times New Roman" w:cs="Times New Roman"/>
                <w:sz w:val="18"/>
                <w:szCs w:val="18"/>
                <w:lang w:eastAsia="es-CO"/>
              </w:rPr>
            </w:pPr>
            <w:r w:rsidRPr="002D6214">
              <w:rPr>
                <w:rFonts w:eastAsia="Times New Roman" w:cs="Times New Roman"/>
                <w:sz w:val="18"/>
                <w:szCs w:val="18"/>
                <w:lang w:eastAsia="es-CO"/>
              </w:rPr>
              <w:t>206.907.948</w:t>
            </w:r>
          </w:p>
        </w:tc>
      </w:tr>
    </w:tbl>
    <w:p w14:paraId="626E6B5E" w14:textId="77777777" w:rsidR="004B1AEE" w:rsidRPr="00951AB1" w:rsidRDefault="004B1AEE" w:rsidP="000A5389">
      <w:pPr>
        <w:spacing w:line="240" w:lineRule="auto"/>
        <w:rPr>
          <w:rFonts w:eastAsia="Times New Roman" w:cs="Times New Roman"/>
          <w:sz w:val="16"/>
          <w:szCs w:val="16"/>
          <w:lang w:val="es-ES"/>
        </w:rPr>
      </w:pPr>
      <w:r w:rsidRPr="00951AB1">
        <w:rPr>
          <w:rFonts w:eastAsia="Times New Roman" w:cs="Times New Roman"/>
          <w:sz w:val="16"/>
          <w:szCs w:val="16"/>
          <w:lang w:val="es-ES"/>
        </w:rPr>
        <w:t>Cifras expresadas en pesos</w:t>
      </w:r>
    </w:p>
    <w:p w14:paraId="3456F49E" w14:textId="77777777" w:rsidR="00315361" w:rsidRPr="00951AB1" w:rsidRDefault="00315361" w:rsidP="000A5389">
      <w:pPr>
        <w:spacing w:line="240" w:lineRule="auto"/>
        <w:ind w:right="-20"/>
        <w:rPr>
          <w:rFonts w:eastAsia="Times New Roman" w:cs="Times New Roman"/>
          <w:szCs w:val="24"/>
        </w:rPr>
      </w:pPr>
    </w:p>
    <w:p w14:paraId="06F32C4A" w14:textId="354F1D91" w:rsidR="00315361" w:rsidRPr="00951AB1" w:rsidRDefault="00315361" w:rsidP="000A5389">
      <w:pPr>
        <w:spacing w:line="240" w:lineRule="auto"/>
        <w:ind w:right="-20"/>
        <w:rPr>
          <w:rFonts w:eastAsia="Times New Roman" w:cs="Times New Roman"/>
          <w:szCs w:val="24"/>
        </w:rPr>
      </w:pPr>
      <w:r w:rsidRPr="00951AB1">
        <w:rPr>
          <w:rFonts w:eastAsia="Times New Roman" w:cs="Times New Roman"/>
          <w:szCs w:val="24"/>
        </w:rPr>
        <w:t xml:space="preserve">No se presentan ingresos producidos por intercambios de bienes o servicios. </w:t>
      </w:r>
    </w:p>
    <w:p w14:paraId="450E6019" w14:textId="053C5EB0" w:rsidR="002D6214" w:rsidRDefault="002D6214" w:rsidP="000A5389">
      <w:pPr>
        <w:spacing w:line="240" w:lineRule="auto"/>
        <w:ind w:right="-20"/>
        <w:rPr>
          <w:rFonts w:eastAsia="Times New Roman" w:cs="Times New Roman"/>
          <w:szCs w:val="24"/>
        </w:rPr>
      </w:pPr>
    </w:p>
    <w:p w14:paraId="71C95C58" w14:textId="77777777" w:rsidR="002D6214" w:rsidRPr="00951AB1" w:rsidRDefault="002D6214" w:rsidP="000A5389">
      <w:pPr>
        <w:spacing w:line="240" w:lineRule="auto"/>
        <w:ind w:right="-20"/>
        <w:rPr>
          <w:rFonts w:eastAsia="Times New Roman" w:cs="Times New Roman"/>
          <w:szCs w:val="24"/>
        </w:rPr>
      </w:pPr>
    </w:p>
    <w:p w14:paraId="1CE6FDE9" w14:textId="4DAA2A86" w:rsidR="00046A94" w:rsidRPr="00951AB1" w:rsidRDefault="00046A94" w:rsidP="000A5389">
      <w:pPr>
        <w:pStyle w:val="Ttulo1"/>
        <w:spacing w:line="240" w:lineRule="auto"/>
        <w:rPr>
          <w:rFonts w:cs="Times New Roman"/>
        </w:rPr>
      </w:pPr>
      <w:bookmarkStart w:id="827" w:name="_Toc191369569"/>
      <w:bookmarkStart w:id="828" w:name="_Toc191456896"/>
      <w:bookmarkStart w:id="829" w:name="_Toc191457006"/>
      <w:bookmarkStart w:id="830" w:name="_Toc191457116"/>
      <w:bookmarkStart w:id="831" w:name="_Toc191475743"/>
      <w:bookmarkStart w:id="832" w:name="_Toc191475852"/>
      <w:bookmarkStart w:id="833" w:name="_Toc191475961"/>
      <w:bookmarkStart w:id="834" w:name="_Toc191475484"/>
      <w:bookmarkStart w:id="835" w:name="_Toc191505860"/>
      <w:bookmarkStart w:id="836" w:name="_Toc222824174"/>
      <w:bookmarkStart w:id="837" w:name="_Toc222955540"/>
      <w:r w:rsidRPr="00951AB1">
        <w:rPr>
          <w:rFonts w:cs="Times New Roman"/>
        </w:rPr>
        <w:t>NOTA 30. GASTOS</w:t>
      </w:r>
      <w:bookmarkEnd w:id="827"/>
      <w:bookmarkEnd w:id="828"/>
      <w:bookmarkEnd w:id="829"/>
      <w:bookmarkEnd w:id="830"/>
      <w:bookmarkEnd w:id="831"/>
      <w:bookmarkEnd w:id="832"/>
      <w:bookmarkEnd w:id="833"/>
      <w:bookmarkEnd w:id="834"/>
      <w:bookmarkEnd w:id="835"/>
      <w:bookmarkEnd w:id="836"/>
      <w:bookmarkEnd w:id="837"/>
    </w:p>
    <w:p w14:paraId="64A7A158" w14:textId="77777777" w:rsidR="00046A94" w:rsidRPr="00951AB1" w:rsidRDefault="00046A94" w:rsidP="000A5389">
      <w:pPr>
        <w:spacing w:line="240" w:lineRule="auto"/>
        <w:rPr>
          <w:rFonts w:cs="Times New Roman"/>
          <w:b/>
          <w:sz w:val="18"/>
          <w:szCs w:val="18"/>
        </w:rPr>
      </w:pPr>
    </w:p>
    <w:p w14:paraId="0DE594AC" w14:textId="77777777" w:rsidR="00046A94" w:rsidRPr="00951AB1" w:rsidRDefault="00046A94" w:rsidP="000A5389">
      <w:pPr>
        <w:pStyle w:val="Ttulo2"/>
        <w:numPr>
          <w:ilvl w:val="0"/>
          <w:numId w:val="0"/>
        </w:numPr>
        <w:spacing w:line="240" w:lineRule="auto"/>
        <w:rPr>
          <w:rFonts w:cs="Times New Roman"/>
        </w:rPr>
      </w:pPr>
      <w:bookmarkStart w:id="838" w:name="_Toc191369570"/>
      <w:bookmarkStart w:id="839" w:name="_Toc191456897"/>
      <w:bookmarkStart w:id="840" w:name="_Toc191457007"/>
      <w:bookmarkStart w:id="841" w:name="_Toc191457117"/>
      <w:bookmarkStart w:id="842" w:name="_Toc191475744"/>
      <w:bookmarkStart w:id="843" w:name="_Toc191475853"/>
      <w:bookmarkStart w:id="844" w:name="_Toc191475962"/>
      <w:bookmarkStart w:id="845" w:name="_Toc191475485"/>
      <w:bookmarkStart w:id="846" w:name="_Toc191505861"/>
      <w:bookmarkStart w:id="847" w:name="_Toc222824175"/>
      <w:bookmarkStart w:id="848" w:name="_Toc222955541"/>
      <w:r w:rsidRPr="00951AB1">
        <w:rPr>
          <w:rFonts w:cs="Times New Roman"/>
        </w:rPr>
        <w:t>Composición</w:t>
      </w:r>
      <w:bookmarkEnd w:id="838"/>
      <w:bookmarkEnd w:id="839"/>
      <w:bookmarkEnd w:id="840"/>
      <w:bookmarkEnd w:id="841"/>
      <w:bookmarkEnd w:id="842"/>
      <w:bookmarkEnd w:id="843"/>
      <w:bookmarkEnd w:id="844"/>
      <w:bookmarkEnd w:id="845"/>
      <w:bookmarkEnd w:id="846"/>
      <w:bookmarkEnd w:id="847"/>
      <w:bookmarkEnd w:id="848"/>
    </w:p>
    <w:p w14:paraId="00C67624" w14:textId="77777777" w:rsidR="005D78CA" w:rsidRPr="00951AB1" w:rsidRDefault="005D78CA" w:rsidP="000A5389">
      <w:pPr>
        <w:spacing w:line="240" w:lineRule="auto"/>
        <w:rPr>
          <w:rFonts w:cs="Times New Roman"/>
        </w:rPr>
      </w:pPr>
    </w:p>
    <w:tbl>
      <w:tblPr>
        <w:tblW w:w="5000" w:type="pct"/>
        <w:tblCellMar>
          <w:left w:w="70" w:type="dxa"/>
          <w:right w:w="70" w:type="dxa"/>
        </w:tblCellMar>
        <w:tblLook w:val="04A0" w:firstRow="1" w:lastRow="0" w:firstColumn="1" w:lastColumn="0" w:noHBand="0" w:noVBand="1"/>
      </w:tblPr>
      <w:tblGrid>
        <w:gridCol w:w="390"/>
        <w:gridCol w:w="3318"/>
        <w:gridCol w:w="1740"/>
        <w:gridCol w:w="1740"/>
        <w:gridCol w:w="1640"/>
      </w:tblGrid>
      <w:tr w:rsidR="00CF4D38" w:rsidRPr="00951AB1" w14:paraId="6C332D8A" w14:textId="77777777" w:rsidTr="0095714D">
        <w:trPr>
          <w:trHeight w:val="340"/>
        </w:trPr>
        <w:tc>
          <w:tcPr>
            <w:tcW w:w="2353" w:type="pct"/>
            <w:gridSpan w:val="2"/>
            <w:tcBorders>
              <w:top w:val="single" w:sz="4" w:space="0" w:color="A6A6A6"/>
              <w:left w:val="single" w:sz="4" w:space="0" w:color="A6A6A6"/>
              <w:bottom w:val="single" w:sz="4" w:space="0" w:color="A6A6A6"/>
              <w:right w:val="single" w:sz="4" w:space="0" w:color="A6A6A6"/>
            </w:tcBorders>
            <w:noWrap/>
            <w:vAlign w:val="center"/>
            <w:hideMark/>
          </w:tcPr>
          <w:p w14:paraId="0622D481" w14:textId="77777777" w:rsidR="00C01945" w:rsidRPr="00951AB1" w:rsidRDefault="00C01945" w:rsidP="000A5389">
            <w:pPr>
              <w:spacing w:line="240" w:lineRule="auto"/>
              <w:jc w:val="center"/>
              <w:rPr>
                <w:rFonts w:eastAsia="Times New Roman" w:cs="Times New Roman"/>
                <w:b/>
                <w:bCs/>
                <w:kern w:val="0"/>
                <w:sz w:val="20"/>
                <w:szCs w:val="20"/>
                <w:lang w:eastAsia="es-CO"/>
                <w14:ligatures w14:val="none"/>
              </w:rPr>
            </w:pPr>
            <w:r w:rsidRPr="00951AB1">
              <w:rPr>
                <w:rFonts w:eastAsia="Times New Roman" w:cs="Times New Roman"/>
                <w:b/>
                <w:bCs/>
                <w:kern w:val="0"/>
                <w:sz w:val="20"/>
                <w:szCs w:val="20"/>
                <w:lang w:eastAsia="es-CO"/>
                <w14:ligatures w14:val="none"/>
              </w:rPr>
              <w:t>GASTOS</w:t>
            </w:r>
          </w:p>
        </w:tc>
        <w:tc>
          <w:tcPr>
            <w:tcW w:w="895" w:type="pct"/>
            <w:tcBorders>
              <w:top w:val="single" w:sz="4" w:space="0" w:color="A6A6A6"/>
              <w:left w:val="single" w:sz="4" w:space="0" w:color="A6A6A6"/>
              <w:bottom w:val="single" w:sz="4" w:space="0" w:color="A6A6A6"/>
              <w:right w:val="single" w:sz="4" w:space="0" w:color="A6A6A6"/>
            </w:tcBorders>
            <w:noWrap/>
            <w:vAlign w:val="center"/>
            <w:hideMark/>
          </w:tcPr>
          <w:p w14:paraId="013F127D" w14:textId="77777777" w:rsidR="00C01945" w:rsidRPr="00951AB1" w:rsidRDefault="00C01945" w:rsidP="000A5389">
            <w:pPr>
              <w:spacing w:line="240" w:lineRule="auto"/>
              <w:jc w:val="right"/>
              <w:rPr>
                <w:rFonts w:eastAsia="Times New Roman" w:cs="Times New Roman"/>
                <w:b/>
                <w:bCs/>
                <w:kern w:val="0"/>
                <w:sz w:val="20"/>
                <w:szCs w:val="20"/>
                <w:lang w:eastAsia="es-CO"/>
                <w14:ligatures w14:val="none"/>
              </w:rPr>
            </w:pPr>
            <w:r w:rsidRPr="00951AB1">
              <w:rPr>
                <w:rFonts w:eastAsia="Times New Roman" w:cs="Times New Roman"/>
                <w:b/>
                <w:bCs/>
                <w:kern w:val="0"/>
                <w:sz w:val="20"/>
                <w:szCs w:val="20"/>
                <w:lang w:eastAsia="es-CO"/>
                <w14:ligatures w14:val="none"/>
              </w:rPr>
              <w:t>15.619.498.174.309</w:t>
            </w:r>
          </w:p>
        </w:tc>
        <w:tc>
          <w:tcPr>
            <w:tcW w:w="895" w:type="pct"/>
            <w:tcBorders>
              <w:top w:val="single" w:sz="4" w:space="0" w:color="A6A6A6"/>
              <w:left w:val="nil"/>
              <w:bottom w:val="single" w:sz="4" w:space="0" w:color="A6A6A6"/>
              <w:right w:val="single" w:sz="4" w:space="0" w:color="A6A6A6"/>
            </w:tcBorders>
            <w:noWrap/>
            <w:vAlign w:val="center"/>
            <w:hideMark/>
          </w:tcPr>
          <w:p w14:paraId="6BB4ECAC" w14:textId="77777777" w:rsidR="00C01945" w:rsidRPr="00951AB1" w:rsidRDefault="00C01945" w:rsidP="000A5389">
            <w:pPr>
              <w:spacing w:line="240" w:lineRule="auto"/>
              <w:jc w:val="right"/>
              <w:rPr>
                <w:rFonts w:eastAsia="Times New Roman" w:cs="Times New Roman"/>
                <w:b/>
                <w:bCs/>
                <w:kern w:val="0"/>
                <w:sz w:val="20"/>
                <w:szCs w:val="20"/>
                <w:lang w:eastAsia="es-CO"/>
                <w14:ligatures w14:val="none"/>
              </w:rPr>
            </w:pPr>
            <w:r w:rsidRPr="00951AB1">
              <w:rPr>
                <w:rFonts w:eastAsia="Times New Roman" w:cs="Times New Roman"/>
                <w:b/>
                <w:bCs/>
                <w:kern w:val="0"/>
                <w:sz w:val="20"/>
                <w:szCs w:val="20"/>
                <w:lang w:eastAsia="es-CO"/>
                <w14:ligatures w14:val="none"/>
              </w:rPr>
              <w:t>12.391.436.345.695</w:t>
            </w:r>
          </w:p>
        </w:tc>
        <w:tc>
          <w:tcPr>
            <w:tcW w:w="857" w:type="pct"/>
            <w:tcBorders>
              <w:top w:val="single" w:sz="4" w:space="0" w:color="A6A6A6"/>
              <w:left w:val="nil"/>
              <w:bottom w:val="single" w:sz="4" w:space="0" w:color="A6A6A6"/>
              <w:right w:val="single" w:sz="4" w:space="0" w:color="A6A6A6"/>
            </w:tcBorders>
            <w:noWrap/>
            <w:vAlign w:val="center"/>
            <w:hideMark/>
          </w:tcPr>
          <w:p w14:paraId="16E86339" w14:textId="77777777" w:rsidR="00C01945" w:rsidRPr="00951AB1" w:rsidRDefault="00C01945" w:rsidP="000A5389">
            <w:pPr>
              <w:spacing w:line="240" w:lineRule="auto"/>
              <w:jc w:val="right"/>
              <w:rPr>
                <w:rFonts w:eastAsia="Times New Roman" w:cs="Times New Roman"/>
                <w:b/>
                <w:bCs/>
                <w:kern w:val="0"/>
                <w:sz w:val="20"/>
                <w:szCs w:val="20"/>
                <w:lang w:eastAsia="es-CO"/>
                <w14:ligatures w14:val="none"/>
              </w:rPr>
            </w:pPr>
            <w:r w:rsidRPr="00951AB1">
              <w:rPr>
                <w:rFonts w:eastAsia="Times New Roman" w:cs="Times New Roman"/>
                <w:b/>
                <w:bCs/>
                <w:kern w:val="0"/>
                <w:sz w:val="20"/>
                <w:szCs w:val="20"/>
                <w:lang w:eastAsia="es-CO"/>
                <w14:ligatures w14:val="none"/>
              </w:rPr>
              <w:t>3.228.061.828.614</w:t>
            </w:r>
          </w:p>
        </w:tc>
      </w:tr>
      <w:tr w:rsidR="005A73C0" w:rsidRPr="00951AB1" w14:paraId="3252535B" w14:textId="77777777" w:rsidTr="0095714D">
        <w:trPr>
          <w:trHeight w:val="340"/>
        </w:trPr>
        <w:tc>
          <w:tcPr>
            <w:tcW w:w="318" w:type="pct"/>
            <w:tcBorders>
              <w:top w:val="nil"/>
              <w:left w:val="single" w:sz="4" w:space="0" w:color="A6A6A6"/>
              <w:bottom w:val="single" w:sz="4" w:space="0" w:color="A6A6A6"/>
              <w:right w:val="single" w:sz="4" w:space="0" w:color="A6A6A6"/>
            </w:tcBorders>
            <w:noWrap/>
            <w:vAlign w:val="center"/>
            <w:hideMark/>
          </w:tcPr>
          <w:p w14:paraId="0266EAF1" w14:textId="77777777" w:rsidR="00C01945" w:rsidRPr="00951AB1" w:rsidRDefault="00C01945" w:rsidP="000A5389">
            <w:pPr>
              <w:spacing w:line="240" w:lineRule="auto"/>
              <w:rPr>
                <w:rFonts w:eastAsia="Times New Roman" w:cs="Times New Roman"/>
                <w:kern w:val="0"/>
                <w:sz w:val="20"/>
                <w:szCs w:val="20"/>
                <w:lang w:eastAsia="es-CO"/>
                <w14:ligatures w14:val="none"/>
              </w:rPr>
            </w:pPr>
            <w:r w:rsidRPr="00951AB1">
              <w:rPr>
                <w:rFonts w:eastAsia="Times New Roman" w:cs="Times New Roman"/>
                <w:kern w:val="0"/>
                <w:sz w:val="20"/>
                <w:szCs w:val="20"/>
                <w:lang w:eastAsia="es-CO"/>
                <w14:ligatures w14:val="none"/>
              </w:rPr>
              <w:t>5.3</w:t>
            </w:r>
          </w:p>
        </w:tc>
        <w:tc>
          <w:tcPr>
            <w:tcW w:w="2034" w:type="pct"/>
            <w:tcBorders>
              <w:top w:val="nil"/>
              <w:left w:val="single" w:sz="4" w:space="0" w:color="A6A6A6"/>
              <w:bottom w:val="single" w:sz="4" w:space="0" w:color="A6A6A6"/>
              <w:right w:val="nil"/>
            </w:tcBorders>
            <w:vAlign w:val="center"/>
            <w:hideMark/>
          </w:tcPr>
          <w:p w14:paraId="2E0F08D7" w14:textId="77777777" w:rsidR="00C01945" w:rsidRPr="00951AB1" w:rsidRDefault="00C01945" w:rsidP="000A5389">
            <w:pPr>
              <w:spacing w:line="240" w:lineRule="auto"/>
              <w:rPr>
                <w:rFonts w:eastAsia="Times New Roman" w:cs="Times New Roman"/>
                <w:kern w:val="0"/>
                <w:sz w:val="20"/>
                <w:szCs w:val="20"/>
                <w:lang w:eastAsia="es-CO"/>
                <w14:ligatures w14:val="none"/>
              </w:rPr>
            </w:pPr>
            <w:r w:rsidRPr="00951AB1">
              <w:rPr>
                <w:rFonts w:eastAsia="Times New Roman" w:cs="Times New Roman"/>
                <w:kern w:val="0"/>
                <w:sz w:val="20"/>
                <w:szCs w:val="20"/>
                <w:lang w:eastAsia="es-CO"/>
                <w14:ligatures w14:val="none"/>
              </w:rPr>
              <w:t>Deterioro, depreciaciones, amortizaciones y provisiones</w:t>
            </w:r>
          </w:p>
        </w:tc>
        <w:tc>
          <w:tcPr>
            <w:tcW w:w="895" w:type="pct"/>
            <w:tcBorders>
              <w:top w:val="nil"/>
              <w:left w:val="single" w:sz="4" w:space="0" w:color="A6A6A6"/>
              <w:bottom w:val="single" w:sz="4" w:space="0" w:color="A6A6A6"/>
              <w:right w:val="single" w:sz="4" w:space="0" w:color="A6A6A6"/>
            </w:tcBorders>
            <w:noWrap/>
            <w:vAlign w:val="center"/>
            <w:hideMark/>
          </w:tcPr>
          <w:p w14:paraId="11D2EA70" w14:textId="77777777" w:rsidR="00C01945" w:rsidRPr="00951AB1" w:rsidRDefault="00C01945" w:rsidP="000A5389">
            <w:pPr>
              <w:spacing w:line="240" w:lineRule="auto"/>
              <w:jc w:val="right"/>
              <w:rPr>
                <w:rFonts w:eastAsia="Times New Roman" w:cs="Times New Roman"/>
                <w:kern w:val="0"/>
                <w:sz w:val="20"/>
                <w:szCs w:val="20"/>
                <w:lang w:eastAsia="es-CO"/>
                <w14:ligatures w14:val="none"/>
              </w:rPr>
            </w:pPr>
            <w:r w:rsidRPr="00951AB1">
              <w:rPr>
                <w:rFonts w:eastAsia="Times New Roman" w:cs="Times New Roman"/>
                <w:kern w:val="0"/>
                <w:sz w:val="20"/>
                <w:szCs w:val="20"/>
                <w:lang w:eastAsia="es-CO"/>
                <w14:ligatures w14:val="none"/>
              </w:rPr>
              <w:t>7.092.055.526.205</w:t>
            </w:r>
          </w:p>
        </w:tc>
        <w:tc>
          <w:tcPr>
            <w:tcW w:w="895" w:type="pct"/>
            <w:tcBorders>
              <w:top w:val="nil"/>
              <w:left w:val="nil"/>
              <w:bottom w:val="single" w:sz="4" w:space="0" w:color="A6A6A6"/>
              <w:right w:val="single" w:sz="4" w:space="0" w:color="A6A6A6"/>
            </w:tcBorders>
            <w:noWrap/>
            <w:vAlign w:val="center"/>
            <w:hideMark/>
          </w:tcPr>
          <w:p w14:paraId="6378855B" w14:textId="77777777" w:rsidR="00C01945" w:rsidRPr="00951AB1" w:rsidRDefault="00C01945" w:rsidP="000A5389">
            <w:pPr>
              <w:spacing w:line="240" w:lineRule="auto"/>
              <w:jc w:val="right"/>
              <w:rPr>
                <w:rFonts w:eastAsia="Times New Roman" w:cs="Times New Roman"/>
                <w:kern w:val="0"/>
                <w:sz w:val="20"/>
                <w:szCs w:val="20"/>
                <w:lang w:eastAsia="es-CO"/>
                <w14:ligatures w14:val="none"/>
              </w:rPr>
            </w:pPr>
            <w:r w:rsidRPr="00951AB1">
              <w:rPr>
                <w:rFonts w:eastAsia="Times New Roman" w:cs="Times New Roman"/>
                <w:kern w:val="0"/>
                <w:sz w:val="20"/>
                <w:szCs w:val="20"/>
                <w:lang w:eastAsia="es-CO"/>
                <w14:ligatures w14:val="none"/>
              </w:rPr>
              <w:t>6.263.151.300.378</w:t>
            </w:r>
          </w:p>
        </w:tc>
        <w:tc>
          <w:tcPr>
            <w:tcW w:w="857" w:type="pct"/>
            <w:tcBorders>
              <w:top w:val="nil"/>
              <w:left w:val="nil"/>
              <w:bottom w:val="single" w:sz="4" w:space="0" w:color="A6A6A6"/>
              <w:right w:val="single" w:sz="4" w:space="0" w:color="A6A6A6"/>
            </w:tcBorders>
            <w:noWrap/>
            <w:vAlign w:val="center"/>
            <w:hideMark/>
          </w:tcPr>
          <w:p w14:paraId="21A0D684" w14:textId="77777777" w:rsidR="00C01945" w:rsidRPr="00951AB1" w:rsidRDefault="00C01945" w:rsidP="000A5389">
            <w:pPr>
              <w:spacing w:line="240" w:lineRule="auto"/>
              <w:jc w:val="right"/>
              <w:rPr>
                <w:rFonts w:eastAsia="Times New Roman" w:cs="Times New Roman"/>
                <w:kern w:val="0"/>
                <w:sz w:val="20"/>
                <w:szCs w:val="20"/>
                <w:lang w:eastAsia="es-CO"/>
                <w14:ligatures w14:val="none"/>
              </w:rPr>
            </w:pPr>
            <w:r w:rsidRPr="00951AB1">
              <w:rPr>
                <w:rFonts w:eastAsia="Times New Roman" w:cs="Times New Roman"/>
                <w:kern w:val="0"/>
                <w:sz w:val="20"/>
                <w:szCs w:val="20"/>
                <w:lang w:eastAsia="es-CO"/>
                <w14:ligatures w14:val="none"/>
              </w:rPr>
              <w:t>828.904.225.827</w:t>
            </w:r>
          </w:p>
        </w:tc>
      </w:tr>
      <w:tr w:rsidR="005A73C0" w:rsidRPr="00951AB1" w14:paraId="245238E9" w14:textId="77777777" w:rsidTr="0095714D">
        <w:trPr>
          <w:trHeight w:val="340"/>
        </w:trPr>
        <w:tc>
          <w:tcPr>
            <w:tcW w:w="318" w:type="pct"/>
            <w:tcBorders>
              <w:top w:val="nil"/>
              <w:left w:val="single" w:sz="4" w:space="0" w:color="A6A6A6"/>
              <w:bottom w:val="single" w:sz="4" w:space="0" w:color="A6A6A6"/>
              <w:right w:val="single" w:sz="4" w:space="0" w:color="A6A6A6"/>
            </w:tcBorders>
            <w:noWrap/>
            <w:vAlign w:val="center"/>
            <w:hideMark/>
          </w:tcPr>
          <w:p w14:paraId="1B5495E3" w14:textId="77777777" w:rsidR="00C01945" w:rsidRPr="00951AB1" w:rsidRDefault="00C01945" w:rsidP="000A5389">
            <w:pPr>
              <w:spacing w:line="240" w:lineRule="auto"/>
              <w:rPr>
                <w:rFonts w:eastAsia="Times New Roman" w:cs="Times New Roman"/>
                <w:kern w:val="0"/>
                <w:sz w:val="20"/>
                <w:szCs w:val="20"/>
                <w:lang w:eastAsia="es-CO"/>
                <w14:ligatures w14:val="none"/>
              </w:rPr>
            </w:pPr>
            <w:r w:rsidRPr="00951AB1">
              <w:rPr>
                <w:rFonts w:eastAsia="Times New Roman" w:cs="Times New Roman"/>
                <w:kern w:val="0"/>
                <w:sz w:val="20"/>
                <w:szCs w:val="20"/>
                <w:lang w:eastAsia="es-CO"/>
                <w14:ligatures w14:val="none"/>
              </w:rPr>
              <w:t>5.8</w:t>
            </w:r>
          </w:p>
        </w:tc>
        <w:tc>
          <w:tcPr>
            <w:tcW w:w="2034" w:type="pct"/>
            <w:tcBorders>
              <w:top w:val="nil"/>
              <w:left w:val="single" w:sz="4" w:space="0" w:color="A6A6A6"/>
              <w:bottom w:val="single" w:sz="4" w:space="0" w:color="A6A6A6"/>
              <w:right w:val="nil"/>
            </w:tcBorders>
            <w:vAlign w:val="center"/>
            <w:hideMark/>
          </w:tcPr>
          <w:p w14:paraId="0174B0E9" w14:textId="77777777" w:rsidR="00C01945" w:rsidRPr="00951AB1" w:rsidRDefault="00C01945" w:rsidP="000A5389">
            <w:pPr>
              <w:spacing w:line="240" w:lineRule="auto"/>
              <w:rPr>
                <w:rFonts w:eastAsia="Times New Roman" w:cs="Times New Roman"/>
                <w:kern w:val="0"/>
                <w:sz w:val="20"/>
                <w:szCs w:val="20"/>
                <w:lang w:eastAsia="es-CO"/>
                <w14:ligatures w14:val="none"/>
              </w:rPr>
            </w:pPr>
            <w:r w:rsidRPr="00951AB1">
              <w:rPr>
                <w:rFonts w:eastAsia="Times New Roman" w:cs="Times New Roman"/>
                <w:kern w:val="0"/>
                <w:sz w:val="20"/>
                <w:szCs w:val="20"/>
                <w:lang w:eastAsia="es-CO"/>
                <w14:ligatures w14:val="none"/>
              </w:rPr>
              <w:t>Otros gastos</w:t>
            </w:r>
          </w:p>
        </w:tc>
        <w:tc>
          <w:tcPr>
            <w:tcW w:w="895" w:type="pct"/>
            <w:tcBorders>
              <w:top w:val="nil"/>
              <w:left w:val="single" w:sz="4" w:space="0" w:color="A6A6A6"/>
              <w:bottom w:val="single" w:sz="4" w:space="0" w:color="A6A6A6"/>
              <w:right w:val="single" w:sz="4" w:space="0" w:color="A6A6A6"/>
            </w:tcBorders>
            <w:noWrap/>
            <w:vAlign w:val="center"/>
            <w:hideMark/>
          </w:tcPr>
          <w:p w14:paraId="74B3892C" w14:textId="77777777" w:rsidR="00C01945" w:rsidRPr="00951AB1" w:rsidRDefault="00C01945" w:rsidP="000A5389">
            <w:pPr>
              <w:spacing w:line="240" w:lineRule="auto"/>
              <w:jc w:val="right"/>
              <w:rPr>
                <w:rFonts w:eastAsia="Times New Roman" w:cs="Times New Roman"/>
                <w:kern w:val="0"/>
                <w:sz w:val="20"/>
                <w:szCs w:val="20"/>
                <w:lang w:eastAsia="es-CO"/>
                <w14:ligatures w14:val="none"/>
              </w:rPr>
            </w:pPr>
            <w:r w:rsidRPr="00951AB1">
              <w:rPr>
                <w:rFonts w:eastAsia="Times New Roman" w:cs="Times New Roman"/>
                <w:kern w:val="0"/>
                <w:sz w:val="20"/>
                <w:szCs w:val="20"/>
                <w:lang w:eastAsia="es-CO"/>
                <w14:ligatures w14:val="none"/>
              </w:rPr>
              <w:t>5.406.588.385.584</w:t>
            </w:r>
          </w:p>
        </w:tc>
        <w:tc>
          <w:tcPr>
            <w:tcW w:w="895" w:type="pct"/>
            <w:tcBorders>
              <w:top w:val="nil"/>
              <w:left w:val="nil"/>
              <w:bottom w:val="single" w:sz="4" w:space="0" w:color="A6A6A6"/>
              <w:right w:val="single" w:sz="4" w:space="0" w:color="A6A6A6"/>
            </w:tcBorders>
            <w:noWrap/>
            <w:vAlign w:val="center"/>
            <w:hideMark/>
          </w:tcPr>
          <w:p w14:paraId="26A25579" w14:textId="77777777" w:rsidR="00C01945" w:rsidRPr="00951AB1" w:rsidRDefault="00C01945" w:rsidP="000A5389">
            <w:pPr>
              <w:spacing w:line="240" w:lineRule="auto"/>
              <w:jc w:val="right"/>
              <w:rPr>
                <w:rFonts w:eastAsia="Times New Roman" w:cs="Times New Roman"/>
                <w:kern w:val="0"/>
                <w:sz w:val="20"/>
                <w:szCs w:val="20"/>
                <w:lang w:eastAsia="es-CO"/>
                <w14:ligatures w14:val="none"/>
              </w:rPr>
            </w:pPr>
            <w:r w:rsidRPr="00951AB1">
              <w:rPr>
                <w:rFonts w:eastAsia="Times New Roman" w:cs="Times New Roman"/>
                <w:kern w:val="0"/>
                <w:sz w:val="20"/>
                <w:szCs w:val="20"/>
                <w:lang w:eastAsia="es-CO"/>
                <w14:ligatures w14:val="none"/>
              </w:rPr>
              <w:t>4.748.955.837.951</w:t>
            </w:r>
          </w:p>
        </w:tc>
        <w:tc>
          <w:tcPr>
            <w:tcW w:w="857" w:type="pct"/>
            <w:tcBorders>
              <w:top w:val="nil"/>
              <w:left w:val="nil"/>
              <w:bottom w:val="single" w:sz="4" w:space="0" w:color="A6A6A6"/>
              <w:right w:val="single" w:sz="4" w:space="0" w:color="A6A6A6"/>
            </w:tcBorders>
            <w:noWrap/>
            <w:vAlign w:val="center"/>
            <w:hideMark/>
          </w:tcPr>
          <w:p w14:paraId="3CB5C4F8" w14:textId="77777777" w:rsidR="00C01945" w:rsidRPr="00951AB1" w:rsidRDefault="00C01945" w:rsidP="000A5389">
            <w:pPr>
              <w:spacing w:line="240" w:lineRule="auto"/>
              <w:jc w:val="right"/>
              <w:rPr>
                <w:rFonts w:eastAsia="Times New Roman" w:cs="Times New Roman"/>
                <w:kern w:val="0"/>
                <w:sz w:val="20"/>
                <w:szCs w:val="20"/>
                <w:lang w:eastAsia="es-CO"/>
                <w14:ligatures w14:val="none"/>
              </w:rPr>
            </w:pPr>
            <w:r w:rsidRPr="00951AB1">
              <w:rPr>
                <w:rFonts w:eastAsia="Times New Roman" w:cs="Times New Roman"/>
                <w:kern w:val="0"/>
                <w:sz w:val="20"/>
                <w:szCs w:val="20"/>
                <w:lang w:eastAsia="es-CO"/>
                <w14:ligatures w14:val="none"/>
              </w:rPr>
              <w:t>657.632.547.633</w:t>
            </w:r>
          </w:p>
        </w:tc>
      </w:tr>
      <w:tr w:rsidR="005A73C0" w:rsidRPr="00951AB1" w14:paraId="455C2F31" w14:textId="77777777" w:rsidTr="0095714D">
        <w:trPr>
          <w:trHeight w:val="340"/>
        </w:trPr>
        <w:tc>
          <w:tcPr>
            <w:tcW w:w="318" w:type="pct"/>
            <w:tcBorders>
              <w:top w:val="nil"/>
              <w:left w:val="single" w:sz="4" w:space="0" w:color="A6A6A6"/>
              <w:bottom w:val="single" w:sz="4" w:space="0" w:color="A6A6A6"/>
              <w:right w:val="single" w:sz="4" w:space="0" w:color="A6A6A6"/>
            </w:tcBorders>
            <w:noWrap/>
            <w:vAlign w:val="center"/>
            <w:hideMark/>
          </w:tcPr>
          <w:p w14:paraId="015DFBD2" w14:textId="77777777" w:rsidR="00C01945" w:rsidRPr="00951AB1" w:rsidRDefault="00C01945" w:rsidP="000A5389">
            <w:pPr>
              <w:spacing w:line="240" w:lineRule="auto"/>
              <w:rPr>
                <w:rFonts w:eastAsia="Times New Roman" w:cs="Times New Roman"/>
                <w:kern w:val="0"/>
                <w:sz w:val="20"/>
                <w:szCs w:val="20"/>
                <w:lang w:eastAsia="es-CO"/>
                <w14:ligatures w14:val="none"/>
              </w:rPr>
            </w:pPr>
            <w:r w:rsidRPr="00951AB1">
              <w:rPr>
                <w:rFonts w:eastAsia="Times New Roman" w:cs="Times New Roman"/>
                <w:kern w:val="0"/>
                <w:sz w:val="20"/>
                <w:szCs w:val="20"/>
                <w:lang w:eastAsia="es-CO"/>
                <w14:ligatures w14:val="none"/>
              </w:rPr>
              <w:t>5.4</w:t>
            </w:r>
          </w:p>
        </w:tc>
        <w:tc>
          <w:tcPr>
            <w:tcW w:w="2034" w:type="pct"/>
            <w:tcBorders>
              <w:top w:val="nil"/>
              <w:left w:val="single" w:sz="4" w:space="0" w:color="A6A6A6"/>
              <w:bottom w:val="single" w:sz="4" w:space="0" w:color="A6A6A6"/>
              <w:right w:val="nil"/>
            </w:tcBorders>
            <w:vAlign w:val="center"/>
            <w:hideMark/>
          </w:tcPr>
          <w:p w14:paraId="40581DE8" w14:textId="77777777" w:rsidR="00C01945" w:rsidRPr="00951AB1" w:rsidRDefault="00C01945" w:rsidP="000A5389">
            <w:pPr>
              <w:spacing w:line="240" w:lineRule="auto"/>
              <w:rPr>
                <w:rFonts w:eastAsia="Times New Roman" w:cs="Times New Roman"/>
                <w:kern w:val="0"/>
                <w:sz w:val="20"/>
                <w:szCs w:val="20"/>
                <w:lang w:eastAsia="es-CO"/>
                <w14:ligatures w14:val="none"/>
              </w:rPr>
            </w:pPr>
            <w:r w:rsidRPr="00951AB1">
              <w:rPr>
                <w:rFonts w:eastAsia="Times New Roman" w:cs="Times New Roman"/>
                <w:kern w:val="0"/>
                <w:sz w:val="20"/>
                <w:szCs w:val="20"/>
                <w:lang w:eastAsia="es-CO"/>
                <w14:ligatures w14:val="none"/>
              </w:rPr>
              <w:t>Transferencias y subvenciones</w:t>
            </w:r>
          </w:p>
        </w:tc>
        <w:tc>
          <w:tcPr>
            <w:tcW w:w="895" w:type="pct"/>
            <w:tcBorders>
              <w:top w:val="nil"/>
              <w:left w:val="single" w:sz="4" w:space="0" w:color="A6A6A6"/>
              <w:bottom w:val="single" w:sz="4" w:space="0" w:color="A6A6A6"/>
              <w:right w:val="single" w:sz="4" w:space="0" w:color="A6A6A6"/>
            </w:tcBorders>
            <w:noWrap/>
            <w:vAlign w:val="center"/>
            <w:hideMark/>
          </w:tcPr>
          <w:p w14:paraId="0F801D1F" w14:textId="77777777" w:rsidR="00C01945" w:rsidRPr="00951AB1" w:rsidRDefault="00C01945" w:rsidP="000A5389">
            <w:pPr>
              <w:spacing w:line="240" w:lineRule="auto"/>
              <w:jc w:val="right"/>
              <w:rPr>
                <w:rFonts w:eastAsia="Times New Roman" w:cs="Times New Roman"/>
                <w:kern w:val="0"/>
                <w:sz w:val="20"/>
                <w:szCs w:val="20"/>
                <w:lang w:eastAsia="es-CO"/>
                <w14:ligatures w14:val="none"/>
              </w:rPr>
            </w:pPr>
            <w:r w:rsidRPr="00951AB1">
              <w:rPr>
                <w:rFonts w:eastAsia="Times New Roman" w:cs="Times New Roman"/>
                <w:kern w:val="0"/>
                <w:sz w:val="20"/>
                <w:szCs w:val="20"/>
                <w:lang w:eastAsia="es-CO"/>
                <w14:ligatures w14:val="none"/>
              </w:rPr>
              <w:t>2.034.713.726.696</w:t>
            </w:r>
          </w:p>
        </w:tc>
        <w:tc>
          <w:tcPr>
            <w:tcW w:w="895" w:type="pct"/>
            <w:tcBorders>
              <w:top w:val="nil"/>
              <w:left w:val="nil"/>
              <w:bottom w:val="single" w:sz="4" w:space="0" w:color="A6A6A6"/>
              <w:right w:val="single" w:sz="4" w:space="0" w:color="A6A6A6"/>
            </w:tcBorders>
            <w:noWrap/>
            <w:vAlign w:val="center"/>
            <w:hideMark/>
          </w:tcPr>
          <w:p w14:paraId="40E9E329" w14:textId="77777777" w:rsidR="00C01945" w:rsidRPr="00951AB1" w:rsidRDefault="00C01945" w:rsidP="000A5389">
            <w:pPr>
              <w:spacing w:line="240" w:lineRule="auto"/>
              <w:jc w:val="right"/>
              <w:rPr>
                <w:rFonts w:eastAsia="Times New Roman" w:cs="Times New Roman"/>
                <w:kern w:val="0"/>
                <w:sz w:val="20"/>
                <w:szCs w:val="20"/>
                <w:lang w:eastAsia="es-CO"/>
                <w14:ligatures w14:val="none"/>
              </w:rPr>
            </w:pPr>
            <w:r w:rsidRPr="00951AB1">
              <w:rPr>
                <w:rFonts w:eastAsia="Times New Roman" w:cs="Times New Roman"/>
                <w:kern w:val="0"/>
                <w:sz w:val="20"/>
                <w:szCs w:val="20"/>
                <w:lang w:eastAsia="es-CO"/>
                <w14:ligatures w14:val="none"/>
              </w:rPr>
              <w:t>365.707.689.010</w:t>
            </w:r>
          </w:p>
        </w:tc>
        <w:tc>
          <w:tcPr>
            <w:tcW w:w="857" w:type="pct"/>
            <w:tcBorders>
              <w:top w:val="nil"/>
              <w:left w:val="nil"/>
              <w:bottom w:val="single" w:sz="4" w:space="0" w:color="A6A6A6"/>
              <w:right w:val="single" w:sz="4" w:space="0" w:color="A6A6A6"/>
            </w:tcBorders>
            <w:noWrap/>
            <w:vAlign w:val="center"/>
            <w:hideMark/>
          </w:tcPr>
          <w:p w14:paraId="67BC7EDF" w14:textId="77777777" w:rsidR="00C01945" w:rsidRPr="00951AB1" w:rsidRDefault="00C01945" w:rsidP="000A5389">
            <w:pPr>
              <w:spacing w:line="240" w:lineRule="auto"/>
              <w:jc w:val="right"/>
              <w:rPr>
                <w:rFonts w:eastAsia="Times New Roman" w:cs="Times New Roman"/>
                <w:kern w:val="0"/>
                <w:sz w:val="20"/>
                <w:szCs w:val="20"/>
                <w:lang w:eastAsia="es-CO"/>
                <w14:ligatures w14:val="none"/>
              </w:rPr>
            </w:pPr>
            <w:r w:rsidRPr="00951AB1">
              <w:rPr>
                <w:rFonts w:eastAsia="Times New Roman" w:cs="Times New Roman"/>
                <w:kern w:val="0"/>
                <w:sz w:val="20"/>
                <w:szCs w:val="20"/>
                <w:lang w:eastAsia="es-CO"/>
                <w14:ligatures w14:val="none"/>
              </w:rPr>
              <w:t>1.669.006.037.686</w:t>
            </w:r>
          </w:p>
        </w:tc>
      </w:tr>
      <w:tr w:rsidR="005A73C0" w:rsidRPr="00951AB1" w14:paraId="0E3D1A1B" w14:textId="77777777" w:rsidTr="0095714D">
        <w:trPr>
          <w:trHeight w:val="340"/>
        </w:trPr>
        <w:tc>
          <w:tcPr>
            <w:tcW w:w="318" w:type="pct"/>
            <w:tcBorders>
              <w:top w:val="nil"/>
              <w:left w:val="single" w:sz="4" w:space="0" w:color="A6A6A6"/>
              <w:bottom w:val="single" w:sz="4" w:space="0" w:color="A6A6A6"/>
              <w:right w:val="single" w:sz="4" w:space="0" w:color="A6A6A6"/>
            </w:tcBorders>
            <w:noWrap/>
            <w:vAlign w:val="center"/>
            <w:hideMark/>
          </w:tcPr>
          <w:p w14:paraId="7C8B4024" w14:textId="77777777" w:rsidR="00C01945" w:rsidRPr="00951AB1" w:rsidRDefault="00C01945" w:rsidP="000A5389">
            <w:pPr>
              <w:spacing w:line="240" w:lineRule="auto"/>
              <w:rPr>
                <w:rFonts w:eastAsia="Times New Roman" w:cs="Times New Roman"/>
                <w:kern w:val="0"/>
                <w:sz w:val="20"/>
                <w:szCs w:val="20"/>
                <w:lang w:eastAsia="es-CO"/>
                <w14:ligatures w14:val="none"/>
              </w:rPr>
            </w:pPr>
            <w:r w:rsidRPr="00951AB1">
              <w:rPr>
                <w:rFonts w:eastAsia="Times New Roman" w:cs="Times New Roman"/>
                <w:kern w:val="0"/>
                <w:sz w:val="20"/>
                <w:szCs w:val="20"/>
                <w:lang w:eastAsia="es-CO"/>
                <w14:ligatures w14:val="none"/>
              </w:rPr>
              <w:t>5.1</w:t>
            </w:r>
          </w:p>
        </w:tc>
        <w:tc>
          <w:tcPr>
            <w:tcW w:w="2034" w:type="pct"/>
            <w:tcBorders>
              <w:top w:val="nil"/>
              <w:left w:val="single" w:sz="4" w:space="0" w:color="A6A6A6"/>
              <w:bottom w:val="single" w:sz="4" w:space="0" w:color="A6A6A6"/>
              <w:right w:val="nil"/>
            </w:tcBorders>
            <w:vAlign w:val="center"/>
            <w:hideMark/>
          </w:tcPr>
          <w:p w14:paraId="02B5B45B" w14:textId="77777777" w:rsidR="00C01945" w:rsidRPr="00951AB1" w:rsidRDefault="00C01945" w:rsidP="000A5389">
            <w:pPr>
              <w:spacing w:line="240" w:lineRule="auto"/>
              <w:rPr>
                <w:rFonts w:eastAsia="Times New Roman" w:cs="Times New Roman"/>
                <w:kern w:val="0"/>
                <w:sz w:val="20"/>
                <w:szCs w:val="20"/>
                <w:lang w:eastAsia="es-CO"/>
                <w14:ligatures w14:val="none"/>
              </w:rPr>
            </w:pPr>
            <w:r w:rsidRPr="00951AB1">
              <w:rPr>
                <w:rFonts w:eastAsia="Times New Roman" w:cs="Times New Roman"/>
                <w:kern w:val="0"/>
                <w:sz w:val="20"/>
                <w:szCs w:val="20"/>
                <w:lang w:eastAsia="es-CO"/>
                <w14:ligatures w14:val="none"/>
              </w:rPr>
              <w:t>De administración y operación</w:t>
            </w:r>
          </w:p>
        </w:tc>
        <w:tc>
          <w:tcPr>
            <w:tcW w:w="895" w:type="pct"/>
            <w:tcBorders>
              <w:top w:val="nil"/>
              <w:left w:val="single" w:sz="4" w:space="0" w:color="A6A6A6"/>
              <w:bottom w:val="single" w:sz="4" w:space="0" w:color="A6A6A6"/>
              <w:right w:val="single" w:sz="4" w:space="0" w:color="A6A6A6"/>
            </w:tcBorders>
            <w:noWrap/>
            <w:vAlign w:val="center"/>
            <w:hideMark/>
          </w:tcPr>
          <w:p w14:paraId="0FD4A662" w14:textId="77777777" w:rsidR="00C01945" w:rsidRPr="00951AB1" w:rsidRDefault="00C01945" w:rsidP="000A5389">
            <w:pPr>
              <w:spacing w:line="240" w:lineRule="auto"/>
              <w:jc w:val="right"/>
              <w:rPr>
                <w:rFonts w:eastAsia="Times New Roman" w:cs="Times New Roman"/>
                <w:kern w:val="0"/>
                <w:sz w:val="20"/>
                <w:szCs w:val="20"/>
                <w:lang w:eastAsia="es-CO"/>
                <w14:ligatures w14:val="none"/>
              </w:rPr>
            </w:pPr>
            <w:r w:rsidRPr="00951AB1">
              <w:rPr>
                <w:rFonts w:eastAsia="Times New Roman" w:cs="Times New Roman"/>
                <w:kern w:val="0"/>
                <w:sz w:val="20"/>
                <w:szCs w:val="20"/>
                <w:lang w:eastAsia="es-CO"/>
                <w14:ligatures w14:val="none"/>
              </w:rPr>
              <w:t>1.065.374.465.462</w:t>
            </w:r>
          </w:p>
        </w:tc>
        <w:tc>
          <w:tcPr>
            <w:tcW w:w="895" w:type="pct"/>
            <w:tcBorders>
              <w:top w:val="nil"/>
              <w:left w:val="nil"/>
              <w:bottom w:val="single" w:sz="4" w:space="0" w:color="A6A6A6"/>
              <w:right w:val="single" w:sz="4" w:space="0" w:color="A6A6A6"/>
            </w:tcBorders>
            <w:noWrap/>
            <w:vAlign w:val="center"/>
            <w:hideMark/>
          </w:tcPr>
          <w:p w14:paraId="6BFFAE3B" w14:textId="77777777" w:rsidR="00C01945" w:rsidRPr="00951AB1" w:rsidRDefault="00C01945" w:rsidP="000A5389">
            <w:pPr>
              <w:spacing w:line="240" w:lineRule="auto"/>
              <w:jc w:val="right"/>
              <w:rPr>
                <w:rFonts w:eastAsia="Times New Roman" w:cs="Times New Roman"/>
                <w:kern w:val="0"/>
                <w:sz w:val="20"/>
                <w:szCs w:val="20"/>
                <w:lang w:eastAsia="es-CO"/>
                <w14:ligatures w14:val="none"/>
              </w:rPr>
            </w:pPr>
            <w:r w:rsidRPr="00951AB1">
              <w:rPr>
                <w:rFonts w:eastAsia="Times New Roman" w:cs="Times New Roman"/>
                <w:kern w:val="0"/>
                <w:sz w:val="20"/>
                <w:szCs w:val="20"/>
                <w:lang w:eastAsia="es-CO"/>
                <w14:ligatures w14:val="none"/>
              </w:rPr>
              <w:t>986.408.646.525</w:t>
            </w:r>
          </w:p>
        </w:tc>
        <w:tc>
          <w:tcPr>
            <w:tcW w:w="857" w:type="pct"/>
            <w:tcBorders>
              <w:top w:val="nil"/>
              <w:left w:val="nil"/>
              <w:bottom w:val="single" w:sz="4" w:space="0" w:color="A6A6A6"/>
              <w:right w:val="single" w:sz="4" w:space="0" w:color="A6A6A6"/>
            </w:tcBorders>
            <w:noWrap/>
            <w:vAlign w:val="center"/>
            <w:hideMark/>
          </w:tcPr>
          <w:p w14:paraId="4ACBF9DB" w14:textId="77777777" w:rsidR="00C01945" w:rsidRPr="00951AB1" w:rsidRDefault="00C01945" w:rsidP="000A5389">
            <w:pPr>
              <w:spacing w:line="240" w:lineRule="auto"/>
              <w:jc w:val="right"/>
              <w:rPr>
                <w:rFonts w:eastAsia="Times New Roman" w:cs="Times New Roman"/>
                <w:kern w:val="0"/>
                <w:sz w:val="20"/>
                <w:szCs w:val="20"/>
                <w:lang w:eastAsia="es-CO"/>
                <w14:ligatures w14:val="none"/>
              </w:rPr>
            </w:pPr>
            <w:r w:rsidRPr="00951AB1">
              <w:rPr>
                <w:rFonts w:eastAsia="Times New Roman" w:cs="Times New Roman"/>
                <w:kern w:val="0"/>
                <w:sz w:val="20"/>
                <w:szCs w:val="20"/>
                <w:lang w:eastAsia="es-CO"/>
                <w14:ligatures w14:val="none"/>
              </w:rPr>
              <w:t>78.965.818.937</w:t>
            </w:r>
          </w:p>
        </w:tc>
      </w:tr>
      <w:tr w:rsidR="005A73C0" w:rsidRPr="00951AB1" w14:paraId="49D451F9" w14:textId="77777777" w:rsidTr="0095714D">
        <w:trPr>
          <w:trHeight w:val="340"/>
        </w:trPr>
        <w:tc>
          <w:tcPr>
            <w:tcW w:w="318" w:type="pct"/>
            <w:tcBorders>
              <w:top w:val="nil"/>
              <w:left w:val="single" w:sz="4" w:space="0" w:color="A6A6A6"/>
              <w:bottom w:val="single" w:sz="4" w:space="0" w:color="A6A6A6"/>
              <w:right w:val="single" w:sz="4" w:space="0" w:color="A6A6A6"/>
            </w:tcBorders>
            <w:noWrap/>
            <w:vAlign w:val="center"/>
            <w:hideMark/>
          </w:tcPr>
          <w:p w14:paraId="591F4597" w14:textId="77777777" w:rsidR="00C01945" w:rsidRPr="00951AB1" w:rsidRDefault="00C01945" w:rsidP="000A5389">
            <w:pPr>
              <w:spacing w:line="240" w:lineRule="auto"/>
              <w:rPr>
                <w:rFonts w:eastAsia="Times New Roman" w:cs="Times New Roman"/>
                <w:kern w:val="0"/>
                <w:sz w:val="20"/>
                <w:szCs w:val="20"/>
                <w:lang w:eastAsia="es-CO"/>
                <w14:ligatures w14:val="none"/>
              </w:rPr>
            </w:pPr>
            <w:r w:rsidRPr="00951AB1">
              <w:rPr>
                <w:rFonts w:eastAsia="Times New Roman" w:cs="Times New Roman"/>
                <w:kern w:val="0"/>
                <w:sz w:val="20"/>
                <w:szCs w:val="20"/>
                <w:lang w:eastAsia="es-CO"/>
                <w14:ligatures w14:val="none"/>
              </w:rPr>
              <w:t>5.7</w:t>
            </w:r>
          </w:p>
        </w:tc>
        <w:tc>
          <w:tcPr>
            <w:tcW w:w="2034" w:type="pct"/>
            <w:tcBorders>
              <w:top w:val="nil"/>
              <w:left w:val="single" w:sz="4" w:space="0" w:color="A6A6A6"/>
              <w:bottom w:val="single" w:sz="4" w:space="0" w:color="A6A6A6"/>
              <w:right w:val="nil"/>
            </w:tcBorders>
            <w:vAlign w:val="center"/>
            <w:hideMark/>
          </w:tcPr>
          <w:p w14:paraId="45B63C8F" w14:textId="77777777" w:rsidR="00C01945" w:rsidRPr="00951AB1" w:rsidRDefault="00C01945" w:rsidP="000A5389">
            <w:pPr>
              <w:spacing w:line="240" w:lineRule="auto"/>
              <w:rPr>
                <w:rFonts w:eastAsia="Times New Roman" w:cs="Times New Roman"/>
                <w:kern w:val="0"/>
                <w:sz w:val="20"/>
                <w:szCs w:val="20"/>
                <w:lang w:eastAsia="es-CO"/>
                <w14:ligatures w14:val="none"/>
              </w:rPr>
            </w:pPr>
            <w:r w:rsidRPr="00951AB1">
              <w:rPr>
                <w:rFonts w:eastAsia="Times New Roman" w:cs="Times New Roman"/>
                <w:kern w:val="0"/>
                <w:sz w:val="20"/>
                <w:szCs w:val="20"/>
                <w:lang w:eastAsia="es-CO"/>
                <w14:ligatures w14:val="none"/>
              </w:rPr>
              <w:t>Operaciones interinstitucionales</w:t>
            </w:r>
          </w:p>
        </w:tc>
        <w:tc>
          <w:tcPr>
            <w:tcW w:w="895" w:type="pct"/>
            <w:tcBorders>
              <w:top w:val="nil"/>
              <w:left w:val="single" w:sz="4" w:space="0" w:color="A6A6A6"/>
              <w:bottom w:val="single" w:sz="4" w:space="0" w:color="A6A6A6"/>
              <w:right w:val="single" w:sz="4" w:space="0" w:color="A6A6A6"/>
            </w:tcBorders>
            <w:noWrap/>
            <w:vAlign w:val="center"/>
            <w:hideMark/>
          </w:tcPr>
          <w:p w14:paraId="7B3E20F9" w14:textId="77777777" w:rsidR="00C01945" w:rsidRPr="00951AB1" w:rsidRDefault="00C01945" w:rsidP="000A5389">
            <w:pPr>
              <w:spacing w:line="240" w:lineRule="auto"/>
              <w:jc w:val="right"/>
              <w:rPr>
                <w:rFonts w:eastAsia="Times New Roman" w:cs="Times New Roman"/>
                <w:kern w:val="0"/>
                <w:sz w:val="20"/>
                <w:szCs w:val="20"/>
                <w:lang w:eastAsia="es-CO"/>
                <w14:ligatures w14:val="none"/>
              </w:rPr>
            </w:pPr>
            <w:r w:rsidRPr="00951AB1">
              <w:rPr>
                <w:rFonts w:eastAsia="Times New Roman" w:cs="Times New Roman"/>
                <w:kern w:val="0"/>
                <w:sz w:val="20"/>
                <w:szCs w:val="20"/>
                <w:lang w:eastAsia="es-CO"/>
                <w14:ligatures w14:val="none"/>
              </w:rPr>
              <w:t>20.766.070.361</w:t>
            </w:r>
          </w:p>
        </w:tc>
        <w:tc>
          <w:tcPr>
            <w:tcW w:w="895" w:type="pct"/>
            <w:tcBorders>
              <w:top w:val="nil"/>
              <w:left w:val="nil"/>
              <w:bottom w:val="single" w:sz="4" w:space="0" w:color="A6A6A6"/>
              <w:right w:val="single" w:sz="4" w:space="0" w:color="A6A6A6"/>
            </w:tcBorders>
            <w:noWrap/>
            <w:vAlign w:val="center"/>
            <w:hideMark/>
          </w:tcPr>
          <w:p w14:paraId="1983E74C" w14:textId="77777777" w:rsidR="00C01945" w:rsidRPr="00951AB1" w:rsidRDefault="00C01945" w:rsidP="000A5389">
            <w:pPr>
              <w:spacing w:line="240" w:lineRule="auto"/>
              <w:jc w:val="right"/>
              <w:rPr>
                <w:rFonts w:eastAsia="Times New Roman" w:cs="Times New Roman"/>
                <w:kern w:val="0"/>
                <w:sz w:val="20"/>
                <w:szCs w:val="20"/>
                <w:lang w:eastAsia="es-CO"/>
                <w14:ligatures w14:val="none"/>
              </w:rPr>
            </w:pPr>
            <w:r w:rsidRPr="00951AB1">
              <w:rPr>
                <w:rFonts w:eastAsia="Times New Roman" w:cs="Times New Roman"/>
                <w:kern w:val="0"/>
                <w:sz w:val="20"/>
                <w:szCs w:val="20"/>
                <w:lang w:eastAsia="es-CO"/>
                <w14:ligatures w14:val="none"/>
              </w:rPr>
              <w:t>27.212.871.831</w:t>
            </w:r>
          </w:p>
        </w:tc>
        <w:tc>
          <w:tcPr>
            <w:tcW w:w="857" w:type="pct"/>
            <w:tcBorders>
              <w:top w:val="nil"/>
              <w:left w:val="nil"/>
              <w:bottom w:val="single" w:sz="4" w:space="0" w:color="A6A6A6"/>
              <w:right w:val="single" w:sz="4" w:space="0" w:color="A6A6A6"/>
            </w:tcBorders>
            <w:noWrap/>
            <w:vAlign w:val="center"/>
            <w:hideMark/>
          </w:tcPr>
          <w:p w14:paraId="744D0561" w14:textId="77777777" w:rsidR="00C01945" w:rsidRPr="00951AB1" w:rsidRDefault="00C01945" w:rsidP="000A5389">
            <w:pPr>
              <w:spacing w:line="240" w:lineRule="auto"/>
              <w:jc w:val="right"/>
              <w:rPr>
                <w:rFonts w:eastAsia="Times New Roman" w:cs="Times New Roman"/>
                <w:kern w:val="0"/>
                <w:sz w:val="20"/>
                <w:szCs w:val="20"/>
                <w:lang w:eastAsia="es-CO"/>
                <w14:ligatures w14:val="none"/>
              </w:rPr>
            </w:pPr>
            <w:r w:rsidRPr="00951AB1">
              <w:rPr>
                <w:rFonts w:eastAsia="Times New Roman" w:cs="Times New Roman"/>
                <w:kern w:val="0"/>
                <w:sz w:val="20"/>
                <w:szCs w:val="20"/>
                <w:lang w:eastAsia="es-CO"/>
                <w14:ligatures w14:val="none"/>
              </w:rPr>
              <w:t>-6.446.801.470</w:t>
            </w:r>
          </w:p>
        </w:tc>
      </w:tr>
    </w:tbl>
    <w:p w14:paraId="4C326BE1" w14:textId="5B6BCF38" w:rsidR="005D78CA" w:rsidRPr="00951AB1" w:rsidRDefault="00B247AF" w:rsidP="000A5389">
      <w:pPr>
        <w:spacing w:line="240" w:lineRule="auto"/>
        <w:rPr>
          <w:rFonts w:cs="Times New Roman"/>
          <w:sz w:val="16"/>
          <w:szCs w:val="16"/>
        </w:rPr>
      </w:pPr>
      <w:r w:rsidRPr="00951AB1">
        <w:rPr>
          <w:rFonts w:cs="Times New Roman"/>
          <w:sz w:val="16"/>
          <w:szCs w:val="16"/>
        </w:rPr>
        <w:t>Cifras en pesos</w:t>
      </w:r>
    </w:p>
    <w:p w14:paraId="0D34021B" w14:textId="77777777" w:rsidR="00B247AF" w:rsidRPr="00951AB1" w:rsidRDefault="00B247AF" w:rsidP="000A5389">
      <w:pPr>
        <w:spacing w:line="240" w:lineRule="auto"/>
        <w:rPr>
          <w:rFonts w:cs="Times New Roman"/>
          <w:sz w:val="18"/>
          <w:szCs w:val="18"/>
        </w:rPr>
      </w:pPr>
    </w:p>
    <w:p w14:paraId="179F1631" w14:textId="3EE59307" w:rsidR="00E40D38" w:rsidRDefault="00E40D38" w:rsidP="000A5389">
      <w:pPr>
        <w:spacing w:line="240" w:lineRule="auto"/>
        <w:ind w:left="-20" w:right="-20"/>
        <w:rPr>
          <w:rFonts w:eastAsia="Times New Roman" w:cs="Times New Roman"/>
          <w:szCs w:val="24"/>
        </w:rPr>
      </w:pPr>
      <w:r w:rsidRPr="00951AB1">
        <w:rPr>
          <w:rFonts w:eastAsia="Times New Roman" w:cs="Times New Roman"/>
          <w:szCs w:val="24"/>
        </w:rPr>
        <w:t xml:space="preserve">La composición de los gastos de administración y operación de la ANI, corresponden a las erogaciones de recursos asociados a las funciones principales que se llevan a cabo en la entidad, para el desarrollo y cumplimiento de su cometido estatal. Dentro de la composición de los gastos, se incluyen los gastos por </w:t>
      </w:r>
      <w:r w:rsidR="608AE0AF" w:rsidRPr="5B0C84B6">
        <w:rPr>
          <w:rFonts w:eastAsia="Times New Roman" w:cs="Times New Roman"/>
          <w:szCs w:val="24"/>
        </w:rPr>
        <w:t>d</w:t>
      </w:r>
      <w:r w:rsidR="0102963B" w:rsidRPr="5B0C84B6">
        <w:rPr>
          <w:rFonts w:eastAsia="Times New Roman" w:cs="Times New Roman"/>
          <w:szCs w:val="24"/>
        </w:rPr>
        <w:t>eterioro</w:t>
      </w:r>
      <w:r w:rsidRPr="00951AB1">
        <w:rPr>
          <w:rFonts w:eastAsia="Times New Roman" w:cs="Times New Roman"/>
          <w:szCs w:val="24"/>
        </w:rPr>
        <w:t>, depreciaciones, amortizaciones y provisiones, entre otros.</w:t>
      </w:r>
    </w:p>
    <w:p w14:paraId="1CC663AA" w14:textId="77777777" w:rsidR="00953AA2" w:rsidRPr="00951AB1" w:rsidRDefault="00953AA2" w:rsidP="000A5389">
      <w:pPr>
        <w:spacing w:line="240" w:lineRule="auto"/>
        <w:ind w:left="-20" w:right="-20"/>
        <w:rPr>
          <w:rFonts w:eastAsia="Times New Roman" w:cs="Times New Roman"/>
          <w:szCs w:val="24"/>
        </w:rPr>
      </w:pPr>
    </w:p>
    <w:p w14:paraId="5F54B65C" w14:textId="77777777" w:rsidR="007B5BAE" w:rsidRDefault="007B5BAE" w:rsidP="000A5389">
      <w:pPr>
        <w:spacing w:line="240" w:lineRule="auto"/>
        <w:ind w:left="-20" w:right="-20"/>
        <w:rPr>
          <w:rFonts w:eastAsia="Times New Roman" w:cs="Times New Roman"/>
          <w:szCs w:val="24"/>
        </w:rPr>
      </w:pPr>
      <w:r w:rsidRPr="00951AB1">
        <w:rPr>
          <w:rFonts w:eastAsia="Times New Roman" w:cs="Times New Roman"/>
          <w:szCs w:val="24"/>
        </w:rPr>
        <w:lastRenderedPageBreak/>
        <w:t>La composición del gasto evidencia que la mayor participación corresponde al rubro Deterioro, depreciaciones, amortizaciones y provisiones, el cual asciende a $7.092.055.526.205, representando cerca del 45% del total de gastos de la vigencia. Esta situación es consistente con la naturaleza contable de la Entidad, cuyo modelo de negocio se fundamenta en acuerdos de concesión de infraestructura, que implican el reconocimiento periódico de estimaciones, provisiones y cargos no monetarios asociados a activos de uso público.</w:t>
      </w:r>
    </w:p>
    <w:p w14:paraId="76006F6E" w14:textId="77777777" w:rsidR="00953AA2" w:rsidRPr="00951AB1" w:rsidRDefault="00953AA2" w:rsidP="000A5389">
      <w:pPr>
        <w:spacing w:line="240" w:lineRule="auto"/>
        <w:ind w:left="-20" w:right="-20"/>
        <w:rPr>
          <w:rFonts w:eastAsia="Times New Roman" w:cs="Times New Roman"/>
          <w:szCs w:val="24"/>
        </w:rPr>
      </w:pPr>
    </w:p>
    <w:p w14:paraId="1AD8FF56" w14:textId="77777777" w:rsidR="007B5BAE" w:rsidRDefault="007B5BAE" w:rsidP="000A5389">
      <w:pPr>
        <w:spacing w:line="240" w:lineRule="auto"/>
        <w:ind w:left="-20" w:right="-20"/>
        <w:rPr>
          <w:rFonts w:eastAsia="Times New Roman" w:cs="Times New Roman"/>
          <w:szCs w:val="24"/>
        </w:rPr>
      </w:pPr>
      <w:r w:rsidRPr="00951AB1">
        <w:rPr>
          <w:rFonts w:eastAsia="Times New Roman" w:cs="Times New Roman"/>
          <w:szCs w:val="24"/>
        </w:rPr>
        <w:t>El segundo rubro en participación corresponde a Otros gastos, con un saldo de $5.406.588.385.584, seguido por Transferencias y subvenciones, que alcanzan $2.034.713.726.696.</w:t>
      </w:r>
    </w:p>
    <w:p w14:paraId="1E4A91FA" w14:textId="77777777" w:rsidR="00953AA2" w:rsidRPr="00951AB1" w:rsidRDefault="00953AA2" w:rsidP="000A5389">
      <w:pPr>
        <w:spacing w:line="240" w:lineRule="auto"/>
        <w:ind w:left="-20" w:right="-20"/>
        <w:rPr>
          <w:rFonts w:eastAsia="Times New Roman" w:cs="Times New Roman"/>
          <w:szCs w:val="24"/>
        </w:rPr>
      </w:pPr>
    </w:p>
    <w:p w14:paraId="588084FD" w14:textId="6556A4DF" w:rsidR="0059341F" w:rsidRDefault="007B5BAE" w:rsidP="000A5389">
      <w:pPr>
        <w:spacing w:line="240" w:lineRule="auto"/>
        <w:ind w:left="-20" w:right="-20"/>
        <w:rPr>
          <w:rFonts w:eastAsia="Times New Roman" w:cs="Times New Roman"/>
          <w:szCs w:val="24"/>
        </w:rPr>
      </w:pPr>
      <w:r w:rsidRPr="00951AB1">
        <w:rPr>
          <w:rFonts w:eastAsia="Times New Roman" w:cs="Times New Roman"/>
          <w:szCs w:val="24"/>
        </w:rPr>
        <w:t>Si bien el mayor peso estructural se mantiene en las provisiones y depreciaciones, la variación más significativa entre 2024 y 2025 se presenta en el rubro de Transferencias y subvenciones, con un incremento de $1.669.006.037.686, equivalente a un crecimiento superior al 450% frente a la vigencia anterior.</w:t>
      </w:r>
    </w:p>
    <w:p w14:paraId="74C7FAFC" w14:textId="77777777" w:rsidR="00953AA2" w:rsidRPr="00951AB1" w:rsidRDefault="00953AA2" w:rsidP="000A5389">
      <w:pPr>
        <w:spacing w:line="240" w:lineRule="auto"/>
        <w:ind w:left="-20" w:right="-20"/>
        <w:rPr>
          <w:rFonts w:eastAsia="Times New Roman" w:cs="Times New Roman"/>
          <w:szCs w:val="24"/>
        </w:rPr>
      </w:pPr>
    </w:p>
    <w:p w14:paraId="05B77D05" w14:textId="29BA4F9A" w:rsidR="00F07EFD" w:rsidRDefault="001A3366" w:rsidP="000A5389">
      <w:pPr>
        <w:pStyle w:val="Ttulo2"/>
        <w:numPr>
          <w:ilvl w:val="0"/>
          <w:numId w:val="0"/>
        </w:numPr>
        <w:spacing w:line="240" w:lineRule="auto"/>
        <w:ind w:left="360" w:hanging="360"/>
        <w:rPr>
          <w:rFonts w:eastAsia="Times New Roman" w:cs="Times New Roman"/>
          <w:szCs w:val="24"/>
        </w:rPr>
      </w:pPr>
      <w:bookmarkStart w:id="849" w:name="_Toc222824176"/>
      <w:bookmarkStart w:id="850" w:name="_Toc222955542"/>
      <w:r w:rsidRPr="00951AB1">
        <w:rPr>
          <w:rFonts w:eastAsia="Times New Roman" w:cs="Times New Roman"/>
          <w:szCs w:val="24"/>
        </w:rPr>
        <w:t>30.1.</w:t>
      </w:r>
      <w:r w:rsidRPr="00951AB1">
        <w:rPr>
          <w:rFonts w:cs="Times New Roman"/>
          <w:sz w:val="14"/>
          <w:szCs w:val="14"/>
        </w:rPr>
        <w:t xml:space="preserve">   </w:t>
      </w:r>
      <w:r w:rsidR="00A541AB" w:rsidRPr="00951AB1">
        <w:rPr>
          <w:rFonts w:cs="Times New Roman"/>
          <w:sz w:val="14"/>
          <w:szCs w:val="14"/>
        </w:rPr>
        <w:tab/>
      </w:r>
      <w:r w:rsidRPr="00951AB1">
        <w:rPr>
          <w:rFonts w:eastAsia="Times New Roman" w:cs="Times New Roman"/>
          <w:szCs w:val="24"/>
        </w:rPr>
        <w:t>Deterioro, depreciaciones, amortizaciones y provisiones</w:t>
      </w:r>
      <w:bookmarkEnd w:id="849"/>
      <w:bookmarkEnd w:id="850"/>
    </w:p>
    <w:p w14:paraId="5EAEE941" w14:textId="77777777" w:rsidR="00953AA2" w:rsidRPr="00953AA2" w:rsidRDefault="00953AA2" w:rsidP="00953AA2"/>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42"/>
        <w:gridCol w:w="3243"/>
        <w:gridCol w:w="1803"/>
        <w:gridCol w:w="1490"/>
        <w:gridCol w:w="1550"/>
      </w:tblGrid>
      <w:tr w:rsidR="00933134" w:rsidRPr="00951AB1" w14:paraId="55A40AFA" w14:textId="77777777" w:rsidTr="002D6214">
        <w:trPr>
          <w:trHeight w:val="278"/>
          <w:tblHeader/>
        </w:trPr>
        <w:tc>
          <w:tcPr>
            <w:tcW w:w="420" w:type="pct"/>
            <w:noWrap/>
            <w:vAlign w:val="center"/>
            <w:hideMark/>
          </w:tcPr>
          <w:p w14:paraId="1ACAFA7B" w14:textId="2A1A4789" w:rsidR="00933134" w:rsidRPr="00951AB1" w:rsidRDefault="001A3366" w:rsidP="000A5389">
            <w:pPr>
              <w:spacing w:line="240" w:lineRule="auto"/>
              <w:rPr>
                <w:rFonts w:eastAsia="Times New Roman" w:cs="Times New Roman"/>
                <w:kern w:val="0"/>
                <w:sz w:val="18"/>
                <w:szCs w:val="18"/>
                <w:lang w:eastAsia="es-CO"/>
                <w14:ligatures w14:val="none"/>
              </w:rPr>
            </w:pPr>
            <w:r w:rsidRPr="00951AB1">
              <w:rPr>
                <w:rFonts w:eastAsia="Times New Roman" w:cs="Times New Roman"/>
                <w:szCs w:val="24"/>
                <w:lang w:val="es"/>
              </w:rPr>
              <w:t xml:space="preserve"> </w:t>
            </w:r>
          </w:p>
        </w:tc>
        <w:tc>
          <w:tcPr>
            <w:tcW w:w="1837" w:type="pct"/>
            <w:vAlign w:val="center"/>
            <w:hideMark/>
          </w:tcPr>
          <w:p w14:paraId="77F805B1" w14:textId="77777777" w:rsidR="00933134" w:rsidRPr="00951AB1" w:rsidRDefault="00933134" w:rsidP="000A5389">
            <w:pPr>
              <w:spacing w:line="240" w:lineRule="auto"/>
              <w:jc w:val="center"/>
              <w:rPr>
                <w:rFonts w:eastAsia="Times New Roman" w:cs="Times New Roman"/>
                <w:b/>
                <w:bCs/>
                <w:kern w:val="0"/>
                <w:sz w:val="18"/>
                <w:szCs w:val="18"/>
                <w:lang w:eastAsia="es-CO"/>
                <w14:ligatures w14:val="none"/>
              </w:rPr>
            </w:pPr>
            <w:r w:rsidRPr="00951AB1">
              <w:rPr>
                <w:rFonts w:eastAsia="Times New Roman" w:cs="Times New Roman"/>
                <w:b/>
                <w:bCs/>
                <w:kern w:val="0"/>
                <w:sz w:val="18"/>
                <w:szCs w:val="18"/>
                <w:lang w:eastAsia="es-CO"/>
                <w14:ligatures w14:val="none"/>
              </w:rPr>
              <w:t>CONCEPTO</w:t>
            </w:r>
          </w:p>
        </w:tc>
        <w:tc>
          <w:tcPr>
            <w:tcW w:w="1021" w:type="pct"/>
            <w:vAlign w:val="center"/>
            <w:hideMark/>
          </w:tcPr>
          <w:p w14:paraId="00FF3C4F" w14:textId="77777777" w:rsidR="00933134" w:rsidRPr="00951AB1" w:rsidRDefault="00933134" w:rsidP="000A5389">
            <w:pPr>
              <w:spacing w:line="240" w:lineRule="auto"/>
              <w:jc w:val="center"/>
              <w:rPr>
                <w:rFonts w:eastAsia="Times New Roman" w:cs="Times New Roman"/>
                <w:b/>
                <w:bCs/>
                <w:kern w:val="0"/>
                <w:sz w:val="18"/>
                <w:szCs w:val="18"/>
                <w:lang w:eastAsia="es-CO"/>
                <w14:ligatures w14:val="none"/>
              </w:rPr>
            </w:pPr>
            <w:r w:rsidRPr="00951AB1">
              <w:rPr>
                <w:rFonts w:eastAsia="Times New Roman" w:cs="Times New Roman"/>
                <w:b/>
                <w:bCs/>
                <w:kern w:val="0"/>
                <w:sz w:val="18"/>
                <w:szCs w:val="18"/>
                <w:lang w:eastAsia="es-CO"/>
                <w14:ligatures w14:val="none"/>
              </w:rPr>
              <w:t xml:space="preserve">2025 </w:t>
            </w:r>
          </w:p>
        </w:tc>
        <w:tc>
          <w:tcPr>
            <w:tcW w:w="844" w:type="pct"/>
            <w:vAlign w:val="center"/>
            <w:hideMark/>
          </w:tcPr>
          <w:p w14:paraId="5AB9507B" w14:textId="77777777" w:rsidR="00933134" w:rsidRPr="00951AB1" w:rsidRDefault="00933134" w:rsidP="000A5389">
            <w:pPr>
              <w:spacing w:line="240" w:lineRule="auto"/>
              <w:jc w:val="center"/>
              <w:rPr>
                <w:rFonts w:eastAsia="Times New Roman" w:cs="Times New Roman"/>
                <w:b/>
                <w:bCs/>
                <w:kern w:val="0"/>
                <w:sz w:val="18"/>
                <w:szCs w:val="18"/>
                <w:lang w:eastAsia="es-CO"/>
                <w14:ligatures w14:val="none"/>
              </w:rPr>
            </w:pPr>
            <w:r w:rsidRPr="00951AB1">
              <w:rPr>
                <w:rFonts w:eastAsia="Times New Roman" w:cs="Times New Roman"/>
                <w:b/>
                <w:bCs/>
                <w:kern w:val="0"/>
                <w:sz w:val="18"/>
                <w:szCs w:val="18"/>
                <w:lang w:eastAsia="es-CO"/>
                <w14:ligatures w14:val="none"/>
              </w:rPr>
              <w:t xml:space="preserve">2024 </w:t>
            </w:r>
          </w:p>
        </w:tc>
        <w:tc>
          <w:tcPr>
            <w:tcW w:w="878" w:type="pct"/>
            <w:vAlign w:val="center"/>
            <w:hideMark/>
          </w:tcPr>
          <w:p w14:paraId="125157DA" w14:textId="77777777" w:rsidR="00933134" w:rsidRPr="00951AB1" w:rsidRDefault="00933134" w:rsidP="000A5389">
            <w:pPr>
              <w:spacing w:line="240" w:lineRule="auto"/>
              <w:jc w:val="center"/>
              <w:rPr>
                <w:rFonts w:eastAsia="Times New Roman" w:cs="Times New Roman"/>
                <w:b/>
                <w:bCs/>
                <w:kern w:val="0"/>
                <w:sz w:val="18"/>
                <w:szCs w:val="18"/>
                <w:lang w:eastAsia="es-CO"/>
                <w14:ligatures w14:val="none"/>
              </w:rPr>
            </w:pPr>
            <w:r w:rsidRPr="00951AB1">
              <w:rPr>
                <w:rFonts w:eastAsia="Times New Roman" w:cs="Times New Roman"/>
                <w:b/>
                <w:bCs/>
                <w:kern w:val="0"/>
                <w:sz w:val="18"/>
                <w:szCs w:val="18"/>
                <w:lang w:eastAsia="es-CO"/>
                <w14:ligatures w14:val="none"/>
              </w:rPr>
              <w:t>VARIACIÓN</w:t>
            </w:r>
          </w:p>
        </w:tc>
      </w:tr>
      <w:tr w:rsidR="00933134" w:rsidRPr="00951AB1" w14:paraId="19CD4D77" w14:textId="77777777" w:rsidTr="002D6214">
        <w:trPr>
          <w:trHeight w:val="540"/>
        </w:trPr>
        <w:tc>
          <w:tcPr>
            <w:tcW w:w="420" w:type="pct"/>
            <w:noWrap/>
            <w:vAlign w:val="center"/>
            <w:hideMark/>
          </w:tcPr>
          <w:p w14:paraId="11460F49" w14:textId="77777777" w:rsidR="00933134" w:rsidRPr="00951AB1" w:rsidRDefault="00933134" w:rsidP="000A5389">
            <w:pPr>
              <w:spacing w:line="240" w:lineRule="auto"/>
              <w:rPr>
                <w:rFonts w:eastAsia="Times New Roman" w:cs="Times New Roman"/>
                <w:b/>
                <w:bCs/>
                <w:kern w:val="0"/>
                <w:sz w:val="18"/>
                <w:szCs w:val="18"/>
                <w:lang w:eastAsia="es-CO"/>
                <w14:ligatures w14:val="none"/>
              </w:rPr>
            </w:pPr>
            <w:r w:rsidRPr="00951AB1">
              <w:rPr>
                <w:rFonts w:eastAsia="Times New Roman" w:cs="Times New Roman"/>
                <w:b/>
                <w:bCs/>
                <w:kern w:val="0"/>
                <w:sz w:val="18"/>
                <w:szCs w:val="18"/>
                <w:lang w:eastAsia="es-CO"/>
                <w14:ligatures w14:val="none"/>
              </w:rPr>
              <w:t>5.3</w:t>
            </w:r>
          </w:p>
        </w:tc>
        <w:tc>
          <w:tcPr>
            <w:tcW w:w="1837" w:type="pct"/>
            <w:vAlign w:val="center"/>
            <w:hideMark/>
          </w:tcPr>
          <w:p w14:paraId="47C51DAA" w14:textId="77777777" w:rsidR="00933134" w:rsidRPr="00951AB1" w:rsidRDefault="00933134" w:rsidP="000A5389">
            <w:pPr>
              <w:spacing w:line="240" w:lineRule="auto"/>
              <w:jc w:val="center"/>
              <w:rPr>
                <w:rFonts w:eastAsia="Times New Roman" w:cs="Times New Roman"/>
                <w:b/>
                <w:bCs/>
                <w:kern w:val="0"/>
                <w:sz w:val="18"/>
                <w:szCs w:val="18"/>
                <w:lang w:eastAsia="es-CO"/>
                <w14:ligatures w14:val="none"/>
              </w:rPr>
            </w:pPr>
            <w:r w:rsidRPr="00951AB1">
              <w:rPr>
                <w:rFonts w:eastAsia="Times New Roman" w:cs="Times New Roman"/>
                <w:b/>
                <w:bCs/>
                <w:kern w:val="0"/>
                <w:sz w:val="18"/>
                <w:szCs w:val="18"/>
                <w:lang w:eastAsia="es-CO"/>
                <w14:ligatures w14:val="none"/>
              </w:rPr>
              <w:t>DETERIORO, DEPRECIACIONES, AMORTIZACIONES Y PROVISIONES</w:t>
            </w:r>
          </w:p>
        </w:tc>
        <w:tc>
          <w:tcPr>
            <w:tcW w:w="1021" w:type="pct"/>
            <w:noWrap/>
            <w:vAlign w:val="center"/>
            <w:hideMark/>
          </w:tcPr>
          <w:p w14:paraId="700FDACC" w14:textId="77777777" w:rsidR="00933134" w:rsidRPr="00951AB1" w:rsidRDefault="00933134" w:rsidP="000A5389">
            <w:pPr>
              <w:spacing w:line="240" w:lineRule="auto"/>
              <w:jc w:val="right"/>
              <w:rPr>
                <w:rFonts w:eastAsia="Times New Roman" w:cs="Times New Roman"/>
                <w:b/>
                <w:bCs/>
                <w:kern w:val="0"/>
                <w:sz w:val="18"/>
                <w:szCs w:val="18"/>
                <w:lang w:eastAsia="es-CO"/>
                <w14:ligatures w14:val="none"/>
              </w:rPr>
            </w:pPr>
            <w:r w:rsidRPr="00951AB1">
              <w:rPr>
                <w:rFonts w:eastAsia="Times New Roman" w:cs="Times New Roman"/>
                <w:b/>
                <w:bCs/>
                <w:kern w:val="0"/>
                <w:sz w:val="18"/>
                <w:szCs w:val="18"/>
                <w:lang w:eastAsia="es-CO"/>
                <w14:ligatures w14:val="none"/>
              </w:rPr>
              <w:t>7.092.055.526.205</w:t>
            </w:r>
          </w:p>
        </w:tc>
        <w:tc>
          <w:tcPr>
            <w:tcW w:w="844" w:type="pct"/>
            <w:noWrap/>
            <w:vAlign w:val="center"/>
            <w:hideMark/>
          </w:tcPr>
          <w:p w14:paraId="2B49AE5C" w14:textId="77777777" w:rsidR="00933134" w:rsidRPr="00951AB1" w:rsidRDefault="00933134" w:rsidP="000A5389">
            <w:pPr>
              <w:spacing w:line="240" w:lineRule="auto"/>
              <w:jc w:val="right"/>
              <w:rPr>
                <w:rFonts w:eastAsia="Times New Roman" w:cs="Times New Roman"/>
                <w:b/>
                <w:bCs/>
                <w:kern w:val="0"/>
                <w:sz w:val="18"/>
                <w:szCs w:val="18"/>
                <w:lang w:eastAsia="es-CO"/>
                <w14:ligatures w14:val="none"/>
              </w:rPr>
            </w:pPr>
            <w:r w:rsidRPr="00951AB1">
              <w:rPr>
                <w:rFonts w:eastAsia="Times New Roman" w:cs="Times New Roman"/>
                <w:b/>
                <w:bCs/>
                <w:kern w:val="0"/>
                <w:sz w:val="18"/>
                <w:szCs w:val="18"/>
                <w:lang w:eastAsia="es-CO"/>
                <w14:ligatures w14:val="none"/>
              </w:rPr>
              <w:t>6.263.151.300.378</w:t>
            </w:r>
          </w:p>
        </w:tc>
        <w:tc>
          <w:tcPr>
            <w:tcW w:w="878" w:type="pct"/>
            <w:noWrap/>
            <w:vAlign w:val="center"/>
            <w:hideMark/>
          </w:tcPr>
          <w:p w14:paraId="44B2C8C7" w14:textId="77777777" w:rsidR="00933134" w:rsidRPr="00951AB1" w:rsidRDefault="00933134" w:rsidP="000A5389">
            <w:pPr>
              <w:spacing w:line="240" w:lineRule="auto"/>
              <w:jc w:val="right"/>
              <w:rPr>
                <w:rFonts w:eastAsia="Times New Roman" w:cs="Times New Roman"/>
                <w:b/>
                <w:bCs/>
                <w:kern w:val="0"/>
                <w:sz w:val="18"/>
                <w:szCs w:val="18"/>
                <w:lang w:eastAsia="es-CO"/>
                <w14:ligatures w14:val="none"/>
              </w:rPr>
            </w:pPr>
            <w:r w:rsidRPr="00951AB1">
              <w:rPr>
                <w:rFonts w:eastAsia="Times New Roman" w:cs="Times New Roman"/>
                <w:b/>
                <w:bCs/>
                <w:kern w:val="0"/>
                <w:sz w:val="18"/>
                <w:szCs w:val="18"/>
                <w:lang w:eastAsia="es-CO"/>
                <w14:ligatures w14:val="none"/>
              </w:rPr>
              <w:t>828.904.225.827</w:t>
            </w:r>
          </w:p>
        </w:tc>
      </w:tr>
      <w:tr w:rsidR="00933134" w:rsidRPr="00951AB1" w14:paraId="08AF11D3" w14:textId="77777777" w:rsidTr="002D6214">
        <w:trPr>
          <w:trHeight w:val="270"/>
        </w:trPr>
        <w:tc>
          <w:tcPr>
            <w:tcW w:w="420" w:type="pct"/>
            <w:noWrap/>
            <w:vAlign w:val="center"/>
            <w:hideMark/>
          </w:tcPr>
          <w:p w14:paraId="74219988" w14:textId="77777777" w:rsidR="00933134" w:rsidRPr="00951AB1" w:rsidRDefault="00933134" w:rsidP="000A5389">
            <w:pPr>
              <w:spacing w:line="240" w:lineRule="auto"/>
              <w:rPr>
                <w:rFonts w:eastAsia="Times New Roman" w:cs="Times New Roman"/>
                <w:b/>
                <w:bCs/>
                <w:kern w:val="0"/>
                <w:sz w:val="18"/>
                <w:szCs w:val="18"/>
                <w:lang w:eastAsia="es-CO"/>
                <w14:ligatures w14:val="none"/>
              </w:rPr>
            </w:pPr>
            <w:r w:rsidRPr="00951AB1">
              <w:rPr>
                <w:rFonts w:eastAsia="Times New Roman" w:cs="Times New Roman"/>
                <w:b/>
                <w:bCs/>
                <w:kern w:val="0"/>
                <w:sz w:val="18"/>
                <w:szCs w:val="18"/>
                <w:lang w:eastAsia="es-CO"/>
                <w14:ligatures w14:val="none"/>
              </w:rPr>
              <w:t> </w:t>
            </w:r>
          </w:p>
        </w:tc>
        <w:tc>
          <w:tcPr>
            <w:tcW w:w="1837" w:type="pct"/>
            <w:vAlign w:val="center"/>
            <w:hideMark/>
          </w:tcPr>
          <w:p w14:paraId="480BE54D" w14:textId="77777777" w:rsidR="00933134" w:rsidRPr="00951AB1" w:rsidRDefault="00933134" w:rsidP="000A5389">
            <w:pPr>
              <w:spacing w:line="240" w:lineRule="auto"/>
              <w:rPr>
                <w:rFonts w:eastAsia="Times New Roman" w:cs="Times New Roman"/>
                <w:b/>
                <w:bCs/>
                <w:kern w:val="0"/>
                <w:sz w:val="18"/>
                <w:szCs w:val="18"/>
                <w:lang w:eastAsia="es-CO"/>
                <w14:ligatures w14:val="none"/>
              </w:rPr>
            </w:pPr>
            <w:r w:rsidRPr="00951AB1">
              <w:rPr>
                <w:rFonts w:eastAsia="Times New Roman" w:cs="Times New Roman"/>
                <w:b/>
                <w:bCs/>
                <w:kern w:val="0"/>
                <w:sz w:val="18"/>
                <w:szCs w:val="18"/>
                <w:lang w:eastAsia="es-CO"/>
                <w14:ligatures w14:val="none"/>
              </w:rPr>
              <w:t>PROVISIÓN</w:t>
            </w:r>
          </w:p>
        </w:tc>
        <w:tc>
          <w:tcPr>
            <w:tcW w:w="1021" w:type="pct"/>
            <w:noWrap/>
            <w:vAlign w:val="center"/>
            <w:hideMark/>
          </w:tcPr>
          <w:p w14:paraId="0B688E39" w14:textId="77777777" w:rsidR="00933134" w:rsidRPr="00951AB1" w:rsidRDefault="00933134" w:rsidP="000A5389">
            <w:pPr>
              <w:spacing w:line="240" w:lineRule="auto"/>
              <w:jc w:val="right"/>
              <w:rPr>
                <w:rFonts w:eastAsia="Times New Roman" w:cs="Times New Roman"/>
                <w:b/>
                <w:bCs/>
                <w:kern w:val="0"/>
                <w:sz w:val="18"/>
                <w:szCs w:val="18"/>
                <w:lang w:eastAsia="es-CO"/>
                <w14:ligatures w14:val="none"/>
              </w:rPr>
            </w:pPr>
            <w:r w:rsidRPr="00951AB1">
              <w:rPr>
                <w:rFonts w:eastAsia="Times New Roman" w:cs="Times New Roman"/>
                <w:b/>
                <w:bCs/>
                <w:kern w:val="0"/>
                <w:sz w:val="18"/>
                <w:szCs w:val="18"/>
                <w:lang w:eastAsia="es-CO"/>
                <w14:ligatures w14:val="none"/>
              </w:rPr>
              <w:t>6.985.216.644.933</w:t>
            </w:r>
          </w:p>
        </w:tc>
        <w:tc>
          <w:tcPr>
            <w:tcW w:w="844" w:type="pct"/>
            <w:noWrap/>
            <w:vAlign w:val="center"/>
            <w:hideMark/>
          </w:tcPr>
          <w:p w14:paraId="4524CC9D" w14:textId="77777777" w:rsidR="00933134" w:rsidRPr="00951AB1" w:rsidRDefault="00933134" w:rsidP="000A5389">
            <w:pPr>
              <w:spacing w:line="240" w:lineRule="auto"/>
              <w:jc w:val="right"/>
              <w:rPr>
                <w:rFonts w:eastAsia="Times New Roman" w:cs="Times New Roman"/>
                <w:b/>
                <w:bCs/>
                <w:kern w:val="0"/>
                <w:sz w:val="18"/>
                <w:szCs w:val="18"/>
                <w:lang w:eastAsia="es-CO"/>
                <w14:ligatures w14:val="none"/>
              </w:rPr>
            </w:pPr>
            <w:r w:rsidRPr="00951AB1">
              <w:rPr>
                <w:rFonts w:eastAsia="Times New Roman" w:cs="Times New Roman"/>
                <w:b/>
                <w:bCs/>
                <w:kern w:val="0"/>
                <w:sz w:val="18"/>
                <w:szCs w:val="18"/>
                <w:lang w:eastAsia="es-CO"/>
                <w14:ligatures w14:val="none"/>
              </w:rPr>
              <w:t>6.218.706.822.114</w:t>
            </w:r>
          </w:p>
        </w:tc>
        <w:tc>
          <w:tcPr>
            <w:tcW w:w="878" w:type="pct"/>
            <w:noWrap/>
            <w:vAlign w:val="center"/>
            <w:hideMark/>
          </w:tcPr>
          <w:p w14:paraId="2FCA8DCF" w14:textId="77777777" w:rsidR="00933134" w:rsidRPr="00951AB1" w:rsidRDefault="00933134" w:rsidP="000A5389">
            <w:pPr>
              <w:spacing w:line="240" w:lineRule="auto"/>
              <w:jc w:val="right"/>
              <w:rPr>
                <w:rFonts w:eastAsia="Times New Roman" w:cs="Times New Roman"/>
                <w:b/>
                <w:bCs/>
                <w:kern w:val="0"/>
                <w:sz w:val="18"/>
                <w:szCs w:val="18"/>
                <w:lang w:eastAsia="es-CO"/>
                <w14:ligatures w14:val="none"/>
              </w:rPr>
            </w:pPr>
            <w:r w:rsidRPr="00951AB1">
              <w:rPr>
                <w:rFonts w:eastAsia="Times New Roman" w:cs="Times New Roman"/>
                <w:b/>
                <w:bCs/>
                <w:kern w:val="0"/>
                <w:sz w:val="18"/>
                <w:szCs w:val="18"/>
                <w:lang w:eastAsia="es-CO"/>
                <w14:ligatures w14:val="none"/>
              </w:rPr>
              <w:t>766.509.822.819</w:t>
            </w:r>
          </w:p>
        </w:tc>
      </w:tr>
      <w:tr w:rsidR="00933134" w:rsidRPr="00951AB1" w14:paraId="55EC4B67" w14:textId="77777777" w:rsidTr="002D6214">
        <w:trPr>
          <w:trHeight w:val="278"/>
        </w:trPr>
        <w:tc>
          <w:tcPr>
            <w:tcW w:w="420" w:type="pct"/>
            <w:noWrap/>
            <w:vAlign w:val="center"/>
            <w:hideMark/>
          </w:tcPr>
          <w:p w14:paraId="3F4B740A" w14:textId="77777777" w:rsidR="00933134" w:rsidRPr="00951AB1" w:rsidRDefault="00933134" w:rsidP="000A5389">
            <w:pPr>
              <w:spacing w:line="240" w:lineRule="auto"/>
              <w:rPr>
                <w:rFonts w:eastAsia="Times New Roman" w:cs="Times New Roman"/>
                <w:kern w:val="0"/>
                <w:sz w:val="18"/>
                <w:szCs w:val="18"/>
                <w:lang w:eastAsia="es-CO"/>
                <w14:ligatures w14:val="none"/>
              </w:rPr>
            </w:pPr>
            <w:r w:rsidRPr="00951AB1">
              <w:rPr>
                <w:rFonts w:eastAsia="Times New Roman" w:cs="Times New Roman"/>
                <w:kern w:val="0"/>
                <w:sz w:val="18"/>
                <w:szCs w:val="18"/>
                <w:lang w:eastAsia="es-CO"/>
                <w14:ligatures w14:val="none"/>
              </w:rPr>
              <w:t>5.3.73</w:t>
            </w:r>
          </w:p>
        </w:tc>
        <w:tc>
          <w:tcPr>
            <w:tcW w:w="1837" w:type="pct"/>
            <w:vAlign w:val="center"/>
            <w:hideMark/>
          </w:tcPr>
          <w:p w14:paraId="4CAF79CD" w14:textId="77777777" w:rsidR="00933134" w:rsidRPr="00951AB1" w:rsidRDefault="00933134" w:rsidP="000A5389">
            <w:pPr>
              <w:spacing w:line="240" w:lineRule="auto"/>
              <w:rPr>
                <w:rFonts w:eastAsia="Times New Roman" w:cs="Times New Roman"/>
                <w:kern w:val="0"/>
                <w:sz w:val="18"/>
                <w:szCs w:val="18"/>
                <w:lang w:eastAsia="es-CO"/>
                <w14:ligatures w14:val="none"/>
              </w:rPr>
            </w:pPr>
            <w:r w:rsidRPr="00951AB1">
              <w:rPr>
                <w:rFonts w:eastAsia="Times New Roman" w:cs="Times New Roman"/>
                <w:kern w:val="0"/>
                <w:sz w:val="18"/>
                <w:szCs w:val="18"/>
                <w:lang w:eastAsia="es-CO"/>
                <w14:ligatures w14:val="none"/>
              </w:rPr>
              <w:t>Provisiones diversas</w:t>
            </w:r>
          </w:p>
        </w:tc>
        <w:tc>
          <w:tcPr>
            <w:tcW w:w="1021" w:type="pct"/>
            <w:noWrap/>
            <w:vAlign w:val="center"/>
            <w:hideMark/>
          </w:tcPr>
          <w:p w14:paraId="02E082F8" w14:textId="77777777" w:rsidR="00933134" w:rsidRPr="00951AB1" w:rsidRDefault="00933134" w:rsidP="000A5389">
            <w:pPr>
              <w:spacing w:line="240" w:lineRule="auto"/>
              <w:jc w:val="right"/>
              <w:rPr>
                <w:rFonts w:eastAsia="Times New Roman" w:cs="Times New Roman"/>
                <w:kern w:val="0"/>
                <w:sz w:val="18"/>
                <w:szCs w:val="18"/>
                <w:lang w:eastAsia="es-CO"/>
                <w14:ligatures w14:val="none"/>
              </w:rPr>
            </w:pPr>
            <w:r w:rsidRPr="00951AB1">
              <w:rPr>
                <w:rFonts w:eastAsia="Times New Roman" w:cs="Times New Roman"/>
                <w:kern w:val="0"/>
                <w:sz w:val="18"/>
                <w:szCs w:val="18"/>
                <w:lang w:eastAsia="es-CO"/>
                <w14:ligatures w14:val="none"/>
              </w:rPr>
              <w:t>6.313.525.678.405</w:t>
            </w:r>
          </w:p>
        </w:tc>
        <w:tc>
          <w:tcPr>
            <w:tcW w:w="844" w:type="pct"/>
            <w:noWrap/>
            <w:vAlign w:val="center"/>
            <w:hideMark/>
          </w:tcPr>
          <w:p w14:paraId="7A0D213B" w14:textId="77777777" w:rsidR="00933134" w:rsidRPr="00951AB1" w:rsidRDefault="00933134" w:rsidP="000A5389">
            <w:pPr>
              <w:spacing w:line="240" w:lineRule="auto"/>
              <w:jc w:val="right"/>
              <w:rPr>
                <w:rFonts w:eastAsia="Times New Roman" w:cs="Times New Roman"/>
                <w:kern w:val="0"/>
                <w:sz w:val="18"/>
                <w:szCs w:val="18"/>
                <w:lang w:eastAsia="es-CO"/>
                <w14:ligatures w14:val="none"/>
              </w:rPr>
            </w:pPr>
            <w:r w:rsidRPr="00951AB1">
              <w:rPr>
                <w:rFonts w:eastAsia="Times New Roman" w:cs="Times New Roman"/>
                <w:kern w:val="0"/>
                <w:sz w:val="18"/>
                <w:szCs w:val="18"/>
                <w:lang w:eastAsia="es-CO"/>
                <w14:ligatures w14:val="none"/>
              </w:rPr>
              <w:t>3.563.813.271.726</w:t>
            </w:r>
          </w:p>
        </w:tc>
        <w:tc>
          <w:tcPr>
            <w:tcW w:w="878" w:type="pct"/>
            <w:noWrap/>
            <w:vAlign w:val="center"/>
            <w:hideMark/>
          </w:tcPr>
          <w:p w14:paraId="64C0DD07" w14:textId="77777777" w:rsidR="00933134" w:rsidRPr="00951AB1" w:rsidRDefault="00933134" w:rsidP="000A5389">
            <w:pPr>
              <w:spacing w:line="240" w:lineRule="auto"/>
              <w:jc w:val="right"/>
              <w:rPr>
                <w:rFonts w:eastAsia="Times New Roman" w:cs="Times New Roman"/>
                <w:kern w:val="0"/>
                <w:sz w:val="18"/>
                <w:szCs w:val="18"/>
                <w:lang w:eastAsia="es-CO"/>
                <w14:ligatures w14:val="none"/>
              </w:rPr>
            </w:pPr>
            <w:r w:rsidRPr="00951AB1">
              <w:rPr>
                <w:rFonts w:eastAsia="Times New Roman" w:cs="Times New Roman"/>
                <w:kern w:val="0"/>
                <w:sz w:val="18"/>
                <w:szCs w:val="18"/>
                <w:lang w:eastAsia="es-CO"/>
                <w14:ligatures w14:val="none"/>
              </w:rPr>
              <w:t>2.749.712.406.679</w:t>
            </w:r>
          </w:p>
        </w:tc>
      </w:tr>
      <w:tr w:rsidR="00933134" w:rsidRPr="00951AB1" w14:paraId="7C9E1037" w14:textId="77777777" w:rsidTr="002D6214">
        <w:trPr>
          <w:trHeight w:val="278"/>
        </w:trPr>
        <w:tc>
          <w:tcPr>
            <w:tcW w:w="420" w:type="pct"/>
            <w:noWrap/>
            <w:vAlign w:val="center"/>
            <w:hideMark/>
          </w:tcPr>
          <w:p w14:paraId="6515A3E7" w14:textId="77777777" w:rsidR="00933134" w:rsidRPr="00951AB1" w:rsidRDefault="00933134" w:rsidP="000A5389">
            <w:pPr>
              <w:spacing w:line="240" w:lineRule="auto"/>
              <w:rPr>
                <w:rFonts w:eastAsia="Times New Roman" w:cs="Times New Roman"/>
                <w:kern w:val="0"/>
                <w:sz w:val="18"/>
                <w:szCs w:val="18"/>
                <w:lang w:eastAsia="es-CO"/>
                <w14:ligatures w14:val="none"/>
              </w:rPr>
            </w:pPr>
            <w:r w:rsidRPr="00951AB1">
              <w:rPr>
                <w:rFonts w:eastAsia="Times New Roman" w:cs="Times New Roman"/>
                <w:kern w:val="0"/>
                <w:sz w:val="18"/>
                <w:szCs w:val="18"/>
                <w:lang w:eastAsia="es-CO"/>
                <w14:ligatures w14:val="none"/>
              </w:rPr>
              <w:t>5.3.69</w:t>
            </w:r>
          </w:p>
        </w:tc>
        <w:tc>
          <w:tcPr>
            <w:tcW w:w="1837" w:type="pct"/>
            <w:vAlign w:val="center"/>
            <w:hideMark/>
          </w:tcPr>
          <w:p w14:paraId="0A3DCDEE" w14:textId="77777777" w:rsidR="00933134" w:rsidRPr="00951AB1" w:rsidRDefault="00933134" w:rsidP="000A5389">
            <w:pPr>
              <w:spacing w:line="240" w:lineRule="auto"/>
              <w:rPr>
                <w:rFonts w:eastAsia="Times New Roman" w:cs="Times New Roman"/>
                <w:kern w:val="0"/>
                <w:sz w:val="18"/>
                <w:szCs w:val="18"/>
                <w:lang w:eastAsia="es-CO"/>
                <w14:ligatures w14:val="none"/>
              </w:rPr>
            </w:pPr>
            <w:r w:rsidRPr="00951AB1">
              <w:rPr>
                <w:rFonts w:eastAsia="Times New Roman" w:cs="Times New Roman"/>
                <w:kern w:val="0"/>
                <w:sz w:val="18"/>
                <w:szCs w:val="18"/>
                <w:lang w:eastAsia="es-CO"/>
                <w14:ligatures w14:val="none"/>
              </w:rPr>
              <w:t>Por garantías</w:t>
            </w:r>
          </w:p>
        </w:tc>
        <w:tc>
          <w:tcPr>
            <w:tcW w:w="1021" w:type="pct"/>
            <w:noWrap/>
            <w:vAlign w:val="center"/>
            <w:hideMark/>
          </w:tcPr>
          <w:p w14:paraId="0011E45A" w14:textId="77777777" w:rsidR="00933134" w:rsidRPr="00951AB1" w:rsidRDefault="00933134" w:rsidP="000A5389">
            <w:pPr>
              <w:spacing w:line="240" w:lineRule="auto"/>
              <w:jc w:val="right"/>
              <w:rPr>
                <w:rFonts w:eastAsia="Times New Roman" w:cs="Times New Roman"/>
                <w:kern w:val="0"/>
                <w:sz w:val="18"/>
                <w:szCs w:val="18"/>
                <w:lang w:eastAsia="es-CO"/>
                <w14:ligatures w14:val="none"/>
              </w:rPr>
            </w:pPr>
            <w:r w:rsidRPr="00951AB1">
              <w:rPr>
                <w:rFonts w:eastAsia="Times New Roman" w:cs="Times New Roman"/>
                <w:kern w:val="0"/>
                <w:sz w:val="18"/>
                <w:szCs w:val="18"/>
                <w:lang w:eastAsia="es-CO"/>
                <w14:ligatures w14:val="none"/>
              </w:rPr>
              <w:t>639.097.638.258</w:t>
            </w:r>
          </w:p>
        </w:tc>
        <w:tc>
          <w:tcPr>
            <w:tcW w:w="844" w:type="pct"/>
            <w:noWrap/>
            <w:vAlign w:val="center"/>
            <w:hideMark/>
          </w:tcPr>
          <w:p w14:paraId="49720FB6" w14:textId="77777777" w:rsidR="00933134" w:rsidRPr="00951AB1" w:rsidRDefault="00933134" w:rsidP="000A5389">
            <w:pPr>
              <w:spacing w:line="240" w:lineRule="auto"/>
              <w:jc w:val="right"/>
              <w:rPr>
                <w:rFonts w:eastAsia="Times New Roman" w:cs="Times New Roman"/>
                <w:kern w:val="0"/>
                <w:sz w:val="18"/>
                <w:szCs w:val="18"/>
                <w:lang w:eastAsia="es-CO"/>
                <w14:ligatures w14:val="none"/>
              </w:rPr>
            </w:pPr>
            <w:r w:rsidRPr="00951AB1">
              <w:rPr>
                <w:rFonts w:eastAsia="Times New Roman" w:cs="Times New Roman"/>
                <w:kern w:val="0"/>
                <w:sz w:val="18"/>
                <w:szCs w:val="18"/>
                <w:lang w:eastAsia="es-CO"/>
                <w14:ligatures w14:val="none"/>
              </w:rPr>
              <w:t>2.597.383.484.042</w:t>
            </w:r>
          </w:p>
        </w:tc>
        <w:tc>
          <w:tcPr>
            <w:tcW w:w="878" w:type="pct"/>
            <w:noWrap/>
            <w:vAlign w:val="center"/>
            <w:hideMark/>
          </w:tcPr>
          <w:p w14:paraId="37D189BE" w14:textId="77777777" w:rsidR="00933134" w:rsidRPr="00951AB1" w:rsidRDefault="00933134" w:rsidP="000A5389">
            <w:pPr>
              <w:spacing w:line="240" w:lineRule="auto"/>
              <w:jc w:val="right"/>
              <w:rPr>
                <w:rFonts w:eastAsia="Times New Roman" w:cs="Times New Roman"/>
                <w:kern w:val="0"/>
                <w:sz w:val="18"/>
                <w:szCs w:val="18"/>
                <w:lang w:eastAsia="es-CO"/>
                <w14:ligatures w14:val="none"/>
              </w:rPr>
            </w:pPr>
            <w:r w:rsidRPr="00951AB1">
              <w:rPr>
                <w:rFonts w:eastAsia="Times New Roman" w:cs="Times New Roman"/>
                <w:kern w:val="0"/>
                <w:sz w:val="18"/>
                <w:szCs w:val="18"/>
                <w:lang w:eastAsia="es-CO"/>
                <w14:ligatures w14:val="none"/>
              </w:rPr>
              <w:t>-1.958.285.845.784</w:t>
            </w:r>
          </w:p>
        </w:tc>
      </w:tr>
      <w:tr w:rsidR="00933134" w:rsidRPr="00951AB1" w14:paraId="42363D05" w14:textId="77777777" w:rsidTr="002D6214">
        <w:trPr>
          <w:trHeight w:val="278"/>
        </w:trPr>
        <w:tc>
          <w:tcPr>
            <w:tcW w:w="420" w:type="pct"/>
            <w:noWrap/>
            <w:vAlign w:val="center"/>
            <w:hideMark/>
          </w:tcPr>
          <w:p w14:paraId="56E11826" w14:textId="77777777" w:rsidR="00933134" w:rsidRPr="00951AB1" w:rsidRDefault="00933134" w:rsidP="000A5389">
            <w:pPr>
              <w:spacing w:line="240" w:lineRule="auto"/>
              <w:rPr>
                <w:rFonts w:eastAsia="Times New Roman" w:cs="Times New Roman"/>
                <w:kern w:val="0"/>
                <w:sz w:val="18"/>
                <w:szCs w:val="18"/>
                <w:lang w:eastAsia="es-CO"/>
                <w14:ligatures w14:val="none"/>
              </w:rPr>
            </w:pPr>
            <w:r w:rsidRPr="00951AB1">
              <w:rPr>
                <w:rFonts w:eastAsia="Times New Roman" w:cs="Times New Roman"/>
                <w:kern w:val="0"/>
                <w:sz w:val="18"/>
                <w:szCs w:val="18"/>
                <w:lang w:eastAsia="es-CO"/>
                <w14:ligatures w14:val="none"/>
              </w:rPr>
              <w:t>5.3.68</w:t>
            </w:r>
          </w:p>
        </w:tc>
        <w:tc>
          <w:tcPr>
            <w:tcW w:w="1837" w:type="pct"/>
            <w:vAlign w:val="center"/>
            <w:hideMark/>
          </w:tcPr>
          <w:p w14:paraId="1468418C" w14:textId="77777777" w:rsidR="00933134" w:rsidRPr="00951AB1" w:rsidRDefault="00933134" w:rsidP="000A5389">
            <w:pPr>
              <w:spacing w:line="240" w:lineRule="auto"/>
              <w:rPr>
                <w:rFonts w:eastAsia="Times New Roman" w:cs="Times New Roman"/>
                <w:kern w:val="0"/>
                <w:sz w:val="18"/>
                <w:szCs w:val="18"/>
                <w:lang w:eastAsia="es-CO"/>
                <w14:ligatures w14:val="none"/>
              </w:rPr>
            </w:pPr>
            <w:r w:rsidRPr="00951AB1">
              <w:rPr>
                <w:rFonts w:eastAsia="Times New Roman" w:cs="Times New Roman"/>
                <w:kern w:val="0"/>
                <w:sz w:val="18"/>
                <w:szCs w:val="18"/>
                <w:lang w:eastAsia="es-CO"/>
                <w14:ligatures w14:val="none"/>
              </w:rPr>
              <w:t>De litigios y demandas</w:t>
            </w:r>
          </w:p>
        </w:tc>
        <w:tc>
          <w:tcPr>
            <w:tcW w:w="1021" w:type="pct"/>
            <w:noWrap/>
            <w:vAlign w:val="center"/>
            <w:hideMark/>
          </w:tcPr>
          <w:p w14:paraId="7EA7663B" w14:textId="77777777" w:rsidR="00933134" w:rsidRPr="00951AB1" w:rsidRDefault="00933134" w:rsidP="000A5389">
            <w:pPr>
              <w:spacing w:line="240" w:lineRule="auto"/>
              <w:jc w:val="right"/>
              <w:rPr>
                <w:rFonts w:eastAsia="Times New Roman" w:cs="Times New Roman"/>
                <w:kern w:val="0"/>
                <w:sz w:val="18"/>
                <w:szCs w:val="18"/>
                <w:lang w:eastAsia="es-CO"/>
                <w14:ligatures w14:val="none"/>
              </w:rPr>
            </w:pPr>
            <w:r w:rsidRPr="00951AB1">
              <w:rPr>
                <w:rFonts w:eastAsia="Times New Roman" w:cs="Times New Roman"/>
                <w:kern w:val="0"/>
                <w:sz w:val="18"/>
                <w:szCs w:val="18"/>
                <w:lang w:eastAsia="es-CO"/>
                <w14:ligatures w14:val="none"/>
              </w:rPr>
              <w:t>32.593.328.269</w:t>
            </w:r>
          </w:p>
        </w:tc>
        <w:tc>
          <w:tcPr>
            <w:tcW w:w="844" w:type="pct"/>
            <w:noWrap/>
            <w:vAlign w:val="center"/>
            <w:hideMark/>
          </w:tcPr>
          <w:p w14:paraId="7709E57C" w14:textId="77777777" w:rsidR="00933134" w:rsidRPr="00951AB1" w:rsidRDefault="00933134" w:rsidP="000A5389">
            <w:pPr>
              <w:spacing w:line="240" w:lineRule="auto"/>
              <w:jc w:val="right"/>
              <w:rPr>
                <w:rFonts w:eastAsia="Times New Roman" w:cs="Times New Roman"/>
                <w:kern w:val="0"/>
                <w:sz w:val="18"/>
                <w:szCs w:val="18"/>
                <w:lang w:eastAsia="es-CO"/>
                <w14:ligatures w14:val="none"/>
              </w:rPr>
            </w:pPr>
            <w:r w:rsidRPr="00951AB1">
              <w:rPr>
                <w:rFonts w:eastAsia="Times New Roman" w:cs="Times New Roman"/>
                <w:kern w:val="0"/>
                <w:sz w:val="18"/>
                <w:szCs w:val="18"/>
                <w:lang w:eastAsia="es-CO"/>
                <w14:ligatures w14:val="none"/>
              </w:rPr>
              <w:t>57.510.066.345</w:t>
            </w:r>
          </w:p>
        </w:tc>
        <w:tc>
          <w:tcPr>
            <w:tcW w:w="878" w:type="pct"/>
            <w:noWrap/>
            <w:vAlign w:val="center"/>
            <w:hideMark/>
          </w:tcPr>
          <w:p w14:paraId="51B5B038" w14:textId="77777777" w:rsidR="00933134" w:rsidRPr="00951AB1" w:rsidRDefault="00933134" w:rsidP="000A5389">
            <w:pPr>
              <w:spacing w:line="240" w:lineRule="auto"/>
              <w:jc w:val="right"/>
              <w:rPr>
                <w:rFonts w:eastAsia="Times New Roman" w:cs="Times New Roman"/>
                <w:kern w:val="0"/>
                <w:sz w:val="18"/>
                <w:szCs w:val="18"/>
                <w:lang w:eastAsia="es-CO"/>
                <w14:ligatures w14:val="none"/>
              </w:rPr>
            </w:pPr>
            <w:r w:rsidRPr="00951AB1">
              <w:rPr>
                <w:rFonts w:eastAsia="Times New Roman" w:cs="Times New Roman"/>
                <w:kern w:val="0"/>
                <w:sz w:val="18"/>
                <w:szCs w:val="18"/>
                <w:lang w:eastAsia="es-CO"/>
                <w14:ligatures w14:val="none"/>
              </w:rPr>
              <w:t>-24.916.738.076</w:t>
            </w:r>
          </w:p>
        </w:tc>
      </w:tr>
      <w:tr w:rsidR="00933134" w:rsidRPr="00951AB1" w14:paraId="29A82D33" w14:textId="77777777" w:rsidTr="002D6214">
        <w:trPr>
          <w:trHeight w:val="270"/>
        </w:trPr>
        <w:tc>
          <w:tcPr>
            <w:tcW w:w="420" w:type="pct"/>
            <w:noWrap/>
            <w:vAlign w:val="center"/>
            <w:hideMark/>
          </w:tcPr>
          <w:p w14:paraId="35CFB924" w14:textId="77777777" w:rsidR="00933134" w:rsidRPr="00951AB1" w:rsidRDefault="00933134" w:rsidP="000A5389">
            <w:pPr>
              <w:spacing w:line="240" w:lineRule="auto"/>
              <w:rPr>
                <w:rFonts w:eastAsia="Times New Roman" w:cs="Times New Roman"/>
                <w:b/>
                <w:bCs/>
                <w:kern w:val="0"/>
                <w:sz w:val="18"/>
                <w:szCs w:val="18"/>
                <w:lang w:eastAsia="es-CO"/>
                <w14:ligatures w14:val="none"/>
              </w:rPr>
            </w:pPr>
            <w:r w:rsidRPr="00951AB1">
              <w:rPr>
                <w:rFonts w:eastAsia="Times New Roman" w:cs="Times New Roman"/>
                <w:b/>
                <w:bCs/>
                <w:kern w:val="0"/>
                <w:sz w:val="18"/>
                <w:szCs w:val="18"/>
                <w:lang w:eastAsia="es-CO"/>
                <w14:ligatures w14:val="none"/>
              </w:rPr>
              <w:t> </w:t>
            </w:r>
          </w:p>
        </w:tc>
        <w:tc>
          <w:tcPr>
            <w:tcW w:w="1837" w:type="pct"/>
            <w:vAlign w:val="center"/>
            <w:hideMark/>
          </w:tcPr>
          <w:p w14:paraId="7CFE6920" w14:textId="77777777" w:rsidR="00933134" w:rsidRPr="00951AB1" w:rsidRDefault="00933134" w:rsidP="000A5389">
            <w:pPr>
              <w:spacing w:line="240" w:lineRule="auto"/>
              <w:rPr>
                <w:rFonts w:eastAsia="Times New Roman" w:cs="Times New Roman"/>
                <w:b/>
                <w:bCs/>
                <w:kern w:val="0"/>
                <w:sz w:val="18"/>
                <w:szCs w:val="18"/>
                <w:lang w:eastAsia="es-CO"/>
                <w14:ligatures w14:val="none"/>
              </w:rPr>
            </w:pPr>
            <w:r w:rsidRPr="00951AB1">
              <w:rPr>
                <w:rFonts w:eastAsia="Times New Roman" w:cs="Times New Roman"/>
                <w:b/>
                <w:bCs/>
                <w:kern w:val="0"/>
                <w:sz w:val="18"/>
                <w:szCs w:val="18"/>
                <w:lang w:eastAsia="es-CO"/>
                <w14:ligatures w14:val="none"/>
              </w:rPr>
              <w:t>DEPRECIACIÓN</w:t>
            </w:r>
          </w:p>
        </w:tc>
        <w:tc>
          <w:tcPr>
            <w:tcW w:w="1021" w:type="pct"/>
            <w:noWrap/>
            <w:vAlign w:val="center"/>
            <w:hideMark/>
          </w:tcPr>
          <w:p w14:paraId="4713E2AA" w14:textId="77777777" w:rsidR="00933134" w:rsidRPr="00951AB1" w:rsidRDefault="00933134" w:rsidP="000A5389">
            <w:pPr>
              <w:spacing w:line="240" w:lineRule="auto"/>
              <w:jc w:val="right"/>
              <w:rPr>
                <w:rFonts w:eastAsia="Times New Roman" w:cs="Times New Roman"/>
                <w:b/>
                <w:bCs/>
                <w:kern w:val="0"/>
                <w:sz w:val="18"/>
                <w:szCs w:val="18"/>
                <w:lang w:eastAsia="es-CO"/>
                <w14:ligatures w14:val="none"/>
              </w:rPr>
            </w:pPr>
            <w:r w:rsidRPr="00951AB1">
              <w:rPr>
                <w:rFonts w:eastAsia="Times New Roman" w:cs="Times New Roman"/>
                <w:b/>
                <w:bCs/>
                <w:kern w:val="0"/>
                <w:sz w:val="18"/>
                <w:szCs w:val="18"/>
                <w:lang w:eastAsia="es-CO"/>
                <w14:ligatures w14:val="none"/>
              </w:rPr>
              <w:t>72.932.068.498</w:t>
            </w:r>
          </w:p>
        </w:tc>
        <w:tc>
          <w:tcPr>
            <w:tcW w:w="844" w:type="pct"/>
            <w:noWrap/>
            <w:vAlign w:val="center"/>
            <w:hideMark/>
          </w:tcPr>
          <w:p w14:paraId="60EB7F47" w14:textId="77777777" w:rsidR="00933134" w:rsidRPr="00951AB1" w:rsidRDefault="00933134" w:rsidP="000A5389">
            <w:pPr>
              <w:spacing w:line="240" w:lineRule="auto"/>
              <w:jc w:val="right"/>
              <w:rPr>
                <w:rFonts w:eastAsia="Times New Roman" w:cs="Times New Roman"/>
                <w:b/>
                <w:bCs/>
                <w:kern w:val="0"/>
                <w:sz w:val="18"/>
                <w:szCs w:val="18"/>
                <w:lang w:eastAsia="es-CO"/>
                <w14:ligatures w14:val="none"/>
              </w:rPr>
            </w:pPr>
            <w:r w:rsidRPr="00951AB1">
              <w:rPr>
                <w:rFonts w:eastAsia="Times New Roman" w:cs="Times New Roman"/>
                <w:b/>
                <w:bCs/>
                <w:kern w:val="0"/>
                <w:sz w:val="18"/>
                <w:szCs w:val="18"/>
                <w:lang w:eastAsia="es-CO"/>
                <w14:ligatures w14:val="none"/>
              </w:rPr>
              <w:t>33.995.937.534</w:t>
            </w:r>
          </w:p>
        </w:tc>
        <w:tc>
          <w:tcPr>
            <w:tcW w:w="878" w:type="pct"/>
            <w:noWrap/>
            <w:vAlign w:val="center"/>
            <w:hideMark/>
          </w:tcPr>
          <w:p w14:paraId="457EB9BC" w14:textId="77777777" w:rsidR="00933134" w:rsidRPr="00951AB1" w:rsidRDefault="00933134" w:rsidP="000A5389">
            <w:pPr>
              <w:spacing w:line="240" w:lineRule="auto"/>
              <w:jc w:val="right"/>
              <w:rPr>
                <w:rFonts w:eastAsia="Times New Roman" w:cs="Times New Roman"/>
                <w:b/>
                <w:bCs/>
                <w:kern w:val="0"/>
                <w:sz w:val="18"/>
                <w:szCs w:val="18"/>
                <w:lang w:eastAsia="es-CO"/>
                <w14:ligatures w14:val="none"/>
              </w:rPr>
            </w:pPr>
            <w:r w:rsidRPr="00951AB1">
              <w:rPr>
                <w:rFonts w:eastAsia="Times New Roman" w:cs="Times New Roman"/>
                <w:b/>
                <w:bCs/>
                <w:kern w:val="0"/>
                <w:sz w:val="18"/>
                <w:szCs w:val="18"/>
                <w:lang w:eastAsia="es-CO"/>
                <w14:ligatures w14:val="none"/>
              </w:rPr>
              <w:t>38.936.130.964</w:t>
            </w:r>
          </w:p>
        </w:tc>
      </w:tr>
      <w:tr w:rsidR="00933134" w:rsidRPr="00951AB1" w14:paraId="79F575B6" w14:textId="77777777" w:rsidTr="002D6214">
        <w:trPr>
          <w:trHeight w:val="555"/>
        </w:trPr>
        <w:tc>
          <w:tcPr>
            <w:tcW w:w="420" w:type="pct"/>
            <w:noWrap/>
            <w:vAlign w:val="center"/>
            <w:hideMark/>
          </w:tcPr>
          <w:p w14:paraId="33DAD771" w14:textId="77777777" w:rsidR="00933134" w:rsidRPr="00951AB1" w:rsidRDefault="00933134" w:rsidP="000A5389">
            <w:pPr>
              <w:spacing w:line="240" w:lineRule="auto"/>
              <w:rPr>
                <w:rFonts w:eastAsia="Times New Roman" w:cs="Times New Roman"/>
                <w:kern w:val="0"/>
                <w:sz w:val="18"/>
                <w:szCs w:val="18"/>
                <w:lang w:eastAsia="es-CO"/>
                <w14:ligatures w14:val="none"/>
              </w:rPr>
            </w:pPr>
            <w:r w:rsidRPr="00951AB1">
              <w:rPr>
                <w:rFonts w:eastAsia="Times New Roman" w:cs="Times New Roman"/>
                <w:kern w:val="0"/>
                <w:sz w:val="18"/>
                <w:szCs w:val="18"/>
                <w:lang w:eastAsia="es-CO"/>
                <w14:ligatures w14:val="none"/>
              </w:rPr>
              <w:t>5.3.76</w:t>
            </w:r>
          </w:p>
        </w:tc>
        <w:tc>
          <w:tcPr>
            <w:tcW w:w="1837" w:type="pct"/>
            <w:vAlign w:val="center"/>
            <w:hideMark/>
          </w:tcPr>
          <w:p w14:paraId="6D87E2B0" w14:textId="282A696E" w:rsidR="00933134" w:rsidRPr="00951AB1" w:rsidRDefault="00933134" w:rsidP="000A5389">
            <w:pPr>
              <w:spacing w:line="240" w:lineRule="auto"/>
              <w:rPr>
                <w:rFonts w:eastAsia="Times New Roman" w:cs="Times New Roman"/>
                <w:kern w:val="0"/>
                <w:sz w:val="18"/>
                <w:szCs w:val="18"/>
                <w:lang w:eastAsia="es-CO"/>
                <w14:ligatures w14:val="none"/>
              </w:rPr>
            </w:pPr>
            <w:r w:rsidRPr="00951AB1">
              <w:rPr>
                <w:rFonts w:eastAsia="Times New Roman" w:cs="Times New Roman"/>
                <w:kern w:val="0"/>
                <w:sz w:val="18"/>
                <w:szCs w:val="18"/>
                <w:lang w:eastAsia="es-CO"/>
                <w14:ligatures w14:val="none"/>
              </w:rPr>
              <w:t>Depreciación De Bienes De Uso Público En Servicio - Concesiones</w:t>
            </w:r>
          </w:p>
        </w:tc>
        <w:tc>
          <w:tcPr>
            <w:tcW w:w="1021" w:type="pct"/>
            <w:noWrap/>
            <w:vAlign w:val="center"/>
            <w:hideMark/>
          </w:tcPr>
          <w:p w14:paraId="11107593" w14:textId="77777777" w:rsidR="00933134" w:rsidRPr="00951AB1" w:rsidRDefault="00933134" w:rsidP="000A5389">
            <w:pPr>
              <w:spacing w:line="240" w:lineRule="auto"/>
              <w:jc w:val="right"/>
              <w:rPr>
                <w:rFonts w:eastAsia="Times New Roman" w:cs="Times New Roman"/>
                <w:kern w:val="0"/>
                <w:sz w:val="18"/>
                <w:szCs w:val="18"/>
                <w:lang w:eastAsia="es-CO"/>
                <w14:ligatures w14:val="none"/>
              </w:rPr>
            </w:pPr>
            <w:r w:rsidRPr="00951AB1">
              <w:rPr>
                <w:rFonts w:eastAsia="Times New Roman" w:cs="Times New Roman"/>
                <w:kern w:val="0"/>
                <w:sz w:val="18"/>
                <w:szCs w:val="18"/>
                <w:lang w:eastAsia="es-CO"/>
                <w14:ligatures w14:val="none"/>
              </w:rPr>
              <w:t>35.311.654.050</w:t>
            </w:r>
          </w:p>
        </w:tc>
        <w:tc>
          <w:tcPr>
            <w:tcW w:w="844" w:type="pct"/>
            <w:noWrap/>
            <w:vAlign w:val="center"/>
            <w:hideMark/>
          </w:tcPr>
          <w:p w14:paraId="3F7B30CA" w14:textId="77777777" w:rsidR="00933134" w:rsidRPr="00951AB1" w:rsidRDefault="00933134" w:rsidP="000A5389">
            <w:pPr>
              <w:spacing w:line="240" w:lineRule="auto"/>
              <w:jc w:val="right"/>
              <w:rPr>
                <w:rFonts w:eastAsia="Times New Roman" w:cs="Times New Roman"/>
                <w:kern w:val="0"/>
                <w:sz w:val="18"/>
                <w:szCs w:val="18"/>
                <w:lang w:eastAsia="es-CO"/>
                <w14:ligatures w14:val="none"/>
              </w:rPr>
            </w:pPr>
            <w:r w:rsidRPr="00951AB1">
              <w:rPr>
                <w:rFonts w:eastAsia="Times New Roman" w:cs="Times New Roman"/>
                <w:kern w:val="0"/>
                <w:sz w:val="18"/>
                <w:szCs w:val="18"/>
                <w:lang w:eastAsia="es-CO"/>
                <w14:ligatures w14:val="none"/>
              </w:rPr>
              <w:t>789.446.452</w:t>
            </w:r>
          </w:p>
        </w:tc>
        <w:tc>
          <w:tcPr>
            <w:tcW w:w="878" w:type="pct"/>
            <w:noWrap/>
            <w:vAlign w:val="center"/>
            <w:hideMark/>
          </w:tcPr>
          <w:p w14:paraId="740B8B8C" w14:textId="77777777" w:rsidR="00933134" w:rsidRPr="00951AB1" w:rsidRDefault="00933134" w:rsidP="000A5389">
            <w:pPr>
              <w:spacing w:line="240" w:lineRule="auto"/>
              <w:jc w:val="right"/>
              <w:rPr>
                <w:rFonts w:eastAsia="Times New Roman" w:cs="Times New Roman"/>
                <w:kern w:val="0"/>
                <w:sz w:val="18"/>
                <w:szCs w:val="18"/>
                <w:lang w:eastAsia="es-CO"/>
                <w14:ligatures w14:val="none"/>
              </w:rPr>
            </w:pPr>
            <w:r w:rsidRPr="00951AB1">
              <w:rPr>
                <w:rFonts w:eastAsia="Times New Roman" w:cs="Times New Roman"/>
                <w:kern w:val="0"/>
                <w:sz w:val="18"/>
                <w:szCs w:val="18"/>
                <w:lang w:eastAsia="es-CO"/>
                <w14:ligatures w14:val="none"/>
              </w:rPr>
              <w:t>34.522.207.598</w:t>
            </w:r>
          </w:p>
        </w:tc>
      </w:tr>
      <w:tr w:rsidR="00933134" w:rsidRPr="00951AB1" w14:paraId="1E9C8521" w14:textId="77777777" w:rsidTr="002D6214">
        <w:trPr>
          <w:trHeight w:val="555"/>
        </w:trPr>
        <w:tc>
          <w:tcPr>
            <w:tcW w:w="420" w:type="pct"/>
            <w:noWrap/>
            <w:vAlign w:val="center"/>
            <w:hideMark/>
          </w:tcPr>
          <w:p w14:paraId="58B1D10F" w14:textId="77777777" w:rsidR="00933134" w:rsidRPr="00951AB1" w:rsidRDefault="00933134" w:rsidP="000A5389">
            <w:pPr>
              <w:spacing w:line="240" w:lineRule="auto"/>
              <w:rPr>
                <w:rFonts w:eastAsia="Times New Roman" w:cs="Times New Roman"/>
                <w:kern w:val="0"/>
                <w:sz w:val="18"/>
                <w:szCs w:val="18"/>
                <w:lang w:eastAsia="es-CO"/>
                <w14:ligatures w14:val="none"/>
              </w:rPr>
            </w:pPr>
            <w:r w:rsidRPr="00951AB1">
              <w:rPr>
                <w:rFonts w:eastAsia="Times New Roman" w:cs="Times New Roman"/>
                <w:kern w:val="0"/>
                <w:sz w:val="18"/>
                <w:szCs w:val="18"/>
                <w:lang w:eastAsia="es-CO"/>
                <w14:ligatures w14:val="none"/>
              </w:rPr>
              <w:t>5.3.64</w:t>
            </w:r>
          </w:p>
        </w:tc>
        <w:tc>
          <w:tcPr>
            <w:tcW w:w="1837" w:type="pct"/>
            <w:vAlign w:val="center"/>
            <w:hideMark/>
          </w:tcPr>
          <w:p w14:paraId="38AE15B9" w14:textId="7E34A84C" w:rsidR="00933134" w:rsidRPr="00951AB1" w:rsidRDefault="00933134" w:rsidP="000A5389">
            <w:pPr>
              <w:spacing w:line="240" w:lineRule="auto"/>
              <w:rPr>
                <w:rFonts w:eastAsia="Times New Roman" w:cs="Times New Roman"/>
                <w:kern w:val="0"/>
                <w:sz w:val="18"/>
                <w:szCs w:val="18"/>
                <w:lang w:eastAsia="es-CO"/>
                <w14:ligatures w14:val="none"/>
              </w:rPr>
            </w:pPr>
            <w:r w:rsidRPr="00951AB1">
              <w:rPr>
                <w:rFonts w:eastAsia="Times New Roman" w:cs="Times New Roman"/>
                <w:kern w:val="0"/>
                <w:sz w:val="18"/>
                <w:szCs w:val="18"/>
                <w:lang w:eastAsia="es-CO"/>
                <w14:ligatures w14:val="none"/>
              </w:rPr>
              <w:t>Depreciación De Bienes De Uso Público En Servicio</w:t>
            </w:r>
          </w:p>
        </w:tc>
        <w:tc>
          <w:tcPr>
            <w:tcW w:w="1021" w:type="pct"/>
            <w:noWrap/>
            <w:vAlign w:val="center"/>
            <w:hideMark/>
          </w:tcPr>
          <w:p w14:paraId="09843BEB" w14:textId="77777777" w:rsidR="00933134" w:rsidRPr="00951AB1" w:rsidRDefault="00933134" w:rsidP="000A5389">
            <w:pPr>
              <w:spacing w:line="240" w:lineRule="auto"/>
              <w:jc w:val="right"/>
              <w:rPr>
                <w:rFonts w:eastAsia="Times New Roman" w:cs="Times New Roman"/>
                <w:kern w:val="0"/>
                <w:sz w:val="18"/>
                <w:szCs w:val="18"/>
                <w:lang w:eastAsia="es-CO"/>
                <w14:ligatures w14:val="none"/>
              </w:rPr>
            </w:pPr>
            <w:r w:rsidRPr="00951AB1">
              <w:rPr>
                <w:rFonts w:eastAsia="Times New Roman" w:cs="Times New Roman"/>
                <w:kern w:val="0"/>
                <w:sz w:val="18"/>
                <w:szCs w:val="18"/>
                <w:lang w:eastAsia="es-CO"/>
                <w14:ligatures w14:val="none"/>
              </w:rPr>
              <w:t>30.676.613.591</w:t>
            </w:r>
          </w:p>
        </w:tc>
        <w:tc>
          <w:tcPr>
            <w:tcW w:w="844" w:type="pct"/>
            <w:noWrap/>
            <w:vAlign w:val="center"/>
            <w:hideMark/>
          </w:tcPr>
          <w:p w14:paraId="30FB5474" w14:textId="77777777" w:rsidR="00933134" w:rsidRPr="00951AB1" w:rsidRDefault="00933134" w:rsidP="000A5389">
            <w:pPr>
              <w:spacing w:line="240" w:lineRule="auto"/>
              <w:jc w:val="right"/>
              <w:rPr>
                <w:rFonts w:eastAsia="Times New Roman" w:cs="Times New Roman"/>
                <w:kern w:val="0"/>
                <w:sz w:val="18"/>
                <w:szCs w:val="18"/>
                <w:lang w:eastAsia="es-CO"/>
                <w14:ligatures w14:val="none"/>
              </w:rPr>
            </w:pPr>
            <w:r w:rsidRPr="00951AB1">
              <w:rPr>
                <w:rFonts w:eastAsia="Times New Roman" w:cs="Times New Roman"/>
                <w:kern w:val="0"/>
                <w:sz w:val="18"/>
                <w:szCs w:val="18"/>
                <w:lang w:eastAsia="es-CO"/>
                <w14:ligatures w14:val="none"/>
              </w:rPr>
              <w:t>28.682.800.238</w:t>
            </w:r>
          </w:p>
        </w:tc>
        <w:tc>
          <w:tcPr>
            <w:tcW w:w="878" w:type="pct"/>
            <w:noWrap/>
            <w:vAlign w:val="center"/>
            <w:hideMark/>
          </w:tcPr>
          <w:p w14:paraId="34E3B4D1" w14:textId="77777777" w:rsidR="00933134" w:rsidRPr="00951AB1" w:rsidRDefault="00933134" w:rsidP="000A5389">
            <w:pPr>
              <w:spacing w:line="240" w:lineRule="auto"/>
              <w:jc w:val="right"/>
              <w:rPr>
                <w:rFonts w:eastAsia="Times New Roman" w:cs="Times New Roman"/>
                <w:kern w:val="0"/>
                <w:sz w:val="18"/>
                <w:szCs w:val="18"/>
                <w:lang w:eastAsia="es-CO"/>
                <w14:ligatures w14:val="none"/>
              </w:rPr>
            </w:pPr>
            <w:r w:rsidRPr="00951AB1">
              <w:rPr>
                <w:rFonts w:eastAsia="Times New Roman" w:cs="Times New Roman"/>
                <w:kern w:val="0"/>
                <w:sz w:val="18"/>
                <w:szCs w:val="18"/>
                <w:lang w:eastAsia="es-CO"/>
                <w14:ligatures w14:val="none"/>
              </w:rPr>
              <w:t>1.993.813.353</w:t>
            </w:r>
          </w:p>
        </w:tc>
      </w:tr>
      <w:tr w:rsidR="00933134" w:rsidRPr="00951AB1" w14:paraId="7C8A0CA7" w14:textId="77777777" w:rsidTr="002D6214">
        <w:trPr>
          <w:trHeight w:val="555"/>
        </w:trPr>
        <w:tc>
          <w:tcPr>
            <w:tcW w:w="420" w:type="pct"/>
            <w:noWrap/>
            <w:vAlign w:val="center"/>
            <w:hideMark/>
          </w:tcPr>
          <w:p w14:paraId="75ABF63C" w14:textId="77777777" w:rsidR="00933134" w:rsidRPr="00951AB1" w:rsidRDefault="00933134" w:rsidP="000A5389">
            <w:pPr>
              <w:spacing w:line="240" w:lineRule="auto"/>
              <w:rPr>
                <w:rFonts w:eastAsia="Times New Roman" w:cs="Times New Roman"/>
                <w:kern w:val="0"/>
                <w:sz w:val="18"/>
                <w:szCs w:val="18"/>
                <w:lang w:eastAsia="es-CO"/>
                <w14:ligatures w14:val="none"/>
              </w:rPr>
            </w:pPr>
            <w:r w:rsidRPr="00951AB1">
              <w:rPr>
                <w:rFonts w:eastAsia="Times New Roman" w:cs="Times New Roman"/>
                <w:kern w:val="0"/>
                <w:sz w:val="18"/>
                <w:szCs w:val="18"/>
                <w:lang w:eastAsia="es-CO"/>
                <w14:ligatures w14:val="none"/>
              </w:rPr>
              <w:t>5.3.75</w:t>
            </w:r>
          </w:p>
        </w:tc>
        <w:tc>
          <w:tcPr>
            <w:tcW w:w="1837" w:type="pct"/>
            <w:vAlign w:val="center"/>
            <w:hideMark/>
          </w:tcPr>
          <w:p w14:paraId="6112654A" w14:textId="6198569E" w:rsidR="00933134" w:rsidRPr="00951AB1" w:rsidRDefault="00933134" w:rsidP="000A5389">
            <w:pPr>
              <w:spacing w:line="240" w:lineRule="auto"/>
              <w:rPr>
                <w:rFonts w:eastAsia="Times New Roman" w:cs="Times New Roman"/>
                <w:kern w:val="0"/>
                <w:sz w:val="18"/>
                <w:szCs w:val="18"/>
                <w:lang w:eastAsia="es-CO"/>
                <w14:ligatures w14:val="none"/>
              </w:rPr>
            </w:pPr>
            <w:r w:rsidRPr="00951AB1">
              <w:rPr>
                <w:rFonts w:eastAsia="Times New Roman" w:cs="Times New Roman"/>
                <w:kern w:val="0"/>
                <w:sz w:val="18"/>
                <w:szCs w:val="18"/>
                <w:lang w:eastAsia="es-CO"/>
                <w14:ligatures w14:val="none"/>
              </w:rPr>
              <w:t>Depreciación De Bienes De Uso Público En Servicio - Concesiones</w:t>
            </w:r>
          </w:p>
        </w:tc>
        <w:tc>
          <w:tcPr>
            <w:tcW w:w="1021" w:type="pct"/>
            <w:noWrap/>
            <w:vAlign w:val="center"/>
            <w:hideMark/>
          </w:tcPr>
          <w:p w14:paraId="19C4ADB7" w14:textId="77777777" w:rsidR="00933134" w:rsidRPr="00951AB1" w:rsidRDefault="00933134" w:rsidP="000A5389">
            <w:pPr>
              <w:spacing w:line="240" w:lineRule="auto"/>
              <w:jc w:val="right"/>
              <w:rPr>
                <w:rFonts w:eastAsia="Times New Roman" w:cs="Times New Roman"/>
                <w:kern w:val="0"/>
                <w:sz w:val="18"/>
                <w:szCs w:val="18"/>
                <w:lang w:eastAsia="es-CO"/>
                <w14:ligatures w14:val="none"/>
              </w:rPr>
            </w:pPr>
            <w:r w:rsidRPr="00951AB1">
              <w:rPr>
                <w:rFonts w:eastAsia="Times New Roman" w:cs="Times New Roman"/>
                <w:kern w:val="0"/>
                <w:sz w:val="18"/>
                <w:szCs w:val="18"/>
                <w:lang w:eastAsia="es-CO"/>
                <w14:ligatures w14:val="none"/>
              </w:rPr>
              <w:t>3.646.232.591</w:t>
            </w:r>
          </w:p>
        </w:tc>
        <w:tc>
          <w:tcPr>
            <w:tcW w:w="844" w:type="pct"/>
            <w:noWrap/>
            <w:vAlign w:val="center"/>
            <w:hideMark/>
          </w:tcPr>
          <w:p w14:paraId="2948F330" w14:textId="77777777" w:rsidR="00933134" w:rsidRPr="00951AB1" w:rsidRDefault="00933134" w:rsidP="000A5389">
            <w:pPr>
              <w:spacing w:line="240" w:lineRule="auto"/>
              <w:jc w:val="right"/>
              <w:rPr>
                <w:rFonts w:eastAsia="Times New Roman" w:cs="Times New Roman"/>
                <w:kern w:val="0"/>
                <w:sz w:val="18"/>
                <w:szCs w:val="18"/>
                <w:lang w:eastAsia="es-CO"/>
                <w14:ligatures w14:val="none"/>
              </w:rPr>
            </w:pPr>
            <w:r w:rsidRPr="00951AB1">
              <w:rPr>
                <w:rFonts w:eastAsia="Times New Roman" w:cs="Times New Roman"/>
                <w:kern w:val="0"/>
                <w:sz w:val="18"/>
                <w:szCs w:val="18"/>
                <w:lang w:eastAsia="es-CO"/>
                <w14:ligatures w14:val="none"/>
              </w:rPr>
              <w:t>3.495.884.107</w:t>
            </w:r>
          </w:p>
        </w:tc>
        <w:tc>
          <w:tcPr>
            <w:tcW w:w="878" w:type="pct"/>
            <w:noWrap/>
            <w:vAlign w:val="center"/>
            <w:hideMark/>
          </w:tcPr>
          <w:p w14:paraId="6EA64AA2" w14:textId="77777777" w:rsidR="00933134" w:rsidRPr="00951AB1" w:rsidRDefault="00933134" w:rsidP="000A5389">
            <w:pPr>
              <w:spacing w:line="240" w:lineRule="auto"/>
              <w:jc w:val="right"/>
              <w:rPr>
                <w:rFonts w:eastAsia="Times New Roman" w:cs="Times New Roman"/>
                <w:kern w:val="0"/>
                <w:sz w:val="18"/>
                <w:szCs w:val="18"/>
                <w:lang w:eastAsia="es-CO"/>
                <w14:ligatures w14:val="none"/>
              </w:rPr>
            </w:pPr>
            <w:r w:rsidRPr="00951AB1">
              <w:rPr>
                <w:rFonts w:eastAsia="Times New Roman" w:cs="Times New Roman"/>
                <w:kern w:val="0"/>
                <w:sz w:val="18"/>
                <w:szCs w:val="18"/>
                <w:lang w:eastAsia="es-CO"/>
                <w14:ligatures w14:val="none"/>
              </w:rPr>
              <w:t>150.348.484</w:t>
            </w:r>
          </w:p>
        </w:tc>
      </w:tr>
      <w:tr w:rsidR="00933134" w:rsidRPr="00951AB1" w14:paraId="61DAC771" w14:textId="77777777" w:rsidTr="002D6214">
        <w:trPr>
          <w:trHeight w:val="278"/>
        </w:trPr>
        <w:tc>
          <w:tcPr>
            <w:tcW w:w="420" w:type="pct"/>
            <w:noWrap/>
            <w:vAlign w:val="center"/>
            <w:hideMark/>
          </w:tcPr>
          <w:p w14:paraId="571460C5" w14:textId="77777777" w:rsidR="00933134" w:rsidRPr="00951AB1" w:rsidRDefault="00933134" w:rsidP="000A5389">
            <w:pPr>
              <w:spacing w:line="240" w:lineRule="auto"/>
              <w:rPr>
                <w:rFonts w:eastAsia="Times New Roman" w:cs="Times New Roman"/>
                <w:kern w:val="0"/>
                <w:sz w:val="18"/>
                <w:szCs w:val="18"/>
                <w:lang w:eastAsia="es-CO"/>
                <w14:ligatures w14:val="none"/>
              </w:rPr>
            </w:pPr>
            <w:r w:rsidRPr="00951AB1">
              <w:rPr>
                <w:rFonts w:eastAsia="Times New Roman" w:cs="Times New Roman"/>
                <w:kern w:val="0"/>
                <w:sz w:val="18"/>
                <w:szCs w:val="18"/>
                <w:lang w:eastAsia="es-CO"/>
                <w14:ligatures w14:val="none"/>
              </w:rPr>
              <w:t>5.3.60</w:t>
            </w:r>
          </w:p>
        </w:tc>
        <w:tc>
          <w:tcPr>
            <w:tcW w:w="1837" w:type="pct"/>
            <w:vAlign w:val="center"/>
            <w:hideMark/>
          </w:tcPr>
          <w:p w14:paraId="43D15A61" w14:textId="77777777" w:rsidR="00933134" w:rsidRPr="00951AB1" w:rsidRDefault="00933134" w:rsidP="000A5389">
            <w:pPr>
              <w:spacing w:line="240" w:lineRule="auto"/>
              <w:rPr>
                <w:rFonts w:eastAsia="Times New Roman" w:cs="Times New Roman"/>
                <w:kern w:val="0"/>
                <w:sz w:val="18"/>
                <w:szCs w:val="18"/>
                <w:lang w:eastAsia="es-CO"/>
                <w14:ligatures w14:val="none"/>
              </w:rPr>
            </w:pPr>
            <w:r w:rsidRPr="00951AB1">
              <w:rPr>
                <w:rFonts w:eastAsia="Times New Roman" w:cs="Times New Roman"/>
                <w:kern w:val="0"/>
                <w:sz w:val="18"/>
                <w:szCs w:val="18"/>
                <w:lang w:eastAsia="es-CO"/>
                <w14:ligatures w14:val="none"/>
              </w:rPr>
              <w:t>De propiedades, planta y equipo</w:t>
            </w:r>
          </w:p>
        </w:tc>
        <w:tc>
          <w:tcPr>
            <w:tcW w:w="1021" w:type="pct"/>
            <w:noWrap/>
            <w:vAlign w:val="center"/>
            <w:hideMark/>
          </w:tcPr>
          <w:p w14:paraId="51851BE5" w14:textId="77777777" w:rsidR="00933134" w:rsidRPr="00951AB1" w:rsidRDefault="00933134" w:rsidP="000A5389">
            <w:pPr>
              <w:spacing w:line="240" w:lineRule="auto"/>
              <w:jc w:val="right"/>
              <w:rPr>
                <w:rFonts w:eastAsia="Times New Roman" w:cs="Times New Roman"/>
                <w:kern w:val="0"/>
                <w:sz w:val="18"/>
                <w:szCs w:val="18"/>
                <w:lang w:eastAsia="es-CO"/>
                <w14:ligatures w14:val="none"/>
              </w:rPr>
            </w:pPr>
            <w:r w:rsidRPr="00951AB1">
              <w:rPr>
                <w:rFonts w:eastAsia="Times New Roman" w:cs="Times New Roman"/>
                <w:kern w:val="0"/>
                <w:sz w:val="18"/>
                <w:szCs w:val="18"/>
                <w:lang w:eastAsia="es-CO"/>
                <w14:ligatures w14:val="none"/>
              </w:rPr>
              <w:t>3.297.568.265</w:t>
            </w:r>
          </w:p>
        </w:tc>
        <w:tc>
          <w:tcPr>
            <w:tcW w:w="844" w:type="pct"/>
            <w:noWrap/>
            <w:vAlign w:val="center"/>
            <w:hideMark/>
          </w:tcPr>
          <w:p w14:paraId="7A8C062A" w14:textId="77777777" w:rsidR="00933134" w:rsidRPr="00951AB1" w:rsidRDefault="00933134" w:rsidP="000A5389">
            <w:pPr>
              <w:spacing w:line="240" w:lineRule="auto"/>
              <w:jc w:val="right"/>
              <w:rPr>
                <w:rFonts w:eastAsia="Times New Roman" w:cs="Times New Roman"/>
                <w:kern w:val="0"/>
                <w:sz w:val="18"/>
                <w:szCs w:val="18"/>
                <w:lang w:eastAsia="es-CO"/>
                <w14:ligatures w14:val="none"/>
              </w:rPr>
            </w:pPr>
            <w:r w:rsidRPr="00951AB1">
              <w:rPr>
                <w:rFonts w:eastAsia="Times New Roman" w:cs="Times New Roman"/>
                <w:kern w:val="0"/>
                <w:sz w:val="18"/>
                <w:szCs w:val="18"/>
                <w:lang w:eastAsia="es-CO"/>
                <w14:ligatures w14:val="none"/>
              </w:rPr>
              <w:t>1.027.806.737</w:t>
            </w:r>
          </w:p>
        </w:tc>
        <w:tc>
          <w:tcPr>
            <w:tcW w:w="878" w:type="pct"/>
            <w:noWrap/>
            <w:vAlign w:val="center"/>
            <w:hideMark/>
          </w:tcPr>
          <w:p w14:paraId="68D581A0" w14:textId="77777777" w:rsidR="00933134" w:rsidRPr="00951AB1" w:rsidRDefault="00933134" w:rsidP="000A5389">
            <w:pPr>
              <w:spacing w:line="240" w:lineRule="auto"/>
              <w:jc w:val="right"/>
              <w:rPr>
                <w:rFonts w:eastAsia="Times New Roman" w:cs="Times New Roman"/>
                <w:kern w:val="0"/>
                <w:sz w:val="18"/>
                <w:szCs w:val="18"/>
                <w:lang w:eastAsia="es-CO"/>
                <w14:ligatures w14:val="none"/>
              </w:rPr>
            </w:pPr>
            <w:r w:rsidRPr="00951AB1">
              <w:rPr>
                <w:rFonts w:eastAsia="Times New Roman" w:cs="Times New Roman"/>
                <w:kern w:val="0"/>
                <w:sz w:val="18"/>
                <w:szCs w:val="18"/>
                <w:lang w:eastAsia="es-CO"/>
                <w14:ligatures w14:val="none"/>
              </w:rPr>
              <w:t>2.269.761.528</w:t>
            </w:r>
          </w:p>
        </w:tc>
      </w:tr>
      <w:tr w:rsidR="00933134" w:rsidRPr="00951AB1" w14:paraId="6A9B2EB4" w14:textId="77777777" w:rsidTr="002D6214">
        <w:trPr>
          <w:trHeight w:val="270"/>
        </w:trPr>
        <w:tc>
          <w:tcPr>
            <w:tcW w:w="420" w:type="pct"/>
            <w:noWrap/>
            <w:vAlign w:val="center"/>
            <w:hideMark/>
          </w:tcPr>
          <w:p w14:paraId="21221E9B" w14:textId="77777777" w:rsidR="00933134" w:rsidRPr="00951AB1" w:rsidRDefault="00933134" w:rsidP="000A5389">
            <w:pPr>
              <w:spacing w:line="240" w:lineRule="auto"/>
              <w:rPr>
                <w:rFonts w:eastAsia="Times New Roman" w:cs="Times New Roman"/>
                <w:b/>
                <w:bCs/>
                <w:kern w:val="0"/>
                <w:sz w:val="18"/>
                <w:szCs w:val="18"/>
                <w:lang w:eastAsia="es-CO"/>
                <w14:ligatures w14:val="none"/>
              </w:rPr>
            </w:pPr>
            <w:r w:rsidRPr="00951AB1">
              <w:rPr>
                <w:rFonts w:eastAsia="Times New Roman" w:cs="Times New Roman"/>
                <w:b/>
                <w:bCs/>
                <w:kern w:val="0"/>
                <w:sz w:val="18"/>
                <w:szCs w:val="18"/>
                <w:lang w:eastAsia="es-CO"/>
                <w14:ligatures w14:val="none"/>
              </w:rPr>
              <w:t> </w:t>
            </w:r>
          </w:p>
        </w:tc>
        <w:tc>
          <w:tcPr>
            <w:tcW w:w="1837" w:type="pct"/>
            <w:vAlign w:val="center"/>
            <w:hideMark/>
          </w:tcPr>
          <w:p w14:paraId="34FCF102" w14:textId="77777777" w:rsidR="00933134" w:rsidRPr="00951AB1" w:rsidRDefault="00933134" w:rsidP="000A5389">
            <w:pPr>
              <w:spacing w:line="240" w:lineRule="auto"/>
              <w:rPr>
                <w:rFonts w:eastAsia="Times New Roman" w:cs="Times New Roman"/>
                <w:b/>
                <w:bCs/>
                <w:kern w:val="0"/>
                <w:sz w:val="18"/>
                <w:szCs w:val="18"/>
                <w:lang w:eastAsia="es-CO"/>
                <w14:ligatures w14:val="none"/>
              </w:rPr>
            </w:pPr>
            <w:r w:rsidRPr="00951AB1">
              <w:rPr>
                <w:rFonts w:eastAsia="Times New Roman" w:cs="Times New Roman"/>
                <w:b/>
                <w:bCs/>
                <w:kern w:val="0"/>
                <w:sz w:val="18"/>
                <w:szCs w:val="18"/>
                <w:lang w:eastAsia="es-CO"/>
                <w14:ligatures w14:val="none"/>
              </w:rPr>
              <w:t>DETERIORO</w:t>
            </w:r>
          </w:p>
        </w:tc>
        <w:tc>
          <w:tcPr>
            <w:tcW w:w="1021" w:type="pct"/>
            <w:noWrap/>
            <w:vAlign w:val="center"/>
            <w:hideMark/>
          </w:tcPr>
          <w:p w14:paraId="66B6A541" w14:textId="77777777" w:rsidR="00933134" w:rsidRPr="00951AB1" w:rsidRDefault="00933134" w:rsidP="000A5389">
            <w:pPr>
              <w:spacing w:line="240" w:lineRule="auto"/>
              <w:jc w:val="right"/>
              <w:rPr>
                <w:rFonts w:eastAsia="Times New Roman" w:cs="Times New Roman"/>
                <w:b/>
                <w:bCs/>
                <w:kern w:val="0"/>
                <w:sz w:val="18"/>
                <w:szCs w:val="18"/>
                <w:lang w:eastAsia="es-CO"/>
                <w14:ligatures w14:val="none"/>
              </w:rPr>
            </w:pPr>
            <w:r w:rsidRPr="00951AB1">
              <w:rPr>
                <w:rFonts w:eastAsia="Times New Roman" w:cs="Times New Roman"/>
                <w:b/>
                <w:bCs/>
                <w:kern w:val="0"/>
                <w:sz w:val="18"/>
                <w:szCs w:val="18"/>
                <w:lang w:eastAsia="es-CO"/>
                <w14:ligatures w14:val="none"/>
              </w:rPr>
              <w:t>31.570.981.655</w:t>
            </w:r>
          </w:p>
        </w:tc>
        <w:tc>
          <w:tcPr>
            <w:tcW w:w="844" w:type="pct"/>
            <w:noWrap/>
            <w:vAlign w:val="center"/>
            <w:hideMark/>
          </w:tcPr>
          <w:p w14:paraId="07EE8C0D" w14:textId="77777777" w:rsidR="00933134" w:rsidRPr="00951AB1" w:rsidRDefault="00933134" w:rsidP="000A5389">
            <w:pPr>
              <w:spacing w:line="240" w:lineRule="auto"/>
              <w:jc w:val="right"/>
              <w:rPr>
                <w:rFonts w:eastAsia="Times New Roman" w:cs="Times New Roman"/>
                <w:b/>
                <w:bCs/>
                <w:kern w:val="0"/>
                <w:sz w:val="18"/>
                <w:szCs w:val="18"/>
                <w:lang w:eastAsia="es-CO"/>
                <w14:ligatures w14:val="none"/>
              </w:rPr>
            </w:pPr>
            <w:r w:rsidRPr="00951AB1">
              <w:rPr>
                <w:rFonts w:eastAsia="Times New Roman" w:cs="Times New Roman"/>
                <w:b/>
                <w:bCs/>
                <w:kern w:val="0"/>
                <w:sz w:val="18"/>
                <w:szCs w:val="18"/>
                <w:lang w:eastAsia="es-CO"/>
                <w14:ligatures w14:val="none"/>
              </w:rPr>
              <w:t>162.638.579</w:t>
            </w:r>
          </w:p>
        </w:tc>
        <w:tc>
          <w:tcPr>
            <w:tcW w:w="878" w:type="pct"/>
            <w:noWrap/>
            <w:vAlign w:val="center"/>
            <w:hideMark/>
          </w:tcPr>
          <w:p w14:paraId="657F959A" w14:textId="77777777" w:rsidR="00933134" w:rsidRPr="00951AB1" w:rsidRDefault="00933134" w:rsidP="000A5389">
            <w:pPr>
              <w:spacing w:line="240" w:lineRule="auto"/>
              <w:jc w:val="right"/>
              <w:rPr>
                <w:rFonts w:eastAsia="Times New Roman" w:cs="Times New Roman"/>
                <w:b/>
                <w:bCs/>
                <w:kern w:val="0"/>
                <w:sz w:val="18"/>
                <w:szCs w:val="18"/>
                <w:lang w:eastAsia="es-CO"/>
                <w14:ligatures w14:val="none"/>
              </w:rPr>
            </w:pPr>
            <w:r w:rsidRPr="00951AB1">
              <w:rPr>
                <w:rFonts w:eastAsia="Times New Roman" w:cs="Times New Roman"/>
                <w:b/>
                <w:bCs/>
                <w:kern w:val="0"/>
                <w:sz w:val="18"/>
                <w:szCs w:val="18"/>
                <w:lang w:eastAsia="es-CO"/>
                <w14:ligatures w14:val="none"/>
              </w:rPr>
              <w:t>31.408.343.076</w:t>
            </w:r>
          </w:p>
        </w:tc>
      </w:tr>
      <w:tr w:rsidR="00933134" w:rsidRPr="00951AB1" w14:paraId="187C5F75" w14:textId="77777777" w:rsidTr="002D6214">
        <w:trPr>
          <w:trHeight w:val="285"/>
        </w:trPr>
        <w:tc>
          <w:tcPr>
            <w:tcW w:w="420" w:type="pct"/>
            <w:vAlign w:val="bottom"/>
            <w:hideMark/>
          </w:tcPr>
          <w:p w14:paraId="5E5B8F99" w14:textId="77777777" w:rsidR="00933134" w:rsidRPr="00951AB1" w:rsidRDefault="00933134" w:rsidP="000A5389">
            <w:pPr>
              <w:spacing w:line="240" w:lineRule="auto"/>
              <w:rPr>
                <w:rFonts w:eastAsia="Times New Roman" w:cs="Times New Roman"/>
                <w:kern w:val="0"/>
                <w:sz w:val="18"/>
                <w:szCs w:val="18"/>
                <w:lang w:eastAsia="es-CO"/>
                <w14:ligatures w14:val="none"/>
              </w:rPr>
            </w:pPr>
            <w:r w:rsidRPr="00951AB1">
              <w:rPr>
                <w:rFonts w:eastAsia="Times New Roman" w:cs="Times New Roman"/>
                <w:kern w:val="0"/>
                <w:sz w:val="18"/>
                <w:szCs w:val="18"/>
                <w:lang w:eastAsia="es-CO"/>
                <w14:ligatures w14:val="none"/>
              </w:rPr>
              <w:t>5.3.47</w:t>
            </w:r>
          </w:p>
        </w:tc>
        <w:tc>
          <w:tcPr>
            <w:tcW w:w="1837" w:type="pct"/>
            <w:vAlign w:val="bottom"/>
            <w:hideMark/>
          </w:tcPr>
          <w:p w14:paraId="79A0C31C" w14:textId="77777777" w:rsidR="00933134" w:rsidRPr="00951AB1" w:rsidRDefault="00933134" w:rsidP="000A5389">
            <w:pPr>
              <w:spacing w:line="240" w:lineRule="auto"/>
              <w:rPr>
                <w:rFonts w:eastAsia="Times New Roman" w:cs="Times New Roman"/>
                <w:kern w:val="0"/>
                <w:sz w:val="18"/>
                <w:szCs w:val="18"/>
                <w:lang w:eastAsia="es-CO"/>
                <w14:ligatures w14:val="none"/>
              </w:rPr>
            </w:pPr>
            <w:r w:rsidRPr="00951AB1">
              <w:rPr>
                <w:rFonts w:eastAsia="Times New Roman" w:cs="Times New Roman"/>
                <w:kern w:val="0"/>
                <w:sz w:val="18"/>
                <w:szCs w:val="18"/>
                <w:lang w:eastAsia="es-CO"/>
                <w14:ligatures w14:val="none"/>
              </w:rPr>
              <w:t>DETERIORO DE CUENTAS POR COBRAR</w:t>
            </w:r>
          </w:p>
        </w:tc>
        <w:tc>
          <w:tcPr>
            <w:tcW w:w="1021" w:type="pct"/>
            <w:noWrap/>
            <w:vAlign w:val="center"/>
            <w:hideMark/>
          </w:tcPr>
          <w:p w14:paraId="276A03E8" w14:textId="77777777" w:rsidR="00933134" w:rsidRPr="00951AB1" w:rsidRDefault="00933134" w:rsidP="000A5389">
            <w:pPr>
              <w:spacing w:line="240" w:lineRule="auto"/>
              <w:jc w:val="right"/>
              <w:rPr>
                <w:rFonts w:eastAsia="Times New Roman" w:cs="Times New Roman"/>
                <w:kern w:val="0"/>
                <w:sz w:val="18"/>
                <w:szCs w:val="18"/>
                <w:lang w:eastAsia="es-CO"/>
                <w14:ligatures w14:val="none"/>
              </w:rPr>
            </w:pPr>
            <w:r w:rsidRPr="00951AB1">
              <w:rPr>
                <w:rFonts w:eastAsia="Times New Roman" w:cs="Times New Roman"/>
                <w:kern w:val="0"/>
                <w:sz w:val="18"/>
                <w:szCs w:val="18"/>
                <w:lang w:eastAsia="es-CO"/>
                <w14:ligatures w14:val="none"/>
              </w:rPr>
              <w:t>31.570.981.655</w:t>
            </w:r>
          </w:p>
        </w:tc>
        <w:tc>
          <w:tcPr>
            <w:tcW w:w="844" w:type="pct"/>
            <w:noWrap/>
            <w:vAlign w:val="center"/>
            <w:hideMark/>
          </w:tcPr>
          <w:p w14:paraId="2924A324" w14:textId="77777777" w:rsidR="00933134" w:rsidRPr="00951AB1" w:rsidRDefault="00933134" w:rsidP="000A5389">
            <w:pPr>
              <w:spacing w:line="240" w:lineRule="auto"/>
              <w:jc w:val="right"/>
              <w:rPr>
                <w:rFonts w:eastAsia="Times New Roman" w:cs="Times New Roman"/>
                <w:kern w:val="0"/>
                <w:sz w:val="18"/>
                <w:szCs w:val="18"/>
                <w:lang w:eastAsia="es-CO"/>
                <w14:ligatures w14:val="none"/>
              </w:rPr>
            </w:pPr>
            <w:r w:rsidRPr="00951AB1">
              <w:rPr>
                <w:rFonts w:eastAsia="Times New Roman" w:cs="Times New Roman"/>
                <w:kern w:val="0"/>
                <w:sz w:val="18"/>
                <w:szCs w:val="18"/>
                <w:lang w:eastAsia="es-CO"/>
                <w14:ligatures w14:val="none"/>
              </w:rPr>
              <w:t>162.638.579</w:t>
            </w:r>
          </w:p>
        </w:tc>
        <w:tc>
          <w:tcPr>
            <w:tcW w:w="878" w:type="pct"/>
            <w:noWrap/>
            <w:vAlign w:val="center"/>
            <w:hideMark/>
          </w:tcPr>
          <w:p w14:paraId="7D9356F8" w14:textId="77777777" w:rsidR="00933134" w:rsidRPr="00951AB1" w:rsidRDefault="00933134" w:rsidP="000A5389">
            <w:pPr>
              <w:spacing w:line="240" w:lineRule="auto"/>
              <w:jc w:val="right"/>
              <w:rPr>
                <w:rFonts w:eastAsia="Times New Roman" w:cs="Times New Roman"/>
                <w:kern w:val="0"/>
                <w:sz w:val="18"/>
                <w:szCs w:val="18"/>
                <w:lang w:eastAsia="es-CO"/>
                <w14:ligatures w14:val="none"/>
              </w:rPr>
            </w:pPr>
            <w:r w:rsidRPr="00951AB1">
              <w:rPr>
                <w:rFonts w:eastAsia="Times New Roman" w:cs="Times New Roman"/>
                <w:kern w:val="0"/>
                <w:sz w:val="18"/>
                <w:szCs w:val="18"/>
                <w:lang w:eastAsia="es-CO"/>
                <w14:ligatures w14:val="none"/>
              </w:rPr>
              <w:t>31.408.343.076</w:t>
            </w:r>
          </w:p>
        </w:tc>
      </w:tr>
      <w:tr w:rsidR="00933134" w:rsidRPr="00951AB1" w14:paraId="710E6829" w14:textId="77777777" w:rsidTr="002D6214">
        <w:trPr>
          <w:trHeight w:val="270"/>
        </w:trPr>
        <w:tc>
          <w:tcPr>
            <w:tcW w:w="420" w:type="pct"/>
            <w:noWrap/>
            <w:vAlign w:val="center"/>
            <w:hideMark/>
          </w:tcPr>
          <w:p w14:paraId="7666CC9D" w14:textId="77777777" w:rsidR="00933134" w:rsidRPr="00951AB1" w:rsidRDefault="00933134" w:rsidP="000A5389">
            <w:pPr>
              <w:spacing w:line="240" w:lineRule="auto"/>
              <w:rPr>
                <w:rFonts w:eastAsia="Times New Roman" w:cs="Times New Roman"/>
                <w:b/>
                <w:bCs/>
                <w:kern w:val="0"/>
                <w:sz w:val="18"/>
                <w:szCs w:val="18"/>
                <w:lang w:eastAsia="es-CO"/>
                <w14:ligatures w14:val="none"/>
              </w:rPr>
            </w:pPr>
            <w:r w:rsidRPr="00951AB1">
              <w:rPr>
                <w:rFonts w:eastAsia="Times New Roman" w:cs="Times New Roman"/>
                <w:b/>
                <w:bCs/>
                <w:kern w:val="0"/>
                <w:sz w:val="18"/>
                <w:szCs w:val="18"/>
                <w:lang w:eastAsia="es-CO"/>
                <w14:ligatures w14:val="none"/>
              </w:rPr>
              <w:t> </w:t>
            </w:r>
          </w:p>
        </w:tc>
        <w:tc>
          <w:tcPr>
            <w:tcW w:w="1837" w:type="pct"/>
            <w:vAlign w:val="center"/>
            <w:hideMark/>
          </w:tcPr>
          <w:p w14:paraId="60C49D51" w14:textId="77777777" w:rsidR="00933134" w:rsidRPr="00951AB1" w:rsidRDefault="00933134" w:rsidP="000A5389">
            <w:pPr>
              <w:spacing w:line="240" w:lineRule="auto"/>
              <w:rPr>
                <w:rFonts w:eastAsia="Times New Roman" w:cs="Times New Roman"/>
                <w:b/>
                <w:bCs/>
                <w:kern w:val="0"/>
                <w:sz w:val="18"/>
                <w:szCs w:val="18"/>
                <w:lang w:eastAsia="es-CO"/>
                <w14:ligatures w14:val="none"/>
              </w:rPr>
            </w:pPr>
            <w:r w:rsidRPr="00951AB1">
              <w:rPr>
                <w:rFonts w:eastAsia="Times New Roman" w:cs="Times New Roman"/>
                <w:b/>
                <w:bCs/>
                <w:kern w:val="0"/>
                <w:sz w:val="18"/>
                <w:szCs w:val="18"/>
                <w:lang w:eastAsia="es-CO"/>
                <w14:ligatures w14:val="none"/>
              </w:rPr>
              <w:t>AMORTIZACIÓN</w:t>
            </w:r>
          </w:p>
        </w:tc>
        <w:tc>
          <w:tcPr>
            <w:tcW w:w="1021" w:type="pct"/>
            <w:noWrap/>
            <w:vAlign w:val="center"/>
            <w:hideMark/>
          </w:tcPr>
          <w:p w14:paraId="71D4170C" w14:textId="77777777" w:rsidR="00933134" w:rsidRPr="00951AB1" w:rsidRDefault="00933134" w:rsidP="000A5389">
            <w:pPr>
              <w:spacing w:line="240" w:lineRule="auto"/>
              <w:jc w:val="right"/>
              <w:rPr>
                <w:rFonts w:eastAsia="Times New Roman" w:cs="Times New Roman"/>
                <w:b/>
                <w:bCs/>
                <w:kern w:val="0"/>
                <w:sz w:val="18"/>
                <w:szCs w:val="18"/>
                <w:lang w:eastAsia="es-CO"/>
                <w14:ligatures w14:val="none"/>
              </w:rPr>
            </w:pPr>
            <w:r w:rsidRPr="00951AB1">
              <w:rPr>
                <w:rFonts w:eastAsia="Times New Roman" w:cs="Times New Roman"/>
                <w:b/>
                <w:bCs/>
                <w:kern w:val="0"/>
                <w:sz w:val="18"/>
                <w:szCs w:val="18"/>
                <w:lang w:eastAsia="es-CO"/>
                <w14:ligatures w14:val="none"/>
              </w:rPr>
              <w:t>2.335.831.120</w:t>
            </w:r>
          </w:p>
        </w:tc>
        <w:tc>
          <w:tcPr>
            <w:tcW w:w="844" w:type="pct"/>
            <w:noWrap/>
            <w:vAlign w:val="center"/>
            <w:hideMark/>
          </w:tcPr>
          <w:p w14:paraId="70851367" w14:textId="77777777" w:rsidR="00933134" w:rsidRPr="00951AB1" w:rsidRDefault="00933134" w:rsidP="000A5389">
            <w:pPr>
              <w:spacing w:line="240" w:lineRule="auto"/>
              <w:jc w:val="right"/>
              <w:rPr>
                <w:rFonts w:eastAsia="Times New Roman" w:cs="Times New Roman"/>
                <w:b/>
                <w:bCs/>
                <w:kern w:val="0"/>
                <w:sz w:val="18"/>
                <w:szCs w:val="18"/>
                <w:lang w:eastAsia="es-CO"/>
                <w14:ligatures w14:val="none"/>
              </w:rPr>
            </w:pPr>
            <w:r w:rsidRPr="00951AB1">
              <w:rPr>
                <w:rFonts w:eastAsia="Times New Roman" w:cs="Times New Roman"/>
                <w:b/>
                <w:bCs/>
                <w:kern w:val="0"/>
                <w:sz w:val="18"/>
                <w:szCs w:val="18"/>
                <w:lang w:eastAsia="es-CO"/>
                <w14:ligatures w14:val="none"/>
              </w:rPr>
              <w:t>10.285.902.151</w:t>
            </w:r>
          </w:p>
        </w:tc>
        <w:tc>
          <w:tcPr>
            <w:tcW w:w="878" w:type="pct"/>
            <w:noWrap/>
            <w:vAlign w:val="center"/>
            <w:hideMark/>
          </w:tcPr>
          <w:p w14:paraId="3C4653EC" w14:textId="77777777" w:rsidR="00933134" w:rsidRPr="00951AB1" w:rsidRDefault="00933134" w:rsidP="000A5389">
            <w:pPr>
              <w:spacing w:line="240" w:lineRule="auto"/>
              <w:jc w:val="right"/>
              <w:rPr>
                <w:rFonts w:eastAsia="Times New Roman" w:cs="Times New Roman"/>
                <w:b/>
                <w:bCs/>
                <w:kern w:val="0"/>
                <w:sz w:val="18"/>
                <w:szCs w:val="18"/>
                <w:lang w:eastAsia="es-CO"/>
                <w14:ligatures w14:val="none"/>
              </w:rPr>
            </w:pPr>
            <w:r w:rsidRPr="00951AB1">
              <w:rPr>
                <w:rFonts w:eastAsia="Times New Roman" w:cs="Times New Roman"/>
                <w:b/>
                <w:bCs/>
                <w:kern w:val="0"/>
                <w:sz w:val="18"/>
                <w:szCs w:val="18"/>
                <w:lang w:eastAsia="es-CO"/>
                <w14:ligatures w14:val="none"/>
              </w:rPr>
              <w:t>-7.950.071.031</w:t>
            </w:r>
          </w:p>
        </w:tc>
      </w:tr>
      <w:tr w:rsidR="00933134" w:rsidRPr="00951AB1" w14:paraId="4112771C" w14:textId="77777777" w:rsidTr="002D6214">
        <w:trPr>
          <w:trHeight w:val="278"/>
        </w:trPr>
        <w:tc>
          <w:tcPr>
            <w:tcW w:w="420" w:type="pct"/>
            <w:noWrap/>
            <w:vAlign w:val="center"/>
            <w:hideMark/>
          </w:tcPr>
          <w:p w14:paraId="50BEEE85" w14:textId="77777777" w:rsidR="00933134" w:rsidRPr="00951AB1" w:rsidRDefault="00933134" w:rsidP="000A5389">
            <w:pPr>
              <w:spacing w:line="240" w:lineRule="auto"/>
              <w:rPr>
                <w:rFonts w:eastAsia="Times New Roman" w:cs="Times New Roman"/>
                <w:kern w:val="0"/>
                <w:sz w:val="18"/>
                <w:szCs w:val="18"/>
                <w:lang w:eastAsia="es-CO"/>
                <w14:ligatures w14:val="none"/>
              </w:rPr>
            </w:pPr>
            <w:r w:rsidRPr="00951AB1">
              <w:rPr>
                <w:rFonts w:eastAsia="Times New Roman" w:cs="Times New Roman"/>
                <w:kern w:val="0"/>
                <w:sz w:val="18"/>
                <w:szCs w:val="18"/>
                <w:lang w:eastAsia="es-CO"/>
                <w14:ligatures w14:val="none"/>
              </w:rPr>
              <w:t>5.3.66</w:t>
            </w:r>
          </w:p>
        </w:tc>
        <w:tc>
          <w:tcPr>
            <w:tcW w:w="1837" w:type="pct"/>
            <w:vAlign w:val="center"/>
            <w:hideMark/>
          </w:tcPr>
          <w:p w14:paraId="47D14772" w14:textId="77777777" w:rsidR="00933134" w:rsidRPr="00951AB1" w:rsidRDefault="00933134" w:rsidP="000A5389">
            <w:pPr>
              <w:spacing w:line="240" w:lineRule="auto"/>
              <w:rPr>
                <w:rFonts w:eastAsia="Times New Roman" w:cs="Times New Roman"/>
                <w:kern w:val="0"/>
                <w:sz w:val="18"/>
                <w:szCs w:val="18"/>
                <w:lang w:eastAsia="es-CO"/>
                <w14:ligatures w14:val="none"/>
              </w:rPr>
            </w:pPr>
            <w:r w:rsidRPr="00951AB1">
              <w:rPr>
                <w:rFonts w:eastAsia="Times New Roman" w:cs="Times New Roman"/>
                <w:kern w:val="0"/>
                <w:sz w:val="18"/>
                <w:szCs w:val="18"/>
                <w:lang w:eastAsia="es-CO"/>
                <w14:ligatures w14:val="none"/>
              </w:rPr>
              <w:t>De activos intangibles</w:t>
            </w:r>
          </w:p>
        </w:tc>
        <w:tc>
          <w:tcPr>
            <w:tcW w:w="1021" w:type="pct"/>
            <w:noWrap/>
            <w:vAlign w:val="center"/>
            <w:hideMark/>
          </w:tcPr>
          <w:p w14:paraId="42AEC62B" w14:textId="77777777" w:rsidR="00933134" w:rsidRPr="00951AB1" w:rsidRDefault="00933134" w:rsidP="000A5389">
            <w:pPr>
              <w:spacing w:line="240" w:lineRule="auto"/>
              <w:jc w:val="right"/>
              <w:rPr>
                <w:rFonts w:eastAsia="Times New Roman" w:cs="Times New Roman"/>
                <w:kern w:val="0"/>
                <w:sz w:val="18"/>
                <w:szCs w:val="18"/>
                <w:lang w:eastAsia="es-CO"/>
                <w14:ligatures w14:val="none"/>
              </w:rPr>
            </w:pPr>
            <w:r w:rsidRPr="00951AB1">
              <w:rPr>
                <w:rFonts w:eastAsia="Times New Roman" w:cs="Times New Roman"/>
                <w:kern w:val="0"/>
                <w:sz w:val="18"/>
                <w:szCs w:val="18"/>
                <w:lang w:eastAsia="es-CO"/>
                <w14:ligatures w14:val="none"/>
              </w:rPr>
              <w:t>2.335.831.120</w:t>
            </w:r>
          </w:p>
        </w:tc>
        <w:tc>
          <w:tcPr>
            <w:tcW w:w="844" w:type="pct"/>
            <w:noWrap/>
            <w:vAlign w:val="center"/>
            <w:hideMark/>
          </w:tcPr>
          <w:p w14:paraId="45F52CB9" w14:textId="77777777" w:rsidR="00933134" w:rsidRPr="00951AB1" w:rsidRDefault="00933134" w:rsidP="000A5389">
            <w:pPr>
              <w:spacing w:line="240" w:lineRule="auto"/>
              <w:jc w:val="right"/>
              <w:rPr>
                <w:rFonts w:eastAsia="Times New Roman" w:cs="Times New Roman"/>
                <w:kern w:val="0"/>
                <w:sz w:val="18"/>
                <w:szCs w:val="18"/>
                <w:lang w:eastAsia="es-CO"/>
                <w14:ligatures w14:val="none"/>
              </w:rPr>
            </w:pPr>
            <w:r w:rsidRPr="00951AB1">
              <w:rPr>
                <w:rFonts w:eastAsia="Times New Roman" w:cs="Times New Roman"/>
                <w:kern w:val="0"/>
                <w:sz w:val="18"/>
                <w:szCs w:val="18"/>
                <w:lang w:eastAsia="es-CO"/>
                <w14:ligatures w14:val="none"/>
              </w:rPr>
              <w:t>10.285.902.151</w:t>
            </w:r>
          </w:p>
        </w:tc>
        <w:tc>
          <w:tcPr>
            <w:tcW w:w="878" w:type="pct"/>
            <w:noWrap/>
            <w:vAlign w:val="center"/>
            <w:hideMark/>
          </w:tcPr>
          <w:p w14:paraId="69C18B86" w14:textId="77777777" w:rsidR="00933134" w:rsidRPr="00951AB1" w:rsidRDefault="00933134" w:rsidP="000A5389">
            <w:pPr>
              <w:spacing w:line="240" w:lineRule="auto"/>
              <w:jc w:val="right"/>
              <w:rPr>
                <w:rFonts w:eastAsia="Times New Roman" w:cs="Times New Roman"/>
                <w:kern w:val="0"/>
                <w:sz w:val="18"/>
                <w:szCs w:val="18"/>
                <w:lang w:eastAsia="es-CO"/>
                <w14:ligatures w14:val="none"/>
              </w:rPr>
            </w:pPr>
            <w:r w:rsidRPr="00951AB1">
              <w:rPr>
                <w:rFonts w:eastAsia="Times New Roman" w:cs="Times New Roman"/>
                <w:kern w:val="0"/>
                <w:sz w:val="18"/>
                <w:szCs w:val="18"/>
                <w:lang w:eastAsia="es-CO"/>
                <w14:ligatures w14:val="none"/>
              </w:rPr>
              <w:t>-7.950.071.031</w:t>
            </w:r>
          </w:p>
        </w:tc>
      </w:tr>
    </w:tbl>
    <w:p w14:paraId="1A3E1345" w14:textId="77777777" w:rsidR="001A3366" w:rsidRPr="00951AB1" w:rsidRDefault="001A3366" w:rsidP="000A5389">
      <w:pPr>
        <w:spacing w:line="240" w:lineRule="auto"/>
        <w:rPr>
          <w:rFonts w:cs="Times New Roman"/>
          <w:sz w:val="16"/>
          <w:szCs w:val="16"/>
        </w:rPr>
      </w:pPr>
      <w:r w:rsidRPr="00951AB1">
        <w:rPr>
          <w:rFonts w:cs="Times New Roman"/>
          <w:sz w:val="16"/>
          <w:szCs w:val="16"/>
        </w:rPr>
        <w:t>Cifras en pesos</w:t>
      </w:r>
    </w:p>
    <w:p w14:paraId="5A75F48A" w14:textId="77777777" w:rsidR="001A3366" w:rsidRPr="00951AB1" w:rsidRDefault="001A3366" w:rsidP="000A5389">
      <w:pPr>
        <w:spacing w:line="240" w:lineRule="auto"/>
        <w:rPr>
          <w:rFonts w:cs="Times New Roman"/>
        </w:rPr>
      </w:pPr>
    </w:p>
    <w:p w14:paraId="7A332DFE" w14:textId="77777777" w:rsidR="001A3366" w:rsidRDefault="001A3366" w:rsidP="000A5389">
      <w:pPr>
        <w:spacing w:line="240" w:lineRule="auto"/>
        <w:ind w:left="-20" w:right="-20"/>
        <w:rPr>
          <w:rFonts w:eastAsia="Times New Roman" w:cs="Times New Roman"/>
          <w:szCs w:val="24"/>
        </w:rPr>
      </w:pPr>
      <w:r w:rsidRPr="00951AB1">
        <w:rPr>
          <w:rFonts w:eastAsia="Times New Roman" w:cs="Times New Roman"/>
          <w:szCs w:val="24"/>
        </w:rPr>
        <w:t xml:space="preserve">Estos gastos surgen del consumo de activos (depreciación), de la disminución del potencial de servicio y la capacidad de generar beneficios económicos (deterioro), del ajuste de pasivos </w:t>
      </w:r>
      <w:r w:rsidRPr="00951AB1">
        <w:rPr>
          <w:rFonts w:eastAsia="Times New Roman" w:cs="Times New Roman"/>
          <w:szCs w:val="24"/>
        </w:rPr>
        <w:lastRenderedPageBreak/>
        <w:t>provisionados por variaciones en su valor. El saldo de $7.092.055.526.205 en 2025 presenta un incremento de $828.904.225.827 frente a 2024.</w:t>
      </w:r>
    </w:p>
    <w:p w14:paraId="1159E27E" w14:textId="77777777" w:rsidR="00953AA2" w:rsidRPr="00951AB1" w:rsidRDefault="00953AA2" w:rsidP="000A5389">
      <w:pPr>
        <w:spacing w:line="240" w:lineRule="auto"/>
        <w:ind w:left="-20" w:right="-20"/>
        <w:rPr>
          <w:rFonts w:eastAsia="Times New Roman" w:cs="Times New Roman"/>
          <w:szCs w:val="24"/>
        </w:rPr>
      </w:pPr>
    </w:p>
    <w:p w14:paraId="18785DA4" w14:textId="77777777" w:rsidR="001A3366" w:rsidRDefault="001A3366" w:rsidP="000A5389">
      <w:pPr>
        <w:spacing w:line="240" w:lineRule="auto"/>
        <w:ind w:left="-20" w:right="-20"/>
        <w:rPr>
          <w:rFonts w:eastAsia="Times New Roman" w:cs="Times New Roman"/>
          <w:szCs w:val="24"/>
        </w:rPr>
      </w:pPr>
      <w:r w:rsidRPr="00951AB1">
        <w:rPr>
          <w:rFonts w:eastAsia="Times New Roman" w:cs="Times New Roman"/>
          <w:szCs w:val="24"/>
        </w:rPr>
        <w:t xml:space="preserve">Detalle de conceptos incluidos en esta categoría: </w:t>
      </w:r>
    </w:p>
    <w:p w14:paraId="4286CB7B" w14:textId="77777777" w:rsidR="00953AA2" w:rsidRPr="00951AB1" w:rsidRDefault="00953AA2" w:rsidP="000A5389">
      <w:pPr>
        <w:spacing w:line="240" w:lineRule="auto"/>
        <w:ind w:left="-20" w:right="-20"/>
        <w:rPr>
          <w:rFonts w:eastAsia="Times New Roman" w:cs="Times New Roman"/>
          <w:szCs w:val="24"/>
        </w:rPr>
      </w:pPr>
    </w:p>
    <w:tbl>
      <w:tblPr>
        <w:tblW w:w="5000" w:type="pct"/>
        <w:tblCellMar>
          <w:left w:w="70" w:type="dxa"/>
          <w:right w:w="70" w:type="dxa"/>
        </w:tblCellMar>
        <w:tblLook w:val="04A0" w:firstRow="1" w:lastRow="0" w:firstColumn="1" w:lastColumn="0" w:noHBand="0" w:noVBand="1"/>
      </w:tblPr>
      <w:tblGrid>
        <w:gridCol w:w="6307"/>
        <w:gridCol w:w="2521"/>
      </w:tblGrid>
      <w:tr w:rsidR="00D83BA9" w:rsidRPr="00951AB1" w14:paraId="6FA984D5" w14:textId="77777777" w:rsidTr="002D6214">
        <w:trPr>
          <w:trHeight w:val="285"/>
          <w:tblHeader/>
        </w:trPr>
        <w:tc>
          <w:tcPr>
            <w:tcW w:w="3572" w:type="pct"/>
            <w:tcBorders>
              <w:top w:val="single" w:sz="4" w:space="0" w:color="auto"/>
              <w:left w:val="single" w:sz="4" w:space="0" w:color="auto"/>
              <w:bottom w:val="single" w:sz="4" w:space="0" w:color="auto"/>
              <w:right w:val="single" w:sz="4" w:space="0" w:color="auto"/>
            </w:tcBorders>
            <w:noWrap/>
            <w:vAlign w:val="center"/>
            <w:hideMark/>
          </w:tcPr>
          <w:p w14:paraId="5CAD1380" w14:textId="77777777" w:rsidR="001A3366" w:rsidRPr="00951AB1" w:rsidRDefault="001A3366" w:rsidP="000A5389">
            <w:pPr>
              <w:spacing w:line="240" w:lineRule="auto"/>
              <w:rPr>
                <w:rFonts w:eastAsia="Times New Roman" w:cs="Times New Roman"/>
                <w:b/>
                <w:bCs/>
                <w:color w:val="000000"/>
                <w:kern w:val="0"/>
                <w:sz w:val="18"/>
                <w:szCs w:val="18"/>
                <w:lang w:eastAsia="es-CO"/>
                <w14:ligatures w14:val="none"/>
              </w:rPr>
            </w:pPr>
            <w:r w:rsidRPr="00951AB1">
              <w:rPr>
                <w:rFonts w:eastAsia="Times New Roman" w:cs="Times New Roman"/>
                <w:b/>
                <w:bCs/>
                <w:color w:val="000000"/>
                <w:kern w:val="0"/>
                <w:sz w:val="18"/>
                <w:szCs w:val="18"/>
                <w:lang w:eastAsia="es-CO"/>
                <w14:ligatures w14:val="none"/>
              </w:rPr>
              <w:t xml:space="preserve">CONCEPTO </w:t>
            </w:r>
          </w:p>
        </w:tc>
        <w:tc>
          <w:tcPr>
            <w:tcW w:w="1428" w:type="pct"/>
            <w:tcBorders>
              <w:top w:val="single" w:sz="4" w:space="0" w:color="auto"/>
              <w:left w:val="nil"/>
              <w:bottom w:val="single" w:sz="4" w:space="0" w:color="auto"/>
              <w:right w:val="single" w:sz="4" w:space="0" w:color="auto"/>
            </w:tcBorders>
            <w:noWrap/>
            <w:vAlign w:val="center"/>
            <w:hideMark/>
          </w:tcPr>
          <w:p w14:paraId="76D1F4CE" w14:textId="77777777" w:rsidR="001A3366" w:rsidRPr="00951AB1" w:rsidRDefault="001A3366" w:rsidP="000A5389">
            <w:pPr>
              <w:spacing w:line="240" w:lineRule="auto"/>
              <w:jc w:val="center"/>
              <w:rPr>
                <w:rFonts w:eastAsia="Times New Roman" w:cs="Times New Roman"/>
                <w:b/>
                <w:bCs/>
                <w:color w:val="000000"/>
                <w:kern w:val="0"/>
                <w:sz w:val="18"/>
                <w:szCs w:val="18"/>
                <w:lang w:eastAsia="es-CO"/>
                <w14:ligatures w14:val="none"/>
              </w:rPr>
            </w:pPr>
            <w:r w:rsidRPr="00951AB1">
              <w:rPr>
                <w:rFonts w:eastAsia="Times New Roman" w:cs="Times New Roman"/>
                <w:b/>
                <w:bCs/>
                <w:color w:val="000000"/>
                <w:kern w:val="0"/>
                <w:sz w:val="18"/>
                <w:szCs w:val="18"/>
                <w:lang w:eastAsia="es-CO"/>
                <w14:ligatures w14:val="none"/>
              </w:rPr>
              <w:t>SALDO 2025</w:t>
            </w:r>
          </w:p>
        </w:tc>
      </w:tr>
      <w:tr w:rsidR="00D83BA9" w:rsidRPr="00951AB1" w14:paraId="298B696D" w14:textId="77777777" w:rsidTr="002D6214">
        <w:trPr>
          <w:trHeight w:val="285"/>
        </w:trPr>
        <w:tc>
          <w:tcPr>
            <w:tcW w:w="3572" w:type="pct"/>
            <w:tcBorders>
              <w:top w:val="nil"/>
              <w:left w:val="single" w:sz="4" w:space="0" w:color="auto"/>
              <w:bottom w:val="single" w:sz="4" w:space="0" w:color="auto"/>
              <w:right w:val="single" w:sz="4" w:space="0" w:color="auto"/>
            </w:tcBorders>
            <w:noWrap/>
            <w:vAlign w:val="center"/>
            <w:hideMark/>
          </w:tcPr>
          <w:p w14:paraId="5559E546" w14:textId="77777777" w:rsidR="001A3366" w:rsidRPr="00951AB1" w:rsidRDefault="001A3366" w:rsidP="000A5389">
            <w:pPr>
              <w:spacing w:line="240" w:lineRule="auto"/>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Provisiones diversas</w:t>
            </w:r>
          </w:p>
        </w:tc>
        <w:tc>
          <w:tcPr>
            <w:tcW w:w="1428" w:type="pct"/>
            <w:tcBorders>
              <w:top w:val="nil"/>
              <w:left w:val="nil"/>
              <w:bottom w:val="single" w:sz="4" w:space="0" w:color="auto"/>
              <w:right w:val="single" w:sz="4" w:space="0" w:color="auto"/>
            </w:tcBorders>
            <w:noWrap/>
            <w:hideMark/>
          </w:tcPr>
          <w:p w14:paraId="74BD9F0B" w14:textId="77777777" w:rsidR="001A3366" w:rsidRPr="00951AB1" w:rsidRDefault="001A3366" w:rsidP="000A5389">
            <w:pPr>
              <w:spacing w:line="240" w:lineRule="auto"/>
              <w:jc w:val="right"/>
              <w:rPr>
                <w:rFonts w:eastAsia="Times New Roman" w:cs="Times New Roman"/>
                <w:color w:val="000000"/>
                <w:kern w:val="0"/>
                <w:sz w:val="18"/>
                <w:szCs w:val="18"/>
                <w:lang w:eastAsia="es-CO"/>
                <w14:ligatures w14:val="none"/>
              </w:rPr>
            </w:pPr>
            <w:r w:rsidRPr="00951AB1">
              <w:rPr>
                <w:rFonts w:cs="Times New Roman"/>
                <w:sz w:val="18"/>
                <w:szCs w:val="18"/>
              </w:rPr>
              <w:t xml:space="preserve"> 6.313.525.678.405 </w:t>
            </w:r>
          </w:p>
        </w:tc>
      </w:tr>
      <w:tr w:rsidR="00D83BA9" w:rsidRPr="00951AB1" w14:paraId="0F90E5FD" w14:textId="77777777" w:rsidTr="002D6214">
        <w:trPr>
          <w:trHeight w:val="285"/>
        </w:trPr>
        <w:tc>
          <w:tcPr>
            <w:tcW w:w="3572" w:type="pct"/>
            <w:tcBorders>
              <w:top w:val="nil"/>
              <w:left w:val="single" w:sz="4" w:space="0" w:color="auto"/>
              <w:bottom w:val="single" w:sz="4" w:space="0" w:color="auto"/>
              <w:right w:val="single" w:sz="4" w:space="0" w:color="auto"/>
            </w:tcBorders>
            <w:noWrap/>
            <w:vAlign w:val="center"/>
            <w:hideMark/>
          </w:tcPr>
          <w:p w14:paraId="64583AF6" w14:textId="77777777" w:rsidR="001A3366" w:rsidRPr="00951AB1" w:rsidRDefault="001A3366" w:rsidP="000A5389">
            <w:pPr>
              <w:spacing w:line="240" w:lineRule="auto"/>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Provisión por garantías</w:t>
            </w:r>
          </w:p>
        </w:tc>
        <w:tc>
          <w:tcPr>
            <w:tcW w:w="1428" w:type="pct"/>
            <w:tcBorders>
              <w:top w:val="nil"/>
              <w:left w:val="nil"/>
              <w:bottom w:val="single" w:sz="4" w:space="0" w:color="auto"/>
              <w:right w:val="single" w:sz="4" w:space="0" w:color="auto"/>
            </w:tcBorders>
            <w:noWrap/>
            <w:hideMark/>
          </w:tcPr>
          <w:p w14:paraId="27DACA55" w14:textId="77777777" w:rsidR="001A3366" w:rsidRPr="00951AB1" w:rsidRDefault="001A3366" w:rsidP="000A5389">
            <w:pPr>
              <w:spacing w:line="240" w:lineRule="auto"/>
              <w:jc w:val="right"/>
              <w:rPr>
                <w:rFonts w:eastAsia="Times New Roman" w:cs="Times New Roman"/>
                <w:color w:val="000000"/>
                <w:kern w:val="0"/>
                <w:sz w:val="18"/>
                <w:szCs w:val="18"/>
                <w:lang w:eastAsia="es-CO"/>
                <w14:ligatures w14:val="none"/>
              </w:rPr>
            </w:pPr>
            <w:r w:rsidRPr="00951AB1">
              <w:rPr>
                <w:rFonts w:cs="Times New Roman"/>
                <w:sz w:val="18"/>
                <w:szCs w:val="18"/>
              </w:rPr>
              <w:t xml:space="preserve"> 639.097.638.258 </w:t>
            </w:r>
          </w:p>
        </w:tc>
      </w:tr>
      <w:tr w:rsidR="00D83BA9" w:rsidRPr="00951AB1" w14:paraId="4D738480" w14:textId="77777777" w:rsidTr="002D6214">
        <w:trPr>
          <w:trHeight w:val="285"/>
        </w:trPr>
        <w:tc>
          <w:tcPr>
            <w:tcW w:w="3572" w:type="pct"/>
            <w:tcBorders>
              <w:top w:val="nil"/>
              <w:left w:val="single" w:sz="4" w:space="0" w:color="auto"/>
              <w:bottom w:val="single" w:sz="4" w:space="0" w:color="auto"/>
              <w:right w:val="single" w:sz="4" w:space="0" w:color="auto"/>
            </w:tcBorders>
            <w:noWrap/>
            <w:vAlign w:val="center"/>
            <w:hideMark/>
          </w:tcPr>
          <w:p w14:paraId="44D3DCD9" w14:textId="77777777" w:rsidR="001A3366" w:rsidRPr="00951AB1" w:rsidRDefault="001A3366" w:rsidP="000A5389">
            <w:pPr>
              <w:spacing w:line="240" w:lineRule="auto"/>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Deterioro de bienes de uso público - concesiones</w:t>
            </w:r>
          </w:p>
        </w:tc>
        <w:tc>
          <w:tcPr>
            <w:tcW w:w="1428" w:type="pct"/>
            <w:tcBorders>
              <w:top w:val="nil"/>
              <w:left w:val="nil"/>
              <w:bottom w:val="single" w:sz="4" w:space="0" w:color="auto"/>
              <w:right w:val="single" w:sz="4" w:space="0" w:color="auto"/>
            </w:tcBorders>
            <w:noWrap/>
            <w:hideMark/>
          </w:tcPr>
          <w:p w14:paraId="0ECC44AE" w14:textId="77777777" w:rsidR="001A3366" w:rsidRPr="00951AB1" w:rsidRDefault="001A3366" w:rsidP="000A5389">
            <w:pPr>
              <w:spacing w:line="240" w:lineRule="auto"/>
              <w:jc w:val="right"/>
              <w:rPr>
                <w:rFonts w:eastAsia="Times New Roman" w:cs="Times New Roman"/>
                <w:color w:val="000000"/>
                <w:kern w:val="0"/>
                <w:sz w:val="18"/>
                <w:szCs w:val="18"/>
                <w:lang w:eastAsia="es-CO"/>
                <w14:ligatures w14:val="none"/>
              </w:rPr>
            </w:pPr>
            <w:r w:rsidRPr="00951AB1">
              <w:rPr>
                <w:rFonts w:cs="Times New Roman"/>
                <w:sz w:val="18"/>
                <w:szCs w:val="18"/>
              </w:rPr>
              <w:t xml:space="preserve"> 35.311.654.050 </w:t>
            </w:r>
          </w:p>
        </w:tc>
      </w:tr>
      <w:tr w:rsidR="00D83BA9" w:rsidRPr="00951AB1" w14:paraId="20652B9A" w14:textId="77777777" w:rsidTr="002D6214">
        <w:trPr>
          <w:trHeight w:val="285"/>
        </w:trPr>
        <w:tc>
          <w:tcPr>
            <w:tcW w:w="3572" w:type="pct"/>
            <w:tcBorders>
              <w:top w:val="nil"/>
              <w:left w:val="single" w:sz="4" w:space="0" w:color="auto"/>
              <w:bottom w:val="single" w:sz="4" w:space="0" w:color="auto"/>
              <w:right w:val="single" w:sz="4" w:space="0" w:color="auto"/>
            </w:tcBorders>
            <w:noWrap/>
            <w:vAlign w:val="center"/>
            <w:hideMark/>
          </w:tcPr>
          <w:p w14:paraId="63AF12AA" w14:textId="77777777" w:rsidR="001A3366" w:rsidRPr="00951AB1" w:rsidRDefault="001A3366" w:rsidP="000A5389">
            <w:pPr>
              <w:spacing w:line="240" w:lineRule="auto"/>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Provisión litigios y demandas</w:t>
            </w:r>
          </w:p>
        </w:tc>
        <w:tc>
          <w:tcPr>
            <w:tcW w:w="1428" w:type="pct"/>
            <w:tcBorders>
              <w:top w:val="nil"/>
              <w:left w:val="nil"/>
              <w:bottom w:val="single" w:sz="4" w:space="0" w:color="auto"/>
              <w:right w:val="single" w:sz="4" w:space="0" w:color="auto"/>
            </w:tcBorders>
            <w:noWrap/>
            <w:hideMark/>
          </w:tcPr>
          <w:p w14:paraId="4E6C00BD" w14:textId="77777777" w:rsidR="001A3366" w:rsidRPr="00951AB1" w:rsidRDefault="001A3366" w:rsidP="000A5389">
            <w:pPr>
              <w:spacing w:line="240" w:lineRule="auto"/>
              <w:jc w:val="right"/>
              <w:rPr>
                <w:rFonts w:eastAsia="Times New Roman" w:cs="Times New Roman"/>
                <w:color w:val="000000"/>
                <w:kern w:val="0"/>
                <w:sz w:val="18"/>
                <w:szCs w:val="18"/>
                <w:lang w:eastAsia="es-CO"/>
                <w14:ligatures w14:val="none"/>
              </w:rPr>
            </w:pPr>
            <w:r w:rsidRPr="00951AB1">
              <w:rPr>
                <w:rFonts w:cs="Times New Roman"/>
                <w:sz w:val="18"/>
                <w:szCs w:val="18"/>
              </w:rPr>
              <w:t xml:space="preserve"> 32.593.328.269 </w:t>
            </w:r>
          </w:p>
        </w:tc>
      </w:tr>
      <w:tr w:rsidR="00D83BA9" w:rsidRPr="00951AB1" w14:paraId="08D757AC" w14:textId="77777777" w:rsidTr="002D6214">
        <w:trPr>
          <w:trHeight w:val="285"/>
        </w:trPr>
        <w:tc>
          <w:tcPr>
            <w:tcW w:w="3572" w:type="pct"/>
            <w:tcBorders>
              <w:top w:val="nil"/>
              <w:left w:val="single" w:sz="4" w:space="0" w:color="auto"/>
              <w:bottom w:val="single" w:sz="4" w:space="0" w:color="auto"/>
              <w:right w:val="single" w:sz="4" w:space="0" w:color="auto"/>
            </w:tcBorders>
            <w:noWrap/>
            <w:vAlign w:val="center"/>
            <w:hideMark/>
          </w:tcPr>
          <w:p w14:paraId="64467DB9" w14:textId="77777777" w:rsidR="001A3366" w:rsidRPr="00951AB1" w:rsidRDefault="001A3366" w:rsidP="000A5389">
            <w:pPr>
              <w:spacing w:line="240" w:lineRule="auto"/>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Deterioro de cuentas por cobrar</w:t>
            </w:r>
          </w:p>
        </w:tc>
        <w:tc>
          <w:tcPr>
            <w:tcW w:w="1428" w:type="pct"/>
            <w:tcBorders>
              <w:top w:val="nil"/>
              <w:left w:val="nil"/>
              <w:bottom w:val="single" w:sz="4" w:space="0" w:color="auto"/>
              <w:right w:val="single" w:sz="4" w:space="0" w:color="auto"/>
            </w:tcBorders>
            <w:noWrap/>
            <w:hideMark/>
          </w:tcPr>
          <w:p w14:paraId="7F5206AF" w14:textId="77777777" w:rsidR="001A3366" w:rsidRPr="00951AB1" w:rsidRDefault="001A3366" w:rsidP="000A5389">
            <w:pPr>
              <w:spacing w:line="240" w:lineRule="auto"/>
              <w:jc w:val="right"/>
              <w:rPr>
                <w:rFonts w:eastAsia="Times New Roman" w:cs="Times New Roman"/>
                <w:color w:val="000000"/>
                <w:kern w:val="0"/>
                <w:sz w:val="18"/>
                <w:szCs w:val="18"/>
                <w:lang w:eastAsia="es-CO"/>
                <w14:ligatures w14:val="none"/>
              </w:rPr>
            </w:pPr>
            <w:r w:rsidRPr="00951AB1">
              <w:rPr>
                <w:rFonts w:cs="Times New Roman"/>
                <w:sz w:val="18"/>
                <w:szCs w:val="18"/>
              </w:rPr>
              <w:t xml:space="preserve"> 31.570.981.655 </w:t>
            </w:r>
          </w:p>
        </w:tc>
      </w:tr>
      <w:tr w:rsidR="00D83BA9" w:rsidRPr="00951AB1" w14:paraId="63635EE4" w14:textId="77777777" w:rsidTr="002D6214">
        <w:trPr>
          <w:trHeight w:val="285"/>
        </w:trPr>
        <w:tc>
          <w:tcPr>
            <w:tcW w:w="3572" w:type="pct"/>
            <w:tcBorders>
              <w:top w:val="nil"/>
              <w:left w:val="single" w:sz="4" w:space="0" w:color="auto"/>
              <w:bottom w:val="single" w:sz="4" w:space="0" w:color="auto"/>
              <w:right w:val="single" w:sz="4" w:space="0" w:color="auto"/>
            </w:tcBorders>
            <w:noWrap/>
            <w:vAlign w:val="center"/>
            <w:hideMark/>
          </w:tcPr>
          <w:p w14:paraId="484B0AC5" w14:textId="77777777" w:rsidR="001A3366" w:rsidRPr="00951AB1" w:rsidRDefault="001A3366" w:rsidP="000A5389">
            <w:pPr>
              <w:spacing w:line="240" w:lineRule="auto"/>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Depreciación de bienes de uso público en servicio</w:t>
            </w:r>
          </w:p>
        </w:tc>
        <w:tc>
          <w:tcPr>
            <w:tcW w:w="1428" w:type="pct"/>
            <w:tcBorders>
              <w:top w:val="nil"/>
              <w:left w:val="nil"/>
              <w:bottom w:val="single" w:sz="4" w:space="0" w:color="auto"/>
              <w:right w:val="single" w:sz="4" w:space="0" w:color="auto"/>
            </w:tcBorders>
            <w:noWrap/>
            <w:hideMark/>
          </w:tcPr>
          <w:p w14:paraId="01E904A2" w14:textId="77777777" w:rsidR="001A3366" w:rsidRPr="00951AB1" w:rsidRDefault="001A3366" w:rsidP="000A5389">
            <w:pPr>
              <w:spacing w:line="240" w:lineRule="auto"/>
              <w:jc w:val="right"/>
              <w:rPr>
                <w:rFonts w:eastAsia="Times New Roman" w:cs="Times New Roman"/>
                <w:color w:val="000000"/>
                <w:kern w:val="0"/>
                <w:sz w:val="18"/>
                <w:szCs w:val="18"/>
                <w:lang w:eastAsia="es-CO"/>
                <w14:ligatures w14:val="none"/>
              </w:rPr>
            </w:pPr>
            <w:r w:rsidRPr="00951AB1">
              <w:rPr>
                <w:rFonts w:cs="Times New Roman"/>
                <w:sz w:val="18"/>
                <w:szCs w:val="18"/>
              </w:rPr>
              <w:t xml:space="preserve"> 30.676.613.591 </w:t>
            </w:r>
          </w:p>
        </w:tc>
      </w:tr>
      <w:tr w:rsidR="00934AB7" w:rsidRPr="00951AB1" w14:paraId="3095F1EB" w14:textId="77777777" w:rsidTr="002D6214">
        <w:trPr>
          <w:trHeight w:val="285"/>
        </w:trPr>
        <w:tc>
          <w:tcPr>
            <w:tcW w:w="3572" w:type="pct"/>
            <w:tcBorders>
              <w:top w:val="nil"/>
              <w:left w:val="single" w:sz="4" w:space="0" w:color="auto"/>
              <w:bottom w:val="single" w:sz="4" w:space="0" w:color="auto"/>
              <w:right w:val="single" w:sz="4" w:space="0" w:color="auto"/>
            </w:tcBorders>
            <w:noWrap/>
            <w:vAlign w:val="center"/>
            <w:hideMark/>
          </w:tcPr>
          <w:p w14:paraId="763C38D4" w14:textId="77777777" w:rsidR="001A3366" w:rsidRPr="00951AB1" w:rsidRDefault="001A3366" w:rsidP="000A5389">
            <w:pPr>
              <w:spacing w:line="240" w:lineRule="auto"/>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Depreciación de bienes de uso público en servicio - concesiones</w:t>
            </w:r>
          </w:p>
        </w:tc>
        <w:tc>
          <w:tcPr>
            <w:tcW w:w="1428" w:type="pct"/>
            <w:tcBorders>
              <w:top w:val="nil"/>
              <w:left w:val="nil"/>
              <w:bottom w:val="single" w:sz="4" w:space="0" w:color="A6A6A6"/>
              <w:right w:val="single" w:sz="4" w:space="0" w:color="auto"/>
            </w:tcBorders>
            <w:noWrap/>
            <w:hideMark/>
          </w:tcPr>
          <w:p w14:paraId="7F5D125A" w14:textId="77777777" w:rsidR="001A3366" w:rsidRPr="00951AB1" w:rsidRDefault="001A3366" w:rsidP="000A5389">
            <w:pPr>
              <w:spacing w:line="240" w:lineRule="auto"/>
              <w:jc w:val="right"/>
              <w:rPr>
                <w:rFonts w:eastAsia="Times New Roman" w:cs="Times New Roman"/>
                <w:color w:val="000000"/>
                <w:kern w:val="0"/>
                <w:sz w:val="18"/>
                <w:szCs w:val="18"/>
                <w:lang w:eastAsia="es-CO"/>
                <w14:ligatures w14:val="none"/>
              </w:rPr>
            </w:pPr>
            <w:r w:rsidRPr="00951AB1">
              <w:rPr>
                <w:rFonts w:cs="Times New Roman"/>
                <w:sz w:val="18"/>
                <w:szCs w:val="18"/>
              </w:rPr>
              <w:t xml:space="preserve"> 3.646.232.591 </w:t>
            </w:r>
          </w:p>
        </w:tc>
      </w:tr>
      <w:tr w:rsidR="00934AB7" w:rsidRPr="00951AB1" w14:paraId="48DFBF35" w14:textId="77777777" w:rsidTr="002D6214">
        <w:trPr>
          <w:trHeight w:val="285"/>
        </w:trPr>
        <w:tc>
          <w:tcPr>
            <w:tcW w:w="3572" w:type="pct"/>
            <w:tcBorders>
              <w:top w:val="nil"/>
              <w:left w:val="single" w:sz="4" w:space="0" w:color="auto"/>
              <w:bottom w:val="single" w:sz="4" w:space="0" w:color="auto"/>
              <w:right w:val="single" w:sz="4" w:space="0" w:color="auto"/>
            </w:tcBorders>
            <w:noWrap/>
            <w:vAlign w:val="center"/>
            <w:hideMark/>
          </w:tcPr>
          <w:p w14:paraId="036E9B84" w14:textId="77777777" w:rsidR="001A3366" w:rsidRPr="00951AB1" w:rsidRDefault="001A3366" w:rsidP="000A5389">
            <w:pPr>
              <w:spacing w:line="240" w:lineRule="auto"/>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Depreciación de propiedades, planta y equipo</w:t>
            </w:r>
          </w:p>
        </w:tc>
        <w:tc>
          <w:tcPr>
            <w:tcW w:w="1428" w:type="pct"/>
            <w:tcBorders>
              <w:top w:val="single" w:sz="4" w:space="0" w:color="A6A6A6"/>
              <w:left w:val="nil"/>
              <w:bottom w:val="single" w:sz="4" w:space="0" w:color="auto"/>
              <w:right w:val="single" w:sz="4" w:space="0" w:color="auto"/>
            </w:tcBorders>
            <w:noWrap/>
            <w:hideMark/>
          </w:tcPr>
          <w:p w14:paraId="4550D3F2" w14:textId="77777777" w:rsidR="001A3366" w:rsidRPr="00951AB1" w:rsidRDefault="001A3366" w:rsidP="000A5389">
            <w:pPr>
              <w:spacing w:line="240" w:lineRule="auto"/>
              <w:jc w:val="right"/>
              <w:rPr>
                <w:rFonts w:eastAsia="Times New Roman" w:cs="Times New Roman"/>
                <w:color w:val="000000"/>
                <w:kern w:val="0"/>
                <w:sz w:val="18"/>
                <w:szCs w:val="18"/>
                <w:lang w:eastAsia="es-CO"/>
                <w14:ligatures w14:val="none"/>
              </w:rPr>
            </w:pPr>
            <w:r w:rsidRPr="00951AB1">
              <w:rPr>
                <w:rFonts w:cs="Times New Roman"/>
                <w:sz w:val="18"/>
                <w:szCs w:val="18"/>
              </w:rPr>
              <w:t xml:space="preserve"> 3.297.568.265 </w:t>
            </w:r>
          </w:p>
        </w:tc>
      </w:tr>
      <w:tr w:rsidR="00D83BA9" w:rsidRPr="00951AB1" w14:paraId="5746AC5D" w14:textId="77777777" w:rsidTr="002D6214">
        <w:trPr>
          <w:trHeight w:val="285"/>
        </w:trPr>
        <w:tc>
          <w:tcPr>
            <w:tcW w:w="3572" w:type="pct"/>
            <w:tcBorders>
              <w:top w:val="nil"/>
              <w:left w:val="single" w:sz="4" w:space="0" w:color="auto"/>
              <w:bottom w:val="single" w:sz="4" w:space="0" w:color="auto"/>
              <w:right w:val="single" w:sz="4" w:space="0" w:color="auto"/>
            </w:tcBorders>
            <w:noWrap/>
            <w:vAlign w:val="center"/>
            <w:hideMark/>
          </w:tcPr>
          <w:p w14:paraId="4AB73B5B" w14:textId="77777777" w:rsidR="001A3366" w:rsidRPr="00951AB1" w:rsidRDefault="001A3366" w:rsidP="000A5389">
            <w:pPr>
              <w:spacing w:line="240" w:lineRule="auto"/>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Amortización de activos intangibles</w:t>
            </w:r>
          </w:p>
        </w:tc>
        <w:tc>
          <w:tcPr>
            <w:tcW w:w="1428" w:type="pct"/>
            <w:tcBorders>
              <w:top w:val="nil"/>
              <w:left w:val="nil"/>
              <w:bottom w:val="single" w:sz="4" w:space="0" w:color="auto"/>
              <w:right w:val="single" w:sz="4" w:space="0" w:color="auto"/>
            </w:tcBorders>
            <w:noWrap/>
            <w:hideMark/>
          </w:tcPr>
          <w:p w14:paraId="726CE97F" w14:textId="77777777" w:rsidR="001A3366" w:rsidRPr="00951AB1" w:rsidRDefault="001A3366" w:rsidP="000A5389">
            <w:pPr>
              <w:spacing w:line="240" w:lineRule="auto"/>
              <w:jc w:val="right"/>
              <w:rPr>
                <w:rFonts w:eastAsia="Times New Roman" w:cs="Times New Roman"/>
                <w:color w:val="000000"/>
                <w:kern w:val="0"/>
                <w:sz w:val="18"/>
                <w:szCs w:val="18"/>
                <w:lang w:eastAsia="es-CO"/>
                <w14:ligatures w14:val="none"/>
              </w:rPr>
            </w:pPr>
            <w:r w:rsidRPr="00951AB1">
              <w:rPr>
                <w:rFonts w:cs="Times New Roman"/>
                <w:sz w:val="18"/>
                <w:szCs w:val="18"/>
              </w:rPr>
              <w:t xml:space="preserve"> 2.335.831.120 </w:t>
            </w:r>
          </w:p>
        </w:tc>
      </w:tr>
      <w:tr w:rsidR="00D83BA9" w:rsidRPr="00951AB1" w14:paraId="665C5771" w14:textId="77777777" w:rsidTr="002D6214">
        <w:trPr>
          <w:trHeight w:val="285"/>
        </w:trPr>
        <w:tc>
          <w:tcPr>
            <w:tcW w:w="3572" w:type="pct"/>
            <w:tcBorders>
              <w:top w:val="nil"/>
              <w:left w:val="single" w:sz="4" w:space="0" w:color="auto"/>
              <w:bottom w:val="single" w:sz="4" w:space="0" w:color="auto"/>
              <w:right w:val="single" w:sz="4" w:space="0" w:color="auto"/>
            </w:tcBorders>
            <w:noWrap/>
            <w:vAlign w:val="center"/>
            <w:hideMark/>
          </w:tcPr>
          <w:p w14:paraId="4D4F561C" w14:textId="77777777" w:rsidR="001A3366" w:rsidRPr="00951AB1" w:rsidRDefault="001A3366" w:rsidP="000A5389">
            <w:pPr>
              <w:spacing w:line="240" w:lineRule="auto"/>
              <w:rPr>
                <w:rFonts w:eastAsia="Times New Roman" w:cs="Times New Roman"/>
                <w:b/>
                <w:bCs/>
                <w:color w:val="000000"/>
                <w:kern w:val="0"/>
                <w:sz w:val="18"/>
                <w:szCs w:val="18"/>
                <w:lang w:eastAsia="es-CO"/>
                <w14:ligatures w14:val="none"/>
              </w:rPr>
            </w:pPr>
            <w:r w:rsidRPr="00951AB1">
              <w:rPr>
                <w:rFonts w:eastAsia="Times New Roman" w:cs="Times New Roman"/>
                <w:b/>
                <w:bCs/>
                <w:color w:val="000000"/>
                <w:kern w:val="0"/>
                <w:sz w:val="18"/>
                <w:szCs w:val="18"/>
                <w:lang w:eastAsia="es-CO"/>
                <w14:ligatures w14:val="none"/>
              </w:rPr>
              <w:t>TOTAL</w:t>
            </w:r>
          </w:p>
        </w:tc>
        <w:tc>
          <w:tcPr>
            <w:tcW w:w="1428" w:type="pct"/>
            <w:tcBorders>
              <w:top w:val="nil"/>
              <w:left w:val="nil"/>
              <w:bottom w:val="single" w:sz="4" w:space="0" w:color="auto"/>
              <w:right w:val="single" w:sz="4" w:space="0" w:color="auto"/>
            </w:tcBorders>
            <w:noWrap/>
            <w:hideMark/>
          </w:tcPr>
          <w:p w14:paraId="77A74058" w14:textId="77777777" w:rsidR="001A3366" w:rsidRPr="00951AB1" w:rsidRDefault="001A3366" w:rsidP="000A5389">
            <w:pPr>
              <w:spacing w:line="240" w:lineRule="auto"/>
              <w:jc w:val="right"/>
              <w:rPr>
                <w:rFonts w:eastAsia="Times New Roman" w:cs="Times New Roman"/>
                <w:b/>
                <w:bCs/>
                <w:color w:val="000000"/>
                <w:kern w:val="0"/>
                <w:sz w:val="18"/>
                <w:szCs w:val="18"/>
                <w:lang w:eastAsia="es-CO"/>
                <w14:ligatures w14:val="none"/>
              </w:rPr>
            </w:pPr>
            <w:r w:rsidRPr="00951AB1">
              <w:rPr>
                <w:rFonts w:cs="Times New Roman"/>
                <w:b/>
                <w:bCs/>
                <w:sz w:val="18"/>
                <w:szCs w:val="18"/>
              </w:rPr>
              <w:t xml:space="preserve"> 7.092.055.526.205 </w:t>
            </w:r>
          </w:p>
        </w:tc>
      </w:tr>
    </w:tbl>
    <w:p w14:paraId="04499046" w14:textId="77777777" w:rsidR="008E133C" w:rsidRPr="00951AB1" w:rsidRDefault="008E133C" w:rsidP="000A5389">
      <w:pPr>
        <w:spacing w:line="240" w:lineRule="auto"/>
        <w:rPr>
          <w:rFonts w:cs="Times New Roman"/>
          <w:sz w:val="16"/>
          <w:szCs w:val="16"/>
        </w:rPr>
      </w:pPr>
      <w:r w:rsidRPr="00951AB1">
        <w:rPr>
          <w:rFonts w:cs="Times New Roman"/>
          <w:sz w:val="16"/>
          <w:szCs w:val="16"/>
        </w:rPr>
        <w:t>Cifras en pesos</w:t>
      </w:r>
    </w:p>
    <w:p w14:paraId="7F938468" w14:textId="77777777" w:rsidR="00F07EFD" w:rsidRPr="00951AB1" w:rsidRDefault="00F07EFD" w:rsidP="000A5389">
      <w:pPr>
        <w:spacing w:line="240" w:lineRule="auto"/>
        <w:rPr>
          <w:rFonts w:cs="Times New Roman"/>
          <w:szCs w:val="24"/>
        </w:rPr>
      </w:pPr>
    </w:p>
    <w:p w14:paraId="594B7B5F" w14:textId="77777777" w:rsidR="001A3366" w:rsidRPr="00951AB1" w:rsidRDefault="001A3366" w:rsidP="000A5389">
      <w:pPr>
        <w:spacing w:line="240" w:lineRule="auto"/>
        <w:rPr>
          <w:rFonts w:cs="Times New Roman"/>
          <w:szCs w:val="24"/>
        </w:rPr>
      </w:pPr>
      <w:r w:rsidRPr="00951AB1">
        <w:rPr>
          <w:rFonts w:eastAsia="Times New Roman" w:cs="Times New Roman"/>
          <w:szCs w:val="24"/>
        </w:rPr>
        <w:t>La composición interna de esta categoría evidencia que:</w:t>
      </w:r>
    </w:p>
    <w:p w14:paraId="3FC8D370" w14:textId="77777777" w:rsidR="001A3366" w:rsidRPr="00951AB1" w:rsidRDefault="001A3366" w:rsidP="000A5389">
      <w:pPr>
        <w:spacing w:line="240" w:lineRule="auto"/>
        <w:rPr>
          <w:rFonts w:cs="Times New Roman"/>
          <w:szCs w:val="24"/>
        </w:rPr>
      </w:pPr>
      <w:r w:rsidRPr="00951AB1">
        <w:rPr>
          <w:rFonts w:cs="Times New Roman"/>
          <w:szCs w:val="24"/>
        </w:rPr>
        <w:t>Las provisiones diversas concentran el mayor valor, con $6.313.525.678.405, lo que refleja el reconocimiento de obligaciones estimadas derivadas de riesgos contractuales y contingencias asociadas a Mecanismos alternativos de solución de conflictos. (Laudos arbitrales)</w:t>
      </w:r>
    </w:p>
    <w:p w14:paraId="1664470F" w14:textId="77777777" w:rsidR="001A3366" w:rsidRPr="00951AB1" w:rsidRDefault="001A3366" w:rsidP="000A5389">
      <w:pPr>
        <w:spacing w:line="240" w:lineRule="auto"/>
        <w:rPr>
          <w:rFonts w:cs="Times New Roman"/>
          <w:szCs w:val="24"/>
        </w:rPr>
      </w:pPr>
      <w:r w:rsidRPr="00951AB1">
        <w:rPr>
          <w:rFonts w:cs="Times New Roman"/>
          <w:szCs w:val="24"/>
        </w:rPr>
        <w:t>La provisión por garantías, por $639.097.638.258, corresponde a estimaciones relacionadas con obligaciones estimadas derivadas de riesgos contractuales y contingencias asociadas a la ejecución de los acuerdos de concesión.</w:t>
      </w:r>
      <w:r w:rsidRPr="00951AB1">
        <w:rPr>
          <w:rFonts w:cs="Times New Roman"/>
        </w:rPr>
        <w:t xml:space="preserve"> E</w:t>
      </w:r>
      <w:r w:rsidRPr="00951AB1">
        <w:rPr>
          <w:rFonts w:cs="Times New Roman"/>
          <w:szCs w:val="24"/>
        </w:rPr>
        <w:t>special los relacionado con el mecanismo de compensación por riesgo de tráfico DR´8 diseñado para garantizar la sostenibilidad financiera de las concesiones de cuarta generación (4G), la compensación ocurre específicamente en los años 8 DR13 (año 13) y DR18 (año 18) del contrato de concesión.</w:t>
      </w:r>
    </w:p>
    <w:p w14:paraId="2006B5FC" w14:textId="77777777" w:rsidR="001A3366" w:rsidRDefault="001A3366" w:rsidP="000A5389">
      <w:pPr>
        <w:spacing w:line="240" w:lineRule="auto"/>
        <w:rPr>
          <w:rFonts w:cs="Times New Roman"/>
          <w:szCs w:val="24"/>
        </w:rPr>
      </w:pPr>
      <w:r w:rsidRPr="00951AB1">
        <w:rPr>
          <w:rFonts w:cs="Times New Roman"/>
          <w:szCs w:val="24"/>
        </w:rPr>
        <w:t xml:space="preserve">El saldo refleja en este concepto corresponde a los siguientes concesionarios: </w:t>
      </w:r>
    </w:p>
    <w:p w14:paraId="4ED13220" w14:textId="77777777" w:rsidR="00953AA2" w:rsidRPr="00951AB1" w:rsidRDefault="00953AA2" w:rsidP="000A5389">
      <w:pPr>
        <w:spacing w:line="240" w:lineRule="auto"/>
        <w:rPr>
          <w:rFonts w:cs="Times New Roman"/>
          <w:szCs w:val="24"/>
        </w:rPr>
      </w:pPr>
    </w:p>
    <w:p w14:paraId="3C804C7B" w14:textId="77777777" w:rsidR="001A3366" w:rsidRPr="00951AB1" w:rsidRDefault="001A3366" w:rsidP="000A5389">
      <w:pPr>
        <w:pStyle w:val="Prrafodelista"/>
        <w:numPr>
          <w:ilvl w:val="0"/>
          <w:numId w:val="34"/>
        </w:numPr>
        <w:spacing w:line="240" w:lineRule="auto"/>
        <w:rPr>
          <w:rFonts w:cs="Times New Roman"/>
          <w:szCs w:val="24"/>
        </w:rPr>
      </w:pPr>
      <w:r w:rsidRPr="00951AB1">
        <w:rPr>
          <w:rFonts w:cs="Times New Roman"/>
          <w:szCs w:val="24"/>
        </w:rPr>
        <w:t>Autopista Rio Magdalena S A S: $266.077.219.463</w:t>
      </w:r>
    </w:p>
    <w:p w14:paraId="2102CC8C" w14:textId="77777777" w:rsidR="001A3366" w:rsidRPr="00951AB1" w:rsidRDefault="001A3366" w:rsidP="000A5389">
      <w:pPr>
        <w:pStyle w:val="Prrafodelista"/>
        <w:numPr>
          <w:ilvl w:val="0"/>
          <w:numId w:val="34"/>
        </w:numPr>
        <w:spacing w:line="240" w:lineRule="auto"/>
        <w:rPr>
          <w:rFonts w:cs="Times New Roman"/>
          <w:szCs w:val="24"/>
        </w:rPr>
      </w:pPr>
      <w:r w:rsidRPr="00951AB1">
        <w:rPr>
          <w:rFonts w:cs="Times New Roman"/>
          <w:szCs w:val="24"/>
        </w:rPr>
        <w:t>Concesionaria Ruta al Sur S.A.S: $201.994.792.245</w:t>
      </w:r>
    </w:p>
    <w:p w14:paraId="036DE3BD" w14:textId="77777777" w:rsidR="001A3366" w:rsidRPr="00951AB1" w:rsidRDefault="001A3366" w:rsidP="000A5389">
      <w:pPr>
        <w:pStyle w:val="Prrafodelista"/>
        <w:numPr>
          <w:ilvl w:val="0"/>
          <w:numId w:val="34"/>
        </w:numPr>
        <w:spacing w:line="240" w:lineRule="auto"/>
        <w:rPr>
          <w:rFonts w:cs="Times New Roman"/>
          <w:szCs w:val="24"/>
        </w:rPr>
      </w:pPr>
      <w:r w:rsidRPr="00951AB1">
        <w:rPr>
          <w:rFonts w:cs="Times New Roman"/>
          <w:szCs w:val="24"/>
        </w:rPr>
        <w:t>Union Vial Rio Pamplonita SAS: $102.698.629.165</w:t>
      </w:r>
    </w:p>
    <w:p w14:paraId="29C68B13" w14:textId="77777777" w:rsidR="001A3366" w:rsidRPr="00951AB1" w:rsidRDefault="001A3366" w:rsidP="000A5389">
      <w:pPr>
        <w:pStyle w:val="Prrafodelista"/>
        <w:numPr>
          <w:ilvl w:val="0"/>
          <w:numId w:val="34"/>
        </w:numPr>
        <w:spacing w:line="240" w:lineRule="auto"/>
        <w:rPr>
          <w:rFonts w:cs="Times New Roman"/>
          <w:szCs w:val="24"/>
        </w:rPr>
      </w:pPr>
      <w:r w:rsidRPr="00951AB1">
        <w:rPr>
          <w:rFonts w:cs="Times New Roman"/>
          <w:szCs w:val="24"/>
        </w:rPr>
        <w:t>Autopistas   Urabá   SAS: $68.326.997.385</w:t>
      </w:r>
    </w:p>
    <w:p w14:paraId="74358E5E" w14:textId="77777777" w:rsidR="001A3366" w:rsidRPr="00951AB1" w:rsidRDefault="001A3366" w:rsidP="000A5389">
      <w:pPr>
        <w:pStyle w:val="Prrafodelista"/>
        <w:spacing w:line="240" w:lineRule="auto"/>
        <w:ind w:left="360"/>
        <w:rPr>
          <w:rFonts w:cs="Times New Roman"/>
          <w:szCs w:val="24"/>
        </w:rPr>
      </w:pPr>
    </w:p>
    <w:p w14:paraId="40D22155" w14:textId="77777777" w:rsidR="001A3366" w:rsidRDefault="001A3366" w:rsidP="000A5389">
      <w:pPr>
        <w:spacing w:line="240" w:lineRule="auto"/>
        <w:rPr>
          <w:rFonts w:cs="Times New Roman"/>
          <w:szCs w:val="24"/>
        </w:rPr>
      </w:pPr>
      <w:r w:rsidRPr="00951AB1">
        <w:rPr>
          <w:rFonts w:cs="Times New Roman"/>
          <w:szCs w:val="24"/>
        </w:rPr>
        <w:t>Las demás partidas (deterioro de bienes de uso público, deterioro de cuentas por cobrar, provisión por litigios y demandas, depreciaciones y amortizaciones) presentan participaciones menores, propias del reconocimiento sistemático del desgaste o pérdida de valor de los activos y de contingencias judiciales.</w:t>
      </w:r>
    </w:p>
    <w:p w14:paraId="34D33000" w14:textId="77777777" w:rsidR="00953AA2" w:rsidRPr="00951AB1" w:rsidRDefault="00953AA2" w:rsidP="000A5389">
      <w:pPr>
        <w:spacing w:line="240" w:lineRule="auto"/>
        <w:rPr>
          <w:rFonts w:cs="Times New Roman"/>
          <w:szCs w:val="24"/>
        </w:rPr>
      </w:pPr>
    </w:p>
    <w:p w14:paraId="58559404" w14:textId="77777777" w:rsidR="001A3366" w:rsidRPr="00951AB1" w:rsidRDefault="001A3366" w:rsidP="000A5389">
      <w:pPr>
        <w:spacing w:line="240" w:lineRule="auto"/>
        <w:rPr>
          <w:rFonts w:cs="Times New Roman"/>
        </w:rPr>
      </w:pPr>
      <w:r w:rsidRPr="00951AB1">
        <w:rPr>
          <w:rFonts w:cs="Times New Roman"/>
          <w:szCs w:val="24"/>
        </w:rPr>
        <w:t xml:space="preserve">Una parte significativa de este rubro corresponde a gastos no desembolsables (no caja), derivados de estimaciones contables y del reconocimiento del consumo del potencial de </w:t>
      </w:r>
      <w:r w:rsidRPr="00951AB1">
        <w:rPr>
          <w:rFonts w:cs="Times New Roman"/>
          <w:szCs w:val="24"/>
        </w:rPr>
        <w:lastRenderedPageBreak/>
        <w:t>servicio de los activos, lo cual impacta el resultado del periodo sin generar salida inmediata de recursos.</w:t>
      </w:r>
    </w:p>
    <w:p w14:paraId="661C4AFF" w14:textId="77777777" w:rsidR="001A3366" w:rsidRPr="00951AB1" w:rsidRDefault="001A3366" w:rsidP="000A5389">
      <w:pPr>
        <w:spacing w:line="240" w:lineRule="auto"/>
        <w:rPr>
          <w:rFonts w:eastAsia="Times New Roman" w:cs="Times New Roman"/>
          <w:color w:val="000000"/>
          <w:lang w:eastAsia="es-CO"/>
        </w:rPr>
      </w:pPr>
    </w:p>
    <w:p w14:paraId="591A1F01" w14:textId="4CDB1E31" w:rsidR="001A3366" w:rsidRPr="00951AB1" w:rsidRDefault="001A3366" w:rsidP="000A5389">
      <w:pPr>
        <w:pStyle w:val="Ttulo2"/>
        <w:numPr>
          <w:ilvl w:val="0"/>
          <w:numId w:val="0"/>
        </w:numPr>
        <w:spacing w:line="240" w:lineRule="auto"/>
        <w:ind w:right="-20"/>
        <w:rPr>
          <w:rFonts w:cs="Times New Roman"/>
        </w:rPr>
      </w:pPr>
      <w:bookmarkStart w:id="851" w:name="_Toc222824177"/>
      <w:bookmarkStart w:id="852" w:name="_Toc222955543"/>
      <w:r w:rsidRPr="00951AB1">
        <w:rPr>
          <w:rFonts w:eastAsia="Times New Roman" w:cs="Times New Roman"/>
          <w:bCs/>
          <w:szCs w:val="24"/>
        </w:rPr>
        <w:t>30.1.</w:t>
      </w:r>
      <w:r w:rsidR="001D0C39" w:rsidRPr="00951AB1">
        <w:rPr>
          <w:rFonts w:eastAsia="Times New Roman" w:cs="Times New Roman"/>
          <w:bCs/>
          <w:szCs w:val="24"/>
        </w:rPr>
        <w:t>1</w:t>
      </w:r>
      <w:r w:rsidRPr="00951AB1">
        <w:rPr>
          <w:rFonts w:eastAsia="Times New Roman" w:cs="Times New Roman"/>
          <w:szCs w:val="24"/>
        </w:rPr>
        <w:t xml:space="preserve">    </w:t>
      </w:r>
      <w:r w:rsidRPr="00951AB1">
        <w:rPr>
          <w:rFonts w:eastAsia="Times New Roman" w:cs="Times New Roman"/>
          <w:bCs/>
          <w:szCs w:val="24"/>
        </w:rPr>
        <w:t>Deterioro, Activos financieros y no financieros</w:t>
      </w:r>
      <w:bookmarkEnd w:id="851"/>
      <w:bookmarkEnd w:id="852"/>
    </w:p>
    <w:p w14:paraId="5A244D64" w14:textId="77777777" w:rsidR="001A3366" w:rsidRPr="00951AB1" w:rsidRDefault="001A3366" w:rsidP="000A5389">
      <w:pPr>
        <w:spacing w:line="240" w:lineRule="auto"/>
        <w:rPr>
          <w:rFonts w:cs="Times New Roma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007"/>
        <w:gridCol w:w="1541"/>
        <w:gridCol w:w="1640"/>
        <w:gridCol w:w="1640"/>
      </w:tblGrid>
      <w:tr w:rsidR="0026612B" w:rsidRPr="00336FA0" w14:paraId="01C9C732" w14:textId="77777777" w:rsidTr="00336FA0">
        <w:trPr>
          <w:trHeight w:val="300"/>
        </w:trPr>
        <w:tc>
          <w:tcPr>
            <w:tcW w:w="2269" w:type="pct"/>
            <w:vMerge w:val="restart"/>
            <w:vAlign w:val="center"/>
            <w:hideMark/>
          </w:tcPr>
          <w:p w14:paraId="3DB9E1FA" w14:textId="77777777" w:rsidR="001A3366" w:rsidRPr="00336FA0" w:rsidRDefault="001A3366" w:rsidP="000A5389">
            <w:pPr>
              <w:spacing w:line="240" w:lineRule="auto"/>
              <w:jc w:val="center"/>
              <w:rPr>
                <w:rFonts w:eastAsia="Times New Roman" w:cs="Times New Roman"/>
                <w:b/>
                <w:bCs/>
                <w:kern w:val="0"/>
                <w:sz w:val="18"/>
                <w:szCs w:val="18"/>
                <w:lang w:eastAsia="es-CO"/>
                <w14:ligatures w14:val="none"/>
              </w:rPr>
            </w:pPr>
            <w:r w:rsidRPr="00336FA0">
              <w:rPr>
                <w:rFonts w:eastAsia="Times New Roman" w:cs="Times New Roman"/>
                <w:b/>
                <w:bCs/>
                <w:kern w:val="0"/>
                <w:sz w:val="18"/>
                <w:szCs w:val="18"/>
                <w:lang w:eastAsia="es-CO"/>
                <w14:ligatures w14:val="none"/>
              </w:rPr>
              <w:t>CONCEPTO</w:t>
            </w:r>
          </w:p>
        </w:tc>
        <w:tc>
          <w:tcPr>
            <w:tcW w:w="2731" w:type="pct"/>
            <w:gridSpan w:val="3"/>
            <w:vAlign w:val="center"/>
            <w:hideMark/>
          </w:tcPr>
          <w:p w14:paraId="1F1EF5D6" w14:textId="77777777" w:rsidR="001A3366" w:rsidRPr="00336FA0" w:rsidRDefault="001A3366" w:rsidP="000A5389">
            <w:pPr>
              <w:spacing w:line="240" w:lineRule="auto"/>
              <w:jc w:val="center"/>
              <w:rPr>
                <w:rFonts w:eastAsia="Times New Roman" w:cs="Times New Roman"/>
                <w:b/>
                <w:bCs/>
                <w:kern w:val="0"/>
                <w:sz w:val="18"/>
                <w:szCs w:val="18"/>
                <w:lang w:eastAsia="es-CO"/>
                <w14:ligatures w14:val="none"/>
              </w:rPr>
            </w:pPr>
            <w:r w:rsidRPr="00336FA0">
              <w:rPr>
                <w:rFonts w:eastAsia="Times New Roman" w:cs="Times New Roman"/>
                <w:b/>
                <w:bCs/>
                <w:kern w:val="0"/>
                <w:sz w:val="18"/>
                <w:szCs w:val="18"/>
                <w:lang w:eastAsia="es-CO"/>
                <w14:ligatures w14:val="none"/>
              </w:rPr>
              <w:t>DETERIORO 2025</w:t>
            </w:r>
          </w:p>
        </w:tc>
      </w:tr>
      <w:tr w:rsidR="00562DA2" w:rsidRPr="00336FA0" w14:paraId="106BF912" w14:textId="77777777" w:rsidTr="00336FA0">
        <w:trPr>
          <w:trHeight w:val="540"/>
        </w:trPr>
        <w:tc>
          <w:tcPr>
            <w:tcW w:w="2269" w:type="pct"/>
            <w:vMerge/>
            <w:vAlign w:val="center"/>
            <w:hideMark/>
          </w:tcPr>
          <w:p w14:paraId="34EB8256" w14:textId="77777777" w:rsidR="001A3366" w:rsidRPr="00336FA0" w:rsidRDefault="001A3366" w:rsidP="000A5389">
            <w:pPr>
              <w:spacing w:line="240" w:lineRule="auto"/>
              <w:rPr>
                <w:rFonts w:eastAsia="Times New Roman" w:cs="Times New Roman"/>
                <w:b/>
                <w:bCs/>
                <w:kern w:val="0"/>
                <w:sz w:val="18"/>
                <w:szCs w:val="18"/>
                <w:lang w:eastAsia="es-CO"/>
                <w14:ligatures w14:val="none"/>
              </w:rPr>
            </w:pPr>
          </w:p>
        </w:tc>
        <w:tc>
          <w:tcPr>
            <w:tcW w:w="873" w:type="pct"/>
            <w:vAlign w:val="center"/>
            <w:hideMark/>
          </w:tcPr>
          <w:p w14:paraId="49F3E76C" w14:textId="77777777" w:rsidR="001A3366" w:rsidRPr="00336FA0" w:rsidRDefault="001A3366" w:rsidP="000A5389">
            <w:pPr>
              <w:spacing w:line="240" w:lineRule="auto"/>
              <w:jc w:val="center"/>
              <w:rPr>
                <w:rFonts w:eastAsia="Times New Roman" w:cs="Times New Roman"/>
                <w:b/>
                <w:bCs/>
                <w:kern w:val="0"/>
                <w:sz w:val="18"/>
                <w:szCs w:val="18"/>
                <w:lang w:eastAsia="es-CO"/>
                <w14:ligatures w14:val="none"/>
              </w:rPr>
            </w:pPr>
            <w:r w:rsidRPr="00336FA0">
              <w:rPr>
                <w:rFonts w:eastAsia="Times New Roman" w:cs="Times New Roman"/>
                <w:b/>
                <w:bCs/>
                <w:kern w:val="0"/>
                <w:sz w:val="18"/>
                <w:szCs w:val="18"/>
                <w:lang w:eastAsia="es-CO"/>
                <w14:ligatures w14:val="none"/>
              </w:rPr>
              <w:t>ACTIVOS FINANCIEROS</w:t>
            </w:r>
          </w:p>
        </w:tc>
        <w:tc>
          <w:tcPr>
            <w:tcW w:w="929" w:type="pct"/>
            <w:vAlign w:val="center"/>
            <w:hideMark/>
          </w:tcPr>
          <w:p w14:paraId="2D020456" w14:textId="77777777" w:rsidR="001A3366" w:rsidRPr="00336FA0" w:rsidRDefault="001A3366" w:rsidP="000A5389">
            <w:pPr>
              <w:spacing w:line="240" w:lineRule="auto"/>
              <w:jc w:val="center"/>
              <w:rPr>
                <w:rFonts w:eastAsia="Times New Roman" w:cs="Times New Roman"/>
                <w:b/>
                <w:bCs/>
                <w:kern w:val="0"/>
                <w:sz w:val="18"/>
                <w:szCs w:val="18"/>
                <w:lang w:eastAsia="es-CO"/>
                <w14:ligatures w14:val="none"/>
              </w:rPr>
            </w:pPr>
            <w:r w:rsidRPr="00336FA0">
              <w:rPr>
                <w:rFonts w:eastAsia="Times New Roman" w:cs="Times New Roman"/>
                <w:b/>
                <w:bCs/>
                <w:kern w:val="0"/>
                <w:sz w:val="18"/>
                <w:szCs w:val="18"/>
                <w:lang w:eastAsia="es-CO"/>
                <w14:ligatures w14:val="none"/>
              </w:rPr>
              <w:t>ACTIVOS NO FINANCIEROS</w:t>
            </w:r>
          </w:p>
        </w:tc>
        <w:tc>
          <w:tcPr>
            <w:tcW w:w="929" w:type="pct"/>
            <w:vAlign w:val="center"/>
            <w:hideMark/>
          </w:tcPr>
          <w:p w14:paraId="416D1283" w14:textId="77777777" w:rsidR="001A3366" w:rsidRPr="00336FA0" w:rsidRDefault="001A3366" w:rsidP="000A5389">
            <w:pPr>
              <w:spacing w:line="240" w:lineRule="auto"/>
              <w:jc w:val="center"/>
              <w:rPr>
                <w:rFonts w:eastAsia="Times New Roman" w:cs="Times New Roman"/>
                <w:b/>
                <w:bCs/>
                <w:kern w:val="0"/>
                <w:sz w:val="18"/>
                <w:szCs w:val="18"/>
                <w:lang w:eastAsia="es-CO"/>
                <w14:ligatures w14:val="none"/>
              </w:rPr>
            </w:pPr>
            <w:r w:rsidRPr="00336FA0">
              <w:rPr>
                <w:rFonts w:eastAsia="Times New Roman" w:cs="Times New Roman"/>
                <w:b/>
                <w:bCs/>
                <w:kern w:val="0"/>
                <w:sz w:val="18"/>
                <w:szCs w:val="18"/>
                <w:lang w:eastAsia="es-CO"/>
                <w14:ligatures w14:val="none"/>
              </w:rPr>
              <w:t>SALDO FINAL</w:t>
            </w:r>
          </w:p>
        </w:tc>
      </w:tr>
      <w:tr w:rsidR="00562DA2" w:rsidRPr="00336FA0" w14:paraId="5A34A447" w14:textId="77777777" w:rsidTr="00336FA0">
        <w:trPr>
          <w:trHeight w:val="278"/>
        </w:trPr>
        <w:tc>
          <w:tcPr>
            <w:tcW w:w="2269" w:type="pct"/>
            <w:vAlign w:val="center"/>
            <w:hideMark/>
          </w:tcPr>
          <w:p w14:paraId="193ED3F9" w14:textId="77777777" w:rsidR="001A3366" w:rsidRPr="00336FA0" w:rsidRDefault="001A3366" w:rsidP="000A5389">
            <w:pPr>
              <w:spacing w:line="240" w:lineRule="auto"/>
              <w:rPr>
                <w:rFonts w:eastAsia="Times New Roman" w:cs="Times New Roman"/>
                <w:b/>
                <w:bCs/>
                <w:kern w:val="0"/>
                <w:sz w:val="18"/>
                <w:szCs w:val="18"/>
                <w:lang w:eastAsia="es-CO"/>
                <w14:ligatures w14:val="none"/>
              </w:rPr>
            </w:pPr>
            <w:r w:rsidRPr="00336FA0">
              <w:rPr>
                <w:rFonts w:eastAsia="Times New Roman" w:cs="Times New Roman"/>
                <w:b/>
                <w:bCs/>
                <w:kern w:val="0"/>
                <w:sz w:val="18"/>
                <w:szCs w:val="18"/>
                <w:lang w:eastAsia="es-CO"/>
                <w14:ligatures w14:val="none"/>
              </w:rPr>
              <w:t>DETERIORO</w:t>
            </w:r>
          </w:p>
        </w:tc>
        <w:tc>
          <w:tcPr>
            <w:tcW w:w="873" w:type="pct"/>
            <w:noWrap/>
            <w:vAlign w:val="center"/>
            <w:hideMark/>
          </w:tcPr>
          <w:p w14:paraId="1A56C649" w14:textId="77777777" w:rsidR="001A3366" w:rsidRPr="00336FA0" w:rsidRDefault="001A3366" w:rsidP="000A5389">
            <w:pPr>
              <w:spacing w:line="240" w:lineRule="auto"/>
              <w:jc w:val="right"/>
              <w:rPr>
                <w:rFonts w:eastAsia="Times New Roman" w:cs="Times New Roman"/>
                <w:b/>
                <w:bCs/>
                <w:kern w:val="0"/>
                <w:sz w:val="18"/>
                <w:szCs w:val="18"/>
                <w:lang w:eastAsia="es-CO"/>
                <w14:ligatures w14:val="none"/>
              </w:rPr>
            </w:pPr>
            <w:r w:rsidRPr="00336FA0">
              <w:rPr>
                <w:rFonts w:cs="Times New Roman"/>
                <w:b/>
                <w:bCs/>
                <w:sz w:val="18"/>
                <w:szCs w:val="18"/>
              </w:rPr>
              <w:t>31.627.443.891</w:t>
            </w:r>
          </w:p>
        </w:tc>
        <w:tc>
          <w:tcPr>
            <w:tcW w:w="929" w:type="pct"/>
            <w:noWrap/>
            <w:vAlign w:val="center"/>
            <w:hideMark/>
          </w:tcPr>
          <w:p w14:paraId="0E01954C" w14:textId="77777777" w:rsidR="001A3366" w:rsidRPr="00336FA0" w:rsidRDefault="001A3366" w:rsidP="000A5389">
            <w:pPr>
              <w:spacing w:line="240" w:lineRule="auto"/>
              <w:jc w:val="right"/>
              <w:rPr>
                <w:rFonts w:eastAsia="Times New Roman" w:cs="Times New Roman"/>
                <w:b/>
                <w:bCs/>
                <w:kern w:val="0"/>
                <w:sz w:val="18"/>
                <w:szCs w:val="18"/>
                <w:lang w:eastAsia="es-CO"/>
                <w14:ligatures w14:val="none"/>
              </w:rPr>
            </w:pPr>
            <w:r w:rsidRPr="00336FA0">
              <w:rPr>
                <w:rFonts w:cs="Times New Roman"/>
                <w:b/>
                <w:bCs/>
                <w:sz w:val="18"/>
                <w:szCs w:val="18"/>
              </w:rPr>
              <w:t>35.311.654.050</w:t>
            </w:r>
          </w:p>
        </w:tc>
        <w:tc>
          <w:tcPr>
            <w:tcW w:w="929" w:type="pct"/>
            <w:noWrap/>
            <w:vAlign w:val="center"/>
            <w:hideMark/>
          </w:tcPr>
          <w:p w14:paraId="6DC92F9E" w14:textId="77777777" w:rsidR="001A3366" w:rsidRPr="00336FA0" w:rsidRDefault="001A3366" w:rsidP="000A5389">
            <w:pPr>
              <w:spacing w:line="240" w:lineRule="auto"/>
              <w:jc w:val="right"/>
              <w:rPr>
                <w:rFonts w:eastAsia="Times New Roman" w:cs="Times New Roman"/>
                <w:b/>
                <w:bCs/>
                <w:kern w:val="0"/>
                <w:sz w:val="18"/>
                <w:szCs w:val="18"/>
                <w:lang w:eastAsia="es-CO"/>
                <w14:ligatures w14:val="none"/>
              </w:rPr>
            </w:pPr>
            <w:r w:rsidRPr="00336FA0">
              <w:rPr>
                <w:rFonts w:cs="Times New Roman"/>
                <w:b/>
                <w:bCs/>
                <w:sz w:val="18"/>
                <w:szCs w:val="18"/>
              </w:rPr>
              <w:t>66.939.097.941</w:t>
            </w:r>
          </w:p>
        </w:tc>
      </w:tr>
      <w:tr w:rsidR="00423A11" w:rsidRPr="00336FA0" w14:paraId="3FF4482E" w14:textId="77777777" w:rsidTr="00336FA0">
        <w:trPr>
          <w:trHeight w:val="195"/>
        </w:trPr>
        <w:tc>
          <w:tcPr>
            <w:tcW w:w="2269" w:type="pct"/>
            <w:vAlign w:val="center"/>
            <w:hideMark/>
          </w:tcPr>
          <w:p w14:paraId="308F1694" w14:textId="77777777" w:rsidR="001A3366" w:rsidRPr="00336FA0" w:rsidRDefault="001A3366" w:rsidP="000A5389">
            <w:pPr>
              <w:spacing w:line="240" w:lineRule="auto"/>
              <w:rPr>
                <w:rFonts w:eastAsia="Times New Roman" w:cs="Times New Roman"/>
                <w:b/>
                <w:bCs/>
                <w:kern w:val="0"/>
                <w:sz w:val="18"/>
                <w:szCs w:val="18"/>
                <w:lang w:eastAsia="es-CO"/>
                <w14:ligatures w14:val="none"/>
              </w:rPr>
            </w:pPr>
            <w:r w:rsidRPr="00336FA0">
              <w:rPr>
                <w:rFonts w:eastAsia="Times New Roman" w:cs="Times New Roman"/>
                <w:b/>
                <w:bCs/>
                <w:kern w:val="0"/>
                <w:sz w:val="18"/>
                <w:szCs w:val="18"/>
                <w:lang w:eastAsia="es-CO"/>
                <w14:ligatures w14:val="none"/>
              </w:rPr>
              <w:t>DETERIORO DE BIENES DE USO PÚBLICO - CONCESIONES</w:t>
            </w:r>
          </w:p>
        </w:tc>
        <w:tc>
          <w:tcPr>
            <w:tcW w:w="873" w:type="pct"/>
            <w:noWrap/>
            <w:vAlign w:val="center"/>
            <w:hideMark/>
          </w:tcPr>
          <w:p w14:paraId="7C61FCFC" w14:textId="77777777" w:rsidR="001A3366" w:rsidRPr="00336FA0" w:rsidRDefault="001A3366" w:rsidP="000A5389">
            <w:pPr>
              <w:spacing w:line="240" w:lineRule="auto"/>
              <w:jc w:val="right"/>
              <w:rPr>
                <w:rFonts w:eastAsia="Times New Roman" w:cs="Times New Roman"/>
                <w:b/>
                <w:bCs/>
                <w:kern w:val="0"/>
                <w:sz w:val="18"/>
                <w:szCs w:val="18"/>
                <w:lang w:eastAsia="es-CO"/>
                <w14:ligatures w14:val="none"/>
              </w:rPr>
            </w:pPr>
            <w:r w:rsidRPr="00336FA0">
              <w:rPr>
                <w:rFonts w:cs="Times New Roman"/>
                <w:b/>
                <w:bCs/>
                <w:sz w:val="18"/>
                <w:szCs w:val="18"/>
              </w:rPr>
              <w:t>0</w:t>
            </w:r>
          </w:p>
        </w:tc>
        <w:tc>
          <w:tcPr>
            <w:tcW w:w="929" w:type="pct"/>
            <w:noWrap/>
            <w:vAlign w:val="center"/>
            <w:hideMark/>
          </w:tcPr>
          <w:p w14:paraId="56334BDA" w14:textId="77777777" w:rsidR="001A3366" w:rsidRPr="00336FA0" w:rsidRDefault="001A3366" w:rsidP="000A5389">
            <w:pPr>
              <w:spacing w:line="240" w:lineRule="auto"/>
              <w:jc w:val="right"/>
              <w:rPr>
                <w:rFonts w:eastAsia="Times New Roman" w:cs="Times New Roman"/>
                <w:b/>
                <w:bCs/>
                <w:kern w:val="0"/>
                <w:sz w:val="18"/>
                <w:szCs w:val="18"/>
                <w:lang w:eastAsia="es-CO"/>
                <w14:ligatures w14:val="none"/>
              </w:rPr>
            </w:pPr>
            <w:r w:rsidRPr="00336FA0">
              <w:rPr>
                <w:rFonts w:cs="Times New Roman"/>
                <w:b/>
                <w:bCs/>
                <w:sz w:val="18"/>
                <w:szCs w:val="18"/>
              </w:rPr>
              <w:t>35.311.654.050</w:t>
            </w:r>
          </w:p>
        </w:tc>
        <w:tc>
          <w:tcPr>
            <w:tcW w:w="929" w:type="pct"/>
            <w:noWrap/>
            <w:vAlign w:val="center"/>
            <w:hideMark/>
          </w:tcPr>
          <w:p w14:paraId="08F1D13A" w14:textId="77777777" w:rsidR="001A3366" w:rsidRPr="00336FA0" w:rsidRDefault="001A3366" w:rsidP="000A5389">
            <w:pPr>
              <w:spacing w:line="240" w:lineRule="auto"/>
              <w:jc w:val="right"/>
              <w:rPr>
                <w:rFonts w:eastAsia="Times New Roman" w:cs="Times New Roman"/>
                <w:b/>
                <w:bCs/>
                <w:kern w:val="0"/>
                <w:sz w:val="18"/>
                <w:szCs w:val="18"/>
                <w:lang w:eastAsia="es-CO"/>
                <w14:ligatures w14:val="none"/>
              </w:rPr>
            </w:pPr>
            <w:r w:rsidRPr="00336FA0">
              <w:rPr>
                <w:rFonts w:cs="Times New Roman"/>
                <w:b/>
                <w:bCs/>
                <w:sz w:val="18"/>
                <w:szCs w:val="18"/>
              </w:rPr>
              <w:t>35.311.654.050</w:t>
            </w:r>
          </w:p>
        </w:tc>
      </w:tr>
      <w:tr w:rsidR="007220B5" w:rsidRPr="00336FA0" w14:paraId="1DA79850" w14:textId="77777777" w:rsidTr="00336FA0">
        <w:trPr>
          <w:trHeight w:val="278"/>
        </w:trPr>
        <w:tc>
          <w:tcPr>
            <w:tcW w:w="2269" w:type="pct"/>
            <w:vAlign w:val="center"/>
            <w:hideMark/>
          </w:tcPr>
          <w:p w14:paraId="1981E9B3" w14:textId="77777777" w:rsidR="001A3366" w:rsidRPr="00336FA0" w:rsidRDefault="001A3366" w:rsidP="000A5389">
            <w:pPr>
              <w:spacing w:line="240" w:lineRule="auto"/>
              <w:rPr>
                <w:rFonts w:eastAsia="Times New Roman" w:cs="Times New Roman"/>
                <w:kern w:val="0"/>
                <w:sz w:val="18"/>
                <w:szCs w:val="18"/>
                <w:lang w:eastAsia="es-CO"/>
                <w14:ligatures w14:val="none"/>
              </w:rPr>
            </w:pPr>
            <w:r w:rsidRPr="00336FA0">
              <w:rPr>
                <w:rFonts w:eastAsia="Times New Roman" w:cs="Times New Roman"/>
                <w:kern w:val="0"/>
                <w:sz w:val="18"/>
                <w:szCs w:val="18"/>
                <w:lang w:eastAsia="es-CO"/>
                <w14:ligatures w14:val="none"/>
              </w:rPr>
              <w:t>Red carretera</w:t>
            </w:r>
          </w:p>
        </w:tc>
        <w:tc>
          <w:tcPr>
            <w:tcW w:w="873" w:type="pct"/>
            <w:noWrap/>
            <w:vAlign w:val="center"/>
            <w:hideMark/>
          </w:tcPr>
          <w:p w14:paraId="27EF3B77" w14:textId="77777777" w:rsidR="001A3366" w:rsidRPr="00336FA0" w:rsidRDefault="001A3366" w:rsidP="000A5389">
            <w:pPr>
              <w:spacing w:line="240" w:lineRule="auto"/>
              <w:jc w:val="right"/>
              <w:rPr>
                <w:rFonts w:eastAsia="Times New Roman" w:cs="Times New Roman"/>
                <w:kern w:val="0"/>
                <w:sz w:val="18"/>
                <w:szCs w:val="18"/>
                <w:lang w:eastAsia="es-CO"/>
                <w14:ligatures w14:val="none"/>
              </w:rPr>
            </w:pPr>
            <w:r w:rsidRPr="00336FA0">
              <w:rPr>
                <w:rFonts w:cs="Times New Roman"/>
                <w:sz w:val="18"/>
                <w:szCs w:val="18"/>
              </w:rPr>
              <w:t>0</w:t>
            </w:r>
          </w:p>
        </w:tc>
        <w:tc>
          <w:tcPr>
            <w:tcW w:w="929" w:type="pct"/>
            <w:noWrap/>
            <w:vAlign w:val="center"/>
            <w:hideMark/>
          </w:tcPr>
          <w:p w14:paraId="1FC909FE" w14:textId="77777777" w:rsidR="001A3366" w:rsidRPr="00336FA0" w:rsidRDefault="001A3366" w:rsidP="000A5389">
            <w:pPr>
              <w:spacing w:line="240" w:lineRule="auto"/>
              <w:jc w:val="right"/>
              <w:rPr>
                <w:rFonts w:eastAsia="Times New Roman" w:cs="Times New Roman"/>
                <w:kern w:val="0"/>
                <w:sz w:val="18"/>
                <w:szCs w:val="18"/>
                <w:lang w:eastAsia="es-CO"/>
                <w14:ligatures w14:val="none"/>
              </w:rPr>
            </w:pPr>
            <w:r w:rsidRPr="00336FA0">
              <w:rPr>
                <w:rFonts w:cs="Times New Roman"/>
                <w:sz w:val="18"/>
                <w:szCs w:val="18"/>
              </w:rPr>
              <w:t>35.311.654.050</w:t>
            </w:r>
          </w:p>
        </w:tc>
        <w:tc>
          <w:tcPr>
            <w:tcW w:w="929" w:type="pct"/>
            <w:noWrap/>
            <w:vAlign w:val="center"/>
            <w:hideMark/>
          </w:tcPr>
          <w:p w14:paraId="7E910CDE" w14:textId="77777777" w:rsidR="001A3366" w:rsidRPr="00336FA0" w:rsidRDefault="001A3366" w:rsidP="000A5389">
            <w:pPr>
              <w:spacing w:line="240" w:lineRule="auto"/>
              <w:jc w:val="right"/>
              <w:rPr>
                <w:rFonts w:eastAsia="Times New Roman" w:cs="Times New Roman"/>
                <w:kern w:val="0"/>
                <w:sz w:val="18"/>
                <w:szCs w:val="18"/>
                <w:lang w:eastAsia="es-CO"/>
                <w14:ligatures w14:val="none"/>
              </w:rPr>
            </w:pPr>
            <w:r w:rsidRPr="00336FA0">
              <w:rPr>
                <w:rFonts w:cs="Times New Roman"/>
                <w:sz w:val="18"/>
                <w:szCs w:val="18"/>
              </w:rPr>
              <w:t>35.311.654.050</w:t>
            </w:r>
          </w:p>
        </w:tc>
      </w:tr>
      <w:tr w:rsidR="00562DA2" w:rsidRPr="00336FA0" w14:paraId="62EF02DC" w14:textId="77777777" w:rsidTr="00336FA0">
        <w:trPr>
          <w:trHeight w:val="540"/>
        </w:trPr>
        <w:tc>
          <w:tcPr>
            <w:tcW w:w="2269" w:type="pct"/>
            <w:vAlign w:val="center"/>
            <w:hideMark/>
          </w:tcPr>
          <w:p w14:paraId="418AEBAF" w14:textId="77777777" w:rsidR="001A3366" w:rsidRPr="00336FA0" w:rsidRDefault="001A3366" w:rsidP="000A5389">
            <w:pPr>
              <w:spacing w:line="240" w:lineRule="auto"/>
              <w:rPr>
                <w:rFonts w:eastAsia="Times New Roman" w:cs="Times New Roman"/>
                <w:b/>
                <w:bCs/>
                <w:kern w:val="0"/>
                <w:sz w:val="18"/>
                <w:szCs w:val="18"/>
                <w:lang w:eastAsia="es-CO"/>
                <w14:ligatures w14:val="none"/>
              </w:rPr>
            </w:pPr>
            <w:r w:rsidRPr="00336FA0">
              <w:rPr>
                <w:rFonts w:eastAsia="Times New Roman" w:cs="Times New Roman"/>
                <w:b/>
                <w:bCs/>
                <w:kern w:val="0"/>
                <w:sz w:val="18"/>
                <w:szCs w:val="18"/>
                <w:lang w:eastAsia="es-CO"/>
                <w14:ligatures w14:val="none"/>
              </w:rPr>
              <w:t>DETERIORO, DEPRECIACIONES, AMORTIZACIONES Y PROVISIONES</w:t>
            </w:r>
          </w:p>
        </w:tc>
        <w:tc>
          <w:tcPr>
            <w:tcW w:w="873" w:type="pct"/>
            <w:noWrap/>
            <w:vAlign w:val="center"/>
            <w:hideMark/>
          </w:tcPr>
          <w:p w14:paraId="09808260" w14:textId="77777777" w:rsidR="001A3366" w:rsidRPr="00336FA0" w:rsidRDefault="001A3366" w:rsidP="000A5389">
            <w:pPr>
              <w:spacing w:line="240" w:lineRule="auto"/>
              <w:jc w:val="right"/>
              <w:rPr>
                <w:rFonts w:eastAsia="Times New Roman" w:cs="Times New Roman"/>
                <w:b/>
                <w:bCs/>
                <w:kern w:val="0"/>
                <w:sz w:val="18"/>
                <w:szCs w:val="18"/>
                <w:lang w:eastAsia="es-CO"/>
                <w14:ligatures w14:val="none"/>
              </w:rPr>
            </w:pPr>
            <w:r w:rsidRPr="00336FA0">
              <w:rPr>
                <w:rFonts w:cs="Times New Roman"/>
                <w:b/>
                <w:bCs/>
                <w:sz w:val="18"/>
                <w:szCs w:val="18"/>
              </w:rPr>
              <w:t>31.627.443.891</w:t>
            </w:r>
          </w:p>
        </w:tc>
        <w:tc>
          <w:tcPr>
            <w:tcW w:w="929" w:type="pct"/>
            <w:noWrap/>
            <w:vAlign w:val="center"/>
          </w:tcPr>
          <w:p w14:paraId="221662A3" w14:textId="77777777" w:rsidR="001A3366" w:rsidRPr="00336FA0" w:rsidRDefault="001A3366" w:rsidP="000A5389">
            <w:pPr>
              <w:spacing w:line="240" w:lineRule="auto"/>
              <w:jc w:val="right"/>
              <w:rPr>
                <w:rFonts w:eastAsia="Times New Roman" w:cs="Times New Roman"/>
                <w:b/>
                <w:bCs/>
                <w:kern w:val="0"/>
                <w:sz w:val="18"/>
                <w:szCs w:val="18"/>
                <w:lang w:eastAsia="es-CO"/>
                <w14:ligatures w14:val="none"/>
              </w:rPr>
            </w:pPr>
            <w:r w:rsidRPr="00336FA0">
              <w:rPr>
                <w:rFonts w:cs="Times New Roman"/>
                <w:b/>
                <w:bCs/>
                <w:sz w:val="18"/>
                <w:szCs w:val="18"/>
              </w:rPr>
              <w:t>0</w:t>
            </w:r>
          </w:p>
        </w:tc>
        <w:tc>
          <w:tcPr>
            <w:tcW w:w="929" w:type="pct"/>
            <w:noWrap/>
            <w:vAlign w:val="center"/>
            <w:hideMark/>
          </w:tcPr>
          <w:p w14:paraId="4FD2BED0" w14:textId="77777777" w:rsidR="001A3366" w:rsidRPr="00336FA0" w:rsidRDefault="001A3366" w:rsidP="000A5389">
            <w:pPr>
              <w:spacing w:line="240" w:lineRule="auto"/>
              <w:jc w:val="right"/>
              <w:rPr>
                <w:rFonts w:eastAsia="Times New Roman" w:cs="Times New Roman"/>
                <w:b/>
                <w:bCs/>
                <w:kern w:val="0"/>
                <w:sz w:val="18"/>
                <w:szCs w:val="18"/>
                <w:lang w:eastAsia="es-CO"/>
                <w14:ligatures w14:val="none"/>
              </w:rPr>
            </w:pPr>
            <w:r w:rsidRPr="00336FA0">
              <w:rPr>
                <w:rFonts w:cs="Times New Roman"/>
                <w:b/>
                <w:bCs/>
                <w:sz w:val="18"/>
                <w:szCs w:val="18"/>
              </w:rPr>
              <w:t>31.627.443.891</w:t>
            </w:r>
          </w:p>
        </w:tc>
      </w:tr>
      <w:tr w:rsidR="007220B5" w:rsidRPr="00336FA0" w14:paraId="2A815C07" w14:textId="77777777" w:rsidTr="00336FA0">
        <w:trPr>
          <w:trHeight w:val="278"/>
        </w:trPr>
        <w:tc>
          <w:tcPr>
            <w:tcW w:w="2269" w:type="pct"/>
            <w:vAlign w:val="center"/>
            <w:hideMark/>
          </w:tcPr>
          <w:p w14:paraId="064D8ED6" w14:textId="77777777" w:rsidR="001A3366" w:rsidRPr="00336FA0" w:rsidRDefault="001A3366" w:rsidP="000A5389">
            <w:pPr>
              <w:spacing w:line="240" w:lineRule="auto"/>
              <w:rPr>
                <w:rFonts w:eastAsia="Times New Roman" w:cs="Times New Roman"/>
                <w:kern w:val="0"/>
                <w:sz w:val="18"/>
                <w:szCs w:val="18"/>
                <w:lang w:eastAsia="es-CO"/>
                <w14:ligatures w14:val="none"/>
              </w:rPr>
            </w:pPr>
            <w:r w:rsidRPr="00336FA0">
              <w:rPr>
                <w:rFonts w:eastAsia="Times New Roman" w:cs="Times New Roman"/>
                <w:kern w:val="0"/>
                <w:sz w:val="18"/>
                <w:szCs w:val="18"/>
                <w:lang w:eastAsia="es-CO"/>
                <w14:ligatures w14:val="none"/>
              </w:rPr>
              <w:t>Contribuciones, tasas e ingresos no tributarios</w:t>
            </w:r>
          </w:p>
        </w:tc>
        <w:tc>
          <w:tcPr>
            <w:tcW w:w="873" w:type="pct"/>
            <w:noWrap/>
            <w:vAlign w:val="center"/>
            <w:hideMark/>
          </w:tcPr>
          <w:p w14:paraId="686D6435" w14:textId="77777777" w:rsidR="001A3366" w:rsidRPr="00336FA0" w:rsidRDefault="001A3366" w:rsidP="000A5389">
            <w:pPr>
              <w:spacing w:line="240" w:lineRule="auto"/>
              <w:jc w:val="right"/>
              <w:rPr>
                <w:rFonts w:eastAsia="Times New Roman" w:cs="Times New Roman"/>
                <w:kern w:val="0"/>
                <w:sz w:val="18"/>
                <w:szCs w:val="18"/>
                <w:lang w:eastAsia="es-CO"/>
                <w14:ligatures w14:val="none"/>
              </w:rPr>
            </w:pPr>
            <w:r w:rsidRPr="00336FA0">
              <w:rPr>
                <w:rFonts w:cs="Times New Roman"/>
                <w:sz w:val="18"/>
                <w:szCs w:val="18"/>
              </w:rPr>
              <w:t>31.570.981.655</w:t>
            </w:r>
          </w:p>
        </w:tc>
        <w:tc>
          <w:tcPr>
            <w:tcW w:w="929" w:type="pct"/>
            <w:noWrap/>
            <w:vAlign w:val="center"/>
          </w:tcPr>
          <w:p w14:paraId="47AA357F" w14:textId="77777777" w:rsidR="001A3366" w:rsidRPr="00336FA0" w:rsidRDefault="001A3366" w:rsidP="000A5389">
            <w:pPr>
              <w:spacing w:line="240" w:lineRule="auto"/>
              <w:jc w:val="right"/>
              <w:rPr>
                <w:rFonts w:eastAsia="Times New Roman" w:cs="Times New Roman"/>
                <w:kern w:val="0"/>
                <w:sz w:val="18"/>
                <w:szCs w:val="18"/>
                <w:lang w:eastAsia="es-CO"/>
                <w14:ligatures w14:val="none"/>
              </w:rPr>
            </w:pPr>
            <w:r w:rsidRPr="00336FA0">
              <w:rPr>
                <w:rFonts w:cs="Times New Roman"/>
                <w:sz w:val="18"/>
                <w:szCs w:val="18"/>
              </w:rPr>
              <w:t>0</w:t>
            </w:r>
          </w:p>
        </w:tc>
        <w:tc>
          <w:tcPr>
            <w:tcW w:w="929" w:type="pct"/>
            <w:noWrap/>
            <w:vAlign w:val="center"/>
            <w:hideMark/>
          </w:tcPr>
          <w:p w14:paraId="67D326B8" w14:textId="77777777" w:rsidR="001A3366" w:rsidRPr="00336FA0" w:rsidRDefault="001A3366" w:rsidP="000A5389">
            <w:pPr>
              <w:spacing w:line="240" w:lineRule="auto"/>
              <w:jc w:val="right"/>
              <w:rPr>
                <w:rFonts w:eastAsia="Times New Roman" w:cs="Times New Roman"/>
                <w:kern w:val="0"/>
                <w:sz w:val="18"/>
                <w:szCs w:val="18"/>
                <w:lang w:eastAsia="es-CO"/>
                <w14:ligatures w14:val="none"/>
              </w:rPr>
            </w:pPr>
            <w:r w:rsidRPr="00336FA0">
              <w:rPr>
                <w:rFonts w:cs="Times New Roman"/>
                <w:sz w:val="18"/>
                <w:szCs w:val="18"/>
              </w:rPr>
              <w:t>31.570.981.655</w:t>
            </w:r>
          </w:p>
        </w:tc>
      </w:tr>
      <w:tr w:rsidR="007220B5" w:rsidRPr="00336FA0" w14:paraId="49CC25EC" w14:textId="77777777" w:rsidTr="00336FA0">
        <w:trPr>
          <w:trHeight w:val="555"/>
        </w:trPr>
        <w:tc>
          <w:tcPr>
            <w:tcW w:w="2269" w:type="pct"/>
            <w:vAlign w:val="center"/>
            <w:hideMark/>
          </w:tcPr>
          <w:p w14:paraId="3FB443B2" w14:textId="77777777" w:rsidR="001A3366" w:rsidRPr="00336FA0" w:rsidRDefault="001A3366" w:rsidP="000A5389">
            <w:pPr>
              <w:spacing w:line="240" w:lineRule="auto"/>
              <w:rPr>
                <w:rFonts w:eastAsia="Times New Roman" w:cs="Times New Roman"/>
                <w:kern w:val="0"/>
                <w:sz w:val="18"/>
                <w:szCs w:val="18"/>
                <w:lang w:eastAsia="es-CO"/>
                <w14:ligatures w14:val="none"/>
              </w:rPr>
            </w:pPr>
            <w:r w:rsidRPr="00336FA0">
              <w:rPr>
                <w:rFonts w:eastAsia="Times New Roman" w:cs="Times New Roman"/>
                <w:kern w:val="0"/>
                <w:sz w:val="18"/>
                <w:szCs w:val="18"/>
                <w:lang w:eastAsia="es-CO"/>
                <w14:ligatures w14:val="none"/>
              </w:rPr>
              <w:t>Sentencias, laudos arbitrales y conciliaciones extrajudiciales a favor de la entidad</w:t>
            </w:r>
          </w:p>
        </w:tc>
        <w:tc>
          <w:tcPr>
            <w:tcW w:w="873" w:type="pct"/>
            <w:noWrap/>
            <w:vAlign w:val="center"/>
            <w:hideMark/>
          </w:tcPr>
          <w:p w14:paraId="0195E4A0" w14:textId="77777777" w:rsidR="001A3366" w:rsidRPr="00336FA0" w:rsidRDefault="001A3366" w:rsidP="000A5389">
            <w:pPr>
              <w:spacing w:line="240" w:lineRule="auto"/>
              <w:jc w:val="right"/>
              <w:rPr>
                <w:rFonts w:eastAsia="Times New Roman" w:cs="Times New Roman"/>
                <w:kern w:val="0"/>
                <w:sz w:val="18"/>
                <w:szCs w:val="18"/>
                <w:lang w:eastAsia="es-CO"/>
                <w14:ligatures w14:val="none"/>
              </w:rPr>
            </w:pPr>
            <w:r w:rsidRPr="00336FA0">
              <w:rPr>
                <w:rFonts w:cs="Times New Roman"/>
                <w:sz w:val="18"/>
                <w:szCs w:val="18"/>
              </w:rPr>
              <w:t>17.925.538</w:t>
            </w:r>
          </w:p>
        </w:tc>
        <w:tc>
          <w:tcPr>
            <w:tcW w:w="929" w:type="pct"/>
            <w:noWrap/>
            <w:vAlign w:val="center"/>
          </w:tcPr>
          <w:p w14:paraId="6E70833F" w14:textId="77777777" w:rsidR="001A3366" w:rsidRPr="00336FA0" w:rsidRDefault="001A3366" w:rsidP="000A5389">
            <w:pPr>
              <w:spacing w:line="240" w:lineRule="auto"/>
              <w:jc w:val="right"/>
              <w:rPr>
                <w:rFonts w:eastAsia="Times New Roman" w:cs="Times New Roman"/>
                <w:kern w:val="0"/>
                <w:sz w:val="18"/>
                <w:szCs w:val="18"/>
                <w:lang w:eastAsia="es-CO"/>
                <w14:ligatures w14:val="none"/>
              </w:rPr>
            </w:pPr>
            <w:r w:rsidRPr="00336FA0">
              <w:rPr>
                <w:rFonts w:cs="Times New Roman"/>
                <w:sz w:val="18"/>
                <w:szCs w:val="18"/>
              </w:rPr>
              <w:t>0</w:t>
            </w:r>
          </w:p>
        </w:tc>
        <w:tc>
          <w:tcPr>
            <w:tcW w:w="929" w:type="pct"/>
            <w:noWrap/>
            <w:vAlign w:val="center"/>
            <w:hideMark/>
          </w:tcPr>
          <w:p w14:paraId="6D67FFC5" w14:textId="77777777" w:rsidR="001A3366" w:rsidRPr="00336FA0" w:rsidRDefault="001A3366" w:rsidP="000A5389">
            <w:pPr>
              <w:spacing w:line="240" w:lineRule="auto"/>
              <w:jc w:val="right"/>
              <w:rPr>
                <w:rFonts w:eastAsia="Times New Roman" w:cs="Times New Roman"/>
                <w:kern w:val="0"/>
                <w:sz w:val="18"/>
                <w:szCs w:val="18"/>
                <w:lang w:eastAsia="es-CO"/>
                <w14:ligatures w14:val="none"/>
              </w:rPr>
            </w:pPr>
            <w:r w:rsidRPr="00336FA0">
              <w:rPr>
                <w:rFonts w:cs="Times New Roman"/>
                <w:sz w:val="18"/>
                <w:szCs w:val="18"/>
              </w:rPr>
              <w:t>17.925.538</w:t>
            </w:r>
          </w:p>
        </w:tc>
      </w:tr>
      <w:tr w:rsidR="007220B5" w:rsidRPr="00336FA0" w14:paraId="1FA7484F" w14:textId="77777777" w:rsidTr="00336FA0">
        <w:trPr>
          <w:trHeight w:val="278"/>
        </w:trPr>
        <w:tc>
          <w:tcPr>
            <w:tcW w:w="2269" w:type="pct"/>
            <w:vAlign w:val="center"/>
            <w:hideMark/>
          </w:tcPr>
          <w:p w14:paraId="37D7A43A" w14:textId="77777777" w:rsidR="001A3366" w:rsidRPr="00336FA0" w:rsidRDefault="001A3366" w:rsidP="000A5389">
            <w:pPr>
              <w:spacing w:line="240" w:lineRule="auto"/>
              <w:rPr>
                <w:rFonts w:eastAsia="Times New Roman" w:cs="Times New Roman"/>
                <w:kern w:val="0"/>
                <w:sz w:val="18"/>
                <w:szCs w:val="18"/>
                <w:lang w:eastAsia="es-CO"/>
                <w14:ligatures w14:val="none"/>
              </w:rPr>
            </w:pPr>
            <w:r w:rsidRPr="00336FA0">
              <w:rPr>
                <w:rFonts w:eastAsia="Times New Roman" w:cs="Times New Roman"/>
                <w:kern w:val="0"/>
                <w:sz w:val="18"/>
                <w:szCs w:val="18"/>
                <w:lang w:eastAsia="es-CO"/>
                <w14:ligatures w14:val="none"/>
              </w:rPr>
              <w:t>Otras cuentas por cobrar</w:t>
            </w:r>
          </w:p>
        </w:tc>
        <w:tc>
          <w:tcPr>
            <w:tcW w:w="873" w:type="pct"/>
            <w:noWrap/>
            <w:vAlign w:val="center"/>
            <w:hideMark/>
          </w:tcPr>
          <w:p w14:paraId="66C42893" w14:textId="77777777" w:rsidR="001A3366" w:rsidRPr="00336FA0" w:rsidRDefault="001A3366" w:rsidP="000A5389">
            <w:pPr>
              <w:spacing w:line="240" w:lineRule="auto"/>
              <w:jc w:val="right"/>
              <w:rPr>
                <w:rFonts w:eastAsia="Times New Roman" w:cs="Times New Roman"/>
                <w:kern w:val="0"/>
                <w:sz w:val="18"/>
                <w:szCs w:val="18"/>
                <w:lang w:eastAsia="es-CO"/>
                <w14:ligatures w14:val="none"/>
              </w:rPr>
            </w:pPr>
            <w:r w:rsidRPr="00336FA0">
              <w:rPr>
                <w:rFonts w:cs="Times New Roman"/>
                <w:sz w:val="18"/>
                <w:szCs w:val="18"/>
              </w:rPr>
              <w:t>38.536.698</w:t>
            </w:r>
          </w:p>
        </w:tc>
        <w:tc>
          <w:tcPr>
            <w:tcW w:w="929" w:type="pct"/>
            <w:noWrap/>
            <w:vAlign w:val="center"/>
          </w:tcPr>
          <w:p w14:paraId="0E5571A3" w14:textId="77777777" w:rsidR="001A3366" w:rsidRPr="00336FA0" w:rsidRDefault="001A3366" w:rsidP="000A5389">
            <w:pPr>
              <w:spacing w:line="240" w:lineRule="auto"/>
              <w:jc w:val="right"/>
              <w:rPr>
                <w:rFonts w:eastAsia="Times New Roman" w:cs="Times New Roman"/>
                <w:kern w:val="0"/>
                <w:sz w:val="18"/>
                <w:szCs w:val="18"/>
                <w:lang w:eastAsia="es-CO"/>
                <w14:ligatures w14:val="none"/>
              </w:rPr>
            </w:pPr>
            <w:r w:rsidRPr="00336FA0">
              <w:rPr>
                <w:rFonts w:cs="Times New Roman"/>
                <w:sz w:val="18"/>
                <w:szCs w:val="18"/>
              </w:rPr>
              <w:t>0,00</w:t>
            </w:r>
          </w:p>
        </w:tc>
        <w:tc>
          <w:tcPr>
            <w:tcW w:w="929" w:type="pct"/>
            <w:noWrap/>
            <w:vAlign w:val="center"/>
            <w:hideMark/>
          </w:tcPr>
          <w:p w14:paraId="7EF532B5" w14:textId="77777777" w:rsidR="001A3366" w:rsidRPr="00336FA0" w:rsidRDefault="001A3366" w:rsidP="000A5389">
            <w:pPr>
              <w:spacing w:line="240" w:lineRule="auto"/>
              <w:jc w:val="right"/>
              <w:rPr>
                <w:rFonts w:eastAsia="Times New Roman" w:cs="Times New Roman"/>
                <w:kern w:val="0"/>
                <w:sz w:val="18"/>
                <w:szCs w:val="18"/>
                <w:lang w:eastAsia="es-CO"/>
                <w14:ligatures w14:val="none"/>
              </w:rPr>
            </w:pPr>
            <w:r w:rsidRPr="00336FA0">
              <w:rPr>
                <w:rFonts w:cs="Times New Roman"/>
                <w:sz w:val="18"/>
                <w:szCs w:val="18"/>
              </w:rPr>
              <w:t>38.536.698</w:t>
            </w:r>
          </w:p>
        </w:tc>
      </w:tr>
    </w:tbl>
    <w:p w14:paraId="6F8DD098" w14:textId="77777777" w:rsidR="001A3366" w:rsidRPr="00951AB1" w:rsidRDefault="001A3366" w:rsidP="000A5389">
      <w:pPr>
        <w:spacing w:line="240" w:lineRule="auto"/>
        <w:rPr>
          <w:rFonts w:cs="Times New Roman"/>
          <w:sz w:val="16"/>
          <w:szCs w:val="16"/>
        </w:rPr>
      </w:pPr>
      <w:r w:rsidRPr="00951AB1">
        <w:rPr>
          <w:rFonts w:cs="Times New Roman"/>
          <w:sz w:val="16"/>
          <w:szCs w:val="16"/>
        </w:rPr>
        <w:t>Cifras en pesos</w:t>
      </w:r>
    </w:p>
    <w:p w14:paraId="015AEF9F" w14:textId="77777777" w:rsidR="008E133C" w:rsidRPr="00951AB1" w:rsidRDefault="008E133C" w:rsidP="000A5389">
      <w:pPr>
        <w:spacing w:line="240" w:lineRule="auto"/>
        <w:rPr>
          <w:rFonts w:cs="Times New Roman"/>
          <w:sz w:val="16"/>
          <w:szCs w:val="16"/>
        </w:rPr>
      </w:pPr>
    </w:p>
    <w:p w14:paraId="3CDF9AD1" w14:textId="77777777" w:rsidR="001A3366" w:rsidRPr="00951AB1" w:rsidRDefault="001A3366" w:rsidP="000A5389">
      <w:pPr>
        <w:spacing w:line="240" w:lineRule="auto"/>
        <w:ind w:left="-20" w:right="-20"/>
        <w:rPr>
          <w:rFonts w:eastAsia="Times New Roman" w:cs="Times New Roman"/>
          <w:szCs w:val="24"/>
        </w:rPr>
      </w:pPr>
      <w:r w:rsidRPr="00951AB1">
        <w:rPr>
          <w:rFonts w:eastAsia="Times New Roman" w:cs="Times New Roman"/>
          <w:szCs w:val="24"/>
        </w:rPr>
        <w:t xml:space="preserve">En la cuenta </w:t>
      </w:r>
      <w:r w:rsidRPr="00951AB1">
        <w:rPr>
          <w:rFonts w:eastAsia="Times New Roman" w:cs="Times New Roman"/>
          <w:i/>
          <w:iCs/>
          <w:szCs w:val="24"/>
        </w:rPr>
        <w:t>Deterioro Bienes de Uso Público – Concesiones – Red de Carretera</w:t>
      </w:r>
      <w:r w:rsidRPr="00951AB1">
        <w:rPr>
          <w:rFonts w:eastAsia="Times New Roman" w:cs="Times New Roman"/>
          <w:szCs w:val="24"/>
        </w:rPr>
        <w:t>, se registró el deterior verificado de acuerdo con los indicios de deterior de valor identificados en el “</w:t>
      </w:r>
      <w:r w:rsidRPr="00951AB1">
        <w:rPr>
          <w:rFonts w:eastAsia="Times New Roman" w:cs="Times New Roman"/>
          <w:i/>
          <w:iCs/>
          <w:szCs w:val="24"/>
        </w:rPr>
        <w:t>Test de indicios de deterioro del valor de los activos asociados al modo de transporte carretero”</w:t>
      </w:r>
      <w:r w:rsidRPr="00951AB1">
        <w:rPr>
          <w:rFonts w:eastAsia="Times New Roman" w:cs="Times New Roman"/>
          <w:szCs w:val="24"/>
        </w:rPr>
        <w:t>, en el formato GADF-F-091, así:</w:t>
      </w:r>
    </w:p>
    <w:p w14:paraId="694310CD" w14:textId="77777777" w:rsidR="001A3366" w:rsidRPr="00951AB1" w:rsidRDefault="001A3366" w:rsidP="000A5389">
      <w:pPr>
        <w:pStyle w:val="Prrafodelista"/>
        <w:numPr>
          <w:ilvl w:val="0"/>
          <w:numId w:val="33"/>
        </w:numPr>
        <w:spacing w:line="240" w:lineRule="auto"/>
        <w:ind w:right="-20"/>
        <w:rPr>
          <w:rFonts w:eastAsia="Times New Roman" w:cs="Times New Roman"/>
          <w:szCs w:val="24"/>
        </w:rPr>
      </w:pPr>
      <w:r w:rsidRPr="00951AB1">
        <w:rPr>
          <w:rFonts w:eastAsia="Times New Roman" w:cs="Times New Roman"/>
          <w:szCs w:val="24"/>
        </w:rPr>
        <w:t>Registro de deterioro proyecto Nueva Malla Vial del Valle del Cauca - Accesos Cali y Palmira Contrato 001-2021 Concesionario Rutas del Valle correspondiente al puente Isaac por: $32.543.410.722</w:t>
      </w:r>
    </w:p>
    <w:p w14:paraId="4CE8703F" w14:textId="77777777" w:rsidR="001A3366" w:rsidRDefault="001A3366" w:rsidP="000A5389">
      <w:pPr>
        <w:pStyle w:val="Prrafodelista"/>
        <w:numPr>
          <w:ilvl w:val="0"/>
          <w:numId w:val="33"/>
        </w:numPr>
        <w:spacing w:line="240" w:lineRule="auto"/>
        <w:ind w:right="-20"/>
        <w:rPr>
          <w:rFonts w:eastAsia="Times New Roman" w:cs="Times New Roman"/>
          <w:szCs w:val="24"/>
        </w:rPr>
      </w:pPr>
      <w:r w:rsidRPr="00951AB1">
        <w:rPr>
          <w:rFonts w:eastAsia="Times New Roman" w:cs="Times New Roman"/>
          <w:szCs w:val="24"/>
        </w:rPr>
        <w:t>Registro de deterioro del proyecto Rumichaca Pasto CONCESIONARIA VIAL UNIÓN DEL SUR S.A.S correspondiente a la Alcantarilla en concreto tipo cajón de 3,0 m X 3,0 m y longitud de 12 m ubicada en la vía antigua la Magdalena PR51+100 por: $2.768.243.329</w:t>
      </w:r>
    </w:p>
    <w:p w14:paraId="65A66283" w14:textId="77777777" w:rsidR="008C1734" w:rsidRPr="00951AB1" w:rsidRDefault="008C1734" w:rsidP="008C1734">
      <w:pPr>
        <w:pStyle w:val="Prrafodelista"/>
        <w:spacing w:line="240" w:lineRule="auto"/>
        <w:ind w:left="360" w:right="-20"/>
        <w:rPr>
          <w:rFonts w:eastAsia="Times New Roman" w:cs="Times New Roman"/>
          <w:szCs w:val="24"/>
        </w:rPr>
      </w:pPr>
    </w:p>
    <w:p w14:paraId="0C2710AF" w14:textId="7C7185E8" w:rsidR="001A3366" w:rsidRDefault="001A3366" w:rsidP="000A5389">
      <w:pPr>
        <w:spacing w:line="240" w:lineRule="auto"/>
        <w:ind w:left="-20" w:right="-20"/>
        <w:rPr>
          <w:rFonts w:eastAsia="Times New Roman" w:cs="Times New Roman"/>
          <w:szCs w:val="24"/>
        </w:rPr>
      </w:pPr>
      <w:r w:rsidRPr="00951AB1">
        <w:rPr>
          <w:rFonts w:eastAsia="Times New Roman" w:cs="Times New Roman"/>
          <w:szCs w:val="24"/>
        </w:rPr>
        <w:t xml:space="preserve">En la cuenta </w:t>
      </w:r>
      <w:r w:rsidRPr="00951AB1">
        <w:rPr>
          <w:rFonts w:eastAsia="Times New Roman" w:cs="Times New Roman"/>
          <w:i/>
          <w:iCs/>
          <w:szCs w:val="24"/>
        </w:rPr>
        <w:t>Deterioro de cuentas por cobrar</w:t>
      </w:r>
      <w:r w:rsidRPr="00951AB1">
        <w:rPr>
          <w:rFonts w:eastAsia="Times New Roman" w:cs="Times New Roman"/>
          <w:szCs w:val="24"/>
        </w:rPr>
        <w:t xml:space="preserve"> se registró, en el 2025, los deterioros realizados de acuerdo con el test de comprobación de factores de riesgos externo de las cuentas por cobrar enviado por el GIT de Defensa judicial, en el formato GADF-F-100, y de los cuales su factor de recuperación de cartera es menor al 75%. a continuación, se detalla por subcuenta y tercero</w:t>
      </w:r>
      <w:r w:rsidR="00B51CEC" w:rsidRPr="00951AB1">
        <w:rPr>
          <w:rFonts w:eastAsia="Times New Roman" w:cs="Times New Roman"/>
          <w:szCs w:val="24"/>
        </w:rPr>
        <w:t>:</w:t>
      </w:r>
    </w:p>
    <w:p w14:paraId="11B4EEC0" w14:textId="77777777" w:rsidR="008C1734" w:rsidRPr="00951AB1" w:rsidRDefault="008C1734" w:rsidP="000A5389">
      <w:pPr>
        <w:spacing w:line="240" w:lineRule="auto"/>
        <w:ind w:left="-20" w:right="-20"/>
        <w:rPr>
          <w:rFonts w:eastAsia="Times New Roman" w:cs="Times New Roman"/>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609"/>
        <w:gridCol w:w="3642"/>
        <w:gridCol w:w="1577"/>
      </w:tblGrid>
      <w:tr w:rsidR="007220B5" w:rsidRPr="00951AB1" w14:paraId="755E55AA" w14:textId="77777777" w:rsidTr="00336FA0">
        <w:trPr>
          <w:trHeight w:val="283"/>
          <w:tblHeader/>
        </w:trPr>
        <w:tc>
          <w:tcPr>
            <w:tcW w:w="2044" w:type="pct"/>
          </w:tcPr>
          <w:p w14:paraId="30ABC400" w14:textId="1815580C" w:rsidR="003D537D" w:rsidRPr="00951AB1" w:rsidRDefault="5E4A8C5A" w:rsidP="000A5389">
            <w:pPr>
              <w:spacing w:line="240" w:lineRule="auto"/>
              <w:rPr>
                <w:rFonts w:eastAsia="Times New Roman" w:cs="Times New Roman"/>
                <w:b/>
                <w:color w:val="000000" w:themeColor="text1"/>
                <w:sz w:val="16"/>
                <w:szCs w:val="16"/>
                <w:lang w:eastAsia="es-CO"/>
              </w:rPr>
            </w:pPr>
            <w:r w:rsidRPr="5B0C84B6">
              <w:rPr>
                <w:rFonts w:eastAsia="Times New Roman" w:cs="Times New Roman"/>
                <w:b/>
                <w:bCs/>
                <w:color w:val="000000" w:themeColor="text1"/>
                <w:sz w:val="16"/>
                <w:szCs w:val="16"/>
                <w:lang w:eastAsia="es-CO"/>
              </w:rPr>
              <w:t>CONCEPTO</w:t>
            </w:r>
          </w:p>
        </w:tc>
        <w:tc>
          <w:tcPr>
            <w:tcW w:w="2063" w:type="pct"/>
            <w:noWrap/>
            <w:vAlign w:val="center"/>
            <w:hideMark/>
          </w:tcPr>
          <w:p w14:paraId="381EC33E" w14:textId="5D22F42F" w:rsidR="68B7379A" w:rsidRPr="00951AB1" w:rsidRDefault="5E4A8C5A" w:rsidP="000A5389">
            <w:pPr>
              <w:spacing w:line="240" w:lineRule="auto"/>
              <w:jc w:val="center"/>
              <w:rPr>
                <w:rFonts w:eastAsia="Times New Roman" w:cs="Times New Roman"/>
                <w:b/>
                <w:bCs/>
                <w:color w:val="000000" w:themeColor="text1"/>
                <w:sz w:val="16"/>
                <w:szCs w:val="16"/>
                <w:lang w:eastAsia="es-CO"/>
              </w:rPr>
            </w:pPr>
            <w:r w:rsidRPr="5B0C84B6">
              <w:rPr>
                <w:rFonts w:eastAsia="Times New Roman" w:cs="Times New Roman"/>
                <w:b/>
                <w:bCs/>
                <w:color w:val="000000" w:themeColor="text1"/>
                <w:sz w:val="16"/>
                <w:szCs w:val="16"/>
                <w:lang w:eastAsia="es-CO"/>
              </w:rPr>
              <w:t>ENTIDAD</w:t>
            </w:r>
          </w:p>
        </w:tc>
        <w:tc>
          <w:tcPr>
            <w:tcW w:w="893" w:type="pct"/>
            <w:noWrap/>
            <w:vAlign w:val="center"/>
            <w:hideMark/>
          </w:tcPr>
          <w:p w14:paraId="2C773CA5" w14:textId="241A00DD" w:rsidR="001A3366" w:rsidRPr="00951AB1" w:rsidRDefault="001A3366" w:rsidP="000A5389">
            <w:pPr>
              <w:spacing w:line="240" w:lineRule="auto"/>
              <w:jc w:val="right"/>
              <w:rPr>
                <w:rFonts w:eastAsia="Times New Roman" w:cs="Times New Roman"/>
                <w:b/>
                <w:bCs/>
                <w:color w:val="000000"/>
                <w:kern w:val="0"/>
                <w:sz w:val="16"/>
                <w:szCs w:val="16"/>
                <w:lang w:eastAsia="es-CO"/>
                <w14:ligatures w14:val="none"/>
              </w:rPr>
            </w:pPr>
            <w:r w:rsidRPr="00951AB1">
              <w:rPr>
                <w:rFonts w:eastAsia="Times New Roman" w:cs="Times New Roman"/>
                <w:b/>
                <w:bCs/>
                <w:color w:val="000000"/>
                <w:kern w:val="0"/>
                <w:sz w:val="16"/>
                <w:szCs w:val="16"/>
                <w:lang w:eastAsia="es-CO"/>
                <w14:ligatures w14:val="none"/>
              </w:rPr>
              <w:t>SALDO</w:t>
            </w:r>
          </w:p>
        </w:tc>
      </w:tr>
      <w:tr w:rsidR="007220B5" w:rsidRPr="00951AB1" w14:paraId="0B608913" w14:textId="77777777" w:rsidTr="00336FA0">
        <w:trPr>
          <w:trHeight w:val="283"/>
        </w:trPr>
        <w:tc>
          <w:tcPr>
            <w:tcW w:w="2044" w:type="pct"/>
            <w:vMerge w:val="restart"/>
            <w:vAlign w:val="center"/>
            <w:hideMark/>
          </w:tcPr>
          <w:p w14:paraId="1A9D430E" w14:textId="77777777" w:rsidR="00E91D4C" w:rsidRPr="00951AB1" w:rsidRDefault="001A3366" w:rsidP="000A5389">
            <w:pPr>
              <w:spacing w:line="240" w:lineRule="auto"/>
              <w:rPr>
                <w:rFonts w:eastAsia="Times New Roman" w:cs="Times New Roman"/>
                <w:color w:val="000000"/>
                <w:kern w:val="0"/>
                <w:sz w:val="16"/>
                <w:szCs w:val="16"/>
                <w:lang w:eastAsia="es-CO"/>
                <w14:ligatures w14:val="none"/>
              </w:rPr>
            </w:pPr>
            <w:r w:rsidRPr="00951AB1">
              <w:rPr>
                <w:rFonts w:eastAsia="Times New Roman" w:cs="Times New Roman"/>
                <w:color w:val="000000"/>
                <w:kern w:val="0"/>
                <w:sz w:val="16"/>
                <w:szCs w:val="16"/>
                <w:lang w:eastAsia="es-CO"/>
                <w14:ligatures w14:val="none"/>
              </w:rPr>
              <w:t xml:space="preserve">Contribuciones, tasas e ingresos no tributarios </w:t>
            </w:r>
          </w:p>
          <w:p w14:paraId="3F093ECA" w14:textId="2ADBC3EC" w:rsidR="001A3366" w:rsidRPr="00951AB1" w:rsidRDefault="00E91D4C" w:rsidP="000A5389">
            <w:pPr>
              <w:spacing w:line="240" w:lineRule="auto"/>
              <w:rPr>
                <w:rFonts w:eastAsia="Times New Roman" w:cs="Times New Roman"/>
                <w:color w:val="000000"/>
                <w:kern w:val="0"/>
                <w:sz w:val="16"/>
                <w:szCs w:val="16"/>
                <w:lang w:eastAsia="es-CO"/>
                <w14:ligatures w14:val="none"/>
              </w:rPr>
            </w:pPr>
            <w:r w:rsidRPr="00951AB1">
              <w:rPr>
                <w:rFonts w:eastAsia="Times New Roman" w:cs="Times New Roman"/>
                <w:color w:val="000000"/>
                <w:kern w:val="0"/>
                <w:sz w:val="16"/>
                <w:szCs w:val="16"/>
                <w:lang w:eastAsia="es-CO"/>
                <w14:ligatures w14:val="none"/>
              </w:rPr>
              <w:t xml:space="preserve"> </w:t>
            </w:r>
          </w:p>
        </w:tc>
        <w:tc>
          <w:tcPr>
            <w:tcW w:w="2063" w:type="pct"/>
            <w:vAlign w:val="center"/>
            <w:hideMark/>
          </w:tcPr>
          <w:p w14:paraId="7075EF00" w14:textId="77777777" w:rsidR="001A3366" w:rsidRPr="00951AB1" w:rsidRDefault="001A3366" w:rsidP="000A5389">
            <w:pPr>
              <w:spacing w:line="240" w:lineRule="auto"/>
              <w:rPr>
                <w:rFonts w:eastAsia="Times New Roman" w:cs="Times New Roman"/>
                <w:color w:val="000000"/>
                <w:kern w:val="0"/>
                <w:sz w:val="16"/>
                <w:szCs w:val="16"/>
                <w:lang w:eastAsia="es-CO"/>
                <w14:ligatures w14:val="none"/>
              </w:rPr>
            </w:pPr>
            <w:r w:rsidRPr="00951AB1">
              <w:rPr>
                <w:rFonts w:eastAsia="Times New Roman" w:cs="Times New Roman"/>
                <w:color w:val="000000"/>
                <w:kern w:val="0"/>
                <w:sz w:val="16"/>
                <w:szCs w:val="16"/>
                <w:lang w:eastAsia="es-CO"/>
                <w14:ligatures w14:val="none"/>
              </w:rPr>
              <w:t>Sociedad Portuaria Bullpesa S. A</w:t>
            </w:r>
          </w:p>
        </w:tc>
        <w:tc>
          <w:tcPr>
            <w:tcW w:w="893" w:type="pct"/>
            <w:vAlign w:val="center"/>
            <w:hideMark/>
          </w:tcPr>
          <w:p w14:paraId="775ED00D" w14:textId="77777777" w:rsidR="001A3366" w:rsidRPr="00951AB1" w:rsidRDefault="001A3366" w:rsidP="000A5389">
            <w:pPr>
              <w:spacing w:line="240" w:lineRule="auto"/>
              <w:jc w:val="right"/>
              <w:rPr>
                <w:rFonts w:eastAsia="Times New Roman" w:cs="Times New Roman"/>
                <w:color w:val="000000"/>
                <w:kern w:val="0"/>
                <w:sz w:val="16"/>
                <w:szCs w:val="16"/>
                <w:lang w:eastAsia="es-CO"/>
                <w14:ligatures w14:val="none"/>
              </w:rPr>
            </w:pPr>
            <w:r w:rsidRPr="00951AB1">
              <w:rPr>
                <w:rFonts w:cs="Times New Roman"/>
                <w:sz w:val="16"/>
                <w:szCs w:val="16"/>
              </w:rPr>
              <w:t>31.401.780.644</w:t>
            </w:r>
          </w:p>
        </w:tc>
      </w:tr>
      <w:tr w:rsidR="007220B5" w:rsidRPr="00951AB1" w14:paraId="27537C43" w14:textId="77777777" w:rsidTr="00336FA0">
        <w:trPr>
          <w:trHeight w:val="283"/>
        </w:trPr>
        <w:tc>
          <w:tcPr>
            <w:tcW w:w="2044" w:type="pct"/>
            <w:vMerge/>
            <w:vAlign w:val="center"/>
            <w:hideMark/>
          </w:tcPr>
          <w:p w14:paraId="1177453E" w14:textId="1D856C50" w:rsidR="001A3366" w:rsidRPr="00951AB1" w:rsidRDefault="001A3366" w:rsidP="000A5389">
            <w:pPr>
              <w:spacing w:line="240" w:lineRule="auto"/>
              <w:rPr>
                <w:rFonts w:eastAsia="Times New Roman" w:cs="Times New Roman"/>
                <w:color w:val="000000"/>
                <w:kern w:val="0"/>
                <w:sz w:val="16"/>
                <w:szCs w:val="16"/>
                <w:lang w:eastAsia="es-CO"/>
                <w14:ligatures w14:val="none"/>
              </w:rPr>
            </w:pPr>
          </w:p>
        </w:tc>
        <w:tc>
          <w:tcPr>
            <w:tcW w:w="2063" w:type="pct"/>
            <w:vAlign w:val="center"/>
            <w:hideMark/>
          </w:tcPr>
          <w:p w14:paraId="77680CBE" w14:textId="77777777" w:rsidR="001A3366" w:rsidRPr="00951AB1" w:rsidRDefault="001A3366" w:rsidP="000A5389">
            <w:pPr>
              <w:spacing w:line="240" w:lineRule="auto"/>
              <w:rPr>
                <w:rFonts w:eastAsia="Times New Roman" w:cs="Times New Roman"/>
                <w:color w:val="000000"/>
                <w:kern w:val="0"/>
                <w:sz w:val="16"/>
                <w:szCs w:val="16"/>
                <w:lang w:eastAsia="es-CO"/>
                <w14:ligatures w14:val="none"/>
              </w:rPr>
            </w:pPr>
            <w:r w:rsidRPr="00951AB1">
              <w:rPr>
                <w:rFonts w:eastAsia="Times New Roman" w:cs="Times New Roman"/>
                <w:color w:val="000000"/>
                <w:kern w:val="0"/>
                <w:sz w:val="16"/>
                <w:szCs w:val="16"/>
                <w:lang w:eastAsia="es-CO"/>
                <w14:ligatures w14:val="none"/>
              </w:rPr>
              <w:t>Julio Cesar Arango Garces</w:t>
            </w:r>
          </w:p>
        </w:tc>
        <w:tc>
          <w:tcPr>
            <w:tcW w:w="893" w:type="pct"/>
            <w:vAlign w:val="center"/>
            <w:hideMark/>
          </w:tcPr>
          <w:p w14:paraId="6DBDD9A5" w14:textId="77777777" w:rsidR="001A3366" w:rsidRPr="00951AB1" w:rsidRDefault="001A3366" w:rsidP="000A5389">
            <w:pPr>
              <w:spacing w:line="240" w:lineRule="auto"/>
              <w:jc w:val="right"/>
              <w:rPr>
                <w:rFonts w:eastAsia="Times New Roman" w:cs="Times New Roman"/>
                <w:color w:val="000000"/>
                <w:kern w:val="0"/>
                <w:sz w:val="16"/>
                <w:szCs w:val="16"/>
                <w:lang w:eastAsia="es-CO"/>
                <w14:ligatures w14:val="none"/>
              </w:rPr>
            </w:pPr>
            <w:r w:rsidRPr="00951AB1">
              <w:rPr>
                <w:rFonts w:cs="Times New Roman"/>
                <w:sz w:val="16"/>
                <w:szCs w:val="16"/>
              </w:rPr>
              <w:t>52.931.561</w:t>
            </w:r>
          </w:p>
        </w:tc>
      </w:tr>
      <w:tr w:rsidR="007220B5" w:rsidRPr="00951AB1" w14:paraId="14F3A135" w14:textId="77777777" w:rsidTr="00336FA0">
        <w:trPr>
          <w:trHeight w:val="283"/>
        </w:trPr>
        <w:tc>
          <w:tcPr>
            <w:tcW w:w="2044" w:type="pct"/>
            <w:vMerge/>
            <w:vAlign w:val="center"/>
            <w:hideMark/>
          </w:tcPr>
          <w:p w14:paraId="48D2F0C7" w14:textId="26B025AF" w:rsidR="001A3366" w:rsidRPr="00951AB1" w:rsidRDefault="001A3366" w:rsidP="000A5389">
            <w:pPr>
              <w:spacing w:line="240" w:lineRule="auto"/>
              <w:rPr>
                <w:rFonts w:eastAsia="Times New Roman" w:cs="Times New Roman"/>
                <w:color w:val="000000"/>
                <w:kern w:val="0"/>
                <w:sz w:val="16"/>
                <w:szCs w:val="16"/>
                <w:lang w:eastAsia="es-CO"/>
                <w14:ligatures w14:val="none"/>
              </w:rPr>
            </w:pPr>
          </w:p>
        </w:tc>
        <w:tc>
          <w:tcPr>
            <w:tcW w:w="2063" w:type="pct"/>
            <w:vAlign w:val="center"/>
            <w:hideMark/>
          </w:tcPr>
          <w:p w14:paraId="494A661E" w14:textId="77777777" w:rsidR="001A3366" w:rsidRPr="00951AB1" w:rsidRDefault="001A3366" w:rsidP="000A5389">
            <w:pPr>
              <w:spacing w:line="240" w:lineRule="auto"/>
              <w:rPr>
                <w:rFonts w:eastAsia="Times New Roman" w:cs="Times New Roman"/>
                <w:color w:val="000000"/>
                <w:kern w:val="0"/>
                <w:sz w:val="16"/>
                <w:szCs w:val="16"/>
                <w:lang w:eastAsia="es-CO"/>
                <w14:ligatures w14:val="none"/>
              </w:rPr>
            </w:pPr>
            <w:r w:rsidRPr="00951AB1">
              <w:rPr>
                <w:rFonts w:eastAsia="Times New Roman" w:cs="Times New Roman"/>
                <w:color w:val="000000"/>
                <w:kern w:val="0"/>
                <w:sz w:val="16"/>
                <w:szCs w:val="16"/>
                <w:lang w:eastAsia="es-CO"/>
                <w14:ligatures w14:val="none"/>
              </w:rPr>
              <w:t>Sociedad Portuaria Puerto Hondo S.A.</w:t>
            </w:r>
          </w:p>
        </w:tc>
        <w:tc>
          <w:tcPr>
            <w:tcW w:w="893" w:type="pct"/>
            <w:vAlign w:val="center"/>
            <w:hideMark/>
          </w:tcPr>
          <w:p w14:paraId="463C5E1F" w14:textId="77777777" w:rsidR="001A3366" w:rsidRPr="00951AB1" w:rsidRDefault="001A3366" w:rsidP="000A5389">
            <w:pPr>
              <w:spacing w:line="240" w:lineRule="auto"/>
              <w:jc w:val="right"/>
              <w:rPr>
                <w:rFonts w:eastAsia="Times New Roman" w:cs="Times New Roman"/>
                <w:color w:val="000000"/>
                <w:kern w:val="0"/>
                <w:sz w:val="16"/>
                <w:szCs w:val="16"/>
                <w:lang w:eastAsia="es-CO"/>
                <w14:ligatures w14:val="none"/>
              </w:rPr>
            </w:pPr>
            <w:r w:rsidRPr="00951AB1">
              <w:rPr>
                <w:rFonts w:cs="Times New Roman"/>
                <w:sz w:val="16"/>
                <w:szCs w:val="16"/>
              </w:rPr>
              <w:t>42.653.802</w:t>
            </w:r>
          </w:p>
        </w:tc>
      </w:tr>
      <w:tr w:rsidR="003426DD" w:rsidRPr="00951AB1" w14:paraId="4D114EF1" w14:textId="77777777" w:rsidTr="00336FA0">
        <w:trPr>
          <w:trHeight w:val="283"/>
        </w:trPr>
        <w:tc>
          <w:tcPr>
            <w:tcW w:w="2044" w:type="pct"/>
            <w:vAlign w:val="center"/>
            <w:hideMark/>
          </w:tcPr>
          <w:p w14:paraId="617C2ED7" w14:textId="77777777" w:rsidR="001A3366" w:rsidRPr="00951AB1" w:rsidRDefault="001A3366" w:rsidP="000A5389">
            <w:pPr>
              <w:spacing w:line="240" w:lineRule="auto"/>
              <w:rPr>
                <w:rFonts w:eastAsia="Times New Roman" w:cs="Times New Roman"/>
                <w:color w:val="000000"/>
                <w:kern w:val="0"/>
                <w:sz w:val="16"/>
                <w:szCs w:val="16"/>
                <w:lang w:eastAsia="es-CO"/>
                <w14:ligatures w14:val="none"/>
              </w:rPr>
            </w:pPr>
            <w:r w:rsidRPr="00951AB1">
              <w:rPr>
                <w:rFonts w:eastAsia="Times New Roman" w:cs="Times New Roman"/>
                <w:color w:val="000000"/>
                <w:kern w:val="0"/>
                <w:sz w:val="16"/>
                <w:szCs w:val="16"/>
                <w:lang w:eastAsia="es-CO"/>
                <w14:ligatures w14:val="none"/>
              </w:rPr>
              <w:t xml:space="preserve">Otras cuentas por cobrar </w:t>
            </w:r>
          </w:p>
        </w:tc>
        <w:tc>
          <w:tcPr>
            <w:tcW w:w="2063" w:type="pct"/>
            <w:vAlign w:val="center"/>
            <w:hideMark/>
          </w:tcPr>
          <w:p w14:paraId="38D97A91" w14:textId="77777777" w:rsidR="001A3366" w:rsidRPr="00951AB1" w:rsidRDefault="001A3366" w:rsidP="000A5389">
            <w:pPr>
              <w:spacing w:line="240" w:lineRule="auto"/>
              <w:rPr>
                <w:rFonts w:eastAsia="Times New Roman" w:cs="Times New Roman"/>
                <w:color w:val="000000"/>
                <w:kern w:val="0"/>
                <w:sz w:val="16"/>
                <w:szCs w:val="16"/>
                <w:lang w:eastAsia="es-CO"/>
                <w14:ligatures w14:val="none"/>
              </w:rPr>
            </w:pPr>
            <w:r w:rsidRPr="00951AB1">
              <w:rPr>
                <w:rFonts w:eastAsia="Times New Roman" w:cs="Times New Roman"/>
                <w:color w:val="000000"/>
                <w:kern w:val="0"/>
                <w:sz w:val="16"/>
                <w:szCs w:val="16"/>
                <w:lang w:eastAsia="es-CO"/>
                <w14:ligatures w14:val="none"/>
              </w:rPr>
              <w:t>Hospital Santa Catalina E.S.E.</w:t>
            </w:r>
          </w:p>
        </w:tc>
        <w:tc>
          <w:tcPr>
            <w:tcW w:w="893" w:type="pct"/>
            <w:vAlign w:val="center"/>
            <w:hideMark/>
          </w:tcPr>
          <w:p w14:paraId="0A3FCFBD" w14:textId="77777777" w:rsidR="001A3366" w:rsidRPr="00951AB1" w:rsidRDefault="001A3366" w:rsidP="000A5389">
            <w:pPr>
              <w:spacing w:line="240" w:lineRule="auto"/>
              <w:jc w:val="right"/>
              <w:rPr>
                <w:rFonts w:eastAsia="Times New Roman" w:cs="Times New Roman"/>
                <w:color w:val="000000"/>
                <w:kern w:val="0"/>
                <w:sz w:val="16"/>
                <w:szCs w:val="16"/>
                <w:lang w:eastAsia="es-CO"/>
                <w14:ligatures w14:val="none"/>
              </w:rPr>
            </w:pPr>
            <w:r w:rsidRPr="00951AB1">
              <w:rPr>
                <w:rFonts w:cs="Times New Roman"/>
                <w:sz w:val="16"/>
                <w:szCs w:val="16"/>
              </w:rPr>
              <w:t>32.018.121</w:t>
            </w:r>
          </w:p>
        </w:tc>
      </w:tr>
      <w:tr w:rsidR="003426DD" w:rsidRPr="00951AB1" w14:paraId="614B9C2E" w14:textId="77777777" w:rsidTr="00336FA0">
        <w:trPr>
          <w:trHeight w:val="283"/>
        </w:trPr>
        <w:tc>
          <w:tcPr>
            <w:tcW w:w="2044" w:type="pct"/>
            <w:vAlign w:val="center"/>
            <w:hideMark/>
          </w:tcPr>
          <w:p w14:paraId="2C0E3FC1" w14:textId="77777777" w:rsidR="001A3366" w:rsidRPr="00951AB1" w:rsidRDefault="001A3366" w:rsidP="000A5389">
            <w:pPr>
              <w:spacing w:line="240" w:lineRule="auto"/>
              <w:rPr>
                <w:rFonts w:eastAsia="Times New Roman" w:cs="Times New Roman"/>
                <w:color w:val="000000"/>
                <w:kern w:val="0"/>
                <w:sz w:val="16"/>
                <w:szCs w:val="16"/>
                <w:lang w:eastAsia="es-CO"/>
                <w14:ligatures w14:val="none"/>
              </w:rPr>
            </w:pPr>
            <w:r w:rsidRPr="00951AB1">
              <w:rPr>
                <w:rFonts w:eastAsia="Times New Roman" w:cs="Times New Roman"/>
                <w:color w:val="000000"/>
                <w:kern w:val="0"/>
                <w:sz w:val="16"/>
                <w:szCs w:val="16"/>
                <w:lang w:eastAsia="es-CO"/>
                <w14:ligatures w14:val="none"/>
              </w:rPr>
              <w:t xml:space="preserve">Contribuciones, tasas e ingresos no tributarios </w:t>
            </w:r>
          </w:p>
        </w:tc>
        <w:tc>
          <w:tcPr>
            <w:tcW w:w="2063" w:type="pct"/>
            <w:vAlign w:val="center"/>
            <w:hideMark/>
          </w:tcPr>
          <w:p w14:paraId="47BEDC4A" w14:textId="77777777" w:rsidR="001A3366" w:rsidRPr="00951AB1" w:rsidRDefault="001A3366" w:rsidP="000A5389">
            <w:pPr>
              <w:spacing w:line="240" w:lineRule="auto"/>
              <w:rPr>
                <w:rFonts w:eastAsia="Times New Roman" w:cs="Times New Roman"/>
                <w:color w:val="000000"/>
                <w:kern w:val="0"/>
                <w:sz w:val="16"/>
                <w:szCs w:val="16"/>
                <w:lang w:eastAsia="es-CO"/>
                <w14:ligatures w14:val="none"/>
              </w:rPr>
            </w:pPr>
            <w:r w:rsidRPr="00951AB1">
              <w:rPr>
                <w:rFonts w:eastAsia="Times New Roman" w:cs="Times New Roman"/>
                <w:color w:val="000000"/>
                <w:kern w:val="0"/>
                <w:sz w:val="16"/>
                <w:szCs w:val="16"/>
                <w:lang w:eastAsia="es-CO"/>
                <w14:ligatures w14:val="none"/>
              </w:rPr>
              <w:t>Concesionaria Vial De Los Andes S.A.S. Coviandes S.A.S.</w:t>
            </w:r>
          </w:p>
        </w:tc>
        <w:tc>
          <w:tcPr>
            <w:tcW w:w="893" w:type="pct"/>
            <w:vAlign w:val="center"/>
            <w:hideMark/>
          </w:tcPr>
          <w:p w14:paraId="0015D9A7" w14:textId="77777777" w:rsidR="001A3366" w:rsidRPr="00951AB1" w:rsidRDefault="001A3366" w:rsidP="000A5389">
            <w:pPr>
              <w:spacing w:line="240" w:lineRule="auto"/>
              <w:jc w:val="right"/>
              <w:rPr>
                <w:rFonts w:eastAsia="Times New Roman" w:cs="Times New Roman"/>
                <w:color w:val="000000"/>
                <w:kern w:val="0"/>
                <w:sz w:val="16"/>
                <w:szCs w:val="16"/>
                <w:lang w:eastAsia="es-CO"/>
                <w14:ligatures w14:val="none"/>
              </w:rPr>
            </w:pPr>
            <w:r w:rsidRPr="00951AB1">
              <w:rPr>
                <w:rFonts w:cs="Times New Roman"/>
                <w:sz w:val="16"/>
                <w:szCs w:val="16"/>
              </w:rPr>
              <w:t>17.153.411</w:t>
            </w:r>
          </w:p>
        </w:tc>
      </w:tr>
      <w:tr w:rsidR="003426DD" w:rsidRPr="00951AB1" w14:paraId="2B5724E2" w14:textId="77777777" w:rsidTr="00336FA0">
        <w:trPr>
          <w:trHeight w:val="283"/>
        </w:trPr>
        <w:tc>
          <w:tcPr>
            <w:tcW w:w="2044" w:type="pct"/>
            <w:vAlign w:val="center"/>
            <w:hideMark/>
          </w:tcPr>
          <w:p w14:paraId="2CB3799D" w14:textId="77777777" w:rsidR="001A3366" w:rsidRPr="00951AB1" w:rsidRDefault="001A3366" w:rsidP="000A5389">
            <w:pPr>
              <w:spacing w:line="240" w:lineRule="auto"/>
              <w:rPr>
                <w:rFonts w:eastAsia="Times New Roman" w:cs="Times New Roman"/>
                <w:color w:val="000000"/>
                <w:kern w:val="0"/>
                <w:sz w:val="16"/>
                <w:szCs w:val="16"/>
                <w:lang w:eastAsia="es-CO"/>
                <w14:ligatures w14:val="none"/>
              </w:rPr>
            </w:pPr>
            <w:r w:rsidRPr="00951AB1">
              <w:rPr>
                <w:rFonts w:eastAsia="Times New Roman" w:cs="Times New Roman"/>
                <w:color w:val="000000"/>
                <w:kern w:val="0"/>
                <w:sz w:val="16"/>
                <w:szCs w:val="16"/>
                <w:lang w:eastAsia="es-CO"/>
                <w14:ligatures w14:val="none"/>
              </w:rPr>
              <w:lastRenderedPageBreak/>
              <w:t xml:space="preserve">Otras cuentas por cobrar </w:t>
            </w:r>
          </w:p>
        </w:tc>
        <w:tc>
          <w:tcPr>
            <w:tcW w:w="2063" w:type="pct"/>
            <w:vAlign w:val="center"/>
            <w:hideMark/>
          </w:tcPr>
          <w:p w14:paraId="3BE49B11" w14:textId="77777777" w:rsidR="001A3366" w:rsidRPr="00951AB1" w:rsidRDefault="001A3366" w:rsidP="000A5389">
            <w:pPr>
              <w:spacing w:line="240" w:lineRule="auto"/>
              <w:rPr>
                <w:rFonts w:eastAsia="Times New Roman" w:cs="Times New Roman"/>
                <w:color w:val="000000"/>
                <w:kern w:val="0"/>
                <w:sz w:val="16"/>
                <w:szCs w:val="16"/>
                <w:lang w:eastAsia="es-CO"/>
                <w14:ligatures w14:val="none"/>
              </w:rPr>
            </w:pPr>
            <w:r w:rsidRPr="00951AB1">
              <w:rPr>
                <w:rFonts w:eastAsia="Times New Roman" w:cs="Times New Roman"/>
                <w:color w:val="000000"/>
                <w:kern w:val="0"/>
                <w:sz w:val="16"/>
                <w:szCs w:val="16"/>
                <w:lang w:eastAsia="es-CO"/>
                <w14:ligatures w14:val="none"/>
              </w:rPr>
              <w:t>Ivonne De La Caridad Prada Medina</w:t>
            </w:r>
          </w:p>
        </w:tc>
        <w:tc>
          <w:tcPr>
            <w:tcW w:w="893" w:type="pct"/>
            <w:vAlign w:val="center"/>
            <w:hideMark/>
          </w:tcPr>
          <w:p w14:paraId="4C1DB936" w14:textId="77777777" w:rsidR="001A3366" w:rsidRPr="00951AB1" w:rsidRDefault="001A3366" w:rsidP="000A5389">
            <w:pPr>
              <w:spacing w:line="240" w:lineRule="auto"/>
              <w:jc w:val="right"/>
              <w:rPr>
                <w:rFonts w:eastAsia="Times New Roman" w:cs="Times New Roman"/>
                <w:color w:val="000000"/>
                <w:kern w:val="0"/>
                <w:sz w:val="16"/>
                <w:szCs w:val="16"/>
                <w:lang w:eastAsia="es-CO"/>
                <w14:ligatures w14:val="none"/>
              </w:rPr>
            </w:pPr>
            <w:r w:rsidRPr="00951AB1">
              <w:rPr>
                <w:rFonts w:cs="Times New Roman"/>
                <w:sz w:val="16"/>
                <w:szCs w:val="16"/>
              </w:rPr>
              <w:t>6.180.678</w:t>
            </w:r>
          </w:p>
        </w:tc>
      </w:tr>
      <w:tr w:rsidR="007220B5" w:rsidRPr="00951AB1" w14:paraId="656AFE49" w14:textId="77777777" w:rsidTr="00336FA0">
        <w:trPr>
          <w:trHeight w:val="283"/>
        </w:trPr>
        <w:tc>
          <w:tcPr>
            <w:tcW w:w="2044" w:type="pct"/>
            <w:vMerge w:val="restart"/>
            <w:vAlign w:val="center"/>
            <w:hideMark/>
          </w:tcPr>
          <w:p w14:paraId="285CE10E" w14:textId="77777777" w:rsidR="00E91D4C" w:rsidRPr="00951AB1" w:rsidRDefault="001A3366" w:rsidP="000A5389">
            <w:pPr>
              <w:spacing w:line="240" w:lineRule="auto"/>
              <w:rPr>
                <w:rFonts w:eastAsia="Times New Roman" w:cs="Times New Roman"/>
                <w:color w:val="000000"/>
                <w:kern w:val="0"/>
                <w:sz w:val="16"/>
                <w:szCs w:val="16"/>
                <w:lang w:eastAsia="es-CO"/>
                <w14:ligatures w14:val="none"/>
              </w:rPr>
            </w:pPr>
            <w:r w:rsidRPr="00951AB1">
              <w:rPr>
                <w:rFonts w:eastAsia="Times New Roman" w:cs="Times New Roman"/>
                <w:color w:val="000000"/>
                <w:kern w:val="0"/>
                <w:sz w:val="16"/>
                <w:szCs w:val="16"/>
                <w:lang w:eastAsia="es-CO"/>
                <w14:ligatures w14:val="none"/>
              </w:rPr>
              <w:t>Sentencias, laudos arbitrales y conciliaciones extrajudiciales a favor de la entidad</w:t>
            </w:r>
          </w:p>
          <w:p w14:paraId="492ECAE4" w14:textId="2692B3F9" w:rsidR="001A3366" w:rsidRPr="00951AB1" w:rsidRDefault="001A3366" w:rsidP="000A5389">
            <w:pPr>
              <w:spacing w:line="240" w:lineRule="auto"/>
              <w:rPr>
                <w:rFonts w:eastAsia="Times New Roman" w:cs="Times New Roman"/>
                <w:color w:val="000000"/>
                <w:kern w:val="0"/>
                <w:sz w:val="16"/>
                <w:szCs w:val="16"/>
                <w:lang w:eastAsia="es-CO"/>
                <w14:ligatures w14:val="none"/>
              </w:rPr>
            </w:pPr>
          </w:p>
        </w:tc>
        <w:tc>
          <w:tcPr>
            <w:tcW w:w="2063" w:type="pct"/>
            <w:vAlign w:val="center"/>
            <w:hideMark/>
          </w:tcPr>
          <w:p w14:paraId="2E18CFA1" w14:textId="77777777" w:rsidR="001A3366" w:rsidRPr="00951AB1" w:rsidRDefault="001A3366" w:rsidP="000A5389">
            <w:pPr>
              <w:spacing w:line="240" w:lineRule="auto"/>
              <w:rPr>
                <w:rFonts w:eastAsia="Times New Roman" w:cs="Times New Roman"/>
                <w:color w:val="000000"/>
                <w:kern w:val="0"/>
                <w:sz w:val="16"/>
                <w:szCs w:val="16"/>
                <w:lang w:eastAsia="es-CO"/>
                <w14:ligatures w14:val="none"/>
              </w:rPr>
            </w:pPr>
            <w:r w:rsidRPr="00951AB1">
              <w:rPr>
                <w:rFonts w:eastAsia="Times New Roman" w:cs="Times New Roman"/>
                <w:color w:val="000000"/>
                <w:kern w:val="0"/>
                <w:sz w:val="16"/>
                <w:szCs w:val="16"/>
                <w:lang w:eastAsia="es-CO"/>
                <w14:ligatures w14:val="none"/>
              </w:rPr>
              <w:t>Diego María López Gómez</w:t>
            </w:r>
          </w:p>
        </w:tc>
        <w:tc>
          <w:tcPr>
            <w:tcW w:w="893" w:type="pct"/>
            <w:vAlign w:val="center"/>
            <w:hideMark/>
          </w:tcPr>
          <w:p w14:paraId="08E21C79" w14:textId="77777777" w:rsidR="001A3366" w:rsidRPr="00951AB1" w:rsidRDefault="001A3366" w:rsidP="000A5389">
            <w:pPr>
              <w:spacing w:line="240" w:lineRule="auto"/>
              <w:jc w:val="right"/>
              <w:rPr>
                <w:rFonts w:eastAsia="Times New Roman" w:cs="Times New Roman"/>
                <w:color w:val="000000"/>
                <w:kern w:val="0"/>
                <w:sz w:val="16"/>
                <w:szCs w:val="16"/>
                <w:lang w:eastAsia="es-CO"/>
                <w14:ligatures w14:val="none"/>
              </w:rPr>
            </w:pPr>
            <w:r w:rsidRPr="00951AB1">
              <w:rPr>
                <w:rFonts w:cs="Times New Roman"/>
                <w:sz w:val="16"/>
                <w:szCs w:val="16"/>
              </w:rPr>
              <w:t>3.304.295</w:t>
            </w:r>
          </w:p>
        </w:tc>
      </w:tr>
      <w:tr w:rsidR="007220B5" w:rsidRPr="00951AB1" w14:paraId="1E24D2B3" w14:textId="77777777" w:rsidTr="00336FA0">
        <w:trPr>
          <w:trHeight w:val="283"/>
        </w:trPr>
        <w:tc>
          <w:tcPr>
            <w:tcW w:w="2044" w:type="pct"/>
            <w:vMerge/>
            <w:vAlign w:val="center"/>
            <w:hideMark/>
          </w:tcPr>
          <w:p w14:paraId="54AA166D" w14:textId="664E8D34" w:rsidR="001A3366" w:rsidRPr="00951AB1" w:rsidRDefault="001A3366" w:rsidP="000A5389">
            <w:pPr>
              <w:spacing w:line="240" w:lineRule="auto"/>
              <w:rPr>
                <w:rFonts w:eastAsia="Times New Roman" w:cs="Times New Roman"/>
                <w:color w:val="000000"/>
                <w:kern w:val="0"/>
                <w:sz w:val="16"/>
                <w:szCs w:val="16"/>
                <w:lang w:eastAsia="es-CO"/>
                <w14:ligatures w14:val="none"/>
              </w:rPr>
            </w:pPr>
          </w:p>
        </w:tc>
        <w:tc>
          <w:tcPr>
            <w:tcW w:w="2063" w:type="pct"/>
            <w:vAlign w:val="center"/>
            <w:hideMark/>
          </w:tcPr>
          <w:p w14:paraId="425AD241" w14:textId="77777777" w:rsidR="001A3366" w:rsidRPr="00951AB1" w:rsidRDefault="001A3366" w:rsidP="000A5389">
            <w:pPr>
              <w:spacing w:line="240" w:lineRule="auto"/>
              <w:rPr>
                <w:rFonts w:eastAsia="Times New Roman" w:cs="Times New Roman"/>
                <w:color w:val="000000"/>
                <w:kern w:val="0"/>
                <w:sz w:val="16"/>
                <w:szCs w:val="16"/>
                <w:lang w:eastAsia="es-CO"/>
                <w14:ligatures w14:val="none"/>
              </w:rPr>
            </w:pPr>
            <w:r w:rsidRPr="00951AB1">
              <w:rPr>
                <w:rFonts w:eastAsia="Times New Roman" w:cs="Times New Roman"/>
                <w:color w:val="000000"/>
                <w:kern w:val="0"/>
                <w:sz w:val="16"/>
                <w:szCs w:val="16"/>
                <w:lang w:eastAsia="es-CO"/>
                <w14:ligatures w14:val="none"/>
              </w:rPr>
              <w:t>Autopistas De La Sabana S.A.S</w:t>
            </w:r>
          </w:p>
        </w:tc>
        <w:tc>
          <w:tcPr>
            <w:tcW w:w="893" w:type="pct"/>
            <w:vAlign w:val="center"/>
            <w:hideMark/>
          </w:tcPr>
          <w:p w14:paraId="3140CDD3" w14:textId="77777777" w:rsidR="001A3366" w:rsidRPr="00951AB1" w:rsidRDefault="001A3366" w:rsidP="000A5389">
            <w:pPr>
              <w:spacing w:line="240" w:lineRule="auto"/>
              <w:jc w:val="right"/>
              <w:rPr>
                <w:rFonts w:eastAsia="Times New Roman" w:cs="Times New Roman"/>
                <w:color w:val="000000"/>
                <w:kern w:val="0"/>
                <w:sz w:val="16"/>
                <w:szCs w:val="16"/>
                <w:lang w:eastAsia="es-CO"/>
                <w14:ligatures w14:val="none"/>
              </w:rPr>
            </w:pPr>
            <w:r w:rsidRPr="00951AB1">
              <w:rPr>
                <w:rFonts w:cs="Times New Roman"/>
                <w:sz w:val="16"/>
                <w:szCs w:val="16"/>
              </w:rPr>
              <w:t>2.910.037</w:t>
            </w:r>
          </w:p>
        </w:tc>
      </w:tr>
      <w:tr w:rsidR="007220B5" w:rsidRPr="00951AB1" w14:paraId="4C5EA41B" w14:textId="77777777" w:rsidTr="00336FA0">
        <w:trPr>
          <w:trHeight w:val="283"/>
        </w:trPr>
        <w:tc>
          <w:tcPr>
            <w:tcW w:w="2044" w:type="pct"/>
            <w:vMerge/>
            <w:vAlign w:val="center"/>
            <w:hideMark/>
          </w:tcPr>
          <w:p w14:paraId="05B3D59A" w14:textId="1F24F020" w:rsidR="001A3366" w:rsidRPr="00951AB1" w:rsidRDefault="001A3366" w:rsidP="000A5389">
            <w:pPr>
              <w:spacing w:line="240" w:lineRule="auto"/>
              <w:rPr>
                <w:rFonts w:eastAsia="Times New Roman" w:cs="Times New Roman"/>
                <w:color w:val="000000"/>
                <w:kern w:val="0"/>
                <w:sz w:val="16"/>
                <w:szCs w:val="16"/>
                <w:lang w:eastAsia="es-CO"/>
                <w14:ligatures w14:val="none"/>
              </w:rPr>
            </w:pPr>
          </w:p>
        </w:tc>
        <w:tc>
          <w:tcPr>
            <w:tcW w:w="2063" w:type="pct"/>
            <w:vAlign w:val="center"/>
            <w:hideMark/>
          </w:tcPr>
          <w:p w14:paraId="70E59FB9" w14:textId="77777777" w:rsidR="001A3366" w:rsidRPr="00951AB1" w:rsidRDefault="001A3366" w:rsidP="000A5389">
            <w:pPr>
              <w:spacing w:line="240" w:lineRule="auto"/>
              <w:rPr>
                <w:rFonts w:eastAsia="Times New Roman" w:cs="Times New Roman"/>
                <w:color w:val="000000"/>
                <w:kern w:val="0"/>
                <w:sz w:val="16"/>
                <w:szCs w:val="16"/>
                <w:lang w:eastAsia="es-CO"/>
                <w14:ligatures w14:val="none"/>
              </w:rPr>
            </w:pPr>
            <w:r w:rsidRPr="00951AB1">
              <w:rPr>
                <w:rFonts w:eastAsia="Times New Roman" w:cs="Times New Roman"/>
                <w:color w:val="000000"/>
                <w:kern w:val="0"/>
                <w:sz w:val="16"/>
                <w:szCs w:val="16"/>
                <w:lang w:eastAsia="es-CO"/>
                <w14:ligatures w14:val="none"/>
              </w:rPr>
              <w:t>Nelly Beatriz Daza Solarte</w:t>
            </w:r>
          </w:p>
        </w:tc>
        <w:tc>
          <w:tcPr>
            <w:tcW w:w="893" w:type="pct"/>
            <w:vAlign w:val="center"/>
            <w:hideMark/>
          </w:tcPr>
          <w:p w14:paraId="342D63E9" w14:textId="77777777" w:rsidR="001A3366" w:rsidRPr="00951AB1" w:rsidRDefault="001A3366" w:rsidP="000A5389">
            <w:pPr>
              <w:spacing w:line="240" w:lineRule="auto"/>
              <w:jc w:val="right"/>
              <w:rPr>
                <w:rFonts w:eastAsia="Times New Roman" w:cs="Times New Roman"/>
                <w:color w:val="000000"/>
                <w:kern w:val="0"/>
                <w:sz w:val="16"/>
                <w:szCs w:val="16"/>
                <w:lang w:eastAsia="es-CO"/>
                <w14:ligatures w14:val="none"/>
              </w:rPr>
            </w:pPr>
            <w:r w:rsidRPr="00951AB1">
              <w:rPr>
                <w:rFonts w:cs="Times New Roman"/>
                <w:sz w:val="16"/>
                <w:szCs w:val="16"/>
              </w:rPr>
              <w:t>2.289.070</w:t>
            </w:r>
          </w:p>
        </w:tc>
      </w:tr>
      <w:tr w:rsidR="007220B5" w:rsidRPr="00951AB1" w14:paraId="50650BFE" w14:textId="77777777" w:rsidTr="00336FA0">
        <w:trPr>
          <w:trHeight w:val="283"/>
        </w:trPr>
        <w:tc>
          <w:tcPr>
            <w:tcW w:w="2044" w:type="pct"/>
            <w:vMerge/>
            <w:vAlign w:val="center"/>
            <w:hideMark/>
          </w:tcPr>
          <w:p w14:paraId="65CA7E11" w14:textId="1F564C72" w:rsidR="001A3366" w:rsidRPr="00951AB1" w:rsidRDefault="001A3366" w:rsidP="000A5389">
            <w:pPr>
              <w:spacing w:line="240" w:lineRule="auto"/>
              <w:rPr>
                <w:rFonts w:eastAsia="Times New Roman" w:cs="Times New Roman"/>
                <w:color w:val="000000"/>
                <w:kern w:val="0"/>
                <w:sz w:val="16"/>
                <w:szCs w:val="16"/>
                <w:lang w:eastAsia="es-CO"/>
                <w14:ligatures w14:val="none"/>
              </w:rPr>
            </w:pPr>
          </w:p>
        </w:tc>
        <w:tc>
          <w:tcPr>
            <w:tcW w:w="2063" w:type="pct"/>
            <w:vAlign w:val="center"/>
            <w:hideMark/>
          </w:tcPr>
          <w:p w14:paraId="28B205C3" w14:textId="77777777" w:rsidR="001A3366" w:rsidRPr="00951AB1" w:rsidRDefault="001A3366" w:rsidP="000A5389">
            <w:pPr>
              <w:spacing w:line="240" w:lineRule="auto"/>
              <w:rPr>
                <w:rFonts w:eastAsia="Times New Roman" w:cs="Times New Roman"/>
                <w:color w:val="000000"/>
                <w:kern w:val="0"/>
                <w:sz w:val="16"/>
                <w:szCs w:val="16"/>
                <w:lang w:eastAsia="es-CO"/>
                <w14:ligatures w14:val="none"/>
              </w:rPr>
            </w:pPr>
            <w:r w:rsidRPr="00951AB1">
              <w:rPr>
                <w:rFonts w:eastAsia="Times New Roman" w:cs="Times New Roman"/>
                <w:color w:val="000000"/>
                <w:kern w:val="0"/>
                <w:sz w:val="16"/>
                <w:szCs w:val="16"/>
                <w:lang w:eastAsia="es-CO"/>
                <w14:ligatures w14:val="none"/>
              </w:rPr>
              <w:t>María Victoria Solarte Daza</w:t>
            </w:r>
          </w:p>
        </w:tc>
        <w:tc>
          <w:tcPr>
            <w:tcW w:w="893" w:type="pct"/>
            <w:vAlign w:val="center"/>
            <w:hideMark/>
          </w:tcPr>
          <w:p w14:paraId="5093C7CE" w14:textId="77777777" w:rsidR="001A3366" w:rsidRPr="00951AB1" w:rsidRDefault="001A3366" w:rsidP="000A5389">
            <w:pPr>
              <w:spacing w:line="240" w:lineRule="auto"/>
              <w:jc w:val="right"/>
              <w:rPr>
                <w:rFonts w:eastAsia="Times New Roman" w:cs="Times New Roman"/>
                <w:color w:val="000000"/>
                <w:kern w:val="0"/>
                <w:sz w:val="16"/>
                <w:szCs w:val="16"/>
                <w:lang w:eastAsia="es-CO"/>
                <w14:ligatures w14:val="none"/>
              </w:rPr>
            </w:pPr>
            <w:r w:rsidRPr="00951AB1">
              <w:rPr>
                <w:rFonts w:cs="Times New Roman"/>
                <w:sz w:val="16"/>
                <w:szCs w:val="16"/>
              </w:rPr>
              <w:t>2.289.070</w:t>
            </w:r>
          </w:p>
        </w:tc>
      </w:tr>
      <w:tr w:rsidR="007220B5" w:rsidRPr="00951AB1" w14:paraId="4A834AA6" w14:textId="77777777" w:rsidTr="00336FA0">
        <w:trPr>
          <w:trHeight w:val="283"/>
        </w:trPr>
        <w:tc>
          <w:tcPr>
            <w:tcW w:w="2044" w:type="pct"/>
            <w:vMerge/>
            <w:vAlign w:val="center"/>
            <w:hideMark/>
          </w:tcPr>
          <w:p w14:paraId="4F89E72A" w14:textId="724E1A1A" w:rsidR="001A3366" w:rsidRPr="00951AB1" w:rsidRDefault="001A3366" w:rsidP="000A5389">
            <w:pPr>
              <w:spacing w:line="240" w:lineRule="auto"/>
              <w:rPr>
                <w:rFonts w:eastAsia="Times New Roman" w:cs="Times New Roman"/>
                <w:color w:val="000000"/>
                <w:kern w:val="0"/>
                <w:sz w:val="16"/>
                <w:szCs w:val="16"/>
                <w:lang w:eastAsia="es-CO"/>
                <w14:ligatures w14:val="none"/>
              </w:rPr>
            </w:pPr>
          </w:p>
        </w:tc>
        <w:tc>
          <w:tcPr>
            <w:tcW w:w="2063" w:type="pct"/>
            <w:vAlign w:val="center"/>
            <w:hideMark/>
          </w:tcPr>
          <w:p w14:paraId="64B33C7C" w14:textId="77777777" w:rsidR="001A3366" w:rsidRPr="00951AB1" w:rsidRDefault="001A3366" w:rsidP="000A5389">
            <w:pPr>
              <w:spacing w:line="240" w:lineRule="auto"/>
              <w:rPr>
                <w:rFonts w:eastAsia="Times New Roman" w:cs="Times New Roman"/>
                <w:color w:val="000000"/>
                <w:kern w:val="0"/>
                <w:sz w:val="16"/>
                <w:szCs w:val="16"/>
                <w:lang w:eastAsia="es-CO"/>
                <w14:ligatures w14:val="none"/>
              </w:rPr>
            </w:pPr>
            <w:r w:rsidRPr="00951AB1">
              <w:rPr>
                <w:rFonts w:eastAsia="Times New Roman" w:cs="Times New Roman"/>
                <w:color w:val="000000"/>
                <w:kern w:val="0"/>
                <w:sz w:val="16"/>
                <w:szCs w:val="16"/>
                <w:lang w:eastAsia="es-CO"/>
                <w14:ligatures w14:val="none"/>
              </w:rPr>
              <w:t>Luis Solarte</w:t>
            </w:r>
          </w:p>
        </w:tc>
        <w:tc>
          <w:tcPr>
            <w:tcW w:w="893" w:type="pct"/>
            <w:vAlign w:val="center"/>
            <w:hideMark/>
          </w:tcPr>
          <w:p w14:paraId="4B244BF8" w14:textId="77777777" w:rsidR="001A3366" w:rsidRPr="00951AB1" w:rsidRDefault="001A3366" w:rsidP="000A5389">
            <w:pPr>
              <w:spacing w:line="240" w:lineRule="auto"/>
              <w:jc w:val="right"/>
              <w:rPr>
                <w:rFonts w:eastAsia="Times New Roman" w:cs="Times New Roman"/>
                <w:color w:val="000000"/>
                <w:kern w:val="0"/>
                <w:sz w:val="16"/>
                <w:szCs w:val="16"/>
                <w:lang w:eastAsia="es-CO"/>
                <w14:ligatures w14:val="none"/>
              </w:rPr>
            </w:pPr>
            <w:r w:rsidRPr="00951AB1">
              <w:rPr>
                <w:rFonts w:cs="Times New Roman"/>
                <w:sz w:val="16"/>
                <w:szCs w:val="16"/>
              </w:rPr>
              <w:t>2.289.070</w:t>
            </w:r>
          </w:p>
        </w:tc>
      </w:tr>
      <w:tr w:rsidR="007220B5" w:rsidRPr="00951AB1" w14:paraId="0C9F5BA2" w14:textId="77777777" w:rsidTr="00336FA0">
        <w:trPr>
          <w:trHeight w:val="283"/>
        </w:trPr>
        <w:tc>
          <w:tcPr>
            <w:tcW w:w="2044" w:type="pct"/>
            <w:vMerge/>
            <w:vAlign w:val="center"/>
            <w:hideMark/>
          </w:tcPr>
          <w:p w14:paraId="29D3AF2D" w14:textId="1D5C2782" w:rsidR="001A3366" w:rsidRPr="00951AB1" w:rsidRDefault="001A3366" w:rsidP="000A5389">
            <w:pPr>
              <w:spacing w:line="240" w:lineRule="auto"/>
              <w:rPr>
                <w:rFonts w:eastAsia="Times New Roman" w:cs="Times New Roman"/>
                <w:color w:val="000000"/>
                <w:kern w:val="0"/>
                <w:sz w:val="16"/>
                <w:szCs w:val="16"/>
                <w:lang w:eastAsia="es-CO"/>
                <w14:ligatures w14:val="none"/>
              </w:rPr>
            </w:pPr>
          </w:p>
        </w:tc>
        <w:tc>
          <w:tcPr>
            <w:tcW w:w="2063" w:type="pct"/>
            <w:vAlign w:val="center"/>
            <w:hideMark/>
          </w:tcPr>
          <w:p w14:paraId="09B98728" w14:textId="77777777" w:rsidR="001A3366" w:rsidRPr="00951AB1" w:rsidRDefault="001A3366" w:rsidP="000A5389">
            <w:pPr>
              <w:spacing w:line="240" w:lineRule="auto"/>
              <w:rPr>
                <w:rFonts w:eastAsia="Times New Roman" w:cs="Times New Roman"/>
                <w:color w:val="000000"/>
                <w:kern w:val="0"/>
                <w:sz w:val="16"/>
                <w:szCs w:val="16"/>
                <w:lang w:eastAsia="es-CO"/>
                <w14:ligatures w14:val="none"/>
              </w:rPr>
            </w:pPr>
            <w:r w:rsidRPr="00951AB1">
              <w:rPr>
                <w:rFonts w:eastAsia="Times New Roman" w:cs="Times New Roman"/>
                <w:color w:val="000000"/>
                <w:kern w:val="0"/>
                <w:sz w:val="16"/>
                <w:szCs w:val="16"/>
                <w:lang w:eastAsia="es-CO"/>
                <w14:ligatures w14:val="none"/>
              </w:rPr>
              <w:t>Edgar Arturo León Benavides</w:t>
            </w:r>
          </w:p>
        </w:tc>
        <w:tc>
          <w:tcPr>
            <w:tcW w:w="893" w:type="pct"/>
            <w:vAlign w:val="center"/>
            <w:hideMark/>
          </w:tcPr>
          <w:p w14:paraId="2D82C3D4" w14:textId="77777777" w:rsidR="001A3366" w:rsidRPr="00951AB1" w:rsidRDefault="001A3366" w:rsidP="000A5389">
            <w:pPr>
              <w:spacing w:line="240" w:lineRule="auto"/>
              <w:jc w:val="right"/>
              <w:rPr>
                <w:rFonts w:eastAsia="Times New Roman" w:cs="Times New Roman"/>
                <w:color w:val="000000"/>
                <w:kern w:val="0"/>
                <w:sz w:val="16"/>
                <w:szCs w:val="16"/>
                <w:lang w:eastAsia="es-CO"/>
                <w14:ligatures w14:val="none"/>
              </w:rPr>
            </w:pPr>
            <w:r w:rsidRPr="00951AB1">
              <w:rPr>
                <w:rFonts w:cs="Times New Roman"/>
                <w:sz w:val="16"/>
                <w:szCs w:val="16"/>
              </w:rPr>
              <w:t>2.289.070</w:t>
            </w:r>
          </w:p>
        </w:tc>
      </w:tr>
      <w:tr w:rsidR="007220B5" w:rsidRPr="00951AB1" w14:paraId="61936B7F" w14:textId="77777777" w:rsidTr="00336FA0">
        <w:trPr>
          <w:trHeight w:val="283"/>
        </w:trPr>
        <w:tc>
          <w:tcPr>
            <w:tcW w:w="2044" w:type="pct"/>
            <w:vMerge/>
            <w:vAlign w:val="center"/>
            <w:hideMark/>
          </w:tcPr>
          <w:p w14:paraId="588B117E" w14:textId="55235BF2" w:rsidR="001A3366" w:rsidRPr="00951AB1" w:rsidRDefault="001A3366" w:rsidP="000A5389">
            <w:pPr>
              <w:spacing w:line="240" w:lineRule="auto"/>
              <w:rPr>
                <w:rFonts w:eastAsia="Times New Roman" w:cs="Times New Roman"/>
                <w:color w:val="000000"/>
                <w:kern w:val="0"/>
                <w:sz w:val="16"/>
                <w:szCs w:val="16"/>
                <w:lang w:eastAsia="es-CO"/>
                <w14:ligatures w14:val="none"/>
              </w:rPr>
            </w:pPr>
          </w:p>
        </w:tc>
        <w:tc>
          <w:tcPr>
            <w:tcW w:w="2063" w:type="pct"/>
            <w:vAlign w:val="center"/>
            <w:hideMark/>
          </w:tcPr>
          <w:p w14:paraId="0E88F9EA" w14:textId="77777777" w:rsidR="001A3366" w:rsidRPr="00951AB1" w:rsidRDefault="001A3366" w:rsidP="000A5389">
            <w:pPr>
              <w:spacing w:line="240" w:lineRule="auto"/>
              <w:rPr>
                <w:rFonts w:eastAsia="Times New Roman" w:cs="Times New Roman"/>
                <w:color w:val="000000"/>
                <w:kern w:val="0"/>
                <w:sz w:val="16"/>
                <w:szCs w:val="16"/>
                <w:lang w:eastAsia="es-CO"/>
                <w14:ligatures w14:val="none"/>
              </w:rPr>
            </w:pPr>
            <w:r w:rsidRPr="00951AB1">
              <w:rPr>
                <w:rFonts w:eastAsia="Times New Roman" w:cs="Times New Roman"/>
                <w:color w:val="000000"/>
                <w:kern w:val="0"/>
                <w:sz w:val="16"/>
                <w:szCs w:val="16"/>
                <w:lang w:eastAsia="es-CO"/>
                <w14:ligatures w14:val="none"/>
              </w:rPr>
              <w:t>Alvaro Montes Sevilla</w:t>
            </w:r>
          </w:p>
        </w:tc>
        <w:tc>
          <w:tcPr>
            <w:tcW w:w="893" w:type="pct"/>
            <w:vAlign w:val="center"/>
            <w:hideMark/>
          </w:tcPr>
          <w:p w14:paraId="37E83058" w14:textId="77777777" w:rsidR="001A3366" w:rsidRPr="00951AB1" w:rsidRDefault="001A3366" w:rsidP="000A5389">
            <w:pPr>
              <w:spacing w:line="240" w:lineRule="auto"/>
              <w:jc w:val="right"/>
              <w:rPr>
                <w:rFonts w:eastAsia="Times New Roman" w:cs="Times New Roman"/>
                <w:color w:val="000000"/>
                <w:kern w:val="0"/>
                <w:sz w:val="16"/>
                <w:szCs w:val="16"/>
                <w:lang w:eastAsia="es-CO"/>
                <w14:ligatures w14:val="none"/>
              </w:rPr>
            </w:pPr>
            <w:r w:rsidRPr="00951AB1">
              <w:rPr>
                <w:rFonts w:cs="Times New Roman"/>
                <w:sz w:val="16"/>
                <w:szCs w:val="16"/>
              </w:rPr>
              <w:t>991.366</w:t>
            </w:r>
          </w:p>
        </w:tc>
      </w:tr>
      <w:tr w:rsidR="007220B5" w:rsidRPr="00951AB1" w14:paraId="324D862A" w14:textId="77777777" w:rsidTr="00336FA0">
        <w:trPr>
          <w:trHeight w:val="283"/>
        </w:trPr>
        <w:tc>
          <w:tcPr>
            <w:tcW w:w="2044" w:type="pct"/>
            <w:vMerge/>
            <w:vAlign w:val="center"/>
            <w:hideMark/>
          </w:tcPr>
          <w:p w14:paraId="6F8FC492" w14:textId="47D76753" w:rsidR="001A3366" w:rsidRPr="00951AB1" w:rsidRDefault="001A3366" w:rsidP="000A5389">
            <w:pPr>
              <w:spacing w:line="240" w:lineRule="auto"/>
              <w:rPr>
                <w:rFonts w:eastAsia="Times New Roman" w:cs="Times New Roman"/>
                <w:color w:val="000000"/>
                <w:kern w:val="0"/>
                <w:sz w:val="16"/>
                <w:szCs w:val="16"/>
                <w:lang w:eastAsia="es-CO"/>
                <w14:ligatures w14:val="none"/>
              </w:rPr>
            </w:pPr>
          </w:p>
        </w:tc>
        <w:tc>
          <w:tcPr>
            <w:tcW w:w="2063" w:type="pct"/>
            <w:vAlign w:val="center"/>
            <w:hideMark/>
          </w:tcPr>
          <w:p w14:paraId="18E57E11" w14:textId="77777777" w:rsidR="001A3366" w:rsidRPr="00951AB1" w:rsidRDefault="001A3366" w:rsidP="000A5389">
            <w:pPr>
              <w:spacing w:line="240" w:lineRule="auto"/>
              <w:rPr>
                <w:rFonts w:eastAsia="Times New Roman" w:cs="Times New Roman"/>
                <w:color w:val="000000"/>
                <w:kern w:val="0"/>
                <w:sz w:val="16"/>
                <w:szCs w:val="16"/>
                <w:lang w:eastAsia="es-CO"/>
                <w14:ligatures w14:val="none"/>
              </w:rPr>
            </w:pPr>
            <w:r w:rsidRPr="00951AB1">
              <w:rPr>
                <w:rFonts w:eastAsia="Times New Roman" w:cs="Times New Roman"/>
                <w:color w:val="000000"/>
                <w:kern w:val="0"/>
                <w:sz w:val="16"/>
                <w:szCs w:val="16"/>
                <w:lang w:eastAsia="es-CO"/>
                <w14:ligatures w14:val="none"/>
              </w:rPr>
              <w:t>Paula Andrea López Ortiz</w:t>
            </w:r>
          </w:p>
        </w:tc>
        <w:tc>
          <w:tcPr>
            <w:tcW w:w="893" w:type="pct"/>
            <w:vAlign w:val="center"/>
            <w:hideMark/>
          </w:tcPr>
          <w:p w14:paraId="37221A08" w14:textId="77777777" w:rsidR="001A3366" w:rsidRPr="00951AB1" w:rsidRDefault="001A3366" w:rsidP="000A5389">
            <w:pPr>
              <w:spacing w:line="240" w:lineRule="auto"/>
              <w:jc w:val="right"/>
              <w:rPr>
                <w:rFonts w:eastAsia="Times New Roman" w:cs="Times New Roman"/>
                <w:color w:val="000000"/>
                <w:kern w:val="0"/>
                <w:sz w:val="16"/>
                <w:szCs w:val="16"/>
                <w:lang w:eastAsia="es-CO"/>
                <w14:ligatures w14:val="none"/>
              </w:rPr>
            </w:pPr>
            <w:r w:rsidRPr="00951AB1">
              <w:rPr>
                <w:rFonts w:cs="Times New Roman"/>
                <w:sz w:val="16"/>
                <w:szCs w:val="16"/>
              </w:rPr>
              <w:t>480.196</w:t>
            </w:r>
          </w:p>
        </w:tc>
      </w:tr>
      <w:tr w:rsidR="007220B5" w:rsidRPr="00951AB1" w14:paraId="7C8F4F6F" w14:textId="77777777" w:rsidTr="00336FA0">
        <w:trPr>
          <w:trHeight w:val="283"/>
        </w:trPr>
        <w:tc>
          <w:tcPr>
            <w:tcW w:w="2044" w:type="pct"/>
            <w:vMerge/>
            <w:vAlign w:val="center"/>
            <w:hideMark/>
          </w:tcPr>
          <w:p w14:paraId="6320CA41" w14:textId="3E776378" w:rsidR="001A3366" w:rsidRPr="00951AB1" w:rsidRDefault="001A3366" w:rsidP="000A5389">
            <w:pPr>
              <w:spacing w:line="240" w:lineRule="auto"/>
              <w:rPr>
                <w:rFonts w:eastAsia="Times New Roman" w:cs="Times New Roman"/>
                <w:color w:val="000000"/>
                <w:kern w:val="0"/>
                <w:sz w:val="16"/>
                <w:szCs w:val="16"/>
                <w:lang w:eastAsia="es-CO"/>
                <w14:ligatures w14:val="none"/>
              </w:rPr>
            </w:pPr>
          </w:p>
        </w:tc>
        <w:tc>
          <w:tcPr>
            <w:tcW w:w="2063" w:type="pct"/>
            <w:vAlign w:val="center"/>
            <w:hideMark/>
          </w:tcPr>
          <w:p w14:paraId="0EA5F168" w14:textId="77777777" w:rsidR="001A3366" w:rsidRPr="00951AB1" w:rsidRDefault="001A3366" w:rsidP="000A5389">
            <w:pPr>
              <w:spacing w:line="240" w:lineRule="auto"/>
              <w:rPr>
                <w:rFonts w:eastAsia="Times New Roman" w:cs="Times New Roman"/>
                <w:color w:val="000000"/>
                <w:kern w:val="0"/>
                <w:sz w:val="16"/>
                <w:szCs w:val="16"/>
                <w:lang w:eastAsia="es-CO"/>
                <w14:ligatures w14:val="none"/>
              </w:rPr>
            </w:pPr>
            <w:r w:rsidRPr="00951AB1">
              <w:rPr>
                <w:rFonts w:eastAsia="Times New Roman" w:cs="Times New Roman"/>
                <w:color w:val="000000"/>
                <w:kern w:val="0"/>
                <w:sz w:val="16"/>
                <w:szCs w:val="16"/>
                <w:lang w:eastAsia="es-CO"/>
                <w14:ligatures w14:val="none"/>
              </w:rPr>
              <w:t>Nelvis Beatriz Amaya Robles</w:t>
            </w:r>
          </w:p>
        </w:tc>
        <w:tc>
          <w:tcPr>
            <w:tcW w:w="893" w:type="pct"/>
            <w:vAlign w:val="center"/>
            <w:hideMark/>
          </w:tcPr>
          <w:p w14:paraId="0F2AEB3D" w14:textId="77777777" w:rsidR="001A3366" w:rsidRPr="00951AB1" w:rsidRDefault="001A3366" w:rsidP="000A5389">
            <w:pPr>
              <w:spacing w:line="240" w:lineRule="auto"/>
              <w:jc w:val="right"/>
              <w:rPr>
                <w:rFonts w:eastAsia="Times New Roman" w:cs="Times New Roman"/>
                <w:color w:val="000000"/>
                <w:kern w:val="0"/>
                <w:sz w:val="16"/>
                <w:szCs w:val="16"/>
                <w:lang w:eastAsia="es-CO"/>
                <w14:ligatures w14:val="none"/>
              </w:rPr>
            </w:pPr>
            <w:r w:rsidRPr="00951AB1">
              <w:rPr>
                <w:rFonts w:cs="Times New Roman"/>
                <w:sz w:val="16"/>
                <w:szCs w:val="16"/>
              </w:rPr>
              <w:t>373.958</w:t>
            </w:r>
          </w:p>
        </w:tc>
      </w:tr>
      <w:tr w:rsidR="003426DD" w:rsidRPr="00951AB1" w14:paraId="7F601023" w14:textId="77777777" w:rsidTr="00336FA0">
        <w:trPr>
          <w:trHeight w:val="283"/>
        </w:trPr>
        <w:tc>
          <w:tcPr>
            <w:tcW w:w="2044" w:type="pct"/>
            <w:vAlign w:val="center"/>
            <w:hideMark/>
          </w:tcPr>
          <w:p w14:paraId="20E75215" w14:textId="77777777" w:rsidR="001A3366" w:rsidRPr="00951AB1" w:rsidRDefault="001A3366" w:rsidP="000A5389">
            <w:pPr>
              <w:spacing w:line="240" w:lineRule="auto"/>
              <w:rPr>
                <w:rFonts w:eastAsia="Times New Roman" w:cs="Times New Roman"/>
                <w:color w:val="000000"/>
                <w:kern w:val="0"/>
                <w:sz w:val="16"/>
                <w:szCs w:val="16"/>
                <w:lang w:eastAsia="es-CO"/>
                <w14:ligatures w14:val="none"/>
              </w:rPr>
            </w:pPr>
            <w:r w:rsidRPr="00951AB1">
              <w:rPr>
                <w:rFonts w:eastAsia="Times New Roman" w:cs="Times New Roman"/>
                <w:color w:val="000000"/>
                <w:kern w:val="0"/>
                <w:sz w:val="16"/>
                <w:szCs w:val="16"/>
                <w:lang w:eastAsia="es-CO"/>
                <w14:ligatures w14:val="none"/>
              </w:rPr>
              <w:t xml:space="preserve">Otras cuentas por cobrar </w:t>
            </w:r>
          </w:p>
        </w:tc>
        <w:tc>
          <w:tcPr>
            <w:tcW w:w="2063" w:type="pct"/>
            <w:vAlign w:val="center"/>
            <w:hideMark/>
          </w:tcPr>
          <w:p w14:paraId="17B037C6" w14:textId="77777777" w:rsidR="001A3366" w:rsidRPr="00951AB1" w:rsidRDefault="001A3366" w:rsidP="000A5389">
            <w:pPr>
              <w:spacing w:line="240" w:lineRule="auto"/>
              <w:rPr>
                <w:rFonts w:eastAsia="Times New Roman" w:cs="Times New Roman"/>
                <w:color w:val="000000"/>
                <w:kern w:val="0"/>
                <w:sz w:val="16"/>
                <w:szCs w:val="16"/>
                <w:lang w:eastAsia="es-CO"/>
                <w14:ligatures w14:val="none"/>
              </w:rPr>
            </w:pPr>
            <w:r w:rsidRPr="00951AB1">
              <w:rPr>
                <w:rFonts w:eastAsia="Times New Roman" w:cs="Times New Roman"/>
                <w:color w:val="000000"/>
                <w:kern w:val="0"/>
                <w:sz w:val="16"/>
                <w:szCs w:val="16"/>
                <w:lang w:eastAsia="es-CO"/>
                <w14:ligatures w14:val="none"/>
              </w:rPr>
              <w:t>Edgar Chacón Hartmann</w:t>
            </w:r>
          </w:p>
        </w:tc>
        <w:tc>
          <w:tcPr>
            <w:tcW w:w="893" w:type="pct"/>
            <w:vAlign w:val="center"/>
            <w:hideMark/>
          </w:tcPr>
          <w:p w14:paraId="5E585FCC" w14:textId="77777777" w:rsidR="001A3366" w:rsidRPr="00951AB1" w:rsidRDefault="001A3366" w:rsidP="000A5389">
            <w:pPr>
              <w:spacing w:line="240" w:lineRule="auto"/>
              <w:jc w:val="right"/>
              <w:rPr>
                <w:rFonts w:eastAsia="Times New Roman" w:cs="Times New Roman"/>
                <w:color w:val="000000"/>
                <w:kern w:val="0"/>
                <w:sz w:val="16"/>
                <w:szCs w:val="16"/>
                <w:lang w:eastAsia="es-CO"/>
                <w14:ligatures w14:val="none"/>
              </w:rPr>
            </w:pPr>
            <w:r w:rsidRPr="00951AB1">
              <w:rPr>
                <w:rFonts w:cs="Times New Roman"/>
                <w:sz w:val="16"/>
                <w:szCs w:val="16"/>
              </w:rPr>
              <w:t>332.847</w:t>
            </w:r>
          </w:p>
        </w:tc>
      </w:tr>
      <w:tr w:rsidR="007220B5" w:rsidRPr="00951AB1" w14:paraId="2512B7BA" w14:textId="77777777" w:rsidTr="00336FA0">
        <w:trPr>
          <w:trHeight w:val="283"/>
        </w:trPr>
        <w:tc>
          <w:tcPr>
            <w:tcW w:w="2044" w:type="pct"/>
            <w:vMerge w:val="restart"/>
            <w:vAlign w:val="center"/>
            <w:hideMark/>
          </w:tcPr>
          <w:p w14:paraId="235818A9" w14:textId="77777777" w:rsidR="001A3366" w:rsidRPr="00951AB1" w:rsidRDefault="001A3366" w:rsidP="000A5389">
            <w:pPr>
              <w:spacing w:line="240" w:lineRule="auto"/>
              <w:rPr>
                <w:rFonts w:eastAsia="Times New Roman" w:cs="Times New Roman"/>
                <w:color w:val="000000"/>
                <w:kern w:val="0"/>
                <w:sz w:val="16"/>
                <w:szCs w:val="16"/>
                <w:lang w:eastAsia="es-CO"/>
                <w14:ligatures w14:val="none"/>
              </w:rPr>
            </w:pPr>
            <w:r w:rsidRPr="00951AB1">
              <w:rPr>
                <w:rFonts w:eastAsia="Times New Roman" w:cs="Times New Roman"/>
                <w:color w:val="000000"/>
                <w:kern w:val="0"/>
                <w:sz w:val="16"/>
                <w:szCs w:val="16"/>
                <w:lang w:eastAsia="es-CO"/>
                <w14:ligatures w14:val="none"/>
              </w:rPr>
              <w:t>Sentencias, laudos arbitrales y conciliaciones extrajudiciales a favor de la entidad</w:t>
            </w:r>
          </w:p>
        </w:tc>
        <w:tc>
          <w:tcPr>
            <w:tcW w:w="2063" w:type="pct"/>
            <w:vAlign w:val="center"/>
            <w:hideMark/>
          </w:tcPr>
          <w:p w14:paraId="5115680B" w14:textId="77777777" w:rsidR="001A3366" w:rsidRPr="00951AB1" w:rsidRDefault="001A3366" w:rsidP="000A5389">
            <w:pPr>
              <w:spacing w:line="240" w:lineRule="auto"/>
              <w:rPr>
                <w:rFonts w:eastAsia="Times New Roman" w:cs="Times New Roman"/>
                <w:color w:val="000000"/>
                <w:kern w:val="0"/>
                <w:sz w:val="16"/>
                <w:szCs w:val="16"/>
                <w:lang w:eastAsia="es-CO"/>
                <w14:ligatures w14:val="none"/>
              </w:rPr>
            </w:pPr>
            <w:r w:rsidRPr="00951AB1">
              <w:rPr>
                <w:rFonts w:eastAsia="Times New Roman" w:cs="Times New Roman"/>
                <w:color w:val="000000"/>
                <w:kern w:val="0"/>
                <w:sz w:val="16"/>
                <w:szCs w:val="16"/>
                <w:lang w:eastAsia="es-CO"/>
                <w14:ligatures w14:val="none"/>
              </w:rPr>
              <w:t>Jairo Mauricio Merchan Acosta</w:t>
            </w:r>
          </w:p>
        </w:tc>
        <w:tc>
          <w:tcPr>
            <w:tcW w:w="893" w:type="pct"/>
            <w:vAlign w:val="center"/>
            <w:hideMark/>
          </w:tcPr>
          <w:p w14:paraId="3D454271" w14:textId="77777777" w:rsidR="001A3366" w:rsidRPr="00951AB1" w:rsidRDefault="001A3366" w:rsidP="000A5389">
            <w:pPr>
              <w:spacing w:line="240" w:lineRule="auto"/>
              <w:jc w:val="right"/>
              <w:rPr>
                <w:rFonts w:eastAsia="Times New Roman" w:cs="Times New Roman"/>
                <w:color w:val="000000"/>
                <w:kern w:val="0"/>
                <w:sz w:val="16"/>
                <w:szCs w:val="16"/>
                <w:lang w:eastAsia="es-CO"/>
                <w14:ligatures w14:val="none"/>
              </w:rPr>
            </w:pPr>
            <w:r w:rsidRPr="00951AB1">
              <w:rPr>
                <w:rFonts w:cs="Times New Roman"/>
                <w:sz w:val="16"/>
                <w:szCs w:val="16"/>
              </w:rPr>
              <w:t>264.608</w:t>
            </w:r>
          </w:p>
        </w:tc>
      </w:tr>
      <w:tr w:rsidR="007220B5" w:rsidRPr="00951AB1" w14:paraId="2E4FC0E5" w14:textId="77777777" w:rsidTr="00336FA0">
        <w:trPr>
          <w:trHeight w:val="283"/>
        </w:trPr>
        <w:tc>
          <w:tcPr>
            <w:tcW w:w="2044" w:type="pct"/>
            <w:vMerge/>
            <w:vAlign w:val="center"/>
            <w:hideMark/>
          </w:tcPr>
          <w:p w14:paraId="5A1F29C5" w14:textId="01794A4F" w:rsidR="001A3366" w:rsidRPr="00951AB1" w:rsidRDefault="001A3366" w:rsidP="000A5389">
            <w:pPr>
              <w:spacing w:line="240" w:lineRule="auto"/>
              <w:rPr>
                <w:rFonts w:eastAsia="Times New Roman" w:cs="Times New Roman"/>
                <w:color w:val="000000"/>
                <w:kern w:val="0"/>
                <w:sz w:val="16"/>
                <w:szCs w:val="16"/>
                <w:lang w:eastAsia="es-CO"/>
                <w14:ligatures w14:val="none"/>
              </w:rPr>
            </w:pPr>
          </w:p>
        </w:tc>
        <w:tc>
          <w:tcPr>
            <w:tcW w:w="2063" w:type="pct"/>
            <w:vAlign w:val="center"/>
            <w:hideMark/>
          </w:tcPr>
          <w:p w14:paraId="1E4E7BD8" w14:textId="77777777" w:rsidR="001A3366" w:rsidRPr="00951AB1" w:rsidRDefault="001A3366" w:rsidP="000A5389">
            <w:pPr>
              <w:spacing w:line="240" w:lineRule="auto"/>
              <w:rPr>
                <w:rFonts w:eastAsia="Times New Roman" w:cs="Times New Roman"/>
                <w:color w:val="000000"/>
                <w:kern w:val="0"/>
                <w:sz w:val="16"/>
                <w:szCs w:val="16"/>
                <w:lang w:eastAsia="es-CO"/>
                <w14:ligatures w14:val="none"/>
              </w:rPr>
            </w:pPr>
            <w:r w:rsidRPr="00951AB1">
              <w:rPr>
                <w:rFonts w:eastAsia="Times New Roman" w:cs="Times New Roman"/>
                <w:color w:val="000000"/>
                <w:kern w:val="0"/>
                <w:sz w:val="16"/>
                <w:szCs w:val="16"/>
                <w:lang w:eastAsia="es-CO"/>
                <w14:ligatures w14:val="none"/>
              </w:rPr>
              <w:t>Pedro Hernan Cruz Suarez</w:t>
            </w:r>
          </w:p>
        </w:tc>
        <w:tc>
          <w:tcPr>
            <w:tcW w:w="893" w:type="pct"/>
            <w:vAlign w:val="center"/>
            <w:hideMark/>
          </w:tcPr>
          <w:p w14:paraId="43F1CCEF" w14:textId="77777777" w:rsidR="001A3366" w:rsidRPr="00951AB1" w:rsidRDefault="001A3366" w:rsidP="000A5389">
            <w:pPr>
              <w:spacing w:line="240" w:lineRule="auto"/>
              <w:jc w:val="right"/>
              <w:rPr>
                <w:rFonts w:eastAsia="Times New Roman" w:cs="Times New Roman"/>
                <w:color w:val="000000"/>
                <w:kern w:val="0"/>
                <w:sz w:val="16"/>
                <w:szCs w:val="16"/>
                <w:lang w:eastAsia="es-CO"/>
                <w14:ligatures w14:val="none"/>
              </w:rPr>
            </w:pPr>
            <w:r w:rsidRPr="00951AB1">
              <w:rPr>
                <w:rFonts w:cs="Times New Roman"/>
                <w:sz w:val="16"/>
                <w:szCs w:val="16"/>
              </w:rPr>
              <w:t>206.062</w:t>
            </w:r>
          </w:p>
        </w:tc>
      </w:tr>
      <w:tr w:rsidR="007220B5" w:rsidRPr="00951AB1" w14:paraId="3DE87876" w14:textId="77777777" w:rsidTr="00336FA0">
        <w:trPr>
          <w:trHeight w:val="283"/>
        </w:trPr>
        <w:tc>
          <w:tcPr>
            <w:tcW w:w="2044" w:type="pct"/>
            <w:vMerge/>
            <w:vAlign w:val="center"/>
            <w:hideMark/>
          </w:tcPr>
          <w:p w14:paraId="44A7E363" w14:textId="363CE44B" w:rsidR="001A3366" w:rsidRPr="00951AB1" w:rsidRDefault="001A3366" w:rsidP="000A5389">
            <w:pPr>
              <w:spacing w:line="240" w:lineRule="auto"/>
              <w:rPr>
                <w:rFonts w:eastAsia="Times New Roman" w:cs="Times New Roman"/>
                <w:color w:val="000000"/>
                <w:kern w:val="0"/>
                <w:sz w:val="16"/>
                <w:szCs w:val="16"/>
                <w:lang w:eastAsia="es-CO"/>
                <w14:ligatures w14:val="none"/>
              </w:rPr>
            </w:pPr>
          </w:p>
        </w:tc>
        <w:tc>
          <w:tcPr>
            <w:tcW w:w="2063" w:type="pct"/>
            <w:vAlign w:val="center"/>
            <w:hideMark/>
          </w:tcPr>
          <w:p w14:paraId="491ACD4F" w14:textId="77777777" w:rsidR="001A3366" w:rsidRPr="00951AB1" w:rsidRDefault="001A3366" w:rsidP="000A5389">
            <w:pPr>
              <w:spacing w:line="240" w:lineRule="auto"/>
              <w:rPr>
                <w:rFonts w:eastAsia="Times New Roman" w:cs="Times New Roman"/>
                <w:color w:val="000000"/>
                <w:kern w:val="0"/>
                <w:sz w:val="16"/>
                <w:szCs w:val="16"/>
                <w:lang w:eastAsia="es-CO"/>
                <w14:ligatures w14:val="none"/>
              </w:rPr>
            </w:pPr>
            <w:r w:rsidRPr="00951AB1">
              <w:rPr>
                <w:rFonts w:eastAsia="Times New Roman" w:cs="Times New Roman"/>
                <w:color w:val="000000"/>
                <w:kern w:val="0"/>
                <w:sz w:val="16"/>
                <w:szCs w:val="16"/>
                <w:lang w:eastAsia="es-CO"/>
                <w14:ligatures w14:val="none"/>
              </w:rPr>
              <w:t>Dumar Alexander Neira Aya</w:t>
            </w:r>
          </w:p>
        </w:tc>
        <w:tc>
          <w:tcPr>
            <w:tcW w:w="893" w:type="pct"/>
            <w:vAlign w:val="center"/>
            <w:hideMark/>
          </w:tcPr>
          <w:p w14:paraId="24431E27" w14:textId="77777777" w:rsidR="001A3366" w:rsidRPr="00951AB1" w:rsidRDefault="001A3366" w:rsidP="000A5389">
            <w:pPr>
              <w:spacing w:line="240" w:lineRule="auto"/>
              <w:jc w:val="right"/>
              <w:rPr>
                <w:rFonts w:eastAsia="Times New Roman" w:cs="Times New Roman"/>
                <w:color w:val="000000"/>
                <w:kern w:val="0"/>
                <w:sz w:val="16"/>
                <w:szCs w:val="16"/>
                <w:lang w:eastAsia="es-CO"/>
                <w14:ligatures w14:val="none"/>
              </w:rPr>
            </w:pPr>
            <w:r w:rsidRPr="00951AB1">
              <w:rPr>
                <w:rFonts w:cs="Times New Roman"/>
                <w:sz w:val="16"/>
                <w:szCs w:val="16"/>
              </w:rPr>
              <w:t>114.023</w:t>
            </w:r>
          </w:p>
        </w:tc>
      </w:tr>
      <w:tr w:rsidR="007220B5" w:rsidRPr="00951AB1" w14:paraId="40821F3F" w14:textId="77777777" w:rsidTr="00336FA0">
        <w:trPr>
          <w:trHeight w:val="283"/>
        </w:trPr>
        <w:tc>
          <w:tcPr>
            <w:tcW w:w="2044" w:type="pct"/>
            <w:vMerge/>
            <w:vAlign w:val="center"/>
            <w:hideMark/>
          </w:tcPr>
          <w:p w14:paraId="1A622CD9" w14:textId="06C9D1FF" w:rsidR="001A3366" w:rsidRPr="00951AB1" w:rsidRDefault="001A3366" w:rsidP="000A5389">
            <w:pPr>
              <w:spacing w:line="240" w:lineRule="auto"/>
              <w:rPr>
                <w:rFonts w:eastAsia="Times New Roman" w:cs="Times New Roman"/>
                <w:color w:val="000000"/>
                <w:kern w:val="0"/>
                <w:sz w:val="16"/>
                <w:szCs w:val="16"/>
                <w:lang w:eastAsia="es-CO"/>
                <w14:ligatures w14:val="none"/>
              </w:rPr>
            </w:pPr>
          </w:p>
        </w:tc>
        <w:tc>
          <w:tcPr>
            <w:tcW w:w="2063" w:type="pct"/>
            <w:vAlign w:val="center"/>
            <w:hideMark/>
          </w:tcPr>
          <w:p w14:paraId="379FDE46" w14:textId="77777777" w:rsidR="001A3366" w:rsidRPr="00951AB1" w:rsidRDefault="001A3366" w:rsidP="000A5389">
            <w:pPr>
              <w:spacing w:line="240" w:lineRule="auto"/>
              <w:rPr>
                <w:rFonts w:eastAsia="Times New Roman" w:cs="Times New Roman"/>
                <w:color w:val="000000"/>
                <w:kern w:val="0"/>
                <w:sz w:val="16"/>
                <w:szCs w:val="16"/>
                <w:lang w:eastAsia="es-CO"/>
                <w14:ligatures w14:val="none"/>
              </w:rPr>
            </w:pPr>
            <w:r w:rsidRPr="00951AB1">
              <w:rPr>
                <w:rFonts w:eastAsia="Times New Roman" w:cs="Times New Roman"/>
                <w:color w:val="000000"/>
                <w:kern w:val="0"/>
                <w:sz w:val="16"/>
                <w:szCs w:val="16"/>
                <w:lang w:eastAsia="es-CO"/>
                <w14:ligatures w14:val="none"/>
              </w:rPr>
              <w:t>German Francisco Rojas Baquero</w:t>
            </w:r>
          </w:p>
        </w:tc>
        <w:tc>
          <w:tcPr>
            <w:tcW w:w="893" w:type="pct"/>
            <w:vAlign w:val="center"/>
            <w:hideMark/>
          </w:tcPr>
          <w:p w14:paraId="0B1F07FD" w14:textId="77777777" w:rsidR="001A3366" w:rsidRPr="00951AB1" w:rsidRDefault="001A3366" w:rsidP="000A5389">
            <w:pPr>
              <w:spacing w:line="240" w:lineRule="auto"/>
              <w:jc w:val="right"/>
              <w:rPr>
                <w:rFonts w:eastAsia="Times New Roman" w:cs="Times New Roman"/>
                <w:color w:val="000000"/>
                <w:kern w:val="0"/>
                <w:sz w:val="16"/>
                <w:szCs w:val="16"/>
                <w:lang w:eastAsia="es-CO"/>
                <w14:ligatures w14:val="none"/>
              </w:rPr>
            </w:pPr>
            <w:r w:rsidRPr="00951AB1">
              <w:rPr>
                <w:rFonts w:cs="Times New Roman"/>
                <w:sz w:val="16"/>
                <w:szCs w:val="16"/>
              </w:rPr>
              <w:t>96.091</w:t>
            </w:r>
          </w:p>
        </w:tc>
      </w:tr>
      <w:tr w:rsidR="007220B5" w:rsidRPr="00951AB1" w14:paraId="41122A12" w14:textId="77777777" w:rsidTr="00336FA0">
        <w:trPr>
          <w:trHeight w:val="283"/>
        </w:trPr>
        <w:tc>
          <w:tcPr>
            <w:tcW w:w="2044" w:type="pct"/>
            <w:vMerge/>
            <w:vAlign w:val="center"/>
            <w:hideMark/>
          </w:tcPr>
          <w:p w14:paraId="5AF57F6A" w14:textId="0B34BEFD" w:rsidR="001A3366" w:rsidRPr="00951AB1" w:rsidRDefault="001A3366" w:rsidP="000A5389">
            <w:pPr>
              <w:spacing w:line="240" w:lineRule="auto"/>
              <w:rPr>
                <w:rFonts w:eastAsia="Times New Roman" w:cs="Times New Roman"/>
                <w:color w:val="000000"/>
                <w:kern w:val="0"/>
                <w:sz w:val="16"/>
                <w:szCs w:val="16"/>
                <w:lang w:eastAsia="es-CO"/>
                <w14:ligatures w14:val="none"/>
              </w:rPr>
            </w:pPr>
          </w:p>
        </w:tc>
        <w:tc>
          <w:tcPr>
            <w:tcW w:w="2063" w:type="pct"/>
            <w:vAlign w:val="center"/>
            <w:hideMark/>
          </w:tcPr>
          <w:p w14:paraId="238024CC" w14:textId="77777777" w:rsidR="001A3366" w:rsidRPr="00951AB1" w:rsidRDefault="001A3366" w:rsidP="000A5389">
            <w:pPr>
              <w:spacing w:line="240" w:lineRule="auto"/>
              <w:rPr>
                <w:rFonts w:eastAsia="Times New Roman" w:cs="Times New Roman"/>
                <w:color w:val="000000"/>
                <w:kern w:val="0"/>
                <w:sz w:val="16"/>
                <w:szCs w:val="16"/>
                <w:lang w:eastAsia="es-CO"/>
                <w14:ligatures w14:val="none"/>
              </w:rPr>
            </w:pPr>
            <w:r w:rsidRPr="00951AB1">
              <w:rPr>
                <w:rFonts w:eastAsia="Times New Roman" w:cs="Times New Roman"/>
                <w:color w:val="000000"/>
                <w:kern w:val="0"/>
                <w:sz w:val="16"/>
                <w:szCs w:val="16"/>
                <w:lang w:eastAsia="es-CO"/>
                <w14:ligatures w14:val="none"/>
              </w:rPr>
              <w:t>Mauricio López Galvis</w:t>
            </w:r>
          </w:p>
        </w:tc>
        <w:tc>
          <w:tcPr>
            <w:tcW w:w="893" w:type="pct"/>
            <w:vAlign w:val="center"/>
            <w:hideMark/>
          </w:tcPr>
          <w:p w14:paraId="06107982" w14:textId="77777777" w:rsidR="001A3366" w:rsidRPr="00951AB1" w:rsidRDefault="001A3366" w:rsidP="000A5389">
            <w:pPr>
              <w:spacing w:line="240" w:lineRule="auto"/>
              <w:jc w:val="right"/>
              <w:rPr>
                <w:rFonts w:eastAsia="Times New Roman" w:cs="Times New Roman"/>
                <w:color w:val="000000"/>
                <w:kern w:val="0"/>
                <w:sz w:val="16"/>
                <w:szCs w:val="16"/>
                <w:lang w:eastAsia="es-CO"/>
                <w14:ligatures w14:val="none"/>
              </w:rPr>
            </w:pPr>
            <w:r w:rsidRPr="00951AB1">
              <w:rPr>
                <w:rFonts w:cs="Times New Roman"/>
                <w:sz w:val="16"/>
                <w:szCs w:val="16"/>
              </w:rPr>
              <w:t>28.506</w:t>
            </w:r>
          </w:p>
        </w:tc>
      </w:tr>
      <w:tr w:rsidR="003426DD" w:rsidRPr="00951AB1" w14:paraId="4C383D79" w14:textId="77777777" w:rsidTr="00336FA0">
        <w:trPr>
          <w:trHeight w:val="283"/>
        </w:trPr>
        <w:tc>
          <w:tcPr>
            <w:tcW w:w="2044" w:type="pct"/>
            <w:vAlign w:val="center"/>
            <w:hideMark/>
          </w:tcPr>
          <w:p w14:paraId="70E4D711" w14:textId="77777777" w:rsidR="001A3366" w:rsidRPr="00951AB1" w:rsidRDefault="001A3366" w:rsidP="000A5389">
            <w:pPr>
              <w:spacing w:line="240" w:lineRule="auto"/>
              <w:rPr>
                <w:rFonts w:eastAsia="Times New Roman" w:cs="Times New Roman"/>
                <w:color w:val="000000"/>
                <w:kern w:val="0"/>
                <w:sz w:val="16"/>
                <w:szCs w:val="16"/>
                <w:lang w:eastAsia="es-CO"/>
                <w14:ligatures w14:val="none"/>
              </w:rPr>
            </w:pPr>
            <w:r w:rsidRPr="00951AB1">
              <w:rPr>
                <w:rFonts w:eastAsia="Times New Roman" w:cs="Times New Roman"/>
                <w:color w:val="000000"/>
                <w:kern w:val="0"/>
                <w:sz w:val="16"/>
                <w:szCs w:val="16"/>
                <w:lang w:eastAsia="es-CO"/>
                <w14:ligatures w14:val="none"/>
              </w:rPr>
              <w:t xml:space="preserve">Otras cuentas por cobrar </w:t>
            </w:r>
          </w:p>
        </w:tc>
        <w:tc>
          <w:tcPr>
            <w:tcW w:w="2063" w:type="pct"/>
            <w:vAlign w:val="center"/>
            <w:hideMark/>
          </w:tcPr>
          <w:p w14:paraId="3D1F2F80" w14:textId="77777777" w:rsidR="001A3366" w:rsidRPr="00951AB1" w:rsidRDefault="001A3366" w:rsidP="000A5389">
            <w:pPr>
              <w:spacing w:line="240" w:lineRule="auto"/>
              <w:rPr>
                <w:rFonts w:eastAsia="Times New Roman" w:cs="Times New Roman"/>
                <w:color w:val="000000"/>
                <w:kern w:val="0"/>
                <w:sz w:val="16"/>
                <w:szCs w:val="16"/>
                <w:lang w:eastAsia="es-CO"/>
                <w14:ligatures w14:val="none"/>
              </w:rPr>
            </w:pPr>
            <w:r w:rsidRPr="00951AB1">
              <w:rPr>
                <w:rFonts w:eastAsia="Times New Roman" w:cs="Times New Roman"/>
                <w:color w:val="000000"/>
                <w:kern w:val="0"/>
                <w:sz w:val="16"/>
                <w:szCs w:val="16"/>
                <w:lang w:eastAsia="es-CO"/>
                <w14:ligatures w14:val="none"/>
              </w:rPr>
              <w:t>Diego Orlando Bustos Forero</w:t>
            </w:r>
          </w:p>
        </w:tc>
        <w:tc>
          <w:tcPr>
            <w:tcW w:w="893" w:type="pct"/>
            <w:vAlign w:val="center"/>
            <w:hideMark/>
          </w:tcPr>
          <w:p w14:paraId="706E22C1" w14:textId="77777777" w:rsidR="001A3366" w:rsidRPr="00951AB1" w:rsidRDefault="001A3366" w:rsidP="000A5389">
            <w:pPr>
              <w:spacing w:line="240" w:lineRule="auto"/>
              <w:jc w:val="right"/>
              <w:rPr>
                <w:rFonts w:eastAsia="Times New Roman" w:cs="Times New Roman"/>
                <w:color w:val="000000"/>
                <w:kern w:val="0"/>
                <w:sz w:val="16"/>
                <w:szCs w:val="16"/>
                <w:lang w:eastAsia="es-CO"/>
                <w14:ligatures w14:val="none"/>
              </w:rPr>
            </w:pPr>
            <w:r w:rsidRPr="00951AB1">
              <w:rPr>
                <w:rFonts w:cs="Times New Roman"/>
                <w:sz w:val="16"/>
                <w:szCs w:val="16"/>
              </w:rPr>
              <w:t>5.052</w:t>
            </w:r>
          </w:p>
        </w:tc>
      </w:tr>
      <w:tr w:rsidR="003426DD" w:rsidRPr="00951AB1" w14:paraId="44A76A59" w14:textId="77777777" w:rsidTr="00336FA0">
        <w:trPr>
          <w:trHeight w:val="283"/>
        </w:trPr>
        <w:tc>
          <w:tcPr>
            <w:tcW w:w="2044" w:type="pct"/>
            <w:vAlign w:val="center"/>
            <w:hideMark/>
          </w:tcPr>
          <w:p w14:paraId="249B326F" w14:textId="77777777" w:rsidR="001A3366" w:rsidRPr="00951AB1" w:rsidRDefault="001A3366" w:rsidP="000A5389">
            <w:pPr>
              <w:spacing w:line="240" w:lineRule="auto"/>
              <w:rPr>
                <w:rFonts w:eastAsia="Times New Roman" w:cs="Times New Roman"/>
                <w:color w:val="000000"/>
                <w:kern w:val="0"/>
                <w:sz w:val="16"/>
                <w:szCs w:val="16"/>
                <w:lang w:eastAsia="es-CO"/>
                <w14:ligatures w14:val="none"/>
              </w:rPr>
            </w:pPr>
            <w:r w:rsidRPr="00951AB1">
              <w:rPr>
                <w:rFonts w:eastAsia="Times New Roman" w:cs="Times New Roman"/>
                <w:color w:val="000000"/>
                <w:kern w:val="0"/>
                <w:sz w:val="16"/>
                <w:szCs w:val="16"/>
                <w:lang w:eastAsia="es-CO"/>
                <w14:ligatures w14:val="none"/>
              </w:rPr>
              <w:t>Sentencias, laudos arbitrales y conciliaciones extrajudiciales a favor de la entidad</w:t>
            </w:r>
          </w:p>
        </w:tc>
        <w:tc>
          <w:tcPr>
            <w:tcW w:w="2063" w:type="pct"/>
            <w:vAlign w:val="center"/>
            <w:hideMark/>
          </w:tcPr>
          <w:p w14:paraId="74125525" w14:textId="77777777" w:rsidR="001A3366" w:rsidRPr="00951AB1" w:rsidRDefault="001A3366" w:rsidP="000A5389">
            <w:pPr>
              <w:spacing w:line="240" w:lineRule="auto"/>
              <w:rPr>
                <w:rFonts w:eastAsia="Times New Roman" w:cs="Times New Roman"/>
                <w:color w:val="000000"/>
                <w:kern w:val="0"/>
                <w:sz w:val="16"/>
                <w:szCs w:val="16"/>
                <w:lang w:eastAsia="es-CO"/>
                <w14:ligatures w14:val="none"/>
              </w:rPr>
            </w:pPr>
            <w:r w:rsidRPr="00951AB1">
              <w:rPr>
                <w:rFonts w:eastAsia="Times New Roman" w:cs="Times New Roman"/>
                <w:color w:val="000000"/>
                <w:kern w:val="0"/>
                <w:sz w:val="16"/>
                <w:szCs w:val="16"/>
                <w:lang w:eastAsia="es-CO"/>
                <w14:ligatures w14:val="none"/>
              </w:rPr>
              <w:t>José María Hernández Solarte</w:t>
            </w:r>
          </w:p>
        </w:tc>
        <w:tc>
          <w:tcPr>
            <w:tcW w:w="893" w:type="pct"/>
            <w:vAlign w:val="center"/>
            <w:hideMark/>
          </w:tcPr>
          <w:p w14:paraId="7E59588F" w14:textId="77777777" w:rsidR="001A3366" w:rsidRPr="00951AB1" w:rsidRDefault="001A3366" w:rsidP="000A5389">
            <w:pPr>
              <w:spacing w:line="240" w:lineRule="auto"/>
              <w:jc w:val="right"/>
              <w:rPr>
                <w:rFonts w:eastAsia="Times New Roman" w:cs="Times New Roman"/>
                <w:color w:val="000000"/>
                <w:kern w:val="0"/>
                <w:sz w:val="16"/>
                <w:szCs w:val="16"/>
                <w:lang w:eastAsia="es-CO"/>
                <w14:ligatures w14:val="none"/>
              </w:rPr>
            </w:pPr>
            <w:r w:rsidRPr="00951AB1">
              <w:rPr>
                <w:rFonts w:cs="Times New Roman"/>
                <w:sz w:val="16"/>
                <w:szCs w:val="16"/>
              </w:rPr>
              <w:t>115</w:t>
            </w:r>
          </w:p>
        </w:tc>
      </w:tr>
    </w:tbl>
    <w:p w14:paraId="65A7B0AC" w14:textId="77777777" w:rsidR="001A3366" w:rsidRPr="00951AB1" w:rsidRDefault="001A3366" w:rsidP="000A5389">
      <w:pPr>
        <w:spacing w:line="240" w:lineRule="auto"/>
        <w:rPr>
          <w:rFonts w:cs="Times New Roman"/>
          <w:sz w:val="16"/>
          <w:szCs w:val="16"/>
        </w:rPr>
      </w:pPr>
      <w:r w:rsidRPr="00951AB1">
        <w:rPr>
          <w:rFonts w:cs="Times New Roman"/>
          <w:sz w:val="16"/>
          <w:szCs w:val="16"/>
        </w:rPr>
        <w:t>Cifras en pesos</w:t>
      </w:r>
    </w:p>
    <w:p w14:paraId="6300DC17" w14:textId="03513112" w:rsidR="004D3377" w:rsidRPr="00951AB1" w:rsidRDefault="004D3377" w:rsidP="000A5389">
      <w:pPr>
        <w:spacing w:line="240" w:lineRule="auto"/>
        <w:ind w:left="-20" w:right="-20"/>
        <w:rPr>
          <w:rFonts w:cs="Times New Roman"/>
        </w:rPr>
      </w:pPr>
    </w:p>
    <w:p w14:paraId="08B77F13" w14:textId="3B2CA4D5" w:rsidR="00647930" w:rsidRPr="00951AB1" w:rsidRDefault="00647930" w:rsidP="000A5389">
      <w:pPr>
        <w:pStyle w:val="Ttulo2"/>
        <w:numPr>
          <w:ilvl w:val="0"/>
          <w:numId w:val="0"/>
        </w:numPr>
        <w:spacing w:line="240" w:lineRule="auto"/>
        <w:ind w:right="-20"/>
        <w:rPr>
          <w:rFonts w:eastAsia="Times New Roman" w:cs="Times New Roman"/>
          <w:bCs/>
          <w:szCs w:val="24"/>
        </w:rPr>
      </w:pPr>
      <w:bookmarkStart w:id="853" w:name="_Toc222824178"/>
      <w:bookmarkStart w:id="854" w:name="_Toc222955544"/>
      <w:r w:rsidRPr="00951AB1">
        <w:rPr>
          <w:rFonts w:eastAsia="Times New Roman" w:cs="Times New Roman"/>
          <w:bCs/>
          <w:szCs w:val="24"/>
        </w:rPr>
        <w:t>30.2.</w:t>
      </w:r>
      <w:r w:rsidRPr="00951AB1">
        <w:rPr>
          <w:rFonts w:eastAsia="Times New Roman" w:cs="Times New Roman"/>
          <w:b w:val="0"/>
          <w:sz w:val="14"/>
          <w:szCs w:val="14"/>
        </w:rPr>
        <w:t xml:space="preserve">   </w:t>
      </w:r>
      <w:r w:rsidRPr="00951AB1">
        <w:rPr>
          <w:rFonts w:eastAsia="Times New Roman" w:cs="Times New Roman"/>
          <w:bCs/>
          <w:szCs w:val="24"/>
        </w:rPr>
        <w:t>Otros gastos</w:t>
      </w:r>
      <w:bookmarkEnd w:id="853"/>
      <w:bookmarkEnd w:id="854"/>
    </w:p>
    <w:p w14:paraId="0292B8AC" w14:textId="77777777" w:rsidR="00647930" w:rsidRPr="00951AB1" w:rsidRDefault="00647930" w:rsidP="000A5389">
      <w:pPr>
        <w:spacing w:line="240" w:lineRule="auto"/>
        <w:rPr>
          <w:rFonts w:cs="Times New Roma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624"/>
        <w:gridCol w:w="1790"/>
        <w:gridCol w:w="1790"/>
        <w:gridCol w:w="1624"/>
      </w:tblGrid>
      <w:tr w:rsidR="007220B5" w:rsidRPr="00336FA0" w14:paraId="1CDAF2A4" w14:textId="77777777" w:rsidTr="008C1734">
        <w:trPr>
          <w:trHeight w:val="278"/>
          <w:tblHeader/>
        </w:trPr>
        <w:tc>
          <w:tcPr>
            <w:tcW w:w="2052" w:type="pct"/>
            <w:vAlign w:val="center"/>
            <w:hideMark/>
          </w:tcPr>
          <w:p w14:paraId="51C35DDF" w14:textId="77777777" w:rsidR="00647930" w:rsidRPr="00336FA0" w:rsidRDefault="00647930" w:rsidP="000A5389">
            <w:pPr>
              <w:spacing w:line="240" w:lineRule="auto"/>
              <w:jc w:val="center"/>
              <w:rPr>
                <w:rFonts w:eastAsia="Times New Roman" w:cs="Times New Roman"/>
                <w:b/>
                <w:bCs/>
                <w:kern w:val="0"/>
                <w:sz w:val="18"/>
                <w:szCs w:val="18"/>
                <w:lang w:eastAsia="es-CO"/>
                <w14:ligatures w14:val="none"/>
              </w:rPr>
            </w:pPr>
            <w:r w:rsidRPr="00336FA0">
              <w:rPr>
                <w:rFonts w:eastAsia="Times New Roman" w:cs="Times New Roman"/>
                <w:b/>
                <w:bCs/>
                <w:kern w:val="0"/>
                <w:sz w:val="18"/>
                <w:szCs w:val="18"/>
                <w:lang w:eastAsia="es-CO"/>
                <w14:ligatures w14:val="none"/>
              </w:rPr>
              <w:t>CONCEPTO</w:t>
            </w:r>
          </w:p>
        </w:tc>
        <w:tc>
          <w:tcPr>
            <w:tcW w:w="1014" w:type="pct"/>
            <w:vAlign w:val="center"/>
            <w:hideMark/>
          </w:tcPr>
          <w:p w14:paraId="4EF5277A" w14:textId="77777777" w:rsidR="00647930" w:rsidRPr="00336FA0" w:rsidRDefault="00647930" w:rsidP="000A5389">
            <w:pPr>
              <w:spacing w:line="240" w:lineRule="auto"/>
              <w:jc w:val="center"/>
              <w:rPr>
                <w:rFonts w:eastAsia="Times New Roman" w:cs="Times New Roman"/>
                <w:b/>
                <w:bCs/>
                <w:kern w:val="0"/>
                <w:sz w:val="18"/>
                <w:szCs w:val="18"/>
                <w:lang w:eastAsia="es-CO"/>
                <w14:ligatures w14:val="none"/>
              </w:rPr>
            </w:pPr>
            <w:r w:rsidRPr="00336FA0">
              <w:rPr>
                <w:rFonts w:eastAsia="Times New Roman" w:cs="Times New Roman"/>
                <w:b/>
                <w:bCs/>
                <w:kern w:val="0"/>
                <w:sz w:val="18"/>
                <w:szCs w:val="18"/>
                <w:lang w:eastAsia="es-CO"/>
                <w14:ligatures w14:val="none"/>
              </w:rPr>
              <w:t xml:space="preserve">2025 </w:t>
            </w:r>
          </w:p>
        </w:tc>
        <w:tc>
          <w:tcPr>
            <w:tcW w:w="1014" w:type="pct"/>
            <w:vAlign w:val="center"/>
            <w:hideMark/>
          </w:tcPr>
          <w:p w14:paraId="2DF860A4" w14:textId="77777777" w:rsidR="00647930" w:rsidRPr="00336FA0" w:rsidRDefault="00647930" w:rsidP="000A5389">
            <w:pPr>
              <w:spacing w:line="240" w:lineRule="auto"/>
              <w:jc w:val="center"/>
              <w:rPr>
                <w:rFonts w:eastAsia="Times New Roman" w:cs="Times New Roman"/>
                <w:b/>
                <w:bCs/>
                <w:kern w:val="0"/>
                <w:sz w:val="18"/>
                <w:szCs w:val="18"/>
                <w:lang w:eastAsia="es-CO"/>
                <w14:ligatures w14:val="none"/>
              </w:rPr>
            </w:pPr>
            <w:r w:rsidRPr="00336FA0">
              <w:rPr>
                <w:rFonts w:eastAsia="Times New Roman" w:cs="Times New Roman"/>
                <w:b/>
                <w:bCs/>
                <w:kern w:val="0"/>
                <w:sz w:val="18"/>
                <w:szCs w:val="18"/>
                <w:lang w:eastAsia="es-CO"/>
                <w14:ligatures w14:val="none"/>
              </w:rPr>
              <w:t xml:space="preserve">2024 </w:t>
            </w:r>
          </w:p>
        </w:tc>
        <w:tc>
          <w:tcPr>
            <w:tcW w:w="920" w:type="pct"/>
            <w:vAlign w:val="center"/>
            <w:hideMark/>
          </w:tcPr>
          <w:p w14:paraId="2CA04DF1" w14:textId="77777777" w:rsidR="00647930" w:rsidRPr="00336FA0" w:rsidRDefault="00647930" w:rsidP="000A5389">
            <w:pPr>
              <w:spacing w:line="240" w:lineRule="auto"/>
              <w:jc w:val="center"/>
              <w:rPr>
                <w:rFonts w:eastAsia="Times New Roman" w:cs="Times New Roman"/>
                <w:b/>
                <w:bCs/>
                <w:kern w:val="0"/>
                <w:sz w:val="18"/>
                <w:szCs w:val="18"/>
                <w:lang w:eastAsia="es-CO"/>
                <w14:ligatures w14:val="none"/>
              </w:rPr>
            </w:pPr>
            <w:r w:rsidRPr="00336FA0">
              <w:rPr>
                <w:rFonts w:eastAsia="Times New Roman" w:cs="Times New Roman"/>
                <w:b/>
                <w:bCs/>
                <w:kern w:val="0"/>
                <w:sz w:val="18"/>
                <w:szCs w:val="18"/>
                <w:lang w:eastAsia="es-CO"/>
                <w14:ligatures w14:val="none"/>
              </w:rPr>
              <w:t>VARIACIÓN</w:t>
            </w:r>
          </w:p>
        </w:tc>
      </w:tr>
      <w:tr w:rsidR="007220B5" w:rsidRPr="00336FA0" w14:paraId="2089C8C7" w14:textId="77777777">
        <w:trPr>
          <w:trHeight w:val="270"/>
        </w:trPr>
        <w:tc>
          <w:tcPr>
            <w:tcW w:w="2052" w:type="pct"/>
            <w:vAlign w:val="center"/>
            <w:hideMark/>
          </w:tcPr>
          <w:p w14:paraId="169B3A1F" w14:textId="77777777" w:rsidR="00647930" w:rsidRPr="00336FA0" w:rsidRDefault="00647930" w:rsidP="000A5389">
            <w:pPr>
              <w:spacing w:line="240" w:lineRule="auto"/>
              <w:jc w:val="center"/>
              <w:rPr>
                <w:rFonts w:eastAsia="Times New Roman" w:cs="Times New Roman"/>
                <w:b/>
                <w:bCs/>
                <w:kern w:val="0"/>
                <w:sz w:val="18"/>
                <w:szCs w:val="18"/>
                <w:lang w:eastAsia="es-CO"/>
                <w14:ligatures w14:val="none"/>
              </w:rPr>
            </w:pPr>
            <w:r w:rsidRPr="00336FA0">
              <w:rPr>
                <w:rFonts w:eastAsia="Times New Roman" w:cs="Times New Roman"/>
                <w:b/>
                <w:bCs/>
                <w:kern w:val="0"/>
                <w:sz w:val="18"/>
                <w:szCs w:val="18"/>
                <w:lang w:eastAsia="es-CO"/>
                <w14:ligatures w14:val="none"/>
              </w:rPr>
              <w:t>OTROS GASTOS</w:t>
            </w:r>
          </w:p>
        </w:tc>
        <w:tc>
          <w:tcPr>
            <w:tcW w:w="1014" w:type="pct"/>
            <w:noWrap/>
            <w:vAlign w:val="center"/>
            <w:hideMark/>
          </w:tcPr>
          <w:p w14:paraId="5C11881C" w14:textId="77777777" w:rsidR="00647930" w:rsidRPr="00336FA0" w:rsidRDefault="00647930" w:rsidP="000A5389">
            <w:pPr>
              <w:spacing w:line="240" w:lineRule="auto"/>
              <w:jc w:val="right"/>
              <w:rPr>
                <w:rFonts w:eastAsia="Times New Roman" w:cs="Times New Roman"/>
                <w:b/>
                <w:bCs/>
                <w:kern w:val="0"/>
                <w:sz w:val="18"/>
                <w:szCs w:val="18"/>
                <w:lang w:eastAsia="es-CO"/>
                <w14:ligatures w14:val="none"/>
              </w:rPr>
            </w:pPr>
            <w:r w:rsidRPr="00336FA0">
              <w:rPr>
                <w:rFonts w:eastAsia="Times New Roman" w:cs="Times New Roman"/>
                <w:b/>
                <w:bCs/>
                <w:kern w:val="0"/>
                <w:sz w:val="18"/>
                <w:szCs w:val="18"/>
                <w:lang w:eastAsia="es-CO"/>
                <w14:ligatures w14:val="none"/>
              </w:rPr>
              <w:t>5.406.588.385.584</w:t>
            </w:r>
          </w:p>
        </w:tc>
        <w:tc>
          <w:tcPr>
            <w:tcW w:w="1014" w:type="pct"/>
            <w:noWrap/>
            <w:vAlign w:val="center"/>
            <w:hideMark/>
          </w:tcPr>
          <w:p w14:paraId="279F73A3" w14:textId="77777777" w:rsidR="00647930" w:rsidRPr="00336FA0" w:rsidRDefault="00647930" w:rsidP="000A5389">
            <w:pPr>
              <w:spacing w:line="240" w:lineRule="auto"/>
              <w:jc w:val="right"/>
              <w:rPr>
                <w:rFonts w:eastAsia="Times New Roman" w:cs="Times New Roman"/>
                <w:b/>
                <w:bCs/>
                <w:kern w:val="0"/>
                <w:sz w:val="18"/>
                <w:szCs w:val="18"/>
                <w:lang w:eastAsia="es-CO"/>
                <w14:ligatures w14:val="none"/>
              </w:rPr>
            </w:pPr>
            <w:r w:rsidRPr="00336FA0">
              <w:rPr>
                <w:rFonts w:eastAsia="Times New Roman" w:cs="Times New Roman"/>
                <w:b/>
                <w:bCs/>
                <w:kern w:val="0"/>
                <w:sz w:val="18"/>
                <w:szCs w:val="18"/>
                <w:lang w:eastAsia="es-CO"/>
                <w14:ligatures w14:val="none"/>
              </w:rPr>
              <w:t>4.748.955.837.951</w:t>
            </w:r>
          </w:p>
        </w:tc>
        <w:tc>
          <w:tcPr>
            <w:tcW w:w="920" w:type="pct"/>
            <w:noWrap/>
            <w:vAlign w:val="center"/>
            <w:hideMark/>
          </w:tcPr>
          <w:p w14:paraId="2B240969" w14:textId="77777777" w:rsidR="00647930" w:rsidRPr="00336FA0" w:rsidRDefault="00647930" w:rsidP="000A5389">
            <w:pPr>
              <w:spacing w:line="240" w:lineRule="auto"/>
              <w:jc w:val="right"/>
              <w:rPr>
                <w:rFonts w:eastAsia="Times New Roman" w:cs="Times New Roman"/>
                <w:b/>
                <w:bCs/>
                <w:kern w:val="0"/>
                <w:sz w:val="18"/>
                <w:szCs w:val="18"/>
                <w:lang w:eastAsia="es-CO"/>
                <w14:ligatures w14:val="none"/>
              </w:rPr>
            </w:pPr>
            <w:r w:rsidRPr="00336FA0">
              <w:rPr>
                <w:rFonts w:eastAsia="Times New Roman" w:cs="Times New Roman"/>
                <w:b/>
                <w:bCs/>
                <w:kern w:val="0"/>
                <w:sz w:val="18"/>
                <w:szCs w:val="18"/>
                <w:lang w:eastAsia="es-CO"/>
                <w14:ligatures w14:val="none"/>
              </w:rPr>
              <w:t>657.632.547.633</w:t>
            </w:r>
          </w:p>
        </w:tc>
      </w:tr>
      <w:tr w:rsidR="007220B5" w:rsidRPr="00336FA0" w14:paraId="54033E09" w14:textId="77777777">
        <w:trPr>
          <w:trHeight w:val="285"/>
        </w:trPr>
        <w:tc>
          <w:tcPr>
            <w:tcW w:w="2052" w:type="pct"/>
            <w:vAlign w:val="center"/>
            <w:hideMark/>
          </w:tcPr>
          <w:p w14:paraId="60E846A5" w14:textId="77777777" w:rsidR="00647930" w:rsidRPr="00336FA0" w:rsidRDefault="00647930" w:rsidP="000A5389">
            <w:pPr>
              <w:spacing w:line="240" w:lineRule="auto"/>
              <w:rPr>
                <w:rFonts w:eastAsia="Times New Roman" w:cs="Times New Roman"/>
                <w:kern w:val="0"/>
                <w:sz w:val="18"/>
                <w:szCs w:val="18"/>
                <w:lang w:eastAsia="es-CO"/>
                <w14:ligatures w14:val="none"/>
              </w:rPr>
            </w:pPr>
            <w:r w:rsidRPr="00336FA0">
              <w:rPr>
                <w:rFonts w:eastAsia="Times New Roman" w:cs="Times New Roman"/>
                <w:kern w:val="0"/>
                <w:sz w:val="18"/>
                <w:szCs w:val="18"/>
                <w:lang w:eastAsia="es-CO"/>
                <w14:ligatures w14:val="none"/>
              </w:rPr>
              <w:t>Financieros</w:t>
            </w:r>
          </w:p>
        </w:tc>
        <w:tc>
          <w:tcPr>
            <w:tcW w:w="1014" w:type="pct"/>
            <w:noWrap/>
            <w:vAlign w:val="center"/>
            <w:hideMark/>
          </w:tcPr>
          <w:p w14:paraId="49EB054D" w14:textId="77777777" w:rsidR="00647930" w:rsidRPr="00336FA0" w:rsidRDefault="00647930" w:rsidP="000A5389">
            <w:pPr>
              <w:spacing w:line="240" w:lineRule="auto"/>
              <w:jc w:val="right"/>
              <w:rPr>
                <w:rFonts w:eastAsia="Times New Roman" w:cs="Times New Roman"/>
                <w:kern w:val="0"/>
                <w:sz w:val="18"/>
                <w:szCs w:val="18"/>
                <w:lang w:eastAsia="es-CO"/>
                <w14:ligatures w14:val="none"/>
              </w:rPr>
            </w:pPr>
            <w:r w:rsidRPr="00336FA0">
              <w:rPr>
                <w:rFonts w:eastAsia="Times New Roman" w:cs="Times New Roman"/>
                <w:kern w:val="0"/>
                <w:sz w:val="18"/>
                <w:szCs w:val="18"/>
                <w:lang w:eastAsia="es-CO"/>
                <w14:ligatures w14:val="none"/>
              </w:rPr>
              <w:t>4.594.205.801.329</w:t>
            </w:r>
          </w:p>
        </w:tc>
        <w:tc>
          <w:tcPr>
            <w:tcW w:w="1014" w:type="pct"/>
            <w:noWrap/>
            <w:vAlign w:val="center"/>
            <w:hideMark/>
          </w:tcPr>
          <w:p w14:paraId="58374140" w14:textId="77777777" w:rsidR="00647930" w:rsidRPr="00336FA0" w:rsidRDefault="00647930" w:rsidP="000A5389">
            <w:pPr>
              <w:spacing w:line="240" w:lineRule="auto"/>
              <w:jc w:val="right"/>
              <w:rPr>
                <w:rFonts w:eastAsia="Times New Roman" w:cs="Times New Roman"/>
                <w:kern w:val="0"/>
                <w:sz w:val="18"/>
                <w:szCs w:val="18"/>
                <w:lang w:eastAsia="es-CO"/>
                <w14:ligatures w14:val="none"/>
              </w:rPr>
            </w:pPr>
            <w:r w:rsidRPr="00336FA0">
              <w:rPr>
                <w:rFonts w:eastAsia="Times New Roman" w:cs="Times New Roman"/>
                <w:kern w:val="0"/>
                <w:sz w:val="18"/>
                <w:szCs w:val="18"/>
                <w:lang w:eastAsia="es-CO"/>
                <w14:ligatures w14:val="none"/>
              </w:rPr>
              <w:t>3.865.425.414.440</w:t>
            </w:r>
          </w:p>
        </w:tc>
        <w:tc>
          <w:tcPr>
            <w:tcW w:w="920" w:type="pct"/>
            <w:noWrap/>
            <w:vAlign w:val="center"/>
            <w:hideMark/>
          </w:tcPr>
          <w:p w14:paraId="5ACF0BC4" w14:textId="77777777" w:rsidR="00647930" w:rsidRPr="00336FA0" w:rsidRDefault="00647930" w:rsidP="000A5389">
            <w:pPr>
              <w:spacing w:line="240" w:lineRule="auto"/>
              <w:jc w:val="right"/>
              <w:rPr>
                <w:rFonts w:eastAsia="Times New Roman" w:cs="Times New Roman"/>
                <w:b/>
                <w:bCs/>
                <w:kern w:val="0"/>
                <w:sz w:val="18"/>
                <w:szCs w:val="18"/>
                <w:lang w:eastAsia="es-CO"/>
                <w14:ligatures w14:val="none"/>
              </w:rPr>
            </w:pPr>
            <w:r w:rsidRPr="00336FA0">
              <w:rPr>
                <w:rFonts w:eastAsia="Times New Roman" w:cs="Times New Roman"/>
                <w:b/>
                <w:bCs/>
                <w:kern w:val="0"/>
                <w:sz w:val="18"/>
                <w:szCs w:val="18"/>
                <w:lang w:eastAsia="es-CO"/>
                <w14:ligatures w14:val="none"/>
              </w:rPr>
              <w:t>728.780.386.889</w:t>
            </w:r>
          </w:p>
        </w:tc>
      </w:tr>
      <w:tr w:rsidR="007220B5" w:rsidRPr="00336FA0" w14:paraId="03EDD3B5" w14:textId="77777777">
        <w:trPr>
          <w:trHeight w:val="285"/>
        </w:trPr>
        <w:tc>
          <w:tcPr>
            <w:tcW w:w="2052" w:type="pct"/>
            <w:vAlign w:val="center"/>
            <w:hideMark/>
          </w:tcPr>
          <w:p w14:paraId="1B6FC553" w14:textId="77777777" w:rsidR="00647930" w:rsidRPr="00336FA0" w:rsidRDefault="00647930" w:rsidP="000A5389">
            <w:pPr>
              <w:spacing w:line="240" w:lineRule="auto"/>
              <w:rPr>
                <w:rFonts w:eastAsia="Times New Roman" w:cs="Times New Roman"/>
                <w:kern w:val="0"/>
                <w:sz w:val="18"/>
                <w:szCs w:val="18"/>
                <w:lang w:eastAsia="es-CO"/>
                <w14:ligatures w14:val="none"/>
              </w:rPr>
            </w:pPr>
            <w:r w:rsidRPr="00336FA0">
              <w:rPr>
                <w:rFonts w:eastAsia="Times New Roman" w:cs="Times New Roman"/>
                <w:kern w:val="0"/>
                <w:sz w:val="18"/>
                <w:szCs w:val="18"/>
                <w:lang w:eastAsia="es-CO"/>
                <w14:ligatures w14:val="none"/>
              </w:rPr>
              <w:t>Gastos diversos</w:t>
            </w:r>
          </w:p>
        </w:tc>
        <w:tc>
          <w:tcPr>
            <w:tcW w:w="1014" w:type="pct"/>
            <w:noWrap/>
            <w:vAlign w:val="center"/>
            <w:hideMark/>
          </w:tcPr>
          <w:p w14:paraId="29F1C3C4" w14:textId="77777777" w:rsidR="00647930" w:rsidRPr="00336FA0" w:rsidRDefault="00647930" w:rsidP="000A5389">
            <w:pPr>
              <w:spacing w:line="240" w:lineRule="auto"/>
              <w:jc w:val="right"/>
              <w:rPr>
                <w:rFonts w:eastAsia="Times New Roman" w:cs="Times New Roman"/>
                <w:kern w:val="0"/>
                <w:sz w:val="18"/>
                <w:szCs w:val="18"/>
                <w:lang w:eastAsia="es-CO"/>
                <w14:ligatures w14:val="none"/>
              </w:rPr>
            </w:pPr>
            <w:r w:rsidRPr="00336FA0">
              <w:rPr>
                <w:rFonts w:eastAsia="Times New Roman" w:cs="Times New Roman"/>
                <w:kern w:val="0"/>
                <w:sz w:val="18"/>
                <w:szCs w:val="18"/>
                <w:lang w:eastAsia="es-CO"/>
                <w14:ligatures w14:val="none"/>
              </w:rPr>
              <w:t>805.142.149.656</w:t>
            </w:r>
          </w:p>
        </w:tc>
        <w:tc>
          <w:tcPr>
            <w:tcW w:w="1014" w:type="pct"/>
            <w:noWrap/>
            <w:vAlign w:val="center"/>
            <w:hideMark/>
          </w:tcPr>
          <w:p w14:paraId="3AEFFC09" w14:textId="77777777" w:rsidR="00647930" w:rsidRPr="00336FA0" w:rsidRDefault="00647930" w:rsidP="000A5389">
            <w:pPr>
              <w:spacing w:line="240" w:lineRule="auto"/>
              <w:jc w:val="right"/>
              <w:rPr>
                <w:rFonts w:eastAsia="Times New Roman" w:cs="Times New Roman"/>
                <w:kern w:val="0"/>
                <w:sz w:val="18"/>
                <w:szCs w:val="18"/>
                <w:lang w:eastAsia="es-CO"/>
                <w14:ligatures w14:val="none"/>
              </w:rPr>
            </w:pPr>
            <w:r w:rsidRPr="00336FA0">
              <w:rPr>
                <w:rFonts w:eastAsia="Times New Roman" w:cs="Times New Roman"/>
                <w:kern w:val="0"/>
                <w:sz w:val="18"/>
                <w:szCs w:val="18"/>
                <w:lang w:eastAsia="es-CO"/>
                <w14:ligatures w14:val="none"/>
              </w:rPr>
              <w:t>883.530.387.310</w:t>
            </w:r>
          </w:p>
        </w:tc>
        <w:tc>
          <w:tcPr>
            <w:tcW w:w="920" w:type="pct"/>
            <w:noWrap/>
            <w:vAlign w:val="center"/>
            <w:hideMark/>
          </w:tcPr>
          <w:p w14:paraId="23A4CA33" w14:textId="77777777" w:rsidR="00647930" w:rsidRPr="00336FA0" w:rsidRDefault="00647930" w:rsidP="000A5389">
            <w:pPr>
              <w:spacing w:line="240" w:lineRule="auto"/>
              <w:jc w:val="right"/>
              <w:rPr>
                <w:rFonts w:eastAsia="Times New Roman" w:cs="Times New Roman"/>
                <w:b/>
                <w:bCs/>
                <w:kern w:val="0"/>
                <w:sz w:val="18"/>
                <w:szCs w:val="18"/>
                <w:lang w:eastAsia="es-CO"/>
                <w14:ligatures w14:val="none"/>
              </w:rPr>
            </w:pPr>
            <w:r w:rsidRPr="00336FA0">
              <w:rPr>
                <w:rFonts w:eastAsia="Times New Roman" w:cs="Times New Roman"/>
                <w:b/>
                <w:bCs/>
                <w:kern w:val="0"/>
                <w:sz w:val="18"/>
                <w:szCs w:val="18"/>
                <w:lang w:eastAsia="es-CO"/>
                <w14:ligatures w14:val="none"/>
              </w:rPr>
              <w:t>-78.388.237.655</w:t>
            </w:r>
          </w:p>
        </w:tc>
      </w:tr>
      <w:tr w:rsidR="007220B5" w:rsidRPr="00336FA0" w14:paraId="43BE68B6" w14:textId="77777777">
        <w:trPr>
          <w:trHeight w:val="285"/>
        </w:trPr>
        <w:tc>
          <w:tcPr>
            <w:tcW w:w="2052" w:type="pct"/>
            <w:vAlign w:val="center"/>
            <w:hideMark/>
          </w:tcPr>
          <w:p w14:paraId="55DF7DAD" w14:textId="77777777" w:rsidR="00647930" w:rsidRPr="00336FA0" w:rsidRDefault="00647930" w:rsidP="000A5389">
            <w:pPr>
              <w:spacing w:line="240" w:lineRule="auto"/>
              <w:rPr>
                <w:rFonts w:eastAsia="Times New Roman" w:cs="Times New Roman"/>
                <w:kern w:val="0"/>
                <w:sz w:val="18"/>
                <w:szCs w:val="18"/>
                <w:lang w:eastAsia="es-CO"/>
                <w14:ligatures w14:val="none"/>
              </w:rPr>
            </w:pPr>
            <w:r w:rsidRPr="00336FA0">
              <w:rPr>
                <w:rFonts w:eastAsia="Times New Roman" w:cs="Times New Roman"/>
                <w:kern w:val="0"/>
                <w:sz w:val="18"/>
                <w:szCs w:val="18"/>
                <w:lang w:eastAsia="es-CO"/>
                <w14:ligatures w14:val="none"/>
              </w:rPr>
              <w:t>Ajuste por diferencia en cambio</w:t>
            </w:r>
          </w:p>
        </w:tc>
        <w:tc>
          <w:tcPr>
            <w:tcW w:w="1014" w:type="pct"/>
            <w:noWrap/>
            <w:vAlign w:val="center"/>
            <w:hideMark/>
          </w:tcPr>
          <w:p w14:paraId="79E53527" w14:textId="77777777" w:rsidR="00647930" w:rsidRPr="00336FA0" w:rsidRDefault="00647930" w:rsidP="000A5389">
            <w:pPr>
              <w:spacing w:line="240" w:lineRule="auto"/>
              <w:jc w:val="right"/>
              <w:rPr>
                <w:rFonts w:eastAsia="Times New Roman" w:cs="Times New Roman"/>
                <w:kern w:val="0"/>
                <w:sz w:val="18"/>
                <w:szCs w:val="18"/>
                <w:lang w:eastAsia="es-CO"/>
                <w14:ligatures w14:val="none"/>
              </w:rPr>
            </w:pPr>
            <w:r w:rsidRPr="00336FA0">
              <w:rPr>
                <w:rFonts w:eastAsia="Times New Roman" w:cs="Times New Roman"/>
                <w:kern w:val="0"/>
                <w:sz w:val="18"/>
                <w:szCs w:val="18"/>
                <w:lang w:eastAsia="es-CO"/>
                <w14:ligatures w14:val="none"/>
              </w:rPr>
              <w:t>7.090.998.095</w:t>
            </w:r>
          </w:p>
        </w:tc>
        <w:tc>
          <w:tcPr>
            <w:tcW w:w="1014" w:type="pct"/>
            <w:noWrap/>
            <w:vAlign w:val="center"/>
            <w:hideMark/>
          </w:tcPr>
          <w:p w14:paraId="69351B2B" w14:textId="77777777" w:rsidR="00647930" w:rsidRPr="00336FA0" w:rsidRDefault="00647930" w:rsidP="000A5389">
            <w:pPr>
              <w:spacing w:line="240" w:lineRule="auto"/>
              <w:jc w:val="right"/>
              <w:rPr>
                <w:rFonts w:eastAsia="Times New Roman" w:cs="Times New Roman"/>
                <w:kern w:val="0"/>
                <w:sz w:val="18"/>
                <w:szCs w:val="18"/>
                <w:lang w:eastAsia="es-CO"/>
                <w14:ligatures w14:val="none"/>
              </w:rPr>
            </w:pPr>
            <w:r w:rsidRPr="00336FA0">
              <w:rPr>
                <w:rFonts w:eastAsia="Times New Roman" w:cs="Times New Roman"/>
                <w:kern w:val="0"/>
                <w:sz w:val="18"/>
                <w:szCs w:val="18"/>
                <w:lang w:eastAsia="es-CO"/>
                <w14:ligatures w14:val="none"/>
              </w:rPr>
              <w:t>0</w:t>
            </w:r>
          </w:p>
        </w:tc>
        <w:tc>
          <w:tcPr>
            <w:tcW w:w="920" w:type="pct"/>
            <w:noWrap/>
            <w:vAlign w:val="center"/>
            <w:hideMark/>
          </w:tcPr>
          <w:p w14:paraId="35602028" w14:textId="77777777" w:rsidR="00647930" w:rsidRPr="00336FA0" w:rsidRDefault="00647930" w:rsidP="000A5389">
            <w:pPr>
              <w:spacing w:line="240" w:lineRule="auto"/>
              <w:jc w:val="right"/>
              <w:rPr>
                <w:rFonts w:eastAsia="Times New Roman" w:cs="Times New Roman"/>
                <w:b/>
                <w:bCs/>
                <w:kern w:val="0"/>
                <w:sz w:val="18"/>
                <w:szCs w:val="18"/>
                <w:lang w:eastAsia="es-CO"/>
                <w14:ligatures w14:val="none"/>
              </w:rPr>
            </w:pPr>
            <w:r w:rsidRPr="00336FA0">
              <w:rPr>
                <w:rFonts w:eastAsia="Times New Roman" w:cs="Times New Roman"/>
                <w:b/>
                <w:bCs/>
                <w:kern w:val="0"/>
                <w:sz w:val="18"/>
                <w:szCs w:val="18"/>
                <w:lang w:eastAsia="es-CO"/>
                <w14:ligatures w14:val="none"/>
              </w:rPr>
              <w:t>7.090.998.095</w:t>
            </w:r>
          </w:p>
        </w:tc>
      </w:tr>
      <w:tr w:rsidR="007220B5" w:rsidRPr="00336FA0" w14:paraId="492C89A8" w14:textId="77777777">
        <w:trPr>
          <w:trHeight w:val="285"/>
        </w:trPr>
        <w:tc>
          <w:tcPr>
            <w:tcW w:w="2052" w:type="pct"/>
            <w:vAlign w:val="center"/>
            <w:hideMark/>
          </w:tcPr>
          <w:p w14:paraId="7AC3E136" w14:textId="77777777" w:rsidR="00647930" w:rsidRPr="00336FA0" w:rsidRDefault="00647930" w:rsidP="000A5389">
            <w:pPr>
              <w:spacing w:line="240" w:lineRule="auto"/>
              <w:rPr>
                <w:rFonts w:eastAsia="Times New Roman" w:cs="Times New Roman"/>
                <w:kern w:val="0"/>
                <w:sz w:val="18"/>
                <w:szCs w:val="18"/>
                <w:lang w:eastAsia="es-CO"/>
                <w14:ligatures w14:val="none"/>
              </w:rPr>
            </w:pPr>
            <w:r w:rsidRPr="00336FA0">
              <w:rPr>
                <w:rFonts w:eastAsia="Times New Roman" w:cs="Times New Roman"/>
                <w:kern w:val="0"/>
                <w:sz w:val="18"/>
                <w:szCs w:val="18"/>
                <w:lang w:eastAsia="es-CO"/>
                <w14:ligatures w14:val="none"/>
              </w:rPr>
              <w:t>Comisiones</w:t>
            </w:r>
          </w:p>
        </w:tc>
        <w:tc>
          <w:tcPr>
            <w:tcW w:w="1014" w:type="pct"/>
            <w:noWrap/>
            <w:vAlign w:val="center"/>
            <w:hideMark/>
          </w:tcPr>
          <w:p w14:paraId="47A3BF51" w14:textId="77777777" w:rsidR="00647930" w:rsidRPr="00336FA0" w:rsidRDefault="00647930" w:rsidP="000A5389">
            <w:pPr>
              <w:spacing w:line="240" w:lineRule="auto"/>
              <w:jc w:val="right"/>
              <w:rPr>
                <w:rFonts w:eastAsia="Times New Roman" w:cs="Times New Roman"/>
                <w:kern w:val="0"/>
                <w:sz w:val="18"/>
                <w:szCs w:val="18"/>
                <w:lang w:eastAsia="es-CO"/>
                <w14:ligatures w14:val="none"/>
              </w:rPr>
            </w:pPr>
            <w:r w:rsidRPr="00336FA0">
              <w:rPr>
                <w:rFonts w:eastAsia="Times New Roman" w:cs="Times New Roman"/>
                <w:kern w:val="0"/>
                <w:sz w:val="18"/>
                <w:szCs w:val="18"/>
                <w:lang w:eastAsia="es-CO"/>
                <w14:ligatures w14:val="none"/>
              </w:rPr>
              <w:t>149.436.504</w:t>
            </w:r>
          </w:p>
        </w:tc>
        <w:tc>
          <w:tcPr>
            <w:tcW w:w="1014" w:type="pct"/>
            <w:noWrap/>
            <w:vAlign w:val="center"/>
            <w:hideMark/>
          </w:tcPr>
          <w:p w14:paraId="6FEF5313" w14:textId="77777777" w:rsidR="00647930" w:rsidRPr="00336FA0" w:rsidRDefault="00647930" w:rsidP="000A5389">
            <w:pPr>
              <w:spacing w:line="240" w:lineRule="auto"/>
              <w:jc w:val="right"/>
              <w:rPr>
                <w:rFonts w:eastAsia="Times New Roman" w:cs="Times New Roman"/>
                <w:kern w:val="0"/>
                <w:sz w:val="18"/>
                <w:szCs w:val="18"/>
                <w:lang w:eastAsia="es-CO"/>
                <w14:ligatures w14:val="none"/>
              </w:rPr>
            </w:pPr>
            <w:r w:rsidRPr="00336FA0">
              <w:rPr>
                <w:rFonts w:eastAsia="Times New Roman" w:cs="Times New Roman"/>
                <w:kern w:val="0"/>
                <w:sz w:val="18"/>
                <w:szCs w:val="18"/>
                <w:lang w:eastAsia="es-CO"/>
                <w14:ligatures w14:val="none"/>
              </w:rPr>
              <w:t>36.200</w:t>
            </w:r>
          </w:p>
        </w:tc>
        <w:tc>
          <w:tcPr>
            <w:tcW w:w="920" w:type="pct"/>
            <w:noWrap/>
            <w:vAlign w:val="center"/>
            <w:hideMark/>
          </w:tcPr>
          <w:p w14:paraId="4B52F923" w14:textId="77777777" w:rsidR="00647930" w:rsidRPr="00336FA0" w:rsidRDefault="00647930" w:rsidP="000A5389">
            <w:pPr>
              <w:spacing w:line="240" w:lineRule="auto"/>
              <w:jc w:val="right"/>
              <w:rPr>
                <w:rFonts w:eastAsia="Times New Roman" w:cs="Times New Roman"/>
                <w:b/>
                <w:bCs/>
                <w:kern w:val="0"/>
                <w:sz w:val="18"/>
                <w:szCs w:val="18"/>
                <w:lang w:eastAsia="es-CO"/>
                <w14:ligatures w14:val="none"/>
              </w:rPr>
            </w:pPr>
            <w:r w:rsidRPr="00336FA0">
              <w:rPr>
                <w:rFonts w:eastAsia="Times New Roman" w:cs="Times New Roman"/>
                <w:b/>
                <w:bCs/>
                <w:kern w:val="0"/>
                <w:sz w:val="18"/>
                <w:szCs w:val="18"/>
                <w:lang w:eastAsia="es-CO"/>
                <w14:ligatures w14:val="none"/>
              </w:rPr>
              <w:t>149.400.304</w:t>
            </w:r>
          </w:p>
        </w:tc>
      </w:tr>
    </w:tbl>
    <w:p w14:paraId="32ED266B" w14:textId="768AB276" w:rsidR="0095714D" w:rsidRPr="00951AB1" w:rsidRDefault="00647930" w:rsidP="000A5389">
      <w:pPr>
        <w:spacing w:line="240" w:lineRule="auto"/>
        <w:rPr>
          <w:rFonts w:cs="Times New Roman"/>
          <w:sz w:val="16"/>
          <w:szCs w:val="16"/>
        </w:rPr>
      </w:pPr>
      <w:r w:rsidRPr="00951AB1">
        <w:rPr>
          <w:rFonts w:cs="Times New Roman"/>
          <w:sz w:val="16"/>
          <w:szCs w:val="16"/>
        </w:rPr>
        <w:t>Cifras en pesos</w:t>
      </w:r>
    </w:p>
    <w:p w14:paraId="4687FB6E" w14:textId="77777777" w:rsidR="00933134" w:rsidRPr="00951AB1" w:rsidRDefault="00933134" w:rsidP="000A5389">
      <w:pPr>
        <w:spacing w:line="240" w:lineRule="auto"/>
        <w:rPr>
          <w:rFonts w:cs="Times New Roman"/>
          <w:sz w:val="16"/>
          <w:szCs w:val="16"/>
        </w:rPr>
      </w:pPr>
    </w:p>
    <w:p w14:paraId="004F885C" w14:textId="1B8E5F90" w:rsidR="008E133C" w:rsidRDefault="008E133C" w:rsidP="000A5389">
      <w:pPr>
        <w:spacing w:line="240" w:lineRule="auto"/>
        <w:rPr>
          <w:rFonts w:cs="Times New Roman"/>
          <w:szCs w:val="24"/>
        </w:rPr>
      </w:pPr>
      <w:r w:rsidRPr="00951AB1">
        <w:rPr>
          <w:rFonts w:cs="Times New Roman"/>
          <w:szCs w:val="24"/>
        </w:rPr>
        <w:t>En la vigencia 2025, el rubro Otros gastos presenta un incremento de $657.632.547.633 (13,85%) frente a 2024. Esta variación obedece principalmente al comportamiento de los gastos financieros, que aumentaron $728.780.386.889 (18,86%) y representan el 85% del total del rubro.</w:t>
      </w:r>
    </w:p>
    <w:p w14:paraId="0C5CC2A0" w14:textId="77777777" w:rsidR="00953AA2" w:rsidRPr="00951AB1" w:rsidRDefault="00953AA2" w:rsidP="000A5389">
      <w:pPr>
        <w:spacing w:line="240" w:lineRule="auto"/>
        <w:rPr>
          <w:rFonts w:cs="Times New Roman"/>
          <w:szCs w:val="24"/>
        </w:rPr>
      </w:pPr>
    </w:p>
    <w:p w14:paraId="104976FD" w14:textId="731E53CC" w:rsidR="008E133C" w:rsidRPr="00951AB1" w:rsidRDefault="008E133C" w:rsidP="000A5389">
      <w:pPr>
        <w:spacing w:line="240" w:lineRule="auto"/>
        <w:rPr>
          <w:rFonts w:cs="Times New Roman"/>
          <w:szCs w:val="24"/>
        </w:rPr>
      </w:pPr>
      <w:r w:rsidRPr="00951AB1">
        <w:rPr>
          <w:rFonts w:cs="Times New Roman"/>
          <w:szCs w:val="24"/>
        </w:rPr>
        <w:t>El crecimiento se explica por:</w:t>
      </w:r>
    </w:p>
    <w:p w14:paraId="6D668C04" w14:textId="77777777" w:rsidR="008E133C" w:rsidRPr="00951AB1" w:rsidRDefault="008E133C" w:rsidP="000A5389">
      <w:pPr>
        <w:pStyle w:val="Prrafodelista"/>
        <w:numPr>
          <w:ilvl w:val="0"/>
          <w:numId w:val="46"/>
        </w:numPr>
        <w:spacing w:line="240" w:lineRule="auto"/>
        <w:rPr>
          <w:rFonts w:cs="Times New Roman"/>
          <w:szCs w:val="24"/>
        </w:rPr>
      </w:pPr>
      <w:r w:rsidRPr="00951AB1">
        <w:rPr>
          <w:rFonts w:cs="Times New Roman"/>
          <w:szCs w:val="24"/>
        </w:rPr>
        <w:t>Mayor reconocimiento del costo financiero asociado a los acuerdos de concesión clasificados como pasivo financiero y pasivo mixto.</w:t>
      </w:r>
    </w:p>
    <w:p w14:paraId="3C59898C" w14:textId="5F366137" w:rsidR="008E133C" w:rsidRPr="00951AB1" w:rsidRDefault="008E133C" w:rsidP="000A5389">
      <w:pPr>
        <w:pStyle w:val="Prrafodelista"/>
        <w:numPr>
          <w:ilvl w:val="0"/>
          <w:numId w:val="46"/>
        </w:numPr>
        <w:spacing w:line="240" w:lineRule="auto"/>
        <w:rPr>
          <w:rFonts w:cs="Times New Roman"/>
          <w:szCs w:val="24"/>
        </w:rPr>
      </w:pPr>
      <w:r w:rsidRPr="00951AB1">
        <w:rPr>
          <w:rFonts w:cs="Times New Roman"/>
          <w:szCs w:val="24"/>
        </w:rPr>
        <w:t>Incremento en los intereses derivados de laudos arbitrales y decisiones de amigables componedores.</w:t>
      </w:r>
    </w:p>
    <w:p w14:paraId="51FEA371" w14:textId="77777777" w:rsidR="008E133C" w:rsidRDefault="008E133C" w:rsidP="000A5389">
      <w:pPr>
        <w:pStyle w:val="Prrafodelista"/>
        <w:numPr>
          <w:ilvl w:val="0"/>
          <w:numId w:val="46"/>
        </w:numPr>
        <w:spacing w:line="240" w:lineRule="auto"/>
        <w:rPr>
          <w:rFonts w:cs="Times New Roman"/>
          <w:szCs w:val="24"/>
        </w:rPr>
      </w:pPr>
      <w:r w:rsidRPr="00951AB1">
        <w:rPr>
          <w:rFonts w:cs="Times New Roman"/>
          <w:szCs w:val="24"/>
        </w:rPr>
        <w:t>Materialización de riesgos contractuales que generaron la ejecución de garantías.</w:t>
      </w:r>
    </w:p>
    <w:p w14:paraId="569217DC" w14:textId="77777777" w:rsidR="00953AA2" w:rsidRPr="00951AB1" w:rsidRDefault="00953AA2" w:rsidP="000A5389">
      <w:pPr>
        <w:pStyle w:val="Prrafodelista"/>
        <w:numPr>
          <w:ilvl w:val="0"/>
          <w:numId w:val="46"/>
        </w:numPr>
        <w:spacing w:line="240" w:lineRule="auto"/>
        <w:rPr>
          <w:rFonts w:cs="Times New Roman"/>
          <w:szCs w:val="24"/>
        </w:rPr>
      </w:pPr>
    </w:p>
    <w:p w14:paraId="7CE9B64F" w14:textId="35970F9D" w:rsidR="008E133C" w:rsidRDefault="008E133C" w:rsidP="000A5389">
      <w:pPr>
        <w:spacing w:line="240" w:lineRule="auto"/>
        <w:rPr>
          <w:rFonts w:cs="Times New Roman"/>
          <w:szCs w:val="24"/>
        </w:rPr>
      </w:pPr>
      <w:r w:rsidRPr="00951AB1">
        <w:rPr>
          <w:rFonts w:cs="Times New Roman"/>
          <w:szCs w:val="24"/>
        </w:rPr>
        <w:lastRenderedPageBreak/>
        <w:t>El saldo de $4.594.205.801.329 está compuesto principalmente por:</w:t>
      </w:r>
    </w:p>
    <w:p w14:paraId="4489C641" w14:textId="77777777" w:rsidR="00953AA2" w:rsidRPr="00951AB1" w:rsidRDefault="00953AA2" w:rsidP="000A5389">
      <w:pPr>
        <w:spacing w:line="240" w:lineRule="auto"/>
        <w:rPr>
          <w:rFonts w:cs="Times New Roman"/>
          <w:szCs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678"/>
        <w:gridCol w:w="5263"/>
        <w:gridCol w:w="1887"/>
      </w:tblGrid>
      <w:tr w:rsidR="003426DD" w:rsidRPr="00336FA0" w14:paraId="55AB8242" w14:textId="77777777" w:rsidTr="009D3372">
        <w:trPr>
          <w:trHeight w:val="340"/>
          <w:tblHeader/>
        </w:trPr>
        <w:tc>
          <w:tcPr>
            <w:tcW w:w="950" w:type="pct"/>
            <w:vAlign w:val="center"/>
            <w:hideMark/>
          </w:tcPr>
          <w:p w14:paraId="05A82946" w14:textId="77777777" w:rsidR="000B6E76" w:rsidRPr="00336FA0" w:rsidRDefault="000B6E76" w:rsidP="000A5389">
            <w:pPr>
              <w:spacing w:line="240" w:lineRule="auto"/>
              <w:rPr>
                <w:rFonts w:cs="Times New Roman"/>
                <w:b/>
                <w:bCs/>
                <w:sz w:val="18"/>
                <w:szCs w:val="18"/>
              </w:rPr>
            </w:pPr>
            <w:r w:rsidRPr="00336FA0">
              <w:rPr>
                <w:rFonts w:cs="Times New Roman"/>
                <w:b/>
                <w:bCs/>
                <w:sz w:val="18"/>
                <w:szCs w:val="18"/>
              </w:rPr>
              <w:t>CODIGO</w:t>
            </w:r>
          </w:p>
        </w:tc>
        <w:tc>
          <w:tcPr>
            <w:tcW w:w="2981" w:type="pct"/>
            <w:vAlign w:val="center"/>
            <w:hideMark/>
          </w:tcPr>
          <w:p w14:paraId="1F44080C" w14:textId="77777777" w:rsidR="000B6E76" w:rsidRPr="00336FA0" w:rsidRDefault="000B6E76" w:rsidP="000A5389">
            <w:pPr>
              <w:spacing w:line="240" w:lineRule="auto"/>
              <w:rPr>
                <w:rFonts w:cs="Times New Roman"/>
                <w:b/>
                <w:bCs/>
                <w:sz w:val="18"/>
                <w:szCs w:val="18"/>
              </w:rPr>
            </w:pPr>
            <w:r w:rsidRPr="00336FA0">
              <w:rPr>
                <w:rFonts w:cs="Times New Roman"/>
                <w:b/>
                <w:bCs/>
                <w:sz w:val="18"/>
                <w:szCs w:val="18"/>
              </w:rPr>
              <w:t>DESCRIPCIÓN</w:t>
            </w:r>
          </w:p>
        </w:tc>
        <w:tc>
          <w:tcPr>
            <w:tcW w:w="1069" w:type="pct"/>
            <w:vAlign w:val="center"/>
            <w:hideMark/>
          </w:tcPr>
          <w:p w14:paraId="0FF56EE2" w14:textId="5147514C" w:rsidR="000B6E76" w:rsidRPr="00336FA0" w:rsidRDefault="000B6E76" w:rsidP="000A5389">
            <w:pPr>
              <w:spacing w:line="240" w:lineRule="auto"/>
              <w:jc w:val="right"/>
              <w:rPr>
                <w:rFonts w:cs="Times New Roman"/>
                <w:b/>
                <w:bCs/>
                <w:sz w:val="18"/>
                <w:szCs w:val="18"/>
              </w:rPr>
            </w:pPr>
            <w:r w:rsidRPr="00336FA0">
              <w:rPr>
                <w:rFonts w:cs="Times New Roman"/>
                <w:b/>
                <w:bCs/>
                <w:sz w:val="18"/>
                <w:szCs w:val="18"/>
              </w:rPr>
              <w:t>VALOR</w:t>
            </w:r>
          </w:p>
        </w:tc>
      </w:tr>
      <w:tr w:rsidR="007220B5" w:rsidRPr="00336FA0" w14:paraId="5ACECF53" w14:textId="77777777" w:rsidTr="00336FA0">
        <w:trPr>
          <w:trHeight w:val="221"/>
        </w:trPr>
        <w:tc>
          <w:tcPr>
            <w:tcW w:w="950" w:type="pct"/>
            <w:vMerge w:val="restart"/>
            <w:vAlign w:val="center"/>
          </w:tcPr>
          <w:p w14:paraId="1550A192" w14:textId="77777777" w:rsidR="00FE2440" w:rsidRPr="00336FA0" w:rsidRDefault="00FE2440" w:rsidP="000A5389">
            <w:pPr>
              <w:spacing w:line="240" w:lineRule="auto"/>
              <w:rPr>
                <w:rFonts w:cs="Times New Roman"/>
                <w:sz w:val="18"/>
                <w:szCs w:val="18"/>
              </w:rPr>
            </w:pPr>
            <w:r w:rsidRPr="00336FA0">
              <w:rPr>
                <w:rFonts w:cs="Times New Roman"/>
                <w:sz w:val="18"/>
                <w:szCs w:val="18"/>
              </w:rPr>
              <w:t>Otros gastos</w:t>
            </w:r>
          </w:p>
          <w:p w14:paraId="257CEA56" w14:textId="4436B69D" w:rsidR="00FE2440" w:rsidRPr="00336FA0" w:rsidRDefault="00FE2440" w:rsidP="000A5389">
            <w:pPr>
              <w:spacing w:line="240" w:lineRule="auto"/>
              <w:rPr>
                <w:rFonts w:cs="Times New Roman"/>
                <w:sz w:val="18"/>
                <w:szCs w:val="18"/>
              </w:rPr>
            </w:pPr>
            <w:r w:rsidRPr="00336FA0">
              <w:rPr>
                <w:rFonts w:cs="Times New Roman"/>
                <w:sz w:val="18"/>
                <w:szCs w:val="18"/>
              </w:rPr>
              <w:t>Financieros</w:t>
            </w:r>
          </w:p>
          <w:p w14:paraId="2FB0F39F" w14:textId="19DC0F24" w:rsidR="000B6E76" w:rsidRPr="00336FA0" w:rsidRDefault="000B6E76" w:rsidP="000A5389">
            <w:pPr>
              <w:spacing w:line="240" w:lineRule="auto"/>
              <w:rPr>
                <w:rFonts w:cs="Times New Roman"/>
                <w:sz w:val="18"/>
                <w:szCs w:val="18"/>
              </w:rPr>
            </w:pPr>
          </w:p>
        </w:tc>
        <w:tc>
          <w:tcPr>
            <w:tcW w:w="2981" w:type="pct"/>
            <w:vAlign w:val="center"/>
            <w:hideMark/>
          </w:tcPr>
          <w:p w14:paraId="327EE5D7" w14:textId="77777777" w:rsidR="000B6E76" w:rsidRPr="00336FA0" w:rsidRDefault="000B6E76" w:rsidP="000A5389">
            <w:pPr>
              <w:spacing w:line="240" w:lineRule="auto"/>
              <w:rPr>
                <w:rFonts w:cs="Times New Roman"/>
                <w:sz w:val="18"/>
                <w:szCs w:val="18"/>
              </w:rPr>
            </w:pPr>
            <w:r w:rsidRPr="00336FA0">
              <w:rPr>
                <w:rFonts w:cs="Times New Roman"/>
                <w:sz w:val="18"/>
                <w:szCs w:val="18"/>
              </w:rPr>
              <w:t>Costo efectivo-intereses</w:t>
            </w:r>
          </w:p>
        </w:tc>
        <w:tc>
          <w:tcPr>
            <w:tcW w:w="1069" w:type="pct"/>
            <w:vAlign w:val="center"/>
            <w:hideMark/>
          </w:tcPr>
          <w:p w14:paraId="49444318" w14:textId="4D25778A" w:rsidR="000B6E76" w:rsidRPr="00336FA0" w:rsidRDefault="000B6E76" w:rsidP="000A5389">
            <w:pPr>
              <w:spacing w:line="240" w:lineRule="auto"/>
              <w:jc w:val="right"/>
              <w:rPr>
                <w:rFonts w:cs="Times New Roman"/>
                <w:sz w:val="18"/>
                <w:szCs w:val="18"/>
              </w:rPr>
            </w:pPr>
            <w:r w:rsidRPr="00336FA0">
              <w:rPr>
                <w:rFonts w:cs="Times New Roman"/>
                <w:sz w:val="18"/>
                <w:szCs w:val="18"/>
              </w:rPr>
              <w:t>3.275.213.843.918</w:t>
            </w:r>
          </w:p>
        </w:tc>
      </w:tr>
      <w:tr w:rsidR="00934AB7" w:rsidRPr="00336FA0" w14:paraId="56002CDB" w14:textId="77777777" w:rsidTr="00336FA0">
        <w:trPr>
          <w:trHeight w:val="253"/>
        </w:trPr>
        <w:tc>
          <w:tcPr>
            <w:tcW w:w="950" w:type="pct"/>
            <w:vMerge/>
            <w:vAlign w:val="center"/>
          </w:tcPr>
          <w:p w14:paraId="4AF49AAA" w14:textId="65DFD560" w:rsidR="000B6E76" w:rsidRPr="00336FA0" w:rsidRDefault="000B6E76" w:rsidP="000A5389">
            <w:pPr>
              <w:spacing w:line="240" w:lineRule="auto"/>
              <w:rPr>
                <w:rFonts w:cs="Times New Roman"/>
                <w:sz w:val="18"/>
                <w:szCs w:val="18"/>
              </w:rPr>
            </w:pPr>
          </w:p>
        </w:tc>
        <w:tc>
          <w:tcPr>
            <w:tcW w:w="2981" w:type="pct"/>
            <w:vAlign w:val="center"/>
            <w:hideMark/>
          </w:tcPr>
          <w:p w14:paraId="24DE3ABC" w14:textId="77777777" w:rsidR="000B6E76" w:rsidRPr="00336FA0" w:rsidRDefault="000B6E76" w:rsidP="000A5389">
            <w:pPr>
              <w:spacing w:line="240" w:lineRule="auto"/>
              <w:rPr>
                <w:rFonts w:cs="Times New Roman"/>
                <w:sz w:val="18"/>
                <w:szCs w:val="18"/>
              </w:rPr>
            </w:pPr>
            <w:r w:rsidRPr="00336FA0">
              <w:rPr>
                <w:rFonts w:cs="Times New Roman"/>
                <w:sz w:val="18"/>
                <w:szCs w:val="18"/>
              </w:rPr>
              <w:t>Otros intereses de mora</w:t>
            </w:r>
          </w:p>
        </w:tc>
        <w:tc>
          <w:tcPr>
            <w:tcW w:w="1069" w:type="pct"/>
            <w:vAlign w:val="center"/>
            <w:hideMark/>
          </w:tcPr>
          <w:p w14:paraId="7C800301" w14:textId="741D02B9" w:rsidR="000B6E76" w:rsidRPr="00336FA0" w:rsidRDefault="000B6E76" w:rsidP="000A5389">
            <w:pPr>
              <w:spacing w:line="240" w:lineRule="auto"/>
              <w:jc w:val="right"/>
              <w:rPr>
                <w:rFonts w:cs="Times New Roman"/>
                <w:sz w:val="18"/>
                <w:szCs w:val="18"/>
              </w:rPr>
            </w:pPr>
            <w:r w:rsidRPr="00336FA0">
              <w:rPr>
                <w:rFonts w:cs="Times New Roman"/>
                <w:sz w:val="18"/>
                <w:szCs w:val="18"/>
              </w:rPr>
              <w:t>828.111.926.</w:t>
            </w:r>
            <w:r w:rsidR="00FE2440" w:rsidRPr="00336FA0">
              <w:rPr>
                <w:rFonts w:cs="Times New Roman"/>
                <w:sz w:val="18"/>
                <w:szCs w:val="18"/>
              </w:rPr>
              <w:t>059</w:t>
            </w:r>
          </w:p>
        </w:tc>
      </w:tr>
      <w:tr w:rsidR="00934AB7" w:rsidRPr="00336FA0" w14:paraId="3BD04DCB" w14:textId="77777777" w:rsidTr="009D3372">
        <w:trPr>
          <w:trHeight w:val="340"/>
        </w:trPr>
        <w:tc>
          <w:tcPr>
            <w:tcW w:w="950" w:type="pct"/>
            <w:vMerge/>
            <w:vAlign w:val="center"/>
          </w:tcPr>
          <w:p w14:paraId="5FC5B230" w14:textId="5709A030" w:rsidR="000B6E76" w:rsidRPr="00336FA0" w:rsidRDefault="000B6E76" w:rsidP="000A5389">
            <w:pPr>
              <w:spacing w:line="240" w:lineRule="auto"/>
              <w:rPr>
                <w:rFonts w:cs="Times New Roman"/>
                <w:sz w:val="18"/>
                <w:szCs w:val="18"/>
              </w:rPr>
            </w:pPr>
          </w:p>
        </w:tc>
        <w:tc>
          <w:tcPr>
            <w:tcW w:w="2981" w:type="pct"/>
            <w:vAlign w:val="center"/>
            <w:hideMark/>
          </w:tcPr>
          <w:p w14:paraId="3E51B31B" w14:textId="77777777" w:rsidR="000B6E76" w:rsidRPr="00336FA0" w:rsidRDefault="000B6E76" w:rsidP="000A5389">
            <w:pPr>
              <w:spacing w:line="240" w:lineRule="auto"/>
              <w:rPr>
                <w:rFonts w:cs="Times New Roman"/>
                <w:sz w:val="18"/>
                <w:szCs w:val="18"/>
              </w:rPr>
            </w:pPr>
            <w:r w:rsidRPr="00336FA0">
              <w:rPr>
                <w:rFonts w:cs="Times New Roman"/>
                <w:sz w:val="18"/>
                <w:szCs w:val="18"/>
              </w:rPr>
              <w:t>Garantías contractuales - concesiones</w:t>
            </w:r>
          </w:p>
        </w:tc>
        <w:tc>
          <w:tcPr>
            <w:tcW w:w="1069" w:type="pct"/>
            <w:vAlign w:val="center"/>
            <w:hideMark/>
          </w:tcPr>
          <w:p w14:paraId="5F50DA37" w14:textId="148D9846" w:rsidR="000B6E76" w:rsidRPr="00336FA0" w:rsidRDefault="000B6E76" w:rsidP="000A5389">
            <w:pPr>
              <w:spacing w:line="240" w:lineRule="auto"/>
              <w:jc w:val="right"/>
              <w:rPr>
                <w:rFonts w:cs="Times New Roman"/>
                <w:sz w:val="18"/>
                <w:szCs w:val="18"/>
              </w:rPr>
            </w:pPr>
            <w:r w:rsidRPr="00336FA0">
              <w:rPr>
                <w:rFonts w:cs="Times New Roman"/>
                <w:sz w:val="18"/>
                <w:szCs w:val="18"/>
              </w:rPr>
              <w:t>750.502.870.</w:t>
            </w:r>
            <w:r w:rsidR="00FE2440" w:rsidRPr="00336FA0">
              <w:rPr>
                <w:rFonts w:cs="Times New Roman"/>
                <w:sz w:val="18"/>
                <w:szCs w:val="18"/>
              </w:rPr>
              <w:t>818</w:t>
            </w:r>
          </w:p>
        </w:tc>
      </w:tr>
      <w:tr w:rsidR="00934AB7" w:rsidRPr="00336FA0" w14:paraId="75A0A7B2" w14:textId="77777777" w:rsidTr="009D3372">
        <w:trPr>
          <w:trHeight w:val="340"/>
        </w:trPr>
        <w:tc>
          <w:tcPr>
            <w:tcW w:w="950" w:type="pct"/>
            <w:vMerge/>
            <w:vAlign w:val="center"/>
          </w:tcPr>
          <w:p w14:paraId="4145281B" w14:textId="275322E3" w:rsidR="000B6E76" w:rsidRPr="00336FA0" w:rsidRDefault="000B6E76" w:rsidP="000A5389">
            <w:pPr>
              <w:spacing w:line="240" w:lineRule="auto"/>
              <w:rPr>
                <w:rFonts w:cs="Times New Roman"/>
                <w:sz w:val="18"/>
                <w:szCs w:val="18"/>
              </w:rPr>
            </w:pPr>
          </w:p>
        </w:tc>
        <w:tc>
          <w:tcPr>
            <w:tcW w:w="2981" w:type="pct"/>
            <w:vAlign w:val="center"/>
            <w:hideMark/>
          </w:tcPr>
          <w:p w14:paraId="152078F7" w14:textId="77777777" w:rsidR="000B6E76" w:rsidRPr="00336FA0" w:rsidRDefault="000B6E76" w:rsidP="000A5389">
            <w:pPr>
              <w:spacing w:line="240" w:lineRule="auto"/>
              <w:rPr>
                <w:rFonts w:cs="Times New Roman"/>
                <w:sz w:val="18"/>
                <w:szCs w:val="18"/>
              </w:rPr>
            </w:pPr>
            <w:r w:rsidRPr="00336FA0">
              <w:rPr>
                <w:rFonts w:cs="Times New Roman"/>
                <w:sz w:val="18"/>
                <w:szCs w:val="18"/>
              </w:rPr>
              <w:t>Intereses de laudos arbitrales y conciliaciones extrajudiciales</w:t>
            </w:r>
          </w:p>
        </w:tc>
        <w:tc>
          <w:tcPr>
            <w:tcW w:w="1069" w:type="pct"/>
            <w:vAlign w:val="center"/>
            <w:hideMark/>
          </w:tcPr>
          <w:p w14:paraId="19CD5773" w14:textId="7C05D113" w:rsidR="000B6E76" w:rsidRPr="00336FA0" w:rsidRDefault="000B6E76" w:rsidP="000A5389">
            <w:pPr>
              <w:spacing w:line="240" w:lineRule="auto"/>
              <w:jc w:val="right"/>
              <w:rPr>
                <w:rFonts w:cs="Times New Roman"/>
                <w:sz w:val="18"/>
                <w:szCs w:val="18"/>
              </w:rPr>
            </w:pPr>
            <w:r w:rsidRPr="00336FA0">
              <w:rPr>
                <w:rFonts w:cs="Times New Roman"/>
                <w:sz w:val="18"/>
                <w:szCs w:val="18"/>
              </w:rPr>
              <w:t>451.866.906.583</w:t>
            </w:r>
          </w:p>
        </w:tc>
      </w:tr>
      <w:tr w:rsidR="00934AB7" w:rsidRPr="00336FA0" w14:paraId="5BD65ED2" w14:textId="77777777" w:rsidTr="009D3372">
        <w:trPr>
          <w:trHeight w:val="340"/>
        </w:trPr>
        <w:tc>
          <w:tcPr>
            <w:tcW w:w="950" w:type="pct"/>
            <w:vMerge/>
            <w:vAlign w:val="center"/>
          </w:tcPr>
          <w:p w14:paraId="2F4E5E76" w14:textId="3B6E22F3" w:rsidR="000B6E76" w:rsidRPr="00336FA0" w:rsidRDefault="000B6E76" w:rsidP="000A5389">
            <w:pPr>
              <w:spacing w:line="240" w:lineRule="auto"/>
              <w:rPr>
                <w:rFonts w:cs="Times New Roman"/>
                <w:sz w:val="18"/>
                <w:szCs w:val="18"/>
              </w:rPr>
            </w:pPr>
          </w:p>
        </w:tc>
        <w:tc>
          <w:tcPr>
            <w:tcW w:w="2981" w:type="pct"/>
            <w:vAlign w:val="center"/>
            <w:hideMark/>
          </w:tcPr>
          <w:p w14:paraId="6C8AA603" w14:textId="77777777" w:rsidR="000B6E76" w:rsidRPr="00336FA0" w:rsidRDefault="000B6E76" w:rsidP="000A5389">
            <w:pPr>
              <w:spacing w:line="240" w:lineRule="auto"/>
              <w:rPr>
                <w:rFonts w:cs="Times New Roman"/>
                <w:sz w:val="18"/>
                <w:szCs w:val="18"/>
              </w:rPr>
            </w:pPr>
            <w:r w:rsidRPr="00336FA0">
              <w:rPr>
                <w:rFonts w:cs="Times New Roman"/>
                <w:sz w:val="18"/>
                <w:szCs w:val="18"/>
              </w:rPr>
              <w:t>Laudos arbitrales y conciliaciones extrajudiciales</w:t>
            </w:r>
          </w:p>
        </w:tc>
        <w:tc>
          <w:tcPr>
            <w:tcW w:w="1069" w:type="pct"/>
            <w:vAlign w:val="center"/>
            <w:hideMark/>
          </w:tcPr>
          <w:p w14:paraId="1E0FB66E" w14:textId="63403E7D" w:rsidR="000B6E76" w:rsidRPr="00336FA0" w:rsidRDefault="000B6E76" w:rsidP="000A5389">
            <w:pPr>
              <w:spacing w:line="240" w:lineRule="auto"/>
              <w:jc w:val="right"/>
              <w:rPr>
                <w:rFonts w:cs="Times New Roman"/>
                <w:sz w:val="18"/>
                <w:szCs w:val="18"/>
              </w:rPr>
            </w:pPr>
            <w:r w:rsidRPr="00336FA0">
              <w:rPr>
                <w:rFonts w:cs="Times New Roman"/>
                <w:sz w:val="18"/>
                <w:szCs w:val="18"/>
              </w:rPr>
              <w:t>54.408.991.</w:t>
            </w:r>
            <w:r w:rsidR="00FE2440" w:rsidRPr="00336FA0">
              <w:rPr>
                <w:rFonts w:cs="Times New Roman"/>
                <w:sz w:val="18"/>
                <w:szCs w:val="18"/>
              </w:rPr>
              <w:t>465</w:t>
            </w:r>
          </w:p>
        </w:tc>
      </w:tr>
      <w:tr w:rsidR="00934AB7" w:rsidRPr="00336FA0" w14:paraId="3B34C4BE" w14:textId="77777777" w:rsidTr="009D3372">
        <w:trPr>
          <w:trHeight w:val="340"/>
        </w:trPr>
        <w:tc>
          <w:tcPr>
            <w:tcW w:w="950" w:type="pct"/>
            <w:vMerge/>
            <w:vAlign w:val="center"/>
          </w:tcPr>
          <w:p w14:paraId="4A00755B" w14:textId="0B3F9EDF" w:rsidR="000B6E76" w:rsidRPr="00336FA0" w:rsidRDefault="000B6E76" w:rsidP="000A5389">
            <w:pPr>
              <w:spacing w:line="240" w:lineRule="auto"/>
              <w:rPr>
                <w:rFonts w:cs="Times New Roman"/>
                <w:sz w:val="18"/>
                <w:szCs w:val="18"/>
              </w:rPr>
            </w:pPr>
          </w:p>
        </w:tc>
        <w:tc>
          <w:tcPr>
            <w:tcW w:w="2981" w:type="pct"/>
            <w:vAlign w:val="center"/>
            <w:hideMark/>
          </w:tcPr>
          <w:p w14:paraId="0EA30073" w14:textId="77777777" w:rsidR="000B6E76" w:rsidRPr="00336FA0" w:rsidRDefault="000B6E76" w:rsidP="000A5389">
            <w:pPr>
              <w:spacing w:line="240" w:lineRule="auto"/>
              <w:rPr>
                <w:rFonts w:cs="Times New Roman"/>
                <w:sz w:val="18"/>
                <w:szCs w:val="18"/>
              </w:rPr>
            </w:pPr>
            <w:r w:rsidRPr="00336FA0">
              <w:rPr>
                <w:rFonts w:cs="Times New Roman"/>
                <w:sz w:val="18"/>
                <w:szCs w:val="18"/>
              </w:rPr>
              <w:t>Otros gastos financieros</w:t>
            </w:r>
          </w:p>
        </w:tc>
        <w:tc>
          <w:tcPr>
            <w:tcW w:w="1069" w:type="pct"/>
            <w:vAlign w:val="center"/>
            <w:hideMark/>
          </w:tcPr>
          <w:p w14:paraId="1E54EDD5" w14:textId="475F2452" w:rsidR="000B6E76" w:rsidRPr="00336FA0" w:rsidRDefault="000B6E76" w:rsidP="000A5389">
            <w:pPr>
              <w:spacing w:line="240" w:lineRule="auto"/>
              <w:jc w:val="right"/>
              <w:rPr>
                <w:rFonts w:cs="Times New Roman"/>
                <w:sz w:val="18"/>
                <w:szCs w:val="18"/>
              </w:rPr>
            </w:pPr>
            <w:r w:rsidRPr="00336FA0">
              <w:rPr>
                <w:rFonts w:cs="Times New Roman"/>
                <w:sz w:val="18"/>
                <w:szCs w:val="18"/>
              </w:rPr>
              <w:t>35.738.771.</w:t>
            </w:r>
            <w:r w:rsidR="00FE2440" w:rsidRPr="00336FA0">
              <w:rPr>
                <w:rFonts w:cs="Times New Roman"/>
                <w:sz w:val="18"/>
                <w:szCs w:val="18"/>
              </w:rPr>
              <w:t>483</w:t>
            </w:r>
          </w:p>
        </w:tc>
      </w:tr>
      <w:tr w:rsidR="00934AB7" w:rsidRPr="00336FA0" w14:paraId="114B18D5" w14:textId="77777777" w:rsidTr="009D3372">
        <w:trPr>
          <w:trHeight w:val="340"/>
        </w:trPr>
        <w:tc>
          <w:tcPr>
            <w:tcW w:w="950" w:type="pct"/>
            <w:vMerge/>
            <w:vAlign w:val="center"/>
          </w:tcPr>
          <w:p w14:paraId="726C87FC" w14:textId="22BE7547" w:rsidR="000B6E76" w:rsidRPr="00336FA0" w:rsidRDefault="000B6E76" w:rsidP="000A5389">
            <w:pPr>
              <w:spacing w:line="240" w:lineRule="auto"/>
              <w:rPr>
                <w:rFonts w:cs="Times New Roman"/>
                <w:sz w:val="18"/>
                <w:szCs w:val="18"/>
              </w:rPr>
            </w:pPr>
          </w:p>
        </w:tc>
        <w:tc>
          <w:tcPr>
            <w:tcW w:w="2981" w:type="pct"/>
            <w:vAlign w:val="center"/>
            <w:hideMark/>
          </w:tcPr>
          <w:p w14:paraId="48A9BC04" w14:textId="77777777" w:rsidR="000B6E76" w:rsidRPr="00336FA0" w:rsidRDefault="000B6E76" w:rsidP="000A5389">
            <w:pPr>
              <w:spacing w:line="240" w:lineRule="auto"/>
              <w:rPr>
                <w:rFonts w:cs="Times New Roman"/>
                <w:sz w:val="18"/>
                <w:szCs w:val="18"/>
              </w:rPr>
            </w:pPr>
            <w:r w:rsidRPr="00336FA0">
              <w:rPr>
                <w:rFonts w:cs="Times New Roman"/>
                <w:sz w:val="18"/>
                <w:szCs w:val="18"/>
              </w:rPr>
              <w:t>Cuentas por cobrar</w:t>
            </w:r>
          </w:p>
        </w:tc>
        <w:tc>
          <w:tcPr>
            <w:tcW w:w="1069" w:type="pct"/>
            <w:vAlign w:val="center"/>
            <w:hideMark/>
          </w:tcPr>
          <w:p w14:paraId="329ECDD4" w14:textId="527AC4C1" w:rsidR="000B6E76" w:rsidRPr="00336FA0" w:rsidRDefault="000B6E76" w:rsidP="000A5389">
            <w:pPr>
              <w:spacing w:line="240" w:lineRule="auto"/>
              <w:jc w:val="right"/>
              <w:rPr>
                <w:rFonts w:cs="Times New Roman"/>
                <w:sz w:val="18"/>
                <w:szCs w:val="18"/>
              </w:rPr>
            </w:pPr>
            <w:r w:rsidRPr="00336FA0">
              <w:rPr>
                <w:rFonts w:cs="Times New Roman"/>
                <w:sz w:val="18"/>
                <w:szCs w:val="18"/>
              </w:rPr>
              <w:t>7.090.998.095</w:t>
            </w:r>
          </w:p>
        </w:tc>
      </w:tr>
      <w:tr w:rsidR="00934AB7" w:rsidRPr="00336FA0" w14:paraId="3C46D54A" w14:textId="77777777" w:rsidTr="009D3372">
        <w:trPr>
          <w:trHeight w:val="340"/>
        </w:trPr>
        <w:tc>
          <w:tcPr>
            <w:tcW w:w="950" w:type="pct"/>
            <w:vMerge/>
            <w:vAlign w:val="center"/>
          </w:tcPr>
          <w:p w14:paraId="09045C8E" w14:textId="7FA5FB55" w:rsidR="000B6E76" w:rsidRPr="00336FA0" w:rsidRDefault="000B6E76" w:rsidP="000A5389">
            <w:pPr>
              <w:spacing w:line="240" w:lineRule="auto"/>
              <w:rPr>
                <w:rFonts w:cs="Times New Roman"/>
                <w:sz w:val="18"/>
                <w:szCs w:val="18"/>
              </w:rPr>
            </w:pPr>
          </w:p>
        </w:tc>
        <w:tc>
          <w:tcPr>
            <w:tcW w:w="2981" w:type="pct"/>
            <w:vAlign w:val="center"/>
            <w:hideMark/>
          </w:tcPr>
          <w:p w14:paraId="075F5768" w14:textId="77777777" w:rsidR="000B6E76" w:rsidRPr="00336FA0" w:rsidRDefault="000B6E76" w:rsidP="000A5389">
            <w:pPr>
              <w:spacing w:line="240" w:lineRule="auto"/>
              <w:rPr>
                <w:rFonts w:cs="Times New Roman"/>
                <w:sz w:val="18"/>
                <w:szCs w:val="18"/>
              </w:rPr>
            </w:pPr>
            <w:r w:rsidRPr="00336FA0">
              <w:rPr>
                <w:rFonts w:cs="Times New Roman"/>
                <w:sz w:val="18"/>
                <w:szCs w:val="18"/>
              </w:rPr>
              <w:t>Actualización financiera de provisiones</w:t>
            </w:r>
          </w:p>
        </w:tc>
        <w:tc>
          <w:tcPr>
            <w:tcW w:w="1069" w:type="pct"/>
            <w:vAlign w:val="center"/>
            <w:hideMark/>
          </w:tcPr>
          <w:p w14:paraId="6FA8DD83" w14:textId="4DBC76ED" w:rsidR="000B6E76" w:rsidRPr="00336FA0" w:rsidRDefault="000B6E76" w:rsidP="000A5389">
            <w:pPr>
              <w:spacing w:line="240" w:lineRule="auto"/>
              <w:jc w:val="right"/>
              <w:rPr>
                <w:rFonts w:cs="Times New Roman"/>
                <w:sz w:val="18"/>
                <w:szCs w:val="18"/>
              </w:rPr>
            </w:pPr>
            <w:r w:rsidRPr="00336FA0">
              <w:rPr>
                <w:rFonts w:cs="Times New Roman"/>
                <w:sz w:val="18"/>
                <w:szCs w:val="18"/>
              </w:rPr>
              <w:t>3.187.664.</w:t>
            </w:r>
            <w:r w:rsidR="00FE2440" w:rsidRPr="00336FA0">
              <w:rPr>
                <w:rFonts w:cs="Times New Roman"/>
                <w:sz w:val="18"/>
                <w:szCs w:val="18"/>
              </w:rPr>
              <w:t>835</w:t>
            </w:r>
          </w:p>
        </w:tc>
      </w:tr>
      <w:tr w:rsidR="00934AB7" w:rsidRPr="00336FA0" w14:paraId="37403887" w14:textId="77777777" w:rsidTr="009D3372">
        <w:trPr>
          <w:trHeight w:val="340"/>
        </w:trPr>
        <w:tc>
          <w:tcPr>
            <w:tcW w:w="950" w:type="pct"/>
            <w:vMerge/>
            <w:vAlign w:val="center"/>
          </w:tcPr>
          <w:p w14:paraId="0471448A" w14:textId="1DA7E437" w:rsidR="000B6E76" w:rsidRPr="00336FA0" w:rsidRDefault="000B6E76" w:rsidP="000A5389">
            <w:pPr>
              <w:spacing w:line="240" w:lineRule="auto"/>
              <w:rPr>
                <w:rFonts w:cs="Times New Roman"/>
                <w:sz w:val="18"/>
                <w:szCs w:val="18"/>
              </w:rPr>
            </w:pPr>
          </w:p>
        </w:tc>
        <w:tc>
          <w:tcPr>
            <w:tcW w:w="2981" w:type="pct"/>
            <w:vAlign w:val="center"/>
            <w:hideMark/>
          </w:tcPr>
          <w:p w14:paraId="085F0EA5" w14:textId="77777777" w:rsidR="000B6E76" w:rsidRPr="00336FA0" w:rsidRDefault="000B6E76" w:rsidP="000A5389">
            <w:pPr>
              <w:spacing w:line="240" w:lineRule="auto"/>
              <w:rPr>
                <w:rFonts w:cs="Times New Roman"/>
                <w:sz w:val="18"/>
                <w:szCs w:val="18"/>
              </w:rPr>
            </w:pPr>
            <w:r w:rsidRPr="00336FA0">
              <w:rPr>
                <w:rFonts w:cs="Times New Roman"/>
                <w:sz w:val="18"/>
                <w:szCs w:val="18"/>
              </w:rPr>
              <w:t>Sentencias</w:t>
            </w:r>
          </w:p>
        </w:tc>
        <w:tc>
          <w:tcPr>
            <w:tcW w:w="1069" w:type="pct"/>
            <w:vAlign w:val="center"/>
            <w:hideMark/>
          </w:tcPr>
          <w:p w14:paraId="41C17F5F" w14:textId="5DBBADF9" w:rsidR="000B6E76" w:rsidRPr="00336FA0" w:rsidRDefault="000B6E76" w:rsidP="000A5389">
            <w:pPr>
              <w:spacing w:line="240" w:lineRule="auto"/>
              <w:jc w:val="right"/>
              <w:rPr>
                <w:rFonts w:cs="Times New Roman"/>
                <w:sz w:val="18"/>
                <w:szCs w:val="18"/>
              </w:rPr>
            </w:pPr>
            <w:r w:rsidRPr="00336FA0">
              <w:rPr>
                <w:rFonts w:cs="Times New Roman"/>
                <w:sz w:val="18"/>
                <w:szCs w:val="18"/>
              </w:rPr>
              <w:t>229.330.</w:t>
            </w:r>
            <w:r w:rsidR="00FE2440" w:rsidRPr="00336FA0">
              <w:rPr>
                <w:rFonts w:cs="Times New Roman"/>
                <w:sz w:val="18"/>
                <w:szCs w:val="18"/>
              </w:rPr>
              <w:t>764</w:t>
            </w:r>
          </w:p>
        </w:tc>
      </w:tr>
      <w:tr w:rsidR="00934AB7" w:rsidRPr="00336FA0" w14:paraId="122D1632" w14:textId="77777777" w:rsidTr="009D3372">
        <w:trPr>
          <w:trHeight w:val="340"/>
        </w:trPr>
        <w:tc>
          <w:tcPr>
            <w:tcW w:w="950" w:type="pct"/>
            <w:vMerge/>
            <w:vAlign w:val="center"/>
          </w:tcPr>
          <w:p w14:paraId="35C564CA" w14:textId="4CEAE108" w:rsidR="000B6E76" w:rsidRPr="00336FA0" w:rsidRDefault="000B6E76" w:rsidP="000A5389">
            <w:pPr>
              <w:spacing w:line="240" w:lineRule="auto"/>
              <w:rPr>
                <w:rFonts w:cs="Times New Roman"/>
                <w:sz w:val="18"/>
                <w:szCs w:val="18"/>
              </w:rPr>
            </w:pPr>
          </w:p>
        </w:tc>
        <w:tc>
          <w:tcPr>
            <w:tcW w:w="2981" w:type="pct"/>
            <w:vAlign w:val="center"/>
            <w:hideMark/>
          </w:tcPr>
          <w:p w14:paraId="70B879BD" w14:textId="77777777" w:rsidR="000B6E76" w:rsidRPr="00336FA0" w:rsidRDefault="000B6E76" w:rsidP="000A5389">
            <w:pPr>
              <w:spacing w:line="240" w:lineRule="auto"/>
              <w:rPr>
                <w:rFonts w:cs="Times New Roman"/>
                <w:sz w:val="18"/>
                <w:szCs w:val="18"/>
              </w:rPr>
            </w:pPr>
            <w:r w:rsidRPr="00336FA0">
              <w:rPr>
                <w:rFonts w:cs="Times New Roman"/>
                <w:sz w:val="18"/>
                <w:szCs w:val="18"/>
              </w:rPr>
              <w:t>Comisiones sobre recursos entregados en administración</w:t>
            </w:r>
          </w:p>
        </w:tc>
        <w:tc>
          <w:tcPr>
            <w:tcW w:w="1069" w:type="pct"/>
            <w:vAlign w:val="center"/>
            <w:hideMark/>
          </w:tcPr>
          <w:p w14:paraId="70233820" w14:textId="2AAF549E" w:rsidR="000B6E76" w:rsidRPr="00336FA0" w:rsidRDefault="000B6E76" w:rsidP="000A5389">
            <w:pPr>
              <w:spacing w:line="240" w:lineRule="auto"/>
              <w:jc w:val="right"/>
              <w:rPr>
                <w:rFonts w:cs="Times New Roman"/>
                <w:sz w:val="18"/>
                <w:szCs w:val="18"/>
              </w:rPr>
            </w:pPr>
            <w:r w:rsidRPr="00336FA0">
              <w:rPr>
                <w:rFonts w:cs="Times New Roman"/>
                <w:sz w:val="18"/>
                <w:szCs w:val="18"/>
              </w:rPr>
              <w:t>149.426.904</w:t>
            </w:r>
          </w:p>
        </w:tc>
      </w:tr>
      <w:tr w:rsidR="00934AB7" w:rsidRPr="00336FA0" w14:paraId="320C0DD3" w14:textId="77777777" w:rsidTr="009D3372">
        <w:trPr>
          <w:trHeight w:val="340"/>
        </w:trPr>
        <w:tc>
          <w:tcPr>
            <w:tcW w:w="950" w:type="pct"/>
            <w:vMerge/>
            <w:vAlign w:val="center"/>
          </w:tcPr>
          <w:p w14:paraId="66B9254C" w14:textId="69C7BB95" w:rsidR="000B6E76" w:rsidRPr="00336FA0" w:rsidRDefault="000B6E76" w:rsidP="000A5389">
            <w:pPr>
              <w:spacing w:line="240" w:lineRule="auto"/>
              <w:rPr>
                <w:rFonts w:cs="Times New Roman"/>
                <w:sz w:val="18"/>
                <w:szCs w:val="18"/>
              </w:rPr>
            </w:pPr>
          </w:p>
        </w:tc>
        <w:tc>
          <w:tcPr>
            <w:tcW w:w="2981" w:type="pct"/>
            <w:vAlign w:val="center"/>
            <w:hideMark/>
          </w:tcPr>
          <w:p w14:paraId="67D8CA18" w14:textId="77777777" w:rsidR="000B6E76" w:rsidRPr="00336FA0" w:rsidRDefault="000B6E76" w:rsidP="000A5389">
            <w:pPr>
              <w:spacing w:line="240" w:lineRule="auto"/>
              <w:rPr>
                <w:rFonts w:cs="Times New Roman"/>
                <w:sz w:val="18"/>
                <w:szCs w:val="18"/>
              </w:rPr>
            </w:pPr>
            <w:r w:rsidRPr="00336FA0">
              <w:rPr>
                <w:rFonts w:cs="Times New Roman"/>
                <w:sz w:val="18"/>
                <w:szCs w:val="18"/>
              </w:rPr>
              <w:t>Intereses de sentencias</w:t>
            </w:r>
          </w:p>
        </w:tc>
        <w:tc>
          <w:tcPr>
            <w:tcW w:w="1069" w:type="pct"/>
            <w:vAlign w:val="center"/>
            <w:hideMark/>
          </w:tcPr>
          <w:p w14:paraId="02CDF3BB" w14:textId="00380132" w:rsidR="000B6E76" w:rsidRPr="00336FA0" w:rsidRDefault="000B6E76" w:rsidP="000A5389">
            <w:pPr>
              <w:spacing w:line="240" w:lineRule="auto"/>
              <w:jc w:val="right"/>
              <w:rPr>
                <w:rFonts w:cs="Times New Roman"/>
                <w:sz w:val="18"/>
                <w:szCs w:val="18"/>
              </w:rPr>
            </w:pPr>
            <w:r w:rsidRPr="00336FA0">
              <w:rPr>
                <w:rFonts w:cs="Times New Roman"/>
                <w:sz w:val="18"/>
                <w:szCs w:val="18"/>
              </w:rPr>
              <w:t>86.688.</w:t>
            </w:r>
            <w:r w:rsidR="00FE2440" w:rsidRPr="00336FA0">
              <w:rPr>
                <w:rFonts w:cs="Times New Roman"/>
                <w:sz w:val="18"/>
                <w:szCs w:val="18"/>
              </w:rPr>
              <w:t>452</w:t>
            </w:r>
          </w:p>
        </w:tc>
      </w:tr>
      <w:tr w:rsidR="00934AB7" w:rsidRPr="00336FA0" w14:paraId="4AD2770E" w14:textId="77777777" w:rsidTr="009D3372">
        <w:trPr>
          <w:trHeight w:val="340"/>
        </w:trPr>
        <w:tc>
          <w:tcPr>
            <w:tcW w:w="950" w:type="pct"/>
            <w:vMerge/>
            <w:vAlign w:val="center"/>
          </w:tcPr>
          <w:p w14:paraId="137B16AC" w14:textId="2E742E81" w:rsidR="000B6E76" w:rsidRPr="00336FA0" w:rsidRDefault="000B6E76" w:rsidP="000A5389">
            <w:pPr>
              <w:spacing w:line="240" w:lineRule="auto"/>
              <w:rPr>
                <w:rFonts w:cs="Times New Roman"/>
                <w:sz w:val="18"/>
                <w:szCs w:val="18"/>
              </w:rPr>
            </w:pPr>
          </w:p>
        </w:tc>
        <w:tc>
          <w:tcPr>
            <w:tcW w:w="2981" w:type="pct"/>
            <w:vAlign w:val="center"/>
            <w:hideMark/>
          </w:tcPr>
          <w:p w14:paraId="742185BE" w14:textId="77777777" w:rsidR="000B6E76" w:rsidRPr="00336FA0" w:rsidRDefault="000B6E76" w:rsidP="000A5389">
            <w:pPr>
              <w:spacing w:line="240" w:lineRule="auto"/>
              <w:rPr>
                <w:rFonts w:cs="Times New Roman"/>
                <w:sz w:val="18"/>
                <w:szCs w:val="18"/>
              </w:rPr>
            </w:pPr>
            <w:r w:rsidRPr="00336FA0">
              <w:rPr>
                <w:rFonts w:cs="Times New Roman"/>
                <w:sz w:val="18"/>
                <w:szCs w:val="18"/>
              </w:rPr>
              <w:t>Pérdidas en siniestros</w:t>
            </w:r>
          </w:p>
        </w:tc>
        <w:tc>
          <w:tcPr>
            <w:tcW w:w="1069" w:type="pct"/>
            <w:vAlign w:val="center"/>
            <w:hideMark/>
          </w:tcPr>
          <w:p w14:paraId="4514D23E" w14:textId="3382A63F" w:rsidR="000B6E76" w:rsidRPr="00336FA0" w:rsidRDefault="000B6E76" w:rsidP="000A5389">
            <w:pPr>
              <w:spacing w:line="240" w:lineRule="auto"/>
              <w:jc w:val="right"/>
              <w:rPr>
                <w:rFonts w:cs="Times New Roman"/>
                <w:sz w:val="18"/>
                <w:szCs w:val="18"/>
              </w:rPr>
            </w:pPr>
            <w:r w:rsidRPr="00336FA0">
              <w:rPr>
                <w:rFonts w:cs="Times New Roman"/>
                <w:sz w:val="18"/>
                <w:szCs w:val="18"/>
              </w:rPr>
              <w:t>956.609</w:t>
            </w:r>
          </w:p>
        </w:tc>
      </w:tr>
      <w:tr w:rsidR="00D83BA9" w:rsidRPr="00336FA0" w14:paraId="13896A6E" w14:textId="77777777" w:rsidTr="009D3372">
        <w:trPr>
          <w:trHeight w:val="340"/>
        </w:trPr>
        <w:tc>
          <w:tcPr>
            <w:tcW w:w="950" w:type="pct"/>
            <w:vMerge/>
            <w:vAlign w:val="center"/>
          </w:tcPr>
          <w:p w14:paraId="072E2876" w14:textId="3A28C981" w:rsidR="000B6E76" w:rsidRPr="00336FA0" w:rsidRDefault="000B6E76" w:rsidP="000A5389">
            <w:pPr>
              <w:spacing w:line="240" w:lineRule="auto"/>
              <w:rPr>
                <w:rFonts w:cs="Times New Roman"/>
                <w:sz w:val="18"/>
                <w:szCs w:val="18"/>
              </w:rPr>
            </w:pPr>
          </w:p>
        </w:tc>
        <w:tc>
          <w:tcPr>
            <w:tcW w:w="2981" w:type="pct"/>
            <w:vAlign w:val="center"/>
            <w:hideMark/>
          </w:tcPr>
          <w:p w14:paraId="10D2D837" w14:textId="77777777" w:rsidR="000B6E76" w:rsidRPr="00336FA0" w:rsidRDefault="000B6E76" w:rsidP="000A5389">
            <w:pPr>
              <w:spacing w:line="240" w:lineRule="auto"/>
              <w:rPr>
                <w:rFonts w:cs="Times New Roman"/>
                <w:sz w:val="18"/>
                <w:szCs w:val="18"/>
              </w:rPr>
            </w:pPr>
            <w:r w:rsidRPr="00336FA0">
              <w:rPr>
                <w:rFonts w:cs="Times New Roman"/>
                <w:sz w:val="18"/>
                <w:szCs w:val="18"/>
              </w:rPr>
              <w:t>Comisiones servicios financieros</w:t>
            </w:r>
          </w:p>
        </w:tc>
        <w:tc>
          <w:tcPr>
            <w:tcW w:w="1069" w:type="pct"/>
            <w:vAlign w:val="center"/>
            <w:hideMark/>
          </w:tcPr>
          <w:p w14:paraId="03BD62F1" w14:textId="7E7A4A9B" w:rsidR="000B6E76" w:rsidRPr="00336FA0" w:rsidRDefault="000B6E76" w:rsidP="000A5389">
            <w:pPr>
              <w:spacing w:line="240" w:lineRule="auto"/>
              <w:jc w:val="right"/>
              <w:rPr>
                <w:rFonts w:cs="Times New Roman"/>
                <w:sz w:val="18"/>
                <w:szCs w:val="18"/>
              </w:rPr>
            </w:pPr>
            <w:r w:rsidRPr="00336FA0">
              <w:rPr>
                <w:rFonts w:cs="Times New Roman"/>
                <w:sz w:val="18"/>
                <w:szCs w:val="18"/>
              </w:rPr>
              <w:t>9.600</w:t>
            </w:r>
          </w:p>
        </w:tc>
      </w:tr>
    </w:tbl>
    <w:p w14:paraId="7CA5499E" w14:textId="2223D7E2" w:rsidR="0077620C" w:rsidRDefault="00DF58FF" w:rsidP="000A5389">
      <w:pPr>
        <w:spacing w:line="240" w:lineRule="auto"/>
        <w:ind w:right="-20"/>
        <w:rPr>
          <w:rFonts w:eastAsia="Times New Roman" w:cs="Times New Roman"/>
          <w:sz w:val="16"/>
          <w:szCs w:val="16"/>
        </w:rPr>
      </w:pPr>
      <w:r w:rsidRPr="00951AB1">
        <w:rPr>
          <w:rFonts w:eastAsia="Times New Roman" w:cs="Times New Roman"/>
          <w:sz w:val="16"/>
          <w:szCs w:val="16"/>
        </w:rPr>
        <w:t xml:space="preserve">Cifras en pesos </w:t>
      </w:r>
    </w:p>
    <w:p w14:paraId="0CCA13D1" w14:textId="77777777" w:rsidR="00953AA2" w:rsidRPr="00951AB1" w:rsidRDefault="00953AA2" w:rsidP="000A5389">
      <w:pPr>
        <w:spacing w:line="240" w:lineRule="auto"/>
        <w:ind w:right="-20"/>
        <w:rPr>
          <w:rFonts w:eastAsia="Times New Roman" w:cs="Times New Roman"/>
          <w:sz w:val="16"/>
          <w:szCs w:val="16"/>
        </w:rPr>
      </w:pPr>
    </w:p>
    <w:p w14:paraId="3323CCCB" w14:textId="52DB3BF8" w:rsidR="008E133C" w:rsidRDefault="00F43135" w:rsidP="000A5389">
      <w:pPr>
        <w:spacing w:line="240" w:lineRule="auto"/>
        <w:ind w:right="-20"/>
        <w:rPr>
          <w:rFonts w:eastAsia="Times New Roman" w:cs="Times New Roman"/>
          <w:szCs w:val="24"/>
        </w:rPr>
      </w:pPr>
      <w:r w:rsidRPr="00951AB1">
        <w:rPr>
          <w:rFonts w:eastAsia="Times New Roman" w:cs="Times New Roman"/>
          <w:i/>
          <w:iCs/>
          <w:szCs w:val="24"/>
        </w:rPr>
        <w:t>Costo efectivo – intereses:</w:t>
      </w:r>
      <w:r w:rsidRPr="00951AB1">
        <w:rPr>
          <w:rFonts w:eastAsia="Times New Roman" w:cs="Times New Roman"/>
          <w:szCs w:val="24"/>
        </w:rPr>
        <w:t xml:space="preserve"> </w:t>
      </w:r>
      <w:r w:rsidR="008E133C" w:rsidRPr="00951AB1">
        <w:rPr>
          <w:rFonts w:eastAsia="Times New Roman" w:cs="Times New Roman"/>
          <w:szCs w:val="24"/>
        </w:rPr>
        <w:t>Corresponde al reconocimiento del costo financiero implícito en los acuerdos de concesión, determinado con base en la tasa de interés implícita del contrato o, en su defecto, la tasa incremental aplicable, conforme a la Resolución CGN 602 de 2018 y sus modificaciones.</w:t>
      </w:r>
    </w:p>
    <w:p w14:paraId="6D22DF15" w14:textId="77777777" w:rsidR="00953AA2" w:rsidRPr="00951AB1" w:rsidRDefault="00953AA2" w:rsidP="000A5389">
      <w:pPr>
        <w:spacing w:line="240" w:lineRule="auto"/>
        <w:ind w:right="-20"/>
        <w:rPr>
          <w:rFonts w:eastAsia="Times New Roman" w:cs="Times New Roman"/>
          <w:szCs w:val="24"/>
        </w:rPr>
      </w:pPr>
    </w:p>
    <w:p w14:paraId="5907343A" w14:textId="2EED47DF" w:rsidR="002557E8" w:rsidRDefault="008E133C" w:rsidP="000A5389">
      <w:pPr>
        <w:spacing w:line="240" w:lineRule="auto"/>
        <w:ind w:right="-20"/>
        <w:rPr>
          <w:rFonts w:eastAsia="Times New Roman" w:cs="Times New Roman"/>
          <w:szCs w:val="24"/>
        </w:rPr>
      </w:pPr>
      <w:r w:rsidRPr="00951AB1">
        <w:rPr>
          <w:rFonts w:eastAsia="Times New Roman" w:cs="Times New Roman"/>
          <w:szCs w:val="24"/>
        </w:rPr>
        <w:t>Este rubro representa el 71% de los gastos financieros y el 61% del total de Otros gastos, lo que evidencia que la principal fuente de variación del rubro está asociada a la dinámica financiera de los contratos de concesión.</w:t>
      </w:r>
    </w:p>
    <w:p w14:paraId="25EE00BB" w14:textId="77777777" w:rsidR="00953AA2" w:rsidRPr="00951AB1" w:rsidRDefault="00953AA2" w:rsidP="000A5389">
      <w:pPr>
        <w:spacing w:line="240" w:lineRule="auto"/>
        <w:ind w:right="-20"/>
        <w:rPr>
          <w:rFonts w:eastAsia="Times New Roman" w:cs="Times New Roman"/>
          <w:szCs w:val="24"/>
        </w:rPr>
      </w:pPr>
    </w:p>
    <w:p w14:paraId="12D9376D" w14:textId="77777777" w:rsidR="008E133C" w:rsidRPr="00951AB1" w:rsidRDefault="008E133C" w:rsidP="000A5389">
      <w:pPr>
        <w:spacing w:line="240" w:lineRule="auto"/>
        <w:ind w:right="-20"/>
        <w:rPr>
          <w:rFonts w:cs="Times New Roman"/>
          <w:szCs w:val="24"/>
        </w:rPr>
      </w:pPr>
      <w:r w:rsidRPr="00951AB1">
        <w:rPr>
          <w:rFonts w:cs="Times New Roman"/>
          <w:szCs w:val="24"/>
        </w:rPr>
        <w:t>El valor reconocido obedece a:</w:t>
      </w:r>
    </w:p>
    <w:p w14:paraId="32300280" w14:textId="77777777" w:rsidR="008E133C" w:rsidRPr="00951AB1" w:rsidRDefault="008E133C" w:rsidP="000A5389">
      <w:pPr>
        <w:pStyle w:val="Prrafodelista"/>
        <w:numPr>
          <w:ilvl w:val="0"/>
          <w:numId w:val="35"/>
        </w:numPr>
        <w:spacing w:line="240" w:lineRule="auto"/>
        <w:ind w:right="-20"/>
        <w:rPr>
          <w:rFonts w:cs="Times New Roman"/>
          <w:szCs w:val="24"/>
        </w:rPr>
      </w:pPr>
      <w:r w:rsidRPr="00951AB1">
        <w:rPr>
          <w:rFonts w:cs="Times New Roman"/>
          <w:szCs w:val="24"/>
        </w:rPr>
        <w:t>Actualización del pasivo financiero por efecto del paso del tiempo.</w:t>
      </w:r>
    </w:p>
    <w:p w14:paraId="76DCC149" w14:textId="77777777" w:rsidR="008E133C" w:rsidRPr="00951AB1" w:rsidRDefault="008E133C" w:rsidP="000A5389">
      <w:pPr>
        <w:pStyle w:val="Prrafodelista"/>
        <w:numPr>
          <w:ilvl w:val="0"/>
          <w:numId w:val="35"/>
        </w:numPr>
        <w:spacing w:line="240" w:lineRule="auto"/>
        <w:ind w:right="-20"/>
        <w:rPr>
          <w:rFonts w:cs="Times New Roman"/>
          <w:szCs w:val="24"/>
        </w:rPr>
      </w:pPr>
      <w:r w:rsidRPr="00951AB1">
        <w:rPr>
          <w:rFonts w:cs="Times New Roman"/>
          <w:szCs w:val="24"/>
        </w:rPr>
        <w:t>Mayor base de cálculo derivada del avance en la ejecución de los proyectos.</w:t>
      </w:r>
    </w:p>
    <w:p w14:paraId="0DF01717" w14:textId="77777777" w:rsidR="008E133C" w:rsidRPr="00951AB1" w:rsidRDefault="008E133C" w:rsidP="000A5389">
      <w:pPr>
        <w:pStyle w:val="Prrafodelista"/>
        <w:numPr>
          <w:ilvl w:val="0"/>
          <w:numId w:val="35"/>
        </w:numPr>
        <w:spacing w:line="240" w:lineRule="auto"/>
        <w:ind w:right="-20"/>
        <w:rPr>
          <w:rFonts w:cs="Times New Roman"/>
        </w:rPr>
      </w:pPr>
      <w:r w:rsidRPr="00951AB1">
        <w:rPr>
          <w:rFonts w:cs="Times New Roman"/>
          <w:szCs w:val="24"/>
        </w:rPr>
        <w:t>Efecto acumulativo de obligaciones contractuales reconocidas en vigencias anteriores</w:t>
      </w:r>
      <w:r w:rsidRPr="00951AB1">
        <w:rPr>
          <w:rFonts w:cs="Times New Roman"/>
        </w:rPr>
        <w:t>.</w:t>
      </w:r>
    </w:p>
    <w:p w14:paraId="595B0B84" w14:textId="77777777" w:rsidR="00F43135" w:rsidRPr="00951AB1" w:rsidRDefault="00F43135" w:rsidP="000A5389">
      <w:pPr>
        <w:pStyle w:val="Prrafodelista"/>
        <w:spacing w:line="240" w:lineRule="auto"/>
        <w:ind w:left="1068" w:right="-20"/>
        <w:rPr>
          <w:rFonts w:cs="Times New Roman"/>
        </w:rPr>
      </w:pPr>
    </w:p>
    <w:p w14:paraId="496278A8" w14:textId="5EE99A35" w:rsidR="00DB640A" w:rsidRDefault="00F43135" w:rsidP="000A5389">
      <w:pPr>
        <w:spacing w:line="240" w:lineRule="auto"/>
        <w:ind w:right="-20"/>
        <w:rPr>
          <w:rFonts w:cs="Times New Roman"/>
          <w:szCs w:val="24"/>
        </w:rPr>
      </w:pPr>
      <w:r w:rsidRPr="00951AB1">
        <w:rPr>
          <w:rFonts w:cs="Times New Roman"/>
          <w:szCs w:val="24"/>
        </w:rPr>
        <w:t>Se presenta</w:t>
      </w:r>
      <w:r w:rsidR="008E133C" w:rsidRPr="00951AB1">
        <w:rPr>
          <w:rFonts w:cs="Times New Roman"/>
          <w:szCs w:val="24"/>
        </w:rPr>
        <w:t xml:space="preserve"> una concentración relevante en concesionarios de proyectos 4G, entre los cuales se destacan Perimetral Oriental de Bogotá S.A.S., Autopista Río Magdalena S.A.S., Autovía Bucaramanga – Pamplona S.A.S. y Autopistas Urabá S.A.S., lo que refleja la magnitud financiera de estos contratos dentro del portafolio administrado por la Entidad.</w:t>
      </w:r>
    </w:p>
    <w:p w14:paraId="0538606B" w14:textId="77777777" w:rsidR="00953AA2" w:rsidRPr="00951AB1" w:rsidRDefault="00953AA2" w:rsidP="000A5389">
      <w:pPr>
        <w:spacing w:line="240" w:lineRule="auto"/>
        <w:ind w:right="-20"/>
        <w:rPr>
          <w:rFonts w:cs="Times New Roma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271"/>
        <w:gridCol w:w="4921"/>
        <w:gridCol w:w="2636"/>
      </w:tblGrid>
      <w:tr w:rsidR="00DB640A" w:rsidRPr="00951AB1" w14:paraId="3006B20D" w14:textId="77777777" w:rsidTr="00F07EFD">
        <w:trPr>
          <w:trHeight w:val="283"/>
          <w:tblHeader/>
        </w:trPr>
        <w:tc>
          <w:tcPr>
            <w:tcW w:w="3507" w:type="pct"/>
            <w:gridSpan w:val="2"/>
            <w:vAlign w:val="center"/>
            <w:hideMark/>
          </w:tcPr>
          <w:p w14:paraId="4D27EE4C" w14:textId="1EEDD6C5" w:rsidR="00DB640A" w:rsidRPr="00951AB1" w:rsidRDefault="00DB640A" w:rsidP="000A5389">
            <w:pPr>
              <w:spacing w:line="240" w:lineRule="auto"/>
              <w:rPr>
                <w:rFonts w:cs="Times New Roman"/>
                <w:b/>
                <w:sz w:val="20"/>
                <w:szCs w:val="20"/>
                <w:lang w:eastAsia="es-CO"/>
              </w:rPr>
            </w:pPr>
            <w:r w:rsidRPr="00951AB1">
              <w:rPr>
                <w:rFonts w:cs="Times New Roman"/>
                <w:b/>
                <w:sz w:val="20"/>
                <w:szCs w:val="20"/>
                <w:lang w:eastAsia="es-CO"/>
              </w:rPr>
              <w:t>Concepto / Tercero</w:t>
            </w:r>
          </w:p>
        </w:tc>
        <w:tc>
          <w:tcPr>
            <w:tcW w:w="1493" w:type="pct"/>
            <w:vAlign w:val="center"/>
            <w:hideMark/>
          </w:tcPr>
          <w:p w14:paraId="0FEDC762" w14:textId="4B3988C4" w:rsidR="00DB640A" w:rsidRPr="00951AB1" w:rsidRDefault="00DB640A" w:rsidP="000A5389">
            <w:pPr>
              <w:spacing w:line="240" w:lineRule="auto"/>
              <w:jc w:val="right"/>
              <w:rPr>
                <w:rFonts w:cs="Times New Roman"/>
                <w:b/>
                <w:bCs/>
                <w:color w:val="000000"/>
                <w:sz w:val="20"/>
                <w:szCs w:val="20"/>
              </w:rPr>
            </w:pPr>
            <w:r w:rsidRPr="00951AB1">
              <w:rPr>
                <w:rFonts w:cs="Times New Roman"/>
                <w:b/>
                <w:bCs/>
                <w:color w:val="000000"/>
                <w:sz w:val="20"/>
                <w:szCs w:val="20"/>
              </w:rPr>
              <w:t>VALOR</w:t>
            </w:r>
          </w:p>
        </w:tc>
      </w:tr>
      <w:tr w:rsidR="00DB640A" w:rsidRPr="00951AB1" w14:paraId="119F0F96" w14:textId="77777777" w:rsidTr="00336FA0">
        <w:trPr>
          <w:trHeight w:val="231"/>
        </w:trPr>
        <w:tc>
          <w:tcPr>
            <w:tcW w:w="3507" w:type="pct"/>
            <w:gridSpan w:val="2"/>
            <w:vAlign w:val="center"/>
            <w:hideMark/>
          </w:tcPr>
          <w:p w14:paraId="1317EAC9" w14:textId="77777777" w:rsidR="00DB640A" w:rsidRPr="00951AB1" w:rsidRDefault="00DB640A" w:rsidP="000A5389">
            <w:pPr>
              <w:spacing w:line="240" w:lineRule="auto"/>
              <w:rPr>
                <w:rFonts w:cs="Times New Roman"/>
                <w:b/>
                <w:sz w:val="20"/>
                <w:szCs w:val="20"/>
                <w:lang w:eastAsia="es-CO"/>
              </w:rPr>
            </w:pPr>
            <w:r w:rsidRPr="00951AB1">
              <w:rPr>
                <w:rFonts w:cs="Times New Roman"/>
                <w:b/>
                <w:sz w:val="20"/>
                <w:szCs w:val="20"/>
                <w:lang w:eastAsia="es-CO"/>
              </w:rPr>
              <w:t>Costo efectivo-intereses</w:t>
            </w:r>
          </w:p>
        </w:tc>
        <w:tc>
          <w:tcPr>
            <w:tcW w:w="1493" w:type="pct"/>
            <w:vAlign w:val="center"/>
            <w:hideMark/>
          </w:tcPr>
          <w:p w14:paraId="1796DCBD" w14:textId="77777777" w:rsidR="00DB640A" w:rsidRPr="00951AB1" w:rsidRDefault="00DB640A" w:rsidP="000A5389">
            <w:pPr>
              <w:spacing w:line="240" w:lineRule="auto"/>
              <w:jc w:val="right"/>
              <w:rPr>
                <w:rFonts w:cs="Times New Roman"/>
                <w:b/>
                <w:bCs/>
                <w:color w:val="000000"/>
                <w:sz w:val="20"/>
                <w:szCs w:val="20"/>
              </w:rPr>
            </w:pPr>
            <w:r w:rsidRPr="00951AB1">
              <w:rPr>
                <w:rFonts w:cs="Times New Roman"/>
                <w:b/>
                <w:bCs/>
                <w:color w:val="000000"/>
                <w:sz w:val="20"/>
                <w:szCs w:val="20"/>
              </w:rPr>
              <w:t>3.275.213.843.918</w:t>
            </w:r>
          </w:p>
        </w:tc>
      </w:tr>
      <w:tr w:rsidR="00DB640A" w:rsidRPr="00951AB1" w14:paraId="414EB24A" w14:textId="77777777" w:rsidTr="00F07EFD">
        <w:trPr>
          <w:trHeight w:val="283"/>
        </w:trPr>
        <w:tc>
          <w:tcPr>
            <w:tcW w:w="720" w:type="pct"/>
            <w:vAlign w:val="center"/>
            <w:hideMark/>
          </w:tcPr>
          <w:p w14:paraId="1E25A790" w14:textId="22CFC336" w:rsidR="00DB640A" w:rsidRPr="00951AB1" w:rsidRDefault="00DB640A" w:rsidP="000A5389">
            <w:pPr>
              <w:spacing w:line="240" w:lineRule="auto"/>
              <w:rPr>
                <w:rFonts w:cs="Times New Roman"/>
                <w:sz w:val="20"/>
                <w:szCs w:val="20"/>
                <w:lang w:eastAsia="es-CO"/>
              </w:rPr>
            </w:pPr>
            <w:r w:rsidRPr="00951AB1">
              <w:rPr>
                <w:rFonts w:cs="Times New Roman"/>
                <w:sz w:val="20"/>
                <w:szCs w:val="20"/>
                <w:lang w:eastAsia="es-CO"/>
              </w:rPr>
              <w:t>900.788.548</w:t>
            </w:r>
          </w:p>
        </w:tc>
        <w:tc>
          <w:tcPr>
            <w:tcW w:w="2787" w:type="pct"/>
            <w:vAlign w:val="center"/>
            <w:hideMark/>
          </w:tcPr>
          <w:p w14:paraId="259A1063" w14:textId="0601D015" w:rsidR="00DB640A" w:rsidRPr="00951AB1" w:rsidRDefault="00DB640A" w:rsidP="000A5389">
            <w:pPr>
              <w:spacing w:line="240" w:lineRule="auto"/>
              <w:rPr>
                <w:rFonts w:cs="Times New Roman"/>
                <w:color w:val="000000"/>
                <w:sz w:val="20"/>
                <w:szCs w:val="20"/>
              </w:rPr>
            </w:pPr>
            <w:r w:rsidRPr="00951AB1">
              <w:rPr>
                <w:rFonts w:cs="Times New Roman"/>
                <w:color w:val="000000"/>
                <w:sz w:val="20"/>
                <w:szCs w:val="20"/>
              </w:rPr>
              <w:t>Autopista Rio Magdalena S A S</w:t>
            </w:r>
          </w:p>
        </w:tc>
        <w:tc>
          <w:tcPr>
            <w:tcW w:w="1493" w:type="pct"/>
            <w:vAlign w:val="center"/>
            <w:hideMark/>
          </w:tcPr>
          <w:p w14:paraId="22736DF9" w14:textId="77777777" w:rsidR="00DB640A" w:rsidRPr="00951AB1" w:rsidRDefault="00DB640A" w:rsidP="000A5389">
            <w:pPr>
              <w:spacing w:line="240" w:lineRule="auto"/>
              <w:jc w:val="right"/>
              <w:rPr>
                <w:rFonts w:cs="Times New Roman"/>
                <w:color w:val="000000"/>
                <w:sz w:val="20"/>
                <w:szCs w:val="20"/>
              </w:rPr>
            </w:pPr>
            <w:r w:rsidRPr="00951AB1">
              <w:rPr>
                <w:rFonts w:cs="Times New Roman"/>
                <w:color w:val="000000"/>
                <w:sz w:val="20"/>
                <w:szCs w:val="20"/>
              </w:rPr>
              <w:t>306.074.829.491</w:t>
            </w:r>
          </w:p>
        </w:tc>
      </w:tr>
      <w:tr w:rsidR="00DB640A" w:rsidRPr="00951AB1" w14:paraId="711671FC" w14:textId="77777777" w:rsidTr="00F07EFD">
        <w:trPr>
          <w:trHeight w:val="283"/>
        </w:trPr>
        <w:tc>
          <w:tcPr>
            <w:tcW w:w="720" w:type="pct"/>
            <w:vAlign w:val="center"/>
            <w:hideMark/>
          </w:tcPr>
          <w:p w14:paraId="031A89A4" w14:textId="596A9C9E" w:rsidR="00DB640A" w:rsidRPr="00951AB1" w:rsidRDefault="00DB640A" w:rsidP="000A5389">
            <w:pPr>
              <w:spacing w:line="240" w:lineRule="auto"/>
              <w:rPr>
                <w:rFonts w:cs="Times New Roman"/>
                <w:sz w:val="20"/>
                <w:szCs w:val="20"/>
                <w:lang w:eastAsia="es-CO"/>
              </w:rPr>
            </w:pPr>
            <w:r w:rsidRPr="00951AB1">
              <w:rPr>
                <w:rFonts w:cs="Times New Roman"/>
                <w:sz w:val="20"/>
                <w:szCs w:val="20"/>
                <w:lang w:eastAsia="es-CO"/>
              </w:rPr>
              <w:lastRenderedPageBreak/>
              <w:t>900.972.713</w:t>
            </w:r>
          </w:p>
        </w:tc>
        <w:tc>
          <w:tcPr>
            <w:tcW w:w="2787" w:type="pct"/>
            <w:vAlign w:val="center"/>
            <w:hideMark/>
          </w:tcPr>
          <w:p w14:paraId="2C1F1A5E" w14:textId="094919D3" w:rsidR="00DB640A" w:rsidRPr="00951AB1" w:rsidRDefault="00DB640A" w:rsidP="000A5389">
            <w:pPr>
              <w:spacing w:line="240" w:lineRule="auto"/>
              <w:rPr>
                <w:rFonts w:cs="Times New Roman"/>
                <w:color w:val="000000"/>
                <w:sz w:val="20"/>
                <w:szCs w:val="20"/>
              </w:rPr>
            </w:pPr>
            <w:r w:rsidRPr="00951AB1">
              <w:rPr>
                <w:rFonts w:cs="Times New Roman"/>
                <w:color w:val="000000"/>
                <w:sz w:val="20"/>
                <w:szCs w:val="20"/>
              </w:rPr>
              <w:t>Autovía Bucaramanga Pamplona S.A.S</w:t>
            </w:r>
          </w:p>
        </w:tc>
        <w:tc>
          <w:tcPr>
            <w:tcW w:w="1493" w:type="pct"/>
            <w:vAlign w:val="center"/>
            <w:hideMark/>
          </w:tcPr>
          <w:p w14:paraId="40434E0F" w14:textId="77777777" w:rsidR="00DB640A" w:rsidRPr="00951AB1" w:rsidRDefault="00DB640A" w:rsidP="000A5389">
            <w:pPr>
              <w:spacing w:line="240" w:lineRule="auto"/>
              <w:jc w:val="right"/>
              <w:rPr>
                <w:rFonts w:cs="Times New Roman"/>
                <w:color w:val="000000"/>
                <w:sz w:val="20"/>
                <w:szCs w:val="20"/>
              </w:rPr>
            </w:pPr>
            <w:r w:rsidRPr="00951AB1">
              <w:rPr>
                <w:rFonts w:cs="Times New Roman"/>
                <w:color w:val="000000"/>
                <w:sz w:val="20"/>
                <w:szCs w:val="20"/>
              </w:rPr>
              <w:t>293.185.385.137</w:t>
            </w:r>
          </w:p>
        </w:tc>
      </w:tr>
      <w:tr w:rsidR="00DB640A" w:rsidRPr="00951AB1" w14:paraId="43D70D2D" w14:textId="77777777" w:rsidTr="00F07EFD">
        <w:trPr>
          <w:trHeight w:val="283"/>
        </w:trPr>
        <w:tc>
          <w:tcPr>
            <w:tcW w:w="720" w:type="pct"/>
            <w:vAlign w:val="center"/>
            <w:hideMark/>
          </w:tcPr>
          <w:p w14:paraId="051FB6E7" w14:textId="1C2CDDFC" w:rsidR="00DB640A" w:rsidRPr="00951AB1" w:rsidRDefault="00DB640A" w:rsidP="000A5389">
            <w:pPr>
              <w:spacing w:line="240" w:lineRule="auto"/>
              <w:rPr>
                <w:rFonts w:cs="Times New Roman"/>
                <w:sz w:val="20"/>
                <w:szCs w:val="20"/>
                <w:lang w:eastAsia="es-CO"/>
              </w:rPr>
            </w:pPr>
            <w:r w:rsidRPr="00951AB1">
              <w:rPr>
                <w:rFonts w:cs="Times New Roman"/>
                <w:sz w:val="20"/>
                <w:szCs w:val="20"/>
                <w:lang w:eastAsia="es-CO"/>
              </w:rPr>
              <w:t>900.902.591</w:t>
            </w:r>
          </w:p>
        </w:tc>
        <w:tc>
          <w:tcPr>
            <w:tcW w:w="2787" w:type="pct"/>
            <w:vAlign w:val="center"/>
            <w:hideMark/>
          </w:tcPr>
          <w:p w14:paraId="2CB87431" w14:textId="6E602A9D" w:rsidR="00DB640A" w:rsidRPr="00951AB1" w:rsidRDefault="00DB640A" w:rsidP="000A5389">
            <w:pPr>
              <w:spacing w:line="240" w:lineRule="auto"/>
              <w:rPr>
                <w:rFonts w:cs="Times New Roman"/>
                <w:color w:val="000000"/>
                <w:sz w:val="20"/>
                <w:szCs w:val="20"/>
              </w:rPr>
            </w:pPr>
            <w:r w:rsidRPr="00951AB1">
              <w:rPr>
                <w:rFonts w:cs="Times New Roman"/>
                <w:color w:val="000000"/>
                <w:sz w:val="20"/>
                <w:szCs w:val="20"/>
              </w:rPr>
              <w:t>Autopistas   Urabá   S.A.S</w:t>
            </w:r>
          </w:p>
        </w:tc>
        <w:tc>
          <w:tcPr>
            <w:tcW w:w="1493" w:type="pct"/>
            <w:vAlign w:val="center"/>
            <w:hideMark/>
          </w:tcPr>
          <w:p w14:paraId="3B4E3F16" w14:textId="77777777" w:rsidR="00DB640A" w:rsidRPr="00951AB1" w:rsidRDefault="00DB640A" w:rsidP="000A5389">
            <w:pPr>
              <w:spacing w:line="240" w:lineRule="auto"/>
              <w:jc w:val="right"/>
              <w:rPr>
                <w:rFonts w:cs="Times New Roman"/>
                <w:color w:val="000000"/>
                <w:sz w:val="20"/>
                <w:szCs w:val="20"/>
              </w:rPr>
            </w:pPr>
            <w:r w:rsidRPr="00951AB1">
              <w:rPr>
                <w:rFonts w:cs="Times New Roman"/>
                <w:color w:val="000000"/>
                <w:sz w:val="20"/>
                <w:szCs w:val="20"/>
              </w:rPr>
              <w:t>278.764.720.994</w:t>
            </w:r>
          </w:p>
        </w:tc>
      </w:tr>
      <w:tr w:rsidR="00DB640A" w:rsidRPr="00951AB1" w14:paraId="050102FF" w14:textId="77777777" w:rsidTr="00F07EFD">
        <w:trPr>
          <w:trHeight w:val="283"/>
        </w:trPr>
        <w:tc>
          <w:tcPr>
            <w:tcW w:w="720" w:type="pct"/>
            <w:vAlign w:val="center"/>
            <w:hideMark/>
          </w:tcPr>
          <w:p w14:paraId="2C215D8D" w14:textId="1D47D755" w:rsidR="00DB640A" w:rsidRPr="00951AB1" w:rsidRDefault="00DB640A" w:rsidP="000A5389">
            <w:pPr>
              <w:spacing w:line="240" w:lineRule="auto"/>
              <w:rPr>
                <w:rFonts w:cs="Times New Roman"/>
                <w:sz w:val="20"/>
                <w:szCs w:val="20"/>
                <w:lang w:eastAsia="es-CO"/>
              </w:rPr>
            </w:pPr>
            <w:r w:rsidRPr="00951AB1">
              <w:rPr>
                <w:rFonts w:cs="Times New Roman"/>
                <w:sz w:val="20"/>
                <w:szCs w:val="20"/>
                <w:lang w:eastAsia="es-CO"/>
              </w:rPr>
              <w:t>900.744.773</w:t>
            </w:r>
          </w:p>
        </w:tc>
        <w:tc>
          <w:tcPr>
            <w:tcW w:w="2787" w:type="pct"/>
            <w:vAlign w:val="center"/>
            <w:hideMark/>
          </w:tcPr>
          <w:p w14:paraId="170EBAC6" w14:textId="116DC586" w:rsidR="00DB640A" w:rsidRPr="00951AB1" w:rsidRDefault="00DB640A" w:rsidP="000A5389">
            <w:pPr>
              <w:spacing w:line="240" w:lineRule="auto"/>
              <w:rPr>
                <w:rFonts w:cs="Times New Roman"/>
                <w:color w:val="000000"/>
                <w:sz w:val="20"/>
                <w:szCs w:val="20"/>
              </w:rPr>
            </w:pPr>
            <w:r w:rsidRPr="00951AB1">
              <w:rPr>
                <w:rFonts w:cs="Times New Roman"/>
                <w:color w:val="000000"/>
                <w:sz w:val="20"/>
                <w:szCs w:val="20"/>
              </w:rPr>
              <w:t>Concesionaria Vial Del Pacifico S A S</w:t>
            </w:r>
          </w:p>
        </w:tc>
        <w:tc>
          <w:tcPr>
            <w:tcW w:w="1493" w:type="pct"/>
            <w:vAlign w:val="center"/>
            <w:hideMark/>
          </w:tcPr>
          <w:p w14:paraId="2B1FFB86" w14:textId="77777777" w:rsidR="00DB640A" w:rsidRPr="00951AB1" w:rsidRDefault="00DB640A" w:rsidP="000A5389">
            <w:pPr>
              <w:spacing w:line="240" w:lineRule="auto"/>
              <w:jc w:val="right"/>
              <w:rPr>
                <w:rFonts w:cs="Times New Roman"/>
                <w:color w:val="000000"/>
                <w:sz w:val="20"/>
                <w:szCs w:val="20"/>
              </w:rPr>
            </w:pPr>
            <w:r w:rsidRPr="00951AB1">
              <w:rPr>
                <w:rFonts w:cs="Times New Roman"/>
                <w:color w:val="000000"/>
                <w:sz w:val="20"/>
                <w:szCs w:val="20"/>
              </w:rPr>
              <w:t>260.613.440.464</w:t>
            </w:r>
          </w:p>
        </w:tc>
      </w:tr>
      <w:tr w:rsidR="00DB640A" w:rsidRPr="00951AB1" w14:paraId="69D41AA7" w14:textId="77777777" w:rsidTr="00F07EFD">
        <w:trPr>
          <w:trHeight w:val="283"/>
        </w:trPr>
        <w:tc>
          <w:tcPr>
            <w:tcW w:w="720" w:type="pct"/>
            <w:vAlign w:val="center"/>
            <w:hideMark/>
          </w:tcPr>
          <w:p w14:paraId="12DCB6C6" w14:textId="0DD0F7DB" w:rsidR="00DB640A" w:rsidRPr="00951AB1" w:rsidRDefault="00DB640A" w:rsidP="000A5389">
            <w:pPr>
              <w:spacing w:line="240" w:lineRule="auto"/>
              <w:rPr>
                <w:rFonts w:cs="Times New Roman"/>
                <w:sz w:val="20"/>
                <w:szCs w:val="20"/>
                <w:lang w:eastAsia="es-CO"/>
              </w:rPr>
            </w:pPr>
            <w:r w:rsidRPr="00951AB1">
              <w:rPr>
                <w:rFonts w:cs="Times New Roman"/>
                <w:sz w:val="20"/>
                <w:szCs w:val="20"/>
                <w:lang w:eastAsia="es-CO"/>
              </w:rPr>
              <w:t>900.869.678</w:t>
            </w:r>
          </w:p>
        </w:tc>
        <w:tc>
          <w:tcPr>
            <w:tcW w:w="2787" w:type="pct"/>
            <w:vAlign w:val="center"/>
            <w:hideMark/>
          </w:tcPr>
          <w:p w14:paraId="385C7E01" w14:textId="6F2455D7" w:rsidR="00DB640A" w:rsidRPr="00951AB1" w:rsidRDefault="00DB640A" w:rsidP="000A5389">
            <w:pPr>
              <w:spacing w:line="240" w:lineRule="auto"/>
              <w:rPr>
                <w:rFonts w:cs="Times New Roman"/>
                <w:color w:val="000000"/>
                <w:sz w:val="20"/>
                <w:szCs w:val="20"/>
              </w:rPr>
            </w:pPr>
            <w:r w:rsidRPr="00951AB1">
              <w:rPr>
                <w:rFonts w:cs="Times New Roman"/>
                <w:color w:val="000000"/>
                <w:sz w:val="20"/>
                <w:szCs w:val="20"/>
              </w:rPr>
              <w:t>Desarrollo Vial al Mar   S.A.S</w:t>
            </w:r>
          </w:p>
        </w:tc>
        <w:tc>
          <w:tcPr>
            <w:tcW w:w="1493" w:type="pct"/>
            <w:vAlign w:val="center"/>
            <w:hideMark/>
          </w:tcPr>
          <w:p w14:paraId="4F5ACF6B" w14:textId="77777777" w:rsidR="00DB640A" w:rsidRPr="00951AB1" w:rsidRDefault="00DB640A" w:rsidP="000A5389">
            <w:pPr>
              <w:spacing w:line="240" w:lineRule="auto"/>
              <w:jc w:val="right"/>
              <w:rPr>
                <w:rFonts w:cs="Times New Roman"/>
                <w:color w:val="000000"/>
                <w:sz w:val="20"/>
                <w:szCs w:val="20"/>
              </w:rPr>
            </w:pPr>
            <w:r w:rsidRPr="00951AB1">
              <w:rPr>
                <w:rFonts w:cs="Times New Roman"/>
                <w:color w:val="000000"/>
                <w:sz w:val="20"/>
                <w:szCs w:val="20"/>
              </w:rPr>
              <w:t>208.043.434.338</w:t>
            </w:r>
          </w:p>
        </w:tc>
      </w:tr>
      <w:tr w:rsidR="00DB640A" w:rsidRPr="00951AB1" w14:paraId="326DC8A3" w14:textId="77777777" w:rsidTr="00F07EFD">
        <w:trPr>
          <w:trHeight w:val="283"/>
        </w:trPr>
        <w:tc>
          <w:tcPr>
            <w:tcW w:w="720" w:type="pct"/>
            <w:vAlign w:val="center"/>
            <w:hideMark/>
          </w:tcPr>
          <w:p w14:paraId="090F7042" w14:textId="4D0B276D" w:rsidR="00DB640A" w:rsidRPr="00951AB1" w:rsidRDefault="00DB640A" w:rsidP="000A5389">
            <w:pPr>
              <w:spacing w:line="240" w:lineRule="auto"/>
              <w:rPr>
                <w:rFonts w:cs="Times New Roman"/>
                <w:sz w:val="20"/>
                <w:szCs w:val="20"/>
                <w:lang w:eastAsia="es-CO"/>
              </w:rPr>
            </w:pPr>
            <w:r w:rsidRPr="00951AB1">
              <w:rPr>
                <w:rFonts w:cs="Times New Roman"/>
                <w:sz w:val="20"/>
                <w:szCs w:val="20"/>
                <w:lang w:eastAsia="es-CO"/>
              </w:rPr>
              <w:t>900.866.440</w:t>
            </w:r>
          </w:p>
        </w:tc>
        <w:tc>
          <w:tcPr>
            <w:tcW w:w="2787" w:type="pct"/>
            <w:vAlign w:val="center"/>
            <w:hideMark/>
          </w:tcPr>
          <w:p w14:paraId="3052438F" w14:textId="18BE95E0" w:rsidR="00DB640A" w:rsidRPr="00951AB1" w:rsidRDefault="00DB640A" w:rsidP="000A5389">
            <w:pPr>
              <w:spacing w:line="240" w:lineRule="auto"/>
              <w:rPr>
                <w:rFonts w:cs="Times New Roman"/>
                <w:color w:val="000000"/>
                <w:sz w:val="20"/>
                <w:szCs w:val="20"/>
              </w:rPr>
            </w:pPr>
            <w:r w:rsidRPr="00951AB1">
              <w:rPr>
                <w:rFonts w:cs="Times New Roman"/>
                <w:color w:val="000000"/>
                <w:sz w:val="20"/>
                <w:szCs w:val="20"/>
              </w:rPr>
              <w:t>Nuevo Cauca S.A.S.</w:t>
            </w:r>
          </w:p>
        </w:tc>
        <w:tc>
          <w:tcPr>
            <w:tcW w:w="1493" w:type="pct"/>
            <w:vAlign w:val="center"/>
            <w:hideMark/>
          </w:tcPr>
          <w:p w14:paraId="5EF68589" w14:textId="77777777" w:rsidR="00DB640A" w:rsidRPr="00951AB1" w:rsidRDefault="00DB640A" w:rsidP="000A5389">
            <w:pPr>
              <w:spacing w:line="240" w:lineRule="auto"/>
              <w:jc w:val="right"/>
              <w:rPr>
                <w:rFonts w:cs="Times New Roman"/>
                <w:color w:val="000000"/>
                <w:sz w:val="20"/>
                <w:szCs w:val="20"/>
              </w:rPr>
            </w:pPr>
            <w:r w:rsidRPr="00951AB1">
              <w:rPr>
                <w:rFonts w:cs="Times New Roman"/>
                <w:color w:val="000000"/>
                <w:sz w:val="20"/>
                <w:szCs w:val="20"/>
              </w:rPr>
              <w:t>168.039.292.318</w:t>
            </w:r>
          </w:p>
        </w:tc>
      </w:tr>
      <w:tr w:rsidR="00DB640A" w:rsidRPr="00951AB1" w14:paraId="4CF73A8B" w14:textId="77777777" w:rsidTr="00F07EFD">
        <w:trPr>
          <w:trHeight w:val="283"/>
        </w:trPr>
        <w:tc>
          <w:tcPr>
            <w:tcW w:w="720" w:type="pct"/>
            <w:vAlign w:val="center"/>
            <w:hideMark/>
          </w:tcPr>
          <w:p w14:paraId="38B6F653" w14:textId="75723614" w:rsidR="00DB640A" w:rsidRPr="00951AB1" w:rsidRDefault="00DB640A" w:rsidP="000A5389">
            <w:pPr>
              <w:spacing w:line="240" w:lineRule="auto"/>
              <w:rPr>
                <w:rFonts w:cs="Times New Roman"/>
                <w:sz w:val="20"/>
                <w:szCs w:val="20"/>
                <w:lang w:eastAsia="es-CO"/>
              </w:rPr>
            </w:pPr>
            <w:r w:rsidRPr="00951AB1">
              <w:rPr>
                <w:rFonts w:cs="Times New Roman"/>
                <w:sz w:val="20"/>
                <w:szCs w:val="20"/>
                <w:lang w:eastAsia="es-CO"/>
              </w:rPr>
              <w:t>900.793.991</w:t>
            </w:r>
          </w:p>
        </w:tc>
        <w:tc>
          <w:tcPr>
            <w:tcW w:w="2787" w:type="pct"/>
            <w:vAlign w:val="center"/>
            <w:hideMark/>
          </w:tcPr>
          <w:p w14:paraId="5E149136" w14:textId="541C57E0" w:rsidR="00DB640A" w:rsidRPr="00951AB1" w:rsidRDefault="00DB640A" w:rsidP="000A5389">
            <w:pPr>
              <w:spacing w:line="240" w:lineRule="auto"/>
              <w:rPr>
                <w:rFonts w:cs="Times New Roman"/>
                <w:color w:val="000000"/>
                <w:sz w:val="20"/>
                <w:szCs w:val="20"/>
              </w:rPr>
            </w:pPr>
            <w:r w:rsidRPr="00951AB1">
              <w:rPr>
                <w:rFonts w:cs="Times New Roman"/>
                <w:color w:val="000000"/>
                <w:sz w:val="20"/>
                <w:szCs w:val="20"/>
              </w:rPr>
              <w:t>Autopistas del Nordeste S.A.S.</w:t>
            </w:r>
          </w:p>
        </w:tc>
        <w:tc>
          <w:tcPr>
            <w:tcW w:w="1493" w:type="pct"/>
            <w:vAlign w:val="center"/>
            <w:hideMark/>
          </w:tcPr>
          <w:p w14:paraId="5613B442" w14:textId="77777777" w:rsidR="00DB640A" w:rsidRPr="00951AB1" w:rsidRDefault="00DB640A" w:rsidP="000A5389">
            <w:pPr>
              <w:spacing w:line="240" w:lineRule="auto"/>
              <w:jc w:val="right"/>
              <w:rPr>
                <w:rFonts w:cs="Times New Roman"/>
                <w:color w:val="000000"/>
                <w:sz w:val="20"/>
                <w:szCs w:val="20"/>
              </w:rPr>
            </w:pPr>
            <w:r w:rsidRPr="00951AB1">
              <w:rPr>
                <w:rFonts w:cs="Times New Roman"/>
                <w:color w:val="000000"/>
                <w:sz w:val="20"/>
                <w:szCs w:val="20"/>
              </w:rPr>
              <w:t>167.871.822.066</w:t>
            </w:r>
          </w:p>
        </w:tc>
      </w:tr>
      <w:tr w:rsidR="00DB640A" w:rsidRPr="00951AB1" w14:paraId="2AA7A119" w14:textId="77777777" w:rsidTr="00F07EFD">
        <w:trPr>
          <w:trHeight w:val="283"/>
        </w:trPr>
        <w:tc>
          <w:tcPr>
            <w:tcW w:w="720" w:type="pct"/>
            <w:vAlign w:val="center"/>
            <w:hideMark/>
          </w:tcPr>
          <w:p w14:paraId="438DB5EC" w14:textId="57E7100E" w:rsidR="00DB640A" w:rsidRPr="00951AB1" w:rsidRDefault="00DB640A" w:rsidP="000A5389">
            <w:pPr>
              <w:spacing w:line="240" w:lineRule="auto"/>
              <w:rPr>
                <w:rFonts w:cs="Times New Roman"/>
                <w:sz w:val="20"/>
                <w:szCs w:val="20"/>
                <w:lang w:eastAsia="es-CO"/>
              </w:rPr>
            </w:pPr>
            <w:r w:rsidRPr="00951AB1">
              <w:rPr>
                <w:rFonts w:cs="Times New Roman"/>
                <w:sz w:val="20"/>
                <w:szCs w:val="20"/>
                <w:lang w:eastAsia="es-CO"/>
              </w:rPr>
              <w:t>900.862.215</w:t>
            </w:r>
          </w:p>
        </w:tc>
        <w:tc>
          <w:tcPr>
            <w:tcW w:w="2787" w:type="pct"/>
            <w:vAlign w:val="center"/>
            <w:hideMark/>
          </w:tcPr>
          <w:p w14:paraId="2E88E6E4" w14:textId="0B041213" w:rsidR="00DB640A" w:rsidRPr="00951AB1" w:rsidRDefault="00DB640A" w:rsidP="000A5389">
            <w:pPr>
              <w:spacing w:line="240" w:lineRule="auto"/>
              <w:rPr>
                <w:rFonts w:cs="Times New Roman"/>
                <w:color w:val="000000"/>
                <w:sz w:val="20"/>
                <w:szCs w:val="20"/>
              </w:rPr>
            </w:pPr>
            <w:r w:rsidRPr="00951AB1">
              <w:rPr>
                <w:rFonts w:cs="Times New Roman"/>
                <w:color w:val="000000"/>
                <w:sz w:val="20"/>
                <w:szCs w:val="20"/>
              </w:rPr>
              <w:t>Concesionaria Vial del Oriente S.A.S.</w:t>
            </w:r>
          </w:p>
        </w:tc>
        <w:tc>
          <w:tcPr>
            <w:tcW w:w="1493" w:type="pct"/>
            <w:vAlign w:val="center"/>
            <w:hideMark/>
          </w:tcPr>
          <w:p w14:paraId="550E8F98" w14:textId="77777777" w:rsidR="00DB640A" w:rsidRPr="00951AB1" w:rsidRDefault="00DB640A" w:rsidP="000A5389">
            <w:pPr>
              <w:spacing w:line="240" w:lineRule="auto"/>
              <w:jc w:val="right"/>
              <w:rPr>
                <w:rFonts w:cs="Times New Roman"/>
                <w:color w:val="000000"/>
                <w:sz w:val="20"/>
                <w:szCs w:val="20"/>
              </w:rPr>
            </w:pPr>
            <w:r w:rsidRPr="00951AB1">
              <w:rPr>
                <w:rFonts w:cs="Times New Roman"/>
                <w:color w:val="000000"/>
                <w:sz w:val="20"/>
                <w:szCs w:val="20"/>
              </w:rPr>
              <w:t>158.096.729.864</w:t>
            </w:r>
          </w:p>
        </w:tc>
      </w:tr>
      <w:tr w:rsidR="00DB640A" w:rsidRPr="00951AB1" w14:paraId="526B7A05" w14:textId="77777777" w:rsidTr="00F07EFD">
        <w:trPr>
          <w:trHeight w:val="283"/>
        </w:trPr>
        <w:tc>
          <w:tcPr>
            <w:tcW w:w="720" w:type="pct"/>
            <w:vAlign w:val="center"/>
            <w:hideMark/>
          </w:tcPr>
          <w:p w14:paraId="7BDBFE9D" w14:textId="2683646E" w:rsidR="00DB640A" w:rsidRPr="00951AB1" w:rsidRDefault="00DB640A" w:rsidP="000A5389">
            <w:pPr>
              <w:spacing w:line="240" w:lineRule="auto"/>
              <w:rPr>
                <w:rFonts w:cs="Times New Roman"/>
                <w:sz w:val="20"/>
                <w:szCs w:val="20"/>
                <w:lang w:eastAsia="es-CO"/>
              </w:rPr>
            </w:pPr>
            <w:r w:rsidRPr="00951AB1">
              <w:rPr>
                <w:rFonts w:cs="Times New Roman"/>
                <w:sz w:val="20"/>
                <w:szCs w:val="20"/>
                <w:lang w:eastAsia="es-CO"/>
              </w:rPr>
              <w:t>900.761.657</w:t>
            </w:r>
          </w:p>
        </w:tc>
        <w:tc>
          <w:tcPr>
            <w:tcW w:w="2787" w:type="pct"/>
            <w:vAlign w:val="center"/>
            <w:hideMark/>
          </w:tcPr>
          <w:p w14:paraId="41C3D8A0" w14:textId="4FA831C0" w:rsidR="00DB640A" w:rsidRPr="00951AB1" w:rsidRDefault="00DB640A" w:rsidP="000A5389">
            <w:pPr>
              <w:spacing w:line="240" w:lineRule="auto"/>
              <w:rPr>
                <w:rFonts w:cs="Times New Roman"/>
                <w:color w:val="000000"/>
                <w:sz w:val="20"/>
                <w:szCs w:val="20"/>
              </w:rPr>
            </w:pPr>
            <w:r w:rsidRPr="00951AB1">
              <w:rPr>
                <w:rFonts w:cs="Times New Roman"/>
                <w:color w:val="000000"/>
                <w:sz w:val="20"/>
                <w:szCs w:val="20"/>
              </w:rPr>
              <w:t>Perimetral Oriental de Bogotá S.A.S.</w:t>
            </w:r>
          </w:p>
        </w:tc>
        <w:tc>
          <w:tcPr>
            <w:tcW w:w="1493" w:type="pct"/>
            <w:vAlign w:val="center"/>
            <w:hideMark/>
          </w:tcPr>
          <w:p w14:paraId="115A5B41" w14:textId="77777777" w:rsidR="00DB640A" w:rsidRPr="00951AB1" w:rsidRDefault="00DB640A" w:rsidP="000A5389">
            <w:pPr>
              <w:spacing w:line="240" w:lineRule="auto"/>
              <w:jc w:val="right"/>
              <w:rPr>
                <w:rFonts w:cs="Times New Roman"/>
                <w:color w:val="000000"/>
                <w:sz w:val="20"/>
                <w:szCs w:val="20"/>
              </w:rPr>
            </w:pPr>
            <w:r w:rsidRPr="00951AB1">
              <w:rPr>
                <w:rFonts w:cs="Times New Roman"/>
                <w:color w:val="000000"/>
                <w:sz w:val="20"/>
                <w:szCs w:val="20"/>
              </w:rPr>
              <w:t>157.357.688.907</w:t>
            </w:r>
          </w:p>
        </w:tc>
      </w:tr>
      <w:tr w:rsidR="00DB640A" w:rsidRPr="00951AB1" w14:paraId="481D0BF7" w14:textId="77777777" w:rsidTr="00F07EFD">
        <w:trPr>
          <w:trHeight w:val="283"/>
        </w:trPr>
        <w:tc>
          <w:tcPr>
            <w:tcW w:w="720" w:type="pct"/>
            <w:vAlign w:val="center"/>
            <w:hideMark/>
          </w:tcPr>
          <w:p w14:paraId="0034EE82" w14:textId="1CA16CBB" w:rsidR="00DB640A" w:rsidRPr="00951AB1" w:rsidRDefault="00DB640A" w:rsidP="000A5389">
            <w:pPr>
              <w:spacing w:line="240" w:lineRule="auto"/>
              <w:rPr>
                <w:rFonts w:cs="Times New Roman"/>
                <w:sz w:val="20"/>
                <w:szCs w:val="20"/>
                <w:lang w:eastAsia="es-CO"/>
              </w:rPr>
            </w:pPr>
            <w:r w:rsidRPr="00951AB1">
              <w:rPr>
                <w:rFonts w:cs="Times New Roman"/>
                <w:sz w:val="20"/>
                <w:szCs w:val="20"/>
                <w:lang w:eastAsia="es-CO"/>
              </w:rPr>
              <w:t>900.763.357</w:t>
            </w:r>
          </w:p>
        </w:tc>
        <w:tc>
          <w:tcPr>
            <w:tcW w:w="2787" w:type="pct"/>
            <w:vAlign w:val="center"/>
            <w:hideMark/>
          </w:tcPr>
          <w:p w14:paraId="09AE98CB" w14:textId="5FB0B838" w:rsidR="00DB640A" w:rsidRPr="00951AB1" w:rsidRDefault="00DB640A" w:rsidP="000A5389">
            <w:pPr>
              <w:spacing w:line="240" w:lineRule="auto"/>
              <w:rPr>
                <w:rFonts w:cs="Times New Roman"/>
                <w:color w:val="000000"/>
                <w:sz w:val="20"/>
                <w:szCs w:val="20"/>
              </w:rPr>
            </w:pPr>
            <w:r w:rsidRPr="00951AB1">
              <w:rPr>
                <w:rFonts w:cs="Times New Roman"/>
                <w:color w:val="000000"/>
                <w:sz w:val="20"/>
                <w:szCs w:val="20"/>
              </w:rPr>
              <w:t>Concesión Pacifico Tres S.A.S.</w:t>
            </w:r>
          </w:p>
        </w:tc>
        <w:tc>
          <w:tcPr>
            <w:tcW w:w="1493" w:type="pct"/>
            <w:vAlign w:val="center"/>
            <w:hideMark/>
          </w:tcPr>
          <w:p w14:paraId="0A2853A1" w14:textId="77777777" w:rsidR="00DB640A" w:rsidRPr="00951AB1" w:rsidRDefault="00DB640A" w:rsidP="000A5389">
            <w:pPr>
              <w:spacing w:line="240" w:lineRule="auto"/>
              <w:jc w:val="right"/>
              <w:rPr>
                <w:rFonts w:cs="Times New Roman"/>
                <w:color w:val="000000"/>
                <w:sz w:val="20"/>
                <w:szCs w:val="20"/>
              </w:rPr>
            </w:pPr>
            <w:r w:rsidRPr="00951AB1">
              <w:rPr>
                <w:rFonts w:cs="Times New Roman"/>
                <w:color w:val="000000"/>
                <w:sz w:val="20"/>
                <w:szCs w:val="20"/>
              </w:rPr>
              <w:t>151.468.757.841</w:t>
            </w:r>
          </w:p>
        </w:tc>
      </w:tr>
      <w:tr w:rsidR="00DB640A" w:rsidRPr="00951AB1" w14:paraId="38EA3E6E" w14:textId="77777777" w:rsidTr="00F07EFD">
        <w:trPr>
          <w:trHeight w:val="283"/>
        </w:trPr>
        <w:tc>
          <w:tcPr>
            <w:tcW w:w="720" w:type="pct"/>
            <w:vAlign w:val="center"/>
            <w:hideMark/>
          </w:tcPr>
          <w:p w14:paraId="1D60CE10" w14:textId="6BE765CE" w:rsidR="00DB640A" w:rsidRPr="00951AB1" w:rsidRDefault="00DB640A" w:rsidP="000A5389">
            <w:pPr>
              <w:spacing w:line="240" w:lineRule="auto"/>
              <w:rPr>
                <w:rFonts w:cs="Times New Roman"/>
                <w:sz w:val="20"/>
                <w:szCs w:val="20"/>
                <w:lang w:eastAsia="es-CO"/>
              </w:rPr>
            </w:pPr>
            <w:r w:rsidRPr="00951AB1">
              <w:rPr>
                <w:rFonts w:cs="Times New Roman"/>
                <w:sz w:val="20"/>
                <w:szCs w:val="20"/>
                <w:lang w:eastAsia="es-CO"/>
              </w:rPr>
              <w:t>900.880.846</w:t>
            </w:r>
          </w:p>
        </w:tc>
        <w:tc>
          <w:tcPr>
            <w:tcW w:w="2787" w:type="pct"/>
            <w:vAlign w:val="center"/>
            <w:hideMark/>
          </w:tcPr>
          <w:p w14:paraId="25CE0BC3" w14:textId="55255DA3" w:rsidR="00DB640A" w:rsidRPr="00951AB1" w:rsidRDefault="00DB640A" w:rsidP="000A5389">
            <w:pPr>
              <w:spacing w:line="240" w:lineRule="auto"/>
              <w:rPr>
                <w:rFonts w:cs="Times New Roman"/>
                <w:color w:val="000000"/>
                <w:sz w:val="20"/>
                <w:szCs w:val="20"/>
              </w:rPr>
            </w:pPr>
            <w:r w:rsidRPr="00951AB1">
              <w:rPr>
                <w:rFonts w:cs="Times New Roman"/>
                <w:color w:val="000000"/>
                <w:sz w:val="20"/>
                <w:szCs w:val="20"/>
              </w:rPr>
              <w:t>Concesionaria Vial Unión del Sur S.A.S.</w:t>
            </w:r>
          </w:p>
        </w:tc>
        <w:tc>
          <w:tcPr>
            <w:tcW w:w="1493" w:type="pct"/>
            <w:vAlign w:val="center"/>
            <w:hideMark/>
          </w:tcPr>
          <w:p w14:paraId="6CA60A69" w14:textId="77777777" w:rsidR="00DB640A" w:rsidRPr="00951AB1" w:rsidRDefault="00DB640A" w:rsidP="000A5389">
            <w:pPr>
              <w:spacing w:line="240" w:lineRule="auto"/>
              <w:jc w:val="right"/>
              <w:rPr>
                <w:rFonts w:cs="Times New Roman"/>
                <w:color w:val="000000"/>
                <w:sz w:val="20"/>
                <w:szCs w:val="20"/>
              </w:rPr>
            </w:pPr>
            <w:r w:rsidRPr="00951AB1">
              <w:rPr>
                <w:rFonts w:cs="Times New Roman"/>
                <w:color w:val="000000"/>
                <w:sz w:val="20"/>
                <w:szCs w:val="20"/>
              </w:rPr>
              <w:t>150.963.342.619</w:t>
            </w:r>
          </w:p>
        </w:tc>
      </w:tr>
      <w:tr w:rsidR="00DB640A" w:rsidRPr="00951AB1" w14:paraId="2EE7115F" w14:textId="77777777" w:rsidTr="00F07EFD">
        <w:trPr>
          <w:trHeight w:val="283"/>
        </w:trPr>
        <w:tc>
          <w:tcPr>
            <w:tcW w:w="720" w:type="pct"/>
            <w:vAlign w:val="center"/>
            <w:hideMark/>
          </w:tcPr>
          <w:p w14:paraId="0D69C52D" w14:textId="67A7562F" w:rsidR="00DB640A" w:rsidRPr="00951AB1" w:rsidRDefault="00DB640A" w:rsidP="000A5389">
            <w:pPr>
              <w:spacing w:line="240" w:lineRule="auto"/>
              <w:rPr>
                <w:rFonts w:cs="Times New Roman"/>
                <w:sz w:val="20"/>
                <w:szCs w:val="20"/>
                <w:lang w:eastAsia="es-CO"/>
              </w:rPr>
            </w:pPr>
            <w:r w:rsidRPr="00951AB1">
              <w:rPr>
                <w:rFonts w:cs="Times New Roman"/>
                <w:sz w:val="20"/>
                <w:szCs w:val="20"/>
                <w:lang w:eastAsia="es-CO"/>
              </w:rPr>
              <w:t>900.871.368</w:t>
            </w:r>
          </w:p>
        </w:tc>
        <w:tc>
          <w:tcPr>
            <w:tcW w:w="2787" w:type="pct"/>
            <w:vAlign w:val="center"/>
            <w:hideMark/>
          </w:tcPr>
          <w:p w14:paraId="2DBE0034" w14:textId="3FA4EA08" w:rsidR="00DB640A" w:rsidRPr="00951AB1" w:rsidRDefault="00DB640A" w:rsidP="000A5389">
            <w:pPr>
              <w:spacing w:line="240" w:lineRule="auto"/>
              <w:rPr>
                <w:rFonts w:cs="Times New Roman"/>
                <w:color w:val="000000"/>
                <w:sz w:val="20"/>
                <w:szCs w:val="20"/>
              </w:rPr>
            </w:pPr>
            <w:r w:rsidRPr="00951AB1">
              <w:rPr>
                <w:rFonts w:cs="Times New Roman"/>
                <w:color w:val="000000"/>
                <w:sz w:val="20"/>
                <w:szCs w:val="20"/>
              </w:rPr>
              <w:t>Concesionaria Ruta del Cacao S.A.S.</w:t>
            </w:r>
          </w:p>
        </w:tc>
        <w:tc>
          <w:tcPr>
            <w:tcW w:w="1493" w:type="pct"/>
            <w:vAlign w:val="center"/>
            <w:hideMark/>
          </w:tcPr>
          <w:p w14:paraId="6D1A8ED9" w14:textId="77777777" w:rsidR="00DB640A" w:rsidRPr="00951AB1" w:rsidRDefault="00DB640A" w:rsidP="000A5389">
            <w:pPr>
              <w:spacing w:line="240" w:lineRule="auto"/>
              <w:jc w:val="right"/>
              <w:rPr>
                <w:rFonts w:cs="Times New Roman"/>
                <w:color w:val="000000"/>
                <w:sz w:val="20"/>
                <w:szCs w:val="20"/>
              </w:rPr>
            </w:pPr>
            <w:r w:rsidRPr="00951AB1">
              <w:rPr>
                <w:rFonts w:cs="Times New Roman"/>
                <w:color w:val="000000"/>
                <w:sz w:val="20"/>
                <w:szCs w:val="20"/>
              </w:rPr>
              <w:t>139.290.626.509</w:t>
            </w:r>
          </w:p>
        </w:tc>
      </w:tr>
      <w:tr w:rsidR="00DB640A" w:rsidRPr="00951AB1" w14:paraId="5413D997" w14:textId="77777777" w:rsidTr="00F07EFD">
        <w:trPr>
          <w:trHeight w:val="283"/>
        </w:trPr>
        <w:tc>
          <w:tcPr>
            <w:tcW w:w="720" w:type="pct"/>
            <w:vAlign w:val="center"/>
            <w:hideMark/>
          </w:tcPr>
          <w:p w14:paraId="71922AC6" w14:textId="1FDD23B4" w:rsidR="00DB640A" w:rsidRPr="00951AB1" w:rsidRDefault="00DB640A" w:rsidP="000A5389">
            <w:pPr>
              <w:spacing w:line="240" w:lineRule="auto"/>
              <w:rPr>
                <w:rFonts w:cs="Times New Roman"/>
                <w:sz w:val="20"/>
                <w:szCs w:val="20"/>
                <w:lang w:eastAsia="es-CO"/>
              </w:rPr>
            </w:pPr>
            <w:r w:rsidRPr="00951AB1">
              <w:rPr>
                <w:rFonts w:cs="Times New Roman"/>
                <w:sz w:val="20"/>
                <w:szCs w:val="20"/>
                <w:lang w:eastAsia="es-CO"/>
              </w:rPr>
              <w:t>901.602.085</w:t>
            </w:r>
          </w:p>
        </w:tc>
        <w:tc>
          <w:tcPr>
            <w:tcW w:w="2787" w:type="pct"/>
            <w:vAlign w:val="center"/>
            <w:hideMark/>
          </w:tcPr>
          <w:p w14:paraId="0F7FCFCA" w14:textId="7CA5E63D" w:rsidR="00DB640A" w:rsidRPr="00951AB1" w:rsidRDefault="00DB640A" w:rsidP="000A5389">
            <w:pPr>
              <w:spacing w:line="240" w:lineRule="auto"/>
              <w:rPr>
                <w:rFonts w:cs="Times New Roman"/>
                <w:color w:val="000000"/>
                <w:sz w:val="20"/>
                <w:szCs w:val="20"/>
              </w:rPr>
            </w:pPr>
            <w:r w:rsidRPr="00951AB1">
              <w:rPr>
                <w:rFonts w:cs="Times New Roman"/>
                <w:color w:val="000000"/>
                <w:sz w:val="20"/>
                <w:szCs w:val="20"/>
              </w:rPr>
              <w:t>Autopista Magdalena Medio S.A.S</w:t>
            </w:r>
          </w:p>
        </w:tc>
        <w:tc>
          <w:tcPr>
            <w:tcW w:w="1493" w:type="pct"/>
            <w:vAlign w:val="center"/>
            <w:hideMark/>
          </w:tcPr>
          <w:p w14:paraId="3553348D" w14:textId="77777777" w:rsidR="00DB640A" w:rsidRPr="00951AB1" w:rsidRDefault="00DB640A" w:rsidP="000A5389">
            <w:pPr>
              <w:spacing w:line="240" w:lineRule="auto"/>
              <w:jc w:val="right"/>
              <w:rPr>
                <w:rFonts w:cs="Times New Roman"/>
                <w:color w:val="000000"/>
                <w:sz w:val="20"/>
                <w:szCs w:val="20"/>
              </w:rPr>
            </w:pPr>
            <w:r w:rsidRPr="00951AB1">
              <w:rPr>
                <w:rFonts w:cs="Times New Roman"/>
                <w:color w:val="000000"/>
                <w:sz w:val="20"/>
                <w:szCs w:val="20"/>
              </w:rPr>
              <w:t>121.052.011.399</w:t>
            </w:r>
          </w:p>
        </w:tc>
      </w:tr>
      <w:tr w:rsidR="00DB640A" w:rsidRPr="00951AB1" w14:paraId="496F70D3" w14:textId="77777777" w:rsidTr="00F07EFD">
        <w:trPr>
          <w:trHeight w:val="283"/>
        </w:trPr>
        <w:tc>
          <w:tcPr>
            <w:tcW w:w="720" w:type="pct"/>
            <w:vAlign w:val="center"/>
            <w:hideMark/>
          </w:tcPr>
          <w:p w14:paraId="188F63EE" w14:textId="3AEC4225" w:rsidR="00DB640A" w:rsidRPr="00951AB1" w:rsidRDefault="00DB640A" w:rsidP="000A5389">
            <w:pPr>
              <w:spacing w:line="240" w:lineRule="auto"/>
              <w:rPr>
                <w:rFonts w:cs="Times New Roman"/>
                <w:sz w:val="20"/>
                <w:szCs w:val="20"/>
                <w:lang w:eastAsia="es-CO"/>
              </w:rPr>
            </w:pPr>
            <w:r w:rsidRPr="00951AB1">
              <w:rPr>
                <w:rFonts w:cs="Times New Roman"/>
                <w:sz w:val="20"/>
                <w:szCs w:val="20"/>
                <w:lang w:eastAsia="es-CO"/>
              </w:rPr>
              <w:t>900.763.355</w:t>
            </w:r>
          </w:p>
        </w:tc>
        <w:tc>
          <w:tcPr>
            <w:tcW w:w="2787" w:type="pct"/>
            <w:vAlign w:val="center"/>
            <w:hideMark/>
          </w:tcPr>
          <w:p w14:paraId="4FF94E6B" w14:textId="469277A2" w:rsidR="00DB640A" w:rsidRPr="00951AB1" w:rsidRDefault="00DB640A" w:rsidP="000A5389">
            <w:pPr>
              <w:spacing w:line="240" w:lineRule="auto"/>
              <w:rPr>
                <w:rFonts w:cs="Times New Roman"/>
                <w:color w:val="000000"/>
                <w:sz w:val="20"/>
                <w:szCs w:val="20"/>
              </w:rPr>
            </w:pPr>
            <w:r w:rsidRPr="00951AB1">
              <w:rPr>
                <w:rFonts w:cs="Times New Roman"/>
                <w:color w:val="000000"/>
                <w:sz w:val="20"/>
                <w:szCs w:val="20"/>
              </w:rPr>
              <w:t>Concesión Costera Cartagena Barranquilla S.A.S.</w:t>
            </w:r>
          </w:p>
        </w:tc>
        <w:tc>
          <w:tcPr>
            <w:tcW w:w="1493" w:type="pct"/>
            <w:vAlign w:val="center"/>
            <w:hideMark/>
          </w:tcPr>
          <w:p w14:paraId="2A42381D" w14:textId="77777777" w:rsidR="00DB640A" w:rsidRPr="00951AB1" w:rsidRDefault="00DB640A" w:rsidP="000A5389">
            <w:pPr>
              <w:spacing w:line="240" w:lineRule="auto"/>
              <w:jc w:val="right"/>
              <w:rPr>
                <w:rFonts w:cs="Times New Roman"/>
                <w:color w:val="000000"/>
                <w:sz w:val="20"/>
                <w:szCs w:val="20"/>
              </w:rPr>
            </w:pPr>
            <w:r w:rsidRPr="00951AB1">
              <w:rPr>
                <w:rFonts w:cs="Times New Roman"/>
                <w:color w:val="000000"/>
                <w:sz w:val="20"/>
                <w:szCs w:val="20"/>
              </w:rPr>
              <w:t>106.916.342.023</w:t>
            </w:r>
          </w:p>
        </w:tc>
      </w:tr>
      <w:tr w:rsidR="00DB640A" w:rsidRPr="00951AB1" w14:paraId="1CD2063F" w14:textId="77777777" w:rsidTr="00F07EFD">
        <w:trPr>
          <w:trHeight w:val="283"/>
        </w:trPr>
        <w:tc>
          <w:tcPr>
            <w:tcW w:w="720" w:type="pct"/>
            <w:vAlign w:val="center"/>
            <w:hideMark/>
          </w:tcPr>
          <w:p w14:paraId="534822A5" w14:textId="4655D9F8" w:rsidR="00DB640A" w:rsidRPr="00951AB1" w:rsidRDefault="00DB640A" w:rsidP="000A5389">
            <w:pPr>
              <w:spacing w:line="240" w:lineRule="auto"/>
              <w:rPr>
                <w:rFonts w:cs="Times New Roman"/>
                <w:sz w:val="20"/>
                <w:szCs w:val="20"/>
                <w:lang w:eastAsia="es-CO"/>
              </w:rPr>
            </w:pPr>
            <w:r w:rsidRPr="00951AB1">
              <w:rPr>
                <w:rFonts w:cs="Times New Roman"/>
                <w:sz w:val="20"/>
                <w:szCs w:val="20"/>
                <w:lang w:eastAsia="es-CO"/>
              </w:rPr>
              <w:t>901.482.899</w:t>
            </w:r>
          </w:p>
        </w:tc>
        <w:tc>
          <w:tcPr>
            <w:tcW w:w="2787" w:type="pct"/>
            <w:vAlign w:val="center"/>
            <w:hideMark/>
          </w:tcPr>
          <w:p w14:paraId="11660589" w14:textId="4C8C5A80" w:rsidR="00DB640A" w:rsidRPr="00951AB1" w:rsidRDefault="00DB640A" w:rsidP="000A5389">
            <w:pPr>
              <w:spacing w:line="240" w:lineRule="auto"/>
              <w:rPr>
                <w:rFonts w:cs="Times New Roman"/>
                <w:color w:val="000000"/>
                <w:sz w:val="20"/>
                <w:szCs w:val="20"/>
              </w:rPr>
            </w:pPr>
            <w:r w:rsidRPr="00951AB1">
              <w:rPr>
                <w:rFonts w:cs="Times New Roman"/>
                <w:color w:val="000000"/>
                <w:sz w:val="20"/>
                <w:szCs w:val="20"/>
              </w:rPr>
              <w:t>Concesionaria Ruta Al Sur S.A.S.</w:t>
            </w:r>
          </w:p>
        </w:tc>
        <w:tc>
          <w:tcPr>
            <w:tcW w:w="1493" w:type="pct"/>
            <w:vAlign w:val="center"/>
            <w:hideMark/>
          </w:tcPr>
          <w:p w14:paraId="11EF1A56" w14:textId="77777777" w:rsidR="00DB640A" w:rsidRPr="00951AB1" w:rsidRDefault="00DB640A" w:rsidP="000A5389">
            <w:pPr>
              <w:spacing w:line="240" w:lineRule="auto"/>
              <w:jc w:val="right"/>
              <w:rPr>
                <w:rFonts w:cs="Times New Roman"/>
                <w:color w:val="000000"/>
                <w:sz w:val="20"/>
                <w:szCs w:val="20"/>
              </w:rPr>
            </w:pPr>
            <w:r w:rsidRPr="00951AB1">
              <w:rPr>
                <w:rFonts w:cs="Times New Roman"/>
                <w:color w:val="000000"/>
                <w:sz w:val="20"/>
                <w:szCs w:val="20"/>
              </w:rPr>
              <w:t>95.260.957.981</w:t>
            </w:r>
          </w:p>
        </w:tc>
      </w:tr>
      <w:tr w:rsidR="00DB640A" w:rsidRPr="00951AB1" w14:paraId="0193B1BE" w14:textId="77777777" w:rsidTr="00F07EFD">
        <w:trPr>
          <w:trHeight w:val="283"/>
        </w:trPr>
        <w:tc>
          <w:tcPr>
            <w:tcW w:w="720" w:type="pct"/>
            <w:vAlign w:val="center"/>
            <w:hideMark/>
          </w:tcPr>
          <w:p w14:paraId="404670C9" w14:textId="5D613BD0" w:rsidR="00DB640A" w:rsidRPr="00951AB1" w:rsidRDefault="00DB640A" w:rsidP="000A5389">
            <w:pPr>
              <w:spacing w:line="240" w:lineRule="auto"/>
              <w:rPr>
                <w:rFonts w:cs="Times New Roman"/>
                <w:sz w:val="20"/>
                <w:szCs w:val="20"/>
                <w:lang w:eastAsia="es-CO"/>
              </w:rPr>
            </w:pPr>
            <w:r w:rsidRPr="00951AB1">
              <w:rPr>
                <w:rFonts w:cs="Times New Roman"/>
                <w:sz w:val="20"/>
                <w:szCs w:val="20"/>
                <w:lang w:eastAsia="es-CO"/>
              </w:rPr>
              <w:t>900.740.893</w:t>
            </w:r>
          </w:p>
        </w:tc>
        <w:tc>
          <w:tcPr>
            <w:tcW w:w="2787" w:type="pct"/>
            <w:vAlign w:val="center"/>
            <w:hideMark/>
          </w:tcPr>
          <w:p w14:paraId="696196F3" w14:textId="1477106E" w:rsidR="00DB640A" w:rsidRPr="00951AB1" w:rsidRDefault="00DB640A" w:rsidP="000A5389">
            <w:pPr>
              <w:spacing w:line="240" w:lineRule="auto"/>
              <w:rPr>
                <w:rFonts w:cs="Times New Roman"/>
                <w:color w:val="000000"/>
                <w:sz w:val="20"/>
                <w:szCs w:val="20"/>
              </w:rPr>
            </w:pPr>
            <w:r w:rsidRPr="00951AB1">
              <w:rPr>
                <w:rFonts w:cs="Times New Roman"/>
                <w:color w:val="000000"/>
                <w:sz w:val="20"/>
                <w:szCs w:val="20"/>
              </w:rPr>
              <w:t>Concesión la Pintada S.A.S.</w:t>
            </w:r>
          </w:p>
        </w:tc>
        <w:tc>
          <w:tcPr>
            <w:tcW w:w="1493" w:type="pct"/>
            <w:vAlign w:val="center"/>
            <w:hideMark/>
          </w:tcPr>
          <w:p w14:paraId="5FE8D080" w14:textId="77777777" w:rsidR="00DB640A" w:rsidRPr="00951AB1" w:rsidRDefault="00DB640A" w:rsidP="000A5389">
            <w:pPr>
              <w:spacing w:line="240" w:lineRule="auto"/>
              <w:jc w:val="right"/>
              <w:rPr>
                <w:rFonts w:cs="Times New Roman"/>
                <w:color w:val="000000"/>
                <w:sz w:val="20"/>
                <w:szCs w:val="20"/>
              </w:rPr>
            </w:pPr>
            <w:r w:rsidRPr="00951AB1">
              <w:rPr>
                <w:rFonts w:cs="Times New Roman"/>
                <w:color w:val="000000"/>
                <w:sz w:val="20"/>
                <w:szCs w:val="20"/>
              </w:rPr>
              <w:t>94.932.338.537</w:t>
            </w:r>
          </w:p>
        </w:tc>
      </w:tr>
      <w:tr w:rsidR="00DB640A" w:rsidRPr="00951AB1" w14:paraId="73351D13" w14:textId="77777777" w:rsidTr="00F07EFD">
        <w:trPr>
          <w:trHeight w:val="283"/>
        </w:trPr>
        <w:tc>
          <w:tcPr>
            <w:tcW w:w="720" w:type="pct"/>
            <w:vAlign w:val="center"/>
            <w:hideMark/>
          </w:tcPr>
          <w:p w14:paraId="1A168770" w14:textId="06B67511" w:rsidR="00DB640A" w:rsidRPr="00951AB1" w:rsidRDefault="00DB640A" w:rsidP="000A5389">
            <w:pPr>
              <w:spacing w:line="240" w:lineRule="auto"/>
              <w:rPr>
                <w:rFonts w:cs="Times New Roman"/>
                <w:sz w:val="20"/>
                <w:szCs w:val="20"/>
                <w:lang w:eastAsia="es-CO"/>
              </w:rPr>
            </w:pPr>
            <w:r w:rsidRPr="00951AB1">
              <w:rPr>
                <w:rFonts w:cs="Times New Roman"/>
                <w:sz w:val="20"/>
                <w:szCs w:val="20"/>
                <w:lang w:eastAsia="es-CO"/>
              </w:rPr>
              <w:t>901.607.093</w:t>
            </w:r>
          </w:p>
        </w:tc>
        <w:tc>
          <w:tcPr>
            <w:tcW w:w="2787" w:type="pct"/>
            <w:vAlign w:val="center"/>
            <w:hideMark/>
          </w:tcPr>
          <w:p w14:paraId="6D569D1E" w14:textId="361C2DE6" w:rsidR="00DB640A" w:rsidRPr="00951AB1" w:rsidRDefault="00DB640A" w:rsidP="000A5389">
            <w:pPr>
              <w:spacing w:line="240" w:lineRule="auto"/>
              <w:rPr>
                <w:rFonts w:cs="Times New Roman"/>
                <w:color w:val="000000"/>
                <w:sz w:val="20"/>
                <w:szCs w:val="20"/>
              </w:rPr>
            </w:pPr>
            <w:r w:rsidRPr="00951AB1">
              <w:rPr>
                <w:rFonts w:cs="Times New Roman"/>
                <w:color w:val="000000"/>
                <w:sz w:val="20"/>
                <w:szCs w:val="20"/>
              </w:rPr>
              <w:t>Autopista del Rio Grande S.A.S</w:t>
            </w:r>
          </w:p>
        </w:tc>
        <w:tc>
          <w:tcPr>
            <w:tcW w:w="1493" w:type="pct"/>
            <w:vAlign w:val="center"/>
            <w:hideMark/>
          </w:tcPr>
          <w:p w14:paraId="2ED66D8A" w14:textId="77777777" w:rsidR="00DB640A" w:rsidRPr="00951AB1" w:rsidRDefault="00DB640A" w:rsidP="000A5389">
            <w:pPr>
              <w:spacing w:line="240" w:lineRule="auto"/>
              <w:jc w:val="right"/>
              <w:rPr>
                <w:rFonts w:cs="Times New Roman"/>
                <w:color w:val="000000"/>
                <w:sz w:val="20"/>
                <w:szCs w:val="20"/>
              </w:rPr>
            </w:pPr>
            <w:r w:rsidRPr="00951AB1">
              <w:rPr>
                <w:rFonts w:cs="Times New Roman"/>
                <w:color w:val="000000"/>
                <w:sz w:val="20"/>
                <w:szCs w:val="20"/>
              </w:rPr>
              <w:t>83.561.051.582</w:t>
            </w:r>
          </w:p>
        </w:tc>
      </w:tr>
      <w:tr w:rsidR="00DB640A" w:rsidRPr="00951AB1" w14:paraId="06797D95" w14:textId="77777777" w:rsidTr="00F07EFD">
        <w:trPr>
          <w:trHeight w:val="283"/>
        </w:trPr>
        <w:tc>
          <w:tcPr>
            <w:tcW w:w="720" w:type="pct"/>
            <w:vAlign w:val="center"/>
            <w:hideMark/>
          </w:tcPr>
          <w:p w14:paraId="57A948DA" w14:textId="69B52E52" w:rsidR="00DB640A" w:rsidRPr="00951AB1" w:rsidRDefault="00DB640A" w:rsidP="000A5389">
            <w:pPr>
              <w:spacing w:line="240" w:lineRule="auto"/>
              <w:rPr>
                <w:rFonts w:cs="Times New Roman"/>
                <w:sz w:val="20"/>
                <w:szCs w:val="20"/>
                <w:lang w:eastAsia="es-CO"/>
              </w:rPr>
            </w:pPr>
            <w:r w:rsidRPr="00951AB1">
              <w:rPr>
                <w:rFonts w:cs="Times New Roman"/>
                <w:sz w:val="20"/>
                <w:szCs w:val="20"/>
                <w:lang w:eastAsia="es-CO"/>
              </w:rPr>
              <w:t>900.745.219</w:t>
            </w:r>
          </w:p>
        </w:tc>
        <w:tc>
          <w:tcPr>
            <w:tcW w:w="2787" w:type="pct"/>
            <w:vAlign w:val="center"/>
            <w:hideMark/>
          </w:tcPr>
          <w:p w14:paraId="145CC337" w14:textId="48828579" w:rsidR="00DB640A" w:rsidRPr="00951AB1" w:rsidRDefault="00DB640A" w:rsidP="000A5389">
            <w:pPr>
              <w:spacing w:line="240" w:lineRule="auto"/>
              <w:rPr>
                <w:rFonts w:cs="Times New Roman"/>
                <w:color w:val="000000"/>
                <w:sz w:val="20"/>
                <w:szCs w:val="20"/>
              </w:rPr>
            </w:pPr>
            <w:r w:rsidRPr="00951AB1">
              <w:rPr>
                <w:rFonts w:cs="Times New Roman"/>
                <w:color w:val="000000"/>
                <w:sz w:val="20"/>
                <w:szCs w:val="20"/>
              </w:rPr>
              <w:t>Concesión Alto Magdalena S A S</w:t>
            </w:r>
          </w:p>
        </w:tc>
        <w:tc>
          <w:tcPr>
            <w:tcW w:w="1493" w:type="pct"/>
            <w:vAlign w:val="center"/>
            <w:hideMark/>
          </w:tcPr>
          <w:p w14:paraId="45B9DDA9" w14:textId="77777777" w:rsidR="00DB640A" w:rsidRPr="00951AB1" w:rsidRDefault="00DB640A" w:rsidP="000A5389">
            <w:pPr>
              <w:spacing w:line="240" w:lineRule="auto"/>
              <w:jc w:val="right"/>
              <w:rPr>
                <w:rFonts w:cs="Times New Roman"/>
                <w:color w:val="000000"/>
                <w:sz w:val="20"/>
                <w:szCs w:val="20"/>
              </w:rPr>
            </w:pPr>
            <w:r w:rsidRPr="00951AB1">
              <w:rPr>
                <w:rFonts w:cs="Times New Roman"/>
                <w:color w:val="000000"/>
                <w:sz w:val="20"/>
                <w:szCs w:val="20"/>
              </w:rPr>
              <w:t>82.651.963.566</w:t>
            </w:r>
          </w:p>
        </w:tc>
      </w:tr>
      <w:tr w:rsidR="00DB640A" w:rsidRPr="00951AB1" w14:paraId="57254BB7" w14:textId="77777777" w:rsidTr="00F07EFD">
        <w:trPr>
          <w:trHeight w:val="283"/>
        </w:trPr>
        <w:tc>
          <w:tcPr>
            <w:tcW w:w="720" w:type="pct"/>
            <w:vAlign w:val="center"/>
            <w:hideMark/>
          </w:tcPr>
          <w:p w14:paraId="7DD360CB" w14:textId="54B53E37" w:rsidR="00DB640A" w:rsidRPr="00951AB1" w:rsidRDefault="00DB640A" w:rsidP="000A5389">
            <w:pPr>
              <w:spacing w:line="240" w:lineRule="auto"/>
              <w:rPr>
                <w:rFonts w:cs="Times New Roman"/>
                <w:sz w:val="20"/>
                <w:szCs w:val="20"/>
                <w:lang w:eastAsia="es-CO"/>
              </w:rPr>
            </w:pPr>
            <w:r w:rsidRPr="00951AB1">
              <w:rPr>
                <w:rFonts w:cs="Times New Roman"/>
                <w:sz w:val="20"/>
                <w:szCs w:val="20"/>
                <w:lang w:eastAsia="es-CO"/>
              </w:rPr>
              <w:t>901.082.545</w:t>
            </w:r>
          </w:p>
        </w:tc>
        <w:tc>
          <w:tcPr>
            <w:tcW w:w="2787" w:type="pct"/>
            <w:vAlign w:val="center"/>
            <w:hideMark/>
          </w:tcPr>
          <w:p w14:paraId="31353745" w14:textId="3B44EA07" w:rsidR="00DB640A" w:rsidRPr="00951AB1" w:rsidRDefault="00DB640A" w:rsidP="000A5389">
            <w:pPr>
              <w:spacing w:line="240" w:lineRule="auto"/>
              <w:rPr>
                <w:rFonts w:cs="Times New Roman"/>
                <w:color w:val="000000"/>
                <w:sz w:val="20"/>
                <w:szCs w:val="20"/>
              </w:rPr>
            </w:pPr>
            <w:r w:rsidRPr="00951AB1">
              <w:rPr>
                <w:rFonts w:cs="Times New Roman"/>
                <w:color w:val="000000"/>
                <w:sz w:val="20"/>
                <w:szCs w:val="20"/>
              </w:rPr>
              <w:t>Union Vial Rio Pamplonita S.A.S</w:t>
            </w:r>
          </w:p>
        </w:tc>
        <w:tc>
          <w:tcPr>
            <w:tcW w:w="1493" w:type="pct"/>
            <w:vAlign w:val="center"/>
            <w:hideMark/>
          </w:tcPr>
          <w:p w14:paraId="61961EB7" w14:textId="77777777" w:rsidR="00DB640A" w:rsidRPr="00951AB1" w:rsidRDefault="00DB640A" w:rsidP="000A5389">
            <w:pPr>
              <w:spacing w:line="240" w:lineRule="auto"/>
              <w:jc w:val="right"/>
              <w:rPr>
                <w:rFonts w:cs="Times New Roman"/>
                <w:color w:val="000000"/>
                <w:sz w:val="20"/>
                <w:szCs w:val="20"/>
              </w:rPr>
            </w:pPr>
            <w:r w:rsidRPr="00951AB1">
              <w:rPr>
                <w:rFonts w:cs="Times New Roman"/>
                <w:color w:val="000000"/>
                <w:sz w:val="20"/>
                <w:szCs w:val="20"/>
              </w:rPr>
              <w:t>78.429.891.137</w:t>
            </w:r>
          </w:p>
        </w:tc>
      </w:tr>
      <w:tr w:rsidR="00DB640A" w:rsidRPr="00951AB1" w14:paraId="7702FB40" w14:textId="77777777" w:rsidTr="00F07EFD">
        <w:trPr>
          <w:trHeight w:val="283"/>
        </w:trPr>
        <w:tc>
          <w:tcPr>
            <w:tcW w:w="720" w:type="pct"/>
            <w:vAlign w:val="center"/>
            <w:hideMark/>
          </w:tcPr>
          <w:p w14:paraId="4CD68146" w14:textId="267ADE2A" w:rsidR="00DB640A" w:rsidRPr="00951AB1" w:rsidRDefault="00DB640A" w:rsidP="000A5389">
            <w:pPr>
              <w:spacing w:line="240" w:lineRule="auto"/>
              <w:rPr>
                <w:rFonts w:cs="Times New Roman"/>
                <w:sz w:val="20"/>
                <w:szCs w:val="20"/>
                <w:lang w:eastAsia="es-CO"/>
              </w:rPr>
            </w:pPr>
            <w:r w:rsidRPr="00951AB1">
              <w:rPr>
                <w:rFonts w:cs="Times New Roman"/>
                <w:sz w:val="20"/>
                <w:szCs w:val="20"/>
                <w:lang w:eastAsia="es-CO"/>
              </w:rPr>
              <w:t>900.373.092</w:t>
            </w:r>
          </w:p>
        </w:tc>
        <w:tc>
          <w:tcPr>
            <w:tcW w:w="2787" w:type="pct"/>
            <w:vAlign w:val="center"/>
            <w:hideMark/>
          </w:tcPr>
          <w:p w14:paraId="5C2A3371" w14:textId="2E55091B" w:rsidR="00DB640A" w:rsidRPr="00951AB1" w:rsidRDefault="00DB640A" w:rsidP="000A5389">
            <w:pPr>
              <w:spacing w:line="240" w:lineRule="auto"/>
              <w:rPr>
                <w:rFonts w:cs="Times New Roman"/>
                <w:color w:val="000000"/>
                <w:sz w:val="20"/>
                <w:szCs w:val="20"/>
              </w:rPr>
            </w:pPr>
            <w:r w:rsidRPr="00951AB1">
              <w:rPr>
                <w:rFonts w:cs="Times New Roman"/>
                <w:color w:val="000000"/>
                <w:sz w:val="20"/>
                <w:szCs w:val="20"/>
              </w:rPr>
              <w:t>Yuma Concesionaria S A - en Reorganización</w:t>
            </w:r>
          </w:p>
        </w:tc>
        <w:tc>
          <w:tcPr>
            <w:tcW w:w="1493" w:type="pct"/>
            <w:vAlign w:val="center"/>
            <w:hideMark/>
          </w:tcPr>
          <w:p w14:paraId="5A046E29" w14:textId="77777777" w:rsidR="00DB640A" w:rsidRPr="00951AB1" w:rsidRDefault="00DB640A" w:rsidP="000A5389">
            <w:pPr>
              <w:spacing w:line="240" w:lineRule="auto"/>
              <w:jc w:val="right"/>
              <w:rPr>
                <w:rFonts w:cs="Times New Roman"/>
                <w:color w:val="000000"/>
                <w:sz w:val="20"/>
                <w:szCs w:val="20"/>
              </w:rPr>
            </w:pPr>
            <w:r w:rsidRPr="00951AB1">
              <w:rPr>
                <w:rFonts w:cs="Times New Roman"/>
                <w:color w:val="000000"/>
                <w:sz w:val="20"/>
                <w:szCs w:val="20"/>
              </w:rPr>
              <w:t>70.197.987.382</w:t>
            </w:r>
          </w:p>
        </w:tc>
      </w:tr>
      <w:tr w:rsidR="00DB640A" w:rsidRPr="00951AB1" w14:paraId="3EA55B2D" w14:textId="77777777" w:rsidTr="00F07EFD">
        <w:trPr>
          <w:trHeight w:val="283"/>
        </w:trPr>
        <w:tc>
          <w:tcPr>
            <w:tcW w:w="720" w:type="pct"/>
            <w:vAlign w:val="center"/>
            <w:hideMark/>
          </w:tcPr>
          <w:p w14:paraId="486DB6B8" w14:textId="5A24FE26" w:rsidR="00DB640A" w:rsidRPr="00951AB1" w:rsidRDefault="00DB640A" w:rsidP="000A5389">
            <w:pPr>
              <w:spacing w:line="240" w:lineRule="auto"/>
              <w:rPr>
                <w:rFonts w:cs="Times New Roman"/>
                <w:sz w:val="20"/>
                <w:szCs w:val="20"/>
                <w:lang w:eastAsia="es-CO"/>
              </w:rPr>
            </w:pPr>
            <w:r w:rsidRPr="00951AB1">
              <w:rPr>
                <w:rFonts w:cs="Times New Roman"/>
                <w:sz w:val="20"/>
                <w:szCs w:val="20"/>
                <w:lang w:eastAsia="es-CO"/>
              </w:rPr>
              <w:t>901.161.505</w:t>
            </w:r>
          </w:p>
        </w:tc>
        <w:tc>
          <w:tcPr>
            <w:tcW w:w="2787" w:type="pct"/>
            <w:vAlign w:val="center"/>
            <w:hideMark/>
          </w:tcPr>
          <w:p w14:paraId="34077D0C" w14:textId="6B947A39" w:rsidR="00DB640A" w:rsidRPr="00951AB1" w:rsidRDefault="00DB640A" w:rsidP="000A5389">
            <w:pPr>
              <w:spacing w:line="240" w:lineRule="auto"/>
              <w:rPr>
                <w:rFonts w:cs="Times New Roman"/>
                <w:color w:val="000000"/>
                <w:sz w:val="20"/>
                <w:szCs w:val="20"/>
              </w:rPr>
            </w:pPr>
            <w:r w:rsidRPr="00951AB1">
              <w:rPr>
                <w:rFonts w:cs="Times New Roman"/>
                <w:color w:val="000000"/>
                <w:sz w:val="20"/>
                <w:szCs w:val="20"/>
              </w:rPr>
              <w:t>Concesión Transversal del Sisga S.A.S</w:t>
            </w:r>
          </w:p>
        </w:tc>
        <w:tc>
          <w:tcPr>
            <w:tcW w:w="1493" w:type="pct"/>
            <w:vAlign w:val="center"/>
            <w:hideMark/>
          </w:tcPr>
          <w:p w14:paraId="1E5504C9" w14:textId="77777777" w:rsidR="00DB640A" w:rsidRPr="00951AB1" w:rsidRDefault="00DB640A" w:rsidP="000A5389">
            <w:pPr>
              <w:spacing w:line="240" w:lineRule="auto"/>
              <w:jc w:val="right"/>
              <w:rPr>
                <w:rFonts w:cs="Times New Roman"/>
                <w:color w:val="000000"/>
                <w:sz w:val="20"/>
                <w:szCs w:val="20"/>
              </w:rPr>
            </w:pPr>
            <w:r w:rsidRPr="00951AB1">
              <w:rPr>
                <w:rFonts w:cs="Times New Roman"/>
                <w:color w:val="000000"/>
                <w:sz w:val="20"/>
                <w:szCs w:val="20"/>
              </w:rPr>
              <w:t>53.327.801.317</w:t>
            </w:r>
          </w:p>
        </w:tc>
      </w:tr>
      <w:tr w:rsidR="00DB640A" w:rsidRPr="00951AB1" w14:paraId="6168273A" w14:textId="77777777" w:rsidTr="00F07EFD">
        <w:trPr>
          <w:trHeight w:val="283"/>
        </w:trPr>
        <w:tc>
          <w:tcPr>
            <w:tcW w:w="720" w:type="pct"/>
            <w:vAlign w:val="center"/>
            <w:hideMark/>
          </w:tcPr>
          <w:p w14:paraId="68A7A41D" w14:textId="7B4FE2BE" w:rsidR="00DB640A" w:rsidRPr="00951AB1" w:rsidRDefault="00DB640A" w:rsidP="000A5389">
            <w:pPr>
              <w:spacing w:line="240" w:lineRule="auto"/>
              <w:rPr>
                <w:rFonts w:cs="Times New Roman"/>
                <w:sz w:val="20"/>
                <w:szCs w:val="20"/>
                <w:lang w:eastAsia="es-CO"/>
              </w:rPr>
            </w:pPr>
            <w:r w:rsidRPr="00951AB1">
              <w:rPr>
                <w:rFonts w:cs="Times New Roman"/>
                <w:sz w:val="20"/>
                <w:szCs w:val="20"/>
                <w:lang w:eastAsia="es-CO"/>
              </w:rPr>
              <w:t>900.858.096</w:t>
            </w:r>
          </w:p>
        </w:tc>
        <w:tc>
          <w:tcPr>
            <w:tcW w:w="2787" w:type="pct"/>
            <w:vAlign w:val="center"/>
            <w:hideMark/>
          </w:tcPr>
          <w:p w14:paraId="024FD36A" w14:textId="0B55BFA5" w:rsidR="00DB640A" w:rsidRPr="00951AB1" w:rsidRDefault="00DB640A" w:rsidP="000A5389">
            <w:pPr>
              <w:spacing w:line="240" w:lineRule="auto"/>
              <w:rPr>
                <w:rFonts w:cs="Times New Roman"/>
                <w:color w:val="000000"/>
                <w:sz w:val="20"/>
                <w:szCs w:val="20"/>
              </w:rPr>
            </w:pPr>
            <w:r w:rsidRPr="00951AB1">
              <w:rPr>
                <w:rFonts w:cs="Times New Roman"/>
                <w:color w:val="000000"/>
                <w:sz w:val="20"/>
                <w:szCs w:val="20"/>
              </w:rPr>
              <w:t>Sociedad Concesionaria Vial Montes De María S.A.S</w:t>
            </w:r>
          </w:p>
        </w:tc>
        <w:tc>
          <w:tcPr>
            <w:tcW w:w="1493" w:type="pct"/>
            <w:vAlign w:val="center"/>
            <w:hideMark/>
          </w:tcPr>
          <w:p w14:paraId="4B6E4C0B" w14:textId="77777777" w:rsidR="00DB640A" w:rsidRPr="00951AB1" w:rsidRDefault="00DB640A" w:rsidP="000A5389">
            <w:pPr>
              <w:spacing w:line="240" w:lineRule="auto"/>
              <w:jc w:val="right"/>
              <w:rPr>
                <w:rFonts w:cs="Times New Roman"/>
                <w:color w:val="000000"/>
                <w:sz w:val="20"/>
                <w:szCs w:val="20"/>
              </w:rPr>
            </w:pPr>
            <w:r w:rsidRPr="00951AB1">
              <w:rPr>
                <w:rFonts w:cs="Times New Roman"/>
                <w:color w:val="000000"/>
                <w:sz w:val="20"/>
                <w:szCs w:val="20"/>
              </w:rPr>
              <w:t>35.088.059.980</w:t>
            </w:r>
          </w:p>
        </w:tc>
      </w:tr>
      <w:tr w:rsidR="00DB640A" w:rsidRPr="00951AB1" w14:paraId="634A30BE" w14:textId="77777777" w:rsidTr="00F07EFD">
        <w:trPr>
          <w:trHeight w:val="283"/>
        </w:trPr>
        <w:tc>
          <w:tcPr>
            <w:tcW w:w="720" w:type="pct"/>
            <w:vAlign w:val="center"/>
            <w:hideMark/>
          </w:tcPr>
          <w:p w14:paraId="73B5B5C2" w14:textId="07A22764" w:rsidR="00DB640A" w:rsidRPr="00951AB1" w:rsidRDefault="00DB640A" w:rsidP="000A5389">
            <w:pPr>
              <w:spacing w:line="240" w:lineRule="auto"/>
              <w:rPr>
                <w:rFonts w:cs="Times New Roman"/>
                <w:sz w:val="20"/>
                <w:szCs w:val="20"/>
                <w:lang w:eastAsia="es-CO"/>
              </w:rPr>
            </w:pPr>
            <w:r w:rsidRPr="00951AB1">
              <w:rPr>
                <w:rFonts w:cs="Times New Roman"/>
                <w:sz w:val="20"/>
                <w:szCs w:val="20"/>
                <w:lang w:eastAsia="es-CO"/>
              </w:rPr>
              <w:t>800.235.278</w:t>
            </w:r>
          </w:p>
        </w:tc>
        <w:tc>
          <w:tcPr>
            <w:tcW w:w="2787" w:type="pct"/>
            <w:vAlign w:val="center"/>
            <w:hideMark/>
          </w:tcPr>
          <w:p w14:paraId="1D0ABD94" w14:textId="1C098BC2" w:rsidR="00DB640A" w:rsidRPr="00951AB1" w:rsidRDefault="00DB640A" w:rsidP="000A5389">
            <w:pPr>
              <w:spacing w:line="240" w:lineRule="auto"/>
              <w:rPr>
                <w:rFonts w:cs="Times New Roman"/>
                <w:color w:val="000000"/>
                <w:sz w:val="20"/>
                <w:szCs w:val="20"/>
              </w:rPr>
            </w:pPr>
            <w:r w:rsidRPr="00951AB1">
              <w:rPr>
                <w:rFonts w:cs="Times New Roman"/>
                <w:color w:val="000000"/>
                <w:sz w:val="20"/>
                <w:szCs w:val="20"/>
              </w:rPr>
              <w:t>Concesión Santa Marta Paraguachon S.A.</w:t>
            </w:r>
          </w:p>
        </w:tc>
        <w:tc>
          <w:tcPr>
            <w:tcW w:w="1493" w:type="pct"/>
            <w:vAlign w:val="center"/>
            <w:hideMark/>
          </w:tcPr>
          <w:p w14:paraId="40179209" w14:textId="77777777" w:rsidR="00DB640A" w:rsidRPr="00951AB1" w:rsidRDefault="00DB640A" w:rsidP="000A5389">
            <w:pPr>
              <w:spacing w:line="240" w:lineRule="auto"/>
              <w:jc w:val="right"/>
              <w:rPr>
                <w:rFonts w:cs="Times New Roman"/>
                <w:color w:val="000000"/>
                <w:sz w:val="20"/>
                <w:szCs w:val="20"/>
              </w:rPr>
            </w:pPr>
            <w:r w:rsidRPr="00951AB1">
              <w:rPr>
                <w:rFonts w:cs="Times New Roman"/>
                <w:color w:val="000000"/>
                <w:sz w:val="20"/>
                <w:szCs w:val="20"/>
              </w:rPr>
              <w:t>14.025.368.466</w:t>
            </w:r>
          </w:p>
        </w:tc>
      </w:tr>
    </w:tbl>
    <w:p w14:paraId="0F9392C5" w14:textId="762C8F3A" w:rsidR="002557E8" w:rsidRPr="00951AB1" w:rsidRDefault="006E0506" w:rsidP="000A5389">
      <w:pPr>
        <w:spacing w:line="240" w:lineRule="auto"/>
        <w:ind w:left="-20" w:right="-20"/>
        <w:rPr>
          <w:rFonts w:cs="Times New Roman"/>
          <w:sz w:val="16"/>
          <w:szCs w:val="16"/>
        </w:rPr>
      </w:pPr>
      <w:r w:rsidRPr="00951AB1">
        <w:rPr>
          <w:rFonts w:cs="Times New Roman"/>
          <w:sz w:val="16"/>
          <w:szCs w:val="16"/>
        </w:rPr>
        <w:t>Cifras en pesos</w:t>
      </w:r>
    </w:p>
    <w:p w14:paraId="442D2221" w14:textId="114EE568" w:rsidR="00F43135" w:rsidRDefault="00F43135" w:rsidP="000A5389">
      <w:pPr>
        <w:spacing w:line="240" w:lineRule="auto"/>
        <w:rPr>
          <w:rFonts w:cs="Times New Roman"/>
          <w:szCs w:val="24"/>
          <w:lang w:eastAsia="es-CO"/>
        </w:rPr>
      </w:pPr>
      <w:r w:rsidRPr="00951AB1">
        <w:rPr>
          <w:rFonts w:cs="Times New Roman"/>
          <w:i/>
          <w:iCs/>
          <w:szCs w:val="24"/>
          <w:lang w:eastAsia="es-CO"/>
        </w:rPr>
        <w:t>Otros intereses de mora</w:t>
      </w:r>
      <w:r w:rsidRPr="00951AB1">
        <w:rPr>
          <w:rFonts w:cs="Times New Roman"/>
          <w:szCs w:val="24"/>
          <w:lang w:eastAsia="es-CO"/>
        </w:rPr>
        <w:t>: Registran $828.111.926.059 y corresponden a intereses corrientes generados por obligaciones derivadas de laudos arbitrales y mecanismos alternativos de solución de controversias.</w:t>
      </w:r>
    </w:p>
    <w:p w14:paraId="2D6E5AEB" w14:textId="77777777" w:rsidR="008C1734" w:rsidRPr="00951AB1" w:rsidRDefault="008C1734" w:rsidP="000A5389">
      <w:pPr>
        <w:spacing w:line="240" w:lineRule="auto"/>
        <w:rPr>
          <w:rFonts w:cs="Times New Roman"/>
          <w:szCs w:val="24"/>
          <w:lang w:eastAsia="es-CO"/>
        </w:rPr>
      </w:pPr>
    </w:p>
    <w:p w14:paraId="128324EE" w14:textId="77777777" w:rsidR="00F43135" w:rsidRPr="00951AB1" w:rsidRDefault="00F43135" w:rsidP="000A5389">
      <w:pPr>
        <w:spacing w:line="240" w:lineRule="auto"/>
        <w:rPr>
          <w:rFonts w:cs="Times New Roman"/>
          <w:szCs w:val="24"/>
          <w:lang w:eastAsia="es-CO"/>
        </w:rPr>
      </w:pPr>
      <w:r w:rsidRPr="00951AB1">
        <w:rPr>
          <w:rFonts w:cs="Times New Roman"/>
          <w:szCs w:val="24"/>
          <w:lang w:eastAsia="es-CO"/>
        </w:rPr>
        <w:t>El 68% del saldo se concentra en Perimetral Oriental de Bogotá S.A.S., lo cual evidencia una alta exposición financiera asociada a decisiones judiciales y arbitrales en dicho contrato.</w:t>
      </w:r>
    </w:p>
    <w:p w14:paraId="4C2C893D" w14:textId="77777777" w:rsidR="00F43135" w:rsidRDefault="00F43135" w:rsidP="000A5389">
      <w:pPr>
        <w:spacing w:line="240" w:lineRule="auto"/>
        <w:rPr>
          <w:rFonts w:cs="Times New Roman"/>
          <w:szCs w:val="24"/>
          <w:lang w:eastAsia="es-CO"/>
        </w:rPr>
      </w:pPr>
      <w:r w:rsidRPr="00951AB1">
        <w:rPr>
          <w:rFonts w:cs="Times New Roman"/>
          <w:szCs w:val="24"/>
          <w:lang w:eastAsia="es-CO"/>
        </w:rPr>
        <w:t>El incremento frente a la vigencia anterior está asociado a:</w:t>
      </w:r>
    </w:p>
    <w:p w14:paraId="047DB9C0" w14:textId="77777777" w:rsidR="008C1734" w:rsidRPr="00951AB1" w:rsidRDefault="008C1734" w:rsidP="000A5389">
      <w:pPr>
        <w:spacing w:line="240" w:lineRule="auto"/>
        <w:rPr>
          <w:rFonts w:cs="Times New Roman"/>
          <w:szCs w:val="24"/>
          <w:lang w:eastAsia="es-CO"/>
        </w:rPr>
      </w:pPr>
    </w:p>
    <w:p w14:paraId="640BAF9F" w14:textId="46CEF7F5" w:rsidR="008C1734" w:rsidRPr="008C1734" w:rsidRDefault="00F43135" w:rsidP="008C1734">
      <w:pPr>
        <w:pStyle w:val="Prrafodelista"/>
        <w:numPr>
          <w:ilvl w:val="0"/>
          <w:numId w:val="36"/>
        </w:numPr>
        <w:spacing w:line="240" w:lineRule="auto"/>
        <w:rPr>
          <w:rFonts w:cs="Times New Roman"/>
          <w:szCs w:val="24"/>
          <w:lang w:eastAsia="es-CO"/>
        </w:rPr>
      </w:pPr>
      <w:r w:rsidRPr="00951AB1">
        <w:rPr>
          <w:rFonts w:cs="Times New Roman"/>
          <w:szCs w:val="24"/>
          <w:lang w:eastAsia="es-CO"/>
        </w:rPr>
        <w:t>Ejecutoria de laudos arbitrales.</w:t>
      </w:r>
    </w:p>
    <w:p w14:paraId="1E72D64F" w14:textId="77777777" w:rsidR="00554E95" w:rsidRPr="00951AB1" w:rsidRDefault="00F43135" w:rsidP="000A5389">
      <w:pPr>
        <w:pStyle w:val="Prrafodelista"/>
        <w:numPr>
          <w:ilvl w:val="0"/>
          <w:numId w:val="36"/>
        </w:numPr>
        <w:spacing w:line="240" w:lineRule="auto"/>
        <w:rPr>
          <w:rFonts w:cs="Times New Roman"/>
          <w:szCs w:val="24"/>
          <w:lang w:eastAsia="es-CO"/>
        </w:rPr>
      </w:pPr>
      <w:r w:rsidRPr="00951AB1">
        <w:rPr>
          <w:rFonts w:cs="Times New Roman"/>
          <w:szCs w:val="24"/>
          <w:lang w:eastAsia="es-CO"/>
        </w:rPr>
        <w:t>Mayor tiempo transcurrido sin cancelación total de las obligaciones.</w:t>
      </w:r>
    </w:p>
    <w:p w14:paraId="36946459" w14:textId="77777777" w:rsidR="00F43135" w:rsidRPr="00951AB1" w:rsidRDefault="00F43135" w:rsidP="000A5389">
      <w:pPr>
        <w:pStyle w:val="Prrafodelista"/>
        <w:numPr>
          <w:ilvl w:val="0"/>
          <w:numId w:val="36"/>
        </w:numPr>
        <w:spacing w:line="240" w:lineRule="auto"/>
        <w:rPr>
          <w:rFonts w:cs="Times New Roman"/>
          <w:szCs w:val="24"/>
          <w:lang w:eastAsia="es-CO"/>
        </w:rPr>
      </w:pPr>
      <w:r w:rsidRPr="00951AB1">
        <w:rPr>
          <w:rFonts w:cs="Times New Roman"/>
          <w:szCs w:val="24"/>
          <w:lang w:eastAsia="es-CO"/>
        </w:rPr>
        <w:t>Actualización financiera de saldos pendientes.</w:t>
      </w:r>
    </w:p>
    <w:p w14:paraId="75DA8764" w14:textId="62FC6FAF" w:rsidR="00F43135" w:rsidRPr="00951AB1" w:rsidRDefault="00F43135" w:rsidP="000A5389">
      <w:pPr>
        <w:spacing w:line="240" w:lineRule="auto"/>
        <w:rPr>
          <w:rFonts w:cs="Times New Roman"/>
          <w:szCs w:val="24"/>
          <w:lang w:eastAsia="es-CO"/>
        </w:rPr>
      </w:pPr>
      <w:r w:rsidRPr="00951AB1">
        <w:rPr>
          <w:rFonts w:cs="Times New Roman"/>
          <w:szCs w:val="24"/>
          <w:lang w:eastAsia="es-CO"/>
        </w:rPr>
        <w:t>Este comportamiento refleja un riesgo jurídico-financiero relevante para la Entidad.</w:t>
      </w:r>
      <w:r w:rsidR="00054048">
        <w:rPr>
          <w:rFonts w:cs="Times New Roman"/>
          <w:szCs w:val="24"/>
          <w:lang w:eastAsia="es-CO"/>
        </w:rPr>
        <w:t xml:space="preserve"> </w:t>
      </w:r>
    </w:p>
    <w:tbl>
      <w:tblPr>
        <w:tblW w:w="5000" w:type="pct"/>
        <w:tblCellMar>
          <w:left w:w="70" w:type="dxa"/>
          <w:right w:w="70" w:type="dxa"/>
        </w:tblCellMar>
        <w:tblLook w:val="04A0" w:firstRow="1" w:lastRow="0" w:firstColumn="1" w:lastColumn="0" w:noHBand="0" w:noVBand="1"/>
      </w:tblPr>
      <w:tblGrid>
        <w:gridCol w:w="1677"/>
        <w:gridCol w:w="4515"/>
        <w:gridCol w:w="2636"/>
      </w:tblGrid>
      <w:tr w:rsidR="00554E95" w:rsidRPr="00336FA0" w14:paraId="20BE3DBA" w14:textId="77777777" w:rsidTr="00DE2EC7">
        <w:trPr>
          <w:trHeight w:val="340"/>
          <w:tblHeader/>
        </w:trPr>
        <w:tc>
          <w:tcPr>
            <w:tcW w:w="3507" w:type="pct"/>
            <w:gridSpan w:val="2"/>
            <w:tcBorders>
              <w:top w:val="single" w:sz="4" w:space="0" w:color="000000"/>
              <w:left w:val="single" w:sz="4" w:space="0" w:color="000000"/>
              <w:bottom w:val="single" w:sz="4" w:space="0" w:color="000000"/>
              <w:right w:val="single" w:sz="4" w:space="0" w:color="000000"/>
            </w:tcBorders>
            <w:vAlign w:val="center"/>
          </w:tcPr>
          <w:p w14:paraId="7F5C28C3" w14:textId="61875742" w:rsidR="00554E95" w:rsidRPr="00336FA0" w:rsidRDefault="00554E95" w:rsidP="000A5389">
            <w:pPr>
              <w:spacing w:line="240" w:lineRule="auto"/>
              <w:rPr>
                <w:rFonts w:eastAsia="Times New Roman" w:cs="Times New Roman"/>
                <w:b/>
                <w:bCs/>
                <w:color w:val="000000"/>
                <w:kern w:val="0"/>
                <w:sz w:val="18"/>
                <w:szCs w:val="18"/>
                <w:lang w:eastAsia="es-CO"/>
                <w14:ligatures w14:val="none"/>
              </w:rPr>
            </w:pPr>
            <w:r w:rsidRPr="00336FA0">
              <w:rPr>
                <w:rFonts w:eastAsia="Times New Roman" w:cs="Times New Roman"/>
                <w:b/>
                <w:bCs/>
                <w:color w:val="000000"/>
                <w:kern w:val="0"/>
                <w:sz w:val="18"/>
                <w:szCs w:val="18"/>
                <w:lang w:eastAsia="es-CO"/>
                <w14:ligatures w14:val="none"/>
              </w:rPr>
              <w:lastRenderedPageBreak/>
              <w:t>Concepto / Tercero</w:t>
            </w:r>
          </w:p>
        </w:tc>
        <w:tc>
          <w:tcPr>
            <w:tcW w:w="1493" w:type="pct"/>
            <w:tcBorders>
              <w:top w:val="single" w:sz="4" w:space="0" w:color="000000"/>
              <w:left w:val="nil"/>
              <w:bottom w:val="single" w:sz="4" w:space="0" w:color="000000"/>
              <w:right w:val="single" w:sz="4" w:space="0" w:color="000000"/>
            </w:tcBorders>
            <w:vAlign w:val="center"/>
            <w:hideMark/>
          </w:tcPr>
          <w:p w14:paraId="0D94CE62" w14:textId="3ACCF228" w:rsidR="00554E95" w:rsidRPr="00336FA0" w:rsidRDefault="00554E95" w:rsidP="000A5389">
            <w:pPr>
              <w:spacing w:line="240" w:lineRule="auto"/>
              <w:jc w:val="center"/>
              <w:rPr>
                <w:rFonts w:eastAsia="Times New Roman" w:cs="Times New Roman"/>
                <w:b/>
                <w:bCs/>
                <w:color w:val="000000"/>
                <w:kern w:val="0"/>
                <w:sz w:val="18"/>
                <w:szCs w:val="18"/>
                <w:lang w:eastAsia="es-CO"/>
                <w14:ligatures w14:val="none"/>
              </w:rPr>
            </w:pPr>
            <w:r w:rsidRPr="00336FA0">
              <w:rPr>
                <w:rFonts w:eastAsia="Times New Roman" w:cs="Times New Roman"/>
                <w:b/>
                <w:bCs/>
                <w:color w:val="000000"/>
                <w:kern w:val="0"/>
                <w:sz w:val="18"/>
                <w:szCs w:val="18"/>
                <w:lang w:eastAsia="es-CO"/>
                <w14:ligatures w14:val="none"/>
              </w:rPr>
              <w:t>VALOR</w:t>
            </w:r>
          </w:p>
        </w:tc>
      </w:tr>
      <w:tr w:rsidR="00554E95" w:rsidRPr="00336FA0" w14:paraId="30493178" w14:textId="77777777" w:rsidTr="003357B8">
        <w:trPr>
          <w:trHeight w:val="340"/>
          <w:tblHeader/>
        </w:trPr>
        <w:tc>
          <w:tcPr>
            <w:tcW w:w="3507" w:type="pct"/>
            <w:gridSpan w:val="2"/>
            <w:tcBorders>
              <w:top w:val="nil"/>
              <w:left w:val="single" w:sz="4" w:space="0" w:color="000000"/>
              <w:bottom w:val="single" w:sz="4" w:space="0" w:color="000000"/>
              <w:right w:val="single" w:sz="4" w:space="0" w:color="000000"/>
            </w:tcBorders>
            <w:vAlign w:val="center"/>
            <w:hideMark/>
          </w:tcPr>
          <w:p w14:paraId="533164C6" w14:textId="77777777" w:rsidR="00554E95" w:rsidRPr="00336FA0" w:rsidRDefault="00554E95" w:rsidP="000A5389">
            <w:pPr>
              <w:spacing w:line="240" w:lineRule="auto"/>
              <w:rPr>
                <w:rFonts w:eastAsia="Times New Roman" w:cs="Times New Roman"/>
                <w:b/>
                <w:bCs/>
                <w:color w:val="000000"/>
                <w:kern w:val="0"/>
                <w:sz w:val="18"/>
                <w:szCs w:val="18"/>
                <w:lang w:eastAsia="es-CO"/>
                <w14:ligatures w14:val="none"/>
              </w:rPr>
            </w:pPr>
            <w:r w:rsidRPr="00336FA0">
              <w:rPr>
                <w:rFonts w:eastAsia="Times New Roman" w:cs="Times New Roman"/>
                <w:b/>
                <w:bCs/>
                <w:color w:val="000000"/>
                <w:kern w:val="0"/>
                <w:sz w:val="18"/>
                <w:szCs w:val="18"/>
                <w:lang w:eastAsia="es-CO"/>
                <w14:ligatures w14:val="none"/>
              </w:rPr>
              <w:t>Otros intereses de mora</w:t>
            </w:r>
          </w:p>
        </w:tc>
        <w:tc>
          <w:tcPr>
            <w:tcW w:w="1493" w:type="pct"/>
            <w:tcBorders>
              <w:top w:val="nil"/>
              <w:left w:val="nil"/>
              <w:bottom w:val="single" w:sz="4" w:space="0" w:color="000000"/>
              <w:right w:val="single" w:sz="4" w:space="0" w:color="000000"/>
            </w:tcBorders>
            <w:vAlign w:val="center"/>
            <w:hideMark/>
          </w:tcPr>
          <w:p w14:paraId="28F3E948" w14:textId="77777777" w:rsidR="00554E95" w:rsidRPr="00336FA0" w:rsidRDefault="00554E95" w:rsidP="000A5389">
            <w:pPr>
              <w:spacing w:line="240" w:lineRule="auto"/>
              <w:jc w:val="right"/>
              <w:rPr>
                <w:rFonts w:eastAsia="Times New Roman" w:cs="Times New Roman"/>
                <w:b/>
                <w:bCs/>
                <w:color w:val="000000"/>
                <w:kern w:val="0"/>
                <w:sz w:val="18"/>
                <w:szCs w:val="18"/>
                <w:lang w:eastAsia="es-CO"/>
                <w14:ligatures w14:val="none"/>
              </w:rPr>
            </w:pPr>
            <w:r w:rsidRPr="00336FA0">
              <w:rPr>
                <w:rFonts w:eastAsia="Times New Roman" w:cs="Times New Roman"/>
                <w:b/>
                <w:bCs/>
                <w:color w:val="000000"/>
                <w:kern w:val="0"/>
                <w:sz w:val="18"/>
                <w:szCs w:val="18"/>
                <w:lang w:eastAsia="es-CO"/>
                <w14:ligatures w14:val="none"/>
              </w:rPr>
              <w:t>828.111.926.059</w:t>
            </w:r>
          </w:p>
        </w:tc>
      </w:tr>
      <w:tr w:rsidR="00554E95" w:rsidRPr="00336FA0" w14:paraId="6E9F6D02" w14:textId="77777777" w:rsidTr="003357B8">
        <w:trPr>
          <w:trHeight w:val="340"/>
          <w:tblHeader/>
        </w:trPr>
        <w:tc>
          <w:tcPr>
            <w:tcW w:w="950" w:type="pct"/>
            <w:tcBorders>
              <w:top w:val="nil"/>
              <w:left w:val="single" w:sz="4" w:space="0" w:color="000000"/>
              <w:bottom w:val="single" w:sz="4" w:space="0" w:color="000000"/>
              <w:right w:val="single" w:sz="4" w:space="0" w:color="000000"/>
            </w:tcBorders>
            <w:vAlign w:val="center"/>
            <w:hideMark/>
          </w:tcPr>
          <w:p w14:paraId="02FB98EC" w14:textId="15AB9157" w:rsidR="00554E95" w:rsidRPr="00336FA0" w:rsidRDefault="00554E95" w:rsidP="000A5389">
            <w:pPr>
              <w:spacing w:line="240" w:lineRule="auto"/>
              <w:jc w:val="center"/>
              <w:rPr>
                <w:rFonts w:cs="Times New Roman"/>
                <w:sz w:val="18"/>
                <w:szCs w:val="18"/>
              </w:rPr>
            </w:pPr>
            <w:bookmarkStart w:id="855" w:name="_Toc222824179"/>
            <w:r w:rsidRPr="00336FA0">
              <w:rPr>
                <w:rFonts w:cs="Times New Roman"/>
                <w:sz w:val="18"/>
                <w:szCs w:val="18"/>
              </w:rPr>
              <w:t>900761657</w:t>
            </w:r>
            <w:bookmarkEnd w:id="855"/>
          </w:p>
        </w:tc>
        <w:tc>
          <w:tcPr>
            <w:tcW w:w="2557" w:type="pct"/>
            <w:tcBorders>
              <w:top w:val="nil"/>
              <w:left w:val="nil"/>
              <w:bottom w:val="single" w:sz="4" w:space="0" w:color="000000"/>
              <w:right w:val="single" w:sz="4" w:space="0" w:color="000000"/>
            </w:tcBorders>
            <w:vAlign w:val="center"/>
            <w:hideMark/>
          </w:tcPr>
          <w:p w14:paraId="09263E6D" w14:textId="6E7C80CB" w:rsidR="00554E95" w:rsidRPr="00336FA0" w:rsidRDefault="00554E95" w:rsidP="000A5389">
            <w:pPr>
              <w:spacing w:line="240" w:lineRule="auto"/>
              <w:rPr>
                <w:rFonts w:eastAsia="Times New Roman" w:cs="Times New Roman"/>
                <w:color w:val="000000"/>
                <w:kern w:val="0"/>
                <w:sz w:val="18"/>
                <w:szCs w:val="18"/>
                <w:lang w:eastAsia="es-CO"/>
                <w14:ligatures w14:val="none"/>
              </w:rPr>
            </w:pPr>
            <w:bookmarkStart w:id="856" w:name="_Toc222824180"/>
            <w:r w:rsidRPr="00336FA0">
              <w:rPr>
                <w:rFonts w:eastAsia="Times New Roman" w:cs="Times New Roman"/>
                <w:color w:val="000000"/>
                <w:kern w:val="0"/>
                <w:sz w:val="18"/>
                <w:szCs w:val="18"/>
                <w:lang w:eastAsia="es-CO"/>
                <w14:ligatures w14:val="none"/>
              </w:rPr>
              <w:t>Perimetral Oriental de Bogotá SAS</w:t>
            </w:r>
            <w:bookmarkEnd w:id="856"/>
          </w:p>
        </w:tc>
        <w:tc>
          <w:tcPr>
            <w:tcW w:w="1493" w:type="pct"/>
            <w:tcBorders>
              <w:top w:val="nil"/>
              <w:left w:val="nil"/>
              <w:bottom w:val="single" w:sz="4" w:space="0" w:color="000000"/>
              <w:right w:val="single" w:sz="4" w:space="0" w:color="000000"/>
            </w:tcBorders>
            <w:vAlign w:val="center"/>
            <w:hideMark/>
          </w:tcPr>
          <w:p w14:paraId="1B3580EB" w14:textId="77777777" w:rsidR="00554E95" w:rsidRPr="00336FA0" w:rsidRDefault="00554E95" w:rsidP="000A5389">
            <w:pPr>
              <w:spacing w:line="240" w:lineRule="auto"/>
              <w:jc w:val="right"/>
              <w:rPr>
                <w:rFonts w:eastAsia="Times New Roman" w:cs="Times New Roman"/>
                <w:color w:val="000000"/>
                <w:kern w:val="0"/>
                <w:sz w:val="18"/>
                <w:szCs w:val="18"/>
                <w:lang w:eastAsia="es-CO"/>
                <w14:ligatures w14:val="none"/>
              </w:rPr>
            </w:pPr>
            <w:bookmarkStart w:id="857" w:name="_Toc222824181"/>
            <w:r w:rsidRPr="00336FA0">
              <w:rPr>
                <w:rFonts w:eastAsia="Times New Roman" w:cs="Times New Roman"/>
                <w:color w:val="000000"/>
                <w:kern w:val="0"/>
                <w:sz w:val="18"/>
                <w:szCs w:val="18"/>
                <w:lang w:eastAsia="es-CO"/>
                <w14:ligatures w14:val="none"/>
              </w:rPr>
              <w:t>566.155.199.357</w:t>
            </w:r>
            <w:bookmarkEnd w:id="857"/>
          </w:p>
        </w:tc>
      </w:tr>
      <w:tr w:rsidR="00554E95" w:rsidRPr="00336FA0" w14:paraId="1B0BC27B" w14:textId="77777777" w:rsidTr="003357B8">
        <w:trPr>
          <w:trHeight w:val="340"/>
          <w:tblHeader/>
        </w:trPr>
        <w:tc>
          <w:tcPr>
            <w:tcW w:w="950" w:type="pct"/>
            <w:tcBorders>
              <w:top w:val="nil"/>
              <w:left w:val="single" w:sz="4" w:space="0" w:color="000000"/>
              <w:bottom w:val="single" w:sz="4" w:space="0" w:color="000000"/>
              <w:right w:val="single" w:sz="4" w:space="0" w:color="000000"/>
            </w:tcBorders>
            <w:vAlign w:val="center"/>
            <w:hideMark/>
          </w:tcPr>
          <w:p w14:paraId="7525D8C7" w14:textId="26164CD1" w:rsidR="00554E95" w:rsidRPr="00336FA0" w:rsidRDefault="00554E95" w:rsidP="000A5389">
            <w:pPr>
              <w:spacing w:line="240" w:lineRule="auto"/>
              <w:jc w:val="center"/>
              <w:rPr>
                <w:rFonts w:cs="Times New Roman"/>
                <w:sz w:val="18"/>
                <w:szCs w:val="18"/>
              </w:rPr>
            </w:pPr>
            <w:bookmarkStart w:id="858" w:name="_Toc222824182"/>
            <w:r w:rsidRPr="00336FA0">
              <w:rPr>
                <w:rFonts w:cs="Times New Roman"/>
                <w:sz w:val="18"/>
                <w:szCs w:val="18"/>
              </w:rPr>
              <w:t>830059605</w:t>
            </w:r>
            <w:bookmarkEnd w:id="858"/>
          </w:p>
        </w:tc>
        <w:tc>
          <w:tcPr>
            <w:tcW w:w="2557" w:type="pct"/>
            <w:tcBorders>
              <w:top w:val="nil"/>
              <w:left w:val="nil"/>
              <w:bottom w:val="single" w:sz="4" w:space="0" w:color="000000"/>
              <w:right w:val="single" w:sz="4" w:space="0" w:color="000000"/>
            </w:tcBorders>
            <w:vAlign w:val="center"/>
            <w:hideMark/>
          </w:tcPr>
          <w:p w14:paraId="47FA33DE" w14:textId="2F42E829" w:rsidR="00554E95" w:rsidRPr="00336FA0" w:rsidRDefault="00554E95" w:rsidP="000A5389">
            <w:pPr>
              <w:spacing w:line="240" w:lineRule="auto"/>
              <w:rPr>
                <w:rFonts w:eastAsia="Times New Roman" w:cs="Times New Roman"/>
                <w:color w:val="000000"/>
                <w:kern w:val="0"/>
                <w:sz w:val="18"/>
                <w:szCs w:val="18"/>
                <w:lang w:eastAsia="es-CO"/>
                <w14:ligatures w14:val="none"/>
              </w:rPr>
            </w:pPr>
            <w:bookmarkStart w:id="859" w:name="_Toc222824183"/>
            <w:r w:rsidRPr="00336FA0">
              <w:rPr>
                <w:rFonts w:eastAsia="Times New Roman" w:cs="Times New Roman"/>
                <w:color w:val="000000"/>
                <w:kern w:val="0"/>
                <w:sz w:val="18"/>
                <w:szCs w:val="18"/>
                <w:lang w:eastAsia="es-CO"/>
                <w14:ligatures w14:val="none"/>
              </w:rPr>
              <w:t>Union Temporal Desarrollo Vial del Valle del Cauca y Cauca</w:t>
            </w:r>
            <w:bookmarkEnd w:id="859"/>
          </w:p>
        </w:tc>
        <w:tc>
          <w:tcPr>
            <w:tcW w:w="1493" w:type="pct"/>
            <w:tcBorders>
              <w:top w:val="nil"/>
              <w:left w:val="nil"/>
              <w:bottom w:val="single" w:sz="4" w:space="0" w:color="000000"/>
              <w:right w:val="single" w:sz="4" w:space="0" w:color="000000"/>
            </w:tcBorders>
            <w:vAlign w:val="center"/>
            <w:hideMark/>
          </w:tcPr>
          <w:p w14:paraId="64A4A2F0" w14:textId="77777777" w:rsidR="00554E95" w:rsidRPr="00336FA0" w:rsidRDefault="00554E95" w:rsidP="000A5389">
            <w:pPr>
              <w:spacing w:line="240" w:lineRule="auto"/>
              <w:jc w:val="right"/>
              <w:rPr>
                <w:rFonts w:eastAsia="Times New Roman" w:cs="Times New Roman"/>
                <w:color w:val="000000"/>
                <w:kern w:val="0"/>
                <w:sz w:val="18"/>
                <w:szCs w:val="18"/>
                <w:lang w:eastAsia="es-CO"/>
                <w14:ligatures w14:val="none"/>
              </w:rPr>
            </w:pPr>
            <w:bookmarkStart w:id="860" w:name="_Toc222824184"/>
            <w:r w:rsidRPr="00336FA0">
              <w:rPr>
                <w:rFonts w:eastAsia="Times New Roman" w:cs="Times New Roman"/>
                <w:color w:val="000000"/>
                <w:kern w:val="0"/>
                <w:sz w:val="18"/>
                <w:szCs w:val="18"/>
                <w:lang w:eastAsia="es-CO"/>
                <w14:ligatures w14:val="none"/>
              </w:rPr>
              <w:t>173.262.918.984</w:t>
            </w:r>
            <w:bookmarkEnd w:id="860"/>
          </w:p>
        </w:tc>
      </w:tr>
      <w:tr w:rsidR="00554E95" w:rsidRPr="00336FA0" w14:paraId="0DB212E9" w14:textId="77777777" w:rsidTr="003357B8">
        <w:trPr>
          <w:trHeight w:val="340"/>
          <w:tblHeader/>
        </w:trPr>
        <w:tc>
          <w:tcPr>
            <w:tcW w:w="950" w:type="pct"/>
            <w:tcBorders>
              <w:top w:val="nil"/>
              <w:left w:val="single" w:sz="4" w:space="0" w:color="000000"/>
              <w:bottom w:val="single" w:sz="4" w:space="0" w:color="000000"/>
              <w:right w:val="single" w:sz="4" w:space="0" w:color="000000"/>
            </w:tcBorders>
            <w:vAlign w:val="center"/>
            <w:hideMark/>
          </w:tcPr>
          <w:p w14:paraId="2D30B4BD" w14:textId="14AF3B82" w:rsidR="00554E95" w:rsidRPr="00336FA0" w:rsidRDefault="00554E95" w:rsidP="000A5389">
            <w:pPr>
              <w:spacing w:line="240" w:lineRule="auto"/>
              <w:jc w:val="center"/>
              <w:rPr>
                <w:rFonts w:cs="Times New Roman"/>
                <w:sz w:val="18"/>
                <w:szCs w:val="18"/>
              </w:rPr>
            </w:pPr>
            <w:bookmarkStart w:id="861" w:name="_Toc222824185"/>
            <w:r w:rsidRPr="00336FA0">
              <w:rPr>
                <w:rFonts w:cs="Times New Roman"/>
                <w:sz w:val="18"/>
                <w:szCs w:val="18"/>
              </w:rPr>
              <w:t>900330374</w:t>
            </w:r>
            <w:bookmarkEnd w:id="861"/>
          </w:p>
        </w:tc>
        <w:tc>
          <w:tcPr>
            <w:tcW w:w="2557" w:type="pct"/>
            <w:tcBorders>
              <w:top w:val="nil"/>
              <w:left w:val="nil"/>
              <w:bottom w:val="single" w:sz="4" w:space="0" w:color="000000"/>
              <w:right w:val="single" w:sz="4" w:space="0" w:color="000000"/>
            </w:tcBorders>
            <w:vAlign w:val="center"/>
            <w:hideMark/>
          </w:tcPr>
          <w:p w14:paraId="40927826" w14:textId="05D104CC" w:rsidR="00554E95" w:rsidRPr="00336FA0" w:rsidRDefault="00554E95" w:rsidP="000A5389">
            <w:pPr>
              <w:spacing w:line="240" w:lineRule="auto"/>
              <w:rPr>
                <w:rFonts w:eastAsia="Times New Roman" w:cs="Times New Roman"/>
                <w:color w:val="000000"/>
                <w:kern w:val="0"/>
                <w:sz w:val="18"/>
                <w:szCs w:val="18"/>
                <w:lang w:eastAsia="es-CO"/>
                <w14:ligatures w14:val="none"/>
              </w:rPr>
            </w:pPr>
            <w:bookmarkStart w:id="862" w:name="_Toc222824186"/>
            <w:r w:rsidRPr="00336FA0">
              <w:rPr>
                <w:rFonts w:eastAsia="Times New Roman" w:cs="Times New Roman"/>
                <w:color w:val="000000"/>
                <w:kern w:val="0"/>
                <w:sz w:val="18"/>
                <w:szCs w:val="18"/>
                <w:lang w:eastAsia="es-CO"/>
                <w14:ligatures w14:val="none"/>
              </w:rPr>
              <w:t>Consorcio Vial Helios</w:t>
            </w:r>
            <w:bookmarkEnd w:id="862"/>
          </w:p>
        </w:tc>
        <w:tc>
          <w:tcPr>
            <w:tcW w:w="1493" w:type="pct"/>
            <w:tcBorders>
              <w:top w:val="nil"/>
              <w:left w:val="nil"/>
              <w:bottom w:val="single" w:sz="4" w:space="0" w:color="000000"/>
              <w:right w:val="single" w:sz="4" w:space="0" w:color="000000"/>
            </w:tcBorders>
            <w:vAlign w:val="center"/>
            <w:hideMark/>
          </w:tcPr>
          <w:p w14:paraId="4E181A34" w14:textId="77777777" w:rsidR="00554E95" w:rsidRPr="00336FA0" w:rsidRDefault="00554E95" w:rsidP="000A5389">
            <w:pPr>
              <w:spacing w:line="240" w:lineRule="auto"/>
              <w:jc w:val="right"/>
              <w:rPr>
                <w:rFonts w:eastAsia="Times New Roman" w:cs="Times New Roman"/>
                <w:color w:val="000000"/>
                <w:kern w:val="0"/>
                <w:sz w:val="18"/>
                <w:szCs w:val="18"/>
                <w:lang w:eastAsia="es-CO"/>
                <w14:ligatures w14:val="none"/>
              </w:rPr>
            </w:pPr>
            <w:bookmarkStart w:id="863" w:name="_Toc222824187"/>
            <w:r w:rsidRPr="00336FA0">
              <w:rPr>
                <w:rFonts w:eastAsia="Times New Roman" w:cs="Times New Roman"/>
                <w:color w:val="000000"/>
                <w:kern w:val="0"/>
                <w:sz w:val="18"/>
                <w:szCs w:val="18"/>
                <w:lang w:eastAsia="es-CO"/>
                <w14:ligatures w14:val="none"/>
              </w:rPr>
              <w:t>36.698.686.169</w:t>
            </w:r>
            <w:bookmarkEnd w:id="863"/>
          </w:p>
        </w:tc>
      </w:tr>
      <w:tr w:rsidR="00554E95" w:rsidRPr="00336FA0" w14:paraId="60B3328C" w14:textId="77777777" w:rsidTr="003357B8">
        <w:trPr>
          <w:trHeight w:val="340"/>
          <w:tblHeader/>
        </w:trPr>
        <w:tc>
          <w:tcPr>
            <w:tcW w:w="950" w:type="pct"/>
            <w:tcBorders>
              <w:top w:val="nil"/>
              <w:left w:val="single" w:sz="4" w:space="0" w:color="000000"/>
              <w:bottom w:val="single" w:sz="4" w:space="0" w:color="000000"/>
              <w:right w:val="single" w:sz="4" w:space="0" w:color="000000"/>
            </w:tcBorders>
            <w:vAlign w:val="center"/>
            <w:hideMark/>
          </w:tcPr>
          <w:p w14:paraId="038C3C34" w14:textId="5CE51EAA" w:rsidR="00554E95" w:rsidRPr="00336FA0" w:rsidRDefault="00554E95" w:rsidP="000A5389">
            <w:pPr>
              <w:spacing w:line="240" w:lineRule="auto"/>
              <w:jc w:val="center"/>
              <w:rPr>
                <w:rFonts w:cs="Times New Roman"/>
                <w:sz w:val="18"/>
                <w:szCs w:val="18"/>
              </w:rPr>
            </w:pPr>
            <w:bookmarkStart w:id="864" w:name="_Toc222824188"/>
            <w:r w:rsidRPr="00336FA0">
              <w:rPr>
                <w:rFonts w:cs="Times New Roman"/>
                <w:sz w:val="18"/>
                <w:szCs w:val="18"/>
              </w:rPr>
              <w:t>900373092</w:t>
            </w:r>
            <w:bookmarkEnd w:id="864"/>
          </w:p>
        </w:tc>
        <w:tc>
          <w:tcPr>
            <w:tcW w:w="2557" w:type="pct"/>
            <w:tcBorders>
              <w:top w:val="nil"/>
              <w:left w:val="nil"/>
              <w:bottom w:val="single" w:sz="4" w:space="0" w:color="000000"/>
              <w:right w:val="single" w:sz="4" w:space="0" w:color="000000"/>
            </w:tcBorders>
            <w:vAlign w:val="center"/>
            <w:hideMark/>
          </w:tcPr>
          <w:p w14:paraId="35EE5C46" w14:textId="79553084" w:rsidR="00554E95" w:rsidRPr="00336FA0" w:rsidRDefault="00554E95" w:rsidP="000A5389">
            <w:pPr>
              <w:spacing w:line="240" w:lineRule="auto"/>
              <w:rPr>
                <w:rFonts w:eastAsia="Times New Roman" w:cs="Times New Roman"/>
                <w:color w:val="000000"/>
                <w:kern w:val="0"/>
                <w:sz w:val="18"/>
                <w:szCs w:val="18"/>
                <w:lang w:eastAsia="es-CO"/>
                <w14:ligatures w14:val="none"/>
              </w:rPr>
            </w:pPr>
            <w:bookmarkStart w:id="865" w:name="_Toc222824189"/>
            <w:r w:rsidRPr="00336FA0">
              <w:rPr>
                <w:rFonts w:eastAsia="Times New Roman" w:cs="Times New Roman"/>
                <w:color w:val="000000"/>
                <w:kern w:val="0"/>
                <w:sz w:val="18"/>
                <w:szCs w:val="18"/>
                <w:lang w:eastAsia="es-CO"/>
                <w14:ligatures w14:val="none"/>
              </w:rPr>
              <w:t>Yuma Concesionaria S.A - en Reorganización</w:t>
            </w:r>
            <w:bookmarkEnd w:id="865"/>
          </w:p>
        </w:tc>
        <w:tc>
          <w:tcPr>
            <w:tcW w:w="1493" w:type="pct"/>
            <w:tcBorders>
              <w:top w:val="nil"/>
              <w:left w:val="nil"/>
              <w:bottom w:val="single" w:sz="4" w:space="0" w:color="000000"/>
              <w:right w:val="single" w:sz="4" w:space="0" w:color="000000"/>
            </w:tcBorders>
            <w:vAlign w:val="center"/>
            <w:hideMark/>
          </w:tcPr>
          <w:p w14:paraId="1456CAEA" w14:textId="77777777" w:rsidR="00554E95" w:rsidRPr="00336FA0" w:rsidRDefault="00554E95" w:rsidP="000A5389">
            <w:pPr>
              <w:spacing w:line="240" w:lineRule="auto"/>
              <w:jc w:val="right"/>
              <w:rPr>
                <w:rFonts w:eastAsia="Times New Roman" w:cs="Times New Roman"/>
                <w:color w:val="000000"/>
                <w:kern w:val="0"/>
                <w:sz w:val="18"/>
                <w:szCs w:val="18"/>
                <w:lang w:eastAsia="es-CO"/>
                <w14:ligatures w14:val="none"/>
              </w:rPr>
            </w:pPr>
            <w:bookmarkStart w:id="866" w:name="_Toc222824190"/>
            <w:r w:rsidRPr="00336FA0">
              <w:rPr>
                <w:rFonts w:eastAsia="Times New Roman" w:cs="Times New Roman"/>
                <w:color w:val="000000"/>
                <w:kern w:val="0"/>
                <w:sz w:val="18"/>
                <w:szCs w:val="18"/>
                <w:lang w:eastAsia="es-CO"/>
                <w14:ligatures w14:val="none"/>
              </w:rPr>
              <w:t>22.608.839.490</w:t>
            </w:r>
            <w:bookmarkEnd w:id="866"/>
          </w:p>
        </w:tc>
      </w:tr>
      <w:tr w:rsidR="00554E95" w:rsidRPr="00336FA0" w14:paraId="7FBA1057" w14:textId="77777777" w:rsidTr="003357B8">
        <w:trPr>
          <w:trHeight w:val="340"/>
          <w:tblHeader/>
        </w:trPr>
        <w:tc>
          <w:tcPr>
            <w:tcW w:w="950" w:type="pct"/>
            <w:tcBorders>
              <w:top w:val="nil"/>
              <w:left w:val="single" w:sz="4" w:space="0" w:color="000000"/>
              <w:bottom w:val="single" w:sz="4" w:space="0" w:color="000000"/>
              <w:right w:val="single" w:sz="4" w:space="0" w:color="000000"/>
            </w:tcBorders>
            <w:vAlign w:val="center"/>
            <w:hideMark/>
          </w:tcPr>
          <w:p w14:paraId="55A6FFE5" w14:textId="26013F7E" w:rsidR="00554E95" w:rsidRPr="00336FA0" w:rsidRDefault="00554E95" w:rsidP="000A5389">
            <w:pPr>
              <w:spacing w:line="240" w:lineRule="auto"/>
              <w:jc w:val="center"/>
              <w:rPr>
                <w:rFonts w:cs="Times New Roman"/>
                <w:sz w:val="18"/>
                <w:szCs w:val="18"/>
              </w:rPr>
            </w:pPr>
            <w:bookmarkStart w:id="867" w:name="_Toc222824191"/>
            <w:r w:rsidRPr="00336FA0">
              <w:rPr>
                <w:rFonts w:cs="Times New Roman"/>
                <w:sz w:val="18"/>
                <w:szCs w:val="18"/>
              </w:rPr>
              <w:t>900979054</w:t>
            </w:r>
            <w:bookmarkEnd w:id="867"/>
          </w:p>
        </w:tc>
        <w:tc>
          <w:tcPr>
            <w:tcW w:w="2557" w:type="pct"/>
            <w:tcBorders>
              <w:top w:val="nil"/>
              <w:left w:val="nil"/>
              <w:bottom w:val="single" w:sz="4" w:space="0" w:color="000000"/>
              <w:right w:val="single" w:sz="4" w:space="0" w:color="000000"/>
            </w:tcBorders>
            <w:vAlign w:val="center"/>
            <w:hideMark/>
          </w:tcPr>
          <w:p w14:paraId="02B3E8A2" w14:textId="4498B323" w:rsidR="00554E95" w:rsidRPr="00336FA0" w:rsidRDefault="00554E95" w:rsidP="000A5389">
            <w:pPr>
              <w:spacing w:line="240" w:lineRule="auto"/>
              <w:rPr>
                <w:rFonts w:eastAsia="Times New Roman" w:cs="Times New Roman"/>
                <w:color w:val="000000"/>
                <w:kern w:val="0"/>
                <w:sz w:val="18"/>
                <w:szCs w:val="18"/>
                <w:lang w:eastAsia="es-CO"/>
                <w14:ligatures w14:val="none"/>
              </w:rPr>
            </w:pPr>
            <w:bookmarkStart w:id="868" w:name="_Toc222824192"/>
            <w:r w:rsidRPr="00336FA0">
              <w:rPr>
                <w:rFonts w:eastAsia="Times New Roman" w:cs="Times New Roman"/>
                <w:color w:val="000000"/>
                <w:kern w:val="0"/>
                <w:sz w:val="18"/>
                <w:szCs w:val="18"/>
                <w:lang w:eastAsia="es-CO"/>
                <w14:ligatures w14:val="none"/>
              </w:rPr>
              <w:t>vía Pacifico S.A.S en liquidación</w:t>
            </w:r>
            <w:bookmarkEnd w:id="868"/>
          </w:p>
        </w:tc>
        <w:tc>
          <w:tcPr>
            <w:tcW w:w="1493" w:type="pct"/>
            <w:tcBorders>
              <w:top w:val="nil"/>
              <w:left w:val="nil"/>
              <w:bottom w:val="single" w:sz="4" w:space="0" w:color="000000"/>
              <w:right w:val="single" w:sz="4" w:space="0" w:color="000000"/>
            </w:tcBorders>
            <w:vAlign w:val="center"/>
            <w:hideMark/>
          </w:tcPr>
          <w:p w14:paraId="4AF04CAB" w14:textId="77777777" w:rsidR="00554E95" w:rsidRPr="00336FA0" w:rsidRDefault="00554E95" w:rsidP="000A5389">
            <w:pPr>
              <w:spacing w:line="240" w:lineRule="auto"/>
              <w:jc w:val="right"/>
              <w:rPr>
                <w:rFonts w:eastAsia="Times New Roman" w:cs="Times New Roman"/>
                <w:color w:val="000000"/>
                <w:kern w:val="0"/>
                <w:sz w:val="18"/>
                <w:szCs w:val="18"/>
                <w:lang w:eastAsia="es-CO"/>
                <w14:ligatures w14:val="none"/>
              </w:rPr>
            </w:pPr>
            <w:bookmarkStart w:id="869" w:name="_Toc222824193"/>
            <w:r w:rsidRPr="00336FA0">
              <w:rPr>
                <w:rFonts w:eastAsia="Times New Roman" w:cs="Times New Roman"/>
                <w:color w:val="000000"/>
                <w:kern w:val="0"/>
                <w:sz w:val="18"/>
                <w:szCs w:val="18"/>
                <w:lang w:eastAsia="es-CO"/>
                <w14:ligatures w14:val="none"/>
              </w:rPr>
              <w:t>13.635.018.822</w:t>
            </w:r>
            <w:bookmarkEnd w:id="869"/>
          </w:p>
        </w:tc>
      </w:tr>
      <w:tr w:rsidR="00554E95" w:rsidRPr="00336FA0" w14:paraId="6FC81FE3" w14:textId="77777777" w:rsidTr="003357B8">
        <w:trPr>
          <w:trHeight w:val="340"/>
          <w:tblHeader/>
        </w:trPr>
        <w:tc>
          <w:tcPr>
            <w:tcW w:w="950" w:type="pct"/>
            <w:tcBorders>
              <w:top w:val="nil"/>
              <w:left w:val="single" w:sz="4" w:space="0" w:color="000000"/>
              <w:bottom w:val="single" w:sz="4" w:space="0" w:color="000000"/>
              <w:right w:val="single" w:sz="4" w:space="0" w:color="000000"/>
            </w:tcBorders>
            <w:vAlign w:val="center"/>
            <w:hideMark/>
          </w:tcPr>
          <w:p w14:paraId="2011D0BE" w14:textId="6A16B651" w:rsidR="00554E95" w:rsidRPr="00336FA0" w:rsidRDefault="00554E95" w:rsidP="000A5389">
            <w:pPr>
              <w:spacing w:line="240" w:lineRule="auto"/>
              <w:jc w:val="center"/>
              <w:rPr>
                <w:rFonts w:cs="Times New Roman"/>
                <w:sz w:val="18"/>
                <w:szCs w:val="18"/>
              </w:rPr>
            </w:pPr>
            <w:bookmarkStart w:id="870" w:name="_Toc222824194"/>
            <w:r w:rsidRPr="00336FA0">
              <w:rPr>
                <w:rFonts w:cs="Times New Roman"/>
                <w:sz w:val="18"/>
                <w:szCs w:val="18"/>
              </w:rPr>
              <w:t>900164310</w:t>
            </w:r>
            <w:bookmarkEnd w:id="870"/>
          </w:p>
        </w:tc>
        <w:tc>
          <w:tcPr>
            <w:tcW w:w="2557" w:type="pct"/>
            <w:tcBorders>
              <w:top w:val="nil"/>
              <w:left w:val="nil"/>
              <w:bottom w:val="single" w:sz="4" w:space="0" w:color="000000"/>
              <w:right w:val="single" w:sz="4" w:space="0" w:color="000000"/>
            </w:tcBorders>
            <w:vAlign w:val="center"/>
            <w:hideMark/>
          </w:tcPr>
          <w:p w14:paraId="6681DBAB" w14:textId="1C02580A" w:rsidR="00554E95" w:rsidRPr="00336FA0" w:rsidRDefault="00554E95" w:rsidP="000A5389">
            <w:pPr>
              <w:spacing w:line="240" w:lineRule="auto"/>
              <w:rPr>
                <w:rFonts w:eastAsia="Times New Roman" w:cs="Times New Roman"/>
                <w:color w:val="000000"/>
                <w:kern w:val="0"/>
                <w:sz w:val="18"/>
                <w:szCs w:val="18"/>
                <w:lang w:eastAsia="es-CO"/>
                <w14:ligatures w14:val="none"/>
              </w:rPr>
            </w:pPr>
            <w:bookmarkStart w:id="871" w:name="_Toc222824195"/>
            <w:r w:rsidRPr="00336FA0">
              <w:rPr>
                <w:rFonts w:eastAsia="Times New Roman" w:cs="Times New Roman"/>
                <w:color w:val="000000"/>
                <w:kern w:val="0"/>
                <w:sz w:val="18"/>
                <w:szCs w:val="18"/>
                <w:lang w:eastAsia="es-CO"/>
                <w14:ligatures w14:val="none"/>
              </w:rPr>
              <w:t>Concesionaria San Rafael S A</w:t>
            </w:r>
            <w:bookmarkEnd w:id="871"/>
          </w:p>
        </w:tc>
        <w:tc>
          <w:tcPr>
            <w:tcW w:w="1493" w:type="pct"/>
            <w:tcBorders>
              <w:top w:val="nil"/>
              <w:left w:val="nil"/>
              <w:bottom w:val="single" w:sz="4" w:space="0" w:color="000000"/>
              <w:right w:val="single" w:sz="4" w:space="0" w:color="000000"/>
            </w:tcBorders>
            <w:vAlign w:val="center"/>
            <w:hideMark/>
          </w:tcPr>
          <w:p w14:paraId="1ED51660" w14:textId="77777777" w:rsidR="00554E95" w:rsidRPr="00336FA0" w:rsidRDefault="00554E95" w:rsidP="000A5389">
            <w:pPr>
              <w:spacing w:line="240" w:lineRule="auto"/>
              <w:jc w:val="right"/>
              <w:rPr>
                <w:rFonts w:eastAsia="Times New Roman" w:cs="Times New Roman"/>
                <w:color w:val="000000"/>
                <w:kern w:val="0"/>
                <w:sz w:val="18"/>
                <w:szCs w:val="18"/>
                <w:lang w:eastAsia="es-CO"/>
                <w14:ligatures w14:val="none"/>
              </w:rPr>
            </w:pPr>
            <w:bookmarkStart w:id="872" w:name="_Toc222824196"/>
            <w:r w:rsidRPr="00336FA0">
              <w:rPr>
                <w:rFonts w:eastAsia="Times New Roman" w:cs="Times New Roman"/>
                <w:color w:val="000000"/>
                <w:kern w:val="0"/>
                <w:sz w:val="18"/>
                <w:szCs w:val="18"/>
                <w:lang w:eastAsia="es-CO"/>
                <w14:ligatures w14:val="none"/>
              </w:rPr>
              <w:t>9.451.659.428</w:t>
            </w:r>
            <w:bookmarkEnd w:id="872"/>
          </w:p>
        </w:tc>
      </w:tr>
      <w:tr w:rsidR="00554E95" w:rsidRPr="00336FA0" w14:paraId="07E190E0" w14:textId="77777777" w:rsidTr="003357B8">
        <w:trPr>
          <w:trHeight w:val="340"/>
          <w:tblHeader/>
        </w:trPr>
        <w:tc>
          <w:tcPr>
            <w:tcW w:w="950" w:type="pct"/>
            <w:tcBorders>
              <w:top w:val="nil"/>
              <w:left w:val="single" w:sz="4" w:space="0" w:color="000000"/>
              <w:bottom w:val="single" w:sz="4" w:space="0" w:color="000000"/>
              <w:right w:val="single" w:sz="4" w:space="0" w:color="000000"/>
            </w:tcBorders>
            <w:vAlign w:val="center"/>
            <w:hideMark/>
          </w:tcPr>
          <w:p w14:paraId="6B7C3E73" w14:textId="03F4457B" w:rsidR="00554E95" w:rsidRPr="00336FA0" w:rsidRDefault="00554E95" w:rsidP="000A5389">
            <w:pPr>
              <w:spacing w:line="240" w:lineRule="auto"/>
              <w:jc w:val="center"/>
              <w:rPr>
                <w:rFonts w:cs="Times New Roman"/>
                <w:sz w:val="18"/>
                <w:szCs w:val="18"/>
              </w:rPr>
            </w:pPr>
            <w:bookmarkStart w:id="873" w:name="_Toc222824197"/>
            <w:r w:rsidRPr="00336FA0">
              <w:rPr>
                <w:rFonts w:cs="Times New Roman"/>
                <w:sz w:val="18"/>
                <w:szCs w:val="18"/>
              </w:rPr>
              <w:t>800235278</w:t>
            </w:r>
            <w:bookmarkEnd w:id="873"/>
          </w:p>
        </w:tc>
        <w:tc>
          <w:tcPr>
            <w:tcW w:w="2557" w:type="pct"/>
            <w:tcBorders>
              <w:top w:val="nil"/>
              <w:left w:val="nil"/>
              <w:bottom w:val="single" w:sz="4" w:space="0" w:color="000000"/>
              <w:right w:val="single" w:sz="4" w:space="0" w:color="000000"/>
            </w:tcBorders>
            <w:vAlign w:val="center"/>
            <w:hideMark/>
          </w:tcPr>
          <w:p w14:paraId="1874ACB4" w14:textId="44F46065" w:rsidR="00554E95" w:rsidRPr="00336FA0" w:rsidRDefault="00554E95" w:rsidP="000A5389">
            <w:pPr>
              <w:spacing w:line="240" w:lineRule="auto"/>
              <w:rPr>
                <w:rFonts w:eastAsia="Times New Roman" w:cs="Times New Roman"/>
                <w:color w:val="000000"/>
                <w:kern w:val="0"/>
                <w:sz w:val="18"/>
                <w:szCs w:val="18"/>
                <w:lang w:eastAsia="es-CO"/>
                <w14:ligatures w14:val="none"/>
              </w:rPr>
            </w:pPr>
            <w:bookmarkStart w:id="874" w:name="_Toc222824198"/>
            <w:r w:rsidRPr="00336FA0">
              <w:rPr>
                <w:rFonts w:eastAsia="Times New Roman" w:cs="Times New Roman"/>
                <w:color w:val="000000"/>
                <w:kern w:val="0"/>
                <w:sz w:val="18"/>
                <w:szCs w:val="18"/>
                <w:lang w:eastAsia="es-CO"/>
                <w14:ligatures w14:val="none"/>
              </w:rPr>
              <w:t>Concesión Santa Marta Paraguachon S.A.</w:t>
            </w:r>
            <w:bookmarkEnd w:id="874"/>
          </w:p>
        </w:tc>
        <w:tc>
          <w:tcPr>
            <w:tcW w:w="1493" w:type="pct"/>
            <w:tcBorders>
              <w:top w:val="nil"/>
              <w:left w:val="nil"/>
              <w:bottom w:val="single" w:sz="4" w:space="0" w:color="000000"/>
              <w:right w:val="single" w:sz="4" w:space="0" w:color="000000"/>
            </w:tcBorders>
            <w:vAlign w:val="center"/>
            <w:hideMark/>
          </w:tcPr>
          <w:p w14:paraId="4F1230A9" w14:textId="77777777" w:rsidR="00554E95" w:rsidRPr="00336FA0" w:rsidRDefault="00554E95" w:rsidP="000A5389">
            <w:pPr>
              <w:spacing w:line="240" w:lineRule="auto"/>
              <w:jc w:val="right"/>
              <w:rPr>
                <w:rFonts w:eastAsia="Times New Roman" w:cs="Times New Roman"/>
                <w:color w:val="000000"/>
                <w:kern w:val="0"/>
                <w:sz w:val="18"/>
                <w:szCs w:val="18"/>
                <w:lang w:eastAsia="es-CO"/>
                <w14:ligatures w14:val="none"/>
              </w:rPr>
            </w:pPr>
            <w:bookmarkStart w:id="875" w:name="_Toc222824199"/>
            <w:r w:rsidRPr="00336FA0">
              <w:rPr>
                <w:rFonts w:eastAsia="Times New Roman" w:cs="Times New Roman"/>
                <w:color w:val="000000"/>
                <w:kern w:val="0"/>
                <w:sz w:val="18"/>
                <w:szCs w:val="18"/>
                <w:lang w:eastAsia="es-CO"/>
                <w14:ligatures w14:val="none"/>
              </w:rPr>
              <w:t>3.406.192.659</w:t>
            </w:r>
            <w:bookmarkEnd w:id="875"/>
          </w:p>
        </w:tc>
      </w:tr>
      <w:tr w:rsidR="00554E95" w:rsidRPr="00336FA0" w14:paraId="759E00DF" w14:textId="77777777" w:rsidTr="003357B8">
        <w:trPr>
          <w:trHeight w:val="340"/>
          <w:tblHeader/>
        </w:trPr>
        <w:tc>
          <w:tcPr>
            <w:tcW w:w="950" w:type="pct"/>
            <w:tcBorders>
              <w:top w:val="nil"/>
              <w:left w:val="single" w:sz="4" w:space="0" w:color="000000"/>
              <w:bottom w:val="single" w:sz="4" w:space="0" w:color="000000"/>
              <w:right w:val="single" w:sz="4" w:space="0" w:color="000000"/>
            </w:tcBorders>
            <w:vAlign w:val="center"/>
            <w:hideMark/>
          </w:tcPr>
          <w:p w14:paraId="737F8DCE" w14:textId="01C4B696" w:rsidR="00554E95" w:rsidRPr="00336FA0" w:rsidRDefault="00554E95" w:rsidP="000A5389">
            <w:pPr>
              <w:spacing w:line="240" w:lineRule="auto"/>
              <w:jc w:val="center"/>
              <w:rPr>
                <w:rFonts w:cs="Times New Roman"/>
                <w:sz w:val="18"/>
                <w:szCs w:val="18"/>
              </w:rPr>
            </w:pPr>
            <w:bookmarkStart w:id="876" w:name="_Toc222824200"/>
            <w:r w:rsidRPr="00336FA0">
              <w:rPr>
                <w:rFonts w:cs="Times New Roman"/>
                <w:sz w:val="18"/>
                <w:szCs w:val="18"/>
              </w:rPr>
              <w:t>900871368</w:t>
            </w:r>
            <w:bookmarkEnd w:id="876"/>
          </w:p>
        </w:tc>
        <w:tc>
          <w:tcPr>
            <w:tcW w:w="2557" w:type="pct"/>
            <w:tcBorders>
              <w:top w:val="nil"/>
              <w:left w:val="nil"/>
              <w:bottom w:val="single" w:sz="4" w:space="0" w:color="000000"/>
              <w:right w:val="single" w:sz="4" w:space="0" w:color="000000"/>
            </w:tcBorders>
            <w:vAlign w:val="center"/>
            <w:hideMark/>
          </w:tcPr>
          <w:p w14:paraId="7F700D05" w14:textId="5A9D6F99" w:rsidR="00554E95" w:rsidRPr="00336FA0" w:rsidRDefault="00554E95" w:rsidP="000A5389">
            <w:pPr>
              <w:spacing w:line="240" w:lineRule="auto"/>
              <w:rPr>
                <w:rFonts w:eastAsia="Times New Roman" w:cs="Times New Roman"/>
                <w:color w:val="000000"/>
                <w:kern w:val="0"/>
                <w:sz w:val="18"/>
                <w:szCs w:val="18"/>
                <w:lang w:eastAsia="es-CO"/>
                <w14:ligatures w14:val="none"/>
              </w:rPr>
            </w:pPr>
            <w:bookmarkStart w:id="877" w:name="_Toc222824201"/>
            <w:r w:rsidRPr="00336FA0">
              <w:rPr>
                <w:rFonts w:eastAsia="Times New Roman" w:cs="Times New Roman"/>
                <w:color w:val="000000"/>
                <w:kern w:val="0"/>
                <w:sz w:val="18"/>
                <w:szCs w:val="18"/>
                <w:lang w:eastAsia="es-CO"/>
                <w14:ligatures w14:val="none"/>
              </w:rPr>
              <w:t>Concesionaria Ruta del Cacao S.A.S.</w:t>
            </w:r>
            <w:bookmarkEnd w:id="877"/>
          </w:p>
        </w:tc>
        <w:tc>
          <w:tcPr>
            <w:tcW w:w="1493" w:type="pct"/>
            <w:tcBorders>
              <w:top w:val="nil"/>
              <w:left w:val="nil"/>
              <w:bottom w:val="single" w:sz="4" w:space="0" w:color="000000"/>
              <w:right w:val="single" w:sz="4" w:space="0" w:color="000000"/>
            </w:tcBorders>
            <w:vAlign w:val="center"/>
            <w:hideMark/>
          </w:tcPr>
          <w:p w14:paraId="08B07C52" w14:textId="77777777" w:rsidR="00554E95" w:rsidRPr="00336FA0" w:rsidRDefault="00554E95" w:rsidP="000A5389">
            <w:pPr>
              <w:spacing w:line="240" w:lineRule="auto"/>
              <w:jc w:val="right"/>
              <w:rPr>
                <w:rFonts w:eastAsia="Times New Roman" w:cs="Times New Roman"/>
                <w:color w:val="000000"/>
                <w:kern w:val="0"/>
                <w:sz w:val="18"/>
                <w:szCs w:val="18"/>
                <w:lang w:eastAsia="es-CO"/>
                <w14:ligatures w14:val="none"/>
              </w:rPr>
            </w:pPr>
            <w:bookmarkStart w:id="878" w:name="_Toc222824202"/>
            <w:r w:rsidRPr="00336FA0">
              <w:rPr>
                <w:rFonts w:eastAsia="Times New Roman" w:cs="Times New Roman"/>
                <w:color w:val="000000"/>
                <w:kern w:val="0"/>
                <w:sz w:val="18"/>
                <w:szCs w:val="18"/>
                <w:lang w:eastAsia="es-CO"/>
                <w14:ligatures w14:val="none"/>
              </w:rPr>
              <w:t>2.407.161.869</w:t>
            </w:r>
            <w:bookmarkEnd w:id="878"/>
          </w:p>
        </w:tc>
      </w:tr>
      <w:tr w:rsidR="00554E95" w:rsidRPr="00336FA0" w14:paraId="5CC2D5AA" w14:textId="77777777" w:rsidTr="003357B8">
        <w:trPr>
          <w:trHeight w:val="340"/>
          <w:tblHeader/>
        </w:trPr>
        <w:tc>
          <w:tcPr>
            <w:tcW w:w="950" w:type="pct"/>
            <w:tcBorders>
              <w:top w:val="nil"/>
              <w:left w:val="single" w:sz="4" w:space="0" w:color="000000"/>
              <w:bottom w:val="single" w:sz="4" w:space="0" w:color="000000"/>
              <w:right w:val="single" w:sz="4" w:space="0" w:color="000000"/>
            </w:tcBorders>
            <w:vAlign w:val="center"/>
            <w:hideMark/>
          </w:tcPr>
          <w:p w14:paraId="499455DC" w14:textId="676277C2" w:rsidR="00554E95" w:rsidRPr="00336FA0" w:rsidRDefault="00554E95" w:rsidP="000A5389">
            <w:pPr>
              <w:spacing w:line="240" w:lineRule="auto"/>
              <w:jc w:val="center"/>
              <w:rPr>
                <w:rFonts w:cs="Times New Roman"/>
                <w:sz w:val="18"/>
                <w:szCs w:val="18"/>
              </w:rPr>
            </w:pPr>
            <w:bookmarkStart w:id="879" w:name="_Toc222824203"/>
            <w:r w:rsidRPr="00336FA0">
              <w:rPr>
                <w:rFonts w:cs="Times New Roman"/>
                <w:sz w:val="18"/>
                <w:szCs w:val="18"/>
              </w:rPr>
              <w:t>900373783</w:t>
            </w:r>
            <w:bookmarkEnd w:id="879"/>
          </w:p>
        </w:tc>
        <w:tc>
          <w:tcPr>
            <w:tcW w:w="2557" w:type="pct"/>
            <w:tcBorders>
              <w:top w:val="nil"/>
              <w:left w:val="nil"/>
              <w:bottom w:val="single" w:sz="4" w:space="0" w:color="000000"/>
              <w:right w:val="single" w:sz="4" w:space="0" w:color="000000"/>
            </w:tcBorders>
            <w:vAlign w:val="center"/>
            <w:hideMark/>
          </w:tcPr>
          <w:p w14:paraId="5AAEB3A9" w14:textId="273EEEFD" w:rsidR="00554E95" w:rsidRPr="00336FA0" w:rsidRDefault="00554E95" w:rsidP="000A5389">
            <w:pPr>
              <w:spacing w:line="240" w:lineRule="auto"/>
              <w:rPr>
                <w:rFonts w:eastAsia="Times New Roman" w:cs="Times New Roman"/>
                <w:color w:val="000000"/>
                <w:kern w:val="0"/>
                <w:sz w:val="18"/>
                <w:szCs w:val="18"/>
                <w:lang w:eastAsia="es-CO"/>
                <w14:ligatures w14:val="none"/>
              </w:rPr>
            </w:pPr>
            <w:bookmarkStart w:id="880" w:name="_Toc222824204"/>
            <w:r w:rsidRPr="00336FA0">
              <w:rPr>
                <w:rFonts w:eastAsia="Times New Roman" w:cs="Times New Roman"/>
                <w:color w:val="000000"/>
                <w:kern w:val="0"/>
                <w:sz w:val="18"/>
                <w:szCs w:val="18"/>
                <w:lang w:eastAsia="es-CO"/>
                <w14:ligatures w14:val="none"/>
              </w:rPr>
              <w:t>vías de las Americas S.A.S.</w:t>
            </w:r>
            <w:bookmarkEnd w:id="880"/>
          </w:p>
        </w:tc>
        <w:tc>
          <w:tcPr>
            <w:tcW w:w="1493" w:type="pct"/>
            <w:tcBorders>
              <w:top w:val="nil"/>
              <w:left w:val="nil"/>
              <w:bottom w:val="single" w:sz="4" w:space="0" w:color="000000"/>
              <w:right w:val="single" w:sz="4" w:space="0" w:color="000000"/>
            </w:tcBorders>
            <w:vAlign w:val="center"/>
            <w:hideMark/>
          </w:tcPr>
          <w:p w14:paraId="7B2F32F5" w14:textId="77777777" w:rsidR="00554E95" w:rsidRPr="00336FA0" w:rsidRDefault="00554E95" w:rsidP="000A5389">
            <w:pPr>
              <w:spacing w:line="240" w:lineRule="auto"/>
              <w:jc w:val="right"/>
              <w:rPr>
                <w:rFonts w:eastAsia="Times New Roman" w:cs="Times New Roman"/>
                <w:color w:val="000000"/>
                <w:kern w:val="0"/>
                <w:sz w:val="18"/>
                <w:szCs w:val="18"/>
                <w:lang w:eastAsia="es-CO"/>
                <w14:ligatures w14:val="none"/>
              </w:rPr>
            </w:pPr>
            <w:bookmarkStart w:id="881" w:name="_Toc222824205"/>
            <w:r w:rsidRPr="00336FA0">
              <w:rPr>
                <w:rFonts w:eastAsia="Times New Roman" w:cs="Times New Roman"/>
                <w:color w:val="000000"/>
                <w:kern w:val="0"/>
                <w:sz w:val="18"/>
                <w:szCs w:val="18"/>
                <w:lang w:eastAsia="es-CO"/>
                <w14:ligatures w14:val="none"/>
              </w:rPr>
              <w:t>378.649.431</w:t>
            </w:r>
            <w:bookmarkEnd w:id="881"/>
          </w:p>
        </w:tc>
      </w:tr>
      <w:tr w:rsidR="00554E95" w:rsidRPr="00336FA0" w14:paraId="03B53F59" w14:textId="77777777" w:rsidTr="003357B8">
        <w:trPr>
          <w:trHeight w:val="340"/>
          <w:tblHeader/>
        </w:trPr>
        <w:tc>
          <w:tcPr>
            <w:tcW w:w="950" w:type="pct"/>
            <w:tcBorders>
              <w:top w:val="nil"/>
              <w:left w:val="single" w:sz="4" w:space="0" w:color="000000"/>
              <w:bottom w:val="single" w:sz="4" w:space="0" w:color="000000"/>
              <w:right w:val="single" w:sz="4" w:space="0" w:color="000000"/>
            </w:tcBorders>
            <w:vAlign w:val="center"/>
            <w:hideMark/>
          </w:tcPr>
          <w:p w14:paraId="398BD3EB" w14:textId="5CEFF8C8" w:rsidR="00554E95" w:rsidRPr="00336FA0" w:rsidRDefault="00554E95" w:rsidP="000A5389">
            <w:pPr>
              <w:spacing w:line="240" w:lineRule="auto"/>
              <w:jc w:val="center"/>
              <w:rPr>
                <w:rFonts w:cs="Times New Roman"/>
                <w:sz w:val="18"/>
                <w:szCs w:val="18"/>
              </w:rPr>
            </w:pPr>
            <w:bookmarkStart w:id="882" w:name="_Toc222824206"/>
            <w:r w:rsidRPr="00336FA0">
              <w:rPr>
                <w:rFonts w:cs="Times New Roman"/>
                <w:sz w:val="18"/>
                <w:szCs w:val="18"/>
              </w:rPr>
              <w:t>800242642</w:t>
            </w:r>
            <w:bookmarkEnd w:id="882"/>
          </w:p>
        </w:tc>
        <w:tc>
          <w:tcPr>
            <w:tcW w:w="2557" w:type="pct"/>
            <w:tcBorders>
              <w:top w:val="nil"/>
              <w:left w:val="nil"/>
              <w:bottom w:val="single" w:sz="4" w:space="0" w:color="000000"/>
              <w:right w:val="single" w:sz="4" w:space="0" w:color="000000"/>
            </w:tcBorders>
            <w:vAlign w:val="center"/>
            <w:hideMark/>
          </w:tcPr>
          <w:p w14:paraId="444DAD32" w14:textId="5AD207DE" w:rsidR="00554E95" w:rsidRPr="00336FA0" w:rsidRDefault="00554E95" w:rsidP="000A5389">
            <w:pPr>
              <w:spacing w:line="240" w:lineRule="auto"/>
              <w:rPr>
                <w:rFonts w:eastAsia="Times New Roman" w:cs="Times New Roman"/>
                <w:color w:val="000000"/>
                <w:kern w:val="0"/>
                <w:sz w:val="18"/>
                <w:szCs w:val="18"/>
                <w:lang w:eastAsia="es-CO"/>
                <w14:ligatures w14:val="none"/>
              </w:rPr>
            </w:pPr>
            <w:bookmarkStart w:id="883" w:name="_Toc222824207"/>
            <w:r w:rsidRPr="00336FA0">
              <w:rPr>
                <w:rFonts w:eastAsia="Times New Roman" w:cs="Times New Roman"/>
                <w:color w:val="000000"/>
                <w:kern w:val="0"/>
                <w:sz w:val="18"/>
                <w:szCs w:val="18"/>
                <w:lang w:eastAsia="es-CO"/>
                <w14:ligatures w14:val="none"/>
              </w:rPr>
              <w:t>Consorcio Integrado por Consultores del Desarrollo S.A y Edgardo Navarro Vives</w:t>
            </w:r>
            <w:bookmarkEnd w:id="883"/>
          </w:p>
        </w:tc>
        <w:tc>
          <w:tcPr>
            <w:tcW w:w="1493" w:type="pct"/>
            <w:tcBorders>
              <w:top w:val="nil"/>
              <w:left w:val="nil"/>
              <w:bottom w:val="single" w:sz="4" w:space="0" w:color="000000"/>
              <w:right w:val="single" w:sz="4" w:space="0" w:color="000000"/>
            </w:tcBorders>
            <w:vAlign w:val="center"/>
            <w:hideMark/>
          </w:tcPr>
          <w:p w14:paraId="72FA344C" w14:textId="77777777" w:rsidR="00554E95" w:rsidRPr="00336FA0" w:rsidRDefault="00554E95" w:rsidP="000A5389">
            <w:pPr>
              <w:spacing w:line="240" w:lineRule="auto"/>
              <w:jc w:val="right"/>
              <w:rPr>
                <w:rFonts w:eastAsia="Times New Roman" w:cs="Times New Roman"/>
                <w:color w:val="000000"/>
                <w:kern w:val="0"/>
                <w:sz w:val="18"/>
                <w:szCs w:val="18"/>
                <w:lang w:eastAsia="es-CO"/>
                <w14:ligatures w14:val="none"/>
              </w:rPr>
            </w:pPr>
            <w:bookmarkStart w:id="884" w:name="_Toc222824208"/>
            <w:r w:rsidRPr="00336FA0">
              <w:rPr>
                <w:rFonts w:eastAsia="Times New Roman" w:cs="Times New Roman"/>
                <w:color w:val="000000"/>
                <w:kern w:val="0"/>
                <w:sz w:val="18"/>
                <w:szCs w:val="18"/>
                <w:lang w:eastAsia="es-CO"/>
                <w14:ligatures w14:val="none"/>
              </w:rPr>
              <w:t>107.599.849</w:t>
            </w:r>
            <w:bookmarkEnd w:id="884"/>
          </w:p>
        </w:tc>
      </w:tr>
    </w:tbl>
    <w:p w14:paraId="79662532" w14:textId="77777777" w:rsidR="002415F3" w:rsidRPr="00951AB1" w:rsidRDefault="002415F3" w:rsidP="000A5389">
      <w:pPr>
        <w:spacing w:line="240" w:lineRule="auto"/>
        <w:rPr>
          <w:rFonts w:cs="Times New Roman"/>
          <w:sz w:val="16"/>
          <w:szCs w:val="16"/>
        </w:rPr>
      </w:pPr>
      <w:r w:rsidRPr="00951AB1">
        <w:rPr>
          <w:rFonts w:cs="Times New Roman"/>
          <w:sz w:val="16"/>
          <w:szCs w:val="16"/>
        </w:rPr>
        <w:t>Cifras en pesos</w:t>
      </w:r>
    </w:p>
    <w:p w14:paraId="598C25C8" w14:textId="77777777" w:rsidR="008C1734" w:rsidRDefault="008C1734" w:rsidP="000A5389">
      <w:pPr>
        <w:spacing w:line="240" w:lineRule="auto"/>
        <w:rPr>
          <w:rFonts w:cs="Times New Roman"/>
          <w:szCs w:val="24"/>
        </w:rPr>
      </w:pPr>
    </w:p>
    <w:p w14:paraId="0518FFF9" w14:textId="7F3CC630" w:rsidR="00F43135" w:rsidRDefault="00F43135" w:rsidP="000A5389">
      <w:pPr>
        <w:spacing w:line="240" w:lineRule="auto"/>
        <w:rPr>
          <w:rFonts w:cs="Times New Roman"/>
          <w:szCs w:val="24"/>
          <w:lang w:eastAsia="es-CO"/>
        </w:rPr>
      </w:pPr>
      <w:r w:rsidRPr="00951AB1">
        <w:rPr>
          <w:rFonts w:cs="Times New Roman"/>
          <w:szCs w:val="24"/>
        </w:rPr>
        <w:t xml:space="preserve">incremento de $118.161.313.800 frente a 2024. </w:t>
      </w:r>
      <w:r w:rsidRPr="00951AB1">
        <w:rPr>
          <w:rFonts w:cs="Times New Roman"/>
          <w:szCs w:val="24"/>
          <w:lang w:eastAsia="es-CO"/>
        </w:rPr>
        <w:t>El aumento obedece a la materialización de riesgos contractuales, lo cual implicó el reconocimiento contable de obligaciones previamente clasificadas como contingentes.</w:t>
      </w:r>
    </w:p>
    <w:p w14:paraId="3A22438C" w14:textId="77777777" w:rsidR="008C1734" w:rsidRPr="00951AB1" w:rsidRDefault="008C1734" w:rsidP="000A5389">
      <w:pPr>
        <w:spacing w:line="240" w:lineRule="auto"/>
        <w:rPr>
          <w:rFonts w:cs="Times New Roman"/>
          <w:szCs w:val="24"/>
          <w:lang w:eastAsia="es-CO"/>
        </w:rPr>
      </w:pPr>
    </w:p>
    <w:p w14:paraId="2B209DA5" w14:textId="24F5F0AB" w:rsidR="00F43135" w:rsidRPr="00951AB1" w:rsidRDefault="00F43135" w:rsidP="000A5389">
      <w:pPr>
        <w:spacing w:line="240" w:lineRule="auto"/>
        <w:rPr>
          <w:rFonts w:cs="Times New Roman"/>
          <w:szCs w:val="24"/>
          <w:lang w:eastAsia="es-CO"/>
        </w:rPr>
      </w:pPr>
      <w:r w:rsidRPr="00951AB1">
        <w:rPr>
          <w:rFonts w:cs="Times New Roman"/>
          <w:szCs w:val="24"/>
          <w:lang w:eastAsia="es-CO"/>
        </w:rPr>
        <w:t>Este comportamiento evidencia:</w:t>
      </w:r>
    </w:p>
    <w:p w14:paraId="1D4C8089" w14:textId="77777777" w:rsidR="00F43135" w:rsidRPr="00951AB1" w:rsidRDefault="00F43135" w:rsidP="000A5389">
      <w:pPr>
        <w:pStyle w:val="Prrafodelista"/>
        <w:numPr>
          <w:ilvl w:val="0"/>
          <w:numId w:val="37"/>
        </w:numPr>
        <w:spacing w:line="240" w:lineRule="auto"/>
        <w:rPr>
          <w:rFonts w:cs="Times New Roman"/>
          <w:szCs w:val="24"/>
          <w:lang w:eastAsia="es-CO"/>
        </w:rPr>
      </w:pPr>
      <w:r w:rsidRPr="00951AB1">
        <w:rPr>
          <w:rFonts w:cs="Times New Roman"/>
          <w:szCs w:val="24"/>
          <w:lang w:eastAsia="es-CO"/>
        </w:rPr>
        <w:t>Activación de cláusulas contractuales asociadas a riesgos asignados a la Entidad.</w:t>
      </w:r>
    </w:p>
    <w:p w14:paraId="1AEBC716" w14:textId="77777777" w:rsidR="00F43135" w:rsidRPr="00951AB1" w:rsidRDefault="00F43135" w:rsidP="000A5389">
      <w:pPr>
        <w:pStyle w:val="Prrafodelista"/>
        <w:numPr>
          <w:ilvl w:val="0"/>
          <w:numId w:val="37"/>
        </w:numPr>
        <w:spacing w:line="240" w:lineRule="auto"/>
        <w:rPr>
          <w:rFonts w:cs="Times New Roman"/>
          <w:szCs w:val="24"/>
          <w:lang w:eastAsia="es-CO"/>
        </w:rPr>
      </w:pPr>
      <w:r w:rsidRPr="00951AB1">
        <w:rPr>
          <w:rFonts w:cs="Times New Roman"/>
          <w:szCs w:val="24"/>
          <w:lang w:eastAsia="es-CO"/>
        </w:rPr>
        <w:t>Mayor exposición a eventos contractuales no previstos inicialmente.</w:t>
      </w:r>
    </w:p>
    <w:p w14:paraId="4B520FF1" w14:textId="2528670D" w:rsidR="00AB6BFB" w:rsidRDefault="00F43135" w:rsidP="000A5389">
      <w:pPr>
        <w:pStyle w:val="Prrafodelista"/>
        <w:numPr>
          <w:ilvl w:val="0"/>
          <w:numId w:val="37"/>
        </w:numPr>
        <w:spacing w:line="240" w:lineRule="auto"/>
        <w:rPr>
          <w:rFonts w:cs="Times New Roman"/>
          <w:szCs w:val="24"/>
          <w:lang w:eastAsia="es-CO"/>
        </w:rPr>
      </w:pPr>
      <w:r w:rsidRPr="00951AB1">
        <w:rPr>
          <w:rFonts w:cs="Times New Roman"/>
          <w:szCs w:val="24"/>
          <w:lang w:eastAsia="es-CO"/>
        </w:rPr>
        <w:t>Impacto directo en el resultado del periodo.</w:t>
      </w:r>
    </w:p>
    <w:p w14:paraId="65C66C0C" w14:textId="77777777" w:rsidR="008C1734" w:rsidRPr="00951AB1" w:rsidRDefault="008C1734" w:rsidP="008C1734">
      <w:pPr>
        <w:pStyle w:val="Prrafodelista"/>
        <w:spacing w:line="240" w:lineRule="auto"/>
        <w:ind w:left="1080"/>
        <w:rPr>
          <w:rFonts w:cs="Times New Roman"/>
          <w:szCs w:val="24"/>
          <w:lang w:eastAsia="es-CO"/>
        </w:rPr>
      </w:pPr>
    </w:p>
    <w:tbl>
      <w:tblPr>
        <w:tblW w:w="8840" w:type="dxa"/>
        <w:tblCellMar>
          <w:left w:w="70" w:type="dxa"/>
          <w:right w:w="70" w:type="dxa"/>
        </w:tblCellMar>
        <w:tblLook w:val="04A0" w:firstRow="1" w:lastRow="0" w:firstColumn="1" w:lastColumn="0" w:noHBand="0" w:noVBand="1"/>
      </w:tblPr>
      <w:tblGrid>
        <w:gridCol w:w="1680"/>
        <w:gridCol w:w="4978"/>
        <w:gridCol w:w="2182"/>
      </w:tblGrid>
      <w:tr w:rsidR="008E133C" w:rsidRPr="00951AB1" w14:paraId="6DAA2540" w14:textId="77777777" w:rsidTr="008E133C">
        <w:trPr>
          <w:trHeight w:val="340"/>
          <w:tblHeader/>
        </w:trPr>
        <w:tc>
          <w:tcPr>
            <w:tcW w:w="6658" w:type="dxa"/>
            <w:gridSpan w:val="2"/>
            <w:tcBorders>
              <w:top w:val="single" w:sz="4" w:space="0" w:color="000000"/>
              <w:left w:val="single" w:sz="4" w:space="0" w:color="000000"/>
              <w:bottom w:val="single" w:sz="4" w:space="0" w:color="000000"/>
              <w:right w:val="single" w:sz="4" w:space="0" w:color="000000"/>
            </w:tcBorders>
            <w:vAlign w:val="center"/>
          </w:tcPr>
          <w:p w14:paraId="7B74317D" w14:textId="3363F3D9" w:rsidR="008E133C" w:rsidRPr="00951AB1" w:rsidRDefault="008E133C" w:rsidP="000A5389">
            <w:pPr>
              <w:spacing w:line="240" w:lineRule="auto"/>
              <w:rPr>
                <w:rFonts w:cs="Times New Roman"/>
                <w:sz w:val="18"/>
                <w:szCs w:val="18"/>
                <w:lang w:eastAsia="es-CO"/>
              </w:rPr>
            </w:pPr>
            <w:r w:rsidRPr="00951AB1">
              <w:rPr>
                <w:rFonts w:cs="Times New Roman"/>
                <w:sz w:val="18"/>
                <w:szCs w:val="18"/>
                <w:lang w:eastAsia="es-CO"/>
              </w:rPr>
              <w:t>Concepto / Tercero</w:t>
            </w:r>
          </w:p>
        </w:tc>
        <w:tc>
          <w:tcPr>
            <w:tcW w:w="2182" w:type="dxa"/>
            <w:tcBorders>
              <w:top w:val="single" w:sz="4" w:space="0" w:color="000000"/>
              <w:left w:val="nil"/>
              <w:bottom w:val="single" w:sz="4" w:space="0" w:color="000000"/>
              <w:right w:val="single" w:sz="4" w:space="0" w:color="000000"/>
            </w:tcBorders>
            <w:vAlign w:val="center"/>
          </w:tcPr>
          <w:p w14:paraId="339B737C" w14:textId="542B1920" w:rsidR="008E133C" w:rsidRPr="00951AB1" w:rsidRDefault="008E133C" w:rsidP="000A5389">
            <w:pPr>
              <w:spacing w:line="240" w:lineRule="auto"/>
              <w:jc w:val="right"/>
              <w:rPr>
                <w:rFonts w:cs="Times New Roman"/>
                <w:sz w:val="18"/>
                <w:szCs w:val="18"/>
                <w:lang w:eastAsia="es-CO"/>
              </w:rPr>
            </w:pPr>
            <w:r w:rsidRPr="00951AB1">
              <w:rPr>
                <w:rFonts w:cs="Times New Roman"/>
                <w:sz w:val="18"/>
                <w:szCs w:val="18"/>
                <w:lang w:eastAsia="es-CO"/>
              </w:rPr>
              <w:t>Valor</w:t>
            </w:r>
          </w:p>
        </w:tc>
      </w:tr>
      <w:tr w:rsidR="00AB6BFB" w:rsidRPr="00951AB1" w14:paraId="2015A46B" w14:textId="77777777" w:rsidTr="008E133C">
        <w:trPr>
          <w:trHeight w:val="340"/>
          <w:tblHeader/>
        </w:trPr>
        <w:tc>
          <w:tcPr>
            <w:tcW w:w="6658" w:type="dxa"/>
            <w:gridSpan w:val="2"/>
            <w:tcBorders>
              <w:top w:val="single" w:sz="4" w:space="0" w:color="000000"/>
              <w:left w:val="single" w:sz="4" w:space="0" w:color="000000"/>
              <w:bottom w:val="single" w:sz="4" w:space="0" w:color="000000"/>
              <w:right w:val="single" w:sz="4" w:space="0" w:color="000000"/>
            </w:tcBorders>
            <w:vAlign w:val="center"/>
            <w:hideMark/>
          </w:tcPr>
          <w:p w14:paraId="426B9C50" w14:textId="77777777" w:rsidR="00AB6BFB" w:rsidRPr="00951AB1" w:rsidRDefault="00AB6BFB" w:rsidP="000A5389">
            <w:pPr>
              <w:spacing w:line="240" w:lineRule="auto"/>
              <w:rPr>
                <w:rFonts w:cs="Times New Roman"/>
                <w:sz w:val="18"/>
                <w:szCs w:val="18"/>
                <w:lang w:eastAsia="es-CO"/>
              </w:rPr>
            </w:pPr>
            <w:r w:rsidRPr="00951AB1">
              <w:rPr>
                <w:rFonts w:cs="Times New Roman"/>
                <w:sz w:val="18"/>
                <w:szCs w:val="18"/>
                <w:lang w:eastAsia="es-CO"/>
              </w:rPr>
              <w:t>Garantías contractuales - concesiones</w:t>
            </w:r>
          </w:p>
        </w:tc>
        <w:tc>
          <w:tcPr>
            <w:tcW w:w="2182" w:type="dxa"/>
            <w:tcBorders>
              <w:top w:val="single" w:sz="4" w:space="0" w:color="000000"/>
              <w:left w:val="nil"/>
              <w:bottom w:val="single" w:sz="4" w:space="0" w:color="000000"/>
              <w:right w:val="single" w:sz="4" w:space="0" w:color="000000"/>
            </w:tcBorders>
            <w:vAlign w:val="center"/>
            <w:hideMark/>
          </w:tcPr>
          <w:p w14:paraId="355885E6" w14:textId="77777777" w:rsidR="00AB6BFB" w:rsidRPr="00951AB1" w:rsidRDefault="00AB6BFB" w:rsidP="000A5389">
            <w:pPr>
              <w:spacing w:line="240" w:lineRule="auto"/>
              <w:jc w:val="right"/>
              <w:rPr>
                <w:rFonts w:cs="Times New Roman"/>
                <w:sz w:val="18"/>
                <w:szCs w:val="18"/>
                <w:lang w:eastAsia="es-CO"/>
              </w:rPr>
            </w:pPr>
            <w:r w:rsidRPr="00951AB1">
              <w:rPr>
                <w:rFonts w:cs="Times New Roman"/>
                <w:sz w:val="18"/>
                <w:szCs w:val="18"/>
                <w:lang w:eastAsia="es-CO"/>
              </w:rPr>
              <w:t>750.502.870.818</w:t>
            </w:r>
          </w:p>
        </w:tc>
      </w:tr>
      <w:tr w:rsidR="00AB6BFB" w:rsidRPr="00951AB1" w14:paraId="306B3D1E" w14:textId="77777777" w:rsidTr="008E133C">
        <w:trPr>
          <w:trHeight w:val="340"/>
        </w:trPr>
        <w:tc>
          <w:tcPr>
            <w:tcW w:w="1680" w:type="dxa"/>
            <w:tcBorders>
              <w:top w:val="nil"/>
              <w:left w:val="single" w:sz="4" w:space="0" w:color="000000"/>
              <w:bottom w:val="single" w:sz="4" w:space="0" w:color="000000"/>
              <w:right w:val="single" w:sz="4" w:space="0" w:color="000000"/>
            </w:tcBorders>
            <w:vAlign w:val="center"/>
            <w:hideMark/>
          </w:tcPr>
          <w:p w14:paraId="79516ADE" w14:textId="0F3ACD34" w:rsidR="00AB6BFB" w:rsidRPr="00951AB1" w:rsidRDefault="00AB6BFB" w:rsidP="000A5389">
            <w:pPr>
              <w:spacing w:line="240" w:lineRule="auto"/>
              <w:rPr>
                <w:rFonts w:cs="Times New Roman"/>
                <w:sz w:val="18"/>
                <w:szCs w:val="18"/>
                <w:lang w:eastAsia="es-CO"/>
              </w:rPr>
            </w:pPr>
            <w:bookmarkStart w:id="885" w:name="_Toc222824209"/>
            <w:r w:rsidRPr="00951AB1">
              <w:rPr>
                <w:rFonts w:cs="Times New Roman"/>
                <w:sz w:val="18"/>
                <w:szCs w:val="18"/>
                <w:lang w:eastAsia="es-CO"/>
              </w:rPr>
              <w:t>900763357</w:t>
            </w:r>
            <w:bookmarkEnd w:id="885"/>
          </w:p>
        </w:tc>
        <w:tc>
          <w:tcPr>
            <w:tcW w:w="4978" w:type="dxa"/>
            <w:tcBorders>
              <w:top w:val="nil"/>
              <w:left w:val="nil"/>
              <w:bottom w:val="single" w:sz="4" w:space="0" w:color="000000"/>
              <w:right w:val="single" w:sz="4" w:space="0" w:color="000000"/>
            </w:tcBorders>
            <w:vAlign w:val="center"/>
            <w:hideMark/>
          </w:tcPr>
          <w:p w14:paraId="437DCA39" w14:textId="54BE4C82" w:rsidR="00AB6BFB" w:rsidRPr="00951AB1" w:rsidRDefault="00AB6BFB" w:rsidP="000A5389">
            <w:pPr>
              <w:spacing w:line="240" w:lineRule="auto"/>
              <w:rPr>
                <w:rFonts w:cs="Times New Roman"/>
                <w:sz w:val="18"/>
                <w:szCs w:val="18"/>
                <w:lang w:eastAsia="es-CO"/>
              </w:rPr>
            </w:pPr>
            <w:bookmarkStart w:id="886" w:name="_Toc222824210"/>
            <w:r w:rsidRPr="00951AB1">
              <w:rPr>
                <w:rFonts w:cs="Times New Roman"/>
                <w:sz w:val="18"/>
                <w:szCs w:val="18"/>
                <w:lang w:eastAsia="es-CO"/>
              </w:rPr>
              <w:t>Concesión Pacifico Tres S.A.S.</w:t>
            </w:r>
            <w:bookmarkEnd w:id="886"/>
          </w:p>
        </w:tc>
        <w:tc>
          <w:tcPr>
            <w:tcW w:w="2182" w:type="dxa"/>
            <w:tcBorders>
              <w:top w:val="nil"/>
              <w:left w:val="nil"/>
              <w:bottom w:val="single" w:sz="4" w:space="0" w:color="000000"/>
              <w:right w:val="single" w:sz="4" w:space="0" w:color="000000"/>
            </w:tcBorders>
            <w:vAlign w:val="center"/>
            <w:hideMark/>
          </w:tcPr>
          <w:p w14:paraId="4BC3C50C" w14:textId="77777777" w:rsidR="00AB6BFB" w:rsidRPr="00951AB1" w:rsidRDefault="00AB6BFB" w:rsidP="000A5389">
            <w:pPr>
              <w:spacing w:line="240" w:lineRule="auto"/>
              <w:jc w:val="right"/>
              <w:rPr>
                <w:rFonts w:cs="Times New Roman"/>
                <w:sz w:val="18"/>
                <w:szCs w:val="18"/>
                <w:lang w:eastAsia="es-CO"/>
              </w:rPr>
            </w:pPr>
            <w:bookmarkStart w:id="887" w:name="_Toc222824211"/>
            <w:r w:rsidRPr="00951AB1">
              <w:rPr>
                <w:rFonts w:cs="Times New Roman"/>
                <w:sz w:val="18"/>
                <w:szCs w:val="18"/>
                <w:lang w:eastAsia="es-CO"/>
              </w:rPr>
              <w:t>239.444.525.066</w:t>
            </w:r>
            <w:bookmarkEnd w:id="887"/>
          </w:p>
        </w:tc>
      </w:tr>
      <w:tr w:rsidR="00AB6BFB" w:rsidRPr="00951AB1" w14:paraId="1E945A7D" w14:textId="77777777" w:rsidTr="008E133C">
        <w:trPr>
          <w:trHeight w:val="340"/>
        </w:trPr>
        <w:tc>
          <w:tcPr>
            <w:tcW w:w="1680" w:type="dxa"/>
            <w:tcBorders>
              <w:top w:val="nil"/>
              <w:left w:val="single" w:sz="4" w:space="0" w:color="000000"/>
              <w:bottom w:val="single" w:sz="4" w:space="0" w:color="000000"/>
              <w:right w:val="single" w:sz="4" w:space="0" w:color="000000"/>
            </w:tcBorders>
            <w:vAlign w:val="center"/>
            <w:hideMark/>
          </w:tcPr>
          <w:p w14:paraId="1D1486FC" w14:textId="562399DC" w:rsidR="00AB6BFB" w:rsidRPr="00951AB1" w:rsidRDefault="00AB6BFB" w:rsidP="000A5389">
            <w:pPr>
              <w:spacing w:line="240" w:lineRule="auto"/>
              <w:rPr>
                <w:rFonts w:cs="Times New Roman"/>
                <w:sz w:val="18"/>
                <w:szCs w:val="18"/>
                <w:lang w:eastAsia="es-CO"/>
              </w:rPr>
            </w:pPr>
            <w:bookmarkStart w:id="888" w:name="_Toc222824212"/>
            <w:r w:rsidRPr="00951AB1">
              <w:rPr>
                <w:rFonts w:cs="Times New Roman"/>
                <w:sz w:val="18"/>
                <w:szCs w:val="18"/>
                <w:lang w:eastAsia="es-CO"/>
              </w:rPr>
              <w:t>900880846</w:t>
            </w:r>
            <w:bookmarkEnd w:id="888"/>
          </w:p>
        </w:tc>
        <w:tc>
          <w:tcPr>
            <w:tcW w:w="4978" w:type="dxa"/>
            <w:tcBorders>
              <w:top w:val="nil"/>
              <w:left w:val="nil"/>
              <w:bottom w:val="single" w:sz="4" w:space="0" w:color="000000"/>
              <w:right w:val="single" w:sz="4" w:space="0" w:color="000000"/>
            </w:tcBorders>
            <w:vAlign w:val="center"/>
            <w:hideMark/>
          </w:tcPr>
          <w:p w14:paraId="378B3848" w14:textId="6B8CE201" w:rsidR="00AB6BFB" w:rsidRPr="00951AB1" w:rsidRDefault="00AB6BFB" w:rsidP="000A5389">
            <w:pPr>
              <w:spacing w:line="240" w:lineRule="auto"/>
              <w:rPr>
                <w:rFonts w:cs="Times New Roman"/>
                <w:sz w:val="18"/>
                <w:szCs w:val="18"/>
                <w:lang w:eastAsia="es-CO"/>
              </w:rPr>
            </w:pPr>
            <w:bookmarkStart w:id="889" w:name="_Toc222824213"/>
            <w:r w:rsidRPr="00951AB1">
              <w:rPr>
                <w:rFonts w:cs="Times New Roman"/>
                <w:sz w:val="18"/>
                <w:szCs w:val="18"/>
                <w:lang w:eastAsia="es-CO"/>
              </w:rPr>
              <w:t>Concesionaria Vial Unión del Sur S.A.S.</w:t>
            </w:r>
            <w:bookmarkEnd w:id="889"/>
          </w:p>
        </w:tc>
        <w:tc>
          <w:tcPr>
            <w:tcW w:w="2182" w:type="dxa"/>
            <w:tcBorders>
              <w:top w:val="nil"/>
              <w:left w:val="nil"/>
              <w:bottom w:val="single" w:sz="4" w:space="0" w:color="000000"/>
              <w:right w:val="single" w:sz="4" w:space="0" w:color="000000"/>
            </w:tcBorders>
            <w:vAlign w:val="center"/>
            <w:hideMark/>
          </w:tcPr>
          <w:p w14:paraId="72FAE79D" w14:textId="77777777" w:rsidR="00AB6BFB" w:rsidRPr="00951AB1" w:rsidRDefault="00AB6BFB" w:rsidP="000A5389">
            <w:pPr>
              <w:spacing w:line="240" w:lineRule="auto"/>
              <w:jc w:val="right"/>
              <w:rPr>
                <w:rFonts w:cs="Times New Roman"/>
                <w:sz w:val="18"/>
                <w:szCs w:val="18"/>
                <w:lang w:eastAsia="es-CO"/>
              </w:rPr>
            </w:pPr>
            <w:bookmarkStart w:id="890" w:name="_Toc222824214"/>
            <w:r w:rsidRPr="00951AB1">
              <w:rPr>
                <w:rFonts w:cs="Times New Roman"/>
                <w:sz w:val="18"/>
                <w:szCs w:val="18"/>
                <w:lang w:eastAsia="es-CO"/>
              </w:rPr>
              <w:t>109.865.256.808</w:t>
            </w:r>
            <w:bookmarkEnd w:id="890"/>
          </w:p>
        </w:tc>
      </w:tr>
      <w:tr w:rsidR="00AB6BFB" w:rsidRPr="00951AB1" w14:paraId="410A0DEF" w14:textId="77777777" w:rsidTr="008E133C">
        <w:trPr>
          <w:trHeight w:val="340"/>
        </w:trPr>
        <w:tc>
          <w:tcPr>
            <w:tcW w:w="1680" w:type="dxa"/>
            <w:tcBorders>
              <w:top w:val="nil"/>
              <w:left w:val="single" w:sz="4" w:space="0" w:color="000000"/>
              <w:bottom w:val="single" w:sz="4" w:space="0" w:color="000000"/>
              <w:right w:val="single" w:sz="4" w:space="0" w:color="000000"/>
            </w:tcBorders>
            <w:vAlign w:val="center"/>
            <w:hideMark/>
          </w:tcPr>
          <w:p w14:paraId="3C6028FB" w14:textId="7A6EC38F" w:rsidR="00AB6BFB" w:rsidRPr="00951AB1" w:rsidRDefault="00AB6BFB" w:rsidP="000A5389">
            <w:pPr>
              <w:spacing w:line="240" w:lineRule="auto"/>
              <w:rPr>
                <w:rFonts w:cs="Times New Roman"/>
                <w:sz w:val="18"/>
                <w:szCs w:val="18"/>
                <w:lang w:eastAsia="es-CO"/>
              </w:rPr>
            </w:pPr>
            <w:bookmarkStart w:id="891" w:name="_Toc222824215"/>
            <w:r w:rsidRPr="00951AB1">
              <w:rPr>
                <w:rFonts w:cs="Times New Roman"/>
                <w:sz w:val="18"/>
                <w:szCs w:val="18"/>
                <w:lang w:eastAsia="es-CO"/>
              </w:rPr>
              <w:t>900763355</w:t>
            </w:r>
            <w:bookmarkEnd w:id="891"/>
          </w:p>
        </w:tc>
        <w:tc>
          <w:tcPr>
            <w:tcW w:w="4978" w:type="dxa"/>
            <w:tcBorders>
              <w:top w:val="nil"/>
              <w:left w:val="nil"/>
              <w:bottom w:val="single" w:sz="4" w:space="0" w:color="000000"/>
              <w:right w:val="single" w:sz="4" w:space="0" w:color="000000"/>
            </w:tcBorders>
            <w:vAlign w:val="center"/>
            <w:hideMark/>
          </w:tcPr>
          <w:p w14:paraId="5010E82B" w14:textId="0288FC33" w:rsidR="00AB6BFB" w:rsidRPr="00951AB1" w:rsidRDefault="00AB6BFB" w:rsidP="000A5389">
            <w:pPr>
              <w:spacing w:line="240" w:lineRule="auto"/>
              <w:rPr>
                <w:rFonts w:cs="Times New Roman"/>
                <w:sz w:val="18"/>
                <w:szCs w:val="18"/>
                <w:lang w:eastAsia="es-CO"/>
              </w:rPr>
            </w:pPr>
            <w:bookmarkStart w:id="892" w:name="_Toc222824216"/>
            <w:r w:rsidRPr="00951AB1">
              <w:rPr>
                <w:rFonts w:cs="Times New Roman"/>
                <w:sz w:val="18"/>
                <w:szCs w:val="18"/>
                <w:lang w:eastAsia="es-CO"/>
              </w:rPr>
              <w:t>Concesión Costera Cartagena Barranquilla S.A.S.</w:t>
            </w:r>
            <w:bookmarkEnd w:id="892"/>
          </w:p>
        </w:tc>
        <w:tc>
          <w:tcPr>
            <w:tcW w:w="2182" w:type="dxa"/>
            <w:tcBorders>
              <w:top w:val="nil"/>
              <w:left w:val="nil"/>
              <w:bottom w:val="single" w:sz="4" w:space="0" w:color="000000"/>
              <w:right w:val="single" w:sz="4" w:space="0" w:color="000000"/>
            </w:tcBorders>
            <w:vAlign w:val="center"/>
            <w:hideMark/>
          </w:tcPr>
          <w:p w14:paraId="33A7A24C" w14:textId="77777777" w:rsidR="00AB6BFB" w:rsidRPr="00951AB1" w:rsidRDefault="00AB6BFB" w:rsidP="000A5389">
            <w:pPr>
              <w:spacing w:line="240" w:lineRule="auto"/>
              <w:jc w:val="right"/>
              <w:rPr>
                <w:rFonts w:cs="Times New Roman"/>
                <w:sz w:val="18"/>
                <w:szCs w:val="18"/>
                <w:lang w:eastAsia="es-CO"/>
              </w:rPr>
            </w:pPr>
            <w:bookmarkStart w:id="893" w:name="_Toc222824217"/>
            <w:r w:rsidRPr="00951AB1">
              <w:rPr>
                <w:rFonts w:cs="Times New Roman"/>
                <w:sz w:val="18"/>
                <w:szCs w:val="18"/>
                <w:lang w:eastAsia="es-CO"/>
              </w:rPr>
              <w:t>68.492.774.400</w:t>
            </w:r>
            <w:bookmarkEnd w:id="893"/>
          </w:p>
        </w:tc>
      </w:tr>
      <w:tr w:rsidR="00AB6BFB" w:rsidRPr="00951AB1" w14:paraId="6F15E0B8" w14:textId="77777777" w:rsidTr="008E133C">
        <w:trPr>
          <w:trHeight w:val="340"/>
        </w:trPr>
        <w:tc>
          <w:tcPr>
            <w:tcW w:w="1680" w:type="dxa"/>
            <w:tcBorders>
              <w:top w:val="nil"/>
              <w:left w:val="single" w:sz="4" w:space="0" w:color="000000"/>
              <w:bottom w:val="single" w:sz="4" w:space="0" w:color="000000"/>
              <w:right w:val="single" w:sz="4" w:space="0" w:color="000000"/>
            </w:tcBorders>
            <w:vAlign w:val="center"/>
            <w:hideMark/>
          </w:tcPr>
          <w:p w14:paraId="39C558E0" w14:textId="5B537E24" w:rsidR="00AB6BFB" w:rsidRPr="00951AB1" w:rsidRDefault="00AB6BFB" w:rsidP="000A5389">
            <w:pPr>
              <w:spacing w:line="240" w:lineRule="auto"/>
              <w:rPr>
                <w:rFonts w:cs="Times New Roman"/>
                <w:sz w:val="18"/>
                <w:szCs w:val="18"/>
                <w:lang w:eastAsia="es-CO"/>
              </w:rPr>
            </w:pPr>
            <w:bookmarkStart w:id="894" w:name="_Toc222824218"/>
            <w:r w:rsidRPr="00951AB1">
              <w:rPr>
                <w:rFonts w:cs="Times New Roman"/>
                <w:sz w:val="18"/>
                <w:szCs w:val="18"/>
                <w:lang w:eastAsia="es-CO"/>
              </w:rPr>
              <w:t>900902591</w:t>
            </w:r>
            <w:bookmarkEnd w:id="894"/>
          </w:p>
        </w:tc>
        <w:tc>
          <w:tcPr>
            <w:tcW w:w="4978" w:type="dxa"/>
            <w:tcBorders>
              <w:top w:val="nil"/>
              <w:left w:val="nil"/>
              <w:bottom w:val="single" w:sz="4" w:space="0" w:color="000000"/>
              <w:right w:val="single" w:sz="4" w:space="0" w:color="000000"/>
            </w:tcBorders>
            <w:vAlign w:val="center"/>
            <w:hideMark/>
          </w:tcPr>
          <w:p w14:paraId="62EF550D" w14:textId="4D61C500" w:rsidR="00AB6BFB" w:rsidRPr="00951AB1" w:rsidRDefault="00AB6BFB" w:rsidP="000A5389">
            <w:pPr>
              <w:spacing w:line="240" w:lineRule="auto"/>
              <w:rPr>
                <w:rFonts w:cs="Times New Roman"/>
                <w:sz w:val="18"/>
                <w:szCs w:val="18"/>
                <w:lang w:eastAsia="es-CO"/>
              </w:rPr>
            </w:pPr>
            <w:bookmarkStart w:id="895" w:name="_Toc222824219"/>
            <w:r w:rsidRPr="00951AB1">
              <w:rPr>
                <w:rFonts w:cs="Times New Roman"/>
                <w:sz w:val="18"/>
                <w:szCs w:val="18"/>
                <w:lang w:eastAsia="es-CO"/>
              </w:rPr>
              <w:t xml:space="preserve">Autopistas   Urabá   </w:t>
            </w:r>
            <w:r w:rsidR="00F43135" w:rsidRPr="00951AB1">
              <w:rPr>
                <w:rFonts w:cs="Times New Roman"/>
                <w:sz w:val="18"/>
                <w:szCs w:val="18"/>
                <w:lang w:eastAsia="es-CO"/>
              </w:rPr>
              <w:t>S.A.S</w:t>
            </w:r>
            <w:bookmarkEnd w:id="895"/>
          </w:p>
        </w:tc>
        <w:tc>
          <w:tcPr>
            <w:tcW w:w="2182" w:type="dxa"/>
            <w:tcBorders>
              <w:top w:val="nil"/>
              <w:left w:val="nil"/>
              <w:bottom w:val="single" w:sz="4" w:space="0" w:color="000000"/>
              <w:right w:val="single" w:sz="4" w:space="0" w:color="000000"/>
            </w:tcBorders>
            <w:vAlign w:val="center"/>
            <w:hideMark/>
          </w:tcPr>
          <w:p w14:paraId="129EBF19" w14:textId="77777777" w:rsidR="00AB6BFB" w:rsidRPr="00951AB1" w:rsidRDefault="00AB6BFB" w:rsidP="000A5389">
            <w:pPr>
              <w:spacing w:line="240" w:lineRule="auto"/>
              <w:jc w:val="right"/>
              <w:rPr>
                <w:rFonts w:cs="Times New Roman"/>
                <w:sz w:val="18"/>
                <w:szCs w:val="18"/>
                <w:lang w:eastAsia="es-CO"/>
              </w:rPr>
            </w:pPr>
            <w:bookmarkStart w:id="896" w:name="_Toc222824220"/>
            <w:r w:rsidRPr="00951AB1">
              <w:rPr>
                <w:rFonts w:cs="Times New Roman"/>
                <w:sz w:val="18"/>
                <w:szCs w:val="18"/>
                <w:lang w:eastAsia="es-CO"/>
              </w:rPr>
              <w:t>55.168.932.894</w:t>
            </w:r>
            <w:bookmarkEnd w:id="896"/>
          </w:p>
        </w:tc>
      </w:tr>
      <w:tr w:rsidR="00AB6BFB" w:rsidRPr="00951AB1" w14:paraId="4557F577" w14:textId="77777777" w:rsidTr="008E133C">
        <w:trPr>
          <w:trHeight w:val="340"/>
        </w:trPr>
        <w:tc>
          <w:tcPr>
            <w:tcW w:w="1680" w:type="dxa"/>
            <w:tcBorders>
              <w:top w:val="nil"/>
              <w:left w:val="single" w:sz="4" w:space="0" w:color="000000"/>
              <w:bottom w:val="single" w:sz="4" w:space="0" w:color="000000"/>
              <w:right w:val="single" w:sz="4" w:space="0" w:color="000000"/>
            </w:tcBorders>
            <w:vAlign w:val="center"/>
            <w:hideMark/>
          </w:tcPr>
          <w:p w14:paraId="355AED5A" w14:textId="280A2A6C" w:rsidR="00AB6BFB" w:rsidRPr="00951AB1" w:rsidRDefault="00AB6BFB" w:rsidP="000A5389">
            <w:pPr>
              <w:spacing w:line="240" w:lineRule="auto"/>
              <w:rPr>
                <w:rFonts w:cs="Times New Roman"/>
                <w:sz w:val="18"/>
                <w:szCs w:val="18"/>
                <w:lang w:eastAsia="es-CO"/>
              </w:rPr>
            </w:pPr>
            <w:bookmarkStart w:id="897" w:name="_Toc222824221"/>
            <w:r w:rsidRPr="00951AB1">
              <w:rPr>
                <w:rFonts w:cs="Times New Roman"/>
                <w:sz w:val="18"/>
                <w:szCs w:val="18"/>
                <w:lang w:eastAsia="es-CO"/>
              </w:rPr>
              <w:t>900869678</w:t>
            </w:r>
            <w:bookmarkEnd w:id="897"/>
          </w:p>
        </w:tc>
        <w:tc>
          <w:tcPr>
            <w:tcW w:w="4978" w:type="dxa"/>
            <w:tcBorders>
              <w:top w:val="nil"/>
              <w:left w:val="nil"/>
              <w:bottom w:val="single" w:sz="4" w:space="0" w:color="000000"/>
              <w:right w:val="single" w:sz="4" w:space="0" w:color="000000"/>
            </w:tcBorders>
            <w:vAlign w:val="center"/>
            <w:hideMark/>
          </w:tcPr>
          <w:p w14:paraId="7C506EEE" w14:textId="55D7F665" w:rsidR="00AB6BFB" w:rsidRPr="00951AB1" w:rsidRDefault="00AB6BFB" w:rsidP="000A5389">
            <w:pPr>
              <w:spacing w:line="240" w:lineRule="auto"/>
              <w:rPr>
                <w:rFonts w:cs="Times New Roman"/>
                <w:sz w:val="18"/>
                <w:szCs w:val="18"/>
                <w:lang w:eastAsia="es-CO"/>
              </w:rPr>
            </w:pPr>
            <w:bookmarkStart w:id="898" w:name="_Toc222824222"/>
            <w:r w:rsidRPr="00951AB1">
              <w:rPr>
                <w:rFonts w:cs="Times New Roman"/>
                <w:sz w:val="18"/>
                <w:szCs w:val="18"/>
                <w:lang w:eastAsia="es-CO"/>
              </w:rPr>
              <w:t>Desarrollo Vial al Mar   S.A.S</w:t>
            </w:r>
            <w:bookmarkEnd w:id="898"/>
          </w:p>
        </w:tc>
        <w:tc>
          <w:tcPr>
            <w:tcW w:w="2182" w:type="dxa"/>
            <w:tcBorders>
              <w:top w:val="nil"/>
              <w:left w:val="nil"/>
              <w:bottom w:val="single" w:sz="4" w:space="0" w:color="000000"/>
              <w:right w:val="single" w:sz="4" w:space="0" w:color="000000"/>
            </w:tcBorders>
            <w:vAlign w:val="center"/>
            <w:hideMark/>
          </w:tcPr>
          <w:p w14:paraId="34BCAD7A" w14:textId="77777777" w:rsidR="00AB6BFB" w:rsidRPr="00951AB1" w:rsidRDefault="00AB6BFB" w:rsidP="000A5389">
            <w:pPr>
              <w:spacing w:line="240" w:lineRule="auto"/>
              <w:jc w:val="right"/>
              <w:rPr>
                <w:rFonts w:cs="Times New Roman"/>
                <w:sz w:val="18"/>
                <w:szCs w:val="18"/>
                <w:lang w:eastAsia="es-CO"/>
              </w:rPr>
            </w:pPr>
            <w:bookmarkStart w:id="899" w:name="_Toc222824223"/>
            <w:r w:rsidRPr="00951AB1">
              <w:rPr>
                <w:rFonts w:cs="Times New Roman"/>
                <w:sz w:val="18"/>
                <w:szCs w:val="18"/>
                <w:lang w:eastAsia="es-CO"/>
              </w:rPr>
              <w:t>54.247.305.622</w:t>
            </w:r>
            <w:bookmarkEnd w:id="899"/>
          </w:p>
        </w:tc>
      </w:tr>
      <w:tr w:rsidR="00AB6BFB" w:rsidRPr="00951AB1" w14:paraId="7D15EA20" w14:textId="77777777" w:rsidTr="008E133C">
        <w:trPr>
          <w:trHeight w:val="340"/>
        </w:trPr>
        <w:tc>
          <w:tcPr>
            <w:tcW w:w="1680" w:type="dxa"/>
            <w:tcBorders>
              <w:top w:val="nil"/>
              <w:left w:val="single" w:sz="4" w:space="0" w:color="000000"/>
              <w:bottom w:val="single" w:sz="4" w:space="0" w:color="000000"/>
              <w:right w:val="single" w:sz="4" w:space="0" w:color="000000"/>
            </w:tcBorders>
            <w:vAlign w:val="center"/>
            <w:hideMark/>
          </w:tcPr>
          <w:p w14:paraId="5A70AF65" w14:textId="7FA6BB7B" w:rsidR="00AB6BFB" w:rsidRPr="00951AB1" w:rsidRDefault="00AB6BFB" w:rsidP="000A5389">
            <w:pPr>
              <w:spacing w:line="240" w:lineRule="auto"/>
              <w:rPr>
                <w:rFonts w:cs="Times New Roman"/>
                <w:sz w:val="18"/>
                <w:szCs w:val="18"/>
                <w:lang w:eastAsia="es-CO"/>
              </w:rPr>
            </w:pPr>
            <w:bookmarkStart w:id="900" w:name="_Toc222824224"/>
            <w:r w:rsidRPr="00951AB1">
              <w:rPr>
                <w:rFonts w:cs="Times New Roman"/>
                <w:sz w:val="18"/>
                <w:szCs w:val="18"/>
                <w:lang w:eastAsia="es-CO"/>
              </w:rPr>
              <w:t>900871368</w:t>
            </w:r>
            <w:bookmarkEnd w:id="900"/>
          </w:p>
        </w:tc>
        <w:tc>
          <w:tcPr>
            <w:tcW w:w="4978" w:type="dxa"/>
            <w:tcBorders>
              <w:top w:val="nil"/>
              <w:left w:val="nil"/>
              <w:bottom w:val="single" w:sz="4" w:space="0" w:color="000000"/>
              <w:right w:val="single" w:sz="4" w:space="0" w:color="000000"/>
            </w:tcBorders>
            <w:vAlign w:val="center"/>
            <w:hideMark/>
          </w:tcPr>
          <w:p w14:paraId="30059560" w14:textId="35FBA844" w:rsidR="00AB6BFB" w:rsidRPr="00951AB1" w:rsidRDefault="00AB6BFB" w:rsidP="000A5389">
            <w:pPr>
              <w:spacing w:line="240" w:lineRule="auto"/>
              <w:rPr>
                <w:rFonts w:cs="Times New Roman"/>
                <w:sz w:val="18"/>
                <w:szCs w:val="18"/>
                <w:lang w:eastAsia="es-CO"/>
              </w:rPr>
            </w:pPr>
            <w:bookmarkStart w:id="901" w:name="_Toc222824225"/>
            <w:r w:rsidRPr="00951AB1">
              <w:rPr>
                <w:rFonts w:cs="Times New Roman"/>
                <w:sz w:val="18"/>
                <w:szCs w:val="18"/>
                <w:lang w:eastAsia="es-CO"/>
              </w:rPr>
              <w:t>Concesionaria Ruta del Cacao S.A.S.</w:t>
            </w:r>
            <w:bookmarkEnd w:id="901"/>
          </w:p>
        </w:tc>
        <w:tc>
          <w:tcPr>
            <w:tcW w:w="2182" w:type="dxa"/>
            <w:tcBorders>
              <w:top w:val="nil"/>
              <w:left w:val="nil"/>
              <w:bottom w:val="single" w:sz="4" w:space="0" w:color="000000"/>
              <w:right w:val="single" w:sz="4" w:space="0" w:color="000000"/>
            </w:tcBorders>
            <w:vAlign w:val="center"/>
            <w:hideMark/>
          </w:tcPr>
          <w:p w14:paraId="61405BFD" w14:textId="77777777" w:rsidR="00AB6BFB" w:rsidRPr="00951AB1" w:rsidRDefault="00AB6BFB" w:rsidP="000A5389">
            <w:pPr>
              <w:spacing w:line="240" w:lineRule="auto"/>
              <w:jc w:val="right"/>
              <w:rPr>
                <w:rFonts w:cs="Times New Roman"/>
                <w:sz w:val="18"/>
                <w:szCs w:val="18"/>
                <w:lang w:eastAsia="es-CO"/>
              </w:rPr>
            </w:pPr>
            <w:bookmarkStart w:id="902" w:name="_Toc222824226"/>
            <w:r w:rsidRPr="00951AB1">
              <w:rPr>
                <w:rFonts w:cs="Times New Roman"/>
                <w:sz w:val="18"/>
                <w:szCs w:val="18"/>
                <w:lang w:eastAsia="es-CO"/>
              </w:rPr>
              <w:t>48.466.183.368</w:t>
            </w:r>
            <w:bookmarkEnd w:id="902"/>
          </w:p>
        </w:tc>
      </w:tr>
      <w:tr w:rsidR="00AB6BFB" w:rsidRPr="00951AB1" w14:paraId="2F83EC5B" w14:textId="77777777" w:rsidTr="008E133C">
        <w:trPr>
          <w:trHeight w:val="340"/>
        </w:trPr>
        <w:tc>
          <w:tcPr>
            <w:tcW w:w="1680" w:type="dxa"/>
            <w:tcBorders>
              <w:top w:val="nil"/>
              <w:left w:val="single" w:sz="4" w:space="0" w:color="000000"/>
              <w:bottom w:val="single" w:sz="4" w:space="0" w:color="000000"/>
              <w:right w:val="single" w:sz="4" w:space="0" w:color="000000"/>
            </w:tcBorders>
            <w:vAlign w:val="center"/>
            <w:hideMark/>
          </w:tcPr>
          <w:p w14:paraId="4CC3B912" w14:textId="4F9E7329" w:rsidR="00AB6BFB" w:rsidRPr="00951AB1" w:rsidRDefault="00AB6BFB" w:rsidP="000A5389">
            <w:pPr>
              <w:spacing w:line="240" w:lineRule="auto"/>
              <w:rPr>
                <w:rFonts w:cs="Times New Roman"/>
                <w:sz w:val="18"/>
                <w:szCs w:val="18"/>
                <w:lang w:eastAsia="es-CO"/>
              </w:rPr>
            </w:pPr>
            <w:bookmarkStart w:id="903" w:name="_Toc222824227"/>
            <w:r w:rsidRPr="00951AB1">
              <w:rPr>
                <w:rFonts w:cs="Times New Roman"/>
                <w:sz w:val="18"/>
                <w:szCs w:val="18"/>
                <w:lang w:eastAsia="es-CO"/>
              </w:rPr>
              <w:t>900744773</w:t>
            </w:r>
            <w:bookmarkEnd w:id="903"/>
          </w:p>
        </w:tc>
        <w:tc>
          <w:tcPr>
            <w:tcW w:w="4978" w:type="dxa"/>
            <w:tcBorders>
              <w:top w:val="nil"/>
              <w:left w:val="nil"/>
              <w:bottom w:val="single" w:sz="4" w:space="0" w:color="000000"/>
              <w:right w:val="single" w:sz="4" w:space="0" w:color="000000"/>
            </w:tcBorders>
            <w:vAlign w:val="center"/>
            <w:hideMark/>
          </w:tcPr>
          <w:p w14:paraId="0B9FD3AA" w14:textId="7DB69B81" w:rsidR="00AB6BFB" w:rsidRPr="00951AB1" w:rsidRDefault="00AB6BFB" w:rsidP="000A5389">
            <w:pPr>
              <w:spacing w:line="240" w:lineRule="auto"/>
              <w:rPr>
                <w:rFonts w:cs="Times New Roman"/>
                <w:sz w:val="18"/>
                <w:szCs w:val="18"/>
                <w:lang w:eastAsia="es-CO"/>
              </w:rPr>
            </w:pPr>
            <w:bookmarkStart w:id="904" w:name="_Toc222824228"/>
            <w:r w:rsidRPr="00951AB1">
              <w:rPr>
                <w:rFonts w:cs="Times New Roman"/>
                <w:sz w:val="18"/>
                <w:szCs w:val="18"/>
                <w:lang w:eastAsia="es-CO"/>
              </w:rPr>
              <w:t>Concesionaria Vial del Pacifico S A S</w:t>
            </w:r>
            <w:bookmarkEnd w:id="904"/>
          </w:p>
        </w:tc>
        <w:tc>
          <w:tcPr>
            <w:tcW w:w="2182" w:type="dxa"/>
            <w:tcBorders>
              <w:top w:val="nil"/>
              <w:left w:val="nil"/>
              <w:bottom w:val="single" w:sz="4" w:space="0" w:color="000000"/>
              <w:right w:val="single" w:sz="4" w:space="0" w:color="000000"/>
            </w:tcBorders>
            <w:vAlign w:val="center"/>
            <w:hideMark/>
          </w:tcPr>
          <w:p w14:paraId="0D87D85C" w14:textId="77777777" w:rsidR="00AB6BFB" w:rsidRPr="00951AB1" w:rsidRDefault="00AB6BFB" w:rsidP="000A5389">
            <w:pPr>
              <w:spacing w:line="240" w:lineRule="auto"/>
              <w:jc w:val="right"/>
              <w:rPr>
                <w:rFonts w:cs="Times New Roman"/>
                <w:sz w:val="18"/>
                <w:szCs w:val="18"/>
                <w:lang w:eastAsia="es-CO"/>
              </w:rPr>
            </w:pPr>
            <w:bookmarkStart w:id="905" w:name="_Toc222824229"/>
            <w:r w:rsidRPr="00951AB1">
              <w:rPr>
                <w:rFonts w:cs="Times New Roman"/>
                <w:sz w:val="18"/>
                <w:szCs w:val="18"/>
                <w:lang w:eastAsia="es-CO"/>
              </w:rPr>
              <w:t>38.412.846.707</w:t>
            </w:r>
            <w:bookmarkEnd w:id="905"/>
          </w:p>
        </w:tc>
      </w:tr>
      <w:tr w:rsidR="00AB6BFB" w:rsidRPr="00951AB1" w14:paraId="2EBAC047" w14:textId="77777777" w:rsidTr="008E133C">
        <w:trPr>
          <w:trHeight w:val="340"/>
        </w:trPr>
        <w:tc>
          <w:tcPr>
            <w:tcW w:w="1680" w:type="dxa"/>
            <w:tcBorders>
              <w:top w:val="nil"/>
              <w:left w:val="single" w:sz="4" w:space="0" w:color="000000"/>
              <w:bottom w:val="single" w:sz="4" w:space="0" w:color="000000"/>
              <w:right w:val="single" w:sz="4" w:space="0" w:color="000000"/>
            </w:tcBorders>
            <w:vAlign w:val="center"/>
            <w:hideMark/>
          </w:tcPr>
          <w:p w14:paraId="730F3BF8" w14:textId="15A2742A" w:rsidR="00AB6BFB" w:rsidRPr="00951AB1" w:rsidRDefault="00AB6BFB" w:rsidP="000A5389">
            <w:pPr>
              <w:spacing w:line="240" w:lineRule="auto"/>
              <w:rPr>
                <w:rFonts w:cs="Times New Roman"/>
                <w:sz w:val="18"/>
                <w:szCs w:val="18"/>
                <w:lang w:eastAsia="es-CO"/>
              </w:rPr>
            </w:pPr>
            <w:bookmarkStart w:id="906" w:name="_Toc222824230"/>
            <w:r w:rsidRPr="00951AB1">
              <w:rPr>
                <w:rFonts w:cs="Times New Roman"/>
                <w:sz w:val="18"/>
                <w:szCs w:val="18"/>
                <w:lang w:eastAsia="es-CO"/>
              </w:rPr>
              <w:t>901580796</w:t>
            </w:r>
            <w:bookmarkEnd w:id="906"/>
          </w:p>
        </w:tc>
        <w:tc>
          <w:tcPr>
            <w:tcW w:w="4978" w:type="dxa"/>
            <w:tcBorders>
              <w:top w:val="nil"/>
              <w:left w:val="nil"/>
              <w:bottom w:val="single" w:sz="4" w:space="0" w:color="000000"/>
              <w:right w:val="single" w:sz="4" w:space="0" w:color="000000"/>
            </w:tcBorders>
            <w:vAlign w:val="center"/>
            <w:hideMark/>
          </w:tcPr>
          <w:p w14:paraId="2A7C7BED" w14:textId="6C746F55" w:rsidR="00AB6BFB" w:rsidRPr="00951AB1" w:rsidRDefault="00AB6BFB" w:rsidP="000A5389">
            <w:pPr>
              <w:spacing w:line="240" w:lineRule="auto"/>
              <w:rPr>
                <w:rFonts w:cs="Times New Roman"/>
                <w:sz w:val="18"/>
                <w:szCs w:val="18"/>
                <w:lang w:eastAsia="es-CO"/>
              </w:rPr>
            </w:pPr>
            <w:bookmarkStart w:id="907" w:name="_Toc222824231"/>
            <w:r w:rsidRPr="00951AB1">
              <w:rPr>
                <w:rFonts w:cs="Times New Roman"/>
                <w:sz w:val="18"/>
                <w:szCs w:val="18"/>
                <w:lang w:eastAsia="es-CO"/>
              </w:rPr>
              <w:t>Concesionaria Ruta Bogotá Norte S.A.S</w:t>
            </w:r>
            <w:bookmarkEnd w:id="907"/>
          </w:p>
        </w:tc>
        <w:tc>
          <w:tcPr>
            <w:tcW w:w="2182" w:type="dxa"/>
            <w:tcBorders>
              <w:top w:val="nil"/>
              <w:left w:val="nil"/>
              <w:bottom w:val="single" w:sz="4" w:space="0" w:color="000000"/>
              <w:right w:val="single" w:sz="4" w:space="0" w:color="000000"/>
            </w:tcBorders>
            <w:vAlign w:val="center"/>
            <w:hideMark/>
          </w:tcPr>
          <w:p w14:paraId="04AAFD0E" w14:textId="77777777" w:rsidR="00AB6BFB" w:rsidRPr="00951AB1" w:rsidRDefault="00AB6BFB" w:rsidP="000A5389">
            <w:pPr>
              <w:spacing w:line="240" w:lineRule="auto"/>
              <w:jc w:val="right"/>
              <w:rPr>
                <w:rFonts w:cs="Times New Roman"/>
                <w:sz w:val="18"/>
                <w:szCs w:val="18"/>
                <w:lang w:eastAsia="es-CO"/>
              </w:rPr>
            </w:pPr>
            <w:bookmarkStart w:id="908" w:name="_Toc222824232"/>
            <w:r w:rsidRPr="00951AB1">
              <w:rPr>
                <w:rFonts w:cs="Times New Roman"/>
                <w:sz w:val="18"/>
                <w:szCs w:val="18"/>
                <w:lang w:eastAsia="es-CO"/>
              </w:rPr>
              <w:t>25.581.158.275</w:t>
            </w:r>
            <w:bookmarkEnd w:id="908"/>
          </w:p>
        </w:tc>
      </w:tr>
      <w:tr w:rsidR="00AB6BFB" w:rsidRPr="00951AB1" w14:paraId="13A7C708" w14:textId="77777777" w:rsidTr="008E133C">
        <w:trPr>
          <w:trHeight w:val="340"/>
        </w:trPr>
        <w:tc>
          <w:tcPr>
            <w:tcW w:w="1680" w:type="dxa"/>
            <w:tcBorders>
              <w:top w:val="nil"/>
              <w:left w:val="single" w:sz="4" w:space="0" w:color="000000"/>
              <w:bottom w:val="single" w:sz="4" w:space="0" w:color="000000"/>
              <w:right w:val="single" w:sz="4" w:space="0" w:color="000000"/>
            </w:tcBorders>
            <w:vAlign w:val="center"/>
            <w:hideMark/>
          </w:tcPr>
          <w:p w14:paraId="4D6F347E" w14:textId="2E25D85D" w:rsidR="00AB6BFB" w:rsidRPr="00951AB1" w:rsidRDefault="00AB6BFB" w:rsidP="000A5389">
            <w:pPr>
              <w:spacing w:line="240" w:lineRule="auto"/>
              <w:rPr>
                <w:rFonts w:cs="Times New Roman"/>
                <w:sz w:val="18"/>
                <w:szCs w:val="18"/>
                <w:lang w:eastAsia="es-CO"/>
              </w:rPr>
            </w:pPr>
            <w:bookmarkStart w:id="909" w:name="_Toc222824233"/>
            <w:r w:rsidRPr="00951AB1">
              <w:rPr>
                <w:rFonts w:cs="Times New Roman"/>
                <w:sz w:val="18"/>
                <w:szCs w:val="18"/>
                <w:lang w:eastAsia="es-CO"/>
              </w:rPr>
              <w:t>900740893</w:t>
            </w:r>
            <w:bookmarkEnd w:id="909"/>
          </w:p>
        </w:tc>
        <w:tc>
          <w:tcPr>
            <w:tcW w:w="4978" w:type="dxa"/>
            <w:tcBorders>
              <w:top w:val="nil"/>
              <w:left w:val="nil"/>
              <w:bottom w:val="single" w:sz="4" w:space="0" w:color="000000"/>
              <w:right w:val="single" w:sz="4" w:space="0" w:color="000000"/>
            </w:tcBorders>
            <w:vAlign w:val="center"/>
            <w:hideMark/>
          </w:tcPr>
          <w:p w14:paraId="3E3D914D" w14:textId="7204E149" w:rsidR="00AB6BFB" w:rsidRPr="00951AB1" w:rsidRDefault="00AB6BFB" w:rsidP="000A5389">
            <w:pPr>
              <w:spacing w:line="240" w:lineRule="auto"/>
              <w:rPr>
                <w:rFonts w:cs="Times New Roman"/>
                <w:sz w:val="18"/>
                <w:szCs w:val="18"/>
                <w:lang w:eastAsia="es-CO"/>
              </w:rPr>
            </w:pPr>
            <w:bookmarkStart w:id="910" w:name="_Toc222824234"/>
            <w:r w:rsidRPr="00951AB1">
              <w:rPr>
                <w:rFonts w:cs="Times New Roman"/>
                <w:sz w:val="18"/>
                <w:szCs w:val="18"/>
                <w:lang w:eastAsia="es-CO"/>
              </w:rPr>
              <w:t>Concesión la Pintada S.A.S.</w:t>
            </w:r>
            <w:bookmarkEnd w:id="910"/>
          </w:p>
        </w:tc>
        <w:tc>
          <w:tcPr>
            <w:tcW w:w="2182" w:type="dxa"/>
            <w:tcBorders>
              <w:top w:val="nil"/>
              <w:left w:val="nil"/>
              <w:bottom w:val="single" w:sz="4" w:space="0" w:color="000000"/>
              <w:right w:val="single" w:sz="4" w:space="0" w:color="000000"/>
            </w:tcBorders>
            <w:vAlign w:val="center"/>
            <w:hideMark/>
          </w:tcPr>
          <w:p w14:paraId="5AFC1468" w14:textId="77777777" w:rsidR="00AB6BFB" w:rsidRPr="00951AB1" w:rsidRDefault="00AB6BFB" w:rsidP="000A5389">
            <w:pPr>
              <w:spacing w:line="240" w:lineRule="auto"/>
              <w:jc w:val="right"/>
              <w:rPr>
                <w:rFonts w:cs="Times New Roman"/>
                <w:sz w:val="18"/>
                <w:szCs w:val="18"/>
                <w:lang w:eastAsia="es-CO"/>
              </w:rPr>
            </w:pPr>
            <w:bookmarkStart w:id="911" w:name="_Toc222824235"/>
            <w:r w:rsidRPr="00951AB1">
              <w:rPr>
                <w:rFonts w:cs="Times New Roman"/>
                <w:sz w:val="18"/>
                <w:szCs w:val="18"/>
                <w:lang w:eastAsia="es-CO"/>
              </w:rPr>
              <w:t>20.409.215.251</w:t>
            </w:r>
            <w:bookmarkEnd w:id="911"/>
          </w:p>
        </w:tc>
      </w:tr>
      <w:tr w:rsidR="00AB6BFB" w:rsidRPr="00951AB1" w14:paraId="059CD115" w14:textId="77777777" w:rsidTr="008E133C">
        <w:trPr>
          <w:trHeight w:val="340"/>
        </w:trPr>
        <w:tc>
          <w:tcPr>
            <w:tcW w:w="1680" w:type="dxa"/>
            <w:tcBorders>
              <w:top w:val="nil"/>
              <w:left w:val="single" w:sz="4" w:space="0" w:color="000000"/>
              <w:bottom w:val="single" w:sz="4" w:space="0" w:color="000000"/>
              <w:right w:val="single" w:sz="4" w:space="0" w:color="000000"/>
            </w:tcBorders>
            <w:vAlign w:val="center"/>
            <w:hideMark/>
          </w:tcPr>
          <w:p w14:paraId="268B2AF1" w14:textId="77BB9A9B" w:rsidR="00AB6BFB" w:rsidRPr="00951AB1" w:rsidRDefault="00AB6BFB" w:rsidP="000A5389">
            <w:pPr>
              <w:spacing w:line="240" w:lineRule="auto"/>
              <w:rPr>
                <w:rFonts w:cs="Times New Roman"/>
                <w:sz w:val="18"/>
                <w:szCs w:val="18"/>
                <w:lang w:eastAsia="es-CO"/>
              </w:rPr>
            </w:pPr>
            <w:bookmarkStart w:id="912" w:name="_Toc222824236"/>
            <w:r w:rsidRPr="00951AB1">
              <w:rPr>
                <w:rFonts w:cs="Times New Roman"/>
                <w:sz w:val="18"/>
                <w:szCs w:val="18"/>
                <w:lang w:eastAsia="es-CO"/>
              </w:rPr>
              <w:t>901489697</w:t>
            </w:r>
            <w:bookmarkEnd w:id="912"/>
          </w:p>
        </w:tc>
        <w:tc>
          <w:tcPr>
            <w:tcW w:w="4978" w:type="dxa"/>
            <w:tcBorders>
              <w:top w:val="nil"/>
              <w:left w:val="nil"/>
              <w:bottom w:val="single" w:sz="4" w:space="0" w:color="000000"/>
              <w:right w:val="single" w:sz="4" w:space="0" w:color="000000"/>
            </w:tcBorders>
            <w:vAlign w:val="center"/>
            <w:hideMark/>
          </w:tcPr>
          <w:p w14:paraId="43FB1965" w14:textId="7D4FFC43" w:rsidR="00AB6BFB" w:rsidRPr="00951AB1" w:rsidRDefault="00AB6BFB" w:rsidP="000A5389">
            <w:pPr>
              <w:spacing w:line="240" w:lineRule="auto"/>
              <w:rPr>
                <w:rFonts w:cs="Times New Roman"/>
                <w:sz w:val="18"/>
                <w:szCs w:val="18"/>
                <w:lang w:eastAsia="es-CO"/>
              </w:rPr>
            </w:pPr>
            <w:bookmarkStart w:id="913" w:name="_Toc222824237"/>
            <w:r w:rsidRPr="00951AB1">
              <w:rPr>
                <w:rFonts w:cs="Times New Roman"/>
                <w:sz w:val="18"/>
                <w:szCs w:val="18"/>
                <w:lang w:eastAsia="es-CO"/>
              </w:rPr>
              <w:t>Concesionaria Rutas del Valle S.A.S.</w:t>
            </w:r>
            <w:bookmarkEnd w:id="913"/>
            <w:r w:rsidRPr="00951AB1">
              <w:rPr>
                <w:rFonts w:cs="Times New Roman"/>
                <w:sz w:val="18"/>
                <w:szCs w:val="18"/>
                <w:lang w:eastAsia="es-CO"/>
              </w:rPr>
              <w:t xml:space="preserve"> </w:t>
            </w:r>
          </w:p>
        </w:tc>
        <w:tc>
          <w:tcPr>
            <w:tcW w:w="2182" w:type="dxa"/>
            <w:tcBorders>
              <w:top w:val="nil"/>
              <w:left w:val="nil"/>
              <w:bottom w:val="single" w:sz="4" w:space="0" w:color="000000"/>
              <w:right w:val="single" w:sz="4" w:space="0" w:color="000000"/>
            </w:tcBorders>
            <w:vAlign w:val="center"/>
            <w:hideMark/>
          </w:tcPr>
          <w:p w14:paraId="130A1A3A" w14:textId="77777777" w:rsidR="00AB6BFB" w:rsidRPr="00951AB1" w:rsidRDefault="00AB6BFB" w:rsidP="000A5389">
            <w:pPr>
              <w:spacing w:line="240" w:lineRule="auto"/>
              <w:jc w:val="right"/>
              <w:rPr>
                <w:rFonts w:cs="Times New Roman"/>
                <w:sz w:val="18"/>
                <w:szCs w:val="18"/>
                <w:lang w:eastAsia="es-CO"/>
              </w:rPr>
            </w:pPr>
            <w:bookmarkStart w:id="914" w:name="_Toc222824238"/>
            <w:r w:rsidRPr="00951AB1">
              <w:rPr>
                <w:rFonts w:cs="Times New Roman"/>
                <w:sz w:val="18"/>
                <w:szCs w:val="18"/>
                <w:lang w:eastAsia="es-CO"/>
              </w:rPr>
              <w:t>12.687.630.200</w:t>
            </w:r>
            <w:bookmarkEnd w:id="914"/>
          </w:p>
        </w:tc>
      </w:tr>
      <w:tr w:rsidR="00AB6BFB" w:rsidRPr="00951AB1" w14:paraId="2354610F" w14:textId="77777777" w:rsidTr="008E133C">
        <w:trPr>
          <w:trHeight w:val="340"/>
        </w:trPr>
        <w:tc>
          <w:tcPr>
            <w:tcW w:w="1680" w:type="dxa"/>
            <w:tcBorders>
              <w:top w:val="nil"/>
              <w:left w:val="single" w:sz="4" w:space="0" w:color="000000"/>
              <w:bottom w:val="single" w:sz="4" w:space="0" w:color="000000"/>
              <w:right w:val="single" w:sz="4" w:space="0" w:color="000000"/>
            </w:tcBorders>
            <w:vAlign w:val="center"/>
            <w:hideMark/>
          </w:tcPr>
          <w:p w14:paraId="6C0DB3F8" w14:textId="57D8E084" w:rsidR="00AB6BFB" w:rsidRPr="00951AB1" w:rsidRDefault="00AB6BFB" w:rsidP="000A5389">
            <w:pPr>
              <w:spacing w:line="240" w:lineRule="auto"/>
              <w:rPr>
                <w:rFonts w:cs="Times New Roman"/>
                <w:sz w:val="18"/>
                <w:szCs w:val="18"/>
                <w:lang w:eastAsia="es-CO"/>
              </w:rPr>
            </w:pPr>
            <w:bookmarkStart w:id="915" w:name="_Toc222824239"/>
            <w:r w:rsidRPr="00951AB1">
              <w:rPr>
                <w:rFonts w:cs="Times New Roman"/>
                <w:sz w:val="18"/>
                <w:szCs w:val="18"/>
                <w:lang w:eastAsia="es-CO"/>
              </w:rPr>
              <w:t>901082545</w:t>
            </w:r>
            <w:bookmarkEnd w:id="915"/>
          </w:p>
        </w:tc>
        <w:tc>
          <w:tcPr>
            <w:tcW w:w="4978" w:type="dxa"/>
            <w:tcBorders>
              <w:top w:val="nil"/>
              <w:left w:val="nil"/>
              <w:bottom w:val="single" w:sz="4" w:space="0" w:color="000000"/>
              <w:right w:val="single" w:sz="4" w:space="0" w:color="000000"/>
            </w:tcBorders>
            <w:vAlign w:val="center"/>
            <w:hideMark/>
          </w:tcPr>
          <w:p w14:paraId="64BE2AC6" w14:textId="70588227" w:rsidR="00AB6BFB" w:rsidRPr="00951AB1" w:rsidRDefault="00AB6BFB" w:rsidP="000A5389">
            <w:pPr>
              <w:spacing w:line="240" w:lineRule="auto"/>
              <w:rPr>
                <w:rFonts w:cs="Times New Roman"/>
                <w:sz w:val="18"/>
                <w:szCs w:val="18"/>
                <w:lang w:eastAsia="es-CO"/>
              </w:rPr>
            </w:pPr>
            <w:bookmarkStart w:id="916" w:name="_Toc222824240"/>
            <w:r w:rsidRPr="00951AB1">
              <w:rPr>
                <w:rFonts w:cs="Times New Roman"/>
                <w:sz w:val="18"/>
                <w:szCs w:val="18"/>
                <w:lang w:eastAsia="es-CO"/>
              </w:rPr>
              <w:t>Union Vial Rio Pamplonita S.A.S</w:t>
            </w:r>
            <w:bookmarkEnd w:id="916"/>
          </w:p>
        </w:tc>
        <w:tc>
          <w:tcPr>
            <w:tcW w:w="2182" w:type="dxa"/>
            <w:tcBorders>
              <w:top w:val="nil"/>
              <w:left w:val="nil"/>
              <w:bottom w:val="single" w:sz="4" w:space="0" w:color="000000"/>
              <w:right w:val="single" w:sz="4" w:space="0" w:color="000000"/>
            </w:tcBorders>
            <w:vAlign w:val="center"/>
            <w:hideMark/>
          </w:tcPr>
          <w:p w14:paraId="6E7BED88" w14:textId="77777777" w:rsidR="00AB6BFB" w:rsidRPr="00951AB1" w:rsidRDefault="00AB6BFB" w:rsidP="000A5389">
            <w:pPr>
              <w:spacing w:line="240" w:lineRule="auto"/>
              <w:jc w:val="right"/>
              <w:rPr>
                <w:rFonts w:cs="Times New Roman"/>
                <w:sz w:val="18"/>
                <w:szCs w:val="18"/>
                <w:lang w:eastAsia="es-CO"/>
              </w:rPr>
            </w:pPr>
            <w:bookmarkStart w:id="917" w:name="_Toc222824241"/>
            <w:r w:rsidRPr="00951AB1">
              <w:rPr>
                <w:rFonts w:cs="Times New Roman"/>
                <w:sz w:val="18"/>
                <w:szCs w:val="18"/>
                <w:lang w:eastAsia="es-CO"/>
              </w:rPr>
              <w:t>12.430.432.620</w:t>
            </w:r>
            <w:bookmarkEnd w:id="917"/>
          </w:p>
        </w:tc>
      </w:tr>
      <w:tr w:rsidR="00AB6BFB" w:rsidRPr="00951AB1" w14:paraId="6980AB60" w14:textId="77777777" w:rsidTr="008E133C">
        <w:trPr>
          <w:trHeight w:val="340"/>
        </w:trPr>
        <w:tc>
          <w:tcPr>
            <w:tcW w:w="1680" w:type="dxa"/>
            <w:tcBorders>
              <w:top w:val="nil"/>
              <w:left w:val="single" w:sz="4" w:space="0" w:color="000000"/>
              <w:bottom w:val="single" w:sz="4" w:space="0" w:color="000000"/>
              <w:right w:val="single" w:sz="4" w:space="0" w:color="000000"/>
            </w:tcBorders>
            <w:vAlign w:val="center"/>
            <w:hideMark/>
          </w:tcPr>
          <w:p w14:paraId="771C5097" w14:textId="0C3C70B0" w:rsidR="00AB6BFB" w:rsidRPr="00951AB1" w:rsidRDefault="00AB6BFB" w:rsidP="000A5389">
            <w:pPr>
              <w:spacing w:line="240" w:lineRule="auto"/>
              <w:rPr>
                <w:rFonts w:cs="Times New Roman"/>
                <w:sz w:val="18"/>
                <w:szCs w:val="18"/>
                <w:lang w:eastAsia="es-CO"/>
              </w:rPr>
            </w:pPr>
            <w:bookmarkStart w:id="918" w:name="_Toc222824242"/>
            <w:r w:rsidRPr="00951AB1">
              <w:rPr>
                <w:rFonts w:cs="Times New Roman"/>
                <w:sz w:val="18"/>
                <w:szCs w:val="18"/>
                <w:lang w:eastAsia="es-CO"/>
              </w:rPr>
              <w:t>900858096</w:t>
            </w:r>
            <w:bookmarkEnd w:id="918"/>
          </w:p>
        </w:tc>
        <w:tc>
          <w:tcPr>
            <w:tcW w:w="4978" w:type="dxa"/>
            <w:tcBorders>
              <w:top w:val="nil"/>
              <w:left w:val="nil"/>
              <w:bottom w:val="single" w:sz="4" w:space="0" w:color="000000"/>
              <w:right w:val="single" w:sz="4" w:space="0" w:color="000000"/>
            </w:tcBorders>
            <w:vAlign w:val="center"/>
            <w:hideMark/>
          </w:tcPr>
          <w:p w14:paraId="144CB063" w14:textId="45CDA126" w:rsidR="00AB6BFB" w:rsidRPr="00951AB1" w:rsidRDefault="00AB6BFB" w:rsidP="000A5389">
            <w:pPr>
              <w:spacing w:line="240" w:lineRule="auto"/>
              <w:rPr>
                <w:rFonts w:cs="Times New Roman"/>
                <w:sz w:val="18"/>
                <w:szCs w:val="18"/>
                <w:lang w:eastAsia="es-CO"/>
              </w:rPr>
            </w:pPr>
            <w:bookmarkStart w:id="919" w:name="_Toc222824243"/>
            <w:r w:rsidRPr="00951AB1">
              <w:rPr>
                <w:rFonts w:cs="Times New Roman"/>
                <w:sz w:val="18"/>
                <w:szCs w:val="18"/>
                <w:lang w:eastAsia="es-CO"/>
              </w:rPr>
              <w:t>Sociedad Concesionaria Vial Montes de María S.A.S</w:t>
            </w:r>
            <w:bookmarkEnd w:id="919"/>
          </w:p>
        </w:tc>
        <w:tc>
          <w:tcPr>
            <w:tcW w:w="2182" w:type="dxa"/>
            <w:tcBorders>
              <w:top w:val="nil"/>
              <w:left w:val="nil"/>
              <w:bottom w:val="single" w:sz="4" w:space="0" w:color="000000"/>
              <w:right w:val="single" w:sz="4" w:space="0" w:color="000000"/>
            </w:tcBorders>
            <w:vAlign w:val="center"/>
            <w:hideMark/>
          </w:tcPr>
          <w:p w14:paraId="5D177F6F" w14:textId="77777777" w:rsidR="00AB6BFB" w:rsidRPr="00951AB1" w:rsidRDefault="00AB6BFB" w:rsidP="000A5389">
            <w:pPr>
              <w:spacing w:line="240" w:lineRule="auto"/>
              <w:jc w:val="right"/>
              <w:rPr>
                <w:rFonts w:cs="Times New Roman"/>
                <w:sz w:val="18"/>
                <w:szCs w:val="18"/>
                <w:lang w:eastAsia="es-CO"/>
              </w:rPr>
            </w:pPr>
            <w:bookmarkStart w:id="920" w:name="_Toc222824244"/>
            <w:r w:rsidRPr="00951AB1">
              <w:rPr>
                <w:rFonts w:cs="Times New Roman"/>
                <w:sz w:val="18"/>
                <w:szCs w:val="18"/>
                <w:lang w:eastAsia="es-CO"/>
              </w:rPr>
              <w:t>11.326.599.335</w:t>
            </w:r>
            <w:bookmarkEnd w:id="920"/>
          </w:p>
        </w:tc>
      </w:tr>
      <w:tr w:rsidR="00AB6BFB" w:rsidRPr="00951AB1" w14:paraId="25094723" w14:textId="77777777" w:rsidTr="008E133C">
        <w:trPr>
          <w:trHeight w:val="340"/>
        </w:trPr>
        <w:tc>
          <w:tcPr>
            <w:tcW w:w="1680" w:type="dxa"/>
            <w:tcBorders>
              <w:top w:val="nil"/>
              <w:left w:val="single" w:sz="4" w:space="0" w:color="000000"/>
              <w:bottom w:val="single" w:sz="4" w:space="0" w:color="000000"/>
              <w:right w:val="single" w:sz="4" w:space="0" w:color="000000"/>
            </w:tcBorders>
            <w:vAlign w:val="center"/>
            <w:hideMark/>
          </w:tcPr>
          <w:p w14:paraId="083B6ADA" w14:textId="51802D8F" w:rsidR="00AB6BFB" w:rsidRPr="00951AB1" w:rsidRDefault="00AB6BFB" w:rsidP="000A5389">
            <w:pPr>
              <w:spacing w:line="240" w:lineRule="auto"/>
              <w:rPr>
                <w:rFonts w:cs="Times New Roman"/>
                <w:sz w:val="18"/>
                <w:szCs w:val="18"/>
                <w:lang w:eastAsia="es-CO"/>
              </w:rPr>
            </w:pPr>
            <w:bookmarkStart w:id="921" w:name="_Toc222824245"/>
            <w:r w:rsidRPr="00951AB1">
              <w:rPr>
                <w:rFonts w:cs="Times New Roman"/>
                <w:sz w:val="18"/>
                <w:szCs w:val="18"/>
                <w:lang w:eastAsia="es-CO"/>
              </w:rPr>
              <w:lastRenderedPageBreak/>
              <w:t>901607093</w:t>
            </w:r>
            <w:bookmarkEnd w:id="921"/>
          </w:p>
        </w:tc>
        <w:tc>
          <w:tcPr>
            <w:tcW w:w="4978" w:type="dxa"/>
            <w:tcBorders>
              <w:top w:val="nil"/>
              <w:left w:val="nil"/>
              <w:bottom w:val="single" w:sz="4" w:space="0" w:color="000000"/>
              <w:right w:val="single" w:sz="4" w:space="0" w:color="000000"/>
            </w:tcBorders>
            <w:vAlign w:val="center"/>
            <w:hideMark/>
          </w:tcPr>
          <w:p w14:paraId="6A7EF307" w14:textId="546A397A" w:rsidR="00AB6BFB" w:rsidRPr="00951AB1" w:rsidRDefault="00AB6BFB" w:rsidP="000A5389">
            <w:pPr>
              <w:spacing w:line="240" w:lineRule="auto"/>
              <w:rPr>
                <w:rFonts w:cs="Times New Roman"/>
                <w:sz w:val="18"/>
                <w:szCs w:val="18"/>
                <w:lang w:eastAsia="es-CO"/>
              </w:rPr>
            </w:pPr>
            <w:bookmarkStart w:id="922" w:name="_Toc222824246"/>
            <w:r w:rsidRPr="00951AB1">
              <w:rPr>
                <w:rFonts w:cs="Times New Roman"/>
                <w:sz w:val="18"/>
                <w:szCs w:val="18"/>
                <w:lang w:eastAsia="es-CO"/>
              </w:rPr>
              <w:t>Autopista del Rio Grande S.A.S</w:t>
            </w:r>
            <w:bookmarkEnd w:id="922"/>
          </w:p>
        </w:tc>
        <w:tc>
          <w:tcPr>
            <w:tcW w:w="2182" w:type="dxa"/>
            <w:tcBorders>
              <w:top w:val="nil"/>
              <w:left w:val="nil"/>
              <w:bottom w:val="single" w:sz="4" w:space="0" w:color="000000"/>
              <w:right w:val="single" w:sz="4" w:space="0" w:color="000000"/>
            </w:tcBorders>
            <w:vAlign w:val="center"/>
            <w:hideMark/>
          </w:tcPr>
          <w:p w14:paraId="233E3879" w14:textId="77777777" w:rsidR="00AB6BFB" w:rsidRPr="00951AB1" w:rsidRDefault="00AB6BFB" w:rsidP="000A5389">
            <w:pPr>
              <w:spacing w:line="240" w:lineRule="auto"/>
              <w:jc w:val="right"/>
              <w:rPr>
                <w:rFonts w:cs="Times New Roman"/>
                <w:sz w:val="18"/>
                <w:szCs w:val="18"/>
                <w:lang w:eastAsia="es-CO"/>
              </w:rPr>
            </w:pPr>
            <w:bookmarkStart w:id="923" w:name="_Toc222824247"/>
            <w:r w:rsidRPr="00951AB1">
              <w:rPr>
                <w:rFonts w:cs="Times New Roman"/>
                <w:sz w:val="18"/>
                <w:szCs w:val="18"/>
                <w:lang w:eastAsia="es-CO"/>
              </w:rPr>
              <w:t>9.584.577.400</w:t>
            </w:r>
            <w:bookmarkEnd w:id="923"/>
          </w:p>
        </w:tc>
      </w:tr>
      <w:tr w:rsidR="00AB6BFB" w:rsidRPr="00951AB1" w14:paraId="3CFA9EE3" w14:textId="77777777" w:rsidTr="008E133C">
        <w:trPr>
          <w:trHeight w:val="340"/>
        </w:trPr>
        <w:tc>
          <w:tcPr>
            <w:tcW w:w="1680" w:type="dxa"/>
            <w:tcBorders>
              <w:top w:val="nil"/>
              <w:left w:val="single" w:sz="4" w:space="0" w:color="000000"/>
              <w:bottom w:val="single" w:sz="4" w:space="0" w:color="000000"/>
              <w:right w:val="single" w:sz="4" w:space="0" w:color="000000"/>
            </w:tcBorders>
            <w:vAlign w:val="center"/>
            <w:hideMark/>
          </w:tcPr>
          <w:p w14:paraId="6FFAC0A2" w14:textId="7E6C8536" w:rsidR="00AB6BFB" w:rsidRPr="00951AB1" w:rsidRDefault="00AB6BFB" w:rsidP="000A5389">
            <w:pPr>
              <w:spacing w:line="240" w:lineRule="auto"/>
              <w:rPr>
                <w:rFonts w:cs="Times New Roman"/>
                <w:sz w:val="18"/>
                <w:szCs w:val="18"/>
                <w:lang w:eastAsia="es-CO"/>
              </w:rPr>
            </w:pPr>
            <w:bookmarkStart w:id="924" w:name="_Toc222824248"/>
            <w:r w:rsidRPr="00951AB1">
              <w:rPr>
                <w:rFonts w:cs="Times New Roman"/>
                <w:sz w:val="18"/>
                <w:szCs w:val="18"/>
                <w:lang w:eastAsia="es-CO"/>
              </w:rPr>
              <w:t>900788548</w:t>
            </w:r>
            <w:bookmarkEnd w:id="924"/>
          </w:p>
        </w:tc>
        <w:tc>
          <w:tcPr>
            <w:tcW w:w="4978" w:type="dxa"/>
            <w:tcBorders>
              <w:top w:val="nil"/>
              <w:left w:val="nil"/>
              <w:bottom w:val="single" w:sz="4" w:space="0" w:color="000000"/>
              <w:right w:val="single" w:sz="4" w:space="0" w:color="000000"/>
            </w:tcBorders>
            <w:vAlign w:val="center"/>
            <w:hideMark/>
          </w:tcPr>
          <w:p w14:paraId="01BD0C87" w14:textId="6DF998DE" w:rsidR="00AB6BFB" w:rsidRPr="00951AB1" w:rsidRDefault="00AB6BFB" w:rsidP="000A5389">
            <w:pPr>
              <w:spacing w:line="240" w:lineRule="auto"/>
              <w:rPr>
                <w:rFonts w:cs="Times New Roman"/>
                <w:sz w:val="18"/>
                <w:szCs w:val="18"/>
                <w:lang w:eastAsia="es-CO"/>
              </w:rPr>
            </w:pPr>
            <w:bookmarkStart w:id="925" w:name="_Toc222824249"/>
            <w:r w:rsidRPr="00951AB1">
              <w:rPr>
                <w:rFonts w:cs="Times New Roman"/>
                <w:sz w:val="18"/>
                <w:szCs w:val="18"/>
                <w:lang w:eastAsia="es-CO"/>
              </w:rPr>
              <w:t>Autopista Rio Magdalena S A S</w:t>
            </w:r>
            <w:bookmarkEnd w:id="925"/>
          </w:p>
        </w:tc>
        <w:tc>
          <w:tcPr>
            <w:tcW w:w="2182" w:type="dxa"/>
            <w:tcBorders>
              <w:top w:val="nil"/>
              <w:left w:val="nil"/>
              <w:bottom w:val="single" w:sz="4" w:space="0" w:color="000000"/>
              <w:right w:val="single" w:sz="4" w:space="0" w:color="000000"/>
            </w:tcBorders>
            <w:vAlign w:val="center"/>
            <w:hideMark/>
          </w:tcPr>
          <w:p w14:paraId="4C964C51" w14:textId="77777777" w:rsidR="00AB6BFB" w:rsidRPr="00951AB1" w:rsidRDefault="00AB6BFB" w:rsidP="000A5389">
            <w:pPr>
              <w:spacing w:line="240" w:lineRule="auto"/>
              <w:jc w:val="right"/>
              <w:rPr>
                <w:rFonts w:cs="Times New Roman"/>
                <w:sz w:val="18"/>
                <w:szCs w:val="18"/>
                <w:lang w:eastAsia="es-CO"/>
              </w:rPr>
            </w:pPr>
            <w:bookmarkStart w:id="926" w:name="_Toc222824250"/>
            <w:r w:rsidRPr="00951AB1">
              <w:rPr>
                <w:rFonts w:cs="Times New Roman"/>
                <w:sz w:val="18"/>
                <w:szCs w:val="18"/>
                <w:lang w:eastAsia="es-CO"/>
              </w:rPr>
              <w:t>9.265.349.500</w:t>
            </w:r>
            <w:bookmarkEnd w:id="926"/>
          </w:p>
        </w:tc>
      </w:tr>
      <w:tr w:rsidR="00AB6BFB" w:rsidRPr="00951AB1" w14:paraId="4CBBF202" w14:textId="77777777" w:rsidTr="008E133C">
        <w:trPr>
          <w:trHeight w:val="340"/>
        </w:trPr>
        <w:tc>
          <w:tcPr>
            <w:tcW w:w="1680" w:type="dxa"/>
            <w:tcBorders>
              <w:top w:val="nil"/>
              <w:left w:val="single" w:sz="4" w:space="0" w:color="000000"/>
              <w:bottom w:val="single" w:sz="4" w:space="0" w:color="000000"/>
              <w:right w:val="single" w:sz="4" w:space="0" w:color="000000"/>
            </w:tcBorders>
            <w:vAlign w:val="center"/>
            <w:hideMark/>
          </w:tcPr>
          <w:p w14:paraId="75AE44AD" w14:textId="75DD400F" w:rsidR="00AB6BFB" w:rsidRPr="00951AB1" w:rsidRDefault="00AB6BFB" w:rsidP="000A5389">
            <w:pPr>
              <w:spacing w:line="240" w:lineRule="auto"/>
              <w:rPr>
                <w:rFonts w:cs="Times New Roman"/>
                <w:sz w:val="18"/>
                <w:szCs w:val="18"/>
                <w:lang w:eastAsia="es-CO"/>
              </w:rPr>
            </w:pPr>
            <w:bookmarkStart w:id="927" w:name="_Toc222824251"/>
            <w:r w:rsidRPr="00951AB1">
              <w:rPr>
                <w:rFonts w:cs="Times New Roman"/>
                <w:sz w:val="18"/>
                <w:szCs w:val="18"/>
                <w:lang w:eastAsia="es-CO"/>
              </w:rPr>
              <w:t>901371481</w:t>
            </w:r>
            <w:bookmarkEnd w:id="927"/>
          </w:p>
        </w:tc>
        <w:tc>
          <w:tcPr>
            <w:tcW w:w="4978" w:type="dxa"/>
            <w:tcBorders>
              <w:top w:val="nil"/>
              <w:left w:val="nil"/>
              <w:bottom w:val="single" w:sz="4" w:space="0" w:color="000000"/>
              <w:right w:val="single" w:sz="4" w:space="0" w:color="000000"/>
            </w:tcBorders>
            <w:vAlign w:val="center"/>
            <w:hideMark/>
          </w:tcPr>
          <w:p w14:paraId="398D955D" w14:textId="50823F34" w:rsidR="00AB6BFB" w:rsidRPr="00951AB1" w:rsidRDefault="00AB6BFB" w:rsidP="000A5389">
            <w:pPr>
              <w:spacing w:line="240" w:lineRule="auto"/>
              <w:rPr>
                <w:rFonts w:cs="Times New Roman"/>
                <w:sz w:val="18"/>
                <w:szCs w:val="18"/>
                <w:lang w:eastAsia="es-CO"/>
              </w:rPr>
            </w:pPr>
            <w:bookmarkStart w:id="928" w:name="_Toc222824252"/>
            <w:r w:rsidRPr="00951AB1">
              <w:rPr>
                <w:rFonts w:cs="Times New Roman"/>
                <w:sz w:val="18"/>
                <w:szCs w:val="18"/>
                <w:lang w:eastAsia="es-CO"/>
              </w:rPr>
              <w:t>BTS Concesionario S.A.S.</w:t>
            </w:r>
            <w:bookmarkEnd w:id="928"/>
          </w:p>
        </w:tc>
        <w:tc>
          <w:tcPr>
            <w:tcW w:w="2182" w:type="dxa"/>
            <w:tcBorders>
              <w:top w:val="nil"/>
              <w:left w:val="nil"/>
              <w:bottom w:val="single" w:sz="4" w:space="0" w:color="000000"/>
              <w:right w:val="single" w:sz="4" w:space="0" w:color="000000"/>
            </w:tcBorders>
            <w:vAlign w:val="center"/>
            <w:hideMark/>
          </w:tcPr>
          <w:p w14:paraId="07A7D5A6" w14:textId="77777777" w:rsidR="00AB6BFB" w:rsidRPr="00951AB1" w:rsidRDefault="00AB6BFB" w:rsidP="000A5389">
            <w:pPr>
              <w:spacing w:line="240" w:lineRule="auto"/>
              <w:jc w:val="right"/>
              <w:rPr>
                <w:rFonts w:cs="Times New Roman"/>
                <w:sz w:val="18"/>
                <w:szCs w:val="18"/>
                <w:lang w:eastAsia="es-CO"/>
              </w:rPr>
            </w:pPr>
            <w:bookmarkStart w:id="929" w:name="_Toc222824253"/>
            <w:r w:rsidRPr="00951AB1">
              <w:rPr>
                <w:rFonts w:cs="Times New Roman"/>
                <w:sz w:val="18"/>
                <w:szCs w:val="18"/>
                <w:lang w:eastAsia="es-CO"/>
              </w:rPr>
              <w:t>8.980.641.200</w:t>
            </w:r>
            <w:bookmarkEnd w:id="929"/>
          </w:p>
        </w:tc>
      </w:tr>
      <w:tr w:rsidR="00AB6BFB" w:rsidRPr="00951AB1" w14:paraId="2D047D67" w14:textId="77777777" w:rsidTr="008E133C">
        <w:trPr>
          <w:trHeight w:val="340"/>
        </w:trPr>
        <w:tc>
          <w:tcPr>
            <w:tcW w:w="1680" w:type="dxa"/>
            <w:tcBorders>
              <w:top w:val="nil"/>
              <w:left w:val="single" w:sz="4" w:space="0" w:color="000000"/>
              <w:bottom w:val="single" w:sz="4" w:space="0" w:color="000000"/>
              <w:right w:val="single" w:sz="4" w:space="0" w:color="000000"/>
            </w:tcBorders>
            <w:vAlign w:val="center"/>
            <w:hideMark/>
          </w:tcPr>
          <w:p w14:paraId="6140131D" w14:textId="06302BEF" w:rsidR="00AB6BFB" w:rsidRPr="00951AB1" w:rsidRDefault="00AB6BFB" w:rsidP="000A5389">
            <w:pPr>
              <w:spacing w:line="240" w:lineRule="auto"/>
              <w:rPr>
                <w:rFonts w:cs="Times New Roman"/>
                <w:sz w:val="18"/>
                <w:szCs w:val="18"/>
                <w:lang w:eastAsia="es-CO"/>
              </w:rPr>
            </w:pPr>
            <w:bookmarkStart w:id="930" w:name="_Toc222824254"/>
            <w:r w:rsidRPr="00951AB1">
              <w:rPr>
                <w:rFonts w:cs="Times New Roman"/>
                <w:sz w:val="18"/>
                <w:szCs w:val="18"/>
                <w:lang w:eastAsia="es-CO"/>
              </w:rPr>
              <w:t>800235278</w:t>
            </w:r>
            <w:bookmarkEnd w:id="930"/>
          </w:p>
        </w:tc>
        <w:tc>
          <w:tcPr>
            <w:tcW w:w="4978" w:type="dxa"/>
            <w:tcBorders>
              <w:top w:val="nil"/>
              <w:left w:val="nil"/>
              <w:bottom w:val="single" w:sz="4" w:space="0" w:color="000000"/>
              <w:right w:val="single" w:sz="4" w:space="0" w:color="000000"/>
            </w:tcBorders>
            <w:vAlign w:val="center"/>
            <w:hideMark/>
          </w:tcPr>
          <w:p w14:paraId="722A17F3" w14:textId="603FF431" w:rsidR="00AB6BFB" w:rsidRPr="00951AB1" w:rsidRDefault="00AB6BFB" w:rsidP="000A5389">
            <w:pPr>
              <w:spacing w:line="240" w:lineRule="auto"/>
              <w:rPr>
                <w:rFonts w:cs="Times New Roman"/>
                <w:sz w:val="18"/>
                <w:szCs w:val="18"/>
                <w:lang w:eastAsia="es-CO"/>
              </w:rPr>
            </w:pPr>
            <w:bookmarkStart w:id="931" w:name="_Toc222824255"/>
            <w:r w:rsidRPr="00951AB1">
              <w:rPr>
                <w:rFonts w:cs="Times New Roman"/>
                <w:sz w:val="18"/>
                <w:szCs w:val="18"/>
                <w:lang w:eastAsia="es-CO"/>
              </w:rPr>
              <w:t>Concesión Santa Marta Paraguachon S.A.</w:t>
            </w:r>
            <w:bookmarkEnd w:id="931"/>
          </w:p>
        </w:tc>
        <w:tc>
          <w:tcPr>
            <w:tcW w:w="2182" w:type="dxa"/>
            <w:tcBorders>
              <w:top w:val="nil"/>
              <w:left w:val="nil"/>
              <w:bottom w:val="single" w:sz="4" w:space="0" w:color="000000"/>
              <w:right w:val="single" w:sz="4" w:space="0" w:color="000000"/>
            </w:tcBorders>
            <w:vAlign w:val="center"/>
            <w:hideMark/>
          </w:tcPr>
          <w:p w14:paraId="53E5AC01" w14:textId="77777777" w:rsidR="00AB6BFB" w:rsidRPr="00951AB1" w:rsidRDefault="00AB6BFB" w:rsidP="000A5389">
            <w:pPr>
              <w:spacing w:line="240" w:lineRule="auto"/>
              <w:jc w:val="right"/>
              <w:rPr>
                <w:rFonts w:cs="Times New Roman"/>
                <w:sz w:val="18"/>
                <w:szCs w:val="18"/>
                <w:lang w:eastAsia="es-CO"/>
              </w:rPr>
            </w:pPr>
            <w:bookmarkStart w:id="932" w:name="_Toc222824256"/>
            <w:r w:rsidRPr="00951AB1">
              <w:rPr>
                <w:rFonts w:cs="Times New Roman"/>
                <w:sz w:val="18"/>
                <w:szCs w:val="18"/>
                <w:lang w:eastAsia="es-CO"/>
              </w:rPr>
              <w:t>8.834.681.365</w:t>
            </w:r>
            <w:bookmarkEnd w:id="932"/>
          </w:p>
        </w:tc>
      </w:tr>
      <w:tr w:rsidR="00AB6BFB" w:rsidRPr="00951AB1" w14:paraId="1984170F" w14:textId="77777777" w:rsidTr="008E133C">
        <w:trPr>
          <w:trHeight w:val="340"/>
        </w:trPr>
        <w:tc>
          <w:tcPr>
            <w:tcW w:w="1680" w:type="dxa"/>
            <w:tcBorders>
              <w:top w:val="nil"/>
              <w:left w:val="single" w:sz="4" w:space="0" w:color="000000"/>
              <w:bottom w:val="single" w:sz="4" w:space="0" w:color="000000"/>
              <w:right w:val="single" w:sz="4" w:space="0" w:color="000000"/>
            </w:tcBorders>
            <w:vAlign w:val="center"/>
            <w:hideMark/>
          </w:tcPr>
          <w:p w14:paraId="204BA67F" w14:textId="5B17522B" w:rsidR="00AB6BFB" w:rsidRPr="00951AB1" w:rsidRDefault="00AB6BFB" w:rsidP="000A5389">
            <w:pPr>
              <w:spacing w:line="240" w:lineRule="auto"/>
              <w:rPr>
                <w:rFonts w:cs="Times New Roman"/>
                <w:sz w:val="18"/>
                <w:szCs w:val="18"/>
                <w:lang w:eastAsia="es-CO"/>
              </w:rPr>
            </w:pPr>
            <w:bookmarkStart w:id="933" w:name="_Toc222824257"/>
            <w:r w:rsidRPr="00951AB1">
              <w:rPr>
                <w:rFonts w:cs="Times New Roman"/>
                <w:sz w:val="18"/>
                <w:szCs w:val="18"/>
                <w:lang w:eastAsia="es-CO"/>
              </w:rPr>
              <w:t>901161505</w:t>
            </w:r>
            <w:bookmarkEnd w:id="933"/>
          </w:p>
        </w:tc>
        <w:tc>
          <w:tcPr>
            <w:tcW w:w="4978" w:type="dxa"/>
            <w:tcBorders>
              <w:top w:val="nil"/>
              <w:left w:val="nil"/>
              <w:bottom w:val="single" w:sz="4" w:space="0" w:color="000000"/>
              <w:right w:val="single" w:sz="4" w:space="0" w:color="000000"/>
            </w:tcBorders>
            <w:vAlign w:val="center"/>
            <w:hideMark/>
          </w:tcPr>
          <w:p w14:paraId="113F13F5" w14:textId="498B5EAD" w:rsidR="00AB6BFB" w:rsidRPr="00951AB1" w:rsidRDefault="00AB6BFB" w:rsidP="000A5389">
            <w:pPr>
              <w:spacing w:line="240" w:lineRule="auto"/>
              <w:rPr>
                <w:rFonts w:cs="Times New Roman"/>
                <w:sz w:val="18"/>
                <w:szCs w:val="18"/>
                <w:lang w:eastAsia="es-CO"/>
              </w:rPr>
            </w:pPr>
            <w:bookmarkStart w:id="934" w:name="_Toc222824258"/>
            <w:r w:rsidRPr="00951AB1">
              <w:rPr>
                <w:rFonts w:cs="Times New Roman"/>
                <w:sz w:val="18"/>
                <w:szCs w:val="18"/>
                <w:lang w:eastAsia="es-CO"/>
              </w:rPr>
              <w:t>Concesión Transversal Del Sisga S.A.S</w:t>
            </w:r>
            <w:bookmarkEnd w:id="934"/>
          </w:p>
        </w:tc>
        <w:tc>
          <w:tcPr>
            <w:tcW w:w="2182" w:type="dxa"/>
            <w:tcBorders>
              <w:top w:val="nil"/>
              <w:left w:val="nil"/>
              <w:bottom w:val="single" w:sz="4" w:space="0" w:color="000000"/>
              <w:right w:val="single" w:sz="4" w:space="0" w:color="000000"/>
            </w:tcBorders>
            <w:vAlign w:val="center"/>
            <w:hideMark/>
          </w:tcPr>
          <w:p w14:paraId="3BED4BDC" w14:textId="77777777" w:rsidR="00AB6BFB" w:rsidRPr="00951AB1" w:rsidRDefault="00AB6BFB" w:rsidP="000A5389">
            <w:pPr>
              <w:spacing w:line="240" w:lineRule="auto"/>
              <w:jc w:val="right"/>
              <w:rPr>
                <w:rFonts w:cs="Times New Roman"/>
                <w:sz w:val="18"/>
                <w:szCs w:val="18"/>
                <w:lang w:eastAsia="es-CO"/>
              </w:rPr>
            </w:pPr>
            <w:bookmarkStart w:id="935" w:name="_Toc222824259"/>
            <w:r w:rsidRPr="00951AB1">
              <w:rPr>
                <w:rFonts w:cs="Times New Roman"/>
                <w:sz w:val="18"/>
                <w:szCs w:val="18"/>
                <w:lang w:eastAsia="es-CO"/>
              </w:rPr>
              <w:t>6.170.005.000</w:t>
            </w:r>
            <w:bookmarkEnd w:id="935"/>
          </w:p>
        </w:tc>
      </w:tr>
      <w:tr w:rsidR="00AB6BFB" w:rsidRPr="00951AB1" w14:paraId="068DFDC4" w14:textId="77777777" w:rsidTr="008E133C">
        <w:trPr>
          <w:trHeight w:val="340"/>
        </w:trPr>
        <w:tc>
          <w:tcPr>
            <w:tcW w:w="1680" w:type="dxa"/>
            <w:tcBorders>
              <w:top w:val="nil"/>
              <w:left w:val="single" w:sz="4" w:space="0" w:color="000000"/>
              <w:bottom w:val="single" w:sz="4" w:space="0" w:color="000000"/>
              <w:right w:val="single" w:sz="4" w:space="0" w:color="000000"/>
            </w:tcBorders>
            <w:vAlign w:val="center"/>
            <w:hideMark/>
          </w:tcPr>
          <w:p w14:paraId="7B754FA5" w14:textId="5807C3AB" w:rsidR="00AB6BFB" w:rsidRPr="00951AB1" w:rsidRDefault="00AB6BFB" w:rsidP="000A5389">
            <w:pPr>
              <w:spacing w:line="240" w:lineRule="auto"/>
              <w:rPr>
                <w:rFonts w:cs="Times New Roman"/>
                <w:sz w:val="18"/>
                <w:szCs w:val="18"/>
                <w:lang w:eastAsia="es-CO"/>
              </w:rPr>
            </w:pPr>
            <w:bookmarkStart w:id="936" w:name="_Toc222824260"/>
            <w:r w:rsidRPr="00951AB1">
              <w:rPr>
                <w:rFonts w:cs="Times New Roman"/>
                <w:sz w:val="18"/>
                <w:szCs w:val="18"/>
                <w:lang w:eastAsia="es-CO"/>
              </w:rPr>
              <w:t>901602085</w:t>
            </w:r>
            <w:bookmarkEnd w:id="936"/>
          </w:p>
        </w:tc>
        <w:tc>
          <w:tcPr>
            <w:tcW w:w="4978" w:type="dxa"/>
            <w:tcBorders>
              <w:top w:val="nil"/>
              <w:left w:val="nil"/>
              <w:bottom w:val="single" w:sz="4" w:space="0" w:color="000000"/>
              <w:right w:val="single" w:sz="4" w:space="0" w:color="000000"/>
            </w:tcBorders>
            <w:vAlign w:val="center"/>
            <w:hideMark/>
          </w:tcPr>
          <w:p w14:paraId="5E7D6BCB" w14:textId="254D5D07" w:rsidR="00AB6BFB" w:rsidRPr="00951AB1" w:rsidRDefault="00AB6BFB" w:rsidP="000A5389">
            <w:pPr>
              <w:spacing w:line="240" w:lineRule="auto"/>
              <w:rPr>
                <w:rFonts w:cs="Times New Roman"/>
                <w:sz w:val="18"/>
                <w:szCs w:val="18"/>
                <w:lang w:eastAsia="es-CO"/>
              </w:rPr>
            </w:pPr>
            <w:bookmarkStart w:id="937" w:name="_Toc222824261"/>
            <w:r w:rsidRPr="00951AB1">
              <w:rPr>
                <w:rFonts w:cs="Times New Roman"/>
                <w:sz w:val="18"/>
                <w:szCs w:val="18"/>
                <w:lang w:eastAsia="es-CO"/>
              </w:rPr>
              <w:t>Autopista Magdalena Medio S.A.S</w:t>
            </w:r>
            <w:bookmarkEnd w:id="937"/>
          </w:p>
        </w:tc>
        <w:tc>
          <w:tcPr>
            <w:tcW w:w="2182" w:type="dxa"/>
            <w:tcBorders>
              <w:top w:val="nil"/>
              <w:left w:val="nil"/>
              <w:bottom w:val="single" w:sz="4" w:space="0" w:color="000000"/>
              <w:right w:val="single" w:sz="4" w:space="0" w:color="000000"/>
            </w:tcBorders>
            <w:vAlign w:val="center"/>
            <w:hideMark/>
          </w:tcPr>
          <w:p w14:paraId="0C9D3885" w14:textId="77777777" w:rsidR="00AB6BFB" w:rsidRPr="00951AB1" w:rsidRDefault="00AB6BFB" w:rsidP="000A5389">
            <w:pPr>
              <w:spacing w:line="240" w:lineRule="auto"/>
              <w:jc w:val="right"/>
              <w:rPr>
                <w:rFonts w:cs="Times New Roman"/>
                <w:sz w:val="18"/>
                <w:szCs w:val="18"/>
                <w:lang w:eastAsia="es-CO"/>
              </w:rPr>
            </w:pPr>
            <w:bookmarkStart w:id="938" w:name="_Toc222824262"/>
            <w:r w:rsidRPr="00951AB1">
              <w:rPr>
                <w:rFonts w:cs="Times New Roman"/>
                <w:sz w:val="18"/>
                <w:szCs w:val="18"/>
                <w:lang w:eastAsia="es-CO"/>
              </w:rPr>
              <w:t>3.570.878.100</w:t>
            </w:r>
            <w:bookmarkEnd w:id="938"/>
          </w:p>
        </w:tc>
      </w:tr>
      <w:tr w:rsidR="00AB6BFB" w:rsidRPr="00951AB1" w14:paraId="1FEA8110" w14:textId="77777777" w:rsidTr="008E133C">
        <w:trPr>
          <w:trHeight w:val="340"/>
        </w:trPr>
        <w:tc>
          <w:tcPr>
            <w:tcW w:w="1680" w:type="dxa"/>
            <w:tcBorders>
              <w:top w:val="nil"/>
              <w:left w:val="single" w:sz="4" w:space="0" w:color="000000"/>
              <w:bottom w:val="single" w:sz="4" w:space="0" w:color="000000"/>
              <w:right w:val="single" w:sz="4" w:space="0" w:color="000000"/>
            </w:tcBorders>
            <w:vAlign w:val="center"/>
            <w:hideMark/>
          </w:tcPr>
          <w:p w14:paraId="104D0B91" w14:textId="29C9FCDF" w:rsidR="00AB6BFB" w:rsidRPr="00951AB1" w:rsidRDefault="00AB6BFB" w:rsidP="000A5389">
            <w:pPr>
              <w:spacing w:line="240" w:lineRule="auto"/>
              <w:rPr>
                <w:rFonts w:cs="Times New Roman"/>
                <w:sz w:val="18"/>
                <w:szCs w:val="18"/>
                <w:lang w:eastAsia="es-CO"/>
              </w:rPr>
            </w:pPr>
            <w:bookmarkStart w:id="939" w:name="_Toc222824263"/>
            <w:r w:rsidRPr="00951AB1">
              <w:rPr>
                <w:rFonts w:cs="Times New Roman"/>
                <w:sz w:val="18"/>
                <w:szCs w:val="18"/>
                <w:lang w:eastAsia="es-CO"/>
              </w:rPr>
              <w:t>900793991</w:t>
            </w:r>
            <w:bookmarkEnd w:id="939"/>
          </w:p>
        </w:tc>
        <w:tc>
          <w:tcPr>
            <w:tcW w:w="4978" w:type="dxa"/>
            <w:tcBorders>
              <w:top w:val="nil"/>
              <w:left w:val="nil"/>
              <w:bottom w:val="single" w:sz="4" w:space="0" w:color="000000"/>
              <w:right w:val="single" w:sz="4" w:space="0" w:color="000000"/>
            </w:tcBorders>
            <w:vAlign w:val="center"/>
            <w:hideMark/>
          </w:tcPr>
          <w:p w14:paraId="76C17876" w14:textId="2186338E" w:rsidR="00AB6BFB" w:rsidRPr="00951AB1" w:rsidRDefault="00AB6BFB" w:rsidP="000A5389">
            <w:pPr>
              <w:spacing w:line="240" w:lineRule="auto"/>
              <w:rPr>
                <w:rFonts w:cs="Times New Roman"/>
                <w:sz w:val="18"/>
                <w:szCs w:val="18"/>
                <w:lang w:eastAsia="es-CO"/>
              </w:rPr>
            </w:pPr>
            <w:bookmarkStart w:id="940" w:name="_Toc222824264"/>
            <w:r w:rsidRPr="00951AB1">
              <w:rPr>
                <w:rFonts w:cs="Times New Roman"/>
                <w:sz w:val="18"/>
                <w:szCs w:val="18"/>
                <w:lang w:eastAsia="es-CO"/>
              </w:rPr>
              <w:t>Autopistas Del Nordeste S.A.S.</w:t>
            </w:r>
            <w:bookmarkEnd w:id="940"/>
          </w:p>
        </w:tc>
        <w:tc>
          <w:tcPr>
            <w:tcW w:w="2182" w:type="dxa"/>
            <w:tcBorders>
              <w:top w:val="nil"/>
              <w:left w:val="nil"/>
              <w:bottom w:val="single" w:sz="4" w:space="0" w:color="000000"/>
              <w:right w:val="single" w:sz="4" w:space="0" w:color="000000"/>
            </w:tcBorders>
            <w:vAlign w:val="center"/>
            <w:hideMark/>
          </w:tcPr>
          <w:p w14:paraId="77374F4F" w14:textId="77777777" w:rsidR="00AB6BFB" w:rsidRPr="00951AB1" w:rsidRDefault="00AB6BFB" w:rsidP="000A5389">
            <w:pPr>
              <w:spacing w:line="240" w:lineRule="auto"/>
              <w:jc w:val="right"/>
              <w:rPr>
                <w:rFonts w:cs="Times New Roman"/>
                <w:sz w:val="18"/>
                <w:szCs w:val="18"/>
                <w:lang w:eastAsia="es-CO"/>
              </w:rPr>
            </w:pPr>
            <w:bookmarkStart w:id="941" w:name="_Toc222824265"/>
            <w:r w:rsidRPr="00951AB1">
              <w:rPr>
                <w:rFonts w:cs="Times New Roman"/>
                <w:sz w:val="18"/>
                <w:szCs w:val="18"/>
                <w:lang w:eastAsia="es-CO"/>
              </w:rPr>
              <w:t>2.836.894.007</w:t>
            </w:r>
            <w:bookmarkEnd w:id="941"/>
          </w:p>
        </w:tc>
      </w:tr>
      <w:tr w:rsidR="00AB6BFB" w:rsidRPr="00951AB1" w14:paraId="59D3F6F3" w14:textId="77777777" w:rsidTr="008E133C">
        <w:trPr>
          <w:trHeight w:val="340"/>
        </w:trPr>
        <w:tc>
          <w:tcPr>
            <w:tcW w:w="1680" w:type="dxa"/>
            <w:tcBorders>
              <w:top w:val="nil"/>
              <w:left w:val="single" w:sz="4" w:space="0" w:color="000000"/>
              <w:bottom w:val="single" w:sz="4" w:space="0" w:color="000000"/>
              <w:right w:val="single" w:sz="4" w:space="0" w:color="000000"/>
            </w:tcBorders>
            <w:vAlign w:val="center"/>
            <w:hideMark/>
          </w:tcPr>
          <w:p w14:paraId="026603EE" w14:textId="395F3EE1" w:rsidR="00AB6BFB" w:rsidRPr="00951AB1" w:rsidRDefault="00AB6BFB" w:rsidP="000A5389">
            <w:pPr>
              <w:spacing w:line="240" w:lineRule="auto"/>
              <w:rPr>
                <w:rFonts w:cs="Times New Roman"/>
                <w:sz w:val="18"/>
                <w:szCs w:val="18"/>
                <w:lang w:eastAsia="es-CO"/>
              </w:rPr>
            </w:pPr>
            <w:bookmarkStart w:id="942" w:name="_Toc222824266"/>
            <w:r w:rsidRPr="00951AB1">
              <w:rPr>
                <w:rFonts w:cs="Times New Roman"/>
                <w:sz w:val="18"/>
                <w:szCs w:val="18"/>
                <w:lang w:eastAsia="es-CO"/>
              </w:rPr>
              <w:t>900862215</w:t>
            </w:r>
            <w:bookmarkEnd w:id="942"/>
          </w:p>
        </w:tc>
        <w:tc>
          <w:tcPr>
            <w:tcW w:w="4978" w:type="dxa"/>
            <w:tcBorders>
              <w:top w:val="nil"/>
              <w:left w:val="nil"/>
              <w:bottom w:val="single" w:sz="4" w:space="0" w:color="000000"/>
              <w:right w:val="single" w:sz="4" w:space="0" w:color="000000"/>
            </w:tcBorders>
            <w:vAlign w:val="center"/>
            <w:hideMark/>
          </w:tcPr>
          <w:p w14:paraId="1EB16F05" w14:textId="777FF105" w:rsidR="00AB6BFB" w:rsidRPr="00951AB1" w:rsidRDefault="00AB6BFB" w:rsidP="000A5389">
            <w:pPr>
              <w:spacing w:line="240" w:lineRule="auto"/>
              <w:rPr>
                <w:rFonts w:cs="Times New Roman"/>
                <w:sz w:val="18"/>
                <w:szCs w:val="18"/>
                <w:lang w:eastAsia="es-CO"/>
              </w:rPr>
            </w:pPr>
            <w:bookmarkStart w:id="943" w:name="_Toc222824267"/>
            <w:r w:rsidRPr="00951AB1">
              <w:rPr>
                <w:rFonts w:cs="Times New Roman"/>
                <w:sz w:val="18"/>
                <w:szCs w:val="18"/>
                <w:lang w:eastAsia="es-CO"/>
              </w:rPr>
              <w:t>Concesionaria Vial Del Oriente S A S</w:t>
            </w:r>
            <w:bookmarkEnd w:id="943"/>
          </w:p>
        </w:tc>
        <w:tc>
          <w:tcPr>
            <w:tcW w:w="2182" w:type="dxa"/>
            <w:tcBorders>
              <w:top w:val="nil"/>
              <w:left w:val="nil"/>
              <w:bottom w:val="single" w:sz="4" w:space="0" w:color="000000"/>
              <w:right w:val="single" w:sz="4" w:space="0" w:color="000000"/>
            </w:tcBorders>
            <w:vAlign w:val="center"/>
            <w:hideMark/>
          </w:tcPr>
          <w:p w14:paraId="17FCD715" w14:textId="77777777" w:rsidR="00AB6BFB" w:rsidRPr="00951AB1" w:rsidRDefault="00AB6BFB" w:rsidP="000A5389">
            <w:pPr>
              <w:spacing w:line="240" w:lineRule="auto"/>
              <w:jc w:val="right"/>
              <w:rPr>
                <w:rFonts w:cs="Times New Roman"/>
                <w:sz w:val="18"/>
                <w:szCs w:val="18"/>
                <w:lang w:eastAsia="es-CO"/>
              </w:rPr>
            </w:pPr>
            <w:bookmarkStart w:id="944" w:name="_Toc222824268"/>
            <w:r w:rsidRPr="00951AB1">
              <w:rPr>
                <w:rFonts w:cs="Times New Roman"/>
                <w:sz w:val="18"/>
                <w:szCs w:val="18"/>
                <w:lang w:eastAsia="es-CO"/>
              </w:rPr>
              <w:t>1.716.395.100</w:t>
            </w:r>
            <w:bookmarkEnd w:id="944"/>
          </w:p>
        </w:tc>
      </w:tr>
      <w:tr w:rsidR="00AB6BFB" w:rsidRPr="00951AB1" w14:paraId="52556DC3" w14:textId="77777777" w:rsidTr="008E133C">
        <w:trPr>
          <w:trHeight w:val="340"/>
        </w:trPr>
        <w:tc>
          <w:tcPr>
            <w:tcW w:w="1680" w:type="dxa"/>
            <w:tcBorders>
              <w:top w:val="nil"/>
              <w:left w:val="single" w:sz="4" w:space="0" w:color="000000"/>
              <w:bottom w:val="single" w:sz="4" w:space="0" w:color="000000"/>
              <w:right w:val="single" w:sz="4" w:space="0" w:color="000000"/>
            </w:tcBorders>
            <w:vAlign w:val="center"/>
            <w:hideMark/>
          </w:tcPr>
          <w:p w14:paraId="33B5BC91" w14:textId="6BD741EE" w:rsidR="00AB6BFB" w:rsidRPr="00951AB1" w:rsidRDefault="00AB6BFB" w:rsidP="000A5389">
            <w:pPr>
              <w:spacing w:line="240" w:lineRule="auto"/>
              <w:rPr>
                <w:rFonts w:cs="Times New Roman"/>
                <w:sz w:val="18"/>
                <w:szCs w:val="18"/>
                <w:lang w:eastAsia="es-CO"/>
              </w:rPr>
            </w:pPr>
            <w:bookmarkStart w:id="945" w:name="_Toc222824269"/>
            <w:r w:rsidRPr="00951AB1">
              <w:rPr>
                <w:rFonts w:cs="Times New Roman"/>
                <w:sz w:val="18"/>
                <w:szCs w:val="18"/>
                <w:lang w:eastAsia="es-CO"/>
              </w:rPr>
              <w:t>900745219</w:t>
            </w:r>
            <w:bookmarkEnd w:id="945"/>
          </w:p>
        </w:tc>
        <w:tc>
          <w:tcPr>
            <w:tcW w:w="4978" w:type="dxa"/>
            <w:tcBorders>
              <w:top w:val="nil"/>
              <w:left w:val="nil"/>
              <w:bottom w:val="single" w:sz="4" w:space="0" w:color="000000"/>
              <w:right w:val="single" w:sz="4" w:space="0" w:color="000000"/>
            </w:tcBorders>
            <w:vAlign w:val="center"/>
            <w:hideMark/>
          </w:tcPr>
          <w:p w14:paraId="5E0FDCEB" w14:textId="4FB53E35" w:rsidR="00AB6BFB" w:rsidRPr="00951AB1" w:rsidRDefault="00AB6BFB" w:rsidP="000A5389">
            <w:pPr>
              <w:spacing w:line="240" w:lineRule="auto"/>
              <w:rPr>
                <w:rFonts w:cs="Times New Roman"/>
                <w:sz w:val="18"/>
                <w:szCs w:val="18"/>
                <w:lang w:eastAsia="es-CO"/>
              </w:rPr>
            </w:pPr>
            <w:bookmarkStart w:id="946" w:name="_Toc222824270"/>
            <w:r w:rsidRPr="00951AB1">
              <w:rPr>
                <w:rFonts w:cs="Times New Roman"/>
                <w:sz w:val="18"/>
                <w:szCs w:val="18"/>
                <w:lang w:eastAsia="es-CO"/>
              </w:rPr>
              <w:t>Concesión Alto Magdalena S A S</w:t>
            </w:r>
            <w:bookmarkEnd w:id="946"/>
          </w:p>
        </w:tc>
        <w:tc>
          <w:tcPr>
            <w:tcW w:w="2182" w:type="dxa"/>
            <w:tcBorders>
              <w:top w:val="nil"/>
              <w:left w:val="nil"/>
              <w:bottom w:val="single" w:sz="4" w:space="0" w:color="000000"/>
              <w:right w:val="single" w:sz="4" w:space="0" w:color="000000"/>
            </w:tcBorders>
            <w:vAlign w:val="center"/>
            <w:hideMark/>
          </w:tcPr>
          <w:p w14:paraId="219AFFD6" w14:textId="77777777" w:rsidR="00AB6BFB" w:rsidRPr="00951AB1" w:rsidRDefault="00AB6BFB" w:rsidP="000A5389">
            <w:pPr>
              <w:spacing w:line="240" w:lineRule="auto"/>
              <w:jc w:val="right"/>
              <w:rPr>
                <w:rFonts w:cs="Times New Roman"/>
                <w:sz w:val="18"/>
                <w:szCs w:val="18"/>
                <w:lang w:eastAsia="es-CO"/>
              </w:rPr>
            </w:pPr>
            <w:bookmarkStart w:id="947" w:name="_Toc222824271"/>
            <w:r w:rsidRPr="00951AB1">
              <w:rPr>
                <w:rFonts w:cs="Times New Roman"/>
                <w:sz w:val="18"/>
                <w:szCs w:val="18"/>
                <w:lang w:eastAsia="es-CO"/>
              </w:rPr>
              <w:t>1.342.196.600</w:t>
            </w:r>
            <w:bookmarkEnd w:id="947"/>
          </w:p>
        </w:tc>
      </w:tr>
      <w:tr w:rsidR="00AB6BFB" w:rsidRPr="00951AB1" w14:paraId="027B2DBA" w14:textId="77777777" w:rsidTr="008E133C">
        <w:trPr>
          <w:trHeight w:val="340"/>
        </w:trPr>
        <w:tc>
          <w:tcPr>
            <w:tcW w:w="1680" w:type="dxa"/>
            <w:tcBorders>
              <w:top w:val="nil"/>
              <w:left w:val="single" w:sz="4" w:space="0" w:color="000000"/>
              <w:bottom w:val="single" w:sz="4" w:space="0" w:color="000000"/>
              <w:right w:val="single" w:sz="4" w:space="0" w:color="000000"/>
            </w:tcBorders>
            <w:vAlign w:val="center"/>
            <w:hideMark/>
          </w:tcPr>
          <w:p w14:paraId="3260B472" w14:textId="4C04396C" w:rsidR="00AB6BFB" w:rsidRPr="00951AB1" w:rsidRDefault="00AB6BFB" w:rsidP="000A5389">
            <w:pPr>
              <w:spacing w:line="240" w:lineRule="auto"/>
              <w:rPr>
                <w:rFonts w:cs="Times New Roman"/>
                <w:sz w:val="18"/>
                <w:szCs w:val="18"/>
                <w:lang w:eastAsia="es-CO"/>
              </w:rPr>
            </w:pPr>
            <w:bookmarkStart w:id="948" w:name="_Toc222824272"/>
            <w:r w:rsidRPr="00951AB1">
              <w:rPr>
                <w:rFonts w:cs="Times New Roman"/>
                <w:sz w:val="18"/>
                <w:szCs w:val="18"/>
                <w:lang w:eastAsia="es-CO"/>
              </w:rPr>
              <w:t>901621257</w:t>
            </w:r>
            <w:bookmarkEnd w:id="948"/>
          </w:p>
        </w:tc>
        <w:tc>
          <w:tcPr>
            <w:tcW w:w="4978" w:type="dxa"/>
            <w:tcBorders>
              <w:top w:val="nil"/>
              <w:left w:val="nil"/>
              <w:bottom w:val="single" w:sz="4" w:space="0" w:color="000000"/>
              <w:right w:val="single" w:sz="4" w:space="0" w:color="000000"/>
            </w:tcBorders>
            <w:vAlign w:val="center"/>
            <w:hideMark/>
          </w:tcPr>
          <w:p w14:paraId="42F754C0" w14:textId="6FDFCE56" w:rsidR="00AB6BFB" w:rsidRPr="00951AB1" w:rsidRDefault="00AB6BFB" w:rsidP="000A5389">
            <w:pPr>
              <w:spacing w:line="240" w:lineRule="auto"/>
              <w:rPr>
                <w:rFonts w:cs="Times New Roman"/>
                <w:sz w:val="18"/>
                <w:szCs w:val="18"/>
                <w:lang w:eastAsia="es-CO"/>
              </w:rPr>
            </w:pPr>
            <w:bookmarkStart w:id="949" w:name="_Toc222824273"/>
            <w:r w:rsidRPr="00951AB1">
              <w:rPr>
                <w:rFonts w:cs="Times New Roman"/>
                <w:sz w:val="18"/>
                <w:szCs w:val="18"/>
                <w:lang w:eastAsia="es-CO"/>
              </w:rPr>
              <w:t>Unión Vial Camino Del Pacífico S.A.S.</w:t>
            </w:r>
            <w:bookmarkEnd w:id="949"/>
          </w:p>
        </w:tc>
        <w:tc>
          <w:tcPr>
            <w:tcW w:w="2182" w:type="dxa"/>
            <w:tcBorders>
              <w:top w:val="nil"/>
              <w:left w:val="nil"/>
              <w:bottom w:val="single" w:sz="4" w:space="0" w:color="000000"/>
              <w:right w:val="single" w:sz="4" w:space="0" w:color="000000"/>
            </w:tcBorders>
            <w:vAlign w:val="center"/>
            <w:hideMark/>
          </w:tcPr>
          <w:p w14:paraId="257B33B3" w14:textId="77777777" w:rsidR="00AB6BFB" w:rsidRPr="00951AB1" w:rsidRDefault="00AB6BFB" w:rsidP="000A5389">
            <w:pPr>
              <w:spacing w:line="240" w:lineRule="auto"/>
              <w:jc w:val="right"/>
              <w:rPr>
                <w:rFonts w:cs="Times New Roman"/>
                <w:sz w:val="18"/>
                <w:szCs w:val="18"/>
                <w:lang w:eastAsia="es-CO"/>
              </w:rPr>
            </w:pPr>
            <w:bookmarkStart w:id="950" w:name="_Toc222824274"/>
            <w:r w:rsidRPr="00951AB1">
              <w:rPr>
                <w:rFonts w:cs="Times New Roman"/>
                <w:sz w:val="18"/>
                <w:szCs w:val="18"/>
                <w:lang w:eastAsia="es-CO"/>
              </w:rPr>
              <w:t>1.121.608.000</w:t>
            </w:r>
            <w:bookmarkEnd w:id="950"/>
          </w:p>
        </w:tc>
      </w:tr>
      <w:tr w:rsidR="00AB6BFB" w:rsidRPr="00951AB1" w14:paraId="5775750E" w14:textId="77777777" w:rsidTr="008E133C">
        <w:trPr>
          <w:trHeight w:val="340"/>
        </w:trPr>
        <w:tc>
          <w:tcPr>
            <w:tcW w:w="1680" w:type="dxa"/>
            <w:tcBorders>
              <w:top w:val="nil"/>
              <w:left w:val="single" w:sz="4" w:space="0" w:color="000000"/>
              <w:bottom w:val="single" w:sz="4" w:space="0" w:color="000000"/>
              <w:right w:val="single" w:sz="4" w:space="0" w:color="000000"/>
            </w:tcBorders>
            <w:vAlign w:val="center"/>
            <w:hideMark/>
          </w:tcPr>
          <w:p w14:paraId="4A95E7ED" w14:textId="03C79021" w:rsidR="00AB6BFB" w:rsidRPr="00951AB1" w:rsidRDefault="00AB6BFB" w:rsidP="000A5389">
            <w:pPr>
              <w:spacing w:line="240" w:lineRule="auto"/>
              <w:rPr>
                <w:rFonts w:cs="Times New Roman"/>
                <w:sz w:val="18"/>
                <w:szCs w:val="18"/>
                <w:lang w:eastAsia="es-CO"/>
              </w:rPr>
            </w:pPr>
            <w:bookmarkStart w:id="951" w:name="_Toc222824275"/>
            <w:r w:rsidRPr="00951AB1">
              <w:rPr>
                <w:rFonts w:cs="Times New Roman"/>
                <w:sz w:val="18"/>
                <w:szCs w:val="18"/>
                <w:lang w:eastAsia="es-CO"/>
              </w:rPr>
              <w:t>901482899</w:t>
            </w:r>
            <w:bookmarkEnd w:id="951"/>
          </w:p>
        </w:tc>
        <w:tc>
          <w:tcPr>
            <w:tcW w:w="4978" w:type="dxa"/>
            <w:tcBorders>
              <w:top w:val="nil"/>
              <w:left w:val="nil"/>
              <w:bottom w:val="single" w:sz="4" w:space="0" w:color="000000"/>
              <w:right w:val="single" w:sz="4" w:space="0" w:color="000000"/>
            </w:tcBorders>
            <w:vAlign w:val="center"/>
            <w:hideMark/>
          </w:tcPr>
          <w:p w14:paraId="73EF4125" w14:textId="0A7150EE" w:rsidR="00AB6BFB" w:rsidRPr="00951AB1" w:rsidRDefault="00AB6BFB" w:rsidP="000A5389">
            <w:pPr>
              <w:spacing w:line="240" w:lineRule="auto"/>
              <w:rPr>
                <w:rFonts w:cs="Times New Roman"/>
                <w:sz w:val="18"/>
                <w:szCs w:val="18"/>
                <w:lang w:eastAsia="es-CO"/>
              </w:rPr>
            </w:pPr>
            <w:bookmarkStart w:id="952" w:name="_Toc222824276"/>
            <w:r w:rsidRPr="00951AB1">
              <w:rPr>
                <w:rFonts w:cs="Times New Roman"/>
                <w:sz w:val="18"/>
                <w:szCs w:val="18"/>
                <w:lang w:eastAsia="es-CO"/>
              </w:rPr>
              <w:t>Concesionaria Ruta Al Sur S.A.S.</w:t>
            </w:r>
            <w:bookmarkEnd w:id="952"/>
          </w:p>
        </w:tc>
        <w:tc>
          <w:tcPr>
            <w:tcW w:w="2182" w:type="dxa"/>
            <w:tcBorders>
              <w:top w:val="nil"/>
              <w:left w:val="nil"/>
              <w:bottom w:val="single" w:sz="4" w:space="0" w:color="000000"/>
              <w:right w:val="single" w:sz="4" w:space="0" w:color="000000"/>
            </w:tcBorders>
            <w:vAlign w:val="center"/>
            <w:hideMark/>
          </w:tcPr>
          <w:p w14:paraId="3CA31550" w14:textId="77777777" w:rsidR="00AB6BFB" w:rsidRPr="00951AB1" w:rsidRDefault="00AB6BFB" w:rsidP="000A5389">
            <w:pPr>
              <w:spacing w:line="240" w:lineRule="auto"/>
              <w:jc w:val="right"/>
              <w:rPr>
                <w:rFonts w:cs="Times New Roman"/>
                <w:sz w:val="18"/>
                <w:szCs w:val="18"/>
                <w:lang w:eastAsia="es-CO"/>
              </w:rPr>
            </w:pPr>
            <w:bookmarkStart w:id="953" w:name="_Toc222824277"/>
            <w:r w:rsidRPr="00951AB1">
              <w:rPr>
                <w:rFonts w:cs="Times New Roman"/>
                <w:sz w:val="18"/>
                <w:szCs w:val="18"/>
                <w:lang w:eastAsia="es-CO"/>
              </w:rPr>
              <w:t>546.784.000</w:t>
            </w:r>
            <w:bookmarkEnd w:id="953"/>
          </w:p>
        </w:tc>
      </w:tr>
    </w:tbl>
    <w:p w14:paraId="563CB362" w14:textId="0602E9A8" w:rsidR="00AB6BFB" w:rsidRDefault="00AB6BFB" w:rsidP="000A5389">
      <w:pPr>
        <w:spacing w:line="240" w:lineRule="auto"/>
        <w:rPr>
          <w:rFonts w:cs="Times New Roman"/>
          <w:sz w:val="16"/>
          <w:szCs w:val="16"/>
        </w:rPr>
      </w:pPr>
      <w:r w:rsidRPr="00951AB1">
        <w:rPr>
          <w:rFonts w:cs="Times New Roman"/>
          <w:sz w:val="16"/>
          <w:szCs w:val="16"/>
        </w:rPr>
        <w:t>Cifras en pesos</w:t>
      </w:r>
    </w:p>
    <w:p w14:paraId="19772ED6" w14:textId="77777777" w:rsidR="008C1734" w:rsidRPr="00951AB1" w:rsidRDefault="008C1734" w:rsidP="000A5389">
      <w:pPr>
        <w:spacing w:line="240" w:lineRule="auto"/>
        <w:rPr>
          <w:rFonts w:cs="Times New Roman"/>
          <w:szCs w:val="24"/>
          <w:lang w:eastAsia="es-CO"/>
        </w:rPr>
      </w:pPr>
    </w:p>
    <w:p w14:paraId="497B36D5" w14:textId="757A9B8B" w:rsidR="00F43135" w:rsidRDefault="00F43135" w:rsidP="000A5389">
      <w:pPr>
        <w:spacing w:line="240" w:lineRule="auto"/>
        <w:rPr>
          <w:rFonts w:cs="Times New Roman"/>
          <w:szCs w:val="24"/>
          <w:lang w:eastAsia="es-CO"/>
        </w:rPr>
      </w:pPr>
      <w:r w:rsidRPr="00951AB1">
        <w:rPr>
          <w:rFonts w:cs="Times New Roman"/>
          <w:i/>
          <w:iCs/>
          <w:szCs w:val="24"/>
          <w:lang w:eastAsia="es-CO"/>
        </w:rPr>
        <w:t>Laudos arbitrales y conciliaciones extrajudiciales</w:t>
      </w:r>
      <w:r w:rsidRPr="00951AB1">
        <w:rPr>
          <w:rFonts w:cs="Times New Roman"/>
          <w:szCs w:val="24"/>
          <w:lang w:eastAsia="es-CO"/>
        </w:rPr>
        <w:t xml:space="preserve">: </w:t>
      </w:r>
      <w:r w:rsidRPr="00951AB1">
        <w:rPr>
          <w:rFonts w:cs="Times New Roman"/>
        </w:rPr>
        <w:t xml:space="preserve">Refleja los efectos financieros derivados de procesos arbitrales de vigencias anteriores. </w:t>
      </w:r>
      <w:r w:rsidRPr="00951AB1">
        <w:rPr>
          <w:rFonts w:cs="Times New Roman"/>
          <w:szCs w:val="24"/>
          <w:lang w:eastAsia="es-CO"/>
        </w:rPr>
        <w:t>En 2024 se reconoció un gasto significativo por $250.984.246.150 correspondiente a la diferencia entre provisiones constituidas y valores definitivos de sentencias ejecutoriadas, en 2025 el impacto se refleja principalmente en intereses asociados a dichas decisiones.</w:t>
      </w:r>
    </w:p>
    <w:p w14:paraId="6EB252E8" w14:textId="77777777" w:rsidR="008C1734" w:rsidRPr="00951AB1" w:rsidRDefault="008C1734" w:rsidP="000A5389">
      <w:pPr>
        <w:spacing w:line="240" w:lineRule="auto"/>
        <w:rPr>
          <w:rFonts w:cs="Times New Roman"/>
          <w:szCs w:val="24"/>
          <w:lang w:eastAsia="es-CO"/>
        </w:rPr>
      </w:pPr>
    </w:p>
    <w:p w14:paraId="16F3774D" w14:textId="77777777" w:rsidR="00F43135" w:rsidRPr="00951AB1" w:rsidRDefault="00F43135" w:rsidP="000A5389">
      <w:pPr>
        <w:spacing w:line="240" w:lineRule="auto"/>
        <w:rPr>
          <w:rFonts w:cs="Times New Roman"/>
          <w:szCs w:val="24"/>
          <w:lang w:eastAsia="es-CO"/>
        </w:rPr>
      </w:pPr>
      <w:r w:rsidRPr="00951AB1">
        <w:rPr>
          <w:rFonts w:cs="Times New Roman"/>
          <w:szCs w:val="24"/>
          <w:lang w:eastAsia="es-CO"/>
        </w:rPr>
        <w:t>Este comportamiento evidencia:</w:t>
      </w:r>
    </w:p>
    <w:p w14:paraId="15348A5C" w14:textId="77777777" w:rsidR="00F43135" w:rsidRPr="00951AB1" w:rsidRDefault="00F43135" w:rsidP="000A5389">
      <w:pPr>
        <w:pStyle w:val="Prrafodelista"/>
        <w:numPr>
          <w:ilvl w:val="0"/>
          <w:numId w:val="38"/>
        </w:numPr>
        <w:spacing w:line="240" w:lineRule="auto"/>
        <w:rPr>
          <w:rFonts w:cs="Times New Roman"/>
          <w:szCs w:val="24"/>
          <w:lang w:eastAsia="es-CO"/>
        </w:rPr>
      </w:pPr>
      <w:r w:rsidRPr="00951AB1">
        <w:rPr>
          <w:rFonts w:cs="Times New Roman"/>
          <w:szCs w:val="24"/>
          <w:lang w:eastAsia="es-CO"/>
        </w:rPr>
        <w:t>Insuficiencia histórica en la estimación de provisiones.</w:t>
      </w:r>
    </w:p>
    <w:p w14:paraId="1BACA68B" w14:textId="77777777" w:rsidR="00F43135" w:rsidRPr="00951AB1" w:rsidRDefault="00F43135" w:rsidP="000A5389">
      <w:pPr>
        <w:pStyle w:val="Prrafodelista"/>
        <w:numPr>
          <w:ilvl w:val="0"/>
          <w:numId w:val="38"/>
        </w:numPr>
        <w:spacing w:line="240" w:lineRule="auto"/>
        <w:rPr>
          <w:rFonts w:cs="Times New Roman"/>
          <w:szCs w:val="24"/>
          <w:lang w:eastAsia="es-CO"/>
        </w:rPr>
      </w:pPr>
      <w:r w:rsidRPr="00951AB1">
        <w:rPr>
          <w:rFonts w:cs="Times New Roman"/>
          <w:szCs w:val="24"/>
          <w:lang w:eastAsia="es-CO"/>
        </w:rPr>
        <w:t>Riesgo de variabilidad en el resultado por fallos judiciales.</w:t>
      </w:r>
    </w:p>
    <w:p w14:paraId="497DE209" w14:textId="77777777" w:rsidR="00F43135" w:rsidRDefault="00F43135" w:rsidP="000A5389">
      <w:pPr>
        <w:pStyle w:val="Prrafodelista"/>
        <w:numPr>
          <w:ilvl w:val="0"/>
          <w:numId w:val="38"/>
        </w:numPr>
        <w:spacing w:line="240" w:lineRule="auto"/>
        <w:rPr>
          <w:rFonts w:cs="Times New Roman"/>
          <w:szCs w:val="24"/>
          <w:lang w:eastAsia="es-CO"/>
        </w:rPr>
      </w:pPr>
      <w:r w:rsidRPr="00951AB1">
        <w:rPr>
          <w:rFonts w:cs="Times New Roman"/>
          <w:szCs w:val="24"/>
          <w:lang w:eastAsia="es-CO"/>
        </w:rPr>
        <w:t>Necesidad de fortalecimiento en los modelos de estimación de contingencias.</w:t>
      </w:r>
    </w:p>
    <w:p w14:paraId="50D34028" w14:textId="77777777" w:rsidR="008C1734" w:rsidRDefault="008C1734" w:rsidP="008C1734">
      <w:pPr>
        <w:spacing w:line="240" w:lineRule="auto"/>
        <w:rPr>
          <w:rFonts w:cs="Times New Roman"/>
          <w:szCs w:val="24"/>
          <w:lang w:eastAsia="es-CO"/>
        </w:rPr>
      </w:pPr>
    </w:p>
    <w:p w14:paraId="76B59BD6" w14:textId="77777777" w:rsidR="008C1734" w:rsidRPr="008C1734" w:rsidRDefault="008C1734" w:rsidP="008C1734">
      <w:pPr>
        <w:spacing w:line="240" w:lineRule="auto"/>
        <w:rPr>
          <w:rFonts w:cs="Times New Roman"/>
          <w:szCs w:val="24"/>
          <w:lang w:eastAsia="es-CO"/>
        </w:rPr>
      </w:pPr>
    </w:p>
    <w:p w14:paraId="2349AE3E" w14:textId="77777777" w:rsidR="00EA47CA" w:rsidRPr="00951AB1" w:rsidRDefault="004B08EF" w:rsidP="000A5389">
      <w:pPr>
        <w:pStyle w:val="Ttulo2"/>
        <w:numPr>
          <w:ilvl w:val="0"/>
          <w:numId w:val="0"/>
        </w:numPr>
        <w:spacing w:line="240" w:lineRule="auto"/>
        <w:ind w:right="-20"/>
        <w:rPr>
          <w:rFonts w:eastAsia="Times New Roman" w:cs="Times New Roman"/>
          <w:bCs/>
          <w:szCs w:val="24"/>
        </w:rPr>
      </w:pPr>
      <w:bookmarkStart w:id="954" w:name="_Toc222824278"/>
      <w:bookmarkStart w:id="955" w:name="_Toc222955545"/>
      <w:bookmarkStart w:id="956" w:name="_Toc191369571"/>
      <w:bookmarkStart w:id="957" w:name="_Toc191456898"/>
      <w:bookmarkStart w:id="958" w:name="_Toc191457008"/>
      <w:bookmarkStart w:id="959" w:name="_Toc191457118"/>
      <w:bookmarkStart w:id="960" w:name="_Toc191475745"/>
      <w:bookmarkStart w:id="961" w:name="_Toc191475854"/>
      <w:bookmarkStart w:id="962" w:name="_Toc191475963"/>
      <w:bookmarkStart w:id="963" w:name="_Toc191475486"/>
      <w:bookmarkStart w:id="964" w:name="_Toc191505862"/>
      <w:r w:rsidRPr="00951AB1">
        <w:rPr>
          <w:rFonts w:eastAsia="Times New Roman" w:cs="Times New Roman"/>
          <w:bCs/>
          <w:szCs w:val="24"/>
        </w:rPr>
        <w:t>30.</w:t>
      </w:r>
      <w:r w:rsidR="00EA47CA" w:rsidRPr="00951AB1">
        <w:rPr>
          <w:rFonts w:eastAsia="Times New Roman" w:cs="Times New Roman"/>
          <w:bCs/>
          <w:szCs w:val="24"/>
        </w:rPr>
        <w:t>3.</w:t>
      </w:r>
      <w:r w:rsidR="00EA47CA" w:rsidRPr="00951AB1">
        <w:rPr>
          <w:rFonts w:eastAsia="Times New Roman" w:cs="Times New Roman"/>
          <w:b w:val="0"/>
          <w:sz w:val="14"/>
          <w:szCs w:val="14"/>
        </w:rPr>
        <w:t xml:space="preserve">   </w:t>
      </w:r>
      <w:r w:rsidR="00EA47CA" w:rsidRPr="00951AB1">
        <w:rPr>
          <w:rFonts w:eastAsia="Times New Roman" w:cs="Times New Roman"/>
          <w:bCs/>
          <w:szCs w:val="24"/>
        </w:rPr>
        <w:t>Transferencias y subvenciones</w:t>
      </w:r>
      <w:bookmarkEnd w:id="954"/>
      <w:bookmarkEnd w:id="955"/>
    </w:p>
    <w:p w14:paraId="5CAE52DE" w14:textId="77777777" w:rsidR="00EA47CA" w:rsidRPr="00951AB1" w:rsidRDefault="00EA47CA" w:rsidP="000A5389">
      <w:pPr>
        <w:spacing w:line="240" w:lineRule="auto"/>
        <w:rPr>
          <w:rFonts w:cs="Times New Roma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786"/>
        <w:gridCol w:w="1748"/>
        <w:gridCol w:w="1580"/>
        <w:gridCol w:w="1714"/>
      </w:tblGrid>
      <w:tr w:rsidR="007220B5" w:rsidRPr="00951AB1" w14:paraId="7565C675" w14:textId="77777777">
        <w:trPr>
          <w:trHeight w:val="278"/>
        </w:trPr>
        <w:tc>
          <w:tcPr>
            <w:tcW w:w="2144" w:type="pct"/>
            <w:vAlign w:val="center"/>
            <w:hideMark/>
          </w:tcPr>
          <w:p w14:paraId="26AE0064" w14:textId="77777777" w:rsidR="00EA47CA" w:rsidRPr="00951AB1" w:rsidRDefault="00EA47CA" w:rsidP="000A5389">
            <w:pPr>
              <w:spacing w:line="240" w:lineRule="auto"/>
              <w:jc w:val="center"/>
              <w:rPr>
                <w:rFonts w:eastAsia="Times New Roman" w:cs="Times New Roman"/>
                <w:b/>
                <w:bCs/>
                <w:kern w:val="0"/>
                <w:sz w:val="18"/>
                <w:szCs w:val="18"/>
                <w:lang w:eastAsia="es-CO"/>
                <w14:ligatures w14:val="none"/>
              </w:rPr>
            </w:pPr>
            <w:r w:rsidRPr="00951AB1">
              <w:rPr>
                <w:rFonts w:eastAsia="Times New Roman" w:cs="Times New Roman"/>
                <w:b/>
                <w:bCs/>
                <w:kern w:val="0"/>
                <w:sz w:val="18"/>
                <w:szCs w:val="18"/>
                <w:lang w:eastAsia="es-CO"/>
                <w14:ligatures w14:val="none"/>
              </w:rPr>
              <w:t>CONCEPTO</w:t>
            </w:r>
          </w:p>
        </w:tc>
        <w:tc>
          <w:tcPr>
            <w:tcW w:w="990" w:type="pct"/>
            <w:vAlign w:val="center"/>
            <w:hideMark/>
          </w:tcPr>
          <w:p w14:paraId="7C51CBD3" w14:textId="77777777" w:rsidR="00EA47CA" w:rsidRPr="00951AB1" w:rsidRDefault="00EA47CA" w:rsidP="000A5389">
            <w:pPr>
              <w:spacing w:line="240" w:lineRule="auto"/>
              <w:jc w:val="center"/>
              <w:rPr>
                <w:rFonts w:eastAsia="Times New Roman" w:cs="Times New Roman"/>
                <w:b/>
                <w:bCs/>
                <w:kern w:val="0"/>
                <w:sz w:val="18"/>
                <w:szCs w:val="18"/>
                <w:lang w:eastAsia="es-CO"/>
                <w14:ligatures w14:val="none"/>
              </w:rPr>
            </w:pPr>
            <w:r w:rsidRPr="00951AB1">
              <w:rPr>
                <w:rFonts w:eastAsia="Times New Roman" w:cs="Times New Roman"/>
                <w:b/>
                <w:bCs/>
                <w:kern w:val="0"/>
                <w:sz w:val="18"/>
                <w:szCs w:val="18"/>
                <w:lang w:eastAsia="es-CO"/>
                <w14:ligatures w14:val="none"/>
              </w:rPr>
              <w:t xml:space="preserve">2025 </w:t>
            </w:r>
          </w:p>
        </w:tc>
        <w:tc>
          <w:tcPr>
            <w:tcW w:w="895" w:type="pct"/>
            <w:vAlign w:val="center"/>
            <w:hideMark/>
          </w:tcPr>
          <w:p w14:paraId="69055323" w14:textId="77777777" w:rsidR="00EA47CA" w:rsidRPr="00951AB1" w:rsidRDefault="00EA47CA" w:rsidP="000A5389">
            <w:pPr>
              <w:spacing w:line="240" w:lineRule="auto"/>
              <w:jc w:val="center"/>
              <w:rPr>
                <w:rFonts w:eastAsia="Times New Roman" w:cs="Times New Roman"/>
                <w:b/>
                <w:bCs/>
                <w:kern w:val="0"/>
                <w:sz w:val="18"/>
                <w:szCs w:val="18"/>
                <w:lang w:eastAsia="es-CO"/>
                <w14:ligatures w14:val="none"/>
              </w:rPr>
            </w:pPr>
            <w:r w:rsidRPr="00951AB1">
              <w:rPr>
                <w:rFonts w:eastAsia="Times New Roman" w:cs="Times New Roman"/>
                <w:b/>
                <w:bCs/>
                <w:kern w:val="0"/>
                <w:sz w:val="18"/>
                <w:szCs w:val="18"/>
                <w:lang w:eastAsia="es-CO"/>
                <w14:ligatures w14:val="none"/>
              </w:rPr>
              <w:t xml:space="preserve">2024 </w:t>
            </w:r>
          </w:p>
        </w:tc>
        <w:tc>
          <w:tcPr>
            <w:tcW w:w="971" w:type="pct"/>
            <w:vAlign w:val="center"/>
            <w:hideMark/>
          </w:tcPr>
          <w:p w14:paraId="0C535EBA" w14:textId="77777777" w:rsidR="00EA47CA" w:rsidRPr="00951AB1" w:rsidRDefault="00EA47CA" w:rsidP="000A5389">
            <w:pPr>
              <w:spacing w:line="240" w:lineRule="auto"/>
              <w:jc w:val="center"/>
              <w:rPr>
                <w:rFonts w:eastAsia="Times New Roman" w:cs="Times New Roman"/>
                <w:b/>
                <w:bCs/>
                <w:kern w:val="0"/>
                <w:sz w:val="18"/>
                <w:szCs w:val="18"/>
                <w:lang w:eastAsia="es-CO"/>
                <w14:ligatures w14:val="none"/>
              </w:rPr>
            </w:pPr>
            <w:r w:rsidRPr="00951AB1">
              <w:rPr>
                <w:rFonts w:eastAsia="Times New Roman" w:cs="Times New Roman"/>
                <w:b/>
                <w:bCs/>
                <w:kern w:val="0"/>
                <w:sz w:val="18"/>
                <w:szCs w:val="18"/>
                <w:lang w:eastAsia="es-CO"/>
                <w14:ligatures w14:val="none"/>
              </w:rPr>
              <w:t>VARIACIÓN</w:t>
            </w:r>
          </w:p>
        </w:tc>
      </w:tr>
      <w:tr w:rsidR="007220B5" w:rsidRPr="00951AB1" w14:paraId="35622DA5" w14:textId="77777777">
        <w:trPr>
          <w:trHeight w:val="270"/>
        </w:trPr>
        <w:tc>
          <w:tcPr>
            <w:tcW w:w="2144" w:type="pct"/>
            <w:vAlign w:val="center"/>
            <w:hideMark/>
          </w:tcPr>
          <w:p w14:paraId="5C7B5BE1" w14:textId="77777777" w:rsidR="00EA47CA" w:rsidRPr="00951AB1" w:rsidRDefault="00EA47CA" w:rsidP="000A5389">
            <w:pPr>
              <w:spacing w:line="240" w:lineRule="auto"/>
              <w:rPr>
                <w:rFonts w:eastAsia="Times New Roman" w:cs="Times New Roman"/>
                <w:b/>
                <w:bCs/>
                <w:color w:val="000000"/>
                <w:kern w:val="0"/>
                <w:sz w:val="18"/>
                <w:szCs w:val="18"/>
                <w:lang w:eastAsia="es-CO"/>
                <w14:ligatures w14:val="none"/>
              </w:rPr>
            </w:pPr>
            <w:r w:rsidRPr="00951AB1">
              <w:rPr>
                <w:rFonts w:eastAsia="Times New Roman" w:cs="Times New Roman"/>
                <w:b/>
                <w:bCs/>
                <w:color w:val="000000"/>
                <w:kern w:val="0"/>
                <w:sz w:val="18"/>
                <w:szCs w:val="18"/>
                <w:lang w:eastAsia="es-CO"/>
                <w14:ligatures w14:val="none"/>
              </w:rPr>
              <w:t>TRANSFERENCIAS Y SUBVENCIONES</w:t>
            </w:r>
          </w:p>
        </w:tc>
        <w:tc>
          <w:tcPr>
            <w:tcW w:w="990" w:type="pct"/>
            <w:noWrap/>
            <w:hideMark/>
          </w:tcPr>
          <w:p w14:paraId="0380BDCE" w14:textId="77777777" w:rsidR="00EA47CA" w:rsidRPr="00951AB1" w:rsidRDefault="00EA47CA" w:rsidP="000A5389">
            <w:pPr>
              <w:spacing w:line="240" w:lineRule="auto"/>
              <w:jc w:val="right"/>
              <w:rPr>
                <w:rFonts w:eastAsia="Times New Roman" w:cs="Times New Roman"/>
                <w:b/>
                <w:bCs/>
                <w:color w:val="000000"/>
                <w:kern w:val="0"/>
                <w:sz w:val="18"/>
                <w:szCs w:val="18"/>
                <w:lang w:eastAsia="es-CO"/>
                <w14:ligatures w14:val="none"/>
              </w:rPr>
            </w:pPr>
            <w:r w:rsidRPr="00951AB1">
              <w:rPr>
                <w:rFonts w:cs="Times New Roman"/>
                <w:sz w:val="18"/>
                <w:szCs w:val="18"/>
              </w:rPr>
              <w:t>2.034.713.726.696</w:t>
            </w:r>
          </w:p>
        </w:tc>
        <w:tc>
          <w:tcPr>
            <w:tcW w:w="895" w:type="pct"/>
            <w:noWrap/>
            <w:hideMark/>
          </w:tcPr>
          <w:p w14:paraId="7CFE2CFF" w14:textId="77777777" w:rsidR="00EA47CA" w:rsidRPr="00951AB1" w:rsidRDefault="00EA47CA" w:rsidP="000A5389">
            <w:pPr>
              <w:spacing w:line="240" w:lineRule="auto"/>
              <w:jc w:val="right"/>
              <w:rPr>
                <w:rFonts w:eastAsia="Times New Roman" w:cs="Times New Roman"/>
                <w:b/>
                <w:bCs/>
                <w:color w:val="000000"/>
                <w:kern w:val="0"/>
                <w:sz w:val="18"/>
                <w:szCs w:val="18"/>
                <w:lang w:eastAsia="es-CO"/>
                <w14:ligatures w14:val="none"/>
              </w:rPr>
            </w:pPr>
            <w:r w:rsidRPr="00951AB1">
              <w:rPr>
                <w:rFonts w:cs="Times New Roman"/>
                <w:sz w:val="18"/>
                <w:szCs w:val="18"/>
              </w:rPr>
              <w:t>365.707.689.010</w:t>
            </w:r>
          </w:p>
        </w:tc>
        <w:tc>
          <w:tcPr>
            <w:tcW w:w="971" w:type="pct"/>
            <w:noWrap/>
            <w:hideMark/>
          </w:tcPr>
          <w:p w14:paraId="3E113670" w14:textId="77777777" w:rsidR="00EA47CA" w:rsidRPr="00951AB1" w:rsidRDefault="00EA47CA" w:rsidP="000A5389">
            <w:pPr>
              <w:spacing w:line="240" w:lineRule="auto"/>
              <w:jc w:val="right"/>
              <w:rPr>
                <w:rFonts w:eastAsia="Times New Roman" w:cs="Times New Roman"/>
                <w:b/>
                <w:bCs/>
                <w:color w:val="000000"/>
                <w:kern w:val="0"/>
                <w:sz w:val="18"/>
                <w:szCs w:val="18"/>
                <w:lang w:eastAsia="es-CO"/>
                <w14:ligatures w14:val="none"/>
              </w:rPr>
            </w:pPr>
            <w:r w:rsidRPr="00951AB1">
              <w:rPr>
                <w:rFonts w:cs="Times New Roman"/>
                <w:sz w:val="18"/>
                <w:szCs w:val="18"/>
              </w:rPr>
              <w:t>1.669.006.037.686</w:t>
            </w:r>
          </w:p>
        </w:tc>
      </w:tr>
      <w:tr w:rsidR="007220B5" w:rsidRPr="00951AB1" w14:paraId="4ECCF990" w14:textId="77777777">
        <w:trPr>
          <w:trHeight w:val="270"/>
        </w:trPr>
        <w:tc>
          <w:tcPr>
            <w:tcW w:w="2144" w:type="pct"/>
            <w:vAlign w:val="center"/>
            <w:hideMark/>
          </w:tcPr>
          <w:p w14:paraId="127DED4F" w14:textId="77777777" w:rsidR="00EA47CA" w:rsidRPr="00951AB1" w:rsidRDefault="00EA47CA" w:rsidP="000A5389">
            <w:pPr>
              <w:spacing w:line="240" w:lineRule="auto"/>
              <w:rPr>
                <w:rFonts w:eastAsia="Times New Roman" w:cs="Times New Roman"/>
                <w:b/>
                <w:bCs/>
                <w:color w:val="000000"/>
                <w:kern w:val="0"/>
                <w:sz w:val="18"/>
                <w:szCs w:val="18"/>
                <w:lang w:eastAsia="es-CO"/>
                <w14:ligatures w14:val="none"/>
              </w:rPr>
            </w:pPr>
            <w:r w:rsidRPr="00951AB1">
              <w:rPr>
                <w:rFonts w:eastAsia="Times New Roman" w:cs="Times New Roman"/>
                <w:b/>
                <w:bCs/>
                <w:color w:val="000000"/>
                <w:kern w:val="0"/>
                <w:sz w:val="18"/>
                <w:szCs w:val="18"/>
                <w:lang w:eastAsia="es-CO"/>
                <w14:ligatures w14:val="none"/>
              </w:rPr>
              <w:t>OTRAS TRANSFERENCIAS</w:t>
            </w:r>
          </w:p>
        </w:tc>
        <w:tc>
          <w:tcPr>
            <w:tcW w:w="990" w:type="pct"/>
            <w:noWrap/>
            <w:hideMark/>
          </w:tcPr>
          <w:p w14:paraId="0405A56D" w14:textId="77777777" w:rsidR="00EA47CA" w:rsidRPr="00951AB1" w:rsidRDefault="00EA47CA" w:rsidP="000A5389">
            <w:pPr>
              <w:spacing w:line="240" w:lineRule="auto"/>
              <w:jc w:val="right"/>
              <w:rPr>
                <w:rFonts w:eastAsia="Times New Roman" w:cs="Times New Roman"/>
                <w:b/>
                <w:bCs/>
                <w:color w:val="000000"/>
                <w:kern w:val="0"/>
                <w:sz w:val="18"/>
                <w:szCs w:val="18"/>
                <w:lang w:eastAsia="es-CO"/>
                <w14:ligatures w14:val="none"/>
              </w:rPr>
            </w:pPr>
            <w:r w:rsidRPr="00951AB1">
              <w:rPr>
                <w:rFonts w:cs="Times New Roman"/>
                <w:sz w:val="18"/>
                <w:szCs w:val="18"/>
              </w:rPr>
              <w:t>2.034.713.726.696</w:t>
            </w:r>
          </w:p>
        </w:tc>
        <w:tc>
          <w:tcPr>
            <w:tcW w:w="895" w:type="pct"/>
            <w:noWrap/>
            <w:hideMark/>
          </w:tcPr>
          <w:p w14:paraId="67A80323" w14:textId="77777777" w:rsidR="00EA47CA" w:rsidRPr="00951AB1" w:rsidRDefault="00EA47CA" w:rsidP="000A5389">
            <w:pPr>
              <w:spacing w:line="240" w:lineRule="auto"/>
              <w:jc w:val="right"/>
              <w:rPr>
                <w:rFonts w:eastAsia="Times New Roman" w:cs="Times New Roman"/>
                <w:b/>
                <w:bCs/>
                <w:color w:val="000000"/>
                <w:kern w:val="0"/>
                <w:sz w:val="18"/>
                <w:szCs w:val="18"/>
                <w:lang w:eastAsia="es-CO"/>
                <w14:ligatures w14:val="none"/>
              </w:rPr>
            </w:pPr>
            <w:r w:rsidRPr="00951AB1">
              <w:rPr>
                <w:rFonts w:cs="Times New Roman"/>
                <w:sz w:val="18"/>
                <w:szCs w:val="18"/>
              </w:rPr>
              <w:t>365.707.689.010</w:t>
            </w:r>
          </w:p>
        </w:tc>
        <w:tc>
          <w:tcPr>
            <w:tcW w:w="971" w:type="pct"/>
            <w:noWrap/>
            <w:hideMark/>
          </w:tcPr>
          <w:p w14:paraId="338D4CED" w14:textId="77777777" w:rsidR="00EA47CA" w:rsidRPr="00951AB1" w:rsidRDefault="00EA47CA" w:rsidP="000A5389">
            <w:pPr>
              <w:spacing w:line="240" w:lineRule="auto"/>
              <w:jc w:val="right"/>
              <w:rPr>
                <w:rFonts w:eastAsia="Times New Roman" w:cs="Times New Roman"/>
                <w:b/>
                <w:bCs/>
                <w:color w:val="000000"/>
                <w:kern w:val="0"/>
                <w:sz w:val="18"/>
                <w:szCs w:val="18"/>
                <w:lang w:eastAsia="es-CO"/>
                <w14:ligatures w14:val="none"/>
              </w:rPr>
            </w:pPr>
            <w:r w:rsidRPr="00951AB1">
              <w:rPr>
                <w:rFonts w:cs="Times New Roman"/>
                <w:sz w:val="18"/>
                <w:szCs w:val="18"/>
              </w:rPr>
              <w:t>1.669.006.037.686</w:t>
            </w:r>
          </w:p>
        </w:tc>
      </w:tr>
      <w:tr w:rsidR="007220B5" w:rsidRPr="00951AB1" w14:paraId="3FCC49A9" w14:textId="77777777">
        <w:trPr>
          <w:trHeight w:val="278"/>
        </w:trPr>
        <w:tc>
          <w:tcPr>
            <w:tcW w:w="2144" w:type="pct"/>
            <w:vAlign w:val="center"/>
            <w:hideMark/>
          </w:tcPr>
          <w:p w14:paraId="288EDE82" w14:textId="77777777" w:rsidR="00EA47CA" w:rsidRPr="00951AB1" w:rsidRDefault="00EA47CA" w:rsidP="000A5389">
            <w:pPr>
              <w:spacing w:line="240" w:lineRule="auto"/>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Bienes entregados sin contraprestación</w:t>
            </w:r>
          </w:p>
        </w:tc>
        <w:tc>
          <w:tcPr>
            <w:tcW w:w="990" w:type="pct"/>
            <w:noWrap/>
            <w:hideMark/>
          </w:tcPr>
          <w:p w14:paraId="0BFAE8DD" w14:textId="77777777" w:rsidR="00EA47CA" w:rsidRPr="00951AB1" w:rsidRDefault="00EA47CA" w:rsidP="000A5389">
            <w:pPr>
              <w:spacing w:line="240" w:lineRule="auto"/>
              <w:jc w:val="right"/>
              <w:rPr>
                <w:rFonts w:eastAsia="Times New Roman" w:cs="Times New Roman"/>
                <w:color w:val="000000"/>
                <w:kern w:val="0"/>
                <w:sz w:val="18"/>
                <w:szCs w:val="18"/>
                <w:lang w:eastAsia="es-CO"/>
                <w14:ligatures w14:val="none"/>
              </w:rPr>
            </w:pPr>
            <w:r w:rsidRPr="00951AB1">
              <w:rPr>
                <w:rFonts w:cs="Times New Roman"/>
                <w:sz w:val="18"/>
                <w:szCs w:val="18"/>
              </w:rPr>
              <w:t>2.034.713.726.696</w:t>
            </w:r>
          </w:p>
        </w:tc>
        <w:tc>
          <w:tcPr>
            <w:tcW w:w="895" w:type="pct"/>
            <w:noWrap/>
            <w:hideMark/>
          </w:tcPr>
          <w:p w14:paraId="33C40C46" w14:textId="77777777" w:rsidR="00EA47CA" w:rsidRPr="00951AB1" w:rsidRDefault="00EA47CA" w:rsidP="000A5389">
            <w:pPr>
              <w:spacing w:line="240" w:lineRule="auto"/>
              <w:jc w:val="right"/>
              <w:rPr>
                <w:rFonts w:eastAsia="Times New Roman" w:cs="Times New Roman"/>
                <w:color w:val="000000"/>
                <w:kern w:val="0"/>
                <w:sz w:val="18"/>
                <w:szCs w:val="18"/>
                <w:lang w:eastAsia="es-CO"/>
                <w14:ligatures w14:val="none"/>
              </w:rPr>
            </w:pPr>
            <w:r w:rsidRPr="00951AB1">
              <w:rPr>
                <w:rFonts w:cs="Times New Roman"/>
                <w:sz w:val="18"/>
                <w:szCs w:val="18"/>
              </w:rPr>
              <w:t>365.707.689.010</w:t>
            </w:r>
          </w:p>
        </w:tc>
        <w:tc>
          <w:tcPr>
            <w:tcW w:w="971" w:type="pct"/>
            <w:noWrap/>
            <w:hideMark/>
          </w:tcPr>
          <w:p w14:paraId="0317B6CB" w14:textId="77777777" w:rsidR="00EA47CA" w:rsidRPr="00951AB1" w:rsidRDefault="00EA47CA" w:rsidP="000A5389">
            <w:pPr>
              <w:spacing w:line="240" w:lineRule="auto"/>
              <w:jc w:val="right"/>
              <w:rPr>
                <w:rFonts w:eastAsia="Times New Roman" w:cs="Times New Roman"/>
                <w:color w:val="000000"/>
                <w:kern w:val="0"/>
                <w:sz w:val="18"/>
                <w:szCs w:val="18"/>
                <w:lang w:eastAsia="es-CO"/>
                <w14:ligatures w14:val="none"/>
              </w:rPr>
            </w:pPr>
            <w:r w:rsidRPr="00951AB1">
              <w:rPr>
                <w:rFonts w:cs="Times New Roman"/>
                <w:sz w:val="18"/>
                <w:szCs w:val="18"/>
              </w:rPr>
              <w:t>1.669.006.037.686</w:t>
            </w:r>
          </w:p>
        </w:tc>
      </w:tr>
    </w:tbl>
    <w:p w14:paraId="1B32AFEA" w14:textId="77777777" w:rsidR="00EA47CA" w:rsidRPr="00951AB1" w:rsidRDefault="00EA47CA" w:rsidP="000A5389">
      <w:pPr>
        <w:spacing w:line="240" w:lineRule="auto"/>
        <w:rPr>
          <w:rFonts w:cs="Times New Roman"/>
          <w:sz w:val="16"/>
          <w:szCs w:val="16"/>
        </w:rPr>
      </w:pPr>
      <w:r w:rsidRPr="00951AB1">
        <w:rPr>
          <w:rFonts w:cs="Times New Roman"/>
          <w:sz w:val="16"/>
          <w:szCs w:val="16"/>
        </w:rPr>
        <w:t>Cifras en pesos</w:t>
      </w:r>
    </w:p>
    <w:p w14:paraId="0293747C" w14:textId="77777777" w:rsidR="00EA47CA" w:rsidRPr="00951AB1" w:rsidRDefault="00EA47CA" w:rsidP="000A5389">
      <w:pPr>
        <w:spacing w:line="240" w:lineRule="auto"/>
        <w:ind w:left="-20" w:right="-20"/>
        <w:rPr>
          <w:rFonts w:cs="Times New Roman"/>
          <w:szCs w:val="24"/>
        </w:rPr>
      </w:pPr>
    </w:p>
    <w:p w14:paraId="6DE86FAB" w14:textId="77777777" w:rsidR="00EA47CA" w:rsidRDefault="00EA47CA" w:rsidP="000A5389">
      <w:pPr>
        <w:spacing w:line="240" w:lineRule="auto"/>
        <w:ind w:left="-20" w:right="-20"/>
        <w:rPr>
          <w:rFonts w:eastAsia="Times New Roman" w:cs="Times New Roman"/>
          <w:szCs w:val="24"/>
        </w:rPr>
      </w:pPr>
      <w:r w:rsidRPr="00951AB1">
        <w:rPr>
          <w:rFonts w:eastAsia="Times New Roman" w:cs="Times New Roman"/>
          <w:szCs w:val="24"/>
        </w:rPr>
        <w:t xml:space="preserve">El reconocimiento contable se efectuó conforme al Marco Normativo para Entidades de Gobierno expedido por la Contaduría General de la Nación, específicamente lo dispuesto en el Capítulo V – Acuerdos de Concesión, el cual regula el tratamiento de la reversión y entrega de activos de infraestructura al finalizar los contratos de concesión. De acuerdo con este marco, cuando la Entidad transfiere bienes a otras entidades públicas sin recibir </w:t>
      </w:r>
      <w:r w:rsidRPr="00951AB1">
        <w:rPr>
          <w:rFonts w:eastAsia="Times New Roman" w:cs="Times New Roman"/>
          <w:szCs w:val="24"/>
        </w:rPr>
        <w:lastRenderedPageBreak/>
        <w:t>contraprestación, debe reconocer un gasto por transferencias, reflejando la salida del activo del patrimonio institucional.</w:t>
      </w:r>
    </w:p>
    <w:p w14:paraId="32EECDEC" w14:textId="77777777" w:rsidR="008C1734" w:rsidRPr="00951AB1" w:rsidRDefault="008C1734" w:rsidP="000A5389">
      <w:pPr>
        <w:spacing w:line="240" w:lineRule="auto"/>
        <w:ind w:left="-20" w:right="-20"/>
        <w:rPr>
          <w:rFonts w:eastAsia="Times New Roman" w:cs="Times New Roman"/>
          <w:szCs w:val="24"/>
        </w:rPr>
      </w:pPr>
    </w:p>
    <w:p w14:paraId="0910DCED" w14:textId="77777777" w:rsidR="00EA47CA" w:rsidRPr="00951AB1" w:rsidRDefault="00EA47CA" w:rsidP="000A5389">
      <w:pPr>
        <w:spacing w:line="240" w:lineRule="auto"/>
        <w:ind w:left="-20" w:right="-20"/>
        <w:rPr>
          <w:rFonts w:eastAsia="Times New Roman" w:cs="Times New Roman"/>
          <w:szCs w:val="24"/>
        </w:rPr>
      </w:pPr>
      <w:r w:rsidRPr="00951AB1">
        <w:rPr>
          <w:rFonts w:eastAsia="Times New Roman" w:cs="Times New Roman"/>
          <w:szCs w:val="24"/>
        </w:rPr>
        <w:t xml:space="preserve">Como resultado del cierre contractual, la Entidad reconoció la transferencia de la Instituto </w:t>
      </w:r>
    </w:p>
    <w:p w14:paraId="66F82692" w14:textId="40676A91" w:rsidR="00EA47CA" w:rsidRPr="00951AB1" w:rsidRDefault="0697E901" w:rsidP="000A5389">
      <w:pPr>
        <w:pStyle w:val="Prrafodelista"/>
        <w:numPr>
          <w:ilvl w:val="0"/>
          <w:numId w:val="31"/>
        </w:numPr>
        <w:spacing w:line="240" w:lineRule="auto"/>
        <w:ind w:right="-20"/>
        <w:rPr>
          <w:rFonts w:eastAsia="Times New Roman" w:cs="Times New Roman"/>
          <w:szCs w:val="24"/>
        </w:rPr>
      </w:pPr>
      <w:r w:rsidRPr="5B0C84B6">
        <w:rPr>
          <w:rFonts w:eastAsia="Times New Roman" w:cs="Times New Roman"/>
          <w:szCs w:val="24"/>
        </w:rPr>
        <w:t xml:space="preserve">Instituto </w:t>
      </w:r>
      <w:r w:rsidR="00EA47CA" w:rsidRPr="00951AB1">
        <w:rPr>
          <w:rFonts w:eastAsia="Times New Roman" w:cs="Times New Roman"/>
          <w:szCs w:val="24"/>
        </w:rPr>
        <w:t>Nacional de Vías</w:t>
      </w:r>
      <w:r w:rsidR="14819BA6" w:rsidRPr="5B0C84B6">
        <w:rPr>
          <w:rFonts w:eastAsia="Times New Roman" w:cs="Times New Roman"/>
          <w:szCs w:val="24"/>
        </w:rPr>
        <w:t xml:space="preserve"> - Invias</w:t>
      </w:r>
      <w:r w:rsidR="00EA47CA" w:rsidRPr="00951AB1">
        <w:rPr>
          <w:rFonts w:eastAsia="Times New Roman" w:cs="Times New Roman"/>
          <w:szCs w:val="24"/>
        </w:rPr>
        <w:t>: $1.826.557.122.296</w:t>
      </w:r>
    </w:p>
    <w:p w14:paraId="58EC8AE6" w14:textId="77777777" w:rsidR="00EA47CA" w:rsidRPr="00951AB1" w:rsidRDefault="00EA47CA" w:rsidP="000A5389">
      <w:pPr>
        <w:pStyle w:val="Prrafodelista"/>
        <w:numPr>
          <w:ilvl w:val="0"/>
          <w:numId w:val="31"/>
        </w:numPr>
        <w:spacing w:line="240" w:lineRule="auto"/>
        <w:ind w:right="-20"/>
        <w:rPr>
          <w:rFonts w:eastAsia="Times New Roman" w:cs="Times New Roman"/>
          <w:szCs w:val="24"/>
        </w:rPr>
      </w:pPr>
      <w:r w:rsidRPr="00951AB1">
        <w:rPr>
          <w:rFonts w:eastAsia="Times New Roman" w:cs="Times New Roman"/>
          <w:szCs w:val="24"/>
        </w:rPr>
        <w:t>Municipio de Montería: $195.490.980.899</w:t>
      </w:r>
    </w:p>
    <w:p w14:paraId="05998DEC" w14:textId="77777777" w:rsidR="00EA47CA" w:rsidRDefault="00EA47CA" w:rsidP="000A5389">
      <w:pPr>
        <w:pStyle w:val="Prrafodelista"/>
        <w:numPr>
          <w:ilvl w:val="0"/>
          <w:numId w:val="31"/>
        </w:numPr>
        <w:spacing w:line="240" w:lineRule="auto"/>
        <w:ind w:right="-20"/>
        <w:rPr>
          <w:rFonts w:eastAsia="Times New Roman" w:cs="Times New Roman"/>
          <w:szCs w:val="24"/>
        </w:rPr>
      </w:pPr>
      <w:r w:rsidRPr="00951AB1">
        <w:rPr>
          <w:rFonts w:eastAsia="Times New Roman" w:cs="Times New Roman"/>
          <w:szCs w:val="24"/>
        </w:rPr>
        <w:t>Municipio de Sincelejo: $12.665.623.501</w:t>
      </w:r>
    </w:p>
    <w:p w14:paraId="0B4E62D8" w14:textId="77777777" w:rsidR="008C1734" w:rsidRPr="00951AB1" w:rsidRDefault="008C1734" w:rsidP="008C1734">
      <w:pPr>
        <w:pStyle w:val="Prrafodelista"/>
        <w:spacing w:line="240" w:lineRule="auto"/>
        <w:ind w:left="360" w:right="-20"/>
        <w:rPr>
          <w:rFonts w:eastAsia="Times New Roman" w:cs="Times New Roman"/>
          <w:szCs w:val="24"/>
        </w:rPr>
      </w:pPr>
    </w:p>
    <w:p w14:paraId="6EE64D94" w14:textId="77777777" w:rsidR="00EA47CA" w:rsidRDefault="00EA47CA" w:rsidP="000A5389">
      <w:pPr>
        <w:spacing w:line="240" w:lineRule="auto"/>
        <w:ind w:left="-20" w:right="-20"/>
        <w:rPr>
          <w:rFonts w:eastAsia="Times New Roman" w:cs="Times New Roman"/>
          <w:szCs w:val="24"/>
        </w:rPr>
      </w:pPr>
      <w:r w:rsidRPr="00951AB1">
        <w:rPr>
          <w:rFonts w:eastAsia="Times New Roman" w:cs="Times New Roman"/>
          <w:szCs w:val="24"/>
        </w:rPr>
        <w:t xml:space="preserve">La variación significativa frente a la vigencia 2024, por valor de $1.669.006.037.686, obedece a un hecho económico de carácter no recurrente derivado de la materialización del proceso de reversión y de la ejecución de convenios del citado contrato durante 2025. </w:t>
      </w:r>
    </w:p>
    <w:p w14:paraId="0B598DCB" w14:textId="77777777" w:rsidR="008C1734" w:rsidRPr="00951AB1" w:rsidRDefault="008C1734" w:rsidP="000A5389">
      <w:pPr>
        <w:spacing w:line="240" w:lineRule="auto"/>
        <w:ind w:left="-20" w:right="-20"/>
        <w:rPr>
          <w:rFonts w:eastAsia="Times New Roman" w:cs="Times New Roman"/>
          <w:szCs w:val="24"/>
        </w:rPr>
      </w:pPr>
    </w:p>
    <w:p w14:paraId="143B2579" w14:textId="77777777" w:rsidR="00EA47CA" w:rsidRDefault="1FDDCA28" w:rsidP="000A5389">
      <w:pPr>
        <w:spacing w:line="240" w:lineRule="auto"/>
        <w:ind w:left="-20" w:right="-20"/>
        <w:rPr>
          <w:rFonts w:eastAsia="Times New Roman" w:cs="Times New Roman"/>
          <w:szCs w:val="24"/>
        </w:rPr>
      </w:pPr>
      <w:r w:rsidRPr="00951AB1">
        <w:rPr>
          <w:rFonts w:eastAsia="Times New Roman" w:cs="Times New Roman"/>
          <w:szCs w:val="24"/>
        </w:rPr>
        <w:t>Refleja entre otros, el efecto contable derivado de la entrega definitiva de la infraestructura vial a las entidades competentes para su administración y mantenimiento. De igual manera, en esta partida se incluyen las otras reversiones de infraestructura reconocidas durante la vigencia 2025 a favor del Instituto Nacional de Vías, asociadas a los siguientes contratos de concesión:</w:t>
      </w:r>
    </w:p>
    <w:p w14:paraId="1863A429" w14:textId="77777777" w:rsidR="008C1734" w:rsidRPr="00951AB1" w:rsidRDefault="008C1734" w:rsidP="000A5389">
      <w:pPr>
        <w:spacing w:line="240" w:lineRule="auto"/>
        <w:ind w:left="-20" w:right="-20"/>
        <w:rPr>
          <w:rFonts w:eastAsia="Times New Roman" w:cs="Times New Roman"/>
          <w:szCs w:val="24"/>
        </w:rPr>
      </w:pPr>
    </w:p>
    <w:p w14:paraId="245594B5" w14:textId="21C3422C" w:rsidR="00EA47CA" w:rsidRPr="00951AB1" w:rsidRDefault="4F37E90F" w:rsidP="000A5389">
      <w:pPr>
        <w:pStyle w:val="Prrafodelista"/>
        <w:numPr>
          <w:ilvl w:val="0"/>
          <w:numId w:val="32"/>
        </w:numPr>
        <w:spacing w:line="240" w:lineRule="auto"/>
        <w:ind w:right="-20"/>
        <w:rPr>
          <w:rFonts w:eastAsia="Times New Roman" w:cs="Times New Roman"/>
          <w:szCs w:val="24"/>
        </w:rPr>
      </w:pPr>
      <w:r w:rsidRPr="00951AB1">
        <w:rPr>
          <w:rFonts w:eastAsiaTheme="minorEastAsia" w:cs="Times New Roman"/>
          <w:szCs w:val="24"/>
        </w:rPr>
        <w:t>Contrato de Concesión No. 002 de 2007, -Proyec</w:t>
      </w:r>
      <w:r w:rsidR="6473AAC8" w:rsidRPr="00951AB1">
        <w:rPr>
          <w:rFonts w:eastAsiaTheme="minorEastAsia" w:cs="Times New Roman"/>
          <w:szCs w:val="24"/>
        </w:rPr>
        <w:t>to</w:t>
      </w:r>
      <w:r w:rsidRPr="00951AB1">
        <w:rPr>
          <w:rFonts w:eastAsiaTheme="minorEastAsia" w:cs="Times New Roman"/>
          <w:szCs w:val="24"/>
        </w:rPr>
        <w:t xml:space="preserve"> Cordoba – Sucre </w:t>
      </w:r>
      <w:r w:rsidR="112F24AA" w:rsidRPr="00951AB1">
        <w:rPr>
          <w:rFonts w:eastAsiaTheme="minorEastAsia" w:cs="Times New Roman"/>
          <w:szCs w:val="24"/>
        </w:rPr>
        <w:t>por valor de $1.538.719.710.793.</w:t>
      </w:r>
    </w:p>
    <w:p w14:paraId="3C194C6D" w14:textId="5202A286" w:rsidR="00EA47CA" w:rsidRPr="00951AB1" w:rsidRDefault="1FDDCA28" w:rsidP="000A5389">
      <w:pPr>
        <w:pStyle w:val="Prrafodelista"/>
        <w:numPr>
          <w:ilvl w:val="0"/>
          <w:numId w:val="32"/>
        </w:numPr>
        <w:spacing w:line="240" w:lineRule="auto"/>
        <w:ind w:right="-20"/>
        <w:rPr>
          <w:rFonts w:eastAsia="Times New Roman" w:cs="Times New Roman"/>
          <w:szCs w:val="24"/>
        </w:rPr>
      </w:pPr>
      <w:r w:rsidRPr="00951AB1">
        <w:rPr>
          <w:rFonts w:eastAsiaTheme="minorEastAsia" w:cs="Times New Roman"/>
          <w:szCs w:val="24"/>
        </w:rPr>
        <w:t>Contrato de Concesión No. 002 de 2</w:t>
      </w:r>
      <w:r w:rsidRPr="00951AB1">
        <w:rPr>
          <w:rFonts w:eastAsia="Times New Roman" w:cs="Times New Roman"/>
          <w:szCs w:val="24"/>
        </w:rPr>
        <w:t>016 – Proyecto Bucaramanga–Pamplona: $436.055.944.240.</w:t>
      </w:r>
    </w:p>
    <w:p w14:paraId="3195D7A7" w14:textId="3347BE06" w:rsidR="00EA47CA" w:rsidRPr="00951AB1" w:rsidRDefault="1FDDCA28" w:rsidP="000A5389">
      <w:pPr>
        <w:pStyle w:val="Prrafodelista"/>
        <w:numPr>
          <w:ilvl w:val="0"/>
          <w:numId w:val="32"/>
        </w:numPr>
        <w:spacing w:line="240" w:lineRule="auto"/>
        <w:ind w:right="-20"/>
        <w:rPr>
          <w:rFonts w:eastAsia="Times New Roman" w:cs="Times New Roman"/>
          <w:szCs w:val="24"/>
        </w:rPr>
      </w:pPr>
      <w:r w:rsidRPr="00951AB1">
        <w:rPr>
          <w:rFonts w:eastAsia="Times New Roman" w:cs="Times New Roman"/>
          <w:szCs w:val="24"/>
        </w:rPr>
        <w:t>Contrato de Concesión No. 001 de 2016 – Proyecto IP Vías del Nus (Concesión Vías del N</w:t>
      </w:r>
      <w:r w:rsidR="5F7BBB4B" w:rsidRPr="00951AB1">
        <w:rPr>
          <w:rFonts w:eastAsia="Times New Roman" w:cs="Times New Roman"/>
          <w:szCs w:val="24"/>
        </w:rPr>
        <w:t xml:space="preserve">US </w:t>
      </w:r>
      <w:r w:rsidRPr="00951AB1">
        <w:rPr>
          <w:rFonts w:eastAsia="Times New Roman" w:cs="Times New Roman"/>
          <w:szCs w:val="24"/>
        </w:rPr>
        <w:t>S.A.S.): $28.720.259.166.</w:t>
      </w:r>
    </w:p>
    <w:p w14:paraId="0B0863FE" w14:textId="4DA73D48" w:rsidR="00EA47CA" w:rsidRPr="00951AB1" w:rsidRDefault="1FDDCA28" w:rsidP="000A5389">
      <w:pPr>
        <w:pStyle w:val="Prrafodelista"/>
        <w:numPr>
          <w:ilvl w:val="0"/>
          <w:numId w:val="32"/>
        </w:numPr>
        <w:spacing w:line="240" w:lineRule="auto"/>
        <w:ind w:right="-20"/>
        <w:rPr>
          <w:rFonts w:eastAsia="Times New Roman" w:cs="Times New Roman"/>
          <w:szCs w:val="24"/>
        </w:rPr>
      </w:pPr>
      <w:r w:rsidRPr="00951AB1">
        <w:rPr>
          <w:rFonts w:eastAsia="Times New Roman" w:cs="Times New Roman"/>
          <w:szCs w:val="24"/>
        </w:rPr>
        <w:t>La ejecución de recursos de los contratos interadministrativos No. VEJ-022-2022 y CI-023-2022 por valor de $30.863.001.030</w:t>
      </w:r>
      <w:r w:rsidR="761C49B0" w:rsidRPr="00951AB1">
        <w:rPr>
          <w:rFonts w:eastAsia="Times New Roman" w:cs="Times New Roman"/>
          <w:szCs w:val="24"/>
        </w:rPr>
        <w:t xml:space="preserve"> </w:t>
      </w:r>
      <w:r w:rsidR="1603836C" w:rsidRPr="5B0C84B6">
        <w:rPr>
          <w:rFonts w:eastAsia="Times New Roman" w:cs="Times New Roman"/>
          <w:szCs w:val="24"/>
        </w:rPr>
        <w:t>con el Invias quien es el beneficiario del gasto.</w:t>
      </w:r>
    </w:p>
    <w:p w14:paraId="520220F2" w14:textId="4C3A0B08" w:rsidR="761C49B0" w:rsidRDefault="761C49B0" w:rsidP="000A5389">
      <w:pPr>
        <w:pStyle w:val="Prrafodelista"/>
        <w:numPr>
          <w:ilvl w:val="0"/>
          <w:numId w:val="32"/>
        </w:numPr>
        <w:spacing w:line="240" w:lineRule="auto"/>
        <w:ind w:right="-20"/>
        <w:rPr>
          <w:rFonts w:eastAsia="Times New Roman" w:cs="Times New Roman"/>
          <w:szCs w:val="24"/>
        </w:rPr>
      </w:pPr>
      <w:r w:rsidRPr="00951AB1">
        <w:rPr>
          <w:rFonts w:eastAsia="Times New Roman" w:cs="Times New Roman"/>
          <w:szCs w:val="24"/>
        </w:rPr>
        <w:t>Contrato No. 002 de 2015 – APP GICA S.A.: 354.811.468.</w:t>
      </w:r>
    </w:p>
    <w:p w14:paraId="4FDD43FA" w14:textId="77777777" w:rsidR="008C1734" w:rsidRPr="00951AB1" w:rsidRDefault="008C1734" w:rsidP="008C1734">
      <w:pPr>
        <w:pStyle w:val="Prrafodelista"/>
        <w:spacing w:line="240" w:lineRule="auto"/>
        <w:ind w:left="360" w:right="-20"/>
        <w:rPr>
          <w:rFonts w:eastAsia="Times New Roman" w:cs="Times New Roman"/>
          <w:szCs w:val="24"/>
        </w:rPr>
      </w:pPr>
    </w:p>
    <w:p w14:paraId="15AC2572" w14:textId="77777777" w:rsidR="00EA47CA" w:rsidRDefault="1FDDCA28" w:rsidP="000A5389">
      <w:pPr>
        <w:spacing w:line="240" w:lineRule="auto"/>
        <w:ind w:right="-20"/>
        <w:rPr>
          <w:rFonts w:eastAsia="Times New Roman" w:cs="Times New Roman"/>
          <w:szCs w:val="24"/>
        </w:rPr>
      </w:pPr>
      <w:r w:rsidRPr="00951AB1">
        <w:rPr>
          <w:rFonts w:eastAsia="Times New Roman" w:cs="Times New Roman"/>
          <w:szCs w:val="24"/>
        </w:rPr>
        <w:t>En consecuencia, el comportamiento de la cuenta durante la vigencia 2025 se explica principalmente por el reconocimiento contable de procesos de reversión contractual, los cuales constituyen hechos económicos específicos y no recurrentes asociados a la finalización de contratos de concesión y a la devolución de la infraestructura al Estado.</w:t>
      </w:r>
    </w:p>
    <w:p w14:paraId="7F869B2F" w14:textId="77777777" w:rsidR="008C1734" w:rsidRPr="00951AB1" w:rsidRDefault="008C1734" w:rsidP="000A5389">
      <w:pPr>
        <w:spacing w:line="240" w:lineRule="auto"/>
        <w:ind w:right="-20"/>
        <w:rPr>
          <w:rFonts w:eastAsia="Times New Roman" w:cs="Times New Roman"/>
          <w:szCs w:val="24"/>
        </w:rPr>
      </w:pPr>
    </w:p>
    <w:p w14:paraId="44347DFA" w14:textId="3DA400BF" w:rsidR="004B08EF" w:rsidRPr="00951AB1" w:rsidRDefault="004B08EF" w:rsidP="000A5389">
      <w:pPr>
        <w:pStyle w:val="Ttulo2"/>
        <w:numPr>
          <w:ilvl w:val="0"/>
          <w:numId w:val="0"/>
        </w:numPr>
        <w:spacing w:line="240" w:lineRule="auto"/>
        <w:ind w:right="-20"/>
        <w:rPr>
          <w:rFonts w:eastAsia="Times New Roman" w:cs="Times New Roman"/>
          <w:bCs/>
          <w:szCs w:val="24"/>
        </w:rPr>
      </w:pPr>
      <w:bookmarkStart w:id="965" w:name="_Toc222824279"/>
      <w:bookmarkStart w:id="966" w:name="_Toc222955546"/>
      <w:r w:rsidRPr="00951AB1">
        <w:rPr>
          <w:rFonts w:eastAsia="Times New Roman" w:cs="Times New Roman"/>
          <w:bCs/>
          <w:szCs w:val="24"/>
        </w:rPr>
        <w:t>30.</w:t>
      </w:r>
      <w:r w:rsidR="00C86C46" w:rsidRPr="00951AB1">
        <w:rPr>
          <w:rFonts w:eastAsia="Times New Roman" w:cs="Times New Roman"/>
          <w:bCs/>
          <w:szCs w:val="24"/>
        </w:rPr>
        <w:t xml:space="preserve">4. </w:t>
      </w:r>
      <w:r w:rsidRPr="00951AB1">
        <w:rPr>
          <w:rFonts w:eastAsia="Times New Roman" w:cs="Times New Roman"/>
          <w:b w:val="0"/>
          <w:sz w:val="14"/>
          <w:szCs w:val="14"/>
        </w:rPr>
        <w:t xml:space="preserve"> </w:t>
      </w:r>
      <w:r w:rsidR="00063451" w:rsidRPr="00951AB1">
        <w:rPr>
          <w:rFonts w:eastAsia="Times New Roman" w:cs="Times New Roman"/>
          <w:bCs/>
          <w:szCs w:val="24"/>
        </w:rPr>
        <w:t xml:space="preserve">Gastos </w:t>
      </w:r>
      <w:r w:rsidRPr="00951AB1">
        <w:rPr>
          <w:rFonts w:eastAsia="Times New Roman" w:cs="Times New Roman"/>
          <w:bCs/>
          <w:szCs w:val="24"/>
        </w:rPr>
        <w:t>de administración, de operación y de ventas</w:t>
      </w:r>
      <w:bookmarkEnd w:id="956"/>
      <w:bookmarkEnd w:id="957"/>
      <w:bookmarkEnd w:id="958"/>
      <w:bookmarkEnd w:id="959"/>
      <w:bookmarkEnd w:id="960"/>
      <w:bookmarkEnd w:id="961"/>
      <w:bookmarkEnd w:id="962"/>
      <w:bookmarkEnd w:id="963"/>
      <w:bookmarkEnd w:id="964"/>
      <w:bookmarkEnd w:id="965"/>
      <w:bookmarkEnd w:id="966"/>
    </w:p>
    <w:p w14:paraId="2CD1B517" w14:textId="77777777" w:rsidR="004B08EF" w:rsidRPr="00951AB1" w:rsidRDefault="004B08EF" w:rsidP="000A5389">
      <w:pPr>
        <w:spacing w:line="240" w:lineRule="auto"/>
        <w:ind w:left="-20" w:right="-20"/>
        <w:rPr>
          <w:rFonts w:eastAsia="Times New Roman" w:cs="Times New Roman"/>
          <w:szCs w:val="24"/>
        </w:rPr>
      </w:pPr>
      <w:r w:rsidRPr="00951AB1">
        <w:rPr>
          <w:rFonts w:eastAsia="Times New Roman" w:cs="Times New Roman"/>
          <w:szCs w:val="24"/>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560"/>
        <w:gridCol w:w="2128"/>
        <w:gridCol w:w="1418"/>
        <w:gridCol w:w="1275"/>
        <w:gridCol w:w="1277"/>
        <w:gridCol w:w="1418"/>
        <w:gridCol w:w="752"/>
      </w:tblGrid>
      <w:tr w:rsidR="00201A4E" w:rsidRPr="008C1734" w14:paraId="1334063D" w14:textId="77777777" w:rsidTr="008C1734">
        <w:trPr>
          <w:trHeight w:val="540"/>
          <w:tblHeader/>
        </w:trPr>
        <w:tc>
          <w:tcPr>
            <w:tcW w:w="1523" w:type="pct"/>
            <w:gridSpan w:val="2"/>
            <w:noWrap/>
            <w:vAlign w:val="center"/>
            <w:hideMark/>
          </w:tcPr>
          <w:p w14:paraId="4603E275" w14:textId="77777777" w:rsidR="00201A4E" w:rsidRPr="008C1734" w:rsidRDefault="00201A4E" w:rsidP="000A5389">
            <w:pPr>
              <w:spacing w:line="240" w:lineRule="auto"/>
              <w:jc w:val="center"/>
              <w:rPr>
                <w:rFonts w:eastAsia="Times New Roman" w:cs="Times New Roman"/>
                <w:b/>
                <w:bCs/>
                <w:kern w:val="0"/>
                <w:sz w:val="16"/>
                <w:szCs w:val="16"/>
                <w:lang w:eastAsia="es-CO"/>
                <w14:ligatures w14:val="none"/>
              </w:rPr>
            </w:pPr>
            <w:r w:rsidRPr="008C1734">
              <w:rPr>
                <w:rFonts w:eastAsia="Times New Roman" w:cs="Times New Roman"/>
                <w:b/>
                <w:bCs/>
                <w:kern w:val="0"/>
                <w:sz w:val="16"/>
                <w:szCs w:val="16"/>
                <w:lang w:eastAsia="es-CO"/>
                <w14:ligatures w14:val="none"/>
              </w:rPr>
              <w:t>CONCEPTO</w:t>
            </w:r>
          </w:p>
        </w:tc>
        <w:tc>
          <w:tcPr>
            <w:tcW w:w="803" w:type="pct"/>
            <w:vAlign w:val="center"/>
            <w:hideMark/>
          </w:tcPr>
          <w:p w14:paraId="1E138D5B" w14:textId="77777777" w:rsidR="00201A4E" w:rsidRPr="008C1734" w:rsidRDefault="00201A4E" w:rsidP="000A5389">
            <w:pPr>
              <w:spacing w:line="240" w:lineRule="auto"/>
              <w:jc w:val="center"/>
              <w:rPr>
                <w:rFonts w:eastAsia="Times New Roman" w:cs="Times New Roman"/>
                <w:b/>
                <w:bCs/>
                <w:kern w:val="0"/>
                <w:sz w:val="16"/>
                <w:szCs w:val="16"/>
                <w:lang w:eastAsia="es-CO"/>
                <w14:ligatures w14:val="none"/>
              </w:rPr>
            </w:pPr>
            <w:r w:rsidRPr="008C1734">
              <w:rPr>
                <w:rFonts w:eastAsia="Times New Roman" w:cs="Times New Roman"/>
                <w:b/>
                <w:bCs/>
                <w:kern w:val="0"/>
                <w:sz w:val="16"/>
                <w:szCs w:val="16"/>
                <w:lang w:eastAsia="es-CO"/>
                <w14:ligatures w14:val="none"/>
              </w:rPr>
              <w:t xml:space="preserve">2025 </w:t>
            </w:r>
          </w:p>
        </w:tc>
        <w:tc>
          <w:tcPr>
            <w:tcW w:w="722" w:type="pct"/>
            <w:vAlign w:val="center"/>
            <w:hideMark/>
          </w:tcPr>
          <w:p w14:paraId="6F229048" w14:textId="77777777" w:rsidR="00201A4E" w:rsidRPr="008C1734" w:rsidRDefault="00201A4E" w:rsidP="000A5389">
            <w:pPr>
              <w:spacing w:line="240" w:lineRule="auto"/>
              <w:jc w:val="center"/>
              <w:rPr>
                <w:rFonts w:eastAsia="Times New Roman" w:cs="Times New Roman"/>
                <w:b/>
                <w:bCs/>
                <w:kern w:val="0"/>
                <w:sz w:val="16"/>
                <w:szCs w:val="16"/>
                <w:lang w:eastAsia="es-CO"/>
                <w14:ligatures w14:val="none"/>
              </w:rPr>
            </w:pPr>
            <w:r w:rsidRPr="008C1734">
              <w:rPr>
                <w:rFonts w:eastAsia="Times New Roman" w:cs="Times New Roman"/>
                <w:b/>
                <w:bCs/>
                <w:kern w:val="0"/>
                <w:sz w:val="16"/>
                <w:szCs w:val="16"/>
                <w:lang w:eastAsia="es-CO"/>
                <w14:ligatures w14:val="none"/>
              </w:rPr>
              <w:t xml:space="preserve">2024 </w:t>
            </w:r>
          </w:p>
        </w:tc>
        <w:tc>
          <w:tcPr>
            <w:tcW w:w="723" w:type="pct"/>
            <w:vAlign w:val="center"/>
            <w:hideMark/>
          </w:tcPr>
          <w:p w14:paraId="1C060B27" w14:textId="2207536A" w:rsidR="00201A4E" w:rsidRPr="008C1734" w:rsidRDefault="00201A4E" w:rsidP="000A5389">
            <w:pPr>
              <w:spacing w:line="240" w:lineRule="auto"/>
              <w:jc w:val="center"/>
              <w:rPr>
                <w:rFonts w:eastAsia="Times New Roman" w:cs="Times New Roman"/>
                <w:b/>
                <w:bCs/>
                <w:kern w:val="0"/>
                <w:sz w:val="16"/>
                <w:szCs w:val="16"/>
                <w:lang w:eastAsia="es-CO"/>
                <w14:ligatures w14:val="none"/>
              </w:rPr>
            </w:pPr>
            <w:r w:rsidRPr="008C1734">
              <w:rPr>
                <w:rFonts w:eastAsia="Times New Roman" w:cs="Times New Roman"/>
                <w:b/>
                <w:bCs/>
                <w:kern w:val="0"/>
                <w:sz w:val="16"/>
                <w:szCs w:val="16"/>
                <w:lang w:eastAsia="es-CO"/>
                <w14:ligatures w14:val="none"/>
              </w:rPr>
              <w:t>VARIACIÓN</w:t>
            </w:r>
          </w:p>
        </w:tc>
        <w:tc>
          <w:tcPr>
            <w:tcW w:w="803" w:type="pct"/>
            <w:vAlign w:val="center"/>
            <w:hideMark/>
          </w:tcPr>
          <w:p w14:paraId="2EE68759" w14:textId="77777777" w:rsidR="00201A4E" w:rsidRPr="008C1734" w:rsidRDefault="00201A4E" w:rsidP="000A5389">
            <w:pPr>
              <w:spacing w:line="240" w:lineRule="auto"/>
              <w:jc w:val="center"/>
              <w:rPr>
                <w:rFonts w:eastAsia="Times New Roman" w:cs="Times New Roman"/>
                <w:b/>
                <w:bCs/>
                <w:kern w:val="0"/>
                <w:sz w:val="16"/>
                <w:szCs w:val="16"/>
                <w:lang w:eastAsia="es-CO"/>
                <w14:ligatures w14:val="none"/>
              </w:rPr>
            </w:pPr>
            <w:r w:rsidRPr="008C1734">
              <w:rPr>
                <w:rFonts w:eastAsia="Times New Roman" w:cs="Times New Roman"/>
                <w:b/>
                <w:bCs/>
                <w:kern w:val="0"/>
                <w:sz w:val="16"/>
                <w:szCs w:val="16"/>
                <w:lang w:eastAsia="es-CO"/>
                <w14:ligatures w14:val="none"/>
              </w:rPr>
              <w:t>EN DINERO 2025</w:t>
            </w:r>
          </w:p>
        </w:tc>
        <w:tc>
          <w:tcPr>
            <w:tcW w:w="426" w:type="pct"/>
            <w:vAlign w:val="center"/>
            <w:hideMark/>
          </w:tcPr>
          <w:p w14:paraId="5CE3334D" w14:textId="77777777" w:rsidR="00201A4E" w:rsidRPr="008C1734" w:rsidRDefault="00201A4E" w:rsidP="000A5389">
            <w:pPr>
              <w:spacing w:line="240" w:lineRule="auto"/>
              <w:jc w:val="center"/>
              <w:rPr>
                <w:rFonts w:eastAsia="Times New Roman" w:cs="Times New Roman"/>
                <w:b/>
                <w:bCs/>
                <w:kern w:val="0"/>
                <w:sz w:val="16"/>
                <w:szCs w:val="16"/>
                <w:lang w:eastAsia="es-CO"/>
                <w14:ligatures w14:val="none"/>
              </w:rPr>
            </w:pPr>
            <w:r w:rsidRPr="008C1734">
              <w:rPr>
                <w:rFonts w:eastAsia="Times New Roman" w:cs="Times New Roman"/>
                <w:b/>
                <w:bCs/>
                <w:kern w:val="0"/>
                <w:sz w:val="16"/>
                <w:szCs w:val="16"/>
                <w:lang w:eastAsia="es-CO"/>
                <w14:ligatures w14:val="none"/>
              </w:rPr>
              <w:t>EN ESPECIE 2025</w:t>
            </w:r>
          </w:p>
        </w:tc>
      </w:tr>
      <w:tr w:rsidR="00201A4E" w:rsidRPr="008C1734" w14:paraId="76F17B64" w14:textId="77777777" w:rsidTr="008C1734">
        <w:trPr>
          <w:trHeight w:val="540"/>
        </w:trPr>
        <w:tc>
          <w:tcPr>
            <w:tcW w:w="1523" w:type="pct"/>
            <w:gridSpan w:val="2"/>
            <w:noWrap/>
            <w:vAlign w:val="center"/>
            <w:hideMark/>
          </w:tcPr>
          <w:p w14:paraId="27CEDE2C" w14:textId="12830917" w:rsidR="00201A4E" w:rsidRPr="008C1734" w:rsidRDefault="00201A4E" w:rsidP="000A5389">
            <w:pPr>
              <w:spacing w:line="240" w:lineRule="auto"/>
              <w:rPr>
                <w:rFonts w:eastAsia="Times New Roman" w:cs="Times New Roman"/>
                <w:b/>
                <w:bCs/>
                <w:kern w:val="0"/>
                <w:sz w:val="16"/>
                <w:szCs w:val="16"/>
                <w:lang w:eastAsia="es-CO"/>
                <w14:ligatures w14:val="none"/>
              </w:rPr>
            </w:pPr>
            <w:r w:rsidRPr="008C1734">
              <w:rPr>
                <w:rFonts w:eastAsia="Times New Roman" w:cs="Times New Roman"/>
                <w:b/>
                <w:bCs/>
                <w:kern w:val="0"/>
                <w:sz w:val="16"/>
                <w:szCs w:val="16"/>
                <w:lang w:eastAsia="es-CO"/>
                <w14:ligatures w14:val="none"/>
              </w:rPr>
              <w:t> GASTOS DE ADMINISTRACIÓN, DE OPERACIÓN Y DE VENTAS</w:t>
            </w:r>
          </w:p>
        </w:tc>
        <w:tc>
          <w:tcPr>
            <w:tcW w:w="803" w:type="pct"/>
            <w:noWrap/>
            <w:vAlign w:val="center"/>
            <w:hideMark/>
          </w:tcPr>
          <w:p w14:paraId="462DFBE0" w14:textId="77777777" w:rsidR="00201A4E" w:rsidRPr="008C1734" w:rsidRDefault="00201A4E" w:rsidP="000A5389">
            <w:pPr>
              <w:spacing w:line="240" w:lineRule="auto"/>
              <w:jc w:val="right"/>
              <w:rPr>
                <w:rFonts w:eastAsia="Times New Roman" w:cs="Times New Roman"/>
                <w:b/>
                <w:bCs/>
                <w:kern w:val="0"/>
                <w:sz w:val="16"/>
                <w:szCs w:val="16"/>
                <w:lang w:eastAsia="es-CO"/>
                <w14:ligatures w14:val="none"/>
              </w:rPr>
            </w:pPr>
            <w:r w:rsidRPr="008C1734">
              <w:rPr>
                <w:rFonts w:eastAsia="Times New Roman" w:cs="Times New Roman"/>
                <w:b/>
                <w:bCs/>
                <w:kern w:val="0"/>
                <w:sz w:val="16"/>
                <w:szCs w:val="16"/>
                <w:lang w:eastAsia="es-CO"/>
                <w14:ligatures w14:val="none"/>
              </w:rPr>
              <w:t>1.065.374.465.462</w:t>
            </w:r>
          </w:p>
        </w:tc>
        <w:tc>
          <w:tcPr>
            <w:tcW w:w="722" w:type="pct"/>
            <w:noWrap/>
            <w:vAlign w:val="center"/>
            <w:hideMark/>
          </w:tcPr>
          <w:p w14:paraId="6D249B8F" w14:textId="77777777" w:rsidR="00201A4E" w:rsidRPr="008C1734" w:rsidRDefault="00201A4E" w:rsidP="000A5389">
            <w:pPr>
              <w:spacing w:line="240" w:lineRule="auto"/>
              <w:jc w:val="right"/>
              <w:rPr>
                <w:rFonts w:eastAsia="Times New Roman" w:cs="Times New Roman"/>
                <w:b/>
                <w:bCs/>
                <w:kern w:val="0"/>
                <w:sz w:val="16"/>
                <w:szCs w:val="16"/>
                <w:lang w:eastAsia="es-CO"/>
                <w14:ligatures w14:val="none"/>
              </w:rPr>
            </w:pPr>
            <w:r w:rsidRPr="008C1734">
              <w:rPr>
                <w:rFonts w:eastAsia="Times New Roman" w:cs="Times New Roman"/>
                <w:b/>
                <w:bCs/>
                <w:kern w:val="0"/>
                <w:sz w:val="16"/>
                <w:szCs w:val="16"/>
                <w:lang w:eastAsia="es-CO"/>
                <w14:ligatures w14:val="none"/>
              </w:rPr>
              <w:t>986.408.646.525</w:t>
            </w:r>
          </w:p>
        </w:tc>
        <w:tc>
          <w:tcPr>
            <w:tcW w:w="723" w:type="pct"/>
            <w:noWrap/>
            <w:vAlign w:val="center"/>
            <w:hideMark/>
          </w:tcPr>
          <w:p w14:paraId="3070BF53" w14:textId="77777777" w:rsidR="00201A4E" w:rsidRPr="008C1734" w:rsidRDefault="00201A4E" w:rsidP="000A5389">
            <w:pPr>
              <w:spacing w:line="240" w:lineRule="auto"/>
              <w:jc w:val="right"/>
              <w:rPr>
                <w:rFonts w:eastAsia="Times New Roman" w:cs="Times New Roman"/>
                <w:b/>
                <w:bCs/>
                <w:kern w:val="0"/>
                <w:sz w:val="16"/>
                <w:szCs w:val="16"/>
                <w:lang w:eastAsia="es-CO"/>
                <w14:ligatures w14:val="none"/>
              </w:rPr>
            </w:pPr>
            <w:r w:rsidRPr="008C1734">
              <w:rPr>
                <w:rFonts w:eastAsia="Times New Roman" w:cs="Times New Roman"/>
                <w:b/>
                <w:bCs/>
                <w:kern w:val="0"/>
                <w:sz w:val="16"/>
                <w:szCs w:val="16"/>
                <w:lang w:eastAsia="es-CO"/>
                <w14:ligatures w14:val="none"/>
              </w:rPr>
              <w:t>78.965.818.937</w:t>
            </w:r>
          </w:p>
        </w:tc>
        <w:tc>
          <w:tcPr>
            <w:tcW w:w="803" w:type="pct"/>
            <w:noWrap/>
            <w:vAlign w:val="center"/>
            <w:hideMark/>
          </w:tcPr>
          <w:p w14:paraId="7068AF16" w14:textId="77777777" w:rsidR="00201A4E" w:rsidRPr="008C1734" w:rsidRDefault="00201A4E" w:rsidP="000A5389">
            <w:pPr>
              <w:spacing w:line="240" w:lineRule="auto"/>
              <w:jc w:val="right"/>
              <w:rPr>
                <w:rFonts w:eastAsia="Times New Roman" w:cs="Times New Roman"/>
                <w:b/>
                <w:bCs/>
                <w:kern w:val="0"/>
                <w:sz w:val="16"/>
                <w:szCs w:val="16"/>
                <w:lang w:eastAsia="es-CO"/>
                <w14:ligatures w14:val="none"/>
              </w:rPr>
            </w:pPr>
            <w:r w:rsidRPr="008C1734">
              <w:rPr>
                <w:rFonts w:eastAsia="Times New Roman" w:cs="Times New Roman"/>
                <w:b/>
                <w:bCs/>
                <w:kern w:val="0"/>
                <w:sz w:val="16"/>
                <w:szCs w:val="16"/>
                <w:lang w:eastAsia="es-CO"/>
                <w14:ligatures w14:val="none"/>
              </w:rPr>
              <w:t>1.065.374.465.462</w:t>
            </w:r>
          </w:p>
        </w:tc>
        <w:tc>
          <w:tcPr>
            <w:tcW w:w="426" w:type="pct"/>
            <w:noWrap/>
            <w:vAlign w:val="center"/>
            <w:hideMark/>
          </w:tcPr>
          <w:p w14:paraId="7B11DA52" w14:textId="02347F1F" w:rsidR="00201A4E" w:rsidRPr="008C1734" w:rsidRDefault="00201A4E" w:rsidP="000A5389">
            <w:pPr>
              <w:spacing w:line="240" w:lineRule="auto"/>
              <w:jc w:val="right"/>
              <w:rPr>
                <w:rFonts w:eastAsia="Times New Roman" w:cs="Times New Roman"/>
                <w:b/>
                <w:bCs/>
                <w:kern w:val="0"/>
                <w:sz w:val="16"/>
                <w:szCs w:val="16"/>
                <w:lang w:eastAsia="es-CO"/>
                <w14:ligatures w14:val="none"/>
              </w:rPr>
            </w:pPr>
            <w:r w:rsidRPr="008C1734">
              <w:rPr>
                <w:rFonts w:eastAsia="Times New Roman" w:cs="Times New Roman"/>
                <w:b/>
                <w:bCs/>
                <w:kern w:val="0"/>
                <w:sz w:val="16"/>
                <w:szCs w:val="16"/>
                <w:lang w:eastAsia="es-CO"/>
                <w14:ligatures w14:val="none"/>
              </w:rPr>
              <w:t>0</w:t>
            </w:r>
          </w:p>
        </w:tc>
      </w:tr>
      <w:tr w:rsidR="00201A4E" w:rsidRPr="008C1734" w14:paraId="5D134DDC" w14:textId="77777777" w:rsidTr="008C1734">
        <w:trPr>
          <w:trHeight w:val="270"/>
        </w:trPr>
        <w:tc>
          <w:tcPr>
            <w:tcW w:w="1523" w:type="pct"/>
            <w:gridSpan w:val="2"/>
            <w:noWrap/>
            <w:vAlign w:val="center"/>
          </w:tcPr>
          <w:p w14:paraId="084AFE21" w14:textId="77777777" w:rsidR="00201A4E" w:rsidRPr="008C1734" w:rsidRDefault="00201A4E" w:rsidP="000A5389">
            <w:pPr>
              <w:spacing w:line="240" w:lineRule="auto"/>
              <w:rPr>
                <w:rFonts w:eastAsia="Times New Roman" w:cs="Times New Roman"/>
                <w:b/>
                <w:bCs/>
                <w:kern w:val="0"/>
                <w:sz w:val="16"/>
                <w:szCs w:val="16"/>
                <w:lang w:eastAsia="es-CO"/>
                <w14:ligatures w14:val="none"/>
              </w:rPr>
            </w:pPr>
            <w:r w:rsidRPr="008C1734">
              <w:rPr>
                <w:rFonts w:eastAsia="Times New Roman" w:cs="Times New Roman"/>
                <w:b/>
                <w:bCs/>
                <w:kern w:val="0"/>
                <w:sz w:val="16"/>
                <w:szCs w:val="16"/>
                <w:lang w:eastAsia="es-CO"/>
                <w14:ligatures w14:val="none"/>
              </w:rPr>
              <w:t>DE ADMINISTRACIÓN Y OPERACIÓN</w:t>
            </w:r>
          </w:p>
        </w:tc>
        <w:tc>
          <w:tcPr>
            <w:tcW w:w="803" w:type="pct"/>
            <w:noWrap/>
            <w:vAlign w:val="center"/>
            <w:hideMark/>
          </w:tcPr>
          <w:p w14:paraId="4003DFB3" w14:textId="77777777" w:rsidR="00201A4E" w:rsidRPr="008C1734" w:rsidRDefault="00201A4E" w:rsidP="000A5389">
            <w:pPr>
              <w:spacing w:line="240" w:lineRule="auto"/>
              <w:jc w:val="right"/>
              <w:rPr>
                <w:rFonts w:eastAsia="Times New Roman" w:cs="Times New Roman"/>
                <w:b/>
                <w:bCs/>
                <w:kern w:val="0"/>
                <w:sz w:val="16"/>
                <w:szCs w:val="16"/>
                <w:lang w:eastAsia="es-CO"/>
                <w14:ligatures w14:val="none"/>
              </w:rPr>
            </w:pPr>
            <w:r w:rsidRPr="008C1734">
              <w:rPr>
                <w:rFonts w:eastAsia="Times New Roman" w:cs="Times New Roman"/>
                <w:b/>
                <w:bCs/>
                <w:kern w:val="0"/>
                <w:sz w:val="16"/>
                <w:szCs w:val="16"/>
                <w:lang w:eastAsia="es-CO"/>
                <w14:ligatures w14:val="none"/>
              </w:rPr>
              <w:t>1.065.374.465.462</w:t>
            </w:r>
          </w:p>
        </w:tc>
        <w:tc>
          <w:tcPr>
            <w:tcW w:w="722" w:type="pct"/>
            <w:noWrap/>
            <w:vAlign w:val="center"/>
            <w:hideMark/>
          </w:tcPr>
          <w:p w14:paraId="6FA9BA34" w14:textId="77777777" w:rsidR="00201A4E" w:rsidRPr="008C1734" w:rsidRDefault="00201A4E" w:rsidP="000A5389">
            <w:pPr>
              <w:spacing w:line="240" w:lineRule="auto"/>
              <w:jc w:val="right"/>
              <w:rPr>
                <w:rFonts w:eastAsia="Times New Roman" w:cs="Times New Roman"/>
                <w:b/>
                <w:bCs/>
                <w:kern w:val="0"/>
                <w:sz w:val="16"/>
                <w:szCs w:val="16"/>
                <w:lang w:eastAsia="es-CO"/>
                <w14:ligatures w14:val="none"/>
              </w:rPr>
            </w:pPr>
            <w:r w:rsidRPr="008C1734">
              <w:rPr>
                <w:rFonts w:eastAsia="Times New Roman" w:cs="Times New Roman"/>
                <w:b/>
                <w:bCs/>
                <w:kern w:val="0"/>
                <w:sz w:val="16"/>
                <w:szCs w:val="16"/>
                <w:lang w:eastAsia="es-CO"/>
                <w14:ligatures w14:val="none"/>
              </w:rPr>
              <w:t>986.408.646.525</w:t>
            </w:r>
          </w:p>
        </w:tc>
        <w:tc>
          <w:tcPr>
            <w:tcW w:w="723" w:type="pct"/>
            <w:noWrap/>
            <w:vAlign w:val="center"/>
            <w:hideMark/>
          </w:tcPr>
          <w:p w14:paraId="5D595779" w14:textId="77777777" w:rsidR="00201A4E" w:rsidRPr="008C1734" w:rsidRDefault="00201A4E" w:rsidP="000A5389">
            <w:pPr>
              <w:spacing w:line="240" w:lineRule="auto"/>
              <w:jc w:val="right"/>
              <w:rPr>
                <w:rFonts w:eastAsia="Times New Roman" w:cs="Times New Roman"/>
                <w:b/>
                <w:bCs/>
                <w:kern w:val="0"/>
                <w:sz w:val="16"/>
                <w:szCs w:val="16"/>
                <w:lang w:eastAsia="es-CO"/>
                <w14:ligatures w14:val="none"/>
              </w:rPr>
            </w:pPr>
            <w:r w:rsidRPr="008C1734">
              <w:rPr>
                <w:rFonts w:eastAsia="Times New Roman" w:cs="Times New Roman"/>
                <w:b/>
                <w:bCs/>
                <w:kern w:val="0"/>
                <w:sz w:val="16"/>
                <w:szCs w:val="16"/>
                <w:lang w:eastAsia="es-CO"/>
                <w14:ligatures w14:val="none"/>
              </w:rPr>
              <w:t>78.965.818.937</w:t>
            </w:r>
          </w:p>
        </w:tc>
        <w:tc>
          <w:tcPr>
            <w:tcW w:w="803" w:type="pct"/>
            <w:noWrap/>
            <w:vAlign w:val="center"/>
            <w:hideMark/>
          </w:tcPr>
          <w:p w14:paraId="477D9D17" w14:textId="77777777" w:rsidR="00201A4E" w:rsidRPr="008C1734" w:rsidRDefault="00201A4E" w:rsidP="000A5389">
            <w:pPr>
              <w:spacing w:line="240" w:lineRule="auto"/>
              <w:jc w:val="right"/>
              <w:rPr>
                <w:rFonts w:eastAsia="Times New Roman" w:cs="Times New Roman"/>
                <w:b/>
                <w:bCs/>
                <w:kern w:val="0"/>
                <w:sz w:val="16"/>
                <w:szCs w:val="16"/>
                <w:lang w:eastAsia="es-CO"/>
                <w14:ligatures w14:val="none"/>
              </w:rPr>
            </w:pPr>
            <w:r w:rsidRPr="008C1734">
              <w:rPr>
                <w:rFonts w:eastAsia="Times New Roman" w:cs="Times New Roman"/>
                <w:b/>
                <w:bCs/>
                <w:kern w:val="0"/>
                <w:sz w:val="16"/>
                <w:szCs w:val="16"/>
                <w:lang w:eastAsia="es-CO"/>
                <w14:ligatures w14:val="none"/>
              </w:rPr>
              <w:t>1.065.374.465.462</w:t>
            </w:r>
          </w:p>
        </w:tc>
        <w:tc>
          <w:tcPr>
            <w:tcW w:w="426" w:type="pct"/>
            <w:noWrap/>
            <w:vAlign w:val="center"/>
            <w:hideMark/>
          </w:tcPr>
          <w:p w14:paraId="390056EB" w14:textId="1E03EDE5" w:rsidR="00201A4E" w:rsidRPr="008C1734" w:rsidRDefault="00201A4E" w:rsidP="000A5389">
            <w:pPr>
              <w:spacing w:line="240" w:lineRule="auto"/>
              <w:jc w:val="right"/>
              <w:rPr>
                <w:rFonts w:eastAsia="Times New Roman" w:cs="Times New Roman"/>
                <w:b/>
                <w:bCs/>
                <w:kern w:val="0"/>
                <w:sz w:val="16"/>
                <w:szCs w:val="16"/>
                <w:lang w:eastAsia="es-CO"/>
                <w14:ligatures w14:val="none"/>
              </w:rPr>
            </w:pPr>
            <w:r w:rsidRPr="008C1734">
              <w:rPr>
                <w:rFonts w:eastAsia="Times New Roman" w:cs="Times New Roman"/>
                <w:b/>
                <w:bCs/>
                <w:kern w:val="0"/>
                <w:sz w:val="16"/>
                <w:szCs w:val="16"/>
                <w:lang w:eastAsia="es-CO"/>
                <w14:ligatures w14:val="none"/>
              </w:rPr>
              <w:t>0</w:t>
            </w:r>
          </w:p>
        </w:tc>
      </w:tr>
      <w:tr w:rsidR="00201A4E" w:rsidRPr="008C1734" w14:paraId="1F42FD2D" w14:textId="77777777" w:rsidTr="008C1734">
        <w:trPr>
          <w:trHeight w:val="278"/>
        </w:trPr>
        <w:tc>
          <w:tcPr>
            <w:tcW w:w="318" w:type="pct"/>
            <w:vAlign w:val="center"/>
          </w:tcPr>
          <w:p w14:paraId="489EDE9E" w14:textId="364CF0ED" w:rsidR="00201A4E" w:rsidRPr="008C1734" w:rsidRDefault="00201A4E" w:rsidP="000A5389">
            <w:pPr>
              <w:spacing w:line="240" w:lineRule="auto"/>
              <w:rPr>
                <w:rFonts w:eastAsia="Times New Roman" w:cs="Times New Roman"/>
                <w:kern w:val="0"/>
                <w:sz w:val="16"/>
                <w:szCs w:val="16"/>
                <w:lang w:eastAsia="es-CO"/>
                <w14:ligatures w14:val="none"/>
              </w:rPr>
            </w:pPr>
            <w:r w:rsidRPr="008C1734">
              <w:rPr>
                <w:rFonts w:cs="Times New Roman"/>
                <w:b/>
                <w:color w:val="000000"/>
                <w:sz w:val="16"/>
                <w:szCs w:val="16"/>
              </w:rPr>
              <w:t>5.1</w:t>
            </w:r>
          </w:p>
        </w:tc>
        <w:tc>
          <w:tcPr>
            <w:tcW w:w="1205" w:type="pct"/>
            <w:vAlign w:val="center"/>
            <w:hideMark/>
          </w:tcPr>
          <w:p w14:paraId="11CF2A3E" w14:textId="19C2F4CB" w:rsidR="00201A4E" w:rsidRPr="008C1734" w:rsidRDefault="00C8612C" w:rsidP="000A5389">
            <w:pPr>
              <w:spacing w:line="240" w:lineRule="auto"/>
              <w:rPr>
                <w:rFonts w:eastAsia="Times New Roman" w:cs="Times New Roman"/>
                <w:kern w:val="0"/>
                <w:sz w:val="16"/>
                <w:szCs w:val="16"/>
                <w:lang w:eastAsia="es-CO"/>
                <w14:ligatures w14:val="none"/>
              </w:rPr>
            </w:pPr>
            <w:r w:rsidRPr="008C1734">
              <w:rPr>
                <w:rFonts w:eastAsia="Times New Roman" w:cs="Times New Roman"/>
                <w:kern w:val="0"/>
                <w:sz w:val="16"/>
                <w:szCs w:val="16"/>
                <w:lang w:eastAsia="es-CO"/>
                <w14:ligatures w14:val="none"/>
              </w:rPr>
              <w:t>Generales</w:t>
            </w:r>
          </w:p>
        </w:tc>
        <w:tc>
          <w:tcPr>
            <w:tcW w:w="803" w:type="pct"/>
            <w:noWrap/>
            <w:vAlign w:val="center"/>
            <w:hideMark/>
          </w:tcPr>
          <w:p w14:paraId="53945401" w14:textId="77777777" w:rsidR="00201A4E" w:rsidRPr="008C1734" w:rsidRDefault="00201A4E" w:rsidP="000A5389">
            <w:pPr>
              <w:spacing w:line="240" w:lineRule="auto"/>
              <w:jc w:val="right"/>
              <w:rPr>
                <w:rFonts w:eastAsia="Times New Roman" w:cs="Times New Roman"/>
                <w:kern w:val="0"/>
                <w:sz w:val="16"/>
                <w:szCs w:val="16"/>
                <w:lang w:eastAsia="es-CO"/>
                <w14:ligatures w14:val="none"/>
              </w:rPr>
            </w:pPr>
            <w:r w:rsidRPr="008C1734">
              <w:rPr>
                <w:rFonts w:eastAsia="Times New Roman" w:cs="Times New Roman"/>
                <w:kern w:val="0"/>
                <w:sz w:val="16"/>
                <w:szCs w:val="16"/>
                <w:lang w:eastAsia="es-CO"/>
                <w14:ligatures w14:val="none"/>
              </w:rPr>
              <w:t>978.119.807.113</w:t>
            </w:r>
          </w:p>
        </w:tc>
        <w:tc>
          <w:tcPr>
            <w:tcW w:w="722" w:type="pct"/>
            <w:noWrap/>
            <w:vAlign w:val="center"/>
            <w:hideMark/>
          </w:tcPr>
          <w:p w14:paraId="7C678F23" w14:textId="77777777" w:rsidR="00201A4E" w:rsidRPr="008C1734" w:rsidRDefault="00201A4E" w:rsidP="000A5389">
            <w:pPr>
              <w:spacing w:line="240" w:lineRule="auto"/>
              <w:jc w:val="right"/>
              <w:rPr>
                <w:rFonts w:eastAsia="Times New Roman" w:cs="Times New Roman"/>
                <w:kern w:val="0"/>
                <w:sz w:val="16"/>
                <w:szCs w:val="16"/>
                <w:lang w:eastAsia="es-CO"/>
                <w14:ligatures w14:val="none"/>
              </w:rPr>
            </w:pPr>
            <w:r w:rsidRPr="008C1734">
              <w:rPr>
                <w:rFonts w:eastAsia="Times New Roman" w:cs="Times New Roman"/>
                <w:kern w:val="0"/>
                <w:sz w:val="16"/>
                <w:szCs w:val="16"/>
                <w:lang w:eastAsia="es-CO"/>
                <w14:ligatures w14:val="none"/>
              </w:rPr>
              <w:t>903.679.617.095</w:t>
            </w:r>
          </w:p>
        </w:tc>
        <w:tc>
          <w:tcPr>
            <w:tcW w:w="723" w:type="pct"/>
            <w:noWrap/>
            <w:vAlign w:val="center"/>
            <w:hideMark/>
          </w:tcPr>
          <w:p w14:paraId="2BEB3DAF" w14:textId="77777777" w:rsidR="00201A4E" w:rsidRPr="008C1734" w:rsidRDefault="00201A4E" w:rsidP="000A5389">
            <w:pPr>
              <w:spacing w:line="240" w:lineRule="auto"/>
              <w:jc w:val="right"/>
              <w:rPr>
                <w:rFonts w:eastAsia="Times New Roman" w:cs="Times New Roman"/>
                <w:kern w:val="0"/>
                <w:sz w:val="16"/>
                <w:szCs w:val="16"/>
                <w:lang w:eastAsia="es-CO"/>
                <w14:ligatures w14:val="none"/>
              </w:rPr>
            </w:pPr>
            <w:r w:rsidRPr="008C1734">
              <w:rPr>
                <w:rFonts w:eastAsia="Times New Roman" w:cs="Times New Roman"/>
                <w:kern w:val="0"/>
                <w:sz w:val="16"/>
                <w:szCs w:val="16"/>
                <w:lang w:eastAsia="es-CO"/>
                <w14:ligatures w14:val="none"/>
              </w:rPr>
              <w:t>74.440.190.018</w:t>
            </w:r>
          </w:p>
        </w:tc>
        <w:tc>
          <w:tcPr>
            <w:tcW w:w="803" w:type="pct"/>
            <w:noWrap/>
            <w:vAlign w:val="center"/>
            <w:hideMark/>
          </w:tcPr>
          <w:p w14:paraId="7AAA21BC" w14:textId="77777777" w:rsidR="00201A4E" w:rsidRPr="008C1734" w:rsidRDefault="00201A4E" w:rsidP="000A5389">
            <w:pPr>
              <w:spacing w:line="240" w:lineRule="auto"/>
              <w:jc w:val="right"/>
              <w:rPr>
                <w:rFonts w:eastAsia="Times New Roman" w:cs="Times New Roman"/>
                <w:kern w:val="0"/>
                <w:sz w:val="16"/>
                <w:szCs w:val="16"/>
                <w:lang w:eastAsia="es-CO"/>
                <w14:ligatures w14:val="none"/>
              </w:rPr>
            </w:pPr>
            <w:r w:rsidRPr="008C1734">
              <w:rPr>
                <w:rFonts w:eastAsia="Times New Roman" w:cs="Times New Roman"/>
                <w:kern w:val="0"/>
                <w:sz w:val="16"/>
                <w:szCs w:val="16"/>
                <w:lang w:eastAsia="es-CO"/>
                <w14:ligatures w14:val="none"/>
              </w:rPr>
              <w:t>978.119.807.113</w:t>
            </w:r>
          </w:p>
        </w:tc>
        <w:tc>
          <w:tcPr>
            <w:tcW w:w="426" w:type="pct"/>
            <w:noWrap/>
            <w:vAlign w:val="center"/>
            <w:hideMark/>
          </w:tcPr>
          <w:p w14:paraId="6BDD2E38" w14:textId="61B97D75" w:rsidR="00201A4E" w:rsidRPr="008C1734" w:rsidRDefault="00201A4E" w:rsidP="000A5389">
            <w:pPr>
              <w:spacing w:line="240" w:lineRule="auto"/>
              <w:jc w:val="right"/>
              <w:rPr>
                <w:rFonts w:eastAsia="Times New Roman" w:cs="Times New Roman"/>
                <w:kern w:val="0"/>
                <w:sz w:val="16"/>
                <w:szCs w:val="16"/>
                <w:lang w:eastAsia="es-CO"/>
                <w14:ligatures w14:val="none"/>
              </w:rPr>
            </w:pPr>
            <w:r w:rsidRPr="008C1734">
              <w:rPr>
                <w:rFonts w:eastAsia="Times New Roman" w:cs="Times New Roman"/>
                <w:kern w:val="0"/>
                <w:sz w:val="16"/>
                <w:szCs w:val="16"/>
                <w:lang w:eastAsia="es-CO"/>
                <w14:ligatures w14:val="none"/>
              </w:rPr>
              <w:t>0</w:t>
            </w:r>
          </w:p>
        </w:tc>
      </w:tr>
      <w:tr w:rsidR="00336FA0" w:rsidRPr="008C1734" w14:paraId="612062A5" w14:textId="77777777" w:rsidTr="008C1734">
        <w:trPr>
          <w:trHeight w:val="278"/>
        </w:trPr>
        <w:tc>
          <w:tcPr>
            <w:tcW w:w="318" w:type="pct"/>
            <w:noWrap/>
            <w:vAlign w:val="center"/>
          </w:tcPr>
          <w:p w14:paraId="67F7714D" w14:textId="40C37B82" w:rsidR="00336FA0" w:rsidRPr="008C1734" w:rsidRDefault="00336FA0" w:rsidP="000A5389">
            <w:pPr>
              <w:spacing w:line="240" w:lineRule="auto"/>
              <w:rPr>
                <w:rFonts w:eastAsia="Times New Roman" w:cs="Times New Roman"/>
                <w:kern w:val="0"/>
                <w:sz w:val="16"/>
                <w:szCs w:val="16"/>
                <w:lang w:eastAsia="es-CO"/>
                <w14:ligatures w14:val="none"/>
              </w:rPr>
            </w:pPr>
            <w:r w:rsidRPr="008C1734">
              <w:rPr>
                <w:rFonts w:cs="Times New Roman"/>
                <w:color w:val="000000"/>
                <w:sz w:val="16"/>
                <w:szCs w:val="16"/>
              </w:rPr>
              <w:t>5.1.11</w:t>
            </w:r>
          </w:p>
        </w:tc>
        <w:tc>
          <w:tcPr>
            <w:tcW w:w="1205" w:type="pct"/>
            <w:vAlign w:val="center"/>
            <w:hideMark/>
          </w:tcPr>
          <w:p w14:paraId="1AC27B87" w14:textId="77777777" w:rsidR="00336FA0" w:rsidRPr="008C1734" w:rsidRDefault="00336FA0" w:rsidP="000A5389">
            <w:pPr>
              <w:spacing w:line="240" w:lineRule="auto"/>
              <w:rPr>
                <w:rFonts w:eastAsia="Times New Roman" w:cs="Times New Roman"/>
                <w:kern w:val="0"/>
                <w:sz w:val="16"/>
                <w:szCs w:val="16"/>
                <w:lang w:eastAsia="es-CO"/>
                <w14:ligatures w14:val="none"/>
              </w:rPr>
            </w:pPr>
            <w:r w:rsidRPr="008C1734">
              <w:rPr>
                <w:rFonts w:eastAsia="Times New Roman" w:cs="Times New Roman"/>
                <w:kern w:val="0"/>
                <w:sz w:val="16"/>
                <w:szCs w:val="16"/>
                <w:lang w:eastAsia="es-CO"/>
                <w14:ligatures w14:val="none"/>
              </w:rPr>
              <w:t>Sueldos y salarios</w:t>
            </w:r>
          </w:p>
        </w:tc>
        <w:tc>
          <w:tcPr>
            <w:tcW w:w="803" w:type="pct"/>
            <w:noWrap/>
            <w:vAlign w:val="center"/>
            <w:hideMark/>
          </w:tcPr>
          <w:p w14:paraId="3209BABE" w14:textId="77777777" w:rsidR="00336FA0" w:rsidRPr="008C1734" w:rsidRDefault="00336FA0" w:rsidP="000A5389">
            <w:pPr>
              <w:spacing w:line="240" w:lineRule="auto"/>
              <w:jc w:val="right"/>
              <w:rPr>
                <w:rFonts w:eastAsia="Times New Roman" w:cs="Times New Roman"/>
                <w:kern w:val="0"/>
                <w:sz w:val="16"/>
                <w:szCs w:val="16"/>
                <w:lang w:eastAsia="es-CO"/>
                <w14:ligatures w14:val="none"/>
              </w:rPr>
            </w:pPr>
            <w:r w:rsidRPr="008C1734">
              <w:rPr>
                <w:rFonts w:eastAsia="Times New Roman" w:cs="Times New Roman"/>
                <w:kern w:val="0"/>
                <w:sz w:val="16"/>
                <w:szCs w:val="16"/>
                <w:lang w:eastAsia="es-CO"/>
                <w14:ligatures w14:val="none"/>
              </w:rPr>
              <w:t>40.959.771.132</w:t>
            </w:r>
          </w:p>
        </w:tc>
        <w:tc>
          <w:tcPr>
            <w:tcW w:w="722" w:type="pct"/>
            <w:noWrap/>
            <w:vAlign w:val="center"/>
            <w:hideMark/>
          </w:tcPr>
          <w:p w14:paraId="3A4DD68D" w14:textId="77777777" w:rsidR="00336FA0" w:rsidRPr="008C1734" w:rsidRDefault="00336FA0" w:rsidP="000A5389">
            <w:pPr>
              <w:spacing w:line="240" w:lineRule="auto"/>
              <w:jc w:val="right"/>
              <w:rPr>
                <w:rFonts w:eastAsia="Times New Roman" w:cs="Times New Roman"/>
                <w:kern w:val="0"/>
                <w:sz w:val="16"/>
                <w:szCs w:val="16"/>
                <w:lang w:eastAsia="es-CO"/>
                <w14:ligatures w14:val="none"/>
              </w:rPr>
            </w:pPr>
            <w:r w:rsidRPr="008C1734">
              <w:rPr>
                <w:rFonts w:eastAsia="Times New Roman" w:cs="Times New Roman"/>
                <w:kern w:val="0"/>
                <w:sz w:val="16"/>
                <w:szCs w:val="16"/>
                <w:lang w:eastAsia="es-CO"/>
                <w14:ligatures w14:val="none"/>
              </w:rPr>
              <w:t>38.804.213.363</w:t>
            </w:r>
          </w:p>
        </w:tc>
        <w:tc>
          <w:tcPr>
            <w:tcW w:w="723" w:type="pct"/>
            <w:noWrap/>
            <w:vAlign w:val="center"/>
            <w:hideMark/>
          </w:tcPr>
          <w:p w14:paraId="572CBCA8" w14:textId="77777777" w:rsidR="00336FA0" w:rsidRPr="008C1734" w:rsidRDefault="00336FA0" w:rsidP="000A5389">
            <w:pPr>
              <w:spacing w:line="240" w:lineRule="auto"/>
              <w:jc w:val="right"/>
              <w:rPr>
                <w:rFonts w:eastAsia="Times New Roman" w:cs="Times New Roman"/>
                <w:kern w:val="0"/>
                <w:sz w:val="16"/>
                <w:szCs w:val="16"/>
                <w:lang w:eastAsia="es-CO"/>
                <w14:ligatures w14:val="none"/>
              </w:rPr>
            </w:pPr>
            <w:r w:rsidRPr="008C1734">
              <w:rPr>
                <w:rFonts w:eastAsia="Times New Roman" w:cs="Times New Roman"/>
                <w:kern w:val="0"/>
                <w:sz w:val="16"/>
                <w:szCs w:val="16"/>
                <w:lang w:eastAsia="es-CO"/>
                <w14:ligatures w14:val="none"/>
              </w:rPr>
              <w:t>2.155.557.769</w:t>
            </w:r>
          </w:p>
        </w:tc>
        <w:tc>
          <w:tcPr>
            <w:tcW w:w="803" w:type="pct"/>
            <w:noWrap/>
            <w:vAlign w:val="center"/>
            <w:hideMark/>
          </w:tcPr>
          <w:p w14:paraId="6A4E6646" w14:textId="77777777" w:rsidR="00336FA0" w:rsidRPr="008C1734" w:rsidRDefault="00336FA0" w:rsidP="000A5389">
            <w:pPr>
              <w:spacing w:line="240" w:lineRule="auto"/>
              <w:jc w:val="right"/>
              <w:rPr>
                <w:rFonts w:eastAsia="Times New Roman" w:cs="Times New Roman"/>
                <w:kern w:val="0"/>
                <w:sz w:val="16"/>
                <w:szCs w:val="16"/>
                <w:lang w:eastAsia="es-CO"/>
                <w14:ligatures w14:val="none"/>
              </w:rPr>
            </w:pPr>
            <w:r w:rsidRPr="008C1734">
              <w:rPr>
                <w:rFonts w:eastAsia="Times New Roman" w:cs="Times New Roman"/>
                <w:kern w:val="0"/>
                <w:sz w:val="16"/>
                <w:szCs w:val="16"/>
                <w:lang w:eastAsia="es-CO"/>
                <w14:ligatures w14:val="none"/>
              </w:rPr>
              <w:t>40.959.771.132</w:t>
            </w:r>
          </w:p>
        </w:tc>
        <w:tc>
          <w:tcPr>
            <w:tcW w:w="426" w:type="pct"/>
            <w:noWrap/>
            <w:hideMark/>
          </w:tcPr>
          <w:p w14:paraId="5CB68530" w14:textId="3DA0CB1F" w:rsidR="00336FA0" w:rsidRPr="008C1734" w:rsidRDefault="00336FA0" w:rsidP="000A5389">
            <w:pPr>
              <w:spacing w:line="240" w:lineRule="auto"/>
              <w:jc w:val="right"/>
              <w:rPr>
                <w:rFonts w:eastAsia="Times New Roman" w:cs="Times New Roman"/>
                <w:kern w:val="0"/>
                <w:sz w:val="16"/>
                <w:szCs w:val="16"/>
                <w:lang w:eastAsia="es-CO"/>
                <w14:ligatures w14:val="none"/>
              </w:rPr>
            </w:pPr>
            <w:r w:rsidRPr="008C1734">
              <w:rPr>
                <w:rFonts w:eastAsia="Times New Roman" w:cs="Times New Roman"/>
                <w:kern w:val="0"/>
                <w:sz w:val="16"/>
                <w:szCs w:val="16"/>
                <w:lang w:eastAsia="es-CO"/>
                <w14:ligatures w14:val="none"/>
              </w:rPr>
              <w:t>0</w:t>
            </w:r>
          </w:p>
        </w:tc>
      </w:tr>
      <w:tr w:rsidR="00336FA0" w:rsidRPr="008C1734" w14:paraId="040E6BC9" w14:textId="77777777" w:rsidTr="008C1734">
        <w:trPr>
          <w:trHeight w:val="285"/>
        </w:trPr>
        <w:tc>
          <w:tcPr>
            <w:tcW w:w="318" w:type="pct"/>
            <w:vAlign w:val="center"/>
          </w:tcPr>
          <w:p w14:paraId="32753679" w14:textId="2665F8AE" w:rsidR="00336FA0" w:rsidRPr="008C1734" w:rsidRDefault="00336FA0" w:rsidP="000A5389">
            <w:pPr>
              <w:spacing w:line="240" w:lineRule="auto"/>
              <w:rPr>
                <w:rFonts w:eastAsia="Times New Roman" w:cs="Times New Roman"/>
                <w:kern w:val="0"/>
                <w:sz w:val="16"/>
                <w:szCs w:val="16"/>
                <w:lang w:eastAsia="es-CO"/>
                <w14:ligatures w14:val="none"/>
              </w:rPr>
            </w:pPr>
            <w:r w:rsidRPr="008C1734">
              <w:rPr>
                <w:rFonts w:cs="Times New Roman"/>
                <w:color w:val="000000"/>
                <w:sz w:val="16"/>
                <w:szCs w:val="16"/>
              </w:rPr>
              <w:t>5.1.01</w:t>
            </w:r>
          </w:p>
        </w:tc>
        <w:tc>
          <w:tcPr>
            <w:tcW w:w="1205" w:type="pct"/>
            <w:vAlign w:val="center"/>
            <w:hideMark/>
          </w:tcPr>
          <w:p w14:paraId="55B79453" w14:textId="0DA8D55C" w:rsidR="00336FA0" w:rsidRPr="008C1734" w:rsidRDefault="00336FA0" w:rsidP="000A5389">
            <w:pPr>
              <w:spacing w:line="240" w:lineRule="auto"/>
              <w:rPr>
                <w:rFonts w:eastAsia="Times New Roman" w:cs="Times New Roman"/>
                <w:kern w:val="0"/>
                <w:sz w:val="16"/>
                <w:szCs w:val="16"/>
                <w:lang w:eastAsia="es-CO"/>
                <w14:ligatures w14:val="none"/>
              </w:rPr>
            </w:pPr>
            <w:r w:rsidRPr="008C1734">
              <w:rPr>
                <w:rFonts w:eastAsia="Times New Roman" w:cs="Times New Roman"/>
                <w:kern w:val="0"/>
                <w:sz w:val="16"/>
                <w:szCs w:val="16"/>
                <w:lang w:eastAsia="es-CO"/>
                <w14:ligatures w14:val="none"/>
              </w:rPr>
              <w:t>Impuestos, contribuciones y tasas</w:t>
            </w:r>
          </w:p>
        </w:tc>
        <w:tc>
          <w:tcPr>
            <w:tcW w:w="803" w:type="pct"/>
            <w:noWrap/>
            <w:vAlign w:val="center"/>
            <w:hideMark/>
          </w:tcPr>
          <w:p w14:paraId="7EC22238" w14:textId="77777777" w:rsidR="00336FA0" w:rsidRPr="008C1734" w:rsidRDefault="00336FA0" w:rsidP="000A5389">
            <w:pPr>
              <w:spacing w:line="240" w:lineRule="auto"/>
              <w:jc w:val="right"/>
              <w:rPr>
                <w:rFonts w:eastAsia="Times New Roman" w:cs="Times New Roman"/>
                <w:kern w:val="0"/>
                <w:sz w:val="16"/>
                <w:szCs w:val="16"/>
                <w:lang w:eastAsia="es-CO"/>
                <w14:ligatures w14:val="none"/>
              </w:rPr>
            </w:pPr>
            <w:r w:rsidRPr="008C1734">
              <w:rPr>
                <w:rFonts w:eastAsia="Times New Roman" w:cs="Times New Roman"/>
                <w:kern w:val="0"/>
                <w:sz w:val="16"/>
                <w:szCs w:val="16"/>
                <w:lang w:eastAsia="es-CO"/>
                <w14:ligatures w14:val="none"/>
              </w:rPr>
              <w:t>18.398.135.926</w:t>
            </w:r>
          </w:p>
        </w:tc>
        <w:tc>
          <w:tcPr>
            <w:tcW w:w="722" w:type="pct"/>
            <w:noWrap/>
            <w:vAlign w:val="center"/>
            <w:hideMark/>
          </w:tcPr>
          <w:p w14:paraId="78A7B806" w14:textId="77777777" w:rsidR="00336FA0" w:rsidRPr="008C1734" w:rsidRDefault="00336FA0" w:rsidP="000A5389">
            <w:pPr>
              <w:spacing w:line="240" w:lineRule="auto"/>
              <w:jc w:val="right"/>
              <w:rPr>
                <w:rFonts w:eastAsia="Times New Roman" w:cs="Times New Roman"/>
                <w:kern w:val="0"/>
                <w:sz w:val="16"/>
                <w:szCs w:val="16"/>
                <w:lang w:eastAsia="es-CO"/>
                <w14:ligatures w14:val="none"/>
              </w:rPr>
            </w:pPr>
            <w:r w:rsidRPr="008C1734">
              <w:rPr>
                <w:rFonts w:eastAsia="Times New Roman" w:cs="Times New Roman"/>
                <w:kern w:val="0"/>
                <w:sz w:val="16"/>
                <w:szCs w:val="16"/>
                <w:lang w:eastAsia="es-CO"/>
                <w14:ligatures w14:val="none"/>
              </w:rPr>
              <w:t>17.509.844.631</w:t>
            </w:r>
          </w:p>
        </w:tc>
        <w:tc>
          <w:tcPr>
            <w:tcW w:w="723" w:type="pct"/>
            <w:noWrap/>
            <w:vAlign w:val="center"/>
            <w:hideMark/>
          </w:tcPr>
          <w:p w14:paraId="554BBDC8" w14:textId="77777777" w:rsidR="00336FA0" w:rsidRPr="008C1734" w:rsidRDefault="00336FA0" w:rsidP="000A5389">
            <w:pPr>
              <w:spacing w:line="240" w:lineRule="auto"/>
              <w:jc w:val="right"/>
              <w:rPr>
                <w:rFonts w:eastAsia="Times New Roman" w:cs="Times New Roman"/>
                <w:kern w:val="0"/>
                <w:sz w:val="16"/>
                <w:szCs w:val="16"/>
                <w:lang w:eastAsia="es-CO"/>
                <w14:ligatures w14:val="none"/>
              </w:rPr>
            </w:pPr>
            <w:r w:rsidRPr="008C1734">
              <w:rPr>
                <w:rFonts w:eastAsia="Times New Roman" w:cs="Times New Roman"/>
                <w:kern w:val="0"/>
                <w:sz w:val="16"/>
                <w:szCs w:val="16"/>
                <w:lang w:eastAsia="es-CO"/>
                <w14:ligatures w14:val="none"/>
              </w:rPr>
              <w:t>888.291.295</w:t>
            </w:r>
          </w:p>
        </w:tc>
        <w:tc>
          <w:tcPr>
            <w:tcW w:w="803" w:type="pct"/>
            <w:noWrap/>
            <w:vAlign w:val="center"/>
            <w:hideMark/>
          </w:tcPr>
          <w:p w14:paraId="55BC8862" w14:textId="77777777" w:rsidR="00336FA0" w:rsidRPr="008C1734" w:rsidRDefault="00336FA0" w:rsidP="000A5389">
            <w:pPr>
              <w:spacing w:line="240" w:lineRule="auto"/>
              <w:jc w:val="right"/>
              <w:rPr>
                <w:rFonts w:eastAsia="Times New Roman" w:cs="Times New Roman"/>
                <w:kern w:val="0"/>
                <w:sz w:val="16"/>
                <w:szCs w:val="16"/>
                <w:lang w:eastAsia="es-CO"/>
                <w14:ligatures w14:val="none"/>
              </w:rPr>
            </w:pPr>
            <w:r w:rsidRPr="008C1734">
              <w:rPr>
                <w:rFonts w:eastAsia="Times New Roman" w:cs="Times New Roman"/>
                <w:kern w:val="0"/>
                <w:sz w:val="16"/>
                <w:szCs w:val="16"/>
                <w:lang w:eastAsia="es-CO"/>
                <w14:ligatures w14:val="none"/>
              </w:rPr>
              <w:t>18.398.135.926</w:t>
            </w:r>
          </w:p>
        </w:tc>
        <w:tc>
          <w:tcPr>
            <w:tcW w:w="426" w:type="pct"/>
            <w:noWrap/>
            <w:hideMark/>
          </w:tcPr>
          <w:p w14:paraId="3CC8F291" w14:textId="16FFA1A5" w:rsidR="00336FA0" w:rsidRPr="008C1734" w:rsidRDefault="00336FA0" w:rsidP="000A5389">
            <w:pPr>
              <w:spacing w:line="240" w:lineRule="auto"/>
              <w:jc w:val="right"/>
              <w:rPr>
                <w:rFonts w:eastAsia="Times New Roman" w:cs="Times New Roman"/>
                <w:kern w:val="0"/>
                <w:sz w:val="16"/>
                <w:szCs w:val="16"/>
                <w:lang w:eastAsia="es-CO"/>
                <w14:ligatures w14:val="none"/>
              </w:rPr>
            </w:pPr>
            <w:r w:rsidRPr="008C1734">
              <w:rPr>
                <w:rFonts w:eastAsia="Times New Roman" w:cs="Times New Roman"/>
                <w:kern w:val="0"/>
                <w:sz w:val="16"/>
                <w:szCs w:val="16"/>
                <w:lang w:eastAsia="es-CO"/>
                <w14:ligatures w14:val="none"/>
              </w:rPr>
              <w:t>0</w:t>
            </w:r>
          </w:p>
        </w:tc>
      </w:tr>
      <w:tr w:rsidR="00336FA0" w:rsidRPr="008C1734" w14:paraId="5F9BC31D" w14:textId="77777777" w:rsidTr="008C1734">
        <w:trPr>
          <w:trHeight w:val="285"/>
        </w:trPr>
        <w:tc>
          <w:tcPr>
            <w:tcW w:w="318" w:type="pct"/>
            <w:vAlign w:val="center"/>
          </w:tcPr>
          <w:p w14:paraId="3849BFF5" w14:textId="3101E582" w:rsidR="00336FA0" w:rsidRPr="008C1734" w:rsidRDefault="00336FA0" w:rsidP="000A5389">
            <w:pPr>
              <w:spacing w:line="240" w:lineRule="auto"/>
              <w:rPr>
                <w:rFonts w:eastAsia="Times New Roman" w:cs="Times New Roman"/>
                <w:kern w:val="0"/>
                <w:sz w:val="16"/>
                <w:szCs w:val="16"/>
                <w:lang w:eastAsia="es-CO"/>
                <w14:ligatures w14:val="none"/>
              </w:rPr>
            </w:pPr>
            <w:r w:rsidRPr="008C1734">
              <w:rPr>
                <w:rFonts w:cs="Times New Roman"/>
                <w:color w:val="000000"/>
                <w:sz w:val="16"/>
                <w:szCs w:val="16"/>
              </w:rPr>
              <w:lastRenderedPageBreak/>
              <w:t>5.1.20</w:t>
            </w:r>
          </w:p>
        </w:tc>
        <w:tc>
          <w:tcPr>
            <w:tcW w:w="1205" w:type="pct"/>
            <w:vAlign w:val="center"/>
            <w:hideMark/>
          </w:tcPr>
          <w:p w14:paraId="0055EDDA" w14:textId="29FE49A3" w:rsidR="00336FA0" w:rsidRPr="008C1734" w:rsidRDefault="00336FA0" w:rsidP="000A5389">
            <w:pPr>
              <w:spacing w:line="240" w:lineRule="auto"/>
              <w:rPr>
                <w:rFonts w:eastAsia="Times New Roman" w:cs="Times New Roman"/>
                <w:kern w:val="0"/>
                <w:sz w:val="16"/>
                <w:szCs w:val="16"/>
                <w:lang w:eastAsia="es-CO"/>
                <w14:ligatures w14:val="none"/>
              </w:rPr>
            </w:pPr>
            <w:r w:rsidRPr="008C1734">
              <w:rPr>
                <w:rFonts w:eastAsia="Times New Roman" w:cs="Times New Roman"/>
                <w:kern w:val="0"/>
                <w:sz w:val="16"/>
                <w:szCs w:val="16"/>
                <w:lang w:eastAsia="es-CO"/>
                <w14:ligatures w14:val="none"/>
              </w:rPr>
              <w:t>Prestaciones sociales</w:t>
            </w:r>
          </w:p>
        </w:tc>
        <w:tc>
          <w:tcPr>
            <w:tcW w:w="803" w:type="pct"/>
            <w:noWrap/>
            <w:vAlign w:val="center"/>
            <w:hideMark/>
          </w:tcPr>
          <w:p w14:paraId="7B92817C" w14:textId="77777777" w:rsidR="00336FA0" w:rsidRPr="008C1734" w:rsidRDefault="00336FA0" w:rsidP="000A5389">
            <w:pPr>
              <w:spacing w:line="240" w:lineRule="auto"/>
              <w:jc w:val="right"/>
              <w:rPr>
                <w:rFonts w:eastAsia="Times New Roman" w:cs="Times New Roman"/>
                <w:kern w:val="0"/>
                <w:sz w:val="16"/>
                <w:szCs w:val="16"/>
                <w:lang w:eastAsia="es-CO"/>
                <w14:ligatures w14:val="none"/>
              </w:rPr>
            </w:pPr>
            <w:r w:rsidRPr="008C1734">
              <w:rPr>
                <w:rFonts w:eastAsia="Times New Roman" w:cs="Times New Roman"/>
                <w:kern w:val="0"/>
                <w:sz w:val="16"/>
                <w:szCs w:val="16"/>
                <w:lang w:eastAsia="es-CO"/>
                <w14:ligatures w14:val="none"/>
              </w:rPr>
              <w:t>14.450.129.103</w:t>
            </w:r>
          </w:p>
        </w:tc>
        <w:tc>
          <w:tcPr>
            <w:tcW w:w="722" w:type="pct"/>
            <w:noWrap/>
            <w:vAlign w:val="center"/>
            <w:hideMark/>
          </w:tcPr>
          <w:p w14:paraId="3E7E6237" w14:textId="77777777" w:rsidR="00336FA0" w:rsidRPr="008C1734" w:rsidRDefault="00336FA0" w:rsidP="000A5389">
            <w:pPr>
              <w:spacing w:line="240" w:lineRule="auto"/>
              <w:jc w:val="right"/>
              <w:rPr>
                <w:rFonts w:eastAsia="Times New Roman" w:cs="Times New Roman"/>
                <w:kern w:val="0"/>
                <w:sz w:val="16"/>
                <w:szCs w:val="16"/>
                <w:lang w:eastAsia="es-CO"/>
                <w14:ligatures w14:val="none"/>
              </w:rPr>
            </w:pPr>
            <w:r w:rsidRPr="008C1734">
              <w:rPr>
                <w:rFonts w:eastAsia="Times New Roman" w:cs="Times New Roman"/>
                <w:kern w:val="0"/>
                <w:sz w:val="16"/>
                <w:szCs w:val="16"/>
                <w:lang w:eastAsia="es-CO"/>
                <w14:ligatures w14:val="none"/>
              </w:rPr>
              <w:t>13.908.719.288</w:t>
            </w:r>
          </w:p>
        </w:tc>
        <w:tc>
          <w:tcPr>
            <w:tcW w:w="723" w:type="pct"/>
            <w:noWrap/>
            <w:vAlign w:val="center"/>
            <w:hideMark/>
          </w:tcPr>
          <w:p w14:paraId="118ABD10" w14:textId="77777777" w:rsidR="00336FA0" w:rsidRPr="008C1734" w:rsidRDefault="00336FA0" w:rsidP="000A5389">
            <w:pPr>
              <w:spacing w:line="240" w:lineRule="auto"/>
              <w:jc w:val="right"/>
              <w:rPr>
                <w:rFonts w:eastAsia="Times New Roman" w:cs="Times New Roman"/>
                <w:kern w:val="0"/>
                <w:sz w:val="16"/>
                <w:szCs w:val="16"/>
                <w:lang w:eastAsia="es-CO"/>
                <w14:ligatures w14:val="none"/>
              </w:rPr>
            </w:pPr>
            <w:r w:rsidRPr="008C1734">
              <w:rPr>
                <w:rFonts w:eastAsia="Times New Roman" w:cs="Times New Roman"/>
                <w:kern w:val="0"/>
                <w:sz w:val="16"/>
                <w:szCs w:val="16"/>
                <w:lang w:eastAsia="es-CO"/>
                <w14:ligatures w14:val="none"/>
              </w:rPr>
              <w:t>541.409.815</w:t>
            </w:r>
          </w:p>
        </w:tc>
        <w:tc>
          <w:tcPr>
            <w:tcW w:w="803" w:type="pct"/>
            <w:noWrap/>
            <w:vAlign w:val="center"/>
            <w:hideMark/>
          </w:tcPr>
          <w:p w14:paraId="1283C391" w14:textId="77777777" w:rsidR="00336FA0" w:rsidRPr="008C1734" w:rsidRDefault="00336FA0" w:rsidP="000A5389">
            <w:pPr>
              <w:spacing w:line="240" w:lineRule="auto"/>
              <w:jc w:val="right"/>
              <w:rPr>
                <w:rFonts w:eastAsia="Times New Roman" w:cs="Times New Roman"/>
                <w:kern w:val="0"/>
                <w:sz w:val="16"/>
                <w:szCs w:val="16"/>
                <w:lang w:eastAsia="es-CO"/>
                <w14:ligatures w14:val="none"/>
              </w:rPr>
            </w:pPr>
            <w:r w:rsidRPr="008C1734">
              <w:rPr>
                <w:rFonts w:eastAsia="Times New Roman" w:cs="Times New Roman"/>
                <w:kern w:val="0"/>
                <w:sz w:val="16"/>
                <w:szCs w:val="16"/>
                <w:lang w:eastAsia="es-CO"/>
                <w14:ligatures w14:val="none"/>
              </w:rPr>
              <w:t>14.450.129.103</w:t>
            </w:r>
          </w:p>
        </w:tc>
        <w:tc>
          <w:tcPr>
            <w:tcW w:w="426" w:type="pct"/>
            <w:noWrap/>
            <w:hideMark/>
          </w:tcPr>
          <w:p w14:paraId="63F2405B" w14:textId="71C2CB02" w:rsidR="00336FA0" w:rsidRPr="008C1734" w:rsidRDefault="00336FA0" w:rsidP="000A5389">
            <w:pPr>
              <w:spacing w:line="240" w:lineRule="auto"/>
              <w:jc w:val="right"/>
              <w:rPr>
                <w:rFonts w:eastAsia="Times New Roman" w:cs="Times New Roman"/>
                <w:kern w:val="0"/>
                <w:sz w:val="16"/>
                <w:szCs w:val="16"/>
                <w:lang w:eastAsia="es-CO"/>
                <w14:ligatures w14:val="none"/>
              </w:rPr>
            </w:pPr>
            <w:r w:rsidRPr="008C1734">
              <w:rPr>
                <w:rFonts w:eastAsia="Times New Roman" w:cs="Times New Roman"/>
                <w:kern w:val="0"/>
                <w:sz w:val="16"/>
                <w:szCs w:val="16"/>
                <w:lang w:eastAsia="es-CO"/>
                <w14:ligatures w14:val="none"/>
              </w:rPr>
              <w:t>0</w:t>
            </w:r>
          </w:p>
        </w:tc>
      </w:tr>
      <w:tr w:rsidR="00336FA0" w:rsidRPr="008C1734" w14:paraId="690BD9B3" w14:textId="77777777" w:rsidTr="008C1734">
        <w:trPr>
          <w:trHeight w:val="285"/>
        </w:trPr>
        <w:tc>
          <w:tcPr>
            <w:tcW w:w="318" w:type="pct"/>
            <w:noWrap/>
            <w:vAlign w:val="center"/>
          </w:tcPr>
          <w:p w14:paraId="75992A7D" w14:textId="30CE6BD8" w:rsidR="00336FA0" w:rsidRPr="008C1734" w:rsidRDefault="00336FA0" w:rsidP="000A5389">
            <w:pPr>
              <w:spacing w:line="240" w:lineRule="auto"/>
              <w:rPr>
                <w:rFonts w:eastAsia="Times New Roman" w:cs="Times New Roman"/>
                <w:kern w:val="0"/>
                <w:sz w:val="16"/>
                <w:szCs w:val="16"/>
                <w:lang w:eastAsia="es-CO"/>
                <w14:ligatures w14:val="none"/>
              </w:rPr>
            </w:pPr>
            <w:r w:rsidRPr="008C1734">
              <w:rPr>
                <w:rFonts w:cs="Times New Roman"/>
                <w:color w:val="000000"/>
                <w:sz w:val="16"/>
                <w:szCs w:val="16"/>
              </w:rPr>
              <w:t>5.1.07</w:t>
            </w:r>
          </w:p>
        </w:tc>
        <w:tc>
          <w:tcPr>
            <w:tcW w:w="1205" w:type="pct"/>
            <w:vAlign w:val="center"/>
            <w:hideMark/>
          </w:tcPr>
          <w:p w14:paraId="10000063" w14:textId="286B8C65" w:rsidR="00336FA0" w:rsidRPr="008C1734" w:rsidRDefault="00336FA0" w:rsidP="000A5389">
            <w:pPr>
              <w:spacing w:line="240" w:lineRule="auto"/>
              <w:rPr>
                <w:rFonts w:eastAsia="Times New Roman" w:cs="Times New Roman"/>
                <w:kern w:val="0"/>
                <w:sz w:val="16"/>
                <w:szCs w:val="16"/>
                <w:lang w:eastAsia="es-CO"/>
                <w14:ligatures w14:val="none"/>
              </w:rPr>
            </w:pPr>
            <w:r w:rsidRPr="008C1734">
              <w:rPr>
                <w:rFonts w:eastAsia="Times New Roman" w:cs="Times New Roman"/>
                <w:kern w:val="0"/>
                <w:sz w:val="16"/>
                <w:szCs w:val="16"/>
                <w:lang w:eastAsia="es-CO"/>
                <w14:ligatures w14:val="none"/>
              </w:rPr>
              <w:t>Contribuciones efectivas</w:t>
            </w:r>
          </w:p>
        </w:tc>
        <w:tc>
          <w:tcPr>
            <w:tcW w:w="803" w:type="pct"/>
            <w:noWrap/>
            <w:vAlign w:val="center"/>
            <w:hideMark/>
          </w:tcPr>
          <w:p w14:paraId="6B1B9CEB" w14:textId="77777777" w:rsidR="00336FA0" w:rsidRPr="008C1734" w:rsidRDefault="00336FA0" w:rsidP="000A5389">
            <w:pPr>
              <w:spacing w:line="240" w:lineRule="auto"/>
              <w:jc w:val="right"/>
              <w:rPr>
                <w:rFonts w:eastAsia="Times New Roman" w:cs="Times New Roman"/>
                <w:kern w:val="0"/>
                <w:sz w:val="16"/>
                <w:szCs w:val="16"/>
                <w:lang w:eastAsia="es-CO"/>
                <w14:ligatures w14:val="none"/>
              </w:rPr>
            </w:pPr>
            <w:r w:rsidRPr="008C1734">
              <w:rPr>
                <w:rFonts w:eastAsia="Times New Roman" w:cs="Times New Roman"/>
                <w:kern w:val="0"/>
                <w:sz w:val="16"/>
                <w:szCs w:val="16"/>
                <w:lang w:eastAsia="es-CO"/>
                <w14:ligatures w14:val="none"/>
              </w:rPr>
              <w:t>10.311.687.533</w:t>
            </w:r>
          </w:p>
        </w:tc>
        <w:tc>
          <w:tcPr>
            <w:tcW w:w="722" w:type="pct"/>
            <w:noWrap/>
            <w:vAlign w:val="center"/>
            <w:hideMark/>
          </w:tcPr>
          <w:p w14:paraId="1D5FE41A" w14:textId="77777777" w:rsidR="00336FA0" w:rsidRPr="008C1734" w:rsidRDefault="00336FA0" w:rsidP="000A5389">
            <w:pPr>
              <w:spacing w:line="240" w:lineRule="auto"/>
              <w:jc w:val="right"/>
              <w:rPr>
                <w:rFonts w:eastAsia="Times New Roman" w:cs="Times New Roman"/>
                <w:kern w:val="0"/>
                <w:sz w:val="16"/>
                <w:szCs w:val="16"/>
                <w:lang w:eastAsia="es-CO"/>
                <w14:ligatures w14:val="none"/>
              </w:rPr>
            </w:pPr>
            <w:r w:rsidRPr="008C1734">
              <w:rPr>
                <w:rFonts w:eastAsia="Times New Roman" w:cs="Times New Roman"/>
                <w:kern w:val="0"/>
                <w:sz w:val="16"/>
                <w:szCs w:val="16"/>
                <w:lang w:eastAsia="es-CO"/>
                <w14:ligatures w14:val="none"/>
              </w:rPr>
              <w:t>9.684.776.255</w:t>
            </w:r>
          </w:p>
        </w:tc>
        <w:tc>
          <w:tcPr>
            <w:tcW w:w="723" w:type="pct"/>
            <w:noWrap/>
            <w:vAlign w:val="center"/>
            <w:hideMark/>
          </w:tcPr>
          <w:p w14:paraId="02BE6F53" w14:textId="77777777" w:rsidR="00336FA0" w:rsidRPr="008C1734" w:rsidRDefault="00336FA0" w:rsidP="000A5389">
            <w:pPr>
              <w:spacing w:line="240" w:lineRule="auto"/>
              <w:jc w:val="right"/>
              <w:rPr>
                <w:rFonts w:eastAsia="Times New Roman" w:cs="Times New Roman"/>
                <w:kern w:val="0"/>
                <w:sz w:val="16"/>
                <w:szCs w:val="16"/>
                <w:lang w:eastAsia="es-CO"/>
                <w14:ligatures w14:val="none"/>
              </w:rPr>
            </w:pPr>
            <w:r w:rsidRPr="008C1734">
              <w:rPr>
                <w:rFonts w:eastAsia="Times New Roman" w:cs="Times New Roman"/>
                <w:kern w:val="0"/>
                <w:sz w:val="16"/>
                <w:szCs w:val="16"/>
                <w:lang w:eastAsia="es-CO"/>
                <w14:ligatures w14:val="none"/>
              </w:rPr>
              <w:t>626.911.278</w:t>
            </w:r>
          </w:p>
        </w:tc>
        <w:tc>
          <w:tcPr>
            <w:tcW w:w="803" w:type="pct"/>
            <w:noWrap/>
            <w:vAlign w:val="center"/>
            <w:hideMark/>
          </w:tcPr>
          <w:p w14:paraId="5EC16744" w14:textId="77777777" w:rsidR="00336FA0" w:rsidRPr="008C1734" w:rsidRDefault="00336FA0" w:rsidP="000A5389">
            <w:pPr>
              <w:spacing w:line="240" w:lineRule="auto"/>
              <w:jc w:val="right"/>
              <w:rPr>
                <w:rFonts w:eastAsia="Times New Roman" w:cs="Times New Roman"/>
                <w:kern w:val="0"/>
                <w:sz w:val="16"/>
                <w:szCs w:val="16"/>
                <w:lang w:eastAsia="es-CO"/>
                <w14:ligatures w14:val="none"/>
              </w:rPr>
            </w:pPr>
            <w:r w:rsidRPr="008C1734">
              <w:rPr>
                <w:rFonts w:eastAsia="Times New Roman" w:cs="Times New Roman"/>
                <w:kern w:val="0"/>
                <w:sz w:val="16"/>
                <w:szCs w:val="16"/>
                <w:lang w:eastAsia="es-CO"/>
                <w14:ligatures w14:val="none"/>
              </w:rPr>
              <w:t>10.311.687.533</w:t>
            </w:r>
          </w:p>
        </w:tc>
        <w:tc>
          <w:tcPr>
            <w:tcW w:w="426" w:type="pct"/>
            <w:noWrap/>
            <w:hideMark/>
          </w:tcPr>
          <w:p w14:paraId="3CA38AAD" w14:textId="7E3A6559" w:rsidR="00336FA0" w:rsidRPr="008C1734" w:rsidRDefault="00336FA0" w:rsidP="000A5389">
            <w:pPr>
              <w:spacing w:line="240" w:lineRule="auto"/>
              <w:jc w:val="right"/>
              <w:rPr>
                <w:rFonts w:eastAsia="Times New Roman" w:cs="Times New Roman"/>
                <w:kern w:val="0"/>
                <w:sz w:val="16"/>
                <w:szCs w:val="16"/>
                <w:lang w:eastAsia="es-CO"/>
                <w14:ligatures w14:val="none"/>
              </w:rPr>
            </w:pPr>
            <w:r w:rsidRPr="008C1734">
              <w:rPr>
                <w:rFonts w:eastAsia="Times New Roman" w:cs="Times New Roman"/>
                <w:kern w:val="0"/>
                <w:sz w:val="16"/>
                <w:szCs w:val="16"/>
                <w:lang w:eastAsia="es-CO"/>
                <w14:ligatures w14:val="none"/>
              </w:rPr>
              <w:t>0</w:t>
            </w:r>
          </w:p>
        </w:tc>
      </w:tr>
      <w:tr w:rsidR="00336FA0" w:rsidRPr="008C1734" w14:paraId="1405E755" w14:textId="77777777" w:rsidTr="008C1734">
        <w:trPr>
          <w:trHeight w:val="285"/>
        </w:trPr>
        <w:tc>
          <w:tcPr>
            <w:tcW w:w="318" w:type="pct"/>
            <w:vAlign w:val="center"/>
          </w:tcPr>
          <w:p w14:paraId="06AB937A" w14:textId="7A0BF91C" w:rsidR="00336FA0" w:rsidRPr="008C1734" w:rsidRDefault="00336FA0" w:rsidP="000A5389">
            <w:pPr>
              <w:spacing w:line="240" w:lineRule="auto"/>
              <w:rPr>
                <w:rFonts w:eastAsia="Times New Roman" w:cs="Times New Roman"/>
                <w:kern w:val="0"/>
                <w:sz w:val="16"/>
                <w:szCs w:val="16"/>
                <w:lang w:eastAsia="es-CO"/>
                <w14:ligatures w14:val="none"/>
              </w:rPr>
            </w:pPr>
            <w:r w:rsidRPr="008C1734">
              <w:rPr>
                <w:rFonts w:cs="Times New Roman"/>
                <w:color w:val="000000"/>
                <w:sz w:val="16"/>
                <w:szCs w:val="16"/>
              </w:rPr>
              <w:t>5.1.03</w:t>
            </w:r>
          </w:p>
        </w:tc>
        <w:tc>
          <w:tcPr>
            <w:tcW w:w="1205" w:type="pct"/>
            <w:vAlign w:val="center"/>
            <w:hideMark/>
          </w:tcPr>
          <w:p w14:paraId="7F4574ED" w14:textId="2E2DFCDF" w:rsidR="00336FA0" w:rsidRPr="008C1734" w:rsidRDefault="00336FA0" w:rsidP="000A5389">
            <w:pPr>
              <w:spacing w:line="240" w:lineRule="auto"/>
              <w:rPr>
                <w:rFonts w:eastAsia="Times New Roman" w:cs="Times New Roman"/>
                <w:kern w:val="0"/>
                <w:sz w:val="16"/>
                <w:szCs w:val="16"/>
                <w:lang w:eastAsia="es-CO"/>
                <w14:ligatures w14:val="none"/>
              </w:rPr>
            </w:pPr>
            <w:r w:rsidRPr="008C1734">
              <w:rPr>
                <w:rFonts w:eastAsia="Times New Roman" w:cs="Times New Roman"/>
                <w:kern w:val="0"/>
                <w:sz w:val="16"/>
                <w:szCs w:val="16"/>
                <w:lang w:eastAsia="es-CO"/>
                <w14:ligatures w14:val="none"/>
              </w:rPr>
              <w:t>Aportes sobre la nómina</w:t>
            </w:r>
          </w:p>
        </w:tc>
        <w:tc>
          <w:tcPr>
            <w:tcW w:w="803" w:type="pct"/>
            <w:noWrap/>
            <w:vAlign w:val="center"/>
            <w:hideMark/>
          </w:tcPr>
          <w:p w14:paraId="26A39E7C" w14:textId="77777777" w:rsidR="00336FA0" w:rsidRPr="008C1734" w:rsidRDefault="00336FA0" w:rsidP="000A5389">
            <w:pPr>
              <w:spacing w:line="240" w:lineRule="auto"/>
              <w:jc w:val="right"/>
              <w:rPr>
                <w:rFonts w:eastAsia="Times New Roman" w:cs="Times New Roman"/>
                <w:kern w:val="0"/>
                <w:sz w:val="16"/>
                <w:szCs w:val="16"/>
                <w:lang w:eastAsia="es-CO"/>
                <w14:ligatures w14:val="none"/>
              </w:rPr>
            </w:pPr>
            <w:r w:rsidRPr="008C1734">
              <w:rPr>
                <w:rFonts w:eastAsia="Times New Roman" w:cs="Times New Roman"/>
                <w:kern w:val="0"/>
                <w:sz w:val="16"/>
                <w:szCs w:val="16"/>
                <w:lang w:eastAsia="es-CO"/>
                <w14:ligatures w14:val="none"/>
              </w:rPr>
              <w:t>2.170.225.400</w:t>
            </w:r>
          </w:p>
        </w:tc>
        <w:tc>
          <w:tcPr>
            <w:tcW w:w="722" w:type="pct"/>
            <w:noWrap/>
            <w:vAlign w:val="center"/>
            <w:hideMark/>
          </w:tcPr>
          <w:p w14:paraId="6E03D495" w14:textId="77777777" w:rsidR="00336FA0" w:rsidRPr="008C1734" w:rsidRDefault="00336FA0" w:rsidP="000A5389">
            <w:pPr>
              <w:spacing w:line="240" w:lineRule="auto"/>
              <w:jc w:val="right"/>
              <w:rPr>
                <w:rFonts w:eastAsia="Times New Roman" w:cs="Times New Roman"/>
                <w:kern w:val="0"/>
                <w:sz w:val="16"/>
                <w:szCs w:val="16"/>
                <w:lang w:eastAsia="es-CO"/>
                <w14:ligatures w14:val="none"/>
              </w:rPr>
            </w:pPr>
            <w:r w:rsidRPr="008C1734">
              <w:rPr>
                <w:rFonts w:eastAsia="Times New Roman" w:cs="Times New Roman"/>
                <w:kern w:val="0"/>
                <w:sz w:val="16"/>
                <w:szCs w:val="16"/>
                <w:lang w:eastAsia="es-CO"/>
                <w14:ligatures w14:val="none"/>
              </w:rPr>
              <w:t>2.041.001.000</w:t>
            </w:r>
          </w:p>
        </w:tc>
        <w:tc>
          <w:tcPr>
            <w:tcW w:w="723" w:type="pct"/>
            <w:noWrap/>
            <w:vAlign w:val="center"/>
            <w:hideMark/>
          </w:tcPr>
          <w:p w14:paraId="23FF5AA8" w14:textId="77777777" w:rsidR="00336FA0" w:rsidRPr="008C1734" w:rsidRDefault="00336FA0" w:rsidP="000A5389">
            <w:pPr>
              <w:spacing w:line="240" w:lineRule="auto"/>
              <w:jc w:val="right"/>
              <w:rPr>
                <w:rFonts w:eastAsia="Times New Roman" w:cs="Times New Roman"/>
                <w:kern w:val="0"/>
                <w:sz w:val="16"/>
                <w:szCs w:val="16"/>
                <w:lang w:eastAsia="es-CO"/>
                <w14:ligatures w14:val="none"/>
              </w:rPr>
            </w:pPr>
            <w:r w:rsidRPr="008C1734">
              <w:rPr>
                <w:rFonts w:eastAsia="Times New Roman" w:cs="Times New Roman"/>
                <w:kern w:val="0"/>
                <w:sz w:val="16"/>
                <w:szCs w:val="16"/>
                <w:lang w:eastAsia="es-CO"/>
                <w14:ligatures w14:val="none"/>
              </w:rPr>
              <w:t>129.224.400</w:t>
            </w:r>
          </w:p>
        </w:tc>
        <w:tc>
          <w:tcPr>
            <w:tcW w:w="803" w:type="pct"/>
            <w:noWrap/>
            <w:vAlign w:val="center"/>
            <w:hideMark/>
          </w:tcPr>
          <w:p w14:paraId="1645A2B2" w14:textId="77777777" w:rsidR="00336FA0" w:rsidRPr="008C1734" w:rsidRDefault="00336FA0" w:rsidP="000A5389">
            <w:pPr>
              <w:spacing w:line="240" w:lineRule="auto"/>
              <w:jc w:val="right"/>
              <w:rPr>
                <w:rFonts w:eastAsia="Times New Roman" w:cs="Times New Roman"/>
                <w:kern w:val="0"/>
                <w:sz w:val="16"/>
                <w:szCs w:val="16"/>
                <w:lang w:eastAsia="es-CO"/>
                <w14:ligatures w14:val="none"/>
              </w:rPr>
            </w:pPr>
            <w:r w:rsidRPr="008C1734">
              <w:rPr>
                <w:rFonts w:eastAsia="Times New Roman" w:cs="Times New Roman"/>
                <w:kern w:val="0"/>
                <w:sz w:val="16"/>
                <w:szCs w:val="16"/>
                <w:lang w:eastAsia="es-CO"/>
                <w14:ligatures w14:val="none"/>
              </w:rPr>
              <w:t>2.170.225.400</w:t>
            </w:r>
          </w:p>
        </w:tc>
        <w:tc>
          <w:tcPr>
            <w:tcW w:w="426" w:type="pct"/>
            <w:noWrap/>
            <w:hideMark/>
          </w:tcPr>
          <w:p w14:paraId="087F3AF8" w14:textId="6CDBA761" w:rsidR="00336FA0" w:rsidRPr="008C1734" w:rsidRDefault="00336FA0" w:rsidP="000A5389">
            <w:pPr>
              <w:spacing w:line="240" w:lineRule="auto"/>
              <w:jc w:val="right"/>
              <w:rPr>
                <w:rFonts w:eastAsia="Times New Roman" w:cs="Times New Roman"/>
                <w:kern w:val="0"/>
                <w:sz w:val="16"/>
                <w:szCs w:val="16"/>
                <w:lang w:eastAsia="es-CO"/>
                <w14:ligatures w14:val="none"/>
              </w:rPr>
            </w:pPr>
            <w:r w:rsidRPr="008C1734">
              <w:rPr>
                <w:rFonts w:eastAsia="Times New Roman" w:cs="Times New Roman"/>
                <w:kern w:val="0"/>
                <w:sz w:val="16"/>
                <w:szCs w:val="16"/>
                <w:lang w:eastAsia="es-CO"/>
                <w14:ligatures w14:val="none"/>
              </w:rPr>
              <w:t>0</w:t>
            </w:r>
          </w:p>
        </w:tc>
      </w:tr>
      <w:tr w:rsidR="00336FA0" w:rsidRPr="008C1734" w14:paraId="07C0E17D" w14:textId="77777777" w:rsidTr="008C1734">
        <w:trPr>
          <w:trHeight w:val="285"/>
        </w:trPr>
        <w:tc>
          <w:tcPr>
            <w:tcW w:w="318" w:type="pct"/>
            <w:vAlign w:val="center"/>
          </w:tcPr>
          <w:p w14:paraId="418853F0" w14:textId="3860977D" w:rsidR="00336FA0" w:rsidRPr="008C1734" w:rsidRDefault="00336FA0" w:rsidP="000A5389">
            <w:pPr>
              <w:spacing w:line="240" w:lineRule="auto"/>
              <w:rPr>
                <w:rFonts w:eastAsia="Times New Roman" w:cs="Times New Roman"/>
                <w:kern w:val="0"/>
                <w:sz w:val="16"/>
                <w:szCs w:val="16"/>
                <w:lang w:eastAsia="es-CO"/>
                <w14:ligatures w14:val="none"/>
              </w:rPr>
            </w:pPr>
            <w:r w:rsidRPr="008C1734">
              <w:rPr>
                <w:rFonts w:cs="Times New Roman"/>
                <w:color w:val="000000"/>
                <w:sz w:val="16"/>
                <w:szCs w:val="16"/>
              </w:rPr>
              <w:t>5.1.04</w:t>
            </w:r>
          </w:p>
        </w:tc>
        <w:tc>
          <w:tcPr>
            <w:tcW w:w="1205" w:type="pct"/>
            <w:vAlign w:val="center"/>
            <w:hideMark/>
          </w:tcPr>
          <w:p w14:paraId="2608F089" w14:textId="0E781832" w:rsidR="00336FA0" w:rsidRPr="008C1734" w:rsidRDefault="00336FA0" w:rsidP="000A5389">
            <w:pPr>
              <w:spacing w:line="240" w:lineRule="auto"/>
              <w:rPr>
                <w:rFonts w:eastAsia="Times New Roman" w:cs="Times New Roman"/>
                <w:kern w:val="0"/>
                <w:sz w:val="16"/>
                <w:szCs w:val="16"/>
                <w:lang w:eastAsia="es-CO"/>
                <w14:ligatures w14:val="none"/>
              </w:rPr>
            </w:pPr>
            <w:r w:rsidRPr="008C1734">
              <w:rPr>
                <w:rFonts w:eastAsia="Times New Roman" w:cs="Times New Roman"/>
                <w:kern w:val="0"/>
                <w:sz w:val="16"/>
                <w:szCs w:val="16"/>
                <w:lang w:eastAsia="es-CO"/>
                <w14:ligatures w14:val="none"/>
              </w:rPr>
              <w:t>Gastos de personal diversos</w:t>
            </w:r>
          </w:p>
        </w:tc>
        <w:tc>
          <w:tcPr>
            <w:tcW w:w="803" w:type="pct"/>
            <w:noWrap/>
            <w:vAlign w:val="center"/>
            <w:hideMark/>
          </w:tcPr>
          <w:p w14:paraId="40008326" w14:textId="77777777" w:rsidR="00336FA0" w:rsidRPr="008C1734" w:rsidRDefault="00336FA0" w:rsidP="000A5389">
            <w:pPr>
              <w:spacing w:line="240" w:lineRule="auto"/>
              <w:jc w:val="right"/>
              <w:rPr>
                <w:rFonts w:eastAsia="Times New Roman" w:cs="Times New Roman"/>
                <w:kern w:val="0"/>
                <w:sz w:val="16"/>
                <w:szCs w:val="16"/>
                <w:lang w:eastAsia="es-CO"/>
                <w14:ligatures w14:val="none"/>
              </w:rPr>
            </w:pPr>
            <w:r w:rsidRPr="008C1734">
              <w:rPr>
                <w:rFonts w:eastAsia="Times New Roman" w:cs="Times New Roman"/>
                <w:kern w:val="0"/>
                <w:sz w:val="16"/>
                <w:szCs w:val="16"/>
                <w:lang w:eastAsia="es-CO"/>
                <w14:ligatures w14:val="none"/>
              </w:rPr>
              <w:t>964.709.255</w:t>
            </w:r>
          </w:p>
        </w:tc>
        <w:tc>
          <w:tcPr>
            <w:tcW w:w="722" w:type="pct"/>
            <w:noWrap/>
            <w:vAlign w:val="center"/>
            <w:hideMark/>
          </w:tcPr>
          <w:p w14:paraId="6EB4184D" w14:textId="77777777" w:rsidR="00336FA0" w:rsidRPr="008C1734" w:rsidRDefault="00336FA0" w:rsidP="000A5389">
            <w:pPr>
              <w:spacing w:line="240" w:lineRule="auto"/>
              <w:jc w:val="right"/>
              <w:rPr>
                <w:rFonts w:eastAsia="Times New Roman" w:cs="Times New Roman"/>
                <w:kern w:val="0"/>
                <w:sz w:val="16"/>
                <w:szCs w:val="16"/>
                <w:lang w:eastAsia="es-CO"/>
                <w14:ligatures w14:val="none"/>
              </w:rPr>
            </w:pPr>
            <w:r w:rsidRPr="008C1734">
              <w:rPr>
                <w:rFonts w:eastAsia="Times New Roman" w:cs="Times New Roman"/>
                <w:kern w:val="0"/>
                <w:sz w:val="16"/>
                <w:szCs w:val="16"/>
                <w:lang w:eastAsia="es-CO"/>
                <w14:ligatures w14:val="none"/>
              </w:rPr>
              <w:t>780.474.893</w:t>
            </w:r>
          </w:p>
        </w:tc>
        <w:tc>
          <w:tcPr>
            <w:tcW w:w="723" w:type="pct"/>
            <w:noWrap/>
            <w:vAlign w:val="center"/>
            <w:hideMark/>
          </w:tcPr>
          <w:p w14:paraId="0E153777" w14:textId="77777777" w:rsidR="00336FA0" w:rsidRPr="008C1734" w:rsidRDefault="00336FA0" w:rsidP="000A5389">
            <w:pPr>
              <w:spacing w:line="240" w:lineRule="auto"/>
              <w:jc w:val="right"/>
              <w:rPr>
                <w:rFonts w:eastAsia="Times New Roman" w:cs="Times New Roman"/>
                <w:kern w:val="0"/>
                <w:sz w:val="16"/>
                <w:szCs w:val="16"/>
                <w:lang w:eastAsia="es-CO"/>
                <w14:ligatures w14:val="none"/>
              </w:rPr>
            </w:pPr>
            <w:r w:rsidRPr="008C1734">
              <w:rPr>
                <w:rFonts w:eastAsia="Times New Roman" w:cs="Times New Roman"/>
                <w:kern w:val="0"/>
                <w:sz w:val="16"/>
                <w:szCs w:val="16"/>
                <w:lang w:eastAsia="es-CO"/>
                <w14:ligatures w14:val="none"/>
              </w:rPr>
              <w:t>184.234.362</w:t>
            </w:r>
          </w:p>
        </w:tc>
        <w:tc>
          <w:tcPr>
            <w:tcW w:w="803" w:type="pct"/>
            <w:noWrap/>
            <w:vAlign w:val="center"/>
            <w:hideMark/>
          </w:tcPr>
          <w:p w14:paraId="5EFD7C83" w14:textId="77777777" w:rsidR="00336FA0" w:rsidRPr="008C1734" w:rsidRDefault="00336FA0" w:rsidP="000A5389">
            <w:pPr>
              <w:spacing w:line="240" w:lineRule="auto"/>
              <w:jc w:val="right"/>
              <w:rPr>
                <w:rFonts w:eastAsia="Times New Roman" w:cs="Times New Roman"/>
                <w:kern w:val="0"/>
                <w:sz w:val="16"/>
                <w:szCs w:val="16"/>
                <w:lang w:eastAsia="es-CO"/>
                <w14:ligatures w14:val="none"/>
              </w:rPr>
            </w:pPr>
            <w:r w:rsidRPr="008C1734">
              <w:rPr>
                <w:rFonts w:eastAsia="Times New Roman" w:cs="Times New Roman"/>
                <w:kern w:val="0"/>
                <w:sz w:val="16"/>
                <w:szCs w:val="16"/>
                <w:lang w:eastAsia="es-CO"/>
                <w14:ligatures w14:val="none"/>
              </w:rPr>
              <w:t>964.709.255</w:t>
            </w:r>
          </w:p>
        </w:tc>
        <w:tc>
          <w:tcPr>
            <w:tcW w:w="426" w:type="pct"/>
            <w:noWrap/>
            <w:hideMark/>
          </w:tcPr>
          <w:p w14:paraId="3D9E94D7" w14:textId="41E2F6AA" w:rsidR="00336FA0" w:rsidRPr="008C1734" w:rsidRDefault="00336FA0" w:rsidP="000A5389">
            <w:pPr>
              <w:spacing w:line="240" w:lineRule="auto"/>
              <w:jc w:val="right"/>
              <w:rPr>
                <w:rFonts w:eastAsia="Times New Roman" w:cs="Times New Roman"/>
                <w:kern w:val="0"/>
                <w:sz w:val="16"/>
                <w:szCs w:val="16"/>
                <w:lang w:eastAsia="es-CO"/>
                <w14:ligatures w14:val="none"/>
              </w:rPr>
            </w:pPr>
            <w:r w:rsidRPr="008C1734">
              <w:rPr>
                <w:rFonts w:eastAsia="Times New Roman" w:cs="Times New Roman"/>
                <w:kern w:val="0"/>
                <w:sz w:val="16"/>
                <w:szCs w:val="16"/>
                <w:lang w:eastAsia="es-CO"/>
                <w14:ligatures w14:val="none"/>
              </w:rPr>
              <w:t>0</w:t>
            </w:r>
          </w:p>
        </w:tc>
      </w:tr>
      <w:tr w:rsidR="00201A4E" w:rsidRPr="008C1734" w14:paraId="43A84101" w14:textId="77777777" w:rsidTr="008C1734">
        <w:trPr>
          <w:trHeight w:val="270"/>
        </w:trPr>
        <w:tc>
          <w:tcPr>
            <w:tcW w:w="318" w:type="pct"/>
            <w:noWrap/>
            <w:vAlign w:val="center"/>
          </w:tcPr>
          <w:p w14:paraId="0D9722AC" w14:textId="6CA07B09" w:rsidR="00201A4E" w:rsidRPr="008C1734" w:rsidRDefault="00201A4E" w:rsidP="000A5389">
            <w:pPr>
              <w:spacing w:line="240" w:lineRule="auto"/>
              <w:rPr>
                <w:rFonts w:eastAsia="Times New Roman" w:cs="Times New Roman"/>
                <w:b/>
                <w:bCs/>
                <w:kern w:val="0"/>
                <w:sz w:val="16"/>
                <w:szCs w:val="16"/>
                <w:lang w:eastAsia="es-CO"/>
                <w14:ligatures w14:val="none"/>
              </w:rPr>
            </w:pPr>
            <w:r w:rsidRPr="008C1734">
              <w:rPr>
                <w:rFonts w:cs="Times New Roman"/>
                <w:color w:val="000000"/>
                <w:sz w:val="16"/>
                <w:szCs w:val="16"/>
              </w:rPr>
              <w:t>5.</w:t>
            </w:r>
            <w:r w:rsidR="00666D48" w:rsidRPr="008C1734">
              <w:rPr>
                <w:rFonts w:cs="Times New Roman"/>
                <w:color w:val="000000"/>
                <w:sz w:val="16"/>
                <w:szCs w:val="16"/>
              </w:rPr>
              <w:t>1.08</w:t>
            </w:r>
          </w:p>
        </w:tc>
        <w:tc>
          <w:tcPr>
            <w:tcW w:w="1205" w:type="pct"/>
            <w:vAlign w:val="center"/>
            <w:hideMark/>
          </w:tcPr>
          <w:p w14:paraId="7A19E50A" w14:textId="77777777" w:rsidR="00201A4E" w:rsidRPr="008C1734" w:rsidRDefault="00201A4E" w:rsidP="000A5389">
            <w:pPr>
              <w:spacing w:line="240" w:lineRule="auto"/>
              <w:rPr>
                <w:rFonts w:eastAsia="Times New Roman" w:cs="Times New Roman"/>
                <w:b/>
                <w:bCs/>
                <w:kern w:val="0"/>
                <w:sz w:val="16"/>
                <w:szCs w:val="16"/>
                <w:lang w:eastAsia="es-CO"/>
                <w14:ligatures w14:val="none"/>
              </w:rPr>
            </w:pPr>
            <w:r w:rsidRPr="008C1734">
              <w:rPr>
                <w:rFonts w:eastAsia="Times New Roman" w:cs="Times New Roman"/>
                <w:b/>
                <w:bCs/>
                <w:kern w:val="0"/>
                <w:sz w:val="16"/>
                <w:szCs w:val="16"/>
                <w:lang w:eastAsia="es-CO"/>
                <w14:ligatures w14:val="none"/>
              </w:rPr>
              <w:t>DE VENTAS</w:t>
            </w:r>
          </w:p>
        </w:tc>
        <w:tc>
          <w:tcPr>
            <w:tcW w:w="803" w:type="pct"/>
            <w:noWrap/>
            <w:vAlign w:val="center"/>
            <w:hideMark/>
          </w:tcPr>
          <w:p w14:paraId="4E74B88D" w14:textId="77777777" w:rsidR="00201A4E" w:rsidRPr="008C1734" w:rsidRDefault="00201A4E" w:rsidP="000A5389">
            <w:pPr>
              <w:spacing w:line="240" w:lineRule="auto"/>
              <w:jc w:val="right"/>
              <w:rPr>
                <w:rFonts w:eastAsia="Times New Roman" w:cs="Times New Roman"/>
                <w:b/>
                <w:bCs/>
                <w:kern w:val="0"/>
                <w:sz w:val="16"/>
                <w:szCs w:val="16"/>
                <w:lang w:eastAsia="es-CO"/>
                <w14:ligatures w14:val="none"/>
              </w:rPr>
            </w:pPr>
            <w:r w:rsidRPr="008C1734">
              <w:rPr>
                <w:rFonts w:eastAsia="Times New Roman" w:cs="Times New Roman"/>
                <w:b/>
                <w:bCs/>
                <w:kern w:val="0"/>
                <w:sz w:val="16"/>
                <w:szCs w:val="16"/>
                <w:lang w:eastAsia="es-CO"/>
                <w14:ligatures w14:val="none"/>
              </w:rPr>
              <w:t>0</w:t>
            </w:r>
          </w:p>
        </w:tc>
        <w:tc>
          <w:tcPr>
            <w:tcW w:w="722" w:type="pct"/>
            <w:noWrap/>
            <w:vAlign w:val="center"/>
            <w:hideMark/>
          </w:tcPr>
          <w:p w14:paraId="6ED8E63E" w14:textId="77777777" w:rsidR="00201A4E" w:rsidRPr="008C1734" w:rsidRDefault="00201A4E" w:rsidP="000A5389">
            <w:pPr>
              <w:spacing w:line="240" w:lineRule="auto"/>
              <w:jc w:val="right"/>
              <w:rPr>
                <w:rFonts w:eastAsia="Times New Roman" w:cs="Times New Roman"/>
                <w:b/>
                <w:bCs/>
                <w:kern w:val="0"/>
                <w:sz w:val="16"/>
                <w:szCs w:val="16"/>
                <w:lang w:eastAsia="es-CO"/>
                <w14:ligatures w14:val="none"/>
              </w:rPr>
            </w:pPr>
            <w:r w:rsidRPr="008C1734">
              <w:rPr>
                <w:rFonts w:eastAsia="Times New Roman" w:cs="Times New Roman"/>
                <w:b/>
                <w:bCs/>
                <w:kern w:val="0"/>
                <w:sz w:val="16"/>
                <w:szCs w:val="16"/>
                <w:lang w:eastAsia="es-CO"/>
                <w14:ligatures w14:val="none"/>
              </w:rPr>
              <w:t>0</w:t>
            </w:r>
          </w:p>
        </w:tc>
        <w:tc>
          <w:tcPr>
            <w:tcW w:w="723" w:type="pct"/>
            <w:noWrap/>
            <w:vAlign w:val="center"/>
            <w:hideMark/>
          </w:tcPr>
          <w:p w14:paraId="1205BD61" w14:textId="77777777" w:rsidR="00201A4E" w:rsidRPr="008C1734" w:rsidRDefault="00201A4E" w:rsidP="000A5389">
            <w:pPr>
              <w:spacing w:line="240" w:lineRule="auto"/>
              <w:jc w:val="right"/>
              <w:rPr>
                <w:rFonts w:eastAsia="Times New Roman" w:cs="Times New Roman"/>
                <w:b/>
                <w:bCs/>
                <w:kern w:val="0"/>
                <w:sz w:val="16"/>
                <w:szCs w:val="16"/>
                <w:lang w:eastAsia="es-CO"/>
                <w14:ligatures w14:val="none"/>
              </w:rPr>
            </w:pPr>
            <w:r w:rsidRPr="008C1734">
              <w:rPr>
                <w:rFonts w:eastAsia="Times New Roman" w:cs="Times New Roman"/>
                <w:b/>
                <w:bCs/>
                <w:kern w:val="0"/>
                <w:sz w:val="16"/>
                <w:szCs w:val="16"/>
                <w:lang w:eastAsia="es-CO"/>
                <w14:ligatures w14:val="none"/>
              </w:rPr>
              <w:t>0</w:t>
            </w:r>
          </w:p>
        </w:tc>
        <w:tc>
          <w:tcPr>
            <w:tcW w:w="803" w:type="pct"/>
            <w:noWrap/>
            <w:vAlign w:val="center"/>
            <w:hideMark/>
          </w:tcPr>
          <w:p w14:paraId="013EF89A" w14:textId="77777777" w:rsidR="00201A4E" w:rsidRPr="008C1734" w:rsidRDefault="00201A4E" w:rsidP="000A5389">
            <w:pPr>
              <w:spacing w:line="240" w:lineRule="auto"/>
              <w:jc w:val="right"/>
              <w:rPr>
                <w:rFonts w:eastAsia="Times New Roman" w:cs="Times New Roman"/>
                <w:b/>
                <w:bCs/>
                <w:kern w:val="0"/>
                <w:sz w:val="16"/>
                <w:szCs w:val="16"/>
                <w:lang w:eastAsia="es-CO"/>
                <w14:ligatures w14:val="none"/>
              </w:rPr>
            </w:pPr>
            <w:r w:rsidRPr="008C1734">
              <w:rPr>
                <w:rFonts w:eastAsia="Times New Roman" w:cs="Times New Roman"/>
                <w:b/>
                <w:bCs/>
                <w:kern w:val="0"/>
                <w:sz w:val="16"/>
                <w:szCs w:val="16"/>
                <w:lang w:eastAsia="es-CO"/>
                <w14:ligatures w14:val="none"/>
              </w:rPr>
              <w:t>0</w:t>
            </w:r>
          </w:p>
        </w:tc>
        <w:tc>
          <w:tcPr>
            <w:tcW w:w="426" w:type="pct"/>
            <w:noWrap/>
            <w:vAlign w:val="center"/>
            <w:hideMark/>
          </w:tcPr>
          <w:p w14:paraId="67D3CE8F" w14:textId="52318D60" w:rsidR="00201A4E" w:rsidRPr="008C1734" w:rsidRDefault="00336FA0" w:rsidP="000A5389">
            <w:pPr>
              <w:spacing w:line="240" w:lineRule="auto"/>
              <w:jc w:val="right"/>
              <w:rPr>
                <w:rFonts w:eastAsia="Times New Roman" w:cs="Times New Roman"/>
                <w:b/>
                <w:bCs/>
                <w:kern w:val="0"/>
                <w:sz w:val="16"/>
                <w:szCs w:val="16"/>
                <w:lang w:eastAsia="es-CO"/>
                <w14:ligatures w14:val="none"/>
              </w:rPr>
            </w:pPr>
            <w:r w:rsidRPr="008C1734">
              <w:rPr>
                <w:rFonts w:eastAsia="Times New Roman" w:cs="Times New Roman"/>
                <w:b/>
                <w:bCs/>
                <w:kern w:val="0"/>
                <w:sz w:val="16"/>
                <w:szCs w:val="16"/>
                <w:lang w:eastAsia="es-CO"/>
                <w14:ligatures w14:val="none"/>
              </w:rPr>
              <w:t>0</w:t>
            </w:r>
          </w:p>
        </w:tc>
      </w:tr>
    </w:tbl>
    <w:p w14:paraId="2B15CF24" w14:textId="26F94A2F" w:rsidR="004B08EF" w:rsidRPr="00951AB1" w:rsidRDefault="000F5A4A" w:rsidP="000A5389">
      <w:pPr>
        <w:spacing w:line="240" w:lineRule="auto"/>
        <w:rPr>
          <w:rFonts w:cs="Times New Roman"/>
          <w:sz w:val="16"/>
          <w:szCs w:val="16"/>
        </w:rPr>
      </w:pPr>
      <w:r w:rsidRPr="00951AB1">
        <w:rPr>
          <w:rFonts w:cs="Times New Roman"/>
          <w:sz w:val="16"/>
          <w:szCs w:val="16"/>
        </w:rPr>
        <w:t xml:space="preserve">Cifras en pesos </w:t>
      </w:r>
    </w:p>
    <w:p w14:paraId="3B063C73" w14:textId="77777777" w:rsidR="004B08EF" w:rsidRPr="00951AB1" w:rsidRDefault="004B08EF" w:rsidP="000A5389">
      <w:pPr>
        <w:spacing w:line="240" w:lineRule="auto"/>
        <w:rPr>
          <w:rFonts w:cs="Times New Roman"/>
        </w:rPr>
      </w:pPr>
    </w:p>
    <w:p w14:paraId="7B091028" w14:textId="43BABA06" w:rsidR="00CB7A42" w:rsidRDefault="001D7B33" w:rsidP="000A5389">
      <w:pPr>
        <w:spacing w:line="240" w:lineRule="auto"/>
        <w:rPr>
          <w:rFonts w:eastAsia="Times New Roman" w:cs="Times New Roman"/>
          <w:szCs w:val="24"/>
          <w:lang w:val="es"/>
        </w:rPr>
      </w:pPr>
      <w:r w:rsidRPr="00951AB1">
        <w:rPr>
          <w:rFonts w:eastAsia="Times New Roman" w:cs="Times New Roman"/>
          <w:szCs w:val="24"/>
          <w:lang w:val="es"/>
        </w:rPr>
        <w:t xml:space="preserve">En gastos </w:t>
      </w:r>
      <w:r w:rsidRPr="00951AB1">
        <w:rPr>
          <w:rFonts w:eastAsia="Times New Roman" w:cs="Times New Roman"/>
          <w:i/>
          <w:iCs/>
          <w:szCs w:val="24"/>
          <w:lang w:val="es"/>
        </w:rPr>
        <w:t>Generales</w:t>
      </w:r>
      <w:r w:rsidRPr="00951AB1">
        <w:rPr>
          <w:rFonts w:eastAsia="Times New Roman" w:cs="Times New Roman"/>
          <w:szCs w:val="24"/>
          <w:lang w:val="es"/>
        </w:rPr>
        <w:t>, se reconocen los gastos en que incurre la ANI para su normal funcionamiento en cumplimiento de su cometido estatal. Entre estos, el rubro más representativo corresponde a Mantenimiento con un</w:t>
      </w:r>
      <w:r w:rsidR="00D67F80" w:rsidRPr="00951AB1">
        <w:rPr>
          <w:rFonts w:eastAsia="Times New Roman" w:cs="Times New Roman"/>
          <w:szCs w:val="24"/>
          <w:lang w:val="es"/>
        </w:rPr>
        <w:t xml:space="preserve"> Saldo total de $</w:t>
      </w:r>
      <w:r w:rsidR="00F73F0F" w:rsidRPr="00951AB1">
        <w:rPr>
          <w:rFonts w:eastAsia="Times New Roman" w:cs="Times New Roman"/>
          <w:szCs w:val="24"/>
          <w:lang w:val="es"/>
        </w:rPr>
        <w:t>804.077.</w:t>
      </w:r>
      <w:r w:rsidR="00075E06" w:rsidRPr="00951AB1">
        <w:rPr>
          <w:rFonts w:eastAsia="Times New Roman" w:cs="Times New Roman"/>
          <w:szCs w:val="24"/>
          <w:lang w:val="es"/>
        </w:rPr>
        <w:t>069.51</w:t>
      </w:r>
      <w:r w:rsidR="00391AF5" w:rsidRPr="00951AB1">
        <w:rPr>
          <w:rFonts w:eastAsia="Times New Roman" w:cs="Times New Roman"/>
          <w:szCs w:val="24"/>
          <w:lang w:val="es"/>
        </w:rPr>
        <w:t>6</w:t>
      </w:r>
      <w:r w:rsidR="009448CE" w:rsidRPr="00951AB1">
        <w:rPr>
          <w:rFonts w:eastAsia="Times New Roman" w:cs="Times New Roman"/>
          <w:szCs w:val="24"/>
          <w:lang w:val="es"/>
        </w:rPr>
        <w:t xml:space="preserve"> </w:t>
      </w:r>
      <w:r w:rsidR="005F6A37" w:rsidRPr="00951AB1">
        <w:rPr>
          <w:rFonts w:eastAsia="Times New Roman" w:cs="Times New Roman"/>
          <w:szCs w:val="24"/>
          <w:lang w:val="es"/>
        </w:rPr>
        <w:t>e</w:t>
      </w:r>
      <w:r w:rsidRPr="00951AB1">
        <w:rPr>
          <w:rFonts w:eastAsia="Times New Roman" w:cs="Times New Roman"/>
          <w:szCs w:val="24"/>
          <w:lang w:val="es"/>
        </w:rPr>
        <w:t xml:space="preserve"> incremento en términos corrientes del </w:t>
      </w:r>
      <w:r w:rsidR="005F6A37" w:rsidRPr="00951AB1">
        <w:rPr>
          <w:rFonts w:eastAsia="Times New Roman" w:cs="Times New Roman"/>
          <w:color w:val="000000"/>
          <w:kern w:val="0"/>
          <w:szCs w:val="24"/>
          <w:lang w:eastAsia="es-CO"/>
          <w14:ligatures w14:val="none"/>
        </w:rPr>
        <w:t>54,85%</w:t>
      </w:r>
      <w:r w:rsidR="00F1183B" w:rsidRPr="00951AB1">
        <w:rPr>
          <w:rFonts w:eastAsia="Times New Roman" w:cs="Times New Roman"/>
          <w:color w:val="000000"/>
          <w:kern w:val="0"/>
          <w:szCs w:val="24"/>
          <w:lang w:eastAsia="es-CO"/>
          <w14:ligatures w14:val="none"/>
        </w:rPr>
        <w:t xml:space="preserve"> </w:t>
      </w:r>
      <w:r w:rsidRPr="00951AB1">
        <w:rPr>
          <w:rFonts w:eastAsia="Times New Roman" w:cs="Times New Roman"/>
          <w:szCs w:val="24"/>
          <w:lang w:val="es"/>
        </w:rPr>
        <w:t>sobre el total de los Gastos Generales, por el reconocimiento del mantenimiento (OPEX) de los acuerdos de concesión del modo de transporte carretero de conformidad con la técnica de estimación (modelo financiero para propósitos contables) que utiliza la entidad, y por el mantenimiento de la vía férrea.</w:t>
      </w:r>
    </w:p>
    <w:p w14:paraId="5E78DF12" w14:textId="77777777" w:rsidR="008C1734" w:rsidRPr="00951AB1" w:rsidRDefault="008C1734" w:rsidP="000A5389">
      <w:pPr>
        <w:spacing w:line="240" w:lineRule="auto"/>
        <w:rPr>
          <w:rFonts w:eastAsia="Times New Roman" w:cs="Times New Roman"/>
          <w:szCs w:val="24"/>
          <w:lang w:val="es"/>
        </w:rPr>
      </w:pPr>
    </w:p>
    <w:p w14:paraId="784F752B" w14:textId="75488AFD" w:rsidR="001D7B33" w:rsidRDefault="001D7B33" w:rsidP="000A5389">
      <w:pPr>
        <w:spacing w:line="240" w:lineRule="auto"/>
        <w:rPr>
          <w:rFonts w:eastAsia="Times New Roman" w:cs="Times New Roman"/>
          <w:szCs w:val="24"/>
          <w:lang w:val="es"/>
        </w:rPr>
      </w:pPr>
      <w:r w:rsidRPr="00951AB1">
        <w:rPr>
          <w:rFonts w:eastAsia="Times New Roman" w:cs="Times New Roman"/>
          <w:szCs w:val="24"/>
          <w:lang w:val="es"/>
        </w:rPr>
        <w:t xml:space="preserve">El segundo rubro que presenta mayor variación es el de </w:t>
      </w:r>
      <w:r w:rsidR="00FB0B5B" w:rsidRPr="00951AB1">
        <w:rPr>
          <w:rFonts w:eastAsia="Times New Roman" w:cs="Times New Roman"/>
          <w:szCs w:val="24"/>
          <w:lang w:val="es"/>
        </w:rPr>
        <w:t>Estudios y proyectos</w:t>
      </w:r>
      <w:r w:rsidRPr="00951AB1">
        <w:rPr>
          <w:rFonts w:eastAsia="Times New Roman" w:cs="Times New Roman"/>
          <w:szCs w:val="24"/>
          <w:lang w:val="es"/>
        </w:rPr>
        <w:t xml:space="preserve"> con un incremento en términos corrientes del </w:t>
      </w:r>
      <w:r w:rsidR="00314910" w:rsidRPr="00951AB1">
        <w:rPr>
          <w:rFonts w:eastAsia="Times New Roman" w:cs="Times New Roman"/>
          <w:szCs w:val="24"/>
          <w:lang w:val="es"/>
        </w:rPr>
        <w:t>42</w:t>
      </w:r>
      <w:r w:rsidRPr="00951AB1">
        <w:rPr>
          <w:rFonts w:eastAsia="Times New Roman" w:cs="Times New Roman"/>
          <w:szCs w:val="24"/>
          <w:lang w:val="es"/>
        </w:rPr>
        <w:t>.</w:t>
      </w:r>
      <w:r w:rsidR="00314910" w:rsidRPr="00951AB1">
        <w:rPr>
          <w:rFonts w:eastAsia="Times New Roman" w:cs="Times New Roman"/>
          <w:szCs w:val="24"/>
          <w:lang w:val="es"/>
        </w:rPr>
        <w:t>02</w:t>
      </w:r>
      <w:r w:rsidRPr="00951AB1">
        <w:rPr>
          <w:rFonts w:eastAsia="Times New Roman" w:cs="Times New Roman"/>
          <w:szCs w:val="24"/>
          <w:lang w:val="es"/>
        </w:rPr>
        <w:t>%, que corresponde</w:t>
      </w:r>
      <w:r w:rsidR="00DC05E7" w:rsidRPr="00951AB1">
        <w:rPr>
          <w:rFonts w:eastAsia="Times New Roman" w:cs="Times New Roman"/>
          <w:szCs w:val="24"/>
          <w:lang w:val="es"/>
        </w:rPr>
        <w:t xml:space="preserve"> la ejecución de los </w:t>
      </w:r>
      <w:r w:rsidR="002C1AF9" w:rsidRPr="00951AB1">
        <w:rPr>
          <w:rFonts w:eastAsia="Times New Roman" w:cs="Times New Roman"/>
          <w:szCs w:val="24"/>
          <w:lang w:val="es"/>
        </w:rPr>
        <w:t>convenios Interadministrativo No. 24 DE 2017</w:t>
      </w:r>
      <w:r w:rsidR="00743EB9" w:rsidRPr="00951AB1">
        <w:rPr>
          <w:rFonts w:eastAsia="Times New Roman" w:cs="Times New Roman"/>
          <w:szCs w:val="24"/>
          <w:lang w:val="es"/>
        </w:rPr>
        <w:t xml:space="preserve"> y No.VE-809-2023suscrito con </w:t>
      </w:r>
      <w:r w:rsidR="00366948" w:rsidRPr="00951AB1">
        <w:rPr>
          <w:rFonts w:eastAsia="Times New Roman" w:cs="Times New Roman"/>
          <w:szCs w:val="24"/>
          <w:lang w:val="es"/>
        </w:rPr>
        <w:t>Financiera de</w:t>
      </w:r>
      <w:r w:rsidR="00743EB9" w:rsidRPr="00951AB1">
        <w:rPr>
          <w:rFonts w:eastAsia="Times New Roman" w:cs="Times New Roman"/>
          <w:szCs w:val="24"/>
          <w:lang w:val="es"/>
        </w:rPr>
        <w:t xml:space="preserve"> Desarrollo Nacional S.A.</w:t>
      </w:r>
      <w:r w:rsidR="002C1AF9" w:rsidRPr="00951AB1">
        <w:rPr>
          <w:rFonts w:eastAsia="Times New Roman" w:cs="Times New Roman"/>
          <w:szCs w:val="24"/>
          <w:lang w:val="es"/>
        </w:rPr>
        <w:t>,</w:t>
      </w:r>
      <w:r w:rsidR="00743EB9" w:rsidRPr="00951AB1">
        <w:rPr>
          <w:rFonts w:eastAsia="Times New Roman" w:cs="Times New Roman"/>
          <w:szCs w:val="24"/>
          <w:lang w:val="es"/>
        </w:rPr>
        <w:t xml:space="preserve"> de</w:t>
      </w:r>
      <w:r w:rsidR="002C1AF9" w:rsidRPr="00951AB1">
        <w:rPr>
          <w:rFonts w:eastAsia="Times New Roman" w:cs="Times New Roman"/>
          <w:szCs w:val="24"/>
          <w:lang w:val="es"/>
        </w:rPr>
        <w:t xml:space="preserve"> </w:t>
      </w:r>
      <w:r w:rsidR="009C3213" w:rsidRPr="00951AB1">
        <w:rPr>
          <w:rFonts w:eastAsia="Times New Roman" w:cs="Times New Roman"/>
          <w:szCs w:val="24"/>
          <w:lang w:val="es"/>
        </w:rPr>
        <w:t>Cooperación No. CI-013-2023</w:t>
      </w:r>
      <w:r w:rsidR="00382F03" w:rsidRPr="00951AB1">
        <w:rPr>
          <w:rFonts w:eastAsia="Times New Roman" w:cs="Times New Roman"/>
          <w:szCs w:val="24"/>
          <w:lang w:val="es"/>
        </w:rPr>
        <w:t xml:space="preserve"> – suscrito con Cenit Transporte y Logística de Hidrocarburos S.A.S.</w:t>
      </w:r>
      <w:r w:rsidR="009C3213" w:rsidRPr="00951AB1">
        <w:rPr>
          <w:rFonts w:eastAsia="Times New Roman" w:cs="Times New Roman"/>
          <w:szCs w:val="24"/>
          <w:lang w:val="es"/>
        </w:rPr>
        <w:t>, y al mecanismo de consulta previa</w:t>
      </w:r>
      <w:r w:rsidR="00366948" w:rsidRPr="00951AB1">
        <w:rPr>
          <w:rFonts w:eastAsia="Times New Roman" w:cs="Times New Roman"/>
          <w:szCs w:val="24"/>
          <w:lang w:val="es"/>
        </w:rPr>
        <w:t xml:space="preserve"> con el Consejo Comunitario Comunidad Negra la Nueva Esperanza Corregimiento el Hoyo.</w:t>
      </w:r>
    </w:p>
    <w:p w14:paraId="0B57F3CA" w14:textId="77777777" w:rsidR="008C1734" w:rsidRPr="00951AB1" w:rsidRDefault="008C1734" w:rsidP="000A5389">
      <w:pPr>
        <w:spacing w:line="240" w:lineRule="auto"/>
        <w:rPr>
          <w:rFonts w:eastAsia="Times New Roman" w:cs="Times New Roman"/>
          <w:color w:val="000000"/>
          <w:kern w:val="0"/>
          <w:lang w:eastAsia="es-CO"/>
          <w14:ligatures w14:val="none"/>
        </w:rPr>
      </w:pPr>
    </w:p>
    <w:p w14:paraId="3C6AB664" w14:textId="5217F485" w:rsidR="00D46BEC" w:rsidRDefault="00FF3CA2" w:rsidP="000A5389">
      <w:pPr>
        <w:spacing w:line="240" w:lineRule="auto"/>
        <w:ind w:left="-20" w:right="-20"/>
        <w:rPr>
          <w:rFonts w:eastAsia="Times New Roman" w:cs="Times New Roman"/>
          <w:szCs w:val="24"/>
          <w:lang w:val="es"/>
        </w:rPr>
      </w:pPr>
      <w:r w:rsidRPr="00951AB1">
        <w:rPr>
          <w:rFonts w:eastAsia="Times New Roman" w:cs="Times New Roman"/>
          <w:szCs w:val="24"/>
          <w:lang w:val="es"/>
        </w:rPr>
        <w:t>L</w:t>
      </w:r>
      <w:r w:rsidR="001D7B33" w:rsidRPr="00951AB1">
        <w:rPr>
          <w:rFonts w:eastAsia="Times New Roman" w:cs="Times New Roman"/>
          <w:szCs w:val="24"/>
          <w:lang w:val="es"/>
        </w:rPr>
        <w:t>os valores registrados en el año 202</w:t>
      </w:r>
      <w:r w:rsidRPr="00951AB1">
        <w:rPr>
          <w:rFonts w:eastAsia="Times New Roman" w:cs="Times New Roman"/>
          <w:szCs w:val="24"/>
          <w:lang w:val="es"/>
        </w:rPr>
        <w:t>5</w:t>
      </w:r>
      <w:r w:rsidR="001D7B33" w:rsidRPr="00951AB1">
        <w:rPr>
          <w:rFonts w:eastAsia="Times New Roman" w:cs="Times New Roman"/>
          <w:szCs w:val="24"/>
          <w:lang w:val="es"/>
        </w:rPr>
        <w:t xml:space="preserve"> por subcuenta, para la cuenta </w:t>
      </w:r>
      <w:r w:rsidR="001D7B33" w:rsidRPr="00951AB1">
        <w:rPr>
          <w:rFonts w:eastAsia="Times New Roman" w:cs="Times New Roman"/>
          <w:i/>
          <w:iCs/>
          <w:szCs w:val="24"/>
          <w:lang w:val="es"/>
        </w:rPr>
        <w:t>Generales</w:t>
      </w:r>
      <w:r w:rsidR="001D7B33" w:rsidRPr="00951AB1">
        <w:rPr>
          <w:rFonts w:eastAsia="Times New Roman" w:cs="Times New Roman"/>
          <w:szCs w:val="24"/>
          <w:lang w:val="es"/>
        </w:rPr>
        <w:t>, se pueden observar en el siguiente cuadro, organizado por mayor porcentaje de participación de la cuenta:</w:t>
      </w:r>
    </w:p>
    <w:p w14:paraId="51C1AA76" w14:textId="77777777" w:rsidR="00336FA0" w:rsidRPr="00951AB1" w:rsidRDefault="00336FA0" w:rsidP="000A5389">
      <w:pPr>
        <w:spacing w:line="240" w:lineRule="auto"/>
        <w:ind w:left="-20" w:right="-20"/>
        <w:rPr>
          <w:rFonts w:eastAsia="Times New Roman" w:cs="Times New Roman"/>
          <w:szCs w:val="24"/>
          <w:lang w:val="es"/>
        </w:rPr>
      </w:pPr>
    </w:p>
    <w:tbl>
      <w:tblPr>
        <w:tblW w:w="5000" w:type="pct"/>
        <w:tblCellMar>
          <w:left w:w="70" w:type="dxa"/>
          <w:right w:w="70" w:type="dxa"/>
        </w:tblCellMar>
        <w:tblLook w:val="04A0" w:firstRow="1" w:lastRow="0" w:firstColumn="1" w:lastColumn="0" w:noHBand="0" w:noVBand="1"/>
      </w:tblPr>
      <w:tblGrid>
        <w:gridCol w:w="6374"/>
        <w:gridCol w:w="2454"/>
      </w:tblGrid>
      <w:tr w:rsidR="005A6065" w:rsidRPr="00951AB1" w14:paraId="3C041336" w14:textId="77777777" w:rsidTr="00E56218">
        <w:trPr>
          <w:trHeight w:val="285"/>
          <w:tblHeader/>
        </w:trPr>
        <w:tc>
          <w:tcPr>
            <w:tcW w:w="3610" w:type="pct"/>
            <w:tcBorders>
              <w:top w:val="single" w:sz="4" w:space="0" w:color="auto"/>
              <w:left w:val="single" w:sz="4" w:space="0" w:color="auto"/>
              <w:bottom w:val="single" w:sz="4" w:space="0" w:color="auto"/>
              <w:right w:val="single" w:sz="4" w:space="0" w:color="auto"/>
            </w:tcBorders>
            <w:noWrap/>
            <w:vAlign w:val="center"/>
            <w:hideMark/>
          </w:tcPr>
          <w:p w14:paraId="13A6B45E" w14:textId="45FCA404" w:rsidR="00BD11A8" w:rsidRPr="00951AB1" w:rsidRDefault="002733B2" w:rsidP="000A5389">
            <w:pPr>
              <w:spacing w:line="240" w:lineRule="auto"/>
              <w:jc w:val="center"/>
              <w:rPr>
                <w:rFonts w:eastAsia="Times New Roman" w:cs="Times New Roman"/>
                <w:b/>
                <w:color w:val="000000"/>
                <w:kern w:val="0"/>
                <w:sz w:val="18"/>
                <w:szCs w:val="18"/>
                <w:lang w:eastAsia="es-CO"/>
                <w14:ligatures w14:val="none"/>
              </w:rPr>
            </w:pPr>
            <w:r w:rsidRPr="00951AB1">
              <w:rPr>
                <w:rFonts w:eastAsia="Times New Roman" w:cs="Times New Roman"/>
                <w:b/>
                <w:color w:val="000000"/>
                <w:kern w:val="0"/>
                <w:sz w:val="18"/>
                <w:szCs w:val="18"/>
                <w:lang w:eastAsia="es-CO"/>
                <w14:ligatures w14:val="none"/>
              </w:rPr>
              <w:t>Concepto</w:t>
            </w:r>
          </w:p>
        </w:tc>
        <w:tc>
          <w:tcPr>
            <w:tcW w:w="1390" w:type="pct"/>
            <w:tcBorders>
              <w:top w:val="single" w:sz="4" w:space="0" w:color="auto"/>
              <w:left w:val="nil"/>
              <w:bottom w:val="single" w:sz="4" w:space="0" w:color="auto"/>
              <w:right w:val="single" w:sz="4" w:space="0" w:color="auto"/>
            </w:tcBorders>
            <w:noWrap/>
            <w:vAlign w:val="center"/>
            <w:hideMark/>
          </w:tcPr>
          <w:p w14:paraId="7D6237D0" w14:textId="7073DD2E" w:rsidR="00BD11A8" w:rsidRPr="00951AB1" w:rsidRDefault="002733B2" w:rsidP="000A5389">
            <w:pPr>
              <w:spacing w:line="240" w:lineRule="auto"/>
              <w:jc w:val="center"/>
              <w:rPr>
                <w:rFonts w:eastAsia="Times New Roman" w:cs="Times New Roman"/>
                <w:b/>
                <w:color w:val="000000"/>
                <w:kern w:val="0"/>
                <w:sz w:val="18"/>
                <w:szCs w:val="18"/>
                <w:lang w:eastAsia="es-CO"/>
                <w14:ligatures w14:val="none"/>
              </w:rPr>
            </w:pPr>
            <w:r w:rsidRPr="00951AB1">
              <w:rPr>
                <w:rFonts w:eastAsia="Times New Roman" w:cs="Times New Roman"/>
                <w:b/>
                <w:color w:val="000000"/>
                <w:kern w:val="0"/>
                <w:sz w:val="18"/>
                <w:szCs w:val="18"/>
                <w:lang w:eastAsia="es-CO"/>
                <w14:ligatures w14:val="none"/>
              </w:rPr>
              <w:t>Saldo</w:t>
            </w:r>
          </w:p>
        </w:tc>
      </w:tr>
      <w:tr w:rsidR="007150DD" w:rsidRPr="00951AB1" w14:paraId="63D62C49" w14:textId="77777777" w:rsidTr="00873EE6">
        <w:trPr>
          <w:trHeight w:val="285"/>
        </w:trPr>
        <w:tc>
          <w:tcPr>
            <w:tcW w:w="3610" w:type="pct"/>
            <w:tcBorders>
              <w:top w:val="nil"/>
              <w:left w:val="single" w:sz="4" w:space="0" w:color="auto"/>
              <w:bottom w:val="single" w:sz="4" w:space="0" w:color="auto"/>
              <w:right w:val="single" w:sz="4" w:space="0" w:color="auto"/>
            </w:tcBorders>
            <w:noWrap/>
            <w:vAlign w:val="center"/>
            <w:hideMark/>
          </w:tcPr>
          <w:p w14:paraId="0361C0C8" w14:textId="77777777" w:rsidR="00BD11A8" w:rsidRPr="00951AB1" w:rsidRDefault="00BD11A8" w:rsidP="000A5389">
            <w:pPr>
              <w:spacing w:line="240" w:lineRule="auto"/>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Mantenimiento</w:t>
            </w:r>
          </w:p>
        </w:tc>
        <w:tc>
          <w:tcPr>
            <w:tcW w:w="1390" w:type="pct"/>
            <w:tcBorders>
              <w:top w:val="nil"/>
              <w:left w:val="nil"/>
              <w:bottom w:val="single" w:sz="4" w:space="0" w:color="auto"/>
              <w:right w:val="single" w:sz="4" w:space="0" w:color="auto"/>
            </w:tcBorders>
            <w:noWrap/>
            <w:vAlign w:val="center"/>
            <w:hideMark/>
          </w:tcPr>
          <w:p w14:paraId="582D7B0B" w14:textId="7801B6C1" w:rsidR="00BD11A8" w:rsidRPr="00951AB1" w:rsidRDefault="00BD11A8"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$804.077.069.51</w:t>
            </w:r>
            <w:r w:rsidR="00E5178B" w:rsidRPr="00951AB1">
              <w:rPr>
                <w:rFonts w:eastAsia="Times New Roman" w:cs="Times New Roman"/>
                <w:color w:val="000000"/>
                <w:kern w:val="0"/>
                <w:sz w:val="18"/>
                <w:szCs w:val="18"/>
                <w:lang w:eastAsia="es-CO"/>
                <w14:ligatures w14:val="none"/>
              </w:rPr>
              <w:t>6</w:t>
            </w:r>
          </w:p>
        </w:tc>
      </w:tr>
      <w:tr w:rsidR="007150DD" w:rsidRPr="00951AB1" w14:paraId="5032AEE3" w14:textId="77777777" w:rsidTr="00873EE6">
        <w:trPr>
          <w:trHeight w:val="285"/>
        </w:trPr>
        <w:tc>
          <w:tcPr>
            <w:tcW w:w="3610" w:type="pct"/>
            <w:tcBorders>
              <w:top w:val="nil"/>
              <w:left w:val="single" w:sz="4" w:space="0" w:color="auto"/>
              <w:bottom w:val="single" w:sz="4" w:space="0" w:color="auto"/>
              <w:right w:val="single" w:sz="4" w:space="0" w:color="auto"/>
            </w:tcBorders>
            <w:noWrap/>
            <w:vAlign w:val="center"/>
            <w:hideMark/>
          </w:tcPr>
          <w:p w14:paraId="2A6DDDD0" w14:textId="77777777" w:rsidR="00BD11A8" w:rsidRPr="00951AB1" w:rsidRDefault="00BD11A8" w:rsidP="000A5389">
            <w:pPr>
              <w:spacing w:line="240" w:lineRule="auto"/>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 xml:space="preserve">Estudios y proyectos </w:t>
            </w:r>
          </w:p>
        </w:tc>
        <w:tc>
          <w:tcPr>
            <w:tcW w:w="1390" w:type="pct"/>
            <w:tcBorders>
              <w:top w:val="nil"/>
              <w:left w:val="nil"/>
              <w:bottom w:val="single" w:sz="4" w:space="0" w:color="auto"/>
              <w:right w:val="single" w:sz="4" w:space="0" w:color="auto"/>
            </w:tcBorders>
            <w:noWrap/>
            <w:vAlign w:val="center"/>
            <w:hideMark/>
          </w:tcPr>
          <w:p w14:paraId="53E3409D" w14:textId="13F623A4" w:rsidR="00BD11A8" w:rsidRPr="00951AB1" w:rsidRDefault="00BD11A8"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$59.485.688.39</w:t>
            </w:r>
            <w:r w:rsidR="00E5178B" w:rsidRPr="00951AB1">
              <w:rPr>
                <w:rFonts w:eastAsia="Times New Roman" w:cs="Times New Roman"/>
                <w:color w:val="000000"/>
                <w:kern w:val="0"/>
                <w:sz w:val="18"/>
                <w:szCs w:val="18"/>
                <w:lang w:eastAsia="es-CO"/>
                <w14:ligatures w14:val="none"/>
              </w:rPr>
              <w:t>2</w:t>
            </w:r>
          </w:p>
        </w:tc>
      </w:tr>
      <w:tr w:rsidR="007150DD" w:rsidRPr="00951AB1" w14:paraId="7637F5E4" w14:textId="77777777" w:rsidTr="00873EE6">
        <w:trPr>
          <w:trHeight w:val="285"/>
        </w:trPr>
        <w:tc>
          <w:tcPr>
            <w:tcW w:w="3610" w:type="pct"/>
            <w:tcBorders>
              <w:top w:val="nil"/>
              <w:left w:val="single" w:sz="4" w:space="0" w:color="auto"/>
              <w:bottom w:val="single" w:sz="4" w:space="0" w:color="auto"/>
              <w:right w:val="single" w:sz="4" w:space="0" w:color="auto"/>
            </w:tcBorders>
            <w:noWrap/>
            <w:vAlign w:val="center"/>
            <w:hideMark/>
          </w:tcPr>
          <w:p w14:paraId="436C0ADD" w14:textId="77777777" w:rsidR="00BD11A8" w:rsidRPr="00951AB1" w:rsidRDefault="00BD11A8" w:rsidP="000A5389">
            <w:pPr>
              <w:spacing w:line="240" w:lineRule="auto"/>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Honorarios</w:t>
            </w:r>
          </w:p>
        </w:tc>
        <w:tc>
          <w:tcPr>
            <w:tcW w:w="1390" w:type="pct"/>
            <w:tcBorders>
              <w:top w:val="nil"/>
              <w:left w:val="nil"/>
              <w:bottom w:val="single" w:sz="4" w:space="0" w:color="auto"/>
              <w:right w:val="single" w:sz="4" w:space="0" w:color="auto"/>
            </w:tcBorders>
            <w:noWrap/>
            <w:vAlign w:val="center"/>
            <w:hideMark/>
          </w:tcPr>
          <w:p w14:paraId="22E9964E" w14:textId="5B7F51BD" w:rsidR="00BD11A8" w:rsidRPr="00951AB1" w:rsidRDefault="00BD11A8"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$50.735.670.65</w:t>
            </w:r>
            <w:r w:rsidR="00FD1892" w:rsidRPr="00951AB1">
              <w:rPr>
                <w:rFonts w:eastAsia="Times New Roman" w:cs="Times New Roman"/>
                <w:color w:val="000000"/>
                <w:kern w:val="0"/>
                <w:sz w:val="18"/>
                <w:szCs w:val="18"/>
                <w:lang w:eastAsia="es-CO"/>
                <w14:ligatures w14:val="none"/>
              </w:rPr>
              <w:t>4</w:t>
            </w:r>
          </w:p>
        </w:tc>
      </w:tr>
      <w:tr w:rsidR="007150DD" w:rsidRPr="00951AB1" w14:paraId="2008DABF" w14:textId="77777777" w:rsidTr="00873EE6">
        <w:trPr>
          <w:trHeight w:val="285"/>
        </w:trPr>
        <w:tc>
          <w:tcPr>
            <w:tcW w:w="3610" w:type="pct"/>
            <w:tcBorders>
              <w:top w:val="nil"/>
              <w:left w:val="single" w:sz="4" w:space="0" w:color="auto"/>
              <w:bottom w:val="single" w:sz="4" w:space="0" w:color="auto"/>
              <w:right w:val="single" w:sz="4" w:space="0" w:color="auto"/>
            </w:tcBorders>
            <w:noWrap/>
            <w:vAlign w:val="center"/>
            <w:hideMark/>
          </w:tcPr>
          <w:p w14:paraId="5BE11793" w14:textId="77777777" w:rsidR="00BD11A8" w:rsidRPr="00951AB1" w:rsidRDefault="00BD11A8" w:rsidP="000A5389">
            <w:pPr>
              <w:spacing w:line="240" w:lineRule="auto"/>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Costas procesales</w:t>
            </w:r>
          </w:p>
        </w:tc>
        <w:tc>
          <w:tcPr>
            <w:tcW w:w="1390" w:type="pct"/>
            <w:tcBorders>
              <w:top w:val="nil"/>
              <w:left w:val="nil"/>
              <w:bottom w:val="single" w:sz="4" w:space="0" w:color="auto"/>
              <w:right w:val="single" w:sz="4" w:space="0" w:color="auto"/>
            </w:tcBorders>
            <w:noWrap/>
            <w:vAlign w:val="center"/>
            <w:hideMark/>
          </w:tcPr>
          <w:p w14:paraId="65524408" w14:textId="4D76CDCB" w:rsidR="00BD11A8" w:rsidRPr="00951AB1" w:rsidRDefault="00BD11A8"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$22.490.148.447</w:t>
            </w:r>
          </w:p>
        </w:tc>
      </w:tr>
      <w:tr w:rsidR="007150DD" w:rsidRPr="00951AB1" w14:paraId="16CBEDB2" w14:textId="77777777" w:rsidTr="00873EE6">
        <w:trPr>
          <w:trHeight w:val="285"/>
        </w:trPr>
        <w:tc>
          <w:tcPr>
            <w:tcW w:w="3610" w:type="pct"/>
            <w:tcBorders>
              <w:top w:val="nil"/>
              <w:left w:val="single" w:sz="4" w:space="0" w:color="auto"/>
              <w:bottom w:val="single" w:sz="4" w:space="0" w:color="auto"/>
              <w:right w:val="single" w:sz="4" w:space="0" w:color="auto"/>
            </w:tcBorders>
            <w:noWrap/>
            <w:vAlign w:val="center"/>
            <w:hideMark/>
          </w:tcPr>
          <w:p w14:paraId="0EBCA430" w14:textId="77777777" w:rsidR="00BD11A8" w:rsidRPr="00951AB1" w:rsidRDefault="00BD11A8" w:rsidP="000A5389">
            <w:pPr>
              <w:spacing w:line="240" w:lineRule="auto"/>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 xml:space="preserve">Interventorías, auditorías y evaluaciones </w:t>
            </w:r>
          </w:p>
        </w:tc>
        <w:tc>
          <w:tcPr>
            <w:tcW w:w="1390" w:type="pct"/>
            <w:tcBorders>
              <w:top w:val="nil"/>
              <w:left w:val="nil"/>
              <w:bottom w:val="single" w:sz="4" w:space="0" w:color="auto"/>
              <w:right w:val="single" w:sz="4" w:space="0" w:color="auto"/>
            </w:tcBorders>
            <w:noWrap/>
            <w:vAlign w:val="center"/>
            <w:hideMark/>
          </w:tcPr>
          <w:p w14:paraId="75F36DE5" w14:textId="22B45184" w:rsidR="00BD11A8" w:rsidRPr="00951AB1" w:rsidRDefault="00BD11A8"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$19.127.963.349</w:t>
            </w:r>
          </w:p>
        </w:tc>
      </w:tr>
      <w:tr w:rsidR="007150DD" w:rsidRPr="00951AB1" w14:paraId="03EAEA64" w14:textId="77777777" w:rsidTr="00873EE6">
        <w:trPr>
          <w:trHeight w:val="285"/>
        </w:trPr>
        <w:tc>
          <w:tcPr>
            <w:tcW w:w="3610" w:type="pct"/>
            <w:tcBorders>
              <w:top w:val="nil"/>
              <w:left w:val="single" w:sz="4" w:space="0" w:color="auto"/>
              <w:bottom w:val="single" w:sz="4" w:space="0" w:color="auto"/>
              <w:right w:val="single" w:sz="4" w:space="0" w:color="auto"/>
            </w:tcBorders>
            <w:noWrap/>
            <w:vAlign w:val="center"/>
            <w:hideMark/>
          </w:tcPr>
          <w:p w14:paraId="286A70C0" w14:textId="77777777" w:rsidR="00BD11A8" w:rsidRPr="00951AB1" w:rsidRDefault="00BD11A8" w:rsidP="000A5389">
            <w:pPr>
              <w:spacing w:line="240" w:lineRule="auto"/>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Arrendamiento operativo</w:t>
            </w:r>
          </w:p>
        </w:tc>
        <w:tc>
          <w:tcPr>
            <w:tcW w:w="1390" w:type="pct"/>
            <w:tcBorders>
              <w:top w:val="nil"/>
              <w:left w:val="nil"/>
              <w:bottom w:val="single" w:sz="4" w:space="0" w:color="auto"/>
              <w:right w:val="single" w:sz="4" w:space="0" w:color="auto"/>
            </w:tcBorders>
            <w:noWrap/>
            <w:vAlign w:val="center"/>
            <w:hideMark/>
          </w:tcPr>
          <w:p w14:paraId="16743A3D" w14:textId="25E92309" w:rsidR="00BD11A8" w:rsidRPr="00951AB1" w:rsidRDefault="00BD11A8"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$10.063.879.44</w:t>
            </w:r>
            <w:r w:rsidR="00FD1892" w:rsidRPr="00951AB1">
              <w:rPr>
                <w:rFonts w:eastAsia="Times New Roman" w:cs="Times New Roman"/>
                <w:color w:val="000000"/>
                <w:kern w:val="0"/>
                <w:sz w:val="18"/>
                <w:szCs w:val="18"/>
                <w:lang w:eastAsia="es-CO"/>
                <w14:ligatures w14:val="none"/>
              </w:rPr>
              <w:t>9</w:t>
            </w:r>
          </w:p>
        </w:tc>
      </w:tr>
      <w:tr w:rsidR="007150DD" w:rsidRPr="00951AB1" w14:paraId="469F45D0" w14:textId="77777777" w:rsidTr="00873EE6">
        <w:trPr>
          <w:trHeight w:val="285"/>
        </w:trPr>
        <w:tc>
          <w:tcPr>
            <w:tcW w:w="3610" w:type="pct"/>
            <w:tcBorders>
              <w:top w:val="nil"/>
              <w:left w:val="single" w:sz="4" w:space="0" w:color="auto"/>
              <w:bottom w:val="single" w:sz="4" w:space="0" w:color="auto"/>
              <w:right w:val="single" w:sz="4" w:space="0" w:color="auto"/>
            </w:tcBorders>
            <w:noWrap/>
            <w:vAlign w:val="center"/>
            <w:hideMark/>
          </w:tcPr>
          <w:p w14:paraId="662EA297" w14:textId="77777777" w:rsidR="00BD11A8" w:rsidRPr="00951AB1" w:rsidRDefault="00BD11A8" w:rsidP="000A5389">
            <w:pPr>
              <w:spacing w:line="240" w:lineRule="auto"/>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Servicios</w:t>
            </w:r>
          </w:p>
        </w:tc>
        <w:tc>
          <w:tcPr>
            <w:tcW w:w="1390" w:type="pct"/>
            <w:tcBorders>
              <w:top w:val="nil"/>
              <w:left w:val="nil"/>
              <w:bottom w:val="single" w:sz="4" w:space="0" w:color="auto"/>
              <w:right w:val="single" w:sz="4" w:space="0" w:color="auto"/>
            </w:tcBorders>
            <w:noWrap/>
            <w:vAlign w:val="center"/>
            <w:hideMark/>
          </w:tcPr>
          <w:p w14:paraId="262077C3" w14:textId="1CF93653" w:rsidR="00BD11A8" w:rsidRPr="00951AB1" w:rsidRDefault="00BD11A8"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$4.017.846.276</w:t>
            </w:r>
          </w:p>
        </w:tc>
      </w:tr>
      <w:tr w:rsidR="007150DD" w:rsidRPr="00951AB1" w14:paraId="0016CAB6" w14:textId="77777777" w:rsidTr="00873EE6">
        <w:trPr>
          <w:trHeight w:val="285"/>
        </w:trPr>
        <w:tc>
          <w:tcPr>
            <w:tcW w:w="3610" w:type="pct"/>
            <w:tcBorders>
              <w:top w:val="nil"/>
              <w:left w:val="single" w:sz="4" w:space="0" w:color="auto"/>
              <w:bottom w:val="single" w:sz="4" w:space="0" w:color="auto"/>
              <w:right w:val="single" w:sz="4" w:space="0" w:color="auto"/>
            </w:tcBorders>
            <w:noWrap/>
            <w:vAlign w:val="center"/>
            <w:hideMark/>
          </w:tcPr>
          <w:p w14:paraId="67460B76" w14:textId="77777777" w:rsidR="00BD11A8" w:rsidRPr="00951AB1" w:rsidRDefault="00BD11A8" w:rsidP="000A5389">
            <w:pPr>
              <w:spacing w:line="240" w:lineRule="auto"/>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Seguros generales</w:t>
            </w:r>
          </w:p>
        </w:tc>
        <w:tc>
          <w:tcPr>
            <w:tcW w:w="1390" w:type="pct"/>
            <w:tcBorders>
              <w:top w:val="nil"/>
              <w:left w:val="nil"/>
              <w:bottom w:val="single" w:sz="4" w:space="0" w:color="auto"/>
              <w:right w:val="single" w:sz="4" w:space="0" w:color="auto"/>
            </w:tcBorders>
            <w:noWrap/>
            <w:vAlign w:val="center"/>
            <w:hideMark/>
          </w:tcPr>
          <w:p w14:paraId="053291FA" w14:textId="3E307708" w:rsidR="00BD11A8" w:rsidRPr="00951AB1" w:rsidRDefault="00BD11A8"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$1.991.207.665</w:t>
            </w:r>
          </w:p>
        </w:tc>
      </w:tr>
      <w:tr w:rsidR="007150DD" w:rsidRPr="00951AB1" w14:paraId="08623BAE" w14:textId="77777777" w:rsidTr="00873EE6">
        <w:trPr>
          <w:trHeight w:val="285"/>
        </w:trPr>
        <w:tc>
          <w:tcPr>
            <w:tcW w:w="3610" w:type="pct"/>
            <w:tcBorders>
              <w:top w:val="nil"/>
              <w:left w:val="single" w:sz="4" w:space="0" w:color="auto"/>
              <w:bottom w:val="single" w:sz="4" w:space="0" w:color="auto"/>
              <w:right w:val="single" w:sz="4" w:space="0" w:color="auto"/>
            </w:tcBorders>
            <w:noWrap/>
            <w:vAlign w:val="center"/>
            <w:hideMark/>
          </w:tcPr>
          <w:p w14:paraId="056B6603" w14:textId="77777777" w:rsidR="00BD11A8" w:rsidRPr="00951AB1" w:rsidRDefault="00BD11A8" w:rsidP="000A5389">
            <w:pPr>
              <w:spacing w:line="240" w:lineRule="auto"/>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Comunicaciones y transporte</w:t>
            </w:r>
          </w:p>
        </w:tc>
        <w:tc>
          <w:tcPr>
            <w:tcW w:w="1390" w:type="pct"/>
            <w:tcBorders>
              <w:top w:val="nil"/>
              <w:left w:val="nil"/>
              <w:bottom w:val="single" w:sz="4" w:space="0" w:color="auto"/>
              <w:right w:val="single" w:sz="4" w:space="0" w:color="auto"/>
            </w:tcBorders>
            <w:noWrap/>
            <w:vAlign w:val="center"/>
            <w:hideMark/>
          </w:tcPr>
          <w:p w14:paraId="043535EB" w14:textId="4E478C74" w:rsidR="00BD11A8" w:rsidRPr="00951AB1" w:rsidRDefault="00BD11A8"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$1.508.286.007</w:t>
            </w:r>
          </w:p>
        </w:tc>
      </w:tr>
      <w:tr w:rsidR="007150DD" w:rsidRPr="00951AB1" w14:paraId="5AEDCDA7" w14:textId="77777777" w:rsidTr="00873EE6">
        <w:trPr>
          <w:trHeight w:val="285"/>
        </w:trPr>
        <w:tc>
          <w:tcPr>
            <w:tcW w:w="3610" w:type="pct"/>
            <w:tcBorders>
              <w:top w:val="nil"/>
              <w:left w:val="single" w:sz="4" w:space="0" w:color="auto"/>
              <w:bottom w:val="single" w:sz="4" w:space="0" w:color="auto"/>
              <w:right w:val="single" w:sz="4" w:space="0" w:color="auto"/>
            </w:tcBorders>
            <w:noWrap/>
            <w:vAlign w:val="center"/>
            <w:hideMark/>
          </w:tcPr>
          <w:p w14:paraId="3B98322F" w14:textId="77777777" w:rsidR="00BD11A8" w:rsidRPr="00951AB1" w:rsidRDefault="00BD11A8" w:rsidP="000A5389">
            <w:pPr>
              <w:spacing w:line="240" w:lineRule="auto"/>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Vigilancia y seguridad</w:t>
            </w:r>
          </w:p>
        </w:tc>
        <w:tc>
          <w:tcPr>
            <w:tcW w:w="1390" w:type="pct"/>
            <w:tcBorders>
              <w:top w:val="nil"/>
              <w:left w:val="nil"/>
              <w:bottom w:val="single" w:sz="4" w:space="0" w:color="auto"/>
              <w:right w:val="single" w:sz="4" w:space="0" w:color="auto"/>
            </w:tcBorders>
            <w:noWrap/>
            <w:vAlign w:val="center"/>
            <w:hideMark/>
          </w:tcPr>
          <w:p w14:paraId="58CA10A7" w14:textId="692F19AE" w:rsidR="00BD11A8" w:rsidRPr="00951AB1" w:rsidRDefault="00BD11A8"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$1.408.996.79</w:t>
            </w:r>
            <w:r w:rsidR="00FD1892" w:rsidRPr="00951AB1">
              <w:rPr>
                <w:rFonts w:eastAsia="Times New Roman" w:cs="Times New Roman"/>
                <w:color w:val="000000"/>
                <w:kern w:val="0"/>
                <w:sz w:val="18"/>
                <w:szCs w:val="18"/>
                <w:lang w:eastAsia="es-CO"/>
                <w14:ligatures w14:val="none"/>
              </w:rPr>
              <w:t>2</w:t>
            </w:r>
          </w:p>
        </w:tc>
      </w:tr>
      <w:tr w:rsidR="007150DD" w:rsidRPr="00951AB1" w14:paraId="64D31D2A" w14:textId="77777777" w:rsidTr="00873EE6">
        <w:trPr>
          <w:trHeight w:val="285"/>
        </w:trPr>
        <w:tc>
          <w:tcPr>
            <w:tcW w:w="3610" w:type="pct"/>
            <w:tcBorders>
              <w:top w:val="nil"/>
              <w:left w:val="single" w:sz="4" w:space="0" w:color="auto"/>
              <w:bottom w:val="single" w:sz="4" w:space="0" w:color="auto"/>
              <w:right w:val="single" w:sz="4" w:space="0" w:color="auto"/>
            </w:tcBorders>
            <w:noWrap/>
            <w:vAlign w:val="center"/>
            <w:hideMark/>
          </w:tcPr>
          <w:p w14:paraId="6FF76A97" w14:textId="77777777" w:rsidR="00BD11A8" w:rsidRPr="00951AB1" w:rsidRDefault="00BD11A8" w:rsidP="000A5389">
            <w:pPr>
              <w:spacing w:line="240" w:lineRule="auto"/>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Intangibles</w:t>
            </w:r>
          </w:p>
        </w:tc>
        <w:tc>
          <w:tcPr>
            <w:tcW w:w="1390" w:type="pct"/>
            <w:tcBorders>
              <w:top w:val="nil"/>
              <w:left w:val="nil"/>
              <w:bottom w:val="single" w:sz="4" w:space="0" w:color="auto"/>
              <w:right w:val="single" w:sz="4" w:space="0" w:color="auto"/>
            </w:tcBorders>
            <w:noWrap/>
            <w:vAlign w:val="center"/>
            <w:hideMark/>
          </w:tcPr>
          <w:p w14:paraId="01C1046B" w14:textId="1EFAEBDA" w:rsidR="00BD11A8" w:rsidRPr="00951AB1" w:rsidRDefault="00BD11A8"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$806.066.327</w:t>
            </w:r>
          </w:p>
        </w:tc>
      </w:tr>
      <w:tr w:rsidR="007150DD" w:rsidRPr="00951AB1" w14:paraId="088FF9BB" w14:textId="77777777" w:rsidTr="00873EE6">
        <w:trPr>
          <w:trHeight w:val="285"/>
        </w:trPr>
        <w:tc>
          <w:tcPr>
            <w:tcW w:w="3610" w:type="pct"/>
            <w:tcBorders>
              <w:top w:val="nil"/>
              <w:left w:val="single" w:sz="4" w:space="0" w:color="auto"/>
              <w:bottom w:val="single" w:sz="4" w:space="0" w:color="auto"/>
              <w:right w:val="single" w:sz="4" w:space="0" w:color="auto"/>
            </w:tcBorders>
            <w:noWrap/>
            <w:vAlign w:val="center"/>
            <w:hideMark/>
          </w:tcPr>
          <w:p w14:paraId="1212B91E" w14:textId="77777777" w:rsidR="00BD11A8" w:rsidRPr="00951AB1" w:rsidRDefault="00BD11A8" w:rsidP="000A5389">
            <w:pPr>
              <w:spacing w:line="240" w:lineRule="auto"/>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Viáticos y gastos de viaje</w:t>
            </w:r>
          </w:p>
        </w:tc>
        <w:tc>
          <w:tcPr>
            <w:tcW w:w="1390" w:type="pct"/>
            <w:tcBorders>
              <w:top w:val="nil"/>
              <w:left w:val="nil"/>
              <w:bottom w:val="single" w:sz="4" w:space="0" w:color="auto"/>
              <w:right w:val="single" w:sz="4" w:space="0" w:color="auto"/>
            </w:tcBorders>
            <w:noWrap/>
            <w:vAlign w:val="center"/>
            <w:hideMark/>
          </w:tcPr>
          <w:p w14:paraId="73546ABE" w14:textId="4F5C08A2" w:rsidR="00BD11A8" w:rsidRPr="00951AB1" w:rsidRDefault="00BD11A8"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$752.005.664</w:t>
            </w:r>
          </w:p>
        </w:tc>
      </w:tr>
      <w:tr w:rsidR="007150DD" w:rsidRPr="00951AB1" w14:paraId="72609991" w14:textId="77777777" w:rsidTr="00873EE6">
        <w:trPr>
          <w:trHeight w:val="285"/>
        </w:trPr>
        <w:tc>
          <w:tcPr>
            <w:tcW w:w="3610" w:type="pct"/>
            <w:tcBorders>
              <w:top w:val="nil"/>
              <w:left w:val="single" w:sz="4" w:space="0" w:color="auto"/>
              <w:bottom w:val="single" w:sz="4" w:space="0" w:color="auto"/>
              <w:right w:val="single" w:sz="4" w:space="0" w:color="auto"/>
            </w:tcBorders>
            <w:noWrap/>
            <w:vAlign w:val="center"/>
            <w:hideMark/>
          </w:tcPr>
          <w:p w14:paraId="166C3468" w14:textId="77777777" w:rsidR="00BD11A8" w:rsidRPr="00951AB1" w:rsidRDefault="00BD11A8" w:rsidP="000A5389">
            <w:pPr>
              <w:spacing w:line="240" w:lineRule="auto"/>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Servicios de aseo, cafetería, restaurante y lavandería</w:t>
            </w:r>
          </w:p>
        </w:tc>
        <w:tc>
          <w:tcPr>
            <w:tcW w:w="1390" w:type="pct"/>
            <w:tcBorders>
              <w:top w:val="nil"/>
              <w:left w:val="nil"/>
              <w:bottom w:val="single" w:sz="4" w:space="0" w:color="auto"/>
              <w:right w:val="single" w:sz="4" w:space="0" w:color="auto"/>
            </w:tcBorders>
            <w:noWrap/>
            <w:vAlign w:val="center"/>
            <w:hideMark/>
          </w:tcPr>
          <w:p w14:paraId="50233978" w14:textId="78AF5159" w:rsidR="00BD11A8" w:rsidRPr="00951AB1" w:rsidRDefault="00BD11A8"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$576.333.4</w:t>
            </w:r>
            <w:r w:rsidR="00FD1892" w:rsidRPr="00951AB1">
              <w:rPr>
                <w:rFonts w:eastAsia="Times New Roman" w:cs="Times New Roman"/>
                <w:color w:val="000000"/>
                <w:kern w:val="0"/>
                <w:sz w:val="18"/>
                <w:szCs w:val="18"/>
                <w:lang w:eastAsia="es-CO"/>
                <w14:ligatures w14:val="none"/>
              </w:rPr>
              <w:t>40</w:t>
            </w:r>
          </w:p>
        </w:tc>
      </w:tr>
      <w:tr w:rsidR="007150DD" w:rsidRPr="00951AB1" w14:paraId="65EAF0CD" w14:textId="77777777" w:rsidTr="00873EE6">
        <w:trPr>
          <w:trHeight w:val="285"/>
        </w:trPr>
        <w:tc>
          <w:tcPr>
            <w:tcW w:w="3610" w:type="pct"/>
            <w:tcBorders>
              <w:top w:val="nil"/>
              <w:left w:val="single" w:sz="4" w:space="0" w:color="auto"/>
              <w:bottom w:val="single" w:sz="4" w:space="0" w:color="auto"/>
              <w:right w:val="single" w:sz="4" w:space="0" w:color="auto"/>
            </w:tcBorders>
            <w:noWrap/>
            <w:vAlign w:val="center"/>
            <w:hideMark/>
          </w:tcPr>
          <w:p w14:paraId="7EF03BDE" w14:textId="77777777" w:rsidR="00BD11A8" w:rsidRPr="00951AB1" w:rsidRDefault="00BD11A8" w:rsidP="000A5389">
            <w:pPr>
              <w:spacing w:line="240" w:lineRule="auto"/>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Servicios públicos</w:t>
            </w:r>
          </w:p>
        </w:tc>
        <w:tc>
          <w:tcPr>
            <w:tcW w:w="1390" w:type="pct"/>
            <w:tcBorders>
              <w:top w:val="nil"/>
              <w:left w:val="nil"/>
              <w:bottom w:val="single" w:sz="4" w:space="0" w:color="auto"/>
              <w:right w:val="single" w:sz="4" w:space="0" w:color="auto"/>
            </w:tcBorders>
            <w:noWrap/>
            <w:vAlign w:val="center"/>
            <w:hideMark/>
          </w:tcPr>
          <w:p w14:paraId="6135BEF0" w14:textId="533EF4DA" w:rsidR="00BD11A8" w:rsidRPr="00951AB1" w:rsidRDefault="00BD11A8"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$372.030.956</w:t>
            </w:r>
          </w:p>
        </w:tc>
      </w:tr>
      <w:tr w:rsidR="007150DD" w:rsidRPr="00951AB1" w14:paraId="4911AC7D" w14:textId="77777777" w:rsidTr="00873EE6">
        <w:trPr>
          <w:trHeight w:val="285"/>
        </w:trPr>
        <w:tc>
          <w:tcPr>
            <w:tcW w:w="3610" w:type="pct"/>
            <w:tcBorders>
              <w:top w:val="nil"/>
              <w:left w:val="single" w:sz="4" w:space="0" w:color="auto"/>
              <w:bottom w:val="single" w:sz="4" w:space="0" w:color="auto"/>
              <w:right w:val="single" w:sz="4" w:space="0" w:color="auto"/>
            </w:tcBorders>
            <w:noWrap/>
            <w:vAlign w:val="center"/>
            <w:hideMark/>
          </w:tcPr>
          <w:p w14:paraId="0124CCBB" w14:textId="77777777" w:rsidR="00BD11A8" w:rsidRPr="00951AB1" w:rsidRDefault="00BD11A8" w:rsidP="000A5389">
            <w:pPr>
              <w:spacing w:line="240" w:lineRule="auto"/>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lastRenderedPageBreak/>
              <w:t>Licencias</w:t>
            </w:r>
          </w:p>
        </w:tc>
        <w:tc>
          <w:tcPr>
            <w:tcW w:w="1390" w:type="pct"/>
            <w:tcBorders>
              <w:top w:val="nil"/>
              <w:left w:val="nil"/>
              <w:bottom w:val="single" w:sz="4" w:space="0" w:color="auto"/>
              <w:right w:val="single" w:sz="4" w:space="0" w:color="auto"/>
            </w:tcBorders>
            <w:noWrap/>
            <w:vAlign w:val="center"/>
            <w:hideMark/>
          </w:tcPr>
          <w:p w14:paraId="7BCED6C1" w14:textId="6029BDB1" w:rsidR="00BD11A8" w:rsidRPr="00951AB1" w:rsidRDefault="00BD11A8"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$292.798.250</w:t>
            </w:r>
          </w:p>
        </w:tc>
      </w:tr>
      <w:tr w:rsidR="007150DD" w:rsidRPr="00951AB1" w14:paraId="7358A039" w14:textId="77777777" w:rsidTr="00873EE6">
        <w:trPr>
          <w:trHeight w:val="285"/>
        </w:trPr>
        <w:tc>
          <w:tcPr>
            <w:tcW w:w="3610" w:type="pct"/>
            <w:tcBorders>
              <w:top w:val="nil"/>
              <w:left w:val="single" w:sz="4" w:space="0" w:color="auto"/>
              <w:bottom w:val="single" w:sz="4" w:space="0" w:color="auto"/>
              <w:right w:val="single" w:sz="4" w:space="0" w:color="auto"/>
            </w:tcBorders>
            <w:noWrap/>
            <w:vAlign w:val="center"/>
            <w:hideMark/>
          </w:tcPr>
          <w:p w14:paraId="46131EE3" w14:textId="77777777" w:rsidR="00BD11A8" w:rsidRPr="00951AB1" w:rsidRDefault="00BD11A8" w:rsidP="000A5389">
            <w:pPr>
              <w:spacing w:line="240" w:lineRule="auto"/>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Materiales y suministros</w:t>
            </w:r>
          </w:p>
        </w:tc>
        <w:tc>
          <w:tcPr>
            <w:tcW w:w="1390" w:type="pct"/>
            <w:tcBorders>
              <w:top w:val="nil"/>
              <w:left w:val="nil"/>
              <w:bottom w:val="single" w:sz="4" w:space="0" w:color="auto"/>
              <w:right w:val="single" w:sz="4" w:space="0" w:color="auto"/>
            </w:tcBorders>
            <w:noWrap/>
            <w:vAlign w:val="center"/>
            <w:hideMark/>
          </w:tcPr>
          <w:p w14:paraId="6694BE62" w14:textId="398CF988" w:rsidR="00BD11A8" w:rsidRPr="00951AB1" w:rsidRDefault="00BD11A8"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$151.361.83</w:t>
            </w:r>
            <w:r w:rsidR="00FD1892" w:rsidRPr="00951AB1">
              <w:rPr>
                <w:rFonts w:eastAsia="Times New Roman" w:cs="Times New Roman"/>
                <w:color w:val="000000"/>
                <w:kern w:val="0"/>
                <w:sz w:val="18"/>
                <w:szCs w:val="18"/>
                <w:lang w:eastAsia="es-CO"/>
                <w14:ligatures w14:val="none"/>
              </w:rPr>
              <w:t>2</w:t>
            </w:r>
          </w:p>
        </w:tc>
      </w:tr>
      <w:tr w:rsidR="007150DD" w:rsidRPr="00951AB1" w14:paraId="2FE73DF8" w14:textId="77777777" w:rsidTr="00873EE6">
        <w:trPr>
          <w:trHeight w:val="285"/>
        </w:trPr>
        <w:tc>
          <w:tcPr>
            <w:tcW w:w="3610" w:type="pct"/>
            <w:tcBorders>
              <w:top w:val="nil"/>
              <w:left w:val="single" w:sz="4" w:space="0" w:color="auto"/>
              <w:bottom w:val="single" w:sz="4" w:space="0" w:color="auto"/>
              <w:right w:val="single" w:sz="4" w:space="0" w:color="auto"/>
            </w:tcBorders>
            <w:noWrap/>
            <w:vAlign w:val="center"/>
            <w:hideMark/>
          </w:tcPr>
          <w:p w14:paraId="2A0796C1" w14:textId="77777777" w:rsidR="00BD11A8" w:rsidRPr="00951AB1" w:rsidRDefault="00BD11A8" w:rsidP="000A5389">
            <w:pPr>
              <w:spacing w:line="240" w:lineRule="auto"/>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Elementos de aseo, lavandería y cafetería</w:t>
            </w:r>
          </w:p>
        </w:tc>
        <w:tc>
          <w:tcPr>
            <w:tcW w:w="1390" w:type="pct"/>
            <w:tcBorders>
              <w:top w:val="nil"/>
              <w:left w:val="nil"/>
              <w:bottom w:val="single" w:sz="4" w:space="0" w:color="auto"/>
              <w:right w:val="single" w:sz="4" w:space="0" w:color="auto"/>
            </w:tcBorders>
            <w:noWrap/>
            <w:vAlign w:val="center"/>
            <w:hideMark/>
          </w:tcPr>
          <w:p w14:paraId="002F4142" w14:textId="70C95B72" w:rsidR="00BD11A8" w:rsidRPr="00951AB1" w:rsidRDefault="00BD11A8"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$123.886.31</w:t>
            </w:r>
            <w:r w:rsidR="00FD1892" w:rsidRPr="00951AB1">
              <w:rPr>
                <w:rFonts w:eastAsia="Times New Roman" w:cs="Times New Roman"/>
                <w:color w:val="000000"/>
                <w:kern w:val="0"/>
                <w:sz w:val="18"/>
                <w:szCs w:val="18"/>
                <w:lang w:eastAsia="es-CO"/>
                <w14:ligatures w14:val="none"/>
              </w:rPr>
              <w:t>9</w:t>
            </w:r>
          </w:p>
        </w:tc>
      </w:tr>
      <w:tr w:rsidR="007150DD" w:rsidRPr="00951AB1" w14:paraId="374B92CA" w14:textId="77777777" w:rsidTr="00873EE6">
        <w:trPr>
          <w:trHeight w:val="285"/>
        </w:trPr>
        <w:tc>
          <w:tcPr>
            <w:tcW w:w="3610" w:type="pct"/>
            <w:tcBorders>
              <w:top w:val="nil"/>
              <w:left w:val="single" w:sz="4" w:space="0" w:color="auto"/>
              <w:bottom w:val="single" w:sz="4" w:space="0" w:color="auto"/>
              <w:right w:val="single" w:sz="4" w:space="0" w:color="auto"/>
            </w:tcBorders>
            <w:noWrap/>
            <w:vAlign w:val="center"/>
            <w:hideMark/>
          </w:tcPr>
          <w:p w14:paraId="55412763" w14:textId="77777777" w:rsidR="00BD11A8" w:rsidRPr="00951AB1" w:rsidRDefault="00BD11A8" w:rsidP="000A5389">
            <w:pPr>
              <w:spacing w:line="240" w:lineRule="auto"/>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Combustibles y lubricantes</w:t>
            </w:r>
          </w:p>
        </w:tc>
        <w:tc>
          <w:tcPr>
            <w:tcW w:w="1390" w:type="pct"/>
            <w:tcBorders>
              <w:top w:val="nil"/>
              <w:left w:val="nil"/>
              <w:bottom w:val="single" w:sz="4" w:space="0" w:color="auto"/>
              <w:right w:val="single" w:sz="4" w:space="0" w:color="auto"/>
            </w:tcBorders>
            <w:noWrap/>
            <w:vAlign w:val="center"/>
            <w:hideMark/>
          </w:tcPr>
          <w:p w14:paraId="3F90F674" w14:textId="48835A28" w:rsidR="00BD11A8" w:rsidRPr="00951AB1" w:rsidRDefault="00BD11A8"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$71.331.736</w:t>
            </w:r>
          </w:p>
        </w:tc>
      </w:tr>
      <w:tr w:rsidR="007150DD" w:rsidRPr="00951AB1" w14:paraId="6C364209" w14:textId="77777777" w:rsidTr="00873EE6">
        <w:trPr>
          <w:trHeight w:val="285"/>
        </w:trPr>
        <w:tc>
          <w:tcPr>
            <w:tcW w:w="3610" w:type="pct"/>
            <w:tcBorders>
              <w:top w:val="nil"/>
              <w:left w:val="single" w:sz="4" w:space="0" w:color="auto"/>
              <w:bottom w:val="single" w:sz="4" w:space="0" w:color="auto"/>
              <w:right w:val="single" w:sz="4" w:space="0" w:color="auto"/>
            </w:tcBorders>
            <w:noWrap/>
            <w:vAlign w:val="center"/>
            <w:hideMark/>
          </w:tcPr>
          <w:p w14:paraId="694B1045" w14:textId="77777777" w:rsidR="00BD11A8" w:rsidRPr="00951AB1" w:rsidRDefault="00BD11A8" w:rsidP="000A5389">
            <w:pPr>
              <w:spacing w:line="240" w:lineRule="auto"/>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Gastos por cuotas de administración</w:t>
            </w:r>
          </w:p>
        </w:tc>
        <w:tc>
          <w:tcPr>
            <w:tcW w:w="1390" w:type="pct"/>
            <w:tcBorders>
              <w:top w:val="nil"/>
              <w:left w:val="nil"/>
              <w:bottom w:val="single" w:sz="4" w:space="0" w:color="auto"/>
              <w:right w:val="single" w:sz="4" w:space="0" w:color="auto"/>
            </w:tcBorders>
            <w:noWrap/>
            <w:vAlign w:val="center"/>
            <w:hideMark/>
          </w:tcPr>
          <w:p w14:paraId="7FBC0C71" w14:textId="08EED8A1" w:rsidR="00BD11A8" w:rsidRPr="00951AB1" w:rsidRDefault="00BD11A8"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$67.236.043</w:t>
            </w:r>
          </w:p>
        </w:tc>
      </w:tr>
      <w:tr w:rsidR="007150DD" w:rsidRPr="00951AB1" w14:paraId="5AF2D2E0" w14:textId="77777777" w:rsidTr="00873EE6">
        <w:trPr>
          <w:trHeight w:val="285"/>
        </w:trPr>
        <w:tc>
          <w:tcPr>
            <w:tcW w:w="3610" w:type="pct"/>
            <w:tcBorders>
              <w:top w:val="nil"/>
              <w:left w:val="single" w:sz="4" w:space="0" w:color="auto"/>
              <w:bottom w:val="single" w:sz="4" w:space="0" w:color="auto"/>
              <w:right w:val="single" w:sz="4" w:space="0" w:color="auto"/>
            </w:tcBorders>
            <w:noWrap/>
            <w:vAlign w:val="center"/>
            <w:hideMark/>
          </w:tcPr>
          <w:p w14:paraId="78903E30" w14:textId="4232DD48" w:rsidR="00BD11A8" w:rsidRPr="00951AB1" w:rsidRDefault="00BD11A8" w:rsidP="000A5389">
            <w:pPr>
              <w:spacing w:line="240" w:lineRule="auto"/>
              <w:rPr>
                <w:rFonts w:eastAsia="Times New Roman" w:cs="Times New Roman"/>
                <w:b/>
                <w:color w:val="000000"/>
                <w:kern w:val="0"/>
                <w:sz w:val="18"/>
                <w:szCs w:val="18"/>
                <w:lang w:eastAsia="es-CO"/>
                <w14:ligatures w14:val="none"/>
              </w:rPr>
            </w:pPr>
            <w:r w:rsidRPr="00951AB1">
              <w:rPr>
                <w:rFonts w:eastAsia="Times New Roman" w:cs="Times New Roman"/>
                <w:b/>
                <w:color w:val="000000"/>
                <w:kern w:val="0"/>
                <w:sz w:val="18"/>
                <w:szCs w:val="18"/>
                <w:lang w:eastAsia="es-CO"/>
                <w14:ligatures w14:val="none"/>
              </w:rPr>
              <w:t xml:space="preserve">Total </w:t>
            </w:r>
          </w:p>
        </w:tc>
        <w:tc>
          <w:tcPr>
            <w:tcW w:w="1390" w:type="pct"/>
            <w:tcBorders>
              <w:top w:val="nil"/>
              <w:left w:val="nil"/>
              <w:bottom w:val="single" w:sz="4" w:space="0" w:color="auto"/>
              <w:right w:val="single" w:sz="4" w:space="0" w:color="auto"/>
            </w:tcBorders>
            <w:noWrap/>
            <w:vAlign w:val="center"/>
            <w:hideMark/>
          </w:tcPr>
          <w:p w14:paraId="50AEBF6F" w14:textId="0DC6271D" w:rsidR="00BD11A8" w:rsidRPr="00951AB1" w:rsidRDefault="00BD11A8" w:rsidP="000A5389">
            <w:pPr>
              <w:spacing w:line="240" w:lineRule="auto"/>
              <w:jc w:val="right"/>
              <w:rPr>
                <w:rFonts w:eastAsia="Times New Roman" w:cs="Times New Roman"/>
                <w:b/>
                <w:color w:val="000000"/>
                <w:kern w:val="0"/>
                <w:sz w:val="18"/>
                <w:szCs w:val="18"/>
                <w:lang w:eastAsia="es-CO"/>
                <w14:ligatures w14:val="none"/>
              </w:rPr>
            </w:pPr>
            <w:r w:rsidRPr="00951AB1">
              <w:rPr>
                <w:rFonts w:eastAsia="Times New Roman" w:cs="Times New Roman"/>
                <w:b/>
                <w:color w:val="000000"/>
                <w:kern w:val="0"/>
                <w:sz w:val="18"/>
                <w:szCs w:val="18"/>
                <w:lang w:eastAsia="es-CO"/>
                <w14:ligatures w14:val="none"/>
              </w:rPr>
              <w:t>$978.119.807.113</w:t>
            </w:r>
          </w:p>
        </w:tc>
      </w:tr>
    </w:tbl>
    <w:p w14:paraId="15143D81" w14:textId="77777777" w:rsidR="00AB6BFB" w:rsidRPr="00951AB1" w:rsidRDefault="00AB6BFB" w:rsidP="000A5389">
      <w:pPr>
        <w:spacing w:line="240" w:lineRule="auto"/>
        <w:rPr>
          <w:rFonts w:cs="Times New Roman"/>
          <w:sz w:val="16"/>
          <w:szCs w:val="16"/>
        </w:rPr>
      </w:pPr>
      <w:r w:rsidRPr="00951AB1">
        <w:rPr>
          <w:rFonts w:cs="Times New Roman"/>
          <w:sz w:val="16"/>
          <w:szCs w:val="16"/>
        </w:rPr>
        <w:t xml:space="preserve">Cifras expresadas en pesos </w:t>
      </w:r>
    </w:p>
    <w:p w14:paraId="58CD20CA" w14:textId="77777777" w:rsidR="00192261" w:rsidRPr="00951AB1" w:rsidRDefault="00192261" w:rsidP="000A5389">
      <w:pPr>
        <w:spacing w:line="240" w:lineRule="auto"/>
        <w:ind w:left="-20" w:right="-20"/>
        <w:rPr>
          <w:rFonts w:eastAsia="Times New Roman" w:cs="Times New Roman"/>
          <w:szCs w:val="24"/>
        </w:rPr>
      </w:pPr>
    </w:p>
    <w:p w14:paraId="115C584C" w14:textId="77777777" w:rsidR="007F1F75" w:rsidRDefault="007F1F75" w:rsidP="000A5389">
      <w:pPr>
        <w:spacing w:line="240" w:lineRule="auto"/>
        <w:ind w:left="-20" w:right="-20"/>
        <w:rPr>
          <w:rFonts w:eastAsia="Times New Roman" w:cs="Times New Roman"/>
          <w:szCs w:val="24"/>
          <w:lang w:val="es"/>
        </w:rPr>
      </w:pPr>
      <w:r w:rsidRPr="00951AB1">
        <w:rPr>
          <w:rFonts w:eastAsia="Times New Roman" w:cs="Times New Roman"/>
          <w:szCs w:val="24"/>
        </w:rPr>
        <w:t xml:space="preserve">En </w:t>
      </w:r>
      <w:r w:rsidRPr="00951AB1">
        <w:rPr>
          <w:rFonts w:eastAsia="Times New Roman" w:cs="Times New Roman"/>
          <w:i/>
          <w:szCs w:val="24"/>
        </w:rPr>
        <w:t>Sueldos y salarios</w:t>
      </w:r>
      <w:r w:rsidRPr="00951AB1">
        <w:rPr>
          <w:rFonts w:eastAsia="Times New Roman" w:cs="Times New Roman"/>
          <w:szCs w:val="24"/>
        </w:rPr>
        <w:t xml:space="preserve">, </w:t>
      </w:r>
      <w:r w:rsidRPr="00951AB1">
        <w:rPr>
          <w:rFonts w:eastAsia="Times New Roman" w:cs="Times New Roman"/>
          <w:szCs w:val="24"/>
          <w:lang w:val="es"/>
        </w:rPr>
        <w:t xml:space="preserve">se reconocen las erogaciones de la planta de personal que labora en la entidad, tales como: Sueldos, horas extras y festivos, primas técnicas, bonificaciones por servicios prestados, y subsidio de transporte y de alimentación. </w:t>
      </w:r>
    </w:p>
    <w:p w14:paraId="7FB81973" w14:textId="77777777" w:rsidR="008C1734" w:rsidRPr="00951AB1" w:rsidRDefault="008C1734" w:rsidP="000A5389">
      <w:pPr>
        <w:spacing w:line="240" w:lineRule="auto"/>
        <w:ind w:left="-20" w:right="-20"/>
        <w:rPr>
          <w:rFonts w:cs="Times New Roman"/>
        </w:rPr>
      </w:pPr>
    </w:p>
    <w:p w14:paraId="31395E75" w14:textId="77777777" w:rsidR="007F1F75" w:rsidRDefault="007F1F75" w:rsidP="000A5389">
      <w:pPr>
        <w:spacing w:line="240" w:lineRule="auto"/>
        <w:ind w:left="-20" w:right="-20"/>
        <w:rPr>
          <w:rFonts w:eastAsia="Times New Roman" w:cs="Times New Roman"/>
          <w:szCs w:val="24"/>
          <w:lang w:val="es"/>
        </w:rPr>
      </w:pPr>
      <w:r w:rsidRPr="00951AB1">
        <w:rPr>
          <w:rFonts w:eastAsia="Times New Roman" w:cs="Times New Roman"/>
          <w:szCs w:val="24"/>
          <w:lang w:val="es"/>
        </w:rPr>
        <w:t xml:space="preserve">En </w:t>
      </w:r>
      <w:r w:rsidRPr="00951AB1">
        <w:rPr>
          <w:rFonts w:eastAsia="Times New Roman" w:cs="Times New Roman"/>
          <w:i/>
          <w:szCs w:val="24"/>
          <w:lang w:val="es"/>
        </w:rPr>
        <w:t>Prestaciones sociales</w:t>
      </w:r>
      <w:r w:rsidRPr="00951AB1">
        <w:rPr>
          <w:rFonts w:eastAsia="Times New Roman" w:cs="Times New Roman"/>
          <w:szCs w:val="24"/>
          <w:lang w:val="es"/>
        </w:rPr>
        <w:t xml:space="preserve"> se registran los beneficios legales que tienen los funcionarios de la entidad, como son, cesantías, prima de vacaciones, prima de navidad, vacaciones, prima de servicios y bonificación especial de recreación.</w:t>
      </w:r>
    </w:p>
    <w:p w14:paraId="4B74B8FB" w14:textId="77777777" w:rsidR="008C1734" w:rsidRPr="00951AB1" w:rsidRDefault="008C1734" w:rsidP="000A5389">
      <w:pPr>
        <w:spacing w:line="240" w:lineRule="auto"/>
        <w:ind w:left="-20" w:right="-20"/>
        <w:rPr>
          <w:rFonts w:cs="Times New Roman"/>
        </w:rPr>
      </w:pPr>
    </w:p>
    <w:p w14:paraId="1EB41814" w14:textId="77777777" w:rsidR="007F1F75" w:rsidRDefault="007F1F75" w:rsidP="000A5389">
      <w:pPr>
        <w:spacing w:line="240" w:lineRule="auto"/>
        <w:ind w:left="-20" w:right="-20"/>
        <w:rPr>
          <w:rFonts w:eastAsia="Times New Roman" w:cs="Times New Roman"/>
          <w:szCs w:val="24"/>
          <w:lang w:val="es"/>
        </w:rPr>
      </w:pPr>
      <w:r w:rsidRPr="00951AB1">
        <w:rPr>
          <w:rFonts w:eastAsia="Times New Roman" w:cs="Times New Roman"/>
          <w:szCs w:val="24"/>
          <w:lang w:val="es"/>
        </w:rPr>
        <w:t xml:space="preserve">En </w:t>
      </w:r>
      <w:r w:rsidRPr="00951AB1">
        <w:rPr>
          <w:rFonts w:eastAsia="Times New Roman" w:cs="Times New Roman"/>
          <w:i/>
          <w:iCs/>
          <w:szCs w:val="24"/>
          <w:lang w:val="es"/>
        </w:rPr>
        <w:t>Contribuciones efectivas</w:t>
      </w:r>
      <w:r w:rsidRPr="00951AB1">
        <w:rPr>
          <w:rFonts w:eastAsia="Times New Roman" w:cs="Times New Roman"/>
          <w:szCs w:val="24"/>
          <w:lang w:val="es"/>
        </w:rPr>
        <w:t>, se registra el valor de las contribuciones sociales que paga la ANI a las entidades administradoras del Sistema de Seguridad Social en beneficio de los funcionarios que laboran en la entidad, tales como; salud, pensión, cajas de compensación familiar y las Administradoras de Riesgos Laborales (ARL).</w:t>
      </w:r>
    </w:p>
    <w:p w14:paraId="2DD9BBB9" w14:textId="77777777" w:rsidR="008C1734" w:rsidRPr="00951AB1" w:rsidRDefault="008C1734" w:rsidP="000A5389">
      <w:pPr>
        <w:spacing w:line="240" w:lineRule="auto"/>
        <w:ind w:left="-20" w:right="-20"/>
        <w:rPr>
          <w:rFonts w:cs="Times New Roman"/>
        </w:rPr>
      </w:pPr>
    </w:p>
    <w:p w14:paraId="7E0C8124" w14:textId="77777777" w:rsidR="007F1F75" w:rsidRDefault="007F1F75" w:rsidP="000A5389">
      <w:pPr>
        <w:spacing w:line="240" w:lineRule="auto"/>
        <w:ind w:left="-20" w:right="-20"/>
        <w:rPr>
          <w:rFonts w:eastAsia="Times New Roman" w:cs="Times New Roman"/>
          <w:szCs w:val="24"/>
          <w:lang w:val="es"/>
        </w:rPr>
      </w:pPr>
      <w:r w:rsidRPr="00951AB1">
        <w:rPr>
          <w:rFonts w:eastAsia="Times New Roman" w:cs="Times New Roman"/>
          <w:szCs w:val="24"/>
          <w:lang w:val="es"/>
        </w:rPr>
        <w:t xml:space="preserve">En </w:t>
      </w:r>
      <w:r w:rsidRPr="00951AB1">
        <w:rPr>
          <w:rFonts w:eastAsia="Times New Roman" w:cs="Times New Roman"/>
          <w:i/>
          <w:iCs/>
          <w:szCs w:val="24"/>
          <w:lang w:val="es"/>
        </w:rPr>
        <w:t>Aportes sobre la nómina</w:t>
      </w:r>
      <w:r w:rsidRPr="00951AB1">
        <w:rPr>
          <w:rFonts w:eastAsia="Times New Roman" w:cs="Times New Roman"/>
          <w:szCs w:val="24"/>
          <w:lang w:val="es"/>
        </w:rPr>
        <w:t>, están registrados los valores de los gastos que se generan sobre la nómina de la Entidad por parafiscales, y que se pagan al Instituto Colombiano de Bienestar Familiar (ICBF) y Servicio Nacional de Aprendizaje (SENA).</w:t>
      </w:r>
    </w:p>
    <w:p w14:paraId="3F4B1E71" w14:textId="77777777" w:rsidR="008C1734" w:rsidRPr="00951AB1" w:rsidRDefault="008C1734" w:rsidP="000A5389">
      <w:pPr>
        <w:spacing w:line="240" w:lineRule="auto"/>
        <w:ind w:left="-20" w:right="-20"/>
        <w:rPr>
          <w:rFonts w:cs="Times New Roman"/>
        </w:rPr>
      </w:pPr>
    </w:p>
    <w:p w14:paraId="40118FDF" w14:textId="1604995C" w:rsidR="008D1C43" w:rsidRDefault="007F1F75" w:rsidP="000A5389">
      <w:pPr>
        <w:spacing w:line="240" w:lineRule="auto"/>
        <w:ind w:left="-20" w:right="-20"/>
        <w:rPr>
          <w:rFonts w:eastAsia="Times New Roman" w:cs="Times New Roman"/>
          <w:szCs w:val="24"/>
          <w:lang w:val="es"/>
        </w:rPr>
      </w:pPr>
      <w:r w:rsidRPr="00951AB1">
        <w:rPr>
          <w:rFonts w:eastAsia="Times New Roman" w:cs="Times New Roman"/>
          <w:szCs w:val="24"/>
          <w:lang w:val="es"/>
        </w:rPr>
        <w:t xml:space="preserve">En </w:t>
      </w:r>
      <w:r w:rsidRPr="00951AB1">
        <w:rPr>
          <w:rFonts w:eastAsia="Times New Roman" w:cs="Times New Roman"/>
          <w:i/>
          <w:iCs/>
          <w:szCs w:val="24"/>
          <w:lang w:val="es"/>
        </w:rPr>
        <w:t>Gastos de personal diversos</w:t>
      </w:r>
      <w:r w:rsidRPr="00951AB1">
        <w:rPr>
          <w:rFonts w:eastAsia="Times New Roman" w:cs="Times New Roman"/>
          <w:szCs w:val="24"/>
          <w:lang w:val="es"/>
        </w:rPr>
        <w:t>, consolida todas las demás erogaciones realizadas por la entidad durante el periodo, relacionadas con los gastos de personal por capacitación, bienestar social y estímulos - corto plazo y gastos de viaje.</w:t>
      </w:r>
    </w:p>
    <w:p w14:paraId="6933199C" w14:textId="77777777" w:rsidR="008C1734" w:rsidRDefault="008C1734" w:rsidP="000A5389">
      <w:pPr>
        <w:spacing w:line="240" w:lineRule="auto"/>
        <w:ind w:left="-20" w:right="-20"/>
        <w:rPr>
          <w:rFonts w:eastAsia="Times New Roman" w:cs="Times New Roman"/>
          <w:szCs w:val="24"/>
          <w:lang w:val="es"/>
        </w:rPr>
      </w:pPr>
    </w:p>
    <w:p w14:paraId="56A08AE6" w14:textId="77777777" w:rsidR="008C1734" w:rsidRPr="00951AB1" w:rsidRDefault="008C1734" w:rsidP="000A5389">
      <w:pPr>
        <w:spacing w:line="240" w:lineRule="auto"/>
        <w:ind w:left="-20" w:right="-20"/>
        <w:rPr>
          <w:rFonts w:eastAsia="Times New Roman" w:cs="Times New Roman"/>
          <w:szCs w:val="24"/>
          <w:lang w:val="es"/>
        </w:rPr>
      </w:pPr>
    </w:p>
    <w:p w14:paraId="356885E0" w14:textId="4B511DC7" w:rsidR="00A40409" w:rsidRPr="00951AB1" w:rsidRDefault="00A40409" w:rsidP="000A5389">
      <w:pPr>
        <w:pStyle w:val="Ttulo2"/>
        <w:numPr>
          <w:ilvl w:val="0"/>
          <w:numId w:val="0"/>
        </w:numPr>
        <w:spacing w:line="240" w:lineRule="auto"/>
        <w:rPr>
          <w:rFonts w:eastAsia="Times New Roman" w:cs="Times New Roman"/>
          <w:bCs/>
          <w:szCs w:val="24"/>
        </w:rPr>
      </w:pPr>
      <w:bookmarkStart w:id="967" w:name="_Toc191369575"/>
      <w:bookmarkStart w:id="968" w:name="_Toc191456902"/>
      <w:bookmarkStart w:id="969" w:name="_Toc191457012"/>
      <w:bookmarkStart w:id="970" w:name="_Toc191457122"/>
      <w:bookmarkStart w:id="971" w:name="_Toc191475749"/>
      <w:bookmarkStart w:id="972" w:name="_Toc191475858"/>
      <w:bookmarkStart w:id="973" w:name="_Toc191475967"/>
      <w:bookmarkStart w:id="974" w:name="_Toc191475490"/>
      <w:bookmarkStart w:id="975" w:name="_Toc191505866"/>
      <w:bookmarkStart w:id="976" w:name="_Toc222824280"/>
      <w:bookmarkStart w:id="977" w:name="_Toc222955547"/>
      <w:r w:rsidRPr="00951AB1">
        <w:rPr>
          <w:rFonts w:eastAsia="Times New Roman" w:cs="Times New Roman"/>
          <w:bCs/>
          <w:szCs w:val="24"/>
        </w:rPr>
        <w:t>30.</w:t>
      </w:r>
      <w:r w:rsidR="00F55ACF" w:rsidRPr="00951AB1">
        <w:rPr>
          <w:rFonts w:eastAsia="Times New Roman" w:cs="Times New Roman"/>
          <w:bCs/>
          <w:szCs w:val="24"/>
        </w:rPr>
        <w:t>5</w:t>
      </w:r>
      <w:r w:rsidRPr="00951AB1">
        <w:rPr>
          <w:rFonts w:eastAsia="Times New Roman" w:cs="Times New Roman"/>
          <w:bCs/>
          <w:szCs w:val="24"/>
        </w:rPr>
        <w:t>.</w:t>
      </w:r>
      <w:r w:rsidRPr="00951AB1">
        <w:rPr>
          <w:rFonts w:eastAsia="Times New Roman" w:cs="Times New Roman"/>
          <w:sz w:val="14"/>
          <w:szCs w:val="14"/>
        </w:rPr>
        <w:t xml:space="preserve">    </w:t>
      </w:r>
      <w:r w:rsidRPr="00951AB1">
        <w:rPr>
          <w:rFonts w:eastAsia="Times New Roman" w:cs="Times New Roman"/>
          <w:bCs/>
          <w:szCs w:val="24"/>
        </w:rPr>
        <w:t>Operaciones interinstitucionales</w:t>
      </w:r>
      <w:bookmarkEnd w:id="967"/>
      <w:bookmarkEnd w:id="968"/>
      <w:bookmarkEnd w:id="969"/>
      <w:bookmarkEnd w:id="970"/>
      <w:bookmarkEnd w:id="971"/>
      <w:bookmarkEnd w:id="972"/>
      <w:bookmarkEnd w:id="973"/>
      <w:bookmarkEnd w:id="974"/>
      <w:bookmarkEnd w:id="975"/>
      <w:bookmarkEnd w:id="976"/>
      <w:bookmarkEnd w:id="977"/>
    </w:p>
    <w:p w14:paraId="55F80396" w14:textId="20CE92BC" w:rsidR="007F1E95" w:rsidRPr="00951AB1" w:rsidRDefault="007F1E95" w:rsidP="000A5389">
      <w:pPr>
        <w:spacing w:line="240" w:lineRule="auto"/>
        <w:rPr>
          <w:rFonts w:cs="Times New Roma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329"/>
        <w:gridCol w:w="1501"/>
        <w:gridCol w:w="1499"/>
        <w:gridCol w:w="1499"/>
      </w:tblGrid>
      <w:tr w:rsidR="005B7FDC" w:rsidRPr="00951AB1" w14:paraId="1F72D705" w14:textId="77777777" w:rsidTr="00776E0E">
        <w:trPr>
          <w:trHeight w:val="278"/>
        </w:trPr>
        <w:tc>
          <w:tcPr>
            <w:tcW w:w="2452" w:type="pct"/>
            <w:vAlign w:val="center"/>
            <w:hideMark/>
          </w:tcPr>
          <w:p w14:paraId="5AF1B3BC" w14:textId="77777777" w:rsidR="007F1E95" w:rsidRPr="00951AB1" w:rsidRDefault="007F1E95" w:rsidP="000A5389">
            <w:pPr>
              <w:spacing w:line="240" w:lineRule="auto"/>
              <w:jc w:val="center"/>
              <w:rPr>
                <w:rFonts w:eastAsia="Times New Roman" w:cs="Times New Roman"/>
                <w:b/>
                <w:bCs/>
                <w:kern w:val="0"/>
                <w:sz w:val="18"/>
                <w:szCs w:val="18"/>
                <w:lang w:eastAsia="es-CO"/>
                <w14:ligatures w14:val="none"/>
              </w:rPr>
            </w:pPr>
            <w:r w:rsidRPr="00951AB1">
              <w:rPr>
                <w:rFonts w:eastAsia="Times New Roman" w:cs="Times New Roman"/>
                <w:b/>
                <w:bCs/>
                <w:kern w:val="0"/>
                <w:sz w:val="18"/>
                <w:szCs w:val="18"/>
                <w:lang w:eastAsia="es-CO"/>
                <w14:ligatures w14:val="none"/>
              </w:rPr>
              <w:t>CONCEPTO</w:t>
            </w:r>
          </w:p>
        </w:tc>
        <w:tc>
          <w:tcPr>
            <w:tcW w:w="850" w:type="pct"/>
            <w:vAlign w:val="center"/>
            <w:hideMark/>
          </w:tcPr>
          <w:p w14:paraId="05891994" w14:textId="77777777" w:rsidR="007F1E95" w:rsidRPr="00951AB1" w:rsidRDefault="007F1E95" w:rsidP="000A5389">
            <w:pPr>
              <w:spacing w:line="240" w:lineRule="auto"/>
              <w:jc w:val="center"/>
              <w:rPr>
                <w:rFonts w:eastAsia="Times New Roman" w:cs="Times New Roman"/>
                <w:b/>
                <w:bCs/>
                <w:kern w:val="0"/>
                <w:sz w:val="18"/>
                <w:szCs w:val="18"/>
                <w:lang w:eastAsia="es-CO"/>
                <w14:ligatures w14:val="none"/>
              </w:rPr>
            </w:pPr>
            <w:r w:rsidRPr="00951AB1">
              <w:rPr>
                <w:rFonts w:eastAsia="Times New Roman" w:cs="Times New Roman"/>
                <w:b/>
                <w:bCs/>
                <w:kern w:val="0"/>
                <w:sz w:val="18"/>
                <w:szCs w:val="18"/>
                <w:lang w:eastAsia="es-CO"/>
                <w14:ligatures w14:val="none"/>
              </w:rPr>
              <w:t xml:space="preserve">2025 </w:t>
            </w:r>
          </w:p>
        </w:tc>
        <w:tc>
          <w:tcPr>
            <w:tcW w:w="849" w:type="pct"/>
            <w:vAlign w:val="center"/>
            <w:hideMark/>
          </w:tcPr>
          <w:p w14:paraId="77A6F3EA" w14:textId="77777777" w:rsidR="007F1E95" w:rsidRPr="00951AB1" w:rsidRDefault="007F1E95" w:rsidP="000A5389">
            <w:pPr>
              <w:spacing w:line="240" w:lineRule="auto"/>
              <w:jc w:val="center"/>
              <w:rPr>
                <w:rFonts w:eastAsia="Times New Roman" w:cs="Times New Roman"/>
                <w:b/>
                <w:bCs/>
                <w:kern w:val="0"/>
                <w:sz w:val="18"/>
                <w:szCs w:val="18"/>
                <w:lang w:eastAsia="es-CO"/>
                <w14:ligatures w14:val="none"/>
              </w:rPr>
            </w:pPr>
            <w:r w:rsidRPr="00951AB1">
              <w:rPr>
                <w:rFonts w:eastAsia="Times New Roman" w:cs="Times New Roman"/>
                <w:b/>
                <w:bCs/>
                <w:kern w:val="0"/>
                <w:sz w:val="18"/>
                <w:szCs w:val="18"/>
                <w:lang w:eastAsia="es-CO"/>
                <w14:ligatures w14:val="none"/>
              </w:rPr>
              <w:t xml:space="preserve">2024 </w:t>
            </w:r>
          </w:p>
        </w:tc>
        <w:tc>
          <w:tcPr>
            <w:tcW w:w="849" w:type="pct"/>
            <w:vAlign w:val="center"/>
            <w:hideMark/>
          </w:tcPr>
          <w:p w14:paraId="5AE85E34" w14:textId="77777777" w:rsidR="007F1E95" w:rsidRPr="00951AB1" w:rsidRDefault="007F1E95" w:rsidP="000A5389">
            <w:pPr>
              <w:spacing w:line="240" w:lineRule="auto"/>
              <w:jc w:val="center"/>
              <w:rPr>
                <w:rFonts w:eastAsia="Times New Roman" w:cs="Times New Roman"/>
                <w:b/>
                <w:bCs/>
                <w:kern w:val="0"/>
                <w:sz w:val="18"/>
                <w:szCs w:val="18"/>
                <w:lang w:eastAsia="es-CO"/>
                <w14:ligatures w14:val="none"/>
              </w:rPr>
            </w:pPr>
            <w:r w:rsidRPr="00951AB1">
              <w:rPr>
                <w:rFonts w:eastAsia="Times New Roman" w:cs="Times New Roman"/>
                <w:b/>
                <w:bCs/>
                <w:kern w:val="0"/>
                <w:sz w:val="18"/>
                <w:szCs w:val="18"/>
                <w:lang w:eastAsia="es-CO"/>
                <w14:ligatures w14:val="none"/>
              </w:rPr>
              <w:t>VARIACIÓN</w:t>
            </w:r>
          </w:p>
        </w:tc>
      </w:tr>
      <w:tr w:rsidR="005B7FDC" w:rsidRPr="00951AB1" w14:paraId="6F1FD4C8" w14:textId="77777777" w:rsidTr="00776E0E">
        <w:trPr>
          <w:trHeight w:val="270"/>
        </w:trPr>
        <w:tc>
          <w:tcPr>
            <w:tcW w:w="2452" w:type="pct"/>
            <w:vAlign w:val="center"/>
            <w:hideMark/>
          </w:tcPr>
          <w:p w14:paraId="13AFA466" w14:textId="77777777" w:rsidR="007F1E95" w:rsidRPr="00951AB1" w:rsidRDefault="007F1E95" w:rsidP="000A5389">
            <w:pPr>
              <w:spacing w:line="240" w:lineRule="auto"/>
              <w:rPr>
                <w:rFonts w:eastAsia="Times New Roman" w:cs="Times New Roman"/>
                <w:b/>
                <w:bCs/>
                <w:kern w:val="0"/>
                <w:sz w:val="18"/>
                <w:szCs w:val="18"/>
                <w:lang w:eastAsia="es-CO"/>
                <w14:ligatures w14:val="none"/>
              </w:rPr>
            </w:pPr>
            <w:r w:rsidRPr="00951AB1">
              <w:rPr>
                <w:rFonts w:eastAsia="Times New Roman" w:cs="Times New Roman"/>
                <w:b/>
                <w:bCs/>
                <w:kern w:val="0"/>
                <w:sz w:val="18"/>
                <w:szCs w:val="18"/>
                <w:lang w:eastAsia="es-CO"/>
                <w14:ligatures w14:val="none"/>
              </w:rPr>
              <w:t>OPERACIONES INTERISTITUCIONALES</w:t>
            </w:r>
          </w:p>
        </w:tc>
        <w:tc>
          <w:tcPr>
            <w:tcW w:w="850" w:type="pct"/>
            <w:noWrap/>
            <w:vAlign w:val="center"/>
            <w:hideMark/>
          </w:tcPr>
          <w:p w14:paraId="54429EC4" w14:textId="77777777" w:rsidR="007F1E95" w:rsidRPr="00951AB1" w:rsidRDefault="007F1E95" w:rsidP="000A5389">
            <w:pPr>
              <w:spacing w:line="240" w:lineRule="auto"/>
              <w:jc w:val="right"/>
              <w:rPr>
                <w:rFonts w:eastAsia="Times New Roman" w:cs="Times New Roman"/>
                <w:b/>
                <w:bCs/>
                <w:kern w:val="0"/>
                <w:sz w:val="18"/>
                <w:szCs w:val="18"/>
                <w:lang w:eastAsia="es-CO"/>
                <w14:ligatures w14:val="none"/>
              </w:rPr>
            </w:pPr>
            <w:r w:rsidRPr="00951AB1">
              <w:rPr>
                <w:rFonts w:eastAsia="Times New Roman" w:cs="Times New Roman"/>
                <w:b/>
                <w:bCs/>
                <w:kern w:val="0"/>
                <w:sz w:val="18"/>
                <w:szCs w:val="18"/>
                <w:lang w:eastAsia="es-CO"/>
                <w14:ligatures w14:val="none"/>
              </w:rPr>
              <w:t>20.766.070.361</w:t>
            </w:r>
          </w:p>
        </w:tc>
        <w:tc>
          <w:tcPr>
            <w:tcW w:w="849" w:type="pct"/>
            <w:noWrap/>
            <w:vAlign w:val="center"/>
            <w:hideMark/>
          </w:tcPr>
          <w:p w14:paraId="1AD1AA82" w14:textId="77777777" w:rsidR="007F1E95" w:rsidRPr="00951AB1" w:rsidRDefault="007F1E95" w:rsidP="000A5389">
            <w:pPr>
              <w:spacing w:line="240" w:lineRule="auto"/>
              <w:jc w:val="right"/>
              <w:rPr>
                <w:rFonts w:eastAsia="Times New Roman" w:cs="Times New Roman"/>
                <w:b/>
                <w:bCs/>
                <w:kern w:val="0"/>
                <w:sz w:val="18"/>
                <w:szCs w:val="18"/>
                <w:lang w:eastAsia="es-CO"/>
                <w14:ligatures w14:val="none"/>
              </w:rPr>
            </w:pPr>
            <w:r w:rsidRPr="00951AB1">
              <w:rPr>
                <w:rFonts w:eastAsia="Times New Roman" w:cs="Times New Roman"/>
                <w:b/>
                <w:bCs/>
                <w:kern w:val="0"/>
                <w:sz w:val="18"/>
                <w:szCs w:val="18"/>
                <w:lang w:eastAsia="es-CO"/>
                <w14:ligatures w14:val="none"/>
              </w:rPr>
              <w:t>27.212.871.831</w:t>
            </w:r>
          </w:p>
        </w:tc>
        <w:tc>
          <w:tcPr>
            <w:tcW w:w="849" w:type="pct"/>
            <w:noWrap/>
            <w:vAlign w:val="center"/>
            <w:hideMark/>
          </w:tcPr>
          <w:p w14:paraId="788706E1" w14:textId="77777777" w:rsidR="007F1E95" w:rsidRPr="00951AB1" w:rsidRDefault="007F1E95" w:rsidP="000A5389">
            <w:pPr>
              <w:spacing w:line="240" w:lineRule="auto"/>
              <w:jc w:val="right"/>
              <w:rPr>
                <w:rFonts w:eastAsia="Times New Roman" w:cs="Times New Roman"/>
                <w:b/>
                <w:bCs/>
                <w:kern w:val="0"/>
                <w:sz w:val="18"/>
                <w:szCs w:val="18"/>
                <w:lang w:eastAsia="es-CO"/>
                <w14:ligatures w14:val="none"/>
              </w:rPr>
            </w:pPr>
            <w:r w:rsidRPr="00951AB1">
              <w:rPr>
                <w:rFonts w:eastAsia="Times New Roman" w:cs="Times New Roman"/>
                <w:b/>
                <w:bCs/>
                <w:kern w:val="0"/>
                <w:sz w:val="18"/>
                <w:szCs w:val="18"/>
                <w:lang w:eastAsia="es-CO"/>
                <w14:ligatures w14:val="none"/>
              </w:rPr>
              <w:t>-6.446.801.470</w:t>
            </w:r>
          </w:p>
        </w:tc>
      </w:tr>
      <w:tr w:rsidR="005B7FDC" w:rsidRPr="00951AB1" w14:paraId="72A2F67B" w14:textId="77777777" w:rsidTr="00776E0E">
        <w:trPr>
          <w:trHeight w:val="285"/>
        </w:trPr>
        <w:tc>
          <w:tcPr>
            <w:tcW w:w="2452" w:type="pct"/>
            <w:vAlign w:val="center"/>
            <w:hideMark/>
          </w:tcPr>
          <w:p w14:paraId="3332DDFD" w14:textId="77777777" w:rsidR="007F1E95" w:rsidRPr="00951AB1" w:rsidRDefault="007F1E95" w:rsidP="000A5389">
            <w:pPr>
              <w:spacing w:line="240" w:lineRule="auto"/>
              <w:rPr>
                <w:rFonts w:eastAsia="Times New Roman" w:cs="Times New Roman"/>
                <w:kern w:val="0"/>
                <w:sz w:val="18"/>
                <w:szCs w:val="18"/>
                <w:lang w:eastAsia="es-CO"/>
                <w14:ligatures w14:val="none"/>
              </w:rPr>
            </w:pPr>
            <w:r w:rsidRPr="00951AB1">
              <w:rPr>
                <w:rFonts w:eastAsia="Times New Roman" w:cs="Times New Roman"/>
                <w:kern w:val="0"/>
                <w:sz w:val="18"/>
                <w:szCs w:val="18"/>
                <w:lang w:eastAsia="es-CO"/>
                <w14:ligatures w14:val="none"/>
              </w:rPr>
              <w:t>OPERACIONES DE ENLACE</w:t>
            </w:r>
          </w:p>
        </w:tc>
        <w:tc>
          <w:tcPr>
            <w:tcW w:w="850" w:type="pct"/>
            <w:noWrap/>
            <w:vAlign w:val="center"/>
            <w:hideMark/>
          </w:tcPr>
          <w:p w14:paraId="417B0AF3" w14:textId="77777777" w:rsidR="007F1E95" w:rsidRPr="00951AB1" w:rsidRDefault="007F1E95" w:rsidP="000A5389">
            <w:pPr>
              <w:spacing w:line="240" w:lineRule="auto"/>
              <w:jc w:val="right"/>
              <w:rPr>
                <w:rFonts w:eastAsia="Times New Roman" w:cs="Times New Roman"/>
                <w:b/>
                <w:bCs/>
                <w:kern w:val="0"/>
                <w:sz w:val="18"/>
                <w:szCs w:val="18"/>
                <w:lang w:eastAsia="es-CO"/>
                <w14:ligatures w14:val="none"/>
              </w:rPr>
            </w:pPr>
            <w:r w:rsidRPr="00951AB1">
              <w:rPr>
                <w:rFonts w:eastAsia="Times New Roman" w:cs="Times New Roman"/>
                <w:b/>
                <w:bCs/>
                <w:kern w:val="0"/>
                <w:sz w:val="18"/>
                <w:szCs w:val="18"/>
                <w:lang w:eastAsia="es-CO"/>
                <w14:ligatures w14:val="none"/>
              </w:rPr>
              <w:t>20.766.070.361</w:t>
            </w:r>
          </w:p>
        </w:tc>
        <w:tc>
          <w:tcPr>
            <w:tcW w:w="849" w:type="pct"/>
            <w:noWrap/>
            <w:vAlign w:val="center"/>
            <w:hideMark/>
          </w:tcPr>
          <w:p w14:paraId="285FF687" w14:textId="77777777" w:rsidR="007F1E95" w:rsidRPr="00951AB1" w:rsidRDefault="007F1E95" w:rsidP="000A5389">
            <w:pPr>
              <w:spacing w:line="240" w:lineRule="auto"/>
              <w:jc w:val="right"/>
              <w:rPr>
                <w:rFonts w:eastAsia="Times New Roman" w:cs="Times New Roman"/>
                <w:b/>
                <w:bCs/>
                <w:kern w:val="0"/>
                <w:sz w:val="18"/>
                <w:szCs w:val="18"/>
                <w:lang w:eastAsia="es-CO"/>
                <w14:ligatures w14:val="none"/>
              </w:rPr>
            </w:pPr>
            <w:r w:rsidRPr="00951AB1">
              <w:rPr>
                <w:rFonts w:eastAsia="Times New Roman" w:cs="Times New Roman"/>
                <w:b/>
                <w:bCs/>
                <w:kern w:val="0"/>
                <w:sz w:val="18"/>
                <w:szCs w:val="18"/>
                <w:lang w:eastAsia="es-CO"/>
                <w14:ligatures w14:val="none"/>
              </w:rPr>
              <w:t>27.212.871.831</w:t>
            </w:r>
          </w:p>
        </w:tc>
        <w:tc>
          <w:tcPr>
            <w:tcW w:w="849" w:type="pct"/>
            <w:noWrap/>
            <w:vAlign w:val="center"/>
            <w:hideMark/>
          </w:tcPr>
          <w:p w14:paraId="04816240" w14:textId="77777777" w:rsidR="007F1E95" w:rsidRPr="00951AB1" w:rsidRDefault="007F1E95" w:rsidP="000A5389">
            <w:pPr>
              <w:spacing w:line="240" w:lineRule="auto"/>
              <w:jc w:val="right"/>
              <w:rPr>
                <w:rFonts w:eastAsia="Times New Roman" w:cs="Times New Roman"/>
                <w:b/>
                <w:bCs/>
                <w:kern w:val="0"/>
                <w:sz w:val="18"/>
                <w:szCs w:val="18"/>
                <w:lang w:eastAsia="es-CO"/>
                <w14:ligatures w14:val="none"/>
              </w:rPr>
            </w:pPr>
            <w:r w:rsidRPr="00951AB1">
              <w:rPr>
                <w:rFonts w:eastAsia="Times New Roman" w:cs="Times New Roman"/>
                <w:b/>
                <w:bCs/>
                <w:kern w:val="0"/>
                <w:sz w:val="18"/>
                <w:szCs w:val="18"/>
                <w:lang w:eastAsia="es-CO"/>
                <w14:ligatures w14:val="none"/>
              </w:rPr>
              <w:t>-6.446.801.470</w:t>
            </w:r>
          </w:p>
        </w:tc>
      </w:tr>
      <w:tr w:rsidR="005B7FDC" w:rsidRPr="00951AB1" w14:paraId="46CFD7FE" w14:textId="77777777" w:rsidTr="00776E0E">
        <w:trPr>
          <w:trHeight w:val="285"/>
        </w:trPr>
        <w:tc>
          <w:tcPr>
            <w:tcW w:w="2452" w:type="pct"/>
            <w:vAlign w:val="center"/>
            <w:hideMark/>
          </w:tcPr>
          <w:p w14:paraId="70D6C697" w14:textId="77777777" w:rsidR="007F1E95" w:rsidRPr="00951AB1" w:rsidRDefault="007F1E95" w:rsidP="000A5389">
            <w:pPr>
              <w:spacing w:line="240" w:lineRule="auto"/>
              <w:rPr>
                <w:rFonts w:eastAsia="Times New Roman" w:cs="Times New Roman"/>
                <w:kern w:val="0"/>
                <w:sz w:val="18"/>
                <w:szCs w:val="18"/>
                <w:lang w:eastAsia="es-CO"/>
                <w14:ligatures w14:val="none"/>
              </w:rPr>
            </w:pPr>
            <w:r w:rsidRPr="00951AB1">
              <w:rPr>
                <w:rFonts w:eastAsia="Times New Roman" w:cs="Times New Roman"/>
                <w:kern w:val="0"/>
                <w:sz w:val="18"/>
                <w:szCs w:val="18"/>
                <w:lang w:eastAsia="es-CO"/>
                <w14:ligatures w14:val="none"/>
              </w:rPr>
              <w:t>Recaudos</w:t>
            </w:r>
          </w:p>
        </w:tc>
        <w:tc>
          <w:tcPr>
            <w:tcW w:w="850" w:type="pct"/>
            <w:noWrap/>
            <w:vAlign w:val="center"/>
            <w:hideMark/>
          </w:tcPr>
          <w:p w14:paraId="7A8D7D12" w14:textId="77777777" w:rsidR="007F1E95" w:rsidRPr="00951AB1" w:rsidRDefault="007F1E95" w:rsidP="000A5389">
            <w:pPr>
              <w:spacing w:line="240" w:lineRule="auto"/>
              <w:jc w:val="right"/>
              <w:rPr>
                <w:rFonts w:eastAsia="Times New Roman" w:cs="Times New Roman"/>
                <w:kern w:val="0"/>
                <w:sz w:val="18"/>
                <w:szCs w:val="18"/>
                <w:lang w:eastAsia="es-CO"/>
                <w14:ligatures w14:val="none"/>
              </w:rPr>
            </w:pPr>
            <w:r w:rsidRPr="00951AB1">
              <w:rPr>
                <w:rFonts w:eastAsia="Times New Roman" w:cs="Times New Roman"/>
                <w:kern w:val="0"/>
                <w:sz w:val="18"/>
                <w:szCs w:val="18"/>
                <w:lang w:eastAsia="es-CO"/>
                <w14:ligatures w14:val="none"/>
              </w:rPr>
              <w:t>20.766.070.361</w:t>
            </w:r>
          </w:p>
        </w:tc>
        <w:tc>
          <w:tcPr>
            <w:tcW w:w="849" w:type="pct"/>
            <w:noWrap/>
            <w:vAlign w:val="center"/>
            <w:hideMark/>
          </w:tcPr>
          <w:p w14:paraId="2104233D" w14:textId="77777777" w:rsidR="007F1E95" w:rsidRPr="00951AB1" w:rsidRDefault="007F1E95" w:rsidP="000A5389">
            <w:pPr>
              <w:spacing w:line="240" w:lineRule="auto"/>
              <w:jc w:val="right"/>
              <w:rPr>
                <w:rFonts w:eastAsia="Times New Roman" w:cs="Times New Roman"/>
                <w:kern w:val="0"/>
                <w:sz w:val="18"/>
                <w:szCs w:val="18"/>
                <w:lang w:eastAsia="es-CO"/>
                <w14:ligatures w14:val="none"/>
              </w:rPr>
            </w:pPr>
            <w:r w:rsidRPr="00951AB1">
              <w:rPr>
                <w:rFonts w:eastAsia="Times New Roman" w:cs="Times New Roman"/>
                <w:kern w:val="0"/>
                <w:sz w:val="18"/>
                <w:szCs w:val="18"/>
                <w:lang w:eastAsia="es-CO"/>
                <w14:ligatures w14:val="none"/>
              </w:rPr>
              <w:t>27.212.871.831</w:t>
            </w:r>
          </w:p>
        </w:tc>
        <w:tc>
          <w:tcPr>
            <w:tcW w:w="849" w:type="pct"/>
            <w:noWrap/>
            <w:vAlign w:val="center"/>
            <w:hideMark/>
          </w:tcPr>
          <w:p w14:paraId="36C88CD7" w14:textId="77777777" w:rsidR="007F1E95" w:rsidRPr="00951AB1" w:rsidRDefault="007F1E95" w:rsidP="000A5389">
            <w:pPr>
              <w:spacing w:line="240" w:lineRule="auto"/>
              <w:jc w:val="right"/>
              <w:rPr>
                <w:rFonts w:eastAsia="Times New Roman" w:cs="Times New Roman"/>
                <w:kern w:val="0"/>
                <w:sz w:val="18"/>
                <w:szCs w:val="18"/>
                <w:lang w:eastAsia="es-CO"/>
                <w14:ligatures w14:val="none"/>
              </w:rPr>
            </w:pPr>
            <w:r w:rsidRPr="00951AB1">
              <w:rPr>
                <w:rFonts w:eastAsia="Times New Roman" w:cs="Times New Roman"/>
                <w:kern w:val="0"/>
                <w:sz w:val="18"/>
                <w:szCs w:val="18"/>
                <w:lang w:eastAsia="es-CO"/>
                <w14:ligatures w14:val="none"/>
              </w:rPr>
              <w:t>-6.446.801.470</w:t>
            </w:r>
          </w:p>
        </w:tc>
      </w:tr>
    </w:tbl>
    <w:p w14:paraId="1B89E002" w14:textId="3078E5D5" w:rsidR="007F1E95" w:rsidRPr="00951AB1" w:rsidRDefault="007F1E95" w:rsidP="000A5389">
      <w:pPr>
        <w:spacing w:line="240" w:lineRule="auto"/>
        <w:rPr>
          <w:rFonts w:cs="Times New Roman"/>
          <w:sz w:val="16"/>
          <w:szCs w:val="16"/>
        </w:rPr>
      </w:pPr>
      <w:r w:rsidRPr="00951AB1">
        <w:rPr>
          <w:rFonts w:cs="Times New Roman"/>
          <w:sz w:val="16"/>
          <w:szCs w:val="16"/>
        </w:rPr>
        <w:t>Cifras en pesos</w:t>
      </w:r>
    </w:p>
    <w:p w14:paraId="47201BFD" w14:textId="551372F3" w:rsidR="009C6949" w:rsidRPr="00951AB1" w:rsidRDefault="009C6949" w:rsidP="000A5389">
      <w:pPr>
        <w:spacing w:line="240" w:lineRule="auto"/>
        <w:rPr>
          <w:rFonts w:cs="Times New Roman"/>
          <w:sz w:val="16"/>
          <w:szCs w:val="16"/>
        </w:rPr>
      </w:pPr>
    </w:p>
    <w:p w14:paraId="422BD558" w14:textId="274B4A4C" w:rsidR="00A0732B" w:rsidRDefault="002F532A" w:rsidP="000A5389">
      <w:pPr>
        <w:spacing w:line="240" w:lineRule="auto"/>
        <w:ind w:left="-20" w:right="-20"/>
        <w:rPr>
          <w:rFonts w:eastAsia="Times New Roman" w:cs="Times New Roman"/>
          <w:szCs w:val="24"/>
        </w:rPr>
      </w:pPr>
      <w:r w:rsidRPr="00951AB1">
        <w:rPr>
          <w:rFonts w:eastAsia="Times New Roman" w:cs="Times New Roman"/>
          <w:sz w:val="14"/>
          <w:szCs w:val="14"/>
        </w:rPr>
        <w:t xml:space="preserve"> </w:t>
      </w:r>
      <w:r w:rsidR="00A0732B" w:rsidRPr="00951AB1">
        <w:rPr>
          <w:rFonts w:eastAsia="Times New Roman" w:cs="Times New Roman"/>
          <w:szCs w:val="24"/>
        </w:rPr>
        <w:t xml:space="preserve">Este gasto corresponde a una cuenta de enlace entre la Tesorería Centralizada y la Agencia Nacional de Infraestructura. El saldo reflejado al cierre de la vigencia 2025 se presenta principalmente por conceptos como devolución de recursos por liquidaciones de proyectos de concesión y rendimientos financieros que generan las subcuentas de los patrimonios autónomos constituidos por los concesionarios privados del modo de transporte carretero, </w:t>
      </w:r>
      <w:r w:rsidR="00A0732B" w:rsidRPr="00951AB1">
        <w:rPr>
          <w:rFonts w:eastAsia="Times New Roman" w:cs="Times New Roman"/>
          <w:szCs w:val="24"/>
        </w:rPr>
        <w:lastRenderedPageBreak/>
        <w:t xml:space="preserve">entre otros. Su disminución presentada frente al año anterior es por menos registros de devoluciones de recursos. </w:t>
      </w:r>
    </w:p>
    <w:p w14:paraId="344AD720" w14:textId="77777777" w:rsidR="008C1734" w:rsidRDefault="008C1734" w:rsidP="000A5389">
      <w:pPr>
        <w:spacing w:line="240" w:lineRule="auto"/>
        <w:ind w:left="-20" w:right="-20"/>
        <w:rPr>
          <w:rFonts w:eastAsia="Times New Roman" w:cs="Times New Roman"/>
          <w:szCs w:val="24"/>
        </w:rPr>
      </w:pPr>
    </w:p>
    <w:p w14:paraId="06959EF1" w14:textId="77777777" w:rsidR="008C1734" w:rsidRPr="00951AB1" w:rsidRDefault="008C1734" w:rsidP="000A5389">
      <w:pPr>
        <w:spacing w:line="240" w:lineRule="auto"/>
        <w:ind w:left="-20" w:right="-20"/>
        <w:rPr>
          <w:rFonts w:eastAsia="Times New Roman" w:cs="Times New Roman"/>
          <w:szCs w:val="24"/>
        </w:rPr>
      </w:pPr>
    </w:p>
    <w:p w14:paraId="045BE15B" w14:textId="55909250" w:rsidR="00C03908" w:rsidRPr="00951AB1" w:rsidRDefault="00C03908" w:rsidP="000A5389">
      <w:pPr>
        <w:pStyle w:val="Ttulo1"/>
        <w:spacing w:line="240" w:lineRule="auto"/>
        <w:rPr>
          <w:rFonts w:cs="Times New Roman"/>
        </w:rPr>
      </w:pPr>
      <w:bookmarkStart w:id="978" w:name="_Toc191505868"/>
      <w:bookmarkStart w:id="979" w:name="_Toc222824281"/>
      <w:bookmarkStart w:id="980" w:name="_Toc222955548"/>
      <w:r w:rsidRPr="00951AB1">
        <w:rPr>
          <w:rFonts w:cs="Times New Roman"/>
        </w:rPr>
        <w:t>NOTA 33. ACUERDOS DE CONCESIÓN - ENTIDAD CONCEDENTE</w:t>
      </w:r>
      <w:bookmarkEnd w:id="978"/>
      <w:bookmarkEnd w:id="979"/>
      <w:bookmarkEnd w:id="980"/>
    </w:p>
    <w:p w14:paraId="53E113D5" w14:textId="77777777" w:rsidR="00C03908" w:rsidRPr="00951AB1" w:rsidRDefault="00C03908" w:rsidP="000A5389">
      <w:pPr>
        <w:spacing w:line="240" w:lineRule="auto"/>
        <w:rPr>
          <w:rFonts w:cs="Times New Roman"/>
          <w:szCs w:val="24"/>
        </w:rPr>
      </w:pPr>
    </w:p>
    <w:p w14:paraId="596FB680" w14:textId="7FCAC5C4" w:rsidR="00C03908" w:rsidRPr="00951AB1" w:rsidRDefault="00C03908" w:rsidP="000A5389">
      <w:pPr>
        <w:pStyle w:val="Ttulo2"/>
        <w:numPr>
          <w:ilvl w:val="0"/>
          <w:numId w:val="0"/>
        </w:numPr>
        <w:spacing w:line="240" w:lineRule="auto"/>
        <w:rPr>
          <w:rFonts w:cs="Times New Roman"/>
        </w:rPr>
      </w:pPr>
      <w:bookmarkStart w:id="981" w:name="_Toc191369577"/>
      <w:bookmarkStart w:id="982" w:name="_Toc191456904"/>
      <w:bookmarkStart w:id="983" w:name="_Toc191457014"/>
      <w:bookmarkStart w:id="984" w:name="_Toc191457124"/>
      <w:bookmarkStart w:id="985" w:name="_Toc191475751"/>
      <w:bookmarkStart w:id="986" w:name="_Toc191475860"/>
      <w:bookmarkStart w:id="987" w:name="_Toc191475969"/>
      <w:bookmarkStart w:id="988" w:name="_Toc191475492"/>
      <w:bookmarkStart w:id="989" w:name="_Toc191505869"/>
      <w:bookmarkStart w:id="990" w:name="_Toc222824282"/>
      <w:bookmarkStart w:id="991" w:name="_Toc222955549"/>
      <w:r w:rsidRPr="00951AB1">
        <w:rPr>
          <w:rFonts w:cs="Times New Roman"/>
        </w:rPr>
        <w:t>Composición</w:t>
      </w:r>
      <w:bookmarkEnd w:id="981"/>
      <w:bookmarkEnd w:id="982"/>
      <w:bookmarkEnd w:id="983"/>
      <w:bookmarkEnd w:id="984"/>
      <w:bookmarkEnd w:id="985"/>
      <w:bookmarkEnd w:id="986"/>
      <w:bookmarkEnd w:id="987"/>
      <w:bookmarkEnd w:id="988"/>
      <w:bookmarkEnd w:id="989"/>
      <w:bookmarkEnd w:id="990"/>
      <w:bookmarkEnd w:id="991"/>
    </w:p>
    <w:p w14:paraId="2AF2EBBA" w14:textId="77777777" w:rsidR="00156F81" w:rsidRPr="00951AB1" w:rsidRDefault="00156F81" w:rsidP="000A5389">
      <w:pPr>
        <w:spacing w:line="240" w:lineRule="auto"/>
        <w:rPr>
          <w:rFonts w:cs="Times New Roman"/>
        </w:rPr>
      </w:pPr>
    </w:p>
    <w:tbl>
      <w:tblPr>
        <w:tblW w:w="5000" w:type="pct"/>
        <w:tblCellMar>
          <w:left w:w="70" w:type="dxa"/>
          <w:right w:w="70" w:type="dxa"/>
        </w:tblCellMar>
        <w:tblLook w:val="04A0" w:firstRow="1" w:lastRow="0" w:firstColumn="1" w:lastColumn="0" w:noHBand="0" w:noVBand="1"/>
      </w:tblPr>
      <w:tblGrid>
        <w:gridCol w:w="4028"/>
        <w:gridCol w:w="1580"/>
        <w:gridCol w:w="1580"/>
        <w:gridCol w:w="1640"/>
      </w:tblGrid>
      <w:tr w:rsidR="005A73C0" w:rsidRPr="00951AB1" w14:paraId="276743AD" w14:textId="77777777" w:rsidTr="00156F81">
        <w:trPr>
          <w:trHeight w:val="278"/>
          <w:tblHeader/>
        </w:trPr>
        <w:tc>
          <w:tcPr>
            <w:tcW w:w="2328" w:type="pct"/>
            <w:tcBorders>
              <w:top w:val="single" w:sz="4" w:space="0" w:color="A6A6A6"/>
              <w:left w:val="single" w:sz="4" w:space="0" w:color="A6A6A6"/>
              <w:bottom w:val="single" w:sz="4" w:space="0" w:color="A6A6A6"/>
              <w:right w:val="single" w:sz="4" w:space="0" w:color="A6A6A6"/>
            </w:tcBorders>
            <w:vAlign w:val="center"/>
            <w:hideMark/>
          </w:tcPr>
          <w:p w14:paraId="21347655" w14:textId="77777777" w:rsidR="00156F81" w:rsidRPr="00951AB1" w:rsidRDefault="00156F81" w:rsidP="000A5389">
            <w:pPr>
              <w:spacing w:line="240" w:lineRule="auto"/>
              <w:jc w:val="center"/>
              <w:rPr>
                <w:rFonts w:eastAsia="Times New Roman" w:cs="Times New Roman"/>
                <w:b/>
                <w:bCs/>
                <w:kern w:val="0"/>
                <w:sz w:val="18"/>
                <w:szCs w:val="18"/>
                <w:lang w:eastAsia="es-CO"/>
                <w14:ligatures w14:val="none"/>
              </w:rPr>
            </w:pPr>
            <w:r w:rsidRPr="00951AB1">
              <w:rPr>
                <w:rFonts w:eastAsia="Times New Roman" w:cs="Times New Roman"/>
                <w:b/>
                <w:bCs/>
                <w:kern w:val="0"/>
                <w:sz w:val="18"/>
                <w:szCs w:val="18"/>
                <w:lang w:eastAsia="es-CO"/>
                <w14:ligatures w14:val="none"/>
              </w:rPr>
              <w:t>CONCEPTO</w:t>
            </w:r>
          </w:p>
        </w:tc>
        <w:tc>
          <w:tcPr>
            <w:tcW w:w="882" w:type="pct"/>
            <w:tcBorders>
              <w:top w:val="single" w:sz="4" w:space="0" w:color="A6A6A6"/>
              <w:left w:val="nil"/>
              <w:bottom w:val="single" w:sz="4" w:space="0" w:color="A6A6A6"/>
              <w:right w:val="single" w:sz="4" w:space="0" w:color="A6A6A6"/>
            </w:tcBorders>
            <w:vAlign w:val="center"/>
            <w:hideMark/>
          </w:tcPr>
          <w:p w14:paraId="74AC5D56" w14:textId="77777777" w:rsidR="00156F81" w:rsidRPr="00951AB1" w:rsidRDefault="00156F81" w:rsidP="000A5389">
            <w:pPr>
              <w:spacing w:line="240" w:lineRule="auto"/>
              <w:jc w:val="center"/>
              <w:rPr>
                <w:rFonts w:eastAsia="Times New Roman" w:cs="Times New Roman"/>
                <w:b/>
                <w:bCs/>
                <w:kern w:val="0"/>
                <w:sz w:val="18"/>
                <w:szCs w:val="18"/>
                <w:lang w:eastAsia="es-CO"/>
                <w14:ligatures w14:val="none"/>
              </w:rPr>
            </w:pPr>
            <w:r w:rsidRPr="00951AB1">
              <w:rPr>
                <w:rFonts w:eastAsia="Times New Roman" w:cs="Times New Roman"/>
                <w:b/>
                <w:bCs/>
                <w:kern w:val="0"/>
                <w:sz w:val="18"/>
                <w:szCs w:val="18"/>
                <w:lang w:eastAsia="es-CO"/>
                <w14:ligatures w14:val="none"/>
              </w:rPr>
              <w:t>2.025</w:t>
            </w:r>
          </w:p>
        </w:tc>
        <w:tc>
          <w:tcPr>
            <w:tcW w:w="882" w:type="pct"/>
            <w:tcBorders>
              <w:top w:val="single" w:sz="4" w:space="0" w:color="A6A6A6"/>
              <w:left w:val="nil"/>
              <w:bottom w:val="single" w:sz="4" w:space="0" w:color="A6A6A6"/>
              <w:right w:val="single" w:sz="4" w:space="0" w:color="A6A6A6"/>
            </w:tcBorders>
            <w:vAlign w:val="center"/>
            <w:hideMark/>
          </w:tcPr>
          <w:p w14:paraId="1385B0DE" w14:textId="77777777" w:rsidR="00156F81" w:rsidRPr="00951AB1" w:rsidRDefault="00156F81" w:rsidP="000A5389">
            <w:pPr>
              <w:spacing w:line="240" w:lineRule="auto"/>
              <w:jc w:val="center"/>
              <w:rPr>
                <w:rFonts w:eastAsia="Times New Roman" w:cs="Times New Roman"/>
                <w:b/>
                <w:bCs/>
                <w:kern w:val="0"/>
                <w:sz w:val="18"/>
                <w:szCs w:val="18"/>
                <w:lang w:eastAsia="es-CO"/>
                <w14:ligatures w14:val="none"/>
              </w:rPr>
            </w:pPr>
            <w:r w:rsidRPr="00951AB1">
              <w:rPr>
                <w:rFonts w:eastAsia="Times New Roman" w:cs="Times New Roman"/>
                <w:b/>
                <w:bCs/>
                <w:kern w:val="0"/>
                <w:sz w:val="18"/>
                <w:szCs w:val="18"/>
                <w:lang w:eastAsia="es-CO"/>
                <w14:ligatures w14:val="none"/>
              </w:rPr>
              <w:t>2.024</w:t>
            </w:r>
          </w:p>
        </w:tc>
        <w:tc>
          <w:tcPr>
            <w:tcW w:w="907" w:type="pct"/>
            <w:tcBorders>
              <w:top w:val="single" w:sz="4" w:space="0" w:color="A6A6A6"/>
              <w:left w:val="nil"/>
              <w:bottom w:val="single" w:sz="4" w:space="0" w:color="A6A6A6"/>
              <w:right w:val="single" w:sz="4" w:space="0" w:color="A6A6A6"/>
            </w:tcBorders>
            <w:vAlign w:val="center"/>
            <w:hideMark/>
          </w:tcPr>
          <w:p w14:paraId="0ADEFB9C" w14:textId="06825152" w:rsidR="00156F81" w:rsidRPr="00951AB1" w:rsidRDefault="00156F81" w:rsidP="000A5389">
            <w:pPr>
              <w:spacing w:line="240" w:lineRule="auto"/>
              <w:jc w:val="center"/>
              <w:rPr>
                <w:rFonts w:eastAsia="Times New Roman" w:cs="Times New Roman"/>
                <w:b/>
                <w:bCs/>
                <w:kern w:val="0"/>
                <w:sz w:val="18"/>
                <w:szCs w:val="18"/>
                <w:lang w:eastAsia="es-CO"/>
                <w14:ligatures w14:val="none"/>
              </w:rPr>
            </w:pPr>
            <w:r w:rsidRPr="00951AB1">
              <w:rPr>
                <w:rFonts w:eastAsia="Times New Roman" w:cs="Times New Roman"/>
                <w:b/>
                <w:bCs/>
                <w:kern w:val="0"/>
                <w:sz w:val="18"/>
                <w:szCs w:val="18"/>
                <w:lang w:eastAsia="es-CO"/>
                <w14:ligatures w14:val="none"/>
              </w:rPr>
              <w:t>VARIACIÓN</w:t>
            </w:r>
          </w:p>
        </w:tc>
      </w:tr>
      <w:tr w:rsidR="005A73C0" w:rsidRPr="00951AB1" w14:paraId="71E4DBAD" w14:textId="77777777" w:rsidTr="00156F81">
        <w:trPr>
          <w:trHeight w:val="278"/>
        </w:trPr>
        <w:tc>
          <w:tcPr>
            <w:tcW w:w="2328" w:type="pct"/>
            <w:tcBorders>
              <w:top w:val="nil"/>
              <w:left w:val="single" w:sz="4" w:space="0" w:color="A6A6A6"/>
              <w:bottom w:val="single" w:sz="4" w:space="0" w:color="A6A6A6"/>
              <w:right w:val="nil"/>
            </w:tcBorders>
            <w:vAlign w:val="center"/>
            <w:hideMark/>
          </w:tcPr>
          <w:p w14:paraId="3F9BF992" w14:textId="77777777" w:rsidR="00156F81" w:rsidRPr="00951AB1" w:rsidRDefault="00156F81" w:rsidP="000A5389">
            <w:pPr>
              <w:spacing w:line="240" w:lineRule="auto"/>
              <w:rPr>
                <w:rFonts w:eastAsia="Times New Roman" w:cs="Times New Roman"/>
                <w:kern w:val="0"/>
                <w:sz w:val="18"/>
                <w:szCs w:val="18"/>
                <w:lang w:eastAsia="es-CO"/>
                <w14:ligatures w14:val="none"/>
              </w:rPr>
            </w:pPr>
            <w:r w:rsidRPr="00951AB1">
              <w:rPr>
                <w:rFonts w:eastAsia="Times New Roman" w:cs="Times New Roman"/>
                <w:kern w:val="0"/>
                <w:sz w:val="18"/>
                <w:szCs w:val="18"/>
                <w:lang w:eastAsia="es-CO"/>
                <w14:ligatures w14:val="none"/>
              </w:rPr>
              <w:t>Bienes de uso público en servicio - concesiones</w:t>
            </w:r>
          </w:p>
        </w:tc>
        <w:tc>
          <w:tcPr>
            <w:tcW w:w="882" w:type="pct"/>
            <w:tcBorders>
              <w:top w:val="nil"/>
              <w:left w:val="single" w:sz="4" w:space="0" w:color="A6A6A6"/>
              <w:bottom w:val="single" w:sz="4" w:space="0" w:color="A6A6A6"/>
              <w:right w:val="single" w:sz="4" w:space="0" w:color="A6A6A6"/>
            </w:tcBorders>
            <w:noWrap/>
            <w:vAlign w:val="center"/>
            <w:hideMark/>
          </w:tcPr>
          <w:p w14:paraId="5DC238F1" w14:textId="77777777" w:rsidR="00156F81" w:rsidRPr="00951AB1" w:rsidRDefault="00156F81" w:rsidP="000A5389">
            <w:pPr>
              <w:spacing w:line="240" w:lineRule="auto"/>
              <w:jc w:val="right"/>
              <w:rPr>
                <w:rFonts w:eastAsia="Times New Roman" w:cs="Times New Roman"/>
                <w:kern w:val="0"/>
                <w:sz w:val="18"/>
                <w:szCs w:val="18"/>
                <w:lang w:eastAsia="es-CO"/>
                <w14:ligatures w14:val="none"/>
              </w:rPr>
            </w:pPr>
            <w:r w:rsidRPr="00951AB1">
              <w:rPr>
                <w:rFonts w:eastAsia="Times New Roman" w:cs="Times New Roman"/>
                <w:kern w:val="0"/>
                <w:sz w:val="18"/>
                <w:szCs w:val="18"/>
                <w:lang w:eastAsia="es-CO"/>
                <w14:ligatures w14:val="none"/>
              </w:rPr>
              <w:t>44.749.564.676.879</w:t>
            </w:r>
          </w:p>
        </w:tc>
        <w:tc>
          <w:tcPr>
            <w:tcW w:w="882" w:type="pct"/>
            <w:tcBorders>
              <w:top w:val="nil"/>
              <w:left w:val="nil"/>
              <w:bottom w:val="single" w:sz="4" w:space="0" w:color="A6A6A6"/>
              <w:right w:val="single" w:sz="4" w:space="0" w:color="A6A6A6"/>
            </w:tcBorders>
            <w:noWrap/>
            <w:vAlign w:val="center"/>
            <w:hideMark/>
          </w:tcPr>
          <w:p w14:paraId="7F0F6CC2" w14:textId="77777777" w:rsidR="00156F81" w:rsidRPr="00951AB1" w:rsidRDefault="00156F81" w:rsidP="000A5389">
            <w:pPr>
              <w:spacing w:line="240" w:lineRule="auto"/>
              <w:jc w:val="right"/>
              <w:rPr>
                <w:rFonts w:eastAsia="Times New Roman" w:cs="Times New Roman"/>
                <w:kern w:val="0"/>
                <w:sz w:val="18"/>
                <w:szCs w:val="18"/>
                <w:lang w:eastAsia="es-CO"/>
                <w14:ligatures w14:val="none"/>
              </w:rPr>
            </w:pPr>
            <w:r w:rsidRPr="00951AB1">
              <w:rPr>
                <w:rFonts w:eastAsia="Times New Roman" w:cs="Times New Roman"/>
                <w:kern w:val="0"/>
                <w:sz w:val="18"/>
                <w:szCs w:val="18"/>
                <w:lang w:eastAsia="es-CO"/>
                <w14:ligatures w14:val="none"/>
              </w:rPr>
              <w:t>26.106.560.049.082</w:t>
            </w:r>
          </w:p>
        </w:tc>
        <w:tc>
          <w:tcPr>
            <w:tcW w:w="907" w:type="pct"/>
            <w:tcBorders>
              <w:top w:val="nil"/>
              <w:left w:val="nil"/>
              <w:bottom w:val="single" w:sz="4" w:space="0" w:color="A6A6A6"/>
              <w:right w:val="single" w:sz="4" w:space="0" w:color="A6A6A6"/>
            </w:tcBorders>
            <w:noWrap/>
            <w:vAlign w:val="center"/>
            <w:hideMark/>
          </w:tcPr>
          <w:p w14:paraId="0DCC4E4F" w14:textId="77777777" w:rsidR="00156F81" w:rsidRPr="00951AB1" w:rsidRDefault="00156F81" w:rsidP="000A5389">
            <w:pPr>
              <w:spacing w:line="240" w:lineRule="auto"/>
              <w:jc w:val="right"/>
              <w:rPr>
                <w:rFonts w:eastAsia="Times New Roman" w:cs="Times New Roman"/>
                <w:kern w:val="0"/>
                <w:sz w:val="18"/>
                <w:szCs w:val="18"/>
                <w:lang w:eastAsia="es-CO"/>
                <w14:ligatures w14:val="none"/>
              </w:rPr>
            </w:pPr>
            <w:r w:rsidRPr="00951AB1">
              <w:rPr>
                <w:rFonts w:eastAsia="Times New Roman" w:cs="Times New Roman"/>
                <w:kern w:val="0"/>
                <w:sz w:val="18"/>
                <w:szCs w:val="18"/>
                <w:lang w:eastAsia="es-CO"/>
                <w14:ligatures w14:val="none"/>
              </w:rPr>
              <w:t>18.643.004.627.797</w:t>
            </w:r>
          </w:p>
        </w:tc>
      </w:tr>
      <w:tr w:rsidR="005A73C0" w:rsidRPr="00951AB1" w14:paraId="2B5DE6BA" w14:textId="77777777" w:rsidTr="00156F81">
        <w:trPr>
          <w:trHeight w:val="278"/>
        </w:trPr>
        <w:tc>
          <w:tcPr>
            <w:tcW w:w="2328" w:type="pct"/>
            <w:tcBorders>
              <w:top w:val="nil"/>
              <w:left w:val="single" w:sz="4" w:space="0" w:color="A6A6A6"/>
              <w:bottom w:val="single" w:sz="4" w:space="0" w:color="A6A6A6"/>
              <w:right w:val="nil"/>
            </w:tcBorders>
            <w:vAlign w:val="center"/>
            <w:hideMark/>
          </w:tcPr>
          <w:p w14:paraId="73CC77C7" w14:textId="77777777" w:rsidR="00156F81" w:rsidRPr="00951AB1" w:rsidRDefault="00156F81" w:rsidP="000A5389">
            <w:pPr>
              <w:spacing w:line="240" w:lineRule="auto"/>
              <w:rPr>
                <w:rFonts w:eastAsia="Times New Roman" w:cs="Times New Roman"/>
                <w:kern w:val="0"/>
                <w:sz w:val="18"/>
                <w:szCs w:val="18"/>
                <w:lang w:eastAsia="es-CO"/>
                <w14:ligatures w14:val="none"/>
              </w:rPr>
            </w:pPr>
            <w:r w:rsidRPr="00951AB1">
              <w:rPr>
                <w:rFonts w:eastAsia="Times New Roman" w:cs="Times New Roman"/>
                <w:kern w:val="0"/>
                <w:sz w:val="18"/>
                <w:szCs w:val="18"/>
                <w:lang w:eastAsia="es-CO"/>
                <w14:ligatures w14:val="none"/>
              </w:rPr>
              <w:t>Bienes de uso público en construcción - concesiones</w:t>
            </w:r>
          </w:p>
        </w:tc>
        <w:tc>
          <w:tcPr>
            <w:tcW w:w="882" w:type="pct"/>
            <w:tcBorders>
              <w:top w:val="nil"/>
              <w:left w:val="single" w:sz="4" w:space="0" w:color="A6A6A6"/>
              <w:bottom w:val="single" w:sz="4" w:space="0" w:color="A6A6A6"/>
              <w:right w:val="single" w:sz="4" w:space="0" w:color="A6A6A6"/>
            </w:tcBorders>
            <w:noWrap/>
            <w:vAlign w:val="center"/>
            <w:hideMark/>
          </w:tcPr>
          <w:p w14:paraId="061BF7EB" w14:textId="77777777" w:rsidR="00156F81" w:rsidRPr="00951AB1" w:rsidRDefault="00156F81" w:rsidP="000A5389">
            <w:pPr>
              <w:spacing w:line="240" w:lineRule="auto"/>
              <w:jc w:val="right"/>
              <w:rPr>
                <w:rFonts w:eastAsia="Times New Roman" w:cs="Times New Roman"/>
                <w:kern w:val="0"/>
                <w:sz w:val="18"/>
                <w:szCs w:val="18"/>
                <w:lang w:eastAsia="es-CO"/>
                <w14:ligatures w14:val="none"/>
              </w:rPr>
            </w:pPr>
            <w:r w:rsidRPr="00951AB1">
              <w:rPr>
                <w:rFonts w:eastAsia="Times New Roman" w:cs="Times New Roman"/>
                <w:kern w:val="0"/>
                <w:sz w:val="18"/>
                <w:szCs w:val="18"/>
                <w:lang w:eastAsia="es-CO"/>
                <w14:ligatures w14:val="none"/>
              </w:rPr>
              <w:t>32.328.211.194.834</w:t>
            </w:r>
          </w:p>
        </w:tc>
        <w:tc>
          <w:tcPr>
            <w:tcW w:w="882" w:type="pct"/>
            <w:tcBorders>
              <w:top w:val="nil"/>
              <w:left w:val="nil"/>
              <w:bottom w:val="single" w:sz="4" w:space="0" w:color="A6A6A6"/>
              <w:right w:val="single" w:sz="4" w:space="0" w:color="A6A6A6"/>
            </w:tcBorders>
            <w:noWrap/>
            <w:vAlign w:val="center"/>
            <w:hideMark/>
          </w:tcPr>
          <w:p w14:paraId="7A02B820" w14:textId="77777777" w:rsidR="00156F81" w:rsidRPr="00951AB1" w:rsidRDefault="00156F81" w:rsidP="000A5389">
            <w:pPr>
              <w:spacing w:line="240" w:lineRule="auto"/>
              <w:jc w:val="right"/>
              <w:rPr>
                <w:rFonts w:eastAsia="Times New Roman" w:cs="Times New Roman"/>
                <w:kern w:val="0"/>
                <w:sz w:val="18"/>
                <w:szCs w:val="18"/>
                <w:lang w:eastAsia="es-CO"/>
                <w14:ligatures w14:val="none"/>
              </w:rPr>
            </w:pPr>
            <w:r w:rsidRPr="00951AB1">
              <w:rPr>
                <w:rFonts w:eastAsia="Times New Roman" w:cs="Times New Roman"/>
                <w:kern w:val="0"/>
                <w:sz w:val="18"/>
                <w:szCs w:val="18"/>
                <w:lang w:eastAsia="es-CO"/>
                <w14:ligatures w14:val="none"/>
              </w:rPr>
              <w:t>43.848.173.460.513</w:t>
            </w:r>
          </w:p>
        </w:tc>
        <w:tc>
          <w:tcPr>
            <w:tcW w:w="907" w:type="pct"/>
            <w:tcBorders>
              <w:top w:val="nil"/>
              <w:left w:val="nil"/>
              <w:bottom w:val="single" w:sz="4" w:space="0" w:color="A6A6A6"/>
              <w:right w:val="single" w:sz="4" w:space="0" w:color="A6A6A6"/>
            </w:tcBorders>
            <w:noWrap/>
            <w:vAlign w:val="center"/>
            <w:hideMark/>
          </w:tcPr>
          <w:p w14:paraId="555EA7F3" w14:textId="77777777" w:rsidR="00156F81" w:rsidRPr="00951AB1" w:rsidRDefault="00156F81" w:rsidP="000A5389">
            <w:pPr>
              <w:spacing w:line="240" w:lineRule="auto"/>
              <w:jc w:val="right"/>
              <w:rPr>
                <w:rFonts w:eastAsia="Times New Roman" w:cs="Times New Roman"/>
                <w:kern w:val="0"/>
                <w:sz w:val="18"/>
                <w:szCs w:val="18"/>
                <w:lang w:eastAsia="es-CO"/>
                <w14:ligatures w14:val="none"/>
              </w:rPr>
            </w:pPr>
            <w:r w:rsidRPr="00951AB1">
              <w:rPr>
                <w:rFonts w:eastAsia="Times New Roman" w:cs="Times New Roman"/>
                <w:kern w:val="0"/>
                <w:sz w:val="18"/>
                <w:szCs w:val="18"/>
                <w:lang w:eastAsia="es-CO"/>
                <w14:ligatures w14:val="none"/>
              </w:rPr>
              <w:t>-11.519.962.265.679</w:t>
            </w:r>
          </w:p>
        </w:tc>
      </w:tr>
      <w:tr w:rsidR="005A73C0" w:rsidRPr="00951AB1" w14:paraId="76931641" w14:textId="77777777" w:rsidTr="00156F81">
        <w:trPr>
          <w:trHeight w:val="555"/>
        </w:trPr>
        <w:tc>
          <w:tcPr>
            <w:tcW w:w="2328" w:type="pct"/>
            <w:tcBorders>
              <w:top w:val="nil"/>
              <w:left w:val="single" w:sz="4" w:space="0" w:color="A6A6A6"/>
              <w:bottom w:val="single" w:sz="4" w:space="0" w:color="A6A6A6"/>
              <w:right w:val="nil"/>
            </w:tcBorders>
            <w:vAlign w:val="center"/>
            <w:hideMark/>
          </w:tcPr>
          <w:p w14:paraId="4C69320E" w14:textId="77777777" w:rsidR="00156F81" w:rsidRPr="00951AB1" w:rsidRDefault="00156F81" w:rsidP="000A5389">
            <w:pPr>
              <w:spacing w:line="240" w:lineRule="auto"/>
              <w:rPr>
                <w:rFonts w:eastAsia="Times New Roman" w:cs="Times New Roman"/>
                <w:kern w:val="0"/>
                <w:sz w:val="18"/>
                <w:szCs w:val="18"/>
                <w:lang w:eastAsia="es-CO"/>
                <w14:ligatures w14:val="none"/>
              </w:rPr>
            </w:pPr>
            <w:r w:rsidRPr="00951AB1">
              <w:rPr>
                <w:rFonts w:eastAsia="Times New Roman" w:cs="Times New Roman"/>
                <w:kern w:val="0"/>
                <w:sz w:val="18"/>
                <w:szCs w:val="18"/>
                <w:lang w:eastAsia="es-CO"/>
                <w14:ligatures w14:val="none"/>
              </w:rPr>
              <w:t>Depreciación acumulada de bienes de uso público en servicio - concesiones (cr)</w:t>
            </w:r>
          </w:p>
        </w:tc>
        <w:tc>
          <w:tcPr>
            <w:tcW w:w="882" w:type="pct"/>
            <w:tcBorders>
              <w:top w:val="nil"/>
              <w:left w:val="single" w:sz="4" w:space="0" w:color="A6A6A6"/>
              <w:bottom w:val="single" w:sz="4" w:space="0" w:color="A6A6A6"/>
              <w:right w:val="single" w:sz="4" w:space="0" w:color="A6A6A6"/>
            </w:tcBorders>
            <w:noWrap/>
            <w:vAlign w:val="center"/>
            <w:hideMark/>
          </w:tcPr>
          <w:p w14:paraId="7AB21DAC" w14:textId="77777777" w:rsidR="00156F81" w:rsidRPr="00951AB1" w:rsidRDefault="00156F81" w:rsidP="000A5389">
            <w:pPr>
              <w:spacing w:line="240" w:lineRule="auto"/>
              <w:jc w:val="right"/>
              <w:rPr>
                <w:rFonts w:eastAsia="Times New Roman" w:cs="Times New Roman"/>
                <w:kern w:val="0"/>
                <w:sz w:val="18"/>
                <w:szCs w:val="18"/>
                <w:lang w:eastAsia="es-CO"/>
                <w14:ligatures w14:val="none"/>
              </w:rPr>
            </w:pPr>
            <w:r w:rsidRPr="00951AB1">
              <w:rPr>
                <w:rFonts w:eastAsia="Times New Roman" w:cs="Times New Roman"/>
                <w:kern w:val="0"/>
                <w:sz w:val="18"/>
                <w:szCs w:val="18"/>
                <w:lang w:eastAsia="es-CO"/>
                <w14:ligatures w14:val="none"/>
              </w:rPr>
              <w:t>-172.658.094.155</w:t>
            </w:r>
          </w:p>
        </w:tc>
        <w:tc>
          <w:tcPr>
            <w:tcW w:w="882" w:type="pct"/>
            <w:tcBorders>
              <w:top w:val="nil"/>
              <w:left w:val="nil"/>
              <w:bottom w:val="single" w:sz="4" w:space="0" w:color="A6A6A6"/>
              <w:right w:val="single" w:sz="4" w:space="0" w:color="A6A6A6"/>
            </w:tcBorders>
            <w:noWrap/>
            <w:vAlign w:val="center"/>
            <w:hideMark/>
          </w:tcPr>
          <w:p w14:paraId="1E29407B" w14:textId="77777777" w:rsidR="00156F81" w:rsidRPr="00951AB1" w:rsidRDefault="00156F81" w:rsidP="000A5389">
            <w:pPr>
              <w:spacing w:line="240" w:lineRule="auto"/>
              <w:jc w:val="right"/>
              <w:rPr>
                <w:rFonts w:eastAsia="Times New Roman" w:cs="Times New Roman"/>
                <w:kern w:val="0"/>
                <w:sz w:val="18"/>
                <w:szCs w:val="18"/>
                <w:lang w:eastAsia="es-CO"/>
                <w14:ligatures w14:val="none"/>
              </w:rPr>
            </w:pPr>
            <w:r w:rsidRPr="00951AB1">
              <w:rPr>
                <w:rFonts w:eastAsia="Times New Roman" w:cs="Times New Roman"/>
                <w:kern w:val="0"/>
                <w:sz w:val="18"/>
                <w:szCs w:val="18"/>
                <w:lang w:eastAsia="es-CO"/>
                <w14:ligatures w14:val="none"/>
              </w:rPr>
              <w:t>-206.440.727.263</w:t>
            </w:r>
          </w:p>
        </w:tc>
        <w:tc>
          <w:tcPr>
            <w:tcW w:w="907" w:type="pct"/>
            <w:tcBorders>
              <w:top w:val="nil"/>
              <w:left w:val="nil"/>
              <w:bottom w:val="single" w:sz="4" w:space="0" w:color="A6A6A6"/>
              <w:right w:val="single" w:sz="4" w:space="0" w:color="A6A6A6"/>
            </w:tcBorders>
            <w:noWrap/>
            <w:vAlign w:val="center"/>
            <w:hideMark/>
          </w:tcPr>
          <w:p w14:paraId="2F9B5EDD" w14:textId="77777777" w:rsidR="00156F81" w:rsidRPr="00951AB1" w:rsidRDefault="00156F81" w:rsidP="000A5389">
            <w:pPr>
              <w:spacing w:line="240" w:lineRule="auto"/>
              <w:jc w:val="right"/>
              <w:rPr>
                <w:rFonts w:eastAsia="Times New Roman" w:cs="Times New Roman"/>
                <w:kern w:val="0"/>
                <w:sz w:val="18"/>
                <w:szCs w:val="18"/>
                <w:lang w:eastAsia="es-CO"/>
                <w14:ligatures w14:val="none"/>
              </w:rPr>
            </w:pPr>
            <w:r w:rsidRPr="00951AB1">
              <w:rPr>
                <w:rFonts w:eastAsia="Times New Roman" w:cs="Times New Roman"/>
                <w:kern w:val="0"/>
                <w:sz w:val="18"/>
                <w:szCs w:val="18"/>
                <w:lang w:eastAsia="es-CO"/>
                <w14:ligatures w14:val="none"/>
              </w:rPr>
              <w:t>33.782.633.109</w:t>
            </w:r>
          </w:p>
        </w:tc>
      </w:tr>
      <w:tr w:rsidR="005A73C0" w:rsidRPr="00951AB1" w14:paraId="18C937A9" w14:textId="77777777" w:rsidTr="00156F81">
        <w:trPr>
          <w:trHeight w:val="278"/>
        </w:trPr>
        <w:tc>
          <w:tcPr>
            <w:tcW w:w="2328" w:type="pct"/>
            <w:tcBorders>
              <w:top w:val="nil"/>
              <w:left w:val="single" w:sz="4" w:space="0" w:color="A6A6A6"/>
              <w:bottom w:val="single" w:sz="4" w:space="0" w:color="A6A6A6"/>
              <w:right w:val="nil"/>
            </w:tcBorders>
            <w:vAlign w:val="center"/>
            <w:hideMark/>
          </w:tcPr>
          <w:p w14:paraId="03C9B0E1" w14:textId="77777777" w:rsidR="00156F81" w:rsidRPr="00951AB1" w:rsidRDefault="00156F81" w:rsidP="000A5389">
            <w:pPr>
              <w:spacing w:line="240" w:lineRule="auto"/>
              <w:rPr>
                <w:rFonts w:eastAsia="Times New Roman" w:cs="Times New Roman"/>
                <w:kern w:val="0"/>
                <w:sz w:val="18"/>
                <w:szCs w:val="18"/>
                <w:lang w:eastAsia="es-CO"/>
                <w14:ligatures w14:val="none"/>
              </w:rPr>
            </w:pPr>
            <w:r w:rsidRPr="00951AB1">
              <w:rPr>
                <w:rFonts w:eastAsia="Times New Roman" w:cs="Times New Roman"/>
                <w:kern w:val="0"/>
                <w:sz w:val="18"/>
                <w:szCs w:val="18"/>
                <w:lang w:eastAsia="es-CO"/>
                <w14:ligatures w14:val="none"/>
              </w:rPr>
              <w:t>Deterioro acumulado de bienes de uso público - concesiones (cr)</w:t>
            </w:r>
          </w:p>
        </w:tc>
        <w:tc>
          <w:tcPr>
            <w:tcW w:w="882" w:type="pct"/>
            <w:tcBorders>
              <w:top w:val="nil"/>
              <w:left w:val="single" w:sz="4" w:space="0" w:color="A6A6A6"/>
              <w:bottom w:val="single" w:sz="4" w:space="0" w:color="A6A6A6"/>
              <w:right w:val="single" w:sz="4" w:space="0" w:color="A6A6A6"/>
            </w:tcBorders>
            <w:noWrap/>
            <w:vAlign w:val="center"/>
            <w:hideMark/>
          </w:tcPr>
          <w:p w14:paraId="6B93658D" w14:textId="77777777" w:rsidR="00156F81" w:rsidRPr="00951AB1" w:rsidRDefault="00156F81" w:rsidP="000A5389">
            <w:pPr>
              <w:spacing w:line="240" w:lineRule="auto"/>
              <w:jc w:val="right"/>
              <w:rPr>
                <w:rFonts w:eastAsia="Times New Roman" w:cs="Times New Roman"/>
                <w:kern w:val="0"/>
                <w:sz w:val="18"/>
                <w:szCs w:val="18"/>
                <w:lang w:eastAsia="es-CO"/>
                <w14:ligatures w14:val="none"/>
              </w:rPr>
            </w:pPr>
            <w:r w:rsidRPr="00951AB1">
              <w:rPr>
                <w:rFonts w:eastAsia="Times New Roman" w:cs="Times New Roman"/>
                <w:kern w:val="0"/>
                <w:sz w:val="18"/>
                <w:szCs w:val="18"/>
                <w:lang w:eastAsia="es-CO"/>
                <w14:ligatures w14:val="none"/>
              </w:rPr>
              <w:t>-35.311.654.050</w:t>
            </w:r>
          </w:p>
        </w:tc>
        <w:tc>
          <w:tcPr>
            <w:tcW w:w="882" w:type="pct"/>
            <w:tcBorders>
              <w:top w:val="nil"/>
              <w:left w:val="nil"/>
              <w:bottom w:val="single" w:sz="4" w:space="0" w:color="A6A6A6"/>
              <w:right w:val="single" w:sz="4" w:space="0" w:color="A6A6A6"/>
            </w:tcBorders>
            <w:noWrap/>
            <w:vAlign w:val="center"/>
            <w:hideMark/>
          </w:tcPr>
          <w:p w14:paraId="10ABCCCF" w14:textId="77777777" w:rsidR="00156F81" w:rsidRPr="00951AB1" w:rsidRDefault="00156F81" w:rsidP="000A5389">
            <w:pPr>
              <w:spacing w:line="240" w:lineRule="auto"/>
              <w:jc w:val="right"/>
              <w:rPr>
                <w:rFonts w:eastAsia="Times New Roman" w:cs="Times New Roman"/>
                <w:kern w:val="0"/>
                <w:sz w:val="18"/>
                <w:szCs w:val="18"/>
                <w:lang w:eastAsia="es-CO"/>
                <w14:ligatures w14:val="none"/>
              </w:rPr>
            </w:pPr>
            <w:r w:rsidRPr="00951AB1">
              <w:rPr>
                <w:rFonts w:eastAsia="Times New Roman" w:cs="Times New Roman"/>
                <w:kern w:val="0"/>
                <w:sz w:val="18"/>
                <w:szCs w:val="18"/>
                <w:lang w:eastAsia="es-CO"/>
                <w14:ligatures w14:val="none"/>
              </w:rPr>
              <w:t>-789.446.452</w:t>
            </w:r>
          </w:p>
        </w:tc>
        <w:tc>
          <w:tcPr>
            <w:tcW w:w="907" w:type="pct"/>
            <w:tcBorders>
              <w:top w:val="nil"/>
              <w:left w:val="nil"/>
              <w:bottom w:val="single" w:sz="4" w:space="0" w:color="A6A6A6"/>
              <w:right w:val="single" w:sz="4" w:space="0" w:color="A6A6A6"/>
            </w:tcBorders>
            <w:noWrap/>
            <w:vAlign w:val="center"/>
            <w:hideMark/>
          </w:tcPr>
          <w:p w14:paraId="29DCDAF8" w14:textId="77777777" w:rsidR="00156F81" w:rsidRPr="00951AB1" w:rsidRDefault="00156F81" w:rsidP="000A5389">
            <w:pPr>
              <w:spacing w:line="240" w:lineRule="auto"/>
              <w:jc w:val="right"/>
              <w:rPr>
                <w:rFonts w:eastAsia="Times New Roman" w:cs="Times New Roman"/>
                <w:kern w:val="0"/>
                <w:sz w:val="18"/>
                <w:szCs w:val="18"/>
                <w:lang w:eastAsia="es-CO"/>
                <w14:ligatures w14:val="none"/>
              </w:rPr>
            </w:pPr>
            <w:r w:rsidRPr="00951AB1">
              <w:rPr>
                <w:rFonts w:eastAsia="Times New Roman" w:cs="Times New Roman"/>
                <w:kern w:val="0"/>
                <w:sz w:val="18"/>
                <w:szCs w:val="18"/>
                <w:lang w:eastAsia="es-CO"/>
                <w14:ligatures w14:val="none"/>
              </w:rPr>
              <w:t>-34.522.207.598</w:t>
            </w:r>
          </w:p>
        </w:tc>
      </w:tr>
      <w:tr w:rsidR="005A73C0" w:rsidRPr="00951AB1" w14:paraId="6BE06A43" w14:textId="77777777" w:rsidTr="00156F81">
        <w:trPr>
          <w:trHeight w:val="540"/>
        </w:trPr>
        <w:tc>
          <w:tcPr>
            <w:tcW w:w="2328" w:type="pct"/>
            <w:tcBorders>
              <w:top w:val="nil"/>
              <w:left w:val="single" w:sz="4" w:space="0" w:color="A6A6A6"/>
              <w:bottom w:val="single" w:sz="4" w:space="0" w:color="A6A6A6"/>
              <w:right w:val="nil"/>
            </w:tcBorders>
            <w:vAlign w:val="center"/>
            <w:hideMark/>
          </w:tcPr>
          <w:p w14:paraId="7A690085" w14:textId="77777777" w:rsidR="00156F81" w:rsidRPr="00951AB1" w:rsidRDefault="00156F81" w:rsidP="000A5389">
            <w:pPr>
              <w:spacing w:line="240" w:lineRule="auto"/>
              <w:rPr>
                <w:rFonts w:eastAsia="Times New Roman" w:cs="Times New Roman"/>
                <w:b/>
                <w:bCs/>
                <w:kern w:val="0"/>
                <w:sz w:val="18"/>
                <w:szCs w:val="18"/>
                <w:lang w:eastAsia="es-CO"/>
                <w14:ligatures w14:val="none"/>
              </w:rPr>
            </w:pPr>
            <w:r w:rsidRPr="00951AB1">
              <w:rPr>
                <w:rFonts w:eastAsia="Times New Roman" w:cs="Times New Roman"/>
                <w:b/>
                <w:bCs/>
                <w:kern w:val="0"/>
                <w:sz w:val="18"/>
                <w:szCs w:val="18"/>
                <w:lang w:eastAsia="es-CO"/>
                <w14:ligatures w14:val="none"/>
              </w:rPr>
              <w:t>Valor en libros BUP en construcción y/o servicio - Concesiones</w:t>
            </w:r>
          </w:p>
        </w:tc>
        <w:tc>
          <w:tcPr>
            <w:tcW w:w="882" w:type="pct"/>
            <w:tcBorders>
              <w:top w:val="nil"/>
              <w:left w:val="single" w:sz="4" w:space="0" w:color="A6A6A6"/>
              <w:bottom w:val="single" w:sz="4" w:space="0" w:color="A6A6A6"/>
              <w:right w:val="single" w:sz="4" w:space="0" w:color="A6A6A6"/>
            </w:tcBorders>
            <w:noWrap/>
            <w:vAlign w:val="center"/>
            <w:hideMark/>
          </w:tcPr>
          <w:p w14:paraId="2945DC03" w14:textId="77777777" w:rsidR="00156F81" w:rsidRPr="00951AB1" w:rsidRDefault="00156F81" w:rsidP="000A5389">
            <w:pPr>
              <w:spacing w:line="240" w:lineRule="auto"/>
              <w:jc w:val="right"/>
              <w:rPr>
                <w:rFonts w:eastAsia="Times New Roman" w:cs="Times New Roman"/>
                <w:b/>
                <w:bCs/>
                <w:kern w:val="0"/>
                <w:sz w:val="18"/>
                <w:szCs w:val="18"/>
                <w:lang w:eastAsia="es-CO"/>
                <w14:ligatures w14:val="none"/>
              </w:rPr>
            </w:pPr>
            <w:r w:rsidRPr="00951AB1">
              <w:rPr>
                <w:rFonts w:eastAsia="Times New Roman" w:cs="Times New Roman"/>
                <w:b/>
                <w:bCs/>
                <w:kern w:val="0"/>
                <w:sz w:val="18"/>
                <w:szCs w:val="18"/>
                <w:lang w:eastAsia="es-CO"/>
                <w14:ligatures w14:val="none"/>
              </w:rPr>
              <w:t>32.120.241.446.630</w:t>
            </w:r>
          </w:p>
        </w:tc>
        <w:tc>
          <w:tcPr>
            <w:tcW w:w="882" w:type="pct"/>
            <w:tcBorders>
              <w:top w:val="nil"/>
              <w:left w:val="nil"/>
              <w:bottom w:val="single" w:sz="4" w:space="0" w:color="A6A6A6"/>
              <w:right w:val="single" w:sz="4" w:space="0" w:color="A6A6A6"/>
            </w:tcBorders>
            <w:noWrap/>
            <w:vAlign w:val="center"/>
            <w:hideMark/>
          </w:tcPr>
          <w:p w14:paraId="781635EE" w14:textId="77777777" w:rsidR="00156F81" w:rsidRPr="00951AB1" w:rsidRDefault="00156F81" w:rsidP="000A5389">
            <w:pPr>
              <w:spacing w:line="240" w:lineRule="auto"/>
              <w:jc w:val="right"/>
              <w:rPr>
                <w:rFonts w:eastAsia="Times New Roman" w:cs="Times New Roman"/>
                <w:b/>
                <w:bCs/>
                <w:kern w:val="0"/>
                <w:sz w:val="18"/>
                <w:szCs w:val="18"/>
                <w:lang w:eastAsia="es-CO"/>
                <w14:ligatures w14:val="none"/>
              </w:rPr>
            </w:pPr>
            <w:r w:rsidRPr="00951AB1">
              <w:rPr>
                <w:rFonts w:eastAsia="Times New Roman" w:cs="Times New Roman"/>
                <w:b/>
                <w:bCs/>
                <w:kern w:val="0"/>
                <w:sz w:val="18"/>
                <w:szCs w:val="18"/>
                <w:lang w:eastAsia="es-CO"/>
                <w14:ligatures w14:val="none"/>
              </w:rPr>
              <w:t>43.640.943.286.798</w:t>
            </w:r>
          </w:p>
        </w:tc>
        <w:tc>
          <w:tcPr>
            <w:tcW w:w="907" w:type="pct"/>
            <w:tcBorders>
              <w:top w:val="nil"/>
              <w:left w:val="nil"/>
              <w:bottom w:val="single" w:sz="4" w:space="0" w:color="A6A6A6"/>
              <w:right w:val="single" w:sz="4" w:space="0" w:color="A6A6A6"/>
            </w:tcBorders>
            <w:noWrap/>
            <w:vAlign w:val="center"/>
            <w:hideMark/>
          </w:tcPr>
          <w:p w14:paraId="071FD94F" w14:textId="77777777" w:rsidR="00156F81" w:rsidRPr="00951AB1" w:rsidRDefault="00156F81" w:rsidP="000A5389">
            <w:pPr>
              <w:spacing w:line="240" w:lineRule="auto"/>
              <w:jc w:val="right"/>
              <w:rPr>
                <w:rFonts w:eastAsia="Times New Roman" w:cs="Times New Roman"/>
                <w:b/>
                <w:bCs/>
                <w:kern w:val="0"/>
                <w:sz w:val="18"/>
                <w:szCs w:val="18"/>
                <w:lang w:eastAsia="es-CO"/>
                <w14:ligatures w14:val="none"/>
              </w:rPr>
            </w:pPr>
            <w:r w:rsidRPr="00951AB1">
              <w:rPr>
                <w:rFonts w:eastAsia="Times New Roman" w:cs="Times New Roman"/>
                <w:b/>
                <w:bCs/>
                <w:kern w:val="0"/>
                <w:sz w:val="18"/>
                <w:szCs w:val="18"/>
                <w:lang w:eastAsia="es-CO"/>
                <w14:ligatures w14:val="none"/>
              </w:rPr>
              <w:t>-11.520.701.840.169</w:t>
            </w:r>
          </w:p>
        </w:tc>
      </w:tr>
      <w:tr w:rsidR="005A73C0" w:rsidRPr="00951AB1" w14:paraId="01466C3A" w14:textId="77777777" w:rsidTr="00156F81">
        <w:trPr>
          <w:trHeight w:val="278"/>
        </w:trPr>
        <w:tc>
          <w:tcPr>
            <w:tcW w:w="2328" w:type="pct"/>
            <w:tcBorders>
              <w:top w:val="nil"/>
              <w:left w:val="single" w:sz="4" w:space="0" w:color="A6A6A6"/>
              <w:bottom w:val="single" w:sz="4" w:space="0" w:color="A6A6A6"/>
              <w:right w:val="nil"/>
            </w:tcBorders>
            <w:vAlign w:val="center"/>
            <w:hideMark/>
          </w:tcPr>
          <w:p w14:paraId="1B597FE2" w14:textId="77777777" w:rsidR="00156F81" w:rsidRPr="00951AB1" w:rsidRDefault="00156F81" w:rsidP="000A5389">
            <w:pPr>
              <w:spacing w:line="240" w:lineRule="auto"/>
              <w:rPr>
                <w:rFonts w:eastAsia="Times New Roman" w:cs="Times New Roman"/>
                <w:kern w:val="0"/>
                <w:sz w:val="18"/>
                <w:szCs w:val="18"/>
                <w:lang w:eastAsia="es-CO"/>
                <w14:ligatures w14:val="none"/>
              </w:rPr>
            </w:pPr>
            <w:r w:rsidRPr="00951AB1">
              <w:rPr>
                <w:rFonts w:eastAsia="Times New Roman" w:cs="Times New Roman"/>
                <w:kern w:val="0"/>
                <w:sz w:val="18"/>
                <w:szCs w:val="18"/>
                <w:lang w:eastAsia="es-CO"/>
                <w14:ligatures w14:val="none"/>
              </w:rPr>
              <w:t>Propiedades, planta y equipo en concesión</w:t>
            </w:r>
          </w:p>
        </w:tc>
        <w:tc>
          <w:tcPr>
            <w:tcW w:w="882" w:type="pct"/>
            <w:tcBorders>
              <w:top w:val="nil"/>
              <w:left w:val="single" w:sz="4" w:space="0" w:color="A6A6A6"/>
              <w:bottom w:val="single" w:sz="4" w:space="0" w:color="A6A6A6"/>
              <w:right w:val="single" w:sz="4" w:space="0" w:color="A6A6A6"/>
            </w:tcBorders>
            <w:noWrap/>
            <w:vAlign w:val="center"/>
            <w:hideMark/>
          </w:tcPr>
          <w:p w14:paraId="538BB82C" w14:textId="77777777" w:rsidR="00156F81" w:rsidRPr="00951AB1" w:rsidRDefault="00156F81" w:rsidP="000A5389">
            <w:pPr>
              <w:spacing w:line="240" w:lineRule="auto"/>
              <w:jc w:val="right"/>
              <w:rPr>
                <w:rFonts w:eastAsia="Times New Roman" w:cs="Times New Roman"/>
                <w:kern w:val="0"/>
                <w:sz w:val="18"/>
                <w:szCs w:val="18"/>
                <w:lang w:eastAsia="es-CO"/>
                <w14:ligatures w14:val="none"/>
              </w:rPr>
            </w:pPr>
            <w:r w:rsidRPr="00951AB1">
              <w:rPr>
                <w:rFonts w:eastAsia="Times New Roman" w:cs="Times New Roman"/>
                <w:kern w:val="0"/>
                <w:sz w:val="18"/>
                <w:szCs w:val="18"/>
                <w:lang w:eastAsia="es-CO"/>
                <w14:ligatures w14:val="none"/>
              </w:rPr>
              <w:t>3.471.766.511.384</w:t>
            </w:r>
          </w:p>
        </w:tc>
        <w:tc>
          <w:tcPr>
            <w:tcW w:w="882" w:type="pct"/>
            <w:tcBorders>
              <w:top w:val="nil"/>
              <w:left w:val="nil"/>
              <w:bottom w:val="single" w:sz="4" w:space="0" w:color="A6A6A6"/>
              <w:right w:val="single" w:sz="4" w:space="0" w:color="A6A6A6"/>
            </w:tcBorders>
            <w:noWrap/>
            <w:vAlign w:val="center"/>
            <w:hideMark/>
          </w:tcPr>
          <w:p w14:paraId="32255D3B" w14:textId="77777777" w:rsidR="00156F81" w:rsidRPr="00951AB1" w:rsidRDefault="00156F81" w:rsidP="000A5389">
            <w:pPr>
              <w:spacing w:line="240" w:lineRule="auto"/>
              <w:jc w:val="right"/>
              <w:rPr>
                <w:rFonts w:eastAsia="Times New Roman" w:cs="Times New Roman"/>
                <w:kern w:val="0"/>
                <w:sz w:val="18"/>
                <w:szCs w:val="18"/>
                <w:lang w:eastAsia="es-CO"/>
                <w14:ligatures w14:val="none"/>
              </w:rPr>
            </w:pPr>
            <w:r w:rsidRPr="00951AB1">
              <w:rPr>
                <w:rFonts w:eastAsia="Times New Roman" w:cs="Times New Roman"/>
                <w:kern w:val="0"/>
                <w:sz w:val="18"/>
                <w:szCs w:val="18"/>
                <w:lang w:eastAsia="es-CO"/>
                <w14:ligatures w14:val="none"/>
              </w:rPr>
              <w:t>2.985.955.218.140</w:t>
            </w:r>
          </w:p>
        </w:tc>
        <w:tc>
          <w:tcPr>
            <w:tcW w:w="907" w:type="pct"/>
            <w:tcBorders>
              <w:top w:val="nil"/>
              <w:left w:val="nil"/>
              <w:bottom w:val="single" w:sz="4" w:space="0" w:color="A6A6A6"/>
              <w:right w:val="single" w:sz="4" w:space="0" w:color="A6A6A6"/>
            </w:tcBorders>
            <w:noWrap/>
            <w:vAlign w:val="center"/>
            <w:hideMark/>
          </w:tcPr>
          <w:p w14:paraId="5E7673D4" w14:textId="77777777" w:rsidR="00156F81" w:rsidRPr="00951AB1" w:rsidRDefault="00156F81" w:rsidP="000A5389">
            <w:pPr>
              <w:spacing w:line="240" w:lineRule="auto"/>
              <w:jc w:val="right"/>
              <w:rPr>
                <w:rFonts w:eastAsia="Times New Roman" w:cs="Times New Roman"/>
                <w:kern w:val="0"/>
                <w:sz w:val="18"/>
                <w:szCs w:val="18"/>
                <w:lang w:eastAsia="es-CO"/>
                <w14:ligatures w14:val="none"/>
              </w:rPr>
            </w:pPr>
            <w:r w:rsidRPr="00951AB1">
              <w:rPr>
                <w:rFonts w:eastAsia="Times New Roman" w:cs="Times New Roman"/>
                <w:kern w:val="0"/>
                <w:sz w:val="18"/>
                <w:szCs w:val="18"/>
                <w:lang w:eastAsia="es-CO"/>
                <w14:ligatures w14:val="none"/>
              </w:rPr>
              <w:t>485.811.293.244</w:t>
            </w:r>
          </w:p>
        </w:tc>
      </w:tr>
      <w:tr w:rsidR="005A73C0" w:rsidRPr="00951AB1" w14:paraId="3676D96C" w14:textId="77777777" w:rsidTr="00156F81">
        <w:trPr>
          <w:trHeight w:val="555"/>
        </w:trPr>
        <w:tc>
          <w:tcPr>
            <w:tcW w:w="2328" w:type="pct"/>
            <w:tcBorders>
              <w:top w:val="nil"/>
              <w:left w:val="single" w:sz="4" w:space="0" w:color="A6A6A6"/>
              <w:bottom w:val="single" w:sz="4" w:space="0" w:color="A6A6A6"/>
              <w:right w:val="nil"/>
            </w:tcBorders>
            <w:vAlign w:val="center"/>
            <w:hideMark/>
          </w:tcPr>
          <w:p w14:paraId="05B2A93E" w14:textId="77777777" w:rsidR="00156F81" w:rsidRPr="00951AB1" w:rsidRDefault="00156F81" w:rsidP="000A5389">
            <w:pPr>
              <w:spacing w:line="240" w:lineRule="auto"/>
              <w:rPr>
                <w:rFonts w:eastAsia="Times New Roman" w:cs="Times New Roman"/>
                <w:kern w:val="0"/>
                <w:sz w:val="18"/>
                <w:szCs w:val="18"/>
                <w:lang w:eastAsia="es-CO"/>
                <w14:ligatures w14:val="none"/>
              </w:rPr>
            </w:pPr>
            <w:r w:rsidRPr="00951AB1">
              <w:rPr>
                <w:rFonts w:eastAsia="Times New Roman" w:cs="Times New Roman"/>
                <w:kern w:val="0"/>
                <w:sz w:val="18"/>
                <w:szCs w:val="18"/>
                <w:lang w:eastAsia="es-CO"/>
                <w14:ligatures w14:val="none"/>
              </w:rPr>
              <w:t>Depreciación acumulada: Propiedades, planta y equipo en concesión (cr)</w:t>
            </w:r>
          </w:p>
        </w:tc>
        <w:tc>
          <w:tcPr>
            <w:tcW w:w="882" w:type="pct"/>
            <w:tcBorders>
              <w:top w:val="nil"/>
              <w:left w:val="single" w:sz="4" w:space="0" w:color="A6A6A6"/>
              <w:bottom w:val="single" w:sz="4" w:space="0" w:color="A6A6A6"/>
              <w:right w:val="single" w:sz="4" w:space="0" w:color="A6A6A6"/>
            </w:tcBorders>
            <w:noWrap/>
            <w:vAlign w:val="center"/>
            <w:hideMark/>
          </w:tcPr>
          <w:p w14:paraId="32135D88" w14:textId="77777777" w:rsidR="00156F81" w:rsidRPr="00951AB1" w:rsidRDefault="00156F81" w:rsidP="000A5389">
            <w:pPr>
              <w:spacing w:line="240" w:lineRule="auto"/>
              <w:jc w:val="right"/>
              <w:rPr>
                <w:rFonts w:eastAsia="Times New Roman" w:cs="Times New Roman"/>
                <w:kern w:val="0"/>
                <w:sz w:val="18"/>
                <w:szCs w:val="18"/>
                <w:lang w:eastAsia="es-CO"/>
                <w14:ligatures w14:val="none"/>
              </w:rPr>
            </w:pPr>
            <w:r w:rsidRPr="00951AB1">
              <w:rPr>
                <w:rFonts w:eastAsia="Times New Roman" w:cs="Times New Roman"/>
                <w:kern w:val="0"/>
                <w:sz w:val="18"/>
                <w:szCs w:val="18"/>
                <w:lang w:eastAsia="es-CO"/>
                <w14:ligatures w14:val="none"/>
              </w:rPr>
              <w:t>-7.186.312.237</w:t>
            </w:r>
          </w:p>
        </w:tc>
        <w:tc>
          <w:tcPr>
            <w:tcW w:w="882" w:type="pct"/>
            <w:tcBorders>
              <w:top w:val="nil"/>
              <w:left w:val="nil"/>
              <w:bottom w:val="single" w:sz="4" w:space="0" w:color="A6A6A6"/>
              <w:right w:val="single" w:sz="4" w:space="0" w:color="A6A6A6"/>
            </w:tcBorders>
            <w:noWrap/>
            <w:vAlign w:val="center"/>
            <w:hideMark/>
          </w:tcPr>
          <w:p w14:paraId="2BF7FD9C" w14:textId="77777777" w:rsidR="00156F81" w:rsidRPr="00951AB1" w:rsidRDefault="00156F81" w:rsidP="000A5389">
            <w:pPr>
              <w:spacing w:line="240" w:lineRule="auto"/>
              <w:jc w:val="right"/>
              <w:rPr>
                <w:rFonts w:eastAsia="Times New Roman" w:cs="Times New Roman"/>
                <w:kern w:val="0"/>
                <w:sz w:val="18"/>
                <w:szCs w:val="18"/>
                <w:lang w:eastAsia="es-CO"/>
                <w14:ligatures w14:val="none"/>
              </w:rPr>
            </w:pPr>
            <w:r w:rsidRPr="00951AB1">
              <w:rPr>
                <w:rFonts w:eastAsia="Times New Roman" w:cs="Times New Roman"/>
                <w:kern w:val="0"/>
                <w:sz w:val="18"/>
                <w:szCs w:val="18"/>
                <w:lang w:eastAsia="es-CO"/>
                <w14:ligatures w14:val="none"/>
              </w:rPr>
              <w:t>-6.947.617.925</w:t>
            </w:r>
          </w:p>
        </w:tc>
        <w:tc>
          <w:tcPr>
            <w:tcW w:w="907" w:type="pct"/>
            <w:tcBorders>
              <w:top w:val="nil"/>
              <w:left w:val="nil"/>
              <w:bottom w:val="single" w:sz="4" w:space="0" w:color="A6A6A6"/>
              <w:right w:val="single" w:sz="4" w:space="0" w:color="A6A6A6"/>
            </w:tcBorders>
            <w:noWrap/>
            <w:vAlign w:val="center"/>
            <w:hideMark/>
          </w:tcPr>
          <w:p w14:paraId="63C923FF" w14:textId="77777777" w:rsidR="00156F81" w:rsidRPr="00951AB1" w:rsidRDefault="00156F81" w:rsidP="000A5389">
            <w:pPr>
              <w:spacing w:line="240" w:lineRule="auto"/>
              <w:jc w:val="right"/>
              <w:rPr>
                <w:rFonts w:eastAsia="Times New Roman" w:cs="Times New Roman"/>
                <w:kern w:val="0"/>
                <w:sz w:val="18"/>
                <w:szCs w:val="18"/>
                <w:lang w:eastAsia="es-CO"/>
                <w14:ligatures w14:val="none"/>
              </w:rPr>
            </w:pPr>
            <w:r w:rsidRPr="00951AB1">
              <w:rPr>
                <w:rFonts w:eastAsia="Times New Roman" w:cs="Times New Roman"/>
                <w:kern w:val="0"/>
                <w:sz w:val="18"/>
                <w:szCs w:val="18"/>
                <w:lang w:eastAsia="es-CO"/>
                <w14:ligatures w14:val="none"/>
              </w:rPr>
              <w:t>-238.694.312</w:t>
            </w:r>
          </w:p>
        </w:tc>
      </w:tr>
      <w:tr w:rsidR="005A73C0" w:rsidRPr="00951AB1" w14:paraId="51B83CBA" w14:textId="77777777" w:rsidTr="00156F81">
        <w:trPr>
          <w:trHeight w:val="555"/>
        </w:trPr>
        <w:tc>
          <w:tcPr>
            <w:tcW w:w="2328" w:type="pct"/>
            <w:tcBorders>
              <w:top w:val="nil"/>
              <w:left w:val="single" w:sz="4" w:space="0" w:color="A6A6A6"/>
              <w:bottom w:val="single" w:sz="4" w:space="0" w:color="A6A6A6"/>
              <w:right w:val="nil"/>
            </w:tcBorders>
            <w:vAlign w:val="center"/>
            <w:hideMark/>
          </w:tcPr>
          <w:p w14:paraId="087FD60F" w14:textId="77777777" w:rsidR="00156F81" w:rsidRPr="00951AB1" w:rsidRDefault="00156F81" w:rsidP="000A5389">
            <w:pPr>
              <w:spacing w:line="240" w:lineRule="auto"/>
              <w:rPr>
                <w:rFonts w:eastAsia="Times New Roman" w:cs="Times New Roman"/>
                <w:kern w:val="0"/>
                <w:sz w:val="18"/>
                <w:szCs w:val="18"/>
                <w:lang w:eastAsia="es-CO"/>
                <w14:ligatures w14:val="none"/>
              </w:rPr>
            </w:pPr>
            <w:r w:rsidRPr="00951AB1">
              <w:rPr>
                <w:rFonts w:eastAsia="Times New Roman" w:cs="Times New Roman"/>
                <w:kern w:val="0"/>
                <w:sz w:val="18"/>
                <w:szCs w:val="18"/>
                <w:lang w:eastAsia="es-CO"/>
                <w14:ligatures w14:val="none"/>
              </w:rPr>
              <w:t>Deterioro acumulado: Propiedades, planta y equipo en concesión (cr)</w:t>
            </w:r>
          </w:p>
        </w:tc>
        <w:tc>
          <w:tcPr>
            <w:tcW w:w="882" w:type="pct"/>
            <w:tcBorders>
              <w:top w:val="nil"/>
              <w:left w:val="single" w:sz="4" w:space="0" w:color="A6A6A6"/>
              <w:bottom w:val="single" w:sz="4" w:space="0" w:color="A6A6A6"/>
              <w:right w:val="single" w:sz="4" w:space="0" w:color="A6A6A6"/>
            </w:tcBorders>
            <w:noWrap/>
            <w:vAlign w:val="center"/>
            <w:hideMark/>
          </w:tcPr>
          <w:p w14:paraId="2B43BE6A" w14:textId="77777777" w:rsidR="00156F81" w:rsidRPr="00951AB1" w:rsidRDefault="00156F81" w:rsidP="000A5389">
            <w:pPr>
              <w:spacing w:line="240" w:lineRule="auto"/>
              <w:jc w:val="right"/>
              <w:rPr>
                <w:rFonts w:eastAsia="Times New Roman" w:cs="Times New Roman"/>
                <w:kern w:val="0"/>
                <w:sz w:val="18"/>
                <w:szCs w:val="18"/>
                <w:lang w:eastAsia="es-CO"/>
                <w14:ligatures w14:val="none"/>
              </w:rPr>
            </w:pPr>
            <w:r w:rsidRPr="00951AB1">
              <w:rPr>
                <w:rFonts w:eastAsia="Times New Roman" w:cs="Times New Roman"/>
                <w:kern w:val="0"/>
                <w:sz w:val="18"/>
                <w:szCs w:val="18"/>
                <w:lang w:eastAsia="es-CO"/>
                <w14:ligatures w14:val="none"/>
              </w:rPr>
              <w:t>0</w:t>
            </w:r>
          </w:p>
        </w:tc>
        <w:tc>
          <w:tcPr>
            <w:tcW w:w="882" w:type="pct"/>
            <w:tcBorders>
              <w:top w:val="nil"/>
              <w:left w:val="nil"/>
              <w:bottom w:val="single" w:sz="4" w:space="0" w:color="A6A6A6"/>
              <w:right w:val="single" w:sz="4" w:space="0" w:color="A6A6A6"/>
            </w:tcBorders>
            <w:noWrap/>
            <w:vAlign w:val="center"/>
            <w:hideMark/>
          </w:tcPr>
          <w:p w14:paraId="60ECAE7D" w14:textId="77777777" w:rsidR="00156F81" w:rsidRPr="00951AB1" w:rsidRDefault="00156F81" w:rsidP="000A5389">
            <w:pPr>
              <w:spacing w:line="240" w:lineRule="auto"/>
              <w:jc w:val="right"/>
              <w:rPr>
                <w:rFonts w:eastAsia="Times New Roman" w:cs="Times New Roman"/>
                <w:kern w:val="0"/>
                <w:sz w:val="18"/>
                <w:szCs w:val="18"/>
                <w:lang w:eastAsia="es-CO"/>
                <w14:ligatures w14:val="none"/>
              </w:rPr>
            </w:pPr>
            <w:r w:rsidRPr="00951AB1">
              <w:rPr>
                <w:rFonts w:eastAsia="Times New Roman" w:cs="Times New Roman"/>
                <w:kern w:val="0"/>
                <w:sz w:val="18"/>
                <w:szCs w:val="18"/>
                <w:lang w:eastAsia="es-CO"/>
                <w14:ligatures w14:val="none"/>
              </w:rPr>
              <w:t>0</w:t>
            </w:r>
          </w:p>
        </w:tc>
        <w:tc>
          <w:tcPr>
            <w:tcW w:w="907" w:type="pct"/>
            <w:tcBorders>
              <w:top w:val="nil"/>
              <w:left w:val="nil"/>
              <w:bottom w:val="single" w:sz="4" w:space="0" w:color="A6A6A6"/>
              <w:right w:val="single" w:sz="4" w:space="0" w:color="A6A6A6"/>
            </w:tcBorders>
            <w:noWrap/>
            <w:vAlign w:val="center"/>
            <w:hideMark/>
          </w:tcPr>
          <w:p w14:paraId="72EEE446" w14:textId="77777777" w:rsidR="00156F81" w:rsidRPr="00951AB1" w:rsidRDefault="00156F81" w:rsidP="000A5389">
            <w:pPr>
              <w:spacing w:line="240" w:lineRule="auto"/>
              <w:jc w:val="right"/>
              <w:rPr>
                <w:rFonts w:eastAsia="Times New Roman" w:cs="Times New Roman"/>
                <w:kern w:val="0"/>
                <w:sz w:val="18"/>
                <w:szCs w:val="18"/>
                <w:lang w:eastAsia="es-CO"/>
                <w14:ligatures w14:val="none"/>
              </w:rPr>
            </w:pPr>
            <w:r w:rsidRPr="00951AB1">
              <w:rPr>
                <w:rFonts w:eastAsia="Times New Roman" w:cs="Times New Roman"/>
                <w:kern w:val="0"/>
                <w:sz w:val="18"/>
                <w:szCs w:val="18"/>
                <w:lang w:eastAsia="es-CO"/>
                <w14:ligatures w14:val="none"/>
              </w:rPr>
              <w:t>0</w:t>
            </w:r>
          </w:p>
        </w:tc>
      </w:tr>
      <w:tr w:rsidR="005A73C0" w:rsidRPr="00951AB1" w14:paraId="179E74F5" w14:textId="77777777" w:rsidTr="00156F81">
        <w:trPr>
          <w:trHeight w:val="270"/>
        </w:trPr>
        <w:tc>
          <w:tcPr>
            <w:tcW w:w="2328" w:type="pct"/>
            <w:tcBorders>
              <w:top w:val="nil"/>
              <w:left w:val="single" w:sz="4" w:space="0" w:color="A6A6A6"/>
              <w:bottom w:val="single" w:sz="4" w:space="0" w:color="A6A6A6"/>
              <w:right w:val="nil"/>
            </w:tcBorders>
            <w:vAlign w:val="center"/>
            <w:hideMark/>
          </w:tcPr>
          <w:p w14:paraId="23FE899B" w14:textId="77777777" w:rsidR="00156F81" w:rsidRPr="00951AB1" w:rsidRDefault="00156F81" w:rsidP="000A5389">
            <w:pPr>
              <w:spacing w:line="240" w:lineRule="auto"/>
              <w:rPr>
                <w:rFonts w:eastAsia="Times New Roman" w:cs="Times New Roman"/>
                <w:b/>
                <w:bCs/>
                <w:kern w:val="0"/>
                <w:sz w:val="18"/>
                <w:szCs w:val="18"/>
                <w:lang w:eastAsia="es-CO"/>
                <w14:ligatures w14:val="none"/>
              </w:rPr>
            </w:pPr>
            <w:r w:rsidRPr="00951AB1">
              <w:rPr>
                <w:rFonts w:eastAsia="Times New Roman" w:cs="Times New Roman"/>
                <w:b/>
                <w:bCs/>
                <w:kern w:val="0"/>
                <w:sz w:val="18"/>
                <w:szCs w:val="18"/>
                <w:lang w:eastAsia="es-CO"/>
                <w14:ligatures w14:val="none"/>
              </w:rPr>
              <w:t>Valor en libros PPE en Concesión</w:t>
            </w:r>
          </w:p>
        </w:tc>
        <w:tc>
          <w:tcPr>
            <w:tcW w:w="882" w:type="pct"/>
            <w:tcBorders>
              <w:top w:val="nil"/>
              <w:left w:val="single" w:sz="4" w:space="0" w:color="A6A6A6"/>
              <w:bottom w:val="single" w:sz="4" w:space="0" w:color="A6A6A6"/>
              <w:right w:val="single" w:sz="4" w:space="0" w:color="A6A6A6"/>
            </w:tcBorders>
            <w:noWrap/>
            <w:vAlign w:val="center"/>
            <w:hideMark/>
          </w:tcPr>
          <w:p w14:paraId="76F1D792" w14:textId="77777777" w:rsidR="00156F81" w:rsidRPr="00951AB1" w:rsidRDefault="00156F81" w:rsidP="000A5389">
            <w:pPr>
              <w:spacing w:line="240" w:lineRule="auto"/>
              <w:jc w:val="right"/>
              <w:rPr>
                <w:rFonts w:eastAsia="Times New Roman" w:cs="Times New Roman"/>
                <w:b/>
                <w:bCs/>
                <w:kern w:val="0"/>
                <w:sz w:val="18"/>
                <w:szCs w:val="18"/>
                <w:lang w:eastAsia="es-CO"/>
                <w14:ligatures w14:val="none"/>
              </w:rPr>
            </w:pPr>
            <w:r w:rsidRPr="00951AB1">
              <w:rPr>
                <w:rFonts w:eastAsia="Times New Roman" w:cs="Times New Roman"/>
                <w:b/>
                <w:bCs/>
                <w:kern w:val="0"/>
                <w:sz w:val="18"/>
                <w:szCs w:val="18"/>
                <w:lang w:eastAsia="es-CO"/>
                <w14:ligatures w14:val="none"/>
              </w:rPr>
              <w:t>3.464.580.199.148</w:t>
            </w:r>
          </w:p>
        </w:tc>
        <w:tc>
          <w:tcPr>
            <w:tcW w:w="882" w:type="pct"/>
            <w:tcBorders>
              <w:top w:val="nil"/>
              <w:left w:val="nil"/>
              <w:bottom w:val="single" w:sz="4" w:space="0" w:color="A6A6A6"/>
              <w:right w:val="single" w:sz="4" w:space="0" w:color="A6A6A6"/>
            </w:tcBorders>
            <w:noWrap/>
            <w:vAlign w:val="center"/>
            <w:hideMark/>
          </w:tcPr>
          <w:p w14:paraId="36E7FB31" w14:textId="77777777" w:rsidR="00156F81" w:rsidRPr="00951AB1" w:rsidRDefault="00156F81" w:rsidP="000A5389">
            <w:pPr>
              <w:spacing w:line="240" w:lineRule="auto"/>
              <w:jc w:val="right"/>
              <w:rPr>
                <w:rFonts w:eastAsia="Times New Roman" w:cs="Times New Roman"/>
                <w:b/>
                <w:bCs/>
                <w:kern w:val="0"/>
                <w:sz w:val="18"/>
                <w:szCs w:val="18"/>
                <w:lang w:eastAsia="es-CO"/>
                <w14:ligatures w14:val="none"/>
              </w:rPr>
            </w:pPr>
            <w:r w:rsidRPr="00951AB1">
              <w:rPr>
                <w:rFonts w:eastAsia="Times New Roman" w:cs="Times New Roman"/>
                <w:b/>
                <w:bCs/>
                <w:kern w:val="0"/>
                <w:sz w:val="18"/>
                <w:szCs w:val="18"/>
                <w:lang w:eastAsia="es-CO"/>
                <w14:ligatures w14:val="none"/>
              </w:rPr>
              <w:t>2.979.007.600.215</w:t>
            </w:r>
          </w:p>
        </w:tc>
        <w:tc>
          <w:tcPr>
            <w:tcW w:w="907" w:type="pct"/>
            <w:tcBorders>
              <w:top w:val="nil"/>
              <w:left w:val="nil"/>
              <w:bottom w:val="single" w:sz="4" w:space="0" w:color="A6A6A6"/>
              <w:right w:val="single" w:sz="4" w:space="0" w:color="A6A6A6"/>
            </w:tcBorders>
            <w:noWrap/>
            <w:vAlign w:val="center"/>
            <w:hideMark/>
          </w:tcPr>
          <w:p w14:paraId="7C9C6A14" w14:textId="77777777" w:rsidR="00156F81" w:rsidRPr="00951AB1" w:rsidRDefault="00156F81" w:rsidP="000A5389">
            <w:pPr>
              <w:spacing w:line="240" w:lineRule="auto"/>
              <w:jc w:val="right"/>
              <w:rPr>
                <w:rFonts w:eastAsia="Times New Roman" w:cs="Times New Roman"/>
                <w:b/>
                <w:bCs/>
                <w:kern w:val="0"/>
                <w:sz w:val="18"/>
                <w:szCs w:val="18"/>
                <w:lang w:eastAsia="es-CO"/>
                <w14:ligatures w14:val="none"/>
              </w:rPr>
            </w:pPr>
            <w:r w:rsidRPr="00951AB1">
              <w:rPr>
                <w:rFonts w:eastAsia="Times New Roman" w:cs="Times New Roman"/>
                <w:b/>
                <w:bCs/>
                <w:kern w:val="0"/>
                <w:sz w:val="18"/>
                <w:szCs w:val="18"/>
                <w:lang w:eastAsia="es-CO"/>
                <w14:ligatures w14:val="none"/>
              </w:rPr>
              <w:t>485.572.598.932</w:t>
            </w:r>
          </w:p>
        </w:tc>
      </w:tr>
      <w:tr w:rsidR="005A73C0" w:rsidRPr="00951AB1" w14:paraId="5F084BB9" w14:textId="77777777" w:rsidTr="00156F81">
        <w:trPr>
          <w:trHeight w:val="278"/>
        </w:trPr>
        <w:tc>
          <w:tcPr>
            <w:tcW w:w="2328" w:type="pct"/>
            <w:tcBorders>
              <w:top w:val="nil"/>
              <w:left w:val="single" w:sz="4" w:space="0" w:color="A6A6A6"/>
              <w:bottom w:val="single" w:sz="4" w:space="0" w:color="A6A6A6"/>
              <w:right w:val="nil"/>
            </w:tcBorders>
            <w:vAlign w:val="center"/>
            <w:hideMark/>
          </w:tcPr>
          <w:p w14:paraId="34F99FDD" w14:textId="77777777" w:rsidR="00156F81" w:rsidRPr="00951AB1" w:rsidRDefault="00156F81" w:rsidP="000A5389">
            <w:pPr>
              <w:spacing w:line="240" w:lineRule="auto"/>
              <w:rPr>
                <w:rFonts w:eastAsia="Times New Roman" w:cs="Times New Roman"/>
                <w:kern w:val="0"/>
                <w:sz w:val="18"/>
                <w:szCs w:val="18"/>
                <w:lang w:eastAsia="es-CO"/>
                <w14:ligatures w14:val="none"/>
              </w:rPr>
            </w:pPr>
            <w:r w:rsidRPr="00951AB1">
              <w:rPr>
                <w:rFonts w:eastAsia="Times New Roman" w:cs="Times New Roman"/>
                <w:kern w:val="0"/>
                <w:sz w:val="18"/>
                <w:szCs w:val="18"/>
                <w:lang w:eastAsia="es-CO"/>
                <w14:ligatures w14:val="none"/>
              </w:rPr>
              <w:t>Activos intangibles en concesión</w:t>
            </w:r>
          </w:p>
        </w:tc>
        <w:tc>
          <w:tcPr>
            <w:tcW w:w="882" w:type="pct"/>
            <w:tcBorders>
              <w:top w:val="nil"/>
              <w:left w:val="single" w:sz="4" w:space="0" w:color="A6A6A6"/>
              <w:bottom w:val="single" w:sz="4" w:space="0" w:color="A6A6A6"/>
              <w:right w:val="single" w:sz="4" w:space="0" w:color="A6A6A6"/>
            </w:tcBorders>
            <w:noWrap/>
            <w:vAlign w:val="center"/>
            <w:hideMark/>
          </w:tcPr>
          <w:p w14:paraId="6776B85A" w14:textId="77777777" w:rsidR="00156F81" w:rsidRPr="00951AB1" w:rsidRDefault="00156F81" w:rsidP="000A5389">
            <w:pPr>
              <w:spacing w:line="240" w:lineRule="auto"/>
              <w:jc w:val="right"/>
              <w:rPr>
                <w:rFonts w:eastAsia="Times New Roman" w:cs="Times New Roman"/>
                <w:kern w:val="0"/>
                <w:sz w:val="18"/>
                <w:szCs w:val="18"/>
                <w:lang w:eastAsia="es-CO"/>
                <w14:ligatures w14:val="none"/>
              </w:rPr>
            </w:pPr>
            <w:r w:rsidRPr="00951AB1">
              <w:rPr>
                <w:rFonts w:eastAsia="Times New Roman" w:cs="Times New Roman"/>
                <w:kern w:val="0"/>
                <w:sz w:val="18"/>
                <w:szCs w:val="18"/>
                <w:lang w:eastAsia="es-CO"/>
                <w14:ligatures w14:val="none"/>
              </w:rPr>
              <w:t>168.867.833.532</w:t>
            </w:r>
          </w:p>
        </w:tc>
        <w:tc>
          <w:tcPr>
            <w:tcW w:w="882" w:type="pct"/>
            <w:tcBorders>
              <w:top w:val="nil"/>
              <w:left w:val="nil"/>
              <w:bottom w:val="single" w:sz="4" w:space="0" w:color="A6A6A6"/>
              <w:right w:val="single" w:sz="4" w:space="0" w:color="A6A6A6"/>
            </w:tcBorders>
            <w:noWrap/>
            <w:vAlign w:val="center"/>
            <w:hideMark/>
          </w:tcPr>
          <w:p w14:paraId="508B3115" w14:textId="77777777" w:rsidR="00156F81" w:rsidRPr="00951AB1" w:rsidRDefault="00156F81" w:rsidP="000A5389">
            <w:pPr>
              <w:spacing w:line="240" w:lineRule="auto"/>
              <w:jc w:val="right"/>
              <w:rPr>
                <w:rFonts w:eastAsia="Times New Roman" w:cs="Times New Roman"/>
                <w:kern w:val="0"/>
                <w:sz w:val="18"/>
                <w:szCs w:val="18"/>
                <w:lang w:eastAsia="es-CO"/>
                <w14:ligatures w14:val="none"/>
              </w:rPr>
            </w:pPr>
            <w:r w:rsidRPr="00951AB1">
              <w:rPr>
                <w:rFonts w:eastAsia="Times New Roman" w:cs="Times New Roman"/>
                <w:kern w:val="0"/>
                <w:sz w:val="18"/>
                <w:szCs w:val="18"/>
                <w:lang w:eastAsia="es-CO"/>
                <w14:ligatures w14:val="none"/>
              </w:rPr>
              <w:t>178.539.931.142</w:t>
            </w:r>
          </w:p>
        </w:tc>
        <w:tc>
          <w:tcPr>
            <w:tcW w:w="907" w:type="pct"/>
            <w:tcBorders>
              <w:top w:val="nil"/>
              <w:left w:val="nil"/>
              <w:bottom w:val="single" w:sz="4" w:space="0" w:color="A6A6A6"/>
              <w:right w:val="single" w:sz="4" w:space="0" w:color="A6A6A6"/>
            </w:tcBorders>
            <w:noWrap/>
            <w:vAlign w:val="center"/>
            <w:hideMark/>
          </w:tcPr>
          <w:p w14:paraId="06E6CB0C" w14:textId="77777777" w:rsidR="00156F81" w:rsidRPr="00951AB1" w:rsidRDefault="00156F81" w:rsidP="000A5389">
            <w:pPr>
              <w:spacing w:line="240" w:lineRule="auto"/>
              <w:jc w:val="right"/>
              <w:rPr>
                <w:rFonts w:eastAsia="Times New Roman" w:cs="Times New Roman"/>
                <w:kern w:val="0"/>
                <w:sz w:val="18"/>
                <w:szCs w:val="18"/>
                <w:lang w:eastAsia="es-CO"/>
                <w14:ligatures w14:val="none"/>
              </w:rPr>
            </w:pPr>
            <w:r w:rsidRPr="00951AB1">
              <w:rPr>
                <w:rFonts w:eastAsia="Times New Roman" w:cs="Times New Roman"/>
                <w:kern w:val="0"/>
                <w:sz w:val="18"/>
                <w:szCs w:val="18"/>
                <w:lang w:eastAsia="es-CO"/>
                <w14:ligatures w14:val="none"/>
              </w:rPr>
              <w:t>-9.672.097.609</w:t>
            </w:r>
          </w:p>
        </w:tc>
      </w:tr>
      <w:tr w:rsidR="005A73C0" w:rsidRPr="00951AB1" w14:paraId="164C3D08" w14:textId="77777777" w:rsidTr="00156F81">
        <w:trPr>
          <w:trHeight w:val="278"/>
        </w:trPr>
        <w:tc>
          <w:tcPr>
            <w:tcW w:w="2328" w:type="pct"/>
            <w:tcBorders>
              <w:top w:val="nil"/>
              <w:left w:val="single" w:sz="4" w:space="0" w:color="A6A6A6"/>
              <w:bottom w:val="single" w:sz="4" w:space="0" w:color="A6A6A6"/>
              <w:right w:val="nil"/>
            </w:tcBorders>
            <w:vAlign w:val="center"/>
            <w:hideMark/>
          </w:tcPr>
          <w:p w14:paraId="5C4DD32B" w14:textId="77777777" w:rsidR="00156F81" w:rsidRPr="00951AB1" w:rsidRDefault="00156F81" w:rsidP="000A5389">
            <w:pPr>
              <w:spacing w:line="240" w:lineRule="auto"/>
              <w:rPr>
                <w:rFonts w:eastAsia="Times New Roman" w:cs="Times New Roman"/>
                <w:kern w:val="0"/>
                <w:sz w:val="18"/>
                <w:szCs w:val="18"/>
                <w:lang w:eastAsia="es-CO"/>
                <w14:ligatures w14:val="none"/>
              </w:rPr>
            </w:pPr>
            <w:r w:rsidRPr="00951AB1">
              <w:rPr>
                <w:rFonts w:eastAsia="Times New Roman" w:cs="Times New Roman"/>
                <w:kern w:val="0"/>
                <w:sz w:val="18"/>
                <w:szCs w:val="18"/>
                <w:lang w:eastAsia="es-CO"/>
                <w14:ligatures w14:val="none"/>
              </w:rPr>
              <w:t>Amortización acumulada: Activos intangibles en concesión (cr)</w:t>
            </w:r>
          </w:p>
        </w:tc>
        <w:tc>
          <w:tcPr>
            <w:tcW w:w="882" w:type="pct"/>
            <w:tcBorders>
              <w:top w:val="nil"/>
              <w:left w:val="single" w:sz="4" w:space="0" w:color="A6A6A6"/>
              <w:bottom w:val="single" w:sz="4" w:space="0" w:color="A6A6A6"/>
              <w:right w:val="single" w:sz="4" w:space="0" w:color="A6A6A6"/>
            </w:tcBorders>
            <w:noWrap/>
            <w:vAlign w:val="center"/>
            <w:hideMark/>
          </w:tcPr>
          <w:p w14:paraId="30AB0618" w14:textId="77777777" w:rsidR="00156F81" w:rsidRPr="00951AB1" w:rsidRDefault="00156F81" w:rsidP="000A5389">
            <w:pPr>
              <w:spacing w:line="240" w:lineRule="auto"/>
              <w:jc w:val="right"/>
              <w:rPr>
                <w:rFonts w:eastAsia="Times New Roman" w:cs="Times New Roman"/>
                <w:kern w:val="0"/>
                <w:sz w:val="18"/>
                <w:szCs w:val="18"/>
                <w:lang w:eastAsia="es-CO"/>
                <w14:ligatures w14:val="none"/>
              </w:rPr>
            </w:pPr>
            <w:r w:rsidRPr="00951AB1">
              <w:rPr>
                <w:rFonts w:eastAsia="Times New Roman" w:cs="Times New Roman"/>
                <w:kern w:val="0"/>
                <w:sz w:val="18"/>
                <w:szCs w:val="18"/>
                <w:lang w:eastAsia="es-CO"/>
                <w14:ligatures w14:val="none"/>
              </w:rPr>
              <w:t>-76.870.107.804</w:t>
            </w:r>
          </w:p>
        </w:tc>
        <w:tc>
          <w:tcPr>
            <w:tcW w:w="882" w:type="pct"/>
            <w:tcBorders>
              <w:top w:val="nil"/>
              <w:left w:val="nil"/>
              <w:bottom w:val="single" w:sz="4" w:space="0" w:color="A6A6A6"/>
              <w:right w:val="single" w:sz="4" w:space="0" w:color="A6A6A6"/>
            </w:tcBorders>
            <w:noWrap/>
            <w:vAlign w:val="center"/>
            <w:hideMark/>
          </w:tcPr>
          <w:p w14:paraId="2C1588A8" w14:textId="77777777" w:rsidR="00156F81" w:rsidRPr="00951AB1" w:rsidRDefault="00156F81" w:rsidP="000A5389">
            <w:pPr>
              <w:spacing w:line="240" w:lineRule="auto"/>
              <w:jc w:val="right"/>
              <w:rPr>
                <w:rFonts w:eastAsia="Times New Roman" w:cs="Times New Roman"/>
                <w:kern w:val="0"/>
                <w:sz w:val="18"/>
                <w:szCs w:val="18"/>
                <w:lang w:eastAsia="es-CO"/>
                <w14:ligatures w14:val="none"/>
              </w:rPr>
            </w:pPr>
            <w:r w:rsidRPr="00951AB1">
              <w:rPr>
                <w:rFonts w:eastAsia="Times New Roman" w:cs="Times New Roman"/>
                <w:kern w:val="0"/>
                <w:sz w:val="18"/>
                <w:szCs w:val="18"/>
                <w:lang w:eastAsia="es-CO"/>
                <w14:ligatures w14:val="none"/>
              </w:rPr>
              <w:t>-74.638.102.000</w:t>
            </w:r>
          </w:p>
        </w:tc>
        <w:tc>
          <w:tcPr>
            <w:tcW w:w="907" w:type="pct"/>
            <w:tcBorders>
              <w:top w:val="nil"/>
              <w:left w:val="nil"/>
              <w:bottom w:val="single" w:sz="4" w:space="0" w:color="A6A6A6"/>
              <w:right w:val="single" w:sz="4" w:space="0" w:color="A6A6A6"/>
            </w:tcBorders>
            <w:noWrap/>
            <w:vAlign w:val="center"/>
            <w:hideMark/>
          </w:tcPr>
          <w:p w14:paraId="512868E0" w14:textId="77777777" w:rsidR="00156F81" w:rsidRPr="00951AB1" w:rsidRDefault="00156F81" w:rsidP="000A5389">
            <w:pPr>
              <w:spacing w:line="240" w:lineRule="auto"/>
              <w:jc w:val="right"/>
              <w:rPr>
                <w:rFonts w:eastAsia="Times New Roman" w:cs="Times New Roman"/>
                <w:kern w:val="0"/>
                <w:sz w:val="18"/>
                <w:szCs w:val="18"/>
                <w:lang w:eastAsia="es-CO"/>
                <w14:ligatures w14:val="none"/>
              </w:rPr>
            </w:pPr>
            <w:r w:rsidRPr="00951AB1">
              <w:rPr>
                <w:rFonts w:eastAsia="Times New Roman" w:cs="Times New Roman"/>
                <w:kern w:val="0"/>
                <w:sz w:val="18"/>
                <w:szCs w:val="18"/>
                <w:lang w:eastAsia="es-CO"/>
                <w14:ligatures w14:val="none"/>
              </w:rPr>
              <w:t>-2.232.005.805</w:t>
            </w:r>
          </w:p>
        </w:tc>
      </w:tr>
      <w:tr w:rsidR="005A73C0" w:rsidRPr="00951AB1" w14:paraId="4A39FFAB" w14:textId="77777777" w:rsidTr="00156F81">
        <w:trPr>
          <w:trHeight w:val="278"/>
        </w:trPr>
        <w:tc>
          <w:tcPr>
            <w:tcW w:w="2328" w:type="pct"/>
            <w:tcBorders>
              <w:top w:val="nil"/>
              <w:left w:val="single" w:sz="4" w:space="0" w:color="A6A6A6"/>
              <w:bottom w:val="single" w:sz="4" w:space="0" w:color="A6A6A6"/>
              <w:right w:val="nil"/>
            </w:tcBorders>
            <w:vAlign w:val="center"/>
            <w:hideMark/>
          </w:tcPr>
          <w:p w14:paraId="05CE25B7" w14:textId="77777777" w:rsidR="00156F81" w:rsidRPr="00951AB1" w:rsidRDefault="00156F81" w:rsidP="000A5389">
            <w:pPr>
              <w:spacing w:line="240" w:lineRule="auto"/>
              <w:rPr>
                <w:rFonts w:eastAsia="Times New Roman" w:cs="Times New Roman"/>
                <w:kern w:val="0"/>
                <w:sz w:val="18"/>
                <w:szCs w:val="18"/>
                <w:lang w:eastAsia="es-CO"/>
                <w14:ligatures w14:val="none"/>
              </w:rPr>
            </w:pPr>
            <w:r w:rsidRPr="00951AB1">
              <w:rPr>
                <w:rFonts w:eastAsia="Times New Roman" w:cs="Times New Roman"/>
                <w:kern w:val="0"/>
                <w:sz w:val="18"/>
                <w:szCs w:val="18"/>
                <w:lang w:eastAsia="es-CO"/>
                <w14:ligatures w14:val="none"/>
              </w:rPr>
              <w:t>Deterioro acumulado: Activos intangibles en concesión</w:t>
            </w:r>
          </w:p>
        </w:tc>
        <w:tc>
          <w:tcPr>
            <w:tcW w:w="882" w:type="pct"/>
            <w:tcBorders>
              <w:top w:val="nil"/>
              <w:left w:val="single" w:sz="4" w:space="0" w:color="A6A6A6"/>
              <w:bottom w:val="single" w:sz="4" w:space="0" w:color="A6A6A6"/>
              <w:right w:val="single" w:sz="4" w:space="0" w:color="A6A6A6"/>
            </w:tcBorders>
            <w:noWrap/>
            <w:vAlign w:val="center"/>
            <w:hideMark/>
          </w:tcPr>
          <w:p w14:paraId="50898DBC" w14:textId="77777777" w:rsidR="00156F81" w:rsidRPr="00951AB1" w:rsidRDefault="00156F81" w:rsidP="000A5389">
            <w:pPr>
              <w:spacing w:line="240" w:lineRule="auto"/>
              <w:jc w:val="right"/>
              <w:rPr>
                <w:rFonts w:eastAsia="Times New Roman" w:cs="Times New Roman"/>
                <w:kern w:val="0"/>
                <w:sz w:val="18"/>
                <w:szCs w:val="18"/>
                <w:lang w:eastAsia="es-CO"/>
                <w14:ligatures w14:val="none"/>
              </w:rPr>
            </w:pPr>
            <w:r w:rsidRPr="00951AB1">
              <w:rPr>
                <w:rFonts w:eastAsia="Times New Roman" w:cs="Times New Roman"/>
                <w:kern w:val="0"/>
                <w:sz w:val="18"/>
                <w:szCs w:val="18"/>
                <w:lang w:eastAsia="es-CO"/>
                <w14:ligatures w14:val="none"/>
              </w:rPr>
              <w:t>0</w:t>
            </w:r>
          </w:p>
        </w:tc>
        <w:tc>
          <w:tcPr>
            <w:tcW w:w="882" w:type="pct"/>
            <w:tcBorders>
              <w:top w:val="nil"/>
              <w:left w:val="nil"/>
              <w:bottom w:val="single" w:sz="4" w:space="0" w:color="A6A6A6"/>
              <w:right w:val="single" w:sz="4" w:space="0" w:color="A6A6A6"/>
            </w:tcBorders>
            <w:noWrap/>
            <w:vAlign w:val="center"/>
            <w:hideMark/>
          </w:tcPr>
          <w:p w14:paraId="480F3E3D" w14:textId="77777777" w:rsidR="00156F81" w:rsidRPr="00951AB1" w:rsidRDefault="00156F81" w:rsidP="000A5389">
            <w:pPr>
              <w:spacing w:line="240" w:lineRule="auto"/>
              <w:jc w:val="right"/>
              <w:rPr>
                <w:rFonts w:eastAsia="Times New Roman" w:cs="Times New Roman"/>
                <w:kern w:val="0"/>
                <w:sz w:val="18"/>
                <w:szCs w:val="18"/>
                <w:lang w:eastAsia="es-CO"/>
                <w14:ligatures w14:val="none"/>
              </w:rPr>
            </w:pPr>
            <w:r w:rsidRPr="00951AB1">
              <w:rPr>
                <w:rFonts w:eastAsia="Times New Roman" w:cs="Times New Roman"/>
                <w:kern w:val="0"/>
                <w:sz w:val="18"/>
                <w:szCs w:val="18"/>
                <w:lang w:eastAsia="es-CO"/>
                <w14:ligatures w14:val="none"/>
              </w:rPr>
              <w:t>0</w:t>
            </w:r>
          </w:p>
        </w:tc>
        <w:tc>
          <w:tcPr>
            <w:tcW w:w="907" w:type="pct"/>
            <w:tcBorders>
              <w:top w:val="nil"/>
              <w:left w:val="nil"/>
              <w:bottom w:val="single" w:sz="4" w:space="0" w:color="A6A6A6"/>
              <w:right w:val="single" w:sz="4" w:space="0" w:color="A6A6A6"/>
            </w:tcBorders>
            <w:noWrap/>
            <w:vAlign w:val="center"/>
            <w:hideMark/>
          </w:tcPr>
          <w:p w14:paraId="0BD374F1" w14:textId="77777777" w:rsidR="00156F81" w:rsidRPr="00951AB1" w:rsidRDefault="00156F81" w:rsidP="000A5389">
            <w:pPr>
              <w:spacing w:line="240" w:lineRule="auto"/>
              <w:jc w:val="right"/>
              <w:rPr>
                <w:rFonts w:eastAsia="Times New Roman" w:cs="Times New Roman"/>
                <w:kern w:val="0"/>
                <w:sz w:val="18"/>
                <w:szCs w:val="18"/>
                <w:lang w:eastAsia="es-CO"/>
                <w14:ligatures w14:val="none"/>
              </w:rPr>
            </w:pPr>
            <w:r w:rsidRPr="00951AB1">
              <w:rPr>
                <w:rFonts w:eastAsia="Times New Roman" w:cs="Times New Roman"/>
                <w:kern w:val="0"/>
                <w:sz w:val="18"/>
                <w:szCs w:val="18"/>
                <w:lang w:eastAsia="es-CO"/>
                <w14:ligatures w14:val="none"/>
              </w:rPr>
              <w:t>0</w:t>
            </w:r>
          </w:p>
        </w:tc>
      </w:tr>
      <w:tr w:rsidR="005A73C0" w:rsidRPr="00951AB1" w14:paraId="1F700D34" w14:textId="77777777" w:rsidTr="00156F81">
        <w:trPr>
          <w:trHeight w:val="270"/>
        </w:trPr>
        <w:tc>
          <w:tcPr>
            <w:tcW w:w="2328" w:type="pct"/>
            <w:tcBorders>
              <w:top w:val="nil"/>
              <w:left w:val="single" w:sz="4" w:space="0" w:color="A6A6A6"/>
              <w:bottom w:val="single" w:sz="4" w:space="0" w:color="A6A6A6"/>
              <w:right w:val="nil"/>
            </w:tcBorders>
            <w:vAlign w:val="center"/>
            <w:hideMark/>
          </w:tcPr>
          <w:p w14:paraId="2E120CDA" w14:textId="77777777" w:rsidR="00156F81" w:rsidRPr="00951AB1" w:rsidRDefault="00156F81" w:rsidP="000A5389">
            <w:pPr>
              <w:spacing w:line="240" w:lineRule="auto"/>
              <w:rPr>
                <w:rFonts w:eastAsia="Times New Roman" w:cs="Times New Roman"/>
                <w:b/>
                <w:bCs/>
                <w:kern w:val="0"/>
                <w:sz w:val="18"/>
                <w:szCs w:val="18"/>
                <w:lang w:eastAsia="es-CO"/>
                <w14:ligatures w14:val="none"/>
              </w:rPr>
            </w:pPr>
            <w:r w:rsidRPr="00951AB1">
              <w:rPr>
                <w:rFonts w:eastAsia="Times New Roman" w:cs="Times New Roman"/>
                <w:b/>
                <w:bCs/>
                <w:kern w:val="0"/>
                <w:sz w:val="18"/>
                <w:szCs w:val="18"/>
                <w:lang w:eastAsia="es-CO"/>
                <w14:ligatures w14:val="none"/>
              </w:rPr>
              <w:t>Valor en libros Intangibles en Concesiones</w:t>
            </w:r>
          </w:p>
        </w:tc>
        <w:tc>
          <w:tcPr>
            <w:tcW w:w="882" w:type="pct"/>
            <w:tcBorders>
              <w:top w:val="nil"/>
              <w:left w:val="single" w:sz="4" w:space="0" w:color="A6A6A6"/>
              <w:bottom w:val="single" w:sz="4" w:space="0" w:color="A6A6A6"/>
              <w:right w:val="single" w:sz="4" w:space="0" w:color="A6A6A6"/>
            </w:tcBorders>
            <w:noWrap/>
            <w:vAlign w:val="center"/>
            <w:hideMark/>
          </w:tcPr>
          <w:p w14:paraId="0583D6D9" w14:textId="77777777" w:rsidR="00156F81" w:rsidRPr="00951AB1" w:rsidRDefault="00156F81" w:rsidP="000A5389">
            <w:pPr>
              <w:spacing w:line="240" w:lineRule="auto"/>
              <w:jc w:val="right"/>
              <w:rPr>
                <w:rFonts w:eastAsia="Times New Roman" w:cs="Times New Roman"/>
                <w:b/>
                <w:bCs/>
                <w:kern w:val="0"/>
                <w:sz w:val="18"/>
                <w:szCs w:val="18"/>
                <w:lang w:eastAsia="es-CO"/>
                <w14:ligatures w14:val="none"/>
              </w:rPr>
            </w:pPr>
            <w:r w:rsidRPr="00951AB1">
              <w:rPr>
                <w:rFonts w:eastAsia="Times New Roman" w:cs="Times New Roman"/>
                <w:b/>
                <w:bCs/>
                <w:kern w:val="0"/>
                <w:sz w:val="18"/>
                <w:szCs w:val="18"/>
                <w:lang w:eastAsia="es-CO"/>
                <w14:ligatures w14:val="none"/>
              </w:rPr>
              <w:t>91.997.725.728</w:t>
            </w:r>
          </w:p>
        </w:tc>
        <w:tc>
          <w:tcPr>
            <w:tcW w:w="882" w:type="pct"/>
            <w:tcBorders>
              <w:top w:val="nil"/>
              <w:left w:val="nil"/>
              <w:bottom w:val="single" w:sz="4" w:space="0" w:color="A6A6A6"/>
              <w:right w:val="single" w:sz="4" w:space="0" w:color="A6A6A6"/>
            </w:tcBorders>
            <w:noWrap/>
            <w:vAlign w:val="center"/>
            <w:hideMark/>
          </w:tcPr>
          <w:p w14:paraId="2DD5F988" w14:textId="77777777" w:rsidR="00156F81" w:rsidRPr="00951AB1" w:rsidRDefault="00156F81" w:rsidP="000A5389">
            <w:pPr>
              <w:spacing w:line="240" w:lineRule="auto"/>
              <w:jc w:val="right"/>
              <w:rPr>
                <w:rFonts w:eastAsia="Times New Roman" w:cs="Times New Roman"/>
                <w:b/>
                <w:bCs/>
                <w:kern w:val="0"/>
                <w:sz w:val="18"/>
                <w:szCs w:val="18"/>
                <w:lang w:eastAsia="es-CO"/>
                <w14:ligatures w14:val="none"/>
              </w:rPr>
            </w:pPr>
            <w:r w:rsidRPr="00951AB1">
              <w:rPr>
                <w:rFonts w:eastAsia="Times New Roman" w:cs="Times New Roman"/>
                <w:b/>
                <w:bCs/>
                <w:kern w:val="0"/>
                <w:sz w:val="18"/>
                <w:szCs w:val="18"/>
                <w:lang w:eastAsia="es-CO"/>
                <w14:ligatures w14:val="none"/>
              </w:rPr>
              <w:t>103.901.829.142</w:t>
            </w:r>
          </w:p>
        </w:tc>
        <w:tc>
          <w:tcPr>
            <w:tcW w:w="907" w:type="pct"/>
            <w:tcBorders>
              <w:top w:val="nil"/>
              <w:left w:val="nil"/>
              <w:bottom w:val="single" w:sz="4" w:space="0" w:color="A6A6A6"/>
              <w:right w:val="single" w:sz="4" w:space="0" w:color="A6A6A6"/>
            </w:tcBorders>
            <w:noWrap/>
            <w:vAlign w:val="center"/>
            <w:hideMark/>
          </w:tcPr>
          <w:p w14:paraId="04D2A0D0" w14:textId="77777777" w:rsidR="00156F81" w:rsidRPr="00951AB1" w:rsidRDefault="00156F81" w:rsidP="000A5389">
            <w:pPr>
              <w:spacing w:line="240" w:lineRule="auto"/>
              <w:jc w:val="right"/>
              <w:rPr>
                <w:rFonts w:eastAsia="Times New Roman" w:cs="Times New Roman"/>
                <w:b/>
                <w:bCs/>
                <w:kern w:val="0"/>
                <w:sz w:val="18"/>
                <w:szCs w:val="18"/>
                <w:lang w:eastAsia="es-CO"/>
                <w14:ligatures w14:val="none"/>
              </w:rPr>
            </w:pPr>
            <w:r w:rsidRPr="00951AB1">
              <w:rPr>
                <w:rFonts w:eastAsia="Times New Roman" w:cs="Times New Roman"/>
                <w:b/>
                <w:bCs/>
                <w:kern w:val="0"/>
                <w:sz w:val="18"/>
                <w:szCs w:val="18"/>
                <w:lang w:eastAsia="es-CO"/>
                <w14:ligatures w14:val="none"/>
              </w:rPr>
              <w:t>-11.904.103.414</w:t>
            </w:r>
          </w:p>
        </w:tc>
      </w:tr>
      <w:tr w:rsidR="005A73C0" w:rsidRPr="00951AB1" w14:paraId="0DA1CE95" w14:textId="77777777" w:rsidTr="00156F81">
        <w:trPr>
          <w:trHeight w:val="555"/>
        </w:trPr>
        <w:tc>
          <w:tcPr>
            <w:tcW w:w="2328" w:type="pct"/>
            <w:tcBorders>
              <w:top w:val="nil"/>
              <w:left w:val="single" w:sz="4" w:space="0" w:color="A6A6A6"/>
              <w:bottom w:val="single" w:sz="4" w:space="0" w:color="A6A6A6"/>
              <w:right w:val="nil"/>
            </w:tcBorders>
            <w:vAlign w:val="center"/>
            <w:hideMark/>
          </w:tcPr>
          <w:p w14:paraId="28B73BDD" w14:textId="77777777" w:rsidR="00156F81" w:rsidRPr="00951AB1" w:rsidRDefault="00156F81" w:rsidP="000A5389">
            <w:pPr>
              <w:spacing w:line="240" w:lineRule="auto"/>
              <w:rPr>
                <w:rFonts w:eastAsia="Times New Roman" w:cs="Times New Roman"/>
                <w:kern w:val="0"/>
                <w:sz w:val="18"/>
                <w:szCs w:val="18"/>
                <w:lang w:eastAsia="es-CO"/>
                <w14:ligatures w14:val="none"/>
              </w:rPr>
            </w:pPr>
            <w:r w:rsidRPr="00951AB1">
              <w:rPr>
                <w:rFonts w:eastAsia="Times New Roman" w:cs="Times New Roman"/>
                <w:kern w:val="0"/>
                <w:sz w:val="18"/>
                <w:szCs w:val="18"/>
                <w:lang w:eastAsia="es-CO"/>
                <w14:ligatures w14:val="none"/>
              </w:rPr>
              <w:t>Recursos de la entidad concedente en patrimonios autónomos constituidos por los concesionarios</w:t>
            </w:r>
          </w:p>
        </w:tc>
        <w:tc>
          <w:tcPr>
            <w:tcW w:w="882" w:type="pct"/>
            <w:tcBorders>
              <w:top w:val="nil"/>
              <w:left w:val="single" w:sz="4" w:space="0" w:color="A6A6A6"/>
              <w:bottom w:val="single" w:sz="4" w:space="0" w:color="A6A6A6"/>
              <w:right w:val="single" w:sz="4" w:space="0" w:color="A6A6A6"/>
            </w:tcBorders>
            <w:noWrap/>
            <w:vAlign w:val="center"/>
            <w:hideMark/>
          </w:tcPr>
          <w:p w14:paraId="18805B10" w14:textId="77777777" w:rsidR="00156F81" w:rsidRPr="00951AB1" w:rsidRDefault="00156F81" w:rsidP="000A5389">
            <w:pPr>
              <w:spacing w:line="240" w:lineRule="auto"/>
              <w:jc w:val="right"/>
              <w:rPr>
                <w:rFonts w:eastAsia="Times New Roman" w:cs="Times New Roman"/>
                <w:kern w:val="0"/>
                <w:sz w:val="18"/>
                <w:szCs w:val="18"/>
                <w:lang w:eastAsia="es-CO"/>
                <w14:ligatures w14:val="none"/>
              </w:rPr>
            </w:pPr>
            <w:r w:rsidRPr="00951AB1">
              <w:rPr>
                <w:rFonts w:eastAsia="Times New Roman" w:cs="Times New Roman"/>
                <w:kern w:val="0"/>
                <w:sz w:val="18"/>
                <w:szCs w:val="18"/>
                <w:lang w:eastAsia="es-CO"/>
                <w14:ligatures w14:val="none"/>
              </w:rPr>
              <w:t>9.373.615.238.693</w:t>
            </w:r>
          </w:p>
        </w:tc>
        <w:tc>
          <w:tcPr>
            <w:tcW w:w="882" w:type="pct"/>
            <w:tcBorders>
              <w:top w:val="nil"/>
              <w:left w:val="nil"/>
              <w:bottom w:val="single" w:sz="4" w:space="0" w:color="A6A6A6"/>
              <w:right w:val="single" w:sz="4" w:space="0" w:color="A6A6A6"/>
            </w:tcBorders>
            <w:noWrap/>
            <w:vAlign w:val="center"/>
            <w:hideMark/>
          </w:tcPr>
          <w:p w14:paraId="0F323D1F" w14:textId="77777777" w:rsidR="00156F81" w:rsidRPr="00951AB1" w:rsidRDefault="00156F81" w:rsidP="000A5389">
            <w:pPr>
              <w:spacing w:line="240" w:lineRule="auto"/>
              <w:jc w:val="right"/>
              <w:rPr>
                <w:rFonts w:eastAsia="Times New Roman" w:cs="Times New Roman"/>
                <w:kern w:val="0"/>
                <w:sz w:val="18"/>
                <w:szCs w:val="18"/>
                <w:lang w:eastAsia="es-CO"/>
                <w14:ligatures w14:val="none"/>
              </w:rPr>
            </w:pPr>
            <w:r w:rsidRPr="00951AB1">
              <w:rPr>
                <w:rFonts w:eastAsia="Times New Roman" w:cs="Times New Roman"/>
                <w:kern w:val="0"/>
                <w:sz w:val="18"/>
                <w:szCs w:val="18"/>
                <w:lang w:eastAsia="es-CO"/>
                <w14:ligatures w14:val="none"/>
              </w:rPr>
              <w:t>14.533.009.505.519</w:t>
            </w:r>
          </w:p>
        </w:tc>
        <w:tc>
          <w:tcPr>
            <w:tcW w:w="907" w:type="pct"/>
            <w:tcBorders>
              <w:top w:val="nil"/>
              <w:left w:val="nil"/>
              <w:bottom w:val="single" w:sz="4" w:space="0" w:color="A6A6A6"/>
              <w:right w:val="single" w:sz="4" w:space="0" w:color="A6A6A6"/>
            </w:tcBorders>
            <w:noWrap/>
            <w:vAlign w:val="center"/>
            <w:hideMark/>
          </w:tcPr>
          <w:p w14:paraId="155F8C9B" w14:textId="77777777" w:rsidR="00156F81" w:rsidRPr="00951AB1" w:rsidRDefault="00156F81" w:rsidP="000A5389">
            <w:pPr>
              <w:spacing w:line="240" w:lineRule="auto"/>
              <w:jc w:val="right"/>
              <w:rPr>
                <w:rFonts w:eastAsia="Times New Roman" w:cs="Times New Roman"/>
                <w:kern w:val="0"/>
                <w:sz w:val="18"/>
                <w:szCs w:val="18"/>
                <w:lang w:eastAsia="es-CO"/>
                <w14:ligatures w14:val="none"/>
              </w:rPr>
            </w:pPr>
            <w:r w:rsidRPr="00951AB1">
              <w:rPr>
                <w:rFonts w:eastAsia="Times New Roman" w:cs="Times New Roman"/>
                <w:kern w:val="0"/>
                <w:sz w:val="18"/>
                <w:szCs w:val="18"/>
                <w:lang w:eastAsia="es-CO"/>
                <w14:ligatures w14:val="none"/>
              </w:rPr>
              <w:t>-5.159.394.266.826</w:t>
            </w:r>
          </w:p>
        </w:tc>
      </w:tr>
      <w:tr w:rsidR="005A73C0" w:rsidRPr="00951AB1" w14:paraId="15821A1A" w14:textId="77777777" w:rsidTr="00156F81">
        <w:trPr>
          <w:trHeight w:val="270"/>
        </w:trPr>
        <w:tc>
          <w:tcPr>
            <w:tcW w:w="2328" w:type="pct"/>
            <w:tcBorders>
              <w:top w:val="nil"/>
              <w:left w:val="single" w:sz="4" w:space="0" w:color="A6A6A6"/>
              <w:bottom w:val="single" w:sz="4" w:space="0" w:color="A6A6A6"/>
              <w:right w:val="nil"/>
            </w:tcBorders>
            <w:vAlign w:val="center"/>
            <w:hideMark/>
          </w:tcPr>
          <w:p w14:paraId="137EED6B" w14:textId="77777777" w:rsidR="00156F81" w:rsidRPr="00951AB1" w:rsidRDefault="00156F81" w:rsidP="000A5389">
            <w:pPr>
              <w:spacing w:line="240" w:lineRule="auto"/>
              <w:rPr>
                <w:rFonts w:eastAsia="Times New Roman" w:cs="Times New Roman"/>
                <w:b/>
                <w:bCs/>
                <w:kern w:val="0"/>
                <w:sz w:val="18"/>
                <w:szCs w:val="18"/>
                <w:lang w:eastAsia="es-CO"/>
                <w14:ligatures w14:val="none"/>
              </w:rPr>
            </w:pPr>
            <w:r w:rsidRPr="00951AB1">
              <w:rPr>
                <w:rFonts w:eastAsia="Times New Roman" w:cs="Times New Roman"/>
                <w:b/>
                <w:bCs/>
                <w:kern w:val="0"/>
                <w:sz w:val="18"/>
                <w:szCs w:val="18"/>
                <w:lang w:eastAsia="es-CO"/>
                <w14:ligatures w14:val="none"/>
              </w:rPr>
              <w:t>ACTIVOS POR ACUERDOS DE CONCESIÓN</w:t>
            </w:r>
          </w:p>
        </w:tc>
        <w:tc>
          <w:tcPr>
            <w:tcW w:w="882" w:type="pct"/>
            <w:tcBorders>
              <w:top w:val="nil"/>
              <w:left w:val="single" w:sz="4" w:space="0" w:color="A6A6A6"/>
              <w:bottom w:val="single" w:sz="4" w:space="0" w:color="A6A6A6"/>
              <w:right w:val="single" w:sz="4" w:space="0" w:color="A6A6A6"/>
            </w:tcBorders>
            <w:noWrap/>
            <w:vAlign w:val="center"/>
            <w:hideMark/>
          </w:tcPr>
          <w:p w14:paraId="0766D9B2" w14:textId="77777777" w:rsidR="00156F81" w:rsidRPr="00951AB1" w:rsidRDefault="00156F81" w:rsidP="000A5389">
            <w:pPr>
              <w:spacing w:line="240" w:lineRule="auto"/>
              <w:jc w:val="right"/>
              <w:rPr>
                <w:rFonts w:eastAsia="Times New Roman" w:cs="Times New Roman"/>
                <w:b/>
                <w:bCs/>
                <w:kern w:val="0"/>
                <w:sz w:val="18"/>
                <w:szCs w:val="18"/>
                <w:lang w:eastAsia="es-CO"/>
                <w14:ligatures w14:val="none"/>
              </w:rPr>
            </w:pPr>
            <w:r w:rsidRPr="00951AB1">
              <w:rPr>
                <w:rFonts w:eastAsia="Times New Roman" w:cs="Times New Roman"/>
                <w:b/>
                <w:bCs/>
                <w:kern w:val="0"/>
                <w:sz w:val="18"/>
                <w:szCs w:val="18"/>
                <w:lang w:eastAsia="es-CO"/>
                <w14:ligatures w14:val="none"/>
              </w:rPr>
              <w:t>45.050.434.610.198</w:t>
            </w:r>
          </w:p>
        </w:tc>
        <w:tc>
          <w:tcPr>
            <w:tcW w:w="882" w:type="pct"/>
            <w:tcBorders>
              <w:top w:val="nil"/>
              <w:left w:val="nil"/>
              <w:bottom w:val="single" w:sz="4" w:space="0" w:color="A6A6A6"/>
              <w:right w:val="single" w:sz="4" w:space="0" w:color="A6A6A6"/>
            </w:tcBorders>
            <w:noWrap/>
            <w:vAlign w:val="center"/>
            <w:hideMark/>
          </w:tcPr>
          <w:p w14:paraId="0FBA4182" w14:textId="77777777" w:rsidR="00156F81" w:rsidRPr="00951AB1" w:rsidRDefault="00156F81" w:rsidP="000A5389">
            <w:pPr>
              <w:spacing w:line="240" w:lineRule="auto"/>
              <w:jc w:val="right"/>
              <w:rPr>
                <w:rFonts w:eastAsia="Times New Roman" w:cs="Times New Roman"/>
                <w:b/>
                <w:bCs/>
                <w:kern w:val="0"/>
                <w:sz w:val="18"/>
                <w:szCs w:val="18"/>
                <w:lang w:eastAsia="es-CO"/>
                <w14:ligatures w14:val="none"/>
              </w:rPr>
            </w:pPr>
            <w:r w:rsidRPr="00951AB1">
              <w:rPr>
                <w:rFonts w:eastAsia="Times New Roman" w:cs="Times New Roman"/>
                <w:b/>
                <w:bCs/>
                <w:kern w:val="0"/>
                <w:sz w:val="18"/>
                <w:szCs w:val="18"/>
                <w:lang w:eastAsia="es-CO"/>
                <w14:ligatures w14:val="none"/>
              </w:rPr>
              <w:t>61.256.862.221.674</w:t>
            </w:r>
          </w:p>
        </w:tc>
        <w:tc>
          <w:tcPr>
            <w:tcW w:w="907" w:type="pct"/>
            <w:tcBorders>
              <w:top w:val="nil"/>
              <w:left w:val="nil"/>
              <w:bottom w:val="single" w:sz="4" w:space="0" w:color="A6A6A6"/>
              <w:right w:val="single" w:sz="4" w:space="0" w:color="A6A6A6"/>
            </w:tcBorders>
            <w:noWrap/>
            <w:vAlign w:val="center"/>
            <w:hideMark/>
          </w:tcPr>
          <w:p w14:paraId="776FC268" w14:textId="77777777" w:rsidR="00156F81" w:rsidRPr="00951AB1" w:rsidRDefault="00156F81" w:rsidP="000A5389">
            <w:pPr>
              <w:spacing w:line="240" w:lineRule="auto"/>
              <w:jc w:val="right"/>
              <w:rPr>
                <w:rFonts w:eastAsia="Times New Roman" w:cs="Times New Roman"/>
                <w:b/>
                <w:bCs/>
                <w:kern w:val="0"/>
                <w:sz w:val="18"/>
                <w:szCs w:val="18"/>
                <w:lang w:eastAsia="es-CO"/>
                <w14:ligatures w14:val="none"/>
              </w:rPr>
            </w:pPr>
            <w:r w:rsidRPr="00951AB1">
              <w:rPr>
                <w:rFonts w:eastAsia="Times New Roman" w:cs="Times New Roman"/>
                <w:b/>
                <w:bCs/>
                <w:kern w:val="0"/>
                <w:sz w:val="18"/>
                <w:szCs w:val="18"/>
                <w:lang w:eastAsia="es-CO"/>
                <w14:ligatures w14:val="none"/>
              </w:rPr>
              <w:t>-16.206.427.611.476</w:t>
            </w:r>
          </w:p>
        </w:tc>
      </w:tr>
      <w:tr w:rsidR="005A73C0" w:rsidRPr="00951AB1" w14:paraId="5EF8C868" w14:textId="77777777" w:rsidTr="00156F81">
        <w:trPr>
          <w:trHeight w:val="278"/>
        </w:trPr>
        <w:tc>
          <w:tcPr>
            <w:tcW w:w="2328" w:type="pct"/>
            <w:tcBorders>
              <w:top w:val="nil"/>
              <w:left w:val="single" w:sz="4" w:space="0" w:color="A6A6A6"/>
              <w:bottom w:val="single" w:sz="4" w:space="0" w:color="A6A6A6"/>
              <w:right w:val="nil"/>
            </w:tcBorders>
            <w:vAlign w:val="center"/>
            <w:hideMark/>
          </w:tcPr>
          <w:p w14:paraId="3B3016E9" w14:textId="77777777" w:rsidR="00156F81" w:rsidRPr="00951AB1" w:rsidRDefault="00156F81" w:rsidP="000A5389">
            <w:pPr>
              <w:spacing w:line="240" w:lineRule="auto"/>
              <w:rPr>
                <w:rFonts w:eastAsia="Times New Roman" w:cs="Times New Roman"/>
                <w:kern w:val="0"/>
                <w:sz w:val="18"/>
                <w:szCs w:val="18"/>
                <w:lang w:eastAsia="es-CO"/>
                <w14:ligatures w14:val="none"/>
              </w:rPr>
            </w:pPr>
            <w:r w:rsidRPr="00951AB1">
              <w:rPr>
                <w:rFonts w:eastAsia="Times New Roman" w:cs="Times New Roman"/>
                <w:kern w:val="0"/>
                <w:sz w:val="18"/>
                <w:szCs w:val="18"/>
                <w:lang w:eastAsia="es-CO"/>
                <w14:ligatures w14:val="none"/>
              </w:rPr>
              <w:t>Pasivo financiero por acuerdos de concesión (concedente)</w:t>
            </w:r>
          </w:p>
        </w:tc>
        <w:tc>
          <w:tcPr>
            <w:tcW w:w="882" w:type="pct"/>
            <w:tcBorders>
              <w:top w:val="nil"/>
              <w:left w:val="single" w:sz="4" w:space="0" w:color="A6A6A6"/>
              <w:bottom w:val="single" w:sz="4" w:space="0" w:color="A6A6A6"/>
              <w:right w:val="single" w:sz="4" w:space="0" w:color="A6A6A6"/>
            </w:tcBorders>
            <w:noWrap/>
            <w:vAlign w:val="center"/>
            <w:hideMark/>
          </w:tcPr>
          <w:p w14:paraId="3EEBBCB7" w14:textId="77777777" w:rsidR="00156F81" w:rsidRPr="00951AB1" w:rsidRDefault="00156F81" w:rsidP="000A5389">
            <w:pPr>
              <w:spacing w:line="240" w:lineRule="auto"/>
              <w:jc w:val="right"/>
              <w:rPr>
                <w:rFonts w:eastAsia="Times New Roman" w:cs="Times New Roman"/>
                <w:kern w:val="0"/>
                <w:sz w:val="18"/>
                <w:szCs w:val="18"/>
                <w:lang w:eastAsia="es-CO"/>
                <w14:ligatures w14:val="none"/>
              </w:rPr>
            </w:pPr>
            <w:r w:rsidRPr="00951AB1">
              <w:rPr>
                <w:rFonts w:eastAsia="Times New Roman" w:cs="Times New Roman"/>
                <w:kern w:val="0"/>
                <w:sz w:val="18"/>
                <w:szCs w:val="18"/>
                <w:lang w:eastAsia="es-CO"/>
                <w14:ligatures w14:val="none"/>
              </w:rPr>
              <w:t>23.508.685.658.224</w:t>
            </w:r>
          </w:p>
        </w:tc>
        <w:tc>
          <w:tcPr>
            <w:tcW w:w="882" w:type="pct"/>
            <w:tcBorders>
              <w:top w:val="nil"/>
              <w:left w:val="nil"/>
              <w:bottom w:val="single" w:sz="4" w:space="0" w:color="A6A6A6"/>
              <w:right w:val="single" w:sz="4" w:space="0" w:color="A6A6A6"/>
            </w:tcBorders>
            <w:noWrap/>
            <w:vAlign w:val="center"/>
            <w:hideMark/>
          </w:tcPr>
          <w:p w14:paraId="74B38AAD" w14:textId="77777777" w:rsidR="00156F81" w:rsidRPr="00951AB1" w:rsidRDefault="00156F81" w:rsidP="000A5389">
            <w:pPr>
              <w:spacing w:line="240" w:lineRule="auto"/>
              <w:jc w:val="right"/>
              <w:rPr>
                <w:rFonts w:eastAsia="Times New Roman" w:cs="Times New Roman"/>
                <w:kern w:val="0"/>
                <w:sz w:val="18"/>
                <w:szCs w:val="18"/>
                <w:lang w:eastAsia="es-CO"/>
                <w14:ligatures w14:val="none"/>
              </w:rPr>
            </w:pPr>
            <w:r w:rsidRPr="00951AB1">
              <w:rPr>
                <w:rFonts w:eastAsia="Times New Roman" w:cs="Times New Roman"/>
                <w:kern w:val="0"/>
                <w:sz w:val="18"/>
                <w:szCs w:val="18"/>
                <w:lang w:eastAsia="es-CO"/>
                <w14:ligatures w14:val="none"/>
              </w:rPr>
              <w:t>24.162.940.907.726</w:t>
            </w:r>
          </w:p>
        </w:tc>
        <w:tc>
          <w:tcPr>
            <w:tcW w:w="907" w:type="pct"/>
            <w:tcBorders>
              <w:top w:val="nil"/>
              <w:left w:val="nil"/>
              <w:bottom w:val="single" w:sz="4" w:space="0" w:color="A6A6A6"/>
              <w:right w:val="single" w:sz="4" w:space="0" w:color="A6A6A6"/>
            </w:tcBorders>
            <w:noWrap/>
            <w:vAlign w:val="center"/>
            <w:hideMark/>
          </w:tcPr>
          <w:p w14:paraId="26DBF2A7" w14:textId="77777777" w:rsidR="00156F81" w:rsidRPr="00951AB1" w:rsidRDefault="00156F81" w:rsidP="000A5389">
            <w:pPr>
              <w:spacing w:line="240" w:lineRule="auto"/>
              <w:jc w:val="right"/>
              <w:rPr>
                <w:rFonts w:eastAsia="Times New Roman" w:cs="Times New Roman"/>
                <w:kern w:val="0"/>
                <w:sz w:val="18"/>
                <w:szCs w:val="18"/>
                <w:lang w:eastAsia="es-CO"/>
                <w14:ligatures w14:val="none"/>
              </w:rPr>
            </w:pPr>
            <w:r w:rsidRPr="00951AB1">
              <w:rPr>
                <w:rFonts w:eastAsia="Times New Roman" w:cs="Times New Roman"/>
                <w:kern w:val="0"/>
                <w:sz w:val="18"/>
                <w:szCs w:val="18"/>
                <w:lang w:eastAsia="es-CO"/>
                <w14:ligatures w14:val="none"/>
              </w:rPr>
              <w:t>-654.255.249.503</w:t>
            </w:r>
          </w:p>
        </w:tc>
      </w:tr>
      <w:tr w:rsidR="005A73C0" w:rsidRPr="00951AB1" w14:paraId="399395FA" w14:textId="77777777" w:rsidTr="00156F81">
        <w:trPr>
          <w:trHeight w:val="278"/>
        </w:trPr>
        <w:tc>
          <w:tcPr>
            <w:tcW w:w="2328" w:type="pct"/>
            <w:tcBorders>
              <w:top w:val="nil"/>
              <w:left w:val="single" w:sz="4" w:space="0" w:color="A6A6A6"/>
              <w:bottom w:val="single" w:sz="4" w:space="0" w:color="A6A6A6"/>
              <w:right w:val="nil"/>
            </w:tcBorders>
            <w:vAlign w:val="center"/>
            <w:hideMark/>
          </w:tcPr>
          <w:p w14:paraId="092D3286" w14:textId="77777777" w:rsidR="00156F81" w:rsidRPr="00951AB1" w:rsidRDefault="00156F81" w:rsidP="000A5389">
            <w:pPr>
              <w:spacing w:line="240" w:lineRule="auto"/>
              <w:rPr>
                <w:rFonts w:eastAsia="Times New Roman" w:cs="Times New Roman"/>
                <w:kern w:val="0"/>
                <w:sz w:val="18"/>
                <w:szCs w:val="18"/>
                <w:lang w:eastAsia="es-CO"/>
                <w14:ligatures w14:val="none"/>
              </w:rPr>
            </w:pPr>
            <w:r w:rsidRPr="00951AB1">
              <w:rPr>
                <w:rFonts w:eastAsia="Times New Roman" w:cs="Times New Roman"/>
                <w:kern w:val="0"/>
                <w:sz w:val="18"/>
                <w:szCs w:val="18"/>
                <w:lang w:eastAsia="es-CO"/>
                <w14:ligatures w14:val="none"/>
              </w:rPr>
              <w:t>Cuentas por pagar: Garantías contractuales - concesiones</w:t>
            </w:r>
          </w:p>
        </w:tc>
        <w:tc>
          <w:tcPr>
            <w:tcW w:w="882" w:type="pct"/>
            <w:tcBorders>
              <w:top w:val="nil"/>
              <w:left w:val="single" w:sz="4" w:space="0" w:color="A6A6A6"/>
              <w:bottom w:val="single" w:sz="4" w:space="0" w:color="A6A6A6"/>
              <w:right w:val="single" w:sz="4" w:space="0" w:color="A6A6A6"/>
            </w:tcBorders>
            <w:noWrap/>
            <w:vAlign w:val="center"/>
            <w:hideMark/>
          </w:tcPr>
          <w:p w14:paraId="25F7F202" w14:textId="77777777" w:rsidR="00156F81" w:rsidRPr="00951AB1" w:rsidRDefault="00156F81" w:rsidP="000A5389">
            <w:pPr>
              <w:spacing w:line="240" w:lineRule="auto"/>
              <w:jc w:val="right"/>
              <w:rPr>
                <w:rFonts w:eastAsia="Times New Roman" w:cs="Times New Roman"/>
                <w:kern w:val="0"/>
                <w:sz w:val="18"/>
                <w:szCs w:val="18"/>
                <w:lang w:eastAsia="es-CO"/>
                <w14:ligatures w14:val="none"/>
              </w:rPr>
            </w:pPr>
            <w:r w:rsidRPr="00951AB1">
              <w:rPr>
                <w:rFonts w:eastAsia="Times New Roman" w:cs="Times New Roman"/>
                <w:kern w:val="0"/>
                <w:sz w:val="18"/>
                <w:szCs w:val="18"/>
                <w:lang w:eastAsia="es-CO"/>
                <w14:ligatures w14:val="none"/>
              </w:rPr>
              <w:t>0</w:t>
            </w:r>
          </w:p>
        </w:tc>
        <w:tc>
          <w:tcPr>
            <w:tcW w:w="882" w:type="pct"/>
            <w:tcBorders>
              <w:top w:val="nil"/>
              <w:left w:val="nil"/>
              <w:bottom w:val="single" w:sz="4" w:space="0" w:color="A6A6A6"/>
              <w:right w:val="single" w:sz="4" w:space="0" w:color="A6A6A6"/>
            </w:tcBorders>
            <w:noWrap/>
            <w:vAlign w:val="center"/>
            <w:hideMark/>
          </w:tcPr>
          <w:p w14:paraId="340BFA76" w14:textId="77777777" w:rsidR="00156F81" w:rsidRPr="00951AB1" w:rsidRDefault="00156F81" w:rsidP="000A5389">
            <w:pPr>
              <w:spacing w:line="240" w:lineRule="auto"/>
              <w:jc w:val="right"/>
              <w:rPr>
                <w:rFonts w:eastAsia="Times New Roman" w:cs="Times New Roman"/>
                <w:kern w:val="0"/>
                <w:sz w:val="18"/>
                <w:szCs w:val="18"/>
                <w:lang w:eastAsia="es-CO"/>
                <w14:ligatures w14:val="none"/>
              </w:rPr>
            </w:pPr>
            <w:r w:rsidRPr="00951AB1">
              <w:rPr>
                <w:rFonts w:eastAsia="Times New Roman" w:cs="Times New Roman"/>
                <w:kern w:val="0"/>
                <w:sz w:val="18"/>
                <w:szCs w:val="18"/>
                <w:lang w:eastAsia="es-CO"/>
                <w14:ligatures w14:val="none"/>
              </w:rPr>
              <w:t>0</w:t>
            </w:r>
          </w:p>
        </w:tc>
        <w:tc>
          <w:tcPr>
            <w:tcW w:w="907" w:type="pct"/>
            <w:tcBorders>
              <w:top w:val="nil"/>
              <w:left w:val="nil"/>
              <w:bottom w:val="single" w:sz="4" w:space="0" w:color="A6A6A6"/>
              <w:right w:val="single" w:sz="4" w:space="0" w:color="A6A6A6"/>
            </w:tcBorders>
            <w:noWrap/>
            <w:vAlign w:val="center"/>
            <w:hideMark/>
          </w:tcPr>
          <w:p w14:paraId="4A946280" w14:textId="77777777" w:rsidR="00156F81" w:rsidRPr="00951AB1" w:rsidRDefault="00156F81" w:rsidP="000A5389">
            <w:pPr>
              <w:spacing w:line="240" w:lineRule="auto"/>
              <w:jc w:val="right"/>
              <w:rPr>
                <w:rFonts w:eastAsia="Times New Roman" w:cs="Times New Roman"/>
                <w:kern w:val="0"/>
                <w:sz w:val="18"/>
                <w:szCs w:val="18"/>
                <w:lang w:eastAsia="es-CO"/>
                <w14:ligatures w14:val="none"/>
              </w:rPr>
            </w:pPr>
            <w:r w:rsidRPr="00951AB1">
              <w:rPr>
                <w:rFonts w:eastAsia="Times New Roman" w:cs="Times New Roman"/>
                <w:kern w:val="0"/>
                <w:sz w:val="18"/>
                <w:szCs w:val="18"/>
                <w:lang w:eastAsia="es-CO"/>
                <w14:ligatures w14:val="none"/>
              </w:rPr>
              <w:t>0</w:t>
            </w:r>
          </w:p>
        </w:tc>
      </w:tr>
      <w:tr w:rsidR="005A73C0" w:rsidRPr="00951AB1" w14:paraId="5A7A03FC" w14:textId="77777777" w:rsidTr="00156F81">
        <w:trPr>
          <w:trHeight w:val="278"/>
        </w:trPr>
        <w:tc>
          <w:tcPr>
            <w:tcW w:w="2328" w:type="pct"/>
            <w:tcBorders>
              <w:top w:val="nil"/>
              <w:left w:val="single" w:sz="4" w:space="0" w:color="A6A6A6"/>
              <w:bottom w:val="single" w:sz="4" w:space="0" w:color="A6A6A6"/>
              <w:right w:val="nil"/>
            </w:tcBorders>
            <w:vAlign w:val="center"/>
            <w:hideMark/>
          </w:tcPr>
          <w:p w14:paraId="6DED6A9D" w14:textId="77777777" w:rsidR="00156F81" w:rsidRPr="00951AB1" w:rsidRDefault="00156F81" w:rsidP="000A5389">
            <w:pPr>
              <w:spacing w:line="240" w:lineRule="auto"/>
              <w:rPr>
                <w:rFonts w:eastAsia="Times New Roman" w:cs="Times New Roman"/>
                <w:kern w:val="0"/>
                <w:sz w:val="18"/>
                <w:szCs w:val="18"/>
                <w:lang w:eastAsia="es-CO"/>
                <w14:ligatures w14:val="none"/>
              </w:rPr>
            </w:pPr>
            <w:r w:rsidRPr="00951AB1">
              <w:rPr>
                <w:rFonts w:eastAsia="Times New Roman" w:cs="Times New Roman"/>
                <w:kern w:val="0"/>
                <w:sz w:val="18"/>
                <w:szCs w:val="18"/>
                <w:lang w:eastAsia="es-CO"/>
                <w14:ligatures w14:val="none"/>
              </w:rPr>
              <w:t>Provisiones: Garantías contractuales - concesiones</w:t>
            </w:r>
          </w:p>
        </w:tc>
        <w:tc>
          <w:tcPr>
            <w:tcW w:w="882" w:type="pct"/>
            <w:tcBorders>
              <w:top w:val="nil"/>
              <w:left w:val="single" w:sz="4" w:space="0" w:color="A6A6A6"/>
              <w:bottom w:val="single" w:sz="4" w:space="0" w:color="A6A6A6"/>
              <w:right w:val="single" w:sz="4" w:space="0" w:color="A6A6A6"/>
            </w:tcBorders>
            <w:noWrap/>
            <w:vAlign w:val="center"/>
            <w:hideMark/>
          </w:tcPr>
          <w:p w14:paraId="481FFE39" w14:textId="77777777" w:rsidR="00156F81" w:rsidRPr="00951AB1" w:rsidRDefault="00156F81" w:rsidP="000A5389">
            <w:pPr>
              <w:spacing w:line="240" w:lineRule="auto"/>
              <w:jc w:val="right"/>
              <w:rPr>
                <w:rFonts w:eastAsia="Times New Roman" w:cs="Times New Roman"/>
                <w:kern w:val="0"/>
                <w:sz w:val="18"/>
                <w:szCs w:val="18"/>
                <w:lang w:eastAsia="es-CO"/>
                <w14:ligatures w14:val="none"/>
              </w:rPr>
            </w:pPr>
            <w:r w:rsidRPr="00951AB1">
              <w:rPr>
                <w:rFonts w:eastAsia="Times New Roman" w:cs="Times New Roman"/>
                <w:kern w:val="0"/>
                <w:sz w:val="18"/>
                <w:szCs w:val="18"/>
                <w:lang w:eastAsia="es-CO"/>
                <w14:ligatures w14:val="none"/>
              </w:rPr>
              <w:t>0</w:t>
            </w:r>
          </w:p>
        </w:tc>
        <w:tc>
          <w:tcPr>
            <w:tcW w:w="882" w:type="pct"/>
            <w:tcBorders>
              <w:top w:val="nil"/>
              <w:left w:val="nil"/>
              <w:bottom w:val="single" w:sz="4" w:space="0" w:color="A6A6A6"/>
              <w:right w:val="single" w:sz="4" w:space="0" w:color="A6A6A6"/>
            </w:tcBorders>
            <w:noWrap/>
            <w:vAlign w:val="center"/>
            <w:hideMark/>
          </w:tcPr>
          <w:p w14:paraId="0E68ADD9" w14:textId="77777777" w:rsidR="00156F81" w:rsidRPr="00951AB1" w:rsidRDefault="00156F81" w:rsidP="000A5389">
            <w:pPr>
              <w:spacing w:line="240" w:lineRule="auto"/>
              <w:jc w:val="right"/>
              <w:rPr>
                <w:rFonts w:eastAsia="Times New Roman" w:cs="Times New Roman"/>
                <w:kern w:val="0"/>
                <w:sz w:val="18"/>
                <w:szCs w:val="18"/>
                <w:lang w:eastAsia="es-CO"/>
                <w14:ligatures w14:val="none"/>
              </w:rPr>
            </w:pPr>
            <w:r w:rsidRPr="00951AB1">
              <w:rPr>
                <w:rFonts w:eastAsia="Times New Roman" w:cs="Times New Roman"/>
                <w:kern w:val="0"/>
                <w:sz w:val="18"/>
                <w:szCs w:val="18"/>
                <w:lang w:eastAsia="es-CO"/>
                <w14:ligatures w14:val="none"/>
              </w:rPr>
              <w:t>0</w:t>
            </w:r>
          </w:p>
        </w:tc>
        <w:tc>
          <w:tcPr>
            <w:tcW w:w="907" w:type="pct"/>
            <w:tcBorders>
              <w:top w:val="nil"/>
              <w:left w:val="nil"/>
              <w:bottom w:val="single" w:sz="4" w:space="0" w:color="A6A6A6"/>
              <w:right w:val="single" w:sz="4" w:space="0" w:color="A6A6A6"/>
            </w:tcBorders>
            <w:noWrap/>
            <w:vAlign w:val="center"/>
            <w:hideMark/>
          </w:tcPr>
          <w:p w14:paraId="60E208D7" w14:textId="77777777" w:rsidR="00156F81" w:rsidRPr="00951AB1" w:rsidRDefault="00156F81" w:rsidP="000A5389">
            <w:pPr>
              <w:spacing w:line="240" w:lineRule="auto"/>
              <w:jc w:val="right"/>
              <w:rPr>
                <w:rFonts w:eastAsia="Times New Roman" w:cs="Times New Roman"/>
                <w:kern w:val="0"/>
                <w:sz w:val="18"/>
                <w:szCs w:val="18"/>
                <w:lang w:eastAsia="es-CO"/>
                <w14:ligatures w14:val="none"/>
              </w:rPr>
            </w:pPr>
            <w:r w:rsidRPr="00951AB1">
              <w:rPr>
                <w:rFonts w:eastAsia="Times New Roman" w:cs="Times New Roman"/>
                <w:kern w:val="0"/>
                <w:sz w:val="18"/>
                <w:szCs w:val="18"/>
                <w:lang w:eastAsia="es-CO"/>
                <w14:ligatures w14:val="none"/>
              </w:rPr>
              <w:t>0</w:t>
            </w:r>
          </w:p>
        </w:tc>
      </w:tr>
      <w:tr w:rsidR="005A73C0" w:rsidRPr="00951AB1" w14:paraId="6DD91794" w14:textId="77777777" w:rsidTr="00156F81">
        <w:trPr>
          <w:trHeight w:val="278"/>
        </w:trPr>
        <w:tc>
          <w:tcPr>
            <w:tcW w:w="2328" w:type="pct"/>
            <w:tcBorders>
              <w:top w:val="nil"/>
              <w:left w:val="single" w:sz="4" w:space="0" w:color="A6A6A6"/>
              <w:bottom w:val="single" w:sz="4" w:space="0" w:color="A6A6A6"/>
              <w:right w:val="nil"/>
            </w:tcBorders>
            <w:vAlign w:val="center"/>
            <w:hideMark/>
          </w:tcPr>
          <w:p w14:paraId="15F7B942" w14:textId="77777777" w:rsidR="00156F81" w:rsidRPr="00951AB1" w:rsidRDefault="00156F81" w:rsidP="000A5389">
            <w:pPr>
              <w:spacing w:line="240" w:lineRule="auto"/>
              <w:rPr>
                <w:rFonts w:eastAsia="Times New Roman" w:cs="Times New Roman"/>
                <w:kern w:val="0"/>
                <w:sz w:val="18"/>
                <w:szCs w:val="18"/>
                <w:lang w:eastAsia="es-CO"/>
                <w14:ligatures w14:val="none"/>
              </w:rPr>
            </w:pPr>
            <w:r w:rsidRPr="00951AB1">
              <w:rPr>
                <w:rFonts w:eastAsia="Times New Roman" w:cs="Times New Roman"/>
                <w:kern w:val="0"/>
                <w:sz w:val="18"/>
                <w:szCs w:val="18"/>
                <w:lang w:eastAsia="es-CO"/>
                <w14:ligatures w14:val="none"/>
              </w:rPr>
              <w:t>Ingreso diferido por concesiones - concedente</w:t>
            </w:r>
          </w:p>
        </w:tc>
        <w:tc>
          <w:tcPr>
            <w:tcW w:w="882" w:type="pct"/>
            <w:tcBorders>
              <w:top w:val="nil"/>
              <w:left w:val="single" w:sz="4" w:space="0" w:color="A6A6A6"/>
              <w:bottom w:val="single" w:sz="4" w:space="0" w:color="A6A6A6"/>
              <w:right w:val="single" w:sz="4" w:space="0" w:color="A6A6A6"/>
            </w:tcBorders>
            <w:noWrap/>
            <w:vAlign w:val="center"/>
            <w:hideMark/>
          </w:tcPr>
          <w:p w14:paraId="5B8AE33B" w14:textId="77777777" w:rsidR="00156F81" w:rsidRPr="00951AB1" w:rsidRDefault="00156F81" w:rsidP="000A5389">
            <w:pPr>
              <w:spacing w:line="240" w:lineRule="auto"/>
              <w:jc w:val="right"/>
              <w:rPr>
                <w:rFonts w:eastAsia="Times New Roman" w:cs="Times New Roman"/>
                <w:kern w:val="0"/>
                <w:sz w:val="18"/>
                <w:szCs w:val="18"/>
                <w:lang w:eastAsia="es-CO"/>
                <w14:ligatures w14:val="none"/>
              </w:rPr>
            </w:pPr>
            <w:r w:rsidRPr="00951AB1">
              <w:rPr>
                <w:rFonts w:eastAsia="Times New Roman" w:cs="Times New Roman"/>
                <w:kern w:val="0"/>
                <w:sz w:val="18"/>
                <w:szCs w:val="18"/>
                <w:lang w:eastAsia="es-CO"/>
                <w14:ligatures w14:val="none"/>
              </w:rPr>
              <w:t>29.806.941.958.191</w:t>
            </w:r>
          </w:p>
        </w:tc>
        <w:tc>
          <w:tcPr>
            <w:tcW w:w="882" w:type="pct"/>
            <w:tcBorders>
              <w:top w:val="nil"/>
              <w:left w:val="nil"/>
              <w:bottom w:val="single" w:sz="4" w:space="0" w:color="A6A6A6"/>
              <w:right w:val="single" w:sz="4" w:space="0" w:color="A6A6A6"/>
            </w:tcBorders>
            <w:noWrap/>
            <w:vAlign w:val="center"/>
            <w:hideMark/>
          </w:tcPr>
          <w:p w14:paraId="7A3C287F" w14:textId="77777777" w:rsidR="00156F81" w:rsidRPr="00951AB1" w:rsidRDefault="00156F81" w:rsidP="000A5389">
            <w:pPr>
              <w:spacing w:line="240" w:lineRule="auto"/>
              <w:jc w:val="right"/>
              <w:rPr>
                <w:rFonts w:eastAsia="Times New Roman" w:cs="Times New Roman"/>
                <w:kern w:val="0"/>
                <w:sz w:val="18"/>
                <w:szCs w:val="18"/>
                <w:lang w:eastAsia="es-CO"/>
                <w14:ligatures w14:val="none"/>
              </w:rPr>
            </w:pPr>
            <w:r w:rsidRPr="00951AB1">
              <w:rPr>
                <w:rFonts w:eastAsia="Times New Roman" w:cs="Times New Roman"/>
                <w:kern w:val="0"/>
                <w:sz w:val="18"/>
                <w:szCs w:val="18"/>
                <w:lang w:eastAsia="es-CO"/>
                <w14:ligatures w14:val="none"/>
              </w:rPr>
              <w:t>27.508.615.521.986</w:t>
            </w:r>
          </w:p>
        </w:tc>
        <w:tc>
          <w:tcPr>
            <w:tcW w:w="907" w:type="pct"/>
            <w:tcBorders>
              <w:top w:val="nil"/>
              <w:left w:val="nil"/>
              <w:bottom w:val="single" w:sz="4" w:space="0" w:color="A6A6A6"/>
              <w:right w:val="single" w:sz="4" w:space="0" w:color="A6A6A6"/>
            </w:tcBorders>
            <w:noWrap/>
            <w:vAlign w:val="center"/>
            <w:hideMark/>
          </w:tcPr>
          <w:p w14:paraId="70EA76B6" w14:textId="77777777" w:rsidR="00156F81" w:rsidRPr="00951AB1" w:rsidRDefault="00156F81" w:rsidP="000A5389">
            <w:pPr>
              <w:spacing w:line="240" w:lineRule="auto"/>
              <w:jc w:val="right"/>
              <w:rPr>
                <w:rFonts w:eastAsia="Times New Roman" w:cs="Times New Roman"/>
                <w:kern w:val="0"/>
                <w:sz w:val="18"/>
                <w:szCs w:val="18"/>
                <w:lang w:eastAsia="es-CO"/>
                <w14:ligatures w14:val="none"/>
              </w:rPr>
            </w:pPr>
            <w:r w:rsidRPr="00951AB1">
              <w:rPr>
                <w:rFonts w:eastAsia="Times New Roman" w:cs="Times New Roman"/>
                <w:kern w:val="0"/>
                <w:sz w:val="18"/>
                <w:szCs w:val="18"/>
                <w:lang w:eastAsia="es-CO"/>
                <w14:ligatures w14:val="none"/>
              </w:rPr>
              <w:t>2.298.326.436.206</w:t>
            </w:r>
          </w:p>
        </w:tc>
      </w:tr>
      <w:tr w:rsidR="005A73C0" w:rsidRPr="00951AB1" w14:paraId="7DCF8664" w14:textId="77777777" w:rsidTr="00156F81">
        <w:trPr>
          <w:trHeight w:val="270"/>
        </w:trPr>
        <w:tc>
          <w:tcPr>
            <w:tcW w:w="2328" w:type="pct"/>
            <w:tcBorders>
              <w:top w:val="nil"/>
              <w:left w:val="single" w:sz="4" w:space="0" w:color="A6A6A6"/>
              <w:bottom w:val="single" w:sz="4" w:space="0" w:color="A6A6A6"/>
              <w:right w:val="nil"/>
            </w:tcBorders>
            <w:vAlign w:val="center"/>
            <w:hideMark/>
          </w:tcPr>
          <w:p w14:paraId="3C6A8586" w14:textId="77777777" w:rsidR="00156F81" w:rsidRPr="00951AB1" w:rsidRDefault="00156F81" w:rsidP="000A5389">
            <w:pPr>
              <w:spacing w:line="240" w:lineRule="auto"/>
              <w:rPr>
                <w:rFonts w:eastAsia="Times New Roman" w:cs="Times New Roman"/>
                <w:b/>
                <w:bCs/>
                <w:kern w:val="0"/>
                <w:sz w:val="18"/>
                <w:szCs w:val="18"/>
                <w:lang w:eastAsia="es-CO"/>
                <w14:ligatures w14:val="none"/>
              </w:rPr>
            </w:pPr>
            <w:r w:rsidRPr="00951AB1">
              <w:rPr>
                <w:rFonts w:eastAsia="Times New Roman" w:cs="Times New Roman"/>
                <w:b/>
                <w:bCs/>
                <w:kern w:val="0"/>
                <w:sz w:val="18"/>
                <w:szCs w:val="18"/>
                <w:lang w:eastAsia="es-CO"/>
                <w14:ligatures w14:val="none"/>
              </w:rPr>
              <w:t>PASIVOS POR ACUERDOS DE CONCESIÓN</w:t>
            </w:r>
          </w:p>
        </w:tc>
        <w:tc>
          <w:tcPr>
            <w:tcW w:w="882" w:type="pct"/>
            <w:tcBorders>
              <w:top w:val="nil"/>
              <w:left w:val="single" w:sz="4" w:space="0" w:color="A6A6A6"/>
              <w:bottom w:val="single" w:sz="4" w:space="0" w:color="A6A6A6"/>
              <w:right w:val="single" w:sz="4" w:space="0" w:color="A6A6A6"/>
            </w:tcBorders>
            <w:noWrap/>
            <w:vAlign w:val="center"/>
            <w:hideMark/>
          </w:tcPr>
          <w:p w14:paraId="5D9129CA" w14:textId="77777777" w:rsidR="00156F81" w:rsidRPr="00951AB1" w:rsidRDefault="00156F81" w:rsidP="000A5389">
            <w:pPr>
              <w:spacing w:line="240" w:lineRule="auto"/>
              <w:jc w:val="right"/>
              <w:rPr>
                <w:rFonts w:eastAsia="Times New Roman" w:cs="Times New Roman"/>
                <w:b/>
                <w:bCs/>
                <w:kern w:val="0"/>
                <w:sz w:val="18"/>
                <w:szCs w:val="18"/>
                <w:lang w:eastAsia="es-CO"/>
                <w14:ligatures w14:val="none"/>
              </w:rPr>
            </w:pPr>
            <w:r w:rsidRPr="00951AB1">
              <w:rPr>
                <w:rFonts w:eastAsia="Times New Roman" w:cs="Times New Roman"/>
                <w:b/>
                <w:bCs/>
                <w:kern w:val="0"/>
                <w:sz w:val="18"/>
                <w:szCs w:val="18"/>
                <w:lang w:eastAsia="es-CO"/>
                <w14:ligatures w14:val="none"/>
              </w:rPr>
              <w:t>53.315.627.616.415</w:t>
            </w:r>
          </w:p>
        </w:tc>
        <w:tc>
          <w:tcPr>
            <w:tcW w:w="882" w:type="pct"/>
            <w:tcBorders>
              <w:top w:val="nil"/>
              <w:left w:val="nil"/>
              <w:bottom w:val="single" w:sz="4" w:space="0" w:color="A6A6A6"/>
              <w:right w:val="single" w:sz="4" w:space="0" w:color="A6A6A6"/>
            </w:tcBorders>
            <w:noWrap/>
            <w:vAlign w:val="center"/>
            <w:hideMark/>
          </w:tcPr>
          <w:p w14:paraId="24FD087F" w14:textId="77777777" w:rsidR="00156F81" w:rsidRPr="00951AB1" w:rsidRDefault="00156F81" w:rsidP="000A5389">
            <w:pPr>
              <w:spacing w:line="240" w:lineRule="auto"/>
              <w:jc w:val="right"/>
              <w:rPr>
                <w:rFonts w:eastAsia="Times New Roman" w:cs="Times New Roman"/>
                <w:b/>
                <w:bCs/>
                <w:kern w:val="0"/>
                <w:sz w:val="18"/>
                <w:szCs w:val="18"/>
                <w:lang w:eastAsia="es-CO"/>
                <w14:ligatures w14:val="none"/>
              </w:rPr>
            </w:pPr>
            <w:r w:rsidRPr="00951AB1">
              <w:rPr>
                <w:rFonts w:eastAsia="Times New Roman" w:cs="Times New Roman"/>
                <w:b/>
                <w:bCs/>
                <w:kern w:val="0"/>
                <w:sz w:val="18"/>
                <w:szCs w:val="18"/>
                <w:lang w:eastAsia="es-CO"/>
                <w14:ligatures w14:val="none"/>
              </w:rPr>
              <w:t>51.671.556.429.712</w:t>
            </w:r>
          </w:p>
        </w:tc>
        <w:tc>
          <w:tcPr>
            <w:tcW w:w="907" w:type="pct"/>
            <w:tcBorders>
              <w:top w:val="nil"/>
              <w:left w:val="nil"/>
              <w:bottom w:val="single" w:sz="4" w:space="0" w:color="A6A6A6"/>
              <w:right w:val="single" w:sz="4" w:space="0" w:color="A6A6A6"/>
            </w:tcBorders>
            <w:noWrap/>
            <w:vAlign w:val="center"/>
            <w:hideMark/>
          </w:tcPr>
          <w:p w14:paraId="1A3BA903" w14:textId="77777777" w:rsidR="00156F81" w:rsidRPr="00951AB1" w:rsidRDefault="00156F81" w:rsidP="000A5389">
            <w:pPr>
              <w:spacing w:line="240" w:lineRule="auto"/>
              <w:jc w:val="right"/>
              <w:rPr>
                <w:rFonts w:eastAsia="Times New Roman" w:cs="Times New Roman"/>
                <w:b/>
                <w:bCs/>
                <w:kern w:val="0"/>
                <w:sz w:val="18"/>
                <w:szCs w:val="18"/>
                <w:lang w:eastAsia="es-CO"/>
                <w14:ligatures w14:val="none"/>
              </w:rPr>
            </w:pPr>
            <w:r w:rsidRPr="00951AB1">
              <w:rPr>
                <w:rFonts w:eastAsia="Times New Roman" w:cs="Times New Roman"/>
                <w:b/>
                <w:bCs/>
                <w:kern w:val="0"/>
                <w:sz w:val="18"/>
                <w:szCs w:val="18"/>
                <w:lang w:eastAsia="es-CO"/>
                <w14:ligatures w14:val="none"/>
              </w:rPr>
              <w:t>1.644.071.186.703</w:t>
            </w:r>
          </w:p>
        </w:tc>
      </w:tr>
    </w:tbl>
    <w:p w14:paraId="24517B5C" w14:textId="7028CE91" w:rsidR="000E5FC7" w:rsidRPr="00951AB1" w:rsidRDefault="00FB049C" w:rsidP="000A5389">
      <w:pPr>
        <w:spacing w:line="240" w:lineRule="auto"/>
        <w:rPr>
          <w:rFonts w:cs="Times New Roman"/>
          <w:sz w:val="16"/>
          <w:szCs w:val="16"/>
        </w:rPr>
      </w:pPr>
      <w:r w:rsidRPr="00951AB1">
        <w:rPr>
          <w:rFonts w:cs="Times New Roman"/>
          <w:sz w:val="16"/>
          <w:szCs w:val="16"/>
        </w:rPr>
        <w:t xml:space="preserve">Cifras expresadas en pesos </w:t>
      </w:r>
    </w:p>
    <w:p w14:paraId="21404C8D" w14:textId="77777777" w:rsidR="00F7094E" w:rsidRPr="00951AB1" w:rsidRDefault="00F7094E" w:rsidP="000A5389">
      <w:pPr>
        <w:spacing w:line="240" w:lineRule="auto"/>
        <w:rPr>
          <w:rFonts w:cs="Times New Roman"/>
          <w:szCs w:val="24"/>
        </w:rPr>
      </w:pPr>
    </w:p>
    <w:p w14:paraId="716F6DCF" w14:textId="40F99EF1" w:rsidR="0082751B" w:rsidRPr="00951AB1" w:rsidRDefault="00FB049C" w:rsidP="000A5389">
      <w:pPr>
        <w:spacing w:line="240" w:lineRule="auto"/>
        <w:rPr>
          <w:rFonts w:cs="Times New Roman"/>
          <w:szCs w:val="24"/>
        </w:rPr>
      </w:pPr>
      <w:r w:rsidRPr="00951AB1">
        <w:rPr>
          <w:rFonts w:cs="Times New Roman"/>
          <w:szCs w:val="24"/>
        </w:rPr>
        <w:t>La participación por cada modo de transporte en cada concepto del activo y pasivo se presenta a continuación:</w:t>
      </w:r>
    </w:p>
    <w:p w14:paraId="2957CC8B" w14:textId="77777777" w:rsidR="0082751B" w:rsidRPr="00951AB1" w:rsidRDefault="0082751B" w:rsidP="000A5389">
      <w:pPr>
        <w:spacing w:line="240" w:lineRule="auto"/>
        <w:rPr>
          <w:rFonts w:cs="Times New Roman"/>
          <w:szCs w:val="24"/>
        </w:rPr>
      </w:pP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106"/>
        <w:gridCol w:w="1559"/>
        <w:gridCol w:w="1560"/>
        <w:gridCol w:w="1603"/>
      </w:tblGrid>
      <w:tr w:rsidR="005B72F1" w:rsidRPr="00951AB1" w14:paraId="5D12ECF7" w14:textId="77777777" w:rsidTr="002B3ABB">
        <w:trPr>
          <w:trHeight w:val="285"/>
          <w:jc w:val="right"/>
        </w:trPr>
        <w:tc>
          <w:tcPr>
            <w:tcW w:w="4106" w:type="dxa"/>
            <w:vAlign w:val="center"/>
            <w:hideMark/>
          </w:tcPr>
          <w:p w14:paraId="7B4DAD44" w14:textId="77777777" w:rsidR="00B525CA" w:rsidRPr="00951AB1" w:rsidRDefault="00B525CA" w:rsidP="000A5389">
            <w:pPr>
              <w:spacing w:line="240" w:lineRule="auto"/>
              <w:jc w:val="center"/>
              <w:rPr>
                <w:rFonts w:eastAsia="Times New Roman" w:cs="Times New Roman"/>
                <w:b/>
                <w:color w:val="000000"/>
                <w:kern w:val="0"/>
                <w:sz w:val="16"/>
                <w:szCs w:val="16"/>
                <w:lang w:eastAsia="es-CO"/>
                <w14:ligatures w14:val="none"/>
              </w:rPr>
            </w:pPr>
            <w:r w:rsidRPr="00951AB1">
              <w:rPr>
                <w:rFonts w:eastAsia="Times New Roman" w:cs="Times New Roman"/>
                <w:b/>
                <w:color w:val="000000"/>
                <w:kern w:val="0"/>
                <w:sz w:val="16"/>
                <w:szCs w:val="16"/>
                <w:lang w:eastAsia="es-CO"/>
                <w14:ligatures w14:val="none"/>
              </w:rPr>
              <w:t xml:space="preserve">CONCEPTO </w:t>
            </w:r>
          </w:p>
        </w:tc>
        <w:tc>
          <w:tcPr>
            <w:tcW w:w="1559" w:type="dxa"/>
            <w:noWrap/>
            <w:vAlign w:val="center"/>
            <w:hideMark/>
          </w:tcPr>
          <w:p w14:paraId="6DFD1451" w14:textId="77777777" w:rsidR="00B525CA" w:rsidRPr="00951AB1" w:rsidRDefault="00B525CA" w:rsidP="000A5389">
            <w:pPr>
              <w:spacing w:line="240" w:lineRule="auto"/>
              <w:jc w:val="center"/>
              <w:rPr>
                <w:rFonts w:eastAsia="Times New Roman" w:cs="Times New Roman"/>
                <w:b/>
                <w:color w:val="000000"/>
                <w:kern w:val="0"/>
                <w:sz w:val="16"/>
                <w:szCs w:val="16"/>
                <w:lang w:eastAsia="es-CO"/>
                <w14:ligatures w14:val="none"/>
              </w:rPr>
            </w:pPr>
            <w:r w:rsidRPr="00951AB1">
              <w:rPr>
                <w:rFonts w:eastAsia="Times New Roman" w:cs="Times New Roman"/>
                <w:b/>
                <w:color w:val="000000"/>
                <w:kern w:val="0"/>
                <w:sz w:val="16"/>
                <w:szCs w:val="16"/>
                <w:lang w:eastAsia="es-CO"/>
                <w14:ligatures w14:val="none"/>
              </w:rPr>
              <w:t xml:space="preserve"> SALDO 2025 </w:t>
            </w:r>
          </w:p>
        </w:tc>
        <w:tc>
          <w:tcPr>
            <w:tcW w:w="1560" w:type="dxa"/>
            <w:noWrap/>
            <w:vAlign w:val="center"/>
            <w:hideMark/>
          </w:tcPr>
          <w:p w14:paraId="21016921" w14:textId="77777777" w:rsidR="00B525CA" w:rsidRPr="00951AB1" w:rsidRDefault="00B525CA" w:rsidP="000A5389">
            <w:pPr>
              <w:spacing w:line="240" w:lineRule="auto"/>
              <w:jc w:val="center"/>
              <w:rPr>
                <w:rFonts w:eastAsia="Times New Roman" w:cs="Times New Roman"/>
                <w:b/>
                <w:color w:val="000000"/>
                <w:kern w:val="0"/>
                <w:sz w:val="16"/>
                <w:szCs w:val="16"/>
                <w:lang w:eastAsia="es-CO"/>
                <w14:ligatures w14:val="none"/>
              </w:rPr>
            </w:pPr>
            <w:r w:rsidRPr="00951AB1">
              <w:rPr>
                <w:rFonts w:eastAsia="Times New Roman" w:cs="Times New Roman"/>
                <w:b/>
                <w:color w:val="000000"/>
                <w:kern w:val="0"/>
                <w:sz w:val="16"/>
                <w:szCs w:val="16"/>
                <w:lang w:eastAsia="es-CO"/>
                <w14:ligatures w14:val="none"/>
              </w:rPr>
              <w:t xml:space="preserve"> SALDO 2024 </w:t>
            </w:r>
          </w:p>
        </w:tc>
        <w:tc>
          <w:tcPr>
            <w:tcW w:w="1603" w:type="dxa"/>
            <w:noWrap/>
            <w:vAlign w:val="center"/>
            <w:hideMark/>
          </w:tcPr>
          <w:p w14:paraId="4E2ADAA6" w14:textId="77777777" w:rsidR="00B525CA" w:rsidRPr="00951AB1" w:rsidRDefault="00B525CA" w:rsidP="000A5389">
            <w:pPr>
              <w:spacing w:line="240" w:lineRule="auto"/>
              <w:jc w:val="center"/>
              <w:rPr>
                <w:rFonts w:eastAsia="Times New Roman" w:cs="Times New Roman"/>
                <w:b/>
                <w:color w:val="000000"/>
                <w:kern w:val="0"/>
                <w:sz w:val="16"/>
                <w:szCs w:val="16"/>
                <w:lang w:eastAsia="es-CO"/>
                <w14:ligatures w14:val="none"/>
              </w:rPr>
            </w:pPr>
            <w:r w:rsidRPr="00951AB1">
              <w:rPr>
                <w:rFonts w:eastAsia="Times New Roman" w:cs="Times New Roman"/>
                <w:b/>
                <w:color w:val="000000"/>
                <w:kern w:val="0"/>
                <w:sz w:val="16"/>
                <w:szCs w:val="16"/>
                <w:lang w:eastAsia="es-CO"/>
                <w14:ligatures w14:val="none"/>
              </w:rPr>
              <w:t xml:space="preserve"> VARIACIÓN </w:t>
            </w:r>
          </w:p>
        </w:tc>
      </w:tr>
      <w:tr w:rsidR="005B72F1" w:rsidRPr="00951AB1" w14:paraId="6FD69F60" w14:textId="77777777" w:rsidTr="002B3ABB">
        <w:trPr>
          <w:trHeight w:val="285"/>
          <w:jc w:val="right"/>
        </w:trPr>
        <w:tc>
          <w:tcPr>
            <w:tcW w:w="4106" w:type="dxa"/>
            <w:noWrap/>
            <w:vAlign w:val="center"/>
            <w:hideMark/>
          </w:tcPr>
          <w:p w14:paraId="3A19B7B1" w14:textId="77777777" w:rsidR="00B525CA" w:rsidRPr="00951AB1" w:rsidRDefault="00B525CA" w:rsidP="000A5389">
            <w:pPr>
              <w:spacing w:line="240" w:lineRule="auto"/>
              <w:rPr>
                <w:rFonts w:eastAsia="Times New Roman" w:cs="Times New Roman"/>
                <w:b/>
                <w:color w:val="000000"/>
                <w:kern w:val="0"/>
                <w:sz w:val="16"/>
                <w:szCs w:val="16"/>
                <w:lang w:eastAsia="es-CO"/>
                <w14:ligatures w14:val="none"/>
              </w:rPr>
            </w:pPr>
            <w:r w:rsidRPr="00951AB1">
              <w:rPr>
                <w:rFonts w:eastAsia="Times New Roman" w:cs="Times New Roman"/>
                <w:b/>
                <w:color w:val="000000"/>
                <w:kern w:val="0"/>
                <w:sz w:val="16"/>
                <w:szCs w:val="16"/>
                <w:lang w:eastAsia="es-CO"/>
                <w14:ligatures w14:val="none"/>
              </w:rPr>
              <w:t>Carretero</w:t>
            </w:r>
          </w:p>
        </w:tc>
        <w:tc>
          <w:tcPr>
            <w:tcW w:w="1559" w:type="dxa"/>
            <w:noWrap/>
            <w:vAlign w:val="center"/>
            <w:hideMark/>
          </w:tcPr>
          <w:p w14:paraId="07A8D3BA" w14:textId="1CF7CBB7" w:rsidR="00B525CA" w:rsidRPr="00951AB1" w:rsidRDefault="00B525CA" w:rsidP="000A5389">
            <w:pPr>
              <w:spacing w:line="240" w:lineRule="auto"/>
              <w:jc w:val="right"/>
              <w:rPr>
                <w:rFonts w:eastAsia="Times New Roman" w:cs="Times New Roman"/>
                <w:b/>
                <w:color w:val="000000"/>
                <w:kern w:val="0"/>
                <w:sz w:val="16"/>
                <w:szCs w:val="16"/>
                <w:lang w:eastAsia="es-CO"/>
                <w14:ligatures w14:val="none"/>
              </w:rPr>
            </w:pPr>
            <w:r w:rsidRPr="00951AB1">
              <w:rPr>
                <w:rFonts w:eastAsia="Times New Roman" w:cs="Times New Roman"/>
                <w:b/>
                <w:color w:val="000000"/>
                <w:kern w:val="0"/>
                <w:sz w:val="16"/>
                <w:szCs w:val="16"/>
                <w:lang w:eastAsia="es-CO"/>
                <w14:ligatures w14:val="none"/>
              </w:rPr>
              <w:t>75.847.457.574.370</w:t>
            </w:r>
          </w:p>
        </w:tc>
        <w:tc>
          <w:tcPr>
            <w:tcW w:w="1560" w:type="dxa"/>
            <w:noWrap/>
            <w:vAlign w:val="center"/>
            <w:hideMark/>
          </w:tcPr>
          <w:p w14:paraId="72CF328D" w14:textId="2037C9AE" w:rsidR="00B525CA" w:rsidRPr="00951AB1" w:rsidRDefault="00B525CA" w:rsidP="000A5389">
            <w:pPr>
              <w:spacing w:line="240" w:lineRule="auto"/>
              <w:jc w:val="right"/>
              <w:rPr>
                <w:rFonts w:eastAsia="Times New Roman" w:cs="Times New Roman"/>
                <w:b/>
                <w:color w:val="000000"/>
                <w:kern w:val="0"/>
                <w:sz w:val="16"/>
                <w:szCs w:val="16"/>
                <w:lang w:eastAsia="es-CO"/>
                <w14:ligatures w14:val="none"/>
              </w:rPr>
            </w:pPr>
            <w:r w:rsidRPr="00951AB1">
              <w:rPr>
                <w:rFonts w:eastAsia="Times New Roman" w:cs="Times New Roman"/>
                <w:b/>
                <w:color w:val="000000"/>
                <w:kern w:val="0"/>
                <w:sz w:val="16"/>
                <w:szCs w:val="16"/>
                <w:lang w:eastAsia="es-CO"/>
                <w14:ligatures w14:val="none"/>
              </w:rPr>
              <w:t>75.273.662.138.342</w:t>
            </w:r>
          </w:p>
        </w:tc>
        <w:tc>
          <w:tcPr>
            <w:tcW w:w="1603" w:type="dxa"/>
            <w:noWrap/>
            <w:vAlign w:val="center"/>
            <w:hideMark/>
          </w:tcPr>
          <w:p w14:paraId="11D33CF8" w14:textId="62403F52" w:rsidR="00B525CA" w:rsidRPr="00951AB1" w:rsidRDefault="00B525CA" w:rsidP="000A5389">
            <w:pPr>
              <w:spacing w:line="240" w:lineRule="auto"/>
              <w:jc w:val="right"/>
              <w:rPr>
                <w:rFonts w:eastAsia="Times New Roman" w:cs="Times New Roman"/>
                <w:b/>
                <w:color w:val="000000"/>
                <w:kern w:val="0"/>
                <w:sz w:val="16"/>
                <w:szCs w:val="16"/>
                <w:lang w:eastAsia="es-CO"/>
                <w14:ligatures w14:val="none"/>
              </w:rPr>
            </w:pPr>
            <w:r w:rsidRPr="00951AB1">
              <w:rPr>
                <w:rFonts w:eastAsia="Times New Roman" w:cs="Times New Roman"/>
                <w:b/>
                <w:color w:val="000000"/>
                <w:kern w:val="0"/>
                <w:sz w:val="16"/>
                <w:szCs w:val="16"/>
                <w:lang w:eastAsia="es-CO"/>
                <w14:ligatures w14:val="none"/>
              </w:rPr>
              <w:t>573.795.436.027</w:t>
            </w:r>
          </w:p>
        </w:tc>
      </w:tr>
      <w:tr w:rsidR="005B72F1" w:rsidRPr="00951AB1" w14:paraId="6F1F3E4C" w14:textId="77777777" w:rsidTr="002B3ABB">
        <w:trPr>
          <w:trHeight w:val="285"/>
          <w:jc w:val="right"/>
        </w:trPr>
        <w:tc>
          <w:tcPr>
            <w:tcW w:w="4106" w:type="dxa"/>
            <w:noWrap/>
            <w:vAlign w:val="center"/>
            <w:hideMark/>
          </w:tcPr>
          <w:p w14:paraId="17AD294D" w14:textId="77777777" w:rsidR="00B525CA" w:rsidRPr="00951AB1" w:rsidRDefault="00B525CA" w:rsidP="000A5389">
            <w:pPr>
              <w:spacing w:line="240" w:lineRule="auto"/>
              <w:rPr>
                <w:rFonts w:eastAsia="Times New Roman" w:cs="Times New Roman"/>
                <w:color w:val="000000"/>
                <w:kern w:val="0"/>
                <w:sz w:val="16"/>
                <w:szCs w:val="16"/>
                <w:lang w:eastAsia="es-CO"/>
                <w14:ligatures w14:val="none"/>
              </w:rPr>
            </w:pPr>
            <w:r w:rsidRPr="00951AB1">
              <w:rPr>
                <w:rFonts w:eastAsia="Times New Roman" w:cs="Times New Roman"/>
                <w:color w:val="000000"/>
                <w:kern w:val="0"/>
                <w:sz w:val="16"/>
                <w:szCs w:val="16"/>
                <w:lang w:eastAsia="es-CO"/>
                <w14:ligatures w14:val="none"/>
              </w:rPr>
              <w:lastRenderedPageBreak/>
              <w:t>Activos intangibles en concesión</w:t>
            </w:r>
          </w:p>
        </w:tc>
        <w:tc>
          <w:tcPr>
            <w:tcW w:w="1559" w:type="dxa"/>
            <w:noWrap/>
            <w:vAlign w:val="center"/>
            <w:hideMark/>
          </w:tcPr>
          <w:p w14:paraId="69163986" w14:textId="08E27535" w:rsidR="00B525CA" w:rsidRPr="00951AB1" w:rsidRDefault="00B525CA" w:rsidP="000A5389">
            <w:pPr>
              <w:spacing w:line="240" w:lineRule="auto"/>
              <w:jc w:val="right"/>
              <w:rPr>
                <w:rFonts w:eastAsia="Times New Roman" w:cs="Times New Roman"/>
                <w:color w:val="000000"/>
                <w:kern w:val="0"/>
                <w:sz w:val="16"/>
                <w:szCs w:val="16"/>
                <w:lang w:eastAsia="es-CO"/>
                <w14:ligatures w14:val="none"/>
              </w:rPr>
            </w:pPr>
            <w:r w:rsidRPr="00951AB1">
              <w:rPr>
                <w:rFonts w:eastAsia="Times New Roman" w:cs="Times New Roman"/>
                <w:color w:val="000000"/>
                <w:kern w:val="0"/>
                <w:sz w:val="16"/>
                <w:szCs w:val="16"/>
                <w:lang w:eastAsia="es-CO"/>
                <w14:ligatures w14:val="none"/>
              </w:rPr>
              <w:t>16.524.323.442</w:t>
            </w:r>
          </w:p>
        </w:tc>
        <w:tc>
          <w:tcPr>
            <w:tcW w:w="1560" w:type="dxa"/>
            <w:noWrap/>
            <w:vAlign w:val="center"/>
            <w:hideMark/>
          </w:tcPr>
          <w:p w14:paraId="14A9BF9F" w14:textId="3FE82B6B" w:rsidR="00B525CA" w:rsidRPr="00951AB1" w:rsidRDefault="00B525CA" w:rsidP="000A5389">
            <w:pPr>
              <w:spacing w:line="240" w:lineRule="auto"/>
              <w:jc w:val="right"/>
              <w:rPr>
                <w:rFonts w:eastAsia="Times New Roman" w:cs="Times New Roman"/>
                <w:color w:val="000000"/>
                <w:kern w:val="0"/>
                <w:sz w:val="16"/>
                <w:szCs w:val="16"/>
                <w:lang w:eastAsia="es-CO"/>
                <w14:ligatures w14:val="none"/>
              </w:rPr>
            </w:pPr>
            <w:r w:rsidRPr="00951AB1">
              <w:rPr>
                <w:rFonts w:eastAsia="Times New Roman" w:cs="Times New Roman"/>
                <w:color w:val="000000"/>
                <w:kern w:val="0"/>
                <w:sz w:val="16"/>
                <w:szCs w:val="16"/>
                <w:lang w:eastAsia="es-CO"/>
                <w14:ligatures w14:val="none"/>
              </w:rPr>
              <w:t>15.538.431.022</w:t>
            </w:r>
          </w:p>
        </w:tc>
        <w:tc>
          <w:tcPr>
            <w:tcW w:w="1603" w:type="dxa"/>
            <w:noWrap/>
            <w:vAlign w:val="center"/>
            <w:hideMark/>
          </w:tcPr>
          <w:p w14:paraId="4F28E67E" w14:textId="6FCDE687" w:rsidR="00B525CA" w:rsidRPr="00951AB1" w:rsidRDefault="00B525CA" w:rsidP="000A5389">
            <w:pPr>
              <w:spacing w:line="240" w:lineRule="auto"/>
              <w:jc w:val="right"/>
              <w:rPr>
                <w:rFonts w:eastAsia="Times New Roman" w:cs="Times New Roman"/>
                <w:color w:val="000000"/>
                <w:kern w:val="0"/>
                <w:sz w:val="16"/>
                <w:szCs w:val="16"/>
                <w:lang w:eastAsia="es-CO"/>
                <w14:ligatures w14:val="none"/>
              </w:rPr>
            </w:pPr>
            <w:r w:rsidRPr="00951AB1">
              <w:rPr>
                <w:rFonts w:eastAsia="Times New Roman" w:cs="Times New Roman"/>
                <w:color w:val="000000"/>
                <w:kern w:val="0"/>
                <w:sz w:val="16"/>
                <w:szCs w:val="16"/>
                <w:lang w:eastAsia="es-CO"/>
                <w14:ligatures w14:val="none"/>
              </w:rPr>
              <w:t>985.892.420</w:t>
            </w:r>
          </w:p>
        </w:tc>
      </w:tr>
      <w:tr w:rsidR="005B72F1" w:rsidRPr="00951AB1" w14:paraId="6C1340AE" w14:textId="77777777" w:rsidTr="002B3ABB">
        <w:trPr>
          <w:trHeight w:val="285"/>
          <w:jc w:val="right"/>
        </w:trPr>
        <w:tc>
          <w:tcPr>
            <w:tcW w:w="4106" w:type="dxa"/>
            <w:noWrap/>
            <w:vAlign w:val="center"/>
            <w:hideMark/>
          </w:tcPr>
          <w:p w14:paraId="1CA5D13D" w14:textId="77777777" w:rsidR="00B525CA" w:rsidRPr="00951AB1" w:rsidRDefault="00B525CA" w:rsidP="000A5389">
            <w:pPr>
              <w:spacing w:line="240" w:lineRule="auto"/>
              <w:rPr>
                <w:rFonts w:eastAsia="Times New Roman" w:cs="Times New Roman"/>
                <w:color w:val="000000"/>
                <w:kern w:val="0"/>
                <w:sz w:val="16"/>
                <w:szCs w:val="16"/>
                <w:lang w:eastAsia="es-CO"/>
                <w14:ligatures w14:val="none"/>
              </w:rPr>
            </w:pPr>
            <w:r w:rsidRPr="00951AB1">
              <w:rPr>
                <w:rFonts w:eastAsia="Times New Roman" w:cs="Times New Roman"/>
                <w:color w:val="000000"/>
                <w:kern w:val="0"/>
                <w:sz w:val="16"/>
                <w:szCs w:val="16"/>
                <w:lang w:eastAsia="es-CO"/>
                <w14:ligatures w14:val="none"/>
              </w:rPr>
              <w:t>Propiedades, Plan y Equipo</w:t>
            </w:r>
          </w:p>
        </w:tc>
        <w:tc>
          <w:tcPr>
            <w:tcW w:w="1559" w:type="dxa"/>
            <w:noWrap/>
            <w:vAlign w:val="center"/>
            <w:hideMark/>
          </w:tcPr>
          <w:p w14:paraId="2058CCBB" w14:textId="73106998" w:rsidR="00B525CA" w:rsidRPr="00951AB1" w:rsidRDefault="00B525CA" w:rsidP="000A5389">
            <w:pPr>
              <w:spacing w:line="240" w:lineRule="auto"/>
              <w:jc w:val="right"/>
              <w:rPr>
                <w:rFonts w:eastAsia="Times New Roman" w:cs="Times New Roman"/>
                <w:color w:val="000000"/>
                <w:kern w:val="0"/>
                <w:sz w:val="16"/>
                <w:szCs w:val="16"/>
                <w:lang w:eastAsia="es-CO"/>
                <w14:ligatures w14:val="none"/>
              </w:rPr>
            </w:pPr>
            <w:r w:rsidRPr="00951AB1">
              <w:rPr>
                <w:rFonts w:eastAsia="Times New Roman" w:cs="Times New Roman"/>
                <w:color w:val="000000"/>
                <w:kern w:val="0"/>
                <w:sz w:val="16"/>
                <w:szCs w:val="16"/>
                <w:lang w:eastAsia="es-CO"/>
                <w14:ligatures w14:val="none"/>
              </w:rPr>
              <w:t>459.280.763.466</w:t>
            </w:r>
          </w:p>
        </w:tc>
        <w:tc>
          <w:tcPr>
            <w:tcW w:w="1560" w:type="dxa"/>
            <w:noWrap/>
            <w:vAlign w:val="center"/>
            <w:hideMark/>
          </w:tcPr>
          <w:p w14:paraId="09B2E4EC" w14:textId="02C17D20" w:rsidR="00B525CA" w:rsidRPr="00951AB1" w:rsidRDefault="00B525CA" w:rsidP="000A5389">
            <w:pPr>
              <w:spacing w:line="240" w:lineRule="auto"/>
              <w:jc w:val="right"/>
              <w:rPr>
                <w:rFonts w:eastAsia="Times New Roman" w:cs="Times New Roman"/>
                <w:color w:val="000000"/>
                <w:kern w:val="0"/>
                <w:sz w:val="16"/>
                <w:szCs w:val="16"/>
                <w:lang w:eastAsia="es-CO"/>
                <w14:ligatures w14:val="none"/>
              </w:rPr>
            </w:pPr>
            <w:r w:rsidRPr="00951AB1">
              <w:rPr>
                <w:rFonts w:eastAsia="Times New Roman" w:cs="Times New Roman"/>
                <w:color w:val="000000"/>
                <w:kern w:val="0"/>
                <w:sz w:val="16"/>
                <w:szCs w:val="16"/>
                <w:lang w:eastAsia="es-CO"/>
                <w14:ligatures w14:val="none"/>
              </w:rPr>
              <w:t>409.865.282.049</w:t>
            </w:r>
          </w:p>
        </w:tc>
        <w:tc>
          <w:tcPr>
            <w:tcW w:w="1603" w:type="dxa"/>
            <w:noWrap/>
            <w:vAlign w:val="center"/>
            <w:hideMark/>
          </w:tcPr>
          <w:p w14:paraId="2F04F40C" w14:textId="5A04E971" w:rsidR="00B525CA" w:rsidRPr="00951AB1" w:rsidRDefault="00B525CA" w:rsidP="000A5389">
            <w:pPr>
              <w:spacing w:line="240" w:lineRule="auto"/>
              <w:jc w:val="right"/>
              <w:rPr>
                <w:rFonts w:eastAsia="Times New Roman" w:cs="Times New Roman"/>
                <w:color w:val="000000"/>
                <w:kern w:val="0"/>
                <w:sz w:val="16"/>
                <w:szCs w:val="16"/>
                <w:lang w:eastAsia="es-CO"/>
                <w14:ligatures w14:val="none"/>
              </w:rPr>
            </w:pPr>
            <w:r w:rsidRPr="00951AB1">
              <w:rPr>
                <w:rFonts w:eastAsia="Times New Roman" w:cs="Times New Roman"/>
                <w:color w:val="000000"/>
                <w:kern w:val="0"/>
                <w:sz w:val="16"/>
                <w:szCs w:val="16"/>
                <w:lang w:eastAsia="es-CO"/>
                <w14:ligatures w14:val="none"/>
              </w:rPr>
              <w:t>49.415.481.417</w:t>
            </w:r>
          </w:p>
        </w:tc>
      </w:tr>
      <w:tr w:rsidR="005B72F1" w:rsidRPr="00951AB1" w14:paraId="0FF03962" w14:textId="77777777" w:rsidTr="002B3ABB">
        <w:trPr>
          <w:trHeight w:val="285"/>
          <w:jc w:val="right"/>
        </w:trPr>
        <w:tc>
          <w:tcPr>
            <w:tcW w:w="4106" w:type="dxa"/>
            <w:noWrap/>
            <w:vAlign w:val="center"/>
            <w:hideMark/>
          </w:tcPr>
          <w:p w14:paraId="39A548A0" w14:textId="77777777" w:rsidR="00B525CA" w:rsidRPr="00951AB1" w:rsidRDefault="00B525CA" w:rsidP="000A5389">
            <w:pPr>
              <w:spacing w:line="240" w:lineRule="auto"/>
              <w:rPr>
                <w:rFonts w:eastAsia="Times New Roman" w:cs="Times New Roman"/>
                <w:color w:val="000000"/>
                <w:kern w:val="0"/>
                <w:sz w:val="16"/>
                <w:szCs w:val="16"/>
                <w:lang w:eastAsia="es-CO"/>
                <w14:ligatures w14:val="none"/>
              </w:rPr>
            </w:pPr>
            <w:r w:rsidRPr="00951AB1">
              <w:rPr>
                <w:rFonts w:eastAsia="Times New Roman" w:cs="Times New Roman"/>
                <w:color w:val="000000"/>
                <w:kern w:val="0"/>
                <w:sz w:val="16"/>
                <w:szCs w:val="16"/>
                <w:lang w:eastAsia="es-CO"/>
                <w14:ligatures w14:val="none"/>
              </w:rPr>
              <w:t>Recursos de la entidad concedente en patrimonios autónomos constituidos por concesionarios privados</w:t>
            </w:r>
          </w:p>
        </w:tc>
        <w:tc>
          <w:tcPr>
            <w:tcW w:w="1559" w:type="dxa"/>
            <w:noWrap/>
            <w:vAlign w:val="center"/>
            <w:hideMark/>
          </w:tcPr>
          <w:p w14:paraId="14DFEDE1" w14:textId="58D1AD95" w:rsidR="00B525CA" w:rsidRPr="00951AB1" w:rsidRDefault="00B525CA" w:rsidP="000A5389">
            <w:pPr>
              <w:spacing w:line="240" w:lineRule="auto"/>
              <w:jc w:val="right"/>
              <w:rPr>
                <w:rFonts w:eastAsia="Times New Roman" w:cs="Times New Roman"/>
                <w:color w:val="000000"/>
                <w:kern w:val="0"/>
                <w:sz w:val="16"/>
                <w:szCs w:val="16"/>
                <w:lang w:eastAsia="es-CO"/>
                <w14:ligatures w14:val="none"/>
              </w:rPr>
            </w:pPr>
            <w:r w:rsidRPr="00951AB1">
              <w:rPr>
                <w:rFonts w:eastAsia="Times New Roman" w:cs="Times New Roman"/>
                <w:color w:val="000000"/>
                <w:kern w:val="0"/>
                <w:sz w:val="16"/>
                <w:szCs w:val="16"/>
                <w:lang w:eastAsia="es-CO"/>
                <w14:ligatures w14:val="none"/>
              </w:rPr>
              <w:t>9.274.511.110.861</w:t>
            </w:r>
          </w:p>
        </w:tc>
        <w:tc>
          <w:tcPr>
            <w:tcW w:w="1560" w:type="dxa"/>
            <w:noWrap/>
            <w:vAlign w:val="center"/>
            <w:hideMark/>
          </w:tcPr>
          <w:p w14:paraId="6DB59CB7" w14:textId="4FD1052A" w:rsidR="00B525CA" w:rsidRPr="00951AB1" w:rsidRDefault="00B525CA" w:rsidP="000A5389">
            <w:pPr>
              <w:spacing w:line="240" w:lineRule="auto"/>
              <w:jc w:val="right"/>
              <w:rPr>
                <w:rFonts w:eastAsia="Times New Roman" w:cs="Times New Roman"/>
                <w:color w:val="000000"/>
                <w:kern w:val="0"/>
                <w:sz w:val="16"/>
                <w:szCs w:val="16"/>
                <w:lang w:eastAsia="es-CO"/>
                <w14:ligatures w14:val="none"/>
              </w:rPr>
            </w:pPr>
            <w:r w:rsidRPr="00951AB1">
              <w:rPr>
                <w:rFonts w:eastAsia="Times New Roman" w:cs="Times New Roman"/>
                <w:color w:val="000000"/>
                <w:kern w:val="0"/>
                <w:sz w:val="16"/>
                <w:szCs w:val="16"/>
                <w:lang w:eastAsia="es-CO"/>
                <w14:ligatures w14:val="none"/>
              </w:rPr>
              <w:t>14.477.939.499.018</w:t>
            </w:r>
          </w:p>
        </w:tc>
        <w:tc>
          <w:tcPr>
            <w:tcW w:w="1603" w:type="dxa"/>
            <w:noWrap/>
            <w:vAlign w:val="center"/>
            <w:hideMark/>
          </w:tcPr>
          <w:p w14:paraId="6B49F95C" w14:textId="66852321" w:rsidR="00B525CA" w:rsidRPr="00951AB1" w:rsidRDefault="00B525CA" w:rsidP="000A5389">
            <w:pPr>
              <w:spacing w:line="240" w:lineRule="auto"/>
              <w:jc w:val="right"/>
              <w:rPr>
                <w:rFonts w:eastAsia="Times New Roman" w:cs="Times New Roman"/>
                <w:color w:val="000000"/>
                <w:kern w:val="0"/>
                <w:sz w:val="16"/>
                <w:szCs w:val="16"/>
                <w:lang w:eastAsia="es-CO"/>
                <w14:ligatures w14:val="none"/>
              </w:rPr>
            </w:pPr>
            <w:r w:rsidRPr="00951AB1">
              <w:rPr>
                <w:rFonts w:eastAsia="Times New Roman" w:cs="Times New Roman"/>
                <w:color w:val="000000"/>
                <w:kern w:val="0"/>
                <w:sz w:val="16"/>
                <w:szCs w:val="16"/>
                <w:lang w:eastAsia="es-CO"/>
                <w14:ligatures w14:val="none"/>
              </w:rPr>
              <w:t>-5.203.428.388.157</w:t>
            </w:r>
          </w:p>
        </w:tc>
      </w:tr>
      <w:tr w:rsidR="005B72F1" w:rsidRPr="00951AB1" w14:paraId="782DFB32" w14:textId="77777777" w:rsidTr="002B3ABB">
        <w:trPr>
          <w:trHeight w:val="285"/>
          <w:jc w:val="right"/>
        </w:trPr>
        <w:tc>
          <w:tcPr>
            <w:tcW w:w="4106" w:type="dxa"/>
            <w:noWrap/>
            <w:vAlign w:val="center"/>
            <w:hideMark/>
          </w:tcPr>
          <w:p w14:paraId="0DD61AEE" w14:textId="77777777" w:rsidR="00B525CA" w:rsidRPr="00951AB1" w:rsidRDefault="00B525CA" w:rsidP="000A5389">
            <w:pPr>
              <w:spacing w:line="240" w:lineRule="auto"/>
              <w:rPr>
                <w:rFonts w:eastAsia="Times New Roman" w:cs="Times New Roman"/>
                <w:b/>
                <w:color w:val="000000"/>
                <w:kern w:val="0"/>
                <w:sz w:val="16"/>
                <w:szCs w:val="16"/>
                <w:lang w:eastAsia="es-CO"/>
                <w14:ligatures w14:val="none"/>
              </w:rPr>
            </w:pPr>
            <w:r w:rsidRPr="00951AB1">
              <w:rPr>
                <w:rFonts w:eastAsia="Times New Roman" w:cs="Times New Roman"/>
                <w:b/>
                <w:color w:val="000000"/>
                <w:kern w:val="0"/>
                <w:sz w:val="16"/>
                <w:szCs w:val="16"/>
                <w:lang w:eastAsia="es-CO"/>
                <w14:ligatures w14:val="none"/>
              </w:rPr>
              <w:t>Red carretera</w:t>
            </w:r>
          </w:p>
        </w:tc>
        <w:tc>
          <w:tcPr>
            <w:tcW w:w="1559" w:type="dxa"/>
            <w:noWrap/>
            <w:vAlign w:val="center"/>
            <w:hideMark/>
          </w:tcPr>
          <w:p w14:paraId="69D3C405" w14:textId="52B3EF46" w:rsidR="00B525CA" w:rsidRPr="00951AB1" w:rsidRDefault="00B525CA" w:rsidP="000A5389">
            <w:pPr>
              <w:spacing w:line="240" w:lineRule="auto"/>
              <w:jc w:val="right"/>
              <w:rPr>
                <w:rFonts w:eastAsia="Times New Roman" w:cs="Times New Roman"/>
                <w:b/>
                <w:color w:val="000000"/>
                <w:kern w:val="0"/>
                <w:sz w:val="16"/>
                <w:szCs w:val="16"/>
                <w:lang w:eastAsia="es-CO"/>
                <w14:ligatures w14:val="none"/>
              </w:rPr>
            </w:pPr>
            <w:r w:rsidRPr="00951AB1">
              <w:rPr>
                <w:rFonts w:eastAsia="Times New Roman" w:cs="Times New Roman"/>
                <w:b/>
                <w:color w:val="000000"/>
                <w:kern w:val="0"/>
                <w:sz w:val="16"/>
                <w:szCs w:val="16"/>
                <w:lang w:eastAsia="es-CO"/>
                <w14:ligatures w14:val="none"/>
              </w:rPr>
              <w:t>62.815.306.168.957</w:t>
            </w:r>
          </w:p>
        </w:tc>
        <w:tc>
          <w:tcPr>
            <w:tcW w:w="1560" w:type="dxa"/>
            <w:noWrap/>
            <w:vAlign w:val="center"/>
            <w:hideMark/>
          </w:tcPr>
          <w:p w14:paraId="7C13F06B" w14:textId="7EFE7F6C" w:rsidR="00B525CA" w:rsidRPr="00951AB1" w:rsidRDefault="00B525CA" w:rsidP="000A5389">
            <w:pPr>
              <w:spacing w:line="240" w:lineRule="auto"/>
              <w:jc w:val="right"/>
              <w:rPr>
                <w:rFonts w:eastAsia="Times New Roman" w:cs="Times New Roman"/>
                <w:b/>
                <w:color w:val="000000"/>
                <w:kern w:val="0"/>
                <w:sz w:val="16"/>
                <w:szCs w:val="16"/>
                <w:lang w:eastAsia="es-CO"/>
                <w14:ligatures w14:val="none"/>
              </w:rPr>
            </w:pPr>
            <w:r w:rsidRPr="00951AB1">
              <w:rPr>
                <w:rFonts w:eastAsia="Times New Roman" w:cs="Times New Roman"/>
                <w:b/>
                <w:color w:val="000000"/>
                <w:kern w:val="0"/>
                <w:sz w:val="16"/>
                <w:szCs w:val="16"/>
                <w:lang w:eastAsia="es-CO"/>
                <w14:ligatures w14:val="none"/>
              </w:rPr>
              <w:t>57.317.912.825.781</w:t>
            </w:r>
          </w:p>
        </w:tc>
        <w:tc>
          <w:tcPr>
            <w:tcW w:w="1603" w:type="dxa"/>
            <w:noWrap/>
            <w:vAlign w:val="center"/>
            <w:hideMark/>
          </w:tcPr>
          <w:p w14:paraId="23FB3BB3" w14:textId="33D4A8DF" w:rsidR="00B525CA" w:rsidRPr="00951AB1" w:rsidRDefault="00B525CA" w:rsidP="000A5389">
            <w:pPr>
              <w:spacing w:line="240" w:lineRule="auto"/>
              <w:jc w:val="right"/>
              <w:rPr>
                <w:rFonts w:eastAsia="Times New Roman" w:cs="Times New Roman"/>
                <w:b/>
                <w:color w:val="000000"/>
                <w:kern w:val="0"/>
                <w:sz w:val="16"/>
                <w:szCs w:val="16"/>
                <w:lang w:eastAsia="es-CO"/>
                <w14:ligatures w14:val="none"/>
              </w:rPr>
            </w:pPr>
            <w:r w:rsidRPr="00951AB1">
              <w:rPr>
                <w:rFonts w:eastAsia="Times New Roman" w:cs="Times New Roman"/>
                <w:b/>
                <w:color w:val="000000"/>
                <w:kern w:val="0"/>
                <w:sz w:val="16"/>
                <w:szCs w:val="16"/>
                <w:lang w:eastAsia="es-CO"/>
                <w14:ligatures w14:val="none"/>
              </w:rPr>
              <w:t>5.497.393.343.175</w:t>
            </w:r>
          </w:p>
        </w:tc>
      </w:tr>
      <w:tr w:rsidR="00050CAF" w:rsidRPr="00951AB1" w14:paraId="03D576CE" w14:textId="77777777" w:rsidTr="5863944A">
        <w:trPr>
          <w:trHeight w:val="240"/>
          <w:jc w:val="right"/>
        </w:trPr>
        <w:tc>
          <w:tcPr>
            <w:tcW w:w="4106" w:type="dxa"/>
            <w:shd w:val="clear" w:color="auto" w:fill="F2F2F2" w:themeFill="background1" w:themeFillShade="F2"/>
            <w:noWrap/>
            <w:vAlign w:val="center"/>
            <w:hideMark/>
          </w:tcPr>
          <w:p w14:paraId="170A9DB6" w14:textId="77777777" w:rsidR="00B525CA" w:rsidRPr="00951AB1" w:rsidRDefault="00B525CA" w:rsidP="000A5389">
            <w:pPr>
              <w:spacing w:line="240" w:lineRule="auto"/>
              <w:rPr>
                <w:rFonts w:eastAsia="Times New Roman" w:cs="Times New Roman"/>
                <w:i/>
                <w:color w:val="000000"/>
                <w:kern w:val="0"/>
                <w:sz w:val="16"/>
                <w:szCs w:val="16"/>
                <w:lang w:eastAsia="es-CO"/>
                <w14:ligatures w14:val="none"/>
              </w:rPr>
            </w:pPr>
            <w:r w:rsidRPr="00951AB1">
              <w:rPr>
                <w:rFonts w:eastAsia="Times New Roman" w:cs="Times New Roman"/>
                <w:i/>
                <w:color w:val="000000"/>
                <w:kern w:val="0"/>
                <w:sz w:val="16"/>
                <w:szCs w:val="16"/>
                <w:lang w:eastAsia="es-CO"/>
                <w14:ligatures w14:val="none"/>
              </w:rPr>
              <w:t>En construcción</w:t>
            </w:r>
          </w:p>
        </w:tc>
        <w:tc>
          <w:tcPr>
            <w:tcW w:w="1559" w:type="dxa"/>
            <w:shd w:val="clear" w:color="auto" w:fill="F2F2F2" w:themeFill="background1" w:themeFillShade="F2"/>
            <w:noWrap/>
            <w:vAlign w:val="center"/>
            <w:hideMark/>
          </w:tcPr>
          <w:p w14:paraId="0D50FC01" w14:textId="57D6B9D9" w:rsidR="00B525CA" w:rsidRPr="00951AB1" w:rsidRDefault="00B525CA" w:rsidP="000A5389">
            <w:pPr>
              <w:spacing w:line="240" w:lineRule="auto"/>
              <w:jc w:val="right"/>
              <w:rPr>
                <w:rFonts w:eastAsia="Times New Roman" w:cs="Times New Roman"/>
                <w:i/>
                <w:color w:val="000000"/>
                <w:kern w:val="0"/>
                <w:sz w:val="16"/>
                <w:szCs w:val="16"/>
                <w:lang w:eastAsia="es-CO"/>
                <w14:ligatures w14:val="none"/>
              </w:rPr>
            </w:pPr>
            <w:r w:rsidRPr="00951AB1">
              <w:rPr>
                <w:rFonts w:eastAsia="Times New Roman" w:cs="Times New Roman"/>
                <w:i/>
                <w:color w:val="000000"/>
                <w:kern w:val="0"/>
                <w:sz w:val="16"/>
                <w:szCs w:val="16"/>
                <w:lang w:eastAsia="es-CO"/>
                <w14:ligatures w14:val="none"/>
              </w:rPr>
              <w:t>28.994.238.928.742</w:t>
            </w:r>
          </w:p>
        </w:tc>
        <w:tc>
          <w:tcPr>
            <w:tcW w:w="1560" w:type="dxa"/>
            <w:shd w:val="clear" w:color="auto" w:fill="F2F2F2" w:themeFill="background1" w:themeFillShade="F2"/>
            <w:noWrap/>
            <w:vAlign w:val="center"/>
            <w:hideMark/>
          </w:tcPr>
          <w:p w14:paraId="76E05E45" w14:textId="751D2FF4" w:rsidR="00B525CA" w:rsidRPr="00951AB1" w:rsidRDefault="00B525CA" w:rsidP="000A5389">
            <w:pPr>
              <w:spacing w:line="240" w:lineRule="auto"/>
              <w:jc w:val="right"/>
              <w:rPr>
                <w:rFonts w:eastAsia="Times New Roman" w:cs="Times New Roman"/>
                <w:i/>
                <w:color w:val="000000"/>
                <w:kern w:val="0"/>
                <w:sz w:val="16"/>
                <w:szCs w:val="16"/>
                <w:lang w:eastAsia="es-CO"/>
                <w14:ligatures w14:val="none"/>
              </w:rPr>
            </w:pPr>
            <w:r w:rsidRPr="00951AB1">
              <w:rPr>
                <w:rFonts w:eastAsia="Times New Roman" w:cs="Times New Roman"/>
                <w:i/>
                <w:color w:val="000000"/>
                <w:kern w:val="0"/>
                <w:sz w:val="16"/>
                <w:szCs w:val="16"/>
                <w:lang w:eastAsia="es-CO"/>
                <w14:ligatures w14:val="none"/>
              </w:rPr>
              <w:t>40.404.672.023.826</w:t>
            </w:r>
          </w:p>
        </w:tc>
        <w:tc>
          <w:tcPr>
            <w:tcW w:w="1603" w:type="dxa"/>
            <w:shd w:val="clear" w:color="auto" w:fill="F2F2F2" w:themeFill="background1" w:themeFillShade="F2"/>
            <w:noWrap/>
            <w:vAlign w:val="center"/>
            <w:hideMark/>
          </w:tcPr>
          <w:p w14:paraId="188D67D8" w14:textId="4B458350" w:rsidR="00B525CA" w:rsidRPr="00951AB1" w:rsidRDefault="00B525CA" w:rsidP="000A5389">
            <w:pPr>
              <w:spacing w:line="240" w:lineRule="auto"/>
              <w:jc w:val="right"/>
              <w:rPr>
                <w:rFonts w:eastAsia="Times New Roman" w:cs="Times New Roman"/>
                <w:i/>
                <w:color w:val="000000"/>
                <w:kern w:val="0"/>
                <w:sz w:val="16"/>
                <w:szCs w:val="16"/>
                <w:lang w:eastAsia="es-CO"/>
                <w14:ligatures w14:val="none"/>
              </w:rPr>
            </w:pPr>
            <w:r w:rsidRPr="00951AB1">
              <w:rPr>
                <w:rFonts w:eastAsia="Times New Roman" w:cs="Times New Roman"/>
                <w:i/>
                <w:color w:val="000000"/>
                <w:kern w:val="0"/>
                <w:sz w:val="16"/>
                <w:szCs w:val="16"/>
                <w:lang w:eastAsia="es-CO"/>
                <w14:ligatures w14:val="none"/>
              </w:rPr>
              <w:t>-11.410.433.095.084</w:t>
            </w:r>
          </w:p>
        </w:tc>
      </w:tr>
      <w:tr w:rsidR="00050CAF" w:rsidRPr="00951AB1" w14:paraId="5F7CEACA" w14:textId="77777777" w:rsidTr="5863944A">
        <w:trPr>
          <w:trHeight w:val="240"/>
          <w:jc w:val="right"/>
        </w:trPr>
        <w:tc>
          <w:tcPr>
            <w:tcW w:w="4106" w:type="dxa"/>
            <w:shd w:val="clear" w:color="auto" w:fill="F2F2F2" w:themeFill="background1" w:themeFillShade="F2"/>
            <w:noWrap/>
            <w:vAlign w:val="center"/>
            <w:hideMark/>
          </w:tcPr>
          <w:p w14:paraId="2F3B6C31" w14:textId="77777777" w:rsidR="00B525CA" w:rsidRPr="00951AB1" w:rsidRDefault="00B525CA" w:rsidP="000A5389">
            <w:pPr>
              <w:spacing w:line="240" w:lineRule="auto"/>
              <w:rPr>
                <w:rFonts w:eastAsia="Times New Roman" w:cs="Times New Roman"/>
                <w:i/>
                <w:color w:val="000000"/>
                <w:kern w:val="0"/>
                <w:sz w:val="16"/>
                <w:szCs w:val="16"/>
                <w:lang w:eastAsia="es-CO"/>
                <w14:ligatures w14:val="none"/>
              </w:rPr>
            </w:pPr>
            <w:r w:rsidRPr="00951AB1">
              <w:rPr>
                <w:rFonts w:eastAsia="Times New Roman" w:cs="Times New Roman"/>
                <w:i/>
                <w:color w:val="000000"/>
                <w:kern w:val="0"/>
                <w:sz w:val="16"/>
                <w:szCs w:val="16"/>
                <w:lang w:eastAsia="es-CO"/>
                <w14:ligatures w14:val="none"/>
              </w:rPr>
              <w:t>En servicio</w:t>
            </w:r>
          </w:p>
        </w:tc>
        <w:tc>
          <w:tcPr>
            <w:tcW w:w="1559" w:type="dxa"/>
            <w:shd w:val="clear" w:color="auto" w:fill="F2F2F2" w:themeFill="background1" w:themeFillShade="F2"/>
            <w:noWrap/>
            <w:vAlign w:val="center"/>
            <w:hideMark/>
          </w:tcPr>
          <w:p w14:paraId="15B265DA" w14:textId="283DBBF3" w:rsidR="00B525CA" w:rsidRPr="00951AB1" w:rsidRDefault="00B525CA" w:rsidP="000A5389">
            <w:pPr>
              <w:spacing w:line="240" w:lineRule="auto"/>
              <w:jc w:val="right"/>
              <w:rPr>
                <w:rFonts w:eastAsia="Times New Roman" w:cs="Times New Roman"/>
                <w:i/>
                <w:color w:val="000000"/>
                <w:kern w:val="0"/>
                <w:sz w:val="16"/>
                <w:szCs w:val="16"/>
                <w:lang w:eastAsia="es-CO"/>
                <w14:ligatures w14:val="none"/>
              </w:rPr>
            </w:pPr>
            <w:r w:rsidRPr="00951AB1">
              <w:rPr>
                <w:rFonts w:eastAsia="Times New Roman" w:cs="Times New Roman"/>
                <w:i/>
                <w:color w:val="000000"/>
                <w:kern w:val="0"/>
                <w:sz w:val="16"/>
                <w:szCs w:val="16"/>
                <w:lang w:eastAsia="es-CO"/>
                <w14:ligatures w14:val="none"/>
              </w:rPr>
              <w:t>33.821.067.240.215</w:t>
            </w:r>
          </w:p>
        </w:tc>
        <w:tc>
          <w:tcPr>
            <w:tcW w:w="1560" w:type="dxa"/>
            <w:shd w:val="clear" w:color="auto" w:fill="F2F2F2" w:themeFill="background1" w:themeFillShade="F2"/>
            <w:noWrap/>
            <w:vAlign w:val="center"/>
            <w:hideMark/>
          </w:tcPr>
          <w:p w14:paraId="77FA0BB2" w14:textId="175A28F5" w:rsidR="00B525CA" w:rsidRPr="00951AB1" w:rsidRDefault="00B525CA" w:rsidP="000A5389">
            <w:pPr>
              <w:spacing w:line="240" w:lineRule="auto"/>
              <w:jc w:val="right"/>
              <w:rPr>
                <w:rFonts w:eastAsia="Times New Roman" w:cs="Times New Roman"/>
                <w:i/>
                <w:color w:val="000000"/>
                <w:kern w:val="0"/>
                <w:sz w:val="16"/>
                <w:szCs w:val="16"/>
                <w:lang w:eastAsia="es-CO"/>
                <w14:ligatures w14:val="none"/>
              </w:rPr>
            </w:pPr>
            <w:r w:rsidRPr="00951AB1">
              <w:rPr>
                <w:rFonts w:eastAsia="Times New Roman" w:cs="Times New Roman"/>
                <w:i/>
                <w:color w:val="000000"/>
                <w:kern w:val="0"/>
                <w:sz w:val="16"/>
                <w:szCs w:val="16"/>
                <w:lang w:eastAsia="es-CO"/>
                <w14:ligatures w14:val="none"/>
              </w:rPr>
              <w:t>16.913.240.801.955</w:t>
            </w:r>
          </w:p>
        </w:tc>
        <w:tc>
          <w:tcPr>
            <w:tcW w:w="1603" w:type="dxa"/>
            <w:shd w:val="clear" w:color="auto" w:fill="F2F2F2" w:themeFill="background1" w:themeFillShade="F2"/>
            <w:noWrap/>
            <w:vAlign w:val="center"/>
            <w:hideMark/>
          </w:tcPr>
          <w:p w14:paraId="4E9FB203" w14:textId="782869E8" w:rsidR="00B525CA" w:rsidRPr="00951AB1" w:rsidRDefault="00B525CA" w:rsidP="000A5389">
            <w:pPr>
              <w:spacing w:line="240" w:lineRule="auto"/>
              <w:jc w:val="right"/>
              <w:rPr>
                <w:rFonts w:eastAsia="Times New Roman" w:cs="Times New Roman"/>
                <w:i/>
                <w:color w:val="000000"/>
                <w:kern w:val="0"/>
                <w:sz w:val="16"/>
                <w:szCs w:val="16"/>
                <w:lang w:eastAsia="es-CO"/>
                <w14:ligatures w14:val="none"/>
              </w:rPr>
            </w:pPr>
            <w:r w:rsidRPr="00951AB1">
              <w:rPr>
                <w:rFonts w:eastAsia="Times New Roman" w:cs="Times New Roman"/>
                <w:i/>
                <w:color w:val="000000"/>
                <w:kern w:val="0"/>
                <w:sz w:val="16"/>
                <w:szCs w:val="16"/>
                <w:lang w:eastAsia="es-CO"/>
                <w14:ligatures w14:val="none"/>
              </w:rPr>
              <w:t>16.907.826.438.260</w:t>
            </w:r>
          </w:p>
        </w:tc>
      </w:tr>
      <w:tr w:rsidR="005B72F1" w:rsidRPr="00951AB1" w14:paraId="7C710092" w14:textId="77777777" w:rsidTr="002B3ABB">
        <w:trPr>
          <w:trHeight w:val="285"/>
          <w:jc w:val="right"/>
        </w:trPr>
        <w:tc>
          <w:tcPr>
            <w:tcW w:w="4106" w:type="dxa"/>
            <w:noWrap/>
            <w:vAlign w:val="center"/>
            <w:hideMark/>
          </w:tcPr>
          <w:p w14:paraId="56482F15" w14:textId="77777777" w:rsidR="00B525CA" w:rsidRPr="00951AB1" w:rsidRDefault="00B525CA" w:rsidP="000A5389">
            <w:pPr>
              <w:spacing w:line="240" w:lineRule="auto"/>
              <w:rPr>
                <w:rFonts w:eastAsia="Times New Roman" w:cs="Times New Roman"/>
                <w:b/>
                <w:color w:val="000000"/>
                <w:kern w:val="0"/>
                <w:sz w:val="16"/>
                <w:szCs w:val="16"/>
                <w:lang w:eastAsia="es-CO"/>
                <w14:ligatures w14:val="none"/>
              </w:rPr>
            </w:pPr>
            <w:r w:rsidRPr="00951AB1">
              <w:rPr>
                <w:rFonts w:eastAsia="Times New Roman" w:cs="Times New Roman"/>
                <w:b/>
                <w:color w:val="000000"/>
                <w:kern w:val="0"/>
                <w:sz w:val="16"/>
                <w:szCs w:val="16"/>
                <w:lang w:eastAsia="es-CO"/>
                <w14:ligatures w14:val="none"/>
              </w:rPr>
              <w:t>Terrenos</w:t>
            </w:r>
          </w:p>
        </w:tc>
        <w:tc>
          <w:tcPr>
            <w:tcW w:w="1559" w:type="dxa"/>
            <w:noWrap/>
            <w:vAlign w:val="center"/>
            <w:hideMark/>
          </w:tcPr>
          <w:p w14:paraId="2A432175" w14:textId="7C18CFE5" w:rsidR="00B525CA" w:rsidRPr="00951AB1" w:rsidRDefault="00B525CA" w:rsidP="000A5389">
            <w:pPr>
              <w:spacing w:line="240" w:lineRule="auto"/>
              <w:jc w:val="right"/>
              <w:rPr>
                <w:rFonts w:eastAsia="Times New Roman" w:cs="Times New Roman"/>
                <w:b/>
                <w:color w:val="000000"/>
                <w:kern w:val="0"/>
                <w:sz w:val="16"/>
                <w:szCs w:val="16"/>
                <w:lang w:eastAsia="es-CO"/>
                <w14:ligatures w14:val="none"/>
              </w:rPr>
            </w:pPr>
            <w:r w:rsidRPr="00951AB1">
              <w:rPr>
                <w:rFonts w:eastAsia="Times New Roman" w:cs="Times New Roman"/>
                <w:b/>
                <w:color w:val="000000"/>
                <w:kern w:val="0"/>
                <w:sz w:val="16"/>
                <w:szCs w:val="16"/>
                <w:lang w:eastAsia="es-CO"/>
                <w14:ligatures w14:val="none"/>
              </w:rPr>
              <w:t>3.281.835.207.643</w:t>
            </w:r>
          </w:p>
        </w:tc>
        <w:tc>
          <w:tcPr>
            <w:tcW w:w="1560" w:type="dxa"/>
            <w:noWrap/>
            <w:vAlign w:val="center"/>
            <w:hideMark/>
          </w:tcPr>
          <w:p w14:paraId="6C673D66" w14:textId="032C0228" w:rsidR="00B525CA" w:rsidRPr="00951AB1" w:rsidRDefault="00B525CA" w:rsidP="000A5389">
            <w:pPr>
              <w:spacing w:line="240" w:lineRule="auto"/>
              <w:jc w:val="right"/>
              <w:rPr>
                <w:rFonts w:eastAsia="Times New Roman" w:cs="Times New Roman"/>
                <w:b/>
                <w:color w:val="000000"/>
                <w:kern w:val="0"/>
                <w:sz w:val="16"/>
                <w:szCs w:val="16"/>
                <w:lang w:eastAsia="es-CO"/>
                <w14:ligatures w14:val="none"/>
              </w:rPr>
            </w:pPr>
            <w:r w:rsidRPr="00951AB1">
              <w:rPr>
                <w:rFonts w:eastAsia="Times New Roman" w:cs="Times New Roman"/>
                <w:b/>
                <w:color w:val="000000"/>
                <w:kern w:val="0"/>
                <w:sz w:val="16"/>
                <w:szCs w:val="16"/>
                <w:lang w:eastAsia="es-CO"/>
                <w14:ligatures w14:val="none"/>
              </w:rPr>
              <w:t>3.052.406.100.472</w:t>
            </w:r>
          </w:p>
        </w:tc>
        <w:tc>
          <w:tcPr>
            <w:tcW w:w="1603" w:type="dxa"/>
            <w:noWrap/>
            <w:vAlign w:val="center"/>
            <w:hideMark/>
          </w:tcPr>
          <w:p w14:paraId="4FAB5F39" w14:textId="745D5CCC" w:rsidR="00B525CA" w:rsidRPr="00951AB1" w:rsidRDefault="00B525CA" w:rsidP="000A5389">
            <w:pPr>
              <w:spacing w:line="240" w:lineRule="auto"/>
              <w:jc w:val="right"/>
              <w:rPr>
                <w:rFonts w:eastAsia="Times New Roman" w:cs="Times New Roman"/>
                <w:b/>
                <w:color w:val="000000"/>
                <w:kern w:val="0"/>
                <w:sz w:val="16"/>
                <w:szCs w:val="16"/>
                <w:lang w:eastAsia="es-CO"/>
                <w14:ligatures w14:val="none"/>
              </w:rPr>
            </w:pPr>
            <w:r w:rsidRPr="00951AB1">
              <w:rPr>
                <w:rFonts w:eastAsia="Times New Roman" w:cs="Times New Roman"/>
                <w:b/>
                <w:color w:val="000000"/>
                <w:kern w:val="0"/>
                <w:sz w:val="16"/>
                <w:szCs w:val="16"/>
                <w:lang w:eastAsia="es-CO"/>
                <w14:ligatures w14:val="none"/>
              </w:rPr>
              <w:t>229.429.107.171</w:t>
            </w:r>
          </w:p>
        </w:tc>
      </w:tr>
      <w:tr w:rsidR="00050CAF" w:rsidRPr="00951AB1" w14:paraId="5E806C5D" w14:textId="77777777" w:rsidTr="5863944A">
        <w:trPr>
          <w:trHeight w:val="240"/>
          <w:jc w:val="right"/>
        </w:trPr>
        <w:tc>
          <w:tcPr>
            <w:tcW w:w="4106" w:type="dxa"/>
            <w:shd w:val="clear" w:color="auto" w:fill="F2F2F2" w:themeFill="background1" w:themeFillShade="F2"/>
            <w:noWrap/>
            <w:vAlign w:val="center"/>
            <w:hideMark/>
          </w:tcPr>
          <w:p w14:paraId="162FCC57" w14:textId="77777777" w:rsidR="00B525CA" w:rsidRPr="00951AB1" w:rsidRDefault="00B525CA" w:rsidP="000A5389">
            <w:pPr>
              <w:spacing w:line="240" w:lineRule="auto"/>
              <w:rPr>
                <w:rFonts w:eastAsia="Times New Roman" w:cs="Times New Roman"/>
                <w:i/>
                <w:color w:val="000000"/>
                <w:kern w:val="0"/>
                <w:sz w:val="16"/>
                <w:szCs w:val="16"/>
                <w:lang w:eastAsia="es-CO"/>
                <w14:ligatures w14:val="none"/>
              </w:rPr>
            </w:pPr>
            <w:r w:rsidRPr="00951AB1">
              <w:rPr>
                <w:rFonts w:eastAsia="Times New Roman" w:cs="Times New Roman"/>
                <w:i/>
                <w:color w:val="000000"/>
                <w:kern w:val="0"/>
                <w:sz w:val="16"/>
                <w:szCs w:val="16"/>
                <w:lang w:eastAsia="es-CO"/>
                <w14:ligatures w14:val="none"/>
              </w:rPr>
              <w:t>En construcción</w:t>
            </w:r>
          </w:p>
        </w:tc>
        <w:tc>
          <w:tcPr>
            <w:tcW w:w="1559" w:type="dxa"/>
            <w:shd w:val="clear" w:color="auto" w:fill="F2F2F2" w:themeFill="background1" w:themeFillShade="F2"/>
            <w:noWrap/>
            <w:vAlign w:val="center"/>
            <w:hideMark/>
          </w:tcPr>
          <w:p w14:paraId="42BEDD47" w14:textId="66C94B49" w:rsidR="00B525CA" w:rsidRPr="00951AB1" w:rsidRDefault="00B525CA" w:rsidP="000A5389">
            <w:pPr>
              <w:spacing w:line="240" w:lineRule="auto"/>
              <w:jc w:val="right"/>
              <w:rPr>
                <w:rFonts w:eastAsia="Times New Roman" w:cs="Times New Roman"/>
                <w:i/>
                <w:color w:val="000000"/>
                <w:kern w:val="0"/>
                <w:sz w:val="16"/>
                <w:szCs w:val="16"/>
                <w:lang w:eastAsia="es-CO"/>
                <w14:ligatures w14:val="none"/>
              </w:rPr>
            </w:pPr>
            <w:r w:rsidRPr="00951AB1">
              <w:rPr>
                <w:rFonts w:eastAsia="Times New Roman" w:cs="Times New Roman"/>
                <w:i/>
                <w:iCs/>
                <w:color w:val="000000"/>
                <w:kern w:val="0"/>
                <w:sz w:val="16"/>
                <w:szCs w:val="16"/>
                <w:lang w:eastAsia="es-CO"/>
                <w14:ligatures w14:val="none"/>
              </w:rPr>
              <w:t>1.328.695.801.856</w:t>
            </w:r>
          </w:p>
        </w:tc>
        <w:tc>
          <w:tcPr>
            <w:tcW w:w="1560" w:type="dxa"/>
            <w:shd w:val="clear" w:color="auto" w:fill="F2F2F2" w:themeFill="background1" w:themeFillShade="F2"/>
            <w:noWrap/>
            <w:vAlign w:val="center"/>
            <w:hideMark/>
          </w:tcPr>
          <w:p w14:paraId="2F3BC50F" w14:textId="7A5DE273" w:rsidR="00B525CA" w:rsidRPr="00951AB1" w:rsidRDefault="00B525CA" w:rsidP="000A5389">
            <w:pPr>
              <w:spacing w:line="240" w:lineRule="auto"/>
              <w:jc w:val="right"/>
              <w:rPr>
                <w:rFonts w:eastAsia="Times New Roman" w:cs="Times New Roman"/>
                <w:i/>
                <w:color w:val="000000"/>
                <w:kern w:val="0"/>
                <w:sz w:val="16"/>
                <w:szCs w:val="16"/>
                <w:lang w:eastAsia="es-CO"/>
                <w14:ligatures w14:val="none"/>
              </w:rPr>
            </w:pPr>
            <w:r w:rsidRPr="00951AB1">
              <w:rPr>
                <w:rFonts w:eastAsia="Times New Roman" w:cs="Times New Roman"/>
                <w:i/>
                <w:iCs/>
                <w:color w:val="000000"/>
                <w:kern w:val="0"/>
                <w:sz w:val="16"/>
                <w:szCs w:val="16"/>
                <w:lang w:eastAsia="es-CO"/>
                <w14:ligatures w14:val="none"/>
              </w:rPr>
              <w:t>1.818.167.720.966</w:t>
            </w:r>
          </w:p>
        </w:tc>
        <w:tc>
          <w:tcPr>
            <w:tcW w:w="1603" w:type="dxa"/>
            <w:shd w:val="clear" w:color="auto" w:fill="F2F2F2" w:themeFill="background1" w:themeFillShade="F2"/>
            <w:noWrap/>
            <w:vAlign w:val="center"/>
            <w:hideMark/>
          </w:tcPr>
          <w:p w14:paraId="2303A93E" w14:textId="4423B51B" w:rsidR="00B525CA" w:rsidRPr="00951AB1" w:rsidRDefault="00B525CA" w:rsidP="000A5389">
            <w:pPr>
              <w:spacing w:line="240" w:lineRule="auto"/>
              <w:jc w:val="right"/>
              <w:rPr>
                <w:rFonts w:eastAsia="Times New Roman" w:cs="Times New Roman"/>
                <w:i/>
                <w:color w:val="000000"/>
                <w:kern w:val="0"/>
                <w:sz w:val="16"/>
                <w:szCs w:val="16"/>
                <w:lang w:eastAsia="es-CO"/>
                <w14:ligatures w14:val="none"/>
              </w:rPr>
            </w:pPr>
            <w:r w:rsidRPr="00951AB1">
              <w:rPr>
                <w:rFonts w:eastAsia="Times New Roman" w:cs="Times New Roman"/>
                <w:i/>
                <w:iCs/>
                <w:color w:val="000000"/>
                <w:kern w:val="0"/>
                <w:sz w:val="16"/>
                <w:szCs w:val="16"/>
                <w:lang w:eastAsia="es-CO"/>
                <w14:ligatures w14:val="none"/>
              </w:rPr>
              <w:t>-489.471.919.110</w:t>
            </w:r>
          </w:p>
        </w:tc>
      </w:tr>
      <w:tr w:rsidR="00050CAF" w:rsidRPr="00951AB1" w14:paraId="23671B18" w14:textId="77777777" w:rsidTr="5863944A">
        <w:trPr>
          <w:trHeight w:val="240"/>
          <w:jc w:val="right"/>
        </w:trPr>
        <w:tc>
          <w:tcPr>
            <w:tcW w:w="4106" w:type="dxa"/>
            <w:shd w:val="clear" w:color="auto" w:fill="F2F2F2" w:themeFill="background1" w:themeFillShade="F2"/>
            <w:noWrap/>
            <w:vAlign w:val="center"/>
            <w:hideMark/>
          </w:tcPr>
          <w:p w14:paraId="7FCA1881" w14:textId="77777777" w:rsidR="00B525CA" w:rsidRPr="00951AB1" w:rsidRDefault="00B525CA" w:rsidP="000A5389">
            <w:pPr>
              <w:spacing w:line="240" w:lineRule="auto"/>
              <w:rPr>
                <w:rFonts w:eastAsia="Times New Roman" w:cs="Times New Roman"/>
                <w:i/>
                <w:color w:val="000000"/>
                <w:kern w:val="0"/>
                <w:sz w:val="16"/>
                <w:szCs w:val="16"/>
                <w:lang w:eastAsia="es-CO"/>
                <w14:ligatures w14:val="none"/>
              </w:rPr>
            </w:pPr>
            <w:r w:rsidRPr="00951AB1">
              <w:rPr>
                <w:rFonts w:eastAsia="Times New Roman" w:cs="Times New Roman"/>
                <w:i/>
                <w:color w:val="000000"/>
                <w:kern w:val="0"/>
                <w:sz w:val="16"/>
                <w:szCs w:val="16"/>
                <w:lang w:eastAsia="es-CO"/>
                <w14:ligatures w14:val="none"/>
              </w:rPr>
              <w:t>En servicio</w:t>
            </w:r>
          </w:p>
        </w:tc>
        <w:tc>
          <w:tcPr>
            <w:tcW w:w="1559" w:type="dxa"/>
            <w:shd w:val="clear" w:color="auto" w:fill="F2F2F2" w:themeFill="background1" w:themeFillShade="F2"/>
            <w:noWrap/>
            <w:vAlign w:val="center"/>
            <w:hideMark/>
          </w:tcPr>
          <w:p w14:paraId="071AFC36" w14:textId="6D39D887" w:rsidR="00B525CA" w:rsidRPr="00951AB1" w:rsidRDefault="00B525CA" w:rsidP="000A5389">
            <w:pPr>
              <w:spacing w:line="240" w:lineRule="auto"/>
              <w:jc w:val="right"/>
              <w:rPr>
                <w:rFonts w:eastAsia="Times New Roman" w:cs="Times New Roman"/>
                <w:i/>
                <w:color w:val="000000"/>
                <w:kern w:val="0"/>
                <w:sz w:val="16"/>
                <w:szCs w:val="16"/>
                <w:lang w:eastAsia="es-CO"/>
                <w14:ligatures w14:val="none"/>
              </w:rPr>
            </w:pPr>
            <w:r w:rsidRPr="00951AB1">
              <w:rPr>
                <w:rFonts w:eastAsia="Times New Roman" w:cs="Times New Roman"/>
                <w:i/>
                <w:iCs/>
                <w:color w:val="000000"/>
                <w:kern w:val="0"/>
                <w:sz w:val="16"/>
                <w:szCs w:val="16"/>
                <w:lang w:eastAsia="es-CO"/>
                <w14:ligatures w14:val="none"/>
              </w:rPr>
              <w:t>1.953.139.405.788</w:t>
            </w:r>
          </w:p>
        </w:tc>
        <w:tc>
          <w:tcPr>
            <w:tcW w:w="1560" w:type="dxa"/>
            <w:shd w:val="clear" w:color="auto" w:fill="F2F2F2" w:themeFill="background1" w:themeFillShade="F2"/>
            <w:noWrap/>
            <w:vAlign w:val="center"/>
            <w:hideMark/>
          </w:tcPr>
          <w:p w14:paraId="314A5419" w14:textId="546F1F54" w:rsidR="00B525CA" w:rsidRPr="00951AB1" w:rsidRDefault="00B525CA" w:rsidP="000A5389">
            <w:pPr>
              <w:spacing w:line="240" w:lineRule="auto"/>
              <w:jc w:val="right"/>
              <w:rPr>
                <w:rFonts w:eastAsia="Times New Roman" w:cs="Times New Roman"/>
                <w:i/>
                <w:color w:val="000000"/>
                <w:kern w:val="0"/>
                <w:sz w:val="16"/>
                <w:szCs w:val="16"/>
                <w:lang w:eastAsia="es-CO"/>
                <w14:ligatures w14:val="none"/>
              </w:rPr>
            </w:pPr>
            <w:r w:rsidRPr="00951AB1">
              <w:rPr>
                <w:rFonts w:eastAsia="Times New Roman" w:cs="Times New Roman"/>
                <w:i/>
                <w:iCs/>
                <w:color w:val="000000"/>
                <w:kern w:val="0"/>
                <w:sz w:val="16"/>
                <w:szCs w:val="16"/>
                <w:lang w:eastAsia="es-CO"/>
                <w14:ligatures w14:val="none"/>
              </w:rPr>
              <w:t>1.234.238.379.506</w:t>
            </w:r>
          </w:p>
        </w:tc>
        <w:tc>
          <w:tcPr>
            <w:tcW w:w="1603" w:type="dxa"/>
            <w:shd w:val="clear" w:color="auto" w:fill="F2F2F2" w:themeFill="background1" w:themeFillShade="F2"/>
            <w:noWrap/>
            <w:vAlign w:val="center"/>
            <w:hideMark/>
          </w:tcPr>
          <w:p w14:paraId="0B890A91" w14:textId="64215249" w:rsidR="00B525CA" w:rsidRPr="00951AB1" w:rsidRDefault="00B525CA" w:rsidP="000A5389">
            <w:pPr>
              <w:spacing w:line="240" w:lineRule="auto"/>
              <w:jc w:val="right"/>
              <w:rPr>
                <w:rFonts w:eastAsia="Times New Roman" w:cs="Times New Roman"/>
                <w:i/>
                <w:color w:val="000000"/>
                <w:kern w:val="0"/>
                <w:sz w:val="16"/>
                <w:szCs w:val="16"/>
                <w:lang w:eastAsia="es-CO"/>
                <w14:ligatures w14:val="none"/>
              </w:rPr>
            </w:pPr>
            <w:r w:rsidRPr="00951AB1">
              <w:rPr>
                <w:rFonts w:eastAsia="Times New Roman" w:cs="Times New Roman"/>
                <w:i/>
                <w:iCs/>
                <w:color w:val="000000"/>
                <w:kern w:val="0"/>
                <w:sz w:val="16"/>
                <w:szCs w:val="16"/>
                <w:lang w:eastAsia="es-CO"/>
                <w14:ligatures w14:val="none"/>
              </w:rPr>
              <w:t>718.901.026.282</w:t>
            </w:r>
          </w:p>
        </w:tc>
      </w:tr>
      <w:tr w:rsidR="005B72F1" w:rsidRPr="00951AB1" w14:paraId="7F7C7530" w14:textId="77777777" w:rsidTr="002B3ABB">
        <w:trPr>
          <w:trHeight w:val="285"/>
          <w:jc w:val="right"/>
        </w:trPr>
        <w:tc>
          <w:tcPr>
            <w:tcW w:w="4106" w:type="dxa"/>
            <w:noWrap/>
            <w:vAlign w:val="center"/>
            <w:hideMark/>
          </w:tcPr>
          <w:p w14:paraId="458726F5" w14:textId="77777777" w:rsidR="00B525CA" w:rsidRPr="00951AB1" w:rsidRDefault="00B525CA" w:rsidP="000A5389">
            <w:pPr>
              <w:spacing w:line="240" w:lineRule="auto"/>
              <w:rPr>
                <w:rFonts w:eastAsia="Times New Roman" w:cs="Times New Roman"/>
                <w:b/>
                <w:color w:val="000000"/>
                <w:kern w:val="0"/>
                <w:sz w:val="16"/>
                <w:szCs w:val="16"/>
                <w:lang w:eastAsia="es-CO"/>
                <w14:ligatures w14:val="none"/>
              </w:rPr>
            </w:pPr>
            <w:r w:rsidRPr="00951AB1">
              <w:rPr>
                <w:rFonts w:eastAsia="Times New Roman" w:cs="Times New Roman"/>
                <w:b/>
                <w:color w:val="000000"/>
                <w:kern w:val="0"/>
                <w:sz w:val="16"/>
                <w:szCs w:val="16"/>
                <w:lang w:eastAsia="es-CO"/>
                <w14:ligatures w14:val="none"/>
              </w:rPr>
              <w:t>Férreo</w:t>
            </w:r>
          </w:p>
        </w:tc>
        <w:tc>
          <w:tcPr>
            <w:tcW w:w="1559" w:type="dxa"/>
            <w:noWrap/>
            <w:vAlign w:val="center"/>
            <w:hideMark/>
          </w:tcPr>
          <w:p w14:paraId="6CEE6A88" w14:textId="70870212" w:rsidR="00B525CA" w:rsidRPr="00951AB1" w:rsidRDefault="00B525CA" w:rsidP="000A5389">
            <w:pPr>
              <w:spacing w:line="240" w:lineRule="auto"/>
              <w:jc w:val="right"/>
              <w:rPr>
                <w:rFonts w:eastAsia="Times New Roman" w:cs="Times New Roman"/>
                <w:b/>
                <w:color w:val="000000"/>
                <w:kern w:val="0"/>
                <w:sz w:val="16"/>
                <w:szCs w:val="16"/>
                <w:lang w:eastAsia="es-CO"/>
                <w14:ligatures w14:val="none"/>
              </w:rPr>
            </w:pPr>
            <w:r w:rsidRPr="00951AB1">
              <w:rPr>
                <w:rFonts w:eastAsia="Times New Roman" w:cs="Times New Roman"/>
                <w:b/>
                <w:color w:val="000000"/>
                <w:kern w:val="0"/>
                <w:sz w:val="16"/>
                <w:szCs w:val="16"/>
                <w:lang w:eastAsia="es-CO"/>
                <w14:ligatures w14:val="none"/>
              </w:rPr>
              <w:t>3.231.100.284.337</w:t>
            </w:r>
          </w:p>
        </w:tc>
        <w:tc>
          <w:tcPr>
            <w:tcW w:w="1560" w:type="dxa"/>
            <w:noWrap/>
            <w:vAlign w:val="center"/>
            <w:hideMark/>
          </w:tcPr>
          <w:p w14:paraId="1179C1F8" w14:textId="6C0353BA" w:rsidR="00B525CA" w:rsidRPr="00951AB1" w:rsidRDefault="00B525CA" w:rsidP="000A5389">
            <w:pPr>
              <w:spacing w:line="240" w:lineRule="auto"/>
              <w:jc w:val="right"/>
              <w:rPr>
                <w:rFonts w:eastAsia="Times New Roman" w:cs="Times New Roman"/>
                <w:b/>
                <w:color w:val="000000"/>
                <w:kern w:val="0"/>
                <w:sz w:val="16"/>
                <w:szCs w:val="16"/>
                <w:lang w:eastAsia="es-CO"/>
                <w14:ligatures w14:val="none"/>
              </w:rPr>
            </w:pPr>
            <w:r w:rsidRPr="00951AB1">
              <w:rPr>
                <w:rFonts w:eastAsia="Times New Roman" w:cs="Times New Roman"/>
                <w:b/>
                <w:color w:val="000000"/>
                <w:kern w:val="0"/>
                <w:sz w:val="16"/>
                <w:szCs w:val="16"/>
                <w:lang w:eastAsia="es-CO"/>
                <w14:ligatures w14:val="none"/>
              </w:rPr>
              <w:t>2.269.951.552.598</w:t>
            </w:r>
          </w:p>
        </w:tc>
        <w:tc>
          <w:tcPr>
            <w:tcW w:w="1603" w:type="dxa"/>
            <w:noWrap/>
            <w:vAlign w:val="center"/>
            <w:hideMark/>
          </w:tcPr>
          <w:p w14:paraId="07130391" w14:textId="30082F24" w:rsidR="00B525CA" w:rsidRPr="00951AB1" w:rsidRDefault="00B525CA" w:rsidP="000A5389">
            <w:pPr>
              <w:spacing w:line="240" w:lineRule="auto"/>
              <w:jc w:val="right"/>
              <w:rPr>
                <w:rFonts w:eastAsia="Times New Roman" w:cs="Times New Roman"/>
                <w:b/>
                <w:color w:val="000000"/>
                <w:kern w:val="0"/>
                <w:sz w:val="16"/>
                <w:szCs w:val="16"/>
                <w:lang w:eastAsia="es-CO"/>
                <w14:ligatures w14:val="none"/>
              </w:rPr>
            </w:pPr>
            <w:r w:rsidRPr="00951AB1">
              <w:rPr>
                <w:rFonts w:eastAsia="Times New Roman" w:cs="Times New Roman"/>
                <w:b/>
                <w:color w:val="000000"/>
                <w:kern w:val="0"/>
                <w:sz w:val="16"/>
                <w:szCs w:val="16"/>
                <w:lang w:eastAsia="es-CO"/>
                <w14:ligatures w14:val="none"/>
              </w:rPr>
              <w:t>961.148.731.739</w:t>
            </w:r>
          </w:p>
        </w:tc>
      </w:tr>
      <w:tr w:rsidR="005B72F1" w:rsidRPr="00951AB1" w14:paraId="03248352" w14:textId="77777777" w:rsidTr="002B3ABB">
        <w:trPr>
          <w:trHeight w:val="285"/>
          <w:jc w:val="right"/>
        </w:trPr>
        <w:tc>
          <w:tcPr>
            <w:tcW w:w="4106" w:type="dxa"/>
            <w:noWrap/>
            <w:vAlign w:val="center"/>
            <w:hideMark/>
          </w:tcPr>
          <w:p w14:paraId="64A8B662" w14:textId="77777777" w:rsidR="00B525CA" w:rsidRPr="00951AB1" w:rsidRDefault="00B525CA" w:rsidP="000A5389">
            <w:pPr>
              <w:spacing w:line="240" w:lineRule="auto"/>
              <w:rPr>
                <w:rFonts w:eastAsia="Times New Roman" w:cs="Times New Roman"/>
                <w:color w:val="000000"/>
                <w:kern w:val="0"/>
                <w:sz w:val="16"/>
                <w:szCs w:val="16"/>
                <w:lang w:eastAsia="es-CO"/>
                <w14:ligatures w14:val="none"/>
              </w:rPr>
            </w:pPr>
            <w:r w:rsidRPr="00951AB1">
              <w:rPr>
                <w:rFonts w:eastAsia="Times New Roman" w:cs="Times New Roman"/>
                <w:color w:val="000000"/>
                <w:kern w:val="0"/>
                <w:sz w:val="16"/>
                <w:szCs w:val="16"/>
                <w:lang w:eastAsia="es-CO"/>
                <w14:ligatures w14:val="none"/>
              </w:rPr>
              <w:t>Activos intangibles en concesión</w:t>
            </w:r>
          </w:p>
        </w:tc>
        <w:tc>
          <w:tcPr>
            <w:tcW w:w="1559" w:type="dxa"/>
            <w:noWrap/>
            <w:vAlign w:val="center"/>
            <w:hideMark/>
          </w:tcPr>
          <w:p w14:paraId="3769C8DC" w14:textId="71E9ADB6" w:rsidR="00B525CA" w:rsidRPr="00951AB1" w:rsidRDefault="00B525CA" w:rsidP="000A5389">
            <w:pPr>
              <w:spacing w:line="240" w:lineRule="auto"/>
              <w:jc w:val="right"/>
              <w:rPr>
                <w:rFonts w:eastAsia="Times New Roman" w:cs="Times New Roman"/>
                <w:color w:val="000000"/>
                <w:kern w:val="0"/>
                <w:sz w:val="16"/>
                <w:szCs w:val="16"/>
                <w:lang w:eastAsia="es-CO"/>
                <w14:ligatures w14:val="none"/>
              </w:rPr>
            </w:pPr>
            <w:r w:rsidRPr="00951AB1">
              <w:rPr>
                <w:rFonts w:eastAsia="Times New Roman" w:cs="Times New Roman"/>
                <w:color w:val="000000"/>
                <w:kern w:val="0"/>
                <w:sz w:val="16"/>
                <w:szCs w:val="16"/>
                <w:lang w:eastAsia="es-CO"/>
                <w14:ligatures w14:val="none"/>
              </w:rPr>
              <w:t>78.755.655.745</w:t>
            </w:r>
          </w:p>
        </w:tc>
        <w:tc>
          <w:tcPr>
            <w:tcW w:w="1560" w:type="dxa"/>
            <w:noWrap/>
            <w:vAlign w:val="center"/>
            <w:hideMark/>
          </w:tcPr>
          <w:p w14:paraId="704B720A" w14:textId="7218E1FB" w:rsidR="00B525CA" w:rsidRPr="00951AB1" w:rsidRDefault="00B525CA" w:rsidP="000A5389">
            <w:pPr>
              <w:spacing w:line="240" w:lineRule="auto"/>
              <w:jc w:val="right"/>
              <w:rPr>
                <w:rFonts w:eastAsia="Times New Roman" w:cs="Times New Roman"/>
                <w:color w:val="000000"/>
                <w:kern w:val="0"/>
                <w:sz w:val="16"/>
                <w:szCs w:val="16"/>
                <w:lang w:eastAsia="es-CO"/>
                <w14:ligatures w14:val="none"/>
              </w:rPr>
            </w:pPr>
            <w:r w:rsidRPr="00951AB1">
              <w:rPr>
                <w:rFonts w:eastAsia="Times New Roman" w:cs="Times New Roman"/>
                <w:color w:val="000000"/>
                <w:kern w:val="0"/>
                <w:sz w:val="16"/>
                <w:szCs w:val="16"/>
                <w:lang w:eastAsia="es-CO"/>
                <w14:ligatures w14:val="none"/>
              </w:rPr>
              <w:t>89.293.443.000</w:t>
            </w:r>
          </w:p>
        </w:tc>
        <w:tc>
          <w:tcPr>
            <w:tcW w:w="1603" w:type="dxa"/>
            <w:noWrap/>
            <w:vAlign w:val="center"/>
            <w:hideMark/>
          </w:tcPr>
          <w:p w14:paraId="1962ECD6" w14:textId="15A1510F" w:rsidR="00B525CA" w:rsidRPr="00951AB1" w:rsidRDefault="00B525CA" w:rsidP="000A5389">
            <w:pPr>
              <w:spacing w:line="240" w:lineRule="auto"/>
              <w:jc w:val="right"/>
              <w:rPr>
                <w:rFonts w:eastAsia="Times New Roman" w:cs="Times New Roman"/>
                <w:color w:val="000000"/>
                <w:kern w:val="0"/>
                <w:sz w:val="16"/>
                <w:szCs w:val="16"/>
                <w:lang w:eastAsia="es-CO"/>
                <w14:ligatures w14:val="none"/>
              </w:rPr>
            </w:pPr>
            <w:r w:rsidRPr="00951AB1">
              <w:rPr>
                <w:rFonts w:eastAsia="Times New Roman" w:cs="Times New Roman"/>
                <w:color w:val="000000"/>
                <w:kern w:val="0"/>
                <w:sz w:val="16"/>
                <w:szCs w:val="16"/>
                <w:lang w:eastAsia="es-CO"/>
                <w14:ligatures w14:val="none"/>
              </w:rPr>
              <w:t>-10.537.787.255</w:t>
            </w:r>
          </w:p>
        </w:tc>
      </w:tr>
      <w:tr w:rsidR="005B72F1" w:rsidRPr="00951AB1" w14:paraId="4ABD03A9" w14:textId="77777777" w:rsidTr="002B3ABB">
        <w:trPr>
          <w:trHeight w:val="285"/>
          <w:jc w:val="right"/>
        </w:trPr>
        <w:tc>
          <w:tcPr>
            <w:tcW w:w="4106" w:type="dxa"/>
            <w:noWrap/>
            <w:vAlign w:val="center"/>
            <w:hideMark/>
          </w:tcPr>
          <w:p w14:paraId="2ACE8F65" w14:textId="77777777" w:rsidR="00B525CA" w:rsidRPr="00951AB1" w:rsidRDefault="00B525CA" w:rsidP="000A5389">
            <w:pPr>
              <w:spacing w:line="240" w:lineRule="auto"/>
              <w:rPr>
                <w:rFonts w:eastAsia="Times New Roman" w:cs="Times New Roman"/>
                <w:color w:val="000000"/>
                <w:kern w:val="0"/>
                <w:sz w:val="16"/>
                <w:szCs w:val="16"/>
                <w:lang w:eastAsia="es-CO"/>
                <w14:ligatures w14:val="none"/>
              </w:rPr>
            </w:pPr>
            <w:r w:rsidRPr="00951AB1">
              <w:rPr>
                <w:rFonts w:eastAsia="Times New Roman" w:cs="Times New Roman"/>
                <w:color w:val="000000"/>
                <w:kern w:val="0"/>
                <w:sz w:val="16"/>
                <w:szCs w:val="16"/>
                <w:lang w:eastAsia="es-CO"/>
                <w14:ligatures w14:val="none"/>
              </w:rPr>
              <w:t>Propiedades, Plan y Equipo</w:t>
            </w:r>
          </w:p>
        </w:tc>
        <w:tc>
          <w:tcPr>
            <w:tcW w:w="1559" w:type="dxa"/>
            <w:noWrap/>
            <w:vAlign w:val="center"/>
            <w:hideMark/>
          </w:tcPr>
          <w:p w14:paraId="515FEEC8" w14:textId="1628DCDD" w:rsidR="00B525CA" w:rsidRPr="00951AB1" w:rsidRDefault="00B525CA" w:rsidP="000A5389">
            <w:pPr>
              <w:spacing w:line="240" w:lineRule="auto"/>
              <w:jc w:val="right"/>
              <w:rPr>
                <w:rFonts w:eastAsia="Times New Roman" w:cs="Times New Roman"/>
                <w:color w:val="000000"/>
                <w:kern w:val="0"/>
                <w:sz w:val="16"/>
                <w:szCs w:val="16"/>
                <w:lang w:eastAsia="es-CO"/>
                <w14:ligatures w14:val="none"/>
              </w:rPr>
            </w:pPr>
            <w:r w:rsidRPr="00951AB1">
              <w:rPr>
                <w:rFonts w:eastAsia="Times New Roman" w:cs="Times New Roman"/>
                <w:color w:val="000000"/>
                <w:kern w:val="0"/>
                <w:sz w:val="16"/>
                <w:szCs w:val="16"/>
                <w:lang w:eastAsia="es-CO"/>
                <w14:ligatures w14:val="none"/>
              </w:rPr>
              <w:t>175.130.440.817</w:t>
            </w:r>
          </w:p>
        </w:tc>
        <w:tc>
          <w:tcPr>
            <w:tcW w:w="1560" w:type="dxa"/>
            <w:noWrap/>
            <w:vAlign w:val="center"/>
            <w:hideMark/>
          </w:tcPr>
          <w:p w14:paraId="68585E5F" w14:textId="7BF58122" w:rsidR="00B525CA" w:rsidRPr="00951AB1" w:rsidRDefault="00B525CA" w:rsidP="000A5389">
            <w:pPr>
              <w:spacing w:line="240" w:lineRule="auto"/>
              <w:jc w:val="right"/>
              <w:rPr>
                <w:rFonts w:eastAsia="Times New Roman" w:cs="Times New Roman"/>
                <w:color w:val="000000"/>
                <w:kern w:val="0"/>
                <w:sz w:val="16"/>
                <w:szCs w:val="16"/>
                <w:lang w:eastAsia="es-CO"/>
                <w14:ligatures w14:val="none"/>
              </w:rPr>
            </w:pPr>
            <w:r w:rsidRPr="00951AB1">
              <w:rPr>
                <w:rFonts w:eastAsia="Times New Roman" w:cs="Times New Roman"/>
                <w:color w:val="000000"/>
                <w:kern w:val="0"/>
                <w:sz w:val="16"/>
                <w:szCs w:val="16"/>
                <w:lang w:eastAsia="es-CO"/>
                <w14:ligatures w14:val="none"/>
              </w:rPr>
              <w:t>115.462.787.794</w:t>
            </w:r>
          </w:p>
        </w:tc>
        <w:tc>
          <w:tcPr>
            <w:tcW w:w="1603" w:type="dxa"/>
            <w:noWrap/>
            <w:vAlign w:val="center"/>
            <w:hideMark/>
          </w:tcPr>
          <w:p w14:paraId="21295C0C" w14:textId="204203A8" w:rsidR="00B525CA" w:rsidRPr="00951AB1" w:rsidRDefault="00B525CA" w:rsidP="000A5389">
            <w:pPr>
              <w:spacing w:line="240" w:lineRule="auto"/>
              <w:jc w:val="right"/>
              <w:rPr>
                <w:rFonts w:eastAsia="Times New Roman" w:cs="Times New Roman"/>
                <w:color w:val="000000"/>
                <w:kern w:val="0"/>
                <w:sz w:val="16"/>
                <w:szCs w:val="16"/>
                <w:lang w:eastAsia="es-CO"/>
                <w14:ligatures w14:val="none"/>
              </w:rPr>
            </w:pPr>
            <w:r w:rsidRPr="00951AB1">
              <w:rPr>
                <w:rFonts w:eastAsia="Times New Roman" w:cs="Times New Roman"/>
                <w:color w:val="000000"/>
                <w:kern w:val="0"/>
                <w:sz w:val="16"/>
                <w:szCs w:val="16"/>
                <w:lang w:eastAsia="es-CO"/>
                <w14:ligatures w14:val="none"/>
              </w:rPr>
              <w:t>59.667.653.022</w:t>
            </w:r>
          </w:p>
        </w:tc>
      </w:tr>
      <w:tr w:rsidR="005B72F1" w:rsidRPr="00951AB1" w14:paraId="5BEE8E5E" w14:textId="77777777" w:rsidTr="002B3ABB">
        <w:trPr>
          <w:trHeight w:val="285"/>
          <w:jc w:val="right"/>
        </w:trPr>
        <w:tc>
          <w:tcPr>
            <w:tcW w:w="4106" w:type="dxa"/>
            <w:noWrap/>
            <w:vAlign w:val="center"/>
            <w:hideMark/>
          </w:tcPr>
          <w:p w14:paraId="5042594A" w14:textId="77777777" w:rsidR="00B525CA" w:rsidRPr="00951AB1" w:rsidRDefault="00B525CA" w:rsidP="000A5389">
            <w:pPr>
              <w:spacing w:line="240" w:lineRule="auto"/>
              <w:rPr>
                <w:rFonts w:eastAsia="Times New Roman" w:cs="Times New Roman"/>
                <w:color w:val="000000"/>
                <w:kern w:val="0"/>
                <w:sz w:val="16"/>
                <w:szCs w:val="16"/>
                <w:lang w:eastAsia="es-CO"/>
                <w14:ligatures w14:val="none"/>
              </w:rPr>
            </w:pPr>
            <w:r w:rsidRPr="00951AB1">
              <w:rPr>
                <w:rFonts w:eastAsia="Times New Roman" w:cs="Times New Roman"/>
                <w:color w:val="000000"/>
                <w:kern w:val="0"/>
                <w:sz w:val="16"/>
                <w:szCs w:val="16"/>
                <w:lang w:eastAsia="es-CO"/>
                <w14:ligatures w14:val="none"/>
              </w:rPr>
              <w:t>Recursos de la entidad concedente en patrimonios autónomos constituidos por concesionarios privados</w:t>
            </w:r>
          </w:p>
        </w:tc>
        <w:tc>
          <w:tcPr>
            <w:tcW w:w="1559" w:type="dxa"/>
            <w:noWrap/>
            <w:vAlign w:val="center"/>
            <w:hideMark/>
          </w:tcPr>
          <w:p w14:paraId="1C683F21" w14:textId="0B4A6DDF" w:rsidR="00B525CA" w:rsidRPr="00951AB1" w:rsidRDefault="00B525CA" w:rsidP="000A5389">
            <w:pPr>
              <w:spacing w:line="240" w:lineRule="auto"/>
              <w:jc w:val="right"/>
              <w:rPr>
                <w:rFonts w:eastAsia="Times New Roman" w:cs="Times New Roman"/>
                <w:color w:val="000000"/>
                <w:kern w:val="0"/>
                <w:sz w:val="16"/>
                <w:szCs w:val="16"/>
                <w:lang w:eastAsia="es-CO"/>
                <w14:ligatures w14:val="none"/>
              </w:rPr>
            </w:pPr>
            <w:r w:rsidRPr="00951AB1">
              <w:rPr>
                <w:rFonts w:eastAsia="Times New Roman" w:cs="Times New Roman"/>
                <w:color w:val="000000"/>
                <w:kern w:val="0"/>
                <w:sz w:val="16"/>
                <w:szCs w:val="16"/>
                <w:lang w:eastAsia="es-CO"/>
                <w14:ligatures w14:val="none"/>
              </w:rPr>
              <w:t>6.461.034.373</w:t>
            </w:r>
          </w:p>
        </w:tc>
        <w:tc>
          <w:tcPr>
            <w:tcW w:w="1560" w:type="dxa"/>
            <w:noWrap/>
            <w:vAlign w:val="center"/>
            <w:hideMark/>
          </w:tcPr>
          <w:p w14:paraId="664AA742" w14:textId="1687837E" w:rsidR="00B525CA" w:rsidRPr="00951AB1" w:rsidRDefault="00B525CA" w:rsidP="000A5389">
            <w:pPr>
              <w:spacing w:line="240" w:lineRule="auto"/>
              <w:jc w:val="right"/>
              <w:rPr>
                <w:rFonts w:eastAsia="Times New Roman" w:cs="Times New Roman"/>
                <w:color w:val="000000"/>
                <w:kern w:val="0"/>
                <w:sz w:val="16"/>
                <w:szCs w:val="16"/>
                <w:lang w:eastAsia="es-CO"/>
                <w14:ligatures w14:val="none"/>
              </w:rPr>
            </w:pPr>
            <w:r w:rsidRPr="00951AB1">
              <w:rPr>
                <w:rFonts w:eastAsia="Times New Roman" w:cs="Times New Roman"/>
                <w:color w:val="000000"/>
                <w:kern w:val="0"/>
                <w:sz w:val="16"/>
                <w:szCs w:val="16"/>
                <w:lang w:eastAsia="es-CO"/>
                <w14:ligatures w14:val="none"/>
              </w:rPr>
              <w:t>8.404.808.400</w:t>
            </w:r>
          </w:p>
        </w:tc>
        <w:tc>
          <w:tcPr>
            <w:tcW w:w="1603" w:type="dxa"/>
            <w:noWrap/>
            <w:vAlign w:val="center"/>
            <w:hideMark/>
          </w:tcPr>
          <w:p w14:paraId="58FF79C0" w14:textId="7FF47994" w:rsidR="00B525CA" w:rsidRPr="00951AB1" w:rsidRDefault="00B525CA" w:rsidP="000A5389">
            <w:pPr>
              <w:spacing w:line="240" w:lineRule="auto"/>
              <w:jc w:val="right"/>
              <w:rPr>
                <w:rFonts w:eastAsia="Times New Roman" w:cs="Times New Roman"/>
                <w:color w:val="000000"/>
                <w:kern w:val="0"/>
                <w:sz w:val="16"/>
                <w:szCs w:val="16"/>
                <w:lang w:eastAsia="es-CO"/>
                <w14:ligatures w14:val="none"/>
              </w:rPr>
            </w:pPr>
            <w:r w:rsidRPr="00951AB1">
              <w:rPr>
                <w:rFonts w:eastAsia="Times New Roman" w:cs="Times New Roman"/>
                <w:color w:val="000000"/>
                <w:kern w:val="0"/>
                <w:sz w:val="16"/>
                <w:szCs w:val="16"/>
                <w:lang w:eastAsia="es-CO"/>
                <w14:ligatures w14:val="none"/>
              </w:rPr>
              <w:t>-1.943.774.027</w:t>
            </w:r>
          </w:p>
        </w:tc>
      </w:tr>
      <w:tr w:rsidR="005B72F1" w:rsidRPr="00951AB1" w14:paraId="0AD4B791" w14:textId="77777777" w:rsidTr="002B3ABB">
        <w:trPr>
          <w:trHeight w:val="285"/>
          <w:jc w:val="right"/>
        </w:trPr>
        <w:tc>
          <w:tcPr>
            <w:tcW w:w="4106" w:type="dxa"/>
            <w:noWrap/>
            <w:vAlign w:val="center"/>
            <w:hideMark/>
          </w:tcPr>
          <w:p w14:paraId="69D8A142" w14:textId="77777777" w:rsidR="00B525CA" w:rsidRPr="00951AB1" w:rsidRDefault="00B525CA" w:rsidP="000A5389">
            <w:pPr>
              <w:spacing w:line="240" w:lineRule="auto"/>
              <w:rPr>
                <w:rFonts w:eastAsia="Times New Roman" w:cs="Times New Roman"/>
                <w:color w:val="000000"/>
                <w:kern w:val="0"/>
                <w:sz w:val="16"/>
                <w:szCs w:val="16"/>
                <w:lang w:eastAsia="es-CO"/>
                <w14:ligatures w14:val="none"/>
              </w:rPr>
            </w:pPr>
            <w:r w:rsidRPr="00951AB1">
              <w:rPr>
                <w:rFonts w:eastAsia="Times New Roman" w:cs="Times New Roman"/>
                <w:color w:val="000000"/>
                <w:kern w:val="0"/>
                <w:sz w:val="16"/>
                <w:szCs w:val="16"/>
                <w:lang w:eastAsia="es-CO"/>
                <w14:ligatures w14:val="none"/>
              </w:rPr>
              <w:t>Red férrea (en servicio)</w:t>
            </w:r>
          </w:p>
        </w:tc>
        <w:tc>
          <w:tcPr>
            <w:tcW w:w="1559" w:type="dxa"/>
            <w:noWrap/>
            <w:vAlign w:val="center"/>
            <w:hideMark/>
          </w:tcPr>
          <w:p w14:paraId="36AF5D82" w14:textId="41CEF549" w:rsidR="00B525CA" w:rsidRPr="00951AB1" w:rsidRDefault="00B525CA" w:rsidP="000A5389">
            <w:pPr>
              <w:spacing w:line="240" w:lineRule="auto"/>
              <w:jc w:val="right"/>
              <w:rPr>
                <w:rFonts w:eastAsia="Times New Roman" w:cs="Times New Roman"/>
                <w:color w:val="000000"/>
                <w:kern w:val="0"/>
                <w:sz w:val="16"/>
                <w:szCs w:val="16"/>
                <w:lang w:eastAsia="es-CO"/>
                <w14:ligatures w14:val="none"/>
              </w:rPr>
            </w:pPr>
            <w:r w:rsidRPr="00951AB1">
              <w:rPr>
                <w:rFonts w:eastAsia="Times New Roman" w:cs="Times New Roman"/>
                <w:color w:val="000000"/>
                <w:kern w:val="0"/>
                <w:sz w:val="16"/>
                <w:szCs w:val="16"/>
                <w:lang w:eastAsia="es-CO"/>
                <w14:ligatures w14:val="none"/>
              </w:rPr>
              <w:t>2.956.761.159.474</w:t>
            </w:r>
          </w:p>
        </w:tc>
        <w:tc>
          <w:tcPr>
            <w:tcW w:w="1560" w:type="dxa"/>
            <w:noWrap/>
            <w:vAlign w:val="center"/>
            <w:hideMark/>
          </w:tcPr>
          <w:p w14:paraId="00A319B9" w14:textId="3DC9988B" w:rsidR="00B525CA" w:rsidRPr="00951AB1" w:rsidRDefault="00B525CA" w:rsidP="000A5389">
            <w:pPr>
              <w:spacing w:line="240" w:lineRule="auto"/>
              <w:jc w:val="right"/>
              <w:rPr>
                <w:rFonts w:eastAsia="Times New Roman" w:cs="Times New Roman"/>
                <w:color w:val="000000"/>
                <w:kern w:val="0"/>
                <w:sz w:val="16"/>
                <w:szCs w:val="16"/>
                <w:lang w:eastAsia="es-CO"/>
                <w14:ligatures w14:val="none"/>
              </w:rPr>
            </w:pPr>
            <w:r w:rsidRPr="00951AB1">
              <w:rPr>
                <w:rFonts w:eastAsia="Times New Roman" w:cs="Times New Roman"/>
                <w:color w:val="000000"/>
                <w:kern w:val="0"/>
                <w:sz w:val="16"/>
                <w:szCs w:val="16"/>
                <w:lang w:eastAsia="es-CO"/>
                <w14:ligatures w14:val="none"/>
              </w:rPr>
              <w:t>2.044.017.215.383</w:t>
            </w:r>
          </w:p>
        </w:tc>
        <w:tc>
          <w:tcPr>
            <w:tcW w:w="1603" w:type="dxa"/>
            <w:noWrap/>
            <w:vAlign w:val="center"/>
            <w:hideMark/>
          </w:tcPr>
          <w:p w14:paraId="0C1E8B5A" w14:textId="393E98E2" w:rsidR="00B525CA" w:rsidRPr="00951AB1" w:rsidRDefault="00B525CA" w:rsidP="000A5389">
            <w:pPr>
              <w:spacing w:line="240" w:lineRule="auto"/>
              <w:jc w:val="right"/>
              <w:rPr>
                <w:rFonts w:eastAsia="Times New Roman" w:cs="Times New Roman"/>
                <w:color w:val="000000"/>
                <w:kern w:val="0"/>
                <w:sz w:val="16"/>
                <w:szCs w:val="16"/>
                <w:lang w:eastAsia="es-CO"/>
                <w14:ligatures w14:val="none"/>
              </w:rPr>
            </w:pPr>
            <w:r w:rsidRPr="00951AB1">
              <w:rPr>
                <w:rFonts w:eastAsia="Times New Roman" w:cs="Times New Roman"/>
                <w:color w:val="000000"/>
                <w:kern w:val="0"/>
                <w:sz w:val="16"/>
                <w:szCs w:val="16"/>
                <w:lang w:eastAsia="es-CO"/>
                <w14:ligatures w14:val="none"/>
              </w:rPr>
              <w:t>912.743.944.091</w:t>
            </w:r>
          </w:p>
        </w:tc>
      </w:tr>
      <w:tr w:rsidR="005B72F1" w:rsidRPr="00951AB1" w14:paraId="76FCD970" w14:textId="77777777" w:rsidTr="002B3ABB">
        <w:trPr>
          <w:trHeight w:val="285"/>
          <w:jc w:val="right"/>
        </w:trPr>
        <w:tc>
          <w:tcPr>
            <w:tcW w:w="4106" w:type="dxa"/>
            <w:noWrap/>
            <w:vAlign w:val="center"/>
            <w:hideMark/>
          </w:tcPr>
          <w:p w14:paraId="1D92F9AD" w14:textId="77777777" w:rsidR="00B525CA" w:rsidRPr="00951AB1" w:rsidRDefault="00B525CA" w:rsidP="000A5389">
            <w:pPr>
              <w:spacing w:line="240" w:lineRule="auto"/>
              <w:rPr>
                <w:rFonts w:eastAsia="Times New Roman" w:cs="Times New Roman"/>
                <w:color w:val="000000"/>
                <w:kern w:val="0"/>
                <w:sz w:val="16"/>
                <w:szCs w:val="16"/>
                <w:lang w:eastAsia="es-CO"/>
                <w14:ligatures w14:val="none"/>
              </w:rPr>
            </w:pPr>
            <w:r w:rsidRPr="00951AB1">
              <w:rPr>
                <w:rFonts w:eastAsia="Times New Roman" w:cs="Times New Roman"/>
                <w:color w:val="000000"/>
                <w:kern w:val="0"/>
                <w:sz w:val="16"/>
                <w:szCs w:val="16"/>
                <w:lang w:eastAsia="es-CO"/>
                <w14:ligatures w14:val="none"/>
              </w:rPr>
              <w:t>Terrenos (en servicio)</w:t>
            </w:r>
          </w:p>
        </w:tc>
        <w:tc>
          <w:tcPr>
            <w:tcW w:w="1559" w:type="dxa"/>
            <w:noWrap/>
            <w:vAlign w:val="center"/>
            <w:hideMark/>
          </w:tcPr>
          <w:p w14:paraId="2A812253" w14:textId="3E99EA68" w:rsidR="00B525CA" w:rsidRPr="00951AB1" w:rsidRDefault="00B525CA" w:rsidP="000A5389">
            <w:pPr>
              <w:spacing w:line="240" w:lineRule="auto"/>
              <w:jc w:val="right"/>
              <w:rPr>
                <w:rFonts w:eastAsia="Times New Roman" w:cs="Times New Roman"/>
                <w:color w:val="000000"/>
                <w:kern w:val="0"/>
                <w:sz w:val="16"/>
                <w:szCs w:val="16"/>
                <w:lang w:eastAsia="es-CO"/>
                <w14:ligatures w14:val="none"/>
              </w:rPr>
            </w:pPr>
            <w:r w:rsidRPr="00951AB1">
              <w:rPr>
                <w:rFonts w:eastAsia="Times New Roman" w:cs="Times New Roman"/>
                <w:color w:val="000000"/>
                <w:kern w:val="0"/>
                <w:sz w:val="16"/>
                <w:szCs w:val="16"/>
                <w:lang w:eastAsia="es-CO"/>
                <w14:ligatures w14:val="none"/>
              </w:rPr>
              <w:t>13.991.993.928</w:t>
            </w:r>
          </w:p>
        </w:tc>
        <w:tc>
          <w:tcPr>
            <w:tcW w:w="1560" w:type="dxa"/>
            <w:noWrap/>
            <w:vAlign w:val="center"/>
            <w:hideMark/>
          </w:tcPr>
          <w:p w14:paraId="370E9C63" w14:textId="4CB65D66" w:rsidR="00B525CA" w:rsidRPr="00951AB1" w:rsidRDefault="00B525CA" w:rsidP="000A5389">
            <w:pPr>
              <w:spacing w:line="240" w:lineRule="auto"/>
              <w:jc w:val="right"/>
              <w:rPr>
                <w:rFonts w:eastAsia="Times New Roman" w:cs="Times New Roman"/>
                <w:color w:val="000000"/>
                <w:kern w:val="0"/>
                <w:sz w:val="16"/>
                <w:szCs w:val="16"/>
                <w:lang w:eastAsia="es-CO"/>
                <w14:ligatures w14:val="none"/>
              </w:rPr>
            </w:pPr>
            <w:r w:rsidRPr="00951AB1">
              <w:rPr>
                <w:rFonts w:eastAsia="Times New Roman" w:cs="Times New Roman"/>
                <w:color w:val="000000"/>
                <w:kern w:val="0"/>
                <w:sz w:val="16"/>
                <w:szCs w:val="16"/>
                <w:lang w:eastAsia="es-CO"/>
                <w14:ligatures w14:val="none"/>
              </w:rPr>
              <w:t>12.773.298.020</w:t>
            </w:r>
          </w:p>
        </w:tc>
        <w:tc>
          <w:tcPr>
            <w:tcW w:w="1603" w:type="dxa"/>
            <w:noWrap/>
            <w:vAlign w:val="center"/>
            <w:hideMark/>
          </w:tcPr>
          <w:p w14:paraId="46925612" w14:textId="50938D5A" w:rsidR="00B525CA" w:rsidRPr="00951AB1" w:rsidRDefault="00B525CA" w:rsidP="000A5389">
            <w:pPr>
              <w:spacing w:line="240" w:lineRule="auto"/>
              <w:jc w:val="right"/>
              <w:rPr>
                <w:rFonts w:eastAsia="Times New Roman" w:cs="Times New Roman"/>
                <w:color w:val="000000"/>
                <w:kern w:val="0"/>
                <w:sz w:val="16"/>
                <w:szCs w:val="16"/>
                <w:lang w:eastAsia="es-CO"/>
                <w14:ligatures w14:val="none"/>
              </w:rPr>
            </w:pPr>
            <w:r w:rsidRPr="00951AB1">
              <w:rPr>
                <w:rFonts w:eastAsia="Times New Roman" w:cs="Times New Roman"/>
                <w:color w:val="000000"/>
                <w:kern w:val="0"/>
                <w:sz w:val="16"/>
                <w:szCs w:val="16"/>
                <w:lang w:eastAsia="es-CO"/>
                <w14:ligatures w14:val="none"/>
              </w:rPr>
              <w:t>1.218.695.908</w:t>
            </w:r>
          </w:p>
        </w:tc>
      </w:tr>
      <w:tr w:rsidR="005B72F1" w:rsidRPr="00951AB1" w14:paraId="34876534" w14:textId="77777777" w:rsidTr="002B3ABB">
        <w:trPr>
          <w:trHeight w:val="285"/>
          <w:jc w:val="right"/>
        </w:trPr>
        <w:tc>
          <w:tcPr>
            <w:tcW w:w="4106" w:type="dxa"/>
            <w:noWrap/>
            <w:vAlign w:val="center"/>
            <w:hideMark/>
          </w:tcPr>
          <w:p w14:paraId="5D2E82EA" w14:textId="77777777" w:rsidR="00B525CA" w:rsidRPr="00951AB1" w:rsidRDefault="00B525CA" w:rsidP="000A5389">
            <w:pPr>
              <w:spacing w:line="240" w:lineRule="auto"/>
              <w:rPr>
                <w:rFonts w:eastAsia="Times New Roman" w:cs="Times New Roman"/>
                <w:b/>
                <w:color w:val="000000"/>
                <w:kern w:val="0"/>
                <w:sz w:val="16"/>
                <w:szCs w:val="16"/>
                <w:lang w:eastAsia="es-CO"/>
                <w14:ligatures w14:val="none"/>
              </w:rPr>
            </w:pPr>
            <w:r w:rsidRPr="00951AB1">
              <w:rPr>
                <w:rFonts w:eastAsia="Times New Roman" w:cs="Times New Roman"/>
                <w:b/>
                <w:color w:val="000000"/>
                <w:kern w:val="0"/>
                <w:sz w:val="16"/>
                <w:szCs w:val="16"/>
                <w:lang w:eastAsia="es-CO"/>
                <w14:ligatures w14:val="none"/>
              </w:rPr>
              <w:t>Fluvial</w:t>
            </w:r>
          </w:p>
        </w:tc>
        <w:tc>
          <w:tcPr>
            <w:tcW w:w="1559" w:type="dxa"/>
            <w:noWrap/>
            <w:vAlign w:val="center"/>
            <w:hideMark/>
          </w:tcPr>
          <w:p w14:paraId="5C613421" w14:textId="739BBC57" w:rsidR="00B525CA" w:rsidRPr="00951AB1" w:rsidRDefault="00B525CA" w:rsidP="000A5389">
            <w:pPr>
              <w:spacing w:line="240" w:lineRule="auto"/>
              <w:jc w:val="right"/>
              <w:rPr>
                <w:rFonts w:eastAsia="Times New Roman" w:cs="Times New Roman"/>
                <w:b/>
                <w:color w:val="000000"/>
                <w:kern w:val="0"/>
                <w:sz w:val="16"/>
                <w:szCs w:val="16"/>
                <w:lang w:eastAsia="es-CO"/>
                <w14:ligatures w14:val="none"/>
              </w:rPr>
            </w:pPr>
            <w:r w:rsidRPr="00951AB1">
              <w:rPr>
                <w:rFonts w:eastAsia="Times New Roman" w:cs="Times New Roman"/>
                <w:b/>
                <w:color w:val="000000"/>
                <w:kern w:val="0"/>
                <w:sz w:val="16"/>
                <w:szCs w:val="16"/>
                <w:lang w:eastAsia="es-CO"/>
                <w14:ligatures w14:val="none"/>
              </w:rPr>
              <w:t>92.643.093.459</w:t>
            </w:r>
          </w:p>
        </w:tc>
        <w:tc>
          <w:tcPr>
            <w:tcW w:w="1560" w:type="dxa"/>
            <w:noWrap/>
            <w:vAlign w:val="center"/>
            <w:hideMark/>
          </w:tcPr>
          <w:p w14:paraId="1819D020" w14:textId="37DE8065" w:rsidR="00B525CA" w:rsidRPr="00951AB1" w:rsidRDefault="00B525CA" w:rsidP="000A5389">
            <w:pPr>
              <w:spacing w:line="240" w:lineRule="auto"/>
              <w:jc w:val="right"/>
              <w:rPr>
                <w:rFonts w:eastAsia="Times New Roman" w:cs="Times New Roman"/>
                <w:b/>
                <w:color w:val="000000"/>
                <w:kern w:val="0"/>
                <w:sz w:val="16"/>
                <w:szCs w:val="16"/>
                <w:lang w:eastAsia="es-CO"/>
                <w14:ligatures w14:val="none"/>
              </w:rPr>
            </w:pPr>
            <w:r w:rsidRPr="00951AB1">
              <w:rPr>
                <w:rFonts w:eastAsia="Times New Roman" w:cs="Times New Roman"/>
                <w:b/>
                <w:color w:val="000000"/>
                <w:kern w:val="0"/>
                <w:sz w:val="16"/>
                <w:szCs w:val="16"/>
                <w:lang w:eastAsia="es-CO"/>
                <w14:ligatures w14:val="none"/>
              </w:rPr>
              <w:t>46.665.198.101</w:t>
            </w:r>
          </w:p>
        </w:tc>
        <w:tc>
          <w:tcPr>
            <w:tcW w:w="1603" w:type="dxa"/>
            <w:noWrap/>
            <w:vAlign w:val="center"/>
            <w:hideMark/>
          </w:tcPr>
          <w:p w14:paraId="315211F3" w14:textId="6588BFD4" w:rsidR="00B525CA" w:rsidRPr="00951AB1" w:rsidRDefault="00B525CA" w:rsidP="000A5389">
            <w:pPr>
              <w:spacing w:line="240" w:lineRule="auto"/>
              <w:jc w:val="right"/>
              <w:rPr>
                <w:rFonts w:eastAsia="Times New Roman" w:cs="Times New Roman"/>
                <w:b/>
                <w:color w:val="000000"/>
                <w:kern w:val="0"/>
                <w:sz w:val="16"/>
                <w:szCs w:val="16"/>
                <w:lang w:eastAsia="es-CO"/>
                <w14:ligatures w14:val="none"/>
              </w:rPr>
            </w:pPr>
            <w:r w:rsidRPr="00951AB1">
              <w:rPr>
                <w:rFonts w:eastAsia="Times New Roman" w:cs="Times New Roman"/>
                <w:b/>
                <w:color w:val="000000"/>
                <w:kern w:val="0"/>
                <w:sz w:val="16"/>
                <w:szCs w:val="16"/>
                <w:lang w:eastAsia="es-CO"/>
                <w14:ligatures w14:val="none"/>
              </w:rPr>
              <w:t>45.977.895.358</w:t>
            </w:r>
          </w:p>
        </w:tc>
      </w:tr>
      <w:tr w:rsidR="005B72F1" w:rsidRPr="00951AB1" w14:paraId="7EB227A7" w14:textId="77777777" w:rsidTr="002B3ABB">
        <w:trPr>
          <w:trHeight w:val="285"/>
          <w:jc w:val="right"/>
        </w:trPr>
        <w:tc>
          <w:tcPr>
            <w:tcW w:w="4106" w:type="dxa"/>
            <w:noWrap/>
            <w:vAlign w:val="center"/>
            <w:hideMark/>
          </w:tcPr>
          <w:p w14:paraId="49425222" w14:textId="77777777" w:rsidR="00B525CA" w:rsidRPr="00951AB1" w:rsidRDefault="00B525CA" w:rsidP="000A5389">
            <w:pPr>
              <w:spacing w:line="240" w:lineRule="auto"/>
              <w:rPr>
                <w:rFonts w:eastAsia="Times New Roman" w:cs="Times New Roman"/>
                <w:color w:val="000000"/>
                <w:kern w:val="0"/>
                <w:sz w:val="16"/>
                <w:szCs w:val="16"/>
                <w:lang w:eastAsia="es-CO"/>
                <w14:ligatures w14:val="none"/>
              </w:rPr>
            </w:pPr>
            <w:r w:rsidRPr="00951AB1">
              <w:rPr>
                <w:rFonts w:eastAsia="Times New Roman" w:cs="Times New Roman"/>
                <w:color w:val="000000"/>
                <w:kern w:val="0"/>
                <w:sz w:val="16"/>
                <w:szCs w:val="16"/>
                <w:lang w:eastAsia="es-CO"/>
                <w14:ligatures w14:val="none"/>
              </w:rPr>
              <w:t>Recursos de la entidad concedente en patrimonios autónomos constituidos por concesionarios privados</w:t>
            </w:r>
          </w:p>
        </w:tc>
        <w:tc>
          <w:tcPr>
            <w:tcW w:w="1559" w:type="dxa"/>
            <w:noWrap/>
            <w:vAlign w:val="center"/>
            <w:hideMark/>
          </w:tcPr>
          <w:p w14:paraId="1055BED1" w14:textId="3A13EA7C" w:rsidR="00B525CA" w:rsidRPr="00951AB1" w:rsidRDefault="00B525CA" w:rsidP="000A5389">
            <w:pPr>
              <w:spacing w:line="240" w:lineRule="auto"/>
              <w:jc w:val="right"/>
              <w:rPr>
                <w:rFonts w:eastAsia="Times New Roman" w:cs="Times New Roman"/>
                <w:color w:val="000000"/>
                <w:kern w:val="0"/>
                <w:sz w:val="16"/>
                <w:szCs w:val="16"/>
                <w:lang w:eastAsia="es-CO"/>
                <w14:ligatures w14:val="none"/>
              </w:rPr>
            </w:pPr>
            <w:r w:rsidRPr="00951AB1">
              <w:rPr>
                <w:rFonts w:eastAsia="Times New Roman" w:cs="Times New Roman"/>
                <w:color w:val="000000"/>
                <w:kern w:val="0"/>
                <w:sz w:val="16"/>
                <w:szCs w:val="16"/>
                <w:lang w:eastAsia="es-CO"/>
                <w14:ligatures w14:val="none"/>
              </w:rPr>
              <w:t>92.643.093.459</w:t>
            </w:r>
          </w:p>
        </w:tc>
        <w:tc>
          <w:tcPr>
            <w:tcW w:w="1560" w:type="dxa"/>
            <w:noWrap/>
            <w:vAlign w:val="center"/>
            <w:hideMark/>
          </w:tcPr>
          <w:p w14:paraId="448610F2" w14:textId="51FE83CB" w:rsidR="00B525CA" w:rsidRPr="00951AB1" w:rsidRDefault="00B525CA" w:rsidP="000A5389">
            <w:pPr>
              <w:spacing w:line="240" w:lineRule="auto"/>
              <w:jc w:val="right"/>
              <w:rPr>
                <w:rFonts w:eastAsia="Times New Roman" w:cs="Times New Roman"/>
                <w:color w:val="000000"/>
                <w:kern w:val="0"/>
                <w:sz w:val="16"/>
                <w:szCs w:val="16"/>
                <w:lang w:eastAsia="es-CO"/>
                <w14:ligatures w14:val="none"/>
              </w:rPr>
            </w:pPr>
            <w:r w:rsidRPr="00951AB1">
              <w:rPr>
                <w:rFonts w:eastAsia="Times New Roman" w:cs="Times New Roman"/>
                <w:color w:val="000000"/>
                <w:kern w:val="0"/>
                <w:sz w:val="16"/>
                <w:szCs w:val="16"/>
                <w:lang w:eastAsia="es-CO"/>
                <w14:ligatures w14:val="none"/>
              </w:rPr>
              <w:t>46.665.198.101</w:t>
            </w:r>
          </w:p>
        </w:tc>
        <w:tc>
          <w:tcPr>
            <w:tcW w:w="1603" w:type="dxa"/>
            <w:noWrap/>
            <w:vAlign w:val="center"/>
            <w:hideMark/>
          </w:tcPr>
          <w:p w14:paraId="6644F685" w14:textId="53151B41" w:rsidR="00B525CA" w:rsidRPr="00951AB1" w:rsidRDefault="00B525CA" w:rsidP="000A5389">
            <w:pPr>
              <w:spacing w:line="240" w:lineRule="auto"/>
              <w:jc w:val="right"/>
              <w:rPr>
                <w:rFonts w:eastAsia="Times New Roman" w:cs="Times New Roman"/>
                <w:color w:val="000000"/>
                <w:kern w:val="0"/>
                <w:sz w:val="16"/>
                <w:szCs w:val="16"/>
                <w:lang w:eastAsia="es-CO"/>
                <w14:ligatures w14:val="none"/>
              </w:rPr>
            </w:pPr>
            <w:r w:rsidRPr="00951AB1">
              <w:rPr>
                <w:rFonts w:eastAsia="Times New Roman" w:cs="Times New Roman"/>
                <w:color w:val="000000"/>
                <w:kern w:val="0"/>
                <w:sz w:val="16"/>
                <w:szCs w:val="16"/>
                <w:lang w:eastAsia="es-CO"/>
                <w14:ligatures w14:val="none"/>
              </w:rPr>
              <w:t>45.977.895.358</w:t>
            </w:r>
          </w:p>
        </w:tc>
      </w:tr>
      <w:tr w:rsidR="005B72F1" w:rsidRPr="00951AB1" w14:paraId="42148292" w14:textId="77777777" w:rsidTr="002B3ABB">
        <w:trPr>
          <w:trHeight w:val="285"/>
          <w:jc w:val="right"/>
        </w:trPr>
        <w:tc>
          <w:tcPr>
            <w:tcW w:w="4106" w:type="dxa"/>
            <w:noWrap/>
            <w:vAlign w:val="center"/>
            <w:hideMark/>
          </w:tcPr>
          <w:p w14:paraId="13A81B9F" w14:textId="77777777" w:rsidR="00B525CA" w:rsidRPr="00951AB1" w:rsidRDefault="00B525CA" w:rsidP="000A5389">
            <w:pPr>
              <w:spacing w:line="240" w:lineRule="auto"/>
              <w:rPr>
                <w:rFonts w:eastAsia="Times New Roman" w:cs="Times New Roman"/>
                <w:b/>
                <w:color w:val="000000"/>
                <w:kern w:val="0"/>
                <w:sz w:val="16"/>
                <w:szCs w:val="16"/>
                <w:lang w:eastAsia="es-CO"/>
                <w14:ligatures w14:val="none"/>
              </w:rPr>
            </w:pPr>
            <w:r w:rsidRPr="00951AB1">
              <w:rPr>
                <w:rFonts w:eastAsia="Times New Roman" w:cs="Times New Roman"/>
                <w:b/>
                <w:color w:val="000000"/>
                <w:kern w:val="0"/>
                <w:sz w:val="16"/>
                <w:szCs w:val="16"/>
                <w:lang w:eastAsia="es-CO"/>
                <w14:ligatures w14:val="none"/>
              </w:rPr>
              <w:t>Portuario</w:t>
            </w:r>
          </w:p>
        </w:tc>
        <w:tc>
          <w:tcPr>
            <w:tcW w:w="1559" w:type="dxa"/>
            <w:noWrap/>
            <w:vAlign w:val="center"/>
            <w:hideMark/>
          </w:tcPr>
          <w:p w14:paraId="3338503F" w14:textId="428301CC" w:rsidR="00B525CA" w:rsidRPr="00951AB1" w:rsidRDefault="00B525CA" w:rsidP="000A5389">
            <w:pPr>
              <w:spacing w:line="240" w:lineRule="auto"/>
              <w:jc w:val="right"/>
              <w:rPr>
                <w:rFonts w:eastAsia="Times New Roman" w:cs="Times New Roman"/>
                <w:b/>
                <w:color w:val="000000"/>
                <w:kern w:val="0"/>
                <w:sz w:val="16"/>
                <w:szCs w:val="16"/>
                <w:lang w:eastAsia="es-CO"/>
                <w14:ligatures w14:val="none"/>
              </w:rPr>
            </w:pPr>
            <w:r w:rsidRPr="00951AB1">
              <w:rPr>
                <w:rFonts w:eastAsia="Times New Roman" w:cs="Times New Roman"/>
                <w:b/>
                <w:color w:val="000000"/>
                <w:kern w:val="0"/>
                <w:sz w:val="16"/>
                <w:szCs w:val="16"/>
                <w:lang w:eastAsia="es-CO"/>
                <w14:ligatures w14:val="none"/>
              </w:rPr>
              <w:t>10.920.824.503.158</w:t>
            </w:r>
          </w:p>
        </w:tc>
        <w:tc>
          <w:tcPr>
            <w:tcW w:w="1560" w:type="dxa"/>
            <w:noWrap/>
            <w:vAlign w:val="center"/>
            <w:hideMark/>
          </w:tcPr>
          <w:p w14:paraId="126B3E2E" w14:textId="57144F78" w:rsidR="00B525CA" w:rsidRPr="00951AB1" w:rsidRDefault="00B525CA" w:rsidP="000A5389">
            <w:pPr>
              <w:spacing w:line="240" w:lineRule="auto"/>
              <w:jc w:val="right"/>
              <w:rPr>
                <w:rFonts w:eastAsia="Times New Roman" w:cs="Times New Roman"/>
                <w:b/>
                <w:color w:val="000000"/>
                <w:kern w:val="0"/>
                <w:sz w:val="16"/>
                <w:szCs w:val="16"/>
                <w:lang w:eastAsia="es-CO"/>
                <w14:ligatures w14:val="none"/>
              </w:rPr>
            </w:pPr>
            <w:r w:rsidRPr="00951AB1">
              <w:rPr>
                <w:rFonts w:eastAsia="Times New Roman" w:cs="Times New Roman"/>
                <w:b/>
                <w:color w:val="000000"/>
                <w:kern w:val="0"/>
                <w:sz w:val="16"/>
                <w:szCs w:val="16"/>
                <w:lang w:eastAsia="es-CO"/>
                <w14:ligatures w14:val="none"/>
              </w:rPr>
              <w:t>10.061.959.275.355</w:t>
            </w:r>
          </w:p>
        </w:tc>
        <w:tc>
          <w:tcPr>
            <w:tcW w:w="1603" w:type="dxa"/>
            <w:noWrap/>
            <w:vAlign w:val="center"/>
            <w:hideMark/>
          </w:tcPr>
          <w:p w14:paraId="373D3484" w14:textId="2F9535A4" w:rsidR="00B525CA" w:rsidRPr="00951AB1" w:rsidRDefault="00B525CA" w:rsidP="000A5389">
            <w:pPr>
              <w:spacing w:line="240" w:lineRule="auto"/>
              <w:jc w:val="right"/>
              <w:rPr>
                <w:rFonts w:eastAsia="Times New Roman" w:cs="Times New Roman"/>
                <w:b/>
                <w:color w:val="000000"/>
                <w:kern w:val="0"/>
                <w:sz w:val="16"/>
                <w:szCs w:val="16"/>
                <w:lang w:eastAsia="es-CO"/>
                <w14:ligatures w14:val="none"/>
              </w:rPr>
            </w:pPr>
            <w:r w:rsidRPr="00951AB1">
              <w:rPr>
                <w:rFonts w:eastAsia="Times New Roman" w:cs="Times New Roman"/>
                <w:b/>
                <w:color w:val="000000"/>
                <w:kern w:val="0"/>
                <w:sz w:val="16"/>
                <w:szCs w:val="16"/>
                <w:lang w:eastAsia="es-CO"/>
                <w14:ligatures w14:val="none"/>
              </w:rPr>
              <w:t>858.865.227.803</w:t>
            </w:r>
          </w:p>
        </w:tc>
      </w:tr>
      <w:tr w:rsidR="005B72F1" w:rsidRPr="00951AB1" w14:paraId="6E69A8F5" w14:textId="77777777" w:rsidTr="002B3ABB">
        <w:trPr>
          <w:trHeight w:val="285"/>
          <w:jc w:val="right"/>
        </w:trPr>
        <w:tc>
          <w:tcPr>
            <w:tcW w:w="4106" w:type="dxa"/>
            <w:noWrap/>
            <w:vAlign w:val="center"/>
            <w:hideMark/>
          </w:tcPr>
          <w:p w14:paraId="27E1F3FB" w14:textId="77777777" w:rsidR="00B525CA" w:rsidRPr="00951AB1" w:rsidRDefault="00B525CA" w:rsidP="000A5389">
            <w:pPr>
              <w:spacing w:line="240" w:lineRule="auto"/>
              <w:rPr>
                <w:rFonts w:eastAsia="Times New Roman" w:cs="Times New Roman"/>
                <w:color w:val="000000"/>
                <w:kern w:val="0"/>
                <w:sz w:val="16"/>
                <w:szCs w:val="16"/>
                <w:lang w:eastAsia="es-CO"/>
                <w14:ligatures w14:val="none"/>
              </w:rPr>
            </w:pPr>
            <w:r w:rsidRPr="00951AB1">
              <w:rPr>
                <w:rFonts w:eastAsia="Times New Roman" w:cs="Times New Roman"/>
                <w:color w:val="000000"/>
                <w:kern w:val="0"/>
                <w:sz w:val="16"/>
                <w:szCs w:val="16"/>
                <w:lang w:eastAsia="es-CO"/>
                <w14:ligatures w14:val="none"/>
              </w:rPr>
              <w:t>Activos intangibles en concesión</w:t>
            </w:r>
          </w:p>
        </w:tc>
        <w:tc>
          <w:tcPr>
            <w:tcW w:w="1559" w:type="dxa"/>
            <w:noWrap/>
            <w:vAlign w:val="center"/>
            <w:hideMark/>
          </w:tcPr>
          <w:p w14:paraId="2259AEF7" w14:textId="7CB9EFE8" w:rsidR="00B525CA" w:rsidRPr="00951AB1" w:rsidRDefault="00B525CA" w:rsidP="000A5389">
            <w:pPr>
              <w:spacing w:line="240" w:lineRule="auto"/>
              <w:jc w:val="right"/>
              <w:rPr>
                <w:rFonts w:eastAsia="Times New Roman" w:cs="Times New Roman"/>
                <w:color w:val="000000"/>
                <w:kern w:val="0"/>
                <w:sz w:val="16"/>
                <w:szCs w:val="16"/>
                <w:lang w:eastAsia="es-CO"/>
                <w14:ligatures w14:val="none"/>
              </w:rPr>
            </w:pPr>
            <w:r w:rsidRPr="00951AB1">
              <w:rPr>
                <w:rFonts w:eastAsia="Times New Roman" w:cs="Times New Roman"/>
                <w:color w:val="000000"/>
                <w:kern w:val="0"/>
                <w:sz w:val="16"/>
                <w:szCs w:val="16"/>
                <w:lang w:eastAsia="es-CO"/>
                <w14:ligatures w14:val="none"/>
              </w:rPr>
              <w:t>73.587.854.346</w:t>
            </w:r>
          </w:p>
        </w:tc>
        <w:tc>
          <w:tcPr>
            <w:tcW w:w="1560" w:type="dxa"/>
            <w:noWrap/>
            <w:vAlign w:val="center"/>
            <w:hideMark/>
          </w:tcPr>
          <w:p w14:paraId="6599F7D8" w14:textId="2DCAA711" w:rsidR="00B525CA" w:rsidRPr="00951AB1" w:rsidRDefault="00B525CA" w:rsidP="000A5389">
            <w:pPr>
              <w:spacing w:line="240" w:lineRule="auto"/>
              <w:jc w:val="right"/>
              <w:rPr>
                <w:rFonts w:eastAsia="Times New Roman" w:cs="Times New Roman"/>
                <w:color w:val="000000"/>
                <w:kern w:val="0"/>
                <w:sz w:val="16"/>
                <w:szCs w:val="16"/>
                <w:lang w:eastAsia="es-CO"/>
                <w14:ligatures w14:val="none"/>
              </w:rPr>
            </w:pPr>
            <w:r w:rsidRPr="00951AB1">
              <w:rPr>
                <w:rFonts w:eastAsia="Times New Roman" w:cs="Times New Roman"/>
                <w:color w:val="000000"/>
                <w:kern w:val="0"/>
                <w:sz w:val="16"/>
                <w:szCs w:val="16"/>
                <w:lang w:eastAsia="es-CO"/>
                <w14:ligatures w14:val="none"/>
              </w:rPr>
              <w:t>73.708.057.120</w:t>
            </w:r>
          </w:p>
        </w:tc>
        <w:tc>
          <w:tcPr>
            <w:tcW w:w="1603" w:type="dxa"/>
            <w:noWrap/>
            <w:vAlign w:val="center"/>
            <w:hideMark/>
          </w:tcPr>
          <w:p w14:paraId="5EC6098F" w14:textId="40AAAC92" w:rsidR="00B525CA" w:rsidRPr="00951AB1" w:rsidRDefault="00B525CA" w:rsidP="000A5389">
            <w:pPr>
              <w:spacing w:line="240" w:lineRule="auto"/>
              <w:jc w:val="right"/>
              <w:rPr>
                <w:rFonts w:eastAsia="Times New Roman" w:cs="Times New Roman"/>
                <w:color w:val="000000"/>
                <w:kern w:val="0"/>
                <w:sz w:val="16"/>
                <w:szCs w:val="16"/>
                <w:lang w:eastAsia="es-CO"/>
                <w14:ligatures w14:val="none"/>
              </w:rPr>
            </w:pPr>
            <w:r w:rsidRPr="00951AB1">
              <w:rPr>
                <w:rFonts w:eastAsia="Times New Roman" w:cs="Times New Roman"/>
                <w:color w:val="000000"/>
                <w:kern w:val="0"/>
                <w:sz w:val="16"/>
                <w:szCs w:val="16"/>
                <w:lang w:eastAsia="es-CO"/>
                <w14:ligatures w14:val="none"/>
              </w:rPr>
              <w:t>-120.202.774</w:t>
            </w:r>
          </w:p>
        </w:tc>
      </w:tr>
      <w:tr w:rsidR="005B72F1" w:rsidRPr="00951AB1" w14:paraId="708E893D" w14:textId="77777777" w:rsidTr="002B3ABB">
        <w:trPr>
          <w:trHeight w:val="285"/>
          <w:jc w:val="right"/>
        </w:trPr>
        <w:tc>
          <w:tcPr>
            <w:tcW w:w="4106" w:type="dxa"/>
            <w:noWrap/>
            <w:vAlign w:val="center"/>
            <w:hideMark/>
          </w:tcPr>
          <w:p w14:paraId="6683C26D" w14:textId="77777777" w:rsidR="00B525CA" w:rsidRPr="00951AB1" w:rsidRDefault="00B525CA" w:rsidP="000A5389">
            <w:pPr>
              <w:spacing w:line="240" w:lineRule="auto"/>
              <w:rPr>
                <w:rFonts w:eastAsia="Times New Roman" w:cs="Times New Roman"/>
                <w:color w:val="000000"/>
                <w:kern w:val="0"/>
                <w:sz w:val="16"/>
                <w:szCs w:val="16"/>
                <w:lang w:eastAsia="es-CO"/>
                <w14:ligatures w14:val="none"/>
              </w:rPr>
            </w:pPr>
            <w:r w:rsidRPr="00951AB1">
              <w:rPr>
                <w:rFonts w:eastAsia="Times New Roman" w:cs="Times New Roman"/>
                <w:color w:val="000000"/>
                <w:kern w:val="0"/>
                <w:sz w:val="16"/>
                <w:szCs w:val="16"/>
                <w:lang w:eastAsia="es-CO"/>
                <w14:ligatures w14:val="none"/>
              </w:rPr>
              <w:t>Propiedades, Plan y Equipo</w:t>
            </w:r>
          </w:p>
        </w:tc>
        <w:tc>
          <w:tcPr>
            <w:tcW w:w="1559" w:type="dxa"/>
            <w:noWrap/>
            <w:vAlign w:val="center"/>
            <w:hideMark/>
          </w:tcPr>
          <w:p w14:paraId="67C6C083" w14:textId="6EC82E89" w:rsidR="00B525CA" w:rsidRPr="00951AB1" w:rsidRDefault="00B525CA" w:rsidP="000A5389">
            <w:pPr>
              <w:spacing w:line="240" w:lineRule="auto"/>
              <w:jc w:val="right"/>
              <w:rPr>
                <w:rFonts w:eastAsia="Times New Roman" w:cs="Times New Roman"/>
                <w:color w:val="000000"/>
                <w:kern w:val="0"/>
                <w:sz w:val="16"/>
                <w:szCs w:val="16"/>
                <w:lang w:eastAsia="es-CO"/>
                <w14:ligatures w14:val="none"/>
              </w:rPr>
            </w:pPr>
            <w:r w:rsidRPr="00951AB1">
              <w:rPr>
                <w:rFonts w:eastAsia="Times New Roman" w:cs="Times New Roman"/>
                <w:color w:val="000000"/>
                <w:kern w:val="0"/>
                <w:sz w:val="16"/>
                <w:szCs w:val="16"/>
                <w:lang w:eastAsia="es-CO"/>
                <w14:ligatures w14:val="none"/>
              </w:rPr>
              <w:t>2.837.355.307.101</w:t>
            </w:r>
          </w:p>
        </w:tc>
        <w:tc>
          <w:tcPr>
            <w:tcW w:w="1560" w:type="dxa"/>
            <w:noWrap/>
            <w:vAlign w:val="center"/>
            <w:hideMark/>
          </w:tcPr>
          <w:p w14:paraId="4ED45787" w14:textId="38ACC768" w:rsidR="00B525CA" w:rsidRPr="00951AB1" w:rsidRDefault="00B525CA" w:rsidP="000A5389">
            <w:pPr>
              <w:spacing w:line="240" w:lineRule="auto"/>
              <w:jc w:val="right"/>
              <w:rPr>
                <w:rFonts w:eastAsia="Times New Roman" w:cs="Times New Roman"/>
                <w:color w:val="000000"/>
                <w:kern w:val="0"/>
                <w:sz w:val="16"/>
                <w:szCs w:val="16"/>
                <w:lang w:eastAsia="es-CO"/>
                <w14:ligatures w14:val="none"/>
              </w:rPr>
            </w:pPr>
            <w:r w:rsidRPr="00951AB1">
              <w:rPr>
                <w:rFonts w:eastAsia="Times New Roman" w:cs="Times New Roman"/>
                <w:color w:val="000000"/>
                <w:kern w:val="0"/>
                <w:sz w:val="16"/>
                <w:szCs w:val="16"/>
                <w:lang w:eastAsia="es-CO"/>
                <w14:ligatures w14:val="none"/>
              </w:rPr>
              <w:t>2.460.627.148.297</w:t>
            </w:r>
          </w:p>
        </w:tc>
        <w:tc>
          <w:tcPr>
            <w:tcW w:w="1603" w:type="dxa"/>
            <w:noWrap/>
            <w:vAlign w:val="center"/>
            <w:hideMark/>
          </w:tcPr>
          <w:p w14:paraId="432EAC23" w14:textId="4C16FFC3" w:rsidR="00B525CA" w:rsidRPr="00951AB1" w:rsidRDefault="00B525CA" w:rsidP="000A5389">
            <w:pPr>
              <w:spacing w:line="240" w:lineRule="auto"/>
              <w:jc w:val="right"/>
              <w:rPr>
                <w:rFonts w:eastAsia="Times New Roman" w:cs="Times New Roman"/>
                <w:color w:val="000000"/>
                <w:kern w:val="0"/>
                <w:sz w:val="16"/>
                <w:szCs w:val="16"/>
                <w:lang w:eastAsia="es-CO"/>
                <w14:ligatures w14:val="none"/>
              </w:rPr>
            </w:pPr>
            <w:r w:rsidRPr="00951AB1">
              <w:rPr>
                <w:rFonts w:eastAsia="Times New Roman" w:cs="Times New Roman"/>
                <w:color w:val="000000"/>
                <w:kern w:val="0"/>
                <w:sz w:val="16"/>
                <w:szCs w:val="16"/>
                <w:lang w:eastAsia="es-CO"/>
                <w14:ligatures w14:val="none"/>
              </w:rPr>
              <w:t>376.728.158.805</w:t>
            </w:r>
          </w:p>
        </w:tc>
      </w:tr>
      <w:tr w:rsidR="005B72F1" w:rsidRPr="00951AB1" w14:paraId="1BF29DCC" w14:textId="77777777" w:rsidTr="002B3ABB">
        <w:trPr>
          <w:trHeight w:val="285"/>
          <w:jc w:val="right"/>
        </w:trPr>
        <w:tc>
          <w:tcPr>
            <w:tcW w:w="4106" w:type="dxa"/>
            <w:noWrap/>
            <w:vAlign w:val="center"/>
            <w:hideMark/>
          </w:tcPr>
          <w:p w14:paraId="2733D0CA" w14:textId="77777777" w:rsidR="00B525CA" w:rsidRPr="00951AB1" w:rsidRDefault="00B525CA" w:rsidP="000A5389">
            <w:pPr>
              <w:spacing w:line="240" w:lineRule="auto"/>
              <w:rPr>
                <w:rFonts w:eastAsia="Times New Roman" w:cs="Times New Roman"/>
                <w:b/>
                <w:color w:val="000000"/>
                <w:kern w:val="0"/>
                <w:sz w:val="16"/>
                <w:szCs w:val="16"/>
                <w:lang w:eastAsia="es-CO"/>
                <w14:ligatures w14:val="none"/>
              </w:rPr>
            </w:pPr>
            <w:r w:rsidRPr="00951AB1">
              <w:rPr>
                <w:rFonts w:eastAsia="Times New Roman" w:cs="Times New Roman"/>
                <w:b/>
                <w:color w:val="000000"/>
                <w:kern w:val="0"/>
                <w:sz w:val="16"/>
                <w:szCs w:val="16"/>
                <w:lang w:eastAsia="es-CO"/>
                <w14:ligatures w14:val="none"/>
              </w:rPr>
              <w:t>Red marítima</w:t>
            </w:r>
          </w:p>
        </w:tc>
        <w:tc>
          <w:tcPr>
            <w:tcW w:w="1559" w:type="dxa"/>
            <w:noWrap/>
            <w:vAlign w:val="center"/>
            <w:hideMark/>
          </w:tcPr>
          <w:p w14:paraId="09DD90F4" w14:textId="79C25E96" w:rsidR="00B525CA" w:rsidRPr="00951AB1" w:rsidRDefault="00B525CA" w:rsidP="000A5389">
            <w:pPr>
              <w:spacing w:line="240" w:lineRule="auto"/>
              <w:jc w:val="right"/>
              <w:rPr>
                <w:rFonts w:eastAsia="Times New Roman" w:cs="Times New Roman"/>
                <w:b/>
                <w:color w:val="000000"/>
                <w:kern w:val="0"/>
                <w:sz w:val="16"/>
                <w:szCs w:val="16"/>
                <w:lang w:eastAsia="es-CO"/>
                <w14:ligatures w14:val="none"/>
              </w:rPr>
            </w:pPr>
            <w:r w:rsidRPr="00951AB1">
              <w:rPr>
                <w:rFonts w:eastAsia="Times New Roman" w:cs="Times New Roman"/>
                <w:b/>
                <w:color w:val="000000"/>
                <w:kern w:val="0"/>
                <w:sz w:val="16"/>
                <w:szCs w:val="16"/>
                <w:lang w:eastAsia="es-CO"/>
                <w14:ligatures w14:val="none"/>
              </w:rPr>
              <w:t>7.526.991.353.869</w:t>
            </w:r>
          </w:p>
        </w:tc>
        <w:tc>
          <w:tcPr>
            <w:tcW w:w="1560" w:type="dxa"/>
            <w:noWrap/>
            <w:vAlign w:val="center"/>
            <w:hideMark/>
          </w:tcPr>
          <w:p w14:paraId="140EA3A1" w14:textId="5A9B7D19" w:rsidR="00B525CA" w:rsidRPr="00951AB1" w:rsidRDefault="00B525CA" w:rsidP="000A5389">
            <w:pPr>
              <w:spacing w:line="240" w:lineRule="auto"/>
              <w:jc w:val="right"/>
              <w:rPr>
                <w:rFonts w:eastAsia="Times New Roman" w:cs="Times New Roman"/>
                <w:b/>
                <w:color w:val="000000"/>
                <w:kern w:val="0"/>
                <w:sz w:val="16"/>
                <w:szCs w:val="16"/>
                <w:lang w:eastAsia="es-CO"/>
                <w14:ligatures w14:val="none"/>
              </w:rPr>
            </w:pPr>
            <w:r w:rsidRPr="00951AB1">
              <w:rPr>
                <w:rFonts w:eastAsia="Times New Roman" w:cs="Times New Roman"/>
                <w:b/>
                <w:color w:val="000000"/>
                <w:kern w:val="0"/>
                <w:sz w:val="16"/>
                <w:szCs w:val="16"/>
                <w:lang w:eastAsia="es-CO"/>
                <w14:ligatures w14:val="none"/>
              </w:rPr>
              <w:t>7.044.734.082.097</w:t>
            </w:r>
          </w:p>
        </w:tc>
        <w:tc>
          <w:tcPr>
            <w:tcW w:w="1603" w:type="dxa"/>
            <w:noWrap/>
            <w:vAlign w:val="center"/>
            <w:hideMark/>
          </w:tcPr>
          <w:p w14:paraId="10A819CE" w14:textId="4B717187" w:rsidR="00B525CA" w:rsidRPr="00951AB1" w:rsidRDefault="00B525CA" w:rsidP="000A5389">
            <w:pPr>
              <w:spacing w:line="240" w:lineRule="auto"/>
              <w:jc w:val="right"/>
              <w:rPr>
                <w:rFonts w:eastAsia="Times New Roman" w:cs="Times New Roman"/>
                <w:b/>
                <w:color w:val="000000"/>
                <w:kern w:val="0"/>
                <w:sz w:val="16"/>
                <w:szCs w:val="16"/>
                <w:lang w:eastAsia="es-CO"/>
                <w14:ligatures w14:val="none"/>
              </w:rPr>
            </w:pPr>
            <w:r w:rsidRPr="00951AB1">
              <w:rPr>
                <w:rFonts w:eastAsia="Times New Roman" w:cs="Times New Roman"/>
                <w:b/>
                <w:color w:val="000000"/>
                <w:kern w:val="0"/>
                <w:sz w:val="16"/>
                <w:szCs w:val="16"/>
                <w:lang w:eastAsia="es-CO"/>
                <w14:ligatures w14:val="none"/>
              </w:rPr>
              <w:t>482.257.271.772</w:t>
            </w:r>
          </w:p>
        </w:tc>
      </w:tr>
      <w:tr w:rsidR="00050CAF" w:rsidRPr="00951AB1" w14:paraId="0D8468F4" w14:textId="77777777" w:rsidTr="5863944A">
        <w:trPr>
          <w:trHeight w:val="240"/>
          <w:jc w:val="right"/>
        </w:trPr>
        <w:tc>
          <w:tcPr>
            <w:tcW w:w="4106" w:type="dxa"/>
            <w:shd w:val="clear" w:color="auto" w:fill="F2F2F2" w:themeFill="background1" w:themeFillShade="F2"/>
            <w:noWrap/>
            <w:vAlign w:val="center"/>
            <w:hideMark/>
          </w:tcPr>
          <w:p w14:paraId="459C6A29" w14:textId="77777777" w:rsidR="00B525CA" w:rsidRPr="00951AB1" w:rsidRDefault="00B525CA" w:rsidP="000A5389">
            <w:pPr>
              <w:spacing w:line="240" w:lineRule="auto"/>
              <w:rPr>
                <w:rFonts w:eastAsia="Times New Roman" w:cs="Times New Roman"/>
                <w:i/>
                <w:color w:val="000000"/>
                <w:kern w:val="0"/>
                <w:sz w:val="16"/>
                <w:szCs w:val="16"/>
                <w:lang w:eastAsia="es-CO"/>
                <w14:ligatures w14:val="none"/>
              </w:rPr>
            </w:pPr>
            <w:r w:rsidRPr="00951AB1">
              <w:rPr>
                <w:rFonts w:eastAsia="Times New Roman" w:cs="Times New Roman"/>
                <w:i/>
                <w:color w:val="000000"/>
                <w:kern w:val="0"/>
                <w:sz w:val="16"/>
                <w:szCs w:val="16"/>
                <w:lang w:eastAsia="es-CO"/>
                <w14:ligatures w14:val="none"/>
              </w:rPr>
              <w:t>En construcción</w:t>
            </w:r>
          </w:p>
        </w:tc>
        <w:tc>
          <w:tcPr>
            <w:tcW w:w="1559" w:type="dxa"/>
            <w:shd w:val="clear" w:color="auto" w:fill="F2F2F2" w:themeFill="background1" w:themeFillShade="F2"/>
            <w:noWrap/>
            <w:vAlign w:val="center"/>
            <w:hideMark/>
          </w:tcPr>
          <w:p w14:paraId="1CA17293" w14:textId="432DBD9A" w:rsidR="00B525CA" w:rsidRPr="00951AB1" w:rsidRDefault="00B525CA" w:rsidP="000A5389">
            <w:pPr>
              <w:spacing w:line="240" w:lineRule="auto"/>
              <w:jc w:val="right"/>
              <w:rPr>
                <w:rFonts w:eastAsia="Times New Roman" w:cs="Times New Roman"/>
                <w:i/>
                <w:color w:val="000000"/>
                <w:kern w:val="0"/>
                <w:sz w:val="16"/>
                <w:szCs w:val="16"/>
                <w:lang w:eastAsia="es-CO"/>
                <w14:ligatures w14:val="none"/>
              </w:rPr>
            </w:pPr>
            <w:r w:rsidRPr="00951AB1">
              <w:rPr>
                <w:rFonts w:eastAsia="Times New Roman" w:cs="Times New Roman"/>
                <w:i/>
                <w:iCs/>
                <w:color w:val="000000"/>
                <w:kern w:val="0"/>
                <w:sz w:val="16"/>
                <w:szCs w:val="16"/>
                <w:lang w:eastAsia="es-CO"/>
                <w14:ligatures w14:val="none"/>
              </w:rPr>
              <w:t>2.005.276.464.237</w:t>
            </w:r>
          </w:p>
        </w:tc>
        <w:tc>
          <w:tcPr>
            <w:tcW w:w="1560" w:type="dxa"/>
            <w:shd w:val="clear" w:color="auto" w:fill="F2F2F2" w:themeFill="background1" w:themeFillShade="F2"/>
            <w:noWrap/>
            <w:vAlign w:val="center"/>
            <w:hideMark/>
          </w:tcPr>
          <w:p w14:paraId="78B53668" w14:textId="1F214AC8" w:rsidR="00B525CA" w:rsidRPr="00951AB1" w:rsidRDefault="00B525CA" w:rsidP="000A5389">
            <w:pPr>
              <w:spacing w:line="240" w:lineRule="auto"/>
              <w:jc w:val="right"/>
              <w:rPr>
                <w:rFonts w:eastAsia="Times New Roman" w:cs="Times New Roman"/>
                <w:i/>
                <w:color w:val="000000"/>
                <w:kern w:val="0"/>
                <w:sz w:val="16"/>
                <w:szCs w:val="16"/>
                <w:lang w:eastAsia="es-CO"/>
                <w14:ligatures w14:val="none"/>
              </w:rPr>
            </w:pPr>
            <w:r w:rsidRPr="00951AB1">
              <w:rPr>
                <w:rFonts w:eastAsia="Times New Roman" w:cs="Times New Roman"/>
                <w:i/>
                <w:iCs/>
                <w:color w:val="000000"/>
                <w:kern w:val="0"/>
                <w:sz w:val="16"/>
                <w:szCs w:val="16"/>
                <w:lang w:eastAsia="es-CO"/>
                <w14:ligatures w14:val="none"/>
              </w:rPr>
              <w:t>1.625.333.715.721</w:t>
            </w:r>
          </w:p>
        </w:tc>
        <w:tc>
          <w:tcPr>
            <w:tcW w:w="1603" w:type="dxa"/>
            <w:shd w:val="clear" w:color="auto" w:fill="F2F2F2" w:themeFill="background1" w:themeFillShade="F2"/>
            <w:noWrap/>
            <w:vAlign w:val="center"/>
            <w:hideMark/>
          </w:tcPr>
          <w:p w14:paraId="5AF53F26" w14:textId="5CD3C839" w:rsidR="00B525CA" w:rsidRPr="00951AB1" w:rsidRDefault="00B525CA" w:rsidP="000A5389">
            <w:pPr>
              <w:spacing w:line="240" w:lineRule="auto"/>
              <w:jc w:val="right"/>
              <w:rPr>
                <w:rFonts w:eastAsia="Times New Roman" w:cs="Times New Roman"/>
                <w:i/>
                <w:color w:val="000000"/>
                <w:kern w:val="0"/>
                <w:sz w:val="16"/>
                <w:szCs w:val="16"/>
                <w:lang w:eastAsia="es-CO"/>
                <w14:ligatures w14:val="none"/>
              </w:rPr>
            </w:pPr>
            <w:r w:rsidRPr="00951AB1">
              <w:rPr>
                <w:rFonts w:eastAsia="Times New Roman" w:cs="Times New Roman"/>
                <w:i/>
                <w:iCs/>
                <w:color w:val="000000"/>
                <w:kern w:val="0"/>
                <w:sz w:val="16"/>
                <w:szCs w:val="16"/>
                <w:lang w:eastAsia="es-CO"/>
                <w14:ligatures w14:val="none"/>
              </w:rPr>
              <w:t>379.942.748.515</w:t>
            </w:r>
          </w:p>
        </w:tc>
      </w:tr>
      <w:tr w:rsidR="00050CAF" w:rsidRPr="00951AB1" w14:paraId="3D01B2DF" w14:textId="77777777" w:rsidTr="5863944A">
        <w:trPr>
          <w:trHeight w:val="240"/>
          <w:jc w:val="right"/>
        </w:trPr>
        <w:tc>
          <w:tcPr>
            <w:tcW w:w="4106" w:type="dxa"/>
            <w:shd w:val="clear" w:color="auto" w:fill="F2F2F2" w:themeFill="background1" w:themeFillShade="F2"/>
            <w:noWrap/>
            <w:vAlign w:val="center"/>
            <w:hideMark/>
          </w:tcPr>
          <w:p w14:paraId="2BBB0B72" w14:textId="77777777" w:rsidR="00B525CA" w:rsidRPr="00951AB1" w:rsidRDefault="00B525CA" w:rsidP="000A5389">
            <w:pPr>
              <w:spacing w:line="240" w:lineRule="auto"/>
              <w:rPr>
                <w:rFonts w:eastAsia="Times New Roman" w:cs="Times New Roman"/>
                <w:i/>
                <w:color w:val="000000"/>
                <w:kern w:val="0"/>
                <w:sz w:val="16"/>
                <w:szCs w:val="16"/>
                <w:lang w:eastAsia="es-CO"/>
                <w14:ligatures w14:val="none"/>
              </w:rPr>
            </w:pPr>
            <w:r w:rsidRPr="00951AB1">
              <w:rPr>
                <w:rFonts w:eastAsia="Times New Roman" w:cs="Times New Roman"/>
                <w:i/>
                <w:color w:val="000000"/>
                <w:kern w:val="0"/>
                <w:sz w:val="16"/>
                <w:szCs w:val="16"/>
                <w:lang w:eastAsia="es-CO"/>
                <w14:ligatures w14:val="none"/>
              </w:rPr>
              <w:t>En servicio</w:t>
            </w:r>
          </w:p>
        </w:tc>
        <w:tc>
          <w:tcPr>
            <w:tcW w:w="1559" w:type="dxa"/>
            <w:shd w:val="clear" w:color="auto" w:fill="F2F2F2" w:themeFill="background1" w:themeFillShade="F2"/>
            <w:noWrap/>
            <w:vAlign w:val="center"/>
            <w:hideMark/>
          </w:tcPr>
          <w:p w14:paraId="41B2CDBC" w14:textId="2D1CDDE6" w:rsidR="00B525CA" w:rsidRPr="00951AB1" w:rsidRDefault="00B525CA" w:rsidP="000A5389">
            <w:pPr>
              <w:spacing w:line="240" w:lineRule="auto"/>
              <w:jc w:val="right"/>
              <w:rPr>
                <w:rFonts w:eastAsia="Times New Roman" w:cs="Times New Roman"/>
                <w:i/>
                <w:color w:val="000000"/>
                <w:kern w:val="0"/>
                <w:sz w:val="16"/>
                <w:szCs w:val="16"/>
                <w:lang w:eastAsia="es-CO"/>
                <w14:ligatures w14:val="none"/>
              </w:rPr>
            </w:pPr>
            <w:r w:rsidRPr="00951AB1">
              <w:rPr>
                <w:rFonts w:eastAsia="Times New Roman" w:cs="Times New Roman"/>
                <w:i/>
                <w:iCs/>
                <w:color w:val="000000"/>
                <w:kern w:val="0"/>
                <w:sz w:val="16"/>
                <w:szCs w:val="16"/>
                <w:lang w:eastAsia="es-CO"/>
                <w14:ligatures w14:val="none"/>
              </w:rPr>
              <w:t>5.521.714.889.632</w:t>
            </w:r>
          </w:p>
        </w:tc>
        <w:tc>
          <w:tcPr>
            <w:tcW w:w="1560" w:type="dxa"/>
            <w:shd w:val="clear" w:color="auto" w:fill="F2F2F2" w:themeFill="background1" w:themeFillShade="F2"/>
            <w:noWrap/>
            <w:vAlign w:val="center"/>
            <w:hideMark/>
          </w:tcPr>
          <w:p w14:paraId="038B7D6B" w14:textId="2E21E898" w:rsidR="00B525CA" w:rsidRPr="00951AB1" w:rsidRDefault="00B525CA" w:rsidP="000A5389">
            <w:pPr>
              <w:spacing w:line="240" w:lineRule="auto"/>
              <w:jc w:val="right"/>
              <w:rPr>
                <w:rFonts w:eastAsia="Times New Roman" w:cs="Times New Roman"/>
                <w:i/>
                <w:color w:val="000000"/>
                <w:kern w:val="0"/>
                <w:sz w:val="16"/>
                <w:szCs w:val="16"/>
                <w:lang w:eastAsia="es-CO"/>
                <w14:ligatures w14:val="none"/>
              </w:rPr>
            </w:pPr>
            <w:r w:rsidRPr="00951AB1">
              <w:rPr>
                <w:rFonts w:eastAsia="Times New Roman" w:cs="Times New Roman"/>
                <w:i/>
                <w:iCs/>
                <w:color w:val="000000"/>
                <w:kern w:val="0"/>
                <w:sz w:val="16"/>
                <w:szCs w:val="16"/>
                <w:lang w:eastAsia="es-CO"/>
                <w14:ligatures w14:val="none"/>
              </w:rPr>
              <w:t>5.419.400.366.375</w:t>
            </w:r>
          </w:p>
        </w:tc>
        <w:tc>
          <w:tcPr>
            <w:tcW w:w="1603" w:type="dxa"/>
            <w:shd w:val="clear" w:color="auto" w:fill="F2F2F2" w:themeFill="background1" w:themeFillShade="F2"/>
            <w:noWrap/>
            <w:vAlign w:val="center"/>
            <w:hideMark/>
          </w:tcPr>
          <w:p w14:paraId="1957165D" w14:textId="77486EFD" w:rsidR="00B525CA" w:rsidRPr="00951AB1" w:rsidRDefault="00B525CA" w:rsidP="000A5389">
            <w:pPr>
              <w:spacing w:line="240" w:lineRule="auto"/>
              <w:jc w:val="right"/>
              <w:rPr>
                <w:rFonts w:eastAsia="Times New Roman" w:cs="Times New Roman"/>
                <w:i/>
                <w:color w:val="000000"/>
                <w:kern w:val="0"/>
                <w:sz w:val="16"/>
                <w:szCs w:val="16"/>
                <w:lang w:eastAsia="es-CO"/>
                <w14:ligatures w14:val="none"/>
              </w:rPr>
            </w:pPr>
            <w:r w:rsidRPr="00951AB1">
              <w:rPr>
                <w:rFonts w:eastAsia="Times New Roman" w:cs="Times New Roman"/>
                <w:i/>
                <w:iCs/>
                <w:color w:val="000000"/>
                <w:kern w:val="0"/>
                <w:sz w:val="16"/>
                <w:szCs w:val="16"/>
                <w:lang w:eastAsia="es-CO"/>
                <w14:ligatures w14:val="none"/>
              </w:rPr>
              <w:t>102.314.523.257</w:t>
            </w:r>
          </w:p>
        </w:tc>
      </w:tr>
      <w:tr w:rsidR="005B72F1" w:rsidRPr="00951AB1" w14:paraId="1EB4DF0C" w14:textId="77777777" w:rsidTr="002B3ABB">
        <w:trPr>
          <w:trHeight w:val="285"/>
          <w:jc w:val="right"/>
        </w:trPr>
        <w:tc>
          <w:tcPr>
            <w:tcW w:w="4106" w:type="dxa"/>
            <w:noWrap/>
            <w:vAlign w:val="center"/>
            <w:hideMark/>
          </w:tcPr>
          <w:p w14:paraId="0537DAA0" w14:textId="7BBAB931" w:rsidR="00B525CA" w:rsidRPr="00951AB1" w:rsidRDefault="00B525CA" w:rsidP="000A5389">
            <w:pPr>
              <w:spacing w:line="240" w:lineRule="auto"/>
              <w:rPr>
                <w:rFonts w:eastAsia="Times New Roman" w:cs="Times New Roman"/>
                <w:color w:val="000000"/>
                <w:kern w:val="0"/>
                <w:sz w:val="16"/>
                <w:szCs w:val="16"/>
                <w:lang w:eastAsia="es-CO"/>
                <w14:ligatures w14:val="none"/>
              </w:rPr>
            </w:pPr>
            <w:r w:rsidRPr="00951AB1">
              <w:rPr>
                <w:rFonts w:eastAsia="Times New Roman" w:cs="Times New Roman"/>
                <w:color w:val="000000"/>
                <w:kern w:val="0"/>
                <w:sz w:val="16"/>
                <w:szCs w:val="16"/>
                <w:lang w:eastAsia="es-CO"/>
                <w14:ligatures w14:val="none"/>
              </w:rPr>
              <w:t>Terrenos (en servicio)</w:t>
            </w:r>
          </w:p>
        </w:tc>
        <w:tc>
          <w:tcPr>
            <w:tcW w:w="1559" w:type="dxa"/>
            <w:noWrap/>
            <w:vAlign w:val="center"/>
            <w:hideMark/>
          </w:tcPr>
          <w:p w14:paraId="4ACAD5C9" w14:textId="154BB7AB" w:rsidR="00B525CA" w:rsidRPr="00951AB1" w:rsidRDefault="00B525CA" w:rsidP="000A5389">
            <w:pPr>
              <w:spacing w:line="240" w:lineRule="auto"/>
              <w:jc w:val="right"/>
              <w:rPr>
                <w:rFonts w:eastAsia="Times New Roman" w:cs="Times New Roman"/>
                <w:color w:val="000000"/>
                <w:kern w:val="0"/>
                <w:sz w:val="16"/>
                <w:szCs w:val="16"/>
                <w:lang w:eastAsia="es-CO"/>
                <w14:ligatures w14:val="none"/>
              </w:rPr>
            </w:pPr>
            <w:r w:rsidRPr="00951AB1">
              <w:rPr>
                <w:rFonts w:eastAsia="Times New Roman" w:cs="Times New Roman"/>
                <w:color w:val="000000"/>
                <w:kern w:val="0"/>
                <w:sz w:val="16"/>
                <w:szCs w:val="16"/>
                <w:lang w:eastAsia="es-CO"/>
                <w14:ligatures w14:val="none"/>
              </w:rPr>
              <w:t>482.889.987.842</w:t>
            </w:r>
          </w:p>
        </w:tc>
        <w:tc>
          <w:tcPr>
            <w:tcW w:w="1560" w:type="dxa"/>
            <w:noWrap/>
            <w:vAlign w:val="center"/>
            <w:hideMark/>
          </w:tcPr>
          <w:p w14:paraId="6278598F" w14:textId="591134C6" w:rsidR="00B525CA" w:rsidRPr="00951AB1" w:rsidRDefault="00B525CA" w:rsidP="000A5389">
            <w:pPr>
              <w:spacing w:line="240" w:lineRule="auto"/>
              <w:jc w:val="right"/>
              <w:rPr>
                <w:rFonts w:eastAsia="Times New Roman" w:cs="Times New Roman"/>
                <w:color w:val="000000"/>
                <w:kern w:val="0"/>
                <w:sz w:val="16"/>
                <w:szCs w:val="16"/>
                <w:lang w:eastAsia="es-CO"/>
                <w14:ligatures w14:val="none"/>
              </w:rPr>
            </w:pPr>
            <w:r w:rsidRPr="00951AB1">
              <w:rPr>
                <w:rFonts w:eastAsia="Times New Roman" w:cs="Times New Roman"/>
                <w:color w:val="000000"/>
                <w:kern w:val="0"/>
                <w:sz w:val="16"/>
                <w:szCs w:val="16"/>
                <w:lang w:eastAsia="es-CO"/>
                <w14:ligatures w14:val="none"/>
              </w:rPr>
              <w:t>482.889.987.842</w:t>
            </w:r>
          </w:p>
        </w:tc>
        <w:tc>
          <w:tcPr>
            <w:tcW w:w="1603" w:type="dxa"/>
            <w:noWrap/>
            <w:vAlign w:val="center"/>
            <w:hideMark/>
          </w:tcPr>
          <w:p w14:paraId="3E109F1D" w14:textId="23CD9974" w:rsidR="00B525CA" w:rsidRPr="00951AB1" w:rsidRDefault="00B525CA" w:rsidP="000A5389">
            <w:pPr>
              <w:spacing w:line="240" w:lineRule="auto"/>
              <w:jc w:val="right"/>
              <w:rPr>
                <w:rFonts w:eastAsia="Times New Roman" w:cs="Times New Roman"/>
                <w:color w:val="000000"/>
                <w:kern w:val="0"/>
                <w:sz w:val="16"/>
                <w:szCs w:val="16"/>
                <w:lang w:eastAsia="es-CO"/>
                <w14:ligatures w14:val="none"/>
              </w:rPr>
            </w:pPr>
            <w:r w:rsidRPr="00951AB1">
              <w:rPr>
                <w:rFonts w:eastAsia="Times New Roman" w:cs="Times New Roman"/>
                <w:color w:val="000000"/>
                <w:kern w:val="0"/>
                <w:sz w:val="16"/>
                <w:szCs w:val="16"/>
                <w:lang w:eastAsia="es-CO"/>
                <w14:ligatures w14:val="none"/>
              </w:rPr>
              <w:t>-</w:t>
            </w:r>
          </w:p>
        </w:tc>
      </w:tr>
    </w:tbl>
    <w:p w14:paraId="7ED3A342" w14:textId="77777777" w:rsidR="00FB049C" w:rsidRPr="00951AB1" w:rsidRDefault="00FB049C" w:rsidP="000A5389">
      <w:pPr>
        <w:spacing w:line="240" w:lineRule="auto"/>
        <w:rPr>
          <w:rFonts w:cs="Times New Roman"/>
          <w:sz w:val="16"/>
          <w:szCs w:val="16"/>
        </w:rPr>
      </w:pPr>
      <w:r w:rsidRPr="00951AB1">
        <w:rPr>
          <w:rFonts w:cs="Times New Roman"/>
          <w:sz w:val="16"/>
          <w:szCs w:val="16"/>
        </w:rPr>
        <w:t xml:space="preserve">Cifras expresadas en pesos </w:t>
      </w:r>
    </w:p>
    <w:p w14:paraId="5738232D" w14:textId="77777777" w:rsidR="0082751B" w:rsidRDefault="0082751B" w:rsidP="000A5389">
      <w:pPr>
        <w:spacing w:line="240" w:lineRule="auto"/>
        <w:rPr>
          <w:rFonts w:cs="Times New Roman"/>
          <w:szCs w:val="24"/>
        </w:rPr>
      </w:pPr>
    </w:p>
    <w:p w14:paraId="50BBB5C0" w14:textId="77777777" w:rsidR="00336FA0" w:rsidRPr="00951AB1" w:rsidRDefault="00336FA0" w:rsidP="000A5389">
      <w:pPr>
        <w:spacing w:line="240" w:lineRule="auto"/>
        <w:rPr>
          <w:rFonts w:cs="Times New Roman"/>
          <w:szCs w:val="24"/>
        </w:rPr>
      </w:pPr>
    </w:p>
    <w:p w14:paraId="3AC58621" w14:textId="7E8AC404" w:rsidR="00F7094E" w:rsidRPr="00951AB1" w:rsidRDefault="00F7094E" w:rsidP="000A5389">
      <w:pPr>
        <w:pStyle w:val="Ttulo2"/>
        <w:numPr>
          <w:ilvl w:val="1"/>
          <w:numId w:val="23"/>
        </w:numPr>
        <w:spacing w:line="240" w:lineRule="auto"/>
        <w:rPr>
          <w:rFonts w:cs="Times New Roman"/>
          <w:szCs w:val="24"/>
        </w:rPr>
      </w:pPr>
      <w:bookmarkStart w:id="992" w:name="_Toc191369578"/>
      <w:bookmarkStart w:id="993" w:name="_Toc191456905"/>
      <w:bookmarkStart w:id="994" w:name="_Toc191457015"/>
      <w:bookmarkStart w:id="995" w:name="_Toc191457125"/>
      <w:bookmarkStart w:id="996" w:name="_Toc191475752"/>
      <w:bookmarkStart w:id="997" w:name="_Toc191475861"/>
      <w:bookmarkStart w:id="998" w:name="_Toc191475970"/>
      <w:bookmarkStart w:id="999" w:name="_Toc191475493"/>
      <w:bookmarkStart w:id="1000" w:name="_Toc191505870"/>
      <w:bookmarkStart w:id="1001" w:name="_Toc222824283"/>
      <w:bookmarkStart w:id="1002" w:name="_Toc222955550"/>
      <w:r w:rsidRPr="00951AB1">
        <w:rPr>
          <w:rFonts w:cs="Times New Roman"/>
          <w:szCs w:val="24"/>
        </w:rPr>
        <w:t>Detalle de los acuerdos de concesión</w:t>
      </w:r>
      <w:bookmarkEnd w:id="992"/>
      <w:bookmarkEnd w:id="993"/>
      <w:bookmarkEnd w:id="994"/>
      <w:bookmarkEnd w:id="995"/>
      <w:bookmarkEnd w:id="996"/>
      <w:bookmarkEnd w:id="997"/>
      <w:bookmarkEnd w:id="998"/>
      <w:bookmarkEnd w:id="999"/>
      <w:bookmarkEnd w:id="1000"/>
      <w:bookmarkEnd w:id="1001"/>
      <w:bookmarkEnd w:id="1002"/>
    </w:p>
    <w:p w14:paraId="46B76FB6" w14:textId="77777777" w:rsidR="00F7094E" w:rsidRPr="00951AB1" w:rsidRDefault="00F7094E" w:rsidP="000A5389">
      <w:pPr>
        <w:spacing w:line="240" w:lineRule="auto"/>
        <w:rPr>
          <w:rFonts w:cs="Times New Roman"/>
          <w:szCs w:val="24"/>
        </w:rPr>
      </w:pPr>
    </w:p>
    <w:p w14:paraId="06457D26" w14:textId="34D65C5A" w:rsidR="00F7094E" w:rsidRPr="00951AB1" w:rsidRDefault="00F7094E" w:rsidP="000A5389">
      <w:pPr>
        <w:pStyle w:val="Ttulo3"/>
        <w:spacing w:line="240" w:lineRule="auto"/>
        <w:rPr>
          <w:rFonts w:cs="Times New Roman"/>
          <w:color w:val="1F3864" w:themeColor="accent1" w:themeShade="80"/>
        </w:rPr>
      </w:pPr>
      <w:bookmarkStart w:id="1003" w:name="_Toc191369580"/>
      <w:bookmarkStart w:id="1004" w:name="_Toc191456907"/>
      <w:bookmarkStart w:id="1005" w:name="_Toc191457017"/>
      <w:bookmarkStart w:id="1006" w:name="_Toc191457127"/>
      <w:bookmarkStart w:id="1007" w:name="_Toc191475753"/>
      <w:bookmarkStart w:id="1008" w:name="_Toc191475862"/>
      <w:bookmarkStart w:id="1009" w:name="_Toc191475971"/>
      <w:bookmarkStart w:id="1010" w:name="_Toc191475494"/>
      <w:bookmarkStart w:id="1011" w:name="_Toc191505871"/>
      <w:bookmarkStart w:id="1012" w:name="_Toc222824284"/>
      <w:bookmarkStart w:id="1013" w:name="_Toc222955551"/>
      <w:r w:rsidRPr="00951AB1">
        <w:rPr>
          <w:rFonts w:cs="Times New Roman"/>
          <w:color w:val="1F3864" w:themeColor="accent1" w:themeShade="80"/>
        </w:rPr>
        <w:t>33.1.1 Modo Carretero:</w:t>
      </w:r>
      <w:bookmarkEnd w:id="1003"/>
      <w:bookmarkEnd w:id="1004"/>
      <w:bookmarkEnd w:id="1005"/>
      <w:bookmarkEnd w:id="1006"/>
      <w:bookmarkEnd w:id="1007"/>
      <w:bookmarkEnd w:id="1008"/>
      <w:bookmarkEnd w:id="1009"/>
      <w:bookmarkEnd w:id="1010"/>
      <w:bookmarkEnd w:id="1011"/>
      <w:bookmarkEnd w:id="1012"/>
      <w:bookmarkEnd w:id="1013"/>
    </w:p>
    <w:p w14:paraId="32DEE117" w14:textId="77777777" w:rsidR="00F7094E" w:rsidRPr="00951AB1" w:rsidRDefault="00F7094E" w:rsidP="000A5389">
      <w:pPr>
        <w:spacing w:line="240" w:lineRule="auto"/>
        <w:rPr>
          <w:rFonts w:cs="Times New Roman"/>
          <w:color w:val="000000" w:themeColor="text1"/>
          <w:szCs w:val="24"/>
        </w:rPr>
      </w:pPr>
    </w:p>
    <w:p w14:paraId="2B6DF15E" w14:textId="77777777" w:rsidR="00F7094E" w:rsidRPr="00951AB1" w:rsidRDefault="00F7094E" w:rsidP="000A5389">
      <w:pPr>
        <w:pStyle w:val="Ttulo2"/>
        <w:numPr>
          <w:ilvl w:val="0"/>
          <w:numId w:val="0"/>
        </w:numPr>
        <w:spacing w:line="240" w:lineRule="auto"/>
        <w:rPr>
          <w:rFonts w:cs="Times New Roman"/>
        </w:rPr>
      </w:pPr>
      <w:bookmarkStart w:id="1014" w:name="_Toc191369581"/>
      <w:bookmarkStart w:id="1015" w:name="_Toc191456908"/>
      <w:bookmarkStart w:id="1016" w:name="_Toc191457018"/>
      <w:bookmarkStart w:id="1017" w:name="_Toc191457128"/>
      <w:bookmarkStart w:id="1018" w:name="_Toc191475754"/>
      <w:bookmarkStart w:id="1019" w:name="_Toc191475863"/>
      <w:bookmarkStart w:id="1020" w:name="_Toc191475972"/>
      <w:bookmarkStart w:id="1021" w:name="_Toc191475495"/>
      <w:bookmarkStart w:id="1022" w:name="_Toc191505872"/>
      <w:bookmarkStart w:id="1023" w:name="_Toc222824285"/>
      <w:bookmarkStart w:id="1024" w:name="_Toc222955552"/>
      <w:r w:rsidRPr="00951AB1">
        <w:rPr>
          <w:rFonts w:cs="Times New Roman"/>
        </w:rPr>
        <w:t>Composición</w:t>
      </w:r>
      <w:bookmarkEnd w:id="1014"/>
      <w:bookmarkEnd w:id="1015"/>
      <w:bookmarkEnd w:id="1016"/>
      <w:bookmarkEnd w:id="1017"/>
      <w:bookmarkEnd w:id="1018"/>
      <w:bookmarkEnd w:id="1019"/>
      <w:bookmarkEnd w:id="1020"/>
      <w:bookmarkEnd w:id="1021"/>
      <w:bookmarkEnd w:id="1022"/>
      <w:bookmarkEnd w:id="1023"/>
      <w:bookmarkEnd w:id="1024"/>
    </w:p>
    <w:p w14:paraId="496A0935" w14:textId="77777777" w:rsidR="005477C6" w:rsidRPr="00951AB1" w:rsidRDefault="005477C6" w:rsidP="000A5389">
      <w:pPr>
        <w:spacing w:line="240" w:lineRule="auto"/>
        <w:rPr>
          <w:rFonts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964"/>
        <w:gridCol w:w="1683"/>
        <w:gridCol w:w="1687"/>
        <w:gridCol w:w="1494"/>
      </w:tblGrid>
      <w:tr w:rsidR="00C70C31" w:rsidRPr="00951AB1" w14:paraId="36630D54" w14:textId="77777777" w:rsidTr="000D66C1">
        <w:trPr>
          <w:trHeight w:val="578"/>
          <w:tblHeader/>
        </w:trPr>
        <w:tc>
          <w:tcPr>
            <w:tcW w:w="3964" w:type="dxa"/>
            <w:vAlign w:val="center"/>
            <w:hideMark/>
          </w:tcPr>
          <w:p w14:paraId="1F790B95" w14:textId="77777777" w:rsidR="000D66C1" w:rsidRPr="00951AB1" w:rsidRDefault="000D66C1" w:rsidP="000A5389">
            <w:pPr>
              <w:spacing w:line="240" w:lineRule="auto"/>
              <w:jc w:val="center"/>
              <w:rPr>
                <w:rFonts w:eastAsia="Times New Roman" w:cs="Times New Roman"/>
                <w:b/>
                <w:bCs/>
                <w:color w:val="000000"/>
                <w:kern w:val="0"/>
                <w:sz w:val="18"/>
                <w:szCs w:val="18"/>
                <w:lang w:eastAsia="es-CO"/>
                <w14:ligatures w14:val="none"/>
              </w:rPr>
            </w:pPr>
            <w:r w:rsidRPr="00951AB1">
              <w:rPr>
                <w:rFonts w:eastAsia="Times New Roman" w:cs="Times New Roman"/>
                <w:b/>
                <w:bCs/>
                <w:color w:val="000000"/>
                <w:kern w:val="0"/>
                <w:sz w:val="18"/>
                <w:szCs w:val="18"/>
                <w:lang w:eastAsia="es-CO"/>
                <w14:ligatures w14:val="none"/>
              </w:rPr>
              <w:t>CONCEPTO / TERCERO</w:t>
            </w:r>
          </w:p>
        </w:tc>
        <w:tc>
          <w:tcPr>
            <w:tcW w:w="1683" w:type="dxa"/>
            <w:noWrap/>
            <w:vAlign w:val="center"/>
            <w:hideMark/>
          </w:tcPr>
          <w:p w14:paraId="01BE1EE3" w14:textId="25AB0269" w:rsidR="000D66C1" w:rsidRPr="00951AB1" w:rsidRDefault="000D66C1" w:rsidP="000A5389">
            <w:pPr>
              <w:spacing w:line="240" w:lineRule="auto"/>
              <w:jc w:val="center"/>
              <w:rPr>
                <w:rFonts w:eastAsia="Times New Roman" w:cs="Times New Roman"/>
                <w:b/>
                <w:bCs/>
                <w:color w:val="000000"/>
                <w:kern w:val="0"/>
                <w:sz w:val="18"/>
                <w:szCs w:val="18"/>
                <w:lang w:eastAsia="es-CO"/>
                <w14:ligatures w14:val="none"/>
              </w:rPr>
            </w:pPr>
            <w:r w:rsidRPr="00951AB1">
              <w:rPr>
                <w:rFonts w:eastAsia="Times New Roman" w:cs="Times New Roman"/>
                <w:b/>
                <w:bCs/>
                <w:color w:val="000000"/>
                <w:kern w:val="0"/>
                <w:sz w:val="18"/>
                <w:szCs w:val="18"/>
                <w:lang w:eastAsia="es-CO"/>
                <w14:ligatures w14:val="none"/>
              </w:rPr>
              <w:t>SALDO 2025</w:t>
            </w:r>
          </w:p>
        </w:tc>
        <w:tc>
          <w:tcPr>
            <w:tcW w:w="1687" w:type="dxa"/>
            <w:noWrap/>
            <w:vAlign w:val="center"/>
            <w:hideMark/>
          </w:tcPr>
          <w:p w14:paraId="75B39013" w14:textId="2C883D67" w:rsidR="000D66C1" w:rsidRPr="00951AB1" w:rsidRDefault="000D66C1" w:rsidP="000A5389">
            <w:pPr>
              <w:spacing w:line="240" w:lineRule="auto"/>
              <w:jc w:val="center"/>
              <w:rPr>
                <w:rFonts w:eastAsia="Times New Roman" w:cs="Times New Roman"/>
                <w:b/>
                <w:bCs/>
                <w:color w:val="000000"/>
                <w:kern w:val="0"/>
                <w:sz w:val="18"/>
                <w:szCs w:val="18"/>
                <w:lang w:eastAsia="es-CO"/>
                <w14:ligatures w14:val="none"/>
              </w:rPr>
            </w:pPr>
            <w:r w:rsidRPr="00951AB1">
              <w:rPr>
                <w:rFonts w:eastAsia="Times New Roman" w:cs="Times New Roman"/>
                <w:b/>
                <w:bCs/>
                <w:color w:val="000000"/>
                <w:kern w:val="0"/>
                <w:sz w:val="18"/>
                <w:szCs w:val="18"/>
                <w:lang w:eastAsia="es-CO"/>
                <w14:ligatures w14:val="none"/>
              </w:rPr>
              <w:t>SALDO 2024</w:t>
            </w:r>
          </w:p>
        </w:tc>
        <w:tc>
          <w:tcPr>
            <w:tcW w:w="1494" w:type="dxa"/>
            <w:noWrap/>
            <w:vAlign w:val="center"/>
            <w:hideMark/>
          </w:tcPr>
          <w:p w14:paraId="04AB3027" w14:textId="06AB1471" w:rsidR="000D66C1" w:rsidRPr="00951AB1" w:rsidRDefault="000D66C1" w:rsidP="000A5389">
            <w:pPr>
              <w:spacing w:line="240" w:lineRule="auto"/>
              <w:jc w:val="center"/>
              <w:rPr>
                <w:rFonts w:eastAsia="Times New Roman" w:cs="Times New Roman"/>
                <w:b/>
                <w:bCs/>
                <w:color w:val="000000"/>
                <w:kern w:val="0"/>
                <w:sz w:val="18"/>
                <w:szCs w:val="18"/>
                <w:lang w:eastAsia="es-CO"/>
                <w14:ligatures w14:val="none"/>
              </w:rPr>
            </w:pPr>
            <w:r w:rsidRPr="00951AB1">
              <w:rPr>
                <w:rFonts w:eastAsia="Times New Roman" w:cs="Times New Roman"/>
                <w:b/>
                <w:bCs/>
                <w:color w:val="000000"/>
                <w:kern w:val="0"/>
                <w:sz w:val="18"/>
                <w:szCs w:val="18"/>
                <w:lang w:eastAsia="es-CO"/>
                <w14:ligatures w14:val="none"/>
              </w:rPr>
              <w:t>VARIACIÓN</w:t>
            </w:r>
          </w:p>
        </w:tc>
      </w:tr>
      <w:tr w:rsidR="00C70C31" w:rsidRPr="00951AB1" w14:paraId="1537C6AE" w14:textId="77777777" w:rsidTr="000D66C1">
        <w:trPr>
          <w:trHeight w:val="285"/>
        </w:trPr>
        <w:tc>
          <w:tcPr>
            <w:tcW w:w="3964" w:type="dxa"/>
            <w:vAlign w:val="center"/>
            <w:hideMark/>
          </w:tcPr>
          <w:p w14:paraId="11031C18" w14:textId="77777777" w:rsidR="000D66C1" w:rsidRPr="00951AB1" w:rsidRDefault="000D66C1" w:rsidP="000A5389">
            <w:pPr>
              <w:spacing w:line="240" w:lineRule="auto"/>
              <w:rPr>
                <w:rFonts w:eastAsia="Times New Roman" w:cs="Times New Roman"/>
                <w:b/>
                <w:bCs/>
                <w:color w:val="000000"/>
                <w:kern w:val="0"/>
                <w:sz w:val="18"/>
                <w:szCs w:val="18"/>
                <w:lang w:eastAsia="es-CO"/>
                <w14:ligatures w14:val="none"/>
              </w:rPr>
            </w:pPr>
            <w:r w:rsidRPr="00951AB1">
              <w:rPr>
                <w:rFonts w:eastAsia="Times New Roman" w:cs="Times New Roman"/>
                <w:b/>
                <w:bCs/>
                <w:color w:val="000000"/>
                <w:kern w:val="0"/>
                <w:sz w:val="18"/>
                <w:szCs w:val="18"/>
                <w:lang w:eastAsia="es-CO"/>
                <w14:ligatures w14:val="none"/>
              </w:rPr>
              <w:t>CONCESION SANTA MARTA PARAGUACHON S.A.</w:t>
            </w:r>
          </w:p>
        </w:tc>
        <w:tc>
          <w:tcPr>
            <w:tcW w:w="1683" w:type="dxa"/>
            <w:noWrap/>
            <w:vAlign w:val="center"/>
            <w:hideMark/>
          </w:tcPr>
          <w:p w14:paraId="3F59909F" w14:textId="42A923F0" w:rsidR="000D66C1" w:rsidRPr="00951AB1" w:rsidRDefault="000D66C1" w:rsidP="000A5389">
            <w:pPr>
              <w:spacing w:line="240" w:lineRule="auto"/>
              <w:jc w:val="right"/>
              <w:rPr>
                <w:rFonts w:eastAsia="Times New Roman" w:cs="Times New Roman"/>
                <w:b/>
                <w:bCs/>
                <w:color w:val="000000"/>
                <w:kern w:val="0"/>
                <w:sz w:val="18"/>
                <w:szCs w:val="18"/>
                <w:lang w:eastAsia="es-CO"/>
                <w14:ligatures w14:val="none"/>
              </w:rPr>
            </w:pPr>
            <w:r w:rsidRPr="00951AB1">
              <w:rPr>
                <w:rFonts w:eastAsia="Times New Roman" w:cs="Times New Roman"/>
                <w:b/>
                <w:bCs/>
                <w:color w:val="000000"/>
                <w:kern w:val="0"/>
                <w:sz w:val="18"/>
                <w:szCs w:val="18"/>
                <w:lang w:eastAsia="es-CO"/>
                <w14:ligatures w14:val="none"/>
              </w:rPr>
              <w:t>585.047.340.519</w:t>
            </w:r>
          </w:p>
        </w:tc>
        <w:tc>
          <w:tcPr>
            <w:tcW w:w="1687" w:type="dxa"/>
            <w:noWrap/>
            <w:vAlign w:val="center"/>
            <w:hideMark/>
          </w:tcPr>
          <w:p w14:paraId="6A0DFDAC" w14:textId="5F964FF3" w:rsidR="000D66C1" w:rsidRPr="00951AB1" w:rsidRDefault="000D66C1" w:rsidP="000A5389">
            <w:pPr>
              <w:spacing w:line="240" w:lineRule="auto"/>
              <w:jc w:val="right"/>
              <w:rPr>
                <w:rFonts w:eastAsia="Times New Roman" w:cs="Times New Roman"/>
                <w:b/>
                <w:bCs/>
                <w:color w:val="000000"/>
                <w:kern w:val="0"/>
                <w:sz w:val="18"/>
                <w:szCs w:val="18"/>
                <w:lang w:eastAsia="es-CO"/>
                <w14:ligatures w14:val="none"/>
              </w:rPr>
            </w:pPr>
            <w:r w:rsidRPr="00951AB1">
              <w:rPr>
                <w:rFonts w:eastAsia="Times New Roman" w:cs="Times New Roman"/>
                <w:b/>
                <w:bCs/>
                <w:color w:val="000000"/>
                <w:kern w:val="0"/>
                <w:sz w:val="18"/>
                <w:szCs w:val="18"/>
                <w:lang w:eastAsia="es-CO"/>
                <w14:ligatures w14:val="none"/>
              </w:rPr>
              <w:t>415.182.763.032</w:t>
            </w:r>
          </w:p>
        </w:tc>
        <w:tc>
          <w:tcPr>
            <w:tcW w:w="1494" w:type="dxa"/>
            <w:noWrap/>
            <w:vAlign w:val="center"/>
            <w:hideMark/>
          </w:tcPr>
          <w:p w14:paraId="35C9AE7D" w14:textId="1F694EBC" w:rsidR="000D66C1" w:rsidRPr="00951AB1" w:rsidRDefault="000D66C1" w:rsidP="000A5389">
            <w:pPr>
              <w:spacing w:line="240" w:lineRule="auto"/>
              <w:jc w:val="right"/>
              <w:rPr>
                <w:rFonts w:eastAsia="Times New Roman" w:cs="Times New Roman"/>
                <w:b/>
                <w:bCs/>
                <w:color w:val="000000"/>
                <w:kern w:val="0"/>
                <w:sz w:val="18"/>
                <w:szCs w:val="18"/>
                <w:lang w:eastAsia="es-CO"/>
                <w14:ligatures w14:val="none"/>
              </w:rPr>
            </w:pPr>
            <w:r w:rsidRPr="00951AB1">
              <w:rPr>
                <w:rFonts w:eastAsia="Times New Roman" w:cs="Times New Roman"/>
                <w:b/>
                <w:bCs/>
                <w:color w:val="000000"/>
                <w:kern w:val="0"/>
                <w:sz w:val="18"/>
                <w:szCs w:val="18"/>
                <w:lang w:eastAsia="es-CO"/>
                <w14:ligatures w14:val="none"/>
              </w:rPr>
              <w:t>169.864.577.487</w:t>
            </w:r>
          </w:p>
        </w:tc>
      </w:tr>
      <w:tr w:rsidR="00C70C31" w:rsidRPr="00951AB1" w14:paraId="20682DF7" w14:textId="77777777" w:rsidTr="000D66C1">
        <w:trPr>
          <w:trHeight w:val="285"/>
        </w:trPr>
        <w:tc>
          <w:tcPr>
            <w:tcW w:w="3964" w:type="dxa"/>
            <w:vAlign w:val="center"/>
            <w:hideMark/>
          </w:tcPr>
          <w:p w14:paraId="17CDCFD0" w14:textId="77777777" w:rsidR="000D66C1" w:rsidRPr="00951AB1" w:rsidRDefault="000D66C1" w:rsidP="000A5389">
            <w:pPr>
              <w:spacing w:line="240" w:lineRule="auto"/>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Propiedades, Plan y Equipo</w:t>
            </w:r>
          </w:p>
        </w:tc>
        <w:tc>
          <w:tcPr>
            <w:tcW w:w="1683" w:type="dxa"/>
            <w:noWrap/>
            <w:vAlign w:val="center"/>
            <w:hideMark/>
          </w:tcPr>
          <w:p w14:paraId="4DAA26CB" w14:textId="3D19E779" w:rsidR="000D66C1" w:rsidRPr="00951AB1" w:rsidRDefault="000D66C1"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7.698.249.069</w:t>
            </w:r>
          </w:p>
        </w:tc>
        <w:tc>
          <w:tcPr>
            <w:tcW w:w="1687" w:type="dxa"/>
            <w:noWrap/>
            <w:vAlign w:val="center"/>
            <w:hideMark/>
          </w:tcPr>
          <w:p w14:paraId="139F177C" w14:textId="7929F2C2" w:rsidR="000D66C1" w:rsidRPr="00951AB1" w:rsidRDefault="000D66C1"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6.970.902.586</w:t>
            </w:r>
          </w:p>
        </w:tc>
        <w:tc>
          <w:tcPr>
            <w:tcW w:w="1494" w:type="dxa"/>
            <w:noWrap/>
            <w:vAlign w:val="center"/>
            <w:hideMark/>
          </w:tcPr>
          <w:p w14:paraId="5954AC70" w14:textId="08403FA0" w:rsidR="000D66C1" w:rsidRPr="00951AB1" w:rsidRDefault="000D66C1"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727.346.483</w:t>
            </w:r>
          </w:p>
        </w:tc>
      </w:tr>
      <w:tr w:rsidR="00C70C31" w:rsidRPr="00951AB1" w14:paraId="1D3732CA" w14:textId="77777777" w:rsidTr="000D66C1">
        <w:trPr>
          <w:trHeight w:val="285"/>
        </w:trPr>
        <w:tc>
          <w:tcPr>
            <w:tcW w:w="3964" w:type="dxa"/>
            <w:vAlign w:val="center"/>
            <w:hideMark/>
          </w:tcPr>
          <w:p w14:paraId="57B81813" w14:textId="77777777" w:rsidR="000D66C1" w:rsidRPr="00951AB1" w:rsidRDefault="000D66C1" w:rsidP="000A5389">
            <w:pPr>
              <w:spacing w:line="240" w:lineRule="auto"/>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Red carretera</w:t>
            </w:r>
          </w:p>
        </w:tc>
        <w:tc>
          <w:tcPr>
            <w:tcW w:w="1683" w:type="dxa"/>
            <w:noWrap/>
            <w:vAlign w:val="center"/>
            <w:hideMark/>
          </w:tcPr>
          <w:p w14:paraId="4C806559" w14:textId="2A8E4577" w:rsidR="000D66C1" w:rsidRPr="00951AB1" w:rsidRDefault="000D66C1"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576.938.878.758</w:t>
            </w:r>
          </w:p>
        </w:tc>
        <w:tc>
          <w:tcPr>
            <w:tcW w:w="1687" w:type="dxa"/>
            <w:noWrap/>
            <w:vAlign w:val="center"/>
            <w:hideMark/>
          </w:tcPr>
          <w:p w14:paraId="74BCD601" w14:textId="25F1DD8E" w:rsidR="000D66C1" w:rsidRPr="00951AB1" w:rsidRDefault="000D66C1"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407.793.410.942</w:t>
            </w:r>
          </w:p>
        </w:tc>
        <w:tc>
          <w:tcPr>
            <w:tcW w:w="1494" w:type="dxa"/>
            <w:noWrap/>
            <w:vAlign w:val="center"/>
            <w:hideMark/>
          </w:tcPr>
          <w:p w14:paraId="0B6AD9EE" w14:textId="12F913B6" w:rsidR="000D66C1" w:rsidRPr="00951AB1" w:rsidRDefault="000D66C1"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169.145.467.816</w:t>
            </w:r>
          </w:p>
        </w:tc>
      </w:tr>
      <w:tr w:rsidR="00C70C31" w:rsidRPr="00951AB1" w14:paraId="7131D760" w14:textId="77777777" w:rsidTr="000D66C1">
        <w:trPr>
          <w:trHeight w:val="285"/>
        </w:trPr>
        <w:tc>
          <w:tcPr>
            <w:tcW w:w="3964" w:type="dxa"/>
            <w:vAlign w:val="center"/>
            <w:hideMark/>
          </w:tcPr>
          <w:p w14:paraId="69A4331E" w14:textId="77777777" w:rsidR="000D66C1" w:rsidRPr="00951AB1" w:rsidRDefault="000D66C1" w:rsidP="000A5389">
            <w:pPr>
              <w:spacing w:line="240" w:lineRule="auto"/>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Terrenos</w:t>
            </w:r>
          </w:p>
        </w:tc>
        <w:tc>
          <w:tcPr>
            <w:tcW w:w="1683" w:type="dxa"/>
            <w:noWrap/>
            <w:vAlign w:val="center"/>
            <w:hideMark/>
          </w:tcPr>
          <w:p w14:paraId="5B49E787" w14:textId="5EC4AABC" w:rsidR="000D66C1" w:rsidRPr="00951AB1" w:rsidRDefault="000D66C1"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410.212.692</w:t>
            </w:r>
          </w:p>
        </w:tc>
        <w:tc>
          <w:tcPr>
            <w:tcW w:w="1687" w:type="dxa"/>
            <w:noWrap/>
            <w:vAlign w:val="center"/>
            <w:hideMark/>
          </w:tcPr>
          <w:p w14:paraId="3D4419E2" w14:textId="45F0EEA7" w:rsidR="000D66C1" w:rsidRPr="00951AB1" w:rsidRDefault="000D66C1"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6.056.000</w:t>
            </w:r>
          </w:p>
        </w:tc>
        <w:tc>
          <w:tcPr>
            <w:tcW w:w="1494" w:type="dxa"/>
            <w:noWrap/>
            <w:vAlign w:val="center"/>
            <w:hideMark/>
          </w:tcPr>
          <w:p w14:paraId="78A1C5E5" w14:textId="45EA0473" w:rsidR="000D66C1" w:rsidRPr="00951AB1" w:rsidRDefault="000D66C1"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404.156.692</w:t>
            </w:r>
          </w:p>
        </w:tc>
      </w:tr>
      <w:tr w:rsidR="00C70C31" w:rsidRPr="00951AB1" w14:paraId="41069D8A" w14:textId="77777777" w:rsidTr="000D66C1">
        <w:trPr>
          <w:trHeight w:val="570"/>
        </w:trPr>
        <w:tc>
          <w:tcPr>
            <w:tcW w:w="3964" w:type="dxa"/>
            <w:vAlign w:val="center"/>
            <w:hideMark/>
          </w:tcPr>
          <w:p w14:paraId="20208160" w14:textId="77777777" w:rsidR="000D66C1" w:rsidRPr="00951AB1" w:rsidRDefault="000D66C1" w:rsidP="000A5389">
            <w:pPr>
              <w:spacing w:line="240" w:lineRule="auto"/>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Recursos de la entidad concedente en patrimonios autónomos constituidos por concesionarios privados</w:t>
            </w:r>
          </w:p>
        </w:tc>
        <w:tc>
          <w:tcPr>
            <w:tcW w:w="1683" w:type="dxa"/>
            <w:noWrap/>
            <w:vAlign w:val="center"/>
            <w:hideMark/>
          </w:tcPr>
          <w:p w14:paraId="1A101153" w14:textId="77777777" w:rsidR="000D66C1" w:rsidRPr="00951AB1" w:rsidRDefault="000D66C1" w:rsidP="000A5389">
            <w:pPr>
              <w:spacing w:line="240" w:lineRule="auto"/>
              <w:jc w:val="right"/>
              <w:rPr>
                <w:rFonts w:eastAsia="Times New Roman" w:cs="Times New Roman"/>
                <w:color w:val="000000"/>
                <w:kern w:val="0"/>
                <w:sz w:val="18"/>
                <w:szCs w:val="18"/>
                <w:lang w:eastAsia="es-CO"/>
                <w14:ligatures w14:val="none"/>
              </w:rPr>
            </w:pPr>
          </w:p>
        </w:tc>
        <w:tc>
          <w:tcPr>
            <w:tcW w:w="1687" w:type="dxa"/>
            <w:noWrap/>
            <w:vAlign w:val="center"/>
            <w:hideMark/>
          </w:tcPr>
          <w:p w14:paraId="757561A2" w14:textId="7D322697" w:rsidR="000D66C1" w:rsidRPr="00951AB1" w:rsidRDefault="000D66C1"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412.393.504</w:t>
            </w:r>
          </w:p>
        </w:tc>
        <w:tc>
          <w:tcPr>
            <w:tcW w:w="1494" w:type="dxa"/>
            <w:noWrap/>
            <w:vAlign w:val="center"/>
            <w:hideMark/>
          </w:tcPr>
          <w:p w14:paraId="332F84CE" w14:textId="4F962CB2" w:rsidR="000D66C1" w:rsidRPr="00951AB1" w:rsidRDefault="000D66C1"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-412.393.504</w:t>
            </w:r>
          </w:p>
        </w:tc>
      </w:tr>
      <w:tr w:rsidR="00C70C31" w:rsidRPr="00951AB1" w14:paraId="213E1211" w14:textId="77777777" w:rsidTr="000D66C1">
        <w:trPr>
          <w:trHeight w:val="285"/>
        </w:trPr>
        <w:tc>
          <w:tcPr>
            <w:tcW w:w="3964" w:type="dxa"/>
            <w:vAlign w:val="center"/>
            <w:hideMark/>
          </w:tcPr>
          <w:p w14:paraId="35D694A5" w14:textId="77777777" w:rsidR="000D66C1" w:rsidRPr="00951AB1" w:rsidRDefault="000D66C1" w:rsidP="000A5389">
            <w:pPr>
              <w:spacing w:line="240" w:lineRule="auto"/>
              <w:rPr>
                <w:rFonts w:eastAsia="Times New Roman" w:cs="Times New Roman"/>
                <w:b/>
                <w:bCs/>
                <w:color w:val="000000"/>
                <w:kern w:val="0"/>
                <w:sz w:val="18"/>
                <w:szCs w:val="18"/>
                <w:lang w:eastAsia="es-CO"/>
                <w14:ligatures w14:val="none"/>
              </w:rPr>
            </w:pPr>
            <w:r w:rsidRPr="00951AB1">
              <w:rPr>
                <w:rFonts w:eastAsia="Times New Roman" w:cs="Times New Roman"/>
                <w:b/>
                <w:bCs/>
                <w:color w:val="000000"/>
                <w:kern w:val="0"/>
                <w:sz w:val="18"/>
                <w:szCs w:val="18"/>
                <w:lang w:eastAsia="es-CO"/>
                <w14:ligatures w14:val="none"/>
              </w:rPr>
              <w:t>CONCESION SABANA DE OCCIDENTE S.A.</w:t>
            </w:r>
          </w:p>
        </w:tc>
        <w:tc>
          <w:tcPr>
            <w:tcW w:w="1683" w:type="dxa"/>
            <w:noWrap/>
            <w:vAlign w:val="center"/>
            <w:hideMark/>
          </w:tcPr>
          <w:p w14:paraId="04114BCC" w14:textId="14C644C5" w:rsidR="000D66C1" w:rsidRPr="00951AB1" w:rsidRDefault="000D66C1" w:rsidP="000A5389">
            <w:pPr>
              <w:spacing w:line="240" w:lineRule="auto"/>
              <w:jc w:val="right"/>
              <w:rPr>
                <w:rFonts w:eastAsia="Times New Roman" w:cs="Times New Roman"/>
                <w:b/>
                <w:bCs/>
                <w:color w:val="000000"/>
                <w:kern w:val="0"/>
                <w:sz w:val="18"/>
                <w:szCs w:val="18"/>
                <w:lang w:eastAsia="es-CO"/>
                <w14:ligatures w14:val="none"/>
              </w:rPr>
            </w:pPr>
            <w:r w:rsidRPr="00951AB1">
              <w:rPr>
                <w:rFonts w:eastAsia="Times New Roman" w:cs="Times New Roman"/>
                <w:b/>
                <w:bCs/>
                <w:color w:val="000000"/>
                <w:kern w:val="0"/>
                <w:sz w:val="18"/>
                <w:szCs w:val="18"/>
                <w:lang w:eastAsia="es-CO"/>
                <w14:ligatures w14:val="none"/>
              </w:rPr>
              <w:t>622.521.110.721</w:t>
            </w:r>
          </w:p>
        </w:tc>
        <w:tc>
          <w:tcPr>
            <w:tcW w:w="1687" w:type="dxa"/>
            <w:noWrap/>
            <w:vAlign w:val="center"/>
            <w:hideMark/>
          </w:tcPr>
          <w:p w14:paraId="26957A06" w14:textId="0C27F540" w:rsidR="000D66C1" w:rsidRPr="00951AB1" w:rsidRDefault="000D66C1" w:rsidP="000A5389">
            <w:pPr>
              <w:spacing w:line="240" w:lineRule="auto"/>
              <w:jc w:val="right"/>
              <w:rPr>
                <w:rFonts w:eastAsia="Times New Roman" w:cs="Times New Roman"/>
                <w:b/>
                <w:bCs/>
                <w:color w:val="000000"/>
                <w:kern w:val="0"/>
                <w:sz w:val="18"/>
                <w:szCs w:val="18"/>
                <w:lang w:eastAsia="es-CO"/>
                <w14:ligatures w14:val="none"/>
              </w:rPr>
            </w:pPr>
            <w:r w:rsidRPr="00951AB1">
              <w:rPr>
                <w:rFonts w:eastAsia="Times New Roman" w:cs="Times New Roman"/>
                <w:b/>
                <w:bCs/>
                <w:color w:val="000000"/>
                <w:kern w:val="0"/>
                <w:sz w:val="18"/>
                <w:szCs w:val="18"/>
                <w:lang w:eastAsia="es-CO"/>
                <w14:ligatures w14:val="none"/>
              </w:rPr>
              <w:t>620.994.067.507</w:t>
            </w:r>
          </w:p>
        </w:tc>
        <w:tc>
          <w:tcPr>
            <w:tcW w:w="1494" w:type="dxa"/>
            <w:noWrap/>
            <w:vAlign w:val="center"/>
            <w:hideMark/>
          </w:tcPr>
          <w:p w14:paraId="4F76F266" w14:textId="66E88557" w:rsidR="000D66C1" w:rsidRPr="00951AB1" w:rsidRDefault="000D66C1" w:rsidP="000A5389">
            <w:pPr>
              <w:spacing w:line="240" w:lineRule="auto"/>
              <w:jc w:val="right"/>
              <w:rPr>
                <w:rFonts w:eastAsia="Times New Roman" w:cs="Times New Roman"/>
                <w:b/>
                <w:bCs/>
                <w:color w:val="000000"/>
                <w:kern w:val="0"/>
                <w:sz w:val="18"/>
                <w:szCs w:val="18"/>
                <w:lang w:eastAsia="es-CO"/>
                <w14:ligatures w14:val="none"/>
              </w:rPr>
            </w:pPr>
            <w:r w:rsidRPr="00951AB1">
              <w:rPr>
                <w:rFonts w:eastAsia="Times New Roman" w:cs="Times New Roman"/>
                <w:b/>
                <w:bCs/>
                <w:color w:val="000000"/>
                <w:kern w:val="0"/>
                <w:sz w:val="18"/>
                <w:szCs w:val="18"/>
                <w:lang w:eastAsia="es-CO"/>
                <w14:ligatures w14:val="none"/>
              </w:rPr>
              <w:t>1.527.043.215</w:t>
            </w:r>
          </w:p>
        </w:tc>
      </w:tr>
      <w:tr w:rsidR="00C70C31" w:rsidRPr="00951AB1" w14:paraId="217C198E" w14:textId="77777777" w:rsidTr="000D66C1">
        <w:trPr>
          <w:trHeight w:val="285"/>
        </w:trPr>
        <w:tc>
          <w:tcPr>
            <w:tcW w:w="3964" w:type="dxa"/>
            <w:vAlign w:val="center"/>
            <w:hideMark/>
          </w:tcPr>
          <w:p w14:paraId="6547D5F0" w14:textId="77777777" w:rsidR="000D66C1" w:rsidRPr="00951AB1" w:rsidRDefault="000D66C1" w:rsidP="000A5389">
            <w:pPr>
              <w:spacing w:line="240" w:lineRule="auto"/>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lastRenderedPageBreak/>
              <w:t>Propiedades, Plan y Equipo</w:t>
            </w:r>
          </w:p>
        </w:tc>
        <w:tc>
          <w:tcPr>
            <w:tcW w:w="1683" w:type="dxa"/>
            <w:noWrap/>
            <w:vAlign w:val="center"/>
            <w:hideMark/>
          </w:tcPr>
          <w:p w14:paraId="0FE74822" w14:textId="1B4DC52D" w:rsidR="000D66C1" w:rsidRPr="00951AB1" w:rsidRDefault="000D66C1"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4.579.726.968</w:t>
            </w:r>
          </w:p>
        </w:tc>
        <w:tc>
          <w:tcPr>
            <w:tcW w:w="1687" w:type="dxa"/>
            <w:noWrap/>
            <w:vAlign w:val="center"/>
            <w:hideMark/>
          </w:tcPr>
          <w:p w14:paraId="36C70211" w14:textId="3B2A6229" w:rsidR="000D66C1" w:rsidRPr="00951AB1" w:rsidRDefault="000D66C1"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4.258.555.117</w:t>
            </w:r>
          </w:p>
        </w:tc>
        <w:tc>
          <w:tcPr>
            <w:tcW w:w="1494" w:type="dxa"/>
            <w:noWrap/>
            <w:vAlign w:val="center"/>
            <w:hideMark/>
          </w:tcPr>
          <w:p w14:paraId="0BA7051E" w14:textId="46F267F9" w:rsidR="000D66C1" w:rsidRPr="00951AB1" w:rsidRDefault="000D66C1"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321.171.851</w:t>
            </w:r>
          </w:p>
        </w:tc>
      </w:tr>
      <w:tr w:rsidR="00C70C31" w:rsidRPr="00951AB1" w14:paraId="5122F143" w14:textId="77777777" w:rsidTr="000D66C1">
        <w:trPr>
          <w:trHeight w:val="285"/>
        </w:trPr>
        <w:tc>
          <w:tcPr>
            <w:tcW w:w="3964" w:type="dxa"/>
            <w:vAlign w:val="center"/>
            <w:hideMark/>
          </w:tcPr>
          <w:p w14:paraId="30ED2545" w14:textId="77777777" w:rsidR="000D66C1" w:rsidRPr="00951AB1" w:rsidRDefault="000D66C1" w:rsidP="000A5389">
            <w:pPr>
              <w:spacing w:line="240" w:lineRule="auto"/>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Propiedades, Plan y Equipo</w:t>
            </w:r>
          </w:p>
        </w:tc>
        <w:tc>
          <w:tcPr>
            <w:tcW w:w="1683" w:type="dxa"/>
            <w:noWrap/>
            <w:vAlign w:val="center"/>
            <w:hideMark/>
          </w:tcPr>
          <w:p w14:paraId="14BB82E3" w14:textId="017617F6" w:rsidR="000D66C1" w:rsidRPr="00951AB1" w:rsidRDefault="000D66C1"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4.246.771.704</w:t>
            </w:r>
          </w:p>
        </w:tc>
        <w:tc>
          <w:tcPr>
            <w:tcW w:w="1687" w:type="dxa"/>
            <w:noWrap/>
            <w:vAlign w:val="center"/>
            <w:hideMark/>
          </w:tcPr>
          <w:p w14:paraId="7899087E" w14:textId="67BB381E" w:rsidR="000D66C1" w:rsidRPr="00951AB1" w:rsidRDefault="000D66C1"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3.925.599.853</w:t>
            </w:r>
          </w:p>
        </w:tc>
        <w:tc>
          <w:tcPr>
            <w:tcW w:w="1494" w:type="dxa"/>
            <w:noWrap/>
            <w:vAlign w:val="center"/>
            <w:hideMark/>
          </w:tcPr>
          <w:p w14:paraId="21E7B54C" w14:textId="16EDEFFF" w:rsidR="000D66C1" w:rsidRPr="00951AB1" w:rsidRDefault="000D66C1"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321.171.851</w:t>
            </w:r>
          </w:p>
        </w:tc>
      </w:tr>
      <w:tr w:rsidR="00C70C31" w:rsidRPr="00951AB1" w14:paraId="0C79F9F0" w14:textId="77777777" w:rsidTr="000D66C1">
        <w:trPr>
          <w:trHeight w:val="285"/>
        </w:trPr>
        <w:tc>
          <w:tcPr>
            <w:tcW w:w="3964" w:type="dxa"/>
            <w:vAlign w:val="center"/>
            <w:hideMark/>
          </w:tcPr>
          <w:p w14:paraId="448E6A36" w14:textId="77777777" w:rsidR="000D66C1" w:rsidRPr="00951AB1" w:rsidRDefault="000D66C1" w:rsidP="000A5389">
            <w:pPr>
              <w:spacing w:line="240" w:lineRule="auto"/>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Red carretera</w:t>
            </w:r>
          </w:p>
        </w:tc>
        <w:tc>
          <w:tcPr>
            <w:tcW w:w="1683" w:type="dxa"/>
            <w:noWrap/>
            <w:vAlign w:val="center"/>
            <w:hideMark/>
          </w:tcPr>
          <w:p w14:paraId="268D6F69" w14:textId="1945511E" w:rsidR="000D66C1" w:rsidRPr="00951AB1" w:rsidRDefault="000D66C1"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557.518.388.187</w:t>
            </w:r>
          </w:p>
        </w:tc>
        <w:tc>
          <w:tcPr>
            <w:tcW w:w="1687" w:type="dxa"/>
            <w:noWrap/>
            <w:vAlign w:val="center"/>
            <w:hideMark/>
          </w:tcPr>
          <w:p w14:paraId="1AF7E829" w14:textId="68C31218" w:rsidR="000D66C1" w:rsidRPr="00951AB1" w:rsidRDefault="000D66C1"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556.633.688.674</w:t>
            </w:r>
          </w:p>
        </w:tc>
        <w:tc>
          <w:tcPr>
            <w:tcW w:w="1494" w:type="dxa"/>
            <w:noWrap/>
            <w:vAlign w:val="center"/>
            <w:hideMark/>
          </w:tcPr>
          <w:p w14:paraId="33923EA4" w14:textId="5CE9C752" w:rsidR="000D66C1" w:rsidRPr="00951AB1" w:rsidRDefault="000D66C1"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884.699.512</w:t>
            </w:r>
          </w:p>
        </w:tc>
      </w:tr>
      <w:tr w:rsidR="00C70C31" w:rsidRPr="00951AB1" w14:paraId="317F9FED" w14:textId="77777777" w:rsidTr="000D66C1">
        <w:trPr>
          <w:trHeight w:val="285"/>
        </w:trPr>
        <w:tc>
          <w:tcPr>
            <w:tcW w:w="3964" w:type="dxa"/>
            <w:vAlign w:val="center"/>
            <w:hideMark/>
          </w:tcPr>
          <w:p w14:paraId="3E76364B" w14:textId="77777777" w:rsidR="000D66C1" w:rsidRPr="00951AB1" w:rsidRDefault="000D66C1" w:rsidP="000A5389">
            <w:pPr>
              <w:spacing w:line="240" w:lineRule="auto"/>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Terrenos</w:t>
            </w:r>
          </w:p>
        </w:tc>
        <w:tc>
          <w:tcPr>
            <w:tcW w:w="1683" w:type="dxa"/>
            <w:noWrap/>
            <w:vAlign w:val="center"/>
            <w:hideMark/>
          </w:tcPr>
          <w:p w14:paraId="580DA75F" w14:textId="1BE68A91" w:rsidR="000D66C1" w:rsidRPr="00951AB1" w:rsidRDefault="000D66C1"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56.176.223.862</w:t>
            </w:r>
          </w:p>
        </w:tc>
        <w:tc>
          <w:tcPr>
            <w:tcW w:w="1687" w:type="dxa"/>
            <w:noWrap/>
            <w:vAlign w:val="center"/>
            <w:hideMark/>
          </w:tcPr>
          <w:p w14:paraId="1EDAD655" w14:textId="60F61230" w:rsidR="000D66C1" w:rsidRPr="00951AB1" w:rsidRDefault="000D66C1"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56.176.223.862</w:t>
            </w:r>
          </w:p>
        </w:tc>
        <w:tc>
          <w:tcPr>
            <w:tcW w:w="1494" w:type="dxa"/>
            <w:noWrap/>
            <w:vAlign w:val="center"/>
            <w:hideMark/>
          </w:tcPr>
          <w:p w14:paraId="4C5D4728" w14:textId="26D32A33" w:rsidR="000D66C1" w:rsidRPr="00951AB1" w:rsidRDefault="000D66C1"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w:t>
            </w:r>
          </w:p>
        </w:tc>
      </w:tr>
      <w:tr w:rsidR="00C70C31" w:rsidRPr="00951AB1" w14:paraId="13B1F243" w14:textId="77777777" w:rsidTr="000D66C1">
        <w:trPr>
          <w:trHeight w:val="285"/>
        </w:trPr>
        <w:tc>
          <w:tcPr>
            <w:tcW w:w="3964" w:type="dxa"/>
            <w:vAlign w:val="center"/>
            <w:hideMark/>
          </w:tcPr>
          <w:p w14:paraId="08270B23" w14:textId="77777777" w:rsidR="000D66C1" w:rsidRPr="00951AB1" w:rsidRDefault="000D66C1" w:rsidP="000A5389">
            <w:pPr>
              <w:spacing w:line="240" w:lineRule="auto"/>
              <w:rPr>
                <w:rFonts w:eastAsia="Times New Roman" w:cs="Times New Roman"/>
                <w:b/>
                <w:bCs/>
                <w:color w:val="000000"/>
                <w:kern w:val="0"/>
                <w:sz w:val="18"/>
                <w:szCs w:val="18"/>
                <w:lang w:eastAsia="es-CO"/>
                <w14:ligatures w14:val="none"/>
              </w:rPr>
            </w:pPr>
            <w:r w:rsidRPr="00951AB1">
              <w:rPr>
                <w:rFonts w:eastAsia="Times New Roman" w:cs="Times New Roman"/>
                <w:b/>
                <w:bCs/>
                <w:color w:val="000000"/>
                <w:kern w:val="0"/>
                <w:sz w:val="18"/>
                <w:szCs w:val="18"/>
                <w:lang w:eastAsia="es-CO"/>
                <w14:ligatures w14:val="none"/>
              </w:rPr>
              <w:t>DEVIMED S.A.</w:t>
            </w:r>
          </w:p>
        </w:tc>
        <w:tc>
          <w:tcPr>
            <w:tcW w:w="1683" w:type="dxa"/>
            <w:noWrap/>
            <w:vAlign w:val="center"/>
            <w:hideMark/>
          </w:tcPr>
          <w:p w14:paraId="5CE2EE7E" w14:textId="0FB08D81" w:rsidR="000D66C1" w:rsidRPr="00951AB1" w:rsidRDefault="000D66C1" w:rsidP="000A5389">
            <w:pPr>
              <w:spacing w:line="240" w:lineRule="auto"/>
              <w:jc w:val="right"/>
              <w:rPr>
                <w:rFonts w:eastAsia="Times New Roman" w:cs="Times New Roman"/>
                <w:b/>
                <w:bCs/>
                <w:color w:val="000000"/>
                <w:kern w:val="0"/>
                <w:sz w:val="18"/>
                <w:szCs w:val="18"/>
                <w:lang w:eastAsia="es-CO"/>
                <w14:ligatures w14:val="none"/>
              </w:rPr>
            </w:pPr>
            <w:r w:rsidRPr="00951AB1">
              <w:rPr>
                <w:rFonts w:eastAsia="Times New Roman" w:cs="Times New Roman"/>
                <w:b/>
                <w:bCs/>
                <w:color w:val="000000"/>
                <w:kern w:val="0"/>
                <w:sz w:val="18"/>
                <w:szCs w:val="18"/>
                <w:lang w:eastAsia="es-CO"/>
                <w14:ligatures w14:val="none"/>
              </w:rPr>
              <w:t>813.531.924.568</w:t>
            </w:r>
          </w:p>
        </w:tc>
        <w:tc>
          <w:tcPr>
            <w:tcW w:w="1687" w:type="dxa"/>
            <w:noWrap/>
            <w:vAlign w:val="center"/>
            <w:hideMark/>
          </w:tcPr>
          <w:p w14:paraId="08E43B22" w14:textId="24AFE7EF" w:rsidR="000D66C1" w:rsidRPr="00951AB1" w:rsidRDefault="000D66C1" w:rsidP="000A5389">
            <w:pPr>
              <w:spacing w:line="240" w:lineRule="auto"/>
              <w:jc w:val="right"/>
              <w:rPr>
                <w:rFonts w:eastAsia="Times New Roman" w:cs="Times New Roman"/>
                <w:b/>
                <w:bCs/>
                <w:color w:val="000000"/>
                <w:kern w:val="0"/>
                <w:sz w:val="18"/>
                <w:szCs w:val="18"/>
                <w:lang w:eastAsia="es-CO"/>
                <w14:ligatures w14:val="none"/>
              </w:rPr>
            </w:pPr>
            <w:r w:rsidRPr="00951AB1">
              <w:rPr>
                <w:rFonts w:eastAsia="Times New Roman" w:cs="Times New Roman"/>
                <w:b/>
                <w:bCs/>
                <w:color w:val="000000"/>
                <w:kern w:val="0"/>
                <w:sz w:val="18"/>
                <w:szCs w:val="18"/>
                <w:lang w:eastAsia="es-CO"/>
                <w14:ligatures w14:val="none"/>
              </w:rPr>
              <w:t>802.555.089.438</w:t>
            </w:r>
          </w:p>
        </w:tc>
        <w:tc>
          <w:tcPr>
            <w:tcW w:w="1494" w:type="dxa"/>
            <w:noWrap/>
            <w:vAlign w:val="center"/>
            <w:hideMark/>
          </w:tcPr>
          <w:p w14:paraId="36BD3549" w14:textId="68D17280" w:rsidR="000D66C1" w:rsidRPr="00951AB1" w:rsidRDefault="000D66C1" w:rsidP="000A5389">
            <w:pPr>
              <w:spacing w:line="240" w:lineRule="auto"/>
              <w:jc w:val="right"/>
              <w:rPr>
                <w:rFonts w:eastAsia="Times New Roman" w:cs="Times New Roman"/>
                <w:b/>
                <w:bCs/>
                <w:color w:val="000000"/>
                <w:kern w:val="0"/>
                <w:sz w:val="18"/>
                <w:szCs w:val="18"/>
                <w:lang w:eastAsia="es-CO"/>
                <w14:ligatures w14:val="none"/>
              </w:rPr>
            </w:pPr>
            <w:r w:rsidRPr="00951AB1">
              <w:rPr>
                <w:rFonts w:eastAsia="Times New Roman" w:cs="Times New Roman"/>
                <w:b/>
                <w:bCs/>
                <w:color w:val="000000"/>
                <w:kern w:val="0"/>
                <w:sz w:val="18"/>
                <w:szCs w:val="18"/>
                <w:lang w:eastAsia="es-CO"/>
                <w14:ligatures w14:val="none"/>
              </w:rPr>
              <w:t>10.976.835.131</w:t>
            </w:r>
          </w:p>
        </w:tc>
      </w:tr>
      <w:tr w:rsidR="00C70C31" w:rsidRPr="00951AB1" w14:paraId="303E7B85" w14:textId="77777777" w:rsidTr="000D66C1">
        <w:trPr>
          <w:trHeight w:val="285"/>
        </w:trPr>
        <w:tc>
          <w:tcPr>
            <w:tcW w:w="3964" w:type="dxa"/>
            <w:vAlign w:val="center"/>
            <w:hideMark/>
          </w:tcPr>
          <w:p w14:paraId="2CA7A56B" w14:textId="77777777" w:rsidR="000D66C1" w:rsidRPr="00951AB1" w:rsidRDefault="000D66C1" w:rsidP="000A5389">
            <w:pPr>
              <w:spacing w:line="240" w:lineRule="auto"/>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Activos intangibles en concesión</w:t>
            </w:r>
          </w:p>
        </w:tc>
        <w:tc>
          <w:tcPr>
            <w:tcW w:w="1683" w:type="dxa"/>
            <w:noWrap/>
            <w:vAlign w:val="center"/>
            <w:hideMark/>
          </w:tcPr>
          <w:p w14:paraId="3681D2BD" w14:textId="20467DD9" w:rsidR="000D66C1" w:rsidRPr="00951AB1" w:rsidRDefault="000D66C1"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572.692.000</w:t>
            </w:r>
          </w:p>
        </w:tc>
        <w:tc>
          <w:tcPr>
            <w:tcW w:w="1687" w:type="dxa"/>
            <w:noWrap/>
            <w:vAlign w:val="center"/>
            <w:hideMark/>
          </w:tcPr>
          <w:p w14:paraId="2D7E6079" w14:textId="039C2BC9" w:rsidR="000D66C1" w:rsidRPr="00951AB1" w:rsidRDefault="000D66C1"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572.692.000</w:t>
            </w:r>
          </w:p>
        </w:tc>
        <w:tc>
          <w:tcPr>
            <w:tcW w:w="1494" w:type="dxa"/>
            <w:noWrap/>
            <w:vAlign w:val="center"/>
            <w:hideMark/>
          </w:tcPr>
          <w:p w14:paraId="6447C431" w14:textId="4E2894D2" w:rsidR="000D66C1" w:rsidRPr="00951AB1" w:rsidRDefault="000D66C1"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w:t>
            </w:r>
          </w:p>
        </w:tc>
      </w:tr>
      <w:tr w:rsidR="00C70C31" w:rsidRPr="00951AB1" w14:paraId="27E0CE84" w14:textId="77777777" w:rsidTr="000D66C1">
        <w:trPr>
          <w:trHeight w:val="285"/>
        </w:trPr>
        <w:tc>
          <w:tcPr>
            <w:tcW w:w="3964" w:type="dxa"/>
            <w:vAlign w:val="center"/>
            <w:hideMark/>
          </w:tcPr>
          <w:p w14:paraId="6815707C" w14:textId="77777777" w:rsidR="000D66C1" w:rsidRPr="00951AB1" w:rsidRDefault="000D66C1" w:rsidP="000A5389">
            <w:pPr>
              <w:spacing w:line="240" w:lineRule="auto"/>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Propiedades, Plan y Equipo</w:t>
            </w:r>
          </w:p>
        </w:tc>
        <w:tc>
          <w:tcPr>
            <w:tcW w:w="1683" w:type="dxa"/>
            <w:noWrap/>
            <w:vAlign w:val="center"/>
            <w:hideMark/>
          </w:tcPr>
          <w:p w14:paraId="198936B7" w14:textId="0B4EDE2D" w:rsidR="000D66C1" w:rsidRPr="00951AB1" w:rsidRDefault="000D66C1"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10.157.703.479</w:t>
            </w:r>
          </w:p>
        </w:tc>
        <w:tc>
          <w:tcPr>
            <w:tcW w:w="1687" w:type="dxa"/>
            <w:noWrap/>
            <w:vAlign w:val="center"/>
            <w:hideMark/>
          </w:tcPr>
          <w:p w14:paraId="4004D303" w14:textId="2261DCBA" w:rsidR="000D66C1" w:rsidRPr="00951AB1" w:rsidRDefault="000D66C1"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10.178.451.479</w:t>
            </w:r>
          </w:p>
        </w:tc>
        <w:tc>
          <w:tcPr>
            <w:tcW w:w="1494" w:type="dxa"/>
            <w:noWrap/>
            <w:vAlign w:val="center"/>
            <w:hideMark/>
          </w:tcPr>
          <w:p w14:paraId="141FED57" w14:textId="30C7AB02" w:rsidR="000D66C1" w:rsidRPr="00951AB1" w:rsidRDefault="000D66C1"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-20.748.000</w:t>
            </w:r>
          </w:p>
        </w:tc>
      </w:tr>
      <w:tr w:rsidR="00C70C31" w:rsidRPr="00951AB1" w14:paraId="2CA72CE6" w14:textId="77777777" w:rsidTr="000D66C1">
        <w:trPr>
          <w:trHeight w:val="285"/>
        </w:trPr>
        <w:tc>
          <w:tcPr>
            <w:tcW w:w="3964" w:type="dxa"/>
            <w:vAlign w:val="center"/>
            <w:hideMark/>
          </w:tcPr>
          <w:p w14:paraId="765F625C" w14:textId="77777777" w:rsidR="000D66C1" w:rsidRPr="00951AB1" w:rsidRDefault="000D66C1" w:rsidP="000A5389">
            <w:pPr>
              <w:spacing w:line="240" w:lineRule="auto"/>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Red carretera</w:t>
            </w:r>
          </w:p>
        </w:tc>
        <w:tc>
          <w:tcPr>
            <w:tcW w:w="1683" w:type="dxa"/>
            <w:noWrap/>
            <w:vAlign w:val="center"/>
            <w:hideMark/>
          </w:tcPr>
          <w:p w14:paraId="444D5D68" w14:textId="238C3DE1" w:rsidR="000D66C1" w:rsidRPr="00951AB1" w:rsidRDefault="000D66C1"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761.109.492.388</w:t>
            </w:r>
          </w:p>
        </w:tc>
        <w:tc>
          <w:tcPr>
            <w:tcW w:w="1687" w:type="dxa"/>
            <w:noWrap/>
            <w:vAlign w:val="center"/>
            <w:hideMark/>
          </w:tcPr>
          <w:p w14:paraId="67052D87" w14:textId="62222E9E" w:rsidR="000D66C1" w:rsidRPr="00951AB1" w:rsidRDefault="000D66C1"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750.111.529.573</w:t>
            </w:r>
          </w:p>
        </w:tc>
        <w:tc>
          <w:tcPr>
            <w:tcW w:w="1494" w:type="dxa"/>
            <w:noWrap/>
            <w:vAlign w:val="center"/>
            <w:hideMark/>
          </w:tcPr>
          <w:p w14:paraId="4CB09093" w14:textId="76270EE7" w:rsidR="000D66C1" w:rsidRPr="00951AB1" w:rsidRDefault="000D66C1"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10.997.962.815</w:t>
            </w:r>
          </w:p>
        </w:tc>
      </w:tr>
      <w:tr w:rsidR="00C70C31" w:rsidRPr="00951AB1" w14:paraId="4B46EAD4" w14:textId="77777777" w:rsidTr="000D66C1">
        <w:trPr>
          <w:trHeight w:val="285"/>
        </w:trPr>
        <w:tc>
          <w:tcPr>
            <w:tcW w:w="3964" w:type="dxa"/>
            <w:vAlign w:val="center"/>
            <w:hideMark/>
          </w:tcPr>
          <w:p w14:paraId="247230B3" w14:textId="77777777" w:rsidR="000D66C1" w:rsidRPr="00951AB1" w:rsidRDefault="000D66C1" w:rsidP="000A5389">
            <w:pPr>
              <w:spacing w:line="240" w:lineRule="auto"/>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Terrenos</w:t>
            </w:r>
          </w:p>
        </w:tc>
        <w:tc>
          <w:tcPr>
            <w:tcW w:w="1683" w:type="dxa"/>
            <w:noWrap/>
            <w:vAlign w:val="center"/>
            <w:hideMark/>
          </w:tcPr>
          <w:p w14:paraId="4BC2FEE5" w14:textId="1A6020E0" w:rsidR="000D66C1" w:rsidRPr="00951AB1" w:rsidRDefault="000D66C1"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40.553.996.023</w:t>
            </w:r>
          </w:p>
        </w:tc>
        <w:tc>
          <w:tcPr>
            <w:tcW w:w="1687" w:type="dxa"/>
            <w:noWrap/>
            <w:vAlign w:val="center"/>
            <w:hideMark/>
          </w:tcPr>
          <w:p w14:paraId="12B9760E" w14:textId="72C5543E" w:rsidR="000D66C1" w:rsidRPr="00951AB1" w:rsidRDefault="000D66C1"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40.553.996.023</w:t>
            </w:r>
          </w:p>
        </w:tc>
        <w:tc>
          <w:tcPr>
            <w:tcW w:w="1494" w:type="dxa"/>
            <w:noWrap/>
            <w:vAlign w:val="center"/>
            <w:hideMark/>
          </w:tcPr>
          <w:p w14:paraId="6FF2A8E9" w14:textId="077B7519" w:rsidR="000D66C1" w:rsidRPr="00951AB1" w:rsidRDefault="000D66C1"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w:t>
            </w:r>
          </w:p>
        </w:tc>
      </w:tr>
      <w:tr w:rsidR="00C70C31" w:rsidRPr="00951AB1" w14:paraId="6AAF00B0" w14:textId="77777777" w:rsidTr="000D66C1">
        <w:trPr>
          <w:trHeight w:val="570"/>
        </w:trPr>
        <w:tc>
          <w:tcPr>
            <w:tcW w:w="3964" w:type="dxa"/>
            <w:vAlign w:val="center"/>
            <w:hideMark/>
          </w:tcPr>
          <w:p w14:paraId="7AABAE57" w14:textId="77777777" w:rsidR="000D66C1" w:rsidRPr="00951AB1" w:rsidRDefault="000D66C1" w:rsidP="000A5389">
            <w:pPr>
              <w:spacing w:line="240" w:lineRule="auto"/>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Recursos de la entidad concedente en patrimonios autónomos constituidos por concesionarios privados</w:t>
            </w:r>
          </w:p>
        </w:tc>
        <w:tc>
          <w:tcPr>
            <w:tcW w:w="1683" w:type="dxa"/>
            <w:noWrap/>
            <w:vAlign w:val="center"/>
            <w:hideMark/>
          </w:tcPr>
          <w:p w14:paraId="274C2BF4" w14:textId="4BB55674" w:rsidR="000D66C1" w:rsidRPr="00951AB1" w:rsidRDefault="000D66C1"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1.138.040.678</w:t>
            </w:r>
          </w:p>
        </w:tc>
        <w:tc>
          <w:tcPr>
            <w:tcW w:w="1687" w:type="dxa"/>
            <w:noWrap/>
            <w:vAlign w:val="center"/>
            <w:hideMark/>
          </w:tcPr>
          <w:p w14:paraId="303EFC4B" w14:textId="5179FB5B" w:rsidR="000D66C1" w:rsidRPr="00951AB1" w:rsidRDefault="000D66C1"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1.138.420.362</w:t>
            </w:r>
          </w:p>
        </w:tc>
        <w:tc>
          <w:tcPr>
            <w:tcW w:w="1494" w:type="dxa"/>
            <w:noWrap/>
            <w:vAlign w:val="center"/>
            <w:hideMark/>
          </w:tcPr>
          <w:p w14:paraId="7B619C1D" w14:textId="3AA53564" w:rsidR="000D66C1" w:rsidRPr="00951AB1" w:rsidRDefault="000D66C1"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-379.684</w:t>
            </w:r>
          </w:p>
        </w:tc>
      </w:tr>
      <w:tr w:rsidR="00C70C31" w:rsidRPr="00951AB1" w14:paraId="1F62DE67" w14:textId="77777777" w:rsidTr="000D66C1">
        <w:trPr>
          <w:trHeight w:val="285"/>
        </w:trPr>
        <w:tc>
          <w:tcPr>
            <w:tcW w:w="3964" w:type="dxa"/>
            <w:vAlign w:val="center"/>
            <w:hideMark/>
          </w:tcPr>
          <w:p w14:paraId="56BA5F64" w14:textId="77777777" w:rsidR="000D66C1" w:rsidRPr="00951AB1" w:rsidRDefault="000D66C1" w:rsidP="000A5389">
            <w:pPr>
              <w:spacing w:line="240" w:lineRule="auto"/>
              <w:rPr>
                <w:rFonts w:eastAsia="Times New Roman" w:cs="Times New Roman"/>
                <w:b/>
                <w:bCs/>
                <w:color w:val="000000"/>
                <w:kern w:val="0"/>
                <w:sz w:val="18"/>
                <w:szCs w:val="18"/>
                <w:lang w:eastAsia="es-CO"/>
                <w14:ligatures w14:val="none"/>
              </w:rPr>
            </w:pPr>
            <w:r w:rsidRPr="00951AB1">
              <w:rPr>
                <w:rFonts w:eastAsia="Times New Roman" w:cs="Times New Roman"/>
                <w:b/>
                <w:bCs/>
                <w:color w:val="000000"/>
                <w:kern w:val="0"/>
                <w:sz w:val="18"/>
                <w:szCs w:val="18"/>
                <w:lang w:eastAsia="es-CO"/>
                <w14:ligatures w14:val="none"/>
              </w:rPr>
              <w:t>AUTOPISTAS DEL CAFE S.A.</w:t>
            </w:r>
          </w:p>
        </w:tc>
        <w:tc>
          <w:tcPr>
            <w:tcW w:w="1683" w:type="dxa"/>
            <w:noWrap/>
            <w:vAlign w:val="center"/>
            <w:hideMark/>
          </w:tcPr>
          <w:p w14:paraId="46EA580B" w14:textId="1D97D9B5" w:rsidR="000D66C1" w:rsidRPr="00951AB1" w:rsidRDefault="000D66C1" w:rsidP="000A5389">
            <w:pPr>
              <w:spacing w:line="240" w:lineRule="auto"/>
              <w:jc w:val="right"/>
              <w:rPr>
                <w:rFonts w:eastAsia="Times New Roman" w:cs="Times New Roman"/>
                <w:b/>
                <w:bCs/>
                <w:color w:val="000000"/>
                <w:kern w:val="0"/>
                <w:sz w:val="18"/>
                <w:szCs w:val="18"/>
                <w:lang w:eastAsia="es-CO"/>
                <w14:ligatures w14:val="none"/>
              </w:rPr>
            </w:pPr>
            <w:r w:rsidRPr="00951AB1">
              <w:rPr>
                <w:rFonts w:eastAsia="Times New Roman" w:cs="Times New Roman"/>
                <w:b/>
                <w:bCs/>
                <w:color w:val="000000"/>
                <w:kern w:val="0"/>
                <w:sz w:val="18"/>
                <w:szCs w:val="18"/>
                <w:lang w:eastAsia="es-CO"/>
                <w14:ligatures w14:val="none"/>
              </w:rPr>
              <w:t>1.586.001.734.176</w:t>
            </w:r>
          </w:p>
        </w:tc>
        <w:tc>
          <w:tcPr>
            <w:tcW w:w="1687" w:type="dxa"/>
            <w:noWrap/>
            <w:vAlign w:val="center"/>
            <w:hideMark/>
          </w:tcPr>
          <w:p w14:paraId="27407A3C" w14:textId="75903BDF" w:rsidR="000D66C1" w:rsidRPr="00951AB1" w:rsidRDefault="000D66C1" w:rsidP="000A5389">
            <w:pPr>
              <w:spacing w:line="240" w:lineRule="auto"/>
              <w:jc w:val="right"/>
              <w:rPr>
                <w:rFonts w:eastAsia="Times New Roman" w:cs="Times New Roman"/>
                <w:b/>
                <w:bCs/>
                <w:color w:val="000000"/>
                <w:kern w:val="0"/>
                <w:sz w:val="18"/>
                <w:szCs w:val="18"/>
                <w:lang w:eastAsia="es-CO"/>
                <w14:ligatures w14:val="none"/>
              </w:rPr>
            </w:pPr>
            <w:r w:rsidRPr="00951AB1">
              <w:rPr>
                <w:rFonts w:eastAsia="Times New Roman" w:cs="Times New Roman"/>
                <w:b/>
                <w:bCs/>
                <w:color w:val="000000"/>
                <w:kern w:val="0"/>
                <w:sz w:val="18"/>
                <w:szCs w:val="18"/>
                <w:lang w:eastAsia="es-CO"/>
                <w14:ligatures w14:val="none"/>
              </w:rPr>
              <w:t>1.465.295.092.769</w:t>
            </w:r>
          </w:p>
        </w:tc>
        <w:tc>
          <w:tcPr>
            <w:tcW w:w="1494" w:type="dxa"/>
            <w:noWrap/>
            <w:vAlign w:val="center"/>
            <w:hideMark/>
          </w:tcPr>
          <w:p w14:paraId="6F9E1A46" w14:textId="48C56CAE" w:rsidR="000D66C1" w:rsidRPr="00951AB1" w:rsidRDefault="000D66C1" w:rsidP="000A5389">
            <w:pPr>
              <w:spacing w:line="240" w:lineRule="auto"/>
              <w:jc w:val="right"/>
              <w:rPr>
                <w:rFonts w:eastAsia="Times New Roman" w:cs="Times New Roman"/>
                <w:b/>
                <w:bCs/>
                <w:color w:val="000000"/>
                <w:kern w:val="0"/>
                <w:sz w:val="18"/>
                <w:szCs w:val="18"/>
                <w:lang w:eastAsia="es-CO"/>
                <w14:ligatures w14:val="none"/>
              </w:rPr>
            </w:pPr>
            <w:r w:rsidRPr="00951AB1">
              <w:rPr>
                <w:rFonts w:eastAsia="Times New Roman" w:cs="Times New Roman"/>
                <w:b/>
                <w:bCs/>
                <w:color w:val="000000"/>
                <w:kern w:val="0"/>
                <w:sz w:val="18"/>
                <w:szCs w:val="18"/>
                <w:lang w:eastAsia="es-CO"/>
                <w14:ligatures w14:val="none"/>
              </w:rPr>
              <w:t>120.706.641.407</w:t>
            </w:r>
          </w:p>
        </w:tc>
      </w:tr>
      <w:tr w:rsidR="00C70C31" w:rsidRPr="00951AB1" w14:paraId="10CB80DF" w14:textId="77777777" w:rsidTr="000D66C1">
        <w:trPr>
          <w:trHeight w:val="285"/>
        </w:trPr>
        <w:tc>
          <w:tcPr>
            <w:tcW w:w="3964" w:type="dxa"/>
            <w:vAlign w:val="center"/>
            <w:hideMark/>
          </w:tcPr>
          <w:p w14:paraId="2EFAC958" w14:textId="77777777" w:rsidR="000D66C1" w:rsidRPr="00951AB1" w:rsidRDefault="000D66C1" w:rsidP="000A5389">
            <w:pPr>
              <w:spacing w:line="240" w:lineRule="auto"/>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Propiedades, Plan y Equipo</w:t>
            </w:r>
          </w:p>
        </w:tc>
        <w:tc>
          <w:tcPr>
            <w:tcW w:w="1683" w:type="dxa"/>
            <w:noWrap/>
            <w:vAlign w:val="center"/>
            <w:hideMark/>
          </w:tcPr>
          <w:p w14:paraId="660B0A16" w14:textId="4C248CD0" w:rsidR="000D66C1" w:rsidRPr="00951AB1" w:rsidRDefault="000D66C1"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20.930.946.901</w:t>
            </w:r>
          </w:p>
        </w:tc>
        <w:tc>
          <w:tcPr>
            <w:tcW w:w="1687" w:type="dxa"/>
            <w:noWrap/>
            <w:vAlign w:val="center"/>
            <w:hideMark/>
          </w:tcPr>
          <w:p w14:paraId="508ED505" w14:textId="3BC46578" w:rsidR="000D66C1" w:rsidRPr="00951AB1" w:rsidRDefault="000D66C1"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19.516.191.188</w:t>
            </w:r>
          </w:p>
        </w:tc>
        <w:tc>
          <w:tcPr>
            <w:tcW w:w="1494" w:type="dxa"/>
            <w:noWrap/>
            <w:vAlign w:val="center"/>
            <w:hideMark/>
          </w:tcPr>
          <w:p w14:paraId="128EF14B" w14:textId="523E8CFF" w:rsidR="000D66C1" w:rsidRPr="00951AB1" w:rsidRDefault="000D66C1"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1.414.755.713</w:t>
            </w:r>
          </w:p>
        </w:tc>
      </w:tr>
      <w:tr w:rsidR="00C70C31" w:rsidRPr="00951AB1" w14:paraId="27982F6C" w14:textId="77777777" w:rsidTr="000D66C1">
        <w:trPr>
          <w:trHeight w:val="285"/>
        </w:trPr>
        <w:tc>
          <w:tcPr>
            <w:tcW w:w="3964" w:type="dxa"/>
            <w:vAlign w:val="center"/>
            <w:hideMark/>
          </w:tcPr>
          <w:p w14:paraId="6A1BAE72" w14:textId="77777777" w:rsidR="000D66C1" w:rsidRPr="00951AB1" w:rsidRDefault="000D66C1" w:rsidP="000A5389">
            <w:pPr>
              <w:spacing w:line="240" w:lineRule="auto"/>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Red carretera</w:t>
            </w:r>
          </w:p>
        </w:tc>
        <w:tc>
          <w:tcPr>
            <w:tcW w:w="1683" w:type="dxa"/>
            <w:noWrap/>
            <w:vAlign w:val="center"/>
            <w:hideMark/>
          </w:tcPr>
          <w:p w14:paraId="43003789" w14:textId="7091E580" w:rsidR="000D66C1" w:rsidRPr="00951AB1" w:rsidRDefault="000D66C1"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1.544.097.715.393</w:t>
            </w:r>
          </w:p>
        </w:tc>
        <w:tc>
          <w:tcPr>
            <w:tcW w:w="1687" w:type="dxa"/>
            <w:noWrap/>
            <w:vAlign w:val="center"/>
            <w:hideMark/>
          </w:tcPr>
          <w:p w14:paraId="7A5F60BA" w14:textId="5274C91D" w:rsidR="000D66C1" w:rsidRPr="00951AB1" w:rsidRDefault="000D66C1"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1.421.522.835.531</w:t>
            </w:r>
          </w:p>
        </w:tc>
        <w:tc>
          <w:tcPr>
            <w:tcW w:w="1494" w:type="dxa"/>
            <w:noWrap/>
            <w:vAlign w:val="center"/>
            <w:hideMark/>
          </w:tcPr>
          <w:p w14:paraId="380EB73B" w14:textId="54563122" w:rsidR="000D66C1" w:rsidRPr="00951AB1" w:rsidRDefault="000D66C1"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122.574.879.862</w:t>
            </w:r>
          </w:p>
        </w:tc>
      </w:tr>
      <w:tr w:rsidR="00C70C31" w:rsidRPr="00951AB1" w14:paraId="041B53E2" w14:textId="77777777" w:rsidTr="000D66C1">
        <w:trPr>
          <w:trHeight w:val="285"/>
        </w:trPr>
        <w:tc>
          <w:tcPr>
            <w:tcW w:w="3964" w:type="dxa"/>
            <w:vAlign w:val="center"/>
            <w:hideMark/>
          </w:tcPr>
          <w:p w14:paraId="146005AC" w14:textId="77777777" w:rsidR="000D66C1" w:rsidRPr="00951AB1" w:rsidRDefault="000D66C1" w:rsidP="000A5389">
            <w:pPr>
              <w:spacing w:line="240" w:lineRule="auto"/>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Terrenos</w:t>
            </w:r>
          </w:p>
        </w:tc>
        <w:tc>
          <w:tcPr>
            <w:tcW w:w="1683" w:type="dxa"/>
            <w:noWrap/>
            <w:vAlign w:val="center"/>
            <w:hideMark/>
          </w:tcPr>
          <w:p w14:paraId="42C65D3E" w14:textId="454DFF17" w:rsidR="000D66C1" w:rsidRPr="00951AB1" w:rsidRDefault="000D66C1"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16.007.917.155</w:t>
            </w:r>
          </w:p>
        </w:tc>
        <w:tc>
          <w:tcPr>
            <w:tcW w:w="1687" w:type="dxa"/>
            <w:noWrap/>
            <w:vAlign w:val="center"/>
            <w:hideMark/>
          </w:tcPr>
          <w:p w14:paraId="4EF3F17C" w14:textId="312C9C8B" w:rsidR="000D66C1" w:rsidRPr="00951AB1" w:rsidRDefault="000D66C1"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16.007.917.155</w:t>
            </w:r>
          </w:p>
        </w:tc>
        <w:tc>
          <w:tcPr>
            <w:tcW w:w="1494" w:type="dxa"/>
            <w:noWrap/>
            <w:vAlign w:val="center"/>
            <w:hideMark/>
          </w:tcPr>
          <w:p w14:paraId="7F83F357" w14:textId="1CB8F2E5" w:rsidR="000D66C1" w:rsidRPr="00951AB1" w:rsidRDefault="000D66C1"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w:t>
            </w:r>
          </w:p>
        </w:tc>
      </w:tr>
      <w:tr w:rsidR="00C70C31" w:rsidRPr="00951AB1" w14:paraId="4E107FCE" w14:textId="77777777" w:rsidTr="000D66C1">
        <w:trPr>
          <w:trHeight w:val="285"/>
        </w:trPr>
        <w:tc>
          <w:tcPr>
            <w:tcW w:w="3964" w:type="dxa"/>
            <w:noWrap/>
            <w:vAlign w:val="center"/>
            <w:hideMark/>
          </w:tcPr>
          <w:p w14:paraId="276DC192" w14:textId="77777777" w:rsidR="000D66C1" w:rsidRPr="00951AB1" w:rsidRDefault="000D66C1" w:rsidP="000A5389">
            <w:pPr>
              <w:spacing w:line="240" w:lineRule="auto"/>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Recursos de la entidad concedente en patrimonios autónomos constituidos por concesionarios privados</w:t>
            </w:r>
          </w:p>
        </w:tc>
        <w:tc>
          <w:tcPr>
            <w:tcW w:w="1683" w:type="dxa"/>
            <w:noWrap/>
            <w:vAlign w:val="center"/>
            <w:hideMark/>
          </w:tcPr>
          <w:p w14:paraId="38A7C7EB" w14:textId="717D3BC1" w:rsidR="000D66C1" w:rsidRPr="00951AB1" w:rsidRDefault="000D66C1"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4.965.154.728</w:t>
            </w:r>
          </w:p>
        </w:tc>
        <w:tc>
          <w:tcPr>
            <w:tcW w:w="1687" w:type="dxa"/>
            <w:noWrap/>
            <w:vAlign w:val="center"/>
            <w:hideMark/>
          </w:tcPr>
          <w:p w14:paraId="17AD5FF6" w14:textId="63CB6BC2" w:rsidR="000D66C1" w:rsidRPr="00951AB1" w:rsidRDefault="000D66C1"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8.248.148.896</w:t>
            </w:r>
          </w:p>
        </w:tc>
        <w:tc>
          <w:tcPr>
            <w:tcW w:w="1494" w:type="dxa"/>
            <w:noWrap/>
            <w:vAlign w:val="center"/>
            <w:hideMark/>
          </w:tcPr>
          <w:p w14:paraId="71470ED2" w14:textId="799FF2F1" w:rsidR="000D66C1" w:rsidRPr="00951AB1" w:rsidRDefault="000D66C1"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-3.282.994.168</w:t>
            </w:r>
          </w:p>
        </w:tc>
      </w:tr>
      <w:tr w:rsidR="00C70C31" w:rsidRPr="00951AB1" w14:paraId="3B4E055C" w14:textId="77777777" w:rsidTr="000D66C1">
        <w:trPr>
          <w:trHeight w:val="285"/>
        </w:trPr>
        <w:tc>
          <w:tcPr>
            <w:tcW w:w="3964" w:type="dxa"/>
            <w:vAlign w:val="center"/>
            <w:hideMark/>
          </w:tcPr>
          <w:p w14:paraId="6A03E2DE" w14:textId="77777777" w:rsidR="000D66C1" w:rsidRPr="00951AB1" w:rsidRDefault="000D66C1" w:rsidP="000A5389">
            <w:pPr>
              <w:spacing w:line="240" w:lineRule="auto"/>
              <w:rPr>
                <w:rFonts w:eastAsia="Times New Roman" w:cs="Times New Roman"/>
                <w:b/>
                <w:bCs/>
                <w:color w:val="000000"/>
                <w:kern w:val="0"/>
                <w:sz w:val="18"/>
                <w:szCs w:val="18"/>
                <w:lang w:eastAsia="es-CO"/>
                <w14:ligatures w14:val="none"/>
              </w:rPr>
            </w:pPr>
            <w:r w:rsidRPr="00951AB1">
              <w:rPr>
                <w:rFonts w:eastAsia="Times New Roman" w:cs="Times New Roman"/>
                <w:b/>
                <w:bCs/>
                <w:color w:val="000000"/>
                <w:kern w:val="0"/>
                <w:sz w:val="18"/>
                <w:szCs w:val="18"/>
                <w:lang w:eastAsia="es-CO"/>
                <w14:ligatures w14:val="none"/>
              </w:rPr>
              <w:t>AUTOPISTAS DE LA SABANA S.A.S</w:t>
            </w:r>
          </w:p>
        </w:tc>
        <w:tc>
          <w:tcPr>
            <w:tcW w:w="1683" w:type="dxa"/>
            <w:noWrap/>
            <w:vAlign w:val="center"/>
            <w:hideMark/>
          </w:tcPr>
          <w:p w14:paraId="3223411B" w14:textId="39EBEBA8" w:rsidR="000D66C1" w:rsidRPr="00951AB1" w:rsidRDefault="000D66C1" w:rsidP="000A5389">
            <w:pPr>
              <w:spacing w:line="240" w:lineRule="auto"/>
              <w:jc w:val="right"/>
              <w:rPr>
                <w:rFonts w:eastAsia="Times New Roman" w:cs="Times New Roman"/>
                <w:b/>
                <w:bCs/>
                <w:color w:val="000000"/>
                <w:kern w:val="0"/>
                <w:sz w:val="18"/>
                <w:szCs w:val="18"/>
                <w:lang w:eastAsia="es-CO"/>
                <w14:ligatures w14:val="none"/>
              </w:rPr>
            </w:pPr>
            <w:r w:rsidRPr="00951AB1">
              <w:rPr>
                <w:rFonts w:eastAsia="Times New Roman" w:cs="Times New Roman"/>
                <w:b/>
                <w:bCs/>
                <w:color w:val="000000"/>
                <w:kern w:val="0"/>
                <w:sz w:val="18"/>
                <w:szCs w:val="18"/>
                <w:lang w:eastAsia="es-CO"/>
                <w14:ligatures w14:val="none"/>
              </w:rPr>
              <w:t>10.990.396.978</w:t>
            </w:r>
          </w:p>
        </w:tc>
        <w:tc>
          <w:tcPr>
            <w:tcW w:w="1687" w:type="dxa"/>
            <w:noWrap/>
            <w:vAlign w:val="center"/>
            <w:hideMark/>
          </w:tcPr>
          <w:p w14:paraId="0D857637" w14:textId="4B81F162" w:rsidR="000D66C1" w:rsidRPr="00951AB1" w:rsidRDefault="000D66C1" w:rsidP="000A5389">
            <w:pPr>
              <w:spacing w:line="240" w:lineRule="auto"/>
              <w:jc w:val="right"/>
              <w:rPr>
                <w:rFonts w:eastAsia="Times New Roman" w:cs="Times New Roman"/>
                <w:b/>
                <w:bCs/>
                <w:color w:val="000000"/>
                <w:kern w:val="0"/>
                <w:sz w:val="18"/>
                <w:szCs w:val="18"/>
                <w:lang w:eastAsia="es-CO"/>
                <w14:ligatures w14:val="none"/>
              </w:rPr>
            </w:pPr>
            <w:r w:rsidRPr="00951AB1">
              <w:rPr>
                <w:rFonts w:eastAsia="Times New Roman" w:cs="Times New Roman"/>
                <w:b/>
                <w:bCs/>
                <w:color w:val="000000"/>
                <w:kern w:val="0"/>
                <w:sz w:val="18"/>
                <w:szCs w:val="18"/>
                <w:lang w:eastAsia="es-CO"/>
                <w14:ligatures w14:val="none"/>
              </w:rPr>
              <w:t>1.546.555.835.710</w:t>
            </w:r>
          </w:p>
        </w:tc>
        <w:tc>
          <w:tcPr>
            <w:tcW w:w="1494" w:type="dxa"/>
            <w:noWrap/>
            <w:vAlign w:val="center"/>
            <w:hideMark/>
          </w:tcPr>
          <w:p w14:paraId="5414C172" w14:textId="2D0E857A" w:rsidR="000D66C1" w:rsidRPr="00951AB1" w:rsidRDefault="000D66C1" w:rsidP="000A5389">
            <w:pPr>
              <w:spacing w:line="240" w:lineRule="auto"/>
              <w:jc w:val="right"/>
              <w:rPr>
                <w:rFonts w:eastAsia="Times New Roman" w:cs="Times New Roman"/>
                <w:b/>
                <w:bCs/>
                <w:color w:val="000000"/>
                <w:kern w:val="0"/>
                <w:sz w:val="18"/>
                <w:szCs w:val="18"/>
                <w:lang w:eastAsia="es-CO"/>
                <w14:ligatures w14:val="none"/>
              </w:rPr>
            </w:pPr>
            <w:r w:rsidRPr="00951AB1">
              <w:rPr>
                <w:rFonts w:eastAsia="Times New Roman" w:cs="Times New Roman"/>
                <w:b/>
                <w:bCs/>
                <w:color w:val="000000"/>
                <w:kern w:val="0"/>
                <w:sz w:val="18"/>
                <w:szCs w:val="18"/>
                <w:lang w:eastAsia="es-CO"/>
                <w14:ligatures w14:val="none"/>
              </w:rPr>
              <w:t>-1.535.565.438.732</w:t>
            </w:r>
          </w:p>
        </w:tc>
      </w:tr>
      <w:tr w:rsidR="00C70C31" w:rsidRPr="00951AB1" w14:paraId="660AFDDC" w14:textId="77777777" w:rsidTr="000D66C1">
        <w:trPr>
          <w:trHeight w:val="285"/>
        </w:trPr>
        <w:tc>
          <w:tcPr>
            <w:tcW w:w="3964" w:type="dxa"/>
            <w:vAlign w:val="center"/>
            <w:hideMark/>
          </w:tcPr>
          <w:p w14:paraId="3B30772F" w14:textId="77777777" w:rsidR="000D66C1" w:rsidRPr="00951AB1" w:rsidRDefault="000D66C1" w:rsidP="000A5389">
            <w:pPr>
              <w:spacing w:line="240" w:lineRule="auto"/>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Propiedades, Plan y Equipo</w:t>
            </w:r>
          </w:p>
        </w:tc>
        <w:tc>
          <w:tcPr>
            <w:tcW w:w="1683" w:type="dxa"/>
            <w:noWrap/>
            <w:vAlign w:val="center"/>
            <w:hideMark/>
          </w:tcPr>
          <w:p w14:paraId="4D591AF8" w14:textId="77777777" w:rsidR="000D66C1" w:rsidRPr="00951AB1" w:rsidRDefault="000D66C1" w:rsidP="000A5389">
            <w:pPr>
              <w:spacing w:line="240" w:lineRule="auto"/>
              <w:jc w:val="right"/>
              <w:rPr>
                <w:rFonts w:eastAsia="Times New Roman" w:cs="Times New Roman"/>
                <w:color w:val="000000"/>
                <w:kern w:val="0"/>
                <w:sz w:val="18"/>
                <w:szCs w:val="18"/>
                <w:lang w:eastAsia="es-CO"/>
                <w14:ligatures w14:val="none"/>
              </w:rPr>
            </w:pPr>
          </w:p>
        </w:tc>
        <w:tc>
          <w:tcPr>
            <w:tcW w:w="1687" w:type="dxa"/>
            <w:noWrap/>
            <w:vAlign w:val="center"/>
            <w:hideMark/>
          </w:tcPr>
          <w:p w14:paraId="6E6C6E36" w14:textId="4C6ADD74" w:rsidR="000D66C1" w:rsidRPr="00951AB1" w:rsidRDefault="000D66C1"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8.581.325.008</w:t>
            </w:r>
          </w:p>
        </w:tc>
        <w:tc>
          <w:tcPr>
            <w:tcW w:w="1494" w:type="dxa"/>
            <w:noWrap/>
            <w:vAlign w:val="center"/>
            <w:hideMark/>
          </w:tcPr>
          <w:p w14:paraId="50CD10D1" w14:textId="6B754300" w:rsidR="000D66C1" w:rsidRPr="00951AB1" w:rsidRDefault="000D66C1"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-8.581.325.008</w:t>
            </w:r>
          </w:p>
        </w:tc>
      </w:tr>
      <w:tr w:rsidR="00C70C31" w:rsidRPr="00951AB1" w14:paraId="34D24AEA" w14:textId="77777777" w:rsidTr="000D66C1">
        <w:trPr>
          <w:trHeight w:val="285"/>
        </w:trPr>
        <w:tc>
          <w:tcPr>
            <w:tcW w:w="3964" w:type="dxa"/>
            <w:vAlign w:val="center"/>
            <w:hideMark/>
          </w:tcPr>
          <w:p w14:paraId="4EB9DC41" w14:textId="77777777" w:rsidR="000D66C1" w:rsidRPr="00951AB1" w:rsidRDefault="000D66C1" w:rsidP="000A5389">
            <w:pPr>
              <w:spacing w:line="240" w:lineRule="auto"/>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Red carretera</w:t>
            </w:r>
          </w:p>
        </w:tc>
        <w:tc>
          <w:tcPr>
            <w:tcW w:w="1683" w:type="dxa"/>
            <w:noWrap/>
            <w:vAlign w:val="center"/>
            <w:hideMark/>
          </w:tcPr>
          <w:p w14:paraId="4B4382B4" w14:textId="42791AC8" w:rsidR="000D66C1" w:rsidRPr="00951AB1" w:rsidRDefault="000D66C1"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10.740.837.913</w:t>
            </w:r>
          </w:p>
        </w:tc>
        <w:tc>
          <w:tcPr>
            <w:tcW w:w="1687" w:type="dxa"/>
            <w:noWrap/>
            <w:vAlign w:val="center"/>
            <w:hideMark/>
          </w:tcPr>
          <w:p w14:paraId="77FA0C1A" w14:textId="6B167E5F" w:rsidR="000D66C1" w:rsidRPr="00951AB1" w:rsidRDefault="000D66C1"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1.480.112.216.166</w:t>
            </w:r>
          </w:p>
        </w:tc>
        <w:tc>
          <w:tcPr>
            <w:tcW w:w="1494" w:type="dxa"/>
            <w:noWrap/>
            <w:vAlign w:val="center"/>
            <w:hideMark/>
          </w:tcPr>
          <w:p w14:paraId="4EAF440B" w14:textId="2D0C60CD" w:rsidR="000D66C1" w:rsidRPr="00951AB1" w:rsidRDefault="000D66C1"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-1.469.371.378.253</w:t>
            </w:r>
          </w:p>
        </w:tc>
      </w:tr>
      <w:tr w:rsidR="00C70C31" w:rsidRPr="00951AB1" w14:paraId="51F5B597" w14:textId="77777777" w:rsidTr="000D66C1">
        <w:trPr>
          <w:trHeight w:val="285"/>
        </w:trPr>
        <w:tc>
          <w:tcPr>
            <w:tcW w:w="3964" w:type="dxa"/>
            <w:vAlign w:val="center"/>
            <w:hideMark/>
          </w:tcPr>
          <w:p w14:paraId="0290C296" w14:textId="77777777" w:rsidR="000D66C1" w:rsidRPr="00951AB1" w:rsidRDefault="000D66C1" w:rsidP="000A5389">
            <w:pPr>
              <w:spacing w:line="240" w:lineRule="auto"/>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Terrenos</w:t>
            </w:r>
          </w:p>
        </w:tc>
        <w:tc>
          <w:tcPr>
            <w:tcW w:w="1683" w:type="dxa"/>
            <w:noWrap/>
            <w:vAlign w:val="center"/>
            <w:hideMark/>
          </w:tcPr>
          <w:p w14:paraId="0685A43A" w14:textId="1EDAA6CD" w:rsidR="000D66C1" w:rsidRPr="00951AB1" w:rsidRDefault="000D66C1"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249.559.065</w:t>
            </w:r>
          </w:p>
        </w:tc>
        <w:tc>
          <w:tcPr>
            <w:tcW w:w="1687" w:type="dxa"/>
            <w:noWrap/>
            <w:vAlign w:val="center"/>
            <w:hideMark/>
          </w:tcPr>
          <w:p w14:paraId="4FF9ED3C" w14:textId="66AA09FE" w:rsidR="000D66C1" w:rsidRPr="00951AB1" w:rsidRDefault="000D66C1"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57.862.294.536</w:t>
            </w:r>
          </w:p>
        </w:tc>
        <w:tc>
          <w:tcPr>
            <w:tcW w:w="1494" w:type="dxa"/>
            <w:noWrap/>
            <w:vAlign w:val="center"/>
            <w:hideMark/>
          </w:tcPr>
          <w:p w14:paraId="420EEF0E" w14:textId="1F52559C" w:rsidR="000D66C1" w:rsidRPr="00951AB1" w:rsidRDefault="000D66C1"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-57.612.735.471</w:t>
            </w:r>
          </w:p>
        </w:tc>
      </w:tr>
      <w:tr w:rsidR="00C70C31" w:rsidRPr="00951AB1" w14:paraId="53528493" w14:textId="77777777" w:rsidTr="000D66C1">
        <w:trPr>
          <w:trHeight w:val="285"/>
        </w:trPr>
        <w:tc>
          <w:tcPr>
            <w:tcW w:w="3964" w:type="dxa"/>
            <w:vAlign w:val="center"/>
            <w:hideMark/>
          </w:tcPr>
          <w:p w14:paraId="3E194AB8" w14:textId="77777777" w:rsidR="000D66C1" w:rsidRPr="00951AB1" w:rsidRDefault="000D66C1" w:rsidP="000A5389">
            <w:pPr>
              <w:spacing w:line="240" w:lineRule="auto"/>
              <w:rPr>
                <w:rFonts w:eastAsia="Times New Roman" w:cs="Times New Roman"/>
                <w:b/>
                <w:bCs/>
                <w:color w:val="000000"/>
                <w:kern w:val="0"/>
                <w:sz w:val="18"/>
                <w:szCs w:val="18"/>
                <w:lang w:eastAsia="es-CO"/>
                <w14:ligatures w14:val="none"/>
              </w:rPr>
            </w:pPr>
            <w:r w:rsidRPr="00951AB1">
              <w:rPr>
                <w:rFonts w:eastAsia="Times New Roman" w:cs="Times New Roman"/>
                <w:b/>
                <w:bCs/>
                <w:color w:val="000000"/>
                <w:kern w:val="0"/>
                <w:sz w:val="18"/>
                <w:szCs w:val="18"/>
                <w:lang w:eastAsia="es-CO"/>
                <w14:ligatures w14:val="none"/>
              </w:rPr>
              <w:t>CONCESIONARIA SAN SIMON S A</w:t>
            </w:r>
          </w:p>
        </w:tc>
        <w:tc>
          <w:tcPr>
            <w:tcW w:w="1683" w:type="dxa"/>
            <w:noWrap/>
            <w:vAlign w:val="center"/>
            <w:hideMark/>
          </w:tcPr>
          <w:p w14:paraId="6B544B9C" w14:textId="7D415D9C" w:rsidR="000D66C1" w:rsidRPr="00951AB1" w:rsidRDefault="000D66C1" w:rsidP="000A5389">
            <w:pPr>
              <w:spacing w:line="240" w:lineRule="auto"/>
              <w:jc w:val="right"/>
              <w:rPr>
                <w:rFonts w:eastAsia="Times New Roman" w:cs="Times New Roman"/>
                <w:b/>
                <w:bCs/>
                <w:color w:val="000000"/>
                <w:kern w:val="0"/>
                <w:sz w:val="18"/>
                <w:szCs w:val="18"/>
                <w:lang w:eastAsia="es-CO"/>
                <w14:ligatures w14:val="none"/>
              </w:rPr>
            </w:pPr>
            <w:r w:rsidRPr="00951AB1">
              <w:rPr>
                <w:rFonts w:eastAsia="Times New Roman" w:cs="Times New Roman"/>
                <w:b/>
                <w:bCs/>
                <w:color w:val="000000"/>
                <w:kern w:val="0"/>
                <w:sz w:val="18"/>
                <w:szCs w:val="18"/>
                <w:lang w:eastAsia="es-CO"/>
                <w14:ligatures w14:val="none"/>
              </w:rPr>
              <w:t>26.927.223.477</w:t>
            </w:r>
          </w:p>
        </w:tc>
        <w:tc>
          <w:tcPr>
            <w:tcW w:w="1687" w:type="dxa"/>
            <w:noWrap/>
            <w:vAlign w:val="center"/>
            <w:hideMark/>
          </w:tcPr>
          <w:p w14:paraId="1BE5868D" w14:textId="5B5D6BB1" w:rsidR="000D66C1" w:rsidRPr="00951AB1" w:rsidRDefault="000D66C1" w:rsidP="000A5389">
            <w:pPr>
              <w:spacing w:line="240" w:lineRule="auto"/>
              <w:jc w:val="right"/>
              <w:rPr>
                <w:rFonts w:eastAsia="Times New Roman" w:cs="Times New Roman"/>
                <w:b/>
                <w:bCs/>
                <w:color w:val="000000"/>
                <w:kern w:val="0"/>
                <w:sz w:val="18"/>
                <w:szCs w:val="18"/>
                <w:lang w:eastAsia="es-CO"/>
                <w14:ligatures w14:val="none"/>
              </w:rPr>
            </w:pPr>
            <w:r w:rsidRPr="00951AB1">
              <w:rPr>
                <w:rFonts w:eastAsia="Times New Roman" w:cs="Times New Roman"/>
                <w:b/>
                <w:bCs/>
                <w:color w:val="000000"/>
                <w:kern w:val="0"/>
                <w:sz w:val="18"/>
                <w:szCs w:val="18"/>
                <w:lang w:eastAsia="es-CO"/>
                <w14:ligatures w14:val="none"/>
              </w:rPr>
              <w:t>405.458.519.164</w:t>
            </w:r>
          </w:p>
        </w:tc>
        <w:tc>
          <w:tcPr>
            <w:tcW w:w="1494" w:type="dxa"/>
            <w:noWrap/>
            <w:vAlign w:val="center"/>
            <w:hideMark/>
          </w:tcPr>
          <w:p w14:paraId="4F6791D5" w14:textId="748ACFAC" w:rsidR="000D66C1" w:rsidRPr="00951AB1" w:rsidRDefault="000D66C1" w:rsidP="000A5389">
            <w:pPr>
              <w:spacing w:line="240" w:lineRule="auto"/>
              <w:jc w:val="right"/>
              <w:rPr>
                <w:rFonts w:eastAsia="Times New Roman" w:cs="Times New Roman"/>
                <w:b/>
                <w:bCs/>
                <w:color w:val="000000"/>
                <w:kern w:val="0"/>
                <w:sz w:val="18"/>
                <w:szCs w:val="18"/>
                <w:lang w:eastAsia="es-CO"/>
                <w14:ligatures w14:val="none"/>
              </w:rPr>
            </w:pPr>
            <w:r w:rsidRPr="00951AB1">
              <w:rPr>
                <w:rFonts w:eastAsia="Times New Roman" w:cs="Times New Roman"/>
                <w:b/>
                <w:bCs/>
                <w:color w:val="000000"/>
                <w:kern w:val="0"/>
                <w:sz w:val="18"/>
                <w:szCs w:val="18"/>
                <w:lang w:eastAsia="es-CO"/>
                <w14:ligatures w14:val="none"/>
              </w:rPr>
              <w:t>-378.531.295.687</w:t>
            </w:r>
          </w:p>
        </w:tc>
      </w:tr>
      <w:tr w:rsidR="00C70C31" w:rsidRPr="00951AB1" w14:paraId="3081BACC" w14:textId="77777777" w:rsidTr="000D66C1">
        <w:trPr>
          <w:trHeight w:val="285"/>
        </w:trPr>
        <w:tc>
          <w:tcPr>
            <w:tcW w:w="3964" w:type="dxa"/>
            <w:vAlign w:val="center"/>
            <w:hideMark/>
          </w:tcPr>
          <w:p w14:paraId="1FB4E055" w14:textId="77777777" w:rsidR="000D66C1" w:rsidRPr="00951AB1" w:rsidRDefault="000D66C1" w:rsidP="000A5389">
            <w:pPr>
              <w:spacing w:line="240" w:lineRule="auto"/>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Red carretera</w:t>
            </w:r>
          </w:p>
        </w:tc>
        <w:tc>
          <w:tcPr>
            <w:tcW w:w="1683" w:type="dxa"/>
            <w:noWrap/>
            <w:vAlign w:val="center"/>
            <w:hideMark/>
          </w:tcPr>
          <w:p w14:paraId="790EEA0D" w14:textId="77777777" w:rsidR="000D66C1" w:rsidRPr="00951AB1" w:rsidRDefault="000D66C1" w:rsidP="000A5389">
            <w:pPr>
              <w:spacing w:line="240" w:lineRule="auto"/>
              <w:jc w:val="right"/>
              <w:rPr>
                <w:rFonts w:eastAsia="Times New Roman" w:cs="Times New Roman"/>
                <w:color w:val="000000"/>
                <w:kern w:val="0"/>
                <w:sz w:val="18"/>
                <w:szCs w:val="18"/>
                <w:lang w:eastAsia="es-CO"/>
                <w14:ligatures w14:val="none"/>
              </w:rPr>
            </w:pPr>
          </w:p>
        </w:tc>
        <w:tc>
          <w:tcPr>
            <w:tcW w:w="1687" w:type="dxa"/>
            <w:noWrap/>
            <w:vAlign w:val="center"/>
            <w:hideMark/>
          </w:tcPr>
          <w:p w14:paraId="4C35F85F" w14:textId="0BBADC21" w:rsidR="000D66C1" w:rsidRPr="00951AB1" w:rsidRDefault="000D66C1"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344.860.357.672</w:t>
            </w:r>
          </w:p>
        </w:tc>
        <w:tc>
          <w:tcPr>
            <w:tcW w:w="1494" w:type="dxa"/>
            <w:noWrap/>
            <w:vAlign w:val="center"/>
            <w:hideMark/>
          </w:tcPr>
          <w:p w14:paraId="4D8633E5" w14:textId="3821B611" w:rsidR="000D66C1" w:rsidRPr="00951AB1" w:rsidRDefault="000D66C1"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-344.860.357.672</w:t>
            </w:r>
          </w:p>
        </w:tc>
      </w:tr>
      <w:tr w:rsidR="00C70C31" w:rsidRPr="00951AB1" w14:paraId="00E50E40" w14:textId="77777777" w:rsidTr="000D66C1">
        <w:trPr>
          <w:trHeight w:val="285"/>
        </w:trPr>
        <w:tc>
          <w:tcPr>
            <w:tcW w:w="3964" w:type="dxa"/>
            <w:vAlign w:val="center"/>
            <w:hideMark/>
          </w:tcPr>
          <w:p w14:paraId="7BE7FF72" w14:textId="77777777" w:rsidR="000D66C1" w:rsidRPr="00951AB1" w:rsidRDefault="000D66C1" w:rsidP="000A5389">
            <w:pPr>
              <w:spacing w:line="240" w:lineRule="auto"/>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Terrenos</w:t>
            </w:r>
          </w:p>
        </w:tc>
        <w:tc>
          <w:tcPr>
            <w:tcW w:w="1683" w:type="dxa"/>
            <w:noWrap/>
            <w:vAlign w:val="center"/>
            <w:hideMark/>
          </w:tcPr>
          <w:p w14:paraId="0E3FA25E" w14:textId="5A6C6F74" w:rsidR="000D66C1" w:rsidRPr="00951AB1" w:rsidRDefault="000D66C1"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24.364.131.960</w:t>
            </w:r>
          </w:p>
        </w:tc>
        <w:tc>
          <w:tcPr>
            <w:tcW w:w="1687" w:type="dxa"/>
            <w:noWrap/>
            <w:vAlign w:val="center"/>
            <w:hideMark/>
          </w:tcPr>
          <w:p w14:paraId="3A449DA1" w14:textId="470D5C78" w:rsidR="000D66C1" w:rsidRPr="00951AB1" w:rsidRDefault="000D66C1"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58.308.248.698</w:t>
            </w:r>
          </w:p>
        </w:tc>
        <w:tc>
          <w:tcPr>
            <w:tcW w:w="1494" w:type="dxa"/>
            <w:noWrap/>
            <w:vAlign w:val="center"/>
            <w:hideMark/>
          </w:tcPr>
          <w:p w14:paraId="75600D24" w14:textId="66602D25" w:rsidR="000D66C1" w:rsidRPr="00951AB1" w:rsidRDefault="000D66C1"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-33.944.116.738</w:t>
            </w:r>
          </w:p>
        </w:tc>
      </w:tr>
      <w:tr w:rsidR="00C70C31" w:rsidRPr="00951AB1" w14:paraId="28269138" w14:textId="77777777" w:rsidTr="000D66C1">
        <w:trPr>
          <w:trHeight w:val="285"/>
        </w:trPr>
        <w:tc>
          <w:tcPr>
            <w:tcW w:w="3964" w:type="dxa"/>
            <w:noWrap/>
            <w:vAlign w:val="center"/>
            <w:hideMark/>
          </w:tcPr>
          <w:p w14:paraId="6E605D94" w14:textId="77777777" w:rsidR="000D66C1" w:rsidRPr="00951AB1" w:rsidRDefault="000D66C1" w:rsidP="000A5389">
            <w:pPr>
              <w:spacing w:line="240" w:lineRule="auto"/>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Recursos de la entidad concedente en patrimonios autónomos constituidos por concesionarios privados</w:t>
            </w:r>
          </w:p>
        </w:tc>
        <w:tc>
          <w:tcPr>
            <w:tcW w:w="1683" w:type="dxa"/>
            <w:noWrap/>
            <w:vAlign w:val="center"/>
            <w:hideMark/>
          </w:tcPr>
          <w:p w14:paraId="01F2D6AE" w14:textId="19730F27" w:rsidR="000D66C1" w:rsidRPr="00951AB1" w:rsidRDefault="000D66C1"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2.563.091.517</w:t>
            </w:r>
          </w:p>
        </w:tc>
        <w:tc>
          <w:tcPr>
            <w:tcW w:w="1687" w:type="dxa"/>
            <w:noWrap/>
            <w:vAlign w:val="center"/>
            <w:hideMark/>
          </w:tcPr>
          <w:p w14:paraId="5C227D0B" w14:textId="451C1DC3" w:rsidR="000D66C1" w:rsidRPr="00951AB1" w:rsidRDefault="000D66C1"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2.289.912.795</w:t>
            </w:r>
          </w:p>
        </w:tc>
        <w:tc>
          <w:tcPr>
            <w:tcW w:w="1494" w:type="dxa"/>
            <w:noWrap/>
            <w:vAlign w:val="center"/>
            <w:hideMark/>
          </w:tcPr>
          <w:p w14:paraId="3223F2CE" w14:textId="16ED5375" w:rsidR="000D66C1" w:rsidRPr="00951AB1" w:rsidRDefault="000D66C1"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273.178.722</w:t>
            </w:r>
          </w:p>
        </w:tc>
      </w:tr>
      <w:tr w:rsidR="00C70C31" w:rsidRPr="00951AB1" w14:paraId="021AB61E" w14:textId="77777777" w:rsidTr="000D66C1">
        <w:trPr>
          <w:trHeight w:val="285"/>
        </w:trPr>
        <w:tc>
          <w:tcPr>
            <w:tcW w:w="3964" w:type="dxa"/>
            <w:vAlign w:val="center"/>
            <w:hideMark/>
          </w:tcPr>
          <w:p w14:paraId="6A9DD6A6" w14:textId="77777777" w:rsidR="000D66C1" w:rsidRPr="00951AB1" w:rsidRDefault="000D66C1" w:rsidP="000A5389">
            <w:pPr>
              <w:spacing w:line="240" w:lineRule="auto"/>
              <w:rPr>
                <w:rFonts w:eastAsia="Times New Roman" w:cs="Times New Roman"/>
                <w:b/>
                <w:bCs/>
                <w:color w:val="000000"/>
                <w:kern w:val="0"/>
                <w:sz w:val="18"/>
                <w:szCs w:val="18"/>
                <w:lang w:eastAsia="es-CO"/>
                <w14:ligatures w14:val="none"/>
              </w:rPr>
            </w:pPr>
            <w:r w:rsidRPr="00951AB1">
              <w:rPr>
                <w:rFonts w:eastAsia="Times New Roman" w:cs="Times New Roman"/>
                <w:b/>
                <w:bCs/>
                <w:color w:val="000000"/>
                <w:kern w:val="0"/>
                <w:sz w:val="18"/>
                <w:szCs w:val="18"/>
                <w:lang w:eastAsia="es-CO"/>
                <w14:ligatures w14:val="none"/>
              </w:rPr>
              <w:t>YUMA CONCESIONARIA S A - EN REORGANIZACION</w:t>
            </w:r>
          </w:p>
        </w:tc>
        <w:tc>
          <w:tcPr>
            <w:tcW w:w="1683" w:type="dxa"/>
            <w:noWrap/>
            <w:vAlign w:val="center"/>
            <w:hideMark/>
          </w:tcPr>
          <w:p w14:paraId="44409F2E" w14:textId="11520DE5" w:rsidR="000D66C1" w:rsidRPr="00951AB1" w:rsidRDefault="000D66C1" w:rsidP="000A5389">
            <w:pPr>
              <w:spacing w:line="240" w:lineRule="auto"/>
              <w:jc w:val="right"/>
              <w:rPr>
                <w:rFonts w:eastAsia="Times New Roman" w:cs="Times New Roman"/>
                <w:b/>
                <w:bCs/>
                <w:color w:val="000000"/>
                <w:kern w:val="0"/>
                <w:sz w:val="18"/>
                <w:szCs w:val="18"/>
                <w:lang w:eastAsia="es-CO"/>
                <w14:ligatures w14:val="none"/>
              </w:rPr>
            </w:pPr>
            <w:r w:rsidRPr="00951AB1">
              <w:rPr>
                <w:rFonts w:eastAsia="Times New Roman" w:cs="Times New Roman"/>
                <w:b/>
                <w:bCs/>
                <w:color w:val="000000"/>
                <w:kern w:val="0"/>
                <w:sz w:val="18"/>
                <w:szCs w:val="18"/>
                <w:lang w:eastAsia="es-CO"/>
                <w14:ligatures w14:val="none"/>
              </w:rPr>
              <w:t>4.096.803.282.801</w:t>
            </w:r>
          </w:p>
        </w:tc>
        <w:tc>
          <w:tcPr>
            <w:tcW w:w="1687" w:type="dxa"/>
            <w:noWrap/>
            <w:vAlign w:val="center"/>
            <w:hideMark/>
          </w:tcPr>
          <w:p w14:paraId="7E2791BB" w14:textId="25988D1D" w:rsidR="000D66C1" w:rsidRPr="00951AB1" w:rsidRDefault="000D66C1" w:rsidP="000A5389">
            <w:pPr>
              <w:spacing w:line="240" w:lineRule="auto"/>
              <w:jc w:val="right"/>
              <w:rPr>
                <w:rFonts w:eastAsia="Times New Roman" w:cs="Times New Roman"/>
                <w:b/>
                <w:bCs/>
                <w:color w:val="000000"/>
                <w:kern w:val="0"/>
                <w:sz w:val="18"/>
                <w:szCs w:val="18"/>
                <w:lang w:eastAsia="es-CO"/>
                <w14:ligatures w14:val="none"/>
              </w:rPr>
            </w:pPr>
            <w:r w:rsidRPr="00951AB1">
              <w:rPr>
                <w:rFonts w:eastAsia="Times New Roman" w:cs="Times New Roman"/>
                <w:b/>
                <w:bCs/>
                <w:color w:val="000000"/>
                <w:kern w:val="0"/>
                <w:sz w:val="18"/>
                <w:szCs w:val="18"/>
                <w:lang w:eastAsia="es-CO"/>
                <w14:ligatures w14:val="none"/>
              </w:rPr>
              <w:t>4.133.146.719.694</w:t>
            </w:r>
          </w:p>
        </w:tc>
        <w:tc>
          <w:tcPr>
            <w:tcW w:w="1494" w:type="dxa"/>
            <w:noWrap/>
            <w:vAlign w:val="center"/>
            <w:hideMark/>
          </w:tcPr>
          <w:p w14:paraId="4F0EB3F6" w14:textId="1948F483" w:rsidR="000D66C1" w:rsidRPr="00951AB1" w:rsidRDefault="000D66C1" w:rsidP="000A5389">
            <w:pPr>
              <w:spacing w:line="240" w:lineRule="auto"/>
              <w:jc w:val="right"/>
              <w:rPr>
                <w:rFonts w:eastAsia="Times New Roman" w:cs="Times New Roman"/>
                <w:b/>
                <w:bCs/>
                <w:color w:val="000000"/>
                <w:kern w:val="0"/>
                <w:sz w:val="18"/>
                <w:szCs w:val="18"/>
                <w:lang w:eastAsia="es-CO"/>
                <w14:ligatures w14:val="none"/>
              </w:rPr>
            </w:pPr>
            <w:r w:rsidRPr="00951AB1">
              <w:rPr>
                <w:rFonts w:eastAsia="Times New Roman" w:cs="Times New Roman"/>
                <w:b/>
                <w:bCs/>
                <w:color w:val="000000"/>
                <w:kern w:val="0"/>
                <w:sz w:val="18"/>
                <w:szCs w:val="18"/>
                <w:lang w:eastAsia="es-CO"/>
                <w14:ligatures w14:val="none"/>
              </w:rPr>
              <w:t>-36.343.436.893</w:t>
            </w:r>
          </w:p>
        </w:tc>
      </w:tr>
      <w:tr w:rsidR="00C70C31" w:rsidRPr="00951AB1" w14:paraId="641FBA9B" w14:textId="77777777" w:rsidTr="000D66C1">
        <w:trPr>
          <w:trHeight w:val="285"/>
        </w:trPr>
        <w:tc>
          <w:tcPr>
            <w:tcW w:w="3964" w:type="dxa"/>
            <w:vAlign w:val="center"/>
            <w:hideMark/>
          </w:tcPr>
          <w:p w14:paraId="55C956E4" w14:textId="77777777" w:rsidR="000D66C1" w:rsidRPr="00951AB1" w:rsidRDefault="000D66C1" w:rsidP="000A5389">
            <w:pPr>
              <w:spacing w:line="240" w:lineRule="auto"/>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Propiedades, Plan y Equipo</w:t>
            </w:r>
          </w:p>
        </w:tc>
        <w:tc>
          <w:tcPr>
            <w:tcW w:w="1683" w:type="dxa"/>
            <w:noWrap/>
            <w:vAlign w:val="center"/>
            <w:hideMark/>
          </w:tcPr>
          <w:p w14:paraId="2817594D" w14:textId="0CE9C0CC" w:rsidR="000D66C1" w:rsidRPr="00951AB1" w:rsidRDefault="000D66C1"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12.608.926.574</w:t>
            </w:r>
          </w:p>
        </w:tc>
        <w:tc>
          <w:tcPr>
            <w:tcW w:w="1687" w:type="dxa"/>
            <w:noWrap/>
            <w:vAlign w:val="center"/>
            <w:hideMark/>
          </w:tcPr>
          <w:p w14:paraId="22C99BBE" w14:textId="4E8014A1" w:rsidR="000D66C1" w:rsidRPr="00951AB1" w:rsidRDefault="000D66C1"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18.132.850.248</w:t>
            </w:r>
          </w:p>
        </w:tc>
        <w:tc>
          <w:tcPr>
            <w:tcW w:w="1494" w:type="dxa"/>
            <w:noWrap/>
            <w:vAlign w:val="center"/>
            <w:hideMark/>
          </w:tcPr>
          <w:p w14:paraId="2B68876A" w14:textId="6D314722" w:rsidR="000D66C1" w:rsidRPr="00951AB1" w:rsidRDefault="000D66C1"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-5.523.923.674</w:t>
            </w:r>
          </w:p>
        </w:tc>
      </w:tr>
      <w:tr w:rsidR="00C70C31" w:rsidRPr="00951AB1" w14:paraId="68C2704D" w14:textId="77777777" w:rsidTr="000D66C1">
        <w:trPr>
          <w:trHeight w:val="285"/>
        </w:trPr>
        <w:tc>
          <w:tcPr>
            <w:tcW w:w="3964" w:type="dxa"/>
            <w:vAlign w:val="center"/>
            <w:hideMark/>
          </w:tcPr>
          <w:p w14:paraId="3046C8FE" w14:textId="77777777" w:rsidR="000D66C1" w:rsidRPr="00951AB1" w:rsidRDefault="000D66C1" w:rsidP="000A5389">
            <w:pPr>
              <w:spacing w:line="240" w:lineRule="auto"/>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Red carretera</w:t>
            </w:r>
          </w:p>
        </w:tc>
        <w:tc>
          <w:tcPr>
            <w:tcW w:w="1683" w:type="dxa"/>
            <w:noWrap/>
            <w:vAlign w:val="center"/>
            <w:hideMark/>
          </w:tcPr>
          <w:p w14:paraId="26997558" w14:textId="7A63FBD1" w:rsidR="000D66C1" w:rsidRPr="00951AB1" w:rsidRDefault="000D66C1"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2.573.336.770.951</w:t>
            </w:r>
          </w:p>
        </w:tc>
        <w:tc>
          <w:tcPr>
            <w:tcW w:w="1687" w:type="dxa"/>
            <w:noWrap/>
            <w:vAlign w:val="center"/>
            <w:hideMark/>
          </w:tcPr>
          <w:p w14:paraId="683765DE" w14:textId="77E6DC0C" w:rsidR="000D66C1" w:rsidRPr="00951AB1" w:rsidRDefault="000D66C1"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2.297.185.163.924</w:t>
            </w:r>
          </w:p>
        </w:tc>
        <w:tc>
          <w:tcPr>
            <w:tcW w:w="1494" w:type="dxa"/>
            <w:noWrap/>
            <w:vAlign w:val="center"/>
            <w:hideMark/>
          </w:tcPr>
          <w:p w14:paraId="304BD8A1" w14:textId="609BC5CF" w:rsidR="000D66C1" w:rsidRPr="00951AB1" w:rsidRDefault="000D66C1"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276.151.607.028</w:t>
            </w:r>
          </w:p>
        </w:tc>
      </w:tr>
      <w:tr w:rsidR="00C70C31" w:rsidRPr="00951AB1" w14:paraId="0BA74E2C" w14:textId="77777777" w:rsidTr="000D66C1">
        <w:trPr>
          <w:trHeight w:val="285"/>
        </w:trPr>
        <w:tc>
          <w:tcPr>
            <w:tcW w:w="3964" w:type="dxa"/>
            <w:vAlign w:val="center"/>
            <w:hideMark/>
          </w:tcPr>
          <w:p w14:paraId="065B35AF" w14:textId="77777777" w:rsidR="000D66C1" w:rsidRPr="00951AB1" w:rsidRDefault="000D66C1" w:rsidP="000A5389">
            <w:pPr>
              <w:spacing w:line="240" w:lineRule="auto"/>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Terrenos</w:t>
            </w:r>
          </w:p>
        </w:tc>
        <w:tc>
          <w:tcPr>
            <w:tcW w:w="1683" w:type="dxa"/>
            <w:noWrap/>
            <w:vAlign w:val="center"/>
            <w:hideMark/>
          </w:tcPr>
          <w:p w14:paraId="742729C7" w14:textId="69420D3C" w:rsidR="000D66C1" w:rsidRPr="00951AB1" w:rsidRDefault="000D66C1"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50.783.469.858</w:t>
            </w:r>
          </w:p>
        </w:tc>
        <w:tc>
          <w:tcPr>
            <w:tcW w:w="1687" w:type="dxa"/>
            <w:noWrap/>
            <w:vAlign w:val="center"/>
            <w:hideMark/>
          </w:tcPr>
          <w:p w14:paraId="1D7AA1C5" w14:textId="6539C4FE" w:rsidR="000D66C1" w:rsidRPr="00951AB1" w:rsidRDefault="000D66C1"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50.783.469.858</w:t>
            </w:r>
          </w:p>
        </w:tc>
        <w:tc>
          <w:tcPr>
            <w:tcW w:w="1494" w:type="dxa"/>
            <w:noWrap/>
            <w:vAlign w:val="center"/>
            <w:hideMark/>
          </w:tcPr>
          <w:p w14:paraId="049CBA64" w14:textId="71787688" w:rsidR="000D66C1" w:rsidRPr="00951AB1" w:rsidRDefault="000D66C1"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w:t>
            </w:r>
          </w:p>
        </w:tc>
      </w:tr>
      <w:tr w:rsidR="00C70C31" w:rsidRPr="00951AB1" w14:paraId="2D744848" w14:textId="77777777" w:rsidTr="000D66C1">
        <w:trPr>
          <w:trHeight w:val="570"/>
        </w:trPr>
        <w:tc>
          <w:tcPr>
            <w:tcW w:w="3964" w:type="dxa"/>
            <w:vAlign w:val="center"/>
            <w:hideMark/>
          </w:tcPr>
          <w:p w14:paraId="2C6E982C" w14:textId="77777777" w:rsidR="000D66C1" w:rsidRPr="00951AB1" w:rsidRDefault="000D66C1" w:rsidP="000A5389">
            <w:pPr>
              <w:spacing w:line="240" w:lineRule="auto"/>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Recursos de la entidad concedente en patrimonios autónomos constituidos por concesionarios privados</w:t>
            </w:r>
          </w:p>
        </w:tc>
        <w:tc>
          <w:tcPr>
            <w:tcW w:w="1683" w:type="dxa"/>
            <w:noWrap/>
            <w:vAlign w:val="center"/>
            <w:hideMark/>
          </w:tcPr>
          <w:p w14:paraId="29D08D94" w14:textId="01C6D419" w:rsidR="000D66C1" w:rsidRPr="00951AB1" w:rsidRDefault="000D66C1"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1.460.074.115.417</w:t>
            </w:r>
          </w:p>
        </w:tc>
        <w:tc>
          <w:tcPr>
            <w:tcW w:w="1687" w:type="dxa"/>
            <w:noWrap/>
            <w:vAlign w:val="center"/>
            <w:hideMark/>
          </w:tcPr>
          <w:p w14:paraId="40D42615" w14:textId="281C4C49" w:rsidR="000D66C1" w:rsidRPr="00951AB1" w:rsidRDefault="000D66C1"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1.767.045.235.664</w:t>
            </w:r>
          </w:p>
        </w:tc>
        <w:tc>
          <w:tcPr>
            <w:tcW w:w="1494" w:type="dxa"/>
            <w:noWrap/>
            <w:vAlign w:val="center"/>
            <w:hideMark/>
          </w:tcPr>
          <w:p w14:paraId="25C5B9C4" w14:textId="66733628" w:rsidR="000D66C1" w:rsidRPr="00951AB1" w:rsidRDefault="000D66C1"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-306.971.120.247</w:t>
            </w:r>
          </w:p>
        </w:tc>
      </w:tr>
      <w:tr w:rsidR="00C70C31" w:rsidRPr="00951AB1" w14:paraId="001C3059" w14:textId="77777777" w:rsidTr="000D66C1">
        <w:trPr>
          <w:trHeight w:val="285"/>
        </w:trPr>
        <w:tc>
          <w:tcPr>
            <w:tcW w:w="3964" w:type="dxa"/>
            <w:vAlign w:val="center"/>
            <w:hideMark/>
          </w:tcPr>
          <w:p w14:paraId="6105AED9" w14:textId="77777777" w:rsidR="000D66C1" w:rsidRPr="00951AB1" w:rsidRDefault="000D66C1" w:rsidP="000A5389">
            <w:pPr>
              <w:spacing w:line="240" w:lineRule="auto"/>
              <w:rPr>
                <w:rFonts w:eastAsia="Times New Roman" w:cs="Times New Roman"/>
                <w:b/>
                <w:bCs/>
                <w:color w:val="000000"/>
                <w:kern w:val="0"/>
                <w:sz w:val="18"/>
                <w:szCs w:val="18"/>
                <w:lang w:eastAsia="es-CO"/>
                <w14:ligatures w14:val="none"/>
              </w:rPr>
            </w:pPr>
            <w:r w:rsidRPr="00951AB1">
              <w:rPr>
                <w:rFonts w:eastAsia="Times New Roman" w:cs="Times New Roman"/>
                <w:b/>
                <w:bCs/>
                <w:color w:val="000000"/>
                <w:kern w:val="0"/>
                <w:sz w:val="18"/>
                <w:szCs w:val="18"/>
                <w:lang w:eastAsia="es-CO"/>
                <w14:ligatures w14:val="none"/>
              </w:rPr>
              <w:t>VIAS DE LAS AMERICAS S.A.S.</w:t>
            </w:r>
          </w:p>
        </w:tc>
        <w:tc>
          <w:tcPr>
            <w:tcW w:w="1683" w:type="dxa"/>
            <w:noWrap/>
            <w:vAlign w:val="center"/>
            <w:hideMark/>
          </w:tcPr>
          <w:p w14:paraId="3211999E" w14:textId="4A969AF6" w:rsidR="000D66C1" w:rsidRPr="00951AB1" w:rsidRDefault="000D66C1" w:rsidP="000A5389">
            <w:pPr>
              <w:spacing w:line="240" w:lineRule="auto"/>
              <w:jc w:val="right"/>
              <w:rPr>
                <w:rFonts w:eastAsia="Times New Roman" w:cs="Times New Roman"/>
                <w:b/>
                <w:bCs/>
                <w:color w:val="000000"/>
                <w:kern w:val="0"/>
                <w:sz w:val="18"/>
                <w:szCs w:val="18"/>
                <w:lang w:eastAsia="es-CO"/>
                <w14:ligatures w14:val="none"/>
              </w:rPr>
            </w:pPr>
            <w:r w:rsidRPr="00951AB1">
              <w:rPr>
                <w:rFonts w:eastAsia="Times New Roman" w:cs="Times New Roman"/>
                <w:b/>
                <w:bCs/>
                <w:color w:val="000000"/>
                <w:kern w:val="0"/>
                <w:sz w:val="18"/>
                <w:szCs w:val="18"/>
                <w:lang w:eastAsia="es-CO"/>
                <w14:ligatures w14:val="none"/>
              </w:rPr>
              <w:t>268.002.245.241</w:t>
            </w:r>
          </w:p>
        </w:tc>
        <w:tc>
          <w:tcPr>
            <w:tcW w:w="1687" w:type="dxa"/>
            <w:noWrap/>
            <w:vAlign w:val="center"/>
            <w:hideMark/>
          </w:tcPr>
          <w:p w14:paraId="683F139E" w14:textId="68C811F4" w:rsidR="000D66C1" w:rsidRPr="00951AB1" w:rsidRDefault="000D66C1" w:rsidP="000A5389">
            <w:pPr>
              <w:spacing w:line="240" w:lineRule="auto"/>
              <w:jc w:val="right"/>
              <w:rPr>
                <w:rFonts w:eastAsia="Times New Roman" w:cs="Times New Roman"/>
                <w:b/>
                <w:bCs/>
                <w:color w:val="000000"/>
                <w:kern w:val="0"/>
                <w:sz w:val="18"/>
                <w:szCs w:val="18"/>
                <w:lang w:eastAsia="es-CO"/>
                <w14:ligatures w14:val="none"/>
              </w:rPr>
            </w:pPr>
            <w:r w:rsidRPr="00951AB1">
              <w:rPr>
                <w:rFonts w:eastAsia="Times New Roman" w:cs="Times New Roman"/>
                <w:b/>
                <w:bCs/>
                <w:color w:val="000000"/>
                <w:kern w:val="0"/>
                <w:sz w:val="18"/>
                <w:szCs w:val="18"/>
                <w:lang w:eastAsia="es-CO"/>
                <w14:ligatures w14:val="none"/>
              </w:rPr>
              <w:t>2.054.026.084.710</w:t>
            </w:r>
          </w:p>
        </w:tc>
        <w:tc>
          <w:tcPr>
            <w:tcW w:w="1494" w:type="dxa"/>
            <w:noWrap/>
            <w:vAlign w:val="center"/>
            <w:hideMark/>
          </w:tcPr>
          <w:p w14:paraId="56E090B4" w14:textId="08B2BF02" w:rsidR="000D66C1" w:rsidRPr="00951AB1" w:rsidRDefault="000D66C1" w:rsidP="000A5389">
            <w:pPr>
              <w:spacing w:line="240" w:lineRule="auto"/>
              <w:jc w:val="right"/>
              <w:rPr>
                <w:rFonts w:eastAsia="Times New Roman" w:cs="Times New Roman"/>
                <w:b/>
                <w:bCs/>
                <w:color w:val="000000"/>
                <w:kern w:val="0"/>
                <w:sz w:val="18"/>
                <w:szCs w:val="18"/>
                <w:lang w:eastAsia="es-CO"/>
                <w14:ligatures w14:val="none"/>
              </w:rPr>
            </w:pPr>
            <w:r w:rsidRPr="00951AB1">
              <w:rPr>
                <w:rFonts w:eastAsia="Times New Roman" w:cs="Times New Roman"/>
                <w:b/>
                <w:bCs/>
                <w:color w:val="000000"/>
                <w:kern w:val="0"/>
                <w:sz w:val="18"/>
                <w:szCs w:val="18"/>
                <w:lang w:eastAsia="es-CO"/>
                <w14:ligatures w14:val="none"/>
              </w:rPr>
              <w:t>-1.786.023.839.469</w:t>
            </w:r>
          </w:p>
        </w:tc>
      </w:tr>
      <w:tr w:rsidR="00C70C31" w:rsidRPr="00951AB1" w14:paraId="41190E43" w14:textId="77777777" w:rsidTr="000D66C1">
        <w:trPr>
          <w:trHeight w:val="285"/>
        </w:trPr>
        <w:tc>
          <w:tcPr>
            <w:tcW w:w="3964" w:type="dxa"/>
            <w:vAlign w:val="center"/>
            <w:hideMark/>
          </w:tcPr>
          <w:p w14:paraId="54776979" w14:textId="77777777" w:rsidR="000D66C1" w:rsidRPr="00951AB1" w:rsidRDefault="000D66C1" w:rsidP="000A5389">
            <w:pPr>
              <w:spacing w:line="240" w:lineRule="auto"/>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Red carretera</w:t>
            </w:r>
          </w:p>
        </w:tc>
        <w:tc>
          <w:tcPr>
            <w:tcW w:w="1683" w:type="dxa"/>
            <w:noWrap/>
            <w:vAlign w:val="center"/>
            <w:hideMark/>
          </w:tcPr>
          <w:p w14:paraId="04162812" w14:textId="77777777" w:rsidR="000D66C1" w:rsidRPr="00951AB1" w:rsidRDefault="000D66C1" w:rsidP="000A5389">
            <w:pPr>
              <w:spacing w:line="240" w:lineRule="auto"/>
              <w:jc w:val="right"/>
              <w:rPr>
                <w:rFonts w:eastAsia="Times New Roman" w:cs="Times New Roman"/>
                <w:color w:val="000000"/>
                <w:kern w:val="0"/>
                <w:sz w:val="18"/>
                <w:szCs w:val="18"/>
                <w:lang w:eastAsia="es-CO"/>
                <w14:ligatures w14:val="none"/>
              </w:rPr>
            </w:pPr>
          </w:p>
        </w:tc>
        <w:tc>
          <w:tcPr>
            <w:tcW w:w="1687" w:type="dxa"/>
            <w:noWrap/>
            <w:vAlign w:val="center"/>
            <w:hideMark/>
          </w:tcPr>
          <w:p w14:paraId="610BE59F" w14:textId="30DBF680" w:rsidR="000D66C1" w:rsidRPr="00951AB1" w:rsidRDefault="000D66C1"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1.615.557.725.157</w:t>
            </w:r>
          </w:p>
        </w:tc>
        <w:tc>
          <w:tcPr>
            <w:tcW w:w="1494" w:type="dxa"/>
            <w:noWrap/>
            <w:vAlign w:val="center"/>
            <w:hideMark/>
          </w:tcPr>
          <w:p w14:paraId="2074EF9D" w14:textId="0F696395" w:rsidR="000D66C1" w:rsidRPr="00951AB1" w:rsidRDefault="000D66C1"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-1.615.557.725.157</w:t>
            </w:r>
          </w:p>
        </w:tc>
      </w:tr>
      <w:tr w:rsidR="00C70C31" w:rsidRPr="00951AB1" w14:paraId="3BC8B23D" w14:textId="77777777" w:rsidTr="000D66C1">
        <w:trPr>
          <w:trHeight w:val="285"/>
        </w:trPr>
        <w:tc>
          <w:tcPr>
            <w:tcW w:w="3964" w:type="dxa"/>
            <w:vAlign w:val="center"/>
            <w:hideMark/>
          </w:tcPr>
          <w:p w14:paraId="7944EAF7" w14:textId="77777777" w:rsidR="000D66C1" w:rsidRPr="00951AB1" w:rsidRDefault="000D66C1" w:rsidP="000A5389">
            <w:pPr>
              <w:spacing w:line="240" w:lineRule="auto"/>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Terrenos</w:t>
            </w:r>
          </w:p>
        </w:tc>
        <w:tc>
          <w:tcPr>
            <w:tcW w:w="1683" w:type="dxa"/>
            <w:noWrap/>
            <w:vAlign w:val="center"/>
            <w:hideMark/>
          </w:tcPr>
          <w:p w14:paraId="63F702A2" w14:textId="10E10485" w:rsidR="000D66C1" w:rsidRPr="00951AB1" w:rsidRDefault="000D66C1"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260.637.092.248</w:t>
            </w:r>
          </w:p>
        </w:tc>
        <w:tc>
          <w:tcPr>
            <w:tcW w:w="1687" w:type="dxa"/>
            <w:noWrap/>
            <w:vAlign w:val="center"/>
            <w:hideMark/>
          </w:tcPr>
          <w:p w14:paraId="162CF944" w14:textId="64E77A5A" w:rsidR="000D66C1" w:rsidRPr="00951AB1" w:rsidRDefault="000D66C1"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294.816.765.571</w:t>
            </w:r>
          </w:p>
        </w:tc>
        <w:tc>
          <w:tcPr>
            <w:tcW w:w="1494" w:type="dxa"/>
            <w:noWrap/>
            <w:vAlign w:val="center"/>
            <w:hideMark/>
          </w:tcPr>
          <w:p w14:paraId="56635535" w14:textId="100C11DF" w:rsidR="000D66C1" w:rsidRPr="00951AB1" w:rsidRDefault="000D66C1"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-34.179.673.323</w:t>
            </w:r>
          </w:p>
        </w:tc>
      </w:tr>
      <w:tr w:rsidR="00C70C31" w:rsidRPr="00951AB1" w14:paraId="5596558D" w14:textId="77777777" w:rsidTr="000D66C1">
        <w:trPr>
          <w:trHeight w:val="570"/>
        </w:trPr>
        <w:tc>
          <w:tcPr>
            <w:tcW w:w="3964" w:type="dxa"/>
            <w:vAlign w:val="center"/>
            <w:hideMark/>
          </w:tcPr>
          <w:p w14:paraId="1D6A9BCA" w14:textId="77777777" w:rsidR="000D66C1" w:rsidRPr="00951AB1" w:rsidRDefault="000D66C1" w:rsidP="000A5389">
            <w:pPr>
              <w:spacing w:line="240" w:lineRule="auto"/>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Recursos de la entidad concedente en patrimonios autónomos constituidos por concesionarios privados</w:t>
            </w:r>
          </w:p>
        </w:tc>
        <w:tc>
          <w:tcPr>
            <w:tcW w:w="1683" w:type="dxa"/>
            <w:noWrap/>
            <w:vAlign w:val="center"/>
            <w:hideMark/>
          </w:tcPr>
          <w:p w14:paraId="1DE74EC1" w14:textId="40C238AB" w:rsidR="000D66C1" w:rsidRPr="00951AB1" w:rsidRDefault="000D66C1"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7.365.152.993</w:t>
            </w:r>
          </w:p>
        </w:tc>
        <w:tc>
          <w:tcPr>
            <w:tcW w:w="1687" w:type="dxa"/>
            <w:noWrap/>
            <w:vAlign w:val="center"/>
            <w:hideMark/>
          </w:tcPr>
          <w:p w14:paraId="4DC508B2" w14:textId="4DFFA678" w:rsidR="000D66C1" w:rsidRPr="00951AB1" w:rsidRDefault="000D66C1"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143.651.593.982</w:t>
            </w:r>
          </w:p>
        </w:tc>
        <w:tc>
          <w:tcPr>
            <w:tcW w:w="1494" w:type="dxa"/>
            <w:noWrap/>
            <w:vAlign w:val="center"/>
            <w:hideMark/>
          </w:tcPr>
          <w:p w14:paraId="1AEB728D" w14:textId="16B62996" w:rsidR="000D66C1" w:rsidRPr="00951AB1" w:rsidRDefault="000D66C1"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-136.286.440.989</w:t>
            </w:r>
          </w:p>
        </w:tc>
      </w:tr>
      <w:tr w:rsidR="00C70C31" w:rsidRPr="00951AB1" w14:paraId="41FF2B2F" w14:textId="77777777" w:rsidTr="000D66C1">
        <w:trPr>
          <w:trHeight w:val="285"/>
        </w:trPr>
        <w:tc>
          <w:tcPr>
            <w:tcW w:w="3964" w:type="dxa"/>
            <w:vAlign w:val="center"/>
            <w:hideMark/>
          </w:tcPr>
          <w:p w14:paraId="035CE342" w14:textId="77777777" w:rsidR="000D66C1" w:rsidRPr="00951AB1" w:rsidRDefault="000D66C1" w:rsidP="000A5389">
            <w:pPr>
              <w:spacing w:line="240" w:lineRule="auto"/>
              <w:rPr>
                <w:rFonts w:eastAsia="Times New Roman" w:cs="Times New Roman"/>
                <w:b/>
                <w:bCs/>
                <w:color w:val="000000"/>
                <w:kern w:val="0"/>
                <w:sz w:val="18"/>
                <w:szCs w:val="18"/>
                <w:lang w:eastAsia="es-CO"/>
                <w14:ligatures w14:val="none"/>
              </w:rPr>
            </w:pPr>
            <w:r w:rsidRPr="00951AB1">
              <w:rPr>
                <w:rFonts w:eastAsia="Times New Roman" w:cs="Times New Roman"/>
                <w:b/>
                <w:bCs/>
                <w:color w:val="000000"/>
                <w:kern w:val="0"/>
                <w:sz w:val="18"/>
                <w:szCs w:val="18"/>
                <w:lang w:eastAsia="es-CO"/>
                <w14:ligatures w14:val="none"/>
              </w:rPr>
              <w:t>CONCESION LA PINTADA S.A.S.</w:t>
            </w:r>
          </w:p>
        </w:tc>
        <w:tc>
          <w:tcPr>
            <w:tcW w:w="1683" w:type="dxa"/>
            <w:noWrap/>
            <w:vAlign w:val="center"/>
            <w:hideMark/>
          </w:tcPr>
          <w:p w14:paraId="1D871712" w14:textId="011DB24A" w:rsidR="000D66C1" w:rsidRPr="00951AB1" w:rsidRDefault="000D66C1" w:rsidP="000A5389">
            <w:pPr>
              <w:spacing w:line="240" w:lineRule="auto"/>
              <w:jc w:val="right"/>
              <w:rPr>
                <w:rFonts w:eastAsia="Times New Roman" w:cs="Times New Roman"/>
                <w:b/>
                <w:bCs/>
                <w:color w:val="000000"/>
                <w:kern w:val="0"/>
                <w:sz w:val="18"/>
                <w:szCs w:val="18"/>
                <w:lang w:eastAsia="es-CO"/>
                <w14:ligatures w14:val="none"/>
              </w:rPr>
            </w:pPr>
            <w:r w:rsidRPr="00951AB1">
              <w:rPr>
                <w:rFonts w:eastAsia="Times New Roman" w:cs="Times New Roman"/>
                <w:b/>
                <w:bCs/>
                <w:color w:val="000000"/>
                <w:kern w:val="0"/>
                <w:sz w:val="18"/>
                <w:szCs w:val="18"/>
                <w:lang w:eastAsia="es-CO"/>
                <w14:ligatures w14:val="none"/>
              </w:rPr>
              <w:t>1.602.623.007.623</w:t>
            </w:r>
          </w:p>
        </w:tc>
        <w:tc>
          <w:tcPr>
            <w:tcW w:w="1687" w:type="dxa"/>
            <w:noWrap/>
            <w:vAlign w:val="center"/>
            <w:hideMark/>
          </w:tcPr>
          <w:p w14:paraId="628CDAF0" w14:textId="4C1CCE1B" w:rsidR="000D66C1" w:rsidRPr="00951AB1" w:rsidRDefault="000D66C1" w:rsidP="000A5389">
            <w:pPr>
              <w:spacing w:line="240" w:lineRule="auto"/>
              <w:jc w:val="right"/>
              <w:rPr>
                <w:rFonts w:eastAsia="Times New Roman" w:cs="Times New Roman"/>
                <w:b/>
                <w:bCs/>
                <w:color w:val="000000"/>
                <w:kern w:val="0"/>
                <w:sz w:val="18"/>
                <w:szCs w:val="18"/>
                <w:lang w:eastAsia="es-CO"/>
                <w14:ligatures w14:val="none"/>
              </w:rPr>
            </w:pPr>
            <w:r w:rsidRPr="00951AB1">
              <w:rPr>
                <w:rFonts w:eastAsia="Times New Roman" w:cs="Times New Roman"/>
                <w:b/>
                <w:bCs/>
                <w:color w:val="000000"/>
                <w:kern w:val="0"/>
                <w:sz w:val="18"/>
                <w:szCs w:val="18"/>
                <w:lang w:eastAsia="es-CO"/>
                <w14:ligatures w14:val="none"/>
              </w:rPr>
              <w:t>1.718.396.978.370</w:t>
            </w:r>
          </w:p>
        </w:tc>
        <w:tc>
          <w:tcPr>
            <w:tcW w:w="1494" w:type="dxa"/>
            <w:noWrap/>
            <w:vAlign w:val="center"/>
            <w:hideMark/>
          </w:tcPr>
          <w:p w14:paraId="50B81B61" w14:textId="19A7F88F" w:rsidR="000D66C1" w:rsidRPr="00951AB1" w:rsidRDefault="000D66C1" w:rsidP="000A5389">
            <w:pPr>
              <w:spacing w:line="240" w:lineRule="auto"/>
              <w:jc w:val="right"/>
              <w:rPr>
                <w:rFonts w:eastAsia="Times New Roman" w:cs="Times New Roman"/>
                <w:b/>
                <w:bCs/>
                <w:color w:val="000000"/>
                <w:kern w:val="0"/>
                <w:sz w:val="18"/>
                <w:szCs w:val="18"/>
                <w:lang w:eastAsia="es-CO"/>
                <w14:ligatures w14:val="none"/>
              </w:rPr>
            </w:pPr>
            <w:r w:rsidRPr="00951AB1">
              <w:rPr>
                <w:rFonts w:eastAsia="Times New Roman" w:cs="Times New Roman"/>
                <w:b/>
                <w:bCs/>
                <w:color w:val="000000"/>
                <w:kern w:val="0"/>
                <w:sz w:val="18"/>
                <w:szCs w:val="18"/>
                <w:lang w:eastAsia="es-CO"/>
                <w14:ligatures w14:val="none"/>
              </w:rPr>
              <w:t>-115.773.970.747</w:t>
            </w:r>
          </w:p>
        </w:tc>
      </w:tr>
      <w:tr w:rsidR="00C70C31" w:rsidRPr="00951AB1" w14:paraId="66826004" w14:textId="77777777" w:rsidTr="000D66C1">
        <w:trPr>
          <w:trHeight w:val="285"/>
        </w:trPr>
        <w:tc>
          <w:tcPr>
            <w:tcW w:w="3964" w:type="dxa"/>
            <w:vAlign w:val="center"/>
            <w:hideMark/>
          </w:tcPr>
          <w:p w14:paraId="752886D5" w14:textId="77777777" w:rsidR="000D66C1" w:rsidRPr="00951AB1" w:rsidRDefault="000D66C1" w:rsidP="000A5389">
            <w:pPr>
              <w:spacing w:line="240" w:lineRule="auto"/>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lastRenderedPageBreak/>
              <w:t>Propiedades, Plan y Equipo</w:t>
            </w:r>
          </w:p>
        </w:tc>
        <w:tc>
          <w:tcPr>
            <w:tcW w:w="1683" w:type="dxa"/>
            <w:noWrap/>
            <w:vAlign w:val="center"/>
            <w:hideMark/>
          </w:tcPr>
          <w:p w14:paraId="2EC994A3" w14:textId="2D237823" w:rsidR="000D66C1" w:rsidRPr="00951AB1" w:rsidRDefault="000D66C1"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5.693.541.613</w:t>
            </w:r>
          </w:p>
        </w:tc>
        <w:tc>
          <w:tcPr>
            <w:tcW w:w="1687" w:type="dxa"/>
            <w:noWrap/>
            <w:vAlign w:val="center"/>
            <w:hideMark/>
          </w:tcPr>
          <w:p w14:paraId="0658036A" w14:textId="0AD1E9CA" w:rsidR="000D66C1" w:rsidRPr="00951AB1" w:rsidRDefault="000D66C1"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5.131.069.264</w:t>
            </w:r>
          </w:p>
        </w:tc>
        <w:tc>
          <w:tcPr>
            <w:tcW w:w="1494" w:type="dxa"/>
            <w:noWrap/>
            <w:vAlign w:val="center"/>
            <w:hideMark/>
          </w:tcPr>
          <w:p w14:paraId="7987B6F2" w14:textId="32866061" w:rsidR="000D66C1" w:rsidRPr="00951AB1" w:rsidRDefault="000D66C1"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562.472.349</w:t>
            </w:r>
          </w:p>
        </w:tc>
      </w:tr>
      <w:tr w:rsidR="00C70C31" w:rsidRPr="00951AB1" w14:paraId="6DF458C4" w14:textId="77777777" w:rsidTr="000D66C1">
        <w:trPr>
          <w:trHeight w:val="285"/>
        </w:trPr>
        <w:tc>
          <w:tcPr>
            <w:tcW w:w="3964" w:type="dxa"/>
            <w:vAlign w:val="center"/>
            <w:hideMark/>
          </w:tcPr>
          <w:p w14:paraId="32AA6E44" w14:textId="77777777" w:rsidR="000D66C1" w:rsidRPr="00951AB1" w:rsidRDefault="000D66C1" w:rsidP="000A5389">
            <w:pPr>
              <w:spacing w:line="240" w:lineRule="auto"/>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Red carretera</w:t>
            </w:r>
          </w:p>
        </w:tc>
        <w:tc>
          <w:tcPr>
            <w:tcW w:w="1683" w:type="dxa"/>
            <w:noWrap/>
            <w:vAlign w:val="center"/>
            <w:hideMark/>
          </w:tcPr>
          <w:p w14:paraId="4F55075C" w14:textId="0953B402" w:rsidR="000D66C1" w:rsidRPr="00951AB1" w:rsidRDefault="000D66C1"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1.531.295.830.379</w:t>
            </w:r>
          </w:p>
        </w:tc>
        <w:tc>
          <w:tcPr>
            <w:tcW w:w="1687" w:type="dxa"/>
            <w:noWrap/>
            <w:vAlign w:val="center"/>
            <w:hideMark/>
          </w:tcPr>
          <w:p w14:paraId="0C083A67" w14:textId="77FD7AE8" w:rsidR="000D66C1" w:rsidRPr="00951AB1" w:rsidRDefault="000D66C1"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1.529.693.479.816</w:t>
            </w:r>
          </w:p>
        </w:tc>
        <w:tc>
          <w:tcPr>
            <w:tcW w:w="1494" w:type="dxa"/>
            <w:noWrap/>
            <w:vAlign w:val="center"/>
            <w:hideMark/>
          </w:tcPr>
          <w:p w14:paraId="32B53D10" w14:textId="5872DD7A" w:rsidR="000D66C1" w:rsidRPr="00951AB1" w:rsidRDefault="000D66C1"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1.602.350.563</w:t>
            </w:r>
          </w:p>
        </w:tc>
      </w:tr>
      <w:tr w:rsidR="00C70C31" w:rsidRPr="00951AB1" w14:paraId="3FE6B3DA" w14:textId="77777777" w:rsidTr="000D66C1">
        <w:trPr>
          <w:trHeight w:val="285"/>
        </w:trPr>
        <w:tc>
          <w:tcPr>
            <w:tcW w:w="3964" w:type="dxa"/>
            <w:vAlign w:val="center"/>
            <w:hideMark/>
          </w:tcPr>
          <w:p w14:paraId="51FE3BC2" w14:textId="77777777" w:rsidR="000D66C1" w:rsidRPr="00951AB1" w:rsidRDefault="000D66C1" w:rsidP="000A5389">
            <w:pPr>
              <w:spacing w:line="240" w:lineRule="auto"/>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Terrenos</w:t>
            </w:r>
          </w:p>
        </w:tc>
        <w:tc>
          <w:tcPr>
            <w:tcW w:w="1683" w:type="dxa"/>
            <w:noWrap/>
            <w:vAlign w:val="center"/>
            <w:hideMark/>
          </w:tcPr>
          <w:p w14:paraId="21475254" w14:textId="6943D159" w:rsidR="000D66C1" w:rsidRPr="00951AB1" w:rsidRDefault="000D66C1"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55.449.298.598</w:t>
            </w:r>
          </w:p>
        </w:tc>
        <w:tc>
          <w:tcPr>
            <w:tcW w:w="1687" w:type="dxa"/>
            <w:noWrap/>
            <w:vAlign w:val="center"/>
            <w:hideMark/>
          </w:tcPr>
          <w:p w14:paraId="482E139E" w14:textId="49A3AEA3" w:rsidR="000D66C1" w:rsidRPr="00951AB1" w:rsidRDefault="000D66C1"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55.449.298.598</w:t>
            </w:r>
          </w:p>
        </w:tc>
        <w:tc>
          <w:tcPr>
            <w:tcW w:w="1494" w:type="dxa"/>
            <w:noWrap/>
            <w:vAlign w:val="center"/>
            <w:hideMark/>
          </w:tcPr>
          <w:p w14:paraId="2AB36998" w14:textId="6E35FE72" w:rsidR="000D66C1" w:rsidRPr="00951AB1" w:rsidRDefault="000D66C1"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w:t>
            </w:r>
          </w:p>
        </w:tc>
      </w:tr>
      <w:tr w:rsidR="00C70C31" w:rsidRPr="00951AB1" w14:paraId="3394D2A1" w14:textId="77777777" w:rsidTr="000D66C1">
        <w:trPr>
          <w:trHeight w:val="570"/>
        </w:trPr>
        <w:tc>
          <w:tcPr>
            <w:tcW w:w="3964" w:type="dxa"/>
            <w:vAlign w:val="center"/>
            <w:hideMark/>
          </w:tcPr>
          <w:p w14:paraId="108E7E8D" w14:textId="77777777" w:rsidR="000D66C1" w:rsidRPr="00951AB1" w:rsidRDefault="000D66C1" w:rsidP="000A5389">
            <w:pPr>
              <w:spacing w:line="240" w:lineRule="auto"/>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Recursos de la entidad concedente en patrimonios autónomos constituidos por concesionarios privados</w:t>
            </w:r>
          </w:p>
        </w:tc>
        <w:tc>
          <w:tcPr>
            <w:tcW w:w="1683" w:type="dxa"/>
            <w:noWrap/>
            <w:vAlign w:val="center"/>
            <w:hideMark/>
          </w:tcPr>
          <w:p w14:paraId="45999E38" w14:textId="706F021C" w:rsidR="000D66C1" w:rsidRPr="00951AB1" w:rsidRDefault="000D66C1"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10.184.337.033</w:t>
            </w:r>
          </w:p>
        </w:tc>
        <w:tc>
          <w:tcPr>
            <w:tcW w:w="1687" w:type="dxa"/>
            <w:noWrap/>
            <w:vAlign w:val="center"/>
            <w:hideMark/>
          </w:tcPr>
          <w:p w14:paraId="3157B09F" w14:textId="4DA6E041" w:rsidR="000D66C1" w:rsidRPr="00951AB1" w:rsidRDefault="000D66C1"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128.123.130.692</w:t>
            </w:r>
          </w:p>
        </w:tc>
        <w:tc>
          <w:tcPr>
            <w:tcW w:w="1494" w:type="dxa"/>
            <w:noWrap/>
            <w:vAlign w:val="center"/>
            <w:hideMark/>
          </w:tcPr>
          <w:p w14:paraId="0C1F9B48" w14:textId="7CF9B5C6" w:rsidR="000D66C1" w:rsidRPr="00951AB1" w:rsidRDefault="000D66C1"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-117.938.793.659</w:t>
            </w:r>
          </w:p>
        </w:tc>
      </w:tr>
      <w:tr w:rsidR="00C70C31" w:rsidRPr="00951AB1" w14:paraId="2ABE9142" w14:textId="77777777" w:rsidTr="000D66C1">
        <w:trPr>
          <w:trHeight w:val="285"/>
        </w:trPr>
        <w:tc>
          <w:tcPr>
            <w:tcW w:w="3964" w:type="dxa"/>
            <w:vAlign w:val="center"/>
            <w:hideMark/>
          </w:tcPr>
          <w:p w14:paraId="6F612A2D" w14:textId="77777777" w:rsidR="000D66C1" w:rsidRPr="00951AB1" w:rsidRDefault="000D66C1" w:rsidP="000A5389">
            <w:pPr>
              <w:spacing w:line="240" w:lineRule="auto"/>
              <w:rPr>
                <w:rFonts w:eastAsia="Times New Roman" w:cs="Times New Roman"/>
                <w:b/>
                <w:bCs/>
                <w:color w:val="000000"/>
                <w:kern w:val="0"/>
                <w:sz w:val="18"/>
                <w:szCs w:val="18"/>
                <w:lang w:eastAsia="es-CO"/>
                <w14:ligatures w14:val="none"/>
              </w:rPr>
            </w:pPr>
            <w:r w:rsidRPr="00951AB1">
              <w:rPr>
                <w:rFonts w:eastAsia="Times New Roman" w:cs="Times New Roman"/>
                <w:b/>
                <w:bCs/>
                <w:color w:val="000000"/>
                <w:kern w:val="0"/>
                <w:sz w:val="18"/>
                <w:szCs w:val="18"/>
                <w:lang w:eastAsia="es-CO"/>
                <w14:ligatures w14:val="none"/>
              </w:rPr>
              <w:t>CONCESIONARIA VIAL DEL PACIFICO S A S</w:t>
            </w:r>
          </w:p>
        </w:tc>
        <w:tc>
          <w:tcPr>
            <w:tcW w:w="1683" w:type="dxa"/>
            <w:noWrap/>
            <w:vAlign w:val="center"/>
            <w:hideMark/>
          </w:tcPr>
          <w:p w14:paraId="7D9BE952" w14:textId="5649ED63" w:rsidR="000D66C1" w:rsidRPr="00951AB1" w:rsidRDefault="000D66C1" w:rsidP="000A5389">
            <w:pPr>
              <w:spacing w:line="240" w:lineRule="auto"/>
              <w:jc w:val="right"/>
              <w:rPr>
                <w:rFonts w:eastAsia="Times New Roman" w:cs="Times New Roman"/>
                <w:b/>
                <w:bCs/>
                <w:color w:val="000000"/>
                <w:kern w:val="0"/>
                <w:sz w:val="18"/>
                <w:szCs w:val="18"/>
                <w:lang w:eastAsia="es-CO"/>
                <w14:ligatures w14:val="none"/>
              </w:rPr>
            </w:pPr>
            <w:r w:rsidRPr="00951AB1">
              <w:rPr>
                <w:rFonts w:eastAsia="Times New Roman" w:cs="Times New Roman"/>
                <w:b/>
                <w:bCs/>
                <w:color w:val="000000"/>
                <w:kern w:val="0"/>
                <w:sz w:val="18"/>
                <w:szCs w:val="18"/>
                <w:lang w:eastAsia="es-CO"/>
                <w14:ligatures w14:val="none"/>
              </w:rPr>
              <w:t>2.776.532.621.180</w:t>
            </w:r>
          </w:p>
        </w:tc>
        <w:tc>
          <w:tcPr>
            <w:tcW w:w="1687" w:type="dxa"/>
            <w:noWrap/>
            <w:vAlign w:val="center"/>
            <w:hideMark/>
          </w:tcPr>
          <w:p w14:paraId="6152DB0F" w14:textId="07F949E0" w:rsidR="000D66C1" w:rsidRPr="00951AB1" w:rsidRDefault="000D66C1" w:rsidP="000A5389">
            <w:pPr>
              <w:spacing w:line="240" w:lineRule="auto"/>
              <w:jc w:val="right"/>
              <w:rPr>
                <w:rFonts w:eastAsia="Times New Roman" w:cs="Times New Roman"/>
                <w:b/>
                <w:bCs/>
                <w:color w:val="000000"/>
                <w:kern w:val="0"/>
                <w:sz w:val="18"/>
                <w:szCs w:val="18"/>
                <w:lang w:eastAsia="es-CO"/>
                <w14:ligatures w14:val="none"/>
              </w:rPr>
            </w:pPr>
            <w:r w:rsidRPr="00951AB1">
              <w:rPr>
                <w:rFonts w:eastAsia="Times New Roman" w:cs="Times New Roman"/>
                <w:b/>
                <w:bCs/>
                <w:color w:val="000000"/>
                <w:kern w:val="0"/>
                <w:sz w:val="18"/>
                <w:szCs w:val="18"/>
                <w:lang w:eastAsia="es-CO"/>
                <w14:ligatures w14:val="none"/>
              </w:rPr>
              <w:t>3.442.829.247.295</w:t>
            </w:r>
          </w:p>
        </w:tc>
        <w:tc>
          <w:tcPr>
            <w:tcW w:w="1494" w:type="dxa"/>
            <w:noWrap/>
            <w:vAlign w:val="center"/>
            <w:hideMark/>
          </w:tcPr>
          <w:p w14:paraId="42AABA6C" w14:textId="26AE7CBF" w:rsidR="000D66C1" w:rsidRPr="00951AB1" w:rsidRDefault="000D66C1" w:rsidP="000A5389">
            <w:pPr>
              <w:spacing w:line="240" w:lineRule="auto"/>
              <w:jc w:val="right"/>
              <w:rPr>
                <w:rFonts w:eastAsia="Times New Roman" w:cs="Times New Roman"/>
                <w:b/>
                <w:bCs/>
                <w:color w:val="000000"/>
                <w:kern w:val="0"/>
                <w:sz w:val="18"/>
                <w:szCs w:val="18"/>
                <w:lang w:eastAsia="es-CO"/>
                <w14:ligatures w14:val="none"/>
              </w:rPr>
            </w:pPr>
            <w:r w:rsidRPr="00951AB1">
              <w:rPr>
                <w:rFonts w:eastAsia="Times New Roman" w:cs="Times New Roman"/>
                <w:b/>
                <w:bCs/>
                <w:color w:val="000000"/>
                <w:kern w:val="0"/>
                <w:sz w:val="18"/>
                <w:szCs w:val="18"/>
                <w:lang w:eastAsia="es-CO"/>
                <w14:ligatures w14:val="none"/>
              </w:rPr>
              <w:t>-666.296.626.115</w:t>
            </w:r>
          </w:p>
        </w:tc>
      </w:tr>
      <w:tr w:rsidR="00C70C31" w:rsidRPr="00951AB1" w14:paraId="73D610A1" w14:textId="77777777" w:rsidTr="000D66C1">
        <w:trPr>
          <w:trHeight w:val="285"/>
        </w:trPr>
        <w:tc>
          <w:tcPr>
            <w:tcW w:w="3964" w:type="dxa"/>
            <w:vAlign w:val="center"/>
            <w:hideMark/>
          </w:tcPr>
          <w:p w14:paraId="6BD76A83" w14:textId="77777777" w:rsidR="000D66C1" w:rsidRPr="00951AB1" w:rsidRDefault="000D66C1" w:rsidP="000A5389">
            <w:pPr>
              <w:spacing w:line="240" w:lineRule="auto"/>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Propiedades, Plan y Equipo</w:t>
            </w:r>
          </w:p>
        </w:tc>
        <w:tc>
          <w:tcPr>
            <w:tcW w:w="1683" w:type="dxa"/>
            <w:noWrap/>
            <w:vAlign w:val="center"/>
            <w:hideMark/>
          </w:tcPr>
          <w:p w14:paraId="421E261D" w14:textId="545E9588" w:rsidR="000D66C1" w:rsidRPr="00951AB1" w:rsidRDefault="000D66C1"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3.063.423.754</w:t>
            </w:r>
          </w:p>
        </w:tc>
        <w:tc>
          <w:tcPr>
            <w:tcW w:w="1687" w:type="dxa"/>
            <w:noWrap/>
            <w:vAlign w:val="center"/>
            <w:hideMark/>
          </w:tcPr>
          <w:p w14:paraId="19A91090" w14:textId="4EFC2AA5" w:rsidR="000D66C1" w:rsidRPr="00951AB1" w:rsidRDefault="000D66C1"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2.529.931.627</w:t>
            </w:r>
          </w:p>
        </w:tc>
        <w:tc>
          <w:tcPr>
            <w:tcW w:w="1494" w:type="dxa"/>
            <w:noWrap/>
            <w:vAlign w:val="center"/>
            <w:hideMark/>
          </w:tcPr>
          <w:p w14:paraId="05ED189E" w14:textId="0767DC45" w:rsidR="000D66C1" w:rsidRPr="00951AB1" w:rsidRDefault="000D66C1"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533.492.127</w:t>
            </w:r>
          </w:p>
        </w:tc>
      </w:tr>
      <w:tr w:rsidR="00C70C31" w:rsidRPr="00951AB1" w14:paraId="6F6B26B6" w14:textId="77777777" w:rsidTr="000D66C1">
        <w:trPr>
          <w:trHeight w:val="285"/>
        </w:trPr>
        <w:tc>
          <w:tcPr>
            <w:tcW w:w="3964" w:type="dxa"/>
            <w:vAlign w:val="center"/>
            <w:hideMark/>
          </w:tcPr>
          <w:p w14:paraId="7648E945" w14:textId="77777777" w:rsidR="000D66C1" w:rsidRPr="00951AB1" w:rsidRDefault="000D66C1" w:rsidP="000A5389">
            <w:pPr>
              <w:spacing w:line="240" w:lineRule="auto"/>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Red carretera</w:t>
            </w:r>
          </w:p>
        </w:tc>
        <w:tc>
          <w:tcPr>
            <w:tcW w:w="1683" w:type="dxa"/>
            <w:noWrap/>
            <w:vAlign w:val="center"/>
            <w:hideMark/>
          </w:tcPr>
          <w:p w14:paraId="6629F4C6" w14:textId="7BDD82DA" w:rsidR="000D66C1" w:rsidRPr="00951AB1" w:rsidRDefault="000D66C1"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2.448.058.274.039</w:t>
            </w:r>
          </w:p>
        </w:tc>
        <w:tc>
          <w:tcPr>
            <w:tcW w:w="1687" w:type="dxa"/>
            <w:noWrap/>
            <w:vAlign w:val="center"/>
            <w:hideMark/>
          </w:tcPr>
          <w:p w14:paraId="72A041BE" w14:textId="62FCDE05" w:rsidR="000D66C1" w:rsidRPr="00951AB1" w:rsidRDefault="000D66C1"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2.427.110.691.015</w:t>
            </w:r>
          </w:p>
        </w:tc>
        <w:tc>
          <w:tcPr>
            <w:tcW w:w="1494" w:type="dxa"/>
            <w:noWrap/>
            <w:vAlign w:val="center"/>
            <w:hideMark/>
          </w:tcPr>
          <w:p w14:paraId="090712DC" w14:textId="38E984B3" w:rsidR="000D66C1" w:rsidRPr="00951AB1" w:rsidRDefault="000D66C1"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20.947.583.024</w:t>
            </w:r>
          </w:p>
        </w:tc>
      </w:tr>
      <w:tr w:rsidR="00C70C31" w:rsidRPr="00951AB1" w14:paraId="76BB1D11" w14:textId="77777777" w:rsidTr="000D66C1">
        <w:trPr>
          <w:trHeight w:val="285"/>
        </w:trPr>
        <w:tc>
          <w:tcPr>
            <w:tcW w:w="3964" w:type="dxa"/>
            <w:vAlign w:val="center"/>
            <w:hideMark/>
          </w:tcPr>
          <w:p w14:paraId="7CB8F512" w14:textId="77777777" w:rsidR="000D66C1" w:rsidRPr="00951AB1" w:rsidRDefault="000D66C1" w:rsidP="000A5389">
            <w:pPr>
              <w:spacing w:line="240" w:lineRule="auto"/>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Terrenos</w:t>
            </w:r>
          </w:p>
        </w:tc>
        <w:tc>
          <w:tcPr>
            <w:tcW w:w="1683" w:type="dxa"/>
            <w:noWrap/>
            <w:vAlign w:val="center"/>
            <w:hideMark/>
          </w:tcPr>
          <w:p w14:paraId="5E9EB58A" w14:textId="2AD8DC53" w:rsidR="000D66C1" w:rsidRPr="00951AB1" w:rsidRDefault="000D66C1"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75.919.536.217</w:t>
            </w:r>
          </w:p>
        </w:tc>
        <w:tc>
          <w:tcPr>
            <w:tcW w:w="1687" w:type="dxa"/>
            <w:noWrap/>
            <w:vAlign w:val="center"/>
            <w:hideMark/>
          </w:tcPr>
          <w:p w14:paraId="09A74EAC" w14:textId="66FCA2CF" w:rsidR="000D66C1" w:rsidRPr="00951AB1" w:rsidRDefault="000D66C1"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75.919.536.217</w:t>
            </w:r>
          </w:p>
        </w:tc>
        <w:tc>
          <w:tcPr>
            <w:tcW w:w="1494" w:type="dxa"/>
            <w:noWrap/>
            <w:vAlign w:val="center"/>
            <w:hideMark/>
          </w:tcPr>
          <w:p w14:paraId="7281C04C" w14:textId="2FA87AC7" w:rsidR="000D66C1" w:rsidRPr="00951AB1" w:rsidRDefault="000D66C1"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w:t>
            </w:r>
          </w:p>
        </w:tc>
      </w:tr>
      <w:tr w:rsidR="00C70C31" w:rsidRPr="00951AB1" w14:paraId="74427E8E" w14:textId="77777777" w:rsidTr="000D66C1">
        <w:trPr>
          <w:trHeight w:val="570"/>
        </w:trPr>
        <w:tc>
          <w:tcPr>
            <w:tcW w:w="3964" w:type="dxa"/>
            <w:vAlign w:val="center"/>
            <w:hideMark/>
          </w:tcPr>
          <w:p w14:paraId="0356FFF4" w14:textId="77777777" w:rsidR="000D66C1" w:rsidRPr="00951AB1" w:rsidRDefault="000D66C1" w:rsidP="000A5389">
            <w:pPr>
              <w:spacing w:line="240" w:lineRule="auto"/>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Recursos de la entidad concedente en patrimonios autónomos constituidos por concesionarios privados</w:t>
            </w:r>
          </w:p>
        </w:tc>
        <w:tc>
          <w:tcPr>
            <w:tcW w:w="1683" w:type="dxa"/>
            <w:noWrap/>
            <w:vAlign w:val="center"/>
            <w:hideMark/>
          </w:tcPr>
          <w:p w14:paraId="3BA5E0F9" w14:textId="675EBCAE" w:rsidR="000D66C1" w:rsidRPr="00951AB1" w:rsidRDefault="000D66C1"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249.491.387.170</w:t>
            </w:r>
          </w:p>
        </w:tc>
        <w:tc>
          <w:tcPr>
            <w:tcW w:w="1687" w:type="dxa"/>
            <w:noWrap/>
            <w:vAlign w:val="center"/>
            <w:hideMark/>
          </w:tcPr>
          <w:p w14:paraId="65B4862C" w14:textId="3ADE58C6" w:rsidR="000D66C1" w:rsidRPr="00951AB1" w:rsidRDefault="000D66C1"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937.269.088.436</w:t>
            </w:r>
          </w:p>
        </w:tc>
        <w:tc>
          <w:tcPr>
            <w:tcW w:w="1494" w:type="dxa"/>
            <w:noWrap/>
            <w:vAlign w:val="center"/>
            <w:hideMark/>
          </w:tcPr>
          <w:p w14:paraId="598C3E65" w14:textId="46A46B67" w:rsidR="000D66C1" w:rsidRPr="00951AB1" w:rsidRDefault="000D66C1"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-687.777.701.266</w:t>
            </w:r>
          </w:p>
        </w:tc>
      </w:tr>
      <w:tr w:rsidR="00C70C31" w:rsidRPr="00951AB1" w14:paraId="1D5B2313" w14:textId="77777777" w:rsidTr="000D66C1">
        <w:trPr>
          <w:trHeight w:val="285"/>
        </w:trPr>
        <w:tc>
          <w:tcPr>
            <w:tcW w:w="3964" w:type="dxa"/>
            <w:vAlign w:val="center"/>
            <w:hideMark/>
          </w:tcPr>
          <w:p w14:paraId="35FE13EF" w14:textId="77777777" w:rsidR="000D66C1" w:rsidRPr="00951AB1" w:rsidRDefault="000D66C1" w:rsidP="000A5389">
            <w:pPr>
              <w:spacing w:line="240" w:lineRule="auto"/>
              <w:rPr>
                <w:rFonts w:eastAsia="Times New Roman" w:cs="Times New Roman"/>
                <w:b/>
                <w:bCs/>
                <w:color w:val="000000"/>
                <w:kern w:val="0"/>
                <w:sz w:val="18"/>
                <w:szCs w:val="18"/>
                <w:lang w:eastAsia="es-CO"/>
                <w14:ligatures w14:val="none"/>
              </w:rPr>
            </w:pPr>
            <w:r w:rsidRPr="00951AB1">
              <w:rPr>
                <w:rFonts w:eastAsia="Times New Roman" w:cs="Times New Roman"/>
                <w:b/>
                <w:bCs/>
                <w:color w:val="000000"/>
                <w:kern w:val="0"/>
                <w:sz w:val="18"/>
                <w:szCs w:val="18"/>
                <w:lang w:eastAsia="es-CO"/>
                <w14:ligatures w14:val="none"/>
              </w:rPr>
              <w:t>CONCESION ALTO MAGDALENA S A S</w:t>
            </w:r>
          </w:p>
        </w:tc>
        <w:tc>
          <w:tcPr>
            <w:tcW w:w="1683" w:type="dxa"/>
            <w:noWrap/>
            <w:vAlign w:val="center"/>
            <w:hideMark/>
          </w:tcPr>
          <w:p w14:paraId="6F4F8586" w14:textId="34A8C6B0" w:rsidR="000D66C1" w:rsidRPr="00951AB1" w:rsidRDefault="000D66C1" w:rsidP="000A5389">
            <w:pPr>
              <w:spacing w:line="240" w:lineRule="auto"/>
              <w:jc w:val="right"/>
              <w:rPr>
                <w:rFonts w:eastAsia="Times New Roman" w:cs="Times New Roman"/>
                <w:b/>
                <w:bCs/>
                <w:color w:val="000000"/>
                <w:kern w:val="0"/>
                <w:sz w:val="18"/>
                <w:szCs w:val="18"/>
                <w:lang w:eastAsia="es-CO"/>
                <w14:ligatures w14:val="none"/>
              </w:rPr>
            </w:pPr>
            <w:r w:rsidRPr="00951AB1">
              <w:rPr>
                <w:rFonts w:eastAsia="Times New Roman" w:cs="Times New Roman"/>
                <w:b/>
                <w:bCs/>
                <w:color w:val="000000"/>
                <w:kern w:val="0"/>
                <w:sz w:val="18"/>
                <w:szCs w:val="18"/>
                <w:lang w:eastAsia="es-CO"/>
                <w14:ligatures w14:val="none"/>
              </w:rPr>
              <w:t>952.147.001.387</w:t>
            </w:r>
          </w:p>
        </w:tc>
        <w:tc>
          <w:tcPr>
            <w:tcW w:w="1687" w:type="dxa"/>
            <w:noWrap/>
            <w:vAlign w:val="center"/>
            <w:hideMark/>
          </w:tcPr>
          <w:p w14:paraId="58C24D61" w14:textId="411F6663" w:rsidR="000D66C1" w:rsidRPr="00951AB1" w:rsidRDefault="000D66C1" w:rsidP="000A5389">
            <w:pPr>
              <w:spacing w:line="240" w:lineRule="auto"/>
              <w:jc w:val="right"/>
              <w:rPr>
                <w:rFonts w:eastAsia="Times New Roman" w:cs="Times New Roman"/>
                <w:b/>
                <w:bCs/>
                <w:color w:val="000000"/>
                <w:kern w:val="0"/>
                <w:sz w:val="18"/>
                <w:szCs w:val="18"/>
                <w:lang w:eastAsia="es-CO"/>
                <w14:ligatures w14:val="none"/>
              </w:rPr>
            </w:pPr>
            <w:r w:rsidRPr="00951AB1">
              <w:rPr>
                <w:rFonts w:eastAsia="Times New Roman" w:cs="Times New Roman"/>
                <w:b/>
                <w:bCs/>
                <w:color w:val="000000"/>
                <w:kern w:val="0"/>
                <w:sz w:val="18"/>
                <w:szCs w:val="18"/>
                <w:lang w:eastAsia="es-CO"/>
                <w14:ligatures w14:val="none"/>
              </w:rPr>
              <w:t>1.053.928.815.279</w:t>
            </w:r>
          </w:p>
        </w:tc>
        <w:tc>
          <w:tcPr>
            <w:tcW w:w="1494" w:type="dxa"/>
            <w:noWrap/>
            <w:vAlign w:val="center"/>
            <w:hideMark/>
          </w:tcPr>
          <w:p w14:paraId="311F6B10" w14:textId="148ED648" w:rsidR="000D66C1" w:rsidRPr="00951AB1" w:rsidRDefault="000D66C1" w:rsidP="000A5389">
            <w:pPr>
              <w:spacing w:line="240" w:lineRule="auto"/>
              <w:jc w:val="right"/>
              <w:rPr>
                <w:rFonts w:eastAsia="Times New Roman" w:cs="Times New Roman"/>
                <w:b/>
                <w:bCs/>
                <w:color w:val="000000"/>
                <w:kern w:val="0"/>
                <w:sz w:val="18"/>
                <w:szCs w:val="18"/>
                <w:lang w:eastAsia="es-CO"/>
                <w14:ligatures w14:val="none"/>
              </w:rPr>
            </w:pPr>
            <w:r w:rsidRPr="00951AB1">
              <w:rPr>
                <w:rFonts w:eastAsia="Times New Roman" w:cs="Times New Roman"/>
                <w:b/>
                <w:bCs/>
                <w:color w:val="000000"/>
                <w:kern w:val="0"/>
                <w:sz w:val="18"/>
                <w:szCs w:val="18"/>
                <w:lang w:eastAsia="es-CO"/>
                <w14:ligatures w14:val="none"/>
              </w:rPr>
              <w:t>-101.781.813.893</w:t>
            </w:r>
          </w:p>
        </w:tc>
      </w:tr>
      <w:tr w:rsidR="00C70C31" w:rsidRPr="00951AB1" w14:paraId="614D653D" w14:textId="77777777" w:rsidTr="000D66C1">
        <w:trPr>
          <w:trHeight w:val="285"/>
        </w:trPr>
        <w:tc>
          <w:tcPr>
            <w:tcW w:w="3964" w:type="dxa"/>
            <w:noWrap/>
            <w:vAlign w:val="center"/>
            <w:hideMark/>
          </w:tcPr>
          <w:p w14:paraId="4C5D56B6" w14:textId="77777777" w:rsidR="000D66C1" w:rsidRPr="00951AB1" w:rsidRDefault="000D66C1" w:rsidP="000A5389">
            <w:pPr>
              <w:spacing w:line="240" w:lineRule="auto"/>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Activos intangibles en concesión</w:t>
            </w:r>
          </w:p>
        </w:tc>
        <w:tc>
          <w:tcPr>
            <w:tcW w:w="1683" w:type="dxa"/>
            <w:noWrap/>
            <w:vAlign w:val="center"/>
            <w:hideMark/>
          </w:tcPr>
          <w:p w14:paraId="33D4508C" w14:textId="77777777" w:rsidR="000D66C1" w:rsidRPr="00951AB1" w:rsidRDefault="000D66C1" w:rsidP="000A5389">
            <w:pPr>
              <w:spacing w:line="240" w:lineRule="auto"/>
              <w:jc w:val="right"/>
              <w:rPr>
                <w:rFonts w:eastAsia="Times New Roman" w:cs="Times New Roman"/>
                <w:color w:val="000000"/>
                <w:kern w:val="0"/>
                <w:sz w:val="18"/>
                <w:szCs w:val="18"/>
                <w:lang w:eastAsia="es-CO"/>
                <w14:ligatures w14:val="none"/>
              </w:rPr>
            </w:pPr>
          </w:p>
        </w:tc>
        <w:tc>
          <w:tcPr>
            <w:tcW w:w="1687" w:type="dxa"/>
            <w:noWrap/>
            <w:vAlign w:val="center"/>
            <w:hideMark/>
          </w:tcPr>
          <w:p w14:paraId="7322C8D3" w14:textId="02023983" w:rsidR="000D66C1" w:rsidRPr="00951AB1" w:rsidRDefault="000D66C1"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470.000</w:t>
            </w:r>
          </w:p>
        </w:tc>
        <w:tc>
          <w:tcPr>
            <w:tcW w:w="1494" w:type="dxa"/>
            <w:noWrap/>
            <w:vAlign w:val="center"/>
            <w:hideMark/>
          </w:tcPr>
          <w:p w14:paraId="187F28D0" w14:textId="161FE3F6" w:rsidR="000D66C1" w:rsidRPr="00951AB1" w:rsidRDefault="000D66C1"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-470.000</w:t>
            </w:r>
          </w:p>
        </w:tc>
      </w:tr>
      <w:tr w:rsidR="00C70C31" w:rsidRPr="00951AB1" w14:paraId="012BD567" w14:textId="77777777" w:rsidTr="000D66C1">
        <w:trPr>
          <w:trHeight w:val="285"/>
        </w:trPr>
        <w:tc>
          <w:tcPr>
            <w:tcW w:w="3964" w:type="dxa"/>
            <w:vAlign w:val="center"/>
            <w:hideMark/>
          </w:tcPr>
          <w:p w14:paraId="7131BF68" w14:textId="77777777" w:rsidR="000D66C1" w:rsidRPr="00951AB1" w:rsidRDefault="000D66C1" w:rsidP="000A5389">
            <w:pPr>
              <w:spacing w:line="240" w:lineRule="auto"/>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Propiedades, Plan y Equipo</w:t>
            </w:r>
          </w:p>
        </w:tc>
        <w:tc>
          <w:tcPr>
            <w:tcW w:w="1683" w:type="dxa"/>
            <w:noWrap/>
            <w:vAlign w:val="center"/>
            <w:hideMark/>
          </w:tcPr>
          <w:p w14:paraId="1C88E85A" w14:textId="539CBB32" w:rsidR="000D66C1" w:rsidRPr="00951AB1" w:rsidRDefault="000D66C1"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1.351.387.999</w:t>
            </w:r>
          </w:p>
        </w:tc>
        <w:tc>
          <w:tcPr>
            <w:tcW w:w="1687" w:type="dxa"/>
            <w:noWrap/>
            <w:vAlign w:val="center"/>
            <w:hideMark/>
          </w:tcPr>
          <w:p w14:paraId="4B468A01" w14:textId="2E7DF0BD" w:rsidR="000D66C1" w:rsidRPr="00951AB1" w:rsidRDefault="000D66C1"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18.488.411</w:t>
            </w:r>
          </w:p>
        </w:tc>
        <w:tc>
          <w:tcPr>
            <w:tcW w:w="1494" w:type="dxa"/>
            <w:noWrap/>
            <w:vAlign w:val="center"/>
            <w:hideMark/>
          </w:tcPr>
          <w:p w14:paraId="6C2922E0" w14:textId="6834C08F" w:rsidR="000D66C1" w:rsidRPr="00951AB1" w:rsidRDefault="000D66C1"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1.332.899.588</w:t>
            </w:r>
          </w:p>
        </w:tc>
      </w:tr>
      <w:tr w:rsidR="00C70C31" w:rsidRPr="00951AB1" w14:paraId="563B263C" w14:textId="77777777" w:rsidTr="000D66C1">
        <w:trPr>
          <w:trHeight w:val="285"/>
        </w:trPr>
        <w:tc>
          <w:tcPr>
            <w:tcW w:w="3964" w:type="dxa"/>
            <w:vAlign w:val="center"/>
            <w:hideMark/>
          </w:tcPr>
          <w:p w14:paraId="09A684CC" w14:textId="77777777" w:rsidR="000D66C1" w:rsidRPr="00951AB1" w:rsidRDefault="000D66C1" w:rsidP="000A5389">
            <w:pPr>
              <w:spacing w:line="240" w:lineRule="auto"/>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Red carretera</w:t>
            </w:r>
          </w:p>
        </w:tc>
        <w:tc>
          <w:tcPr>
            <w:tcW w:w="1683" w:type="dxa"/>
            <w:noWrap/>
            <w:vAlign w:val="center"/>
            <w:hideMark/>
          </w:tcPr>
          <w:p w14:paraId="54413850" w14:textId="2880EE64" w:rsidR="000D66C1" w:rsidRPr="00951AB1" w:rsidRDefault="000D66C1"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919.275.156.074</w:t>
            </w:r>
          </w:p>
        </w:tc>
        <w:tc>
          <w:tcPr>
            <w:tcW w:w="1687" w:type="dxa"/>
            <w:noWrap/>
            <w:vAlign w:val="center"/>
            <w:hideMark/>
          </w:tcPr>
          <w:p w14:paraId="651A2EDD" w14:textId="59507F69" w:rsidR="000D66C1" w:rsidRPr="00951AB1" w:rsidRDefault="000D66C1"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925.903.737.151</w:t>
            </w:r>
          </w:p>
        </w:tc>
        <w:tc>
          <w:tcPr>
            <w:tcW w:w="1494" w:type="dxa"/>
            <w:noWrap/>
            <w:vAlign w:val="center"/>
            <w:hideMark/>
          </w:tcPr>
          <w:p w14:paraId="3884B5B1" w14:textId="0F42DBFE" w:rsidR="000D66C1" w:rsidRPr="00951AB1" w:rsidRDefault="000D66C1"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-6.628.581.077</w:t>
            </w:r>
          </w:p>
        </w:tc>
      </w:tr>
      <w:tr w:rsidR="00C70C31" w:rsidRPr="00951AB1" w14:paraId="0411D8FA" w14:textId="77777777" w:rsidTr="000D66C1">
        <w:trPr>
          <w:trHeight w:val="570"/>
        </w:trPr>
        <w:tc>
          <w:tcPr>
            <w:tcW w:w="3964" w:type="dxa"/>
            <w:vAlign w:val="center"/>
            <w:hideMark/>
          </w:tcPr>
          <w:p w14:paraId="3636AAF5" w14:textId="77777777" w:rsidR="000D66C1" w:rsidRPr="00951AB1" w:rsidRDefault="000D66C1" w:rsidP="000A5389">
            <w:pPr>
              <w:spacing w:line="240" w:lineRule="auto"/>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Recursos de la entidad concedente en patrimonios autónomos constituidos por concesionarios privados</w:t>
            </w:r>
          </w:p>
        </w:tc>
        <w:tc>
          <w:tcPr>
            <w:tcW w:w="1683" w:type="dxa"/>
            <w:noWrap/>
            <w:vAlign w:val="center"/>
            <w:hideMark/>
          </w:tcPr>
          <w:p w14:paraId="6A4946B4" w14:textId="141260EA" w:rsidR="000D66C1" w:rsidRPr="00951AB1" w:rsidRDefault="000D66C1"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31.520.457.313</w:t>
            </w:r>
          </w:p>
        </w:tc>
        <w:tc>
          <w:tcPr>
            <w:tcW w:w="1687" w:type="dxa"/>
            <w:noWrap/>
            <w:vAlign w:val="center"/>
            <w:hideMark/>
          </w:tcPr>
          <w:p w14:paraId="182A4F18" w14:textId="42C4C5E4" w:rsidR="000D66C1" w:rsidRPr="00951AB1" w:rsidRDefault="000D66C1"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128.006.119.717</w:t>
            </w:r>
          </w:p>
        </w:tc>
        <w:tc>
          <w:tcPr>
            <w:tcW w:w="1494" w:type="dxa"/>
            <w:noWrap/>
            <w:vAlign w:val="center"/>
            <w:hideMark/>
          </w:tcPr>
          <w:p w14:paraId="2A290E2F" w14:textId="22DDE5A3" w:rsidR="000D66C1" w:rsidRPr="00951AB1" w:rsidRDefault="000D66C1"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-96.485.662.404</w:t>
            </w:r>
          </w:p>
        </w:tc>
      </w:tr>
      <w:tr w:rsidR="00C70C31" w:rsidRPr="00951AB1" w14:paraId="2E5F92E4" w14:textId="77777777" w:rsidTr="000D66C1">
        <w:trPr>
          <w:trHeight w:val="285"/>
        </w:trPr>
        <w:tc>
          <w:tcPr>
            <w:tcW w:w="3964" w:type="dxa"/>
            <w:vAlign w:val="center"/>
            <w:hideMark/>
          </w:tcPr>
          <w:p w14:paraId="3BBD8F44" w14:textId="77777777" w:rsidR="000D66C1" w:rsidRPr="00951AB1" w:rsidRDefault="000D66C1" w:rsidP="000A5389">
            <w:pPr>
              <w:spacing w:line="240" w:lineRule="auto"/>
              <w:rPr>
                <w:rFonts w:eastAsia="Times New Roman" w:cs="Times New Roman"/>
                <w:b/>
                <w:bCs/>
                <w:color w:val="000000"/>
                <w:kern w:val="0"/>
                <w:sz w:val="18"/>
                <w:szCs w:val="18"/>
                <w:lang w:eastAsia="es-CO"/>
                <w14:ligatures w14:val="none"/>
              </w:rPr>
            </w:pPr>
            <w:r w:rsidRPr="00951AB1">
              <w:rPr>
                <w:rFonts w:eastAsia="Times New Roman" w:cs="Times New Roman"/>
                <w:b/>
                <w:bCs/>
                <w:color w:val="000000"/>
                <w:kern w:val="0"/>
                <w:sz w:val="18"/>
                <w:szCs w:val="18"/>
                <w:lang w:eastAsia="es-CO"/>
                <w14:ligatures w14:val="none"/>
              </w:rPr>
              <w:t>CONCESIÓN ALTO MAGDALENA S A S</w:t>
            </w:r>
          </w:p>
        </w:tc>
        <w:tc>
          <w:tcPr>
            <w:tcW w:w="1683" w:type="dxa"/>
            <w:noWrap/>
            <w:vAlign w:val="center"/>
            <w:hideMark/>
          </w:tcPr>
          <w:p w14:paraId="722DF021" w14:textId="7AF3E070" w:rsidR="000D66C1" w:rsidRPr="00951AB1" w:rsidRDefault="000D66C1" w:rsidP="000A5389">
            <w:pPr>
              <w:spacing w:line="240" w:lineRule="auto"/>
              <w:jc w:val="right"/>
              <w:rPr>
                <w:rFonts w:eastAsia="Times New Roman" w:cs="Times New Roman"/>
                <w:b/>
                <w:bCs/>
                <w:color w:val="000000"/>
                <w:kern w:val="0"/>
                <w:sz w:val="18"/>
                <w:szCs w:val="18"/>
                <w:lang w:eastAsia="es-CO"/>
                <w14:ligatures w14:val="none"/>
              </w:rPr>
            </w:pPr>
            <w:r w:rsidRPr="00951AB1">
              <w:rPr>
                <w:rFonts w:eastAsia="Times New Roman" w:cs="Times New Roman"/>
                <w:b/>
                <w:bCs/>
                <w:color w:val="000000"/>
                <w:kern w:val="0"/>
                <w:sz w:val="18"/>
                <w:szCs w:val="18"/>
                <w:lang w:eastAsia="es-CO"/>
                <w14:ligatures w14:val="none"/>
              </w:rPr>
              <w:t>39.511.406.119</w:t>
            </w:r>
          </w:p>
        </w:tc>
        <w:tc>
          <w:tcPr>
            <w:tcW w:w="1687" w:type="dxa"/>
            <w:noWrap/>
            <w:vAlign w:val="center"/>
            <w:hideMark/>
          </w:tcPr>
          <w:p w14:paraId="67620651" w14:textId="18F19BC7" w:rsidR="000D66C1" w:rsidRPr="00951AB1" w:rsidRDefault="000D66C1" w:rsidP="000A5389">
            <w:pPr>
              <w:spacing w:line="240" w:lineRule="auto"/>
              <w:jc w:val="right"/>
              <w:rPr>
                <w:rFonts w:eastAsia="Times New Roman" w:cs="Times New Roman"/>
                <w:b/>
                <w:bCs/>
                <w:color w:val="000000"/>
                <w:kern w:val="0"/>
                <w:sz w:val="18"/>
                <w:szCs w:val="18"/>
                <w:lang w:eastAsia="es-CO"/>
                <w14:ligatures w14:val="none"/>
              </w:rPr>
            </w:pPr>
            <w:r w:rsidRPr="00951AB1">
              <w:rPr>
                <w:rFonts w:eastAsia="Times New Roman" w:cs="Times New Roman"/>
                <w:b/>
                <w:bCs/>
                <w:color w:val="000000"/>
                <w:kern w:val="0"/>
                <w:sz w:val="18"/>
                <w:szCs w:val="18"/>
                <w:lang w:eastAsia="es-CO"/>
                <w14:ligatures w14:val="none"/>
              </w:rPr>
              <w:t>34.215.254.631</w:t>
            </w:r>
          </w:p>
        </w:tc>
        <w:tc>
          <w:tcPr>
            <w:tcW w:w="1494" w:type="dxa"/>
            <w:noWrap/>
            <w:vAlign w:val="center"/>
            <w:hideMark/>
          </w:tcPr>
          <w:p w14:paraId="369933A8" w14:textId="2F962EDB" w:rsidR="000D66C1" w:rsidRPr="00951AB1" w:rsidRDefault="000D66C1" w:rsidP="000A5389">
            <w:pPr>
              <w:spacing w:line="240" w:lineRule="auto"/>
              <w:jc w:val="right"/>
              <w:rPr>
                <w:rFonts w:eastAsia="Times New Roman" w:cs="Times New Roman"/>
                <w:b/>
                <w:bCs/>
                <w:color w:val="000000"/>
                <w:kern w:val="0"/>
                <w:sz w:val="18"/>
                <w:szCs w:val="18"/>
                <w:lang w:eastAsia="es-CO"/>
                <w14:ligatures w14:val="none"/>
              </w:rPr>
            </w:pPr>
            <w:r w:rsidRPr="00951AB1">
              <w:rPr>
                <w:rFonts w:eastAsia="Times New Roman" w:cs="Times New Roman"/>
                <w:b/>
                <w:bCs/>
                <w:color w:val="000000"/>
                <w:kern w:val="0"/>
                <w:sz w:val="18"/>
                <w:szCs w:val="18"/>
                <w:lang w:eastAsia="es-CO"/>
                <w14:ligatures w14:val="none"/>
              </w:rPr>
              <w:t>5.296.151.489</w:t>
            </w:r>
          </w:p>
        </w:tc>
      </w:tr>
      <w:tr w:rsidR="00C70C31" w:rsidRPr="00951AB1" w14:paraId="7757932F" w14:textId="77777777" w:rsidTr="000D66C1">
        <w:trPr>
          <w:trHeight w:val="285"/>
        </w:trPr>
        <w:tc>
          <w:tcPr>
            <w:tcW w:w="3964" w:type="dxa"/>
            <w:vAlign w:val="center"/>
            <w:hideMark/>
          </w:tcPr>
          <w:p w14:paraId="23930D05" w14:textId="77777777" w:rsidR="000D66C1" w:rsidRPr="00951AB1" w:rsidRDefault="000D66C1" w:rsidP="000A5389">
            <w:pPr>
              <w:spacing w:line="240" w:lineRule="auto"/>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Activos intangibles en concesión</w:t>
            </w:r>
          </w:p>
        </w:tc>
        <w:tc>
          <w:tcPr>
            <w:tcW w:w="1683" w:type="dxa"/>
            <w:noWrap/>
            <w:vAlign w:val="center"/>
            <w:hideMark/>
          </w:tcPr>
          <w:p w14:paraId="5B674AA3" w14:textId="2C887445" w:rsidR="000D66C1" w:rsidRPr="00951AB1" w:rsidRDefault="000D66C1"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470.000</w:t>
            </w:r>
          </w:p>
        </w:tc>
        <w:tc>
          <w:tcPr>
            <w:tcW w:w="1687" w:type="dxa"/>
            <w:noWrap/>
            <w:vAlign w:val="center"/>
            <w:hideMark/>
          </w:tcPr>
          <w:p w14:paraId="24A7368B" w14:textId="77777777" w:rsidR="000D66C1" w:rsidRPr="00951AB1" w:rsidRDefault="000D66C1" w:rsidP="000A5389">
            <w:pPr>
              <w:spacing w:line="240" w:lineRule="auto"/>
              <w:jc w:val="right"/>
              <w:rPr>
                <w:rFonts w:eastAsia="Times New Roman" w:cs="Times New Roman"/>
                <w:color w:val="000000"/>
                <w:kern w:val="0"/>
                <w:sz w:val="18"/>
                <w:szCs w:val="18"/>
                <w:lang w:eastAsia="es-CO"/>
                <w14:ligatures w14:val="none"/>
              </w:rPr>
            </w:pPr>
          </w:p>
        </w:tc>
        <w:tc>
          <w:tcPr>
            <w:tcW w:w="1494" w:type="dxa"/>
            <w:noWrap/>
            <w:vAlign w:val="center"/>
            <w:hideMark/>
          </w:tcPr>
          <w:p w14:paraId="3DE4387B" w14:textId="1BD69EC1" w:rsidR="000D66C1" w:rsidRPr="00951AB1" w:rsidRDefault="000D66C1"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470.000</w:t>
            </w:r>
          </w:p>
        </w:tc>
      </w:tr>
      <w:tr w:rsidR="00C70C31" w:rsidRPr="00951AB1" w14:paraId="6BA0BD8C" w14:textId="77777777" w:rsidTr="000D66C1">
        <w:trPr>
          <w:trHeight w:val="285"/>
        </w:trPr>
        <w:tc>
          <w:tcPr>
            <w:tcW w:w="3964" w:type="dxa"/>
            <w:vAlign w:val="center"/>
            <w:hideMark/>
          </w:tcPr>
          <w:p w14:paraId="75B65D5E" w14:textId="77777777" w:rsidR="000D66C1" w:rsidRPr="00951AB1" w:rsidRDefault="000D66C1" w:rsidP="000A5389">
            <w:pPr>
              <w:spacing w:line="240" w:lineRule="auto"/>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Propiedades, Plan y Equipo</w:t>
            </w:r>
          </w:p>
        </w:tc>
        <w:tc>
          <w:tcPr>
            <w:tcW w:w="1683" w:type="dxa"/>
            <w:noWrap/>
            <w:vAlign w:val="center"/>
            <w:hideMark/>
          </w:tcPr>
          <w:p w14:paraId="7028E38B" w14:textId="68EEB50A" w:rsidR="000D66C1" w:rsidRPr="00951AB1" w:rsidRDefault="000D66C1"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11.098.638.503</w:t>
            </w:r>
          </w:p>
        </w:tc>
        <w:tc>
          <w:tcPr>
            <w:tcW w:w="1687" w:type="dxa"/>
            <w:noWrap/>
            <w:vAlign w:val="center"/>
            <w:hideMark/>
          </w:tcPr>
          <w:p w14:paraId="6BAE4A33" w14:textId="2F852C4C" w:rsidR="000D66C1" w:rsidRPr="00951AB1" w:rsidRDefault="000D66C1"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5.802.957.014</w:t>
            </w:r>
          </w:p>
        </w:tc>
        <w:tc>
          <w:tcPr>
            <w:tcW w:w="1494" w:type="dxa"/>
            <w:noWrap/>
            <w:vAlign w:val="center"/>
            <w:hideMark/>
          </w:tcPr>
          <w:p w14:paraId="1861665D" w14:textId="53F1E3BE" w:rsidR="000D66C1" w:rsidRPr="00951AB1" w:rsidRDefault="000D66C1"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5.295.681.489</w:t>
            </w:r>
          </w:p>
        </w:tc>
      </w:tr>
      <w:tr w:rsidR="00C70C31" w:rsidRPr="00951AB1" w14:paraId="69F2C117" w14:textId="77777777" w:rsidTr="000D66C1">
        <w:trPr>
          <w:trHeight w:val="285"/>
        </w:trPr>
        <w:tc>
          <w:tcPr>
            <w:tcW w:w="3964" w:type="dxa"/>
            <w:vAlign w:val="center"/>
            <w:hideMark/>
          </w:tcPr>
          <w:p w14:paraId="109493CE" w14:textId="77777777" w:rsidR="000D66C1" w:rsidRPr="00951AB1" w:rsidRDefault="000D66C1" w:rsidP="000A5389">
            <w:pPr>
              <w:spacing w:line="240" w:lineRule="auto"/>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Terrenos</w:t>
            </w:r>
          </w:p>
        </w:tc>
        <w:tc>
          <w:tcPr>
            <w:tcW w:w="1683" w:type="dxa"/>
            <w:noWrap/>
            <w:vAlign w:val="center"/>
            <w:hideMark/>
          </w:tcPr>
          <w:p w14:paraId="2EF707B3" w14:textId="08B3A39F" w:rsidR="000D66C1" w:rsidRPr="00951AB1" w:rsidRDefault="000D66C1"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28.412.297.617</w:t>
            </w:r>
          </w:p>
        </w:tc>
        <w:tc>
          <w:tcPr>
            <w:tcW w:w="1687" w:type="dxa"/>
            <w:noWrap/>
            <w:vAlign w:val="center"/>
            <w:hideMark/>
          </w:tcPr>
          <w:p w14:paraId="55EF2AE7" w14:textId="52560AC5" w:rsidR="000D66C1" w:rsidRPr="00951AB1" w:rsidRDefault="000D66C1"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28.412.297.617</w:t>
            </w:r>
          </w:p>
        </w:tc>
        <w:tc>
          <w:tcPr>
            <w:tcW w:w="1494" w:type="dxa"/>
            <w:noWrap/>
            <w:vAlign w:val="center"/>
            <w:hideMark/>
          </w:tcPr>
          <w:p w14:paraId="534DC7B1" w14:textId="631A4D68" w:rsidR="000D66C1" w:rsidRPr="00951AB1" w:rsidRDefault="000D66C1"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w:t>
            </w:r>
          </w:p>
        </w:tc>
      </w:tr>
      <w:tr w:rsidR="00C70C31" w:rsidRPr="00951AB1" w14:paraId="7C3568EB" w14:textId="77777777" w:rsidTr="000D66C1">
        <w:trPr>
          <w:trHeight w:val="285"/>
        </w:trPr>
        <w:tc>
          <w:tcPr>
            <w:tcW w:w="3964" w:type="dxa"/>
            <w:vAlign w:val="center"/>
            <w:hideMark/>
          </w:tcPr>
          <w:p w14:paraId="20E68FDC" w14:textId="77777777" w:rsidR="000D66C1" w:rsidRPr="00951AB1" w:rsidRDefault="000D66C1" w:rsidP="000A5389">
            <w:pPr>
              <w:spacing w:line="240" w:lineRule="auto"/>
              <w:rPr>
                <w:rFonts w:eastAsia="Times New Roman" w:cs="Times New Roman"/>
                <w:b/>
                <w:bCs/>
                <w:color w:val="000000"/>
                <w:kern w:val="0"/>
                <w:sz w:val="18"/>
                <w:szCs w:val="18"/>
                <w:lang w:eastAsia="es-CO"/>
                <w14:ligatures w14:val="none"/>
              </w:rPr>
            </w:pPr>
            <w:r w:rsidRPr="00951AB1">
              <w:rPr>
                <w:rFonts w:eastAsia="Times New Roman" w:cs="Times New Roman"/>
                <w:b/>
                <w:bCs/>
                <w:color w:val="000000"/>
                <w:kern w:val="0"/>
                <w:sz w:val="18"/>
                <w:szCs w:val="18"/>
                <w:lang w:eastAsia="es-CO"/>
                <w14:ligatures w14:val="none"/>
              </w:rPr>
              <w:t>PERIMETRAL ORIENTAL DE BOGOTA SAS</w:t>
            </w:r>
          </w:p>
        </w:tc>
        <w:tc>
          <w:tcPr>
            <w:tcW w:w="1683" w:type="dxa"/>
            <w:noWrap/>
            <w:vAlign w:val="center"/>
            <w:hideMark/>
          </w:tcPr>
          <w:p w14:paraId="4829B21B" w14:textId="1BBEE2B9" w:rsidR="000D66C1" w:rsidRPr="00951AB1" w:rsidRDefault="000D66C1" w:rsidP="000A5389">
            <w:pPr>
              <w:spacing w:line="240" w:lineRule="auto"/>
              <w:jc w:val="right"/>
              <w:rPr>
                <w:rFonts w:eastAsia="Times New Roman" w:cs="Times New Roman"/>
                <w:b/>
                <w:bCs/>
                <w:color w:val="000000"/>
                <w:kern w:val="0"/>
                <w:sz w:val="18"/>
                <w:szCs w:val="18"/>
                <w:lang w:eastAsia="es-CO"/>
                <w14:ligatures w14:val="none"/>
              </w:rPr>
            </w:pPr>
            <w:r w:rsidRPr="00951AB1">
              <w:rPr>
                <w:rFonts w:eastAsia="Times New Roman" w:cs="Times New Roman"/>
                <w:b/>
                <w:bCs/>
                <w:color w:val="000000"/>
                <w:kern w:val="0"/>
                <w:sz w:val="18"/>
                <w:szCs w:val="18"/>
                <w:lang w:eastAsia="es-CO"/>
                <w14:ligatures w14:val="none"/>
              </w:rPr>
              <w:t>1.182.746.493.157</w:t>
            </w:r>
          </w:p>
        </w:tc>
        <w:tc>
          <w:tcPr>
            <w:tcW w:w="1687" w:type="dxa"/>
            <w:noWrap/>
            <w:vAlign w:val="center"/>
            <w:hideMark/>
          </w:tcPr>
          <w:p w14:paraId="02A27EB8" w14:textId="5C6257D0" w:rsidR="000D66C1" w:rsidRPr="00951AB1" w:rsidRDefault="000D66C1" w:rsidP="000A5389">
            <w:pPr>
              <w:spacing w:line="240" w:lineRule="auto"/>
              <w:jc w:val="right"/>
              <w:rPr>
                <w:rFonts w:eastAsia="Times New Roman" w:cs="Times New Roman"/>
                <w:b/>
                <w:bCs/>
                <w:color w:val="000000"/>
                <w:kern w:val="0"/>
                <w:sz w:val="18"/>
                <w:szCs w:val="18"/>
                <w:lang w:eastAsia="es-CO"/>
                <w14:ligatures w14:val="none"/>
              </w:rPr>
            </w:pPr>
            <w:r w:rsidRPr="00951AB1">
              <w:rPr>
                <w:rFonts w:eastAsia="Times New Roman" w:cs="Times New Roman"/>
                <w:b/>
                <w:bCs/>
                <w:color w:val="000000"/>
                <w:kern w:val="0"/>
                <w:sz w:val="18"/>
                <w:szCs w:val="18"/>
                <w:lang w:eastAsia="es-CO"/>
                <w14:ligatures w14:val="none"/>
              </w:rPr>
              <w:t>1.931.350.149.593</w:t>
            </w:r>
          </w:p>
        </w:tc>
        <w:tc>
          <w:tcPr>
            <w:tcW w:w="1494" w:type="dxa"/>
            <w:noWrap/>
            <w:vAlign w:val="center"/>
            <w:hideMark/>
          </w:tcPr>
          <w:p w14:paraId="2EE40235" w14:textId="7A322F84" w:rsidR="000D66C1" w:rsidRPr="00951AB1" w:rsidRDefault="000D66C1" w:rsidP="000A5389">
            <w:pPr>
              <w:spacing w:line="240" w:lineRule="auto"/>
              <w:jc w:val="right"/>
              <w:rPr>
                <w:rFonts w:eastAsia="Times New Roman" w:cs="Times New Roman"/>
                <w:b/>
                <w:bCs/>
                <w:color w:val="000000"/>
                <w:kern w:val="0"/>
                <w:sz w:val="18"/>
                <w:szCs w:val="18"/>
                <w:lang w:eastAsia="es-CO"/>
                <w14:ligatures w14:val="none"/>
              </w:rPr>
            </w:pPr>
            <w:r w:rsidRPr="00951AB1">
              <w:rPr>
                <w:rFonts w:eastAsia="Times New Roman" w:cs="Times New Roman"/>
                <w:b/>
                <w:bCs/>
                <w:color w:val="000000"/>
                <w:kern w:val="0"/>
                <w:sz w:val="18"/>
                <w:szCs w:val="18"/>
                <w:lang w:eastAsia="es-CO"/>
                <w14:ligatures w14:val="none"/>
              </w:rPr>
              <w:t>-748.603.656.436</w:t>
            </w:r>
          </w:p>
        </w:tc>
      </w:tr>
      <w:tr w:rsidR="00C70C31" w:rsidRPr="00951AB1" w14:paraId="56F21DE3" w14:textId="77777777" w:rsidTr="000D66C1">
        <w:trPr>
          <w:trHeight w:val="285"/>
        </w:trPr>
        <w:tc>
          <w:tcPr>
            <w:tcW w:w="3964" w:type="dxa"/>
            <w:vAlign w:val="center"/>
            <w:hideMark/>
          </w:tcPr>
          <w:p w14:paraId="28070306" w14:textId="77777777" w:rsidR="000D66C1" w:rsidRPr="00951AB1" w:rsidRDefault="000D66C1" w:rsidP="000A5389">
            <w:pPr>
              <w:spacing w:line="240" w:lineRule="auto"/>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Propiedades, Plan y Equipo</w:t>
            </w:r>
          </w:p>
        </w:tc>
        <w:tc>
          <w:tcPr>
            <w:tcW w:w="1683" w:type="dxa"/>
            <w:noWrap/>
            <w:vAlign w:val="center"/>
            <w:hideMark/>
          </w:tcPr>
          <w:p w14:paraId="300BB634" w14:textId="1026F88C" w:rsidR="000D66C1" w:rsidRPr="00951AB1" w:rsidRDefault="000D66C1"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5.259.465.525</w:t>
            </w:r>
          </w:p>
        </w:tc>
        <w:tc>
          <w:tcPr>
            <w:tcW w:w="1687" w:type="dxa"/>
            <w:noWrap/>
            <w:vAlign w:val="center"/>
            <w:hideMark/>
          </w:tcPr>
          <w:p w14:paraId="4C59A522" w14:textId="68E105E4" w:rsidR="000D66C1" w:rsidRPr="00951AB1" w:rsidRDefault="000D66C1"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5.259.465.525</w:t>
            </w:r>
          </w:p>
        </w:tc>
        <w:tc>
          <w:tcPr>
            <w:tcW w:w="1494" w:type="dxa"/>
            <w:noWrap/>
            <w:vAlign w:val="center"/>
            <w:hideMark/>
          </w:tcPr>
          <w:p w14:paraId="2620E4B1" w14:textId="429F11C6" w:rsidR="000D66C1" w:rsidRPr="00951AB1" w:rsidRDefault="000D66C1"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w:t>
            </w:r>
          </w:p>
        </w:tc>
      </w:tr>
      <w:tr w:rsidR="00C70C31" w:rsidRPr="00951AB1" w14:paraId="4FB50B1F" w14:textId="77777777" w:rsidTr="000D66C1">
        <w:trPr>
          <w:trHeight w:val="285"/>
        </w:trPr>
        <w:tc>
          <w:tcPr>
            <w:tcW w:w="3964" w:type="dxa"/>
            <w:vAlign w:val="center"/>
            <w:hideMark/>
          </w:tcPr>
          <w:p w14:paraId="21716129" w14:textId="77777777" w:rsidR="000D66C1" w:rsidRPr="00951AB1" w:rsidRDefault="000D66C1" w:rsidP="000A5389">
            <w:pPr>
              <w:spacing w:line="240" w:lineRule="auto"/>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Red carretera</w:t>
            </w:r>
          </w:p>
        </w:tc>
        <w:tc>
          <w:tcPr>
            <w:tcW w:w="1683" w:type="dxa"/>
            <w:noWrap/>
            <w:vAlign w:val="center"/>
            <w:hideMark/>
          </w:tcPr>
          <w:p w14:paraId="15A9379E" w14:textId="2F5F72C7" w:rsidR="000D66C1" w:rsidRPr="00951AB1" w:rsidRDefault="000D66C1"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438.147.655.721</w:t>
            </w:r>
          </w:p>
        </w:tc>
        <w:tc>
          <w:tcPr>
            <w:tcW w:w="1687" w:type="dxa"/>
            <w:noWrap/>
            <w:vAlign w:val="center"/>
            <w:hideMark/>
          </w:tcPr>
          <w:p w14:paraId="17C75416" w14:textId="55497F4A" w:rsidR="000D66C1" w:rsidRPr="00951AB1" w:rsidRDefault="000D66C1"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811.500.337.370</w:t>
            </w:r>
          </w:p>
        </w:tc>
        <w:tc>
          <w:tcPr>
            <w:tcW w:w="1494" w:type="dxa"/>
            <w:noWrap/>
            <w:vAlign w:val="center"/>
            <w:hideMark/>
          </w:tcPr>
          <w:p w14:paraId="54F17F7F" w14:textId="387313ED" w:rsidR="000D66C1" w:rsidRPr="00951AB1" w:rsidRDefault="000D66C1"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-373.352.681.650</w:t>
            </w:r>
          </w:p>
        </w:tc>
      </w:tr>
      <w:tr w:rsidR="00C70C31" w:rsidRPr="00951AB1" w14:paraId="128FE08B" w14:textId="77777777" w:rsidTr="000D66C1">
        <w:trPr>
          <w:trHeight w:val="285"/>
        </w:trPr>
        <w:tc>
          <w:tcPr>
            <w:tcW w:w="3964" w:type="dxa"/>
            <w:vAlign w:val="center"/>
            <w:hideMark/>
          </w:tcPr>
          <w:p w14:paraId="6F7871E3" w14:textId="77777777" w:rsidR="000D66C1" w:rsidRPr="00951AB1" w:rsidRDefault="000D66C1" w:rsidP="000A5389">
            <w:pPr>
              <w:spacing w:line="240" w:lineRule="auto"/>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Terrenos</w:t>
            </w:r>
          </w:p>
        </w:tc>
        <w:tc>
          <w:tcPr>
            <w:tcW w:w="1683" w:type="dxa"/>
            <w:noWrap/>
            <w:vAlign w:val="center"/>
            <w:hideMark/>
          </w:tcPr>
          <w:p w14:paraId="7AB5F232" w14:textId="15152154" w:rsidR="000D66C1" w:rsidRPr="00951AB1" w:rsidRDefault="000D66C1"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61.189.167.285</w:t>
            </w:r>
          </w:p>
        </w:tc>
        <w:tc>
          <w:tcPr>
            <w:tcW w:w="1687" w:type="dxa"/>
            <w:noWrap/>
            <w:vAlign w:val="center"/>
            <w:hideMark/>
          </w:tcPr>
          <w:p w14:paraId="31195530" w14:textId="33CDCC4A" w:rsidR="000D66C1" w:rsidRPr="00951AB1" w:rsidRDefault="000D66C1"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61.189.167.285</w:t>
            </w:r>
          </w:p>
        </w:tc>
        <w:tc>
          <w:tcPr>
            <w:tcW w:w="1494" w:type="dxa"/>
            <w:noWrap/>
            <w:vAlign w:val="center"/>
            <w:hideMark/>
          </w:tcPr>
          <w:p w14:paraId="33E5D101" w14:textId="754364DE" w:rsidR="000D66C1" w:rsidRPr="00951AB1" w:rsidRDefault="000D66C1"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w:t>
            </w:r>
          </w:p>
        </w:tc>
      </w:tr>
      <w:tr w:rsidR="00C70C31" w:rsidRPr="00951AB1" w14:paraId="60A292F5" w14:textId="77777777" w:rsidTr="000D66C1">
        <w:trPr>
          <w:trHeight w:val="285"/>
        </w:trPr>
        <w:tc>
          <w:tcPr>
            <w:tcW w:w="3964" w:type="dxa"/>
            <w:noWrap/>
            <w:vAlign w:val="center"/>
            <w:hideMark/>
          </w:tcPr>
          <w:p w14:paraId="34A5EB6B" w14:textId="77777777" w:rsidR="000D66C1" w:rsidRPr="00951AB1" w:rsidRDefault="000D66C1" w:rsidP="000A5389">
            <w:pPr>
              <w:spacing w:line="240" w:lineRule="auto"/>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Recursos de la entidad concedente en patrimonios autónomos constituidos por concesionarios privados</w:t>
            </w:r>
          </w:p>
        </w:tc>
        <w:tc>
          <w:tcPr>
            <w:tcW w:w="1683" w:type="dxa"/>
            <w:noWrap/>
            <w:vAlign w:val="center"/>
            <w:hideMark/>
          </w:tcPr>
          <w:p w14:paraId="5C45472E" w14:textId="4B3A5E50" w:rsidR="000D66C1" w:rsidRPr="00951AB1" w:rsidRDefault="000D66C1"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678.150.204.626</w:t>
            </w:r>
          </w:p>
        </w:tc>
        <w:tc>
          <w:tcPr>
            <w:tcW w:w="1687" w:type="dxa"/>
            <w:noWrap/>
            <w:vAlign w:val="center"/>
            <w:hideMark/>
          </w:tcPr>
          <w:p w14:paraId="68C88B59" w14:textId="41653520" w:rsidR="000D66C1" w:rsidRPr="00951AB1" w:rsidRDefault="000D66C1"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1.053.401.179.413</w:t>
            </w:r>
          </w:p>
        </w:tc>
        <w:tc>
          <w:tcPr>
            <w:tcW w:w="1494" w:type="dxa"/>
            <w:noWrap/>
            <w:vAlign w:val="center"/>
            <w:hideMark/>
          </w:tcPr>
          <w:p w14:paraId="7096B4CA" w14:textId="2D8E93CA" w:rsidR="000D66C1" w:rsidRPr="00951AB1" w:rsidRDefault="000D66C1"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-375.250.974.786</w:t>
            </w:r>
          </w:p>
        </w:tc>
      </w:tr>
      <w:tr w:rsidR="00C70C31" w:rsidRPr="00951AB1" w14:paraId="406F067F" w14:textId="77777777" w:rsidTr="000D66C1">
        <w:trPr>
          <w:trHeight w:val="675"/>
        </w:trPr>
        <w:tc>
          <w:tcPr>
            <w:tcW w:w="3964" w:type="dxa"/>
            <w:vAlign w:val="center"/>
            <w:hideMark/>
          </w:tcPr>
          <w:p w14:paraId="57EC984B" w14:textId="77777777" w:rsidR="000D66C1" w:rsidRPr="00951AB1" w:rsidRDefault="000D66C1" w:rsidP="000A5389">
            <w:pPr>
              <w:spacing w:line="240" w:lineRule="auto"/>
              <w:rPr>
                <w:rFonts w:eastAsia="Times New Roman" w:cs="Times New Roman"/>
                <w:b/>
                <w:bCs/>
                <w:color w:val="000000"/>
                <w:kern w:val="0"/>
                <w:sz w:val="18"/>
                <w:szCs w:val="18"/>
                <w:lang w:eastAsia="es-CO"/>
                <w14:ligatures w14:val="none"/>
              </w:rPr>
            </w:pPr>
            <w:r w:rsidRPr="00951AB1">
              <w:rPr>
                <w:rFonts w:eastAsia="Times New Roman" w:cs="Times New Roman"/>
                <w:b/>
                <w:bCs/>
                <w:color w:val="000000"/>
                <w:kern w:val="0"/>
                <w:sz w:val="18"/>
                <w:szCs w:val="18"/>
                <w:lang w:eastAsia="es-CO"/>
                <w14:ligatures w14:val="none"/>
              </w:rPr>
              <w:t>CONCESIÓN COSTERA CARTAGENA BARRANQUILLA S.A.S.</w:t>
            </w:r>
          </w:p>
        </w:tc>
        <w:tc>
          <w:tcPr>
            <w:tcW w:w="1683" w:type="dxa"/>
            <w:noWrap/>
            <w:vAlign w:val="center"/>
            <w:hideMark/>
          </w:tcPr>
          <w:p w14:paraId="2A9B668A" w14:textId="1857F91C" w:rsidR="000D66C1" w:rsidRPr="00951AB1" w:rsidRDefault="000D66C1" w:rsidP="000A5389">
            <w:pPr>
              <w:spacing w:line="240" w:lineRule="auto"/>
              <w:jc w:val="right"/>
              <w:rPr>
                <w:rFonts w:eastAsia="Times New Roman" w:cs="Times New Roman"/>
                <w:b/>
                <w:bCs/>
                <w:color w:val="000000"/>
                <w:kern w:val="0"/>
                <w:sz w:val="18"/>
                <w:szCs w:val="18"/>
                <w:lang w:eastAsia="es-CO"/>
                <w14:ligatures w14:val="none"/>
              </w:rPr>
            </w:pPr>
            <w:r w:rsidRPr="00951AB1">
              <w:rPr>
                <w:rFonts w:eastAsia="Times New Roman" w:cs="Times New Roman"/>
                <w:b/>
                <w:bCs/>
                <w:color w:val="000000"/>
                <w:kern w:val="0"/>
                <w:sz w:val="18"/>
                <w:szCs w:val="18"/>
                <w:lang w:eastAsia="es-CO"/>
                <w14:ligatures w14:val="none"/>
              </w:rPr>
              <w:t>1.803.958.696.976</w:t>
            </w:r>
          </w:p>
        </w:tc>
        <w:tc>
          <w:tcPr>
            <w:tcW w:w="1687" w:type="dxa"/>
            <w:noWrap/>
            <w:vAlign w:val="center"/>
            <w:hideMark/>
          </w:tcPr>
          <w:p w14:paraId="26B98830" w14:textId="42DE0995" w:rsidR="000D66C1" w:rsidRPr="00951AB1" w:rsidRDefault="000D66C1" w:rsidP="000A5389">
            <w:pPr>
              <w:spacing w:line="240" w:lineRule="auto"/>
              <w:jc w:val="right"/>
              <w:rPr>
                <w:rFonts w:eastAsia="Times New Roman" w:cs="Times New Roman"/>
                <w:b/>
                <w:bCs/>
                <w:color w:val="000000"/>
                <w:kern w:val="0"/>
                <w:sz w:val="18"/>
                <w:szCs w:val="18"/>
                <w:lang w:eastAsia="es-CO"/>
                <w14:ligatures w14:val="none"/>
              </w:rPr>
            </w:pPr>
            <w:r w:rsidRPr="00951AB1">
              <w:rPr>
                <w:rFonts w:eastAsia="Times New Roman" w:cs="Times New Roman"/>
                <w:b/>
                <w:bCs/>
                <w:color w:val="000000"/>
                <w:kern w:val="0"/>
                <w:sz w:val="18"/>
                <w:szCs w:val="18"/>
                <w:lang w:eastAsia="es-CO"/>
                <w14:ligatures w14:val="none"/>
              </w:rPr>
              <w:t>1.954.635.580.282</w:t>
            </w:r>
          </w:p>
        </w:tc>
        <w:tc>
          <w:tcPr>
            <w:tcW w:w="1494" w:type="dxa"/>
            <w:noWrap/>
            <w:vAlign w:val="center"/>
            <w:hideMark/>
          </w:tcPr>
          <w:p w14:paraId="36AA5AED" w14:textId="45674DB7" w:rsidR="000D66C1" w:rsidRPr="00951AB1" w:rsidRDefault="000D66C1" w:rsidP="000A5389">
            <w:pPr>
              <w:spacing w:line="240" w:lineRule="auto"/>
              <w:jc w:val="right"/>
              <w:rPr>
                <w:rFonts w:eastAsia="Times New Roman" w:cs="Times New Roman"/>
                <w:b/>
                <w:bCs/>
                <w:color w:val="000000"/>
                <w:kern w:val="0"/>
                <w:sz w:val="18"/>
                <w:szCs w:val="18"/>
                <w:lang w:eastAsia="es-CO"/>
                <w14:ligatures w14:val="none"/>
              </w:rPr>
            </w:pPr>
            <w:r w:rsidRPr="00951AB1">
              <w:rPr>
                <w:rFonts w:eastAsia="Times New Roman" w:cs="Times New Roman"/>
                <w:b/>
                <w:bCs/>
                <w:color w:val="000000"/>
                <w:kern w:val="0"/>
                <w:sz w:val="18"/>
                <w:szCs w:val="18"/>
                <w:lang w:eastAsia="es-CO"/>
                <w14:ligatures w14:val="none"/>
              </w:rPr>
              <w:t>-150.676.883.306</w:t>
            </w:r>
          </w:p>
        </w:tc>
      </w:tr>
      <w:tr w:rsidR="00C70C31" w:rsidRPr="00951AB1" w14:paraId="24F371E0" w14:textId="77777777" w:rsidTr="000D66C1">
        <w:trPr>
          <w:trHeight w:val="308"/>
        </w:trPr>
        <w:tc>
          <w:tcPr>
            <w:tcW w:w="3964" w:type="dxa"/>
            <w:vAlign w:val="center"/>
            <w:hideMark/>
          </w:tcPr>
          <w:p w14:paraId="7E590C27" w14:textId="77777777" w:rsidR="000D66C1" w:rsidRPr="00951AB1" w:rsidRDefault="000D66C1" w:rsidP="000A5389">
            <w:pPr>
              <w:spacing w:line="240" w:lineRule="auto"/>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Propiedades, Plan y Equipo</w:t>
            </w:r>
          </w:p>
        </w:tc>
        <w:tc>
          <w:tcPr>
            <w:tcW w:w="1683" w:type="dxa"/>
            <w:noWrap/>
            <w:vAlign w:val="center"/>
            <w:hideMark/>
          </w:tcPr>
          <w:p w14:paraId="39342217" w14:textId="3F67F48B" w:rsidR="000D66C1" w:rsidRPr="00951AB1" w:rsidRDefault="000D66C1"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10.775.959.965</w:t>
            </w:r>
          </w:p>
        </w:tc>
        <w:tc>
          <w:tcPr>
            <w:tcW w:w="1687" w:type="dxa"/>
            <w:noWrap/>
            <w:vAlign w:val="center"/>
            <w:hideMark/>
          </w:tcPr>
          <w:p w14:paraId="200C91D1" w14:textId="66E4B024" w:rsidR="000D66C1" w:rsidRPr="00951AB1" w:rsidRDefault="000D66C1"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10.102.744.854</w:t>
            </w:r>
          </w:p>
        </w:tc>
        <w:tc>
          <w:tcPr>
            <w:tcW w:w="1494" w:type="dxa"/>
            <w:noWrap/>
            <w:vAlign w:val="center"/>
            <w:hideMark/>
          </w:tcPr>
          <w:p w14:paraId="1D42C104" w14:textId="6E5571F2" w:rsidR="000D66C1" w:rsidRPr="00951AB1" w:rsidRDefault="000D66C1"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673.215.111</w:t>
            </w:r>
          </w:p>
        </w:tc>
      </w:tr>
      <w:tr w:rsidR="00C70C31" w:rsidRPr="00951AB1" w14:paraId="3C9B826C" w14:textId="77777777" w:rsidTr="000D66C1">
        <w:trPr>
          <w:trHeight w:val="285"/>
        </w:trPr>
        <w:tc>
          <w:tcPr>
            <w:tcW w:w="3964" w:type="dxa"/>
            <w:vAlign w:val="center"/>
            <w:hideMark/>
          </w:tcPr>
          <w:p w14:paraId="2A64536D" w14:textId="77777777" w:rsidR="000D66C1" w:rsidRPr="00951AB1" w:rsidRDefault="000D66C1" w:rsidP="000A5389">
            <w:pPr>
              <w:spacing w:line="240" w:lineRule="auto"/>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Red carretera</w:t>
            </w:r>
          </w:p>
        </w:tc>
        <w:tc>
          <w:tcPr>
            <w:tcW w:w="1683" w:type="dxa"/>
            <w:noWrap/>
            <w:vAlign w:val="center"/>
            <w:hideMark/>
          </w:tcPr>
          <w:p w14:paraId="65E14726" w14:textId="01FBCF0A" w:rsidR="000D66C1" w:rsidRPr="00951AB1" w:rsidRDefault="000D66C1"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1.468.887.916.845</w:t>
            </w:r>
          </w:p>
        </w:tc>
        <w:tc>
          <w:tcPr>
            <w:tcW w:w="1687" w:type="dxa"/>
            <w:noWrap/>
            <w:vAlign w:val="center"/>
            <w:hideMark/>
          </w:tcPr>
          <w:p w14:paraId="0E7372BF" w14:textId="75BED2AB" w:rsidR="000D66C1" w:rsidRPr="00951AB1" w:rsidRDefault="000D66C1"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1.463.870.877.901</w:t>
            </w:r>
          </w:p>
        </w:tc>
        <w:tc>
          <w:tcPr>
            <w:tcW w:w="1494" w:type="dxa"/>
            <w:noWrap/>
            <w:vAlign w:val="center"/>
            <w:hideMark/>
          </w:tcPr>
          <w:p w14:paraId="7E05B91D" w14:textId="17B25B3B" w:rsidR="000D66C1" w:rsidRPr="00951AB1" w:rsidRDefault="000D66C1"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5.017.038.944</w:t>
            </w:r>
          </w:p>
        </w:tc>
      </w:tr>
      <w:tr w:rsidR="00C70C31" w:rsidRPr="00951AB1" w14:paraId="5499821B" w14:textId="77777777" w:rsidTr="000D66C1">
        <w:trPr>
          <w:trHeight w:val="285"/>
        </w:trPr>
        <w:tc>
          <w:tcPr>
            <w:tcW w:w="3964" w:type="dxa"/>
            <w:vAlign w:val="center"/>
            <w:hideMark/>
          </w:tcPr>
          <w:p w14:paraId="34E750DC" w14:textId="77777777" w:rsidR="000D66C1" w:rsidRPr="00951AB1" w:rsidRDefault="000D66C1" w:rsidP="000A5389">
            <w:pPr>
              <w:spacing w:line="240" w:lineRule="auto"/>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Terrenos</w:t>
            </w:r>
          </w:p>
        </w:tc>
        <w:tc>
          <w:tcPr>
            <w:tcW w:w="1683" w:type="dxa"/>
            <w:noWrap/>
            <w:vAlign w:val="center"/>
            <w:hideMark/>
          </w:tcPr>
          <w:p w14:paraId="2915E9C8" w14:textId="463E6685" w:rsidR="000D66C1" w:rsidRPr="00951AB1" w:rsidRDefault="000D66C1"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321.817.025.677</w:t>
            </w:r>
          </w:p>
        </w:tc>
        <w:tc>
          <w:tcPr>
            <w:tcW w:w="1687" w:type="dxa"/>
            <w:noWrap/>
            <w:vAlign w:val="center"/>
            <w:hideMark/>
          </w:tcPr>
          <w:p w14:paraId="48B659AC" w14:textId="55894D0D" w:rsidR="000D66C1" w:rsidRPr="00951AB1" w:rsidRDefault="000D66C1"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320.155.120.610</w:t>
            </w:r>
          </w:p>
        </w:tc>
        <w:tc>
          <w:tcPr>
            <w:tcW w:w="1494" w:type="dxa"/>
            <w:noWrap/>
            <w:vAlign w:val="center"/>
            <w:hideMark/>
          </w:tcPr>
          <w:p w14:paraId="169B0848" w14:textId="0533CE0F" w:rsidR="000D66C1" w:rsidRPr="00951AB1" w:rsidRDefault="000D66C1"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1.661.905.068</w:t>
            </w:r>
          </w:p>
        </w:tc>
      </w:tr>
      <w:tr w:rsidR="00C70C31" w:rsidRPr="00951AB1" w14:paraId="03E9546F" w14:textId="77777777" w:rsidTr="000D66C1">
        <w:trPr>
          <w:trHeight w:val="285"/>
        </w:trPr>
        <w:tc>
          <w:tcPr>
            <w:tcW w:w="3964" w:type="dxa"/>
            <w:noWrap/>
            <w:vAlign w:val="center"/>
            <w:hideMark/>
          </w:tcPr>
          <w:p w14:paraId="20211862" w14:textId="77777777" w:rsidR="000D66C1" w:rsidRPr="00951AB1" w:rsidRDefault="000D66C1" w:rsidP="000A5389">
            <w:pPr>
              <w:spacing w:line="240" w:lineRule="auto"/>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Recursos de la entidad concedente en patrimonios autónomos constituidos por concesionarios privados</w:t>
            </w:r>
          </w:p>
        </w:tc>
        <w:tc>
          <w:tcPr>
            <w:tcW w:w="1683" w:type="dxa"/>
            <w:noWrap/>
            <w:vAlign w:val="center"/>
            <w:hideMark/>
          </w:tcPr>
          <w:p w14:paraId="30B12186" w14:textId="66A64E39" w:rsidR="000D66C1" w:rsidRPr="00951AB1" w:rsidRDefault="000D66C1"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2.477.794.489</w:t>
            </w:r>
          </w:p>
        </w:tc>
        <w:tc>
          <w:tcPr>
            <w:tcW w:w="1687" w:type="dxa"/>
            <w:noWrap/>
            <w:vAlign w:val="center"/>
            <w:hideMark/>
          </w:tcPr>
          <w:p w14:paraId="165FD4D1" w14:textId="404D549C" w:rsidR="000D66C1" w:rsidRPr="00951AB1" w:rsidRDefault="000D66C1"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160.506.836.917</w:t>
            </w:r>
          </w:p>
        </w:tc>
        <w:tc>
          <w:tcPr>
            <w:tcW w:w="1494" w:type="dxa"/>
            <w:noWrap/>
            <w:vAlign w:val="center"/>
            <w:hideMark/>
          </w:tcPr>
          <w:p w14:paraId="7574262C" w14:textId="61F6D1E0" w:rsidR="000D66C1" w:rsidRPr="00951AB1" w:rsidRDefault="000D66C1"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-158.029.042.428</w:t>
            </w:r>
          </w:p>
        </w:tc>
      </w:tr>
      <w:tr w:rsidR="00C70C31" w:rsidRPr="00951AB1" w14:paraId="0EB08D5B" w14:textId="77777777" w:rsidTr="000D66C1">
        <w:trPr>
          <w:trHeight w:val="285"/>
        </w:trPr>
        <w:tc>
          <w:tcPr>
            <w:tcW w:w="3964" w:type="dxa"/>
            <w:vAlign w:val="center"/>
            <w:hideMark/>
          </w:tcPr>
          <w:p w14:paraId="2958CFE9" w14:textId="77777777" w:rsidR="000D66C1" w:rsidRPr="00951AB1" w:rsidRDefault="000D66C1" w:rsidP="000A5389">
            <w:pPr>
              <w:spacing w:line="240" w:lineRule="auto"/>
              <w:rPr>
                <w:rFonts w:eastAsia="Times New Roman" w:cs="Times New Roman"/>
                <w:b/>
                <w:bCs/>
                <w:color w:val="000000"/>
                <w:kern w:val="0"/>
                <w:sz w:val="18"/>
                <w:szCs w:val="18"/>
                <w:lang w:eastAsia="es-CO"/>
                <w14:ligatures w14:val="none"/>
              </w:rPr>
            </w:pPr>
            <w:r w:rsidRPr="00951AB1">
              <w:rPr>
                <w:rFonts w:eastAsia="Times New Roman" w:cs="Times New Roman"/>
                <w:b/>
                <w:bCs/>
                <w:color w:val="000000"/>
                <w:kern w:val="0"/>
                <w:sz w:val="18"/>
                <w:szCs w:val="18"/>
                <w:lang w:eastAsia="es-CO"/>
                <w14:ligatures w14:val="none"/>
              </w:rPr>
              <w:t>CONCESIÓN PACIFICO TRES S.A.S.</w:t>
            </w:r>
          </w:p>
        </w:tc>
        <w:tc>
          <w:tcPr>
            <w:tcW w:w="1683" w:type="dxa"/>
            <w:noWrap/>
            <w:vAlign w:val="center"/>
            <w:hideMark/>
          </w:tcPr>
          <w:p w14:paraId="4F2CF037" w14:textId="16506B09" w:rsidR="000D66C1" w:rsidRPr="00951AB1" w:rsidRDefault="000D66C1" w:rsidP="000A5389">
            <w:pPr>
              <w:spacing w:line="240" w:lineRule="auto"/>
              <w:jc w:val="right"/>
              <w:rPr>
                <w:rFonts w:eastAsia="Times New Roman" w:cs="Times New Roman"/>
                <w:b/>
                <w:bCs/>
                <w:color w:val="000000"/>
                <w:kern w:val="0"/>
                <w:sz w:val="18"/>
                <w:szCs w:val="18"/>
                <w:lang w:eastAsia="es-CO"/>
                <w14:ligatures w14:val="none"/>
              </w:rPr>
            </w:pPr>
            <w:r w:rsidRPr="00951AB1">
              <w:rPr>
                <w:rFonts w:eastAsia="Times New Roman" w:cs="Times New Roman"/>
                <w:b/>
                <w:bCs/>
                <w:color w:val="000000"/>
                <w:kern w:val="0"/>
                <w:sz w:val="18"/>
                <w:szCs w:val="18"/>
                <w:lang w:eastAsia="es-CO"/>
                <w14:ligatures w14:val="none"/>
              </w:rPr>
              <w:t>1.622.263.412.522</w:t>
            </w:r>
          </w:p>
        </w:tc>
        <w:tc>
          <w:tcPr>
            <w:tcW w:w="1687" w:type="dxa"/>
            <w:noWrap/>
            <w:vAlign w:val="center"/>
            <w:hideMark/>
          </w:tcPr>
          <w:p w14:paraId="0A084E44" w14:textId="518472AE" w:rsidR="000D66C1" w:rsidRPr="00951AB1" w:rsidRDefault="000D66C1" w:rsidP="000A5389">
            <w:pPr>
              <w:spacing w:line="240" w:lineRule="auto"/>
              <w:jc w:val="right"/>
              <w:rPr>
                <w:rFonts w:eastAsia="Times New Roman" w:cs="Times New Roman"/>
                <w:b/>
                <w:bCs/>
                <w:color w:val="000000"/>
                <w:kern w:val="0"/>
                <w:sz w:val="18"/>
                <w:szCs w:val="18"/>
                <w:lang w:eastAsia="es-CO"/>
                <w14:ligatures w14:val="none"/>
              </w:rPr>
            </w:pPr>
            <w:r w:rsidRPr="00951AB1">
              <w:rPr>
                <w:rFonts w:eastAsia="Times New Roman" w:cs="Times New Roman"/>
                <w:b/>
                <w:bCs/>
                <w:color w:val="000000"/>
                <w:kern w:val="0"/>
                <w:sz w:val="18"/>
                <w:szCs w:val="18"/>
                <w:lang w:eastAsia="es-CO"/>
                <w14:ligatures w14:val="none"/>
              </w:rPr>
              <w:t>1.742.438.013.955</w:t>
            </w:r>
          </w:p>
        </w:tc>
        <w:tc>
          <w:tcPr>
            <w:tcW w:w="1494" w:type="dxa"/>
            <w:noWrap/>
            <w:vAlign w:val="center"/>
            <w:hideMark/>
          </w:tcPr>
          <w:p w14:paraId="7BAF49D6" w14:textId="6250E52C" w:rsidR="000D66C1" w:rsidRPr="00951AB1" w:rsidRDefault="000D66C1" w:rsidP="000A5389">
            <w:pPr>
              <w:spacing w:line="240" w:lineRule="auto"/>
              <w:jc w:val="right"/>
              <w:rPr>
                <w:rFonts w:eastAsia="Times New Roman" w:cs="Times New Roman"/>
                <w:b/>
                <w:bCs/>
                <w:color w:val="000000"/>
                <w:kern w:val="0"/>
                <w:sz w:val="18"/>
                <w:szCs w:val="18"/>
                <w:lang w:eastAsia="es-CO"/>
                <w14:ligatures w14:val="none"/>
              </w:rPr>
            </w:pPr>
            <w:r w:rsidRPr="00951AB1">
              <w:rPr>
                <w:rFonts w:eastAsia="Times New Roman" w:cs="Times New Roman"/>
                <w:b/>
                <w:bCs/>
                <w:color w:val="000000"/>
                <w:kern w:val="0"/>
                <w:sz w:val="18"/>
                <w:szCs w:val="18"/>
                <w:lang w:eastAsia="es-CO"/>
                <w14:ligatures w14:val="none"/>
              </w:rPr>
              <w:t>-120.174.601.432</w:t>
            </w:r>
          </w:p>
        </w:tc>
      </w:tr>
      <w:tr w:rsidR="00C70C31" w:rsidRPr="00951AB1" w14:paraId="03AFAE43" w14:textId="77777777" w:rsidTr="000D66C1">
        <w:trPr>
          <w:trHeight w:val="285"/>
        </w:trPr>
        <w:tc>
          <w:tcPr>
            <w:tcW w:w="3964" w:type="dxa"/>
            <w:vAlign w:val="center"/>
            <w:hideMark/>
          </w:tcPr>
          <w:p w14:paraId="262BA437" w14:textId="77777777" w:rsidR="000D66C1" w:rsidRPr="00951AB1" w:rsidRDefault="000D66C1" w:rsidP="000A5389">
            <w:pPr>
              <w:spacing w:line="240" w:lineRule="auto"/>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Propiedades, Plan y Equipo</w:t>
            </w:r>
          </w:p>
        </w:tc>
        <w:tc>
          <w:tcPr>
            <w:tcW w:w="1683" w:type="dxa"/>
            <w:noWrap/>
            <w:vAlign w:val="center"/>
            <w:hideMark/>
          </w:tcPr>
          <w:p w14:paraId="7347A8BF" w14:textId="63BCF98A" w:rsidR="000D66C1" w:rsidRPr="00951AB1" w:rsidRDefault="000D66C1"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8.270.895.870</w:t>
            </w:r>
          </w:p>
        </w:tc>
        <w:tc>
          <w:tcPr>
            <w:tcW w:w="1687" w:type="dxa"/>
            <w:noWrap/>
            <w:vAlign w:val="center"/>
            <w:hideMark/>
          </w:tcPr>
          <w:p w14:paraId="1F218E44" w14:textId="1BF3F509" w:rsidR="000D66C1" w:rsidRPr="00951AB1" w:rsidRDefault="000D66C1"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8.632.431.072</w:t>
            </w:r>
          </w:p>
        </w:tc>
        <w:tc>
          <w:tcPr>
            <w:tcW w:w="1494" w:type="dxa"/>
            <w:noWrap/>
            <w:vAlign w:val="center"/>
            <w:hideMark/>
          </w:tcPr>
          <w:p w14:paraId="655B8950" w14:textId="34FF8AFB" w:rsidR="000D66C1" w:rsidRPr="00951AB1" w:rsidRDefault="000D66C1"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-361.535.202</w:t>
            </w:r>
          </w:p>
        </w:tc>
      </w:tr>
      <w:tr w:rsidR="00C70C31" w:rsidRPr="00951AB1" w14:paraId="254CF5F1" w14:textId="77777777" w:rsidTr="000D66C1">
        <w:trPr>
          <w:trHeight w:val="285"/>
        </w:trPr>
        <w:tc>
          <w:tcPr>
            <w:tcW w:w="3964" w:type="dxa"/>
            <w:vAlign w:val="center"/>
            <w:hideMark/>
          </w:tcPr>
          <w:p w14:paraId="05BCFEE9" w14:textId="77777777" w:rsidR="000D66C1" w:rsidRPr="00951AB1" w:rsidRDefault="000D66C1" w:rsidP="000A5389">
            <w:pPr>
              <w:spacing w:line="240" w:lineRule="auto"/>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Red carretera</w:t>
            </w:r>
          </w:p>
        </w:tc>
        <w:tc>
          <w:tcPr>
            <w:tcW w:w="1683" w:type="dxa"/>
            <w:noWrap/>
            <w:vAlign w:val="center"/>
            <w:hideMark/>
          </w:tcPr>
          <w:p w14:paraId="3E8BD775" w14:textId="4F6E262F" w:rsidR="000D66C1" w:rsidRPr="00951AB1" w:rsidRDefault="000D66C1"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1.419.638.600.772</w:t>
            </w:r>
          </w:p>
        </w:tc>
        <w:tc>
          <w:tcPr>
            <w:tcW w:w="1687" w:type="dxa"/>
            <w:noWrap/>
            <w:vAlign w:val="center"/>
            <w:hideMark/>
          </w:tcPr>
          <w:p w14:paraId="15D580CB" w14:textId="236BB251" w:rsidR="000D66C1" w:rsidRPr="00951AB1" w:rsidRDefault="000D66C1"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1.386.445.844.809</w:t>
            </w:r>
          </w:p>
        </w:tc>
        <w:tc>
          <w:tcPr>
            <w:tcW w:w="1494" w:type="dxa"/>
            <w:noWrap/>
            <w:vAlign w:val="center"/>
            <w:hideMark/>
          </w:tcPr>
          <w:p w14:paraId="3ABAA4B1" w14:textId="46758170" w:rsidR="000D66C1" w:rsidRPr="00951AB1" w:rsidRDefault="000D66C1"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33.192.755.963</w:t>
            </w:r>
          </w:p>
        </w:tc>
      </w:tr>
      <w:tr w:rsidR="00C70C31" w:rsidRPr="00951AB1" w14:paraId="46F2B016" w14:textId="77777777" w:rsidTr="000D66C1">
        <w:trPr>
          <w:trHeight w:val="285"/>
        </w:trPr>
        <w:tc>
          <w:tcPr>
            <w:tcW w:w="3964" w:type="dxa"/>
            <w:vAlign w:val="center"/>
            <w:hideMark/>
          </w:tcPr>
          <w:p w14:paraId="1483D7A6" w14:textId="77777777" w:rsidR="000D66C1" w:rsidRPr="00951AB1" w:rsidRDefault="000D66C1" w:rsidP="000A5389">
            <w:pPr>
              <w:spacing w:line="240" w:lineRule="auto"/>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Terrenos</w:t>
            </w:r>
          </w:p>
        </w:tc>
        <w:tc>
          <w:tcPr>
            <w:tcW w:w="1683" w:type="dxa"/>
            <w:noWrap/>
            <w:vAlign w:val="center"/>
            <w:hideMark/>
          </w:tcPr>
          <w:p w14:paraId="20F4BE85" w14:textId="59FF5B3B" w:rsidR="000D66C1" w:rsidRPr="00951AB1" w:rsidRDefault="000D66C1"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145.958.116.966</w:t>
            </w:r>
          </w:p>
        </w:tc>
        <w:tc>
          <w:tcPr>
            <w:tcW w:w="1687" w:type="dxa"/>
            <w:noWrap/>
            <w:vAlign w:val="center"/>
            <w:hideMark/>
          </w:tcPr>
          <w:p w14:paraId="683DA52B" w14:textId="0494A0DC" w:rsidR="000D66C1" w:rsidRPr="00951AB1" w:rsidRDefault="000D66C1"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143.051.326.345</w:t>
            </w:r>
          </w:p>
        </w:tc>
        <w:tc>
          <w:tcPr>
            <w:tcW w:w="1494" w:type="dxa"/>
            <w:noWrap/>
            <w:vAlign w:val="center"/>
            <w:hideMark/>
          </w:tcPr>
          <w:p w14:paraId="1FF64CF2" w14:textId="332C3DA0" w:rsidR="000D66C1" w:rsidRPr="00951AB1" w:rsidRDefault="000D66C1"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2.906.790.621</w:t>
            </w:r>
          </w:p>
        </w:tc>
      </w:tr>
      <w:tr w:rsidR="00C70C31" w:rsidRPr="00951AB1" w14:paraId="1321F1C1" w14:textId="77777777" w:rsidTr="000D66C1">
        <w:trPr>
          <w:trHeight w:val="285"/>
        </w:trPr>
        <w:tc>
          <w:tcPr>
            <w:tcW w:w="3964" w:type="dxa"/>
            <w:noWrap/>
            <w:vAlign w:val="center"/>
            <w:hideMark/>
          </w:tcPr>
          <w:p w14:paraId="675A2377" w14:textId="77777777" w:rsidR="000D66C1" w:rsidRPr="00951AB1" w:rsidRDefault="000D66C1" w:rsidP="000A5389">
            <w:pPr>
              <w:spacing w:line="240" w:lineRule="auto"/>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Recursos de la entidad concedente en patrimonios autónomos constituidos por concesionarios privados</w:t>
            </w:r>
          </w:p>
        </w:tc>
        <w:tc>
          <w:tcPr>
            <w:tcW w:w="1683" w:type="dxa"/>
            <w:noWrap/>
            <w:vAlign w:val="center"/>
            <w:hideMark/>
          </w:tcPr>
          <w:p w14:paraId="080F8684" w14:textId="06CE0215" w:rsidR="000D66C1" w:rsidRPr="00951AB1" w:rsidRDefault="000D66C1"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48.395.798.915</w:t>
            </w:r>
          </w:p>
        </w:tc>
        <w:tc>
          <w:tcPr>
            <w:tcW w:w="1687" w:type="dxa"/>
            <w:noWrap/>
            <w:vAlign w:val="center"/>
            <w:hideMark/>
          </w:tcPr>
          <w:p w14:paraId="56A83A36" w14:textId="67503F51" w:rsidR="000D66C1" w:rsidRPr="00951AB1" w:rsidRDefault="000D66C1"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204.308.411.729</w:t>
            </w:r>
          </w:p>
        </w:tc>
        <w:tc>
          <w:tcPr>
            <w:tcW w:w="1494" w:type="dxa"/>
            <w:noWrap/>
            <w:vAlign w:val="center"/>
            <w:hideMark/>
          </w:tcPr>
          <w:p w14:paraId="0ECE15AB" w14:textId="52D10621" w:rsidR="000D66C1" w:rsidRPr="00951AB1" w:rsidRDefault="000D66C1"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-155.912.612.814</w:t>
            </w:r>
          </w:p>
        </w:tc>
      </w:tr>
      <w:tr w:rsidR="00C70C31" w:rsidRPr="00951AB1" w14:paraId="5D3BD434" w14:textId="77777777" w:rsidTr="000D66C1">
        <w:trPr>
          <w:trHeight w:val="285"/>
        </w:trPr>
        <w:tc>
          <w:tcPr>
            <w:tcW w:w="3964" w:type="dxa"/>
            <w:vAlign w:val="center"/>
            <w:hideMark/>
          </w:tcPr>
          <w:p w14:paraId="1844282C" w14:textId="77777777" w:rsidR="000D66C1" w:rsidRPr="00951AB1" w:rsidRDefault="000D66C1" w:rsidP="000A5389">
            <w:pPr>
              <w:spacing w:line="240" w:lineRule="auto"/>
              <w:rPr>
                <w:rFonts w:eastAsia="Times New Roman" w:cs="Times New Roman"/>
                <w:b/>
                <w:bCs/>
                <w:color w:val="000000"/>
                <w:kern w:val="0"/>
                <w:sz w:val="18"/>
                <w:szCs w:val="18"/>
                <w:lang w:eastAsia="es-CO"/>
                <w14:ligatures w14:val="none"/>
              </w:rPr>
            </w:pPr>
            <w:r w:rsidRPr="00951AB1">
              <w:rPr>
                <w:rFonts w:eastAsia="Times New Roman" w:cs="Times New Roman"/>
                <w:b/>
                <w:bCs/>
                <w:color w:val="000000"/>
                <w:kern w:val="0"/>
                <w:sz w:val="18"/>
                <w:szCs w:val="18"/>
                <w:lang w:eastAsia="es-CO"/>
                <w14:ligatures w14:val="none"/>
              </w:rPr>
              <w:lastRenderedPageBreak/>
              <w:t>AUTOPISTA RIO MAGDALENA S A S</w:t>
            </w:r>
          </w:p>
        </w:tc>
        <w:tc>
          <w:tcPr>
            <w:tcW w:w="1683" w:type="dxa"/>
            <w:noWrap/>
            <w:vAlign w:val="center"/>
            <w:hideMark/>
          </w:tcPr>
          <w:p w14:paraId="09C5D629" w14:textId="4719EB2F" w:rsidR="000D66C1" w:rsidRPr="00951AB1" w:rsidRDefault="000D66C1" w:rsidP="000A5389">
            <w:pPr>
              <w:spacing w:line="240" w:lineRule="auto"/>
              <w:jc w:val="right"/>
              <w:rPr>
                <w:rFonts w:eastAsia="Times New Roman" w:cs="Times New Roman"/>
                <w:b/>
                <w:bCs/>
                <w:color w:val="000000"/>
                <w:kern w:val="0"/>
                <w:sz w:val="18"/>
                <w:szCs w:val="18"/>
                <w:lang w:eastAsia="es-CO"/>
                <w14:ligatures w14:val="none"/>
              </w:rPr>
            </w:pPr>
            <w:r w:rsidRPr="00951AB1">
              <w:rPr>
                <w:rFonts w:eastAsia="Times New Roman" w:cs="Times New Roman"/>
                <w:b/>
                <w:bCs/>
                <w:color w:val="000000"/>
                <w:kern w:val="0"/>
                <w:sz w:val="18"/>
                <w:szCs w:val="18"/>
                <w:lang w:eastAsia="es-CO"/>
                <w14:ligatures w14:val="none"/>
              </w:rPr>
              <w:t>2.036.099.503.130</w:t>
            </w:r>
          </w:p>
        </w:tc>
        <w:tc>
          <w:tcPr>
            <w:tcW w:w="1687" w:type="dxa"/>
            <w:noWrap/>
            <w:vAlign w:val="center"/>
            <w:hideMark/>
          </w:tcPr>
          <w:p w14:paraId="05B5A2E3" w14:textId="4F23FFFC" w:rsidR="000D66C1" w:rsidRPr="00951AB1" w:rsidRDefault="000D66C1" w:rsidP="000A5389">
            <w:pPr>
              <w:spacing w:line="240" w:lineRule="auto"/>
              <w:jc w:val="right"/>
              <w:rPr>
                <w:rFonts w:eastAsia="Times New Roman" w:cs="Times New Roman"/>
                <w:b/>
                <w:bCs/>
                <w:color w:val="000000"/>
                <w:kern w:val="0"/>
                <w:sz w:val="18"/>
                <w:szCs w:val="18"/>
                <w:lang w:eastAsia="es-CO"/>
                <w14:ligatures w14:val="none"/>
              </w:rPr>
            </w:pPr>
            <w:r w:rsidRPr="00951AB1">
              <w:rPr>
                <w:rFonts w:eastAsia="Times New Roman" w:cs="Times New Roman"/>
                <w:b/>
                <w:bCs/>
                <w:color w:val="000000"/>
                <w:kern w:val="0"/>
                <w:sz w:val="18"/>
                <w:szCs w:val="18"/>
                <w:lang w:eastAsia="es-CO"/>
                <w14:ligatures w14:val="none"/>
              </w:rPr>
              <w:t>2.783.684.816.134</w:t>
            </w:r>
          </w:p>
        </w:tc>
        <w:tc>
          <w:tcPr>
            <w:tcW w:w="1494" w:type="dxa"/>
            <w:noWrap/>
            <w:vAlign w:val="center"/>
            <w:hideMark/>
          </w:tcPr>
          <w:p w14:paraId="24369697" w14:textId="44252132" w:rsidR="000D66C1" w:rsidRPr="00951AB1" w:rsidRDefault="000D66C1" w:rsidP="000A5389">
            <w:pPr>
              <w:spacing w:line="240" w:lineRule="auto"/>
              <w:jc w:val="right"/>
              <w:rPr>
                <w:rFonts w:eastAsia="Times New Roman" w:cs="Times New Roman"/>
                <w:b/>
                <w:bCs/>
                <w:color w:val="000000"/>
                <w:kern w:val="0"/>
                <w:sz w:val="18"/>
                <w:szCs w:val="18"/>
                <w:lang w:eastAsia="es-CO"/>
                <w14:ligatures w14:val="none"/>
              </w:rPr>
            </w:pPr>
            <w:r w:rsidRPr="00951AB1">
              <w:rPr>
                <w:rFonts w:eastAsia="Times New Roman" w:cs="Times New Roman"/>
                <w:b/>
                <w:bCs/>
                <w:color w:val="000000"/>
                <w:kern w:val="0"/>
                <w:sz w:val="18"/>
                <w:szCs w:val="18"/>
                <w:lang w:eastAsia="es-CO"/>
                <w14:ligatures w14:val="none"/>
              </w:rPr>
              <w:t>-747.585.313.004</w:t>
            </w:r>
          </w:p>
        </w:tc>
      </w:tr>
      <w:tr w:rsidR="00C70C31" w:rsidRPr="00951AB1" w14:paraId="38F6A25C" w14:textId="77777777" w:rsidTr="000D66C1">
        <w:trPr>
          <w:trHeight w:val="285"/>
        </w:trPr>
        <w:tc>
          <w:tcPr>
            <w:tcW w:w="3964" w:type="dxa"/>
            <w:vAlign w:val="center"/>
            <w:hideMark/>
          </w:tcPr>
          <w:p w14:paraId="5B48B551" w14:textId="77777777" w:rsidR="000D66C1" w:rsidRPr="00951AB1" w:rsidRDefault="000D66C1" w:rsidP="000A5389">
            <w:pPr>
              <w:spacing w:line="240" w:lineRule="auto"/>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Activos intangibles en concesión</w:t>
            </w:r>
          </w:p>
        </w:tc>
        <w:tc>
          <w:tcPr>
            <w:tcW w:w="1683" w:type="dxa"/>
            <w:noWrap/>
            <w:vAlign w:val="center"/>
            <w:hideMark/>
          </w:tcPr>
          <w:p w14:paraId="0F60C9E2" w14:textId="6F55616D" w:rsidR="000D66C1" w:rsidRPr="00951AB1" w:rsidRDefault="000D66C1"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1.280.385.591</w:t>
            </w:r>
          </w:p>
        </w:tc>
        <w:tc>
          <w:tcPr>
            <w:tcW w:w="1687" w:type="dxa"/>
            <w:noWrap/>
            <w:vAlign w:val="center"/>
            <w:hideMark/>
          </w:tcPr>
          <w:p w14:paraId="0F2D9455" w14:textId="0A0B33C7" w:rsidR="000D66C1" w:rsidRPr="00951AB1" w:rsidRDefault="000D66C1"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674.479.871</w:t>
            </w:r>
          </w:p>
        </w:tc>
        <w:tc>
          <w:tcPr>
            <w:tcW w:w="1494" w:type="dxa"/>
            <w:noWrap/>
            <w:vAlign w:val="center"/>
            <w:hideMark/>
          </w:tcPr>
          <w:p w14:paraId="62A04151" w14:textId="1B25902F" w:rsidR="000D66C1" w:rsidRPr="00951AB1" w:rsidRDefault="000D66C1"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605.905.720</w:t>
            </w:r>
          </w:p>
        </w:tc>
      </w:tr>
      <w:tr w:rsidR="00C70C31" w:rsidRPr="00951AB1" w14:paraId="5C4EEFDA" w14:textId="77777777" w:rsidTr="000D66C1">
        <w:trPr>
          <w:trHeight w:val="285"/>
        </w:trPr>
        <w:tc>
          <w:tcPr>
            <w:tcW w:w="3964" w:type="dxa"/>
            <w:vAlign w:val="center"/>
            <w:hideMark/>
          </w:tcPr>
          <w:p w14:paraId="68BF6668" w14:textId="77777777" w:rsidR="000D66C1" w:rsidRPr="00951AB1" w:rsidRDefault="000D66C1" w:rsidP="000A5389">
            <w:pPr>
              <w:spacing w:line="240" w:lineRule="auto"/>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Propiedades, Plan y Equipo</w:t>
            </w:r>
          </w:p>
        </w:tc>
        <w:tc>
          <w:tcPr>
            <w:tcW w:w="1683" w:type="dxa"/>
            <w:noWrap/>
            <w:vAlign w:val="center"/>
            <w:hideMark/>
          </w:tcPr>
          <w:p w14:paraId="11C88C76" w14:textId="2629B156" w:rsidR="000D66C1" w:rsidRPr="00951AB1" w:rsidRDefault="000D66C1"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24.950.712.961</w:t>
            </w:r>
          </w:p>
        </w:tc>
        <w:tc>
          <w:tcPr>
            <w:tcW w:w="1687" w:type="dxa"/>
            <w:noWrap/>
            <w:vAlign w:val="center"/>
            <w:hideMark/>
          </w:tcPr>
          <w:p w14:paraId="55C134D3" w14:textId="730C9F62" w:rsidR="000D66C1" w:rsidRPr="00951AB1" w:rsidRDefault="000D66C1"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9.291.417.491</w:t>
            </w:r>
          </w:p>
        </w:tc>
        <w:tc>
          <w:tcPr>
            <w:tcW w:w="1494" w:type="dxa"/>
            <w:noWrap/>
            <w:vAlign w:val="center"/>
            <w:hideMark/>
          </w:tcPr>
          <w:p w14:paraId="70147810" w14:textId="1FE346AF" w:rsidR="000D66C1" w:rsidRPr="00951AB1" w:rsidRDefault="000D66C1"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15.659.295.470</w:t>
            </w:r>
          </w:p>
        </w:tc>
      </w:tr>
      <w:tr w:rsidR="00C70C31" w:rsidRPr="00951AB1" w14:paraId="19825822" w14:textId="77777777" w:rsidTr="000D66C1">
        <w:trPr>
          <w:trHeight w:val="285"/>
        </w:trPr>
        <w:tc>
          <w:tcPr>
            <w:tcW w:w="3964" w:type="dxa"/>
            <w:vAlign w:val="center"/>
            <w:hideMark/>
          </w:tcPr>
          <w:p w14:paraId="5B5469B7" w14:textId="77777777" w:rsidR="000D66C1" w:rsidRPr="00951AB1" w:rsidRDefault="000D66C1" w:rsidP="000A5389">
            <w:pPr>
              <w:spacing w:line="240" w:lineRule="auto"/>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Red carretera</w:t>
            </w:r>
          </w:p>
        </w:tc>
        <w:tc>
          <w:tcPr>
            <w:tcW w:w="1683" w:type="dxa"/>
            <w:noWrap/>
            <w:vAlign w:val="center"/>
            <w:hideMark/>
          </w:tcPr>
          <w:p w14:paraId="5068846B" w14:textId="1F35DBDE" w:rsidR="000D66C1" w:rsidRPr="00951AB1" w:rsidRDefault="000D66C1"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1.729.960.118.902</w:t>
            </w:r>
          </w:p>
        </w:tc>
        <w:tc>
          <w:tcPr>
            <w:tcW w:w="1687" w:type="dxa"/>
            <w:noWrap/>
            <w:vAlign w:val="center"/>
            <w:hideMark/>
          </w:tcPr>
          <w:p w14:paraId="54ACEF23" w14:textId="1A15E9C9" w:rsidR="000D66C1" w:rsidRPr="00951AB1" w:rsidRDefault="000D66C1"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1.672.336.946.173</w:t>
            </w:r>
          </w:p>
        </w:tc>
        <w:tc>
          <w:tcPr>
            <w:tcW w:w="1494" w:type="dxa"/>
            <w:noWrap/>
            <w:vAlign w:val="center"/>
            <w:hideMark/>
          </w:tcPr>
          <w:p w14:paraId="095EEBA2" w14:textId="1CDE59C0" w:rsidR="000D66C1" w:rsidRPr="00951AB1" w:rsidRDefault="000D66C1"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57.623.172.730</w:t>
            </w:r>
          </w:p>
        </w:tc>
      </w:tr>
      <w:tr w:rsidR="00C70C31" w:rsidRPr="00951AB1" w14:paraId="39562945" w14:textId="77777777" w:rsidTr="000D66C1">
        <w:trPr>
          <w:trHeight w:val="285"/>
        </w:trPr>
        <w:tc>
          <w:tcPr>
            <w:tcW w:w="3964" w:type="dxa"/>
            <w:vAlign w:val="center"/>
            <w:hideMark/>
          </w:tcPr>
          <w:p w14:paraId="387BBF42" w14:textId="77777777" w:rsidR="000D66C1" w:rsidRPr="00951AB1" w:rsidRDefault="000D66C1" w:rsidP="000A5389">
            <w:pPr>
              <w:spacing w:line="240" w:lineRule="auto"/>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Terrenos</w:t>
            </w:r>
          </w:p>
        </w:tc>
        <w:tc>
          <w:tcPr>
            <w:tcW w:w="1683" w:type="dxa"/>
            <w:noWrap/>
            <w:vAlign w:val="center"/>
            <w:hideMark/>
          </w:tcPr>
          <w:p w14:paraId="7E651593" w14:textId="18D11313" w:rsidR="000D66C1" w:rsidRPr="00951AB1" w:rsidRDefault="000D66C1"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20.400.450.968</w:t>
            </w:r>
          </w:p>
        </w:tc>
        <w:tc>
          <w:tcPr>
            <w:tcW w:w="1687" w:type="dxa"/>
            <w:noWrap/>
            <w:vAlign w:val="center"/>
            <w:hideMark/>
          </w:tcPr>
          <w:p w14:paraId="06F99700" w14:textId="3BCEF974" w:rsidR="000D66C1" w:rsidRPr="00951AB1" w:rsidRDefault="000D66C1"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19.398.677.282</w:t>
            </w:r>
          </w:p>
        </w:tc>
        <w:tc>
          <w:tcPr>
            <w:tcW w:w="1494" w:type="dxa"/>
            <w:noWrap/>
            <w:vAlign w:val="center"/>
            <w:hideMark/>
          </w:tcPr>
          <w:p w14:paraId="30229260" w14:textId="24DF94E9" w:rsidR="000D66C1" w:rsidRPr="00951AB1" w:rsidRDefault="000D66C1"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1.001.773.686</w:t>
            </w:r>
          </w:p>
        </w:tc>
      </w:tr>
      <w:tr w:rsidR="00C70C31" w:rsidRPr="00951AB1" w14:paraId="308F1A31" w14:textId="77777777" w:rsidTr="000D66C1">
        <w:trPr>
          <w:trHeight w:val="570"/>
        </w:trPr>
        <w:tc>
          <w:tcPr>
            <w:tcW w:w="3964" w:type="dxa"/>
            <w:vAlign w:val="center"/>
            <w:hideMark/>
          </w:tcPr>
          <w:p w14:paraId="3979FEFA" w14:textId="77777777" w:rsidR="000D66C1" w:rsidRPr="00951AB1" w:rsidRDefault="000D66C1" w:rsidP="000A5389">
            <w:pPr>
              <w:spacing w:line="240" w:lineRule="auto"/>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Recursos de la entidad concedente en patrimonios autónomos constituidos por concesionarios privados</w:t>
            </w:r>
          </w:p>
        </w:tc>
        <w:tc>
          <w:tcPr>
            <w:tcW w:w="1683" w:type="dxa"/>
            <w:noWrap/>
            <w:vAlign w:val="center"/>
            <w:hideMark/>
          </w:tcPr>
          <w:p w14:paraId="18379E88" w14:textId="05BF8751" w:rsidR="000D66C1" w:rsidRPr="00951AB1" w:rsidRDefault="000D66C1"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259.507.834.707</w:t>
            </w:r>
          </w:p>
        </w:tc>
        <w:tc>
          <w:tcPr>
            <w:tcW w:w="1687" w:type="dxa"/>
            <w:noWrap/>
            <w:vAlign w:val="center"/>
            <w:hideMark/>
          </w:tcPr>
          <w:p w14:paraId="28C9757D" w14:textId="36D7BCBD" w:rsidR="000D66C1" w:rsidRPr="00951AB1" w:rsidRDefault="000D66C1"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1.081.983.295.317</w:t>
            </w:r>
          </w:p>
        </w:tc>
        <w:tc>
          <w:tcPr>
            <w:tcW w:w="1494" w:type="dxa"/>
            <w:noWrap/>
            <w:vAlign w:val="center"/>
            <w:hideMark/>
          </w:tcPr>
          <w:p w14:paraId="53AD0B16" w14:textId="72F20533" w:rsidR="000D66C1" w:rsidRPr="00951AB1" w:rsidRDefault="000D66C1"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-822.475.460.610</w:t>
            </w:r>
          </w:p>
        </w:tc>
      </w:tr>
      <w:tr w:rsidR="00C70C31" w:rsidRPr="00951AB1" w14:paraId="5440C75F" w14:textId="77777777" w:rsidTr="000D66C1">
        <w:trPr>
          <w:trHeight w:val="285"/>
        </w:trPr>
        <w:tc>
          <w:tcPr>
            <w:tcW w:w="3964" w:type="dxa"/>
            <w:vAlign w:val="center"/>
            <w:hideMark/>
          </w:tcPr>
          <w:p w14:paraId="7CECA369" w14:textId="77777777" w:rsidR="000D66C1" w:rsidRPr="00951AB1" w:rsidRDefault="000D66C1" w:rsidP="000A5389">
            <w:pPr>
              <w:spacing w:line="240" w:lineRule="auto"/>
              <w:rPr>
                <w:rFonts w:eastAsia="Times New Roman" w:cs="Times New Roman"/>
                <w:b/>
                <w:bCs/>
                <w:color w:val="000000"/>
                <w:kern w:val="0"/>
                <w:sz w:val="18"/>
                <w:szCs w:val="18"/>
                <w:lang w:eastAsia="es-CO"/>
                <w14:ligatures w14:val="none"/>
              </w:rPr>
            </w:pPr>
            <w:r w:rsidRPr="00951AB1">
              <w:rPr>
                <w:rFonts w:eastAsia="Times New Roman" w:cs="Times New Roman"/>
                <w:b/>
                <w:bCs/>
                <w:color w:val="000000"/>
                <w:kern w:val="0"/>
                <w:sz w:val="18"/>
                <w:szCs w:val="18"/>
                <w:lang w:eastAsia="es-CO"/>
                <w14:ligatures w14:val="none"/>
              </w:rPr>
              <w:t>AUTOPISTAS DEL NORDESTE S.A.S.</w:t>
            </w:r>
          </w:p>
        </w:tc>
        <w:tc>
          <w:tcPr>
            <w:tcW w:w="1683" w:type="dxa"/>
            <w:noWrap/>
            <w:vAlign w:val="center"/>
            <w:hideMark/>
          </w:tcPr>
          <w:p w14:paraId="1D45FCA4" w14:textId="6026C3CA" w:rsidR="000D66C1" w:rsidRPr="00951AB1" w:rsidRDefault="000D66C1" w:rsidP="000A5389">
            <w:pPr>
              <w:spacing w:line="240" w:lineRule="auto"/>
              <w:jc w:val="right"/>
              <w:rPr>
                <w:rFonts w:eastAsia="Times New Roman" w:cs="Times New Roman"/>
                <w:b/>
                <w:bCs/>
                <w:color w:val="000000"/>
                <w:kern w:val="0"/>
                <w:sz w:val="18"/>
                <w:szCs w:val="18"/>
                <w:lang w:eastAsia="es-CO"/>
                <w14:ligatures w14:val="none"/>
              </w:rPr>
            </w:pPr>
            <w:r w:rsidRPr="00951AB1">
              <w:rPr>
                <w:rFonts w:eastAsia="Times New Roman" w:cs="Times New Roman"/>
                <w:b/>
                <w:bCs/>
                <w:color w:val="000000"/>
                <w:kern w:val="0"/>
                <w:sz w:val="18"/>
                <w:szCs w:val="18"/>
                <w:lang w:eastAsia="es-CO"/>
                <w14:ligatures w14:val="none"/>
              </w:rPr>
              <w:t>972.777.757.975</w:t>
            </w:r>
          </w:p>
        </w:tc>
        <w:tc>
          <w:tcPr>
            <w:tcW w:w="1687" w:type="dxa"/>
            <w:noWrap/>
            <w:vAlign w:val="center"/>
            <w:hideMark/>
          </w:tcPr>
          <w:p w14:paraId="20F9DF0B" w14:textId="33FC2299" w:rsidR="000D66C1" w:rsidRPr="00951AB1" w:rsidRDefault="000D66C1" w:rsidP="000A5389">
            <w:pPr>
              <w:spacing w:line="240" w:lineRule="auto"/>
              <w:jc w:val="right"/>
              <w:rPr>
                <w:rFonts w:eastAsia="Times New Roman" w:cs="Times New Roman"/>
                <w:b/>
                <w:bCs/>
                <w:color w:val="000000"/>
                <w:kern w:val="0"/>
                <w:sz w:val="18"/>
                <w:szCs w:val="18"/>
                <w:lang w:eastAsia="es-CO"/>
                <w14:ligatures w14:val="none"/>
              </w:rPr>
            </w:pPr>
            <w:r w:rsidRPr="00951AB1">
              <w:rPr>
                <w:rFonts w:eastAsia="Times New Roman" w:cs="Times New Roman"/>
                <w:b/>
                <w:bCs/>
                <w:color w:val="000000"/>
                <w:kern w:val="0"/>
                <w:sz w:val="18"/>
                <w:szCs w:val="18"/>
                <w:lang w:eastAsia="es-CO"/>
                <w14:ligatures w14:val="none"/>
              </w:rPr>
              <w:t>1.108.141.035.451</w:t>
            </w:r>
          </w:p>
        </w:tc>
        <w:tc>
          <w:tcPr>
            <w:tcW w:w="1494" w:type="dxa"/>
            <w:noWrap/>
            <w:vAlign w:val="center"/>
            <w:hideMark/>
          </w:tcPr>
          <w:p w14:paraId="2CEE7D11" w14:textId="6F891897" w:rsidR="000D66C1" w:rsidRPr="00951AB1" w:rsidRDefault="000D66C1" w:rsidP="000A5389">
            <w:pPr>
              <w:spacing w:line="240" w:lineRule="auto"/>
              <w:jc w:val="right"/>
              <w:rPr>
                <w:rFonts w:eastAsia="Times New Roman" w:cs="Times New Roman"/>
                <w:b/>
                <w:bCs/>
                <w:color w:val="000000"/>
                <w:kern w:val="0"/>
                <w:sz w:val="18"/>
                <w:szCs w:val="18"/>
                <w:lang w:eastAsia="es-CO"/>
                <w14:ligatures w14:val="none"/>
              </w:rPr>
            </w:pPr>
            <w:r w:rsidRPr="00951AB1">
              <w:rPr>
                <w:rFonts w:eastAsia="Times New Roman" w:cs="Times New Roman"/>
                <w:b/>
                <w:bCs/>
                <w:color w:val="000000"/>
                <w:kern w:val="0"/>
                <w:sz w:val="18"/>
                <w:szCs w:val="18"/>
                <w:lang w:eastAsia="es-CO"/>
                <w14:ligatures w14:val="none"/>
              </w:rPr>
              <w:t>-135.363.277.476</w:t>
            </w:r>
          </w:p>
        </w:tc>
      </w:tr>
      <w:tr w:rsidR="00C70C31" w:rsidRPr="00951AB1" w14:paraId="5561A2FE" w14:textId="77777777" w:rsidTr="000D66C1">
        <w:trPr>
          <w:trHeight w:val="285"/>
        </w:trPr>
        <w:tc>
          <w:tcPr>
            <w:tcW w:w="3964" w:type="dxa"/>
            <w:vAlign w:val="center"/>
            <w:hideMark/>
          </w:tcPr>
          <w:p w14:paraId="542D6B51" w14:textId="77777777" w:rsidR="000D66C1" w:rsidRPr="00951AB1" w:rsidRDefault="000D66C1" w:rsidP="000A5389">
            <w:pPr>
              <w:spacing w:line="240" w:lineRule="auto"/>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Propiedades, Plan y Equipo</w:t>
            </w:r>
          </w:p>
        </w:tc>
        <w:tc>
          <w:tcPr>
            <w:tcW w:w="1683" w:type="dxa"/>
            <w:noWrap/>
            <w:vAlign w:val="center"/>
            <w:hideMark/>
          </w:tcPr>
          <w:p w14:paraId="6D7ADA2A" w14:textId="63874094" w:rsidR="000D66C1" w:rsidRPr="00951AB1" w:rsidRDefault="000D66C1"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7.506.933.793</w:t>
            </w:r>
          </w:p>
        </w:tc>
        <w:tc>
          <w:tcPr>
            <w:tcW w:w="1687" w:type="dxa"/>
            <w:noWrap/>
            <w:vAlign w:val="center"/>
            <w:hideMark/>
          </w:tcPr>
          <w:p w14:paraId="1D107200" w14:textId="43759A13" w:rsidR="000D66C1" w:rsidRPr="00951AB1" w:rsidRDefault="000D66C1"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6.468.115.789</w:t>
            </w:r>
          </w:p>
        </w:tc>
        <w:tc>
          <w:tcPr>
            <w:tcW w:w="1494" w:type="dxa"/>
            <w:noWrap/>
            <w:vAlign w:val="center"/>
            <w:hideMark/>
          </w:tcPr>
          <w:p w14:paraId="1AF21D7A" w14:textId="1D849229" w:rsidR="000D66C1" w:rsidRPr="00951AB1" w:rsidRDefault="000D66C1"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1.038.818.004</w:t>
            </w:r>
          </w:p>
        </w:tc>
      </w:tr>
      <w:tr w:rsidR="00C70C31" w:rsidRPr="00951AB1" w14:paraId="0DCD092A" w14:textId="77777777" w:rsidTr="000D66C1">
        <w:trPr>
          <w:trHeight w:val="285"/>
        </w:trPr>
        <w:tc>
          <w:tcPr>
            <w:tcW w:w="3964" w:type="dxa"/>
            <w:vAlign w:val="center"/>
            <w:hideMark/>
          </w:tcPr>
          <w:p w14:paraId="1DB6C3AA" w14:textId="77777777" w:rsidR="000D66C1" w:rsidRPr="00951AB1" w:rsidRDefault="000D66C1" w:rsidP="000A5389">
            <w:pPr>
              <w:spacing w:line="240" w:lineRule="auto"/>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Red carretera</w:t>
            </w:r>
          </w:p>
        </w:tc>
        <w:tc>
          <w:tcPr>
            <w:tcW w:w="1683" w:type="dxa"/>
            <w:noWrap/>
            <w:vAlign w:val="center"/>
            <w:hideMark/>
          </w:tcPr>
          <w:p w14:paraId="077D1EFD" w14:textId="58911D9E" w:rsidR="000D66C1" w:rsidRPr="00951AB1" w:rsidRDefault="000D66C1"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859.241.967.033</w:t>
            </w:r>
          </w:p>
        </w:tc>
        <w:tc>
          <w:tcPr>
            <w:tcW w:w="1687" w:type="dxa"/>
            <w:noWrap/>
            <w:vAlign w:val="center"/>
            <w:hideMark/>
          </w:tcPr>
          <w:p w14:paraId="661A754C" w14:textId="66CA3F97" w:rsidR="000D66C1" w:rsidRPr="00951AB1" w:rsidRDefault="000D66C1"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844.951.816.723</w:t>
            </w:r>
          </w:p>
        </w:tc>
        <w:tc>
          <w:tcPr>
            <w:tcW w:w="1494" w:type="dxa"/>
            <w:noWrap/>
            <w:vAlign w:val="center"/>
            <w:hideMark/>
          </w:tcPr>
          <w:p w14:paraId="2012D6F4" w14:textId="7640F10E" w:rsidR="000D66C1" w:rsidRPr="00951AB1" w:rsidRDefault="000D66C1"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14.290.150.311</w:t>
            </w:r>
          </w:p>
        </w:tc>
      </w:tr>
      <w:tr w:rsidR="00C70C31" w:rsidRPr="00951AB1" w14:paraId="55A583FC" w14:textId="77777777" w:rsidTr="000D66C1">
        <w:trPr>
          <w:trHeight w:val="285"/>
        </w:trPr>
        <w:tc>
          <w:tcPr>
            <w:tcW w:w="3964" w:type="dxa"/>
            <w:vAlign w:val="center"/>
            <w:hideMark/>
          </w:tcPr>
          <w:p w14:paraId="0DE53E6B" w14:textId="77777777" w:rsidR="000D66C1" w:rsidRPr="00951AB1" w:rsidRDefault="000D66C1" w:rsidP="000A5389">
            <w:pPr>
              <w:spacing w:line="240" w:lineRule="auto"/>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Terrenos</w:t>
            </w:r>
          </w:p>
        </w:tc>
        <w:tc>
          <w:tcPr>
            <w:tcW w:w="1683" w:type="dxa"/>
            <w:noWrap/>
            <w:vAlign w:val="center"/>
            <w:hideMark/>
          </w:tcPr>
          <w:p w14:paraId="2E983E27" w14:textId="4A5F07D2" w:rsidR="000D66C1" w:rsidRPr="00951AB1" w:rsidRDefault="000D66C1"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51.106.079.908</w:t>
            </w:r>
          </w:p>
        </w:tc>
        <w:tc>
          <w:tcPr>
            <w:tcW w:w="1687" w:type="dxa"/>
            <w:noWrap/>
            <w:vAlign w:val="center"/>
            <w:hideMark/>
          </w:tcPr>
          <w:p w14:paraId="21952940" w14:textId="73506DB6" w:rsidR="000D66C1" w:rsidRPr="00951AB1" w:rsidRDefault="000D66C1"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51.106.079.909</w:t>
            </w:r>
          </w:p>
        </w:tc>
        <w:tc>
          <w:tcPr>
            <w:tcW w:w="1494" w:type="dxa"/>
            <w:noWrap/>
            <w:vAlign w:val="center"/>
            <w:hideMark/>
          </w:tcPr>
          <w:p w14:paraId="725C2FDF" w14:textId="1D0CC269" w:rsidR="000D66C1" w:rsidRPr="00951AB1" w:rsidRDefault="000D66C1"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-1</w:t>
            </w:r>
          </w:p>
        </w:tc>
      </w:tr>
      <w:tr w:rsidR="00C70C31" w:rsidRPr="00951AB1" w14:paraId="376651B8" w14:textId="77777777" w:rsidTr="000D66C1">
        <w:trPr>
          <w:trHeight w:val="570"/>
        </w:trPr>
        <w:tc>
          <w:tcPr>
            <w:tcW w:w="3964" w:type="dxa"/>
            <w:vAlign w:val="center"/>
            <w:hideMark/>
          </w:tcPr>
          <w:p w14:paraId="49C52BB2" w14:textId="77777777" w:rsidR="000D66C1" w:rsidRPr="00951AB1" w:rsidRDefault="000D66C1" w:rsidP="000A5389">
            <w:pPr>
              <w:spacing w:line="240" w:lineRule="auto"/>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Recursos de la entidad concedente en patrimonios autónomos constituidos por concesionarios privados</w:t>
            </w:r>
          </w:p>
        </w:tc>
        <w:tc>
          <w:tcPr>
            <w:tcW w:w="1683" w:type="dxa"/>
            <w:noWrap/>
            <w:vAlign w:val="center"/>
            <w:hideMark/>
          </w:tcPr>
          <w:p w14:paraId="2C2A1AA4" w14:textId="77E7EBD1" w:rsidR="000D66C1" w:rsidRPr="00951AB1" w:rsidRDefault="000D66C1"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54.922.777.241</w:t>
            </w:r>
          </w:p>
        </w:tc>
        <w:tc>
          <w:tcPr>
            <w:tcW w:w="1687" w:type="dxa"/>
            <w:noWrap/>
            <w:vAlign w:val="center"/>
            <w:hideMark/>
          </w:tcPr>
          <w:p w14:paraId="664CCA49" w14:textId="673827ED" w:rsidR="000D66C1" w:rsidRPr="00951AB1" w:rsidRDefault="000D66C1"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205.615.023.030</w:t>
            </w:r>
          </w:p>
        </w:tc>
        <w:tc>
          <w:tcPr>
            <w:tcW w:w="1494" w:type="dxa"/>
            <w:noWrap/>
            <w:vAlign w:val="center"/>
            <w:hideMark/>
          </w:tcPr>
          <w:p w14:paraId="2AF94204" w14:textId="01343733" w:rsidR="000D66C1" w:rsidRPr="00951AB1" w:rsidRDefault="000D66C1"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-150.692.245.789</w:t>
            </w:r>
          </w:p>
        </w:tc>
      </w:tr>
      <w:tr w:rsidR="00C70C31" w:rsidRPr="00951AB1" w14:paraId="0EB553A2" w14:textId="77777777" w:rsidTr="000D66C1">
        <w:trPr>
          <w:trHeight w:val="285"/>
        </w:trPr>
        <w:tc>
          <w:tcPr>
            <w:tcW w:w="3964" w:type="dxa"/>
            <w:vAlign w:val="center"/>
            <w:hideMark/>
          </w:tcPr>
          <w:p w14:paraId="6B59D782" w14:textId="77777777" w:rsidR="000D66C1" w:rsidRPr="00951AB1" w:rsidRDefault="000D66C1" w:rsidP="000A5389">
            <w:pPr>
              <w:spacing w:line="240" w:lineRule="auto"/>
              <w:rPr>
                <w:rFonts w:eastAsia="Times New Roman" w:cs="Times New Roman"/>
                <w:b/>
                <w:bCs/>
                <w:color w:val="000000"/>
                <w:kern w:val="0"/>
                <w:sz w:val="18"/>
                <w:szCs w:val="18"/>
                <w:lang w:eastAsia="es-CO"/>
                <w14:ligatures w14:val="none"/>
              </w:rPr>
            </w:pPr>
            <w:r w:rsidRPr="00951AB1">
              <w:rPr>
                <w:rFonts w:eastAsia="Times New Roman" w:cs="Times New Roman"/>
                <w:b/>
                <w:bCs/>
                <w:color w:val="000000"/>
                <w:kern w:val="0"/>
                <w:sz w:val="18"/>
                <w:szCs w:val="18"/>
                <w:lang w:eastAsia="es-CO"/>
                <w14:ligatures w14:val="none"/>
              </w:rPr>
              <w:t>CONCESIONARIA NUEVA VIA AL MAR S.A.S</w:t>
            </w:r>
          </w:p>
        </w:tc>
        <w:tc>
          <w:tcPr>
            <w:tcW w:w="1683" w:type="dxa"/>
            <w:noWrap/>
            <w:vAlign w:val="center"/>
            <w:hideMark/>
          </w:tcPr>
          <w:p w14:paraId="70AD83FE" w14:textId="204D7CE3" w:rsidR="000D66C1" w:rsidRPr="00951AB1" w:rsidRDefault="000D66C1" w:rsidP="000A5389">
            <w:pPr>
              <w:spacing w:line="240" w:lineRule="auto"/>
              <w:jc w:val="right"/>
              <w:rPr>
                <w:rFonts w:eastAsia="Times New Roman" w:cs="Times New Roman"/>
                <w:b/>
                <w:bCs/>
                <w:color w:val="000000"/>
                <w:kern w:val="0"/>
                <w:sz w:val="18"/>
                <w:szCs w:val="18"/>
                <w:lang w:eastAsia="es-CO"/>
                <w14:ligatures w14:val="none"/>
              </w:rPr>
            </w:pPr>
            <w:r w:rsidRPr="00951AB1">
              <w:rPr>
                <w:rFonts w:eastAsia="Times New Roman" w:cs="Times New Roman"/>
                <w:b/>
                <w:bCs/>
                <w:color w:val="000000"/>
                <w:kern w:val="0"/>
                <w:sz w:val="18"/>
                <w:szCs w:val="18"/>
                <w:lang w:eastAsia="es-CO"/>
                <w14:ligatures w14:val="none"/>
              </w:rPr>
              <w:t>1.821.983.460.163</w:t>
            </w:r>
          </w:p>
        </w:tc>
        <w:tc>
          <w:tcPr>
            <w:tcW w:w="1687" w:type="dxa"/>
            <w:noWrap/>
            <w:vAlign w:val="center"/>
            <w:hideMark/>
          </w:tcPr>
          <w:p w14:paraId="4BADAB86" w14:textId="364706E4" w:rsidR="000D66C1" w:rsidRPr="00951AB1" w:rsidRDefault="000D66C1" w:rsidP="000A5389">
            <w:pPr>
              <w:spacing w:line="240" w:lineRule="auto"/>
              <w:jc w:val="right"/>
              <w:rPr>
                <w:rFonts w:eastAsia="Times New Roman" w:cs="Times New Roman"/>
                <w:b/>
                <w:bCs/>
                <w:color w:val="000000"/>
                <w:kern w:val="0"/>
                <w:sz w:val="18"/>
                <w:szCs w:val="18"/>
                <w:lang w:eastAsia="es-CO"/>
                <w14:ligatures w14:val="none"/>
              </w:rPr>
            </w:pPr>
            <w:r w:rsidRPr="00951AB1">
              <w:rPr>
                <w:rFonts w:eastAsia="Times New Roman" w:cs="Times New Roman"/>
                <w:b/>
                <w:bCs/>
                <w:color w:val="000000"/>
                <w:kern w:val="0"/>
                <w:sz w:val="18"/>
                <w:szCs w:val="18"/>
                <w:lang w:eastAsia="es-CO"/>
                <w14:ligatures w14:val="none"/>
              </w:rPr>
              <w:t>1.820.190.004.902</w:t>
            </w:r>
          </w:p>
        </w:tc>
        <w:tc>
          <w:tcPr>
            <w:tcW w:w="1494" w:type="dxa"/>
            <w:noWrap/>
            <w:vAlign w:val="center"/>
            <w:hideMark/>
          </w:tcPr>
          <w:p w14:paraId="6099FE15" w14:textId="4240932E" w:rsidR="000D66C1" w:rsidRPr="00951AB1" w:rsidRDefault="000D66C1" w:rsidP="000A5389">
            <w:pPr>
              <w:spacing w:line="240" w:lineRule="auto"/>
              <w:jc w:val="right"/>
              <w:rPr>
                <w:rFonts w:eastAsia="Times New Roman" w:cs="Times New Roman"/>
                <w:b/>
                <w:bCs/>
                <w:color w:val="000000"/>
                <w:kern w:val="0"/>
                <w:sz w:val="18"/>
                <w:szCs w:val="18"/>
                <w:lang w:eastAsia="es-CO"/>
                <w14:ligatures w14:val="none"/>
              </w:rPr>
            </w:pPr>
            <w:r w:rsidRPr="00951AB1">
              <w:rPr>
                <w:rFonts w:eastAsia="Times New Roman" w:cs="Times New Roman"/>
                <w:b/>
                <w:bCs/>
                <w:color w:val="000000"/>
                <w:kern w:val="0"/>
                <w:sz w:val="18"/>
                <w:szCs w:val="18"/>
                <w:lang w:eastAsia="es-CO"/>
                <w14:ligatures w14:val="none"/>
              </w:rPr>
              <w:t>1.793.455.261</w:t>
            </w:r>
          </w:p>
        </w:tc>
      </w:tr>
      <w:tr w:rsidR="00C70C31" w:rsidRPr="00951AB1" w14:paraId="3D40CA6B" w14:textId="77777777" w:rsidTr="000D66C1">
        <w:trPr>
          <w:trHeight w:val="285"/>
        </w:trPr>
        <w:tc>
          <w:tcPr>
            <w:tcW w:w="3964" w:type="dxa"/>
            <w:vAlign w:val="center"/>
            <w:hideMark/>
          </w:tcPr>
          <w:p w14:paraId="5D5625D2" w14:textId="77777777" w:rsidR="000D66C1" w:rsidRPr="00951AB1" w:rsidRDefault="000D66C1" w:rsidP="000A5389">
            <w:pPr>
              <w:spacing w:line="240" w:lineRule="auto"/>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Terrenos</w:t>
            </w:r>
          </w:p>
        </w:tc>
        <w:tc>
          <w:tcPr>
            <w:tcW w:w="1683" w:type="dxa"/>
            <w:noWrap/>
            <w:vAlign w:val="center"/>
            <w:hideMark/>
          </w:tcPr>
          <w:p w14:paraId="4CF5DD6D" w14:textId="133A3D94" w:rsidR="000D66C1" w:rsidRPr="00951AB1" w:rsidRDefault="000D66C1"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19.905.142.385</w:t>
            </w:r>
          </w:p>
        </w:tc>
        <w:tc>
          <w:tcPr>
            <w:tcW w:w="1687" w:type="dxa"/>
            <w:noWrap/>
            <w:vAlign w:val="center"/>
            <w:hideMark/>
          </w:tcPr>
          <w:p w14:paraId="0F3C8D45" w14:textId="69EEE6F5" w:rsidR="000D66C1" w:rsidRPr="00951AB1" w:rsidRDefault="000D66C1"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19.905.142.385</w:t>
            </w:r>
          </w:p>
        </w:tc>
        <w:tc>
          <w:tcPr>
            <w:tcW w:w="1494" w:type="dxa"/>
            <w:noWrap/>
            <w:vAlign w:val="center"/>
            <w:hideMark/>
          </w:tcPr>
          <w:p w14:paraId="21044E69" w14:textId="072D9ED9" w:rsidR="000D66C1" w:rsidRPr="00951AB1" w:rsidRDefault="000D66C1"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w:t>
            </w:r>
          </w:p>
        </w:tc>
      </w:tr>
      <w:tr w:rsidR="00C70C31" w:rsidRPr="00951AB1" w14:paraId="5C5CD11B" w14:textId="77777777" w:rsidTr="000D66C1">
        <w:trPr>
          <w:trHeight w:val="570"/>
        </w:trPr>
        <w:tc>
          <w:tcPr>
            <w:tcW w:w="3964" w:type="dxa"/>
            <w:vAlign w:val="center"/>
            <w:hideMark/>
          </w:tcPr>
          <w:p w14:paraId="79A22E27" w14:textId="77777777" w:rsidR="000D66C1" w:rsidRPr="00951AB1" w:rsidRDefault="000D66C1" w:rsidP="000A5389">
            <w:pPr>
              <w:spacing w:line="240" w:lineRule="auto"/>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Recursos de la entidad concedente en patrimonios autónomos constituidos por concesionarios privados</w:t>
            </w:r>
          </w:p>
        </w:tc>
        <w:tc>
          <w:tcPr>
            <w:tcW w:w="1683" w:type="dxa"/>
            <w:noWrap/>
            <w:vAlign w:val="center"/>
            <w:hideMark/>
          </w:tcPr>
          <w:p w14:paraId="5DD192B7" w14:textId="3AD966D4" w:rsidR="000D66C1" w:rsidRPr="00951AB1" w:rsidRDefault="000D66C1"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1.802.078.317.778</w:t>
            </w:r>
          </w:p>
        </w:tc>
        <w:tc>
          <w:tcPr>
            <w:tcW w:w="1687" w:type="dxa"/>
            <w:noWrap/>
            <w:vAlign w:val="center"/>
            <w:hideMark/>
          </w:tcPr>
          <w:p w14:paraId="4BF65CC2" w14:textId="75E2DBC3" w:rsidR="000D66C1" w:rsidRPr="00951AB1" w:rsidRDefault="000D66C1"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1.800.284.862.517</w:t>
            </w:r>
          </w:p>
        </w:tc>
        <w:tc>
          <w:tcPr>
            <w:tcW w:w="1494" w:type="dxa"/>
            <w:noWrap/>
            <w:vAlign w:val="center"/>
            <w:hideMark/>
          </w:tcPr>
          <w:p w14:paraId="455155FE" w14:textId="17296EED" w:rsidR="000D66C1" w:rsidRPr="00951AB1" w:rsidRDefault="000D66C1"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1.793.455.261</w:t>
            </w:r>
          </w:p>
        </w:tc>
      </w:tr>
      <w:tr w:rsidR="00C70C31" w:rsidRPr="00951AB1" w14:paraId="7D617D33" w14:textId="77777777" w:rsidTr="000D66C1">
        <w:trPr>
          <w:trHeight w:val="285"/>
        </w:trPr>
        <w:tc>
          <w:tcPr>
            <w:tcW w:w="3964" w:type="dxa"/>
            <w:vAlign w:val="center"/>
            <w:hideMark/>
          </w:tcPr>
          <w:p w14:paraId="6FCEDEDC" w14:textId="77777777" w:rsidR="000D66C1" w:rsidRPr="00951AB1" w:rsidRDefault="000D66C1" w:rsidP="000A5389">
            <w:pPr>
              <w:spacing w:line="240" w:lineRule="auto"/>
              <w:rPr>
                <w:rFonts w:eastAsia="Times New Roman" w:cs="Times New Roman"/>
                <w:b/>
                <w:bCs/>
                <w:color w:val="000000"/>
                <w:kern w:val="0"/>
                <w:sz w:val="18"/>
                <w:szCs w:val="18"/>
                <w:lang w:eastAsia="es-CO"/>
                <w14:ligatures w14:val="none"/>
              </w:rPr>
            </w:pPr>
            <w:r w:rsidRPr="00951AB1">
              <w:rPr>
                <w:rFonts w:eastAsia="Times New Roman" w:cs="Times New Roman"/>
                <w:b/>
                <w:bCs/>
                <w:color w:val="000000"/>
                <w:kern w:val="0"/>
                <w:sz w:val="18"/>
                <w:szCs w:val="18"/>
                <w:lang w:eastAsia="es-CO"/>
                <w14:ligatures w14:val="none"/>
              </w:rPr>
              <w:t>APP GICA S.A.</w:t>
            </w:r>
          </w:p>
        </w:tc>
        <w:tc>
          <w:tcPr>
            <w:tcW w:w="1683" w:type="dxa"/>
            <w:noWrap/>
            <w:vAlign w:val="center"/>
            <w:hideMark/>
          </w:tcPr>
          <w:p w14:paraId="6E4886E5" w14:textId="3F5601F8" w:rsidR="000D66C1" w:rsidRPr="00951AB1" w:rsidRDefault="000D66C1" w:rsidP="000A5389">
            <w:pPr>
              <w:spacing w:line="240" w:lineRule="auto"/>
              <w:jc w:val="right"/>
              <w:rPr>
                <w:rFonts w:eastAsia="Times New Roman" w:cs="Times New Roman"/>
                <w:b/>
                <w:bCs/>
                <w:color w:val="000000"/>
                <w:kern w:val="0"/>
                <w:sz w:val="18"/>
                <w:szCs w:val="18"/>
                <w:lang w:eastAsia="es-CO"/>
                <w14:ligatures w14:val="none"/>
              </w:rPr>
            </w:pPr>
            <w:r w:rsidRPr="00951AB1">
              <w:rPr>
                <w:rFonts w:eastAsia="Times New Roman" w:cs="Times New Roman"/>
                <w:b/>
                <w:bCs/>
                <w:color w:val="000000"/>
                <w:kern w:val="0"/>
                <w:sz w:val="18"/>
                <w:szCs w:val="18"/>
                <w:lang w:eastAsia="es-CO"/>
                <w14:ligatures w14:val="none"/>
              </w:rPr>
              <w:t>1.159.288.596.686</w:t>
            </w:r>
          </w:p>
        </w:tc>
        <w:tc>
          <w:tcPr>
            <w:tcW w:w="1687" w:type="dxa"/>
            <w:noWrap/>
            <w:vAlign w:val="center"/>
            <w:hideMark/>
          </w:tcPr>
          <w:p w14:paraId="6F6BEB76" w14:textId="54E5C83C" w:rsidR="000D66C1" w:rsidRPr="00951AB1" w:rsidRDefault="000D66C1" w:rsidP="000A5389">
            <w:pPr>
              <w:spacing w:line="240" w:lineRule="auto"/>
              <w:jc w:val="right"/>
              <w:rPr>
                <w:rFonts w:eastAsia="Times New Roman" w:cs="Times New Roman"/>
                <w:b/>
                <w:bCs/>
                <w:color w:val="000000"/>
                <w:kern w:val="0"/>
                <w:sz w:val="18"/>
                <w:szCs w:val="18"/>
                <w:lang w:eastAsia="es-CO"/>
                <w14:ligatures w14:val="none"/>
              </w:rPr>
            </w:pPr>
            <w:r w:rsidRPr="00951AB1">
              <w:rPr>
                <w:rFonts w:eastAsia="Times New Roman" w:cs="Times New Roman"/>
                <w:b/>
                <w:bCs/>
                <w:color w:val="000000"/>
                <w:kern w:val="0"/>
                <w:sz w:val="18"/>
                <w:szCs w:val="18"/>
                <w:lang w:eastAsia="es-CO"/>
                <w14:ligatures w14:val="none"/>
              </w:rPr>
              <w:t>1.147.409.146.738</w:t>
            </w:r>
          </w:p>
        </w:tc>
        <w:tc>
          <w:tcPr>
            <w:tcW w:w="1494" w:type="dxa"/>
            <w:noWrap/>
            <w:vAlign w:val="center"/>
            <w:hideMark/>
          </w:tcPr>
          <w:p w14:paraId="1A34F9D7" w14:textId="08751DC3" w:rsidR="000D66C1" w:rsidRPr="00951AB1" w:rsidRDefault="000D66C1" w:rsidP="000A5389">
            <w:pPr>
              <w:spacing w:line="240" w:lineRule="auto"/>
              <w:jc w:val="right"/>
              <w:rPr>
                <w:rFonts w:eastAsia="Times New Roman" w:cs="Times New Roman"/>
                <w:b/>
                <w:bCs/>
                <w:color w:val="000000"/>
                <w:kern w:val="0"/>
                <w:sz w:val="18"/>
                <w:szCs w:val="18"/>
                <w:lang w:eastAsia="es-CO"/>
                <w14:ligatures w14:val="none"/>
              </w:rPr>
            </w:pPr>
            <w:r w:rsidRPr="00951AB1">
              <w:rPr>
                <w:rFonts w:eastAsia="Times New Roman" w:cs="Times New Roman"/>
                <w:b/>
                <w:bCs/>
                <w:color w:val="000000"/>
                <w:kern w:val="0"/>
                <w:sz w:val="18"/>
                <w:szCs w:val="18"/>
                <w:lang w:eastAsia="es-CO"/>
                <w14:ligatures w14:val="none"/>
              </w:rPr>
              <w:t>11.879.449.948</w:t>
            </w:r>
          </w:p>
        </w:tc>
      </w:tr>
      <w:tr w:rsidR="00C70C31" w:rsidRPr="00951AB1" w14:paraId="764DA134" w14:textId="77777777" w:rsidTr="000D66C1">
        <w:trPr>
          <w:trHeight w:val="285"/>
        </w:trPr>
        <w:tc>
          <w:tcPr>
            <w:tcW w:w="3964" w:type="dxa"/>
            <w:vAlign w:val="center"/>
            <w:hideMark/>
          </w:tcPr>
          <w:p w14:paraId="200D1467" w14:textId="77777777" w:rsidR="000D66C1" w:rsidRPr="00951AB1" w:rsidRDefault="000D66C1" w:rsidP="000A5389">
            <w:pPr>
              <w:spacing w:line="240" w:lineRule="auto"/>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Propiedades, Plan y Equipo</w:t>
            </w:r>
          </w:p>
        </w:tc>
        <w:tc>
          <w:tcPr>
            <w:tcW w:w="1683" w:type="dxa"/>
            <w:noWrap/>
            <w:vAlign w:val="center"/>
            <w:hideMark/>
          </w:tcPr>
          <w:p w14:paraId="30D46519" w14:textId="5250EE74" w:rsidR="000D66C1" w:rsidRPr="00951AB1" w:rsidRDefault="000D66C1"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2.866.991.622</w:t>
            </w:r>
          </w:p>
        </w:tc>
        <w:tc>
          <w:tcPr>
            <w:tcW w:w="1687" w:type="dxa"/>
            <w:noWrap/>
            <w:vAlign w:val="center"/>
            <w:hideMark/>
          </w:tcPr>
          <w:p w14:paraId="5F3733F7" w14:textId="4C4CF65D" w:rsidR="000D66C1" w:rsidRPr="00951AB1" w:rsidRDefault="000D66C1"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3.164.425.917</w:t>
            </w:r>
          </w:p>
        </w:tc>
        <w:tc>
          <w:tcPr>
            <w:tcW w:w="1494" w:type="dxa"/>
            <w:noWrap/>
            <w:vAlign w:val="center"/>
            <w:hideMark/>
          </w:tcPr>
          <w:p w14:paraId="63D17A4C" w14:textId="56679381" w:rsidR="000D66C1" w:rsidRPr="00951AB1" w:rsidRDefault="000D66C1"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-297.434.296</w:t>
            </w:r>
          </w:p>
        </w:tc>
      </w:tr>
      <w:tr w:rsidR="00C70C31" w:rsidRPr="00951AB1" w14:paraId="15A47794" w14:textId="77777777" w:rsidTr="000D66C1">
        <w:trPr>
          <w:trHeight w:val="285"/>
        </w:trPr>
        <w:tc>
          <w:tcPr>
            <w:tcW w:w="3964" w:type="dxa"/>
            <w:vAlign w:val="center"/>
            <w:hideMark/>
          </w:tcPr>
          <w:p w14:paraId="1B2E41CD" w14:textId="77777777" w:rsidR="000D66C1" w:rsidRPr="00951AB1" w:rsidRDefault="000D66C1" w:rsidP="000A5389">
            <w:pPr>
              <w:spacing w:line="240" w:lineRule="auto"/>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Red carretera</w:t>
            </w:r>
          </w:p>
        </w:tc>
        <w:tc>
          <w:tcPr>
            <w:tcW w:w="1683" w:type="dxa"/>
            <w:noWrap/>
            <w:vAlign w:val="center"/>
            <w:hideMark/>
          </w:tcPr>
          <w:p w14:paraId="589F1D54" w14:textId="537AC730" w:rsidR="000D66C1" w:rsidRPr="00951AB1" w:rsidRDefault="000D66C1"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1.071.091.141.156</w:t>
            </w:r>
          </w:p>
        </w:tc>
        <w:tc>
          <w:tcPr>
            <w:tcW w:w="1687" w:type="dxa"/>
            <w:noWrap/>
            <w:vAlign w:val="center"/>
            <w:hideMark/>
          </w:tcPr>
          <w:p w14:paraId="6B3500C5" w14:textId="226B4931" w:rsidR="000D66C1" w:rsidRPr="00951AB1" w:rsidRDefault="000D66C1"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1.060.321.546.869</w:t>
            </w:r>
          </w:p>
        </w:tc>
        <w:tc>
          <w:tcPr>
            <w:tcW w:w="1494" w:type="dxa"/>
            <w:noWrap/>
            <w:vAlign w:val="center"/>
            <w:hideMark/>
          </w:tcPr>
          <w:p w14:paraId="6B6B7CED" w14:textId="477A7ED1" w:rsidR="000D66C1" w:rsidRPr="00951AB1" w:rsidRDefault="000D66C1"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10.769.594.288</w:t>
            </w:r>
          </w:p>
        </w:tc>
      </w:tr>
      <w:tr w:rsidR="00C70C31" w:rsidRPr="00951AB1" w14:paraId="14D2B089" w14:textId="77777777" w:rsidTr="000D66C1">
        <w:trPr>
          <w:trHeight w:val="285"/>
        </w:trPr>
        <w:tc>
          <w:tcPr>
            <w:tcW w:w="3964" w:type="dxa"/>
            <w:vAlign w:val="center"/>
            <w:hideMark/>
          </w:tcPr>
          <w:p w14:paraId="618C1665" w14:textId="77777777" w:rsidR="000D66C1" w:rsidRPr="00951AB1" w:rsidRDefault="000D66C1" w:rsidP="000A5389">
            <w:pPr>
              <w:spacing w:line="240" w:lineRule="auto"/>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Terrenos</w:t>
            </w:r>
          </w:p>
        </w:tc>
        <w:tc>
          <w:tcPr>
            <w:tcW w:w="1683" w:type="dxa"/>
            <w:noWrap/>
            <w:vAlign w:val="center"/>
            <w:hideMark/>
          </w:tcPr>
          <w:p w14:paraId="56441248" w14:textId="6FD35228" w:rsidR="000D66C1" w:rsidRPr="00951AB1" w:rsidRDefault="000D66C1"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77.446.737.429</w:t>
            </w:r>
          </w:p>
        </w:tc>
        <w:tc>
          <w:tcPr>
            <w:tcW w:w="1687" w:type="dxa"/>
            <w:noWrap/>
            <w:vAlign w:val="center"/>
            <w:hideMark/>
          </w:tcPr>
          <w:p w14:paraId="0C7E3C16" w14:textId="1BD45796" w:rsidR="000D66C1" w:rsidRPr="00951AB1" w:rsidRDefault="000D66C1"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77.446.737.429</w:t>
            </w:r>
          </w:p>
        </w:tc>
        <w:tc>
          <w:tcPr>
            <w:tcW w:w="1494" w:type="dxa"/>
            <w:noWrap/>
            <w:vAlign w:val="center"/>
            <w:hideMark/>
          </w:tcPr>
          <w:p w14:paraId="61D3C8FE" w14:textId="131FAF0D" w:rsidR="000D66C1" w:rsidRPr="00951AB1" w:rsidRDefault="000D66C1"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w:t>
            </w:r>
          </w:p>
        </w:tc>
      </w:tr>
      <w:tr w:rsidR="00C70C31" w:rsidRPr="00951AB1" w14:paraId="34C50BC2" w14:textId="77777777" w:rsidTr="000D66C1">
        <w:trPr>
          <w:trHeight w:val="285"/>
        </w:trPr>
        <w:tc>
          <w:tcPr>
            <w:tcW w:w="3964" w:type="dxa"/>
            <w:noWrap/>
            <w:vAlign w:val="center"/>
            <w:hideMark/>
          </w:tcPr>
          <w:p w14:paraId="71CB3FB3" w14:textId="77777777" w:rsidR="000D66C1" w:rsidRPr="00951AB1" w:rsidRDefault="000D66C1" w:rsidP="000A5389">
            <w:pPr>
              <w:spacing w:line="240" w:lineRule="auto"/>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Recursos de la entidad concedente en patrimonios autónomos constituidos por concesionarios privados</w:t>
            </w:r>
          </w:p>
        </w:tc>
        <w:tc>
          <w:tcPr>
            <w:tcW w:w="1683" w:type="dxa"/>
            <w:noWrap/>
            <w:vAlign w:val="center"/>
            <w:hideMark/>
          </w:tcPr>
          <w:p w14:paraId="1D579E41" w14:textId="60502A3D" w:rsidR="000D66C1" w:rsidRPr="00951AB1" w:rsidRDefault="000D66C1"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7.883.726.479</w:t>
            </w:r>
          </w:p>
        </w:tc>
        <w:tc>
          <w:tcPr>
            <w:tcW w:w="1687" w:type="dxa"/>
            <w:noWrap/>
            <w:vAlign w:val="center"/>
            <w:hideMark/>
          </w:tcPr>
          <w:p w14:paraId="455EF091" w14:textId="6182694B" w:rsidR="000D66C1" w:rsidRPr="00951AB1" w:rsidRDefault="000D66C1"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6.476.436.524</w:t>
            </w:r>
          </w:p>
        </w:tc>
        <w:tc>
          <w:tcPr>
            <w:tcW w:w="1494" w:type="dxa"/>
            <w:noWrap/>
            <w:vAlign w:val="center"/>
            <w:hideMark/>
          </w:tcPr>
          <w:p w14:paraId="663FB30E" w14:textId="34D54F5F" w:rsidR="000D66C1" w:rsidRPr="00951AB1" w:rsidRDefault="000D66C1"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1.407.289.956</w:t>
            </w:r>
          </w:p>
        </w:tc>
      </w:tr>
      <w:tr w:rsidR="00C70C31" w:rsidRPr="00951AB1" w14:paraId="3A699539" w14:textId="77777777" w:rsidTr="000D66C1">
        <w:trPr>
          <w:trHeight w:val="285"/>
        </w:trPr>
        <w:tc>
          <w:tcPr>
            <w:tcW w:w="3964" w:type="dxa"/>
            <w:vAlign w:val="center"/>
            <w:hideMark/>
          </w:tcPr>
          <w:p w14:paraId="0660EBFE" w14:textId="77777777" w:rsidR="000D66C1" w:rsidRPr="00951AB1" w:rsidRDefault="000D66C1" w:rsidP="000A5389">
            <w:pPr>
              <w:spacing w:line="240" w:lineRule="auto"/>
              <w:rPr>
                <w:rFonts w:eastAsia="Times New Roman" w:cs="Times New Roman"/>
                <w:b/>
                <w:bCs/>
                <w:color w:val="000000"/>
                <w:kern w:val="0"/>
                <w:sz w:val="18"/>
                <w:szCs w:val="18"/>
                <w:lang w:eastAsia="es-CO"/>
                <w14:ligatures w14:val="none"/>
              </w:rPr>
            </w:pPr>
            <w:r w:rsidRPr="00951AB1">
              <w:rPr>
                <w:rFonts w:eastAsia="Times New Roman" w:cs="Times New Roman"/>
                <w:b/>
                <w:bCs/>
                <w:color w:val="000000"/>
                <w:kern w:val="0"/>
                <w:sz w:val="18"/>
                <w:szCs w:val="18"/>
                <w:lang w:eastAsia="es-CO"/>
                <w14:ligatures w14:val="none"/>
              </w:rPr>
              <w:t>CONCESION VIAL DE LOS LLANOS SAS</w:t>
            </w:r>
          </w:p>
        </w:tc>
        <w:tc>
          <w:tcPr>
            <w:tcW w:w="1683" w:type="dxa"/>
            <w:noWrap/>
            <w:vAlign w:val="center"/>
            <w:hideMark/>
          </w:tcPr>
          <w:p w14:paraId="4F4A32EF" w14:textId="74D5C1F0" w:rsidR="000D66C1" w:rsidRPr="00951AB1" w:rsidRDefault="000D66C1" w:rsidP="000A5389">
            <w:pPr>
              <w:spacing w:line="240" w:lineRule="auto"/>
              <w:jc w:val="right"/>
              <w:rPr>
                <w:rFonts w:eastAsia="Times New Roman" w:cs="Times New Roman"/>
                <w:b/>
                <w:bCs/>
                <w:color w:val="000000"/>
                <w:kern w:val="0"/>
                <w:sz w:val="18"/>
                <w:szCs w:val="18"/>
                <w:lang w:eastAsia="es-CO"/>
                <w14:ligatures w14:val="none"/>
              </w:rPr>
            </w:pPr>
            <w:r w:rsidRPr="00951AB1">
              <w:rPr>
                <w:rFonts w:eastAsia="Times New Roman" w:cs="Times New Roman"/>
                <w:b/>
                <w:bCs/>
                <w:color w:val="000000"/>
                <w:kern w:val="0"/>
                <w:sz w:val="18"/>
                <w:szCs w:val="18"/>
                <w:lang w:eastAsia="es-CO"/>
                <w14:ligatures w14:val="none"/>
              </w:rPr>
              <w:t>394.527.982.806</w:t>
            </w:r>
          </w:p>
        </w:tc>
        <w:tc>
          <w:tcPr>
            <w:tcW w:w="1687" w:type="dxa"/>
            <w:noWrap/>
            <w:vAlign w:val="center"/>
            <w:hideMark/>
          </w:tcPr>
          <w:p w14:paraId="6C90D57C" w14:textId="363C37AB" w:rsidR="000D66C1" w:rsidRPr="00951AB1" w:rsidRDefault="000D66C1" w:rsidP="000A5389">
            <w:pPr>
              <w:spacing w:line="240" w:lineRule="auto"/>
              <w:jc w:val="right"/>
              <w:rPr>
                <w:rFonts w:eastAsia="Times New Roman" w:cs="Times New Roman"/>
                <w:b/>
                <w:bCs/>
                <w:color w:val="000000"/>
                <w:kern w:val="0"/>
                <w:sz w:val="18"/>
                <w:szCs w:val="18"/>
                <w:lang w:eastAsia="es-CO"/>
                <w14:ligatures w14:val="none"/>
              </w:rPr>
            </w:pPr>
            <w:r w:rsidRPr="00951AB1">
              <w:rPr>
                <w:rFonts w:eastAsia="Times New Roman" w:cs="Times New Roman"/>
                <w:b/>
                <w:bCs/>
                <w:color w:val="000000"/>
                <w:kern w:val="0"/>
                <w:sz w:val="18"/>
                <w:szCs w:val="18"/>
                <w:lang w:eastAsia="es-CO"/>
                <w14:ligatures w14:val="none"/>
              </w:rPr>
              <w:t>351.465.083.470</w:t>
            </w:r>
          </w:p>
        </w:tc>
        <w:tc>
          <w:tcPr>
            <w:tcW w:w="1494" w:type="dxa"/>
            <w:noWrap/>
            <w:vAlign w:val="center"/>
            <w:hideMark/>
          </w:tcPr>
          <w:p w14:paraId="0B5AEE03" w14:textId="2685624F" w:rsidR="000D66C1" w:rsidRPr="00951AB1" w:rsidRDefault="000D66C1" w:rsidP="000A5389">
            <w:pPr>
              <w:spacing w:line="240" w:lineRule="auto"/>
              <w:jc w:val="right"/>
              <w:rPr>
                <w:rFonts w:eastAsia="Times New Roman" w:cs="Times New Roman"/>
                <w:b/>
                <w:bCs/>
                <w:color w:val="000000"/>
                <w:kern w:val="0"/>
                <w:sz w:val="18"/>
                <w:szCs w:val="18"/>
                <w:lang w:eastAsia="es-CO"/>
                <w14:ligatures w14:val="none"/>
              </w:rPr>
            </w:pPr>
            <w:r w:rsidRPr="00951AB1">
              <w:rPr>
                <w:rFonts w:eastAsia="Times New Roman" w:cs="Times New Roman"/>
                <w:b/>
                <w:bCs/>
                <w:color w:val="000000"/>
                <w:kern w:val="0"/>
                <w:sz w:val="18"/>
                <w:szCs w:val="18"/>
                <w:lang w:eastAsia="es-CO"/>
                <w14:ligatures w14:val="none"/>
              </w:rPr>
              <w:t>43.062.899.336</w:t>
            </w:r>
          </w:p>
        </w:tc>
      </w:tr>
      <w:tr w:rsidR="00C70C31" w:rsidRPr="00951AB1" w14:paraId="72CB304D" w14:textId="77777777" w:rsidTr="000D66C1">
        <w:trPr>
          <w:trHeight w:val="285"/>
        </w:trPr>
        <w:tc>
          <w:tcPr>
            <w:tcW w:w="3964" w:type="dxa"/>
            <w:vAlign w:val="center"/>
            <w:hideMark/>
          </w:tcPr>
          <w:p w14:paraId="7F8E8505" w14:textId="77777777" w:rsidR="000D66C1" w:rsidRPr="00951AB1" w:rsidRDefault="000D66C1" w:rsidP="000A5389">
            <w:pPr>
              <w:spacing w:line="240" w:lineRule="auto"/>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Activos intangibles en concesión</w:t>
            </w:r>
          </w:p>
        </w:tc>
        <w:tc>
          <w:tcPr>
            <w:tcW w:w="1683" w:type="dxa"/>
            <w:noWrap/>
            <w:vAlign w:val="center"/>
            <w:hideMark/>
          </w:tcPr>
          <w:p w14:paraId="1991FE70" w14:textId="5851FCE0" w:rsidR="000D66C1" w:rsidRPr="00951AB1" w:rsidRDefault="000D66C1"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1.044.206.387</w:t>
            </w:r>
          </w:p>
        </w:tc>
        <w:tc>
          <w:tcPr>
            <w:tcW w:w="1687" w:type="dxa"/>
            <w:noWrap/>
            <w:vAlign w:val="center"/>
            <w:hideMark/>
          </w:tcPr>
          <w:p w14:paraId="10DADEA4" w14:textId="274E72AA" w:rsidR="000D66C1" w:rsidRPr="00951AB1" w:rsidRDefault="000D66C1"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858.278.731</w:t>
            </w:r>
          </w:p>
        </w:tc>
        <w:tc>
          <w:tcPr>
            <w:tcW w:w="1494" w:type="dxa"/>
            <w:noWrap/>
            <w:vAlign w:val="center"/>
            <w:hideMark/>
          </w:tcPr>
          <w:p w14:paraId="379BE5C9" w14:textId="38BDAB56" w:rsidR="000D66C1" w:rsidRPr="00951AB1" w:rsidRDefault="000D66C1"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185.927.656</w:t>
            </w:r>
          </w:p>
        </w:tc>
      </w:tr>
      <w:tr w:rsidR="00C70C31" w:rsidRPr="00951AB1" w14:paraId="66582985" w14:textId="77777777" w:rsidTr="000D66C1">
        <w:trPr>
          <w:trHeight w:val="285"/>
        </w:trPr>
        <w:tc>
          <w:tcPr>
            <w:tcW w:w="3964" w:type="dxa"/>
            <w:vAlign w:val="center"/>
            <w:hideMark/>
          </w:tcPr>
          <w:p w14:paraId="7808E378" w14:textId="77777777" w:rsidR="000D66C1" w:rsidRPr="00951AB1" w:rsidRDefault="000D66C1" w:rsidP="000A5389">
            <w:pPr>
              <w:spacing w:line="240" w:lineRule="auto"/>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Propiedades, Plan y Equipo</w:t>
            </w:r>
          </w:p>
        </w:tc>
        <w:tc>
          <w:tcPr>
            <w:tcW w:w="1683" w:type="dxa"/>
            <w:noWrap/>
            <w:vAlign w:val="center"/>
            <w:hideMark/>
          </w:tcPr>
          <w:p w14:paraId="080B6935" w14:textId="2BC9AF3B" w:rsidR="000D66C1" w:rsidRPr="00951AB1" w:rsidRDefault="000D66C1"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1.778.398.275</w:t>
            </w:r>
          </w:p>
        </w:tc>
        <w:tc>
          <w:tcPr>
            <w:tcW w:w="1687" w:type="dxa"/>
            <w:noWrap/>
            <w:vAlign w:val="center"/>
            <w:hideMark/>
          </w:tcPr>
          <w:p w14:paraId="38CFDE69" w14:textId="2D56137D" w:rsidR="000D66C1" w:rsidRPr="00951AB1" w:rsidRDefault="000D66C1"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1.802.638.371</w:t>
            </w:r>
          </w:p>
        </w:tc>
        <w:tc>
          <w:tcPr>
            <w:tcW w:w="1494" w:type="dxa"/>
            <w:noWrap/>
            <w:vAlign w:val="center"/>
            <w:hideMark/>
          </w:tcPr>
          <w:p w14:paraId="199438EA" w14:textId="546CFDCC" w:rsidR="000D66C1" w:rsidRPr="00951AB1" w:rsidRDefault="000D66C1"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-24.240.096</w:t>
            </w:r>
          </w:p>
        </w:tc>
      </w:tr>
      <w:tr w:rsidR="00C70C31" w:rsidRPr="00951AB1" w14:paraId="5FA2DD85" w14:textId="77777777" w:rsidTr="000D66C1">
        <w:trPr>
          <w:trHeight w:val="285"/>
        </w:trPr>
        <w:tc>
          <w:tcPr>
            <w:tcW w:w="3964" w:type="dxa"/>
            <w:vAlign w:val="center"/>
            <w:hideMark/>
          </w:tcPr>
          <w:p w14:paraId="5F3DBC37" w14:textId="77777777" w:rsidR="000D66C1" w:rsidRPr="00951AB1" w:rsidRDefault="000D66C1" w:rsidP="000A5389">
            <w:pPr>
              <w:spacing w:line="240" w:lineRule="auto"/>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Red carretera</w:t>
            </w:r>
          </w:p>
        </w:tc>
        <w:tc>
          <w:tcPr>
            <w:tcW w:w="1683" w:type="dxa"/>
            <w:noWrap/>
            <w:vAlign w:val="center"/>
            <w:hideMark/>
          </w:tcPr>
          <w:p w14:paraId="5E6A6F35" w14:textId="15104FCC" w:rsidR="000D66C1" w:rsidRPr="00951AB1" w:rsidRDefault="000D66C1"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353.063.249.554</w:t>
            </w:r>
          </w:p>
        </w:tc>
        <w:tc>
          <w:tcPr>
            <w:tcW w:w="1687" w:type="dxa"/>
            <w:noWrap/>
            <w:vAlign w:val="center"/>
            <w:hideMark/>
          </w:tcPr>
          <w:p w14:paraId="34392D4E" w14:textId="42703A2F" w:rsidR="000D66C1" w:rsidRPr="00951AB1" w:rsidRDefault="000D66C1"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315.046.057.776</w:t>
            </w:r>
          </w:p>
        </w:tc>
        <w:tc>
          <w:tcPr>
            <w:tcW w:w="1494" w:type="dxa"/>
            <w:noWrap/>
            <w:vAlign w:val="center"/>
            <w:hideMark/>
          </w:tcPr>
          <w:p w14:paraId="108BD624" w14:textId="65AB9006" w:rsidR="000D66C1" w:rsidRPr="00951AB1" w:rsidRDefault="000D66C1"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38.017.191.778</w:t>
            </w:r>
          </w:p>
        </w:tc>
      </w:tr>
      <w:tr w:rsidR="00C70C31" w:rsidRPr="00951AB1" w14:paraId="2C572CC4" w14:textId="77777777" w:rsidTr="000D66C1">
        <w:trPr>
          <w:trHeight w:val="285"/>
        </w:trPr>
        <w:tc>
          <w:tcPr>
            <w:tcW w:w="3964" w:type="dxa"/>
            <w:vAlign w:val="center"/>
            <w:hideMark/>
          </w:tcPr>
          <w:p w14:paraId="06192B3C" w14:textId="77777777" w:rsidR="000D66C1" w:rsidRPr="00951AB1" w:rsidRDefault="000D66C1" w:rsidP="000A5389">
            <w:pPr>
              <w:spacing w:line="240" w:lineRule="auto"/>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Terrenos</w:t>
            </w:r>
          </w:p>
        </w:tc>
        <w:tc>
          <w:tcPr>
            <w:tcW w:w="1683" w:type="dxa"/>
            <w:noWrap/>
            <w:vAlign w:val="center"/>
            <w:hideMark/>
          </w:tcPr>
          <w:p w14:paraId="0E9C5033" w14:textId="7476E932" w:rsidR="000D66C1" w:rsidRPr="00951AB1" w:rsidRDefault="000D66C1"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17.988.017.604</w:t>
            </w:r>
          </w:p>
        </w:tc>
        <w:tc>
          <w:tcPr>
            <w:tcW w:w="1687" w:type="dxa"/>
            <w:noWrap/>
            <w:vAlign w:val="center"/>
            <w:hideMark/>
          </w:tcPr>
          <w:p w14:paraId="1DBD7F3C" w14:textId="1447941C" w:rsidR="000D66C1" w:rsidRPr="00951AB1" w:rsidRDefault="000D66C1"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17.988.017.604</w:t>
            </w:r>
          </w:p>
        </w:tc>
        <w:tc>
          <w:tcPr>
            <w:tcW w:w="1494" w:type="dxa"/>
            <w:noWrap/>
            <w:vAlign w:val="center"/>
            <w:hideMark/>
          </w:tcPr>
          <w:p w14:paraId="09C6D7F3" w14:textId="635CF4A4" w:rsidR="000D66C1" w:rsidRPr="00951AB1" w:rsidRDefault="000D66C1"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w:t>
            </w:r>
          </w:p>
        </w:tc>
      </w:tr>
      <w:tr w:rsidR="00C70C31" w:rsidRPr="00951AB1" w14:paraId="4C0D6AA6" w14:textId="77777777" w:rsidTr="000D66C1">
        <w:trPr>
          <w:trHeight w:val="570"/>
        </w:trPr>
        <w:tc>
          <w:tcPr>
            <w:tcW w:w="3964" w:type="dxa"/>
            <w:vAlign w:val="center"/>
            <w:hideMark/>
          </w:tcPr>
          <w:p w14:paraId="275D2A7B" w14:textId="77777777" w:rsidR="000D66C1" w:rsidRPr="00951AB1" w:rsidRDefault="000D66C1" w:rsidP="000A5389">
            <w:pPr>
              <w:spacing w:line="240" w:lineRule="auto"/>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Recursos de la entidad concedente en patrimonios autónomos constituidos por concesionarios privados</w:t>
            </w:r>
          </w:p>
        </w:tc>
        <w:tc>
          <w:tcPr>
            <w:tcW w:w="1683" w:type="dxa"/>
            <w:noWrap/>
            <w:vAlign w:val="center"/>
            <w:hideMark/>
          </w:tcPr>
          <w:p w14:paraId="3C336AE7" w14:textId="0AA0C931" w:rsidR="000D66C1" w:rsidRPr="00951AB1" w:rsidRDefault="000D66C1"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20.654.110.987</w:t>
            </w:r>
          </w:p>
        </w:tc>
        <w:tc>
          <w:tcPr>
            <w:tcW w:w="1687" w:type="dxa"/>
            <w:noWrap/>
            <w:vAlign w:val="center"/>
            <w:hideMark/>
          </w:tcPr>
          <w:p w14:paraId="1B98FEEE" w14:textId="3F20AD2E" w:rsidR="000D66C1" w:rsidRPr="00951AB1" w:rsidRDefault="000D66C1"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15.770.090.989</w:t>
            </w:r>
          </w:p>
        </w:tc>
        <w:tc>
          <w:tcPr>
            <w:tcW w:w="1494" w:type="dxa"/>
            <w:noWrap/>
            <w:vAlign w:val="center"/>
            <w:hideMark/>
          </w:tcPr>
          <w:p w14:paraId="5778B039" w14:textId="0EA0F5EE" w:rsidR="000D66C1" w:rsidRPr="00951AB1" w:rsidRDefault="000D66C1"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4.884.019.998</w:t>
            </w:r>
          </w:p>
        </w:tc>
      </w:tr>
      <w:tr w:rsidR="00C70C31" w:rsidRPr="00951AB1" w14:paraId="00C92405" w14:textId="77777777" w:rsidTr="000D66C1">
        <w:trPr>
          <w:trHeight w:val="285"/>
        </w:trPr>
        <w:tc>
          <w:tcPr>
            <w:tcW w:w="3964" w:type="dxa"/>
            <w:vAlign w:val="center"/>
            <w:hideMark/>
          </w:tcPr>
          <w:p w14:paraId="39C14A61" w14:textId="7AD45A75" w:rsidR="000D66C1" w:rsidRPr="00951AB1" w:rsidRDefault="000D66C1" w:rsidP="000A5389">
            <w:pPr>
              <w:spacing w:line="240" w:lineRule="auto"/>
              <w:rPr>
                <w:rFonts w:eastAsia="Times New Roman" w:cs="Times New Roman"/>
                <w:b/>
                <w:bCs/>
                <w:color w:val="000000"/>
                <w:kern w:val="0"/>
                <w:sz w:val="18"/>
                <w:szCs w:val="18"/>
                <w:lang w:eastAsia="es-CO"/>
                <w14:ligatures w14:val="none"/>
              </w:rPr>
            </w:pPr>
            <w:r w:rsidRPr="00951AB1">
              <w:rPr>
                <w:rFonts w:eastAsia="Times New Roman" w:cs="Times New Roman"/>
                <w:b/>
                <w:bCs/>
                <w:color w:val="000000"/>
                <w:kern w:val="0"/>
                <w:sz w:val="18"/>
                <w:szCs w:val="18"/>
                <w:lang w:eastAsia="es-CO"/>
                <w14:ligatures w14:val="none"/>
              </w:rPr>
              <w:t xml:space="preserve">CONCESIONARIA VIAL </w:t>
            </w:r>
            <w:r w:rsidR="009A6E2A" w:rsidRPr="00951AB1">
              <w:rPr>
                <w:rFonts w:eastAsia="Times New Roman" w:cs="Times New Roman"/>
                <w:b/>
                <w:bCs/>
                <w:color w:val="000000"/>
                <w:kern w:val="0"/>
                <w:sz w:val="18"/>
                <w:szCs w:val="18"/>
                <w:lang w:eastAsia="es-CO"/>
                <w14:ligatures w14:val="none"/>
              </w:rPr>
              <w:t>ANDINA S</w:t>
            </w:r>
            <w:r w:rsidRPr="00951AB1">
              <w:rPr>
                <w:rFonts w:eastAsia="Times New Roman" w:cs="Times New Roman"/>
                <w:b/>
                <w:bCs/>
                <w:color w:val="000000"/>
                <w:kern w:val="0"/>
                <w:sz w:val="18"/>
                <w:szCs w:val="18"/>
                <w:lang w:eastAsia="es-CO"/>
                <w14:ligatures w14:val="none"/>
              </w:rPr>
              <w:t xml:space="preserve"> A S</w:t>
            </w:r>
          </w:p>
        </w:tc>
        <w:tc>
          <w:tcPr>
            <w:tcW w:w="1683" w:type="dxa"/>
            <w:noWrap/>
            <w:vAlign w:val="center"/>
            <w:hideMark/>
          </w:tcPr>
          <w:p w14:paraId="474F508B" w14:textId="47B2E880" w:rsidR="000D66C1" w:rsidRPr="00951AB1" w:rsidRDefault="000D66C1" w:rsidP="000A5389">
            <w:pPr>
              <w:spacing w:line="240" w:lineRule="auto"/>
              <w:jc w:val="right"/>
              <w:rPr>
                <w:rFonts w:eastAsia="Times New Roman" w:cs="Times New Roman"/>
                <w:b/>
                <w:bCs/>
                <w:color w:val="000000"/>
                <w:kern w:val="0"/>
                <w:sz w:val="18"/>
                <w:szCs w:val="18"/>
                <w:lang w:eastAsia="es-CO"/>
                <w14:ligatures w14:val="none"/>
              </w:rPr>
            </w:pPr>
            <w:r w:rsidRPr="00951AB1">
              <w:rPr>
                <w:rFonts w:eastAsia="Times New Roman" w:cs="Times New Roman"/>
                <w:b/>
                <w:bCs/>
                <w:color w:val="000000"/>
                <w:kern w:val="0"/>
                <w:sz w:val="18"/>
                <w:szCs w:val="18"/>
                <w:lang w:eastAsia="es-CO"/>
                <w14:ligatures w14:val="none"/>
              </w:rPr>
              <w:t>7.020.730.823.368</w:t>
            </w:r>
          </w:p>
        </w:tc>
        <w:tc>
          <w:tcPr>
            <w:tcW w:w="1687" w:type="dxa"/>
            <w:noWrap/>
            <w:vAlign w:val="center"/>
            <w:hideMark/>
          </w:tcPr>
          <w:p w14:paraId="48D1AE27" w14:textId="029ECD86" w:rsidR="000D66C1" w:rsidRPr="00951AB1" w:rsidRDefault="000D66C1" w:rsidP="000A5389">
            <w:pPr>
              <w:spacing w:line="240" w:lineRule="auto"/>
              <w:jc w:val="right"/>
              <w:rPr>
                <w:rFonts w:eastAsia="Times New Roman" w:cs="Times New Roman"/>
                <w:b/>
                <w:bCs/>
                <w:color w:val="000000"/>
                <w:kern w:val="0"/>
                <w:sz w:val="18"/>
                <w:szCs w:val="18"/>
                <w:lang w:eastAsia="es-CO"/>
                <w14:ligatures w14:val="none"/>
              </w:rPr>
            </w:pPr>
            <w:r w:rsidRPr="00951AB1">
              <w:rPr>
                <w:rFonts w:eastAsia="Times New Roman" w:cs="Times New Roman"/>
                <w:b/>
                <w:bCs/>
                <w:color w:val="000000"/>
                <w:kern w:val="0"/>
                <w:sz w:val="18"/>
                <w:szCs w:val="18"/>
                <w:lang w:eastAsia="es-CO"/>
                <w14:ligatures w14:val="none"/>
              </w:rPr>
              <w:t>7.024.884.865.290</w:t>
            </w:r>
          </w:p>
        </w:tc>
        <w:tc>
          <w:tcPr>
            <w:tcW w:w="1494" w:type="dxa"/>
            <w:noWrap/>
            <w:vAlign w:val="center"/>
            <w:hideMark/>
          </w:tcPr>
          <w:p w14:paraId="2F12D6DA" w14:textId="71B4A546" w:rsidR="000D66C1" w:rsidRPr="00951AB1" w:rsidRDefault="000D66C1" w:rsidP="000A5389">
            <w:pPr>
              <w:spacing w:line="240" w:lineRule="auto"/>
              <w:jc w:val="right"/>
              <w:rPr>
                <w:rFonts w:eastAsia="Times New Roman" w:cs="Times New Roman"/>
                <w:b/>
                <w:bCs/>
                <w:color w:val="000000"/>
                <w:kern w:val="0"/>
                <w:sz w:val="18"/>
                <w:szCs w:val="18"/>
                <w:lang w:eastAsia="es-CO"/>
                <w14:ligatures w14:val="none"/>
              </w:rPr>
            </w:pPr>
            <w:r w:rsidRPr="00951AB1">
              <w:rPr>
                <w:rFonts w:eastAsia="Times New Roman" w:cs="Times New Roman"/>
                <w:b/>
                <w:bCs/>
                <w:color w:val="000000"/>
                <w:kern w:val="0"/>
                <w:sz w:val="18"/>
                <w:szCs w:val="18"/>
                <w:lang w:eastAsia="es-CO"/>
                <w14:ligatures w14:val="none"/>
              </w:rPr>
              <w:t>-4.154.041.923</w:t>
            </w:r>
          </w:p>
        </w:tc>
      </w:tr>
      <w:tr w:rsidR="00C70C31" w:rsidRPr="00951AB1" w14:paraId="10BCB67F" w14:textId="77777777" w:rsidTr="000D66C1">
        <w:trPr>
          <w:trHeight w:val="285"/>
        </w:trPr>
        <w:tc>
          <w:tcPr>
            <w:tcW w:w="3964" w:type="dxa"/>
            <w:vAlign w:val="center"/>
            <w:hideMark/>
          </w:tcPr>
          <w:p w14:paraId="3F77777C" w14:textId="77777777" w:rsidR="000D66C1" w:rsidRPr="00951AB1" w:rsidRDefault="000D66C1" w:rsidP="000A5389">
            <w:pPr>
              <w:spacing w:line="240" w:lineRule="auto"/>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Propiedades, Plan y Equipo</w:t>
            </w:r>
          </w:p>
        </w:tc>
        <w:tc>
          <w:tcPr>
            <w:tcW w:w="1683" w:type="dxa"/>
            <w:noWrap/>
            <w:vAlign w:val="center"/>
            <w:hideMark/>
          </w:tcPr>
          <w:p w14:paraId="652F9534" w14:textId="7F006F6D" w:rsidR="000D66C1" w:rsidRPr="00951AB1" w:rsidRDefault="000D66C1"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33.352.098.043</w:t>
            </w:r>
          </w:p>
        </w:tc>
        <w:tc>
          <w:tcPr>
            <w:tcW w:w="1687" w:type="dxa"/>
            <w:noWrap/>
            <w:vAlign w:val="center"/>
            <w:hideMark/>
          </w:tcPr>
          <w:p w14:paraId="6D7BEA4B" w14:textId="57109318" w:rsidR="000D66C1" w:rsidRPr="00951AB1" w:rsidRDefault="000D66C1"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30.506.434.913</w:t>
            </w:r>
          </w:p>
        </w:tc>
        <w:tc>
          <w:tcPr>
            <w:tcW w:w="1494" w:type="dxa"/>
            <w:noWrap/>
            <w:vAlign w:val="center"/>
            <w:hideMark/>
          </w:tcPr>
          <w:p w14:paraId="45D8297F" w14:textId="66F5873C" w:rsidR="000D66C1" w:rsidRPr="00951AB1" w:rsidRDefault="000D66C1"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2.845.663.130</w:t>
            </w:r>
          </w:p>
        </w:tc>
      </w:tr>
      <w:tr w:rsidR="00C70C31" w:rsidRPr="00951AB1" w14:paraId="7E4A4308" w14:textId="77777777" w:rsidTr="000D66C1">
        <w:trPr>
          <w:trHeight w:val="285"/>
        </w:trPr>
        <w:tc>
          <w:tcPr>
            <w:tcW w:w="3964" w:type="dxa"/>
            <w:vAlign w:val="center"/>
            <w:hideMark/>
          </w:tcPr>
          <w:p w14:paraId="32B1D2F2" w14:textId="77777777" w:rsidR="000D66C1" w:rsidRPr="00951AB1" w:rsidRDefault="000D66C1" w:rsidP="000A5389">
            <w:pPr>
              <w:spacing w:line="240" w:lineRule="auto"/>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Red carretera</w:t>
            </w:r>
          </w:p>
        </w:tc>
        <w:tc>
          <w:tcPr>
            <w:tcW w:w="1683" w:type="dxa"/>
            <w:noWrap/>
            <w:vAlign w:val="center"/>
            <w:hideMark/>
          </w:tcPr>
          <w:p w14:paraId="6AF65937" w14:textId="1322A73D" w:rsidR="000D66C1" w:rsidRPr="00951AB1" w:rsidRDefault="000D66C1"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6.839.849.820.754</w:t>
            </w:r>
          </w:p>
        </w:tc>
        <w:tc>
          <w:tcPr>
            <w:tcW w:w="1687" w:type="dxa"/>
            <w:noWrap/>
            <w:vAlign w:val="center"/>
            <w:hideMark/>
          </w:tcPr>
          <w:p w14:paraId="07C981E1" w14:textId="45BA01E0" w:rsidR="000D66C1" w:rsidRPr="00951AB1" w:rsidRDefault="000D66C1"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6.850.158.129.541</w:t>
            </w:r>
          </w:p>
        </w:tc>
        <w:tc>
          <w:tcPr>
            <w:tcW w:w="1494" w:type="dxa"/>
            <w:noWrap/>
            <w:vAlign w:val="center"/>
            <w:hideMark/>
          </w:tcPr>
          <w:p w14:paraId="5888419F" w14:textId="4D8EDF80" w:rsidR="000D66C1" w:rsidRPr="00951AB1" w:rsidRDefault="000D66C1"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-10.308.308.788</w:t>
            </w:r>
          </w:p>
        </w:tc>
      </w:tr>
      <w:tr w:rsidR="00C70C31" w:rsidRPr="00951AB1" w14:paraId="1BFE49E7" w14:textId="77777777" w:rsidTr="000D66C1">
        <w:trPr>
          <w:trHeight w:val="285"/>
        </w:trPr>
        <w:tc>
          <w:tcPr>
            <w:tcW w:w="3964" w:type="dxa"/>
            <w:vAlign w:val="center"/>
            <w:hideMark/>
          </w:tcPr>
          <w:p w14:paraId="01FA74AF" w14:textId="77777777" w:rsidR="000D66C1" w:rsidRPr="00951AB1" w:rsidRDefault="000D66C1" w:rsidP="000A5389">
            <w:pPr>
              <w:spacing w:line="240" w:lineRule="auto"/>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Terrenos</w:t>
            </w:r>
          </w:p>
        </w:tc>
        <w:tc>
          <w:tcPr>
            <w:tcW w:w="1683" w:type="dxa"/>
            <w:noWrap/>
            <w:vAlign w:val="center"/>
            <w:hideMark/>
          </w:tcPr>
          <w:p w14:paraId="005B0AE9" w14:textId="2EDB1070" w:rsidR="000D66C1" w:rsidRPr="00951AB1" w:rsidRDefault="000D66C1"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142.547.149.648</w:t>
            </w:r>
          </w:p>
        </w:tc>
        <w:tc>
          <w:tcPr>
            <w:tcW w:w="1687" w:type="dxa"/>
            <w:noWrap/>
            <w:vAlign w:val="center"/>
            <w:hideMark/>
          </w:tcPr>
          <w:p w14:paraId="3FBE3C00" w14:textId="3513DB8C" w:rsidR="000D66C1" w:rsidRPr="00951AB1" w:rsidRDefault="000D66C1"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142.547.149.648</w:t>
            </w:r>
          </w:p>
        </w:tc>
        <w:tc>
          <w:tcPr>
            <w:tcW w:w="1494" w:type="dxa"/>
            <w:noWrap/>
            <w:vAlign w:val="center"/>
            <w:hideMark/>
          </w:tcPr>
          <w:p w14:paraId="0010B50C" w14:textId="009FE969" w:rsidR="000D66C1" w:rsidRPr="00951AB1" w:rsidRDefault="000D66C1"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w:t>
            </w:r>
          </w:p>
        </w:tc>
      </w:tr>
      <w:tr w:rsidR="00C70C31" w:rsidRPr="00951AB1" w14:paraId="7765C7B4" w14:textId="77777777" w:rsidTr="000D66C1">
        <w:trPr>
          <w:trHeight w:val="285"/>
        </w:trPr>
        <w:tc>
          <w:tcPr>
            <w:tcW w:w="3964" w:type="dxa"/>
            <w:noWrap/>
            <w:vAlign w:val="center"/>
            <w:hideMark/>
          </w:tcPr>
          <w:p w14:paraId="0565F3C5" w14:textId="77777777" w:rsidR="000D66C1" w:rsidRPr="00951AB1" w:rsidRDefault="000D66C1" w:rsidP="000A5389">
            <w:pPr>
              <w:spacing w:line="240" w:lineRule="auto"/>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Recursos de la entidad concedente en patrimonios autónomos constituidos por concesionarios privados</w:t>
            </w:r>
          </w:p>
        </w:tc>
        <w:tc>
          <w:tcPr>
            <w:tcW w:w="1683" w:type="dxa"/>
            <w:noWrap/>
            <w:vAlign w:val="center"/>
            <w:hideMark/>
          </w:tcPr>
          <w:p w14:paraId="33458D4E" w14:textId="375F32F1" w:rsidR="000D66C1" w:rsidRPr="00951AB1" w:rsidRDefault="000D66C1"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4.981.754.923</w:t>
            </w:r>
          </w:p>
        </w:tc>
        <w:tc>
          <w:tcPr>
            <w:tcW w:w="1687" w:type="dxa"/>
            <w:noWrap/>
            <w:vAlign w:val="center"/>
            <w:hideMark/>
          </w:tcPr>
          <w:p w14:paraId="0E4AC0C8" w14:textId="7ECD4058" w:rsidR="000D66C1" w:rsidRPr="00951AB1" w:rsidRDefault="000D66C1"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1.673.151.188</w:t>
            </w:r>
          </w:p>
        </w:tc>
        <w:tc>
          <w:tcPr>
            <w:tcW w:w="1494" w:type="dxa"/>
            <w:noWrap/>
            <w:vAlign w:val="center"/>
            <w:hideMark/>
          </w:tcPr>
          <w:p w14:paraId="64D26B28" w14:textId="228A2A79" w:rsidR="000D66C1" w:rsidRPr="00951AB1" w:rsidRDefault="000D66C1"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3.308.603.735</w:t>
            </w:r>
          </w:p>
        </w:tc>
      </w:tr>
      <w:tr w:rsidR="00C70C31" w:rsidRPr="00951AB1" w14:paraId="01D77590" w14:textId="77777777" w:rsidTr="000D66C1">
        <w:trPr>
          <w:trHeight w:val="570"/>
        </w:trPr>
        <w:tc>
          <w:tcPr>
            <w:tcW w:w="3964" w:type="dxa"/>
            <w:vAlign w:val="center"/>
            <w:hideMark/>
          </w:tcPr>
          <w:p w14:paraId="16AB2CFE" w14:textId="77777777" w:rsidR="000D66C1" w:rsidRPr="00951AB1" w:rsidRDefault="000D66C1" w:rsidP="000A5389">
            <w:pPr>
              <w:spacing w:line="240" w:lineRule="auto"/>
              <w:rPr>
                <w:rFonts w:eastAsia="Times New Roman" w:cs="Times New Roman"/>
                <w:b/>
                <w:bCs/>
                <w:color w:val="000000"/>
                <w:kern w:val="0"/>
                <w:sz w:val="18"/>
                <w:szCs w:val="18"/>
                <w:lang w:eastAsia="es-CO"/>
                <w14:ligatures w14:val="none"/>
              </w:rPr>
            </w:pPr>
            <w:r w:rsidRPr="00951AB1">
              <w:rPr>
                <w:rFonts w:eastAsia="Times New Roman" w:cs="Times New Roman"/>
                <w:b/>
                <w:bCs/>
                <w:color w:val="000000"/>
                <w:kern w:val="0"/>
                <w:sz w:val="18"/>
                <w:szCs w:val="18"/>
                <w:lang w:eastAsia="es-CO"/>
                <w14:ligatures w14:val="none"/>
              </w:rPr>
              <w:t>SOCIEDAD CONCESIONARIA VIAL MONTES DE MARIA SAS</w:t>
            </w:r>
          </w:p>
        </w:tc>
        <w:tc>
          <w:tcPr>
            <w:tcW w:w="1683" w:type="dxa"/>
            <w:noWrap/>
            <w:vAlign w:val="center"/>
            <w:hideMark/>
          </w:tcPr>
          <w:p w14:paraId="3FE9D5A1" w14:textId="5230E269" w:rsidR="000D66C1" w:rsidRPr="00951AB1" w:rsidRDefault="000D66C1" w:rsidP="000A5389">
            <w:pPr>
              <w:spacing w:line="240" w:lineRule="auto"/>
              <w:jc w:val="right"/>
              <w:rPr>
                <w:rFonts w:eastAsia="Times New Roman" w:cs="Times New Roman"/>
                <w:b/>
                <w:bCs/>
                <w:color w:val="000000"/>
                <w:kern w:val="0"/>
                <w:sz w:val="18"/>
                <w:szCs w:val="18"/>
                <w:lang w:eastAsia="es-CO"/>
                <w14:ligatures w14:val="none"/>
              </w:rPr>
            </w:pPr>
            <w:r w:rsidRPr="00951AB1">
              <w:rPr>
                <w:rFonts w:eastAsia="Times New Roman" w:cs="Times New Roman"/>
                <w:b/>
                <w:bCs/>
                <w:color w:val="000000"/>
                <w:kern w:val="0"/>
                <w:sz w:val="18"/>
                <w:szCs w:val="18"/>
                <w:lang w:eastAsia="es-CO"/>
                <w14:ligatures w14:val="none"/>
              </w:rPr>
              <w:t>951.479.261.434</w:t>
            </w:r>
          </w:p>
        </w:tc>
        <w:tc>
          <w:tcPr>
            <w:tcW w:w="1687" w:type="dxa"/>
            <w:noWrap/>
            <w:vAlign w:val="center"/>
            <w:hideMark/>
          </w:tcPr>
          <w:p w14:paraId="08B554AA" w14:textId="35BD45F0" w:rsidR="000D66C1" w:rsidRPr="00951AB1" w:rsidRDefault="000D66C1" w:rsidP="000A5389">
            <w:pPr>
              <w:spacing w:line="240" w:lineRule="auto"/>
              <w:jc w:val="right"/>
              <w:rPr>
                <w:rFonts w:eastAsia="Times New Roman" w:cs="Times New Roman"/>
                <w:b/>
                <w:bCs/>
                <w:color w:val="000000"/>
                <w:kern w:val="0"/>
                <w:sz w:val="18"/>
                <w:szCs w:val="18"/>
                <w:lang w:eastAsia="es-CO"/>
                <w14:ligatures w14:val="none"/>
              </w:rPr>
            </w:pPr>
            <w:r w:rsidRPr="00951AB1">
              <w:rPr>
                <w:rFonts w:eastAsia="Times New Roman" w:cs="Times New Roman"/>
                <w:b/>
                <w:bCs/>
                <w:color w:val="000000"/>
                <w:kern w:val="0"/>
                <w:sz w:val="18"/>
                <w:szCs w:val="18"/>
                <w:lang w:eastAsia="es-CO"/>
                <w14:ligatures w14:val="none"/>
              </w:rPr>
              <w:t>993.992.665.364</w:t>
            </w:r>
          </w:p>
        </w:tc>
        <w:tc>
          <w:tcPr>
            <w:tcW w:w="1494" w:type="dxa"/>
            <w:noWrap/>
            <w:vAlign w:val="center"/>
            <w:hideMark/>
          </w:tcPr>
          <w:p w14:paraId="2F7DA2B3" w14:textId="60C9FFAE" w:rsidR="000D66C1" w:rsidRPr="00951AB1" w:rsidRDefault="000D66C1" w:rsidP="000A5389">
            <w:pPr>
              <w:spacing w:line="240" w:lineRule="auto"/>
              <w:jc w:val="right"/>
              <w:rPr>
                <w:rFonts w:eastAsia="Times New Roman" w:cs="Times New Roman"/>
                <w:b/>
                <w:bCs/>
                <w:color w:val="000000"/>
                <w:kern w:val="0"/>
                <w:sz w:val="18"/>
                <w:szCs w:val="18"/>
                <w:lang w:eastAsia="es-CO"/>
                <w14:ligatures w14:val="none"/>
              </w:rPr>
            </w:pPr>
            <w:r w:rsidRPr="00951AB1">
              <w:rPr>
                <w:rFonts w:eastAsia="Times New Roman" w:cs="Times New Roman"/>
                <w:b/>
                <w:bCs/>
                <w:color w:val="000000"/>
                <w:kern w:val="0"/>
                <w:sz w:val="18"/>
                <w:szCs w:val="18"/>
                <w:lang w:eastAsia="es-CO"/>
                <w14:ligatures w14:val="none"/>
              </w:rPr>
              <w:t>-42.513.403.931</w:t>
            </w:r>
          </w:p>
        </w:tc>
      </w:tr>
      <w:tr w:rsidR="00C70C31" w:rsidRPr="00951AB1" w14:paraId="4BFD7593" w14:textId="77777777" w:rsidTr="000D66C1">
        <w:trPr>
          <w:trHeight w:val="285"/>
        </w:trPr>
        <w:tc>
          <w:tcPr>
            <w:tcW w:w="3964" w:type="dxa"/>
            <w:vAlign w:val="center"/>
            <w:hideMark/>
          </w:tcPr>
          <w:p w14:paraId="41C5C232" w14:textId="77777777" w:rsidR="000D66C1" w:rsidRPr="00951AB1" w:rsidRDefault="000D66C1" w:rsidP="000A5389">
            <w:pPr>
              <w:spacing w:line="240" w:lineRule="auto"/>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Activos intangibles en concesión</w:t>
            </w:r>
          </w:p>
        </w:tc>
        <w:tc>
          <w:tcPr>
            <w:tcW w:w="1683" w:type="dxa"/>
            <w:noWrap/>
            <w:vAlign w:val="center"/>
            <w:hideMark/>
          </w:tcPr>
          <w:p w14:paraId="5AB7CA70" w14:textId="1DFE2739" w:rsidR="000D66C1" w:rsidRPr="00951AB1" w:rsidRDefault="000D66C1"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246.465.070</w:t>
            </w:r>
          </w:p>
        </w:tc>
        <w:tc>
          <w:tcPr>
            <w:tcW w:w="1687" w:type="dxa"/>
            <w:noWrap/>
            <w:vAlign w:val="center"/>
            <w:hideMark/>
          </w:tcPr>
          <w:p w14:paraId="57DE0619" w14:textId="3E8701A9" w:rsidR="000D66C1" w:rsidRPr="00951AB1" w:rsidRDefault="000D66C1"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745.710.009</w:t>
            </w:r>
          </w:p>
        </w:tc>
        <w:tc>
          <w:tcPr>
            <w:tcW w:w="1494" w:type="dxa"/>
            <w:noWrap/>
            <w:vAlign w:val="center"/>
            <w:hideMark/>
          </w:tcPr>
          <w:p w14:paraId="7B9CDDFF" w14:textId="7C2D4843" w:rsidR="000D66C1" w:rsidRPr="00951AB1" w:rsidRDefault="000D66C1"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-499.244.939</w:t>
            </w:r>
          </w:p>
        </w:tc>
      </w:tr>
      <w:tr w:rsidR="00C70C31" w:rsidRPr="00951AB1" w14:paraId="2A97139B" w14:textId="77777777" w:rsidTr="000D66C1">
        <w:trPr>
          <w:trHeight w:val="368"/>
        </w:trPr>
        <w:tc>
          <w:tcPr>
            <w:tcW w:w="3964" w:type="dxa"/>
            <w:vAlign w:val="center"/>
            <w:hideMark/>
          </w:tcPr>
          <w:p w14:paraId="55945EA5" w14:textId="77777777" w:rsidR="000D66C1" w:rsidRPr="00951AB1" w:rsidRDefault="000D66C1" w:rsidP="000A5389">
            <w:pPr>
              <w:spacing w:line="240" w:lineRule="auto"/>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Propiedades, Plan y Equipo</w:t>
            </w:r>
          </w:p>
        </w:tc>
        <w:tc>
          <w:tcPr>
            <w:tcW w:w="1683" w:type="dxa"/>
            <w:noWrap/>
            <w:vAlign w:val="center"/>
            <w:hideMark/>
          </w:tcPr>
          <w:p w14:paraId="37FFBC67" w14:textId="20A84381" w:rsidR="000D66C1" w:rsidRPr="00951AB1" w:rsidRDefault="000D66C1"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20.217.027.995</w:t>
            </w:r>
          </w:p>
        </w:tc>
        <w:tc>
          <w:tcPr>
            <w:tcW w:w="1687" w:type="dxa"/>
            <w:noWrap/>
            <w:vAlign w:val="center"/>
            <w:hideMark/>
          </w:tcPr>
          <w:p w14:paraId="68EB9ACD" w14:textId="56485519" w:rsidR="000D66C1" w:rsidRPr="00951AB1" w:rsidRDefault="000D66C1"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17.172.498.120</w:t>
            </w:r>
          </w:p>
        </w:tc>
        <w:tc>
          <w:tcPr>
            <w:tcW w:w="1494" w:type="dxa"/>
            <w:noWrap/>
            <w:vAlign w:val="center"/>
            <w:hideMark/>
          </w:tcPr>
          <w:p w14:paraId="319E8D14" w14:textId="2506DA9D" w:rsidR="000D66C1" w:rsidRPr="00951AB1" w:rsidRDefault="000D66C1"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3.044.529.875</w:t>
            </w:r>
          </w:p>
        </w:tc>
      </w:tr>
      <w:tr w:rsidR="00C70C31" w:rsidRPr="00951AB1" w14:paraId="0F957237" w14:textId="77777777" w:rsidTr="000D66C1">
        <w:trPr>
          <w:trHeight w:val="285"/>
        </w:trPr>
        <w:tc>
          <w:tcPr>
            <w:tcW w:w="3964" w:type="dxa"/>
            <w:vAlign w:val="center"/>
            <w:hideMark/>
          </w:tcPr>
          <w:p w14:paraId="00D7E4E6" w14:textId="77777777" w:rsidR="000D66C1" w:rsidRPr="00951AB1" w:rsidRDefault="000D66C1" w:rsidP="000A5389">
            <w:pPr>
              <w:spacing w:line="240" w:lineRule="auto"/>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lastRenderedPageBreak/>
              <w:t>Red carretera</w:t>
            </w:r>
          </w:p>
        </w:tc>
        <w:tc>
          <w:tcPr>
            <w:tcW w:w="1683" w:type="dxa"/>
            <w:noWrap/>
            <w:vAlign w:val="center"/>
            <w:hideMark/>
          </w:tcPr>
          <w:p w14:paraId="7574F8E2" w14:textId="3C77496C" w:rsidR="000D66C1" w:rsidRPr="00951AB1" w:rsidRDefault="000D66C1"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903.965.493.631</w:t>
            </w:r>
          </w:p>
        </w:tc>
        <w:tc>
          <w:tcPr>
            <w:tcW w:w="1687" w:type="dxa"/>
            <w:noWrap/>
            <w:vAlign w:val="center"/>
            <w:hideMark/>
          </w:tcPr>
          <w:p w14:paraId="237CF230" w14:textId="39EFA1E6" w:rsidR="000D66C1" w:rsidRPr="00951AB1" w:rsidRDefault="000D66C1"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904.910.236.738</w:t>
            </w:r>
          </w:p>
        </w:tc>
        <w:tc>
          <w:tcPr>
            <w:tcW w:w="1494" w:type="dxa"/>
            <w:noWrap/>
            <w:vAlign w:val="center"/>
            <w:hideMark/>
          </w:tcPr>
          <w:p w14:paraId="0B63D2AA" w14:textId="4F1D9009" w:rsidR="000D66C1" w:rsidRPr="00951AB1" w:rsidRDefault="000D66C1"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-944.743.107</w:t>
            </w:r>
          </w:p>
        </w:tc>
      </w:tr>
      <w:tr w:rsidR="00C70C31" w:rsidRPr="00951AB1" w14:paraId="3EDCB89A" w14:textId="77777777" w:rsidTr="000D66C1">
        <w:trPr>
          <w:trHeight w:val="285"/>
        </w:trPr>
        <w:tc>
          <w:tcPr>
            <w:tcW w:w="3964" w:type="dxa"/>
            <w:vAlign w:val="center"/>
            <w:hideMark/>
          </w:tcPr>
          <w:p w14:paraId="734B7321" w14:textId="77777777" w:rsidR="000D66C1" w:rsidRPr="00951AB1" w:rsidRDefault="000D66C1" w:rsidP="000A5389">
            <w:pPr>
              <w:spacing w:line="240" w:lineRule="auto"/>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Terrenos</w:t>
            </w:r>
          </w:p>
        </w:tc>
        <w:tc>
          <w:tcPr>
            <w:tcW w:w="1683" w:type="dxa"/>
            <w:noWrap/>
            <w:vAlign w:val="center"/>
            <w:hideMark/>
          </w:tcPr>
          <w:p w14:paraId="308CC04F" w14:textId="32C84959" w:rsidR="000D66C1" w:rsidRPr="00951AB1" w:rsidRDefault="000D66C1"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8.336.384.535</w:t>
            </w:r>
          </w:p>
        </w:tc>
        <w:tc>
          <w:tcPr>
            <w:tcW w:w="1687" w:type="dxa"/>
            <w:noWrap/>
            <w:vAlign w:val="center"/>
            <w:hideMark/>
          </w:tcPr>
          <w:p w14:paraId="22BA7257" w14:textId="318A75D4" w:rsidR="000D66C1" w:rsidRPr="00951AB1" w:rsidRDefault="000D66C1"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8.336.384.535</w:t>
            </w:r>
          </w:p>
        </w:tc>
        <w:tc>
          <w:tcPr>
            <w:tcW w:w="1494" w:type="dxa"/>
            <w:noWrap/>
            <w:vAlign w:val="center"/>
            <w:hideMark/>
          </w:tcPr>
          <w:p w14:paraId="65C12CB3" w14:textId="5C5A23F3" w:rsidR="000D66C1" w:rsidRPr="00951AB1" w:rsidRDefault="000D66C1"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0</w:t>
            </w:r>
          </w:p>
        </w:tc>
      </w:tr>
      <w:tr w:rsidR="00C70C31" w:rsidRPr="00951AB1" w14:paraId="246E34E2" w14:textId="77777777" w:rsidTr="000D66C1">
        <w:trPr>
          <w:trHeight w:val="570"/>
        </w:trPr>
        <w:tc>
          <w:tcPr>
            <w:tcW w:w="3964" w:type="dxa"/>
            <w:vAlign w:val="center"/>
            <w:hideMark/>
          </w:tcPr>
          <w:p w14:paraId="34A2C32A" w14:textId="77777777" w:rsidR="000D66C1" w:rsidRPr="00951AB1" w:rsidRDefault="000D66C1" w:rsidP="000A5389">
            <w:pPr>
              <w:spacing w:line="240" w:lineRule="auto"/>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Recursos de la entidad concedente en patrimonios autónomos constituidos por concesionarios privados</w:t>
            </w:r>
          </w:p>
        </w:tc>
        <w:tc>
          <w:tcPr>
            <w:tcW w:w="1683" w:type="dxa"/>
            <w:noWrap/>
            <w:vAlign w:val="center"/>
            <w:hideMark/>
          </w:tcPr>
          <w:p w14:paraId="6325E637" w14:textId="15809083" w:rsidR="000D66C1" w:rsidRPr="00951AB1" w:rsidRDefault="000D66C1"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18.713.890.203</w:t>
            </w:r>
          </w:p>
        </w:tc>
        <w:tc>
          <w:tcPr>
            <w:tcW w:w="1687" w:type="dxa"/>
            <w:noWrap/>
            <w:vAlign w:val="center"/>
            <w:hideMark/>
          </w:tcPr>
          <w:p w14:paraId="3FFDC284" w14:textId="3674E908" w:rsidR="000D66C1" w:rsidRPr="00951AB1" w:rsidRDefault="000D66C1"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62.827.835.963</w:t>
            </w:r>
          </w:p>
        </w:tc>
        <w:tc>
          <w:tcPr>
            <w:tcW w:w="1494" w:type="dxa"/>
            <w:noWrap/>
            <w:vAlign w:val="center"/>
            <w:hideMark/>
          </w:tcPr>
          <w:p w14:paraId="051C296F" w14:textId="4562954F" w:rsidR="000D66C1" w:rsidRPr="00951AB1" w:rsidRDefault="000D66C1"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-44.113.945.760</w:t>
            </w:r>
          </w:p>
        </w:tc>
      </w:tr>
      <w:tr w:rsidR="00C70C31" w:rsidRPr="00951AB1" w14:paraId="375E4B2F" w14:textId="77777777" w:rsidTr="000D66C1">
        <w:trPr>
          <w:trHeight w:val="285"/>
        </w:trPr>
        <w:tc>
          <w:tcPr>
            <w:tcW w:w="3964" w:type="dxa"/>
            <w:vAlign w:val="center"/>
            <w:hideMark/>
          </w:tcPr>
          <w:p w14:paraId="32EF865D" w14:textId="77777777" w:rsidR="000D66C1" w:rsidRPr="00951AB1" w:rsidRDefault="000D66C1" w:rsidP="000A5389">
            <w:pPr>
              <w:spacing w:line="240" w:lineRule="auto"/>
              <w:rPr>
                <w:rFonts w:eastAsia="Times New Roman" w:cs="Times New Roman"/>
                <w:b/>
                <w:bCs/>
                <w:color w:val="000000"/>
                <w:kern w:val="0"/>
                <w:sz w:val="18"/>
                <w:szCs w:val="18"/>
                <w:lang w:eastAsia="es-CO"/>
                <w14:ligatures w14:val="none"/>
              </w:rPr>
            </w:pPr>
            <w:r w:rsidRPr="00951AB1">
              <w:rPr>
                <w:rFonts w:eastAsia="Times New Roman" w:cs="Times New Roman"/>
                <w:b/>
                <w:bCs/>
                <w:color w:val="000000"/>
                <w:kern w:val="0"/>
                <w:sz w:val="18"/>
                <w:szCs w:val="18"/>
                <w:lang w:eastAsia="es-CO"/>
                <w14:ligatures w14:val="none"/>
              </w:rPr>
              <w:t>CONCESIONARIA VIAL DEL ORIENTE S A S</w:t>
            </w:r>
          </w:p>
        </w:tc>
        <w:tc>
          <w:tcPr>
            <w:tcW w:w="1683" w:type="dxa"/>
            <w:noWrap/>
            <w:vAlign w:val="center"/>
            <w:hideMark/>
          </w:tcPr>
          <w:p w14:paraId="2A026378" w14:textId="6F338C7D" w:rsidR="000D66C1" w:rsidRPr="00951AB1" w:rsidRDefault="000D66C1" w:rsidP="000A5389">
            <w:pPr>
              <w:spacing w:line="240" w:lineRule="auto"/>
              <w:jc w:val="right"/>
              <w:rPr>
                <w:rFonts w:eastAsia="Times New Roman" w:cs="Times New Roman"/>
                <w:b/>
                <w:bCs/>
                <w:color w:val="000000"/>
                <w:kern w:val="0"/>
                <w:sz w:val="18"/>
                <w:szCs w:val="18"/>
                <w:lang w:eastAsia="es-CO"/>
                <w14:ligatures w14:val="none"/>
              </w:rPr>
            </w:pPr>
            <w:r w:rsidRPr="00951AB1">
              <w:rPr>
                <w:rFonts w:eastAsia="Times New Roman" w:cs="Times New Roman"/>
                <w:b/>
                <w:bCs/>
                <w:color w:val="000000"/>
                <w:kern w:val="0"/>
                <w:sz w:val="18"/>
                <w:szCs w:val="18"/>
                <w:lang w:eastAsia="es-CO"/>
                <w14:ligatures w14:val="none"/>
              </w:rPr>
              <w:t>2.812.795.832.494</w:t>
            </w:r>
          </w:p>
        </w:tc>
        <w:tc>
          <w:tcPr>
            <w:tcW w:w="1687" w:type="dxa"/>
            <w:noWrap/>
            <w:vAlign w:val="center"/>
            <w:hideMark/>
          </w:tcPr>
          <w:p w14:paraId="38AEC996" w14:textId="39C00829" w:rsidR="000D66C1" w:rsidRPr="00951AB1" w:rsidRDefault="000D66C1" w:rsidP="000A5389">
            <w:pPr>
              <w:spacing w:line="240" w:lineRule="auto"/>
              <w:jc w:val="right"/>
              <w:rPr>
                <w:rFonts w:eastAsia="Times New Roman" w:cs="Times New Roman"/>
                <w:b/>
                <w:bCs/>
                <w:color w:val="000000"/>
                <w:kern w:val="0"/>
                <w:sz w:val="18"/>
                <w:szCs w:val="18"/>
                <w:lang w:eastAsia="es-CO"/>
                <w14:ligatures w14:val="none"/>
              </w:rPr>
            </w:pPr>
            <w:r w:rsidRPr="00951AB1">
              <w:rPr>
                <w:rFonts w:eastAsia="Times New Roman" w:cs="Times New Roman"/>
                <w:b/>
                <w:bCs/>
                <w:color w:val="000000"/>
                <w:kern w:val="0"/>
                <w:sz w:val="18"/>
                <w:szCs w:val="18"/>
                <w:lang w:eastAsia="es-CO"/>
                <w14:ligatures w14:val="none"/>
              </w:rPr>
              <w:t>2.963.844.643.368</w:t>
            </w:r>
          </w:p>
        </w:tc>
        <w:tc>
          <w:tcPr>
            <w:tcW w:w="1494" w:type="dxa"/>
            <w:noWrap/>
            <w:vAlign w:val="center"/>
            <w:hideMark/>
          </w:tcPr>
          <w:p w14:paraId="247854EA" w14:textId="1CE93B77" w:rsidR="000D66C1" w:rsidRPr="00951AB1" w:rsidRDefault="000D66C1" w:rsidP="000A5389">
            <w:pPr>
              <w:spacing w:line="240" w:lineRule="auto"/>
              <w:jc w:val="right"/>
              <w:rPr>
                <w:rFonts w:eastAsia="Times New Roman" w:cs="Times New Roman"/>
                <w:b/>
                <w:bCs/>
                <w:color w:val="000000"/>
                <w:kern w:val="0"/>
                <w:sz w:val="18"/>
                <w:szCs w:val="18"/>
                <w:lang w:eastAsia="es-CO"/>
                <w14:ligatures w14:val="none"/>
              </w:rPr>
            </w:pPr>
            <w:r w:rsidRPr="00951AB1">
              <w:rPr>
                <w:rFonts w:eastAsia="Times New Roman" w:cs="Times New Roman"/>
                <w:b/>
                <w:bCs/>
                <w:color w:val="000000"/>
                <w:kern w:val="0"/>
                <w:sz w:val="18"/>
                <w:szCs w:val="18"/>
                <w:lang w:eastAsia="es-CO"/>
                <w14:ligatures w14:val="none"/>
              </w:rPr>
              <w:t>-151.048.810.874</w:t>
            </w:r>
          </w:p>
        </w:tc>
      </w:tr>
      <w:tr w:rsidR="00C70C31" w:rsidRPr="00951AB1" w14:paraId="4B89886F" w14:textId="77777777" w:rsidTr="000D66C1">
        <w:trPr>
          <w:trHeight w:val="285"/>
        </w:trPr>
        <w:tc>
          <w:tcPr>
            <w:tcW w:w="3964" w:type="dxa"/>
            <w:vAlign w:val="center"/>
            <w:hideMark/>
          </w:tcPr>
          <w:p w14:paraId="37770A10" w14:textId="77777777" w:rsidR="000D66C1" w:rsidRPr="00951AB1" w:rsidRDefault="000D66C1" w:rsidP="000A5389">
            <w:pPr>
              <w:spacing w:line="240" w:lineRule="auto"/>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Activos intangibles en concesión</w:t>
            </w:r>
          </w:p>
        </w:tc>
        <w:tc>
          <w:tcPr>
            <w:tcW w:w="1683" w:type="dxa"/>
            <w:noWrap/>
            <w:vAlign w:val="center"/>
            <w:hideMark/>
          </w:tcPr>
          <w:p w14:paraId="6CC9E64B" w14:textId="65022EEA" w:rsidR="000D66C1" w:rsidRPr="00951AB1" w:rsidRDefault="000D66C1"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139.338.395</w:t>
            </w:r>
          </w:p>
        </w:tc>
        <w:tc>
          <w:tcPr>
            <w:tcW w:w="1687" w:type="dxa"/>
            <w:noWrap/>
            <w:vAlign w:val="center"/>
            <w:hideMark/>
          </w:tcPr>
          <w:p w14:paraId="1894CD53" w14:textId="6CB5E5C7" w:rsidR="000D66C1" w:rsidRPr="00951AB1" w:rsidRDefault="000D66C1"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139.338.395</w:t>
            </w:r>
          </w:p>
        </w:tc>
        <w:tc>
          <w:tcPr>
            <w:tcW w:w="1494" w:type="dxa"/>
            <w:noWrap/>
            <w:vAlign w:val="center"/>
            <w:hideMark/>
          </w:tcPr>
          <w:p w14:paraId="1F95A938" w14:textId="38BA3000" w:rsidR="000D66C1" w:rsidRPr="00951AB1" w:rsidRDefault="000D66C1"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w:t>
            </w:r>
          </w:p>
        </w:tc>
      </w:tr>
      <w:tr w:rsidR="00C70C31" w:rsidRPr="00951AB1" w14:paraId="41F53E11" w14:textId="77777777" w:rsidTr="000D66C1">
        <w:trPr>
          <w:trHeight w:val="285"/>
        </w:trPr>
        <w:tc>
          <w:tcPr>
            <w:tcW w:w="3964" w:type="dxa"/>
            <w:vAlign w:val="center"/>
            <w:hideMark/>
          </w:tcPr>
          <w:p w14:paraId="7643E1EA" w14:textId="77777777" w:rsidR="000D66C1" w:rsidRPr="00951AB1" w:rsidRDefault="000D66C1" w:rsidP="000A5389">
            <w:pPr>
              <w:spacing w:line="240" w:lineRule="auto"/>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Propiedades, Plan y Equipo</w:t>
            </w:r>
          </w:p>
        </w:tc>
        <w:tc>
          <w:tcPr>
            <w:tcW w:w="1683" w:type="dxa"/>
            <w:noWrap/>
            <w:vAlign w:val="center"/>
            <w:hideMark/>
          </w:tcPr>
          <w:p w14:paraId="253EB4D0" w14:textId="44439A9F" w:rsidR="000D66C1" w:rsidRPr="00951AB1" w:rsidRDefault="000D66C1"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41.988.812.662</w:t>
            </w:r>
          </w:p>
        </w:tc>
        <w:tc>
          <w:tcPr>
            <w:tcW w:w="1687" w:type="dxa"/>
            <w:noWrap/>
            <w:vAlign w:val="center"/>
            <w:hideMark/>
          </w:tcPr>
          <w:p w14:paraId="71AB4B21" w14:textId="0578117A" w:rsidR="000D66C1" w:rsidRPr="00951AB1" w:rsidRDefault="000D66C1"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35.980.918.611</w:t>
            </w:r>
          </w:p>
        </w:tc>
        <w:tc>
          <w:tcPr>
            <w:tcW w:w="1494" w:type="dxa"/>
            <w:noWrap/>
            <w:vAlign w:val="center"/>
            <w:hideMark/>
          </w:tcPr>
          <w:p w14:paraId="536E1A56" w14:textId="29E34A15" w:rsidR="000D66C1" w:rsidRPr="00951AB1" w:rsidRDefault="000D66C1"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6.007.894.051</w:t>
            </w:r>
          </w:p>
        </w:tc>
      </w:tr>
      <w:tr w:rsidR="00C70C31" w:rsidRPr="00951AB1" w14:paraId="4F5CA6A0" w14:textId="77777777" w:rsidTr="000D66C1">
        <w:trPr>
          <w:trHeight w:val="285"/>
        </w:trPr>
        <w:tc>
          <w:tcPr>
            <w:tcW w:w="3964" w:type="dxa"/>
            <w:vAlign w:val="center"/>
            <w:hideMark/>
          </w:tcPr>
          <w:p w14:paraId="785AF06F" w14:textId="77777777" w:rsidR="000D66C1" w:rsidRPr="00951AB1" w:rsidRDefault="000D66C1" w:rsidP="000A5389">
            <w:pPr>
              <w:spacing w:line="240" w:lineRule="auto"/>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Red carretera</w:t>
            </w:r>
          </w:p>
        </w:tc>
        <w:tc>
          <w:tcPr>
            <w:tcW w:w="1683" w:type="dxa"/>
            <w:noWrap/>
            <w:vAlign w:val="center"/>
            <w:hideMark/>
          </w:tcPr>
          <w:p w14:paraId="53C6BF7E" w14:textId="63B75D7E" w:rsidR="000D66C1" w:rsidRPr="00951AB1" w:rsidRDefault="000D66C1"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2.241.579.729.889</w:t>
            </w:r>
          </w:p>
        </w:tc>
        <w:tc>
          <w:tcPr>
            <w:tcW w:w="1687" w:type="dxa"/>
            <w:noWrap/>
            <w:vAlign w:val="center"/>
            <w:hideMark/>
          </w:tcPr>
          <w:p w14:paraId="0AAD37A4" w14:textId="6F6290BC" w:rsidR="000D66C1" w:rsidRPr="00951AB1" w:rsidRDefault="000D66C1"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2.223.604.510.187</w:t>
            </w:r>
          </w:p>
        </w:tc>
        <w:tc>
          <w:tcPr>
            <w:tcW w:w="1494" w:type="dxa"/>
            <w:noWrap/>
            <w:vAlign w:val="center"/>
            <w:hideMark/>
          </w:tcPr>
          <w:p w14:paraId="323C5383" w14:textId="12D78D26" w:rsidR="000D66C1" w:rsidRPr="00951AB1" w:rsidRDefault="000D66C1"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17.975.219.702</w:t>
            </w:r>
          </w:p>
        </w:tc>
      </w:tr>
      <w:tr w:rsidR="00C70C31" w:rsidRPr="00951AB1" w14:paraId="0889BF9B" w14:textId="77777777" w:rsidTr="000D66C1">
        <w:trPr>
          <w:trHeight w:val="285"/>
        </w:trPr>
        <w:tc>
          <w:tcPr>
            <w:tcW w:w="3964" w:type="dxa"/>
            <w:vAlign w:val="center"/>
            <w:hideMark/>
          </w:tcPr>
          <w:p w14:paraId="30712064" w14:textId="77777777" w:rsidR="000D66C1" w:rsidRPr="00951AB1" w:rsidRDefault="000D66C1" w:rsidP="000A5389">
            <w:pPr>
              <w:spacing w:line="240" w:lineRule="auto"/>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Terrenos</w:t>
            </w:r>
          </w:p>
        </w:tc>
        <w:tc>
          <w:tcPr>
            <w:tcW w:w="1683" w:type="dxa"/>
            <w:noWrap/>
            <w:vAlign w:val="center"/>
            <w:hideMark/>
          </w:tcPr>
          <w:p w14:paraId="7EF4751D" w14:textId="76C82452" w:rsidR="000D66C1" w:rsidRPr="00951AB1" w:rsidRDefault="000D66C1"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145.027.388.458</w:t>
            </w:r>
          </w:p>
        </w:tc>
        <w:tc>
          <w:tcPr>
            <w:tcW w:w="1687" w:type="dxa"/>
            <w:noWrap/>
            <w:vAlign w:val="center"/>
            <w:hideMark/>
          </w:tcPr>
          <w:p w14:paraId="033DE31C" w14:textId="4F09BAFF" w:rsidR="000D66C1" w:rsidRPr="00951AB1" w:rsidRDefault="000D66C1"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145.027.388.455</w:t>
            </w:r>
          </w:p>
        </w:tc>
        <w:tc>
          <w:tcPr>
            <w:tcW w:w="1494" w:type="dxa"/>
            <w:noWrap/>
            <w:vAlign w:val="center"/>
            <w:hideMark/>
          </w:tcPr>
          <w:p w14:paraId="783E492A" w14:textId="0D8F72AF" w:rsidR="000D66C1" w:rsidRPr="00951AB1" w:rsidRDefault="000D66C1"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2</w:t>
            </w:r>
          </w:p>
        </w:tc>
      </w:tr>
      <w:tr w:rsidR="00C70C31" w:rsidRPr="00951AB1" w14:paraId="77DEE9F2" w14:textId="77777777" w:rsidTr="000D66C1">
        <w:trPr>
          <w:trHeight w:val="570"/>
        </w:trPr>
        <w:tc>
          <w:tcPr>
            <w:tcW w:w="3964" w:type="dxa"/>
            <w:vAlign w:val="center"/>
            <w:hideMark/>
          </w:tcPr>
          <w:p w14:paraId="278864B8" w14:textId="77777777" w:rsidR="000D66C1" w:rsidRPr="00951AB1" w:rsidRDefault="000D66C1" w:rsidP="000A5389">
            <w:pPr>
              <w:spacing w:line="240" w:lineRule="auto"/>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Recursos de la entidad concedente en patrimonios autónomos constituidos por concesionarios privados</w:t>
            </w:r>
          </w:p>
        </w:tc>
        <w:tc>
          <w:tcPr>
            <w:tcW w:w="1683" w:type="dxa"/>
            <w:noWrap/>
            <w:vAlign w:val="center"/>
            <w:hideMark/>
          </w:tcPr>
          <w:p w14:paraId="368C9E4B" w14:textId="781D7C1A" w:rsidR="000D66C1" w:rsidRPr="00951AB1" w:rsidRDefault="000D66C1"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384.060.563.090</w:t>
            </w:r>
          </w:p>
        </w:tc>
        <w:tc>
          <w:tcPr>
            <w:tcW w:w="1687" w:type="dxa"/>
            <w:noWrap/>
            <w:vAlign w:val="center"/>
            <w:hideMark/>
          </w:tcPr>
          <w:p w14:paraId="4BA1669B" w14:textId="4177C199" w:rsidR="000D66C1" w:rsidRPr="00951AB1" w:rsidRDefault="000D66C1"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559.092.487.719</w:t>
            </w:r>
          </w:p>
        </w:tc>
        <w:tc>
          <w:tcPr>
            <w:tcW w:w="1494" w:type="dxa"/>
            <w:noWrap/>
            <w:vAlign w:val="center"/>
            <w:hideMark/>
          </w:tcPr>
          <w:p w14:paraId="09EA2D77" w14:textId="04D5649F" w:rsidR="000D66C1" w:rsidRPr="00951AB1" w:rsidRDefault="000D66C1"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-175.031.924.629</w:t>
            </w:r>
          </w:p>
        </w:tc>
      </w:tr>
      <w:tr w:rsidR="00C70C31" w:rsidRPr="00951AB1" w14:paraId="7E6A9547" w14:textId="77777777" w:rsidTr="000D66C1">
        <w:trPr>
          <w:trHeight w:val="285"/>
        </w:trPr>
        <w:tc>
          <w:tcPr>
            <w:tcW w:w="3964" w:type="dxa"/>
            <w:vAlign w:val="center"/>
            <w:hideMark/>
          </w:tcPr>
          <w:p w14:paraId="3DC1E033" w14:textId="77777777" w:rsidR="000D66C1" w:rsidRPr="00951AB1" w:rsidRDefault="000D66C1" w:rsidP="000A5389">
            <w:pPr>
              <w:spacing w:line="240" w:lineRule="auto"/>
              <w:rPr>
                <w:rFonts w:eastAsia="Times New Roman" w:cs="Times New Roman"/>
                <w:b/>
                <w:bCs/>
                <w:color w:val="000000"/>
                <w:kern w:val="0"/>
                <w:sz w:val="18"/>
                <w:szCs w:val="18"/>
                <w:lang w:eastAsia="es-CO"/>
                <w14:ligatures w14:val="none"/>
              </w:rPr>
            </w:pPr>
            <w:r w:rsidRPr="00951AB1">
              <w:rPr>
                <w:rFonts w:eastAsia="Times New Roman" w:cs="Times New Roman"/>
                <w:b/>
                <w:bCs/>
                <w:color w:val="000000"/>
                <w:kern w:val="0"/>
                <w:sz w:val="18"/>
                <w:szCs w:val="18"/>
                <w:lang w:eastAsia="es-CO"/>
                <w14:ligatures w14:val="none"/>
              </w:rPr>
              <w:t>CONCESIONARIA ALTERNATIVAS VIALES S.A.S.</w:t>
            </w:r>
          </w:p>
        </w:tc>
        <w:tc>
          <w:tcPr>
            <w:tcW w:w="1683" w:type="dxa"/>
            <w:noWrap/>
            <w:vAlign w:val="center"/>
            <w:hideMark/>
          </w:tcPr>
          <w:p w14:paraId="51C2E4F6" w14:textId="30D38A9A" w:rsidR="000D66C1" w:rsidRPr="00951AB1" w:rsidRDefault="000D66C1" w:rsidP="000A5389">
            <w:pPr>
              <w:spacing w:line="240" w:lineRule="auto"/>
              <w:jc w:val="right"/>
              <w:rPr>
                <w:rFonts w:eastAsia="Times New Roman" w:cs="Times New Roman"/>
                <w:b/>
                <w:bCs/>
                <w:color w:val="000000"/>
                <w:kern w:val="0"/>
                <w:sz w:val="18"/>
                <w:szCs w:val="18"/>
                <w:lang w:eastAsia="es-CO"/>
                <w14:ligatures w14:val="none"/>
              </w:rPr>
            </w:pPr>
            <w:r w:rsidRPr="00951AB1">
              <w:rPr>
                <w:rFonts w:eastAsia="Times New Roman" w:cs="Times New Roman"/>
                <w:b/>
                <w:bCs/>
                <w:color w:val="000000"/>
                <w:kern w:val="0"/>
                <w:sz w:val="18"/>
                <w:szCs w:val="18"/>
                <w:lang w:eastAsia="es-CO"/>
                <w14:ligatures w14:val="none"/>
              </w:rPr>
              <w:t>730.979.310.931</w:t>
            </w:r>
          </w:p>
        </w:tc>
        <w:tc>
          <w:tcPr>
            <w:tcW w:w="1687" w:type="dxa"/>
            <w:noWrap/>
            <w:vAlign w:val="center"/>
            <w:hideMark/>
          </w:tcPr>
          <w:p w14:paraId="3CD68271" w14:textId="7E918504" w:rsidR="000D66C1" w:rsidRPr="00951AB1" w:rsidRDefault="000D66C1" w:rsidP="000A5389">
            <w:pPr>
              <w:spacing w:line="240" w:lineRule="auto"/>
              <w:jc w:val="right"/>
              <w:rPr>
                <w:rFonts w:eastAsia="Times New Roman" w:cs="Times New Roman"/>
                <w:b/>
                <w:bCs/>
                <w:color w:val="000000"/>
                <w:kern w:val="0"/>
                <w:sz w:val="18"/>
                <w:szCs w:val="18"/>
                <w:lang w:eastAsia="es-CO"/>
                <w14:ligatures w14:val="none"/>
              </w:rPr>
            </w:pPr>
            <w:r w:rsidRPr="00951AB1">
              <w:rPr>
                <w:rFonts w:eastAsia="Times New Roman" w:cs="Times New Roman"/>
                <w:b/>
                <w:bCs/>
                <w:color w:val="000000"/>
                <w:kern w:val="0"/>
                <w:sz w:val="18"/>
                <w:szCs w:val="18"/>
                <w:lang w:eastAsia="es-CO"/>
                <w14:ligatures w14:val="none"/>
              </w:rPr>
              <w:t>729.122.501.511</w:t>
            </w:r>
          </w:p>
        </w:tc>
        <w:tc>
          <w:tcPr>
            <w:tcW w:w="1494" w:type="dxa"/>
            <w:noWrap/>
            <w:vAlign w:val="center"/>
            <w:hideMark/>
          </w:tcPr>
          <w:p w14:paraId="0C56F10F" w14:textId="5C1BA295" w:rsidR="000D66C1" w:rsidRPr="00951AB1" w:rsidRDefault="000D66C1" w:rsidP="000A5389">
            <w:pPr>
              <w:spacing w:line="240" w:lineRule="auto"/>
              <w:jc w:val="right"/>
              <w:rPr>
                <w:rFonts w:eastAsia="Times New Roman" w:cs="Times New Roman"/>
                <w:b/>
                <w:bCs/>
                <w:color w:val="000000"/>
                <w:kern w:val="0"/>
                <w:sz w:val="18"/>
                <w:szCs w:val="18"/>
                <w:lang w:eastAsia="es-CO"/>
                <w14:ligatures w14:val="none"/>
              </w:rPr>
            </w:pPr>
            <w:r w:rsidRPr="00951AB1">
              <w:rPr>
                <w:rFonts w:eastAsia="Times New Roman" w:cs="Times New Roman"/>
                <w:b/>
                <w:bCs/>
                <w:color w:val="000000"/>
                <w:kern w:val="0"/>
                <w:sz w:val="18"/>
                <w:szCs w:val="18"/>
                <w:lang w:eastAsia="es-CO"/>
                <w14:ligatures w14:val="none"/>
              </w:rPr>
              <w:t>1.856.809.420</w:t>
            </w:r>
          </w:p>
        </w:tc>
      </w:tr>
      <w:tr w:rsidR="00C70C31" w:rsidRPr="00951AB1" w14:paraId="59213BF4" w14:textId="77777777" w:rsidTr="000D66C1">
        <w:trPr>
          <w:trHeight w:val="285"/>
        </w:trPr>
        <w:tc>
          <w:tcPr>
            <w:tcW w:w="3964" w:type="dxa"/>
            <w:vAlign w:val="center"/>
            <w:hideMark/>
          </w:tcPr>
          <w:p w14:paraId="59EDB3E9" w14:textId="77777777" w:rsidR="000D66C1" w:rsidRPr="00951AB1" w:rsidRDefault="000D66C1" w:rsidP="000A5389">
            <w:pPr>
              <w:spacing w:line="240" w:lineRule="auto"/>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Activos intangibles en concesión</w:t>
            </w:r>
          </w:p>
        </w:tc>
        <w:tc>
          <w:tcPr>
            <w:tcW w:w="1683" w:type="dxa"/>
            <w:noWrap/>
            <w:vAlign w:val="center"/>
            <w:hideMark/>
          </w:tcPr>
          <w:p w14:paraId="0F1BD9E0" w14:textId="2710623D" w:rsidR="000D66C1" w:rsidRPr="00951AB1" w:rsidRDefault="000D66C1"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335.229.560</w:t>
            </w:r>
          </w:p>
        </w:tc>
        <w:tc>
          <w:tcPr>
            <w:tcW w:w="1687" w:type="dxa"/>
            <w:noWrap/>
            <w:vAlign w:val="center"/>
            <w:hideMark/>
          </w:tcPr>
          <w:p w14:paraId="3A820CE4" w14:textId="399B4540" w:rsidR="000D66C1" w:rsidRPr="00951AB1" w:rsidRDefault="000D66C1"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350.325.809</w:t>
            </w:r>
          </w:p>
        </w:tc>
        <w:tc>
          <w:tcPr>
            <w:tcW w:w="1494" w:type="dxa"/>
            <w:noWrap/>
            <w:vAlign w:val="center"/>
            <w:hideMark/>
          </w:tcPr>
          <w:p w14:paraId="2A35483E" w14:textId="64242D8E" w:rsidR="000D66C1" w:rsidRPr="00951AB1" w:rsidRDefault="000D66C1"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-15.096.249</w:t>
            </w:r>
          </w:p>
        </w:tc>
      </w:tr>
      <w:tr w:rsidR="00C70C31" w:rsidRPr="00951AB1" w14:paraId="468B8A5F" w14:textId="77777777" w:rsidTr="000D66C1">
        <w:trPr>
          <w:trHeight w:val="285"/>
        </w:trPr>
        <w:tc>
          <w:tcPr>
            <w:tcW w:w="3964" w:type="dxa"/>
            <w:vAlign w:val="center"/>
            <w:hideMark/>
          </w:tcPr>
          <w:p w14:paraId="6B05D9C7" w14:textId="77777777" w:rsidR="000D66C1" w:rsidRPr="00951AB1" w:rsidRDefault="000D66C1" w:rsidP="000A5389">
            <w:pPr>
              <w:spacing w:line="240" w:lineRule="auto"/>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Propiedades, Plan y Equipo</w:t>
            </w:r>
          </w:p>
        </w:tc>
        <w:tc>
          <w:tcPr>
            <w:tcW w:w="1683" w:type="dxa"/>
            <w:noWrap/>
            <w:vAlign w:val="center"/>
            <w:hideMark/>
          </w:tcPr>
          <w:p w14:paraId="5A8094D6" w14:textId="743D20E5" w:rsidR="000D66C1" w:rsidRPr="00951AB1" w:rsidRDefault="000D66C1"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6.283.262.644</w:t>
            </w:r>
          </w:p>
        </w:tc>
        <w:tc>
          <w:tcPr>
            <w:tcW w:w="1687" w:type="dxa"/>
            <w:noWrap/>
            <w:vAlign w:val="center"/>
            <w:hideMark/>
          </w:tcPr>
          <w:p w14:paraId="11DAC52A" w14:textId="5A44FC9D" w:rsidR="000D66C1" w:rsidRPr="00951AB1" w:rsidRDefault="000D66C1"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5.521.401.078</w:t>
            </w:r>
          </w:p>
        </w:tc>
        <w:tc>
          <w:tcPr>
            <w:tcW w:w="1494" w:type="dxa"/>
            <w:noWrap/>
            <w:vAlign w:val="center"/>
            <w:hideMark/>
          </w:tcPr>
          <w:p w14:paraId="10CA938F" w14:textId="457C522C" w:rsidR="000D66C1" w:rsidRPr="00951AB1" w:rsidRDefault="000D66C1"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761.861.566</w:t>
            </w:r>
          </w:p>
        </w:tc>
      </w:tr>
      <w:tr w:rsidR="00C70C31" w:rsidRPr="00951AB1" w14:paraId="5478835F" w14:textId="77777777" w:rsidTr="000D66C1">
        <w:trPr>
          <w:trHeight w:val="285"/>
        </w:trPr>
        <w:tc>
          <w:tcPr>
            <w:tcW w:w="3964" w:type="dxa"/>
            <w:vAlign w:val="center"/>
            <w:hideMark/>
          </w:tcPr>
          <w:p w14:paraId="72484BE7" w14:textId="77777777" w:rsidR="000D66C1" w:rsidRPr="00951AB1" w:rsidRDefault="000D66C1" w:rsidP="000A5389">
            <w:pPr>
              <w:spacing w:line="240" w:lineRule="auto"/>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Red carretera</w:t>
            </w:r>
          </w:p>
        </w:tc>
        <w:tc>
          <w:tcPr>
            <w:tcW w:w="1683" w:type="dxa"/>
            <w:noWrap/>
            <w:vAlign w:val="center"/>
            <w:hideMark/>
          </w:tcPr>
          <w:p w14:paraId="5A94E49D" w14:textId="63B8B30E" w:rsidR="000D66C1" w:rsidRPr="00951AB1" w:rsidRDefault="000D66C1"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710.355.900.418</w:t>
            </w:r>
          </w:p>
        </w:tc>
        <w:tc>
          <w:tcPr>
            <w:tcW w:w="1687" w:type="dxa"/>
            <w:noWrap/>
            <w:vAlign w:val="center"/>
            <w:hideMark/>
          </w:tcPr>
          <w:p w14:paraId="1D133314" w14:textId="3444BC83" w:rsidR="000D66C1" w:rsidRPr="00951AB1" w:rsidRDefault="000D66C1"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711.029.465.381</w:t>
            </w:r>
          </w:p>
        </w:tc>
        <w:tc>
          <w:tcPr>
            <w:tcW w:w="1494" w:type="dxa"/>
            <w:noWrap/>
            <w:vAlign w:val="center"/>
            <w:hideMark/>
          </w:tcPr>
          <w:p w14:paraId="049B4A28" w14:textId="3C1FB81C" w:rsidR="000D66C1" w:rsidRPr="00951AB1" w:rsidRDefault="000D66C1"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-673.564.963</w:t>
            </w:r>
          </w:p>
        </w:tc>
      </w:tr>
      <w:tr w:rsidR="00C70C31" w:rsidRPr="00951AB1" w14:paraId="705C6DA0" w14:textId="77777777" w:rsidTr="000D66C1">
        <w:trPr>
          <w:trHeight w:val="285"/>
        </w:trPr>
        <w:tc>
          <w:tcPr>
            <w:tcW w:w="3964" w:type="dxa"/>
            <w:vAlign w:val="center"/>
            <w:hideMark/>
          </w:tcPr>
          <w:p w14:paraId="2E54BF1C" w14:textId="77777777" w:rsidR="000D66C1" w:rsidRPr="00951AB1" w:rsidRDefault="000D66C1" w:rsidP="000A5389">
            <w:pPr>
              <w:spacing w:line="240" w:lineRule="auto"/>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Terrenos</w:t>
            </w:r>
          </w:p>
        </w:tc>
        <w:tc>
          <w:tcPr>
            <w:tcW w:w="1683" w:type="dxa"/>
            <w:noWrap/>
            <w:vAlign w:val="center"/>
            <w:hideMark/>
          </w:tcPr>
          <w:p w14:paraId="043468B9" w14:textId="5649E6F8" w:rsidR="000D66C1" w:rsidRPr="00951AB1" w:rsidRDefault="000D66C1"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5.610.160.591</w:t>
            </w:r>
          </w:p>
        </w:tc>
        <w:tc>
          <w:tcPr>
            <w:tcW w:w="1687" w:type="dxa"/>
            <w:noWrap/>
            <w:vAlign w:val="center"/>
            <w:hideMark/>
          </w:tcPr>
          <w:p w14:paraId="69A2229F" w14:textId="271A3162" w:rsidR="000D66C1" w:rsidRPr="00951AB1" w:rsidRDefault="000D66C1"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5.610.160.591</w:t>
            </w:r>
          </w:p>
        </w:tc>
        <w:tc>
          <w:tcPr>
            <w:tcW w:w="1494" w:type="dxa"/>
            <w:noWrap/>
            <w:vAlign w:val="center"/>
            <w:hideMark/>
          </w:tcPr>
          <w:p w14:paraId="0C172E6B" w14:textId="44C8D3B5" w:rsidR="000D66C1" w:rsidRPr="00951AB1" w:rsidRDefault="000D66C1"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w:t>
            </w:r>
          </w:p>
        </w:tc>
      </w:tr>
      <w:tr w:rsidR="00C70C31" w:rsidRPr="00951AB1" w14:paraId="4A8B067F" w14:textId="77777777" w:rsidTr="000D66C1">
        <w:trPr>
          <w:trHeight w:val="570"/>
        </w:trPr>
        <w:tc>
          <w:tcPr>
            <w:tcW w:w="3964" w:type="dxa"/>
            <w:vAlign w:val="center"/>
            <w:hideMark/>
          </w:tcPr>
          <w:p w14:paraId="24E67A27" w14:textId="77777777" w:rsidR="000D66C1" w:rsidRPr="00951AB1" w:rsidRDefault="000D66C1" w:rsidP="000A5389">
            <w:pPr>
              <w:spacing w:line="240" w:lineRule="auto"/>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Recursos de la entidad concedente en patrimonios autónomos constituidos por concesionarios privados</w:t>
            </w:r>
          </w:p>
        </w:tc>
        <w:tc>
          <w:tcPr>
            <w:tcW w:w="1683" w:type="dxa"/>
            <w:noWrap/>
            <w:vAlign w:val="center"/>
            <w:hideMark/>
          </w:tcPr>
          <w:p w14:paraId="38E8FAB7" w14:textId="4BDCDBAE" w:rsidR="000D66C1" w:rsidRPr="00951AB1" w:rsidRDefault="000D66C1"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8.394.757.718</w:t>
            </w:r>
          </w:p>
        </w:tc>
        <w:tc>
          <w:tcPr>
            <w:tcW w:w="1687" w:type="dxa"/>
            <w:noWrap/>
            <w:vAlign w:val="center"/>
            <w:hideMark/>
          </w:tcPr>
          <w:p w14:paraId="5CE7226F" w14:textId="4812FAEE" w:rsidR="000D66C1" w:rsidRPr="00951AB1" w:rsidRDefault="000D66C1"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6.611.148.652</w:t>
            </w:r>
          </w:p>
        </w:tc>
        <w:tc>
          <w:tcPr>
            <w:tcW w:w="1494" w:type="dxa"/>
            <w:noWrap/>
            <w:vAlign w:val="center"/>
            <w:hideMark/>
          </w:tcPr>
          <w:p w14:paraId="2A20E201" w14:textId="1F5FA094" w:rsidR="000D66C1" w:rsidRPr="00951AB1" w:rsidRDefault="000D66C1"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1.783.609.066</w:t>
            </w:r>
          </w:p>
        </w:tc>
      </w:tr>
      <w:tr w:rsidR="00C70C31" w:rsidRPr="00951AB1" w14:paraId="29AAAAC1" w14:textId="77777777" w:rsidTr="000D66C1">
        <w:trPr>
          <w:trHeight w:val="285"/>
        </w:trPr>
        <w:tc>
          <w:tcPr>
            <w:tcW w:w="3964" w:type="dxa"/>
            <w:vAlign w:val="center"/>
            <w:hideMark/>
          </w:tcPr>
          <w:p w14:paraId="52851093" w14:textId="21C77E68" w:rsidR="000D66C1" w:rsidRPr="00951AB1" w:rsidRDefault="00A637CB" w:rsidP="000A5389">
            <w:pPr>
              <w:spacing w:line="240" w:lineRule="auto"/>
              <w:rPr>
                <w:rFonts w:eastAsia="Times New Roman" w:cs="Times New Roman"/>
                <w:b/>
                <w:bCs/>
                <w:color w:val="000000"/>
                <w:kern w:val="0"/>
                <w:sz w:val="18"/>
                <w:szCs w:val="18"/>
                <w:lang w:eastAsia="es-CO"/>
                <w14:ligatures w14:val="none"/>
              </w:rPr>
            </w:pPr>
            <w:r w:rsidRPr="00951AB1">
              <w:rPr>
                <w:rFonts w:eastAsia="Times New Roman" w:cs="Times New Roman"/>
                <w:b/>
                <w:bCs/>
                <w:color w:val="000000"/>
                <w:kern w:val="0"/>
                <w:sz w:val="18"/>
                <w:szCs w:val="18"/>
                <w:lang w:eastAsia="es-CO"/>
                <w14:ligatures w14:val="none"/>
              </w:rPr>
              <w:t>NUEVO CAUCA</w:t>
            </w:r>
            <w:r w:rsidR="000D66C1" w:rsidRPr="00951AB1">
              <w:rPr>
                <w:rFonts w:eastAsia="Times New Roman" w:cs="Times New Roman"/>
                <w:b/>
                <w:bCs/>
                <w:color w:val="000000"/>
                <w:kern w:val="0"/>
                <w:sz w:val="18"/>
                <w:szCs w:val="18"/>
                <w:lang w:eastAsia="es-CO"/>
                <w14:ligatures w14:val="none"/>
              </w:rPr>
              <w:t xml:space="preserve">  S A S</w:t>
            </w:r>
          </w:p>
        </w:tc>
        <w:tc>
          <w:tcPr>
            <w:tcW w:w="1683" w:type="dxa"/>
            <w:noWrap/>
            <w:vAlign w:val="center"/>
            <w:hideMark/>
          </w:tcPr>
          <w:p w14:paraId="55D9BA75" w14:textId="5B72B500" w:rsidR="000D66C1" w:rsidRPr="00951AB1" w:rsidRDefault="000D66C1" w:rsidP="000A5389">
            <w:pPr>
              <w:spacing w:line="240" w:lineRule="auto"/>
              <w:jc w:val="right"/>
              <w:rPr>
                <w:rFonts w:eastAsia="Times New Roman" w:cs="Times New Roman"/>
                <w:b/>
                <w:bCs/>
                <w:color w:val="000000"/>
                <w:kern w:val="0"/>
                <w:sz w:val="18"/>
                <w:szCs w:val="18"/>
                <w:lang w:eastAsia="es-CO"/>
                <w14:ligatures w14:val="none"/>
              </w:rPr>
            </w:pPr>
            <w:r w:rsidRPr="00951AB1">
              <w:rPr>
                <w:rFonts w:eastAsia="Times New Roman" w:cs="Times New Roman"/>
                <w:b/>
                <w:bCs/>
                <w:color w:val="000000"/>
                <w:kern w:val="0"/>
                <w:sz w:val="18"/>
                <w:szCs w:val="18"/>
                <w:lang w:eastAsia="es-CO"/>
                <w14:ligatures w14:val="none"/>
              </w:rPr>
              <w:t>2.072.586.157.396</w:t>
            </w:r>
          </w:p>
        </w:tc>
        <w:tc>
          <w:tcPr>
            <w:tcW w:w="1687" w:type="dxa"/>
            <w:noWrap/>
            <w:vAlign w:val="center"/>
            <w:hideMark/>
          </w:tcPr>
          <w:p w14:paraId="1CD2F94A" w14:textId="6F11DE70" w:rsidR="000D66C1" w:rsidRPr="00951AB1" w:rsidRDefault="000D66C1" w:rsidP="000A5389">
            <w:pPr>
              <w:spacing w:line="240" w:lineRule="auto"/>
              <w:jc w:val="right"/>
              <w:rPr>
                <w:rFonts w:eastAsia="Times New Roman" w:cs="Times New Roman"/>
                <w:b/>
                <w:bCs/>
                <w:color w:val="000000"/>
                <w:kern w:val="0"/>
                <w:sz w:val="18"/>
                <w:szCs w:val="18"/>
                <w:lang w:eastAsia="es-CO"/>
                <w14:ligatures w14:val="none"/>
              </w:rPr>
            </w:pPr>
            <w:r w:rsidRPr="00951AB1">
              <w:rPr>
                <w:rFonts w:eastAsia="Times New Roman" w:cs="Times New Roman"/>
                <w:b/>
                <w:bCs/>
                <w:color w:val="000000"/>
                <w:kern w:val="0"/>
                <w:sz w:val="18"/>
                <w:szCs w:val="18"/>
                <w:lang w:eastAsia="es-CO"/>
                <w14:ligatures w14:val="none"/>
              </w:rPr>
              <w:t>1.781.217.285.795</w:t>
            </w:r>
          </w:p>
        </w:tc>
        <w:tc>
          <w:tcPr>
            <w:tcW w:w="1494" w:type="dxa"/>
            <w:noWrap/>
            <w:vAlign w:val="center"/>
            <w:hideMark/>
          </w:tcPr>
          <w:p w14:paraId="64B25D1A" w14:textId="1B9BEB85" w:rsidR="000D66C1" w:rsidRPr="00951AB1" w:rsidRDefault="000D66C1" w:rsidP="000A5389">
            <w:pPr>
              <w:spacing w:line="240" w:lineRule="auto"/>
              <w:jc w:val="right"/>
              <w:rPr>
                <w:rFonts w:eastAsia="Times New Roman" w:cs="Times New Roman"/>
                <w:b/>
                <w:bCs/>
                <w:color w:val="000000"/>
                <w:kern w:val="0"/>
                <w:sz w:val="18"/>
                <w:szCs w:val="18"/>
                <w:lang w:eastAsia="es-CO"/>
                <w14:ligatures w14:val="none"/>
              </w:rPr>
            </w:pPr>
            <w:r w:rsidRPr="00951AB1">
              <w:rPr>
                <w:rFonts w:eastAsia="Times New Roman" w:cs="Times New Roman"/>
                <w:b/>
                <w:bCs/>
                <w:color w:val="000000"/>
                <w:kern w:val="0"/>
                <w:sz w:val="18"/>
                <w:szCs w:val="18"/>
                <w:lang w:eastAsia="es-CO"/>
                <w14:ligatures w14:val="none"/>
              </w:rPr>
              <w:t>291.368.871.602</w:t>
            </w:r>
          </w:p>
        </w:tc>
      </w:tr>
      <w:tr w:rsidR="00C70C31" w:rsidRPr="00951AB1" w14:paraId="6EAFF58C" w14:textId="77777777" w:rsidTr="000D66C1">
        <w:trPr>
          <w:trHeight w:val="285"/>
        </w:trPr>
        <w:tc>
          <w:tcPr>
            <w:tcW w:w="3964" w:type="dxa"/>
            <w:vAlign w:val="center"/>
            <w:hideMark/>
          </w:tcPr>
          <w:p w14:paraId="13656EB4" w14:textId="77777777" w:rsidR="000D66C1" w:rsidRPr="00951AB1" w:rsidRDefault="000D66C1" w:rsidP="000A5389">
            <w:pPr>
              <w:spacing w:line="240" w:lineRule="auto"/>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Activos intangibles en concesión</w:t>
            </w:r>
          </w:p>
        </w:tc>
        <w:tc>
          <w:tcPr>
            <w:tcW w:w="1683" w:type="dxa"/>
            <w:noWrap/>
            <w:vAlign w:val="center"/>
            <w:hideMark/>
          </w:tcPr>
          <w:p w14:paraId="3554B8E5" w14:textId="672D8FAC" w:rsidR="000D66C1" w:rsidRPr="00951AB1" w:rsidRDefault="000D66C1"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7.227.960</w:t>
            </w:r>
          </w:p>
        </w:tc>
        <w:tc>
          <w:tcPr>
            <w:tcW w:w="1687" w:type="dxa"/>
            <w:noWrap/>
            <w:vAlign w:val="center"/>
            <w:hideMark/>
          </w:tcPr>
          <w:p w14:paraId="0E460A4D" w14:textId="40165537" w:rsidR="000D66C1" w:rsidRPr="00951AB1" w:rsidRDefault="000D66C1"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7.227.960</w:t>
            </w:r>
          </w:p>
        </w:tc>
        <w:tc>
          <w:tcPr>
            <w:tcW w:w="1494" w:type="dxa"/>
            <w:noWrap/>
            <w:vAlign w:val="center"/>
            <w:hideMark/>
          </w:tcPr>
          <w:p w14:paraId="3005EF09" w14:textId="6AFE72F1" w:rsidR="000D66C1" w:rsidRPr="00951AB1" w:rsidRDefault="000D66C1"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w:t>
            </w:r>
          </w:p>
        </w:tc>
      </w:tr>
      <w:tr w:rsidR="00C70C31" w:rsidRPr="00951AB1" w14:paraId="4F2124B2" w14:textId="77777777" w:rsidTr="000D66C1">
        <w:trPr>
          <w:trHeight w:val="285"/>
        </w:trPr>
        <w:tc>
          <w:tcPr>
            <w:tcW w:w="3964" w:type="dxa"/>
            <w:vAlign w:val="center"/>
            <w:hideMark/>
          </w:tcPr>
          <w:p w14:paraId="6F6BEE6C" w14:textId="77777777" w:rsidR="000D66C1" w:rsidRPr="00951AB1" w:rsidRDefault="000D66C1" w:rsidP="000A5389">
            <w:pPr>
              <w:spacing w:line="240" w:lineRule="auto"/>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Propiedades, Plan y Equipo</w:t>
            </w:r>
          </w:p>
        </w:tc>
        <w:tc>
          <w:tcPr>
            <w:tcW w:w="1683" w:type="dxa"/>
            <w:noWrap/>
            <w:vAlign w:val="center"/>
            <w:hideMark/>
          </w:tcPr>
          <w:p w14:paraId="1AA69B19" w14:textId="01D46141" w:rsidR="000D66C1" w:rsidRPr="00951AB1" w:rsidRDefault="000D66C1"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4.785.988.136</w:t>
            </w:r>
          </w:p>
        </w:tc>
        <w:tc>
          <w:tcPr>
            <w:tcW w:w="1687" w:type="dxa"/>
            <w:noWrap/>
            <w:vAlign w:val="center"/>
            <w:hideMark/>
          </w:tcPr>
          <w:p w14:paraId="0498DD49" w14:textId="67AF6B11" w:rsidR="000D66C1" w:rsidRPr="00951AB1" w:rsidRDefault="000D66C1"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5.719.921.124</w:t>
            </w:r>
          </w:p>
        </w:tc>
        <w:tc>
          <w:tcPr>
            <w:tcW w:w="1494" w:type="dxa"/>
            <w:noWrap/>
            <w:vAlign w:val="center"/>
            <w:hideMark/>
          </w:tcPr>
          <w:p w14:paraId="776DECC4" w14:textId="6376F0D3" w:rsidR="000D66C1" w:rsidRPr="00951AB1" w:rsidRDefault="000D66C1"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-933.932.987</w:t>
            </w:r>
          </w:p>
        </w:tc>
      </w:tr>
      <w:tr w:rsidR="00C70C31" w:rsidRPr="00951AB1" w14:paraId="0FFBF40F" w14:textId="77777777" w:rsidTr="000D66C1">
        <w:trPr>
          <w:trHeight w:val="285"/>
        </w:trPr>
        <w:tc>
          <w:tcPr>
            <w:tcW w:w="3964" w:type="dxa"/>
            <w:vAlign w:val="center"/>
            <w:hideMark/>
          </w:tcPr>
          <w:p w14:paraId="4589A67E" w14:textId="77777777" w:rsidR="000D66C1" w:rsidRPr="00951AB1" w:rsidRDefault="000D66C1" w:rsidP="000A5389">
            <w:pPr>
              <w:spacing w:line="240" w:lineRule="auto"/>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Red carretera</w:t>
            </w:r>
          </w:p>
        </w:tc>
        <w:tc>
          <w:tcPr>
            <w:tcW w:w="1683" w:type="dxa"/>
            <w:noWrap/>
            <w:vAlign w:val="center"/>
            <w:hideMark/>
          </w:tcPr>
          <w:p w14:paraId="4CC503D8" w14:textId="2A8497E5" w:rsidR="000D66C1" w:rsidRPr="00951AB1" w:rsidRDefault="000D66C1"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929.053.386.026</w:t>
            </w:r>
          </w:p>
        </w:tc>
        <w:tc>
          <w:tcPr>
            <w:tcW w:w="1687" w:type="dxa"/>
            <w:noWrap/>
            <w:vAlign w:val="center"/>
            <w:hideMark/>
          </w:tcPr>
          <w:p w14:paraId="3D3147AA" w14:textId="645326A0" w:rsidR="000D66C1" w:rsidRPr="00951AB1" w:rsidRDefault="000D66C1"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644.653.228.026</w:t>
            </w:r>
          </w:p>
        </w:tc>
        <w:tc>
          <w:tcPr>
            <w:tcW w:w="1494" w:type="dxa"/>
            <w:noWrap/>
            <w:vAlign w:val="center"/>
            <w:hideMark/>
          </w:tcPr>
          <w:p w14:paraId="26972890" w14:textId="3A313B22" w:rsidR="000D66C1" w:rsidRPr="00951AB1" w:rsidRDefault="000D66C1"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284.400.157.999</w:t>
            </w:r>
          </w:p>
        </w:tc>
      </w:tr>
      <w:tr w:rsidR="00C70C31" w:rsidRPr="00951AB1" w14:paraId="7CB629BA" w14:textId="77777777" w:rsidTr="000D66C1">
        <w:trPr>
          <w:trHeight w:val="285"/>
        </w:trPr>
        <w:tc>
          <w:tcPr>
            <w:tcW w:w="3964" w:type="dxa"/>
            <w:vAlign w:val="center"/>
            <w:hideMark/>
          </w:tcPr>
          <w:p w14:paraId="4FCE8B76" w14:textId="77777777" w:rsidR="000D66C1" w:rsidRPr="00951AB1" w:rsidRDefault="000D66C1" w:rsidP="000A5389">
            <w:pPr>
              <w:spacing w:line="240" w:lineRule="auto"/>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Terrenos</w:t>
            </w:r>
          </w:p>
        </w:tc>
        <w:tc>
          <w:tcPr>
            <w:tcW w:w="1683" w:type="dxa"/>
            <w:noWrap/>
            <w:vAlign w:val="center"/>
            <w:hideMark/>
          </w:tcPr>
          <w:p w14:paraId="41C9078E" w14:textId="7C3F636F" w:rsidR="000D66C1" w:rsidRPr="00951AB1" w:rsidRDefault="000D66C1"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41.607.212.715</w:t>
            </w:r>
          </w:p>
        </w:tc>
        <w:tc>
          <w:tcPr>
            <w:tcW w:w="1687" w:type="dxa"/>
            <w:noWrap/>
            <w:vAlign w:val="center"/>
            <w:hideMark/>
          </w:tcPr>
          <w:p w14:paraId="5833BCAF" w14:textId="55321501" w:rsidR="000D66C1" w:rsidRPr="00951AB1" w:rsidRDefault="000D66C1"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38.165.181.707</w:t>
            </w:r>
          </w:p>
        </w:tc>
        <w:tc>
          <w:tcPr>
            <w:tcW w:w="1494" w:type="dxa"/>
            <w:noWrap/>
            <w:vAlign w:val="center"/>
            <w:hideMark/>
          </w:tcPr>
          <w:p w14:paraId="53DA6734" w14:textId="4648DA86" w:rsidR="000D66C1" w:rsidRPr="00951AB1" w:rsidRDefault="000D66C1"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3.442.031.008</w:t>
            </w:r>
          </w:p>
        </w:tc>
      </w:tr>
      <w:tr w:rsidR="00C70C31" w:rsidRPr="00951AB1" w14:paraId="45BF43C1" w14:textId="77777777" w:rsidTr="000D66C1">
        <w:trPr>
          <w:trHeight w:val="570"/>
        </w:trPr>
        <w:tc>
          <w:tcPr>
            <w:tcW w:w="3964" w:type="dxa"/>
            <w:vAlign w:val="center"/>
            <w:hideMark/>
          </w:tcPr>
          <w:p w14:paraId="736BBDBA" w14:textId="77777777" w:rsidR="000D66C1" w:rsidRPr="00951AB1" w:rsidRDefault="000D66C1" w:rsidP="000A5389">
            <w:pPr>
              <w:spacing w:line="240" w:lineRule="auto"/>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Recursos de la entidad concedente en patrimonios autónomos constituidos por concesionarios privados</w:t>
            </w:r>
          </w:p>
        </w:tc>
        <w:tc>
          <w:tcPr>
            <w:tcW w:w="1683" w:type="dxa"/>
            <w:noWrap/>
            <w:vAlign w:val="center"/>
            <w:hideMark/>
          </w:tcPr>
          <w:p w14:paraId="075A7DD6" w14:textId="0EED67F7" w:rsidR="000D66C1" w:rsidRPr="00951AB1" w:rsidRDefault="000D66C1"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1.097.132.342.560</w:t>
            </w:r>
          </w:p>
        </w:tc>
        <w:tc>
          <w:tcPr>
            <w:tcW w:w="1687" w:type="dxa"/>
            <w:noWrap/>
            <w:vAlign w:val="center"/>
            <w:hideMark/>
          </w:tcPr>
          <w:p w14:paraId="359A388F" w14:textId="3E0E322C" w:rsidR="000D66C1" w:rsidRPr="00951AB1" w:rsidRDefault="000D66C1"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1.092.671.726.978</w:t>
            </w:r>
          </w:p>
        </w:tc>
        <w:tc>
          <w:tcPr>
            <w:tcW w:w="1494" w:type="dxa"/>
            <w:noWrap/>
            <w:vAlign w:val="center"/>
            <w:hideMark/>
          </w:tcPr>
          <w:p w14:paraId="78789A2A" w14:textId="6649C573" w:rsidR="000D66C1" w:rsidRPr="00951AB1" w:rsidRDefault="000D66C1"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4.460.615.582</w:t>
            </w:r>
          </w:p>
        </w:tc>
      </w:tr>
      <w:tr w:rsidR="00C70C31" w:rsidRPr="00951AB1" w14:paraId="64ED4EC1" w14:textId="77777777" w:rsidTr="000D66C1">
        <w:trPr>
          <w:trHeight w:val="285"/>
        </w:trPr>
        <w:tc>
          <w:tcPr>
            <w:tcW w:w="3964" w:type="dxa"/>
            <w:vAlign w:val="center"/>
            <w:hideMark/>
          </w:tcPr>
          <w:p w14:paraId="55971EC0" w14:textId="05965C6B" w:rsidR="000D66C1" w:rsidRPr="00951AB1" w:rsidRDefault="00367E7C" w:rsidP="000A5389">
            <w:pPr>
              <w:spacing w:line="240" w:lineRule="auto"/>
              <w:rPr>
                <w:rFonts w:eastAsia="Times New Roman" w:cs="Times New Roman"/>
                <w:b/>
                <w:bCs/>
                <w:color w:val="000000"/>
                <w:kern w:val="0"/>
                <w:sz w:val="18"/>
                <w:szCs w:val="18"/>
                <w:lang w:eastAsia="es-CO"/>
                <w14:ligatures w14:val="none"/>
              </w:rPr>
            </w:pPr>
            <w:r w:rsidRPr="00951AB1">
              <w:rPr>
                <w:rFonts w:eastAsia="Times New Roman" w:cs="Times New Roman"/>
                <w:b/>
                <w:bCs/>
                <w:color w:val="000000"/>
                <w:kern w:val="0"/>
                <w:sz w:val="18"/>
                <w:szCs w:val="18"/>
                <w:lang w:eastAsia="es-CO"/>
                <w14:ligatures w14:val="none"/>
              </w:rPr>
              <w:t>DESARROLLO VIAL</w:t>
            </w:r>
            <w:r w:rsidR="000D66C1" w:rsidRPr="00951AB1">
              <w:rPr>
                <w:rFonts w:eastAsia="Times New Roman" w:cs="Times New Roman"/>
                <w:b/>
                <w:bCs/>
                <w:color w:val="000000"/>
                <w:kern w:val="0"/>
                <w:sz w:val="18"/>
                <w:szCs w:val="18"/>
                <w:lang w:eastAsia="es-CO"/>
                <w14:ligatures w14:val="none"/>
              </w:rPr>
              <w:t xml:space="preserve">  AL MAR  S.A.S</w:t>
            </w:r>
          </w:p>
        </w:tc>
        <w:tc>
          <w:tcPr>
            <w:tcW w:w="1683" w:type="dxa"/>
            <w:noWrap/>
            <w:vAlign w:val="center"/>
            <w:hideMark/>
          </w:tcPr>
          <w:p w14:paraId="21838B36" w14:textId="567D82E2" w:rsidR="000D66C1" w:rsidRPr="00951AB1" w:rsidRDefault="000D66C1" w:rsidP="000A5389">
            <w:pPr>
              <w:spacing w:line="240" w:lineRule="auto"/>
              <w:jc w:val="right"/>
              <w:rPr>
                <w:rFonts w:eastAsia="Times New Roman" w:cs="Times New Roman"/>
                <w:b/>
                <w:bCs/>
                <w:color w:val="000000"/>
                <w:kern w:val="0"/>
                <w:sz w:val="18"/>
                <w:szCs w:val="18"/>
                <w:lang w:eastAsia="es-CO"/>
                <w14:ligatures w14:val="none"/>
              </w:rPr>
            </w:pPr>
            <w:r w:rsidRPr="00951AB1">
              <w:rPr>
                <w:rFonts w:eastAsia="Times New Roman" w:cs="Times New Roman"/>
                <w:b/>
                <w:bCs/>
                <w:color w:val="000000"/>
                <w:kern w:val="0"/>
                <w:sz w:val="18"/>
                <w:szCs w:val="18"/>
                <w:lang w:eastAsia="es-CO"/>
                <w14:ligatures w14:val="none"/>
              </w:rPr>
              <w:t>1.670.999.097.242</w:t>
            </w:r>
          </w:p>
        </w:tc>
        <w:tc>
          <w:tcPr>
            <w:tcW w:w="1687" w:type="dxa"/>
            <w:noWrap/>
            <w:vAlign w:val="center"/>
            <w:hideMark/>
          </w:tcPr>
          <w:p w14:paraId="4E8059D4" w14:textId="144D3E96" w:rsidR="000D66C1" w:rsidRPr="00951AB1" w:rsidRDefault="000D66C1" w:rsidP="000A5389">
            <w:pPr>
              <w:spacing w:line="240" w:lineRule="auto"/>
              <w:jc w:val="right"/>
              <w:rPr>
                <w:rFonts w:eastAsia="Times New Roman" w:cs="Times New Roman"/>
                <w:b/>
                <w:bCs/>
                <w:color w:val="000000"/>
                <w:kern w:val="0"/>
                <w:sz w:val="18"/>
                <w:szCs w:val="18"/>
                <w:lang w:eastAsia="es-CO"/>
                <w14:ligatures w14:val="none"/>
              </w:rPr>
            </w:pPr>
            <w:r w:rsidRPr="00951AB1">
              <w:rPr>
                <w:rFonts w:eastAsia="Times New Roman" w:cs="Times New Roman"/>
                <w:b/>
                <w:bCs/>
                <w:color w:val="000000"/>
                <w:kern w:val="0"/>
                <w:sz w:val="18"/>
                <w:szCs w:val="18"/>
                <w:lang w:eastAsia="es-CO"/>
                <w14:ligatures w14:val="none"/>
              </w:rPr>
              <w:t>1.968.409.439.168</w:t>
            </w:r>
          </w:p>
        </w:tc>
        <w:tc>
          <w:tcPr>
            <w:tcW w:w="1494" w:type="dxa"/>
            <w:noWrap/>
            <w:vAlign w:val="center"/>
            <w:hideMark/>
          </w:tcPr>
          <w:p w14:paraId="2D02F13C" w14:textId="1ED75788" w:rsidR="000D66C1" w:rsidRPr="00951AB1" w:rsidRDefault="000D66C1" w:rsidP="000A5389">
            <w:pPr>
              <w:spacing w:line="240" w:lineRule="auto"/>
              <w:jc w:val="right"/>
              <w:rPr>
                <w:rFonts w:eastAsia="Times New Roman" w:cs="Times New Roman"/>
                <w:b/>
                <w:bCs/>
                <w:color w:val="000000"/>
                <w:kern w:val="0"/>
                <w:sz w:val="18"/>
                <w:szCs w:val="18"/>
                <w:lang w:eastAsia="es-CO"/>
                <w14:ligatures w14:val="none"/>
              </w:rPr>
            </w:pPr>
            <w:r w:rsidRPr="00951AB1">
              <w:rPr>
                <w:rFonts w:eastAsia="Times New Roman" w:cs="Times New Roman"/>
                <w:b/>
                <w:bCs/>
                <w:color w:val="000000"/>
                <w:kern w:val="0"/>
                <w:sz w:val="18"/>
                <w:szCs w:val="18"/>
                <w:lang w:eastAsia="es-CO"/>
                <w14:ligatures w14:val="none"/>
              </w:rPr>
              <w:t>-297.410.341.926</w:t>
            </w:r>
          </w:p>
        </w:tc>
      </w:tr>
      <w:tr w:rsidR="00C70C31" w:rsidRPr="00951AB1" w14:paraId="4675ED1E" w14:textId="77777777" w:rsidTr="000D66C1">
        <w:trPr>
          <w:trHeight w:val="285"/>
        </w:trPr>
        <w:tc>
          <w:tcPr>
            <w:tcW w:w="3964" w:type="dxa"/>
            <w:vAlign w:val="center"/>
            <w:hideMark/>
          </w:tcPr>
          <w:p w14:paraId="7EF338A5" w14:textId="77777777" w:rsidR="000D66C1" w:rsidRPr="00951AB1" w:rsidRDefault="000D66C1" w:rsidP="000A5389">
            <w:pPr>
              <w:spacing w:line="240" w:lineRule="auto"/>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Activos intangibles en concesión</w:t>
            </w:r>
          </w:p>
        </w:tc>
        <w:tc>
          <w:tcPr>
            <w:tcW w:w="1683" w:type="dxa"/>
            <w:noWrap/>
            <w:vAlign w:val="center"/>
            <w:hideMark/>
          </w:tcPr>
          <w:p w14:paraId="53D11FC8" w14:textId="1D55748E" w:rsidR="000D66C1" w:rsidRPr="00951AB1" w:rsidRDefault="000D66C1"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69.839.245</w:t>
            </w:r>
          </w:p>
        </w:tc>
        <w:tc>
          <w:tcPr>
            <w:tcW w:w="1687" w:type="dxa"/>
            <w:noWrap/>
            <w:vAlign w:val="center"/>
            <w:hideMark/>
          </w:tcPr>
          <w:p w14:paraId="18BD0FA7" w14:textId="44C9A7C5" w:rsidR="000D66C1" w:rsidRPr="00951AB1" w:rsidRDefault="000D66C1"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69.839.245</w:t>
            </w:r>
          </w:p>
        </w:tc>
        <w:tc>
          <w:tcPr>
            <w:tcW w:w="1494" w:type="dxa"/>
            <w:noWrap/>
            <w:vAlign w:val="center"/>
            <w:hideMark/>
          </w:tcPr>
          <w:p w14:paraId="280E44E6" w14:textId="27BEBBAE" w:rsidR="000D66C1" w:rsidRPr="00951AB1" w:rsidRDefault="000D66C1"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w:t>
            </w:r>
          </w:p>
        </w:tc>
      </w:tr>
      <w:tr w:rsidR="00C70C31" w:rsidRPr="00951AB1" w14:paraId="72CE71E5" w14:textId="77777777" w:rsidTr="000D66C1">
        <w:trPr>
          <w:trHeight w:val="285"/>
        </w:trPr>
        <w:tc>
          <w:tcPr>
            <w:tcW w:w="3964" w:type="dxa"/>
            <w:vAlign w:val="center"/>
            <w:hideMark/>
          </w:tcPr>
          <w:p w14:paraId="35166F44" w14:textId="77777777" w:rsidR="000D66C1" w:rsidRPr="00951AB1" w:rsidRDefault="000D66C1" w:rsidP="000A5389">
            <w:pPr>
              <w:spacing w:line="240" w:lineRule="auto"/>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Propiedades, Plan y Equipo</w:t>
            </w:r>
          </w:p>
        </w:tc>
        <w:tc>
          <w:tcPr>
            <w:tcW w:w="1683" w:type="dxa"/>
            <w:noWrap/>
            <w:vAlign w:val="center"/>
            <w:hideMark/>
          </w:tcPr>
          <w:p w14:paraId="38B7559A" w14:textId="02D5B3DD" w:rsidR="000D66C1" w:rsidRPr="00951AB1" w:rsidRDefault="000D66C1"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17.198.905.504</w:t>
            </w:r>
          </w:p>
        </w:tc>
        <w:tc>
          <w:tcPr>
            <w:tcW w:w="1687" w:type="dxa"/>
            <w:noWrap/>
            <w:vAlign w:val="center"/>
            <w:hideMark/>
          </w:tcPr>
          <w:p w14:paraId="6C5BBCE0" w14:textId="0D3ADE45" w:rsidR="000D66C1" w:rsidRPr="00951AB1" w:rsidRDefault="000D66C1"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15.779.702.132</w:t>
            </w:r>
          </w:p>
        </w:tc>
        <w:tc>
          <w:tcPr>
            <w:tcW w:w="1494" w:type="dxa"/>
            <w:noWrap/>
            <w:vAlign w:val="center"/>
            <w:hideMark/>
          </w:tcPr>
          <w:p w14:paraId="1669C59A" w14:textId="5021CE17" w:rsidR="000D66C1" w:rsidRPr="00951AB1" w:rsidRDefault="000D66C1"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1.419.203.372</w:t>
            </w:r>
          </w:p>
        </w:tc>
      </w:tr>
      <w:tr w:rsidR="00C70C31" w:rsidRPr="00951AB1" w14:paraId="516B0779" w14:textId="77777777" w:rsidTr="000D66C1">
        <w:trPr>
          <w:trHeight w:val="285"/>
        </w:trPr>
        <w:tc>
          <w:tcPr>
            <w:tcW w:w="3964" w:type="dxa"/>
            <w:vAlign w:val="center"/>
            <w:hideMark/>
          </w:tcPr>
          <w:p w14:paraId="74F44CEF" w14:textId="77777777" w:rsidR="000D66C1" w:rsidRPr="00951AB1" w:rsidRDefault="000D66C1" w:rsidP="000A5389">
            <w:pPr>
              <w:spacing w:line="240" w:lineRule="auto"/>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Red carretera</w:t>
            </w:r>
          </w:p>
        </w:tc>
        <w:tc>
          <w:tcPr>
            <w:tcW w:w="1683" w:type="dxa"/>
            <w:noWrap/>
            <w:vAlign w:val="center"/>
            <w:hideMark/>
          </w:tcPr>
          <w:p w14:paraId="5B3858A5" w14:textId="7F4CFD80" w:rsidR="000D66C1" w:rsidRPr="00951AB1" w:rsidRDefault="000D66C1"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1.495.688.229.716</w:t>
            </w:r>
          </w:p>
        </w:tc>
        <w:tc>
          <w:tcPr>
            <w:tcW w:w="1687" w:type="dxa"/>
            <w:noWrap/>
            <w:vAlign w:val="center"/>
            <w:hideMark/>
          </w:tcPr>
          <w:p w14:paraId="1BAD9A78" w14:textId="549097D2" w:rsidR="000D66C1" w:rsidRPr="00951AB1" w:rsidRDefault="000D66C1"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1.502.135.720.698</w:t>
            </w:r>
          </w:p>
        </w:tc>
        <w:tc>
          <w:tcPr>
            <w:tcW w:w="1494" w:type="dxa"/>
            <w:noWrap/>
            <w:vAlign w:val="center"/>
            <w:hideMark/>
          </w:tcPr>
          <w:p w14:paraId="6E0BAFFA" w14:textId="02CEDB3C" w:rsidR="000D66C1" w:rsidRPr="00951AB1" w:rsidRDefault="000D66C1"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-6.447.490.983</w:t>
            </w:r>
          </w:p>
        </w:tc>
      </w:tr>
      <w:tr w:rsidR="00C70C31" w:rsidRPr="00951AB1" w14:paraId="17F0991D" w14:textId="77777777" w:rsidTr="000D66C1">
        <w:trPr>
          <w:trHeight w:val="285"/>
        </w:trPr>
        <w:tc>
          <w:tcPr>
            <w:tcW w:w="3964" w:type="dxa"/>
            <w:vAlign w:val="center"/>
            <w:hideMark/>
          </w:tcPr>
          <w:p w14:paraId="120A9E54" w14:textId="77777777" w:rsidR="000D66C1" w:rsidRPr="00951AB1" w:rsidRDefault="000D66C1" w:rsidP="000A5389">
            <w:pPr>
              <w:spacing w:line="240" w:lineRule="auto"/>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Terrenos</w:t>
            </w:r>
          </w:p>
        </w:tc>
        <w:tc>
          <w:tcPr>
            <w:tcW w:w="1683" w:type="dxa"/>
            <w:noWrap/>
            <w:vAlign w:val="center"/>
            <w:hideMark/>
          </w:tcPr>
          <w:p w14:paraId="3C68A92C" w14:textId="1904E450" w:rsidR="000D66C1" w:rsidRPr="00951AB1" w:rsidRDefault="000D66C1"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101.499.012.911</w:t>
            </w:r>
          </w:p>
        </w:tc>
        <w:tc>
          <w:tcPr>
            <w:tcW w:w="1687" w:type="dxa"/>
            <w:noWrap/>
            <w:vAlign w:val="center"/>
            <w:hideMark/>
          </w:tcPr>
          <w:p w14:paraId="162EE0B8" w14:textId="196FE38D" w:rsidR="000D66C1" w:rsidRPr="00951AB1" w:rsidRDefault="000D66C1"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91.717.370.550</w:t>
            </w:r>
          </w:p>
        </w:tc>
        <w:tc>
          <w:tcPr>
            <w:tcW w:w="1494" w:type="dxa"/>
            <w:noWrap/>
            <w:vAlign w:val="center"/>
            <w:hideMark/>
          </w:tcPr>
          <w:p w14:paraId="1F6F9D41" w14:textId="2D262B98" w:rsidR="000D66C1" w:rsidRPr="00951AB1" w:rsidRDefault="000D66C1"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9.781.642.361</w:t>
            </w:r>
          </w:p>
        </w:tc>
      </w:tr>
      <w:tr w:rsidR="00C70C31" w:rsidRPr="00951AB1" w14:paraId="08A81391" w14:textId="77777777" w:rsidTr="000D66C1">
        <w:trPr>
          <w:trHeight w:val="570"/>
        </w:trPr>
        <w:tc>
          <w:tcPr>
            <w:tcW w:w="3964" w:type="dxa"/>
            <w:vAlign w:val="center"/>
            <w:hideMark/>
          </w:tcPr>
          <w:p w14:paraId="042EA07E" w14:textId="77777777" w:rsidR="000D66C1" w:rsidRPr="00951AB1" w:rsidRDefault="000D66C1" w:rsidP="000A5389">
            <w:pPr>
              <w:spacing w:line="240" w:lineRule="auto"/>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Recursos de la entidad concedente en patrimonios autónomos constituidos por concesionarios privados</w:t>
            </w:r>
          </w:p>
        </w:tc>
        <w:tc>
          <w:tcPr>
            <w:tcW w:w="1683" w:type="dxa"/>
            <w:noWrap/>
            <w:vAlign w:val="center"/>
            <w:hideMark/>
          </w:tcPr>
          <w:p w14:paraId="0BCFA2AC" w14:textId="19EED28E" w:rsidR="000D66C1" w:rsidRPr="00951AB1" w:rsidRDefault="000D66C1"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56.543.109.866</w:t>
            </w:r>
          </w:p>
        </w:tc>
        <w:tc>
          <w:tcPr>
            <w:tcW w:w="1687" w:type="dxa"/>
            <w:noWrap/>
            <w:vAlign w:val="center"/>
            <w:hideMark/>
          </w:tcPr>
          <w:p w14:paraId="37A049FF" w14:textId="503665D1" w:rsidR="000D66C1" w:rsidRPr="00951AB1" w:rsidRDefault="000D66C1"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358.706.806.542</w:t>
            </w:r>
          </w:p>
        </w:tc>
        <w:tc>
          <w:tcPr>
            <w:tcW w:w="1494" w:type="dxa"/>
            <w:noWrap/>
            <w:vAlign w:val="center"/>
            <w:hideMark/>
          </w:tcPr>
          <w:p w14:paraId="1B43873E" w14:textId="48E2F5D7" w:rsidR="000D66C1" w:rsidRPr="00951AB1" w:rsidRDefault="000D66C1"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-302.163.696.676</w:t>
            </w:r>
          </w:p>
        </w:tc>
      </w:tr>
      <w:tr w:rsidR="00C70C31" w:rsidRPr="00951AB1" w14:paraId="45DB23D0" w14:textId="77777777" w:rsidTr="000D66C1">
        <w:trPr>
          <w:trHeight w:val="285"/>
        </w:trPr>
        <w:tc>
          <w:tcPr>
            <w:tcW w:w="3964" w:type="dxa"/>
            <w:vAlign w:val="center"/>
            <w:hideMark/>
          </w:tcPr>
          <w:p w14:paraId="33036470" w14:textId="77777777" w:rsidR="000D66C1" w:rsidRPr="00951AB1" w:rsidRDefault="000D66C1" w:rsidP="000A5389">
            <w:pPr>
              <w:spacing w:line="240" w:lineRule="auto"/>
              <w:rPr>
                <w:rFonts w:eastAsia="Times New Roman" w:cs="Times New Roman"/>
                <w:b/>
                <w:bCs/>
                <w:color w:val="000000"/>
                <w:kern w:val="0"/>
                <w:sz w:val="18"/>
                <w:szCs w:val="18"/>
                <w:lang w:eastAsia="es-CO"/>
                <w14:ligatures w14:val="none"/>
              </w:rPr>
            </w:pPr>
            <w:r w:rsidRPr="00951AB1">
              <w:rPr>
                <w:rFonts w:eastAsia="Times New Roman" w:cs="Times New Roman"/>
                <w:b/>
                <w:bCs/>
                <w:color w:val="000000"/>
                <w:kern w:val="0"/>
                <w:sz w:val="18"/>
                <w:szCs w:val="18"/>
                <w:lang w:eastAsia="es-CO"/>
                <w14:ligatures w14:val="none"/>
              </w:rPr>
              <w:t>CONCESIONARIA RUTA DEL CACAO S.A.S.</w:t>
            </w:r>
          </w:p>
        </w:tc>
        <w:tc>
          <w:tcPr>
            <w:tcW w:w="1683" w:type="dxa"/>
            <w:noWrap/>
            <w:vAlign w:val="center"/>
            <w:hideMark/>
          </w:tcPr>
          <w:p w14:paraId="2430F076" w14:textId="1605DD25" w:rsidR="000D66C1" w:rsidRPr="00951AB1" w:rsidRDefault="000D66C1" w:rsidP="000A5389">
            <w:pPr>
              <w:spacing w:line="240" w:lineRule="auto"/>
              <w:jc w:val="right"/>
              <w:rPr>
                <w:rFonts w:eastAsia="Times New Roman" w:cs="Times New Roman"/>
                <w:b/>
                <w:bCs/>
                <w:color w:val="000000"/>
                <w:kern w:val="0"/>
                <w:sz w:val="18"/>
                <w:szCs w:val="18"/>
                <w:lang w:eastAsia="es-CO"/>
                <w14:ligatures w14:val="none"/>
              </w:rPr>
            </w:pPr>
            <w:r w:rsidRPr="00951AB1">
              <w:rPr>
                <w:rFonts w:eastAsia="Times New Roman" w:cs="Times New Roman"/>
                <w:b/>
                <w:bCs/>
                <w:color w:val="000000"/>
                <w:kern w:val="0"/>
                <w:sz w:val="18"/>
                <w:szCs w:val="18"/>
                <w:lang w:eastAsia="es-CO"/>
                <w14:ligatures w14:val="none"/>
              </w:rPr>
              <w:t>2.615.580.367.387</w:t>
            </w:r>
          </w:p>
        </w:tc>
        <w:tc>
          <w:tcPr>
            <w:tcW w:w="1687" w:type="dxa"/>
            <w:noWrap/>
            <w:vAlign w:val="center"/>
            <w:hideMark/>
          </w:tcPr>
          <w:p w14:paraId="04859532" w14:textId="53A4E209" w:rsidR="000D66C1" w:rsidRPr="00951AB1" w:rsidRDefault="000D66C1" w:rsidP="000A5389">
            <w:pPr>
              <w:spacing w:line="240" w:lineRule="auto"/>
              <w:jc w:val="right"/>
              <w:rPr>
                <w:rFonts w:eastAsia="Times New Roman" w:cs="Times New Roman"/>
                <w:b/>
                <w:bCs/>
                <w:color w:val="000000"/>
                <w:kern w:val="0"/>
                <w:sz w:val="18"/>
                <w:szCs w:val="18"/>
                <w:lang w:eastAsia="es-CO"/>
                <w14:ligatures w14:val="none"/>
              </w:rPr>
            </w:pPr>
            <w:r w:rsidRPr="00951AB1">
              <w:rPr>
                <w:rFonts w:eastAsia="Times New Roman" w:cs="Times New Roman"/>
                <w:b/>
                <w:bCs/>
                <w:color w:val="000000"/>
                <w:kern w:val="0"/>
                <w:sz w:val="18"/>
                <w:szCs w:val="18"/>
                <w:lang w:eastAsia="es-CO"/>
                <w14:ligatures w14:val="none"/>
              </w:rPr>
              <w:t>2.810.957.528.506</w:t>
            </w:r>
          </w:p>
        </w:tc>
        <w:tc>
          <w:tcPr>
            <w:tcW w:w="1494" w:type="dxa"/>
            <w:noWrap/>
            <w:vAlign w:val="center"/>
            <w:hideMark/>
          </w:tcPr>
          <w:p w14:paraId="13B946BB" w14:textId="16BE3083" w:rsidR="000D66C1" w:rsidRPr="00951AB1" w:rsidRDefault="000D66C1" w:rsidP="000A5389">
            <w:pPr>
              <w:spacing w:line="240" w:lineRule="auto"/>
              <w:jc w:val="right"/>
              <w:rPr>
                <w:rFonts w:eastAsia="Times New Roman" w:cs="Times New Roman"/>
                <w:b/>
                <w:bCs/>
                <w:color w:val="000000"/>
                <w:kern w:val="0"/>
                <w:sz w:val="18"/>
                <w:szCs w:val="18"/>
                <w:lang w:eastAsia="es-CO"/>
                <w14:ligatures w14:val="none"/>
              </w:rPr>
            </w:pPr>
            <w:r w:rsidRPr="00951AB1">
              <w:rPr>
                <w:rFonts w:eastAsia="Times New Roman" w:cs="Times New Roman"/>
                <w:b/>
                <w:bCs/>
                <w:color w:val="000000"/>
                <w:kern w:val="0"/>
                <w:sz w:val="18"/>
                <w:szCs w:val="18"/>
                <w:lang w:eastAsia="es-CO"/>
                <w14:ligatures w14:val="none"/>
              </w:rPr>
              <w:t>-195.377.161.119</w:t>
            </w:r>
          </w:p>
        </w:tc>
      </w:tr>
      <w:tr w:rsidR="00C70C31" w:rsidRPr="00951AB1" w14:paraId="5CD479FF" w14:textId="77777777" w:rsidTr="000D66C1">
        <w:trPr>
          <w:trHeight w:val="285"/>
        </w:trPr>
        <w:tc>
          <w:tcPr>
            <w:tcW w:w="3964" w:type="dxa"/>
            <w:vAlign w:val="center"/>
            <w:hideMark/>
          </w:tcPr>
          <w:p w14:paraId="02F9BF07" w14:textId="77777777" w:rsidR="000D66C1" w:rsidRPr="00951AB1" w:rsidRDefault="000D66C1" w:rsidP="000A5389">
            <w:pPr>
              <w:spacing w:line="240" w:lineRule="auto"/>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Activos intangibles en concesión</w:t>
            </w:r>
          </w:p>
        </w:tc>
        <w:tc>
          <w:tcPr>
            <w:tcW w:w="1683" w:type="dxa"/>
            <w:noWrap/>
            <w:vAlign w:val="center"/>
            <w:hideMark/>
          </w:tcPr>
          <w:p w14:paraId="42222890" w14:textId="51DB4477" w:rsidR="000D66C1" w:rsidRPr="00951AB1" w:rsidRDefault="000D66C1"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5.899.651.872</w:t>
            </w:r>
          </w:p>
        </w:tc>
        <w:tc>
          <w:tcPr>
            <w:tcW w:w="1687" w:type="dxa"/>
            <w:noWrap/>
            <w:vAlign w:val="center"/>
            <w:hideMark/>
          </w:tcPr>
          <w:p w14:paraId="337AFEEC" w14:textId="71C87CBF" w:rsidR="000D66C1" w:rsidRPr="00951AB1" w:rsidRDefault="000D66C1"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5.899.651.872</w:t>
            </w:r>
          </w:p>
        </w:tc>
        <w:tc>
          <w:tcPr>
            <w:tcW w:w="1494" w:type="dxa"/>
            <w:noWrap/>
            <w:vAlign w:val="center"/>
            <w:hideMark/>
          </w:tcPr>
          <w:p w14:paraId="10926FB7" w14:textId="361AE339" w:rsidR="000D66C1" w:rsidRPr="00951AB1" w:rsidRDefault="000D66C1"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w:t>
            </w:r>
          </w:p>
        </w:tc>
      </w:tr>
      <w:tr w:rsidR="00C70C31" w:rsidRPr="00951AB1" w14:paraId="3F88DF07" w14:textId="77777777" w:rsidTr="000D66C1">
        <w:trPr>
          <w:trHeight w:val="285"/>
        </w:trPr>
        <w:tc>
          <w:tcPr>
            <w:tcW w:w="3964" w:type="dxa"/>
            <w:vAlign w:val="center"/>
            <w:hideMark/>
          </w:tcPr>
          <w:p w14:paraId="5E592685" w14:textId="77777777" w:rsidR="000D66C1" w:rsidRPr="00951AB1" w:rsidRDefault="000D66C1" w:rsidP="000A5389">
            <w:pPr>
              <w:spacing w:line="240" w:lineRule="auto"/>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Propiedades, Plan y Equipo</w:t>
            </w:r>
          </w:p>
        </w:tc>
        <w:tc>
          <w:tcPr>
            <w:tcW w:w="1683" w:type="dxa"/>
            <w:noWrap/>
            <w:vAlign w:val="center"/>
            <w:hideMark/>
          </w:tcPr>
          <w:p w14:paraId="1D2791F6" w14:textId="4459287C" w:rsidR="000D66C1" w:rsidRPr="00951AB1" w:rsidRDefault="000D66C1"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14.068.365.737</w:t>
            </w:r>
          </w:p>
        </w:tc>
        <w:tc>
          <w:tcPr>
            <w:tcW w:w="1687" w:type="dxa"/>
            <w:noWrap/>
            <w:vAlign w:val="center"/>
            <w:hideMark/>
          </w:tcPr>
          <w:p w14:paraId="12175573" w14:textId="1EE2F30D" w:rsidR="000D66C1" w:rsidRPr="00951AB1" w:rsidRDefault="000D66C1"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13.745.521.570</w:t>
            </w:r>
          </w:p>
        </w:tc>
        <w:tc>
          <w:tcPr>
            <w:tcW w:w="1494" w:type="dxa"/>
            <w:noWrap/>
            <w:vAlign w:val="center"/>
            <w:hideMark/>
          </w:tcPr>
          <w:p w14:paraId="2435D068" w14:textId="0964FC8D" w:rsidR="000D66C1" w:rsidRPr="00951AB1" w:rsidRDefault="000D66C1"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322.844.167</w:t>
            </w:r>
          </w:p>
        </w:tc>
      </w:tr>
      <w:tr w:rsidR="00C70C31" w:rsidRPr="00951AB1" w14:paraId="63EF7B1D" w14:textId="77777777" w:rsidTr="000D66C1">
        <w:trPr>
          <w:trHeight w:val="285"/>
        </w:trPr>
        <w:tc>
          <w:tcPr>
            <w:tcW w:w="3964" w:type="dxa"/>
            <w:vAlign w:val="center"/>
            <w:hideMark/>
          </w:tcPr>
          <w:p w14:paraId="00E0E0B2" w14:textId="77777777" w:rsidR="000D66C1" w:rsidRPr="00951AB1" w:rsidRDefault="000D66C1" w:rsidP="000A5389">
            <w:pPr>
              <w:spacing w:line="240" w:lineRule="auto"/>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Red carretera</w:t>
            </w:r>
          </w:p>
        </w:tc>
        <w:tc>
          <w:tcPr>
            <w:tcW w:w="1683" w:type="dxa"/>
            <w:noWrap/>
            <w:vAlign w:val="center"/>
            <w:hideMark/>
          </w:tcPr>
          <w:p w14:paraId="4E18B546" w14:textId="48119EF4" w:rsidR="000D66C1" w:rsidRPr="00951AB1" w:rsidRDefault="000D66C1"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2.288.924.825.108</w:t>
            </w:r>
          </w:p>
        </w:tc>
        <w:tc>
          <w:tcPr>
            <w:tcW w:w="1687" w:type="dxa"/>
            <w:noWrap/>
            <w:vAlign w:val="center"/>
            <w:hideMark/>
          </w:tcPr>
          <w:p w14:paraId="24EF2981" w14:textId="73FF1B85" w:rsidR="000D66C1" w:rsidRPr="00951AB1" w:rsidRDefault="000D66C1"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2.324.432.877.780</w:t>
            </w:r>
          </w:p>
        </w:tc>
        <w:tc>
          <w:tcPr>
            <w:tcW w:w="1494" w:type="dxa"/>
            <w:noWrap/>
            <w:vAlign w:val="center"/>
            <w:hideMark/>
          </w:tcPr>
          <w:p w14:paraId="06180E76" w14:textId="71694B9D" w:rsidR="000D66C1" w:rsidRPr="00951AB1" w:rsidRDefault="000D66C1"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-35.508.052.672</w:t>
            </w:r>
          </w:p>
        </w:tc>
      </w:tr>
      <w:tr w:rsidR="00C70C31" w:rsidRPr="00951AB1" w14:paraId="35937DCB" w14:textId="77777777" w:rsidTr="000D66C1">
        <w:trPr>
          <w:trHeight w:val="285"/>
        </w:trPr>
        <w:tc>
          <w:tcPr>
            <w:tcW w:w="3964" w:type="dxa"/>
            <w:vAlign w:val="center"/>
            <w:hideMark/>
          </w:tcPr>
          <w:p w14:paraId="7552F4DA" w14:textId="77777777" w:rsidR="000D66C1" w:rsidRPr="00951AB1" w:rsidRDefault="000D66C1" w:rsidP="000A5389">
            <w:pPr>
              <w:spacing w:line="240" w:lineRule="auto"/>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Terrenos</w:t>
            </w:r>
          </w:p>
        </w:tc>
        <w:tc>
          <w:tcPr>
            <w:tcW w:w="1683" w:type="dxa"/>
            <w:noWrap/>
            <w:vAlign w:val="center"/>
            <w:hideMark/>
          </w:tcPr>
          <w:p w14:paraId="0A884FED" w14:textId="22FDFF68" w:rsidR="000D66C1" w:rsidRPr="00951AB1" w:rsidRDefault="000D66C1"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115.459.240.364</w:t>
            </w:r>
          </w:p>
        </w:tc>
        <w:tc>
          <w:tcPr>
            <w:tcW w:w="1687" w:type="dxa"/>
            <w:noWrap/>
            <w:vAlign w:val="center"/>
            <w:hideMark/>
          </w:tcPr>
          <w:p w14:paraId="2A6EECF9" w14:textId="43CF29E6" w:rsidR="000D66C1" w:rsidRPr="00951AB1" w:rsidRDefault="000D66C1"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115.459.240.364</w:t>
            </w:r>
          </w:p>
        </w:tc>
        <w:tc>
          <w:tcPr>
            <w:tcW w:w="1494" w:type="dxa"/>
            <w:noWrap/>
            <w:vAlign w:val="center"/>
            <w:hideMark/>
          </w:tcPr>
          <w:p w14:paraId="7C85D6EF" w14:textId="40000B67" w:rsidR="000D66C1" w:rsidRPr="00951AB1" w:rsidRDefault="000D66C1"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0</w:t>
            </w:r>
          </w:p>
        </w:tc>
      </w:tr>
      <w:tr w:rsidR="00C70C31" w:rsidRPr="00951AB1" w14:paraId="4C833D5F" w14:textId="77777777" w:rsidTr="000D66C1">
        <w:trPr>
          <w:trHeight w:val="570"/>
        </w:trPr>
        <w:tc>
          <w:tcPr>
            <w:tcW w:w="3964" w:type="dxa"/>
            <w:vAlign w:val="center"/>
            <w:hideMark/>
          </w:tcPr>
          <w:p w14:paraId="764DAF08" w14:textId="77777777" w:rsidR="000D66C1" w:rsidRPr="00951AB1" w:rsidRDefault="000D66C1" w:rsidP="000A5389">
            <w:pPr>
              <w:spacing w:line="240" w:lineRule="auto"/>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Recursos de la entidad concedente en patrimonios autónomos constituidos por concesionarios privados</w:t>
            </w:r>
          </w:p>
        </w:tc>
        <w:tc>
          <w:tcPr>
            <w:tcW w:w="1683" w:type="dxa"/>
            <w:noWrap/>
            <w:vAlign w:val="center"/>
            <w:hideMark/>
          </w:tcPr>
          <w:p w14:paraId="1D40C164" w14:textId="1D4D8D18" w:rsidR="000D66C1" w:rsidRPr="00951AB1" w:rsidRDefault="000D66C1"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191.228.284.306</w:t>
            </w:r>
          </w:p>
        </w:tc>
        <w:tc>
          <w:tcPr>
            <w:tcW w:w="1687" w:type="dxa"/>
            <w:noWrap/>
            <w:vAlign w:val="center"/>
            <w:hideMark/>
          </w:tcPr>
          <w:p w14:paraId="5847D9FD" w14:textId="6F609A51" w:rsidR="000D66C1" w:rsidRPr="00951AB1" w:rsidRDefault="000D66C1"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351.420.236.920</w:t>
            </w:r>
          </w:p>
        </w:tc>
        <w:tc>
          <w:tcPr>
            <w:tcW w:w="1494" w:type="dxa"/>
            <w:noWrap/>
            <w:vAlign w:val="center"/>
            <w:hideMark/>
          </w:tcPr>
          <w:p w14:paraId="5782B5BF" w14:textId="4979A7AD" w:rsidR="000D66C1" w:rsidRPr="00951AB1" w:rsidRDefault="000D66C1"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-160.191.952.614</w:t>
            </w:r>
          </w:p>
        </w:tc>
      </w:tr>
      <w:tr w:rsidR="00C70C31" w:rsidRPr="00951AB1" w14:paraId="3FD42E83" w14:textId="77777777" w:rsidTr="000D66C1">
        <w:trPr>
          <w:trHeight w:val="285"/>
        </w:trPr>
        <w:tc>
          <w:tcPr>
            <w:tcW w:w="3964" w:type="dxa"/>
            <w:vAlign w:val="center"/>
            <w:hideMark/>
          </w:tcPr>
          <w:p w14:paraId="61D64F4F" w14:textId="77777777" w:rsidR="000D66C1" w:rsidRPr="00951AB1" w:rsidRDefault="000D66C1" w:rsidP="000A5389">
            <w:pPr>
              <w:spacing w:line="240" w:lineRule="auto"/>
              <w:rPr>
                <w:rFonts w:eastAsia="Times New Roman" w:cs="Times New Roman"/>
                <w:b/>
                <w:bCs/>
                <w:color w:val="000000"/>
                <w:kern w:val="0"/>
                <w:sz w:val="18"/>
                <w:szCs w:val="18"/>
                <w:lang w:eastAsia="es-CO"/>
                <w14:ligatures w14:val="none"/>
              </w:rPr>
            </w:pPr>
            <w:r w:rsidRPr="00951AB1">
              <w:rPr>
                <w:rFonts w:eastAsia="Times New Roman" w:cs="Times New Roman"/>
                <w:b/>
                <w:bCs/>
                <w:color w:val="000000"/>
                <w:kern w:val="0"/>
                <w:sz w:val="18"/>
                <w:szCs w:val="18"/>
                <w:lang w:eastAsia="es-CO"/>
                <w14:ligatures w14:val="none"/>
              </w:rPr>
              <w:lastRenderedPageBreak/>
              <w:t>CONCESIONARIA VIAL UNIÓN DEL SUR S.A.S.</w:t>
            </w:r>
          </w:p>
        </w:tc>
        <w:tc>
          <w:tcPr>
            <w:tcW w:w="1683" w:type="dxa"/>
            <w:noWrap/>
            <w:vAlign w:val="center"/>
            <w:hideMark/>
          </w:tcPr>
          <w:p w14:paraId="75AD75D1" w14:textId="6682D41E" w:rsidR="000D66C1" w:rsidRPr="00951AB1" w:rsidRDefault="000D66C1" w:rsidP="000A5389">
            <w:pPr>
              <w:spacing w:line="240" w:lineRule="auto"/>
              <w:jc w:val="right"/>
              <w:rPr>
                <w:rFonts w:eastAsia="Times New Roman" w:cs="Times New Roman"/>
                <w:b/>
                <w:bCs/>
                <w:color w:val="000000"/>
                <w:kern w:val="0"/>
                <w:sz w:val="18"/>
                <w:szCs w:val="18"/>
                <w:lang w:eastAsia="es-CO"/>
                <w14:ligatures w14:val="none"/>
              </w:rPr>
            </w:pPr>
            <w:r w:rsidRPr="00951AB1">
              <w:rPr>
                <w:rFonts w:eastAsia="Times New Roman" w:cs="Times New Roman"/>
                <w:b/>
                <w:bCs/>
                <w:color w:val="000000"/>
                <w:kern w:val="0"/>
                <w:sz w:val="18"/>
                <w:szCs w:val="18"/>
                <w:lang w:eastAsia="es-CO"/>
                <w14:ligatures w14:val="none"/>
              </w:rPr>
              <w:t>2.465.583.307.231</w:t>
            </w:r>
          </w:p>
        </w:tc>
        <w:tc>
          <w:tcPr>
            <w:tcW w:w="1687" w:type="dxa"/>
            <w:noWrap/>
            <w:vAlign w:val="center"/>
            <w:hideMark/>
          </w:tcPr>
          <w:p w14:paraId="1A8DD740" w14:textId="72AEE246" w:rsidR="000D66C1" w:rsidRPr="00951AB1" w:rsidRDefault="000D66C1" w:rsidP="000A5389">
            <w:pPr>
              <w:spacing w:line="240" w:lineRule="auto"/>
              <w:jc w:val="right"/>
              <w:rPr>
                <w:rFonts w:eastAsia="Times New Roman" w:cs="Times New Roman"/>
                <w:b/>
                <w:bCs/>
                <w:color w:val="000000"/>
                <w:kern w:val="0"/>
                <w:sz w:val="18"/>
                <w:szCs w:val="18"/>
                <w:lang w:eastAsia="es-CO"/>
                <w14:ligatures w14:val="none"/>
              </w:rPr>
            </w:pPr>
            <w:r w:rsidRPr="00951AB1">
              <w:rPr>
                <w:rFonts w:eastAsia="Times New Roman" w:cs="Times New Roman"/>
                <w:b/>
                <w:bCs/>
                <w:color w:val="000000"/>
                <w:kern w:val="0"/>
                <w:sz w:val="18"/>
                <w:szCs w:val="18"/>
                <w:lang w:eastAsia="es-CO"/>
                <w14:ligatures w14:val="none"/>
              </w:rPr>
              <w:t>2.637.172.793.322</w:t>
            </w:r>
          </w:p>
        </w:tc>
        <w:tc>
          <w:tcPr>
            <w:tcW w:w="1494" w:type="dxa"/>
            <w:noWrap/>
            <w:vAlign w:val="center"/>
            <w:hideMark/>
          </w:tcPr>
          <w:p w14:paraId="4E8783B2" w14:textId="0E58BD41" w:rsidR="000D66C1" w:rsidRPr="00951AB1" w:rsidRDefault="000D66C1" w:rsidP="000A5389">
            <w:pPr>
              <w:spacing w:line="240" w:lineRule="auto"/>
              <w:jc w:val="right"/>
              <w:rPr>
                <w:rFonts w:eastAsia="Times New Roman" w:cs="Times New Roman"/>
                <w:b/>
                <w:bCs/>
                <w:color w:val="000000"/>
                <w:kern w:val="0"/>
                <w:sz w:val="18"/>
                <w:szCs w:val="18"/>
                <w:lang w:eastAsia="es-CO"/>
                <w14:ligatures w14:val="none"/>
              </w:rPr>
            </w:pPr>
            <w:r w:rsidRPr="00951AB1">
              <w:rPr>
                <w:rFonts w:eastAsia="Times New Roman" w:cs="Times New Roman"/>
                <w:b/>
                <w:bCs/>
                <w:color w:val="000000"/>
                <w:kern w:val="0"/>
                <w:sz w:val="18"/>
                <w:szCs w:val="18"/>
                <w:lang w:eastAsia="es-CO"/>
                <w14:ligatures w14:val="none"/>
              </w:rPr>
              <w:t>-171.589.486.091</w:t>
            </w:r>
          </w:p>
        </w:tc>
      </w:tr>
      <w:tr w:rsidR="00C70C31" w:rsidRPr="00951AB1" w14:paraId="3BC15531" w14:textId="77777777" w:rsidTr="000D66C1">
        <w:trPr>
          <w:trHeight w:val="285"/>
        </w:trPr>
        <w:tc>
          <w:tcPr>
            <w:tcW w:w="3964" w:type="dxa"/>
            <w:vAlign w:val="center"/>
            <w:hideMark/>
          </w:tcPr>
          <w:p w14:paraId="4A09322E" w14:textId="77777777" w:rsidR="000D66C1" w:rsidRPr="00951AB1" w:rsidRDefault="000D66C1" w:rsidP="000A5389">
            <w:pPr>
              <w:spacing w:line="240" w:lineRule="auto"/>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Activos intangibles en concesión</w:t>
            </w:r>
          </w:p>
        </w:tc>
        <w:tc>
          <w:tcPr>
            <w:tcW w:w="1683" w:type="dxa"/>
            <w:noWrap/>
            <w:vAlign w:val="center"/>
            <w:hideMark/>
          </w:tcPr>
          <w:p w14:paraId="5DD6D957" w14:textId="4CB357EC" w:rsidR="000D66C1" w:rsidRPr="00951AB1" w:rsidRDefault="000D66C1"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455.218.400</w:t>
            </w:r>
          </w:p>
        </w:tc>
        <w:tc>
          <w:tcPr>
            <w:tcW w:w="1687" w:type="dxa"/>
            <w:noWrap/>
            <w:vAlign w:val="center"/>
            <w:hideMark/>
          </w:tcPr>
          <w:p w14:paraId="165CB527" w14:textId="0DE782E5" w:rsidR="000D66C1" w:rsidRPr="00951AB1" w:rsidRDefault="000D66C1"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455.218.400</w:t>
            </w:r>
          </w:p>
        </w:tc>
        <w:tc>
          <w:tcPr>
            <w:tcW w:w="1494" w:type="dxa"/>
            <w:noWrap/>
            <w:vAlign w:val="center"/>
            <w:hideMark/>
          </w:tcPr>
          <w:p w14:paraId="7D9E44C6" w14:textId="11EC34ED" w:rsidR="000D66C1" w:rsidRPr="00951AB1" w:rsidRDefault="000D66C1"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w:t>
            </w:r>
          </w:p>
        </w:tc>
      </w:tr>
      <w:tr w:rsidR="00C70C31" w:rsidRPr="00951AB1" w14:paraId="6AD7B7DE" w14:textId="77777777" w:rsidTr="000D66C1">
        <w:trPr>
          <w:trHeight w:val="285"/>
        </w:trPr>
        <w:tc>
          <w:tcPr>
            <w:tcW w:w="3964" w:type="dxa"/>
            <w:vAlign w:val="center"/>
            <w:hideMark/>
          </w:tcPr>
          <w:p w14:paraId="02EE1CFC" w14:textId="77777777" w:rsidR="000D66C1" w:rsidRPr="00951AB1" w:rsidRDefault="000D66C1" w:rsidP="000A5389">
            <w:pPr>
              <w:spacing w:line="240" w:lineRule="auto"/>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Propiedades, Plan y Equipo</w:t>
            </w:r>
          </w:p>
        </w:tc>
        <w:tc>
          <w:tcPr>
            <w:tcW w:w="1683" w:type="dxa"/>
            <w:noWrap/>
            <w:vAlign w:val="center"/>
            <w:hideMark/>
          </w:tcPr>
          <w:p w14:paraId="03DA9D68" w14:textId="4D238031" w:rsidR="000D66C1" w:rsidRPr="00951AB1" w:rsidRDefault="000D66C1"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19.783.405.263</w:t>
            </w:r>
          </w:p>
        </w:tc>
        <w:tc>
          <w:tcPr>
            <w:tcW w:w="1687" w:type="dxa"/>
            <w:noWrap/>
            <w:vAlign w:val="center"/>
            <w:hideMark/>
          </w:tcPr>
          <w:p w14:paraId="74D5588D" w14:textId="31399F18" w:rsidR="000D66C1" w:rsidRPr="00951AB1" w:rsidRDefault="000D66C1"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19.783.405.263</w:t>
            </w:r>
          </w:p>
        </w:tc>
        <w:tc>
          <w:tcPr>
            <w:tcW w:w="1494" w:type="dxa"/>
            <w:noWrap/>
            <w:vAlign w:val="center"/>
            <w:hideMark/>
          </w:tcPr>
          <w:p w14:paraId="37B30BC8" w14:textId="4DB620B8" w:rsidR="000D66C1" w:rsidRPr="00951AB1" w:rsidRDefault="000D66C1"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w:t>
            </w:r>
          </w:p>
        </w:tc>
      </w:tr>
      <w:tr w:rsidR="00C70C31" w:rsidRPr="00951AB1" w14:paraId="1DFD3378" w14:textId="77777777" w:rsidTr="000D66C1">
        <w:trPr>
          <w:trHeight w:val="285"/>
        </w:trPr>
        <w:tc>
          <w:tcPr>
            <w:tcW w:w="3964" w:type="dxa"/>
            <w:vAlign w:val="center"/>
            <w:hideMark/>
          </w:tcPr>
          <w:p w14:paraId="70B5B309" w14:textId="77777777" w:rsidR="000D66C1" w:rsidRPr="00951AB1" w:rsidRDefault="000D66C1" w:rsidP="000A5389">
            <w:pPr>
              <w:spacing w:line="240" w:lineRule="auto"/>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Red carretera</w:t>
            </w:r>
          </w:p>
        </w:tc>
        <w:tc>
          <w:tcPr>
            <w:tcW w:w="1683" w:type="dxa"/>
            <w:noWrap/>
            <w:vAlign w:val="center"/>
            <w:hideMark/>
          </w:tcPr>
          <w:p w14:paraId="05A255FC" w14:textId="72F6A93C" w:rsidR="000D66C1" w:rsidRPr="00951AB1" w:rsidRDefault="000D66C1"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2.198.968.214.786</w:t>
            </w:r>
          </w:p>
        </w:tc>
        <w:tc>
          <w:tcPr>
            <w:tcW w:w="1687" w:type="dxa"/>
            <w:noWrap/>
            <w:vAlign w:val="center"/>
            <w:hideMark/>
          </w:tcPr>
          <w:p w14:paraId="3FC965CF" w14:textId="007EC15A" w:rsidR="000D66C1" w:rsidRPr="00951AB1" w:rsidRDefault="000D66C1"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2.150.449.806.656</w:t>
            </w:r>
          </w:p>
        </w:tc>
        <w:tc>
          <w:tcPr>
            <w:tcW w:w="1494" w:type="dxa"/>
            <w:noWrap/>
            <w:vAlign w:val="center"/>
            <w:hideMark/>
          </w:tcPr>
          <w:p w14:paraId="2C53980F" w14:textId="73280134" w:rsidR="000D66C1" w:rsidRPr="00951AB1" w:rsidRDefault="000D66C1"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48.518.408.129</w:t>
            </w:r>
          </w:p>
        </w:tc>
      </w:tr>
      <w:tr w:rsidR="00C70C31" w:rsidRPr="00951AB1" w14:paraId="23E289C0" w14:textId="77777777" w:rsidTr="000D66C1">
        <w:trPr>
          <w:trHeight w:val="285"/>
        </w:trPr>
        <w:tc>
          <w:tcPr>
            <w:tcW w:w="3964" w:type="dxa"/>
            <w:vAlign w:val="center"/>
            <w:hideMark/>
          </w:tcPr>
          <w:p w14:paraId="15AC4907" w14:textId="77777777" w:rsidR="000D66C1" w:rsidRPr="00951AB1" w:rsidRDefault="000D66C1" w:rsidP="000A5389">
            <w:pPr>
              <w:spacing w:line="240" w:lineRule="auto"/>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Terrenos</w:t>
            </w:r>
          </w:p>
        </w:tc>
        <w:tc>
          <w:tcPr>
            <w:tcW w:w="1683" w:type="dxa"/>
            <w:noWrap/>
            <w:vAlign w:val="center"/>
            <w:hideMark/>
          </w:tcPr>
          <w:p w14:paraId="0D7A617F" w14:textId="52B570E5" w:rsidR="000D66C1" w:rsidRPr="00951AB1" w:rsidRDefault="000D66C1"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220.556.452.392</w:t>
            </w:r>
          </w:p>
        </w:tc>
        <w:tc>
          <w:tcPr>
            <w:tcW w:w="1687" w:type="dxa"/>
            <w:noWrap/>
            <w:vAlign w:val="center"/>
            <w:hideMark/>
          </w:tcPr>
          <w:p w14:paraId="2AFAF159" w14:textId="5E74AD1E" w:rsidR="000D66C1" w:rsidRPr="00951AB1" w:rsidRDefault="000D66C1"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216.178.612.548</w:t>
            </w:r>
          </w:p>
        </w:tc>
        <w:tc>
          <w:tcPr>
            <w:tcW w:w="1494" w:type="dxa"/>
            <w:noWrap/>
            <w:vAlign w:val="center"/>
            <w:hideMark/>
          </w:tcPr>
          <w:p w14:paraId="78099D40" w14:textId="005E569C" w:rsidR="000D66C1" w:rsidRPr="00951AB1" w:rsidRDefault="000D66C1"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4.377.839.844</w:t>
            </w:r>
          </w:p>
        </w:tc>
      </w:tr>
      <w:tr w:rsidR="00C70C31" w:rsidRPr="00951AB1" w14:paraId="55CE7FBE" w14:textId="77777777" w:rsidTr="000D66C1">
        <w:trPr>
          <w:trHeight w:val="570"/>
        </w:trPr>
        <w:tc>
          <w:tcPr>
            <w:tcW w:w="3964" w:type="dxa"/>
            <w:vAlign w:val="center"/>
            <w:hideMark/>
          </w:tcPr>
          <w:p w14:paraId="44CB5B00" w14:textId="77777777" w:rsidR="000D66C1" w:rsidRPr="00951AB1" w:rsidRDefault="000D66C1" w:rsidP="000A5389">
            <w:pPr>
              <w:spacing w:line="240" w:lineRule="auto"/>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Recursos de la entidad concedente en patrimonios autónomos constituidos por concesionarios privados</w:t>
            </w:r>
          </w:p>
        </w:tc>
        <w:tc>
          <w:tcPr>
            <w:tcW w:w="1683" w:type="dxa"/>
            <w:noWrap/>
            <w:vAlign w:val="center"/>
            <w:hideMark/>
          </w:tcPr>
          <w:p w14:paraId="486ED715" w14:textId="333576DF" w:rsidR="000D66C1" w:rsidRPr="00951AB1" w:rsidRDefault="000D66C1"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25.820.016.391</w:t>
            </w:r>
          </w:p>
        </w:tc>
        <w:tc>
          <w:tcPr>
            <w:tcW w:w="1687" w:type="dxa"/>
            <w:noWrap/>
            <w:vAlign w:val="center"/>
            <w:hideMark/>
          </w:tcPr>
          <w:p w14:paraId="5F3E106D" w14:textId="5ED2BFC9" w:rsidR="000D66C1" w:rsidRPr="00951AB1" w:rsidRDefault="000D66C1"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250.305.750.455</w:t>
            </w:r>
          </w:p>
        </w:tc>
        <w:tc>
          <w:tcPr>
            <w:tcW w:w="1494" w:type="dxa"/>
            <w:noWrap/>
            <w:vAlign w:val="center"/>
            <w:hideMark/>
          </w:tcPr>
          <w:p w14:paraId="6B091098" w14:textId="14F0BA3A" w:rsidR="000D66C1" w:rsidRPr="00951AB1" w:rsidRDefault="000D66C1"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-224.485.734.064</w:t>
            </w:r>
          </w:p>
        </w:tc>
      </w:tr>
      <w:tr w:rsidR="00C70C31" w:rsidRPr="00951AB1" w14:paraId="612C88B4" w14:textId="77777777" w:rsidTr="000D66C1">
        <w:trPr>
          <w:trHeight w:val="285"/>
        </w:trPr>
        <w:tc>
          <w:tcPr>
            <w:tcW w:w="3964" w:type="dxa"/>
            <w:vAlign w:val="center"/>
            <w:hideMark/>
          </w:tcPr>
          <w:p w14:paraId="6E0784D8" w14:textId="77777777" w:rsidR="000D66C1" w:rsidRPr="00951AB1" w:rsidRDefault="000D66C1" w:rsidP="000A5389">
            <w:pPr>
              <w:spacing w:line="240" w:lineRule="auto"/>
              <w:rPr>
                <w:rFonts w:eastAsia="Times New Roman" w:cs="Times New Roman"/>
                <w:b/>
                <w:bCs/>
                <w:color w:val="000000"/>
                <w:kern w:val="0"/>
                <w:sz w:val="18"/>
                <w:szCs w:val="18"/>
                <w:lang w:eastAsia="es-CO"/>
                <w14:ligatures w14:val="none"/>
              </w:rPr>
            </w:pPr>
            <w:r w:rsidRPr="00951AB1">
              <w:rPr>
                <w:rFonts w:eastAsia="Times New Roman" w:cs="Times New Roman"/>
                <w:b/>
                <w:bCs/>
                <w:color w:val="000000"/>
                <w:kern w:val="0"/>
                <w:sz w:val="18"/>
                <w:szCs w:val="18"/>
                <w:lang w:eastAsia="es-CO"/>
                <w14:ligatures w14:val="none"/>
              </w:rPr>
              <w:t>CONCESIÒN RUTA AL MAR S.A.S.</w:t>
            </w:r>
          </w:p>
        </w:tc>
        <w:tc>
          <w:tcPr>
            <w:tcW w:w="1683" w:type="dxa"/>
            <w:noWrap/>
            <w:vAlign w:val="center"/>
            <w:hideMark/>
          </w:tcPr>
          <w:p w14:paraId="31805718" w14:textId="2D85DC7A" w:rsidR="000D66C1" w:rsidRPr="00951AB1" w:rsidRDefault="000D66C1" w:rsidP="000A5389">
            <w:pPr>
              <w:spacing w:line="240" w:lineRule="auto"/>
              <w:jc w:val="right"/>
              <w:rPr>
                <w:rFonts w:eastAsia="Times New Roman" w:cs="Times New Roman"/>
                <w:b/>
                <w:bCs/>
                <w:color w:val="000000"/>
                <w:kern w:val="0"/>
                <w:sz w:val="18"/>
                <w:szCs w:val="18"/>
                <w:lang w:eastAsia="es-CO"/>
                <w14:ligatures w14:val="none"/>
              </w:rPr>
            </w:pPr>
            <w:r w:rsidRPr="00951AB1">
              <w:rPr>
                <w:rFonts w:eastAsia="Times New Roman" w:cs="Times New Roman"/>
                <w:b/>
                <w:bCs/>
                <w:color w:val="000000"/>
                <w:kern w:val="0"/>
                <w:sz w:val="18"/>
                <w:szCs w:val="18"/>
                <w:lang w:eastAsia="es-CO"/>
                <w14:ligatures w14:val="none"/>
              </w:rPr>
              <w:t>1.436.541.397.215</w:t>
            </w:r>
          </w:p>
        </w:tc>
        <w:tc>
          <w:tcPr>
            <w:tcW w:w="1687" w:type="dxa"/>
            <w:noWrap/>
            <w:vAlign w:val="center"/>
            <w:hideMark/>
          </w:tcPr>
          <w:p w14:paraId="2399FAAE" w14:textId="00486697" w:rsidR="000D66C1" w:rsidRPr="00951AB1" w:rsidRDefault="000D66C1" w:rsidP="000A5389">
            <w:pPr>
              <w:spacing w:line="240" w:lineRule="auto"/>
              <w:jc w:val="right"/>
              <w:rPr>
                <w:rFonts w:eastAsia="Times New Roman" w:cs="Times New Roman"/>
                <w:b/>
                <w:bCs/>
                <w:color w:val="000000"/>
                <w:kern w:val="0"/>
                <w:sz w:val="18"/>
                <w:szCs w:val="18"/>
                <w:lang w:eastAsia="es-CO"/>
                <w14:ligatures w14:val="none"/>
              </w:rPr>
            </w:pPr>
            <w:r w:rsidRPr="00951AB1">
              <w:rPr>
                <w:rFonts w:eastAsia="Times New Roman" w:cs="Times New Roman"/>
                <w:b/>
                <w:bCs/>
                <w:color w:val="000000"/>
                <w:kern w:val="0"/>
                <w:sz w:val="18"/>
                <w:szCs w:val="18"/>
                <w:lang w:eastAsia="es-CO"/>
                <w14:ligatures w14:val="none"/>
              </w:rPr>
              <w:t>1.115.647.728.780</w:t>
            </w:r>
          </w:p>
        </w:tc>
        <w:tc>
          <w:tcPr>
            <w:tcW w:w="1494" w:type="dxa"/>
            <w:noWrap/>
            <w:vAlign w:val="center"/>
            <w:hideMark/>
          </w:tcPr>
          <w:p w14:paraId="65329936" w14:textId="50DC3012" w:rsidR="000D66C1" w:rsidRPr="00951AB1" w:rsidRDefault="000D66C1" w:rsidP="000A5389">
            <w:pPr>
              <w:spacing w:line="240" w:lineRule="auto"/>
              <w:jc w:val="right"/>
              <w:rPr>
                <w:rFonts w:eastAsia="Times New Roman" w:cs="Times New Roman"/>
                <w:b/>
                <w:bCs/>
                <w:color w:val="000000"/>
                <w:kern w:val="0"/>
                <w:sz w:val="18"/>
                <w:szCs w:val="18"/>
                <w:lang w:eastAsia="es-CO"/>
                <w14:ligatures w14:val="none"/>
              </w:rPr>
            </w:pPr>
            <w:r w:rsidRPr="00951AB1">
              <w:rPr>
                <w:rFonts w:eastAsia="Times New Roman" w:cs="Times New Roman"/>
                <w:b/>
                <w:bCs/>
                <w:color w:val="000000"/>
                <w:kern w:val="0"/>
                <w:sz w:val="18"/>
                <w:szCs w:val="18"/>
                <w:lang w:eastAsia="es-CO"/>
                <w14:ligatures w14:val="none"/>
              </w:rPr>
              <w:t>320.893.668.435</w:t>
            </w:r>
          </w:p>
        </w:tc>
      </w:tr>
      <w:tr w:rsidR="00C70C31" w:rsidRPr="00951AB1" w14:paraId="1AD43284" w14:textId="77777777" w:rsidTr="000D66C1">
        <w:trPr>
          <w:trHeight w:val="285"/>
        </w:trPr>
        <w:tc>
          <w:tcPr>
            <w:tcW w:w="3964" w:type="dxa"/>
            <w:vAlign w:val="center"/>
            <w:hideMark/>
          </w:tcPr>
          <w:p w14:paraId="0485444D" w14:textId="77777777" w:rsidR="000D66C1" w:rsidRPr="00951AB1" w:rsidRDefault="000D66C1" w:rsidP="000A5389">
            <w:pPr>
              <w:spacing w:line="240" w:lineRule="auto"/>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Propiedades, Plan y Equipo</w:t>
            </w:r>
          </w:p>
        </w:tc>
        <w:tc>
          <w:tcPr>
            <w:tcW w:w="1683" w:type="dxa"/>
            <w:noWrap/>
            <w:vAlign w:val="center"/>
            <w:hideMark/>
          </w:tcPr>
          <w:p w14:paraId="0799E876" w14:textId="27A92A8E" w:rsidR="000D66C1" w:rsidRPr="00951AB1" w:rsidRDefault="000D66C1"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3.796.363.171</w:t>
            </w:r>
          </w:p>
        </w:tc>
        <w:tc>
          <w:tcPr>
            <w:tcW w:w="1687" w:type="dxa"/>
            <w:noWrap/>
            <w:vAlign w:val="center"/>
            <w:hideMark/>
          </w:tcPr>
          <w:p w14:paraId="3677A9F8" w14:textId="792BEB6B" w:rsidR="000D66C1" w:rsidRPr="00951AB1" w:rsidRDefault="000D66C1"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3.472.205.891</w:t>
            </w:r>
          </w:p>
        </w:tc>
        <w:tc>
          <w:tcPr>
            <w:tcW w:w="1494" w:type="dxa"/>
            <w:noWrap/>
            <w:vAlign w:val="center"/>
            <w:hideMark/>
          </w:tcPr>
          <w:p w14:paraId="27C0644A" w14:textId="7FDFB1C1" w:rsidR="000D66C1" w:rsidRPr="00951AB1" w:rsidRDefault="000D66C1"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324.157.280</w:t>
            </w:r>
          </w:p>
        </w:tc>
      </w:tr>
      <w:tr w:rsidR="00C70C31" w:rsidRPr="00951AB1" w14:paraId="0C03EE03" w14:textId="77777777" w:rsidTr="000D66C1">
        <w:trPr>
          <w:trHeight w:val="285"/>
        </w:trPr>
        <w:tc>
          <w:tcPr>
            <w:tcW w:w="3964" w:type="dxa"/>
            <w:vAlign w:val="center"/>
            <w:hideMark/>
          </w:tcPr>
          <w:p w14:paraId="59A2BE4E" w14:textId="77777777" w:rsidR="000D66C1" w:rsidRPr="00951AB1" w:rsidRDefault="000D66C1" w:rsidP="000A5389">
            <w:pPr>
              <w:spacing w:line="240" w:lineRule="auto"/>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Red carretera</w:t>
            </w:r>
          </w:p>
        </w:tc>
        <w:tc>
          <w:tcPr>
            <w:tcW w:w="1683" w:type="dxa"/>
            <w:noWrap/>
            <w:vAlign w:val="center"/>
            <w:hideMark/>
          </w:tcPr>
          <w:p w14:paraId="536B93B2" w14:textId="6B117013" w:rsidR="000D66C1" w:rsidRPr="00951AB1" w:rsidRDefault="000D66C1"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1.319.278.291.949</w:t>
            </w:r>
          </w:p>
        </w:tc>
        <w:tc>
          <w:tcPr>
            <w:tcW w:w="1687" w:type="dxa"/>
            <w:noWrap/>
            <w:vAlign w:val="center"/>
            <w:hideMark/>
          </w:tcPr>
          <w:p w14:paraId="610DF9F1" w14:textId="4B147F1B" w:rsidR="000D66C1" w:rsidRPr="00951AB1" w:rsidRDefault="000D66C1"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1.000.808.085.201</w:t>
            </w:r>
          </w:p>
        </w:tc>
        <w:tc>
          <w:tcPr>
            <w:tcW w:w="1494" w:type="dxa"/>
            <w:noWrap/>
            <w:vAlign w:val="center"/>
            <w:hideMark/>
          </w:tcPr>
          <w:p w14:paraId="703A6A10" w14:textId="37355584" w:rsidR="000D66C1" w:rsidRPr="00951AB1" w:rsidRDefault="000D66C1"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318.470.206.748</w:t>
            </w:r>
          </w:p>
        </w:tc>
      </w:tr>
      <w:tr w:rsidR="00C70C31" w:rsidRPr="00951AB1" w14:paraId="38AA7098" w14:textId="77777777" w:rsidTr="000D66C1">
        <w:trPr>
          <w:trHeight w:val="285"/>
        </w:trPr>
        <w:tc>
          <w:tcPr>
            <w:tcW w:w="3964" w:type="dxa"/>
            <w:vAlign w:val="center"/>
            <w:hideMark/>
          </w:tcPr>
          <w:p w14:paraId="0DCEA8DB" w14:textId="77777777" w:rsidR="000D66C1" w:rsidRPr="00951AB1" w:rsidRDefault="000D66C1" w:rsidP="000A5389">
            <w:pPr>
              <w:spacing w:line="240" w:lineRule="auto"/>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Terrenos</w:t>
            </w:r>
          </w:p>
        </w:tc>
        <w:tc>
          <w:tcPr>
            <w:tcW w:w="1683" w:type="dxa"/>
            <w:noWrap/>
            <w:vAlign w:val="center"/>
            <w:hideMark/>
          </w:tcPr>
          <w:p w14:paraId="4C30A323" w14:textId="30DF7051" w:rsidR="000D66C1" w:rsidRPr="00951AB1" w:rsidRDefault="000D66C1"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102.122.229.860</w:t>
            </w:r>
          </w:p>
        </w:tc>
        <w:tc>
          <w:tcPr>
            <w:tcW w:w="1687" w:type="dxa"/>
            <w:noWrap/>
            <w:vAlign w:val="center"/>
            <w:hideMark/>
          </w:tcPr>
          <w:p w14:paraId="00EF5DCB" w14:textId="2B063069" w:rsidR="000D66C1" w:rsidRPr="00951AB1" w:rsidRDefault="000D66C1"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101.346.184.970</w:t>
            </w:r>
          </w:p>
        </w:tc>
        <w:tc>
          <w:tcPr>
            <w:tcW w:w="1494" w:type="dxa"/>
            <w:noWrap/>
            <w:vAlign w:val="center"/>
            <w:hideMark/>
          </w:tcPr>
          <w:p w14:paraId="79EDF3AF" w14:textId="1B7A7034" w:rsidR="000D66C1" w:rsidRPr="00951AB1" w:rsidRDefault="000D66C1"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776.044.890</w:t>
            </w:r>
          </w:p>
        </w:tc>
      </w:tr>
      <w:tr w:rsidR="00C70C31" w:rsidRPr="00951AB1" w14:paraId="052343A4" w14:textId="77777777" w:rsidTr="000D66C1">
        <w:trPr>
          <w:trHeight w:val="570"/>
        </w:trPr>
        <w:tc>
          <w:tcPr>
            <w:tcW w:w="3964" w:type="dxa"/>
            <w:vAlign w:val="center"/>
            <w:hideMark/>
          </w:tcPr>
          <w:p w14:paraId="7DAE4B82" w14:textId="77777777" w:rsidR="000D66C1" w:rsidRPr="00951AB1" w:rsidRDefault="000D66C1" w:rsidP="000A5389">
            <w:pPr>
              <w:spacing w:line="240" w:lineRule="auto"/>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Recursos de la entidad concedente en patrimonios autónomos constituidos por concesionarios privados</w:t>
            </w:r>
          </w:p>
        </w:tc>
        <w:tc>
          <w:tcPr>
            <w:tcW w:w="1683" w:type="dxa"/>
            <w:noWrap/>
            <w:vAlign w:val="center"/>
            <w:hideMark/>
          </w:tcPr>
          <w:p w14:paraId="2293C7B1" w14:textId="3E1C6B7C" w:rsidR="000D66C1" w:rsidRPr="00951AB1" w:rsidRDefault="000D66C1"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11.344.512.235</w:t>
            </w:r>
          </w:p>
        </w:tc>
        <w:tc>
          <w:tcPr>
            <w:tcW w:w="1687" w:type="dxa"/>
            <w:noWrap/>
            <w:vAlign w:val="center"/>
            <w:hideMark/>
          </w:tcPr>
          <w:p w14:paraId="1A60A8BF" w14:textId="22F3FAD4" w:rsidR="000D66C1" w:rsidRPr="00951AB1" w:rsidRDefault="000D66C1"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10.021.252.718</w:t>
            </w:r>
          </w:p>
        </w:tc>
        <w:tc>
          <w:tcPr>
            <w:tcW w:w="1494" w:type="dxa"/>
            <w:noWrap/>
            <w:vAlign w:val="center"/>
            <w:hideMark/>
          </w:tcPr>
          <w:p w14:paraId="093659E4" w14:textId="4C1C9ECD" w:rsidR="000D66C1" w:rsidRPr="00951AB1" w:rsidRDefault="000D66C1"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1.323.259.517</w:t>
            </w:r>
          </w:p>
        </w:tc>
      </w:tr>
      <w:tr w:rsidR="00C70C31" w:rsidRPr="00951AB1" w14:paraId="4CB8B5D2" w14:textId="77777777" w:rsidTr="000D66C1">
        <w:trPr>
          <w:trHeight w:val="285"/>
        </w:trPr>
        <w:tc>
          <w:tcPr>
            <w:tcW w:w="3964" w:type="dxa"/>
            <w:vAlign w:val="center"/>
            <w:hideMark/>
          </w:tcPr>
          <w:p w14:paraId="34E6ACD1" w14:textId="77777777" w:rsidR="000D66C1" w:rsidRPr="00951AB1" w:rsidRDefault="000D66C1" w:rsidP="000A5389">
            <w:pPr>
              <w:spacing w:line="240" w:lineRule="auto"/>
              <w:rPr>
                <w:rFonts w:eastAsia="Times New Roman" w:cs="Times New Roman"/>
                <w:b/>
                <w:bCs/>
                <w:color w:val="000000"/>
                <w:kern w:val="0"/>
                <w:sz w:val="18"/>
                <w:szCs w:val="18"/>
                <w:lang w:eastAsia="es-CO"/>
                <w14:ligatures w14:val="none"/>
              </w:rPr>
            </w:pPr>
            <w:r w:rsidRPr="00951AB1">
              <w:rPr>
                <w:rFonts w:eastAsia="Times New Roman" w:cs="Times New Roman"/>
                <w:b/>
                <w:bCs/>
                <w:color w:val="000000"/>
                <w:kern w:val="0"/>
                <w:sz w:val="18"/>
                <w:szCs w:val="18"/>
                <w:lang w:eastAsia="es-CO"/>
                <w14:ligatures w14:val="none"/>
              </w:rPr>
              <w:t>AUTOPISTAS   URABA   SAS</w:t>
            </w:r>
          </w:p>
        </w:tc>
        <w:tc>
          <w:tcPr>
            <w:tcW w:w="1683" w:type="dxa"/>
            <w:noWrap/>
            <w:vAlign w:val="center"/>
            <w:hideMark/>
          </w:tcPr>
          <w:p w14:paraId="10809749" w14:textId="06533ACE" w:rsidR="000D66C1" w:rsidRPr="00951AB1" w:rsidRDefault="000D66C1" w:rsidP="000A5389">
            <w:pPr>
              <w:spacing w:line="240" w:lineRule="auto"/>
              <w:jc w:val="right"/>
              <w:rPr>
                <w:rFonts w:eastAsia="Times New Roman" w:cs="Times New Roman"/>
                <w:b/>
                <w:bCs/>
                <w:color w:val="000000"/>
                <w:kern w:val="0"/>
                <w:sz w:val="18"/>
                <w:szCs w:val="18"/>
                <w:lang w:eastAsia="es-CO"/>
                <w14:ligatures w14:val="none"/>
              </w:rPr>
            </w:pPr>
            <w:r w:rsidRPr="00951AB1">
              <w:rPr>
                <w:rFonts w:eastAsia="Times New Roman" w:cs="Times New Roman"/>
                <w:b/>
                <w:bCs/>
                <w:color w:val="000000"/>
                <w:kern w:val="0"/>
                <w:sz w:val="18"/>
                <w:szCs w:val="18"/>
                <w:lang w:eastAsia="es-CO"/>
                <w14:ligatures w14:val="none"/>
              </w:rPr>
              <w:t>2.703.509.434.763</w:t>
            </w:r>
          </w:p>
        </w:tc>
        <w:tc>
          <w:tcPr>
            <w:tcW w:w="1687" w:type="dxa"/>
            <w:noWrap/>
            <w:vAlign w:val="center"/>
            <w:hideMark/>
          </w:tcPr>
          <w:p w14:paraId="30387854" w14:textId="57ABBE46" w:rsidR="000D66C1" w:rsidRPr="00951AB1" w:rsidRDefault="000D66C1" w:rsidP="000A5389">
            <w:pPr>
              <w:spacing w:line="240" w:lineRule="auto"/>
              <w:jc w:val="right"/>
              <w:rPr>
                <w:rFonts w:eastAsia="Times New Roman" w:cs="Times New Roman"/>
                <w:b/>
                <w:bCs/>
                <w:color w:val="000000"/>
                <w:kern w:val="0"/>
                <w:sz w:val="18"/>
                <w:szCs w:val="18"/>
                <w:lang w:eastAsia="es-CO"/>
                <w14:ligatures w14:val="none"/>
              </w:rPr>
            </w:pPr>
            <w:r w:rsidRPr="00951AB1">
              <w:rPr>
                <w:rFonts w:eastAsia="Times New Roman" w:cs="Times New Roman"/>
                <w:b/>
                <w:bCs/>
                <w:color w:val="000000"/>
                <w:kern w:val="0"/>
                <w:sz w:val="18"/>
                <w:szCs w:val="18"/>
                <w:lang w:eastAsia="es-CO"/>
                <w14:ligatures w14:val="none"/>
              </w:rPr>
              <w:t>3.232.862.664.870</w:t>
            </w:r>
          </w:p>
        </w:tc>
        <w:tc>
          <w:tcPr>
            <w:tcW w:w="1494" w:type="dxa"/>
            <w:noWrap/>
            <w:vAlign w:val="center"/>
            <w:hideMark/>
          </w:tcPr>
          <w:p w14:paraId="016CF9D3" w14:textId="61A7ED92" w:rsidR="000D66C1" w:rsidRPr="00951AB1" w:rsidRDefault="000D66C1" w:rsidP="000A5389">
            <w:pPr>
              <w:spacing w:line="240" w:lineRule="auto"/>
              <w:jc w:val="right"/>
              <w:rPr>
                <w:rFonts w:eastAsia="Times New Roman" w:cs="Times New Roman"/>
                <w:b/>
                <w:bCs/>
                <w:color w:val="000000"/>
                <w:kern w:val="0"/>
                <w:sz w:val="18"/>
                <w:szCs w:val="18"/>
                <w:lang w:eastAsia="es-CO"/>
                <w14:ligatures w14:val="none"/>
              </w:rPr>
            </w:pPr>
            <w:r w:rsidRPr="00951AB1">
              <w:rPr>
                <w:rFonts w:eastAsia="Times New Roman" w:cs="Times New Roman"/>
                <w:b/>
                <w:bCs/>
                <w:color w:val="000000"/>
                <w:kern w:val="0"/>
                <w:sz w:val="18"/>
                <w:szCs w:val="18"/>
                <w:lang w:eastAsia="es-CO"/>
                <w14:ligatures w14:val="none"/>
              </w:rPr>
              <w:t>-529.353.230.107</w:t>
            </w:r>
          </w:p>
        </w:tc>
      </w:tr>
      <w:tr w:rsidR="00C70C31" w:rsidRPr="00951AB1" w14:paraId="746C1A30" w14:textId="77777777" w:rsidTr="000D66C1">
        <w:trPr>
          <w:trHeight w:val="285"/>
        </w:trPr>
        <w:tc>
          <w:tcPr>
            <w:tcW w:w="3964" w:type="dxa"/>
            <w:vAlign w:val="center"/>
            <w:hideMark/>
          </w:tcPr>
          <w:p w14:paraId="65240C89" w14:textId="77777777" w:rsidR="000D66C1" w:rsidRPr="00951AB1" w:rsidRDefault="000D66C1" w:rsidP="000A5389">
            <w:pPr>
              <w:spacing w:line="240" w:lineRule="auto"/>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Activos intangibles en concesión</w:t>
            </w:r>
          </w:p>
        </w:tc>
        <w:tc>
          <w:tcPr>
            <w:tcW w:w="1683" w:type="dxa"/>
            <w:noWrap/>
            <w:vAlign w:val="center"/>
            <w:hideMark/>
          </w:tcPr>
          <w:p w14:paraId="3301C182" w14:textId="38D3840F" w:rsidR="000D66C1" w:rsidRPr="00951AB1" w:rsidRDefault="000D66C1"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480.724.300</w:t>
            </w:r>
          </w:p>
        </w:tc>
        <w:tc>
          <w:tcPr>
            <w:tcW w:w="1687" w:type="dxa"/>
            <w:noWrap/>
            <w:vAlign w:val="center"/>
            <w:hideMark/>
          </w:tcPr>
          <w:p w14:paraId="6569549E" w14:textId="2389AC4C" w:rsidR="000D66C1" w:rsidRPr="00951AB1" w:rsidRDefault="000D66C1"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480.724.300</w:t>
            </w:r>
          </w:p>
        </w:tc>
        <w:tc>
          <w:tcPr>
            <w:tcW w:w="1494" w:type="dxa"/>
            <w:noWrap/>
            <w:vAlign w:val="center"/>
            <w:hideMark/>
          </w:tcPr>
          <w:p w14:paraId="14E01AAD" w14:textId="0F6C4A71" w:rsidR="000D66C1" w:rsidRPr="00951AB1" w:rsidRDefault="000D66C1"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w:t>
            </w:r>
          </w:p>
        </w:tc>
      </w:tr>
      <w:tr w:rsidR="00C70C31" w:rsidRPr="00951AB1" w14:paraId="2DCC0B1E" w14:textId="77777777" w:rsidTr="000D66C1">
        <w:trPr>
          <w:trHeight w:val="285"/>
        </w:trPr>
        <w:tc>
          <w:tcPr>
            <w:tcW w:w="3964" w:type="dxa"/>
            <w:vAlign w:val="center"/>
            <w:hideMark/>
          </w:tcPr>
          <w:p w14:paraId="72359E3E" w14:textId="77777777" w:rsidR="000D66C1" w:rsidRPr="00951AB1" w:rsidRDefault="000D66C1" w:rsidP="000A5389">
            <w:pPr>
              <w:spacing w:line="240" w:lineRule="auto"/>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Propiedades, Plan y Equipo</w:t>
            </w:r>
          </w:p>
        </w:tc>
        <w:tc>
          <w:tcPr>
            <w:tcW w:w="1683" w:type="dxa"/>
            <w:noWrap/>
            <w:vAlign w:val="center"/>
            <w:hideMark/>
          </w:tcPr>
          <w:p w14:paraId="0E04A5A4" w14:textId="076E2287" w:rsidR="000D66C1" w:rsidRPr="00951AB1" w:rsidRDefault="000D66C1"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7.206.816.798</w:t>
            </w:r>
          </w:p>
        </w:tc>
        <w:tc>
          <w:tcPr>
            <w:tcW w:w="1687" w:type="dxa"/>
            <w:noWrap/>
            <w:vAlign w:val="center"/>
            <w:hideMark/>
          </w:tcPr>
          <w:p w14:paraId="63533475" w14:textId="24F281DC" w:rsidR="000D66C1" w:rsidRPr="00951AB1" w:rsidRDefault="000D66C1"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6.917.789.798</w:t>
            </w:r>
          </w:p>
        </w:tc>
        <w:tc>
          <w:tcPr>
            <w:tcW w:w="1494" w:type="dxa"/>
            <w:noWrap/>
            <w:vAlign w:val="center"/>
            <w:hideMark/>
          </w:tcPr>
          <w:p w14:paraId="0A1048F8" w14:textId="3D1587EB" w:rsidR="000D66C1" w:rsidRPr="00951AB1" w:rsidRDefault="000D66C1"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289.027.000</w:t>
            </w:r>
          </w:p>
        </w:tc>
      </w:tr>
      <w:tr w:rsidR="00C70C31" w:rsidRPr="00951AB1" w14:paraId="601FAC3F" w14:textId="77777777" w:rsidTr="000D66C1">
        <w:trPr>
          <w:trHeight w:val="285"/>
        </w:trPr>
        <w:tc>
          <w:tcPr>
            <w:tcW w:w="3964" w:type="dxa"/>
            <w:vAlign w:val="center"/>
            <w:hideMark/>
          </w:tcPr>
          <w:p w14:paraId="07D33A25" w14:textId="77777777" w:rsidR="000D66C1" w:rsidRPr="00951AB1" w:rsidRDefault="000D66C1" w:rsidP="000A5389">
            <w:pPr>
              <w:spacing w:line="240" w:lineRule="auto"/>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Red carretera</w:t>
            </w:r>
          </w:p>
        </w:tc>
        <w:tc>
          <w:tcPr>
            <w:tcW w:w="1683" w:type="dxa"/>
            <w:noWrap/>
            <w:vAlign w:val="center"/>
            <w:hideMark/>
          </w:tcPr>
          <w:p w14:paraId="4D6A526A" w14:textId="387E7C66" w:rsidR="000D66C1" w:rsidRPr="00951AB1" w:rsidRDefault="000D66C1"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2.302.885.730.350</w:t>
            </w:r>
          </w:p>
        </w:tc>
        <w:tc>
          <w:tcPr>
            <w:tcW w:w="1687" w:type="dxa"/>
            <w:noWrap/>
            <w:vAlign w:val="center"/>
            <w:hideMark/>
          </w:tcPr>
          <w:p w14:paraId="02E89676" w14:textId="0E51F920" w:rsidR="000D66C1" w:rsidRPr="00951AB1" w:rsidRDefault="000D66C1"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2.069.583.174.862</w:t>
            </w:r>
          </w:p>
        </w:tc>
        <w:tc>
          <w:tcPr>
            <w:tcW w:w="1494" w:type="dxa"/>
            <w:noWrap/>
            <w:vAlign w:val="center"/>
            <w:hideMark/>
          </w:tcPr>
          <w:p w14:paraId="2FE0DA33" w14:textId="1A3E39EE" w:rsidR="000D66C1" w:rsidRPr="00951AB1" w:rsidRDefault="000D66C1"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233.302.555.488</w:t>
            </w:r>
          </w:p>
        </w:tc>
      </w:tr>
      <w:tr w:rsidR="00C70C31" w:rsidRPr="00951AB1" w14:paraId="43052A75" w14:textId="77777777" w:rsidTr="000D66C1">
        <w:trPr>
          <w:trHeight w:val="285"/>
        </w:trPr>
        <w:tc>
          <w:tcPr>
            <w:tcW w:w="3964" w:type="dxa"/>
            <w:vAlign w:val="center"/>
            <w:hideMark/>
          </w:tcPr>
          <w:p w14:paraId="3A1FD5F0" w14:textId="77777777" w:rsidR="000D66C1" w:rsidRPr="00951AB1" w:rsidRDefault="000D66C1" w:rsidP="000A5389">
            <w:pPr>
              <w:spacing w:line="240" w:lineRule="auto"/>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Terrenos</w:t>
            </w:r>
          </w:p>
        </w:tc>
        <w:tc>
          <w:tcPr>
            <w:tcW w:w="1683" w:type="dxa"/>
            <w:noWrap/>
            <w:vAlign w:val="center"/>
            <w:hideMark/>
          </w:tcPr>
          <w:p w14:paraId="725F24FC" w14:textId="2EB39389" w:rsidR="000D66C1" w:rsidRPr="00951AB1" w:rsidRDefault="000D66C1"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4.850.441.817</w:t>
            </w:r>
          </w:p>
        </w:tc>
        <w:tc>
          <w:tcPr>
            <w:tcW w:w="1687" w:type="dxa"/>
            <w:noWrap/>
            <w:vAlign w:val="center"/>
            <w:hideMark/>
          </w:tcPr>
          <w:p w14:paraId="471ADEB8" w14:textId="519681CC" w:rsidR="000D66C1" w:rsidRPr="00951AB1" w:rsidRDefault="000D66C1"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4.850.441.817</w:t>
            </w:r>
          </w:p>
        </w:tc>
        <w:tc>
          <w:tcPr>
            <w:tcW w:w="1494" w:type="dxa"/>
            <w:noWrap/>
            <w:vAlign w:val="center"/>
            <w:hideMark/>
          </w:tcPr>
          <w:p w14:paraId="6CDF0664" w14:textId="734A6E6A" w:rsidR="000D66C1" w:rsidRPr="00951AB1" w:rsidRDefault="000D66C1"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w:t>
            </w:r>
          </w:p>
        </w:tc>
      </w:tr>
      <w:tr w:rsidR="00C70C31" w:rsidRPr="00951AB1" w14:paraId="69ABA0BD" w14:textId="77777777" w:rsidTr="000D66C1">
        <w:trPr>
          <w:trHeight w:val="570"/>
        </w:trPr>
        <w:tc>
          <w:tcPr>
            <w:tcW w:w="3964" w:type="dxa"/>
            <w:vAlign w:val="center"/>
            <w:hideMark/>
          </w:tcPr>
          <w:p w14:paraId="383A955C" w14:textId="77777777" w:rsidR="000D66C1" w:rsidRPr="00951AB1" w:rsidRDefault="000D66C1" w:rsidP="000A5389">
            <w:pPr>
              <w:spacing w:line="240" w:lineRule="auto"/>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Recursos de la entidad concedente en patrimonios autónomos constituidos por concesionarios privados</w:t>
            </w:r>
          </w:p>
        </w:tc>
        <w:tc>
          <w:tcPr>
            <w:tcW w:w="1683" w:type="dxa"/>
            <w:noWrap/>
            <w:vAlign w:val="center"/>
            <w:hideMark/>
          </w:tcPr>
          <w:p w14:paraId="3A80AF82" w14:textId="10F0275A" w:rsidR="000D66C1" w:rsidRPr="00951AB1" w:rsidRDefault="000D66C1"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388.085.721.498</w:t>
            </w:r>
          </w:p>
        </w:tc>
        <w:tc>
          <w:tcPr>
            <w:tcW w:w="1687" w:type="dxa"/>
            <w:noWrap/>
            <w:vAlign w:val="center"/>
            <w:hideMark/>
          </w:tcPr>
          <w:p w14:paraId="75D9D3D5" w14:textId="2BC61C8C" w:rsidR="000D66C1" w:rsidRPr="00951AB1" w:rsidRDefault="000D66C1"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1.151.030.534.092</w:t>
            </w:r>
          </w:p>
        </w:tc>
        <w:tc>
          <w:tcPr>
            <w:tcW w:w="1494" w:type="dxa"/>
            <w:noWrap/>
            <w:vAlign w:val="center"/>
            <w:hideMark/>
          </w:tcPr>
          <w:p w14:paraId="40A088C4" w14:textId="48B85399" w:rsidR="000D66C1" w:rsidRPr="00951AB1" w:rsidRDefault="000D66C1"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-762.944.812.595</w:t>
            </w:r>
          </w:p>
        </w:tc>
      </w:tr>
      <w:tr w:rsidR="00C70C31" w:rsidRPr="00951AB1" w14:paraId="48AB7E74" w14:textId="77777777" w:rsidTr="000D66C1">
        <w:trPr>
          <w:trHeight w:val="285"/>
        </w:trPr>
        <w:tc>
          <w:tcPr>
            <w:tcW w:w="3964" w:type="dxa"/>
            <w:vAlign w:val="center"/>
            <w:hideMark/>
          </w:tcPr>
          <w:p w14:paraId="7842752F" w14:textId="77777777" w:rsidR="000D66C1" w:rsidRPr="00951AB1" w:rsidRDefault="000D66C1" w:rsidP="000A5389">
            <w:pPr>
              <w:spacing w:line="240" w:lineRule="auto"/>
              <w:rPr>
                <w:rFonts w:eastAsia="Times New Roman" w:cs="Times New Roman"/>
                <w:b/>
                <w:bCs/>
                <w:color w:val="000000"/>
                <w:kern w:val="0"/>
                <w:sz w:val="18"/>
                <w:szCs w:val="18"/>
                <w:lang w:eastAsia="es-CO"/>
                <w14:ligatures w14:val="none"/>
              </w:rPr>
            </w:pPr>
            <w:r w:rsidRPr="00951AB1">
              <w:rPr>
                <w:rFonts w:eastAsia="Times New Roman" w:cs="Times New Roman"/>
                <w:b/>
                <w:bCs/>
                <w:color w:val="000000"/>
                <w:kern w:val="0"/>
                <w:sz w:val="18"/>
                <w:szCs w:val="18"/>
                <w:lang w:eastAsia="es-CO"/>
                <w14:ligatures w14:val="none"/>
              </w:rPr>
              <w:t>AUTOVIA NEIVA GIRARDOT S.A.S</w:t>
            </w:r>
          </w:p>
        </w:tc>
        <w:tc>
          <w:tcPr>
            <w:tcW w:w="1683" w:type="dxa"/>
            <w:noWrap/>
            <w:vAlign w:val="center"/>
            <w:hideMark/>
          </w:tcPr>
          <w:p w14:paraId="289675F3" w14:textId="561A14ED" w:rsidR="000D66C1" w:rsidRPr="00951AB1" w:rsidRDefault="000D66C1" w:rsidP="000A5389">
            <w:pPr>
              <w:spacing w:line="240" w:lineRule="auto"/>
              <w:jc w:val="right"/>
              <w:rPr>
                <w:rFonts w:eastAsia="Times New Roman" w:cs="Times New Roman"/>
                <w:b/>
                <w:bCs/>
                <w:color w:val="000000"/>
                <w:kern w:val="0"/>
                <w:sz w:val="18"/>
                <w:szCs w:val="18"/>
                <w:lang w:eastAsia="es-CO"/>
                <w14:ligatures w14:val="none"/>
              </w:rPr>
            </w:pPr>
            <w:r w:rsidRPr="00951AB1">
              <w:rPr>
                <w:rFonts w:eastAsia="Times New Roman" w:cs="Times New Roman"/>
                <w:b/>
                <w:bCs/>
                <w:color w:val="000000"/>
                <w:kern w:val="0"/>
                <w:sz w:val="18"/>
                <w:szCs w:val="18"/>
                <w:lang w:eastAsia="es-CO"/>
                <w14:ligatures w14:val="none"/>
              </w:rPr>
              <w:t>1.199.764.490.108</w:t>
            </w:r>
          </w:p>
        </w:tc>
        <w:tc>
          <w:tcPr>
            <w:tcW w:w="1687" w:type="dxa"/>
            <w:noWrap/>
            <w:vAlign w:val="center"/>
            <w:hideMark/>
          </w:tcPr>
          <w:p w14:paraId="2F37B815" w14:textId="24E518AE" w:rsidR="000D66C1" w:rsidRPr="00951AB1" w:rsidRDefault="000D66C1" w:rsidP="000A5389">
            <w:pPr>
              <w:spacing w:line="240" w:lineRule="auto"/>
              <w:jc w:val="right"/>
              <w:rPr>
                <w:rFonts w:eastAsia="Times New Roman" w:cs="Times New Roman"/>
                <w:b/>
                <w:bCs/>
                <w:color w:val="000000"/>
                <w:kern w:val="0"/>
                <w:sz w:val="18"/>
                <w:szCs w:val="18"/>
                <w:lang w:eastAsia="es-CO"/>
                <w14:ligatures w14:val="none"/>
              </w:rPr>
            </w:pPr>
            <w:r w:rsidRPr="00951AB1">
              <w:rPr>
                <w:rFonts w:eastAsia="Times New Roman" w:cs="Times New Roman"/>
                <w:b/>
                <w:bCs/>
                <w:color w:val="000000"/>
                <w:kern w:val="0"/>
                <w:sz w:val="18"/>
                <w:szCs w:val="18"/>
                <w:lang w:eastAsia="es-CO"/>
                <w14:ligatures w14:val="none"/>
              </w:rPr>
              <w:t>1.182.865.021.942</w:t>
            </w:r>
          </w:p>
        </w:tc>
        <w:tc>
          <w:tcPr>
            <w:tcW w:w="1494" w:type="dxa"/>
            <w:noWrap/>
            <w:vAlign w:val="center"/>
            <w:hideMark/>
          </w:tcPr>
          <w:p w14:paraId="079DB814" w14:textId="7FD73ACA" w:rsidR="000D66C1" w:rsidRPr="00951AB1" w:rsidRDefault="000D66C1" w:rsidP="000A5389">
            <w:pPr>
              <w:spacing w:line="240" w:lineRule="auto"/>
              <w:jc w:val="right"/>
              <w:rPr>
                <w:rFonts w:eastAsia="Times New Roman" w:cs="Times New Roman"/>
                <w:b/>
                <w:bCs/>
                <w:color w:val="000000"/>
                <w:kern w:val="0"/>
                <w:sz w:val="18"/>
                <w:szCs w:val="18"/>
                <w:lang w:eastAsia="es-CO"/>
                <w14:ligatures w14:val="none"/>
              </w:rPr>
            </w:pPr>
            <w:r w:rsidRPr="00951AB1">
              <w:rPr>
                <w:rFonts w:eastAsia="Times New Roman" w:cs="Times New Roman"/>
                <w:b/>
                <w:bCs/>
                <w:color w:val="000000"/>
                <w:kern w:val="0"/>
                <w:sz w:val="18"/>
                <w:szCs w:val="18"/>
                <w:lang w:eastAsia="es-CO"/>
                <w14:ligatures w14:val="none"/>
              </w:rPr>
              <w:t>16.899.468.166</w:t>
            </w:r>
          </w:p>
        </w:tc>
      </w:tr>
      <w:tr w:rsidR="00C70C31" w:rsidRPr="00951AB1" w14:paraId="35F67C23" w14:textId="77777777" w:rsidTr="000D66C1">
        <w:trPr>
          <w:trHeight w:val="285"/>
        </w:trPr>
        <w:tc>
          <w:tcPr>
            <w:tcW w:w="3964" w:type="dxa"/>
            <w:vAlign w:val="center"/>
            <w:hideMark/>
          </w:tcPr>
          <w:p w14:paraId="761F01E7" w14:textId="77777777" w:rsidR="000D66C1" w:rsidRPr="00951AB1" w:rsidRDefault="000D66C1" w:rsidP="000A5389">
            <w:pPr>
              <w:spacing w:line="240" w:lineRule="auto"/>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Activos intangibles en concesión</w:t>
            </w:r>
          </w:p>
        </w:tc>
        <w:tc>
          <w:tcPr>
            <w:tcW w:w="1683" w:type="dxa"/>
            <w:noWrap/>
            <w:vAlign w:val="center"/>
            <w:hideMark/>
          </w:tcPr>
          <w:p w14:paraId="1E98EBFD" w14:textId="4433E460" w:rsidR="000D66C1" w:rsidRPr="00951AB1" w:rsidRDefault="000D66C1"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177.978.738</w:t>
            </w:r>
          </w:p>
        </w:tc>
        <w:tc>
          <w:tcPr>
            <w:tcW w:w="1687" w:type="dxa"/>
            <w:noWrap/>
            <w:vAlign w:val="center"/>
            <w:hideMark/>
          </w:tcPr>
          <w:p w14:paraId="6BA20021" w14:textId="64ABD4AE" w:rsidR="000D66C1" w:rsidRPr="00951AB1" w:rsidRDefault="000D66C1"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157.760.517</w:t>
            </w:r>
          </w:p>
        </w:tc>
        <w:tc>
          <w:tcPr>
            <w:tcW w:w="1494" w:type="dxa"/>
            <w:noWrap/>
            <w:vAlign w:val="center"/>
            <w:hideMark/>
          </w:tcPr>
          <w:p w14:paraId="40EBED2C" w14:textId="0EF696C1" w:rsidR="000D66C1" w:rsidRPr="00951AB1" w:rsidRDefault="000D66C1"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20.218.221</w:t>
            </w:r>
          </w:p>
        </w:tc>
      </w:tr>
      <w:tr w:rsidR="00C70C31" w:rsidRPr="00951AB1" w14:paraId="60AC34AE" w14:textId="77777777" w:rsidTr="000D66C1">
        <w:trPr>
          <w:trHeight w:val="285"/>
        </w:trPr>
        <w:tc>
          <w:tcPr>
            <w:tcW w:w="3964" w:type="dxa"/>
            <w:vAlign w:val="center"/>
            <w:hideMark/>
          </w:tcPr>
          <w:p w14:paraId="4C052BAC" w14:textId="77777777" w:rsidR="000D66C1" w:rsidRPr="00951AB1" w:rsidRDefault="000D66C1" w:rsidP="000A5389">
            <w:pPr>
              <w:spacing w:line="240" w:lineRule="auto"/>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Propiedades, Plan y Equipo</w:t>
            </w:r>
          </w:p>
        </w:tc>
        <w:tc>
          <w:tcPr>
            <w:tcW w:w="1683" w:type="dxa"/>
            <w:noWrap/>
            <w:vAlign w:val="center"/>
            <w:hideMark/>
          </w:tcPr>
          <w:p w14:paraId="7D6940F8" w14:textId="63DE67F3" w:rsidR="000D66C1" w:rsidRPr="00951AB1" w:rsidRDefault="000D66C1"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11.324.652.020</w:t>
            </w:r>
          </w:p>
        </w:tc>
        <w:tc>
          <w:tcPr>
            <w:tcW w:w="1687" w:type="dxa"/>
            <w:noWrap/>
            <w:vAlign w:val="center"/>
            <w:hideMark/>
          </w:tcPr>
          <w:p w14:paraId="49EE61FB" w14:textId="7135268E" w:rsidR="000D66C1" w:rsidRPr="00951AB1" w:rsidRDefault="000D66C1"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9.507.039.307</w:t>
            </w:r>
          </w:p>
        </w:tc>
        <w:tc>
          <w:tcPr>
            <w:tcW w:w="1494" w:type="dxa"/>
            <w:noWrap/>
            <w:vAlign w:val="center"/>
            <w:hideMark/>
          </w:tcPr>
          <w:p w14:paraId="5931A5A3" w14:textId="60783934" w:rsidR="000D66C1" w:rsidRPr="00951AB1" w:rsidRDefault="000D66C1"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1.817.612.713</w:t>
            </w:r>
          </w:p>
        </w:tc>
      </w:tr>
      <w:tr w:rsidR="00C70C31" w:rsidRPr="00951AB1" w14:paraId="43805F2D" w14:textId="77777777" w:rsidTr="000D66C1">
        <w:trPr>
          <w:trHeight w:val="285"/>
        </w:trPr>
        <w:tc>
          <w:tcPr>
            <w:tcW w:w="3964" w:type="dxa"/>
            <w:vAlign w:val="center"/>
            <w:hideMark/>
          </w:tcPr>
          <w:p w14:paraId="496DE894" w14:textId="77777777" w:rsidR="000D66C1" w:rsidRPr="00951AB1" w:rsidRDefault="000D66C1" w:rsidP="000A5389">
            <w:pPr>
              <w:spacing w:line="240" w:lineRule="auto"/>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Red carretera</w:t>
            </w:r>
          </w:p>
        </w:tc>
        <w:tc>
          <w:tcPr>
            <w:tcW w:w="1683" w:type="dxa"/>
            <w:noWrap/>
            <w:vAlign w:val="center"/>
            <w:hideMark/>
          </w:tcPr>
          <w:p w14:paraId="188048CA" w14:textId="0A6DA038" w:rsidR="000D66C1" w:rsidRPr="00951AB1" w:rsidRDefault="000D66C1"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1.140.389.836.222</w:t>
            </w:r>
          </w:p>
        </w:tc>
        <w:tc>
          <w:tcPr>
            <w:tcW w:w="1687" w:type="dxa"/>
            <w:noWrap/>
            <w:vAlign w:val="center"/>
            <w:hideMark/>
          </w:tcPr>
          <w:p w14:paraId="0C752AC1" w14:textId="099AA2E1" w:rsidR="000D66C1" w:rsidRPr="00951AB1" w:rsidRDefault="000D66C1"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1.125.653.671.795</w:t>
            </w:r>
          </w:p>
        </w:tc>
        <w:tc>
          <w:tcPr>
            <w:tcW w:w="1494" w:type="dxa"/>
            <w:noWrap/>
            <w:vAlign w:val="center"/>
            <w:hideMark/>
          </w:tcPr>
          <w:p w14:paraId="05F5D887" w14:textId="1C26EA85" w:rsidR="000D66C1" w:rsidRPr="00951AB1" w:rsidRDefault="000D66C1"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14.736.164.427</w:t>
            </w:r>
          </w:p>
        </w:tc>
      </w:tr>
      <w:tr w:rsidR="00C70C31" w:rsidRPr="00951AB1" w14:paraId="62C4F8EA" w14:textId="77777777" w:rsidTr="000D66C1">
        <w:trPr>
          <w:trHeight w:val="285"/>
        </w:trPr>
        <w:tc>
          <w:tcPr>
            <w:tcW w:w="3964" w:type="dxa"/>
            <w:vAlign w:val="center"/>
            <w:hideMark/>
          </w:tcPr>
          <w:p w14:paraId="2ED01AAA" w14:textId="77777777" w:rsidR="000D66C1" w:rsidRPr="00951AB1" w:rsidRDefault="000D66C1" w:rsidP="000A5389">
            <w:pPr>
              <w:spacing w:line="240" w:lineRule="auto"/>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Terrenos</w:t>
            </w:r>
          </w:p>
        </w:tc>
        <w:tc>
          <w:tcPr>
            <w:tcW w:w="1683" w:type="dxa"/>
            <w:noWrap/>
            <w:vAlign w:val="center"/>
            <w:hideMark/>
          </w:tcPr>
          <w:p w14:paraId="009BB305" w14:textId="38E67E06" w:rsidR="000D66C1" w:rsidRPr="00951AB1" w:rsidRDefault="000D66C1"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47.872.023.128</w:t>
            </w:r>
          </w:p>
        </w:tc>
        <w:tc>
          <w:tcPr>
            <w:tcW w:w="1687" w:type="dxa"/>
            <w:noWrap/>
            <w:vAlign w:val="center"/>
            <w:hideMark/>
          </w:tcPr>
          <w:p w14:paraId="702F7053" w14:textId="42B11DC1" w:rsidR="000D66C1" w:rsidRPr="00951AB1" w:rsidRDefault="000D66C1"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47.704.310.840</w:t>
            </w:r>
          </w:p>
        </w:tc>
        <w:tc>
          <w:tcPr>
            <w:tcW w:w="1494" w:type="dxa"/>
            <w:noWrap/>
            <w:vAlign w:val="center"/>
            <w:hideMark/>
          </w:tcPr>
          <w:p w14:paraId="66F5121E" w14:textId="282F15EC" w:rsidR="000D66C1" w:rsidRPr="00951AB1" w:rsidRDefault="000D66C1"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167.712.288</w:t>
            </w:r>
          </w:p>
        </w:tc>
      </w:tr>
      <w:tr w:rsidR="00C70C31" w:rsidRPr="00951AB1" w14:paraId="33D80649" w14:textId="77777777" w:rsidTr="000D66C1">
        <w:trPr>
          <w:trHeight w:val="285"/>
        </w:trPr>
        <w:tc>
          <w:tcPr>
            <w:tcW w:w="3964" w:type="dxa"/>
            <w:vAlign w:val="center"/>
            <w:hideMark/>
          </w:tcPr>
          <w:p w14:paraId="398E180D" w14:textId="77777777" w:rsidR="000D66C1" w:rsidRPr="00951AB1" w:rsidRDefault="000D66C1" w:rsidP="000A5389">
            <w:pPr>
              <w:spacing w:line="240" w:lineRule="auto"/>
              <w:rPr>
                <w:rFonts w:eastAsia="Times New Roman" w:cs="Times New Roman"/>
                <w:b/>
                <w:bCs/>
                <w:color w:val="000000"/>
                <w:kern w:val="0"/>
                <w:sz w:val="18"/>
                <w:szCs w:val="18"/>
                <w:lang w:eastAsia="es-CO"/>
                <w14:ligatures w14:val="none"/>
              </w:rPr>
            </w:pPr>
            <w:r w:rsidRPr="00951AB1">
              <w:rPr>
                <w:rFonts w:eastAsia="Times New Roman" w:cs="Times New Roman"/>
                <w:b/>
                <w:bCs/>
                <w:color w:val="000000"/>
                <w:kern w:val="0"/>
                <w:sz w:val="18"/>
                <w:szCs w:val="18"/>
                <w:lang w:eastAsia="es-CO"/>
                <w14:ligatures w14:val="none"/>
              </w:rPr>
              <w:t>CONCESION VIAS DEL NUS S.A.S</w:t>
            </w:r>
          </w:p>
        </w:tc>
        <w:tc>
          <w:tcPr>
            <w:tcW w:w="1683" w:type="dxa"/>
            <w:noWrap/>
            <w:vAlign w:val="center"/>
            <w:hideMark/>
          </w:tcPr>
          <w:p w14:paraId="1B3D8BE8" w14:textId="3D9EFD0E" w:rsidR="000D66C1" w:rsidRPr="00951AB1" w:rsidRDefault="000D66C1" w:rsidP="000A5389">
            <w:pPr>
              <w:spacing w:line="240" w:lineRule="auto"/>
              <w:jc w:val="right"/>
              <w:rPr>
                <w:rFonts w:eastAsia="Times New Roman" w:cs="Times New Roman"/>
                <w:b/>
                <w:bCs/>
                <w:color w:val="000000"/>
                <w:kern w:val="0"/>
                <w:sz w:val="18"/>
                <w:szCs w:val="18"/>
                <w:lang w:eastAsia="es-CO"/>
                <w14:ligatures w14:val="none"/>
              </w:rPr>
            </w:pPr>
            <w:r w:rsidRPr="00951AB1">
              <w:rPr>
                <w:rFonts w:eastAsia="Times New Roman" w:cs="Times New Roman"/>
                <w:b/>
                <w:bCs/>
                <w:color w:val="000000"/>
                <w:kern w:val="0"/>
                <w:sz w:val="18"/>
                <w:szCs w:val="18"/>
                <w:lang w:eastAsia="es-CO"/>
                <w14:ligatures w14:val="none"/>
              </w:rPr>
              <w:t>1.301.755.377.328</w:t>
            </w:r>
          </w:p>
        </w:tc>
        <w:tc>
          <w:tcPr>
            <w:tcW w:w="1687" w:type="dxa"/>
            <w:noWrap/>
            <w:vAlign w:val="center"/>
            <w:hideMark/>
          </w:tcPr>
          <w:p w14:paraId="232D0D50" w14:textId="403229C6" w:rsidR="000D66C1" w:rsidRPr="00951AB1" w:rsidRDefault="000D66C1" w:rsidP="000A5389">
            <w:pPr>
              <w:spacing w:line="240" w:lineRule="auto"/>
              <w:jc w:val="right"/>
              <w:rPr>
                <w:rFonts w:eastAsia="Times New Roman" w:cs="Times New Roman"/>
                <w:b/>
                <w:bCs/>
                <w:color w:val="000000"/>
                <w:kern w:val="0"/>
                <w:sz w:val="18"/>
                <w:szCs w:val="18"/>
                <w:lang w:eastAsia="es-CO"/>
                <w14:ligatures w14:val="none"/>
              </w:rPr>
            </w:pPr>
            <w:r w:rsidRPr="00951AB1">
              <w:rPr>
                <w:rFonts w:eastAsia="Times New Roman" w:cs="Times New Roman"/>
                <w:b/>
                <w:bCs/>
                <w:color w:val="000000"/>
                <w:kern w:val="0"/>
                <w:sz w:val="18"/>
                <w:szCs w:val="18"/>
                <w:lang w:eastAsia="es-CO"/>
                <w14:ligatures w14:val="none"/>
              </w:rPr>
              <w:t>1.330.252.164.182</w:t>
            </w:r>
          </w:p>
        </w:tc>
        <w:tc>
          <w:tcPr>
            <w:tcW w:w="1494" w:type="dxa"/>
            <w:noWrap/>
            <w:vAlign w:val="center"/>
            <w:hideMark/>
          </w:tcPr>
          <w:p w14:paraId="12647B39" w14:textId="7020BB61" w:rsidR="000D66C1" w:rsidRPr="00951AB1" w:rsidRDefault="000D66C1" w:rsidP="000A5389">
            <w:pPr>
              <w:spacing w:line="240" w:lineRule="auto"/>
              <w:jc w:val="right"/>
              <w:rPr>
                <w:rFonts w:eastAsia="Times New Roman" w:cs="Times New Roman"/>
                <w:b/>
                <w:bCs/>
                <w:color w:val="000000"/>
                <w:kern w:val="0"/>
                <w:sz w:val="18"/>
                <w:szCs w:val="18"/>
                <w:lang w:eastAsia="es-CO"/>
                <w14:ligatures w14:val="none"/>
              </w:rPr>
            </w:pPr>
            <w:r w:rsidRPr="00951AB1">
              <w:rPr>
                <w:rFonts w:eastAsia="Times New Roman" w:cs="Times New Roman"/>
                <w:b/>
                <w:bCs/>
                <w:color w:val="000000"/>
                <w:kern w:val="0"/>
                <w:sz w:val="18"/>
                <w:szCs w:val="18"/>
                <w:lang w:eastAsia="es-CO"/>
                <w14:ligatures w14:val="none"/>
              </w:rPr>
              <w:t>-28.496.786.854</w:t>
            </w:r>
          </w:p>
        </w:tc>
      </w:tr>
      <w:tr w:rsidR="00C70C31" w:rsidRPr="00951AB1" w14:paraId="52EDD752" w14:textId="77777777" w:rsidTr="000D66C1">
        <w:trPr>
          <w:trHeight w:val="285"/>
        </w:trPr>
        <w:tc>
          <w:tcPr>
            <w:tcW w:w="3964" w:type="dxa"/>
            <w:vAlign w:val="center"/>
            <w:hideMark/>
          </w:tcPr>
          <w:p w14:paraId="0175EA6D" w14:textId="77777777" w:rsidR="000D66C1" w:rsidRPr="00951AB1" w:rsidRDefault="000D66C1" w:rsidP="000A5389">
            <w:pPr>
              <w:spacing w:line="240" w:lineRule="auto"/>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Activos intangibles en concesión</w:t>
            </w:r>
          </w:p>
        </w:tc>
        <w:tc>
          <w:tcPr>
            <w:tcW w:w="1683" w:type="dxa"/>
            <w:noWrap/>
            <w:vAlign w:val="center"/>
            <w:hideMark/>
          </w:tcPr>
          <w:p w14:paraId="23AF0B26" w14:textId="3AD5B64E" w:rsidR="000D66C1" w:rsidRPr="00951AB1" w:rsidRDefault="000D66C1"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323.918.000</w:t>
            </w:r>
          </w:p>
        </w:tc>
        <w:tc>
          <w:tcPr>
            <w:tcW w:w="1687" w:type="dxa"/>
            <w:noWrap/>
            <w:vAlign w:val="center"/>
            <w:hideMark/>
          </w:tcPr>
          <w:p w14:paraId="0D4B8973" w14:textId="09071697" w:rsidR="000D66C1" w:rsidRPr="00951AB1" w:rsidRDefault="000D66C1"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323.918.000</w:t>
            </w:r>
          </w:p>
        </w:tc>
        <w:tc>
          <w:tcPr>
            <w:tcW w:w="1494" w:type="dxa"/>
            <w:noWrap/>
            <w:vAlign w:val="center"/>
            <w:hideMark/>
          </w:tcPr>
          <w:p w14:paraId="25E4BB30" w14:textId="596BD2B6" w:rsidR="000D66C1" w:rsidRPr="00951AB1" w:rsidRDefault="000D66C1"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w:t>
            </w:r>
          </w:p>
        </w:tc>
      </w:tr>
      <w:tr w:rsidR="00C70C31" w:rsidRPr="00951AB1" w14:paraId="5ABBB8C7" w14:textId="77777777" w:rsidTr="000D66C1">
        <w:trPr>
          <w:trHeight w:val="285"/>
        </w:trPr>
        <w:tc>
          <w:tcPr>
            <w:tcW w:w="3964" w:type="dxa"/>
            <w:vAlign w:val="center"/>
            <w:hideMark/>
          </w:tcPr>
          <w:p w14:paraId="096A53CD" w14:textId="77777777" w:rsidR="000D66C1" w:rsidRPr="00951AB1" w:rsidRDefault="000D66C1" w:rsidP="000A5389">
            <w:pPr>
              <w:spacing w:line="240" w:lineRule="auto"/>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Propiedades, Plan y Equipo</w:t>
            </w:r>
          </w:p>
        </w:tc>
        <w:tc>
          <w:tcPr>
            <w:tcW w:w="1683" w:type="dxa"/>
            <w:noWrap/>
            <w:vAlign w:val="center"/>
            <w:hideMark/>
          </w:tcPr>
          <w:p w14:paraId="4F1D8396" w14:textId="556D9D16" w:rsidR="000D66C1" w:rsidRPr="00951AB1" w:rsidRDefault="000D66C1"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8.242.097.935</w:t>
            </w:r>
          </w:p>
        </w:tc>
        <w:tc>
          <w:tcPr>
            <w:tcW w:w="1687" w:type="dxa"/>
            <w:noWrap/>
            <w:vAlign w:val="center"/>
            <w:hideMark/>
          </w:tcPr>
          <w:p w14:paraId="3A4E0076" w14:textId="602646A6" w:rsidR="000D66C1" w:rsidRPr="00951AB1" w:rsidRDefault="000D66C1"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5.711.265.962</w:t>
            </w:r>
          </w:p>
        </w:tc>
        <w:tc>
          <w:tcPr>
            <w:tcW w:w="1494" w:type="dxa"/>
            <w:noWrap/>
            <w:vAlign w:val="center"/>
            <w:hideMark/>
          </w:tcPr>
          <w:p w14:paraId="5D748914" w14:textId="008365BB" w:rsidR="000D66C1" w:rsidRPr="00951AB1" w:rsidRDefault="000D66C1"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2.530.831.973</w:t>
            </w:r>
          </w:p>
        </w:tc>
      </w:tr>
      <w:tr w:rsidR="00C70C31" w:rsidRPr="00951AB1" w14:paraId="13017C75" w14:textId="77777777" w:rsidTr="000D66C1">
        <w:trPr>
          <w:trHeight w:val="285"/>
        </w:trPr>
        <w:tc>
          <w:tcPr>
            <w:tcW w:w="3964" w:type="dxa"/>
            <w:vAlign w:val="center"/>
            <w:hideMark/>
          </w:tcPr>
          <w:p w14:paraId="6EAC9570" w14:textId="77777777" w:rsidR="000D66C1" w:rsidRPr="00951AB1" w:rsidRDefault="000D66C1" w:rsidP="000A5389">
            <w:pPr>
              <w:spacing w:line="240" w:lineRule="auto"/>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Red carretera</w:t>
            </w:r>
          </w:p>
        </w:tc>
        <w:tc>
          <w:tcPr>
            <w:tcW w:w="1683" w:type="dxa"/>
            <w:noWrap/>
            <w:vAlign w:val="center"/>
            <w:hideMark/>
          </w:tcPr>
          <w:p w14:paraId="6DEDE026" w14:textId="146FC073" w:rsidR="000D66C1" w:rsidRPr="00951AB1" w:rsidRDefault="000D66C1"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1.261.218.827.167</w:t>
            </w:r>
          </w:p>
        </w:tc>
        <w:tc>
          <w:tcPr>
            <w:tcW w:w="1687" w:type="dxa"/>
            <w:noWrap/>
            <w:vAlign w:val="center"/>
            <w:hideMark/>
          </w:tcPr>
          <w:p w14:paraId="59BCF263" w14:textId="43B2AAB1" w:rsidR="000D66C1" w:rsidRPr="00951AB1" w:rsidRDefault="000D66C1"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1.289.356.832.995</w:t>
            </w:r>
          </w:p>
        </w:tc>
        <w:tc>
          <w:tcPr>
            <w:tcW w:w="1494" w:type="dxa"/>
            <w:noWrap/>
            <w:vAlign w:val="center"/>
            <w:hideMark/>
          </w:tcPr>
          <w:p w14:paraId="40AB9F0D" w14:textId="07283781" w:rsidR="000D66C1" w:rsidRPr="00951AB1" w:rsidRDefault="000D66C1"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-28.138.005.828</w:t>
            </w:r>
          </w:p>
        </w:tc>
      </w:tr>
      <w:tr w:rsidR="00C70C31" w:rsidRPr="00951AB1" w14:paraId="2141D80C" w14:textId="77777777" w:rsidTr="000D66C1">
        <w:trPr>
          <w:trHeight w:val="285"/>
        </w:trPr>
        <w:tc>
          <w:tcPr>
            <w:tcW w:w="3964" w:type="dxa"/>
            <w:vAlign w:val="center"/>
            <w:hideMark/>
          </w:tcPr>
          <w:p w14:paraId="3B1059F7" w14:textId="77777777" w:rsidR="000D66C1" w:rsidRPr="00951AB1" w:rsidRDefault="000D66C1" w:rsidP="000A5389">
            <w:pPr>
              <w:spacing w:line="240" w:lineRule="auto"/>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Terrenos</w:t>
            </w:r>
          </w:p>
        </w:tc>
        <w:tc>
          <w:tcPr>
            <w:tcW w:w="1683" w:type="dxa"/>
            <w:noWrap/>
            <w:vAlign w:val="center"/>
            <w:hideMark/>
          </w:tcPr>
          <w:p w14:paraId="7D581AD0" w14:textId="4EDEBE37" w:rsidR="000D66C1" w:rsidRPr="00951AB1" w:rsidRDefault="000D66C1"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29.725.225.169</w:t>
            </w:r>
          </w:p>
        </w:tc>
        <w:tc>
          <w:tcPr>
            <w:tcW w:w="1687" w:type="dxa"/>
            <w:noWrap/>
            <w:vAlign w:val="center"/>
            <w:hideMark/>
          </w:tcPr>
          <w:p w14:paraId="3809A5B5" w14:textId="086F19D6" w:rsidR="000D66C1" w:rsidRPr="00951AB1" w:rsidRDefault="000D66C1"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29.758.632.157</w:t>
            </w:r>
          </w:p>
        </w:tc>
        <w:tc>
          <w:tcPr>
            <w:tcW w:w="1494" w:type="dxa"/>
            <w:noWrap/>
            <w:vAlign w:val="center"/>
            <w:hideMark/>
          </w:tcPr>
          <w:p w14:paraId="6526EC3D" w14:textId="6A93CED6" w:rsidR="000D66C1" w:rsidRPr="00951AB1" w:rsidRDefault="000D66C1"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-33.406.988</w:t>
            </w:r>
          </w:p>
        </w:tc>
      </w:tr>
      <w:tr w:rsidR="00C70C31" w:rsidRPr="00951AB1" w14:paraId="1C8BA824" w14:textId="77777777" w:rsidTr="000D66C1">
        <w:trPr>
          <w:trHeight w:val="570"/>
        </w:trPr>
        <w:tc>
          <w:tcPr>
            <w:tcW w:w="3964" w:type="dxa"/>
            <w:vAlign w:val="center"/>
            <w:hideMark/>
          </w:tcPr>
          <w:p w14:paraId="760A0FCF" w14:textId="77777777" w:rsidR="000D66C1" w:rsidRPr="00951AB1" w:rsidRDefault="000D66C1" w:rsidP="000A5389">
            <w:pPr>
              <w:spacing w:line="240" w:lineRule="auto"/>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Recursos de la entidad concedente en patrimonios autónomos constituidos por concesionarios privados</w:t>
            </w:r>
          </w:p>
        </w:tc>
        <w:tc>
          <w:tcPr>
            <w:tcW w:w="1683" w:type="dxa"/>
            <w:noWrap/>
            <w:vAlign w:val="center"/>
            <w:hideMark/>
          </w:tcPr>
          <w:p w14:paraId="7B0D7507" w14:textId="23EBF00B" w:rsidR="000D66C1" w:rsidRPr="00951AB1" w:rsidRDefault="000D66C1"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2.245.309.057</w:t>
            </w:r>
          </w:p>
        </w:tc>
        <w:tc>
          <w:tcPr>
            <w:tcW w:w="1687" w:type="dxa"/>
            <w:noWrap/>
            <w:vAlign w:val="center"/>
            <w:hideMark/>
          </w:tcPr>
          <w:p w14:paraId="4E4F7F0F" w14:textId="170761BA" w:rsidR="000D66C1" w:rsidRPr="00951AB1" w:rsidRDefault="000D66C1"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5.101.515.068</w:t>
            </w:r>
          </w:p>
        </w:tc>
        <w:tc>
          <w:tcPr>
            <w:tcW w:w="1494" w:type="dxa"/>
            <w:noWrap/>
            <w:vAlign w:val="center"/>
            <w:hideMark/>
          </w:tcPr>
          <w:p w14:paraId="5ACA437B" w14:textId="16050C63" w:rsidR="000D66C1" w:rsidRPr="00951AB1" w:rsidRDefault="000D66C1"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-2.856.206.011</w:t>
            </w:r>
          </w:p>
        </w:tc>
      </w:tr>
      <w:tr w:rsidR="00C70C31" w:rsidRPr="00951AB1" w14:paraId="4CC925C3" w14:textId="77777777" w:rsidTr="000D66C1">
        <w:trPr>
          <w:trHeight w:val="285"/>
        </w:trPr>
        <w:tc>
          <w:tcPr>
            <w:tcW w:w="3964" w:type="dxa"/>
            <w:vAlign w:val="center"/>
            <w:hideMark/>
          </w:tcPr>
          <w:p w14:paraId="34BE3A7B" w14:textId="77777777" w:rsidR="000D66C1" w:rsidRPr="00951AB1" w:rsidRDefault="000D66C1" w:rsidP="000A5389">
            <w:pPr>
              <w:spacing w:line="240" w:lineRule="auto"/>
              <w:rPr>
                <w:rFonts w:eastAsia="Times New Roman" w:cs="Times New Roman"/>
                <w:b/>
                <w:bCs/>
                <w:color w:val="000000"/>
                <w:kern w:val="0"/>
                <w:sz w:val="18"/>
                <w:szCs w:val="18"/>
                <w:lang w:eastAsia="es-CO"/>
                <w14:ligatures w14:val="none"/>
              </w:rPr>
            </w:pPr>
            <w:r w:rsidRPr="00951AB1">
              <w:rPr>
                <w:rFonts w:eastAsia="Times New Roman" w:cs="Times New Roman"/>
                <w:b/>
                <w:bCs/>
                <w:color w:val="000000"/>
                <w:kern w:val="0"/>
                <w:sz w:val="18"/>
                <w:szCs w:val="18"/>
                <w:lang w:eastAsia="es-CO"/>
                <w14:ligatures w14:val="none"/>
              </w:rPr>
              <w:t>AUTOVIA BUCARAMANGA PAMPLONA S.A.S</w:t>
            </w:r>
          </w:p>
        </w:tc>
        <w:tc>
          <w:tcPr>
            <w:tcW w:w="1683" w:type="dxa"/>
            <w:noWrap/>
            <w:vAlign w:val="center"/>
            <w:hideMark/>
          </w:tcPr>
          <w:p w14:paraId="00D64C84" w14:textId="693C1E7D" w:rsidR="000D66C1" w:rsidRPr="00951AB1" w:rsidRDefault="000D66C1" w:rsidP="000A5389">
            <w:pPr>
              <w:spacing w:line="240" w:lineRule="auto"/>
              <w:jc w:val="right"/>
              <w:rPr>
                <w:rFonts w:eastAsia="Times New Roman" w:cs="Times New Roman"/>
                <w:b/>
                <w:bCs/>
                <w:color w:val="000000"/>
                <w:kern w:val="0"/>
                <w:sz w:val="18"/>
                <w:szCs w:val="18"/>
                <w:lang w:eastAsia="es-CO"/>
                <w14:ligatures w14:val="none"/>
              </w:rPr>
            </w:pPr>
            <w:r w:rsidRPr="00951AB1">
              <w:rPr>
                <w:rFonts w:eastAsia="Times New Roman" w:cs="Times New Roman"/>
                <w:b/>
                <w:bCs/>
                <w:color w:val="000000"/>
                <w:kern w:val="0"/>
                <w:sz w:val="18"/>
                <w:szCs w:val="18"/>
                <w:lang w:eastAsia="es-CO"/>
                <w14:ligatures w14:val="none"/>
              </w:rPr>
              <w:t>643.550.703.595</w:t>
            </w:r>
          </w:p>
        </w:tc>
        <w:tc>
          <w:tcPr>
            <w:tcW w:w="1687" w:type="dxa"/>
            <w:noWrap/>
            <w:vAlign w:val="center"/>
            <w:hideMark/>
          </w:tcPr>
          <w:p w14:paraId="38421089" w14:textId="35CE2240" w:rsidR="000D66C1" w:rsidRPr="00951AB1" w:rsidRDefault="000D66C1" w:rsidP="000A5389">
            <w:pPr>
              <w:spacing w:line="240" w:lineRule="auto"/>
              <w:jc w:val="right"/>
              <w:rPr>
                <w:rFonts w:eastAsia="Times New Roman" w:cs="Times New Roman"/>
                <w:b/>
                <w:bCs/>
                <w:color w:val="000000"/>
                <w:kern w:val="0"/>
                <w:sz w:val="18"/>
                <w:szCs w:val="18"/>
                <w:lang w:eastAsia="es-CO"/>
                <w14:ligatures w14:val="none"/>
              </w:rPr>
            </w:pPr>
            <w:r w:rsidRPr="00951AB1">
              <w:rPr>
                <w:rFonts w:eastAsia="Times New Roman" w:cs="Times New Roman"/>
                <w:b/>
                <w:bCs/>
                <w:color w:val="000000"/>
                <w:kern w:val="0"/>
                <w:sz w:val="18"/>
                <w:szCs w:val="18"/>
                <w:lang w:eastAsia="es-CO"/>
                <w14:ligatures w14:val="none"/>
              </w:rPr>
              <w:t>1.078.683.196.399</w:t>
            </w:r>
          </w:p>
        </w:tc>
        <w:tc>
          <w:tcPr>
            <w:tcW w:w="1494" w:type="dxa"/>
            <w:noWrap/>
            <w:vAlign w:val="center"/>
            <w:hideMark/>
          </w:tcPr>
          <w:p w14:paraId="59813488" w14:textId="6D2DC95C" w:rsidR="000D66C1" w:rsidRPr="00951AB1" w:rsidRDefault="000D66C1" w:rsidP="000A5389">
            <w:pPr>
              <w:spacing w:line="240" w:lineRule="auto"/>
              <w:jc w:val="right"/>
              <w:rPr>
                <w:rFonts w:eastAsia="Times New Roman" w:cs="Times New Roman"/>
                <w:b/>
                <w:bCs/>
                <w:color w:val="000000"/>
                <w:kern w:val="0"/>
                <w:sz w:val="18"/>
                <w:szCs w:val="18"/>
                <w:lang w:eastAsia="es-CO"/>
                <w14:ligatures w14:val="none"/>
              </w:rPr>
            </w:pPr>
            <w:r w:rsidRPr="00951AB1">
              <w:rPr>
                <w:rFonts w:eastAsia="Times New Roman" w:cs="Times New Roman"/>
                <w:b/>
                <w:bCs/>
                <w:color w:val="000000"/>
                <w:kern w:val="0"/>
                <w:sz w:val="18"/>
                <w:szCs w:val="18"/>
                <w:lang w:eastAsia="es-CO"/>
                <w14:ligatures w14:val="none"/>
              </w:rPr>
              <w:t>-435.132.492.803</w:t>
            </w:r>
          </w:p>
        </w:tc>
      </w:tr>
      <w:tr w:rsidR="00C70C31" w:rsidRPr="00951AB1" w14:paraId="7D12E330" w14:textId="77777777" w:rsidTr="000D66C1">
        <w:trPr>
          <w:trHeight w:val="285"/>
        </w:trPr>
        <w:tc>
          <w:tcPr>
            <w:tcW w:w="3964" w:type="dxa"/>
            <w:vAlign w:val="center"/>
            <w:hideMark/>
          </w:tcPr>
          <w:p w14:paraId="5BBA9A4E" w14:textId="77777777" w:rsidR="000D66C1" w:rsidRPr="00951AB1" w:rsidRDefault="000D66C1" w:rsidP="000A5389">
            <w:pPr>
              <w:spacing w:line="240" w:lineRule="auto"/>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Propiedades, Plan y Equipo</w:t>
            </w:r>
          </w:p>
        </w:tc>
        <w:tc>
          <w:tcPr>
            <w:tcW w:w="1683" w:type="dxa"/>
            <w:noWrap/>
            <w:vAlign w:val="center"/>
            <w:hideMark/>
          </w:tcPr>
          <w:p w14:paraId="20BE94D4" w14:textId="77777777" w:rsidR="000D66C1" w:rsidRPr="00951AB1" w:rsidRDefault="000D66C1" w:rsidP="000A5389">
            <w:pPr>
              <w:spacing w:line="240" w:lineRule="auto"/>
              <w:jc w:val="right"/>
              <w:rPr>
                <w:rFonts w:eastAsia="Times New Roman" w:cs="Times New Roman"/>
                <w:color w:val="000000"/>
                <w:kern w:val="0"/>
                <w:sz w:val="18"/>
                <w:szCs w:val="18"/>
                <w:lang w:eastAsia="es-CO"/>
                <w14:ligatures w14:val="none"/>
              </w:rPr>
            </w:pPr>
          </w:p>
        </w:tc>
        <w:tc>
          <w:tcPr>
            <w:tcW w:w="1687" w:type="dxa"/>
            <w:noWrap/>
            <w:vAlign w:val="center"/>
            <w:hideMark/>
          </w:tcPr>
          <w:p w14:paraId="4A605179" w14:textId="4DEAAD57" w:rsidR="000D66C1" w:rsidRPr="00951AB1" w:rsidRDefault="000D66C1"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4.927.092.434</w:t>
            </w:r>
          </w:p>
        </w:tc>
        <w:tc>
          <w:tcPr>
            <w:tcW w:w="1494" w:type="dxa"/>
            <w:noWrap/>
            <w:vAlign w:val="center"/>
            <w:hideMark/>
          </w:tcPr>
          <w:p w14:paraId="6C225B3B" w14:textId="431ECFAF" w:rsidR="000D66C1" w:rsidRPr="00951AB1" w:rsidRDefault="000D66C1"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-4.927.092.434</w:t>
            </w:r>
          </w:p>
        </w:tc>
      </w:tr>
      <w:tr w:rsidR="00C70C31" w:rsidRPr="00951AB1" w14:paraId="36924FC9" w14:textId="77777777" w:rsidTr="000D66C1">
        <w:trPr>
          <w:trHeight w:val="285"/>
        </w:trPr>
        <w:tc>
          <w:tcPr>
            <w:tcW w:w="3964" w:type="dxa"/>
            <w:vAlign w:val="center"/>
            <w:hideMark/>
          </w:tcPr>
          <w:p w14:paraId="58A292E9" w14:textId="77777777" w:rsidR="000D66C1" w:rsidRPr="00951AB1" w:rsidRDefault="000D66C1" w:rsidP="000A5389">
            <w:pPr>
              <w:spacing w:line="240" w:lineRule="auto"/>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Red carretera</w:t>
            </w:r>
          </w:p>
        </w:tc>
        <w:tc>
          <w:tcPr>
            <w:tcW w:w="1683" w:type="dxa"/>
            <w:noWrap/>
            <w:vAlign w:val="center"/>
            <w:hideMark/>
          </w:tcPr>
          <w:p w14:paraId="6FEAD2D4" w14:textId="77777777" w:rsidR="000D66C1" w:rsidRPr="00951AB1" w:rsidRDefault="000D66C1" w:rsidP="000A5389">
            <w:pPr>
              <w:spacing w:line="240" w:lineRule="auto"/>
              <w:jc w:val="right"/>
              <w:rPr>
                <w:rFonts w:eastAsia="Times New Roman" w:cs="Times New Roman"/>
                <w:color w:val="000000"/>
                <w:kern w:val="0"/>
                <w:sz w:val="18"/>
                <w:szCs w:val="18"/>
                <w:lang w:eastAsia="es-CO"/>
                <w14:ligatures w14:val="none"/>
              </w:rPr>
            </w:pPr>
          </w:p>
        </w:tc>
        <w:tc>
          <w:tcPr>
            <w:tcW w:w="1687" w:type="dxa"/>
            <w:noWrap/>
            <w:vAlign w:val="center"/>
            <w:hideMark/>
          </w:tcPr>
          <w:p w14:paraId="1EA6F538" w14:textId="20313944" w:rsidR="000D66C1" w:rsidRPr="00951AB1" w:rsidRDefault="000D66C1"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411.860.532.153</w:t>
            </w:r>
          </w:p>
        </w:tc>
        <w:tc>
          <w:tcPr>
            <w:tcW w:w="1494" w:type="dxa"/>
            <w:noWrap/>
            <w:vAlign w:val="center"/>
            <w:hideMark/>
          </w:tcPr>
          <w:p w14:paraId="061A35E5" w14:textId="2D3DBA2F" w:rsidR="000D66C1" w:rsidRPr="00951AB1" w:rsidRDefault="000D66C1"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-411.860.532.153</w:t>
            </w:r>
          </w:p>
        </w:tc>
      </w:tr>
      <w:tr w:rsidR="00C70C31" w:rsidRPr="00951AB1" w14:paraId="411750AF" w14:textId="77777777" w:rsidTr="000D66C1">
        <w:trPr>
          <w:trHeight w:val="285"/>
        </w:trPr>
        <w:tc>
          <w:tcPr>
            <w:tcW w:w="3964" w:type="dxa"/>
            <w:vAlign w:val="center"/>
            <w:hideMark/>
          </w:tcPr>
          <w:p w14:paraId="260B9156" w14:textId="77777777" w:rsidR="000D66C1" w:rsidRPr="00951AB1" w:rsidRDefault="000D66C1" w:rsidP="000A5389">
            <w:pPr>
              <w:spacing w:line="240" w:lineRule="auto"/>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Terrenos</w:t>
            </w:r>
          </w:p>
        </w:tc>
        <w:tc>
          <w:tcPr>
            <w:tcW w:w="1683" w:type="dxa"/>
            <w:noWrap/>
            <w:vAlign w:val="center"/>
            <w:hideMark/>
          </w:tcPr>
          <w:p w14:paraId="24D35661" w14:textId="77777777" w:rsidR="000D66C1" w:rsidRPr="00951AB1" w:rsidRDefault="000D66C1" w:rsidP="000A5389">
            <w:pPr>
              <w:spacing w:line="240" w:lineRule="auto"/>
              <w:jc w:val="right"/>
              <w:rPr>
                <w:rFonts w:eastAsia="Times New Roman" w:cs="Times New Roman"/>
                <w:color w:val="000000"/>
                <w:kern w:val="0"/>
                <w:sz w:val="18"/>
                <w:szCs w:val="18"/>
                <w:lang w:eastAsia="es-CO"/>
                <w14:ligatures w14:val="none"/>
              </w:rPr>
            </w:pPr>
          </w:p>
        </w:tc>
        <w:tc>
          <w:tcPr>
            <w:tcW w:w="1687" w:type="dxa"/>
            <w:noWrap/>
            <w:vAlign w:val="center"/>
            <w:hideMark/>
          </w:tcPr>
          <w:p w14:paraId="5AA57B50" w14:textId="7BE296D8" w:rsidR="000D66C1" w:rsidRPr="00951AB1" w:rsidRDefault="000D66C1"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19.268.319.653</w:t>
            </w:r>
          </w:p>
        </w:tc>
        <w:tc>
          <w:tcPr>
            <w:tcW w:w="1494" w:type="dxa"/>
            <w:noWrap/>
            <w:vAlign w:val="center"/>
            <w:hideMark/>
          </w:tcPr>
          <w:p w14:paraId="19788F1F" w14:textId="66E9B807" w:rsidR="000D66C1" w:rsidRPr="00951AB1" w:rsidRDefault="000D66C1"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-19.268.319.653</w:t>
            </w:r>
          </w:p>
        </w:tc>
      </w:tr>
      <w:tr w:rsidR="00C70C31" w:rsidRPr="00951AB1" w14:paraId="5D5F1EE0" w14:textId="77777777" w:rsidTr="000D66C1">
        <w:trPr>
          <w:trHeight w:val="570"/>
        </w:trPr>
        <w:tc>
          <w:tcPr>
            <w:tcW w:w="3964" w:type="dxa"/>
            <w:vAlign w:val="center"/>
            <w:hideMark/>
          </w:tcPr>
          <w:p w14:paraId="367F1ACC" w14:textId="77777777" w:rsidR="000D66C1" w:rsidRPr="00951AB1" w:rsidRDefault="000D66C1" w:rsidP="000A5389">
            <w:pPr>
              <w:spacing w:line="240" w:lineRule="auto"/>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Recursos de la entidad concedente en patrimonios autónomos constituidos por concesionarios privados</w:t>
            </w:r>
          </w:p>
        </w:tc>
        <w:tc>
          <w:tcPr>
            <w:tcW w:w="1683" w:type="dxa"/>
            <w:noWrap/>
            <w:vAlign w:val="center"/>
            <w:hideMark/>
          </w:tcPr>
          <w:p w14:paraId="4533DA0D" w14:textId="4D42C3DB" w:rsidR="000D66C1" w:rsidRPr="00951AB1" w:rsidRDefault="000D66C1"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643.550.703.595</w:t>
            </w:r>
          </w:p>
        </w:tc>
        <w:tc>
          <w:tcPr>
            <w:tcW w:w="1687" w:type="dxa"/>
            <w:noWrap/>
            <w:vAlign w:val="center"/>
            <w:hideMark/>
          </w:tcPr>
          <w:p w14:paraId="71410BAC" w14:textId="263599D6" w:rsidR="000D66C1" w:rsidRPr="00951AB1" w:rsidRDefault="000D66C1"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642.627.252.159</w:t>
            </w:r>
          </w:p>
        </w:tc>
        <w:tc>
          <w:tcPr>
            <w:tcW w:w="1494" w:type="dxa"/>
            <w:noWrap/>
            <w:vAlign w:val="center"/>
            <w:hideMark/>
          </w:tcPr>
          <w:p w14:paraId="6769B55A" w14:textId="19A3BC91" w:rsidR="000D66C1" w:rsidRPr="00951AB1" w:rsidRDefault="000D66C1"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923.451.436</w:t>
            </w:r>
          </w:p>
        </w:tc>
      </w:tr>
      <w:tr w:rsidR="00C70C31" w:rsidRPr="00951AB1" w14:paraId="22F0F7AC" w14:textId="77777777" w:rsidTr="000D66C1">
        <w:trPr>
          <w:trHeight w:val="285"/>
        </w:trPr>
        <w:tc>
          <w:tcPr>
            <w:tcW w:w="3964" w:type="dxa"/>
            <w:vAlign w:val="center"/>
            <w:hideMark/>
          </w:tcPr>
          <w:p w14:paraId="253067C5" w14:textId="77777777" w:rsidR="000D66C1" w:rsidRPr="00951AB1" w:rsidRDefault="000D66C1" w:rsidP="000A5389">
            <w:pPr>
              <w:spacing w:line="240" w:lineRule="auto"/>
              <w:rPr>
                <w:rFonts w:eastAsia="Times New Roman" w:cs="Times New Roman"/>
                <w:b/>
                <w:bCs/>
                <w:color w:val="000000"/>
                <w:kern w:val="0"/>
                <w:sz w:val="18"/>
                <w:szCs w:val="18"/>
                <w:lang w:eastAsia="es-CO"/>
                <w14:ligatures w14:val="none"/>
              </w:rPr>
            </w:pPr>
            <w:r w:rsidRPr="00951AB1">
              <w:rPr>
                <w:rFonts w:eastAsia="Times New Roman" w:cs="Times New Roman"/>
                <w:b/>
                <w:bCs/>
                <w:color w:val="000000"/>
                <w:kern w:val="0"/>
                <w:sz w:val="18"/>
                <w:szCs w:val="18"/>
                <w:lang w:eastAsia="es-CO"/>
                <w14:ligatures w14:val="none"/>
              </w:rPr>
              <w:lastRenderedPageBreak/>
              <w:t>VÍA 40 EXPRESS S.A.S.</w:t>
            </w:r>
          </w:p>
        </w:tc>
        <w:tc>
          <w:tcPr>
            <w:tcW w:w="1683" w:type="dxa"/>
            <w:noWrap/>
            <w:vAlign w:val="center"/>
            <w:hideMark/>
          </w:tcPr>
          <w:p w14:paraId="4D09B5BA" w14:textId="1AED9DD0" w:rsidR="000D66C1" w:rsidRPr="00951AB1" w:rsidRDefault="000D66C1" w:rsidP="000A5389">
            <w:pPr>
              <w:spacing w:line="240" w:lineRule="auto"/>
              <w:jc w:val="right"/>
              <w:rPr>
                <w:rFonts w:eastAsia="Times New Roman" w:cs="Times New Roman"/>
                <w:b/>
                <w:bCs/>
                <w:color w:val="000000"/>
                <w:kern w:val="0"/>
                <w:sz w:val="18"/>
                <w:szCs w:val="18"/>
                <w:lang w:eastAsia="es-CO"/>
                <w14:ligatures w14:val="none"/>
              </w:rPr>
            </w:pPr>
            <w:r w:rsidRPr="00951AB1">
              <w:rPr>
                <w:rFonts w:eastAsia="Times New Roman" w:cs="Times New Roman"/>
                <w:b/>
                <w:bCs/>
                <w:color w:val="000000"/>
                <w:kern w:val="0"/>
                <w:sz w:val="18"/>
                <w:szCs w:val="18"/>
                <w:lang w:eastAsia="es-CO"/>
                <w14:ligatures w14:val="none"/>
              </w:rPr>
              <w:t>4.585.678.807.658</w:t>
            </w:r>
          </w:p>
        </w:tc>
        <w:tc>
          <w:tcPr>
            <w:tcW w:w="1687" w:type="dxa"/>
            <w:noWrap/>
            <w:vAlign w:val="center"/>
            <w:hideMark/>
          </w:tcPr>
          <w:p w14:paraId="088D6D27" w14:textId="0A4B7A4E" w:rsidR="000D66C1" w:rsidRPr="00951AB1" w:rsidRDefault="000D66C1" w:rsidP="000A5389">
            <w:pPr>
              <w:spacing w:line="240" w:lineRule="auto"/>
              <w:jc w:val="right"/>
              <w:rPr>
                <w:rFonts w:eastAsia="Times New Roman" w:cs="Times New Roman"/>
                <w:b/>
                <w:bCs/>
                <w:color w:val="000000"/>
                <w:kern w:val="0"/>
                <w:sz w:val="18"/>
                <w:szCs w:val="18"/>
                <w:lang w:eastAsia="es-CO"/>
                <w14:ligatures w14:val="none"/>
              </w:rPr>
            </w:pPr>
            <w:r w:rsidRPr="00951AB1">
              <w:rPr>
                <w:rFonts w:eastAsia="Times New Roman" w:cs="Times New Roman"/>
                <w:b/>
                <w:bCs/>
                <w:color w:val="000000"/>
                <w:kern w:val="0"/>
                <w:sz w:val="18"/>
                <w:szCs w:val="18"/>
                <w:lang w:eastAsia="es-CO"/>
                <w14:ligatures w14:val="none"/>
              </w:rPr>
              <w:t>4.420.210.475.315</w:t>
            </w:r>
          </w:p>
        </w:tc>
        <w:tc>
          <w:tcPr>
            <w:tcW w:w="1494" w:type="dxa"/>
            <w:noWrap/>
            <w:vAlign w:val="center"/>
            <w:hideMark/>
          </w:tcPr>
          <w:p w14:paraId="34A116B5" w14:textId="2FE7D3D4" w:rsidR="000D66C1" w:rsidRPr="00951AB1" w:rsidRDefault="000D66C1" w:rsidP="000A5389">
            <w:pPr>
              <w:spacing w:line="240" w:lineRule="auto"/>
              <w:jc w:val="right"/>
              <w:rPr>
                <w:rFonts w:eastAsia="Times New Roman" w:cs="Times New Roman"/>
                <w:b/>
                <w:bCs/>
                <w:color w:val="000000"/>
                <w:kern w:val="0"/>
                <w:sz w:val="18"/>
                <w:szCs w:val="18"/>
                <w:lang w:eastAsia="es-CO"/>
                <w14:ligatures w14:val="none"/>
              </w:rPr>
            </w:pPr>
            <w:r w:rsidRPr="00951AB1">
              <w:rPr>
                <w:rFonts w:eastAsia="Times New Roman" w:cs="Times New Roman"/>
                <w:b/>
                <w:bCs/>
                <w:color w:val="000000"/>
                <w:kern w:val="0"/>
                <w:sz w:val="18"/>
                <w:szCs w:val="18"/>
                <w:lang w:eastAsia="es-CO"/>
                <w14:ligatures w14:val="none"/>
              </w:rPr>
              <w:t>165.468.332.343</w:t>
            </w:r>
          </w:p>
        </w:tc>
      </w:tr>
      <w:tr w:rsidR="00C70C31" w:rsidRPr="00951AB1" w14:paraId="55FB0FA1" w14:textId="77777777" w:rsidTr="000D66C1">
        <w:trPr>
          <w:trHeight w:val="285"/>
        </w:trPr>
        <w:tc>
          <w:tcPr>
            <w:tcW w:w="3964" w:type="dxa"/>
            <w:vAlign w:val="center"/>
            <w:hideMark/>
          </w:tcPr>
          <w:p w14:paraId="115A33C4" w14:textId="77777777" w:rsidR="000D66C1" w:rsidRPr="00951AB1" w:rsidRDefault="000D66C1" w:rsidP="000A5389">
            <w:pPr>
              <w:spacing w:line="240" w:lineRule="auto"/>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Activos intangibles en concesión</w:t>
            </w:r>
          </w:p>
        </w:tc>
        <w:tc>
          <w:tcPr>
            <w:tcW w:w="1683" w:type="dxa"/>
            <w:noWrap/>
            <w:vAlign w:val="center"/>
            <w:hideMark/>
          </w:tcPr>
          <w:p w14:paraId="4C80951C" w14:textId="4F62404D" w:rsidR="000D66C1" w:rsidRPr="00951AB1" w:rsidRDefault="000D66C1"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315.747.748</w:t>
            </w:r>
          </w:p>
        </w:tc>
        <w:tc>
          <w:tcPr>
            <w:tcW w:w="1687" w:type="dxa"/>
            <w:noWrap/>
            <w:vAlign w:val="center"/>
            <w:hideMark/>
          </w:tcPr>
          <w:p w14:paraId="7BE521C5" w14:textId="5ED33FB6" w:rsidR="000D66C1" w:rsidRPr="00951AB1" w:rsidRDefault="000D66C1"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315.747.748</w:t>
            </w:r>
          </w:p>
        </w:tc>
        <w:tc>
          <w:tcPr>
            <w:tcW w:w="1494" w:type="dxa"/>
            <w:noWrap/>
            <w:vAlign w:val="center"/>
            <w:hideMark/>
          </w:tcPr>
          <w:p w14:paraId="204D712A" w14:textId="634AF084" w:rsidR="000D66C1" w:rsidRPr="00951AB1" w:rsidRDefault="000D66C1"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w:t>
            </w:r>
          </w:p>
        </w:tc>
      </w:tr>
      <w:tr w:rsidR="00C70C31" w:rsidRPr="00951AB1" w14:paraId="3DF19031" w14:textId="77777777" w:rsidTr="000D66C1">
        <w:trPr>
          <w:trHeight w:val="285"/>
        </w:trPr>
        <w:tc>
          <w:tcPr>
            <w:tcW w:w="3964" w:type="dxa"/>
            <w:vAlign w:val="center"/>
            <w:hideMark/>
          </w:tcPr>
          <w:p w14:paraId="1B93763F" w14:textId="77777777" w:rsidR="000D66C1" w:rsidRPr="00951AB1" w:rsidRDefault="000D66C1" w:rsidP="000A5389">
            <w:pPr>
              <w:spacing w:line="240" w:lineRule="auto"/>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Propiedades, Plan y Equipo</w:t>
            </w:r>
          </w:p>
        </w:tc>
        <w:tc>
          <w:tcPr>
            <w:tcW w:w="1683" w:type="dxa"/>
            <w:noWrap/>
            <w:vAlign w:val="center"/>
            <w:hideMark/>
          </w:tcPr>
          <w:p w14:paraId="032C11CD" w14:textId="23BB7283" w:rsidR="000D66C1" w:rsidRPr="00951AB1" w:rsidRDefault="000D66C1"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21.238.097.106</w:t>
            </w:r>
          </w:p>
        </w:tc>
        <w:tc>
          <w:tcPr>
            <w:tcW w:w="1687" w:type="dxa"/>
            <w:noWrap/>
            <w:vAlign w:val="center"/>
            <w:hideMark/>
          </w:tcPr>
          <w:p w14:paraId="4CB3A0D1" w14:textId="25172D23" w:rsidR="000D66C1" w:rsidRPr="00951AB1" w:rsidRDefault="000D66C1"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20.839.343.289</w:t>
            </w:r>
          </w:p>
        </w:tc>
        <w:tc>
          <w:tcPr>
            <w:tcW w:w="1494" w:type="dxa"/>
            <w:noWrap/>
            <w:vAlign w:val="center"/>
            <w:hideMark/>
          </w:tcPr>
          <w:p w14:paraId="222D4660" w14:textId="1F9512FB" w:rsidR="000D66C1" w:rsidRPr="00951AB1" w:rsidRDefault="000D66C1"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398.753.817</w:t>
            </w:r>
          </w:p>
        </w:tc>
      </w:tr>
      <w:tr w:rsidR="00C70C31" w:rsidRPr="00951AB1" w14:paraId="7FB5496E" w14:textId="77777777" w:rsidTr="000D66C1">
        <w:trPr>
          <w:trHeight w:val="285"/>
        </w:trPr>
        <w:tc>
          <w:tcPr>
            <w:tcW w:w="3964" w:type="dxa"/>
            <w:vAlign w:val="center"/>
            <w:hideMark/>
          </w:tcPr>
          <w:p w14:paraId="77356DEE" w14:textId="77777777" w:rsidR="000D66C1" w:rsidRPr="00951AB1" w:rsidRDefault="000D66C1" w:rsidP="000A5389">
            <w:pPr>
              <w:spacing w:line="240" w:lineRule="auto"/>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Red carretera</w:t>
            </w:r>
          </w:p>
        </w:tc>
        <w:tc>
          <w:tcPr>
            <w:tcW w:w="1683" w:type="dxa"/>
            <w:noWrap/>
            <w:vAlign w:val="center"/>
            <w:hideMark/>
          </w:tcPr>
          <w:p w14:paraId="57C74443" w14:textId="68594E41" w:rsidR="000D66C1" w:rsidRPr="00951AB1" w:rsidRDefault="000D66C1"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4.333.500.312.849</w:t>
            </w:r>
          </w:p>
        </w:tc>
        <w:tc>
          <w:tcPr>
            <w:tcW w:w="1687" w:type="dxa"/>
            <w:noWrap/>
            <w:vAlign w:val="center"/>
            <w:hideMark/>
          </w:tcPr>
          <w:p w14:paraId="1292A179" w14:textId="1F6C3519" w:rsidR="000D66C1" w:rsidRPr="00951AB1" w:rsidRDefault="000D66C1"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4.172.793.214.304</w:t>
            </w:r>
          </w:p>
        </w:tc>
        <w:tc>
          <w:tcPr>
            <w:tcW w:w="1494" w:type="dxa"/>
            <w:noWrap/>
            <w:vAlign w:val="center"/>
            <w:hideMark/>
          </w:tcPr>
          <w:p w14:paraId="1E495E59" w14:textId="38762B46" w:rsidR="000D66C1" w:rsidRPr="00951AB1" w:rsidRDefault="000D66C1"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160.707.098.545</w:t>
            </w:r>
          </w:p>
        </w:tc>
      </w:tr>
      <w:tr w:rsidR="00C70C31" w:rsidRPr="00951AB1" w14:paraId="6D849DA4" w14:textId="77777777" w:rsidTr="000D66C1">
        <w:trPr>
          <w:trHeight w:val="285"/>
        </w:trPr>
        <w:tc>
          <w:tcPr>
            <w:tcW w:w="3964" w:type="dxa"/>
            <w:vAlign w:val="center"/>
            <w:hideMark/>
          </w:tcPr>
          <w:p w14:paraId="68CEFDA4" w14:textId="77777777" w:rsidR="000D66C1" w:rsidRPr="00951AB1" w:rsidRDefault="000D66C1" w:rsidP="000A5389">
            <w:pPr>
              <w:spacing w:line="240" w:lineRule="auto"/>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Terrenos</w:t>
            </w:r>
          </w:p>
        </w:tc>
        <w:tc>
          <w:tcPr>
            <w:tcW w:w="1683" w:type="dxa"/>
            <w:noWrap/>
            <w:vAlign w:val="center"/>
            <w:hideMark/>
          </w:tcPr>
          <w:p w14:paraId="67E56001" w14:textId="11551E52" w:rsidR="000D66C1" w:rsidRPr="00951AB1" w:rsidRDefault="000D66C1"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230.624.649.955</w:t>
            </w:r>
          </w:p>
        </w:tc>
        <w:tc>
          <w:tcPr>
            <w:tcW w:w="1687" w:type="dxa"/>
            <w:noWrap/>
            <w:vAlign w:val="center"/>
            <w:hideMark/>
          </w:tcPr>
          <w:p w14:paraId="65A107FD" w14:textId="6F5B0AC6" w:rsidR="000D66C1" w:rsidRPr="00951AB1" w:rsidRDefault="000D66C1"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226.577.917.722</w:t>
            </w:r>
          </w:p>
        </w:tc>
        <w:tc>
          <w:tcPr>
            <w:tcW w:w="1494" w:type="dxa"/>
            <w:noWrap/>
            <w:vAlign w:val="center"/>
            <w:hideMark/>
          </w:tcPr>
          <w:p w14:paraId="6DBC57E3" w14:textId="25B12E4D" w:rsidR="000D66C1" w:rsidRPr="00951AB1" w:rsidRDefault="000D66C1"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4.046.732.233</w:t>
            </w:r>
          </w:p>
        </w:tc>
      </w:tr>
      <w:tr w:rsidR="00C70C31" w:rsidRPr="00951AB1" w14:paraId="78229C0A" w14:textId="77777777" w:rsidTr="000D66C1">
        <w:trPr>
          <w:trHeight w:val="285"/>
        </w:trPr>
        <w:tc>
          <w:tcPr>
            <w:tcW w:w="3964" w:type="dxa"/>
            <w:noWrap/>
            <w:vAlign w:val="center"/>
            <w:hideMark/>
          </w:tcPr>
          <w:p w14:paraId="13A0984A" w14:textId="77777777" w:rsidR="000D66C1" w:rsidRPr="00951AB1" w:rsidRDefault="000D66C1" w:rsidP="000A5389">
            <w:pPr>
              <w:spacing w:line="240" w:lineRule="auto"/>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Recursos de la entidad concedente en patrimonios autónomos constituidos por concesionarios privados</w:t>
            </w:r>
          </w:p>
        </w:tc>
        <w:tc>
          <w:tcPr>
            <w:tcW w:w="1683" w:type="dxa"/>
            <w:noWrap/>
            <w:vAlign w:val="center"/>
            <w:hideMark/>
          </w:tcPr>
          <w:p w14:paraId="12FEFE2A" w14:textId="18127DF6" w:rsidR="000D66C1" w:rsidRPr="00951AB1" w:rsidRDefault="000D66C1"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748.065.272</w:t>
            </w:r>
          </w:p>
        </w:tc>
        <w:tc>
          <w:tcPr>
            <w:tcW w:w="1687" w:type="dxa"/>
            <w:noWrap/>
            <w:vAlign w:val="center"/>
            <w:hideMark/>
          </w:tcPr>
          <w:p w14:paraId="5B695C56" w14:textId="3B4C84DD" w:rsidR="000D66C1" w:rsidRPr="00951AB1" w:rsidRDefault="000D66C1"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688.838.065</w:t>
            </w:r>
          </w:p>
        </w:tc>
        <w:tc>
          <w:tcPr>
            <w:tcW w:w="1494" w:type="dxa"/>
            <w:noWrap/>
            <w:vAlign w:val="center"/>
            <w:hideMark/>
          </w:tcPr>
          <w:p w14:paraId="7408293A" w14:textId="442F6437" w:rsidR="000D66C1" w:rsidRPr="00951AB1" w:rsidRDefault="000D66C1"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59.227.207</w:t>
            </w:r>
          </w:p>
        </w:tc>
      </w:tr>
      <w:tr w:rsidR="00C70C31" w:rsidRPr="00951AB1" w14:paraId="2F5EEBCF" w14:textId="77777777" w:rsidTr="000D66C1">
        <w:trPr>
          <w:trHeight w:val="285"/>
        </w:trPr>
        <w:tc>
          <w:tcPr>
            <w:tcW w:w="3964" w:type="dxa"/>
            <w:vAlign w:val="center"/>
            <w:hideMark/>
          </w:tcPr>
          <w:p w14:paraId="62C92324" w14:textId="77777777" w:rsidR="000D66C1" w:rsidRPr="00951AB1" w:rsidRDefault="000D66C1" w:rsidP="000A5389">
            <w:pPr>
              <w:spacing w:line="240" w:lineRule="auto"/>
              <w:rPr>
                <w:rFonts w:eastAsia="Times New Roman" w:cs="Times New Roman"/>
                <w:b/>
                <w:bCs/>
                <w:color w:val="000000"/>
                <w:kern w:val="0"/>
                <w:sz w:val="18"/>
                <w:szCs w:val="18"/>
                <w:lang w:eastAsia="es-CO"/>
                <w14:ligatures w14:val="none"/>
              </w:rPr>
            </w:pPr>
            <w:r w:rsidRPr="00951AB1">
              <w:rPr>
                <w:rFonts w:eastAsia="Times New Roman" w:cs="Times New Roman"/>
                <w:b/>
                <w:bCs/>
                <w:color w:val="000000"/>
                <w:kern w:val="0"/>
                <w:sz w:val="18"/>
                <w:szCs w:val="18"/>
                <w:lang w:eastAsia="es-CO"/>
                <w14:ligatures w14:val="none"/>
              </w:rPr>
              <w:t>ACCESOS NORTE DE BOGOTA S.A.S.</w:t>
            </w:r>
          </w:p>
        </w:tc>
        <w:tc>
          <w:tcPr>
            <w:tcW w:w="1683" w:type="dxa"/>
            <w:noWrap/>
            <w:vAlign w:val="center"/>
            <w:hideMark/>
          </w:tcPr>
          <w:p w14:paraId="5956117D" w14:textId="41BFB39C" w:rsidR="000D66C1" w:rsidRPr="00951AB1" w:rsidRDefault="000D66C1" w:rsidP="000A5389">
            <w:pPr>
              <w:spacing w:line="240" w:lineRule="auto"/>
              <w:jc w:val="right"/>
              <w:rPr>
                <w:rFonts w:eastAsia="Times New Roman" w:cs="Times New Roman"/>
                <w:b/>
                <w:bCs/>
                <w:color w:val="000000"/>
                <w:kern w:val="0"/>
                <w:sz w:val="18"/>
                <w:szCs w:val="18"/>
                <w:lang w:eastAsia="es-CO"/>
                <w14:ligatures w14:val="none"/>
              </w:rPr>
            </w:pPr>
            <w:r w:rsidRPr="00951AB1">
              <w:rPr>
                <w:rFonts w:eastAsia="Times New Roman" w:cs="Times New Roman"/>
                <w:b/>
                <w:bCs/>
                <w:color w:val="000000"/>
                <w:kern w:val="0"/>
                <w:sz w:val="18"/>
                <w:szCs w:val="18"/>
                <w:lang w:eastAsia="es-CO"/>
                <w14:ligatures w14:val="none"/>
              </w:rPr>
              <w:t>918.579.133.521</w:t>
            </w:r>
          </w:p>
        </w:tc>
        <w:tc>
          <w:tcPr>
            <w:tcW w:w="1687" w:type="dxa"/>
            <w:noWrap/>
            <w:vAlign w:val="center"/>
            <w:hideMark/>
          </w:tcPr>
          <w:p w14:paraId="55E9DA73" w14:textId="0DE0E10D" w:rsidR="000D66C1" w:rsidRPr="00951AB1" w:rsidRDefault="000D66C1" w:rsidP="000A5389">
            <w:pPr>
              <w:spacing w:line="240" w:lineRule="auto"/>
              <w:jc w:val="right"/>
              <w:rPr>
                <w:rFonts w:eastAsia="Times New Roman" w:cs="Times New Roman"/>
                <w:b/>
                <w:bCs/>
                <w:color w:val="000000"/>
                <w:kern w:val="0"/>
                <w:sz w:val="18"/>
                <w:szCs w:val="18"/>
                <w:lang w:eastAsia="es-CO"/>
                <w14:ligatures w14:val="none"/>
              </w:rPr>
            </w:pPr>
            <w:r w:rsidRPr="00951AB1">
              <w:rPr>
                <w:rFonts w:eastAsia="Times New Roman" w:cs="Times New Roman"/>
                <w:b/>
                <w:bCs/>
                <w:color w:val="000000"/>
                <w:kern w:val="0"/>
                <w:sz w:val="18"/>
                <w:szCs w:val="18"/>
                <w:lang w:eastAsia="es-CO"/>
                <w14:ligatures w14:val="none"/>
              </w:rPr>
              <w:t>800.348.002.525</w:t>
            </w:r>
          </w:p>
        </w:tc>
        <w:tc>
          <w:tcPr>
            <w:tcW w:w="1494" w:type="dxa"/>
            <w:noWrap/>
            <w:vAlign w:val="center"/>
            <w:hideMark/>
          </w:tcPr>
          <w:p w14:paraId="076E5927" w14:textId="099DF8F9" w:rsidR="000D66C1" w:rsidRPr="00951AB1" w:rsidRDefault="000D66C1" w:rsidP="000A5389">
            <w:pPr>
              <w:spacing w:line="240" w:lineRule="auto"/>
              <w:jc w:val="right"/>
              <w:rPr>
                <w:rFonts w:eastAsia="Times New Roman" w:cs="Times New Roman"/>
                <w:b/>
                <w:bCs/>
                <w:color w:val="000000"/>
                <w:kern w:val="0"/>
                <w:sz w:val="18"/>
                <w:szCs w:val="18"/>
                <w:lang w:eastAsia="es-CO"/>
                <w14:ligatures w14:val="none"/>
              </w:rPr>
            </w:pPr>
            <w:r w:rsidRPr="00951AB1">
              <w:rPr>
                <w:rFonts w:eastAsia="Times New Roman" w:cs="Times New Roman"/>
                <w:b/>
                <w:bCs/>
                <w:color w:val="000000"/>
                <w:kern w:val="0"/>
                <w:sz w:val="18"/>
                <w:szCs w:val="18"/>
                <w:lang w:eastAsia="es-CO"/>
                <w14:ligatures w14:val="none"/>
              </w:rPr>
              <w:t>118.231.130.996</w:t>
            </w:r>
          </w:p>
        </w:tc>
      </w:tr>
      <w:tr w:rsidR="00C70C31" w:rsidRPr="00951AB1" w14:paraId="1DD60AD2" w14:textId="77777777" w:rsidTr="000D66C1">
        <w:trPr>
          <w:trHeight w:val="285"/>
        </w:trPr>
        <w:tc>
          <w:tcPr>
            <w:tcW w:w="3964" w:type="dxa"/>
            <w:vAlign w:val="center"/>
            <w:hideMark/>
          </w:tcPr>
          <w:p w14:paraId="67893857" w14:textId="77777777" w:rsidR="000D66C1" w:rsidRPr="00951AB1" w:rsidRDefault="000D66C1" w:rsidP="000A5389">
            <w:pPr>
              <w:spacing w:line="240" w:lineRule="auto"/>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Propiedades, Plan y Equipo</w:t>
            </w:r>
          </w:p>
        </w:tc>
        <w:tc>
          <w:tcPr>
            <w:tcW w:w="1683" w:type="dxa"/>
            <w:noWrap/>
            <w:vAlign w:val="center"/>
            <w:hideMark/>
          </w:tcPr>
          <w:p w14:paraId="16436123" w14:textId="5AF173DF" w:rsidR="000D66C1" w:rsidRPr="00951AB1" w:rsidRDefault="000D66C1"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2.082.586.152</w:t>
            </w:r>
          </w:p>
        </w:tc>
        <w:tc>
          <w:tcPr>
            <w:tcW w:w="1687" w:type="dxa"/>
            <w:noWrap/>
            <w:vAlign w:val="center"/>
            <w:hideMark/>
          </w:tcPr>
          <w:p w14:paraId="31F23509" w14:textId="17A37248" w:rsidR="000D66C1" w:rsidRPr="00951AB1" w:rsidRDefault="000D66C1"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1.323.549.238</w:t>
            </w:r>
          </w:p>
        </w:tc>
        <w:tc>
          <w:tcPr>
            <w:tcW w:w="1494" w:type="dxa"/>
            <w:noWrap/>
            <w:vAlign w:val="center"/>
            <w:hideMark/>
          </w:tcPr>
          <w:p w14:paraId="33E97263" w14:textId="0EB86F91" w:rsidR="000D66C1" w:rsidRPr="00951AB1" w:rsidRDefault="000D66C1"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759.036.914</w:t>
            </w:r>
          </w:p>
        </w:tc>
      </w:tr>
      <w:tr w:rsidR="00C70C31" w:rsidRPr="00951AB1" w14:paraId="7FA4DB6D" w14:textId="77777777" w:rsidTr="000D66C1">
        <w:trPr>
          <w:trHeight w:val="285"/>
        </w:trPr>
        <w:tc>
          <w:tcPr>
            <w:tcW w:w="3964" w:type="dxa"/>
            <w:vAlign w:val="center"/>
            <w:hideMark/>
          </w:tcPr>
          <w:p w14:paraId="3769DF60" w14:textId="77777777" w:rsidR="000D66C1" w:rsidRPr="00951AB1" w:rsidRDefault="000D66C1" w:rsidP="000A5389">
            <w:pPr>
              <w:spacing w:line="240" w:lineRule="auto"/>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Red carretera</w:t>
            </w:r>
          </w:p>
        </w:tc>
        <w:tc>
          <w:tcPr>
            <w:tcW w:w="1683" w:type="dxa"/>
            <w:noWrap/>
            <w:vAlign w:val="center"/>
            <w:hideMark/>
          </w:tcPr>
          <w:p w14:paraId="73AB2B7B" w14:textId="2AED3260" w:rsidR="000D66C1" w:rsidRPr="00951AB1" w:rsidRDefault="000D66C1"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796.341.966.037</w:t>
            </w:r>
          </w:p>
        </w:tc>
        <w:tc>
          <w:tcPr>
            <w:tcW w:w="1687" w:type="dxa"/>
            <w:noWrap/>
            <w:vAlign w:val="center"/>
            <w:hideMark/>
          </w:tcPr>
          <w:p w14:paraId="08B00413" w14:textId="36CF3FB5" w:rsidR="000D66C1" w:rsidRPr="00951AB1" w:rsidRDefault="000D66C1"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692.035.816.865</w:t>
            </w:r>
          </w:p>
        </w:tc>
        <w:tc>
          <w:tcPr>
            <w:tcW w:w="1494" w:type="dxa"/>
            <w:noWrap/>
            <w:vAlign w:val="center"/>
            <w:hideMark/>
          </w:tcPr>
          <w:p w14:paraId="63990014" w14:textId="2B24A22D" w:rsidR="000D66C1" w:rsidRPr="00951AB1" w:rsidRDefault="000D66C1"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104.306.149.172</w:t>
            </w:r>
          </w:p>
        </w:tc>
      </w:tr>
      <w:tr w:rsidR="00C70C31" w:rsidRPr="00951AB1" w14:paraId="39B79B32" w14:textId="77777777" w:rsidTr="000D66C1">
        <w:trPr>
          <w:trHeight w:val="285"/>
        </w:trPr>
        <w:tc>
          <w:tcPr>
            <w:tcW w:w="3964" w:type="dxa"/>
            <w:vAlign w:val="center"/>
            <w:hideMark/>
          </w:tcPr>
          <w:p w14:paraId="7282CE78" w14:textId="77777777" w:rsidR="000D66C1" w:rsidRPr="00951AB1" w:rsidRDefault="000D66C1" w:rsidP="000A5389">
            <w:pPr>
              <w:spacing w:line="240" w:lineRule="auto"/>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Terrenos</w:t>
            </w:r>
          </w:p>
        </w:tc>
        <w:tc>
          <w:tcPr>
            <w:tcW w:w="1683" w:type="dxa"/>
            <w:noWrap/>
            <w:vAlign w:val="center"/>
            <w:hideMark/>
          </w:tcPr>
          <w:p w14:paraId="1F37C4C3" w14:textId="5C76BCD8" w:rsidR="000D66C1" w:rsidRPr="00951AB1" w:rsidRDefault="000D66C1"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120.154.581.332</w:t>
            </w:r>
          </w:p>
        </w:tc>
        <w:tc>
          <w:tcPr>
            <w:tcW w:w="1687" w:type="dxa"/>
            <w:noWrap/>
            <w:vAlign w:val="center"/>
            <w:hideMark/>
          </w:tcPr>
          <w:p w14:paraId="3984275C" w14:textId="11AC0981" w:rsidR="000D66C1" w:rsidRPr="00951AB1" w:rsidRDefault="000D66C1"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106.988.636.422</w:t>
            </w:r>
          </w:p>
        </w:tc>
        <w:tc>
          <w:tcPr>
            <w:tcW w:w="1494" w:type="dxa"/>
            <w:noWrap/>
            <w:vAlign w:val="center"/>
            <w:hideMark/>
          </w:tcPr>
          <w:p w14:paraId="1DE6C8F2" w14:textId="0F2BB7C7" w:rsidR="000D66C1" w:rsidRPr="00951AB1" w:rsidRDefault="000D66C1"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13.165.944.910</w:t>
            </w:r>
          </w:p>
        </w:tc>
      </w:tr>
      <w:tr w:rsidR="00C70C31" w:rsidRPr="00951AB1" w14:paraId="090151D3" w14:textId="77777777" w:rsidTr="000D66C1">
        <w:trPr>
          <w:trHeight w:val="285"/>
        </w:trPr>
        <w:tc>
          <w:tcPr>
            <w:tcW w:w="3964" w:type="dxa"/>
            <w:vAlign w:val="center"/>
            <w:hideMark/>
          </w:tcPr>
          <w:p w14:paraId="53C9983E" w14:textId="77777777" w:rsidR="000D66C1" w:rsidRPr="00951AB1" w:rsidRDefault="000D66C1" w:rsidP="000A5389">
            <w:pPr>
              <w:spacing w:line="240" w:lineRule="auto"/>
              <w:rPr>
                <w:rFonts w:eastAsia="Times New Roman" w:cs="Times New Roman"/>
                <w:b/>
                <w:bCs/>
                <w:color w:val="000000"/>
                <w:kern w:val="0"/>
                <w:sz w:val="18"/>
                <w:szCs w:val="18"/>
                <w:lang w:eastAsia="es-CO"/>
                <w14:ligatures w14:val="none"/>
              </w:rPr>
            </w:pPr>
            <w:r w:rsidRPr="00951AB1">
              <w:rPr>
                <w:rFonts w:eastAsia="Times New Roman" w:cs="Times New Roman"/>
                <w:b/>
                <w:bCs/>
                <w:color w:val="000000"/>
                <w:kern w:val="0"/>
                <w:sz w:val="18"/>
                <w:szCs w:val="18"/>
                <w:lang w:eastAsia="es-CO"/>
                <w14:ligatures w14:val="none"/>
              </w:rPr>
              <w:t>UNION VIAL RIO PAMPLONITA SAS</w:t>
            </w:r>
          </w:p>
        </w:tc>
        <w:tc>
          <w:tcPr>
            <w:tcW w:w="1683" w:type="dxa"/>
            <w:noWrap/>
            <w:vAlign w:val="center"/>
            <w:hideMark/>
          </w:tcPr>
          <w:p w14:paraId="77E25C82" w14:textId="774F806E" w:rsidR="000D66C1" w:rsidRPr="00951AB1" w:rsidRDefault="000D66C1" w:rsidP="000A5389">
            <w:pPr>
              <w:spacing w:line="240" w:lineRule="auto"/>
              <w:jc w:val="right"/>
              <w:rPr>
                <w:rFonts w:eastAsia="Times New Roman" w:cs="Times New Roman"/>
                <w:b/>
                <w:bCs/>
                <w:color w:val="000000"/>
                <w:kern w:val="0"/>
                <w:sz w:val="18"/>
                <w:szCs w:val="18"/>
                <w:lang w:eastAsia="es-CO"/>
                <w14:ligatures w14:val="none"/>
              </w:rPr>
            </w:pPr>
            <w:r w:rsidRPr="00951AB1">
              <w:rPr>
                <w:rFonts w:eastAsia="Times New Roman" w:cs="Times New Roman"/>
                <w:b/>
                <w:bCs/>
                <w:color w:val="000000"/>
                <w:kern w:val="0"/>
                <w:sz w:val="18"/>
                <w:szCs w:val="18"/>
                <w:lang w:eastAsia="es-CO"/>
                <w14:ligatures w14:val="none"/>
              </w:rPr>
              <w:t>1.938.588.471.447</w:t>
            </w:r>
          </w:p>
        </w:tc>
        <w:tc>
          <w:tcPr>
            <w:tcW w:w="1687" w:type="dxa"/>
            <w:noWrap/>
            <w:vAlign w:val="center"/>
            <w:hideMark/>
          </w:tcPr>
          <w:p w14:paraId="4203ED33" w14:textId="6EFB51A9" w:rsidR="000D66C1" w:rsidRPr="00951AB1" w:rsidRDefault="000D66C1" w:rsidP="000A5389">
            <w:pPr>
              <w:spacing w:line="240" w:lineRule="auto"/>
              <w:jc w:val="right"/>
              <w:rPr>
                <w:rFonts w:eastAsia="Times New Roman" w:cs="Times New Roman"/>
                <w:b/>
                <w:bCs/>
                <w:color w:val="000000"/>
                <w:kern w:val="0"/>
                <w:sz w:val="18"/>
                <w:szCs w:val="18"/>
                <w:lang w:eastAsia="es-CO"/>
                <w14:ligatures w14:val="none"/>
              </w:rPr>
            </w:pPr>
            <w:r w:rsidRPr="00951AB1">
              <w:rPr>
                <w:rFonts w:eastAsia="Times New Roman" w:cs="Times New Roman"/>
                <w:b/>
                <w:bCs/>
                <w:color w:val="000000"/>
                <w:kern w:val="0"/>
                <w:sz w:val="18"/>
                <w:szCs w:val="18"/>
                <w:lang w:eastAsia="es-CO"/>
                <w14:ligatures w14:val="none"/>
              </w:rPr>
              <w:t>2.257.048.778.165</w:t>
            </w:r>
          </w:p>
        </w:tc>
        <w:tc>
          <w:tcPr>
            <w:tcW w:w="1494" w:type="dxa"/>
            <w:noWrap/>
            <w:vAlign w:val="center"/>
            <w:hideMark/>
          </w:tcPr>
          <w:p w14:paraId="2BAF8EAD" w14:textId="53B1FDBC" w:rsidR="000D66C1" w:rsidRPr="00951AB1" w:rsidRDefault="000D66C1" w:rsidP="000A5389">
            <w:pPr>
              <w:spacing w:line="240" w:lineRule="auto"/>
              <w:jc w:val="right"/>
              <w:rPr>
                <w:rFonts w:eastAsia="Times New Roman" w:cs="Times New Roman"/>
                <w:b/>
                <w:bCs/>
                <w:color w:val="000000"/>
                <w:kern w:val="0"/>
                <w:sz w:val="18"/>
                <w:szCs w:val="18"/>
                <w:lang w:eastAsia="es-CO"/>
                <w14:ligatures w14:val="none"/>
              </w:rPr>
            </w:pPr>
            <w:r w:rsidRPr="00951AB1">
              <w:rPr>
                <w:rFonts w:eastAsia="Times New Roman" w:cs="Times New Roman"/>
                <w:b/>
                <w:bCs/>
                <w:color w:val="000000"/>
                <w:kern w:val="0"/>
                <w:sz w:val="18"/>
                <w:szCs w:val="18"/>
                <w:lang w:eastAsia="es-CO"/>
                <w14:ligatures w14:val="none"/>
              </w:rPr>
              <w:t>-318.460.306.718</w:t>
            </w:r>
          </w:p>
        </w:tc>
      </w:tr>
      <w:tr w:rsidR="00C70C31" w:rsidRPr="00951AB1" w14:paraId="61641E82" w14:textId="77777777" w:rsidTr="000D66C1">
        <w:trPr>
          <w:trHeight w:val="285"/>
        </w:trPr>
        <w:tc>
          <w:tcPr>
            <w:tcW w:w="3964" w:type="dxa"/>
            <w:vAlign w:val="center"/>
            <w:hideMark/>
          </w:tcPr>
          <w:p w14:paraId="12ACD05D" w14:textId="77777777" w:rsidR="000D66C1" w:rsidRPr="00951AB1" w:rsidRDefault="000D66C1" w:rsidP="000A5389">
            <w:pPr>
              <w:spacing w:line="240" w:lineRule="auto"/>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Activos intangibles en concesión</w:t>
            </w:r>
          </w:p>
        </w:tc>
        <w:tc>
          <w:tcPr>
            <w:tcW w:w="1683" w:type="dxa"/>
            <w:noWrap/>
            <w:vAlign w:val="center"/>
            <w:hideMark/>
          </w:tcPr>
          <w:p w14:paraId="0AC248EB" w14:textId="3AD5C40A" w:rsidR="000D66C1" w:rsidRPr="00951AB1" w:rsidRDefault="000D66C1"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138.386.511</w:t>
            </w:r>
          </w:p>
        </w:tc>
        <w:tc>
          <w:tcPr>
            <w:tcW w:w="1687" w:type="dxa"/>
            <w:noWrap/>
            <w:vAlign w:val="center"/>
            <w:hideMark/>
          </w:tcPr>
          <w:p w14:paraId="5A741DA3" w14:textId="63DB4044" w:rsidR="000D66C1" w:rsidRPr="00951AB1" w:rsidRDefault="000D66C1"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138.386.511</w:t>
            </w:r>
          </w:p>
        </w:tc>
        <w:tc>
          <w:tcPr>
            <w:tcW w:w="1494" w:type="dxa"/>
            <w:noWrap/>
            <w:vAlign w:val="center"/>
            <w:hideMark/>
          </w:tcPr>
          <w:p w14:paraId="33A1CDE2" w14:textId="281E08E2" w:rsidR="000D66C1" w:rsidRPr="00951AB1" w:rsidRDefault="000D66C1"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-0</w:t>
            </w:r>
          </w:p>
        </w:tc>
      </w:tr>
      <w:tr w:rsidR="00C70C31" w:rsidRPr="00951AB1" w14:paraId="7D97F534" w14:textId="77777777" w:rsidTr="000D66C1">
        <w:trPr>
          <w:trHeight w:val="285"/>
        </w:trPr>
        <w:tc>
          <w:tcPr>
            <w:tcW w:w="3964" w:type="dxa"/>
            <w:vAlign w:val="center"/>
            <w:hideMark/>
          </w:tcPr>
          <w:p w14:paraId="58F33F09" w14:textId="77777777" w:rsidR="000D66C1" w:rsidRPr="00951AB1" w:rsidRDefault="000D66C1" w:rsidP="000A5389">
            <w:pPr>
              <w:spacing w:line="240" w:lineRule="auto"/>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Propiedades, Plan y Equipo</w:t>
            </w:r>
          </w:p>
        </w:tc>
        <w:tc>
          <w:tcPr>
            <w:tcW w:w="1683" w:type="dxa"/>
            <w:noWrap/>
            <w:vAlign w:val="center"/>
            <w:hideMark/>
          </w:tcPr>
          <w:p w14:paraId="06C625FF" w14:textId="71471005" w:rsidR="000D66C1" w:rsidRPr="00951AB1" w:rsidRDefault="000D66C1"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31.726.899.146</w:t>
            </w:r>
          </w:p>
        </w:tc>
        <w:tc>
          <w:tcPr>
            <w:tcW w:w="1687" w:type="dxa"/>
            <w:noWrap/>
            <w:vAlign w:val="center"/>
            <w:hideMark/>
          </w:tcPr>
          <w:p w14:paraId="7AAC666C" w14:textId="2CBD9587" w:rsidR="000D66C1" w:rsidRPr="00951AB1" w:rsidRDefault="000D66C1"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24.626.747.958</w:t>
            </w:r>
          </w:p>
        </w:tc>
        <w:tc>
          <w:tcPr>
            <w:tcW w:w="1494" w:type="dxa"/>
            <w:noWrap/>
            <w:vAlign w:val="center"/>
            <w:hideMark/>
          </w:tcPr>
          <w:p w14:paraId="42E245AE" w14:textId="69306A2D" w:rsidR="000D66C1" w:rsidRPr="00951AB1" w:rsidRDefault="000D66C1"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7.100.151.188</w:t>
            </w:r>
          </w:p>
        </w:tc>
      </w:tr>
      <w:tr w:rsidR="00C70C31" w:rsidRPr="00951AB1" w14:paraId="5C56DC14" w14:textId="77777777" w:rsidTr="000D66C1">
        <w:trPr>
          <w:trHeight w:val="285"/>
        </w:trPr>
        <w:tc>
          <w:tcPr>
            <w:tcW w:w="3964" w:type="dxa"/>
            <w:vAlign w:val="center"/>
            <w:hideMark/>
          </w:tcPr>
          <w:p w14:paraId="49A6D9A8" w14:textId="77777777" w:rsidR="000D66C1" w:rsidRPr="00951AB1" w:rsidRDefault="000D66C1" w:rsidP="000A5389">
            <w:pPr>
              <w:spacing w:line="240" w:lineRule="auto"/>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Red carretera</w:t>
            </w:r>
          </w:p>
        </w:tc>
        <w:tc>
          <w:tcPr>
            <w:tcW w:w="1683" w:type="dxa"/>
            <w:noWrap/>
            <w:vAlign w:val="center"/>
            <w:hideMark/>
          </w:tcPr>
          <w:p w14:paraId="20F8CEFC" w14:textId="5349C240" w:rsidR="000D66C1" w:rsidRPr="00951AB1" w:rsidRDefault="000D66C1"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1.761.160.798.985</w:t>
            </w:r>
          </w:p>
        </w:tc>
        <w:tc>
          <w:tcPr>
            <w:tcW w:w="1687" w:type="dxa"/>
            <w:noWrap/>
            <w:vAlign w:val="center"/>
            <w:hideMark/>
          </w:tcPr>
          <w:p w14:paraId="042961EE" w14:textId="06313269" w:rsidR="000D66C1" w:rsidRPr="00951AB1" w:rsidRDefault="000D66C1"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1.767.119.608.789</w:t>
            </w:r>
          </w:p>
        </w:tc>
        <w:tc>
          <w:tcPr>
            <w:tcW w:w="1494" w:type="dxa"/>
            <w:noWrap/>
            <w:vAlign w:val="center"/>
            <w:hideMark/>
          </w:tcPr>
          <w:p w14:paraId="429EACC5" w14:textId="1AF5D660" w:rsidR="000D66C1" w:rsidRPr="00951AB1" w:rsidRDefault="000D66C1"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-5.958.809.804</w:t>
            </w:r>
          </w:p>
        </w:tc>
      </w:tr>
      <w:tr w:rsidR="00C70C31" w:rsidRPr="00951AB1" w14:paraId="372DCE72" w14:textId="77777777" w:rsidTr="000D66C1">
        <w:trPr>
          <w:trHeight w:val="285"/>
        </w:trPr>
        <w:tc>
          <w:tcPr>
            <w:tcW w:w="3964" w:type="dxa"/>
            <w:vAlign w:val="center"/>
            <w:hideMark/>
          </w:tcPr>
          <w:p w14:paraId="0B45D54B" w14:textId="77777777" w:rsidR="000D66C1" w:rsidRPr="00951AB1" w:rsidRDefault="000D66C1" w:rsidP="000A5389">
            <w:pPr>
              <w:spacing w:line="240" w:lineRule="auto"/>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Terrenos</w:t>
            </w:r>
          </w:p>
        </w:tc>
        <w:tc>
          <w:tcPr>
            <w:tcW w:w="1683" w:type="dxa"/>
            <w:noWrap/>
            <w:vAlign w:val="center"/>
            <w:hideMark/>
          </w:tcPr>
          <w:p w14:paraId="1114528D" w14:textId="3CC2C74F" w:rsidR="000D66C1" w:rsidRPr="00951AB1" w:rsidRDefault="000D66C1"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70.971.298.728</w:t>
            </w:r>
          </w:p>
        </w:tc>
        <w:tc>
          <w:tcPr>
            <w:tcW w:w="1687" w:type="dxa"/>
            <w:noWrap/>
            <w:vAlign w:val="center"/>
            <w:hideMark/>
          </w:tcPr>
          <w:p w14:paraId="53AF9675" w14:textId="0D63A599" w:rsidR="000D66C1" w:rsidRPr="00951AB1" w:rsidRDefault="000D66C1"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70.971.298.727</w:t>
            </w:r>
          </w:p>
        </w:tc>
        <w:tc>
          <w:tcPr>
            <w:tcW w:w="1494" w:type="dxa"/>
            <w:noWrap/>
            <w:vAlign w:val="center"/>
            <w:hideMark/>
          </w:tcPr>
          <w:p w14:paraId="122BD8EE" w14:textId="42C80AA7" w:rsidR="000D66C1" w:rsidRPr="00951AB1" w:rsidRDefault="000D66C1"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0</w:t>
            </w:r>
          </w:p>
        </w:tc>
      </w:tr>
      <w:tr w:rsidR="00C70C31" w:rsidRPr="00951AB1" w14:paraId="1B5B8B71" w14:textId="77777777" w:rsidTr="000D66C1">
        <w:trPr>
          <w:trHeight w:val="285"/>
        </w:trPr>
        <w:tc>
          <w:tcPr>
            <w:tcW w:w="3964" w:type="dxa"/>
            <w:noWrap/>
            <w:vAlign w:val="center"/>
            <w:hideMark/>
          </w:tcPr>
          <w:p w14:paraId="7355B6CA" w14:textId="77777777" w:rsidR="000D66C1" w:rsidRPr="00951AB1" w:rsidRDefault="000D66C1" w:rsidP="000A5389">
            <w:pPr>
              <w:spacing w:line="240" w:lineRule="auto"/>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Recursos de la entidad concedente en patrimonios autónomos constituidos por concesionarios privados</w:t>
            </w:r>
          </w:p>
        </w:tc>
        <w:tc>
          <w:tcPr>
            <w:tcW w:w="1683" w:type="dxa"/>
            <w:noWrap/>
            <w:vAlign w:val="center"/>
            <w:hideMark/>
          </w:tcPr>
          <w:p w14:paraId="3A52593F" w14:textId="37D2CC9B" w:rsidR="000D66C1" w:rsidRPr="00951AB1" w:rsidRDefault="000D66C1"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74.591.088.077</w:t>
            </w:r>
          </w:p>
        </w:tc>
        <w:tc>
          <w:tcPr>
            <w:tcW w:w="1687" w:type="dxa"/>
            <w:noWrap/>
            <w:vAlign w:val="center"/>
            <w:hideMark/>
          </w:tcPr>
          <w:p w14:paraId="04369517" w14:textId="6CB7569A" w:rsidR="000D66C1" w:rsidRPr="00951AB1" w:rsidRDefault="000D66C1"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394.192.736.179</w:t>
            </w:r>
          </w:p>
        </w:tc>
        <w:tc>
          <w:tcPr>
            <w:tcW w:w="1494" w:type="dxa"/>
            <w:noWrap/>
            <w:vAlign w:val="center"/>
            <w:hideMark/>
          </w:tcPr>
          <w:p w14:paraId="3D02469B" w14:textId="07C4B3F5" w:rsidR="000D66C1" w:rsidRPr="00951AB1" w:rsidRDefault="000D66C1"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-319.601.648.102</w:t>
            </w:r>
          </w:p>
        </w:tc>
      </w:tr>
      <w:tr w:rsidR="00C70C31" w:rsidRPr="00951AB1" w14:paraId="1203C297" w14:textId="77777777" w:rsidTr="000D66C1">
        <w:trPr>
          <w:trHeight w:val="285"/>
        </w:trPr>
        <w:tc>
          <w:tcPr>
            <w:tcW w:w="3964" w:type="dxa"/>
            <w:vAlign w:val="center"/>
            <w:hideMark/>
          </w:tcPr>
          <w:p w14:paraId="22012D71" w14:textId="77777777" w:rsidR="000D66C1" w:rsidRPr="00951AB1" w:rsidRDefault="000D66C1" w:rsidP="000A5389">
            <w:pPr>
              <w:spacing w:line="240" w:lineRule="auto"/>
              <w:rPr>
                <w:rFonts w:eastAsia="Times New Roman" w:cs="Times New Roman"/>
                <w:b/>
                <w:bCs/>
                <w:color w:val="000000"/>
                <w:kern w:val="0"/>
                <w:sz w:val="18"/>
                <w:szCs w:val="18"/>
                <w:lang w:eastAsia="es-CO"/>
                <w14:ligatures w14:val="none"/>
              </w:rPr>
            </w:pPr>
            <w:r w:rsidRPr="00951AB1">
              <w:rPr>
                <w:rFonts w:eastAsia="Times New Roman" w:cs="Times New Roman"/>
                <w:b/>
                <w:bCs/>
                <w:color w:val="000000"/>
                <w:kern w:val="0"/>
                <w:sz w:val="18"/>
                <w:szCs w:val="18"/>
                <w:lang w:eastAsia="es-CO"/>
                <w14:ligatures w14:val="none"/>
              </w:rPr>
              <w:t>CONCESION TRANSVERSAL DEL SISGA S.A.S</w:t>
            </w:r>
          </w:p>
        </w:tc>
        <w:tc>
          <w:tcPr>
            <w:tcW w:w="1683" w:type="dxa"/>
            <w:noWrap/>
            <w:vAlign w:val="center"/>
            <w:hideMark/>
          </w:tcPr>
          <w:p w14:paraId="22391527" w14:textId="794FF0BE" w:rsidR="000D66C1" w:rsidRPr="00951AB1" w:rsidRDefault="000D66C1" w:rsidP="000A5389">
            <w:pPr>
              <w:spacing w:line="240" w:lineRule="auto"/>
              <w:jc w:val="right"/>
              <w:rPr>
                <w:rFonts w:eastAsia="Times New Roman" w:cs="Times New Roman"/>
                <w:b/>
                <w:bCs/>
                <w:color w:val="000000"/>
                <w:kern w:val="0"/>
                <w:sz w:val="18"/>
                <w:szCs w:val="18"/>
                <w:lang w:eastAsia="es-CO"/>
                <w14:ligatures w14:val="none"/>
              </w:rPr>
            </w:pPr>
            <w:r w:rsidRPr="00951AB1">
              <w:rPr>
                <w:rFonts w:eastAsia="Times New Roman" w:cs="Times New Roman"/>
                <w:b/>
                <w:bCs/>
                <w:color w:val="000000"/>
                <w:kern w:val="0"/>
                <w:sz w:val="18"/>
                <w:szCs w:val="18"/>
                <w:lang w:eastAsia="es-CO"/>
                <w14:ligatures w14:val="none"/>
              </w:rPr>
              <w:t>687.407.917.500</w:t>
            </w:r>
          </w:p>
        </w:tc>
        <w:tc>
          <w:tcPr>
            <w:tcW w:w="1687" w:type="dxa"/>
            <w:noWrap/>
            <w:vAlign w:val="center"/>
            <w:hideMark/>
          </w:tcPr>
          <w:p w14:paraId="02ED4F7D" w14:textId="40184370" w:rsidR="000D66C1" w:rsidRPr="00951AB1" w:rsidRDefault="000D66C1" w:rsidP="000A5389">
            <w:pPr>
              <w:spacing w:line="240" w:lineRule="auto"/>
              <w:jc w:val="right"/>
              <w:rPr>
                <w:rFonts w:eastAsia="Times New Roman" w:cs="Times New Roman"/>
                <w:b/>
                <w:bCs/>
                <w:color w:val="000000"/>
                <w:kern w:val="0"/>
                <w:sz w:val="18"/>
                <w:szCs w:val="18"/>
                <w:lang w:eastAsia="es-CO"/>
                <w14:ligatures w14:val="none"/>
              </w:rPr>
            </w:pPr>
            <w:r w:rsidRPr="00951AB1">
              <w:rPr>
                <w:rFonts w:eastAsia="Times New Roman" w:cs="Times New Roman"/>
                <w:b/>
                <w:bCs/>
                <w:color w:val="000000"/>
                <w:kern w:val="0"/>
                <w:sz w:val="18"/>
                <w:szCs w:val="18"/>
                <w:lang w:eastAsia="es-CO"/>
                <w14:ligatures w14:val="none"/>
              </w:rPr>
              <w:t>741.689.661.374</w:t>
            </w:r>
          </w:p>
        </w:tc>
        <w:tc>
          <w:tcPr>
            <w:tcW w:w="1494" w:type="dxa"/>
            <w:noWrap/>
            <w:vAlign w:val="center"/>
            <w:hideMark/>
          </w:tcPr>
          <w:p w14:paraId="650F2B7A" w14:textId="2D74F684" w:rsidR="000D66C1" w:rsidRPr="00951AB1" w:rsidRDefault="000D66C1" w:rsidP="000A5389">
            <w:pPr>
              <w:spacing w:line="240" w:lineRule="auto"/>
              <w:jc w:val="right"/>
              <w:rPr>
                <w:rFonts w:eastAsia="Times New Roman" w:cs="Times New Roman"/>
                <w:b/>
                <w:bCs/>
                <w:color w:val="000000"/>
                <w:kern w:val="0"/>
                <w:sz w:val="18"/>
                <w:szCs w:val="18"/>
                <w:lang w:eastAsia="es-CO"/>
                <w14:ligatures w14:val="none"/>
              </w:rPr>
            </w:pPr>
            <w:r w:rsidRPr="00951AB1">
              <w:rPr>
                <w:rFonts w:eastAsia="Times New Roman" w:cs="Times New Roman"/>
                <w:b/>
                <w:bCs/>
                <w:color w:val="000000"/>
                <w:kern w:val="0"/>
                <w:sz w:val="18"/>
                <w:szCs w:val="18"/>
                <w:lang w:eastAsia="es-CO"/>
                <w14:ligatures w14:val="none"/>
              </w:rPr>
              <w:t>-54.281.743.874</w:t>
            </w:r>
          </w:p>
        </w:tc>
      </w:tr>
      <w:tr w:rsidR="00C70C31" w:rsidRPr="00951AB1" w14:paraId="52072177" w14:textId="77777777" w:rsidTr="000D66C1">
        <w:trPr>
          <w:trHeight w:val="285"/>
        </w:trPr>
        <w:tc>
          <w:tcPr>
            <w:tcW w:w="3964" w:type="dxa"/>
            <w:vAlign w:val="center"/>
            <w:hideMark/>
          </w:tcPr>
          <w:p w14:paraId="354CC81D" w14:textId="77777777" w:rsidR="000D66C1" w:rsidRPr="00951AB1" w:rsidRDefault="000D66C1" w:rsidP="000A5389">
            <w:pPr>
              <w:spacing w:line="240" w:lineRule="auto"/>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Activos intangibles en concesión</w:t>
            </w:r>
          </w:p>
        </w:tc>
        <w:tc>
          <w:tcPr>
            <w:tcW w:w="1683" w:type="dxa"/>
            <w:noWrap/>
            <w:vAlign w:val="center"/>
            <w:hideMark/>
          </w:tcPr>
          <w:p w14:paraId="5DA5CF49" w14:textId="11DC5B02" w:rsidR="000D66C1" w:rsidRPr="00951AB1" w:rsidRDefault="000D66C1"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559.847.400</w:t>
            </w:r>
          </w:p>
        </w:tc>
        <w:tc>
          <w:tcPr>
            <w:tcW w:w="1687" w:type="dxa"/>
            <w:noWrap/>
            <w:vAlign w:val="center"/>
            <w:hideMark/>
          </w:tcPr>
          <w:p w14:paraId="3D0DF9B0" w14:textId="55C09C54" w:rsidR="000D66C1" w:rsidRPr="00951AB1" w:rsidRDefault="000D66C1"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559.847.400</w:t>
            </w:r>
          </w:p>
        </w:tc>
        <w:tc>
          <w:tcPr>
            <w:tcW w:w="1494" w:type="dxa"/>
            <w:noWrap/>
            <w:vAlign w:val="center"/>
            <w:hideMark/>
          </w:tcPr>
          <w:p w14:paraId="5C30AA6E" w14:textId="42C1950A" w:rsidR="000D66C1" w:rsidRPr="00951AB1" w:rsidRDefault="000D66C1"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w:t>
            </w:r>
          </w:p>
        </w:tc>
      </w:tr>
      <w:tr w:rsidR="00C70C31" w:rsidRPr="00951AB1" w14:paraId="15D21481" w14:textId="77777777" w:rsidTr="000D66C1">
        <w:trPr>
          <w:trHeight w:val="285"/>
        </w:trPr>
        <w:tc>
          <w:tcPr>
            <w:tcW w:w="3964" w:type="dxa"/>
            <w:vAlign w:val="center"/>
            <w:hideMark/>
          </w:tcPr>
          <w:p w14:paraId="769BB475" w14:textId="77777777" w:rsidR="000D66C1" w:rsidRPr="00951AB1" w:rsidRDefault="000D66C1" w:rsidP="000A5389">
            <w:pPr>
              <w:spacing w:line="240" w:lineRule="auto"/>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Propiedades, Plan y Equipo</w:t>
            </w:r>
          </w:p>
        </w:tc>
        <w:tc>
          <w:tcPr>
            <w:tcW w:w="1683" w:type="dxa"/>
            <w:noWrap/>
            <w:vAlign w:val="center"/>
            <w:hideMark/>
          </w:tcPr>
          <w:p w14:paraId="4E66F1BA" w14:textId="627D63AB" w:rsidR="000D66C1" w:rsidRPr="00951AB1" w:rsidRDefault="000D66C1"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5.751.101.064</w:t>
            </w:r>
          </w:p>
        </w:tc>
        <w:tc>
          <w:tcPr>
            <w:tcW w:w="1687" w:type="dxa"/>
            <w:noWrap/>
            <w:vAlign w:val="center"/>
            <w:hideMark/>
          </w:tcPr>
          <w:p w14:paraId="5E5444E9" w14:textId="4371F52F" w:rsidR="000D66C1" w:rsidRPr="00951AB1" w:rsidRDefault="000D66C1"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5.937.802.664</w:t>
            </w:r>
          </w:p>
        </w:tc>
        <w:tc>
          <w:tcPr>
            <w:tcW w:w="1494" w:type="dxa"/>
            <w:noWrap/>
            <w:vAlign w:val="center"/>
            <w:hideMark/>
          </w:tcPr>
          <w:p w14:paraId="61E47E67" w14:textId="07D88B43" w:rsidR="000D66C1" w:rsidRPr="00951AB1" w:rsidRDefault="000D66C1"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-186.701.600</w:t>
            </w:r>
          </w:p>
        </w:tc>
      </w:tr>
      <w:tr w:rsidR="00C70C31" w:rsidRPr="00951AB1" w14:paraId="40DAD8A2" w14:textId="77777777" w:rsidTr="000D66C1">
        <w:trPr>
          <w:trHeight w:val="285"/>
        </w:trPr>
        <w:tc>
          <w:tcPr>
            <w:tcW w:w="3964" w:type="dxa"/>
            <w:vAlign w:val="center"/>
            <w:hideMark/>
          </w:tcPr>
          <w:p w14:paraId="37695F99" w14:textId="77777777" w:rsidR="000D66C1" w:rsidRPr="00951AB1" w:rsidRDefault="000D66C1" w:rsidP="000A5389">
            <w:pPr>
              <w:spacing w:line="240" w:lineRule="auto"/>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Red carretera</w:t>
            </w:r>
          </w:p>
        </w:tc>
        <w:tc>
          <w:tcPr>
            <w:tcW w:w="1683" w:type="dxa"/>
            <w:noWrap/>
            <w:vAlign w:val="center"/>
            <w:hideMark/>
          </w:tcPr>
          <w:p w14:paraId="6085360A" w14:textId="352439C6" w:rsidR="000D66C1" w:rsidRPr="00951AB1" w:rsidRDefault="000D66C1"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639.428.603.061</w:t>
            </w:r>
          </w:p>
        </w:tc>
        <w:tc>
          <w:tcPr>
            <w:tcW w:w="1687" w:type="dxa"/>
            <w:noWrap/>
            <w:vAlign w:val="center"/>
            <w:hideMark/>
          </w:tcPr>
          <w:p w14:paraId="71770615" w14:textId="64B1D097" w:rsidR="000D66C1" w:rsidRPr="00951AB1" w:rsidRDefault="000D66C1"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630.412.961.504</w:t>
            </w:r>
          </w:p>
        </w:tc>
        <w:tc>
          <w:tcPr>
            <w:tcW w:w="1494" w:type="dxa"/>
            <w:noWrap/>
            <w:vAlign w:val="center"/>
            <w:hideMark/>
          </w:tcPr>
          <w:p w14:paraId="7E313568" w14:textId="02C0B5DC" w:rsidR="000D66C1" w:rsidRPr="00951AB1" w:rsidRDefault="000D66C1"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9.015.641.557</w:t>
            </w:r>
          </w:p>
        </w:tc>
      </w:tr>
      <w:tr w:rsidR="00C70C31" w:rsidRPr="00951AB1" w14:paraId="7888A39C" w14:textId="77777777" w:rsidTr="000D66C1">
        <w:trPr>
          <w:trHeight w:val="285"/>
        </w:trPr>
        <w:tc>
          <w:tcPr>
            <w:tcW w:w="3964" w:type="dxa"/>
            <w:vAlign w:val="center"/>
            <w:hideMark/>
          </w:tcPr>
          <w:p w14:paraId="26B59073" w14:textId="77777777" w:rsidR="000D66C1" w:rsidRPr="00951AB1" w:rsidRDefault="000D66C1" w:rsidP="000A5389">
            <w:pPr>
              <w:spacing w:line="240" w:lineRule="auto"/>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Terrenos</w:t>
            </w:r>
          </w:p>
        </w:tc>
        <w:tc>
          <w:tcPr>
            <w:tcW w:w="1683" w:type="dxa"/>
            <w:noWrap/>
            <w:vAlign w:val="center"/>
            <w:hideMark/>
          </w:tcPr>
          <w:p w14:paraId="1E735E33" w14:textId="39B06B5A" w:rsidR="000D66C1" w:rsidRPr="00951AB1" w:rsidRDefault="000D66C1"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4.407.635.568</w:t>
            </w:r>
          </w:p>
        </w:tc>
        <w:tc>
          <w:tcPr>
            <w:tcW w:w="1687" w:type="dxa"/>
            <w:noWrap/>
            <w:vAlign w:val="center"/>
            <w:hideMark/>
          </w:tcPr>
          <w:p w14:paraId="4AF19CE0" w14:textId="0855FD39" w:rsidR="000D66C1" w:rsidRPr="00951AB1" w:rsidRDefault="000D66C1"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4.407.635.568</w:t>
            </w:r>
          </w:p>
        </w:tc>
        <w:tc>
          <w:tcPr>
            <w:tcW w:w="1494" w:type="dxa"/>
            <w:noWrap/>
            <w:vAlign w:val="center"/>
            <w:hideMark/>
          </w:tcPr>
          <w:p w14:paraId="321C08C1" w14:textId="79AC1154" w:rsidR="000D66C1" w:rsidRPr="00951AB1" w:rsidRDefault="000D66C1"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w:t>
            </w:r>
          </w:p>
        </w:tc>
      </w:tr>
      <w:tr w:rsidR="00C70C31" w:rsidRPr="00951AB1" w14:paraId="7C61DE8C" w14:textId="77777777" w:rsidTr="000D66C1">
        <w:trPr>
          <w:trHeight w:val="285"/>
        </w:trPr>
        <w:tc>
          <w:tcPr>
            <w:tcW w:w="3964" w:type="dxa"/>
            <w:noWrap/>
            <w:vAlign w:val="center"/>
            <w:hideMark/>
          </w:tcPr>
          <w:p w14:paraId="2CF98D29" w14:textId="77777777" w:rsidR="000D66C1" w:rsidRPr="00951AB1" w:rsidRDefault="000D66C1" w:rsidP="000A5389">
            <w:pPr>
              <w:spacing w:line="240" w:lineRule="auto"/>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Recursos de la entidad concedente en patrimonios autónomos constituidos por concesionarios privados</w:t>
            </w:r>
          </w:p>
        </w:tc>
        <w:tc>
          <w:tcPr>
            <w:tcW w:w="1683" w:type="dxa"/>
            <w:noWrap/>
            <w:vAlign w:val="center"/>
            <w:hideMark/>
          </w:tcPr>
          <w:p w14:paraId="7CA93089" w14:textId="0DA0721E" w:rsidR="000D66C1" w:rsidRPr="00951AB1" w:rsidRDefault="000D66C1"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37.260.730.406</w:t>
            </w:r>
          </w:p>
        </w:tc>
        <w:tc>
          <w:tcPr>
            <w:tcW w:w="1687" w:type="dxa"/>
            <w:noWrap/>
            <w:vAlign w:val="center"/>
            <w:hideMark/>
          </w:tcPr>
          <w:p w14:paraId="01B80563" w14:textId="0B21980F" w:rsidR="000D66C1" w:rsidRPr="00951AB1" w:rsidRDefault="000D66C1"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100.371.414.237</w:t>
            </w:r>
          </w:p>
        </w:tc>
        <w:tc>
          <w:tcPr>
            <w:tcW w:w="1494" w:type="dxa"/>
            <w:noWrap/>
            <w:vAlign w:val="center"/>
            <w:hideMark/>
          </w:tcPr>
          <w:p w14:paraId="0BB36622" w14:textId="6075A2BF" w:rsidR="000D66C1" w:rsidRPr="00951AB1" w:rsidRDefault="000D66C1"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-63.110.683.831</w:t>
            </w:r>
          </w:p>
        </w:tc>
      </w:tr>
      <w:tr w:rsidR="00C70C31" w:rsidRPr="00951AB1" w14:paraId="3A96F311" w14:textId="77777777" w:rsidTr="000D66C1">
        <w:trPr>
          <w:trHeight w:val="285"/>
        </w:trPr>
        <w:tc>
          <w:tcPr>
            <w:tcW w:w="3964" w:type="dxa"/>
            <w:vAlign w:val="center"/>
            <w:hideMark/>
          </w:tcPr>
          <w:p w14:paraId="51A39A88" w14:textId="77777777" w:rsidR="000D66C1" w:rsidRPr="00951AB1" w:rsidRDefault="000D66C1" w:rsidP="000A5389">
            <w:pPr>
              <w:spacing w:line="240" w:lineRule="auto"/>
              <w:rPr>
                <w:rFonts w:eastAsia="Times New Roman" w:cs="Times New Roman"/>
                <w:b/>
                <w:bCs/>
                <w:color w:val="000000"/>
                <w:kern w:val="0"/>
                <w:sz w:val="18"/>
                <w:szCs w:val="18"/>
                <w:lang w:eastAsia="es-CO"/>
                <w14:ligatures w14:val="none"/>
              </w:rPr>
            </w:pPr>
            <w:r w:rsidRPr="00951AB1">
              <w:rPr>
                <w:rFonts w:eastAsia="Times New Roman" w:cs="Times New Roman"/>
                <w:b/>
                <w:bCs/>
                <w:color w:val="000000"/>
                <w:kern w:val="0"/>
                <w:sz w:val="18"/>
                <w:szCs w:val="18"/>
                <w:lang w:eastAsia="es-CO"/>
                <w14:ligatures w14:val="none"/>
              </w:rPr>
              <w:t>BTS CONCESIONARIO S.A.S.</w:t>
            </w:r>
          </w:p>
        </w:tc>
        <w:tc>
          <w:tcPr>
            <w:tcW w:w="1683" w:type="dxa"/>
            <w:noWrap/>
            <w:vAlign w:val="center"/>
            <w:hideMark/>
          </w:tcPr>
          <w:p w14:paraId="0C6C43E1" w14:textId="38D2EB8B" w:rsidR="000D66C1" w:rsidRPr="00951AB1" w:rsidRDefault="000D66C1" w:rsidP="000A5389">
            <w:pPr>
              <w:spacing w:line="240" w:lineRule="auto"/>
              <w:jc w:val="right"/>
              <w:rPr>
                <w:rFonts w:eastAsia="Times New Roman" w:cs="Times New Roman"/>
                <w:b/>
                <w:bCs/>
                <w:color w:val="000000"/>
                <w:kern w:val="0"/>
                <w:sz w:val="18"/>
                <w:szCs w:val="18"/>
                <w:lang w:eastAsia="es-CO"/>
                <w14:ligatures w14:val="none"/>
              </w:rPr>
            </w:pPr>
            <w:r w:rsidRPr="00951AB1">
              <w:rPr>
                <w:rFonts w:eastAsia="Times New Roman" w:cs="Times New Roman"/>
                <w:b/>
                <w:bCs/>
                <w:color w:val="000000"/>
                <w:kern w:val="0"/>
                <w:sz w:val="18"/>
                <w:szCs w:val="18"/>
                <w:lang w:eastAsia="es-CO"/>
                <w14:ligatures w14:val="none"/>
              </w:rPr>
              <w:t>1.021.044.367.100</w:t>
            </w:r>
          </w:p>
        </w:tc>
        <w:tc>
          <w:tcPr>
            <w:tcW w:w="1687" w:type="dxa"/>
            <w:noWrap/>
            <w:vAlign w:val="center"/>
            <w:hideMark/>
          </w:tcPr>
          <w:p w14:paraId="3074B481" w14:textId="6AD5A2DE" w:rsidR="000D66C1" w:rsidRPr="00951AB1" w:rsidRDefault="000D66C1" w:rsidP="000A5389">
            <w:pPr>
              <w:spacing w:line="240" w:lineRule="auto"/>
              <w:jc w:val="right"/>
              <w:rPr>
                <w:rFonts w:eastAsia="Times New Roman" w:cs="Times New Roman"/>
                <w:b/>
                <w:bCs/>
                <w:color w:val="000000"/>
                <w:kern w:val="0"/>
                <w:sz w:val="18"/>
                <w:szCs w:val="18"/>
                <w:lang w:eastAsia="es-CO"/>
                <w14:ligatures w14:val="none"/>
              </w:rPr>
            </w:pPr>
            <w:r w:rsidRPr="00951AB1">
              <w:rPr>
                <w:rFonts w:eastAsia="Times New Roman" w:cs="Times New Roman"/>
                <w:b/>
                <w:bCs/>
                <w:color w:val="000000"/>
                <w:kern w:val="0"/>
                <w:sz w:val="18"/>
                <w:szCs w:val="18"/>
                <w:lang w:eastAsia="es-CO"/>
                <w14:ligatures w14:val="none"/>
              </w:rPr>
              <w:t>1.710.612.645.868</w:t>
            </w:r>
          </w:p>
        </w:tc>
        <w:tc>
          <w:tcPr>
            <w:tcW w:w="1494" w:type="dxa"/>
            <w:noWrap/>
            <w:vAlign w:val="center"/>
            <w:hideMark/>
          </w:tcPr>
          <w:p w14:paraId="083D8153" w14:textId="20ADDC8D" w:rsidR="000D66C1" w:rsidRPr="00951AB1" w:rsidRDefault="000D66C1" w:rsidP="000A5389">
            <w:pPr>
              <w:spacing w:line="240" w:lineRule="auto"/>
              <w:jc w:val="right"/>
              <w:rPr>
                <w:rFonts w:eastAsia="Times New Roman" w:cs="Times New Roman"/>
                <w:b/>
                <w:bCs/>
                <w:color w:val="000000"/>
                <w:kern w:val="0"/>
                <w:sz w:val="18"/>
                <w:szCs w:val="18"/>
                <w:lang w:eastAsia="es-CO"/>
                <w14:ligatures w14:val="none"/>
              </w:rPr>
            </w:pPr>
            <w:r w:rsidRPr="00951AB1">
              <w:rPr>
                <w:rFonts w:eastAsia="Times New Roman" w:cs="Times New Roman"/>
                <w:b/>
                <w:bCs/>
                <w:color w:val="000000"/>
                <w:kern w:val="0"/>
                <w:sz w:val="18"/>
                <w:szCs w:val="18"/>
                <w:lang w:eastAsia="es-CO"/>
                <w14:ligatures w14:val="none"/>
              </w:rPr>
              <w:t>-689.568.278.768</w:t>
            </w:r>
          </w:p>
        </w:tc>
      </w:tr>
      <w:tr w:rsidR="00C70C31" w:rsidRPr="00951AB1" w14:paraId="1DC157DD" w14:textId="77777777" w:rsidTr="000D66C1">
        <w:trPr>
          <w:trHeight w:val="285"/>
        </w:trPr>
        <w:tc>
          <w:tcPr>
            <w:tcW w:w="3964" w:type="dxa"/>
            <w:noWrap/>
            <w:vAlign w:val="center"/>
            <w:hideMark/>
          </w:tcPr>
          <w:p w14:paraId="4BF7A991" w14:textId="77777777" w:rsidR="000D66C1" w:rsidRPr="00951AB1" w:rsidRDefault="000D66C1" w:rsidP="000A5389">
            <w:pPr>
              <w:spacing w:line="240" w:lineRule="auto"/>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Activos intangibles en concesión</w:t>
            </w:r>
          </w:p>
        </w:tc>
        <w:tc>
          <w:tcPr>
            <w:tcW w:w="1683" w:type="dxa"/>
            <w:noWrap/>
            <w:vAlign w:val="center"/>
            <w:hideMark/>
          </w:tcPr>
          <w:p w14:paraId="77310A12" w14:textId="77777777" w:rsidR="000D66C1" w:rsidRPr="00951AB1" w:rsidRDefault="000D66C1" w:rsidP="000A5389">
            <w:pPr>
              <w:spacing w:line="240" w:lineRule="auto"/>
              <w:jc w:val="right"/>
              <w:rPr>
                <w:rFonts w:eastAsia="Times New Roman" w:cs="Times New Roman"/>
                <w:color w:val="000000"/>
                <w:kern w:val="0"/>
                <w:sz w:val="18"/>
                <w:szCs w:val="18"/>
                <w:lang w:eastAsia="es-CO"/>
                <w14:ligatures w14:val="none"/>
              </w:rPr>
            </w:pPr>
          </w:p>
        </w:tc>
        <w:tc>
          <w:tcPr>
            <w:tcW w:w="1687" w:type="dxa"/>
            <w:noWrap/>
            <w:vAlign w:val="center"/>
            <w:hideMark/>
          </w:tcPr>
          <w:p w14:paraId="2F5C520C" w14:textId="067807C9" w:rsidR="000D66C1" w:rsidRPr="00951AB1" w:rsidRDefault="000D66C1"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14.170.511</w:t>
            </w:r>
          </w:p>
        </w:tc>
        <w:tc>
          <w:tcPr>
            <w:tcW w:w="1494" w:type="dxa"/>
            <w:noWrap/>
            <w:vAlign w:val="center"/>
            <w:hideMark/>
          </w:tcPr>
          <w:p w14:paraId="03C4536E" w14:textId="4909996C" w:rsidR="000D66C1" w:rsidRPr="00951AB1" w:rsidRDefault="000D66C1"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-14.170.511</w:t>
            </w:r>
          </w:p>
        </w:tc>
      </w:tr>
      <w:tr w:rsidR="00C70C31" w:rsidRPr="00951AB1" w14:paraId="748A31E9" w14:textId="77777777" w:rsidTr="000D66C1">
        <w:trPr>
          <w:trHeight w:val="285"/>
        </w:trPr>
        <w:tc>
          <w:tcPr>
            <w:tcW w:w="3964" w:type="dxa"/>
            <w:vAlign w:val="center"/>
            <w:hideMark/>
          </w:tcPr>
          <w:p w14:paraId="1D5475E8" w14:textId="77777777" w:rsidR="000D66C1" w:rsidRPr="00951AB1" w:rsidRDefault="000D66C1" w:rsidP="000A5389">
            <w:pPr>
              <w:spacing w:line="240" w:lineRule="auto"/>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Propiedades, Plan y Equipo</w:t>
            </w:r>
          </w:p>
        </w:tc>
        <w:tc>
          <w:tcPr>
            <w:tcW w:w="1683" w:type="dxa"/>
            <w:noWrap/>
            <w:vAlign w:val="center"/>
            <w:hideMark/>
          </w:tcPr>
          <w:p w14:paraId="4C3BF6BC" w14:textId="7AA9846F" w:rsidR="000D66C1" w:rsidRPr="00951AB1" w:rsidRDefault="000D66C1"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1.951.425.086</w:t>
            </w:r>
          </w:p>
        </w:tc>
        <w:tc>
          <w:tcPr>
            <w:tcW w:w="1687" w:type="dxa"/>
            <w:noWrap/>
            <w:vAlign w:val="center"/>
            <w:hideMark/>
          </w:tcPr>
          <w:p w14:paraId="33755FA4" w14:textId="0A11B0A8" w:rsidR="000D66C1" w:rsidRPr="00951AB1" w:rsidRDefault="000D66C1"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2.095.478.192</w:t>
            </w:r>
          </w:p>
        </w:tc>
        <w:tc>
          <w:tcPr>
            <w:tcW w:w="1494" w:type="dxa"/>
            <w:noWrap/>
            <w:vAlign w:val="center"/>
            <w:hideMark/>
          </w:tcPr>
          <w:p w14:paraId="38E2EC26" w14:textId="643F9A92" w:rsidR="000D66C1" w:rsidRPr="00951AB1" w:rsidRDefault="000D66C1"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-144.053.106</w:t>
            </w:r>
          </w:p>
        </w:tc>
      </w:tr>
      <w:tr w:rsidR="00C70C31" w:rsidRPr="00951AB1" w14:paraId="4F9213C8" w14:textId="77777777" w:rsidTr="000D66C1">
        <w:trPr>
          <w:trHeight w:val="285"/>
        </w:trPr>
        <w:tc>
          <w:tcPr>
            <w:tcW w:w="3964" w:type="dxa"/>
            <w:vAlign w:val="center"/>
            <w:hideMark/>
          </w:tcPr>
          <w:p w14:paraId="74A9BC1D" w14:textId="77777777" w:rsidR="000D66C1" w:rsidRPr="00951AB1" w:rsidRDefault="000D66C1" w:rsidP="000A5389">
            <w:pPr>
              <w:spacing w:line="240" w:lineRule="auto"/>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Red carretera</w:t>
            </w:r>
          </w:p>
        </w:tc>
        <w:tc>
          <w:tcPr>
            <w:tcW w:w="1683" w:type="dxa"/>
            <w:noWrap/>
            <w:vAlign w:val="center"/>
            <w:hideMark/>
          </w:tcPr>
          <w:p w14:paraId="2EA2AA22" w14:textId="24F67675" w:rsidR="000D66C1" w:rsidRPr="00951AB1" w:rsidRDefault="000D66C1"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983.647.632.414</w:t>
            </w:r>
          </w:p>
        </w:tc>
        <w:tc>
          <w:tcPr>
            <w:tcW w:w="1687" w:type="dxa"/>
            <w:noWrap/>
            <w:vAlign w:val="center"/>
            <w:hideMark/>
          </w:tcPr>
          <w:p w14:paraId="3165AF19" w14:textId="4B182A32" w:rsidR="000D66C1" w:rsidRPr="00951AB1" w:rsidRDefault="000D66C1"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1.636.573.953.846</w:t>
            </w:r>
          </w:p>
        </w:tc>
        <w:tc>
          <w:tcPr>
            <w:tcW w:w="1494" w:type="dxa"/>
            <w:noWrap/>
            <w:vAlign w:val="center"/>
            <w:hideMark/>
          </w:tcPr>
          <w:p w14:paraId="24FB1645" w14:textId="2B263153" w:rsidR="000D66C1" w:rsidRPr="00951AB1" w:rsidRDefault="000D66C1"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-652.926.321.432</w:t>
            </w:r>
          </w:p>
        </w:tc>
      </w:tr>
      <w:tr w:rsidR="00C70C31" w:rsidRPr="00951AB1" w14:paraId="4B3925BB" w14:textId="77777777" w:rsidTr="000D66C1">
        <w:trPr>
          <w:trHeight w:val="285"/>
        </w:trPr>
        <w:tc>
          <w:tcPr>
            <w:tcW w:w="3964" w:type="dxa"/>
            <w:vAlign w:val="center"/>
            <w:hideMark/>
          </w:tcPr>
          <w:p w14:paraId="320DBAC5" w14:textId="77777777" w:rsidR="000D66C1" w:rsidRPr="00951AB1" w:rsidRDefault="000D66C1" w:rsidP="000A5389">
            <w:pPr>
              <w:spacing w:line="240" w:lineRule="auto"/>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Terrenos</w:t>
            </w:r>
          </w:p>
        </w:tc>
        <w:tc>
          <w:tcPr>
            <w:tcW w:w="1683" w:type="dxa"/>
            <w:noWrap/>
            <w:vAlign w:val="center"/>
            <w:hideMark/>
          </w:tcPr>
          <w:p w14:paraId="53C2EC9C" w14:textId="31BEC566" w:rsidR="000D66C1" w:rsidRPr="00951AB1" w:rsidRDefault="000D66C1"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23.309.873.598</w:t>
            </w:r>
          </w:p>
        </w:tc>
        <w:tc>
          <w:tcPr>
            <w:tcW w:w="1687" w:type="dxa"/>
            <w:noWrap/>
            <w:vAlign w:val="center"/>
            <w:hideMark/>
          </w:tcPr>
          <w:p w14:paraId="77FBFCBA" w14:textId="3496BD4E" w:rsidR="000D66C1" w:rsidRPr="00951AB1" w:rsidRDefault="000D66C1"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58.680.181.222</w:t>
            </w:r>
          </w:p>
        </w:tc>
        <w:tc>
          <w:tcPr>
            <w:tcW w:w="1494" w:type="dxa"/>
            <w:noWrap/>
            <w:vAlign w:val="center"/>
            <w:hideMark/>
          </w:tcPr>
          <w:p w14:paraId="191B6688" w14:textId="601B881C" w:rsidR="000D66C1" w:rsidRPr="00951AB1" w:rsidRDefault="000D66C1"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-35.370.307.624</w:t>
            </w:r>
          </w:p>
        </w:tc>
      </w:tr>
      <w:tr w:rsidR="00C70C31" w:rsidRPr="00951AB1" w14:paraId="4DA926AD" w14:textId="77777777" w:rsidTr="000D66C1">
        <w:trPr>
          <w:trHeight w:val="570"/>
        </w:trPr>
        <w:tc>
          <w:tcPr>
            <w:tcW w:w="3964" w:type="dxa"/>
            <w:vAlign w:val="center"/>
            <w:hideMark/>
          </w:tcPr>
          <w:p w14:paraId="6A6944DB" w14:textId="77777777" w:rsidR="000D66C1" w:rsidRPr="00951AB1" w:rsidRDefault="000D66C1" w:rsidP="000A5389">
            <w:pPr>
              <w:spacing w:line="240" w:lineRule="auto"/>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Recursos de la entidad concedente en patrimonios autónomos constituidos por concesionarios privados</w:t>
            </w:r>
          </w:p>
        </w:tc>
        <w:tc>
          <w:tcPr>
            <w:tcW w:w="1683" w:type="dxa"/>
            <w:noWrap/>
            <w:vAlign w:val="center"/>
            <w:hideMark/>
          </w:tcPr>
          <w:p w14:paraId="6383822A" w14:textId="085C9718" w:rsidR="000D66C1" w:rsidRPr="00951AB1" w:rsidRDefault="000D66C1"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12.135.436.002</w:t>
            </w:r>
          </w:p>
        </w:tc>
        <w:tc>
          <w:tcPr>
            <w:tcW w:w="1687" w:type="dxa"/>
            <w:noWrap/>
            <w:vAlign w:val="center"/>
            <w:hideMark/>
          </w:tcPr>
          <w:p w14:paraId="472561B8" w14:textId="3AC17219" w:rsidR="000D66C1" w:rsidRPr="00951AB1" w:rsidRDefault="000D66C1"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13.248.862.098</w:t>
            </w:r>
          </w:p>
        </w:tc>
        <w:tc>
          <w:tcPr>
            <w:tcW w:w="1494" w:type="dxa"/>
            <w:noWrap/>
            <w:vAlign w:val="center"/>
            <w:hideMark/>
          </w:tcPr>
          <w:p w14:paraId="0022AF3B" w14:textId="64C5BF24" w:rsidR="000D66C1" w:rsidRPr="00951AB1" w:rsidRDefault="000D66C1"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-1.113.426.096</w:t>
            </w:r>
          </w:p>
        </w:tc>
      </w:tr>
      <w:tr w:rsidR="00C70C31" w:rsidRPr="00951AB1" w14:paraId="5ECA3059" w14:textId="77777777" w:rsidTr="000D66C1">
        <w:trPr>
          <w:trHeight w:val="285"/>
        </w:trPr>
        <w:tc>
          <w:tcPr>
            <w:tcW w:w="3964" w:type="dxa"/>
            <w:vAlign w:val="center"/>
            <w:hideMark/>
          </w:tcPr>
          <w:p w14:paraId="6D3D962F" w14:textId="77777777" w:rsidR="000D66C1" w:rsidRPr="00951AB1" w:rsidRDefault="000D66C1" w:rsidP="000A5389">
            <w:pPr>
              <w:spacing w:line="240" w:lineRule="auto"/>
              <w:rPr>
                <w:rFonts w:eastAsia="Times New Roman" w:cs="Times New Roman"/>
                <w:b/>
                <w:bCs/>
                <w:color w:val="000000"/>
                <w:kern w:val="0"/>
                <w:sz w:val="18"/>
                <w:szCs w:val="18"/>
                <w:lang w:eastAsia="es-CO"/>
                <w14:ligatures w14:val="none"/>
              </w:rPr>
            </w:pPr>
            <w:r w:rsidRPr="00951AB1">
              <w:rPr>
                <w:rFonts w:eastAsia="Times New Roman" w:cs="Times New Roman"/>
                <w:b/>
                <w:bCs/>
                <w:color w:val="000000"/>
                <w:kern w:val="0"/>
                <w:sz w:val="18"/>
                <w:szCs w:val="18"/>
                <w:lang w:eastAsia="es-CO"/>
                <w14:ligatures w14:val="none"/>
              </w:rPr>
              <w:t>CONCESIONARIA RUTA AL SUR S.A.S.</w:t>
            </w:r>
          </w:p>
        </w:tc>
        <w:tc>
          <w:tcPr>
            <w:tcW w:w="1683" w:type="dxa"/>
            <w:noWrap/>
            <w:vAlign w:val="center"/>
            <w:hideMark/>
          </w:tcPr>
          <w:p w14:paraId="6EB78168" w14:textId="151F7A9C" w:rsidR="000D66C1" w:rsidRPr="00951AB1" w:rsidRDefault="000D66C1" w:rsidP="000A5389">
            <w:pPr>
              <w:spacing w:line="240" w:lineRule="auto"/>
              <w:jc w:val="right"/>
              <w:rPr>
                <w:rFonts w:eastAsia="Times New Roman" w:cs="Times New Roman"/>
                <w:b/>
                <w:bCs/>
                <w:color w:val="000000"/>
                <w:kern w:val="0"/>
                <w:sz w:val="18"/>
                <w:szCs w:val="18"/>
                <w:lang w:eastAsia="es-CO"/>
                <w14:ligatures w14:val="none"/>
              </w:rPr>
            </w:pPr>
            <w:r w:rsidRPr="00951AB1">
              <w:rPr>
                <w:rFonts w:eastAsia="Times New Roman" w:cs="Times New Roman"/>
                <w:b/>
                <w:bCs/>
                <w:color w:val="000000"/>
                <w:kern w:val="0"/>
                <w:sz w:val="18"/>
                <w:szCs w:val="18"/>
                <w:lang w:eastAsia="es-CO"/>
                <w14:ligatures w14:val="none"/>
              </w:rPr>
              <w:t>2.795.336.099.453</w:t>
            </w:r>
          </w:p>
        </w:tc>
        <w:tc>
          <w:tcPr>
            <w:tcW w:w="1687" w:type="dxa"/>
            <w:noWrap/>
            <w:vAlign w:val="center"/>
            <w:hideMark/>
          </w:tcPr>
          <w:p w14:paraId="10EC6832" w14:textId="0B09323A" w:rsidR="000D66C1" w:rsidRPr="00951AB1" w:rsidRDefault="000D66C1" w:rsidP="000A5389">
            <w:pPr>
              <w:spacing w:line="240" w:lineRule="auto"/>
              <w:jc w:val="right"/>
              <w:rPr>
                <w:rFonts w:eastAsia="Times New Roman" w:cs="Times New Roman"/>
                <w:b/>
                <w:bCs/>
                <w:color w:val="000000"/>
                <w:kern w:val="0"/>
                <w:sz w:val="18"/>
                <w:szCs w:val="18"/>
                <w:lang w:eastAsia="es-CO"/>
                <w14:ligatures w14:val="none"/>
              </w:rPr>
            </w:pPr>
            <w:r w:rsidRPr="00951AB1">
              <w:rPr>
                <w:rFonts w:eastAsia="Times New Roman" w:cs="Times New Roman"/>
                <w:b/>
                <w:bCs/>
                <w:color w:val="000000"/>
                <w:kern w:val="0"/>
                <w:sz w:val="18"/>
                <w:szCs w:val="18"/>
                <w:lang w:eastAsia="es-CO"/>
                <w14:ligatures w14:val="none"/>
              </w:rPr>
              <w:t>2.226.102.410.245</w:t>
            </w:r>
          </w:p>
        </w:tc>
        <w:tc>
          <w:tcPr>
            <w:tcW w:w="1494" w:type="dxa"/>
            <w:noWrap/>
            <w:vAlign w:val="center"/>
            <w:hideMark/>
          </w:tcPr>
          <w:p w14:paraId="586611EA" w14:textId="71B4FA5C" w:rsidR="000D66C1" w:rsidRPr="00951AB1" w:rsidRDefault="000D66C1" w:rsidP="000A5389">
            <w:pPr>
              <w:spacing w:line="240" w:lineRule="auto"/>
              <w:jc w:val="right"/>
              <w:rPr>
                <w:rFonts w:eastAsia="Times New Roman" w:cs="Times New Roman"/>
                <w:b/>
                <w:bCs/>
                <w:color w:val="000000"/>
                <w:kern w:val="0"/>
                <w:sz w:val="18"/>
                <w:szCs w:val="18"/>
                <w:lang w:eastAsia="es-CO"/>
                <w14:ligatures w14:val="none"/>
              </w:rPr>
            </w:pPr>
            <w:r w:rsidRPr="00951AB1">
              <w:rPr>
                <w:rFonts w:eastAsia="Times New Roman" w:cs="Times New Roman"/>
                <w:b/>
                <w:bCs/>
                <w:color w:val="000000"/>
                <w:kern w:val="0"/>
                <w:sz w:val="18"/>
                <w:szCs w:val="18"/>
                <w:lang w:eastAsia="es-CO"/>
                <w14:ligatures w14:val="none"/>
              </w:rPr>
              <w:t>569.233.689.208</w:t>
            </w:r>
          </w:p>
        </w:tc>
      </w:tr>
      <w:tr w:rsidR="00C70C31" w:rsidRPr="00951AB1" w14:paraId="5114DB4E" w14:textId="77777777" w:rsidTr="000D66C1">
        <w:trPr>
          <w:trHeight w:val="285"/>
        </w:trPr>
        <w:tc>
          <w:tcPr>
            <w:tcW w:w="3964" w:type="dxa"/>
            <w:vAlign w:val="center"/>
            <w:hideMark/>
          </w:tcPr>
          <w:p w14:paraId="0DADA738" w14:textId="77777777" w:rsidR="000D66C1" w:rsidRPr="00951AB1" w:rsidRDefault="000D66C1" w:rsidP="000A5389">
            <w:pPr>
              <w:spacing w:line="240" w:lineRule="auto"/>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Activos intangibles en concesión</w:t>
            </w:r>
          </w:p>
        </w:tc>
        <w:tc>
          <w:tcPr>
            <w:tcW w:w="1683" w:type="dxa"/>
            <w:noWrap/>
            <w:vAlign w:val="center"/>
            <w:hideMark/>
          </w:tcPr>
          <w:p w14:paraId="59F4BD80" w14:textId="2A43E775" w:rsidR="000D66C1" w:rsidRPr="00951AB1" w:rsidRDefault="000D66C1"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1.843.637.294</w:t>
            </w:r>
          </w:p>
        </w:tc>
        <w:tc>
          <w:tcPr>
            <w:tcW w:w="1687" w:type="dxa"/>
            <w:noWrap/>
            <w:vAlign w:val="center"/>
            <w:hideMark/>
          </w:tcPr>
          <w:p w14:paraId="1D16AD25" w14:textId="0DBB54A9" w:rsidR="000D66C1" w:rsidRPr="00951AB1" w:rsidRDefault="000D66C1"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1.843.637.294</w:t>
            </w:r>
          </w:p>
        </w:tc>
        <w:tc>
          <w:tcPr>
            <w:tcW w:w="1494" w:type="dxa"/>
            <w:noWrap/>
            <w:vAlign w:val="center"/>
            <w:hideMark/>
          </w:tcPr>
          <w:p w14:paraId="09FD2F86" w14:textId="1FA9190A" w:rsidR="000D66C1" w:rsidRPr="00951AB1" w:rsidRDefault="000D66C1"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w:t>
            </w:r>
          </w:p>
        </w:tc>
      </w:tr>
      <w:tr w:rsidR="00C70C31" w:rsidRPr="00951AB1" w14:paraId="6C98BED9" w14:textId="77777777" w:rsidTr="000D66C1">
        <w:trPr>
          <w:trHeight w:val="285"/>
        </w:trPr>
        <w:tc>
          <w:tcPr>
            <w:tcW w:w="3964" w:type="dxa"/>
            <w:vAlign w:val="center"/>
            <w:hideMark/>
          </w:tcPr>
          <w:p w14:paraId="282E1EF2" w14:textId="77777777" w:rsidR="000D66C1" w:rsidRPr="00951AB1" w:rsidRDefault="000D66C1" w:rsidP="000A5389">
            <w:pPr>
              <w:spacing w:line="240" w:lineRule="auto"/>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Propiedades, Plan y Equipo</w:t>
            </w:r>
          </w:p>
        </w:tc>
        <w:tc>
          <w:tcPr>
            <w:tcW w:w="1683" w:type="dxa"/>
            <w:noWrap/>
            <w:vAlign w:val="center"/>
            <w:hideMark/>
          </w:tcPr>
          <w:p w14:paraId="0C65FB11" w14:textId="73B306ED" w:rsidR="000D66C1" w:rsidRPr="00951AB1" w:rsidRDefault="000D66C1"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17.752.185.580</w:t>
            </w:r>
          </w:p>
        </w:tc>
        <w:tc>
          <w:tcPr>
            <w:tcW w:w="1687" w:type="dxa"/>
            <w:noWrap/>
            <w:vAlign w:val="center"/>
            <w:hideMark/>
          </w:tcPr>
          <w:p w14:paraId="3F5D63CA" w14:textId="16CEA79D" w:rsidR="000D66C1" w:rsidRPr="00951AB1" w:rsidRDefault="000D66C1"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17.752.185.580</w:t>
            </w:r>
          </w:p>
        </w:tc>
        <w:tc>
          <w:tcPr>
            <w:tcW w:w="1494" w:type="dxa"/>
            <w:noWrap/>
            <w:vAlign w:val="center"/>
            <w:hideMark/>
          </w:tcPr>
          <w:p w14:paraId="7CCA0117" w14:textId="5FD5BC44" w:rsidR="000D66C1" w:rsidRPr="00951AB1" w:rsidRDefault="000D66C1"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w:t>
            </w:r>
          </w:p>
        </w:tc>
      </w:tr>
      <w:tr w:rsidR="00C70C31" w:rsidRPr="00951AB1" w14:paraId="73AB3F75" w14:textId="77777777" w:rsidTr="000D66C1">
        <w:trPr>
          <w:trHeight w:val="285"/>
        </w:trPr>
        <w:tc>
          <w:tcPr>
            <w:tcW w:w="3964" w:type="dxa"/>
            <w:vAlign w:val="center"/>
            <w:hideMark/>
          </w:tcPr>
          <w:p w14:paraId="3ADE6F76" w14:textId="77777777" w:rsidR="000D66C1" w:rsidRPr="00951AB1" w:rsidRDefault="000D66C1" w:rsidP="000A5389">
            <w:pPr>
              <w:spacing w:line="240" w:lineRule="auto"/>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Red carretera</w:t>
            </w:r>
          </w:p>
        </w:tc>
        <w:tc>
          <w:tcPr>
            <w:tcW w:w="1683" w:type="dxa"/>
            <w:noWrap/>
            <w:vAlign w:val="center"/>
            <w:hideMark/>
          </w:tcPr>
          <w:p w14:paraId="0266D99D" w14:textId="1491897B" w:rsidR="000D66C1" w:rsidRPr="00951AB1" w:rsidRDefault="000D66C1"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1.921.031.348.786</w:t>
            </w:r>
          </w:p>
        </w:tc>
        <w:tc>
          <w:tcPr>
            <w:tcW w:w="1687" w:type="dxa"/>
            <w:noWrap/>
            <w:vAlign w:val="center"/>
            <w:hideMark/>
          </w:tcPr>
          <w:p w14:paraId="3EB7040C" w14:textId="5EA2E74F" w:rsidR="000D66C1" w:rsidRPr="00951AB1" w:rsidRDefault="000D66C1"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1.206.264.537.265</w:t>
            </w:r>
          </w:p>
        </w:tc>
        <w:tc>
          <w:tcPr>
            <w:tcW w:w="1494" w:type="dxa"/>
            <w:noWrap/>
            <w:vAlign w:val="center"/>
            <w:hideMark/>
          </w:tcPr>
          <w:p w14:paraId="0E231A0E" w14:textId="22CE293D" w:rsidR="000D66C1" w:rsidRPr="00951AB1" w:rsidRDefault="000D66C1"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714.766.811.521</w:t>
            </w:r>
          </w:p>
        </w:tc>
      </w:tr>
      <w:tr w:rsidR="00C70C31" w:rsidRPr="00951AB1" w14:paraId="361A639A" w14:textId="77777777" w:rsidTr="000D66C1">
        <w:trPr>
          <w:trHeight w:val="285"/>
        </w:trPr>
        <w:tc>
          <w:tcPr>
            <w:tcW w:w="3964" w:type="dxa"/>
            <w:vAlign w:val="center"/>
            <w:hideMark/>
          </w:tcPr>
          <w:p w14:paraId="0BAE6A70" w14:textId="77777777" w:rsidR="000D66C1" w:rsidRPr="00951AB1" w:rsidRDefault="000D66C1" w:rsidP="000A5389">
            <w:pPr>
              <w:spacing w:line="240" w:lineRule="auto"/>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Terrenos</w:t>
            </w:r>
          </w:p>
        </w:tc>
        <w:tc>
          <w:tcPr>
            <w:tcW w:w="1683" w:type="dxa"/>
            <w:noWrap/>
            <w:vAlign w:val="center"/>
            <w:hideMark/>
          </w:tcPr>
          <w:p w14:paraId="3D35F2C6" w14:textId="4A5F8CB9" w:rsidR="000D66C1" w:rsidRPr="00951AB1" w:rsidRDefault="000D66C1"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38.712.881.718</w:t>
            </w:r>
          </w:p>
        </w:tc>
        <w:tc>
          <w:tcPr>
            <w:tcW w:w="1687" w:type="dxa"/>
            <w:noWrap/>
            <w:vAlign w:val="center"/>
            <w:hideMark/>
          </w:tcPr>
          <w:p w14:paraId="59AF7696" w14:textId="7B9DF092" w:rsidR="000D66C1" w:rsidRPr="00951AB1" w:rsidRDefault="000D66C1"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27.714.797.410</w:t>
            </w:r>
          </w:p>
        </w:tc>
        <w:tc>
          <w:tcPr>
            <w:tcW w:w="1494" w:type="dxa"/>
            <w:noWrap/>
            <w:vAlign w:val="center"/>
            <w:hideMark/>
          </w:tcPr>
          <w:p w14:paraId="3B653E78" w14:textId="034FD5C7" w:rsidR="000D66C1" w:rsidRPr="00951AB1" w:rsidRDefault="000D66C1"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10.998.084.308</w:t>
            </w:r>
          </w:p>
        </w:tc>
      </w:tr>
      <w:tr w:rsidR="00C70C31" w:rsidRPr="00951AB1" w14:paraId="76E49B91" w14:textId="77777777" w:rsidTr="000D66C1">
        <w:trPr>
          <w:trHeight w:val="570"/>
        </w:trPr>
        <w:tc>
          <w:tcPr>
            <w:tcW w:w="3964" w:type="dxa"/>
            <w:vAlign w:val="center"/>
            <w:hideMark/>
          </w:tcPr>
          <w:p w14:paraId="2D6BD4E7" w14:textId="77777777" w:rsidR="000D66C1" w:rsidRPr="00951AB1" w:rsidRDefault="000D66C1" w:rsidP="000A5389">
            <w:pPr>
              <w:spacing w:line="240" w:lineRule="auto"/>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Recursos de la entidad concedente en patrimonios autónomos constituidos por concesionarios privados</w:t>
            </w:r>
          </w:p>
        </w:tc>
        <w:tc>
          <w:tcPr>
            <w:tcW w:w="1683" w:type="dxa"/>
            <w:noWrap/>
            <w:vAlign w:val="center"/>
            <w:hideMark/>
          </w:tcPr>
          <w:p w14:paraId="1CD3601C" w14:textId="15C62831" w:rsidR="000D66C1" w:rsidRPr="00951AB1" w:rsidRDefault="000D66C1"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815.996.046.075</w:t>
            </w:r>
          </w:p>
        </w:tc>
        <w:tc>
          <w:tcPr>
            <w:tcW w:w="1687" w:type="dxa"/>
            <w:noWrap/>
            <w:vAlign w:val="center"/>
            <w:hideMark/>
          </w:tcPr>
          <w:p w14:paraId="741AE2DE" w14:textId="274DCB1D" w:rsidR="000D66C1" w:rsidRPr="00951AB1" w:rsidRDefault="000D66C1"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972.527.252.696</w:t>
            </w:r>
          </w:p>
        </w:tc>
        <w:tc>
          <w:tcPr>
            <w:tcW w:w="1494" w:type="dxa"/>
            <w:noWrap/>
            <w:vAlign w:val="center"/>
            <w:hideMark/>
          </w:tcPr>
          <w:p w14:paraId="467E508A" w14:textId="04A0738C" w:rsidR="000D66C1" w:rsidRPr="00951AB1" w:rsidRDefault="000D66C1"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-156.531.206.621</w:t>
            </w:r>
          </w:p>
        </w:tc>
      </w:tr>
      <w:tr w:rsidR="00C70C31" w:rsidRPr="00951AB1" w14:paraId="6C9AAE70" w14:textId="77777777" w:rsidTr="000D66C1">
        <w:trPr>
          <w:trHeight w:val="285"/>
        </w:trPr>
        <w:tc>
          <w:tcPr>
            <w:tcW w:w="3964" w:type="dxa"/>
            <w:vAlign w:val="center"/>
            <w:hideMark/>
          </w:tcPr>
          <w:p w14:paraId="3B30F6EC" w14:textId="77777777" w:rsidR="000D66C1" w:rsidRPr="00951AB1" w:rsidRDefault="000D66C1" w:rsidP="000A5389">
            <w:pPr>
              <w:spacing w:line="240" w:lineRule="auto"/>
              <w:rPr>
                <w:rFonts w:eastAsia="Times New Roman" w:cs="Times New Roman"/>
                <w:b/>
                <w:bCs/>
                <w:color w:val="000000"/>
                <w:kern w:val="0"/>
                <w:sz w:val="18"/>
                <w:szCs w:val="18"/>
                <w:lang w:eastAsia="es-CO"/>
                <w14:ligatures w14:val="none"/>
              </w:rPr>
            </w:pPr>
            <w:r w:rsidRPr="00951AB1">
              <w:rPr>
                <w:rFonts w:eastAsia="Times New Roman" w:cs="Times New Roman"/>
                <w:b/>
                <w:bCs/>
                <w:color w:val="000000"/>
                <w:kern w:val="0"/>
                <w:sz w:val="18"/>
                <w:szCs w:val="18"/>
                <w:lang w:eastAsia="es-CO"/>
                <w14:ligatures w14:val="none"/>
              </w:rPr>
              <w:t>CONCESIONARIA RUTAS DEL VALLE S.A.S.</w:t>
            </w:r>
          </w:p>
        </w:tc>
        <w:tc>
          <w:tcPr>
            <w:tcW w:w="1683" w:type="dxa"/>
            <w:noWrap/>
            <w:vAlign w:val="center"/>
            <w:hideMark/>
          </w:tcPr>
          <w:p w14:paraId="607D8F47" w14:textId="77777777" w:rsidR="000D66C1" w:rsidRPr="00951AB1" w:rsidRDefault="000D66C1" w:rsidP="000A5389">
            <w:pPr>
              <w:spacing w:line="240" w:lineRule="auto"/>
              <w:jc w:val="right"/>
              <w:rPr>
                <w:rFonts w:eastAsia="Times New Roman" w:cs="Times New Roman"/>
                <w:b/>
                <w:bCs/>
                <w:color w:val="000000"/>
                <w:kern w:val="0"/>
                <w:sz w:val="18"/>
                <w:szCs w:val="18"/>
                <w:lang w:eastAsia="es-CO"/>
                <w14:ligatures w14:val="none"/>
              </w:rPr>
            </w:pPr>
          </w:p>
        </w:tc>
        <w:tc>
          <w:tcPr>
            <w:tcW w:w="1687" w:type="dxa"/>
            <w:noWrap/>
            <w:vAlign w:val="center"/>
            <w:hideMark/>
          </w:tcPr>
          <w:p w14:paraId="4BEE84F0" w14:textId="39E4824F" w:rsidR="000D66C1" w:rsidRPr="00951AB1" w:rsidRDefault="000D66C1" w:rsidP="000A5389">
            <w:pPr>
              <w:spacing w:line="240" w:lineRule="auto"/>
              <w:jc w:val="right"/>
              <w:rPr>
                <w:rFonts w:eastAsia="Times New Roman" w:cs="Times New Roman"/>
                <w:b/>
                <w:bCs/>
                <w:color w:val="000000"/>
                <w:kern w:val="0"/>
                <w:sz w:val="18"/>
                <w:szCs w:val="18"/>
                <w:lang w:eastAsia="es-CO"/>
                <w14:ligatures w14:val="none"/>
              </w:rPr>
            </w:pPr>
            <w:r w:rsidRPr="00951AB1">
              <w:rPr>
                <w:rFonts w:eastAsia="Times New Roman" w:cs="Times New Roman"/>
                <w:b/>
                <w:bCs/>
                <w:color w:val="000000"/>
                <w:kern w:val="0"/>
                <w:sz w:val="18"/>
                <w:szCs w:val="18"/>
                <w:lang w:eastAsia="es-CO"/>
                <w14:ligatures w14:val="none"/>
              </w:rPr>
              <w:t>7.778.683.792</w:t>
            </w:r>
          </w:p>
        </w:tc>
        <w:tc>
          <w:tcPr>
            <w:tcW w:w="1494" w:type="dxa"/>
            <w:noWrap/>
            <w:vAlign w:val="center"/>
            <w:hideMark/>
          </w:tcPr>
          <w:p w14:paraId="186EC57B" w14:textId="05D63DE5" w:rsidR="000D66C1" w:rsidRPr="00951AB1" w:rsidRDefault="000D66C1" w:rsidP="000A5389">
            <w:pPr>
              <w:spacing w:line="240" w:lineRule="auto"/>
              <w:jc w:val="right"/>
              <w:rPr>
                <w:rFonts w:eastAsia="Times New Roman" w:cs="Times New Roman"/>
                <w:b/>
                <w:bCs/>
                <w:color w:val="000000"/>
                <w:kern w:val="0"/>
                <w:sz w:val="18"/>
                <w:szCs w:val="18"/>
                <w:lang w:eastAsia="es-CO"/>
                <w14:ligatures w14:val="none"/>
              </w:rPr>
            </w:pPr>
            <w:r w:rsidRPr="00951AB1">
              <w:rPr>
                <w:rFonts w:eastAsia="Times New Roman" w:cs="Times New Roman"/>
                <w:b/>
                <w:bCs/>
                <w:color w:val="000000"/>
                <w:kern w:val="0"/>
                <w:sz w:val="18"/>
                <w:szCs w:val="18"/>
                <w:lang w:eastAsia="es-CO"/>
                <w14:ligatures w14:val="none"/>
              </w:rPr>
              <w:t>-7.778.683.792</w:t>
            </w:r>
          </w:p>
        </w:tc>
      </w:tr>
      <w:tr w:rsidR="00C70C31" w:rsidRPr="00951AB1" w14:paraId="6525C70F" w14:textId="77777777" w:rsidTr="000D66C1">
        <w:trPr>
          <w:trHeight w:val="285"/>
        </w:trPr>
        <w:tc>
          <w:tcPr>
            <w:tcW w:w="3964" w:type="dxa"/>
            <w:vAlign w:val="center"/>
            <w:hideMark/>
          </w:tcPr>
          <w:p w14:paraId="0522E5B8" w14:textId="77777777" w:rsidR="000D66C1" w:rsidRPr="00951AB1" w:rsidRDefault="000D66C1" w:rsidP="000A5389">
            <w:pPr>
              <w:spacing w:line="240" w:lineRule="auto"/>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lastRenderedPageBreak/>
              <w:t>Propiedades, Plan y Equipo</w:t>
            </w:r>
          </w:p>
        </w:tc>
        <w:tc>
          <w:tcPr>
            <w:tcW w:w="1683" w:type="dxa"/>
            <w:noWrap/>
            <w:vAlign w:val="center"/>
            <w:hideMark/>
          </w:tcPr>
          <w:p w14:paraId="26D36E08" w14:textId="77777777" w:rsidR="000D66C1" w:rsidRPr="00951AB1" w:rsidRDefault="000D66C1" w:rsidP="000A5389">
            <w:pPr>
              <w:spacing w:line="240" w:lineRule="auto"/>
              <w:jc w:val="right"/>
              <w:rPr>
                <w:rFonts w:eastAsia="Times New Roman" w:cs="Times New Roman"/>
                <w:color w:val="000000"/>
                <w:kern w:val="0"/>
                <w:sz w:val="18"/>
                <w:szCs w:val="18"/>
                <w:lang w:eastAsia="es-CO"/>
                <w14:ligatures w14:val="none"/>
              </w:rPr>
            </w:pPr>
          </w:p>
        </w:tc>
        <w:tc>
          <w:tcPr>
            <w:tcW w:w="1687" w:type="dxa"/>
            <w:noWrap/>
            <w:vAlign w:val="center"/>
            <w:hideMark/>
          </w:tcPr>
          <w:p w14:paraId="1830E680" w14:textId="036ABF3F" w:rsidR="000D66C1" w:rsidRPr="00951AB1" w:rsidRDefault="000D66C1"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7.778.683.792</w:t>
            </w:r>
          </w:p>
        </w:tc>
        <w:tc>
          <w:tcPr>
            <w:tcW w:w="1494" w:type="dxa"/>
            <w:noWrap/>
            <w:vAlign w:val="center"/>
            <w:hideMark/>
          </w:tcPr>
          <w:p w14:paraId="27077BD1" w14:textId="7861522D" w:rsidR="000D66C1" w:rsidRPr="00951AB1" w:rsidRDefault="000D66C1"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-7.778.683.792</w:t>
            </w:r>
          </w:p>
        </w:tc>
      </w:tr>
      <w:tr w:rsidR="00C70C31" w:rsidRPr="00951AB1" w14:paraId="3EC863CB" w14:textId="77777777" w:rsidTr="000D66C1">
        <w:trPr>
          <w:trHeight w:val="285"/>
        </w:trPr>
        <w:tc>
          <w:tcPr>
            <w:tcW w:w="3964" w:type="dxa"/>
            <w:vAlign w:val="center"/>
            <w:hideMark/>
          </w:tcPr>
          <w:p w14:paraId="755264E2" w14:textId="77777777" w:rsidR="000D66C1" w:rsidRPr="00951AB1" w:rsidRDefault="000D66C1" w:rsidP="000A5389">
            <w:pPr>
              <w:spacing w:line="240" w:lineRule="auto"/>
              <w:rPr>
                <w:rFonts w:eastAsia="Times New Roman" w:cs="Times New Roman"/>
                <w:b/>
                <w:bCs/>
                <w:color w:val="000000"/>
                <w:kern w:val="0"/>
                <w:sz w:val="18"/>
                <w:szCs w:val="18"/>
                <w:lang w:eastAsia="es-CO"/>
                <w14:ligatures w14:val="none"/>
              </w:rPr>
            </w:pPr>
            <w:r w:rsidRPr="00951AB1">
              <w:rPr>
                <w:rFonts w:eastAsia="Times New Roman" w:cs="Times New Roman"/>
                <w:b/>
                <w:bCs/>
                <w:color w:val="000000"/>
                <w:kern w:val="0"/>
                <w:sz w:val="18"/>
                <w:szCs w:val="18"/>
                <w:lang w:eastAsia="es-CO"/>
                <w14:ligatures w14:val="none"/>
              </w:rPr>
              <w:t xml:space="preserve">CONCESIONARIA RUTAS DEL VALLE S.A.S. </w:t>
            </w:r>
          </w:p>
        </w:tc>
        <w:tc>
          <w:tcPr>
            <w:tcW w:w="1683" w:type="dxa"/>
            <w:noWrap/>
            <w:vAlign w:val="center"/>
            <w:hideMark/>
          </w:tcPr>
          <w:p w14:paraId="74F53B84" w14:textId="2D25E84C" w:rsidR="000D66C1" w:rsidRPr="00951AB1" w:rsidRDefault="000D66C1" w:rsidP="000A5389">
            <w:pPr>
              <w:spacing w:line="240" w:lineRule="auto"/>
              <w:jc w:val="right"/>
              <w:rPr>
                <w:rFonts w:eastAsia="Times New Roman" w:cs="Times New Roman"/>
                <w:b/>
                <w:bCs/>
                <w:color w:val="000000"/>
                <w:kern w:val="0"/>
                <w:sz w:val="18"/>
                <w:szCs w:val="18"/>
                <w:lang w:eastAsia="es-CO"/>
                <w14:ligatures w14:val="none"/>
              </w:rPr>
            </w:pPr>
            <w:r w:rsidRPr="00951AB1">
              <w:rPr>
                <w:rFonts w:eastAsia="Times New Roman" w:cs="Times New Roman"/>
                <w:b/>
                <w:bCs/>
                <w:color w:val="000000"/>
                <w:kern w:val="0"/>
                <w:sz w:val="18"/>
                <w:szCs w:val="18"/>
                <w:lang w:eastAsia="es-CO"/>
                <w14:ligatures w14:val="none"/>
              </w:rPr>
              <w:t>1.067.349.180.307</w:t>
            </w:r>
          </w:p>
        </w:tc>
        <w:tc>
          <w:tcPr>
            <w:tcW w:w="1687" w:type="dxa"/>
            <w:noWrap/>
            <w:vAlign w:val="center"/>
            <w:hideMark/>
          </w:tcPr>
          <w:p w14:paraId="7EF93C3F" w14:textId="25972F8B" w:rsidR="000D66C1" w:rsidRPr="00951AB1" w:rsidRDefault="000D66C1" w:rsidP="000A5389">
            <w:pPr>
              <w:spacing w:line="240" w:lineRule="auto"/>
              <w:jc w:val="right"/>
              <w:rPr>
                <w:rFonts w:eastAsia="Times New Roman" w:cs="Times New Roman"/>
                <w:b/>
                <w:bCs/>
                <w:color w:val="000000"/>
                <w:kern w:val="0"/>
                <w:sz w:val="18"/>
                <w:szCs w:val="18"/>
                <w:lang w:eastAsia="es-CO"/>
                <w14:ligatures w14:val="none"/>
              </w:rPr>
            </w:pPr>
            <w:r w:rsidRPr="00951AB1">
              <w:rPr>
                <w:rFonts w:eastAsia="Times New Roman" w:cs="Times New Roman"/>
                <w:b/>
                <w:bCs/>
                <w:color w:val="000000"/>
                <w:kern w:val="0"/>
                <w:sz w:val="18"/>
                <w:szCs w:val="18"/>
                <w:lang w:eastAsia="es-CO"/>
                <w14:ligatures w14:val="none"/>
              </w:rPr>
              <w:t>386.186.401.878</w:t>
            </w:r>
          </w:p>
        </w:tc>
        <w:tc>
          <w:tcPr>
            <w:tcW w:w="1494" w:type="dxa"/>
            <w:noWrap/>
            <w:vAlign w:val="center"/>
            <w:hideMark/>
          </w:tcPr>
          <w:p w14:paraId="3A89427C" w14:textId="434B1BA8" w:rsidR="000D66C1" w:rsidRPr="00951AB1" w:rsidRDefault="000D66C1" w:rsidP="000A5389">
            <w:pPr>
              <w:spacing w:line="240" w:lineRule="auto"/>
              <w:jc w:val="right"/>
              <w:rPr>
                <w:rFonts w:eastAsia="Times New Roman" w:cs="Times New Roman"/>
                <w:b/>
                <w:bCs/>
                <w:color w:val="000000"/>
                <w:kern w:val="0"/>
                <w:sz w:val="18"/>
                <w:szCs w:val="18"/>
                <w:lang w:eastAsia="es-CO"/>
                <w14:ligatures w14:val="none"/>
              </w:rPr>
            </w:pPr>
            <w:r w:rsidRPr="00951AB1">
              <w:rPr>
                <w:rFonts w:eastAsia="Times New Roman" w:cs="Times New Roman"/>
                <w:b/>
                <w:bCs/>
                <w:color w:val="000000"/>
                <w:kern w:val="0"/>
                <w:sz w:val="18"/>
                <w:szCs w:val="18"/>
                <w:lang w:eastAsia="es-CO"/>
                <w14:ligatures w14:val="none"/>
              </w:rPr>
              <w:t>681.162.778.429</w:t>
            </w:r>
          </w:p>
        </w:tc>
      </w:tr>
      <w:tr w:rsidR="00C70C31" w:rsidRPr="00951AB1" w14:paraId="5C0BFD85" w14:textId="77777777" w:rsidTr="000D66C1">
        <w:trPr>
          <w:trHeight w:val="285"/>
        </w:trPr>
        <w:tc>
          <w:tcPr>
            <w:tcW w:w="3964" w:type="dxa"/>
            <w:vAlign w:val="center"/>
            <w:hideMark/>
          </w:tcPr>
          <w:p w14:paraId="28A926EF" w14:textId="77777777" w:rsidR="000D66C1" w:rsidRPr="00951AB1" w:rsidRDefault="000D66C1" w:rsidP="000A5389">
            <w:pPr>
              <w:spacing w:line="240" w:lineRule="auto"/>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Activos intangibles en concesión</w:t>
            </w:r>
          </w:p>
        </w:tc>
        <w:tc>
          <w:tcPr>
            <w:tcW w:w="1683" w:type="dxa"/>
            <w:noWrap/>
            <w:vAlign w:val="center"/>
            <w:hideMark/>
          </w:tcPr>
          <w:p w14:paraId="7C475D89" w14:textId="47E32A0B" w:rsidR="000D66C1" w:rsidRPr="00951AB1" w:rsidRDefault="000D66C1"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853.126.019</w:t>
            </w:r>
          </w:p>
        </w:tc>
        <w:tc>
          <w:tcPr>
            <w:tcW w:w="1687" w:type="dxa"/>
            <w:noWrap/>
            <w:vAlign w:val="center"/>
            <w:hideMark/>
          </w:tcPr>
          <w:p w14:paraId="58DC523F" w14:textId="68807E4E" w:rsidR="000D66C1" w:rsidRPr="00951AB1" w:rsidRDefault="000D66C1"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721.950.381</w:t>
            </w:r>
          </w:p>
        </w:tc>
        <w:tc>
          <w:tcPr>
            <w:tcW w:w="1494" w:type="dxa"/>
            <w:noWrap/>
            <w:vAlign w:val="center"/>
            <w:hideMark/>
          </w:tcPr>
          <w:p w14:paraId="174C0FEF" w14:textId="091A2EF8" w:rsidR="000D66C1" w:rsidRPr="00951AB1" w:rsidRDefault="000D66C1"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131.175.638</w:t>
            </w:r>
          </w:p>
        </w:tc>
      </w:tr>
      <w:tr w:rsidR="00C70C31" w:rsidRPr="00951AB1" w14:paraId="7A8A24AC" w14:textId="77777777" w:rsidTr="000D66C1">
        <w:trPr>
          <w:trHeight w:val="285"/>
        </w:trPr>
        <w:tc>
          <w:tcPr>
            <w:tcW w:w="3964" w:type="dxa"/>
            <w:vAlign w:val="center"/>
            <w:hideMark/>
          </w:tcPr>
          <w:p w14:paraId="5309ABE9" w14:textId="77777777" w:rsidR="000D66C1" w:rsidRPr="00951AB1" w:rsidRDefault="000D66C1" w:rsidP="000A5389">
            <w:pPr>
              <w:spacing w:line="240" w:lineRule="auto"/>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Propiedades, Plan y Equipo</w:t>
            </w:r>
          </w:p>
        </w:tc>
        <w:tc>
          <w:tcPr>
            <w:tcW w:w="1683" w:type="dxa"/>
            <w:noWrap/>
            <w:vAlign w:val="center"/>
            <w:hideMark/>
          </w:tcPr>
          <w:p w14:paraId="3514E642" w14:textId="713725AE" w:rsidR="000D66C1" w:rsidRPr="00951AB1" w:rsidRDefault="000D66C1"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19.760.304.785</w:t>
            </w:r>
          </w:p>
        </w:tc>
        <w:tc>
          <w:tcPr>
            <w:tcW w:w="1687" w:type="dxa"/>
            <w:noWrap/>
            <w:vAlign w:val="center"/>
            <w:hideMark/>
          </w:tcPr>
          <w:p w14:paraId="7DD238EE" w14:textId="7D355BD6" w:rsidR="000D66C1" w:rsidRPr="00951AB1" w:rsidRDefault="000D66C1"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3.596.914.421</w:t>
            </w:r>
          </w:p>
        </w:tc>
        <w:tc>
          <w:tcPr>
            <w:tcW w:w="1494" w:type="dxa"/>
            <w:noWrap/>
            <w:vAlign w:val="center"/>
            <w:hideMark/>
          </w:tcPr>
          <w:p w14:paraId="04DF0331" w14:textId="6CCD20B2" w:rsidR="000D66C1" w:rsidRPr="00951AB1" w:rsidRDefault="000D66C1"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16.163.390.364</w:t>
            </w:r>
          </w:p>
        </w:tc>
      </w:tr>
      <w:tr w:rsidR="00C70C31" w:rsidRPr="00951AB1" w14:paraId="270CD226" w14:textId="77777777" w:rsidTr="000D66C1">
        <w:trPr>
          <w:trHeight w:val="285"/>
        </w:trPr>
        <w:tc>
          <w:tcPr>
            <w:tcW w:w="3964" w:type="dxa"/>
            <w:vAlign w:val="center"/>
            <w:hideMark/>
          </w:tcPr>
          <w:p w14:paraId="20ADCB54" w14:textId="77777777" w:rsidR="000D66C1" w:rsidRPr="00951AB1" w:rsidRDefault="000D66C1" w:rsidP="000A5389">
            <w:pPr>
              <w:spacing w:line="240" w:lineRule="auto"/>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Red carretera</w:t>
            </w:r>
          </w:p>
        </w:tc>
        <w:tc>
          <w:tcPr>
            <w:tcW w:w="1683" w:type="dxa"/>
            <w:noWrap/>
            <w:vAlign w:val="center"/>
            <w:hideMark/>
          </w:tcPr>
          <w:p w14:paraId="465E1E45" w14:textId="5AAA0329" w:rsidR="000D66C1" w:rsidRPr="00951AB1" w:rsidRDefault="000D66C1"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924.530.449.581</w:t>
            </w:r>
          </w:p>
        </w:tc>
        <w:tc>
          <w:tcPr>
            <w:tcW w:w="1687" w:type="dxa"/>
            <w:noWrap/>
            <w:vAlign w:val="center"/>
            <w:hideMark/>
          </w:tcPr>
          <w:p w14:paraId="23BC2538" w14:textId="67EF8D91" w:rsidR="000D66C1" w:rsidRPr="00951AB1" w:rsidRDefault="000D66C1"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379.976.007.155</w:t>
            </w:r>
          </w:p>
        </w:tc>
        <w:tc>
          <w:tcPr>
            <w:tcW w:w="1494" w:type="dxa"/>
            <w:noWrap/>
            <w:vAlign w:val="center"/>
            <w:hideMark/>
          </w:tcPr>
          <w:p w14:paraId="03EC9B41" w14:textId="5ECB4282" w:rsidR="000D66C1" w:rsidRPr="00951AB1" w:rsidRDefault="000D66C1"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544.554.442.426</w:t>
            </w:r>
          </w:p>
        </w:tc>
      </w:tr>
      <w:tr w:rsidR="00C70C31" w:rsidRPr="00951AB1" w14:paraId="70248A9E" w14:textId="77777777" w:rsidTr="000D66C1">
        <w:trPr>
          <w:trHeight w:val="285"/>
        </w:trPr>
        <w:tc>
          <w:tcPr>
            <w:tcW w:w="3964" w:type="dxa"/>
            <w:vAlign w:val="center"/>
            <w:hideMark/>
          </w:tcPr>
          <w:p w14:paraId="31E6C4DC" w14:textId="77777777" w:rsidR="000D66C1" w:rsidRPr="00951AB1" w:rsidRDefault="000D66C1" w:rsidP="000A5389">
            <w:pPr>
              <w:spacing w:line="240" w:lineRule="auto"/>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Terrenos</w:t>
            </w:r>
          </w:p>
        </w:tc>
        <w:tc>
          <w:tcPr>
            <w:tcW w:w="1683" w:type="dxa"/>
            <w:noWrap/>
            <w:vAlign w:val="center"/>
            <w:hideMark/>
          </w:tcPr>
          <w:p w14:paraId="7D1B0994" w14:textId="04859076" w:rsidR="000D66C1" w:rsidRPr="00951AB1" w:rsidRDefault="000D66C1"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122.205.299.921</w:t>
            </w:r>
          </w:p>
        </w:tc>
        <w:tc>
          <w:tcPr>
            <w:tcW w:w="1687" w:type="dxa"/>
            <w:noWrap/>
            <w:vAlign w:val="center"/>
            <w:hideMark/>
          </w:tcPr>
          <w:p w14:paraId="114B74EB" w14:textId="1C31424F" w:rsidR="000D66C1" w:rsidRPr="00951AB1" w:rsidRDefault="000D66C1"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1.891.529.920</w:t>
            </w:r>
          </w:p>
        </w:tc>
        <w:tc>
          <w:tcPr>
            <w:tcW w:w="1494" w:type="dxa"/>
            <w:noWrap/>
            <w:vAlign w:val="center"/>
            <w:hideMark/>
          </w:tcPr>
          <w:p w14:paraId="16D1227B" w14:textId="7D8CB8D5" w:rsidR="000D66C1" w:rsidRPr="00951AB1" w:rsidRDefault="000D66C1"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120.313.770.001</w:t>
            </w:r>
          </w:p>
        </w:tc>
      </w:tr>
      <w:tr w:rsidR="00C70C31" w:rsidRPr="00951AB1" w14:paraId="5F93C41B" w14:textId="77777777" w:rsidTr="000D66C1">
        <w:trPr>
          <w:trHeight w:val="285"/>
        </w:trPr>
        <w:tc>
          <w:tcPr>
            <w:tcW w:w="3964" w:type="dxa"/>
            <w:vAlign w:val="center"/>
            <w:hideMark/>
          </w:tcPr>
          <w:p w14:paraId="44E6C99B" w14:textId="77777777" w:rsidR="000D66C1" w:rsidRPr="00951AB1" w:rsidRDefault="000D66C1" w:rsidP="000A5389">
            <w:pPr>
              <w:spacing w:line="240" w:lineRule="auto"/>
              <w:rPr>
                <w:rFonts w:eastAsia="Times New Roman" w:cs="Times New Roman"/>
                <w:b/>
                <w:bCs/>
                <w:color w:val="000000"/>
                <w:kern w:val="0"/>
                <w:sz w:val="18"/>
                <w:szCs w:val="18"/>
                <w:lang w:eastAsia="es-CO"/>
                <w14:ligatures w14:val="none"/>
              </w:rPr>
            </w:pPr>
            <w:r w:rsidRPr="00951AB1">
              <w:rPr>
                <w:rFonts w:eastAsia="Times New Roman" w:cs="Times New Roman"/>
                <w:b/>
                <w:bCs/>
                <w:color w:val="000000"/>
                <w:kern w:val="0"/>
                <w:sz w:val="18"/>
                <w:szCs w:val="18"/>
                <w:lang w:eastAsia="es-CO"/>
                <w14:ligatures w14:val="none"/>
              </w:rPr>
              <w:t>AUTOPISTAS DEL CARIBE SAS</w:t>
            </w:r>
          </w:p>
        </w:tc>
        <w:tc>
          <w:tcPr>
            <w:tcW w:w="1683" w:type="dxa"/>
            <w:noWrap/>
            <w:vAlign w:val="center"/>
            <w:hideMark/>
          </w:tcPr>
          <w:p w14:paraId="64D12309" w14:textId="75338D57" w:rsidR="000D66C1" w:rsidRPr="00951AB1" w:rsidRDefault="000D66C1" w:rsidP="000A5389">
            <w:pPr>
              <w:spacing w:line="240" w:lineRule="auto"/>
              <w:jc w:val="right"/>
              <w:rPr>
                <w:rFonts w:eastAsia="Times New Roman" w:cs="Times New Roman"/>
                <w:b/>
                <w:bCs/>
                <w:color w:val="000000"/>
                <w:kern w:val="0"/>
                <w:sz w:val="18"/>
                <w:szCs w:val="18"/>
                <w:lang w:eastAsia="es-CO"/>
                <w14:ligatures w14:val="none"/>
              </w:rPr>
            </w:pPr>
            <w:r w:rsidRPr="00951AB1">
              <w:rPr>
                <w:rFonts w:eastAsia="Times New Roman" w:cs="Times New Roman"/>
                <w:b/>
                <w:bCs/>
                <w:color w:val="000000"/>
                <w:kern w:val="0"/>
                <w:sz w:val="18"/>
                <w:szCs w:val="18"/>
                <w:lang w:eastAsia="es-CO"/>
                <w14:ligatures w14:val="none"/>
              </w:rPr>
              <w:t>1.228.212.761.502</w:t>
            </w:r>
          </w:p>
        </w:tc>
        <w:tc>
          <w:tcPr>
            <w:tcW w:w="1687" w:type="dxa"/>
            <w:noWrap/>
            <w:vAlign w:val="center"/>
            <w:hideMark/>
          </w:tcPr>
          <w:p w14:paraId="463A0768" w14:textId="5CCFBB89" w:rsidR="000D66C1" w:rsidRPr="00951AB1" w:rsidRDefault="000D66C1" w:rsidP="000A5389">
            <w:pPr>
              <w:spacing w:line="240" w:lineRule="auto"/>
              <w:jc w:val="right"/>
              <w:rPr>
                <w:rFonts w:eastAsia="Times New Roman" w:cs="Times New Roman"/>
                <w:b/>
                <w:bCs/>
                <w:color w:val="000000"/>
                <w:kern w:val="0"/>
                <w:sz w:val="18"/>
                <w:szCs w:val="18"/>
                <w:lang w:eastAsia="es-CO"/>
                <w14:ligatures w14:val="none"/>
              </w:rPr>
            </w:pPr>
            <w:r w:rsidRPr="00951AB1">
              <w:rPr>
                <w:rFonts w:eastAsia="Times New Roman" w:cs="Times New Roman"/>
                <w:b/>
                <w:bCs/>
                <w:color w:val="000000"/>
                <w:kern w:val="0"/>
                <w:sz w:val="18"/>
                <w:szCs w:val="18"/>
                <w:lang w:eastAsia="es-CO"/>
                <w14:ligatures w14:val="none"/>
              </w:rPr>
              <w:t>1.228.212.761.502</w:t>
            </w:r>
          </w:p>
        </w:tc>
        <w:tc>
          <w:tcPr>
            <w:tcW w:w="1494" w:type="dxa"/>
            <w:noWrap/>
            <w:vAlign w:val="center"/>
            <w:hideMark/>
          </w:tcPr>
          <w:p w14:paraId="3B3AF347" w14:textId="55C69D40" w:rsidR="000D66C1" w:rsidRPr="00951AB1" w:rsidRDefault="000D66C1" w:rsidP="000A5389">
            <w:pPr>
              <w:spacing w:line="240" w:lineRule="auto"/>
              <w:jc w:val="right"/>
              <w:rPr>
                <w:rFonts w:eastAsia="Times New Roman" w:cs="Times New Roman"/>
                <w:b/>
                <w:bCs/>
                <w:color w:val="000000"/>
                <w:kern w:val="0"/>
                <w:sz w:val="18"/>
                <w:szCs w:val="18"/>
                <w:lang w:eastAsia="es-CO"/>
                <w14:ligatures w14:val="none"/>
              </w:rPr>
            </w:pPr>
            <w:r w:rsidRPr="00951AB1">
              <w:rPr>
                <w:rFonts w:eastAsia="Times New Roman" w:cs="Times New Roman"/>
                <w:b/>
                <w:bCs/>
                <w:color w:val="000000"/>
                <w:kern w:val="0"/>
                <w:sz w:val="18"/>
                <w:szCs w:val="18"/>
                <w:lang w:eastAsia="es-CO"/>
                <w14:ligatures w14:val="none"/>
              </w:rPr>
              <w:t>-</w:t>
            </w:r>
          </w:p>
        </w:tc>
      </w:tr>
      <w:tr w:rsidR="00C70C31" w:rsidRPr="00951AB1" w14:paraId="2AE022A3" w14:textId="77777777" w:rsidTr="000D66C1">
        <w:trPr>
          <w:trHeight w:val="285"/>
        </w:trPr>
        <w:tc>
          <w:tcPr>
            <w:tcW w:w="3964" w:type="dxa"/>
            <w:vAlign w:val="center"/>
            <w:hideMark/>
          </w:tcPr>
          <w:p w14:paraId="42D72D6E" w14:textId="77777777" w:rsidR="000D66C1" w:rsidRPr="00951AB1" w:rsidRDefault="000D66C1" w:rsidP="000A5389">
            <w:pPr>
              <w:spacing w:line="240" w:lineRule="auto"/>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Activos intangibles en concesión</w:t>
            </w:r>
          </w:p>
        </w:tc>
        <w:tc>
          <w:tcPr>
            <w:tcW w:w="1683" w:type="dxa"/>
            <w:noWrap/>
            <w:vAlign w:val="center"/>
            <w:hideMark/>
          </w:tcPr>
          <w:p w14:paraId="53F6A4D5" w14:textId="34A3C4C8" w:rsidR="000D66C1" w:rsidRPr="00951AB1" w:rsidRDefault="000D66C1"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399.899.500</w:t>
            </w:r>
          </w:p>
        </w:tc>
        <w:tc>
          <w:tcPr>
            <w:tcW w:w="1687" w:type="dxa"/>
            <w:noWrap/>
            <w:vAlign w:val="center"/>
            <w:hideMark/>
          </w:tcPr>
          <w:p w14:paraId="381E7158" w14:textId="1F26823B" w:rsidR="000D66C1" w:rsidRPr="00951AB1" w:rsidRDefault="000D66C1"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399.899.500</w:t>
            </w:r>
          </w:p>
        </w:tc>
        <w:tc>
          <w:tcPr>
            <w:tcW w:w="1494" w:type="dxa"/>
            <w:noWrap/>
            <w:vAlign w:val="center"/>
            <w:hideMark/>
          </w:tcPr>
          <w:p w14:paraId="02EF2160" w14:textId="6ACF28A7" w:rsidR="000D66C1" w:rsidRPr="00951AB1" w:rsidRDefault="000D66C1"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w:t>
            </w:r>
          </w:p>
        </w:tc>
      </w:tr>
      <w:tr w:rsidR="00C70C31" w:rsidRPr="00951AB1" w14:paraId="443184DD" w14:textId="77777777" w:rsidTr="000D66C1">
        <w:trPr>
          <w:trHeight w:val="285"/>
        </w:trPr>
        <w:tc>
          <w:tcPr>
            <w:tcW w:w="3964" w:type="dxa"/>
            <w:vAlign w:val="center"/>
            <w:hideMark/>
          </w:tcPr>
          <w:p w14:paraId="739D9AFC" w14:textId="77777777" w:rsidR="000D66C1" w:rsidRPr="00951AB1" w:rsidRDefault="000D66C1" w:rsidP="000A5389">
            <w:pPr>
              <w:spacing w:line="240" w:lineRule="auto"/>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Propiedades, Plan y Equipo</w:t>
            </w:r>
          </w:p>
        </w:tc>
        <w:tc>
          <w:tcPr>
            <w:tcW w:w="1683" w:type="dxa"/>
            <w:noWrap/>
            <w:vAlign w:val="center"/>
            <w:hideMark/>
          </w:tcPr>
          <w:p w14:paraId="004FA93E" w14:textId="0C86774C" w:rsidR="000D66C1" w:rsidRPr="00951AB1" w:rsidRDefault="000D66C1"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1.519.994.601</w:t>
            </w:r>
          </w:p>
        </w:tc>
        <w:tc>
          <w:tcPr>
            <w:tcW w:w="1687" w:type="dxa"/>
            <w:noWrap/>
            <w:vAlign w:val="center"/>
            <w:hideMark/>
          </w:tcPr>
          <w:p w14:paraId="0B1C4E06" w14:textId="00AFEF38" w:rsidR="000D66C1" w:rsidRPr="00951AB1" w:rsidRDefault="000D66C1"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294.598.161</w:t>
            </w:r>
          </w:p>
        </w:tc>
        <w:tc>
          <w:tcPr>
            <w:tcW w:w="1494" w:type="dxa"/>
            <w:noWrap/>
            <w:vAlign w:val="center"/>
            <w:hideMark/>
          </w:tcPr>
          <w:p w14:paraId="57E9ECE2" w14:textId="3F60B363" w:rsidR="000D66C1" w:rsidRPr="00951AB1" w:rsidRDefault="000D66C1"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1.225.396.440</w:t>
            </w:r>
          </w:p>
        </w:tc>
      </w:tr>
      <w:tr w:rsidR="00C70C31" w:rsidRPr="00951AB1" w14:paraId="6DD53ED8" w14:textId="77777777" w:rsidTr="000D66C1">
        <w:trPr>
          <w:trHeight w:val="285"/>
        </w:trPr>
        <w:tc>
          <w:tcPr>
            <w:tcW w:w="3964" w:type="dxa"/>
            <w:vAlign w:val="center"/>
            <w:hideMark/>
          </w:tcPr>
          <w:p w14:paraId="3AC2FCFC" w14:textId="77777777" w:rsidR="000D66C1" w:rsidRPr="00951AB1" w:rsidRDefault="000D66C1" w:rsidP="000A5389">
            <w:pPr>
              <w:spacing w:line="240" w:lineRule="auto"/>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Red carretera</w:t>
            </w:r>
          </w:p>
        </w:tc>
        <w:tc>
          <w:tcPr>
            <w:tcW w:w="1683" w:type="dxa"/>
            <w:noWrap/>
            <w:vAlign w:val="center"/>
            <w:hideMark/>
          </w:tcPr>
          <w:p w14:paraId="65701C32" w14:textId="38F5B2AE" w:rsidR="000D66C1" w:rsidRPr="00951AB1" w:rsidRDefault="000D66C1"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1.107.910.297.689</w:t>
            </w:r>
          </w:p>
        </w:tc>
        <w:tc>
          <w:tcPr>
            <w:tcW w:w="1687" w:type="dxa"/>
            <w:noWrap/>
            <w:vAlign w:val="center"/>
            <w:hideMark/>
          </w:tcPr>
          <w:p w14:paraId="18F6A367" w14:textId="0B552645" w:rsidR="000D66C1" w:rsidRPr="00951AB1" w:rsidRDefault="000D66C1"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1.109.135.694.129</w:t>
            </w:r>
          </w:p>
        </w:tc>
        <w:tc>
          <w:tcPr>
            <w:tcW w:w="1494" w:type="dxa"/>
            <w:noWrap/>
            <w:vAlign w:val="center"/>
            <w:hideMark/>
          </w:tcPr>
          <w:p w14:paraId="48E755D9" w14:textId="09D6AEE3" w:rsidR="000D66C1" w:rsidRPr="00951AB1" w:rsidRDefault="000D66C1"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-1.225.396.440</w:t>
            </w:r>
          </w:p>
        </w:tc>
      </w:tr>
      <w:tr w:rsidR="00C70C31" w:rsidRPr="00951AB1" w14:paraId="0059A78D" w14:textId="77777777" w:rsidTr="000D66C1">
        <w:trPr>
          <w:trHeight w:val="285"/>
        </w:trPr>
        <w:tc>
          <w:tcPr>
            <w:tcW w:w="3964" w:type="dxa"/>
            <w:vAlign w:val="center"/>
            <w:hideMark/>
          </w:tcPr>
          <w:p w14:paraId="28D8DC95" w14:textId="77777777" w:rsidR="000D66C1" w:rsidRPr="00951AB1" w:rsidRDefault="000D66C1" w:rsidP="000A5389">
            <w:pPr>
              <w:spacing w:line="240" w:lineRule="auto"/>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Terrenos</w:t>
            </w:r>
          </w:p>
        </w:tc>
        <w:tc>
          <w:tcPr>
            <w:tcW w:w="1683" w:type="dxa"/>
            <w:noWrap/>
            <w:vAlign w:val="center"/>
            <w:hideMark/>
          </w:tcPr>
          <w:p w14:paraId="2292FA33" w14:textId="4B9DD456" w:rsidR="000D66C1" w:rsidRPr="00951AB1" w:rsidRDefault="000D66C1"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118.382.569.712</w:t>
            </w:r>
          </w:p>
        </w:tc>
        <w:tc>
          <w:tcPr>
            <w:tcW w:w="1687" w:type="dxa"/>
            <w:noWrap/>
            <w:vAlign w:val="center"/>
            <w:hideMark/>
          </w:tcPr>
          <w:p w14:paraId="7B954799" w14:textId="1AB0A7C5" w:rsidR="000D66C1" w:rsidRPr="00951AB1" w:rsidRDefault="000D66C1"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118.382.569.712</w:t>
            </w:r>
          </w:p>
        </w:tc>
        <w:tc>
          <w:tcPr>
            <w:tcW w:w="1494" w:type="dxa"/>
            <w:noWrap/>
            <w:vAlign w:val="center"/>
            <w:hideMark/>
          </w:tcPr>
          <w:p w14:paraId="28E8A6F4" w14:textId="60FF19CE" w:rsidR="000D66C1" w:rsidRPr="00951AB1" w:rsidRDefault="000D66C1"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w:t>
            </w:r>
          </w:p>
        </w:tc>
      </w:tr>
      <w:tr w:rsidR="00C70C31" w:rsidRPr="00951AB1" w14:paraId="6F3F9FCC" w14:textId="77777777" w:rsidTr="000D66C1">
        <w:trPr>
          <w:trHeight w:val="285"/>
        </w:trPr>
        <w:tc>
          <w:tcPr>
            <w:tcW w:w="3964" w:type="dxa"/>
            <w:vAlign w:val="center"/>
            <w:hideMark/>
          </w:tcPr>
          <w:p w14:paraId="0A7D7596" w14:textId="77777777" w:rsidR="000D66C1" w:rsidRPr="00951AB1" w:rsidRDefault="000D66C1" w:rsidP="000A5389">
            <w:pPr>
              <w:spacing w:line="240" w:lineRule="auto"/>
              <w:rPr>
                <w:rFonts w:eastAsia="Times New Roman" w:cs="Times New Roman"/>
                <w:b/>
                <w:bCs/>
                <w:color w:val="000000"/>
                <w:kern w:val="0"/>
                <w:sz w:val="18"/>
                <w:szCs w:val="18"/>
                <w:lang w:eastAsia="es-CO"/>
                <w14:ligatures w14:val="none"/>
              </w:rPr>
            </w:pPr>
            <w:r w:rsidRPr="00951AB1">
              <w:rPr>
                <w:rFonts w:eastAsia="Times New Roman" w:cs="Times New Roman"/>
                <w:b/>
                <w:bCs/>
                <w:color w:val="000000"/>
                <w:kern w:val="0"/>
                <w:sz w:val="18"/>
                <w:szCs w:val="18"/>
                <w:lang w:eastAsia="es-CO"/>
                <w14:ligatures w14:val="none"/>
              </w:rPr>
              <w:t>CONCESIONARIA RUTA BOGOTÁ NORTE S.A.S</w:t>
            </w:r>
          </w:p>
        </w:tc>
        <w:tc>
          <w:tcPr>
            <w:tcW w:w="1683" w:type="dxa"/>
            <w:noWrap/>
            <w:vAlign w:val="center"/>
            <w:hideMark/>
          </w:tcPr>
          <w:p w14:paraId="0A14B92A" w14:textId="4D858CC7" w:rsidR="000D66C1" w:rsidRPr="00951AB1" w:rsidRDefault="000D66C1" w:rsidP="000A5389">
            <w:pPr>
              <w:spacing w:line="240" w:lineRule="auto"/>
              <w:jc w:val="right"/>
              <w:rPr>
                <w:rFonts w:eastAsia="Times New Roman" w:cs="Times New Roman"/>
                <w:b/>
                <w:bCs/>
                <w:color w:val="000000"/>
                <w:kern w:val="0"/>
                <w:sz w:val="18"/>
                <w:szCs w:val="18"/>
                <w:lang w:eastAsia="es-CO"/>
                <w14:ligatures w14:val="none"/>
              </w:rPr>
            </w:pPr>
            <w:r w:rsidRPr="00951AB1">
              <w:rPr>
                <w:rFonts w:eastAsia="Times New Roman" w:cs="Times New Roman"/>
                <w:b/>
                <w:bCs/>
                <w:color w:val="000000"/>
                <w:kern w:val="0"/>
                <w:sz w:val="18"/>
                <w:szCs w:val="18"/>
                <w:lang w:eastAsia="es-CO"/>
                <w14:ligatures w14:val="none"/>
              </w:rPr>
              <w:t>2.458.875.700</w:t>
            </w:r>
          </w:p>
        </w:tc>
        <w:tc>
          <w:tcPr>
            <w:tcW w:w="1687" w:type="dxa"/>
            <w:noWrap/>
            <w:vAlign w:val="center"/>
            <w:hideMark/>
          </w:tcPr>
          <w:p w14:paraId="58102E8E" w14:textId="793F7FA8" w:rsidR="000D66C1" w:rsidRPr="00951AB1" w:rsidRDefault="000D66C1" w:rsidP="000A5389">
            <w:pPr>
              <w:spacing w:line="240" w:lineRule="auto"/>
              <w:jc w:val="right"/>
              <w:rPr>
                <w:rFonts w:eastAsia="Times New Roman" w:cs="Times New Roman"/>
                <w:b/>
                <w:bCs/>
                <w:color w:val="000000"/>
                <w:kern w:val="0"/>
                <w:sz w:val="18"/>
                <w:szCs w:val="18"/>
                <w:lang w:eastAsia="es-CO"/>
                <w14:ligatures w14:val="none"/>
              </w:rPr>
            </w:pPr>
            <w:r w:rsidRPr="00951AB1">
              <w:rPr>
                <w:rFonts w:eastAsia="Times New Roman" w:cs="Times New Roman"/>
                <w:b/>
                <w:bCs/>
                <w:color w:val="000000"/>
                <w:kern w:val="0"/>
                <w:sz w:val="18"/>
                <w:szCs w:val="18"/>
                <w:lang w:eastAsia="es-CO"/>
                <w14:ligatures w14:val="none"/>
              </w:rPr>
              <w:t>1.868.205.678</w:t>
            </w:r>
          </w:p>
        </w:tc>
        <w:tc>
          <w:tcPr>
            <w:tcW w:w="1494" w:type="dxa"/>
            <w:noWrap/>
            <w:vAlign w:val="center"/>
            <w:hideMark/>
          </w:tcPr>
          <w:p w14:paraId="7FD6D1E8" w14:textId="0EF76F91" w:rsidR="000D66C1" w:rsidRPr="00951AB1" w:rsidRDefault="000D66C1" w:rsidP="000A5389">
            <w:pPr>
              <w:spacing w:line="240" w:lineRule="auto"/>
              <w:jc w:val="right"/>
              <w:rPr>
                <w:rFonts w:eastAsia="Times New Roman" w:cs="Times New Roman"/>
                <w:b/>
                <w:bCs/>
                <w:color w:val="000000"/>
                <w:kern w:val="0"/>
                <w:sz w:val="18"/>
                <w:szCs w:val="18"/>
                <w:lang w:eastAsia="es-CO"/>
                <w14:ligatures w14:val="none"/>
              </w:rPr>
            </w:pPr>
            <w:r w:rsidRPr="00951AB1">
              <w:rPr>
                <w:rFonts w:eastAsia="Times New Roman" w:cs="Times New Roman"/>
                <w:b/>
                <w:bCs/>
                <w:color w:val="000000"/>
                <w:kern w:val="0"/>
                <w:sz w:val="18"/>
                <w:szCs w:val="18"/>
                <w:lang w:eastAsia="es-CO"/>
                <w14:ligatures w14:val="none"/>
              </w:rPr>
              <w:t>590.670.022</w:t>
            </w:r>
          </w:p>
        </w:tc>
      </w:tr>
      <w:tr w:rsidR="00C70C31" w:rsidRPr="00951AB1" w14:paraId="79E03857" w14:textId="77777777" w:rsidTr="000D66C1">
        <w:trPr>
          <w:trHeight w:val="285"/>
        </w:trPr>
        <w:tc>
          <w:tcPr>
            <w:tcW w:w="3964" w:type="dxa"/>
            <w:vAlign w:val="center"/>
            <w:hideMark/>
          </w:tcPr>
          <w:p w14:paraId="76E25250" w14:textId="77777777" w:rsidR="000D66C1" w:rsidRPr="00951AB1" w:rsidRDefault="000D66C1" w:rsidP="000A5389">
            <w:pPr>
              <w:spacing w:line="240" w:lineRule="auto"/>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Activos intangibles en concesión</w:t>
            </w:r>
          </w:p>
        </w:tc>
        <w:tc>
          <w:tcPr>
            <w:tcW w:w="1683" w:type="dxa"/>
            <w:noWrap/>
            <w:vAlign w:val="center"/>
            <w:hideMark/>
          </w:tcPr>
          <w:p w14:paraId="637CB4FB" w14:textId="008BB7A1" w:rsidR="000D66C1" w:rsidRPr="00951AB1" w:rsidRDefault="000D66C1"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1.380.333.452</w:t>
            </w:r>
          </w:p>
        </w:tc>
        <w:tc>
          <w:tcPr>
            <w:tcW w:w="1687" w:type="dxa"/>
            <w:noWrap/>
            <w:vAlign w:val="center"/>
            <w:hideMark/>
          </w:tcPr>
          <w:p w14:paraId="4237ED01" w14:textId="05D59E16" w:rsidR="000D66C1" w:rsidRPr="00951AB1" w:rsidRDefault="000D66C1"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809.156.567</w:t>
            </w:r>
          </w:p>
        </w:tc>
        <w:tc>
          <w:tcPr>
            <w:tcW w:w="1494" w:type="dxa"/>
            <w:noWrap/>
            <w:vAlign w:val="center"/>
            <w:hideMark/>
          </w:tcPr>
          <w:p w14:paraId="768C27CF" w14:textId="453A0F75" w:rsidR="000D66C1" w:rsidRPr="00951AB1" w:rsidRDefault="000D66C1"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571.176.885</w:t>
            </w:r>
          </w:p>
        </w:tc>
      </w:tr>
      <w:tr w:rsidR="00C70C31" w:rsidRPr="00951AB1" w14:paraId="66BB4403" w14:textId="77777777" w:rsidTr="000D66C1">
        <w:trPr>
          <w:trHeight w:val="285"/>
        </w:trPr>
        <w:tc>
          <w:tcPr>
            <w:tcW w:w="3964" w:type="dxa"/>
            <w:vAlign w:val="center"/>
            <w:hideMark/>
          </w:tcPr>
          <w:p w14:paraId="29DE6375" w14:textId="77777777" w:rsidR="000D66C1" w:rsidRPr="00951AB1" w:rsidRDefault="000D66C1" w:rsidP="000A5389">
            <w:pPr>
              <w:spacing w:line="240" w:lineRule="auto"/>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Propiedades, Plan y Equipo</w:t>
            </w:r>
          </w:p>
        </w:tc>
        <w:tc>
          <w:tcPr>
            <w:tcW w:w="1683" w:type="dxa"/>
            <w:noWrap/>
            <w:vAlign w:val="center"/>
            <w:hideMark/>
          </w:tcPr>
          <w:p w14:paraId="539A511A" w14:textId="7192EB40" w:rsidR="000D66C1" w:rsidRPr="00951AB1" w:rsidRDefault="000D66C1"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1.078.542.248</w:t>
            </w:r>
          </w:p>
        </w:tc>
        <w:tc>
          <w:tcPr>
            <w:tcW w:w="1687" w:type="dxa"/>
            <w:noWrap/>
            <w:vAlign w:val="center"/>
            <w:hideMark/>
          </w:tcPr>
          <w:p w14:paraId="622624DD" w14:textId="121B818C" w:rsidR="000D66C1" w:rsidRPr="00951AB1" w:rsidRDefault="000D66C1"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1.059.049.111</w:t>
            </w:r>
          </w:p>
        </w:tc>
        <w:tc>
          <w:tcPr>
            <w:tcW w:w="1494" w:type="dxa"/>
            <w:noWrap/>
            <w:vAlign w:val="center"/>
            <w:hideMark/>
          </w:tcPr>
          <w:p w14:paraId="6C612AFE" w14:textId="0F88A109" w:rsidR="000D66C1" w:rsidRPr="00951AB1" w:rsidRDefault="000D66C1"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19.493.137</w:t>
            </w:r>
          </w:p>
        </w:tc>
      </w:tr>
      <w:tr w:rsidR="00C70C31" w:rsidRPr="00951AB1" w14:paraId="0A6E25C0" w14:textId="77777777" w:rsidTr="000D66C1">
        <w:trPr>
          <w:trHeight w:val="285"/>
        </w:trPr>
        <w:tc>
          <w:tcPr>
            <w:tcW w:w="3964" w:type="dxa"/>
            <w:vAlign w:val="center"/>
            <w:hideMark/>
          </w:tcPr>
          <w:p w14:paraId="392D1D1A" w14:textId="77777777" w:rsidR="000D66C1" w:rsidRPr="00951AB1" w:rsidRDefault="000D66C1" w:rsidP="000A5389">
            <w:pPr>
              <w:spacing w:line="240" w:lineRule="auto"/>
              <w:rPr>
                <w:rFonts w:eastAsia="Times New Roman" w:cs="Times New Roman"/>
                <w:b/>
                <w:bCs/>
                <w:color w:val="000000"/>
                <w:kern w:val="0"/>
                <w:sz w:val="18"/>
                <w:szCs w:val="18"/>
                <w:lang w:eastAsia="es-CO"/>
                <w14:ligatures w14:val="none"/>
              </w:rPr>
            </w:pPr>
            <w:r w:rsidRPr="00951AB1">
              <w:rPr>
                <w:rFonts w:eastAsia="Times New Roman" w:cs="Times New Roman"/>
                <w:b/>
                <w:bCs/>
                <w:color w:val="000000"/>
                <w:kern w:val="0"/>
                <w:sz w:val="18"/>
                <w:szCs w:val="18"/>
                <w:lang w:eastAsia="es-CO"/>
                <w14:ligatures w14:val="none"/>
              </w:rPr>
              <w:t>AUTOPISTA MAGDALENA MEDIO SAS</w:t>
            </w:r>
          </w:p>
        </w:tc>
        <w:tc>
          <w:tcPr>
            <w:tcW w:w="1683" w:type="dxa"/>
            <w:noWrap/>
            <w:vAlign w:val="center"/>
            <w:hideMark/>
          </w:tcPr>
          <w:p w14:paraId="12C24B82" w14:textId="29386F66" w:rsidR="000D66C1" w:rsidRPr="00951AB1" w:rsidRDefault="000D66C1" w:rsidP="000A5389">
            <w:pPr>
              <w:spacing w:line="240" w:lineRule="auto"/>
              <w:jc w:val="right"/>
              <w:rPr>
                <w:rFonts w:eastAsia="Times New Roman" w:cs="Times New Roman"/>
                <w:b/>
                <w:bCs/>
                <w:color w:val="000000"/>
                <w:kern w:val="0"/>
                <w:sz w:val="18"/>
                <w:szCs w:val="18"/>
                <w:lang w:eastAsia="es-CO"/>
                <w14:ligatures w14:val="none"/>
              </w:rPr>
            </w:pPr>
            <w:r w:rsidRPr="00951AB1">
              <w:rPr>
                <w:rFonts w:eastAsia="Times New Roman" w:cs="Times New Roman"/>
                <w:b/>
                <w:bCs/>
                <w:color w:val="000000"/>
                <w:kern w:val="0"/>
                <w:sz w:val="18"/>
                <w:szCs w:val="18"/>
                <w:lang w:eastAsia="es-CO"/>
                <w14:ligatures w14:val="none"/>
              </w:rPr>
              <w:t>3.336.220.905.168</w:t>
            </w:r>
          </w:p>
        </w:tc>
        <w:tc>
          <w:tcPr>
            <w:tcW w:w="1687" w:type="dxa"/>
            <w:noWrap/>
            <w:vAlign w:val="center"/>
            <w:hideMark/>
          </w:tcPr>
          <w:p w14:paraId="42D784A1" w14:textId="422A339B" w:rsidR="000D66C1" w:rsidRPr="00951AB1" w:rsidRDefault="000D66C1" w:rsidP="000A5389">
            <w:pPr>
              <w:spacing w:line="240" w:lineRule="auto"/>
              <w:jc w:val="right"/>
              <w:rPr>
                <w:rFonts w:eastAsia="Times New Roman" w:cs="Times New Roman"/>
                <w:b/>
                <w:bCs/>
                <w:color w:val="000000"/>
                <w:kern w:val="0"/>
                <w:sz w:val="18"/>
                <w:szCs w:val="18"/>
                <w:lang w:eastAsia="es-CO"/>
                <w14:ligatures w14:val="none"/>
              </w:rPr>
            </w:pPr>
            <w:r w:rsidRPr="00951AB1">
              <w:rPr>
                <w:rFonts w:eastAsia="Times New Roman" w:cs="Times New Roman"/>
                <w:b/>
                <w:bCs/>
                <w:color w:val="000000"/>
                <w:kern w:val="0"/>
                <w:sz w:val="18"/>
                <w:szCs w:val="18"/>
                <w:lang w:eastAsia="es-CO"/>
                <w14:ligatures w14:val="none"/>
              </w:rPr>
              <w:t>564.264.751.659</w:t>
            </w:r>
          </w:p>
        </w:tc>
        <w:tc>
          <w:tcPr>
            <w:tcW w:w="1494" w:type="dxa"/>
            <w:noWrap/>
            <w:vAlign w:val="center"/>
            <w:hideMark/>
          </w:tcPr>
          <w:p w14:paraId="6107FC7D" w14:textId="7B877912" w:rsidR="000D66C1" w:rsidRPr="00951AB1" w:rsidRDefault="000D66C1" w:rsidP="000A5389">
            <w:pPr>
              <w:spacing w:line="240" w:lineRule="auto"/>
              <w:jc w:val="right"/>
              <w:rPr>
                <w:rFonts w:eastAsia="Times New Roman" w:cs="Times New Roman"/>
                <w:b/>
                <w:bCs/>
                <w:color w:val="000000"/>
                <w:kern w:val="0"/>
                <w:sz w:val="18"/>
                <w:szCs w:val="18"/>
                <w:lang w:eastAsia="es-CO"/>
                <w14:ligatures w14:val="none"/>
              </w:rPr>
            </w:pPr>
            <w:r w:rsidRPr="00951AB1">
              <w:rPr>
                <w:rFonts w:eastAsia="Times New Roman" w:cs="Times New Roman"/>
                <w:b/>
                <w:bCs/>
                <w:color w:val="000000"/>
                <w:kern w:val="0"/>
                <w:sz w:val="18"/>
                <w:szCs w:val="18"/>
                <w:lang w:eastAsia="es-CO"/>
                <w14:ligatures w14:val="none"/>
              </w:rPr>
              <w:t>2.771.956.153.509</w:t>
            </w:r>
          </w:p>
        </w:tc>
      </w:tr>
      <w:tr w:rsidR="00C70C31" w:rsidRPr="00951AB1" w14:paraId="37336BA4" w14:textId="77777777" w:rsidTr="000D66C1">
        <w:trPr>
          <w:trHeight w:val="285"/>
        </w:trPr>
        <w:tc>
          <w:tcPr>
            <w:tcW w:w="3964" w:type="dxa"/>
            <w:vAlign w:val="center"/>
            <w:hideMark/>
          </w:tcPr>
          <w:p w14:paraId="3EAADE2A" w14:textId="77777777" w:rsidR="000D66C1" w:rsidRPr="00951AB1" w:rsidRDefault="000D66C1" w:rsidP="000A5389">
            <w:pPr>
              <w:spacing w:line="240" w:lineRule="auto"/>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Propiedades, Plan y Equipo</w:t>
            </w:r>
          </w:p>
        </w:tc>
        <w:tc>
          <w:tcPr>
            <w:tcW w:w="1683" w:type="dxa"/>
            <w:noWrap/>
            <w:vAlign w:val="center"/>
            <w:hideMark/>
          </w:tcPr>
          <w:p w14:paraId="3C19B990" w14:textId="2FD89920" w:rsidR="000D66C1" w:rsidRPr="00951AB1" w:rsidRDefault="000D66C1"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5.505.737.185</w:t>
            </w:r>
          </w:p>
        </w:tc>
        <w:tc>
          <w:tcPr>
            <w:tcW w:w="1687" w:type="dxa"/>
            <w:noWrap/>
            <w:vAlign w:val="center"/>
            <w:hideMark/>
          </w:tcPr>
          <w:p w14:paraId="41F0AE04" w14:textId="0A0503CA" w:rsidR="000D66C1" w:rsidRPr="00951AB1" w:rsidRDefault="000D66C1"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4.066.904.057</w:t>
            </w:r>
          </w:p>
        </w:tc>
        <w:tc>
          <w:tcPr>
            <w:tcW w:w="1494" w:type="dxa"/>
            <w:noWrap/>
            <w:vAlign w:val="center"/>
            <w:hideMark/>
          </w:tcPr>
          <w:p w14:paraId="4950AE16" w14:textId="5940AB89" w:rsidR="000D66C1" w:rsidRPr="00951AB1" w:rsidRDefault="000D66C1"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1.438.833.128</w:t>
            </w:r>
          </w:p>
        </w:tc>
      </w:tr>
      <w:tr w:rsidR="00C70C31" w:rsidRPr="00951AB1" w14:paraId="5B678A9B" w14:textId="77777777" w:rsidTr="000D66C1">
        <w:trPr>
          <w:trHeight w:val="285"/>
        </w:trPr>
        <w:tc>
          <w:tcPr>
            <w:tcW w:w="3964" w:type="dxa"/>
            <w:vAlign w:val="center"/>
            <w:hideMark/>
          </w:tcPr>
          <w:p w14:paraId="4AB550C3" w14:textId="77777777" w:rsidR="000D66C1" w:rsidRPr="00951AB1" w:rsidRDefault="000D66C1" w:rsidP="000A5389">
            <w:pPr>
              <w:spacing w:line="240" w:lineRule="auto"/>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Red carretera</w:t>
            </w:r>
          </w:p>
        </w:tc>
        <w:tc>
          <w:tcPr>
            <w:tcW w:w="1683" w:type="dxa"/>
            <w:noWrap/>
            <w:vAlign w:val="center"/>
            <w:hideMark/>
          </w:tcPr>
          <w:p w14:paraId="28E82F0B" w14:textId="7414BB4B" w:rsidR="000D66C1" w:rsidRPr="00951AB1" w:rsidRDefault="000D66C1"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2.711.451.132.754</w:t>
            </w:r>
          </w:p>
        </w:tc>
        <w:tc>
          <w:tcPr>
            <w:tcW w:w="1687" w:type="dxa"/>
            <w:noWrap/>
            <w:vAlign w:val="center"/>
            <w:hideMark/>
          </w:tcPr>
          <w:p w14:paraId="6E61898B" w14:textId="2A1BAA72" w:rsidR="000D66C1" w:rsidRPr="00951AB1" w:rsidRDefault="000D66C1"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32.739.157.097</w:t>
            </w:r>
          </w:p>
        </w:tc>
        <w:tc>
          <w:tcPr>
            <w:tcW w:w="1494" w:type="dxa"/>
            <w:noWrap/>
            <w:vAlign w:val="center"/>
            <w:hideMark/>
          </w:tcPr>
          <w:p w14:paraId="2EE67D74" w14:textId="15D2CC35" w:rsidR="000D66C1" w:rsidRPr="00951AB1" w:rsidRDefault="000D66C1"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2.678.711.975.657</w:t>
            </w:r>
          </w:p>
        </w:tc>
      </w:tr>
      <w:tr w:rsidR="00C70C31" w:rsidRPr="00951AB1" w14:paraId="6A76064E" w14:textId="77777777" w:rsidTr="000D66C1">
        <w:trPr>
          <w:trHeight w:val="285"/>
        </w:trPr>
        <w:tc>
          <w:tcPr>
            <w:tcW w:w="3964" w:type="dxa"/>
            <w:vAlign w:val="center"/>
            <w:hideMark/>
          </w:tcPr>
          <w:p w14:paraId="2E3D3061" w14:textId="77777777" w:rsidR="000D66C1" w:rsidRPr="00951AB1" w:rsidRDefault="000D66C1" w:rsidP="000A5389">
            <w:pPr>
              <w:spacing w:line="240" w:lineRule="auto"/>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Terrenos</w:t>
            </w:r>
          </w:p>
        </w:tc>
        <w:tc>
          <w:tcPr>
            <w:tcW w:w="1683" w:type="dxa"/>
            <w:noWrap/>
            <w:vAlign w:val="center"/>
            <w:hideMark/>
          </w:tcPr>
          <w:p w14:paraId="7C75CB6E" w14:textId="11A15692" w:rsidR="000D66C1" w:rsidRPr="00951AB1" w:rsidRDefault="000D66C1"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91.805.344.724</w:t>
            </w:r>
          </w:p>
        </w:tc>
        <w:tc>
          <w:tcPr>
            <w:tcW w:w="1687" w:type="dxa"/>
            <w:noWrap/>
            <w:vAlign w:val="center"/>
            <w:hideMark/>
          </w:tcPr>
          <w:p w14:paraId="4E0A4521" w14:textId="77777777" w:rsidR="000D66C1" w:rsidRPr="00951AB1" w:rsidRDefault="000D66C1" w:rsidP="000A5389">
            <w:pPr>
              <w:spacing w:line="240" w:lineRule="auto"/>
              <w:jc w:val="right"/>
              <w:rPr>
                <w:rFonts w:eastAsia="Times New Roman" w:cs="Times New Roman"/>
                <w:color w:val="000000"/>
                <w:kern w:val="0"/>
                <w:sz w:val="18"/>
                <w:szCs w:val="18"/>
                <w:lang w:eastAsia="es-CO"/>
                <w14:ligatures w14:val="none"/>
              </w:rPr>
            </w:pPr>
          </w:p>
        </w:tc>
        <w:tc>
          <w:tcPr>
            <w:tcW w:w="1494" w:type="dxa"/>
            <w:noWrap/>
            <w:vAlign w:val="center"/>
            <w:hideMark/>
          </w:tcPr>
          <w:p w14:paraId="7B0ADABA" w14:textId="55BCA802" w:rsidR="000D66C1" w:rsidRPr="00951AB1" w:rsidRDefault="000D66C1"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91.805.344.724</w:t>
            </w:r>
          </w:p>
        </w:tc>
      </w:tr>
      <w:tr w:rsidR="00C70C31" w:rsidRPr="00951AB1" w14:paraId="446F835D" w14:textId="77777777" w:rsidTr="000D66C1">
        <w:trPr>
          <w:trHeight w:val="285"/>
        </w:trPr>
        <w:tc>
          <w:tcPr>
            <w:tcW w:w="3964" w:type="dxa"/>
            <w:noWrap/>
            <w:vAlign w:val="center"/>
            <w:hideMark/>
          </w:tcPr>
          <w:p w14:paraId="4CDCDE8A" w14:textId="77777777" w:rsidR="000D66C1" w:rsidRPr="00951AB1" w:rsidRDefault="000D66C1" w:rsidP="000A5389">
            <w:pPr>
              <w:spacing w:line="240" w:lineRule="auto"/>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Recursos de la entidad concedente en patrimonios autónomos constituidos por concesionarios privados</w:t>
            </w:r>
          </w:p>
        </w:tc>
        <w:tc>
          <w:tcPr>
            <w:tcW w:w="1683" w:type="dxa"/>
            <w:noWrap/>
            <w:vAlign w:val="center"/>
            <w:hideMark/>
          </w:tcPr>
          <w:p w14:paraId="505225CE" w14:textId="4BCF7F54" w:rsidR="000D66C1" w:rsidRPr="00951AB1" w:rsidRDefault="000D66C1"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527.458.690.505</w:t>
            </w:r>
          </w:p>
        </w:tc>
        <w:tc>
          <w:tcPr>
            <w:tcW w:w="1687" w:type="dxa"/>
            <w:noWrap/>
            <w:vAlign w:val="center"/>
            <w:hideMark/>
          </w:tcPr>
          <w:p w14:paraId="7A812939" w14:textId="17AF5FE4" w:rsidR="000D66C1" w:rsidRPr="00951AB1" w:rsidRDefault="000D66C1"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527.458.690.505</w:t>
            </w:r>
          </w:p>
        </w:tc>
        <w:tc>
          <w:tcPr>
            <w:tcW w:w="1494" w:type="dxa"/>
            <w:noWrap/>
            <w:vAlign w:val="center"/>
            <w:hideMark/>
          </w:tcPr>
          <w:p w14:paraId="4817644C" w14:textId="761636BD" w:rsidR="000D66C1" w:rsidRPr="00951AB1" w:rsidRDefault="000D66C1"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w:t>
            </w:r>
          </w:p>
        </w:tc>
      </w:tr>
      <w:tr w:rsidR="00C70C31" w:rsidRPr="00951AB1" w14:paraId="0B86EE10" w14:textId="77777777" w:rsidTr="000D66C1">
        <w:trPr>
          <w:trHeight w:val="285"/>
        </w:trPr>
        <w:tc>
          <w:tcPr>
            <w:tcW w:w="3964" w:type="dxa"/>
            <w:vAlign w:val="center"/>
            <w:hideMark/>
          </w:tcPr>
          <w:p w14:paraId="050F52C4" w14:textId="77777777" w:rsidR="000D66C1" w:rsidRPr="00951AB1" w:rsidRDefault="000D66C1" w:rsidP="000A5389">
            <w:pPr>
              <w:spacing w:line="240" w:lineRule="auto"/>
              <w:rPr>
                <w:rFonts w:eastAsia="Times New Roman" w:cs="Times New Roman"/>
                <w:b/>
                <w:bCs/>
                <w:color w:val="000000"/>
                <w:kern w:val="0"/>
                <w:sz w:val="18"/>
                <w:szCs w:val="18"/>
                <w:lang w:eastAsia="es-CO"/>
                <w14:ligatures w14:val="none"/>
              </w:rPr>
            </w:pPr>
            <w:r w:rsidRPr="00951AB1">
              <w:rPr>
                <w:rFonts w:eastAsia="Times New Roman" w:cs="Times New Roman"/>
                <w:b/>
                <w:bCs/>
                <w:color w:val="000000"/>
                <w:kern w:val="0"/>
                <w:sz w:val="18"/>
                <w:szCs w:val="18"/>
                <w:lang w:eastAsia="es-CO"/>
                <w14:ligatures w14:val="none"/>
              </w:rPr>
              <w:t>AUTOPISTA DEL RIO GRANDE S.A.S</w:t>
            </w:r>
          </w:p>
        </w:tc>
        <w:tc>
          <w:tcPr>
            <w:tcW w:w="1683" w:type="dxa"/>
            <w:noWrap/>
            <w:vAlign w:val="center"/>
            <w:hideMark/>
          </w:tcPr>
          <w:p w14:paraId="37E6E3B9" w14:textId="6D529310" w:rsidR="000D66C1" w:rsidRPr="00951AB1" w:rsidRDefault="000D66C1" w:rsidP="000A5389">
            <w:pPr>
              <w:spacing w:line="240" w:lineRule="auto"/>
              <w:jc w:val="right"/>
              <w:rPr>
                <w:rFonts w:eastAsia="Times New Roman" w:cs="Times New Roman"/>
                <w:b/>
                <w:bCs/>
                <w:color w:val="000000"/>
                <w:kern w:val="0"/>
                <w:sz w:val="18"/>
                <w:szCs w:val="18"/>
                <w:lang w:eastAsia="es-CO"/>
                <w14:ligatures w14:val="none"/>
              </w:rPr>
            </w:pPr>
            <w:r w:rsidRPr="00951AB1">
              <w:rPr>
                <w:rFonts w:eastAsia="Times New Roman" w:cs="Times New Roman"/>
                <w:b/>
                <w:bCs/>
                <w:color w:val="000000"/>
                <w:kern w:val="0"/>
                <w:sz w:val="18"/>
                <w:szCs w:val="18"/>
                <w:lang w:eastAsia="es-CO"/>
                <w14:ligatures w14:val="none"/>
              </w:rPr>
              <w:t>2.441.345.151.331</w:t>
            </w:r>
          </w:p>
        </w:tc>
        <w:tc>
          <w:tcPr>
            <w:tcW w:w="1687" w:type="dxa"/>
            <w:noWrap/>
            <w:vAlign w:val="center"/>
            <w:hideMark/>
          </w:tcPr>
          <w:p w14:paraId="2FBB04BA" w14:textId="74578EB1" w:rsidR="000D66C1" w:rsidRPr="00951AB1" w:rsidRDefault="000D66C1" w:rsidP="000A5389">
            <w:pPr>
              <w:spacing w:line="240" w:lineRule="auto"/>
              <w:jc w:val="right"/>
              <w:rPr>
                <w:rFonts w:eastAsia="Times New Roman" w:cs="Times New Roman"/>
                <w:b/>
                <w:bCs/>
                <w:color w:val="000000"/>
                <w:kern w:val="0"/>
                <w:sz w:val="18"/>
                <w:szCs w:val="18"/>
                <w:lang w:eastAsia="es-CO"/>
                <w14:ligatures w14:val="none"/>
              </w:rPr>
            </w:pPr>
            <w:r w:rsidRPr="00951AB1">
              <w:rPr>
                <w:rFonts w:eastAsia="Times New Roman" w:cs="Times New Roman"/>
                <w:b/>
                <w:bCs/>
                <w:color w:val="000000"/>
                <w:kern w:val="0"/>
                <w:sz w:val="18"/>
                <w:szCs w:val="18"/>
                <w:lang w:eastAsia="es-CO"/>
                <w14:ligatures w14:val="none"/>
              </w:rPr>
              <w:t>478.337.978.295</w:t>
            </w:r>
          </w:p>
        </w:tc>
        <w:tc>
          <w:tcPr>
            <w:tcW w:w="1494" w:type="dxa"/>
            <w:noWrap/>
            <w:vAlign w:val="center"/>
            <w:hideMark/>
          </w:tcPr>
          <w:p w14:paraId="34B12937" w14:textId="5F4E2F58" w:rsidR="000D66C1" w:rsidRPr="00951AB1" w:rsidRDefault="000D66C1" w:rsidP="000A5389">
            <w:pPr>
              <w:spacing w:line="240" w:lineRule="auto"/>
              <w:jc w:val="right"/>
              <w:rPr>
                <w:rFonts w:eastAsia="Times New Roman" w:cs="Times New Roman"/>
                <w:b/>
                <w:bCs/>
                <w:color w:val="000000"/>
                <w:kern w:val="0"/>
                <w:sz w:val="18"/>
                <w:szCs w:val="18"/>
                <w:lang w:eastAsia="es-CO"/>
                <w14:ligatures w14:val="none"/>
              </w:rPr>
            </w:pPr>
            <w:r w:rsidRPr="00951AB1">
              <w:rPr>
                <w:rFonts w:eastAsia="Times New Roman" w:cs="Times New Roman"/>
                <w:b/>
                <w:bCs/>
                <w:color w:val="000000"/>
                <w:kern w:val="0"/>
                <w:sz w:val="18"/>
                <w:szCs w:val="18"/>
                <w:lang w:eastAsia="es-CO"/>
                <w14:ligatures w14:val="none"/>
              </w:rPr>
              <w:t>1.963.007.173.036</w:t>
            </w:r>
          </w:p>
        </w:tc>
      </w:tr>
      <w:tr w:rsidR="00C70C31" w:rsidRPr="00951AB1" w14:paraId="1D08BEDA" w14:textId="77777777" w:rsidTr="000D66C1">
        <w:trPr>
          <w:trHeight w:val="285"/>
        </w:trPr>
        <w:tc>
          <w:tcPr>
            <w:tcW w:w="3964" w:type="dxa"/>
            <w:vAlign w:val="center"/>
            <w:hideMark/>
          </w:tcPr>
          <w:p w14:paraId="52678F70" w14:textId="77777777" w:rsidR="000D66C1" w:rsidRPr="00951AB1" w:rsidRDefault="000D66C1" w:rsidP="000A5389">
            <w:pPr>
              <w:spacing w:line="240" w:lineRule="auto"/>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Propiedades, Plan y Equipo</w:t>
            </w:r>
          </w:p>
        </w:tc>
        <w:tc>
          <w:tcPr>
            <w:tcW w:w="1683" w:type="dxa"/>
            <w:noWrap/>
            <w:vAlign w:val="center"/>
            <w:hideMark/>
          </w:tcPr>
          <w:p w14:paraId="69F69B4B" w14:textId="39E6376F" w:rsidR="000D66C1" w:rsidRPr="00951AB1" w:rsidRDefault="000D66C1"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5.745.744.494</w:t>
            </w:r>
          </w:p>
        </w:tc>
        <w:tc>
          <w:tcPr>
            <w:tcW w:w="1687" w:type="dxa"/>
            <w:noWrap/>
            <w:vAlign w:val="center"/>
            <w:hideMark/>
          </w:tcPr>
          <w:p w14:paraId="34B083C2" w14:textId="5D4B4A7D" w:rsidR="000D66C1" w:rsidRPr="00951AB1" w:rsidRDefault="000D66C1"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2.510.637.232</w:t>
            </w:r>
          </w:p>
        </w:tc>
        <w:tc>
          <w:tcPr>
            <w:tcW w:w="1494" w:type="dxa"/>
            <w:noWrap/>
            <w:vAlign w:val="center"/>
            <w:hideMark/>
          </w:tcPr>
          <w:p w14:paraId="72BB7873" w14:textId="7E59F74D" w:rsidR="000D66C1" w:rsidRPr="00951AB1" w:rsidRDefault="000D66C1"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3.235.107.262</w:t>
            </w:r>
          </w:p>
        </w:tc>
      </w:tr>
      <w:tr w:rsidR="00C70C31" w:rsidRPr="00951AB1" w14:paraId="4FC9AC21" w14:textId="77777777" w:rsidTr="000D66C1">
        <w:trPr>
          <w:trHeight w:val="285"/>
        </w:trPr>
        <w:tc>
          <w:tcPr>
            <w:tcW w:w="3964" w:type="dxa"/>
            <w:vAlign w:val="center"/>
            <w:hideMark/>
          </w:tcPr>
          <w:p w14:paraId="738E7A66" w14:textId="77777777" w:rsidR="000D66C1" w:rsidRPr="00951AB1" w:rsidRDefault="000D66C1" w:rsidP="000A5389">
            <w:pPr>
              <w:spacing w:line="240" w:lineRule="auto"/>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Red carretera</w:t>
            </w:r>
          </w:p>
        </w:tc>
        <w:tc>
          <w:tcPr>
            <w:tcW w:w="1683" w:type="dxa"/>
            <w:noWrap/>
            <w:vAlign w:val="center"/>
            <w:hideMark/>
          </w:tcPr>
          <w:p w14:paraId="3BFA86A7" w14:textId="17D8C76E" w:rsidR="000D66C1" w:rsidRPr="00951AB1" w:rsidRDefault="000D66C1"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1.999.750.425.875</w:t>
            </w:r>
          </w:p>
        </w:tc>
        <w:tc>
          <w:tcPr>
            <w:tcW w:w="1687" w:type="dxa"/>
            <w:noWrap/>
            <w:vAlign w:val="center"/>
            <w:hideMark/>
          </w:tcPr>
          <w:p w14:paraId="150C8837" w14:textId="20B94E2D" w:rsidR="000D66C1" w:rsidRPr="00951AB1" w:rsidRDefault="000D66C1"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175.426.115.903</w:t>
            </w:r>
          </w:p>
        </w:tc>
        <w:tc>
          <w:tcPr>
            <w:tcW w:w="1494" w:type="dxa"/>
            <w:noWrap/>
            <w:vAlign w:val="center"/>
            <w:hideMark/>
          </w:tcPr>
          <w:p w14:paraId="1CD26DC4" w14:textId="53E1B6BA" w:rsidR="000D66C1" w:rsidRPr="00951AB1" w:rsidRDefault="000D66C1"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1.824.324.309.972</w:t>
            </w:r>
          </w:p>
        </w:tc>
      </w:tr>
      <w:tr w:rsidR="00C70C31" w:rsidRPr="00951AB1" w14:paraId="65D2FE45" w14:textId="77777777" w:rsidTr="000D66C1">
        <w:trPr>
          <w:trHeight w:val="285"/>
        </w:trPr>
        <w:tc>
          <w:tcPr>
            <w:tcW w:w="3964" w:type="dxa"/>
            <w:vAlign w:val="center"/>
            <w:hideMark/>
          </w:tcPr>
          <w:p w14:paraId="06DD431C" w14:textId="77777777" w:rsidR="000D66C1" w:rsidRPr="00951AB1" w:rsidRDefault="000D66C1" w:rsidP="000A5389">
            <w:pPr>
              <w:spacing w:line="240" w:lineRule="auto"/>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Terrenos</w:t>
            </w:r>
          </w:p>
        </w:tc>
        <w:tc>
          <w:tcPr>
            <w:tcW w:w="1683" w:type="dxa"/>
            <w:noWrap/>
            <w:vAlign w:val="center"/>
            <w:hideMark/>
          </w:tcPr>
          <w:p w14:paraId="716449D5" w14:textId="5EACD100" w:rsidR="000D66C1" w:rsidRPr="00951AB1" w:rsidRDefault="000D66C1"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135.447.755.802</w:t>
            </w:r>
          </w:p>
        </w:tc>
        <w:tc>
          <w:tcPr>
            <w:tcW w:w="1687" w:type="dxa"/>
            <w:noWrap/>
            <w:vAlign w:val="center"/>
            <w:hideMark/>
          </w:tcPr>
          <w:p w14:paraId="2F716737" w14:textId="77777777" w:rsidR="000D66C1" w:rsidRPr="00951AB1" w:rsidRDefault="000D66C1" w:rsidP="000A5389">
            <w:pPr>
              <w:spacing w:line="240" w:lineRule="auto"/>
              <w:jc w:val="right"/>
              <w:rPr>
                <w:rFonts w:eastAsia="Times New Roman" w:cs="Times New Roman"/>
                <w:color w:val="000000"/>
                <w:kern w:val="0"/>
                <w:sz w:val="18"/>
                <w:szCs w:val="18"/>
                <w:lang w:eastAsia="es-CO"/>
                <w14:ligatures w14:val="none"/>
              </w:rPr>
            </w:pPr>
          </w:p>
        </w:tc>
        <w:tc>
          <w:tcPr>
            <w:tcW w:w="1494" w:type="dxa"/>
            <w:noWrap/>
            <w:vAlign w:val="center"/>
            <w:hideMark/>
          </w:tcPr>
          <w:p w14:paraId="2C91861E" w14:textId="30F8C120" w:rsidR="000D66C1" w:rsidRPr="00951AB1" w:rsidRDefault="000D66C1"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135.447.755.802</w:t>
            </w:r>
          </w:p>
        </w:tc>
      </w:tr>
      <w:tr w:rsidR="00C70C31" w:rsidRPr="00951AB1" w14:paraId="36FE758D" w14:textId="77777777" w:rsidTr="000D66C1">
        <w:trPr>
          <w:trHeight w:val="285"/>
        </w:trPr>
        <w:tc>
          <w:tcPr>
            <w:tcW w:w="3964" w:type="dxa"/>
            <w:noWrap/>
            <w:vAlign w:val="center"/>
            <w:hideMark/>
          </w:tcPr>
          <w:p w14:paraId="6A7180F2" w14:textId="77777777" w:rsidR="000D66C1" w:rsidRPr="00951AB1" w:rsidRDefault="000D66C1" w:rsidP="000A5389">
            <w:pPr>
              <w:spacing w:line="240" w:lineRule="auto"/>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Recursos de la entidad concedente en patrimonios autónomos constituidos por concesionarios privados</w:t>
            </w:r>
          </w:p>
        </w:tc>
        <w:tc>
          <w:tcPr>
            <w:tcW w:w="1683" w:type="dxa"/>
            <w:noWrap/>
            <w:vAlign w:val="center"/>
            <w:hideMark/>
          </w:tcPr>
          <w:p w14:paraId="1F6CA2A0" w14:textId="727BC00B" w:rsidR="000D66C1" w:rsidRPr="00951AB1" w:rsidRDefault="000D66C1"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300.401.225.160</w:t>
            </w:r>
          </w:p>
        </w:tc>
        <w:tc>
          <w:tcPr>
            <w:tcW w:w="1687" w:type="dxa"/>
            <w:noWrap/>
            <w:vAlign w:val="center"/>
            <w:hideMark/>
          </w:tcPr>
          <w:p w14:paraId="25A79E62" w14:textId="70B8810D" w:rsidR="000D66C1" w:rsidRPr="00951AB1" w:rsidRDefault="000D66C1"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300.401.225.160</w:t>
            </w:r>
          </w:p>
        </w:tc>
        <w:tc>
          <w:tcPr>
            <w:tcW w:w="1494" w:type="dxa"/>
            <w:noWrap/>
            <w:vAlign w:val="center"/>
            <w:hideMark/>
          </w:tcPr>
          <w:p w14:paraId="2A73C94E" w14:textId="787ACDF1" w:rsidR="000D66C1" w:rsidRPr="00951AB1" w:rsidRDefault="000D66C1"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w:t>
            </w:r>
          </w:p>
        </w:tc>
      </w:tr>
      <w:tr w:rsidR="003D2671" w:rsidRPr="00951AB1" w14:paraId="3E33B476" w14:textId="77777777" w:rsidTr="000701CF">
        <w:trPr>
          <w:trHeight w:val="285"/>
        </w:trPr>
        <w:tc>
          <w:tcPr>
            <w:tcW w:w="3964" w:type="dxa"/>
            <w:vAlign w:val="center"/>
          </w:tcPr>
          <w:p w14:paraId="76343D9B" w14:textId="125985B5" w:rsidR="0039248B" w:rsidRPr="00951AB1" w:rsidRDefault="0039248B" w:rsidP="000A5389">
            <w:pPr>
              <w:spacing w:line="240" w:lineRule="auto"/>
              <w:rPr>
                <w:rFonts w:eastAsia="Times New Roman" w:cs="Times New Roman"/>
                <w:b/>
                <w:bCs/>
                <w:color w:val="000000"/>
                <w:kern w:val="0"/>
                <w:sz w:val="18"/>
                <w:szCs w:val="18"/>
                <w:lang w:eastAsia="es-CO"/>
                <w14:ligatures w14:val="none"/>
              </w:rPr>
            </w:pPr>
            <w:r w:rsidRPr="00951AB1">
              <w:rPr>
                <w:rFonts w:eastAsia="Times New Roman" w:cs="Times New Roman"/>
                <w:b/>
                <w:bCs/>
                <w:color w:val="000000"/>
                <w:kern w:val="0"/>
                <w:sz w:val="18"/>
                <w:szCs w:val="18"/>
                <w:lang w:eastAsia="es-CO"/>
                <w14:ligatures w14:val="none"/>
              </w:rPr>
              <w:t>ALO SUR S.A.S</w:t>
            </w:r>
          </w:p>
        </w:tc>
        <w:tc>
          <w:tcPr>
            <w:tcW w:w="1683" w:type="dxa"/>
            <w:noWrap/>
            <w:vAlign w:val="center"/>
          </w:tcPr>
          <w:p w14:paraId="4D2C5BF1" w14:textId="5B3778C9" w:rsidR="0039248B" w:rsidRPr="00951AB1" w:rsidRDefault="00141BD1" w:rsidP="000A5389">
            <w:pPr>
              <w:spacing w:line="240" w:lineRule="auto"/>
              <w:jc w:val="right"/>
              <w:rPr>
                <w:rFonts w:eastAsia="Times New Roman" w:cs="Times New Roman"/>
                <w:b/>
                <w:bCs/>
                <w:color w:val="000000"/>
                <w:kern w:val="0"/>
                <w:sz w:val="18"/>
                <w:szCs w:val="18"/>
                <w:lang w:eastAsia="es-CO"/>
                <w14:ligatures w14:val="none"/>
              </w:rPr>
            </w:pPr>
            <w:r w:rsidRPr="00951AB1">
              <w:rPr>
                <w:rFonts w:eastAsia="Times New Roman" w:cs="Times New Roman"/>
                <w:b/>
                <w:bCs/>
                <w:color w:val="000000"/>
                <w:kern w:val="0"/>
                <w:sz w:val="18"/>
                <w:szCs w:val="18"/>
                <w:lang w:eastAsia="es-CO"/>
                <w14:ligatures w14:val="none"/>
              </w:rPr>
              <w:t>38.930.932.114</w:t>
            </w:r>
          </w:p>
        </w:tc>
        <w:tc>
          <w:tcPr>
            <w:tcW w:w="1687" w:type="dxa"/>
            <w:noWrap/>
            <w:vAlign w:val="center"/>
          </w:tcPr>
          <w:p w14:paraId="39D01779" w14:textId="4D5ABD17" w:rsidR="0039248B" w:rsidRPr="00951AB1" w:rsidRDefault="00C27350" w:rsidP="000A5389">
            <w:pPr>
              <w:spacing w:line="240" w:lineRule="auto"/>
              <w:jc w:val="right"/>
              <w:rPr>
                <w:rFonts w:eastAsia="Times New Roman" w:cs="Times New Roman"/>
                <w:b/>
                <w:bCs/>
                <w:color w:val="000000"/>
                <w:kern w:val="0"/>
                <w:sz w:val="18"/>
                <w:szCs w:val="18"/>
                <w:lang w:eastAsia="es-CO"/>
                <w14:ligatures w14:val="none"/>
              </w:rPr>
            </w:pPr>
            <w:r w:rsidRPr="00951AB1">
              <w:rPr>
                <w:rFonts w:eastAsia="Times New Roman" w:cs="Times New Roman"/>
                <w:b/>
                <w:bCs/>
                <w:color w:val="000000"/>
                <w:kern w:val="0"/>
                <w:sz w:val="18"/>
                <w:szCs w:val="18"/>
                <w:lang w:eastAsia="es-CO"/>
                <w14:ligatures w14:val="none"/>
              </w:rPr>
              <w:t>38.765.332.112</w:t>
            </w:r>
          </w:p>
        </w:tc>
        <w:tc>
          <w:tcPr>
            <w:tcW w:w="1494" w:type="dxa"/>
            <w:noWrap/>
            <w:vAlign w:val="bottom"/>
          </w:tcPr>
          <w:p w14:paraId="7F215E83" w14:textId="03C186E6" w:rsidR="0039248B" w:rsidRPr="00951AB1" w:rsidRDefault="00C27350" w:rsidP="000A5389">
            <w:pPr>
              <w:spacing w:line="240" w:lineRule="auto"/>
              <w:jc w:val="right"/>
              <w:rPr>
                <w:rFonts w:eastAsia="Times New Roman" w:cs="Times New Roman"/>
                <w:b/>
                <w:bCs/>
                <w:color w:val="000000"/>
                <w:kern w:val="0"/>
                <w:sz w:val="18"/>
                <w:szCs w:val="18"/>
                <w:lang w:eastAsia="es-CO"/>
                <w14:ligatures w14:val="none"/>
              </w:rPr>
            </w:pPr>
            <w:r w:rsidRPr="00951AB1">
              <w:rPr>
                <w:rFonts w:eastAsia="Times New Roman" w:cs="Times New Roman"/>
                <w:b/>
                <w:bCs/>
                <w:color w:val="000000"/>
                <w:kern w:val="0"/>
                <w:sz w:val="18"/>
                <w:szCs w:val="18"/>
                <w:lang w:eastAsia="es-CO"/>
                <w14:ligatures w14:val="none"/>
              </w:rPr>
              <w:t>165.600.002</w:t>
            </w:r>
          </w:p>
        </w:tc>
      </w:tr>
      <w:tr w:rsidR="003D2671" w:rsidRPr="00951AB1" w14:paraId="60906972" w14:textId="77777777" w:rsidTr="000701CF">
        <w:trPr>
          <w:trHeight w:val="285"/>
        </w:trPr>
        <w:tc>
          <w:tcPr>
            <w:tcW w:w="3964" w:type="dxa"/>
            <w:vAlign w:val="center"/>
          </w:tcPr>
          <w:p w14:paraId="609EE9DB" w14:textId="105D4B80" w:rsidR="0039248B" w:rsidRPr="00951AB1" w:rsidRDefault="0039248B" w:rsidP="000A5389">
            <w:pPr>
              <w:spacing w:line="240" w:lineRule="auto"/>
              <w:rPr>
                <w:rFonts w:eastAsia="Times New Roman" w:cs="Times New Roman"/>
                <w:b/>
                <w:bCs/>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Propiedades, Plan y Equipo</w:t>
            </w:r>
          </w:p>
        </w:tc>
        <w:tc>
          <w:tcPr>
            <w:tcW w:w="1683" w:type="dxa"/>
            <w:noWrap/>
            <w:vAlign w:val="center"/>
          </w:tcPr>
          <w:p w14:paraId="4B7E7257" w14:textId="5DDBEC96" w:rsidR="0039248B" w:rsidRPr="00951AB1" w:rsidRDefault="0047475C"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261.677.939</w:t>
            </w:r>
          </w:p>
        </w:tc>
        <w:tc>
          <w:tcPr>
            <w:tcW w:w="1687" w:type="dxa"/>
            <w:noWrap/>
            <w:vAlign w:val="center"/>
          </w:tcPr>
          <w:p w14:paraId="4CF55024" w14:textId="17AC84CB" w:rsidR="0039248B" w:rsidRPr="00951AB1" w:rsidRDefault="00761171"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96.077.937</w:t>
            </w:r>
          </w:p>
        </w:tc>
        <w:tc>
          <w:tcPr>
            <w:tcW w:w="1494" w:type="dxa"/>
            <w:noWrap/>
            <w:vAlign w:val="bottom"/>
          </w:tcPr>
          <w:p w14:paraId="7A105B6D" w14:textId="3260E120" w:rsidR="0039248B" w:rsidRPr="00951AB1" w:rsidRDefault="00C27350"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165.600.002</w:t>
            </w:r>
          </w:p>
        </w:tc>
      </w:tr>
      <w:tr w:rsidR="003D2671" w:rsidRPr="00951AB1" w14:paraId="6CCADE81" w14:textId="77777777" w:rsidTr="000701CF">
        <w:trPr>
          <w:trHeight w:val="285"/>
        </w:trPr>
        <w:tc>
          <w:tcPr>
            <w:tcW w:w="3964" w:type="dxa"/>
            <w:vAlign w:val="center"/>
          </w:tcPr>
          <w:p w14:paraId="1F2A1634" w14:textId="66262219" w:rsidR="0039248B" w:rsidRPr="00951AB1" w:rsidRDefault="0039248B" w:rsidP="000A5389">
            <w:pPr>
              <w:spacing w:line="240" w:lineRule="auto"/>
              <w:rPr>
                <w:rFonts w:eastAsia="Times New Roman" w:cs="Times New Roman"/>
                <w:b/>
                <w:bCs/>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Red carretera</w:t>
            </w:r>
          </w:p>
        </w:tc>
        <w:tc>
          <w:tcPr>
            <w:tcW w:w="1683" w:type="dxa"/>
            <w:noWrap/>
            <w:vAlign w:val="center"/>
          </w:tcPr>
          <w:p w14:paraId="2CA28FED" w14:textId="47480202" w:rsidR="0039248B" w:rsidRPr="00951AB1" w:rsidRDefault="0057472D"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12.383.471.223</w:t>
            </w:r>
          </w:p>
        </w:tc>
        <w:tc>
          <w:tcPr>
            <w:tcW w:w="1687" w:type="dxa"/>
            <w:noWrap/>
            <w:vAlign w:val="center"/>
          </w:tcPr>
          <w:p w14:paraId="73783210" w14:textId="74F27008" w:rsidR="0039248B" w:rsidRPr="00951AB1" w:rsidRDefault="00056D87"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12.383.471.223</w:t>
            </w:r>
          </w:p>
        </w:tc>
        <w:tc>
          <w:tcPr>
            <w:tcW w:w="1494" w:type="dxa"/>
            <w:noWrap/>
            <w:vAlign w:val="bottom"/>
          </w:tcPr>
          <w:p w14:paraId="65258E24" w14:textId="49A94B9C" w:rsidR="0039248B" w:rsidRPr="00951AB1" w:rsidRDefault="00C27350"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0</w:t>
            </w:r>
          </w:p>
        </w:tc>
      </w:tr>
      <w:tr w:rsidR="003D2671" w:rsidRPr="00951AB1" w14:paraId="01ACCD95" w14:textId="77777777" w:rsidTr="000701CF">
        <w:trPr>
          <w:trHeight w:val="285"/>
        </w:trPr>
        <w:tc>
          <w:tcPr>
            <w:tcW w:w="3964" w:type="dxa"/>
            <w:vAlign w:val="center"/>
          </w:tcPr>
          <w:p w14:paraId="7D309BE0" w14:textId="5FF7068D" w:rsidR="0039248B" w:rsidRPr="00951AB1" w:rsidRDefault="0039248B" w:rsidP="000A5389">
            <w:pPr>
              <w:spacing w:line="240" w:lineRule="auto"/>
              <w:rPr>
                <w:rFonts w:eastAsia="Times New Roman" w:cs="Times New Roman"/>
                <w:b/>
                <w:bCs/>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Terrenos</w:t>
            </w:r>
          </w:p>
        </w:tc>
        <w:tc>
          <w:tcPr>
            <w:tcW w:w="1683" w:type="dxa"/>
            <w:noWrap/>
            <w:vAlign w:val="center"/>
          </w:tcPr>
          <w:p w14:paraId="4CD8CAD9" w14:textId="1EC75654" w:rsidR="0039248B" w:rsidRPr="00951AB1" w:rsidRDefault="0057472D"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26.285.782.952</w:t>
            </w:r>
          </w:p>
        </w:tc>
        <w:tc>
          <w:tcPr>
            <w:tcW w:w="1687" w:type="dxa"/>
            <w:noWrap/>
            <w:vAlign w:val="center"/>
          </w:tcPr>
          <w:p w14:paraId="33EAC505" w14:textId="2573B5EE" w:rsidR="0039248B" w:rsidRPr="00951AB1" w:rsidRDefault="00056D87"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26.285.782.952</w:t>
            </w:r>
          </w:p>
        </w:tc>
        <w:tc>
          <w:tcPr>
            <w:tcW w:w="1494" w:type="dxa"/>
            <w:noWrap/>
            <w:vAlign w:val="bottom"/>
          </w:tcPr>
          <w:p w14:paraId="509510A8" w14:textId="7EC68858" w:rsidR="0039248B" w:rsidRPr="00951AB1" w:rsidRDefault="00C27350"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0</w:t>
            </w:r>
          </w:p>
        </w:tc>
      </w:tr>
      <w:tr w:rsidR="00C70C31" w:rsidRPr="00951AB1" w14:paraId="3D242BBD" w14:textId="77777777" w:rsidTr="000D66C1">
        <w:trPr>
          <w:trHeight w:val="285"/>
        </w:trPr>
        <w:tc>
          <w:tcPr>
            <w:tcW w:w="3964" w:type="dxa"/>
            <w:vAlign w:val="center"/>
            <w:hideMark/>
          </w:tcPr>
          <w:p w14:paraId="5AF06F3F" w14:textId="77777777" w:rsidR="000D66C1" w:rsidRPr="00951AB1" w:rsidRDefault="000D66C1" w:rsidP="000A5389">
            <w:pPr>
              <w:spacing w:line="240" w:lineRule="auto"/>
              <w:rPr>
                <w:rFonts w:eastAsia="Times New Roman" w:cs="Times New Roman"/>
                <w:b/>
                <w:bCs/>
                <w:color w:val="000000"/>
                <w:kern w:val="0"/>
                <w:sz w:val="18"/>
                <w:szCs w:val="18"/>
                <w:lang w:eastAsia="es-CO"/>
                <w14:ligatures w14:val="none"/>
              </w:rPr>
            </w:pPr>
            <w:r w:rsidRPr="00951AB1">
              <w:rPr>
                <w:rFonts w:eastAsia="Times New Roman" w:cs="Times New Roman"/>
                <w:b/>
                <w:bCs/>
                <w:color w:val="000000"/>
                <w:kern w:val="0"/>
                <w:sz w:val="18"/>
                <w:szCs w:val="18"/>
                <w:lang w:eastAsia="es-CO"/>
                <w14:ligatures w14:val="none"/>
              </w:rPr>
              <w:t>UNIÓN VIAL CAMINO DEL PACÍFICO S.A.S.</w:t>
            </w:r>
          </w:p>
        </w:tc>
        <w:tc>
          <w:tcPr>
            <w:tcW w:w="1683" w:type="dxa"/>
            <w:noWrap/>
            <w:vAlign w:val="center"/>
            <w:hideMark/>
          </w:tcPr>
          <w:p w14:paraId="54E8B999" w14:textId="010FBF95" w:rsidR="000D66C1" w:rsidRPr="00951AB1" w:rsidRDefault="000D66C1" w:rsidP="000A5389">
            <w:pPr>
              <w:spacing w:line="240" w:lineRule="auto"/>
              <w:jc w:val="right"/>
              <w:rPr>
                <w:rFonts w:eastAsia="Times New Roman" w:cs="Times New Roman"/>
                <w:b/>
                <w:bCs/>
                <w:color w:val="000000"/>
                <w:kern w:val="0"/>
                <w:sz w:val="18"/>
                <w:szCs w:val="18"/>
                <w:lang w:eastAsia="es-CO"/>
                <w14:ligatures w14:val="none"/>
              </w:rPr>
            </w:pPr>
            <w:r w:rsidRPr="00951AB1">
              <w:rPr>
                <w:rFonts w:eastAsia="Times New Roman" w:cs="Times New Roman"/>
                <w:b/>
                <w:bCs/>
                <w:color w:val="000000"/>
                <w:kern w:val="0"/>
                <w:sz w:val="18"/>
                <w:szCs w:val="18"/>
                <w:lang w:eastAsia="es-CO"/>
                <w14:ligatures w14:val="none"/>
              </w:rPr>
              <w:t>3.757.216.357.453</w:t>
            </w:r>
          </w:p>
        </w:tc>
        <w:tc>
          <w:tcPr>
            <w:tcW w:w="1687" w:type="dxa"/>
            <w:noWrap/>
            <w:vAlign w:val="center"/>
            <w:hideMark/>
          </w:tcPr>
          <w:p w14:paraId="7F250A21" w14:textId="6700BD40" w:rsidR="000D66C1" w:rsidRPr="00951AB1" w:rsidRDefault="000D66C1" w:rsidP="000A5389">
            <w:pPr>
              <w:spacing w:line="240" w:lineRule="auto"/>
              <w:jc w:val="right"/>
              <w:rPr>
                <w:rFonts w:eastAsia="Times New Roman" w:cs="Times New Roman"/>
                <w:b/>
                <w:bCs/>
                <w:color w:val="000000"/>
                <w:kern w:val="0"/>
                <w:sz w:val="18"/>
                <w:szCs w:val="18"/>
                <w:lang w:eastAsia="es-CO"/>
                <w14:ligatures w14:val="none"/>
              </w:rPr>
            </w:pPr>
            <w:r w:rsidRPr="00951AB1">
              <w:rPr>
                <w:rFonts w:eastAsia="Times New Roman" w:cs="Times New Roman"/>
                <w:b/>
                <w:bCs/>
                <w:color w:val="000000"/>
                <w:kern w:val="0"/>
                <w:sz w:val="18"/>
                <w:szCs w:val="18"/>
                <w:lang w:eastAsia="es-CO"/>
                <w14:ligatures w14:val="none"/>
              </w:rPr>
              <w:t>1.000.757.905.696</w:t>
            </w:r>
          </w:p>
        </w:tc>
        <w:tc>
          <w:tcPr>
            <w:tcW w:w="1494" w:type="dxa"/>
            <w:noWrap/>
            <w:vAlign w:val="center"/>
            <w:hideMark/>
          </w:tcPr>
          <w:p w14:paraId="4B02953D" w14:textId="3B7A70AC" w:rsidR="000D66C1" w:rsidRPr="00951AB1" w:rsidRDefault="000D66C1" w:rsidP="000A5389">
            <w:pPr>
              <w:spacing w:line="240" w:lineRule="auto"/>
              <w:jc w:val="right"/>
              <w:rPr>
                <w:rFonts w:eastAsia="Times New Roman" w:cs="Times New Roman"/>
                <w:b/>
                <w:bCs/>
                <w:color w:val="000000"/>
                <w:kern w:val="0"/>
                <w:sz w:val="18"/>
                <w:szCs w:val="18"/>
                <w:lang w:eastAsia="es-CO"/>
                <w14:ligatures w14:val="none"/>
              </w:rPr>
            </w:pPr>
            <w:r w:rsidRPr="00951AB1">
              <w:rPr>
                <w:rFonts w:eastAsia="Times New Roman" w:cs="Times New Roman"/>
                <w:b/>
                <w:bCs/>
                <w:color w:val="000000"/>
                <w:kern w:val="0"/>
                <w:sz w:val="18"/>
                <w:szCs w:val="18"/>
                <w:lang w:eastAsia="es-CO"/>
                <w14:ligatures w14:val="none"/>
              </w:rPr>
              <w:t>2.756.458.451.757</w:t>
            </w:r>
          </w:p>
        </w:tc>
      </w:tr>
      <w:tr w:rsidR="00C70C31" w:rsidRPr="00951AB1" w14:paraId="2479162D" w14:textId="77777777" w:rsidTr="000D66C1">
        <w:trPr>
          <w:trHeight w:val="285"/>
        </w:trPr>
        <w:tc>
          <w:tcPr>
            <w:tcW w:w="3964" w:type="dxa"/>
            <w:vAlign w:val="center"/>
            <w:hideMark/>
          </w:tcPr>
          <w:p w14:paraId="2FAEBEB0" w14:textId="77777777" w:rsidR="000D66C1" w:rsidRPr="00951AB1" w:rsidRDefault="000D66C1" w:rsidP="000A5389">
            <w:pPr>
              <w:spacing w:line="240" w:lineRule="auto"/>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Propiedades, Plan y Equipo</w:t>
            </w:r>
          </w:p>
        </w:tc>
        <w:tc>
          <w:tcPr>
            <w:tcW w:w="1683" w:type="dxa"/>
            <w:noWrap/>
            <w:vAlign w:val="center"/>
            <w:hideMark/>
          </w:tcPr>
          <w:p w14:paraId="5DD63549" w14:textId="7D8BAA80" w:rsidR="000D66C1" w:rsidRPr="00951AB1" w:rsidRDefault="000D66C1"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18.066.769.302</w:t>
            </w:r>
          </w:p>
        </w:tc>
        <w:tc>
          <w:tcPr>
            <w:tcW w:w="1687" w:type="dxa"/>
            <w:noWrap/>
            <w:vAlign w:val="center"/>
            <w:hideMark/>
          </w:tcPr>
          <w:p w14:paraId="7DC71911" w14:textId="1D2F13F2" w:rsidR="000D66C1" w:rsidRPr="00951AB1" w:rsidRDefault="000D66C1"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17.300.153.250</w:t>
            </w:r>
          </w:p>
        </w:tc>
        <w:tc>
          <w:tcPr>
            <w:tcW w:w="1494" w:type="dxa"/>
            <w:noWrap/>
            <w:vAlign w:val="center"/>
            <w:hideMark/>
          </w:tcPr>
          <w:p w14:paraId="5A19A26D" w14:textId="3CBCFF73" w:rsidR="000D66C1" w:rsidRPr="00951AB1" w:rsidRDefault="000D66C1"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766.616.052</w:t>
            </w:r>
          </w:p>
        </w:tc>
      </w:tr>
      <w:tr w:rsidR="00C70C31" w:rsidRPr="00951AB1" w14:paraId="72605FC9" w14:textId="77777777" w:rsidTr="000D66C1">
        <w:trPr>
          <w:trHeight w:val="285"/>
        </w:trPr>
        <w:tc>
          <w:tcPr>
            <w:tcW w:w="3964" w:type="dxa"/>
            <w:vAlign w:val="center"/>
            <w:hideMark/>
          </w:tcPr>
          <w:p w14:paraId="5454895F" w14:textId="77777777" w:rsidR="000D66C1" w:rsidRPr="00951AB1" w:rsidRDefault="000D66C1" w:rsidP="000A5389">
            <w:pPr>
              <w:spacing w:line="240" w:lineRule="auto"/>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Red carretera</w:t>
            </w:r>
          </w:p>
        </w:tc>
        <w:tc>
          <w:tcPr>
            <w:tcW w:w="1683" w:type="dxa"/>
            <w:noWrap/>
            <w:vAlign w:val="center"/>
            <w:hideMark/>
          </w:tcPr>
          <w:p w14:paraId="4A26F739" w14:textId="00E3EF56" w:rsidR="000D66C1" w:rsidRPr="00951AB1" w:rsidRDefault="000D66C1"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3.729.609.449.622</w:t>
            </w:r>
          </w:p>
        </w:tc>
        <w:tc>
          <w:tcPr>
            <w:tcW w:w="1687" w:type="dxa"/>
            <w:noWrap/>
            <w:vAlign w:val="center"/>
            <w:hideMark/>
          </w:tcPr>
          <w:p w14:paraId="53E72D42" w14:textId="3CA11A3F" w:rsidR="000D66C1" w:rsidRPr="00951AB1" w:rsidRDefault="000D66C1"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983.457.752.446</w:t>
            </w:r>
          </w:p>
        </w:tc>
        <w:tc>
          <w:tcPr>
            <w:tcW w:w="1494" w:type="dxa"/>
            <w:noWrap/>
            <w:vAlign w:val="center"/>
            <w:hideMark/>
          </w:tcPr>
          <w:p w14:paraId="66C017DD" w14:textId="55278BAB" w:rsidR="000D66C1" w:rsidRPr="00951AB1" w:rsidRDefault="000D66C1"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2.746.151.697.175</w:t>
            </w:r>
          </w:p>
        </w:tc>
      </w:tr>
      <w:tr w:rsidR="00C70C31" w:rsidRPr="00951AB1" w14:paraId="5A694EE9" w14:textId="77777777" w:rsidTr="000D66C1">
        <w:trPr>
          <w:trHeight w:val="285"/>
        </w:trPr>
        <w:tc>
          <w:tcPr>
            <w:tcW w:w="3964" w:type="dxa"/>
            <w:vAlign w:val="center"/>
            <w:hideMark/>
          </w:tcPr>
          <w:p w14:paraId="76478E70" w14:textId="77777777" w:rsidR="000D66C1" w:rsidRPr="00951AB1" w:rsidRDefault="000D66C1" w:rsidP="000A5389">
            <w:pPr>
              <w:spacing w:line="240" w:lineRule="auto"/>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Terrenos</w:t>
            </w:r>
          </w:p>
        </w:tc>
        <w:tc>
          <w:tcPr>
            <w:tcW w:w="1683" w:type="dxa"/>
            <w:noWrap/>
            <w:vAlign w:val="center"/>
            <w:hideMark/>
          </w:tcPr>
          <w:p w14:paraId="32305899" w14:textId="285DE331" w:rsidR="000D66C1" w:rsidRPr="00951AB1" w:rsidRDefault="000D66C1"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9.540.138.529</w:t>
            </w:r>
          </w:p>
        </w:tc>
        <w:tc>
          <w:tcPr>
            <w:tcW w:w="1687" w:type="dxa"/>
            <w:noWrap/>
            <w:vAlign w:val="center"/>
            <w:hideMark/>
          </w:tcPr>
          <w:p w14:paraId="03C3AD71" w14:textId="77777777" w:rsidR="000D66C1" w:rsidRPr="00951AB1" w:rsidRDefault="000D66C1" w:rsidP="000A5389">
            <w:pPr>
              <w:spacing w:line="240" w:lineRule="auto"/>
              <w:jc w:val="right"/>
              <w:rPr>
                <w:rFonts w:eastAsia="Times New Roman" w:cs="Times New Roman"/>
                <w:color w:val="000000"/>
                <w:kern w:val="0"/>
                <w:sz w:val="18"/>
                <w:szCs w:val="18"/>
                <w:lang w:eastAsia="es-CO"/>
                <w14:ligatures w14:val="none"/>
              </w:rPr>
            </w:pPr>
          </w:p>
        </w:tc>
        <w:tc>
          <w:tcPr>
            <w:tcW w:w="1494" w:type="dxa"/>
            <w:noWrap/>
            <w:vAlign w:val="center"/>
            <w:hideMark/>
          </w:tcPr>
          <w:p w14:paraId="04E182F3" w14:textId="18EF0BF9" w:rsidR="000D66C1" w:rsidRPr="00951AB1" w:rsidRDefault="000D66C1"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9.540.138.529</w:t>
            </w:r>
          </w:p>
        </w:tc>
      </w:tr>
    </w:tbl>
    <w:p w14:paraId="182B1EDA" w14:textId="77777777" w:rsidR="00FB049C" w:rsidRPr="00951AB1" w:rsidRDefault="00FB049C" w:rsidP="000A5389">
      <w:pPr>
        <w:spacing w:line="240" w:lineRule="auto"/>
        <w:rPr>
          <w:rFonts w:cs="Times New Roman"/>
          <w:sz w:val="16"/>
          <w:szCs w:val="16"/>
        </w:rPr>
      </w:pPr>
      <w:r w:rsidRPr="00951AB1">
        <w:rPr>
          <w:rFonts w:cs="Times New Roman"/>
          <w:sz w:val="16"/>
          <w:szCs w:val="16"/>
        </w:rPr>
        <w:t xml:space="preserve">Cifras expresadas en pesos </w:t>
      </w:r>
    </w:p>
    <w:p w14:paraId="3CF0679E" w14:textId="77777777" w:rsidR="00F7094E" w:rsidRPr="00951AB1" w:rsidRDefault="00F7094E" w:rsidP="000A5389">
      <w:pPr>
        <w:spacing w:line="240" w:lineRule="auto"/>
        <w:rPr>
          <w:rFonts w:cs="Times New Roman"/>
        </w:rPr>
      </w:pPr>
    </w:p>
    <w:p w14:paraId="3C3BFC4E" w14:textId="77777777" w:rsidR="005C19AC" w:rsidRPr="00951AB1" w:rsidRDefault="005C19AC" w:rsidP="000A5389">
      <w:pPr>
        <w:spacing w:line="240" w:lineRule="auto"/>
        <w:rPr>
          <w:rFonts w:cs="Times New Roman"/>
        </w:rPr>
      </w:pPr>
    </w:p>
    <w:p w14:paraId="583FC12B" w14:textId="756BB041" w:rsidR="00BC7860" w:rsidRPr="00951AB1" w:rsidRDefault="00BC7860" w:rsidP="000A5389">
      <w:pPr>
        <w:pStyle w:val="Ttulo3"/>
        <w:spacing w:line="240" w:lineRule="auto"/>
        <w:rPr>
          <w:rFonts w:cs="Times New Roman"/>
          <w:color w:val="1F3864" w:themeColor="accent1" w:themeShade="80"/>
        </w:rPr>
      </w:pPr>
      <w:bookmarkStart w:id="1025" w:name="_Toc191369582"/>
      <w:bookmarkStart w:id="1026" w:name="_Toc191456909"/>
      <w:bookmarkStart w:id="1027" w:name="_Toc191457019"/>
      <w:bookmarkStart w:id="1028" w:name="_Toc191457129"/>
      <w:bookmarkStart w:id="1029" w:name="_Toc191475755"/>
      <w:bookmarkStart w:id="1030" w:name="_Toc191475864"/>
      <w:bookmarkStart w:id="1031" w:name="_Toc191475973"/>
      <w:bookmarkStart w:id="1032" w:name="_Toc191475496"/>
      <w:bookmarkStart w:id="1033" w:name="_Toc191505873"/>
      <w:bookmarkStart w:id="1034" w:name="_Toc222824286"/>
      <w:bookmarkStart w:id="1035" w:name="_Toc222955553"/>
      <w:r w:rsidRPr="00951AB1">
        <w:rPr>
          <w:rFonts w:cs="Times New Roman"/>
          <w:color w:val="1F3864" w:themeColor="accent1" w:themeShade="80"/>
        </w:rPr>
        <w:t>33.1.2 Modo portuario:</w:t>
      </w:r>
      <w:bookmarkEnd w:id="1025"/>
      <w:bookmarkEnd w:id="1026"/>
      <w:bookmarkEnd w:id="1027"/>
      <w:bookmarkEnd w:id="1028"/>
      <w:bookmarkEnd w:id="1029"/>
      <w:bookmarkEnd w:id="1030"/>
      <w:bookmarkEnd w:id="1031"/>
      <w:bookmarkEnd w:id="1032"/>
      <w:bookmarkEnd w:id="1033"/>
      <w:bookmarkEnd w:id="1034"/>
      <w:bookmarkEnd w:id="1035"/>
    </w:p>
    <w:p w14:paraId="20E27B0B" w14:textId="77777777" w:rsidR="00BC7860" w:rsidRPr="00951AB1" w:rsidRDefault="00BC7860" w:rsidP="000A5389">
      <w:pPr>
        <w:spacing w:line="240" w:lineRule="auto"/>
        <w:rPr>
          <w:rFonts w:cs="Times New Roman"/>
          <w:color w:val="000000" w:themeColor="text1"/>
          <w:szCs w:val="24"/>
        </w:rPr>
      </w:pPr>
    </w:p>
    <w:p w14:paraId="2B972878" w14:textId="77777777" w:rsidR="00BC7860" w:rsidRPr="00951AB1" w:rsidRDefault="00BC7860" w:rsidP="000A5389">
      <w:pPr>
        <w:pStyle w:val="Ttulo2"/>
        <w:numPr>
          <w:ilvl w:val="0"/>
          <w:numId w:val="0"/>
        </w:numPr>
        <w:spacing w:line="240" w:lineRule="auto"/>
        <w:rPr>
          <w:rFonts w:cs="Times New Roman"/>
        </w:rPr>
      </w:pPr>
      <w:bookmarkStart w:id="1036" w:name="_Toc191369583"/>
      <w:bookmarkStart w:id="1037" w:name="_Toc191456910"/>
      <w:bookmarkStart w:id="1038" w:name="_Toc191457020"/>
      <w:bookmarkStart w:id="1039" w:name="_Toc191457130"/>
      <w:bookmarkStart w:id="1040" w:name="_Toc191475756"/>
      <w:bookmarkStart w:id="1041" w:name="_Toc191475865"/>
      <w:bookmarkStart w:id="1042" w:name="_Toc191475974"/>
      <w:bookmarkStart w:id="1043" w:name="_Toc191475497"/>
      <w:bookmarkStart w:id="1044" w:name="_Toc191505874"/>
      <w:bookmarkStart w:id="1045" w:name="_Toc222824287"/>
      <w:bookmarkStart w:id="1046" w:name="_Toc222955554"/>
      <w:r w:rsidRPr="00951AB1">
        <w:rPr>
          <w:rFonts w:cs="Times New Roman"/>
        </w:rPr>
        <w:t>Composición</w:t>
      </w:r>
      <w:bookmarkEnd w:id="1036"/>
      <w:bookmarkEnd w:id="1037"/>
      <w:bookmarkEnd w:id="1038"/>
      <w:bookmarkEnd w:id="1039"/>
      <w:bookmarkEnd w:id="1040"/>
      <w:bookmarkEnd w:id="1041"/>
      <w:bookmarkEnd w:id="1042"/>
      <w:bookmarkEnd w:id="1043"/>
      <w:bookmarkEnd w:id="1044"/>
      <w:bookmarkEnd w:id="1045"/>
      <w:bookmarkEnd w:id="1046"/>
    </w:p>
    <w:p w14:paraId="2C2C15B9" w14:textId="67BC81C7" w:rsidR="005C19AC" w:rsidRPr="00951AB1" w:rsidRDefault="005C19AC" w:rsidP="000A5389">
      <w:pPr>
        <w:spacing w:line="240" w:lineRule="auto"/>
        <w:rPr>
          <w:rFonts w:cs="Times New Roma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964"/>
        <w:gridCol w:w="1704"/>
        <w:gridCol w:w="1668"/>
        <w:gridCol w:w="1492"/>
      </w:tblGrid>
      <w:tr w:rsidR="005A73C0" w:rsidRPr="00951AB1" w14:paraId="006F7A2F" w14:textId="77777777" w:rsidTr="004004C5">
        <w:trPr>
          <w:trHeight w:val="293"/>
          <w:tblHeader/>
        </w:trPr>
        <w:tc>
          <w:tcPr>
            <w:tcW w:w="2245" w:type="pct"/>
            <w:vAlign w:val="center"/>
            <w:hideMark/>
          </w:tcPr>
          <w:p w14:paraId="7013C7EB" w14:textId="77777777" w:rsidR="00B77260" w:rsidRPr="00951AB1" w:rsidRDefault="00B77260" w:rsidP="000A5389">
            <w:pPr>
              <w:spacing w:line="240" w:lineRule="auto"/>
              <w:rPr>
                <w:rFonts w:eastAsia="Times New Roman" w:cs="Times New Roman"/>
                <w:b/>
                <w:bCs/>
                <w:color w:val="000000"/>
                <w:kern w:val="0"/>
                <w:sz w:val="18"/>
                <w:szCs w:val="18"/>
                <w:lang w:eastAsia="es-CO"/>
                <w14:ligatures w14:val="none"/>
              </w:rPr>
            </w:pPr>
            <w:r w:rsidRPr="00951AB1">
              <w:rPr>
                <w:rFonts w:eastAsia="Times New Roman" w:cs="Times New Roman"/>
                <w:b/>
                <w:bCs/>
                <w:color w:val="000000"/>
                <w:kern w:val="0"/>
                <w:sz w:val="18"/>
                <w:szCs w:val="18"/>
                <w:lang w:eastAsia="es-CO"/>
                <w14:ligatures w14:val="none"/>
              </w:rPr>
              <w:lastRenderedPageBreak/>
              <w:t>CONCEPTO / TERCERO</w:t>
            </w:r>
          </w:p>
        </w:tc>
        <w:tc>
          <w:tcPr>
            <w:tcW w:w="965" w:type="pct"/>
            <w:noWrap/>
            <w:vAlign w:val="center"/>
            <w:hideMark/>
          </w:tcPr>
          <w:p w14:paraId="41E9886B" w14:textId="77777777" w:rsidR="00B77260" w:rsidRPr="00951AB1" w:rsidRDefault="00B77260" w:rsidP="000A5389">
            <w:pPr>
              <w:spacing w:line="240" w:lineRule="auto"/>
              <w:jc w:val="center"/>
              <w:rPr>
                <w:rFonts w:eastAsia="Times New Roman" w:cs="Times New Roman"/>
                <w:b/>
                <w:bCs/>
                <w:color w:val="000000"/>
                <w:kern w:val="0"/>
                <w:sz w:val="18"/>
                <w:szCs w:val="18"/>
                <w:lang w:eastAsia="es-CO"/>
                <w14:ligatures w14:val="none"/>
              </w:rPr>
            </w:pPr>
            <w:r w:rsidRPr="00951AB1">
              <w:rPr>
                <w:rFonts w:eastAsia="Times New Roman" w:cs="Times New Roman"/>
                <w:b/>
                <w:bCs/>
                <w:color w:val="000000"/>
                <w:kern w:val="0"/>
                <w:sz w:val="18"/>
                <w:szCs w:val="18"/>
                <w:lang w:eastAsia="es-CO"/>
                <w14:ligatures w14:val="none"/>
              </w:rPr>
              <w:t>SALDO 2025</w:t>
            </w:r>
          </w:p>
        </w:tc>
        <w:tc>
          <w:tcPr>
            <w:tcW w:w="945" w:type="pct"/>
            <w:noWrap/>
            <w:vAlign w:val="center"/>
            <w:hideMark/>
          </w:tcPr>
          <w:p w14:paraId="37234910" w14:textId="77777777" w:rsidR="00B77260" w:rsidRPr="00951AB1" w:rsidRDefault="00B77260" w:rsidP="000A5389">
            <w:pPr>
              <w:spacing w:line="240" w:lineRule="auto"/>
              <w:jc w:val="center"/>
              <w:rPr>
                <w:rFonts w:eastAsia="Times New Roman" w:cs="Times New Roman"/>
                <w:b/>
                <w:bCs/>
                <w:color w:val="000000"/>
                <w:kern w:val="0"/>
                <w:sz w:val="18"/>
                <w:szCs w:val="18"/>
                <w:lang w:eastAsia="es-CO"/>
                <w14:ligatures w14:val="none"/>
              </w:rPr>
            </w:pPr>
            <w:r w:rsidRPr="00951AB1">
              <w:rPr>
                <w:rFonts w:eastAsia="Times New Roman" w:cs="Times New Roman"/>
                <w:b/>
                <w:bCs/>
                <w:color w:val="000000"/>
                <w:kern w:val="0"/>
                <w:sz w:val="18"/>
                <w:szCs w:val="18"/>
                <w:lang w:eastAsia="es-CO"/>
                <w14:ligatures w14:val="none"/>
              </w:rPr>
              <w:t>SALDO 2024</w:t>
            </w:r>
          </w:p>
        </w:tc>
        <w:tc>
          <w:tcPr>
            <w:tcW w:w="845" w:type="pct"/>
            <w:noWrap/>
            <w:vAlign w:val="center"/>
            <w:hideMark/>
          </w:tcPr>
          <w:p w14:paraId="5FB6BCA2" w14:textId="77777777" w:rsidR="00B77260" w:rsidRPr="00951AB1" w:rsidRDefault="00B77260" w:rsidP="000A5389">
            <w:pPr>
              <w:spacing w:line="240" w:lineRule="auto"/>
              <w:jc w:val="center"/>
              <w:rPr>
                <w:rFonts w:eastAsia="Times New Roman" w:cs="Times New Roman"/>
                <w:b/>
                <w:bCs/>
                <w:color w:val="000000"/>
                <w:kern w:val="0"/>
                <w:sz w:val="18"/>
                <w:szCs w:val="18"/>
                <w:lang w:eastAsia="es-CO"/>
                <w14:ligatures w14:val="none"/>
              </w:rPr>
            </w:pPr>
            <w:r w:rsidRPr="00951AB1">
              <w:rPr>
                <w:rFonts w:eastAsia="Times New Roman" w:cs="Times New Roman"/>
                <w:b/>
                <w:bCs/>
                <w:color w:val="000000"/>
                <w:kern w:val="0"/>
                <w:sz w:val="18"/>
                <w:szCs w:val="18"/>
                <w:lang w:eastAsia="es-CO"/>
                <w14:ligatures w14:val="none"/>
              </w:rPr>
              <w:t>VARIACIÓN</w:t>
            </w:r>
          </w:p>
        </w:tc>
      </w:tr>
      <w:tr w:rsidR="005A73C0" w:rsidRPr="00951AB1" w14:paraId="399FE54D" w14:textId="77777777" w:rsidTr="004004C5">
        <w:trPr>
          <w:trHeight w:val="293"/>
        </w:trPr>
        <w:tc>
          <w:tcPr>
            <w:tcW w:w="2245" w:type="pct"/>
            <w:vAlign w:val="center"/>
            <w:hideMark/>
          </w:tcPr>
          <w:p w14:paraId="4FAEFCB1" w14:textId="77777777" w:rsidR="00B77260" w:rsidRPr="00951AB1" w:rsidRDefault="00B77260" w:rsidP="000A5389">
            <w:pPr>
              <w:spacing w:line="240" w:lineRule="auto"/>
              <w:rPr>
                <w:rFonts w:eastAsia="Times New Roman" w:cs="Times New Roman"/>
                <w:b/>
                <w:bCs/>
                <w:color w:val="000000"/>
                <w:kern w:val="0"/>
                <w:sz w:val="18"/>
                <w:szCs w:val="18"/>
                <w:lang w:eastAsia="es-CO"/>
                <w14:ligatures w14:val="none"/>
              </w:rPr>
            </w:pPr>
            <w:r w:rsidRPr="00951AB1">
              <w:rPr>
                <w:rFonts w:eastAsia="Times New Roman" w:cs="Times New Roman"/>
                <w:b/>
                <w:bCs/>
                <w:color w:val="000000"/>
                <w:kern w:val="0"/>
                <w:sz w:val="18"/>
                <w:szCs w:val="18"/>
                <w:lang w:eastAsia="es-CO"/>
                <w14:ligatures w14:val="none"/>
              </w:rPr>
              <w:t>SOCIEDAD PORTUARIA EL CAYAO S.A E.S. P</w:t>
            </w:r>
          </w:p>
        </w:tc>
        <w:tc>
          <w:tcPr>
            <w:tcW w:w="965" w:type="pct"/>
            <w:noWrap/>
            <w:vAlign w:val="center"/>
            <w:hideMark/>
          </w:tcPr>
          <w:p w14:paraId="0721052C" w14:textId="77777777" w:rsidR="00B77260" w:rsidRPr="00951AB1" w:rsidRDefault="00B77260" w:rsidP="000A5389">
            <w:pPr>
              <w:spacing w:line="240" w:lineRule="auto"/>
              <w:jc w:val="right"/>
              <w:rPr>
                <w:rFonts w:eastAsia="Times New Roman" w:cs="Times New Roman"/>
                <w:b/>
                <w:bCs/>
                <w:color w:val="000000"/>
                <w:kern w:val="0"/>
                <w:sz w:val="18"/>
                <w:szCs w:val="18"/>
                <w:lang w:eastAsia="es-CO"/>
                <w14:ligatures w14:val="none"/>
              </w:rPr>
            </w:pPr>
            <w:r w:rsidRPr="00951AB1">
              <w:rPr>
                <w:rFonts w:eastAsia="Times New Roman" w:cs="Times New Roman"/>
                <w:b/>
                <w:bCs/>
                <w:color w:val="000000"/>
                <w:kern w:val="0"/>
                <w:sz w:val="18"/>
                <w:szCs w:val="18"/>
                <w:lang w:eastAsia="es-CO"/>
                <w14:ligatures w14:val="none"/>
              </w:rPr>
              <w:t>174.111.176.926</w:t>
            </w:r>
          </w:p>
        </w:tc>
        <w:tc>
          <w:tcPr>
            <w:tcW w:w="945" w:type="pct"/>
            <w:noWrap/>
            <w:vAlign w:val="center"/>
            <w:hideMark/>
          </w:tcPr>
          <w:p w14:paraId="18D01306" w14:textId="77777777" w:rsidR="00B77260" w:rsidRPr="00951AB1" w:rsidRDefault="00B77260" w:rsidP="000A5389">
            <w:pPr>
              <w:spacing w:line="240" w:lineRule="auto"/>
              <w:jc w:val="right"/>
              <w:rPr>
                <w:rFonts w:eastAsia="Times New Roman" w:cs="Times New Roman"/>
                <w:b/>
                <w:bCs/>
                <w:color w:val="000000"/>
                <w:kern w:val="0"/>
                <w:sz w:val="18"/>
                <w:szCs w:val="18"/>
                <w:lang w:eastAsia="es-CO"/>
                <w14:ligatures w14:val="none"/>
              </w:rPr>
            </w:pPr>
            <w:r w:rsidRPr="00951AB1">
              <w:rPr>
                <w:rFonts w:eastAsia="Times New Roman" w:cs="Times New Roman"/>
                <w:b/>
                <w:bCs/>
                <w:color w:val="000000"/>
                <w:kern w:val="0"/>
                <w:sz w:val="18"/>
                <w:szCs w:val="18"/>
                <w:lang w:eastAsia="es-CO"/>
                <w14:ligatures w14:val="none"/>
              </w:rPr>
              <w:t>154.949.518.944</w:t>
            </w:r>
          </w:p>
        </w:tc>
        <w:tc>
          <w:tcPr>
            <w:tcW w:w="845" w:type="pct"/>
            <w:noWrap/>
            <w:vAlign w:val="center"/>
            <w:hideMark/>
          </w:tcPr>
          <w:p w14:paraId="01767CD7" w14:textId="77777777" w:rsidR="00B77260" w:rsidRPr="00951AB1" w:rsidRDefault="00B77260" w:rsidP="000A5389">
            <w:pPr>
              <w:spacing w:line="240" w:lineRule="auto"/>
              <w:jc w:val="right"/>
              <w:rPr>
                <w:rFonts w:eastAsia="Times New Roman" w:cs="Times New Roman"/>
                <w:b/>
                <w:bCs/>
                <w:color w:val="000000"/>
                <w:kern w:val="0"/>
                <w:sz w:val="18"/>
                <w:szCs w:val="18"/>
                <w:lang w:eastAsia="es-CO"/>
                <w14:ligatures w14:val="none"/>
              </w:rPr>
            </w:pPr>
            <w:r w:rsidRPr="00951AB1">
              <w:rPr>
                <w:rFonts w:eastAsia="Times New Roman" w:cs="Times New Roman"/>
                <w:b/>
                <w:bCs/>
                <w:color w:val="000000"/>
                <w:kern w:val="0"/>
                <w:sz w:val="18"/>
                <w:szCs w:val="18"/>
                <w:lang w:eastAsia="es-CO"/>
                <w14:ligatures w14:val="none"/>
              </w:rPr>
              <w:t>329.060.695.870</w:t>
            </w:r>
          </w:p>
        </w:tc>
      </w:tr>
      <w:tr w:rsidR="005A73C0" w:rsidRPr="00951AB1" w14:paraId="43AFBFCC" w14:textId="77777777" w:rsidTr="004004C5">
        <w:trPr>
          <w:trHeight w:val="293"/>
        </w:trPr>
        <w:tc>
          <w:tcPr>
            <w:tcW w:w="2245" w:type="pct"/>
            <w:vAlign w:val="center"/>
            <w:hideMark/>
          </w:tcPr>
          <w:p w14:paraId="462C805B" w14:textId="77777777" w:rsidR="00B77260" w:rsidRPr="00951AB1" w:rsidRDefault="00B77260" w:rsidP="000A5389">
            <w:pPr>
              <w:spacing w:line="240" w:lineRule="auto"/>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Propiedades, Plan y Equipo</w:t>
            </w:r>
          </w:p>
        </w:tc>
        <w:tc>
          <w:tcPr>
            <w:tcW w:w="965" w:type="pct"/>
            <w:noWrap/>
            <w:vAlign w:val="center"/>
            <w:hideMark/>
          </w:tcPr>
          <w:p w14:paraId="34451001" w14:textId="77777777" w:rsidR="00B77260" w:rsidRPr="00951AB1" w:rsidRDefault="00B77260"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46.484.855.683</w:t>
            </w:r>
          </w:p>
        </w:tc>
        <w:tc>
          <w:tcPr>
            <w:tcW w:w="945" w:type="pct"/>
            <w:noWrap/>
            <w:vAlign w:val="center"/>
            <w:hideMark/>
          </w:tcPr>
          <w:p w14:paraId="5883D43F" w14:textId="77777777" w:rsidR="00B77260" w:rsidRPr="00951AB1" w:rsidRDefault="00B77260"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46.484.855.683</w:t>
            </w:r>
          </w:p>
        </w:tc>
        <w:tc>
          <w:tcPr>
            <w:tcW w:w="845" w:type="pct"/>
            <w:noWrap/>
            <w:vAlign w:val="center"/>
            <w:hideMark/>
          </w:tcPr>
          <w:p w14:paraId="54726594" w14:textId="77777777" w:rsidR="00B77260" w:rsidRPr="00951AB1" w:rsidRDefault="00B77260"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92.969.711.366</w:t>
            </w:r>
          </w:p>
        </w:tc>
      </w:tr>
      <w:tr w:rsidR="005A73C0" w:rsidRPr="00951AB1" w14:paraId="0D4EC786" w14:textId="77777777" w:rsidTr="004004C5">
        <w:trPr>
          <w:trHeight w:val="293"/>
        </w:trPr>
        <w:tc>
          <w:tcPr>
            <w:tcW w:w="2245" w:type="pct"/>
            <w:vAlign w:val="center"/>
            <w:hideMark/>
          </w:tcPr>
          <w:p w14:paraId="485DD791" w14:textId="77777777" w:rsidR="00B77260" w:rsidRPr="00951AB1" w:rsidRDefault="00B77260" w:rsidP="000A5389">
            <w:pPr>
              <w:spacing w:line="240" w:lineRule="auto"/>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Red marítima</w:t>
            </w:r>
          </w:p>
        </w:tc>
        <w:tc>
          <w:tcPr>
            <w:tcW w:w="965" w:type="pct"/>
            <w:noWrap/>
            <w:vAlign w:val="center"/>
            <w:hideMark/>
          </w:tcPr>
          <w:p w14:paraId="5323A313" w14:textId="77777777" w:rsidR="00B77260" w:rsidRPr="00951AB1" w:rsidRDefault="00B77260"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127.626.321.243</w:t>
            </w:r>
          </w:p>
        </w:tc>
        <w:tc>
          <w:tcPr>
            <w:tcW w:w="945" w:type="pct"/>
            <w:noWrap/>
            <w:vAlign w:val="center"/>
            <w:hideMark/>
          </w:tcPr>
          <w:p w14:paraId="19340219" w14:textId="77777777" w:rsidR="00B77260" w:rsidRPr="00951AB1" w:rsidRDefault="00B77260"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108.464.663.261</w:t>
            </w:r>
          </w:p>
        </w:tc>
        <w:tc>
          <w:tcPr>
            <w:tcW w:w="845" w:type="pct"/>
            <w:noWrap/>
            <w:vAlign w:val="center"/>
            <w:hideMark/>
          </w:tcPr>
          <w:p w14:paraId="7B4125A9" w14:textId="77777777" w:rsidR="00B77260" w:rsidRPr="00951AB1" w:rsidRDefault="00B77260"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236.090.984.504</w:t>
            </w:r>
          </w:p>
        </w:tc>
      </w:tr>
      <w:tr w:rsidR="005A73C0" w:rsidRPr="00951AB1" w14:paraId="157C32BE" w14:textId="77777777" w:rsidTr="004004C5">
        <w:trPr>
          <w:trHeight w:val="458"/>
        </w:trPr>
        <w:tc>
          <w:tcPr>
            <w:tcW w:w="2245" w:type="pct"/>
            <w:vAlign w:val="center"/>
            <w:hideMark/>
          </w:tcPr>
          <w:p w14:paraId="22490E5D" w14:textId="77777777" w:rsidR="00B77260" w:rsidRPr="00951AB1" w:rsidRDefault="00B77260" w:rsidP="000A5389">
            <w:pPr>
              <w:spacing w:line="240" w:lineRule="auto"/>
              <w:rPr>
                <w:rFonts w:eastAsia="Times New Roman" w:cs="Times New Roman"/>
                <w:b/>
                <w:bCs/>
                <w:color w:val="000000"/>
                <w:kern w:val="0"/>
                <w:sz w:val="18"/>
                <w:szCs w:val="18"/>
                <w:lang w:eastAsia="es-CO"/>
                <w14:ligatures w14:val="none"/>
              </w:rPr>
            </w:pPr>
            <w:r w:rsidRPr="00951AB1">
              <w:rPr>
                <w:rFonts w:eastAsia="Times New Roman" w:cs="Times New Roman"/>
                <w:b/>
                <w:bCs/>
                <w:color w:val="000000"/>
                <w:kern w:val="0"/>
                <w:sz w:val="18"/>
                <w:szCs w:val="18"/>
                <w:lang w:eastAsia="es-CO"/>
                <w14:ligatures w14:val="none"/>
              </w:rPr>
              <w:t>SOCIEDAD PORTUARIA TERMINAL DE CONTENEDORES DE BUENAVENTURA S.A.</w:t>
            </w:r>
          </w:p>
        </w:tc>
        <w:tc>
          <w:tcPr>
            <w:tcW w:w="965" w:type="pct"/>
            <w:noWrap/>
            <w:vAlign w:val="center"/>
            <w:hideMark/>
          </w:tcPr>
          <w:p w14:paraId="67B8BF7A" w14:textId="77777777" w:rsidR="00B77260" w:rsidRPr="00951AB1" w:rsidRDefault="00B77260" w:rsidP="000A5389">
            <w:pPr>
              <w:spacing w:line="240" w:lineRule="auto"/>
              <w:jc w:val="right"/>
              <w:rPr>
                <w:rFonts w:eastAsia="Times New Roman" w:cs="Times New Roman"/>
                <w:b/>
                <w:bCs/>
                <w:color w:val="000000"/>
                <w:kern w:val="0"/>
                <w:sz w:val="18"/>
                <w:szCs w:val="18"/>
                <w:lang w:eastAsia="es-CO"/>
                <w14:ligatures w14:val="none"/>
              </w:rPr>
            </w:pPr>
            <w:r w:rsidRPr="00951AB1">
              <w:rPr>
                <w:rFonts w:eastAsia="Times New Roman" w:cs="Times New Roman"/>
                <w:b/>
                <w:bCs/>
                <w:color w:val="000000"/>
                <w:kern w:val="0"/>
                <w:sz w:val="18"/>
                <w:szCs w:val="18"/>
                <w:lang w:eastAsia="es-CO"/>
                <w14:ligatures w14:val="none"/>
              </w:rPr>
              <w:t>639.954.571.793</w:t>
            </w:r>
          </w:p>
        </w:tc>
        <w:tc>
          <w:tcPr>
            <w:tcW w:w="945" w:type="pct"/>
            <w:noWrap/>
            <w:vAlign w:val="center"/>
            <w:hideMark/>
          </w:tcPr>
          <w:p w14:paraId="3596A647" w14:textId="77777777" w:rsidR="00B77260" w:rsidRPr="00951AB1" w:rsidRDefault="00B77260" w:rsidP="000A5389">
            <w:pPr>
              <w:spacing w:line="240" w:lineRule="auto"/>
              <w:jc w:val="right"/>
              <w:rPr>
                <w:rFonts w:eastAsia="Times New Roman" w:cs="Times New Roman"/>
                <w:b/>
                <w:bCs/>
                <w:color w:val="000000"/>
                <w:kern w:val="0"/>
                <w:sz w:val="18"/>
                <w:szCs w:val="18"/>
                <w:lang w:eastAsia="es-CO"/>
                <w14:ligatures w14:val="none"/>
              </w:rPr>
            </w:pPr>
            <w:r w:rsidRPr="00951AB1">
              <w:rPr>
                <w:rFonts w:eastAsia="Times New Roman" w:cs="Times New Roman"/>
                <w:b/>
                <w:bCs/>
                <w:color w:val="000000"/>
                <w:kern w:val="0"/>
                <w:sz w:val="18"/>
                <w:szCs w:val="18"/>
                <w:lang w:eastAsia="es-CO"/>
                <w14:ligatures w14:val="none"/>
              </w:rPr>
              <w:t>639.954.571.793</w:t>
            </w:r>
          </w:p>
        </w:tc>
        <w:tc>
          <w:tcPr>
            <w:tcW w:w="845" w:type="pct"/>
            <w:noWrap/>
            <w:vAlign w:val="center"/>
            <w:hideMark/>
          </w:tcPr>
          <w:p w14:paraId="6F75CE67" w14:textId="77777777" w:rsidR="00B77260" w:rsidRPr="00951AB1" w:rsidRDefault="00B77260" w:rsidP="000A5389">
            <w:pPr>
              <w:spacing w:line="240" w:lineRule="auto"/>
              <w:jc w:val="right"/>
              <w:rPr>
                <w:rFonts w:eastAsia="Times New Roman" w:cs="Times New Roman"/>
                <w:b/>
                <w:bCs/>
                <w:color w:val="000000"/>
                <w:kern w:val="0"/>
                <w:sz w:val="18"/>
                <w:szCs w:val="18"/>
                <w:lang w:eastAsia="es-CO"/>
                <w14:ligatures w14:val="none"/>
              </w:rPr>
            </w:pPr>
            <w:r w:rsidRPr="00951AB1">
              <w:rPr>
                <w:rFonts w:eastAsia="Times New Roman" w:cs="Times New Roman"/>
                <w:b/>
                <w:bCs/>
                <w:color w:val="000000"/>
                <w:kern w:val="0"/>
                <w:sz w:val="18"/>
                <w:szCs w:val="18"/>
                <w:lang w:eastAsia="es-CO"/>
                <w14:ligatures w14:val="none"/>
              </w:rPr>
              <w:t>1.279.909.143.586</w:t>
            </w:r>
          </w:p>
        </w:tc>
      </w:tr>
      <w:tr w:rsidR="005A73C0" w:rsidRPr="00951AB1" w14:paraId="77950804" w14:textId="77777777" w:rsidTr="004004C5">
        <w:trPr>
          <w:trHeight w:val="293"/>
        </w:trPr>
        <w:tc>
          <w:tcPr>
            <w:tcW w:w="2245" w:type="pct"/>
            <w:vAlign w:val="center"/>
            <w:hideMark/>
          </w:tcPr>
          <w:p w14:paraId="58B35719" w14:textId="77777777" w:rsidR="00B77260" w:rsidRPr="00951AB1" w:rsidRDefault="00B77260" w:rsidP="000A5389">
            <w:pPr>
              <w:spacing w:line="240" w:lineRule="auto"/>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Propiedades, Plan y Equipo</w:t>
            </w:r>
          </w:p>
        </w:tc>
        <w:tc>
          <w:tcPr>
            <w:tcW w:w="965" w:type="pct"/>
            <w:noWrap/>
            <w:vAlign w:val="center"/>
            <w:hideMark/>
          </w:tcPr>
          <w:p w14:paraId="73213D22" w14:textId="77777777" w:rsidR="00B77260" w:rsidRPr="00951AB1" w:rsidRDefault="00B77260"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121.502.794.966</w:t>
            </w:r>
          </w:p>
        </w:tc>
        <w:tc>
          <w:tcPr>
            <w:tcW w:w="945" w:type="pct"/>
            <w:noWrap/>
            <w:vAlign w:val="center"/>
            <w:hideMark/>
          </w:tcPr>
          <w:p w14:paraId="5D33467F" w14:textId="77777777" w:rsidR="00B77260" w:rsidRPr="00951AB1" w:rsidRDefault="00B77260"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121.502.794.966</w:t>
            </w:r>
          </w:p>
        </w:tc>
        <w:tc>
          <w:tcPr>
            <w:tcW w:w="845" w:type="pct"/>
            <w:noWrap/>
            <w:vAlign w:val="center"/>
            <w:hideMark/>
          </w:tcPr>
          <w:p w14:paraId="13246DCD" w14:textId="77777777" w:rsidR="00B77260" w:rsidRPr="00951AB1" w:rsidRDefault="00B77260"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243.005.589.932</w:t>
            </w:r>
          </w:p>
        </w:tc>
      </w:tr>
      <w:tr w:rsidR="005A73C0" w:rsidRPr="00951AB1" w14:paraId="2DCB0556" w14:textId="77777777" w:rsidTr="004004C5">
        <w:trPr>
          <w:trHeight w:val="293"/>
        </w:trPr>
        <w:tc>
          <w:tcPr>
            <w:tcW w:w="2245" w:type="pct"/>
            <w:vAlign w:val="center"/>
            <w:hideMark/>
          </w:tcPr>
          <w:p w14:paraId="2B618AA6" w14:textId="77777777" w:rsidR="00B77260" w:rsidRPr="00951AB1" w:rsidRDefault="00B77260" w:rsidP="000A5389">
            <w:pPr>
              <w:spacing w:line="240" w:lineRule="auto"/>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Red marítima</w:t>
            </w:r>
          </w:p>
        </w:tc>
        <w:tc>
          <w:tcPr>
            <w:tcW w:w="965" w:type="pct"/>
            <w:noWrap/>
            <w:vAlign w:val="center"/>
            <w:hideMark/>
          </w:tcPr>
          <w:p w14:paraId="5810CC42" w14:textId="77777777" w:rsidR="00B77260" w:rsidRPr="00951AB1" w:rsidRDefault="00B77260"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518.451.776.827</w:t>
            </w:r>
          </w:p>
        </w:tc>
        <w:tc>
          <w:tcPr>
            <w:tcW w:w="945" w:type="pct"/>
            <w:noWrap/>
            <w:vAlign w:val="center"/>
            <w:hideMark/>
          </w:tcPr>
          <w:p w14:paraId="1778E488" w14:textId="77777777" w:rsidR="00B77260" w:rsidRPr="00951AB1" w:rsidRDefault="00B77260"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518.451.776.827</w:t>
            </w:r>
          </w:p>
        </w:tc>
        <w:tc>
          <w:tcPr>
            <w:tcW w:w="845" w:type="pct"/>
            <w:noWrap/>
            <w:vAlign w:val="center"/>
            <w:hideMark/>
          </w:tcPr>
          <w:p w14:paraId="13E4061B" w14:textId="77777777" w:rsidR="00B77260" w:rsidRPr="00951AB1" w:rsidRDefault="00B77260"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1.036.903.553.654</w:t>
            </w:r>
          </w:p>
        </w:tc>
      </w:tr>
      <w:tr w:rsidR="005A73C0" w:rsidRPr="00951AB1" w14:paraId="6153228D" w14:textId="77777777" w:rsidTr="004004C5">
        <w:trPr>
          <w:trHeight w:val="293"/>
        </w:trPr>
        <w:tc>
          <w:tcPr>
            <w:tcW w:w="2245" w:type="pct"/>
            <w:vAlign w:val="center"/>
            <w:hideMark/>
          </w:tcPr>
          <w:p w14:paraId="609891AD" w14:textId="77777777" w:rsidR="00B77260" w:rsidRPr="00951AB1" w:rsidRDefault="00B77260" w:rsidP="000A5389">
            <w:pPr>
              <w:spacing w:line="240" w:lineRule="auto"/>
              <w:rPr>
                <w:rFonts w:eastAsia="Times New Roman" w:cs="Times New Roman"/>
                <w:b/>
                <w:bCs/>
                <w:color w:val="000000"/>
                <w:kern w:val="0"/>
                <w:sz w:val="18"/>
                <w:szCs w:val="18"/>
                <w:lang w:eastAsia="es-CO"/>
                <w14:ligatures w14:val="none"/>
              </w:rPr>
            </w:pPr>
            <w:r w:rsidRPr="00951AB1">
              <w:rPr>
                <w:rFonts w:eastAsia="Times New Roman" w:cs="Times New Roman"/>
                <w:b/>
                <w:bCs/>
                <w:color w:val="000000"/>
                <w:kern w:val="0"/>
                <w:sz w:val="18"/>
                <w:szCs w:val="18"/>
                <w:lang w:eastAsia="es-CO"/>
                <w14:ligatures w14:val="none"/>
              </w:rPr>
              <w:t>PUERTO DE MAMONAL S.A.</w:t>
            </w:r>
          </w:p>
        </w:tc>
        <w:tc>
          <w:tcPr>
            <w:tcW w:w="965" w:type="pct"/>
            <w:noWrap/>
            <w:vAlign w:val="center"/>
            <w:hideMark/>
          </w:tcPr>
          <w:p w14:paraId="58198718" w14:textId="77777777" w:rsidR="00B77260" w:rsidRPr="00951AB1" w:rsidRDefault="00B77260" w:rsidP="000A5389">
            <w:pPr>
              <w:spacing w:line="240" w:lineRule="auto"/>
              <w:jc w:val="right"/>
              <w:rPr>
                <w:rFonts w:eastAsia="Times New Roman" w:cs="Times New Roman"/>
                <w:b/>
                <w:bCs/>
                <w:color w:val="000000"/>
                <w:kern w:val="0"/>
                <w:sz w:val="18"/>
                <w:szCs w:val="18"/>
                <w:lang w:eastAsia="es-CO"/>
                <w14:ligatures w14:val="none"/>
              </w:rPr>
            </w:pPr>
            <w:r w:rsidRPr="00951AB1">
              <w:rPr>
                <w:rFonts w:eastAsia="Times New Roman" w:cs="Times New Roman"/>
                <w:b/>
                <w:bCs/>
                <w:color w:val="000000"/>
                <w:kern w:val="0"/>
                <w:sz w:val="18"/>
                <w:szCs w:val="18"/>
                <w:lang w:eastAsia="es-CO"/>
                <w14:ligatures w14:val="none"/>
              </w:rPr>
              <w:t>59.718.930.886</w:t>
            </w:r>
          </w:p>
        </w:tc>
        <w:tc>
          <w:tcPr>
            <w:tcW w:w="945" w:type="pct"/>
            <w:noWrap/>
            <w:vAlign w:val="center"/>
            <w:hideMark/>
          </w:tcPr>
          <w:p w14:paraId="6660771D" w14:textId="77777777" w:rsidR="00B77260" w:rsidRPr="00951AB1" w:rsidRDefault="00B77260" w:rsidP="000A5389">
            <w:pPr>
              <w:spacing w:line="240" w:lineRule="auto"/>
              <w:jc w:val="right"/>
              <w:rPr>
                <w:rFonts w:eastAsia="Times New Roman" w:cs="Times New Roman"/>
                <w:b/>
                <w:bCs/>
                <w:color w:val="000000"/>
                <w:kern w:val="0"/>
                <w:sz w:val="18"/>
                <w:szCs w:val="18"/>
                <w:lang w:eastAsia="es-CO"/>
                <w14:ligatures w14:val="none"/>
              </w:rPr>
            </w:pPr>
            <w:r w:rsidRPr="00951AB1">
              <w:rPr>
                <w:rFonts w:eastAsia="Times New Roman" w:cs="Times New Roman"/>
                <w:b/>
                <w:bCs/>
                <w:color w:val="000000"/>
                <w:kern w:val="0"/>
                <w:sz w:val="18"/>
                <w:szCs w:val="18"/>
                <w:lang w:eastAsia="es-CO"/>
                <w14:ligatures w14:val="none"/>
              </w:rPr>
              <w:t>59.718.930.886</w:t>
            </w:r>
          </w:p>
        </w:tc>
        <w:tc>
          <w:tcPr>
            <w:tcW w:w="845" w:type="pct"/>
            <w:noWrap/>
            <w:vAlign w:val="center"/>
            <w:hideMark/>
          </w:tcPr>
          <w:p w14:paraId="1DC673BF" w14:textId="77777777" w:rsidR="00B77260" w:rsidRPr="00951AB1" w:rsidRDefault="00B77260" w:rsidP="000A5389">
            <w:pPr>
              <w:spacing w:line="240" w:lineRule="auto"/>
              <w:jc w:val="right"/>
              <w:rPr>
                <w:rFonts w:eastAsia="Times New Roman" w:cs="Times New Roman"/>
                <w:b/>
                <w:bCs/>
                <w:color w:val="000000"/>
                <w:kern w:val="0"/>
                <w:sz w:val="18"/>
                <w:szCs w:val="18"/>
                <w:lang w:eastAsia="es-CO"/>
                <w14:ligatures w14:val="none"/>
              </w:rPr>
            </w:pPr>
            <w:r w:rsidRPr="00951AB1">
              <w:rPr>
                <w:rFonts w:eastAsia="Times New Roman" w:cs="Times New Roman"/>
                <w:b/>
                <w:bCs/>
                <w:color w:val="000000"/>
                <w:kern w:val="0"/>
                <w:sz w:val="18"/>
                <w:szCs w:val="18"/>
                <w:lang w:eastAsia="es-CO"/>
                <w14:ligatures w14:val="none"/>
              </w:rPr>
              <w:t>119.437.861.772</w:t>
            </w:r>
          </w:p>
        </w:tc>
      </w:tr>
      <w:tr w:rsidR="005A73C0" w:rsidRPr="00951AB1" w14:paraId="7DD583BF" w14:textId="77777777" w:rsidTr="004004C5">
        <w:trPr>
          <w:trHeight w:val="293"/>
        </w:trPr>
        <w:tc>
          <w:tcPr>
            <w:tcW w:w="2245" w:type="pct"/>
            <w:vAlign w:val="center"/>
            <w:hideMark/>
          </w:tcPr>
          <w:p w14:paraId="4D6175F4" w14:textId="77777777" w:rsidR="00B77260" w:rsidRPr="00951AB1" w:rsidRDefault="00B77260" w:rsidP="000A5389">
            <w:pPr>
              <w:spacing w:line="240" w:lineRule="auto"/>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Propiedades, Plan y Equipo</w:t>
            </w:r>
          </w:p>
        </w:tc>
        <w:tc>
          <w:tcPr>
            <w:tcW w:w="965" w:type="pct"/>
            <w:noWrap/>
            <w:vAlign w:val="center"/>
            <w:hideMark/>
          </w:tcPr>
          <w:p w14:paraId="2EF6FFB6" w14:textId="77777777" w:rsidR="00B77260" w:rsidRPr="00951AB1" w:rsidRDefault="00B77260"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4.870.122.109</w:t>
            </w:r>
          </w:p>
        </w:tc>
        <w:tc>
          <w:tcPr>
            <w:tcW w:w="945" w:type="pct"/>
            <w:noWrap/>
            <w:vAlign w:val="center"/>
            <w:hideMark/>
          </w:tcPr>
          <w:p w14:paraId="54BCBC70" w14:textId="77777777" w:rsidR="00B77260" w:rsidRPr="00951AB1" w:rsidRDefault="00B77260"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4.870.122.109</w:t>
            </w:r>
          </w:p>
        </w:tc>
        <w:tc>
          <w:tcPr>
            <w:tcW w:w="845" w:type="pct"/>
            <w:noWrap/>
            <w:vAlign w:val="center"/>
            <w:hideMark/>
          </w:tcPr>
          <w:p w14:paraId="6795EDED" w14:textId="77777777" w:rsidR="00B77260" w:rsidRPr="00951AB1" w:rsidRDefault="00B77260"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9.740.244.218</w:t>
            </w:r>
          </w:p>
        </w:tc>
      </w:tr>
      <w:tr w:rsidR="005A73C0" w:rsidRPr="00951AB1" w14:paraId="4980CAB1" w14:textId="77777777" w:rsidTr="004004C5">
        <w:trPr>
          <w:trHeight w:val="293"/>
        </w:trPr>
        <w:tc>
          <w:tcPr>
            <w:tcW w:w="2245" w:type="pct"/>
            <w:vAlign w:val="center"/>
            <w:hideMark/>
          </w:tcPr>
          <w:p w14:paraId="032C30C0" w14:textId="77777777" w:rsidR="00B77260" w:rsidRPr="00951AB1" w:rsidRDefault="00B77260" w:rsidP="000A5389">
            <w:pPr>
              <w:spacing w:line="240" w:lineRule="auto"/>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Red marítima</w:t>
            </w:r>
          </w:p>
        </w:tc>
        <w:tc>
          <w:tcPr>
            <w:tcW w:w="965" w:type="pct"/>
            <w:noWrap/>
            <w:vAlign w:val="center"/>
            <w:hideMark/>
          </w:tcPr>
          <w:p w14:paraId="5156DAB0" w14:textId="77777777" w:rsidR="00B77260" w:rsidRPr="00951AB1" w:rsidRDefault="00B77260"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54.848.808.777</w:t>
            </w:r>
          </w:p>
        </w:tc>
        <w:tc>
          <w:tcPr>
            <w:tcW w:w="945" w:type="pct"/>
            <w:noWrap/>
            <w:vAlign w:val="center"/>
            <w:hideMark/>
          </w:tcPr>
          <w:p w14:paraId="0C1080D6" w14:textId="77777777" w:rsidR="00B77260" w:rsidRPr="00951AB1" w:rsidRDefault="00B77260"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54.848.808.777</w:t>
            </w:r>
          </w:p>
        </w:tc>
        <w:tc>
          <w:tcPr>
            <w:tcW w:w="845" w:type="pct"/>
            <w:noWrap/>
            <w:vAlign w:val="center"/>
            <w:hideMark/>
          </w:tcPr>
          <w:p w14:paraId="702B55A0" w14:textId="77777777" w:rsidR="00B77260" w:rsidRPr="00951AB1" w:rsidRDefault="00B77260"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109.697.617.554</w:t>
            </w:r>
          </w:p>
        </w:tc>
      </w:tr>
      <w:tr w:rsidR="005A73C0" w:rsidRPr="00951AB1" w14:paraId="2FC383E9" w14:textId="77777777" w:rsidTr="004004C5">
        <w:trPr>
          <w:trHeight w:val="458"/>
        </w:trPr>
        <w:tc>
          <w:tcPr>
            <w:tcW w:w="2245" w:type="pct"/>
            <w:vAlign w:val="center"/>
            <w:hideMark/>
          </w:tcPr>
          <w:p w14:paraId="6CECD3F8" w14:textId="77777777" w:rsidR="00B77260" w:rsidRPr="00951AB1" w:rsidRDefault="00B77260" w:rsidP="000A5389">
            <w:pPr>
              <w:spacing w:line="240" w:lineRule="auto"/>
              <w:rPr>
                <w:rFonts w:eastAsia="Times New Roman" w:cs="Times New Roman"/>
                <w:b/>
                <w:bCs/>
                <w:color w:val="000000"/>
                <w:kern w:val="0"/>
                <w:sz w:val="18"/>
                <w:szCs w:val="18"/>
                <w:lang w:eastAsia="es-CO"/>
                <w14:ligatures w14:val="none"/>
              </w:rPr>
            </w:pPr>
            <w:r w:rsidRPr="00951AB1">
              <w:rPr>
                <w:rFonts w:eastAsia="Times New Roman" w:cs="Times New Roman"/>
                <w:b/>
                <w:bCs/>
                <w:color w:val="000000"/>
                <w:kern w:val="0"/>
                <w:sz w:val="18"/>
                <w:szCs w:val="18"/>
                <w:lang w:eastAsia="es-CO"/>
                <w14:ligatures w14:val="none"/>
              </w:rPr>
              <w:t>TERMINAL DE CONTENEDORES DE CARTAGENA S.A.</w:t>
            </w:r>
          </w:p>
        </w:tc>
        <w:tc>
          <w:tcPr>
            <w:tcW w:w="965" w:type="pct"/>
            <w:noWrap/>
            <w:vAlign w:val="center"/>
            <w:hideMark/>
          </w:tcPr>
          <w:p w14:paraId="548CD1F8" w14:textId="77777777" w:rsidR="00B77260" w:rsidRPr="00951AB1" w:rsidRDefault="00B77260" w:rsidP="000A5389">
            <w:pPr>
              <w:spacing w:line="240" w:lineRule="auto"/>
              <w:jc w:val="right"/>
              <w:rPr>
                <w:rFonts w:eastAsia="Times New Roman" w:cs="Times New Roman"/>
                <w:b/>
                <w:bCs/>
                <w:color w:val="000000"/>
                <w:kern w:val="0"/>
                <w:sz w:val="18"/>
                <w:szCs w:val="18"/>
                <w:lang w:eastAsia="es-CO"/>
                <w14:ligatures w14:val="none"/>
              </w:rPr>
            </w:pPr>
            <w:r w:rsidRPr="00951AB1">
              <w:rPr>
                <w:rFonts w:eastAsia="Times New Roman" w:cs="Times New Roman"/>
                <w:b/>
                <w:bCs/>
                <w:color w:val="000000"/>
                <w:kern w:val="0"/>
                <w:sz w:val="18"/>
                <w:szCs w:val="18"/>
                <w:lang w:eastAsia="es-CO"/>
                <w14:ligatures w14:val="none"/>
              </w:rPr>
              <w:t>619.715.332.177</w:t>
            </w:r>
          </w:p>
        </w:tc>
        <w:tc>
          <w:tcPr>
            <w:tcW w:w="945" w:type="pct"/>
            <w:noWrap/>
            <w:vAlign w:val="center"/>
            <w:hideMark/>
          </w:tcPr>
          <w:p w14:paraId="3960011E" w14:textId="77777777" w:rsidR="00B77260" w:rsidRPr="00951AB1" w:rsidRDefault="00B77260" w:rsidP="000A5389">
            <w:pPr>
              <w:spacing w:line="240" w:lineRule="auto"/>
              <w:jc w:val="right"/>
              <w:rPr>
                <w:rFonts w:eastAsia="Times New Roman" w:cs="Times New Roman"/>
                <w:b/>
                <w:bCs/>
                <w:color w:val="000000"/>
                <w:kern w:val="0"/>
                <w:sz w:val="18"/>
                <w:szCs w:val="18"/>
                <w:lang w:eastAsia="es-CO"/>
                <w14:ligatures w14:val="none"/>
              </w:rPr>
            </w:pPr>
            <w:r w:rsidRPr="00951AB1">
              <w:rPr>
                <w:rFonts w:eastAsia="Times New Roman" w:cs="Times New Roman"/>
                <w:b/>
                <w:bCs/>
                <w:color w:val="000000"/>
                <w:kern w:val="0"/>
                <w:sz w:val="18"/>
                <w:szCs w:val="18"/>
                <w:lang w:eastAsia="es-CO"/>
                <w14:ligatures w14:val="none"/>
              </w:rPr>
              <w:t>611.092.767.154</w:t>
            </w:r>
          </w:p>
        </w:tc>
        <w:tc>
          <w:tcPr>
            <w:tcW w:w="845" w:type="pct"/>
            <w:noWrap/>
            <w:vAlign w:val="center"/>
            <w:hideMark/>
          </w:tcPr>
          <w:p w14:paraId="3317B690" w14:textId="77777777" w:rsidR="00B77260" w:rsidRPr="00951AB1" w:rsidRDefault="00B77260" w:rsidP="000A5389">
            <w:pPr>
              <w:spacing w:line="240" w:lineRule="auto"/>
              <w:jc w:val="right"/>
              <w:rPr>
                <w:rFonts w:eastAsia="Times New Roman" w:cs="Times New Roman"/>
                <w:b/>
                <w:bCs/>
                <w:color w:val="000000"/>
                <w:kern w:val="0"/>
                <w:sz w:val="18"/>
                <w:szCs w:val="18"/>
                <w:lang w:eastAsia="es-CO"/>
                <w14:ligatures w14:val="none"/>
              </w:rPr>
            </w:pPr>
            <w:r w:rsidRPr="00951AB1">
              <w:rPr>
                <w:rFonts w:eastAsia="Times New Roman" w:cs="Times New Roman"/>
                <w:b/>
                <w:bCs/>
                <w:color w:val="000000"/>
                <w:kern w:val="0"/>
                <w:sz w:val="18"/>
                <w:szCs w:val="18"/>
                <w:lang w:eastAsia="es-CO"/>
                <w14:ligatures w14:val="none"/>
              </w:rPr>
              <w:t>1.230.808.099.330</w:t>
            </w:r>
          </w:p>
        </w:tc>
      </w:tr>
      <w:tr w:rsidR="005A73C0" w:rsidRPr="00951AB1" w14:paraId="2C290372" w14:textId="77777777" w:rsidTr="004004C5">
        <w:trPr>
          <w:trHeight w:val="293"/>
        </w:trPr>
        <w:tc>
          <w:tcPr>
            <w:tcW w:w="2245" w:type="pct"/>
            <w:vAlign w:val="center"/>
            <w:hideMark/>
          </w:tcPr>
          <w:p w14:paraId="7AA85410" w14:textId="77777777" w:rsidR="00B77260" w:rsidRPr="00951AB1" w:rsidRDefault="00B77260" w:rsidP="000A5389">
            <w:pPr>
              <w:spacing w:line="240" w:lineRule="auto"/>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Propiedades, Plan y Equipo</w:t>
            </w:r>
          </w:p>
        </w:tc>
        <w:tc>
          <w:tcPr>
            <w:tcW w:w="965" w:type="pct"/>
            <w:noWrap/>
            <w:vAlign w:val="center"/>
            <w:hideMark/>
          </w:tcPr>
          <w:p w14:paraId="26ADE286" w14:textId="77777777" w:rsidR="00B77260" w:rsidRPr="00951AB1" w:rsidRDefault="00B77260"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307.662.735.972</w:t>
            </w:r>
          </w:p>
        </w:tc>
        <w:tc>
          <w:tcPr>
            <w:tcW w:w="945" w:type="pct"/>
            <w:noWrap/>
            <w:vAlign w:val="center"/>
            <w:hideMark/>
          </w:tcPr>
          <w:p w14:paraId="77D7FA21" w14:textId="77777777" w:rsidR="00B77260" w:rsidRPr="00951AB1" w:rsidRDefault="00B77260"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307.662.735.972</w:t>
            </w:r>
          </w:p>
        </w:tc>
        <w:tc>
          <w:tcPr>
            <w:tcW w:w="845" w:type="pct"/>
            <w:noWrap/>
            <w:vAlign w:val="center"/>
            <w:hideMark/>
          </w:tcPr>
          <w:p w14:paraId="33A3C0D2" w14:textId="77777777" w:rsidR="00B77260" w:rsidRPr="00951AB1" w:rsidRDefault="00B77260"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615.325.471.944</w:t>
            </w:r>
          </w:p>
        </w:tc>
      </w:tr>
      <w:tr w:rsidR="005A73C0" w:rsidRPr="00951AB1" w14:paraId="2DD4BFE5" w14:textId="77777777" w:rsidTr="004004C5">
        <w:trPr>
          <w:trHeight w:val="293"/>
        </w:trPr>
        <w:tc>
          <w:tcPr>
            <w:tcW w:w="2245" w:type="pct"/>
            <w:vAlign w:val="center"/>
            <w:hideMark/>
          </w:tcPr>
          <w:p w14:paraId="3C75E702" w14:textId="77777777" w:rsidR="00B77260" w:rsidRPr="00951AB1" w:rsidRDefault="00B77260" w:rsidP="000A5389">
            <w:pPr>
              <w:spacing w:line="240" w:lineRule="auto"/>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Red marítima</w:t>
            </w:r>
          </w:p>
        </w:tc>
        <w:tc>
          <w:tcPr>
            <w:tcW w:w="965" w:type="pct"/>
            <w:noWrap/>
            <w:vAlign w:val="center"/>
            <w:hideMark/>
          </w:tcPr>
          <w:p w14:paraId="122C1338" w14:textId="77777777" w:rsidR="00B77260" w:rsidRPr="00951AB1" w:rsidRDefault="00B77260"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312.052.596.205</w:t>
            </w:r>
          </w:p>
        </w:tc>
        <w:tc>
          <w:tcPr>
            <w:tcW w:w="945" w:type="pct"/>
            <w:noWrap/>
            <w:vAlign w:val="center"/>
            <w:hideMark/>
          </w:tcPr>
          <w:p w14:paraId="3FE9F681" w14:textId="77777777" w:rsidR="00B77260" w:rsidRPr="00951AB1" w:rsidRDefault="00B77260"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303.430.031.182</w:t>
            </w:r>
          </w:p>
        </w:tc>
        <w:tc>
          <w:tcPr>
            <w:tcW w:w="845" w:type="pct"/>
            <w:noWrap/>
            <w:vAlign w:val="center"/>
            <w:hideMark/>
          </w:tcPr>
          <w:p w14:paraId="0DA27E52" w14:textId="77777777" w:rsidR="00B77260" w:rsidRPr="00951AB1" w:rsidRDefault="00B77260"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615.482.627.386</w:t>
            </w:r>
          </w:p>
        </w:tc>
      </w:tr>
      <w:tr w:rsidR="005A73C0" w:rsidRPr="00951AB1" w14:paraId="4CF8E82B" w14:textId="77777777" w:rsidTr="004004C5">
        <w:trPr>
          <w:trHeight w:val="293"/>
        </w:trPr>
        <w:tc>
          <w:tcPr>
            <w:tcW w:w="2245" w:type="pct"/>
            <w:vAlign w:val="center"/>
            <w:hideMark/>
          </w:tcPr>
          <w:p w14:paraId="55D27F32" w14:textId="77777777" w:rsidR="00B77260" w:rsidRPr="00951AB1" w:rsidRDefault="00B77260" w:rsidP="000A5389">
            <w:pPr>
              <w:spacing w:line="240" w:lineRule="auto"/>
              <w:rPr>
                <w:rFonts w:eastAsia="Times New Roman" w:cs="Times New Roman"/>
                <w:b/>
                <w:bCs/>
                <w:color w:val="000000"/>
                <w:kern w:val="0"/>
                <w:sz w:val="18"/>
                <w:szCs w:val="18"/>
                <w:lang w:eastAsia="es-CO"/>
                <w14:ligatures w14:val="none"/>
              </w:rPr>
            </w:pPr>
            <w:r w:rsidRPr="00951AB1">
              <w:rPr>
                <w:rFonts w:eastAsia="Times New Roman" w:cs="Times New Roman"/>
                <w:b/>
                <w:bCs/>
                <w:color w:val="000000"/>
                <w:kern w:val="0"/>
                <w:sz w:val="18"/>
                <w:szCs w:val="18"/>
                <w:lang w:eastAsia="es-CO"/>
                <w14:ligatures w14:val="none"/>
              </w:rPr>
              <w:t>AMERICAN PORT COMPANY INC</w:t>
            </w:r>
          </w:p>
        </w:tc>
        <w:tc>
          <w:tcPr>
            <w:tcW w:w="965" w:type="pct"/>
            <w:noWrap/>
            <w:vAlign w:val="center"/>
            <w:hideMark/>
          </w:tcPr>
          <w:p w14:paraId="07667430" w14:textId="77777777" w:rsidR="00B77260" w:rsidRPr="00951AB1" w:rsidRDefault="00B77260" w:rsidP="000A5389">
            <w:pPr>
              <w:spacing w:line="240" w:lineRule="auto"/>
              <w:jc w:val="right"/>
              <w:rPr>
                <w:rFonts w:eastAsia="Times New Roman" w:cs="Times New Roman"/>
                <w:b/>
                <w:bCs/>
                <w:color w:val="000000"/>
                <w:kern w:val="0"/>
                <w:sz w:val="18"/>
                <w:szCs w:val="18"/>
                <w:lang w:eastAsia="es-CO"/>
                <w14:ligatures w14:val="none"/>
              </w:rPr>
            </w:pPr>
            <w:r w:rsidRPr="00951AB1">
              <w:rPr>
                <w:rFonts w:eastAsia="Times New Roman" w:cs="Times New Roman"/>
                <w:b/>
                <w:bCs/>
                <w:color w:val="000000"/>
                <w:kern w:val="0"/>
                <w:sz w:val="18"/>
                <w:szCs w:val="18"/>
                <w:lang w:eastAsia="es-CO"/>
                <w14:ligatures w14:val="none"/>
              </w:rPr>
              <w:t>616.617.184.972</w:t>
            </w:r>
          </w:p>
        </w:tc>
        <w:tc>
          <w:tcPr>
            <w:tcW w:w="945" w:type="pct"/>
            <w:noWrap/>
            <w:vAlign w:val="center"/>
            <w:hideMark/>
          </w:tcPr>
          <w:p w14:paraId="008412CF" w14:textId="77777777" w:rsidR="00B77260" w:rsidRPr="00951AB1" w:rsidRDefault="00B77260" w:rsidP="000A5389">
            <w:pPr>
              <w:spacing w:line="240" w:lineRule="auto"/>
              <w:jc w:val="right"/>
              <w:rPr>
                <w:rFonts w:eastAsia="Times New Roman" w:cs="Times New Roman"/>
                <w:b/>
                <w:bCs/>
                <w:color w:val="000000"/>
                <w:kern w:val="0"/>
                <w:sz w:val="18"/>
                <w:szCs w:val="18"/>
                <w:lang w:eastAsia="es-CO"/>
                <w14:ligatures w14:val="none"/>
              </w:rPr>
            </w:pPr>
            <w:r w:rsidRPr="00951AB1">
              <w:rPr>
                <w:rFonts w:eastAsia="Times New Roman" w:cs="Times New Roman"/>
                <w:b/>
                <w:bCs/>
                <w:color w:val="000000"/>
                <w:kern w:val="0"/>
                <w:sz w:val="18"/>
                <w:szCs w:val="18"/>
                <w:lang w:eastAsia="es-CO"/>
                <w14:ligatures w14:val="none"/>
              </w:rPr>
              <w:t>616.617.184.972</w:t>
            </w:r>
          </w:p>
        </w:tc>
        <w:tc>
          <w:tcPr>
            <w:tcW w:w="845" w:type="pct"/>
            <w:noWrap/>
            <w:vAlign w:val="center"/>
            <w:hideMark/>
          </w:tcPr>
          <w:p w14:paraId="65D2399B" w14:textId="77777777" w:rsidR="00B77260" w:rsidRPr="00951AB1" w:rsidRDefault="00B77260" w:rsidP="000A5389">
            <w:pPr>
              <w:spacing w:line="240" w:lineRule="auto"/>
              <w:jc w:val="right"/>
              <w:rPr>
                <w:rFonts w:eastAsia="Times New Roman" w:cs="Times New Roman"/>
                <w:b/>
                <w:bCs/>
                <w:color w:val="000000"/>
                <w:kern w:val="0"/>
                <w:sz w:val="18"/>
                <w:szCs w:val="18"/>
                <w:lang w:eastAsia="es-CO"/>
                <w14:ligatures w14:val="none"/>
              </w:rPr>
            </w:pPr>
            <w:r w:rsidRPr="00951AB1">
              <w:rPr>
                <w:rFonts w:eastAsia="Times New Roman" w:cs="Times New Roman"/>
                <w:b/>
                <w:bCs/>
                <w:color w:val="000000"/>
                <w:kern w:val="0"/>
                <w:sz w:val="18"/>
                <w:szCs w:val="18"/>
                <w:lang w:eastAsia="es-CO"/>
                <w14:ligatures w14:val="none"/>
              </w:rPr>
              <w:t>1.233.234.369.944</w:t>
            </w:r>
          </w:p>
        </w:tc>
      </w:tr>
      <w:tr w:rsidR="005A73C0" w:rsidRPr="00951AB1" w14:paraId="3CBAFFE8" w14:textId="77777777" w:rsidTr="004004C5">
        <w:trPr>
          <w:trHeight w:val="293"/>
        </w:trPr>
        <w:tc>
          <w:tcPr>
            <w:tcW w:w="2245" w:type="pct"/>
            <w:vAlign w:val="center"/>
            <w:hideMark/>
          </w:tcPr>
          <w:p w14:paraId="03EF9E67" w14:textId="77777777" w:rsidR="00B77260" w:rsidRPr="00951AB1" w:rsidRDefault="00B77260" w:rsidP="000A5389">
            <w:pPr>
              <w:spacing w:line="240" w:lineRule="auto"/>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Propiedades, Plan y Equipo</w:t>
            </w:r>
          </w:p>
        </w:tc>
        <w:tc>
          <w:tcPr>
            <w:tcW w:w="965" w:type="pct"/>
            <w:noWrap/>
            <w:vAlign w:val="center"/>
            <w:hideMark/>
          </w:tcPr>
          <w:p w14:paraId="1A9C94A9" w14:textId="77777777" w:rsidR="00B77260" w:rsidRPr="00951AB1" w:rsidRDefault="00B77260"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117.750.293.235</w:t>
            </w:r>
          </w:p>
        </w:tc>
        <w:tc>
          <w:tcPr>
            <w:tcW w:w="945" w:type="pct"/>
            <w:noWrap/>
            <w:vAlign w:val="center"/>
            <w:hideMark/>
          </w:tcPr>
          <w:p w14:paraId="03FFD690" w14:textId="77777777" w:rsidR="00B77260" w:rsidRPr="00951AB1" w:rsidRDefault="00B77260"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117.750.293.235</w:t>
            </w:r>
          </w:p>
        </w:tc>
        <w:tc>
          <w:tcPr>
            <w:tcW w:w="845" w:type="pct"/>
            <w:noWrap/>
            <w:vAlign w:val="center"/>
            <w:hideMark/>
          </w:tcPr>
          <w:p w14:paraId="08D70A83" w14:textId="77777777" w:rsidR="00B77260" w:rsidRPr="00951AB1" w:rsidRDefault="00B77260"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235.500.586.470</w:t>
            </w:r>
          </w:p>
        </w:tc>
      </w:tr>
      <w:tr w:rsidR="005A73C0" w:rsidRPr="00951AB1" w14:paraId="6FDA6C97" w14:textId="77777777" w:rsidTr="004004C5">
        <w:trPr>
          <w:trHeight w:val="293"/>
        </w:trPr>
        <w:tc>
          <w:tcPr>
            <w:tcW w:w="2245" w:type="pct"/>
            <w:vAlign w:val="center"/>
            <w:hideMark/>
          </w:tcPr>
          <w:p w14:paraId="6CF84996" w14:textId="77777777" w:rsidR="00B77260" w:rsidRPr="00951AB1" w:rsidRDefault="00B77260" w:rsidP="000A5389">
            <w:pPr>
              <w:spacing w:line="240" w:lineRule="auto"/>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Red marítima</w:t>
            </w:r>
          </w:p>
        </w:tc>
        <w:tc>
          <w:tcPr>
            <w:tcW w:w="965" w:type="pct"/>
            <w:noWrap/>
            <w:vAlign w:val="center"/>
            <w:hideMark/>
          </w:tcPr>
          <w:p w14:paraId="0C2BE553" w14:textId="77777777" w:rsidR="00B77260" w:rsidRPr="00951AB1" w:rsidRDefault="00B77260"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498.866.891.737</w:t>
            </w:r>
          </w:p>
        </w:tc>
        <w:tc>
          <w:tcPr>
            <w:tcW w:w="945" w:type="pct"/>
            <w:noWrap/>
            <w:vAlign w:val="center"/>
            <w:hideMark/>
          </w:tcPr>
          <w:p w14:paraId="0B094EF0" w14:textId="77777777" w:rsidR="00B77260" w:rsidRPr="00951AB1" w:rsidRDefault="00B77260"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498.866.891.737</w:t>
            </w:r>
          </w:p>
        </w:tc>
        <w:tc>
          <w:tcPr>
            <w:tcW w:w="845" w:type="pct"/>
            <w:noWrap/>
            <w:vAlign w:val="center"/>
            <w:hideMark/>
          </w:tcPr>
          <w:p w14:paraId="7F25FFFC" w14:textId="77777777" w:rsidR="00B77260" w:rsidRPr="00951AB1" w:rsidRDefault="00B77260"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997.733.783.474</w:t>
            </w:r>
          </w:p>
        </w:tc>
      </w:tr>
      <w:tr w:rsidR="005A73C0" w:rsidRPr="00951AB1" w14:paraId="7D979F06" w14:textId="77777777" w:rsidTr="004004C5">
        <w:trPr>
          <w:trHeight w:val="293"/>
        </w:trPr>
        <w:tc>
          <w:tcPr>
            <w:tcW w:w="2245" w:type="pct"/>
            <w:vAlign w:val="center"/>
            <w:hideMark/>
          </w:tcPr>
          <w:p w14:paraId="2984DB69" w14:textId="77777777" w:rsidR="00B77260" w:rsidRPr="00951AB1" w:rsidRDefault="00B77260" w:rsidP="000A5389">
            <w:pPr>
              <w:spacing w:line="240" w:lineRule="auto"/>
              <w:rPr>
                <w:rFonts w:eastAsia="Times New Roman" w:cs="Times New Roman"/>
                <w:b/>
                <w:bCs/>
                <w:color w:val="000000"/>
                <w:kern w:val="0"/>
                <w:sz w:val="18"/>
                <w:szCs w:val="18"/>
                <w:lang w:eastAsia="es-CO"/>
                <w14:ligatures w14:val="none"/>
              </w:rPr>
            </w:pPr>
            <w:r w:rsidRPr="00951AB1">
              <w:rPr>
                <w:rFonts w:eastAsia="Times New Roman" w:cs="Times New Roman"/>
                <w:b/>
                <w:bCs/>
                <w:color w:val="000000"/>
                <w:kern w:val="0"/>
                <w:sz w:val="18"/>
                <w:szCs w:val="18"/>
                <w:lang w:eastAsia="es-CO"/>
                <w14:ligatures w14:val="none"/>
              </w:rPr>
              <w:t>COMPAÑIA DE PUERTOS ASOCIADOS S.A.</w:t>
            </w:r>
          </w:p>
        </w:tc>
        <w:tc>
          <w:tcPr>
            <w:tcW w:w="965" w:type="pct"/>
            <w:noWrap/>
            <w:vAlign w:val="center"/>
            <w:hideMark/>
          </w:tcPr>
          <w:p w14:paraId="68E21D0A" w14:textId="77777777" w:rsidR="00B77260" w:rsidRPr="00951AB1" w:rsidRDefault="00B77260" w:rsidP="000A5389">
            <w:pPr>
              <w:spacing w:line="240" w:lineRule="auto"/>
              <w:jc w:val="right"/>
              <w:rPr>
                <w:rFonts w:eastAsia="Times New Roman" w:cs="Times New Roman"/>
                <w:b/>
                <w:bCs/>
                <w:color w:val="000000"/>
                <w:kern w:val="0"/>
                <w:sz w:val="18"/>
                <w:szCs w:val="18"/>
                <w:lang w:eastAsia="es-CO"/>
                <w14:ligatures w14:val="none"/>
              </w:rPr>
            </w:pPr>
            <w:r w:rsidRPr="00951AB1">
              <w:rPr>
                <w:rFonts w:eastAsia="Times New Roman" w:cs="Times New Roman"/>
                <w:b/>
                <w:bCs/>
                <w:color w:val="000000"/>
                <w:kern w:val="0"/>
                <w:sz w:val="18"/>
                <w:szCs w:val="18"/>
                <w:lang w:eastAsia="es-CO"/>
                <w14:ligatures w14:val="none"/>
              </w:rPr>
              <w:t>279.192.013.927</w:t>
            </w:r>
          </w:p>
        </w:tc>
        <w:tc>
          <w:tcPr>
            <w:tcW w:w="945" w:type="pct"/>
            <w:noWrap/>
            <w:vAlign w:val="center"/>
            <w:hideMark/>
          </w:tcPr>
          <w:p w14:paraId="4580F6ED" w14:textId="77777777" w:rsidR="00B77260" w:rsidRPr="00951AB1" w:rsidRDefault="00B77260" w:rsidP="000A5389">
            <w:pPr>
              <w:spacing w:line="240" w:lineRule="auto"/>
              <w:jc w:val="right"/>
              <w:rPr>
                <w:rFonts w:eastAsia="Times New Roman" w:cs="Times New Roman"/>
                <w:b/>
                <w:bCs/>
                <w:color w:val="000000"/>
                <w:kern w:val="0"/>
                <w:sz w:val="18"/>
                <w:szCs w:val="18"/>
                <w:lang w:eastAsia="es-CO"/>
                <w14:ligatures w14:val="none"/>
              </w:rPr>
            </w:pPr>
            <w:r w:rsidRPr="00951AB1">
              <w:rPr>
                <w:rFonts w:eastAsia="Times New Roman" w:cs="Times New Roman"/>
                <w:b/>
                <w:bCs/>
                <w:color w:val="000000"/>
                <w:kern w:val="0"/>
                <w:sz w:val="18"/>
                <w:szCs w:val="18"/>
                <w:lang w:eastAsia="es-CO"/>
                <w14:ligatures w14:val="none"/>
              </w:rPr>
              <w:t>276.441.864.522</w:t>
            </w:r>
          </w:p>
        </w:tc>
        <w:tc>
          <w:tcPr>
            <w:tcW w:w="845" w:type="pct"/>
            <w:noWrap/>
            <w:vAlign w:val="center"/>
            <w:hideMark/>
          </w:tcPr>
          <w:p w14:paraId="7F8DCA52" w14:textId="77777777" w:rsidR="00B77260" w:rsidRPr="00951AB1" w:rsidRDefault="00B77260" w:rsidP="000A5389">
            <w:pPr>
              <w:spacing w:line="240" w:lineRule="auto"/>
              <w:jc w:val="right"/>
              <w:rPr>
                <w:rFonts w:eastAsia="Times New Roman" w:cs="Times New Roman"/>
                <w:b/>
                <w:bCs/>
                <w:color w:val="000000"/>
                <w:kern w:val="0"/>
                <w:sz w:val="18"/>
                <w:szCs w:val="18"/>
                <w:lang w:eastAsia="es-CO"/>
                <w14:ligatures w14:val="none"/>
              </w:rPr>
            </w:pPr>
            <w:r w:rsidRPr="00951AB1">
              <w:rPr>
                <w:rFonts w:eastAsia="Times New Roman" w:cs="Times New Roman"/>
                <w:b/>
                <w:bCs/>
                <w:color w:val="000000"/>
                <w:kern w:val="0"/>
                <w:sz w:val="18"/>
                <w:szCs w:val="18"/>
                <w:lang w:eastAsia="es-CO"/>
                <w14:ligatures w14:val="none"/>
              </w:rPr>
              <w:t>555.633.878.449</w:t>
            </w:r>
          </w:p>
        </w:tc>
      </w:tr>
      <w:tr w:rsidR="005A73C0" w:rsidRPr="00951AB1" w14:paraId="0D2B7F48" w14:textId="77777777" w:rsidTr="004004C5">
        <w:trPr>
          <w:trHeight w:val="293"/>
        </w:trPr>
        <w:tc>
          <w:tcPr>
            <w:tcW w:w="2245" w:type="pct"/>
            <w:vAlign w:val="center"/>
            <w:hideMark/>
          </w:tcPr>
          <w:p w14:paraId="3CBCB778" w14:textId="77777777" w:rsidR="00B77260" w:rsidRPr="00951AB1" w:rsidRDefault="00B77260" w:rsidP="000A5389">
            <w:pPr>
              <w:spacing w:line="240" w:lineRule="auto"/>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Propiedades, Plan y Equipo</w:t>
            </w:r>
          </w:p>
        </w:tc>
        <w:tc>
          <w:tcPr>
            <w:tcW w:w="965" w:type="pct"/>
            <w:noWrap/>
            <w:vAlign w:val="center"/>
            <w:hideMark/>
          </w:tcPr>
          <w:p w14:paraId="2ED74E09" w14:textId="77777777" w:rsidR="00B77260" w:rsidRPr="00951AB1" w:rsidRDefault="00B77260"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47.568.678.751</w:t>
            </w:r>
          </w:p>
        </w:tc>
        <w:tc>
          <w:tcPr>
            <w:tcW w:w="945" w:type="pct"/>
            <w:noWrap/>
            <w:vAlign w:val="center"/>
            <w:hideMark/>
          </w:tcPr>
          <w:p w14:paraId="14D98823" w14:textId="77777777" w:rsidR="00B77260" w:rsidRPr="00951AB1" w:rsidRDefault="00B77260"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47.568.678.751</w:t>
            </w:r>
          </w:p>
        </w:tc>
        <w:tc>
          <w:tcPr>
            <w:tcW w:w="845" w:type="pct"/>
            <w:noWrap/>
            <w:vAlign w:val="center"/>
            <w:hideMark/>
          </w:tcPr>
          <w:p w14:paraId="78486A86" w14:textId="77777777" w:rsidR="00B77260" w:rsidRPr="00951AB1" w:rsidRDefault="00B77260"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95.137.357.502</w:t>
            </w:r>
          </w:p>
        </w:tc>
      </w:tr>
      <w:tr w:rsidR="005A73C0" w:rsidRPr="00951AB1" w14:paraId="6B4C48B3" w14:textId="77777777" w:rsidTr="004004C5">
        <w:trPr>
          <w:trHeight w:val="293"/>
        </w:trPr>
        <w:tc>
          <w:tcPr>
            <w:tcW w:w="2245" w:type="pct"/>
            <w:vAlign w:val="center"/>
            <w:hideMark/>
          </w:tcPr>
          <w:p w14:paraId="58BEB683" w14:textId="77777777" w:rsidR="00B77260" w:rsidRPr="00951AB1" w:rsidRDefault="00B77260" w:rsidP="000A5389">
            <w:pPr>
              <w:spacing w:line="240" w:lineRule="auto"/>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Red marítima</w:t>
            </w:r>
          </w:p>
        </w:tc>
        <w:tc>
          <w:tcPr>
            <w:tcW w:w="965" w:type="pct"/>
            <w:noWrap/>
            <w:vAlign w:val="center"/>
            <w:hideMark/>
          </w:tcPr>
          <w:p w14:paraId="276C92C3" w14:textId="77777777" w:rsidR="00B77260" w:rsidRPr="00951AB1" w:rsidRDefault="00B77260"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231.623.335.176</w:t>
            </w:r>
          </w:p>
        </w:tc>
        <w:tc>
          <w:tcPr>
            <w:tcW w:w="945" w:type="pct"/>
            <w:noWrap/>
            <w:vAlign w:val="center"/>
            <w:hideMark/>
          </w:tcPr>
          <w:p w14:paraId="0B470E25" w14:textId="77777777" w:rsidR="00B77260" w:rsidRPr="00951AB1" w:rsidRDefault="00B77260"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228.873.185.771</w:t>
            </w:r>
          </w:p>
        </w:tc>
        <w:tc>
          <w:tcPr>
            <w:tcW w:w="845" w:type="pct"/>
            <w:noWrap/>
            <w:vAlign w:val="center"/>
            <w:hideMark/>
          </w:tcPr>
          <w:p w14:paraId="3FF669F9" w14:textId="77777777" w:rsidR="00B77260" w:rsidRPr="00951AB1" w:rsidRDefault="00B77260"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460.496.520.946</w:t>
            </w:r>
          </w:p>
        </w:tc>
      </w:tr>
      <w:tr w:rsidR="005A73C0" w:rsidRPr="00951AB1" w14:paraId="1256CF02" w14:textId="77777777" w:rsidTr="004004C5">
        <w:trPr>
          <w:trHeight w:val="293"/>
        </w:trPr>
        <w:tc>
          <w:tcPr>
            <w:tcW w:w="2245" w:type="pct"/>
            <w:vAlign w:val="center"/>
            <w:hideMark/>
          </w:tcPr>
          <w:p w14:paraId="688DF3A9" w14:textId="77777777" w:rsidR="00B77260" w:rsidRPr="00951AB1" w:rsidRDefault="00B77260" w:rsidP="000A5389">
            <w:pPr>
              <w:spacing w:line="240" w:lineRule="auto"/>
              <w:rPr>
                <w:rFonts w:eastAsia="Times New Roman" w:cs="Times New Roman"/>
                <w:b/>
                <w:bCs/>
                <w:color w:val="000000"/>
                <w:kern w:val="0"/>
                <w:sz w:val="18"/>
                <w:szCs w:val="18"/>
                <w:lang w:eastAsia="es-CO"/>
                <w14:ligatures w14:val="none"/>
              </w:rPr>
            </w:pPr>
            <w:r w:rsidRPr="00951AB1">
              <w:rPr>
                <w:rFonts w:eastAsia="Times New Roman" w:cs="Times New Roman"/>
                <w:b/>
                <w:bCs/>
                <w:color w:val="000000"/>
                <w:kern w:val="0"/>
                <w:sz w:val="18"/>
                <w:szCs w:val="18"/>
                <w:lang w:eastAsia="es-CO"/>
                <w14:ligatures w14:val="none"/>
              </w:rPr>
              <w:t>SOCIEDAD PORTUARIA PMQS.A SUC 02</w:t>
            </w:r>
          </w:p>
        </w:tc>
        <w:tc>
          <w:tcPr>
            <w:tcW w:w="965" w:type="pct"/>
            <w:noWrap/>
            <w:vAlign w:val="center"/>
            <w:hideMark/>
          </w:tcPr>
          <w:p w14:paraId="28C98552" w14:textId="77777777" w:rsidR="00B77260" w:rsidRPr="00951AB1" w:rsidRDefault="00B77260" w:rsidP="000A5389">
            <w:pPr>
              <w:spacing w:line="240" w:lineRule="auto"/>
              <w:jc w:val="right"/>
              <w:rPr>
                <w:rFonts w:eastAsia="Times New Roman" w:cs="Times New Roman"/>
                <w:b/>
                <w:bCs/>
                <w:color w:val="000000"/>
                <w:kern w:val="0"/>
                <w:sz w:val="18"/>
                <w:szCs w:val="18"/>
                <w:lang w:eastAsia="es-CO"/>
                <w14:ligatures w14:val="none"/>
              </w:rPr>
            </w:pPr>
            <w:r w:rsidRPr="00951AB1">
              <w:rPr>
                <w:rFonts w:eastAsia="Times New Roman" w:cs="Times New Roman"/>
                <w:b/>
                <w:bCs/>
                <w:color w:val="000000"/>
                <w:kern w:val="0"/>
                <w:sz w:val="18"/>
                <w:szCs w:val="18"/>
                <w:lang w:eastAsia="es-CO"/>
                <w14:ligatures w14:val="none"/>
              </w:rPr>
              <w:t>4.339.943.174</w:t>
            </w:r>
          </w:p>
        </w:tc>
        <w:tc>
          <w:tcPr>
            <w:tcW w:w="945" w:type="pct"/>
            <w:noWrap/>
            <w:vAlign w:val="center"/>
            <w:hideMark/>
          </w:tcPr>
          <w:p w14:paraId="560C55FB" w14:textId="77777777" w:rsidR="00B77260" w:rsidRPr="00951AB1" w:rsidRDefault="00B77260" w:rsidP="000A5389">
            <w:pPr>
              <w:spacing w:line="240" w:lineRule="auto"/>
              <w:jc w:val="right"/>
              <w:rPr>
                <w:rFonts w:eastAsia="Times New Roman" w:cs="Times New Roman"/>
                <w:b/>
                <w:bCs/>
                <w:color w:val="000000"/>
                <w:kern w:val="0"/>
                <w:sz w:val="18"/>
                <w:szCs w:val="18"/>
                <w:lang w:eastAsia="es-CO"/>
                <w14:ligatures w14:val="none"/>
              </w:rPr>
            </w:pPr>
            <w:r w:rsidRPr="00951AB1">
              <w:rPr>
                <w:rFonts w:eastAsia="Times New Roman" w:cs="Times New Roman"/>
                <w:b/>
                <w:bCs/>
                <w:color w:val="000000"/>
                <w:kern w:val="0"/>
                <w:sz w:val="18"/>
                <w:szCs w:val="18"/>
                <w:lang w:eastAsia="es-CO"/>
                <w14:ligatures w14:val="none"/>
              </w:rPr>
              <w:t>4.339.943.174</w:t>
            </w:r>
          </w:p>
        </w:tc>
        <w:tc>
          <w:tcPr>
            <w:tcW w:w="845" w:type="pct"/>
            <w:noWrap/>
            <w:vAlign w:val="center"/>
            <w:hideMark/>
          </w:tcPr>
          <w:p w14:paraId="324B6B0E" w14:textId="77777777" w:rsidR="00B77260" w:rsidRPr="00951AB1" w:rsidRDefault="00B77260" w:rsidP="000A5389">
            <w:pPr>
              <w:spacing w:line="240" w:lineRule="auto"/>
              <w:jc w:val="right"/>
              <w:rPr>
                <w:rFonts w:eastAsia="Times New Roman" w:cs="Times New Roman"/>
                <w:b/>
                <w:bCs/>
                <w:color w:val="000000"/>
                <w:kern w:val="0"/>
                <w:sz w:val="18"/>
                <w:szCs w:val="18"/>
                <w:lang w:eastAsia="es-CO"/>
                <w14:ligatures w14:val="none"/>
              </w:rPr>
            </w:pPr>
            <w:r w:rsidRPr="00951AB1">
              <w:rPr>
                <w:rFonts w:eastAsia="Times New Roman" w:cs="Times New Roman"/>
                <w:b/>
                <w:bCs/>
                <w:color w:val="000000"/>
                <w:kern w:val="0"/>
                <w:sz w:val="18"/>
                <w:szCs w:val="18"/>
                <w:lang w:eastAsia="es-CO"/>
                <w14:ligatures w14:val="none"/>
              </w:rPr>
              <w:t>8.679.886.348</w:t>
            </w:r>
          </w:p>
        </w:tc>
      </w:tr>
      <w:tr w:rsidR="005A73C0" w:rsidRPr="00951AB1" w14:paraId="6E682810" w14:textId="77777777" w:rsidTr="004004C5">
        <w:trPr>
          <w:trHeight w:val="293"/>
        </w:trPr>
        <w:tc>
          <w:tcPr>
            <w:tcW w:w="2245" w:type="pct"/>
            <w:vAlign w:val="center"/>
            <w:hideMark/>
          </w:tcPr>
          <w:p w14:paraId="275027D1" w14:textId="77777777" w:rsidR="00B77260" w:rsidRPr="00951AB1" w:rsidRDefault="00B77260" w:rsidP="000A5389">
            <w:pPr>
              <w:spacing w:line="240" w:lineRule="auto"/>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Red marítima</w:t>
            </w:r>
          </w:p>
        </w:tc>
        <w:tc>
          <w:tcPr>
            <w:tcW w:w="965" w:type="pct"/>
            <w:noWrap/>
            <w:vAlign w:val="center"/>
            <w:hideMark/>
          </w:tcPr>
          <w:p w14:paraId="49143738" w14:textId="77777777" w:rsidR="00B77260" w:rsidRPr="00951AB1" w:rsidRDefault="00B77260"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4.339.943.174</w:t>
            </w:r>
          </w:p>
        </w:tc>
        <w:tc>
          <w:tcPr>
            <w:tcW w:w="945" w:type="pct"/>
            <w:noWrap/>
            <w:vAlign w:val="center"/>
            <w:hideMark/>
          </w:tcPr>
          <w:p w14:paraId="27974553" w14:textId="77777777" w:rsidR="00B77260" w:rsidRPr="00951AB1" w:rsidRDefault="00B77260"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4.339.943.174</w:t>
            </w:r>
          </w:p>
        </w:tc>
        <w:tc>
          <w:tcPr>
            <w:tcW w:w="845" w:type="pct"/>
            <w:noWrap/>
            <w:vAlign w:val="center"/>
            <w:hideMark/>
          </w:tcPr>
          <w:p w14:paraId="714B3CCB" w14:textId="77777777" w:rsidR="00B77260" w:rsidRPr="00951AB1" w:rsidRDefault="00B77260"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8.679.886.348</w:t>
            </w:r>
          </w:p>
        </w:tc>
      </w:tr>
      <w:tr w:rsidR="005A73C0" w:rsidRPr="00951AB1" w14:paraId="6C55F460" w14:textId="77777777" w:rsidTr="004004C5">
        <w:trPr>
          <w:trHeight w:val="458"/>
        </w:trPr>
        <w:tc>
          <w:tcPr>
            <w:tcW w:w="2245" w:type="pct"/>
            <w:vAlign w:val="center"/>
            <w:hideMark/>
          </w:tcPr>
          <w:p w14:paraId="2CD5D271" w14:textId="77777777" w:rsidR="00B77260" w:rsidRPr="00951AB1" w:rsidRDefault="00B77260" w:rsidP="000A5389">
            <w:pPr>
              <w:spacing w:line="240" w:lineRule="auto"/>
              <w:rPr>
                <w:rFonts w:eastAsia="Times New Roman" w:cs="Times New Roman"/>
                <w:b/>
                <w:bCs/>
                <w:color w:val="000000"/>
                <w:kern w:val="0"/>
                <w:sz w:val="18"/>
                <w:szCs w:val="18"/>
                <w:lang w:eastAsia="es-CO"/>
                <w14:ligatures w14:val="none"/>
              </w:rPr>
            </w:pPr>
            <w:r w:rsidRPr="00951AB1">
              <w:rPr>
                <w:rFonts w:eastAsia="Times New Roman" w:cs="Times New Roman"/>
                <w:b/>
                <w:bCs/>
                <w:color w:val="000000"/>
                <w:kern w:val="0"/>
                <w:sz w:val="18"/>
                <w:szCs w:val="18"/>
                <w:lang w:eastAsia="es-CO"/>
                <w14:ligatures w14:val="none"/>
              </w:rPr>
              <w:t>SOCIEDAD PORTUARIA REGIONAL DE SANTA MARTA S.A</w:t>
            </w:r>
          </w:p>
        </w:tc>
        <w:tc>
          <w:tcPr>
            <w:tcW w:w="965" w:type="pct"/>
            <w:noWrap/>
            <w:vAlign w:val="center"/>
            <w:hideMark/>
          </w:tcPr>
          <w:p w14:paraId="21F710CB" w14:textId="77777777" w:rsidR="00B77260" w:rsidRPr="00951AB1" w:rsidRDefault="00B77260" w:rsidP="000A5389">
            <w:pPr>
              <w:spacing w:line="240" w:lineRule="auto"/>
              <w:jc w:val="right"/>
              <w:rPr>
                <w:rFonts w:eastAsia="Times New Roman" w:cs="Times New Roman"/>
                <w:b/>
                <w:bCs/>
                <w:color w:val="000000"/>
                <w:kern w:val="0"/>
                <w:sz w:val="18"/>
                <w:szCs w:val="18"/>
                <w:lang w:eastAsia="es-CO"/>
                <w14:ligatures w14:val="none"/>
              </w:rPr>
            </w:pPr>
            <w:r w:rsidRPr="00951AB1">
              <w:rPr>
                <w:rFonts w:eastAsia="Times New Roman" w:cs="Times New Roman"/>
                <w:b/>
                <w:bCs/>
                <w:color w:val="000000"/>
                <w:kern w:val="0"/>
                <w:sz w:val="18"/>
                <w:szCs w:val="18"/>
                <w:lang w:eastAsia="es-CO"/>
                <w14:ligatures w14:val="none"/>
              </w:rPr>
              <w:t>490.326.826.271</w:t>
            </w:r>
          </w:p>
        </w:tc>
        <w:tc>
          <w:tcPr>
            <w:tcW w:w="945" w:type="pct"/>
            <w:noWrap/>
            <w:vAlign w:val="center"/>
            <w:hideMark/>
          </w:tcPr>
          <w:p w14:paraId="1E4C0A20" w14:textId="77777777" w:rsidR="00B77260" w:rsidRPr="00951AB1" w:rsidRDefault="00B77260" w:rsidP="000A5389">
            <w:pPr>
              <w:spacing w:line="240" w:lineRule="auto"/>
              <w:jc w:val="right"/>
              <w:rPr>
                <w:rFonts w:eastAsia="Times New Roman" w:cs="Times New Roman"/>
                <w:b/>
                <w:bCs/>
                <w:color w:val="000000"/>
                <w:kern w:val="0"/>
                <w:sz w:val="18"/>
                <w:szCs w:val="18"/>
                <w:lang w:eastAsia="es-CO"/>
                <w14:ligatures w14:val="none"/>
              </w:rPr>
            </w:pPr>
            <w:r w:rsidRPr="00951AB1">
              <w:rPr>
                <w:rFonts w:eastAsia="Times New Roman" w:cs="Times New Roman"/>
                <w:b/>
                <w:bCs/>
                <w:color w:val="000000"/>
                <w:kern w:val="0"/>
                <w:sz w:val="18"/>
                <w:szCs w:val="18"/>
                <w:lang w:eastAsia="es-CO"/>
                <w14:ligatures w14:val="none"/>
              </w:rPr>
              <w:t>465.015.276.971</w:t>
            </w:r>
          </w:p>
        </w:tc>
        <w:tc>
          <w:tcPr>
            <w:tcW w:w="845" w:type="pct"/>
            <w:noWrap/>
            <w:vAlign w:val="center"/>
            <w:hideMark/>
          </w:tcPr>
          <w:p w14:paraId="662D20F3" w14:textId="77777777" w:rsidR="00B77260" w:rsidRPr="00951AB1" w:rsidRDefault="00B77260" w:rsidP="000A5389">
            <w:pPr>
              <w:spacing w:line="240" w:lineRule="auto"/>
              <w:jc w:val="right"/>
              <w:rPr>
                <w:rFonts w:eastAsia="Times New Roman" w:cs="Times New Roman"/>
                <w:b/>
                <w:bCs/>
                <w:color w:val="000000"/>
                <w:kern w:val="0"/>
                <w:sz w:val="18"/>
                <w:szCs w:val="18"/>
                <w:lang w:eastAsia="es-CO"/>
                <w14:ligatures w14:val="none"/>
              </w:rPr>
            </w:pPr>
            <w:r w:rsidRPr="00951AB1">
              <w:rPr>
                <w:rFonts w:eastAsia="Times New Roman" w:cs="Times New Roman"/>
                <w:b/>
                <w:bCs/>
                <w:color w:val="000000"/>
                <w:kern w:val="0"/>
                <w:sz w:val="18"/>
                <w:szCs w:val="18"/>
                <w:lang w:eastAsia="es-CO"/>
                <w14:ligatures w14:val="none"/>
              </w:rPr>
              <w:t>955.342.103.242</w:t>
            </w:r>
          </w:p>
        </w:tc>
      </w:tr>
      <w:tr w:rsidR="005A73C0" w:rsidRPr="00951AB1" w14:paraId="48C533AE" w14:textId="77777777" w:rsidTr="004004C5">
        <w:trPr>
          <w:trHeight w:val="293"/>
        </w:trPr>
        <w:tc>
          <w:tcPr>
            <w:tcW w:w="2245" w:type="pct"/>
            <w:vAlign w:val="center"/>
            <w:hideMark/>
          </w:tcPr>
          <w:p w14:paraId="388CE882" w14:textId="77777777" w:rsidR="00B77260" w:rsidRPr="00951AB1" w:rsidRDefault="00B77260" w:rsidP="000A5389">
            <w:pPr>
              <w:spacing w:line="240" w:lineRule="auto"/>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Activos intangibles en concesión</w:t>
            </w:r>
          </w:p>
        </w:tc>
        <w:tc>
          <w:tcPr>
            <w:tcW w:w="965" w:type="pct"/>
            <w:noWrap/>
            <w:vAlign w:val="center"/>
            <w:hideMark/>
          </w:tcPr>
          <w:p w14:paraId="10C090C8" w14:textId="77777777" w:rsidR="00B77260" w:rsidRPr="00951AB1" w:rsidRDefault="00B77260"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9.519.405.678</w:t>
            </w:r>
          </w:p>
        </w:tc>
        <w:tc>
          <w:tcPr>
            <w:tcW w:w="945" w:type="pct"/>
            <w:noWrap/>
            <w:vAlign w:val="center"/>
            <w:hideMark/>
          </w:tcPr>
          <w:p w14:paraId="467EFC0F" w14:textId="77777777" w:rsidR="00B77260" w:rsidRPr="00951AB1" w:rsidRDefault="00B77260" w:rsidP="000A5389">
            <w:pPr>
              <w:spacing w:line="240" w:lineRule="auto"/>
              <w:rPr>
                <w:rFonts w:eastAsia="Times New Roman" w:cs="Times New Roman"/>
                <w:color w:val="000000"/>
                <w:kern w:val="0"/>
                <w:lang w:eastAsia="es-CO"/>
                <w14:ligatures w14:val="none"/>
              </w:rPr>
            </w:pPr>
            <w:r w:rsidRPr="00951AB1">
              <w:rPr>
                <w:rFonts w:eastAsia="Times New Roman" w:cs="Times New Roman"/>
                <w:color w:val="000000"/>
                <w:kern w:val="0"/>
                <w:lang w:eastAsia="es-CO"/>
                <w14:ligatures w14:val="none"/>
              </w:rPr>
              <w:t> </w:t>
            </w:r>
          </w:p>
        </w:tc>
        <w:tc>
          <w:tcPr>
            <w:tcW w:w="845" w:type="pct"/>
            <w:noWrap/>
            <w:vAlign w:val="center"/>
            <w:hideMark/>
          </w:tcPr>
          <w:p w14:paraId="10989628" w14:textId="77777777" w:rsidR="00B77260" w:rsidRPr="00951AB1" w:rsidRDefault="00B77260"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9.519.405.678</w:t>
            </w:r>
          </w:p>
        </w:tc>
      </w:tr>
      <w:tr w:rsidR="005A73C0" w:rsidRPr="00951AB1" w14:paraId="0A19AD47" w14:textId="77777777" w:rsidTr="004004C5">
        <w:trPr>
          <w:trHeight w:val="293"/>
        </w:trPr>
        <w:tc>
          <w:tcPr>
            <w:tcW w:w="2245" w:type="pct"/>
            <w:vAlign w:val="center"/>
            <w:hideMark/>
          </w:tcPr>
          <w:p w14:paraId="505C6810" w14:textId="77777777" w:rsidR="00B77260" w:rsidRPr="00951AB1" w:rsidRDefault="00B77260" w:rsidP="000A5389">
            <w:pPr>
              <w:spacing w:line="240" w:lineRule="auto"/>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Propiedades, Plan y Equipo</w:t>
            </w:r>
          </w:p>
        </w:tc>
        <w:tc>
          <w:tcPr>
            <w:tcW w:w="965" w:type="pct"/>
            <w:noWrap/>
            <w:vAlign w:val="center"/>
            <w:hideMark/>
          </w:tcPr>
          <w:p w14:paraId="0410FD17" w14:textId="77777777" w:rsidR="00B77260" w:rsidRPr="00951AB1" w:rsidRDefault="00B77260"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153.746.401.275</w:t>
            </w:r>
          </w:p>
        </w:tc>
        <w:tc>
          <w:tcPr>
            <w:tcW w:w="945" w:type="pct"/>
            <w:noWrap/>
            <w:vAlign w:val="center"/>
            <w:hideMark/>
          </w:tcPr>
          <w:p w14:paraId="1ACA1594" w14:textId="77777777" w:rsidR="00B77260" w:rsidRPr="00951AB1" w:rsidRDefault="00B77260"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149.769.541.197</w:t>
            </w:r>
          </w:p>
        </w:tc>
        <w:tc>
          <w:tcPr>
            <w:tcW w:w="845" w:type="pct"/>
            <w:noWrap/>
            <w:vAlign w:val="center"/>
            <w:hideMark/>
          </w:tcPr>
          <w:p w14:paraId="55AA8769" w14:textId="77777777" w:rsidR="00B77260" w:rsidRPr="00951AB1" w:rsidRDefault="00B77260"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303.515.942.472</w:t>
            </w:r>
          </w:p>
        </w:tc>
      </w:tr>
      <w:tr w:rsidR="005A73C0" w:rsidRPr="00951AB1" w14:paraId="5219EAF5" w14:textId="77777777" w:rsidTr="004004C5">
        <w:trPr>
          <w:trHeight w:val="293"/>
        </w:trPr>
        <w:tc>
          <w:tcPr>
            <w:tcW w:w="2245" w:type="pct"/>
            <w:vAlign w:val="center"/>
            <w:hideMark/>
          </w:tcPr>
          <w:p w14:paraId="16192003" w14:textId="77777777" w:rsidR="00B77260" w:rsidRPr="00951AB1" w:rsidRDefault="00B77260" w:rsidP="000A5389">
            <w:pPr>
              <w:spacing w:line="240" w:lineRule="auto"/>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Red marítima</w:t>
            </w:r>
          </w:p>
        </w:tc>
        <w:tc>
          <w:tcPr>
            <w:tcW w:w="965" w:type="pct"/>
            <w:noWrap/>
            <w:vAlign w:val="center"/>
            <w:hideMark/>
          </w:tcPr>
          <w:p w14:paraId="5CEDD4CD" w14:textId="77777777" w:rsidR="00B77260" w:rsidRPr="00951AB1" w:rsidRDefault="00B77260"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308.830.214.738</w:t>
            </w:r>
          </w:p>
        </w:tc>
        <w:tc>
          <w:tcPr>
            <w:tcW w:w="945" w:type="pct"/>
            <w:noWrap/>
            <w:vAlign w:val="center"/>
            <w:hideMark/>
          </w:tcPr>
          <w:p w14:paraId="2B09A1C7" w14:textId="77777777" w:rsidR="00B77260" w:rsidRPr="00951AB1" w:rsidRDefault="00B77260"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297.014.931.192</w:t>
            </w:r>
          </w:p>
        </w:tc>
        <w:tc>
          <w:tcPr>
            <w:tcW w:w="845" w:type="pct"/>
            <w:noWrap/>
            <w:vAlign w:val="center"/>
            <w:hideMark/>
          </w:tcPr>
          <w:p w14:paraId="2B9018F3" w14:textId="77777777" w:rsidR="00B77260" w:rsidRPr="00951AB1" w:rsidRDefault="00B77260"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605.845.145.930</w:t>
            </w:r>
          </w:p>
        </w:tc>
      </w:tr>
      <w:tr w:rsidR="005A73C0" w:rsidRPr="00951AB1" w14:paraId="2B7A8B5B" w14:textId="77777777" w:rsidTr="004004C5">
        <w:trPr>
          <w:trHeight w:val="293"/>
        </w:trPr>
        <w:tc>
          <w:tcPr>
            <w:tcW w:w="2245" w:type="pct"/>
            <w:vAlign w:val="center"/>
            <w:hideMark/>
          </w:tcPr>
          <w:p w14:paraId="47579A30" w14:textId="77777777" w:rsidR="00B77260" w:rsidRPr="00951AB1" w:rsidRDefault="00B77260" w:rsidP="000A5389">
            <w:pPr>
              <w:spacing w:line="240" w:lineRule="auto"/>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Terrenos</w:t>
            </w:r>
          </w:p>
        </w:tc>
        <w:tc>
          <w:tcPr>
            <w:tcW w:w="965" w:type="pct"/>
            <w:noWrap/>
            <w:vAlign w:val="center"/>
            <w:hideMark/>
          </w:tcPr>
          <w:p w14:paraId="06C2ED78" w14:textId="77777777" w:rsidR="00B77260" w:rsidRPr="00951AB1" w:rsidRDefault="00B77260"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18.230.804.581</w:t>
            </w:r>
          </w:p>
        </w:tc>
        <w:tc>
          <w:tcPr>
            <w:tcW w:w="945" w:type="pct"/>
            <w:noWrap/>
            <w:vAlign w:val="center"/>
            <w:hideMark/>
          </w:tcPr>
          <w:p w14:paraId="7F1CD9C0" w14:textId="77777777" w:rsidR="00B77260" w:rsidRPr="00951AB1" w:rsidRDefault="00B77260"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18.230.804.581</w:t>
            </w:r>
          </w:p>
        </w:tc>
        <w:tc>
          <w:tcPr>
            <w:tcW w:w="845" w:type="pct"/>
            <w:noWrap/>
            <w:vAlign w:val="center"/>
            <w:hideMark/>
          </w:tcPr>
          <w:p w14:paraId="10DA8DB1" w14:textId="77777777" w:rsidR="00B77260" w:rsidRPr="00951AB1" w:rsidRDefault="00B77260"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36.461.609.162</w:t>
            </w:r>
          </w:p>
        </w:tc>
      </w:tr>
      <w:tr w:rsidR="005A73C0" w:rsidRPr="00951AB1" w14:paraId="574A148C" w14:textId="77777777" w:rsidTr="004004C5">
        <w:trPr>
          <w:trHeight w:val="458"/>
        </w:trPr>
        <w:tc>
          <w:tcPr>
            <w:tcW w:w="2245" w:type="pct"/>
            <w:vAlign w:val="center"/>
            <w:hideMark/>
          </w:tcPr>
          <w:p w14:paraId="1740E38C" w14:textId="77777777" w:rsidR="00B77260" w:rsidRPr="00951AB1" w:rsidRDefault="00B77260" w:rsidP="000A5389">
            <w:pPr>
              <w:spacing w:line="240" w:lineRule="auto"/>
              <w:rPr>
                <w:rFonts w:eastAsia="Times New Roman" w:cs="Times New Roman"/>
                <w:b/>
                <w:bCs/>
                <w:color w:val="000000"/>
                <w:kern w:val="0"/>
                <w:sz w:val="18"/>
                <w:szCs w:val="18"/>
                <w:lang w:eastAsia="es-CO"/>
                <w14:ligatures w14:val="none"/>
              </w:rPr>
            </w:pPr>
            <w:r w:rsidRPr="00951AB1">
              <w:rPr>
                <w:rFonts w:eastAsia="Times New Roman" w:cs="Times New Roman"/>
                <w:b/>
                <w:bCs/>
                <w:color w:val="000000"/>
                <w:kern w:val="0"/>
                <w:sz w:val="18"/>
                <w:szCs w:val="18"/>
                <w:lang w:eastAsia="es-CO"/>
                <w14:ligatures w14:val="none"/>
              </w:rPr>
              <w:t xml:space="preserve">SOCIEDAD PORTUARIA REGIONAL DE CARTAGENA S.A. </w:t>
            </w:r>
          </w:p>
        </w:tc>
        <w:tc>
          <w:tcPr>
            <w:tcW w:w="965" w:type="pct"/>
            <w:noWrap/>
            <w:vAlign w:val="center"/>
            <w:hideMark/>
          </w:tcPr>
          <w:p w14:paraId="2F664242" w14:textId="77777777" w:rsidR="00B77260" w:rsidRPr="00951AB1" w:rsidRDefault="00B77260" w:rsidP="000A5389">
            <w:pPr>
              <w:spacing w:line="240" w:lineRule="auto"/>
              <w:jc w:val="right"/>
              <w:rPr>
                <w:rFonts w:eastAsia="Times New Roman" w:cs="Times New Roman"/>
                <w:b/>
                <w:bCs/>
                <w:color w:val="000000"/>
                <w:kern w:val="0"/>
                <w:sz w:val="18"/>
                <w:szCs w:val="18"/>
                <w:lang w:eastAsia="es-CO"/>
                <w14:ligatures w14:val="none"/>
              </w:rPr>
            </w:pPr>
            <w:r w:rsidRPr="00951AB1">
              <w:rPr>
                <w:rFonts w:eastAsia="Times New Roman" w:cs="Times New Roman"/>
                <w:b/>
                <w:bCs/>
                <w:color w:val="000000"/>
                <w:kern w:val="0"/>
                <w:sz w:val="18"/>
                <w:szCs w:val="18"/>
                <w:lang w:eastAsia="es-CO"/>
                <w14:ligatures w14:val="none"/>
              </w:rPr>
              <w:t>622.200.745.650</w:t>
            </w:r>
          </w:p>
        </w:tc>
        <w:tc>
          <w:tcPr>
            <w:tcW w:w="945" w:type="pct"/>
            <w:noWrap/>
            <w:vAlign w:val="center"/>
            <w:hideMark/>
          </w:tcPr>
          <w:p w14:paraId="0108B400" w14:textId="77777777" w:rsidR="00B77260" w:rsidRPr="00951AB1" w:rsidRDefault="00B77260" w:rsidP="000A5389">
            <w:pPr>
              <w:spacing w:line="240" w:lineRule="auto"/>
              <w:jc w:val="right"/>
              <w:rPr>
                <w:rFonts w:eastAsia="Times New Roman" w:cs="Times New Roman"/>
                <w:b/>
                <w:bCs/>
                <w:color w:val="000000"/>
                <w:kern w:val="0"/>
                <w:sz w:val="18"/>
                <w:szCs w:val="18"/>
                <w:lang w:eastAsia="es-CO"/>
                <w14:ligatures w14:val="none"/>
              </w:rPr>
            </w:pPr>
            <w:r w:rsidRPr="00951AB1">
              <w:rPr>
                <w:rFonts w:eastAsia="Times New Roman" w:cs="Times New Roman"/>
                <w:b/>
                <w:bCs/>
                <w:color w:val="000000"/>
                <w:kern w:val="0"/>
                <w:sz w:val="18"/>
                <w:szCs w:val="18"/>
                <w:lang w:eastAsia="es-CO"/>
                <w14:ligatures w14:val="none"/>
              </w:rPr>
              <w:t>622.200.745.650</w:t>
            </w:r>
          </w:p>
        </w:tc>
        <w:tc>
          <w:tcPr>
            <w:tcW w:w="845" w:type="pct"/>
            <w:noWrap/>
            <w:vAlign w:val="center"/>
            <w:hideMark/>
          </w:tcPr>
          <w:p w14:paraId="45EE0531" w14:textId="77777777" w:rsidR="00B77260" w:rsidRPr="00951AB1" w:rsidRDefault="00B77260" w:rsidP="000A5389">
            <w:pPr>
              <w:spacing w:line="240" w:lineRule="auto"/>
              <w:jc w:val="right"/>
              <w:rPr>
                <w:rFonts w:eastAsia="Times New Roman" w:cs="Times New Roman"/>
                <w:b/>
                <w:bCs/>
                <w:color w:val="000000"/>
                <w:kern w:val="0"/>
                <w:sz w:val="18"/>
                <w:szCs w:val="18"/>
                <w:lang w:eastAsia="es-CO"/>
                <w14:ligatures w14:val="none"/>
              </w:rPr>
            </w:pPr>
            <w:r w:rsidRPr="00951AB1">
              <w:rPr>
                <w:rFonts w:eastAsia="Times New Roman" w:cs="Times New Roman"/>
                <w:b/>
                <w:bCs/>
                <w:color w:val="000000"/>
                <w:kern w:val="0"/>
                <w:sz w:val="18"/>
                <w:szCs w:val="18"/>
                <w:lang w:eastAsia="es-CO"/>
                <w14:ligatures w14:val="none"/>
              </w:rPr>
              <w:t>1.244.401.491.301</w:t>
            </w:r>
          </w:p>
        </w:tc>
      </w:tr>
      <w:tr w:rsidR="005A73C0" w:rsidRPr="00951AB1" w14:paraId="03E204EF" w14:textId="77777777" w:rsidTr="004004C5">
        <w:trPr>
          <w:trHeight w:val="293"/>
        </w:trPr>
        <w:tc>
          <w:tcPr>
            <w:tcW w:w="2245" w:type="pct"/>
            <w:vAlign w:val="center"/>
            <w:hideMark/>
          </w:tcPr>
          <w:p w14:paraId="50032BCE" w14:textId="77777777" w:rsidR="00B77260" w:rsidRPr="00951AB1" w:rsidRDefault="00B77260" w:rsidP="000A5389">
            <w:pPr>
              <w:spacing w:line="240" w:lineRule="auto"/>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Propiedades, Plan y Equipo</w:t>
            </w:r>
          </w:p>
        </w:tc>
        <w:tc>
          <w:tcPr>
            <w:tcW w:w="965" w:type="pct"/>
            <w:noWrap/>
            <w:vAlign w:val="center"/>
            <w:hideMark/>
          </w:tcPr>
          <w:p w14:paraId="24B45BB9" w14:textId="77777777" w:rsidR="00B77260" w:rsidRPr="00951AB1" w:rsidRDefault="00B77260"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256.613.307.614</w:t>
            </w:r>
          </w:p>
        </w:tc>
        <w:tc>
          <w:tcPr>
            <w:tcW w:w="945" w:type="pct"/>
            <w:noWrap/>
            <w:vAlign w:val="center"/>
            <w:hideMark/>
          </w:tcPr>
          <w:p w14:paraId="362F9289" w14:textId="77777777" w:rsidR="00B77260" w:rsidRPr="00951AB1" w:rsidRDefault="00B77260"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256.613.307.614</w:t>
            </w:r>
          </w:p>
        </w:tc>
        <w:tc>
          <w:tcPr>
            <w:tcW w:w="845" w:type="pct"/>
            <w:noWrap/>
            <w:vAlign w:val="center"/>
            <w:hideMark/>
          </w:tcPr>
          <w:p w14:paraId="5A1572CD" w14:textId="77777777" w:rsidR="00B77260" w:rsidRPr="00951AB1" w:rsidRDefault="00B77260"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513.226.615.227</w:t>
            </w:r>
          </w:p>
        </w:tc>
      </w:tr>
      <w:tr w:rsidR="005A73C0" w:rsidRPr="00951AB1" w14:paraId="3F2D594F" w14:textId="77777777" w:rsidTr="004004C5">
        <w:trPr>
          <w:trHeight w:val="293"/>
        </w:trPr>
        <w:tc>
          <w:tcPr>
            <w:tcW w:w="2245" w:type="pct"/>
            <w:vAlign w:val="center"/>
            <w:hideMark/>
          </w:tcPr>
          <w:p w14:paraId="10E3EBDD" w14:textId="77777777" w:rsidR="00B77260" w:rsidRPr="00951AB1" w:rsidRDefault="00B77260" w:rsidP="000A5389">
            <w:pPr>
              <w:spacing w:line="240" w:lineRule="auto"/>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Red marítima</w:t>
            </w:r>
          </w:p>
        </w:tc>
        <w:tc>
          <w:tcPr>
            <w:tcW w:w="965" w:type="pct"/>
            <w:noWrap/>
            <w:vAlign w:val="center"/>
            <w:hideMark/>
          </w:tcPr>
          <w:p w14:paraId="12DC491E" w14:textId="77777777" w:rsidR="00B77260" w:rsidRPr="00951AB1" w:rsidRDefault="00B77260"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241.686.810.505</w:t>
            </w:r>
          </w:p>
        </w:tc>
        <w:tc>
          <w:tcPr>
            <w:tcW w:w="945" w:type="pct"/>
            <w:noWrap/>
            <w:vAlign w:val="center"/>
            <w:hideMark/>
          </w:tcPr>
          <w:p w14:paraId="27EDB07C" w14:textId="77777777" w:rsidR="00B77260" w:rsidRPr="00951AB1" w:rsidRDefault="00B77260"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241.686.810.505</w:t>
            </w:r>
          </w:p>
        </w:tc>
        <w:tc>
          <w:tcPr>
            <w:tcW w:w="845" w:type="pct"/>
            <w:noWrap/>
            <w:vAlign w:val="center"/>
            <w:hideMark/>
          </w:tcPr>
          <w:p w14:paraId="64983B71" w14:textId="77777777" w:rsidR="00B77260" w:rsidRPr="00951AB1" w:rsidRDefault="00B77260"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483.373.621.010</w:t>
            </w:r>
          </w:p>
        </w:tc>
      </w:tr>
      <w:tr w:rsidR="005A73C0" w:rsidRPr="00951AB1" w14:paraId="1264B35C" w14:textId="77777777" w:rsidTr="004004C5">
        <w:trPr>
          <w:trHeight w:val="293"/>
        </w:trPr>
        <w:tc>
          <w:tcPr>
            <w:tcW w:w="2245" w:type="pct"/>
            <w:vAlign w:val="center"/>
            <w:hideMark/>
          </w:tcPr>
          <w:p w14:paraId="49C7FDD2" w14:textId="77777777" w:rsidR="00B77260" w:rsidRPr="00951AB1" w:rsidRDefault="00B77260" w:rsidP="000A5389">
            <w:pPr>
              <w:spacing w:line="240" w:lineRule="auto"/>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Terrenos</w:t>
            </w:r>
          </w:p>
        </w:tc>
        <w:tc>
          <w:tcPr>
            <w:tcW w:w="965" w:type="pct"/>
            <w:noWrap/>
            <w:vAlign w:val="center"/>
            <w:hideMark/>
          </w:tcPr>
          <w:p w14:paraId="18613E21" w14:textId="77777777" w:rsidR="00B77260" w:rsidRPr="00951AB1" w:rsidRDefault="00B77260"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123.900.627.532</w:t>
            </w:r>
          </w:p>
        </w:tc>
        <w:tc>
          <w:tcPr>
            <w:tcW w:w="945" w:type="pct"/>
            <w:noWrap/>
            <w:vAlign w:val="center"/>
            <w:hideMark/>
          </w:tcPr>
          <w:p w14:paraId="65992D7C" w14:textId="77777777" w:rsidR="00B77260" w:rsidRPr="00951AB1" w:rsidRDefault="00B77260"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123.900.627.532</w:t>
            </w:r>
          </w:p>
        </w:tc>
        <w:tc>
          <w:tcPr>
            <w:tcW w:w="845" w:type="pct"/>
            <w:noWrap/>
            <w:vAlign w:val="center"/>
            <w:hideMark/>
          </w:tcPr>
          <w:p w14:paraId="4072E269" w14:textId="77777777" w:rsidR="00B77260" w:rsidRPr="00951AB1" w:rsidRDefault="00B77260"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247.801.255.063</w:t>
            </w:r>
          </w:p>
        </w:tc>
      </w:tr>
      <w:tr w:rsidR="005A73C0" w:rsidRPr="00951AB1" w14:paraId="2911B418" w14:textId="77777777" w:rsidTr="004004C5">
        <w:trPr>
          <w:trHeight w:val="293"/>
        </w:trPr>
        <w:tc>
          <w:tcPr>
            <w:tcW w:w="2245" w:type="pct"/>
            <w:vAlign w:val="center"/>
            <w:hideMark/>
          </w:tcPr>
          <w:p w14:paraId="3C418266" w14:textId="77777777" w:rsidR="00B77260" w:rsidRPr="00951AB1" w:rsidRDefault="00B77260" w:rsidP="000A5389">
            <w:pPr>
              <w:spacing w:line="240" w:lineRule="auto"/>
              <w:rPr>
                <w:rFonts w:eastAsia="Times New Roman" w:cs="Times New Roman"/>
                <w:b/>
                <w:bCs/>
                <w:color w:val="000000"/>
                <w:kern w:val="0"/>
                <w:sz w:val="18"/>
                <w:szCs w:val="18"/>
                <w:lang w:eastAsia="es-CO"/>
                <w14:ligatures w14:val="none"/>
              </w:rPr>
            </w:pPr>
            <w:r w:rsidRPr="00951AB1">
              <w:rPr>
                <w:rFonts w:eastAsia="Times New Roman" w:cs="Times New Roman"/>
                <w:b/>
                <w:bCs/>
                <w:color w:val="000000"/>
                <w:kern w:val="0"/>
                <w:sz w:val="18"/>
                <w:szCs w:val="18"/>
                <w:lang w:eastAsia="es-CO"/>
                <w14:ligatures w14:val="none"/>
              </w:rPr>
              <w:t>PUERTO BUENAVISTA S.A</w:t>
            </w:r>
          </w:p>
        </w:tc>
        <w:tc>
          <w:tcPr>
            <w:tcW w:w="965" w:type="pct"/>
            <w:noWrap/>
            <w:vAlign w:val="center"/>
            <w:hideMark/>
          </w:tcPr>
          <w:p w14:paraId="383462D0" w14:textId="77777777" w:rsidR="00B77260" w:rsidRPr="00951AB1" w:rsidRDefault="00B77260" w:rsidP="000A5389">
            <w:pPr>
              <w:spacing w:line="240" w:lineRule="auto"/>
              <w:jc w:val="right"/>
              <w:rPr>
                <w:rFonts w:eastAsia="Times New Roman" w:cs="Times New Roman"/>
                <w:b/>
                <w:bCs/>
                <w:color w:val="000000"/>
                <w:kern w:val="0"/>
                <w:sz w:val="18"/>
                <w:szCs w:val="18"/>
                <w:lang w:eastAsia="es-CO"/>
                <w14:ligatures w14:val="none"/>
              </w:rPr>
            </w:pPr>
            <w:r w:rsidRPr="00951AB1">
              <w:rPr>
                <w:rFonts w:eastAsia="Times New Roman" w:cs="Times New Roman"/>
                <w:b/>
                <w:bCs/>
                <w:color w:val="000000"/>
                <w:kern w:val="0"/>
                <w:sz w:val="18"/>
                <w:szCs w:val="18"/>
                <w:lang w:eastAsia="es-CO"/>
                <w14:ligatures w14:val="none"/>
              </w:rPr>
              <w:t>10.869.550.999</w:t>
            </w:r>
          </w:p>
        </w:tc>
        <w:tc>
          <w:tcPr>
            <w:tcW w:w="945" w:type="pct"/>
            <w:noWrap/>
            <w:vAlign w:val="center"/>
            <w:hideMark/>
          </w:tcPr>
          <w:p w14:paraId="4CBFA4A5" w14:textId="77777777" w:rsidR="00B77260" w:rsidRPr="00951AB1" w:rsidRDefault="00B77260" w:rsidP="000A5389">
            <w:pPr>
              <w:spacing w:line="240" w:lineRule="auto"/>
              <w:jc w:val="right"/>
              <w:rPr>
                <w:rFonts w:eastAsia="Times New Roman" w:cs="Times New Roman"/>
                <w:b/>
                <w:bCs/>
                <w:color w:val="000000"/>
                <w:kern w:val="0"/>
                <w:sz w:val="18"/>
                <w:szCs w:val="18"/>
                <w:lang w:eastAsia="es-CO"/>
                <w14:ligatures w14:val="none"/>
              </w:rPr>
            </w:pPr>
            <w:r w:rsidRPr="00951AB1">
              <w:rPr>
                <w:rFonts w:eastAsia="Times New Roman" w:cs="Times New Roman"/>
                <w:b/>
                <w:bCs/>
                <w:color w:val="000000"/>
                <w:kern w:val="0"/>
                <w:sz w:val="18"/>
                <w:szCs w:val="18"/>
                <w:lang w:eastAsia="es-CO"/>
                <w14:ligatures w14:val="none"/>
              </w:rPr>
              <w:t>10.869.550.999</w:t>
            </w:r>
          </w:p>
        </w:tc>
        <w:tc>
          <w:tcPr>
            <w:tcW w:w="845" w:type="pct"/>
            <w:noWrap/>
            <w:vAlign w:val="center"/>
            <w:hideMark/>
          </w:tcPr>
          <w:p w14:paraId="6F1C3B09" w14:textId="77777777" w:rsidR="00B77260" w:rsidRPr="00951AB1" w:rsidRDefault="00B77260" w:rsidP="000A5389">
            <w:pPr>
              <w:spacing w:line="240" w:lineRule="auto"/>
              <w:jc w:val="right"/>
              <w:rPr>
                <w:rFonts w:eastAsia="Times New Roman" w:cs="Times New Roman"/>
                <w:b/>
                <w:bCs/>
                <w:color w:val="000000"/>
                <w:kern w:val="0"/>
                <w:sz w:val="18"/>
                <w:szCs w:val="18"/>
                <w:lang w:eastAsia="es-CO"/>
                <w14:ligatures w14:val="none"/>
              </w:rPr>
            </w:pPr>
            <w:r w:rsidRPr="00951AB1">
              <w:rPr>
                <w:rFonts w:eastAsia="Times New Roman" w:cs="Times New Roman"/>
                <w:b/>
                <w:bCs/>
                <w:color w:val="000000"/>
                <w:kern w:val="0"/>
                <w:sz w:val="18"/>
                <w:szCs w:val="18"/>
                <w:lang w:eastAsia="es-CO"/>
                <w14:ligatures w14:val="none"/>
              </w:rPr>
              <w:t>21.739.101.998</w:t>
            </w:r>
          </w:p>
        </w:tc>
      </w:tr>
      <w:tr w:rsidR="005A73C0" w:rsidRPr="00951AB1" w14:paraId="074609B7" w14:textId="77777777" w:rsidTr="004004C5">
        <w:trPr>
          <w:trHeight w:val="293"/>
        </w:trPr>
        <w:tc>
          <w:tcPr>
            <w:tcW w:w="2245" w:type="pct"/>
            <w:vAlign w:val="center"/>
            <w:hideMark/>
          </w:tcPr>
          <w:p w14:paraId="2736BEE2" w14:textId="77777777" w:rsidR="00B77260" w:rsidRPr="00951AB1" w:rsidRDefault="00B77260" w:rsidP="000A5389">
            <w:pPr>
              <w:spacing w:line="240" w:lineRule="auto"/>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Propiedades, Plan y Equipo</w:t>
            </w:r>
          </w:p>
        </w:tc>
        <w:tc>
          <w:tcPr>
            <w:tcW w:w="965" w:type="pct"/>
            <w:noWrap/>
            <w:vAlign w:val="center"/>
            <w:hideMark/>
          </w:tcPr>
          <w:p w14:paraId="7A45A67C" w14:textId="77777777" w:rsidR="00B77260" w:rsidRPr="00951AB1" w:rsidRDefault="00B77260"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948.991.461</w:t>
            </w:r>
          </w:p>
        </w:tc>
        <w:tc>
          <w:tcPr>
            <w:tcW w:w="945" w:type="pct"/>
            <w:noWrap/>
            <w:vAlign w:val="center"/>
            <w:hideMark/>
          </w:tcPr>
          <w:p w14:paraId="5D10E0B3" w14:textId="77777777" w:rsidR="00B77260" w:rsidRPr="00951AB1" w:rsidRDefault="00B77260"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948.991.461</w:t>
            </w:r>
          </w:p>
        </w:tc>
        <w:tc>
          <w:tcPr>
            <w:tcW w:w="845" w:type="pct"/>
            <w:noWrap/>
            <w:vAlign w:val="center"/>
            <w:hideMark/>
          </w:tcPr>
          <w:p w14:paraId="6B892464" w14:textId="77777777" w:rsidR="00B77260" w:rsidRPr="00951AB1" w:rsidRDefault="00B77260"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1.897.982.922</w:t>
            </w:r>
          </w:p>
        </w:tc>
      </w:tr>
      <w:tr w:rsidR="005A73C0" w:rsidRPr="00951AB1" w14:paraId="15735A6D" w14:textId="77777777" w:rsidTr="004004C5">
        <w:trPr>
          <w:trHeight w:val="293"/>
        </w:trPr>
        <w:tc>
          <w:tcPr>
            <w:tcW w:w="2245" w:type="pct"/>
            <w:vAlign w:val="center"/>
            <w:hideMark/>
          </w:tcPr>
          <w:p w14:paraId="24EF6ED9" w14:textId="77777777" w:rsidR="00B77260" w:rsidRPr="00951AB1" w:rsidRDefault="00B77260" w:rsidP="000A5389">
            <w:pPr>
              <w:spacing w:line="240" w:lineRule="auto"/>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Red marítima</w:t>
            </w:r>
          </w:p>
        </w:tc>
        <w:tc>
          <w:tcPr>
            <w:tcW w:w="965" w:type="pct"/>
            <w:noWrap/>
            <w:vAlign w:val="center"/>
            <w:hideMark/>
          </w:tcPr>
          <w:p w14:paraId="107C4B9C" w14:textId="77777777" w:rsidR="00B77260" w:rsidRPr="00951AB1" w:rsidRDefault="00B77260"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9.920.559.538</w:t>
            </w:r>
          </w:p>
        </w:tc>
        <w:tc>
          <w:tcPr>
            <w:tcW w:w="945" w:type="pct"/>
            <w:noWrap/>
            <w:vAlign w:val="center"/>
            <w:hideMark/>
          </w:tcPr>
          <w:p w14:paraId="0B6D4BCF" w14:textId="77777777" w:rsidR="00B77260" w:rsidRPr="00951AB1" w:rsidRDefault="00B77260"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9.920.559.538</w:t>
            </w:r>
          </w:p>
        </w:tc>
        <w:tc>
          <w:tcPr>
            <w:tcW w:w="845" w:type="pct"/>
            <w:noWrap/>
            <w:vAlign w:val="center"/>
            <w:hideMark/>
          </w:tcPr>
          <w:p w14:paraId="7B01F726" w14:textId="77777777" w:rsidR="00B77260" w:rsidRPr="00951AB1" w:rsidRDefault="00B77260"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19.841.119.076</w:t>
            </w:r>
          </w:p>
        </w:tc>
      </w:tr>
      <w:tr w:rsidR="005A73C0" w:rsidRPr="00951AB1" w14:paraId="7A343E4C" w14:textId="77777777" w:rsidTr="004004C5">
        <w:trPr>
          <w:trHeight w:val="458"/>
        </w:trPr>
        <w:tc>
          <w:tcPr>
            <w:tcW w:w="2245" w:type="pct"/>
            <w:vAlign w:val="center"/>
            <w:hideMark/>
          </w:tcPr>
          <w:p w14:paraId="0560D78D" w14:textId="77777777" w:rsidR="00B77260" w:rsidRPr="00951AB1" w:rsidRDefault="00B77260" w:rsidP="000A5389">
            <w:pPr>
              <w:spacing w:line="240" w:lineRule="auto"/>
              <w:rPr>
                <w:rFonts w:eastAsia="Times New Roman" w:cs="Times New Roman"/>
                <w:b/>
                <w:bCs/>
                <w:color w:val="000000"/>
                <w:kern w:val="0"/>
                <w:sz w:val="18"/>
                <w:szCs w:val="18"/>
                <w:lang w:eastAsia="es-CO"/>
                <w14:ligatures w14:val="none"/>
              </w:rPr>
            </w:pPr>
            <w:r w:rsidRPr="00951AB1">
              <w:rPr>
                <w:rFonts w:eastAsia="Times New Roman" w:cs="Times New Roman"/>
                <w:b/>
                <w:bCs/>
                <w:color w:val="000000"/>
                <w:kern w:val="0"/>
                <w:sz w:val="18"/>
                <w:szCs w:val="18"/>
                <w:lang w:eastAsia="es-CO"/>
                <w14:ligatures w14:val="none"/>
              </w:rPr>
              <w:t>SOCIEDAD PORTUARIA REGIONAL DE BUENAVENTURA S.A. S.P.R. BUN</w:t>
            </w:r>
          </w:p>
        </w:tc>
        <w:tc>
          <w:tcPr>
            <w:tcW w:w="965" w:type="pct"/>
            <w:noWrap/>
            <w:vAlign w:val="center"/>
            <w:hideMark/>
          </w:tcPr>
          <w:p w14:paraId="6F39E86E" w14:textId="77777777" w:rsidR="00B77260" w:rsidRPr="00951AB1" w:rsidRDefault="00B77260" w:rsidP="000A5389">
            <w:pPr>
              <w:spacing w:line="240" w:lineRule="auto"/>
              <w:jc w:val="right"/>
              <w:rPr>
                <w:rFonts w:eastAsia="Times New Roman" w:cs="Times New Roman"/>
                <w:b/>
                <w:bCs/>
                <w:color w:val="000000"/>
                <w:kern w:val="0"/>
                <w:sz w:val="18"/>
                <w:szCs w:val="18"/>
                <w:lang w:eastAsia="es-CO"/>
                <w14:ligatures w14:val="none"/>
              </w:rPr>
            </w:pPr>
            <w:r w:rsidRPr="00951AB1">
              <w:rPr>
                <w:rFonts w:eastAsia="Times New Roman" w:cs="Times New Roman"/>
                <w:b/>
                <w:bCs/>
                <w:color w:val="000000"/>
                <w:kern w:val="0"/>
                <w:sz w:val="18"/>
                <w:szCs w:val="18"/>
                <w:lang w:eastAsia="es-CO"/>
                <w14:ligatures w14:val="none"/>
              </w:rPr>
              <w:t>1.835.236.070.994</w:t>
            </w:r>
          </w:p>
        </w:tc>
        <w:tc>
          <w:tcPr>
            <w:tcW w:w="945" w:type="pct"/>
            <w:noWrap/>
            <w:vAlign w:val="center"/>
            <w:hideMark/>
          </w:tcPr>
          <w:p w14:paraId="1B96A43F" w14:textId="77777777" w:rsidR="00B77260" w:rsidRPr="00951AB1" w:rsidRDefault="00B77260" w:rsidP="000A5389">
            <w:pPr>
              <w:spacing w:line="240" w:lineRule="auto"/>
              <w:jc w:val="right"/>
              <w:rPr>
                <w:rFonts w:eastAsia="Times New Roman" w:cs="Times New Roman"/>
                <w:b/>
                <w:bCs/>
                <w:color w:val="000000"/>
                <w:kern w:val="0"/>
                <w:sz w:val="18"/>
                <w:szCs w:val="18"/>
                <w:lang w:eastAsia="es-CO"/>
                <w14:ligatures w14:val="none"/>
              </w:rPr>
            </w:pPr>
            <w:r w:rsidRPr="00951AB1">
              <w:rPr>
                <w:rFonts w:eastAsia="Times New Roman" w:cs="Times New Roman"/>
                <w:b/>
                <w:bCs/>
                <w:color w:val="000000"/>
                <w:kern w:val="0"/>
                <w:sz w:val="18"/>
                <w:szCs w:val="18"/>
                <w:lang w:eastAsia="es-CO"/>
                <w14:ligatures w14:val="none"/>
              </w:rPr>
              <w:t>1.771.790.747.092</w:t>
            </w:r>
          </w:p>
        </w:tc>
        <w:tc>
          <w:tcPr>
            <w:tcW w:w="845" w:type="pct"/>
            <w:noWrap/>
            <w:vAlign w:val="center"/>
            <w:hideMark/>
          </w:tcPr>
          <w:p w14:paraId="7D27C818" w14:textId="77777777" w:rsidR="00B77260" w:rsidRPr="00951AB1" w:rsidRDefault="00B77260" w:rsidP="000A5389">
            <w:pPr>
              <w:spacing w:line="240" w:lineRule="auto"/>
              <w:jc w:val="right"/>
              <w:rPr>
                <w:rFonts w:eastAsia="Times New Roman" w:cs="Times New Roman"/>
                <w:b/>
                <w:bCs/>
                <w:color w:val="000000"/>
                <w:kern w:val="0"/>
                <w:sz w:val="18"/>
                <w:szCs w:val="18"/>
                <w:lang w:eastAsia="es-CO"/>
                <w14:ligatures w14:val="none"/>
              </w:rPr>
            </w:pPr>
            <w:r w:rsidRPr="00951AB1">
              <w:rPr>
                <w:rFonts w:eastAsia="Times New Roman" w:cs="Times New Roman"/>
                <w:b/>
                <w:bCs/>
                <w:color w:val="000000"/>
                <w:kern w:val="0"/>
                <w:sz w:val="18"/>
                <w:szCs w:val="18"/>
                <w:lang w:eastAsia="es-CO"/>
                <w14:ligatures w14:val="none"/>
              </w:rPr>
              <w:t>3.607.026.818.085</w:t>
            </w:r>
          </w:p>
        </w:tc>
      </w:tr>
      <w:tr w:rsidR="005A73C0" w:rsidRPr="00951AB1" w14:paraId="092289F8" w14:textId="77777777" w:rsidTr="004004C5">
        <w:trPr>
          <w:trHeight w:val="293"/>
        </w:trPr>
        <w:tc>
          <w:tcPr>
            <w:tcW w:w="2245" w:type="pct"/>
            <w:vAlign w:val="center"/>
            <w:hideMark/>
          </w:tcPr>
          <w:p w14:paraId="4146D3EF" w14:textId="77777777" w:rsidR="00B77260" w:rsidRPr="00951AB1" w:rsidRDefault="00B77260" w:rsidP="000A5389">
            <w:pPr>
              <w:spacing w:line="240" w:lineRule="auto"/>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Activos intangibles en concesión</w:t>
            </w:r>
          </w:p>
        </w:tc>
        <w:tc>
          <w:tcPr>
            <w:tcW w:w="965" w:type="pct"/>
            <w:noWrap/>
            <w:vAlign w:val="center"/>
            <w:hideMark/>
          </w:tcPr>
          <w:p w14:paraId="553D4812" w14:textId="77777777" w:rsidR="00B77260" w:rsidRPr="00951AB1" w:rsidRDefault="00B77260"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63.123.062.496</w:t>
            </w:r>
          </w:p>
        </w:tc>
        <w:tc>
          <w:tcPr>
            <w:tcW w:w="945" w:type="pct"/>
            <w:noWrap/>
            <w:vAlign w:val="center"/>
            <w:hideMark/>
          </w:tcPr>
          <w:p w14:paraId="2B02C8FC" w14:textId="77777777" w:rsidR="00B77260" w:rsidRPr="00951AB1" w:rsidRDefault="00B77260" w:rsidP="000A5389">
            <w:pPr>
              <w:spacing w:line="240" w:lineRule="auto"/>
              <w:rPr>
                <w:rFonts w:eastAsia="Times New Roman" w:cs="Times New Roman"/>
                <w:color w:val="000000"/>
                <w:kern w:val="0"/>
                <w:lang w:eastAsia="es-CO"/>
                <w14:ligatures w14:val="none"/>
              </w:rPr>
            </w:pPr>
            <w:r w:rsidRPr="00951AB1">
              <w:rPr>
                <w:rFonts w:eastAsia="Times New Roman" w:cs="Times New Roman"/>
                <w:color w:val="000000"/>
                <w:kern w:val="0"/>
                <w:lang w:eastAsia="es-CO"/>
                <w14:ligatures w14:val="none"/>
              </w:rPr>
              <w:t> </w:t>
            </w:r>
          </w:p>
        </w:tc>
        <w:tc>
          <w:tcPr>
            <w:tcW w:w="845" w:type="pct"/>
            <w:noWrap/>
            <w:vAlign w:val="center"/>
            <w:hideMark/>
          </w:tcPr>
          <w:p w14:paraId="24E53B59" w14:textId="77777777" w:rsidR="00B77260" w:rsidRPr="00951AB1" w:rsidRDefault="00B77260"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63.123.062.496</w:t>
            </w:r>
          </w:p>
        </w:tc>
      </w:tr>
      <w:tr w:rsidR="005A73C0" w:rsidRPr="00951AB1" w14:paraId="1229AA38" w14:textId="77777777" w:rsidTr="004004C5">
        <w:trPr>
          <w:trHeight w:val="293"/>
        </w:trPr>
        <w:tc>
          <w:tcPr>
            <w:tcW w:w="2245" w:type="pct"/>
            <w:vAlign w:val="center"/>
            <w:hideMark/>
          </w:tcPr>
          <w:p w14:paraId="0D13B142" w14:textId="77777777" w:rsidR="00B77260" w:rsidRPr="00951AB1" w:rsidRDefault="00B77260" w:rsidP="000A5389">
            <w:pPr>
              <w:spacing w:line="240" w:lineRule="auto"/>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Propiedades, Plan y Equipo</w:t>
            </w:r>
          </w:p>
        </w:tc>
        <w:tc>
          <w:tcPr>
            <w:tcW w:w="965" w:type="pct"/>
            <w:noWrap/>
            <w:vAlign w:val="center"/>
            <w:hideMark/>
          </w:tcPr>
          <w:p w14:paraId="4783F35D" w14:textId="77777777" w:rsidR="00B77260" w:rsidRPr="00951AB1" w:rsidRDefault="00B77260"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542.411.325.647</w:t>
            </w:r>
          </w:p>
        </w:tc>
        <w:tc>
          <w:tcPr>
            <w:tcW w:w="945" w:type="pct"/>
            <w:noWrap/>
            <w:vAlign w:val="center"/>
            <w:hideMark/>
          </w:tcPr>
          <w:p w14:paraId="2C1C0E14" w14:textId="77777777" w:rsidR="00B77260" w:rsidRPr="00951AB1" w:rsidRDefault="00B77260"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542.089.064.241</w:t>
            </w:r>
          </w:p>
        </w:tc>
        <w:tc>
          <w:tcPr>
            <w:tcW w:w="845" w:type="pct"/>
            <w:noWrap/>
            <w:vAlign w:val="center"/>
            <w:hideMark/>
          </w:tcPr>
          <w:p w14:paraId="4B54E032" w14:textId="77777777" w:rsidR="00B77260" w:rsidRPr="00951AB1" w:rsidRDefault="00B77260"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1.084.500.389.888</w:t>
            </w:r>
          </w:p>
        </w:tc>
      </w:tr>
      <w:tr w:rsidR="005A73C0" w:rsidRPr="00951AB1" w14:paraId="1949F326" w14:textId="77777777" w:rsidTr="004004C5">
        <w:trPr>
          <w:trHeight w:val="293"/>
        </w:trPr>
        <w:tc>
          <w:tcPr>
            <w:tcW w:w="2245" w:type="pct"/>
            <w:vAlign w:val="center"/>
            <w:hideMark/>
          </w:tcPr>
          <w:p w14:paraId="6373E7D4" w14:textId="77777777" w:rsidR="00B77260" w:rsidRPr="00951AB1" w:rsidRDefault="00B77260" w:rsidP="000A5389">
            <w:pPr>
              <w:spacing w:line="240" w:lineRule="auto"/>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Red marítima</w:t>
            </w:r>
          </w:p>
        </w:tc>
        <w:tc>
          <w:tcPr>
            <w:tcW w:w="965" w:type="pct"/>
            <w:noWrap/>
            <w:vAlign w:val="center"/>
            <w:hideMark/>
          </w:tcPr>
          <w:p w14:paraId="7091A6C6" w14:textId="77777777" w:rsidR="00B77260" w:rsidRPr="00951AB1" w:rsidRDefault="00B77260"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888.943.127.121</w:t>
            </w:r>
          </w:p>
        </w:tc>
        <w:tc>
          <w:tcPr>
            <w:tcW w:w="945" w:type="pct"/>
            <w:noWrap/>
            <w:vAlign w:val="center"/>
            <w:hideMark/>
          </w:tcPr>
          <w:p w14:paraId="1EB7F650" w14:textId="77777777" w:rsidR="00B77260" w:rsidRPr="00951AB1" w:rsidRDefault="00B77260"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888.943.127.121</w:t>
            </w:r>
          </w:p>
        </w:tc>
        <w:tc>
          <w:tcPr>
            <w:tcW w:w="845" w:type="pct"/>
            <w:noWrap/>
            <w:vAlign w:val="center"/>
            <w:hideMark/>
          </w:tcPr>
          <w:p w14:paraId="1271229F" w14:textId="77777777" w:rsidR="00B77260" w:rsidRPr="00951AB1" w:rsidRDefault="00B77260"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1.777.886.254.242</w:t>
            </w:r>
          </w:p>
        </w:tc>
      </w:tr>
      <w:tr w:rsidR="005A73C0" w:rsidRPr="00951AB1" w14:paraId="341B9CFD" w14:textId="77777777" w:rsidTr="004004C5">
        <w:trPr>
          <w:trHeight w:val="293"/>
        </w:trPr>
        <w:tc>
          <w:tcPr>
            <w:tcW w:w="2245" w:type="pct"/>
            <w:vAlign w:val="center"/>
            <w:hideMark/>
          </w:tcPr>
          <w:p w14:paraId="4501B3EC" w14:textId="77777777" w:rsidR="00B77260" w:rsidRPr="00951AB1" w:rsidRDefault="00B77260" w:rsidP="000A5389">
            <w:pPr>
              <w:spacing w:line="240" w:lineRule="auto"/>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lastRenderedPageBreak/>
              <w:t>Terrenos</w:t>
            </w:r>
          </w:p>
        </w:tc>
        <w:tc>
          <w:tcPr>
            <w:tcW w:w="965" w:type="pct"/>
            <w:noWrap/>
            <w:vAlign w:val="center"/>
            <w:hideMark/>
          </w:tcPr>
          <w:p w14:paraId="6D604AA2" w14:textId="77777777" w:rsidR="00B77260" w:rsidRPr="00951AB1" w:rsidRDefault="00B77260"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340.758.555.730</w:t>
            </w:r>
          </w:p>
        </w:tc>
        <w:tc>
          <w:tcPr>
            <w:tcW w:w="945" w:type="pct"/>
            <w:noWrap/>
            <w:vAlign w:val="center"/>
            <w:hideMark/>
          </w:tcPr>
          <w:p w14:paraId="221C2A41" w14:textId="77777777" w:rsidR="00B77260" w:rsidRPr="00951AB1" w:rsidRDefault="00B77260"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340.758.555.730</w:t>
            </w:r>
          </w:p>
        </w:tc>
        <w:tc>
          <w:tcPr>
            <w:tcW w:w="845" w:type="pct"/>
            <w:noWrap/>
            <w:vAlign w:val="center"/>
            <w:hideMark/>
          </w:tcPr>
          <w:p w14:paraId="2D8DCDC4" w14:textId="77777777" w:rsidR="00B77260" w:rsidRPr="00951AB1" w:rsidRDefault="00B77260"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681.517.111.459</w:t>
            </w:r>
          </w:p>
        </w:tc>
      </w:tr>
      <w:tr w:rsidR="005A73C0" w:rsidRPr="00951AB1" w14:paraId="47FA6C7A" w14:textId="77777777" w:rsidTr="004004C5">
        <w:trPr>
          <w:trHeight w:val="458"/>
        </w:trPr>
        <w:tc>
          <w:tcPr>
            <w:tcW w:w="2245" w:type="pct"/>
            <w:vAlign w:val="center"/>
            <w:hideMark/>
          </w:tcPr>
          <w:p w14:paraId="22626603" w14:textId="77777777" w:rsidR="00B77260" w:rsidRPr="00951AB1" w:rsidRDefault="00B77260" w:rsidP="000A5389">
            <w:pPr>
              <w:spacing w:line="240" w:lineRule="auto"/>
              <w:rPr>
                <w:rFonts w:eastAsia="Times New Roman" w:cs="Times New Roman"/>
                <w:b/>
                <w:bCs/>
                <w:color w:val="000000"/>
                <w:kern w:val="0"/>
                <w:sz w:val="18"/>
                <w:szCs w:val="18"/>
                <w:lang w:eastAsia="es-CO"/>
                <w14:ligatures w14:val="none"/>
              </w:rPr>
            </w:pPr>
            <w:r w:rsidRPr="00951AB1">
              <w:rPr>
                <w:rFonts w:eastAsia="Times New Roman" w:cs="Times New Roman"/>
                <w:b/>
                <w:bCs/>
                <w:color w:val="000000"/>
                <w:kern w:val="0"/>
                <w:sz w:val="18"/>
                <w:szCs w:val="18"/>
                <w:lang w:eastAsia="es-CO"/>
                <w14:ligatures w14:val="none"/>
              </w:rPr>
              <w:t>SOCIEDAD PORTUARIA REGIONAL DE TUMACO SA</w:t>
            </w:r>
          </w:p>
        </w:tc>
        <w:tc>
          <w:tcPr>
            <w:tcW w:w="965" w:type="pct"/>
            <w:noWrap/>
            <w:vAlign w:val="center"/>
            <w:hideMark/>
          </w:tcPr>
          <w:p w14:paraId="33F03B3C" w14:textId="77777777" w:rsidR="00B77260" w:rsidRPr="00951AB1" w:rsidRDefault="00B77260" w:rsidP="000A5389">
            <w:pPr>
              <w:spacing w:line="240" w:lineRule="auto"/>
              <w:jc w:val="right"/>
              <w:rPr>
                <w:rFonts w:eastAsia="Times New Roman" w:cs="Times New Roman"/>
                <w:b/>
                <w:bCs/>
                <w:color w:val="000000"/>
                <w:kern w:val="0"/>
                <w:sz w:val="18"/>
                <w:szCs w:val="18"/>
                <w:lang w:eastAsia="es-CO"/>
                <w14:ligatures w14:val="none"/>
              </w:rPr>
            </w:pPr>
            <w:r w:rsidRPr="00951AB1">
              <w:rPr>
                <w:rFonts w:eastAsia="Times New Roman" w:cs="Times New Roman"/>
                <w:b/>
                <w:bCs/>
                <w:color w:val="000000"/>
                <w:kern w:val="0"/>
                <w:sz w:val="18"/>
                <w:szCs w:val="18"/>
                <w:lang w:eastAsia="es-CO"/>
                <w14:ligatures w14:val="none"/>
              </w:rPr>
              <w:t>2.888.510.242</w:t>
            </w:r>
          </w:p>
        </w:tc>
        <w:tc>
          <w:tcPr>
            <w:tcW w:w="945" w:type="pct"/>
            <w:noWrap/>
            <w:vAlign w:val="center"/>
            <w:hideMark/>
          </w:tcPr>
          <w:p w14:paraId="221D44D7" w14:textId="77777777" w:rsidR="00B77260" w:rsidRPr="00951AB1" w:rsidRDefault="00B77260" w:rsidP="000A5389">
            <w:pPr>
              <w:spacing w:line="240" w:lineRule="auto"/>
              <w:jc w:val="right"/>
              <w:rPr>
                <w:rFonts w:eastAsia="Times New Roman" w:cs="Times New Roman"/>
                <w:b/>
                <w:bCs/>
                <w:color w:val="000000"/>
                <w:kern w:val="0"/>
                <w:sz w:val="18"/>
                <w:szCs w:val="18"/>
                <w:lang w:eastAsia="es-CO"/>
                <w14:ligatures w14:val="none"/>
              </w:rPr>
            </w:pPr>
            <w:r w:rsidRPr="00951AB1">
              <w:rPr>
                <w:rFonts w:eastAsia="Times New Roman" w:cs="Times New Roman"/>
                <w:b/>
                <w:bCs/>
                <w:color w:val="000000"/>
                <w:kern w:val="0"/>
                <w:sz w:val="18"/>
                <w:szCs w:val="18"/>
                <w:lang w:eastAsia="es-CO"/>
                <w14:ligatures w14:val="none"/>
              </w:rPr>
              <w:t>2.888.510.242</w:t>
            </w:r>
          </w:p>
        </w:tc>
        <w:tc>
          <w:tcPr>
            <w:tcW w:w="845" w:type="pct"/>
            <w:noWrap/>
            <w:vAlign w:val="center"/>
            <w:hideMark/>
          </w:tcPr>
          <w:p w14:paraId="57E6AFFD" w14:textId="77777777" w:rsidR="00B77260" w:rsidRPr="00951AB1" w:rsidRDefault="00B77260" w:rsidP="000A5389">
            <w:pPr>
              <w:spacing w:line="240" w:lineRule="auto"/>
              <w:jc w:val="right"/>
              <w:rPr>
                <w:rFonts w:eastAsia="Times New Roman" w:cs="Times New Roman"/>
                <w:b/>
                <w:bCs/>
                <w:color w:val="000000"/>
                <w:kern w:val="0"/>
                <w:sz w:val="18"/>
                <w:szCs w:val="18"/>
                <w:lang w:eastAsia="es-CO"/>
                <w14:ligatures w14:val="none"/>
              </w:rPr>
            </w:pPr>
            <w:r w:rsidRPr="00951AB1">
              <w:rPr>
                <w:rFonts w:eastAsia="Times New Roman" w:cs="Times New Roman"/>
                <w:b/>
                <w:bCs/>
                <w:color w:val="000000"/>
                <w:kern w:val="0"/>
                <w:sz w:val="18"/>
                <w:szCs w:val="18"/>
                <w:lang w:eastAsia="es-CO"/>
                <w14:ligatures w14:val="none"/>
              </w:rPr>
              <w:t>5.777.020.483</w:t>
            </w:r>
          </w:p>
        </w:tc>
      </w:tr>
      <w:tr w:rsidR="005A73C0" w:rsidRPr="00951AB1" w14:paraId="00717984" w14:textId="77777777" w:rsidTr="004004C5">
        <w:trPr>
          <w:trHeight w:val="293"/>
        </w:trPr>
        <w:tc>
          <w:tcPr>
            <w:tcW w:w="2245" w:type="pct"/>
            <w:vAlign w:val="center"/>
            <w:hideMark/>
          </w:tcPr>
          <w:p w14:paraId="6D206FEA" w14:textId="77777777" w:rsidR="00B77260" w:rsidRPr="00951AB1" w:rsidRDefault="00B77260" w:rsidP="000A5389">
            <w:pPr>
              <w:spacing w:line="240" w:lineRule="auto"/>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Red marítima</w:t>
            </w:r>
          </w:p>
        </w:tc>
        <w:tc>
          <w:tcPr>
            <w:tcW w:w="965" w:type="pct"/>
            <w:noWrap/>
            <w:vAlign w:val="center"/>
            <w:hideMark/>
          </w:tcPr>
          <w:p w14:paraId="10725DEB" w14:textId="77777777" w:rsidR="00B77260" w:rsidRPr="00951AB1" w:rsidRDefault="00B77260"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2.888.510.242</w:t>
            </w:r>
          </w:p>
        </w:tc>
        <w:tc>
          <w:tcPr>
            <w:tcW w:w="945" w:type="pct"/>
            <w:noWrap/>
            <w:vAlign w:val="center"/>
            <w:hideMark/>
          </w:tcPr>
          <w:p w14:paraId="0E89C83B" w14:textId="77777777" w:rsidR="00B77260" w:rsidRPr="00951AB1" w:rsidRDefault="00B77260"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2.888.510.242</w:t>
            </w:r>
          </w:p>
        </w:tc>
        <w:tc>
          <w:tcPr>
            <w:tcW w:w="845" w:type="pct"/>
            <w:noWrap/>
            <w:vAlign w:val="center"/>
            <w:hideMark/>
          </w:tcPr>
          <w:p w14:paraId="56D33A53" w14:textId="77777777" w:rsidR="00B77260" w:rsidRPr="00951AB1" w:rsidRDefault="00B77260"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5.777.020.483</w:t>
            </w:r>
          </w:p>
        </w:tc>
      </w:tr>
      <w:tr w:rsidR="005A73C0" w:rsidRPr="00951AB1" w14:paraId="171C1E8C" w14:textId="77777777" w:rsidTr="004004C5">
        <w:trPr>
          <w:trHeight w:val="293"/>
        </w:trPr>
        <w:tc>
          <w:tcPr>
            <w:tcW w:w="2245" w:type="pct"/>
            <w:vAlign w:val="center"/>
            <w:hideMark/>
          </w:tcPr>
          <w:p w14:paraId="1C4F7DFE" w14:textId="77777777" w:rsidR="00B77260" w:rsidRPr="00951AB1" w:rsidRDefault="00B77260" w:rsidP="000A5389">
            <w:pPr>
              <w:spacing w:line="240" w:lineRule="auto"/>
              <w:rPr>
                <w:rFonts w:eastAsia="Times New Roman" w:cs="Times New Roman"/>
                <w:b/>
                <w:bCs/>
                <w:color w:val="000000"/>
                <w:kern w:val="0"/>
                <w:sz w:val="18"/>
                <w:szCs w:val="18"/>
                <w:lang w:eastAsia="es-CO"/>
                <w14:ligatures w14:val="none"/>
              </w:rPr>
            </w:pPr>
            <w:r w:rsidRPr="00951AB1">
              <w:rPr>
                <w:rFonts w:eastAsia="Times New Roman" w:cs="Times New Roman"/>
                <w:b/>
                <w:bCs/>
                <w:color w:val="000000"/>
                <w:kern w:val="0"/>
                <w:sz w:val="18"/>
                <w:szCs w:val="18"/>
                <w:lang w:eastAsia="es-CO"/>
                <w14:ligatures w14:val="none"/>
              </w:rPr>
              <w:t>OLEODUCTO CENTRAL S.A.</w:t>
            </w:r>
          </w:p>
        </w:tc>
        <w:tc>
          <w:tcPr>
            <w:tcW w:w="965" w:type="pct"/>
            <w:noWrap/>
            <w:vAlign w:val="center"/>
            <w:hideMark/>
          </w:tcPr>
          <w:p w14:paraId="30A1463A" w14:textId="77777777" w:rsidR="00B77260" w:rsidRPr="00951AB1" w:rsidRDefault="00B77260" w:rsidP="000A5389">
            <w:pPr>
              <w:spacing w:line="240" w:lineRule="auto"/>
              <w:jc w:val="right"/>
              <w:rPr>
                <w:rFonts w:eastAsia="Times New Roman" w:cs="Times New Roman"/>
                <w:b/>
                <w:bCs/>
                <w:color w:val="000000"/>
                <w:kern w:val="0"/>
                <w:sz w:val="18"/>
                <w:szCs w:val="18"/>
                <w:lang w:eastAsia="es-CO"/>
                <w14:ligatures w14:val="none"/>
              </w:rPr>
            </w:pPr>
            <w:r w:rsidRPr="00951AB1">
              <w:rPr>
                <w:rFonts w:eastAsia="Times New Roman" w:cs="Times New Roman"/>
                <w:b/>
                <w:bCs/>
                <w:color w:val="000000"/>
                <w:kern w:val="0"/>
                <w:sz w:val="18"/>
                <w:szCs w:val="18"/>
                <w:lang w:eastAsia="es-CO"/>
                <w14:ligatures w14:val="none"/>
              </w:rPr>
              <w:t>356.174.549.264</w:t>
            </w:r>
          </w:p>
        </w:tc>
        <w:tc>
          <w:tcPr>
            <w:tcW w:w="945" w:type="pct"/>
            <w:noWrap/>
            <w:vAlign w:val="center"/>
            <w:hideMark/>
          </w:tcPr>
          <w:p w14:paraId="360FF2F4" w14:textId="77777777" w:rsidR="00B77260" w:rsidRPr="00951AB1" w:rsidRDefault="00B77260" w:rsidP="000A5389">
            <w:pPr>
              <w:spacing w:line="240" w:lineRule="auto"/>
              <w:jc w:val="right"/>
              <w:rPr>
                <w:rFonts w:eastAsia="Times New Roman" w:cs="Times New Roman"/>
                <w:b/>
                <w:bCs/>
                <w:color w:val="000000"/>
                <w:kern w:val="0"/>
                <w:sz w:val="18"/>
                <w:szCs w:val="18"/>
                <w:lang w:eastAsia="es-CO"/>
                <w14:ligatures w14:val="none"/>
              </w:rPr>
            </w:pPr>
            <w:r w:rsidRPr="00951AB1">
              <w:rPr>
                <w:rFonts w:eastAsia="Times New Roman" w:cs="Times New Roman"/>
                <w:b/>
                <w:bCs/>
                <w:color w:val="000000"/>
                <w:kern w:val="0"/>
                <w:sz w:val="18"/>
                <w:szCs w:val="18"/>
                <w:lang w:eastAsia="es-CO"/>
                <w14:ligatures w14:val="none"/>
              </w:rPr>
              <w:t>336.655.210.863</w:t>
            </w:r>
          </w:p>
        </w:tc>
        <w:tc>
          <w:tcPr>
            <w:tcW w:w="845" w:type="pct"/>
            <w:noWrap/>
            <w:vAlign w:val="center"/>
            <w:hideMark/>
          </w:tcPr>
          <w:p w14:paraId="1CE84E9A" w14:textId="77777777" w:rsidR="00B77260" w:rsidRPr="00951AB1" w:rsidRDefault="00B77260" w:rsidP="000A5389">
            <w:pPr>
              <w:spacing w:line="240" w:lineRule="auto"/>
              <w:jc w:val="right"/>
              <w:rPr>
                <w:rFonts w:eastAsia="Times New Roman" w:cs="Times New Roman"/>
                <w:b/>
                <w:bCs/>
                <w:color w:val="000000"/>
                <w:kern w:val="0"/>
                <w:sz w:val="18"/>
                <w:szCs w:val="18"/>
                <w:lang w:eastAsia="es-CO"/>
                <w14:ligatures w14:val="none"/>
              </w:rPr>
            </w:pPr>
            <w:r w:rsidRPr="00951AB1">
              <w:rPr>
                <w:rFonts w:eastAsia="Times New Roman" w:cs="Times New Roman"/>
                <w:b/>
                <w:bCs/>
                <w:color w:val="000000"/>
                <w:kern w:val="0"/>
                <w:sz w:val="18"/>
                <w:szCs w:val="18"/>
                <w:lang w:eastAsia="es-CO"/>
                <w14:ligatures w14:val="none"/>
              </w:rPr>
              <w:t>692.829.760.127</w:t>
            </w:r>
          </w:p>
        </w:tc>
      </w:tr>
      <w:tr w:rsidR="005A73C0" w:rsidRPr="00951AB1" w14:paraId="11646D97" w14:textId="77777777" w:rsidTr="004004C5">
        <w:trPr>
          <w:trHeight w:val="293"/>
        </w:trPr>
        <w:tc>
          <w:tcPr>
            <w:tcW w:w="2245" w:type="pct"/>
            <w:vAlign w:val="center"/>
            <w:hideMark/>
          </w:tcPr>
          <w:p w14:paraId="2CCCA7F8" w14:textId="77777777" w:rsidR="00B77260" w:rsidRPr="00951AB1" w:rsidRDefault="00B77260" w:rsidP="000A5389">
            <w:pPr>
              <w:spacing w:line="240" w:lineRule="auto"/>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Propiedades, Plan y Equipo</w:t>
            </w:r>
          </w:p>
        </w:tc>
        <w:tc>
          <w:tcPr>
            <w:tcW w:w="965" w:type="pct"/>
            <w:noWrap/>
            <w:vAlign w:val="center"/>
            <w:hideMark/>
          </w:tcPr>
          <w:p w14:paraId="42549708" w14:textId="77777777" w:rsidR="00B77260" w:rsidRPr="00951AB1" w:rsidRDefault="00B77260"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181.603.114.107</w:t>
            </w:r>
          </w:p>
        </w:tc>
        <w:tc>
          <w:tcPr>
            <w:tcW w:w="945" w:type="pct"/>
            <w:noWrap/>
            <w:vAlign w:val="center"/>
            <w:hideMark/>
          </w:tcPr>
          <w:p w14:paraId="4232E1C0" w14:textId="77777777" w:rsidR="00B77260" w:rsidRPr="00951AB1" w:rsidRDefault="00B77260"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181.633.903.995</w:t>
            </w:r>
          </w:p>
        </w:tc>
        <w:tc>
          <w:tcPr>
            <w:tcW w:w="845" w:type="pct"/>
            <w:noWrap/>
            <w:vAlign w:val="center"/>
            <w:hideMark/>
          </w:tcPr>
          <w:p w14:paraId="350B6668" w14:textId="77777777" w:rsidR="00B77260" w:rsidRPr="00951AB1" w:rsidRDefault="00B77260"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363.237.018.102</w:t>
            </w:r>
          </w:p>
        </w:tc>
      </w:tr>
      <w:tr w:rsidR="005A73C0" w:rsidRPr="00951AB1" w14:paraId="7F3B174C" w14:textId="77777777" w:rsidTr="004004C5">
        <w:trPr>
          <w:trHeight w:val="293"/>
        </w:trPr>
        <w:tc>
          <w:tcPr>
            <w:tcW w:w="2245" w:type="pct"/>
            <w:vAlign w:val="center"/>
            <w:hideMark/>
          </w:tcPr>
          <w:p w14:paraId="54CCEA1C" w14:textId="77777777" w:rsidR="00B77260" w:rsidRPr="00951AB1" w:rsidRDefault="00B77260" w:rsidP="000A5389">
            <w:pPr>
              <w:spacing w:line="240" w:lineRule="auto"/>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Red marítima</w:t>
            </w:r>
          </w:p>
        </w:tc>
        <w:tc>
          <w:tcPr>
            <w:tcW w:w="965" w:type="pct"/>
            <w:noWrap/>
            <w:vAlign w:val="center"/>
            <w:hideMark/>
          </w:tcPr>
          <w:p w14:paraId="543E0D1C" w14:textId="77777777" w:rsidR="00B77260" w:rsidRPr="00951AB1" w:rsidRDefault="00B77260"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174.571.435.157</w:t>
            </w:r>
          </w:p>
        </w:tc>
        <w:tc>
          <w:tcPr>
            <w:tcW w:w="945" w:type="pct"/>
            <w:noWrap/>
            <w:vAlign w:val="center"/>
            <w:hideMark/>
          </w:tcPr>
          <w:p w14:paraId="6B89DC50" w14:textId="77777777" w:rsidR="00B77260" w:rsidRPr="00951AB1" w:rsidRDefault="00B77260"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155.021.306.868</w:t>
            </w:r>
          </w:p>
        </w:tc>
        <w:tc>
          <w:tcPr>
            <w:tcW w:w="845" w:type="pct"/>
            <w:noWrap/>
            <w:vAlign w:val="center"/>
            <w:hideMark/>
          </w:tcPr>
          <w:p w14:paraId="22D5CD8B" w14:textId="77777777" w:rsidR="00B77260" w:rsidRPr="00951AB1" w:rsidRDefault="00B77260"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329.592.742.025</w:t>
            </w:r>
          </w:p>
        </w:tc>
      </w:tr>
      <w:tr w:rsidR="005A73C0" w:rsidRPr="00951AB1" w14:paraId="24FA99A5" w14:textId="77777777" w:rsidTr="004004C5">
        <w:trPr>
          <w:trHeight w:val="293"/>
        </w:trPr>
        <w:tc>
          <w:tcPr>
            <w:tcW w:w="2245" w:type="pct"/>
            <w:vAlign w:val="center"/>
            <w:hideMark/>
          </w:tcPr>
          <w:p w14:paraId="18F9BB98" w14:textId="77777777" w:rsidR="00B77260" w:rsidRPr="00951AB1" w:rsidRDefault="00B77260" w:rsidP="000A5389">
            <w:pPr>
              <w:spacing w:line="240" w:lineRule="auto"/>
              <w:rPr>
                <w:rFonts w:eastAsia="Times New Roman" w:cs="Times New Roman"/>
                <w:b/>
                <w:bCs/>
                <w:color w:val="000000"/>
                <w:kern w:val="0"/>
                <w:sz w:val="18"/>
                <w:szCs w:val="18"/>
                <w:lang w:eastAsia="es-CO"/>
                <w14:ligatures w14:val="none"/>
              </w:rPr>
            </w:pPr>
            <w:r w:rsidRPr="00951AB1">
              <w:rPr>
                <w:rFonts w:eastAsia="Times New Roman" w:cs="Times New Roman"/>
                <w:b/>
                <w:bCs/>
                <w:color w:val="000000"/>
                <w:kern w:val="0"/>
                <w:sz w:val="18"/>
                <w:szCs w:val="18"/>
                <w:lang w:eastAsia="es-CO"/>
                <w14:ligatures w14:val="none"/>
              </w:rPr>
              <w:t>ATUNAMAR LTDA</w:t>
            </w:r>
          </w:p>
        </w:tc>
        <w:tc>
          <w:tcPr>
            <w:tcW w:w="965" w:type="pct"/>
            <w:noWrap/>
            <w:vAlign w:val="center"/>
            <w:hideMark/>
          </w:tcPr>
          <w:p w14:paraId="3F9E68CC" w14:textId="77777777" w:rsidR="00B77260" w:rsidRPr="00951AB1" w:rsidRDefault="00B77260" w:rsidP="000A5389">
            <w:pPr>
              <w:spacing w:line="240" w:lineRule="auto"/>
              <w:jc w:val="right"/>
              <w:rPr>
                <w:rFonts w:eastAsia="Times New Roman" w:cs="Times New Roman"/>
                <w:b/>
                <w:bCs/>
                <w:color w:val="000000"/>
                <w:kern w:val="0"/>
                <w:sz w:val="18"/>
                <w:szCs w:val="18"/>
                <w:lang w:eastAsia="es-CO"/>
                <w14:ligatures w14:val="none"/>
              </w:rPr>
            </w:pPr>
            <w:r w:rsidRPr="00951AB1">
              <w:rPr>
                <w:rFonts w:eastAsia="Times New Roman" w:cs="Times New Roman"/>
                <w:b/>
                <w:bCs/>
                <w:color w:val="000000"/>
                <w:kern w:val="0"/>
                <w:sz w:val="18"/>
                <w:szCs w:val="18"/>
                <w:lang w:eastAsia="es-CO"/>
                <w14:ligatures w14:val="none"/>
              </w:rPr>
              <w:t>2.947.855.455</w:t>
            </w:r>
          </w:p>
        </w:tc>
        <w:tc>
          <w:tcPr>
            <w:tcW w:w="945" w:type="pct"/>
            <w:noWrap/>
            <w:vAlign w:val="center"/>
            <w:hideMark/>
          </w:tcPr>
          <w:p w14:paraId="3B2724E3" w14:textId="77777777" w:rsidR="00B77260" w:rsidRPr="00951AB1" w:rsidRDefault="00B77260" w:rsidP="000A5389">
            <w:pPr>
              <w:spacing w:line="240" w:lineRule="auto"/>
              <w:jc w:val="right"/>
              <w:rPr>
                <w:rFonts w:eastAsia="Times New Roman" w:cs="Times New Roman"/>
                <w:b/>
                <w:bCs/>
                <w:color w:val="000000"/>
                <w:kern w:val="0"/>
                <w:sz w:val="18"/>
                <w:szCs w:val="18"/>
                <w:lang w:eastAsia="es-CO"/>
                <w14:ligatures w14:val="none"/>
              </w:rPr>
            </w:pPr>
            <w:r w:rsidRPr="00951AB1">
              <w:rPr>
                <w:rFonts w:eastAsia="Times New Roman" w:cs="Times New Roman"/>
                <w:b/>
                <w:bCs/>
                <w:color w:val="000000"/>
                <w:kern w:val="0"/>
                <w:sz w:val="18"/>
                <w:szCs w:val="18"/>
                <w:lang w:eastAsia="es-CO"/>
                <w14:ligatures w14:val="none"/>
              </w:rPr>
              <w:t>901.989.300</w:t>
            </w:r>
          </w:p>
        </w:tc>
        <w:tc>
          <w:tcPr>
            <w:tcW w:w="845" w:type="pct"/>
            <w:noWrap/>
            <w:vAlign w:val="center"/>
            <w:hideMark/>
          </w:tcPr>
          <w:p w14:paraId="67BEFCF1" w14:textId="77777777" w:rsidR="00B77260" w:rsidRPr="00951AB1" w:rsidRDefault="00B77260" w:rsidP="000A5389">
            <w:pPr>
              <w:spacing w:line="240" w:lineRule="auto"/>
              <w:jc w:val="right"/>
              <w:rPr>
                <w:rFonts w:eastAsia="Times New Roman" w:cs="Times New Roman"/>
                <w:b/>
                <w:bCs/>
                <w:color w:val="000000"/>
                <w:kern w:val="0"/>
                <w:sz w:val="18"/>
                <w:szCs w:val="18"/>
                <w:lang w:eastAsia="es-CO"/>
                <w14:ligatures w14:val="none"/>
              </w:rPr>
            </w:pPr>
            <w:r w:rsidRPr="00951AB1">
              <w:rPr>
                <w:rFonts w:eastAsia="Times New Roman" w:cs="Times New Roman"/>
                <w:b/>
                <w:bCs/>
                <w:color w:val="000000"/>
                <w:kern w:val="0"/>
                <w:sz w:val="18"/>
                <w:szCs w:val="18"/>
                <w:lang w:eastAsia="es-CO"/>
                <w14:ligatures w14:val="none"/>
              </w:rPr>
              <w:t>3.849.844.755</w:t>
            </w:r>
          </w:p>
        </w:tc>
      </w:tr>
      <w:tr w:rsidR="005A73C0" w:rsidRPr="00951AB1" w14:paraId="4260A7CC" w14:textId="77777777" w:rsidTr="004004C5">
        <w:trPr>
          <w:trHeight w:val="293"/>
        </w:trPr>
        <w:tc>
          <w:tcPr>
            <w:tcW w:w="2245" w:type="pct"/>
            <w:vAlign w:val="center"/>
            <w:hideMark/>
          </w:tcPr>
          <w:p w14:paraId="3CE51E97" w14:textId="77777777" w:rsidR="00B77260" w:rsidRPr="00951AB1" w:rsidRDefault="00B77260" w:rsidP="000A5389">
            <w:pPr>
              <w:spacing w:line="240" w:lineRule="auto"/>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Propiedades, Plan y Equipo</w:t>
            </w:r>
          </w:p>
        </w:tc>
        <w:tc>
          <w:tcPr>
            <w:tcW w:w="965" w:type="pct"/>
            <w:noWrap/>
            <w:vAlign w:val="center"/>
            <w:hideMark/>
          </w:tcPr>
          <w:p w14:paraId="3CD363EB" w14:textId="77777777" w:rsidR="00B77260" w:rsidRPr="00951AB1" w:rsidRDefault="00B77260"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24.484.800</w:t>
            </w:r>
          </w:p>
        </w:tc>
        <w:tc>
          <w:tcPr>
            <w:tcW w:w="945" w:type="pct"/>
            <w:noWrap/>
            <w:vAlign w:val="center"/>
            <w:hideMark/>
          </w:tcPr>
          <w:p w14:paraId="14ACF8C7" w14:textId="77777777" w:rsidR="00B77260" w:rsidRPr="00951AB1" w:rsidRDefault="00B77260"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24.484.800</w:t>
            </w:r>
          </w:p>
        </w:tc>
        <w:tc>
          <w:tcPr>
            <w:tcW w:w="845" w:type="pct"/>
            <w:noWrap/>
            <w:vAlign w:val="center"/>
            <w:hideMark/>
          </w:tcPr>
          <w:p w14:paraId="4AD0ABEE" w14:textId="77777777" w:rsidR="00B77260" w:rsidRPr="00951AB1" w:rsidRDefault="00B77260"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48.969.599</w:t>
            </w:r>
          </w:p>
        </w:tc>
      </w:tr>
      <w:tr w:rsidR="005A73C0" w:rsidRPr="00951AB1" w14:paraId="4C0D5DAD" w14:textId="77777777" w:rsidTr="004004C5">
        <w:trPr>
          <w:trHeight w:val="293"/>
        </w:trPr>
        <w:tc>
          <w:tcPr>
            <w:tcW w:w="2245" w:type="pct"/>
            <w:vAlign w:val="center"/>
            <w:hideMark/>
          </w:tcPr>
          <w:p w14:paraId="11120AE3" w14:textId="77777777" w:rsidR="00B77260" w:rsidRPr="00951AB1" w:rsidRDefault="00B77260" w:rsidP="000A5389">
            <w:pPr>
              <w:spacing w:line="240" w:lineRule="auto"/>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Red marítima</w:t>
            </w:r>
          </w:p>
        </w:tc>
        <w:tc>
          <w:tcPr>
            <w:tcW w:w="965" w:type="pct"/>
            <w:noWrap/>
            <w:vAlign w:val="center"/>
            <w:hideMark/>
          </w:tcPr>
          <w:p w14:paraId="7C386EC4" w14:textId="77777777" w:rsidR="00B77260" w:rsidRPr="00951AB1" w:rsidRDefault="00B77260"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2.923.370.655</w:t>
            </w:r>
          </w:p>
        </w:tc>
        <w:tc>
          <w:tcPr>
            <w:tcW w:w="945" w:type="pct"/>
            <w:noWrap/>
            <w:vAlign w:val="center"/>
            <w:hideMark/>
          </w:tcPr>
          <w:p w14:paraId="1BFE6046" w14:textId="77777777" w:rsidR="00B77260" w:rsidRPr="00951AB1" w:rsidRDefault="00B77260"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877.504.500</w:t>
            </w:r>
          </w:p>
        </w:tc>
        <w:tc>
          <w:tcPr>
            <w:tcW w:w="845" w:type="pct"/>
            <w:noWrap/>
            <w:vAlign w:val="center"/>
            <w:hideMark/>
          </w:tcPr>
          <w:p w14:paraId="08C015B4" w14:textId="77777777" w:rsidR="00B77260" w:rsidRPr="00951AB1" w:rsidRDefault="00B77260"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3.800.875.156</w:t>
            </w:r>
          </w:p>
        </w:tc>
      </w:tr>
      <w:tr w:rsidR="005A73C0" w:rsidRPr="00951AB1" w14:paraId="020938CB" w14:textId="77777777" w:rsidTr="004004C5">
        <w:trPr>
          <w:trHeight w:val="458"/>
        </w:trPr>
        <w:tc>
          <w:tcPr>
            <w:tcW w:w="2245" w:type="pct"/>
            <w:vAlign w:val="center"/>
            <w:hideMark/>
          </w:tcPr>
          <w:p w14:paraId="37CF9409" w14:textId="77777777" w:rsidR="00B77260" w:rsidRPr="00951AB1" w:rsidRDefault="00B77260" w:rsidP="000A5389">
            <w:pPr>
              <w:spacing w:line="240" w:lineRule="auto"/>
              <w:rPr>
                <w:rFonts w:eastAsia="Times New Roman" w:cs="Times New Roman"/>
                <w:b/>
                <w:bCs/>
                <w:color w:val="000000"/>
                <w:kern w:val="0"/>
                <w:sz w:val="18"/>
                <w:szCs w:val="18"/>
                <w:lang w:eastAsia="es-CO"/>
                <w14:ligatures w14:val="none"/>
              </w:rPr>
            </w:pPr>
            <w:r w:rsidRPr="00951AB1">
              <w:rPr>
                <w:rFonts w:eastAsia="Times New Roman" w:cs="Times New Roman"/>
                <w:b/>
                <w:bCs/>
                <w:color w:val="000000"/>
                <w:kern w:val="0"/>
                <w:sz w:val="18"/>
                <w:szCs w:val="18"/>
                <w:lang w:eastAsia="es-CO"/>
                <w14:ligatures w14:val="none"/>
              </w:rPr>
              <w:t>SOCIEDAD PORTUARIA OLEFINAS Y DERIVADOS S.A.</w:t>
            </w:r>
          </w:p>
        </w:tc>
        <w:tc>
          <w:tcPr>
            <w:tcW w:w="965" w:type="pct"/>
            <w:noWrap/>
            <w:vAlign w:val="center"/>
            <w:hideMark/>
          </w:tcPr>
          <w:p w14:paraId="316EDD1C" w14:textId="77777777" w:rsidR="00B77260" w:rsidRPr="00951AB1" w:rsidRDefault="00B77260" w:rsidP="000A5389">
            <w:pPr>
              <w:spacing w:line="240" w:lineRule="auto"/>
              <w:jc w:val="right"/>
              <w:rPr>
                <w:rFonts w:eastAsia="Times New Roman" w:cs="Times New Roman"/>
                <w:b/>
                <w:bCs/>
                <w:color w:val="000000"/>
                <w:kern w:val="0"/>
                <w:sz w:val="18"/>
                <w:szCs w:val="18"/>
                <w:lang w:eastAsia="es-CO"/>
                <w14:ligatures w14:val="none"/>
              </w:rPr>
            </w:pPr>
            <w:r w:rsidRPr="00951AB1">
              <w:rPr>
                <w:rFonts w:eastAsia="Times New Roman" w:cs="Times New Roman"/>
                <w:b/>
                <w:bCs/>
                <w:color w:val="000000"/>
                <w:kern w:val="0"/>
                <w:sz w:val="18"/>
                <w:szCs w:val="18"/>
                <w:lang w:eastAsia="es-CO"/>
                <w14:ligatures w14:val="none"/>
              </w:rPr>
              <w:t>7.615.236.802</w:t>
            </w:r>
          </w:p>
        </w:tc>
        <w:tc>
          <w:tcPr>
            <w:tcW w:w="945" w:type="pct"/>
            <w:noWrap/>
            <w:vAlign w:val="center"/>
            <w:hideMark/>
          </w:tcPr>
          <w:p w14:paraId="05254BB9" w14:textId="77777777" w:rsidR="00B77260" w:rsidRPr="00951AB1" w:rsidRDefault="00B77260" w:rsidP="000A5389">
            <w:pPr>
              <w:spacing w:line="240" w:lineRule="auto"/>
              <w:jc w:val="right"/>
              <w:rPr>
                <w:rFonts w:eastAsia="Times New Roman" w:cs="Times New Roman"/>
                <w:b/>
                <w:bCs/>
                <w:color w:val="000000"/>
                <w:kern w:val="0"/>
                <w:sz w:val="18"/>
                <w:szCs w:val="18"/>
                <w:lang w:eastAsia="es-CO"/>
                <w14:ligatures w14:val="none"/>
              </w:rPr>
            </w:pPr>
            <w:r w:rsidRPr="00951AB1">
              <w:rPr>
                <w:rFonts w:eastAsia="Times New Roman" w:cs="Times New Roman"/>
                <w:b/>
                <w:bCs/>
                <w:color w:val="000000"/>
                <w:kern w:val="0"/>
                <w:sz w:val="18"/>
                <w:szCs w:val="18"/>
                <w:lang w:eastAsia="es-CO"/>
                <w14:ligatures w14:val="none"/>
              </w:rPr>
              <w:t>7.615.236.802</w:t>
            </w:r>
          </w:p>
        </w:tc>
        <w:tc>
          <w:tcPr>
            <w:tcW w:w="845" w:type="pct"/>
            <w:noWrap/>
            <w:vAlign w:val="center"/>
            <w:hideMark/>
          </w:tcPr>
          <w:p w14:paraId="02D6B5CD" w14:textId="77777777" w:rsidR="00B77260" w:rsidRPr="00951AB1" w:rsidRDefault="00B77260" w:rsidP="000A5389">
            <w:pPr>
              <w:spacing w:line="240" w:lineRule="auto"/>
              <w:jc w:val="right"/>
              <w:rPr>
                <w:rFonts w:eastAsia="Times New Roman" w:cs="Times New Roman"/>
                <w:b/>
                <w:bCs/>
                <w:color w:val="000000"/>
                <w:kern w:val="0"/>
                <w:sz w:val="18"/>
                <w:szCs w:val="18"/>
                <w:lang w:eastAsia="es-CO"/>
                <w14:ligatures w14:val="none"/>
              </w:rPr>
            </w:pPr>
            <w:r w:rsidRPr="00951AB1">
              <w:rPr>
                <w:rFonts w:eastAsia="Times New Roman" w:cs="Times New Roman"/>
                <w:b/>
                <w:bCs/>
                <w:color w:val="000000"/>
                <w:kern w:val="0"/>
                <w:sz w:val="18"/>
                <w:szCs w:val="18"/>
                <w:lang w:eastAsia="es-CO"/>
                <w14:ligatures w14:val="none"/>
              </w:rPr>
              <w:t>15.230.473.604</w:t>
            </w:r>
          </w:p>
        </w:tc>
      </w:tr>
      <w:tr w:rsidR="005A73C0" w:rsidRPr="00951AB1" w14:paraId="63C68691" w14:textId="77777777" w:rsidTr="004004C5">
        <w:trPr>
          <w:trHeight w:val="293"/>
        </w:trPr>
        <w:tc>
          <w:tcPr>
            <w:tcW w:w="2245" w:type="pct"/>
            <w:vAlign w:val="center"/>
            <w:hideMark/>
          </w:tcPr>
          <w:p w14:paraId="36D46385" w14:textId="77777777" w:rsidR="00B77260" w:rsidRPr="00951AB1" w:rsidRDefault="00B77260" w:rsidP="000A5389">
            <w:pPr>
              <w:spacing w:line="240" w:lineRule="auto"/>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Propiedades, Plan y Equipo</w:t>
            </w:r>
          </w:p>
        </w:tc>
        <w:tc>
          <w:tcPr>
            <w:tcW w:w="965" w:type="pct"/>
            <w:noWrap/>
            <w:vAlign w:val="center"/>
            <w:hideMark/>
          </w:tcPr>
          <w:p w14:paraId="0CFAB065" w14:textId="77777777" w:rsidR="00B77260" w:rsidRPr="00951AB1" w:rsidRDefault="00B77260"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496.637.909</w:t>
            </w:r>
          </w:p>
        </w:tc>
        <w:tc>
          <w:tcPr>
            <w:tcW w:w="945" w:type="pct"/>
            <w:noWrap/>
            <w:vAlign w:val="center"/>
            <w:hideMark/>
          </w:tcPr>
          <w:p w14:paraId="084DBEAE" w14:textId="77777777" w:rsidR="00B77260" w:rsidRPr="00951AB1" w:rsidRDefault="00B77260"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496.637.909</w:t>
            </w:r>
          </w:p>
        </w:tc>
        <w:tc>
          <w:tcPr>
            <w:tcW w:w="845" w:type="pct"/>
            <w:noWrap/>
            <w:vAlign w:val="center"/>
            <w:hideMark/>
          </w:tcPr>
          <w:p w14:paraId="2998BE3A" w14:textId="77777777" w:rsidR="00B77260" w:rsidRPr="00951AB1" w:rsidRDefault="00B77260"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993.275.819</w:t>
            </w:r>
          </w:p>
        </w:tc>
      </w:tr>
      <w:tr w:rsidR="005A73C0" w:rsidRPr="00951AB1" w14:paraId="2EDEE771" w14:textId="77777777" w:rsidTr="004004C5">
        <w:trPr>
          <w:trHeight w:val="293"/>
        </w:trPr>
        <w:tc>
          <w:tcPr>
            <w:tcW w:w="2245" w:type="pct"/>
            <w:vAlign w:val="center"/>
            <w:hideMark/>
          </w:tcPr>
          <w:p w14:paraId="52255E2A" w14:textId="77777777" w:rsidR="00B77260" w:rsidRPr="00951AB1" w:rsidRDefault="00B77260" w:rsidP="000A5389">
            <w:pPr>
              <w:spacing w:line="240" w:lineRule="auto"/>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Red marítima</w:t>
            </w:r>
          </w:p>
        </w:tc>
        <w:tc>
          <w:tcPr>
            <w:tcW w:w="965" w:type="pct"/>
            <w:noWrap/>
            <w:vAlign w:val="center"/>
            <w:hideMark/>
          </w:tcPr>
          <w:p w14:paraId="7E9A43E6" w14:textId="77777777" w:rsidR="00B77260" w:rsidRPr="00951AB1" w:rsidRDefault="00B77260"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7.118.598.893</w:t>
            </w:r>
          </w:p>
        </w:tc>
        <w:tc>
          <w:tcPr>
            <w:tcW w:w="945" w:type="pct"/>
            <w:noWrap/>
            <w:vAlign w:val="center"/>
            <w:hideMark/>
          </w:tcPr>
          <w:p w14:paraId="7F2BDC2A" w14:textId="77777777" w:rsidR="00B77260" w:rsidRPr="00951AB1" w:rsidRDefault="00B77260"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7.118.598.893</w:t>
            </w:r>
          </w:p>
        </w:tc>
        <w:tc>
          <w:tcPr>
            <w:tcW w:w="845" w:type="pct"/>
            <w:noWrap/>
            <w:vAlign w:val="center"/>
            <w:hideMark/>
          </w:tcPr>
          <w:p w14:paraId="50AA4326" w14:textId="77777777" w:rsidR="00B77260" w:rsidRPr="00951AB1" w:rsidRDefault="00B77260"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14.237.197.785</w:t>
            </w:r>
          </w:p>
        </w:tc>
      </w:tr>
      <w:tr w:rsidR="005A73C0" w:rsidRPr="00951AB1" w14:paraId="7ADBADC4" w14:textId="77777777" w:rsidTr="004004C5">
        <w:trPr>
          <w:trHeight w:val="458"/>
        </w:trPr>
        <w:tc>
          <w:tcPr>
            <w:tcW w:w="2245" w:type="pct"/>
            <w:vAlign w:val="center"/>
            <w:hideMark/>
          </w:tcPr>
          <w:p w14:paraId="38619D56" w14:textId="77777777" w:rsidR="00B77260" w:rsidRPr="00951AB1" w:rsidRDefault="00B77260" w:rsidP="000A5389">
            <w:pPr>
              <w:spacing w:line="240" w:lineRule="auto"/>
              <w:rPr>
                <w:rFonts w:eastAsia="Times New Roman" w:cs="Times New Roman"/>
                <w:b/>
                <w:bCs/>
                <w:color w:val="000000"/>
                <w:kern w:val="0"/>
                <w:sz w:val="18"/>
                <w:szCs w:val="18"/>
                <w:lang w:eastAsia="es-CO"/>
                <w14:ligatures w14:val="none"/>
              </w:rPr>
            </w:pPr>
            <w:r w:rsidRPr="00951AB1">
              <w:rPr>
                <w:rFonts w:eastAsia="Times New Roman" w:cs="Times New Roman"/>
                <w:b/>
                <w:bCs/>
                <w:color w:val="000000"/>
                <w:kern w:val="0"/>
                <w:sz w:val="18"/>
                <w:szCs w:val="18"/>
                <w:lang w:eastAsia="es-CO"/>
                <w14:ligatures w14:val="none"/>
              </w:rPr>
              <w:t>SOCIEDAD PORTUARIA DE TRANSPORTE MARITIMO SAN ANDRES Y PROVIDENCIA SA</w:t>
            </w:r>
          </w:p>
        </w:tc>
        <w:tc>
          <w:tcPr>
            <w:tcW w:w="965" w:type="pct"/>
            <w:noWrap/>
            <w:vAlign w:val="center"/>
            <w:hideMark/>
          </w:tcPr>
          <w:p w14:paraId="13DDCA6E" w14:textId="77777777" w:rsidR="00B77260" w:rsidRPr="00951AB1" w:rsidRDefault="00B77260" w:rsidP="000A5389">
            <w:pPr>
              <w:spacing w:line="240" w:lineRule="auto"/>
              <w:jc w:val="right"/>
              <w:rPr>
                <w:rFonts w:eastAsia="Times New Roman" w:cs="Times New Roman"/>
                <w:b/>
                <w:bCs/>
                <w:color w:val="000000"/>
                <w:kern w:val="0"/>
                <w:sz w:val="18"/>
                <w:szCs w:val="18"/>
                <w:lang w:eastAsia="es-CO"/>
                <w14:ligatures w14:val="none"/>
              </w:rPr>
            </w:pPr>
            <w:r w:rsidRPr="00951AB1">
              <w:rPr>
                <w:rFonts w:eastAsia="Times New Roman" w:cs="Times New Roman"/>
                <w:b/>
                <w:bCs/>
                <w:color w:val="000000"/>
                <w:kern w:val="0"/>
                <w:sz w:val="18"/>
                <w:szCs w:val="18"/>
                <w:lang w:eastAsia="es-CO"/>
                <w14:ligatures w14:val="none"/>
              </w:rPr>
              <w:t>1.901.453.980</w:t>
            </w:r>
          </w:p>
        </w:tc>
        <w:tc>
          <w:tcPr>
            <w:tcW w:w="945" w:type="pct"/>
            <w:noWrap/>
            <w:vAlign w:val="center"/>
            <w:hideMark/>
          </w:tcPr>
          <w:p w14:paraId="3EAB9DCD" w14:textId="2AC2F23E" w:rsidR="00B77260" w:rsidRPr="00951AB1" w:rsidRDefault="00B77260" w:rsidP="000A5389">
            <w:pPr>
              <w:spacing w:line="240" w:lineRule="auto"/>
              <w:jc w:val="right"/>
              <w:rPr>
                <w:rFonts w:eastAsia="Times New Roman" w:cs="Times New Roman"/>
                <w:b/>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 </w:t>
            </w:r>
            <w:r w:rsidR="00D96321" w:rsidRPr="00951AB1">
              <w:rPr>
                <w:rFonts w:eastAsia="Times New Roman" w:cs="Times New Roman"/>
                <w:b/>
                <w:bCs/>
                <w:color w:val="000000"/>
                <w:kern w:val="0"/>
                <w:sz w:val="18"/>
                <w:szCs w:val="18"/>
                <w:lang w:eastAsia="es-CO"/>
                <w14:ligatures w14:val="none"/>
              </w:rPr>
              <w:t>0</w:t>
            </w:r>
          </w:p>
        </w:tc>
        <w:tc>
          <w:tcPr>
            <w:tcW w:w="845" w:type="pct"/>
            <w:noWrap/>
            <w:vAlign w:val="center"/>
            <w:hideMark/>
          </w:tcPr>
          <w:p w14:paraId="58D19205" w14:textId="77777777" w:rsidR="00B77260" w:rsidRPr="00951AB1" w:rsidRDefault="00B77260" w:rsidP="000A5389">
            <w:pPr>
              <w:spacing w:line="240" w:lineRule="auto"/>
              <w:jc w:val="right"/>
              <w:rPr>
                <w:rFonts w:eastAsia="Times New Roman" w:cs="Times New Roman"/>
                <w:b/>
                <w:bCs/>
                <w:color w:val="000000"/>
                <w:kern w:val="0"/>
                <w:sz w:val="18"/>
                <w:szCs w:val="18"/>
                <w:lang w:eastAsia="es-CO"/>
                <w14:ligatures w14:val="none"/>
              </w:rPr>
            </w:pPr>
            <w:r w:rsidRPr="00951AB1">
              <w:rPr>
                <w:rFonts w:eastAsia="Times New Roman" w:cs="Times New Roman"/>
                <w:b/>
                <w:bCs/>
                <w:color w:val="000000"/>
                <w:kern w:val="0"/>
                <w:sz w:val="18"/>
                <w:szCs w:val="18"/>
                <w:lang w:eastAsia="es-CO"/>
                <w14:ligatures w14:val="none"/>
              </w:rPr>
              <w:t>1.901.453.980</w:t>
            </w:r>
          </w:p>
        </w:tc>
      </w:tr>
      <w:tr w:rsidR="005A73C0" w:rsidRPr="00951AB1" w14:paraId="7C4B701B" w14:textId="77777777" w:rsidTr="004004C5">
        <w:trPr>
          <w:trHeight w:val="293"/>
        </w:trPr>
        <w:tc>
          <w:tcPr>
            <w:tcW w:w="2245" w:type="pct"/>
            <w:vAlign w:val="center"/>
            <w:hideMark/>
          </w:tcPr>
          <w:p w14:paraId="58A6443E" w14:textId="77777777" w:rsidR="00B77260" w:rsidRPr="00951AB1" w:rsidRDefault="00B77260" w:rsidP="000A5389">
            <w:pPr>
              <w:spacing w:line="240" w:lineRule="auto"/>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Red marítima</w:t>
            </w:r>
          </w:p>
        </w:tc>
        <w:tc>
          <w:tcPr>
            <w:tcW w:w="965" w:type="pct"/>
            <w:noWrap/>
            <w:vAlign w:val="center"/>
            <w:hideMark/>
          </w:tcPr>
          <w:p w14:paraId="7D94EB17" w14:textId="77777777" w:rsidR="00B77260" w:rsidRPr="00951AB1" w:rsidRDefault="00B77260"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1.901.453.980</w:t>
            </w:r>
          </w:p>
        </w:tc>
        <w:tc>
          <w:tcPr>
            <w:tcW w:w="945" w:type="pct"/>
            <w:noWrap/>
            <w:vAlign w:val="center"/>
            <w:hideMark/>
          </w:tcPr>
          <w:p w14:paraId="550BD920" w14:textId="77D07366" w:rsidR="00B77260" w:rsidRPr="00951AB1" w:rsidRDefault="00B77260" w:rsidP="000A5389">
            <w:pPr>
              <w:spacing w:line="240" w:lineRule="auto"/>
              <w:jc w:val="right"/>
              <w:rPr>
                <w:rFonts w:eastAsia="Times New Roman" w:cs="Times New Roman"/>
                <w:color w:val="000000"/>
                <w:kern w:val="0"/>
                <w:lang w:eastAsia="es-CO"/>
                <w14:ligatures w14:val="none"/>
              </w:rPr>
            </w:pPr>
            <w:r w:rsidRPr="00951AB1">
              <w:rPr>
                <w:rFonts w:eastAsia="Times New Roman" w:cs="Times New Roman"/>
                <w:color w:val="000000"/>
                <w:kern w:val="0"/>
                <w:lang w:eastAsia="es-CO"/>
                <w14:ligatures w14:val="none"/>
              </w:rPr>
              <w:t> </w:t>
            </w:r>
            <w:r w:rsidR="008507F7" w:rsidRPr="00951AB1">
              <w:rPr>
                <w:rFonts w:eastAsia="Times New Roman" w:cs="Times New Roman"/>
                <w:color w:val="000000"/>
                <w:kern w:val="0"/>
                <w:sz w:val="18"/>
                <w:szCs w:val="18"/>
                <w:lang w:eastAsia="es-CO"/>
                <w14:ligatures w14:val="none"/>
              </w:rPr>
              <w:t>0</w:t>
            </w:r>
          </w:p>
        </w:tc>
        <w:tc>
          <w:tcPr>
            <w:tcW w:w="845" w:type="pct"/>
            <w:noWrap/>
            <w:vAlign w:val="center"/>
            <w:hideMark/>
          </w:tcPr>
          <w:p w14:paraId="42957F8F" w14:textId="77777777" w:rsidR="00B77260" w:rsidRPr="00951AB1" w:rsidRDefault="00B77260"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1.901.453.980</w:t>
            </w:r>
          </w:p>
        </w:tc>
      </w:tr>
      <w:tr w:rsidR="005A73C0" w:rsidRPr="00951AB1" w14:paraId="36D57277" w14:textId="77777777" w:rsidTr="004004C5">
        <w:trPr>
          <w:trHeight w:val="293"/>
        </w:trPr>
        <w:tc>
          <w:tcPr>
            <w:tcW w:w="2245" w:type="pct"/>
            <w:vAlign w:val="center"/>
            <w:hideMark/>
          </w:tcPr>
          <w:p w14:paraId="7518AFDF" w14:textId="77777777" w:rsidR="00B77260" w:rsidRPr="00951AB1" w:rsidRDefault="00B77260" w:rsidP="000A5389">
            <w:pPr>
              <w:spacing w:line="240" w:lineRule="auto"/>
              <w:rPr>
                <w:rFonts w:eastAsia="Times New Roman" w:cs="Times New Roman"/>
                <w:b/>
                <w:color w:val="000000"/>
                <w:kern w:val="0"/>
                <w:sz w:val="18"/>
                <w:szCs w:val="18"/>
                <w:lang w:eastAsia="es-CO"/>
                <w14:ligatures w14:val="none"/>
              </w:rPr>
            </w:pPr>
            <w:r w:rsidRPr="00951AB1">
              <w:rPr>
                <w:rFonts w:eastAsia="Times New Roman" w:cs="Times New Roman"/>
                <w:b/>
                <w:color w:val="000000"/>
                <w:kern w:val="0"/>
                <w:sz w:val="18"/>
                <w:szCs w:val="18"/>
                <w:lang w:eastAsia="es-CO"/>
                <w14:ligatures w14:val="none"/>
              </w:rPr>
              <w:t>SOCIEDAD PORTUARIA TRANSMARSYP S.A.</w:t>
            </w:r>
          </w:p>
        </w:tc>
        <w:tc>
          <w:tcPr>
            <w:tcW w:w="965" w:type="pct"/>
            <w:noWrap/>
            <w:vAlign w:val="center"/>
            <w:hideMark/>
          </w:tcPr>
          <w:p w14:paraId="4F1FE5C9" w14:textId="66735F79" w:rsidR="00B77260" w:rsidRPr="00951AB1" w:rsidRDefault="00B77260" w:rsidP="000A5389">
            <w:pPr>
              <w:spacing w:line="240" w:lineRule="auto"/>
              <w:jc w:val="right"/>
              <w:rPr>
                <w:rFonts w:eastAsia="Times New Roman" w:cs="Times New Roman"/>
                <w:b/>
                <w:color w:val="000000"/>
                <w:kern w:val="0"/>
                <w:lang w:eastAsia="es-CO"/>
                <w14:ligatures w14:val="none"/>
              </w:rPr>
            </w:pPr>
            <w:r w:rsidRPr="00951AB1">
              <w:rPr>
                <w:rFonts w:eastAsia="Times New Roman" w:cs="Times New Roman"/>
                <w:b/>
                <w:color w:val="000000"/>
                <w:kern w:val="0"/>
                <w:lang w:eastAsia="es-CO"/>
                <w14:ligatures w14:val="none"/>
              </w:rPr>
              <w:t> </w:t>
            </w:r>
            <w:r w:rsidR="00D96321" w:rsidRPr="00951AB1">
              <w:rPr>
                <w:rFonts w:eastAsia="Times New Roman" w:cs="Times New Roman"/>
                <w:b/>
                <w:bCs/>
                <w:color w:val="000000"/>
                <w:kern w:val="0"/>
                <w:sz w:val="18"/>
                <w:szCs w:val="18"/>
                <w:lang w:eastAsia="es-CO"/>
                <w14:ligatures w14:val="none"/>
              </w:rPr>
              <w:t>0</w:t>
            </w:r>
          </w:p>
        </w:tc>
        <w:tc>
          <w:tcPr>
            <w:tcW w:w="945" w:type="pct"/>
            <w:noWrap/>
            <w:vAlign w:val="center"/>
            <w:hideMark/>
          </w:tcPr>
          <w:p w14:paraId="15BF3FE4" w14:textId="77777777" w:rsidR="00B77260" w:rsidRPr="00951AB1" w:rsidRDefault="00B77260" w:rsidP="000A5389">
            <w:pPr>
              <w:spacing w:line="240" w:lineRule="auto"/>
              <w:jc w:val="right"/>
              <w:rPr>
                <w:rFonts w:eastAsia="Times New Roman" w:cs="Times New Roman"/>
                <w:b/>
                <w:color w:val="000000"/>
                <w:kern w:val="0"/>
                <w:sz w:val="18"/>
                <w:szCs w:val="18"/>
                <w:lang w:eastAsia="es-CO"/>
                <w14:ligatures w14:val="none"/>
              </w:rPr>
            </w:pPr>
            <w:r w:rsidRPr="00951AB1">
              <w:rPr>
                <w:rFonts w:eastAsia="Times New Roman" w:cs="Times New Roman"/>
                <w:b/>
                <w:color w:val="000000"/>
                <w:kern w:val="0"/>
                <w:sz w:val="18"/>
                <w:szCs w:val="18"/>
                <w:lang w:eastAsia="es-CO"/>
                <w14:ligatures w14:val="none"/>
              </w:rPr>
              <w:t>1.901.453.980</w:t>
            </w:r>
          </w:p>
        </w:tc>
        <w:tc>
          <w:tcPr>
            <w:tcW w:w="845" w:type="pct"/>
            <w:noWrap/>
            <w:vAlign w:val="center"/>
            <w:hideMark/>
          </w:tcPr>
          <w:p w14:paraId="6502C892" w14:textId="77777777" w:rsidR="00B77260" w:rsidRPr="00951AB1" w:rsidRDefault="00B77260" w:rsidP="000A5389">
            <w:pPr>
              <w:spacing w:line="240" w:lineRule="auto"/>
              <w:jc w:val="right"/>
              <w:rPr>
                <w:rFonts w:eastAsia="Times New Roman" w:cs="Times New Roman"/>
                <w:b/>
                <w:color w:val="000000"/>
                <w:kern w:val="0"/>
                <w:sz w:val="18"/>
                <w:szCs w:val="18"/>
                <w:lang w:eastAsia="es-CO"/>
                <w14:ligatures w14:val="none"/>
              </w:rPr>
            </w:pPr>
            <w:r w:rsidRPr="00951AB1">
              <w:rPr>
                <w:rFonts w:eastAsia="Times New Roman" w:cs="Times New Roman"/>
                <w:b/>
                <w:color w:val="000000"/>
                <w:kern w:val="0"/>
                <w:sz w:val="18"/>
                <w:szCs w:val="18"/>
                <w:lang w:eastAsia="es-CO"/>
                <w14:ligatures w14:val="none"/>
              </w:rPr>
              <w:t>1.901.453.980</w:t>
            </w:r>
          </w:p>
        </w:tc>
      </w:tr>
      <w:tr w:rsidR="005A73C0" w:rsidRPr="00951AB1" w14:paraId="7E8A17D7" w14:textId="77777777" w:rsidTr="004004C5">
        <w:trPr>
          <w:trHeight w:val="293"/>
        </w:trPr>
        <w:tc>
          <w:tcPr>
            <w:tcW w:w="2245" w:type="pct"/>
            <w:vAlign w:val="center"/>
            <w:hideMark/>
          </w:tcPr>
          <w:p w14:paraId="35950883" w14:textId="77777777" w:rsidR="00B77260" w:rsidRPr="00951AB1" w:rsidRDefault="00B77260" w:rsidP="000A5389">
            <w:pPr>
              <w:spacing w:line="240" w:lineRule="auto"/>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Red marítima</w:t>
            </w:r>
          </w:p>
        </w:tc>
        <w:tc>
          <w:tcPr>
            <w:tcW w:w="965" w:type="pct"/>
            <w:noWrap/>
            <w:vAlign w:val="center"/>
            <w:hideMark/>
          </w:tcPr>
          <w:p w14:paraId="317455CB" w14:textId="7FC146EB" w:rsidR="00B77260" w:rsidRPr="00951AB1" w:rsidRDefault="00B77260" w:rsidP="000A5389">
            <w:pPr>
              <w:spacing w:line="240" w:lineRule="auto"/>
              <w:jc w:val="right"/>
              <w:rPr>
                <w:rFonts w:eastAsia="Times New Roman" w:cs="Times New Roman"/>
                <w:color w:val="000000"/>
                <w:kern w:val="0"/>
                <w:lang w:eastAsia="es-CO"/>
                <w14:ligatures w14:val="none"/>
              </w:rPr>
            </w:pPr>
            <w:r w:rsidRPr="00951AB1">
              <w:rPr>
                <w:rFonts w:eastAsia="Times New Roman" w:cs="Times New Roman"/>
                <w:color w:val="000000"/>
                <w:kern w:val="0"/>
                <w:lang w:eastAsia="es-CO"/>
                <w14:ligatures w14:val="none"/>
              </w:rPr>
              <w:t> </w:t>
            </w:r>
            <w:r w:rsidR="008507F7" w:rsidRPr="00951AB1">
              <w:rPr>
                <w:rFonts w:eastAsia="Times New Roman" w:cs="Times New Roman"/>
                <w:b/>
                <w:bCs/>
                <w:color w:val="000000"/>
                <w:kern w:val="0"/>
                <w:lang w:eastAsia="es-CO"/>
                <w14:ligatures w14:val="none"/>
              </w:rPr>
              <w:t> </w:t>
            </w:r>
            <w:r w:rsidR="008507F7" w:rsidRPr="00951AB1">
              <w:rPr>
                <w:rFonts w:eastAsia="Times New Roman" w:cs="Times New Roman"/>
                <w:color w:val="000000"/>
                <w:kern w:val="0"/>
                <w:sz w:val="18"/>
                <w:szCs w:val="18"/>
                <w:lang w:eastAsia="es-CO"/>
                <w14:ligatures w14:val="none"/>
              </w:rPr>
              <w:t>0</w:t>
            </w:r>
          </w:p>
        </w:tc>
        <w:tc>
          <w:tcPr>
            <w:tcW w:w="945" w:type="pct"/>
            <w:noWrap/>
            <w:vAlign w:val="center"/>
            <w:hideMark/>
          </w:tcPr>
          <w:p w14:paraId="570C1C2B" w14:textId="77777777" w:rsidR="00B77260" w:rsidRPr="00951AB1" w:rsidRDefault="00B77260"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1.901.453.980</w:t>
            </w:r>
          </w:p>
        </w:tc>
        <w:tc>
          <w:tcPr>
            <w:tcW w:w="845" w:type="pct"/>
            <w:noWrap/>
            <w:vAlign w:val="center"/>
            <w:hideMark/>
          </w:tcPr>
          <w:p w14:paraId="06A18C25" w14:textId="77777777" w:rsidR="00B77260" w:rsidRPr="00951AB1" w:rsidRDefault="00B77260"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1.901.453.980</w:t>
            </w:r>
          </w:p>
        </w:tc>
      </w:tr>
      <w:tr w:rsidR="005A73C0" w:rsidRPr="00951AB1" w14:paraId="50A10D9A" w14:textId="77777777" w:rsidTr="004004C5">
        <w:trPr>
          <w:trHeight w:val="293"/>
        </w:trPr>
        <w:tc>
          <w:tcPr>
            <w:tcW w:w="2245" w:type="pct"/>
            <w:vAlign w:val="center"/>
            <w:hideMark/>
          </w:tcPr>
          <w:p w14:paraId="12C1A059" w14:textId="77777777" w:rsidR="00B77260" w:rsidRPr="00951AB1" w:rsidRDefault="00B77260" w:rsidP="000A5389">
            <w:pPr>
              <w:spacing w:line="240" w:lineRule="auto"/>
              <w:rPr>
                <w:rFonts w:eastAsia="Times New Roman" w:cs="Times New Roman"/>
                <w:b/>
                <w:bCs/>
                <w:color w:val="000000"/>
                <w:kern w:val="0"/>
                <w:sz w:val="18"/>
                <w:szCs w:val="18"/>
                <w:lang w:eastAsia="es-CO"/>
                <w14:ligatures w14:val="none"/>
              </w:rPr>
            </w:pPr>
            <w:r w:rsidRPr="00951AB1">
              <w:rPr>
                <w:rFonts w:eastAsia="Times New Roman" w:cs="Times New Roman"/>
                <w:b/>
                <w:bCs/>
                <w:color w:val="000000"/>
                <w:kern w:val="0"/>
                <w:sz w:val="18"/>
                <w:szCs w:val="18"/>
                <w:lang w:eastAsia="es-CO"/>
                <w14:ligatures w14:val="none"/>
              </w:rPr>
              <w:t>GRUPO PORTUARIO S.A.</w:t>
            </w:r>
          </w:p>
        </w:tc>
        <w:tc>
          <w:tcPr>
            <w:tcW w:w="965" w:type="pct"/>
            <w:noWrap/>
            <w:vAlign w:val="center"/>
            <w:hideMark/>
          </w:tcPr>
          <w:p w14:paraId="293138F2" w14:textId="77777777" w:rsidR="00B77260" w:rsidRPr="00951AB1" w:rsidRDefault="00B77260" w:rsidP="000A5389">
            <w:pPr>
              <w:spacing w:line="240" w:lineRule="auto"/>
              <w:jc w:val="right"/>
              <w:rPr>
                <w:rFonts w:eastAsia="Times New Roman" w:cs="Times New Roman"/>
                <w:b/>
                <w:bCs/>
                <w:color w:val="000000"/>
                <w:kern w:val="0"/>
                <w:sz w:val="18"/>
                <w:szCs w:val="18"/>
                <w:lang w:eastAsia="es-CO"/>
                <w14:ligatures w14:val="none"/>
              </w:rPr>
            </w:pPr>
            <w:r w:rsidRPr="00951AB1">
              <w:rPr>
                <w:rFonts w:eastAsia="Times New Roman" w:cs="Times New Roman"/>
                <w:b/>
                <w:bCs/>
                <w:color w:val="000000"/>
                <w:kern w:val="0"/>
                <w:sz w:val="18"/>
                <w:szCs w:val="18"/>
                <w:lang w:eastAsia="es-CO"/>
                <w14:ligatures w14:val="none"/>
              </w:rPr>
              <w:t>18.395.778.418</w:t>
            </w:r>
          </w:p>
        </w:tc>
        <w:tc>
          <w:tcPr>
            <w:tcW w:w="945" w:type="pct"/>
            <w:noWrap/>
            <w:vAlign w:val="center"/>
            <w:hideMark/>
          </w:tcPr>
          <w:p w14:paraId="606261BF" w14:textId="77777777" w:rsidR="00B77260" w:rsidRPr="00951AB1" w:rsidRDefault="00B77260" w:rsidP="000A5389">
            <w:pPr>
              <w:spacing w:line="240" w:lineRule="auto"/>
              <w:jc w:val="right"/>
              <w:rPr>
                <w:rFonts w:eastAsia="Times New Roman" w:cs="Times New Roman"/>
                <w:b/>
                <w:bCs/>
                <w:color w:val="000000"/>
                <w:kern w:val="0"/>
                <w:sz w:val="18"/>
                <w:szCs w:val="18"/>
                <w:lang w:eastAsia="es-CO"/>
                <w14:ligatures w14:val="none"/>
              </w:rPr>
            </w:pPr>
            <w:r w:rsidRPr="00951AB1">
              <w:rPr>
                <w:rFonts w:eastAsia="Times New Roman" w:cs="Times New Roman"/>
                <w:b/>
                <w:bCs/>
                <w:color w:val="000000"/>
                <w:kern w:val="0"/>
                <w:sz w:val="18"/>
                <w:szCs w:val="18"/>
                <w:lang w:eastAsia="es-CO"/>
                <w14:ligatures w14:val="none"/>
              </w:rPr>
              <w:t>22.908.061.598</w:t>
            </w:r>
          </w:p>
        </w:tc>
        <w:tc>
          <w:tcPr>
            <w:tcW w:w="845" w:type="pct"/>
            <w:noWrap/>
            <w:vAlign w:val="center"/>
            <w:hideMark/>
          </w:tcPr>
          <w:p w14:paraId="394CC151" w14:textId="77777777" w:rsidR="00B77260" w:rsidRPr="00951AB1" w:rsidRDefault="00B77260" w:rsidP="000A5389">
            <w:pPr>
              <w:spacing w:line="240" w:lineRule="auto"/>
              <w:jc w:val="right"/>
              <w:rPr>
                <w:rFonts w:eastAsia="Times New Roman" w:cs="Times New Roman"/>
                <w:b/>
                <w:bCs/>
                <w:color w:val="000000"/>
                <w:kern w:val="0"/>
                <w:sz w:val="18"/>
                <w:szCs w:val="18"/>
                <w:lang w:eastAsia="es-CO"/>
                <w14:ligatures w14:val="none"/>
              </w:rPr>
            </w:pPr>
            <w:r w:rsidRPr="00951AB1">
              <w:rPr>
                <w:rFonts w:eastAsia="Times New Roman" w:cs="Times New Roman"/>
                <w:b/>
                <w:bCs/>
                <w:color w:val="000000"/>
                <w:kern w:val="0"/>
                <w:sz w:val="18"/>
                <w:szCs w:val="18"/>
                <w:lang w:eastAsia="es-CO"/>
                <w14:ligatures w14:val="none"/>
              </w:rPr>
              <w:t>41.303.840.017</w:t>
            </w:r>
          </w:p>
        </w:tc>
      </w:tr>
      <w:tr w:rsidR="005A73C0" w:rsidRPr="00951AB1" w14:paraId="24810AEC" w14:textId="77777777" w:rsidTr="004004C5">
        <w:trPr>
          <w:trHeight w:val="293"/>
        </w:trPr>
        <w:tc>
          <w:tcPr>
            <w:tcW w:w="2245" w:type="pct"/>
            <w:vAlign w:val="center"/>
            <w:hideMark/>
          </w:tcPr>
          <w:p w14:paraId="4D93AA3B" w14:textId="77777777" w:rsidR="00B77260" w:rsidRPr="00951AB1" w:rsidRDefault="00B77260" w:rsidP="000A5389">
            <w:pPr>
              <w:spacing w:line="240" w:lineRule="auto"/>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Activos intangibles en concesión</w:t>
            </w:r>
          </w:p>
        </w:tc>
        <w:tc>
          <w:tcPr>
            <w:tcW w:w="965" w:type="pct"/>
            <w:noWrap/>
            <w:vAlign w:val="center"/>
            <w:hideMark/>
          </w:tcPr>
          <w:p w14:paraId="34F678BE" w14:textId="77777777" w:rsidR="00B77260" w:rsidRPr="00951AB1" w:rsidRDefault="00B77260"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110.217.400</w:t>
            </w:r>
          </w:p>
        </w:tc>
        <w:tc>
          <w:tcPr>
            <w:tcW w:w="945" w:type="pct"/>
            <w:noWrap/>
            <w:vAlign w:val="center"/>
            <w:hideMark/>
          </w:tcPr>
          <w:p w14:paraId="6E82ECA9" w14:textId="4833D40B" w:rsidR="00B77260" w:rsidRPr="00951AB1" w:rsidRDefault="00B77260" w:rsidP="000A5389">
            <w:pPr>
              <w:spacing w:line="240" w:lineRule="auto"/>
              <w:jc w:val="right"/>
              <w:rPr>
                <w:rFonts w:eastAsia="Times New Roman" w:cs="Times New Roman"/>
                <w:color w:val="000000"/>
                <w:kern w:val="0"/>
                <w:lang w:eastAsia="es-CO"/>
                <w14:ligatures w14:val="none"/>
              </w:rPr>
            </w:pPr>
            <w:r w:rsidRPr="00951AB1">
              <w:rPr>
                <w:rFonts w:eastAsia="Times New Roman" w:cs="Times New Roman"/>
                <w:color w:val="000000"/>
                <w:kern w:val="0"/>
                <w:lang w:eastAsia="es-CO"/>
                <w14:ligatures w14:val="none"/>
              </w:rPr>
              <w:t> </w:t>
            </w:r>
            <w:r w:rsidR="008507F7" w:rsidRPr="00951AB1">
              <w:rPr>
                <w:rFonts w:eastAsia="Times New Roman" w:cs="Times New Roman"/>
                <w:color w:val="000000"/>
                <w:kern w:val="0"/>
                <w:sz w:val="18"/>
                <w:szCs w:val="18"/>
                <w:lang w:eastAsia="es-CO"/>
                <w14:ligatures w14:val="none"/>
              </w:rPr>
              <w:t>0</w:t>
            </w:r>
          </w:p>
        </w:tc>
        <w:tc>
          <w:tcPr>
            <w:tcW w:w="845" w:type="pct"/>
            <w:noWrap/>
            <w:vAlign w:val="center"/>
            <w:hideMark/>
          </w:tcPr>
          <w:p w14:paraId="2FBDEEDB" w14:textId="77777777" w:rsidR="00B77260" w:rsidRPr="00951AB1" w:rsidRDefault="00B77260"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110.217.400</w:t>
            </w:r>
          </w:p>
        </w:tc>
      </w:tr>
      <w:tr w:rsidR="005A73C0" w:rsidRPr="00951AB1" w14:paraId="3EEC6081" w14:textId="77777777" w:rsidTr="004004C5">
        <w:trPr>
          <w:trHeight w:val="293"/>
        </w:trPr>
        <w:tc>
          <w:tcPr>
            <w:tcW w:w="2245" w:type="pct"/>
            <w:vAlign w:val="center"/>
            <w:hideMark/>
          </w:tcPr>
          <w:p w14:paraId="058CBE87" w14:textId="77777777" w:rsidR="00B77260" w:rsidRPr="00951AB1" w:rsidRDefault="00B77260" w:rsidP="000A5389">
            <w:pPr>
              <w:spacing w:line="240" w:lineRule="auto"/>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Propiedades, Plan y Equipo</w:t>
            </w:r>
          </w:p>
        </w:tc>
        <w:tc>
          <w:tcPr>
            <w:tcW w:w="965" w:type="pct"/>
            <w:noWrap/>
            <w:vAlign w:val="center"/>
            <w:hideMark/>
          </w:tcPr>
          <w:p w14:paraId="0375FCC4" w14:textId="77777777" w:rsidR="00B77260" w:rsidRPr="00951AB1" w:rsidRDefault="00B77260"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4.381.026.229</w:t>
            </w:r>
          </w:p>
        </w:tc>
        <w:tc>
          <w:tcPr>
            <w:tcW w:w="945" w:type="pct"/>
            <w:noWrap/>
            <w:vAlign w:val="center"/>
            <w:hideMark/>
          </w:tcPr>
          <w:p w14:paraId="606E95C3" w14:textId="77777777" w:rsidR="00B77260" w:rsidRPr="00951AB1" w:rsidRDefault="00B77260"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4.381.026.229</w:t>
            </w:r>
          </w:p>
        </w:tc>
        <w:tc>
          <w:tcPr>
            <w:tcW w:w="845" w:type="pct"/>
            <w:noWrap/>
            <w:vAlign w:val="center"/>
            <w:hideMark/>
          </w:tcPr>
          <w:p w14:paraId="0D743A47" w14:textId="77777777" w:rsidR="00B77260" w:rsidRPr="00951AB1" w:rsidRDefault="00B77260"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8.762.052.458</w:t>
            </w:r>
          </w:p>
        </w:tc>
      </w:tr>
      <w:tr w:rsidR="005A73C0" w:rsidRPr="00951AB1" w14:paraId="36B181D5" w14:textId="77777777" w:rsidTr="004004C5">
        <w:trPr>
          <w:trHeight w:val="293"/>
        </w:trPr>
        <w:tc>
          <w:tcPr>
            <w:tcW w:w="2245" w:type="pct"/>
            <w:vAlign w:val="center"/>
            <w:hideMark/>
          </w:tcPr>
          <w:p w14:paraId="0D3EFCDF" w14:textId="77777777" w:rsidR="00B77260" w:rsidRPr="00951AB1" w:rsidRDefault="00B77260" w:rsidP="000A5389">
            <w:pPr>
              <w:spacing w:line="240" w:lineRule="auto"/>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Red marítima</w:t>
            </w:r>
          </w:p>
        </w:tc>
        <w:tc>
          <w:tcPr>
            <w:tcW w:w="965" w:type="pct"/>
            <w:noWrap/>
            <w:vAlign w:val="center"/>
            <w:hideMark/>
          </w:tcPr>
          <w:p w14:paraId="4477BFD8" w14:textId="77777777" w:rsidR="00B77260" w:rsidRPr="00951AB1" w:rsidRDefault="00B77260"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13.904.534.789</w:t>
            </w:r>
          </w:p>
        </w:tc>
        <w:tc>
          <w:tcPr>
            <w:tcW w:w="945" w:type="pct"/>
            <w:noWrap/>
            <w:vAlign w:val="center"/>
            <w:hideMark/>
          </w:tcPr>
          <w:p w14:paraId="41078A39" w14:textId="77777777" w:rsidR="00B77260" w:rsidRPr="00951AB1" w:rsidRDefault="00B77260"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18.527.035.369</w:t>
            </w:r>
          </w:p>
        </w:tc>
        <w:tc>
          <w:tcPr>
            <w:tcW w:w="845" w:type="pct"/>
            <w:noWrap/>
            <w:vAlign w:val="center"/>
            <w:hideMark/>
          </w:tcPr>
          <w:p w14:paraId="594E94DB" w14:textId="77777777" w:rsidR="00B77260" w:rsidRPr="00951AB1" w:rsidRDefault="00B77260"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32.431.570.159</w:t>
            </w:r>
          </w:p>
        </w:tc>
      </w:tr>
      <w:tr w:rsidR="005A73C0" w:rsidRPr="00951AB1" w14:paraId="755BA562" w14:textId="77777777" w:rsidTr="004004C5">
        <w:trPr>
          <w:trHeight w:val="293"/>
        </w:trPr>
        <w:tc>
          <w:tcPr>
            <w:tcW w:w="2245" w:type="pct"/>
            <w:vAlign w:val="center"/>
            <w:hideMark/>
          </w:tcPr>
          <w:p w14:paraId="1B986F35" w14:textId="77777777" w:rsidR="00B77260" w:rsidRPr="00951AB1" w:rsidRDefault="00B77260" w:rsidP="000A5389">
            <w:pPr>
              <w:spacing w:line="240" w:lineRule="auto"/>
              <w:rPr>
                <w:rFonts w:eastAsia="Times New Roman" w:cs="Times New Roman"/>
                <w:b/>
                <w:bCs/>
                <w:color w:val="000000"/>
                <w:kern w:val="0"/>
                <w:sz w:val="18"/>
                <w:szCs w:val="18"/>
                <w:lang w:eastAsia="es-CO"/>
                <w14:ligatures w14:val="none"/>
              </w:rPr>
            </w:pPr>
            <w:r w:rsidRPr="00951AB1">
              <w:rPr>
                <w:rFonts w:eastAsia="Times New Roman" w:cs="Times New Roman"/>
                <w:b/>
                <w:bCs/>
                <w:color w:val="000000"/>
                <w:kern w:val="0"/>
                <w:sz w:val="18"/>
                <w:szCs w:val="18"/>
                <w:lang w:eastAsia="es-CO"/>
                <w14:ligatures w14:val="none"/>
              </w:rPr>
              <w:t>CERREJON ZONA NORTE S A</w:t>
            </w:r>
          </w:p>
        </w:tc>
        <w:tc>
          <w:tcPr>
            <w:tcW w:w="965" w:type="pct"/>
            <w:noWrap/>
            <w:vAlign w:val="center"/>
            <w:hideMark/>
          </w:tcPr>
          <w:p w14:paraId="41EEF5EE" w14:textId="77777777" w:rsidR="00B77260" w:rsidRPr="00951AB1" w:rsidRDefault="00B77260" w:rsidP="000A5389">
            <w:pPr>
              <w:spacing w:line="240" w:lineRule="auto"/>
              <w:jc w:val="right"/>
              <w:rPr>
                <w:rFonts w:eastAsia="Times New Roman" w:cs="Times New Roman"/>
                <w:b/>
                <w:bCs/>
                <w:color w:val="000000"/>
                <w:kern w:val="0"/>
                <w:sz w:val="18"/>
                <w:szCs w:val="18"/>
                <w:lang w:eastAsia="es-CO"/>
                <w14:ligatures w14:val="none"/>
              </w:rPr>
            </w:pPr>
            <w:r w:rsidRPr="00951AB1">
              <w:rPr>
                <w:rFonts w:eastAsia="Times New Roman" w:cs="Times New Roman"/>
                <w:b/>
                <w:bCs/>
                <w:color w:val="000000"/>
                <w:kern w:val="0"/>
                <w:sz w:val="18"/>
                <w:szCs w:val="18"/>
                <w:lang w:eastAsia="es-CO"/>
                <w14:ligatures w14:val="none"/>
              </w:rPr>
              <w:t>164.447.933.201</w:t>
            </w:r>
          </w:p>
        </w:tc>
        <w:tc>
          <w:tcPr>
            <w:tcW w:w="945" w:type="pct"/>
            <w:noWrap/>
            <w:vAlign w:val="center"/>
            <w:hideMark/>
          </w:tcPr>
          <w:p w14:paraId="075D95B7" w14:textId="77777777" w:rsidR="00B77260" w:rsidRPr="00951AB1" w:rsidRDefault="00B77260" w:rsidP="000A5389">
            <w:pPr>
              <w:spacing w:line="240" w:lineRule="auto"/>
              <w:jc w:val="right"/>
              <w:rPr>
                <w:rFonts w:eastAsia="Times New Roman" w:cs="Times New Roman"/>
                <w:b/>
                <w:bCs/>
                <w:color w:val="000000"/>
                <w:kern w:val="0"/>
                <w:sz w:val="18"/>
                <w:szCs w:val="18"/>
                <w:lang w:eastAsia="es-CO"/>
                <w14:ligatures w14:val="none"/>
              </w:rPr>
            </w:pPr>
            <w:r w:rsidRPr="00951AB1">
              <w:rPr>
                <w:rFonts w:eastAsia="Times New Roman" w:cs="Times New Roman"/>
                <w:b/>
                <w:bCs/>
                <w:color w:val="000000"/>
                <w:kern w:val="0"/>
                <w:sz w:val="18"/>
                <w:szCs w:val="18"/>
                <w:lang w:eastAsia="es-CO"/>
                <w14:ligatures w14:val="none"/>
              </w:rPr>
              <w:t>397.214.676.554</w:t>
            </w:r>
          </w:p>
        </w:tc>
        <w:tc>
          <w:tcPr>
            <w:tcW w:w="845" w:type="pct"/>
            <w:noWrap/>
            <w:vAlign w:val="center"/>
            <w:hideMark/>
          </w:tcPr>
          <w:p w14:paraId="2C453053" w14:textId="77777777" w:rsidR="00B77260" w:rsidRPr="00951AB1" w:rsidRDefault="00B77260" w:rsidP="000A5389">
            <w:pPr>
              <w:spacing w:line="240" w:lineRule="auto"/>
              <w:jc w:val="right"/>
              <w:rPr>
                <w:rFonts w:eastAsia="Times New Roman" w:cs="Times New Roman"/>
                <w:b/>
                <w:bCs/>
                <w:color w:val="000000"/>
                <w:kern w:val="0"/>
                <w:sz w:val="18"/>
                <w:szCs w:val="18"/>
                <w:lang w:eastAsia="es-CO"/>
                <w14:ligatures w14:val="none"/>
              </w:rPr>
            </w:pPr>
            <w:r w:rsidRPr="00951AB1">
              <w:rPr>
                <w:rFonts w:eastAsia="Times New Roman" w:cs="Times New Roman"/>
                <w:b/>
                <w:bCs/>
                <w:color w:val="000000"/>
                <w:kern w:val="0"/>
                <w:sz w:val="18"/>
                <w:szCs w:val="18"/>
                <w:lang w:eastAsia="es-CO"/>
                <w14:ligatures w14:val="none"/>
              </w:rPr>
              <w:t>561.662.609.755</w:t>
            </w:r>
          </w:p>
        </w:tc>
      </w:tr>
      <w:tr w:rsidR="005A73C0" w:rsidRPr="00951AB1" w14:paraId="05F9DDE8" w14:textId="77777777" w:rsidTr="004004C5">
        <w:trPr>
          <w:trHeight w:val="293"/>
        </w:trPr>
        <w:tc>
          <w:tcPr>
            <w:tcW w:w="2245" w:type="pct"/>
            <w:vAlign w:val="center"/>
            <w:hideMark/>
          </w:tcPr>
          <w:p w14:paraId="57E49A82" w14:textId="77777777" w:rsidR="00B77260" w:rsidRPr="00951AB1" w:rsidRDefault="00B77260" w:rsidP="000A5389">
            <w:pPr>
              <w:spacing w:line="240" w:lineRule="auto"/>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Propiedades, Plan y Equipo</w:t>
            </w:r>
          </w:p>
        </w:tc>
        <w:tc>
          <w:tcPr>
            <w:tcW w:w="965" w:type="pct"/>
            <w:noWrap/>
            <w:vAlign w:val="center"/>
            <w:hideMark/>
          </w:tcPr>
          <w:p w14:paraId="78085B71" w14:textId="77777777" w:rsidR="00B77260" w:rsidRPr="00951AB1" w:rsidRDefault="00B77260"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232.766.743.353</w:t>
            </w:r>
          </w:p>
        </w:tc>
        <w:tc>
          <w:tcPr>
            <w:tcW w:w="945" w:type="pct"/>
            <w:noWrap/>
            <w:vAlign w:val="center"/>
            <w:hideMark/>
          </w:tcPr>
          <w:p w14:paraId="73A905AB" w14:textId="77777777" w:rsidR="00B77260" w:rsidRPr="00951AB1" w:rsidRDefault="00B77260"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229.700.133.774</w:t>
            </w:r>
          </w:p>
        </w:tc>
        <w:tc>
          <w:tcPr>
            <w:tcW w:w="845" w:type="pct"/>
            <w:noWrap/>
            <w:vAlign w:val="center"/>
            <w:hideMark/>
          </w:tcPr>
          <w:p w14:paraId="364B68A2" w14:textId="77777777" w:rsidR="00B77260" w:rsidRPr="00951AB1" w:rsidRDefault="00B77260"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462.466.877.127</w:t>
            </w:r>
          </w:p>
        </w:tc>
      </w:tr>
      <w:tr w:rsidR="005A73C0" w:rsidRPr="00951AB1" w14:paraId="4C62BA6A" w14:textId="77777777" w:rsidTr="004004C5">
        <w:trPr>
          <w:trHeight w:val="293"/>
        </w:trPr>
        <w:tc>
          <w:tcPr>
            <w:tcW w:w="2245" w:type="pct"/>
            <w:vAlign w:val="center"/>
            <w:hideMark/>
          </w:tcPr>
          <w:p w14:paraId="5DC2B298" w14:textId="77777777" w:rsidR="00B77260" w:rsidRPr="00951AB1" w:rsidRDefault="00B77260" w:rsidP="000A5389">
            <w:pPr>
              <w:spacing w:line="240" w:lineRule="auto"/>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Red marítima</w:t>
            </w:r>
          </w:p>
        </w:tc>
        <w:tc>
          <w:tcPr>
            <w:tcW w:w="965" w:type="pct"/>
            <w:noWrap/>
            <w:vAlign w:val="center"/>
            <w:hideMark/>
          </w:tcPr>
          <w:p w14:paraId="114A5C98" w14:textId="77777777" w:rsidR="00B77260" w:rsidRPr="00951AB1" w:rsidRDefault="00B77260"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164.937.559.940</w:t>
            </w:r>
          </w:p>
        </w:tc>
        <w:tc>
          <w:tcPr>
            <w:tcW w:w="945" w:type="pct"/>
            <w:noWrap/>
            <w:vAlign w:val="center"/>
            <w:hideMark/>
          </w:tcPr>
          <w:p w14:paraId="6CCEF1DB" w14:textId="77777777" w:rsidR="00B77260" w:rsidRPr="00951AB1" w:rsidRDefault="00B77260"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167.514.542.780</w:t>
            </w:r>
          </w:p>
        </w:tc>
        <w:tc>
          <w:tcPr>
            <w:tcW w:w="845" w:type="pct"/>
            <w:noWrap/>
            <w:vAlign w:val="center"/>
            <w:hideMark/>
          </w:tcPr>
          <w:p w14:paraId="5A215911" w14:textId="77777777" w:rsidR="00B77260" w:rsidRPr="00951AB1" w:rsidRDefault="00B77260"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332.452.102.720</w:t>
            </w:r>
          </w:p>
        </w:tc>
      </w:tr>
      <w:tr w:rsidR="005A73C0" w:rsidRPr="00951AB1" w14:paraId="771268C0" w14:textId="77777777" w:rsidTr="004004C5">
        <w:trPr>
          <w:trHeight w:val="293"/>
        </w:trPr>
        <w:tc>
          <w:tcPr>
            <w:tcW w:w="2245" w:type="pct"/>
            <w:vAlign w:val="center"/>
            <w:hideMark/>
          </w:tcPr>
          <w:p w14:paraId="02965B2A" w14:textId="77777777" w:rsidR="00B77260" w:rsidRPr="00951AB1" w:rsidRDefault="00B77260" w:rsidP="000A5389">
            <w:pPr>
              <w:spacing w:line="240" w:lineRule="auto"/>
              <w:rPr>
                <w:rFonts w:eastAsia="Times New Roman" w:cs="Times New Roman"/>
                <w:b/>
                <w:bCs/>
                <w:color w:val="000000"/>
                <w:kern w:val="0"/>
                <w:sz w:val="18"/>
                <w:szCs w:val="18"/>
                <w:lang w:eastAsia="es-CO"/>
                <w14:ligatures w14:val="none"/>
              </w:rPr>
            </w:pPr>
            <w:r w:rsidRPr="00951AB1">
              <w:rPr>
                <w:rFonts w:eastAsia="Times New Roman" w:cs="Times New Roman"/>
                <w:b/>
                <w:bCs/>
                <w:color w:val="000000"/>
                <w:kern w:val="0"/>
                <w:sz w:val="18"/>
                <w:szCs w:val="18"/>
                <w:lang w:eastAsia="es-CO"/>
                <w14:ligatures w14:val="none"/>
              </w:rPr>
              <w:t>SOCIEDAD PORTUARIA PALERMO S. A</w:t>
            </w:r>
          </w:p>
        </w:tc>
        <w:tc>
          <w:tcPr>
            <w:tcW w:w="965" w:type="pct"/>
            <w:noWrap/>
            <w:vAlign w:val="center"/>
            <w:hideMark/>
          </w:tcPr>
          <w:p w14:paraId="5D3407E3" w14:textId="77777777" w:rsidR="00B77260" w:rsidRPr="00951AB1" w:rsidRDefault="00B77260" w:rsidP="000A5389">
            <w:pPr>
              <w:spacing w:line="240" w:lineRule="auto"/>
              <w:jc w:val="right"/>
              <w:rPr>
                <w:rFonts w:eastAsia="Times New Roman" w:cs="Times New Roman"/>
                <w:b/>
                <w:bCs/>
                <w:color w:val="000000"/>
                <w:kern w:val="0"/>
                <w:sz w:val="18"/>
                <w:szCs w:val="18"/>
                <w:lang w:eastAsia="es-CO"/>
                <w14:ligatures w14:val="none"/>
              </w:rPr>
            </w:pPr>
            <w:r w:rsidRPr="00951AB1">
              <w:rPr>
                <w:rFonts w:eastAsia="Times New Roman" w:cs="Times New Roman"/>
                <w:b/>
                <w:bCs/>
                <w:color w:val="000000"/>
                <w:kern w:val="0"/>
                <w:sz w:val="18"/>
                <w:szCs w:val="18"/>
                <w:lang w:eastAsia="es-CO"/>
                <w14:ligatures w14:val="none"/>
              </w:rPr>
              <w:t>610.871.644</w:t>
            </w:r>
          </w:p>
        </w:tc>
        <w:tc>
          <w:tcPr>
            <w:tcW w:w="945" w:type="pct"/>
            <w:noWrap/>
            <w:vAlign w:val="center"/>
            <w:hideMark/>
          </w:tcPr>
          <w:p w14:paraId="301F810F" w14:textId="77777777" w:rsidR="00B77260" w:rsidRPr="00951AB1" w:rsidRDefault="00B77260" w:rsidP="000A5389">
            <w:pPr>
              <w:spacing w:line="240" w:lineRule="auto"/>
              <w:jc w:val="right"/>
              <w:rPr>
                <w:rFonts w:eastAsia="Times New Roman" w:cs="Times New Roman"/>
                <w:b/>
                <w:bCs/>
                <w:color w:val="000000"/>
                <w:kern w:val="0"/>
                <w:sz w:val="18"/>
                <w:szCs w:val="18"/>
                <w:lang w:eastAsia="es-CO"/>
                <w14:ligatures w14:val="none"/>
              </w:rPr>
            </w:pPr>
            <w:r w:rsidRPr="00951AB1">
              <w:rPr>
                <w:rFonts w:eastAsia="Times New Roman" w:cs="Times New Roman"/>
                <w:b/>
                <w:bCs/>
                <w:color w:val="000000"/>
                <w:kern w:val="0"/>
                <w:sz w:val="18"/>
                <w:szCs w:val="18"/>
                <w:lang w:eastAsia="es-CO"/>
                <w14:ligatures w14:val="none"/>
              </w:rPr>
              <w:t>610.871.644</w:t>
            </w:r>
          </w:p>
        </w:tc>
        <w:tc>
          <w:tcPr>
            <w:tcW w:w="845" w:type="pct"/>
            <w:noWrap/>
            <w:vAlign w:val="center"/>
            <w:hideMark/>
          </w:tcPr>
          <w:p w14:paraId="43A6F504" w14:textId="77777777" w:rsidR="00B77260" w:rsidRPr="00951AB1" w:rsidRDefault="00B77260" w:rsidP="000A5389">
            <w:pPr>
              <w:spacing w:line="240" w:lineRule="auto"/>
              <w:jc w:val="right"/>
              <w:rPr>
                <w:rFonts w:eastAsia="Times New Roman" w:cs="Times New Roman"/>
                <w:b/>
                <w:bCs/>
                <w:color w:val="000000"/>
                <w:kern w:val="0"/>
                <w:sz w:val="18"/>
                <w:szCs w:val="18"/>
                <w:lang w:eastAsia="es-CO"/>
                <w14:ligatures w14:val="none"/>
              </w:rPr>
            </w:pPr>
            <w:r w:rsidRPr="00951AB1">
              <w:rPr>
                <w:rFonts w:eastAsia="Times New Roman" w:cs="Times New Roman"/>
                <w:b/>
                <w:bCs/>
                <w:color w:val="000000"/>
                <w:kern w:val="0"/>
                <w:sz w:val="18"/>
                <w:szCs w:val="18"/>
                <w:lang w:eastAsia="es-CO"/>
                <w14:ligatures w14:val="none"/>
              </w:rPr>
              <w:t>1.221.743.289</w:t>
            </w:r>
          </w:p>
        </w:tc>
      </w:tr>
      <w:tr w:rsidR="005A73C0" w:rsidRPr="00951AB1" w14:paraId="2F4E72EC" w14:textId="77777777" w:rsidTr="004004C5">
        <w:trPr>
          <w:trHeight w:val="293"/>
        </w:trPr>
        <w:tc>
          <w:tcPr>
            <w:tcW w:w="2245" w:type="pct"/>
            <w:vAlign w:val="center"/>
            <w:hideMark/>
          </w:tcPr>
          <w:p w14:paraId="184986D6" w14:textId="77777777" w:rsidR="00B77260" w:rsidRPr="00951AB1" w:rsidRDefault="00B77260" w:rsidP="000A5389">
            <w:pPr>
              <w:spacing w:line="240" w:lineRule="auto"/>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Red marítima</w:t>
            </w:r>
          </w:p>
        </w:tc>
        <w:tc>
          <w:tcPr>
            <w:tcW w:w="965" w:type="pct"/>
            <w:noWrap/>
            <w:vAlign w:val="center"/>
            <w:hideMark/>
          </w:tcPr>
          <w:p w14:paraId="57C68799" w14:textId="77777777" w:rsidR="00B77260" w:rsidRPr="00951AB1" w:rsidRDefault="00B77260"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610.871.644</w:t>
            </w:r>
          </w:p>
        </w:tc>
        <w:tc>
          <w:tcPr>
            <w:tcW w:w="945" w:type="pct"/>
            <w:noWrap/>
            <w:vAlign w:val="center"/>
            <w:hideMark/>
          </w:tcPr>
          <w:p w14:paraId="764CD9D6" w14:textId="77777777" w:rsidR="00B77260" w:rsidRPr="00951AB1" w:rsidRDefault="00B77260"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610.871.644</w:t>
            </w:r>
          </w:p>
        </w:tc>
        <w:tc>
          <w:tcPr>
            <w:tcW w:w="845" w:type="pct"/>
            <w:noWrap/>
            <w:vAlign w:val="center"/>
            <w:hideMark/>
          </w:tcPr>
          <w:p w14:paraId="7D4DDE19" w14:textId="77777777" w:rsidR="00B77260" w:rsidRPr="00951AB1" w:rsidRDefault="00B77260"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1.221.743.289</w:t>
            </w:r>
          </w:p>
        </w:tc>
      </w:tr>
      <w:tr w:rsidR="005A73C0" w:rsidRPr="00951AB1" w14:paraId="1B43BDEE" w14:textId="77777777" w:rsidTr="004004C5">
        <w:trPr>
          <w:trHeight w:val="458"/>
        </w:trPr>
        <w:tc>
          <w:tcPr>
            <w:tcW w:w="2245" w:type="pct"/>
            <w:vAlign w:val="center"/>
            <w:hideMark/>
          </w:tcPr>
          <w:p w14:paraId="6F9B9BBA" w14:textId="77777777" w:rsidR="00B77260" w:rsidRPr="00951AB1" w:rsidRDefault="00B77260" w:rsidP="000A5389">
            <w:pPr>
              <w:spacing w:line="240" w:lineRule="auto"/>
              <w:rPr>
                <w:rFonts w:eastAsia="Times New Roman" w:cs="Times New Roman"/>
                <w:b/>
                <w:bCs/>
                <w:color w:val="000000"/>
                <w:kern w:val="0"/>
                <w:sz w:val="18"/>
                <w:szCs w:val="18"/>
                <w:lang w:eastAsia="es-CO"/>
                <w14:ligatures w14:val="none"/>
              </w:rPr>
            </w:pPr>
            <w:r w:rsidRPr="00951AB1">
              <w:rPr>
                <w:rFonts w:eastAsia="Times New Roman" w:cs="Times New Roman"/>
                <w:b/>
                <w:bCs/>
                <w:color w:val="000000"/>
                <w:kern w:val="0"/>
                <w:sz w:val="18"/>
                <w:szCs w:val="18"/>
                <w:lang w:eastAsia="es-CO"/>
                <w14:ligatures w14:val="none"/>
              </w:rPr>
              <w:t>SOCIEDAD PUERTO INDUSTRIAL AGUADULCE S.A.</w:t>
            </w:r>
          </w:p>
        </w:tc>
        <w:tc>
          <w:tcPr>
            <w:tcW w:w="965" w:type="pct"/>
            <w:noWrap/>
            <w:vAlign w:val="center"/>
            <w:hideMark/>
          </w:tcPr>
          <w:p w14:paraId="3FB22029" w14:textId="77777777" w:rsidR="00B77260" w:rsidRPr="00951AB1" w:rsidRDefault="00B77260" w:rsidP="000A5389">
            <w:pPr>
              <w:spacing w:line="240" w:lineRule="auto"/>
              <w:jc w:val="right"/>
              <w:rPr>
                <w:rFonts w:eastAsia="Times New Roman" w:cs="Times New Roman"/>
                <w:b/>
                <w:bCs/>
                <w:color w:val="000000"/>
                <w:kern w:val="0"/>
                <w:sz w:val="18"/>
                <w:szCs w:val="18"/>
                <w:lang w:eastAsia="es-CO"/>
                <w14:ligatures w14:val="none"/>
              </w:rPr>
            </w:pPr>
            <w:r w:rsidRPr="00951AB1">
              <w:rPr>
                <w:rFonts w:eastAsia="Times New Roman" w:cs="Times New Roman"/>
                <w:b/>
                <w:bCs/>
                <w:color w:val="000000"/>
                <w:kern w:val="0"/>
                <w:sz w:val="18"/>
                <w:szCs w:val="18"/>
                <w:lang w:eastAsia="es-CO"/>
                <w14:ligatures w14:val="none"/>
              </w:rPr>
              <w:t>1.277.007.293.516</w:t>
            </w:r>
          </w:p>
        </w:tc>
        <w:tc>
          <w:tcPr>
            <w:tcW w:w="945" w:type="pct"/>
            <w:noWrap/>
            <w:vAlign w:val="center"/>
            <w:hideMark/>
          </w:tcPr>
          <w:p w14:paraId="2F88ACD2" w14:textId="77777777" w:rsidR="00B77260" w:rsidRPr="00951AB1" w:rsidRDefault="00B77260" w:rsidP="000A5389">
            <w:pPr>
              <w:spacing w:line="240" w:lineRule="auto"/>
              <w:jc w:val="right"/>
              <w:rPr>
                <w:rFonts w:eastAsia="Times New Roman" w:cs="Times New Roman"/>
                <w:b/>
                <w:bCs/>
                <w:color w:val="000000"/>
                <w:kern w:val="0"/>
                <w:sz w:val="18"/>
                <w:szCs w:val="18"/>
                <w:lang w:eastAsia="es-CO"/>
                <w14:ligatures w14:val="none"/>
              </w:rPr>
            </w:pPr>
            <w:r w:rsidRPr="00951AB1">
              <w:rPr>
                <w:rFonts w:eastAsia="Times New Roman" w:cs="Times New Roman"/>
                <w:b/>
                <w:bCs/>
                <w:color w:val="000000"/>
                <w:kern w:val="0"/>
                <w:sz w:val="18"/>
                <w:szCs w:val="18"/>
                <w:lang w:eastAsia="es-CO"/>
                <w14:ligatures w14:val="none"/>
              </w:rPr>
              <w:t>1.017.606.710.402</w:t>
            </w:r>
          </w:p>
        </w:tc>
        <w:tc>
          <w:tcPr>
            <w:tcW w:w="845" w:type="pct"/>
            <w:noWrap/>
            <w:vAlign w:val="center"/>
            <w:hideMark/>
          </w:tcPr>
          <w:p w14:paraId="295ACBA8" w14:textId="77777777" w:rsidR="00B77260" w:rsidRPr="00951AB1" w:rsidRDefault="00B77260" w:rsidP="000A5389">
            <w:pPr>
              <w:spacing w:line="240" w:lineRule="auto"/>
              <w:jc w:val="right"/>
              <w:rPr>
                <w:rFonts w:eastAsia="Times New Roman" w:cs="Times New Roman"/>
                <w:b/>
                <w:bCs/>
                <w:color w:val="000000"/>
                <w:kern w:val="0"/>
                <w:sz w:val="18"/>
                <w:szCs w:val="18"/>
                <w:lang w:eastAsia="es-CO"/>
                <w14:ligatures w14:val="none"/>
              </w:rPr>
            </w:pPr>
            <w:r w:rsidRPr="00951AB1">
              <w:rPr>
                <w:rFonts w:eastAsia="Times New Roman" w:cs="Times New Roman"/>
                <w:b/>
                <w:bCs/>
                <w:color w:val="000000"/>
                <w:kern w:val="0"/>
                <w:sz w:val="18"/>
                <w:szCs w:val="18"/>
                <w:lang w:eastAsia="es-CO"/>
                <w14:ligatures w14:val="none"/>
              </w:rPr>
              <w:t>2.294.614.003.918</w:t>
            </w:r>
          </w:p>
        </w:tc>
      </w:tr>
      <w:tr w:rsidR="005A73C0" w:rsidRPr="00951AB1" w14:paraId="02A43473" w14:textId="77777777" w:rsidTr="004004C5">
        <w:trPr>
          <w:trHeight w:val="293"/>
        </w:trPr>
        <w:tc>
          <w:tcPr>
            <w:tcW w:w="2245" w:type="pct"/>
            <w:vAlign w:val="center"/>
            <w:hideMark/>
          </w:tcPr>
          <w:p w14:paraId="10DA1B65" w14:textId="77777777" w:rsidR="00B77260" w:rsidRPr="00951AB1" w:rsidRDefault="00B77260" w:rsidP="000A5389">
            <w:pPr>
              <w:spacing w:line="240" w:lineRule="auto"/>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Propiedades, Plan y Equipo</w:t>
            </w:r>
          </w:p>
        </w:tc>
        <w:tc>
          <w:tcPr>
            <w:tcW w:w="965" w:type="pct"/>
            <w:noWrap/>
            <w:vAlign w:val="center"/>
            <w:hideMark/>
          </w:tcPr>
          <w:p w14:paraId="1A59B38E" w14:textId="77777777" w:rsidR="00B77260" w:rsidRPr="00951AB1" w:rsidRDefault="00B77260"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238.243.926.081</w:t>
            </w:r>
          </w:p>
        </w:tc>
        <w:tc>
          <w:tcPr>
            <w:tcW w:w="945" w:type="pct"/>
            <w:noWrap/>
            <w:vAlign w:val="center"/>
            <w:hideMark/>
          </w:tcPr>
          <w:p w14:paraId="7E4A1B75" w14:textId="77777777" w:rsidR="00B77260" w:rsidRPr="00951AB1" w:rsidRDefault="00B77260"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158.819.262.733</w:t>
            </w:r>
          </w:p>
        </w:tc>
        <w:tc>
          <w:tcPr>
            <w:tcW w:w="845" w:type="pct"/>
            <w:noWrap/>
            <w:vAlign w:val="center"/>
            <w:hideMark/>
          </w:tcPr>
          <w:p w14:paraId="7C0C65A4" w14:textId="77777777" w:rsidR="00B77260" w:rsidRPr="00951AB1" w:rsidRDefault="00B77260"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397.063.188.814</w:t>
            </w:r>
          </w:p>
        </w:tc>
      </w:tr>
      <w:tr w:rsidR="005A73C0" w:rsidRPr="00951AB1" w14:paraId="0625D1B8" w14:textId="77777777" w:rsidTr="004004C5">
        <w:trPr>
          <w:trHeight w:val="293"/>
        </w:trPr>
        <w:tc>
          <w:tcPr>
            <w:tcW w:w="2245" w:type="pct"/>
            <w:vAlign w:val="center"/>
            <w:hideMark/>
          </w:tcPr>
          <w:p w14:paraId="707CDA98" w14:textId="77777777" w:rsidR="00B77260" w:rsidRPr="00951AB1" w:rsidRDefault="00B77260" w:rsidP="000A5389">
            <w:pPr>
              <w:spacing w:line="240" w:lineRule="auto"/>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Red marítima</w:t>
            </w:r>
          </w:p>
        </w:tc>
        <w:tc>
          <w:tcPr>
            <w:tcW w:w="965" w:type="pct"/>
            <w:noWrap/>
            <w:vAlign w:val="center"/>
            <w:hideMark/>
          </w:tcPr>
          <w:p w14:paraId="00DAE99E" w14:textId="77777777" w:rsidR="00B77260" w:rsidRPr="00951AB1" w:rsidRDefault="00B77260"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1.038.763.367.435</w:t>
            </w:r>
          </w:p>
        </w:tc>
        <w:tc>
          <w:tcPr>
            <w:tcW w:w="945" w:type="pct"/>
            <w:noWrap/>
            <w:vAlign w:val="center"/>
            <w:hideMark/>
          </w:tcPr>
          <w:p w14:paraId="69410845" w14:textId="77777777" w:rsidR="00B77260" w:rsidRPr="00951AB1" w:rsidRDefault="00B77260"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858.787.447.669</w:t>
            </w:r>
          </w:p>
        </w:tc>
        <w:tc>
          <w:tcPr>
            <w:tcW w:w="845" w:type="pct"/>
            <w:noWrap/>
            <w:vAlign w:val="center"/>
            <w:hideMark/>
          </w:tcPr>
          <w:p w14:paraId="7EE72FE8" w14:textId="77777777" w:rsidR="00B77260" w:rsidRPr="00951AB1" w:rsidRDefault="00B77260"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1.897.550.815.104</w:t>
            </w:r>
          </w:p>
        </w:tc>
      </w:tr>
      <w:tr w:rsidR="005A73C0" w:rsidRPr="00951AB1" w14:paraId="6DF7E586" w14:textId="77777777" w:rsidTr="004004C5">
        <w:trPr>
          <w:trHeight w:val="293"/>
        </w:trPr>
        <w:tc>
          <w:tcPr>
            <w:tcW w:w="2245" w:type="pct"/>
            <w:vAlign w:val="center"/>
            <w:hideMark/>
          </w:tcPr>
          <w:p w14:paraId="73EB2BD3" w14:textId="77777777" w:rsidR="00B77260" w:rsidRPr="00951AB1" w:rsidRDefault="00B77260" w:rsidP="000A5389">
            <w:pPr>
              <w:spacing w:line="240" w:lineRule="auto"/>
              <w:rPr>
                <w:rFonts w:eastAsia="Times New Roman" w:cs="Times New Roman"/>
                <w:b/>
                <w:bCs/>
                <w:color w:val="000000"/>
                <w:kern w:val="0"/>
                <w:sz w:val="18"/>
                <w:szCs w:val="18"/>
                <w:lang w:eastAsia="es-CO"/>
                <w14:ligatures w14:val="none"/>
              </w:rPr>
            </w:pPr>
            <w:r w:rsidRPr="00951AB1">
              <w:rPr>
                <w:rFonts w:eastAsia="Times New Roman" w:cs="Times New Roman"/>
                <w:b/>
                <w:bCs/>
                <w:color w:val="000000"/>
                <w:kern w:val="0"/>
                <w:sz w:val="18"/>
                <w:szCs w:val="18"/>
                <w:lang w:eastAsia="es-CO"/>
                <w14:ligatures w14:val="none"/>
              </w:rPr>
              <w:t>SOCIEDAD PORTUARIA DE LA PENINSULA</w:t>
            </w:r>
          </w:p>
        </w:tc>
        <w:tc>
          <w:tcPr>
            <w:tcW w:w="965" w:type="pct"/>
            <w:noWrap/>
            <w:vAlign w:val="center"/>
            <w:hideMark/>
          </w:tcPr>
          <w:p w14:paraId="1FFD2F65" w14:textId="77777777" w:rsidR="00B77260" w:rsidRPr="00951AB1" w:rsidRDefault="00B77260" w:rsidP="000A5389">
            <w:pPr>
              <w:spacing w:line="240" w:lineRule="auto"/>
              <w:jc w:val="right"/>
              <w:rPr>
                <w:rFonts w:eastAsia="Times New Roman" w:cs="Times New Roman"/>
                <w:b/>
                <w:bCs/>
                <w:color w:val="000000"/>
                <w:kern w:val="0"/>
                <w:sz w:val="18"/>
                <w:szCs w:val="18"/>
                <w:lang w:eastAsia="es-CO"/>
                <w14:ligatures w14:val="none"/>
              </w:rPr>
            </w:pPr>
            <w:r w:rsidRPr="00951AB1">
              <w:rPr>
                <w:rFonts w:eastAsia="Times New Roman" w:cs="Times New Roman"/>
                <w:b/>
                <w:bCs/>
                <w:color w:val="000000"/>
                <w:kern w:val="0"/>
                <w:sz w:val="18"/>
                <w:szCs w:val="18"/>
                <w:lang w:eastAsia="es-CO"/>
                <w14:ligatures w14:val="none"/>
              </w:rPr>
              <w:t>737.608.100</w:t>
            </w:r>
          </w:p>
        </w:tc>
        <w:tc>
          <w:tcPr>
            <w:tcW w:w="945" w:type="pct"/>
            <w:noWrap/>
            <w:vAlign w:val="center"/>
            <w:hideMark/>
          </w:tcPr>
          <w:p w14:paraId="4F100557" w14:textId="77777777" w:rsidR="00B77260" w:rsidRPr="00951AB1" w:rsidRDefault="00B77260" w:rsidP="000A5389">
            <w:pPr>
              <w:spacing w:line="240" w:lineRule="auto"/>
              <w:jc w:val="right"/>
              <w:rPr>
                <w:rFonts w:eastAsia="Times New Roman" w:cs="Times New Roman"/>
                <w:b/>
                <w:bCs/>
                <w:color w:val="000000"/>
                <w:kern w:val="0"/>
                <w:sz w:val="18"/>
                <w:szCs w:val="18"/>
                <w:lang w:eastAsia="es-CO"/>
                <w14:ligatures w14:val="none"/>
              </w:rPr>
            </w:pPr>
            <w:r w:rsidRPr="00951AB1">
              <w:rPr>
                <w:rFonts w:eastAsia="Times New Roman" w:cs="Times New Roman"/>
                <w:b/>
                <w:bCs/>
                <w:color w:val="000000"/>
                <w:kern w:val="0"/>
                <w:sz w:val="18"/>
                <w:szCs w:val="18"/>
                <w:lang w:eastAsia="es-CO"/>
                <w14:ligatures w14:val="none"/>
              </w:rPr>
              <w:t>737.608.100</w:t>
            </w:r>
          </w:p>
        </w:tc>
        <w:tc>
          <w:tcPr>
            <w:tcW w:w="845" w:type="pct"/>
            <w:noWrap/>
            <w:vAlign w:val="center"/>
            <w:hideMark/>
          </w:tcPr>
          <w:p w14:paraId="34A9B7AB" w14:textId="77777777" w:rsidR="00B77260" w:rsidRPr="00951AB1" w:rsidRDefault="00B77260" w:rsidP="000A5389">
            <w:pPr>
              <w:spacing w:line="240" w:lineRule="auto"/>
              <w:jc w:val="right"/>
              <w:rPr>
                <w:rFonts w:eastAsia="Times New Roman" w:cs="Times New Roman"/>
                <w:b/>
                <w:bCs/>
                <w:color w:val="000000"/>
                <w:kern w:val="0"/>
                <w:sz w:val="18"/>
                <w:szCs w:val="18"/>
                <w:lang w:eastAsia="es-CO"/>
                <w14:ligatures w14:val="none"/>
              </w:rPr>
            </w:pPr>
            <w:r w:rsidRPr="00951AB1">
              <w:rPr>
                <w:rFonts w:eastAsia="Times New Roman" w:cs="Times New Roman"/>
                <w:b/>
                <w:bCs/>
                <w:color w:val="000000"/>
                <w:kern w:val="0"/>
                <w:sz w:val="18"/>
                <w:szCs w:val="18"/>
                <w:lang w:eastAsia="es-CO"/>
                <w14:ligatures w14:val="none"/>
              </w:rPr>
              <w:t>1.475.216.200</w:t>
            </w:r>
          </w:p>
        </w:tc>
      </w:tr>
      <w:tr w:rsidR="005A73C0" w:rsidRPr="00951AB1" w14:paraId="76B88E18" w14:textId="77777777" w:rsidTr="004004C5">
        <w:trPr>
          <w:trHeight w:val="293"/>
        </w:trPr>
        <w:tc>
          <w:tcPr>
            <w:tcW w:w="2245" w:type="pct"/>
            <w:vAlign w:val="center"/>
            <w:hideMark/>
          </w:tcPr>
          <w:p w14:paraId="5A2D2DAE" w14:textId="77777777" w:rsidR="00B77260" w:rsidRPr="00951AB1" w:rsidRDefault="00B77260" w:rsidP="000A5389">
            <w:pPr>
              <w:spacing w:line="240" w:lineRule="auto"/>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Propiedades, Plan y Equipo</w:t>
            </w:r>
          </w:p>
        </w:tc>
        <w:tc>
          <w:tcPr>
            <w:tcW w:w="965" w:type="pct"/>
            <w:noWrap/>
            <w:vAlign w:val="center"/>
            <w:hideMark/>
          </w:tcPr>
          <w:p w14:paraId="123E4A8C" w14:textId="77777777" w:rsidR="00B77260" w:rsidRPr="00951AB1" w:rsidRDefault="00B77260"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27.800.000</w:t>
            </w:r>
          </w:p>
        </w:tc>
        <w:tc>
          <w:tcPr>
            <w:tcW w:w="945" w:type="pct"/>
            <w:noWrap/>
            <w:vAlign w:val="center"/>
            <w:hideMark/>
          </w:tcPr>
          <w:p w14:paraId="7ABEAAA2" w14:textId="77777777" w:rsidR="00B77260" w:rsidRPr="00951AB1" w:rsidRDefault="00B77260"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27.800.000</w:t>
            </w:r>
          </w:p>
        </w:tc>
        <w:tc>
          <w:tcPr>
            <w:tcW w:w="845" w:type="pct"/>
            <w:noWrap/>
            <w:vAlign w:val="center"/>
            <w:hideMark/>
          </w:tcPr>
          <w:p w14:paraId="7FA4F784" w14:textId="77777777" w:rsidR="00B77260" w:rsidRPr="00951AB1" w:rsidRDefault="00B77260"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55.600.000</w:t>
            </w:r>
          </w:p>
        </w:tc>
      </w:tr>
      <w:tr w:rsidR="005A73C0" w:rsidRPr="00951AB1" w14:paraId="67EE10F2" w14:textId="77777777" w:rsidTr="004004C5">
        <w:trPr>
          <w:trHeight w:val="293"/>
        </w:trPr>
        <w:tc>
          <w:tcPr>
            <w:tcW w:w="2245" w:type="pct"/>
            <w:vAlign w:val="center"/>
            <w:hideMark/>
          </w:tcPr>
          <w:p w14:paraId="21301466" w14:textId="77777777" w:rsidR="00B77260" w:rsidRPr="00951AB1" w:rsidRDefault="00B77260" w:rsidP="000A5389">
            <w:pPr>
              <w:spacing w:line="240" w:lineRule="auto"/>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Red marítima</w:t>
            </w:r>
          </w:p>
        </w:tc>
        <w:tc>
          <w:tcPr>
            <w:tcW w:w="965" w:type="pct"/>
            <w:noWrap/>
            <w:vAlign w:val="center"/>
            <w:hideMark/>
          </w:tcPr>
          <w:p w14:paraId="4C8B5343" w14:textId="77777777" w:rsidR="00B77260" w:rsidRPr="00951AB1" w:rsidRDefault="00B77260"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709.808.100</w:t>
            </w:r>
          </w:p>
        </w:tc>
        <w:tc>
          <w:tcPr>
            <w:tcW w:w="945" w:type="pct"/>
            <w:noWrap/>
            <w:vAlign w:val="center"/>
            <w:hideMark/>
          </w:tcPr>
          <w:p w14:paraId="180612C0" w14:textId="77777777" w:rsidR="00B77260" w:rsidRPr="00951AB1" w:rsidRDefault="00B77260"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709.808.100</w:t>
            </w:r>
          </w:p>
        </w:tc>
        <w:tc>
          <w:tcPr>
            <w:tcW w:w="845" w:type="pct"/>
            <w:noWrap/>
            <w:vAlign w:val="center"/>
            <w:hideMark/>
          </w:tcPr>
          <w:p w14:paraId="3C0A0852" w14:textId="77777777" w:rsidR="00B77260" w:rsidRPr="00951AB1" w:rsidRDefault="00B77260"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1.419.616.200</w:t>
            </w:r>
          </w:p>
        </w:tc>
      </w:tr>
      <w:tr w:rsidR="005A73C0" w:rsidRPr="00951AB1" w14:paraId="4211836A" w14:textId="77777777" w:rsidTr="004004C5">
        <w:trPr>
          <w:trHeight w:val="293"/>
        </w:trPr>
        <w:tc>
          <w:tcPr>
            <w:tcW w:w="2245" w:type="pct"/>
            <w:vAlign w:val="center"/>
            <w:hideMark/>
          </w:tcPr>
          <w:p w14:paraId="330D07FB" w14:textId="77777777" w:rsidR="00B77260" w:rsidRPr="00951AB1" w:rsidRDefault="00B77260" w:rsidP="000A5389">
            <w:pPr>
              <w:spacing w:line="240" w:lineRule="auto"/>
              <w:rPr>
                <w:rFonts w:eastAsia="Times New Roman" w:cs="Times New Roman"/>
                <w:b/>
                <w:bCs/>
                <w:color w:val="000000"/>
                <w:kern w:val="0"/>
                <w:sz w:val="18"/>
                <w:szCs w:val="18"/>
                <w:lang w:eastAsia="es-CO"/>
                <w14:ligatures w14:val="none"/>
              </w:rPr>
            </w:pPr>
            <w:r w:rsidRPr="00951AB1">
              <w:rPr>
                <w:rFonts w:eastAsia="Times New Roman" w:cs="Times New Roman"/>
                <w:b/>
                <w:bCs/>
                <w:color w:val="000000"/>
                <w:kern w:val="0"/>
                <w:sz w:val="18"/>
                <w:szCs w:val="18"/>
                <w:lang w:eastAsia="es-CO"/>
                <w14:ligatures w14:val="none"/>
              </w:rPr>
              <w:t>ROMERO Y BURGOS   CIA S EN C</w:t>
            </w:r>
          </w:p>
        </w:tc>
        <w:tc>
          <w:tcPr>
            <w:tcW w:w="965" w:type="pct"/>
            <w:noWrap/>
            <w:vAlign w:val="center"/>
            <w:hideMark/>
          </w:tcPr>
          <w:p w14:paraId="15F7E986" w14:textId="77777777" w:rsidR="00B77260" w:rsidRPr="00951AB1" w:rsidRDefault="00B77260" w:rsidP="000A5389">
            <w:pPr>
              <w:spacing w:line="240" w:lineRule="auto"/>
              <w:jc w:val="right"/>
              <w:rPr>
                <w:rFonts w:eastAsia="Times New Roman" w:cs="Times New Roman"/>
                <w:b/>
                <w:bCs/>
                <w:color w:val="000000"/>
                <w:kern w:val="0"/>
                <w:sz w:val="18"/>
                <w:szCs w:val="18"/>
                <w:lang w:eastAsia="es-CO"/>
                <w14:ligatures w14:val="none"/>
              </w:rPr>
            </w:pPr>
            <w:r w:rsidRPr="00951AB1">
              <w:rPr>
                <w:rFonts w:eastAsia="Times New Roman" w:cs="Times New Roman"/>
                <w:b/>
                <w:bCs/>
                <w:color w:val="000000"/>
                <w:kern w:val="0"/>
                <w:sz w:val="18"/>
                <w:szCs w:val="18"/>
                <w:lang w:eastAsia="es-CO"/>
                <w14:ligatures w14:val="none"/>
              </w:rPr>
              <w:t>45.580.855</w:t>
            </w:r>
          </w:p>
        </w:tc>
        <w:tc>
          <w:tcPr>
            <w:tcW w:w="945" w:type="pct"/>
            <w:noWrap/>
            <w:vAlign w:val="center"/>
            <w:hideMark/>
          </w:tcPr>
          <w:p w14:paraId="62C67C24" w14:textId="77777777" w:rsidR="00B77260" w:rsidRPr="00951AB1" w:rsidRDefault="00B77260" w:rsidP="000A5389">
            <w:pPr>
              <w:spacing w:line="240" w:lineRule="auto"/>
              <w:jc w:val="right"/>
              <w:rPr>
                <w:rFonts w:eastAsia="Times New Roman" w:cs="Times New Roman"/>
                <w:b/>
                <w:bCs/>
                <w:color w:val="000000"/>
                <w:kern w:val="0"/>
                <w:sz w:val="18"/>
                <w:szCs w:val="18"/>
                <w:lang w:eastAsia="es-CO"/>
                <w14:ligatures w14:val="none"/>
              </w:rPr>
            </w:pPr>
            <w:r w:rsidRPr="00951AB1">
              <w:rPr>
                <w:rFonts w:eastAsia="Times New Roman" w:cs="Times New Roman"/>
                <w:b/>
                <w:bCs/>
                <w:color w:val="000000"/>
                <w:kern w:val="0"/>
                <w:sz w:val="18"/>
                <w:szCs w:val="18"/>
                <w:lang w:eastAsia="es-CO"/>
                <w14:ligatures w14:val="none"/>
              </w:rPr>
              <w:t>45.580.855</w:t>
            </w:r>
          </w:p>
        </w:tc>
        <w:tc>
          <w:tcPr>
            <w:tcW w:w="845" w:type="pct"/>
            <w:noWrap/>
            <w:vAlign w:val="center"/>
            <w:hideMark/>
          </w:tcPr>
          <w:p w14:paraId="73954F56" w14:textId="77777777" w:rsidR="00B77260" w:rsidRPr="00951AB1" w:rsidRDefault="00B77260" w:rsidP="000A5389">
            <w:pPr>
              <w:spacing w:line="240" w:lineRule="auto"/>
              <w:jc w:val="right"/>
              <w:rPr>
                <w:rFonts w:eastAsia="Times New Roman" w:cs="Times New Roman"/>
                <w:b/>
                <w:bCs/>
                <w:color w:val="000000"/>
                <w:kern w:val="0"/>
                <w:sz w:val="18"/>
                <w:szCs w:val="18"/>
                <w:lang w:eastAsia="es-CO"/>
                <w14:ligatures w14:val="none"/>
              </w:rPr>
            </w:pPr>
            <w:r w:rsidRPr="00951AB1">
              <w:rPr>
                <w:rFonts w:eastAsia="Times New Roman" w:cs="Times New Roman"/>
                <w:b/>
                <w:bCs/>
                <w:color w:val="000000"/>
                <w:kern w:val="0"/>
                <w:sz w:val="18"/>
                <w:szCs w:val="18"/>
                <w:lang w:eastAsia="es-CO"/>
                <w14:ligatures w14:val="none"/>
              </w:rPr>
              <w:t>91.161.710</w:t>
            </w:r>
          </w:p>
        </w:tc>
      </w:tr>
      <w:tr w:rsidR="005A73C0" w:rsidRPr="00951AB1" w14:paraId="56C669AD" w14:textId="77777777" w:rsidTr="004004C5">
        <w:trPr>
          <w:trHeight w:val="293"/>
        </w:trPr>
        <w:tc>
          <w:tcPr>
            <w:tcW w:w="2245" w:type="pct"/>
            <w:vAlign w:val="center"/>
            <w:hideMark/>
          </w:tcPr>
          <w:p w14:paraId="34EB4603" w14:textId="77777777" w:rsidR="00B77260" w:rsidRPr="00951AB1" w:rsidRDefault="00B77260" w:rsidP="000A5389">
            <w:pPr>
              <w:spacing w:line="240" w:lineRule="auto"/>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Red marítima</w:t>
            </w:r>
          </w:p>
        </w:tc>
        <w:tc>
          <w:tcPr>
            <w:tcW w:w="965" w:type="pct"/>
            <w:noWrap/>
            <w:vAlign w:val="center"/>
            <w:hideMark/>
          </w:tcPr>
          <w:p w14:paraId="40E9A606" w14:textId="77777777" w:rsidR="00B77260" w:rsidRPr="00951AB1" w:rsidRDefault="00B77260"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45.580.855</w:t>
            </w:r>
          </w:p>
        </w:tc>
        <w:tc>
          <w:tcPr>
            <w:tcW w:w="945" w:type="pct"/>
            <w:noWrap/>
            <w:vAlign w:val="center"/>
            <w:hideMark/>
          </w:tcPr>
          <w:p w14:paraId="5E931237" w14:textId="77777777" w:rsidR="00B77260" w:rsidRPr="00951AB1" w:rsidRDefault="00B77260"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45.580.855</w:t>
            </w:r>
          </w:p>
        </w:tc>
        <w:tc>
          <w:tcPr>
            <w:tcW w:w="845" w:type="pct"/>
            <w:noWrap/>
            <w:vAlign w:val="center"/>
            <w:hideMark/>
          </w:tcPr>
          <w:p w14:paraId="4B2EA03F" w14:textId="77777777" w:rsidR="00B77260" w:rsidRPr="00951AB1" w:rsidRDefault="00B77260"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91.161.710</w:t>
            </w:r>
          </w:p>
        </w:tc>
      </w:tr>
      <w:tr w:rsidR="005A73C0" w:rsidRPr="00951AB1" w14:paraId="3841B283" w14:textId="77777777" w:rsidTr="004004C5">
        <w:trPr>
          <w:trHeight w:val="293"/>
        </w:trPr>
        <w:tc>
          <w:tcPr>
            <w:tcW w:w="2245" w:type="pct"/>
            <w:vAlign w:val="center"/>
            <w:hideMark/>
          </w:tcPr>
          <w:p w14:paraId="14D0F50E" w14:textId="77777777" w:rsidR="00B77260" w:rsidRPr="00951AB1" w:rsidRDefault="00B77260" w:rsidP="000A5389">
            <w:pPr>
              <w:spacing w:line="240" w:lineRule="auto"/>
              <w:rPr>
                <w:rFonts w:eastAsia="Times New Roman" w:cs="Times New Roman"/>
                <w:b/>
                <w:bCs/>
                <w:color w:val="000000"/>
                <w:kern w:val="0"/>
                <w:sz w:val="18"/>
                <w:szCs w:val="18"/>
                <w:lang w:eastAsia="es-CO"/>
                <w14:ligatures w14:val="none"/>
              </w:rPr>
            </w:pPr>
            <w:r w:rsidRPr="00951AB1">
              <w:rPr>
                <w:rFonts w:eastAsia="Times New Roman" w:cs="Times New Roman"/>
                <w:b/>
                <w:bCs/>
                <w:color w:val="000000"/>
                <w:kern w:val="0"/>
                <w:sz w:val="18"/>
                <w:szCs w:val="18"/>
                <w:lang w:eastAsia="es-CO"/>
                <w14:ligatures w14:val="none"/>
              </w:rPr>
              <w:t>PORTUARIA PUNTA DE VACA S.A.</w:t>
            </w:r>
          </w:p>
        </w:tc>
        <w:tc>
          <w:tcPr>
            <w:tcW w:w="965" w:type="pct"/>
            <w:noWrap/>
            <w:vAlign w:val="center"/>
            <w:hideMark/>
          </w:tcPr>
          <w:p w14:paraId="2F55E072" w14:textId="77777777" w:rsidR="00B77260" w:rsidRPr="00951AB1" w:rsidRDefault="00B77260" w:rsidP="000A5389">
            <w:pPr>
              <w:spacing w:line="240" w:lineRule="auto"/>
              <w:jc w:val="right"/>
              <w:rPr>
                <w:rFonts w:eastAsia="Times New Roman" w:cs="Times New Roman"/>
                <w:b/>
                <w:bCs/>
                <w:color w:val="000000"/>
                <w:kern w:val="0"/>
                <w:sz w:val="18"/>
                <w:szCs w:val="18"/>
                <w:lang w:eastAsia="es-CO"/>
                <w14:ligatures w14:val="none"/>
              </w:rPr>
            </w:pPr>
            <w:r w:rsidRPr="00951AB1">
              <w:rPr>
                <w:rFonts w:eastAsia="Times New Roman" w:cs="Times New Roman"/>
                <w:b/>
                <w:bCs/>
                <w:color w:val="000000"/>
                <w:kern w:val="0"/>
                <w:sz w:val="18"/>
                <w:szCs w:val="18"/>
                <w:lang w:eastAsia="es-CO"/>
                <w14:ligatures w14:val="none"/>
              </w:rPr>
              <w:t>205.818.937</w:t>
            </w:r>
          </w:p>
        </w:tc>
        <w:tc>
          <w:tcPr>
            <w:tcW w:w="945" w:type="pct"/>
            <w:noWrap/>
            <w:vAlign w:val="center"/>
            <w:hideMark/>
          </w:tcPr>
          <w:p w14:paraId="0C903E66" w14:textId="77777777" w:rsidR="00B77260" w:rsidRPr="00951AB1" w:rsidRDefault="00B77260" w:rsidP="000A5389">
            <w:pPr>
              <w:spacing w:line="240" w:lineRule="auto"/>
              <w:jc w:val="right"/>
              <w:rPr>
                <w:rFonts w:eastAsia="Times New Roman" w:cs="Times New Roman"/>
                <w:b/>
                <w:bCs/>
                <w:color w:val="000000"/>
                <w:kern w:val="0"/>
                <w:sz w:val="18"/>
                <w:szCs w:val="18"/>
                <w:lang w:eastAsia="es-CO"/>
                <w14:ligatures w14:val="none"/>
              </w:rPr>
            </w:pPr>
            <w:r w:rsidRPr="00951AB1">
              <w:rPr>
                <w:rFonts w:eastAsia="Times New Roman" w:cs="Times New Roman"/>
                <w:b/>
                <w:bCs/>
                <w:color w:val="000000"/>
                <w:kern w:val="0"/>
                <w:sz w:val="18"/>
                <w:szCs w:val="18"/>
                <w:lang w:eastAsia="es-CO"/>
                <w14:ligatures w14:val="none"/>
              </w:rPr>
              <w:t>205.818.937</w:t>
            </w:r>
          </w:p>
        </w:tc>
        <w:tc>
          <w:tcPr>
            <w:tcW w:w="845" w:type="pct"/>
            <w:noWrap/>
            <w:vAlign w:val="center"/>
            <w:hideMark/>
          </w:tcPr>
          <w:p w14:paraId="14B67F63" w14:textId="77777777" w:rsidR="00B77260" w:rsidRPr="00951AB1" w:rsidRDefault="00B77260" w:rsidP="000A5389">
            <w:pPr>
              <w:spacing w:line="240" w:lineRule="auto"/>
              <w:jc w:val="right"/>
              <w:rPr>
                <w:rFonts w:eastAsia="Times New Roman" w:cs="Times New Roman"/>
                <w:b/>
                <w:bCs/>
                <w:color w:val="000000"/>
                <w:kern w:val="0"/>
                <w:sz w:val="18"/>
                <w:szCs w:val="18"/>
                <w:lang w:eastAsia="es-CO"/>
                <w14:ligatures w14:val="none"/>
              </w:rPr>
            </w:pPr>
            <w:r w:rsidRPr="00951AB1">
              <w:rPr>
                <w:rFonts w:eastAsia="Times New Roman" w:cs="Times New Roman"/>
                <w:b/>
                <w:bCs/>
                <w:color w:val="000000"/>
                <w:kern w:val="0"/>
                <w:sz w:val="18"/>
                <w:szCs w:val="18"/>
                <w:lang w:eastAsia="es-CO"/>
                <w14:ligatures w14:val="none"/>
              </w:rPr>
              <w:t>411.637.874</w:t>
            </w:r>
          </w:p>
        </w:tc>
      </w:tr>
      <w:tr w:rsidR="005A73C0" w:rsidRPr="00951AB1" w14:paraId="7AF4C109" w14:textId="77777777" w:rsidTr="004004C5">
        <w:trPr>
          <w:trHeight w:val="293"/>
        </w:trPr>
        <w:tc>
          <w:tcPr>
            <w:tcW w:w="2245" w:type="pct"/>
            <w:vAlign w:val="center"/>
            <w:hideMark/>
          </w:tcPr>
          <w:p w14:paraId="4B6A123F" w14:textId="77777777" w:rsidR="00B77260" w:rsidRPr="00951AB1" w:rsidRDefault="00B77260" w:rsidP="000A5389">
            <w:pPr>
              <w:spacing w:line="240" w:lineRule="auto"/>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Propiedades, Plan y Equipo</w:t>
            </w:r>
          </w:p>
        </w:tc>
        <w:tc>
          <w:tcPr>
            <w:tcW w:w="965" w:type="pct"/>
            <w:noWrap/>
            <w:vAlign w:val="center"/>
            <w:hideMark/>
          </w:tcPr>
          <w:p w14:paraId="3F4ADFBE" w14:textId="77777777" w:rsidR="00B77260" w:rsidRPr="00951AB1" w:rsidRDefault="00B77260"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38.482.099</w:t>
            </w:r>
          </w:p>
        </w:tc>
        <w:tc>
          <w:tcPr>
            <w:tcW w:w="945" w:type="pct"/>
            <w:noWrap/>
            <w:vAlign w:val="center"/>
            <w:hideMark/>
          </w:tcPr>
          <w:p w14:paraId="3676423B" w14:textId="77777777" w:rsidR="00B77260" w:rsidRPr="00951AB1" w:rsidRDefault="00B77260"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38.482.099</w:t>
            </w:r>
          </w:p>
        </w:tc>
        <w:tc>
          <w:tcPr>
            <w:tcW w:w="845" w:type="pct"/>
            <w:noWrap/>
            <w:vAlign w:val="center"/>
            <w:hideMark/>
          </w:tcPr>
          <w:p w14:paraId="71D7B2D6" w14:textId="77777777" w:rsidR="00B77260" w:rsidRPr="00951AB1" w:rsidRDefault="00B77260"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76.964.198</w:t>
            </w:r>
          </w:p>
        </w:tc>
      </w:tr>
      <w:tr w:rsidR="005A73C0" w:rsidRPr="00951AB1" w14:paraId="61869954" w14:textId="77777777" w:rsidTr="004004C5">
        <w:trPr>
          <w:trHeight w:val="293"/>
        </w:trPr>
        <w:tc>
          <w:tcPr>
            <w:tcW w:w="2245" w:type="pct"/>
            <w:vAlign w:val="center"/>
            <w:hideMark/>
          </w:tcPr>
          <w:p w14:paraId="1A9E7BDF" w14:textId="77777777" w:rsidR="00B77260" w:rsidRPr="00951AB1" w:rsidRDefault="00B77260" w:rsidP="000A5389">
            <w:pPr>
              <w:spacing w:line="240" w:lineRule="auto"/>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Red marítima</w:t>
            </w:r>
          </w:p>
        </w:tc>
        <w:tc>
          <w:tcPr>
            <w:tcW w:w="965" w:type="pct"/>
            <w:noWrap/>
            <w:vAlign w:val="center"/>
            <w:hideMark/>
          </w:tcPr>
          <w:p w14:paraId="4D02C864" w14:textId="77777777" w:rsidR="00B77260" w:rsidRPr="00951AB1" w:rsidRDefault="00B77260"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167.336.838</w:t>
            </w:r>
          </w:p>
        </w:tc>
        <w:tc>
          <w:tcPr>
            <w:tcW w:w="945" w:type="pct"/>
            <w:noWrap/>
            <w:vAlign w:val="center"/>
            <w:hideMark/>
          </w:tcPr>
          <w:p w14:paraId="7ECE8EDF" w14:textId="77777777" w:rsidR="00B77260" w:rsidRPr="00951AB1" w:rsidRDefault="00B77260"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167.336.838</w:t>
            </w:r>
          </w:p>
        </w:tc>
        <w:tc>
          <w:tcPr>
            <w:tcW w:w="845" w:type="pct"/>
            <w:noWrap/>
            <w:vAlign w:val="center"/>
            <w:hideMark/>
          </w:tcPr>
          <w:p w14:paraId="554C0C74" w14:textId="77777777" w:rsidR="00B77260" w:rsidRPr="00951AB1" w:rsidRDefault="00B77260"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334.673.676</w:t>
            </w:r>
          </w:p>
        </w:tc>
      </w:tr>
      <w:tr w:rsidR="005A73C0" w:rsidRPr="00951AB1" w14:paraId="1D5DB0B2" w14:textId="77777777" w:rsidTr="004004C5">
        <w:trPr>
          <w:trHeight w:val="293"/>
        </w:trPr>
        <w:tc>
          <w:tcPr>
            <w:tcW w:w="2245" w:type="pct"/>
            <w:vAlign w:val="center"/>
            <w:hideMark/>
          </w:tcPr>
          <w:p w14:paraId="03B50788" w14:textId="77777777" w:rsidR="00B77260" w:rsidRPr="00951AB1" w:rsidRDefault="00B77260" w:rsidP="000A5389">
            <w:pPr>
              <w:spacing w:line="240" w:lineRule="auto"/>
              <w:rPr>
                <w:rFonts w:eastAsia="Times New Roman" w:cs="Times New Roman"/>
                <w:b/>
                <w:bCs/>
                <w:color w:val="000000"/>
                <w:kern w:val="0"/>
                <w:sz w:val="18"/>
                <w:szCs w:val="18"/>
                <w:lang w:eastAsia="es-CO"/>
                <w14:ligatures w14:val="none"/>
              </w:rPr>
            </w:pPr>
            <w:r w:rsidRPr="00951AB1">
              <w:rPr>
                <w:rFonts w:eastAsia="Times New Roman" w:cs="Times New Roman"/>
                <w:b/>
                <w:bCs/>
                <w:color w:val="000000"/>
                <w:kern w:val="0"/>
                <w:sz w:val="18"/>
                <w:szCs w:val="18"/>
                <w:lang w:eastAsia="es-CO"/>
                <w14:ligatures w14:val="none"/>
              </w:rPr>
              <w:lastRenderedPageBreak/>
              <w:t>PRIMAX COLOMBIA S A</w:t>
            </w:r>
          </w:p>
        </w:tc>
        <w:tc>
          <w:tcPr>
            <w:tcW w:w="965" w:type="pct"/>
            <w:noWrap/>
            <w:vAlign w:val="center"/>
            <w:hideMark/>
          </w:tcPr>
          <w:p w14:paraId="52EEA1FB" w14:textId="77777777" w:rsidR="00B77260" w:rsidRPr="00951AB1" w:rsidRDefault="00B77260" w:rsidP="000A5389">
            <w:pPr>
              <w:spacing w:line="240" w:lineRule="auto"/>
              <w:jc w:val="right"/>
              <w:rPr>
                <w:rFonts w:eastAsia="Times New Roman" w:cs="Times New Roman"/>
                <w:b/>
                <w:bCs/>
                <w:color w:val="000000"/>
                <w:kern w:val="0"/>
                <w:sz w:val="18"/>
                <w:szCs w:val="18"/>
                <w:lang w:eastAsia="es-CO"/>
                <w14:ligatures w14:val="none"/>
              </w:rPr>
            </w:pPr>
            <w:r w:rsidRPr="00951AB1">
              <w:rPr>
                <w:rFonts w:eastAsia="Times New Roman" w:cs="Times New Roman"/>
                <w:b/>
                <w:bCs/>
                <w:color w:val="000000"/>
                <w:kern w:val="0"/>
                <w:sz w:val="18"/>
                <w:szCs w:val="18"/>
                <w:lang w:eastAsia="es-CO"/>
                <w14:ligatures w14:val="none"/>
              </w:rPr>
              <w:t>13.035.557.027</w:t>
            </w:r>
          </w:p>
        </w:tc>
        <w:tc>
          <w:tcPr>
            <w:tcW w:w="945" w:type="pct"/>
            <w:noWrap/>
            <w:vAlign w:val="center"/>
            <w:hideMark/>
          </w:tcPr>
          <w:p w14:paraId="27C8EF27" w14:textId="77777777" w:rsidR="00B77260" w:rsidRPr="00951AB1" w:rsidRDefault="00B77260" w:rsidP="000A5389">
            <w:pPr>
              <w:spacing w:line="240" w:lineRule="auto"/>
              <w:jc w:val="right"/>
              <w:rPr>
                <w:rFonts w:eastAsia="Times New Roman" w:cs="Times New Roman"/>
                <w:b/>
                <w:bCs/>
                <w:color w:val="000000"/>
                <w:kern w:val="0"/>
                <w:sz w:val="18"/>
                <w:szCs w:val="18"/>
                <w:lang w:eastAsia="es-CO"/>
                <w14:ligatures w14:val="none"/>
              </w:rPr>
            </w:pPr>
            <w:r w:rsidRPr="00951AB1">
              <w:rPr>
                <w:rFonts w:eastAsia="Times New Roman" w:cs="Times New Roman"/>
                <w:b/>
                <w:bCs/>
                <w:color w:val="000000"/>
                <w:kern w:val="0"/>
                <w:sz w:val="18"/>
                <w:szCs w:val="18"/>
                <w:lang w:eastAsia="es-CO"/>
                <w14:ligatures w14:val="none"/>
              </w:rPr>
              <w:t>13.035.557.027</w:t>
            </w:r>
          </w:p>
        </w:tc>
        <w:tc>
          <w:tcPr>
            <w:tcW w:w="845" w:type="pct"/>
            <w:noWrap/>
            <w:vAlign w:val="center"/>
            <w:hideMark/>
          </w:tcPr>
          <w:p w14:paraId="628B8442" w14:textId="77777777" w:rsidR="00B77260" w:rsidRPr="00951AB1" w:rsidRDefault="00B77260" w:rsidP="000A5389">
            <w:pPr>
              <w:spacing w:line="240" w:lineRule="auto"/>
              <w:jc w:val="right"/>
              <w:rPr>
                <w:rFonts w:eastAsia="Times New Roman" w:cs="Times New Roman"/>
                <w:b/>
                <w:bCs/>
                <w:color w:val="000000"/>
                <w:kern w:val="0"/>
                <w:sz w:val="18"/>
                <w:szCs w:val="18"/>
                <w:lang w:eastAsia="es-CO"/>
                <w14:ligatures w14:val="none"/>
              </w:rPr>
            </w:pPr>
            <w:r w:rsidRPr="00951AB1">
              <w:rPr>
                <w:rFonts w:eastAsia="Times New Roman" w:cs="Times New Roman"/>
                <w:b/>
                <w:bCs/>
                <w:color w:val="000000"/>
                <w:kern w:val="0"/>
                <w:sz w:val="18"/>
                <w:szCs w:val="18"/>
                <w:lang w:eastAsia="es-CO"/>
                <w14:ligatures w14:val="none"/>
              </w:rPr>
              <w:t>26.071.114.054</w:t>
            </w:r>
          </w:p>
        </w:tc>
      </w:tr>
      <w:tr w:rsidR="005A73C0" w:rsidRPr="00951AB1" w14:paraId="0ABF23E6" w14:textId="77777777" w:rsidTr="004004C5">
        <w:trPr>
          <w:trHeight w:val="293"/>
        </w:trPr>
        <w:tc>
          <w:tcPr>
            <w:tcW w:w="2245" w:type="pct"/>
            <w:vAlign w:val="center"/>
            <w:hideMark/>
          </w:tcPr>
          <w:p w14:paraId="2E50528A" w14:textId="77777777" w:rsidR="00B77260" w:rsidRPr="00951AB1" w:rsidRDefault="00B77260" w:rsidP="000A5389">
            <w:pPr>
              <w:spacing w:line="240" w:lineRule="auto"/>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Red marítima</w:t>
            </w:r>
          </w:p>
        </w:tc>
        <w:tc>
          <w:tcPr>
            <w:tcW w:w="965" w:type="pct"/>
            <w:noWrap/>
            <w:vAlign w:val="center"/>
            <w:hideMark/>
          </w:tcPr>
          <w:p w14:paraId="5A7B429C" w14:textId="77777777" w:rsidR="00B77260" w:rsidRPr="00951AB1" w:rsidRDefault="00B77260"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13.035.557.027</w:t>
            </w:r>
          </w:p>
        </w:tc>
        <w:tc>
          <w:tcPr>
            <w:tcW w:w="945" w:type="pct"/>
            <w:noWrap/>
            <w:vAlign w:val="center"/>
            <w:hideMark/>
          </w:tcPr>
          <w:p w14:paraId="45B749A4" w14:textId="77777777" w:rsidR="00B77260" w:rsidRPr="00951AB1" w:rsidRDefault="00B77260"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13.035.557.027</w:t>
            </w:r>
          </w:p>
        </w:tc>
        <w:tc>
          <w:tcPr>
            <w:tcW w:w="845" w:type="pct"/>
            <w:noWrap/>
            <w:vAlign w:val="center"/>
            <w:hideMark/>
          </w:tcPr>
          <w:p w14:paraId="2390F2CB" w14:textId="77777777" w:rsidR="00B77260" w:rsidRPr="00951AB1" w:rsidRDefault="00B77260"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26.071.114.054</w:t>
            </w:r>
          </w:p>
        </w:tc>
      </w:tr>
      <w:tr w:rsidR="005A73C0" w:rsidRPr="00951AB1" w14:paraId="06F06579" w14:textId="77777777" w:rsidTr="004004C5">
        <w:trPr>
          <w:trHeight w:val="293"/>
        </w:trPr>
        <w:tc>
          <w:tcPr>
            <w:tcW w:w="2245" w:type="pct"/>
            <w:vAlign w:val="center"/>
            <w:hideMark/>
          </w:tcPr>
          <w:p w14:paraId="61D0F356" w14:textId="77777777" w:rsidR="00B77260" w:rsidRPr="00951AB1" w:rsidRDefault="00B77260" w:rsidP="000A5389">
            <w:pPr>
              <w:spacing w:line="240" w:lineRule="auto"/>
              <w:rPr>
                <w:rFonts w:eastAsia="Times New Roman" w:cs="Times New Roman"/>
                <w:b/>
                <w:bCs/>
                <w:color w:val="000000"/>
                <w:kern w:val="0"/>
                <w:sz w:val="18"/>
                <w:szCs w:val="18"/>
                <w:lang w:eastAsia="es-CO"/>
                <w14:ligatures w14:val="none"/>
              </w:rPr>
            </w:pPr>
            <w:r w:rsidRPr="00951AB1">
              <w:rPr>
                <w:rFonts w:eastAsia="Times New Roman" w:cs="Times New Roman"/>
                <w:b/>
                <w:bCs/>
                <w:color w:val="000000"/>
                <w:kern w:val="0"/>
                <w:sz w:val="18"/>
                <w:szCs w:val="18"/>
                <w:lang w:eastAsia="es-CO"/>
                <w14:ligatures w14:val="none"/>
              </w:rPr>
              <w:t>SOCIEDAD PORTUARIA PUERTO BAHIA S.A</w:t>
            </w:r>
          </w:p>
        </w:tc>
        <w:tc>
          <w:tcPr>
            <w:tcW w:w="965" w:type="pct"/>
            <w:noWrap/>
            <w:vAlign w:val="center"/>
            <w:hideMark/>
          </w:tcPr>
          <w:p w14:paraId="281420B5" w14:textId="77777777" w:rsidR="00B77260" w:rsidRPr="00951AB1" w:rsidRDefault="00B77260" w:rsidP="000A5389">
            <w:pPr>
              <w:spacing w:line="240" w:lineRule="auto"/>
              <w:jc w:val="right"/>
              <w:rPr>
                <w:rFonts w:eastAsia="Times New Roman" w:cs="Times New Roman"/>
                <w:b/>
                <w:bCs/>
                <w:color w:val="000000"/>
                <w:kern w:val="0"/>
                <w:sz w:val="18"/>
                <w:szCs w:val="18"/>
                <w:lang w:eastAsia="es-CO"/>
                <w14:ligatures w14:val="none"/>
              </w:rPr>
            </w:pPr>
            <w:r w:rsidRPr="00951AB1">
              <w:rPr>
                <w:rFonts w:eastAsia="Times New Roman" w:cs="Times New Roman"/>
                <w:b/>
                <w:bCs/>
                <w:color w:val="000000"/>
                <w:kern w:val="0"/>
                <w:sz w:val="18"/>
                <w:szCs w:val="18"/>
                <w:lang w:eastAsia="es-CO"/>
                <w14:ligatures w14:val="none"/>
              </w:rPr>
              <w:t>255.170.433.642</w:t>
            </w:r>
          </w:p>
        </w:tc>
        <w:tc>
          <w:tcPr>
            <w:tcW w:w="945" w:type="pct"/>
            <w:noWrap/>
            <w:vAlign w:val="center"/>
            <w:hideMark/>
          </w:tcPr>
          <w:p w14:paraId="273779E6" w14:textId="77777777" w:rsidR="00B77260" w:rsidRPr="00951AB1" w:rsidRDefault="00B77260" w:rsidP="000A5389">
            <w:pPr>
              <w:spacing w:line="240" w:lineRule="auto"/>
              <w:jc w:val="right"/>
              <w:rPr>
                <w:rFonts w:eastAsia="Times New Roman" w:cs="Times New Roman"/>
                <w:b/>
                <w:bCs/>
                <w:color w:val="000000"/>
                <w:kern w:val="0"/>
                <w:sz w:val="18"/>
                <w:szCs w:val="18"/>
                <w:lang w:eastAsia="es-CO"/>
                <w14:ligatures w14:val="none"/>
              </w:rPr>
            </w:pPr>
            <w:r w:rsidRPr="00951AB1">
              <w:rPr>
                <w:rFonts w:eastAsia="Times New Roman" w:cs="Times New Roman"/>
                <w:b/>
                <w:bCs/>
                <w:color w:val="000000"/>
                <w:kern w:val="0"/>
                <w:sz w:val="18"/>
                <w:szCs w:val="18"/>
                <w:lang w:eastAsia="es-CO"/>
                <w14:ligatures w14:val="none"/>
              </w:rPr>
              <w:t>255.170.433.642</w:t>
            </w:r>
          </w:p>
        </w:tc>
        <w:tc>
          <w:tcPr>
            <w:tcW w:w="845" w:type="pct"/>
            <w:noWrap/>
            <w:vAlign w:val="center"/>
            <w:hideMark/>
          </w:tcPr>
          <w:p w14:paraId="164C4499" w14:textId="77777777" w:rsidR="00B77260" w:rsidRPr="00951AB1" w:rsidRDefault="00B77260" w:rsidP="000A5389">
            <w:pPr>
              <w:spacing w:line="240" w:lineRule="auto"/>
              <w:jc w:val="right"/>
              <w:rPr>
                <w:rFonts w:eastAsia="Times New Roman" w:cs="Times New Roman"/>
                <w:b/>
                <w:bCs/>
                <w:color w:val="000000"/>
                <w:kern w:val="0"/>
                <w:sz w:val="18"/>
                <w:szCs w:val="18"/>
                <w:lang w:eastAsia="es-CO"/>
                <w14:ligatures w14:val="none"/>
              </w:rPr>
            </w:pPr>
            <w:r w:rsidRPr="00951AB1">
              <w:rPr>
                <w:rFonts w:eastAsia="Times New Roman" w:cs="Times New Roman"/>
                <w:b/>
                <w:bCs/>
                <w:color w:val="000000"/>
                <w:kern w:val="0"/>
                <w:sz w:val="18"/>
                <w:szCs w:val="18"/>
                <w:lang w:eastAsia="es-CO"/>
                <w14:ligatures w14:val="none"/>
              </w:rPr>
              <w:t>510.340.867.284</w:t>
            </w:r>
          </w:p>
        </w:tc>
      </w:tr>
      <w:tr w:rsidR="005A73C0" w:rsidRPr="00951AB1" w14:paraId="56FEF467" w14:textId="77777777" w:rsidTr="004004C5">
        <w:trPr>
          <w:trHeight w:val="293"/>
        </w:trPr>
        <w:tc>
          <w:tcPr>
            <w:tcW w:w="2245" w:type="pct"/>
            <w:vAlign w:val="center"/>
            <w:hideMark/>
          </w:tcPr>
          <w:p w14:paraId="4F7175CC" w14:textId="77777777" w:rsidR="00B77260" w:rsidRPr="00951AB1" w:rsidRDefault="00B77260" w:rsidP="000A5389">
            <w:pPr>
              <w:spacing w:line="240" w:lineRule="auto"/>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Red marítima</w:t>
            </w:r>
          </w:p>
        </w:tc>
        <w:tc>
          <w:tcPr>
            <w:tcW w:w="965" w:type="pct"/>
            <w:noWrap/>
            <w:vAlign w:val="center"/>
            <w:hideMark/>
          </w:tcPr>
          <w:p w14:paraId="4EC0FEB5" w14:textId="77777777" w:rsidR="00B77260" w:rsidRPr="00951AB1" w:rsidRDefault="00B77260"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255.170.433.642</w:t>
            </w:r>
          </w:p>
        </w:tc>
        <w:tc>
          <w:tcPr>
            <w:tcW w:w="945" w:type="pct"/>
            <w:noWrap/>
            <w:vAlign w:val="center"/>
            <w:hideMark/>
          </w:tcPr>
          <w:p w14:paraId="5CF8394C" w14:textId="77777777" w:rsidR="00B77260" w:rsidRPr="00951AB1" w:rsidRDefault="00B77260"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255.170.433.642</w:t>
            </w:r>
          </w:p>
        </w:tc>
        <w:tc>
          <w:tcPr>
            <w:tcW w:w="845" w:type="pct"/>
            <w:noWrap/>
            <w:vAlign w:val="center"/>
            <w:hideMark/>
          </w:tcPr>
          <w:p w14:paraId="39BB06C1" w14:textId="77777777" w:rsidR="00B77260" w:rsidRPr="00951AB1" w:rsidRDefault="00B77260"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510.340.867.284</w:t>
            </w:r>
          </w:p>
        </w:tc>
      </w:tr>
      <w:tr w:rsidR="005A73C0" w:rsidRPr="00951AB1" w14:paraId="18C88F56" w14:textId="77777777" w:rsidTr="004004C5">
        <w:trPr>
          <w:trHeight w:val="293"/>
        </w:trPr>
        <w:tc>
          <w:tcPr>
            <w:tcW w:w="2245" w:type="pct"/>
            <w:vAlign w:val="center"/>
            <w:hideMark/>
          </w:tcPr>
          <w:p w14:paraId="0DF2E88A" w14:textId="77777777" w:rsidR="00B77260" w:rsidRPr="00951AB1" w:rsidRDefault="00B77260" w:rsidP="000A5389">
            <w:pPr>
              <w:spacing w:line="240" w:lineRule="auto"/>
              <w:rPr>
                <w:rFonts w:eastAsia="Times New Roman" w:cs="Times New Roman"/>
                <w:b/>
                <w:bCs/>
                <w:color w:val="000000"/>
                <w:kern w:val="0"/>
                <w:sz w:val="18"/>
                <w:szCs w:val="18"/>
                <w:lang w:eastAsia="es-CO"/>
                <w14:ligatures w14:val="none"/>
              </w:rPr>
            </w:pPr>
            <w:r w:rsidRPr="00951AB1">
              <w:rPr>
                <w:rFonts w:eastAsia="Times New Roman" w:cs="Times New Roman"/>
                <w:b/>
                <w:bCs/>
                <w:color w:val="000000"/>
                <w:kern w:val="0"/>
                <w:sz w:val="18"/>
                <w:szCs w:val="18"/>
                <w:lang w:eastAsia="es-CO"/>
                <w14:ligatures w14:val="none"/>
              </w:rPr>
              <w:t>VOPAK COLOMBIA S. A</w:t>
            </w:r>
          </w:p>
        </w:tc>
        <w:tc>
          <w:tcPr>
            <w:tcW w:w="965" w:type="pct"/>
            <w:noWrap/>
            <w:vAlign w:val="center"/>
            <w:hideMark/>
          </w:tcPr>
          <w:p w14:paraId="3ACFB6CC" w14:textId="77777777" w:rsidR="00B77260" w:rsidRPr="00951AB1" w:rsidRDefault="00B77260" w:rsidP="000A5389">
            <w:pPr>
              <w:spacing w:line="240" w:lineRule="auto"/>
              <w:jc w:val="right"/>
              <w:rPr>
                <w:rFonts w:eastAsia="Times New Roman" w:cs="Times New Roman"/>
                <w:b/>
                <w:bCs/>
                <w:color w:val="000000"/>
                <w:kern w:val="0"/>
                <w:sz w:val="18"/>
                <w:szCs w:val="18"/>
                <w:lang w:eastAsia="es-CO"/>
                <w14:ligatures w14:val="none"/>
              </w:rPr>
            </w:pPr>
            <w:r w:rsidRPr="00951AB1">
              <w:rPr>
                <w:rFonts w:eastAsia="Times New Roman" w:cs="Times New Roman"/>
                <w:b/>
                <w:bCs/>
                <w:color w:val="000000"/>
                <w:kern w:val="0"/>
                <w:sz w:val="18"/>
                <w:szCs w:val="18"/>
                <w:lang w:eastAsia="es-CO"/>
                <w14:ligatures w14:val="none"/>
              </w:rPr>
              <w:t>6.646.903.088</w:t>
            </w:r>
          </w:p>
        </w:tc>
        <w:tc>
          <w:tcPr>
            <w:tcW w:w="945" w:type="pct"/>
            <w:noWrap/>
            <w:vAlign w:val="center"/>
            <w:hideMark/>
          </w:tcPr>
          <w:p w14:paraId="4DA48095" w14:textId="77777777" w:rsidR="00B77260" w:rsidRPr="00951AB1" w:rsidRDefault="00B77260" w:rsidP="000A5389">
            <w:pPr>
              <w:spacing w:line="240" w:lineRule="auto"/>
              <w:jc w:val="right"/>
              <w:rPr>
                <w:rFonts w:eastAsia="Times New Roman" w:cs="Times New Roman"/>
                <w:b/>
                <w:bCs/>
                <w:color w:val="000000"/>
                <w:kern w:val="0"/>
                <w:sz w:val="18"/>
                <w:szCs w:val="18"/>
                <w:lang w:eastAsia="es-CO"/>
                <w14:ligatures w14:val="none"/>
              </w:rPr>
            </w:pPr>
            <w:r w:rsidRPr="00951AB1">
              <w:rPr>
                <w:rFonts w:eastAsia="Times New Roman" w:cs="Times New Roman"/>
                <w:b/>
                <w:bCs/>
                <w:color w:val="000000"/>
                <w:kern w:val="0"/>
                <w:sz w:val="18"/>
                <w:szCs w:val="18"/>
                <w:lang w:eastAsia="es-CO"/>
                <w14:ligatures w14:val="none"/>
              </w:rPr>
              <w:t>8.569.471.785</w:t>
            </w:r>
          </w:p>
        </w:tc>
        <w:tc>
          <w:tcPr>
            <w:tcW w:w="845" w:type="pct"/>
            <w:noWrap/>
            <w:vAlign w:val="center"/>
            <w:hideMark/>
          </w:tcPr>
          <w:p w14:paraId="3AE5B11E" w14:textId="77777777" w:rsidR="00B77260" w:rsidRPr="00951AB1" w:rsidRDefault="00B77260" w:rsidP="000A5389">
            <w:pPr>
              <w:spacing w:line="240" w:lineRule="auto"/>
              <w:jc w:val="right"/>
              <w:rPr>
                <w:rFonts w:eastAsia="Times New Roman" w:cs="Times New Roman"/>
                <w:b/>
                <w:bCs/>
                <w:color w:val="000000"/>
                <w:kern w:val="0"/>
                <w:sz w:val="18"/>
                <w:szCs w:val="18"/>
                <w:lang w:eastAsia="es-CO"/>
                <w14:ligatures w14:val="none"/>
              </w:rPr>
            </w:pPr>
            <w:r w:rsidRPr="00951AB1">
              <w:rPr>
                <w:rFonts w:eastAsia="Times New Roman" w:cs="Times New Roman"/>
                <w:b/>
                <w:bCs/>
                <w:color w:val="000000"/>
                <w:kern w:val="0"/>
                <w:sz w:val="18"/>
                <w:szCs w:val="18"/>
                <w:lang w:eastAsia="es-CO"/>
                <w14:ligatures w14:val="none"/>
              </w:rPr>
              <w:t>15.216.374.873</w:t>
            </w:r>
          </w:p>
        </w:tc>
      </w:tr>
      <w:tr w:rsidR="005A73C0" w:rsidRPr="00951AB1" w14:paraId="3CDCEBD3" w14:textId="77777777" w:rsidTr="004004C5">
        <w:trPr>
          <w:trHeight w:val="293"/>
        </w:trPr>
        <w:tc>
          <w:tcPr>
            <w:tcW w:w="2245" w:type="pct"/>
            <w:vAlign w:val="center"/>
            <w:hideMark/>
          </w:tcPr>
          <w:p w14:paraId="612F9C00" w14:textId="77777777" w:rsidR="00B77260" w:rsidRPr="00951AB1" w:rsidRDefault="00B77260" w:rsidP="000A5389">
            <w:pPr>
              <w:spacing w:line="240" w:lineRule="auto"/>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Propiedades, Plan y Equipo</w:t>
            </w:r>
          </w:p>
        </w:tc>
        <w:tc>
          <w:tcPr>
            <w:tcW w:w="965" w:type="pct"/>
            <w:noWrap/>
            <w:vAlign w:val="center"/>
            <w:hideMark/>
          </w:tcPr>
          <w:p w14:paraId="7A8089F5" w14:textId="77777777" w:rsidR="00B77260" w:rsidRPr="00951AB1" w:rsidRDefault="00B77260"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3.276.860.188</w:t>
            </w:r>
          </w:p>
        </w:tc>
        <w:tc>
          <w:tcPr>
            <w:tcW w:w="945" w:type="pct"/>
            <w:noWrap/>
            <w:vAlign w:val="center"/>
            <w:hideMark/>
          </w:tcPr>
          <w:p w14:paraId="303973AA" w14:textId="77777777" w:rsidR="00B77260" w:rsidRPr="00951AB1" w:rsidRDefault="00B77260"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933.537.645</w:t>
            </w:r>
          </w:p>
        </w:tc>
        <w:tc>
          <w:tcPr>
            <w:tcW w:w="845" w:type="pct"/>
            <w:noWrap/>
            <w:vAlign w:val="center"/>
            <w:hideMark/>
          </w:tcPr>
          <w:p w14:paraId="27171DBF" w14:textId="77777777" w:rsidR="00B77260" w:rsidRPr="00951AB1" w:rsidRDefault="00B77260"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4.210.397.833</w:t>
            </w:r>
          </w:p>
        </w:tc>
      </w:tr>
      <w:tr w:rsidR="005A73C0" w:rsidRPr="00951AB1" w14:paraId="3507EFF9" w14:textId="77777777" w:rsidTr="004004C5">
        <w:trPr>
          <w:trHeight w:val="293"/>
        </w:trPr>
        <w:tc>
          <w:tcPr>
            <w:tcW w:w="2245" w:type="pct"/>
            <w:vAlign w:val="center"/>
            <w:hideMark/>
          </w:tcPr>
          <w:p w14:paraId="024FC36A" w14:textId="77777777" w:rsidR="00B77260" w:rsidRPr="00951AB1" w:rsidRDefault="00B77260" w:rsidP="000A5389">
            <w:pPr>
              <w:spacing w:line="240" w:lineRule="auto"/>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Red marítima</w:t>
            </w:r>
          </w:p>
        </w:tc>
        <w:tc>
          <w:tcPr>
            <w:tcW w:w="965" w:type="pct"/>
            <w:noWrap/>
            <w:vAlign w:val="center"/>
            <w:hideMark/>
          </w:tcPr>
          <w:p w14:paraId="4908711B" w14:textId="77777777" w:rsidR="00B77260" w:rsidRPr="00951AB1" w:rsidRDefault="00B77260"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3.370.042.900</w:t>
            </w:r>
          </w:p>
        </w:tc>
        <w:tc>
          <w:tcPr>
            <w:tcW w:w="945" w:type="pct"/>
            <w:noWrap/>
            <w:vAlign w:val="center"/>
            <w:hideMark/>
          </w:tcPr>
          <w:p w14:paraId="63E7EA1B" w14:textId="77777777" w:rsidR="00B77260" w:rsidRPr="00951AB1" w:rsidRDefault="00B77260"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7.635.934.140</w:t>
            </w:r>
          </w:p>
        </w:tc>
        <w:tc>
          <w:tcPr>
            <w:tcW w:w="845" w:type="pct"/>
            <w:noWrap/>
            <w:vAlign w:val="center"/>
            <w:hideMark/>
          </w:tcPr>
          <w:p w14:paraId="530D01B9" w14:textId="77777777" w:rsidR="00B77260" w:rsidRPr="00951AB1" w:rsidRDefault="00B77260"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11.005.977.041</w:t>
            </w:r>
          </w:p>
        </w:tc>
      </w:tr>
      <w:tr w:rsidR="005A73C0" w:rsidRPr="00951AB1" w14:paraId="35BFBD5C" w14:textId="77777777" w:rsidTr="004004C5">
        <w:trPr>
          <w:trHeight w:val="293"/>
        </w:trPr>
        <w:tc>
          <w:tcPr>
            <w:tcW w:w="2245" w:type="pct"/>
            <w:vAlign w:val="center"/>
            <w:hideMark/>
          </w:tcPr>
          <w:p w14:paraId="0C8DEE2A" w14:textId="77777777" w:rsidR="00B77260" w:rsidRPr="00951AB1" w:rsidRDefault="00B77260" w:rsidP="000A5389">
            <w:pPr>
              <w:spacing w:line="240" w:lineRule="auto"/>
              <w:rPr>
                <w:rFonts w:eastAsia="Times New Roman" w:cs="Times New Roman"/>
                <w:b/>
                <w:bCs/>
                <w:color w:val="000000"/>
                <w:kern w:val="0"/>
                <w:sz w:val="18"/>
                <w:szCs w:val="18"/>
                <w:lang w:eastAsia="es-CO"/>
                <w14:ligatures w14:val="none"/>
              </w:rPr>
            </w:pPr>
            <w:r w:rsidRPr="00951AB1">
              <w:rPr>
                <w:rFonts w:eastAsia="Times New Roman" w:cs="Times New Roman"/>
                <w:b/>
                <w:bCs/>
                <w:color w:val="000000"/>
                <w:kern w:val="0"/>
                <w:sz w:val="18"/>
                <w:szCs w:val="18"/>
                <w:lang w:eastAsia="es-CO"/>
                <w14:ligatures w14:val="none"/>
              </w:rPr>
              <w:t>ALGRANEL S.A.</w:t>
            </w:r>
          </w:p>
        </w:tc>
        <w:tc>
          <w:tcPr>
            <w:tcW w:w="965" w:type="pct"/>
            <w:noWrap/>
            <w:vAlign w:val="center"/>
            <w:hideMark/>
          </w:tcPr>
          <w:p w14:paraId="3BF67868" w14:textId="77777777" w:rsidR="00B77260" w:rsidRPr="00951AB1" w:rsidRDefault="00B77260" w:rsidP="000A5389">
            <w:pPr>
              <w:spacing w:line="240" w:lineRule="auto"/>
              <w:jc w:val="right"/>
              <w:rPr>
                <w:rFonts w:eastAsia="Times New Roman" w:cs="Times New Roman"/>
                <w:b/>
                <w:bCs/>
                <w:color w:val="000000"/>
                <w:kern w:val="0"/>
                <w:sz w:val="18"/>
                <w:szCs w:val="18"/>
                <w:lang w:eastAsia="es-CO"/>
                <w14:ligatures w14:val="none"/>
              </w:rPr>
            </w:pPr>
            <w:r w:rsidRPr="00951AB1">
              <w:rPr>
                <w:rFonts w:eastAsia="Times New Roman" w:cs="Times New Roman"/>
                <w:b/>
                <w:bCs/>
                <w:color w:val="000000"/>
                <w:kern w:val="0"/>
                <w:sz w:val="18"/>
                <w:szCs w:val="18"/>
                <w:lang w:eastAsia="es-CO"/>
                <w14:ligatures w14:val="none"/>
              </w:rPr>
              <w:t>40.409.285.485</w:t>
            </w:r>
          </w:p>
        </w:tc>
        <w:tc>
          <w:tcPr>
            <w:tcW w:w="945" w:type="pct"/>
            <w:noWrap/>
            <w:vAlign w:val="center"/>
            <w:hideMark/>
          </w:tcPr>
          <w:p w14:paraId="7975FBA1" w14:textId="77777777" w:rsidR="00B77260" w:rsidRPr="00951AB1" w:rsidRDefault="00B77260" w:rsidP="000A5389">
            <w:pPr>
              <w:spacing w:line="240" w:lineRule="auto"/>
              <w:jc w:val="right"/>
              <w:rPr>
                <w:rFonts w:eastAsia="Times New Roman" w:cs="Times New Roman"/>
                <w:b/>
                <w:bCs/>
                <w:color w:val="000000"/>
                <w:kern w:val="0"/>
                <w:sz w:val="18"/>
                <w:szCs w:val="18"/>
                <w:lang w:eastAsia="es-CO"/>
                <w14:ligatures w14:val="none"/>
              </w:rPr>
            </w:pPr>
            <w:r w:rsidRPr="00951AB1">
              <w:rPr>
                <w:rFonts w:eastAsia="Times New Roman" w:cs="Times New Roman"/>
                <w:b/>
                <w:bCs/>
                <w:color w:val="000000"/>
                <w:kern w:val="0"/>
                <w:sz w:val="18"/>
                <w:szCs w:val="18"/>
                <w:lang w:eastAsia="es-CO"/>
                <w14:ligatures w14:val="none"/>
              </w:rPr>
              <w:t>36.263.184.756</w:t>
            </w:r>
          </w:p>
        </w:tc>
        <w:tc>
          <w:tcPr>
            <w:tcW w:w="845" w:type="pct"/>
            <w:noWrap/>
            <w:vAlign w:val="center"/>
            <w:hideMark/>
          </w:tcPr>
          <w:p w14:paraId="3E434520" w14:textId="77777777" w:rsidR="00B77260" w:rsidRPr="00951AB1" w:rsidRDefault="00B77260" w:rsidP="000A5389">
            <w:pPr>
              <w:spacing w:line="240" w:lineRule="auto"/>
              <w:jc w:val="right"/>
              <w:rPr>
                <w:rFonts w:eastAsia="Times New Roman" w:cs="Times New Roman"/>
                <w:b/>
                <w:bCs/>
                <w:color w:val="000000"/>
                <w:kern w:val="0"/>
                <w:sz w:val="18"/>
                <w:szCs w:val="18"/>
                <w:lang w:eastAsia="es-CO"/>
                <w14:ligatures w14:val="none"/>
              </w:rPr>
            </w:pPr>
            <w:r w:rsidRPr="00951AB1">
              <w:rPr>
                <w:rFonts w:eastAsia="Times New Roman" w:cs="Times New Roman"/>
                <w:b/>
                <w:bCs/>
                <w:color w:val="000000"/>
                <w:kern w:val="0"/>
                <w:sz w:val="18"/>
                <w:szCs w:val="18"/>
                <w:lang w:eastAsia="es-CO"/>
                <w14:ligatures w14:val="none"/>
              </w:rPr>
              <w:t>76.672.470.241</w:t>
            </w:r>
          </w:p>
        </w:tc>
      </w:tr>
      <w:tr w:rsidR="005A73C0" w:rsidRPr="00951AB1" w14:paraId="2A795091" w14:textId="77777777" w:rsidTr="004004C5">
        <w:trPr>
          <w:trHeight w:val="293"/>
        </w:trPr>
        <w:tc>
          <w:tcPr>
            <w:tcW w:w="2245" w:type="pct"/>
            <w:vAlign w:val="center"/>
            <w:hideMark/>
          </w:tcPr>
          <w:p w14:paraId="17D03902" w14:textId="77777777" w:rsidR="00B77260" w:rsidRPr="00951AB1" w:rsidRDefault="00B77260" w:rsidP="000A5389">
            <w:pPr>
              <w:spacing w:line="240" w:lineRule="auto"/>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Propiedades, Plan y Equipo</w:t>
            </w:r>
          </w:p>
        </w:tc>
        <w:tc>
          <w:tcPr>
            <w:tcW w:w="965" w:type="pct"/>
            <w:noWrap/>
            <w:vAlign w:val="center"/>
            <w:hideMark/>
          </w:tcPr>
          <w:p w14:paraId="2A27B940" w14:textId="77777777" w:rsidR="00B77260" w:rsidRPr="00951AB1" w:rsidRDefault="00B77260"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101.266.693</w:t>
            </w:r>
          </w:p>
        </w:tc>
        <w:tc>
          <w:tcPr>
            <w:tcW w:w="945" w:type="pct"/>
            <w:noWrap/>
            <w:vAlign w:val="center"/>
            <w:hideMark/>
          </w:tcPr>
          <w:p w14:paraId="50FA9694" w14:textId="77777777" w:rsidR="00B77260" w:rsidRPr="00951AB1" w:rsidRDefault="00B77260"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101.266.693</w:t>
            </w:r>
          </w:p>
        </w:tc>
        <w:tc>
          <w:tcPr>
            <w:tcW w:w="845" w:type="pct"/>
            <w:noWrap/>
            <w:vAlign w:val="center"/>
            <w:hideMark/>
          </w:tcPr>
          <w:p w14:paraId="386F8CCC" w14:textId="77777777" w:rsidR="00B77260" w:rsidRPr="00951AB1" w:rsidRDefault="00B77260"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202.533.386</w:t>
            </w:r>
          </w:p>
        </w:tc>
      </w:tr>
      <w:tr w:rsidR="005A73C0" w:rsidRPr="00951AB1" w14:paraId="60941335" w14:textId="77777777" w:rsidTr="004004C5">
        <w:trPr>
          <w:trHeight w:val="293"/>
        </w:trPr>
        <w:tc>
          <w:tcPr>
            <w:tcW w:w="2245" w:type="pct"/>
            <w:vAlign w:val="center"/>
            <w:hideMark/>
          </w:tcPr>
          <w:p w14:paraId="0B149815" w14:textId="77777777" w:rsidR="00B77260" w:rsidRPr="00951AB1" w:rsidRDefault="00B77260" w:rsidP="000A5389">
            <w:pPr>
              <w:spacing w:line="240" w:lineRule="auto"/>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Red marítima</w:t>
            </w:r>
          </w:p>
        </w:tc>
        <w:tc>
          <w:tcPr>
            <w:tcW w:w="965" w:type="pct"/>
            <w:noWrap/>
            <w:vAlign w:val="center"/>
            <w:hideMark/>
          </w:tcPr>
          <w:p w14:paraId="301B0318" w14:textId="77777777" w:rsidR="00B77260" w:rsidRPr="00951AB1" w:rsidRDefault="00B77260"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40.308.018.792</w:t>
            </w:r>
          </w:p>
        </w:tc>
        <w:tc>
          <w:tcPr>
            <w:tcW w:w="945" w:type="pct"/>
            <w:noWrap/>
            <w:vAlign w:val="center"/>
            <w:hideMark/>
          </w:tcPr>
          <w:p w14:paraId="175282AB" w14:textId="77777777" w:rsidR="00B77260" w:rsidRPr="00951AB1" w:rsidRDefault="00B77260"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36.161.918.063</w:t>
            </w:r>
          </w:p>
        </w:tc>
        <w:tc>
          <w:tcPr>
            <w:tcW w:w="845" w:type="pct"/>
            <w:noWrap/>
            <w:vAlign w:val="center"/>
            <w:hideMark/>
          </w:tcPr>
          <w:p w14:paraId="536B9085" w14:textId="77777777" w:rsidR="00B77260" w:rsidRPr="00951AB1" w:rsidRDefault="00B77260"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76.469.936.855</w:t>
            </w:r>
          </w:p>
        </w:tc>
      </w:tr>
      <w:tr w:rsidR="005A73C0" w:rsidRPr="00951AB1" w14:paraId="71067235" w14:textId="77777777" w:rsidTr="004004C5">
        <w:trPr>
          <w:trHeight w:val="458"/>
        </w:trPr>
        <w:tc>
          <w:tcPr>
            <w:tcW w:w="2245" w:type="pct"/>
            <w:vAlign w:val="center"/>
            <w:hideMark/>
          </w:tcPr>
          <w:p w14:paraId="2BB1D0BD" w14:textId="77777777" w:rsidR="00B77260" w:rsidRPr="00951AB1" w:rsidRDefault="00B77260" w:rsidP="000A5389">
            <w:pPr>
              <w:spacing w:line="240" w:lineRule="auto"/>
              <w:rPr>
                <w:rFonts w:eastAsia="Times New Roman" w:cs="Times New Roman"/>
                <w:b/>
                <w:bCs/>
                <w:color w:val="000000"/>
                <w:kern w:val="0"/>
                <w:sz w:val="18"/>
                <w:szCs w:val="18"/>
                <w:lang w:eastAsia="es-CO"/>
                <w14:ligatures w14:val="none"/>
              </w:rPr>
            </w:pPr>
            <w:r w:rsidRPr="00951AB1">
              <w:rPr>
                <w:rFonts w:eastAsia="Times New Roman" w:cs="Times New Roman"/>
                <w:b/>
                <w:bCs/>
                <w:color w:val="000000"/>
                <w:kern w:val="0"/>
                <w:sz w:val="18"/>
                <w:szCs w:val="18"/>
                <w:lang w:eastAsia="es-CO"/>
                <w14:ligatures w14:val="none"/>
              </w:rPr>
              <w:t>EMPRESA COLOMBIANA PESQUERA DE TOLU SA PESTOLU SA</w:t>
            </w:r>
          </w:p>
        </w:tc>
        <w:tc>
          <w:tcPr>
            <w:tcW w:w="965" w:type="pct"/>
            <w:noWrap/>
            <w:vAlign w:val="center"/>
            <w:hideMark/>
          </w:tcPr>
          <w:p w14:paraId="5FA1BF7F" w14:textId="77777777" w:rsidR="00B77260" w:rsidRPr="00951AB1" w:rsidRDefault="00B77260" w:rsidP="000A5389">
            <w:pPr>
              <w:spacing w:line="240" w:lineRule="auto"/>
              <w:jc w:val="right"/>
              <w:rPr>
                <w:rFonts w:eastAsia="Times New Roman" w:cs="Times New Roman"/>
                <w:b/>
                <w:bCs/>
                <w:color w:val="000000"/>
                <w:kern w:val="0"/>
                <w:sz w:val="18"/>
                <w:szCs w:val="18"/>
                <w:lang w:eastAsia="es-CO"/>
                <w14:ligatures w14:val="none"/>
              </w:rPr>
            </w:pPr>
            <w:r w:rsidRPr="00951AB1">
              <w:rPr>
                <w:rFonts w:eastAsia="Times New Roman" w:cs="Times New Roman"/>
                <w:b/>
                <w:bCs/>
                <w:color w:val="000000"/>
                <w:kern w:val="0"/>
                <w:sz w:val="18"/>
                <w:szCs w:val="18"/>
                <w:lang w:eastAsia="es-CO"/>
                <w14:ligatures w14:val="none"/>
              </w:rPr>
              <w:t>71.339.819</w:t>
            </w:r>
          </w:p>
        </w:tc>
        <w:tc>
          <w:tcPr>
            <w:tcW w:w="945" w:type="pct"/>
            <w:noWrap/>
            <w:vAlign w:val="center"/>
            <w:hideMark/>
          </w:tcPr>
          <w:p w14:paraId="5B3C46FF" w14:textId="77777777" w:rsidR="00B77260" w:rsidRPr="00951AB1" w:rsidRDefault="00B77260" w:rsidP="000A5389">
            <w:pPr>
              <w:spacing w:line="240" w:lineRule="auto"/>
              <w:jc w:val="right"/>
              <w:rPr>
                <w:rFonts w:eastAsia="Times New Roman" w:cs="Times New Roman"/>
                <w:b/>
                <w:bCs/>
                <w:color w:val="000000"/>
                <w:kern w:val="0"/>
                <w:sz w:val="18"/>
                <w:szCs w:val="18"/>
                <w:lang w:eastAsia="es-CO"/>
                <w14:ligatures w14:val="none"/>
              </w:rPr>
            </w:pPr>
            <w:r w:rsidRPr="00951AB1">
              <w:rPr>
                <w:rFonts w:eastAsia="Times New Roman" w:cs="Times New Roman"/>
                <w:b/>
                <w:bCs/>
                <w:color w:val="000000"/>
                <w:kern w:val="0"/>
                <w:sz w:val="18"/>
                <w:szCs w:val="18"/>
                <w:lang w:eastAsia="es-CO"/>
                <w14:ligatures w14:val="none"/>
              </w:rPr>
              <w:t>71.339.819</w:t>
            </w:r>
          </w:p>
        </w:tc>
        <w:tc>
          <w:tcPr>
            <w:tcW w:w="845" w:type="pct"/>
            <w:noWrap/>
            <w:vAlign w:val="center"/>
            <w:hideMark/>
          </w:tcPr>
          <w:p w14:paraId="327C9900" w14:textId="77777777" w:rsidR="00B77260" w:rsidRPr="00951AB1" w:rsidRDefault="00B77260" w:rsidP="000A5389">
            <w:pPr>
              <w:spacing w:line="240" w:lineRule="auto"/>
              <w:jc w:val="right"/>
              <w:rPr>
                <w:rFonts w:eastAsia="Times New Roman" w:cs="Times New Roman"/>
                <w:b/>
                <w:bCs/>
                <w:color w:val="000000"/>
                <w:kern w:val="0"/>
                <w:sz w:val="18"/>
                <w:szCs w:val="18"/>
                <w:lang w:eastAsia="es-CO"/>
                <w14:ligatures w14:val="none"/>
              </w:rPr>
            </w:pPr>
            <w:r w:rsidRPr="00951AB1">
              <w:rPr>
                <w:rFonts w:eastAsia="Times New Roman" w:cs="Times New Roman"/>
                <w:b/>
                <w:bCs/>
                <w:color w:val="000000"/>
                <w:kern w:val="0"/>
                <w:sz w:val="18"/>
                <w:szCs w:val="18"/>
                <w:lang w:eastAsia="es-CO"/>
                <w14:ligatures w14:val="none"/>
              </w:rPr>
              <w:t>142.679.638</w:t>
            </w:r>
          </w:p>
        </w:tc>
      </w:tr>
      <w:tr w:rsidR="005A73C0" w:rsidRPr="00951AB1" w14:paraId="641E890A" w14:textId="77777777" w:rsidTr="004004C5">
        <w:trPr>
          <w:trHeight w:val="293"/>
        </w:trPr>
        <w:tc>
          <w:tcPr>
            <w:tcW w:w="2245" w:type="pct"/>
            <w:vAlign w:val="center"/>
            <w:hideMark/>
          </w:tcPr>
          <w:p w14:paraId="1F5859F6" w14:textId="77777777" w:rsidR="00B77260" w:rsidRPr="00951AB1" w:rsidRDefault="00B77260" w:rsidP="000A5389">
            <w:pPr>
              <w:spacing w:line="240" w:lineRule="auto"/>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Red marítima</w:t>
            </w:r>
          </w:p>
        </w:tc>
        <w:tc>
          <w:tcPr>
            <w:tcW w:w="965" w:type="pct"/>
            <w:noWrap/>
            <w:vAlign w:val="center"/>
            <w:hideMark/>
          </w:tcPr>
          <w:p w14:paraId="1B7FEBD7" w14:textId="77777777" w:rsidR="00B77260" w:rsidRPr="00951AB1" w:rsidRDefault="00B77260"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71.339.819</w:t>
            </w:r>
          </w:p>
        </w:tc>
        <w:tc>
          <w:tcPr>
            <w:tcW w:w="945" w:type="pct"/>
            <w:noWrap/>
            <w:vAlign w:val="center"/>
            <w:hideMark/>
          </w:tcPr>
          <w:p w14:paraId="158756CC" w14:textId="77777777" w:rsidR="00B77260" w:rsidRPr="00951AB1" w:rsidRDefault="00B77260"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71.339.819</w:t>
            </w:r>
          </w:p>
        </w:tc>
        <w:tc>
          <w:tcPr>
            <w:tcW w:w="845" w:type="pct"/>
            <w:noWrap/>
            <w:vAlign w:val="center"/>
            <w:hideMark/>
          </w:tcPr>
          <w:p w14:paraId="041992BA" w14:textId="77777777" w:rsidR="00B77260" w:rsidRPr="00951AB1" w:rsidRDefault="00B77260"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142.679.638</w:t>
            </w:r>
          </w:p>
        </w:tc>
      </w:tr>
      <w:tr w:rsidR="005A73C0" w:rsidRPr="00951AB1" w14:paraId="53FAD964" w14:textId="77777777" w:rsidTr="004004C5">
        <w:trPr>
          <w:trHeight w:val="293"/>
        </w:trPr>
        <w:tc>
          <w:tcPr>
            <w:tcW w:w="2245" w:type="pct"/>
            <w:vAlign w:val="center"/>
            <w:hideMark/>
          </w:tcPr>
          <w:p w14:paraId="027C2991" w14:textId="77777777" w:rsidR="00B77260" w:rsidRPr="00951AB1" w:rsidRDefault="00B77260" w:rsidP="000A5389">
            <w:pPr>
              <w:spacing w:line="240" w:lineRule="auto"/>
              <w:rPr>
                <w:rFonts w:eastAsia="Times New Roman" w:cs="Times New Roman"/>
                <w:b/>
                <w:bCs/>
                <w:color w:val="000000"/>
                <w:kern w:val="0"/>
                <w:sz w:val="18"/>
                <w:szCs w:val="18"/>
                <w:lang w:eastAsia="es-CO"/>
                <w14:ligatures w14:val="none"/>
              </w:rPr>
            </w:pPr>
            <w:r w:rsidRPr="00951AB1">
              <w:rPr>
                <w:rFonts w:eastAsia="Times New Roman" w:cs="Times New Roman"/>
                <w:b/>
                <w:bCs/>
                <w:color w:val="000000"/>
                <w:kern w:val="0"/>
                <w:sz w:val="18"/>
                <w:szCs w:val="18"/>
                <w:lang w:eastAsia="es-CO"/>
                <w14:ligatures w14:val="none"/>
              </w:rPr>
              <w:t>TRANSPETROL LTDA.</w:t>
            </w:r>
          </w:p>
        </w:tc>
        <w:tc>
          <w:tcPr>
            <w:tcW w:w="965" w:type="pct"/>
            <w:noWrap/>
            <w:vAlign w:val="center"/>
            <w:hideMark/>
          </w:tcPr>
          <w:p w14:paraId="7053467C" w14:textId="77777777" w:rsidR="00B77260" w:rsidRPr="00951AB1" w:rsidRDefault="00B77260" w:rsidP="000A5389">
            <w:pPr>
              <w:spacing w:line="240" w:lineRule="auto"/>
              <w:jc w:val="right"/>
              <w:rPr>
                <w:rFonts w:eastAsia="Times New Roman" w:cs="Times New Roman"/>
                <w:b/>
                <w:bCs/>
                <w:color w:val="000000"/>
                <w:kern w:val="0"/>
                <w:sz w:val="18"/>
                <w:szCs w:val="18"/>
                <w:lang w:eastAsia="es-CO"/>
                <w14:ligatures w14:val="none"/>
              </w:rPr>
            </w:pPr>
            <w:r w:rsidRPr="00951AB1">
              <w:rPr>
                <w:rFonts w:eastAsia="Times New Roman" w:cs="Times New Roman"/>
                <w:b/>
                <w:bCs/>
                <w:color w:val="000000"/>
                <w:kern w:val="0"/>
                <w:sz w:val="18"/>
                <w:szCs w:val="18"/>
                <w:lang w:eastAsia="es-CO"/>
                <w14:ligatures w14:val="none"/>
              </w:rPr>
              <w:t>737.443.871</w:t>
            </w:r>
          </w:p>
        </w:tc>
        <w:tc>
          <w:tcPr>
            <w:tcW w:w="945" w:type="pct"/>
            <w:noWrap/>
            <w:vAlign w:val="center"/>
            <w:hideMark/>
          </w:tcPr>
          <w:p w14:paraId="45C406B3" w14:textId="77777777" w:rsidR="00B77260" w:rsidRPr="00951AB1" w:rsidRDefault="00B77260" w:rsidP="000A5389">
            <w:pPr>
              <w:spacing w:line="240" w:lineRule="auto"/>
              <w:jc w:val="right"/>
              <w:rPr>
                <w:rFonts w:eastAsia="Times New Roman" w:cs="Times New Roman"/>
                <w:b/>
                <w:bCs/>
                <w:color w:val="000000"/>
                <w:kern w:val="0"/>
                <w:sz w:val="18"/>
                <w:szCs w:val="18"/>
                <w:lang w:eastAsia="es-CO"/>
                <w14:ligatures w14:val="none"/>
              </w:rPr>
            </w:pPr>
            <w:r w:rsidRPr="00951AB1">
              <w:rPr>
                <w:rFonts w:eastAsia="Times New Roman" w:cs="Times New Roman"/>
                <w:b/>
                <w:bCs/>
                <w:color w:val="000000"/>
                <w:kern w:val="0"/>
                <w:sz w:val="18"/>
                <w:szCs w:val="18"/>
                <w:lang w:eastAsia="es-CO"/>
                <w14:ligatures w14:val="none"/>
              </w:rPr>
              <w:t>737.443.871</w:t>
            </w:r>
          </w:p>
        </w:tc>
        <w:tc>
          <w:tcPr>
            <w:tcW w:w="845" w:type="pct"/>
            <w:noWrap/>
            <w:vAlign w:val="center"/>
            <w:hideMark/>
          </w:tcPr>
          <w:p w14:paraId="0C41D0FB" w14:textId="77777777" w:rsidR="00B77260" w:rsidRPr="00951AB1" w:rsidRDefault="00B77260" w:rsidP="000A5389">
            <w:pPr>
              <w:spacing w:line="240" w:lineRule="auto"/>
              <w:jc w:val="right"/>
              <w:rPr>
                <w:rFonts w:eastAsia="Times New Roman" w:cs="Times New Roman"/>
                <w:b/>
                <w:bCs/>
                <w:color w:val="000000"/>
                <w:kern w:val="0"/>
                <w:sz w:val="18"/>
                <w:szCs w:val="18"/>
                <w:lang w:eastAsia="es-CO"/>
                <w14:ligatures w14:val="none"/>
              </w:rPr>
            </w:pPr>
            <w:r w:rsidRPr="00951AB1">
              <w:rPr>
                <w:rFonts w:eastAsia="Times New Roman" w:cs="Times New Roman"/>
                <w:b/>
                <w:bCs/>
                <w:color w:val="000000"/>
                <w:kern w:val="0"/>
                <w:sz w:val="18"/>
                <w:szCs w:val="18"/>
                <w:lang w:eastAsia="es-CO"/>
                <w14:ligatures w14:val="none"/>
              </w:rPr>
              <w:t>1.474.887.742</w:t>
            </w:r>
          </w:p>
        </w:tc>
      </w:tr>
      <w:tr w:rsidR="005A73C0" w:rsidRPr="00951AB1" w14:paraId="06B8B38A" w14:textId="77777777" w:rsidTr="004004C5">
        <w:trPr>
          <w:trHeight w:val="293"/>
        </w:trPr>
        <w:tc>
          <w:tcPr>
            <w:tcW w:w="2245" w:type="pct"/>
            <w:vAlign w:val="center"/>
            <w:hideMark/>
          </w:tcPr>
          <w:p w14:paraId="5972B19C" w14:textId="77777777" w:rsidR="00B77260" w:rsidRPr="00951AB1" w:rsidRDefault="00B77260" w:rsidP="000A5389">
            <w:pPr>
              <w:spacing w:line="240" w:lineRule="auto"/>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Propiedades, Plan y Equipo</w:t>
            </w:r>
          </w:p>
        </w:tc>
        <w:tc>
          <w:tcPr>
            <w:tcW w:w="965" w:type="pct"/>
            <w:noWrap/>
            <w:vAlign w:val="center"/>
            <w:hideMark/>
          </w:tcPr>
          <w:p w14:paraId="2014972C" w14:textId="77777777" w:rsidR="00B77260" w:rsidRPr="00951AB1" w:rsidRDefault="00B77260"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80.324.900</w:t>
            </w:r>
          </w:p>
        </w:tc>
        <w:tc>
          <w:tcPr>
            <w:tcW w:w="945" w:type="pct"/>
            <w:noWrap/>
            <w:vAlign w:val="center"/>
            <w:hideMark/>
          </w:tcPr>
          <w:p w14:paraId="50F8433B" w14:textId="77777777" w:rsidR="00B77260" w:rsidRPr="00951AB1" w:rsidRDefault="00B77260"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80.324.900</w:t>
            </w:r>
          </w:p>
        </w:tc>
        <w:tc>
          <w:tcPr>
            <w:tcW w:w="845" w:type="pct"/>
            <w:noWrap/>
            <w:vAlign w:val="center"/>
            <w:hideMark/>
          </w:tcPr>
          <w:p w14:paraId="5F381CE0" w14:textId="77777777" w:rsidR="00B77260" w:rsidRPr="00951AB1" w:rsidRDefault="00B77260"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160.649.800</w:t>
            </w:r>
          </w:p>
        </w:tc>
      </w:tr>
      <w:tr w:rsidR="005A73C0" w:rsidRPr="00951AB1" w14:paraId="38F38B73" w14:textId="77777777" w:rsidTr="004004C5">
        <w:trPr>
          <w:trHeight w:val="293"/>
        </w:trPr>
        <w:tc>
          <w:tcPr>
            <w:tcW w:w="2245" w:type="pct"/>
            <w:vAlign w:val="center"/>
            <w:hideMark/>
          </w:tcPr>
          <w:p w14:paraId="76CC79C4" w14:textId="77777777" w:rsidR="00B77260" w:rsidRPr="00951AB1" w:rsidRDefault="00B77260" w:rsidP="000A5389">
            <w:pPr>
              <w:spacing w:line="240" w:lineRule="auto"/>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Red marítima</w:t>
            </w:r>
          </w:p>
        </w:tc>
        <w:tc>
          <w:tcPr>
            <w:tcW w:w="965" w:type="pct"/>
            <w:noWrap/>
            <w:vAlign w:val="center"/>
            <w:hideMark/>
          </w:tcPr>
          <w:p w14:paraId="1D683CBB" w14:textId="77777777" w:rsidR="00B77260" w:rsidRPr="00951AB1" w:rsidRDefault="00B77260"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657.118.971</w:t>
            </w:r>
          </w:p>
        </w:tc>
        <w:tc>
          <w:tcPr>
            <w:tcW w:w="945" w:type="pct"/>
            <w:noWrap/>
            <w:vAlign w:val="center"/>
            <w:hideMark/>
          </w:tcPr>
          <w:p w14:paraId="42EE9465" w14:textId="77777777" w:rsidR="00B77260" w:rsidRPr="00951AB1" w:rsidRDefault="00B77260"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657.118.971</w:t>
            </w:r>
          </w:p>
        </w:tc>
        <w:tc>
          <w:tcPr>
            <w:tcW w:w="845" w:type="pct"/>
            <w:noWrap/>
            <w:vAlign w:val="center"/>
            <w:hideMark/>
          </w:tcPr>
          <w:p w14:paraId="55BFC4F3" w14:textId="77777777" w:rsidR="00B77260" w:rsidRPr="00951AB1" w:rsidRDefault="00B77260"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1.314.237.942</w:t>
            </w:r>
          </w:p>
        </w:tc>
      </w:tr>
      <w:tr w:rsidR="005A73C0" w:rsidRPr="00951AB1" w14:paraId="0AB20889" w14:textId="77777777" w:rsidTr="004004C5">
        <w:trPr>
          <w:trHeight w:val="458"/>
        </w:trPr>
        <w:tc>
          <w:tcPr>
            <w:tcW w:w="2245" w:type="pct"/>
            <w:vAlign w:val="center"/>
            <w:hideMark/>
          </w:tcPr>
          <w:p w14:paraId="72398734" w14:textId="77777777" w:rsidR="00B77260" w:rsidRPr="00951AB1" w:rsidRDefault="00B77260" w:rsidP="000A5389">
            <w:pPr>
              <w:spacing w:line="240" w:lineRule="auto"/>
              <w:rPr>
                <w:rFonts w:eastAsia="Times New Roman" w:cs="Times New Roman"/>
                <w:b/>
                <w:bCs/>
                <w:color w:val="000000"/>
                <w:kern w:val="0"/>
                <w:sz w:val="18"/>
                <w:szCs w:val="18"/>
                <w:lang w:eastAsia="es-CO"/>
                <w14:ligatures w14:val="none"/>
              </w:rPr>
            </w:pPr>
            <w:r w:rsidRPr="00951AB1">
              <w:rPr>
                <w:rFonts w:eastAsia="Times New Roman" w:cs="Times New Roman"/>
                <w:b/>
                <w:bCs/>
                <w:color w:val="000000"/>
                <w:kern w:val="0"/>
                <w:sz w:val="18"/>
                <w:szCs w:val="18"/>
                <w:lang w:eastAsia="es-CO"/>
                <w14:ligatures w14:val="none"/>
              </w:rPr>
              <w:t>SOCIEDAD PORTUARIA OPERADORA INTERNACIONAL S.A..</w:t>
            </w:r>
          </w:p>
        </w:tc>
        <w:tc>
          <w:tcPr>
            <w:tcW w:w="965" w:type="pct"/>
            <w:noWrap/>
            <w:vAlign w:val="center"/>
            <w:hideMark/>
          </w:tcPr>
          <w:p w14:paraId="2404BA39" w14:textId="77777777" w:rsidR="00B77260" w:rsidRPr="00951AB1" w:rsidRDefault="00B77260" w:rsidP="000A5389">
            <w:pPr>
              <w:spacing w:line="240" w:lineRule="auto"/>
              <w:jc w:val="right"/>
              <w:rPr>
                <w:rFonts w:eastAsia="Times New Roman" w:cs="Times New Roman"/>
                <w:b/>
                <w:bCs/>
                <w:color w:val="000000"/>
                <w:kern w:val="0"/>
                <w:sz w:val="18"/>
                <w:szCs w:val="18"/>
                <w:lang w:eastAsia="es-CO"/>
                <w14:ligatures w14:val="none"/>
              </w:rPr>
            </w:pPr>
            <w:r w:rsidRPr="00951AB1">
              <w:rPr>
                <w:rFonts w:eastAsia="Times New Roman" w:cs="Times New Roman"/>
                <w:b/>
                <w:bCs/>
                <w:color w:val="000000"/>
                <w:kern w:val="0"/>
                <w:sz w:val="18"/>
                <w:szCs w:val="18"/>
                <w:lang w:eastAsia="es-CO"/>
                <w14:ligatures w14:val="none"/>
              </w:rPr>
              <w:t>3.490.209.764</w:t>
            </w:r>
          </w:p>
        </w:tc>
        <w:tc>
          <w:tcPr>
            <w:tcW w:w="945" w:type="pct"/>
            <w:noWrap/>
            <w:vAlign w:val="center"/>
            <w:hideMark/>
          </w:tcPr>
          <w:p w14:paraId="6468D893" w14:textId="77777777" w:rsidR="00B77260" w:rsidRPr="00951AB1" w:rsidRDefault="00B77260" w:rsidP="000A5389">
            <w:pPr>
              <w:spacing w:line="240" w:lineRule="auto"/>
              <w:jc w:val="right"/>
              <w:rPr>
                <w:rFonts w:eastAsia="Times New Roman" w:cs="Times New Roman"/>
                <w:b/>
                <w:bCs/>
                <w:color w:val="000000"/>
                <w:kern w:val="0"/>
                <w:sz w:val="18"/>
                <w:szCs w:val="18"/>
                <w:lang w:eastAsia="es-CO"/>
                <w14:ligatures w14:val="none"/>
              </w:rPr>
            </w:pPr>
            <w:r w:rsidRPr="00951AB1">
              <w:rPr>
                <w:rFonts w:eastAsia="Times New Roman" w:cs="Times New Roman"/>
                <w:b/>
                <w:bCs/>
                <w:color w:val="000000"/>
                <w:kern w:val="0"/>
                <w:sz w:val="18"/>
                <w:szCs w:val="18"/>
                <w:lang w:eastAsia="es-CO"/>
                <w14:ligatures w14:val="none"/>
              </w:rPr>
              <w:t>3.490.209.764</w:t>
            </w:r>
          </w:p>
        </w:tc>
        <w:tc>
          <w:tcPr>
            <w:tcW w:w="845" w:type="pct"/>
            <w:noWrap/>
            <w:vAlign w:val="center"/>
            <w:hideMark/>
          </w:tcPr>
          <w:p w14:paraId="25495E43" w14:textId="77777777" w:rsidR="00B77260" w:rsidRPr="00951AB1" w:rsidRDefault="00B77260" w:rsidP="000A5389">
            <w:pPr>
              <w:spacing w:line="240" w:lineRule="auto"/>
              <w:jc w:val="right"/>
              <w:rPr>
                <w:rFonts w:eastAsia="Times New Roman" w:cs="Times New Roman"/>
                <w:b/>
                <w:bCs/>
                <w:color w:val="000000"/>
                <w:kern w:val="0"/>
                <w:sz w:val="18"/>
                <w:szCs w:val="18"/>
                <w:lang w:eastAsia="es-CO"/>
                <w14:ligatures w14:val="none"/>
              </w:rPr>
            </w:pPr>
            <w:r w:rsidRPr="00951AB1">
              <w:rPr>
                <w:rFonts w:eastAsia="Times New Roman" w:cs="Times New Roman"/>
                <w:b/>
                <w:bCs/>
                <w:color w:val="000000"/>
                <w:kern w:val="0"/>
                <w:sz w:val="18"/>
                <w:szCs w:val="18"/>
                <w:lang w:eastAsia="es-CO"/>
                <w14:ligatures w14:val="none"/>
              </w:rPr>
              <w:t>6.980.419.529</w:t>
            </w:r>
          </w:p>
        </w:tc>
      </w:tr>
      <w:tr w:rsidR="005A73C0" w:rsidRPr="00951AB1" w14:paraId="5269D38A" w14:textId="77777777" w:rsidTr="004004C5">
        <w:trPr>
          <w:trHeight w:val="293"/>
        </w:trPr>
        <w:tc>
          <w:tcPr>
            <w:tcW w:w="2245" w:type="pct"/>
            <w:vAlign w:val="center"/>
            <w:hideMark/>
          </w:tcPr>
          <w:p w14:paraId="6AFE1B3A" w14:textId="77777777" w:rsidR="00B77260" w:rsidRPr="00951AB1" w:rsidRDefault="00B77260" w:rsidP="000A5389">
            <w:pPr>
              <w:spacing w:line="240" w:lineRule="auto"/>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Red marítima</w:t>
            </w:r>
          </w:p>
        </w:tc>
        <w:tc>
          <w:tcPr>
            <w:tcW w:w="965" w:type="pct"/>
            <w:noWrap/>
            <w:vAlign w:val="center"/>
            <w:hideMark/>
          </w:tcPr>
          <w:p w14:paraId="31676766" w14:textId="77777777" w:rsidR="00B77260" w:rsidRPr="00951AB1" w:rsidRDefault="00B77260"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3.490.209.764</w:t>
            </w:r>
          </w:p>
        </w:tc>
        <w:tc>
          <w:tcPr>
            <w:tcW w:w="945" w:type="pct"/>
            <w:noWrap/>
            <w:vAlign w:val="center"/>
            <w:hideMark/>
          </w:tcPr>
          <w:p w14:paraId="66F67A1C" w14:textId="77777777" w:rsidR="00B77260" w:rsidRPr="00951AB1" w:rsidRDefault="00B77260"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3.490.209.764</w:t>
            </w:r>
          </w:p>
        </w:tc>
        <w:tc>
          <w:tcPr>
            <w:tcW w:w="845" w:type="pct"/>
            <w:noWrap/>
            <w:vAlign w:val="center"/>
            <w:hideMark/>
          </w:tcPr>
          <w:p w14:paraId="18B77E02" w14:textId="77777777" w:rsidR="00B77260" w:rsidRPr="00951AB1" w:rsidRDefault="00B77260"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6.980.419.529</w:t>
            </w:r>
          </w:p>
        </w:tc>
      </w:tr>
      <w:tr w:rsidR="005A73C0" w:rsidRPr="00951AB1" w14:paraId="1949287F" w14:textId="77777777" w:rsidTr="004004C5">
        <w:trPr>
          <w:trHeight w:val="293"/>
        </w:trPr>
        <w:tc>
          <w:tcPr>
            <w:tcW w:w="2245" w:type="pct"/>
            <w:vAlign w:val="center"/>
            <w:hideMark/>
          </w:tcPr>
          <w:p w14:paraId="40E5338B" w14:textId="77777777" w:rsidR="00B77260" w:rsidRPr="00951AB1" w:rsidRDefault="00B77260" w:rsidP="000A5389">
            <w:pPr>
              <w:spacing w:line="240" w:lineRule="auto"/>
              <w:rPr>
                <w:rFonts w:eastAsia="Times New Roman" w:cs="Times New Roman"/>
                <w:b/>
                <w:bCs/>
                <w:color w:val="000000"/>
                <w:kern w:val="0"/>
                <w:sz w:val="18"/>
                <w:szCs w:val="18"/>
                <w:lang w:eastAsia="es-CO"/>
                <w14:ligatures w14:val="none"/>
              </w:rPr>
            </w:pPr>
            <w:r w:rsidRPr="00951AB1">
              <w:rPr>
                <w:rFonts w:eastAsia="Times New Roman" w:cs="Times New Roman"/>
                <w:b/>
                <w:bCs/>
                <w:color w:val="000000"/>
                <w:kern w:val="0"/>
                <w:sz w:val="18"/>
                <w:szCs w:val="18"/>
                <w:lang w:eastAsia="es-CO"/>
                <w14:ligatures w14:val="none"/>
              </w:rPr>
              <w:t>ECOPETROL S A</w:t>
            </w:r>
          </w:p>
        </w:tc>
        <w:tc>
          <w:tcPr>
            <w:tcW w:w="965" w:type="pct"/>
            <w:noWrap/>
            <w:vAlign w:val="center"/>
            <w:hideMark/>
          </w:tcPr>
          <w:p w14:paraId="33F7303E" w14:textId="77777777" w:rsidR="00B77260" w:rsidRPr="00951AB1" w:rsidRDefault="00B77260" w:rsidP="000A5389">
            <w:pPr>
              <w:spacing w:line="240" w:lineRule="auto"/>
              <w:jc w:val="right"/>
              <w:rPr>
                <w:rFonts w:eastAsia="Times New Roman" w:cs="Times New Roman"/>
                <w:b/>
                <w:bCs/>
                <w:color w:val="000000"/>
                <w:kern w:val="0"/>
                <w:sz w:val="18"/>
                <w:szCs w:val="18"/>
                <w:lang w:eastAsia="es-CO"/>
                <w14:ligatures w14:val="none"/>
              </w:rPr>
            </w:pPr>
            <w:r w:rsidRPr="00951AB1">
              <w:rPr>
                <w:rFonts w:eastAsia="Times New Roman" w:cs="Times New Roman"/>
                <w:b/>
                <w:bCs/>
                <w:color w:val="000000"/>
                <w:kern w:val="0"/>
                <w:sz w:val="18"/>
                <w:szCs w:val="18"/>
                <w:lang w:eastAsia="es-CO"/>
                <w14:ligatures w14:val="none"/>
              </w:rPr>
              <w:t>230.020.569.390</w:t>
            </w:r>
          </w:p>
        </w:tc>
        <w:tc>
          <w:tcPr>
            <w:tcW w:w="945" w:type="pct"/>
            <w:noWrap/>
            <w:vAlign w:val="center"/>
            <w:hideMark/>
          </w:tcPr>
          <w:p w14:paraId="2D027EB6" w14:textId="77777777" w:rsidR="00B77260" w:rsidRPr="00951AB1" w:rsidRDefault="00B77260" w:rsidP="000A5389">
            <w:pPr>
              <w:spacing w:line="240" w:lineRule="auto"/>
              <w:jc w:val="right"/>
              <w:rPr>
                <w:rFonts w:eastAsia="Times New Roman" w:cs="Times New Roman"/>
                <w:b/>
                <w:bCs/>
                <w:color w:val="000000"/>
                <w:kern w:val="0"/>
                <w:sz w:val="18"/>
                <w:szCs w:val="18"/>
                <w:lang w:eastAsia="es-CO"/>
                <w14:ligatures w14:val="none"/>
              </w:rPr>
            </w:pPr>
            <w:r w:rsidRPr="00951AB1">
              <w:rPr>
                <w:rFonts w:eastAsia="Times New Roman" w:cs="Times New Roman"/>
                <w:b/>
                <w:bCs/>
                <w:color w:val="000000"/>
                <w:kern w:val="0"/>
                <w:sz w:val="18"/>
                <w:szCs w:val="18"/>
                <w:lang w:eastAsia="es-CO"/>
                <w14:ligatures w14:val="none"/>
              </w:rPr>
              <w:t>219.095.291.482</w:t>
            </w:r>
          </w:p>
        </w:tc>
        <w:tc>
          <w:tcPr>
            <w:tcW w:w="845" w:type="pct"/>
            <w:noWrap/>
            <w:vAlign w:val="center"/>
            <w:hideMark/>
          </w:tcPr>
          <w:p w14:paraId="53C3CAD5" w14:textId="77777777" w:rsidR="00B77260" w:rsidRPr="00951AB1" w:rsidRDefault="00B77260" w:rsidP="000A5389">
            <w:pPr>
              <w:spacing w:line="240" w:lineRule="auto"/>
              <w:jc w:val="right"/>
              <w:rPr>
                <w:rFonts w:eastAsia="Times New Roman" w:cs="Times New Roman"/>
                <w:b/>
                <w:bCs/>
                <w:color w:val="000000"/>
                <w:kern w:val="0"/>
                <w:sz w:val="18"/>
                <w:szCs w:val="18"/>
                <w:lang w:eastAsia="es-CO"/>
                <w14:ligatures w14:val="none"/>
              </w:rPr>
            </w:pPr>
            <w:r w:rsidRPr="00951AB1">
              <w:rPr>
                <w:rFonts w:eastAsia="Times New Roman" w:cs="Times New Roman"/>
                <w:b/>
                <w:bCs/>
                <w:color w:val="000000"/>
                <w:kern w:val="0"/>
                <w:sz w:val="18"/>
                <w:szCs w:val="18"/>
                <w:lang w:eastAsia="es-CO"/>
                <w14:ligatures w14:val="none"/>
              </w:rPr>
              <w:t>449.115.860.872</w:t>
            </w:r>
          </w:p>
        </w:tc>
      </w:tr>
      <w:tr w:rsidR="005A73C0" w:rsidRPr="00951AB1" w14:paraId="2DBCD542" w14:textId="77777777" w:rsidTr="004004C5">
        <w:trPr>
          <w:trHeight w:val="293"/>
        </w:trPr>
        <w:tc>
          <w:tcPr>
            <w:tcW w:w="2245" w:type="pct"/>
            <w:vAlign w:val="center"/>
            <w:hideMark/>
          </w:tcPr>
          <w:p w14:paraId="26A33ED2" w14:textId="77777777" w:rsidR="00B77260" w:rsidRPr="00951AB1" w:rsidRDefault="00B77260" w:rsidP="000A5389">
            <w:pPr>
              <w:spacing w:line="240" w:lineRule="auto"/>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Propiedades, Plan y Equipo</w:t>
            </w:r>
          </w:p>
        </w:tc>
        <w:tc>
          <w:tcPr>
            <w:tcW w:w="965" w:type="pct"/>
            <w:noWrap/>
            <w:vAlign w:val="center"/>
            <w:hideMark/>
          </w:tcPr>
          <w:p w14:paraId="5FADB7FB" w14:textId="77777777" w:rsidR="00B77260" w:rsidRPr="00951AB1" w:rsidRDefault="00B77260"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10.216.185.000</w:t>
            </w:r>
          </w:p>
        </w:tc>
        <w:tc>
          <w:tcPr>
            <w:tcW w:w="945" w:type="pct"/>
            <w:noWrap/>
            <w:vAlign w:val="center"/>
            <w:hideMark/>
          </w:tcPr>
          <w:p w14:paraId="26781325" w14:textId="77777777" w:rsidR="00B77260" w:rsidRPr="00951AB1" w:rsidRDefault="00B77260"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10.216.185.000</w:t>
            </w:r>
          </w:p>
        </w:tc>
        <w:tc>
          <w:tcPr>
            <w:tcW w:w="845" w:type="pct"/>
            <w:noWrap/>
            <w:vAlign w:val="center"/>
            <w:hideMark/>
          </w:tcPr>
          <w:p w14:paraId="678328B0" w14:textId="77777777" w:rsidR="00B77260" w:rsidRPr="00951AB1" w:rsidRDefault="00B77260"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20.432.370.000</w:t>
            </w:r>
          </w:p>
        </w:tc>
      </w:tr>
      <w:tr w:rsidR="005A73C0" w:rsidRPr="00951AB1" w14:paraId="178771EA" w14:textId="77777777" w:rsidTr="004004C5">
        <w:trPr>
          <w:trHeight w:val="293"/>
        </w:trPr>
        <w:tc>
          <w:tcPr>
            <w:tcW w:w="2245" w:type="pct"/>
            <w:vAlign w:val="center"/>
            <w:hideMark/>
          </w:tcPr>
          <w:p w14:paraId="404E1F57" w14:textId="77777777" w:rsidR="00B77260" w:rsidRPr="00951AB1" w:rsidRDefault="00B77260" w:rsidP="000A5389">
            <w:pPr>
              <w:spacing w:line="240" w:lineRule="auto"/>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Red marítima</w:t>
            </w:r>
          </w:p>
        </w:tc>
        <w:tc>
          <w:tcPr>
            <w:tcW w:w="965" w:type="pct"/>
            <w:noWrap/>
            <w:vAlign w:val="center"/>
            <w:hideMark/>
          </w:tcPr>
          <w:p w14:paraId="101528B2" w14:textId="77777777" w:rsidR="00B77260" w:rsidRPr="00951AB1" w:rsidRDefault="00B77260"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219.804.384.390</w:t>
            </w:r>
          </w:p>
        </w:tc>
        <w:tc>
          <w:tcPr>
            <w:tcW w:w="945" w:type="pct"/>
            <w:noWrap/>
            <w:vAlign w:val="center"/>
            <w:hideMark/>
          </w:tcPr>
          <w:p w14:paraId="16C6F135" w14:textId="77777777" w:rsidR="00B77260" w:rsidRPr="00951AB1" w:rsidRDefault="00B77260"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208.879.106.482</w:t>
            </w:r>
          </w:p>
        </w:tc>
        <w:tc>
          <w:tcPr>
            <w:tcW w:w="845" w:type="pct"/>
            <w:noWrap/>
            <w:vAlign w:val="center"/>
            <w:hideMark/>
          </w:tcPr>
          <w:p w14:paraId="69204F19" w14:textId="77777777" w:rsidR="00B77260" w:rsidRPr="00951AB1" w:rsidRDefault="00B77260"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428.683.490.872</w:t>
            </w:r>
          </w:p>
        </w:tc>
      </w:tr>
      <w:tr w:rsidR="005A73C0" w:rsidRPr="00951AB1" w14:paraId="6A4D100D" w14:textId="77777777" w:rsidTr="004004C5">
        <w:trPr>
          <w:trHeight w:val="458"/>
        </w:trPr>
        <w:tc>
          <w:tcPr>
            <w:tcW w:w="2245" w:type="pct"/>
            <w:vAlign w:val="center"/>
            <w:hideMark/>
          </w:tcPr>
          <w:p w14:paraId="4229CCD7" w14:textId="77777777" w:rsidR="00B77260" w:rsidRPr="00951AB1" w:rsidRDefault="00B77260" w:rsidP="000A5389">
            <w:pPr>
              <w:spacing w:line="240" w:lineRule="auto"/>
              <w:rPr>
                <w:rFonts w:eastAsia="Times New Roman" w:cs="Times New Roman"/>
                <w:b/>
                <w:bCs/>
                <w:color w:val="000000"/>
                <w:kern w:val="0"/>
                <w:sz w:val="18"/>
                <w:szCs w:val="18"/>
                <w:lang w:eastAsia="es-CO"/>
                <w14:ligatures w14:val="none"/>
              </w:rPr>
            </w:pPr>
            <w:r w:rsidRPr="00951AB1">
              <w:rPr>
                <w:rFonts w:eastAsia="Times New Roman" w:cs="Times New Roman"/>
                <w:b/>
                <w:bCs/>
                <w:color w:val="000000"/>
                <w:kern w:val="0"/>
                <w:sz w:val="18"/>
                <w:szCs w:val="18"/>
                <w:lang w:eastAsia="es-CO"/>
                <w14:ligatures w14:val="none"/>
              </w:rPr>
              <w:t>AGENCIA LOGISTICA DE LAS FUERZAS MILITARES</w:t>
            </w:r>
          </w:p>
        </w:tc>
        <w:tc>
          <w:tcPr>
            <w:tcW w:w="965" w:type="pct"/>
            <w:noWrap/>
            <w:vAlign w:val="center"/>
            <w:hideMark/>
          </w:tcPr>
          <w:p w14:paraId="58A41BBC" w14:textId="77777777" w:rsidR="00B77260" w:rsidRPr="00951AB1" w:rsidRDefault="00B77260" w:rsidP="000A5389">
            <w:pPr>
              <w:spacing w:line="240" w:lineRule="auto"/>
              <w:jc w:val="right"/>
              <w:rPr>
                <w:rFonts w:eastAsia="Times New Roman" w:cs="Times New Roman"/>
                <w:b/>
                <w:bCs/>
                <w:color w:val="000000"/>
                <w:kern w:val="0"/>
                <w:sz w:val="18"/>
                <w:szCs w:val="18"/>
                <w:lang w:eastAsia="es-CO"/>
                <w14:ligatures w14:val="none"/>
              </w:rPr>
            </w:pPr>
            <w:r w:rsidRPr="00951AB1">
              <w:rPr>
                <w:rFonts w:eastAsia="Times New Roman" w:cs="Times New Roman"/>
                <w:b/>
                <w:bCs/>
                <w:color w:val="000000"/>
                <w:kern w:val="0"/>
                <w:sz w:val="18"/>
                <w:szCs w:val="18"/>
                <w:lang w:eastAsia="es-CO"/>
                <w14:ligatures w14:val="none"/>
              </w:rPr>
              <w:t>6.378.787.494</w:t>
            </w:r>
          </w:p>
        </w:tc>
        <w:tc>
          <w:tcPr>
            <w:tcW w:w="945" w:type="pct"/>
            <w:noWrap/>
            <w:vAlign w:val="center"/>
            <w:hideMark/>
          </w:tcPr>
          <w:p w14:paraId="2AC8EE04" w14:textId="77777777" w:rsidR="00B77260" w:rsidRPr="00951AB1" w:rsidRDefault="00B77260" w:rsidP="000A5389">
            <w:pPr>
              <w:spacing w:line="240" w:lineRule="auto"/>
              <w:jc w:val="right"/>
              <w:rPr>
                <w:rFonts w:eastAsia="Times New Roman" w:cs="Times New Roman"/>
                <w:b/>
                <w:bCs/>
                <w:color w:val="000000"/>
                <w:kern w:val="0"/>
                <w:sz w:val="18"/>
                <w:szCs w:val="18"/>
                <w:lang w:eastAsia="es-CO"/>
                <w14:ligatures w14:val="none"/>
              </w:rPr>
            </w:pPr>
            <w:r w:rsidRPr="00951AB1">
              <w:rPr>
                <w:rFonts w:eastAsia="Times New Roman" w:cs="Times New Roman"/>
                <w:b/>
                <w:bCs/>
                <w:color w:val="000000"/>
                <w:kern w:val="0"/>
                <w:sz w:val="18"/>
                <w:szCs w:val="18"/>
                <w:lang w:eastAsia="es-CO"/>
                <w14:ligatures w14:val="none"/>
              </w:rPr>
              <w:t>6.378.787.494</w:t>
            </w:r>
          </w:p>
        </w:tc>
        <w:tc>
          <w:tcPr>
            <w:tcW w:w="845" w:type="pct"/>
            <w:noWrap/>
            <w:vAlign w:val="center"/>
            <w:hideMark/>
          </w:tcPr>
          <w:p w14:paraId="795FC673" w14:textId="77777777" w:rsidR="00B77260" w:rsidRPr="00951AB1" w:rsidRDefault="00B77260" w:rsidP="000A5389">
            <w:pPr>
              <w:spacing w:line="240" w:lineRule="auto"/>
              <w:jc w:val="right"/>
              <w:rPr>
                <w:rFonts w:eastAsia="Times New Roman" w:cs="Times New Roman"/>
                <w:b/>
                <w:bCs/>
                <w:color w:val="000000"/>
                <w:kern w:val="0"/>
                <w:sz w:val="18"/>
                <w:szCs w:val="18"/>
                <w:lang w:eastAsia="es-CO"/>
                <w14:ligatures w14:val="none"/>
              </w:rPr>
            </w:pPr>
            <w:r w:rsidRPr="00951AB1">
              <w:rPr>
                <w:rFonts w:eastAsia="Times New Roman" w:cs="Times New Roman"/>
                <w:b/>
                <w:bCs/>
                <w:color w:val="000000"/>
                <w:kern w:val="0"/>
                <w:sz w:val="18"/>
                <w:szCs w:val="18"/>
                <w:lang w:eastAsia="es-CO"/>
                <w14:ligatures w14:val="none"/>
              </w:rPr>
              <w:t>12.757.574.989</w:t>
            </w:r>
          </w:p>
        </w:tc>
      </w:tr>
      <w:tr w:rsidR="005A73C0" w:rsidRPr="00951AB1" w14:paraId="61A76FFC" w14:textId="77777777" w:rsidTr="004004C5">
        <w:trPr>
          <w:trHeight w:val="293"/>
        </w:trPr>
        <w:tc>
          <w:tcPr>
            <w:tcW w:w="2245" w:type="pct"/>
            <w:vAlign w:val="center"/>
            <w:hideMark/>
          </w:tcPr>
          <w:p w14:paraId="296DC0AE" w14:textId="77777777" w:rsidR="00B77260" w:rsidRPr="00951AB1" w:rsidRDefault="00B77260" w:rsidP="000A5389">
            <w:pPr>
              <w:spacing w:line="240" w:lineRule="auto"/>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Propiedades, Plan y Equipo</w:t>
            </w:r>
          </w:p>
        </w:tc>
        <w:tc>
          <w:tcPr>
            <w:tcW w:w="965" w:type="pct"/>
            <w:noWrap/>
            <w:vAlign w:val="center"/>
            <w:hideMark/>
          </w:tcPr>
          <w:p w14:paraId="728593A6" w14:textId="77777777" w:rsidR="00B77260" w:rsidRPr="00951AB1" w:rsidRDefault="00B77260"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176.167.621</w:t>
            </w:r>
          </w:p>
        </w:tc>
        <w:tc>
          <w:tcPr>
            <w:tcW w:w="945" w:type="pct"/>
            <w:noWrap/>
            <w:vAlign w:val="center"/>
            <w:hideMark/>
          </w:tcPr>
          <w:p w14:paraId="097E293D" w14:textId="77777777" w:rsidR="00B77260" w:rsidRPr="00951AB1" w:rsidRDefault="00B77260"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176.167.621</w:t>
            </w:r>
          </w:p>
        </w:tc>
        <w:tc>
          <w:tcPr>
            <w:tcW w:w="845" w:type="pct"/>
            <w:noWrap/>
            <w:vAlign w:val="center"/>
            <w:hideMark/>
          </w:tcPr>
          <w:p w14:paraId="4800CC39" w14:textId="77777777" w:rsidR="00B77260" w:rsidRPr="00951AB1" w:rsidRDefault="00B77260"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352.335.242</w:t>
            </w:r>
          </w:p>
        </w:tc>
      </w:tr>
      <w:tr w:rsidR="005A73C0" w:rsidRPr="00951AB1" w14:paraId="32B5044B" w14:textId="77777777" w:rsidTr="004004C5">
        <w:trPr>
          <w:trHeight w:val="293"/>
        </w:trPr>
        <w:tc>
          <w:tcPr>
            <w:tcW w:w="2245" w:type="pct"/>
            <w:vAlign w:val="center"/>
            <w:hideMark/>
          </w:tcPr>
          <w:p w14:paraId="6F80091C" w14:textId="77777777" w:rsidR="00B77260" w:rsidRPr="00951AB1" w:rsidRDefault="00B77260" w:rsidP="000A5389">
            <w:pPr>
              <w:spacing w:line="240" w:lineRule="auto"/>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Red marítima</w:t>
            </w:r>
          </w:p>
        </w:tc>
        <w:tc>
          <w:tcPr>
            <w:tcW w:w="965" w:type="pct"/>
            <w:noWrap/>
            <w:vAlign w:val="center"/>
            <w:hideMark/>
          </w:tcPr>
          <w:p w14:paraId="1DEA6CF6" w14:textId="77777777" w:rsidR="00B77260" w:rsidRPr="00951AB1" w:rsidRDefault="00B77260"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6.202.619.873</w:t>
            </w:r>
          </w:p>
        </w:tc>
        <w:tc>
          <w:tcPr>
            <w:tcW w:w="945" w:type="pct"/>
            <w:noWrap/>
            <w:vAlign w:val="center"/>
            <w:hideMark/>
          </w:tcPr>
          <w:p w14:paraId="4562E186" w14:textId="77777777" w:rsidR="00B77260" w:rsidRPr="00951AB1" w:rsidRDefault="00B77260"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6.202.619.873</w:t>
            </w:r>
          </w:p>
        </w:tc>
        <w:tc>
          <w:tcPr>
            <w:tcW w:w="845" w:type="pct"/>
            <w:noWrap/>
            <w:vAlign w:val="center"/>
            <w:hideMark/>
          </w:tcPr>
          <w:p w14:paraId="7D72A871" w14:textId="77777777" w:rsidR="00B77260" w:rsidRPr="00951AB1" w:rsidRDefault="00B77260"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12.405.239.747</w:t>
            </w:r>
          </w:p>
        </w:tc>
      </w:tr>
      <w:tr w:rsidR="005A73C0" w:rsidRPr="00951AB1" w14:paraId="7FCBC923" w14:textId="77777777" w:rsidTr="004004C5">
        <w:trPr>
          <w:trHeight w:val="293"/>
        </w:trPr>
        <w:tc>
          <w:tcPr>
            <w:tcW w:w="2245" w:type="pct"/>
            <w:vAlign w:val="center"/>
            <w:hideMark/>
          </w:tcPr>
          <w:p w14:paraId="657273DB" w14:textId="77777777" w:rsidR="00B77260" w:rsidRPr="00951AB1" w:rsidRDefault="00B77260" w:rsidP="000A5389">
            <w:pPr>
              <w:spacing w:line="240" w:lineRule="auto"/>
              <w:rPr>
                <w:rFonts w:eastAsia="Times New Roman" w:cs="Times New Roman"/>
                <w:b/>
                <w:bCs/>
                <w:color w:val="000000"/>
                <w:kern w:val="0"/>
                <w:sz w:val="18"/>
                <w:szCs w:val="18"/>
                <w:lang w:eastAsia="es-CO"/>
                <w14:ligatures w14:val="none"/>
              </w:rPr>
            </w:pPr>
            <w:r w:rsidRPr="00951AB1">
              <w:rPr>
                <w:rFonts w:eastAsia="Times New Roman" w:cs="Times New Roman"/>
                <w:b/>
                <w:bCs/>
                <w:color w:val="000000"/>
                <w:kern w:val="0"/>
                <w:sz w:val="18"/>
                <w:szCs w:val="18"/>
                <w:lang w:eastAsia="es-CO"/>
                <w14:ligatures w14:val="none"/>
              </w:rPr>
              <w:t>SALINAS MARITIMAS DE MANAURE LTDA</w:t>
            </w:r>
          </w:p>
        </w:tc>
        <w:tc>
          <w:tcPr>
            <w:tcW w:w="965" w:type="pct"/>
            <w:noWrap/>
            <w:vAlign w:val="center"/>
            <w:hideMark/>
          </w:tcPr>
          <w:p w14:paraId="72D384C1" w14:textId="77777777" w:rsidR="00B77260" w:rsidRPr="00951AB1" w:rsidRDefault="00B77260" w:rsidP="000A5389">
            <w:pPr>
              <w:spacing w:line="240" w:lineRule="auto"/>
              <w:jc w:val="right"/>
              <w:rPr>
                <w:rFonts w:eastAsia="Times New Roman" w:cs="Times New Roman"/>
                <w:b/>
                <w:bCs/>
                <w:color w:val="000000"/>
                <w:kern w:val="0"/>
                <w:sz w:val="18"/>
                <w:szCs w:val="18"/>
                <w:lang w:eastAsia="es-CO"/>
                <w14:ligatures w14:val="none"/>
              </w:rPr>
            </w:pPr>
            <w:r w:rsidRPr="00951AB1">
              <w:rPr>
                <w:rFonts w:eastAsia="Times New Roman" w:cs="Times New Roman"/>
                <w:b/>
                <w:bCs/>
                <w:color w:val="000000"/>
                <w:kern w:val="0"/>
                <w:sz w:val="18"/>
                <w:szCs w:val="18"/>
                <w:lang w:eastAsia="es-CO"/>
                <w14:ligatures w14:val="none"/>
              </w:rPr>
              <w:t>658.168.549</w:t>
            </w:r>
          </w:p>
        </w:tc>
        <w:tc>
          <w:tcPr>
            <w:tcW w:w="945" w:type="pct"/>
            <w:noWrap/>
            <w:vAlign w:val="center"/>
            <w:hideMark/>
          </w:tcPr>
          <w:p w14:paraId="3798C50B" w14:textId="77777777" w:rsidR="00B77260" w:rsidRPr="00951AB1" w:rsidRDefault="00B77260" w:rsidP="000A5389">
            <w:pPr>
              <w:spacing w:line="240" w:lineRule="auto"/>
              <w:jc w:val="right"/>
              <w:rPr>
                <w:rFonts w:eastAsia="Times New Roman" w:cs="Times New Roman"/>
                <w:b/>
                <w:bCs/>
                <w:color w:val="000000"/>
                <w:kern w:val="0"/>
                <w:sz w:val="18"/>
                <w:szCs w:val="18"/>
                <w:lang w:eastAsia="es-CO"/>
                <w14:ligatures w14:val="none"/>
              </w:rPr>
            </w:pPr>
            <w:r w:rsidRPr="00951AB1">
              <w:rPr>
                <w:rFonts w:eastAsia="Times New Roman" w:cs="Times New Roman"/>
                <w:b/>
                <w:bCs/>
                <w:color w:val="000000"/>
                <w:kern w:val="0"/>
                <w:sz w:val="18"/>
                <w:szCs w:val="18"/>
                <w:lang w:eastAsia="es-CO"/>
                <w14:ligatures w14:val="none"/>
              </w:rPr>
              <w:t>658.168.549</w:t>
            </w:r>
          </w:p>
        </w:tc>
        <w:tc>
          <w:tcPr>
            <w:tcW w:w="845" w:type="pct"/>
            <w:noWrap/>
            <w:vAlign w:val="center"/>
            <w:hideMark/>
          </w:tcPr>
          <w:p w14:paraId="7ACC043E" w14:textId="77777777" w:rsidR="00B77260" w:rsidRPr="00951AB1" w:rsidRDefault="00B77260" w:rsidP="000A5389">
            <w:pPr>
              <w:spacing w:line="240" w:lineRule="auto"/>
              <w:jc w:val="right"/>
              <w:rPr>
                <w:rFonts w:eastAsia="Times New Roman" w:cs="Times New Roman"/>
                <w:b/>
                <w:bCs/>
                <w:color w:val="000000"/>
                <w:kern w:val="0"/>
                <w:sz w:val="18"/>
                <w:szCs w:val="18"/>
                <w:lang w:eastAsia="es-CO"/>
                <w14:ligatures w14:val="none"/>
              </w:rPr>
            </w:pPr>
            <w:r w:rsidRPr="00951AB1">
              <w:rPr>
                <w:rFonts w:eastAsia="Times New Roman" w:cs="Times New Roman"/>
                <w:b/>
                <w:bCs/>
                <w:color w:val="000000"/>
                <w:kern w:val="0"/>
                <w:sz w:val="18"/>
                <w:szCs w:val="18"/>
                <w:lang w:eastAsia="es-CO"/>
                <w14:ligatures w14:val="none"/>
              </w:rPr>
              <w:t>1.316.337.098</w:t>
            </w:r>
          </w:p>
        </w:tc>
      </w:tr>
      <w:tr w:rsidR="005A73C0" w:rsidRPr="00951AB1" w14:paraId="098C7224" w14:textId="77777777" w:rsidTr="004004C5">
        <w:trPr>
          <w:trHeight w:val="293"/>
        </w:trPr>
        <w:tc>
          <w:tcPr>
            <w:tcW w:w="2245" w:type="pct"/>
            <w:vAlign w:val="center"/>
            <w:hideMark/>
          </w:tcPr>
          <w:p w14:paraId="47F0456A" w14:textId="77777777" w:rsidR="00B77260" w:rsidRPr="00951AB1" w:rsidRDefault="00B77260" w:rsidP="000A5389">
            <w:pPr>
              <w:spacing w:line="240" w:lineRule="auto"/>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Red marítima</w:t>
            </w:r>
          </w:p>
        </w:tc>
        <w:tc>
          <w:tcPr>
            <w:tcW w:w="965" w:type="pct"/>
            <w:noWrap/>
            <w:vAlign w:val="center"/>
            <w:hideMark/>
          </w:tcPr>
          <w:p w14:paraId="67A3DD87" w14:textId="77777777" w:rsidR="00B77260" w:rsidRPr="00951AB1" w:rsidRDefault="00B77260"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658.168.549</w:t>
            </w:r>
          </w:p>
        </w:tc>
        <w:tc>
          <w:tcPr>
            <w:tcW w:w="945" w:type="pct"/>
            <w:noWrap/>
            <w:vAlign w:val="center"/>
            <w:hideMark/>
          </w:tcPr>
          <w:p w14:paraId="14768513" w14:textId="77777777" w:rsidR="00B77260" w:rsidRPr="00951AB1" w:rsidRDefault="00B77260"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658.168.549</w:t>
            </w:r>
          </w:p>
        </w:tc>
        <w:tc>
          <w:tcPr>
            <w:tcW w:w="845" w:type="pct"/>
            <w:noWrap/>
            <w:vAlign w:val="center"/>
            <w:hideMark/>
          </w:tcPr>
          <w:p w14:paraId="21DBD523" w14:textId="77777777" w:rsidR="00B77260" w:rsidRPr="00951AB1" w:rsidRDefault="00B77260"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1.316.337.098</w:t>
            </w:r>
          </w:p>
        </w:tc>
      </w:tr>
      <w:tr w:rsidR="005A73C0" w:rsidRPr="00951AB1" w14:paraId="6731B982" w14:textId="77777777" w:rsidTr="004004C5">
        <w:trPr>
          <w:trHeight w:val="293"/>
        </w:trPr>
        <w:tc>
          <w:tcPr>
            <w:tcW w:w="2245" w:type="pct"/>
            <w:vAlign w:val="center"/>
            <w:hideMark/>
          </w:tcPr>
          <w:p w14:paraId="6C037B0F" w14:textId="77777777" w:rsidR="00B77260" w:rsidRPr="00951AB1" w:rsidRDefault="00B77260" w:rsidP="000A5389">
            <w:pPr>
              <w:spacing w:line="240" w:lineRule="auto"/>
              <w:rPr>
                <w:rFonts w:eastAsia="Times New Roman" w:cs="Times New Roman"/>
                <w:b/>
                <w:bCs/>
                <w:color w:val="000000"/>
                <w:kern w:val="0"/>
                <w:sz w:val="18"/>
                <w:szCs w:val="18"/>
                <w:lang w:eastAsia="es-CO"/>
                <w14:ligatures w14:val="none"/>
              </w:rPr>
            </w:pPr>
            <w:r w:rsidRPr="00951AB1">
              <w:rPr>
                <w:rFonts w:eastAsia="Times New Roman" w:cs="Times New Roman"/>
                <w:b/>
                <w:bCs/>
                <w:color w:val="000000"/>
                <w:kern w:val="0"/>
                <w:sz w:val="18"/>
                <w:szCs w:val="18"/>
                <w:lang w:eastAsia="es-CO"/>
                <w14:ligatures w14:val="none"/>
              </w:rPr>
              <w:t>PUERTO BRISA S.A.</w:t>
            </w:r>
          </w:p>
        </w:tc>
        <w:tc>
          <w:tcPr>
            <w:tcW w:w="965" w:type="pct"/>
            <w:noWrap/>
            <w:vAlign w:val="center"/>
            <w:hideMark/>
          </w:tcPr>
          <w:p w14:paraId="5C94E030" w14:textId="77777777" w:rsidR="00B77260" w:rsidRPr="00951AB1" w:rsidRDefault="00B77260" w:rsidP="000A5389">
            <w:pPr>
              <w:spacing w:line="240" w:lineRule="auto"/>
              <w:jc w:val="right"/>
              <w:rPr>
                <w:rFonts w:eastAsia="Times New Roman" w:cs="Times New Roman"/>
                <w:b/>
                <w:bCs/>
                <w:color w:val="000000"/>
                <w:kern w:val="0"/>
                <w:sz w:val="18"/>
                <w:szCs w:val="18"/>
                <w:lang w:eastAsia="es-CO"/>
                <w14:ligatures w14:val="none"/>
              </w:rPr>
            </w:pPr>
            <w:r w:rsidRPr="00951AB1">
              <w:rPr>
                <w:rFonts w:eastAsia="Times New Roman" w:cs="Times New Roman"/>
                <w:b/>
                <w:bCs/>
                <w:color w:val="000000"/>
                <w:kern w:val="0"/>
                <w:sz w:val="18"/>
                <w:szCs w:val="18"/>
                <w:lang w:eastAsia="es-CO"/>
                <w14:ligatures w14:val="none"/>
              </w:rPr>
              <w:t>145.598.055.055</w:t>
            </w:r>
          </w:p>
        </w:tc>
        <w:tc>
          <w:tcPr>
            <w:tcW w:w="945" w:type="pct"/>
            <w:noWrap/>
            <w:vAlign w:val="center"/>
            <w:hideMark/>
          </w:tcPr>
          <w:p w14:paraId="56698773" w14:textId="77777777" w:rsidR="00B77260" w:rsidRPr="00951AB1" w:rsidRDefault="00B77260" w:rsidP="000A5389">
            <w:pPr>
              <w:spacing w:line="240" w:lineRule="auto"/>
              <w:jc w:val="right"/>
              <w:rPr>
                <w:rFonts w:eastAsia="Times New Roman" w:cs="Times New Roman"/>
                <w:b/>
                <w:bCs/>
                <w:color w:val="000000"/>
                <w:kern w:val="0"/>
                <w:sz w:val="18"/>
                <w:szCs w:val="18"/>
                <w:lang w:eastAsia="es-CO"/>
                <w14:ligatures w14:val="none"/>
              </w:rPr>
            </w:pPr>
            <w:r w:rsidRPr="00951AB1">
              <w:rPr>
                <w:rFonts w:eastAsia="Times New Roman" w:cs="Times New Roman"/>
                <w:b/>
                <w:bCs/>
                <w:color w:val="000000"/>
                <w:kern w:val="0"/>
                <w:sz w:val="18"/>
                <w:szCs w:val="18"/>
                <w:lang w:eastAsia="es-CO"/>
                <w14:ligatures w14:val="none"/>
              </w:rPr>
              <w:t>145.598.055.055</w:t>
            </w:r>
          </w:p>
        </w:tc>
        <w:tc>
          <w:tcPr>
            <w:tcW w:w="845" w:type="pct"/>
            <w:noWrap/>
            <w:vAlign w:val="center"/>
            <w:hideMark/>
          </w:tcPr>
          <w:p w14:paraId="297E23D7" w14:textId="77777777" w:rsidR="00B77260" w:rsidRPr="00951AB1" w:rsidRDefault="00B77260" w:rsidP="000A5389">
            <w:pPr>
              <w:spacing w:line="240" w:lineRule="auto"/>
              <w:jc w:val="right"/>
              <w:rPr>
                <w:rFonts w:eastAsia="Times New Roman" w:cs="Times New Roman"/>
                <w:b/>
                <w:bCs/>
                <w:color w:val="000000"/>
                <w:kern w:val="0"/>
                <w:sz w:val="18"/>
                <w:szCs w:val="18"/>
                <w:lang w:eastAsia="es-CO"/>
                <w14:ligatures w14:val="none"/>
              </w:rPr>
            </w:pPr>
            <w:r w:rsidRPr="00951AB1">
              <w:rPr>
                <w:rFonts w:eastAsia="Times New Roman" w:cs="Times New Roman"/>
                <w:b/>
                <w:bCs/>
                <w:color w:val="000000"/>
                <w:kern w:val="0"/>
                <w:sz w:val="18"/>
                <w:szCs w:val="18"/>
                <w:lang w:eastAsia="es-CO"/>
                <w14:ligatures w14:val="none"/>
              </w:rPr>
              <w:t>291.196.110.110</w:t>
            </w:r>
          </w:p>
        </w:tc>
      </w:tr>
      <w:tr w:rsidR="005A73C0" w:rsidRPr="00951AB1" w14:paraId="287D4836" w14:textId="77777777" w:rsidTr="004004C5">
        <w:trPr>
          <w:trHeight w:val="293"/>
        </w:trPr>
        <w:tc>
          <w:tcPr>
            <w:tcW w:w="2245" w:type="pct"/>
            <w:vAlign w:val="center"/>
            <w:hideMark/>
          </w:tcPr>
          <w:p w14:paraId="79A69839" w14:textId="77777777" w:rsidR="00B77260" w:rsidRPr="00951AB1" w:rsidRDefault="00B77260" w:rsidP="000A5389">
            <w:pPr>
              <w:spacing w:line="240" w:lineRule="auto"/>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Propiedades, Plan y Equipo</w:t>
            </w:r>
          </w:p>
        </w:tc>
        <w:tc>
          <w:tcPr>
            <w:tcW w:w="965" w:type="pct"/>
            <w:noWrap/>
            <w:vAlign w:val="center"/>
            <w:hideMark/>
          </w:tcPr>
          <w:p w14:paraId="072AC769" w14:textId="77777777" w:rsidR="00B77260" w:rsidRPr="00951AB1" w:rsidRDefault="00B77260"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8.670.607.298</w:t>
            </w:r>
          </w:p>
        </w:tc>
        <w:tc>
          <w:tcPr>
            <w:tcW w:w="945" w:type="pct"/>
            <w:noWrap/>
            <w:vAlign w:val="center"/>
            <w:hideMark/>
          </w:tcPr>
          <w:p w14:paraId="0F30AEA3" w14:textId="77777777" w:rsidR="00B77260" w:rsidRPr="00951AB1" w:rsidRDefault="00B77260"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8.670.607.298</w:t>
            </w:r>
          </w:p>
        </w:tc>
        <w:tc>
          <w:tcPr>
            <w:tcW w:w="845" w:type="pct"/>
            <w:noWrap/>
            <w:vAlign w:val="center"/>
            <w:hideMark/>
          </w:tcPr>
          <w:p w14:paraId="59A84C20" w14:textId="77777777" w:rsidR="00B77260" w:rsidRPr="00951AB1" w:rsidRDefault="00B77260"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17.341.214.597</w:t>
            </w:r>
          </w:p>
        </w:tc>
      </w:tr>
      <w:tr w:rsidR="005A73C0" w:rsidRPr="00951AB1" w14:paraId="7F3A79C0" w14:textId="77777777" w:rsidTr="004004C5">
        <w:trPr>
          <w:trHeight w:val="293"/>
        </w:trPr>
        <w:tc>
          <w:tcPr>
            <w:tcW w:w="2245" w:type="pct"/>
            <w:vAlign w:val="center"/>
            <w:hideMark/>
          </w:tcPr>
          <w:p w14:paraId="6947F843" w14:textId="77777777" w:rsidR="00B77260" w:rsidRPr="00951AB1" w:rsidRDefault="00B77260" w:rsidP="000A5389">
            <w:pPr>
              <w:spacing w:line="240" w:lineRule="auto"/>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Red marítima</w:t>
            </w:r>
          </w:p>
        </w:tc>
        <w:tc>
          <w:tcPr>
            <w:tcW w:w="965" w:type="pct"/>
            <w:noWrap/>
            <w:vAlign w:val="center"/>
            <w:hideMark/>
          </w:tcPr>
          <w:p w14:paraId="090C0879" w14:textId="77777777" w:rsidR="00B77260" w:rsidRPr="00951AB1" w:rsidRDefault="00B77260"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136.927.447.757</w:t>
            </w:r>
          </w:p>
        </w:tc>
        <w:tc>
          <w:tcPr>
            <w:tcW w:w="945" w:type="pct"/>
            <w:noWrap/>
            <w:vAlign w:val="center"/>
            <w:hideMark/>
          </w:tcPr>
          <w:p w14:paraId="2DADAD2D" w14:textId="77777777" w:rsidR="00B77260" w:rsidRPr="00951AB1" w:rsidRDefault="00B77260"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136.927.447.757</w:t>
            </w:r>
          </w:p>
        </w:tc>
        <w:tc>
          <w:tcPr>
            <w:tcW w:w="845" w:type="pct"/>
            <w:noWrap/>
            <w:vAlign w:val="center"/>
            <w:hideMark/>
          </w:tcPr>
          <w:p w14:paraId="7AD9590E" w14:textId="77777777" w:rsidR="00B77260" w:rsidRPr="00951AB1" w:rsidRDefault="00B77260"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273.854.895.513</w:t>
            </w:r>
          </w:p>
        </w:tc>
      </w:tr>
      <w:tr w:rsidR="005A73C0" w:rsidRPr="00951AB1" w14:paraId="19E1D996" w14:textId="77777777" w:rsidTr="004004C5">
        <w:trPr>
          <w:trHeight w:val="293"/>
        </w:trPr>
        <w:tc>
          <w:tcPr>
            <w:tcW w:w="2245" w:type="pct"/>
            <w:vAlign w:val="center"/>
            <w:hideMark/>
          </w:tcPr>
          <w:p w14:paraId="015DAAC6" w14:textId="77777777" w:rsidR="00B77260" w:rsidRPr="00951AB1" w:rsidRDefault="00B77260" w:rsidP="000A5389">
            <w:pPr>
              <w:spacing w:line="240" w:lineRule="auto"/>
              <w:rPr>
                <w:rFonts w:eastAsia="Times New Roman" w:cs="Times New Roman"/>
                <w:b/>
                <w:bCs/>
                <w:color w:val="000000"/>
                <w:kern w:val="0"/>
                <w:sz w:val="18"/>
                <w:szCs w:val="18"/>
                <w:lang w:eastAsia="es-CO"/>
                <w14:ligatures w14:val="none"/>
              </w:rPr>
            </w:pPr>
            <w:r w:rsidRPr="00951AB1">
              <w:rPr>
                <w:rFonts w:eastAsia="Times New Roman" w:cs="Times New Roman"/>
                <w:b/>
                <w:bCs/>
                <w:color w:val="000000"/>
                <w:kern w:val="0"/>
                <w:sz w:val="18"/>
                <w:szCs w:val="18"/>
                <w:lang w:eastAsia="es-CO"/>
                <w14:ligatures w14:val="none"/>
              </w:rPr>
              <w:t>SOCIEDAD PORTUARIA BAVARIA S.A.</w:t>
            </w:r>
          </w:p>
        </w:tc>
        <w:tc>
          <w:tcPr>
            <w:tcW w:w="965" w:type="pct"/>
            <w:noWrap/>
            <w:vAlign w:val="center"/>
            <w:hideMark/>
          </w:tcPr>
          <w:p w14:paraId="016D1053" w14:textId="77777777" w:rsidR="00B77260" w:rsidRPr="00951AB1" w:rsidRDefault="00B77260" w:rsidP="000A5389">
            <w:pPr>
              <w:spacing w:line="240" w:lineRule="auto"/>
              <w:jc w:val="right"/>
              <w:rPr>
                <w:rFonts w:eastAsia="Times New Roman" w:cs="Times New Roman"/>
                <w:b/>
                <w:bCs/>
                <w:color w:val="000000"/>
                <w:kern w:val="0"/>
                <w:sz w:val="18"/>
                <w:szCs w:val="18"/>
                <w:lang w:eastAsia="es-CO"/>
                <w14:ligatures w14:val="none"/>
              </w:rPr>
            </w:pPr>
            <w:r w:rsidRPr="00951AB1">
              <w:rPr>
                <w:rFonts w:eastAsia="Times New Roman" w:cs="Times New Roman"/>
                <w:b/>
                <w:bCs/>
                <w:color w:val="000000"/>
                <w:kern w:val="0"/>
                <w:sz w:val="18"/>
                <w:szCs w:val="18"/>
                <w:lang w:eastAsia="es-CO"/>
                <w14:ligatures w14:val="none"/>
              </w:rPr>
              <w:t>23.587.857.258</w:t>
            </w:r>
          </w:p>
        </w:tc>
        <w:tc>
          <w:tcPr>
            <w:tcW w:w="945" w:type="pct"/>
            <w:noWrap/>
            <w:vAlign w:val="center"/>
            <w:hideMark/>
          </w:tcPr>
          <w:p w14:paraId="501801F1" w14:textId="77777777" w:rsidR="00B77260" w:rsidRPr="00951AB1" w:rsidRDefault="00B77260" w:rsidP="000A5389">
            <w:pPr>
              <w:spacing w:line="240" w:lineRule="auto"/>
              <w:jc w:val="right"/>
              <w:rPr>
                <w:rFonts w:eastAsia="Times New Roman" w:cs="Times New Roman"/>
                <w:b/>
                <w:bCs/>
                <w:color w:val="000000"/>
                <w:kern w:val="0"/>
                <w:sz w:val="18"/>
                <w:szCs w:val="18"/>
                <w:lang w:eastAsia="es-CO"/>
                <w14:ligatures w14:val="none"/>
              </w:rPr>
            </w:pPr>
            <w:r w:rsidRPr="00951AB1">
              <w:rPr>
                <w:rFonts w:eastAsia="Times New Roman" w:cs="Times New Roman"/>
                <w:b/>
                <w:bCs/>
                <w:color w:val="000000"/>
                <w:kern w:val="0"/>
                <w:sz w:val="18"/>
                <w:szCs w:val="18"/>
                <w:lang w:eastAsia="es-CO"/>
                <w14:ligatures w14:val="none"/>
              </w:rPr>
              <w:t>21.132.402.173</w:t>
            </w:r>
          </w:p>
        </w:tc>
        <w:tc>
          <w:tcPr>
            <w:tcW w:w="845" w:type="pct"/>
            <w:noWrap/>
            <w:vAlign w:val="center"/>
            <w:hideMark/>
          </w:tcPr>
          <w:p w14:paraId="440F4BF5" w14:textId="77777777" w:rsidR="00B77260" w:rsidRPr="00951AB1" w:rsidRDefault="00B77260" w:rsidP="000A5389">
            <w:pPr>
              <w:spacing w:line="240" w:lineRule="auto"/>
              <w:jc w:val="right"/>
              <w:rPr>
                <w:rFonts w:eastAsia="Times New Roman" w:cs="Times New Roman"/>
                <w:b/>
                <w:bCs/>
                <w:color w:val="000000"/>
                <w:kern w:val="0"/>
                <w:sz w:val="18"/>
                <w:szCs w:val="18"/>
                <w:lang w:eastAsia="es-CO"/>
                <w14:ligatures w14:val="none"/>
              </w:rPr>
            </w:pPr>
            <w:r w:rsidRPr="00951AB1">
              <w:rPr>
                <w:rFonts w:eastAsia="Times New Roman" w:cs="Times New Roman"/>
                <w:b/>
                <w:bCs/>
                <w:color w:val="000000"/>
                <w:kern w:val="0"/>
                <w:sz w:val="18"/>
                <w:szCs w:val="18"/>
                <w:lang w:eastAsia="es-CO"/>
                <w14:ligatures w14:val="none"/>
              </w:rPr>
              <w:t>44.720.259.431</w:t>
            </w:r>
          </w:p>
        </w:tc>
      </w:tr>
      <w:tr w:rsidR="005A73C0" w:rsidRPr="00951AB1" w14:paraId="08C9F9D0" w14:textId="77777777" w:rsidTr="004004C5">
        <w:trPr>
          <w:trHeight w:val="293"/>
        </w:trPr>
        <w:tc>
          <w:tcPr>
            <w:tcW w:w="2245" w:type="pct"/>
            <w:vAlign w:val="center"/>
            <w:hideMark/>
          </w:tcPr>
          <w:p w14:paraId="08651255" w14:textId="77777777" w:rsidR="00B77260" w:rsidRPr="00951AB1" w:rsidRDefault="00B77260" w:rsidP="000A5389">
            <w:pPr>
              <w:spacing w:line="240" w:lineRule="auto"/>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Activos intangibles en concesión</w:t>
            </w:r>
          </w:p>
        </w:tc>
        <w:tc>
          <w:tcPr>
            <w:tcW w:w="965" w:type="pct"/>
            <w:noWrap/>
            <w:vAlign w:val="center"/>
            <w:hideMark/>
          </w:tcPr>
          <w:p w14:paraId="287CFB41" w14:textId="77777777" w:rsidR="00B77260" w:rsidRPr="00951AB1" w:rsidRDefault="00B77260"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296.118.683</w:t>
            </w:r>
          </w:p>
        </w:tc>
        <w:tc>
          <w:tcPr>
            <w:tcW w:w="945" w:type="pct"/>
            <w:noWrap/>
            <w:vAlign w:val="center"/>
            <w:hideMark/>
          </w:tcPr>
          <w:p w14:paraId="5DBFC52D" w14:textId="77777777" w:rsidR="00B77260" w:rsidRPr="00951AB1" w:rsidRDefault="00B77260" w:rsidP="000A5389">
            <w:pPr>
              <w:spacing w:line="240" w:lineRule="auto"/>
              <w:rPr>
                <w:rFonts w:eastAsia="Times New Roman" w:cs="Times New Roman"/>
                <w:color w:val="000000"/>
                <w:kern w:val="0"/>
                <w:lang w:eastAsia="es-CO"/>
                <w14:ligatures w14:val="none"/>
              </w:rPr>
            </w:pPr>
            <w:r w:rsidRPr="00951AB1">
              <w:rPr>
                <w:rFonts w:eastAsia="Times New Roman" w:cs="Times New Roman"/>
                <w:color w:val="000000"/>
                <w:kern w:val="0"/>
                <w:lang w:eastAsia="es-CO"/>
                <w14:ligatures w14:val="none"/>
              </w:rPr>
              <w:t> </w:t>
            </w:r>
          </w:p>
        </w:tc>
        <w:tc>
          <w:tcPr>
            <w:tcW w:w="845" w:type="pct"/>
            <w:noWrap/>
            <w:vAlign w:val="center"/>
            <w:hideMark/>
          </w:tcPr>
          <w:p w14:paraId="20FC4403" w14:textId="77777777" w:rsidR="00B77260" w:rsidRPr="00951AB1" w:rsidRDefault="00B77260"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296.118.683</w:t>
            </w:r>
          </w:p>
        </w:tc>
      </w:tr>
      <w:tr w:rsidR="005A73C0" w:rsidRPr="00951AB1" w14:paraId="0ADEC53B" w14:textId="77777777" w:rsidTr="004004C5">
        <w:trPr>
          <w:trHeight w:val="293"/>
        </w:trPr>
        <w:tc>
          <w:tcPr>
            <w:tcW w:w="2245" w:type="pct"/>
            <w:vAlign w:val="center"/>
            <w:hideMark/>
          </w:tcPr>
          <w:p w14:paraId="4781686B" w14:textId="77777777" w:rsidR="00B77260" w:rsidRPr="00951AB1" w:rsidRDefault="00B77260" w:rsidP="000A5389">
            <w:pPr>
              <w:spacing w:line="240" w:lineRule="auto"/>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Propiedades, Plan y Equipo</w:t>
            </w:r>
          </w:p>
        </w:tc>
        <w:tc>
          <w:tcPr>
            <w:tcW w:w="965" w:type="pct"/>
            <w:noWrap/>
            <w:vAlign w:val="center"/>
            <w:hideMark/>
          </w:tcPr>
          <w:p w14:paraId="4A8FB221" w14:textId="77777777" w:rsidR="00B77260" w:rsidRPr="00951AB1" w:rsidRDefault="00B77260"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11.702.384.521</w:t>
            </w:r>
          </w:p>
        </w:tc>
        <w:tc>
          <w:tcPr>
            <w:tcW w:w="945" w:type="pct"/>
            <w:noWrap/>
            <w:vAlign w:val="center"/>
            <w:hideMark/>
          </w:tcPr>
          <w:p w14:paraId="05B16CFD" w14:textId="77777777" w:rsidR="00B77260" w:rsidRPr="00951AB1" w:rsidRDefault="00B77260"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10.134.403.504</w:t>
            </w:r>
          </w:p>
        </w:tc>
        <w:tc>
          <w:tcPr>
            <w:tcW w:w="845" w:type="pct"/>
            <w:noWrap/>
            <w:vAlign w:val="center"/>
            <w:hideMark/>
          </w:tcPr>
          <w:p w14:paraId="02AEE6F4" w14:textId="77777777" w:rsidR="00B77260" w:rsidRPr="00951AB1" w:rsidRDefault="00B77260"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21.836.788.025</w:t>
            </w:r>
          </w:p>
        </w:tc>
      </w:tr>
      <w:tr w:rsidR="005A73C0" w:rsidRPr="00951AB1" w14:paraId="0B850056" w14:textId="77777777" w:rsidTr="004004C5">
        <w:trPr>
          <w:trHeight w:val="293"/>
        </w:trPr>
        <w:tc>
          <w:tcPr>
            <w:tcW w:w="2245" w:type="pct"/>
            <w:vAlign w:val="center"/>
            <w:hideMark/>
          </w:tcPr>
          <w:p w14:paraId="1F4130D2" w14:textId="77777777" w:rsidR="00B77260" w:rsidRPr="00951AB1" w:rsidRDefault="00B77260" w:rsidP="000A5389">
            <w:pPr>
              <w:spacing w:line="240" w:lineRule="auto"/>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Red marítima</w:t>
            </w:r>
          </w:p>
        </w:tc>
        <w:tc>
          <w:tcPr>
            <w:tcW w:w="965" w:type="pct"/>
            <w:noWrap/>
            <w:vAlign w:val="center"/>
            <w:hideMark/>
          </w:tcPr>
          <w:p w14:paraId="22FA9E3B" w14:textId="77777777" w:rsidR="00B77260" w:rsidRPr="00951AB1" w:rsidRDefault="00B77260"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11.589.354.054</w:t>
            </w:r>
          </w:p>
        </w:tc>
        <w:tc>
          <w:tcPr>
            <w:tcW w:w="945" w:type="pct"/>
            <w:noWrap/>
            <w:vAlign w:val="center"/>
            <w:hideMark/>
          </w:tcPr>
          <w:p w14:paraId="0394FFA3" w14:textId="77777777" w:rsidR="00B77260" w:rsidRPr="00951AB1" w:rsidRDefault="00B77260"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10.997.998.669</w:t>
            </w:r>
          </w:p>
        </w:tc>
        <w:tc>
          <w:tcPr>
            <w:tcW w:w="845" w:type="pct"/>
            <w:noWrap/>
            <w:vAlign w:val="center"/>
            <w:hideMark/>
          </w:tcPr>
          <w:p w14:paraId="061FC2E8" w14:textId="77777777" w:rsidR="00B77260" w:rsidRPr="00951AB1" w:rsidRDefault="00B77260"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22.587.352.723</w:t>
            </w:r>
          </w:p>
        </w:tc>
      </w:tr>
      <w:tr w:rsidR="005A73C0" w:rsidRPr="00951AB1" w14:paraId="3E8C62B7" w14:textId="77777777" w:rsidTr="004004C5">
        <w:trPr>
          <w:trHeight w:val="293"/>
        </w:trPr>
        <w:tc>
          <w:tcPr>
            <w:tcW w:w="2245" w:type="pct"/>
            <w:vAlign w:val="center"/>
            <w:hideMark/>
          </w:tcPr>
          <w:p w14:paraId="086A8800" w14:textId="77777777" w:rsidR="00B77260" w:rsidRPr="00951AB1" w:rsidRDefault="00B77260" w:rsidP="000A5389">
            <w:pPr>
              <w:spacing w:line="240" w:lineRule="auto"/>
              <w:rPr>
                <w:rFonts w:eastAsia="Times New Roman" w:cs="Times New Roman"/>
                <w:b/>
                <w:bCs/>
                <w:color w:val="000000"/>
                <w:kern w:val="0"/>
                <w:sz w:val="18"/>
                <w:szCs w:val="18"/>
                <w:lang w:eastAsia="es-CO"/>
                <w14:ligatures w14:val="none"/>
              </w:rPr>
            </w:pPr>
            <w:r w:rsidRPr="00951AB1">
              <w:rPr>
                <w:rFonts w:eastAsia="Times New Roman" w:cs="Times New Roman"/>
                <w:b/>
                <w:bCs/>
                <w:color w:val="000000"/>
                <w:kern w:val="0"/>
                <w:sz w:val="18"/>
                <w:szCs w:val="18"/>
                <w:lang w:eastAsia="es-CO"/>
                <w14:ligatures w14:val="none"/>
              </w:rPr>
              <w:t>REFINERIA DE CARTAGENA S.A.S</w:t>
            </w:r>
          </w:p>
        </w:tc>
        <w:tc>
          <w:tcPr>
            <w:tcW w:w="965" w:type="pct"/>
            <w:noWrap/>
            <w:vAlign w:val="center"/>
            <w:hideMark/>
          </w:tcPr>
          <w:p w14:paraId="79F00BED" w14:textId="77777777" w:rsidR="00B77260" w:rsidRPr="00951AB1" w:rsidRDefault="00B77260" w:rsidP="000A5389">
            <w:pPr>
              <w:spacing w:line="240" w:lineRule="auto"/>
              <w:jc w:val="right"/>
              <w:rPr>
                <w:rFonts w:eastAsia="Times New Roman" w:cs="Times New Roman"/>
                <w:b/>
                <w:bCs/>
                <w:color w:val="000000"/>
                <w:kern w:val="0"/>
                <w:sz w:val="18"/>
                <w:szCs w:val="18"/>
                <w:lang w:eastAsia="es-CO"/>
                <w14:ligatures w14:val="none"/>
              </w:rPr>
            </w:pPr>
            <w:r w:rsidRPr="00951AB1">
              <w:rPr>
                <w:rFonts w:eastAsia="Times New Roman" w:cs="Times New Roman"/>
                <w:b/>
                <w:bCs/>
                <w:color w:val="000000"/>
                <w:kern w:val="0"/>
                <w:sz w:val="18"/>
                <w:szCs w:val="18"/>
                <w:lang w:eastAsia="es-CO"/>
                <w14:ligatures w14:val="none"/>
              </w:rPr>
              <w:t>15.244.521.009</w:t>
            </w:r>
          </w:p>
        </w:tc>
        <w:tc>
          <w:tcPr>
            <w:tcW w:w="945" w:type="pct"/>
            <w:noWrap/>
            <w:vAlign w:val="center"/>
            <w:hideMark/>
          </w:tcPr>
          <w:p w14:paraId="090673D5" w14:textId="77777777" w:rsidR="00B77260" w:rsidRPr="00951AB1" w:rsidRDefault="00B77260" w:rsidP="000A5389">
            <w:pPr>
              <w:spacing w:line="240" w:lineRule="auto"/>
              <w:jc w:val="right"/>
              <w:rPr>
                <w:rFonts w:eastAsia="Times New Roman" w:cs="Times New Roman"/>
                <w:b/>
                <w:bCs/>
                <w:color w:val="000000"/>
                <w:kern w:val="0"/>
                <w:sz w:val="18"/>
                <w:szCs w:val="18"/>
                <w:lang w:eastAsia="es-CO"/>
                <w14:ligatures w14:val="none"/>
              </w:rPr>
            </w:pPr>
            <w:r w:rsidRPr="00951AB1">
              <w:rPr>
                <w:rFonts w:eastAsia="Times New Roman" w:cs="Times New Roman"/>
                <w:b/>
                <w:bCs/>
                <w:color w:val="000000"/>
                <w:kern w:val="0"/>
                <w:sz w:val="18"/>
                <w:szCs w:val="18"/>
                <w:lang w:eastAsia="es-CO"/>
                <w14:ligatures w14:val="none"/>
              </w:rPr>
              <w:t>15.244.521.009</w:t>
            </w:r>
          </w:p>
        </w:tc>
        <w:tc>
          <w:tcPr>
            <w:tcW w:w="845" w:type="pct"/>
            <w:noWrap/>
            <w:vAlign w:val="center"/>
            <w:hideMark/>
          </w:tcPr>
          <w:p w14:paraId="57965D76" w14:textId="77777777" w:rsidR="00B77260" w:rsidRPr="00951AB1" w:rsidRDefault="00B77260" w:rsidP="000A5389">
            <w:pPr>
              <w:spacing w:line="240" w:lineRule="auto"/>
              <w:jc w:val="right"/>
              <w:rPr>
                <w:rFonts w:eastAsia="Times New Roman" w:cs="Times New Roman"/>
                <w:b/>
                <w:bCs/>
                <w:color w:val="000000"/>
                <w:kern w:val="0"/>
                <w:sz w:val="18"/>
                <w:szCs w:val="18"/>
                <w:lang w:eastAsia="es-CO"/>
                <w14:ligatures w14:val="none"/>
              </w:rPr>
            </w:pPr>
            <w:r w:rsidRPr="00951AB1">
              <w:rPr>
                <w:rFonts w:eastAsia="Times New Roman" w:cs="Times New Roman"/>
                <w:b/>
                <w:bCs/>
                <w:color w:val="000000"/>
                <w:kern w:val="0"/>
                <w:sz w:val="18"/>
                <w:szCs w:val="18"/>
                <w:lang w:eastAsia="es-CO"/>
                <w14:ligatures w14:val="none"/>
              </w:rPr>
              <w:t>30.489.042.018</w:t>
            </w:r>
          </w:p>
        </w:tc>
      </w:tr>
      <w:tr w:rsidR="005A73C0" w:rsidRPr="00951AB1" w14:paraId="01F7D97D" w14:textId="77777777" w:rsidTr="004004C5">
        <w:trPr>
          <w:trHeight w:val="293"/>
        </w:trPr>
        <w:tc>
          <w:tcPr>
            <w:tcW w:w="2245" w:type="pct"/>
            <w:vAlign w:val="center"/>
            <w:hideMark/>
          </w:tcPr>
          <w:p w14:paraId="2AB3E112" w14:textId="77777777" w:rsidR="00B77260" w:rsidRPr="00951AB1" w:rsidRDefault="00B77260" w:rsidP="000A5389">
            <w:pPr>
              <w:spacing w:line="240" w:lineRule="auto"/>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Red marítima</w:t>
            </w:r>
          </w:p>
        </w:tc>
        <w:tc>
          <w:tcPr>
            <w:tcW w:w="965" w:type="pct"/>
            <w:noWrap/>
            <w:vAlign w:val="center"/>
            <w:hideMark/>
          </w:tcPr>
          <w:p w14:paraId="51CE3A2B" w14:textId="77777777" w:rsidR="00B77260" w:rsidRPr="00951AB1" w:rsidRDefault="00B77260"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15.244.521.009</w:t>
            </w:r>
          </w:p>
        </w:tc>
        <w:tc>
          <w:tcPr>
            <w:tcW w:w="945" w:type="pct"/>
            <w:noWrap/>
            <w:vAlign w:val="center"/>
            <w:hideMark/>
          </w:tcPr>
          <w:p w14:paraId="6F9A5A29" w14:textId="77777777" w:rsidR="00B77260" w:rsidRPr="00951AB1" w:rsidRDefault="00B77260"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15.244.521.009</w:t>
            </w:r>
          </w:p>
        </w:tc>
        <w:tc>
          <w:tcPr>
            <w:tcW w:w="845" w:type="pct"/>
            <w:noWrap/>
            <w:vAlign w:val="center"/>
            <w:hideMark/>
          </w:tcPr>
          <w:p w14:paraId="0F81CF3C" w14:textId="77777777" w:rsidR="00B77260" w:rsidRPr="00951AB1" w:rsidRDefault="00B77260"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30.489.042.018</w:t>
            </w:r>
          </w:p>
        </w:tc>
      </w:tr>
      <w:tr w:rsidR="005A73C0" w:rsidRPr="00951AB1" w14:paraId="2DFD0BB8" w14:textId="77777777" w:rsidTr="004004C5">
        <w:trPr>
          <w:trHeight w:val="458"/>
        </w:trPr>
        <w:tc>
          <w:tcPr>
            <w:tcW w:w="2245" w:type="pct"/>
            <w:vAlign w:val="center"/>
            <w:hideMark/>
          </w:tcPr>
          <w:p w14:paraId="1C5F35BA" w14:textId="77777777" w:rsidR="00B77260" w:rsidRPr="00951AB1" w:rsidRDefault="00B77260" w:rsidP="000A5389">
            <w:pPr>
              <w:spacing w:line="240" w:lineRule="auto"/>
              <w:rPr>
                <w:rFonts w:eastAsia="Times New Roman" w:cs="Times New Roman"/>
                <w:b/>
                <w:bCs/>
                <w:color w:val="000000"/>
                <w:kern w:val="0"/>
                <w:sz w:val="18"/>
                <w:szCs w:val="18"/>
                <w:lang w:eastAsia="es-CO"/>
                <w14:ligatures w14:val="none"/>
              </w:rPr>
            </w:pPr>
            <w:r w:rsidRPr="00951AB1">
              <w:rPr>
                <w:rFonts w:eastAsia="Times New Roman" w:cs="Times New Roman"/>
                <w:b/>
                <w:bCs/>
                <w:color w:val="000000"/>
                <w:kern w:val="0"/>
                <w:sz w:val="18"/>
                <w:szCs w:val="18"/>
                <w:lang w:eastAsia="es-CO"/>
                <w14:ligatures w14:val="none"/>
              </w:rPr>
              <w:t>PETROLEOS Y DERIVADOS DE COLOMBIA S.A.</w:t>
            </w:r>
          </w:p>
        </w:tc>
        <w:tc>
          <w:tcPr>
            <w:tcW w:w="965" w:type="pct"/>
            <w:noWrap/>
            <w:vAlign w:val="center"/>
            <w:hideMark/>
          </w:tcPr>
          <w:p w14:paraId="0B9CE596" w14:textId="77777777" w:rsidR="00B77260" w:rsidRPr="00951AB1" w:rsidRDefault="00B77260" w:rsidP="000A5389">
            <w:pPr>
              <w:spacing w:line="240" w:lineRule="auto"/>
              <w:jc w:val="right"/>
              <w:rPr>
                <w:rFonts w:eastAsia="Times New Roman" w:cs="Times New Roman"/>
                <w:b/>
                <w:bCs/>
                <w:color w:val="000000"/>
                <w:kern w:val="0"/>
                <w:sz w:val="18"/>
                <w:szCs w:val="18"/>
                <w:lang w:eastAsia="es-CO"/>
                <w14:ligatures w14:val="none"/>
              </w:rPr>
            </w:pPr>
            <w:r w:rsidRPr="00951AB1">
              <w:rPr>
                <w:rFonts w:eastAsia="Times New Roman" w:cs="Times New Roman"/>
                <w:b/>
                <w:bCs/>
                <w:color w:val="000000"/>
                <w:kern w:val="0"/>
                <w:sz w:val="18"/>
                <w:szCs w:val="18"/>
                <w:lang w:eastAsia="es-CO"/>
                <w14:ligatures w14:val="none"/>
              </w:rPr>
              <w:t>589.549.780</w:t>
            </w:r>
          </w:p>
        </w:tc>
        <w:tc>
          <w:tcPr>
            <w:tcW w:w="945" w:type="pct"/>
            <w:noWrap/>
            <w:vAlign w:val="center"/>
            <w:hideMark/>
          </w:tcPr>
          <w:p w14:paraId="1D205AC6" w14:textId="77777777" w:rsidR="00B77260" w:rsidRPr="00951AB1" w:rsidRDefault="00B77260" w:rsidP="000A5389">
            <w:pPr>
              <w:spacing w:line="240" w:lineRule="auto"/>
              <w:jc w:val="right"/>
              <w:rPr>
                <w:rFonts w:eastAsia="Times New Roman" w:cs="Times New Roman"/>
                <w:b/>
                <w:bCs/>
                <w:color w:val="000000"/>
                <w:kern w:val="0"/>
                <w:sz w:val="18"/>
                <w:szCs w:val="18"/>
                <w:lang w:eastAsia="es-CO"/>
                <w14:ligatures w14:val="none"/>
              </w:rPr>
            </w:pPr>
            <w:r w:rsidRPr="00951AB1">
              <w:rPr>
                <w:rFonts w:eastAsia="Times New Roman" w:cs="Times New Roman"/>
                <w:b/>
                <w:bCs/>
                <w:color w:val="000000"/>
                <w:kern w:val="0"/>
                <w:sz w:val="18"/>
                <w:szCs w:val="18"/>
                <w:lang w:eastAsia="es-CO"/>
                <w14:ligatures w14:val="none"/>
              </w:rPr>
              <w:t>589.549.780</w:t>
            </w:r>
          </w:p>
        </w:tc>
        <w:tc>
          <w:tcPr>
            <w:tcW w:w="845" w:type="pct"/>
            <w:noWrap/>
            <w:vAlign w:val="center"/>
            <w:hideMark/>
          </w:tcPr>
          <w:p w14:paraId="7D472901" w14:textId="77777777" w:rsidR="00B77260" w:rsidRPr="00951AB1" w:rsidRDefault="00B77260" w:rsidP="000A5389">
            <w:pPr>
              <w:spacing w:line="240" w:lineRule="auto"/>
              <w:jc w:val="right"/>
              <w:rPr>
                <w:rFonts w:eastAsia="Times New Roman" w:cs="Times New Roman"/>
                <w:b/>
                <w:bCs/>
                <w:color w:val="000000"/>
                <w:kern w:val="0"/>
                <w:sz w:val="18"/>
                <w:szCs w:val="18"/>
                <w:lang w:eastAsia="es-CO"/>
                <w14:ligatures w14:val="none"/>
              </w:rPr>
            </w:pPr>
            <w:r w:rsidRPr="00951AB1">
              <w:rPr>
                <w:rFonts w:eastAsia="Times New Roman" w:cs="Times New Roman"/>
                <w:b/>
                <w:bCs/>
                <w:color w:val="000000"/>
                <w:kern w:val="0"/>
                <w:sz w:val="18"/>
                <w:szCs w:val="18"/>
                <w:lang w:eastAsia="es-CO"/>
                <w14:ligatures w14:val="none"/>
              </w:rPr>
              <w:t>1.179.099.561</w:t>
            </w:r>
          </w:p>
        </w:tc>
      </w:tr>
      <w:tr w:rsidR="005A73C0" w:rsidRPr="00951AB1" w14:paraId="0A19836E" w14:textId="77777777" w:rsidTr="004004C5">
        <w:trPr>
          <w:trHeight w:val="293"/>
        </w:trPr>
        <w:tc>
          <w:tcPr>
            <w:tcW w:w="2245" w:type="pct"/>
            <w:vAlign w:val="center"/>
            <w:hideMark/>
          </w:tcPr>
          <w:p w14:paraId="5FB74B2A" w14:textId="77777777" w:rsidR="00B77260" w:rsidRPr="00951AB1" w:rsidRDefault="00B77260" w:rsidP="000A5389">
            <w:pPr>
              <w:spacing w:line="240" w:lineRule="auto"/>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Red marítima</w:t>
            </w:r>
          </w:p>
        </w:tc>
        <w:tc>
          <w:tcPr>
            <w:tcW w:w="965" w:type="pct"/>
            <w:noWrap/>
            <w:vAlign w:val="center"/>
            <w:hideMark/>
          </w:tcPr>
          <w:p w14:paraId="15CB6260" w14:textId="77777777" w:rsidR="00B77260" w:rsidRPr="00951AB1" w:rsidRDefault="00B77260"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589.549.780</w:t>
            </w:r>
          </w:p>
        </w:tc>
        <w:tc>
          <w:tcPr>
            <w:tcW w:w="945" w:type="pct"/>
            <w:noWrap/>
            <w:vAlign w:val="center"/>
            <w:hideMark/>
          </w:tcPr>
          <w:p w14:paraId="3689C7BB" w14:textId="77777777" w:rsidR="00B77260" w:rsidRPr="00951AB1" w:rsidRDefault="00B77260"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589.549.780</w:t>
            </w:r>
          </w:p>
        </w:tc>
        <w:tc>
          <w:tcPr>
            <w:tcW w:w="845" w:type="pct"/>
            <w:noWrap/>
            <w:vAlign w:val="center"/>
            <w:hideMark/>
          </w:tcPr>
          <w:p w14:paraId="5EC01604" w14:textId="77777777" w:rsidR="00B77260" w:rsidRPr="00951AB1" w:rsidRDefault="00B77260"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1.179.099.561</w:t>
            </w:r>
          </w:p>
        </w:tc>
      </w:tr>
      <w:tr w:rsidR="005A73C0" w:rsidRPr="00951AB1" w14:paraId="62C22ADF" w14:textId="77777777" w:rsidTr="004004C5">
        <w:trPr>
          <w:trHeight w:val="293"/>
        </w:trPr>
        <w:tc>
          <w:tcPr>
            <w:tcW w:w="2245" w:type="pct"/>
            <w:vAlign w:val="center"/>
            <w:hideMark/>
          </w:tcPr>
          <w:p w14:paraId="0FD3BCA0" w14:textId="77777777" w:rsidR="00B77260" w:rsidRPr="00951AB1" w:rsidRDefault="00B77260" w:rsidP="000A5389">
            <w:pPr>
              <w:spacing w:line="240" w:lineRule="auto"/>
              <w:rPr>
                <w:rFonts w:eastAsia="Times New Roman" w:cs="Times New Roman"/>
                <w:b/>
                <w:bCs/>
                <w:color w:val="000000"/>
                <w:kern w:val="0"/>
                <w:sz w:val="18"/>
                <w:szCs w:val="18"/>
                <w:lang w:eastAsia="es-CO"/>
                <w14:ligatures w14:val="none"/>
              </w:rPr>
            </w:pPr>
            <w:r w:rsidRPr="00951AB1">
              <w:rPr>
                <w:rFonts w:eastAsia="Times New Roman" w:cs="Times New Roman"/>
                <w:b/>
                <w:bCs/>
                <w:color w:val="000000"/>
                <w:kern w:val="0"/>
                <w:sz w:val="18"/>
                <w:szCs w:val="18"/>
                <w:lang w:eastAsia="es-CO"/>
                <w14:ligatures w14:val="none"/>
              </w:rPr>
              <w:t>SOCIEDAD PORTUARIA DEXTON S.A.</w:t>
            </w:r>
          </w:p>
        </w:tc>
        <w:tc>
          <w:tcPr>
            <w:tcW w:w="965" w:type="pct"/>
            <w:noWrap/>
            <w:vAlign w:val="center"/>
            <w:hideMark/>
          </w:tcPr>
          <w:p w14:paraId="48F7F94D" w14:textId="77777777" w:rsidR="00B77260" w:rsidRPr="00951AB1" w:rsidRDefault="00B77260" w:rsidP="000A5389">
            <w:pPr>
              <w:spacing w:line="240" w:lineRule="auto"/>
              <w:jc w:val="right"/>
              <w:rPr>
                <w:rFonts w:eastAsia="Times New Roman" w:cs="Times New Roman"/>
                <w:b/>
                <w:bCs/>
                <w:color w:val="000000"/>
                <w:kern w:val="0"/>
                <w:sz w:val="18"/>
                <w:szCs w:val="18"/>
                <w:lang w:eastAsia="es-CO"/>
                <w14:ligatures w14:val="none"/>
              </w:rPr>
            </w:pPr>
            <w:r w:rsidRPr="00951AB1">
              <w:rPr>
                <w:rFonts w:eastAsia="Times New Roman" w:cs="Times New Roman"/>
                <w:b/>
                <w:bCs/>
                <w:color w:val="000000"/>
                <w:kern w:val="0"/>
                <w:sz w:val="18"/>
                <w:szCs w:val="18"/>
                <w:lang w:eastAsia="es-CO"/>
                <w14:ligatures w14:val="none"/>
              </w:rPr>
              <w:t>6.390.512.380</w:t>
            </w:r>
          </w:p>
        </w:tc>
        <w:tc>
          <w:tcPr>
            <w:tcW w:w="945" w:type="pct"/>
            <w:noWrap/>
            <w:vAlign w:val="center"/>
            <w:hideMark/>
          </w:tcPr>
          <w:p w14:paraId="6C23DB22" w14:textId="77777777" w:rsidR="00B77260" w:rsidRPr="00951AB1" w:rsidRDefault="00B77260" w:rsidP="000A5389">
            <w:pPr>
              <w:spacing w:line="240" w:lineRule="auto"/>
              <w:jc w:val="right"/>
              <w:rPr>
                <w:rFonts w:eastAsia="Times New Roman" w:cs="Times New Roman"/>
                <w:b/>
                <w:bCs/>
                <w:color w:val="000000"/>
                <w:kern w:val="0"/>
                <w:sz w:val="18"/>
                <w:szCs w:val="18"/>
                <w:lang w:eastAsia="es-CO"/>
                <w14:ligatures w14:val="none"/>
              </w:rPr>
            </w:pPr>
            <w:r w:rsidRPr="00951AB1">
              <w:rPr>
                <w:rFonts w:eastAsia="Times New Roman" w:cs="Times New Roman"/>
                <w:b/>
                <w:bCs/>
                <w:color w:val="000000"/>
                <w:kern w:val="0"/>
                <w:sz w:val="18"/>
                <w:szCs w:val="18"/>
                <w:lang w:eastAsia="es-CO"/>
                <w14:ligatures w14:val="none"/>
              </w:rPr>
              <w:t>6.390.512.380</w:t>
            </w:r>
          </w:p>
        </w:tc>
        <w:tc>
          <w:tcPr>
            <w:tcW w:w="845" w:type="pct"/>
            <w:noWrap/>
            <w:vAlign w:val="center"/>
            <w:hideMark/>
          </w:tcPr>
          <w:p w14:paraId="369A913A" w14:textId="77777777" w:rsidR="00B77260" w:rsidRPr="00951AB1" w:rsidRDefault="00B77260" w:rsidP="000A5389">
            <w:pPr>
              <w:spacing w:line="240" w:lineRule="auto"/>
              <w:jc w:val="right"/>
              <w:rPr>
                <w:rFonts w:eastAsia="Times New Roman" w:cs="Times New Roman"/>
                <w:b/>
                <w:bCs/>
                <w:color w:val="000000"/>
                <w:kern w:val="0"/>
                <w:sz w:val="18"/>
                <w:szCs w:val="18"/>
                <w:lang w:eastAsia="es-CO"/>
                <w14:ligatures w14:val="none"/>
              </w:rPr>
            </w:pPr>
            <w:r w:rsidRPr="00951AB1">
              <w:rPr>
                <w:rFonts w:eastAsia="Times New Roman" w:cs="Times New Roman"/>
                <w:b/>
                <w:bCs/>
                <w:color w:val="000000"/>
                <w:kern w:val="0"/>
                <w:sz w:val="18"/>
                <w:szCs w:val="18"/>
                <w:lang w:eastAsia="es-CO"/>
                <w14:ligatures w14:val="none"/>
              </w:rPr>
              <w:t>12.781.024.760</w:t>
            </w:r>
          </w:p>
        </w:tc>
      </w:tr>
      <w:tr w:rsidR="005A73C0" w:rsidRPr="00951AB1" w14:paraId="601559FD" w14:textId="77777777" w:rsidTr="004004C5">
        <w:trPr>
          <w:trHeight w:val="293"/>
        </w:trPr>
        <w:tc>
          <w:tcPr>
            <w:tcW w:w="2245" w:type="pct"/>
            <w:vAlign w:val="center"/>
            <w:hideMark/>
          </w:tcPr>
          <w:p w14:paraId="4DF38DD2" w14:textId="77777777" w:rsidR="00B77260" w:rsidRPr="00951AB1" w:rsidRDefault="00B77260" w:rsidP="000A5389">
            <w:pPr>
              <w:spacing w:line="240" w:lineRule="auto"/>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lastRenderedPageBreak/>
              <w:t>Propiedades, Plan y Equipo</w:t>
            </w:r>
          </w:p>
        </w:tc>
        <w:tc>
          <w:tcPr>
            <w:tcW w:w="965" w:type="pct"/>
            <w:noWrap/>
            <w:vAlign w:val="center"/>
            <w:hideMark/>
          </w:tcPr>
          <w:p w14:paraId="13947ED8" w14:textId="77777777" w:rsidR="00B77260" w:rsidRPr="00951AB1" w:rsidRDefault="00B77260"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1.414.079.491</w:t>
            </w:r>
          </w:p>
        </w:tc>
        <w:tc>
          <w:tcPr>
            <w:tcW w:w="945" w:type="pct"/>
            <w:noWrap/>
            <w:vAlign w:val="center"/>
            <w:hideMark/>
          </w:tcPr>
          <w:p w14:paraId="42D2D7DF" w14:textId="77777777" w:rsidR="00B77260" w:rsidRPr="00951AB1" w:rsidRDefault="00B77260"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1.414.079.491</w:t>
            </w:r>
          </w:p>
        </w:tc>
        <w:tc>
          <w:tcPr>
            <w:tcW w:w="845" w:type="pct"/>
            <w:noWrap/>
            <w:vAlign w:val="center"/>
            <w:hideMark/>
          </w:tcPr>
          <w:p w14:paraId="2DB050B7" w14:textId="77777777" w:rsidR="00B77260" w:rsidRPr="00951AB1" w:rsidRDefault="00B77260"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2.828.158.981</w:t>
            </w:r>
          </w:p>
        </w:tc>
      </w:tr>
      <w:tr w:rsidR="005A73C0" w:rsidRPr="00951AB1" w14:paraId="55CFE556" w14:textId="77777777" w:rsidTr="004004C5">
        <w:trPr>
          <w:trHeight w:val="293"/>
        </w:trPr>
        <w:tc>
          <w:tcPr>
            <w:tcW w:w="2245" w:type="pct"/>
            <w:vAlign w:val="center"/>
            <w:hideMark/>
          </w:tcPr>
          <w:p w14:paraId="2E2A3320" w14:textId="77777777" w:rsidR="00B77260" w:rsidRPr="00951AB1" w:rsidRDefault="00B77260" w:rsidP="000A5389">
            <w:pPr>
              <w:spacing w:line="240" w:lineRule="auto"/>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Red marítima</w:t>
            </w:r>
          </w:p>
        </w:tc>
        <w:tc>
          <w:tcPr>
            <w:tcW w:w="965" w:type="pct"/>
            <w:noWrap/>
            <w:vAlign w:val="center"/>
            <w:hideMark/>
          </w:tcPr>
          <w:p w14:paraId="23F821E7" w14:textId="77777777" w:rsidR="00B77260" w:rsidRPr="00951AB1" w:rsidRDefault="00B77260"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4.976.432.889</w:t>
            </w:r>
          </w:p>
        </w:tc>
        <w:tc>
          <w:tcPr>
            <w:tcW w:w="945" w:type="pct"/>
            <w:noWrap/>
            <w:vAlign w:val="center"/>
            <w:hideMark/>
          </w:tcPr>
          <w:p w14:paraId="01395524" w14:textId="77777777" w:rsidR="00B77260" w:rsidRPr="00951AB1" w:rsidRDefault="00B77260"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4.976.432.889</w:t>
            </w:r>
          </w:p>
        </w:tc>
        <w:tc>
          <w:tcPr>
            <w:tcW w:w="845" w:type="pct"/>
            <w:noWrap/>
            <w:vAlign w:val="center"/>
            <w:hideMark/>
          </w:tcPr>
          <w:p w14:paraId="0F83FEBA" w14:textId="77777777" w:rsidR="00B77260" w:rsidRPr="00951AB1" w:rsidRDefault="00B77260"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9.952.865.779</w:t>
            </w:r>
          </w:p>
        </w:tc>
      </w:tr>
      <w:tr w:rsidR="005A73C0" w:rsidRPr="00951AB1" w14:paraId="1DA56CAF" w14:textId="77777777" w:rsidTr="004004C5">
        <w:trPr>
          <w:trHeight w:val="293"/>
        </w:trPr>
        <w:tc>
          <w:tcPr>
            <w:tcW w:w="2245" w:type="pct"/>
            <w:vAlign w:val="center"/>
            <w:hideMark/>
          </w:tcPr>
          <w:p w14:paraId="239DE953" w14:textId="77777777" w:rsidR="00B77260" w:rsidRPr="00951AB1" w:rsidRDefault="00B77260" w:rsidP="000A5389">
            <w:pPr>
              <w:spacing w:line="240" w:lineRule="auto"/>
              <w:rPr>
                <w:rFonts w:eastAsia="Times New Roman" w:cs="Times New Roman"/>
                <w:b/>
                <w:bCs/>
                <w:color w:val="000000"/>
                <w:kern w:val="0"/>
                <w:sz w:val="18"/>
                <w:szCs w:val="18"/>
                <w:lang w:eastAsia="es-CO"/>
                <w14:ligatures w14:val="none"/>
              </w:rPr>
            </w:pPr>
            <w:r w:rsidRPr="00951AB1">
              <w:rPr>
                <w:rFonts w:eastAsia="Times New Roman" w:cs="Times New Roman"/>
                <w:b/>
                <w:bCs/>
                <w:color w:val="000000"/>
                <w:kern w:val="0"/>
                <w:sz w:val="18"/>
                <w:szCs w:val="18"/>
                <w:lang w:eastAsia="es-CO"/>
                <w14:ligatures w14:val="none"/>
              </w:rPr>
              <w:t>ZONA FRANCA ARGOS S.A.S.</w:t>
            </w:r>
          </w:p>
        </w:tc>
        <w:tc>
          <w:tcPr>
            <w:tcW w:w="965" w:type="pct"/>
            <w:noWrap/>
            <w:vAlign w:val="center"/>
            <w:hideMark/>
          </w:tcPr>
          <w:p w14:paraId="7C0CE579" w14:textId="77777777" w:rsidR="00B77260" w:rsidRPr="00951AB1" w:rsidRDefault="00B77260" w:rsidP="000A5389">
            <w:pPr>
              <w:spacing w:line="240" w:lineRule="auto"/>
              <w:jc w:val="right"/>
              <w:rPr>
                <w:rFonts w:eastAsia="Times New Roman" w:cs="Times New Roman"/>
                <w:b/>
                <w:bCs/>
                <w:color w:val="000000"/>
                <w:kern w:val="0"/>
                <w:sz w:val="18"/>
                <w:szCs w:val="18"/>
                <w:lang w:eastAsia="es-CO"/>
                <w14:ligatures w14:val="none"/>
              </w:rPr>
            </w:pPr>
            <w:r w:rsidRPr="00951AB1">
              <w:rPr>
                <w:rFonts w:eastAsia="Times New Roman" w:cs="Times New Roman"/>
                <w:b/>
                <w:bCs/>
                <w:color w:val="000000"/>
                <w:kern w:val="0"/>
                <w:sz w:val="18"/>
                <w:szCs w:val="18"/>
                <w:lang w:eastAsia="es-CO"/>
                <w14:ligatures w14:val="none"/>
              </w:rPr>
              <w:t>181.271.224.488</w:t>
            </w:r>
          </w:p>
        </w:tc>
        <w:tc>
          <w:tcPr>
            <w:tcW w:w="945" w:type="pct"/>
            <w:noWrap/>
            <w:vAlign w:val="center"/>
            <w:hideMark/>
          </w:tcPr>
          <w:p w14:paraId="15CC485F" w14:textId="77777777" w:rsidR="00B77260" w:rsidRPr="00951AB1" w:rsidRDefault="00B77260" w:rsidP="000A5389">
            <w:pPr>
              <w:spacing w:line="240" w:lineRule="auto"/>
              <w:jc w:val="right"/>
              <w:rPr>
                <w:rFonts w:eastAsia="Times New Roman" w:cs="Times New Roman"/>
                <w:b/>
                <w:bCs/>
                <w:color w:val="000000"/>
                <w:kern w:val="0"/>
                <w:sz w:val="18"/>
                <w:szCs w:val="18"/>
                <w:lang w:eastAsia="es-CO"/>
                <w14:ligatures w14:val="none"/>
              </w:rPr>
            </w:pPr>
            <w:r w:rsidRPr="00951AB1">
              <w:rPr>
                <w:rFonts w:eastAsia="Times New Roman" w:cs="Times New Roman"/>
                <w:b/>
                <w:bCs/>
                <w:color w:val="000000"/>
                <w:kern w:val="0"/>
                <w:sz w:val="18"/>
                <w:szCs w:val="18"/>
                <w:lang w:eastAsia="es-CO"/>
                <w14:ligatures w14:val="none"/>
              </w:rPr>
              <w:t>180.732.174.399</w:t>
            </w:r>
          </w:p>
        </w:tc>
        <w:tc>
          <w:tcPr>
            <w:tcW w:w="845" w:type="pct"/>
            <w:noWrap/>
            <w:vAlign w:val="center"/>
            <w:hideMark/>
          </w:tcPr>
          <w:p w14:paraId="59013043" w14:textId="77777777" w:rsidR="00B77260" w:rsidRPr="00951AB1" w:rsidRDefault="00B77260" w:rsidP="000A5389">
            <w:pPr>
              <w:spacing w:line="240" w:lineRule="auto"/>
              <w:jc w:val="right"/>
              <w:rPr>
                <w:rFonts w:eastAsia="Times New Roman" w:cs="Times New Roman"/>
                <w:b/>
                <w:bCs/>
                <w:color w:val="000000"/>
                <w:kern w:val="0"/>
                <w:sz w:val="18"/>
                <w:szCs w:val="18"/>
                <w:lang w:eastAsia="es-CO"/>
                <w14:ligatures w14:val="none"/>
              </w:rPr>
            </w:pPr>
            <w:r w:rsidRPr="00951AB1">
              <w:rPr>
                <w:rFonts w:eastAsia="Times New Roman" w:cs="Times New Roman"/>
                <w:b/>
                <w:bCs/>
                <w:color w:val="000000"/>
                <w:kern w:val="0"/>
                <w:sz w:val="18"/>
                <w:szCs w:val="18"/>
                <w:lang w:eastAsia="es-CO"/>
                <w14:ligatures w14:val="none"/>
              </w:rPr>
              <w:t>362.003.398.887</w:t>
            </w:r>
          </w:p>
        </w:tc>
      </w:tr>
      <w:tr w:rsidR="005A73C0" w:rsidRPr="00951AB1" w14:paraId="19202200" w14:textId="77777777" w:rsidTr="004004C5">
        <w:trPr>
          <w:trHeight w:val="293"/>
        </w:trPr>
        <w:tc>
          <w:tcPr>
            <w:tcW w:w="2245" w:type="pct"/>
            <w:vAlign w:val="center"/>
            <w:hideMark/>
          </w:tcPr>
          <w:p w14:paraId="6E473017" w14:textId="77777777" w:rsidR="00B77260" w:rsidRPr="00951AB1" w:rsidRDefault="00B77260" w:rsidP="000A5389">
            <w:pPr>
              <w:spacing w:line="240" w:lineRule="auto"/>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Activos intangibles en concesión</w:t>
            </w:r>
          </w:p>
        </w:tc>
        <w:tc>
          <w:tcPr>
            <w:tcW w:w="965" w:type="pct"/>
            <w:noWrap/>
            <w:vAlign w:val="center"/>
            <w:hideMark/>
          </w:tcPr>
          <w:p w14:paraId="3C0CDD3D" w14:textId="77777777" w:rsidR="00B77260" w:rsidRPr="00951AB1" w:rsidRDefault="00B77260"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539.050.089</w:t>
            </w:r>
          </w:p>
        </w:tc>
        <w:tc>
          <w:tcPr>
            <w:tcW w:w="945" w:type="pct"/>
            <w:noWrap/>
            <w:vAlign w:val="center"/>
            <w:hideMark/>
          </w:tcPr>
          <w:p w14:paraId="549042CD" w14:textId="6BF93FEA" w:rsidR="00B77260" w:rsidRPr="00951AB1" w:rsidRDefault="00B77260" w:rsidP="000A5389">
            <w:pPr>
              <w:spacing w:line="240" w:lineRule="auto"/>
              <w:jc w:val="right"/>
              <w:rPr>
                <w:rFonts w:eastAsia="Times New Roman" w:cs="Times New Roman"/>
                <w:color w:val="000000"/>
                <w:kern w:val="0"/>
                <w:lang w:eastAsia="es-CO"/>
                <w14:ligatures w14:val="none"/>
              </w:rPr>
            </w:pPr>
            <w:r w:rsidRPr="00951AB1">
              <w:rPr>
                <w:rFonts w:eastAsia="Times New Roman" w:cs="Times New Roman"/>
                <w:color w:val="000000"/>
                <w:kern w:val="0"/>
                <w:lang w:eastAsia="es-CO"/>
                <w14:ligatures w14:val="none"/>
              </w:rPr>
              <w:t> </w:t>
            </w:r>
            <w:r w:rsidR="008507F7" w:rsidRPr="00951AB1">
              <w:rPr>
                <w:rFonts w:eastAsia="Times New Roman" w:cs="Times New Roman"/>
                <w:color w:val="000000"/>
                <w:kern w:val="0"/>
                <w:sz w:val="18"/>
                <w:szCs w:val="18"/>
                <w:lang w:eastAsia="es-CO"/>
                <w14:ligatures w14:val="none"/>
              </w:rPr>
              <w:t>0</w:t>
            </w:r>
          </w:p>
        </w:tc>
        <w:tc>
          <w:tcPr>
            <w:tcW w:w="845" w:type="pct"/>
            <w:noWrap/>
            <w:vAlign w:val="center"/>
            <w:hideMark/>
          </w:tcPr>
          <w:p w14:paraId="3D5FA3EA" w14:textId="77777777" w:rsidR="00B77260" w:rsidRPr="00951AB1" w:rsidRDefault="00B77260"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539.050.089</w:t>
            </w:r>
          </w:p>
        </w:tc>
      </w:tr>
      <w:tr w:rsidR="005A73C0" w:rsidRPr="00951AB1" w14:paraId="65FA68DC" w14:textId="77777777" w:rsidTr="004004C5">
        <w:trPr>
          <w:trHeight w:val="293"/>
        </w:trPr>
        <w:tc>
          <w:tcPr>
            <w:tcW w:w="2245" w:type="pct"/>
            <w:vAlign w:val="center"/>
            <w:hideMark/>
          </w:tcPr>
          <w:p w14:paraId="00C51340" w14:textId="77777777" w:rsidR="00B77260" w:rsidRPr="00951AB1" w:rsidRDefault="00B77260" w:rsidP="000A5389">
            <w:pPr>
              <w:spacing w:line="240" w:lineRule="auto"/>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Propiedades, Plan y Equipo</w:t>
            </w:r>
          </w:p>
        </w:tc>
        <w:tc>
          <w:tcPr>
            <w:tcW w:w="965" w:type="pct"/>
            <w:noWrap/>
            <w:vAlign w:val="center"/>
            <w:hideMark/>
          </w:tcPr>
          <w:p w14:paraId="23802909" w14:textId="77777777" w:rsidR="00B77260" w:rsidRPr="00951AB1" w:rsidRDefault="00B77260"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21.802.473.340</w:t>
            </w:r>
          </w:p>
        </w:tc>
        <w:tc>
          <w:tcPr>
            <w:tcW w:w="945" w:type="pct"/>
            <w:noWrap/>
            <w:vAlign w:val="center"/>
            <w:hideMark/>
          </w:tcPr>
          <w:p w14:paraId="06B30D40" w14:textId="77777777" w:rsidR="00B77260" w:rsidRPr="00951AB1" w:rsidRDefault="00B77260"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21.802.473.340</w:t>
            </w:r>
          </w:p>
        </w:tc>
        <w:tc>
          <w:tcPr>
            <w:tcW w:w="845" w:type="pct"/>
            <w:noWrap/>
            <w:vAlign w:val="center"/>
            <w:hideMark/>
          </w:tcPr>
          <w:p w14:paraId="1E0FFA1A" w14:textId="77777777" w:rsidR="00B77260" w:rsidRPr="00951AB1" w:rsidRDefault="00B77260"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43.604.946.680</w:t>
            </w:r>
          </w:p>
        </w:tc>
      </w:tr>
      <w:tr w:rsidR="005A73C0" w:rsidRPr="00951AB1" w14:paraId="3FC839AA" w14:textId="77777777" w:rsidTr="004004C5">
        <w:trPr>
          <w:trHeight w:val="293"/>
        </w:trPr>
        <w:tc>
          <w:tcPr>
            <w:tcW w:w="2245" w:type="pct"/>
            <w:vAlign w:val="center"/>
            <w:hideMark/>
          </w:tcPr>
          <w:p w14:paraId="5295A4F6" w14:textId="77777777" w:rsidR="00B77260" w:rsidRPr="00951AB1" w:rsidRDefault="00B77260" w:rsidP="000A5389">
            <w:pPr>
              <w:spacing w:line="240" w:lineRule="auto"/>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Red marítima</w:t>
            </w:r>
          </w:p>
        </w:tc>
        <w:tc>
          <w:tcPr>
            <w:tcW w:w="965" w:type="pct"/>
            <w:noWrap/>
            <w:vAlign w:val="center"/>
            <w:hideMark/>
          </w:tcPr>
          <w:p w14:paraId="51E65C37" w14:textId="77777777" w:rsidR="00B77260" w:rsidRPr="00951AB1" w:rsidRDefault="00B77260"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158.929.701.059</w:t>
            </w:r>
          </w:p>
        </w:tc>
        <w:tc>
          <w:tcPr>
            <w:tcW w:w="945" w:type="pct"/>
            <w:noWrap/>
            <w:vAlign w:val="center"/>
            <w:hideMark/>
          </w:tcPr>
          <w:p w14:paraId="0D6C8492" w14:textId="77777777" w:rsidR="00B77260" w:rsidRPr="00951AB1" w:rsidRDefault="00B77260"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158.929.701.059</w:t>
            </w:r>
          </w:p>
        </w:tc>
        <w:tc>
          <w:tcPr>
            <w:tcW w:w="845" w:type="pct"/>
            <w:noWrap/>
            <w:vAlign w:val="center"/>
            <w:hideMark/>
          </w:tcPr>
          <w:p w14:paraId="17269FAC" w14:textId="77777777" w:rsidR="00B77260" w:rsidRPr="00951AB1" w:rsidRDefault="00B77260"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317.859.402.118</w:t>
            </w:r>
          </w:p>
        </w:tc>
      </w:tr>
      <w:tr w:rsidR="005A73C0" w:rsidRPr="00951AB1" w14:paraId="5867F6C1" w14:textId="77777777" w:rsidTr="004004C5">
        <w:trPr>
          <w:trHeight w:val="293"/>
        </w:trPr>
        <w:tc>
          <w:tcPr>
            <w:tcW w:w="2245" w:type="pct"/>
            <w:vAlign w:val="center"/>
            <w:hideMark/>
          </w:tcPr>
          <w:p w14:paraId="7F5900BA" w14:textId="77777777" w:rsidR="00B77260" w:rsidRPr="00951AB1" w:rsidRDefault="00B77260" w:rsidP="000A5389">
            <w:pPr>
              <w:spacing w:line="240" w:lineRule="auto"/>
              <w:rPr>
                <w:rFonts w:eastAsia="Times New Roman" w:cs="Times New Roman"/>
                <w:b/>
                <w:bCs/>
                <w:color w:val="000000"/>
                <w:kern w:val="0"/>
                <w:sz w:val="18"/>
                <w:szCs w:val="18"/>
                <w:lang w:eastAsia="es-CO"/>
                <w14:ligatures w14:val="none"/>
              </w:rPr>
            </w:pPr>
            <w:r w:rsidRPr="00951AB1">
              <w:rPr>
                <w:rFonts w:eastAsia="Times New Roman" w:cs="Times New Roman"/>
                <w:b/>
                <w:bCs/>
                <w:color w:val="000000"/>
                <w:kern w:val="0"/>
                <w:sz w:val="18"/>
                <w:szCs w:val="18"/>
                <w:lang w:eastAsia="es-CO"/>
                <w14:ligatures w14:val="none"/>
              </w:rPr>
              <w:t>SOCIEDAD PORTUARIA DEL DIQUE S.A</w:t>
            </w:r>
          </w:p>
        </w:tc>
        <w:tc>
          <w:tcPr>
            <w:tcW w:w="965" w:type="pct"/>
            <w:noWrap/>
            <w:vAlign w:val="center"/>
            <w:hideMark/>
          </w:tcPr>
          <w:p w14:paraId="147DD4D6" w14:textId="77777777" w:rsidR="00B77260" w:rsidRPr="00951AB1" w:rsidRDefault="00B77260" w:rsidP="000A5389">
            <w:pPr>
              <w:spacing w:line="240" w:lineRule="auto"/>
              <w:jc w:val="right"/>
              <w:rPr>
                <w:rFonts w:eastAsia="Times New Roman" w:cs="Times New Roman"/>
                <w:b/>
                <w:bCs/>
                <w:color w:val="000000"/>
                <w:kern w:val="0"/>
                <w:sz w:val="18"/>
                <w:szCs w:val="18"/>
                <w:lang w:eastAsia="es-CO"/>
                <w14:ligatures w14:val="none"/>
              </w:rPr>
            </w:pPr>
            <w:r w:rsidRPr="00951AB1">
              <w:rPr>
                <w:rFonts w:eastAsia="Times New Roman" w:cs="Times New Roman"/>
                <w:b/>
                <w:bCs/>
                <w:color w:val="000000"/>
                <w:kern w:val="0"/>
                <w:sz w:val="18"/>
                <w:szCs w:val="18"/>
                <w:lang w:eastAsia="es-CO"/>
                <w14:ligatures w14:val="none"/>
              </w:rPr>
              <w:t>3.326.767.827</w:t>
            </w:r>
          </w:p>
        </w:tc>
        <w:tc>
          <w:tcPr>
            <w:tcW w:w="945" w:type="pct"/>
            <w:noWrap/>
            <w:vAlign w:val="center"/>
            <w:hideMark/>
          </w:tcPr>
          <w:p w14:paraId="3A5AD38F" w14:textId="77777777" w:rsidR="00B77260" w:rsidRPr="00951AB1" w:rsidRDefault="00B77260" w:rsidP="000A5389">
            <w:pPr>
              <w:spacing w:line="240" w:lineRule="auto"/>
              <w:jc w:val="right"/>
              <w:rPr>
                <w:rFonts w:eastAsia="Times New Roman" w:cs="Times New Roman"/>
                <w:b/>
                <w:bCs/>
                <w:color w:val="000000"/>
                <w:kern w:val="0"/>
                <w:sz w:val="18"/>
                <w:szCs w:val="18"/>
                <w:lang w:eastAsia="es-CO"/>
                <w14:ligatures w14:val="none"/>
              </w:rPr>
            </w:pPr>
            <w:r w:rsidRPr="00951AB1">
              <w:rPr>
                <w:rFonts w:eastAsia="Times New Roman" w:cs="Times New Roman"/>
                <w:b/>
                <w:bCs/>
                <w:color w:val="000000"/>
                <w:kern w:val="0"/>
                <w:sz w:val="18"/>
                <w:szCs w:val="18"/>
                <w:lang w:eastAsia="es-CO"/>
                <w14:ligatures w14:val="none"/>
              </w:rPr>
              <w:t>3.326.767.827</w:t>
            </w:r>
          </w:p>
        </w:tc>
        <w:tc>
          <w:tcPr>
            <w:tcW w:w="845" w:type="pct"/>
            <w:noWrap/>
            <w:vAlign w:val="center"/>
            <w:hideMark/>
          </w:tcPr>
          <w:p w14:paraId="4972E92B" w14:textId="77777777" w:rsidR="00B77260" w:rsidRPr="00951AB1" w:rsidRDefault="00B77260" w:rsidP="000A5389">
            <w:pPr>
              <w:spacing w:line="240" w:lineRule="auto"/>
              <w:jc w:val="right"/>
              <w:rPr>
                <w:rFonts w:eastAsia="Times New Roman" w:cs="Times New Roman"/>
                <w:b/>
                <w:bCs/>
                <w:color w:val="000000"/>
                <w:kern w:val="0"/>
                <w:sz w:val="18"/>
                <w:szCs w:val="18"/>
                <w:lang w:eastAsia="es-CO"/>
                <w14:ligatures w14:val="none"/>
              </w:rPr>
            </w:pPr>
            <w:r w:rsidRPr="00951AB1">
              <w:rPr>
                <w:rFonts w:eastAsia="Times New Roman" w:cs="Times New Roman"/>
                <w:b/>
                <w:bCs/>
                <w:color w:val="000000"/>
                <w:kern w:val="0"/>
                <w:sz w:val="18"/>
                <w:szCs w:val="18"/>
                <w:lang w:eastAsia="es-CO"/>
                <w14:ligatures w14:val="none"/>
              </w:rPr>
              <w:t>0</w:t>
            </w:r>
          </w:p>
        </w:tc>
      </w:tr>
      <w:tr w:rsidR="005A73C0" w:rsidRPr="00951AB1" w14:paraId="31EE2E64" w14:textId="77777777" w:rsidTr="004004C5">
        <w:trPr>
          <w:trHeight w:val="293"/>
        </w:trPr>
        <w:tc>
          <w:tcPr>
            <w:tcW w:w="2245" w:type="pct"/>
            <w:vAlign w:val="center"/>
            <w:hideMark/>
          </w:tcPr>
          <w:p w14:paraId="277225AD" w14:textId="77777777" w:rsidR="00B77260" w:rsidRPr="00951AB1" w:rsidRDefault="00B77260" w:rsidP="000A5389">
            <w:pPr>
              <w:spacing w:line="240" w:lineRule="auto"/>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Propiedades, Plan y Equipo</w:t>
            </w:r>
          </w:p>
        </w:tc>
        <w:tc>
          <w:tcPr>
            <w:tcW w:w="965" w:type="pct"/>
            <w:noWrap/>
            <w:vAlign w:val="center"/>
            <w:hideMark/>
          </w:tcPr>
          <w:p w14:paraId="611C3656" w14:textId="77777777" w:rsidR="00B77260" w:rsidRPr="00951AB1" w:rsidRDefault="00B77260"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377.269.719</w:t>
            </w:r>
          </w:p>
        </w:tc>
        <w:tc>
          <w:tcPr>
            <w:tcW w:w="945" w:type="pct"/>
            <w:noWrap/>
            <w:vAlign w:val="center"/>
            <w:hideMark/>
          </w:tcPr>
          <w:p w14:paraId="125D6EF1" w14:textId="77777777" w:rsidR="00B77260" w:rsidRPr="00951AB1" w:rsidRDefault="00B77260"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377.269.719</w:t>
            </w:r>
          </w:p>
        </w:tc>
        <w:tc>
          <w:tcPr>
            <w:tcW w:w="845" w:type="pct"/>
            <w:noWrap/>
            <w:vAlign w:val="center"/>
            <w:hideMark/>
          </w:tcPr>
          <w:p w14:paraId="2575C408" w14:textId="77777777" w:rsidR="00B77260" w:rsidRPr="00951AB1" w:rsidRDefault="00B77260"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0</w:t>
            </w:r>
          </w:p>
        </w:tc>
      </w:tr>
      <w:tr w:rsidR="005A73C0" w:rsidRPr="00951AB1" w14:paraId="4571019F" w14:textId="77777777" w:rsidTr="004004C5">
        <w:trPr>
          <w:trHeight w:val="293"/>
        </w:trPr>
        <w:tc>
          <w:tcPr>
            <w:tcW w:w="2245" w:type="pct"/>
            <w:vAlign w:val="center"/>
            <w:hideMark/>
          </w:tcPr>
          <w:p w14:paraId="197670BF" w14:textId="77777777" w:rsidR="00B77260" w:rsidRPr="00951AB1" w:rsidRDefault="00B77260" w:rsidP="000A5389">
            <w:pPr>
              <w:spacing w:line="240" w:lineRule="auto"/>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Red marítima</w:t>
            </w:r>
          </w:p>
        </w:tc>
        <w:tc>
          <w:tcPr>
            <w:tcW w:w="965" w:type="pct"/>
            <w:noWrap/>
            <w:vAlign w:val="center"/>
            <w:hideMark/>
          </w:tcPr>
          <w:p w14:paraId="6FD00EA0" w14:textId="77777777" w:rsidR="00B77260" w:rsidRPr="00951AB1" w:rsidRDefault="00B77260"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2.949.498.108</w:t>
            </w:r>
          </w:p>
        </w:tc>
        <w:tc>
          <w:tcPr>
            <w:tcW w:w="945" w:type="pct"/>
            <w:noWrap/>
            <w:vAlign w:val="center"/>
            <w:hideMark/>
          </w:tcPr>
          <w:p w14:paraId="1BCDF5A8" w14:textId="77777777" w:rsidR="00B77260" w:rsidRPr="00951AB1" w:rsidRDefault="00B77260"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2.949.498.108</w:t>
            </w:r>
          </w:p>
        </w:tc>
        <w:tc>
          <w:tcPr>
            <w:tcW w:w="845" w:type="pct"/>
            <w:noWrap/>
            <w:vAlign w:val="center"/>
            <w:hideMark/>
          </w:tcPr>
          <w:p w14:paraId="4755E64D" w14:textId="77777777" w:rsidR="00B77260" w:rsidRPr="00951AB1" w:rsidRDefault="00B77260"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0</w:t>
            </w:r>
          </w:p>
        </w:tc>
      </w:tr>
      <w:tr w:rsidR="005A73C0" w:rsidRPr="00951AB1" w14:paraId="7029B7D3" w14:textId="77777777" w:rsidTr="004004C5">
        <w:trPr>
          <w:trHeight w:val="293"/>
        </w:trPr>
        <w:tc>
          <w:tcPr>
            <w:tcW w:w="2245" w:type="pct"/>
            <w:vAlign w:val="center"/>
            <w:hideMark/>
          </w:tcPr>
          <w:p w14:paraId="1B580EF3" w14:textId="77777777" w:rsidR="00B77260" w:rsidRPr="00951AB1" w:rsidRDefault="00B77260" w:rsidP="000A5389">
            <w:pPr>
              <w:spacing w:line="240" w:lineRule="auto"/>
              <w:rPr>
                <w:rFonts w:eastAsia="Times New Roman" w:cs="Times New Roman"/>
                <w:b/>
                <w:bCs/>
                <w:color w:val="000000"/>
                <w:kern w:val="0"/>
                <w:sz w:val="18"/>
                <w:szCs w:val="18"/>
                <w:lang w:eastAsia="es-CO"/>
                <w14:ligatures w14:val="none"/>
              </w:rPr>
            </w:pPr>
            <w:r w:rsidRPr="00951AB1">
              <w:rPr>
                <w:rFonts w:eastAsia="Times New Roman" w:cs="Times New Roman"/>
                <w:b/>
                <w:bCs/>
                <w:color w:val="000000"/>
                <w:kern w:val="0"/>
                <w:sz w:val="18"/>
                <w:szCs w:val="18"/>
                <w:lang w:eastAsia="es-CO"/>
                <w14:ligatures w14:val="none"/>
              </w:rPr>
              <w:t>PUERTO BAHIA COLOMBIA DE URABA SA</w:t>
            </w:r>
          </w:p>
        </w:tc>
        <w:tc>
          <w:tcPr>
            <w:tcW w:w="965" w:type="pct"/>
            <w:noWrap/>
            <w:vAlign w:val="center"/>
            <w:hideMark/>
          </w:tcPr>
          <w:p w14:paraId="1C42401E" w14:textId="77777777" w:rsidR="00B77260" w:rsidRPr="00951AB1" w:rsidRDefault="00B77260" w:rsidP="000A5389">
            <w:pPr>
              <w:spacing w:line="240" w:lineRule="auto"/>
              <w:jc w:val="right"/>
              <w:rPr>
                <w:rFonts w:eastAsia="Times New Roman" w:cs="Times New Roman"/>
                <w:b/>
                <w:bCs/>
                <w:color w:val="000000"/>
                <w:kern w:val="0"/>
                <w:sz w:val="18"/>
                <w:szCs w:val="18"/>
                <w:lang w:eastAsia="es-CO"/>
                <w14:ligatures w14:val="none"/>
              </w:rPr>
            </w:pPr>
            <w:r w:rsidRPr="00951AB1">
              <w:rPr>
                <w:rFonts w:eastAsia="Times New Roman" w:cs="Times New Roman"/>
                <w:b/>
                <w:bCs/>
                <w:color w:val="000000"/>
                <w:kern w:val="0"/>
                <w:sz w:val="18"/>
                <w:szCs w:val="18"/>
                <w:lang w:eastAsia="es-CO"/>
                <w14:ligatures w14:val="none"/>
              </w:rPr>
              <w:t>1.736.666.858.888</w:t>
            </w:r>
          </w:p>
        </w:tc>
        <w:tc>
          <w:tcPr>
            <w:tcW w:w="945" w:type="pct"/>
            <w:noWrap/>
            <w:vAlign w:val="center"/>
            <w:hideMark/>
          </w:tcPr>
          <w:p w14:paraId="34A28F73" w14:textId="77777777" w:rsidR="00B77260" w:rsidRPr="00951AB1" w:rsidRDefault="00B77260" w:rsidP="000A5389">
            <w:pPr>
              <w:spacing w:line="240" w:lineRule="auto"/>
              <w:jc w:val="right"/>
              <w:rPr>
                <w:rFonts w:eastAsia="Times New Roman" w:cs="Times New Roman"/>
                <w:b/>
                <w:bCs/>
                <w:color w:val="000000"/>
                <w:kern w:val="0"/>
                <w:sz w:val="18"/>
                <w:szCs w:val="18"/>
                <w:lang w:eastAsia="es-CO"/>
                <w14:ligatures w14:val="none"/>
              </w:rPr>
            </w:pPr>
            <w:r w:rsidRPr="00951AB1">
              <w:rPr>
                <w:rFonts w:eastAsia="Times New Roman" w:cs="Times New Roman"/>
                <w:b/>
                <w:bCs/>
                <w:color w:val="000000"/>
                <w:kern w:val="0"/>
                <w:sz w:val="18"/>
                <w:szCs w:val="18"/>
                <w:lang w:eastAsia="es-CO"/>
                <w14:ligatures w14:val="none"/>
              </w:rPr>
              <w:t>1.228.553.041.858</w:t>
            </w:r>
          </w:p>
        </w:tc>
        <w:tc>
          <w:tcPr>
            <w:tcW w:w="845" w:type="pct"/>
            <w:noWrap/>
            <w:vAlign w:val="center"/>
            <w:hideMark/>
          </w:tcPr>
          <w:p w14:paraId="5B65EC5E" w14:textId="77777777" w:rsidR="00B77260" w:rsidRPr="00951AB1" w:rsidRDefault="00B77260" w:rsidP="000A5389">
            <w:pPr>
              <w:spacing w:line="240" w:lineRule="auto"/>
              <w:jc w:val="right"/>
              <w:rPr>
                <w:rFonts w:eastAsia="Times New Roman" w:cs="Times New Roman"/>
                <w:b/>
                <w:bCs/>
                <w:color w:val="000000"/>
                <w:kern w:val="0"/>
                <w:sz w:val="18"/>
                <w:szCs w:val="18"/>
                <w:lang w:eastAsia="es-CO"/>
                <w14:ligatures w14:val="none"/>
              </w:rPr>
            </w:pPr>
            <w:r w:rsidRPr="00951AB1">
              <w:rPr>
                <w:rFonts w:eastAsia="Times New Roman" w:cs="Times New Roman"/>
                <w:b/>
                <w:bCs/>
                <w:color w:val="000000"/>
                <w:kern w:val="0"/>
                <w:sz w:val="18"/>
                <w:szCs w:val="18"/>
                <w:lang w:eastAsia="es-CO"/>
                <w14:ligatures w14:val="none"/>
              </w:rPr>
              <w:t>0</w:t>
            </w:r>
          </w:p>
        </w:tc>
      </w:tr>
      <w:tr w:rsidR="005A73C0" w:rsidRPr="00951AB1" w14:paraId="20570530" w14:textId="77777777" w:rsidTr="004004C5">
        <w:trPr>
          <w:trHeight w:val="293"/>
        </w:trPr>
        <w:tc>
          <w:tcPr>
            <w:tcW w:w="2245" w:type="pct"/>
            <w:vAlign w:val="center"/>
            <w:hideMark/>
          </w:tcPr>
          <w:p w14:paraId="0B7E0627" w14:textId="77777777" w:rsidR="00B77260" w:rsidRPr="00951AB1" w:rsidRDefault="00B77260" w:rsidP="000A5389">
            <w:pPr>
              <w:spacing w:line="240" w:lineRule="auto"/>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Propiedades, Plan y Equipo</w:t>
            </w:r>
          </w:p>
        </w:tc>
        <w:tc>
          <w:tcPr>
            <w:tcW w:w="965" w:type="pct"/>
            <w:noWrap/>
            <w:vAlign w:val="center"/>
            <w:hideMark/>
          </w:tcPr>
          <w:p w14:paraId="7CBEBA3D" w14:textId="77777777" w:rsidR="00B77260" w:rsidRPr="00951AB1" w:rsidRDefault="00B77260"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278.518.227.126</w:t>
            </w:r>
          </w:p>
        </w:tc>
        <w:tc>
          <w:tcPr>
            <w:tcW w:w="945" w:type="pct"/>
            <w:noWrap/>
            <w:vAlign w:val="center"/>
            <w:hideMark/>
          </w:tcPr>
          <w:p w14:paraId="3BFBBF94" w14:textId="5415DD95" w:rsidR="00B77260" w:rsidRPr="00951AB1" w:rsidRDefault="00B77260" w:rsidP="000A5389">
            <w:pPr>
              <w:spacing w:line="240" w:lineRule="auto"/>
              <w:jc w:val="right"/>
              <w:rPr>
                <w:rFonts w:eastAsia="Times New Roman" w:cs="Times New Roman"/>
                <w:color w:val="000000"/>
                <w:kern w:val="0"/>
                <w:lang w:eastAsia="es-CO"/>
                <w14:ligatures w14:val="none"/>
              </w:rPr>
            </w:pPr>
            <w:r w:rsidRPr="00951AB1">
              <w:rPr>
                <w:rFonts w:eastAsia="Times New Roman" w:cs="Times New Roman"/>
                <w:color w:val="000000"/>
                <w:kern w:val="0"/>
                <w:lang w:eastAsia="es-CO"/>
                <w14:ligatures w14:val="none"/>
              </w:rPr>
              <w:t> </w:t>
            </w:r>
            <w:r w:rsidR="008507F7" w:rsidRPr="00951AB1">
              <w:rPr>
                <w:rFonts w:eastAsia="Times New Roman" w:cs="Times New Roman"/>
                <w:color w:val="000000"/>
                <w:kern w:val="0"/>
                <w:sz w:val="18"/>
                <w:szCs w:val="18"/>
                <w:lang w:eastAsia="es-CO"/>
                <w14:ligatures w14:val="none"/>
              </w:rPr>
              <w:t>0</w:t>
            </w:r>
          </w:p>
        </w:tc>
        <w:tc>
          <w:tcPr>
            <w:tcW w:w="845" w:type="pct"/>
            <w:noWrap/>
            <w:vAlign w:val="center"/>
            <w:hideMark/>
          </w:tcPr>
          <w:p w14:paraId="43F16FB3" w14:textId="77777777" w:rsidR="00B77260" w:rsidRPr="00951AB1" w:rsidRDefault="00B77260"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0</w:t>
            </w:r>
          </w:p>
        </w:tc>
      </w:tr>
      <w:tr w:rsidR="005A73C0" w:rsidRPr="00951AB1" w14:paraId="0D0E6BE4" w14:textId="77777777" w:rsidTr="004004C5">
        <w:trPr>
          <w:trHeight w:val="293"/>
        </w:trPr>
        <w:tc>
          <w:tcPr>
            <w:tcW w:w="2245" w:type="pct"/>
            <w:vAlign w:val="center"/>
            <w:hideMark/>
          </w:tcPr>
          <w:p w14:paraId="456ED023" w14:textId="77777777" w:rsidR="00B77260" w:rsidRPr="00951AB1" w:rsidRDefault="00B77260" w:rsidP="000A5389">
            <w:pPr>
              <w:spacing w:line="240" w:lineRule="auto"/>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Red marítima</w:t>
            </w:r>
          </w:p>
        </w:tc>
        <w:tc>
          <w:tcPr>
            <w:tcW w:w="965" w:type="pct"/>
            <w:noWrap/>
            <w:vAlign w:val="center"/>
            <w:hideMark/>
          </w:tcPr>
          <w:p w14:paraId="4733B66A" w14:textId="77777777" w:rsidR="00B77260" w:rsidRPr="00951AB1" w:rsidRDefault="00B77260"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1.458.148.631.762</w:t>
            </w:r>
          </w:p>
        </w:tc>
        <w:tc>
          <w:tcPr>
            <w:tcW w:w="945" w:type="pct"/>
            <w:noWrap/>
            <w:vAlign w:val="center"/>
            <w:hideMark/>
          </w:tcPr>
          <w:p w14:paraId="25E9E956" w14:textId="77777777" w:rsidR="00B77260" w:rsidRPr="00951AB1" w:rsidRDefault="00B77260"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1.228.553.041.858</w:t>
            </w:r>
          </w:p>
        </w:tc>
        <w:tc>
          <w:tcPr>
            <w:tcW w:w="845" w:type="pct"/>
            <w:noWrap/>
            <w:vAlign w:val="center"/>
            <w:hideMark/>
          </w:tcPr>
          <w:p w14:paraId="19A94024" w14:textId="77777777" w:rsidR="00B77260" w:rsidRPr="00951AB1" w:rsidRDefault="00B77260"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0</w:t>
            </w:r>
          </w:p>
        </w:tc>
      </w:tr>
      <w:tr w:rsidR="005A73C0" w:rsidRPr="00951AB1" w14:paraId="20861038" w14:textId="77777777" w:rsidTr="004004C5">
        <w:trPr>
          <w:trHeight w:val="293"/>
        </w:trPr>
        <w:tc>
          <w:tcPr>
            <w:tcW w:w="2245" w:type="pct"/>
            <w:vAlign w:val="center"/>
            <w:hideMark/>
          </w:tcPr>
          <w:p w14:paraId="7D4DAFE3" w14:textId="77777777" w:rsidR="00B77260" w:rsidRPr="00951AB1" w:rsidRDefault="00B77260" w:rsidP="000A5389">
            <w:pPr>
              <w:spacing w:line="240" w:lineRule="auto"/>
              <w:rPr>
                <w:rFonts w:eastAsia="Times New Roman" w:cs="Times New Roman"/>
                <w:b/>
                <w:bCs/>
                <w:color w:val="000000"/>
                <w:kern w:val="0"/>
                <w:sz w:val="18"/>
                <w:szCs w:val="18"/>
                <w:lang w:eastAsia="es-CO"/>
                <w14:ligatures w14:val="none"/>
              </w:rPr>
            </w:pPr>
            <w:r w:rsidRPr="00951AB1">
              <w:rPr>
                <w:rFonts w:eastAsia="Times New Roman" w:cs="Times New Roman"/>
                <w:b/>
                <w:bCs/>
                <w:color w:val="000000"/>
                <w:kern w:val="0"/>
                <w:sz w:val="18"/>
                <w:szCs w:val="18"/>
                <w:lang w:eastAsia="es-CO"/>
                <w14:ligatures w14:val="none"/>
              </w:rPr>
              <w:t>OILTANKING COLOMBIA S.A.</w:t>
            </w:r>
          </w:p>
        </w:tc>
        <w:tc>
          <w:tcPr>
            <w:tcW w:w="965" w:type="pct"/>
            <w:noWrap/>
            <w:vAlign w:val="center"/>
            <w:hideMark/>
          </w:tcPr>
          <w:p w14:paraId="2861A229" w14:textId="77777777" w:rsidR="00B77260" w:rsidRPr="00951AB1" w:rsidRDefault="00B77260" w:rsidP="000A5389">
            <w:pPr>
              <w:spacing w:line="240" w:lineRule="auto"/>
              <w:jc w:val="right"/>
              <w:rPr>
                <w:rFonts w:eastAsia="Times New Roman" w:cs="Times New Roman"/>
                <w:b/>
                <w:bCs/>
                <w:color w:val="000000"/>
                <w:kern w:val="0"/>
                <w:sz w:val="18"/>
                <w:szCs w:val="18"/>
                <w:lang w:eastAsia="es-CO"/>
                <w14:ligatures w14:val="none"/>
              </w:rPr>
            </w:pPr>
            <w:r w:rsidRPr="00951AB1">
              <w:rPr>
                <w:rFonts w:eastAsia="Times New Roman" w:cs="Times New Roman"/>
                <w:b/>
                <w:bCs/>
                <w:color w:val="000000"/>
                <w:kern w:val="0"/>
                <w:sz w:val="18"/>
                <w:szCs w:val="18"/>
                <w:lang w:eastAsia="es-CO"/>
                <w14:ligatures w14:val="none"/>
              </w:rPr>
              <w:t>27.343.698.465</w:t>
            </w:r>
          </w:p>
        </w:tc>
        <w:tc>
          <w:tcPr>
            <w:tcW w:w="945" w:type="pct"/>
            <w:noWrap/>
            <w:vAlign w:val="center"/>
            <w:hideMark/>
          </w:tcPr>
          <w:p w14:paraId="4496BAC3" w14:textId="77777777" w:rsidR="00B77260" w:rsidRPr="00951AB1" w:rsidRDefault="00B77260" w:rsidP="000A5389">
            <w:pPr>
              <w:spacing w:line="240" w:lineRule="auto"/>
              <w:jc w:val="right"/>
              <w:rPr>
                <w:rFonts w:eastAsia="Times New Roman" w:cs="Times New Roman"/>
                <w:b/>
                <w:bCs/>
                <w:color w:val="000000"/>
                <w:kern w:val="0"/>
                <w:sz w:val="18"/>
                <w:szCs w:val="18"/>
                <w:lang w:eastAsia="es-CO"/>
                <w14:ligatures w14:val="none"/>
              </w:rPr>
            </w:pPr>
            <w:r w:rsidRPr="00951AB1">
              <w:rPr>
                <w:rFonts w:eastAsia="Times New Roman" w:cs="Times New Roman"/>
                <w:b/>
                <w:bCs/>
                <w:color w:val="000000"/>
                <w:kern w:val="0"/>
                <w:sz w:val="18"/>
                <w:szCs w:val="18"/>
                <w:lang w:eastAsia="es-CO"/>
                <w14:ligatures w14:val="none"/>
              </w:rPr>
              <w:t>25.745.973.703</w:t>
            </w:r>
          </w:p>
        </w:tc>
        <w:tc>
          <w:tcPr>
            <w:tcW w:w="845" w:type="pct"/>
            <w:noWrap/>
            <w:vAlign w:val="center"/>
            <w:hideMark/>
          </w:tcPr>
          <w:p w14:paraId="6587A9B2" w14:textId="77777777" w:rsidR="00B77260" w:rsidRPr="00951AB1" w:rsidRDefault="00B77260"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0</w:t>
            </w:r>
          </w:p>
        </w:tc>
      </w:tr>
      <w:tr w:rsidR="005A73C0" w:rsidRPr="00951AB1" w14:paraId="38B3C796" w14:textId="77777777" w:rsidTr="004004C5">
        <w:trPr>
          <w:trHeight w:val="293"/>
        </w:trPr>
        <w:tc>
          <w:tcPr>
            <w:tcW w:w="2245" w:type="pct"/>
            <w:vAlign w:val="center"/>
            <w:hideMark/>
          </w:tcPr>
          <w:p w14:paraId="5229062A" w14:textId="77777777" w:rsidR="00B77260" w:rsidRPr="00951AB1" w:rsidRDefault="00B77260" w:rsidP="000A5389">
            <w:pPr>
              <w:spacing w:line="240" w:lineRule="auto"/>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Propiedades, Plan y Equipo</w:t>
            </w:r>
          </w:p>
        </w:tc>
        <w:tc>
          <w:tcPr>
            <w:tcW w:w="965" w:type="pct"/>
            <w:noWrap/>
            <w:vAlign w:val="center"/>
            <w:hideMark/>
          </w:tcPr>
          <w:p w14:paraId="0ADE6096" w14:textId="77777777" w:rsidR="00B77260" w:rsidRPr="00951AB1" w:rsidRDefault="00B77260"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2.876.350.036</w:t>
            </w:r>
          </w:p>
        </w:tc>
        <w:tc>
          <w:tcPr>
            <w:tcW w:w="945" w:type="pct"/>
            <w:noWrap/>
            <w:vAlign w:val="center"/>
            <w:hideMark/>
          </w:tcPr>
          <w:p w14:paraId="102C207A" w14:textId="77777777" w:rsidR="00B77260" w:rsidRPr="00951AB1" w:rsidRDefault="00B77260"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2.801.168.733</w:t>
            </w:r>
          </w:p>
        </w:tc>
        <w:tc>
          <w:tcPr>
            <w:tcW w:w="845" w:type="pct"/>
            <w:noWrap/>
            <w:vAlign w:val="center"/>
            <w:hideMark/>
          </w:tcPr>
          <w:p w14:paraId="07E6B4D3" w14:textId="77777777" w:rsidR="00B77260" w:rsidRPr="00951AB1" w:rsidRDefault="00B77260"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0</w:t>
            </w:r>
          </w:p>
        </w:tc>
      </w:tr>
      <w:tr w:rsidR="005A73C0" w:rsidRPr="00951AB1" w14:paraId="65FF92A0" w14:textId="77777777" w:rsidTr="004004C5">
        <w:trPr>
          <w:trHeight w:val="293"/>
        </w:trPr>
        <w:tc>
          <w:tcPr>
            <w:tcW w:w="2245" w:type="pct"/>
            <w:vAlign w:val="center"/>
            <w:hideMark/>
          </w:tcPr>
          <w:p w14:paraId="63FCA386" w14:textId="77777777" w:rsidR="00B77260" w:rsidRPr="00951AB1" w:rsidRDefault="00B77260" w:rsidP="000A5389">
            <w:pPr>
              <w:spacing w:line="240" w:lineRule="auto"/>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Red marítima</w:t>
            </w:r>
          </w:p>
        </w:tc>
        <w:tc>
          <w:tcPr>
            <w:tcW w:w="965" w:type="pct"/>
            <w:noWrap/>
            <w:vAlign w:val="center"/>
            <w:hideMark/>
          </w:tcPr>
          <w:p w14:paraId="6E1A4A4E" w14:textId="77777777" w:rsidR="00B77260" w:rsidRPr="00951AB1" w:rsidRDefault="00B77260"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24.467.348.429</w:t>
            </w:r>
          </w:p>
        </w:tc>
        <w:tc>
          <w:tcPr>
            <w:tcW w:w="945" w:type="pct"/>
            <w:noWrap/>
            <w:vAlign w:val="center"/>
            <w:hideMark/>
          </w:tcPr>
          <w:p w14:paraId="01A1917E" w14:textId="77777777" w:rsidR="00B77260" w:rsidRPr="00951AB1" w:rsidRDefault="00B77260"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22.944.804.970</w:t>
            </w:r>
          </w:p>
        </w:tc>
        <w:tc>
          <w:tcPr>
            <w:tcW w:w="845" w:type="pct"/>
            <w:noWrap/>
            <w:vAlign w:val="center"/>
            <w:hideMark/>
          </w:tcPr>
          <w:p w14:paraId="2E574BB1" w14:textId="77777777" w:rsidR="00B77260" w:rsidRPr="00951AB1" w:rsidRDefault="00B77260"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0</w:t>
            </w:r>
          </w:p>
        </w:tc>
      </w:tr>
      <w:tr w:rsidR="005A73C0" w:rsidRPr="00951AB1" w14:paraId="52BA5F33" w14:textId="77777777" w:rsidTr="004004C5">
        <w:trPr>
          <w:trHeight w:val="293"/>
        </w:trPr>
        <w:tc>
          <w:tcPr>
            <w:tcW w:w="2245" w:type="pct"/>
            <w:vAlign w:val="center"/>
            <w:hideMark/>
          </w:tcPr>
          <w:p w14:paraId="18A8FADA" w14:textId="77777777" w:rsidR="00B77260" w:rsidRPr="00951AB1" w:rsidRDefault="00B77260" w:rsidP="000A5389">
            <w:pPr>
              <w:spacing w:line="240" w:lineRule="auto"/>
              <w:rPr>
                <w:rFonts w:eastAsia="Times New Roman" w:cs="Times New Roman"/>
                <w:b/>
                <w:bCs/>
                <w:color w:val="000000"/>
                <w:kern w:val="0"/>
                <w:sz w:val="18"/>
                <w:szCs w:val="18"/>
                <w:lang w:eastAsia="es-CO"/>
                <w14:ligatures w14:val="none"/>
              </w:rPr>
            </w:pPr>
            <w:r w:rsidRPr="00951AB1">
              <w:rPr>
                <w:rFonts w:eastAsia="Times New Roman" w:cs="Times New Roman"/>
                <w:b/>
                <w:bCs/>
                <w:color w:val="000000"/>
                <w:kern w:val="0"/>
                <w:sz w:val="18"/>
                <w:szCs w:val="18"/>
                <w:lang w:eastAsia="es-CO"/>
                <w14:ligatures w14:val="none"/>
              </w:rPr>
              <w:t>SOCIEDAD PORTUARIA PUERTO NUEVO S.A.</w:t>
            </w:r>
          </w:p>
        </w:tc>
        <w:tc>
          <w:tcPr>
            <w:tcW w:w="965" w:type="pct"/>
            <w:noWrap/>
            <w:vAlign w:val="center"/>
            <w:hideMark/>
          </w:tcPr>
          <w:p w14:paraId="25AC3C96" w14:textId="77777777" w:rsidR="00B77260" w:rsidRPr="00951AB1" w:rsidRDefault="00B77260" w:rsidP="000A5389">
            <w:pPr>
              <w:spacing w:line="240" w:lineRule="auto"/>
              <w:jc w:val="right"/>
              <w:rPr>
                <w:rFonts w:eastAsia="Times New Roman" w:cs="Times New Roman"/>
                <w:b/>
                <w:bCs/>
                <w:color w:val="000000"/>
                <w:kern w:val="0"/>
                <w:sz w:val="18"/>
                <w:szCs w:val="18"/>
                <w:lang w:eastAsia="es-CO"/>
                <w14:ligatures w14:val="none"/>
              </w:rPr>
            </w:pPr>
            <w:r w:rsidRPr="00951AB1">
              <w:rPr>
                <w:rFonts w:eastAsia="Times New Roman" w:cs="Times New Roman"/>
                <w:b/>
                <w:bCs/>
                <w:color w:val="000000"/>
                <w:kern w:val="0"/>
                <w:sz w:val="18"/>
                <w:szCs w:val="18"/>
                <w:lang w:eastAsia="es-CO"/>
                <w14:ligatures w14:val="none"/>
              </w:rPr>
              <w:t>507.235.632.604</w:t>
            </w:r>
          </w:p>
        </w:tc>
        <w:tc>
          <w:tcPr>
            <w:tcW w:w="945" w:type="pct"/>
            <w:noWrap/>
            <w:vAlign w:val="center"/>
            <w:hideMark/>
          </w:tcPr>
          <w:p w14:paraId="5B9D1398" w14:textId="77777777" w:rsidR="00B77260" w:rsidRPr="00951AB1" w:rsidRDefault="00B77260" w:rsidP="000A5389">
            <w:pPr>
              <w:spacing w:line="240" w:lineRule="auto"/>
              <w:jc w:val="right"/>
              <w:rPr>
                <w:rFonts w:eastAsia="Times New Roman" w:cs="Times New Roman"/>
                <w:b/>
                <w:bCs/>
                <w:color w:val="000000"/>
                <w:kern w:val="0"/>
                <w:sz w:val="18"/>
                <w:szCs w:val="18"/>
                <w:lang w:eastAsia="es-CO"/>
                <w14:ligatures w14:val="none"/>
              </w:rPr>
            </w:pPr>
            <w:r w:rsidRPr="00951AB1">
              <w:rPr>
                <w:rFonts w:eastAsia="Times New Roman" w:cs="Times New Roman"/>
                <w:b/>
                <w:bCs/>
                <w:color w:val="000000"/>
                <w:kern w:val="0"/>
                <w:sz w:val="18"/>
                <w:szCs w:val="18"/>
                <w:lang w:eastAsia="es-CO"/>
                <w14:ligatures w14:val="none"/>
              </w:rPr>
              <w:t>507.235.632.604</w:t>
            </w:r>
          </w:p>
        </w:tc>
        <w:tc>
          <w:tcPr>
            <w:tcW w:w="845" w:type="pct"/>
            <w:noWrap/>
            <w:vAlign w:val="center"/>
            <w:hideMark/>
          </w:tcPr>
          <w:p w14:paraId="3405848A" w14:textId="77777777" w:rsidR="00B77260" w:rsidRPr="00951AB1" w:rsidRDefault="00B77260"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0</w:t>
            </w:r>
          </w:p>
        </w:tc>
      </w:tr>
      <w:tr w:rsidR="005A73C0" w:rsidRPr="00951AB1" w14:paraId="49E53A73" w14:textId="77777777" w:rsidTr="004004C5">
        <w:trPr>
          <w:trHeight w:val="293"/>
        </w:trPr>
        <w:tc>
          <w:tcPr>
            <w:tcW w:w="2245" w:type="pct"/>
            <w:vAlign w:val="center"/>
            <w:hideMark/>
          </w:tcPr>
          <w:p w14:paraId="52E302CA" w14:textId="77777777" w:rsidR="00B77260" w:rsidRPr="00951AB1" w:rsidRDefault="00B77260" w:rsidP="000A5389">
            <w:pPr>
              <w:spacing w:line="240" w:lineRule="auto"/>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Propiedades, Plan y Equipo</w:t>
            </w:r>
          </w:p>
        </w:tc>
        <w:tc>
          <w:tcPr>
            <w:tcW w:w="965" w:type="pct"/>
            <w:noWrap/>
            <w:vAlign w:val="center"/>
            <w:hideMark/>
          </w:tcPr>
          <w:p w14:paraId="69EEE25C" w14:textId="77777777" w:rsidR="00B77260" w:rsidRPr="00951AB1" w:rsidRDefault="00B77260"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88.867.643.927</w:t>
            </w:r>
          </w:p>
        </w:tc>
        <w:tc>
          <w:tcPr>
            <w:tcW w:w="945" w:type="pct"/>
            <w:noWrap/>
            <w:vAlign w:val="center"/>
            <w:hideMark/>
          </w:tcPr>
          <w:p w14:paraId="0C6EE19B" w14:textId="77777777" w:rsidR="00B77260" w:rsidRPr="00951AB1" w:rsidRDefault="00B77260"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88.867.643.927</w:t>
            </w:r>
          </w:p>
        </w:tc>
        <w:tc>
          <w:tcPr>
            <w:tcW w:w="845" w:type="pct"/>
            <w:noWrap/>
            <w:vAlign w:val="center"/>
            <w:hideMark/>
          </w:tcPr>
          <w:p w14:paraId="14D1A64B" w14:textId="77777777" w:rsidR="00B77260" w:rsidRPr="00951AB1" w:rsidRDefault="00B77260"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0</w:t>
            </w:r>
          </w:p>
        </w:tc>
      </w:tr>
      <w:tr w:rsidR="005A73C0" w:rsidRPr="00951AB1" w14:paraId="1CA2DC7C" w14:textId="77777777" w:rsidTr="004004C5">
        <w:trPr>
          <w:trHeight w:val="293"/>
        </w:trPr>
        <w:tc>
          <w:tcPr>
            <w:tcW w:w="2245" w:type="pct"/>
            <w:vAlign w:val="center"/>
            <w:hideMark/>
          </w:tcPr>
          <w:p w14:paraId="7A00383F" w14:textId="77777777" w:rsidR="00B77260" w:rsidRPr="00951AB1" w:rsidRDefault="00B77260" w:rsidP="000A5389">
            <w:pPr>
              <w:spacing w:line="240" w:lineRule="auto"/>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Red marítima</w:t>
            </w:r>
          </w:p>
        </w:tc>
        <w:tc>
          <w:tcPr>
            <w:tcW w:w="965" w:type="pct"/>
            <w:noWrap/>
            <w:vAlign w:val="center"/>
            <w:hideMark/>
          </w:tcPr>
          <w:p w14:paraId="757ACD5B" w14:textId="77777777" w:rsidR="00B77260" w:rsidRPr="00951AB1" w:rsidRDefault="00B77260"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418.367.988.676</w:t>
            </w:r>
          </w:p>
        </w:tc>
        <w:tc>
          <w:tcPr>
            <w:tcW w:w="945" w:type="pct"/>
            <w:noWrap/>
            <w:vAlign w:val="center"/>
            <w:hideMark/>
          </w:tcPr>
          <w:p w14:paraId="032521A9" w14:textId="77777777" w:rsidR="00B77260" w:rsidRPr="00951AB1" w:rsidRDefault="00B77260"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418.367.988.676</w:t>
            </w:r>
          </w:p>
        </w:tc>
        <w:tc>
          <w:tcPr>
            <w:tcW w:w="845" w:type="pct"/>
            <w:noWrap/>
            <w:vAlign w:val="center"/>
            <w:hideMark/>
          </w:tcPr>
          <w:p w14:paraId="4288FEC6" w14:textId="77777777" w:rsidR="00B77260" w:rsidRPr="00951AB1" w:rsidRDefault="00B77260"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0</w:t>
            </w:r>
          </w:p>
        </w:tc>
      </w:tr>
      <w:tr w:rsidR="005A73C0" w:rsidRPr="00951AB1" w14:paraId="7699948A" w14:textId="77777777" w:rsidTr="004004C5">
        <w:trPr>
          <w:trHeight w:val="458"/>
        </w:trPr>
        <w:tc>
          <w:tcPr>
            <w:tcW w:w="2245" w:type="pct"/>
            <w:vAlign w:val="center"/>
            <w:hideMark/>
          </w:tcPr>
          <w:p w14:paraId="2EF13067" w14:textId="77777777" w:rsidR="00B77260" w:rsidRPr="00951AB1" w:rsidRDefault="00B77260" w:rsidP="000A5389">
            <w:pPr>
              <w:spacing w:line="240" w:lineRule="auto"/>
              <w:rPr>
                <w:rFonts w:eastAsia="Times New Roman" w:cs="Times New Roman"/>
                <w:b/>
                <w:bCs/>
                <w:color w:val="000000"/>
                <w:kern w:val="0"/>
                <w:sz w:val="18"/>
                <w:szCs w:val="18"/>
                <w:lang w:eastAsia="es-CO"/>
                <w14:ligatures w14:val="none"/>
              </w:rPr>
            </w:pPr>
            <w:r w:rsidRPr="00951AB1">
              <w:rPr>
                <w:rFonts w:eastAsia="Times New Roman" w:cs="Times New Roman"/>
                <w:b/>
                <w:bCs/>
                <w:color w:val="000000"/>
                <w:kern w:val="0"/>
                <w:sz w:val="18"/>
                <w:szCs w:val="18"/>
                <w:lang w:eastAsia="es-CO"/>
                <w14:ligatures w14:val="none"/>
              </w:rPr>
              <w:t>SOCIEDAD PORTUARIA CENTRAL CARTAGENA S.A</w:t>
            </w:r>
          </w:p>
        </w:tc>
        <w:tc>
          <w:tcPr>
            <w:tcW w:w="965" w:type="pct"/>
            <w:noWrap/>
            <w:vAlign w:val="center"/>
            <w:hideMark/>
          </w:tcPr>
          <w:p w14:paraId="75DAB176" w14:textId="77777777" w:rsidR="00B77260" w:rsidRPr="00951AB1" w:rsidRDefault="00B77260" w:rsidP="000A5389">
            <w:pPr>
              <w:spacing w:line="240" w:lineRule="auto"/>
              <w:jc w:val="right"/>
              <w:rPr>
                <w:rFonts w:eastAsia="Times New Roman" w:cs="Times New Roman"/>
                <w:b/>
                <w:bCs/>
                <w:color w:val="000000"/>
                <w:kern w:val="0"/>
                <w:sz w:val="18"/>
                <w:szCs w:val="18"/>
                <w:lang w:eastAsia="es-CO"/>
                <w14:ligatures w14:val="none"/>
              </w:rPr>
            </w:pPr>
            <w:r w:rsidRPr="00951AB1">
              <w:rPr>
                <w:rFonts w:eastAsia="Times New Roman" w:cs="Times New Roman"/>
                <w:b/>
                <w:bCs/>
                <w:color w:val="000000"/>
                <w:kern w:val="0"/>
                <w:sz w:val="18"/>
                <w:szCs w:val="18"/>
                <w:lang w:eastAsia="es-CO"/>
                <w14:ligatures w14:val="none"/>
              </w:rPr>
              <w:t>5.512.620.834</w:t>
            </w:r>
          </w:p>
        </w:tc>
        <w:tc>
          <w:tcPr>
            <w:tcW w:w="945" w:type="pct"/>
            <w:noWrap/>
            <w:vAlign w:val="center"/>
            <w:hideMark/>
          </w:tcPr>
          <w:p w14:paraId="61D6F819" w14:textId="77777777" w:rsidR="00B77260" w:rsidRPr="00951AB1" w:rsidRDefault="00B77260" w:rsidP="000A5389">
            <w:pPr>
              <w:spacing w:line="240" w:lineRule="auto"/>
              <w:jc w:val="right"/>
              <w:rPr>
                <w:rFonts w:eastAsia="Times New Roman" w:cs="Times New Roman"/>
                <w:b/>
                <w:bCs/>
                <w:color w:val="000000"/>
                <w:kern w:val="0"/>
                <w:sz w:val="18"/>
                <w:szCs w:val="18"/>
                <w:lang w:eastAsia="es-CO"/>
                <w14:ligatures w14:val="none"/>
              </w:rPr>
            </w:pPr>
            <w:r w:rsidRPr="00951AB1">
              <w:rPr>
                <w:rFonts w:eastAsia="Times New Roman" w:cs="Times New Roman"/>
                <w:b/>
                <w:bCs/>
                <w:color w:val="000000"/>
                <w:kern w:val="0"/>
                <w:sz w:val="18"/>
                <w:szCs w:val="18"/>
                <w:lang w:eastAsia="es-CO"/>
                <w14:ligatures w14:val="none"/>
              </w:rPr>
              <w:t>5.485.333.075</w:t>
            </w:r>
          </w:p>
        </w:tc>
        <w:tc>
          <w:tcPr>
            <w:tcW w:w="845" w:type="pct"/>
            <w:noWrap/>
            <w:vAlign w:val="center"/>
            <w:hideMark/>
          </w:tcPr>
          <w:p w14:paraId="0EF8B738" w14:textId="77777777" w:rsidR="00B77260" w:rsidRPr="00951AB1" w:rsidRDefault="00B77260"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0</w:t>
            </w:r>
          </w:p>
        </w:tc>
      </w:tr>
      <w:tr w:rsidR="005A73C0" w:rsidRPr="00951AB1" w14:paraId="00D9D65D" w14:textId="77777777" w:rsidTr="004004C5">
        <w:trPr>
          <w:trHeight w:val="293"/>
        </w:trPr>
        <w:tc>
          <w:tcPr>
            <w:tcW w:w="2245" w:type="pct"/>
            <w:vAlign w:val="center"/>
            <w:hideMark/>
          </w:tcPr>
          <w:p w14:paraId="7CE470FC" w14:textId="77777777" w:rsidR="00B77260" w:rsidRPr="00951AB1" w:rsidRDefault="00B77260" w:rsidP="000A5389">
            <w:pPr>
              <w:spacing w:line="240" w:lineRule="auto"/>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Propiedades, Plan y Equipo</w:t>
            </w:r>
          </w:p>
        </w:tc>
        <w:tc>
          <w:tcPr>
            <w:tcW w:w="965" w:type="pct"/>
            <w:noWrap/>
            <w:vAlign w:val="center"/>
            <w:hideMark/>
          </w:tcPr>
          <w:p w14:paraId="62CF6151" w14:textId="77777777" w:rsidR="00B77260" w:rsidRPr="00951AB1" w:rsidRDefault="00B77260"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27.287.759</w:t>
            </w:r>
          </w:p>
        </w:tc>
        <w:tc>
          <w:tcPr>
            <w:tcW w:w="945" w:type="pct"/>
            <w:noWrap/>
            <w:vAlign w:val="center"/>
            <w:hideMark/>
          </w:tcPr>
          <w:p w14:paraId="48D53E50" w14:textId="65E2746B" w:rsidR="00B77260" w:rsidRPr="00951AB1" w:rsidRDefault="00B77260" w:rsidP="000A5389">
            <w:pPr>
              <w:spacing w:line="240" w:lineRule="auto"/>
              <w:jc w:val="right"/>
              <w:rPr>
                <w:rFonts w:eastAsia="Times New Roman" w:cs="Times New Roman"/>
                <w:color w:val="000000"/>
                <w:kern w:val="0"/>
                <w:lang w:eastAsia="es-CO"/>
                <w14:ligatures w14:val="none"/>
              </w:rPr>
            </w:pPr>
            <w:r w:rsidRPr="00951AB1">
              <w:rPr>
                <w:rFonts w:eastAsia="Times New Roman" w:cs="Times New Roman"/>
                <w:color w:val="000000"/>
                <w:kern w:val="0"/>
                <w:lang w:eastAsia="es-CO"/>
                <w14:ligatures w14:val="none"/>
              </w:rPr>
              <w:t> </w:t>
            </w:r>
            <w:r w:rsidR="008507F7" w:rsidRPr="00951AB1">
              <w:rPr>
                <w:rFonts w:eastAsia="Times New Roman" w:cs="Times New Roman"/>
                <w:color w:val="000000"/>
                <w:kern w:val="0"/>
                <w:sz w:val="18"/>
                <w:szCs w:val="18"/>
                <w:lang w:eastAsia="es-CO"/>
                <w14:ligatures w14:val="none"/>
              </w:rPr>
              <w:t>0</w:t>
            </w:r>
          </w:p>
        </w:tc>
        <w:tc>
          <w:tcPr>
            <w:tcW w:w="845" w:type="pct"/>
            <w:noWrap/>
            <w:vAlign w:val="center"/>
            <w:hideMark/>
          </w:tcPr>
          <w:p w14:paraId="37C44D64" w14:textId="77777777" w:rsidR="00B77260" w:rsidRPr="00951AB1" w:rsidRDefault="00B77260"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0</w:t>
            </w:r>
          </w:p>
        </w:tc>
      </w:tr>
      <w:tr w:rsidR="005A73C0" w:rsidRPr="00951AB1" w14:paraId="63CCB41A" w14:textId="77777777" w:rsidTr="004004C5">
        <w:trPr>
          <w:trHeight w:val="293"/>
        </w:trPr>
        <w:tc>
          <w:tcPr>
            <w:tcW w:w="2245" w:type="pct"/>
            <w:vAlign w:val="center"/>
            <w:hideMark/>
          </w:tcPr>
          <w:p w14:paraId="400169E1" w14:textId="77777777" w:rsidR="00B77260" w:rsidRPr="00951AB1" w:rsidRDefault="00B77260" w:rsidP="000A5389">
            <w:pPr>
              <w:spacing w:line="240" w:lineRule="auto"/>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Red marítima</w:t>
            </w:r>
          </w:p>
        </w:tc>
        <w:tc>
          <w:tcPr>
            <w:tcW w:w="965" w:type="pct"/>
            <w:noWrap/>
            <w:vAlign w:val="center"/>
            <w:hideMark/>
          </w:tcPr>
          <w:p w14:paraId="1147AA25" w14:textId="77777777" w:rsidR="00B77260" w:rsidRPr="00951AB1" w:rsidRDefault="00B77260"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5.485.333.075</w:t>
            </w:r>
          </w:p>
        </w:tc>
        <w:tc>
          <w:tcPr>
            <w:tcW w:w="945" w:type="pct"/>
            <w:noWrap/>
            <w:vAlign w:val="center"/>
            <w:hideMark/>
          </w:tcPr>
          <w:p w14:paraId="0556FE60" w14:textId="77777777" w:rsidR="00B77260" w:rsidRPr="00951AB1" w:rsidRDefault="00B77260"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5.485.333.075</w:t>
            </w:r>
          </w:p>
        </w:tc>
        <w:tc>
          <w:tcPr>
            <w:tcW w:w="845" w:type="pct"/>
            <w:noWrap/>
            <w:vAlign w:val="center"/>
            <w:hideMark/>
          </w:tcPr>
          <w:p w14:paraId="75694D70" w14:textId="77777777" w:rsidR="00B77260" w:rsidRPr="00951AB1" w:rsidRDefault="00B77260"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0</w:t>
            </w:r>
          </w:p>
        </w:tc>
      </w:tr>
      <w:tr w:rsidR="005A73C0" w:rsidRPr="00951AB1" w14:paraId="4A67A5AB" w14:textId="77777777" w:rsidTr="004004C5">
        <w:trPr>
          <w:trHeight w:val="458"/>
        </w:trPr>
        <w:tc>
          <w:tcPr>
            <w:tcW w:w="2245" w:type="pct"/>
            <w:vAlign w:val="center"/>
            <w:hideMark/>
          </w:tcPr>
          <w:p w14:paraId="3F26315F" w14:textId="77777777" w:rsidR="00B77260" w:rsidRPr="00951AB1" w:rsidRDefault="00B77260" w:rsidP="000A5389">
            <w:pPr>
              <w:spacing w:line="240" w:lineRule="auto"/>
              <w:rPr>
                <w:rFonts w:eastAsia="Times New Roman" w:cs="Times New Roman"/>
                <w:b/>
                <w:bCs/>
                <w:color w:val="000000"/>
                <w:kern w:val="0"/>
                <w:sz w:val="18"/>
                <w:szCs w:val="18"/>
                <w:lang w:eastAsia="es-CO"/>
                <w14:ligatures w14:val="none"/>
              </w:rPr>
            </w:pPr>
            <w:r w:rsidRPr="00951AB1">
              <w:rPr>
                <w:rFonts w:eastAsia="Times New Roman" w:cs="Times New Roman"/>
                <w:b/>
                <w:bCs/>
                <w:color w:val="000000"/>
                <w:kern w:val="0"/>
                <w:sz w:val="18"/>
                <w:szCs w:val="18"/>
                <w:lang w:eastAsia="es-CO"/>
                <w14:ligatures w14:val="none"/>
              </w:rPr>
              <w:t>CENIT TRANSPORTE Y LOGÍSTICA DE HIDROCARBUROS S.A.S.</w:t>
            </w:r>
          </w:p>
        </w:tc>
        <w:tc>
          <w:tcPr>
            <w:tcW w:w="965" w:type="pct"/>
            <w:noWrap/>
            <w:vAlign w:val="center"/>
            <w:hideMark/>
          </w:tcPr>
          <w:p w14:paraId="3740E0E1" w14:textId="77777777" w:rsidR="00B77260" w:rsidRPr="00951AB1" w:rsidRDefault="00B77260" w:rsidP="000A5389">
            <w:pPr>
              <w:spacing w:line="240" w:lineRule="auto"/>
              <w:jc w:val="right"/>
              <w:rPr>
                <w:rFonts w:eastAsia="Times New Roman" w:cs="Times New Roman"/>
                <w:b/>
                <w:bCs/>
                <w:color w:val="000000"/>
                <w:kern w:val="0"/>
                <w:sz w:val="18"/>
                <w:szCs w:val="18"/>
                <w:lang w:eastAsia="es-CO"/>
                <w14:ligatures w14:val="none"/>
              </w:rPr>
            </w:pPr>
            <w:r w:rsidRPr="00951AB1">
              <w:rPr>
                <w:rFonts w:eastAsia="Times New Roman" w:cs="Times New Roman"/>
                <w:b/>
                <w:bCs/>
                <w:color w:val="000000"/>
                <w:kern w:val="0"/>
                <w:sz w:val="18"/>
                <w:szCs w:val="18"/>
                <w:lang w:eastAsia="es-CO"/>
                <w14:ligatures w14:val="none"/>
              </w:rPr>
              <w:t>261.055.536.032</w:t>
            </w:r>
          </w:p>
        </w:tc>
        <w:tc>
          <w:tcPr>
            <w:tcW w:w="945" w:type="pct"/>
            <w:noWrap/>
            <w:vAlign w:val="center"/>
            <w:hideMark/>
          </w:tcPr>
          <w:p w14:paraId="4EFFE9A2" w14:textId="77777777" w:rsidR="00B77260" w:rsidRPr="00951AB1" w:rsidRDefault="00B77260" w:rsidP="000A5389">
            <w:pPr>
              <w:spacing w:line="240" w:lineRule="auto"/>
              <w:jc w:val="right"/>
              <w:rPr>
                <w:rFonts w:eastAsia="Times New Roman" w:cs="Times New Roman"/>
                <w:b/>
                <w:bCs/>
                <w:color w:val="000000"/>
                <w:kern w:val="0"/>
                <w:sz w:val="18"/>
                <w:szCs w:val="18"/>
                <w:lang w:eastAsia="es-CO"/>
                <w14:ligatures w14:val="none"/>
              </w:rPr>
            </w:pPr>
            <w:r w:rsidRPr="00951AB1">
              <w:rPr>
                <w:rFonts w:eastAsia="Times New Roman" w:cs="Times New Roman"/>
                <w:b/>
                <w:bCs/>
                <w:color w:val="000000"/>
                <w:kern w:val="0"/>
                <w:sz w:val="18"/>
                <w:szCs w:val="18"/>
                <w:lang w:eastAsia="es-CO"/>
                <w14:ligatures w14:val="none"/>
              </w:rPr>
              <w:t>252.777.217.403</w:t>
            </w:r>
          </w:p>
        </w:tc>
        <w:tc>
          <w:tcPr>
            <w:tcW w:w="845" w:type="pct"/>
            <w:noWrap/>
            <w:vAlign w:val="center"/>
            <w:hideMark/>
          </w:tcPr>
          <w:p w14:paraId="4AB2DA25" w14:textId="77777777" w:rsidR="00B77260" w:rsidRPr="00951AB1" w:rsidRDefault="00B77260"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0</w:t>
            </w:r>
          </w:p>
        </w:tc>
      </w:tr>
      <w:tr w:rsidR="005A73C0" w:rsidRPr="00951AB1" w14:paraId="39FE10B3" w14:textId="77777777" w:rsidTr="004004C5">
        <w:trPr>
          <w:trHeight w:val="293"/>
        </w:trPr>
        <w:tc>
          <w:tcPr>
            <w:tcW w:w="2245" w:type="pct"/>
            <w:vAlign w:val="center"/>
            <w:hideMark/>
          </w:tcPr>
          <w:p w14:paraId="054B5E00" w14:textId="77777777" w:rsidR="00B77260" w:rsidRPr="00951AB1" w:rsidRDefault="00B77260" w:rsidP="000A5389">
            <w:pPr>
              <w:spacing w:line="240" w:lineRule="auto"/>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Propiedades, Plan y Equipo</w:t>
            </w:r>
          </w:p>
        </w:tc>
        <w:tc>
          <w:tcPr>
            <w:tcW w:w="965" w:type="pct"/>
            <w:noWrap/>
            <w:vAlign w:val="center"/>
            <w:hideMark/>
          </w:tcPr>
          <w:p w14:paraId="3761E76A" w14:textId="77777777" w:rsidR="00B77260" w:rsidRPr="00951AB1" w:rsidRDefault="00B77260"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147.357.012.180</w:t>
            </w:r>
          </w:p>
        </w:tc>
        <w:tc>
          <w:tcPr>
            <w:tcW w:w="945" w:type="pct"/>
            <w:noWrap/>
            <w:vAlign w:val="center"/>
            <w:hideMark/>
          </w:tcPr>
          <w:p w14:paraId="41F796F0" w14:textId="77777777" w:rsidR="00B77260" w:rsidRPr="00951AB1" w:rsidRDefault="00B77260"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139.078.693.552</w:t>
            </w:r>
          </w:p>
        </w:tc>
        <w:tc>
          <w:tcPr>
            <w:tcW w:w="845" w:type="pct"/>
            <w:noWrap/>
            <w:vAlign w:val="center"/>
            <w:hideMark/>
          </w:tcPr>
          <w:p w14:paraId="52664F53" w14:textId="77777777" w:rsidR="00B77260" w:rsidRPr="00951AB1" w:rsidRDefault="00B77260"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0</w:t>
            </w:r>
          </w:p>
        </w:tc>
      </w:tr>
      <w:tr w:rsidR="005A73C0" w:rsidRPr="00951AB1" w14:paraId="66FC708C" w14:textId="77777777" w:rsidTr="004004C5">
        <w:trPr>
          <w:trHeight w:val="293"/>
        </w:trPr>
        <w:tc>
          <w:tcPr>
            <w:tcW w:w="2245" w:type="pct"/>
            <w:vAlign w:val="center"/>
            <w:hideMark/>
          </w:tcPr>
          <w:p w14:paraId="62D36BEE" w14:textId="77777777" w:rsidR="00B77260" w:rsidRPr="00951AB1" w:rsidRDefault="00B77260" w:rsidP="000A5389">
            <w:pPr>
              <w:spacing w:line="240" w:lineRule="auto"/>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Red marítima</w:t>
            </w:r>
          </w:p>
        </w:tc>
        <w:tc>
          <w:tcPr>
            <w:tcW w:w="965" w:type="pct"/>
            <w:noWrap/>
            <w:vAlign w:val="center"/>
            <w:hideMark/>
          </w:tcPr>
          <w:p w14:paraId="63E07F8C" w14:textId="77777777" w:rsidR="00B77260" w:rsidRPr="00951AB1" w:rsidRDefault="00B77260"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113.698.523.852</w:t>
            </w:r>
          </w:p>
        </w:tc>
        <w:tc>
          <w:tcPr>
            <w:tcW w:w="945" w:type="pct"/>
            <w:noWrap/>
            <w:vAlign w:val="center"/>
            <w:hideMark/>
          </w:tcPr>
          <w:p w14:paraId="368A01E4" w14:textId="77777777" w:rsidR="00B77260" w:rsidRPr="00951AB1" w:rsidRDefault="00B77260"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113.698.523.851</w:t>
            </w:r>
          </w:p>
        </w:tc>
        <w:tc>
          <w:tcPr>
            <w:tcW w:w="845" w:type="pct"/>
            <w:noWrap/>
            <w:vAlign w:val="center"/>
            <w:hideMark/>
          </w:tcPr>
          <w:p w14:paraId="67774E1C" w14:textId="77777777" w:rsidR="00B77260" w:rsidRPr="00951AB1" w:rsidRDefault="00B77260"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0</w:t>
            </w:r>
          </w:p>
        </w:tc>
      </w:tr>
      <w:tr w:rsidR="005A73C0" w:rsidRPr="00951AB1" w14:paraId="39CC03AC" w14:textId="77777777" w:rsidTr="004004C5">
        <w:trPr>
          <w:trHeight w:val="458"/>
        </w:trPr>
        <w:tc>
          <w:tcPr>
            <w:tcW w:w="2245" w:type="pct"/>
            <w:vAlign w:val="center"/>
            <w:hideMark/>
          </w:tcPr>
          <w:p w14:paraId="7D7685AB" w14:textId="77777777" w:rsidR="00B77260" w:rsidRPr="00951AB1" w:rsidRDefault="00B77260" w:rsidP="000A5389">
            <w:pPr>
              <w:spacing w:line="240" w:lineRule="auto"/>
              <w:rPr>
                <w:rFonts w:eastAsia="Times New Roman" w:cs="Times New Roman"/>
                <w:b/>
                <w:bCs/>
                <w:color w:val="000000"/>
                <w:kern w:val="0"/>
                <w:sz w:val="18"/>
                <w:szCs w:val="18"/>
                <w:lang w:eastAsia="es-CO"/>
                <w14:ligatures w14:val="none"/>
              </w:rPr>
            </w:pPr>
            <w:r w:rsidRPr="00951AB1">
              <w:rPr>
                <w:rFonts w:eastAsia="Times New Roman" w:cs="Times New Roman"/>
                <w:b/>
                <w:bCs/>
                <w:color w:val="000000"/>
                <w:kern w:val="0"/>
                <w:sz w:val="18"/>
                <w:szCs w:val="18"/>
                <w:lang w:eastAsia="es-CO"/>
                <w14:ligatures w14:val="none"/>
              </w:rPr>
              <w:t>SOCIEDAD PORTUARIA TERMINAL DE IFO'S S.A.</w:t>
            </w:r>
          </w:p>
        </w:tc>
        <w:tc>
          <w:tcPr>
            <w:tcW w:w="965" w:type="pct"/>
            <w:noWrap/>
            <w:vAlign w:val="center"/>
            <w:hideMark/>
          </w:tcPr>
          <w:p w14:paraId="46F2F705" w14:textId="77777777" w:rsidR="00B77260" w:rsidRPr="00951AB1" w:rsidRDefault="00B77260" w:rsidP="000A5389">
            <w:pPr>
              <w:spacing w:line="240" w:lineRule="auto"/>
              <w:rPr>
                <w:rFonts w:eastAsia="Times New Roman" w:cs="Times New Roman"/>
                <w:color w:val="000000"/>
                <w:kern w:val="0"/>
                <w:lang w:eastAsia="es-CO"/>
                <w14:ligatures w14:val="none"/>
              </w:rPr>
            </w:pPr>
            <w:r w:rsidRPr="00951AB1">
              <w:rPr>
                <w:rFonts w:eastAsia="Times New Roman" w:cs="Times New Roman"/>
                <w:color w:val="000000"/>
                <w:kern w:val="0"/>
                <w:lang w:eastAsia="es-CO"/>
                <w14:ligatures w14:val="none"/>
              </w:rPr>
              <w:t> </w:t>
            </w:r>
          </w:p>
        </w:tc>
        <w:tc>
          <w:tcPr>
            <w:tcW w:w="945" w:type="pct"/>
            <w:noWrap/>
            <w:vAlign w:val="center"/>
            <w:hideMark/>
          </w:tcPr>
          <w:p w14:paraId="71FB4511" w14:textId="77777777" w:rsidR="00B77260" w:rsidRPr="00951AB1" w:rsidRDefault="00B77260" w:rsidP="000A5389">
            <w:pPr>
              <w:spacing w:line="240" w:lineRule="auto"/>
              <w:jc w:val="right"/>
              <w:rPr>
                <w:rFonts w:eastAsia="Times New Roman" w:cs="Times New Roman"/>
                <w:b/>
                <w:bCs/>
                <w:color w:val="000000"/>
                <w:kern w:val="0"/>
                <w:sz w:val="18"/>
                <w:szCs w:val="18"/>
                <w:lang w:eastAsia="es-CO"/>
                <w14:ligatures w14:val="none"/>
              </w:rPr>
            </w:pPr>
            <w:r w:rsidRPr="00951AB1">
              <w:rPr>
                <w:rFonts w:eastAsia="Times New Roman" w:cs="Times New Roman"/>
                <w:b/>
                <w:bCs/>
                <w:color w:val="000000"/>
                <w:kern w:val="0"/>
                <w:sz w:val="18"/>
                <w:szCs w:val="18"/>
                <w:lang w:eastAsia="es-CO"/>
                <w14:ligatures w14:val="none"/>
              </w:rPr>
              <w:t>2.320.208.903</w:t>
            </w:r>
          </w:p>
        </w:tc>
        <w:tc>
          <w:tcPr>
            <w:tcW w:w="845" w:type="pct"/>
            <w:noWrap/>
            <w:vAlign w:val="center"/>
            <w:hideMark/>
          </w:tcPr>
          <w:p w14:paraId="4F959D9A" w14:textId="77777777" w:rsidR="00B77260" w:rsidRPr="00951AB1" w:rsidRDefault="00B77260"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0</w:t>
            </w:r>
          </w:p>
        </w:tc>
      </w:tr>
      <w:tr w:rsidR="005A73C0" w:rsidRPr="00951AB1" w14:paraId="12BDFCFF" w14:textId="77777777" w:rsidTr="004004C5">
        <w:trPr>
          <w:trHeight w:val="293"/>
        </w:trPr>
        <w:tc>
          <w:tcPr>
            <w:tcW w:w="2245" w:type="pct"/>
            <w:vAlign w:val="center"/>
            <w:hideMark/>
          </w:tcPr>
          <w:p w14:paraId="62B5B872" w14:textId="77777777" w:rsidR="00B77260" w:rsidRPr="00951AB1" w:rsidRDefault="00B77260" w:rsidP="000A5389">
            <w:pPr>
              <w:spacing w:line="240" w:lineRule="auto"/>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Propiedades, Plan y Equipo</w:t>
            </w:r>
          </w:p>
        </w:tc>
        <w:tc>
          <w:tcPr>
            <w:tcW w:w="965" w:type="pct"/>
            <w:noWrap/>
            <w:vAlign w:val="center"/>
            <w:hideMark/>
          </w:tcPr>
          <w:p w14:paraId="7071DAE2" w14:textId="77777777" w:rsidR="00B77260" w:rsidRPr="00951AB1" w:rsidRDefault="00B77260" w:rsidP="000A5389">
            <w:pPr>
              <w:spacing w:line="240" w:lineRule="auto"/>
              <w:rPr>
                <w:rFonts w:eastAsia="Times New Roman" w:cs="Times New Roman"/>
                <w:color w:val="000000"/>
                <w:kern w:val="0"/>
                <w:lang w:eastAsia="es-CO"/>
                <w14:ligatures w14:val="none"/>
              </w:rPr>
            </w:pPr>
            <w:r w:rsidRPr="00951AB1">
              <w:rPr>
                <w:rFonts w:eastAsia="Times New Roman" w:cs="Times New Roman"/>
                <w:color w:val="000000"/>
                <w:kern w:val="0"/>
                <w:lang w:eastAsia="es-CO"/>
                <w14:ligatures w14:val="none"/>
              </w:rPr>
              <w:t> </w:t>
            </w:r>
          </w:p>
        </w:tc>
        <w:tc>
          <w:tcPr>
            <w:tcW w:w="945" w:type="pct"/>
            <w:noWrap/>
            <w:vAlign w:val="center"/>
            <w:hideMark/>
          </w:tcPr>
          <w:p w14:paraId="5AE6F867" w14:textId="77777777" w:rsidR="00B77260" w:rsidRPr="00951AB1" w:rsidRDefault="00B77260"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252.785.163</w:t>
            </w:r>
          </w:p>
        </w:tc>
        <w:tc>
          <w:tcPr>
            <w:tcW w:w="845" w:type="pct"/>
            <w:noWrap/>
            <w:vAlign w:val="center"/>
            <w:hideMark/>
          </w:tcPr>
          <w:p w14:paraId="69D45B43" w14:textId="77777777" w:rsidR="00B77260" w:rsidRPr="00951AB1" w:rsidRDefault="00B77260"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0</w:t>
            </w:r>
          </w:p>
        </w:tc>
      </w:tr>
      <w:tr w:rsidR="005A73C0" w:rsidRPr="00951AB1" w14:paraId="39641B56" w14:textId="77777777" w:rsidTr="004004C5">
        <w:trPr>
          <w:trHeight w:val="293"/>
        </w:trPr>
        <w:tc>
          <w:tcPr>
            <w:tcW w:w="2245" w:type="pct"/>
            <w:vAlign w:val="center"/>
            <w:hideMark/>
          </w:tcPr>
          <w:p w14:paraId="1D9F8C72" w14:textId="77777777" w:rsidR="00B77260" w:rsidRPr="00951AB1" w:rsidRDefault="00B77260" w:rsidP="000A5389">
            <w:pPr>
              <w:spacing w:line="240" w:lineRule="auto"/>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Red marítima</w:t>
            </w:r>
          </w:p>
        </w:tc>
        <w:tc>
          <w:tcPr>
            <w:tcW w:w="965" w:type="pct"/>
            <w:noWrap/>
            <w:vAlign w:val="center"/>
            <w:hideMark/>
          </w:tcPr>
          <w:p w14:paraId="0CDBA1AC" w14:textId="77777777" w:rsidR="00B77260" w:rsidRPr="00951AB1" w:rsidRDefault="00B77260" w:rsidP="000A5389">
            <w:pPr>
              <w:spacing w:line="240" w:lineRule="auto"/>
              <w:rPr>
                <w:rFonts w:eastAsia="Times New Roman" w:cs="Times New Roman"/>
                <w:color w:val="000000"/>
                <w:kern w:val="0"/>
                <w:lang w:eastAsia="es-CO"/>
                <w14:ligatures w14:val="none"/>
              </w:rPr>
            </w:pPr>
            <w:r w:rsidRPr="00951AB1">
              <w:rPr>
                <w:rFonts w:eastAsia="Times New Roman" w:cs="Times New Roman"/>
                <w:color w:val="000000"/>
                <w:kern w:val="0"/>
                <w:lang w:eastAsia="es-CO"/>
                <w14:ligatures w14:val="none"/>
              </w:rPr>
              <w:t> </w:t>
            </w:r>
          </w:p>
        </w:tc>
        <w:tc>
          <w:tcPr>
            <w:tcW w:w="945" w:type="pct"/>
            <w:noWrap/>
            <w:vAlign w:val="center"/>
            <w:hideMark/>
          </w:tcPr>
          <w:p w14:paraId="60D5F60F" w14:textId="77777777" w:rsidR="00B77260" w:rsidRPr="00951AB1" w:rsidRDefault="00B77260"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2.067.423.740</w:t>
            </w:r>
          </w:p>
        </w:tc>
        <w:tc>
          <w:tcPr>
            <w:tcW w:w="845" w:type="pct"/>
            <w:noWrap/>
            <w:vAlign w:val="center"/>
            <w:hideMark/>
          </w:tcPr>
          <w:p w14:paraId="0B4D8E98" w14:textId="77777777" w:rsidR="00B77260" w:rsidRPr="00951AB1" w:rsidRDefault="00B77260"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0</w:t>
            </w:r>
          </w:p>
        </w:tc>
      </w:tr>
      <w:tr w:rsidR="005A73C0" w:rsidRPr="00951AB1" w14:paraId="2EF73E82" w14:textId="77777777" w:rsidTr="004004C5">
        <w:trPr>
          <w:trHeight w:val="293"/>
        </w:trPr>
        <w:tc>
          <w:tcPr>
            <w:tcW w:w="2245" w:type="pct"/>
            <w:vAlign w:val="center"/>
            <w:hideMark/>
          </w:tcPr>
          <w:p w14:paraId="50797BF9" w14:textId="77777777" w:rsidR="00B77260" w:rsidRPr="00951AB1" w:rsidRDefault="00B77260" w:rsidP="000A5389">
            <w:pPr>
              <w:spacing w:line="240" w:lineRule="auto"/>
              <w:rPr>
                <w:rFonts w:eastAsia="Times New Roman" w:cs="Times New Roman"/>
                <w:b/>
                <w:bCs/>
                <w:color w:val="000000"/>
                <w:kern w:val="0"/>
                <w:sz w:val="18"/>
                <w:szCs w:val="18"/>
                <w:lang w:eastAsia="es-CO"/>
                <w14:ligatures w14:val="none"/>
              </w:rPr>
            </w:pPr>
            <w:r w:rsidRPr="00951AB1">
              <w:rPr>
                <w:rFonts w:eastAsia="Times New Roman" w:cs="Times New Roman"/>
                <w:b/>
                <w:bCs/>
                <w:color w:val="000000"/>
                <w:kern w:val="0"/>
                <w:sz w:val="18"/>
                <w:szCs w:val="18"/>
                <w:lang w:eastAsia="es-CO"/>
                <w14:ligatures w14:val="none"/>
              </w:rPr>
              <w:t>COREMAR SHORE BASE SA</w:t>
            </w:r>
          </w:p>
        </w:tc>
        <w:tc>
          <w:tcPr>
            <w:tcW w:w="965" w:type="pct"/>
            <w:noWrap/>
            <w:vAlign w:val="center"/>
            <w:hideMark/>
          </w:tcPr>
          <w:p w14:paraId="5F95CF1B" w14:textId="77777777" w:rsidR="00B77260" w:rsidRPr="00951AB1" w:rsidRDefault="00B77260" w:rsidP="000A5389">
            <w:pPr>
              <w:spacing w:line="240" w:lineRule="auto"/>
              <w:jc w:val="right"/>
              <w:rPr>
                <w:rFonts w:eastAsia="Times New Roman" w:cs="Times New Roman"/>
                <w:b/>
                <w:bCs/>
                <w:color w:val="000000"/>
                <w:kern w:val="0"/>
                <w:sz w:val="18"/>
                <w:szCs w:val="18"/>
                <w:lang w:eastAsia="es-CO"/>
                <w14:ligatures w14:val="none"/>
              </w:rPr>
            </w:pPr>
            <w:r w:rsidRPr="00951AB1">
              <w:rPr>
                <w:rFonts w:eastAsia="Times New Roman" w:cs="Times New Roman"/>
                <w:b/>
                <w:bCs/>
                <w:color w:val="000000"/>
                <w:kern w:val="0"/>
                <w:sz w:val="18"/>
                <w:szCs w:val="18"/>
                <w:lang w:eastAsia="es-CO"/>
                <w14:ligatures w14:val="none"/>
              </w:rPr>
              <w:t>4.997.519.004</w:t>
            </w:r>
          </w:p>
        </w:tc>
        <w:tc>
          <w:tcPr>
            <w:tcW w:w="945" w:type="pct"/>
            <w:noWrap/>
            <w:vAlign w:val="center"/>
            <w:hideMark/>
          </w:tcPr>
          <w:p w14:paraId="11371BDF" w14:textId="77777777" w:rsidR="00B77260" w:rsidRPr="00951AB1" w:rsidRDefault="00B77260" w:rsidP="000A5389">
            <w:pPr>
              <w:spacing w:line="240" w:lineRule="auto"/>
              <w:jc w:val="right"/>
              <w:rPr>
                <w:rFonts w:eastAsia="Times New Roman" w:cs="Times New Roman"/>
                <w:b/>
                <w:bCs/>
                <w:color w:val="000000"/>
                <w:kern w:val="0"/>
                <w:sz w:val="18"/>
                <w:szCs w:val="18"/>
                <w:lang w:eastAsia="es-CO"/>
                <w14:ligatures w14:val="none"/>
              </w:rPr>
            </w:pPr>
            <w:r w:rsidRPr="00951AB1">
              <w:rPr>
                <w:rFonts w:eastAsia="Times New Roman" w:cs="Times New Roman"/>
                <w:b/>
                <w:bCs/>
                <w:color w:val="000000"/>
                <w:kern w:val="0"/>
                <w:sz w:val="18"/>
                <w:szCs w:val="18"/>
                <w:lang w:eastAsia="es-CO"/>
                <w14:ligatures w14:val="none"/>
              </w:rPr>
              <w:t>3.321.898.223</w:t>
            </w:r>
          </w:p>
        </w:tc>
        <w:tc>
          <w:tcPr>
            <w:tcW w:w="845" w:type="pct"/>
            <w:noWrap/>
            <w:vAlign w:val="center"/>
            <w:hideMark/>
          </w:tcPr>
          <w:p w14:paraId="0A35046B" w14:textId="77777777" w:rsidR="00B77260" w:rsidRPr="00951AB1" w:rsidRDefault="00B77260"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0</w:t>
            </w:r>
          </w:p>
        </w:tc>
      </w:tr>
      <w:tr w:rsidR="005A73C0" w:rsidRPr="00951AB1" w14:paraId="48B55896" w14:textId="77777777" w:rsidTr="004004C5">
        <w:trPr>
          <w:trHeight w:val="293"/>
        </w:trPr>
        <w:tc>
          <w:tcPr>
            <w:tcW w:w="2245" w:type="pct"/>
            <w:vAlign w:val="center"/>
            <w:hideMark/>
          </w:tcPr>
          <w:p w14:paraId="5E25DF8F" w14:textId="77777777" w:rsidR="00B77260" w:rsidRPr="00951AB1" w:rsidRDefault="00B77260" w:rsidP="000A5389">
            <w:pPr>
              <w:spacing w:line="240" w:lineRule="auto"/>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Red marítima</w:t>
            </w:r>
          </w:p>
        </w:tc>
        <w:tc>
          <w:tcPr>
            <w:tcW w:w="965" w:type="pct"/>
            <w:noWrap/>
            <w:vAlign w:val="center"/>
            <w:hideMark/>
          </w:tcPr>
          <w:p w14:paraId="6DFE6516" w14:textId="77777777" w:rsidR="00B77260" w:rsidRPr="00951AB1" w:rsidRDefault="00B77260"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4.997.519.004</w:t>
            </w:r>
          </w:p>
        </w:tc>
        <w:tc>
          <w:tcPr>
            <w:tcW w:w="945" w:type="pct"/>
            <w:noWrap/>
            <w:vAlign w:val="center"/>
            <w:hideMark/>
          </w:tcPr>
          <w:p w14:paraId="5378EBA9" w14:textId="77777777" w:rsidR="00B77260" w:rsidRPr="00951AB1" w:rsidRDefault="00B77260"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3.321.898.223</w:t>
            </w:r>
          </w:p>
        </w:tc>
        <w:tc>
          <w:tcPr>
            <w:tcW w:w="845" w:type="pct"/>
            <w:noWrap/>
            <w:vAlign w:val="center"/>
            <w:hideMark/>
          </w:tcPr>
          <w:p w14:paraId="60F5972C" w14:textId="77777777" w:rsidR="00B77260" w:rsidRPr="00951AB1" w:rsidRDefault="00B77260"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0</w:t>
            </w:r>
          </w:p>
        </w:tc>
      </w:tr>
      <w:tr w:rsidR="005A73C0" w:rsidRPr="00951AB1" w14:paraId="5F4CE46F" w14:textId="77777777" w:rsidTr="004004C5">
        <w:trPr>
          <w:trHeight w:val="458"/>
        </w:trPr>
        <w:tc>
          <w:tcPr>
            <w:tcW w:w="2245" w:type="pct"/>
            <w:vAlign w:val="center"/>
            <w:hideMark/>
          </w:tcPr>
          <w:p w14:paraId="70145804" w14:textId="35AA268A" w:rsidR="00B77260" w:rsidRPr="00951AB1" w:rsidRDefault="00B77260" w:rsidP="000A5389">
            <w:pPr>
              <w:spacing w:line="240" w:lineRule="auto"/>
              <w:rPr>
                <w:rFonts w:eastAsia="Times New Roman" w:cs="Times New Roman"/>
                <w:b/>
                <w:bCs/>
                <w:color w:val="000000"/>
                <w:kern w:val="0"/>
                <w:sz w:val="18"/>
                <w:szCs w:val="18"/>
                <w:lang w:eastAsia="es-CO"/>
                <w14:ligatures w14:val="none"/>
              </w:rPr>
            </w:pPr>
            <w:r w:rsidRPr="00951AB1">
              <w:rPr>
                <w:rFonts w:eastAsia="Times New Roman" w:cs="Times New Roman"/>
                <w:b/>
                <w:bCs/>
                <w:color w:val="000000"/>
                <w:kern w:val="0"/>
                <w:sz w:val="18"/>
                <w:szCs w:val="18"/>
                <w:lang w:eastAsia="es-CO"/>
                <w14:ligatures w14:val="none"/>
              </w:rPr>
              <w:t xml:space="preserve">NUEVA </w:t>
            </w:r>
            <w:r w:rsidR="00367E7C" w:rsidRPr="00951AB1">
              <w:rPr>
                <w:rFonts w:eastAsia="Times New Roman" w:cs="Times New Roman"/>
                <w:b/>
                <w:bCs/>
                <w:color w:val="000000"/>
                <w:kern w:val="0"/>
                <w:sz w:val="18"/>
                <w:szCs w:val="18"/>
                <w:lang w:eastAsia="es-CO"/>
                <w14:ligatures w14:val="none"/>
              </w:rPr>
              <w:t>SOCIEDAD PORTUARIA</w:t>
            </w:r>
            <w:r w:rsidRPr="00951AB1">
              <w:rPr>
                <w:rFonts w:eastAsia="Times New Roman" w:cs="Times New Roman"/>
                <w:b/>
                <w:bCs/>
                <w:color w:val="000000"/>
                <w:kern w:val="0"/>
                <w:sz w:val="18"/>
                <w:szCs w:val="18"/>
                <w:lang w:eastAsia="es-CO"/>
                <w14:ligatures w14:val="none"/>
              </w:rPr>
              <w:t xml:space="preserve"> ZONA  ATLANTICA   S .A</w:t>
            </w:r>
          </w:p>
        </w:tc>
        <w:tc>
          <w:tcPr>
            <w:tcW w:w="965" w:type="pct"/>
            <w:noWrap/>
            <w:vAlign w:val="center"/>
            <w:hideMark/>
          </w:tcPr>
          <w:p w14:paraId="57819660" w14:textId="77777777" w:rsidR="00B77260" w:rsidRPr="00951AB1" w:rsidRDefault="00B77260" w:rsidP="000A5389">
            <w:pPr>
              <w:spacing w:line="240" w:lineRule="auto"/>
              <w:jc w:val="right"/>
              <w:rPr>
                <w:rFonts w:eastAsia="Times New Roman" w:cs="Times New Roman"/>
                <w:b/>
                <w:bCs/>
                <w:color w:val="000000"/>
                <w:kern w:val="0"/>
                <w:sz w:val="18"/>
                <w:szCs w:val="18"/>
                <w:lang w:eastAsia="es-CO"/>
                <w14:ligatures w14:val="none"/>
              </w:rPr>
            </w:pPr>
            <w:r w:rsidRPr="00951AB1">
              <w:rPr>
                <w:rFonts w:eastAsia="Times New Roman" w:cs="Times New Roman"/>
                <w:b/>
                <w:bCs/>
                <w:color w:val="000000"/>
                <w:kern w:val="0"/>
                <w:sz w:val="18"/>
                <w:szCs w:val="18"/>
                <w:lang w:eastAsia="es-CO"/>
                <w14:ligatures w14:val="none"/>
              </w:rPr>
              <w:t>9.187.216.509</w:t>
            </w:r>
          </w:p>
        </w:tc>
        <w:tc>
          <w:tcPr>
            <w:tcW w:w="945" w:type="pct"/>
            <w:noWrap/>
            <w:vAlign w:val="center"/>
            <w:hideMark/>
          </w:tcPr>
          <w:p w14:paraId="2172C3B5" w14:textId="77777777" w:rsidR="00B77260" w:rsidRPr="00951AB1" w:rsidRDefault="00B77260" w:rsidP="000A5389">
            <w:pPr>
              <w:spacing w:line="240" w:lineRule="auto"/>
              <w:jc w:val="right"/>
              <w:rPr>
                <w:rFonts w:eastAsia="Times New Roman" w:cs="Times New Roman"/>
                <w:b/>
                <w:bCs/>
                <w:color w:val="000000"/>
                <w:kern w:val="0"/>
                <w:sz w:val="18"/>
                <w:szCs w:val="18"/>
                <w:lang w:eastAsia="es-CO"/>
                <w14:ligatures w14:val="none"/>
              </w:rPr>
            </w:pPr>
            <w:r w:rsidRPr="00951AB1">
              <w:rPr>
                <w:rFonts w:eastAsia="Times New Roman" w:cs="Times New Roman"/>
                <w:b/>
                <w:bCs/>
                <w:color w:val="000000"/>
                <w:kern w:val="0"/>
                <w:sz w:val="18"/>
                <w:szCs w:val="18"/>
                <w:lang w:eastAsia="es-CO"/>
                <w14:ligatures w14:val="none"/>
              </w:rPr>
              <w:t>4.670.922.537</w:t>
            </w:r>
          </w:p>
        </w:tc>
        <w:tc>
          <w:tcPr>
            <w:tcW w:w="845" w:type="pct"/>
            <w:noWrap/>
            <w:vAlign w:val="center"/>
            <w:hideMark/>
          </w:tcPr>
          <w:p w14:paraId="4ACAC0A2" w14:textId="77777777" w:rsidR="00B77260" w:rsidRPr="00951AB1" w:rsidRDefault="00B77260"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0</w:t>
            </w:r>
          </w:p>
        </w:tc>
      </w:tr>
      <w:tr w:rsidR="005A73C0" w:rsidRPr="00951AB1" w14:paraId="59D10630" w14:textId="77777777" w:rsidTr="004004C5">
        <w:trPr>
          <w:trHeight w:val="293"/>
        </w:trPr>
        <w:tc>
          <w:tcPr>
            <w:tcW w:w="2245" w:type="pct"/>
            <w:vAlign w:val="center"/>
            <w:hideMark/>
          </w:tcPr>
          <w:p w14:paraId="23E47182" w14:textId="77777777" w:rsidR="00B77260" w:rsidRPr="00951AB1" w:rsidRDefault="00B77260" w:rsidP="000A5389">
            <w:pPr>
              <w:spacing w:line="240" w:lineRule="auto"/>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Propiedades, Plan y Equipo</w:t>
            </w:r>
          </w:p>
        </w:tc>
        <w:tc>
          <w:tcPr>
            <w:tcW w:w="965" w:type="pct"/>
            <w:noWrap/>
            <w:vAlign w:val="center"/>
            <w:hideMark/>
          </w:tcPr>
          <w:p w14:paraId="0DE35362" w14:textId="77777777" w:rsidR="00B77260" w:rsidRPr="00951AB1" w:rsidRDefault="00B77260"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504.144.737</w:t>
            </w:r>
          </w:p>
        </w:tc>
        <w:tc>
          <w:tcPr>
            <w:tcW w:w="945" w:type="pct"/>
            <w:noWrap/>
            <w:vAlign w:val="center"/>
            <w:hideMark/>
          </w:tcPr>
          <w:p w14:paraId="65029132" w14:textId="77777777" w:rsidR="00B77260" w:rsidRPr="00951AB1" w:rsidRDefault="00B77260"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504.144.737</w:t>
            </w:r>
          </w:p>
        </w:tc>
        <w:tc>
          <w:tcPr>
            <w:tcW w:w="845" w:type="pct"/>
            <w:noWrap/>
            <w:vAlign w:val="center"/>
            <w:hideMark/>
          </w:tcPr>
          <w:p w14:paraId="2E8906A7" w14:textId="77777777" w:rsidR="00B77260" w:rsidRPr="00951AB1" w:rsidRDefault="00B77260"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0</w:t>
            </w:r>
          </w:p>
        </w:tc>
      </w:tr>
      <w:tr w:rsidR="005A73C0" w:rsidRPr="00951AB1" w14:paraId="0492D8BF" w14:textId="77777777" w:rsidTr="004004C5">
        <w:trPr>
          <w:trHeight w:val="293"/>
        </w:trPr>
        <w:tc>
          <w:tcPr>
            <w:tcW w:w="2245" w:type="pct"/>
            <w:vAlign w:val="center"/>
            <w:hideMark/>
          </w:tcPr>
          <w:p w14:paraId="42E75141" w14:textId="77777777" w:rsidR="00B77260" w:rsidRPr="00951AB1" w:rsidRDefault="00B77260" w:rsidP="000A5389">
            <w:pPr>
              <w:spacing w:line="240" w:lineRule="auto"/>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Red marítima</w:t>
            </w:r>
          </w:p>
        </w:tc>
        <w:tc>
          <w:tcPr>
            <w:tcW w:w="965" w:type="pct"/>
            <w:noWrap/>
            <w:vAlign w:val="center"/>
            <w:hideMark/>
          </w:tcPr>
          <w:p w14:paraId="3F250115" w14:textId="77777777" w:rsidR="00B77260" w:rsidRPr="00951AB1" w:rsidRDefault="00B77260"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8.683.071.772</w:t>
            </w:r>
          </w:p>
        </w:tc>
        <w:tc>
          <w:tcPr>
            <w:tcW w:w="945" w:type="pct"/>
            <w:noWrap/>
            <w:vAlign w:val="center"/>
            <w:hideMark/>
          </w:tcPr>
          <w:p w14:paraId="09A74DA3" w14:textId="77777777" w:rsidR="00B77260" w:rsidRPr="00951AB1" w:rsidRDefault="00B77260"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4.166.777.800</w:t>
            </w:r>
          </w:p>
        </w:tc>
        <w:tc>
          <w:tcPr>
            <w:tcW w:w="845" w:type="pct"/>
            <w:noWrap/>
            <w:vAlign w:val="center"/>
            <w:hideMark/>
          </w:tcPr>
          <w:p w14:paraId="725A12DF" w14:textId="77777777" w:rsidR="00B77260" w:rsidRPr="00951AB1" w:rsidRDefault="00B77260"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0</w:t>
            </w:r>
          </w:p>
        </w:tc>
      </w:tr>
      <w:tr w:rsidR="005A73C0" w:rsidRPr="00951AB1" w14:paraId="135B613F" w14:textId="77777777" w:rsidTr="004004C5">
        <w:trPr>
          <w:trHeight w:val="293"/>
        </w:trPr>
        <w:tc>
          <w:tcPr>
            <w:tcW w:w="2245" w:type="pct"/>
            <w:vAlign w:val="center"/>
            <w:hideMark/>
          </w:tcPr>
          <w:p w14:paraId="31D1B44F" w14:textId="77777777" w:rsidR="00B77260" w:rsidRPr="00951AB1" w:rsidRDefault="00B77260" w:rsidP="000A5389">
            <w:pPr>
              <w:spacing w:line="240" w:lineRule="auto"/>
              <w:rPr>
                <w:rFonts w:eastAsia="Times New Roman" w:cs="Times New Roman"/>
                <w:b/>
                <w:bCs/>
                <w:color w:val="000000"/>
                <w:kern w:val="0"/>
                <w:sz w:val="18"/>
                <w:szCs w:val="18"/>
                <w:lang w:eastAsia="es-CO"/>
                <w14:ligatures w14:val="none"/>
              </w:rPr>
            </w:pPr>
            <w:r w:rsidRPr="00951AB1">
              <w:rPr>
                <w:rFonts w:eastAsia="Times New Roman" w:cs="Times New Roman"/>
                <w:b/>
                <w:bCs/>
                <w:color w:val="000000"/>
                <w:kern w:val="0"/>
                <w:sz w:val="18"/>
                <w:szCs w:val="18"/>
                <w:lang w:eastAsia="es-CO"/>
                <w14:ligatures w14:val="none"/>
              </w:rPr>
              <w:t>ALGRANEL S.A.</w:t>
            </w:r>
          </w:p>
        </w:tc>
        <w:tc>
          <w:tcPr>
            <w:tcW w:w="965" w:type="pct"/>
            <w:noWrap/>
            <w:vAlign w:val="center"/>
            <w:hideMark/>
          </w:tcPr>
          <w:p w14:paraId="54FF0853" w14:textId="77777777" w:rsidR="00B77260" w:rsidRPr="00951AB1" w:rsidRDefault="00B77260" w:rsidP="000A5389">
            <w:pPr>
              <w:spacing w:line="240" w:lineRule="auto"/>
              <w:jc w:val="right"/>
              <w:rPr>
                <w:rFonts w:eastAsia="Times New Roman" w:cs="Times New Roman"/>
                <w:b/>
                <w:bCs/>
                <w:color w:val="000000"/>
                <w:kern w:val="0"/>
                <w:sz w:val="18"/>
                <w:szCs w:val="18"/>
                <w:lang w:eastAsia="es-CO"/>
                <w14:ligatures w14:val="none"/>
              </w:rPr>
            </w:pPr>
            <w:r w:rsidRPr="00951AB1">
              <w:rPr>
                <w:rFonts w:eastAsia="Times New Roman" w:cs="Times New Roman"/>
                <w:b/>
                <w:bCs/>
                <w:color w:val="000000"/>
                <w:kern w:val="0"/>
                <w:sz w:val="18"/>
                <w:szCs w:val="18"/>
                <w:lang w:eastAsia="es-CO"/>
                <w14:ligatures w14:val="none"/>
              </w:rPr>
              <w:t>38.930.932.114</w:t>
            </w:r>
          </w:p>
        </w:tc>
        <w:tc>
          <w:tcPr>
            <w:tcW w:w="945" w:type="pct"/>
            <w:noWrap/>
            <w:vAlign w:val="center"/>
            <w:hideMark/>
          </w:tcPr>
          <w:p w14:paraId="56EF38E2" w14:textId="77777777" w:rsidR="00B77260" w:rsidRPr="00951AB1" w:rsidRDefault="00B77260" w:rsidP="000A5389">
            <w:pPr>
              <w:spacing w:line="240" w:lineRule="auto"/>
              <w:jc w:val="right"/>
              <w:rPr>
                <w:rFonts w:eastAsia="Times New Roman" w:cs="Times New Roman"/>
                <w:b/>
                <w:bCs/>
                <w:color w:val="000000"/>
                <w:kern w:val="0"/>
                <w:sz w:val="18"/>
                <w:szCs w:val="18"/>
                <w:lang w:eastAsia="es-CO"/>
                <w14:ligatures w14:val="none"/>
              </w:rPr>
            </w:pPr>
            <w:r w:rsidRPr="00951AB1">
              <w:rPr>
                <w:rFonts w:eastAsia="Times New Roman" w:cs="Times New Roman"/>
                <w:b/>
                <w:bCs/>
                <w:color w:val="000000"/>
                <w:kern w:val="0"/>
                <w:sz w:val="18"/>
                <w:szCs w:val="18"/>
                <w:lang w:eastAsia="es-CO"/>
                <w14:ligatures w14:val="none"/>
              </w:rPr>
              <w:t>38.765.332.112</w:t>
            </w:r>
          </w:p>
        </w:tc>
        <w:tc>
          <w:tcPr>
            <w:tcW w:w="845" w:type="pct"/>
            <w:noWrap/>
            <w:vAlign w:val="center"/>
            <w:hideMark/>
          </w:tcPr>
          <w:p w14:paraId="3266230C" w14:textId="77777777" w:rsidR="00B77260" w:rsidRPr="00951AB1" w:rsidRDefault="00B77260"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0</w:t>
            </w:r>
          </w:p>
        </w:tc>
      </w:tr>
      <w:tr w:rsidR="005A73C0" w:rsidRPr="00951AB1" w14:paraId="729ECE3D" w14:textId="77777777" w:rsidTr="004004C5">
        <w:trPr>
          <w:trHeight w:val="293"/>
        </w:trPr>
        <w:tc>
          <w:tcPr>
            <w:tcW w:w="2245" w:type="pct"/>
            <w:vAlign w:val="center"/>
            <w:hideMark/>
          </w:tcPr>
          <w:p w14:paraId="33AE7837" w14:textId="77777777" w:rsidR="00B77260" w:rsidRPr="00951AB1" w:rsidRDefault="00B77260" w:rsidP="000A5389">
            <w:pPr>
              <w:spacing w:line="240" w:lineRule="auto"/>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Propiedades, Plan y Equipo</w:t>
            </w:r>
          </w:p>
        </w:tc>
        <w:tc>
          <w:tcPr>
            <w:tcW w:w="965" w:type="pct"/>
            <w:noWrap/>
            <w:vAlign w:val="center"/>
            <w:hideMark/>
          </w:tcPr>
          <w:p w14:paraId="4746B703" w14:textId="77777777" w:rsidR="00B77260" w:rsidRPr="00951AB1" w:rsidRDefault="00B77260"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261.677.939</w:t>
            </w:r>
          </w:p>
        </w:tc>
        <w:tc>
          <w:tcPr>
            <w:tcW w:w="945" w:type="pct"/>
            <w:noWrap/>
            <w:vAlign w:val="center"/>
            <w:hideMark/>
          </w:tcPr>
          <w:p w14:paraId="7EE7D08B" w14:textId="77777777" w:rsidR="00B77260" w:rsidRPr="00951AB1" w:rsidRDefault="00B77260"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96.077.937</w:t>
            </w:r>
          </w:p>
        </w:tc>
        <w:tc>
          <w:tcPr>
            <w:tcW w:w="845" w:type="pct"/>
            <w:noWrap/>
            <w:vAlign w:val="center"/>
            <w:hideMark/>
          </w:tcPr>
          <w:p w14:paraId="1E385843" w14:textId="77777777" w:rsidR="00B77260" w:rsidRPr="00951AB1" w:rsidRDefault="00B77260"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0</w:t>
            </w:r>
          </w:p>
        </w:tc>
      </w:tr>
      <w:tr w:rsidR="005A73C0" w:rsidRPr="00951AB1" w14:paraId="5F16F711" w14:textId="77777777" w:rsidTr="004004C5">
        <w:trPr>
          <w:trHeight w:val="293"/>
        </w:trPr>
        <w:tc>
          <w:tcPr>
            <w:tcW w:w="2245" w:type="pct"/>
            <w:vAlign w:val="center"/>
            <w:hideMark/>
          </w:tcPr>
          <w:p w14:paraId="515AFA70" w14:textId="77777777" w:rsidR="00B77260" w:rsidRPr="00951AB1" w:rsidRDefault="00B77260" w:rsidP="000A5389">
            <w:pPr>
              <w:spacing w:line="240" w:lineRule="auto"/>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Red carretera</w:t>
            </w:r>
          </w:p>
        </w:tc>
        <w:tc>
          <w:tcPr>
            <w:tcW w:w="965" w:type="pct"/>
            <w:noWrap/>
            <w:vAlign w:val="center"/>
            <w:hideMark/>
          </w:tcPr>
          <w:p w14:paraId="2A467354" w14:textId="77777777" w:rsidR="00B77260" w:rsidRPr="00951AB1" w:rsidRDefault="00B77260"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12.383.471.223</w:t>
            </w:r>
          </w:p>
        </w:tc>
        <w:tc>
          <w:tcPr>
            <w:tcW w:w="945" w:type="pct"/>
            <w:noWrap/>
            <w:vAlign w:val="center"/>
            <w:hideMark/>
          </w:tcPr>
          <w:p w14:paraId="6BC332C8" w14:textId="77777777" w:rsidR="00B77260" w:rsidRPr="00951AB1" w:rsidRDefault="00B77260"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12.383.471.223</w:t>
            </w:r>
          </w:p>
        </w:tc>
        <w:tc>
          <w:tcPr>
            <w:tcW w:w="845" w:type="pct"/>
            <w:noWrap/>
            <w:vAlign w:val="center"/>
            <w:hideMark/>
          </w:tcPr>
          <w:p w14:paraId="3A80179F" w14:textId="77777777" w:rsidR="00B77260" w:rsidRPr="00951AB1" w:rsidRDefault="00B77260"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0</w:t>
            </w:r>
          </w:p>
        </w:tc>
      </w:tr>
      <w:tr w:rsidR="005A73C0" w:rsidRPr="00951AB1" w14:paraId="1532DB8C" w14:textId="77777777" w:rsidTr="004004C5">
        <w:trPr>
          <w:trHeight w:val="293"/>
        </w:trPr>
        <w:tc>
          <w:tcPr>
            <w:tcW w:w="2245" w:type="pct"/>
            <w:vAlign w:val="center"/>
            <w:hideMark/>
          </w:tcPr>
          <w:p w14:paraId="0F112BE2" w14:textId="77777777" w:rsidR="00B77260" w:rsidRPr="00951AB1" w:rsidRDefault="00B77260" w:rsidP="000A5389">
            <w:pPr>
              <w:spacing w:line="240" w:lineRule="auto"/>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Terrenos</w:t>
            </w:r>
          </w:p>
        </w:tc>
        <w:tc>
          <w:tcPr>
            <w:tcW w:w="965" w:type="pct"/>
            <w:noWrap/>
            <w:vAlign w:val="center"/>
            <w:hideMark/>
          </w:tcPr>
          <w:p w14:paraId="20CD3560" w14:textId="77777777" w:rsidR="00B77260" w:rsidRPr="00951AB1" w:rsidRDefault="00B77260"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26.285.782.952</w:t>
            </w:r>
          </w:p>
        </w:tc>
        <w:tc>
          <w:tcPr>
            <w:tcW w:w="945" w:type="pct"/>
            <w:noWrap/>
            <w:vAlign w:val="center"/>
            <w:hideMark/>
          </w:tcPr>
          <w:p w14:paraId="7B856728" w14:textId="77777777" w:rsidR="00B77260" w:rsidRPr="00951AB1" w:rsidRDefault="00B77260"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26.285.782.952</w:t>
            </w:r>
          </w:p>
        </w:tc>
        <w:tc>
          <w:tcPr>
            <w:tcW w:w="845" w:type="pct"/>
            <w:noWrap/>
            <w:vAlign w:val="center"/>
            <w:hideMark/>
          </w:tcPr>
          <w:p w14:paraId="47D36E14" w14:textId="77777777" w:rsidR="00B77260" w:rsidRPr="00951AB1" w:rsidRDefault="00B77260"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0</w:t>
            </w:r>
          </w:p>
        </w:tc>
      </w:tr>
      <w:tr w:rsidR="00367E7C" w:rsidRPr="00951AB1" w14:paraId="6499D9AC" w14:textId="77777777" w:rsidTr="00DE2EC7">
        <w:trPr>
          <w:trHeight w:val="458"/>
        </w:trPr>
        <w:tc>
          <w:tcPr>
            <w:tcW w:w="2245" w:type="pct"/>
            <w:vAlign w:val="center"/>
            <w:hideMark/>
          </w:tcPr>
          <w:p w14:paraId="0F2828D2" w14:textId="77777777" w:rsidR="00367E7C" w:rsidRPr="00951AB1" w:rsidRDefault="00367E7C" w:rsidP="000A5389">
            <w:pPr>
              <w:spacing w:line="240" w:lineRule="auto"/>
              <w:rPr>
                <w:rFonts w:eastAsia="Times New Roman" w:cs="Times New Roman"/>
                <w:b/>
                <w:bCs/>
                <w:color w:val="000000"/>
                <w:kern w:val="0"/>
                <w:sz w:val="18"/>
                <w:szCs w:val="18"/>
                <w:lang w:eastAsia="es-CO"/>
                <w14:ligatures w14:val="none"/>
              </w:rPr>
            </w:pPr>
            <w:r w:rsidRPr="00951AB1">
              <w:rPr>
                <w:rFonts w:eastAsia="Times New Roman" w:cs="Times New Roman"/>
                <w:b/>
                <w:bCs/>
                <w:color w:val="000000"/>
                <w:kern w:val="0"/>
                <w:sz w:val="18"/>
                <w:szCs w:val="18"/>
                <w:lang w:eastAsia="es-CO"/>
                <w14:ligatures w14:val="none"/>
              </w:rPr>
              <w:lastRenderedPageBreak/>
              <w:t>SOCIEDAD PORTUARIA REGIONAL TUMACO PACIFIC PORT S.A</w:t>
            </w:r>
          </w:p>
        </w:tc>
        <w:tc>
          <w:tcPr>
            <w:tcW w:w="965" w:type="pct"/>
            <w:noWrap/>
            <w:vAlign w:val="center"/>
            <w:hideMark/>
          </w:tcPr>
          <w:p w14:paraId="12B2BDCF" w14:textId="77777777" w:rsidR="00367E7C" w:rsidRPr="00951AB1" w:rsidRDefault="00367E7C" w:rsidP="000A5389">
            <w:pPr>
              <w:spacing w:line="240" w:lineRule="auto"/>
              <w:jc w:val="right"/>
              <w:rPr>
                <w:rFonts w:eastAsia="Times New Roman" w:cs="Times New Roman"/>
                <w:b/>
                <w:bCs/>
                <w:color w:val="000000"/>
                <w:kern w:val="0"/>
                <w:sz w:val="18"/>
                <w:szCs w:val="18"/>
                <w:lang w:eastAsia="es-CO"/>
                <w14:ligatures w14:val="none"/>
              </w:rPr>
            </w:pPr>
            <w:r w:rsidRPr="00951AB1">
              <w:rPr>
                <w:rFonts w:eastAsia="Times New Roman" w:cs="Times New Roman"/>
                <w:b/>
                <w:bCs/>
                <w:color w:val="000000"/>
                <w:kern w:val="0"/>
                <w:sz w:val="18"/>
                <w:szCs w:val="18"/>
                <w:lang w:eastAsia="es-CO"/>
                <w14:ligatures w14:val="none"/>
              </w:rPr>
              <w:t>16.194.356.207</w:t>
            </w:r>
          </w:p>
        </w:tc>
        <w:tc>
          <w:tcPr>
            <w:tcW w:w="945" w:type="pct"/>
            <w:noWrap/>
            <w:vAlign w:val="center"/>
            <w:hideMark/>
          </w:tcPr>
          <w:p w14:paraId="6E28668B" w14:textId="77777777" w:rsidR="00367E7C" w:rsidRPr="00951AB1" w:rsidRDefault="00367E7C" w:rsidP="000A5389">
            <w:pPr>
              <w:spacing w:line="240" w:lineRule="auto"/>
              <w:jc w:val="right"/>
              <w:rPr>
                <w:rFonts w:eastAsia="Times New Roman" w:cs="Times New Roman"/>
                <w:b/>
                <w:bCs/>
                <w:color w:val="000000"/>
                <w:kern w:val="0"/>
                <w:sz w:val="18"/>
                <w:szCs w:val="18"/>
                <w:lang w:eastAsia="es-CO"/>
                <w14:ligatures w14:val="none"/>
              </w:rPr>
            </w:pPr>
            <w:r w:rsidRPr="00951AB1">
              <w:rPr>
                <w:rFonts w:eastAsia="Times New Roman" w:cs="Times New Roman"/>
                <w:b/>
                <w:bCs/>
                <w:color w:val="000000"/>
                <w:kern w:val="0"/>
                <w:sz w:val="18"/>
                <w:szCs w:val="18"/>
                <w:lang w:eastAsia="es-CO"/>
                <w14:ligatures w14:val="none"/>
              </w:rPr>
              <w:t>16.194.356.207</w:t>
            </w:r>
          </w:p>
        </w:tc>
        <w:tc>
          <w:tcPr>
            <w:tcW w:w="845" w:type="pct"/>
            <w:noWrap/>
            <w:vAlign w:val="center"/>
            <w:hideMark/>
          </w:tcPr>
          <w:p w14:paraId="1EF2D31E" w14:textId="77777777" w:rsidR="00367E7C" w:rsidRPr="00951AB1" w:rsidRDefault="00367E7C"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0</w:t>
            </w:r>
          </w:p>
        </w:tc>
      </w:tr>
      <w:tr w:rsidR="00367E7C" w:rsidRPr="00951AB1" w14:paraId="2A8C2866" w14:textId="77777777" w:rsidTr="00DE2EC7">
        <w:trPr>
          <w:trHeight w:val="293"/>
        </w:trPr>
        <w:tc>
          <w:tcPr>
            <w:tcW w:w="2245" w:type="pct"/>
            <w:vAlign w:val="center"/>
            <w:hideMark/>
          </w:tcPr>
          <w:p w14:paraId="7D408907" w14:textId="77777777" w:rsidR="00367E7C" w:rsidRPr="00951AB1" w:rsidRDefault="00367E7C" w:rsidP="000A5389">
            <w:pPr>
              <w:spacing w:line="240" w:lineRule="auto"/>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Propiedades, Plan y Equipo</w:t>
            </w:r>
          </w:p>
        </w:tc>
        <w:tc>
          <w:tcPr>
            <w:tcW w:w="965" w:type="pct"/>
            <w:noWrap/>
            <w:vAlign w:val="center"/>
            <w:hideMark/>
          </w:tcPr>
          <w:p w14:paraId="2FD5C0D0" w14:textId="77777777" w:rsidR="00367E7C" w:rsidRPr="00951AB1" w:rsidRDefault="00367E7C"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4.531.437.558</w:t>
            </w:r>
          </w:p>
        </w:tc>
        <w:tc>
          <w:tcPr>
            <w:tcW w:w="945" w:type="pct"/>
            <w:noWrap/>
            <w:vAlign w:val="center"/>
            <w:hideMark/>
          </w:tcPr>
          <w:p w14:paraId="3652BB5D" w14:textId="77777777" w:rsidR="00367E7C" w:rsidRPr="00951AB1" w:rsidRDefault="00367E7C"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4.531.437.558</w:t>
            </w:r>
          </w:p>
        </w:tc>
        <w:tc>
          <w:tcPr>
            <w:tcW w:w="845" w:type="pct"/>
            <w:noWrap/>
            <w:vAlign w:val="center"/>
            <w:hideMark/>
          </w:tcPr>
          <w:p w14:paraId="1EEAA36C" w14:textId="77777777" w:rsidR="00367E7C" w:rsidRPr="00951AB1" w:rsidRDefault="00367E7C"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0</w:t>
            </w:r>
          </w:p>
        </w:tc>
      </w:tr>
      <w:tr w:rsidR="00367E7C" w:rsidRPr="00951AB1" w14:paraId="41F0A429" w14:textId="77777777" w:rsidTr="00DE2EC7">
        <w:trPr>
          <w:trHeight w:val="293"/>
        </w:trPr>
        <w:tc>
          <w:tcPr>
            <w:tcW w:w="2245" w:type="pct"/>
            <w:vAlign w:val="center"/>
            <w:hideMark/>
          </w:tcPr>
          <w:p w14:paraId="5DF69371" w14:textId="77777777" w:rsidR="00367E7C" w:rsidRPr="00951AB1" w:rsidRDefault="00367E7C" w:rsidP="000A5389">
            <w:pPr>
              <w:spacing w:line="240" w:lineRule="auto"/>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Red marítima</w:t>
            </w:r>
          </w:p>
        </w:tc>
        <w:tc>
          <w:tcPr>
            <w:tcW w:w="965" w:type="pct"/>
            <w:noWrap/>
            <w:vAlign w:val="center"/>
            <w:hideMark/>
          </w:tcPr>
          <w:p w14:paraId="57832D57" w14:textId="77777777" w:rsidR="00367E7C" w:rsidRPr="00951AB1" w:rsidRDefault="00367E7C"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11.662.918.649</w:t>
            </w:r>
          </w:p>
        </w:tc>
        <w:tc>
          <w:tcPr>
            <w:tcW w:w="945" w:type="pct"/>
            <w:noWrap/>
            <w:vAlign w:val="center"/>
            <w:hideMark/>
          </w:tcPr>
          <w:p w14:paraId="5E6F53E5" w14:textId="77777777" w:rsidR="00367E7C" w:rsidRPr="00951AB1" w:rsidRDefault="00367E7C"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11.662.918.649</w:t>
            </w:r>
          </w:p>
        </w:tc>
        <w:tc>
          <w:tcPr>
            <w:tcW w:w="845" w:type="pct"/>
            <w:noWrap/>
            <w:vAlign w:val="center"/>
            <w:hideMark/>
          </w:tcPr>
          <w:p w14:paraId="6FF26A9B" w14:textId="77777777" w:rsidR="00367E7C" w:rsidRPr="00951AB1" w:rsidRDefault="00367E7C"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0</w:t>
            </w:r>
          </w:p>
        </w:tc>
      </w:tr>
      <w:tr w:rsidR="00367E7C" w:rsidRPr="00951AB1" w14:paraId="3BF71D72" w14:textId="77777777" w:rsidTr="00DE2EC7">
        <w:trPr>
          <w:trHeight w:val="293"/>
        </w:trPr>
        <w:tc>
          <w:tcPr>
            <w:tcW w:w="2245" w:type="pct"/>
            <w:vAlign w:val="center"/>
            <w:hideMark/>
          </w:tcPr>
          <w:p w14:paraId="7AFDC1E5" w14:textId="77777777" w:rsidR="00367E7C" w:rsidRPr="00951AB1" w:rsidRDefault="00367E7C" w:rsidP="000A5389">
            <w:pPr>
              <w:spacing w:line="240" w:lineRule="auto"/>
              <w:rPr>
                <w:rFonts w:eastAsia="Times New Roman" w:cs="Times New Roman"/>
                <w:b/>
                <w:bCs/>
                <w:color w:val="000000"/>
                <w:kern w:val="0"/>
                <w:sz w:val="18"/>
                <w:szCs w:val="18"/>
                <w:lang w:eastAsia="es-CO"/>
                <w14:ligatures w14:val="none"/>
              </w:rPr>
            </w:pPr>
            <w:r w:rsidRPr="00951AB1">
              <w:rPr>
                <w:rFonts w:eastAsia="Times New Roman" w:cs="Times New Roman"/>
                <w:b/>
                <w:bCs/>
                <w:color w:val="000000"/>
                <w:kern w:val="0"/>
                <w:sz w:val="18"/>
                <w:szCs w:val="18"/>
                <w:lang w:eastAsia="es-CO"/>
                <w14:ligatures w14:val="none"/>
              </w:rPr>
              <w:t>SOCIEDAD PORTUARIA BITA RM S.A.</w:t>
            </w:r>
          </w:p>
        </w:tc>
        <w:tc>
          <w:tcPr>
            <w:tcW w:w="965" w:type="pct"/>
            <w:noWrap/>
            <w:vAlign w:val="center"/>
            <w:hideMark/>
          </w:tcPr>
          <w:p w14:paraId="74047163" w14:textId="77777777" w:rsidR="00367E7C" w:rsidRPr="00951AB1" w:rsidRDefault="00367E7C" w:rsidP="000A5389">
            <w:pPr>
              <w:spacing w:line="240" w:lineRule="auto"/>
              <w:jc w:val="right"/>
              <w:rPr>
                <w:rFonts w:eastAsia="Times New Roman" w:cs="Times New Roman"/>
                <w:b/>
                <w:bCs/>
                <w:color w:val="000000"/>
                <w:kern w:val="0"/>
                <w:sz w:val="18"/>
                <w:szCs w:val="18"/>
                <w:lang w:eastAsia="es-CO"/>
                <w14:ligatures w14:val="none"/>
              </w:rPr>
            </w:pPr>
            <w:r w:rsidRPr="00951AB1">
              <w:rPr>
                <w:rFonts w:eastAsia="Times New Roman" w:cs="Times New Roman"/>
                <w:b/>
                <w:bCs/>
                <w:color w:val="000000"/>
                <w:kern w:val="0"/>
                <w:sz w:val="18"/>
                <w:szCs w:val="18"/>
                <w:lang w:eastAsia="es-CO"/>
                <w14:ligatures w14:val="none"/>
              </w:rPr>
              <w:t>1.079.030.852</w:t>
            </w:r>
          </w:p>
        </w:tc>
        <w:tc>
          <w:tcPr>
            <w:tcW w:w="945" w:type="pct"/>
            <w:noWrap/>
            <w:vAlign w:val="center"/>
            <w:hideMark/>
          </w:tcPr>
          <w:p w14:paraId="697EE543" w14:textId="77777777" w:rsidR="00367E7C" w:rsidRPr="00951AB1" w:rsidRDefault="00367E7C" w:rsidP="000A5389">
            <w:pPr>
              <w:spacing w:line="240" w:lineRule="auto"/>
              <w:jc w:val="right"/>
              <w:rPr>
                <w:rFonts w:eastAsia="Times New Roman" w:cs="Times New Roman"/>
                <w:b/>
                <w:bCs/>
                <w:color w:val="000000"/>
                <w:kern w:val="0"/>
                <w:sz w:val="18"/>
                <w:szCs w:val="18"/>
                <w:lang w:eastAsia="es-CO"/>
                <w14:ligatures w14:val="none"/>
              </w:rPr>
            </w:pPr>
            <w:r w:rsidRPr="00951AB1">
              <w:rPr>
                <w:rFonts w:eastAsia="Times New Roman" w:cs="Times New Roman"/>
                <w:b/>
                <w:bCs/>
                <w:color w:val="000000"/>
                <w:kern w:val="0"/>
                <w:sz w:val="18"/>
                <w:szCs w:val="18"/>
                <w:lang w:eastAsia="es-CO"/>
                <w14:ligatures w14:val="none"/>
              </w:rPr>
              <w:t>1.079.030.852</w:t>
            </w:r>
          </w:p>
        </w:tc>
        <w:tc>
          <w:tcPr>
            <w:tcW w:w="845" w:type="pct"/>
            <w:noWrap/>
            <w:vAlign w:val="center"/>
            <w:hideMark/>
          </w:tcPr>
          <w:p w14:paraId="442E36BF" w14:textId="77777777" w:rsidR="00367E7C" w:rsidRPr="00951AB1" w:rsidRDefault="00367E7C"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0</w:t>
            </w:r>
          </w:p>
        </w:tc>
      </w:tr>
      <w:tr w:rsidR="00367E7C" w:rsidRPr="00951AB1" w14:paraId="52BEBF15" w14:textId="77777777" w:rsidTr="00DE2EC7">
        <w:trPr>
          <w:trHeight w:val="293"/>
        </w:trPr>
        <w:tc>
          <w:tcPr>
            <w:tcW w:w="2245" w:type="pct"/>
            <w:vAlign w:val="center"/>
            <w:hideMark/>
          </w:tcPr>
          <w:p w14:paraId="12317303" w14:textId="77777777" w:rsidR="00367E7C" w:rsidRPr="00951AB1" w:rsidRDefault="00367E7C" w:rsidP="000A5389">
            <w:pPr>
              <w:spacing w:line="240" w:lineRule="auto"/>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Red marítima</w:t>
            </w:r>
          </w:p>
        </w:tc>
        <w:tc>
          <w:tcPr>
            <w:tcW w:w="965" w:type="pct"/>
            <w:noWrap/>
            <w:vAlign w:val="center"/>
            <w:hideMark/>
          </w:tcPr>
          <w:p w14:paraId="0E15F057" w14:textId="77777777" w:rsidR="00367E7C" w:rsidRPr="00951AB1" w:rsidRDefault="00367E7C"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1.079.030.852</w:t>
            </w:r>
          </w:p>
        </w:tc>
        <w:tc>
          <w:tcPr>
            <w:tcW w:w="945" w:type="pct"/>
            <w:noWrap/>
            <w:vAlign w:val="center"/>
            <w:hideMark/>
          </w:tcPr>
          <w:p w14:paraId="7AB2008F" w14:textId="77777777" w:rsidR="00367E7C" w:rsidRPr="00951AB1" w:rsidRDefault="00367E7C"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1.079.030.852</w:t>
            </w:r>
          </w:p>
        </w:tc>
        <w:tc>
          <w:tcPr>
            <w:tcW w:w="845" w:type="pct"/>
            <w:noWrap/>
            <w:vAlign w:val="center"/>
            <w:hideMark/>
          </w:tcPr>
          <w:p w14:paraId="19CC6EAE" w14:textId="77777777" w:rsidR="00367E7C" w:rsidRPr="00951AB1" w:rsidRDefault="00367E7C"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0</w:t>
            </w:r>
          </w:p>
        </w:tc>
      </w:tr>
      <w:tr w:rsidR="00367E7C" w:rsidRPr="00951AB1" w14:paraId="6725487B" w14:textId="77777777" w:rsidTr="00DE2EC7">
        <w:trPr>
          <w:trHeight w:val="458"/>
        </w:trPr>
        <w:tc>
          <w:tcPr>
            <w:tcW w:w="2245" w:type="pct"/>
            <w:vAlign w:val="center"/>
            <w:hideMark/>
          </w:tcPr>
          <w:p w14:paraId="1CBFBD43" w14:textId="77777777" w:rsidR="00367E7C" w:rsidRPr="00951AB1" w:rsidRDefault="00367E7C" w:rsidP="000A5389">
            <w:pPr>
              <w:spacing w:line="240" w:lineRule="auto"/>
              <w:rPr>
                <w:rFonts w:eastAsia="Times New Roman" w:cs="Times New Roman"/>
                <w:b/>
                <w:bCs/>
                <w:color w:val="000000"/>
                <w:kern w:val="0"/>
                <w:sz w:val="18"/>
                <w:szCs w:val="18"/>
                <w:lang w:eastAsia="es-CO"/>
                <w14:ligatures w14:val="none"/>
              </w:rPr>
            </w:pPr>
            <w:r w:rsidRPr="00951AB1">
              <w:rPr>
                <w:rFonts w:eastAsia="Times New Roman" w:cs="Times New Roman"/>
                <w:b/>
                <w:bCs/>
                <w:color w:val="000000"/>
                <w:kern w:val="0"/>
                <w:sz w:val="18"/>
                <w:szCs w:val="18"/>
                <w:lang w:eastAsia="es-CO"/>
                <w14:ligatures w14:val="none"/>
              </w:rPr>
              <w:t>PUERTOS DEL CARIBE SOCIEDAD PORTUARIA S A</w:t>
            </w:r>
          </w:p>
        </w:tc>
        <w:tc>
          <w:tcPr>
            <w:tcW w:w="965" w:type="pct"/>
            <w:noWrap/>
            <w:vAlign w:val="center"/>
            <w:hideMark/>
          </w:tcPr>
          <w:p w14:paraId="02CC7701" w14:textId="77777777" w:rsidR="00367E7C" w:rsidRPr="00951AB1" w:rsidRDefault="00367E7C" w:rsidP="000A5389">
            <w:pPr>
              <w:spacing w:line="240" w:lineRule="auto"/>
              <w:jc w:val="right"/>
              <w:rPr>
                <w:rFonts w:eastAsia="Times New Roman" w:cs="Times New Roman"/>
                <w:b/>
                <w:bCs/>
                <w:color w:val="000000"/>
                <w:kern w:val="0"/>
                <w:sz w:val="18"/>
                <w:szCs w:val="18"/>
                <w:lang w:eastAsia="es-CO"/>
                <w14:ligatures w14:val="none"/>
              </w:rPr>
            </w:pPr>
            <w:r w:rsidRPr="00951AB1">
              <w:rPr>
                <w:rFonts w:eastAsia="Times New Roman" w:cs="Times New Roman"/>
                <w:b/>
                <w:bCs/>
                <w:color w:val="000000"/>
                <w:kern w:val="0"/>
                <w:sz w:val="18"/>
                <w:szCs w:val="18"/>
                <w:lang w:eastAsia="es-CO"/>
                <w14:ligatures w14:val="none"/>
              </w:rPr>
              <w:t>667.468.144</w:t>
            </w:r>
          </w:p>
        </w:tc>
        <w:tc>
          <w:tcPr>
            <w:tcW w:w="945" w:type="pct"/>
            <w:noWrap/>
            <w:vAlign w:val="center"/>
            <w:hideMark/>
          </w:tcPr>
          <w:p w14:paraId="78FE15A9" w14:textId="77777777" w:rsidR="00367E7C" w:rsidRPr="00951AB1" w:rsidRDefault="00367E7C" w:rsidP="000A5389">
            <w:pPr>
              <w:spacing w:line="240" w:lineRule="auto"/>
              <w:jc w:val="right"/>
              <w:rPr>
                <w:rFonts w:eastAsia="Times New Roman" w:cs="Times New Roman"/>
                <w:b/>
                <w:bCs/>
                <w:color w:val="000000"/>
                <w:kern w:val="0"/>
                <w:sz w:val="18"/>
                <w:szCs w:val="18"/>
                <w:lang w:eastAsia="es-CO"/>
                <w14:ligatures w14:val="none"/>
              </w:rPr>
            </w:pPr>
            <w:r w:rsidRPr="00951AB1">
              <w:rPr>
                <w:rFonts w:eastAsia="Times New Roman" w:cs="Times New Roman"/>
                <w:b/>
                <w:bCs/>
                <w:color w:val="000000"/>
                <w:kern w:val="0"/>
                <w:sz w:val="18"/>
                <w:szCs w:val="18"/>
                <w:lang w:eastAsia="es-CO"/>
                <w14:ligatures w14:val="none"/>
              </w:rPr>
              <w:t>667.468.144</w:t>
            </w:r>
          </w:p>
        </w:tc>
        <w:tc>
          <w:tcPr>
            <w:tcW w:w="845" w:type="pct"/>
            <w:noWrap/>
            <w:vAlign w:val="center"/>
            <w:hideMark/>
          </w:tcPr>
          <w:p w14:paraId="4691EC5B" w14:textId="77777777" w:rsidR="00367E7C" w:rsidRPr="00951AB1" w:rsidRDefault="00367E7C"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0</w:t>
            </w:r>
          </w:p>
        </w:tc>
      </w:tr>
      <w:tr w:rsidR="00367E7C" w:rsidRPr="00951AB1" w14:paraId="1604E67A" w14:textId="77777777" w:rsidTr="00DE2EC7">
        <w:trPr>
          <w:trHeight w:val="293"/>
        </w:trPr>
        <w:tc>
          <w:tcPr>
            <w:tcW w:w="2245" w:type="pct"/>
            <w:vAlign w:val="center"/>
            <w:hideMark/>
          </w:tcPr>
          <w:p w14:paraId="1C5A8654" w14:textId="77777777" w:rsidR="00367E7C" w:rsidRPr="00951AB1" w:rsidRDefault="00367E7C" w:rsidP="000A5389">
            <w:pPr>
              <w:spacing w:line="240" w:lineRule="auto"/>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Propiedades, Plan y Equipo</w:t>
            </w:r>
          </w:p>
        </w:tc>
        <w:tc>
          <w:tcPr>
            <w:tcW w:w="965" w:type="pct"/>
            <w:noWrap/>
            <w:vAlign w:val="center"/>
            <w:hideMark/>
          </w:tcPr>
          <w:p w14:paraId="57E010B7" w14:textId="77777777" w:rsidR="00367E7C" w:rsidRPr="00951AB1" w:rsidRDefault="00367E7C"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203.490.456</w:t>
            </w:r>
          </w:p>
        </w:tc>
        <w:tc>
          <w:tcPr>
            <w:tcW w:w="945" w:type="pct"/>
            <w:noWrap/>
            <w:vAlign w:val="center"/>
            <w:hideMark/>
          </w:tcPr>
          <w:p w14:paraId="49EE3244" w14:textId="77777777" w:rsidR="00367E7C" w:rsidRPr="00951AB1" w:rsidRDefault="00367E7C"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203.490.456</w:t>
            </w:r>
          </w:p>
        </w:tc>
        <w:tc>
          <w:tcPr>
            <w:tcW w:w="845" w:type="pct"/>
            <w:noWrap/>
            <w:vAlign w:val="center"/>
            <w:hideMark/>
          </w:tcPr>
          <w:p w14:paraId="520B4939" w14:textId="77777777" w:rsidR="00367E7C" w:rsidRPr="00951AB1" w:rsidRDefault="00367E7C"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0</w:t>
            </w:r>
          </w:p>
        </w:tc>
      </w:tr>
      <w:tr w:rsidR="00367E7C" w:rsidRPr="00951AB1" w14:paraId="0C324474" w14:textId="77777777" w:rsidTr="00DE2EC7">
        <w:trPr>
          <w:trHeight w:val="293"/>
        </w:trPr>
        <w:tc>
          <w:tcPr>
            <w:tcW w:w="2245" w:type="pct"/>
            <w:vAlign w:val="center"/>
            <w:hideMark/>
          </w:tcPr>
          <w:p w14:paraId="550A96D5" w14:textId="77777777" w:rsidR="00367E7C" w:rsidRPr="00951AB1" w:rsidRDefault="00367E7C" w:rsidP="000A5389">
            <w:pPr>
              <w:spacing w:line="240" w:lineRule="auto"/>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Red marítima</w:t>
            </w:r>
          </w:p>
        </w:tc>
        <w:tc>
          <w:tcPr>
            <w:tcW w:w="965" w:type="pct"/>
            <w:noWrap/>
            <w:vAlign w:val="center"/>
            <w:hideMark/>
          </w:tcPr>
          <w:p w14:paraId="12495248" w14:textId="77777777" w:rsidR="00367E7C" w:rsidRPr="00951AB1" w:rsidRDefault="00367E7C"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463.977.688</w:t>
            </w:r>
          </w:p>
        </w:tc>
        <w:tc>
          <w:tcPr>
            <w:tcW w:w="945" w:type="pct"/>
            <w:noWrap/>
            <w:vAlign w:val="center"/>
            <w:hideMark/>
          </w:tcPr>
          <w:p w14:paraId="21E65306" w14:textId="77777777" w:rsidR="00367E7C" w:rsidRPr="00951AB1" w:rsidRDefault="00367E7C"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463.977.688</w:t>
            </w:r>
          </w:p>
        </w:tc>
        <w:tc>
          <w:tcPr>
            <w:tcW w:w="845" w:type="pct"/>
            <w:noWrap/>
            <w:vAlign w:val="center"/>
            <w:hideMark/>
          </w:tcPr>
          <w:p w14:paraId="1C0BCFDE" w14:textId="77777777" w:rsidR="00367E7C" w:rsidRPr="00951AB1" w:rsidRDefault="00367E7C"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0</w:t>
            </w:r>
          </w:p>
        </w:tc>
      </w:tr>
      <w:tr w:rsidR="00367E7C" w:rsidRPr="00951AB1" w14:paraId="1CA489A5" w14:textId="77777777" w:rsidTr="00DE2EC7">
        <w:trPr>
          <w:trHeight w:val="293"/>
        </w:trPr>
        <w:tc>
          <w:tcPr>
            <w:tcW w:w="2245" w:type="pct"/>
            <w:vAlign w:val="center"/>
            <w:hideMark/>
          </w:tcPr>
          <w:p w14:paraId="003729A2" w14:textId="77777777" w:rsidR="00367E7C" w:rsidRPr="00951AB1" w:rsidRDefault="00367E7C" w:rsidP="000A5389">
            <w:pPr>
              <w:spacing w:line="240" w:lineRule="auto"/>
              <w:rPr>
                <w:rFonts w:eastAsia="Times New Roman" w:cs="Times New Roman"/>
                <w:b/>
                <w:bCs/>
                <w:color w:val="000000"/>
                <w:kern w:val="0"/>
                <w:sz w:val="18"/>
                <w:szCs w:val="18"/>
                <w:lang w:eastAsia="es-CO"/>
                <w14:ligatures w14:val="none"/>
              </w:rPr>
            </w:pPr>
            <w:r w:rsidRPr="00951AB1">
              <w:rPr>
                <w:rFonts w:eastAsia="Times New Roman" w:cs="Times New Roman"/>
                <w:b/>
                <w:bCs/>
                <w:color w:val="000000"/>
                <w:kern w:val="0"/>
                <w:sz w:val="18"/>
                <w:szCs w:val="18"/>
                <w:lang w:eastAsia="es-CO"/>
                <w14:ligatures w14:val="none"/>
              </w:rPr>
              <w:t>SOCIEDAD PORTUARIA OCEANOS S.A.</w:t>
            </w:r>
          </w:p>
        </w:tc>
        <w:tc>
          <w:tcPr>
            <w:tcW w:w="965" w:type="pct"/>
            <w:noWrap/>
            <w:vAlign w:val="center"/>
            <w:hideMark/>
          </w:tcPr>
          <w:p w14:paraId="5F44D150" w14:textId="77777777" w:rsidR="00367E7C" w:rsidRPr="00951AB1" w:rsidRDefault="00367E7C" w:rsidP="000A5389">
            <w:pPr>
              <w:spacing w:line="240" w:lineRule="auto"/>
              <w:jc w:val="right"/>
              <w:rPr>
                <w:rFonts w:eastAsia="Times New Roman" w:cs="Times New Roman"/>
                <w:b/>
                <w:bCs/>
                <w:color w:val="000000"/>
                <w:kern w:val="0"/>
                <w:sz w:val="18"/>
                <w:szCs w:val="18"/>
                <w:lang w:eastAsia="es-CO"/>
                <w14:ligatures w14:val="none"/>
              </w:rPr>
            </w:pPr>
            <w:r w:rsidRPr="00951AB1">
              <w:rPr>
                <w:rFonts w:eastAsia="Times New Roman" w:cs="Times New Roman"/>
                <w:b/>
                <w:bCs/>
                <w:color w:val="000000"/>
                <w:kern w:val="0"/>
                <w:sz w:val="18"/>
                <w:szCs w:val="18"/>
                <w:lang w:eastAsia="es-CO"/>
                <w14:ligatures w14:val="none"/>
              </w:rPr>
              <w:t>229.798.157</w:t>
            </w:r>
          </w:p>
        </w:tc>
        <w:tc>
          <w:tcPr>
            <w:tcW w:w="945" w:type="pct"/>
            <w:noWrap/>
            <w:vAlign w:val="center"/>
            <w:hideMark/>
          </w:tcPr>
          <w:p w14:paraId="6E1EE35F" w14:textId="77777777" w:rsidR="00367E7C" w:rsidRPr="00951AB1" w:rsidRDefault="00367E7C" w:rsidP="000A5389">
            <w:pPr>
              <w:spacing w:line="240" w:lineRule="auto"/>
              <w:jc w:val="right"/>
              <w:rPr>
                <w:rFonts w:eastAsia="Times New Roman" w:cs="Times New Roman"/>
                <w:b/>
                <w:bCs/>
                <w:color w:val="000000"/>
                <w:kern w:val="0"/>
                <w:sz w:val="18"/>
                <w:szCs w:val="18"/>
                <w:lang w:eastAsia="es-CO"/>
                <w14:ligatures w14:val="none"/>
              </w:rPr>
            </w:pPr>
            <w:r w:rsidRPr="00951AB1">
              <w:rPr>
                <w:rFonts w:eastAsia="Times New Roman" w:cs="Times New Roman"/>
                <w:b/>
                <w:bCs/>
                <w:color w:val="000000"/>
                <w:kern w:val="0"/>
                <w:sz w:val="18"/>
                <w:szCs w:val="18"/>
                <w:lang w:eastAsia="es-CO"/>
                <w14:ligatures w14:val="none"/>
              </w:rPr>
              <w:t>229.798.157</w:t>
            </w:r>
          </w:p>
        </w:tc>
        <w:tc>
          <w:tcPr>
            <w:tcW w:w="845" w:type="pct"/>
            <w:noWrap/>
            <w:vAlign w:val="center"/>
            <w:hideMark/>
          </w:tcPr>
          <w:p w14:paraId="32059EA9" w14:textId="77777777" w:rsidR="00367E7C" w:rsidRPr="00951AB1" w:rsidRDefault="00367E7C"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0</w:t>
            </w:r>
          </w:p>
        </w:tc>
      </w:tr>
      <w:tr w:rsidR="00367E7C" w:rsidRPr="00951AB1" w14:paraId="47C5496B" w14:textId="77777777" w:rsidTr="00DE2EC7">
        <w:trPr>
          <w:trHeight w:val="293"/>
        </w:trPr>
        <w:tc>
          <w:tcPr>
            <w:tcW w:w="2245" w:type="pct"/>
            <w:vAlign w:val="center"/>
            <w:hideMark/>
          </w:tcPr>
          <w:p w14:paraId="6F414705" w14:textId="77777777" w:rsidR="00367E7C" w:rsidRPr="00951AB1" w:rsidRDefault="00367E7C" w:rsidP="000A5389">
            <w:pPr>
              <w:spacing w:line="240" w:lineRule="auto"/>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Red marítima</w:t>
            </w:r>
          </w:p>
        </w:tc>
        <w:tc>
          <w:tcPr>
            <w:tcW w:w="965" w:type="pct"/>
            <w:noWrap/>
            <w:vAlign w:val="center"/>
            <w:hideMark/>
          </w:tcPr>
          <w:p w14:paraId="364E80FB" w14:textId="77777777" w:rsidR="00367E7C" w:rsidRPr="00951AB1" w:rsidRDefault="00367E7C"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229.798.157</w:t>
            </w:r>
          </w:p>
        </w:tc>
        <w:tc>
          <w:tcPr>
            <w:tcW w:w="945" w:type="pct"/>
            <w:noWrap/>
            <w:vAlign w:val="center"/>
            <w:hideMark/>
          </w:tcPr>
          <w:p w14:paraId="7CB6E1E4" w14:textId="77777777" w:rsidR="00367E7C" w:rsidRPr="00951AB1" w:rsidRDefault="00367E7C"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229.798.157</w:t>
            </w:r>
          </w:p>
        </w:tc>
        <w:tc>
          <w:tcPr>
            <w:tcW w:w="845" w:type="pct"/>
            <w:noWrap/>
            <w:vAlign w:val="center"/>
            <w:hideMark/>
          </w:tcPr>
          <w:p w14:paraId="0F04D753" w14:textId="77777777" w:rsidR="00367E7C" w:rsidRPr="00951AB1" w:rsidRDefault="00367E7C"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0</w:t>
            </w:r>
          </w:p>
        </w:tc>
      </w:tr>
      <w:tr w:rsidR="005A73C0" w:rsidRPr="00951AB1" w14:paraId="5F26E778" w14:textId="77777777" w:rsidTr="004004C5">
        <w:trPr>
          <w:trHeight w:val="458"/>
        </w:trPr>
        <w:tc>
          <w:tcPr>
            <w:tcW w:w="2245" w:type="pct"/>
            <w:vAlign w:val="center"/>
            <w:hideMark/>
          </w:tcPr>
          <w:p w14:paraId="5B1D3B03" w14:textId="7667EB2E" w:rsidR="00B77260" w:rsidRPr="00951AB1" w:rsidRDefault="00B77260" w:rsidP="000A5389">
            <w:pPr>
              <w:spacing w:line="240" w:lineRule="auto"/>
              <w:rPr>
                <w:rFonts w:eastAsia="Times New Roman" w:cs="Times New Roman"/>
                <w:b/>
                <w:bCs/>
                <w:color w:val="000000"/>
                <w:kern w:val="0"/>
                <w:sz w:val="18"/>
                <w:szCs w:val="18"/>
                <w:lang w:eastAsia="es-CO"/>
                <w14:ligatures w14:val="none"/>
              </w:rPr>
            </w:pPr>
            <w:r w:rsidRPr="00951AB1">
              <w:rPr>
                <w:rFonts w:eastAsia="Times New Roman" w:cs="Times New Roman"/>
                <w:b/>
                <w:bCs/>
                <w:color w:val="000000"/>
                <w:kern w:val="0"/>
                <w:sz w:val="18"/>
                <w:szCs w:val="18"/>
                <w:lang w:eastAsia="es-CO"/>
                <w14:ligatures w14:val="none"/>
              </w:rPr>
              <w:t>SOCIEDAD PORTUARIA REGIONAL DE SANTA MARTA S. A</w:t>
            </w:r>
          </w:p>
        </w:tc>
        <w:tc>
          <w:tcPr>
            <w:tcW w:w="965" w:type="pct"/>
            <w:noWrap/>
            <w:vAlign w:val="center"/>
            <w:hideMark/>
          </w:tcPr>
          <w:p w14:paraId="0B6DC1ED" w14:textId="77777777" w:rsidR="00B77260" w:rsidRPr="00951AB1" w:rsidRDefault="00B77260" w:rsidP="000A5389">
            <w:pPr>
              <w:spacing w:line="240" w:lineRule="auto"/>
              <w:rPr>
                <w:rFonts w:eastAsia="Times New Roman" w:cs="Times New Roman"/>
                <w:color w:val="000000"/>
                <w:kern w:val="0"/>
                <w:lang w:eastAsia="es-CO"/>
                <w14:ligatures w14:val="none"/>
              </w:rPr>
            </w:pPr>
            <w:r w:rsidRPr="00951AB1">
              <w:rPr>
                <w:rFonts w:eastAsia="Times New Roman" w:cs="Times New Roman"/>
                <w:color w:val="000000"/>
                <w:kern w:val="0"/>
                <w:lang w:eastAsia="es-CO"/>
                <w14:ligatures w14:val="none"/>
              </w:rPr>
              <w:t> </w:t>
            </w:r>
          </w:p>
        </w:tc>
        <w:tc>
          <w:tcPr>
            <w:tcW w:w="945" w:type="pct"/>
            <w:noWrap/>
            <w:vAlign w:val="center"/>
            <w:hideMark/>
          </w:tcPr>
          <w:p w14:paraId="0CB560CA" w14:textId="77777777" w:rsidR="00B77260" w:rsidRPr="00951AB1" w:rsidRDefault="00B77260" w:rsidP="000A5389">
            <w:pPr>
              <w:spacing w:line="240" w:lineRule="auto"/>
              <w:jc w:val="right"/>
              <w:rPr>
                <w:rFonts w:eastAsia="Times New Roman" w:cs="Times New Roman"/>
                <w:b/>
                <w:bCs/>
                <w:color w:val="000000"/>
                <w:kern w:val="0"/>
                <w:sz w:val="18"/>
                <w:szCs w:val="18"/>
                <w:lang w:eastAsia="es-CO"/>
                <w14:ligatures w14:val="none"/>
              </w:rPr>
            </w:pPr>
            <w:r w:rsidRPr="00951AB1">
              <w:rPr>
                <w:rFonts w:eastAsia="Times New Roman" w:cs="Times New Roman"/>
                <w:b/>
                <w:bCs/>
                <w:color w:val="000000"/>
                <w:kern w:val="0"/>
                <w:sz w:val="18"/>
                <w:szCs w:val="18"/>
                <w:lang w:eastAsia="es-CO"/>
                <w14:ligatures w14:val="none"/>
              </w:rPr>
              <w:t>9.341.747.948</w:t>
            </w:r>
          </w:p>
        </w:tc>
        <w:tc>
          <w:tcPr>
            <w:tcW w:w="845" w:type="pct"/>
            <w:noWrap/>
            <w:vAlign w:val="center"/>
            <w:hideMark/>
          </w:tcPr>
          <w:p w14:paraId="254EE7FF" w14:textId="77777777" w:rsidR="00B77260" w:rsidRPr="00951AB1" w:rsidRDefault="00B77260"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0</w:t>
            </w:r>
          </w:p>
        </w:tc>
      </w:tr>
      <w:tr w:rsidR="005A73C0" w:rsidRPr="00951AB1" w14:paraId="55F168B6" w14:textId="77777777" w:rsidTr="004004C5">
        <w:trPr>
          <w:trHeight w:val="293"/>
        </w:trPr>
        <w:tc>
          <w:tcPr>
            <w:tcW w:w="2245" w:type="pct"/>
            <w:vAlign w:val="center"/>
            <w:hideMark/>
          </w:tcPr>
          <w:p w14:paraId="728ACB85" w14:textId="77777777" w:rsidR="00B77260" w:rsidRPr="00951AB1" w:rsidRDefault="00B77260" w:rsidP="000A5389">
            <w:pPr>
              <w:spacing w:line="240" w:lineRule="auto"/>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Activos intangibles en concesión</w:t>
            </w:r>
          </w:p>
        </w:tc>
        <w:tc>
          <w:tcPr>
            <w:tcW w:w="965" w:type="pct"/>
            <w:noWrap/>
            <w:vAlign w:val="center"/>
            <w:hideMark/>
          </w:tcPr>
          <w:p w14:paraId="51AEA0DB" w14:textId="77777777" w:rsidR="00B77260" w:rsidRPr="00951AB1" w:rsidRDefault="00B77260" w:rsidP="000A5389">
            <w:pPr>
              <w:spacing w:line="240" w:lineRule="auto"/>
              <w:rPr>
                <w:rFonts w:eastAsia="Times New Roman" w:cs="Times New Roman"/>
                <w:color w:val="000000"/>
                <w:kern w:val="0"/>
                <w:lang w:eastAsia="es-CO"/>
                <w14:ligatures w14:val="none"/>
              </w:rPr>
            </w:pPr>
            <w:r w:rsidRPr="00951AB1">
              <w:rPr>
                <w:rFonts w:eastAsia="Times New Roman" w:cs="Times New Roman"/>
                <w:color w:val="000000"/>
                <w:kern w:val="0"/>
                <w:lang w:eastAsia="es-CO"/>
                <w14:ligatures w14:val="none"/>
              </w:rPr>
              <w:t> </w:t>
            </w:r>
          </w:p>
        </w:tc>
        <w:tc>
          <w:tcPr>
            <w:tcW w:w="945" w:type="pct"/>
            <w:noWrap/>
            <w:vAlign w:val="center"/>
            <w:hideMark/>
          </w:tcPr>
          <w:p w14:paraId="335DCEFF" w14:textId="77777777" w:rsidR="00B77260" w:rsidRPr="00951AB1" w:rsidRDefault="00B77260"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9.341.747.948</w:t>
            </w:r>
          </w:p>
        </w:tc>
        <w:tc>
          <w:tcPr>
            <w:tcW w:w="845" w:type="pct"/>
            <w:noWrap/>
            <w:vAlign w:val="center"/>
            <w:hideMark/>
          </w:tcPr>
          <w:p w14:paraId="30DAD385" w14:textId="77777777" w:rsidR="00B77260" w:rsidRPr="00951AB1" w:rsidRDefault="00B77260"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0</w:t>
            </w:r>
          </w:p>
        </w:tc>
      </w:tr>
      <w:tr w:rsidR="005A73C0" w:rsidRPr="00951AB1" w14:paraId="1E56C316" w14:textId="77777777" w:rsidTr="004004C5">
        <w:trPr>
          <w:trHeight w:val="458"/>
        </w:trPr>
        <w:tc>
          <w:tcPr>
            <w:tcW w:w="2245" w:type="pct"/>
            <w:vAlign w:val="center"/>
            <w:hideMark/>
          </w:tcPr>
          <w:p w14:paraId="294AEE54" w14:textId="77777777" w:rsidR="00B77260" w:rsidRPr="00951AB1" w:rsidRDefault="00B77260" w:rsidP="000A5389">
            <w:pPr>
              <w:spacing w:line="240" w:lineRule="auto"/>
              <w:rPr>
                <w:rFonts w:eastAsia="Times New Roman" w:cs="Times New Roman"/>
                <w:b/>
                <w:bCs/>
                <w:color w:val="000000"/>
                <w:kern w:val="0"/>
                <w:sz w:val="18"/>
                <w:szCs w:val="18"/>
                <w:lang w:eastAsia="es-CO"/>
                <w14:ligatures w14:val="none"/>
              </w:rPr>
            </w:pPr>
            <w:r w:rsidRPr="00951AB1">
              <w:rPr>
                <w:rFonts w:eastAsia="Times New Roman" w:cs="Times New Roman"/>
                <w:b/>
                <w:bCs/>
                <w:color w:val="000000"/>
                <w:kern w:val="0"/>
                <w:sz w:val="18"/>
                <w:szCs w:val="18"/>
                <w:lang w:eastAsia="es-CO"/>
                <w14:ligatures w14:val="none"/>
              </w:rPr>
              <w:t>SOCIEDAD PORTUARIA REGIONAL DE BUENAVENTURA S.A. S.P.R. BUN</w:t>
            </w:r>
          </w:p>
        </w:tc>
        <w:tc>
          <w:tcPr>
            <w:tcW w:w="965" w:type="pct"/>
            <w:noWrap/>
            <w:vAlign w:val="center"/>
            <w:hideMark/>
          </w:tcPr>
          <w:p w14:paraId="3AA5C8AF" w14:textId="77777777" w:rsidR="00B77260" w:rsidRPr="00951AB1" w:rsidRDefault="00B77260" w:rsidP="000A5389">
            <w:pPr>
              <w:spacing w:line="240" w:lineRule="auto"/>
              <w:rPr>
                <w:rFonts w:eastAsia="Times New Roman" w:cs="Times New Roman"/>
                <w:color w:val="000000"/>
                <w:kern w:val="0"/>
                <w:lang w:eastAsia="es-CO"/>
                <w14:ligatures w14:val="none"/>
              </w:rPr>
            </w:pPr>
            <w:r w:rsidRPr="00951AB1">
              <w:rPr>
                <w:rFonts w:eastAsia="Times New Roman" w:cs="Times New Roman"/>
                <w:color w:val="000000"/>
                <w:kern w:val="0"/>
                <w:lang w:eastAsia="es-CO"/>
                <w14:ligatures w14:val="none"/>
              </w:rPr>
              <w:t> </w:t>
            </w:r>
          </w:p>
        </w:tc>
        <w:tc>
          <w:tcPr>
            <w:tcW w:w="945" w:type="pct"/>
            <w:noWrap/>
            <w:vAlign w:val="center"/>
            <w:hideMark/>
          </w:tcPr>
          <w:p w14:paraId="0510B5F3" w14:textId="77777777" w:rsidR="00B77260" w:rsidRPr="00951AB1" w:rsidRDefault="00B77260" w:rsidP="000A5389">
            <w:pPr>
              <w:spacing w:line="240" w:lineRule="auto"/>
              <w:jc w:val="right"/>
              <w:rPr>
                <w:rFonts w:eastAsia="Times New Roman" w:cs="Times New Roman"/>
                <w:b/>
                <w:bCs/>
                <w:color w:val="000000"/>
                <w:kern w:val="0"/>
                <w:sz w:val="18"/>
                <w:szCs w:val="18"/>
                <w:lang w:eastAsia="es-CO"/>
                <w14:ligatures w14:val="none"/>
              </w:rPr>
            </w:pPr>
            <w:r w:rsidRPr="00951AB1">
              <w:rPr>
                <w:rFonts w:eastAsia="Times New Roman" w:cs="Times New Roman"/>
                <w:b/>
                <w:bCs/>
                <w:color w:val="000000"/>
                <w:kern w:val="0"/>
                <w:sz w:val="18"/>
                <w:szCs w:val="18"/>
                <w:lang w:eastAsia="es-CO"/>
                <w14:ligatures w14:val="none"/>
              </w:rPr>
              <w:t>63.123.062.496</w:t>
            </w:r>
          </w:p>
        </w:tc>
        <w:tc>
          <w:tcPr>
            <w:tcW w:w="845" w:type="pct"/>
            <w:noWrap/>
            <w:vAlign w:val="center"/>
            <w:hideMark/>
          </w:tcPr>
          <w:p w14:paraId="6D20CC9E" w14:textId="77777777" w:rsidR="00B77260" w:rsidRPr="00951AB1" w:rsidRDefault="00B77260"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0</w:t>
            </w:r>
          </w:p>
        </w:tc>
      </w:tr>
      <w:tr w:rsidR="005A73C0" w:rsidRPr="00951AB1" w14:paraId="37662FE7" w14:textId="77777777" w:rsidTr="004004C5">
        <w:trPr>
          <w:trHeight w:val="293"/>
        </w:trPr>
        <w:tc>
          <w:tcPr>
            <w:tcW w:w="2245" w:type="pct"/>
            <w:vAlign w:val="center"/>
            <w:hideMark/>
          </w:tcPr>
          <w:p w14:paraId="0186D5DF" w14:textId="77777777" w:rsidR="00B77260" w:rsidRPr="00951AB1" w:rsidRDefault="00B77260" w:rsidP="000A5389">
            <w:pPr>
              <w:spacing w:line="240" w:lineRule="auto"/>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Activos intangibles en concesión</w:t>
            </w:r>
          </w:p>
        </w:tc>
        <w:tc>
          <w:tcPr>
            <w:tcW w:w="965" w:type="pct"/>
            <w:noWrap/>
            <w:vAlign w:val="center"/>
            <w:hideMark/>
          </w:tcPr>
          <w:p w14:paraId="2CC78C4D" w14:textId="77777777" w:rsidR="00B77260" w:rsidRPr="00951AB1" w:rsidRDefault="00B77260" w:rsidP="000A5389">
            <w:pPr>
              <w:spacing w:line="240" w:lineRule="auto"/>
              <w:rPr>
                <w:rFonts w:eastAsia="Times New Roman" w:cs="Times New Roman"/>
                <w:color w:val="000000"/>
                <w:kern w:val="0"/>
                <w:lang w:eastAsia="es-CO"/>
                <w14:ligatures w14:val="none"/>
              </w:rPr>
            </w:pPr>
            <w:r w:rsidRPr="00951AB1">
              <w:rPr>
                <w:rFonts w:eastAsia="Times New Roman" w:cs="Times New Roman"/>
                <w:color w:val="000000"/>
                <w:kern w:val="0"/>
                <w:lang w:eastAsia="es-CO"/>
                <w14:ligatures w14:val="none"/>
              </w:rPr>
              <w:t> </w:t>
            </w:r>
          </w:p>
        </w:tc>
        <w:tc>
          <w:tcPr>
            <w:tcW w:w="945" w:type="pct"/>
            <w:noWrap/>
            <w:vAlign w:val="center"/>
            <w:hideMark/>
          </w:tcPr>
          <w:p w14:paraId="7E5E39F7" w14:textId="77777777" w:rsidR="00B77260" w:rsidRPr="00951AB1" w:rsidRDefault="00B77260"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63.123.062.496</w:t>
            </w:r>
          </w:p>
        </w:tc>
        <w:tc>
          <w:tcPr>
            <w:tcW w:w="845" w:type="pct"/>
            <w:noWrap/>
            <w:vAlign w:val="center"/>
            <w:hideMark/>
          </w:tcPr>
          <w:p w14:paraId="7FE2B5D2" w14:textId="77777777" w:rsidR="00B77260" w:rsidRPr="00951AB1" w:rsidRDefault="00B77260"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0</w:t>
            </w:r>
          </w:p>
        </w:tc>
      </w:tr>
      <w:tr w:rsidR="005A73C0" w:rsidRPr="00951AB1" w14:paraId="1E5B1A00" w14:textId="77777777" w:rsidTr="004004C5">
        <w:trPr>
          <w:trHeight w:val="293"/>
        </w:trPr>
        <w:tc>
          <w:tcPr>
            <w:tcW w:w="2245" w:type="pct"/>
            <w:vAlign w:val="center"/>
            <w:hideMark/>
          </w:tcPr>
          <w:p w14:paraId="66487912" w14:textId="77777777" w:rsidR="00B77260" w:rsidRPr="00951AB1" w:rsidRDefault="00B77260" w:rsidP="000A5389">
            <w:pPr>
              <w:spacing w:line="240" w:lineRule="auto"/>
              <w:rPr>
                <w:rFonts w:eastAsia="Times New Roman" w:cs="Times New Roman"/>
                <w:b/>
                <w:bCs/>
                <w:color w:val="000000"/>
                <w:kern w:val="0"/>
                <w:sz w:val="18"/>
                <w:szCs w:val="18"/>
                <w:lang w:eastAsia="es-CO"/>
                <w14:ligatures w14:val="none"/>
              </w:rPr>
            </w:pPr>
            <w:r w:rsidRPr="00951AB1">
              <w:rPr>
                <w:rFonts w:eastAsia="Times New Roman" w:cs="Times New Roman"/>
                <w:b/>
                <w:bCs/>
                <w:color w:val="000000"/>
                <w:kern w:val="0"/>
                <w:sz w:val="18"/>
                <w:szCs w:val="18"/>
                <w:lang w:eastAsia="es-CO"/>
                <w14:ligatures w14:val="none"/>
              </w:rPr>
              <w:t>GRUPO PORTUARIO S.A.</w:t>
            </w:r>
          </w:p>
        </w:tc>
        <w:tc>
          <w:tcPr>
            <w:tcW w:w="965" w:type="pct"/>
            <w:noWrap/>
            <w:vAlign w:val="center"/>
            <w:hideMark/>
          </w:tcPr>
          <w:p w14:paraId="0559A4AC" w14:textId="77777777" w:rsidR="00B77260" w:rsidRPr="00951AB1" w:rsidRDefault="00B77260" w:rsidP="000A5389">
            <w:pPr>
              <w:spacing w:line="240" w:lineRule="auto"/>
              <w:rPr>
                <w:rFonts w:eastAsia="Times New Roman" w:cs="Times New Roman"/>
                <w:color w:val="000000"/>
                <w:kern w:val="0"/>
                <w:lang w:eastAsia="es-CO"/>
                <w14:ligatures w14:val="none"/>
              </w:rPr>
            </w:pPr>
            <w:r w:rsidRPr="00951AB1">
              <w:rPr>
                <w:rFonts w:eastAsia="Times New Roman" w:cs="Times New Roman"/>
                <w:color w:val="000000"/>
                <w:kern w:val="0"/>
                <w:lang w:eastAsia="es-CO"/>
                <w14:ligatures w14:val="none"/>
              </w:rPr>
              <w:t> </w:t>
            </w:r>
          </w:p>
        </w:tc>
        <w:tc>
          <w:tcPr>
            <w:tcW w:w="945" w:type="pct"/>
            <w:noWrap/>
            <w:vAlign w:val="center"/>
            <w:hideMark/>
          </w:tcPr>
          <w:p w14:paraId="5B0F1AFF" w14:textId="77777777" w:rsidR="00B77260" w:rsidRPr="00951AB1" w:rsidRDefault="00B77260" w:rsidP="000A5389">
            <w:pPr>
              <w:spacing w:line="240" w:lineRule="auto"/>
              <w:jc w:val="right"/>
              <w:rPr>
                <w:rFonts w:eastAsia="Times New Roman" w:cs="Times New Roman"/>
                <w:b/>
                <w:bCs/>
                <w:color w:val="000000"/>
                <w:kern w:val="0"/>
                <w:sz w:val="18"/>
                <w:szCs w:val="18"/>
                <w:lang w:eastAsia="es-CO"/>
                <w14:ligatures w14:val="none"/>
              </w:rPr>
            </w:pPr>
            <w:r w:rsidRPr="00951AB1">
              <w:rPr>
                <w:rFonts w:eastAsia="Times New Roman" w:cs="Times New Roman"/>
                <w:b/>
                <w:bCs/>
                <w:color w:val="000000"/>
                <w:kern w:val="0"/>
                <w:sz w:val="18"/>
                <w:szCs w:val="18"/>
                <w:lang w:eastAsia="es-CO"/>
                <w14:ligatures w14:val="none"/>
              </w:rPr>
              <w:t>110.217.400</w:t>
            </w:r>
          </w:p>
        </w:tc>
        <w:tc>
          <w:tcPr>
            <w:tcW w:w="845" w:type="pct"/>
            <w:noWrap/>
            <w:vAlign w:val="center"/>
            <w:hideMark/>
          </w:tcPr>
          <w:p w14:paraId="6D8B9189" w14:textId="77777777" w:rsidR="00B77260" w:rsidRPr="00951AB1" w:rsidRDefault="00B77260"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0</w:t>
            </w:r>
          </w:p>
        </w:tc>
      </w:tr>
      <w:tr w:rsidR="005A73C0" w:rsidRPr="00951AB1" w14:paraId="63C39C93" w14:textId="77777777" w:rsidTr="004004C5">
        <w:trPr>
          <w:trHeight w:val="293"/>
        </w:trPr>
        <w:tc>
          <w:tcPr>
            <w:tcW w:w="2245" w:type="pct"/>
            <w:vAlign w:val="center"/>
            <w:hideMark/>
          </w:tcPr>
          <w:p w14:paraId="280134C3" w14:textId="77777777" w:rsidR="00B77260" w:rsidRPr="00951AB1" w:rsidRDefault="00B77260" w:rsidP="000A5389">
            <w:pPr>
              <w:spacing w:line="240" w:lineRule="auto"/>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Activos intangibles en concesión</w:t>
            </w:r>
          </w:p>
        </w:tc>
        <w:tc>
          <w:tcPr>
            <w:tcW w:w="965" w:type="pct"/>
            <w:noWrap/>
            <w:vAlign w:val="center"/>
            <w:hideMark/>
          </w:tcPr>
          <w:p w14:paraId="5151F09C" w14:textId="77777777" w:rsidR="00B77260" w:rsidRPr="00951AB1" w:rsidRDefault="00B77260" w:rsidP="000A5389">
            <w:pPr>
              <w:spacing w:line="240" w:lineRule="auto"/>
              <w:rPr>
                <w:rFonts w:eastAsia="Times New Roman" w:cs="Times New Roman"/>
                <w:color w:val="000000"/>
                <w:kern w:val="0"/>
                <w:lang w:eastAsia="es-CO"/>
                <w14:ligatures w14:val="none"/>
              </w:rPr>
            </w:pPr>
            <w:r w:rsidRPr="00951AB1">
              <w:rPr>
                <w:rFonts w:eastAsia="Times New Roman" w:cs="Times New Roman"/>
                <w:color w:val="000000"/>
                <w:kern w:val="0"/>
                <w:lang w:eastAsia="es-CO"/>
                <w14:ligatures w14:val="none"/>
              </w:rPr>
              <w:t> </w:t>
            </w:r>
          </w:p>
        </w:tc>
        <w:tc>
          <w:tcPr>
            <w:tcW w:w="945" w:type="pct"/>
            <w:noWrap/>
            <w:vAlign w:val="center"/>
            <w:hideMark/>
          </w:tcPr>
          <w:p w14:paraId="4F886D5C" w14:textId="77777777" w:rsidR="00B77260" w:rsidRPr="00951AB1" w:rsidRDefault="00B77260"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110.217.400</w:t>
            </w:r>
          </w:p>
        </w:tc>
        <w:tc>
          <w:tcPr>
            <w:tcW w:w="845" w:type="pct"/>
            <w:noWrap/>
            <w:vAlign w:val="center"/>
            <w:hideMark/>
          </w:tcPr>
          <w:p w14:paraId="3FD83059" w14:textId="77777777" w:rsidR="00B77260" w:rsidRPr="00951AB1" w:rsidRDefault="00B77260"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0</w:t>
            </w:r>
          </w:p>
        </w:tc>
      </w:tr>
      <w:tr w:rsidR="005A73C0" w:rsidRPr="00951AB1" w14:paraId="59D3023B" w14:textId="77777777" w:rsidTr="004004C5">
        <w:trPr>
          <w:trHeight w:val="293"/>
        </w:trPr>
        <w:tc>
          <w:tcPr>
            <w:tcW w:w="2245" w:type="pct"/>
            <w:vAlign w:val="center"/>
            <w:hideMark/>
          </w:tcPr>
          <w:p w14:paraId="625A8FDD" w14:textId="77777777" w:rsidR="00B77260" w:rsidRPr="00951AB1" w:rsidRDefault="00B77260" w:rsidP="000A5389">
            <w:pPr>
              <w:spacing w:line="240" w:lineRule="auto"/>
              <w:rPr>
                <w:rFonts w:eastAsia="Times New Roman" w:cs="Times New Roman"/>
                <w:b/>
                <w:bCs/>
                <w:color w:val="000000"/>
                <w:kern w:val="0"/>
                <w:sz w:val="18"/>
                <w:szCs w:val="18"/>
                <w:lang w:eastAsia="es-CO"/>
                <w14:ligatures w14:val="none"/>
              </w:rPr>
            </w:pPr>
            <w:r w:rsidRPr="00951AB1">
              <w:rPr>
                <w:rFonts w:eastAsia="Times New Roman" w:cs="Times New Roman"/>
                <w:b/>
                <w:bCs/>
                <w:color w:val="000000"/>
                <w:kern w:val="0"/>
                <w:sz w:val="18"/>
                <w:szCs w:val="18"/>
                <w:lang w:eastAsia="es-CO"/>
                <w14:ligatures w14:val="none"/>
              </w:rPr>
              <w:t>VOPAK COLOMBIA S. A</w:t>
            </w:r>
          </w:p>
        </w:tc>
        <w:tc>
          <w:tcPr>
            <w:tcW w:w="965" w:type="pct"/>
            <w:noWrap/>
            <w:vAlign w:val="center"/>
            <w:hideMark/>
          </w:tcPr>
          <w:p w14:paraId="474DF0AB" w14:textId="77777777" w:rsidR="00B77260" w:rsidRPr="00951AB1" w:rsidRDefault="00B77260" w:rsidP="000A5389">
            <w:pPr>
              <w:spacing w:line="240" w:lineRule="auto"/>
              <w:rPr>
                <w:rFonts w:eastAsia="Times New Roman" w:cs="Times New Roman"/>
                <w:color w:val="000000"/>
                <w:kern w:val="0"/>
                <w:lang w:eastAsia="es-CO"/>
                <w14:ligatures w14:val="none"/>
              </w:rPr>
            </w:pPr>
            <w:r w:rsidRPr="00951AB1">
              <w:rPr>
                <w:rFonts w:eastAsia="Times New Roman" w:cs="Times New Roman"/>
                <w:color w:val="000000"/>
                <w:kern w:val="0"/>
                <w:lang w:eastAsia="es-CO"/>
                <w14:ligatures w14:val="none"/>
              </w:rPr>
              <w:t> </w:t>
            </w:r>
          </w:p>
        </w:tc>
        <w:tc>
          <w:tcPr>
            <w:tcW w:w="945" w:type="pct"/>
            <w:noWrap/>
            <w:vAlign w:val="center"/>
            <w:hideMark/>
          </w:tcPr>
          <w:p w14:paraId="1416B2BB" w14:textId="77777777" w:rsidR="00B77260" w:rsidRPr="00951AB1" w:rsidRDefault="00B77260" w:rsidP="000A5389">
            <w:pPr>
              <w:spacing w:line="240" w:lineRule="auto"/>
              <w:jc w:val="right"/>
              <w:rPr>
                <w:rFonts w:eastAsia="Times New Roman" w:cs="Times New Roman"/>
                <w:b/>
                <w:bCs/>
                <w:color w:val="000000"/>
                <w:kern w:val="0"/>
                <w:sz w:val="18"/>
                <w:szCs w:val="18"/>
                <w:lang w:eastAsia="es-CO"/>
                <w14:ligatures w14:val="none"/>
              </w:rPr>
            </w:pPr>
            <w:r w:rsidRPr="00951AB1">
              <w:rPr>
                <w:rFonts w:eastAsia="Times New Roman" w:cs="Times New Roman"/>
                <w:b/>
                <w:bCs/>
                <w:color w:val="000000"/>
                <w:kern w:val="0"/>
                <w:sz w:val="18"/>
                <w:szCs w:val="18"/>
                <w:lang w:eastAsia="es-CO"/>
                <w14:ligatures w14:val="none"/>
              </w:rPr>
              <w:t>35.139.740</w:t>
            </w:r>
          </w:p>
        </w:tc>
        <w:tc>
          <w:tcPr>
            <w:tcW w:w="845" w:type="pct"/>
            <w:noWrap/>
            <w:vAlign w:val="center"/>
            <w:hideMark/>
          </w:tcPr>
          <w:p w14:paraId="45D364E8" w14:textId="77777777" w:rsidR="00B77260" w:rsidRPr="00951AB1" w:rsidRDefault="00B77260"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0</w:t>
            </w:r>
          </w:p>
        </w:tc>
      </w:tr>
      <w:tr w:rsidR="005A73C0" w:rsidRPr="00951AB1" w14:paraId="2D6BF076" w14:textId="77777777" w:rsidTr="004004C5">
        <w:trPr>
          <w:trHeight w:val="293"/>
        </w:trPr>
        <w:tc>
          <w:tcPr>
            <w:tcW w:w="2245" w:type="pct"/>
            <w:vAlign w:val="center"/>
            <w:hideMark/>
          </w:tcPr>
          <w:p w14:paraId="0F096522" w14:textId="77777777" w:rsidR="00B77260" w:rsidRPr="00951AB1" w:rsidRDefault="00B77260" w:rsidP="000A5389">
            <w:pPr>
              <w:spacing w:line="240" w:lineRule="auto"/>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Activos intangibles en concesión</w:t>
            </w:r>
          </w:p>
        </w:tc>
        <w:tc>
          <w:tcPr>
            <w:tcW w:w="965" w:type="pct"/>
            <w:noWrap/>
            <w:vAlign w:val="center"/>
            <w:hideMark/>
          </w:tcPr>
          <w:p w14:paraId="767978B4" w14:textId="77777777" w:rsidR="00B77260" w:rsidRPr="00951AB1" w:rsidRDefault="00B77260" w:rsidP="000A5389">
            <w:pPr>
              <w:spacing w:line="240" w:lineRule="auto"/>
              <w:rPr>
                <w:rFonts w:eastAsia="Times New Roman" w:cs="Times New Roman"/>
                <w:color w:val="000000"/>
                <w:kern w:val="0"/>
                <w:lang w:eastAsia="es-CO"/>
                <w14:ligatures w14:val="none"/>
              </w:rPr>
            </w:pPr>
            <w:r w:rsidRPr="00951AB1">
              <w:rPr>
                <w:rFonts w:eastAsia="Times New Roman" w:cs="Times New Roman"/>
                <w:color w:val="000000"/>
                <w:kern w:val="0"/>
                <w:lang w:eastAsia="es-CO"/>
                <w14:ligatures w14:val="none"/>
              </w:rPr>
              <w:t> </w:t>
            </w:r>
          </w:p>
        </w:tc>
        <w:tc>
          <w:tcPr>
            <w:tcW w:w="945" w:type="pct"/>
            <w:noWrap/>
            <w:vAlign w:val="center"/>
            <w:hideMark/>
          </w:tcPr>
          <w:p w14:paraId="2D1889CD" w14:textId="77777777" w:rsidR="00B77260" w:rsidRPr="00951AB1" w:rsidRDefault="00B77260"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35.139.740</w:t>
            </w:r>
          </w:p>
        </w:tc>
        <w:tc>
          <w:tcPr>
            <w:tcW w:w="845" w:type="pct"/>
            <w:noWrap/>
            <w:vAlign w:val="center"/>
            <w:hideMark/>
          </w:tcPr>
          <w:p w14:paraId="216B536B" w14:textId="77777777" w:rsidR="00B77260" w:rsidRPr="00951AB1" w:rsidRDefault="00B77260"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0</w:t>
            </w:r>
          </w:p>
        </w:tc>
      </w:tr>
      <w:tr w:rsidR="005A73C0" w:rsidRPr="00951AB1" w14:paraId="42988707" w14:textId="77777777" w:rsidTr="004004C5">
        <w:trPr>
          <w:trHeight w:val="293"/>
        </w:trPr>
        <w:tc>
          <w:tcPr>
            <w:tcW w:w="2245" w:type="pct"/>
            <w:vAlign w:val="center"/>
            <w:hideMark/>
          </w:tcPr>
          <w:p w14:paraId="20F4A860" w14:textId="77777777" w:rsidR="00B77260" w:rsidRPr="00951AB1" w:rsidRDefault="00B77260" w:rsidP="000A5389">
            <w:pPr>
              <w:spacing w:line="240" w:lineRule="auto"/>
              <w:rPr>
                <w:rFonts w:eastAsia="Times New Roman" w:cs="Times New Roman"/>
                <w:b/>
                <w:bCs/>
                <w:color w:val="000000"/>
                <w:kern w:val="0"/>
                <w:sz w:val="18"/>
                <w:szCs w:val="18"/>
                <w:lang w:eastAsia="es-CO"/>
                <w14:ligatures w14:val="none"/>
              </w:rPr>
            </w:pPr>
            <w:r w:rsidRPr="00951AB1">
              <w:rPr>
                <w:rFonts w:eastAsia="Times New Roman" w:cs="Times New Roman"/>
                <w:b/>
                <w:bCs/>
                <w:color w:val="000000"/>
                <w:kern w:val="0"/>
                <w:sz w:val="18"/>
                <w:szCs w:val="18"/>
                <w:lang w:eastAsia="es-CO"/>
                <w14:ligatures w14:val="none"/>
              </w:rPr>
              <w:t>SOCIEDAD PORTUARIA BAVARIA S.A.</w:t>
            </w:r>
          </w:p>
        </w:tc>
        <w:tc>
          <w:tcPr>
            <w:tcW w:w="965" w:type="pct"/>
            <w:noWrap/>
            <w:vAlign w:val="center"/>
            <w:hideMark/>
          </w:tcPr>
          <w:p w14:paraId="64EC259E" w14:textId="77777777" w:rsidR="00B77260" w:rsidRPr="00951AB1" w:rsidRDefault="00B77260" w:rsidP="000A5389">
            <w:pPr>
              <w:spacing w:line="240" w:lineRule="auto"/>
              <w:rPr>
                <w:rFonts w:eastAsia="Times New Roman" w:cs="Times New Roman"/>
                <w:color w:val="000000"/>
                <w:kern w:val="0"/>
                <w:lang w:eastAsia="es-CO"/>
                <w14:ligatures w14:val="none"/>
              </w:rPr>
            </w:pPr>
            <w:r w:rsidRPr="00951AB1">
              <w:rPr>
                <w:rFonts w:eastAsia="Times New Roman" w:cs="Times New Roman"/>
                <w:color w:val="000000"/>
                <w:kern w:val="0"/>
                <w:lang w:eastAsia="es-CO"/>
                <w14:ligatures w14:val="none"/>
              </w:rPr>
              <w:t> </w:t>
            </w:r>
          </w:p>
        </w:tc>
        <w:tc>
          <w:tcPr>
            <w:tcW w:w="945" w:type="pct"/>
            <w:noWrap/>
            <w:vAlign w:val="center"/>
            <w:hideMark/>
          </w:tcPr>
          <w:p w14:paraId="526C07D2" w14:textId="77777777" w:rsidR="00B77260" w:rsidRPr="00951AB1" w:rsidRDefault="00B77260" w:rsidP="000A5389">
            <w:pPr>
              <w:spacing w:line="240" w:lineRule="auto"/>
              <w:jc w:val="right"/>
              <w:rPr>
                <w:rFonts w:eastAsia="Times New Roman" w:cs="Times New Roman"/>
                <w:b/>
                <w:bCs/>
                <w:color w:val="000000"/>
                <w:kern w:val="0"/>
                <w:sz w:val="18"/>
                <w:szCs w:val="18"/>
                <w:lang w:eastAsia="es-CO"/>
                <w14:ligatures w14:val="none"/>
              </w:rPr>
            </w:pPr>
            <w:r w:rsidRPr="00951AB1">
              <w:rPr>
                <w:rFonts w:eastAsia="Times New Roman" w:cs="Times New Roman"/>
                <w:b/>
                <w:bCs/>
                <w:color w:val="000000"/>
                <w:kern w:val="0"/>
                <w:sz w:val="18"/>
                <w:szCs w:val="18"/>
                <w:lang w:eastAsia="es-CO"/>
                <w14:ligatures w14:val="none"/>
              </w:rPr>
              <w:t>296.118.683</w:t>
            </w:r>
          </w:p>
        </w:tc>
        <w:tc>
          <w:tcPr>
            <w:tcW w:w="845" w:type="pct"/>
            <w:noWrap/>
            <w:vAlign w:val="center"/>
            <w:hideMark/>
          </w:tcPr>
          <w:p w14:paraId="1574F2EF" w14:textId="77777777" w:rsidR="00B77260" w:rsidRPr="00951AB1" w:rsidRDefault="00B77260"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0</w:t>
            </w:r>
          </w:p>
        </w:tc>
      </w:tr>
      <w:tr w:rsidR="005A73C0" w:rsidRPr="00951AB1" w14:paraId="3CE94775" w14:textId="77777777" w:rsidTr="004004C5">
        <w:trPr>
          <w:trHeight w:val="293"/>
        </w:trPr>
        <w:tc>
          <w:tcPr>
            <w:tcW w:w="2245" w:type="pct"/>
            <w:vAlign w:val="center"/>
            <w:hideMark/>
          </w:tcPr>
          <w:p w14:paraId="7080E6F7" w14:textId="77777777" w:rsidR="00B77260" w:rsidRPr="00951AB1" w:rsidRDefault="00B77260" w:rsidP="000A5389">
            <w:pPr>
              <w:spacing w:line="240" w:lineRule="auto"/>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Activos intangibles en concesión</w:t>
            </w:r>
          </w:p>
        </w:tc>
        <w:tc>
          <w:tcPr>
            <w:tcW w:w="965" w:type="pct"/>
            <w:noWrap/>
            <w:vAlign w:val="center"/>
            <w:hideMark/>
          </w:tcPr>
          <w:p w14:paraId="1C298041" w14:textId="77777777" w:rsidR="00B77260" w:rsidRPr="00951AB1" w:rsidRDefault="00B77260" w:rsidP="000A5389">
            <w:pPr>
              <w:spacing w:line="240" w:lineRule="auto"/>
              <w:rPr>
                <w:rFonts w:eastAsia="Times New Roman" w:cs="Times New Roman"/>
                <w:color w:val="000000"/>
                <w:kern w:val="0"/>
                <w:lang w:eastAsia="es-CO"/>
                <w14:ligatures w14:val="none"/>
              </w:rPr>
            </w:pPr>
            <w:r w:rsidRPr="00951AB1">
              <w:rPr>
                <w:rFonts w:eastAsia="Times New Roman" w:cs="Times New Roman"/>
                <w:color w:val="000000"/>
                <w:kern w:val="0"/>
                <w:lang w:eastAsia="es-CO"/>
                <w14:ligatures w14:val="none"/>
              </w:rPr>
              <w:t> </w:t>
            </w:r>
          </w:p>
        </w:tc>
        <w:tc>
          <w:tcPr>
            <w:tcW w:w="945" w:type="pct"/>
            <w:noWrap/>
            <w:vAlign w:val="center"/>
            <w:hideMark/>
          </w:tcPr>
          <w:p w14:paraId="7F29EE17" w14:textId="77777777" w:rsidR="00B77260" w:rsidRPr="00951AB1" w:rsidRDefault="00B77260"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296.118.683</w:t>
            </w:r>
          </w:p>
        </w:tc>
        <w:tc>
          <w:tcPr>
            <w:tcW w:w="845" w:type="pct"/>
            <w:noWrap/>
            <w:vAlign w:val="center"/>
            <w:hideMark/>
          </w:tcPr>
          <w:p w14:paraId="069FD634" w14:textId="77777777" w:rsidR="00B77260" w:rsidRPr="00951AB1" w:rsidRDefault="00B77260"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0</w:t>
            </w:r>
          </w:p>
        </w:tc>
      </w:tr>
      <w:tr w:rsidR="00367E7C" w:rsidRPr="00951AB1" w14:paraId="64EB04DF" w14:textId="77777777" w:rsidTr="00DE2EC7">
        <w:trPr>
          <w:trHeight w:val="458"/>
        </w:trPr>
        <w:tc>
          <w:tcPr>
            <w:tcW w:w="2245" w:type="pct"/>
            <w:vAlign w:val="center"/>
            <w:hideMark/>
          </w:tcPr>
          <w:p w14:paraId="346C4DA9" w14:textId="77777777" w:rsidR="00367E7C" w:rsidRPr="00951AB1" w:rsidRDefault="00367E7C" w:rsidP="000A5389">
            <w:pPr>
              <w:spacing w:line="240" w:lineRule="auto"/>
              <w:rPr>
                <w:rFonts w:eastAsia="Times New Roman" w:cs="Times New Roman"/>
                <w:b/>
                <w:bCs/>
                <w:color w:val="000000"/>
                <w:kern w:val="0"/>
                <w:sz w:val="18"/>
                <w:szCs w:val="18"/>
                <w:lang w:eastAsia="es-CO"/>
                <w14:ligatures w14:val="none"/>
              </w:rPr>
            </w:pPr>
            <w:r w:rsidRPr="00951AB1">
              <w:rPr>
                <w:rFonts w:eastAsia="Times New Roman" w:cs="Times New Roman"/>
                <w:b/>
                <w:bCs/>
                <w:color w:val="000000"/>
                <w:kern w:val="0"/>
                <w:sz w:val="18"/>
                <w:szCs w:val="18"/>
                <w:lang w:eastAsia="es-CO"/>
                <w14:ligatures w14:val="none"/>
              </w:rPr>
              <w:t>SOCIEDAD PORTUARIA TERMINALES MARITIMOS DEL PACIFICO SA</w:t>
            </w:r>
          </w:p>
        </w:tc>
        <w:tc>
          <w:tcPr>
            <w:tcW w:w="965" w:type="pct"/>
            <w:noWrap/>
            <w:vAlign w:val="center"/>
            <w:hideMark/>
          </w:tcPr>
          <w:p w14:paraId="39EC1E24" w14:textId="77777777" w:rsidR="00367E7C" w:rsidRPr="00951AB1" w:rsidRDefault="00367E7C" w:rsidP="000A5389">
            <w:pPr>
              <w:spacing w:line="240" w:lineRule="auto"/>
              <w:jc w:val="right"/>
              <w:rPr>
                <w:rFonts w:eastAsia="Times New Roman" w:cs="Times New Roman"/>
                <w:b/>
                <w:color w:val="000000"/>
                <w:kern w:val="0"/>
                <w:lang w:eastAsia="es-CO"/>
                <w14:ligatures w14:val="none"/>
              </w:rPr>
            </w:pPr>
            <w:r w:rsidRPr="00951AB1">
              <w:rPr>
                <w:rFonts w:eastAsia="Times New Roman" w:cs="Times New Roman"/>
                <w:b/>
                <w:color w:val="000000"/>
                <w:kern w:val="0"/>
                <w:lang w:eastAsia="es-CO"/>
                <w14:ligatures w14:val="none"/>
              </w:rPr>
              <w:t> </w:t>
            </w:r>
            <w:r w:rsidRPr="00951AB1">
              <w:rPr>
                <w:rFonts w:eastAsia="Times New Roman" w:cs="Times New Roman"/>
                <w:b/>
                <w:bCs/>
                <w:color w:val="000000"/>
                <w:kern w:val="0"/>
                <w:sz w:val="18"/>
                <w:szCs w:val="18"/>
                <w:lang w:eastAsia="es-CO"/>
                <w14:ligatures w14:val="none"/>
              </w:rPr>
              <w:t>0</w:t>
            </w:r>
          </w:p>
        </w:tc>
        <w:tc>
          <w:tcPr>
            <w:tcW w:w="945" w:type="pct"/>
            <w:noWrap/>
            <w:vAlign w:val="center"/>
            <w:hideMark/>
          </w:tcPr>
          <w:p w14:paraId="324D2B70" w14:textId="77777777" w:rsidR="00367E7C" w:rsidRPr="00951AB1" w:rsidRDefault="00367E7C" w:rsidP="000A5389">
            <w:pPr>
              <w:spacing w:line="240" w:lineRule="auto"/>
              <w:jc w:val="right"/>
              <w:rPr>
                <w:rFonts w:eastAsia="Times New Roman" w:cs="Times New Roman"/>
                <w:b/>
                <w:bCs/>
                <w:color w:val="000000"/>
                <w:kern w:val="0"/>
                <w:sz w:val="18"/>
                <w:szCs w:val="18"/>
                <w:lang w:eastAsia="es-CO"/>
                <w14:ligatures w14:val="none"/>
              </w:rPr>
            </w:pPr>
            <w:r w:rsidRPr="00951AB1">
              <w:rPr>
                <w:rFonts w:eastAsia="Times New Roman" w:cs="Times New Roman"/>
                <w:b/>
                <w:bCs/>
                <w:color w:val="000000"/>
                <w:kern w:val="0"/>
                <w:sz w:val="18"/>
                <w:szCs w:val="18"/>
                <w:lang w:eastAsia="es-CO"/>
                <w14:ligatures w14:val="none"/>
              </w:rPr>
              <w:t>1.203.634.324</w:t>
            </w:r>
          </w:p>
        </w:tc>
        <w:tc>
          <w:tcPr>
            <w:tcW w:w="845" w:type="pct"/>
            <w:noWrap/>
            <w:vAlign w:val="center"/>
            <w:hideMark/>
          </w:tcPr>
          <w:p w14:paraId="558831CA" w14:textId="77777777" w:rsidR="00367E7C" w:rsidRPr="00951AB1" w:rsidRDefault="00367E7C"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0</w:t>
            </w:r>
          </w:p>
        </w:tc>
      </w:tr>
      <w:tr w:rsidR="00367E7C" w:rsidRPr="00951AB1" w14:paraId="637C7DFE" w14:textId="77777777" w:rsidTr="00DE2EC7">
        <w:trPr>
          <w:trHeight w:val="293"/>
        </w:trPr>
        <w:tc>
          <w:tcPr>
            <w:tcW w:w="2245" w:type="pct"/>
            <w:vAlign w:val="center"/>
            <w:hideMark/>
          </w:tcPr>
          <w:p w14:paraId="2726CDD5" w14:textId="77777777" w:rsidR="00367E7C" w:rsidRPr="00951AB1" w:rsidRDefault="00367E7C" w:rsidP="000A5389">
            <w:pPr>
              <w:spacing w:line="240" w:lineRule="auto"/>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Propiedades, Plan y Equipo</w:t>
            </w:r>
          </w:p>
        </w:tc>
        <w:tc>
          <w:tcPr>
            <w:tcW w:w="965" w:type="pct"/>
            <w:noWrap/>
            <w:hideMark/>
          </w:tcPr>
          <w:p w14:paraId="16B330A9" w14:textId="77777777" w:rsidR="00367E7C" w:rsidRPr="00951AB1" w:rsidRDefault="00367E7C" w:rsidP="000A5389">
            <w:pPr>
              <w:spacing w:line="240" w:lineRule="auto"/>
              <w:jc w:val="right"/>
              <w:rPr>
                <w:rFonts w:eastAsia="Times New Roman" w:cs="Times New Roman"/>
                <w:color w:val="000000"/>
                <w:kern w:val="0"/>
                <w:lang w:eastAsia="es-CO"/>
                <w14:ligatures w14:val="none"/>
              </w:rPr>
            </w:pPr>
            <w:r w:rsidRPr="00951AB1">
              <w:rPr>
                <w:rFonts w:eastAsia="Times New Roman" w:cs="Times New Roman"/>
                <w:color w:val="000000"/>
                <w:kern w:val="0"/>
                <w:sz w:val="18"/>
                <w:szCs w:val="18"/>
                <w:lang w:eastAsia="es-CO"/>
                <w14:ligatures w14:val="none"/>
              </w:rPr>
              <w:t>0</w:t>
            </w:r>
          </w:p>
        </w:tc>
        <w:tc>
          <w:tcPr>
            <w:tcW w:w="945" w:type="pct"/>
            <w:noWrap/>
            <w:vAlign w:val="center"/>
            <w:hideMark/>
          </w:tcPr>
          <w:p w14:paraId="735E736C" w14:textId="77777777" w:rsidR="00367E7C" w:rsidRPr="00951AB1" w:rsidRDefault="00367E7C"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99.352.191</w:t>
            </w:r>
          </w:p>
        </w:tc>
        <w:tc>
          <w:tcPr>
            <w:tcW w:w="845" w:type="pct"/>
            <w:noWrap/>
            <w:vAlign w:val="center"/>
            <w:hideMark/>
          </w:tcPr>
          <w:p w14:paraId="097EE0A3" w14:textId="77777777" w:rsidR="00367E7C" w:rsidRPr="00951AB1" w:rsidRDefault="00367E7C"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0</w:t>
            </w:r>
          </w:p>
        </w:tc>
      </w:tr>
      <w:tr w:rsidR="00367E7C" w:rsidRPr="00951AB1" w14:paraId="210DAC50" w14:textId="77777777" w:rsidTr="00DE2EC7">
        <w:trPr>
          <w:trHeight w:val="293"/>
        </w:trPr>
        <w:tc>
          <w:tcPr>
            <w:tcW w:w="2245" w:type="pct"/>
            <w:vAlign w:val="center"/>
            <w:hideMark/>
          </w:tcPr>
          <w:p w14:paraId="39FA5CA1" w14:textId="77777777" w:rsidR="00367E7C" w:rsidRPr="00951AB1" w:rsidRDefault="00367E7C" w:rsidP="000A5389">
            <w:pPr>
              <w:spacing w:line="240" w:lineRule="auto"/>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Red marítima</w:t>
            </w:r>
          </w:p>
        </w:tc>
        <w:tc>
          <w:tcPr>
            <w:tcW w:w="965" w:type="pct"/>
            <w:noWrap/>
            <w:hideMark/>
          </w:tcPr>
          <w:p w14:paraId="54C060C8" w14:textId="77777777" w:rsidR="00367E7C" w:rsidRPr="00951AB1" w:rsidRDefault="00367E7C" w:rsidP="000A5389">
            <w:pPr>
              <w:spacing w:line="240" w:lineRule="auto"/>
              <w:jc w:val="right"/>
              <w:rPr>
                <w:rFonts w:eastAsia="Times New Roman" w:cs="Times New Roman"/>
                <w:color w:val="000000"/>
                <w:kern w:val="0"/>
                <w:lang w:eastAsia="es-CO"/>
                <w14:ligatures w14:val="none"/>
              </w:rPr>
            </w:pPr>
            <w:r w:rsidRPr="00951AB1">
              <w:rPr>
                <w:rFonts w:eastAsia="Times New Roman" w:cs="Times New Roman"/>
                <w:color w:val="000000"/>
                <w:kern w:val="0"/>
                <w:sz w:val="18"/>
                <w:szCs w:val="18"/>
                <w:lang w:eastAsia="es-CO"/>
                <w14:ligatures w14:val="none"/>
              </w:rPr>
              <w:t>0</w:t>
            </w:r>
          </w:p>
        </w:tc>
        <w:tc>
          <w:tcPr>
            <w:tcW w:w="945" w:type="pct"/>
            <w:noWrap/>
            <w:vAlign w:val="center"/>
            <w:hideMark/>
          </w:tcPr>
          <w:p w14:paraId="734DBFC1" w14:textId="77777777" w:rsidR="00367E7C" w:rsidRPr="00951AB1" w:rsidRDefault="00367E7C"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1.104.282.133</w:t>
            </w:r>
          </w:p>
        </w:tc>
        <w:tc>
          <w:tcPr>
            <w:tcW w:w="845" w:type="pct"/>
            <w:noWrap/>
            <w:vAlign w:val="center"/>
            <w:hideMark/>
          </w:tcPr>
          <w:p w14:paraId="08C24CEC" w14:textId="77777777" w:rsidR="00367E7C" w:rsidRPr="00951AB1" w:rsidRDefault="00367E7C"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0</w:t>
            </w:r>
          </w:p>
        </w:tc>
      </w:tr>
      <w:tr w:rsidR="005A73C0" w:rsidRPr="00951AB1" w14:paraId="4AA08E2E" w14:textId="77777777" w:rsidTr="004004C5">
        <w:trPr>
          <w:trHeight w:val="293"/>
        </w:trPr>
        <w:tc>
          <w:tcPr>
            <w:tcW w:w="2245" w:type="pct"/>
            <w:vAlign w:val="center"/>
            <w:hideMark/>
          </w:tcPr>
          <w:p w14:paraId="5C6720AE" w14:textId="77777777" w:rsidR="00B77260" w:rsidRPr="00951AB1" w:rsidRDefault="00B77260" w:rsidP="000A5389">
            <w:pPr>
              <w:spacing w:line="240" w:lineRule="auto"/>
              <w:rPr>
                <w:rFonts w:eastAsia="Times New Roman" w:cs="Times New Roman"/>
                <w:b/>
                <w:bCs/>
                <w:color w:val="000000"/>
                <w:kern w:val="0"/>
                <w:sz w:val="18"/>
                <w:szCs w:val="18"/>
                <w:lang w:eastAsia="es-CO"/>
                <w14:ligatures w14:val="none"/>
              </w:rPr>
            </w:pPr>
            <w:r w:rsidRPr="00951AB1">
              <w:rPr>
                <w:rFonts w:eastAsia="Times New Roman" w:cs="Times New Roman"/>
                <w:b/>
                <w:bCs/>
                <w:color w:val="000000"/>
                <w:kern w:val="0"/>
                <w:sz w:val="18"/>
                <w:szCs w:val="18"/>
                <w:lang w:eastAsia="es-CO"/>
                <w14:ligatures w14:val="none"/>
              </w:rPr>
              <w:t>ZONA FRANCA ARGOS S.A.S.</w:t>
            </w:r>
          </w:p>
        </w:tc>
        <w:tc>
          <w:tcPr>
            <w:tcW w:w="965" w:type="pct"/>
            <w:noWrap/>
            <w:vAlign w:val="center"/>
            <w:hideMark/>
          </w:tcPr>
          <w:p w14:paraId="7B5D907E" w14:textId="77777777" w:rsidR="00B77260" w:rsidRPr="00951AB1" w:rsidRDefault="00B77260" w:rsidP="000A5389">
            <w:pPr>
              <w:spacing w:line="240" w:lineRule="auto"/>
              <w:rPr>
                <w:rFonts w:eastAsia="Times New Roman" w:cs="Times New Roman"/>
                <w:color w:val="000000"/>
                <w:kern w:val="0"/>
                <w:lang w:eastAsia="es-CO"/>
                <w14:ligatures w14:val="none"/>
              </w:rPr>
            </w:pPr>
            <w:r w:rsidRPr="00951AB1">
              <w:rPr>
                <w:rFonts w:eastAsia="Times New Roman" w:cs="Times New Roman"/>
                <w:color w:val="000000"/>
                <w:kern w:val="0"/>
                <w:lang w:eastAsia="es-CO"/>
                <w14:ligatures w14:val="none"/>
              </w:rPr>
              <w:t> </w:t>
            </w:r>
          </w:p>
        </w:tc>
        <w:tc>
          <w:tcPr>
            <w:tcW w:w="945" w:type="pct"/>
            <w:noWrap/>
            <w:vAlign w:val="center"/>
            <w:hideMark/>
          </w:tcPr>
          <w:p w14:paraId="4F7D3772" w14:textId="77777777" w:rsidR="00B77260" w:rsidRPr="00951AB1" w:rsidRDefault="00B77260" w:rsidP="000A5389">
            <w:pPr>
              <w:spacing w:line="240" w:lineRule="auto"/>
              <w:jc w:val="right"/>
              <w:rPr>
                <w:rFonts w:eastAsia="Times New Roman" w:cs="Times New Roman"/>
                <w:b/>
                <w:bCs/>
                <w:color w:val="000000"/>
                <w:kern w:val="0"/>
                <w:sz w:val="18"/>
                <w:szCs w:val="18"/>
                <w:lang w:eastAsia="es-CO"/>
                <w14:ligatures w14:val="none"/>
              </w:rPr>
            </w:pPr>
            <w:r w:rsidRPr="00951AB1">
              <w:rPr>
                <w:rFonts w:eastAsia="Times New Roman" w:cs="Times New Roman"/>
                <w:b/>
                <w:bCs/>
                <w:color w:val="000000"/>
                <w:kern w:val="0"/>
                <w:sz w:val="18"/>
                <w:szCs w:val="18"/>
                <w:lang w:eastAsia="es-CO"/>
                <w14:ligatures w14:val="none"/>
              </w:rPr>
              <w:t>539.050.089</w:t>
            </w:r>
          </w:p>
        </w:tc>
        <w:tc>
          <w:tcPr>
            <w:tcW w:w="845" w:type="pct"/>
            <w:noWrap/>
            <w:vAlign w:val="center"/>
            <w:hideMark/>
          </w:tcPr>
          <w:p w14:paraId="11C4EC0E" w14:textId="77777777" w:rsidR="00B77260" w:rsidRPr="00951AB1" w:rsidRDefault="00B77260"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0</w:t>
            </w:r>
          </w:p>
        </w:tc>
      </w:tr>
      <w:tr w:rsidR="005A73C0" w:rsidRPr="00951AB1" w14:paraId="701C9C3E" w14:textId="77777777" w:rsidTr="004004C5">
        <w:trPr>
          <w:trHeight w:val="293"/>
        </w:trPr>
        <w:tc>
          <w:tcPr>
            <w:tcW w:w="2245" w:type="pct"/>
            <w:vAlign w:val="center"/>
            <w:hideMark/>
          </w:tcPr>
          <w:p w14:paraId="0C7B644A" w14:textId="77777777" w:rsidR="00B77260" w:rsidRPr="00951AB1" w:rsidRDefault="00B77260" w:rsidP="000A5389">
            <w:pPr>
              <w:spacing w:line="240" w:lineRule="auto"/>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Activos intangibles en concesión</w:t>
            </w:r>
          </w:p>
        </w:tc>
        <w:tc>
          <w:tcPr>
            <w:tcW w:w="965" w:type="pct"/>
            <w:noWrap/>
            <w:vAlign w:val="center"/>
            <w:hideMark/>
          </w:tcPr>
          <w:p w14:paraId="74C31BBC" w14:textId="77777777" w:rsidR="00B77260" w:rsidRPr="00951AB1" w:rsidRDefault="00B77260" w:rsidP="000A5389">
            <w:pPr>
              <w:spacing w:line="240" w:lineRule="auto"/>
              <w:rPr>
                <w:rFonts w:eastAsia="Times New Roman" w:cs="Times New Roman"/>
                <w:color w:val="000000"/>
                <w:kern w:val="0"/>
                <w:lang w:eastAsia="es-CO"/>
                <w14:ligatures w14:val="none"/>
              </w:rPr>
            </w:pPr>
            <w:r w:rsidRPr="00951AB1">
              <w:rPr>
                <w:rFonts w:eastAsia="Times New Roman" w:cs="Times New Roman"/>
                <w:color w:val="000000"/>
                <w:kern w:val="0"/>
                <w:lang w:eastAsia="es-CO"/>
                <w14:ligatures w14:val="none"/>
              </w:rPr>
              <w:t> </w:t>
            </w:r>
          </w:p>
        </w:tc>
        <w:tc>
          <w:tcPr>
            <w:tcW w:w="945" w:type="pct"/>
            <w:noWrap/>
            <w:vAlign w:val="center"/>
            <w:hideMark/>
          </w:tcPr>
          <w:p w14:paraId="7C0BE59E" w14:textId="77777777" w:rsidR="00B77260" w:rsidRPr="00951AB1" w:rsidRDefault="00B77260"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539.050.089</w:t>
            </w:r>
          </w:p>
        </w:tc>
        <w:tc>
          <w:tcPr>
            <w:tcW w:w="845" w:type="pct"/>
            <w:noWrap/>
            <w:vAlign w:val="center"/>
            <w:hideMark/>
          </w:tcPr>
          <w:p w14:paraId="6F74D502" w14:textId="77777777" w:rsidR="00B77260" w:rsidRPr="00951AB1" w:rsidRDefault="00B77260"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0</w:t>
            </w:r>
          </w:p>
        </w:tc>
      </w:tr>
      <w:tr w:rsidR="005A73C0" w:rsidRPr="00951AB1" w14:paraId="290F3BFE" w14:textId="77777777" w:rsidTr="004004C5">
        <w:trPr>
          <w:trHeight w:val="458"/>
        </w:trPr>
        <w:tc>
          <w:tcPr>
            <w:tcW w:w="2245" w:type="pct"/>
            <w:vAlign w:val="center"/>
            <w:hideMark/>
          </w:tcPr>
          <w:p w14:paraId="14A2F3BB" w14:textId="77777777" w:rsidR="00B77260" w:rsidRPr="00951AB1" w:rsidRDefault="00B77260" w:rsidP="000A5389">
            <w:pPr>
              <w:spacing w:line="240" w:lineRule="auto"/>
              <w:rPr>
                <w:rFonts w:eastAsia="Times New Roman" w:cs="Times New Roman"/>
                <w:b/>
                <w:bCs/>
                <w:color w:val="000000"/>
                <w:kern w:val="0"/>
                <w:sz w:val="18"/>
                <w:szCs w:val="18"/>
                <w:lang w:eastAsia="es-CO"/>
                <w14:ligatures w14:val="none"/>
              </w:rPr>
            </w:pPr>
            <w:r w:rsidRPr="00951AB1">
              <w:rPr>
                <w:rFonts w:eastAsia="Times New Roman" w:cs="Times New Roman"/>
                <w:b/>
                <w:bCs/>
                <w:color w:val="000000"/>
                <w:kern w:val="0"/>
                <w:sz w:val="18"/>
                <w:szCs w:val="18"/>
                <w:lang w:eastAsia="es-CO"/>
                <w14:ligatures w14:val="none"/>
              </w:rPr>
              <w:t>SOCIEDAD PORTUARIA TERMINAL DE IFO'S S.A.</w:t>
            </w:r>
          </w:p>
        </w:tc>
        <w:tc>
          <w:tcPr>
            <w:tcW w:w="965" w:type="pct"/>
            <w:noWrap/>
            <w:vAlign w:val="center"/>
            <w:hideMark/>
          </w:tcPr>
          <w:p w14:paraId="4A6D147D" w14:textId="77777777" w:rsidR="00B77260" w:rsidRPr="00951AB1" w:rsidRDefault="00B77260" w:rsidP="000A5389">
            <w:pPr>
              <w:spacing w:line="240" w:lineRule="auto"/>
              <w:rPr>
                <w:rFonts w:eastAsia="Times New Roman" w:cs="Times New Roman"/>
                <w:color w:val="000000"/>
                <w:kern w:val="0"/>
                <w:lang w:eastAsia="es-CO"/>
                <w14:ligatures w14:val="none"/>
              </w:rPr>
            </w:pPr>
            <w:r w:rsidRPr="00951AB1">
              <w:rPr>
                <w:rFonts w:eastAsia="Times New Roman" w:cs="Times New Roman"/>
                <w:color w:val="000000"/>
                <w:kern w:val="0"/>
                <w:lang w:eastAsia="es-CO"/>
                <w14:ligatures w14:val="none"/>
              </w:rPr>
              <w:t> </w:t>
            </w:r>
          </w:p>
        </w:tc>
        <w:tc>
          <w:tcPr>
            <w:tcW w:w="945" w:type="pct"/>
            <w:noWrap/>
            <w:vAlign w:val="center"/>
            <w:hideMark/>
          </w:tcPr>
          <w:p w14:paraId="55B7EB28" w14:textId="77777777" w:rsidR="00B77260" w:rsidRPr="00951AB1" w:rsidRDefault="00B77260" w:rsidP="000A5389">
            <w:pPr>
              <w:spacing w:line="240" w:lineRule="auto"/>
              <w:jc w:val="right"/>
              <w:rPr>
                <w:rFonts w:eastAsia="Times New Roman" w:cs="Times New Roman"/>
                <w:b/>
                <w:bCs/>
                <w:color w:val="000000"/>
                <w:kern w:val="0"/>
                <w:sz w:val="18"/>
                <w:szCs w:val="18"/>
                <w:lang w:eastAsia="es-CO"/>
                <w14:ligatures w14:val="none"/>
              </w:rPr>
            </w:pPr>
            <w:r w:rsidRPr="00951AB1">
              <w:rPr>
                <w:rFonts w:eastAsia="Times New Roman" w:cs="Times New Roman"/>
                <w:b/>
                <w:bCs/>
                <w:color w:val="000000"/>
                <w:kern w:val="0"/>
                <w:sz w:val="18"/>
                <w:szCs w:val="18"/>
                <w:lang w:eastAsia="es-CO"/>
                <w14:ligatures w14:val="none"/>
              </w:rPr>
              <w:t>262.720.764</w:t>
            </w:r>
          </w:p>
        </w:tc>
        <w:tc>
          <w:tcPr>
            <w:tcW w:w="845" w:type="pct"/>
            <w:noWrap/>
            <w:vAlign w:val="center"/>
            <w:hideMark/>
          </w:tcPr>
          <w:p w14:paraId="0BC53F04" w14:textId="77777777" w:rsidR="00B77260" w:rsidRPr="00951AB1" w:rsidRDefault="00B77260"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0</w:t>
            </w:r>
          </w:p>
        </w:tc>
      </w:tr>
      <w:tr w:rsidR="005A73C0" w:rsidRPr="00951AB1" w14:paraId="11B23048" w14:textId="77777777" w:rsidTr="004004C5">
        <w:trPr>
          <w:trHeight w:val="293"/>
        </w:trPr>
        <w:tc>
          <w:tcPr>
            <w:tcW w:w="2245" w:type="pct"/>
            <w:vAlign w:val="center"/>
            <w:hideMark/>
          </w:tcPr>
          <w:p w14:paraId="487D5A50" w14:textId="77777777" w:rsidR="00B77260" w:rsidRPr="00951AB1" w:rsidRDefault="00B77260" w:rsidP="000A5389">
            <w:pPr>
              <w:spacing w:line="240" w:lineRule="auto"/>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Activos intangibles en concesión</w:t>
            </w:r>
          </w:p>
        </w:tc>
        <w:tc>
          <w:tcPr>
            <w:tcW w:w="965" w:type="pct"/>
            <w:noWrap/>
            <w:vAlign w:val="center"/>
            <w:hideMark/>
          </w:tcPr>
          <w:p w14:paraId="0BFE7D24" w14:textId="77777777" w:rsidR="00B77260" w:rsidRPr="00951AB1" w:rsidRDefault="00B77260" w:rsidP="000A5389">
            <w:pPr>
              <w:spacing w:line="240" w:lineRule="auto"/>
              <w:rPr>
                <w:rFonts w:eastAsia="Times New Roman" w:cs="Times New Roman"/>
                <w:color w:val="000000"/>
                <w:kern w:val="0"/>
                <w:lang w:eastAsia="es-CO"/>
                <w14:ligatures w14:val="none"/>
              </w:rPr>
            </w:pPr>
            <w:r w:rsidRPr="00951AB1">
              <w:rPr>
                <w:rFonts w:eastAsia="Times New Roman" w:cs="Times New Roman"/>
                <w:color w:val="000000"/>
                <w:kern w:val="0"/>
                <w:lang w:eastAsia="es-CO"/>
                <w14:ligatures w14:val="none"/>
              </w:rPr>
              <w:t> </w:t>
            </w:r>
          </w:p>
        </w:tc>
        <w:tc>
          <w:tcPr>
            <w:tcW w:w="945" w:type="pct"/>
            <w:noWrap/>
            <w:vAlign w:val="center"/>
            <w:hideMark/>
          </w:tcPr>
          <w:p w14:paraId="3D138BE5" w14:textId="77777777" w:rsidR="00B77260" w:rsidRPr="00951AB1" w:rsidRDefault="00B77260"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262.720.764</w:t>
            </w:r>
          </w:p>
        </w:tc>
        <w:tc>
          <w:tcPr>
            <w:tcW w:w="845" w:type="pct"/>
            <w:noWrap/>
            <w:vAlign w:val="center"/>
            <w:hideMark/>
          </w:tcPr>
          <w:p w14:paraId="31EAA469" w14:textId="77777777" w:rsidR="00B77260" w:rsidRPr="00951AB1" w:rsidRDefault="00B77260"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0</w:t>
            </w:r>
          </w:p>
        </w:tc>
      </w:tr>
    </w:tbl>
    <w:p w14:paraId="494B5F0C" w14:textId="77777777" w:rsidR="00FB049C" w:rsidRPr="00951AB1" w:rsidRDefault="00FB049C" w:rsidP="000A5389">
      <w:pPr>
        <w:spacing w:line="240" w:lineRule="auto"/>
        <w:rPr>
          <w:rFonts w:cs="Times New Roman"/>
          <w:sz w:val="16"/>
          <w:szCs w:val="16"/>
        </w:rPr>
      </w:pPr>
      <w:r w:rsidRPr="00951AB1">
        <w:rPr>
          <w:rFonts w:cs="Times New Roman"/>
          <w:sz w:val="16"/>
          <w:szCs w:val="16"/>
        </w:rPr>
        <w:t xml:space="preserve">Cifras expresadas en pesos </w:t>
      </w:r>
    </w:p>
    <w:p w14:paraId="6829256A" w14:textId="77777777" w:rsidR="003862EF" w:rsidRPr="00951AB1" w:rsidRDefault="003862EF" w:rsidP="000A5389">
      <w:pPr>
        <w:spacing w:line="240" w:lineRule="auto"/>
        <w:rPr>
          <w:rFonts w:cs="Times New Roman"/>
        </w:rPr>
      </w:pPr>
    </w:p>
    <w:p w14:paraId="53678EC7" w14:textId="77777777" w:rsidR="00BC7860" w:rsidRPr="00951AB1" w:rsidRDefault="00BC7860" w:rsidP="000A5389">
      <w:pPr>
        <w:spacing w:line="240" w:lineRule="auto"/>
        <w:rPr>
          <w:rFonts w:cs="Times New Roman"/>
        </w:rPr>
      </w:pPr>
    </w:p>
    <w:p w14:paraId="5464D55A" w14:textId="6E39797A" w:rsidR="003812F8" w:rsidRPr="00951AB1" w:rsidRDefault="003812F8" w:rsidP="000A5389">
      <w:pPr>
        <w:pStyle w:val="Ttulo3"/>
        <w:spacing w:line="240" w:lineRule="auto"/>
        <w:rPr>
          <w:rFonts w:eastAsia="Times New Roman" w:cs="Times New Roman"/>
          <w:color w:val="1F3864" w:themeColor="accent1" w:themeShade="80"/>
        </w:rPr>
      </w:pPr>
      <w:bookmarkStart w:id="1047" w:name="_Toc191369584"/>
      <w:bookmarkStart w:id="1048" w:name="_Toc191456911"/>
      <w:bookmarkStart w:id="1049" w:name="_Toc191457021"/>
      <w:bookmarkStart w:id="1050" w:name="_Toc191457131"/>
      <w:bookmarkStart w:id="1051" w:name="_Toc191475757"/>
      <w:bookmarkStart w:id="1052" w:name="_Toc191475866"/>
      <w:bookmarkStart w:id="1053" w:name="_Toc191475975"/>
      <w:bookmarkStart w:id="1054" w:name="_Toc191475498"/>
      <w:bookmarkStart w:id="1055" w:name="_Toc191505875"/>
      <w:bookmarkStart w:id="1056" w:name="_Toc222824288"/>
      <w:bookmarkStart w:id="1057" w:name="_Toc222955555"/>
      <w:r w:rsidRPr="00951AB1">
        <w:rPr>
          <w:rFonts w:eastAsia="Times New Roman" w:cs="Times New Roman"/>
          <w:color w:val="1F3864" w:themeColor="accent1" w:themeShade="80"/>
        </w:rPr>
        <w:t>33.1.3 Modo Férreo:</w:t>
      </w:r>
      <w:bookmarkEnd w:id="1047"/>
      <w:bookmarkEnd w:id="1048"/>
      <w:bookmarkEnd w:id="1049"/>
      <w:bookmarkEnd w:id="1050"/>
      <w:bookmarkEnd w:id="1051"/>
      <w:bookmarkEnd w:id="1052"/>
      <w:bookmarkEnd w:id="1053"/>
      <w:bookmarkEnd w:id="1054"/>
      <w:bookmarkEnd w:id="1055"/>
      <w:bookmarkEnd w:id="1056"/>
      <w:bookmarkEnd w:id="1057"/>
    </w:p>
    <w:p w14:paraId="3B59AED8" w14:textId="77777777" w:rsidR="003812F8" w:rsidRPr="00951AB1" w:rsidRDefault="003812F8" w:rsidP="000A5389">
      <w:pPr>
        <w:spacing w:line="240" w:lineRule="auto"/>
        <w:rPr>
          <w:rFonts w:eastAsia="Times New Roman" w:cs="Times New Roman"/>
          <w:color w:val="000000" w:themeColor="text1"/>
          <w:szCs w:val="24"/>
        </w:rPr>
      </w:pPr>
    </w:p>
    <w:p w14:paraId="7A956371" w14:textId="77777777" w:rsidR="003812F8" w:rsidRPr="00951AB1" w:rsidRDefault="003812F8" w:rsidP="000A5389">
      <w:pPr>
        <w:pStyle w:val="Ttulo2"/>
        <w:numPr>
          <w:ilvl w:val="0"/>
          <w:numId w:val="0"/>
        </w:numPr>
        <w:spacing w:line="240" w:lineRule="auto"/>
        <w:rPr>
          <w:rFonts w:eastAsia="Times New Roman" w:cs="Times New Roman"/>
          <w:szCs w:val="24"/>
        </w:rPr>
      </w:pPr>
      <w:bookmarkStart w:id="1058" w:name="_Toc191369585"/>
      <w:bookmarkStart w:id="1059" w:name="_Toc191456912"/>
      <w:bookmarkStart w:id="1060" w:name="_Toc191457022"/>
      <w:bookmarkStart w:id="1061" w:name="_Toc191457132"/>
      <w:bookmarkStart w:id="1062" w:name="_Toc191475758"/>
      <w:bookmarkStart w:id="1063" w:name="_Toc191475867"/>
      <w:bookmarkStart w:id="1064" w:name="_Toc191475976"/>
      <w:bookmarkStart w:id="1065" w:name="_Toc191475499"/>
      <w:bookmarkStart w:id="1066" w:name="_Toc191505876"/>
      <w:bookmarkStart w:id="1067" w:name="_Toc222824289"/>
      <w:bookmarkStart w:id="1068" w:name="_Toc222955556"/>
      <w:r w:rsidRPr="00951AB1">
        <w:rPr>
          <w:rFonts w:eastAsia="Times New Roman" w:cs="Times New Roman"/>
          <w:szCs w:val="24"/>
        </w:rPr>
        <w:t>Composición</w:t>
      </w:r>
      <w:bookmarkEnd w:id="1058"/>
      <w:bookmarkEnd w:id="1059"/>
      <w:bookmarkEnd w:id="1060"/>
      <w:bookmarkEnd w:id="1061"/>
      <w:bookmarkEnd w:id="1062"/>
      <w:bookmarkEnd w:id="1063"/>
      <w:bookmarkEnd w:id="1064"/>
      <w:bookmarkEnd w:id="1065"/>
      <w:bookmarkEnd w:id="1066"/>
      <w:bookmarkEnd w:id="1067"/>
      <w:bookmarkEnd w:id="1068"/>
    </w:p>
    <w:p w14:paraId="32727630" w14:textId="77777777" w:rsidR="00BC7860" w:rsidRPr="00951AB1" w:rsidRDefault="00BC7860" w:rsidP="000A5389">
      <w:pPr>
        <w:spacing w:line="240" w:lineRule="auto"/>
        <w:rPr>
          <w:rFonts w:cs="Times New Roma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534"/>
        <w:gridCol w:w="1836"/>
        <w:gridCol w:w="1743"/>
        <w:gridCol w:w="1715"/>
      </w:tblGrid>
      <w:tr w:rsidR="005A73C0" w:rsidRPr="00951AB1" w14:paraId="25A4D2EB" w14:textId="77777777" w:rsidTr="004004C5">
        <w:trPr>
          <w:trHeight w:val="285"/>
        </w:trPr>
        <w:tc>
          <w:tcPr>
            <w:tcW w:w="2002" w:type="pct"/>
            <w:vAlign w:val="center"/>
            <w:hideMark/>
          </w:tcPr>
          <w:p w14:paraId="407AD83F" w14:textId="77777777" w:rsidR="00AE3B94" w:rsidRPr="00951AB1" w:rsidRDefault="00AE3B94" w:rsidP="000A5389">
            <w:pPr>
              <w:spacing w:line="240" w:lineRule="auto"/>
              <w:jc w:val="center"/>
              <w:rPr>
                <w:rFonts w:eastAsia="Times New Roman" w:cs="Times New Roman"/>
                <w:b/>
                <w:bCs/>
                <w:color w:val="000000"/>
                <w:kern w:val="0"/>
                <w:sz w:val="18"/>
                <w:szCs w:val="18"/>
                <w:lang w:eastAsia="es-CO"/>
                <w14:ligatures w14:val="none"/>
              </w:rPr>
            </w:pPr>
            <w:r w:rsidRPr="00951AB1">
              <w:rPr>
                <w:rFonts w:eastAsia="Times New Roman" w:cs="Times New Roman"/>
                <w:b/>
                <w:bCs/>
                <w:color w:val="000000"/>
                <w:kern w:val="0"/>
                <w:sz w:val="18"/>
                <w:szCs w:val="18"/>
                <w:lang w:eastAsia="es-CO"/>
                <w14:ligatures w14:val="none"/>
              </w:rPr>
              <w:t>CONCEPTO / TERCERO</w:t>
            </w:r>
          </w:p>
        </w:tc>
        <w:tc>
          <w:tcPr>
            <w:tcW w:w="1040" w:type="pct"/>
            <w:noWrap/>
            <w:vAlign w:val="center"/>
            <w:hideMark/>
          </w:tcPr>
          <w:p w14:paraId="43C6D100" w14:textId="61A66A86" w:rsidR="00AE3B94" w:rsidRPr="00951AB1" w:rsidRDefault="00AE3B94" w:rsidP="000A5389">
            <w:pPr>
              <w:spacing w:line="240" w:lineRule="auto"/>
              <w:jc w:val="center"/>
              <w:rPr>
                <w:rFonts w:eastAsia="Times New Roman" w:cs="Times New Roman"/>
                <w:b/>
                <w:bCs/>
                <w:color w:val="000000"/>
                <w:kern w:val="0"/>
                <w:sz w:val="18"/>
                <w:szCs w:val="18"/>
                <w:lang w:eastAsia="es-CO"/>
                <w14:ligatures w14:val="none"/>
              </w:rPr>
            </w:pPr>
            <w:r w:rsidRPr="00951AB1">
              <w:rPr>
                <w:rFonts w:eastAsia="Times New Roman" w:cs="Times New Roman"/>
                <w:b/>
                <w:bCs/>
                <w:color w:val="000000"/>
                <w:kern w:val="0"/>
                <w:sz w:val="18"/>
                <w:szCs w:val="18"/>
                <w:lang w:eastAsia="es-CO"/>
                <w14:ligatures w14:val="none"/>
              </w:rPr>
              <w:t>SALDO 2025</w:t>
            </w:r>
          </w:p>
        </w:tc>
        <w:tc>
          <w:tcPr>
            <w:tcW w:w="987" w:type="pct"/>
            <w:noWrap/>
            <w:vAlign w:val="center"/>
            <w:hideMark/>
          </w:tcPr>
          <w:p w14:paraId="3D4CC292" w14:textId="79059C96" w:rsidR="00AE3B94" w:rsidRPr="00951AB1" w:rsidRDefault="00AE3B94" w:rsidP="000A5389">
            <w:pPr>
              <w:spacing w:line="240" w:lineRule="auto"/>
              <w:jc w:val="center"/>
              <w:rPr>
                <w:rFonts w:eastAsia="Times New Roman" w:cs="Times New Roman"/>
                <w:b/>
                <w:bCs/>
                <w:color w:val="000000"/>
                <w:kern w:val="0"/>
                <w:sz w:val="18"/>
                <w:szCs w:val="18"/>
                <w:lang w:eastAsia="es-CO"/>
                <w14:ligatures w14:val="none"/>
              </w:rPr>
            </w:pPr>
            <w:r w:rsidRPr="00951AB1">
              <w:rPr>
                <w:rFonts w:eastAsia="Times New Roman" w:cs="Times New Roman"/>
                <w:b/>
                <w:bCs/>
                <w:color w:val="000000"/>
                <w:kern w:val="0"/>
                <w:sz w:val="18"/>
                <w:szCs w:val="18"/>
                <w:lang w:eastAsia="es-CO"/>
                <w14:ligatures w14:val="none"/>
              </w:rPr>
              <w:t>SALDO 2024</w:t>
            </w:r>
          </w:p>
        </w:tc>
        <w:tc>
          <w:tcPr>
            <w:tcW w:w="971" w:type="pct"/>
            <w:noWrap/>
            <w:vAlign w:val="center"/>
            <w:hideMark/>
          </w:tcPr>
          <w:p w14:paraId="44D11F26" w14:textId="480254B0" w:rsidR="00AE3B94" w:rsidRPr="00951AB1" w:rsidRDefault="00AE3B94" w:rsidP="000A5389">
            <w:pPr>
              <w:spacing w:line="240" w:lineRule="auto"/>
              <w:jc w:val="center"/>
              <w:rPr>
                <w:rFonts w:eastAsia="Times New Roman" w:cs="Times New Roman"/>
                <w:b/>
                <w:bCs/>
                <w:color w:val="000000"/>
                <w:kern w:val="0"/>
                <w:sz w:val="18"/>
                <w:szCs w:val="18"/>
                <w:lang w:eastAsia="es-CO"/>
                <w14:ligatures w14:val="none"/>
              </w:rPr>
            </w:pPr>
            <w:r w:rsidRPr="00951AB1">
              <w:rPr>
                <w:rFonts w:eastAsia="Times New Roman" w:cs="Times New Roman"/>
                <w:b/>
                <w:bCs/>
                <w:color w:val="000000"/>
                <w:kern w:val="0"/>
                <w:sz w:val="18"/>
                <w:szCs w:val="18"/>
                <w:lang w:eastAsia="es-CO"/>
                <w14:ligatures w14:val="none"/>
              </w:rPr>
              <w:t>VARIACIÓN</w:t>
            </w:r>
          </w:p>
        </w:tc>
      </w:tr>
      <w:tr w:rsidR="005A73C0" w:rsidRPr="00951AB1" w14:paraId="369B556D" w14:textId="77777777" w:rsidTr="004004C5">
        <w:trPr>
          <w:trHeight w:val="570"/>
        </w:trPr>
        <w:tc>
          <w:tcPr>
            <w:tcW w:w="2002" w:type="pct"/>
            <w:vAlign w:val="center"/>
            <w:hideMark/>
          </w:tcPr>
          <w:p w14:paraId="3F3C3A3E" w14:textId="32DABE60" w:rsidR="00AE3B94" w:rsidRPr="00951AB1" w:rsidRDefault="00AE3B94" w:rsidP="000A5389">
            <w:pPr>
              <w:spacing w:line="240" w:lineRule="auto"/>
              <w:rPr>
                <w:rFonts w:eastAsia="Times New Roman" w:cs="Times New Roman"/>
                <w:b/>
                <w:bCs/>
                <w:color w:val="000000"/>
                <w:kern w:val="0"/>
                <w:sz w:val="18"/>
                <w:szCs w:val="18"/>
                <w:lang w:eastAsia="es-CO"/>
                <w14:ligatures w14:val="none"/>
              </w:rPr>
            </w:pPr>
            <w:r w:rsidRPr="00951AB1">
              <w:rPr>
                <w:rFonts w:eastAsia="Times New Roman" w:cs="Times New Roman"/>
                <w:b/>
                <w:bCs/>
                <w:color w:val="000000"/>
                <w:kern w:val="0"/>
                <w:sz w:val="18"/>
                <w:szCs w:val="18"/>
                <w:lang w:eastAsia="es-CO"/>
                <w14:ligatures w14:val="none"/>
              </w:rPr>
              <w:t>FERROCARRILES DEL NORTE DE COLOMBIA S. A</w:t>
            </w:r>
          </w:p>
        </w:tc>
        <w:tc>
          <w:tcPr>
            <w:tcW w:w="1040" w:type="pct"/>
            <w:noWrap/>
            <w:vAlign w:val="center"/>
            <w:hideMark/>
          </w:tcPr>
          <w:p w14:paraId="04933132" w14:textId="29EFED1C" w:rsidR="00AE3B94" w:rsidRPr="00951AB1" w:rsidRDefault="00AE3B94" w:rsidP="000A5389">
            <w:pPr>
              <w:spacing w:line="240" w:lineRule="auto"/>
              <w:jc w:val="right"/>
              <w:rPr>
                <w:rFonts w:eastAsia="Times New Roman" w:cs="Times New Roman"/>
                <w:b/>
                <w:bCs/>
                <w:color w:val="000000"/>
                <w:kern w:val="0"/>
                <w:sz w:val="18"/>
                <w:szCs w:val="18"/>
                <w:lang w:eastAsia="es-CO"/>
                <w14:ligatures w14:val="none"/>
              </w:rPr>
            </w:pPr>
            <w:r w:rsidRPr="00951AB1">
              <w:rPr>
                <w:rFonts w:eastAsia="Times New Roman" w:cs="Times New Roman"/>
                <w:b/>
                <w:bCs/>
                <w:color w:val="000000"/>
                <w:kern w:val="0"/>
                <w:sz w:val="18"/>
                <w:szCs w:val="18"/>
                <w:lang w:eastAsia="es-CO"/>
                <w14:ligatures w14:val="none"/>
              </w:rPr>
              <w:t>1.220.137.827.878,35</w:t>
            </w:r>
          </w:p>
        </w:tc>
        <w:tc>
          <w:tcPr>
            <w:tcW w:w="987" w:type="pct"/>
            <w:noWrap/>
            <w:vAlign w:val="center"/>
            <w:hideMark/>
          </w:tcPr>
          <w:p w14:paraId="1DD30862" w14:textId="171C6D82" w:rsidR="00AE3B94" w:rsidRPr="00951AB1" w:rsidRDefault="00AE3B94" w:rsidP="000A5389">
            <w:pPr>
              <w:spacing w:line="240" w:lineRule="auto"/>
              <w:jc w:val="right"/>
              <w:rPr>
                <w:rFonts w:eastAsia="Times New Roman" w:cs="Times New Roman"/>
                <w:b/>
                <w:bCs/>
                <w:color w:val="000000"/>
                <w:kern w:val="0"/>
                <w:sz w:val="18"/>
                <w:szCs w:val="18"/>
                <w:lang w:eastAsia="es-CO"/>
                <w14:ligatures w14:val="none"/>
              </w:rPr>
            </w:pPr>
            <w:r w:rsidRPr="00951AB1">
              <w:rPr>
                <w:rFonts w:eastAsia="Times New Roman" w:cs="Times New Roman"/>
                <w:b/>
                <w:bCs/>
                <w:color w:val="000000"/>
                <w:kern w:val="0"/>
                <w:sz w:val="18"/>
                <w:szCs w:val="18"/>
                <w:lang w:eastAsia="es-CO"/>
                <w14:ligatures w14:val="none"/>
              </w:rPr>
              <w:t>1.141.326.972.133,35</w:t>
            </w:r>
          </w:p>
        </w:tc>
        <w:tc>
          <w:tcPr>
            <w:tcW w:w="971" w:type="pct"/>
            <w:noWrap/>
            <w:vAlign w:val="center"/>
            <w:hideMark/>
          </w:tcPr>
          <w:p w14:paraId="43F55A70" w14:textId="5E8B8973" w:rsidR="00AE3B94" w:rsidRPr="00951AB1" w:rsidRDefault="00AE3B94" w:rsidP="000A5389">
            <w:pPr>
              <w:spacing w:line="240" w:lineRule="auto"/>
              <w:jc w:val="right"/>
              <w:rPr>
                <w:rFonts w:eastAsia="Times New Roman" w:cs="Times New Roman"/>
                <w:b/>
                <w:bCs/>
                <w:color w:val="000000"/>
                <w:kern w:val="0"/>
                <w:sz w:val="18"/>
                <w:szCs w:val="18"/>
                <w:lang w:eastAsia="es-CO"/>
                <w14:ligatures w14:val="none"/>
              </w:rPr>
            </w:pPr>
            <w:r w:rsidRPr="00951AB1">
              <w:rPr>
                <w:rFonts w:eastAsia="Times New Roman" w:cs="Times New Roman"/>
                <w:b/>
                <w:bCs/>
                <w:color w:val="000000"/>
                <w:kern w:val="0"/>
                <w:sz w:val="18"/>
                <w:szCs w:val="18"/>
                <w:lang w:eastAsia="es-CO"/>
                <w14:ligatures w14:val="none"/>
              </w:rPr>
              <w:t>2.361.464.800.011,70</w:t>
            </w:r>
          </w:p>
        </w:tc>
      </w:tr>
      <w:tr w:rsidR="005A73C0" w:rsidRPr="00951AB1" w14:paraId="1EF16409" w14:textId="77777777" w:rsidTr="004004C5">
        <w:trPr>
          <w:trHeight w:val="285"/>
        </w:trPr>
        <w:tc>
          <w:tcPr>
            <w:tcW w:w="2002" w:type="pct"/>
            <w:vAlign w:val="center"/>
            <w:hideMark/>
          </w:tcPr>
          <w:p w14:paraId="00290F2B" w14:textId="77777777" w:rsidR="00AE3B94" w:rsidRPr="00951AB1" w:rsidRDefault="00AE3B94" w:rsidP="000A5389">
            <w:pPr>
              <w:spacing w:line="240" w:lineRule="auto"/>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lastRenderedPageBreak/>
              <w:t>Activos intangibles en concesión</w:t>
            </w:r>
          </w:p>
        </w:tc>
        <w:tc>
          <w:tcPr>
            <w:tcW w:w="1040" w:type="pct"/>
            <w:noWrap/>
            <w:vAlign w:val="center"/>
            <w:hideMark/>
          </w:tcPr>
          <w:p w14:paraId="42378C8F" w14:textId="4825AAE1" w:rsidR="00AE3B94" w:rsidRPr="00951AB1" w:rsidRDefault="00AE3B94"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78.755.655.745,00</w:t>
            </w:r>
          </w:p>
        </w:tc>
        <w:tc>
          <w:tcPr>
            <w:tcW w:w="987" w:type="pct"/>
            <w:noWrap/>
            <w:vAlign w:val="center"/>
            <w:hideMark/>
          </w:tcPr>
          <w:p w14:paraId="68181CAB" w14:textId="77777777" w:rsidR="00AE3B94" w:rsidRPr="00951AB1" w:rsidRDefault="00AE3B94" w:rsidP="000A5389">
            <w:pPr>
              <w:spacing w:line="240" w:lineRule="auto"/>
              <w:jc w:val="right"/>
              <w:rPr>
                <w:rFonts w:eastAsia="Times New Roman" w:cs="Times New Roman"/>
                <w:color w:val="000000"/>
                <w:kern w:val="0"/>
                <w:sz w:val="18"/>
                <w:szCs w:val="18"/>
                <w:lang w:eastAsia="es-CO"/>
                <w14:ligatures w14:val="none"/>
              </w:rPr>
            </w:pPr>
          </w:p>
        </w:tc>
        <w:tc>
          <w:tcPr>
            <w:tcW w:w="971" w:type="pct"/>
            <w:noWrap/>
            <w:vAlign w:val="center"/>
            <w:hideMark/>
          </w:tcPr>
          <w:p w14:paraId="0010C8BB" w14:textId="26BD165C" w:rsidR="00AE3B94" w:rsidRPr="00951AB1" w:rsidRDefault="00AE3B94"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78.755.655.745,00</w:t>
            </w:r>
          </w:p>
        </w:tc>
      </w:tr>
      <w:tr w:rsidR="005A73C0" w:rsidRPr="00951AB1" w14:paraId="62F669D7" w14:textId="77777777" w:rsidTr="004004C5">
        <w:trPr>
          <w:trHeight w:val="285"/>
        </w:trPr>
        <w:tc>
          <w:tcPr>
            <w:tcW w:w="2002" w:type="pct"/>
            <w:vAlign w:val="center"/>
            <w:hideMark/>
          </w:tcPr>
          <w:p w14:paraId="2D97664B" w14:textId="77777777" w:rsidR="00AE3B94" w:rsidRPr="00951AB1" w:rsidRDefault="00AE3B94" w:rsidP="000A5389">
            <w:pPr>
              <w:spacing w:line="240" w:lineRule="auto"/>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Propiedades, Plan y Equipo</w:t>
            </w:r>
          </w:p>
        </w:tc>
        <w:tc>
          <w:tcPr>
            <w:tcW w:w="1040" w:type="pct"/>
            <w:noWrap/>
            <w:vAlign w:val="center"/>
            <w:hideMark/>
          </w:tcPr>
          <w:p w14:paraId="243C1521" w14:textId="78E7C56B" w:rsidR="00AE3B94" w:rsidRPr="00951AB1" w:rsidRDefault="00AE3B94"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36.535.901.828,20</w:t>
            </w:r>
          </w:p>
        </w:tc>
        <w:tc>
          <w:tcPr>
            <w:tcW w:w="987" w:type="pct"/>
            <w:noWrap/>
            <w:vAlign w:val="center"/>
            <w:hideMark/>
          </w:tcPr>
          <w:p w14:paraId="30034A36" w14:textId="37324FDC" w:rsidR="00AE3B94" w:rsidRPr="00951AB1" w:rsidRDefault="00AE3B94"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36.535.901.828,20</w:t>
            </w:r>
          </w:p>
        </w:tc>
        <w:tc>
          <w:tcPr>
            <w:tcW w:w="971" w:type="pct"/>
            <w:noWrap/>
            <w:vAlign w:val="center"/>
            <w:hideMark/>
          </w:tcPr>
          <w:p w14:paraId="0942CE71" w14:textId="19ED69C8" w:rsidR="00AE3B94" w:rsidRPr="00951AB1" w:rsidRDefault="00AE3B94"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73.071.803.656,40</w:t>
            </w:r>
          </w:p>
        </w:tc>
      </w:tr>
      <w:tr w:rsidR="005A73C0" w:rsidRPr="00951AB1" w14:paraId="40837466" w14:textId="77777777" w:rsidTr="004004C5">
        <w:trPr>
          <w:trHeight w:val="285"/>
        </w:trPr>
        <w:tc>
          <w:tcPr>
            <w:tcW w:w="2002" w:type="pct"/>
            <w:vAlign w:val="center"/>
            <w:hideMark/>
          </w:tcPr>
          <w:p w14:paraId="22473E11" w14:textId="77777777" w:rsidR="00AE3B94" w:rsidRPr="00951AB1" w:rsidRDefault="00AE3B94" w:rsidP="000A5389">
            <w:pPr>
              <w:spacing w:line="240" w:lineRule="auto"/>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Red férrea</w:t>
            </w:r>
          </w:p>
        </w:tc>
        <w:tc>
          <w:tcPr>
            <w:tcW w:w="1040" w:type="pct"/>
            <w:noWrap/>
            <w:vAlign w:val="center"/>
            <w:hideMark/>
          </w:tcPr>
          <w:p w14:paraId="2224C74D" w14:textId="07BA41B1" w:rsidR="00AE3B94" w:rsidRPr="00951AB1" w:rsidRDefault="00AE3B94"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1.104.846.270.305,15</w:t>
            </w:r>
          </w:p>
        </w:tc>
        <w:tc>
          <w:tcPr>
            <w:tcW w:w="987" w:type="pct"/>
            <w:noWrap/>
            <w:vAlign w:val="center"/>
            <w:hideMark/>
          </w:tcPr>
          <w:p w14:paraId="77FEA67E" w14:textId="226B89F8" w:rsidR="00AE3B94" w:rsidRPr="00951AB1" w:rsidRDefault="00AE3B94"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1.104.791.070.305,15</w:t>
            </w:r>
          </w:p>
        </w:tc>
        <w:tc>
          <w:tcPr>
            <w:tcW w:w="971" w:type="pct"/>
            <w:noWrap/>
            <w:vAlign w:val="center"/>
            <w:hideMark/>
          </w:tcPr>
          <w:p w14:paraId="7F462196" w14:textId="2AA66DF7" w:rsidR="00AE3B94" w:rsidRPr="00951AB1" w:rsidRDefault="00AE3B94"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2.209.637.340.610,30</w:t>
            </w:r>
          </w:p>
        </w:tc>
      </w:tr>
      <w:tr w:rsidR="005A73C0" w:rsidRPr="00951AB1" w14:paraId="4501D448" w14:textId="77777777" w:rsidTr="004004C5">
        <w:trPr>
          <w:trHeight w:val="285"/>
        </w:trPr>
        <w:tc>
          <w:tcPr>
            <w:tcW w:w="2002" w:type="pct"/>
            <w:vAlign w:val="center"/>
            <w:hideMark/>
          </w:tcPr>
          <w:p w14:paraId="0E153F1B" w14:textId="77777777" w:rsidR="00AE3B94" w:rsidRPr="00951AB1" w:rsidRDefault="00AE3B94" w:rsidP="000A5389">
            <w:pPr>
              <w:spacing w:line="240" w:lineRule="auto"/>
              <w:rPr>
                <w:rFonts w:eastAsia="Times New Roman" w:cs="Times New Roman"/>
                <w:b/>
                <w:bCs/>
                <w:color w:val="000000"/>
                <w:kern w:val="0"/>
                <w:sz w:val="18"/>
                <w:szCs w:val="18"/>
                <w:lang w:eastAsia="es-CO"/>
                <w14:ligatures w14:val="none"/>
              </w:rPr>
            </w:pPr>
            <w:r w:rsidRPr="00951AB1">
              <w:rPr>
                <w:rFonts w:eastAsia="Times New Roman" w:cs="Times New Roman"/>
                <w:b/>
                <w:bCs/>
                <w:color w:val="000000"/>
                <w:kern w:val="0"/>
                <w:sz w:val="18"/>
                <w:szCs w:val="18"/>
                <w:lang w:eastAsia="es-CO"/>
                <w14:ligatures w14:val="none"/>
              </w:rPr>
              <w:t>AGENCIA NACIONAL DE INFRAESTRUCTURA</w:t>
            </w:r>
          </w:p>
        </w:tc>
        <w:tc>
          <w:tcPr>
            <w:tcW w:w="1040" w:type="pct"/>
            <w:noWrap/>
            <w:vAlign w:val="center"/>
            <w:hideMark/>
          </w:tcPr>
          <w:p w14:paraId="60229E50" w14:textId="77777777" w:rsidR="00AE3B94" w:rsidRPr="00951AB1" w:rsidRDefault="00AE3B94" w:rsidP="000A5389">
            <w:pPr>
              <w:spacing w:line="240" w:lineRule="auto"/>
              <w:jc w:val="right"/>
              <w:rPr>
                <w:rFonts w:eastAsia="Times New Roman" w:cs="Times New Roman"/>
                <w:b/>
                <w:bCs/>
                <w:color w:val="000000"/>
                <w:kern w:val="0"/>
                <w:sz w:val="18"/>
                <w:szCs w:val="18"/>
                <w:lang w:eastAsia="es-CO"/>
                <w14:ligatures w14:val="none"/>
              </w:rPr>
            </w:pPr>
          </w:p>
        </w:tc>
        <w:tc>
          <w:tcPr>
            <w:tcW w:w="987" w:type="pct"/>
            <w:noWrap/>
            <w:vAlign w:val="center"/>
            <w:hideMark/>
          </w:tcPr>
          <w:p w14:paraId="2B20430C" w14:textId="0AF21DE2" w:rsidR="00AE3B94" w:rsidRPr="00951AB1" w:rsidRDefault="00AE3B94" w:rsidP="000A5389">
            <w:pPr>
              <w:spacing w:line="240" w:lineRule="auto"/>
              <w:jc w:val="right"/>
              <w:rPr>
                <w:rFonts w:eastAsia="Times New Roman" w:cs="Times New Roman"/>
                <w:b/>
                <w:bCs/>
                <w:color w:val="000000"/>
                <w:kern w:val="0"/>
                <w:sz w:val="18"/>
                <w:szCs w:val="18"/>
                <w:lang w:eastAsia="es-CO"/>
                <w14:ligatures w14:val="none"/>
              </w:rPr>
            </w:pPr>
            <w:r w:rsidRPr="00951AB1">
              <w:rPr>
                <w:rFonts w:eastAsia="Times New Roman" w:cs="Times New Roman"/>
                <w:b/>
                <w:bCs/>
                <w:color w:val="000000"/>
                <w:kern w:val="0"/>
                <w:sz w:val="18"/>
                <w:szCs w:val="18"/>
                <w:lang w:eastAsia="es-CO"/>
                <w14:ligatures w14:val="none"/>
              </w:rPr>
              <w:t>60.087.464.038,22</w:t>
            </w:r>
          </w:p>
        </w:tc>
        <w:tc>
          <w:tcPr>
            <w:tcW w:w="971" w:type="pct"/>
            <w:noWrap/>
            <w:vAlign w:val="center"/>
            <w:hideMark/>
          </w:tcPr>
          <w:p w14:paraId="0FB8F0FD" w14:textId="10EC87E2" w:rsidR="00AE3B94" w:rsidRPr="00951AB1" w:rsidRDefault="00AE3B94" w:rsidP="000A5389">
            <w:pPr>
              <w:spacing w:line="240" w:lineRule="auto"/>
              <w:jc w:val="right"/>
              <w:rPr>
                <w:rFonts w:eastAsia="Times New Roman" w:cs="Times New Roman"/>
                <w:b/>
                <w:bCs/>
                <w:color w:val="000000"/>
                <w:kern w:val="0"/>
                <w:sz w:val="18"/>
                <w:szCs w:val="18"/>
                <w:lang w:eastAsia="es-CO"/>
                <w14:ligatures w14:val="none"/>
              </w:rPr>
            </w:pPr>
            <w:r w:rsidRPr="00951AB1">
              <w:rPr>
                <w:rFonts w:eastAsia="Times New Roman" w:cs="Times New Roman"/>
                <w:b/>
                <w:bCs/>
                <w:color w:val="000000"/>
                <w:kern w:val="0"/>
                <w:sz w:val="18"/>
                <w:szCs w:val="18"/>
                <w:lang w:eastAsia="es-CO"/>
                <w14:ligatures w14:val="none"/>
              </w:rPr>
              <w:t>60.087.464.038,22</w:t>
            </w:r>
          </w:p>
        </w:tc>
      </w:tr>
      <w:tr w:rsidR="005A73C0" w:rsidRPr="00951AB1" w14:paraId="422C42F1" w14:textId="77777777" w:rsidTr="004004C5">
        <w:trPr>
          <w:trHeight w:val="285"/>
        </w:trPr>
        <w:tc>
          <w:tcPr>
            <w:tcW w:w="2002" w:type="pct"/>
            <w:vAlign w:val="center"/>
            <w:hideMark/>
          </w:tcPr>
          <w:p w14:paraId="723994BC" w14:textId="77777777" w:rsidR="00AE3B94" w:rsidRPr="00951AB1" w:rsidRDefault="00AE3B94" w:rsidP="000A5389">
            <w:pPr>
              <w:spacing w:line="240" w:lineRule="auto"/>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Propiedades, Plan y Equipo</w:t>
            </w:r>
          </w:p>
        </w:tc>
        <w:tc>
          <w:tcPr>
            <w:tcW w:w="1040" w:type="pct"/>
            <w:noWrap/>
            <w:vAlign w:val="center"/>
            <w:hideMark/>
          </w:tcPr>
          <w:p w14:paraId="260BF48C" w14:textId="77777777" w:rsidR="00AE3B94" w:rsidRPr="00951AB1" w:rsidRDefault="00AE3B94" w:rsidP="000A5389">
            <w:pPr>
              <w:spacing w:line="240" w:lineRule="auto"/>
              <w:jc w:val="right"/>
              <w:rPr>
                <w:rFonts w:eastAsia="Times New Roman" w:cs="Times New Roman"/>
                <w:color w:val="000000"/>
                <w:kern w:val="0"/>
                <w:sz w:val="18"/>
                <w:szCs w:val="18"/>
                <w:lang w:eastAsia="es-CO"/>
                <w14:ligatures w14:val="none"/>
              </w:rPr>
            </w:pPr>
          </w:p>
        </w:tc>
        <w:tc>
          <w:tcPr>
            <w:tcW w:w="987" w:type="pct"/>
            <w:noWrap/>
            <w:vAlign w:val="center"/>
            <w:hideMark/>
          </w:tcPr>
          <w:p w14:paraId="33B16944" w14:textId="789B34C9" w:rsidR="00AE3B94" w:rsidRPr="00951AB1" w:rsidRDefault="00AE3B94"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60.087.464.038,22</w:t>
            </w:r>
          </w:p>
        </w:tc>
        <w:tc>
          <w:tcPr>
            <w:tcW w:w="971" w:type="pct"/>
            <w:noWrap/>
            <w:vAlign w:val="center"/>
            <w:hideMark/>
          </w:tcPr>
          <w:p w14:paraId="38201757" w14:textId="1FD2407D" w:rsidR="00AE3B94" w:rsidRPr="00951AB1" w:rsidRDefault="00AE3B94"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60.087.464.038,22</w:t>
            </w:r>
          </w:p>
        </w:tc>
      </w:tr>
      <w:tr w:rsidR="004004C5" w:rsidRPr="00951AB1" w14:paraId="0DBCB49E" w14:textId="77777777" w:rsidTr="004004C5">
        <w:trPr>
          <w:trHeight w:val="285"/>
        </w:trPr>
        <w:tc>
          <w:tcPr>
            <w:tcW w:w="2002" w:type="pct"/>
            <w:vAlign w:val="center"/>
            <w:hideMark/>
          </w:tcPr>
          <w:p w14:paraId="55EE8E3C" w14:textId="77777777" w:rsidR="004004C5" w:rsidRPr="00951AB1" w:rsidRDefault="004004C5" w:rsidP="000A5389">
            <w:pPr>
              <w:spacing w:line="240" w:lineRule="auto"/>
              <w:rPr>
                <w:rFonts w:eastAsia="Times New Roman" w:cs="Times New Roman"/>
                <w:b/>
                <w:bCs/>
                <w:color w:val="000000"/>
                <w:kern w:val="0"/>
                <w:sz w:val="18"/>
                <w:szCs w:val="18"/>
                <w:lang w:eastAsia="es-CO"/>
                <w14:ligatures w14:val="none"/>
              </w:rPr>
            </w:pPr>
            <w:r w:rsidRPr="00951AB1">
              <w:rPr>
                <w:rFonts w:eastAsia="Times New Roman" w:cs="Times New Roman"/>
                <w:b/>
                <w:bCs/>
                <w:color w:val="000000"/>
                <w:kern w:val="0"/>
                <w:sz w:val="18"/>
                <w:szCs w:val="18"/>
                <w:lang w:eastAsia="es-CO"/>
                <w14:ligatures w14:val="none"/>
              </w:rPr>
              <w:t>CONCESIÓN LINEA FÉRREA CENTRAL S.A.S.</w:t>
            </w:r>
          </w:p>
        </w:tc>
        <w:tc>
          <w:tcPr>
            <w:tcW w:w="1040" w:type="pct"/>
            <w:noWrap/>
            <w:vAlign w:val="center"/>
            <w:hideMark/>
          </w:tcPr>
          <w:p w14:paraId="3BD3841D" w14:textId="77777777" w:rsidR="004004C5" w:rsidRPr="00951AB1" w:rsidRDefault="004004C5" w:rsidP="000A5389">
            <w:pPr>
              <w:spacing w:line="240" w:lineRule="auto"/>
              <w:jc w:val="right"/>
              <w:rPr>
                <w:rFonts w:eastAsia="Times New Roman" w:cs="Times New Roman"/>
                <w:b/>
                <w:bCs/>
                <w:color w:val="000000"/>
                <w:kern w:val="0"/>
                <w:sz w:val="18"/>
                <w:szCs w:val="18"/>
                <w:lang w:eastAsia="es-CO"/>
                <w14:ligatures w14:val="none"/>
              </w:rPr>
            </w:pPr>
            <w:r w:rsidRPr="00951AB1">
              <w:rPr>
                <w:rFonts w:eastAsia="Times New Roman" w:cs="Times New Roman"/>
                <w:b/>
                <w:bCs/>
                <w:color w:val="000000"/>
                <w:kern w:val="0"/>
                <w:sz w:val="18"/>
                <w:szCs w:val="18"/>
                <w:lang w:eastAsia="es-CO"/>
                <w14:ligatures w14:val="none"/>
              </w:rPr>
              <w:t>1.033.642.936.417,34</w:t>
            </w:r>
          </w:p>
        </w:tc>
        <w:tc>
          <w:tcPr>
            <w:tcW w:w="987" w:type="pct"/>
            <w:noWrap/>
            <w:vAlign w:val="center"/>
            <w:hideMark/>
          </w:tcPr>
          <w:p w14:paraId="3C803117" w14:textId="77777777" w:rsidR="004004C5" w:rsidRPr="00951AB1" w:rsidRDefault="004004C5" w:rsidP="000A5389">
            <w:pPr>
              <w:spacing w:line="240" w:lineRule="auto"/>
              <w:jc w:val="right"/>
              <w:rPr>
                <w:rFonts w:eastAsia="Times New Roman" w:cs="Times New Roman"/>
                <w:b/>
                <w:bCs/>
                <w:color w:val="000000"/>
                <w:kern w:val="0"/>
                <w:sz w:val="18"/>
                <w:szCs w:val="18"/>
                <w:lang w:eastAsia="es-CO"/>
                <w14:ligatures w14:val="none"/>
              </w:rPr>
            </w:pPr>
          </w:p>
        </w:tc>
        <w:tc>
          <w:tcPr>
            <w:tcW w:w="971" w:type="pct"/>
            <w:noWrap/>
            <w:vAlign w:val="center"/>
            <w:hideMark/>
          </w:tcPr>
          <w:p w14:paraId="1CE8100E" w14:textId="77777777" w:rsidR="004004C5" w:rsidRPr="00951AB1" w:rsidRDefault="004004C5" w:rsidP="000A5389">
            <w:pPr>
              <w:spacing w:line="240" w:lineRule="auto"/>
              <w:jc w:val="right"/>
              <w:rPr>
                <w:rFonts w:eastAsia="Times New Roman" w:cs="Times New Roman"/>
                <w:b/>
                <w:bCs/>
                <w:color w:val="000000"/>
                <w:kern w:val="0"/>
                <w:sz w:val="18"/>
                <w:szCs w:val="18"/>
                <w:lang w:eastAsia="es-CO"/>
                <w14:ligatures w14:val="none"/>
              </w:rPr>
            </w:pPr>
            <w:r w:rsidRPr="00951AB1">
              <w:rPr>
                <w:rFonts w:eastAsia="Times New Roman" w:cs="Times New Roman"/>
                <w:b/>
                <w:bCs/>
                <w:color w:val="000000"/>
                <w:kern w:val="0"/>
                <w:sz w:val="18"/>
                <w:szCs w:val="18"/>
                <w:lang w:eastAsia="es-CO"/>
                <w14:ligatures w14:val="none"/>
              </w:rPr>
              <w:t>1.033.642.936.417,34</w:t>
            </w:r>
          </w:p>
        </w:tc>
      </w:tr>
      <w:tr w:rsidR="004004C5" w:rsidRPr="00951AB1" w14:paraId="5A0C8B49" w14:textId="77777777" w:rsidTr="004004C5">
        <w:trPr>
          <w:trHeight w:val="285"/>
        </w:trPr>
        <w:tc>
          <w:tcPr>
            <w:tcW w:w="2002" w:type="pct"/>
            <w:vAlign w:val="center"/>
            <w:hideMark/>
          </w:tcPr>
          <w:p w14:paraId="1B69C879" w14:textId="77777777" w:rsidR="004004C5" w:rsidRPr="00951AB1" w:rsidRDefault="004004C5" w:rsidP="000A5389">
            <w:pPr>
              <w:spacing w:line="240" w:lineRule="auto"/>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Propiedades, Plan y Equipo</w:t>
            </w:r>
          </w:p>
        </w:tc>
        <w:tc>
          <w:tcPr>
            <w:tcW w:w="1040" w:type="pct"/>
            <w:noWrap/>
            <w:vAlign w:val="center"/>
            <w:hideMark/>
          </w:tcPr>
          <w:p w14:paraId="443C90D7" w14:textId="77777777" w:rsidR="004004C5" w:rsidRPr="00951AB1" w:rsidRDefault="004004C5"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119.755.117.060,52</w:t>
            </w:r>
          </w:p>
        </w:tc>
        <w:tc>
          <w:tcPr>
            <w:tcW w:w="987" w:type="pct"/>
            <w:noWrap/>
            <w:vAlign w:val="center"/>
            <w:hideMark/>
          </w:tcPr>
          <w:p w14:paraId="628D5B80" w14:textId="77777777" w:rsidR="004004C5" w:rsidRPr="00951AB1" w:rsidRDefault="004004C5" w:rsidP="000A5389">
            <w:pPr>
              <w:spacing w:line="240" w:lineRule="auto"/>
              <w:jc w:val="right"/>
              <w:rPr>
                <w:rFonts w:eastAsia="Times New Roman" w:cs="Times New Roman"/>
                <w:color w:val="000000"/>
                <w:kern w:val="0"/>
                <w:sz w:val="18"/>
                <w:szCs w:val="18"/>
                <w:lang w:eastAsia="es-CO"/>
                <w14:ligatures w14:val="none"/>
              </w:rPr>
            </w:pPr>
          </w:p>
        </w:tc>
        <w:tc>
          <w:tcPr>
            <w:tcW w:w="971" w:type="pct"/>
            <w:noWrap/>
            <w:vAlign w:val="center"/>
            <w:hideMark/>
          </w:tcPr>
          <w:p w14:paraId="63FC1DB5" w14:textId="77777777" w:rsidR="004004C5" w:rsidRPr="00951AB1" w:rsidRDefault="004004C5"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119.755.117.060,52</w:t>
            </w:r>
          </w:p>
        </w:tc>
      </w:tr>
      <w:tr w:rsidR="004004C5" w:rsidRPr="00951AB1" w14:paraId="147ECCE0" w14:textId="77777777" w:rsidTr="004004C5">
        <w:trPr>
          <w:trHeight w:val="285"/>
        </w:trPr>
        <w:tc>
          <w:tcPr>
            <w:tcW w:w="2002" w:type="pct"/>
            <w:vAlign w:val="center"/>
            <w:hideMark/>
          </w:tcPr>
          <w:p w14:paraId="2E4843E4" w14:textId="77777777" w:rsidR="004004C5" w:rsidRPr="00951AB1" w:rsidRDefault="004004C5" w:rsidP="000A5389">
            <w:pPr>
              <w:spacing w:line="240" w:lineRule="auto"/>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Red férrea</w:t>
            </w:r>
          </w:p>
        </w:tc>
        <w:tc>
          <w:tcPr>
            <w:tcW w:w="1040" w:type="pct"/>
            <w:noWrap/>
            <w:vAlign w:val="center"/>
            <w:hideMark/>
          </w:tcPr>
          <w:p w14:paraId="25614989" w14:textId="77777777" w:rsidR="004004C5" w:rsidRPr="00951AB1" w:rsidRDefault="004004C5"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912.669.123.448,82</w:t>
            </w:r>
          </w:p>
        </w:tc>
        <w:tc>
          <w:tcPr>
            <w:tcW w:w="987" w:type="pct"/>
            <w:noWrap/>
            <w:vAlign w:val="center"/>
            <w:hideMark/>
          </w:tcPr>
          <w:p w14:paraId="204EE018" w14:textId="77777777" w:rsidR="004004C5" w:rsidRPr="00951AB1" w:rsidRDefault="004004C5" w:rsidP="000A5389">
            <w:pPr>
              <w:spacing w:line="240" w:lineRule="auto"/>
              <w:jc w:val="right"/>
              <w:rPr>
                <w:rFonts w:eastAsia="Times New Roman" w:cs="Times New Roman"/>
                <w:color w:val="000000"/>
                <w:kern w:val="0"/>
                <w:sz w:val="18"/>
                <w:szCs w:val="18"/>
                <w:lang w:eastAsia="es-CO"/>
                <w14:ligatures w14:val="none"/>
              </w:rPr>
            </w:pPr>
          </w:p>
        </w:tc>
        <w:tc>
          <w:tcPr>
            <w:tcW w:w="971" w:type="pct"/>
            <w:noWrap/>
            <w:vAlign w:val="center"/>
            <w:hideMark/>
          </w:tcPr>
          <w:p w14:paraId="0CF7AB99" w14:textId="77777777" w:rsidR="004004C5" w:rsidRPr="00951AB1" w:rsidRDefault="004004C5"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912.669.123.448,82</w:t>
            </w:r>
          </w:p>
        </w:tc>
      </w:tr>
      <w:tr w:rsidR="004004C5" w:rsidRPr="00951AB1" w14:paraId="213F780B" w14:textId="77777777" w:rsidTr="004004C5">
        <w:trPr>
          <w:trHeight w:val="285"/>
        </w:trPr>
        <w:tc>
          <w:tcPr>
            <w:tcW w:w="2002" w:type="pct"/>
            <w:vAlign w:val="center"/>
            <w:hideMark/>
          </w:tcPr>
          <w:p w14:paraId="5F865B01" w14:textId="77777777" w:rsidR="004004C5" w:rsidRPr="00951AB1" w:rsidRDefault="004004C5" w:rsidP="000A5389">
            <w:pPr>
              <w:spacing w:line="240" w:lineRule="auto"/>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Terrenos</w:t>
            </w:r>
          </w:p>
        </w:tc>
        <w:tc>
          <w:tcPr>
            <w:tcW w:w="1040" w:type="pct"/>
            <w:noWrap/>
            <w:vAlign w:val="center"/>
            <w:hideMark/>
          </w:tcPr>
          <w:p w14:paraId="405E26F4" w14:textId="77777777" w:rsidR="004004C5" w:rsidRPr="00951AB1" w:rsidRDefault="004004C5"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1.218.695.908,00</w:t>
            </w:r>
          </w:p>
        </w:tc>
        <w:tc>
          <w:tcPr>
            <w:tcW w:w="987" w:type="pct"/>
            <w:noWrap/>
            <w:vAlign w:val="center"/>
            <w:hideMark/>
          </w:tcPr>
          <w:p w14:paraId="77094690" w14:textId="77777777" w:rsidR="004004C5" w:rsidRPr="00951AB1" w:rsidRDefault="004004C5" w:rsidP="000A5389">
            <w:pPr>
              <w:spacing w:line="240" w:lineRule="auto"/>
              <w:jc w:val="right"/>
              <w:rPr>
                <w:rFonts w:eastAsia="Times New Roman" w:cs="Times New Roman"/>
                <w:color w:val="000000"/>
                <w:kern w:val="0"/>
                <w:sz w:val="18"/>
                <w:szCs w:val="18"/>
                <w:lang w:eastAsia="es-CO"/>
                <w14:ligatures w14:val="none"/>
              </w:rPr>
            </w:pPr>
          </w:p>
        </w:tc>
        <w:tc>
          <w:tcPr>
            <w:tcW w:w="971" w:type="pct"/>
            <w:noWrap/>
            <w:vAlign w:val="center"/>
            <w:hideMark/>
          </w:tcPr>
          <w:p w14:paraId="39E5000B" w14:textId="77777777" w:rsidR="004004C5" w:rsidRPr="00951AB1" w:rsidRDefault="004004C5"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1.218.695.908,00</w:t>
            </w:r>
          </w:p>
        </w:tc>
      </w:tr>
      <w:tr w:rsidR="005A73C0" w:rsidRPr="00951AB1" w14:paraId="79A12AED" w14:textId="77777777" w:rsidTr="004004C5">
        <w:trPr>
          <w:trHeight w:val="285"/>
        </w:trPr>
        <w:tc>
          <w:tcPr>
            <w:tcW w:w="2002" w:type="pct"/>
            <w:vAlign w:val="center"/>
            <w:hideMark/>
          </w:tcPr>
          <w:p w14:paraId="3710E554" w14:textId="77777777" w:rsidR="00AE3B94" w:rsidRPr="00951AB1" w:rsidRDefault="00AE3B94" w:rsidP="000A5389">
            <w:pPr>
              <w:spacing w:line="240" w:lineRule="auto"/>
              <w:rPr>
                <w:rFonts w:eastAsia="Times New Roman" w:cs="Times New Roman"/>
                <w:b/>
                <w:bCs/>
                <w:color w:val="000000"/>
                <w:kern w:val="0"/>
                <w:sz w:val="18"/>
                <w:szCs w:val="18"/>
                <w:lang w:eastAsia="es-CO"/>
                <w14:ligatures w14:val="none"/>
              </w:rPr>
            </w:pPr>
            <w:r w:rsidRPr="00951AB1">
              <w:rPr>
                <w:rFonts w:eastAsia="Times New Roman" w:cs="Times New Roman"/>
                <w:b/>
                <w:bCs/>
                <w:color w:val="000000"/>
                <w:kern w:val="0"/>
                <w:sz w:val="18"/>
                <w:szCs w:val="18"/>
                <w:lang w:eastAsia="es-CO"/>
                <w14:ligatures w14:val="none"/>
              </w:rPr>
              <w:t>FERROCARRIL DEL PACIFICO SAS</w:t>
            </w:r>
          </w:p>
        </w:tc>
        <w:tc>
          <w:tcPr>
            <w:tcW w:w="1040" w:type="pct"/>
            <w:noWrap/>
            <w:vAlign w:val="center"/>
            <w:hideMark/>
          </w:tcPr>
          <w:p w14:paraId="1E3A8FD3" w14:textId="3528FC45" w:rsidR="00AE3B94" w:rsidRPr="00951AB1" w:rsidRDefault="00AE3B94" w:rsidP="000A5389">
            <w:pPr>
              <w:spacing w:line="240" w:lineRule="auto"/>
              <w:jc w:val="right"/>
              <w:rPr>
                <w:rFonts w:eastAsia="Times New Roman" w:cs="Times New Roman"/>
                <w:b/>
                <w:bCs/>
                <w:color w:val="000000"/>
                <w:kern w:val="0"/>
                <w:sz w:val="18"/>
                <w:szCs w:val="18"/>
                <w:lang w:eastAsia="es-CO"/>
                <w14:ligatures w14:val="none"/>
              </w:rPr>
            </w:pPr>
            <w:r w:rsidRPr="00951AB1">
              <w:rPr>
                <w:rFonts w:eastAsia="Times New Roman" w:cs="Times New Roman"/>
                <w:b/>
                <w:bCs/>
                <w:color w:val="000000"/>
                <w:kern w:val="0"/>
                <w:sz w:val="18"/>
                <w:szCs w:val="18"/>
                <w:lang w:eastAsia="es-CO"/>
                <w14:ligatures w14:val="none"/>
              </w:rPr>
              <w:t>970.858.485.668,12</w:t>
            </w:r>
          </w:p>
        </w:tc>
        <w:tc>
          <w:tcPr>
            <w:tcW w:w="987" w:type="pct"/>
            <w:noWrap/>
            <w:vAlign w:val="center"/>
            <w:hideMark/>
          </w:tcPr>
          <w:p w14:paraId="47AC4FFE" w14:textId="7AEECA88" w:rsidR="00AE3B94" w:rsidRPr="00951AB1" w:rsidRDefault="00AE3B94" w:rsidP="000A5389">
            <w:pPr>
              <w:spacing w:line="240" w:lineRule="auto"/>
              <w:jc w:val="right"/>
              <w:rPr>
                <w:rFonts w:eastAsia="Times New Roman" w:cs="Times New Roman"/>
                <w:b/>
                <w:bCs/>
                <w:color w:val="000000"/>
                <w:kern w:val="0"/>
                <w:sz w:val="18"/>
                <w:szCs w:val="18"/>
                <w:lang w:eastAsia="es-CO"/>
                <w14:ligatures w14:val="none"/>
              </w:rPr>
            </w:pPr>
            <w:r w:rsidRPr="00951AB1">
              <w:rPr>
                <w:rFonts w:eastAsia="Times New Roman" w:cs="Times New Roman"/>
                <w:b/>
                <w:bCs/>
                <w:color w:val="000000"/>
                <w:kern w:val="0"/>
                <w:sz w:val="18"/>
                <w:szCs w:val="18"/>
                <w:lang w:eastAsia="es-CO"/>
                <w14:ligatures w14:val="none"/>
              </w:rPr>
              <w:t>970.838.865.026,12</w:t>
            </w:r>
          </w:p>
        </w:tc>
        <w:tc>
          <w:tcPr>
            <w:tcW w:w="971" w:type="pct"/>
            <w:noWrap/>
            <w:vAlign w:val="center"/>
            <w:hideMark/>
          </w:tcPr>
          <w:p w14:paraId="3885A1E9" w14:textId="2BC9497D" w:rsidR="00AE3B94" w:rsidRPr="00951AB1" w:rsidRDefault="00AE3B94" w:rsidP="000A5389">
            <w:pPr>
              <w:spacing w:line="240" w:lineRule="auto"/>
              <w:jc w:val="right"/>
              <w:rPr>
                <w:rFonts w:eastAsia="Times New Roman" w:cs="Times New Roman"/>
                <w:b/>
                <w:bCs/>
                <w:color w:val="000000"/>
                <w:kern w:val="0"/>
                <w:sz w:val="18"/>
                <w:szCs w:val="18"/>
                <w:lang w:eastAsia="es-CO"/>
                <w14:ligatures w14:val="none"/>
              </w:rPr>
            </w:pPr>
            <w:r w:rsidRPr="00951AB1">
              <w:rPr>
                <w:rFonts w:eastAsia="Times New Roman" w:cs="Times New Roman"/>
                <w:b/>
                <w:bCs/>
                <w:color w:val="000000"/>
                <w:kern w:val="0"/>
                <w:sz w:val="18"/>
                <w:szCs w:val="18"/>
                <w:lang w:eastAsia="es-CO"/>
                <w14:ligatures w14:val="none"/>
              </w:rPr>
              <w:t>1.941.697.350.694,24</w:t>
            </w:r>
          </w:p>
        </w:tc>
      </w:tr>
      <w:tr w:rsidR="005A73C0" w:rsidRPr="00951AB1" w14:paraId="451455AB" w14:textId="77777777" w:rsidTr="004004C5">
        <w:trPr>
          <w:trHeight w:val="285"/>
        </w:trPr>
        <w:tc>
          <w:tcPr>
            <w:tcW w:w="2002" w:type="pct"/>
            <w:vAlign w:val="center"/>
            <w:hideMark/>
          </w:tcPr>
          <w:p w14:paraId="36F8CAA6" w14:textId="77777777" w:rsidR="00AE3B94" w:rsidRPr="00951AB1" w:rsidRDefault="00AE3B94" w:rsidP="000A5389">
            <w:pPr>
              <w:spacing w:line="240" w:lineRule="auto"/>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Propiedades, Plan y Equipo</w:t>
            </w:r>
          </w:p>
        </w:tc>
        <w:tc>
          <w:tcPr>
            <w:tcW w:w="1040" w:type="pct"/>
            <w:noWrap/>
            <w:vAlign w:val="center"/>
            <w:hideMark/>
          </w:tcPr>
          <w:p w14:paraId="01830239" w14:textId="17C71109" w:rsidR="00AE3B94" w:rsidRPr="00951AB1" w:rsidRDefault="00AE3B94"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18.839.421.928,05</w:t>
            </w:r>
          </w:p>
        </w:tc>
        <w:tc>
          <w:tcPr>
            <w:tcW w:w="987" w:type="pct"/>
            <w:noWrap/>
            <w:vAlign w:val="center"/>
            <w:hideMark/>
          </w:tcPr>
          <w:p w14:paraId="19F8F5DD" w14:textId="7743481B" w:rsidR="00AE3B94" w:rsidRPr="00951AB1" w:rsidRDefault="00AE3B94"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18.839.421.928,05</w:t>
            </w:r>
          </w:p>
        </w:tc>
        <w:tc>
          <w:tcPr>
            <w:tcW w:w="971" w:type="pct"/>
            <w:noWrap/>
            <w:vAlign w:val="center"/>
            <w:hideMark/>
          </w:tcPr>
          <w:p w14:paraId="7EFCD8C1" w14:textId="47A79B83" w:rsidR="00AE3B94" w:rsidRPr="00951AB1" w:rsidRDefault="00AE3B94"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37.678.843.856,10</w:t>
            </w:r>
          </w:p>
        </w:tc>
      </w:tr>
      <w:tr w:rsidR="005A73C0" w:rsidRPr="00951AB1" w14:paraId="442EA378" w14:textId="77777777" w:rsidTr="004004C5">
        <w:trPr>
          <w:trHeight w:val="285"/>
        </w:trPr>
        <w:tc>
          <w:tcPr>
            <w:tcW w:w="2002" w:type="pct"/>
            <w:vAlign w:val="center"/>
            <w:hideMark/>
          </w:tcPr>
          <w:p w14:paraId="3827526B" w14:textId="77777777" w:rsidR="00AE3B94" w:rsidRPr="00951AB1" w:rsidRDefault="00AE3B94" w:rsidP="000A5389">
            <w:pPr>
              <w:spacing w:line="240" w:lineRule="auto"/>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Red férrea</w:t>
            </w:r>
          </w:p>
        </w:tc>
        <w:tc>
          <w:tcPr>
            <w:tcW w:w="1040" w:type="pct"/>
            <w:noWrap/>
            <w:vAlign w:val="center"/>
            <w:hideMark/>
          </w:tcPr>
          <w:p w14:paraId="5791AFC8" w14:textId="02DBA093" w:rsidR="00AE3B94" w:rsidRPr="00951AB1" w:rsidRDefault="00AE3B94"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939.245.765.719,66</w:t>
            </w:r>
          </w:p>
        </w:tc>
        <w:tc>
          <w:tcPr>
            <w:tcW w:w="987" w:type="pct"/>
            <w:noWrap/>
            <w:vAlign w:val="center"/>
            <w:hideMark/>
          </w:tcPr>
          <w:p w14:paraId="0B116E7D" w14:textId="6C8D7BF3" w:rsidR="00AE3B94" w:rsidRPr="00951AB1" w:rsidRDefault="00AE3B94"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939.226.145.077,66</w:t>
            </w:r>
          </w:p>
        </w:tc>
        <w:tc>
          <w:tcPr>
            <w:tcW w:w="971" w:type="pct"/>
            <w:noWrap/>
            <w:vAlign w:val="center"/>
            <w:hideMark/>
          </w:tcPr>
          <w:p w14:paraId="36C87B4A" w14:textId="4B43B1BB" w:rsidR="00AE3B94" w:rsidRPr="00951AB1" w:rsidRDefault="00AE3B94"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1.878.471.910.797,32</w:t>
            </w:r>
          </w:p>
        </w:tc>
      </w:tr>
      <w:tr w:rsidR="005A73C0" w:rsidRPr="00951AB1" w14:paraId="6688C098" w14:textId="77777777" w:rsidTr="004004C5">
        <w:trPr>
          <w:trHeight w:val="285"/>
        </w:trPr>
        <w:tc>
          <w:tcPr>
            <w:tcW w:w="2002" w:type="pct"/>
            <w:vAlign w:val="center"/>
            <w:hideMark/>
          </w:tcPr>
          <w:p w14:paraId="4C42076A" w14:textId="77777777" w:rsidR="00AE3B94" w:rsidRPr="00951AB1" w:rsidRDefault="00AE3B94" w:rsidP="000A5389">
            <w:pPr>
              <w:spacing w:line="240" w:lineRule="auto"/>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Terrenos</w:t>
            </w:r>
          </w:p>
        </w:tc>
        <w:tc>
          <w:tcPr>
            <w:tcW w:w="1040" w:type="pct"/>
            <w:noWrap/>
            <w:vAlign w:val="center"/>
            <w:hideMark/>
          </w:tcPr>
          <w:p w14:paraId="1C2338AA" w14:textId="1DB42323" w:rsidR="00AE3B94" w:rsidRPr="00951AB1" w:rsidRDefault="00AE3B94"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12.773.298.020,41</w:t>
            </w:r>
          </w:p>
        </w:tc>
        <w:tc>
          <w:tcPr>
            <w:tcW w:w="987" w:type="pct"/>
            <w:noWrap/>
            <w:vAlign w:val="center"/>
            <w:hideMark/>
          </w:tcPr>
          <w:p w14:paraId="0E418C5B" w14:textId="630D692A" w:rsidR="00AE3B94" w:rsidRPr="00951AB1" w:rsidRDefault="00AE3B94"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12.773.298.020,41</w:t>
            </w:r>
          </w:p>
        </w:tc>
        <w:tc>
          <w:tcPr>
            <w:tcW w:w="971" w:type="pct"/>
            <w:noWrap/>
            <w:vAlign w:val="center"/>
            <w:hideMark/>
          </w:tcPr>
          <w:p w14:paraId="03B23430" w14:textId="513A7835" w:rsidR="00AE3B94" w:rsidRPr="00951AB1" w:rsidRDefault="00AE3B94"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25.546.596.040,82</w:t>
            </w:r>
          </w:p>
        </w:tc>
      </w:tr>
      <w:tr w:rsidR="005A73C0" w:rsidRPr="00951AB1" w14:paraId="5241AAE4" w14:textId="77777777" w:rsidTr="004004C5">
        <w:trPr>
          <w:trHeight w:val="855"/>
        </w:trPr>
        <w:tc>
          <w:tcPr>
            <w:tcW w:w="2002" w:type="pct"/>
            <w:vAlign w:val="center"/>
            <w:hideMark/>
          </w:tcPr>
          <w:p w14:paraId="27517909" w14:textId="77777777" w:rsidR="00AE3B94" w:rsidRPr="00951AB1" w:rsidRDefault="00AE3B94" w:rsidP="000A5389">
            <w:pPr>
              <w:spacing w:line="240" w:lineRule="auto"/>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Recursos de la entidad concedente en patrimonios autónomos constituidos por concesionarios privados</w:t>
            </w:r>
          </w:p>
        </w:tc>
        <w:tc>
          <w:tcPr>
            <w:tcW w:w="1040" w:type="pct"/>
            <w:noWrap/>
            <w:vAlign w:val="center"/>
            <w:hideMark/>
          </w:tcPr>
          <w:p w14:paraId="7B9D24BC" w14:textId="62FAF2D8" w:rsidR="00AE3B94" w:rsidRPr="00951AB1" w:rsidRDefault="00AE3B94"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6.461.034.373,00</w:t>
            </w:r>
          </w:p>
        </w:tc>
        <w:tc>
          <w:tcPr>
            <w:tcW w:w="987" w:type="pct"/>
            <w:noWrap/>
            <w:vAlign w:val="center"/>
            <w:hideMark/>
          </w:tcPr>
          <w:p w14:paraId="569731AA" w14:textId="7A4E99DE" w:rsidR="00AE3B94" w:rsidRPr="00951AB1" w:rsidRDefault="00AE3B94"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8.404.808.400,10</w:t>
            </w:r>
          </w:p>
        </w:tc>
        <w:tc>
          <w:tcPr>
            <w:tcW w:w="971" w:type="pct"/>
            <w:noWrap/>
            <w:vAlign w:val="center"/>
            <w:hideMark/>
          </w:tcPr>
          <w:p w14:paraId="015919DC" w14:textId="54CF7B4A" w:rsidR="00AE3B94" w:rsidRPr="00951AB1" w:rsidRDefault="00AE3B94"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14.865.842.773,10</w:t>
            </w:r>
          </w:p>
        </w:tc>
      </w:tr>
      <w:tr w:rsidR="005A73C0" w:rsidRPr="00951AB1" w14:paraId="7F9F41E2" w14:textId="77777777" w:rsidTr="004004C5">
        <w:trPr>
          <w:trHeight w:val="570"/>
        </w:trPr>
        <w:tc>
          <w:tcPr>
            <w:tcW w:w="2002" w:type="pct"/>
            <w:vAlign w:val="center"/>
            <w:hideMark/>
          </w:tcPr>
          <w:p w14:paraId="103E0145" w14:textId="766B275D" w:rsidR="00AE3B94" w:rsidRPr="00951AB1" w:rsidRDefault="00AE3B94" w:rsidP="000A5389">
            <w:pPr>
              <w:spacing w:line="240" w:lineRule="auto"/>
              <w:rPr>
                <w:rFonts w:eastAsia="Times New Roman" w:cs="Times New Roman"/>
                <w:b/>
                <w:bCs/>
                <w:color w:val="000000"/>
                <w:kern w:val="0"/>
                <w:sz w:val="18"/>
                <w:szCs w:val="18"/>
                <w:lang w:eastAsia="es-CO"/>
                <w14:ligatures w14:val="none"/>
              </w:rPr>
            </w:pPr>
            <w:r w:rsidRPr="00951AB1">
              <w:rPr>
                <w:rFonts w:eastAsia="Times New Roman" w:cs="Times New Roman"/>
                <w:b/>
                <w:bCs/>
                <w:color w:val="000000"/>
                <w:kern w:val="0"/>
                <w:sz w:val="18"/>
                <w:szCs w:val="18"/>
                <w:lang w:eastAsia="es-CO"/>
                <w14:ligatures w14:val="none"/>
              </w:rPr>
              <w:t>FERROCARRILES DEL NORTE DE COLOMBIA S. A</w:t>
            </w:r>
          </w:p>
        </w:tc>
        <w:tc>
          <w:tcPr>
            <w:tcW w:w="1040" w:type="pct"/>
            <w:noWrap/>
            <w:vAlign w:val="center"/>
            <w:hideMark/>
          </w:tcPr>
          <w:p w14:paraId="35C37C73" w14:textId="77777777" w:rsidR="00AE3B94" w:rsidRPr="00951AB1" w:rsidRDefault="00AE3B94" w:rsidP="000A5389">
            <w:pPr>
              <w:spacing w:line="240" w:lineRule="auto"/>
              <w:jc w:val="right"/>
              <w:rPr>
                <w:rFonts w:eastAsia="Times New Roman" w:cs="Times New Roman"/>
                <w:b/>
                <w:bCs/>
                <w:color w:val="000000"/>
                <w:kern w:val="0"/>
                <w:sz w:val="18"/>
                <w:szCs w:val="18"/>
                <w:lang w:eastAsia="es-CO"/>
                <w14:ligatures w14:val="none"/>
              </w:rPr>
            </w:pPr>
          </w:p>
        </w:tc>
        <w:tc>
          <w:tcPr>
            <w:tcW w:w="987" w:type="pct"/>
            <w:noWrap/>
            <w:vAlign w:val="center"/>
            <w:hideMark/>
          </w:tcPr>
          <w:p w14:paraId="278A0D16" w14:textId="424FC638" w:rsidR="00AE3B94" w:rsidRPr="00951AB1" w:rsidRDefault="00AE3B94" w:rsidP="000A5389">
            <w:pPr>
              <w:spacing w:line="240" w:lineRule="auto"/>
              <w:jc w:val="right"/>
              <w:rPr>
                <w:rFonts w:eastAsia="Times New Roman" w:cs="Times New Roman"/>
                <w:b/>
                <w:bCs/>
                <w:color w:val="000000"/>
                <w:kern w:val="0"/>
                <w:sz w:val="18"/>
                <w:szCs w:val="18"/>
                <w:lang w:eastAsia="es-CO"/>
                <w14:ligatures w14:val="none"/>
              </w:rPr>
            </w:pPr>
            <w:r w:rsidRPr="00951AB1">
              <w:rPr>
                <w:rFonts w:eastAsia="Times New Roman" w:cs="Times New Roman"/>
                <w:b/>
                <w:bCs/>
                <w:color w:val="000000"/>
                <w:kern w:val="0"/>
                <w:sz w:val="18"/>
                <w:szCs w:val="18"/>
                <w:lang w:eastAsia="es-CO"/>
                <w14:ligatures w14:val="none"/>
              </w:rPr>
              <w:t>89.293.443.000,00</w:t>
            </w:r>
          </w:p>
        </w:tc>
        <w:tc>
          <w:tcPr>
            <w:tcW w:w="971" w:type="pct"/>
            <w:noWrap/>
            <w:vAlign w:val="center"/>
            <w:hideMark/>
          </w:tcPr>
          <w:p w14:paraId="7624DF81" w14:textId="4888487F" w:rsidR="00AE3B94" w:rsidRPr="00951AB1" w:rsidRDefault="00AE3B94" w:rsidP="000A5389">
            <w:pPr>
              <w:spacing w:line="240" w:lineRule="auto"/>
              <w:jc w:val="right"/>
              <w:rPr>
                <w:rFonts w:eastAsia="Times New Roman" w:cs="Times New Roman"/>
                <w:b/>
                <w:bCs/>
                <w:color w:val="000000"/>
                <w:kern w:val="0"/>
                <w:sz w:val="18"/>
                <w:szCs w:val="18"/>
                <w:lang w:eastAsia="es-CO"/>
                <w14:ligatures w14:val="none"/>
              </w:rPr>
            </w:pPr>
            <w:r w:rsidRPr="00951AB1">
              <w:rPr>
                <w:rFonts w:eastAsia="Times New Roman" w:cs="Times New Roman"/>
                <w:b/>
                <w:bCs/>
                <w:color w:val="000000"/>
                <w:kern w:val="0"/>
                <w:sz w:val="18"/>
                <w:szCs w:val="18"/>
                <w:lang w:eastAsia="es-CO"/>
                <w14:ligatures w14:val="none"/>
              </w:rPr>
              <w:t>89.293.443.000,00</w:t>
            </w:r>
          </w:p>
        </w:tc>
      </w:tr>
      <w:tr w:rsidR="005A73C0" w:rsidRPr="00951AB1" w14:paraId="08CAC403" w14:textId="77777777" w:rsidTr="004004C5">
        <w:trPr>
          <w:trHeight w:val="285"/>
        </w:trPr>
        <w:tc>
          <w:tcPr>
            <w:tcW w:w="2002" w:type="pct"/>
            <w:vAlign w:val="center"/>
            <w:hideMark/>
          </w:tcPr>
          <w:p w14:paraId="1BAF7C35" w14:textId="77777777" w:rsidR="00AE3B94" w:rsidRPr="00951AB1" w:rsidRDefault="00AE3B94" w:rsidP="000A5389">
            <w:pPr>
              <w:spacing w:line="240" w:lineRule="auto"/>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Activos intangibles en concesión</w:t>
            </w:r>
          </w:p>
        </w:tc>
        <w:tc>
          <w:tcPr>
            <w:tcW w:w="1040" w:type="pct"/>
            <w:noWrap/>
            <w:vAlign w:val="center"/>
            <w:hideMark/>
          </w:tcPr>
          <w:p w14:paraId="363CAF88" w14:textId="77777777" w:rsidR="00AE3B94" w:rsidRPr="00951AB1" w:rsidRDefault="00AE3B94" w:rsidP="000A5389">
            <w:pPr>
              <w:spacing w:line="240" w:lineRule="auto"/>
              <w:jc w:val="right"/>
              <w:rPr>
                <w:rFonts w:eastAsia="Times New Roman" w:cs="Times New Roman"/>
                <w:color w:val="000000"/>
                <w:kern w:val="0"/>
                <w:sz w:val="18"/>
                <w:szCs w:val="18"/>
                <w:lang w:eastAsia="es-CO"/>
                <w14:ligatures w14:val="none"/>
              </w:rPr>
            </w:pPr>
          </w:p>
        </w:tc>
        <w:tc>
          <w:tcPr>
            <w:tcW w:w="987" w:type="pct"/>
            <w:noWrap/>
            <w:vAlign w:val="center"/>
            <w:hideMark/>
          </w:tcPr>
          <w:p w14:paraId="5126C9AD" w14:textId="16E80924" w:rsidR="00AE3B94" w:rsidRPr="00951AB1" w:rsidRDefault="00AE3B94"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89.293.443.000,00</w:t>
            </w:r>
          </w:p>
        </w:tc>
        <w:tc>
          <w:tcPr>
            <w:tcW w:w="971" w:type="pct"/>
            <w:noWrap/>
            <w:vAlign w:val="center"/>
            <w:hideMark/>
          </w:tcPr>
          <w:p w14:paraId="5813C072" w14:textId="6E70D6EE" w:rsidR="00AE3B94" w:rsidRPr="00951AB1" w:rsidRDefault="00AE3B94"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89.293.443.000,00</w:t>
            </w:r>
          </w:p>
        </w:tc>
      </w:tr>
    </w:tbl>
    <w:p w14:paraId="6B8A1EA2" w14:textId="77777777" w:rsidR="00FB049C" w:rsidRPr="00951AB1" w:rsidRDefault="00FB049C" w:rsidP="000A5389">
      <w:pPr>
        <w:spacing w:line="240" w:lineRule="auto"/>
        <w:rPr>
          <w:rFonts w:cs="Times New Roman"/>
          <w:sz w:val="16"/>
          <w:szCs w:val="16"/>
        </w:rPr>
      </w:pPr>
      <w:r w:rsidRPr="00951AB1">
        <w:rPr>
          <w:rFonts w:cs="Times New Roman"/>
          <w:sz w:val="16"/>
          <w:szCs w:val="16"/>
        </w:rPr>
        <w:t xml:space="preserve">Cifras expresadas en pesos </w:t>
      </w:r>
    </w:p>
    <w:p w14:paraId="4B29CB6B" w14:textId="77777777" w:rsidR="00633172" w:rsidRDefault="00633172" w:rsidP="000A5389">
      <w:pPr>
        <w:spacing w:line="240" w:lineRule="auto"/>
        <w:rPr>
          <w:rFonts w:cs="Times New Roman"/>
        </w:rPr>
      </w:pPr>
    </w:p>
    <w:p w14:paraId="7BD7A179" w14:textId="77777777" w:rsidR="001B234E" w:rsidRPr="00951AB1" w:rsidRDefault="001B234E" w:rsidP="000A5389">
      <w:pPr>
        <w:spacing w:line="240" w:lineRule="auto"/>
        <w:rPr>
          <w:rFonts w:cs="Times New Roman"/>
        </w:rPr>
      </w:pPr>
    </w:p>
    <w:p w14:paraId="3732FE96" w14:textId="77777777" w:rsidR="00E719EC" w:rsidRPr="00951AB1" w:rsidRDefault="00E719EC" w:rsidP="000A5389">
      <w:pPr>
        <w:spacing w:line="240" w:lineRule="auto"/>
        <w:rPr>
          <w:rFonts w:cs="Times New Roman"/>
        </w:rPr>
      </w:pPr>
    </w:p>
    <w:p w14:paraId="1AC67F4C" w14:textId="50CCC27B" w:rsidR="00E719EC" w:rsidRPr="00951AB1" w:rsidRDefault="00E719EC" w:rsidP="000A5389">
      <w:pPr>
        <w:pStyle w:val="Ttulo3"/>
        <w:spacing w:line="240" w:lineRule="auto"/>
        <w:rPr>
          <w:rFonts w:cs="Times New Roman"/>
          <w:color w:val="1F3864" w:themeColor="accent1" w:themeShade="80"/>
        </w:rPr>
      </w:pPr>
      <w:bookmarkStart w:id="1069" w:name="_Toc191369586"/>
      <w:bookmarkStart w:id="1070" w:name="_Toc191456913"/>
      <w:bookmarkStart w:id="1071" w:name="_Toc191457023"/>
      <w:bookmarkStart w:id="1072" w:name="_Toc191457133"/>
      <w:bookmarkStart w:id="1073" w:name="_Toc191475759"/>
      <w:bookmarkStart w:id="1074" w:name="_Toc191475868"/>
      <w:bookmarkStart w:id="1075" w:name="_Toc191475977"/>
      <w:bookmarkStart w:id="1076" w:name="_Toc191475500"/>
      <w:bookmarkStart w:id="1077" w:name="_Toc191505877"/>
      <w:bookmarkStart w:id="1078" w:name="_Toc222824290"/>
      <w:bookmarkStart w:id="1079" w:name="_Toc222955557"/>
      <w:r w:rsidRPr="00951AB1">
        <w:rPr>
          <w:rFonts w:cs="Times New Roman"/>
          <w:color w:val="1F3864" w:themeColor="accent1" w:themeShade="80"/>
        </w:rPr>
        <w:t>33.1.4 Modo Fluvial:</w:t>
      </w:r>
      <w:bookmarkEnd w:id="1069"/>
      <w:bookmarkEnd w:id="1070"/>
      <w:bookmarkEnd w:id="1071"/>
      <w:bookmarkEnd w:id="1072"/>
      <w:bookmarkEnd w:id="1073"/>
      <w:bookmarkEnd w:id="1074"/>
      <w:bookmarkEnd w:id="1075"/>
      <w:bookmarkEnd w:id="1076"/>
      <w:bookmarkEnd w:id="1077"/>
      <w:bookmarkEnd w:id="1078"/>
      <w:bookmarkEnd w:id="1079"/>
    </w:p>
    <w:p w14:paraId="32A90F8E" w14:textId="77777777" w:rsidR="00E719EC" w:rsidRPr="00951AB1" w:rsidRDefault="00E719EC" w:rsidP="000A5389">
      <w:pPr>
        <w:spacing w:line="240" w:lineRule="auto"/>
        <w:rPr>
          <w:rFonts w:cs="Times New Roma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681"/>
        <w:gridCol w:w="1843"/>
        <w:gridCol w:w="1704"/>
        <w:gridCol w:w="1600"/>
      </w:tblGrid>
      <w:tr w:rsidR="005A73C0" w:rsidRPr="00951AB1" w14:paraId="48F8AA6B" w14:textId="77777777" w:rsidTr="008507F7">
        <w:trPr>
          <w:trHeight w:val="532"/>
          <w:tblHeader/>
        </w:trPr>
        <w:tc>
          <w:tcPr>
            <w:tcW w:w="2085" w:type="pct"/>
            <w:vAlign w:val="center"/>
            <w:hideMark/>
          </w:tcPr>
          <w:p w14:paraId="74364197" w14:textId="77777777" w:rsidR="002072E3" w:rsidRPr="00951AB1" w:rsidRDefault="002072E3" w:rsidP="000A5389">
            <w:pPr>
              <w:spacing w:line="240" w:lineRule="auto"/>
              <w:jc w:val="center"/>
              <w:rPr>
                <w:rFonts w:eastAsia="Times New Roman" w:cs="Times New Roman"/>
                <w:b/>
                <w:bCs/>
                <w:color w:val="000000"/>
                <w:kern w:val="0"/>
                <w:sz w:val="18"/>
                <w:szCs w:val="18"/>
                <w:lang w:eastAsia="es-CO"/>
                <w14:ligatures w14:val="none"/>
              </w:rPr>
            </w:pPr>
            <w:r w:rsidRPr="00951AB1">
              <w:rPr>
                <w:rFonts w:eastAsia="Times New Roman" w:cs="Times New Roman"/>
                <w:b/>
                <w:bCs/>
                <w:color w:val="000000"/>
                <w:kern w:val="0"/>
                <w:sz w:val="18"/>
                <w:szCs w:val="18"/>
                <w:lang w:eastAsia="es-CO"/>
                <w14:ligatures w14:val="none"/>
              </w:rPr>
              <w:t>CONCEPTO / TERCERO</w:t>
            </w:r>
          </w:p>
        </w:tc>
        <w:tc>
          <w:tcPr>
            <w:tcW w:w="1044" w:type="pct"/>
            <w:noWrap/>
            <w:vAlign w:val="center"/>
            <w:hideMark/>
          </w:tcPr>
          <w:p w14:paraId="607F2EC5" w14:textId="77777777" w:rsidR="002072E3" w:rsidRPr="00951AB1" w:rsidRDefault="002072E3" w:rsidP="000A5389">
            <w:pPr>
              <w:spacing w:line="240" w:lineRule="auto"/>
              <w:jc w:val="center"/>
              <w:rPr>
                <w:rFonts w:eastAsia="Times New Roman" w:cs="Times New Roman"/>
                <w:b/>
                <w:bCs/>
                <w:color w:val="000000"/>
                <w:kern w:val="0"/>
                <w:sz w:val="18"/>
                <w:szCs w:val="18"/>
                <w:lang w:eastAsia="es-CO"/>
                <w14:ligatures w14:val="none"/>
              </w:rPr>
            </w:pPr>
            <w:r w:rsidRPr="00951AB1">
              <w:rPr>
                <w:rFonts w:eastAsia="Times New Roman" w:cs="Times New Roman"/>
                <w:b/>
                <w:bCs/>
                <w:color w:val="000000"/>
                <w:kern w:val="0"/>
                <w:sz w:val="18"/>
                <w:szCs w:val="18"/>
                <w:lang w:eastAsia="es-CO"/>
                <w14:ligatures w14:val="none"/>
              </w:rPr>
              <w:t xml:space="preserve"> SALDO 2025 </w:t>
            </w:r>
          </w:p>
        </w:tc>
        <w:tc>
          <w:tcPr>
            <w:tcW w:w="965" w:type="pct"/>
            <w:noWrap/>
            <w:vAlign w:val="center"/>
            <w:hideMark/>
          </w:tcPr>
          <w:p w14:paraId="0A323195" w14:textId="77777777" w:rsidR="002072E3" w:rsidRPr="00951AB1" w:rsidRDefault="002072E3" w:rsidP="000A5389">
            <w:pPr>
              <w:spacing w:line="240" w:lineRule="auto"/>
              <w:jc w:val="center"/>
              <w:rPr>
                <w:rFonts w:eastAsia="Times New Roman" w:cs="Times New Roman"/>
                <w:b/>
                <w:bCs/>
                <w:color w:val="000000"/>
                <w:kern w:val="0"/>
                <w:sz w:val="18"/>
                <w:szCs w:val="18"/>
                <w:lang w:eastAsia="es-CO"/>
                <w14:ligatures w14:val="none"/>
              </w:rPr>
            </w:pPr>
            <w:r w:rsidRPr="00951AB1">
              <w:rPr>
                <w:rFonts w:eastAsia="Times New Roman" w:cs="Times New Roman"/>
                <w:b/>
                <w:bCs/>
                <w:color w:val="000000"/>
                <w:kern w:val="0"/>
                <w:sz w:val="18"/>
                <w:szCs w:val="18"/>
                <w:lang w:eastAsia="es-CO"/>
                <w14:ligatures w14:val="none"/>
              </w:rPr>
              <w:t xml:space="preserve"> SALDO 2024 </w:t>
            </w:r>
          </w:p>
        </w:tc>
        <w:tc>
          <w:tcPr>
            <w:tcW w:w="906" w:type="pct"/>
            <w:noWrap/>
            <w:vAlign w:val="center"/>
            <w:hideMark/>
          </w:tcPr>
          <w:p w14:paraId="42A4D7D4" w14:textId="77777777" w:rsidR="002072E3" w:rsidRPr="00951AB1" w:rsidRDefault="002072E3" w:rsidP="000A5389">
            <w:pPr>
              <w:spacing w:line="240" w:lineRule="auto"/>
              <w:jc w:val="center"/>
              <w:rPr>
                <w:rFonts w:eastAsia="Times New Roman" w:cs="Times New Roman"/>
                <w:b/>
                <w:bCs/>
                <w:color w:val="000000"/>
                <w:kern w:val="0"/>
                <w:sz w:val="18"/>
                <w:szCs w:val="18"/>
                <w:lang w:eastAsia="es-CO"/>
                <w14:ligatures w14:val="none"/>
              </w:rPr>
            </w:pPr>
            <w:r w:rsidRPr="00951AB1">
              <w:rPr>
                <w:rFonts w:eastAsia="Times New Roman" w:cs="Times New Roman"/>
                <w:b/>
                <w:bCs/>
                <w:color w:val="000000"/>
                <w:kern w:val="0"/>
                <w:sz w:val="18"/>
                <w:szCs w:val="18"/>
                <w:lang w:eastAsia="es-CO"/>
                <w14:ligatures w14:val="none"/>
              </w:rPr>
              <w:t xml:space="preserve"> VARIACIÓN </w:t>
            </w:r>
          </w:p>
        </w:tc>
      </w:tr>
      <w:tr w:rsidR="005A73C0" w:rsidRPr="00951AB1" w14:paraId="5C80FFA1" w14:textId="77777777" w:rsidTr="002072E3">
        <w:trPr>
          <w:trHeight w:val="285"/>
        </w:trPr>
        <w:tc>
          <w:tcPr>
            <w:tcW w:w="2085" w:type="pct"/>
            <w:vAlign w:val="center"/>
            <w:hideMark/>
          </w:tcPr>
          <w:p w14:paraId="44810811" w14:textId="77777777" w:rsidR="002072E3" w:rsidRPr="00951AB1" w:rsidRDefault="002072E3" w:rsidP="000A5389">
            <w:pPr>
              <w:spacing w:line="240" w:lineRule="auto"/>
              <w:rPr>
                <w:rFonts w:eastAsia="Times New Roman" w:cs="Times New Roman"/>
                <w:b/>
                <w:bCs/>
                <w:color w:val="000000"/>
                <w:kern w:val="0"/>
                <w:sz w:val="18"/>
                <w:szCs w:val="18"/>
                <w:lang w:eastAsia="es-CO"/>
                <w14:ligatures w14:val="none"/>
              </w:rPr>
            </w:pPr>
            <w:r w:rsidRPr="00951AB1">
              <w:rPr>
                <w:rFonts w:eastAsia="Times New Roman" w:cs="Times New Roman"/>
                <w:b/>
                <w:bCs/>
                <w:color w:val="000000"/>
                <w:kern w:val="0"/>
                <w:sz w:val="18"/>
                <w:szCs w:val="18"/>
                <w:lang w:eastAsia="es-CO"/>
                <w14:ligatures w14:val="none"/>
              </w:rPr>
              <w:t>ECOSISTEMAS DEL DIQUE S.A.S.</w:t>
            </w:r>
          </w:p>
        </w:tc>
        <w:tc>
          <w:tcPr>
            <w:tcW w:w="1044" w:type="pct"/>
            <w:noWrap/>
            <w:vAlign w:val="center"/>
            <w:hideMark/>
          </w:tcPr>
          <w:p w14:paraId="251F4759" w14:textId="11EFEABD" w:rsidR="002072E3" w:rsidRPr="00951AB1" w:rsidRDefault="002072E3" w:rsidP="000A5389">
            <w:pPr>
              <w:spacing w:line="240" w:lineRule="auto"/>
              <w:jc w:val="right"/>
              <w:rPr>
                <w:rFonts w:eastAsia="Times New Roman" w:cs="Times New Roman"/>
                <w:b/>
                <w:bCs/>
                <w:color w:val="000000"/>
                <w:kern w:val="0"/>
                <w:sz w:val="18"/>
                <w:szCs w:val="18"/>
                <w:lang w:eastAsia="es-CO"/>
                <w14:ligatures w14:val="none"/>
              </w:rPr>
            </w:pPr>
            <w:r w:rsidRPr="00951AB1">
              <w:rPr>
                <w:rFonts w:eastAsia="Times New Roman" w:cs="Times New Roman"/>
                <w:b/>
                <w:bCs/>
                <w:color w:val="000000"/>
                <w:kern w:val="0"/>
                <w:sz w:val="18"/>
                <w:szCs w:val="18"/>
                <w:lang w:eastAsia="es-CO"/>
                <w14:ligatures w14:val="none"/>
              </w:rPr>
              <w:t>92.643.093.458,53</w:t>
            </w:r>
          </w:p>
        </w:tc>
        <w:tc>
          <w:tcPr>
            <w:tcW w:w="965" w:type="pct"/>
            <w:noWrap/>
            <w:vAlign w:val="center"/>
            <w:hideMark/>
          </w:tcPr>
          <w:p w14:paraId="3C00ECA3" w14:textId="2018B5CC" w:rsidR="002072E3" w:rsidRPr="00951AB1" w:rsidRDefault="002072E3" w:rsidP="000A5389">
            <w:pPr>
              <w:spacing w:line="240" w:lineRule="auto"/>
              <w:jc w:val="right"/>
              <w:rPr>
                <w:rFonts w:eastAsia="Times New Roman" w:cs="Times New Roman"/>
                <w:b/>
                <w:bCs/>
                <w:color w:val="000000"/>
                <w:kern w:val="0"/>
                <w:sz w:val="18"/>
                <w:szCs w:val="18"/>
                <w:lang w:eastAsia="es-CO"/>
                <w14:ligatures w14:val="none"/>
              </w:rPr>
            </w:pPr>
            <w:r w:rsidRPr="00951AB1">
              <w:rPr>
                <w:rFonts w:eastAsia="Times New Roman" w:cs="Times New Roman"/>
                <w:b/>
                <w:bCs/>
                <w:color w:val="000000"/>
                <w:kern w:val="0"/>
                <w:sz w:val="18"/>
                <w:szCs w:val="18"/>
                <w:lang w:eastAsia="es-CO"/>
                <w14:ligatures w14:val="none"/>
              </w:rPr>
              <w:t>46.665.198.100,53</w:t>
            </w:r>
          </w:p>
        </w:tc>
        <w:tc>
          <w:tcPr>
            <w:tcW w:w="906" w:type="pct"/>
            <w:noWrap/>
            <w:vAlign w:val="center"/>
            <w:hideMark/>
          </w:tcPr>
          <w:p w14:paraId="0A82F1C0" w14:textId="5D5368BB" w:rsidR="002072E3" w:rsidRPr="00951AB1" w:rsidRDefault="002072E3" w:rsidP="000A5389">
            <w:pPr>
              <w:spacing w:line="240" w:lineRule="auto"/>
              <w:jc w:val="right"/>
              <w:rPr>
                <w:rFonts w:eastAsia="Times New Roman" w:cs="Times New Roman"/>
                <w:b/>
                <w:bCs/>
                <w:color w:val="000000"/>
                <w:kern w:val="0"/>
                <w:sz w:val="18"/>
                <w:szCs w:val="18"/>
                <w:lang w:eastAsia="es-CO"/>
                <w14:ligatures w14:val="none"/>
              </w:rPr>
            </w:pPr>
            <w:r w:rsidRPr="00951AB1">
              <w:rPr>
                <w:rFonts w:eastAsia="Times New Roman" w:cs="Times New Roman"/>
                <w:b/>
                <w:bCs/>
                <w:color w:val="000000"/>
                <w:kern w:val="0"/>
                <w:sz w:val="18"/>
                <w:szCs w:val="18"/>
                <w:lang w:eastAsia="es-CO"/>
                <w14:ligatures w14:val="none"/>
              </w:rPr>
              <w:t>45.977.895.358,00</w:t>
            </w:r>
          </w:p>
        </w:tc>
      </w:tr>
      <w:tr w:rsidR="005A73C0" w:rsidRPr="00951AB1" w14:paraId="53A650EF" w14:textId="77777777" w:rsidTr="002072E3">
        <w:trPr>
          <w:trHeight w:val="855"/>
        </w:trPr>
        <w:tc>
          <w:tcPr>
            <w:tcW w:w="2085" w:type="pct"/>
            <w:vAlign w:val="center"/>
            <w:hideMark/>
          </w:tcPr>
          <w:p w14:paraId="5BDBBC1F" w14:textId="77777777" w:rsidR="002072E3" w:rsidRPr="00951AB1" w:rsidRDefault="002072E3" w:rsidP="000A5389">
            <w:pPr>
              <w:spacing w:line="240" w:lineRule="auto"/>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Recursos de la entidad concedente en patrimonios autónomos constituidos por concesionarios privados</w:t>
            </w:r>
          </w:p>
        </w:tc>
        <w:tc>
          <w:tcPr>
            <w:tcW w:w="1044" w:type="pct"/>
            <w:noWrap/>
            <w:vAlign w:val="center"/>
            <w:hideMark/>
          </w:tcPr>
          <w:p w14:paraId="17CCDC0A" w14:textId="4E7CB1C0" w:rsidR="002072E3" w:rsidRPr="00951AB1" w:rsidRDefault="002072E3"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92.643.093.458,53</w:t>
            </w:r>
          </w:p>
        </w:tc>
        <w:tc>
          <w:tcPr>
            <w:tcW w:w="965" w:type="pct"/>
            <w:noWrap/>
            <w:vAlign w:val="center"/>
            <w:hideMark/>
          </w:tcPr>
          <w:p w14:paraId="292218E4" w14:textId="211A169B" w:rsidR="002072E3" w:rsidRPr="00951AB1" w:rsidRDefault="002072E3"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46.665.198.100,53</w:t>
            </w:r>
          </w:p>
        </w:tc>
        <w:tc>
          <w:tcPr>
            <w:tcW w:w="906" w:type="pct"/>
            <w:noWrap/>
            <w:vAlign w:val="center"/>
            <w:hideMark/>
          </w:tcPr>
          <w:p w14:paraId="1C21B195" w14:textId="252A2D53" w:rsidR="002072E3" w:rsidRPr="00951AB1" w:rsidRDefault="002072E3" w:rsidP="000A5389">
            <w:pPr>
              <w:spacing w:line="240" w:lineRule="auto"/>
              <w:jc w:val="right"/>
              <w:rPr>
                <w:rFonts w:eastAsia="Times New Roman" w:cs="Times New Roman"/>
                <w:color w:val="000000"/>
                <w:kern w:val="0"/>
                <w:sz w:val="18"/>
                <w:szCs w:val="18"/>
                <w:lang w:eastAsia="es-CO"/>
                <w14:ligatures w14:val="none"/>
              </w:rPr>
            </w:pPr>
            <w:r w:rsidRPr="00951AB1">
              <w:rPr>
                <w:rFonts w:eastAsia="Times New Roman" w:cs="Times New Roman"/>
                <w:color w:val="000000"/>
                <w:kern w:val="0"/>
                <w:sz w:val="18"/>
                <w:szCs w:val="18"/>
                <w:lang w:eastAsia="es-CO"/>
                <w14:ligatures w14:val="none"/>
              </w:rPr>
              <w:t>45.977.895.358,00</w:t>
            </w:r>
          </w:p>
        </w:tc>
      </w:tr>
    </w:tbl>
    <w:p w14:paraId="2CC60D70" w14:textId="77777777" w:rsidR="00FB049C" w:rsidRDefault="00FB049C" w:rsidP="000A5389">
      <w:pPr>
        <w:spacing w:line="240" w:lineRule="auto"/>
        <w:rPr>
          <w:rFonts w:cs="Times New Roman"/>
          <w:sz w:val="16"/>
          <w:szCs w:val="16"/>
        </w:rPr>
      </w:pPr>
      <w:r w:rsidRPr="00951AB1">
        <w:rPr>
          <w:rFonts w:cs="Times New Roman"/>
          <w:sz w:val="16"/>
          <w:szCs w:val="16"/>
        </w:rPr>
        <w:t xml:space="preserve">Cifras expresadas en pesos </w:t>
      </w:r>
    </w:p>
    <w:p w14:paraId="77D04539" w14:textId="77777777" w:rsidR="003D5DB4" w:rsidRDefault="003D5DB4" w:rsidP="000A5389">
      <w:pPr>
        <w:spacing w:line="240" w:lineRule="auto"/>
        <w:rPr>
          <w:rFonts w:cs="Times New Roman"/>
          <w:sz w:val="16"/>
          <w:szCs w:val="16"/>
        </w:rPr>
      </w:pPr>
    </w:p>
    <w:p w14:paraId="74B9AE2E" w14:textId="77777777" w:rsidR="003D5DB4" w:rsidRDefault="003D5DB4" w:rsidP="000A5389">
      <w:pPr>
        <w:spacing w:line="240" w:lineRule="auto"/>
        <w:rPr>
          <w:rFonts w:cs="Times New Roman"/>
          <w:sz w:val="16"/>
          <w:szCs w:val="16"/>
        </w:rPr>
      </w:pPr>
    </w:p>
    <w:p w14:paraId="13806D59" w14:textId="77777777" w:rsidR="003D5DB4" w:rsidRDefault="003D5DB4" w:rsidP="000A5389">
      <w:pPr>
        <w:spacing w:line="240" w:lineRule="auto"/>
        <w:rPr>
          <w:rFonts w:cs="Times New Roman"/>
          <w:sz w:val="16"/>
          <w:szCs w:val="16"/>
        </w:rPr>
      </w:pPr>
    </w:p>
    <w:p w14:paraId="6955AE45" w14:textId="77777777" w:rsidR="003D5DB4" w:rsidRPr="002E1B4B" w:rsidRDefault="003D5DB4" w:rsidP="000A5389">
      <w:pPr>
        <w:spacing w:line="240" w:lineRule="auto"/>
        <w:rPr>
          <w:b/>
          <w:bCs/>
          <w:i/>
          <w:iCs/>
        </w:rPr>
      </w:pPr>
      <w:r w:rsidRPr="002E1B4B">
        <w:rPr>
          <w:b/>
          <w:bCs/>
          <w:i/>
          <w:iCs/>
        </w:rPr>
        <w:t>PROYECTOS CARRETEROS</w:t>
      </w:r>
    </w:p>
    <w:p w14:paraId="30F3BAD7" w14:textId="77777777" w:rsidR="009A0894" w:rsidRPr="002E1B4B" w:rsidRDefault="009A0894" w:rsidP="000A5389">
      <w:pPr>
        <w:spacing w:line="240" w:lineRule="auto"/>
      </w:pPr>
    </w:p>
    <w:p w14:paraId="170B8BFF" w14:textId="77777777" w:rsidR="003D5DB4" w:rsidRPr="002E1B4B" w:rsidRDefault="003D5DB4" w:rsidP="000A5389">
      <w:pPr>
        <w:spacing w:line="240" w:lineRule="auto"/>
        <w:rPr>
          <w:i/>
          <w:iCs/>
        </w:rPr>
      </w:pPr>
      <w:r w:rsidRPr="002E1B4B">
        <w:rPr>
          <w:i/>
          <w:iCs/>
        </w:rPr>
        <w:t xml:space="preserve">APP NUEVA MALLA VIAL DEL VALLE DEL CAUCA </w:t>
      </w:r>
    </w:p>
    <w:p w14:paraId="4CD459FB" w14:textId="77777777" w:rsidR="009A0894" w:rsidRPr="002E1B4B" w:rsidRDefault="009A0894" w:rsidP="000A5389">
      <w:pPr>
        <w:spacing w:line="240" w:lineRule="auto"/>
      </w:pPr>
    </w:p>
    <w:p w14:paraId="310683F0" w14:textId="77777777" w:rsidR="003D5DB4" w:rsidRPr="002E1B4B" w:rsidRDefault="003D5DB4" w:rsidP="000A5389">
      <w:pPr>
        <w:spacing w:line="240" w:lineRule="auto"/>
      </w:pPr>
      <w:r w:rsidRPr="002E1B4B">
        <w:t>Descripción del Acuerdo</w:t>
      </w:r>
    </w:p>
    <w:p w14:paraId="620060E8" w14:textId="77777777" w:rsidR="003D5DB4" w:rsidRPr="002E1B4B" w:rsidRDefault="003D5DB4" w:rsidP="000A5389">
      <w:pPr>
        <w:spacing w:line="240" w:lineRule="auto"/>
      </w:pPr>
      <w:r w:rsidRPr="002E1B4B">
        <w:t xml:space="preserve">Número del Acuerdo de concesión:  CONTRATO DE CONCESIÓN BAJO EL ESQUEMA DE APP No.004 DE 2022 </w:t>
      </w:r>
    </w:p>
    <w:p w14:paraId="524A3941" w14:textId="77777777" w:rsidR="002E1B4B" w:rsidRDefault="002E1B4B" w:rsidP="000A5389">
      <w:pPr>
        <w:spacing w:line="240" w:lineRule="auto"/>
      </w:pPr>
    </w:p>
    <w:p w14:paraId="43929280" w14:textId="280E93D6" w:rsidR="003D5DB4" w:rsidRPr="002E1B4B" w:rsidRDefault="003D5DB4" w:rsidP="000A5389">
      <w:pPr>
        <w:spacing w:line="240" w:lineRule="auto"/>
      </w:pPr>
      <w:r w:rsidRPr="002E1B4B">
        <w:lastRenderedPageBreak/>
        <w:t xml:space="preserve">Objeto / Descripción:  Financiación, elaboración de estudios y diseños definitivos, gestión ambiental, gestión predial, gestión social, construcción, rehabilitación, operación y mantenimiento del proyecto Nueva Malla Vial del Valle del Cauca - Corredor: Buenaventura - Loboguerrero - Buga. </w:t>
      </w:r>
    </w:p>
    <w:p w14:paraId="690B19C1" w14:textId="77777777" w:rsidR="003D5DB4" w:rsidRPr="002E1B4B" w:rsidRDefault="003D5DB4" w:rsidP="000A5389">
      <w:pPr>
        <w:spacing w:line="240" w:lineRule="auto"/>
      </w:pPr>
      <w:r w:rsidRPr="002E1B4B">
        <w:t>Valor inicial:</w:t>
      </w:r>
      <w:r w:rsidRPr="002E1B4B">
        <w:tab/>
        <w:t xml:space="preserve">$4.058.087.365.785 </w:t>
      </w:r>
    </w:p>
    <w:p w14:paraId="69E7F879" w14:textId="77777777" w:rsidR="003D5DB4" w:rsidRPr="002E1B4B" w:rsidRDefault="003D5DB4" w:rsidP="000A5389">
      <w:pPr>
        <w:spacing w:line="240" w:lineRule="auto"/>
      </w:pPr>
      <w:r w:rsidRPr="002E1B4B">
        <w:t xml:space="preserve">Fecha de inicio: 16 de febrero de 2023 </w:t>
      </w:r>
    </w:p>
    <w:p w14:paraId="0334215D" w14:textId="77777777" w:rsidR="003D5DB4" w:rsidRPr="002E1B4B" w:rsidRDefault="003D5DB4" w:rsidP="000A5389">
      <w:pPr>
        <w:spacing w:line="240" w:lineRule="auto"/>
      </w:pPr>
      <w:r w:rsidRPr="002E1B4B">
        <w:t xml:space="preserve">Fecha de finalización estimada: 15 de febrero de 2052 </w:t>
      </w:r>
    </w:p>
    <w:p w14:paraId="01F09361" w14:textId="77777777" w:rsidR="003D5DB4" w:rsidRPr="002E1B4B" w:rsidRDefault="003D5DB4" w:rsidP="000A5389">
      <w:pPr>
        <w:spacing w:line="240" w:lineRule="auto"/>
      </w:pPr>
      <w:r w:rsidRPr="002E1B4B">
        <w:t xml:space="preserve">Tipo ID:NIT </w:t>
      </w:r>
    </w:p>
    <w:p w14:paraId="05529243" w14:textId="77777777" w:rsidR="003D5DB4" w:rsidRPr="002E1B4B" w:rsidRDefault="003D5DB4" w:rsidP="000A5389">
      <w:pPr>
        <w:spacing w:line="240" w:lineRule="auto"/>
      </w:pPr>
      <w:r w:rsidRPr="002E1B4B">
        <w:t>Número ID:</w:t>
      </w:r>
      <w:r w:rsidRPr="002E1B4B">
        <w:tab/>
        <w:t>901.621.257</w:t>
      </w:r>
    </w:p>
    <w:p w14:paraId="4BC1CA48" w14:textId="77777777" w:rsidR="003D5DB4" w:rsidRPr="002E1B4B" w:rsidRDefault="003D5DB4" w:rsidP="000A5389">
      <w:pPr>
        <w:spacing w:line="240" w:lineRule="auto"/>
      </w:pPr>
      <w:r w:rsidRPr="002E1B4B">
        <w:t xml:space="preserve">Razón social del concesionario: Unión Vial Camino del Pacífico S.A.S </w:t>
      </w:r>
    </w:p>
    <w:p w14:paraId="647A1C56" w14:textId="77777777" w:rsidR="003D5DB4" w:rsidRPr="002E1B4B" w:rsidRDefault="003D5DB4" w:rsidP="000A5389">
      <w:pPr>
        <w:spacing w:line="240" w:lineRule="auto"/>
      </w:pPr>
      <w:r w:rsidRPr="002E1B4B">
        <w:t xml:space="preserve">Nombre del proyecto: APP Nueva Malla Vial del Valle del Cauca </w:t>
      </w:r>
    </w:p>
    <w:p w14:paraId="3B9DFCB7" w14:textId="77777777" w:rsidR="003D5DB4" w:rsidRPr="002E1B4B" w:rsidRDefault="003D5DB4" w:rsidP="000A5389">
      <w:pPr>
        <w:spacing w:line="240" w:lineRule="auto"/>
      </w:pPr>
    </w:p>
    <w:p w14:paraId="36F4BA6B" w14:textId="77777777" w:rsidR="003D5DB4" w:rsidRDefault="003D5DB4" w:rsidP="000A5389">
      <w:pPr>
        <w:spacing w:line="240" w:lineRule="auto"/>
      </w:pPr>
      <w:r w:rsidRPr="002E1B4B">
        <w:t>Términos significativos del Acuerdo que puedan afectar su valor, el calendario y la certeza de los flujos de efectivo futuros</w:t>
      </w:r>
    </w:p>
    <w:p w14:paraId="3E5A95D2" w14:textId="77777777" w:rsidR="002E1B4B" w:rsidRPr="002E1B4B" w:rsidRDefault="002E1B4B" w:rsidP="000A5389">
      <w:pPr>
        <w:spacing w:line="240" w:lineRule="auto"/>
      </w:pPr>
    </w:p>
    <w:p w14:paraId="0AFF52A0" w14:textId="77777777" w:rsidR="002E1B4B" w:rsidRDefault="003D5DB4" w:rsidP="000A5389">
      <w:pPr>
        <w:spacing w:line="240" w:lineRule="auto"/>
      </w:pPr>
      <w:r w:rsidRPr="002E1B4B">
        <w:t>Términos de valor:</w:t>
      </w:r>
      <w:r w:rsidRPr="002E1B4B">
        <w:tab/>
        <w:t xml:space="preserve">La concesión en términos de valor para el año 2025 presento las siguientes novedades: Para 2025, las tarifas de peajes se incrementaron de acuerdo con la normativa estatal (Ministerio de Transporte). La Concesión recibió por concepto de </w:t>
      </w:r>
    </w:p>
    <w:p w14:paraId="3A317497" w14:textId="77777777" w:rsidR="002E1B4B" w:rsidRDefault="002E1B4B" w:rsidP="000A5389">
      <w:pPr>
        <w:spacing w:line="240" w:lineRule="auto"/>
      </w:pPr>
    </w:p>
    <w:p w14:paraId="65A06EB7" w14:textId="00117E93" w:rsidR="003D5DB4" w:rsidRPr="002E1B4B" w:rsidRDefault="003D5DB4" w:rsidP="000A5389">
      <w:pPr>
        <w:spacing w:line="240" w:lineRule="auto"/>
      </w:pPr>
      <w:r w:rsidRPr="002E1B4B">
        <w:t xml:space="preserve">retribución por recaudo de peajes: </w:t>
      </w:r>
    </w:p>
    <w:p w14:paraId="56C44622" w14:textId="77777777" w:rsidR="003D5DB4" w:rsidRPr="002E1B4B" w:rsidRDefault="003D5DB4" w:rsidP="000A5389">
      <w:pPr>
        <w:spacing w:line="240" w:lineRule="auto"/>
      </w:pPr>
      <w:r w:rsidRPr="002E1B4B">
        <w:t xml:space="preserve">- Acta No.18. $4.647.100.796,00 </w:t>
      </w:r>
    </w:p>
    <w:p w14:paraId="42C37685" w14:textId="77777777" w:rsidR="003D5DB4" w:rsidRPr="002E1B4B" w:rsidRDefault="003D5DB4" w:rsidP="000A5389">
      <w:pPr>
        <w:spacing w:line="240" w:lineRule="auto"/>
      </w:pPr>
      <w:r w:rsidRPr="002E1B4B">
        <w:t xml:space="preserve">- Acta No.19. $3.243.415.351,00 </w:t>
      </w:r>
    </w:p>
    <w:p w14:paraId="5FA6A2EF" w14:textId="77777777" w:rsidR="003D5DB4" w:rsidRPr="002E1B4B" w:rsidRDefault="003D5DB4" w:rsidP="000A5389">
      <w:pPr>
        <w:spacing w:line="240" w:lineRule="auto"/>
      </w:pPr>
      <w:r w:rsidRPr="002E1B4B">
        <w:t xml:space="preserve">- Acta No.20. $3.632.365.788,55 </w:t>
      </w:r>
    </w:p>
    <w:p w14:paraId="16C583C4" w14:textId="77777777" w:rsidR="003D5DB4" w:rsidRPr="002E1B4B" w:rsidRDefault="003D5DB4" w:rsidP="000A5389">
      <w:pPr>
        <w:spacing w:line="240" w:lineRule="auto"/>
      </w:pPr>
      <w:r w:rsidRPr="002E1B4B">
        <w:t xml:space="preserve">- Acta No.21. $5.307.425.276,71 </w:t>
      </w:r>
    </w:p>
    <w:p w14:paraId="325CC0FC" w14:textId="77777777" w:rsidR="003D5DB4" w:rsidRPr="002E1B4B" w:rsidRDefault="003D5DB4" w:rsidP="000A5389">
      <w:pPr>
        <w:spacing w:line="240" w:lineRule="auto"/>
      </w:pPr>
      <w:r w:rsidRPr="002E1B4B">
        <w:t xml:space="preserve">- Acta No.22. $3.218.412.357,00 </w:t>
      </w:r>
    </w:p>
    <w:p w14:paraId="2B6441AA" w14:textId="77777777" w:rsidR="003D5DB4" w:rsidRPr="002E1B4B" w:rsidRDefault="003D5DB4" w:rsidP="000A5389">
      <w:pPr>
        <w:spacing w:line="240" w:lineRule="auto"/>
      </w:pPr>
      <w:r w:rsidRPr="002E1B4B">
        <w:t xml:space="preserve">- Acta No.23. $3.487.570.011,00 </w:t>
      </w:r>
    </w:p>
    <w:p w14:paraId="4037E07D" w14:textId="77777777" w:rsidR="003D5DB4" w:rsidRPr="002E1B4B" w:rsidRDefault="003D5DB4" w:rsidP="000A5389">
      <w:pPr>
        <w:spacing w:line="240" w:lineRule="auto"/>
      </w:pPr>
      <w:r w:rsidRPr="002E1B4B">
        <w:t xml:space="preserve">- Acta No.24. $3.468.196.249,32 </w:t>
      </w:r>
    </w:p>
    <w:p w14:paraId="3AABEB0F" w14:textId="77777777" w:rsidR="003D5DB4" w:rsidRPr="002E1B4B" w:rsidRDefault="003D5DB4" w:rsidP="000A5389">
      <w:pPr>
        <w:spacing w:line="240" w:lineRule="auto"/>
      </w:pPr>
      <w:r w:rsidRPr="002E1B4B">
        <w:t xml:space="preserve">- Acta No.25. $3.521.706.719,24 </w:t>
      </w:r>
    </w:p>
    <w:p w14:paraId="70657B82" w14:textId="77777777" w:rsidR="003D5DB4" w:rsidRPr="002E1B4B" w:rsidRDefault="003D5DB4" w:rsidP="000A5389">
      <w:pPr>
        <w:spacing w:line="240" w:lineRule="auto"/>
      </w:pPr>
      <w:r w:rsidRPr="002E1B4B">
        <w:t xml:space="preserve">- Acta No.26. $3.385.411.228,47 </w:t>
      </w:r>
    </w:p>
    <w:p w14:paraId="00401AFF" w14:textId="77777777" w:rsidR="003D5DB4" w:rsidRPr="002E1B4B" w:rsidRDefault="003D5DB4" w:rsidP="000A5389">
      <w:pPr>
        <w:spacing w:line="240" w:lineRule="auto"/>
      </w:pPr>
      <w:r w:rsidRPr="002E1B4B">
        <w:t xml:space="preserve">- Acta No.27 $4.161.152.606,23 </w:t>
      </w:r>
    </w:p>
    <w:p w14:paraId="36586A5A" w14:textId="77777777" w:rsidR="003D5DB4" w:rsidRPr="002E1B4B" w:rsidRDefault="003D5DB4" w:rsidP="000A5389">
      <w:pPr>
        <w:spacing w:line="240" w:lineRule="auto"/>
      </w:pPr>
      <w:r w:rsidRPr="002E1B4B">
        <w:t xml:space="preserve">- Acta No.28. $3.940.170.570,97 </w:t>
      </w:r>
    </w:p>
    <w:p w14:paraId="78F4BDA2" w14:textId="77777777" w:rsidR="003D5DB4" w:rsidRPr="002E1B4B" w:rsidRDefault="003D5DB4" w:rsidP="000A5389">
      <w:pPr>
        <w:spacing w:line="240" w:lineRule="auto"/>
      </w:pPr>
      <w:r w:rsidRPr="002E1B4B">
        <w:t xml:space="preserve">- Acta No.29. $3.811.069.195,73 </w:t>
      </w:r>
    </w:p>
    <w:p w14:paraId="601BEE41" w14:textId="77777777" w:rsidR="003D5DB4" w:rsidRPr="002E1B4B" w:rsidRDefault="003D5DB4" w:rsidP="000A5389">
      <w:pPr>
        <w:spacing w:line="240" w:lineRule="auto"/>
      </w:pPr>
    </w:p>
    <w:p w14:paraId="2A901DF0" w14:textId="77777777" w:rsidR="003D5DB4" w:rsidRPr="002E1B4B" w:rsidRDefault="003D5DB4" w:rsidP="000A5389">
      <w:pPr>
        <w:spacing w:line="240" w:lineRule="auto"/>
      </w:pPr>
      <w:r w:rsidRPr="002E1B4B">
        <w:t>La Concesión recibió por concepto de diferencial tarifario entre el 01 de enero al 31 de diciembre 2025.</w:t>
      </w:r>
    </w:p>
    <w:p w14:paraId="75D9505C" w14:textId="77777777" w:rsidR="003D5DB4" w:rsidRPr="002E1B4B" w:rsidRDefault="003D5DB4" w:rsidP="000A5389">
      <w:pPr>
        <w:spacing w:line="240" w:lineRule="auto"/>
      </w:pPr>
      <w:r w:rsidRPr="002E1B4B">
        <w:t xml:space="preserve">- Acta No. 27 $106.224.688,98 (Acta 7 - Diferencial tarifario - Reconoce el 18.54% Correspondiente a UF0) - Acta No. 29. $101.721.434,22 (Actas 8 y 9 - Diferencial tarifario - Reconoce el 18.54% correspondiente a UF0). A corte del 31 de diciembre de 2025 no se han recibido aportes Estatales. A 31 de diciembre de 2025 no existen sanciones a cargo de la Concesión con relación al contrato. </w:t>
      </w:r>
    </w:p>
    <w:p w14:paraId="7A9C1219" w14:textId="77777777" w:rsidR="002E1B4B" w:rsidRDefault="002E1B4B" w:rsidP="000A5389">
      <w:pPr>
        <w:spacing w:line="240" w:lineRule="auto"/>
      </w:pPr>
    </w:p>
    <w:p w14:paraId="2CECC0E6" w14:textId="16529EA0" w:rsidR="003D5DB4" w:rsidRPr="002E1B4B" w:rsidRDefault="003D5DB4" w:rsidP="000A5389">
      <w:pPr>
        <w:spacing w:line="240" w:lineRule="auto"/>
      </w:pPr>
      <w:r w:rsidRPr="002E1B4B">
        <w:t xml:space="preserve">Términos de calendario: En materia de calendario, la Concesión informa que: Se ha realizado los fondeos contractuales, tales como son excedentes ANI, subcuenta MASC, redes, predios, socioambiental, policía, subcuenta Interventoría y Coordinación, etc. En materia de etapa de </w:t>
      </w:r>
      <w:r w:rsidRPr="002E1B4B">
        <w:lastRenderedPageBreak/>
        <w:t xml:space="preserve">Preconstrucción la Concesionaria se encuentra en ella desde el 16 de febrero del año 2023 hasta el 15 de agosto de 2024 a partir del 16 de agosto de 2024 se encuentra en etapa de construcción. </w:t>
      </w:r>
    </w:p>
    <w:p w14:paraId="593E5D20" w14:textId="77777777" w:rsidR="002E1B4B" w:rsidRDefault="002E1B4B" w:rsidP="000A5389">
      <w:pPr>
        <w:spacing w:line="240" w:lineRule="auto"/>
      </w:pPr>
    </w:p>
    <w:p w14:paraId="11B10B8D" w14:textId="506F4F34" w:rsidR="003D5DB4" w:rsidRPr="002E1B4B" w:rsidRDefault="003D5DB4" w:rsidP="000A5389">
      <w:pPr>
        <w:spacing w:line="240" w:lineRule="auto"/>
      </w:pPr>
      <w:r w:rsidRPr="002E1B4B">
        <w:t>Términos de certeza de flujos de efectivo futuros:</w:t>
      </w:r>
      <w:r w:rsidRPr="002E1B4B">
        <w:tab/>
        <w:t xml:space="preserve">Para 2025 se presentó incremento en tarifas de peajes de acuerdo con la Resolución 20243040065055. </w:t>
      </w:r>
    </w:p>
    <w:p w14:paraId="5014EB73" w14:textId="77777777" w:rsidR="003D5DB4" w:rsidRPr="002E1B4B" w:rsidRDefault="003D5DB4" w:rsidP="000A5389">
      <w:pPr>
        <w:spacing w:line="240" w:lineRule="auto"/>
      </w:pPr>
      <w:r w:rsidRPr="002E1B4B">
        <w:t>Naturaleza y alcance del derecho a utilizar Activos y los aspectos pactados en torno a lo que se espera que el concesionario proporcione en relación con el Acuerdo de concesión</w:t>
      </w:r>
    </w:p>
    <w:p w14:paraId="0DDF45D4" w14:textId="77777777" w:rsidR="002E1B4B" w:rsidRDefault="002E1B4B" w:rsidP="000A5389">
      <w:pPr>
        <w:spacing w:line="240" w:lineRule="auto"/>
      </w:pPr>
    </w:p>
    <w:p w14:paraId="4D9982B4" w14:textId="4887694B" w:rsidR="003D5DB4" w:rsidRPr="002E1B4B" w:rsidRDefault="003D5DB4" w:rsidP="000A5389">
      <w:pPr>
        <w:spacing w:line="240" w:lineRule="auto"/>
      </w:pPr>
      <w:r w:rsidRPr="002E1B4B">
        <w:t>Naturaleza y alcance del derecho de uso de los Activos</w:t>
      </w:r>
    </w:p>
    <w:p w14:paraId="4BA2BDEF" w14:textId="77777777" w:rsidR="002E1B4B" w:rsidRDefault="002E1B4B" w:rsidP="000A5389">
      <w:pPr>
        <w:spacing w:line="240" w:lineRule="auto"/>
      </w:pPr>
    </w:p>
    <w:p w14:paraId="15380AC3" w14:textId="498698DA" w:rsidR="003D5DB4" w:rsidRPr="002E1B4B" w:rsidRDefault="003D5DB4" w:rsidP="000A5389">
      <w:pPr>
        <w:spacing w:line="240" w:lineRule="auto"/>
      </w:pPr>
      <w:r w:rsidRPr="002E1B4B">
        <w:t>Descripción:</w:t>
      </w:r>
      <w:r w:rsidRPr="002E1B4B">
        <w:tab/>
        <w:t xml:space="preserve">Durante el contrato de concesión, el Concesionario tiene derecho a la explotación de la malla Vial comprendida entre los Municipios de Buenaventura - Loboguerrero - Buga. Dentro de este corredor vial, la Concesionaria realizará actividades de construcción doble calzada tramos faltantes y demás obras contempladas en el contrato de concesión, mantenimiento de toda la malla vial y recaudo y administración de Peaje Loboguerrero. </w:t>
      </w:r>
    </w:p>
    <w:p w14:paraId="402E94A1" w14:textId="77777777" w:rsidR="002E1B4B" w:rsidRDefault="002E1B4B" w:rsidP="000A5389">
      <w:pPr>
        <w:spacing w:line="240" w:lineRule="auto"/>
      </w:pPr>
    </w:p>
    <w:p w14:paraId="22018660" w14:textId="3D5D5264" w:rsidR="003D5DB4" w:rsidRPr="002E1B4B" w:rsidRDefault="003D5DB4" w:rsidP="000A5389">
      <w:pPr>
        <w:spacing w:line="240" w:lineRule="auto"/>
      </w:pPr>
      <w:r w:rsidRPr="002E1B4B">
        <w:t>Observaciones: No Aplica</w:t>
      </w:r>
    </w:p>
    <w:p w14:paraId="2F8CD8CF" w14:textId="77777777" w:rsidR="003D5DB4" w:rsidRPr="002E1B4B" w:rsidRDefault="003D5DB4" w:rsidP="000A5389">
      <w:pPr>
        <w:spacing w:line="240" w:lineRule="auto"/>
      </w:pPr>
      <w:r w:rsidRPr="002E1B4B">
        <w:t>Retribución al concesionario</w:t>
      </w:r>
    </w:p>
    <w:p w14:paraId="49663F10" w14:textId="77777777" w:rsidR="003D5DB4" w:rsidRPr="002E1B4B" w:rsidRDefault="003D5DB4" w:rsidP="000A5389">
      <w:pPr>
        <w:spacing w:line="240" w:lineRule="auto"/>
      </w:pPr>
      <w:r w:rsidRPr="002E1B4B">
        <w:t>Descripción:</w:t>
      </w:r>
      <w:r w:rsidRPr="002E1B4B">
        <w:tab/>
        <w:t xml:space="preserve">La retribución al Concesionario se realiza de acuerdo con el numeral 4.3 de la parte especial del contrato de concesión. </w:t>
      </w:r>
    </w:p>
    <w:p w14:paraId="728E15B0" w14:textId="77777777" w:rsidR="003D5DB4" w:rsidRPr="002E1B4B" w:rsidRDefault="003D5DB4" w:rsidP="000A5389">
      <w:pPr>
        <w:spacing w:line="240" w:lineRule="auto"/>
      </w:pPr>
      <w:r w:rsidRPr="002E1B4B">
        <w:t>Tasa de retribución:</w:t>
      </w:r>
      <w:r w:rsidRPr="002E1B4B">
        <w:tab/>
        <w:t xml:space="preserve">La tasa de retribución no se encuentra establecida en el contrato de Concesión. </w:t>
      </w:r>
    </w:p>
    <w:p w14:paraId="27695A7A" w14:textId="77777777" w:rsidR="002E1B4B" w:rsidRDefault="002E1B4B" w:rsidP="000A5389">
      <w:pPr>
        <w:spacing w:line="240" w:lineRule="auto"/>
      </w:pPr>
    </w:p>
    <w:p w14:paraId="4FE2E8B6" w14:textId="5608B735" w:rsidR="003D5DB4" w:rsidRPr="002E1B4B" w:rsidRDefault="003D5DB4" w:rsidP="000A5389">
      <w:pPr>
        <w:spacing w:line="240" w:lineRule="auto"/>
      </w:pPr>
      <w:r w:rsidRPr="002E1B4B">
        <w:t>Derechos a recibir Activos especificados al final del acuerdo de concesión</w:t>
      </w:r>
    </w:p>
    <w:p w14:paraId="4F067DFC" w14:textId="77777777" w:rsidR="003D5DB4" w:rsidRPr="002E1B4B" w:rsidRDefault="003D5DB4" w:rsidP="000A5389">
      <w:pPr>
        <w:spacing w:line="240" w:lineRule="auto"/>
      </w:pPr>
      <w:r w:rsidRPr="002E1B4B">
        <w:t>Descripción:</w:t>
      </w:r>
      <w:r w:rsidRPr="002E1B4B">
        <w:tab/>
        <w:t xml:space="preserve">Al termino de contrato de Concesión, el Concesionario se obliga a entregar los activos reversibles consolidados durante la ejecución del proyecto. </w:t>
      </w:r>
    </w:p>
    <w:p w14:paraId="6EF4CFFA" w14:textId="77777777" w:rsidR="002E1B4B" w:rsidRDefault="002E1B4B" w:rsidP="000A5389">
      <w:pPr>
        <w:spacing w:line="240" w:lineRule="auto"/>
      </w:pPr>
    </w:p>
    <w:p w14:paraId="471C0DA7" w14:textId="0FC0B538" w:rsidR="003D5DB4" w:rsidRPr="002E1B4B" w:rsidRDefault="003D5DB4" w:rsidP="000A5389">
      <w:pPr>
        <w:spacing w:line="240" w:lineRule="auto"/>
      </w:pPr>
      <w:r w:rsidRPr="002E1B4B">
        <w:t>Observaciones:</w:t>
      </w:r>
      <w:r w:rsidRPr="002E1B4B">
        <w:tab/>
        <w:t>No Aplica</w:t>
      </w:r>
    </w:p>
    <w:p w14:paraId="1A44A918" w14:textId="77777777" w:rsidR="003D5DB4" w:rsidRPr="002E1B4B" w:rsidRDefault="003D5DB4" w:rsidP="000A5389">
      <w:pPr>
        <w:spacing w:line="240" w:lineRule="auto"/>
      </w:pPr>
      <w:r w:rsidRPr="002E1B4B">
        <w:t>Las alternativas de renovación y cese del acuerdo</w:t>
      </w:r>
    </w:p>
    <w:p w14:paraId="5717C6FF" w14:textId="77777777" w:rsidR="003D5DB4" w:rsidRPr="002E1B4B" w:rsidRDefault="003D5DB4" w:rsidP="000A5389">
      <w:pPr>
        <w:spacing w:line="240" w:lineRule="auto"/>
      </w:pPr>
      <w:r w:rsidRPr="002E1B4B">
        <w:t>Descripción:</w:t>
      </w:r>
      <w:r w:rsidRPr="002E1B4B">
        <w:tab/>
        <w:t xml:space="preserve">Términos contractuales que permiten al concesionario ó a la ANI prorrogar o terminar de manera anticipada el contrato de concesión Art 13 Ley 1508 de 2012. Contrato de Concesión parte general - 18.3 clausula terminación anticipada. </w:t>
      </w:r>
    </w:p>
    <w:p w14:paraId="463A1734" w14:textId="77777777" w:rsidR="003D5DB4" w:rsidRPr="002E1B4B" w:rsidRDefault="003D5DB4" w:rsidP="000A5389">
      <w:pPr>
        <w:spacing w:line="240" w:lineRule="auto"/>
      </w:pPr>
      <w:r w:rsidRPr="002E1B4B">
        <w:t>Observaciones: No se tiene observaciones</w:t>
      </w:r>
    </w:p>
    <w:p w14:paraId="425F04A9" w14:textId="77777777" w:rsidR="002E1B4B" w:rsidRDefault="002E1B4B" w:rsidP="000A5389">
      <w:pPr>
        <w:spacing w:line="240" w:lineRule="auto"/>
      </w:pPr>
    </w:p>
    <w:p w14:paraId="3D98F551" w14:textId="36DC1076" w:rsidR="003D5DB4" w:rsidRPr="002E1B4B" w:rsidRDefault="003D5DB4" w:rsidP="000A5389">
      <w:pPr>
        <w:spacing w:line="240" w:lineRule="auto"/>
      </w:pPr>
      <w:r w:rsidRPr="002E1B4B">
        <w:t>Cambios en el acuerdo de concesión que se realicen durante el periodo fiscal</w:t>
      </w:r>
    </w:p>
    <w:p w14:paraId="74B50FB4" w14:textId="77777777" w:rsidR="002E1B4B" w:rsidRDefault="002E1B4B" w:rsidP="000A5389">
      <w:pPr>
        <w:spacing w:line="240" w:lineRule="auto"/>
      </w:pPr>
    </w:p>
    <w:p w14:paraId="3007EC95" w14:textId="33704287" w:rsidR="003D5DB4" w:rsidRPr="002E1B4B" w:rsidRDefault="003D5DB4" w:rsidP="000A5389">
      <w:pPr>
        <w:spacing w:line="240" w:lineRule="auto"/>
      </w:pPr>
      <w:r w:rsidRPr="002E1B4B">
        <w:t>Adiciones o modificaciones en tiempo</w:t>
      </w:r>
    </w:p>
    <w:p w14:paraId="3B0BE6E6" w14:textId="77777777" w:rsidR="003D5DB4" w:rsidRPr="002E1B4B" w:rsidRDefault="003D5DB4" w:rsidP="000A5389">
      <w:pPr>
        <w:spacing w:line="240" w:lineRule="auto"/>
      </w:pPr>
      <w:r w:rsidRPr="002E1B4B">
        <w:t xml:space="preserve">Fechas de las adiciones o modificaciones: No aplica </w:t>
      </w:r>
    </w:p>
    <w:p w14:paraId="52A5C611" w14:textId="77777777" w:rsidR="003D5DB4" w:rsidRPr="002E1B4B" w:rsidRDefault="003D5DB4" w:rsidP="000A5389">
      <w:pPr>
        <w:spacing w:line="240" w:lineRule="auto"/>
      </w:pPr>
      <w:r w:rsidRPr="002E1B4B">
        <w:t xml:space="preserve">Nueva Fecha de finalización estimada: No aplica </w:t>
      </w:r>
    </w:p>
    <w:p w14:paraId="659EA330" w14:textId="77777777" w:rsidR="002E1B4B" w:rsidRDefault="002E1B4B" w:rsidP="000A5389">
      <w:pPr>
        <w:spacing w:line="240" w:lineRule="auto"/>
      </w:pPr>
    </w:p>
    <w:p w14:paraId="3CAC6313" w14:textId="61286459" w:rsidR="003D5DB4" w:rsidRPr="002E1B4B" w:rsidRDefault="003D5DB4" w:rsidP="000A5389">
      <w:pPr>
        <w:spacing w:line="240" w:lineRule="auto"/>
      </w:pPr>
      <w:r w:rsidRPr="002E1B4B">
        <w:t xml:space="preserve">Observaciones: No aplica </w:t>
      </w:r>
    </w:p>
    <w:p w14:paraId="3C61B522" w14:textId="77777777" w:rsidR="003D5DB4" w:rsidRPr="002E1B4B" w:rsidRDefault="003D5DB4" w:rsidP="000A5389">
      <w:pPr>
        <w:spacing w:line="240" w:lineRule="auto"/>
      </w:pPr>
      <w:r w:rsidRPr="002E1B4B">
        <w:t>Adiciones o modificaciones en valor</w:t>
      </w:r>
    </w:p>
    <w:p w14:paraId="0B6E9C0B" w14:textId="77777777" w:rsidR="003D5DB4" w:rsidRPr="002E1B4B" w:rsidRDefault="003D5DB4" w:rsidP="000A5389">
      <w:pPr>
        <w:spacing w:line="240" w:lineRule="auto"/>
      </w:pPr>
      <w:r w:rsidRPr="002E1B4B">
        <w:lastRenderedPageBreak/>
        <w:t xml:space="preserve">Valor de la adición o modificación: No aplica </w:t>
      </w:r>
    </w:p>
    <w:p w14:paraId="2D64F870" w14:textId="77777777" w:rsidR="003D5DB4" w:rsidRPr="002E1B4B" w:rsidRDefault="003D5DB4" w:rsidP="000A5389">
      <w:pPr>
        <w:spacing w:line="240" w:lineRule="auto"/>
      </w:pPr>
      <w:r w:rsidRPr="002E1B4B">
        <w:t xml:space="preserve">Nuevo valor del acuerdo: No aplica </w:t>
      </w:r>
    </w:p>
    <w:p w14:paraId="159B9B22" w14:textId="77777777" w:rsidR="003D5DB4" w:rsidRDefault="003D5DB4" w:rsidP="000A5389">
      <w:pPr>
        <w:spacing w:line="240" w:lineRule="auto"/>
      </w:pPr>
      <w:r w:rsidRPr="002E1B4B">
        <w:t xml:space="preserve">Observaciones: No aplica </w:t>
      </w:r>
    </w:p>
    <w:p w14:paraId="75920E27" w14:textId="77777777" w:rsidR="002E1B4B" w:rsidRPr="002E1B4B" w:rsidRDefault="002E1B4B" w:rsidP="000A5389">
      <w:pPr>
        <w:spacing w:line="240" w:lineRule="auto"/>
      </w:pPr>
    </w:p>
    <w:p w14:paraId="0D9B34E8" w14:textId="77777777" w:rsidR="003D5DB4" w:rsidRPr="002E1B4B" w:rsidRDefault="003D5DB4" w:rsidP="000A5389">
      <w:pPr>
        <w:spacing w:line="240" w:lineRule="auto"/>
      </w:pPr>
    </w:p>
    <w:p w14:paraId="16495BAF" w14:textId="77777777" w:rsidR="003D5DB4" w:rsidRDefault="003D5DB4" w:rsidP="000A5389">
      <w:pPr>
        <w:spacing w:line="240" w:lineRule="auto"/>
        <w:rPr>
          <w:i/>
          <w:iCs/>
        </w:rPr>
      </w:pPr>
      <w:r w:rsidRPr="002E1B4B">
        <w:rPr>
          <w:i/>
          <w:iCs/>
        </w:rPr>
        <w:t>TRONCAL DEL MAGDALENA 1</w:t>
      </w:r>
    </w:p>
    <w:p w14:paraId="51883588" w14:textId="77777777" w:rsidR="002E1B4B" w:rsidRPr="002E1B4B" w:rsidRDefault="002E1B4B" w:rsidP="000A5389">
      <w:pPr>
        <w:spacing w:line="240" w:lineRule="auto"/>
        <w:rPr>
          <w:i/>
          <w:iCs/>
        </w:rPr>
      </w:pPr>
    </w:p>
    <w:p w14:paraId="174F1348" w14:textId="77777777" w:rsidR="003D5DB4" w:rsidRPr="002E1B4B" w:rsidRDefault="003D5DB4" w:rsidP="000A5389">
      <w:pPr>
        <w:spacing w:line="240" w:lineRule="auto"/>
      </w:pPr>
      <w:r w:rsidRPr="002E1B4B">
        <w:t>Descripción del Acuerdo</w:t>
      </w:r>
    </w:p>
    <w:p w14:paraId="06AC2425" w14:textId="77777777" w:rsidR="002E1B4B" w:rsidRDefault="002E1B4B" w:rsidP="000A5389">
      <w:pPr>
        <w:spacing w:line="240" w:lineRule="auto"/>
      </w:pPr>
    </w:p>
    <w:p w14:paraId="4FA3684E" w14:textId="717A94D2" w:rsidR="003D5DB4" w:rsidRPr="002E1B4B" w:rsidRDefault="003D5DB4" w:rsidP="000A5389">
      <w:pPr>
        <w:spacing w:line="240" w:lineRule="auto"/>
      </w:pPr>
      <w:r w:rsidRPr="002E1B4B">
        <w:t>Número del Acuerdo de concesión:  Contrato de Concesión bajo el esquema de APP No. 002 de 2022.</w:t>
      </w:r>
    </w:p>
    <w:p w14:paraId="545C6314" w14:textId="77777777" w:rsidR="002E1B4B" w:rsidRDefault="002E1B4B" w:rsidP="000A5389">
      <w:pPr>
        <w:spacing w:line="240" w:lineRule="auto"/>
      </w:pPr>
    </w:p>
    <w:p w14:paraId="4AE54630" w14:textId="14F349A1" w:rsidR="003D5DB4" w:rsidRPr="002E1B4B" w:rsidRDefault="003D5DB4" w:rsidP="000A5389">
      <w:pPr>
        <w:spacing w:line="240" w:lineRule="auto"/>
      </w:pPr>
      <w:r w:rsidRPr="002E1B4B">
        <w:t>Objeto / Descripción:  La financiación, elaboración de estudios y diseños definitivos, gestión ambiental, gestión predial, gestión social, construcción, rehabilitación, mejoramiento, operación y mantenimiento del corredor “PUERTO SALGAR-BARRANCAMERMEJA”.</w:t>
      </w:r>
    </w:p>
    <w:p w14:paraId="1A6F990D" w14:textId="77777777" w:rsidR="002E1B4B" w:rsidRDefault="002E1B4B" w:rsidP="000A5389">
      <w:pPr>
        <w:spacing w:line="240" w:lineRule="auto"/>
      </w:pPr>
    </w:p>
    <w:p w14:paraId="58C26EB6" w14:textId="7751DBF1" w:rsidR="003D5DB4" w:rsidRPr="002E1B4B" w:rsidRDefault="003D5DB4" w:rsidP="000A5389">
      <w:pPr>
        <w:spacing w:line="240" w:lineRule="auto"/>
      </w:pPr>
      <w:r w:rsidRPr="002E1B4B">
        <w:t>Valor inicial:</w:t>
      </w:r>
      <w:r w:rsidRPr="002E1B4B">
        <w:tab/>
        <w:t>TRES BILLONES SETECIENTOS SESENTA Y CUATRO MIL DOSCIENTOS VEINTISIETE MILLONES CIENTO CUARENTA Y NUEVE MIL TRESCIENTOS NOVENTA Y CINCO ($3.764.227.147.395) Pesos del Mes de Referencia. ($Dic 2020)</w:t>
      </w:r>
    </w:p>
    <w:p w14:paraId="68B5E42A" w14:textId="77777777" w:rsidR="002E1B4B" w:rsidRDefault="002E1B4B" w:rsidP="000A5389">
      <w:pPr>
        <w:spacing w:line="240" w:lineRule="auto"/>
      </w:pPr>
    </w:p>
    <w:p w14:paraId="361E1CB3" w14:textId="464F3BCC" w:rsidR="003D5DB4" w:rsidRPr="002E1B4B" w:rsidRDefault="003D5DB4" w:rsidP="000A5389">
      <w:pPr>
        <w:spacing w:line="240" w:lineRule="auto"/>
      </w:pPr>
      <w:r w:rsidRPr="002E1B4B">
        <w:t>Fecha de inicio: 1/12/2022</w:t>
      </w:r>
    </w:p>
    <w:p w14:paraId="3C3FDE09" w14:textId="77777777" w:rsidR="003D5DB4" w:rsidRPr="002E1B4B" w:rsidRDefault="003D5DB4" w:rsidP="000A5389">
      <w:pPr>
        <w:spacing w:line="240" w:lineRule="auto"/>
      </w:pPr>
      <w:r w:rsidRPr="002E1B4B">
        <w:t>Fecha de finalización estimada: 1/12/2047</w:t>
      </w:r>
    </w:p>
    <w:p w14:paraId="7935E565" w14:textId="77777777" w:rsidR="003D5DB4" w:rsidRPr="002E1B4B" w:rsidRDefault="003D5DB4" w:rsidP="000A5389">
      <w:pPr>
        <w:spacing w:line="240" w:lineRule="auto"/>
      </w:pPr>
      <w:r w:rsidRPr="002E1B4B">
        <w:t>Tipo ID: NIT</w:t>
      </w:r>
    </w:p>
    <w:p w14:paraId="23AE43A3" w14:textId="77777777" w:rsidR="003D5DB4" w:rsidRPr="002E1B4B" w:rsidRDefault="003D5DB4" w:rsidP="000A5389">
      <w:pPr>
        <w:spacing w:line="240" w:lineRule="auto"/>
      </w:pPr>
      <w:r w:rsidRPr="002E1B4B">
        <w:t>Número ID:</w:t>
      </w:r>
      <w:r w:rsidRPr="002E1B4B">
        <w:tab/>
        <w:t>901.602.085-8</w:t>
      </w:r>
    </w:p>
    <w:p w14:paraId="6F658613" w14:textId="24FEFE0B" w:rsidR="003D5DB4" w:rsidRPr="002E1B4B" w:rsidRDefault="003D5DB4" w:rsidP="000A5389">
      <w:pPr>
        <w:spacing w:line="240" w:lineRule="auto"/>
      </w:pPr>
      <w:r w:rsidRPr="002E1B4B">
        <w:t>Razón social del concesionario: AUTOPISTA MAGDALENA MEDIO SAS</w:t>
      </w:r>
    </w:p>
    <w:p w14:paraId="24D57A25" w14:textId="77777777" w:rsidR="003D5DB4" w:rsidRPr="002E1B4B" w:rsidRDefault="003D5DB4" w:rsidP="000A5389">
      <w:pPr>
        <w:spacing w:line="240" w:lineRule="auto"/>
      </w:pPr>
      <w:r w:rsidRPr="002E1B4B">
        <w:t>Nombre del proyecto: PUERTO SALGAR-BARRANCABERMEJA</w:t>
      </w:r>
    </w:p>
    <w:p w14:paraId="3D36C3CE" w14:textId="77777777" w:rsidR="002E1B4B" w:rsidRDefault="002E1B4B" w:rsidP="000A5389">
      <w:pPr>
        <w:spacing w:line="240" w:lineRule="auto"/>
      </w:pPr>
    </w:p>
    <w:p w14:paraId="2CBB9F01" w14:textId="7943E861" w:rsidR="003D5DB4" w:rsidRPr="002E1B4B" w:rsidRDefault="003D5DB4" w:rsidP="000A5389">
      <w:pPr>
        <w:spacing w:line="240" w:lineRule="auto"/>
      </w:pPr>
      <w:r w:rsidRPr="002E1B4B">
        <w:t>Términos significativos del Acuerdo que puedan afectar su valor, el calendario y la certeza de los flujos de efectivo futuros</w:t>
      </w:r>
    </w:p>
    <w:p w14:paraId="70C2035D" w14:textId="77777777" w:rsidR="002E1B4B" w:rsidRDefault="002E1B4B" w:rsidP="000A5389">
      <w:pPr>
        <w:spacing w:line="240" w:lineRule="auto"/>
      </w:pPr>
    </w:p>
    <w:p w14:paraId="34CFC0BB" w14:textId="79028555" w:rsidR="003D5DB4" w:rsidRPr="002E1B4B" w:rsidRDefault="003D5DB4" w:rsidP="000A5389">
      <w:pPr>
        <w:spacing w:line="240" w:lineRule="auto"/>
      </w:pPr>
      <w:r w:rsidRPr="002E1B4B">
        <w:t>Términos de valor:</w:t>
      </w:r>
      <w:r w:rsidRPr="002E1B4B">
        <w:tab/>
        <w:t>De acuerdo con lo establecido en el numeral 4.2 de la parte general del Contrato de Concesión, la estructura tarifaria sin incluir las tasas correspondientes al Fondo de Seguridad Vial, que rige el Proyecto está compuesta por las siguientes tarifas, expresadas en precios de diciembre de 2020.</w:t>
      </w:r>
    </w:p>
    <w:p w14:paraId="73ECF612" w14:textId="77777777" w:rsidR="002E1B4B" w:rsidRDefault="002E1B4B" w:rsidP="000A5389">
      <w:pPr>
        <w:spacing w:line="240" w:lineRule="auto"/>
      </w:pPr>
    </w:p>
    <w:p w14:paraId="212197D5" w14:textId="5E07FFCB" w:rsidR="003D5DB4" w:rsidRPr="002E1B4B" w:rsidRDefault="003D5DB4" w:rsidP="000A5389">
      <w:pPr>
        <w:spacing w:line="240" w:lineRule="auto"/>
      </w:pPr>
      <w:r w:rsidRPr="002E1B4B">
        <w:t>CATEGORÍAS</w:t>
      </w:r>
      <w:r w:rsidRPr="002E1B4B">
        <w:tab/>
        <w:t>Peaje Zambito</w:t>
      </w:r>
      <w:r w:rsidRPr="002E1B4B">
        <w:tab/>
        <w:t>Peaje Aguas Negras</w:t>
      </w:r>
    </w:p>
    <w:p w14:paraId="20CA8E50" w14:textId="77777777" w:rsidR="003D5DB4" w:rsidRPr="002E1B4B" w:rsidRDefault="003D5DB4" w:rsidP="000A5389">
      <w:pPr>
        <w:spacing w:line="240" w:lineRule="auto"/>
      </w:pPr>
      <w:r w:rsidRPr="002E1B4B">
        <w:t>Categoría I</w:t>
      </w:r>
      <w:r w:rsidRPr="002E1B4B">
        <w:tab/>
        <w:t>$ 10.900</w:t>
      </w:r>
      <w:r w:rsidRPr="002E1B4B">
        <w:tab/>
        <w:t>$ 10.900</w:t>
      </w:r>
    </w:p>
    <w:p w14:paraId="15C254ED" w14:textId="77777777" w:rsidR="003D5DB4" w:rsidRPr="002E1B4B" w:rsidRDefault="003D5DB4" w:rsidP="000A5389">
      <w:pPr>
        <w:spacing w:line="240" w:lineRule="auto"/>
      </w:pPr>
      <w:r w:rsidRPr="002E1B4B">
        <w:t>Categoría II</w:t>
      </w:r>
      <w:r w:rsidRPr="002E1B4B">
        <w:tab/>
        <w:t>$ 13.800</w:t>
      </w:r>
      <w:r w:rsidRPr="002E1B4B">
        <w:tab/>
        <w:t>$ 13.800</w:t>
      </w:r>
    </w:p>
    <w:p w14:paraId="5B40D4F9" w14:textId="77777777" w:rsidR="003D5DB4" w:rsidRPr="002E1B4B" w:rsidRDefault="003D5DB4" w:rsidP="000A5389">
      <w:pPr>
        <w:spacing w:line="240" w:lineRule="auto"/>
      </w:pPr>
      <w:r w:rsidRPr="002E1B4B">
        <w:t>Categoría III</w:t>
      </w:r>
      <w:r w:rsidRPr="002E1B4B">
        <w:tab/>
        <w:t>$ 32.700</w:t>
      </w:r>
      <w:r w:rsidRPr="002E1B4B">
        <w:tab/>
        <w:t>$ 32.700</w:t>
      </w:r>
    </w:p>
    <w:p w14:paraId="61373C3B" w14:textId="77777777" w:rsidR="003D5DB4" w:rsidRPr="002E1B4B" w:rsidRDefault="003D5DB4" w:rsidP="000A5389">
      <w:pPr>
        <w:spacing w:line="240" w:lineRule="auto"/>
      </w:pPr>
      <w:r w:rsidRPr="002E1B4B">
        <w:t>Categoría IV</w:t>
      </w:r>
      <w:r w:rsidRPr="002E1B4B">
        <w:tab/>
        <w:t>$ 39.200</w:t>
      </w:r>
      <w:r w:rsidRPr="002E1B4B">
        <w:tab/>
        <w:t>$ 39.200</w:t>
      </w:r>
    </w:p>
    <w:p w14:paraId="1F0E933B" w14:textId="77777777" w:rsidR="003D5DB4" w:rsidRPr="002E1B4B" w:rsidRDefault="003D5DB4" w:rsidP="000A5389">
      <w:pPr>
        <w:spacing w:line="240" w:lineRule="auto"/>
      </w:pPr>
      <w:r w:rsidRPr="002E1B4B">
        <w:t>Categoría V</w:t>
      </w:r>
      <w:r w:rsidRPr="002E1B4B">
        <w:tab/>
        <w:t>$ 46.100</w:t>
      </w:r>
      <w:r w:rsidRPr="002E1B4B">
        <w:tab/>
        <w:t>$ 46.100</w:t>
      </w:r>
    </w:p>
    <w:p w14:paraId="0D32F236" w14:textId="77777777" w:rsidR="003D5DB4" w:rsidRPr="002E1B4B" w:rsidRDefault="003D5DB4" w:rsidP="000A5389">
      <w:pPr>
        <w:spacing w:line="240" w:lineRule="auto"/>
      </w:pPr>
    </w:p>
    <w:p w14:paraId="7682C8CC" w14:textId="77777777" w:rsidR="003D5DB4" w:rsidRPr="002E1B4B" w:rsidRDefault="003D5DB4" w:rsidP="000A5389">
      <w:pPr>
        <w:spacing w:line="240" w:lineRule="auto"/>
      </w:pPr>
      <w:r w:rsidRPr="002E1B4B">
        <w:lastRenderedPageBreak/>
        <w:t>Adicionalmente, una vez la ANI profirió las condiciones para asignar a los beneficiarios entraron a operar las siguientes Tarifas Diferenciales Especiales, sin incluir FOSEVI, expresadas en precios constantes de diciembre de 2020:</w:t>
      </w:r>
    </w:p>
    <w:p w14:paraId="125E2962" w14:textId="77777777" w:rsidR="003D5DB4" w:rsidRPr="002E1B4B" w:rsidRDefault="003D5DB4" w:rsidP="000A5389">
      <w:pPr>
        <w:spacing w:line="240" w:lineRule="auto"/>
      </w:pPr>
      <w:r w:rsidRPr="002E1B4B">
        <w:t>Categoría Vehicular</w:t>
      </w:r>
      <w:r w:rsidRPr="002E1B4B">
        <w:tab/>
        <w:t>Tarifa</w:t>
      </w:r>
    </w:p>
    <w:p w14:paraId="41663E0A" w14:textId="77777777" w:rsidR="003D5DB4" w:rsidRPr="002E1B4B" w:rsidRDefault="003D5DB4" w:rsidP="000A5389">
      <w:pPr>
        <w:spacing w:line="240" w:lineRule="auto"/>
      </w:pPr>
      <w:r w:rsidRPr="002E1B4B">
        <w:t>Categoría IE</w:t>
      </w:r>
      <w:r w:rsidRPr="002E1B4B">
        <w:tab/>
        <w:t>$5.500</w:t>
      </w:r>
    </w:p>
    <w:p w14:paraId="0A66CA45" w14:textId="77777777" w:rsidR="003D5DB4" w:rsidRPr="002E1B4B" w:rsidRDefault="003D5DB4" w:rsidP="000A5389">
      <w:pPr>
        <w:spacing w:line="240" w:lineRule="auto"/>
      </w:pPr>
      <w:r w:rsidRPr="002E1B4B">
        <w:t>Categoría IIE</w:t>
      </w:r>
      <w:r w:rsidRPr="002E1B4B">
        <w:tab/>
        <w:t>$6.900</w:t>
      </w:r>
    </w:p>
    <w:p w14:paraId="246A7B3B" w14:textId="77777777" w:rsidR="003D5DB4" w:rsidRPr="002E1B4B" w:rsidRDefault="003D5DB4" w:rsidP="000A5389">
      <w:pPr>
        <w:spacing w:line="240" w:lineRule="auto"/>
      </w:pPr>
    </w:p>
    <w:p w14:paraId="240648D2" w14:textId="77777777" w:rsidR="003D5DB4" w:rsidRPr="002E1B4B" w:rsidRDefault="003D5DB4" w:rsidP="000A5389">
      <w:pPr>
        <w:spacing w:line="240" w:lineRule="auto"/>
      </w:pPr>
      <w:r w:rsidRPr="002E1B4B">
        <w:t>La resolución No. 20243040065055 del 31 de diciembre de 2024, expedida por el Ministerio de Transporte, establece que los ajustes tarifarios se aplicarán en tres etapas:</w:t>
      </w:r>
    </w:p>
    <w:p w14:paraId="20247795" w14:textId="77777777" w:rsidR="003D5DB4" w:rsidRPr="002E1B4B" w:rsidRDefault="003D5DB4" w:rsidP="000A5389">
      <w:pPr>
        <w:spacing w:line="240" w:lineRule="auto"/>
      </w:pPr>
      <w:r w:rsidRPr="002E1B4B">
        <w:t>1.</w:t>
      </w:r>
      <w:r w:rsidRPr="002E1B4B">
        <w:tab/>
        <w:t>Del 1 al 15 de enero de 2025.</w:t>
      </w:r>
    </w:p>
    <w:p w14:paraId="320C5A0F" w14:textId="77777777" w:rsidR="003D5DB4" w:rsidRPr="002E1B4B" w:rsidRDefault="003D5DB4" w:rsidP="000A5389">
      <w:pPr>
        <w:spacing w:line="240" w:lineRule="auto"/>
      </w:pPr>
      <w:r w:rsidRPr="002E1B4B">
        <w:t>2.</w:t>
      </w:r>
      <w:r w:rsidRPr="002E1B4B">
        <w:tab/>
        <w:t>Del 16 de enero al 31 de marzo de 2025.</w:t>
      </w:r>
    </w:p>
    <w:p w14:paraId="1EE7BD81" w14:textId="77777777" w:rsidR="003D5DB4" w:rsidRPr="002E1B4B" w:rsidRDefault="003D5DB4" w:rsidP="000A5389">
      <w:pPr>
        <w:spacing w:line="240" w:lineRule="auto"/>
      </w:pPr>
      <w:r w:rsidRPr="002E1B4B">
        <w:t>3.</w:t>
      </w:r>
      <w:r w:rsidRPr="002E1B4B">
        <w:tab/>
        <w:t>A partir del 1 de abril de 2025, con el objetivo de estabilizar las tarifas en relación con el Índice de Precios al Consumidor (IPC) de los años 2023 y 2024.</w:t>
      </w:r>
    </w:p>
    <w:p w14:paraId="3B5DBF5A" w14:textId="77777777" w:rsidR="003D5DB4" w:rsidRPr="002E1B4B" w:rsidRDefault="003D5DB4" w:rsidP="000A5389">
      <w:pPr>
        <w:spacing w:line="240" w:lineRule="auto"/>
      </w:pPr>
    </w:p>
    <w:p w14:paraId="1682B019" w14:textId="77777777" w:rsidR="003D5DB4" w:rsidRPr="002E1B4B" w:rsidRDefault="003D5DB4" w:rsidP="000A5389">
      <w:pPr>
        <w:spacing w:line="240" w:lineRule="auto"/>
      </w:pPr>
      <w:r w:rsidRPr="002E1B4B">
        <w:t>El valor del FOSEVI para el año 2025, a partir del 16 de enero de 2025, se determinó conforme a la metodología establecida en la resolución N.º 20243040001135 del 15 de enero de 2024, emitida por el Ministerio de Transporte. Con comunicación ANI 20254090780192 del 21 de junio de 2025, se informó al Concesionario la necesidad de ajustar las tarifas correspondientes a las Categorías IIE, IV y Eje Remolque:</w:t>
      </w:r>
    </w:p>
    <w:p w14:paraId="2EAA5EBD" w14:textId="77777777" w:rsidR="003D5DB4" w:rsidRDefault="003D5DB4" w:rsidP="000A5389">
      <w:pPr>
        <w:spacing w:line="240" w:lineRule="auto"/>
      </w:pPr>
      <w:r w:rsidRPr="002E1B4B">
        <w:t>Las tarifas ajustadas que rigen a partir del 21 de junio de 2025 son las siguientes</w:t>
      </w:r>
    </w:p>
    <w:p w14:paraId="465A9B14" w14:textId="77777777" w:rsidR="001B234E" w:rsidRPr="002E1B4B" w:rsidRDefault="001B234E" w:rsidP="000A5389">
      <w:pPr>
        <w:spacing w:line="240" w:lineRule="auto"/>
      </w:pPr>
    </w:p>
    <w:p w14:paraId="59014037" w14:textId="77777777" w:rsidR="003D5DB4" w:rsidRPr="002E1B4B" w:rsidRDefault="003D5DB4" w:rsidP="000A5389">
      <w:pPr>
        <w:spacing w:line="240" w:lineRule="auto"/>
      </w:pPr>
      <w:r w:rsidRPr="002E1B4B">
        <w:t>Categoría</w:t>
      </w:r>
      <w:r w:rsidRPr="002E1B4B">
        <w:tab/>
      </w:r>
      <w:r w:rsidRPr="002E1B4B">
        <w:tab/>
        <w:t>Descripción</w:t>
      </w:r>
      <w:r w:rsidRPr="002E1B4B">
        <w:tab/>
      </w:r>
      <w:r w:rsidRPr="002E1B4B">
        <w:tab/>
        <w:t>Tarifas desde el 21/06/25</w:t>
      </w:r>
    </w:p>
    <w:p w14:paraId="200969BB" w14:textId="77777777" w:rsidR="003D5DB4" w:rsidRPr="002E1B4B" w:rsidRDefault="003D5DB4" w:rsidP="000A5389">
      <w:pPr>
        <w:spacing w:line="240" w:lineRule="auto"/>
      </w:pPr>
      <w:r w:rsidRPr="002E1B4B">
        <w:t>I</w:t>
      </w:r>
      <w:r w:rsidRPr="002E1B4B">
        <w:tab/>
        <w:t>Automóviles, Camperos y Camionetas</w:t>
      </w:r>
      <w:r w:rsidRPr="002E1B4B">
        <w:tab/>
        <w:t>$15.500</w:t>
      </w:r>
    </w:p>
    <w:p w14:paraId="2429E60E" w14:textId="77777777" w:rsidR="003D5DB4" w:rsidRPr="002E1B4B" w:rsidRDefault="003D5DB4" w:rsidP="000A5389">
      <w:pPr>
        <w:spacing w:line="240" w:lineRule="auto"/>
      </w:pPr>
      <w:r w:rsidRPr="002E1B4B">
        <w:t>IE</w:t>
      </w:r>
      <w:r w:rsidRPr="002E1B4B">
        <w:tab/>
        <w:t>Automóviles, Camperos y Camionetas</w:t>
      </w:r>
      <w:r w:rsidRPr="002E1B4B">
        <w:tab/>
        <w:t>$8.100</w:t>
      </w:r>
    </w:p>
    <w:p w14:paraId="766B669F" w14:textId="77777777" w:rsidR="003D5DB4" w:rsidRPr="002E1B4B" w:rsidRDefault="003D5DB4" w:rsidP="000A5389">
      <w:pPr>
        <w:spacing w:line="240" w:lineRule="auto"/>
      </w:pPr>
      <w:r w:rsidRPr="002E1B4B">
        <w:t>II</w:t>
      </w:r>
      <w:r w:rsidRPr="002E1B4B">
        <w:tab/>
        <w:t>Buses y Busetas y camiones de 2 ejes</w:t>
      </w:r>
      <w:r w:rsidRPr="002E1B4B">
        <w:tab/>
        <w:t>$19.500</w:t>
      </w:r>
    </w:p>
    <w:p w14:paraId="114CE32B" w14:textId="77777777" w:rsidR="003D5DB4" w:rsidRPr="002E1B4B" w:rsidRDefault="003D5DB4" w:rsidP="000A5389">
      <w:pPr>
        <w:spacing w:line="240" w:lineRule="auto"/>
      </w:pPr>
      <w:r w:rsidRPr="002E1B4B">
        <w:t>IIE</w:t>
      </w:r>
      <w:r w:rsidRPr="002E1B4B">
        <w:tab/>
        <w:t>Buses y Busetas y camiones de 2 ejes</w:t>
      </w:r>
      <w:r w:rsidRPr="002E1B4B">
        <w:tab/>
        <w:t>$10.100</w:t>
      </w:r>
    </w:p>
    <w:p w14:paraId="4DB39068" w14:textId="77777777" w:rsidR="003D5DB4" w:rsidRPr="002E1B4B" w:rsidRDefault="003D5DB4" w:rsidP="000A5389">
      <w:pPr>
        <w:spacing w:line="240" w:lineRule="auto"/>
      </w:pPr>
      <w:r w:rsidRPr="002E1B4B">
        <w:t>III</w:t>
      </w:r>
      <w:r w:rsidRPr="002E1B4B">
        <w:tab/>
        <w:t>Camiones de 3 y 4 ejes</w:t>
      </w:r>
      <w:r w:rsidRPr="002E1B4B">
        <w:tab/>
        <w:t>$45.300</w:t>
      </w:r>
    </w:p>
    <w:p w14:paraId="7CB7D0ED" w14:textId="77777777" w:rsidR="003D5DB4" w:rsidRPr="002E1B4B" w:rsidRDefault="003D5DB4" w:rsidP="000A5389">
      <w:pPr>
        <w:spacing w:line="240" w:lineRule="auto"/>
      </w:pPr>
      <w:r w:rsidRPr="002E1B4B">
        <w:t>IV</w:t>
      </w:r>
      <w:r w:rsidRPr="002E1B4B">
        <w:tab/>
        <w:t>Camiones de 5 ejes</w:t>
      </w:r>
      <w:r w:rsidRPr="002E1B4B">
        <w:tab/>
      </w:r>
      <w:r w:rsidRPr="002E1B4B">
        <w:tab/>
      </w:r>
      <w:r w:rsidRPr="002E1B4B">
        <w:tab/>
      </w:r>
      <w:r w:rsidRPr="002E1B4B">
        <w:tab/>
        <w:t>$54.300</w:t>
      </w:r>
    </w:p>
    <w:p w14:paraId="32D70A8F" w14:textId="77777777" w:rsidR="003D5DB4" w:rsidRPr="002E1B4B" w:rsidRDefault="003D5DB4" w:rsidP="000A5389">
      <w:pPr>
        <w:spacing w:line="240" w:lineRule="auto"/>
      </w:pPr>
      <w:r w:rsidRPr="002E1B4B">
        <w:t>V</w:t>
      </w:r>
      <w:r w:rsidRPr="002E1B4B">
        <w:tab/>
        <w:t>Camiones de 6 ejes</w:t>
      </w:r>
      <w:r w:rsidRPr="002E1B4B">
        <w:tab/>
      </w:r>
      <w:r w:rsidRPr="002E1B4B">
        <w:tab/>
      </w:r>
      <w:r w:rsidRPr="002E1B4B">
        <w:tab/>
      </w:r>
      <w:r w:rsidRPr="002E1B4B">
        <w:tab/>
        <w:t>$63.900</w:t>
      </w:r>
    </w:p>
    <w:p w14:paraId="7EBCF087" w14:textId="77777777" w:rsidR="003D5DB4" w:rsidRPr="002E1B4B" w:rsidRDefault="003D5DB4" w:rsidP="000A5389">
      <w:pPr>
        <w:spacing w:line="240" w:lineRule="auto"/>
      </w:pPr>
      <w:r w:rsidRPr="002E1B4B">
        <w:t>EG</w:t>
      </w:r>
      <w:r w:rsidRPr="002E1B4B">
        <w:tab/>
        <w:t>Eje Grúa</w:t>
      </w:r>
      <w:r w:rsidRPr="002E1B4B">
        <w:tab/>
      </w:r>
      <w:r w:rsidRPr="002E1B4B">
        <w:tab/>
      </w:r>
      <w:r w:rsidRPr="002E1B4B">
        <w:tab/>
      </w:r>
      <w:r w:rsidRPr="002E1B4B">
        <w:tab/>
      </w:r>
      <w:r w:rsidRPr="002E1B4B">
        <w:tab/>
        <w:t>$10.100</w:t>
      </w:r>
    </w:p>
    <w:p w14:paraId="3164706B" w14:textId="77777777" w:rsidR="003D5DB4" w:rsidRPr="002E1B4B" w:rsidRDefault="003D5DB4" w:rsidP="000A5389">
      <w:pPr>
        <w:spacing w:line="240" w:lineRule="auto"/>
      </w:pPr>
      <w:r w:rsidRPr="002E1B4B">
        <w:t>EA</w:t>
      </w:r>
      <w:r w:rsidRPr="002E1B4B">
        <w:tab/>
        <w:t>Eje Adicional</w:t>
      </w:r>
      <w:r w:rsidRPr="002E1B4B">
        <w:tab/>
      </w:r>
      <w:r w:rsidRPr="002E1B4B">
        <w:tab/>
      </w:r>
      <w:r w:rsidRPr="002E1B4B">
        <w:tab/>
      </w:r>
      <w:r w:rsidRPr="002E1B4B">
        <w:tab/>
      </w:r>
      <w:r w:rsidRPr="002E1B4B">
        <w:tab/>
        <w:t>$14.300</w:t>
      </w:r>
    </w:p>
    <w:p w14:paraId="753978A2" w14:textId="77777777" w:rsidR="003D5DB4" w:rsidRPr="002E1B4B" w:rsidRDefault="003D5DB4" w:rsidP="000A5389">
      <w:pPr>
        <w:spacing w:line="240" w:lineRule="auto"/>
      </w:pPr>
      <w:r w:rsidRPr="002E1B4B">
        <w:t>AR</w:t>
      </w:r>
      <w:r w:rsidRPr="002E1B4B">
        <w:tab/>
        <w:t>Eje Remolque</w:t>
      </w:r>
      <w:r w:rsidRPr="002E1B4B">
        <w:tab/>
      </w:r>
      <w:r w:rsidRPr="002E1B4B">
        <w:tab/>
      </w:r>
      <w:r w:rsidRPr="002E1B4B">
        <w:tab/>
      </w:r>
      <w:r w:rsidRPr="002E1B4B">
        <w:tab/>
      </w:r>
      <w:r w:rsidRPr="002E1B4B">
        <w:tab/>
        <w:t>$14.000</w:t>
      </w:r>
    </w:p>
    <w:p w14:paraId="38D5CECC" w14:textId="77777777" w:rsidR="003D5DB4" w:rsidRPr="002E1B4B" w:rsidRDefault="003D5DB4" w:rsidP="000A5389">
      <w:pPr>
        <w:spacing w:line="240" w:lineRule="auto"/>
      </w:pPr>
    </w:p>
    <w:p w14:paraId="7D6B29F8" w14:textId="77777777" w:rsidR="003D5DB4" w:rsidRPr="002E1B4B" w:rsidRDefault="003D5DB4" w:rsidP="000A5389">
      <w:pPr>
        <w:spacing w:line="240" w:lineRule="auto"/>
      </w:pPr>
      <w:r w:rsidRPr="002E1B4B">
        <w:t>Parte Especial 4.4 Giros de Equity: El Concesionario deberá girar como mínimo a la Cuenta Proyecto los valores expresados en Pesos del Mes de Referencia dentro de los plazos establecidos.</w:t>
      </w:r>
    </w:p>
    <w:p w14:paraId="13360256" w14:textId="77777777" w:rsidR="003D5DB4" w:rsidRPr="002E1B4B" w:rsidRDefault="003D5DB4" w:rsidP="000A5389">
      <w:pPr>
        <w:spacing w:line="240" w:lineRule="auto"/>
      </w:pPr>
      <w:r w:rsidRPr="002E1B4B">
        <w:t>CONTRACTUAL</w:t>
      </w:r>
    </w:p>
    <w:p w14:paraId="41FA5D1E" w14:textId="77777777" w:rsidR="002E1B4B" w:rsidRDefault="002E1B4B" w:rsidP="000A5389">
      <w:pPr>
        <w:spacing w:line="240" w:lineRule="auto"/>
      </w:pPr>
    </w:p>
    <w:p w14:paraId="1A045ECF" w14:textId="64A8FCE2" w:rsidR="003D5DB4" w:rsidRPr="002E1B4B" w:rsidRDefault="003D5DB4" w:rsidP="000A5389">
      <w:pPr>
        <w:spacing w:line="240" w:lineRule="auto"/>
      </w:pPr>
      <w:r w:rsidRPr="002E1B4B">
        <w:t>Giros</w:t>
      </w:r>
      <w:r w:rsidRPr="002E1B4B">
        <w:tab/>
        <w:t>Monto mínimo *Mes de Referencia: diciembre 2020 Fecha máxima del Aporte Fechas Calendario</w:t>
      </w:r>
    </w:p>
    <w:p w14:paraId="34B5DC34" w14:textId="77777777" w:rsidR="003D5DB4" w:rsidRDefault="003D5DB4" w:rsidP="000A5389">
      <w:pPr>
        <w:spacing w:line="240" w:lineRule="auto"/>
      </w:pPr>
      <w:r w:rsidRPr="002E1B4B">
        <w:t xml:space="preserve">Giro Inicial </w:t>
      </w:r>
      <w:r w:rsidRPr="002E1B4B">
        <w:tab/>
        <w:t>$130.820.855.849,00 Al momento de constitución del Patrimonio Autónomo 1/08/2022</w:t>
      </w:r>
    </w:p>
    <w:p w14:paraId="0FF1CD1D" w14:textId="77777777" w:rsidR="001B234E" w:rsidRPr="002E1B4B" w:rsidRDefault="001B234E" w:rsidP="000A5389">
      <w:pPr>
        <w:spacing w:line="240" w:lineRule="auto"/>
      </w:pPr>
    </w:p>
    <w:p w14:paraId="3FCD88CA" w14:textId="77777777" w:rsidR="003D5DB4" w:rsidRPr="002E1B4B" w:rsidRDefault="003D5DB4" w:rsidP="000A5389">
      <w:pPr>
        <w:spacing w:line="240" w:lineRule="auto"/>
      </w:pPr>
      <w:r w:rsidRPr="002E1B4B">
        <w:t>Giro 1</w:t>
      </w:r>
      <w:r w:rsidRPr="002E1B4B">
        <w:tab/>
      </w:r>
      <w:r w:rsidRPr="002E1B4B">
        <w:tab/>
        <w:t xml:space="preserve">$ 20.839.884.218,00 </w:t>
      </w:r>
      <w:r w:rsidRPr="002E1B4B">
        <w:tab/>
        <w:t>180 días desde el a fecha de inicio</w:t>
      </w:r>
      <w:r w:rsidRPr="002E1B4B">
        <w:tab/>
        <w:t>30/05/2023</w:t>
      </w:r>
    </w:p>
    <w:p w14:paraId="4B057550" w14:textId="77777777" w:rsidR="003D5DB4" w:rsidRPr="002E1B4B" w:rsidRDefault="003D5DB4" w:rsidP="000A5389">
      <w:pPr>
        <w:spacing w:line="240" w:lineRule="auto"/>
      </w:pPr>
      <w:r w:rsidRPr="002E1B4B">
        <w:lastRenderedPageBreak/>
        <w:t>Giro 2</w:t>
      </w:r>
      <w:r w:rsidRPr="002E1B4B">
        <w:tab/>
        <w:t xml:space="preserve"> </w:t>
      </w:r>
      <w:r w:rsidRPr="002E1B4B">
        <w:tab/>
        <w:t xml:space="preserve">$ 72.670.718.622,00 </w:t>
      </w:r>
      <w:r w:rsidRPr="002E1B4B">
        <w:tab/>
        <w:t>360 días desde la fecha de inicio</w:t>
      </w:r>
      <w:r w:rsidRPr="002E1B4B">
        <w:tab/>
        <w:t>26/11/2023</w:t>
      </w:r>
    </w:p>
    <w:p w14:paraId="2B72664A" w14:textId="77777777" w:rsidR="003D5DB4" w:rsidRPr="002E1B4B" w:rsidRDefault="003D5DB4" w:rsidP="000A5389">
      <w:pPr>
        <w:spacing w:line="240" w:lineRule="auto"/>
      </w:pPr>
      <w:r w:rsidRPr="002E1B4B">
        <w:t>Giro 3</w:t>
      </w:r>
      <w:r w:rsidRPr="002E1B4B">
        <w:tab/>
        <w:t xml:space="preserve">            $172.609.163.834,00 </w:t>
      </w:r>
      <w:r w:rsidRPr="002E1B4B">
        <w:tab/>
        <w:t>720 días desde la fecha de inicio</w:t>
      </w:r>
      <w:r w:rsidRPr="002E1B4B">
        <w:tab/>
        <w:t>20/11/2024</w:t>
      </w:r>
    </w:p>
    <w:p w14:paraId="5ECAF1C2" w14:textId="77777777" w:rsidR="003D5DB4" w:rsidRPr="002E1B4B" w:rsidRDefault="003D5DB4" w:rsidP="000A5389">
      <w:pPr>
        <w:spacing w:line="240" w:lineRule="auto"/>
      </w:pPr>
      <w:r w:rsidRPr="002E1B4B">
        <w:t>Giro 4</w:t>
      </w:r>
      <w:r w:rsidRPr="002E1B4B">
        <w:tab/>
        <w:t xml:space="preserve">              $63.492.836.726,00 </w:t>
      </w:r>
      <w:r w:rsidRPr="002E1B4B">
        <w:tab/>
        <w:t>1080 días desde la fecha de inicio</w:t>
      </w:r>
      <w:r w:rsidRPr="002E1B4B">
        <w:tab/>
        <w:t>15/11/2025</w:t>
      </w:r>
    </w:p>
    <w:p w14:paraId="2AA98741" w14:textId="77777777" w:rsidR="003D5DB4" w:rsidRPr="002E1B4B" w:rsidRDefault="003D5DB4" w:rsidP="000A5389">
      <w:pPr>
        <w:spacing w:line="240" w:lineRule="auto"/>
      </w:pPr>
      <w:r w:rsidRPr="002E1B4B">
        <w:t>TOTAL</w:t>
      </w:r>
      <w:r w:rsidRPr="002E1B4B">
        <w:tab/>
        <w:t xml:space="preserve">            $460.433.459.249,00 </w:t>
      </w:r>
      <w:r w:rsidRPr="002E1B4B">
        <w:tab/>
        <w:t xml:space="preserve"> </w:t>
      </w:r>
      <w:r w:rsidRPr="002E1B4B">
        <w:tab/>
        <w:t xml:space="preserve"> </w:t>
      </w:r>
    </w:p>
    <w:p w14:paraId="09B6CD5D" w14:textId="77777777" w:rsidR="002E1B4B" w:rsidRDefault="002E1B4B" w:rsidP="000A5389">
      <w:pPr>
        <w:spacing w:line="240" w:lineRule="auto"/>
      </w:pPr>
    </w:p>
    <w:p w14:paraId="44B6920B" w14:textId="3CD31AC5" w:rsidR="003D5DB4" w:rsidRPr="002E1B4B" w:rsidRDefault="003D5DB4" w:rsidP="000A5389">
      <w:pPr>
        <w:spacing w:line="240" w:lineRule="auto"/>
      </w:pPr>
      <w:r w:rsidRPr="002E1B4B">
        <w:t>Parte Especial 4.5 Fondeo de Subcuentas del Patrimonio Autónomo. Se indica los fondeos contractuales a las siguientes cuentas del Fideicomiso.</w:t>
      </w:r>
    </w:p>
    <w:p w14:paraId="2B0D8A23" w14:textId="77777777" w:rsidR="003D5DB4" w:rsidRPr="002E1B4B" w:rsidRDefault="003D5DB4" w:rsidP="000A5389">
      <w:pPr>
        <w:spacing w:line="240" w:lineRule="auto"/>
      </w:pPr>
      <w:r w:rsidRPr="002E1B4B">
        <w:t>Subcuenta Redes</w:t>
      </w:r>
    </w:p>
    <w:p w14:paraId="417927E6" w14:textId="77777777" w:rsidR="003D5DB4" w:rsidRPr="002E1B4B" w:rsidRDefault="003D5DB4" w:rsidP="000A5389">
      <w:pPr>
        <w:spacing w:line="240" w:lineRule="auto"/>
      </w:pPr>
      <w:r w:rsidRPr="002E1B4B">
        <w:t>Aporte</w:t>
      </w:r>
      <w:r w:rsidRPr="002E1B4B">
        <w:tab/>
        <w:t>Monto establecido ($ Dic 2020)</w:t>
      </w:r>
      <w:r w:rsidRPr="002E1B4B">
        <w:tab/>
        <w:t>Fecha Máxima del Aporte    Fecha máxima estimada de giro</w:t>
      </w:r>
    </w:p>
    <w:p w14:paraId="70B6696E" w14:textId="77777777" w:rsidR="002E1B4B" w:rsidRDefault="002E1B4B" w:rsidP="000A5389">
      <w:pPr>
        <w:spacing w:line="240" w:lineRule="auto"/>
      </w:pPr>
    </w:p>
    <w:p w14:paraId="5FFC6B75" w14:textId="57E8AED4" w:rsidR="003D5DB4" w:rsidRPr="002E1B4B" w:rsidRDefault="003D5DB4" w:rsidP="000A5389">
      <w:pPr>
        <w:spacing w:line="240" w:lineRule="auto"/>
      </w:pPr>
      <w:r w:rsidRPr="002E1B4B">
        <w:t xml:space="preserve">Aporte Inicial </w:t>
      </w:r>
      <w:r w:rsidR="002E1B4B" w:rsidRPr="002E1B4B">
        <w:t>$ 5.108.789.378</w:t>
      </w:r>
      <w:r w:rsidRPr="002E1B4B">
        <w:t xml:space="preserve"> Constitución del Patrimonio Autónomo1/08/2022</w:t>
      </w:r>
    </w:p>
    <w:p w14:paraId="71B35D97" w14:textId="77777777" w:rsidR="003D5DB4" w:rsidRPr="002E1B4B" w:rsidRDefault="003D5DB4" w:rsidP="000A5389">
      <w:pPr>
        <w:spacing w:line="240" w:lineRule="auto"/>
      </w:pPr>
      <w:r w:rsidRPr="002E1B4B">
        <w:t>Aporte 1 $ 7.652.617.638,00 180 días desde la fecha de inicio 30/05/2023</w:t>
      </w:r>
    </w:p>
    <w:p w14:paraId="091A4DE3" w14:textId="19856C7D" w:rsidR="003D5DB4" w:rsidRPr="002E1B4B" w:rsidRDefault="003D5DB4" w:rsidP="000A5389">
      <w:pPr>
        <w:spacing w:line="240" w:lineRule="auto"/>
      </w:pPr>
      <w:r w:rsidRPr="002E1B4B">
        <w:t>Aporte 2 $ 10.905.434.226,</w:t>
      </w:r>
      <w:r w:rsidR="002E1B4B" w:rsidRPr="002E1B4B">
        <w:t>00, 360</w:t>
      </w:r>
      <w:r w:rsidRPr="002E1B4B">
        <w:t xml:space="preserve"> días desde la fecha de inicio 26/11/2023</w:t>
      </w:r>
    </w:p>
    <w:p w14:paraId="512AC3D2" w14:textId="4079A078" w:rsidR="003D5DB4" w:rsidRPr="002E1B4B" w:rsidRDefault="003D5DB4" w:rsidP="000A5389">
      <w:pPr>
        <w:spacing w:line="240" w:lineRule="auto"/>
      </w:pPr>
      <w:r w:rsidRPr="002E1B4B">
        <w:t xml:space="preserve">Aporte 3 </w:t>
      </w:r>
      <w:r w:rsidR="002E1B4B" w:rsidRPr="002E1B4B">
        <w:t>$ 1.824.227.291</w:t>
      </w:r>
      <w:r w:rsidRPr="002E1B4B">
        <w:t>,</w:t>
      </w:r>
      <w:r w:rsidR="002E1B4B" w:rsidRPr="002E1B4B">
        <w:t>00 720</w:t>
      </w:r>
      <w:r w:rsidRPr="002E1B4B">
        <w:t xml:space="preserve"> días desde la fecha de inicio</w:t>
      </w:r>
      <w:r w:rsidRPr="002E1B4B">
        <w:tab/>
        <w:t>20/11/2024</w:t>
      </w:r>
    </w:p>
    <w:p w14:paraId="70A73EA1" w14:textId="55733F24" w:rsidR="003D5DB4" w:rsidRPr="002E1B4B" w:rsidRDefault="003D5DB4" w:rsidP="000A5389">
      <w:pPr>
        <w:spacing w:line="240" w:lineRule="auto"/>
      </w:pPr>
      <w:r w:rsidRPr="002E1B4B">
        <w:t>Total</w:t>
      </w:r>
      <w:r w:rsidR="002E1B4B" w:rsidRPr="002E1B4B">
        <w:tab/>
        <w:t xml:space="preserve"> $</w:t>
      </w:r>
      <w:r w:rsidRPr="002E1B4B">
        <w:t xml:space="preserve"> 25.491.068.533.00 </w:t>
      </w:r>
      <w:r w:rsidRPr="002E1B4B">
        <w:tab/>
        <w:t xml:space="preserve"> </w:t>
      </w:r>
      <w:r w:rsidRPr="002E1B4B">
        <w:tab/>
        <w:t xml:space="preserve"> </w:t>
      </w:r>
    </w:p>
    <w:p w14:paraId="530FB109" w14:textId="77777777" w:rsidR="002E1B4B" w:rsidRDefault="002E1B4B" w:rsidP="000A5389">
      <w:pPr>
        <w:spacing w:line="240" w:lineRule="auto"/>
      </w:pPr>
    </w:p>
    <w:p w14:paraId="5B1AA38B" w14:textId="414A1B8C" w:rsidR="003D5DB4" w:rsidRPr="002E1B4B" w:rsidRDefault="003D5DB4" w:rsidP="000A5389">
      <w:pPr>
        <w:spacing w:line="240" w:lineRule="auto"/>
      </w:pPr>
      <w:r w:rsidRPr="002E1B4B">
        <w:t>Subcuenta Predios. Fondeos Subcuenta Predios</w:t>
      </w:r>
    </w:p>
    <w:p w14:paraId="2800EB7B" w14:textId="77777777" w:rsidR="003D5DB4" w:rsidRPr="002E1B4B" w:rsidRDefault="003D5DB4" w:rsidP="000A5389">
      <w:pPr>
        <w:spacing w:line="240" w:lineRule="auto"/>
      </w:pPr>
      <w:r w:rsidRPr="002E1B4B">
        <w:t>Aporte</w:t>
      </w:r>
      <w:r w:rsidRPr="002E1B4B">
        <w:tab/>
        <w:t>Monto establecido ($ Dic 2020)</w:t>
      </w:r>
      <w:r w:rsidRPr="002E1B4B">
        <w:tab/>
        <w:t>Fecha Máxima del Aporte</w:t>
      </w:r>
      <w:r w:rsidRPr="002E1B4B">
        <w:tab/>
        <w:t>Fecha máxima estimada de giro</w:t>
      </w:r>
    </w:p>
    <w:p w14:paraId="46569B4F" w14:textId="77777777" w:rsidR="003D5DB4" w:rsidRPr="002E1B4B" w:rsidRDefault="003D5DB4" w:rsidP="000A5389">
      <w:pPr>
        <w:spacing w:line="240" w:lineRule="auto"/>
      </w:pPr>
      <w:r w:rsidRPr="002E1B4B">
        <w:t>Aporte Inicial</w:t>
      </w:r>
      <w:r w:rsidRPr="002E1B4B">
        <w:tab/>
        <w:t xml:space="preserve">$ 7.494.157.763,00 </w:t>
      </w:r>
      <w:r w:rsidRPr="002E1B4B">
        <w:tab/>
        <w:t>Constitución del Patrimonio Autónomo</w:t>
      </w:r>
      <w:r w:rsidRPr="002E1B4B">
        <w:tab/>
        <w:t>1/08/2022</w:t>
      </w:r>
    </w:p>
    <w:p w14:paraId="03910670" w14:textId="77777777" w:rsidR="003D5DB4" w:rsidRPr="002E1B4B" w:rsidRDefault="003D5DB4" w:rsidP="000A5389">
      <w:pPr>
        <w:spacing w:line="240" w:lineRule="auto"/>
      </w:pPr>
      <w:r w:rsidRPr="002E1B4B">
        <w:t>Aporte 1</w:t>
      </w:r>
      <w:r w:rsidRPr="002E1B4B">
        <w:tab/>
        <w:t xml:space="preserve"> $11.834.620.148,00 </w:t>
      </w:r>
      <w:r w:rsidRPr="002E1B4B">
        <w:tab/>
        <w:t>180 días desde la fecha de inicio</w:t>
      </w:r>
      <w:r w:rsidRPr="002E1B4B">
        <w:tab/>
        <w:t>30/05/2023</w:t>
      </w:r>
    </w:p>
    <w:p w14:paraId="6DB096E7" w14:textId="77777777" w:rsidR="003D5DB4" w:rsidRPr="002E1B4B" w:rsidRDefault="003D5DB4" w:rsidP="000A5389">
      <w:pPr>
        <w:spacing w:line="240" w:lineRule="auto"/>
      </w:pPr>
      <w:r w:rsidRPr="002E1B4B">
        <w:t>Aporte 2</w:t>
      </w:r>
      <w:r w:rsidRPr="002E1B4B">
        <w:tab/>
        <w:t xml:space="preserve">$26.975.810.354,00 </w:t>
      </w:r>
      <w:r w:rsidRPr="002E1B4B">
        <w:tab/>
        <w:t>360 días desde la fecha de inicio</w:t>
      </w:r>
      <w:r w:rsidRPr="002E1B4B">
        <w:tab/>
        <w:t>26/11/2023</w:t>
      </w:r>
    </w:p>
    <w:p w14:paraId="2A9A202B" w14:textId="77777777" w:rsidR="003D5DB4" w:rsidRPr="002E1B4B" w:rsidRDefault="003D5DB4" w:rsidP="000A5389">
      <w:pPr>
        <w:spacing w:line="240" w:lineRule="auto"/>
      </w:pPr>
      <w:r w:rsidRPr="002E1B4B">
        <w:t>Aporte 3</w:t>
      </w:r>
      <w:r w:rsidRPr="002E1B4B">
        <w:tab/>
        <w:t xml:space="preserve">$ 5.833.900.260,00 </w:t>
      </w:r>
      <w:r w:rsidRPr="002E1B4B">
        <w:tab/>
        <w:t>720 días desde la fecha de inicio</w:t>
      </w:r>
      <w:r w:rsidRPr="002E1B4B">
        <w:tab/>
        <w:t>20/11/2024</w:t>
      </w:r>
    </w:p>
    <w:p w14:paraId="75D0DC06" w14:textId="77777777" w:rsidR="003D5DB4" w:rsidRPr="002E1B4B" w:rsidRDefault="003D5DB4" w:rsidP="000A5389">
      <w:pPr>
        <w:spacing w:line="240" w:lineRule="auto"/>
      </w:pPr>
      <w:r w:rsidRPr="002E1B4B">
        <w:t>Total</w:t>
      </w:r>
      <w:r w:rsidRPr="002E1B4B">
        <w:tab/>
        <w:t xml:space="preserve">$52.138.488.525,00 </w:t>
      </w:r>
      <w:r w:rsidRPr="002E1B4B">
        <w:tab/>
        <w:t xml:space="preserve"> </w:t>
      </w:r>
      <w:r w:rsidRPr="002E1B4B">
        <w:tab/>
        <w:t xml:space="preserve"> </w:t>
      </w:r>
    </w:p>
    <w:p w14:paraId="6895BA2E" w14:textId="77777777" w:rsidR="003D5DB4" w:rsidRPr="002E1B4B" w:rsidRDefault="003D5DB4" w:rsidP="000A5389">
      <w:pPr>
        <w:spacing w:line="240" w:lineRule="auto"/>
      </w:pPr>
      <w:r w:rsidRPr="002E1B4B">
        <w:t>Subcuenta Interventoría y Coordinación. FASE PRECONSTRUCION FASE CONSTRUCCION MES 1-24</w:t>
      </w:r>
      <w:r w:rsidRPr="002E1B4B">
        <w:tab/>
        <w:t>MES 25 en adelante VALOR MES $403.434.114 MES DE REFERENCIA $517,047,850 MES DE REFERENCIA $322.560.164 MES DE REFERENCIA $302.776.495 MES DE REFERENCIA</w:t>
      </w:r>
    </w:p>
    <w:p w14:paraId="6779DBF4" w14:textId="77777777" w:rsidR="002E1B4B" w:rsidRDefault="002E1B4B" w:rsidP="000A5389">
      <w:pPr>
        <w:spacing w:line="240" w:lineRule="auto"/>
      </w:pPr>
    </w:p>
    <w:p w14:paraId="5314550B" w14:textId="1C0784AF" w:rsidR="003D5DB4" w:rsidRPr="002E1B4B" w:rsidRDefault="003D5DB4" w:rsidP="000A5389">
      <w:pPr>
        <w:spacing w:line="240" w:lineRule="auto"/>
      </w:pPr>
      <w:r w:rsidRPr="002E1B4B">
        <w:t>Subcuenta Compensaciones Socio ambientales. Fondeos Subcuenta Compensaciones Socioambientales</w:t>
      </w:r>
    </w:p>
    <w:p w14:paraId="6EABB883" w14:textId="77777777" w:rsidR="002E1B4B" w:rsidRDefault="002E1B4B" w:rsidP="000A5389">
      <w:pPr>
        <w:spacing w:line="240" w:lineRule="auto"/>
      </w:pPr>
    </w:p>
    <w:p w14:paraId="4E0F7B22" w14:textId="48F80A30" w:rsidR="003D5DB4" w:rsidRPr="002E1B4B" w:rsidRDefault="003D5DB4" w:rsidP="000A5389">
      <w:pPr>
        <w:spacing w:line="240" w:lineRule="auto"/>
      </w:pPr>
      <w:r w:rsidRPr="002E1B4B">
        <w:t>Aporte</w:t>
      </w:r>
      <w:r w:rsidRPr="002E1B4B">
        <w:tab/>
        <w:t>Monto establecido ($ Dic 2020)</w:t>
      </w:r>
      <w:r w:rsidRPr="002E1B4B">
        <w:tab/>
        <w:t>Fecha Máxima del Aporte</w:t>
      </w:r>
      <w:r w:rsidRPr="002E1B4B">
        <w:tab/>
        <w:t>Fecha máxima estimada de giro</w:t>
      </w:r>
    </w:p>
    <w:p w14:paraId="42F3B605" w14:textId="77777777" w:rsidR="003D5DB4" w:rsidRPr="002E1B4B" w:rsidRDefault="003D5DB4" w:rsidP="000A5389">
      <w:pPr>
        <w:spacing w:line="240" w:lineRule="auto"/>
      </w:pPr>
      <w:r w:rsidRPr="002E1B4B">
        <w:t>Aporte Inicial</w:t>
      </w:r>
      <w:r w:rsidRPr="002E1B4B">
        <w:tab/>
        <w:t xml:space="preserve"> $ 1.365.299.341,00 </w:t>
      </w:r>
      <w:r w:rsidRPr="002E1B4B">
        <w:tab/>
        <w:t>Constitución del Patrimonio Autónomo</w:t>
      </w:r>
      <w:r w:rsidRPr="002E1B4B">
        <w:tab/>
        <w:t>1/08/2022</w:t>
      </w:r>
    </w:p>
    <w:p w14:paraId="1A9AC286" w14:textId="77777777" w:rsidR="003D5DB4" w:rsidRPr="002E1B4B" w:rsidRDefault="003D5DB4" w:rsidP="000A5389">
      <w:pPr>
        <w:spacing w:line="240" w:lineRule="auto"/>
      </w:pPr>
      <w:r w:rsidRPr="002E1B4B">
        <w:t>Aporte 1</w:t>
      </w:r>
      <w:r w:rsidRPr="002E1B4B">
        <w:tab/>
        <w:t xml:space="preserve"> $ 2.201.724.832,00 </w:t>
      </w:r>
      <w:r w:rsidRPr="002E1B4B">
        <w:tab/>
        <w:t>180 días desde la fecha de inicio</w:t>
      </w:r>
      <w:r w:rsidRPr="002E1B4B">
        <w:tab/>
        <w:t>30/05/2023</w:t>
      </w:r>
    </w:p>
    <w:p w14:paraId="3E2546F4" w14:textId="77777777" w:rsidR="003D5DB4" w:rsidRPr="002E1B4B" w:rsidRDefault="003D5DB4" w:rsidP="000A5389">
      <w:pPr>
        <w:spacing w:line="240" w:lineRule="auto"/>
      </w:pPr>
      <w:r w:rsidRPr="002E1B4B">
        <w:t>Aporte 2</w:t>
      </w:r>
      <w:r w:rsidRPr="002E1B4B">
        <w:tab/>
        <w:t xml:space="preserve"> $ 9.602.365.840,00 </w:t>
      </w:r>
      <w:r w:rsidRPr="002E1B4B">
        <w:tab/>
        <w:t>360 días desde la fecha de inicio</w:t>
      </w:r>
      <w:r w:rsidRPr="002E1B4B">
        <w:tab/>
        <w:t>26/11/2023</w:t>
      </w:r>
    </w:p>
    <w:p w14:paraId="371FC1ED" w14:textId="77777777" w:rsidR="003D5DB4" w:rsidRPr="002E1B4B" w:rsidRDefault="003D5DB4" w:rsidP="000A5389">
      <w:pPr>
        <w:spacing w:line="240" w:lineRule="auto"/>
      </w:pPr>
      <w:r w:rsidRPr="002E1B4B">
        <w:t>Aporte 3</w:t>
      </w:r>
      <w:r w:rsidRPr="002E1B4B">
        <w:tab/>
        <w:t xml:space="preserve"> $ 7.847.596.897,00 </w:t>
      </w:r>
      <w:r w:rsidRPr="002E1B4B">
        <w:tab/>
        <w:t>720 días desde la fecha de inicio</w:t>
      </w:r>
      <w:r w:rsidRPr="002E1B4B">
        <w:tab/>
        <w:t>20/11/2024</w:t>
      </w:r>
    </w:p>
    <w:p w14:paraId="585F7F48" w14:textId="77777777" w:rsidR="003D5DB4" w:rsidRPr="002E1B4B" w:rsidRDefault="003D5DB4" w:rsidP="000A5389">
      <w:pPr>
        <w:spacing w:line="240" w:lineRule="auto"/>
      </w:pPr>
      <w:r w:rsidRPr="002E1B4B">
        <w:t>Aporte 4</w:t>
      </w:r>
      <w:r w:rsidRPr="002E1B4B">
        <w:tab/>
        <w:t xml:space="preserve"> $ 3.631.696.247,00 </w:t>
      </w:r>
      <w:r w:rsidRPr="002E1B4B">
        <w:tab/>
        <w:t>1080 días desde la fecha de inicio</w:t>
      </w:r>
      <w:r w:rsidRPr="002E1B4B">
        <w:tab/>
        <w:t>15/11/2025</w:t>
      </w:r>
    </w:p>
    <w:p w14:paraId="62A2D35B" w14:textId="77777777" w:rsidR="003D5DB4" w:rsidRPr="002E1B4B" w:rsidRDefault="003D5DB4" w:rsidP="000A5389">
      <w:pPr>
        <w:spacing w:line="240" w:lineRule="auto"/>
      </w:pPr>
      <w:r w:rsidRPr="002E1B4B">
        <w:t>Aporte 5</w:t>
      </w:r>
      <w:r w:rsidRPr="002E1B4B">
        <w:tab/>
        <w:t xml:space="preserve"> $ 1.220.146.464,00 </w:t>
      </w:r>
      <w:r w:rsidRPr="002E1B4B">
        <w:tab/>
        <w:t>1440 días desde la fecha de inicio</w:t>
      </w:r>
      <w:r w:rsidRPr="002E1B4B">
        <w:tab/>
        <w:t>10/11/2026</w:t>
      </w:r>
    </w:p>
    <w:p w14:paraId="1B9340F9" w14:textId="77777777" w:rsidR="003D5DB4" w:rsidRPr="002E1B4B" w:rsidRDefault="003D5DB4" w:rsidP="000A5389">
      <w:pPr>
        <w:spacing w:line="240" w:lineRule="auto"/>
      </w:pPr>
      <w:r w:rsidRPr="002E1B4B">
        <w:t>Total</w:t>
      </w:r>
      <w:r w:rsidRPr="002E1B4B">
        <w:tab/>
      </w:r>
      <w:r w:rsidRPr="002E1B4B">
        <w:tab/>
        <w:t xml:space="preserve"> $25.868.829.621,00 </w:t>
      </w:r>
      <w:r w:rsidRPr="002E1B4B">
        <w:tab/>
        <w:t xml:space="preserve"> </w:t>
      </w:r>
      <w:r w:rsidRPr="002E1B4B">
        <w:tab/>
        <w:t xml:space="preserve"> </w:t>
      </w:r>
    </w:p>
    <w:p w14:paraId="7B304E0B" w14:textId="77777777" w:rsidR="003D5DB4" w:rsidRPr="002E1B4B" w:rsidRDefault="003D5DB4" w:rsidP="000A5389">
      <w:pPr>
        <w:spacing w:line="240" w:lineRule="auto"/>
      </w:pPr>
    </w:p>
    <w:p w14:paraId="072F080A" w14:textId="77777777" w:rsidR="003D5DB4" w:rsidRPr="002E1B4B" w:rsidRDefault="003D5DB4" w:rsidP="000A5389">
      <w:pPr>
        <w:spacing w:line="240" w:lineRule="auto"/>
      </w:pPr>
      <w:r w:rsidRPr="002E1B4B">
        <w:t>Subcuenta MASC. Fondeos Subcuenta MASC</w:t>
      </w:r>
    </w:p>
    <w:p w14:paraId="32542DD7" w14:textId="77777777" w:rsidR="003D5DB4" w:rsidRPr="002E1B4B" w:rsidRDefault="003D5DB4" w:rsidP="000A5389">
      <w:pPr>
        <w:spacing w:line="240" w:lineRule="auto"/>
      </w:pPr>
      <w:r w:rsidRPr="002E1B4B">
        <w:lastRenderedPageBreak/>
        <w:t>Aporte</w:t>
      </w:r>
      <w:r w:rsidRPr="002E1B4B">
        <w:tab/>
      </w:r>
      <w:r w:rsidRPr="002E1B4B">
        <w:tab/>
        <w:t>Monto establecido ($ Dic 2020)</w:t>
      </w:r>
      <w:r w:rsidRPr="002E1B4B">
        <w:tab/>
        <w:t>Fecha Máxima del Aporte</w:t>
      </w:r>
    </w:p>
    <w:p w14:paraId="626F7283" w14:textId="77777777" w:rsidR="003D5DB4" w:rsidRPr="002E1B4B" w:rsidRDefault="003D5DB4" w:rsidP="000A5389">
      <w:pPr>
        <w:spacing w:line="240" w:lineRule="auto"/>
      </w:pPr>
      <w:r w:rsidRPr="002E1B4B">
        <w:t xml:space="preserve">Aporte anual </w:t>
      </w:r>
      <w:r w:rsidRPr="002E1B4B">
        <w:tab/>
        <w:t xml:space="preserve"> $377.000.000,00 En la fecha de constitución del Patrimonio Autónomo</w:t>
      </w:r>
    </w:p>
    <w:p w14:paraId="6888EA86" w14:textId="77777777" w:rsidR="003D5DB4" w:rsidRPr="002E1B4B" w:rsidRDefault="003D5DB4" w:rsidP="000A5389">
      <w:pPr>
        <w:spacing w:line="240" w:lineRule="auto"/>
      </w:pPr>
      <w:r w:rsidRPr="002E1B4B">
        <w:t>Aporte Semestral $89.000.000,00 Un aporte dentro de los 5 primeros días del mes de enero y julio de cada año de ejecución del contrato. El valor del primer aporte será proporcional al tiempo transcurrido entre la fecha de constitución del Patrimonio Autónomo y el inicio del mes de enero o julio siguientes, el que ocurra primero.</w:t>
      </w:r>
    </w:p>
    <w:p w14:paraId="03DF47AF" w14:textId="77777777" w:rsidR="002E1B4B" w:rsidRDefault="002E1B4B" w:rsidP="000A5389">
      <w:pPr>
        <w:spacing w:line="240" w:lineRule="auto"/>
      </w:pPr>
    </w:p>
    <w:p w14:paraId="6799F5D6" w14:textId="7F3A8A79" w:rsidR="003D5DB4" w:rsidRPr="002E1B4B" w:rsidRDefault="003D5DB4" w:rsidP="000A5389">
      <w:pPr>
        <w:spacing w:line="240" w:lineRule="auto"/>
      </w:pPr>
      <w:r w:rsidRPr="002E1B4B">
        <w:t>Subcuenta de Soporte Contractual. Fondeos Subcuenta Soporte Contractual</w:t>
      </w:r>
    </w:p>
    <w:p w14:paraId="187906CF" w14:textId="77777777" w:rsidR="003D5DB4" w:rsidRPr="002E1B4B" w:rsidRDefault="003D5DB4" w:rsidP="000A5389">
      <w:pPr>
        <w:spacing w:line="240" w:lineRule="auto"/>
      </w:pPr>
      <w:r w:rsidRPr="002E1B4B">
        <w:t>Aporte</w:t>
      </w:r>
      <w:r w:rsidRPr="002E1B4B">
        <w:tab/>
      </w:r>
      <w:r w:rsidRPr="002E1B4B">
        <w:tab/>
        <w:t>Monto establecido ($ Dic 2020)</w:t>
      </w:r>
      <w:r w:rsidRPr="002E1B4B">
        <w:tab/>
        <w:t>Fecha Máxima del Aporte</w:t>
      </w:r>
    </w:p>
    <w:p w14:paraId="7606F489" w14:textId="77777777" w:rsidR="003D5DB4" w:rsidRPr="002E1B4B" w:rsidRDefault="003D5DB4" w:rsidP="000A5389">
      <w:pPr>
        <w:spacing w:line="240" w:lineRule="auto"/>
      </w:pPr>
      <w:r w:rsidRPr="002E1B4B">
        <w:t>Aporte Inicial</w:t>
      </w:r>
      <w:r w:rsidRPr="002E1B4B">
        <w:tab/>
      </w:r>
      <w:r w:rsidRPr="002E1B4B">
        <w:tab/>
        <w:t>$ 356.000.000,00 En la fecha de constitución del Patrimonio Autónomo</w:t>
      </w:r>
    </w:p>
    <w:p w14:paraId="03E01499" w14:textId="77777777" w:rsidR="003D5DB4" w:rsidRPr="002E1B4B" w:rsidRDefault="003D5DB4" w:rsidP="000A5389">
      <w:pPr>
        <w:spacing w:line="240" w:lineRule="auto"/>
      </w:pPr>
      <w:r w:rsidRPr="002E1B4B">
        <w:t>Aportes Anuales</w:t>
      </w:r>
      <w:r w:rsidRPr="002E1B4B">
        <w:tab/>
        <w:t xml:space="preserve">$ 356.000.000,00 Dentro de los primeros treinta (30) días de cada año contados a partir de la fecha de constitución del Patrimonio Autónomo  </w:t>
      </w:r>
    </w:p>
    <w:p w14:paraId="4682E98E" w14:textId="77777777" w:rsidR="003D5DB4" w:rsidRPr="002E1B4B" w:rsidRDefault="003D5DB4" w:rsidP="000A5389">
      <w:pPr>
        <w:spacing w:line="240" w:lineRule="auto"/>
      </w:pPr>
      <w:r w:rsidRPr="002E1B4B">
        <w:t>Subcuenta Aportes ANI</w:t>
      </w:r>
    </w:p>
    <w:p w14:paraId="1BFD86AC" w14:textId="77777777" w:rsidR="002E1B4B" w:rsidRDefault="002E1B4B" w:rsidP="000A5389">
      <w:pPr>
        <w:spacing w:line="240" w:lineRule="auto"/>
      </w:pPr>
    </w:p>
    <w:p w14:paraId="2746BA5D" w14:textId="27CDC4A4" w:rsidR="003D5DB4" w:rsidRPr="002E1B4B" w:rsidRDefault="003D5DB4" w:rsidP="000A5389">
      <w:pPr>
        <w:spacing w:line="240" w:lineRule="auto"/>
      </w:pPr>
      <w:r w:rsidRPr="002E1B4B">
        <w:t>Aporte a la subcuenta Aportes ANI. Vigencia en Pesos del mes de Referencia. Fecha Máxima de Aporte</w:t>
      </w:r>
    </w:p>
    <w:p w14:paraId="5F684A17" w14:textId="77777777" w:rsidR="003D5DB4" w:rsidRPr="002E1B4B" w:rsidRDefault="003D5DB4" w:rsidP="000A5389">
      <w:pPr>
        <w:spacing w:line="240" w:lineRule="auto"/>
      </w:pPr>
      <w:r w:rsidRPr="002E1B4B">
        <w:t>1</w:t>
      </w:r>
      <w:r w:rsidRPr="002E1B4B">
        <w:tab/>
        <w:t xml:space="preserve"> $            171.756.082.009 </w:t>
      </w:r>
      <w:r w:rsidRPr="002E1B4B">
        <w:tab/>
        <w:t>31-dic-23</w:t>
      </w:r>
    </w:p>
    <w:p w14:paraId="3EEF390F" w14:textId="77777777" w:rsidR="003D5DB4" w:rsidRPr="002E1B4B" w:rsidRDefault="003D5DB4" w:rsidP="000A5389">
      <w:pPr>
        <w:spacing w:line="240" w:lineRule="auto"/>
      </w:pPr>
      <w:r w:rsidRPr="002E1B4B">
        <w:t>2</w:t>
      </w:r>
      <w:r w:rsidRPr="002E1B4B">
        <w:tab/>
        <w:t xml:space="preserve"> $            250.720.000.000 </w:t>
      </w:r>
      <w:r w:rsidRPr="002E1B4B">
        <w:tab/>
        <w:t>31-dic-24</w:t>
      </w:r>
    </w:p>
    <w:p w14:paraId="7A6CD315" w14:textId="77777777" w:rsidR="003D5DB4" w:rsidRPr="002E1B4B" w:rsidRDefault="003D5DB4" w:rsidP="000A5389">
      <w:pPr>
        <w:spacing w:line="240" w:lineRule="auto"/>
      </w:pPr>
      <w:r w:rsidRPr="002E1B4B">
        <w:t>3</w:t>
      </w:r>
      <w:r w:rsidRPr="002E1B4B">
        <w:tab/>
        <w:t xml:space="preserve"> $            250.720.000.000 </w:t>
      </w:r>
      <w:r w:rsidRPr="002E1B4B">
        <w:tab/>
        <w:t>31-dic-25</w:t>
      </w:r>
    </w:p>
    <w:p w14:paraId="3BEAB647" w14:textId="77777777" w:rsidR="003D5DB4" w:rsidRPr="002E1B4B" w:rsidRDefault="003D5DB4" w:rsidP="000A5389">
      <w:pPr>
        <w:spacing w:line="240" w:lineRule="auto"/>
      </w:pPr>
      <w:r w:rsidRPr="002E1B4B">
        <w:t>4</w:t>
      </w:r>
      <w:r w:rsidRPr="002E1B4B">
        <w:tab/>
        <w:t xml:space="preserve"> $            250.720.000.000 </w:t>
      </w:r>
      <w:r w:rsidRPr="002E1B4B">
        <w:tab/>
        <w:t>31-dic-26</w:t>
      </w:r>
    </w:p>
    <w:p w14:paraId="365FA021" w14:textId="77777777" w:rsidR="003D5DB4" w:rsidRPr="002E1B4B" w:rsidRDefault="003D5DB4" w:rsidP="000A5389">
      <w:pPr>
        <w:spacing w:line="240" w:lineRule="auto"/>
      </w:pPr>
      <w:r w:rsidRPr="002E1B4B">
        <w:t>5</w:t>
      </w:r>
      <w:r w:rsidRPr="002E1B4B">
        <w:tab/>
        <w:t xml:space="preserve"> $            250.720.000.000 </w:t>
      </w:r>
      <w:r w:rsidRPr="002E1B4B">
        <w:tab/>
        <w:t>31-dic-27</w:t>
      </w:r>
    </w:p>
    <w:p w14:paraId="0D8EDFC4" w14:textId="77777777" w:rsidR="003D5DB4" w:rsidRPr="002E1B4B" w:rsidRDefault="003D5DB4" w:rsidP="000A5389">
      <w:pPr>
        <w:spacing w:line="240" w:lineRule="auto"/>
      </w:pPr>
      <w:r w:rsidRPr="002E1B4B">
        <w:t>6</w:t>
      </w:r>
      <w:r w:rsidRPr="002E1B4B">
        <w:tab/>
        <w:t xml:space="preserve"> $            250.720.000.000 </w:t>
      </w:r>
      <w:r w:rsidRPr="002E1B4B">
        <w:tab/>
        <w:t>31-dic-28</w:t>
      </w:r>
    </w:p>
    <w:p w14:paraId="3D2B2A82" w14:textId="77777777" w:rsidR="003D5DB4" w:rsidRPr="002E1B4B" w:rsidRDefault="003D5DB4" w:rsidP="000A5389">
      <w:pPr>
        <w:spacing w:line="240" w:lineRule="auto"/>
        <w:rPr>
          <w:lang w:val="en-US"/>
        </w:rPr>
      </w:pPr>
      <w:r w:rsidRPr="002E1B4B">
        <w:rPr>
          <w:lang w:val="en-US"/>
        </w:rPr>
        <w:t>7</w:t>
      </w:r>
      <w:r w:rsidRPr="002E1B4B">
        <w:rPr>
          <w:lang w:val="en-US"/>
        </w:rPr>
        <w:tab/>
        <w:t xml:space="preserve"> $            250.720.000.000 </w:t>
      </w:r>
      <w:r w:rsidRPr="002E1B4B">
        <w:rPr>
          <w:lang w:val="en-US"/>
        </w:rPr>
        <w:tab/>
        <w:t>31-dic-29</w:t>
      </w:r>
    </w:p>
    <w:p w14:paraId="3C0AA1EE" w14:textId="77777777" w:rsidR="003D5DB4" w:rsidRPr="002E1B4B" w:rsidRDefault="003D5DB4" w:rsidP="000A5389">
      <w:pPr>
        <w:spacing w:line="240" w:lineRule="auto"/>
        <w:rPr>
          <w:lang w:val="en-US"/>
        </w:rPr>
      </w:pPr>
      <w:r w:rsidRPr="002E1B4B">
        <w:rPr>
          <w:lang w:val="en-US"/>
        </w:rPr>
        <w:t>8</w:t>
      </w:r>
      <w:r w:rsidRPr="002E1B4B">
        <w:rPr>
          <w:lang w:val="en-US"/>
        </w:rPr>
        <w:tab/>
        <w:t xml:space="preserve"> $            227.829.264.000 </w:t>
      </w:r>
      <w:r w:rsidRPr="002E1B4B">
        <w:rPr>
          <w:lang w:val="en-US"/>
        </w:rPr>
        <w:tab/>
        <w:t>31-dic-30</w:t>
      </w:r>
    </w:p>
    <w:p w14:paraId="7EF30618" w14:textId="77777777" w:rsidR="003D5DB4" w:rsidRPr="002E1B4B" w:rsidRDefault="003D5DB4" w:rsidP="000A5389">
      <w:pPr>
        <w:spacing w:line="240" w:lineRule="auto"/>
        <w:rPr>
          <w:lang w:val="en-US"/>
        </w:rPr>
      </w:pPr>
      <w:r w:rsidRPr="002E1B4B">
        <w:rPr>
          <w:lang w:val="en-US"/>
        </w:rPr>
        <w:t>9</w:t>
      </w:r>
      <w:r w:rsidRPr="002E1B4B">
        <w:rPr>
          <w:lang w:val="en-US"/>
        </w:rPr>
        <w:tab/>
        <w:t xml:space="preserve"> $            227.829.264.000 </w:t>
      </w:r>
      <w:r w:rsidRPr="002E1B4B">
        <w:rPr>
          <w:lang w:val="en-US"/>
        </w:rPr>
        <w:tab/>
        <w:t>31-dic-31</w:t>
      </w:r>
    </w:p>
    <w:p w14:paraId="4C3DB05E" w14:textId="77777777" w:rsidR="003D5DB4" w:rsidRPr="002E1B4B" w:rsidRDefault="003D5DB4" w:rsidP="000A5389">
      <w:pPr>
        <w:spacing w:line="240" w:lineRule="auto"/>
        <w:rPr>
          <w:lang w:val="en-US"/>
        </w:rPr>
      </w:pPr>
      <w:r w:rsidRPr="002E1B4B">
        <w:rPr>
          <w:lang w:val="en-US"/>
        </w:rPr>
        <w:t>10</w:t>
      </w:r>
      <w:r w:rsidRPr="002E1B4B">
        <w:rPr>
          <w:lang w:val="en-US"/>
        </w:rPr>
        <w:tab/>
        <w:t xml:space="preserve"> $            227.829.264.000 </w:t>
      </w:r>
      <w:r w:rsidRPr="002E1B4B">
        <w:rPr>
          <w:lang w:val="en-US"/>
        </w:rPr>
        <w:tab/>
        <w:t>31-dic-32</w:t>
      </w:r>
    </w:p>
    <w:p w14:paraId="75A3E47B" w14:textId="77777777" w:rsidR="003D5DB4" w:rsidRPr="002E1B4B" w:rsidRDefault="003D5DB4" w:rsidP="000A5389">
      <w:pPr>
        <w:spacing w:line="240" w:lineRule="auto"/>
        <w:rPr>
          <w:lang w:val="en-US"/>
        </w:rPr>
      </w:pPr>
      <w:r w:rsidRPr="002E1B4B">
        <w:rPr>
          <w:lang w:val="en-US"/>
        </w:rPr>
        <w:t>11</w:t>
      </w:r>
      <w:r w:rsidRPr="002E1B4B">
        <w:rPr>
          <w:lang w:val="en-US"/>
        </w:rPr>
        <w:tab/>
        <w:t xml:space="preserve"> $            227.829.264.000 </w:t>
      </w:r>
      <w:r w:rsidRPr="002E1B4B">
        <w:rPr>
          <w:lang w:val="en-US"/>
        </w:rPr>
        <w:tab/>
        <w:t>31-dic-33</w:t>
      </w:r>
    </w:p>
    <w:p w14:paraId="2B8136D3" w14:textId="77777777" w:rsidR="003D5DB4" w:rsidRPr="002E1B4B" w:rsidRDefault="003D5DB4" w:rsidP="000A5389">
      <w:pPr>
        <w:spacing w:line="240" w:lineRule="auto"/>
        <w:rPr>
          <w:lang w:val="en-US"/>
        </w:rPr>
      </w:pPr>
      <w:r w:rsidRPr="002E1B4B">
        <w:rPr>
          <w:lang w:val="en-US"/>
        </w:rPr>
        <w:t>12</w:t>
      </w:r>
      <w:r w:rsidRPr="002E1B4B">
        <w:rPr>
          <w:lang w:val="en-US"/>
        </w:rPr>
        <w:tab/>
        <w:t xml:space="preserve"> $            113.914.632.000 </w:t>
      </w:r>
      <w:r w:rsidRPr="002E1B4B">
        <w:rPr>
          <w:lang w:val="en-US"/>
        </w:rPr>
        <w:tab/>
        <w:t>31-dic-34</w:t>
      </w:r>
    </w:p>
    <w:p w14:paraId="1721051C" w14:textId="77777777" w:rsidR="003D5DB4" w:rsidRPr="002E1B4B" w:rsidRDefault="003D5DB4" w:rsidP="000A5389">
      <w:pPr>
        <w:spacing w:line="240" w:lineRule="auto"/>
        <w:rPr>
          <w:lang w:val="en-US"/>
        </w:rPr>
      </w:pPr>
      <w:r w:rsidRPr="002E1B4B">
        <w:rPr>
          <w:lang w:val="en-US"/>
        </w:rPr>
        <w:t>13</w:t>
      </w:r>
      <w:r w:rsidRPr="002E1B4B">
        <w:rPr>
          <w:lang w:val="en-US"/>
        </w:rPr>
        <w:tab/>
        <w:t xml:space="preserve"> $            113.914.632.000 </w:t>
      </w:r>
      <w:r w:rsidRPr="002E1B4B">
        <w:rPr>
          <w:lang w:val="en-US"/>
        </w:rPr>
        <w:tab/>
        <w:t>31-dic-35</w:t>
      </w:r>
    </w:p>
    <w:p w14:paraId="68CDCF72" w14:textId="77777777" w:rsidR="003D5DB4" w:rsidRPr="002E1B4B" w:rsidRDefault="003D5DB4" w:rsidP="000A5389">
      <w:pPr>
        <w:spacing w:line="240" w:lineRule="auto"/>
        <w:rPr>
          <w:lang w:val="en-US"/>
        </w:rPr>
      </w:pPr>
      <w:r w:rsidRPr="002E1B4B">
        <w:rPr>
          <w:lang w:val="en-US"/>
        </w:rPr>
        <w:t>14</w:t>
      </w:r>
      <w:r w:rsidRPr="002E1B4B">
        <w:rPr>
          <w:lang w:val="en-US"/>
        </w:rPr>
        <w:tab/>
        <w:t xml:space="preserve"> $            113.914.632.000 </w:t>
      </w:r>
      <w:r w:rsidRPr="002E1B4B">
        <w:rPr>
          <w:lang w:val="en-US"/>
        </w:rPr>
        <w:tab/>
        <w:t>31-dic-36</w:t>
      </w:r>
    </w:p>
    <w:p w14:paraId="3A9C452C" w14:textId="77777777" w:rsidR="003D5DB4" w:rsidRPr="002E1B4B" w:rsidRDefault="003D5DB4" w:rsidP="000A5389">
      <w:pPr>
        <w:spacing w:line="240" w:lineRule="auto"/>
        <w:rPr>
          <w:lang w:val="en-US"/>
        </w:rPr>
      </w:pPr>
      <w:r w:rsidRPr="002E1B4B">
        <w:rPr>
          <w:lang w:val="en-US"/>
        </w:rPr>
        <w:t>15</w:t>
      </w:r>
      <w:r w:rsidRPr="002E1B4B">
        <w:rPr>
          <w:lang w:val="en-US"/>
        </w:rPr>
        <w:tab/>
        <w:t xml:space="preserve"> $            113.914.632.000 </w:t>
      </w:r>
      <w:r w:rsidRPr="002E1B4B">
        <w:rPr>
          <w:lang w:val="en-US"/>
        </w:rPr>
        <w:tab/>
        <w:t>31-dic-37</w:t>
      </w:r>
    </w:p>
    <w:p w14:paraId="18166D06" w14:textId="77777777" w:rsidR="003D5DB4" w:rsidRPr="002E1B4B" w:rsidRDefault="003D5DB4" w:rsidP="000A5389">
      <w:pPr>
        <w:spacing w:line="240" w:lineRule="auto"/>
        <w:rPr>
          <w:lang w:val="en-US"/>
        </w:rPr>
      </w:pPr>
      <w:r w:rsidRPr="002E1B4B">
        <w:rPr>
          <w:lang w:val="en-US"/>
        </w:rPr>
        <w:t>16</w:t>
      </w:r>
      <w:r w:rsidRPr="002E1B4B">
        <w:rPr>
          <w:lang w:val="en-US"/>
        </w:rPr>
        <w:tab/>
        <w:t xml:space="preserve"> $               57.982.547.688 </w:t>
      </w:r>
      <w:r w:rsidRPr="002E1B4B">
        <w:rPr>
          <w:lang w:val="en-US"/>
        </w:rPr>
        <w:tab/>
        <w:t>31-dic-38</w:t>
      </w:r>
    </w:p>
    <w:p w14:paraId="2F612FF6" w14:textId="77777777" w:rsidR="003D5DB4" w:rsidRPr="002E1B4B" w:rsidRDefault="003D5DB4" w:rsidP="000A5389">
      <w:pPr>
        <w:spacing w:line="240" w:lineRule="auto"/>
      </w:pPr>
      <w:r w:rsidRPr="002E1B4B">
        <w:t>17</w:t>
      </w:r>
      <w:r w:rsidRPr="002E1B4B">
        <w:tab/>
        <w:t xml:space="preserve"> $               56.957.316.000 </w:t>
      </w:r>
      <w:r w:rsidRPr="002E1B4B">
        <w:tab/>
        <w:t>31-dic-39</w:t>
      </w:r>
    </w:p>
    <w:p w14:paraId="3E79AD5C" w14:textId="77777777" w:rsidR="003D5DB4" w:rsidRPr="002E1B4B" w:rsidRDefault="003D5DB4" w:rsidP="000A5389">
      <w:pPr>
        <w:spacing w:line="240" w:lineRule="auto"/>
      </w:pPr>
      <w:r w:rsidRPr="002E1B4B">
        <w:t>18</w:t>
      </w:r>
      <w:r w:rsidRPr="002E1B4B">
        <w:tab/>
        <w:t xml:space="preserve"> $               56.957.316.000 </w:t>
      </w:r>
      <w:r w:rsidRPr="002E1B4B">
        <w:tab/>
        <w:t>31-dic-40</w:t>
      </w:r>
    </w:p>
    <w:p w14:paraId="5CFC76B7" w14:textId="77777777" w:rsidR="003D5DB4" w:rsidRPr="002E1B4B" w:rsidRDefault="003D5DB4" w:rsidP="000A5389">
      <w:pPr>
        <w:spacing w:line="240" w:lineRule="auto"/>
      </w:pPr>
      <w:r w:rsidRPr="002E1B4B">
        <w:t>TOTAL</w:t>
      </w:r>
      <w:r w:rsidRPr="002E1B4B">
        <w:tab/>
        <w:t xml:space="preserve"> $         3.214.948.845.697 </w:t>
      </w:r>
      <w:r w:rsidRPr="002E1B4B">
        <w:tab/>
      </w:r>
    </w:p>
    <w:p w14:paraId="5C633195" w14:textId="77777777" w:rsidR="003D5DB4" w:rsidRPr="002E1B4B" w:rsidRDefault="003D5DB4" w:rsidP="000A5389">
      <w:pPr>
        <w:spacing w:line="240" w:lineRule="auto"/>
      </w:pPr>
    </w:p>
    <w:p w14:paraId="6471F891" w14:textId="77777777" w:rsidR="003D5DB4" w:rsidRPr="002E1B4B" w:rsidRDefault="003D5DB4" w:rsidP="000A5389">
      <w:pPr>
        <w:spacing w:line="240" w:lineRule="auto"/>
      </w:pPr>
      <w:r w:rsidRPr="002E1B4B">
        <w:t>Subcuenta Policía de Carreteras. Fondeos Subcuenta Policía de Carreteras</w:t>
      </w:r>
    </w:p>
    <w:p w14:paraId="0359D1E8" w14:textId="77777777" w:rsidR="003D5DB4" w:rsidRPr="002E1B4B" w:rsidRDefault="003D5DB4" w:rsidP="000A5389">
      <w:pPr>
        <w:spacing w:line="240" w:lineRule="auto"/>
      </w:pPr>
      <w:r w:rsidRPr="002E1B4B">
        <w:t>Aporte</w:t>
      </w:r>
      <w:r w:rsidRPr="002E1B4B">
        <w:tab/>
        <w:t>Monto establecido ($ Dic 2020)</w:t>
      </w:r>
      <w:r w:rsidRPr="002E1B4B">
        <w:tab/>
        <w:t>Fecha Máxima del Aporte</w:t>
      </w:r>
    </w:p>
    <w:p w14:paraId="4DC79DEB" w14:textId="77777777" w:rsidR="002E1B4B" w:rsidRDefault="002E1B4B" w:rsidP="000A5389">
      <w:pPr>
        <w:spacing w:line="240" w:lineRule="auto"/>
      </w:pPr>
    </w:p>
    <w:p w14:paraId="27D67518" w14:textId="682425B6" w:rsidR="003D5DB4" w:rsidRPr="002E1B4B" w:rsidRDefault="003D5DB4" w:rsidP="000A5389">
      <w:pPr>
        <w:spacing w:line="240" w:lineRule="auto"/>
      </w:pPr>
      <w:r w:rsidRPr="002E1B4B">
        <w:t>Aporte 1</w:t>
      </w:r>
      <w:r w:rsidRPr="002E1B4B">
        <w:tab/>
        <w:t xml:space="preserve"> $    1.903.535.208,00 </w:t>
      </w:r>
      <w:r w:rsidRPr="002E1B4B">
        <w:tab/>
        <w:t>En la fecha de constitución del Patrimonio Autónomo</w:t>
      </w:r>
    </w:p>
    <w:p w14:paraId="6956DBF4" w14:textId="77777777" w:rsidR="003D5DB4" w:rsidRPr="002E1B4B" w:rsidRDefault="003D5DB4" w:rsidP="000A5389">
      <w:pPr>
        <w:spacing w:line="240" w:lineRule="auto"/>
      </w:pPr>
      <w:r w:rsidRPr="002E1B4B">
        <w:t>Aporte 2</w:t>
      </w:r>
      <w:r w:rsidRPr="002E1B4B">
        <w:tab/>
        <w:t xml:space="preserve"> $    1.903.535.208,00 </w:t>
      </w:r>
      <w:r w:rsidRPr="002E1B4B">
        <w:tab/>
        <w:t>360 días desde la fecha de inicio</w:t>
      </w:r>
    </w:p>
    <w:p w14:paraId="44410F5C" w14:textId="77777777" w:rsidR="003D5DB4" w:rsidRPr="002E1B4B" w:rsidRDefault="003D5DB4" w:rsidP="000A5389">
      <w:pPr>
        <w:spacing w:line="240" w:lineRule="auto"/>
      </w:pPr>
      <w:r w:rsidRPr="002E1B4B">
        <w:t>Aporte 3</w:t>
      </w:r>
      <w:r w:rsidRPr="002E1B4B">
        <w:tab/>
        <w:t xml:space="preserve"> $    1.903.535.208,00 </w:t>
      </w:r>
      <w:r w:rsidRPr="002E1B4B">
        <w:tab/>
        <w:t>720 días desde la fecha de inicio</w:t>
      </w:r>
    </w:p>
    <w:p w14:paraId="0EF70F98" w14:textId="77777777" w:rsidR="003D5DB4" w:rsidRPr="002E1B4B" w:rsidRDefault="003D5DB4" w:rsidP="000A5389">
      <w:pPr>
        <w:spacing w:line="240" w:lineRule="auto"/>
      </w:pPr>
      <w:r w:rsidRPr="002E1B4B">
        <w:lastRenderedPageBreak/>
        <w:t>Aporte 4</w:t>
      </w:r>
      <w:r w:rsidRPr="002E1B4B">
        <w:tab/>
        <w:t xml:space="preserve"> $    1.903.535.208,00 </w:t>
      </w:r>
      <w:r w:rsidRPr="002E1B4B">
        <w:tab/>
        <w:t>1080 días desde la fecha de inicio</w:t>
      </w:r>
    </w:p>
    <w:p w14:paraId="371E0586" w14:textId="77777777" w:rsidR="003D5DB4" w:rsidRPr="002E1B4B" w:rsidRDefault="003D5DB4" w:rsidP="000A5389">
      <w:pPr>
        <w:spacing w:line="240" w:lineRule="auto"/>
      </w:pPr>
      <w:r w:rsidRPr="002E1B4B">
        <w:t>Aporte 5</w:t>
      </w:r>
      <w:r w:rsidRPr="002E1B4B">
        <w:tab/>
        <w:t xml:space="preserve"> $    1.903.535.208,00 </w:t>
      </w:r>
      <w:r w:rsidRPr="002E1B4B">
        <w:tab/>
        <w:t>1440 días desde la fecha de inicio</w:t>
      </w:r>
    </w:p>
    <w:p w14:paraId="15C6AE37" w14:textId="77777777" w:rsidR="003D5DB4" w:rsidRPr="002E1B4B" w:rsidRDefault="003D5DB4" w:rsidP="000A5389">
      <w:pPr>
        <w:spacing w:line="240" w:lineRule="auto"/>
      </w:pPr>
      <w:r w:rsidRPr="002E1B4B">
        <w:t>Aporte 6</w:t>
      </w:r>
      <w:r w:rsidRPr="002E1B4B">
        <w:tab/>
        <w:t xml:space="preserve"> $    1.903.535.208,00 </w:t>
      </w:r>
      <w:r w:rsidRPr="002E1B4B">
        <w:tab/>
        <w:t>1800 días desde la fecha de inicio</w:t>
      </w:r>
    </w:p>
    <w:p w14:paraId="021620DE" w14:textId="77777777" w:rsidR="003D5DB4" w:rsidRPr="002E1B4B" w:rsidRDefault="003D5DB4" w:rsidP="000A5389">
      <w:pPr>
        <w:spacing w:line="240" w:lineRule="auto"/>
      </w:pPr>
      <w:r w:rsidRPr="002E1B4B">
        <w:t>Aporte 7</w:t>
      </w:r>
      <w:r w:rsidRPr="002E1B4B">
        <w:tab/>
        <w:t xml:space="preserve"> $    1.903.535.208,00 </w:t>
      </w:r>
      <w:r w:rsidRPr="002E1B4B">
        <w:tab/>
        <w:t>2160 días desde la fecha de inicio</w:t>
      </w:r>
    </w:p>
    <w:p w14:paraId="25F7908F" w14:textId="77777777" w:rsidR="003D5DB4" w:rsidRPr="002E1B4B" w:rsidRDefault="003D5DB4" w:rsidP="000A5389">
      <w:pPr>
        <w:spacing w:line="240" w:lineRule="auto"/>
      </w:pPr>
      <w:r w:rsidRPr="002E1B4B">
        <w:t>Aporte 8</w:t>
      </w:r>
      <w:r w:rsidRPr="002E1B4B">
        <w:tab/>
        <w:t xml:space="preserve"> $    1.903.535.208,00 </w:t>
      </w:r>
      <w:r w:rsidRPr="002E1B4B">
        <w:tab/>
        <w:t>2520 días desde la fecha de inicio</w:t>
      </w:r>
    </w:p>
    <w:p w14:paraId="2571825D" w14:textId="77777777" w:rsidR="003D5DB4" w:rsidRPr="002E1B4B" w:rsidRDefault="003D5DB4" w:rsidP="000A5389">
      <w:pPr>
        <w:spacing w:line="240" w:lineRule="auto"/>
      </w:pPr>
      <w:r w:rsidRPr="002E1B4B">
        <w:t>Aporte 9</w:t>
      </w:r>
      <w:r w:rsidRPr="002E1B4B">
        <w:tab/>
        <w:t xml:space="preserve"> $    1.903.535.208,00 </w:t>
      </w:r>
      <w:r w:rsidRPr="002E1B4B">
        <w:tab/>
        <w:t>2880 días desde la fecha de inicio</w:t>
      </w:r>
    </w:p>
    <w:p w14:paraId="0EA2EE0C" w14:textId="77777777" w:rsidR="003D5DB4" w:rsidRPr="002E1B4B" w:rsidRDefault="003D5DB4" w:rsidP="000A5389">
      <w:pPr>
        <w:spacing w:line="240" w:lineRule="auto"/>
      </w:pPr>
      <w:r w:rsidRPr="002E1B4B">
        <w:t>Aporte 10</w:t>
      </w:r>
      <w:r w:rsidRPr="002E1B4B">
        <w:tab/>
        <w:t xml:space="preserve"> $    1.903.535.208,00 </w:t>
      </w:r>
      <w:r w:rsidRPr="002E1B4B">
        <w:tab/>
        <w:t>3240 días desde la fecha de inicio</w:t>
      </w:r>
    </w:p>
    <w:p w14:paraId="1B93080C" w14:textId="77777777" w:rsidR="003D5DB4" w:rsidRPr="002E1B4B" w:rsidRDefault="003D5DB4" w:rsidP="000A5389">
      <w:pPr>
        <w:spacing w:line="240" w:lineRule="auto"/>
      </w:pPr>
      <w:r w:rsidRPr="002E1B4B">
        <w:t>Aporte 11</w:t>
      </w:r>
      <w:r w:rsidRPr="002E1B4B">
        <w:tab/>
        <w:t xml:space="preserve"> $    1.903.535.208,00 </w:t>
      </w:r>
      <w:r w:rsidRPr="002E1B4B">
        <w:tab/>
        <w:t>3600 días desde la fecha de inicio</w:t>
      </w:r>
    </w:p>
    <w:p w14:paraId="72A864FC" w14:textId="77777777" w:rsidR="003D5DB4" w:rsidRPr="002E1B4B" w:rsidRDefault="003D5DB4" w:rsidP="000A5389">
      <w:pPr>
        <w:spacing w:line="240" w:lineRule="auto"/>
      </w:pPr>
      <w:r w:rsidRPr="002E1B4B">
        <w:t>Aporte 12</w:t>
      </w:r>
      <w:r w:rsidRPr="002E1B4B">
        <w:tab/>
        <w:t xml:space="preserve"> $    1.903.535.208,00 </w:t>
      </w:r>
      <w:r w:rsidRPr="002E1B4B">
        <w:tab/>
        <w:t>3960 días desde la fecha de inicio</w:t>
      </w:r>
    </w:p>
    <w:p w14:paraId="41371354" w14:textId="77777777" w:rsidR="003D5DB4" w:rsidRPr="002E1B4B" w:rsidRDefault="003D5DB4" w:rsidP="000A5389">
      <w:pPr>
        <w:spacing w:line="240" w:lineRule="auto"/>
      </w:pPr>
      <w:r w:rsidRPr="002E1B4B">
        <w:t>Aporte 13</w:t>
      </w:r>
      <w:r w:rsidRPr="002E1B4B">
        <w:tab/>
        <w:t xml:space="preserve"> $    1.903.535.208,00 </w:t>
      </w:r>
      <w:r w:rsidRPr="002E1B4B">
        <w:tab/>
        <w:t>4320 días desde la fecha de inicio</w:t>
      </w:r>
    </w:p>
    <w:p w14:paraId="78ED5A0D" w14:textId="77777777" w:rsidR="003D5DB4" w:rsidRPr="002E1B4B" w:rsidRDefault="003D5DB4" w:rsidP="000A5389">
      <w:pPr>
        <w:spacing w:line="240" w:lineRule="auto"/>
      </w:pPr>
      <w:r w:rsidRPr="002E1B4B">
        <w:t>Aporte 14</w:t>
      </w:r>
      <w:r w:rsidRPr="002E1B4B">
        <w:tab/>
        <w:t xml:space="preserve"> $    1.903.535.208,00 </w:t>
      </w:r>
      <w:r w:rsidRPr="002E1B4B">
        <w:tab/>
        <w:t>4680 días desde la fecha de inicio</w:t>
      </w:r>
    </w:p>
    <w:p w14:paraId="44A48B13" w14:textId="77777777" w:rsidR="003D5DB4" w:rsidRPr="002E1B4B" w:rsidRDefault="003D5DB4" w:rsidP="000A5389">
      <w:pPr>
        <w:spacing w:line="240" w:lineRule="auto"/>
      </w:pPr>
      <w:r w:rsidRPr="002E1B4B">
        <w:t>Aporte 15</w:t>
      </w:r>
      <w:r w:rsidRPr="002E1B4B">
        <w:tab/>
        <w:t xml:space="preserve"> $    1.903.535.208,00 </w:t>
      </w:r>
      <w:r w:rsidRPr="002E1B4B">
        <w:tab/>
        <w:t>5040 días desde la fecha de inicio</w:t>
      </w:r>
    </w:p>
    <w:p w14:paraId="77783689" w14:textId="77777777" w:rsidR="003D5DB4" w:rsidRPr="002E1B4B" w:rsidRDefault="003D5DB4" w:rsidP="000A5389">
      <w:pPr>
        <w:spacing w:line="240" w:lineRule="auto"/>
      </w:pPr>
      <w:r w:rsidRPr="002E1B4B">
        <w:t>Aporte 16</w:t>
      </w:r>
      <w:r w:rsidRPr="002E1B4B">
        <w:tab/>
        <w:t xml:space="preserve"> $    1.903.535.208,00 </w:t>
      </w:r>
      <w:r w:rsidRPr="002E1B4B">
        <w:tab/>
        <w:t>5400 días desde la fecha de inicio</w:t>
      </w:r>
    </w:p>
    <w:p w14:paraId="59D10F6B" w14:textId="77777777" w:rsidR="003D5DB4" w:rsidRPr="002E1B4B" w:rsidRDefault="003D5DB4" w:rsidP="000A5389">
      <w:pPr>
        <w:spacing w:line="240" w:lineRule="auto"/>
      </w:pPr>
      <w:r w:rsidRPr="002E1B4B">
        <w:t>Aporte 17</w:t>
      </w:r>
      <w:r w:rsidRPr="002E1B4B">
        <w:tab/>
        <w:t xml:space="preserve"> $    1.903.535.208,00 </w:t>
      </w:r>
      <w:r w:rsidRPr="002E1B4B">
        <w:tab/>
        <w:t>5760 días desde la fecha de inicio</w:t>
      </w:r>
    </w:p>
    <w:p w14:paraId="44495A35" w14:textId="77777777" w:rsidR="003D5DB4" w:rsidRPr="002E1B4B" w:rsidRDefault="003D5DB4" w:rsidP="000A5389">
      <w:pPr>
        <w:spacing w:line="240" w:lineRule="auto"/>
      </w:pPr>
      <w:r w:rsidRPr="002E1B4B">
        <w:t>Aporte 18</w:t>
      </w:r>
      <w:r w:rsidRPr="002E1B4B">
        <w:tab/>
        <w:t xml:space="preserve"> $    1.903.535.208,00 </w:t>
      </w:r>
      <w:r w:rsidRPr="002E1B4B">
        <w:tab/>
        <w:t>6120 días desde la fecha de inicio</w:t>
      </w:r>
    </w:p>
    <w:p w14:paraId="4D167107" w14:textId="77777777" w:rsidR="003D5DB4" w:rsidRPr="002E1B4B" w:rsidRDefault="003D5DB4" w:rsidP="000A5389">
      <w:pPr>
        <w:spacing w:line="240" w:lineRule="auto"/>
      </w:pPr>
      <w:r w:rsidRPr="002E1B4B">
        <w:t>Aporte 19</w:t>
      </w:r>
      <w:r w:rsidRPr="002E1B4B">
        <w:tab/>
        <w:t xml:space="preserve"> $    1.903.535.208,00 </w:t>
      </w:r>
      <w:r w:rsidRPr="002E1B4B">
        <w:tab/>
        <w:t>6480 días desde la fecha de inicio</w:t>
      </w:r>
    </w:p>
    <w:p w14:paraId="70FB0836" w14:textId="77777777" w:rsidR="003D5DB4" w:rsidRPr="002E1B4B" w:rsidRDefault="003D5DB4" w:rsidP="000A5389">
      <w:pPr>
        <w:spacing w:line="240" w:lineRule="auto"/>
      </w:pPr>
      <w:r w:rsidRPr="002E1B4B">
        <w:t>Aporte 20</w:t>
      </w:r>
      <w:r w:rsidRPr="002E1B4B">
        <w:tab/>
        <w:t xml:space="preserve"> $    1.903.535.208,00 </w:t>
      </w:r>
      <w:r w:rsidRPr="002E1B4B">
        <w:tab/>
        <w:t>6840 días desde la fecha de inicio</w:t>
      </w:r>
    </w:p>
    <w:p w14:paraId="6976E452" w14:textId="77777777" w:rsidR="003D5DB4" w:rsidRPr="002E1B4B" w:rsidRDefault="003D5DB4" w:rsidP="000A5389">
      <w:pPr>
        <w:spacing w:line="240" w:lineRule="auto"/>
      </w:pPr>
      <w:r w:rsidRPr="002E1B4B">
        <w:t>Aporte 21</w:t>
      </w:r>
      <w:r w:rsidRPr="002E1B4B">
        <w:tab/>
        <w:t xml:space="preserve"> $    1.903.535.208,00 </w:t>
      </w:r>
      <w:r w:rsidRPr="002E1B4B">
        <w:tab/>
        <w:t>7200 días desde la fecha de inicio</w:t>
      </w:r>
    </w:p>
    <w:p w14:paraId="1121FC6D" w14:textId="77777777" w:rsidR="003D5DB4" w:rsidRPr="002E1B4B" w:rsidRDefault="003D5DB4" w:rsidP="000A5389">
      <w:pPr>
        <w:spacing w:line="240" w:lineRule="auto"/>
      </w:pPr>
      <w:r w:rsidRPr="002E1B4B">
        <w:t>Aporte 22</w:t>
      </w:r>
      <w:r w:rsidRPr="002E1B4B">
        <w:tab/>
        <w:t xml:space="preserve"> $    1.903.535.208,00 </w:t>
      </w:r>
      <w:r w:rsidRPr="002E1B4B">
        <w:tab/>
        <w:t>7560 días desde la fecha de inicio</w:t>
      </w:r>
    </w:p>
    <w:p w14:paraId="5FDDA4E2" w14:textId="77777777" w:rsidR="003D5DB4" w:rsidRPr="002E1B4B" w:rsidRDefault="003D5DB4" w:rsidP="000A5389">
      <w:pPr>
        <w:spacing w:line="240" w:lineRule="auto"/>
      </w:pPr>
      <w:r w:rsidRPr="002E1B4B">
        <w:t>Aporte 23</w:t>
      </w:r>
      <w:r w:rsidRPr="002E1B4B">
        <w:tab/>
        <w:t xml:space="preserve"> $    1.903.535.208,00 </w:t>
      </w:r>
      <w:r w:rsidRPr="002E1B4B">
        <w:tab/>
        <w:t>7920 días desde la fecha de inicio</w:t>
      </w:r>
    </w:p>
    <w:p w14:paraId="550B5049" w14:textId="77777777" w:rsidR="003D5DB4" w:rsidRPr="002E1B4B" w:rsidRDefault="003D5DB4" w:rsidP="000A5389">
      <w:pPr>
        <w:spacing w:line="240" w:lineRule="auto"/>
      </w:pPr>
      <w:r w:rsidRPr="002E1B4B">
        <w:t>Aporte 24</w:t>
      </w:r>
      <w:r w:rsidRPr="002E1B4B">
        <w:tab/>
        <w:t xml:space="preserve"> $    1.903.535.208,00 </w:t>
      </w:r>
      <w:r w:rsidRPr="002E1B4B">
        <w:tab/>
        <w:t>8280 días desde la fecha de inicio</w:t>
      </w:r>
    </w:p>
    <w:p w14:paraId="2E13E6B9" w14:textId="77777777" w:rsidR="003D5DB4" w:rsidRPr="002E1B4B" w:rsidRDefault="003D5DB4" w:rsidP="000A5389">
      <w:pPr>
        <w:spacing w:line="240" w:lineRule="auto"/>
      </w:pPr>
      <w:r w:rsidRPr="002E1B4B">
        <w:t>Aporte 25</w:t>
      </w:r>
      <w:r w:rsidRPr="002E1B4B">
        <w:tab/>
        <w:t xml:space="preserve"> $    1.903.535.208,00 </w:t>
      </w:r>
      <w:r w:rsidRPr="002E1B4B">
        <w:tab/>
        <w:t>8640 días desde la fecha de inicio</w:t>
      </w:r>
    </w:p>
    <w:p w14:paraId="4C8717C1" w14:textId="77777777" w:rsidR="003D5DB4" w:rsidRPr="002E1B4B" w:rsidRDefault="003D5DB4" w:rsidP="000A5389">
      <w:pPr>
        <w:spacing w:line="240" w:lineRule="auto"/>
      </w:pPr>
      <w:r w:rsidRPr="002E1B4B">
        <w:t>Total</w:t>
      </w:r>
      <w:r w:rsidRPr="002E1B4B">
        <w:tab/>
        <w:t xml:space="preserve"> </w:t>
      </w:r>
      <w:r w:rsidRPr="002E1B4B">
        <w:tab/>
        <w:t xml:space="preserve"> $ 47.588.380.200,00 </w:t>
      </w:r>
      <w:r w:rsidRPr="002E1B4B">
        <w:tab/>
        <w:t xml:space="preserve"> </w:t>
      </w:r>
    </w:p>
    <w:p w14:paraId="75A72B11" w14:textId="77777777" w:rsidR="003D5DB4" w:rsidRPr="002E1B4B" w:rsidRDefault="003D5DB4" w:rsidP="000A5389">
      <w:pPr>
        <w:spacing w:line="240" w:lineRule="auto"/>
      </w:pPr>
      <w:r w:rsidRPr="002E1B4B">
        <w:tab/>
      </w:r>
      <w:r w:rsidRPr="002E1B4B">
        <w:tab/>
      </w:r>
    </w:p>
    <w:p w14:paraId="292C10DB" w14:textId="77777777" w:rsidR="003D5DB4" w:rsidRPr="002E1B4B" w:rsidRDefault="003D5DB4" w:rsidP="000A5389">
      <w:pPr>
        <w:spacing w:line="240" w:lineRule="auto"/>
      </w:pPr>
      <w:r w:rsidRPr="002E1B4B">
        <w:t>Subcuenta Obras Sociales. Fondeos Subcuenta Obras Sociales</w:t>
      </w:r>
    </w:p>
    <w:p w14:paraId="1A8F67C5" w14:textId="77777777" w:rsidR="003D5DB4" w:rsidRPr="002E1B4B" w:rsidRDefault="003D5DB4" w:rsidP="000A5389">
      <w:pPr>
        <w:spacing w:line="240" w:lineRule="auto"/>
      </w:pPr>
      <w:r w:rsidRPr="002E1B4B">
        <w:t>Aporte</w:t>
      </w:r>
      <w:r w:rsidRPr="002E1B4B">
        <w:tab/>
        <w:t>Monto establecido ($ Dic 2020)</w:t>
      </w:r>
      <w:r w:rsidRPr="002E1B4B">
        <w:tab/>
        <w:t>Fecha Máxima del Aporte</w:t>
      </w:r>
    </w:p>
    <w:p w14:paraId="0A8CAB9D" w14:textId="77777777" w:rsidR="003D5DB4" w:rsidRPr="002E1B4B" w:rsidRDefault="003D5DB4" w:rsidP="000A5389">
      <w:pPr>
        <w:spacing w:line="240" w:lineRule="auto"/>
      </w:pPr>
      <w:r w:rsidRPr="002E1B4B">
        <w:t>Aporte 1</w:t>
      </w:r>
      <w:r w:rsidRPr="002E1B4B">
        <w:tab/>
        <w:t xml:space="preserve"> $    415.114.337,00 </w:t>
      </w:r>
      <w:r w:rsidRPr="002E1B4B">
        <w:tab/>
        <w:t>En la fecha de constitución del Patrimonio Autónomo</w:t>
      </w:r>
    </w:p>
    <w:p w14:paraId="51A05E9B" w14:textId="77777777" w:rsidR="003D5DB4" w:rsidRPr="002E1B4B" w:rsidRDefault="003D5DB4" w:rsidP="000A5389">
      <w:pPr>
        <w:spacing w:line="240" w:lineRule="auto"/>
      </w:pPr>
      <w:r w:rsidRPr="002E1B4B">
        <w:t>Aporte 2</w:t>
      </w:r>
      <w:r w:rsidRPr="002E1B4B">
        <w:tab/>
        <w:t xml:space="preserve"> $3.439.163.588,00 </w:t>
      </w:r>
      <w:r w:rsidRPr="002E1B4B">
        <w:tab/>
        <w:t>360 días desde la fecha de inicio</w:t>
      </w:r>
    </w:p>
    <w:p w14:paraId="105A3F79" w14:textId="77777777" w:rsidR="003D5DB4" w:rsidRPr="002E1B4B" w:rsidRDefault="003D5DB4" w:rsidP="000A5389">
      <w:pPr>
        <w:spacing w:line="240" w:lineRule="auto"/>
      </w:pPr>
      <w:r w:rsidRPr="002E1B4B">
        <w:t>Aporte 3</w:t>
      </w:r>
      <w:r w:rsidRPr="002E1B4B">
        <w:tab/>
        <w:t xml:space="preserve"> $4.073.857.946,00 </w:t>
      </w:r>
      <w:r w:rsidRPr="002E1B4B">
        <w:tab/>
        <w:t>720 días desde la fecha de inicio</w:t>
      </w:r>
    </w:p>
    <w:p w14:paraId="7141AC4B" w14:textId="77777777" w:rsidR="003D5DB4" w:rsidRPr="002E1B4B" w:rsidRDefault="003D5DB4" w:rsidP="000A5389">
      <w:pPr>
        <w:spacing w:line="240" w:lineRule="auto"/>
      </w:pPr>
      <w:r w:rsidRPr="002E1B4B">
        <w:t>Aporte 4</w:t>
      </w:r>
      <w:r w:rsidRPr="002E1B4B">
        <w:tab/>
        <w:t xml:space="preserve"> $ 2.047.497.148,00 </w:t>
      </w:r>
      <w:r w:rsidRPr="002E1B4B">
        <w:tab/>
        <w:t>1080 días desde la fecha de inicio</w:t>
      </w:r>
    </w:p>
    <w:p w14:paraId="7F7BA0F1" w14:textId="77777777" w:rsidR="003D5DB4" w:rsidRPr="002E1B4B" w:rsidRDefault="003D5DB4" w:rsidP="000A5389">
      <w:pPr>
        <w:spacing w:line="240" w:lineRule="auto"/>
      </w:pPr>
      <w:r w:rsidRPr="002E1B4B">
        <w:t>Aporte 5</w:t>
      </w:r>
      <w:r w:rsidRPr="002E1B4B">
        <w:tab/>
        <w:t xml:space="preserve"> $     349.309.711,00 </w:t>
      </w:r>
      <w:r w:rsidRPr="002E1B4B">
        <w:tab/>
        <w:t>1440 días desde la fecha de inicio</w:t>
      </w:r>
    </w:p>
    <w:p w14:paraId="44DA4CBD" w14:textId="77777777" w:rsidR="003D5DB4" w:rsidRPr="002E1B4B" w:rsidRDefault="003D5DB4" w:rsidP="000A5389">
      <w:pPr>
        <w:spacing w:line="240" w:lineRule="auto"/>
      </w:pPr>
      <w:r w:rsidRPr="002E1B4B">
        <w:t>Total</w:t>
      </w:r>
      <w:r w:rsidRPr="002E1B4B">
        <w:tab/>
        <w:t xml:space="preserve">                $10.324.942.730.00</w:t>
      </w:r>
      <w:r w:rsidRPr="002E1B4B">
        <w:tab/>
        <w:t xml:space="preserve"> </w:t>
      </w:r>
    </w:p>
    <w:p w14:paraId="05BECD00" w14:textId="77777777" w:rsidR="003D5DB4" w:rsidRPr="002E1B4B" w:rsidRDefault="003D5DB4" w:rsidP="000A5389">
      <w:pPr>
        <w:spacing w:line="240" w:lineRule="auto"/>
      </w:pPr>
    </w:p>
    <w:p w14:paraId="03CB206B" w14:textId="77777777" w:rsidR="003D5DB4" w:rsidRPr="002E1B4B" w:rsidRDefault="003D5DB4" w:rsidP="000A5389">
      <w:pPr>
        <w:spacing w:line="240" w:lineRule="auto"/>
      </w:pPr>
      <w:r w:rsidRPr="002E1B4B">
        <w:t>Términos de calendario:</w:t>
      </w:r>
      <w:r w:rsidRPr="002E1B4B">
        <w:tab/>
        <w:t>En el seguimiento que la interventoría le hace mensualmente a la programación de obras, es importante indicar que el inicio del contrato corresponde al 01 de diciembre de 2022, al cierre de este informe se encuentra en etapa de pre-construcción, sin embargo, la parte especial del contrato numero 5.2 establece la programación de las obras las cuales empiezan a contarse a partir del acta de inicio de la fase de construcción:</w:t>
      </w:r>
    </w:p>
    <w:p w14:paraId="32EACD53" w14:textId="77777777" w:rsidR="002E1B4B" w:rsidRDefault="002E1B4B" w:rsidP="000A5389">
      <w:pPr>
        <w:spacing w:line="240" w:lineRule="auto"/>
      </w:pPr>
    </w:p>
    <w:p w14:paraId="22A74AD1" w14:textId="7E02224D" w:rsidR="003D5DB4" w:rsidRPr="002E1B4B" w:rsidRDefault="003D5DB4" w:rsidP="000A5389">
      <w:pPr>
        <w:spacing w:line="240" w:lineRule="auto"/>
      </w:pPr>
      <w:r w:rsidRPr="002E1B4B">
        <w:t>UNIDAD FUNCIONAL</w:t>
      </w:r>
      <w:r w:rsidRPr="002E1B4B">
        <w:tab/>
        <w:t>Plazo Máximo de Ejecución</w:t>
      </w:r>
    </w:p>
    <w:p w14:paraId="06EDF245" w14:textId="77777777" w:rsidR="003D5DB4" w:rsidRPr="002E1B4B" w:rsidRDefault="003D5DB4" w:rsidP="000A5389">
      <w:pPr>
        <w:spacing w:line="240" w:lineRule="auto"/>
      </w:pPr>
      <w:r w:rsidRPr="002E1B4B">
        <w:t>1</w:t>
      </w:r>
      <w:r w:rsidRPr="002E1B4B">
        <w:tab/>
      </w:r>
      <w:r w:rsidRPr="002E1B4B">
        <w:tab/>
      </w:r>
      <w:r w:rsidRPr="002E1B4B">
        <w:tab/>
        <w:t>11 meses</w:t>
      </w:r>
    </w:p>
    <w:p w14:paraId="7173F956" w14:textId="77777777" w:rsidR="003D5DB4" w:rsidRPr="002E1B4B" w:rsidRDefault="003D5DB4" w:rsidP="000A5389">
      <w:pPr>
        <w:spacing w:line="240" w:lineRule="auto"/>
      </w:pPr>
      <w:r w:rsidRPr="002E1B4B">
        <w:t>2</w:t>
      </w:r>
      <w:r w:rsidRPr="002E1B4B">
        <w:tab/>
      </w:r>
      <w:r w:rsidRPr="002E1B4B">
        <w:tab/>
      </w:r>
      <w:r w:rsidRPr="002E1B4B">
        <w:tab/>
        <w:t>19 meses</w:t>
      </w:r>
    </w:p>
    <w:p w14:paraId="093141E5" w14:textId="77777777" w:rsidR="003D5DB4" w:rsidRPr="002E1B4B" w:rsidRDefault="003D5DB4" w:rsidP="000A5389">
      <w:pPr>
        <w:spacing w:line="240" w:lineRule="auto"/>
      </w:pPr>
      <w:r w:rsidRPr="002E1B4B">
        <w:t>3</w:t>
      </w:r>
      <w:r w:rsidRPr="002E1B4B">
        <w:tab/>
      </w:r>
      <w:r w:rsidRPr="002E1B4B">
        <w:tab/>
      </w:r>
      <w:r w:rsidRPr="002E1B4B">
        <w:tab/>
        <w:t>26 meses</w:t>
      </w:r>
    </w:p>
    <w:p w14:paraId="41B9A62A" w14:textId="77777777" w:rsidR="003D5DB4" w:rsidRPr="002E1B4B" w:rsidRDefault="003D5DB4" w:rsidP="000A5389">
      <w:pPr>
        <w:spacing w:line="240" w:lineRule="auto"/>
      </w:pPr>
      <w:r w:rsidRPr="002E1B4B">
        <w:t>4</w:t>
      </w:r>
      <w:r w:rsidRPr="002E1B4B">
        <w:tab/>
      </w:r>
      <w:r w:rsidRPr="002E1B4B">
        <w:tab/>
      </w:r>
      <w:r w:rsidRPr="002E1B4B">
        <w:tab/>
        <w:t>30 meses</w:t>
      </w:r>
    </w:p>
    <w:p w14:paraId="0A286709" w14:textId="77777777" w:rsidR="003D5DB4" w:rsidRPr="002E1B4B" w:rsidRDefault="003D5DB4" w:rsidP="000A5389">
      <w:pPr>
        <w:spacing w:line="240" w:lineRule="auto"/>
      </w:pPr>
      <w:r w:rsidRPr="002E1B4B">
        <w:lastRenderedPageBreak/>
        <w:t>5</w:t>
      </w:r>
      <w:r w:rsidRPr="002E1B4B">
        <w:tab/>
      </w:r>
      <w:r w:rsidRPr="002E1B4B">
        <w:tab/>
      </w:r>
      <w:r w:rsidRPr="002E1B4B">
        <w:tab/>
        <w:t>47 meses</w:t>
      </w:r>
    </w:p>
    <w:p w14:paraId="4B058C93" w14:textId="77777777" w:rsidR="003D5DB4" w:rsidRPr="002E1B4B" w:rsidRDefault="003D5DB4" w:rsidP="000A5389">
      <w:pPr>
        <w:spacing w:line="240" w:lineRule="auto"/>
      </w:pPr>
      <w:r w:rsidRPr="002E1B4B">
        <w:t>6</w:t>
      </w:r>
      <w:r w:rsidRPr="002E1B4B">
        <w:tab/>
      </w:r>
      <w:r w:rsidRPr="002E1B4B">
        <w:tab/>
      </w:r>
      <w:r w:rsidRPr="002E1B4B">
        <w:tab/>
        <w:t>9 meses</w:t>
      </w:r>
    </w:p>
    <w:p w14:paraId="2EEEC81B" w14:textId="77777777" w:rsidR="003D5DB4" w:rsidRPr="002E1B4B" w:rsidRDefault="003D5DB4" w:rsidP="000A5389">
      <w:pPr>
        <w:spacing w:line="240" w:lineRule="auto"/>
      </w:pPr>
      <w:r w:rsidRPr="002E1B4B">
        <w:t>7</w:t>
      </w:r>
      <w:r w:rsidRPr="002E1B4B">
        <w:tab/>
      </w:r>
      <w:r w:rsidRPr="002E1B4B">
        <w:tab/>
      </w:r>
      <w:r w:rsidRPr="002E1B4B">
        <w:tab/>
        <w:t>19 meses</w:t>
      </w:r>
    </w:p>
    <w:p w14:paraId="197F9272" w14:textId="77777777" w:rsidR="003D5DB4" w:rsidRPr="002E1B4B" w:rsidRDefault="003D5DB4" w:rsidP="000A5389">
      <w:pPr>
        <w:spacing w:line="240" w:lineRule="auto"/>
      </w:pPr>
      <w:r w:rsidRPr="002E1B4B">
        <w:t>8</w:t>
      </w:r>
      <w:r w:rsidRPr="002E1B4B">
        <w:tab/>
      </w:r>
      <w:r w:rsidRPr="002E1B4B">
        <w:tab/>
      </w:r>
      <w:r w:rsidRPr="002E1B4B">
        <w:tab/>
        <w:t>2 meses</w:t>
      </w:r>
    </w:p>
    <w:p w14:paraId="4E21E2B3" w14:textId="77777777" w:rsidR="003D5DB4" w:rsidRPr="002E1B4B" w:rsidRDefault="003D5DB4" w:rsidP="000A5389">
      <w:pPr>
        <w:spacing w:line="240" w:lineRule="auto"/>
      </w:pPr>
      <w:r w:rsidRPr="002E1B4B">
        <w:t>9</w:t>
      </w:r>
      <w:r w:rsidRPr="002E1B4B">
        <w:tab/>
      </w:r>
      <w:r w:rsidRPr="002E1B4B">
        <w:tab/>
      </w:r>
      <w:r w:rsidRPr="002E1B4B">
        <w:tab/>
        <w:t>21 meses</w:t>
      </w:r>
    </w:p>
    <w:p w14:paraId="0502CB37" w14:textId="77777777" w:rsidR="003D5DB4" w:rsidRPr="002E1B4B" w:rsidRDefault="003D5DB4" w:rsidP="000A5389">
      <w:pPr>
        <w:spacing w:line="240" w:lineRule="auto"/>
      </w:pPr>
      <w:r w:rsidRPr="002E1B4B">
        <w:t>10</w:t>
      </w:r>
      <w:r w:rsidRPr="002E1B4B">
        <w:tab/>
      </w:r>
      <w:r w:rsidRPr="002E1B4B">
        <w:tab/>
      </w:r>
      <w:r w:rsidRPr="002E1B4B">
        <w:tab/>
        <w:t>24 meses</w:t>
      </w:r>
    </w:p>
    <w:p w14:paraId="573ABCD1" w14:textId="77777777" w:rsidR="003D5DB4" w:rsidRPr="002E1B4B" w:rsidRDefault="003D5DB4" w:rsidP="000A5389">
      <w:pPr>
        <w:spacing w:line="240" w:lineRule="auto"/>
      </w:pPr>
      <w:r w:rsidRPr="002E1B4B">
        <w:t>11</w:t>
      </w:r>
      <w:r w:rsidRPr="002E1B4B">
        <w:tab/>
      </w:r>
      <w:r w:rsidRPr="002E1B4B">
        <w:tab/>
      </w:r>
      <w:r w:rsidRPr="002E1B4B">
        <w:tab/>
        <w:t>38 meses</w:t>
      </w:r>
      <w:r w:rsidRPr="002E1B4B">
        <w:tab/>
      </w:r>
    </w:p>
    <w:p w14:paraId="036A94D7" w14:textId="77777777" w:rsidR="003D5DB4" w:rsidRPr="002E1B4B" w:rsidRDefault="003D5DB4" w:rsidP="000A5389">
      <w:pPr>
        <w:spacing w:line="240" w:lineRule="auto"/>
      </w:pPr>
      <w:r w:rsidRPr="002E1B4B">
        <w:t>12</w:t>
      </w:r>
      <w:r w:rsidRPr="002E1B4B">
        <w:tab/>
      </w:r>
      <w:r w:rsidRPr="002E1B4B">
        <w:tab/>
      </w:r>
      <w:r w:rsidRPr="002E1B4B">
        <w:tab/>
        <w:t>20 meses</w:t>
      </w:r>
    </w:p>
    <w:p w14:paraId="2ADCB9B3" w14:textId="77777777" w:rsidR="003D5DB4" w:rsidRPr="002E1B4B" w:rsidRDefault="003D5DB4" w:rsidP="000A5389">
      <w:pPr>
        <w:spacing w:line="240" w:lineRule="auto"/>
      </w:pPr>
      <w:r w:rsidRPr="002E1B4B">
        <w:t>13</w:t>
      </w:r>
      <w:r w:rsidRPr="002E1B4B">
        <w:tab/>
      </w:r>
      <w:r w:rsidRPr="002E1B4B">
        <w:tab/>
      </w:r>
      <w:r w:rsidRPr="002E1B4B">
        <w:tab/>
        <w:t>26 meses</w:t>
      </w:r>
    </w:p>
    <w:p w14:paraId="70CCC757" w14:textId="77777777" w:rsidR="003D5DB4" w:rsidRPr="002E1B4B" w:rsidRDefault="003D5DB4" w:rsidP="000A5389">
      <w:pPr>
        <w:spacing w:line="240" w:lineRule="auto"/>
      </w:pPr>
    </w:p>
    <w:p w14:paraId="7B084119" w14:textId="77777777" w:rsidR="003D5DB4" w:rsidRPr="002E1B4B" w:rsidRDefault="003D5DB4" w:rsidP="000A5389">
      <w:pPr>
        <w:spacing w:line="240" w:lineRule="auto"/>
      </w:pPr>
      <w:r w:rsidRPr="002E1B4B">
        <w:t>Términos de certeza de flujos de efectivo futuros:</w:t>
      </w:r>
      <w:r w:rsidRPr="002E1B4B">
        <w:tab/>
      </w:r>
    </w:p>
    <w:p w14:paraId="2BF3EAAB" w14:textId="77777777" w:rsidR="002E1B4B" w:rsidRDefault="002E1B4B" w:rsidP="000A5389">
      <w:pPr>
        <w:spacing w:line="240" w:lineRule="auto"/>
      </w:pPr>
    </w:p>
    <w:p w14:paraId="06B65CE3" w14:textId="29047B1E" w:rsidR="003D5DB4" w:rsidRPr="002E1B4B" w:rsidRDefault="003D5DB4" w:rsidP="000A5389">
      <w:pPr>
        <w:spacing w:line="240" w:lineRule="auto"/>
      </w:pPr>
      <w:r w:rsidRPr="002E1B4B">
        <w:t>Naturaleza y alcance del derecho a utilizar Activos y los aspectos pactados en torno a lo que se espera que el concesionario proporcione en relación con el Acuerdo de concesión</w:t>
      </w:r>
    </w:p>
    <w:p w14:paraId="566FABB1" w14:textId="77777777" w:rsidR="002E1B4B" w:rsidRDefault="002E1B4B" w:rsidP="000A5389">
      <w:pPr>
        <w:spacing w:line="240" w:lineRule="auto"/>
      </w:pPr>
    </w:p>
    <w:p w14:paraId="1D162D3C" w14:textId="477E6183" w:rsidR="003D5DB4" w:rsidRPr="002E1B4B" w:rsidRDefault="003D5DB4" w:rsidP="000A5389">
      <w:pPr>
        <w:spacing w:line="240" w:lineRule="auto"/>
      </w:pPr>
      <w:r w:rsidRPr="002E1B4B">
        <w:t>Naturaleza y alcance del derecho de uso de los Activos</w:t>
      </w:r>
    </w:p>
    <w:p w14:paraId="76D2162F" w14:textId="77777777" w:rsidR="003D5DB4" w:rsidRPr="002E1B4B" w:rsidRDefault="003D5DB4" w:rsidP="000A5389">
      <w:pPr>
        <w:spacing w:line="240" w:lineRule="auto"/>
      </w:pPr>
      <w:r w:rsidRPr="002E1B4B">
        <w:t>Descripción: 3.4 Derecho de recaudo e ingresos por explotación comercial</w:t>
      </w:r>
    </w:p>
    <w:p w14:paraId="74A9FC89" w14:textId="77777777" w:rsidR="003D5DB4" w:rsidRPr="002E1B4B" w:rsidRDefault="003D5DB4" w:rsidP="000A5389">
      <w:pPr>
        <w:spacing w:line="240" w:lineRule="auto"/>
      </w:pPr>
      <w:r w:rsidRPr="002E1B4B">
        <w:t>Observaciones:</w:t>
      </w:r>
      <w:r w:rsidRPr="002E1B4B">
        <w:tab/>
        <w:t>Sin observaciones</w:t>
      </w:r>
    </w:p>
    <w:p w14:paraId="384A1087" w14:textId="77777777" w:rsidR="003D5DB4" w:rsidRPr="002E1B4B" w:rsidRDefault="003D5DB4" w:rsidP="000A5389">
      <w:pPr>
        <w:spacing w:line="240" w:lineRule="auto"/>
      </w:pPr>
      <w:r w:rsidRPr="002E1B4B">
        <w:t>Retribución al concesionario</w:t>
      </w:r>
    </w:p>
    <w:p w14:paraId="34053FD4" w14:textId="77777777" w:rsidR="002E1B4B" w:rsidRDefault="002E1B4B" w:rsidP="000A5389">
      <w:pPr>
        <w:spacing w:line="240" w:lineRule="auto"/>
      </w:pPr>
    </w:p>
    <w:p w14:paraId="52AF1DC6" w14:textId="77777777" w:rsidR="002E1B4B" w:rsidRDefault="003D5DB4" w:rsidP="000A5389">
      <w:pPr>
        <w:spacing w:line="240" w:lineRule="auto"/>
      </w:pPr>
      <w:r w:rsidRPr="002E1B4B">
        <w:t>Descripción:</w:t>
      </w:r>
      <w:r w:rsidRPr="002E1B4B">
        <w:tab/>
        <w:t xml:space="preserve">Parte General 3.1 “Retribución” se indica el derecho a la Retribución del Concesionario con respecto a cada Unidad Funcional se iniciará a partir de la suscripción de la respectiva Acta de Terminación de Unidad Funcional de Operación y Mantenimiento, según el caso, y terminará en la fecha de terminación de la etapa de Operación y Mantenimiento o el día de la declaratoria de Terminación anticipada del contrato. La suscripción del Acta de Terminación Parcial de la Unidad Funcional cuando sea aplicable de conformidad con este contrato dará lugar a la causación y pago de la Compensación Especial. </w:t>
      </w:r>
    </w:p>
    <w:p w14:paraId="1FF3D0BB" w14:textId="77777777" w:rsidR="002E1B4B" w:rsidRDefault="002E1B4B" w:rsidP="000A5389">
      <w:pPr>
        <w:spacing w:line="240" w:lineRule="auto"/>
      </w:pPr>
    </w:p>
    <w:p w14:paraId="0C68CF28" w14:textId="23160CBF" w:rsidR="003D5DB4" w:rsidRPr="002E1B4B" w:rsidRDefault="003D5DB4" w:rsidP="000A5389">
      <w:pPr>
        <w:spacing w:line="240" w:lineRule="auto"/>
      </w:pPr>
      <w:r w:rsidRPr="002E1B4B">
        <w:t>Las fuentes de la retribución aplican.</w:t>
      </w:r>
    </w:p>
    <w:p w14:paraId="2BDFE948" w14:textId="77777777" w:rsidR="003D5DB4" w:rsidRPr="002E1B4B" w:rsidRDefault="003D5DB4" w:rsidP="000A5389">
      <w:pPr>
        <w:spacing w:line="240" w:lineRule="auto"/>
      </w:pPr>
      <w:r w:rsidRPr="002E1B4B">
        <w:t>Aportes ANI:  A 31 de diciembre de 2025 se han recibido $527.458.690.5052 pesos corrientes por concepto de aportes ANI.</w:t>
      </w:r>
    </w:p>
    <w:p w14:paraId="48052807" w14:textId="77777777" w:rsidR="003D5DB4" w:rsidRPr="002E1B4B" w:rsidRDefault="003D5DB4" w:rsidP="000A5389">
      <w:pPr>
        <w:spacing w:line="240" w:lineRule="auto"/>
      </w:pPr>
      <w:r w:rsidRPr="002E1B4B">
        <w:t>Recaudo de Peajes.  A 31 de diciembre de 2025, se tiene por recaudo de peajes la suma de $365.237.266.008 pesos corrientes.</w:t>
      </w:r>
    </w:p>
    <w:p w14:paraId="5077F7F9" w14:textId="77777777" w:rsidR="002E1B4B" w:rsidRDefault="002E1B4B" w:rsidP="000A5389">
      <w:pPr>
        <w:spacing w:line="240" w:lineRule="auto"/>
      </w:pPr>
    </w:p>
    <w:p w14:paraId="08DD6937" w14:textId="679B6B80" w:rsidR="003D5DB4" w:rsidRPr="002E1B4B" w:rsidRDefault="003D5DB4" w:rsidP="000A5389">
      <w:pPr>
        <w:spacing w:line="240" w:lineRule="auto"/>
      </w:pPr>
      <w:r w:rsidRPr="002E1B4B">
        <w:t>Los Ingresos por Explotación Comercial.  No se tienen aún ingresos por explotación comercial.</w:t>
      </w:r>
    </w:p>
    <w:p w14:paraId="311A2033" w14:textId="77777777" w:rsidR="003D5DB4" w:rsidRPr="002E1B4B" w:rsidRDefault="003D5DB4" w:rsidP="000A5389">
      <w:pPr>
        <w:spacing w:line="240" w:lineRule="auto"/>
      </w:pPr>
      <w:r w:rsidRPr="002E1B4B">
        <w:t>Otras Fuentes definidas en la parte Especial.</w:t>
      </w:r>
    </w:p>
    <w:p w14:paraId="5252075D" w14:textId="77777777" w:rsidR="003D5DB4" w:rsidRPr="002E1B4B" w:rsidRDefault="003D5DB4" w:rsidP="000A5389">
      <w:pPr>
        <w:spacing w:line="240" w:lineRule="auto"/>
      </w:pPr>
      <w:r w:rsidRPr="002E1B4B">
        <w:t>Tasa de retribución:</w:t>
      </w:r>
      <w:r w:rsidRPr="002E1B4B">
        <w:tab/>
        <w:t>La tasa de descuento real (TDI) expresada en términos Efectivos Mensuales, será de cero puntos sesenta y ocho sesenta y cinco por ciento (0,6865%).</w:t>
      </w:r>
    </w:p>
    <w:p w14:paraId="2FF15586" w14:textId="77777777" w:rsidR="003D5DB4" w:rsidRPr="002E1B4B" w:rsidRDefault="003D5DB4" w:rsidP="000A5389">
      <w:pPr>
        <w:spacing w:line="240" w:lineRule="auto"/>
      </w:pPr>
    </w:p>
    <w:p w14:paraId="586ACE3E" w14:textId="32234551" w:rsidR="003D5DB4" w:rsidRPr="002E1B4B" w:rsidRDefault="003D5DB4" w:rsidP="000A5389">
      <w:pPr>
        <w:spacing w:line="240" w:lineRule="auto"/>
      </w:pPr>
      <w:r w:rsidRPr="002E1B4B">
        <w:t>Derechos a recibir Activos especificados al final del acuerdo de concesión</w:t>
      </w:r>
    </w:p>
    <w:p w14:paraId="0716C986" w14:textId="77777777" w:rsidR="002E1B4B" w:rsidRDefault="002E1B4B" w:rsidP="000A5389">
      <w:pPr>
        <w:spacing w:line="240" w:lineRule="auto"/>
      </w:pPr>
    </w:p>
    <w:p w14:paraId="14771531" w14:textId="0E26F1CC" w:rsidR="003D5DB4" w:rsidRPr="002E1B4B" w:rsidRDefault="003D5DB4" w:rsidP="000A5389">
      <w:pPr>
        <w:spacing w:line="240" w:lineRule="auto"/>
      </w:pPr>
      <w:r w:rsidRPr="002E1B4B">
        <w:t>Descripción: Los enumerados en el Contrato de Concesión en la etapa de reversión del proyecto.</w:t>
      </w:r>
    </w:p>
    <w:p w14:paraId="3774A529" w14:textId="77777777" w:rsidR="003D5DB4" w:rsidRPr="002E1B4B" w:rsidRDefault="003D5DB4" w:rsidP="000A5389">
      <w:pPr>
        <w:spacing w:line="240" w:lineRule="auto"/>
      </w:pPr>
      <w:r w:rsidRPr="002E1B4B">
        <w:lastRenderedPageBreak/>
        <w:t>Observaciones: Sin observaciones</w:t>
      </w:r>
    </w:p>
    <w:p w14:paraId="2B46A635" w14:textId="77777777" w:rsidR="002E1B4B" w:rsidRDefault="002E1B4B" w:rsidP="000A5389">
      <w:pPr>
        <w:spacing w:line="240" w:lineRule="auto"/>
      </w:pPr>
    </w:p>
    <w:p w14:paraId="10F0DDC1" w14:textId="2FC17232" w:rsidR="003D5DB4" w:rsidRPr="002E1B4B" w:rsidRDefault="003D5DB4" w:rsidP="000A5389">
      <w:pPr>
        <w:spacing w:line="240" w:lineRule="auto"/>
      </w:pPr>
      <w:r w:rsidRPr="002E1B4B">
        <w:t>Las alternativas de renovación y cese del acuerdo</w:t>
      </w:r>
    </w:p>
    <w:p w14:paraId="0377F003" w14:textId="77777777" w:rsidR="003D5DB4" w:rsidRPr="002E1B4B" w:rsidRDefault="003D5DB4" w:rsidP="000A5389">
      <w:pPr>
        <w:spacing w:line="240" w:lineRule="auto"/>
      </w:pPr>
      <w:r w:rsidRPr="002E1B4B">
        <w:t>Descripción:</w:t>
      </w:r>
      <w:r w:rsidRPr="002E1B4B">
        <w:tab/>
      </w:r>
    </w:p>
    <w:p w14:paraId="2B3F4DBA" w14:textId="77777777" w:rsidR="003D5DB4" w:rsidRPr="002E1B4B" w:rsidRDefault="003D5DB4" w:rsidP="000A5389">
      <w:pPr>
        <w:spacing w:line="240" w:lineRule="auto"/>
      </w:pPr>
      <w:r w:rsidRPr="002E1B4B">
        <w:t>Observaciones:</w:t>
      </w:r>
      <w:r w:rsidRPr="002E1B4B">
        <w:tab/>
      </w:r>
    </w:p>
    <w:p w14:paraId="15D16125" w14:textId="77777777" w:rsidR="002E1B4B" w:rsidRDefault="002E1B4B" w:rsidP="000A5389">
      <w:pPr>
        <w:spacing w:line="240" w:lineRule="auto"/>
      </w:pPr>
    </w:p>
    <w:p w14:paraId="3695999C" w14:textId="2AAEFA9F" w:rsidR="003D5DB4" w:rsidRPr="002E1B4B" w:rsidRDefault="003D5DB4" w:rsidP="000A5389">
      <w:pPr>
        <w:spacing w:line="240" w:lineRule="auto"/>
      </w:pPr>
      <w:r w:rsidRPr="002E1B4B">
        <w:t>Cambios en el acuerdo de concesión que se realicen durante el periodo fiscal</w:t>
      </w:r>
    </w:p>
    <w:p w14:paraId="2432C2A0" w14:textId="77777777" w:rsidR="003D5DB4" w:rsidRPr="002E1B4B" w:rsidRDefault="003D5DB4" w:rsidP="000A5389">
      <w:pPr>
        <w:spacing w:line="240" w:lineRule="auto"/>
      </w:pPr>
      <w:r w:rsidRPr="002E1B4B">
        <w:t>Adiciones o modificaciones en tiempo</w:t>
      </w:r>
    </w:p>
    <w:p w14:paraId="4A613C81" w14:textId="77777777" w:rsidR="003D5DB4" w:rsidRPr="002E1B4B" w:rsidRDefault="003D5DB4" w:rsidP="000A5389">
      <w:pPr>
        <w:spacing w:line="240" w:lineRule="auto"/>
      </w:pPr>
      <w:r w:rsidRPr="002E1B4B">
        <w:t>Fechas de las adiciones o modificaciones: No se han realizado adiciones ni modificaciones en tiempo.</w:t>
      </w:r>
    </w:p>
    <w:p w14:paraId="0F5B0C8A" w14:textId="77777777" w:rsidR="003D5DB4" w:rsidRPr="002E1B4B" w:rsidRDefault="003D5DB4" w:rsidP="000A5389">
      <w:pPr>
        <w:spacing w:line="240" w:lineRule="auto"/>
      </w:pPr>
      <w:r w:rsidRPr="002E1B4B">
        <w:t>Nueva Fecha de finalización estimada:</w:t>
      </w:r>
    </w:p>
    <w:p w14:paraId="32FCBE49" w14:textId="77777777" w:rsidR="003D5DB4" w:rsidRPr="002E1B4B" w:rsidRDefault="003D5DB4" w:rsidP="000A5389">
      <w:pPr>
        <w:spacing w:line="240" w:lineRule="auto"/>
      </w:pPr>
      <w:r w:rsidRPr="002E1B4B">
        <w:t>Observaciones:</w:t>
      </w:r>
      <w:r w:rsidRPr="002E1B4B">
        <w:tab/>
        <w:t>Sin observaciones</w:t>
      </w:r>
    </w:p>
    <w:p w14:paraId="3D9D4A3C" w14:textId="77777777" w:rsidR="002E1B4B" w:rsidRDefault="002E1B4B" w:rsidP="000A5389">
      <w:pPr>
        <w:spacing w:line="240" w:lineRule="auto"/>
      </w:pPr>
    </w:p>
    <w:p w14:paraId="251CBA2F" w14:textId="1C888D31" w:rsidR="003D5DB4" w:rsidRPr="002E1B4B" w:rsidRDefault="003D5DB4" w:rsidP="000A5389">
      <w:pPr>
        <w:spacing w:line="240" w:lineRule="auto"/>
      </w:pPr>
      <w:r w:rsidRPr="002E1B4B">
        <w:t>Adiciones o modificaciones en valor</w:t>
      </w:r>
    </w:p>
    <w:p w14:paraId="5A1F515F" w14:textId="77777777" w:rsidR="003D5DB4" w:rsidRPr="002E1B4B" w:rsidRDefault="003D5DB4" w:rsidP="000A5389">
      <w:pPr>
        <w:spacing w:line="240" w:lineRule="auto"/>
      </w:pPr>
      <w:r w:rsidRPr="002E1B4B">
        <w:t>Valor de la adición o modificación:</w:t>
      </w:r>
      <w:r w:rsidRPr="002E1B4B">
        <w:tab/>
        <w:t>No se han realizado adiciones ni modificaciones en valor.</w:t>
      </w:r>
    </w:p>
    <w:p w14:paraId="7E81A178" w14:textId="77777777" w:rsidR="003D5DB4" w:rsidRPr="002E1B4B" w:rsidRDefault="003D5DB4" w:rsidP="000A5389">
      <w:pPr>
        <w:spacing w:line="240" w:lineRule="auto"/>
      </w:pPr>
      <w:r w:rsidRPr="002E1B4B">
        <w:t>Nuevo valor del acuerdo:</w:t>
      </w:r>
      <w:r w:rsidRPr="002E1B4B">
        <w:tab/>
      </w:r>
    </w:p>
    <w:p w14:paraId="648E75E3" w14:textId="77777777" w:rsidR="002E1B4B" w:rsidRDefault="002E1B4B" w:rsidP="000A5389">
      <w:pPr>
        <w:spacing w:line="240" w:lineRule="auto"/>
      </w:pPr>
    </w:p>
    <w:p w14:paraId="4E1C7161" w14:textId="5635AF2F" w:rsidR="003D5DB4" w:rsidRPr="002E1B4B" w:rsidRDefault="003D5DB4" w:rsidP="000A5389">
      <w:pPr>
        <w:spacing w:line="240" w:lineRule="auto"/>
      </w:pPr>
      <w:r w:rsidRPr="002E1B4B">
        <w:t>Observaciones: Variaciones con relación al formato contable de 2024: no se presentan valores por concepto de mantenimiento por encontrarse el proyecto en etapa de construcción.</w:t>
      </w:r>
    </w:p>
    <w:p w14:paraId="34366896" w14:textId="77777777" w:rsidR="003D5DB4" w:rsidRDefault="003D5DB4" w:rsidP="000A5389">
      <w:pPr>
        <w:spacing w:line="240" w:lineRule="auto"/>
      </w:pPr>
    </w:p>
    <w:p w14:paraId="60614A8D" w14:textId="77777777" w:rsidR="002E1B4B" w:rsidRPr="002E1B4B" w:rsidRDefault="002E1B4B" w:rsidP="000A5389">
      <w:pPr>
        <w:spacing w:line="240" w:lineRule="auto"/>
      </w:pPr>
    </w:p>
    <w:p w14:paraId="26570DDF" w14:textId="77777777" w:rsidR="003D5DB4" w:rsidRPr="002E1B4B" w:rsidRDefault="003D5DB4" w:rsidP="000A5389">
      <w:pPr>
        <w:spacing w:line="240" w:lineRule="auto"/>
        <w:rPr>
          <w:i/>
          <w:iCs/>
        </w:rPr>
      </w:pPr>
      <w:r w:rsidRPr="002E1B4B">
        <w:rPr>
          <w:i/>
          <w:iCs/>
        </w:rPr>
        <w:t>TRONCAL DEL MAGDALENA 2</w:t>
      </w:r>
    </w:p>
    <w:p w14:paraId="3A2CA3C6" w14:textId="77777777" w:rsidR="002E1B4B" w:rsidRDefault="002E1B4B" w:rsidP="000A5389">
      <w:pPr>
        <w:spacing w:line="240" w:lineRule="auto"/>
      </w:pPr>
    </w:p>
    <w:p w14:paraId="74BBF382" w14:textId="0F75EDB3" w:rsidR="003D5DB4" w:rsidRPr="002E1B4B" w:rsidRDefault="003D5DB4" w:rsidP="000A5389">
      <w:pPr>
        <w:spacing w:line="240" w:lineRule="auto"/>
      </w:pPr>
      <w:r w:rsidRPr="002E1B4B">
        <w:t>Descripción del Acuerdo</w:t>
      </w:r>
    </w:p>
    <w:p w14:paraId="6979B7B6" w14:textId="77777777" w:rsidR="003D5DB4" w:rsidRPr="002E1B4B" w:rsidRDefault="003D5DB4" w:rsidP="000A5389">
      <w:pPr>
        <w:spacing w:line="240" w:lineRule="auto"/>
      </w:pPr>
      <w:r w:rsidRPr="002E1B4B">
        <w:t>Número del Acuerdo de concesión:  CONTRATO DE CONCESIÓN BAJO EL ESQUEMA DE APP No. 003 DE 2022.</w:t>
      </w:r>
    </w:p>
    <w:p w14:paraId="088C99EE" w14:textId="77777777" w:rsidR="002E1B4B" w:rsidRDefault="002E1B4B" w:rsidP="000A5389">
      <w:pPr>
        <w:spacing w:line="240" w:lineRule="auto"/>
      </w:pPr>
    </w:p>
    <w:p w14:paraId="555F620C" w14:textId="77777777" w:rsidR="002E1B4B" w:rsidRDefault="003D5DB4" w:rsidP="000A5389">
      <w:pPr>
        <w:spacing w:line="240" w:lineRule="auto"/>
      </w:pPr>
      <w:r w:rsidRPr="002E1B4B">
        <w:t xml:space="preserve">Objeto / Descripción: El presente Contrato de concesión bajo un esquema de asociación público-privada de Iniciativa Privada en los términos de la Ley 1508 de 2012, tiene por objeto el otorgamiento de una concesión para que, de conformidad con lo previsto en este Contrato, el Concesionario, por su cuenta y riesgo, lleve a cabo el Proyecto. El alcance físico del </w:t>
      </w:r>
    </w:p>
    <w:p w14:paraId="2D6B34A6" w14:textId="77777777" w:rsidR="002E1B4B" w:rsidRDefault="002E1B4B" w:rsidP="000A5389">
      <w:pPr>
        <w:spacing w:line="240" w:lineRule="auto"/>
      </w:pPr>
    </w:p>
    <w:p w14:paraId="7D89BA1F" w14:textId="47414119" w:rsidR="003D5DB4" w:rsidRPr="002E1B4B" w:rsidRDefault="003D5DB4" w:rsidP="000A5389">
      <w:pPr>
        <w:spacing w:line="240" w:lineRule="auto"/>
      </w:pPr>
      <w:r w:rsidRPr="002E1B4B">
        <w:t>Proyecto se describe en la Parte Especial y en el Apéndice Técnico 1.</w:t>
      </w:r>
    </w:p>
    <w:p w14:paraId="27B644E1" w14:textId="77777777" w:rsidR="003D5DB4" w:rsidRPr="002E1B4B" w:rsidRDefault="003D5DB4" w:rsidP="000A5389">
      <w:pPr>
        <w:spacing w:line="240" w:lineRule="auto"/>
      </w:pPr>
      <w:r w:rsidRPr="002E1B4B">
        <w:t>Valor inicial:</w:t>
      </w:r>
      <w:r w:rsidRPr="002E1B4B">
        <w:tab/>
        <w:t>$3.640.401.125.347(Mes de referencia</w:t>
      </w:r>
    </w:p>
    <w:p w14:paraId="167D2AE8" w14:textId="77777777" w:rsidR="003D5DB4" w:rsidRPr="002E1B4B" w:rsidRDefault="003D5DB4" w:rsidP="000A5389">
      <w:pPr>
        <w:spacing w:line="240" w:lineRule="auto"/>
      </w:pPr>
      <w:r w:rsidRPr="002E1B4B">
        <w:t>Fecha de inicio: 22/07/2022</w:t>
      </w:r>
    </w:p>
    <w:p w14:paraId="5AE3BE7A" w14:textId="77777777" w:rsidR="003D5DB4" w:rsidRPr="002E1B4B" w:rsidRDefault="003D5DB4" w:rsidP="000A5389">
      <w:pPr>
        <w:spacing w:line="240" w:lineRule="auto"/>
      </w:pPr>
      <w:r w:rsidRPr="002E1B4B">
        <w:t>Fecha de finalización estimada: A la terminación de la etapa de reversión</w:t>
      </w:r>
    </w:p>
    <w:p w14:paraId="6E0F3100" w14:textId="77777777" w:rsidR="003D5DB4" w:rsidRPr="002E1B4B" w:rsidRDefault="003D5DB4" w:rsidP="000A5389">
      <w:pPr>
        <w:spacing w:line="240" w:lineRule="auto"/>
      </w:pPr>
      <w:r w:rsidRPr="002E1B4B">
        <w:t>Tipo ID: NIT</w:t>
      </w:r>
    </w:p>
    <w:p w14:paraId="57D7AF4E" w14:textId="77777777" w:rsidR="003D5DB4" w:rsidRPr="002E1B4B" w:rsidRDefault="003D5DB4" w:rsidP="000A5389">
      <w:pPr>
        <w:spacing w:line="240" w:lineRule="auto"/>
      </w:pPr>
      <w:r w:rsidRPr="002E1B4B">
        <w:t>Número ID:</w:t>
      </w:r>
      <w:r w:rsidRPr="002E1B4B">
        <w:tab/>
        <w:t>901.607.093-1</w:t>
      </w:r>
    </w:p>
    <w:p w14:paraId="086D292B" w14:textId="77777777" w:rsidR="003D5DB4" w:rsidRPr="002E1B4B" w:rsidRDefault="003D5DB4" w:rsidP="000A5389">
      <w:pPr>
        <w:spacing w:line="240" w:lineRule="auto"/>
      </w:pPr>
      <w:r w:rsidRPr="002E1B4B">
        <w:t>Razón social del concesionario: AUTOPISTA DEL RIO GRANDE S.A.S.</w:t>
      </w:r>
    </w:p>
    <w:p w14:paraId="5ED10453" w14:textId="77777777" w:rsidR="003D5DB4" w:rsidRPr="002E1B4B" w:rsidRDefault="003D5DB4" w:rsidP="000A5389">
      <w:pPr>
        <w:spacing w:line="240" w:lineRule="auto"/>
      </w:pPr>
      <w:r w:rsidRPr="002E1B4B">
        <w:t>Nombre del proyecto: CORREDOR SABANA DE TORRES – CURUMANI.</w:t>
      </w:r>
    </w:p>
    <w:p w14:paraId="68D3BF14" w14:textId="77777777" w:rsidR="002E1B4B" w:rsidRDefault="002E1B4B" w:rsidP="000A5389">
      <w:pPr>
        <w:spacing w:line="240" w:lineRule="auto"/>
      </w:pPr>
    </w:p>
    <w:p w14:paraId="139FDCB7" w14:textId="3A5EFB19" w:rsidR="003D5DB4" w:rsidRPr="002E1B4B" w:rsidRDefault="003D5DB4" w:rsidP="000A5389">
      <w:pPr>
        <w:spacing w:line="240" w:lineRule="auto"/>
      </w:pPr>
      <w:r w:rsidRPr="002E1B4B">
        <w:t>Términos significativos del Acuerdo que puedan afectar su valor, el calendario y la certeza de los flujos de efectivo futuros</w:t>
      </w:r>
    </w:p>
    <w:p w14:paraId="6F54F212" w14:textId="77777777" w:rsidR="002E1B4B" w:rsidRDefault="002E1B4B" w:rsidP="000A5389">
      <w:pPr>
        <w:spacing w:line="240" w:lineRule="auto"/>
      </w:pPr>
    </w:p>
    <w:p w14:paraId="00CCD67B" w14:textId="09899000" w:rsidR="003D5DB4" w:rsidRDefault="003D5DB4" w:rsidP="000A5389">
      <w:pPr>
        <w:spacing w:line="240" w:lineRule="auto"/>
      </w:pPr>
      <w:r w:rsidRPr="002E1B4B">
        <w:t>Términos de valor: En el numeral 3.6 de la Parte Especial, el contrato establece que la ANI entrega al Concesionario tres (3) estaciones de peaje para gestionar el recaudo de peajes, denominadas: La Gómez, Morrison y Pailitas. A 31 de diciembre de 2025 el valor certificado por la Fiduciaria Bancolombia del recaudo de peaje en las tres estaciones es de $ 589.748.481.426. El mes de referencia del contrato corresponde a diciembre de 2020. El derecho del Concesionario a obtener Retribución con respecto a cada Unidad Funcional se acuerda en la Sección 3.1 de la Parte General del Contrato. El cálculo de la misma queda contenida en la Parte Especial Sección 4.3.El proyecto está dividido en once (11) unidades funciones, a las cuales se le asigna un porcentaje de participación en el proyecto para efectos del cálculo de la Retribución. Las Fuentes para obtener la retribución son: Aportes ANI, el Recaudo de Peaje, Ingresos Por Explotación Comercial y otras fuentes definidas en la Parte Especial del Contrato. A 31 de diciembre de 2025 quedó firmada y radicada el Acta de Retribución No. 28 de la UF0 correspondiente al período de octubre de 2025 por valor de $11.106.979.034,53. Al cierre de este período, la última acta pagada fue la No. 27 del período de septiembre de 2025 por valor de $ 10.102.821.841,77. La Sección 3.4 de la Parte General establece la obtención del VPIP. El VPIP contractual es de $2.123.802.184.328 pesos del Mes de Referencia. En la sección 10.1 de la Parte General del Contrato se establecen las multas y sanciones por incumplimientos de las obligaciones contractuales por parte del Concesionario. La obligación en firme de financiación y los Recursos de Patrimonio, deben ser gestionados y obtenidos por el Concesionario de acuerdo con lo estipulado en la Sección 3.7 de la Parte General. En cuanto a la obligación contractual</w:t>
      </w:r>
      <w:r w:rsidR="002E1B4B">
        <w:t xml:space="preserve"> </w:t>
      </w:r>
      <w:r w:rsidRPr="002E1B4B">
        <w:t>“Fondeos de Subcuentas del Patrimonio Autónomo”, en la Sección 4.5 de la Parte Especial del Contrato quedan estipulado los montos que se deben cumplir. De acuerdo con los documentos de Cierre Financiero, los Prestamistas autorizaron la modificación del perfil de aportes, según lo establecido en la Sección 4.4 de la Parte Especial, por lo que el Concesionario ya cumplió con la totalidad de los fondeos contractuales. Con respecto a los aportes Equity, el Contrato establece en la Sección 4.4 de la Parte Especial los montos a girar por el Concesionario a la cuenta Proyecto. A 31 de diciembre de 2025 se han girado un valor de $ 305,646,000,095 precios corrientes.</w:t>
      </w:r>
    </w:p>
    <w:p w14:paraId="4FF33639" w14:textId="77777777" w:rsidR="002E1B4B" w:rsidRPr="002E1B4B" w:rsidRDefault="002E1B4B" w:rsidP="000A5389">
      <w:pPr>
        <w:spacing w:line="240" w:lineRule="auto"/>
      </w:pPr>
    </w:p>
    <w:p w14:paraId="4D4CD4C5" w14:textId="77777777" w:rsidR="003D5DB4" w:rsidRDefault="003D5DB4" w:rsidP="000A5389">
      <w:pPr>
        <w:spacing w:line="240" w:lineRule="auto"/>
      </w:pPr>
      <w:r w:rsidRPr="002E1B4B">
        <w:t>Términos de calendario:</w:t>
      </w:r>
      <w:r w:rsidRPr="002E1B4B">
        <w:tab/>
        <w:t xml:space="preserve">El plazo inicial del contrato es de treinta (30) años. En cuanto a la Estructura tarifaria, las tarifas se actualizan cada 16 de enero de acuerdo a la sección 4.2 de la Parte Especial. En cuanto a la obligación contractual “Fondeos de Subcuentas del Patrimonio Autónomo”, en la Sección 4.5 de la Parte Especial del Contrato quedan estipulado las fechas de cumplimiento en los que se debe cumplir con el fondeo de las subcuentas. Con respecto a los aportes Equity, el Contrato establece en la Sección 4.4 de la Parte Especial las fechas para girar los valores establecidos por el Concesionario a la cuenta Proyecto. El plazo estimado de la etapa de preconstrucción es de Doce (12) meses contados desde la fecha de inicio.El plazo estimado de la etapa de construcción es de Cuarenta y Siete (47) meses contados desde la fecha de acta de inicio de la fase de construcción. </w:t>
      </w:r>
    </w:p>
    <w:p w14:paraId="3C2856D4" w14:textId="77777777" w:rsidR="002E1B4B" w:rsidRPr="002E1B4B" w:rsidRDefault="002E1B4B" w:rsidP="000A5389">
      <w:pPr>
        <w:spacing w:line="240" w:lineRule="auto"/>
      </w:pPr>
    </w:p>
    <w:p w14:paraId="178B6A3A" w14:textId="77777777" w:rsidR="003D5DB4" w:rsidRDefault="003D5DB4" w:rsidP="000A5389">
      <w:pPr>
        <w:spacing w:line="240" w:lineRule="auto"/>
      </w:pPr>
      <w:r w:rsidRPr="002E1B4B">
        <w:t xml:space="preserve">Términos de certeza de flujos de efectivo futuros: La Sección 4.2 (c) de la Parte Especial establece dos incrementos en adición al IPC establecido en la Sección 4.2 (f) de la Parte Especial, aplicable a las Categorías I-II-III-IV-V: i) una vez finalice la UF1, un incremento </w:t>
      </w:r>
      <w:r w:rsidRPr="002E1B4B">
        <w:lastRenderedPageBreak/>
        <w:t>de 3%, y ii) una vez finalice la Fase de Construcción, un incremento de 3%. Dicho porcentaje se realiza en el mes de enero siguiente a la ocurrencia de dichos eventos.</w:t>
      </w:r>
    </w:p>
    <w:p w14:paraId="44432EC9" w14:textId="77777777" w:rsidR="002E1B4B" w:rsidRPr="002E1B4B" w:rsidRDefault="002E1B4B" w:rsidP="000A5389">
      <w:pPr>
        <w:spacing w:line="240" w:lineRule="auto"/>
      </w:pPr>
    </w:p>
    <w:p w14:paraId="5A76FE26" w14:textId="3F5B12AF" w:rsidR="003D5DB4" w:rsidRPr="002E1B4B" w:rsidRDefault="003D5DB4" w:rsidP="000A5389">
      <w:pPr>
        <w:spacing w:line="240" w:lineRule="auto"/>
      </w:pPr>
      <w:r w:rsidRPr="002E1B4B">
        <w:t>Naturaleza y alcance del derecho a utilizar Activos y los aspectos pactados en torno a lo que se espera que el concesionario proporcione en relación con el Acuerdo de concesión</w:t>
      </w:r>
    </w:p>
    <w:p w14:paraId="2200D1CC" w14:textId="77777777" w:rsidR="003D5DB4" w:rsidRDefault="003D5DB4" w:rsidP="000A5389">
      <w:pPr>
        <w:spacing w:line="240" w:lineRule="auto"/>
      </w:pPr>
      <w:r w:rsidRPr="002E1B4B">
        <w:t>Naturaleza y alcance del derecho de uso de los Activos</w:t>
      </w:r>
    </w:p>
    <w:p w14:paraId="371F1AFC" w14:textId="77777777" w:rsidR="002E1B4B" w:rsidRPr="002E1B4B" w:rsidRDefault="002E1B4B" w:rsidP="000A5389">
      <w:pPr>
        <w:spacing w:line="240" w:lineRule="auto"/>
      </w:pPr>
    </w:p>
    <w:p w14:paraId="147D385C" w14:textId="77777777" w:rsidR="003D5DB4" w:rsidRPr="002E1B4B" w:rsidRDefault="003D5DB4" w:rsidP="000A5389">
      <w:pPr>
        <w:spacing w:line="240" w:lineRule="auto"/>
      </w:pPr>
      <w:r w:rsidRPr="002E1B4B">
        <w:t>Descripción:</w:t>
      </w:r>
      <w:r w:rsidRPr="002E1B4B">
        <w:tab/>
        <w:t xml:space="preserve">El Contrato de Concesión en su Sección 4.3 (a) de la Parte General acuerda: “Realizar la entrega de la Infraestructura al Concesionario, incluyendo las Estaciones de Pesaje y las Estaciones de Peaje existentes en el plazo señalado en la Parte Especial”. Las estaciones de peaje señaladas son las que conforman el Sistema Vial entre Sabana de Torres - Curumaní denominadas Pailitas, Morrison, La Gómez. Se cede al Concesionario el “Derecho de Recaudo” de las Estaciones de Peaje de acuerdo con lo establecido en la Sección 3.3 (a) de la Parte General. </w:t>
      </w:r>
    </w:p>
    <w:p w14:paraId="2CA6EBCC" w14:textId="77777777" w:rsidR="002E1B4B" w:rsidRDefault="002E1B4B" w:rsidP="000A5389">
      <w:pPr>
        <w:spacing w:line="240" w:lineRule="auto"/>
      </w:pPr>
    </w:p>
    <w:p w14:paraId="22E7CC35" w14:textId="23E894F3" w:rsidR="003D5DB4" w:rsidRPr="002E1B4B" w:rsidRDefault="003D5DB4" w:rsidP="000A5389">
      <w:pPr>
        <w:spacing w:line="240" w:lineRule="auto"/>
      </w:pPr>
      <w:r w:rsidRPr="002E1B4B">
        <w:t>Observaciones: SIN OBSERVACIONES</w:t>
      </w:r>
    </w:p>
    <w:p w14:paraId="0661B7C3" w14:textId="77777777" w:rsidR="002E1B4B" w:rsidRDefault="002E1B4B" w:rsidP="000A5389">
      <w:pPr>
        <w:spacing w:line="240" w:lineRule="auto"/>
      </w:pPr>
    </w:p>
    <w:p w14:paraId="3191DC3B" w14:textId="1AB0A975" w:rsidR="003D5DB4" w:rsidRPr="002E1B4B" w:rsidRDefault="003D5DB4" w:rsidP="000A5389">
      <w:pPr>
        <w:spacing w:line="240" w:lineRule="auto"/>
      </w:pPr>
      <w:r w:rsidRPr="002E1B4B">
        <w:t>Retribución al concesionario</w:t>
      </w:r>
    </w:p>
    <w:p w14:paraId="6237FFB5" w14:textId="77777777" w:rsidR="002E1B4B" w:rsidRDefault="002E1B4B" w:rsidP="000A5389">
      <w:pPr>
        <w:spacing w:line="240" w:lineRule="auto"/>
      </w:pPr>
    </w:p>
    <w:p w14:paraId="43BA8825" w14:textId="6DD3678A" w:rsidR="003D5DB4" w:rsidRDefault="003D5DB4" w:rsidP="000A5389">
      <w:pPr>
        <w:spacing w:line="240" w:lineRule="auto"/>
      </w:pPr>
      <w:r w:rsidRPr="002E1B4B">
        <w:t>Descripción:</w:t>
      </w:r>
      <w:r w:rsidRPr="002E1B4B">
        <w:tab/>
        <w:t xml:space="preserve">En la Sección 3.1.(a) Parte General queda establecido el derecho a la Retribución así: “El derecho a la Retribución del Concesionario con respecto a cada Unidad Funcional se iniciará a partir de la suscripción de la respectiva Acta de Terminación de Unidad Funcional, salvo por lo establecido en Parte Especial para la Unidad Funcional de Operación y Mantenimiento, según el caso, y terminará en la Fecha de Terminación de la Etapa de Operación y Mantenimiento o el Día de la declaratoria de Terminación Anticipada del Contrato. La suscripción del Acta de Terminación Parcial de Unidad Funcional cuando sea aplicable de conformidad con este Contrato dará lugar a la causación y pago de la Compensación Especial”. </w:t>
      </w:r>
    </w:p>
    <w:p w14:paraId="21B058AA" w14:textId="77777777" w:rsidR="002E1B4B" w:rsidRPr="002E1B4B" w:rsidRDefault="002E1B4B" w:rsidP="000A5389">
      <w:pPr>
        <w:spacing w:line="240" w:lineRule="auto"/>
      </w:pPr>
    </w:p>
    <w:p w14:paraId="6605BC92" w14:textId="77777777" w:rsidR="003D5DB4" w:rsidRDefault="003D5DB4" w:rsidP="000A5389">
      <w:pPr>
        <w:spacing w:line="240" w:lineRule="auto"/>
      </w:pPr>
      <w:r w:rsidRPr="002E1B4B">
        <w:t>Tasa de retribución:</w:t>
      </w:r>
      <w:r w:rsidRPr="002E1B4B">
        <w:tab/>
        <w:t xml:space="preserve">Las Tarifas de Peaje aplicables a las Estaciones de Peaje, la metodología de indexación y los incrementos adicionales se encuentran en la Sección 4.2 de la Parte Especial. El VPIP del proyecto, como variable para indicar el cumplimiento del pago del Contrato se define en la Parte Especial del Contrato, Sección 1.204 de la Tabla de Referencia, en $2.123.802.184.328 (pesos Mes de Referencia). La tasa de descuento utilizada (TDI), en términos efectivos mensuales, se define en la Parte Especial del Contrato, Sección 1.204 de la Tabla de Referencia, en 0.6709%. </w:t>
      </w:r>
    </w:p>
    <w:p w14:paraId="707F2FEA" w14:textId="77777777" w:rsidR="002E1B4B" w:rsidRPr="002E1B4B" w:rsidRDefault="002E1B4B" w:rsidP="000A5389">
      <w:pPr>
        <w:spacing w:line="240" w:lineRule="auto"/>
      </w:pPr>
    </w:p>
    <w:p w14:paraId="052011AC" w14:textId="77777777" w:rsidR="003D5DB4" w:rsidRPr="002E1B4B" w:rsidRDefault="003D5DB4" w:rsidP="000A5389">
      <w:pPr>
        <w:spacing w:line="240" w:lineRule="auto"/>
      </w:pPr>
      <w:r w:rsidRPr="002E1B4B">
        <w:t>Derechos a recibir Activos especificados al final del acuerdo de concesión</w:t>
      </w:r>
    </w:p>
    <w:p w14:paraId="643EEFCD" w14:textId="77777777" w:rsidR="002E1B4B" w:rsidRDefault="002E1B4B" w:rsidP="000A5389">
      <w:pPr>
        <w:spacing w:line="240" w:lineRule="auto"/>
      </w:pPr>
    </w:p>
    <w:p w14:paraId="3A52A4CA" w14:textId="5A5E06FD" w:rsidR="003D5DB4" w:rsidRDefault="003D5DB4" w:rsidP="000A5389">
      <w:pPr>
        <w:spacing w:line="240" w:lineRule="auto"/>
      </w:pPr>
      <w:r w:rsidRPr="002E1B4B">
        <w:t>Descripción:</w:t>
      </w:r>
      <w:r w:rsidRPr="002E1B4B">
        <w:tab/>
        <w:t xml:space="preserve">En cuanto a la reversión de los bienes entregados al Concesionario y su entrega a la ANI una vez finalice el Contrato de Concesión, las condiciones están establecidas en la Sección 9.7 de la Parte General del Contrato y Apéndice Técnico 2 Sección 5- REVERSIÓN, el cual manifiesta: “ De acuerdo con la Sección 9.7 de la Parte General Contrato, cuando concluya la Etapa de Operación y Mantenimiento o cuando el Contrato se </w:t>
      </w:r>
      <w:r w:rsidRPr="002E1B4B">
        <w:lastRenderedPageBreak/>
        <w:t xml:space="preserve">termine anticipadamente, todas las obras y bienes de la Concesión, incluyendo los Predios de la zona del Corredor del Proyecto y las obras civiles (calzadas, separadores, intersecciones, estructuras, obras de drenaje, obras de arte y señales), las Estaciones de Peaje y sus equipos, las Estaciones de Pesaje y sus equipos, el Centro de Control de Operación y sus equipos, las Bases de Operación (uno o los que haya), las Áreas de Servicio, todos los automotores y equipos instalados para la Operación del Proyecto, incluyendo equipos y software de computación, equipos de telecomunicaciones, red de fibra óptica, así como los entregados a la Policía de Carreteras, los equipos de rescate, los elementos de Traslado Asistencial Médico (TAM) y cualquier otra obra y bien que forme parte de la concesión, deberán ser entregados a la ANI sin costo alguno y libre de todo gravamen”. </w:t>
      </w:r>
    </w:p>
    <w:p w14:paraId="6ED45B77" w14:textId="77777777" w:rsidR="002E1B4B" w:rsidRPr="002E1B4B" w:rsidRDefault="002E1B4B" w:rsidP="000A5389">
      <w:pPr>
        <w:spacing w:line="240" w:lineRule="auto"/>
      </w:pPr>
    </w:p>
    <w:p w14:paraId="0F88A0CB" w14:textId="77777777" w:rsidR="003D5DB4" w:rsidRDefault="003D5DB4" w:rsidP="000A5389">
      <w:pPr>
        <w:spacing w:line="240" w:lineRule="auto"/>
      </w:pPr>
      <w:r w:rsidRPr="002E1B4B">
        <w:t xml:space="preserve">Observaciones: Todos los activos deben ser devueltos a la Agencia Nacional de Infraestructura en las condiciones físicas señaladas en el Apéndice Técnico 2, exentos de cargas tributarias y valor cero (0). </w:t>
      </w:r>
    </w:p>
    <w:p w14:paraId="36A60D01" w14:textId="77777777" w:rsidR="002E1B4B" w:rsidRPr="002E1B4B" w:rsidRDefault="002E1B4B" w:rsidP="000A5389">
      <w:pPr>
        <w:spacing w:line="240" w:lineRule="auto"/>
      </w:pPr>
    </w:p>
    <w:p w14:paraId="078D4332" w14:textId="77777777" w:rsidR="003D5DB4" w:rsidRDefault="003D5DB4" w:rsidP="000A5389">
      <w:pPr>
        <w:spacing w:line="240" w:lineRule="auto"/>
      </w:pPr>
      <w:r w:rsidRPr="002E1B4B">
        <w:t>Las alternativas de renovación y cese del acuerdo</w:t>
      </w:r>
    </w:p>
    <w:p w14:paraId="0F95F3C4" w14:textId="77777777" w:rsidR="002E1B4B" w:rsidRPr="002E1B4B" w:rsidRDefault="002E1B4B" w:rsidP="000A5389">
      <w:pPr>
        <w:spacing w:line="240" w:lineRule="auto"/>
      </w:pPr>
    </w:p>
    <w:p w14:paraId="51579886" w14:textId="77777777" w:rsidR="003D5DB4" w:rsidRDefault="003D5DB4" w:rsidP="000A5389">
      <w:pPr>
        <w:spacing w:line="240" w:lineRule="auto"/>
      </w:pPr>
      <w:r w:rsidRPr="002E1B4B">
        <w:t>Descripción:</w:t>
      </w:r>
      <w:r w:rsidRPr="002E1B4B">
        <w:tab/>
        <w:t>La Parte General del Contrato de Concesión Capítulo XVII, Secciones 17.2 y 17.3 establece causales expresas de terminación anticipada, imputables al Concesionario, imputables a ANI o no imputables a ninguna de las partes (incluyendo EER superior a 90 días con paralización total), así como mutuo acuerdo y eventos derivados de decisiones de autoridad estatal competente, y un caso especial de decisión unilateral de ANI para recompra de derechos económicos. En lo concerniente al plazo, el Contrato de Concesión no prevé una estipulación expresa referida a “prórrogas” o “renovación” de éste. De acuerdo con la Parte General del Contrato de Concesión, en especial la Sección 2.4 (Plazo del Contrato) y la Sección 2.5 (Etapas de Ejecución Contractual), el Proyecto se estructura por etapas, iniciando en la Fecha de Inicio y extendiéndose hasta la terminación de la Etapa de Reversión, precisándose que se trata de un Contrato de plazo variable. En particular, la Parte General establece que la Fecha de Terminación de la Etapa de Operación y Mantenimiento se define por una regla objetiva, en tanto finaliza cuando ocurra primero alguno de los siguientes eventos: (i) antes del año 29, al alcanzarse el VPIP y desembolsarse la totalidad de los Aportes ANI (si aplica); o (ii) al cumplirse el año 29 desde la Fecha de Inicio, aun sin obtenerse el VPIP. En consecuencia, cualquier ampliación adicional del plazo no se enmarca en una prórroga o renovación ordinaria prevista en el Contrato, sino que solo sería procedente mediante la correspondiente modificación contractual, debidamente motivada y soportada, y bajo decisión de la En</w:t>
      </w:r>
      <w:r w:rsidRPr="002E1B4B">
        <w:rPr>
          <w:rFonts w:eastAsia="Times New Roman" w:cs="Times New Roman" w:hint="eastAsia"/>
        </w:rPr>
        <w:t>􀆟</w:t>
      </w:r>
      <w:r w:rsidRPr="002E1B4B">
        <w:t>dad concedente, de conformidad con lo previsto en la Parte General, en especial en la Sección 19.11 de la Parte General. Dicha modificación, conforme al régimen general aplicable, podrá adelantarse por mutuo acuerdo entre las partes y, de manera excepcional, mediante decisión unilateral de la En</w:t>
      </w:r>
      <w:r w:rsidRPr="002E1B4B">
        <w:rPr>
          <w:rFonts w:eastAsia="Times New Roman" w:cs="Times New Roman" w:hint="eastAsia"/>
        </w:rPr>
        <w:t>􀆟</w:t>
      </w:r>
      <w:r w:rsidRPr="002E1B4B">
        <w:t xml:space="preserve">dad concedente únicamente en los eventos expresamente previstos en la ley y en el Contrato. </w:t>
      </w:r>
    </w:p>
    <w:p w14:paraId="752D262A" w14:textId="77777777" w:rsidR="002E1B4B" w:rsidRPr="002E1B4B" w:rsidRDefault="002E1B4B" w:rsidP="000A5389">
      <w:pPr>
        <w:spacing w:line="240" w:lineRule="auto"/>
      </w:pPr>
    </w:p>
    <w:p w14:paraId="288331D6" w14:textId="77777777" w:rsidR="003D5DB4" w:rsidRPr="002E1B4B" w:rsidRDefault="003D5DB4" w:rsidP="000A5389">
      <w:pPr>
        <w:spacing w:line="240" w:lineRule="auto"/>
      </w:pPr>
      <w:r w:rsidRPr="002E1B4B">
        <w:t>Observaciones: NO SE TIENE NINGUNA OBSERVACION</w:t>
      </w:r>
    </w:p>
    <w:p w14:paraId="4C1B9A76" w14:textId="77777777" w:rsidR="003D5DB4" w:rsidRPr="002E1B4B" w:rsidRDefault="003D5DB4" w:rsidP="000A5389">
      <w:pPr>
        <w:spacing w:line="240" w:lineRule="auto"/>
      </w:pPr>
      <w:r w:rsidRPr="002E1B4B">
        <w:t>Cambios en el acuerdo de concesión que se realicen durante el periodo fiscal</w:t>
      </w:r>
    </w:p>
    <w:p w14:paraId="5A0171CA" w14:textId="77777777" w:rsidR="003D5DB4" w:rsidRPr="002E1B4B" w:rsidRDefault="003D5DB4" w:rsidP="000A5389">
      <w:pPr>
        <w:spacing w:line="240" w:lineRule="auto"/>
      </w:pPr>
      <w:r w:rsidRPr="002E1B4B">
        <w:t>Adiciones o modificaciones en tiempo</w:t>
      </w:r>
    </w:p>
    <w:p w14:paraId="047732D2" w14:textId="77777777" w:rsidR="003D5DB4" w:rsidRPr="002E1B4B" w:rsidRDefault="003D5DB4" w:rsidP="000A5389">
      <w:pPr>
        <w:spacing w:line="240" w:lineRule="auto"/>
      </w:pPr>
      <w:r w:rsidRPr="002E1B4B">
        <w:lastRenderedPageBreak/>
        <w:t>Fechas de las adiciones o modificaciones:</w:t>
      </w:r>
      <w:r w:rsidRPr="002E1B4B">
        <w:tab/>
        <w:t>NO APLICA</w:t>
      </w:r>
    </w:p>
    <w:p w14:paraId="6BE54CFF" w14:textId="77777777" w:rsidR="003D5DB4" w:rsidRPr="002E1B4B" w:rsidRDefault="003D5DB4" w:rsidP="000A5389">
      <w:pPr>
        <w:spacing w:line="240" w:lineRule="auto"/>
      </w:pPr>
      <w:r w:rsidRPr="002E1B4B">
        <w:t>Nueva Fecha de finalización estimada:</w:t>
      </w:r>
      <w:r w:rsidRPr="002E1B4B">
        <w:tab/>
        <w:t>NO APLICA</w:t>
      </w:r>
    </w:p>
    <w:p w14:paraId="56C7C101" w14:textId="77777777" w:rsidR="003D5DB4" w:rsidRPr="002E1B4B" w:rsidRDefault="003D5DB4" w:rsidP="000A5389">
      <w:pPr>
        <w:spacing w:line="240" w:lineRule="auto"/>
      </w:pPr>
      <w:r w:rsidRPr="002E1B4B">
        <w:t>Observaciones: NO SE TIENE NINGUNA OBSERVACION</w:t>
      </w:r>
    </w:p>
    <w:p w14:paraId="484432A2" w14:textId="77777777" w:rsidR="003D5DB4" w:rsidRPr="002E1B4B" w:rsidRDefault="003D5DB4" w:rsidP="000A5389">
      <w:pPr>
        <w:spacing w:line="240" w:lineRule="auto"/>
      </w:pPr>
      <w:r w:rsidRPr="002E1B4B">
        <w:t>Adiciones o modificaciones en valor</w:t>
      </w:r>
    </w:p>
    <w:p w14:paraId="7B574092" w14:textId="77777777" w:rsidR="003D5DB4" w:rsidRPr="002E1B4B" w:rsidRDefault="003D5DB4" w:rsidP="000A5389">
      <w:pPr>
        <w:spacing w:line="240" w:lineRule="auto"/>
      </w:pPr>
      <w:r w:rsidRPr="002E1B4B">
        <w:t>Valor de la adición o modificación: No Aplica</w:t>
      </w:r>
    </w:p>
    <w:p w14:paraId="5D552B6E" w14:textId="77777777" w:rsidR="003D5DB4" w:rsidRPr="002E1B4B" w:rsidRDefault="003D5DB4" w:rsidP="000A5389">
      <w:pPr>
        <w:spacing w:line="240" w:lineRule="auto"/>
      </w:pPr>
      <w:r w:rsidRPr="002E1B4B">
        <w:t>Nuevo valor del acuerdo: No Aplica</w:t>
      </w:r>
    </w:p>
    <w:p w14:paraId="277007AF" w14:textId="77777777" w:rsidR="003D5DB4" w:rsidRPr="002E1B4B" w:rsidRDefault="003D5DB4" w:rsidP="000A5389">
      <w:pPr>
        <w:spacing w:line="240" w:lineRule="auto"/>
      </w:pPr>
      <w:r w:rsidRPr="002E1B4B">
        <w:t>Observaciones: Sin observaciones</w:t>
      </w:r>
    </w:p>
    <w:p w14:paraId="0FE38D8F" w14:textId="77777777" w:rsidR="003D5DB4" w:rsidRDefault="003D5DB4" w:rsidP="000A5389">
      <w:pPr>
        <w:spacing w:line="240" w:lineRule="auto"/>
      </w:pPr>
    </w:p>
    <w:p w14:paraId="7EE028E2" w14:textId="77777777" w:rsidR="002E1B4B" w:rsidRPr="002E1B4B" w:rsidRDefault="002E1B4B" w:rsidP="000A5389">
      <w:pPr>
        <w:spacing w:line="240" w:lineRule="auto"/>
      </w:pPr>
    </w:p>
    <w:p w14:paraId="27BA5748" w14:textId="77777777" w:rsidR="003D5DB4" w:rsidRDefault="003D5DB4" w:rsidP="000A5389">
      <w:pPr>
        <w:spacing w:line="240" w:lineRule="auto"/>
        <w:rPr>
          <w:i/>
          <w:iCs/>
        </w:rPr>
      </w:pPr>
      <w:r w:rsidRPr="002E1B4B">
        <w:rPr>
          <w:i/>
          <w:iCs/>
        </w:rPr>
        <w:t>AVENIDA LONGITUDINAL DE OCCIDENTE – ALO SUR.</w:t>
      </w:r>
    </w:p>
    <w:p w14:paraId="61F9C2E8" w14:textId="77777777" w:rsidR="002E1B4B" w:rsidRPr="002E1B4B" w:rsidRDefault="002E1B4B" w:rsidP="000A5389">
      <w:pPr>
        <w:spacing w:line="240" w:lineRule="auto"/>
        <w:rPr>
          <w:i/>
          <w:iCs/>
        </w:rPr>
      </w:pPr>
    </w:p>
    <w:p w14:paraId="32B31EB4" w14:textId="77777777" w:rsidR="003D5DB4" w:rsidRPr="002E1B4B" w:rsidRDefault="003D5DB4" w:rsidP="000A5389">
      <w:pPr>
        <w:spacing w:line="240" w:lineRule="auto"/>
      </w:pPr>
      <w:r w:rsidRPr="002E1B4B">
        <w:t>Descripción del Acuerdo</w:t>
      </w:r>
    </w:p>
    <w:p w14:paraId="1CADA60D" w14:textId="77777777" w:rsidR="003D5DB4" w:rsidRPr="002E1B4B" w:rsidRDefault="003D5DB4" w:rsidP="000A5389">
      <w:pPr>
        <w:spacing w:line="240" w:lineRule="auto"/>
      </w:pPr>
      <w:r w:rsidRPr="002E1B4B">
        <w:t>Número del Acuerdo de concesión:  Acuerdo de concesión: 003 de 2021</w:t>
      </w:r>
    </w:p>
    <w:p w14:paraId="217D7160" w14:textId="77777777" w:rsidR="002E1B4B" w:rsidRDefault="002E1B4B" w:rsidP="000A5389">
      <w:pPr>
        <w:spacing w:line="240" w:lineRule="auto"/>
      </w:pPr>
    </w:p>
    <w:p w14:paraId="4CC7FF36" w14:textId="45B73BC9" w:rsidR="003D5DB4" w:rsidRPr="002E1B4B" w:rsidRDefault="003D5DB4" w:rsidP="000A5389">
      <w:pPr>
        <w:spacing w:line="240" w:lineRule="auto"/>
      </w:pPr>
      <w:r w:rsidRPr="002E1B4B">
        <w:t>Objeto / Descripción:  Corresponde a la financiación, los estudios, diseños, construcción, operación, mantenimiento, gestión social, predial y ambiental del Proyecto de la “Avenida Longitudinal de Occidente – Tramo Sur” o “ALO Tramo Sur”.</w:t>
      </w:r>
    </w:p>
    <w:p w14:paraId="2F96A731" w14:textId="77777777" w:rsidR="003D5DB4" w:rsidRPr="002E1B4B" w:rsidRDefault="003D5DB4" w:rsidP="000A5389">
      <w:pPr>
        <w:spacing w:line="240" w:lineRule="auto"/>
      </w:pPr>
      <w:r w:rsidRPr="002E1B4B">
        <w:t>Valor inicial:</w:t>
      </w:r>
      <w:r w:rsidRPr="002E1B4B">
        <w:tab/>
        <w:t>$1.116.424.092.832 Pesos Constantes de diciembre de 2019.</w:t>
      </w:r>
    </w:p>
    <w:p w14:paraId="4198BDD8" w14:textId="77777777" w:rsidR="003D5DB4" w:rsidRPr="002E1B4B" w:rsidRDefault="003D5DB4" w:rsidP="000A5389">
      <w:pPr>
        <w:spacing w:line="240" w:lineRule="auto"/>
      </w:pPr>
      <w:r w:rsidRPr="002E1B4B">
        <w:t>Fecha de inicio: 20 de julio de 2022</w:t>
      </w:r>
    </w:p>
    <w:p w14:paraId="1BB7E668" w14:textId="77777777" w:rsidR="003D5DB4" w:rsidRPr="002E1B4B" w:rsidRDefault="003D5DB4" w:rsidP="000A5389">
      <w:pPr>
        <w:spacing w:line="240" w:lineRule="auto"/>
      </w:pPr>
      <w:r w:rsidRPr="002E1B4B">
        <w:t>Fecha de finalización estimada: 19 de julio de 2052</w:t>
      </w:r>
    </w:p>
    <w:p w14:paraId="790EDC93" w14:textId="77777777" w:rsidR="003D5DB4" w:rsidRPr="002E1B4B" w:rsidRDefault="003D5DB4" w:rsidP="000A5389">
      <w:pPr>
        <w:spacing w:line="240" w:lineRule="auto"/>
      </w:pPr>
      <w:r w:rsidRPr="002E1B4B">
        <w:t>Tipo ID:</w:t>
      </w:r>
      <w:r w:rsidRPr="002E1B4B">
        <w:tab/>
        <w:t>NIT</w:t>
      </w:r>
    </w:p>
    <w:p w14:paraId="4A30E777" w14:textId="77777777" w:rsidR="003D5DB4" w:rsidRPr="002E1B4B" w:rsidRDefault="003D5DB4" w:rsidP="000A5389">
      <w:pPr>
        <w:spacing w:line="240" w:lineRule="auto"/>
      </w:pPr>
      <w:r w:rsidRPr="002E1B4B">
        <w:t>Número ID:</w:t>
      </w:r>
      <w:r w:rsidRPr="002E1B4B">
        <w:tab/>
        <w:t>901.551.242-8</w:t>
      </w:r>
    </w:p>
    <w:p w14:paraId="512CA801" w14:textId="77777777" w:rsidR="003D5DB4" w:rsidRPr="002E1B4B" w:rsidRDefault="003D5DB4" w:rsidP="000A5389">
      <w:pPr>
        <w:spacing w:line="240" w:lineRule="auto"/>
      </w:pPr>
      <w:r w:rsidRPr="002E1B4B">
        <w:t>Razón social del concesionario:</w:t>
      </w:r>
      <w:r w:rsidRPr="002E1B4B">
        <w:tab/>
        <w:t>Sociedad ALO Sur S.A.S</w:t>
      </w:r>
    </w:p>
    <w:p w14:paraId="39361E28" w14:textId="77777777" w:rsidR="003D5DB4" w:rsidRPr="002E1B4B" w:rsidRDefault="003D5DB4" w:rsidP="000A5389">
      <w:pPr>
        <w:spacing w:line="240" w:lineRule="auto"/>
      </w:pPr>
      <w:r w:rsidRPr="002E1B4B">
        <w:t>Nombre del proyecto: Avenida Longitudinal de Occidente – Tramo Sur” ALO SUR</w:t>
      </w:r>
    </w:p>
    <w:p w14:paraId="6C2FBEAB" w14:textId="77777777" w:rsidR="003D5DB4" w:rsidRPr="002E1B4B" w:rsidRDefault="003D5DB4" w:rsidP="000A5389">
      <w:pPr>
        <w:spacing w:line="240" w:lineRule="auto"/>
      </w:pPr>
    </w:p>
    <w:p w14:paraId="7EB293AA" w14:textId="77777777" w:rsidR="003D5DB4" w:rsidRDefault="003D5DB4" w:rsidP="000A5389">
      <w:pPr>
        <w:spacing w:line="240" w:lineRule="auto"/>
      </w:pPr>
      <w:r w:rsidRPr="002E1B4B">
        <w:t>Términos significativos del Acuerdo que puedan afectar su valor, el calendario y la certeza de los flujos de efectivo futuros</w:t>
      </w:r>
    </w:p>
    <w:p w14:paraId="350B0CB9" w14:textId="77777777" w:rsidR="002E1B4B" w:rsidRPr="002E1B4B" w:rsidRDefault="002E1B4B" w:rsidP="000A5389">
      <w:pPr>
        <w:spacing w:line="240" w:lineRule="auto"/>
      </w:pPr>
    </w:p>
    <w:p w14:paraId="23D7D02E" w14:textId="77777777" w:rsidR="003D5DB4" w:rsidRPr="002E1B4B" w:rsidRDefault="003D5DB4" w:rsidP="000A5389">
      <w:pPr>
        <w:spacing w:line="240" w:lineRule="auto"/>
      </w:pPr>
      <w:r w:rsidRPr="002E1B4B">
        <w:t>Términos de valor: El valor del contrato se fijó en $1.116.424.092.832 de diciembre de 2019 El valor del VPIP asciende a 974.214.000.000 de diciembre de 2019.</w:t>
      </w:r>
    </w:p>
    <w:p w14:paraId="3FCA752C" w14:textId="77777777" w:rsidR="002E1B4B" w:rsidRDefault="002E1B4B" w:rsidP="000A5389">
      <w:pPr>
        <w:spacing w:line="240" w:lineRule="auto"/>
      </w:pPr>
    </w:p>
    <w:p w14:paraId="295A2C16" w14:textId="03F3ECA7" w:rsidR="003D5DB4" w:rsidRPr="002E1B4B" w:rsidRDefault="003D5DB4" w:rsidP="000A5389">
      <w:pPr>
        <w:spacing w:line="240" w:lineRule="auto"/>
      </w:pPr>
      <w:r w:rsidRPr="002E1B4B">
        <w:t>Términos de calendario: El plazo estimado del contrato es de 30 años, de acuerdo con la sección 1.156 modificada en la tabla de referencias de la Parte Especial</w:t>
      </w:r>
    </w:p>
    <w:p w14:paraId="035A0463" w14:textId="77777777" w:rsidR="003D5DB4" w:rsidRPr="002E1B4B" w:rsidRDefault="003D5DB4" w:rsidP="000A5389">
      <w:pPr>
        <w:spacing w:line="240" w:lineRule="auto"/>
      </w:pPr>
      <w:r w:rsidRPr="002E1B4B">
        <w:t>Una vez suscritas el Acta de Terminación de la Unidad Funcional 3, se iniciará el cobro de las tarifas contractuales. Se estima esta fecha en marzo de 2028.</w:t>
      </w:r>
    </w:p>
    <w:p w14:paraId="2F670CE1" w14:textId="77777777" w:rsidR="003D5DB4" w:rsidRPr="002E1B4B" w:rsidRDefault="003D5DB4" w:rsidP="000A5389">
      <w:pPr>
        <w:spacing w:line="240" w:lineRule="auto"/>
      </w:pPr>
      <w:r w:rsidRPr="002E1B4B">
        <w:t>Se realiza ajuste en los valores registrados en el CAPEX de 2021 y 2022, pues el Concesionario obtuvo cierre financiero y se cuenta con Apéndice Financiero 1.</w:t>
      </w:r>
    </w:p>
    <w:p w14:paraId="2A0C4059" w14:textId="77777777" w:rsidR="002E1B4B" w:rsidRDefault="002E1B4B" w:rsidP="000A5389">
      <w:pPr>
        <w:spacing w:line="240" w:lineRule="auto"/>
      </w:pPr>
    </w:p>
    <w:p w14:paraId="1F65CF15" w14:textId="54FDDCCB" w:rsidR="003D5DB4" w:rsidRPr="002E1B4B" w:rsidRDefault="003D5DB4" w:rsidP="000A5389">
      <w:pPr>
        <w:spacing w:line="240" w:lineRule="auto"/>
      </w:pPr>
      <w:r w:rsidRPr="002E1B4B">
        <w:t>Términos de certeza de flujos de efectivo futuros: Durante toda la duración de la fase preoperativa del proyecto se retribuye la UF 0, una vez finalizadas y recibidas las UF se retribuyen de acuerdo con la participación.</w:t>
      </w:r>
    </w:p>
    <w:p w14:paraId="231CB61C" w14:textId="77777777" w:rsidR="002E1B4B" w:rsidRDefault="002E1B4B" w:rsidP="000A5389">
      <w:pPr>
        <w:spacing w:line="240" w:lineRule="auto"/>
      </w:pPr>
    </w:p>
    <w:p w14:paraId="1FC62D13" w14:textId="330D5FB0" w:rsidR="003D5DB4" w:rsidRPr="002E1B4B" w:rsidRDefault="003D5DB4" w:rsidP="000A5389">
      <w:pPr>
        <w:spacing w:line="240" w:lineRule="auto"/>
      </w:pPr>
      <w:r w:rsidRPr="002E1B4B">
        <w:t>Naturaleza y alcance del derecho a utilizar Activos y los aspectos pactados en torno a lo que se espera que el concesionario proporcione en relación con el Acuerdo de concesión</w:t>
      </w:r>
    </w:p>
    <w:p w14:paraId="03C1DFDB" w14:textId="77777777" w:rsidR="002E1B4B" w:rsidRDefault="002E1B4B" w:rsidP="000A5389">
      <w:pPr>
        <w:spacing w:line="240" w:lineRule="auto"/>
      </w:pPr>
    </w:p>
    <w:p w14:paraId="10BC0095" w14:textId="1F831B7A" w:rsidR="003D5DB4" w:rsidRPr="002E1B4B" w:rsidRDefault="003D5DB4" w:rsidP="000A5389">
      <w:pPr>
        <w:spacing w:line="240" w:lineRule="auto"/>
      </w:pPr>
      <w:r w:rsidRPr="002E1B4B">
        <w:t>Naturaleza y alcance del derecho de uso de los Activos</w:t>
      </w:r>
    </w:p>
    <w:p w14:paraId="176EFCF8" w14:textId="77777777" w:rsidR="003D5DB4" w:rsidRPr="002E1B4B" w:rsidRDefault="003D5DB4" w:rsidP="000A5389">
      <w:pPr>
        <w:spacing w:line="240" w:lineRule="auto"/>
      </w:pPr>
      <w:r w:rsidRPr="002E1B4B">
        <w:t xml:space="preserve">Descripción: Sección 3.4 – Contrato de Concesión - parte general: se cederá al concesionario el derecho de recaudo sobre la operación de las Estaciones de Peaje (el “derecho de recaudo”) en la misma fecha de entrega de la infraestructura, salvo por las excepciones en la Parte Especial. </w:t>
      </w:r>
    </w:p>
    <w:p w14:paraId="31339E53" w14:textId="77777777" w:rsidR="002E1B4B" w:rsidRDefault="002E1B4B" w:rsidP="000A5389">
      <w:pPr>
        <w:spacing w:line="240" w:lineRule="auto"/>
      </w:pPr>
    </w:p>
    <w:p w14:paraId="17EB6959" w14:textId="3FB58171" w:rsidR="003D5DB4" w:rsidRPr="002E1B4B" w:rsidRDefault="003D5DB4" w:rsidP="000A5389">
      <w:pPr>
        <w:spacing w:line="240" w:lineRule="auto"/>
      </w:pPr>
      <w:r w:rsidRPr="002E1B4B">
        <w:t>Observaciones: La Entrega de la Infraestructura en ningún caso implica la obligación por parte de la ANI de entregar los Predios correspondientes a las Fajas ni al Corredor del Proyecto.” La ANI entregó el 20 de julio de 2022, con Acta de entrega y Recibo de la Vía, la infraestructura Vial.</w:t>
      </w:r>
    </w:p>
    <w:p w14:paraId="502F59EF" w14:textId="77777777" w:rsidR="002E1B4B" w:rsidRDefault="002E1B4B" w:rsidP="000A5389">
      <w:pPr>
        <w:spacing w:line="240" w:lineRule="auto"/>
      </w:pPr>
    </w:p>
    <w:p w14:paraId="3D353819" w14:textId="4399F493" w:rsidR="003D5DB4" w:rsidRPr="002E1B4B" w:rsidRDefault="003D5DB4" w:rsidP="000A5389">
      <w:pPr>
        <w:spacing w:line="240" w:lineRule="auto"/>
      </w:pPr>
      <w:r w:rsidRPr="002E1B4B">
        <w:t>Retribución al concesionario</w:t>
      </w:r>
    </w:p>
    <w:p w14:paraId="3DB5FCD6" w14:textId="77777777" w:rsidR="003D5DB4" w:rsidRPr="002E1B4B" w:rsidRDefault="003D5DB4" w:rsidP="000A5389">
      <w:pPr>
        <w:spacing w:line="240" w:lineRule="auto"/>
      </w:pPr>
      <w:r w:rsidRPr="002E1B4B">
        <w:t>Descripción:</w:t>
      </w:r>
      <w:r w:rsidRPr="002E1B4B">
        <w:tab/>
        <w:t>NUMERAL 3.5(a)(ii) El VPIP equivale a Novecientos Setenta y Cuatro Mil Doscientos Catorce Millones ($974.214.000.000) Pesos del Mes de la Referencia.</w:t>
      </w:r>
    </w:p>
    <w:p w14:paraId="09B16AD9" w14:textId="77777777" w:rsidR="003D5DB4" w:rsidRPr="002E1B4B" w:rsidRDefault="003D5DB4" w:rsidP="000A5389">
      <w:pPr>
        <w:spacing w:line="240" w:lineRule="auto"/>
      </w:pPr>
      <w:r w:rsidRPr="002E1B4B">
        <w:t>Tasa de retribución:</w:t>
      </w:r>
      <w:r w:rsidRPr="002E1B4B">
        <w:tab/>
        <w:t>Tasa de Descuento Real (TDI): 0,7663%</w:t>
      </w:r>
    </w:p>
    <w:p w14:paraId="765CB6C8" w14:textId="77777777" w:rsidR="003D5DB4" w:rsidRPr="002E1B4B" w:rsidRDefault="003D5DB4" w:rsidP="000A5389">
      <w:pPr>
        <w:spacing w:line="240" w:lineRule="auto"/>
      </w:pPr>
      <w:r w:rsidRPr="002E1B4B">
        <w:t>Derechos a recibir Activos especificados al final del acuerdo de concesión</w:t>
      </w:r>
    </w:p>
    <w:p w14:paraId="5DDD2073" w14:textId="77777777" w:rsidR="003D5DB4" w:rsidRDefault="003D5DB4" w:rsidP="000A5389">
      <w:pPr>
        <w:spacing w:line="240" w:lineRule="auto"/>
      </w:pPr>
      <w:r w:rsidRPr="002E1B4B">
        <w:t>Descripción: La ANI se hará propietario de las obras que conforman el proyecto al momento de su ejecución, incluyendo las estaciones de peaje, de pesaje y la totalidad de bienes muebles o inmuebles por destinación o adhesión que se encuentren en las mismas.</w:t>
      </w:r>
    </w:p>
    <w:p w14:paraId="1F1BCF3D" w14:textId="77777777" w:rsidR="002E1B4B" w:rsidRPr="002E1B4B" w:rsidRDefault="002E1B4B" w:rsidP="000A5389">
      <w:pPr>
        <w:spacing w:line="240" w:lineRule="auto"/>
      </w:pPr>
    </w:p>
    <w:p w14:paraId="0732B71E" w14:textId="77777777" w:rsidR="003D5DB4" w:rsidRPr="002E1B4B" w:rsidRDefault="003D5DB4" w:rsidP="000A5389">
      <w:pPr>
        <w:spacing w:line="240" w:lineRule="auto"/>
      </w:pPr>
      <w:r w:rsidRPr="002E1B4B">
        <w:t>Observaciones: No se tienen observaciones</w:t>
      </w:r>
    </w:p>
    <w:p w14:paraId="3FA7BD7C" w14:textId="77777777" w:rsidR="003D5DB4" w:rsidRPr="002E1B4B" w:rsidRDefault="003D5DB4" w:rsidP="000A5389">
      <w:pPr>
        <w:spacing w:line="240" w:lineRule="auto"/>
      </w:pPr>
      <w:r w:rsidRPr="002E1B4B">
        <w:t>Las alternativas de renovación y cese del acuerdo</w:t>
      </w:r>
    </w:p>
    <w:p w14:paraId="211D11BE" w14:textId="77777777" w:rsidR="003D5DB4" w:rsidRPr="002E1B4B" w:rsidRDefault="003D5DB4" w:rsidP="000A5389">
      <w:pPr>
        <w:spacing w:line="240" w:lineRule="auto"/>
      </w:pPr>
      <w:r w:rsidRPr="002E1B4B">
        <w:t>Descripción:</w:t>
      </w:r>
      <w:r w:rsidRPr="002E1B4B">
        <w:tab/>
      </w:r>
    </w:p>
    <w:p w14:paraId="733E7BBD" w14:textId="77777777" w:rsidR="003D5DB4" w:rsidRPr="002E1B4B" w:rsidRDefault="003D5DB4" w:rsidP="000A5389">
      <w:pPr>
        <w:spacing w:line="240" w:lineRule="auto"/>
      </w:pPr>
      <w:r w:rsidRPr="002E1B4B">
        <w:t>Observaciones:</w:t>
      </w:r>
      <w:r w:rsidRPr="002E1B4B">
        <w:tab/>
      </w:r>
    </w:p>
    <w:p w14:paraId="3F1DFA12" w14:textId="77777777" w:rsidR="003D5DB4" w:rsidRPr="002E1B4B" w:rsidRDefault="003D5DB4" w:rsidP="000A5389">
      <w:pPr>
        <w:spacing w:line="240" w:lineRule="auto"/>
      </w:pPr>
      <w:r w:rsidRPr="002E1B4B">
        <w:t>Cambios en el acuerdo de concesión que se realicen durante el periodo fiscal</w:t>
      </w:r>
    </w:p>
    <w:p w14:paraId="7C0F5A7A" w14:textId="77777777" w:rsidR="003D5DB4" w:rsidRPr="002E1B4B" w:rsidRDefault="003D5DB4" w:rsidP="000A5389">
      <w:pPr>
        <w:spacing w:line="240" w:lineRule="auto"/>
      </w:pPr>
      <w:r w:rsidRPr="002E1B4B">
        <w:t>Adiciones o modificaciones en tiempo</w:t>
      </w:r>
    </w:p>
    <w:p w14:paraId="740F07A2" w14:textId="77777777" w:rsidR="003D5DB4" w:rsidRPr="002E1B4B" w:rsidRDefault="003D5DB4" w:rsidP="000A5389">
      <w:pPr>
        <w:spacing w:line="240" w:lineRule="auto"/>
      </w:pPr>
      <w:r w:rsidRPr="002E1B4B">
        <w:t>Fechas de las adiciones o modificaciones:</w:t>
      </w:r>
    </w:p>
    <w:p w14:paraId="7FA4C1DE" w14:textId="77777777" w:rsidR="003D5DB4" w:rsidRPr="002E1B4B" w:rsidRDefault="003D5DB4" w:rsidP="000A5389">
      <w:pPr>
        <w:spacing w:line="240" w:lineRule="auto"/>
      </w:pPr>
      <w:r w:rsidRPr="002E1B4B">
        <w:t>Nueva Fecha de finalización estimada:</w:t>
      </w:r>
      <w:r w:rsidRPr="002E1B4B">
        <w:tab/>
      </w:r>
    </w:p>
    <w:p w14:paraId="1567A3BC" w14:textId="77777777" w:rsidR="002E1B4B" w:rsidRDefault="002E1B4B" w:rsidP="000A5389">
      <w:pPr>
        <w:spacing w:line="240" w:lineRule="auto"/>
      </w:pPr>
    </w:p>
    <w:p w14:paraId="6EAE50C4" w14:textId="08EA08FE" w:rsidR="003D5DB4" w:rsidRPr="002E1B4B" w:rsidRDefault="003D5DB4" w:rsidP="000A5389">
      <w:pPr>
        <w:spacing w:line="240" w:lineRule="auto"/>
      </w:pPr>
      <w:r w:rsidRPr="002E1B4B">
        <w:t>Observaciones:</w:t>
      </w:r>
      <w:r w:rsidRPr="002E1B4B">
        <w:tab/>
      </w:r>
    </w:p>
    <w:p w14:paraId="305D576E" w14:textId="77777777" w:rsidR="003D5DB4" w:rsidRPr="002E1B4B" w:rsidRDefault="003D5DB4" w:rsidP="000A5389">
      <w:pPr>
        <w:spacing w:line="240" w:lineRule="auto"/>
      </w:pPr>
      <w:r w:rsidRPr="002E1B4B">
        <w:t>Adiciones o modificaciones en valor</w:t>
      </w:r>
    </w:p>
    <w:p w14:paraId="07EFE3EB" w14:textId="77777777" w:rsidR="003D5DB4" w:rsidRPr="002E1B4B" w:rsidRDefault="003D5DB4" w:rsidP="000A5389">
      <w:pPr>
        <w:spacing w:line="240" w:lineRule="auto"/>
      </w:pPr>
      <w:r w:rsidRPr="002E1B4B">
        <w:t>Valor de la adición o modificación:</w:t>
      </w:r>
      <w:r w:rsidRPr="002E1B4B">
        <w:tab/>
      </w:r>
    </w:p>
    <w:p w14:paraId="19075064" w14:textId="77777777" w:rsidR="003D5DB4" w:rsidRPr="002E1B4B" w:rsidRDefault="003D5DB4" w:rsidP="000A5389">
      <w:pPr>
        <w:spacing w:line="240" w:lineRule="auto"/>
      </w:pPr>
      <w:r w:rsidRPr="002E1B4B">
        <w:t>Nuevo valor del acuerdo:</w:t>
      </w:r>
      <w:r w:rsidRPr="002E1B4B">
        <w:tab/>
      </w:r>
    </w:p>
    <w:p w14:paraId="48A3D1A3" w14:textId="77777777" w:rsidR="003D5DB4" w:rsidRPr="002E1B4B" w:rsidRDefault="003D5DB4" w:rsidP="000A5389">
      <w:pPr>
        <w:spacing w:line="240" w:lineRule="auto"/>
      </w:pPr>
      <w:r w:rsidRPr="002E1B4B">
        <w:t>Observaciones: Sin observaciones</w:t>
      </w:r>
    </w:p>
    <w:p w14:paraId="4FAE34BA" w14:textId="77777777" w:rsidR="003D5DB4" w:rsidRDefault="003D5DB4" w:rsidP="000A5389">
      <w:pPr>
        <w:spacing w:line="240" w:lineRule="auto"/>
      </w:pPr>
    </w:p>
    <w:p w14:paraId="7AD8E452" w14:textId="77777777" w:rsidR="002E1B4B" w:rsidRDefault="002E1B4B" w:rsidP="000A5389">
      <w:pPr>
        <w:spacing w:line="240" w:lineRule="auto"/>
      </w:pPr>
    </w:p>
    <w:p w14:paraId="62D7C20A" w14:textId="77777777" w:rsidR="002E1B4B" w:rsidRPr="002E1B4B" w:rsidRDefault="002E1B4B" w:rsidP="000A5389">
      <w:pPr>
        <w:spacing w:line="240" w:lineRule="auto"/>
      </w:pPr>
    </w:p>
    <w:p w14:paraId="6929AD97" w14:textId="77777777" w:rsidR="003D5DB4" w:rsidRDefault="003D5DB4" w:rsidP="000A5389">
      <w:pPr>
        <w:spacing w:line="240" w:lineRule="auto"/>
        <w:rPr>
          <w:i/>
          <w:iCs/>
        </w:rPr>
      </w:pPr>
      <w:r w:rsidRPr="002E1B4B">
        <w:rPr>
          <w:i/>
          <w:iCs/>
        </w:rPr>
        <w:t>ACCESOS NORTE FASE II</w:t>
      </w:r>
    </w:p>
    <w:p w14:paraId="35DBC73B" w14:textId="77777777" w:rsidR="002E1B4B" w:rsidRPr="002E1B4B" w:rsidRDefault="002E1B4B" w:rsidP="000A5389">
      <w:pPr>
        <w:spacing w:line="240" w:lineRule="auto"/>
        <w:rPr>
          <w:i/>
          <w:iCs/>
        </w:rPr>
      </w:pPr>
    </w:p>
    <w:p w14:paraId="7EF57AE1" w14:textId="77777777" w:rsidR="003D5DB4" w:rsidRDefault="003D5DB4" w:rsidP="000A5389">
      <w:pPr>
        <w:spacing w:line="240" w:lineRule="auto"/>
      </w:pPr>
      <w:r w:rsidRPr="002E1B4B">
        <w:t>Descripción del Acuerdo</w:t>
      </w:r>
    </w:p>
    <w:p w14:paraId="2E00E361" w14:textId="77777777" w:rsidR="002E1B4B" w:rsidRPr="002E1B4B" w:rsidRDefault="002E1B4B" w:rsidP="000A5389">
      <w:pPr>
        <w:spacing w:line="240" w:lineRule="auto"/>
      </w:pPr>
    </w:p>
    <w:p w14:paraId="2A7801B3" w14:textId="77777777" w:rsidR="003D5DB4" w:rsidRPr="002E1B4B" w:rsidRDefault="003D5DB4" w:rsidP="000A5389">
      <w:pPr>
        <w:spacing w:line="240" w:lineRule="auto"/>
      </w:pPr>
      <w:r w:rsidRPr="002E1B4B">
        <w:t>Número del Acuerdo de concesión: Contrato de Concesión No. 001 del 01 de abril de 2022</w:t>
      </w:r>
    </w:p>
    <w:p w14:paraId="2734CBFE" w14:textId="77777777" w:rsidR="002E1B4B" w:rsidRDefault="003D5DB4" w:rsidP="000A5389">
      <w:pPr>
        <w:spacing w:line="240" w:lineRule="auto"/>
      </w:pPr>
      <w:r w:rsidRPr="002E1B4B">
        <w:lastRenderedPageBreak/>
        <w:t xml:space="preserve">Objeto / Descripción:  De acuerdo con el numeral 2.1 del Capítulo II de la Parte General del Contrato de Concesión se tiene que: “El presente Contrato de concesión bajo un esquema de asociación público-privada de iniciativa Pública en los términos de la Ley 1508 de 2012, tiene por objeto el otorgamiento de una concesión para que, de conformidad con lo previsto en este Contrato, el Concesionario, por su cuenta y riesgo, lleve a cabo el Proyecto. El alcance físico del Proyecto se describe en la Parte Especial y en el Apéndice Técnico 1.” Según la Sección 4.2 de la Parte Especial “El Objeto del presente Contrato es la financiación, elaboración de estudios y diseños definitivos, gestión ambiental, gestión predial, gestión social, construcción, rehabilitación, mejoramiento, operación y mantenimiento del corredor </w:t>
      </w:r>
    </w:p>
    <w:p w14:paraId="3FCA2FCC" w14:textId="77777777" w:rsidR="002E1B4B" w:rsidRDefault="002E1B4B" w:rsidP="000A5389">
      <w:pPr>
        <w:spacing w:line="240" w:lineRule="auto"/>
      </w:pPr>
    </w:p>
    <w:p w14:paraId="58E60286" w14:textId="2F82963B" w:rsidR="003D5DB4" w:rsidRPr="002E1B4B" w:rsidRDefault="003D5DB4" w:rsidP="000A5389">
      <w:pPr>
        <w:spacing w:line="240" w:lineRule="auto"/>
      </w:pPr>
      <w:r w:rsidRPr="002E1B4B">
        <w:t>PROYECTO ACCESOS NORTE FASE II, de acuerdo con el alcance descrito en la presente Parte Especial, el Apéndice Técnico 1 y demás Apéndices del Contrato.</w:t>
      </w:r>
    </w:p>
    <w:p w14:paraId="0AFBA7FF" w14:textId="77777777" w:rsidR="003D5DB4" w:rsidRPr="002E1B4B" w:rsidRDefault="003D5DB4" w:rsidP="000A5389">
      <w:pPr>
        <w:spacing w:line="240" w:lineRule="auto"/>
      </w:pPr>
      <w:r w:rsidRPr="002E1B4B">
        <w:t>Valor inicial:</w:t>
      </w:r>
      <w:r w:rsidRPr="002E1B4B">
        <w:tab/>
        <w:t>Valor inicial: El Valor del Contrato es de un billón setecientos noventa y siete mil doscientos sesenta y nueve millones noventa y cinco mil novecientos noventa y cinco pesos ($1.797.269.095.995) del Mes de Referencia. En el evento que se materialice lo dispuesto en la Sección 4.2(c) de la Parte Especial, se modificará el valor del Contrato, el cual será la suma de un billón seiscientos sesenta y nueve mil trescientos cincuenta y un millones setecientos veintiún mil cuatrocientos ochenta y ocho pesos ($1.669.351.721.488) del Mes de Referencia.</w:t>
      </w:r>
    </w:p>
    <w:p w14:paraId="57A13E11" w14:textId="77777777" w:rsidR="002E1B4B" w:rsidRDefault="002E1B4B" w:rsidP="000A5389">
      <w:pPr>
        <w:spacing w:line="240" w:lineRule="auto"/>
      </w:pPr>
    </w:p>
    <w:p w14:paraId="7368A8E4" w14:textId="4A988132" w:rsidR="003D5DB4" w:rsidRPr="002E1B4B" w:rsidRDefault="003D5DB4" w:rsidP="000A5389">
      <w:pPr>
        <w:spacing w:line="240" w:lineRule="auto"/>
      </w:pPr>
      <w:r w:rsidRPr="002E1B4B">
        <w:t>Fecha de inicio:</w:t>
      </w:r>
      <w:r w:rsidRPr="002E1B4B">
        <w:tab/>
        <w:t>23 de junio de 2022</w:t>
      </w:r>
    </w:p>
    <w:p w14:paraId="11242911" w14:textId="77777777" w:rsidR="003D5DB4" w:rsidRPr="002E1B4B" w:rsidRDefault="003D5DB4" w:rsidP="000A5389">
      <w:pPr>
        <w:spacing w:line="240" w:lineRule="auto"/>
      </w:pPr>
      <w:r w:rsidRPr="002E1B4B">
        <w:t>Fecha de finalización estimada:</w:t>
      </w:r>
      <w:r w:rsidRPr="002E1B4B">
        <w:tab/>
        <w:t>23 de junio de 2051</w:t>
      </w:r>
    </w:p>
    <w:p w14:paraId="33483CEE" w14:textId="77777777" w:rsidR="003D5DB4" w:rsidRPr="002E1B4B" w:rsidRDefault="003D5DB4" w:rsidP="000A5389">
      <w:pPr>
        <w:spacing w:line="240" w:lineRule="auto"/>
      </w:pPr>
      <w:r w:rsidRPr="002E1B4B">
        <w:t>Tipo ID:</w:t>
      </w:r>
      <w:r w:rsidRPr="002E1B4B">
        <w:tab/>
        <w:t>NIT</w:t>
      </w:r>
    </w:p>
    <w:p w14:paraId="7556426F" w14:textId="77777777" w:rsidR="003D5DB4" w:rsidRPr="002E1B4B" w:rsidRDefault="003D5DB4" w:rsidP="000A5389">
      <w:pPr>
        <w:spacing w:line="240" w:lineRule="auto"/>
      </w:pPr>
      <w:r w:rsidRPr="002E1B4B">
        <w:t>Número ID:</w:t>
      </w:r>
      <w:r w:rsidRPr="002E1B4B">
        <w:tab/>
        <w:t>901.580.796-1</w:t>
      </w:r>
    </w:p>
    <w:p w14:paraId="093FA393" w14:textId="77777777" w:rsidR="003D5DB4" w:rsidRPr="002E1B4B" w:rsidRDefault="003D5DB4" w:rsidP="000A5389">
      <w:pPr>
        <w:spacing w:line="240" w:lineRule="auto"/>
      </w:pPr>
      <w:r w:rsidRPr="002E1B4B">
        <w:t>Razón social del concesionario:</w:t>
      </w:r>
      <w:r w:rsidRPr="002E1B4B">
        <w:tab/>
        <w:t>Ruta Bogotá Norte S.A.S</w:t>
      </w:r>
    </w:p>
    <w:p w14:paraId="32459F30" w14:textId="1EE2F229" w:rsidR="003D5DB4" w:rsidRPr="002E1B4B" w:rsidRDefault="003D5DB4" w:rsidP="000A5389">
      <w:pPr>
        <w:spacing w:line="240" w:lineRule="auto"/>
      </w:pPr>
      <w:r w:rsidRPr="002E1B4B">
        <w:t>Nombre del proyecto: ACCESOS NORTE FASE IITérminos significativos del Acuerdo que puedan afectar su valor, el calendario y la certeza de los flujos de efectivo futuros</w:t>
      </w:r>
    </w:p>
    <w:p w14:paraId="578FF46E" w14:textId="77777777" w:rsidR="002E1B4B" w:rsidRDefault="002E1B4B" w:rsidP="000A5389">
      <w:pPr>
        <w:spacing w:line="240" w:lineRule="auto"/>
      </w:pPr>
    </w:p>
    <w:p w14:paraId="33F8CEE1" w14:textId="5FD70963" w:rsidR="003D5DB4" w:rsidRPr="002E1B4B" w:rsidRDefault="003D5DB4" w:rsidP="000A5389">
      <w:pPr>
        <w:spacing w:line="240" w:lineRule="auto"/>
      </w:pPr>
      <w:r w:rsidRPr="002E1B4B">
        <w:t>Términos de valor: La principal fuente de efectivo del proyecto corresponde al 33,8266% del recaudo de las estaciones de Peaje y este flujo está compuesto por dos factores: a) por el valor de las tarifas; y b) por el tráfico de vehículos. La Concesión Ruta Bogotá Norte S.A.S contempla tres (3) estaciones de Peaje existentes, a saber: 1) Andes, 2) Fusca, 3) Unisabana (estación de peaje ubicada en el acceso al Puente Curvo Teletón). La sección 5.2 (a)(v) de la Parte Especial del Contrato de Concesión define la formula con la cual deberán ser actualizadas las tarifas el dieciséis (16) de enero de cada año. A diciembre de 2025 hace parte de la retribución del Concesionario el recaudo de peaje de las estaciones de peaje Andes, Fusca y Unisabana, las tres casetas de peaje contempladas en el contrato de Concesión No. 001 de 2017 y 001 de 2022. Durante la vigencia 2025 el ingreso por recaudo de peajes de la Concesión alcanzó los $108.948.653.787,31 que incluyen el pago de las actas N.º 6 y 7 de compensación decreto 050. Hasta el momento el proyecto registra un ingreso acumulado total por valor de $724.825.231.706,44. Cifras con base en lo reportado por Aval la Fiduciaria. De acuerdo con lo establecido en el contrato de Concesión este proyecto no tiene previsto la realización de Aportes ANI.</w:t>
      </w:r>
    </w:p>
    <w:p w14:paraId="61E9C729" w14:textId="77777777" w:rsidR="002E1B4B" w:rsidRDefault="002E1B4B" w:rsidP="000A5389">
      <w:pPr>
        <w:spacing w:line="240" w:lineRule="auto"/>
      </w:pPr>
    </w:p>
    <w:p w14:paraId="6B254A6E" w14:textId="48A0F527" w:rsidR="003D5DB4" w:rsidRPr="002E1B4B" w:rsidRDefault="003D5DB4" w:rsidP="000A5389">
      <w:pPr>
        <w:spacing w:line="240" w:lineRule="auto"/>
      </w:pPr>
      <w:r w:rsidRPr="002E1B4B">
        <w:lastRenderedPageBreak/>
        <w:t>Términos de calendario: El estado de avance determina la evolución del proceso constructivo. En términos generales a la entrega de la infraestructura y el cumplimiento de los correspondientes niveles de servicio se genera el derecho por parte del concesionario a recibir la retribución. El proyecto se encuentra en la fase Preconstrucción de la Etapa Preoperativa.</w:t>
      </w:r>
    </w:p>
    <w:p w14:paraId="10A53CC0" w14:textId="77777777" w:rsidR="003D5DB4" w:rsidRPr="002E1B4B" w:rsidRDefault="003D5DB4" w:rsidP="000A5389">
      <w:pPr>
        <w:spacing w:line="240" w:lineRule="auto"/>
      </w:pPr>
      <w:r w:rsidRPr="002E1B4B">
        <w:t xml:space="preserve">Términos de certeza de flujos de efectivo futuros: En vista de la aplicación del decreto N.º 050 del 15 de enero de 2023, el proyecto viene liquidando actas de compensación por diferencial de recaudo. Al corte de diciembre de 2025 se registra el pago de cinco (7) actas trimestrales que reflejan un acumulado total por valor de $90.370.484.811. </w:t>
      </w:r>
    </w:p>
    <w:p w14:paraId="2E183CAF" w14:textId="77777777" w:rsidR="003D5DB4" w:rsidRPr="002E1B4B" w:rsidRDefault="003D5DB4" w:rsidP="000A5389">
      <w:pPr>
        <w:spacing w:line="240" w:lineRule="auto"/>
      </w:pPr>
    </w:p>
    <w:p w14:paraId="72DCE27C" w14:textId="77777777" w:rsidR="003D5DB4" w:rsidRPr="002E1B4B" w:rsidRDefault="003D5DB4" w:rsidP="000A5389">
      <w:pPr>
        <w:spacing w:line="240" w:lineRule="auto"/>
      </w:pPr>
      <w:r w:rsidRPr="002E1B4B">
        <w:t>Naturaleza y alcance del derecho a utilizar Activos y los aspectos pactados en torno a lo que se espera que el concesionario proporcione en relación con el Acuerdo de concesión</w:t>
      </w:r>
    </w:p>
    <w:p w14:paraId="1EE991E1" w14:textId="77777777" w:rsidR="003D5DB4" w:rsidRPr="002E1B4B" w:rsidRDefault="003D5DB4" w:rsidP="000A5389">
      <w:pPr>
        <w:spacing w:line="240" w:lineRule="auto"/>
      </w:pPr>
      <w:r w:rsidRPr="002E1B4B">
        <w:t>Naturaleza y alcance del derecho de uso de los Activos</w:t>
      </w:r>
    </w:p>
    <w:p w14:paraId="018E2EB2" w14:textId="77777777" w:rsidR="003D5DB4" w:rsidRPr="002E1B4B" w:rsidRDefault="003D5DB4" w:rsidP="000A5389">
      <w:pPr>
        <w:spacing w:line="240" w:lineRule="auto"/>
      </w:pPr>
      <w:r w:rsidRPr="002E1B4B">
        <w:t>Descripción:</w:t>
      </w:r>
      <w:r w:rsidRPr="002E1B4B">
        <w:tab/>
        <w:t>La sección 4.5 (a) del Capítulo IV de la Parte Especial del Contrato determina la infraestructura programada para ser recibida por el Concesionario al inicio del Contrato. Así mismo, se programó la entrega (Capitulo IV, Sección 4.5(b) - Parte Especial) de los predios del Distrito.</w:t>
      </w:r>
    </w:p>
    <w:p w14:paraId="37F5D809" w14:textId="77777777" w:rsidR="002E1B4B" w:rsidRDefault="002E1B4B" w:rsidP="000A5389">
      <w:pPr>
        <w:spacing w:line="240" w:lineRule="auto"/>
      </w:pPr>
    </w:p>
    <w:p w14:paraId="46A220DB" w14:textId="608A629C" w:rsidR="003D5DB4" w:rsidRPr="002E1B4B" w:rsidRDefault="003D5DB4" w:rsidP="000A5389">
      <w:pPr>
        <w:spacing w:line="240" w:lineRule="auto"/>
      </w:pPr>
      <w:r w:rsidRPr="002E1B4B">
        <w:t xml:space="preserve">Observaciones: El concesionario tiene el derecho a obtener el VPIP contractual. Entiéndase las siglas VPIP, según el numeral 1.204 de la Parte General del Contrato, cómo “Es el valor presente del Recaudo de Peaje calculado a la Fecha de Inicio del Contrato expresado en Pesos del Mes de Referencia. El monto de VPIP se señala en la Parte Especial.”.  En la Sección 1.204 de la Parte Especial se señala: “Es el valor presente del Ingreso de Peaje Neto calculado a la Fecha de Inicio del Contrato expresado en Pesos del Mes de Referencia. El monto de VPIP se señala en la sección 4.2(b)(v) de esta Parte Especial. Sin embargo, en caso de materializarse el evento previsto en la sección 4.2(c) de esta Parte Especial, el valor del VPIP se entenderá modificado como lo señala la Sección 4.2(c)(i) de esta Parte Especial”. En la sección 4.2(b)(v) se señala que “El valor presente del Ingreso de Peaje Neto en pesos del Mes de Referencia será para todos los efectos establecidos en el presente Contrato, el VPIP será equivalente a UN BILLÓN CUATROCIENTOS VEINTICUATRO MIL QUINIENTOS SETENTA Y SIETE MILLONES TRESCIENTOS SETENTA Y UN MIL TRESCIENTOS OCHENTA Y TRES PESOS ($1.424.577.371.383) del Mes de Referencia.”. Teniendo en cuenta que el Mes de Referencia es diciembre de 2019, con corte de 31 de diciembre de 2025 el proyecto presenta el siguiente VPIP: VPIP Contractual: $1.424.577.371.383,00 VPIP Acumulado a diciembre 2025: $448.311.949.682,72 % de VPIP: 31,47% Tiempo transcurrido: 3,5 años. </w:t>
      </w:r>
    </w:p>
    <w:p w14:paraId="1F678F98" w14:textId="77777777" w:rsidR="002E1B4B" w:rsidRDefault="002E1B4B" w:rsidP="000A5389">
      <w:pPr>
        <w:spacing w:line="240" w:lineRule="auto"/>
      </w:pPr>
    </w:p>
    <w:p w14:paraId="54D34242" w14:textId="6D6D912E" w:rsidR="003D5DB4" w:rsidRPr="002E1B4B" w:rsidRDefault="003D5DB4" w:rsidP="000A5389">
      <w:pPr>
        <w:spacing w:line="240" w:lineRule="auto"/>
      </w:pPr>
      <w:r w:rsidRPr="002E1B4B">
        <w:t>Retribución al concesionario</w:t>
      </w:r>
    </w:p>
    <w:p w14:paraId="09EF0CFE" w14:textId="77777777" w:rsidR="002E1B4B" w:rsidRDefault="002E1B4B" w:rsidP="000A5389">
      <w:pPr>
        <w:spacing w:line="240" w:lineRule="auto"/>
      </w:pPr>
    </w:p>
    <w:p w14:paraId="21A86384" w14:textId="01C58F3D" w:rsidR="003D5DB4" w:rsidRDefault="003D5DB4" w:rsidP="000A5389">
      <w:pPr>
        <w:spacing w:line="240" w:lineRule="auto"/>
      </w:pPr>
      <w:r w:rsidRPr="002E1B4B">
        <w:t xml:space="preserve">Descripción: De acuerdo con la sección 1.167 de la Parte General la retribución se define como: “Se refiere a la contraprestación económica a la que tiene derecho el Concesionario en los términos de la Sección 3.1 de esta Parte General. El reconocimiento de la Retribución –y de la Compensación Especial, cuando sea aplicable– se realizará mediante los traslados entre las subcuentas del Patrimonio Autónomo a los que se refiere dicha Sección. En el caso en que el Concesionario decida instrumentar mecanismos de financiación a través de uno o </w:t>
      </w:r>
      <w:r w:rsidRPr="002E1B4B">
        <w:lastRenderedPageBreak/>
        <w:t xml:space="preserve">varios Patrimonios Autónomos-Deuda, incluido el mecanismo previsto en el Apéndice </w:t>
      </w:r>
      <w:r w:rsidR="002E1B4B">
        <w:t xml:space="preserve"> </w:t>
      </w:r>
      <w:r w:rsidRPr="002E1B4B">
        <w:t>Financiero 2, el reconocimiento de la Retribución se realizará mediante el traslado de las subcuentas del Patrimonio Autónomo que correspondan, de conformidad con este Contrato, a dicho(s) Patrimonio(s) Autónomo(s)-Deuda. El reconocimiento de la Retribución –y de la Compensación Especial, cuando sea aplicable– también se podrá efectuar mediante el traslado de recursos directamente a los Cesionarios Especiales, tal y como se prevé en el Apéndice Financiero 2.” Durante la vigencia 2025 se suscribieron 12 actas de la Unidad Funcional Cero (UF0) por valor de total $33.964.306.685,84</w:t>
      </w:r>
      <w:r w:rsidR="002E1B4B">
        <w:t xml:space="preserve"> </w:t>
      </w:r>
      <w:r w:rsidRPr="002E1B4B">
        <w:t>Tasa de retribución:</w:t>
      </w:r>
      <w:r w:rsidR="002E1B4B">
        <w:t xml:space="preserve"> </w:t>
      </w:r>
      <w:r w:rsidRPr="002E1B4B">
        <w:tab/>
        <w:t>En la sección 5.3 de la Parte Especial del contrato de concesión se establece el Cálculo de la Retribución al concesionario.</w:t>
      </w:r>
    </w:p>
    <w:p w14:paraId="1C9B0454" w14:textId="77777777" w:rsidR="002E1B4B" w:rsidRPr="002E1B4B" w:rsidRDefault="002E1B4B" w:rsidP="000A5389">
      <w:pPr>
        <w:spacing w:line="240" w:lineRule="auto"/>
      </w:pPr>
    </w:p>
    <w:p w14:paraId="53FE7520" w14:textId="77777777" w:rsidR="003D5DB4" w:rsidRDefault="003D5DB4" w:rsidP="000A5389">
      <w:pPr>
        <w:spacing w:line="240" w:lineRule="auto"/>
      </w:pPr>
      <w:r w:rsidRPr="002E1B4B">
        <w:t>Derechos a recibir Activos especificados al final del acuerdo de concesión</w:t>
      </w:r>
    </w:p>
    <w:p w14:paraId="18022987" w14:textId="77777777" w:rsidR="002E1B4B" w:rsidRPr="002E1B4B" w:rsidRDefault="002E1B4B" w:rsidP="000A5389">
      <w:pPr>
        <w:spacing w:line="240" w:lineRule="auto"/>
      </w:pPr>
    </w:p>
    <w:p w14:paraId="6DCFD4AD" w14:textId="77777777" w:rsidR="002E1B4B" w:rsidRDefault="003D5DB4" w:rsidP="000A5389">
      <w:pPr>
        <w:spacing w:line="240" w:lineRule="auto"/>
      </w:pPr>
      <w:r w:rsidRPr="002E1B4B">
        <w:t xml:space="preserve">Descripción: Corresponde al procedimiento señalado en la sección 9.7 de la Parte General, mediante el cual el Concesionario entrega los bienes asociados al proyecto a la ANI para dar por terminado el contrato. “(…) (b). Se entenderá que la ANI se hará propietario de las obras que conforman el Proyecto al momento de su ejecución, incluyendo, además, pero sin limitarse, las Estaciones de Peaje y Estaciones de Pesaje, y la totalidad de los bienes muebles o inmuebles por destinación o adhesión que se encuentren en las mismas. El Concesionario conservará la mera tenencia de estos bienes para efectos del cumplimiento del Contrato y será responsable de la guardia material y jurídica de los bienes que conforman el Proyecto. </w:t>
      </w:r>
    </w:p>
    <w:p w14:paraId="127158B7" w14:textId="77777777" w:rsidR="002E1B4B" w:rsidRDefault="002E1B4B" w:rsidP="000A5389">
      <w:pPr>
        <w:spacing w:line="240" w:lineRule="auto"/>
      </w:pPr>
    </w:p>
    <w:p w14:paraId="63E032FA" w14:textId="591EECDA" w:rsidR="003D5DB4" w:rsidRDefault="003D5DB4" w:rsidP="000A5389">
      <w:pPr>
        <w:spacing w:line="240" w:lineRule="auto"/>
      </w:pPr>
      <w:r w:rsidRPr="002E1B4B">
        <w:t>Los bienes de propiedad de la ANI, y, en general, todos los bienes inmuebles con todas sus anexidades, los bienes muebles, los equipos, software y demás activos que hacen parte del Proyecto, serán entregados a la ANI, en las condiciones señaladas en el Apéndice Técnico 2 al momento de la terminación de la Etapa de Reversión. (…)”</w:t>
      </w:r>
    </w:p>
    <w:p w14:paraId="3F65F764" w14:textId="77777777" w:rsidR="002E1B4B" w:rsidRPr="002E1B4B" w:rsidRDefault="002E1B4B" w:rsidP="000A5389">
      <w:pPr>
        <w:spacing w:line="240" w:lineRule="auto"/>
      </w:pPr>
    </w:p>
    <w:p w14:paraId="2B107F4E" w14:textId="77777777" w:rsidR="003D5DB4" w:rsidRPr="002E1B4B" w:rsidRDefault="003D5DB4" w:rsidP="000A5389">
      <w:pPr>
        <w:spacing w:line="240" w:lineRule="auto"/>
      </w:pPr>
      <w:r w:rsidRPr="002E1B4B">
        <w:t>Observaciones: El estado de las obras y bienes al momento de entregar la obra deberá ser el siguiente:  Al momento de la Terminación del Contrato el Concesionario deberá cumplir con los Valores Mínimos de Aceptación de los Indicadores incluidos en el Apéndice Técnico 4: (I) Pavimentos:  Sin perjuicio del cumplimiento de los demás Indicadores, al momento de la terminación del Contrato, los pavimentos deberán contar al menos con el índice de deflexión que se indica en el Apéndice Técnico 4 como valor mínimo de aceptación para el Indicador de Capacidad Estructural E16, (ii)  Equipos: Todos los equipos entregados deberán operar por lo menos durante cinco (5) años más sin necesidad de reposición, a excepción de los vehículos automotores que deberán tener una vida útil de tres (3) años como mínimo.</w:t>
      </w:r>
    </w:p>
    <w:p w14:paraId="6C1EDEA5" w14:textId="77777777" w:rsidR="002E1B4B" w:rsidRDefault="002E1B4B" w:rsidP="000A5389">
      <w:pPr>
        <w:spacing w:line="240" w:lineRule="auto"/>
      </w:pPr>
    </w:p>
    <w:p w14:paraId="32F0AF0D" w14:textId="45D088DA" w:rsidR="003D5DB4" w:rsidRPr="002E1B4B" w:rsidRDefault="003D5DB4" w:rsidP="000A5389">
      <w:pPr>
        <w:spacing w:line="240" w:lineRule="auto"/>
      </w:pPr>
      <w:r w:rsidRPr="002E1B4B">
        <w:t>Las alternativas de renovación y cese del acuerdo</w:t>
      </w:r>
    </w:p>
    <w:p w14:paraId="567845C9" w14:textId="77777777" w:rsidR="003D5DB4" w:rsidRPr="002E1B4B" w:rsidRDefault="003D5DB4" w:rsidP="000A5389">
      <w:pPr>
        <w:spacing w:line="240" w:lineRule="auto"/>
      </w:pPr>
      <w:r w:rsidRPr="002E1B4B">
        <w:t>Descripción:</w:t>
      </w:r>
      <w:r w:rsidRPr="002E1B4B">
        <w:tab/>
        <w:t>N/A</w:t>
      </w:r>
    </w:p>
    <w:p w14:paraId="5F1A1579" w14:textId="77777777" w:rsidR="003D5DB4" w:rsidRPr="002E1B4B" w:rsidRDefault="003D5DB4" w:rsidP="000A5389">
      <w:pPr>
        <w:spacing w:line="240" w:lineRule="auto"/>
      </w:pPr>
      <w:r w:rsidRPr="002E1B4B">
        <w:t>Observaciones: N/A</w:t>
      </w:r>
    </w:p>
    <w:p w14:paraId="6103E315" w14:textId="77777777" w:rsidR="002E1B4B" w:rsidRDefault="002E1B4B" w:rsidP="000A5389">
      <w:pPr>
        <w:spacing w:line="240" w:lineRule="auto"/>
      </w:pPr>
    </w:p>
    <w:p w14:paraId="06B69A8D" w14:textId="77505CC5" w:rsidR="003D5DB4" w:rsidRPr="002E1B4B" w:rsidRDefault="003D5DB4" w:rsidP="000A5389">
      <w:pPr>
        <w:spacing w:line="240" w:lineRule="auto"/>
      </w:pPr>
      <w:r w:rsidRPr="002E1B4B">
        <w:t>Cambios en el acuerdo de concesión que se realicen durante el periodo fiscal</w:t>
      </w:r>
    </w:p>
    <w:p w14:paraId="2653D3AA" w14:textId="77777777" w:rsidR="003D5DB4" w:rsidRPr="002E1B4B" w:rsidRDefault="003D5DB4" w:rsidP="000A5389">
      <w:pPr>
        <w:spacing w:line="240" w:lineRule="auto"/>
      </w:pPr>
      <w:r w:rsidRPr="002E1B4B">
        <w:t>Adiciones o modificaciones en tiempo</w:t>
      </w:r>
    </w:p>
    <w:p w14:paraId="78EBDC53" w14:textId="77777777" w:rsidR="003D5DB4" w:rsidRPr="002E1B4B" w:rsidRDefault="003D5DB4" w:rsidP="000A5389">
      <w:pPr>
        <w:spacing w:line="240" w:lineRule="auto"/>
      </w:pPr>
      <w:r w:rsidRPr="002E1B4B">
        <w:rPr>
          <w:rFonts w:eastAsia="Times New Roman"/>
        </w:rPr>
        <w:t>Fechas de las adiciones o modificaciones: N/A</w:t>
      </w:r>
    </w:p>
    <w:p w14:paraId="0B704581" w14:textId="77777777" w:rsidR="003D5DB4" w:rsidRPr="002E1B4B" w:rsidRDefault="003D5DB4" w:rsidP="000A5389">
      <w:pPr>
        <w:spacing w:line="240" w:lineRule="auto"/>
      </w:pPr>
      <w:r w:rsidRPr="002E1B4B">
        <w:lastRenderedPageBreak/>
        <w:t>Nueva Fecha de finalización estimada:</w:t>
      </w:r>
      <w:r w:rsidRPr="002E1B4B">
        <w:tab/>
        <w:t>N/A</w:t>
      </w:r>
    </w:p>
    <w:p w14:paraId="38809EDA" w14:textId="77777777" w:rsidR="002E1B4B" w:rsidRDefault="002E1B4B" w:rsidP="000A5389">
      <w:pPr>
        <w:spacing w:line="240" w:lineRule="auto"/>
      </w:pPr>
    </w:p>
    <w:p w14:paraId="6D272852" w14:textId="6D2B7DA9" w:rsidR="003D5DB4" w:rsidRPr="002E1B4B" w:rsidRDefault="003D5DB4" w:rsidP="000A5389">
      <w:pPr>
        <w:spacing w:line="240" w:lineRule="auto"/>
      </w:pPr>
      <w:r w:rsidRPr="002E1B4B">
        <w:t>Observaciones:</w:t>
      </w:r>
      <w:r w:rsidRPr="002E1B4B">
        <w:tab/>
        <w:t>N/A</w:t>
      </w:r>
    </w:p>
    <w:p w14:paraId="1242D66A" w14:textId="77777777" w:rsidR="003D5DB4" w:rsidRPr="002E1B4B" w:rsidRDefault="003D5DB4" w:rsidP="000A5389">
      <w:pPr>
        <w:spacing w:line="240" w:lineRule="auto"/>
      </w:pPr>
      <w:r w:rsidRPr="002E1B4B">
        <w:t>Adiciones o modificaciones en valor</w:t>
      </w:r>
    </w:p>
    <w:p w14:paraId="29286777" w14:textId="77777777" w:rsidR="003D5DB4" w:rsidRPr="002E1B4B" w:rsidRDefault="003D5DB4" w:rsidP="000A5389">
      <w:pPr>
        <w:spacing w:line="240" w:lineRule="auto"/>
      </w:pPr>
      <w:r w:rsidRPr="002E1B4B">
        <w:t>Valor de la adición o modificación: N/A</w:t>
      </w:r>
    </w:p>
    <w:p w14:paraId="0E161A99" w14:textId="77777777" w:rsidR="003D5DB4" w:rsidRPr="002E1B4B" w:rsidRDefault="003D5DB4" w:rsidP="000A5389">
      <w:pPr>
        <w:spacing w:line="240" w:lineRule="auto"/>
      </w:pPr>
      <w:r w:rsidRPr="002E1B4B">
        <w:t>Nuevo valor del acuerdo: N/A</w:t>
      </w:r>
    </w:p>
    <w:p w14:paraId="0107154F" w14:textId="77777777" w:rsidR="003D5DB4" w:rsidRPr="002E1B4B" w:rsidRDefault="003D5DB4" w:rsidP="000A5389">
      <w:pPr>
        <w:spacing w:line="240" w:lineRule="auto"/>
      </w:pPr>
      <w:r w:rsidRPr="002E1B4B">
        <w:t>Observaciones: N/A</w:t>
      </w:r>
    </w:p>
    <w:p w14:paraId="07C9343F" w14:textId="77777777" w:rsidR="003D5DB4" w:rsidRDefault="003D5DB4" w:rsidP="000A5389">
      <w:pPr>
        <w:spacing w:line="240" w:lineRule="auto"/>
      </w:pPr>
    </w:p>
    <w:p w14:paraId="19CED1D0" w14:textId="77777777" w:rsidR="001B234E" w:rsidRPr="002E1B4B" w:rsidRDefault="001B234E" w:rsidP="000A5389">
      <w:pPr>
        <w:spacing w:line="240" w:lineRule="auto"/>
      </w:pPr>
    </w:p>
    <w:p w14:paraId="4CE5FF5F" w14:textId="77777777" w:rsidR="003D5DB4" w:rsidRDefault="003D5DB4" w:rsidP="000A5389">
      <w:pPr>
        <w:spacing w:line="240" w:lineRule="auto"/>
        <w:rPr>
          <w:i/>
          <w:iCs/>
        </w:rPr>
      </w:pPr>
      <w:r w:rsidRPr="002E1B4B">
        <w:rPr>
          <w:i/>
          <w:iCs/>
        </w:rPr>
        <w:t>IP AUTOPISTAS DEL CARIBE CORREDOR DE CARGA CARTAGENA – BARRANQUILLA.</w:t>
      </w:r>
    </w:p>
    <w:p w14:paraId="6E201F26" w14:textId="77777777" w:rsidR="002E1B4B" w:rsidRPr="002E1B4B" w:rsidRDefault="002E1B4B" w:rsidP="000A5389">
      <w:pPr>
        <w:spacing w:line="240" w:lineRule="auto"/>
        <w:rPr>
          <w:i/>
          <w:iCs/>
        </w:rPr>
      </w:pPr>
    </w:p>
    <w:p w14:paraId="2E82C47B" w14:textId="77777777" w:rsidR="003D5DB4" w:rsidRPr="002E1B4B" w:rsidRDefault="003D5DB4" w:rsidP="000A5389">
      <w:pPr>
        <w:spacing w:line="240" w:lineRule="auto"/>
      </w:pPr>
      <w:r w:rsidRPr="002E1B4B">
        <w:t>Descripción del Acuerdo</w:t>
      </w:r>
    </w:p>
    <w:p w14:paraId="041A799A" w14:textId="77777777" w:rsidR="002E1B4B" w:rsidRDefault="002E1B4B" w:rsidP="000A5389">
      <w:pPr>
        <w:spacing w:line="240" w:lineRule="auto"/>
      </w:pPr>
    </w:p>
    <w:p w14:paraId="69B8601F" w14:textId="6157E5DF" w:rsidR="003D5DB4" w:rsidRPr="002E1B4B" w:rsidRDefault="003D5DB4" w:rsidP="000A5389">
      <w:pPr>
        <w:spacing w:line="240" w:lineRule="auto"/>
      </w:pPr>
      <w:r w:rsidRPr="002E1B4B">
        <w:t>Número del Acuerdo de concesión:  Acuerdo de concesión: 002 de 2021</w:t>
      </w:r>
    </w:p>
    <w:p w14:paraId="5103B592" w14:textId="77777777" w:rsidR="002E1B4B" w:rsidRDefault="002E1B4B" w:rsidP="000A5389">
      <w:pPr>
        <w:spacing w:line="240" w:lineRule="auto"/>
      </w:pPr>
    </w:p>
    <w:p w14:paraId="614C835D" w14:textId="06B7B768" w:rsidR="003D5DB4" w:rsidRPr="002E1B4B" w:rsidRDefault="003D5DB4" w:rsidP="000A5389">
      <w:pPr>
        <w:spacing w:line="240" w:lineRule="auto"/>
      </w:pPr>
      <w:r w:rsidRPr="002E1B4B">
        <w:t>Objeto / Descripción:  Objeto: El presente Contrato de concesión bajo un esquema de asociación público-privada de Iniciativa Privada en los términos de la Ley 1508 de 2012, tiene por objeto el otorgamiento de una concesión para que de conformidad con lo previsto en este Contrato, el Concesionario, por su cuenta y riesgo, lleve a cabo el Proyecto. El alcance físico del Proyecto se describe en la Parte Especial y en el Apéndice Técnico 1.</w:t>
      </w:r>
    </w:p>
    <w:p w14:paraId="03034C21" w14:textId="77777777" w:rsidR="002E1B4B" w:rsidRDefault="002E1B4B" w:rsidP="000A5389">
      <w:pPr>
        <w:spacing w:line="240" w:lineRule="auto"/>
      </w:pPr>
    </w:p>
    <w:p w14:paraId="4F587B86" w14:textId="16598300" w:rsidR="003D5DB4" w:rsidRPr="002E1B4B" w:rsidRDefault="003D5DB4" w:rsidP="000A5389">
      <w:pPr>
        <w:spacing w:line="240" w:lineRule="auto"/>
      </w:pPr>
      <w:r w:rsidRPr="002E1B4B">
        <w:t>Alcance: Elaborar los estudios, diseños, construcción, operación, mantenimiento, gestión social, predial y ambiental del Proyecto de Concesión Vial Autopistas del Caribe Corredor de Carga Cartagena-Barranquilla, de acuerdo con el Apéndice Técnico 1 y demás Apéndices del Contrato.</w:t>
      </w:r>
    </w:p>
    <w:p w14:paraId="10879D5F" w14:textId="77777777" w:rsidR="003D5DB4" w:rsidRPr="002E1B4B" w:rsidRDefault="003D5DB4" w:rsidP="000A5389">
      <w:pPr>
        <w:spacing w:line="240" w:lineRule="auto"/>
      </w:pPr>
      <w:r w:rsidRPr="002E1B4B">
        <w:t>Valor inicial:</w:t>
      </w:r>
      <w:r w:rsidRPr="002E1B4B">
        <w:tab/>
        <w:t>$4.314.364.069.773 Pesos Constantes de diciembre de 2015</w:t>
      </w:r>
    </w:p>
    <w:p w14:paraId="3DAD093F" w14:textId="77777777" w:rsidR="003D5DB4" w:rsidRPr="002E1B4B" w:rsidRDefault="003D5DB4" w:rsidP="000A5389">
      <w:pPr>
        <w:spacing w:line="240" w:lineRule="auto"/>
      </w:pPr>
      <w:r w:rsidRPr="002E1B4B">
        <w:t>Fecha de inicio: 20 de octubre de 2021</w:t>
      </w:r>
    </w:p>
    <w:p w14:paraId="32489785" w14:textId="77777777" w:rsidR="003D5DB4" w:rsidRPr="002E1B4B" w:rsidRDefault="003D5DB4" w:rsidP="000A5389">
      <w:pPr>
        <w:spacing w:line="240" w:lineRule="auto"/>
      </w:pPr>
      <w:r w:rsidRPr="002E1B4B">
        <w:t>Fecha de finalización estimada:</w:t>
      </w:r>
      <w:r w:rsidRPr="002E1B4B">
        <w:tab/>
        <w:t>21 de julio de 2026</w:t>
      </w:r>
    </w:p>
    <w:p w14:paraId="25E996CB" w14:textId="77777777" w:rsidR="003D5DB4" w:rsidRPr="002E1B4B" w:rsidRDefault="003D5DB4" w:rsidP="000A5389">
      <w:pPr>
        <w:spacing w:line="240" w:lineRule="auto"/>
      </w:pPr>
      <w:r w:rsidRPr="002E1B4B">
        <w:t>Tipo ID:</w:t>
      </w:r>
      <w:r w:rsidRPr="002E1B4B">
        <w:tab/>
        <w:t>NIT</w:t>
      </w:r>
    </w:p>
    <w:p w14:paraId="0D4ABC8C" w14:textId="77777777" w:rsidR="003D5DB4" w:rsidRPr="002E1B4B" w:rsidRDefault="003D5DB4" w:rsidP="000A5389">
      <w:pPr>
        <w:spacing w:line="240" w:lineRule="auto"/>
      </w:pPr>
      <w:r w:rsidRPr="002E1B4B">
        <w:t>Número ID:</w:t>
      </w:r>
      <w:r w:rsidRPr="002E1B4B">
        <w:tab/>
        <w:t>901.515.245-5</w:t>
      </w:r>
    </w:p>
    <w:p w14:paraId="072FEF53" w14:textId="77777777" w:rsidR="003D5DB4" w:rsidRPr="002E1B4B" w:rsidRDefault="003D5DB4" w:rsidP="000A5389">
      <w:pPr>
        <w:spacing w:line="240" w:lineRule="auto"/>
      </w:pPr>
      <w:r w:rsidRPr="002E1B4B">
        <w:t>Razón social del concesionario: Autopistas del Caribe S.A.S.</w:t>
      </w:r>
    </w:p>
    <w:p w14:paraId="54FCF9ED" w14:textId="77777777" w:rsidR="003D5DB4" w:rsidRPr="002E1B4B" w:rsidRDefault="003D5DB4" w:rsidP="000A5389">
      <w:pPr>
        <w:spacing w:line="240" w:lineRule="auto"/>
      </w:pPr>
      <w:r w:rsidRPr="002E1B4B">
        <w:t>Nombre del proyecto: IP Autopistas del Caribe Corredor de Carga Cartagena – Barranquilla.</w:t>
      </w:r>
    </w:p>
    <w:p w14:paraId="080CCA79" w14:textId="77777777" w:rsidR="003D5DB4" w:rsidRPr="002E1B4B" w:rsidRDefault="003D5DB4" w:rsidP="000A5389">
      <w:pPr>
        <w:spacing w:line="240" w:lineRule="auto"/>
      </w:pPr>
    </w:p>
    <w:p w14:paraId="6DC04178" w14:textId="77777777" w:rsidR="003D5DB4" w:rsidRDefault="003D5DB4" w:rsidP="000A5389">
      <w:pPr>
        <w:spacing w:line="240" w:lineRule="auto"/>
      </w:pPr>
      <w:r w:rsidRPr="002E1B4B">
        <w:t>Términos significativos del Acuerdo que puedan afectar su valor, el calendario y la certeza de los flujos de efectivo futuros</w:t>
      </w:r>
    </w:p>
    <w:p w14:paraId="0E793243" w14:textId="77777777" w:rsidR="002E1B4B" w:rsidRPr="002E1B4B" w:rsidRDefault="002E1B4B" w:rsidP="000A5389">
      <w:pPr>
        <w:spacing w:line="240" w:lineRule="auto"/>
      </w:pPr>
    </w:p>
    <w:p w14:paraId="039C9DAC" w14:textId="77777777" w:rsidR="003D5DB4" w:rsidRDefault="003D5DB4" w:rsidP="000A5389">
      <w:pPr>
        <w:spacing w:line="240" w:lineRule="auto"/>
      </w:pPr>
      <w:r w:rsidRPr="002E1B4B">
        <w:t xml:space="preserve">Términos de valor: Por la problemática social presentada en el corredor vial desde el inicio de ejecución, así como en la vigencia 2025 no fue posible avanzar en los siguientes aspectos: i. implementación de la estructura tarifaria del proyecto (de conformidad con el numeral 4.2 del capítulo IV de la parte especial del Contrato de Concesión), Así mismo ii. no fue posible instalar la nueva estación de peaje Arroyo de Piedra y finalmente iii. no se logró el cobro de las categorías I y II en el peaje de Turbaco. Debido a la imposibilidad de ejecución del Contrato las Partes decidieron dar por terminado el contrato de manera anticipada por mutuo </w:t>
      </w:r>
      <w:r w:rsidRPr="002E1B4B">
        <w:lastRenderedPageBreak/>
        <w:t>acuerdo, a través de la suscripción del Acuerdo de Transacción y regular la Etapa de Reversión la cual quedó establecido en el Otrosí No. 3 al Contrato de Concesión ambos documentos se suscribieron el 29 de diciembre de 2025.</w:t>
      </w:r>
    </w:p>
    <w:p w14:paraId="7A802CB6" w14:textId="77777777" w:rsidR="002E1B4B" w:rsidRPr="002E1B4B" w:rsidRDefault="002E1B4B" w:rsidP="000A5389">
      <w:pPr>
        <w:spacing w:line="240" w:lineRule="auto"/>
      </w:pPr>
    </w:p>
    <w:p w14:paraId="2A597360" w14:textId="77777777" w:rsidR="003D5DB4" w:rsidRDefault="003D5DB4" w:rsidP="000A5389">
      <w:pPr>
        <w:spacing w:line="240" w:lineRule="auto"/>
      </w:pPr>
      <w:r w:rsidRPr="002E1B4B">
        <w:t xml:space="preserve">Términos de calendario: El 09 de enero de 2023 se prorroga el acta de suspensión de la estructura tarifaria del Contrato  por tres meses, el  09 de enero de  2023 la entidad expidió el oficio de incremento de tarifas (tarifas Aut el Sol +IPC), el 10 de abril de  2023 no fue posible implementar la estructura tarifaria debido a que la problemática social del proyecto continua y por efectos  del Decreto 050 de  2023, el  24 de febrero de  2023 se suscribió el evento eximente de responsabilidad EER acordándose la implementación del periodo especial de un año desde el 21 de septiembre de 2022 para la realización del cierre financiero ante la problemática social. El 21 de septiembre de 2023 se amplió el periodo especial en 6 meses más. Debido a la imposibilidad de ejecución del Contrato las Partes decidieron dar por terminado el contrato de manera anticipada por mutuo acuerdo, a través de la suscripción del Acuerdo de Transacción y regular la Etapa de Reversión la cual quedó establecido en el Otrosí No. 3 al Contrato de Concesión ambos documentos se suscribieron el 29 de diciembre de 2025, en los cuales se pactó que la Etapa de reversión del Contrato se llevará a cabo en 200 días contados a partir del 2 de enero de 2026. </w:t>
      </w:r>
    </w:p>
    <w:p w14:paraId="15571FE3" w14:textId="77777777" w:rsidR="002E1B4B" w:rsidRPr="002E1B4B" w:rsidRDefault="002E1B4B" w:rsidP="000A5389">
      <w:pPr>
        <w:spacing w:line="240" w:lineRule="auto"/>
      </w:pPr>
    </w:p>
    <w:p w14:paraId="44AC03F0" w14:textId="77777777" w:rsidR="003D5DB4" w:rsidRPr="002E1B4B" w:rsidRDefault="003D5DB4" w:rsidP="000A5389">
      <w:pPr>
        <w:spacing w:line="240" w:lineRule="auto"/>
      </w:pPr>
      <w:r w:rsidRPr="002E1B4B">
        <w:t>Términos de certeza de flujos de efectivo futuros: Con el periodo especial del Evento eximente de responsabilidad se suspendió la realización del segundo giro Equity pactado para los 360 días posteriores al acta de inicio.  Debido a la imposibilidad de ejecución del Contrato las Partes decidieron dar por terminado el contrato de manera anticipada por mutuo acuerdo, a través de la suscripción del Acuerdo de Transacción y regular la Etapa de Reversión la cual quedó establecido en el Otrosí No. 3 al Contrato de Concesión ambos documentos se suscribieron el 29 de diciembre de 2025, en los cuales se pactó que la Etapa de reversión del Contrato se llevará a cabo en 200 días contados a partir del 2 de enero de 2026.</w:t>
      </w:r>
    </w:p>
    <w:p w14:paraId="161FF4C4" w14:textId="77777777" w:rsidR="003D5DB4" w:rsidRPr="002E1B4B" w:rsidRDefault="003D5DB4" w:rsidP="000A5389">
      <w:pPr>
        <w:spacing w:line="240" w:lineRule="auto"/>
      </w:pPr>
    </w:p>
    <w:p w14:paraId="62FDD03A" w14:textId="77777777" w:rsidR="003D5DB4" w:rsidRPr="002E1B4B" w:rsidRDefault="003D5DB4" w:rsidP="000A5389">
      <w:pPr>
        <w:spacing w:line="240" w:lineRule="auto"/>
      </w:pPr>
      <w:r w:rsidRPr="002E1B4B">
        <w:t>Naturaleza y alcance del derecho a utilizar Activos y los aspectos pactados en torno a lo que se espera que el concesionario proporcione en relación con el Acuerdo de concesión</w:t>
      </w:r>
    </w:p>
    <w:p w14:paraId="3E2A36C8" w14:textId="77777777" w:rsidR="003D5DB4" w:rsidRDefault="003D5DB4" w:rsidP="000A5389">
      <w:pPr>
        <w:spacing w:line="240" w:lineRule="auto"/>
      </w:pPr>
      <w:r w:rsidRPr="002E1B4B">
        <w:t>Naturaleza y alcance del derecho de uso de los Activos</w:t>
      </w:r>
    </w:p>
    <w:p w14:paraId="1D41F0E0" w14:textId="77777777" w:rsidR="002E1B4B" w:rsidRPr="002E1B4B" w:rsidRDefault="002E1B4B" w:rsidP="000A5389">
      <w:pPr>
        <w:spacing w:line="240" w:lineRule="auto"/>
      </w:pPr>
    </w:p>
    <w:p w14:paraId="74847E34" w14:textId="77777777" w:rsidR="003D5DB4" w:rsidRPr="002E1B4B" w:rsidRDefault="003D5DB4" w:rsidP="000A5389">
      <w:pPr>
        <w:spacing w:line="240" w:lineRule="auto"/>
      </w:pPr>
      <w:r w:rsidRPr="002E1B4B">
        <w:t>Descripción:</w:t>
      </w:r>
      <w:r w:rsidRPr="002E1B4B">
        <w:tab/>
        <w:t>Se cederá al Concesionario el "Derecho de Recaudo" sobre la operación de las Estaciones de Peaje en la misma fecha de Entrega de la Infraestructura, salvo por las excepciones establecidas en la Parte Especial. En 2025 el Concesionario prestó los servicios correspondientes a la Operación y Mantenimiento asociados a la Unidad Funcional 0.</w:t>
      </w:r>
    </w:p>
    <w:p w14:paraId="19EA9225" w14:textId="77777777" w:rsidR="003D5DB4" w:rsidRDefault="003D5DB4" w:rsidP="000A5389">
      <w:pPr>
        <w:spacing w:line="240" w:lineRule="auto"/>
      </w:pPr>
      <w:r w:rsidRPr="002E1B4B">
        <w:t>Observaciones: Debido a la imposibilidad de ejecución del Contrato las Partes decidieron dar por terminado el contrato de manera anticipada por mutuo acuerdo, a través de la suscripción del Acuerdo de Transacción y regular la Etapa de Reversión la cual quedó establecido en el Otrosí No. 3 al Contrato de Concesión ambos documentos se suscribieron el 29 de diciembre de 2025, en los cuales se pactó que la reversión del Contrato se llevará a cabo en 200 días contados a partir del 2 de enero de 2026.</w:t>
      </w:r>
    </w:p>
    <w:p w14:paraId="0FF581C7" w14:textId="77777777" w:rsidR="002E1B4B" w:rsidRPr="002E1B4B" w:rsidRDefault="002E1B4B" w:rsidP="000A5389">
      <w:pPr>
        <w:spacing w:line="240" w:lineRule="auto"/>
      </w:pPr>
    </w:p>
    <w:p w14:paraId="56F555A7" w14:textId="77777777" w:rsidR="003D5DB4" w:rsidRDefault="003D5DB4" w:rsidP="000A5389">
      <w:pPr>
        <w:spacing w:line="240" w:lineRule="auto"/>
      </w:pPr>
      <w:r w:rsidRPr="002E1B4B">
        <w:t>Retribución al concesionario</w:t>
      </w:r>
    </w:p>
    <w:p w14:paraId="4EDBA270" w14:textId="77777777" w:rsidR="002E1B4B" w:rsidRPr="002E1B4B" w:rsidRDefault="002E1B4B" w:rsidP="000A5389">
      <w:pPr>
        <w:spacing w:line="240" w:lineRule="auto"/>
      </w:pPr>
    </w:p>
    <w:p w14:paraId="1CE3DB0F" w14:textId="77777777" w:rsidR="003D5DB4" w:rsidRPr="002E1B4B" w:rsidRDefault="003D5DB4" w:rsidP="000A5389">
      <w:pPr>
        <w:spacing w:line="240" w:lineRule="auto"/>
      </w:pPr>
      <w:r w:rsidRPr="002E1B4B">
        <w:t xml:space="preserve">Descripción: El derecho a la Retribución del Concesionario con respecto a cada Unidad Funcional se iniciará a partir de la suscripción de la respectiva Acta de Terminación de Unidad Funcional. Adicionalmente, se retribuye la UF0 de operación y mantenimiento. </w:t>
      </w:r>
    </w:p>
    <w:p w14:paraId="4B92667B" w14:textId="77777777" w:rsidR="002E1B4B" w:rsidRDefault="002E1B4B" w:rsidP="000A5389">
      <w:pPr>
        <w:spacing w:line="240" w:lineRule="auto"/>
      </w:pPr>
    </w:p>
    <w:p w14:paraId="6C579DCC" w14:textId="5AF38717" w:rsidR="003D5DB4" w:rsidRPr="002E1B4B" w:rsidRDefault="003D5DB4" w:rsidP="000A5389">
      <w:pPr>
        <w:spacing w:line="240" w:lineRule="auto"/>
      </w:pPr>
      <w:r w:rsidRPr="002E1B4B">
        <w:t>Tasa de retribución:</w:t>
      </w:r>
      <w:r w:rsidRPr="002E1B4B">
        <w:tab/>
        <w:t>TDI: 0,7146%</w:t>
      </w:r>
    </w:p>
    <w:p w14:paraId="784D82A8" w14:textId="77777777" w:rsidR="003D5DB4" w:rsidRPr="002E1B4B" w:rsidRDefault="003D5DB4" w:rsidP="000A5389">
      <w:pPr>
        <w:spacing w:line="240" w:lineRule="auto"/>
      </w:pPr>
      <w:r w:rsidRPr="002E1B4B">
        <w:t>Derechos a recibir Activos especificados al final del acuerdo de concesión</w:t>
      </w:r>
    </w:p>
    <w:p w14:paraId="509A686F" w14:textId="77777777" w:rsidR="003D5DB4" w:rsidRPr="002E1B4B" w:rsidRDefault="003D5DB4" w:rsidP="000A5389">
      <w:pPr>
        <w:spacing w:line="240" w:lineRule="auto"/>
      </w:pPr>
      <w:r w:rsidRPr="002E1B4B">
        <w:t>Descripción: De conformidad con el Contrato de Concesión del Proyecto Autopistas del Caribe, corredor de Carga Cartagena–Barranquilla, la entidad concedente tiene el derecho a recibir, al final del acuerdo de concesión, la infraestructura vial y los activos asociados al proyecto, en los términos previstos contractualmente.</w:t>
      </w:r>
    </w:p>
    <w:p w14:paraId="1E854ED4" w14:textId="77777777" w:rsidR="002E1B4B" w:rsidRDefault="002E1B4B" w:rsidP="000A5389">
      <w:pPr>
        <w:spacing w:line="240" w:lineRule="auto"/>
      </w:pPr>
    </w:p>
    <w:p w14:paraId="4EA53879" w14:textId="4A725074" w:rsidR="003D5DB4" w:rsidRPr="002E1B4B" w:rsidRDefault="003D5DB4" w:rsidP="000A5389">
      <w:pPr>
        <w:spacing w:line="240" w:lineRule="auto"/>
      </w:pPr>
      <w:r w:rsidRPr="002E1B4B">
        <w:t>Observaciones: Debido a la imposibilidad de ejecución del Contrato las Partes decidieron dar por terminado el contrato de manera anticipada por mutuo acuerdo, a través de la suscripción del Acuerdo de Transacción y regular la Etapa de Reversión la cual quedó establecido en el Otrosí No. 3 al Contrato de Concesión ambos documentos se suscribieron el 29 de diciembre de 2025, en los cuales se pactó que la Etapa de reversión del Contrato se llevará a cabo en 200 días contados a partir del 2 de enero de 2026.</w:t>
      </w:r>
    </w:p>
    <w:p w14:paraId="2B4E3BCB" w14:textId="77777777" w:rsidR="002E1B4B" w:rsidRDefault="002E1B4B" w:rsidP="000A5389">
      <w:pPr>
        <w:spacing w:line="240" w:lineRule="auto"/>
      </w:pPr>
    </w:p>
    <w:p w14:paraId="3374651B" w14:textId="7B2DE8F0" w:rsidR="003D5DB4" w:rsidRPr="002E1B4B" w:rsidRDefault="003D5DB4" w:rsidP="000A5389">
      <w:pPr>
        <w:spacing w:line="240" w:lineRule="auto"/>
      </w:pPr>
      <w:r w:rsidRPr="002E1B4B">
        <w:t>Las alternativas de renovación y cese del acuerdo</w:t>
      </w:r>
    </w:p>
    <w:p w14:paraId="13578CE9" w14:textId="77777777" w:rsidR="003D5DB4" w:rsidRPr="002E1B4B" w:rsidRDefault="003D5DB4" w:rsidP="000A5389">
      <w:pPr>
        <w:spacing w:line="240" w:lineRule="auto"/>
      </w:pPr>
      <w:r w:rsidRPr="002E1B4B">
        <w:t>Descripción: El 29 de diciembre de 2025 se suscribió el otrosí No. 3 al contrato de Concesión y el acuerdo de transacción mediante los cuales se acordó la terminación anticipada.</w:t>
      </w:r>
    </w:p>
    <w:p w14:paraId="2D7C2B83" w14:textId="77777777" w:rsidR="002E1B4B" w:rsidRDefault="002E1B4B" w:rsidP="000A5389">
      <w:pPr>
        <w:spacing w:line="240" w:lineRule="auto"/>
      </w:pPr>
    </w:p>
    <w:p w14:paraId="20C580CB" w14:textId="7358B748" w:rsidR="003D5DB4" w:rsidRPr="002E1B4B" w:rsidRDefault="003D5DB4" w:rsidP="000A5389">
      <w:pPr>
        <w:spacing w:line="240" w:lineRule="auto"/>
      </w:pPr>
      <w:r w:rsidRPr="002E1B4B">
        <w:t>Observaciones: Sin observaciones</w:t>
      </w:r>
    </w:p>
    <w:p w14:paraId="53EA9D6C" w14:textId="77777777" w:rsidR="003D5DB4" w:rsidRPr="002E1B4B" w:rsidRDefault="003D5DB4" w:rsidP="000A5389">
      <w:pPr>
        <w:spacing w:line="240" w:lineRule="auto"/>
      </w:pPr>
      <w:r w:rsidRPr="002E1B4B">
        <w:t>Cambios en el acuerdo de concesión que se realicen durante el periodo fiscal</w:t>
      </w:r>
    </w:p>
    <w:p w14:paraId="6AA6227B" w14:textId="77777777" w:rsidR="003D5DB4" w:rsidRPr="002E1B4B" w:rsidRDefault="003D5DB4" w:rsidP="000A5389">
      <w:pPr>
        <w:spacing w:line="240" w:lineRule="auto"/>
      </w:pPr>
      <w:r w:rsidRPr="002E1B4B">
        <w:t>Adiciones o modificaciones en tiempo</w:t>
      </w:r>
    </w:p>
    <w:p w14:paraId="3A60F992" w14:textId="77777777" w:rsidR="002E1B4B" w:rsidRDefault="002E1B4B" w:rsidP="000A5389">
      <w:pPr>
        <w:spacing w:line="240" w:lineRule="auto"/>
      </w:pPr>
    </w:p>
    <w:p w14:paraId="0285B842" w14:textId="0F9DF8DD" w:rsidR="003D5DB4" w:rsidRPr="002E1B4B" w:rsidRDefault="003D5DB4" w:rsidP="000A5389">
      <w:pPr>
        <w:spacing w:line="240" w:lineRule="auto"/>
      </w:pPr>
      <w:r w:rsidRPr="002E1B4B">
        <w:t>Fechas de las adiciones o modificaciones: El 29 de diciembre de 2025 se suscribió Acuerdo de Transacción mediante el cual se acordó la Terminación Anticipada de contrato por mutuo acuerdo y causas no imputables a las partes y en la misma fecha se suscribió el Otrosí No. 3 al Contrato de Concesión con el cual se regulo la Etapa de Reversión por la Terminación Anticipada.</w:t>
      </w:r>
    </w:p>
    <w:p w14:paraId="540754E9" w14:textId="77777777" w:rsidR="002E1B4B" w:rsidRDefault="002E1B4B" w:rsidP="000A5389">
      <w:pPr>
        <w:spacing w:line="240" w:lineRule="auto"/>
      </w:pPr>
    </w:p>
    <w:p w14:paraId="5EFA5AD8" w14:textId="3553343A" w:rsidR="003D5DB4" w:rsidRPr="002E1B4B" w:rsidRDefault="003D5DB4" w:rsidP="000A5389">
      <w:pPr>
        <w:spacing w:line="240" w:lineRule="auto"/>
      </w:pPr>
      <w:r w:rsidRPr="002E1B4B">
        <w:t>Nueva Fecha de finalización estimada: 21 de julio de 2026</w:t>
      </w:r>
    </w:p>
    <w:p w14:paraId="1FF21EC2" w14:textId="77777777" w:rsidR="002E1B4B" w:rsidRDefault="002E1B4B" w:rsidP="000A5389">
      <w:pPr>
        <w:spacing w:line="240" w:lineRule="auto"/>
      </w:pPr>
    </w:p>
    <w:p w14:paraId="457C0A61" w14:textId="38513F31" w:rsidR="003D5DB4" w:rsidRPr="002E1B4B" w:rsidRDefault="003D5DB4" w:rsidP="000A5389">
      <w:pPr>
        <w:spacing w:line="240" w:lineRule="auto"/>
      </w:pPr>
      <w:r w:rsidRPr="002E1B4B">
        <w:t>Observaciones: Debido a la imposibilidad de ejecución del Contrato las Partes decidieron dar por terminado el contrato de manera anticipada por mutuo acuerdo, a través de la suscripción del Acuerdo de Transacción y regular la Etapa de Reversión la cual quedó establecido en el Otrosí No. 3 al Contrato de Concesión ambos documentos se suscribieron el 29 de diciembre de 2025, en los cuales se pactó que la reversión del Contrato se llevará a cabo en 200 días contados a partir del 2 de enero de 2026.</w:t>
      </w:r>
    </w:p>
    <w:p w14:paraId="65A1ACE1" w14:textId="77777777" w:rsidR="002E1B4B" w:rsidRDefault="002E1B4B" w:rsidP="000A5389">
      <w:pPr>
        <w:spacing w:line="240" w:lineRule="auto"/>
      </w:pPr>
    </w:p>
    <w:p w14:paraId="42A70A06" w14:textId="2692B7CB" w:rsidR="003D5DB4" w:rsidRPr="002E1B4B" w:rsidRDefault="003D5DB4" w:rsidP="000A5389">
      <w:pPr>
        <w:spacing w:line="240" w:lineRule="auto"/>
      </w:pPr>
      <w:r w:rsidRPr="002E1B4B">
        <w:t>Adiciones o modificaciones en valor</w:t>
      </w:r>
    </w:p>
    <w:p w14:paraId="1D385968" w14:textId="77777777" w:rsidR="003D5DB4" w:rsidRPr="002E1B4B" w:rsidRDefault="003D5DB4" w:rsidP="000A5389">
      <w:pPr>
        <w:spacing w:line="240" w:lineRule="auto"/>
      </w:pPr>
      <w:r w:rsidRPr="002E1B4B">
        <w:t>Valor de la adición o modificación: Se Acordó la Terminación Anticipada</w:t>
      </w:r>
    </w:p>
    <w:p w14:paraId="15CA9A5D" w14:textId="77777777" w:rsidR="003D5DB4" w:rsidRPr="002E1B4B" w:rsidRDefault="003D5DB4" w:rsidP="000A5389">
      <w:pPr>
        <w:spacing w:line="240" w:lineRule="auto"/>
      </w:pPr>
      <w:r w:rsidRPr="002E1B4B">
        <w:lastRenderedPageBreak/>
        <w:t>Nuevo valor del acuerdo: No Aplica</w:t>
      </w:r>
    </w:p>
    <w:p w14:paraId="6096B767" w14:textId="77777777" w:rsidR="002E1B4B" w:rsidRDefault="002E1B4B" w:rsidP="000A5389">
      <w:pPr>
        <w:spacing w:line="240" w:lineRule="auto"/>
      </w:pPr>
    </w:p>
    <w:p w14:paraId="1890A260" w14:textId="06720E2E" w:rsidR="003D5DB4" w:rsidRPr="002E1B4B" w:rsidRDefault="003D5DB4" w:rsidP="000A5389">
      <w:pPr>
        <w:spacing w:line="240" w:lineRule="auto"/>
      </w:pPr>
      <w:r w:rsidRPr="002E1B4B">
        <w:t>Observaciones: Debido a la imposibilidad de ejecución del Contrato las Partes decidieron dar por terminado el contrato de manera anticipada por mutuo acuerdo, a través de la suscripción del Acuerdo de Transacción y regular la Etapa de Reversión la cual quedó establecido en el Otrosí No. 3 al Contrato de Concesión ambos documentos se suscribieron el 29 de diciembre de 2025, en los cuales se pactó que la reversión del Contrato se llevará a cabo en 200 días contados a partir del 2 de enero de 2026.</w:t>
      </w:r>
    </w:p>
    <w:p w14:paraId="7FB20660" w14:textId="77777777" w:rsidR="003D5DB4" w:rsidRDefault="003D5DB4" w:rsidP="000A5389">
      <w:pPr>
        <w:spacing w:line="240" w:lineRule="auto"/>
      </w:pPr>
    </w:p>
    <w:p w14:paraId="4C61A11D" w14:textId="77777777" w:rsidR="002E1B4B" w:rsidRPr="002E1B4B" w:rsidRDefault="002E1B4B" w:rsidP="000A5389">
      <w:pPr>
        <w:spacing w:line="240" w:lineRule="auto"/>
      </w:pPr>
    </w:p>
    <w:p w14:paraId="6BAB9858" w14:textId="77777777" w:rsidR="003D5DB4" w:rsidRPr="002E1B4B" w:rsidRDefault="003D5DB4" w:rsidP="000A5389">
      <w:pPr>
        <w:spacing w:line="240" w:lineRule="auto"/>
        <w:rPr>
          <w:i/>
          <w:iCs/>
        </w:rPr>
      </w:pPr>
      <w:r w:rsidRPr="002E1B4B">
        <w:rPr>
          <w:i/>
          <w:iCs/>
        </w:rPr>
        <w:t>NUEVA MALLA VIAL DEL VALLE DEL CAUCA - CORREDOR ACCESOS CALI Y PALMIRA</w:t>
      </w:r>
    </w:p>
    <w:p w14:paraId="28B54E46" w14:textId="77777777" w:rsidR="002E1B4B" w:rsidRPr="002E1B4B" w:rsidRDefault="002E1B4B" w:rsidP="000A5389">
      <w:pPr>
        <w:spacing w:line="240" w:lineRule="auto"/>
        <w:rPr>
          <w:i/>
          <w:iCs/>
        </w:rPr>
      </w:pPr>
    </w:p>
    <w:p w14:paraId="31005165" w14:textId="77777777" w:rsidR="003D5DB4" w:rsidRPr="002E1B4B" w:rsidRDefault="003D5DB4" w:rsidP="000A5389">
      <w:pPr>
        <w:spacing w:line="240" w:lineRule="auto"/>
      </w:pPr>
      <w:r w:rsidRPr="002E1B4B">
        <w:t>Descripción del Acuerdo</w:t>
      </w:r>
    </w:p>
    <w:p w14:paraId="743F590B" w14:textId="77777777" w:rsidR="003D5DB4" w:rsidRPr="002E1B4B" w:rsidRDefault="003D5DB4" w:rsidP="000A5389">
      <w:pPr>
        <w:spacing w:line="240" w:lineRule="auto"/>
      </w:pPr>
      <w:r w:rsidRPr="002E1B4B">
        <w:t>Número del Acuerdo de concesión:  CONTRATO DE CONCESION BAJO EL ESQUEMA DE APP No 001 DE 2021</w:t>
      </w:r>
    </w:p>
    <w:p w14:paraId="69F95DEE" w14:textId="77777777" w:rsidR="002E1B4B" w:rsidRDefault="002E1B4B" w:rsidP="000A5389">
      <w:pPr>
        <w:spacing w:line="240" w:lineRule="auto"/>
      </w:pPr>
    </w:p>
    <w:p w14:paraId="3D47F488" w14:textId="4E889CEF" w:rsidR="003D5DB4" w:rsidRPr="002E1B4B" w:rsidRDefault="003D5DB4" w:rsidP="000A5389">
      <w:pPr>
        <w:spacing w:line="240" w:lineRule="auto"/>
      </w:pPr>
      <w:r w:rsidRPr="002E1B4B">
        <w:t>Objeto / Descripción: Financiación, elaboración de estudios y diseños definitivos, gestión ambiental, gestión predial, gestión social, construcción, rehabilitación, operación y mantenimiento de proyecto Nueva Malla Vial del Valle del Cauca.</w:t>
      </w:r>
    </w:p>
    <w:p w14:paraId="0C7CD0DD" w14:textId="77777777" w:rsidR="003D5DB4" w:rsidRPr="002E1B4B" w:rsidRDefault="003D5DB4" w:rsidP="000A5389">
      <w:pPr>
        <w:spacing w:line="240" w:lineRule="auto"/>
      </w:pPr>
      <w:r w:rsidRPr="002E1B4B">
        <w:t>Valor inicial:</w:t>
      </w:r>
      <w:r w:rsidRPr="002E1B4B">
        <w:tab/>
        <w:t>$3.000.590.680.619 de diciembre de 2018</w:t>
      </w:r>
    </w:p>
    <w:p w14:paraId="2B655E64" w14:textId="77777777" w:rsidR="003D5DB4" w:rsidRPr="002E1B4B" w:rsidRDefault="003D5DB4" w:rsidP="000A5389">
      <w:pPr>
        <w:spacing w:line="240" w:lineRule="auto"/>
      </w:pPr>
      <w:r w:rsidRPr="002E1B4B">
        <w:t>Fecha de inicio: 1 de septiembre de 2021</w:t>
      </w:r>
    </w:p>
    <w:p w14:paraId="6AE2ED54" w14:textId="77777777" w:rsidR="003D5DB4" w:rsidRPr="002E1B4B" w:rsidRDefault="003D5DB4" w:rsidP="000A5389">
      <w:pPr>
        <w:spacing w:line="240" w:lineRule="auto"/>
      </w:pPr>
      <w:r w:rsidRPr="002E1B4B">
        <w:t>Fecha de finalización estimada: diciembre de 2043</w:t>
      </w:r>
    </w:p>
    <w:p w14:paraId="1EB7A8E7" w14:textId="77777777" w:rsidR="003D5DB4" w:rsidRPr="002E1B4B" w:rsidRDefault="003D5DB4" w:rsidP="000A5389">
      <w:pPr>
        <w:spacing w:line="240" w:lineRule="auto"/>
      </w:pPr>
      <w:r w:rsidRPr="002E1B4B">
        <w:t>Tipo ID: NIT</w:t>
      </w:r>
    </w:p>
    <w:p w14:paraId="06D7634A" w14:textId="77777777" w:rsidR="003D5DB4" w:rsidRPr="002E1B4B" w:rsidRDefault="003D5DB4" w:rsidP="000A5389">
      <w:pPr>
        <w:spacing w:line="240" w:lineRule="auto"/>
      </w:pPr>
      <w:r w:rsidRPr="002E1B4B">
        <w:t>Número ID: 901.489.697</w:t>
      </w:r>
    </w:p>
    <w:p w14:paraId="1008B84C" w14:textId="77777777" w:rsidR="003D5DB4" w:rsidRPr="002E1B4B" w:rsidRDefault="003D5DB4" w:rsidP="000A5389">
      <w:pPr>
        <w:spacing w:line="240" w:lineRule="auto"/>
      </w:pPr>
      <w:r w:rsidRPr="002E1B4B">
        <w:t>Razón social del concesionario:</w:t>
      </w:r>
      <w:r w:rsidRPr="002E1B4B">
        <w:tab/>
        <w:t>CONCESIONARIA RUTAS DEL VALLE S.A.S.</w:t>
      </w:r>
    </w:p>
    <w:p w14:paraId="3992E7BE" w14:textId="77777777" w:rsidR="003D5DB4" w:rsidRPr="002E1B4B" w:rsidRDefault="003D5DB4" w:rsidP="000A5389">
      <w:pPr>
        <w:spacing w:line="240" w:lineRule="auto"/>
      </w:pPr>
      <w:r w:rsidRPr="002E1B4B">
        <w:t>Nombre del proyecto: Nueva Malla Vial del Valle del Cauca - Corredor Accesos Cali y Palmira</w:t>
      </w:r>
    </w:p>
    <w:p w14:paraId="53D13D56" w14:textId="77777777" w:rsidR="003D5DB4" w:rsidRPr="002E1B4B" w:rsidRDefault="003D5DB4" w:rsidP="000A5389">
      <w:pPr>
        <w:spacing w:line="240" w:lineRule="auto"/>
      </w:pPr>
    </w:p>
    <w:p w14:paraId="1D2AF9DD" w14:textId="77777777" w:rsidR="003D5DB4" w:rsidRDefault="003D5DB4" w:rsidP="000A5389">
      <w:pPr>
        <w:spacing w:line="240" w:lineRule="auto"/>
      </w:pPr>
      <w:r w:rsidRPr="002E1B4B">
        <w:t>Términos significativos del Acuerdo que puedan afectar su valor, el calendario y la certeza de los flujos de efectivo futuros</w:t>
      </w:r>
    </w:p>
    <w:p w14:paraId="631939BE" w14:textId="77777777" w:rsidR="002E1B4B" w:rsidRPr="002E1B4B" w:rsidRDefault="002E1B4B" w:rsidP="000A5389">
      <w:pPr>
        <w:spacing w:line="240" w:lineRule="auto"/>
      </w:pPr>
    </w:p>
    <w:p w14:paraId="14C06329" w14:textId="77777777" w:rsidR="003D5DB4" w:rsidRPr="002E1B4B" w:rsidRDefault="003D5DB4" w:rsidP="000A5389">
      <w:pPr>
        <w:spacing w:line="240" w:lineRule="auto"/>
      </w:pPr>
      <w:r w:rsidRPr="002E1B4B">
        <w:t>Términos de valor: El valor del contrato se fijó en $3.000.590.680.619 de diciembre de 2018. El valor del VPIP asciende a $2.401.086.577.068 de diciembre de 2018. Fijación de tarifas: Resolución No. 20213040003685 del 29 de enero de 2021</w:t>
      </w:r>
    </w:p>
    <w:p w14:paraId="13F41048" w14:textId="77777777" w:rsidR="002E1B4B" w:rsidRDefault="002E1B4B" w:rsidP="000A5389">
      <w:pPr>
        <w:spacing w:line="240" w:lineRule="auto"/>
      </w:pPr>
    </w:p>
    <w:p w14:paraId="33A8E780" w14:textId="59C92096" w:rsidR="003D5DB4" w:rsidRPr="002E1B4B" w:rsidRDefault="003D5DB4" w:rsidP="000A5389">
      <w:pPr>
        <w:spacing w:line="240" w:lineRule="auto"/>
      </w:pPr>
      <w:r w:rsidRPr="002E1B4B">
        <w:t>Términos de calendario: El plazo del contrato se determinó en 29 años. Fecha de revisión de tarifas: serán actualizadas cada 16 de enero.</w:t>
      </w:r>
    </w:p>
    <w:p w14:paraId="3CC56DD4" w14:textId="77777777" w:rsidR="002E1B4B" w:rsidRDefault="002E1B4B" w:rsidP="000A5389">
      <w:pPr>
        <w:spacing w:line="240" w:lineRule="auto"/>
      </w:pPr>
    </w:p>
    <w:p w14:paraId="71C5D78A" w14:textId="15216251" w:rsidR="003D5DB4" w:rsidRPr="002E1B4B" w:rsidRDefault="003D5DB4" w:rsidP="000A5389">
      <w:pPr>
        <w:spacing w:line="240" w:lineRule="auto"/>
      </w:pPr>
      <w:r w:rsidRPr="002E1B4B">
        <w:t>Términos de certeza de flujos de efectivo futuros:</w:t>
      </w:r>
      <w:r w:rsidRPr="002E1B4B">
        <w:tab/>
        <w:t>Durante toda la duración del proyecto se retribuye la UF 0, una vez finalizadas y recibidas las UF se retribuyen de acuerdo con la participación.</w:t>
      </w:r>
    </w:p>
    <w:p w14:paraId="6746C7BA" w14:textId="77777777" w:rsidR="002E1B4B" w:rsidRDefault="002E1B4B" w:rsidP="000A5389">
      <w:pPr>
        <w:spacing w:line="240" w:lineRule="auto"/>
      </w:pPr>
    </w:p>
    <w:p w14:paraId="4DEAB242" w14:textId="7D1344E4" w:rsidR="003D5DB4" w:rsidRPr="002E1B4B" w:rsidRDefault="003D5DB4" w:rsidP="000A5389">
      <w:pPr>
        <w:spacing w:line="240" w:lineRule="auto"/>
      </w:pPr>
      <w:r w:rsidRPr="002E1B4B">
        <w:lastRenderedPageBreak/>
        <w:t>Naturaleza y alcance del derecho a utilizar Activos y los aspectos pactados en torno a lo que se espera que el concesionario proporcione en relación con el Acuerdo de concesión</w:t>
      </w:r>
    </w:p>
    <w:p w14:paraId="33BA9DD6" w14:textId="77777777" w:rsidR="002E1B4B" w:rsidRDefault="002E1B4B" w:rsidP="000A5389">
      <w:pPr>
        <w:spacing w:line="240" w:lineRule="auto"/>
      </w:pPr>
    </w:p>
    <w:p w14:paraId="3FC561D2" w14:textId="03C83C36" w:rsidR="003D5DB4" w:rsidRPr="002E1B4B" w:rsidRDefault="003D5DB4" w:rsidP="000A5389">
      <w:pPr>
        <w:spacing w:line="240" w:lineRule="auto"/>
      </w:pPr>
      <w:r w:rsidRPr="002E1B4B">
        <w:t>Naturaleza y alcance del derecho de uso de los Activos</w:t>
      </w:r>
    </w:p>
    <w:p w14:paraId="568FEE28" w14:textId="77777777" w:rsidR="002E1B4B" w:rsidRDefault="002E1B4B" w:rsidP="000A5389">
      <w:pPr>
        <w:spacing w:line="240" w:lineRule="auto"/>
      </w:pPr>
    </w:p>
    <w:p w14:paraId="124698F2" w14:textId="21690FCD" w:rsidR="003D5DB4" w:rsidRPr="002E1B4B" w:rsidRDefault="003D5DB4" w:rsidP="000A5389">
      <w:pPr>
        <w:spacing w:line="240" w:lineRule="auto"/>
      </w:pPr>
      <w:r w:rsidRPr="002E1B4B">
        <w:t xml:space="preserve">Descripción: Sección 3.3 – Contrato de Concesión - parte general: se cederá al concesionario el derecho de recaudo sobre la operación de las Estaciones de Peaje (el “derecho de recaudo”) en la misma fecha de entrega de la infraestructura, salvo por las excepciones en la Parte Especial. </w:t>
      </w:r>
    </w:p>
    <w:p w14:paraId="2C8B20E1" w14:textId="77777777" w:rsidR="002E1B4B" w:rsidRDefault="002E1B4B" w:rsidP="000A5389">
      <w:pPr>
        <w:spacing w:line="240" w:lineRule="auto"/>
      </w:pPr>
    </w:p>
    <w:p w14:paraId="396645B8" w14:textId="1945F9C1" w:rsidR="003D5DB4" w:rsidRPr="002E1B4B" w:rsidRDefault="003D5DB4" w:rsidP="000A5389">
      <w:pPr>
        <w:spacing w:line="240" w:lineRule="auto"/>
      </w:pPr>
      <w:r w:rsidRPr="002E1B4B">
        <w:t>Observaciones:</w:t>
      </w:r>
      <w:r w:rsidRPr="002E1B4B">
        <w:tab/>
        <w:t>No se tienen observaciones</w:t>
      </w:r>
    </w:p>
    <w:p w14:paraId="238D7A77" w14:textId="77777777" w:rsidR="003D5DB4" w:rsidRPr="002E1B4B" w:rsidRDefault="003D5DB4" w:rsidP="000A5389">
      <w:pPr>
        <w:spacing w:line="240" w:lineRule="auto"/>
      </w:pPr>
      <w:r w:rsidRPr="002E1B4B">
        <w:t>Retribución al concesionario</w:t>
      </w:r>
    </w:p>
    <w:p w14:paraId="059FD9D0" w14:textId="77777777" w:rsidR="003D5DB4" w:rsidRPr="002E1B4B" w:rsidRDefault="003D5DB4" w:rsidP="000A5389">
      <w:pPr>
        <w:spacing w:line="240" w:lineRule="auto"/>
      </w:pPr>
      <w:r w:rsidRPr="002E1B4B">
        <w:t>Descripción: El valor del VPIP corresponde a $2.401.086.577.068 de diciembre de 2018.</w:t>
      </w:r>
    </w:p>
    <w:p w14:paraId="6073A4FA" w14:textId="77777777" w:rsidR="003D5DB4" w:rsidRPr="002E1B4B" w:rsidRDefault="003D5DB4" w:rsidP="000A5389">
      <w:pPr>
        <w:spacing w:line="240" w:lineRule="auto"/>
      </w:pPr>
      <w:r w:rsidRPr="002E1B4B">
        <w:t>Tasa de retribución:</w:t>
      </w:r>
      <w:r w:rsidRPr="002E1B4B">
        <w:tab/>
        <w:t>Tasa de Descuento Real (TDI): 0.5722</w:t>
      </w:r>
    </w:p>
    <w:p w14:paraId="4F8CEF4C" w14:textId="77777777" w:rsidR="003D5DB4" w:rsidRPr="002E1B4B" w:rsidRDefault="003D5DB4" w:rsidP="000A5389">
      <w:pPr>
        <w:spacing w:line="240" w:lineRule="auto"/>
      </w:pPr>
    </w:p>
    <w:p w14:paraId="6CC526B3" w14:textId="77777777" w:rsidR="003D5DB4" w:rsidRPr="002E1B4B" w:rsidRDefault="003D5DB4" w:rsidP="000A5389">
      <w:pPr>
        <w:spacing w:line="240" w:lineRule="auto"/>
      </w:pPr>
      <w:r w:rsidRPr="002E1B4B">
        <w:t>Derechos a recibir Activos especificados al final del acuerdo de concesión</w:t>
      </w:r>
    </w:p>
    <w:p w14:paraId="626A970A" w14:textId="0652FBE2" w:rsidR="003D5DB4" w:rsidRDefault="003D5DB4" w:rsidP="000A5389">
      <w:pPr>
        <w:spacing w:line="240" w:lineRule="auto"/>
      </w:pPr>
      <w:r w:rsidRPr="002E1B4B">
        <w:t xml:space="preserve">Descripción: La ANI se hará propietario de las obras que conforman el proyecto al momento de su ejecución, incluyendo las estaciones de peaje, de pesaje y la totalidad de bienes muebles o inmuebles por destinación o adhesión que se encuentren en las mismas. </w:t>
      </w:r>
    </w:p>
    <w:p w14:paraId="72000880" w14:textId="77777777" w:rsidR="002E1B4B" w:rsidRPr="002E1B4B" w:rsidRDefault="002E1B4B" w:rsidP="000A5389">
      <w:pPr>
        <w:spacing w:line="240" w:lineRule="auto"/>
      </w:pPr>
    </w:p>
    <w:p w14:paraId="2E3137C5" w14:textId="77777777" w:rsidR="003D5DB4" w:rsidRPr="002E1B4B" w:rsidRDefault="003D5DB4" w:rsidP="000A5389">
      <w:pPr>
        <w:spacing w:line="240" w:lineRule="auto"/>
      </w:pPr>
      <w:r w:rsidRPr="002E1B4B">
        <w:t>Observaciones:</w:t>
      </w:r>
      <w:r w:rsidRPr="002E1B4B">
        <w:tab/>
        <w:t>Como parte del alcance del proyecto se tienen obras que serán revertidas anticipadamente a los municipios aledaños.</w:t>
      </w:r>
    </w:p>
    <w:p w14:paraId="313551F1" w14:textId="77777777" w:rsidR="003D5DB4" w:rsidRPr="002E1B4B" w:rsidRDefault="003D5DB4" w:rsidP="000A5389">
      <w:pPr>
        <w:spacing w:line="240" w:lineRule="auto"/>
      </w:pPr>
    </w:p>
    <w:p w14:paraId="65954811" w14:textId="77777777" w:rsidR="003D5DB4" w:rsidRPr="002E1B4B" w:rsidRDefault="003D5DB4" w:rsidP="000A5389">
      <w:pPr>
        <w:spacing w:line="240" w:lineRule="auto"/>
      </w:pPr>
      <w:r w:rsidRPr="002E1B4B">
        <w:t>Las alternativas de renovación y cese del acuerdo</w:t>
      </w:r>
    </w:p>
    <w:p w14:paraId="2AFA92E3" w14:textId="77777777" w:rsidR="003D5DB4" w:rsidRPr="002E1B4B" w:rsidRDefault="003D5DB4" w:rsidP="000A5389">
      <w:pPr>
        <w:spacing w:line="240" w:lineRule="auto"/>
      </w:pPr>
      <w:r w:rsidRPr="002E1B4B">
        <w:t>Descripción: No Aplica</w:t>
      </w:r>
    </w:p>
    <w:p w14:paraId="69E1D8B7" w14:textId="77777777" w:rsidR="003D5DB4" w:rsidRPr="002E1B4B" w:rsidRDefault="003D5DB4" w:rsidP="000A5389">
      <w:pPr>
        <w:spacing w:line="240" w:lineRule="auto"/>
      </w:pPr>
      <w:r w:rsidRPr="002E1B4B">
        <w:t>Observaciones: Sin Observaciones</w:t>
      </w:r>
    </w:p>
    <w:p w14:paraId="1843E4E9" w14:textId="77777777" w:rsidR="003D5DB4" w:rsidRPr="002E1B4B" w:rsidRDefault="003D5DB4" w:rsidP="000A5389">
      <w:pPr>
        <w:spacing w:line="240" w:lineRule="auto"/>
      </w:pPr>
      <w:r w:rsidRPr="002E1B4B">
        <w:t>Cambios en el acuerdo de concesión que se realicen durante el periodo fiscal</w:t>
      </w:r>
    </w:p>
    <w:p w14:paraId="7FB17EDB" w14:textId="77777777" w:rsidR="003D5DB4" w:rsidRPr="002E1B4B" w:rsidRDefault="003D5DB4" w:rsidP="000A5389">
      <w:pPr>
        <w:spacing w:line="240" w:lineRule="auto"/>
      </w:pPr>
      <w:r w:rsidRPr="002E1B4B">
        <w:t>Adiciones o modificaciones en tiempo</w:t>
      </w:r>
    </w:p>
    <w:p w14:paraId="575C8AF2" w14:textId="77777777" w:rsidR="003D5DB4" w:rsidRPr="002E1B4B" w:rsidRDefault="003D5DB4" w:rsidP="000A5389">
      <w:pPr>
        <w:spacing w:line="240" w:lineRule="auto"/>
      </w:pPr>
      <w:r w:rsidRPr="002E1B4B">
        <w:t>Fechas de las adiciones o modificaciones: N/A</w:t>
      </w:r>
    </w:p>
    <w:p w14:paraId="144B5BA1" w14:textId="77777777" w:rsidR="003D5DB4" w:rsidRPr="002E1B4B" w:rsidRDefault="003D5DB4" w:rsidP="000A5389">
      <w:pPr>
        <w:spacing w:line="240" w:lineRule="auto"/>
      </w:pPr>
      <w:r w:rsidRPr="002E1B4B">
        <w:t>Nueva Fecha de finalización estimada: N/A</w:t>
      </w:r>
    </w:p>
    <w:p w14:paraId="2A06F0AD" w14:textId="77777777" w:rsidR="003D5DB4" w:rsidRPr="002E1B4B" w:rsidRDefault="003D5DB4" w:rsidP="000A5389">
      <w:pPr>
        <w:spacing w:line="240" w:lineRule="auto"/>
      </w:pPr>
      <w:r w:rsidRPr="002E1B4B">
        <w:t>Observaciones: No Aplica</w:t>
      </w:r>
    </w:p>
    <w:p w14:paraId="674BF7BC" w14:textId="77777777" w:rsidR="003D5DB4" w:rsidRPr="002E1B4B" w:rsidRDefault="003D5DB4" w:rsidP="000A5389">
      <w:pPr>
        <w:spacing w:line="240" w:lineRule="auto"/>
      </w:pPr>
      <w:r w:rsidRPr="002E1B4B">
        <w:t>Adiciones o modificaciones en valor</w:t>
      </w:r>
    </w:p>
    <w:p w14:paraId="686BCDCC" w14:textId="77777777" w:rsidR="003D5DB4" w:rsidRPr="002E1B4B" w:rsidRDefault="003D5DB4" w:rsidP="000A5389">
      <w:pPr>
        <w:spacing w:line="240" w:lineRule="auto"/>
      </w:pPr>
      <w:r w:rsidRPr="002E1B4B">
        <w:t>Valor de la adición o modificación: No Aplica</w:t>
      </w:r>
    </w:p>
    <w:p w14:paraId="0AC2F789" w14:textId="77777777" w:rsidR="003D5DB4" w:rsidRPr="002E1B4B" w:rsidRDefault="003D5DB4" w:rsidP="000A5389">
      <w:pPr>
        <w:spacing w:line="240" w:lineRule="auto"/>
      </w:pPr>
      <w:r w:rsidRPr="002E1B4B">
        <w:t>Nuevo valor del acuerdo: No Aplica</w:t>
      </w:r>
    </w:p>
    <w:p w14:paraId="749EEFE0" w14:textId="77777777" w:rsidR="003D5DB4" w:rsidRPr="002E1B4B" w:rsidRDefault="003D5DB4" w:rsidP="000A5389">
      <w:pPr>
        <w:spacing w:line="240" w:lineRule="auto"/>
      </w:pPr>
      <w:r w:rsidRPr="002E1B4B">
        <w:t>Observaciones: No Aplica</w:t>
      </w:r>
    </w:p>
    <w:p w14:paraId="10654B8E" w14:textId="77777777" w:rsidR="003D5DB4" w:rsidRDefault="003D5DB4" w:rsidP="000A5389">
      <w:pPr>
        <w:spacing w:line="240" w:lineRule="auto"/>
      </w:pPr>
    </w:p>
    <w:p w14:paraId="62AB0F37" w14:textId="77777777" w:rsidR="002E1B4B" w:rsidRPr="002E1B4B" w:rsidRDefault="002E1B4B" w:rsidP="000A5389">
      <w:pPr>
        <w:spacing w:line="240" w:lineRule="auto"/>
      </w:pPr>
    </w:p>
    <w:p w14:paraId="19103EB6" w14:textId="31480B70" w:rsidR="003D5DB4" w:rsidRPr="002E1B4B" w:rsidRDefault="003D5DB4" w:rsidP="000A5389">
      <w:pPr>
        <w:spacing w:line="240" w:lineRule="auto"/>
        <w:rPr>
          <w:i/>
          <w:iCs/>
        </w:rPr>
      </w:pPr>
      <w:r w:rsidRPr="002E1B4B">
        <w:rPr>
          <w:i/>
          <w:iCs/>
        </w:rPr>
        <w:t xml:space="preserve">PAMPLONA </w:t>
      </w:r>
      <w:r w:rsidR="002E1B4B">
        <w:rPr>
          <w:i/>
          <w:iCs/>
        </w:rPr>
        <w:t>–</w:t>
      </w:r>
      <w:r w:rsidRPr="002E1B4B">
        <w:rPr>
          <w:i/>
          <w:iCs/>
        </w:rPr>
        <w:t xml:space="preserve"> CUCUTA</w:t>
      </w:r>
    </w:p>
    <w:p w14:paraId="072B65C2" w14:textId="77777777" w:rsidR="002E1B4B" w:rsidRDefault="002E1B4B" w:rsidP="000A5389">
      <w:pPr>
        <w:spacing w:line="240" w:lineRule="auto"/>
      </w:pPr>
    </w:p>
    <w:p w14:paraId="1F428178" w14:textId="57738E6A" w:rsidR="003D5DB4" w:rsidRPr="002E1B4B" w:rsidRDefault="003D5DB4" w:rsidP="000A5389">
      <w:pPr>
        <w:spacing w:line="240" w:lineRule="auto"/>
      </w:pPr>
      <w:r w:rsidRPr="002E1B4B">
        <w:t>Descripción del Acuerdo</w:t>
      </w:r>
    </w:p>
    <w:p w14:paraId="556D98A8" w14:textId="77777777" w:rsidR="003D5DB4" w:rsidRPr="002E1B4B" w:rsidRDefault="003D5DB4" w:rsidP="000A5389">
      <w:pPr>
        <w:spacing w:line="240" w:lineRule="auto"/>
      </w:pPr>
      <w:r w:rsidRPr="002E1B4B">
        <w:t>Número del Acuerdo de concesión:  002 DEL 02 JUNIO 2017</w:t>
      </w:r>
    </w:p>
    <w:p w14:paraId="68864A7B" w14:textId="77777777" w:rsidR="003D5DB4" w:rsidRPr="002E1B4B" w:rsidRDefault="003D5DB4" w:rsidP="000A5389">
      <w:pPr>
        <w:spacing w:line="240" w:lineRule="auto"/>
      </w:pPr>
      <w:r w:rsidRPr="002E1B4B">
        <w:t xml:space="preserve">Objeto / Descripción: “Otorgamiento de una concesión para que, de conformidad con lo previsto en este Contrato, el Concesionario, por su cuenta y riesgo, lleve a cabo el Proyecto que consiste en los estudios y diseños definitivos, financiación, gestión ambiental, predial y </w:t>
      </w:r>
      <w:r w:rsidRPr="002E1B4B">
        <w:lastRenderedPageBreak/>
        <w:t xml:space="preserve">social, construcción, mejoramiento, rehabilitación, operación, mantenimiento y reversión del corredor Pamplona-Cúcuta, de acuerdo con el Apéndice Técnico 1 y demás Apéndices del Contrato”. </w:t>
      </w:r>
    </w:p>
    <w:p w14:paraId="6D2E3CED" w14:textId="77777777" w:rsidR="002E1B4B" w:rsidRDefault="002E1B4B" w:rsidP="000A5389">
      <w:pPr>
        <w:spacing w:line="240" w:lineRule="auto"/>
      </w:pPr>
    </w:p>
    <w:p w14:paraId="02E44EA4" w14:textId="33EB83DB" w:rsidR="003D5DB4" w:rsidRPr="002E1B4B" w:rsidRDefault="003D5DB4" w:rsidP="000A5389">
      <w:pPr>
        <w:spacing w:line="240" w:lineRule="auto"/>
      </w:pPr>
      <w:r w:rsidRPr="002E1B4B">
        <w:t>Valor inicial:</w:t>
      </w:r>
      <w:r w:rsidRPr="002E1B4B">
        <w:tab/>
        <w:t xml:space="preserve">Dos billones setenta y dos mil trescientos veinte millones de pesos del mes de referencia ($2.072´320.000.000). </w:t>
      </w:r>
    </w:p>
    <w:p w14:paraId="0BA9AA05" w14:textId="77777777" w:rsidR="003D5DB4" w:rsidRPr="002E1B4B" w:rsidRDefault="003D5DB4" w:rsidP="000A5389">
      <w:pPr>
        <w:spacing w:line="240" w:lineRule="auto"/>
      </w:pPr>
      <w:r w:rsidRPr="002E1B4B">
        <w:t>Fecha de inicio:</w:t>
      </w:r>
      <w:r w:rsidRPr="002E1B4B">
        <w:tab/>
        <w:t xml:space="preserve"> 31 de julio de 2017 </w:t>
      </w:r>
    </w:p>
    <w:p w14:paraId="06EC3D64" w14:textId="77777777" w:rsidR="003D5DB4" w:rsidRPr="002E1B4B" w:rsidRDefault="003D5DB4" w:rsidP="000A5389">
      <w:pPr>
        <w:spacing w:line="240" w:lineRule="auto"/>
      </w:pPr>
      <w:r w:rsidRPr="002E1B4B">
        <w:t>Fecha de finalización estimada:</w:t>
      </w:r>
      <w:r w:rsidRPr="002E1B4B">
        <w:tab/>
        <w:t xml:space="preserve"> 30 de julio de 2042 </w:t>
      </w:r>
    </w:p>
    <w:p w14:paraId="2FFBD8F2" w14:textId="77777777" w:rsidR="003D5DB4" w:rsidRPr="002E1B4B" w:rsidRDefault="003D5DB4" w:rsidP="000A5389">
      <w:pPr>
        <w:spacing w:line="240" w:lineRule="auto"/>
      </w:pPr>
      <w:r w:rsidRPr="002E1B4B">
        <w:t>Tipo ID:</w:t>
      </w:r>
      <w:r w:rsidRPr="002E1B4B">
        <w:tab/>
        <w:t>NIT</w:t>
      </w:r>
    </w:p>
    <w:p w14:paraId="6BBE8C43" w14:textId="77777777" w:rsidR="003D5DB4" w:rsidRPr="002E1B4B" w:rsidRDefault="003D5DB4" w:rsidP="000A5389">
      <w:pPr>
        <w:spacing w:line="240" w:lineRule="auto"/>
      </w:pPr>
      <w:r w:rsidRPr="002E1B4B">
        <w:t>Número ID: 901.082.545-1</w:t>
      </w:r>
    </w:p>
    <w:p w14:paraId="0817E32D" w14:textId="77777777" w:rsidR="003D5DB4" w:rsidRPr="002E1B4B" w:rsidRDefault="003D5DB4" w:rsidP="000A5389">
      <w:pPr>
        <w:spacing w:line="240" w:lineRule="auto"/>
      </w:pPr>
      <w:r w:rsidRPr="002E1B4B">
        <w:t>Razón social del concesionario: UNIÓN VIAL RÍO PAMPLONITA S.A.</w:t>
      </w:r>
    </w:p>
    <w:p w14:paraId="1772DA24" w14:textId="77777777" w:rsidR="003D5DB4" w:rsidRPr="002E1B4B" w:rsidRDefault="003D5DB4" w:rsidP="000A5389">
      <w:pPr>
        <w:spacing w:line="240" w:lineRule="auto"/>
      </w:pPr>
      <w:r w:rsidRPr="002E1B4B">
        <w:t>Nombre del proyecto: PAMPLONA - CUCUTA</w:t>
      </w:r>
    </w:p>
    <w:p w14:paraId="2C2751AC" w14:textId="77777777" w:rsidR="003D5DB4" w:rsidRPr="002E1B4B" w:rsidRDefault="003D5DB4" w:rsidP="000A5389">
      <w:pPr>
        <w:spacing w:line="240" w:lineRule="auto"/>
      </w:pPr>
    </w:p>
    <w:p w14:paraId="7B750EF8" w14:textId="77777777" w:rsidR="003D5DB4" w:rsidRPr="002E1B4B" w:rsidRDefault="003D5DB4" w:rsidP="000A5389">
      <w:pPr>
        <w:spacing w:line="240" w:lineRule="auto"/>
      </w:pPr>
      <w:r w:rsidRPr="002E1B4B">
        <w:t>Términos significativos del Acuerdo que puedan afectar su valor, el calendario y la certeza de los flujos de efectivo futuros</w:t>
      </w:r>
    </w:p>
    <w:p w14:paraId="4C31CB04" w14:textId="77777777" w:rsidR="002E1B4B" w:rsidRDefault="002E1B4B" w:rsidP="000A5389">
      <w:pPr>
        <w:spacing w:line="240" w:lineRule="auto"/>
      </w:pPr>
    </w:p>
    <w:p w14:paraId="54CC37FA" w14:textId="21E43E2B" w:rsidR="003D5DB4" w:rsidRPr="002E1B4B" w:rsidRDefault="003D5DB4" w:rsidP="000A5389">
      <w:pPr>
        <w:spacing w:line="240" w:lineRule="auto"/>
      </w:pPr>
      <w:r w:rsidRPr="002E1B4B">
        <w:t xml:space="preserve">Términos de valor: En las cláusulas contractuales están definidos las variables que determinan el modelo para expresar el calendario del proyecto. El apéndice financiero contractual está planteado en períodos anuales para la duración del proyecto donde se definió el riegue de los recursos previstos para la aplicación del capex, opex y mantenimiento de manera anual. La cláusula 3.8 de la Parte Especial determina los plazos de las Fases de la Etapa Preoperativa antes del inicio de la fase de construcción y se definió entre las partes el plan de obras detallado sobre el cual se realizó el control y seguimiento de esa Etapa. Se convino en el contrato el período de la fase de construcción desde agosto/2018 a jul/2022 y a dic/2024 en el cual se adelantó el 100,00% de la fase de construcción. La actualización de tarifas se realiza de manera anual cada 16 de enero. En el caso del peaje los acacios no se realizó el aumento previsto el 16/01/2023 debido al decreto 050 de 2023 del ministerio de transporte que suspendió dicho incremento en los peajes a nivel nacional y en agosto de 2024 se ordenó vía decreto un ajuste del 50% de la tarifa que se venía dejando de cobrar, lo que se concluyó en marzo de 2025. Los aportes de la nación en la modalidad de vigencias futuras se realizan de manera anual y hasta dic/2025 se han realizado cabalmente los aportes de las vigencias 2020 a 2024 y en dic/2025 no se giró el aporte de vigencias futuras previsto para 2024. La retribución al concesionario por unidad funcional relacionada con los aportes de la nación se ha realizado a partir de la terminación de cada UF y en función del recibo efectivo de tales aportes; los pagos efectivos en lo relativo a aportes ANI de vigencias futuras se iniciaron desde feb/2021; los pagos efectivos de la retribución por unidad funcional relacionada con el recaudo de peaje se realizan de manera mensual desde octubre de 2022. El calendario de los aportes de equity y los compromisos de fondeo a las diferentes subcuentas del patrimonio autónomo que debe hacer el concesionario están definidos en el contrato en la parte especial y a dic/2025, ambos (equity y fondeos) se han cumplido a cabalidad. En cuanto al riesgo comercial previsto en el contrato, con corte a julio de 2025 se definió la diferencia de recaudo DR8 que ANI debía reconocerle al concesionario y la entidad contratante realizó el pago correspondiente al Concesionario según lo acordado en el otrosí 6 </w:t>
      </w:r>
    </w:p>
    <w:p w14:paraId="79F88DEC" w14:textId="77777777" w:rsidR="002E1B4B" w:rsidRDefault="002E1B4B" w:rsidP="000A5389">
      <w:pPr>
        <w:spacing w:line="240" w:lineRule="auto"/>
      </w:pPr>
    </w:p>
    <w:p w14:paraId="398C63A3" w14:textId="2D4638AA" w:rsidR="003D5DB4" w:rsidRPr="002E1B4B" w:rsidRDefault="003D5DB4" w:rsidP="000A5389">
      <w:pPr>
        <w:spacing w:line="240" w:lineRule="auto"/>
      </w:pPr>
      <w:r w:rsidRPr="002E1B4B">
        <w:t xml:space="preserve">Términos de calendario: Está definida por el recaudo de las estaciones de Peaje y este flujo está compuesto por dos factores: a) por el valor de las tarifas; y b) por el tráfico de vehículos. La Concesión contempla dos (2) estaciones de Peaje, a saber:  Peaje Acacios en la Unidad Funcional 2, Peaje Pamplonita en la Unidad Funcional 6.  De acuerdo con el Contrato de Concesión las tarifas serán actualizadas el dieciséis (16) de enero de cada año bajo la siguiente fórmula: </w:t>
      </w:r>
    </w:p>
    <w:p w14:paraId="59D73AAE" w14:textId="77777777" w:rsidR="003D5DB4" w:rsidRPr="002E1B4B" w:rsidRDefault="003D5DB4" w:rsidP="000A5389">
      <w:pPr>
        <w:spacing w:line="240" w:lineRule="auto"/>
      </w:pPr>
      <w:r w:rsidRPr="002E1B4B">
        <w:rPr>
          <w:noProof/>
        </w:rPr>
        <w:drawing>
          <wp:inline distT="0" distB="0" distL="0" distR="0" wp14:anchorId="6E9B740F" wp14:editId="5CC05A49">
            <wp:extent cx="2009775" cy="285750"/>
            <wp:effectExtent l="0" t="0" r="9525" b="0"/>
            <wp:docPr id="243375224"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009775" cy="285750"/>
                    </a:xfrm>
                    <a:prstGeom prst="rect">
                      <a:avLst/>
                    </a:prstGeom>
                    <a:noFill/>
                    <a:ln>
                      <a:noFill/>
                    </a:ln>
                  </pic:spPr>
                </pic:pic>
              </a:graphicData>
            </a:graphic>
          </wp:inline>
        </w:drawing>
      </w:r>
    </w:p>
    <w:p w14:paraId="30F31694" w14:textId="77777777" w:rsidR="003D5DB4" w:rsidRPr="002E1B4B" w:rsidRDefault="003D5DB4" w:rsidP="000A5389">
      <w:pPr>
        <w:spacing w:line="240" w:lineRule="auto"/>
      </w:pPr>
      <w:r w:rsidRPr="002E1B4B">
        <w:t xml:space="preserve">Donde: </w:t>
      </w:r>
    </w:p>
    <w:p w14:paraId="78B5FEC8" w14:textId="77777777" w:rsidR="003D5DB4" w:rsidRPr="002E1B4B" w:rsidRDefault="003D5DB4" w:rsidP="000A5389">
      <w:pPr>
        <w:spacing w:line="240" w:lineRule="auto"/>
      </w:pPr>
      <w:r w:rsidRPr="002E1B4B">
        <w:rPr>
          <w:noProof/>
        </w:rPr>
        <w:drawing>
          <wp:inline distT="0" distB="0" distL="0" distR="0" wp14:anchorId="5A547FA7" wp14:editId="76B22166">
            <wp:extent cx="3390900" cy="657225"/>
            <wp:effectExtent l="0" t="0" r="0" b="9525"/>
            <wp:docPr id="645949573"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390900" cy="657225"/>
                    </a:xfrm>
                    <a:prstGeom prst="rect">
                      <a:avLst/>
                    </a:prstGeom>
                    <a:noFill/>
                    <a:ln>
                      <a:noFill/>
                    </a:ln>
                  </pic:spPr>
                </pic:pic>
              </a:graphicData>
            </a:graphic>
          </wp:inline>
        </w:drawing>
      </w:r>
    </w:p>
    <w:p w14:paraId="1FFE7074" w14:textId="77777777" w:rsidR="002E1B4B" w:rsidRDefault="002E1B4B" w:rsidP="000A5389">
      <w:pPr>
        <w:spacing w:line="240" w:lineRule="auto"/>
      </w:pPr>
    </w:p>
    <w:p w14:paraId="78FC48BF" w14:textId="4F699177" w:rsidR="003D5DB4" w:rsidRPr="002E1B4B" w:rsidRDefault="003D5DB4" w:rsidP="000A5389">
      <w:pPr>
        <w:spacing w:line="240" w:lineRule="auto"/>
      </w:pPr>
      <w:r w:rsidRPr="002E1B4B">
        <w:t xml:space="preserve"> A diciembre de 2025, de las dos casetas de peaje, se encuentran recaudando la tarifa respectiva. Las tarifas de peaje las regula la Resolución No. 000586 de 2017 y la Resolución 20233040049045 del 14/11/2023. </w:t>
      </w:r>
    </w:p>
    <w:p w14:paraId="74C2A344" w14:textId="77777777" w:rsidR="002E1B4B" w:rsidRDefault="002E1B4B" w:rsidP="000A5389">
      <w:pPr>
        <w:spacing w:line="240" w:lineRule="auto"/>
      </w:pPr>
    </w:p>
    <w:p w14:paraId="017FBE9A" w14:textId="7F2CCD08" w:rsidR="003D5DB4" w:rsidRDefault="003D5DB4" w:rsidP="000A5389">
      <w:pPr>
        <w:spacing w:line="240" w:lineRule="auto"/>
      </w:pPr>
      <w:r w:rsidRPr="002E1B4B">
        <w:t xml:space="preserve">Términos de certeza de flujos de efectivo futuros:  Variables que puedan afectar el flujo de efectivo. Variaciones en la demanda por cambios en el volumen de usuarios o en la utilización de la vía que son a riesgo de la nación; fluctuaciones en las tarifas por políticas del gobierno, decisiones regulatorias, o indexación a variables económicas; el gobierno decidió congelar en 2023 las tarifas, lo que implicó que se le reconoció al concesionario la diferencia dejada de percibir (En el caso del peaje Los Acacios), además, en el caso del peaje Pamplonita por presión de la comunidad, el cobro del peaje solo se pudo realizar a partir del 15/11/2023 (casi seis meses luego de la fecha prevista) ya que se adoptaron medidas para ampliar la cobertura de tarifas diferenciales (para el peaje Pamplonita Resolución 20233040049045 del 14/11/2023) en beneficio de los habitantes de la zona en el área del proyecto, lo que implicó la modificación de la resolución del peaje. Costos operativos variables que son a riesgo del concesionario. Cambios regulatorios. Variables macroeconómicas (inflación, las tasas de interés, trm, etc.) que son a riesgo del concesionario. Condiciones del mercado como la entrada de nuevos competidores o la aparición de tecnologías disruptivas, pueden influir en la demanda y en la estructura de costos. Riesgos de construcción y preoperativos, retrasos en la construcción, costos adicionales no previstos, o problemas en la obtención de permisos pueden afectar el flujo de efectivo, lo que ha tenido que impactar de manera significativa al concesionario por la demora en la culminación de la fase de construcción. Incumplimientos contractuales y sanciones. Cuestiones ambientales y sociales locales pueden generar retrasos, costos adicionales o restricciones operativas. Eventos de Fuerza Mayor. Se tiene registro de la pandemia del COVID que generó la obligación de parte de la nación de sufragar costos ociosos. </w:t>
      </w:r>
    </w:p>
    <w:p w14:paraId="5C306BB4" w14:textId="77777777" w:rsidR="002E1B4B" w:rsidRPr="002E1B4B" w:rsidRDefault="002E1B4B" w:rsidP="000A5389">
      <w:pPr>
        <w:spacing w:line="240" w:lineRule="auto"/>
      </w:pPr>
    </w:p>
    <w:p w14:paraId="1CBFCD20" w14:textId="77777777" w:rsidR="003D5DB4" w:rsidRPr="002E1B4B" w:rsidRDefault="003D5DB4" w:rsidP="000A5389">
      <w:pPr>
        <w:spacing w:line="240" w:lineRule="auto"/>
      </w:pPr>
      <w:r w:rsidRPr="002E1B4B">
        <w:t>Naturaleza y alcance del derecho a utilizar Activos y los aspectos pactados en torno a lo que se espera que el concesionario proporcione en relación con el Acuerdo de concesión</w:t>
      </w:r>
    </w:p>
    <w:p w14:paraId="0CAF1F08" w14:textId="77777777" w:rsidR="002E1B4B" w:rsidRDefault="002E1B4B" w:rsidP="000A5389">
      <w:pPr>
        <w:spacing w:line="240" w:lineRule="auto"/>
      </w:pPr>
    </w:p>
    <w:p w14:paraId="052CFA6E" w14:textId="2DCC2B8A" w:rsidR="003D5DB4" w:rsidRPr="002E1B4B" w:rsidRDefault="003D5DB4" w:rsidP="000A5389">
      <w:pPr>
        <w:spacing w:line="240" w:lineRule="auto"/>
      </w:pPr>
      <w:r w:rsidRPr="002E1B4B">
        <w:lastRenderedPageBreak/>
        <w:t>Naturaleza y alcance del derecho de uso de los Activos</w:t>
      </w:r>
    </w:p>
    <w:p w14:paraId="62BF22F7" w14:textId="77777777" w:rsidR="002E1B4B" w:rsidRDefault="002E1B4B" w:rsidP="000A5389">
      <w:pPr>
        <w:spacing w:line="240" w:lineRule="auto"/>
      </w:pPr>
    </w:p>
    <w:p w14:paraId="690821DE" w14:textId="77777777" w:rsidR="002E1B4B" w:rsidRDefault="003D5DB4" w:rsidP="000A5389">
      <w:pPr>
        <w:spacing w:line="240" w:lineRule="auto"/>
      </w:pPr>
      <w:r w:rsidRPr="002E1B4B">
        <w:t xml:space="preserve">Descripción: Los derechos cedidos al concesionario incluyen el uso, operación, y mantenimiento de los activos de la concesión, esto abarca la gestión de la infraestructura, la recaudación de tarifas y la realización de las mejoras necesarias. Estos derechos están condicionados al cumplimiento de las normativas y estándares establecidos en el contrato. </w:t>
      </w:r>
    </w:p>
    <w:p w14:paraId="1FC404F5" w14:textId="77777777" w:rsidR="00AC2C3E" w:rsidRDefault="00AC2C3E" w:rsidP="000A5389">
      <w:pPr>
        <w:spacing w:line="240" w:lineRule="auto"/>
      </w:pPr>
    </w:p>
    <w:p w14:paraId="298FF69C" w14:textId="59AD50F8" w:rsidR="003D5DB4" w:rsidRDefault="003D5DB4" w:rsidP="000A5389">
      <w:pPr>
        <w:spacing w:line="240" w:lineRule="auto"/>
      </w:pPr>
      <w:r w:rsidRPr="002E1B4B">
        <w:t xml:space="preserve">La concesión otorga al concesionario la autorización para llevar a cabo estas actividades durante un periodo definido, con el objetivo de recuperar la inversión realizada y obtener una rentabilidad adecuada. Es fundamental que el concesionario adhiera a los términos contractuales, incluyendo las obligaciones de servicio y calidad, para mantener la validez de estos derechos. </w:t>
      </w:r>
    </w:p>
    <w:p w14:paraId="777011EB" w14:textId="77777777" w:rsidR="00AC2C3E" w:rsidRPr="002E1B4B" w:rsidRDefault="00AC2C3E" w:rsidP="000A5389">
      <w:pPr>
        <w:spacing w:line="240" w:lineRule="auto"/>
      </w:pPr>
    </w:p>
    <w:p w14:paraId="12F49A0D" w14:textId="77777777" w:rsidR="003D5DB4" w:rsidRPr="002E1B4B" w:rsidRDefault="003D5DB4" w:rsidP="000A5389">
      <w:pPr>
        <w:spacing w:line="240" w:lineRule="auto"/>
      </w:pPr>
      <w:r w:rsidRPr="002E1B4B">
        <w:t xml:space="preserve">Observaciones: El estado de avance determina la evolución del proceso constructivo. En términos generales a la entrega de la infraestructura y el cumplimiento de los correspondientes niveles de servicio se genera el derecho por parte del concesionario a recibir la retribución. El proyecto se encuentra en fase de operación y mantenimiento. </w:t>
      </w:r>
    </w:p>
    <w:p w14:paraId="4CC6989C" w14:textId="77777777" w:rsidR="003D5DB4" w:rsidRPr="002E1B4B" w:rsidRDefault="003D5DB4" w:rsidP="000A5389">
      <w:pPr>
        <w:spacing w:line="240" w:lineRule="auto"/>
      </w:pPr>
    </w:p>
    <w:p w14:paraId="79D97D7C" w14:textId="77777777" w:rsidR="003D5DB4" w:rsidRDefault="003D5DB4" w:rsidP="000A5389">
      <w:pPr>
        <w:spacing w:line="240" w:lineRule="auto"/>
      </w:pPr>
      <w:r w:rsidRPr="002E1B4B">
        <w:t>Retribución al concesionario</w:t>
      </w:r>
    </w:p>
    <w:p w14:paraId="56722C1D" w14:textId="77777777" w:rsidR="00AC2C3E" w:rsidRPr="002E1B4B" w:rsidRDefault="00AC2C3E" w:rsidP="000A5389">
      <w:pPr>
        <w:spacing w:line="240" w:lineRule="auto"/>
      </w:pPr>
    </w:p>
    <w:p w14:paraId="627C9AF0" w14:textId="77777777" w:rsidR="00AC2C3E" w:rsidRDefault="003D5DB4" w:rsidP="000A5389">
      <w:pPr>
        <w:spacing w:line="240" w:lineRule="auto"/>
      </w:pPr>
      <w:r w:rsidRPr="002E1B4B">
        <w:t xml:space="preserve">Descripción: El Numeral 3.1 "Aspectos Económicos del Contrato" de la Parte General del Contrato de Concesión establece que el derecho a la Retribución por cada Unidad Funcional comienza una vez se suscribe el Acta de Terminación de la respectiva Unidad Funcional. Si se suscribe un Acta de Terminación Parcial, se genera la Compensación Especial. Otros aspectos relacionados, - Fuentes de pago: Los recursos para la Retribución (o Compensación Especial) provienen de: (i) Aportes de la ANI, (ii) Recaudo de peajes, (iii) Ingresos por explotación comercial. - Cálculo y actas: La metodología de cálculo de la Retribución está definida en la Parte Especial del Contrato. El Interventor y el Concesionario calculan la Retribución mensualmente y la registran en el Acta de Cálculo. El Interventor remite el Acta a la ANI y a la Fiduciaria; si la ANI no hace objeciones dentro de 12 días hábiles, la Fiduciaria transfiere el pago. Si posteriormente se hallan errores, se corrigen en la Retribución del siguiente mes, actualizados con el IPC. - Controversias y conciliación: Si no hay acuerdo entre Concesionario e Interventor (y la ANI no apoya la posición del Concesionario), se reconoce la Retribución conforme al cálculo del Interventor, sin perjuicio de que el Concesionario acuda al Amigable Componedor. Mientras se resuelve la controversia, se pagan las sumas no discutidas. Si tras la decisión del Amigable Componedor persiste una diferencia, se actualiza y se paga en los términos establecidos en el Contrato. </w:t>
      </w:r>
    </w:p>
    <w:p w14:paraId="2482AC19" w14:textId="77777777" w:rsidR="00AC2C3E" w:rsidRDefault="00AC2C3E" w:rsidP="000A5389">
      <w:pPr>
        <w:spacing w:line="240" w:lineRule="auto"/>
      </w:pPr>
    </w:p>
    <w:p w14:paraId="27AFFA48" w14:textId="74D4D880" w:rsidR="003D5DB4" w:rsidRDefault="003D5DB4" w:rsidP="000A5389">
      <w:pPr>
        <w:spacing w:line="240" w:lineRule="auto"/>
      </w:pPr>
      <w:r w:rsidRPr="002E1B4B">
        <w:t xml:space="preserve">Reconocimiento y transferencia de la Retribución: La Fiduciaria transfiere los recursos desde las subcuentas (Aportes ANI, Ingresos por Explotación Comercial y La Tasa de Descuento Real del Contrato de Concesión es de 0,6041% Nominal Mensual Peaje) a la Cuenta Proyecto, a los Patrimonios Autónomos-Deuda o a los Cesionarios Especiales. Esto se hace mensualmente, dentro de los dos días siguientes al fin del plazo de objeción de la ANI o una vez resuelta cualquier controversia.  La Retribución total del Concesionario es la suma de la </w:t>
      </w:r>
      <w:r w:rsidRPr="002E1B4B">
        <w:lastRenderedPageBreak/>
        <w:t xml:space="preserve">Retribución de cada Unidad Funcional. El valor final depende del Índice de Cumplimiento, basado en la ponderación de Indicadores establecidos en el Contrato. </w:t>
      </w:r>
    </w:p>
    <w:p w14:paraId="5D98FC33" w14:textId="77777777" w:rsidR="00AC2C3E" w:rsidRPr="002E1B4B" w:rsidRDefault="00AC2C3E" w:rsidP="000A5389">
      <w:pPr>
        <w:spacing w:line="240" w:lineRule="auto"/>
      </w:pPr>
    </w:p>
    <w:p w14:paraId="252155EE" w14:textId="77777777" w:rsidR="003D5DB4" w:rsidRDefault="003D5DB4" w:rsidP="000A5389">
      <w:pPr>
        <w:spacing w:line="240" w:lineRule="auto"/>
      </w:pPr>
      <w:r w:rsidRPr="002E1B4B">
        <w:t>Tasa de retribución:</w:t>
      </w:r>
      <w:r w:rsidRPr="002E1B4B">
        <w:tab/>
        <w:t xml:space="preserve">La Tasa de Descuento Real del Contrato de Concesión es de 0,6041% Nominal Mensual </w:t>
      </w:r>
    </w:p>
    <w:p w14:paraId="7119B66B" w14:textId="77777777" w:rsidR="00AC2C3E" w:rsidRPr="002E1B4B" w:rsidRDefault="00AC2C3E" w:rsidP="000A5389">
      <w:pPr>
        <w:spacing w:line="240" w:lineRule="auto"/>
      </w:pPr>
    </w:p>
    <w:p w14:paraId="0AEA40AA" w14:textId="77777777" w:rsidR="003D5DB4" w:rsidRDefault="003D5DB4" w:rsidP="000A5389">
      <w:pPr>
        <w:spacing w:line="240" w:lineRule="auto"/>
      </w:pPr>
      <w:r w:rsidRPr="002E1B4B">
        <w:t>Derechos a recibir Activos especificados al final del acuerdo de concesión</w:t>
      </w:r>
    </w:p>
    <w:p w14:paraId="55C7DDED" w14:textId="77777777" w:rsidR="00AC2C3E" w:rsidRPr="002E1B4B" w:rsidRDefault="00AC2C3E" w:rsidP="000A5389">
      <w:pPr>
        <w:spacing w:line="240" w:lineRule="auto"/>
      </w:pPr>
    </w:p>
    <w:p w14:paraId="57BF6BE2" w14:textId="77777777" w:rsidR="003D5DB4" w:rsidRDefault="003D5DB4" w:rsidP="000A5389">
      <w:pPr>
        <w:spacing w:line="240" w:lineRule="auto"/>
      </w:pPr>
      <w:r w:rsidRPr="002E1B4B">
        <w:t xml:space="preserve">Descripción: En el Capítulo IX de la Parte General del contrato de concesión se detalla la obligación del concesionario de revertir los activos en concesión a la entidad concedente una vez finalice el plazo del acuerdo. Allí se establece que, al término del contrato, todos los activos e infraestructuras desarrollados o mejorados durante la concesión deben ser transferidos a la entidad concedente en condiciones óptimas para su funcionamiento y uso continuo. Esta disposición garantiza que la entidad concedente recupere la posesión de los activos, asegurando su adecuada manutención y operatividad a lo largo del periodo de concesión y facilitando una transición eficiente al finalizar el acuerdo. </w:t>
      </w:r>
    </w:p>
    <w:p w14:paraId="74E84AE3" w14:textId="77777777" w:rsidR="00AC2C3E" w:rsidRPr="002E1B4B" w:rsidRDefault="00AC2C3E" w:rsidP="000A5389">
      <w:pPr>
        <w:spacing w:line="240" w:lineRule="auto"/>
      </w:pPr>
    </w:p>
    <w:p w14:paraId="659AAACB" w14:textId="77777777" w:rsidR="003D5DB4" w:rsidRPr="002E1B4B" w:rsidRDefault="003D5DB4" w:rsidP="000A5389">
      <w:pPr>
        <w:spacing w:line="240" w:lineRule="auto"/>
      </w:pPr>
      <w:r w:rsidRPr="002E1B4B">
        <w:t xml:space="preserve">Observaciones: Obtención del VPIP. El concesionario tiene el derecho a obtener el VPIP contractual. Entiéndase las siglas VPIP, según el numeral 1.167 de la Parte General del Contrato, cómo: “Es el valor presente al Mes de Referencia del Recaudo de Peaje, ofrecido por la ANI al Concesionario en las reglas del Proceso de Selección. El monto de VPIP se señala en la Parte Especial.”. En la Sección 1.167 de la Parte Especial se señala: “El VPIP equivale a Cuatrocientos Sesenta y Un Mil Ciento Treinta Millones de pesos del Mes de Referencia ($461.130.000.000).” </w:t>
      </w:r>
    </w:p>
    <w:p w14:paraId="70B52F75" w14:textId="77777777" w:rsidR="00AC2C3E" w:rsidRDefault="00AC2C3E" w:rsidP="000A5389">
      <w:pPr>
        <w:spacing w:line="240" w:lineRule="auto"/>
      </w:pPr>
    </w:p>
    <w:p w14:paraId="79972AF3" w14:textId="0E8DCB19" w:rsidR="003D5DB4" w:rsidRPr="002E1B4B" w:rsidRDefault="003D5DB4" w:rsidP="000A5389">
      <w:pPr>
        <w:spacing w:line="240" w:lineRule="auto"/>
      </w:pPr>
      <w:r w:rsidRPr="002E1B4B">
        <w:t>Las alternativas de renovación y cese del acuerdo</w:t>
      </w:r>
    </w:p>
    <w:p w14:paraId="37579A20" w14:textId="77777777" w:rsidR="003D5DB4" w:rsidRPr="002E1B4B" w:rsidRDefault="003D5DB4" w:rsidP="000A5389">
      <w:pPr>
        <w:spacing w:line="240" w:lineRule="auto"/>
      </w:pPr>
      <w:r w:rsidRPr="002E1B4B">
        <w:t>Descripción:</w:t>
      </w:r>
      <w:r w:rsidRPr="002E1B4B">
        <w:tab/>
        <w:t>No Aplica</w:t>
      </w:r>
    </w:p>
    <w:p w14:paraId="36C07C31" w14:textId="77777777" w:rsidR="003D5DB4" w:rsidRPr="002E1B4B" w:rsidRDefault="003D5DB4" w:rsidP="000A5389">
      <w:pPr>
        <w:spacing w:line="240" w:lineRule="auto"/>
      </w:pPr>
      <w:r w:rsidRPr="002E1B4B">
        <w:t>Observaciones: No Aplica</w:t>
      </w:r>
    </w:p>
    <w:p w14:paraId="4EAC745D" w14:textId="77777777" w:rsidR="00AC2C3E" w:rsidRDefault="00AC2C3E" w:rsidP="000A5389">
      <w:pPr>
        <w:spacing w:line="240" w:lineRule="auto"/>
      </w:pPr>
    </w:p>
    <w:p w14:paraId="116930FB" w14:textId="71EA903D" w:rsidR="003D5DB4" w:rsidRPr="002E1B4B" w:rsidRDefault="003D5DB4" w:rsidP="000A5389">
      <w:pPr>
        <w:spacing w:line="240" w:lineRule="auto"/>
      </w:pPr>
      <w:r w:rsidRPr="002E1B4B">
        <w:t>Cambios en el acuerdo de concesión que se realicen durante el periodo fiscal</w:t>
      </w:r>
    </w:p>
    <w:p w14:paraId="0F8A72C4" w14:textId="77777777" w:rsidR="00AC2C3E" w:rsidRDefault="00AC2C3E" w:rsidP="000A5389">
      <w:pPr>
        <w:spacing w:line="240" w:lineRule="auto"/>
      </w:pPr>
    </w:p>
    <w:p w14:paraId="0B88C41C" w14:textId="48F8E588" w:rsidR="003D5DB4" w:rsidRPr="002E1B4B" w:rsidRDefault="003D5DB4" w:rsidP="000A5389">
      <w:pPr>
        <w:spacing w:line="240" w:lineRule="auto"/>
      </w:pPr>
      <w:r w:rsidRPr="002E1B4B">
        <w:t>Adiciones o modificaciones en tiempo</w:t>
      </w:r>
    </w:p>
    <w:p w14:paraId="18D81F1F" w14:textId="77777777" w:rsidR="003D5DB4" w:rsidRPr="002E1B4B" w:rsidRDefault="003D5DB4" w:rsidP="000A5389">
      <w:pPr>
        <w:spacing w:line="240" w:lineRule="auto"/>
      </w:pPr>
      <w:r w:rsidRPr="002E1B4B">
        <w:t>Fechas de las adiciones o modificaciones:</w:t>
      </w:r>
      <w:r w:rsidRPr="002E1B4B">
        <w:tab/>
        <w:t>No Aplica</w:t>
      </w:r>
    </w:p>
    <w:p w14:paraId="362E9D89" w14:textId="77777777" w:rsidR="003D5DB4" w:rsidRPr="002E1B4B" w:rsidRDefault="003D5DB4" w:rsidP="000A5389">
      <w:pPr>
        <w:spacing w:line="240" w:lineRule="auto"/>
      </w:pPr>
      <w:r w:rsidRPr="002E1B4B">
        <w:t>Nueva Fecha de finalización estimada:</w:t>
      </w:r>
      <w:r w:rsidRPr="002E1B4B">
        <w:tab/>
        <w:t>No Aplica</w:t>
      </w:r>
    </w:p>
    <w:p w14:paraId="335D09D4" w14:textId="77777777" w:rsidR="00AC2C3E" w:rsidRDefault="00AC2C3E" w:rsidP="000A5389">
      <w:pPr>
        <w:spacing w:line="240" w:lineRule="auto"/>
      </w:pPr>
    </w:p>
    <w:p w14:paraId="355E703B" w14:textId="4D61934F" w:rsidR="003D5DB4" w:rsidRPr="002E1B4B" w:rsidRDefault="003D5DB4" w:rsidP="000A5389">
      <w:pPr>
        <w:spacing w:line="240" w:lineRule="auto"/>
      </w:pPr>
      <w:r w:rsidRPr="002E1B4B">
        <w:t>Observaciones: Sin Observaciones</w:t>
      </w:r>
    </w:p>
    <w:p w14:paraId="03044AA6" w14:textId="77777777" w:rsidR="003D5DB4" w:rsidRPr="002E1B4B" w:rsidRDefault="003D5DB4" w:rsidP="000A5389">
      <w:pPr>
        <w:spacing w:line="240" w:lineRule="auto"/>
      </w:pPr>
      <w:r w:rsidRPr="002E1B4B">
        <w:t>Adiciones o modificaciones en valor</w:t>
      </w:r>
    </w:p>
    <w:p w14:paraId="56B07328" w14:textId="77777777" w:rsidR="003D5DB4" w:rsidRPr="002E1B4B" w:rsidRDefault="003D5DB4" w:rsidP="000A5389">
      <w:pPr>
        <w:spacing w:line="240" w:lineRule="auto"/>
      </w:pPr>
      <w:r w:rsidRPr="002E1B4B">
        <w:t>Valor de la adición o modificación:</w:t>
      </w:r>
      <w:r w:rsidRPr="002E1B4B">
        <w:tab/>
        <w:t>No Aplica</w:t>
      </w:r>
    </w:p>
    <w:p w14:paraId="4A3EAFDB" w14:textId="77777777" w:rsidR="003D5DB4" w:rsidRPr="002E1B4B" w:rsidRDefault="003D5DB4" w:rsidP="000A5389">
      <w:pPr>
        <w:spacing w:line="240" w:lineRule="auto"/>
      </w:pPr>
      <w:r w:rsidRPr="002E1B4B">
        <w:t>Nuevo valor del acuerdo:</w:t>
      </w:r>
      <w:r w:rsidRPr="002E1B4B">
        <w:tab/>
        <w:t>No Aplica</w:t>
      </w:r>
    </w:p>
    <w:p w14:paraId="61ED4BBC" w14:textId="77777777" w:rsidR="003D5DB4" w:rsidRPr="002E1B4B" w:rsidRDefault="003D5DB4" w:rsidP="000A5389">
      <w:pPr>
        <w:spacing w:line="240" w:lineRule="auto"/>
      </w:pPr>
      <w:r w:rsidRPr="002E1B4B">
        <w:t>Observaciones: Ninguna</w:t>
      </w:r>
    </w:p>
    <w:p w14:paraId="677F49B4" w14:textId="77777777" w:rsidR="003D5DB4" w:rsidRDefault="003D5DB4" w:rsidP="000A5389">
      <w:pPr>
        <w:spacing w:line="240" w:lineRule="auto"/>
      </w:pPr>
    </w:p>
    <w:p w14:paraId="51ED383C" w14:textId="77777777" w:rsidR="00AC2C3E" w:rsidRPr="002E1B4B" w:rsidRDefault="00AC2C3E" w:rsidP="000A5389">
      <w:pPr>
        <w:spacing w:line="240" w:lineRule="auto"/>
      </w:pPr>
    </w:p>
    <w:p w14:paraId="193B7980" w14:textId="77777777" w:rsidR="003D5DB4" w:rsidRDefault="003D5DB4" w:rsidP="000A5389">
      <w:pPr>
        <w:spacing w:line="240" w:lineRule="auto"/>
        <w:rPr>
          <w:i/>
          <w:iCs/>
        </w:rPr>
      </w:pPr>
      <w:r w:rsidRPr="00AC2C3E">
        <w:rPr>
          <w:i/>
          <w:iCs/>
        </w:rPr>
        <w:t>IP ACCESOS NORTE DE BOGOTÁ</w:t>
      </w:r>
    </w:p>
    <w:p w14:paraId="6D1317D5" w14:textId="77777777" w:rsidR="00AC2C3E" w:rsidRPr="00AC2C3E" w:rsidRDefault="00AC2C3E" w:rsidP="000A5389">
      <w:pPr>
        <w:spacing w:line="240" w:lineRule="auto"/>
        <w:rPr>
          <w:i/>
          <w:iCs/>
        </w:rPr>
      </w:pPr>
    </w:p>
    <w:p w14:paraId="19B0E7B0" w14:textId="77777777" w:rsidR="003D5DB4" w:rsidRPr="002E1B4B" w:rsidRDefault="003D5DB4" w:rsidP="000A5389">
      <w:pPr>
        <w:spacing w:line="240" w:lineRule="auto"/>
      </w:pPr>
      <w:r w:rsidRPr="002E1B4B">
        <w:lastRenderedPageBreak/>
        <w:t>Descripción del Acuerdo</w:t>
      </w:r>
    </w:p>
    <w:p w14:paraId="09E71889" w14:textId="77777777" w:rsidR="00AC2C3E" w:rsidRDefault="00AC2C3E" w:rsidP="000A5389">
      <w:pPr>
        <w:spacing w:line="240" w:lineRule="auto"/>
      </w:pPr>
    </w:p>
    <w:p w14:paraId="32B509A7" w14:textId="108643E3" w:rsidR="003D5DB4" w:rsidRPr="002E1B4B" w:rsidRDefault="003D5DB4" w:rsidP="000A5389">
      <w:pPr>
        <w:spacing w:line="240" w:lineRule="auto"/>
      </w:pPr>
      <w:r w:rsidRPr="002E1B4B">
        <w:t>Número del Acuerdo de concesión:  001 de 2017</w:t>
      </w:r>
    </w:p>
    <w:p w14:paraId="664026C7" w14:textId="77777777" w:rsidR="003D5DB4" w:rsidRPr="002E1B4B" w:rsidRDefault="003D5DB4" w:rsidP="000A5389">
      <w:pPr>
        <w:spacing w:line="240" w:lineRule="auto"/>
      </w:pPr>
      <w:r w:rsidRPr="002E1B4B">
        <w:t>Objeto / Descripción:  "De conformidad con el Objeto del Contrato dispuesto en la Parte General el Alcance ·del Contrato corresponde a la financiación, los estudios, diseños, construcción, operación, mantenimiento; gestión social, predial y ambiental de los accesos norte a la ciudad de Bogotá D.C", de acuerdo con el Apéndice Técnico 1 y demás apéndices del Contrato.</w:t>
      </w:r>
    </w:p>
    <w:p w14:paraId="461C9BB3" w14:textId="77777777" w:rsidR="003D5DB4" w:rsidRPr="002E1B4B" w:rsidRDefault="003D5DB4" w:rsidP="000A5389">
      <w:pPr>
        <w:spacing w:line="240" w:lineRule="auto"/>
      </w:pPr>
      <w:r w:rsidRPr="002E1B4B">
        <w:t>Valor inicial:</w:t>
      </w:r>
      <w:r w:rsidRPr="002E1B4B">
        <w:tab/>
        <w:t>$1.225.686.247.240 pesos de diciembre de 2014</w:t>
      </w:r>
    </w:p>
    <w:p w14:paraId="528E0216" w14:textId="77777777" w:rsidR="003D5DB4" w:rsidRPr="002E1B4B" w:rsidRDefault="003D5DB4" w:rsidP="000A5389">
      <w:pPr>
        <w:spacing w:line="240" w:lineRule="auto"/>
      </w:pPr>
      <w:r w:rsidRPr="002E1B4B">
        <w:t>Fecha de inicio: 7/04/2017</w:t>
      </w:r>
    </w:p>
    <w:p w14:paraId="2CF2DA96" w14:textId="77777777" w:rsidR="003D5DB4" w:rsidRPr="002E1B4B" w:rsidRDefault="003D5DB4" w:rsidP="000A5389">
      <w:pPr>
        <w:spacing w:line="240" w:lineRule="auto"/>
      </w:pPr>
      <w:r w:rsidRPr="002E1B4B">
        <w:t>Fecha de finalización estimada: 7/04/2042</w:t>
      </w:r>
    </w:p>
    <w:p w14:paraId="7BB8891A" w14:textId="77777777" w:rsidR="003D5DB4" w:rsidRPr="002E1B4B" w:rsidRDefault="003D5DB4" w:rsidP="000A5389">
      <w:pPr>
        <w:spacing w:line="240" w:lineRule="auto"/>
      </w:pPr>
      <w:r w:rsidRPr="002E1B4B">
        <w:t>Tipo ID: NIT</w:t>
      </w:r>
    </w:p>
    <w:p w14:paraId="717097C3" w14:textId="77777777" w:rsidR="003D5DB4" w:rsidRPr="002E1B4B" w:rsidRDefault="003D5DB4" w:rsidP="000A5389">
      <w:pPr>
        <w:spacing w:line="240" w:lineRule="auto"/>
      </w:pPr>
      <w:r w:rsidRPr="002E1B4B">
        <w:t>Número ID:</w:t>
      </w:r>
      <w:r w:rsidRPr="002E1B4B">
        <w:tab/>
        <w:t>901.039.225-8</w:t>
      </w:r>
    </w:p>
    <w:p w14:paraId="077B14A5" w14:textId="77777777" w:rsidR="003D5DB4" w:rsidRPr="002E1B4B" w:rsidRDefault="003D5DB4" w:rsidP="000A5389">
      <w:pPr>
        <w:spacing w:line="240" w:lineRule="auto"/>
      </w:pPr>
      <w:r w:rsidRPr="002E1B4B">
        <w:t>Razón social del concesionario: Accesos Norte de Bogotá SAS – Accenorte SAS</w:t>
      </w:r>
    </w:p>
    <w:p w14:paraId="17D3BAB6" w14:textId="77777777" w:rsidR="003D5DB4" w:rsidRPr="002E1B4B" w:rsidRDefault="003D5DB4" w:rsidP="000A5389">
      <w:pPr>
        <w:spacing w:line="240" w:lineRule="auto"/>
      </w:pPr>
      <w:r w:rsidRPr="002E1B4B">
        <w:t>Nombre del proyecto: IP Accesos Norte de Bogotá</w:t>
      </w:r>
    </w:p>
    <w:p w14:paraId="30AE9782" w14:textId="77777777" w:rsidR="003D5DB4" w:rsidRPr="002E1B4B" w:rsidRDefault="003D5DB4" w:rsidP="000A5389">
      <w:pPr>
        <w:spacing w:line="240" w:lineRule="auto"/>
      </w:pPr>
    </w:p>
    <w:p w14:paraId="34F72354" w14:textId="77777777" w:rsidR="003D5DB4" w:rsidRDefault="003D5DB4" w:rsidP="000A5389">
      <w:pPr>
        <w:spacing w:line="240" w:lineRule="auto"/>
      </w:pPr>
      <w:r w:rsidRPr="002E1B4B">
        <w:t>Términos significativos del Acuerdo que puedan afectar su valor, el calendario y la certeza de los flujos de efectivo futuros</w:t>
      </w:r>
    </w:p>
    <w:p w14:paraId="304B271A" w14:textId="77777777" w:rsidR="00AC2C3E" w:rsidRPr="002E1B4B" w:rsidRDefault="00AC2C3E" w:rsidP="000A5389">
      <w:pPr>
        <w:spacing w:line="240" w:lineRule="auto"/>
      </w:pPr>
    </w:p>
    <w:p w14:paraId="081323D6" w14:textId="77777777" w:rsidR="003D5DB4" w:rsidRPr="002E1B4B" w:rsidRDefault="003D5DB4" w:rsidP="000A5389">
      <w:pPr>
        <w:spacing w:line="240" w:lineRule="auto"/>
      </w:pPr>
      <w:r w:rsidRPr="002E1B4B">
        <w:t>Términos de valor: Valor Total VPIP del Proyecto: $802.990.000.000</w:t>
      </w:r>
    </w:p>
    <w:p w14:paraId="6C06332F" w14:textId="77777777" w:rsidR="00AC2C3E" w:rsidRDefault="00AC2C3E" w:rsidP="000A5389">
      <w:pPr>
        <w:spacing w:line="240" w:lineRule="auto"/>
      </w:pPr>
    </w:p>
    <w:p w14:paraId="615285CF" w14:textId="4E27E843" w:rsidR="003D5DB4" w:rsidRDefault="003D5DB4" w:rsidP="000A5389">
      <w:pPr>
        <w:spacing w:line="240" w:lineRule="auto"/>
      </w:pPr>
      <w:r w:rsidRPr="002E1B4B">
        <w:t>Términos de calendario: Fecha o Acta Contenido:* 16 de enero de cada año: Fechas de cambio de tarifas de peaje* De acuerdo con las estipulaciones de la Parte General del Contrato Numeral 3.1: Pagos de la retribución al Concesionario* 07 de Abril de 2017: Fecha de Inicio del contrato* 06 de Abril de 2018: Fecha de Inicio de la Etapa de Construcción* 01 de Diciembre de 2017: Fecha de entrega del corredor y de inicio de recaudo del proyecto* 26 de Febrero de 2021: Fecha de Acta de entrega de la UF 2* 07 de Diciembre de 2023: Fecha de Acta de entrega de la UF 1* 31 de Diciembre de 2014: Fecha de los Pesos de Referencia.</w:t>
      </w:r>
    </w:p>
    <w:p w14:paraId="58564FDA" w14:textId="77777777" w:rsidR="00AC2C3E" w:rsidRPr="002E1B4B" w:rsidRDefault="00AC2C3E" w:rsidP="000A5389">
      <w:pPr>
        <w:spacing w:line="240" w:lineRule="auto"/>
      </w:pPr>
    </w:p>
    <w:p w14:paraId="35E43176" w14:textId="77777777" w:rsidR="003D5DB4" w:rsidRDefault="003D5DB4" w:rsidP="000A5389">
      <w:pPr>
        <w:spacing w:line="240" w:lineRule="auto"/>
      </w:pPr>
      <w:r w:rsidRPr="002E1B4B">
        <w:t>Términos de certeza de flujos de efectivo futuros: Hasta el momento no se han identificado variables que pueden afectar los flujos de efectivo que se esperan recibir por la explotación de los activos en concesión.</w:t>
      </w:r>
    </w:p>
    <w:p w14:paraId="43D68723" w14:textId="77777777" w:rsidR="00AC2C3E" w:rsidRPr="002E1B4B" w:rsidRDefault="00AC2C3E" w:rsidP="000A5389">
      <w:pPr>
        <w:spacing w:line="240" w:lineRule="auto"/>
      </w:pPr>
    </w:p>
    <w:p w14:paraId="0E4A5EDA" w14:textId="77777777" w:rsidR="003D5DB4" w:rsidRPr="002E1B4B" w:rsidRDefault="003D5DB4" w:rsidP="000A5389">
      <w:pPr>
        <w:spacing w:line="240" w:lineRule="auto"/>
      </w:pPr>
      <w:r w:rsidRPr="002E1B4B">
        <w:t>Naturaleza y alcance del derecho a utilizar Activos y los aspectos pactados en torno a lo que se espera que el concesionario proporcione en relación con el Acuerdo de concesión</w:t>
      </w:r>
    </w:p>
    <w:p w14:paraId="7DC1CE5F" w14:textId="77777777" w:rsidR="00AC2C3E" w:rsidRDefault="00AC2C3E" w:rsidP="000A5389">
      <w:pPr>
        <w:spacing w:line="240" w:lineRule="auto"/>
      </w:pPr>
    </w:p>
    <w:p w14:paraId="562582A6" w14:textId="180B1F70" w:rsidR="003D5DB4" w:rsidRPr="002E1B4B" w:rsidRDefault="003D5DB4" w:rsidP="000A5389">
      <w:pPr>
        <w:spacing w:line="240" w:lineRule="auto"/>
      </w:pPr>
      <w:r w:rsidRPr="002E1B4B">
        <w:t>Naturaleza y alcance del derecho de uso de los Activos</w:t>
      </w:r>
    </w:p>
    <w:p w14:paraId="01419EBC" w14:textId="77777777" w:rsidR="00AC2C3E" w:rsidRDefault="00AC2C3E" w:rsidP="000A5389">
      <w:pPr>
        <w:spacing w:line="240" w:lineRule="auto"/>
      </w:pPr>
    </w:p>
    <w:p w14:paraId="7811EFA5" w14:textId="0F1705AE" w:rsidR="003D5DB4" w:rsidRPr="002E1B4B" w:rsidRDefault="003D5DB4" w:rsidP="000A5389">
      <w:pPr>
        <w:spacing w:line="240" w:lineRule="auto"/>
      </w:pPr>
      <w:r w:rsidRPr="002E1B4B">
        <w:t xml:space="preserve">Descripción: El proyecto tiene una longitud estimada en términos de Origen-Destino de 59,19 Km y comprenden entre otros aspectos constructivos: La ampliación de la autopista norte en los sentidos norte-sur y sur-norte, desde la calle 245, hasta la Caro, en una longitud de3.2 Km aproximadamente, la construcción de andenes y ciclo rutas. De igual manera, se contempla la construcción de la segunda calzada de la carrera séptima, y su adecuación para el </w:t>
      </w:r>
      <w:r w:rsidRPr="002E1B4B">
        <w:lastRenderedPageBreak/>
        <w:t>cumplimiento de los estándares de la Ley 105, desde la calle 245 hasta la Caro, en una longitud de 4.91 Km aproximadamente. Adicionalmente se realiza la construcción de la variante del municipio de Chía, también llamada Troncal de Los Andes, la cual cuenta con una longitud de 3.4 Km en doble calzada, e incluye el diseño y la construcción del respectivo puente vehicular sobre el Rio Bogotá, así como la intersección correspondiente en la autopista norte, considerando todos los posibles giros para los vehículos. Consecuentemente se cedió el derecho de recaudo de peajes, junto con la custodia y resguardo del efectivo, además de la explotación comercial del corredor. Estas dos fuentes de efectivo, constituyen la fuente de pago de retribución del concesionario en los términos y condiciones del contrato de concesión 001 de 2017.</w:t>
      </w:r>
    </w:p>
    <w:p w14:paraId="597C77C9" w14:textId="77777777" w:rsidR="00AC2C3E" w:rsidRDefault="00AC2C3E" w:rsidP="000A5389">
      <w:pPr>
        <w:spacing w:line="240" w:lineRule="auto"/>
      </w:pPr>
    </w:p>
    <w:p w14:paraId="632388DF" w14:textId="4D734074" w:rsidR="003D5DB4" w:rsidRPr="002E1B4B" w:rsidRDefault="003D5DB4" w:rsidP="000A5389">
      <w:pPr>
        <w:spacing w:line="240" w:lineRule="auto"/>
      </w:pPr>
      <w:r w:rsidRPr="002E1B4B">
        <w:t>Observaciones: Ninguna</w:t>
      </w:r>
    </w:p>
    <w:p w14:paraId="6546BDA2" w14:textId="77777777" w:rsidR="003D5DB4" w:rsidRPr="002E1B4B" w:rsidRDefault="003D5DB4" w:rsidP="000A5389">
      <w:pPr>
        <w:spacing w:line="240" w:lineRule="auto"/>
      </w:pPr>
      <w:r w:rsidRPr="002E1B4B">
        <w:t>Retribución al concesionario</w:t>
      </w:r>
    </w:p>
    <w:p w14:paraId="49AFD649" w14:textId="77777777" w:rsidR="00AC2C3E" w:rsidRDefault="00AC2C3E" w:rsidP="000A5389">
      <w:pPr>
        <w:spacing w:line="240" w:lineRule="auto"/>
      </w:pPr>
    </w:p>
    <w:p w14:paraId="65E5DBE5" w14:textId="170C3091" w:rsidR="003D5DB4" w:rsidRDefault="003D5DB4" w:rsidP="000A5389">
      <w:pPr>
        <w:spacing w:line="240" w:lineRule="auto"/>
      </w:pPr>
      <w:r w:rsidRPr="002E1B4B">
        <w:t>Descripción: De acuerdo con la sección 1.147 de la Parte General la retribución se define como: “Se refiere a la contraprestación económica a la que tiene derecho el Concesionario en los términos de la Sección 3.1 de esta Parte General. El reconocimiento de la Retribución –y de la Compensación Especial, cuando sea aplicable– se realizará mediante los traslados entre las subcuentas del Patrimonio Autónomo a los que se refiere dicha Sección. En el caso en que el Concesionario decida instrumentar mecanismos de financiación a través de uno o varios Patrimonios Autónomos-Deuda, incluido el mecanismo previsto en el Apéndice Financiero 2, el reconocimiento de la Retribución se realizará mediante el traslado de las subcuentas del Patrimonio Autónomo que correspondan, de conformidad con este Contrato, a dicho(s) Patrimonio(s) Autónomo(s)-Deuda. El reconocimiento de la Retribución –y de la Compensación Especial, cuando sea aplicable– también se podrá efectuar mediante el traslado de recursos directamente a los Cesionarios Especiales, tal y como se prevé en el Apéndice Financiero 2.” En la sección 4.3 de la Parte Especial del contrato de concesión se establece el cálculo de la retribución al concesionario. En este sentido, el proyecto tiene Tres Unidades Funcionales, operacionales (1, 2 y 4), las cuales a corte diciembre de 2024 presentaron las siguientes cifras consolidadas en pesos corrientes.     UF1    $125.695.094.701, UF2 $75.591.267.622 UF4 $395.567.285.546    TOTAL $593.856.647.869.</w:t>
      </w:r>
    </w:p>
    <w:p w14:paraId="4F2455FA" w14:textId="77777777" w:rsidR="00AC2C3E" w:rsidRPr="002E1B4B" w:rsidRDefault="00AC2C3E" w:rsidP="000A5389">
      <w:pPr>
        <w:spacing w:line="240" w:lineRule="auto"/>
      </w:pPr>
    </w:p>
    <w:p w14:paraId="3E31DD8C" w14:textId="77777777" w:rsidR="003D5DB4" w:rsidRPr="002E1B4B" w:rsidRDefault="003D5DB4" w:rsidP="000A5389">
      <w:pPr>
        <w:spacing w:line="240" w:lineRule="auto"/>
      </w:pPr>
      <w:r w:rsidRPr="002E1B4B">
        <w:t>Tasa de retribución:</w:t>
      </w:r>
      <w:r w:rsidRPr="002E1B4B">
        <w:tab/>
        <w:t>La tasa de costo de capital con la cual se definió el proyecto fue de 8,08% Efectiva Anual, esta tasa de interés se encuentra expresada en términos reales, es decir, sin tener en cuenta la inflación. La tasa de descuento real (TDI) expresada en términos efectivos mensuales, para efectos de este proyecto, es de cero coma sesenta y cuatro noventa y siete por ciento (0,6497%)</w:t>
      </w:r>
    </w:p>
    <w:p w14:paraId="53B207CB" w14:textId="77777777" w:rsidR="00AC2C3E" w:rsidRDefault="00AC2C3E" w:rsidP="000A5389">
      <w:pPr>
        <w:spacing w:line="240" w:lineRule="auto"/>
      </w:pPr>
    </w:p>
    <w:p w14:paraId="1A0D1948" w14:textId="40032512" w:rsidR="003D5DB4" w:rsidRPr="002E1B4B" w:rsidRDefault="003D5DB4" w:rsidP="000A5389">
      <w:pPr>
        <w:spacing w:line="240" w:lineRule="auto"/>
      </w:pPr>
      <w:r w:rsidRPr="002E1B4B">
        <w:t>Derechos a recibir Activos especificados al final del acuerdo de concesión</w:t>
      </w:r>
    </w:p>
    <w:p w14:paraId="453F99D6" w14:textId="77777777" w:rsidR="00AC2C3E" w:rsidRDefault="00AC2C3E" w:rsidP="000A5389">
      <w:pPr>
        <w:spacing w:line="240" w:lineRule="auto"/>
      </w:pPr>
    </w:p>
    <w:p w14:paraId="038F9555" w14:textId="6FE1D1EE" w:rsidR="003D5DB4" w:rsidRPr="002E1B4B" w:rsidRDefault="003D5DB4" w:rsidP="000A5389">
      <w:pPr>
        <w:spacing w:line="240" w:lineRule="auto"/>
      </w:pPr>
      <w:r w:rsidRPr="002E1B4B">
        <w:t xml:space="preserve">Descripción: El contrato de concesión define la recepción de los activos entregados en los siguientes términos: “La etapa de Reversión es la tercera etapa del Contrato de Concesión durante la cual se adelantarán todas las actividades necesarias para la Reversión de los bienes de la Concesión. Esta iniciará en uno de los siguientes momentos: i) a la Fecha de </w:t>
      </w:r>
      <w:r w:rsidRPr="002E1B4B">
        <w:lastRenderedPageBreak/>
        <w:t>Terminación de la Etapa de Operación y Mantenimiento o, ii) cuando se declare la Terminación Anticipada del Contrato en cualquiera de sus etapas. La Etapa de Reversión culminará cuando i) se suscriba el Acta de Reversión o ii) se venza el Plazo Máximo de la Etapa de Reversión, lo que ocurra primero. Durante la Etapa de Reversión el Concesionario deberá continuar con las actividades de Operación y Mantenimiento del Proyecto”</w:t>
      </w:r>
    </w:p>
    <w:p w14:paraId="1F8B222F" w14:textId="77777777" w:rsidR="00AC2C3E" w:rsidRDefault="00AC2C3E" w:rsidP="000A5389">
      <w:pPr>
        <w:spacing w:line="240" w:lineRule="auto"/>
      </w:pPr>
    </w:p>
    <w:p w14:paraId="36609DDE" w14:textId="33FD82AE" w:rsidR="003D5DB4" w:rsidRPr="002E1B4B" w:rsidRDefault="003D5DB4" w:rsidP="000A5389">
      <w:pPr>
        <w:spacing w:line="240" w:lineRule="auto"/>
      </w:pPr>
      <w:r w:rsidRPr="002E1B4B">
        <w:t>Observaciones: Ninguna al Respecto</w:t>
      </w:r>
    </w:p>
    <w:p w14:paraId="39BCEC30" w14:textId="77777777" w:rsidR="00AC2C3E" w:rsidRDefault="00AC2C3E" w:rsidP="000A5389">
      <w:pPr>
        <w:spacing w:line="240" w:lineRule="auto"/>
      </w:pPr>
    </w:p>
    <w:p w14:paraId="33952C22" w14:textId="37AB17CD" w:rsidR="003D5DB4" w:rsidRPr="002E1B4B" w:rsidRDefault="003D5DB4" w:rsidP="000A5389">
      <w:pPr>
        <w:spacing w:line="240" w:lineRule="auto"/>
      </w:pPr>
      <w:r w:rsidRPr="002E1B4B">
        <w:t>Las alternativas de renovación y cese del acuerdo</w:t>
      </w:r>
    </w:p>
    <w:p w14:paraId="7CCAF00F" w14:textId="77777777" w:rsidR="003D5DB4" w:rsidRPr="002E1B4B" w:rsidRDefault="003D5DB4" w:rsidP="000A5389">
      <w:pPr>
        <w:spacing w:line="240" w:lineRule="auto"/>
      </w:pPr>
      <w:r w:rsidRPr="002E1B4B">
        <w:t>Descripción: No Aplica</w:t>
      </w:r>
    </w:p>
    <w:p w14:paraId="10687C3E" w14:textId="77777777" w:rsidR="003D5DB4" w:rsidRPr="002E1B4B" w:rsidRDefault="003D5DB4" w:rsidP="000A5389">
      <w:pPr>
        <w:spacing w:line="240" w:lineRule="auto"/>
      </w:pPr>
      <w:r w:rsidRPr="002E1B4B">
        <w:t>Observaciones: No Aplica</w:t>
      </w:r>
    </w:p>
    <w:p w14:paraId="137315B1" w14:textId="77777777" w:rsidR="003D5DB4" w:rsidRPr="002E1B4B" w:rsidRDefault="003D5DB4" w:rsidP="000A5389">
      <w:pPr>
        <w:spacing w:line="240" w:lineRule="auto"/>
      </w:pPr>
      <w:r w:rsidRPr="002E1B4B">
        <w:t>Cambios en el acuerdo de concesión que se realicen durante el periodo fiscal</w:t>
      </w:r>
    </w:p>
    <w:p w14:paraId="4EEEBC53" w14:textId="77777777" w:rsidR="00AC2C3E" w:rsidRDefault="00AC2C3E" w:rsidP="000A5389">
      <w:pPr>
        <w:spacing w:line="240" w:lineRule="auto"/>
      </w:pPr>
    </w:p>
    <w:p w14:paraId="4113DF7F" w14:textId="1FBDC9AD" w:rsidR="003D5DB4" w:rsidRPr="002E1B4B" w:rsidRDefault="003D5DB4" w:rsidP="000A5389">
      <w:pPr>
        <w:spacing w:line="240" w:lineRule="auto"/>
      </w:pPr>
      <w:r w:rsidRPr="002E1B4B">
        <w:t>Adiciones o modificaciones en tiempo</w:t>
      </w:r>
    </w:p>
    <w:p w14:paraId="35A09E7A" w14:textId="77777777" w:rsidR="00AC2C3E" w:rsidRDefault="00AC2C3E" w:rsidP="000A5389">
      <w:pPr>
        <w:spacing w:line="240" w:lineRule="auto"/>
      </w:pPr>
    </w:p>
    <w:p w14:paraId="3271EDD2" w14:textId="37BBAB1F" w:rsidR="003D5DB4" w:rsidRPr="002E1B4B" w:rsidRDefault="003D5DB4" w:rsidP="000A5389">
      <w:pPr>
        <w:spacing w:line="240" w:lineRule="auto"/>
      </w:pPr>
      <w:r w:rsidRPr="002E1B4B">
        <w:t>Fechas de las adiciones o modificaciones:</w:t>
      </w:r>
      <w:r w:rsidRPr="002E1B4B">
        <w:tab/>
        <w:t>No Aplica</w:t>
      </w:r>
    </w:p>
    <w:p w14:paraId="57BD4D3B" w14:textId="77777777" w:rsidR="003D5DB4" w:rsidRPr="002E1B4B" w:rsidRDefault="003D5DB4" w:rsidP="000A5389">
      <w:pPr>
        <w:spacing w:line="240" w:lineRule="auto"/>
      </w:pPr>
      <w:r w:rsidRPr="002E1B4B">
        <w:t>Nueva Fecha de finalización estimada:</w:t>
      </w:r>
      <w:r w:rsidRPr="002E1B4B">
        <w:tab/>
        <w:t>No Aplica</w:t>
      </w:r>
    </w:p>
    <w:p w14:paraId="1448B644" w14:textId="77777777" w:rsidR="003D5DB4" w:rsidRPr="002E1B4B" w:rsidRDefault="003D5DB4" w:rsidP="000A5389">
      <w:pPr>
        <w:spacing w:line="240" w:lineRule="auto"/>
      </w:pPr>
      <w:r w:rsidRPr="002E1B4B">
        <w:t>Observaciones:</w:t>
      </w:r>
      <w:r w:rsidRPr="002E1B4B">
        <w:tab/>
        <w:t>No Aplica</w:t>
      </w:r>
    </w:p>
    <w:p w14:paraId="246FF2BE" w14:textId="77777777" w:rsidR="00AC2C3E" w:rsidRDefault="00AC2C3E" w:rsidP="000A5389">
      <w:pPr>
        <w:spacing w:line="240" w:lineRule="auto"/>
      </w:pPr>
    </w:p>
    <w:p w14:paraId="4484FC69" w14:textId="6DEC7C78" w:rsidR="003D5DB4" w:rsidRPr="002E1B4B" w:rsidRDefault="003D5DB4" w:rsidP="000A5389">
      <w:pPr>
        <w:spacing w:line="240" w:lineRule="auto"/>
      </w:pPr>
      <w:r w:rsidRPr="002E1B4B">
        <w:t>Adiciones o modificaciones en valor</w:t>
      </w:r>
    </w:p>
    <w:p w14:paraId="697BCC82" w14:textId="77777777" w:rsidR="00AC2C3E" w:rsidRDefault="00AC2C3E" w:rsidP="000A5389">
      <w:pPr>
        <w:spacing w:line="240" w:lineRule="auto"/>
      </w:pPr>
    </w:p>
    <w:p w14:paraId="3CD41A57" w14:textId="75C03345" w:rsidR="003D5DB4" w:rsidRPr="002E1B4B" w:rsidRDefault="003D5DB4" w:rsidP="000A5389">
      <w:pPr>
        <w:spacing w:line="240" w:lineRule="auto"/>
      </w:pPr>
      <w:r w:rsidRPr="002E1B4B">
        <w:t>Valor de la adición o modificación: No Aplica</w:t>
      </w:r>
    </w:p>
    <w:p w14:paraId="30035F69" w14:textId="77777777" w:rsidR="003D5DB4" w:rsidRPr="002E1B4B" w:rsidRDefault="003D5DB4" w:rsidP="000A5389">
      <w:pPr>
        <w:spacing w:line="240" w:lineRule="auto"/>
      </w:pPr>
      <w:r w:rsidRPr="002E1B4B">
        <w:t>Nuevo valor del acuerdo: No Aplica</w:t>
      </w:r>
    </w:p>
    <w:p w14:paraId="0C7016E4" w14:textId="77777777" w:rsidR="003D5DB4" w:rsidRPr="002E1B4B" w:rsidRDefault="003D5DB4" w:rsidP="000A5389">
      <w:pPr>
        <w:spacing w:line="240" w:lineRule="auto"/>
      </w:pPr>
      <w:r w:rsidRPr="002E1B4B">
        <w:t>Observaciones: No Aplica</w:t>
      </w:r>
    </w:p>
    <w:p w14:paraId="432AD0D7" w14:textId="77777777" w:rsidR="003D5DB4" w:rsidRPr="002E1B4B" w:rsidRDefault="003D5DB4" w:rsidP="000A5389">
      <w:pPr>
        <w:spacing w:line="240" w:lineRule="auto"/>
      </w:pPr>
    </w:p>
    <w:p w14:paraId="5C9AA1CB" w14:textId="77777777" w:rsidR="003D5DB4" w:rsidRDefault="003D5DB4" w:rsidP="000A5389">
      <w:pPr>
        <w:spacing w:line="240" w:lineRule="auto"/>
        <w:rPr>
          <w:i/>
          <w:iCs/>
        </w:rPr>
      </w:pPr>
      <w:r w:rsidRPr="00AC2C3E">
        <w:rPr>
          <w:i/>
          <w:iCs/>
        </w:rPr>
        <w:t>TERCER CARRIL DOBLE CALZADA BOGOTÁ – GIRARDOT</w:t>
      </w:r>
    </w:p>
    <w:p w14:paraId="327FB9B4" w14:textId="77777777" w:rsidR="00AC2C3E" w:rsidRPr="00AC2C3E" w:rsidRDefault="00AC2C3E" w:rsidP="000A5389">
      <w:pPr>
        <w:spacing w:line="240" w:lineRule="auto"/>
        <w:rPr>
          <w:i/>
          <w:iCs/>
        </w:rPr>
      </w:pPr>
    </w:p>
    <w:p w14:paraId="333DD2D8" w14:textId="77777777" w:rsidR="003D5DB4" w:rsidRPr="002E1B4B" w:rsidRDefault="003D5DB4" w:rsidP="000A5389">
      <w:pPr>
        <w:spacing w:line="240" w:lineRule="auto"/>
      </w:pPr>
      <w:r w:rsidRPr="002E1B4B">
        <w:t>Descripción del Acuerdo</w:t>
      </w:r>
    </w:p>
    <w:p w14:paraId="65CE8A19" w14:textId="77777777" w:rsidR="003D5DB4" w:rsidRDefault="003D5DB4" w:rsidP="000A5389">
      <w:pPr>
        <w:spacing w:line="240" w:lineRule="auto"/>
      </w:pPr>
      <w:r w:rsidRPr="002E1B4B">
        <w:t>Número del Acuerdo de concesión:  CONTRATO DE CONCESIÓN BAJO EL ESQUEMA DE APP No 4 DEL 16 DE OCTUBRE DE 2016.</w:t>
      </w:r>
    </w:p>
    <w:p w14:paraId="5BB3C5FB" w14:textId="77777777" w:rsidR="00AC2C3E" w:rsidRPr="002E1B4B" w:rsidRDefault="00AC2C3E" w:rsidP="000A5389">
      <w:pPr>
        <w:spacing w:line="240" w:lineRule="auto"/>
      </w:pPr>
    </w:p>
    <w:p w14:paraId="3F94D4EC" w14:textId="77777777" w:rsidR="003D5DB4" w:rsidRDefault="003D5DB4" w:rsidP="000A5389">
      <w:pPr>
        <w:spacing w:line="240" w:lineRule="auto"/>
      </w:pPr>
      <w:r w:rsidRPr="002E1B4B">
        <w:t>Objeto / Descripción:  El presente Contrato de concesión bajo un esquema de asociación público-privada de Iniciativa Privada en los términos de la Ley 1508 de 2012, tiene por objeto el otorgamiento de una concesión para que, de conformidad con lo previsto en este Contrato, el Concesionario, por su cuenta y riesgo, lleve a cabo el Proyecto. El alcance físico del Proyecto se describe en la Parte Especial y en el Apéndice Técnico 1.</w:t>
      </w:r>
    </w:p>
    <w:p w14:paraId="31F36E31" w14:textId="77777777" w:rsidR="00AC2C3E" w:rsidRPr="002E1B4B" w:rsidRDefault="00AC2C3E" w:rsidP="000A5389">
      <w:pPr>
        <w:spacing w:line="240" w:lineRule="auto"/>
      </w:pPr>
    </w:p>
    <w:p w14:paraId="4BB93488" w14:textId="77777777" w:rsidR="003D5DB4" w:rsidRPr="002E1B4B" w:rsidRDefault="003D5DB4" w:rsidP="000A5389">
      <w:pPr>
        <w:spacing w:line="240" w:lineRule="auto"/>
      </w:pPr>
      <w:r w:rsidRPr="002E1B4B">
        <w:t>Valor inicial:</w:t>
      </w:r>
      <w:r w:rsidRPr="002E1B4B">
        <w:tab/>
        <w:t>$4.197.839.609.774</w:t>
      </w:r>
    </w:p>
    <w:p w14:paraId="1B21143C" w14:textId="77777777" w:rsidR="003D5DB4" w:rsidRPr="002E1B4B" w:rsidRDefault="003D5DB4" w:rsidP="000A5389">
      <w:pPr>
        <w:spacing w:line="240" w:lineRule="auto"/>
      </w:pPr>
      <w:r w:rsidRPr="002E1B4B">
        <w:t>Fecha de inicio: 1/12/2016</w:t>
      </w:r>
    </w:p>
    <w:p w14:paraId="5F11F891" w14:textId="77777777" w:rsidR="003D5DB4" w:rsidRPr="002E1B4B" w:rsidRDefault="003D5DB4" w:rsidP="000A5389">
      <w:pPr>
        <w:spacing w:line="240" w:lineRule="auto"/>
      </w:pPr>
      <w:r w:rsidRPr="002E1B4B">
        <w:t>Fecha de finalización estimada: A la terminación de la etapa de Reversión</w:t>
      </w:r>
    </w:p>
    <w:p w14:paraId="4F79CA69" w14:textId="77777777" w:rsidR="003D5DB4" w:rsidRPr="002E1B4B" w:rsidRDefault="003D5DB4" w:rsidP="000A5389">
      <w:pPr>
        <w:spacing w:line="240" w:lineRule="auto"/>
      </w:pPr>
      <w:r w:rsidRPr="002E1B4B">
        <w:t>Tipo ID: NIT</w:t>
      </w:r>
    </w:p>
    <w:p w14:paraId="0E570207" w14:textId="77777777" w:rsidR="003D5DB4" w:rsidRPr="002E1B4B" w:rsidRDefault="003D5DB4" w:rsidP="000A5389">
      <w:pPr>
        <w:spacing w:line="240" w:lineRule="auto"/>
      </w:pPr>
      <w:r w:rsidRPr="002E1B4B">
        <w:t>Número ID:</w:t>
      </w:r>
      <w:r w:rsidRPr="002E1B4B">
        <w:tab/>
        <w:t>901.009.478</w:t>
      </w:r>
    </w:p>
    <w:p w14:paraId="3AF57EE4" w14:textId="77777777" w:rsidR="003D5DB4" w:rsidRPr="002E1B4B" w:rsidRDefault="003D5DB4" w:rsidP="000A5389">
      <w:pPr>
        <w:spacing w:line="240" w:lineRule="auto"/>
      </w:pPr>
      <w:r w:rsidRPr="002E1B4B">
        <w:t>Razón social del concesionario: VIA 40 EXPRESS SAS</w:t>
      </w:r>
    </w:p>
    <w:p w14:paraId="7711BB14" w14:textId="77777777" w:rsidR="003D5DB4" w:rsidRPr="002E1B4B" w:rsidRDefault="003D5DB4" w:rsidP="000A5389">
      <w:pPr>
        <w:spacing w:line="240" w:lineRule="auto"/>
      </w:pPr>
      <w:r w:rsidRPr="002E1B4B">
        <w:t>Nombre del proyecto: TERCER CARRIL DOBLE CALZADA BOGOTÁ – GIRARDOT</w:t>
      </w:r>
    </w:p>
    <w:p w14:paraId="7E42EEB0" w14:textId="77777777" w:rsidR="003D5DB4" w:rsidRPr="002E1B4B" w:rsidRDefault="003D5DB4" w:rsidP="000A5389">
      <w:pPr>
        <w:spacing w:line="240" w:lineRule="auto"/>
      </w:pPr>
    </w:p>
    <w:p w14:paraId="68CBE306" w14:textId="77777777" w:rsidR="003D5DB4" w:rsidRDefault="003D5DB4" w:rsidP="000A5389">
      <w:pPr>
        <w:spacing w:line="240" w:lineRule="auto"/>
      </w:pPr>
      <w:r w:rsidRPr="002E1B4B">
        <w:t>Términos significativos del Acuerdo que puedan afectar su valor, el calendario y la certeza de los flujos de efectivo futuros</w:t>
      </w:r>
    </w:p>
    <w:p w14:paraId="71976194" w14:textId="77777777" w:rsidR="00AC2C3E" w:rsidRPr="002E1B4B" w:rsidRDefault="00AC2C3E" w:rsidP="000A5389">
      <w:pPr>
        <w:spacing w:line="240" w:lineRule="auto"/>
      </w:pPr>
    </w:p>
    <w:p w14:paraId="70D15E94" w14:textId="77777777" w:rsidR="003D5DB4" w:rsidRDefault="003D5DB4" w:rsidP="000A5389">
      <w:pPr>
        <w:spacing w:line="240" w:lineRule="auto"/>
      </w:pPr>
      <w:r w:rsidRPr="002E1B4B">
        <w:t>Términos de valor: En el numeral 3.6 de la Parte Especial, el contrato establece que la ANI entrega al Concesionario las estaciones de peaje del Sistema Vial Existente Bogotá-Girardot para gestionar el recaudo de peajes en dos estaciones: Chusacá-Chinauta. A 31 de diciembre de 2025 el valor certificado por la Fiduciaria Bancolombia del recaudo de peaje en las dos estaciones es de $ 2.228.035.223.480,66. El mes de referencia del contrato corresponde a diciembre de 2014. El derecho del Concesionario a obtener Retribución con respecto a cada Unidad Funcional se acuerda en la Sección 3.1 de la Parte General del Contrato. El cálculo de la misma queda contenida en la Parte Especial Sección 4.3. A 31 de diciembre de 2025 el valor certificado por Fiduciaria Bancolombia por concepto de Retribución acumulada es por $ 1.407.427.136.662,81. El proyecto está dividido en nueve (9) unidades funciones, incluida la de operación y mantenimiento, el cual se le asigna un porcentaje de participación en el proyecto para efectos del cálculo de la Retribución. Las Fuentes para obtener la retribución son: el Recaudo de Peaje y los Ingresos Por Explotación Comercial. En cuanto a la Estructura tarifaria, las tarifas se actualizan cada 16 de enero de acuerdo con la sección 4.2 de la Parte Especial. El VPIP contractual es de $2.375.671.302.998 pesos del Mes de Referencia. A 31 de diciembre de 2025 el valor acumulado de VPIP es por $861.614.063.220. En la sección 3.7 de la Parte General del Contrato se establecen los Intereses Remuneratorio y de Mora aplicables a los pagos debidos por las partes. La obligación en firme de financiación y los Recursos de Patrimonio, deben ser gestionados y obtenidos por el Concesionario de acuerdo con lo estipulado en la Sección 3.7 de la Parte General. En la Parte General del Contrato 3.10 Giros de Equity, se establece que el Concesionario deberá girar a la cuenta Proyecto por lo menos los valores señalados en la Parte Especial- Sección 4.4, en los plazos previstos. A 31 de diciembre de 2025 el valor de aportes acumulados es por $ 640.184.497.816 precios corrientes. En cuanto a la Obligación Contractual Fondeos de Subcuentas del Patrimonio Autónomo, el contrato deja establecido en la Sección 4.5 los valores para el cumplimiento de la obligación contractual en cada Subcuenta.</w:t>
      </w:r>
    </w:p>
    <w:p w14:paraId="7D9326B4" w14:textId="77777777" w:rsidR="00AC2C3E" w:rsidRPr="002E1B4B" w:rsidRDefault="00AC2C3E" w:rsidP="000A5389">
      <w:pPr>
        <w:spacing w:line="240" w:lineRule="auto"/>
      </w:pPr>
    </w:p>
    <w:p w14:paraId="2B264835" w14:textId="77777777" w:rsidR="003D5DB4" w:rsidRDefault="003D5DB4" w:rsidP="000A5389">
      <w:pPr>
        <w:spacing w:line="240" w:lineRule="auto"/>
      </w:pPr>
      <w:r w:rsidRPr="002E1B4B">
        <w:t>Términos de calendario: El plazo inicial del contrato es de treinta (30) años. El plazo estimado de la etapa de construcción es de 1800 días, contados desde la fecha del Acta de Inicio. En cuanto a la obligación contractual “Fondeos de Subcuentas del Patrimonio Autónomo”, en la Sección 4.5 de la Parte Especial del Contrato quedan estipulado las fechas de cumplimiento en los que se debe cumplir con el fondeo de las subcuentas. Con respecto a los aportes Equity, el Contrato establece en la Sección 4.4 de la Parte Especial las fechas para girar los valores establecidos por el Concesionario a la cuenta Proyecto.</w:t>
      </w:r>
    </w:p>
    <w:p w14:paraId="7DDF7C68" w14:textId="77777777" w:rsidR="00AC2C3E" w:rsidRPr="002E1B4B" w:rsidRDefault="00AC2C3E" w:rsidP="000A5389">
      <w:pPr>
        <w:spacing w:line="240" w:lineRule="auto"/>
      </w:pPr>
    </w:p>
    <w:p w14:paraId="76ACD737" w14:textId="77777777" w:rsidR="003D5DB4" w:rsidRDefault="003D5DB4" w:rsidP="000A5389">
      <w:pPr>
        <w:spacing w:line="240" w:lineRule="auto"/>
      </w:pPr>
      <w:r w:rsidRPr="002E1B4B">
        <w:t>Términos de certeza de flujos de efectivo futuros: El Contrato establece un incremento de Tarifas, en los términos de la Sección 4.2 (c) de la Parte Especial. Dicho incremento se aplicaría con la firma del Acta de Terminación de la Última Unidad Funcional, excluyendo la UF2. El Concesionario considera que no tiene que ser Acta de Terminación Total, sino que puede ser incluso Parcial, lo que impactaría el monto de Recaudo y de Retribución.</w:t>
      </w:r>
    </w:p>
    <w:p w14:paraId="09CB3178" w14:textId="77777777" w:rsidR="00AC2C3E" w:rsidRPr="002E1B4B" w:rsidRDefault="00AC2C3E" w:rsidP="000A5389">
      <w:pPr>
        <w:spacing w:line="240" w:lineRule="auto"/>
      </w:pPr>
    </w:p>
    <w:p w14:paraId="5FC96180" w14:textId="77777777" w:rsidR="003D5DB4" w:rsidRDefault="003D5DB4" w:rsidP="000A5389">
      <w:pPr>
        <w:spacing w:line="240" w:lineRule="auto"/>
      </w:pPr>
      <w:r w:rsidRPr="002E1B4B">
        <w:t>Naturaleza y alcance del derecho a utilizar Activos y los aspectos pactados en torno a lo que se espera que el concesionario proporcione en relación con el Acuerdo de concesión</w:t>
      </w:r>
    </w:p>
    <w:p w14:paraId="439861B7" w14:textId="77777777" w:rsidR="00AC2C3E" w:rsidRPr="002E1B4B" w:rsidRDefault="00AC2C3E" w:rsidP="000A5389">
      <w:pPr>
        <w:spacing w:line="240" w:lineRule="auto"/>
      </w:pPr>
    </w:p>
    <w:p w14:paraId="4BAE438A" w14:textId="77777777" w:rsidR="003D5DB4" w:rsidRDefault="003D5DB4" w:rsidP="000A5389">
      <w:pPr>
        <w:spacing w:line="240" w:lineRule="auto"/>
      </w:pPr>
      <w:r w:rsidRPr="002E1B4B">
        <w:t>Naturaleza y alcance del derecho de uso de los Activos</w:t>
      </w:r>
    </w:p>
    <w:p w14:paraId="668799A1" w14:textId="77777777" w:rsidR="00AC2C3E" w:rsidRPr="002E1B4B" w:rsidRDefault="00AC2C3E" w:rsidP="000A5389">
      <w:pPr>
        <w:spacing w:line="240" w:lineRule="auto"/>
      </w:pPr>
    </w:p>
    <w:p w14:paraId="7761EF61" w14:textId="77777777" w:rsidR="003D5DB4" w:rsidRDefault="003D5DB4" w:rsidP="000A5389">
      <w:pPr>
        <w:spacing w:line="240" w:lineRule="auto"/>
      </w:pPr>
      <w:r w:rsidRPr="002E1B4B">
        <w:t>Descripción: El Contrato de Concesión en su Sección 4.3 (a) de la Parte General acuerda: “Realizar la entrega de la Infraestructura al Concesionario, incluyendo las Estaciones de Pesaje y las Estaciones de Peaje existentes en el plazo señalado en la Parte Especial”. Las estaciones de peaje señaladas son las que conforman el Sistema Vial entre Bogotá – Girardot denominadas Chusacá cuya ubicación corresponde a la Unidad Funcional 7 y Chinauta con ubicación en la Unidad Funcional 3. Se cede al Concesionario el “Derecho de Recaudo” de las Estaciones de Peaje de acuerdo con lo establecido en la Sección 3.4 (e) de la Parte General.</w:t>
      </w:r>
    </w:p>
    <w:p w14:paraId="3A270322" w14:textId="77777777" w:rsidR="00AC2C3E" w:rsidRPr="002E1B4B" w:rsidRDefault="00AC2C3E" w:rsidP="000A5389">
      <w:pPr>
        <w:spacing w:line="240" w:lineRule="auto"/>
      </w:pPr>
    </w:p>
    <w:p w14:paraId="03294BD0" w14:textId="77777777" w:rsidR="003D5DB4" w:rsidRPr="002E1B4B" w:rsidRDefault="003D5DB4" w:rsidP="000A5389">
      <w:pPr>
        <w:spacing w:line="240" w:lineRule="auto"/>
      </w:pPr>
      <w:r w:rsidRPr="002E1B4B">
        <w:t>Observaciones: No se tiene ninguna observación.</w:t>
      </w:r>
    </w:p>
    <w:p w14:paraId="624E0982" w14:textId="77777777" w:rsidR="003D5DB4" w:rsidRPr="002E1B4B" w:rsidRDefault="003D5DB4" w:rsidP="000A5389">
      <w:pPr>
        <w:spacing w:line="240" w:lineRule="auto"/>
      </w:pPr>
      <w:r w:rsidRPr="002E1B4B">
        <w:t>Retribución al concesionario</w:t>
      </w:r>
    </w:p>
    <w:p w14:paraId="4D68EDF4" w14:textId="77777777" w:rsidR="00AC2C3E" w:rsidRDefault="00AC2C3E" w:rsidP="000A5389">
      <w:pPr>
        <w:spacing w:line="240" w:lineRule="auto"/>
      </w:pPr>
    </w:p>
    <w:p w14:paraId="66CF9ABE" w14:textId="05B0097F" w:rsidR="003D5DB4" w:rsidRPr="002E1B4B" w:rsidRDefault="003D5DB4" w:rsidP="000A5389">
      <w:pPr>
        <w:spacing w:line="240" w:lineRule="auto"/>
      </w:pPr>
      <w:r w:rsidRPr="002E1B4B">
        <w:t>Descripción: En la Sección 3.1.(a)Parte General queda establecido el derecho a la Retribución así: “El derecho a la Retribución del Concesionario con respecto a cada Unidad Funcional se iniciará a partir de la suscripción de la respectiva Acta de Terminación de Unidad Funcional. La suscripción del Acta de Terminación Parcial de Unidad Funcional cuando sea aplicable, de conformidad con este Contrato, dará lugar a la causación y pago de la Compensación Especial”.</w:t>
      </w:r>
    </w:p>
    <w:p w14:paraId="457045B0" w14:textId="77777777" w:rsidR="003D5DB4" w:rsidRDefault="003D5DB4" w:rsidP="000A5389">
      <w:pPr>
        <w:spacing w:line="240" w:lineRule="auto"/>
      </w:pPr>
      <w:r w:rsidRPr="002E1B4B">
        <w:t>Tasa de retribución:</w:t>
      </w:r>
      <w:r w:rsidRPr="002E1B4B">
        <w:tab/>
        <w:t>Las Tarifas de Peaje aplicables a las Estaciones de Peaje, la metodología de indexación y los incrementos adicionales se encuentran en la Sección 4.2 de la Parte Especial. El VPIP del proyecto, como variable para indicar el cumplimiento del pago del Contrato se define en la Parte Especial del Contrato, Sección 1.175 de la Tabla de Referencia, en $2.375.671.302.998 (pesos Mes de Referencia). La tasa de descuento utilizada (TDI), en términos efectivos mensuales, se define en la Tabla de Referencia de la Parte Especial del Contrato, Sección 3.5(a) y siguientes, en 0.6567%.</w:t>
      </w:r>
    </w:p>
    <w:p w14:paraId="665FF25E" w14:textId="77777777" w:rsidR="00AC2C3E" w:rsidRPr="002E1B4B" w:rsidRDefault="00AC2C3E" w:rsidP="000A5389">
      <w:pPr>
        <w:spacing w:line="240" w:lineRule="auto"/>
      </w:pPr>
    </w:p>
    <w:p w14:paraId="7F2E4288" w14:textId="77777777" w:rsidR="003D5DB4" w:rsidRDefault="003D5DB4" w:rsidP="000A5389">
      <w:pPr>
        <w:spacing w:line="240" w:lineRule="auto"/>
      </w:pPr>
      <w:r w:rsidRPr="002E1B4B">
        <w:t>Derechos a recibir Activos especificados al final del acuerdo de concesión</w:t>
      </w:r>
    </w:p>
    <w:p w14:paraId="39FB7EFF" w14:textId="77777777" w:rsidR="00AC2C3E" w:rsidRPr="002E1B4B" w:rsidRDefault="00AC2C3E" w:rsidP="000A5389">
      <w:pPr>
        <w:spacing w:line="240" w:lineRule="auto"/>
      </w:pPr>
    </w:p>
    <w:p w14:paraId="2CBB5431" w14:textId="77777777" w:rsidR="003D5DB4" w:rsidRDefault="003D5DB4" w:rsidP="000A5389">
      <w:pPr>
        <w:spacing w:line="240" w:lineRule="auto"/>
      </w:pPr>
      <w:r w:rsidRPr="002E1B4B">
        <w:t xml:space="preserve">Descripción: En cuanto a la reversión de los bienes entregados al Concesionario y su entrega a la Ani una vez finalice el Contrato de Concesión, las condiciones están establecidas en la Sección 9.7 de la Parte General del Contrato y Apéndice Técnico 2 Sección 5- REVERSIÓN, el cual manifiesta: -De acuerdo con la Sección 9.7 de la Parte General Contrato, cuando concluya la Etapa de Operación y Mantenimiento o cuando el Contrato se termine anticipadamente, todas las obras y bienes de la Concesión, incluyendo los Predios de la zona del Corredor del Proyecto y las obras civiles (calzadas, separadores, intersecciones, estructuras, obras de drenaje, obras de arte y señales), las Estaciones de Peaje y sus equipos, las Estaciones de Pesaje y sus equipos, el Centro de Control de Operación y sus equipos, las Bases de Operación (uno o los que haya), las Áreas de Servicio, todos los automotores y </w:t>
      </w:r>
      <w:r w:rsidRPr="002E1B4B">
        <w:lastRenderedPageBreak/>
        <w:t>equipos instalados para la Operación del Proyecto, incluyendo equipos y software de computación, equipos de telecomunicaciones, red de fibra óptica, los entregados a la Policía de Carreteras, los equipos de rescate, los elementos de Traslado Asistencial Médico (TAM) y cualquier otra obra y bien que forme parte de la concesión, deberán ser entregados a la ANI sin costo alguno y libre de todo gravamen.</w:t>
      </w:r>
    </w:p>
    <w:p w14:paraId="41F5C11E" w14:textId="77777777" w:rsidR="00AC2C3E" w:rsidRPr="002E1B4B" w:rsidRDefault="00AC2C3E" w:rsidP="000A5389">
      <w:pPr>
        <w:spacing w:line="240" w:lineRule="auto"/>
      </w:pPr>
    </w:p>
    <w:p w14:paraId="2999AE26" w14:textId="77777777" w:rsidR="003D5DB4" w:rsidRDefault="003D5DB4" w:rsidP="000A5389">
      <w:pPr>
        <w:spacing w:line="240" w:lineRule="auto"/>
      </w:pPr>
      <w:r w:rsidRPr="002E1B4B">
        <w:t>Observaciones: Todos los activos deben ser devueltos a la Agencia Nacional de Infraestructura en las condiciones físicas señaladas en el Apéndice Técnico 2, exentos de cargas tributarias y valor cero (0).</w:t>
      </w:r>
    </w:p>
    <w:p w14:paraId="3CD229E4" w14:textId="77777777" w:rsidR="00AC2C3E" w:rsidRPr="002E1B4B" w:rsidRDefault="00AC2C3E" w:rsidP="000A5389">
      <w:pPr>
        <w:spacing w:line="240" w:lineRule="auto"/>
      </w:pPr>
    </w:p>
    <w:p w14:paraId="07BAB330" w14:textId="77777777" w:rsidR="003D5DB4" w:rsidRDefault="003D5DB4" w:rsidP="000A5389">
      <w:pPr>
        <w:spacing w:line="240" w:lineRule="auto"/>
      </w:pPr>
      <w:r w:rsidRPr="002E1B4B">
        <w:t>Las alternativas de renovación y cese del acuerdo</w:t>
      </w:r>
    </w:p>
    <w:p w14:paraId="1FE9ABF5" w14:textId="77777777" w:rsidR="00AC2C3E" w:rsidRPr="002E1B4B" w:rsidRDefault="00AC2C3E" w:rsidP="000A5389">
      <w:pPr>
        <w:spacing w:line="240" w:lineRule="auto"/>
      </w:pPr>
    </w:p>
    <w:p w14:paraId="2078E193" w14:textId="77777777" w:rsidR="003D5DB4" w:rsidRDefault="003D5DB4" w:rsidP="000A5389">
      <w:pPr>
        <w:spacing w:line="240" w:lineRule="auto"/>
      </w:pPr>
      <w:r w:rsidRPr="002E1B4B">
        <w:t>Descripción:</w:t>
      </w:r>
      <w:r w:rsidRPr="002E1B4B">
        <w:tab/>
        <w:t>La Parte General del Contrato de Concesión Capítulo XVII, Secciones 17.2 y 17.3 establece causales expresas de terminación anticipada, imputables al Concesionario, imputables a ANI o no imputables a ninguna de las partes (incluyendo EER superior a 90 días con paralización total), así como mutuo acuerdo y eventos derivados de decisiones de autoridad estatal competente, y un caso especial de decisión unilateral de ANI para recompra de derechos económicos. En lo concerniente al plazo, el Contrato de Concesión no prevé una estipulación expresa referida a “prórrogas” o “renovación” de éste. De acuerdo con la Parte General del Contrato de Concesión, en especial la Sección 2.4 (Plazo del Contrato) y la Sección 2.5 (Etapas de Ejecución Contractual), el Proyecto se estructura por etapas, iniciando en la Fecha de Inicio y extendiéndose hasta la terminación de la Etapa de Reversión, precisándose que se trata de un Contrato de plazo variable. En consecuencia, cualquier ampliación adicional del plazo no se enmarca en una prórroga o renovación ordinaria prevista en el Contrato, sino que solo sería procedente mediante la correspondiente modificación contractual, debidamente motivada y soportada, y bajo decisión de la Entidad concedente, de conformidad con lo previsto en la Parte General, en especial en la Sección 19.11 de la Parte General. Dicha modificación, conforme al régimen general aplicable, podrá adelantarse por mutuo acuerdo entre las partes y, de manera excepcional, mediante decisión unilateral de la Entidad concedente únicamente en los eventos expresamente previstos en la ley y en el Contrato.</w:t>
      </w:r>
    </w:p>
    <w:p w14:paraId="79179EC2" w14:textId="77777777" w:rsidR="00AC2C3E" w:rsidRPr="002E1B4B" w:rsidRDefault="00AC2C3E" w:rsidP="000A5389">
      <w:pPr>
        <w:spacing w:line="240" w:lineRule="auto"/>
      </w:pPr>
    </w:p>
    <w:p w14:paraId="58729387" w14:textId="77777777" w:rsidR="003D5DB4" w:rsidRPr="002E1B4B" w:rsidRDefault="003D5DB4" w:rsidP="000A5389">
      <w:pPr>
        <w:spacing w:line="240" w:lineRule="auto"/>
      </w:pPr>
      <w:r w:rsidRPr="002E1B4B">
        <w:t>Observaciones:</w:t>
      </w:r>
      <w:r w:rsidRPr="002E1B4B">
        <w:tab/>
        <w:t>No se tiene ninguna observación.</w:t>
      </w:r>
    </w:p>
    <w:p w14:paraId="3E9274B0" w14:textId="77777777" w:rsidR="003D5DB4" w:rsidRPr="002E1B4B" w:rsidRDefault="003D5DB4" w:rsidP="000A5389">
      <w:pPr>
        <w:spacing w:line="240" w:lineRule="auto"/>
      </w:pPr>
      <w:r w:rsidRPr="002E1B4B">
        <w:t>Cambios en el acuerdo de concesión que se realicen durante el periodo fiscal</w:t>
      </w:r>
    </w:p>
    <w:p w14:paraId="13936B31" w14:textId="77777777" w:rsidR="003D5DB4" w:rsidRPr="002E1B4B" w:rsidRDefault="003D5DB4" w:rsidP="000A5389">
      <w:pPr>
        <w:spacing w:line="240" w:lineRule="auto"/>
      </w:pPr>
      <w:r w:rsidRPr="002E1B4B">
        <w:t>Adiciones o modificaciones en tiempo</w:t>
      </w:r>
    </w:p>
    <w:p w14:paraId="1983F5D1" w14:textId="77777777" w:rsidR="003D5DB4" w:rsidRPr="002E1B4B" w:rsidRDefault="003D5DB4" w:rsidP="000A5389">
      <w:pPr>
        <w:spacing w:line="240" w:lineRule="auto"/>
      </w:pPr>
      <w:r w:rsidRPr="002E1B4B">
        <w:t>Fechas de las adiciones o modificaciones:</w:t>
      </w:r>
      <w:r w:rsidRPr="002E1B4B">
        <w:tab/>
        <w:t>No Aplica</w:t>
      </w:r>
    </w:p>
    <w:p w14:paraId="767A238C" w14:textId="77777777" w:rsidR="003D5DB4" w:rsidRPr="002E1B4B" w:rsidRDefault="003D5DB4" w:rsidP="000A5389">
      <w:pPr>
        <w:spacing w:line="240" w:lineRule="auto"/>
      </w:pPr>
      <w:r w:rsidRPr="002E1B4B">
        <w:t>Nueva Fecha de finalización estimada:</w:t>
      </w:r>
      <w:r w:rsidRPr="002E1B4B">
        <w:tab/>
        <w:t>No Aplica</w:t>
      </w:r>
    </w:p>
    <w:p w14:paraId="46B29CC8" w14:textId="77777777" w:rsidR="003D5DB4" w:rsidRPr="002E1B4B" w:rsidRDefault="003D5DB4" w:rsidP="000A5389">
      <w:pPr>
        <w:spacing w:line="240" w:lineRule="auto"/>
      </w:pPr>
      <w:r w:rsidRPr="002E1B4B">
        <w:t>Observaciones: No se tiene ninguna observación</w:t>
      </w:r>
    </w:p>
    <w:p w14:paraId="4D35864A" w14:textId="77777777" w:rsidR="003D5DB4" w:rsidRPr="002E1B4B" w:rsidRDefault="003D5DB4" w:rsidP="000A5389">
      <w:pPr>
        <w:spacing w:line="240" w:lineRule="auto"/>
      </w:pPr>
      <w:r w:rsidRPr="002E1B4B">
        <w:t>Adiciones o modificaciones en valor</w:t>
      </w:r>
    </w:p>
    <w:p w14:paraId="196D925D" w14:textId="77777777" w:rsidR="003D5DB4" w:rsidRPr="002E1B4B" w:rsidRDefault="003D5DB4" w:rsidP="000A5389">
      <w:pPr>
        <w:spacing w:line="240" w:lineRule="auto"/>
      </w:pPr>
      <w:r w:rsidRPr="002E1B4B">
        <w:t>Valor de la adición o modificación: No Aplica</w:t>
      </w:r>
    </w:p>
    <w:p w14:paraId="1B94A638" w14:textId="77777777" w:rsidR="003D5DB4" w:rsidRPr="002E1B4B" w:rsidRDefault="003D5DB4" w:rsidP="000A5389">
      <w:pPr>
        <w:spacing w:line="240" w:lineRule="auto"/>
      </w:pPr>
      <w:r w:rsidRPr="002E1B4B">
        <w:t>Nuevo valor del acuerdo: No Aplica</w:t>
      </w:r>
    </w:p>
    <w:p w14:paraId="30B9812B" w14:textId="77777777" w:rsidR="003D5DB4" w:rsidRPr="002E1B4B" w:rsidRDefault="003D5DB4" w:rsidP="000A5389">
      <w:pPr>
        <w:spacing w:line="240" w:lineRule="auto"/>
      </w:pPr>
      <w:r w:rsidRPr="002E1B4B">
        <w:t>Observaciones: No se tiene ninguna observación</w:t>
      </w:r>
    </w:p>
    <w:p w14:paraId="579D2BC1" w14:textId="77777777" w:rsidR="003D5DB4" w:rsidRDefault="003D5DB4" w:rsidP="000A5389">
      <w:pPr>
        <w:spacing w:line="240" w:lineRule="auto"/>
      </w:pPr>
    </w:p>
    <w:p w14:paraId="1A7AFD59" w14:textId="77777777" w:rsidR="00AC2C3E" w:rsidRPr="002E1B4B" w:rsidRDefault="00AC2C3E" w:rsidP="000A5389">
      <w:pPr>
        <w:spacing w:line="240" w:lineRule="auto"/>
      </w:pPr>
    </w:p>
    <w:p w14:paraId="43A482D9" w14:textId="66B8BC71" w:rsidR="003D5DB4" w:rsidRPr="00AC2C3E" w:rsidRDefault="003D5DB4" w:rsidP="000A5389">
      <w:pPr>
        <w:spacing w:line="240" w:lineRule="auto"/>
        <w:rPr>
          <w:i/>
          <w:iCs/>
        </w:rPr>
      </w:pPr>
      <w:r w:rsidRPr="00AC2C3E">
        <w:rPr>
          <w:i/>
          <w:iCs/>
        </w:rPr>
        <w:lastRenderedPageBreak/>
        <w:t xml:space="preserve">CONCESIÓN BUCARAMANGA </w:t>
      </w:r>
      <w:r w:rsidR="00AC2C3E">
        <w:rPr>
          <w:i/>
          <w:iCs/>
        </w:rPr>
        <w:t>–</w:t>
      </w:r>
      <w:r w:rsidRPr="00AC2C3E">
        <w:rPr>
          <w:i/>
          <w:iCs/>
        </w:rPr>
        <w:t xml:space="preserve"> PAMPLONA</w:t>
      </w:r>
    </w:p>
    <w:p w14:paraId="2B08E41B" w14:textId="77777777" w:rsidR="00AC2C3E" w:rsidRDefault="00AC2C3E" w:rsidP="000A5389">
      <w:pPr>
        <w:spacing w:line="240" w:lineRule="auto"/>
      </w:pPr>
    </w:p>
    <w:p w14:paraId="193CA2B7" w14:textId="7B55F0EE" w:rsidR="003D5DB4" w:rsidRPr="002E1B4B" w:rsidRDefault="003D5DB4" w:rsidP="000A5389">
      <w:pPr>
        <w:spacing w:line="240" w:lineRule="auto"/>
      </w:pPr>
      <w:r w:rsidRPr="002E1B4B">
        <w:t>Descripción del Acuerdo</w:t>
      </w:r>
    </w:p>
    <w:p w14:paraId="463AFED4" w14:textId="77777777" w:rsidR="003D5DB4" w:rsidRPr="002E1B4B" w:rsidRDefault="003D5DB4" w:rsidP="000A5389">
      <w:pPr>
        <w:spacing w:line="240" w:lineRule="auto"/>
      </w:pPr>
      <w:r w:rsidRPr="002E1B4B">
        <w:t>Número del Acuerdo de concesión: Contrato APP No 002 del 07 de junio de 2016.</w:t>
      </w:r>
    </w:p>
    <w:p w14:paraId="333F8A2F" w14:textId="77777777" w:rsidR="00AC2C3E" w:rsidRDefault="00AC2C3E" w:rsidP="000A5389">
      <w:pPr>
        <w:spacing w:line="240" w:lineRule="auto"/>
      </w:pPr>
    </w:p>
    <w:p w14:paraId="604ED545" w14:textId="5822345C" w:rsidR="003D5DB4" w:rsidRPr="002E1B4B" w:rsidRDefault="003D5DB4" w:rsidP="000A5389">
      <w:pPr>
        <w:spacing w:line="240" w:lineRule="auto"/>
      </w:pPr>
      <w:r w:rsidRPr="002E1B4B">
        <w:t>Objeto / Descripción:  El presente contrato de concesión bajo un esquema de asociación publico privada en los términos de la ley 1508 de 2012, tiene por objeto el otorgamiento de una Concesión para que de conformidad con lo previsto en este Contrato; el Concesionario, por su cuenta y riesgo, lleve a cabo el proyecto. (Parte General, CAPITULO II ASPECTOS GENERALES DEL CONTRATO numeral 2.1). ALCANCE: Los estudios y diseños definitivos, financiación, gestión ambiental, predial y social, construcción, mejoramiento, rehabilitación, operación, mantenimiento y reversión del corredor Bucaramanga – Pamplona, de acuerdo con el Apéndice Técnico 1 y demás apéndices del Contrato. (Parte especial, CAPITULO III ASPECTOS GENERALES, numeral 3.2).</w:t>
      </w:r>
    </w:p>
    <w:p w14:paraId="00495938" w14:textId="77777777" w:rsidR="00AC2C3E" w:rsidRDefault="00AC2C3E" w:rsidP="000A5389">
      <w:pPr>
        <w:spacing w:line="240" w:lineRule="auto"/>
      </w:pPr>
    </w:p>
    <w:p w14:paraId="4B589221" w14:textId="27A501F8" w:rsidR="003D5DB4" w:rsidRPr="002E1B4B" w:rsidRDefault="003D5DB4" w:rsidP="000A5389">
      <w:pPr>
        <w:spacing w:line="240" w:lineRule="auto"/>
      </w:pPr>
      <w:r w:rsidRPr="002E1B4B">
        <w:t>Valor inicial:</w:t>
      </w:r>
      <w:r w:rsidRPr="002E1B4B">
        <w:tab/>
        <w:t>$1.413.763.000.000 pesos constantes de diciembre de 2013.</w:t>
      </w:r>
    </w:p>
    <w:p w14:paraId="1FEAE291" w14:textId="77777777" w:rsidR="003D5DB4" w:rsidRPr="002E1B4B" w:rsidRDefault="003D5DB4" w:rsidP="000A5389">
      <w:pPr>
        <w:spacing w:line="240" w:lineRule="auto"/>
      </w:pPr>
      <w:r w:rsidRPr="002E1B4B">
        <w:t>Fecha de inicio: 22/06/2016</w:t>
      </w:r>
    </w:p>
    <w:p w14:paraId="1102A1B5" w14:textId="77777777" w:rsidR="003D5DB4" w:rsidRPr="002E1B4B" w:rsidRDefault="003D5DB4" w:rsidP="000A5389">
      <w:pPr>
        <w:spacing w:line="240" w:lineRule="auto"/>
      </w:pPr>
      <w:r w:rsidRPr="002E1B4B">
        <w:t>Fecha de finalización estimada: 11/06/2025</w:t>
      </w:r>
    </w:p>
    <w:p w14:paraId="2D0245BE" w14:textId="77777777" w:rsidR="003D5DB4" w:rsidRPr="002E1B4B" w:rsidRDefault="003D5DB4" w:rsidP="000A5389">
      <w:pPr>
        <w:spacing w:line="240" w:lineRule="auto"/>
      </w:pPr>
      <w:r w:rsidRPr="002E1B4B">
        <w:t>Tipo ID:</w:t>
      </w:r>
      <w:r w:rsidRPr="002E1B4B">
        <w:tab/>
        <w:t>NIT</w:t>
      </w:r>
    </w:p>
    <w:p w14:paraId="4B3A4B36" w14:textId="77777777" w:rsidR="003D5DB4" w:rsidRPr="002E1B4B" w:rsidRDefault="003D5DB4" w:rsidP="000A5389">
      <w:pPr>
        <w:spacing w:line="240" w:lineRule="auto"/>
      </w:pPr>
      <w:r w:rsidRPr="002E1B4B">
        <w:t>Número ID:</w:t>
      </w:r>
      <w:r w:rsidRPr="002E1B4B">
        <w:tab/>
        <w:t>900.972.713 – 8</w:t>
      </w:r>
    </w:p>
    <w:p w14:paraId="16643182" w14:textId="77777777" w:rsidR="003D5DB4" w:rsidRPr="002E1B4B" w:rsidRDefault="003D5DB4" w:rsidP="000A5389">
      <w:pPr>
        <w:spacing w:line="240" w:lineRule="auto"/>
      </w:pPr>
      <w:r w:rsidRPr="002E1B4B">
        <w:t>Razón social del concesionario: Autovía Bucaramanga Pamplona S A S</w:t>
      </w:r>
    </w:p>
    <w:p w14:paraId="1CCC085E" w14:textId="77777777" w:rsidR="003D5DB4" w:rsidRPr="002E1B4B" w:rsidRDefault="003D5DB4" w:rsidP="000A5389">
      <w:pPr>
        <w:spacing w:line="240" w:lineRule="auto"/>
      </w:pPr>
      <w:r w:rsidRPr="002E1B4B">
        <w:t>Nombre del proyecto: Bucaramanga – Pamplona</w:t>
      </w:r>
    </w:p>
    <w:p w14:paraId="5A69C435" w14:textId="77777777" w:rsidR="003D5DB4" w:rsidRPr="002E1B4B" w:rsidRDefault="003D5DB4" w:rsidP="000A5389">
      <w:pPr>
        <w:spacing w:line="240" w:lineRule="auto"/>
      </w:pPr>
    </w:p>
    <w:p w14:paraId="2698F8BA" w14:textId="77777777" w:rsidR="003D5DB4" w:rsidRPr="002E1B4B" w:rsidRDefault="003D5DB4" w:rsidP="000A5389">
      <w:pPr>
        <w:spacing w:line="240" w:lineRule="auto"/>
      </w:pPr>
      <w:r w:rsidRPr="002E1B4B">
        <w:t>Términos significativos del Acuerdo que puedan afectar su valor, el calendario y la certeza de los flujos de efectivo futuros</w:t>
      </w:r>
    </w:p>
    <w:p w14:paraId="5AFE80CA" w14:textId="77777777" w:rsidR="00AC2C3E" w:rsidRDefault="00AC2C3E" w:rsidP="000A5389">
      <w:pPr>
        <w:spacing w:line="240" w:lineRule="auto"/>
      </w:pPr>
    </w:p>
    <w:p w14:paraId="558AB862" w14:textId="18F06FD2" w:rsidR="003D5DB4" w:rsidRDefault="003D5DB4" w:rsidP="000A5389">
      <w:pPr>
        <w:spacing w:line="240" w:lineRule="auto"/>
      </w:pPr>
      <w:r w:rsidRPr="002E1B4B">
        <w:t>Términos de valor: Se ha certificado por la Interventoría la Variable ARh   por comunicado BPLA-650-25 del 01/dic de 2025 con radicado ANI 2025-409-153396-2 del 02/dic de 2025, que luego fue ajustada conforme a las instrucciones de la ANI en el comunicado BPLA-652-25 del 02/dic de 2025 con radicado ANI 2025-409-153928-2 del 02/dic de 2025, y entregado al concesionario con comunicado ANI 2025-504-044672-1 del 03/dic de 2025, con un valor de $262.452.087.629,14 que corresponde al 78,42% del total de soportes documentales entregados por el PA 3-1-63994 (Fiduciaria Davivienda). Como resultado de lo anterior, el Valor de Liquidación fue de $803.231.037.847 pesos corrientes luego de aplicar la fórmula de Liquidación contemplada en la Sección 18.3 (f) del contrato de concesión, valor que quedó consignado en la cláusula Primera del Acta de Liquidación.</w:t>
      </w:r>
    </w:p>
    <w:p w14:paraId="370D2309" w14:textId="77777777" w:rsidR="00AC2C3E" w:rsidRPr="002E1B4B" w:rsidRDefault="00AC2C3E" w:rsidP="000A5389">
      <w:pPr>
        <w:spacing w:line="240" w:lineRule="auto"/>
      </w:pPr>
    </w:p>
    <w:p w14:paraId="45D06603" w14:textId="77777777" w:rsidR="003D5DB4" w:rsidRPr="002E1B4B" w:rsidRDefault="003D5DB4" w:rsidP="000A5389">
      <w:pPr>
        <w:spacing w:line="240" w:lineRule="auto"/>
      </w:pPr>
      <w:r w:rsidRPr="002E1B4B">
        <w:t>Términos de calendario:</w:t>
      </w:r>
      <w:r w:rsidRPr="002E1B4B">
        <w:tab/>
        <w:t xml:space="preserve">Las fechas estimadas de terminación de la etapa de construcción son las siguientes: </w:t>
      </w:r>
    </w:p>
    <w:p w14:paraId="108EECE7" w14:textId="77777777" w:rsidR="00AC2C3E" w:rsidRDefault="00AC2C3E" w:rsidP="000A5389">
      <w:pPr>
        <w:spacing w:line="240" w:lineRule="auto"/>
      </w:pPr>
    </w:p>
    <w:p w14:paraId="66E655D5" w14:textId="0E05D37C" w:rsidR="003D5DB4" w:rsidRPr="002E1B4B" w:rsidRDefault="003D5DB4" w:rsidP="000A5389">
      <w:pPr>
        <w:spacing w:line="240" w:lineRule="auto"/>
      </w:pPr>
      <w:r w:rsidRPr="002E1B4B">
        <w:t>UNIDAD FUNCIONAL 1. C1-C2</w:t>
      </w:r>
    </w:p>
    <w:p w14:paraId="2D77B6EE" w14:textId="77777777" w:rsidR="003D5DB4" w:rsidRPr="002E1B4B" w:rsidRDefault="003D5DB4" w:rsidP="000A5389">
      <w:pPr>
        <w:spacing w:line="240" w:lineRule="auto"/>
      </w:pPr>
      <w:r w:rsidRPr="002E1B4B">
        <w:t>- Comienzo: 28/08/2019</w:t>
      </w:r>
    </w:p>
    <w:p w14:paraId="64B1872D" w14:textId="77777777" w:rsidR="003D5DB4" w:rsidRPr="002E1B4B" w:rsidRDefault="003D5DB4" w:rsidP="000A5389">
      <w:pPr>
        <w:spacing w:line="240" w:lineRule="auto"/>
      </w:pPr>
      <w:r w:rsidRPr="002E1B4B">
        <w:t>- Fin: 18/09/2022</w:t>
      </w:r>
    </w:p>
    <w:p w14:paraId="099BA477" w14:textId="77777777" w:rsidR="003D5DB4" w:rsidRPr="002E1B4B" w:rsidRDefault="003D5DB4" w:rsidP="000A5389">
      <w:pPr>
        <w:spacing w:line="240" w:lineRule="auto"/>
      </w:pPr>
      <w:r w:rsidRPr="002E1B4B">
        <w:t>- Duración (días): 1.024</w:t>
      </w:r>
    </w:p>
    <w:p w14:paraId="330117E9" w14:textId="77777777" w:rsidR="003D5DB4" w:rsidRPr="002E1B4B" w:rsidRDefault="003D5DB4" w:rsidP="000A5389">
      <w:pPr>
        <w:spacing w:line="240" w:lineRule="auto"/>
      </w:pPr>
      <w:r w:rsidRPr="002E1B4B">
        <w:lastRenderedPageBreak/>
        <w:t>- Desplazamiento en el cronograma (días): 98</w:t>
      </w:r>
    </w:p>
    <w:p w14:paraId="4BFF25B4" w14:textId="77777777" w:rsidR="003D5DB4" w:rsidRPr="002E1B4B" w:rsidRDefault="003D5DB4" w:rsidP="000A5389">
      <w:pPr>
        <w:spacing w:line="240" w:lineRule="auto"/>
      </w:pPr>
      <w:r w:rsidRPr="002E1B4B">
        <w:t>- Fin Actualizado: 23/09/2022</w:t>
      </w:r>
    </w:p>
    <w:p w14:paraId="16563EFD" w14:textId="77777777" w:rsidR="003D5DB4" w:rsidRPr="002E1B4B" w:rsidRDefault="003D5DB4" w:rsidP="000A5389">
      <w:pPr>
        <w:spacing w:line="240" w:lineRule="auto"/>
      </w:pPr>
      <w:r w:rsidRPr="002E1B4B">
        <w:t>- Duración Actualizada (días): 1122</w:t>
      </w:r>
    </w:p>
    <w:p w14:paraId="05BB262A" w14:textId="77777777" w:rsidR="003D5DB4" w:rsidRPr="002E1B4B" w:rsidRDefault="003D5DB4" w:rsidP="000A5389">
      <w:pPr>
        <w:spacing w:line="240" w:lineRule="auto"/>
      </w:pPr>
    </w:p>
    <w:p w14:paraId="77B3B9D9" w14:textId="77777777" w:rsidR="003D5DB4" w:rsidRPr="002E1B4B" w:rsidRDefault="003D5DB4" w:rsidP="000A5389">
      <w:pPr>
        <w:spacing w:line="240" w:lineRule="auto"/>
      </w:pPr>
      <w:r w:rsidRPr="002E1B4B">
        <w:t>UNIDAD FUNCIONAL 2. BUCARAMANGA CUESTABOBA</w:t>
      </w:r>
    </w:p>
    <w:p w14:paraId="44EDBA8F" w14:textId="77777777" w:rsidR="003D5DB4" w:rsidRPr="002E1B4B" w:rsidRDefault="003D5DB4" w:rsidP="000A5389">
      <w:pPr>
        <w:spacing w:line="240" w:lineRule="auto"/>
      </w:pPr>
      <w:r w:rsidRPr="002E1B4B">
        <w:t>- Comienzo: 28/08/2019</w:t>
      </w:r>
    </w:p>
    <w:p w14:paraId="6F1ADC2F" w14:textId="77777777" w:rsidR="003D5DB4" w:rsidRPr="002E1B4B" w:rsidRDefault="003D5DB4" w:rsidP="000A5389">
      <w:pPr>
        <w:spacing w:line="240" w:lineRule="auto"/>
      </w:pPr>
      <w:r w:rsidRPr="002E1B4B">
        <w:t>- Fin: 18/09/2021</w:t>
      </w:r>
    </w:p>
    <w:p w14:paraId="747DE7EA" w14:textId="77777777" w:rsidR="003D5DB4" w:rsidRPr="002E1B4B" w:rsidRDefault="003D5DB4" w:rsidP="000A5389">
      <w:pPr>
        <w:spacing w:line="240" w:lineRule="auto"/>
      </w:pPr>
      <w:r w:rsidRPr="002E1B4B">
        <w:t>- Duración (días): 660</w:t>
      </w:r>
    </w:p>
    <w:p w14:paraId="1D36EB21" w14:textId="77777777" w:rsidR="003D5DB4" w:rsidRPr="002E1B4B" w:rsidRDefault="003D5DB4" w:rsidP="000A5389">
      <w:pPr>
        <w:spacing w:line="240" w:lineRule="auto"/>
      </w:pPr>
      <w:r w:rsidRPr="002E1B4B">
        <w:t>- Desplazamiento en el cronograma (días): 98</w:t>
      </w:r>
    </w:p>
    <w:p w14:paraId="5EE712D9" w14:textId="77777777" w:rsidR="003D5DB4" w:rsidRPr="002E1B4B" w:rsidRDefault="003D5DB4" w:rsidP="000A5389">
      <w:pPr>
        <w:spacing w:line="240" w:lineRule="auto"/>
      </w:pPr>
      <w:r w:rsidRPr="002E1B4B">
        <w:t>- Fin Actualizado: 24/09/2021</w:t>
      </w:r>
    </w:p>
    <w:p w14:paraId="61CB0212" w14:textId="77777777" w:rsidR="003D5DB4" w:rsidRPr="002E1B4B" w:rsidRDefault="003D5DB4" w:rsidP="000A5389">
      <w:pPr>
        <w:spacing w:line="240" w:lineRule="auto"/>
      </w:pPr>
      <w:r w:rsidRPr="002E1B4B">
        <w:t>- Duración Actualizada (días): 758</w:t>
      </w:r>
    </w:p>
    <w:p w14:paraId="441B5451" w14:textId="77777777" w:rsidR="003D5DB4" w:rsidRPr="002E1B4B" w:rsidRDefault="003D5DB4" w:rsidP="000A5389">
      <w:pPr>
        <w:spacing w:line="240" w:lineRule="auto"/>
      </w:pPr>
    </w:p>
    <w:p w14:paraId="677E70DA" w14:textId="77777777" w:rsidR="003D5DB4" w:rsidRPr="002E1B4B" w:rsidRDefault="003D5DB4" w:rsidP="000A5389">
      <w:pPr>
        <w:spacing w:line="240" w:lineRule="auto"/>
      </w:pPr>
      <w:r w:rsidRPr="002E1B4B">
        <w:t>UNIDAD FUNCIONAL 3. CUESTABOBA – MUTISCUA</w:t>
      </w:r>
    </w:p>
    <w:p w14:paraId="78BC5BB2" w14:textId="77777777" w:rsidR="003D5DB4" w:rsidRPr="002E1B4B" w:rsidRDefault="003D5DB4" w:rsidP="000A5389">
      <w:pPr>
        <w:spacing w:line="240" w:lineRule="auto"/>
      </w:pPr>
      <w:r w:rsidRPr="002E1B4B">
        <w:t>Comienzo: 28/08/2019</w:t>
      </w:r>
    </w:p>
    <w:p w14:paraId="6D16A935" w14:textId="77777777" w:rsidR="003D5DB4" w:rsidRPr="002E1B4B" w:rsidRDefault="003D5DB4" w:rsidP="000A5389">
      <w:pPr>
        <w:spacing w:line="240" w:lineRule="auto"/>
      </w:pPr>
      <w:r w:rsidRPr="002E1B4B">
        <w:t>Fin: 18/09/2021</w:t>
      </w:r>
    </w:p>
    <w:p w14:paraId="196645AD" w14:textId="77777777" w:rsidR="003D5DB4" w:rsidRPr="002E1B4B" w:rsidRDefault="003D5DB4" w:rsidP="000A5389">
      <w:pPr>
        <w:spacing w:line="240" w:lineRule="auto"/>
      </w:pPr>
      <w:r w:rsidRPr="002E1B4B">
        <w:t>Duración (días): 660</w:t>
      </w:r>
    </w:p>
    <w:p w14:paraId="038BB539" w14:textId="77777777" w:rsidR="003D5DB4" w:rsidRPr="002E1B4B" w:rsidRDefault="003D5DB4" w:rsidP="000A5389">
      <w:pPr>
        <w:spacing w:line="240" w:lineRule="auto"/>
      </w:pPr>
      <w:r w:rsidRPr="002E1B4B">
        <w:t>Desplazamiento en el cronograma (días): 98</w:t>
      </w:r>
    </w:p>
    <w:p w14:paraId="21B4081A" w14:textId="77777777" w:rsidR="003D5DB4" w:rsidRPr="002E1B4B" w:rsidRDefault="003D5DB4" w:rsidP="000A5389">
      <w:pPr>
        <w:spacing w:line="240" w:lineRule="auto"/>
      </w:pPr>
      <w:r w:rsidRPr="002E1B4B">
        <w:t>Fin Actualizado: 24/09/2021</w:t>
      </w:r>
    </w:p>
    <w:p w14:paraId="12A7905C" w14:textId="77777777" w:rsidR="003D5DB4" w:rsidRPr="002E1B4B" w:rsidRDefault="003D5DB4" w:rsidP="000A5389">
      <w:pPr>
        <w:spacing w:line="240" w:lineRule="auto"/>
      </w:pPr>
      <w:r w:rsidRPr="002E1B4B">
        <w:t>Duración Actualizada (días): 758</w:t>
      </w:r>
    </w:p>
    <w:p w14:paraId="4159D4C4" w14:textId="77777777" w:rsidR="003D5DB4" w:rsidRPr="002E1B4B" w:rsidRDefault="003D5DB4" w:rsidP="000A5389">
      <w:pPr>
        <w:spacing w:line="240" w:lineRule="auto"/>
      </w:pPr>
    </w:p>
    <w:p w14:paraId="2E4437A6" w14:textId="77777777" w:rsidR="003D5DB4" w:rsidRPr="002E1B4B" w:rsidRDefault="003D5DB4" w:rsidP="000A5389">
      <w:pPr>
        <w:spacing w:line="240" w:lineRule="auto"/>
      </w:pPr>
      <w:r w:rsidRPr="002E1B4B">
        <w:t>UNIDAD FUNCIONAL 4. MUTISCUA – PAMPLONA</w:t>
      </w:r>
    </w:p>
    <w:p w14:paraId="0A17A9FC" w14:textId="77777777" w:rsidR="003D5DB4" w:rsidRPr="002E1B4B" w:rsidRDefault="003D5DB4" w:rsidP="000A5389">
      <w:pPr>
        <w:spacing w:line="240" w:lineRule="auto"/>
      </w:pPr>
      <w:r w:rsidRPr="002E1B4B">
        <w:t>Comienzo: 28/08/2019</w:t>
      </w:r>
    </w:p>
    <w:p w14:paraId="48E0D162" w14:textId="77777777" w:rsidR="003D5DB4" w:rsidRPr="002E1B4B" w:rsidRDefault="003D5DB4" w:rsidP="000A5389">
      <w:pPr>
        <w:spacing w:line="240" w:lineRule="auto"/>
      </w:pPr>
      <w:r w:rsidRPr="002E1B4B">
        <w:t>Fin: 18/09/2021</w:t>
      </w:r>
    </w:p>
    <w:p w14:paraId="73CD7637" w14:textId="77777777" w:rsidR="003D5DB4" w:rsidRPr="002E1B4B" w:rsidRDefault="003D5DB4" w:rsidP="000A5389">
      <w:pPr>
        <w:spacing w:line="240" w:lineRule="auto"/>
      </w:pPr>
      <w:r w:rsidRPr="002E1B4B">
        <w:t>Duración (días): 660</w:t>
      </w:r>
    </w:p>
    <w:p w14:paraId="2C3CFF1D" w14:textId="77777777" w:rsidR="003D5DB4" w:rsidRPr="002E1B4B" w:rsidRDefault="003D5DB4" w:rsidP="000A5389">
      <w:pPr>
        <w:spacing w:line="240" w:lineRule="auto"/>
      </w:pPr>
      <w:r w:rsidRPr="002E1B4B">
        <w:t>Desplazamiento en el cronograma (días): 98</w:t>
      </w:r>
    </w:p>
    <w:p w14:paraId="3B13BB00" w14:textId="77777777" w:rsidR="003D5DB4" w:rsidRPr="002E1B4B" w:rsidRDefault="003D5DB4" w:rsidP="000A5389">
      <w:pPr>
        <w:spacing w:line="240" w:lineRule="auto"/>
      </w:pPr>
      <w:r w:rsidRPr="002E1B4B">
        <w:t>Fin Actualizado: 24/09/2021</w:t>
      </w:r>
    </w:p>
    <w:p w14:paraId="7EF9C311" w14:textId="77777777" w:rsidR="003D5DB4" w:rsidRPr="002E1B4B" w:rsidRDefault="003D5DB4" w:rsidP="000A5389">
      <w:pPr>
        <w:spacing w:line="240" w:lineRule="auto"/>
      </w:pPr>
      <w:r w:rsidRPr="002E1B4B">
        <w:t>Duración Actualizada (días): 758</w:t>
      </w:r>
    </w:p>
    <w:p w14:paraId="4EBD5BBC" w14:textId="77777777" w:rsidR="003D5DB4" w:rsidRPr="002E1B4B" w:rsidRDefault="003D5DB4" w:rsidP="000A5389">
      <w:pPr>
        <w:spacing w:line="240" w:lineRule="auto"/>
      </w:pPr>
    </w:p>
    <w:p w14:paraId="51751F2D" w14:textId="77777777" w:rsidR="003D5DB4" w:rsidRDefault="003D5DB4" w:rsidP="000A5389">
      <w:pPr>
        <w:spacing w:line="240" w:lineRule="auto"/>
      </w:pPr>
      <w:r w:rsidRPr="002E1B4B">
        <w:t>Términos de certeza de flujos de efectivo futuros: El proyecto tuvo Acta de Inicio con fecha 19 de agosto de 2019 para etapa de Construcción. La fecha de inicio de construcción se dio dos (2) años posteriores a lo estipulado contractualmente. A la fecha la Unidad Funcional - UF, UF1, UF2, UF3, UF4, tienen plazo de entrega vencido, hecho que generó incumplimiento. Posterior a ello, por "causas no imputables a las partes" fue suscrita el Acta de Terminación Anticipada y Otrosí Modificatorio No. 8 el 17/mayo de 2024 dando inició a la etapa de Reversión al Instituto Nacional de Vías – Invias en un plazo de trescientos (300) días que finalizan el 14/mar de 2025. Se suscribió el Acta de Reversión el 11/jun de 2025 por la Terminación Anticipada, con lo cual los recursos de aportes no son exigibles para las partes ya que no se estipula su continuidad, con lo cual las Vigencias Futuras de Aportes de la Entidad contratante a partir del 2024 no se estiman requeridas. Se suscribió Acta de Liquidación el 31/dic de 2025.</w:t>
      </w:r>
    </w:p>
    <w:p w14:paraId="1C3E10EA" w14:textId="77777777" w:rsidR="00AC2C3E" w:rsidRPr="002E1B4B" w:rsidRDefault="00AC2C3E" w:rsidP="000A5389">
      <w:pPr>
        <w:spacing w:line="240" w:lineRule="auto"/>
      </w:pPr>
    </w:p>
    <w:p w14:paraId="1539E00F" w14:textId="77777777" w:rsidR="003D5DB4" w:rsidRPr="002E1B4B" w:rsidRDefault="003D5DB4" w:rsidP="000A5389">
      <w:pPr>
        <w:spacing w:line="240" w:lineRule="auto"/>
      </w:pPr>
      <w:r w:rsidRPr="002E1B4B">
        <w:t>Naturaleza y alcance del derecho a utilizar Activos y los aspectos pactados en torno a lo que se espera que el concesionario proporcione en relación con el Acuerdo de concesión</w:t>
      </w:r>
    </w:p>
    <w:p w14:paraId="685569B3" w14:textId="77777777" w:rsidR="003D5DB4" w:rsidRPr="002E1B4B" w:rsidRDefault="003D5DB4" w:rsidP="000A5389">
      <w:pPr>
        <w:spacing w:line="240" w:lineRule="auto"/>
      </w:pPr>
      <w:r w:rsidRPr="002E1B4B">
        <w:t>Naturaleza y alcance del derecho de uso de los Activos</w:t>
      </w:r>
    </w:p>
    <w:p w14:paraId="2FC4F875" w14:textId="77777777" w:rsidR="003D5DB4" w:rsidRPr="002E1B4B" w:rsidRDefault="003D5DB4" w:rsidP="000A5389">
      <w:pPr>
        <w:spacing w:line="240" w:lineRule="auto"/>
      </w:pPr>
    </w:p>
    <w:p w14:paraId="327C60B8" w14:textId="77777777" w:rsidR="003D5DB4" w:rsidRDefault="003D5DB4" w:rsidP="000A5389">
      <w:pPr>
        <w:spacing w:line="240" w:lineRule="auto"/>
      </w:pPr>
      <w:r w:rsidRPr="002E1B4B">
        <w:t>Descripción: Los derechos que cedió el concedente al concesionario para explotar los activos en concesión, se encuentran en la parte General del Contrato capítulo III Aspectos Económicos del Contrato numeral 3.3 y se estableció que se ceden los peajes, derecho de recaudo e ingresos por explotación comercial.</w:t>
      </w:r>
    </w:p>
    <w:p w14:paraId="0327532F" w14:textId="77777777" w:rsidR="00AC2C3E" w:rsidRPr="002E1B4B" w:rsidRDefault="00AC2C3E" w:rsidP="000A5389">
      <w:pPr>
        <w:spacing w:line="240" w:lineRule="auto"/>
      </w:pPr>
    </w:p>
    <w:p w14:paraId="68973FDE" w14:textId="77777777" w:rsidR="003D5DB4" w:rsidRPr="002E1B4B" w:rsidRDefault="003D5DB4" w:rsidP="000A5389">
      <w:pPr>
        <w:spacing w:line="240" w:lineRule="auto"/>
      </w:pPr>
      <w:r w:rsidRPr="002E1B4B">
        <w:t>Observaciones: Activos para el desarrollo del acuerdo de concesión: literales (a) y (b) Entrega de la Infraestructura, del numeral 3.5, Parte Especial del Contrato de Concesión 002 de 2016. Sobre este tema existe Acta de Entrega de la Infraestructura por parte del Invias a Autovía Bucaramanga Pamplona con fecha del 21 de julio de 2016.De igual forma se suscribió el Acta de Reversión con el Invias recibiendo la infraestructura dejando pendientes que continúan en ejecución durante el primer semestre del año 2026 conforme a lo descrito en el Acta de Liquidación suscrito el 31/dic de 2025.</w:t>
      </w:r>
    </w:p>
    <w:p w14:paraId="512D06ED" w14:textId="77777777" w:rsidR="00AC2C3E" w:rsidRDefault="00AC2C3E" w:rsidP="000A5389">
      <w:pPr>
        <w:spacing w:line="240" w:lineRule="auto"/>
      </w:pPr>
    </w:p>
    <w:p w14:paraId="0D7A1D5D" w14:textId="16AEF656" w:rsidR="003D5DB4" w:rsidRPr="002E1B4B" w:rsidRDefault="003D5DB4" w:rsidP="000A5389">
      <w:pPr>
        <w:spacing w:line="240" w:lineRule="auto"/>
      </w:pPr>
      <w:r w:rsidRPr="002E1B4B">
        <w:t>Retribución al concesionario</w:t>
      </w:r>
    </w:p>
    <w:p w14:paraId="205D8513" w14:textId="77777777" w:rsidR="00AC2C3E" w:rsidRDefault="00AC2C3E" w:rsidP="000A5389">
      <w:pPr>
        <w:spacing w:line="240" w:lineRule="auto"/>
      </w:pPr>
    </w:p>
    <w:p w14:paraId="20C539FA" w14:textId="6EAEBDD4" w:rsidR="003D5DB4" w:rsidRDefault="003D5DB4" w:rsidP="000A5389">
      <w:pPr>
        <w:spacing w:line="240" w:lineRule="auto"/>
      </w:pPr>
      <w:r w:rsidRPr="002E1B4B">
        <w:t xml:space="preserve">Descripción: Se establece en el Contrato en la Parte General Capítulo III Aspectos Económicos del Contrato, numeral 3.1 Retribución al Concesionario literales a) al i) y, en la Parte Especial capítulo IV numeral 4.1 porcentaje </w:t>
      </w:r>
      <w:r w:rsidR="00AC2C3E" w:rsidRPr="002E1B4B">
        <w:t>de participación</w:t>
      </w:r>
      <w:r w:rsidRPr="002E1B4B">
        <w:t xml:space="preserve">  de  las  Unidades Funcionales para efectos de la Retribución y en el numeral 4.3 Cálculo de la Retribución. Debe tenerse en cuenta que el concesionario no terminó la UF1 y por ende las otras tres UF, con lo cual los recursos por Recaudo de Peaje se encuentran distribuidas conforme al porcentaje de distribución en subcuentas independientes en el Patrimonio Autónomo PA No. 3- 1-63994 PA Bucaramanga Pamplona.</w:t>
      </w:r>
    </w:p>
    <w:p w14:paraId="0AF91007" w14:textId="77777777" w:rsidR="00AC2C3E" w:rsidRPr="002E1B4B" w:rsidRDefault="00AC2C3E" w:rsidP="000A5389">
      <w:pPr>
        <w:spacing w:line="240" w:lineRule="auto"/>
      </w:pPr>
    </w:p>
    <w:p w14:paraId="494DE058" w14:textId="77777777" w:rsidR="003D5DB4" w:rsidRPr="002E1B4B" w:rsidRDefault="003D5DB4" w:rsidP="000A5389">
      <w:pPr>
        <w:spacing w:line="240" w:lineRule="auto"/>
      </w:pPr>
      <w:r w:rsidRPr="002E1B4B">
        <w:t>Tasa de retribución:</w:t>
      </w:r>
      <w:r w:rsidRPr="002E1B4B">
        <w:tab/>
        <w:t xml:space="preserve">La metodología para el cálculo de la carga financiera se obtiene a través del cálculo de una tasa resultante para mantener el equilibrio entre los recursos disponibles del proyecto y las obligaciones a pagar, tasa que asegura ese equilibrio del proyecto. De lo indicado en la parte especial del contrato de concesión, en el Capítulo II – (Tabla de Referencias de la Parte General), la TDI - Tasa de Descuento de Ingreso - es: </w:t>
      </w:r>
    </w:p>
    <w:p w14:paraId="4BA47678" w14:textId="77777777" w:rsidR="003D5DB4" w:rsidRPr="002E1B4B" w:rsidRDefault="003D5DB4" w:rsidP="000A5389">
      <w:pPr>
        <w:spacing w:line="240" w:lineRule="auto"/>
      </w:pPr>
      <w:r w:rsidRPr="002E1B4B">
        <w:t xml:space="preserve">• 3.4(a) La tasa de descuento real (TDI) expresada en términos efectivos mensuales, para efectos de este Proyecto, será de cero puntos cincuenta y cincuenta y siete cincuenta y tres por ciento (0,5753%) </w:t>
      </w:r>
    </w:p>
    <w:p w14:paraId="7F61C603" w14:textId="77777777" w:rsidR="003D5DB4" w:rsidRPr="002E1B4B" w:rsidRDefault="003D5DB4" w:rsidP="000A5389">
      <w:pPr>
        <w:spacing w:line="240" w:lineRule="auto"/>
      </w:pPr>
      <w:r w:rsidRPr="002E1B4B">
        <w:t xml:space="preserve">• 3.4 (f) La tasa de descuento real (TDI) expresada en términos efectivos mensuales, para efectos de este Proyecto, será de cero puntos cincuenta y siete cincuenta y tres por ciento (0,5753%) </w:t>
      </w:r>
    </w:p>
    <w:p w14:paraId="64F65AEC" w14:textId="77777777" w:rsidR="003D5DB4" w:rsidRDefault="003D5DB4" w:rsidP="000A5389">
      <w:pPr>
        <w:spacing w:line="240" w:lineRule="auto"/>
      </w:pPr>
      <w:r w:rsidRPr="002E1B4B">
        <w:t>18.3(d) La tasa de descuento real (TDI) expresada en términos efectivos mensuales, para efectos de este Proyecto, será de cero puntos cincuenta y siete cincuenta y tres por ciento (0,5753%)</w:t>
      </w:r>
    </w:p>
    <w:p w14:paraId="69BE6C68" w14:textId="77777777" w:rsidR="00AC2C3E" w:rsidRPr="002E1B4B" w:rsidRDefault="00AC2C3E" w:rsidP="000A5389">
      <w:pPr>
        <w:spacing w:line="240" w:lineRule="auto"/>
      </w:pPr>
    </w:p>
    <w:p w14:paraId="5A0AF70F" w14:textId="62AD06ED" w:rsidR="003D5DB4" w:rsidRPr="002E1B4B" w:rsidRDefault="003D5DB4" w:rsidP="000A5389">
      <w:pPr>
        <w:spacing w:line="240" w:lineRule="auto"/>
      </w:pPr>
      <w:r w:rsidRPr="002E1B4B">
        <w:t>Derechos a recibir Activos especificados al final del acuerdo de concesión</w:t>
      </w:r>
    </w:p>
    <w:p w14:paraId="5B5C81E9" w14:textId="77777777" w:rsidR="00AC2C3E" w:rsidRDefault="00AC2C3E" w:rsidP="000A5389">
      <w:pPr>
        <w:spacing w:line="240" w:lineRule="auto"/>
      </w:pPr>
    </w:p>
    <w:p w14:paraId="71B4E6CB" w14:textId="22EF8F63" w:rsidR="003D5DB4" w:rsidRDefault="003D5DB4" w:rsidP="000A5389">
      <w:pPr>
        <w:spacing w:line="240" w:lineRule="auto"/>
      </w:pPr>
      <w:r w:rsidRPr="002E1B4B">
        <w:lastRenderedPageBreak/>
        <w:t>Descripción: La sección 9.7 literales a) al (h) de la Parte General del Contrato establece lo correspondiente a la reversión, que se dará cuando concluya la etapa de Operación y Mantenimiento o cuando el Contrato se termine anticipadamente.</w:t>
      </w:r>
    </w:p>
    <w:p w14:paraId="58B4E09D" w14:textId="77777777" w:rsidR="00AC2C3E" w:rsidRPr="002E1B4B" w:rsidRDefault="00AC2C3E" w:rsidP="000A5389">
      <w:pPr>
        <w:spacing w:line="240" w:lineRule="auto"/>
      </w:pPr>
    </w:p>
    <w:p w14:paraId="4406EC9C" w14:textId="77777777" w:rsidR="003D5DB4" w:rsidRDefault="003D5DB4" w:rsidP="000A5389">
      <w:pPr>
        <w:spacing w:line="240" w:lineRule="auto"/>
      </w:pPr>
      <w:r w:rsidRPr="002E1B4B">
        <w:t>Observaciones: 1.51 "Entrega de la Infraestructura" La Entrega de la Infraestructura se entenderá realizada con la suscripción del Acta de Inicio o la expedición de la Orden de Inicio y comprenderá la entrega de las obras y Predios existentes en el estado en que se encuentren que se incorporarán en el Inventario de Activos de la Concesión correspondientes a cada una de las Unidades Funcionales. La Entrega de la Infraestructura se someterá al contenido de las resoluciones y demás actos expedidos por las Autoridades Estatales. Ni al momento de la Entrega de la Infraestructura ni en momento alguno de la ejecución del Contrato, el Concesionario podrá incluir reserva, condicionamiento, objeción u observación alguna relacionada con el estado de la infraestructura entregada, en tanto es obligación del Concesionario recibirla en el estado en que se encuentre. La Entrega de la Infraestructura en ningún caso implica la obligación por parte de la ANI de entregar los Predios correspondientes a las Fajas ni al Corredor del Proyecto.”</w:t>
      </w:r>
    </w:p>
    <w:p w14:paraId="2F64C7E4" w14:textId="77777777" w:rsidR="00AC2C3E" w:rsidRPr="002E1B4B" w:rsidRDefault="00AC2C3E" w:rsidP="000A5389">
      <w:pPr>
        <w:spacing w:line="240" w:lineRule="auto"/>
      </w:pPr>
    </w:p>
    <w:p w14:paraId="58B0080B" w14:textId="77777777" w:rsidR="003D5DB4" w:rsidRDefault="003D5DB4" w:rsidP="000A5389">
      <w:pPr>
        <w:spacing w:line="240" w:lineRule="auto"/>
      </w:pPr>
      <w:r w:rsidRPr="002E1B4B">
        <w:t>Las alternativas de renovación y cese del acuerdo</w:t>
      </w:r>
    </w:p>
    <w:p w14:paraId="0896CA8F" w14:textId="77777777" w:rsidR="00AC2C3E" w:rsidRPr="002E1B4B" w:rsidRDefault="00AC2C3E" w:rsidP="000A5389">
      <w:pPr>
        <w:spacing w:line="240" w:lineRule="auto"/>
      </w:pPr>
    </w:p>
    <w:p w14:paraId="743172FF" w14:textId="77777777" w:rsidR="003D5DB4" w:rsidRPr="002E1B4B" w:rsidRDefault="003D5DB4" w:rsidP="000A5389">
      <w:pPr>
        <w:spacing w:line="240" w:lineRule="auto"/>
      </w:pPr>
      <w:r w:rsidRPr="002E1B4B">
        <w:t xml:space="preserve">Descripción: En el Contrato de Concesión quedaron establecidas las situaciones que permitirían al Concesionario prorrogar el plazo del Acuerdo, como las Fuerzas Mayores y los Eventos Eximentes de Responsabilidad, que se encuentra en: Renovación del contrato: </w:t>
      </w:r>
    </w:p>
    <w:p w14:paraId="28159B25" w14:textId="77777777" w:rsidR="003D5DB4" w:rsidRPr="002E1B4B" w:rsidRDefault="003D5DB4" w:rsidP="000A5389">
      <w:pPr>
        <w:spacing w:line="240" w:lineRule="auto"/>
      </w:pPr>
      <w:r w:rsidRPr="002E1B4B">
        <w:t>PARTE GENERAL</w:t>
      </w:r>
    </w:p>
    <w:p w14:paraId="5FEDB3AE" w14:textId="77777777" w:rsidR="003D5DB4" w:rsidRPr="002E1B4B" w:rsidRDefault="003D5DB4" w:rsidP="000A5389">
      <w:pPr>
        <w:spacing w:line="240" w:lineRule="auto"/>
      </w:pPr>
      <w:r w:rsidRPr="002E1B4B">
        <w:t xml:space="preserve">    1.71 "Fuerza Mayor" o "Caso Fortuito"</w:t>
      </w:r>
    </w:p>
    <w:p w14:paraId="3D1300DD" w14:textId="77777777" w:rsidR="003D5DB4" w:rsidRPr="002E1B4B" w:rsidRDefault="003D5DB4" w:rsidP="000A5389">
      <w:pPr>
        <w:spacing w:line="240" w:lineRule="auto"/>
      </w:pPr>
      <w:r w:rsidRPr="002E1B4B">
        <w:t xml:space="preserve">    1.72 "Fuerza Mayor Ambiental"</w:t>
      </w:r>
    </w:p>
    <w:p w14:paraId="1D14F248" w14:textId="77777777" w:rsidR="003D5DB4" w:rsidRPr="002E1B4B" w:rsidRDefault="003D5DB4" w:rsidP="000A5389">
      <w:pPr>
        <w:spacing w:line="240" w:lineRule="auto"/>
      </w:pPr>
      <w:r w:rsidRPr="002E1B4B">
        <w:t xml:space="preserve">    1.73 "Fuerza Mayor por Redes"</w:t>
      </w:r>
    </w:p>
    <w:p w14:paraId="479F7F62" w14:textId="77777777" w:rsidR="003D5DB4" w:rsidRPr="002E1B4B" w:rsidRDefault="003D5DB4" w:rsidP="000A5389">
      <w:pPr>
        <w:spacing w:line="240" w:lineRule="auto"/>
      </w:pPr>
      <w:r w:rsidRPr="002E1B4B">
        <w:t xml:space="preserve">    1.74 "Fuerza Mayor Predial" </w:t>
      </w:r>
    </w:p>
    <w:p w14:paraId="4CE6BA87" w14:textId="77777777" w:rsidR="003D5DB4" w:rsidRPr="002E1B4B" w:rsidRDefault="003D5DB4" w:rsidP="000A5389">
      <w:pPr>
        <w:spacing w:line="240" w:lineRule="auto"/>
      </w:pPr>
      <w:r w:rsidRPr="002E1B4B">
        <w:t xml:space="preserve">  - Numeral 7.4: Fuerza Mayor Predial</w:t>
      </w:r>
    </w:p>
    <w:p w14:paraId="4A8EA469" w14:textId="77777777" w:rsidR="003D5DB4" w:rsidRPr="002E1B4B" w:rsidRDefault="003D5DB4" w:rsidP="000A5389">
      <w:pPr>
        <w:spacing w:line="240" w:lineRule="auto"/>
      </w:pPr>
      <w:r w:rsidRPr="002E1B4B">
        <w:t xml:space="preserve">  -Numeral 8.1, literal (e): Fuerza Mayor Ambiental </w:t>
      </w:r>
    </w:p>
    <w:p w14:paraId="5D46220A" w14:textId="77777777" w:rsidR="003D5DB4" w:rsidRPr="002E1B4B" w:rsidRDefault="003D5DB4" w:rsidP="000A5389">
      <w:pPr>
        <w:spacing w:line="240" w:lineRule="auto"/>
      </w:pPr>
      <w:r w:rsidRPr="002E1B4B">
        <w:t xml:space="preserve">  -Numeral 8.2, literal (i): Fuerza Mayor Redes </w:t>
      </w:r>
    </w:p>
    <w:p w14:paraId="6694C7ED" w14:textId="77777777" w:rsidR="003D5DB4" w:rsidRPr="002E1B4B" w:rsidRDefault="003D5DB4" w:rsidP="000A5389">
      <w:pPr>
        <w:spacing w:line="240" w:lineRule="auto"/>
      </w:pPr>
      <w:r w:rsidRPr="002E1B4B">
        <w:t xml:space="preserve">  -Numeral14.2. Evento Eximente de Responsabilidad.</w:t>
      </w:r>
    </w:p>
    <w:p w14:paraId="50FAE6BB" w14:textId="77777777" w:rsidR="00AC2C3E" w:rsidRDefault="00AC2C3E" w:rsidP="000A5389">
      <w:pPr>
        <w:spacing w:line="240" w:lineRule="auto"/>
      </w:pPr>
    </w:p>
    <w:p w14:paraId="74C6B752" w14:textId="1BE59110" w:rsidR="003D5DB4" w:rsidRPr="002E1B4B" w:rsidRDefault="003D5DB4" w:rsidP="000A5389">
      <w:pPr>
        <w:spacing w:line="240" w:lineRule="auto"/>
      </w:pPr>
      <w:r w:rsidRPr="002E1B4B">
        <w:t>Cese del contrato: Adicionalmente, en el Contrato, Parte General, capítulos XI CLÁUSULAS EXCEPCIONALES AL DERECHO COMÚN, XVII TÉRMINACIÓN DEL CONTRATO y XVIII LIQUIDACIÓN DEL CONTRATO, se encuentra las cláusulas para la Terminación Anticipada de la obligación contractual.</w:t>
      </w:r>
    </w:p>
    <w:p w14:paraId="776DF9A1" w14:textId="77777777" w:rsidR="00AC2C3E" w:rsidRDefault="00AC2C3E" w:rsidP="000A5389">
      <w:pPr>
        <w:spacing w:line="240" w:lineRule="auto"/>
      </w:pPr>
    </w:p>
    <w:p w14:paraId="0673B808" w14:textId="44727E8E" w:rsidR="003D5DB4" w:rsidRDefault="003D5DB4" w:rsidP="000A5389">
      <w:pPr>
        <w:spacing w:line="240" w:lineRule="auto"/>
      </w:pPr>
      <w:r w:rsidRPr="002E1B4B">
        <w:t xml:space="preserve">Observaciones: El día 28 de marzo de 2023 fue expedido el documento por parte del Tribunal de Arbitraje que intervenía frente a la demanda presentada el 15 de octubre de 2021 ante el centro de Arbitraje y Conciliación de la Cámara de Comercio de Bogotá, en la que el concesionario solicita cancelar y reversar el Contrato de Concesión por causas imputables a la ANI.   El Tribunal se instaló en Audiencia celebrada el 16 de diciembre de 2021 y ese mismo día mediante providencia el Tribunal inadmitió la demanda.  El demandante subsanó los defectos indicados y al Tribunal admitió la demanda mediante providencia del 29 de </w:t>
      </w:r>
      <w:r w:rsidRPr="002E1B4B">
        <w:lastRenderedPageBreak/>
        <w:t>diciembre de 2021. El 27 de abril de 2022 tuvo lugar la primera audiencia de trámite en la que el Tribunal asume la competencia para conocer y resolver en derecho las controversias surgidas entre las partes.  Posteriormente se te llevaron a cabo las pruebas documentales, interrogatorio, testimonios, dictamen pericial financiero y técnico entregado por el Concesionario. Luego de la revisión y análisis, las principales conclusiones a las pretensiones del Concesionario y que se determinan en el documento de marzo de 2023 es que el Contrato de Concesión se encuentra vigente, que la no obtención de una concertación con la Autoridad Municipal de Floridablanca para la utilización de la infraestructura vial terciaria requerida para la ejecución de las obras de la UF 1 constituye una circunstancia extraordinaria e imprevisible para el Concesionario y que no constituye un riesgo a cargo del Concesionario, por lo tanto no ha sido posible ejecutar la unidad funcional en los términos pactados en el contrato.  Al no poder ejecutar la Unidad funcional 1 afecta la posibilidad de obtener la financiación para ejecutar la totalidad del proyecto y afecta la posibilidad de ejecutar las unidades funcionales 2, 3 y 4.</w:t>
      </w:r>
    </w:p>
    <w:p w14:paraId="37243DF6" w14:textId="77777777" w:rsidR="00AC2C3E" w:rsidRPr="002E1B4B" w:rsidRDefault="00AC2C3E" w:rsidP="000A5389">
      <w:pPr>
        <w:spacing w:line="240" w:lineRule="auto"/>
      </w:pPr>
    </w:p>
    <w:p w14:paraId="2067CC79" w14:textId="77777777" w:rsidR="003D5DB4" w:rsidRDefault="003D5DB4" w:rsidP="000A5389">
      <w:pPr>
        <w:spacing w:line="240" w:lineRule="auto"/>
      </w:pPr>
      <w:r w:rsidRPr="002E1B4B">
        <w:t xml:space="preserve">Por lo anterior y mientras se revisa la viabilidad de hacer uso de los mecanismos establecidos en el Contrato, el Tribunal determina que no se cumplen los requisitos para que se dé la terminación anticipada del contrato de Concesión y se levantan las medidas cautelares consistentes en el proceso sancionatorio por el incumplimiento en el plan de obras y/o en la imposibilidad de efectuar fondeos por parte del Concesionario.  Lo que el Tribunal declaró fue el acaecimiento de circunstancias actuales y sobrevenidas que no tienen carácter permanente y concluyó que dichas circunstancias no aparejaban necesariamente la terminación del Contrato, porque en la actualidad dichas circunstancias no tienen carácter permanente y además el Contrato prevé mecanismos que operan ante el acaecimiento de tales circunstancias, respecto a las cuales las partes no han hecho uso. El Concesionario había indicado que el proceso de venta y cesión de la Concesión se adelantaría con la definición del tribunal de arbitramento que había iniciado. </w:t>
      </w:r>
    </w:p>
    <w:p w14:paraId="6E3DF23D" w14:textId="77777777" w:rsidR="00AC2C3E" w:rsidRPr="002E1B4B" w:rsidRDefault="00AC2C3E" w:rsidP="000A5389">
      <w:pPr>
        <w:spacing w:line="240" w:lineRule="auto"/>
      </w:pPr>
    </w:p>
    <w:p w14:paraId="491BEEF6" w14:textId="77777777" w:rsidR="003D5DB4" w:rsidRPr="002E1B4B" w:rsidRDefault="003D5DB4" w:rsidP="000A5389">
      <w:pPr>
        <w:spacing w:line="240" w:lineRule="auto"/>
      </w:pPr>
      <w:r w:rsidRPr="002E1B4B">
        <w:t>El 13 de julio de 2023, se retomó la sesión de audiencia en etapa de recurso de reposición que había sido suspendida acatando la suspensión del PAS proferida por el tribunal arbitral del Centro de arbitraje y conciliación de la cámara de comercio. Atendiendo la circunstancia sobreviniente acontecida mediante laudo arbitral de fecha 28 de marzo de 2023 resuelve:</w:t>
      </w:r>
    </w:p>
    <w:p w14:paraId="4FAB2543" w14:textId="148B6EF2" w:rsidR="003D5DB4" w:rsidRDefault="00AC2C3E" w:rsidP="000A5389">
      <w:pPr>
        <w:spacing w:line="240" w:lineRule="auto"/>
      </w:pPr>
      <w:r w:rsidRPr="002E1B4B">
        <w:t>“ARTÍCULO</w:t>
      </w:r>
      <w:r w:rsidR="003D5DB4" w:rsidRPr="002E1B4B">
        <w:t xml:space="preserve"> PRIMERO: REVOCAR en su integridad la Resolución 20227070006885 de fecha 27 de mayo de 2022, “Por medio de la cual se adopta una decisión de fondo dentro del Procedimiento Administrativo Sancionatorio Contractual iniciado en contra del Concesionario Sociedad AUTOVÍA BUCARAMANGA PAMPLONA S.A.S., por el presunto incumplimiento de obligaciones previstas en el numeral 4.5. de la Parte General, literal (a) y en el Capítulo IV “Aspectos Económicos del Contrato” numeral 4.5 “Fondeo de Subcuentas del Patrimonio Autónomo”, sub-numerales (e) Subcuenta Interventoría y Supervisión, (g) Subcuenta MASC y (h) Subcuenta Policía de Carreteras de la Parte Especial del Contrato de Concesión No. 002 de 2016, Proyecto Bucaramanga – Pamplona” por las razones expuestas en la parte motiva del presente acto administrativo.</w:t>
      </w:r>
    </w:p>
    <w:p w14:paraId="6521FCC8" w14:textId="77777777" w:rsidR="00AC2C3E" w:rsidRPr="002E1B4B" w:rsidRDefault="00AC2C3E" w:rsidP="000A5389">
      <w:pPr>
        <w:spacing w:line="240" w:lineRule="auto"/>
      </w:pPr>
    </w:p>
    <w:p w14:paraId="73C169A2" w14:textId="77777777" w:rsidR="003D5DB4" w:rsidRPr="002E1B4B" w:rsidRDefault="003D5DB4" w:rsidP="000A5389">
      <w:pPr>
        <w:spacing w:line="240" w:lineRule="auto"/>
      </w:pPr>
      <w:r w:rsidRPr="002E1B4B">
        <w:lastRenderedPageBreak/>
        <w:t>ARTÍCULO SEGUNDO: DECLARAR la terminación del procedimiento administrativo sancionatorio Contractual contra el Concesionario Autovía Bucaramanga Pamplona S.A.S., por el presunto incumplimiento de las obligaciones previstas en el numeral 4.5. de la Parte General, literal (a) y en el Capítulo IV “Aspectos Económicos del Contrato” Numeral 4.5 “Fondeo de Subcuentas del Patrimonio Autónomo”, subnumerales (e) Subcuenta Interventoría y Supervisión, (g) Subcuenta MASC y (h) Subcuenta Policía de Carreteras de la Parte Especial del Contrato de Concesión No. 002 de 2016, Proyecto Bucaramanga – Pamplona, de conformidad con lo expuesto en la parte motiva”.</w:t>
      </w:r>
    </w:p>
    <w:p w14:paraId="5DFE5413" w14:textId="77777777" w:rsidR="003D5DB4" w:rsidRDefault="003D5DB4" w:rsidP="000A5389">
      <w:pPr>
        <w:spacing w:line="240" w:lineRule="auto"/>
      </w:pPr>
      <w:r w:rsidRPr="002E1B4B">
        <w:t>El Concesionario, primero, radicó comunicación a la ANI49335 - S02018083 del 19 de septiembre de 2023 solicitando “(…) dar por terminado en forma inmediata el Contrato de Concesión No. 002 de 2016 y programar mesas de trabajo con el Concesionario para definir los aspectos relacionados con su liquidación y la reversión del Proyecto”, segundo, instauró demanda arbitral en contra de ANI el 25 de septiembre de 2023.</w:t>
      </w:r>
    </w:p>
    <w:p w14:paraId="5A77BE92" w14:textId="77777777" w:rsidR="00AC2C3E" w:rsidRPr="002E1B4B" w:rsidRDefault="00AC2C3E" w:rsidP="000A5389">
      <w:pPr>
        <w:spacing w:line="240" w:lineRule="auto"/>
      </w:pPr>
    </w:p>
    <w:p w14:paraId="00EC5039" w14:textId="77777777" w:rsidR="003D5DB4" w:rsidRPr="002E1B4B" w:rsidRDefault="003D5DB4" w:rsidP="000A5389">
      <w:pPr>
        <w:spacing w:line="240" w:lineRule="auto"/>
      </w:pPr>
      <w:r w:rsidRPr="002E1B4B">
        <w:t>El concesionario firmó el Acta Terminación Anticipada del Contrato Otrosí Modificatorio N°8 el 17/mayo con lo cual inició la etapa de Reversión en un plazo de trescientos (300) días, y se preparó esta Interventoría con las diferentes áreas de seguimiento, a propender por buscar el cierre de temas pendientes, atención de zonas críticas identificadas, entre otras actividades.</w:t>
      </w:r>
    </w:p>
    <w:p w14:paraId="04CE3CBA" w14:textId="77777777" w:rsidR="003D5DB4" w:rsidRPr="002E1B4B" w:rsidRDefault="003D5DB4" w:rsidP="000A5389">
      <w:pPr>
        <w:spacing w:line="240" w:lineRule="auto"/>
      </w:pPr>
      <w:r w:rsidRPr="002E1B4B">
        <w:t>En lo que respecta a esta Subdirección, las mesas de trabajo se han realizado a la fecha buscan la obtención de los soportes de gasto de la concesión que es el producto de esta etapa, teniendo en cuenta el literal (f), del numeral 18.3 Fórmulas de Liquidación del Contrato, de la Parte General del Contrato de Concesión 002 de 2016, reuniones de planeación y análisis que propendan a tener claro cada una de las erogaciones que tuvo el concesionario desde el inicio de su ejecución en jul/2016.</w:t>
      </w:r>
    </w:p>
    <w:p w14:paraId="76FC70E1" w14:textId="77777777" w:rsidR="003D5DB4" w:rsidRDefault="003D5DB4" w:rsidP="000A5389">
      <w:pPr>
        <w:spacing w:line="240" w:lineRule="auto"/>
      </w:pPr>
      <w:r w:rsidRPr="002E1B4B">
        <w:t>Se debe tener en cuenta que los Aportes esperados a las diferentes subcuentas del PA ya no se consideran requeridos debido a la etapa de Reversión en la que se encuentra el contrato de concesión, y los mismos no hacen parte de la obligación por parte del concesionario o la ANI como así respecta conforme al Acta Terminación Anticipada del Contrato Otrosí Modificatorio N°8.</w:t>
      </w:r>
    </w:p>
    <w:p w14:paraId="51E2D031" w14:textId="77777777" w:rsidR="00AC2C3E" w:rsidRPr="002E1B4B" w:rsidRDefault="00AC2C3E" w:rsidP="000A5389">
      <w:pPr>
        <w:spacing w:line="240" w:lineRule="auto"/>
      </w:pPr>
    </w:p>
    <w:p w14:paraId="4D834DBF" w14:textId="77777777" w:rsidR="003D5DB4" w:rsidRDefault="003D5DB4" w:rsidP="000A5389">
      <w:pPr>
        <w:spacing w:line="240" w:lineRule="auto"/>
      </w:pPr>
      <w:r w:rsidRPr="002E1B4B">
        <w:t>El 12/mar de 2025 se suscribió el Acta Declaratoria de la Ocurrencia de un Evento Eximente de Responsabilidad, en el cual se otorga por este hecho un “periodo especial” de noventa (90) días para “cumplir las obligaciones derivadas de la Intervenciones detalladas en el Acuerdo Primero”, por tanto da como resultado que la etapa de Reversión termine ahora el 11/jun de 2025.</w:t>
      </w:r>
    </w:p>
    <w:p w14:paraId="5FA2DF88" w14:textId="77777777" w:rsidR="00AC2C3E" w:rsidRPr="002E1B4B" w:rsidRDefault="00AC2C3E" w:rsidP="000A5389">
      <w:pPr>
        <w:spacing w:line="240" w:lineRule="auto"/>
      </w:pPr>
    </w:p>
    <w:p w14:paraId="414A8974" w14:textId="77777777" w:rsidR="003D5DB4" w:rsidRDefault="003D5DB4" w:rsidP="000A5389">
      <w:pPr>
        <w:spacing w:line="240" w:lineRule="auto"/>
      </w:pPr>
      <w:r w:rsidRPr="002E1B4B">
        <w:t xml:space="preserve">El 12/jun de 2025 se inició la etapa de Liquidación del contrato habiendo entregado el proyecto vial al INVIAS con el Acta de Reversión suscrita por las partes. El 09/dic de 2025, fecha en la cual terminaba los seis (6) meses de Liquidación del contrato de concesión,  se suscribió un Acta de Entendimiento y Confidencialidad el 19/nov de 2025 que en particular le otorga Suspensión a los términos de respuesta a la Demanda Arbitral interpuesta por el concesionario en el Centro de Arbitraje y Conciliación de la CCB y, entre otros compromisos, a la parte Financiera de la Interventoría se le solicitó generar y entregar a la ANI la Certificación de la Variable ARh para el 01/dic de 2025 y el Valor de Liquidación del proyecto </w:t>
      </w:r>
      <w:r w:rsidRPr="002E1B4B">
        <w:lastRenderedPageBreak/>
        <w:t>vial para el 05/dic de 2025, hechos que la Interventoría cumplió con los tiempos establecidos. Durante el mes de dic/2025 se desarrollaron mesas de Trabajo para atender la construcción del Acta de Liquidación de mutuo acuerdo que consolidó: el pago del Valor de Liquidación conforme a la certificación de la Variable ARh entregada por la Interventoría, y aquellas actividades propuestas para la finalización de los pendientes del Acta de Reversión y Otros que las áreas Técnica, Predial y Ambiental para sean entregadas por el concesionario resueltas en su totalidad. El Acta de Liquidación se suscribió el 31/dic de 2025.</w:t>
      </w:r>
    </w:p>
    <w:p w14:paraId="1FA4B810" w14:textId="77777777" w:rsidR="00AC2C3E" w:rsidRPr="002E1B4B" w:rsidRDefault="00AC2C3E" w:rsidP="000A5389">
      <w:pPr>
        <w:spacing w:line="240" w:lineRule="auto"/>
      </w:pPr>
    </w:p>
    <w:p w14:paraId="638804A6" w14:textId="77777777" w:rsidR="003D5DB4" w:rsidRPr="002E1B4B" w:rsidRDefault="003D5DB4" w:rsidP="000A5389">
      <w:pPr>
        <w:spacing w:line="240" w:lineRule="auto"/>
      </w:pPr>
      <w:r w:rsidRPr="002E1B4B">
        <w:t>Cambios en el acuerdo de concesión que se realicen durante el periodo fiscal</w:t>
      </w:r>
    </w:p>
    <w:p w14:paraId="3B57DB65" w14:textId="77777777" w:rsidR="00AC2C3E" w:rsidRDefault="00AC2C3E" w:rsidP="000A5389">
      <w:pPr>
        <w:spacing w:line="240" w:lineRule="auto"/>
      </w:pPr>
    </w:p>
    <w:p w14:paraId="74274884" w14:textId="01D3F482" w:rsidR="003D5DB4" w:rsidRDefault="003D5DB4" w:rsidP="000A5389">
      <w:pPr>
        <w:spacing w:line="240" w:lineRule="auto"/>
      </w:pPr>
      <w:r w:rsidRPr="002E1B4B">
        <w:t>Adiciones o modificaciones en tiempo</w:t>
      </w:r>
    </w:p>
    <w:p w14:paraId="6D8426DE" w14:textId="77777777" w:rsidR="00AC2C3E" w:rsidRPr="002E1B4B" w:rsidRDefault="00AC2C3E" w:rsidP="000A5389">
      <w:pPr>
        <w:spacing w:line="240" w:lineRule="auto"/>
      </w:pPr>
    </w:p>
    <w:p w14:paraId="2215E598" w14:textId="77777777" w:rsidR="003D5DB4" w:rsidRPr="002E1B4B" w:rsidRDefault="003D5DB4" w:rsidP="000A5389">
      <w:pPr>
        <w:spacing w:line="240" w:lineRule="auto"/>
      </w:pPr>
      <w:r w:rsidRPr="002E1B4B">
        <w:t>Fechas de las adiciones o modificaciones: Aplica- Hubo modificación de tiempo.</w:t>
      </w:r>
    </w:p>
    <w:p w14:paraId="3D15B297" w14:textId="77777777" w:rsidR="003D5DB4" w:rsidRPr="002E1B4B" w:rsidRDefault="003D5DB4" w:rsidP="000A5389">
      <w:pPr>
        <w:spacing w:line="240" w:lineRule="auto"/>
      </w:pPr>
      <w:r w:rsidRPr="002E1B4B">
        <w:t>Nueva Fecha de finalización estimada: 08/06/2026</w:t>
      </w:r>
    </w:p>
    <w:p w14:paraId="748BF285" w14:textId="77777777" w:rsidR="00AC2C3E" w:rsidRDefault="00AC2C3E" w:rsidP="000A5389">
      <w:pPr>
        <w:spacing w:line="240" w:lineRule="auto"/>
      </w:pPr>
    </w:p>
    <w:p w14:paraId="04711171" w14:textId="34888610" w:rsidR="003D5DB4" w:rsidRPr="002E1B4B" w:rsidRDefault="003D5DB4" w:rsidP="000A5389">
      <w:pPr>
        <w:spacing w:line="240" w:lineRule="auto"/>
      </w:pPr>
      <w:r w:rsidRPr="002E1B4B">
        <w:t>Observaciones: Se suscribe el Acta de Liquidación del contrato de concesión el 31/dic de 2025 dejando actividades pendientes de cierre articuladas en Cláusula Séptima de la citada Acta, que se realizaran por el concesionario hasta el mes de junio de 2026 a más tardar. - De igual forma con el Acta de Entendimiento y Confidencialidad entre el concesionario y la ANI suscrita el 19/nov de 2025 que en particular le otorga Suspensión a los términos de respuesta a la Demanda Arbitral interpuesta por el concesionario en el Centro de Arbitraje y Conciliación de la CCB a la ANI, genera la posibilidad de reformulación de la Demanda por lo no conciliado en el Acta de Liquidación. - Los Activos, aunque fueron entregados al Invias, en el Acta de Reversión quedaron pendientes que aún no han sido subsanados por el concesionario y que se encuentran en el Acta de Liquidación.</w:t>
      </w:r>
    </w:p>
    <w:p w14:paraId="38A052F7" w14:textId="77777777" w:rsidR="00AC2C3E" w:rsidRDefault="00AC2C3E" w:rsidP="000A5389">
      <w:pPr>
        <w:spacing w:line="240" w:lineRule="auto"/>
      </w:pPr>
    </w:p>
    <w:p w14:paraId="00B6D394" w14:textId="37E3C8EF" w:rsidR="003D5DB4" w:rsidRPr="002E1B4B" w:rsidRDefault="003D5DB4" w:rsidP="000A5389">
      <w:pPr>
        <w:spacing w:line="240" w:lineRule="auto"/>
      </w:pPr>
      <w:r w:rsidRPr="002E1B4B">
        <w:t>Adiciones o modificaciones en valor</w:t>
      </w:r>
    </w:p>
    <w:p w14:paraId="60AC9DE9" w14:textId="77777777" w:rsidR="00AC2C3E" w:rsidRDefault="00AC2C3E" w:rsidP="000A5389">
      <w:pPr>
        <w:spacing w:line="240" w:lineRule="auto"/>
      </w:pPr>
    </w:p>
    <w:p w14:paraId="00DF78BC" w14:textId="799B94E9" w:rsidR="003D5DB4" w:rsidRPr="002E1B4B" w:rsidRDefault="003D5DB4" w:rsidP="000A5389">
      <w:pPr>
        <w:spacing w:line="240" w:lineRule="auto"/>
      </w:pPr>
      <w:r w:rsidRPr="002E1B4B">
        <w:t>Valor de la adición o modificación: Aplica- Hubo modificación del valor.</w:t>
      </w:r>
    </w:p>
    <w:p w14:paraId="18277EF8" w14:textId="77777777" w:rsidR="003D5DB4" w:rsidRPr="002E1B4B" w:rsidRDefault="003D5DB4" w:rsidP="000A5389">
      <w:pPr>
        <w:spacing w:line="240" w:lineRule="auto"/>
      </w:pPr>
      <w:r w:rsidRPr="002E1B4B">
        <w:t>Nuevo valor del acuerdo: $ 803.231.037.847 pesos corrientes</w:t>
      </w:r>
    </w:p>
    <w:p w14:paraId="11406ED6" w14:textId="77777777" w:rsidR="00AC2C3E" w:rsidRDefault="00AC2C3E" w:rsidP="000A5389">
      <w:pPr>
        <w:spacing w:line="240" w:lineRule="auto"/>
      </w:pPr>
    </w:p>
    <w:p w14:paraId="3E3EB7B0" w14:textId="5932E9CE" w:rsidR="003D5DB4" w:rsidRDefault="003D5DB4" w:rsidP="000A5389">
      <w:pPr>
        <w:spacing w:line="240" w:lineRule="auto"/>
      </w:pPr>
      <w:r w:rsidRPr="002E1B4B">
        <w:t>Observaciones: El valor es el resultado de aplicar la fórmula de Liquidación contemplada en la Sección 18.3 (f) del contrato de concesión y consignado en la cláusula Primera del Acta de Liquidación.</w:t>
      </w:r>
    </w:p>
    <w:p w14:paraId="50968BAB" w14:textId="77777777" w:rsidR="00AC2C3E" w:rsidRPr="002E1B4B" w:rsidRDefault="00AC2C3E" w:rsidP="000A5389">
      <w:pPr>
        <w:spacing w:line="240" w:lineRule="auto"/>
      </w:pPr>
    </w:p>
    <w:p w14:paraId="07199FFD" w14:textId="77777777" w:rsidR="003D5DB4" w:rsidRPr="002E1B4B" w:rsidRDefault="003D5DB4" w:rsidP="000A5389">
      <w:pPr>
        <w:spacing w:line="240" w:lineRule="auto"/>
      </w:pPr>
    </w:p>
    <w:p w14:paraId="7D1B5BD0" w14:textId="77777777" w:rsidR="003D5DB4" w:rsidRDefault="003D5DB4" w:rsidP="000A5389">
      <w:pPr>
        <w:spacing w:line="240" w:lineRule="auto"/>
        <w:rPr>
          <w:i/>
          <w:iCs/>
        </w:rPr>
      </w:pPr>
      <w:r w:rsidRPr="00AC2C3E">
        <w:rPr>
          <w:i/>
          <w:iCs/>
        </w:rPr>
        <w:t>CONCESIÓN VIAS DEL NUS</w:t>
      </w:r>
    </w:p>
    <w:p w14:paraId="4D97CB2D" w14:textId="77777777" w:rsidR="00AC2C3E" w:rsidRPr="00AC2C3E" w:rsidRDefault="00AC2C3E" w:rsidP="000A5389">
      <w:pPr>
        <w:spacing w:line="240" w:lineRule="auto"/>
        <w:rPr>
          <w:i/>
          <w:iCs/>
        </w:rPr>
      </w:pPr>
    </w:p>
    <w:p w14:paraId="1D9E2F87" w14:textId="77777777" w:rsidR="003D5DB4" w:rsidRPr="002E1B4B" w:rsidRDefault="003D5DB4" w:rsidP="000A5389">
      <w:pPr>
        <w:spacing w:line="240" w:lineRule="auto"/>
      </w:pPr>
      <w:r w:rsidRPr="002E1B4B">
        <w:t>Descripción del Acuerdo</w:t>
      </w:r>
    </w:p>
    <w:p w14:paraId="58921659" w14:textId="77777777" w:rsidR="003D5DB4" w:rsidRPr="002E1B4B" w:rsidRDefault="003D5DB4" w:rsidP="000A5389">
      <w:pPr>
        <w:spacing w:line="240" w:lineRule="auto"/>
      </w:pPr>
      <w:r w:rsidRPr="002E1B4B">
        <w:t>Número del Acuerdo de concesión:  APP No. 001 de 2016 del 26 de enero de 2016</w:t>
      </w:r>
    </w:p>
    <w:p w14:paraId="4E4241EA" w14:textId="77777777" w:rsidR="00AC2C3E" w:rsidRDefault="003D5DB4" w:rsidP="000A5389">
      <w:pPr>
        <w:spacing w:line="240" w:lineRule="auto"/>
      </w:pPr>
      <w:r w:rsidRPr="002E1B4B">
        <w:t xml:space="preserve">Objeto / Descripción: El presente Contrato de concesión bajo un esquema de asociación público-privada de </w:t>
      </w:r>
      <w:r w:rsidRPr="002E1B4B">
        <w:tab/>
        <w:t xml:space="preserve">iniciativa privada en los términos de la Ley 1508 de 2012, tiene por objeto el otorgamiento de una </w:t>
      </w:r>
      <w:r w:rsidRPr="002E1B4B">
        <w:tab/>
        <w:t xml:space="preserve">concesión para que, de conformidad con lo previsto en este </w:t>
      </w:r>
      <w:r w:rsidRPr="002E1B4B">
        <w:tab/>
        <w:t xml:space="preserve">Contrato, el Concesionario, por su </w:t>
      </w:r>
      <w:r w:rsidRPr="002E1B4B">
        <w:tab/>
        <w:t xml:space="preserve">cuenta y riesgo, lleve a cabo el Proyecto. El </w:t>
      </w:r>
    </w:p>
    <w:p w14:paraId="769ABBBD" w14:textId="77777777" w:rsidR="00AC2C3E" w:rsidRDefault="00AC2C3E" w:rsidP="000A5389">
      <w:pPr>
        <w:spacing w:line="240" w:lineRule="auto"/>
      </w:pPr>
    </w:p>
    <w:p w14:paraId="77703908" w14:textId="5EE79DB9" w:rsidR="003D5DB4" w:rsidRPr="002E1B4B" w:rsidRDefault="003D5DB4" w:rsidP="000A5389">
      <w:pPr>
        <w:spacing w:line="240" w:lineRule="auto"/>
      </w:pPr>
      <w:r w:rsidRPr="002E1B4B">
        <w:t xml:space="preserve">alcance </w:t>
      </w:r>
      <w:r w:rsidRPr="002E1B4B">
        <w:tab/>
        <w:t>físico del Proyecto se describe en la Parte Especial y en el Apéndice Técnico 1.</w:t>
      </w:r>
    </w:p>
    <w:p w14:paraId="2748ECE8" w14:textId="77777777" w:rsidR="003D5DB4" w:rsidRPr="002E1B4B" w:rsidRDefault="003D5DB4" w:rsidP="000A5389">
      <w:pPr>
        <w:spacing w:line="240" w:lineRule="auto"/>
      </w:pPr>
      <w:r w:rsidRPr="002E1B4B">
        <w:t>Valor inicial:</w:t>
      </w:r>
      <w:r w:rsidRPr="002E1B4B">
        <w:tab/>
        <w:t>$ 2.490.135.961.386 pesos constantes de diciembre de 2013.</w:t>
      </w:r>
    </w:p>
    <w:p w14:paraId="33B543A5" w14:textId="77777777" w:rsidR="003D5DB4" w:rsidRPr="002E1B4B" w:rsidRDefault="003D5DB4" w:rsidP="000A5389">
      <w:pPr>
        <w:spacing w:line="240" w:lineRule="auto"/>
      </w:pPr>
      <w:r w:rsidRPr="002E1B4B">
        <w:t>Fecha de inicio: 9/03/2016</w:t>
      </w:r>
    </w:p>
    <w:p w14:paraId="4BF0CFBB" w14:textId="77777777" w:rsidR="003D5DB4" w:rsidRPr="002E1B4B" w:rsidRDefault="003D5DB4" w:rsidP="000A5389">
      <w:pPr>
        <w:spacing w:line="240" w:lineRule="auto"/>
      </w:pPr>
      <w:r w:rsidRPr="002E1B4B">
        <w:t>Fecha de finalización estimada: 8/03/2046</w:t>
      </w:r>
    </w:p>
    <w:p w14:paraId="705E1B03" w14:textId="77777777" w:rsidR="003D5DB4" w:rsidRPr="002E1B4B" w:rsidRDefault="003D5DB4" w:rsidP="000A5389">
      <w:pPr>
        <w:spacing w:line="240" w:lineRule="auto"/>
      </w:pPr>
      <w:r w:rsidRPr="002E1B4B">
        <w:t>Tipo ID:</w:t>
      </w:r>
      <w:r w:rsidRPr="002E1B4B">
        <w:tab/>
        <w:t>NIT</w:t>
      </w:r>
    </w:p>
    <w:p w14:paraId="653F3960" w14:textId="77777777" w:rsidR="003D5DB4" w:rsidRPr="002E1B4B" w:rsidRDefault="003D5DB4" w:rsidP="000A5389">
      <w:pPr>
        <w:spacing w:line="240" w:lineRule="auto"/>
      </w:pPr>
      <w:r w:rsidRPr="002E1B4B">
        <w:t>Número ID:</w:t>
      </w:r>
      <w:r w:rsidRPr="002E1B4B">
        <w:tab/>
        <w:t>900.920.562</w:t>
      </w:r>
    </w:p>
    <w:p w14:paraId="4588F84F" w14:textId="77777777" w:rsidR="003D5DB4" w:rsidRPr="002E1B4B" w:rsidRDefault="003D5DB4" w:rsidP="000A5389">
      <w:pPr>
        <w:spacing w:line="240" w:lineRule="auto"/>
      </w:pPr>
      <w:r w:rsidRPr="002E1B4B">
        <w:t>Razón social del concesionario: CONCESIÓN VIAS DEL NUS SAS</w:t>
      </w:r>
    </w:p>
    <w:p w14:paraId="32AABFC6" w14:textId="77777777" w:rsidR="003D5DB4" w:rsidRPr="002E1B4B" w:rsidRDefault="003D5DB4" w:rsidP="000A5389">
      <w:pPr>
        <w:spacing w:line="240" w:lineRule="auto"/>
      </w:pPr>
      <w:r w:rsidRPr="002E1B4B">
        <w:t>Nombre del proyecto: CONCESIÓN VIAS DEL NUS</w:t>
      </w:r>
    </w:p>
    <w:p w14:paraId="5B8BD6EF" w14:textId="77777777" w:rsidR="003D5DB4" w:rsidRPr="002E1B4B" w:rsidRDefault="003D5DB4" w:rsidP="000A5389">
      <w:pPr>
        <w:spacing w:line="240" w:lineRule="auto"/>
      </w:pPr>
    </w:p>
    <w:p w14:paraId="1EC17E05" w14:textId="77777777" w:rsidR="003D5DB4" w:rsidRDefault="003D5DB4" w:rsidP="000A5389">
      <w:pPr>
        <w:spacing w:line="240" w:lineRule="auto"/>
      </w:pPr>
      <w:r w:rsidRPr="002E1B4B">
        <w:t>Términos significativos del Acuerdo que puedan afectar su valor, el calendario y la certeza de los flujos de efectivo futuros</w:t>
      </w:r>
    </w:p>
    <w:p w14:paraId="79BAE61E" w14:textId="77777777" w:rsidR="00AC2C3E" w:rsidRPr="002E1B4B" w:rsidRDefault="00AC2C3E" w:rsidP="000A5389">
      <w:pPr>
        <w:spacing w:line="240" w:lineRule="auto"/>
      </w:pPr>
    </w:p>
    <w:p w14:paraId="000C4E93" w14:textId="77777777" w:rsidR="003D5DB4" w:rsidRDefault="003D5DB4" w:rsidP="000A5389">
      <w:pPr>
        <w:spacing w:line="240" w:lineRule="auto"/>
      </w:pPr>
      <w:r w:rsidRPr="002E1B4B">
        <w:t xml:space="preserve">Términos de valor: Estaciones de peaje: Cisneros, Pandequeso, Trapiche y Cabildo La Resolución vigente del proyecto es la numero 20253040026425 con fecha 7 de julio de 2025, mediante la cual se establecieron los mecanismos de normalización del esquema tarifario de la estación de peaje Cisneros, y se dictan otras disposiciones para las estaciones de peaje Trapiche, Cabildo, Cisneros y Pandequeso pertenecientes al Contrato de Concesión 001 del 2016. Anteriormente, las Resoluciones No. 3597 del 29 de septiembre de 2015, No. 3023 del 08 de agosto de 2017 y la Resolución número 20223040001825 que se emitió en enero de 2022 establecieron “tarifas diferenciales en las categorías I y II en las estaciones de Peaje denominadas Trapiche, Cabildo, Pandequeso y Cisneros pertenecientes al proyecto de asociación publico privada de iniciativa privada denominado Vías del Nus (Vinus) y se modifica el artículo 2 de la Resolución No. 0003597 del 29 de septiembre de 2015, modificado por el artículo 1 de la Resolución No. 0003023 del 8 de agosto de 2017, y se dictan otras disposiciones. “Aportes ANI. En este caso no aplica por corresponder a una iniciativa privada sin recursos públicos. </w:t>
      </w:r>
    </w:p>
    <w:p w14:paraId="32E0CF79" w14:textId="77777777" w:rsidR="00AC2C3E" w:rsidRPr="002E1B4B" w:rsidRDefault="00AC2C3E" w:rsidP="000A5389">
      <w:pPr>
        <w:spacing w:line="240" w:lineRule="auto"/>
      </w:pPr>
    </w:p>
    <w:p w14:paraId="732F1F30" w14:textId="77777777" w:rsidR="003D5DB4" w:rsidRDefault="003D5DB4" w:rsidP="000A5389">
      <w:pPr>
        <w:spacing w:line="240" w:lineRule="auto"/>
      </w:pPr>
      <w:r w:rsidRPr="002E1B4B">
        <w:t>Términos de calendario:  A 31 de diciembre de 2025, el avance de obra en las 5 unidades funcionales es el 100%. En el modelo contable al cierre de 2025, el valor del CAPEX, OPEX y Mantenimiento Mayor se ajustó teniendo en cuenta las ponderaciones del apéndice financiero y el avance real del proyecto, conforme lo establecido en la guía contable La fecha estimada para la entrega de la infraestructura del Concesionario a la ANI de acuerdo con el plazo de duración del contrato que son 30 años que sería el 8 de marzo de 2046.</w:t>
      </w:r>
    </w:p>
    <w:p w14:paraId="67DC5E1F" w14:textId="77777777" w:rsidR="00AC2C3E" w:rsidRPr="002E1B4B" w:rsidRDefault="00AC2C3E" w:rsidP="000A5389">
      <w:pPr>
        <w:spacing w:line="240" w:lineRule="auto"/>
      </w:pPr>
    </w:p>
    <w:p w14:paraId="71CC60B5" w14:textId="77777777" w:rsidR="003D5DB4" w:rsidRPr="002E1B4B" w:rsidRDefault="003D5DB4" w:rsidP="000A5389">
      <w:pPr>
        <w:spacing w:line="240" w:lineRule="auto"/>
      </w:pPr>
      <w:r w:rsidRPr="002E1B4B">
        <w:t>Términos de certeza de flujos de efectivo futuros: Las variables que pueden afectar los flujos de efectivo son principalmente el riesgo por sobrecostos y el riesgo por menor recaudo. Ver Capítulo XIII Ecuación Contractual y Asignación de Riesgos del Contrato de Concesión.</w:t>
      </w:r>
    </w:p>
    <w:p w14:paraId="48A6F95D" w14:textId="77777777" w:rsidR="003D5DB4" w:rsidRPr="002E1B4B" w:rsidRDefault="003D5DB4" w:rsidP="000A5389">
      <w:pPr>
        <w:spacing w:line="240" w:lineRule="auto"/>
      </w:pPr>
    </w:p>
    <w:p w14:paraId="48B93722" w14:textId="77777777" w:rsidR="003D5DB4" w:rsidRPr="002E1B4B" w:rsidRDefault="003D5DB4" w:rsidP="000A5389">
      <w:pPr>
        <w:spacing w:line="240" w:lineRule="auto"/>
      </w:pPr>
      <w:r w:rsidRPr="002E1B4B">
        <w:t>Naturaleza y alcance del derecho a utilizar Activos y los aspectos pactados en torno a lo que se espera que el concesionario proporcione en relación con el Acuerdo de concesión</w:t>
      </w:r>
    </w:p>
    <w:p w14:paraId="0484DEBC" w14:textId="77777777" w:rsidR="003D5DB4" w:rsidRDefault="003D5DB4" w:rsidP="000A5389">
      <w:pPr>
        <w:spacing w:line="240" w:lineRule="auto"/>
      </w:pPr>
      <w:r w:rsidRPr="002E1B4B">
        <w:t>Naturaleza y alcance del derecho de uso de los Activos</w:t>
      </w:r>
    </w:p>
    <w:p w14:paraId="69B45C7A" w14:textId="77777777" w:rsidR="00AC2C3E" w:rsidRPr="002E1B4B" w:rsidRDefault="00AC2C3E" w:rsidP="000A5389">
      <w:pPr>
        <w:spacing w:line="240" w:lineRule="auto"/>
      </w:pPr>
    </w:p>
    <w:p w14:paraId="78617B6E" w14:textId="77777777" w:rsidR="003D5DB4" w:rsidRDefault="003D5DB4" w:rsidP="000A5389">
      <w:pPr>
        <w:spacing w:line="240" w:lineRule="auto"/>
      </w:pPr>
      <w:r w:rsidRPr="002E1B4B">
        <w:lastRenderedPageBreak/>
        <w:t>Descripción:</w:t>
      </w:r>
      <w:r w:rsidRPr="002E1B4B">
        <w:tab/>
        <w:t>Activos reconocidos Los derechos que cedió al concesionario para explotar los activos en concesión.  Activos entregados: Sector Barbosa (incluido el anillo de la glorieta) – Cisneros, comprendido entre los PRs 9+0700 y 53+0000 de la carretera Cruce Ruta 25 (Hatillo) – Cisneros, Ruta 6205. Sector Cisneros – Alto de Dolores (hasta el empalme con la concesión Rio Magdalena 2). Comprendido entre los PRs 1+0000 Y 40+0900 de la carretera Cisneros – Puerto Berrio Cruce Ruta 45, Ruta 6206. Alcance del derecho de uso de los activos: En el Apéndice Técnico 4 se especifican los indicadores que debe cumplir el Concesionario, dentro de los cuales se incluye Indicadores exclusivos para Pavimento Flexible, Indicadores exclusivos para Pavimento Rígido, Indicadores exclusivos para Túneles.</w:t>
      </w:r>
    </w:p>
    <w:p w14:paraId="60CDF75B" w14:textId="77777777" w:rsidR="00AC2C3E" w:rsidRPr="002E1B4B" w:rsidRDefault="00AC2C3E" w:rsidP="000A5389">
      <w:pPr>
        <w:spacing w:line="240" w:lineRule="auto"/>
      </w:pPr>
    </w:p>
    <w:p w14:paraId="4EC92073" w14:textId="77777777" w:rsidR="003D5DB4" w:rsidRPr="002E1B4B" w:rsidRDefault="003D5DB4" w:rsidP="000A5389">
      <w:pPr>
        <w:spacing w:line="240" w:lineRule="auto"/>
      </w:pPr>
      <w:r w:rsidRPr="002E1B4B">
        <w:t>Observaciones: No Hay observaciones</w:t>
      </w:r>
    </w:p>
    <w:p w14:paraId="3E6A6BA8" w14:textId="77777777" w:rsidR="00AC2C3E" w:rsidRDefault="00AC2C3E" w:rsidP="000A5389">
      <w:pPr>
        <w:spacing w:line="240" w:lineRule="auto"/>
      </w:pPr>
    </w:p>
    <w:p w14:paraId="14EEAE6D" w14:textId="58974622" w:rsidR="003D5DB4" w:rsidRPr="002E1B4B" w:rsidRDefault="003D5DB4" w:rsidP="000A5389">
      <w:pPr>
        <w:spacing w:line="240" w:lineRule="auto"/>
      </w:pPr>
      <w:r w:rsidRPr="002E1B4B">
        <w:t>Retribución al concesionario</w:t>
      </w:r>
    </w:p>
    <w:p w14:paraId="0202899F" w14:textId="77777777" w:rsidR="00AC2C3E" w:rsidRDefault="00AC2C3E" w:rsidP="000A5389">
      <w:pPr>
        <w:spacing w:line="240" w:lineRule="auto"/>
      </w:pPr>
    </w:p>
    <w:p w14:paraId="23A64C7D" w14:textId="13B0D5B0" w:rsidR="003D5DB4" w:rsidRPr="002E1B4B" w:rsidRDefault="003D5DB4" w:rsidP="000A5389">
      <w:pPr>
        <w:spacing w:line="240" w:lineRule="auto"/>
      </w:pPr>
      <w:r w:rsidRPr="002E1B4B">
        <w:t>Descripción: Parte Especial, Capitulo IV, Numeral 4.4 Cálculo de la Retribución La Retribución total será la suma de la Retribución de las Unidades Funcionales. El Cálculo de la Retribución por Unidad Funcional para cada Mes será efectuado de acuerdo con la siguiente fórmula:</w:t>
      </w:r>
    </w:p>
    <w:p w14:paraId="3DD1166D" w14:textId="77777777" w:rsidR="003D5DB4" w:rsidRPr="002E1B4B" w:rsidRDefault="003D5DB4" w:rsidP="000A5389">
      <w:pPr>
        <w:spacing w:line="240" w:lineRule="auto"/>
      </w:pPr>
      <w:r w:rsidRPr="002E1B4B">
        <w:rPr>
          <w:noProof/>
        </w:rPr>
        <w:drawing>
          <wp:anchor distT="0" distB="0" distL="114300" distR="114300" simplePos="0" relativeHeight="251660289" behindDoc="0" locked="0" layoutInCell="1" allowOverlap="1" wp14:anchorId="2AB8504D" wp14:editId="7BED5264">
            <wp:simplePos x="0" y="0"/>
            <wp:positionH relativeFrom="margin">
              <wp:align>center</wp:align>
            </wp:positionH>
            <wp:positionV relativeFrom="paragraph">
              <wp:posOffset>13335</wp:posOffset>
            </wp:positionV>
            <wp:extent cx="2387600" cy="573405"/>
            <wp:effectExtent l="0" t="0" r="0" b="0"/>
            <wp:wrapNone/>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387600" cy="57340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9562439" w14:textId="77777777" w:rsidR="003D5DB4" w:rsidRPr="002E1B4B" w:rsidRDefault="003D5DB4" w:rsidP="000A5389">
      <w:pPr>
        <w:spacing w:line="240" w:lineRule="auto"/>
      </w:pPr>
    </w:p>
    <w:p w14:paraId="18B86345" w14:textId="77777777" w:rsidR="003D5DB4" w:rsidRPr="002E1B4B" w:rsidRDefault="003D5DB4" w:rsidP="000A5389">
      <w:pPr>
        <w:spacing w:line="240" w:lineRule="auto"/>
      </w:pPr>
      <w:r w:rsidRPr="002E1B4B">
        <w:t>Es importante mencionar que el recaudo en la estación Cisneros entre 2016 y 2020 no se tiene en cuenta en el modelo contable, ya que estos valores no acumulan al VPIP y estos recursos se trasladaron a la subcuenta obras menores para financiar obras por demanda, como lo establece el numeral 3.5 de la parte especial del contrato.</w:t>
      </w:r>
    </w:p>
    <w:p w14:paraId="74C50942" w14:textId="77777777" w:rsidR="003D5DB4" w:rsidRPr="002E1B4B" w:rsidRDefault="003D5DB4" w:rsidP="000A5389">
      <w:pPr>
        <w:spacing w:line="240" w:lineRule="auto"/>
      </w:pPr>
      <w:r w:rsidRPr="002E1B4B">
        <w:t>Tasa de retribución:</w:t>
      </w:r>
      <w:r w:rsidRPr="002E1B4B">
        <w:tab/>
        <w:t>De acuerdo con el contrato parte especial 3.5 (g)(vii)(l) la Tasa descuento real TDI expresada en términos efectivos mensuales, para efectos de este proyecto, será de cero puntos seis cinco siete siete por ciento (0.6577%).</w:t>
      </w:r>
    </w:p>
    <w:p w14:paraId="460115D9" w14:textId="77777777" w:rsidR="003D5DB4" w:rsidRPr="002E1B4B" w:rsidRDefault="003D5DB4" w:rsidP="000A5389">
      <w:pPr>
        <w:spacing w:line="240" w:lineRule="auto"/>
      </w:pPr>
    </w:p>
    <w:p w14:paraId="32AFFCD3" w14:textId="77777777" w:rsidR="003D5DB4" w:rsidRPr="002E1B4B" w:rsidRDefault="003D5DB4" w:rsidP="000A5389">
      <w:pPr>
        <w:spacing w:line="240" w:lineRule="auto"/>
      </w:pPr>
      <w:r w:rsidRPr="002E1B4B">
        <w:t>El Valor Presente al Mes de Referencia del Recaudo de Peaje (VPIP), el cual equivale a un billón trescientos cuarenta y un mil ciento treinta y siete millones cuatrocientos cincuenta y dos mil trescientos veintiocho pesos ($1.341.137.452.328), presenta un avance al corte de diciembre 2025 de 25,33%, conforme los siguientes valores consolidados: Recaudo en COP Corrientes: $1.219.866.291.526 VPIP al corte diciembre 2025: $339.684 millones</w:t>
      </w:r>
    </w:p>
    <w:p w14:paraId="24830013" w14:textId="77777777" w:rsidR="003D5DB4" w:rsidRPr="002E1B4B" w:rsidRDefault="003D5DB4" w:rsidP="000A5389">
      <w:pPr>
        <w:spacing w:line="240" w:lineRule="auto"/>
      </w:pPr>
    </w:p>
    <w:p w14:paraId="50A68F13" w14:textId="77777777" w:rsidR="003D5DB4" w:rsidRDefault="003D5DB4" w:rsidP="000A5389">
      <w:pPr>
        <w:spacing w:line="240" w:lineRule="auto"/>
      </w:pPr>
      <w:r w:rsidRPr="002E1B4B">
        <w:t>Derechos a recibir Activos especificados al final del acuerdo de concesión</w:t>
      </w:r>
    </w:p>
    <w:p w14:paraId="0EA1452A" w14:textId="77777777" w:rsidR="00AC2C3E" w:rsidRPr="002E1B4B" w:rsidRDefault="00AC2C3E" w:rsidP="000A5389">
      <w:pPr>
        <w:spacing w:line="240" w:lineRule="auto"/>
      </w:pPr>
    </w:p>
    <w:p w14:paraId="20CBB242" w14:textId="77777777" w:rsidR="003D5DB4" w:rsidRDefault="003D5DB4" w:rsidP="000A5389">
      <w:pPr>
        <w:spacing w:line="240" w:lineRule="auto"/>
      </w:pPr>
      <w:r w:rsidRPr="002E1B4B">
        <w:t xml:space="preserve">Descripción: De acuerdo con lo establecido en Apéndice Técnico 2, numeral 5 Reversión: De acuerdo con la sección 9.7 de Parte General del Contrato, cuando concluya la Etapa de Operación y Mantenimiento o cuando el Contrato se termine anticipadamente, todas las obras y bienes de la Concesión, incluyendo los predios de la zona del Corredor del Proyecto y las Obras civiles (calzadas, separadores, intersecciones, estructuras, obras de drenaje, obras de arte y señales), las Estaciones de Peaje y sus equipos, las Estaciones de Peaje y sus equipos , el Centro de Control de Operación y sus equipos, las Bases de Operación (uno o los que </w:t>
      </w:r>
      <w:r w:rsidRPr="002E1B4B">
        <w:lastRenderedPageBreak/>
        <w:t>haya), las áreas de Servicio, todos los automotores y equipos instalados para la Operación del Proyecto, incluyendo equipos y software de computación, equipos de telecomunicaciones, red de fibra óptica, los entregados a la Policía de carreteras , los equipos de rescate, los elementos de Traslado Asistencial Médico (TAM) y cualquier otra obra y bien que forme parte de la concesión, deberán ser entregados a la ANI sin costo alguno y libre de todo gravamen.  El Concesionario procederá a la reversión de todas las instalaciones a la ANI lo cual incluye tanto hardware como el software de mercado instalado para la operación de los sistemas. Esta entrega incluirá las licencias de los productos, el software de mercado instalado, tales como sistemas operativos y gestores de bases de datos, así como los códigos fuente de los programas que se encuentren en explotación. Además, se incluirá información de los protocolos de comunicaciones usados. Todos los elementos que de acuerdo con las recomendaciones del fabricante tiene una vida útil no mayor a 2 años serán restituidos por nuevos elementos al momento de la entrega de la operación. Entrega de los stocks de repuestos y de herramientas indicados por el fabricante o aquellos considerados como necesarios para la operación de los equipos. Entrega de toda la documentación relacionada con los equipos, manuales de mantenimiento, planes de contingencia, manual de operación, estadísticas de operación, indicadores de gestión, etc.</w:t>
      </w:r>
    </w:p>
    <w:p w14:paraId="4AAC8CF6" w14:textId="77777777" w:rsidR="00AC2C3E" w:rsidRPr="002E1B4B" w:rsidRDefault="00AC2C3E" w:rsidP="000A5389">
      <w:pPr>
        <w:spacing w:line="240" w:lineRule="auto"/>
      </w:pPr>
    </w:p>
    <w:p w14:paraId="41824619" w14:textId="77777777" w:rsidR="003D5DB4" w:rsidRDefault="003D5DB4" w:rsidP="000A5389">
      <w:pPr>
        <w:spacing w:line="240" w:lineRule="auto"/>
      </w:pPr>
      <w:r w:rsidRPr="002E1B4B">
        <w:t>El plazo del contrato es de 30 años, tiempo después del cual se deberá revertir la infraestructura a la ANI. El plazo máximo para la compensación (PLAZO) es de 72 meses adicionales a los 30 años. De acuerdo con la Sección 11.2 del Contrato de Concesión: “La ANI podrá decretar la Terminación Anticipada y unilateral del Contrato por los causales y en las condiciones previstas en el artículo 17 de la Ley 80 de 1993 o en las normas que lo modifiquen, complementen o substituyan. La terminación unilateral podrá ser decretada por la ANI en cualquiera de las Fases y Etapas de ejecución del presente Contrato”. ACTA N. 0012 DE 2022 - REVERSIÓN TRAMO A INVIAS</w:t>
      </w:r>
    </w:p>
    <w:p w14:paraId="542D208F" w14:textId="77777777" w:rsidR="00AC2C3E" w:rsidRPr="002E1B4B" w:rsidRDefault="00AC2C3E" w:rsidP="000A5389">
      <w:pPr>
        <w:spacing w:line="240" w:lineRule="auto"/>
      </w:pPr>
    </w:p>
    <w:p w14:paraId="3DC808CB" w14:textId="77777777" w:rsidR="003D5DB4" w:rsidRDefault="003D5DB4" w:rsidP="000A5389">
      <w:pPr>
        <w:spacing w:line="240" w:lineRule="auto"/>
      </w:pPr>
      <w:r w:rsidRPr="002E1B4B">
        <w:t xml:space="preserve">Mediante Comunicado No. 20251100031251 (RA-SIVQ-1697-2025-VT), el Concesionario Concesión Vías del Nus S.A.S. remitió a la ANI y a esta Interventoría la información correspondiente al valor contable asociado al tramo por demanda objeto de reversión, soportada en lo dispuesto en el Acta No. 0012 de 2022, de fecha 30 de noviembre de 2022, emitida por la Subdirección Financiera – GIT de Contabilidad del INVIAS. </w:t>
      </w:r>
    </w:p>
    <w:p w14:paraId="4ED03505" w14:textId="77777777" w:rsidR="00AC2C3E" w:rsidRPr="002E1B4B" w:rsidRDefault="00AC2C3E" w:rsidP="000A5389">
      <w:pPr>
        <w:spacing w:line="240" w:lineRule="auto"/>
      </w:pPr>
    </w:p>
    <w:p w14:paraId="3E063A2C" w14:textId="77777777" w:rsidR="003D5DB4" w:rsidRPr="002E1B4B" w:rsidRDefault="003D5DB4" w:rsidP="000A5389">
      <w:pPr>
        <w:spacing w:line="240" w:lineRule="auto"/>
      </w:pPr>
      <w:r w:rsidRPr="002E1B4B">
        <w:t xml:space="preserve">De acuerdo con lo indicado en la citada acta, se establece que el saldo contable registrado en la cuenta 171001, código 400122005, correspondiente a la Red de Carretera 6205 – Cruce Ruta 25 (Hatillo) – Cisneros, asciende a un valor total de $36.865.707.855,54, el cual corresponde al tramo parcial recibido por la Concesión como “tramo por demanda”, conforme a lo establecido en el Acta de entrega INVIAS – ANI No. 001-2016 del 9 de marzo de 2016. Así mismo, conforme al citado Acta de entrega, el tramo por demanda objeto del proceso de reversión se encuentra comprendido entre los siguientes sectores: </w:t>
      </w:r>
    </w:p>
    <w:p w14:paraId="0FF28F71" w14:textId="77777777" w:rsidR="003D5DB4" w:rsidRPr="002E1B4B" w:rsidRDefault="003D5DB4" w:rsidP="000A5389">
      <w:pPr>
        <w:spacing w:line="240" w:lineRule="auto"/>
      </w:pPr>
      <w:r w:rsidRPr="002E1B4B">
        <w:t xml:space="preserve">PR 9+700 al PR 34+675, con una longitud de 24.975 metros. </w:t>
      </w:r>
    </w:p>
    <w:p w14:paraId="67759347" w14:textId="77777777" w:rsidR="003D5DB4" w:rsidRDefault="003D5DB4" w:rsidP="000A5389">
      <w:pPr>
        <w:spacing w:line="240" w:lineRule="auto"/>
      </w:pPr>
      <w:r w:rsidRPr="002E1B4B">
        <w:t xml:space="preserve">PR 35+748 al PR 53+000, con una longitud de 17.252 metros. Para una longitud total de 42.227 metros. </w:t>
      </w:r>
    </w:p>
    <w:p w14:paraId="178B8944" w14:textId="77777777" w:rsidR="00AC2C3E" w:rsidRPr="002E1B4B" w:rsidRDefault="00AC2C3E" w:rsidP="000A5389">
      <w:pPr>
        <w:spacing w:line="240" w:lineRule="auto"/>
      </w:pPr>
    </w:p>
    <w:p w14:paraId="249FF199" w14:textId="77777777" w:rsidR="003D5DB4" w:rsidRDefault="003D5DB4" w:rsidP="000A5389">
      <w:pPr>
        <w:spacing w:line="240" w:lineRule="auto"/>
      </w:pPr>
      <w:r w:rsidRPr="002E1B4B">
        <w:lastRenderedPageBreak/>
        <w:t xml:space="preserve">Teniendo en cuenta que el valor contable total informado por el INVIAS en el Acta No. 0012 de 2022 se encuentra asociado a una longitud total de 43.300 metros del tramo por demanda recibido por la Concesión, el Concesionario realizó la proporcionalización del valor contable con base en la longitud efectiva a revertir (42.227 metros), conforme a la siguiente relación: $36.865.707.855,54×42.227 m43.300 m=$35.952.153.478,43 </w:t>
      </w:r>
    </w:p>
    <w:p w14:paraId="10EA3022" w14:textId="77777777" w:rsidR="00AC2C3E" w:rsidRPr="002E1B4B" w:rsidRDefault="00AC2C3E" w:rsidP="000A5389">
      <w:pPr>
        <w:spacing w:line="240" w:lineRule="auto"/>
      </w:pPr>
    </w:p>
    <w:p w14:paraId="27043627" w14:textId="77777777" w:rsidR="003D5DB4" w:rsidRDefault="003D5DB4" w:rsidP="000A5389">
      <w:pPr>
        <w:spacing w:line="240" w:lineRule="auto"/>
      </w:pPr>
      <w:r w:rsidRPr="002E1B4B">
        <w:t xml:space="preserve">Por otra parte, en la misma Acta No. 0012 de 2022 se confirma que los elementos de infraestructura registrados en la cuenta 171002, correspondientes a: </w:t>
      </w:r>
    </w:p>
    <w:p w14:paraId="7393B378" w14:textId="77777777" w:rsidR="00AC2C3E" w:rsidRPr="002E1B4B" w:rsidRDefault="00AC2C3E" w:rsidP="000A5389">
      <w:pPr>
        <w:spacing w:line="240" w:lineRule="auto"/>
      </w:pPr>
    </w:p>
    <w:p w14:paraId="3C0375D8" w14:textId="0406205D" w:rsidR="003D5DB4" w:rsidRPr="002E1B4B" w:rsidRDefault="003D5DB4" w:rsidP="000A5389">
      <w:pPr>
        <w:spacing w:line="240" w:lineRule="auto"/>
      </w:pPr>
      <w:r w:rsidRPr="002E1B4B">
        <w:t>Código 422205006 – Puente Molino Viejo, por valor de $245.898.368,00, y Código 422205014 – Puente Paso a Nivel, por valor de $497.229.175,00, Se localizan dentro del tramo de vía objeto de reversión y, en consecuencia, hacen parte de la infraestructura a entregar al INVIAS.</w:t>
      </w:r>
    </w:p>
    <w:p w14:paraId="6BCCAFCA" w14:textId="77777777" w:rsidR="003D5DB4" w:rsidRPr="002E1B4B" w:rsidRDefault="003D5DB4" w:rsidP="000A5389">
      <w:pPr>
        <w:spacing w:line="240" w:lineRule="auto"/>
      </w:pPr>
      <w:r w:rsidRPr="002E1B4B">
        <w:t>Observaciones: No aplican</w:t>
      </w:r>
    </w:p>
    <w:p w14:paraId="2680CDCC" w14:textId="77777777" w:rsidR="003D5DB4" w:rsidRPr="002E1B4B" w:rsidRDefault="003D5DB4" w:rsidP="000A5389">
      <w:pPr>
        <w:spacing w:line="240" w:lineRule="auto"/>
      </w:pPr>
    </w:p>
    <w:p w14:paraId="3663D6DD" w14:textId="77777777" w:rsidR="003D5DB4" w:rsidRPr="002E1B4B" w:rsidRDefault="003D5DB4" w:rsidP="000A5389">
      <w:pPr>
        <w:spacing w:line="240" w:lineRule="auto"/>
      </w:pPr>
      <w:r w:rsidRPr="002E1B4B">
        <w:t>Las alternativas de renovación y cese del acuerdo</w:t>
      </w:r>
    </w:p>
    <w:p w14:paraId="2F36A844" w14:textId="77777777" w:rsidR="003D5DB4" w:rsidRPr="002E1B4B" w:rsidRDefault="003D5DB4" w:rsidP="000A5389">
      <w:pPr>
        <w:spacing w:line="240" w:lineRule="auto"/>
      </w:pPr>
      <w:r w:rsidRPr="002E1B4B">
        <w:t>Descripción: No Aplica</w:t>
      </w:r>
    </w:p>
    <w:p w14:paraId="5EE1F338" w14:textId="77777777" w:rsidR="003D5DB4" w:rsidRPr="002E1B4B" w:rsidRDefault="003D5DB4" w:rsidP="000A5389">
      <w:pPr>
        <w:spacing w:line="240" w:lineRule="auto"/>
      </w:pPr>
      <w:r w:rsidRPr="002E1B4B">
        <w:t>Observaciones: No hay observaciones</w:t>
      </w:r>
    </w:p>
    <w:p w14:paraId="1D3CA63B" w14:textId="77777777" w:rsidR="003D5DB4" w:rsidRPr="002E1B4B" w:rsidRDefault="003D5DB4" w:rsidP="000A5389">
      <w:pPr>
        <w:spacing w:line="240" w:lineRule="auto"/>
      </w:pPr>
    </w:p>
    <w:p w14:paraId="3AC1D4B7" w14:textId="77777777" w:rsidR="003D5DB4" w:rsidRPr="002E1B4B" w:rsidRDefault="003D5DB4" w:rsidP="000A5389">
      <w:pPr>
        <w:spacing w:line="240" w:lineRule="auto"/>
      </w:pPr>
      <w:r w:rsidRPr="002E1B4B">
        <w:t>Cambios en el acuerdo de concesión que se realicen durante el periodo fiscal</w:t>
      </w:r>
    </w:p>
    <w:p w14:paraId="390A3B8F" w14:textId="77777777" w:rsidR="003D5DB4" w:rsidRPr="002E1B4B" w:rsidRDefault="003D5DB4" w:rsidP="000A5389">
      <w:pPr>
        <w:spacing w:line="240" w:lineRule="auto"/>
      </w:pPr>
      <w:r w:rsidRPr="002E1B4B">
        <w:t>Adiciones o modificaciones en tiempo</w:t>
      </w:r>
    </w:p>
    <w:p w14:paraId="589BB6F0" w14:textId="77777777" w:rsidR="003D5DB4" w:rsidRPr="002E1B4B" w:rsidRDefault="003D5DB4" w:rsidP="000A5389">
      <w:pPr>
        <w:spacing w:line="240" w:lineRule="auto"/>
      </w:pPr>
      <w:r w:rsidRPr="002E1B4B">
        <w:t xml:space="preserve">Fechas de las adiciones o modificaciones: </w:t>
      </w:r>
      <w:r w:rsidRPr="002E1B4B">
        <w:tab/>
      </w:r>
    </w:p>
    <w:p w14:paraId="7C240E3E" w14:textId="77777777" w:rsidR="001B234E" w:rsidRDefault="003D5DB4" w:rsidP="000A5389">
      <w:pPr>
        <w:spacing w:line="240" w:lineRule="auto"/>
      </w:pPr>
      <w:r w:rsidRPr="002E1B4B">
        <w:t>Nueva Fecha de finalización estimada:</w:t>
      </w:r>
      <w:r w:rsidRPr="002E1B4B">
        <w:tab/>
      </w:r>
    </w:p>
    <w:p w14:paraId="0D4D0743" w14:textId="042AE1C6" w:rsidR="003D5DB4" w:rsidRPr="002E1B4B" w:rsidRDefault="003D5DB4" w:rsidP="000A5389">
      <w:pPr>
        <w:spacing w:line="240" w:lineRule="auto"/>
      </w:pPr>
      <w:r w:rsidRPr="002E1B4B">
        <w:t>Observaciones:</w:t>
      </w:r>
      <w:r w:rsidRPr="002E1B4B">
        <w:tab/>
      </w:r>
    </w:p>
    <w:p w14:paraId="5F1C3DF3" w14:textId="77777777" w:rsidR="003D5DB4" w:rsidRPr="002E1B4B" w:rsidRDefault="003D5DB4" w:rsidP="000A5389">
      <w:pPr>
        <w:spacing w:line="240" w:lineRule="auto"/>
      </w:pPr>
      <w:r w:rsidRPr="002E1B4B">
        <w:t>Adiciones o modificaciones en valor</w:t>
      </w:r>
    </w:p>
    <w:p w14:paraId="59817E59" w14:textId="77777777" w:rsidR="003D5DB4" w:rsidRPr="002E1B4B" w:rsidRDefault="003D5DB4" w:rsidP="000A5389">
      <w:pPr>
        <w:spacing w:line="240" w:lineRule="auto"/>
      </w:pPr>
      <w:r w:rsidRPr="002E1B4B">
        <w:t>Valor de la adición o modificación:</w:t>
      </w:r>
      <w:r w:rsidRPr="002E1B4B">
        <w:tab/>
      </w:r>
    </w:p>
    <w:p w14:paraId="57D90BD3" w14:textId="77777777" w:rsidR="003D5DB4" w:rsidRPr="002E1B4B" w:rsidRDefault="003D5DB4" w:rsidP="000A5389">
      <w:pPr>
        <w:spacing w:line="240" w:lineRule="auto"/>
      </w:pPr>
      <w:r w:rsidRPr="002E1B4B">
        <w:t>Nuevo valor del acuerdo:</w:t>
      </w:r>
      <w:r w:rsidRPr="002E1B4B">
        <w:tab/>
      </w:r>
    </w:p>
    <w:p w14:paraId="3CA78248" w14:textId="77777777" w:rsidR="003D5DB4" w:rsidRPr="002E1B4B" w:rsidRDefault="003D5DB4" w:rsidP="000A5389">
      <w:pPr>
        <w:spacing w:line="240" w:lineRule="auto"/>
      </w:pPr>
      <w:r w:rsidRPr="002E1B4B">
        <w:t>Observaciones:</w:t>
      </w:r>
      <w:r w:rsidRPr="002E1B4B">
        <w:tab/>
      </w:r>
    </w:p>
    <w:p w14:paraId="013DDBD4" w14:textId="77777777" w:rsidR="003D5DB4" w:rsidRDefault="003D5DB4" w:rsidP="000A5389">
      <w:pPr>
        <w:spacing w:line="240" w:lineRule="auto"/>
      </w:pPr>
    </w:p>
    <w:p w14:paraId="658820F5" w14:textId="77777777" w:rsidR="00AC2C3E" w:rsidRPr="002E1B4B" w:rsidRDefault="00AC2C3E" w:rsidP="000A5389">
      <w:pPr>
        <w:spacing w:line="240" w:lineRule="auto"/>
      </w:pPr>
    </w:p>
    <w:p w14:paraId="3D26F50F" w14:textId="77777777" w:rsidR="003D5DB4" w:rsidRPr="00AC2C3E" w:rsidRDefault="003D5DB4" w:rsidP="000A5389">
      <w:pPr>
        <w:spacing w:line="240" w:lineRule="auto"/>
        <w:rPr>
          <w:i/>
          <w:iCs/>
        </w:rPr>
      </w:pPr>
      <w:r w:rsidRPr="00AC2C3E">
        <w:rPr>
          <w:i/>
          <w:iCs/>
        </w:rPr>
        <w:t>CONCESION AUTOPISTA AL MAR 2</w:t>
      </w:r>
    </w:p>
    <w:p w14:paraId="735C8E9B" w14:textId="77777777" w:rsidR="00AC2C3E" w:rsidRDefault="00AC2C3E" w:rsidP="000A5389">
      <w:pPr>
        <w:spacing w:line="240" w:lineRule="auto"/>
      </w:pPr>
    </w:p>
    <w:p w14:paraId="1A941E43" w14:textId="32654D8B" w:rsidR="003D5DB4" w:rsidRPr="002E1B4B" w:rsidRDefault="003D5DB4" w:rsidP="000A5389">
      <w:pPr>
        <w:spacing w:line="240" w:lineRule="auto"/>
      </w:pPr>
      <w:r w:rsidRPr="002E1B4B">
        <w:t>Descripción del Acuerdo</w:t>
      </w:r>
    </w:p>
    <w:p w14:paraId="3F59BF2A" w14:textId="77777777" w:rsidR="003D5DB4" w:rsidRPr="002E1B4B" w:rsidRDefault="003D5DB4" w:rsidP="000A5389">
      <w:pPr>
        <w:spacing w:line="240" w:lineRule="auto"/>
      </w:pPr>
      <w:r w:rsidRPr="002E1B4B">
        <w:t>Número del Acuerdo de concesión:  Contrato de Concesión 018 de 2015</w:t>
      </w:r>
    </w:p>
    <w:p w14:paraId="71078B64" w14:textId="77777777" w:rsidR="003D5DB4" w:rsidRPr="002E1B4B" w:rsidRDefault="003D5DB4" w:rsidP="000A5389">
      <w:pPr>
        <w:spacing w:line="240" w:lineRule="auto"/>
      </w:pPr>
      <w:r w:rsidRPr="002E1B4B">
        <w:t>Objeto / Descripción: Los estudios y diseños definitivos, financiación, gestión ambiental, predial y social, construcción, mejoramiento, rehabilitación, operación, mantenimiento y reversión de la Concesión Autopista al Mar 2, del Proyecto "Autopistas para la Prosperidad"</w:t>
      </w:r>
    </w:p>
    <w:p w14:paraId="497B7310" w14:textId="77777777" w:rsidR="003D5DB4" w:rsidRPr="002E1B4B" w:rsidRDefault="003D5DB4" w:rsidP="000A5389">
      <w:pPr>
        <w:spacing w:line="240" w:lineRule="auto"/>
      </w:pPr>
      <w:r w:rsidRPr="002E1B4B">
        <w:t>Valor inicial:</w:t>
      </w:r>
      <w:r w:rsidRPr="002E1B4B">
        <w:tab/>
        <w:t>$2.574.127.191.649 en pesos de diciembre de 2012</w:t>
      </w:r>
    </w:p>
    <w:p w14:paraId="3381897D" w14:textId="77777777" w:rsidR="00BB0A24" w:rsidRDefault="00BB0A24" w:rsidP="000A5389">
      <w:pPr>
        <w:spacing w:line="240" w:lineRule="auto"/>
      </w:pPr>
    </w:p>
    <w:p w14:paraId="1FFA10D8" w14:textId="3BA13BD7" w:rsidR="003D5DB4" w:rsidRPr="002E1B4B" w:rsidRDefault="003D5DB4" w:rsidP="000A5389">
      <w:pPr>
        <w:spacing w:line="240" w:lineRule="auto"/>
      </w:pPr>
      <w:r w:rsidRPr="002E1B4B">
        <w:t>Fecha de inicio: 12 de enero de 2016</w:t>
      </w:r>
    </w:p>
    <w:p w14:paraId="5764F4C0" w14:textId="77777777" w:rsidR="003D5DB4" w:rsidRPr="002E1B4B" w:rsidRDefault="003D5DB4" w:rsidP="000A5389">
      <w:pPr>
        <w:spacing w:line="240" w:lineRule="auto"/>
      </w:pPr>
      <w:r w:rsidRPr="002E1B4B">
        <w:t>Fecha de finalización estimada: 12 de enero de 2041</w:t>
      </w:r>
    </w:p>
    <w:p w14:paraId="570E5220" w14:textId="77777777" w:rsidR="003D5DB4" w:rsidRPr="002E1B4B" w:rsidRDefault="003D5DB4" w:rsidP="000A5389">
      <w:pPr>
        <w:spacing w:line="240" w:lineRule="auto"/>
      </w:pPr>
      <w:r w:rsidRPr="002E1B4B">
        <w:t>Tipo ID: NIT</w:t>
      </w:r>
    </w:p>
    <w:p w14:paraId="5B717070" w14:textId="77777777" w:rsidR="003D5DB4" w:rsidRPr="002E1B4B" w:rsidRDefault="003D5DB4" w:rsidP="000A5389">
      <w:pPr>
        <w:spacing w:line="240" w:lineRule="auto"/>
      </w:pPr>
      <w:r w:rsidRPr="002E1B4B">
        <w:t>Número ID:</w:t>
      </w:r>
      <w:r w:rsidRPr="002E1B4B">
        <w:tab/>
        <w:t>900.902.591</w:t>
      </w:r>
    </w:p>
    <w:p w14:paraId="29F35839" w14:textId="77777777" w:rsidR="003D5DB4" w:rsidRPr="002E1B4B" w:rsidRDefault="003D5DB4" w:rsidP="000A5389">
      <w:pPr>
        <w:spacing w:line="240" w:lineRule="auto"/>
      </w:pPr>
      <w:r w:rsidRPr="002E1B4B">
        <w:t>Razón social del concesionario: Autopistas Urabá S.A.S.</w:t>
      </w:r>
    </w:p>
    <w:p w14:paraId="778C4CE2" w14:textId="77777777" w:rsidR="003D5DB4" w:rsidRPr="002E1B4B" w:rsidRDefault="003D5DB4" w:rsidP="000A5389">
      <w:pPr>
        <w:spacing w:line="240" w:lineRule="auto"/>
      </w:pPr>
      <w:r w:rsidRPr="002E1B4B">
        <w:lastRenderedPageBreak/>
        <w:t>Nombre del proyecto: Concesión Autopista al Mar 2</w:t>
      </w:r>
    </w:p>
    <w:p w14:paraId="5C6E738F" w14:textId="77777777" w:rsidR="003D5DB4" w:rsidRPr="002E1B4B" w:rsidRDefault="003D5DB4" w:rsidP="000A5389">
      <w:pPr>
        <w:spacing w:line="240" w:lineRule="auto"/>
      </w:pPr>
    </w:p>
    <w:p w14:paraId="14541FBA" w14:textId="77777777" w:rsidR="003D5DB4" w:rsidRPr="002E1B4B" w:rsidRDefault="003D5DB4" w:rsidP="000A5389">
      <w:pPr>
        <w:spacing w:line="240" w:lineRule="auto"/>
      </w:pPr>
      <w:r w:rsidRPr="002E1B4B">
        <w:t>Términos significativos del Acuerdo que puedan afectar su valor, el calendario y la certeza de los flujos de efectivo futuros</w:t>
      </w:r>
    </w:p>
    <w:p w14:paraId="6C9E9C6A" w14:textId="77777777" w:rsidR="00BB0A24" w:rsidRDefault="00BB0A24" w:rsidP="000A5389">
      <w:pPr>
        <w:spacing w:line="240" w:lineRule="auto"/>
      </w:pPr>
    </w:p>
    <w:p w14:paraId="7A51CFD3" w14:textId="46C37545" w:rsidR="003D5DB4" w:rsidRPr="002E1B4B" w:rsidRDefault="003D5DB4" w:rsidP="000A5389">
      <w:pPr>
        <w:spacing w:line="240" w:lineRule="auto"/>
      </w:pPr>
      <w:r w:rsidRPr="002E1B4B">
        <w:t xml:space="preserve">Términos de valor: Lo referente a las Estaciones de Peaje del Proyecto se encuentra dispuesto en la Sección 3.6 de la Parte Especial y las tarifas aplicables a los Peajes se encuentran en la Sección 4.2 (b) de la misma Parte Especial. Los valores de las obligaciones de pago de Vigencias Futuras se encuentran en la Sección 4.5 (d) de la Parte Especial y se actualizan conforme al procedimiento establecido en la Sección 4.3 (e) de la misma Parte Especial. A la fecha han sido pagados por la ANI las Vigencias Futuras 1, 2, 3, 4, 5 y 6 en la Subcuenta de Aportes ANI, correspondientes a los años de 2019, 2020, 2021, 2022, 2023 y 2024, aunque este último aporte se pagó parcialmente, pues no ingresó la totalidad del valor al Patrimonio Autónomo, sin embargo, el Concesionario aceptó condonar la actualización del valor recibiendo el saldo del Aporte ANI de 2024 actualizado a enero de 2025 y no a febrero del mismo año. Se suscribió el 11 de febrero de 2021 el Otrosí 4 al Contrato de Concesión con el cual se adicionó al Alcance del Proyecto la construcción y puesta en operación de la estación de peaje El Tigre, estación mediante la cual se unificarán las estaciones de peaje de Chaparral y Riogrande como resultado del Evento Eximente de Responsabilidad que surgió en el año 2018, declarado mediante acta suscrita por las Partes el 22 de marzo de 2018. Las inversiones de dicha estación de peaje serán ejecutadas por el Concesionario y compensadas de la Reducción de la Retribución a pagar por el Concesionario, en virtud de lo establecido en la Sección 4.9 de la Parte General del Contrato. Así, en aplicación del artículo 1714 del Código Civil Colombiano, las Partes compensarán sus acreencias mutuas en función de las obligaciones pactadas en el Otrosí 4 sin modificar el valor del Contrato de Concesión. Se incorporó al Alcance del Contrato de Concesión la obra adicional anteriormente referenciada por un valor de Capex de $5.860.351.032 expresados en pesos corrientes de agosto de 2020. El Opex neto a favor de la ANI asociado a esa modificación del Contrato por el ahorro en la Operación y Mantenimiento de las estaciones de peaje de Chaparral y Riogrande, asciende a $5.335.893.663 expresados en Pesos del Mes de Referencia y el procedimiento para su incorporación en las cuentas del Proyecto está establecido en el texto de Otrosí suscrito por las Partes el 11 de febrero de 2021. Las cifras anteriormente citadas no se incluyen dentro del modelo contable del año 2025 debido a que estas no modifican el valor del Contrato de Concesión, pues el pago de las nuevas obligaciones se descuenta del valor de la Reducción de la Retribución establecida en la Sección 4.9 de la Parte General del Contrato. Lo anterior se sustenta también en que la aplicación de la Sección 4.9 de la Parte General no supone un cambio en el valor del Contrato de Concesión, por lo tanto, reducir en mayor o menor medida el valor de un derecho que, independientemente de si el Concesionario lo ejerce o no, no altera el valor total del Contrato, no supone una modificación al valor dinerario de las obligaciones del Concesionario. Lo enunciado anteriormente aplica igualmente para lo pactado por las Partes mediante el Otrosí 7, suscrito el 4 de agosto de 2022, mediante el cual se modificó el Tipo de Ventilación de la Unidad Funcional 3 del Proyecto. Por otro lado, el Otrosí 8, suscrito el 30 de junio de 2023, no supone una modifación al valor del Contrato de Concesión. El cálculo de la Retribución del Concesionario está regulado en la Sección 4.3 de </w:t>
      </w:r>
      <w:r w:rsidRPr="002E1B4B">
        <w:lastRenderedPageBreak/>
        <w:t xml:space="preserve">la Parte Especial. El valor presente del recaudo de peaje (VPIP) del Proyecto se encuentra establecido en la definición 1.167 de la Parte General y su valor se establece en la Parte Especial. Las condiciones para el derecho de recaudo de peajes a favor del Concesionario se establecen en la Sección 3.3 de la Parte General. A la fecha el valor del recaudo de peaje, incluyendo el pago de las contingencias por diferencial tarifario y no instalación de peajes, se encuentra reportado en el modelo contable de acuerdo con la certificación fiduciaria a 31 de diciembre de 2025.  La Diferencia de Recaudo del año 8 se pagó en su totalidad en julio de 2025. A 31 de diciembre de 2025 existen Actas de Terminación de Unidad Funcional para las Unidades Funcionales 2, 3 y 5. Para las Unidades Funcionales 1 y 4 se suscribieron Actas de Terminación Parcial de Unidad Funcional.  Para la Unidad Funcional 2 se ha suscrito tres (3) Actas de Cálculo de la Retribución, para la UF 3 se han suscrito seis (6) Actas de Cálculo de la Retribución, para la UF 4 se ha suscrito tres (3) Actas de Cálculo de la Compensación </w:t>
      </w:r>
      <w:r w:rsidR="001B234E" w:rsidRPr="002E1B4B">
        <w:t>Especial y</w:t>
      </w:r>
      <w:r w:rsidRPr="002E1B4B">
        <w:t xml:space="preserve"> para la Unidad Funcional 5 se han suscrito trece (13) Actas de Cálculo de la Retribución. El avance de inversión del Capex se encuentra reportado en el modelo contable de acuerdo con la información del avance del Plan de Obras con corte al 31 de diciembre de cada año, el cual ha sido reportado a la ANI a través de las herramientas establecidas para ese propósito. Dentro del Opex se incorporó el cálculo anual, a partir del cálculo del Índice de Cumplimiento de acuerdo con los Indicadores aplicables para cada Unidad Funcional, teniendo en cuenta los Apéndices Técnicos 2 y 4 según corresponda.  El procedimiento para la imposición de Multas y la actualización de las mismas se encuentra en las Secciones 10.3 y 10.4 de la Parte General respectivamente. </w:t>
      </w:r>
    </w:p>
    <w:p w14:paraId="2F9EC6C4" w14:textId="77777777" w:rsidR="003D5DB4" w:rsidRPr="002E1B4B" w:rsidRDefault="003D5DB4" w:rsidP="000A5389">
      <w:pPr>
        <w:spacing w:line="240" w:lineRule="auto"/>
      </w:pPr>
    </w:p>
    <w:p w14:paraId="793C2371" w14:textId="77777777" w:rsidR="003D5DB4" w:rsidRDefault="003D5DB4" w:rsidP="000A5389">
      <w:pPr>
        <w:spacing w:line="240" w:lineRule="auto"/>
      </w:pPr>
      <w:r w:rsidRPr="002E1B4B">
        <w:t>Términos de calendario: Las fechas de actualización de las tarifas aplicables a los Peajes se encuentran en las Secciones 4.2 (c), 4.2 (d) y 4.2 (e) de la Parte Especial. Las tarifas aplicables a las Estaciones de Peaje del Proyecto para un año determinado regirán hasta el quince (15) de Enero del siguiente año y para los años posteriores las tarifas serán actualizada el dieciséis (16) de enero de cada año. Las fechas para el pago de los valores de las obligaciones de Vigencias Futuras se encuentran en la Sección 4.5 (d) de la Parte Especial. El cálculo de la Retribución del Concesionario está regulado en la Sección 4.3  de la Parte Especial. En la Sección 4.18 de la Parte General se establecen las condiciones para el Plan de Obras del Proyecto, documento mediante el cual se formalizan los plazos de inicio y terminación de las Unidades Funcionales. La fase de construcción del proyecto inició el 11 de enero de 2017 y terminará cuando se suscriban las Actas de Terminación de las UF 1 y 4, de acuerdo con las adiciones en tiempo que se muestran en la sección f) del presente documento y con el Plazo de Cura otorgado al Concesionario para la terminación de las Unidades Funcionales 1 y 4 del Proyecto. El avance reportado a 31 de diciembre de 2025, por Unidad Funcional, es el siguiente: 99,27% para la UF1, 99,37% para la UF2, 100% para la UF3, 98,28% para la UF4 y 100% para la UF5. Las fechas de terminación de cada Unidad Funcional se muestran en la sección f) del presente documento</w:t>
      </w:r>
    </w:p>
    <w:p w14:paraId="02CFDA7D" w14:textId="77777777" w:rsidR="00BB0A24" w:rsidRPr="002E1B4B" w:rsidRDefault="00BB0A24" w:rsidP="000A5389">
      <w:pPr>
        <w:spacing w:line="240" w:lineRule="auto"/>
      </w:pPr>
    </w:p>
    <w:p w14:paraId="1328A8E1" w14:textId="77777777" w:rsidR="003D5DB4" w:rsidRDefault="003D5DB4" w:rsidP="000A5389">
      <w:pPr>
        <w:spacing w:line="240" w:lineRule="auto"/>
      </w:pPr>
      <w:r w:rsidRPr="002E1B4B">
        <w:t xml:space="preserve">Términos de certeza de flujos de efectivo futuros: El cálculo de la Diferencia de Recaudo que se hace para garantizar los flujos de caja futuros del Proyecto en los años 8, 13 y 18 de ejecución a partir del Acta de inicio se establece en la Sección 4.6 de la Parte Especial. En junio de 2024 se realizó el pago del DR8 para las Unidades Funcionales 2 a 6, el pago para </w:t>
      </w:r>
      <w:r w:rsidRPr="002E1B4B">
        <w:lastRenderedPageBreak/>
        <w:t>la UF 1 se realizó en julio de 2025, después de suscribir el Acta de Terminación Parcial de esta Unidad Funcional. Las deducciones máximas que se pueden hacer a los flujos de caja se establecen en la Sección 4.3 de la Parte Especial. Los valores de las obligaciones de pago de Vigencias Futuras se encuentran en la Sección 4.5 (d) de la Parte Especial y se actualizan conforme al procedimiento establecido en la Sección 4.3 (e) de la Parte Especial.</w:t>
      </w:r>
    </w:p>
    <w:p w14:paraId="6DC1A545" w14:textId="77777777" w:rsidR="00BB0A24" w:rsidRPr="002E1B4B" w:rsidRDefault="00BB0A24" w:rsidP="000A5389">
      <w:pPr>
        <w:spacing w:line="240" w:lineRule="auto"/>
      </w:pPr>
    </w:p>
    <w:p w14:paraId="19E378E9" w14:textId="77777777" w:rsidR="003D5DB4" w:rsidRDefault="003D5DB4" w:rsidP="000A5389">
      <w:pPr>
        <w:spacing w:line="240" w:lineRule="auto"/>
      </w:pPr>
      <w:r w:rsidRPr="002E1B4B">
        <w:t>Naturaleza y alcance del derecho a utilizar Activos y los aspectos pactados en torno a lo que se espera que el concesionario proporcione en relación con el Acuerdo de concesión</w:t>
      </w:r>
    </w:p>
    <w:p w14:paraId="237D88AF" w14:textId="77777777" w:rsidR="00BB0A24" w:rsidRPr="002E1B4B" w:rsidRDefault="00BB0A24" w:rsidP="000A5389">
      <w:pPr>
        <w:spacing w:line="240" w:lineRule="auto"/>
      </w:pPr>
    </w:p>
    <w:p w14:paraId="46A24CD3" w14:textId="77777777" w:rsidR="003D5DB4" w:rsidRPr="002E1B4B" w:rsidRDefault="003D5DB4" w:rsidP="000A5389">
      <w:pPr>
        <w:spacing w:line="240" w:lineRule="auto"/>
      </w:pPr>
      <w:r w:rsidRPr="002E1B4B">
        <w:t>Naturaleza y alcance del derecho de uso de los Activos</w:t>
      </w:r>
    </w:p>
    <w:p w14:paraId="45A89F3E" w14:textId="77777777" w:rsidR="00BB0A24" w:rsidRDefault="00BB0A24" w:rsidP="000A5389">
      <w:pPr>
        <w:spacing w:line="240" w:lineRule="auto"/>
      </w:pPr>
    </w:p>
    <w:p w14:paraId="5B6A0DBF" w14:textId="21F16B28" w:rsidR="003D5DB4" w:rsidRPr="002E1B4B" w:rsidRDefault="003D5DB4" w:rsidP="000A5389">
      <w:pPr>
        <w:spacing w:line="240" w:lineRule="auto"/>
      </w:pPr>
      <w:r w:rsidRPr="002E1B4B">
        <w:t>Descripción: Alcance del derecho de uso de los activos: De acuerdo con el objeto del Contrato, establecido en la Sección 2.1 de la Parte General, el Contrato tiene por objeto el otorgamiento de una concesión para que, de conformidad con los previsto en este Contrato, el Concesionario, por su cuenta y riesgo, lleve a cabo el Proyecto. El alcance físico del Proyecto se describe en la Parte Especial y en el Apéndice Técnico 1.</w:t>
      </w:r>
    </w:p>
    <w:p w14:paraId="0CFD78AC" w14:textId="77777777" w:rsidR="00BB0A24" w:rsidRDefault="00BB0A24" w:rsidP="000A5389">
      <w:pPr>
        <w:spacing w:line="240" w:lineRule="auto"/>
      </w:pPr>
    </w:p>
    <w:p w14:paraId="0E9E4317" w14:textId="70F1F2D3" w:rsidR="003D5DB4" w:rsidRPr="002E1B4B" w:rsidRDefault="003D5DB4" w:rsidP="000A5389">
      <w:pPr>
        <w:spacing w:line="240" w:lineRule="auto"/>
      </w:pPr>
      <w:r w:rsidRPr="002E1B4B">
        <w:t>Observaciones: NO APLICA</w:t>
      </w:r>
    </w:p>
    <w:p w14:paraId="68806FA4" w14:textId="77777777" w:rsidR="003D5DB4" w:rsidRPr="002E1B4B" w:rsidRDefault="003D5DB4" w:rsidP="000A5389">
      <w:pPr>
        <w:spacing w:line="240" w:lineRule="auto"/>
      </w:pPr>
      <w:r w:rsidRPr="002E1B4B">
        <w:t>Retribución al concesionario</w:t>
      </w:r>
    </w:p>
    <w:p w14:paraId="2247DFD0" w14:textId="77777777" w:rsidR="003D5DB4" w:rsidRPr="002E1B4B" w:rsidRDefault="003D5DB4" w:rsidP="000A5389">
      <w:pPr>
        <w:spacing w:line="240" w:lineRule="auto"/>
      </w:pPr>
      <w:r w:rsidRPr="002E1B4B">
        <w:t>Descripción:</w:t>
      </w:r>
      <w:r w:rsidRPr="002E1B4B">
        <w:tab/>
        <w:t>El cálculo de la Retribución del Concesionario está regulado en la Sección 4.3  de la Parte Especial.</w:t>
      </w:r>
    </w:p>
    <w:p w14:paraId="3A62045B" w14:textId="77777777" w:rsidR="003D5DB4" w:rsidRPr="002E1B4B" w:rsidRDefault="003D5DB4" w:rsidP="000A5389">
      <w:pPr>
        <w:spacing w:line="240" w:lineRule="auto"/>
      </w:pPr>
    </w:p>
    <w:p w14:paraId="5D4DF012" w14:textId="77777777" w:rsidR="003D5DB4" w:rsidRPr="002E1B4B" w:rsidRDefault="003D5DB4" w:rsidP="000A5389">
      <w:pPr>
        <w:spacing w:line="240" w:lineRule="auto"/>
      </w:pPr>
      <w:r w:rsidRPr="002E1B4B">
        <w:t>Tasa de retribución:</w:t>
      </w:r>
      <w:r w:rsidRPr="002E1B4B">
        <w:tab/>
        <w:t>La tasa de retribución del Concesionario o tasa de descuento real (TDI) expresada en términos efectivos mensuales, para efectos de este Proyecto, será del cero punto cincuenta y seis treinta (0.5630%) de acuerdo con la definición 18.3(d) de la Parte General y el valor establecido en la Parte Especial. La metodología para el cálculo de la carga financiera se estableció conforme a lo planteado en el modelo financiero contratado por la Agencia con Deloitte, en este la carga financiera se obtiene a través del cálculo de una tasa resultante para mantener el equilibrio entre los recursos disponibles del proyecto y las obligaciones a pagar, la tasa que asegure ese equilibrio es la tasa de cierre del modelo. Él Cálculo de la Retribución del Concesionario se encuentra establecido en la Sección 4.3 de la Parte Especial y está compuesto por el pago de las Vigencias Futuras (Aportes), el Recaudo de Peajes (Peajes) y los Ingresos por Explotación Comercial (EC), variables que están sujetas a cualquier Descuento pendiente que se deba efectuar a la Retribución.  La fórmula se muestra a continuación: R_h^u=</w:t>
      </w:r>
      <w:r w:rsidRPr="002E1B4B">
        <w:rPr>
          <w:rFonts w:eastAsia="Cambria Math"/>
        </w:rPr>
        <w:t>〖</w:t>
      </w:r>
      <w:r w:rsidRPr="002E1B4B">
        <w:t>Aportes</w:t>
      </w:r>
      <w:r w:rsidRPr="002E1B4B">
        <w:rPr>
          <w:rFonts w:eastAsia="Cambria Math"/>
        </w:rPr>
        <w:t>〗</w:t>
      </w:r>
      <w:r w:rsidRPr="002E1B4B">
        <w:t>_h^u+</w:t>
      </w:r>
      <w:r w:rsidRPr="002E1B4B">
        <w:rPr>
          <w:rFonts w:eastAsia="Cambria Math"/>
        </w:rPr>
        <w:t>〖</w:t>
      </w:r>
      <w:r w:rsidRPr="002E1B4B">
        <w:t>Peajes</w:t>
      </w:r>
      <w:r w:rsidRPr="002E1B4B">
        <w:rPr>
          <w:rFonts w:eastAsia="Cambria Math"/>
        </w:rPr>
        <w:t>〗</w:t>
      </w:r>
      <w:r w:rsidRPr="002E1B4B">
        <w:t>_h^u+</w:t>
      </w:r>
      <w:r w:rsidRPr="002E1B4B">
        <w:rPr>
          <w:rFonts w:eastAsia="Cambria Math"/>
        </w:rPr>
        <w:t>〖</w:t>
      </w:r>
      <w:r w:rsidRPr="002E1B4B">
        <w:t>EC</w:t>
      </w:r>
      <w:r w:rsidRPr="002E1B4B">
        <w:rPr>
          <w:rFonts w:eastAsia="Cambria Math"/>
        </w:rPr>
        <w:t>〗</w:t>
      </w:r>
      <w:r w:rsidRPr="002E1B4B">
        <w:t>_h^u-D_h Los índices sobre las variables se encuentran definidos en la citada sección del Contrato de Concesión. Las condiciones para el Cierre Financiero del Proyecto se encuentran en la Sección 3.8 de la Parte General.</w:t>
      </w:r>
    </w:p>
    <w:p w14:paraId="11FFDAA7" w14:textId="77777777" w:rsidR="003D5DB4" w:rsidRPr="002E1B4B" w:rsidRDefault="003D5DB4" w:rsidP="000A5389">
      <w:pPr>
        <w:spacing w:line="240" w:lineRule="auto"/>
      </w:pPr>
    </w:p>
    <w:p w14:paraId="1F73F2AA" w14:textId="77777777" w:rsidR="003D5DB4" w:rsidRDefault="003D5DB4" w:rsidP="000A5389">
      <w:pPr>
        <w:spacing w:line="240" w:lineRule="auto"/>
      </w:pPr>
      <w:r w:rsidRPr="002E1B4B">
        <w:t>Derechos a recibir Activos especificados al final del acuerdo de concesión</w:t>
      </w:r>
    </w:p>
    <w:p w14:paraId="0DED3750" w14:textId="77777777" w:rsidR="00BB0A24" w:rsidRPr="002E1B4B" w:rsidRDefault="00BB0A24" w:rsidP="000A5389">
      <w:pPr>
        <w:spacing w:line="240" w:lineRule="auto"/>
      </w:pPr>
    </w:p>
    <w:p w14:paraId="3E312DDD" w14:textId="77777777" w:rsidR="003D5DB4" w:rsidRPr="002E1B4B" w:rsidRDefault="003D5DB4" w:rsidP="000A5389">
      <w:pPr>
        <w:spacing w:line="240" w:lineRule="auto"/>
      </w:pPr>
      <w:r w:rsidRPr="002E1B4B">
        <w:t xml:space="preserve">Descripción: En la Sección 9.7 se establece que la ANI se hará propietario de las obras que conforman el Proyecto al momento de su ejecución, incluyendo, además, pero sin limitarse, las Estaciones de Peaje y Estaciones de Pesaje, y la totalidad de los bienes muebles o </w:t>
      </w:r>
      <w:r w:rsidRPr="002E1B4B">
        <w:lastRenderedPageBreak/>
        <w:t>inmuebles por destinación o adhesión que se encuentren en las mismas. El Concesionario conservará la mera tenencia de esos bienes para efectos del cumplimiento del Contrato y será responsable de la guarda material y jurídica de los bienes que conforman el Proyecto.</w:t>
      </w:r>
    </w:p>
    <w:p w14:paraId="39DD7EBC" w14:textId="77777777" w:rsidR="00BB0A24" w:rsidRDefault="00BB0A24" w:rsidP="000A5389">
      <w:pPr>
        <w:spacing w:line="240" w:lineRule="auto"/>
      </w:pPr>
    </w:p>
    <w:p w14:paraId="7FB94369" w14:textId="606FBE1E" w:rsidR="003D5DB4" w:rsidRPr="002E1B4B" w:rsidRDefault="003D5DB4" w:rsidP="000A5389">
      <w:pPr>
        <w:spacing w:line="240" w:lineRule="auto"/>
      </w:pPr>
      <w:r w:rsidRPr="002E1B4B">
        <w:t>Observaciones: Los bienes de propiedad de la ANI, y, en general, todos los bienes inmuebles con todas sus anexidades y equipos, software y demás activos que hacen parte del Proyecto, serán entregados a la ANI en las condiciones señaladas en el Apéndice Técnico 2 al momento de la terminación de la Etapa de Reversión.</w:t>
      </w:r>
    </w:p>
    <w:p w14:paraId="030B1796" w14:textId="77777777" w:rsidR="00BB0A24" w:rsidRDefault="00BB0A24" w:rsidP="000A5389">
      <w:pPr>
        <w:spacing w:line="240" w:lineRule="auto"/>
      </w:pPr>
    </w:p>
    <w:p w14:paraId="015C01F8" w14:textId="0153B31D" w:rsidR="003D5DB4" w:rsidRPr="002E1B4B" w:rsidRDefault="003D5DB4" w:rsidP="000A5389">
      <w:pPr>
        <w:spacing w:line="240" w:lineRule="auto"/>
      </w:pPr>
      <w:r w:rsidRPr="002E1B4B">
        <w:t>Las alternativas de renovación y cese del acuerdo</w:t>
      </w:r>
    </w:p>
    <w:p w14:paraId="41C42D15" w14:textId="77777777" w:rsidR="003D5DB4" w:rsidRPr="002E1B4B" w:rsidRDefault="003D5DB4" w:rsidP="000A5389">
      <w:pPr>
        <w:spacing w:line="240" w:lineRule="auto"/>
      </w:pPr>
      <w:r w:rsidRPr="002E1B4B">
        <w:t>Descripción: NO APLICA</w:t>
      </w:r>
    </w:p>
    <w:p w14:paraId="1E025BFE" w14:textId="77777777" w:rsidR="003D5DB4" w:rsidRPr="002E1B4B" w:rsidRDefault="003D5DB4" w:rsidP="000A5389">
      <w:pPr>
        <w:spacing w:line="240" w:lineRule="auto"/>
      </w:pPr>
      <w:r w:rsidRPr="002E1B4B">
        <w:t>Observaciones: NO APLICA</w:t>
      </w:r>
    </w:p>
    <w:p w14:paraId="6B93F80E" w14:textId="77777777" w:rsidR="00BB0A24" w:rsidRDefault="00BB0A24" w:rsidP="000A5389">
      <w:pPr>
        <w:spacing w:line="240" w:lineRule="auto"/>
      </w:pPr>
    </w:p>
    <w:p w14:paraId="5B8FEAA6" w14:textId="5B9483DF" w:rsidR="003D5DB4" w:rsidRPr="002E1B4B" w:rsidRDefault="003D5DB4" w:rsidP="000A5389">
      <w:pPr>
        <w:spacing w:line="240" w:lineRule="auto"/>
      </w:pPr>
      <w:r w:rsidRPr="002E1B4B">
        <w:t>Cambios en el acuerdo de concesión que se realicen durante el periodo fiscal</w:t>
      </w:r>
    </w:p>
    <w:p w14:paraId="3B29D82B" w14:textId="77777777" w:rsidR="003D5DB4" w:rsidRPr="002E1B4B" w:rsidRDefault="003D5DB4" w:rsidP="000A5389">
      <w:pPr>
        <w:spacing w:line="240" w:lineRule="auto"/>
      </w:pPr>
      <w:r w:rsidRPr="002E1B4B">
        <w:t>Adiciones o modificaciones en tiempo</w:t>
      </w:r>
    </w:p>
    <w:p w14:paraId="4F56B8BF" w14:textId="77777777" w:rsidR="003D5DB4" w:rsidRPr="002E1B4B" w:rsidRDefault="003D5DB4" w:rsidP="000A5389">
      <w:pPr>
        <w:spacing w:line="240" w:lineRule="auto"/>
      </w:pPr>
      <w:r w:rsidRPr="002E1B4B">
        <w:t xml:space="preserve">Fechas de las adiciones o modificaciones:  Plazo Plan de Obras UF 1 y Terminación de la Fase de Construcción. </w:t>
      </w:r>
    </w:p>
    <w:p w14:paraId="4CFA4A08" w14:textId="77777777" w:rsidR="003D5DB4" w:rsidRPr="002E1B4B" w:rsidRDefault="003D5DB4" w:rsidP="000A5389">
      <w:pPr>
        <w:spacing w:line="240" w:lineRule="auto"/>
      </w:pPr>
    </w:p>
    <w:p w14:paraId="38F6FC28" w14:textId="77777777" w:rsidR="003D5DB4" w:rsidRPr="002E1B4B" w:rsidRDefault="003D5DB4" w:rsidP="000A5389">
      <w:pPr>
        <w:spacing w:line="240" w:lineRule="auto"/>
      </w:pPr>
      <w:r w:rsidRPr="002E1B4B">
        <w:t>Nueva Fecha de finalización estimada: 8 de septiembre de 2027</w:t>
      </w:r>
    </w:p>
    <w:p w14:paraId="76346FE8" w14:textId="77777777" w:rsidR="003D5DB4" w:rsidRPr="002E1B4B" w:rsidRDefault="003D5DB4" w:rsidP="000A5389">
      <w:pPr>
        <w:spacing w:line="240" w:lineRule="auto"/>
      </w:pPr>
      <w:r w:rsidRPr="002E1B4B">
        <w:t xml:space="preserve">Observaciones: Mediante el Acuerdo Transaccional, suscrito por las Partes el 1 de abril de 2025, se modificó el Plan de Obras de la UF 1, como consecuencia del Evento Eximente de Responsabilidad declarado por el panel de Amigable Composición del Contrato, y extendió hasta el 8 de septiembre de 2027. </w:t>
      </w:r>
    </w:p>
    <w:p w14:paraId="54B60E44" w14:textId="77777777" w:rsidR="003D5DB4" w:rsidRPr="002E1B4B" w:rsidRDefault="003D5DB4" w:rsidP="000A5389">
      <w:pPr>
        <w:spacing w:line="240" w:lineRule="auto"/>
      </w:pPr>
      <w:r w:rsidRPr="002E1B4B">
        <w:t>Adiciones o modificaciones en valor</w:t>
      </w:r>
    </w:p>
    <w:p w14:paraId="674E31A0" w14:textId="77777777" w:rsidR="003D5DB4" w:rsidRPr="002E1B4B" w:rsidRDefault="003D5DB4" w:rsidP="000A5389">
      <w:pPr>
        <w:spacing w:line="240" w:lineRule="auto"/>
      </w:pPr>
      <w:r w:rsidRPr="002E1B4B">
        <w:t>Valor de la adición o modificación: No Aplica</w:t>
      </w:r>
    </w:p>
    <w:p w14:paraId="3DD2A8AF" w14:textId="77777777" w:rsidR="003D5DB4" w:rsidRPr="002E1B4B" w:rsidRDefault="003D5DB4" w:rsidP="000A5389">
      <w:pPr>
        <w:spacing w:line="240" w:lineRule="auto"/>
      </w:pPr>
      <w:r w:rsidRPr="002E1B4B">
        <w:t>Nuevo valor del acuerdo: No Aplica</w:t>
      </w:r>
    </w:p>
    <w:p w14:paraId="559E0815" w14:textId="77777777" w:rsidR="003D5DB4" w:rsidRDefault="003D5DB4" w:rsidP="000A5389">
      <w:pPr>
        <w:spacing w:line="240" w:lineRule="auto"/>
      </w:pPr>
      <w:r w:rsidRPr="002E1B4B">
        <w:t>Observaciones: No Aplica</w:t>
      </w:r>
    </w:p>
    <w:p w14:paraId="6AFFD0A9" w14:textId="77777777" w:rsidR="00BB0A24" w:rsidRPr="002E1B4B" w:rsidRDefault="00BB0A24" w:rsidP="000A5389">
      <w:pPr>
        <w:spacing w:line="240" w:lineRule="auto"/>
      </w:pPr>
    </w:p>
    <w:p w14:paraId="2AA8E48C" w14:textId="77777777" w:rsidR="003D5DB4" w:rsidRPr="002E1B4B" w:rsidRDefault="003D5DB4" w:rsidP="000A5389">
      <w:pPr>
        <w:spacing w:line="240" w:lineRule="auto"/>
      </w:pPr>
    </w:p>
    <w:p w14:paraId="2C549D50" w14:textId="77777777" w:rsidR="003D5DB4" w:rsidRPr="00BB0A24" w:rsidRDefault="003D5DB4" w:rsidP="000A5389">
      <w:pPr>
        <w:spacing w:line="240" w:lineRule="auto"/>
        <w:rPr>
          <w:i/>
          <w:iCs/>
        </w:rPr>
      </w:pPr>
      <w:r w:rsidRPr="00BB0A24">
        <w:rPr>
          <w:i/>
          <w:iCs/>
        </w:rPr>
        <w:t>CONCESION CORREDOR VIAL NEIVA-ESPINAL-GIRARDOT</w:t>
      </w:r>
    </w:p>
    <w:p w14:paraId="4523C05B" w14:textId="77777777" w:rsidR="003D5DB4" w:rsidRPr="002E1B4B" w:rsidRDefault="003D5DB4" w:rsidP="000A5389">
      <w:pPr>
        <w:spacing w:line="240" w:lineRule="auto"/>
      </w:pPr>
    </w:p>
    <w:p w14:paraId="0797490A" w14:textId="77777777" w:rsidR="003D5DB4" w:rsidRPr="002E1B4B" w:rsidRDefault="003D5DB4" w:rsidP="000A5389">
      <w:pPr>
        <w:spacing w:line="240" w:lineRule="auto"/>
      </w:pPr>
      <w:r w:rsidRPr="002E1B4B">
        <w:t>Descripción del Acuerdo</w:t>
      </w:r>
    </w:p>
    <w:p w14:paraId="51D9C046" w14:textId="77777777" w:rsidR="003D5DB4" w:rsidRPr="002E1B4B" w:rsidRDefault="003D5DB4" w:rsidP="000A5389">
      <w:pPr>
        <w:spacing w:line="240" w:lineRule="auto"/>
      </w:pPr>
      <w:r w:rsidRPr="002E1B4B">
        <w:t>Número del Acuerdo de concesión:  APP No. 017-2015</w:t>
      </w:r>
    </w:p>
    <w:p w14:paraId="29B22DC0" w14:textId="77777777" w:rsidR="003D5DB4" w:rsidRPr="002E1B4B" w:rsidRDefault="003D5DB4" w:rsidP="000A5389">
      <w:pPr>
        <w:spacing w:line="240" w:lineRule="auto"/>
      </w:pPr>
      <w:r w:rsidRPr="002E1B4B">
        <w:t>Objeto / Descripción:  El alcance del contrato correspondo a los estudios, diseños, construcción, operación, mantenimiento, gestión social, predial y ambiental del corredor Neiva-Espinal-Girardot, de acuerdo con el Apéndice Técnico 1 y demás apéndices del contrato.</w:t>
      </w:r>
    </w:p>
    <w:p w14:paraId="32FB0DE3" w14:textId="77777777" w:rsidR="00BB0A24" w:rsidRDefault="00BB0A24" w:rsidP="000A5389">
      <w:pPr>
        <w:spacing w:line="240" w:lineRule="auto"/>
      </w:pPr>
    </w:p>
    <w:p w14:paraId="3391DCF1" w14:textId="72F4C373" w:rsidR="003D5DB4" w:rsidRPr="002E1B4B" w:rsidRDefault="003D5DB4" w:rsidP="000A5389">
      <w:pPr>
        <w:spacing w:line="240" w:lineRule="auto"/>
      </w:pPr>
      <w:r w:rsidRPr="002E1B4B">
        <w:t>Valor inicial:</w:t>
      </w:r>
      <w:r w:rsidRPr="002E1B4B">
        <w:tab/>
        <w:t>Dos billones diecisiete mil novecientos un millón seiscientos treinta y seis mil cuarenta y siete pesos ($2.017.901.636.047) de diciembre de 2014.</w:t>
      </w:r>
    </w:p>
    <w:p w14:paraId="7DD5DA3F" w14:textId="77777777" w:rsidR="003D5DB4" w:rsidRPr="002E1B4B" w:rsidRDefault="003D5DB4" w:rsidP="000A5389">
      <w:pPr>
        <w:spacing w:line="240" w:lineRule="auto"/>
      </w:pPr>
      <w:r w:rsidRPr="002E1B4B">
        <w:t>Fecha de inicio: 23/12/2015</w:t>
      </w:r>
    </w:p>
    <w:p w14:paraId="102294C8" w14:textId="77777777" w:rsidR="003D5DB4" w:rsidRPr="002E1B4B" w:rsidRDefault="003D5DB4" w:rsidP="000A5389">
      <w:pPr>
        <w:spacing w:line="240" w:lineRule="auto"/>
      </w:pPr>
      <w:r w:rsidRPr="002E1B4B">
        <w:t>Fecha de finalización estimada:</w:t>
      </w:r>
      <w:r w:rsidRPr="002E1B4B">
        <w:tab/>
        <w:t>23/12/2045</w:t>
      </w:r>
    </w:p>
    <w:p w14:paraId="19B273BB" w14:textId="77777777" w:rsidR="003D5DB4" w:rsidRPr="002E1B4B" w:rsidRDefault="003D5DB4" w:rsidP="000A5389">
      <w:pPr>
        <w:spacing w:line="240" w:lineRule="auto"/>
      </w:pPr>
      <w:r w:rsidRPr="002E1B4B">
        <w:t>Tipo ID NIT</w:t>
      </w:r>
    </w:p>
    <w:p w14:paraId="6E0E93D0" w14:textId="77777777" w:rsidR="003D5DB4" w:rsidRPr="002E1B4B" w:rsidRDefault="003D5DB4" w:rsidP="000A5389">
      <w:pPr>
        <w:spacing w:line="240" w:lineRule="auto"/>
      </w:pPr>
      <w:r w:rsidRPr="002E1B4B">
        <w:t>Número ID:</w:t>
      </w:r>
      <w:r w:rsidRPr="002E1B4B">
        <w:tab/>
        <w:t>900.903.279</w:t>
      </w:r>
    </w:p>
    <w:p w14:paraId="40498C52" w14:textId="77777777" w:rsidR="003D5DB4" w:rsidRPr="002E1B4B" w:rsidRDefault="003D5DB4" w:rsidP="000A5389">
      <w:pPr>
        <w:spacing w:line="240" w:lineRule="auto"/>
      </w:pPr>
      <w:r w:rsidRPr="002E1B4B">
        <w:lastRenderedPageBreak/>
        <w:t>Razón social del concesionario: Concesionaria Autovía Neiva Girardot S.A.S</w:t>
      </w:r>
    </w:p>
    <w:p w14:paraId="60990612" w14:textId="77777777" w:rsidR="003D5DB4" w:rsidRPr="002E1B4B" w:rsidRDefault="003D5DB4" w:rsidP="000A5389">
      <w:pPr>
        <w:spacing w:line="240" w:lineRule="auto"/>
      </w:pPr>
      <w:r w:rsidRPr="002E1B4B">
        <w:t>Nombre del proyecto: Concesión Corredor Vial Neiva-Espinal-Girardot</w:t>
      </w:r>
    </w:p>
    <w:p w14:paraId="698ACA09" w14:textId="77777777" w:rsidR="003D5DB4" w:rsidRPr="002E1B4B" w:rsidRDefault="003D5DB4" w:rsidP="000A5389">
      <w:pPr>
        <w:spacing w:line="240" w:lineRule="auto"/>
      </w:pPr>
    </w:p>
    <w:p w14:paraId="0C75B1E2" w14:textId="77777777" w:rsidR="003D5DB4" w:rsidRPr="002E1B4B" w:rsidRDefault="003D5DB4" w:rsidP="000A5389">
      <w:pPr>
        <w:spacing w:line="240" w:lineRule="auto"/>
      </w:pPr>
      <w:r w:rsidRPr="002E1B4B">
        <w:t>Términos significativos del Acuerdo que puedan afectar su valor, el calendario y la certeza de los flujos de efectivo futuros</w:t>
      </w:r>
    </w:p>
    <w:p w14:paraId="7F8D8240" w14:textId="77777777" w:rsidR="00BB0A24" w:rsidRDefault="00BB0A24" w:rsidP="000A5389">
      <w:pPr>
        <w:spacing w:line="240" w:lineRule="auto"/>
      </w:pPr>
    </w:p>
    <w:p w14:paraId="1A35F32F" w14:textId="645081B9" w:rsidR="003D5DB4" w:rsidRPr="002E1B4B" w:rsidRDefault="003D5DB4" w:rsidP="000A5389">
      <w:pPr>
        <w:spacing w:line="240" w:lineRule="auto"/>
      </w:pPr>
      <w:r w:rsidRPr="002E1B4B">
        <w:t>Términos de valor: -Los pesos de referencia del contrato corresponden a diciembre de 2014.-El valor del contrato se fijó, lo establecido en el Capítulo III, numeral 3.4 de la Parte Especial del Contrato de Concesión.-La tasa de descuento real (TDI) del 0,6465%.-El Valor Presente de los Ingresos por Peajes (VPIP) que establece el contrato, es de $1.192.995.671.750 en términos constantes a diciembre de 2014.-El apéndice 2 en el numeral 3.3.4 del contrato de concesión estableció que el Concesionario será responsable del cumplimiento de las obligaciones en materia de recaudo de peaje, equipos y sistemas relacionados en dicho apéndice. Las estaciones de peajes fueron entregadas al Concesionario el 21 de junio de 2016 de acuerdo con lo indicado el apéndice 4 numeral 5.4.7 del contrato de concesión.-La estructura tarifaria se encuentra establecida en la sección 4.2 de la Parte Especial del contrato de concesión, y en el apéndice 1 numeral 2.3 del contrato de concesión, el proyecto cuenta con tres estaciones de peaje, las cuales operan con las tarifas fijadas con la Resolución N.º 02109 del 2 de julio de 2015.-A partir de junio de 2016, se inicia la remuneración mensual. La retribución del Concesionario es la contraprestación económica a la que tiene derecho en los términos de la sección 3.1 de la Parte General del Contrato de Concesión.</w:t>
      </w:r>
    </w:p>
    <w:p w14:paraId="22BF21E0" w14:textId="77777777" w:rsidR="003D5DB4" w:rsidRDefault="003D5DB4" w:rsidP="000A5389">
      <w:pPr>
        <w:spacing w:line="240" w:lineRule="auto"/>
      </w:pPr>
      <w:r w:rsidRPr="002E1B4B">
        <w:t xml:space="preserve">Términos de calendario: -El plazo del contrato se estimó en 30 años, conforme Contrato de Concesión bajo el Esquema de APP - Parte Especial - Tabla de Referencias a la Parte General - Numeral 1.130.-El acta de inicio de construcción se firmó el 20 de septiembre de 2016.- El Contrato de Concesión Nro. 17 del 30 de octubre de 2015, se encuentra en Etapa de Operación y Mantenimiento, que comprende: El 5 de enero de 2018, las partes contratantes suscribieron el Acta de terminación de la Unidad Funcional 1El 29 de agosto de 2022, las partes contratantes suscribieron el Acta de Terminación de la Unidad Funcional 2A.Actualmente el Concesionario Autovía Neiva – Girardot S.A.S, continúan pendientes los requerimientos pactados en el Acta de Terminación de la Unidad Funcional 2A (180 días), lo anterior se encuentra soportado en las diferentes comunicaciones enviadas por el Consorcio Interdiseños ANI-005, tal como el comunicado NEG005-0416-23, mediante el cual se informó del inicio de plazo de cura de 50 días, los cuales culminaron el 14 de julio de 2023, los comunicados NEG005-0592-23, NEG005-0696-23, NEG005-0849-23, y NEG005-0989-24 mediante los cuales se han realizado las actualizaciones y verificación de actividades pendientes de la Unidad Funcional y NEG005-1053-24, mediante el cual se notificó al Concesionario que solo quedaba pendiente la construcción del Puente Peatonal Neiva Norte. Finalmente, se recuerda que mediante el comunicado NEG005-0626-23, se notificó a la Agencia Nacional de Infraestructura del posible incumplimiento del Concesionario por la no entrega de actividades pendientes de Acta de Terminación de la UF2A.El 31 de marzo de 2022, las partes contratantes suscribieron el Acta de Terminación de la Unidad Funcional 2B.El 5 de agosto de 2020, las partes contratantes suscribieron el Acta de Terminación de la Unidad Funcional 3.El 07 de diciembre de 2023, las partes contratantes suscribieron el Acta de Terminación de la Unidad Funcional 4A.El 26 de abril de 2024, las partes contratantes </w:t>
      </w:r>
      <w:r w:rsidRPr="002E1B4B">
        <w:lastRenderedPageBreak/>
        <w:t>suscribieron el Acta de Terminación de la Unidad Funcional 4B.Por lo cual se dio inicio la Etapa de Operación y Mantenimiento, no obstante, se acordaron los pendientes respectivos que deben ser subsanados en los ciento ochenta (180) días posteriores a la firma de dicha acta, los cuales se cumplieron el 23 de octubre de 2024.En la mencionada Acta, en el numeral 3 de los ACUERDOS, describe “De conformidad con lo establecido en la Sección 4.17 Procedimiento de verificación literal (a) romano (viii) de la Parte General del Contrato de Concesionario, modificada mediante Otrosí Nro. 10, AUTOVÍA NEIVA GIRARDOT cuenta con ciento ochenta (180) días contados desde la suscripción de esta Acta de Terminación para cumplir con las demás Especificaciones Técnicas diferentes a las establecidas en los Apéndices Técnico Nros. 1 y 4 del Contrato de Concesión que fueron objeto de revisión para la suscripción de este documento; las cuales se indican a continuación, debido a que son una condición para inicio de la Etapa de Operación de acuerdo con lo estipulado en el numeral 3.3.10 Centro de Control de Operaciones y Sistemas de Comunicación del Apéndice Técnico 2 y es diferente de los pendientes técnicos que quedaron en el Acta de Terminación Parcial (…)” El área Técnica de esta Interventoría ha realizado el seguimiento  compromiso dentro de los 180 días siguientes a la suscripción de la respectiva Acta de Terminación, las cuales se relacionaron en los comunicados NEG005-1358-24 (ANI-20244090647252) de 29 de mayo de 2024, NEG005-1578-24 (ANI-20244090985912) de 12 de agosto de 2024 y NEG005-1723-24 de 24 de septiembre de 2024. Se ha realizado verificación de cada uno de los temas y se dio cierre en el mes de noviembre a la mayoría, quedando pendiente únicamente el tema de medidor de altura con tecnología láser, el cual fue cerrado mediante el comunicado: NEG005-1915-24 de 15 de diciembre de 2024: Medidor de altura (Tecnología láser) . Tema Cerrado El 09 de abril de 2019, las partes contratantes suscribieron el Acta de Terminación de la Unidad Funcional 5.El contrato se encuentra en Operación y Mantenimiento de todo el corredor vial Neiva-Espinal-Girardot – UF-0 y dado que se suscribió acta de terminación de la Unidad Funcional 4B, última Unidad Funcional sin dicha acta, el contrato cambió de Etapa Preoperativa - Fase Construcción a Etapa de Operación y Mantenimiento. Es de anotar que la Etapa Preoperativa Fase Construcción dio inició el 20 de septiembre 2016.De acuerdo al Otrosí Nro. 3 suscrito el de 19 de agosto de 2016, la Fase de Preconstrucción se amplió pasando de 240 días a 270 días y se disminuyó la fase de construcción pasando de 1.410 días a 1.380 días, como se observa en la siguiente tabla, las Fechas Contrato Concesión De Acuerdo A Otrosí 3.</w:t>
      </w:r>
    </w:p>
    <w:p w14:paraId="6964E5CD" w14:textId="77777777" w:rsidR="00BB0A24" w:rsidRPr="002E1B4B" w:rsidRDefault="00BB0A24" w:rsidP="000A5389">
      <w:pPr>
        <w:spacing w:line="240" w:lineRule="auto"/>
      </w:pPr>
    </w:p>
    <w:p w14:paraId="19835303" w14:textId="77777777" w:rsidR="003D5DB4" w:rsidRDefault="003D5DB4" w:rsidP="000A5389">
      <w:pPr>
        <w:spacing w:line="240" w:lineRule="auto"/>
      </w:pPr>
      <w:r w:rsidRPr="002E1B4B">
        <w:t>Términos de certeza de flujos de efectivo futuros: Las variables que pueden afectar los flujos de efectivo son principalmente el riesgo por sobrecostos y el riesgo por menor recaudo. Ver Capítulo XIII Ecuación Contractual y Asignación de Riesgos, de la Parte General del Contrato de Concesión.</w:t>
      </w:r>
    </w:p>
    <w:p w14:paraId="0B5754ED" w14:textId="77777777" w:rsidR="00BB0A24" w:rsidRPr="002E1B4B" w:rsidRDefault="00BB0A24" w:rsidP="000A5389">
      <w:pPr>
        <w:spacing w:line="240" w:lineRule="auto"/>
      </w:pPr>
    </w:p>
    <w:p w14:paraId="5E145C40" w14:textId="77777777" w:rsidR="003D5DB4" w:rsidRDefault="003D5DB4" w:rsidP="000A5389">
      <w:pPr>
        <w:spacing w:line="240" w:lineRule="auto"/>
      </w:pPr>
      <w:r w:rsidRPr="002E1B4B">
        <w:t>Naturaleza y alcance del derecho a utilizar Activos y los aspectos pactados en torno a lo que se espera que el concesionario proporcione en relación con el Acuerdo de concesión</w:t>
      </w:r>
    </w:p>
    <w:p w14:paraId="30884686" w14:textId="77777777" w:rsidR="00BB0A24" w:rsidRPr="002E1B4B" w:rsidRDefault="00BB0A24" w:rsidP="000A5389">
      <w:pPr>
        <w:spacing w:line="240" w:lineRule="auto"/>
      </w:pPr>
    </w:p>
    <w:p w14:paraId="4E23EC00" w14:textId="77777777" w:rsidR="003D5DB4" w:rsidRPr="002E1B4B" w:rsidRDefault="003D5DB4" w:rsidP="000A5389">
      <w:pPr>
        <w:spacing w:line="240" w:lineRule="auto"/>
      </w:pPr>
      <w:r w:rsidRPr="002E1B4B">
        <w:t>Naturaleza y alcance del derecho de uso de los Activos</w:t>
      </w:r>
    </w:p>
    <w:p w14:paraId="5321934A" w14:textId="77777777" w:rsidR="003D5DB4" w:rsidRPr="002E1B4B" w:rsidRDefault="003D5DB4" w:rsidP="000A5389">
      <w:pPr>
        <w:spacing w:line="240" w:lineRule="auto"/>
      </w:pPr>
      <w:r w:rsidRPr="002E1B4B">
        <w:t>Descripción:</w:t>
      </w:r>
      <w:r w:rsidRPr="002E1B4B">
        <w:tab/>
        <w:t xml:space="preserve">A continuación, se presenta la descripción de las vías descritas en La Parte Especial del Contrato de Concesión literal (b) numeral 3.5 Entrega de la Infraestructura: </w:t>
      </w:r>
      <w:r w:rsidRPr="002E1B4B">
        <w:lastRenderedPageBreak/>
        <w:t>Tramos de ruta 45 que hacen parte del corredor ORIGEN = Juncal PR 000+000 DESTINO = Neiva PR 21+300 21,3 km -Vía secundaría pavimentada en regular estado con un ancho de calzada de 9.3 m ORIGEN = Neiva PR 21 +300 DESTINO = Castilla PR 107+000 107 km -Vía concesionada de primer orden, bidireccional pavimentada. ORIGEN = Castilla PR 107+000 DESTINO = Girardot PR 60+800 60.8 km -Vía concesionada de primer orden, bidireccional pavimentada. En el numeral 3.6 Estaciones de Peaje, Parte Especial del contrato de Concesión literal (a) se enuncian las estaciones de Peaje existentes como parte de la infraestructura a ser entregada por la ANI al Concesionario el 21 de junio de 2016 así: CASETA DE PEAJE NEIVA - PR3 +300 – UF 2 – Entregada el 21 de junio de 2016 CASETA DE PEAJE PATÁ - PR53 +400 – UF 3 – Entregada el 21 de junio de 2016 CASETA DE PEAJE FLANDES – PR155 +370 – UF 5 – Entregada el 21 de junio de 2016</w:t>
      </w:r>
    </w:p>
    <w:p w14:paraId="485D7FE7" w14:textId="77777777" w:rsidR="00BB0A24" w:rsidRDefault="00BB0A24" w:rsidP="000A5389">
      <w:pPr>
        <w:spacing w:line="240" w:lineRule="auto"/>
      </w:pPr>
    </w:p>
    <w:p w14:paraId="4A1C6F2D" w14:textId="770650FA" w:rsidR="003D5DB4" w:rsidRPr="002E1B4B" w:rsidRDefault="003D5DB4" w:rsidP="000A5389">
      <w:pPr>
        <w:spacing w:line="240" w:lineRule="auto"/>
      </w:pPr>
      <w:r w:rsidRPr="002E1B4B">
        <w:t>Observaciones: No se tienen observaciones</w:t>
      </w:r>
    </w:p>
    <w:p w14:paraId="234BB2F9" w14:textId="77777777" w:rsidR="00BB0A24" w:rsidRDefault="00BB0A24" w:rsidP="000A5389">
      <w:pPr>
        <w:spacing w:line="240" w:lineRule="auto"/>
      </w:pPr>
    </w:p>
    <w:p w14:paraId="3FE1DD66" w14:textId="4600AF23" w:rsidR="003D5DB4" w:rsidRPr="002E1B4B" w:rsidRDefault="003D5DB4" w:rsidP="000A5389">
      <w:pPr>
        <w:spacing w:line="240" w:lineRule="auto"/>
      </w:pPr>
      <w:r w:rsidRPr="002E1B4B">
        <w:t>Retribución al concesionario</w:t>
      </w:r>
    </w:p>
    <w:p w14:paraId="56F779E7" w14:textId="77777777" w:rsidR="003D5DB4" w:rsidRPr="002E1B4B" w:rsidRDefault="003D5DB4" w:rsidP="000A5389">
      <w:pPr>
        <w:spacing w:line="240" w:lineRule="auto"/>
      </w:pPr>
      <w:r w:rsidRPr="002E1B4B">
        <w:t xml:space="preserve">Descripción: Parte Especial, Capitulo IV, Numeral 4.3 Cálculo de la Retribución La Retribución total será la suma de la Retribución de las Unidades Funcionales. El Cálculo de la Retribución por Unidad funcional para cada Mes será efectuado de acuerdo con la siguiente fórmula: </w:t>
      </w:r>
    </w:p>
    <w:p w14:paraId="5413088A" w14:textId="77777777" w:rsidR="00BB0A24" w:rsidRDefault="00BB0A24" w:rsidP="000A5389">
      <w:pPr>
        <w:spacing w:line="240" w:lineRule="auto"/>
      </w:pPr>
    </w:p>
    <w:p w14:paraId="6F0C89AD" w14:textId="2A1DCB75" w:rsidR="003D5DB4" w:rsidRPr="002E1B4B" w:rsidRDefault="003D5DB4" w:rsidP="000A5389">
      <w:pPr>
        <w:spacing w:line="240" w:lineRule="auto"/>
      </w:pPr>
      <w:r w:rsidRPr="002E1B4B">
        <w:t>Tasa de retribución:</w:t>
      </w:r>
      <w:r w:rsidRPr="002E1B4B">
        <w:tab/>
        <w:t>La tasa de descuento real (TDI) expresada en términos efectivos mensuales, para efectos de este proyecto, será del cero punto sesenta y cuatro sesenta y cinco por ciento (0,6465%) Al corte de diciembre de 2025 el VPIP acumulado es de $435.790 millones, lo cual representa un porcentaje de cumplimiento del 36,53%</w:t>
      </w:r>
    </w:p>
    <w:p w14:paraId="7C14C928" w14:textId="77777777" w:rsidR="00BB0A24" w:rsidRDefault="00BB0A24" w:rsidP="000A5389">
      <w:pPr>
        <w:spacing w:line="240" w:lineRule="auto"/>
      </w:pPr>
    </w:p>
    <w:p w14:paraId="4F0AAE3A" w14:textId="793B8972" w:rsidR="003D5DB4" w:rsidRPr="002E1B4B" w:rsidRDefault="003D5DB4" w:rsidP="000A5389">
      <w:pPr>
        <w:spacing w:line="240" w:lineRule="auto"/>
      </w:pPr>
      <w:r w:rsidRPr="002E1B4B">
        <w:t>Derechos a recibir Activos especificados al final del acuerdo de concesión</w:t>
      </w:r>
    </w:p>
    <w:p w14:paraId="7B6C3838" w14:textId="77777777" w:rsidR="00BB0A24" w:rsidRDefault="00BB0A24" w:rsidP="000A5389">
      <w:pPr>
        <w:spacing w:line="240" w:lineRule="auto"/>
      </w:pPr>
    </w:p>
    <w:p w14:paraId="67CAD4FD" w14:textId="4475EF5A" w:rsidR="003D5DB4" w:rsidRPr="002E1B4B" w:rsidRDefault="003D5DB4" w:rsidP="000A5389">
      <w:pPr>
        <w:spacing w:line="240" w:lineRule="auto"/>
      </w:pPr>
      <w:r w:rsidRPr="002E1B4B">
        <w:t>Descripción: Capitulo XVII TERMINACIÓN DEL CONTRATO O ocurrencia El presente Contrato terminará cuando finalice la Etapa de Reversión, lo cual ocurrirá a más tardar al vencimiento del Plazo Máximo de la Etapa de Reversión, sin que dicho término pueda superar el Plazo Máximo de la Compensación por Riesgo VPIP</w:t>
      </w:r>
      <w:r w:rsidRPr="002E1B4B">
        <w:rPr>
          <w:rFonts w:ascii="Cambria Math" w:hAnsi="Cambria Math" w:cs="Cambria Math"/>
        </w:rPr>
        <w:t>𝑟𝑐𝑝𝑚</w:t>
      </w:r>
      <w:r w:rsidRPr="002E1B4B">
        <w:t xml:space="preserve">, incluida la Etapa de Reversión. En la sección 9.7 de la parte general se menciona lo siguiente: Al día siguiente de (i) la Fecha de Terminación de la Etapa de Operación y Mantenimiento de que trata la Sección 2.4 (b) de esta Parte General, o (ii) cuando el Concesionario haya recibido el VPIP, VPIPrcpm, VPIPrctm de acuerdo con lo que corresponda, o (iii) antes de la declaratoria de Terminación Anticipada del Contrato, el Concesionario y el Interventor deberán iniciar la verificación final del Proyecto con el fin de proceder a la Reversión. Por otra parte, en la sección 11. 2 se establece lo siguiente: La ANI podrá decretar la Terminación Anticipada y unilateral del Contrato por las causales y en las condiciones previstas en el artículo 17 de la ley 80 de 1993 o en las normas que lo modifiquen, complementen o substituyan. La terminación unilateral podrá ser decretada por la ANI en cualquiera de las Fases y Etapas de ejecución del presente Contrato. En el caso que se presente cualquiera de las causales previstas en el artículo 17 de la ley 80 de 1993 se podrá aplicar, en lo pertinente lo previsto </w:t>
      </w:r>
      <w:r w:rsidRPr="002E1B4B">
        <w:lastRenderedPageBreak/>
        <w:t>en el Contrato, para continuar la ejecución del Proyecto con los Prestamistas o la entidad que ellos designen.</w:t>
      </w:r>
    </w:p>
    <w:p w14:paraId="308B6129" w14:textId="77777777" w:rsidR="00BB0A24" w:rsidRDefault="00BB0A24" w:rsidP="000A5389">
      <w:pPr>
        <w:spacing w:line="240" w:lineRule="auto"/>
      </w:pPr>
    </w:p>
    <w:p w14:paraId="6B59D9A8" w14:textId="01B5A519" w:rsidR="003D5DB4" w:rsidRPr="002E1B4B" w:rsidRDefault="003D5DB4" w:rsidP="000A5389">
      <w:pPr>
        <w:spacing w:line="240" w:lineRule="auto"/>
      </w:pPr>
      <w:r w:rsidRPr="002E1B4B">
        <w:t>Observaciones: No hay observaciones</w:t>
      </w:r>
    </w:p>
    <w:p w14:paraId="25AA25A8" w14:textId="77777777" w:rsidR="00BB0A24" w:rsidRDefault="00BB0A24" w:rsidP="000A5389">
      <w:pPr>
        <w:spacing w:line="240" w:lineRule="auto"/>
      </w:pPr>
    </w:p>
    <w:p w14:paraId="70FFE383" w14:textId="6E1B3AC2" w:rsidR="003D5DB4" w:rsidRPr="002E1B4B" w:rsidRDefault="003D5DB4" w:rsidP="000A5389">
      <w:pPr>
        <w:spacing w:line="240" w:lineRule="auto"/>
      </w:pPr>
      <w:r w:rsidRPr="002E1B4B">
        <w:t>Las alternativas de renovación y cese del acuerdo</w:t>
      </w:r>
    </w:p>
    <w:p w14:paraId="62E53011" w14:textId="77777777" w:rsidR="00BB0A24" w:rsidRDefault="00BB0A24" w:rsidP="000A5389">
      <w:pPr>
        <w:spacing w:line="240" w:lineRule="auto"/>
      </w:pPr>
    </w:p>
    <w:p w14:paraId="23C7FE92" w14:textId="0B735734" w:rsidR="003D5DB4" w:rsidRPr="002E1B4B" w:rsidRDefault="003D5DB4" w:rsidP="000A5389">
      <w:pPr>
        <w:spacing w:line="240" w:lineRule="auto"/>
      </w:pPr>
      <w:r w:rsidRPr="002E1B4B">
        <w:t>Descripción:</w:t>
      </w:r>
      <w:r w:rsidRPr="002E1B4B">
        <w:tab/>
        <w:t>No Aplica</w:t>
      </w:r>
    </w:p>
    <w:p w14:paraId="4A7DE2C2" w14:textId="77777777" w:rsidR="003D5DB4" w:rsidRPr="002E1B4B" w:rsidRDefault="003D5DB4" w:rsidP="000A5389">
      <w:pPr>
        <w:spacing w:line="240" w:lineRule="auto"/>
      </w:pPr>
      <w:r w:rsidRPr="002E1B4B">
        <w:t>Observaciones: No Aplica</w:t>
      </w:r>
    </w:p>
    <w:p w14:paraId="67E9328C" w14:textId="77777777" w:rsidR="00BB0A24" w:rsidRDefault="00BB0A24" w:rsidP="000A5389">
      <w:pPr>
        <w:spacing w:line="240" w:lineRule="auto"/>
      </w:pPr>
    </w:p>
    <w:p w14:paraId="5A70FD66" w14:textId="0D71F5A3" w:rsidR="003D5DB4" w:rsidRPr="002E1B4B" w:rsidRDefault="003D5DB4" w:rsidP="000A5389">
      <w:pPr>
        <w:spacing w:line="240" w:lineRule="auto"/>
      </w:pPr>
      <w:r w:rsidRPr="002E1B4B">
        <w:t>Cambios en el acuerdo de concesión que se realicen durante el periodo fiscal</w:t>
      </w:r>
    </w:p>
    <w:p w14:paraId="3BB6127D" w14:textId="77777777" w:rsidR="003D5DB4" w:rsidRPr="002E1B4B" w:rsidRDefault="003D5DB4" w:rsidP="000A5389">
      <w:pPr>
        <w:spacing w:line="240" w:lineRule="auto"/>
      </w:pPr>
      <w:r w:rsidRPr="002E1B4B">
        <w:t>Adiciones o modificaciones en tiempo</w:t>
      </w:r>
    </w:p>
    <w:p w14:paraId="0DB1BF40" w14:textId="77777777" w:rsidR="00BB0A24" w:rsidRDefault="00BB0A24" w:rsidP="000A5389">
      <w:pPr>
        <w:spacing w:line="240" w:lineRule="auto"/>
      </w:pPr>
    </w:p>
    <w:p w14:paraId="57A8A35D" w14:textId="77777777" w:rsidR="00BB0A24" w:rsidRDefault="003D5DB4" w:rsidP="000A5389">
      <w:pPr>
        <w:spacing w:line="240" w:lineRule="auto"/>
      </w:pPr>
      <w:r w:rsidRPr="002E1B4B">
        <w:t xml:space="preserve">Fechas de las adiciones o modificaciones: Otrosí N.º. 1 del 16 de noviembre de 2015Modifica la sección 3, numeral 23, literal b del contrato de concesión, mediante la cual se prorroga la fecha del inicio del contrato hasta el 23 de diciembre de 2015.Otrosí N.º 2 de 17 de marzo de 2016Modifica el primer párrafo de la sección 3.3.9.2 del Apéndice Técnico N.º 2 Tabla N.º 7: Equipo mínimo a ser puesto a disposición de la Policía de Carreteras. Adicionalmente obliga al Concesionario a provisionar el valor faltante de la inversión de estos equipos en una subcuenta del patrimonio autónomo. Otrosí N.º 3 del 19 de agosto de 2016Se modificaron los plazos estimados de las fases de la etapa preoperativa, el plazo para la acreditación del cierre financiero y la programación de obras en lo relacionado con el plazo máximo de ejecución de obras en la Unidad Funcional 4.Otrosí N.º 4 del 24 de marzo de 2017Se acordaron los términos para adelantar ante el Ministerio de Transporte el trámite de la modificación de la Resolución N.º 2109 de 2015 “Por la cual se reubica la estación de peaje denominada El Patá y se establecen las tarifas a cobrar en las estaciones de Flandes, Neiva y El Patá, pertenecientes al proyecto de asociación público-privada de iniciativa privada Neiva–Girardot” y se aclaró el alcance de la Unidad Funcional 1.Otrosí N.º 5 del 23 de mayo de 2017Se modificaron las Secciones 3.13(a), 3.13(d)(v), 17.2(b)(iii) y 17.3(b) y se adicionó la Sección 3.13(d)(viii) de la Parte General del Contrato de Concesión (PGCC) para incluir la inhabilidad sobreviniente en los términos del artículo 9 de la ley 80 de 1993 como una causal de toma de posesión a favor de los prestamistas. Otrosí N.º 6 del 11 de octubre de 2017Entre las cláusulas primera a décima segunda, se modifican del Apéndice Financiero Número 2 del Contrato de Concesión los capítulos 1 (Definiciones), se adiciona el romanito (viii) al numeral 4; se modifican también los numerales 6 y 7; se modifica el numeral 2.2 del capítulo II (Términos de la Cesión Especial); se modifica el primer inciso del numeral 2.3.2; se modifican los numerales 2.4 y 2.5; además de modificar la sección 3.15(h)(vi)(1) de la Parte General del Contrato de Concesión; y se modifican los anexos AF 2.1 y AF 2.2 (Formato de solicitud de cesión especial) igualmente del Apéndice Financiero 2.Otrosí No. 7 del 23 de mayo de 2018Se elimina la obligación de traslado del peaje el Patá contenida en la sección 3.6 del Apéndice Técnico 1. Dicha eliminación queda condicionada a la modificación de la Resolución 2109 de 2015 por parte del Ministerio de Transporte y se ordena que en su defecto se realicen las actividades que sean necesarias sobre la estación de peaje existente en el PR 53+450 con el fin de dar cumplimiento a lo señalado en la sección </w:t>
      </w:r>
      <w:r w:rsidRPr="002E1B4B">
        <w:lastRenderedPageBreak/>
        <w:t xml:space="preserve">3.3.4.1 del Apéndice Técnico 2. Se modifica la sección 4.2.3.3 del Apéndice Técnico 2, en consecuencia, el programa mensualizado de actividades de Operación y Obras de Mantenimiento y los informes a los estados financieros se harán de manera anual. Otrosí No. 8 del 30 de diciembre de 2019Se realizan las siguientes modificaciones: 1) literal c numeral 6.1 se fija periodo de cura para subsanar el incumplimiento de la entregas de UF en el 20% del plazo previsto en el contrato en la entrega de las UF. 2) Se subdividen las unidades funcionales 2 y 4. 3)Se modifican los literales b, d, e y f del numeral 4.5 con el fin de aplazar los fondeos contractuales de las subcuentas Interventoría, Compensaciones Ambientales, MASC y Soporte Contractual . 4) Se incluyen las definiciones “Recursos Remanentes” y “Acta de Declaratoria de Existencia de Recursos Remanentes”. Otrosí No. 9 del 5 de octubre de 2020Se incluye en la Sección 3.15 de la PGCC, un parágrafo donde se autoriza la utilización de recursos disponibles de las Subcuentas Compensaciones Ambientales, Redes, Soporte Contractual y MASC los cuales serán transferidos a la Subcuenta Transferencia Transitoria de Recursos creada en la Cuenta Proyecto del PA. Adicionalmente se incluye el reconocimiento de intereses a favor de la ANI de acuerdo a lo estipulado en la sección 3.7. otorga un plazo máximo de 180 días al plazo máximo del último de los reintegros y autoriza a la ANI para que realice un descuento automático de las Retribuciones mensuales necesarias hasta por el monto del reintegro no efectuado más los intereses moratorios estipulados. Modifica además la sección 4.5 sobre los Fondeos de la Subcuentas Compensaciones Ambientales, interventoría, Soporte Contractual y MASC dando un plazo máximo de los fondeos suspendidos del 2020 para realizarlos en un plazo no mayor de 1800 días desde la firma del acta de inicio. </w:t>
      </w:r>
    </w:p>
    <w:p w14:paraId="622F20DC" w14:textId="77777777" w:rsidR="00BB0A24" w:rsidRDefault="00BB0A24" w:rsidP="000A5389">
      <w:pPr>
        <w:spacing w:line="240" w:lineRule="auto"/>
      </w:pPr>
    </w:p>
    <w:p w14:paraId="7DC7656D" w14:textId="7B90197F" w:rsidR="00BB0A24" w:rsidRDefault="003D5DB4" w:rsidP="000A5389">
      <w:pPr>
        <w:spacing w:line="240" w:lineRule="auto"/>
      </w:pPr>
      <w:r w:rsidRPr="002E1B4B">
        <w:t xml:space="preserve">Otrosí No. 10 del 3 de mayo de 2021Se modificó el procedimiento de verificación de las unidades funcionales consagrado en la sección 4.17 de la Parte General del Contrato de Concesión, se adicionaron los literales los literales (e), (f) (g) y (h) a la Sección 7.1 de la Parte General del Contrato, generalidades de la gestión predial y se modificó el monto y fecha máxima de los aportes No. 7, 8 y 9 de la Subcuenta de Supervisión e Interventoría establecidos en el literal d) de la Sección 4.5 de la Parte Especial del Contrato. </w:t>
      </w:r>
    </w:p>
    <w:p w14:paraId="22AA6B8C" w14:textId="77777777" w:rsidR="00BB0A24" w:rsidRDefault="00BB0A24" w:rsidP="000A5389">
      <w:pPr>
        <w:spacing w:line="240" w:lineRule="auto"/>
      </w:pPr>
    </w:p>
    <w:p w14:paraId="52F0167B" w14:textId="658B0E24" w:rsidR="003D5DB4" w:rsidRPr="002E1B4B" w:rsidRDefault="003D5DB4" w:rsidP="000A5389">
      <w:pPr>
        <w:spacing w:line="240" w:lineRule="auto"/>
      </w:pPr>
      <w:r w:rsidRPr="002E1B4B">
        <w:t>Otrosí No. 11 del 9 de julio de 2021Se modificó del Otrosí 9 la cláusula primera, el parágrafo primero del romano (ii) , literal (f) de Subcuenta Compensaciones Ambientales, aumentando de 270 a 330 días el plazo máximo del último reintegro de esta subcuenta.</w:t>
      </w:r>
    </w:p>
    <w:p w14:paraId="3C3A10F8" w14:textId="77777777" w:rsidR="00BB0A24" w:rsidRDefault="00BB0A24" w:rsidP="000A5389">
      <w:pPr>
        <w:spacing w:line="240" w:lineRule="auto"/>
      </w:pPr>
    </w:p>
    <w:p w14:paraId="5F9B5B0D" w14:textId="7702A9D4" w:rsidR="003D5DB4" w:rsidRPr="002E1B4B" w:rsidRDefault="003D5DB4" w:rsidP="000A5389">
      <w:pPr>
        <w:spacing w:line="240" w:lineRule="auto"/>
      </w:pPr>
      <w:r w:rsidRPr="002E1B4B">
        <w:t>Nueva Fecha de finalización estimada:</w:t>
      </w:r>
      <w:r w:rsidRPr="002E1B4B">
        <w:tab/>
      </w:r>
    </w:p>
    <w:p w14:paraId="6600F0EA" w14:textId="77777777" w:rsidR="003D5DB4" w:rsidRPr="002E1B4B" w:rsidRDefault="003D5DB4" w:rsidP="000A5389">
      <w:pPr>
        <w:spacing w:line="240" w:lineRule="auto"/>
      </w:pPr>
      <w:r w:rsidRPr="002E1B4B">
        <w:t>Observaciones:</w:t>
      </w:r>
      <w:r w:rsidRPr="002E1B4B">
        <w:tab/>
      </w:r>
    </w:p>
    <w:p w14:paraId="4D273020" w14:textId="77777777" w:rsidR="003D5DB4" w:rsidRPr="002E1B4B" w:rsidRDefault="003D5DB4" w:rsidP="000A5389">
      <w:pPr>
        <w:spacing w:line="240" w:lineRule="auto"/>
      </w:pPr>
      <w:r w:rsidRPr="002E1B4B">
        <w:t>Adiciones o modificaciones en valor</w:t>
      </w:r>
    </w:p>
    <w:p w14:paraId="736E23C6" w14:textId="77777777" w:rsidR="003D5DB4" w:rsidRPr="002E1B4B" w:rsidRDefault="003D5DB4" w:rsidP="000A5389">
      <w:pPr>
        <w:spacing w:line="240" w:lineRule="auto"/>
      </w:pPr>
      <w:r w:rsidRPr="002E1B4B">
        <w:t>Valor de la adición o modificación:</w:t>
      </w:r>
      <w:r w:rsidRPr="002E1B4B">
        <w:tab/>
      </w:r>
    </w:p>
    <w:p w14:paraId="635F4F33" w14:textId="77777777" w:rsidR="003D5DB4" w:rsidRPr="002E1B4B" w:rsidRDefault="003D5DB4" w:rsidP="000A5389">
      <w:pPr>
        <w:spacing w:line="240" w:lineRule="auto"/>
      </w:pPr>
      <w:r w:rsidRPr="002E1B4B">
        <w:t>Nuevo valor del acuerdo:</w:t>
      </w:r>
      <w:r w:rsidRPr="002E1B4B">
        <w:tab/>
      </w:r>
    </w:p>
    <w:p w14:paraId="5A6E437F" w14:textId="77777777" w:rsidR="003D5DB4" w:rsidRPr="002E1B4B" w:rsidRDefault="003D5DB4" w:rsidP="000A5389">
      <w:pPr>
        <w:spacing w:line="240" w:lineRule="auto"/>
      </w:pPr>
      <w:r w:rsidRPr="002E1B4B">
        <w:t>Observaciones:</w:t>
      </w:r>
      <w:r w:rsidRPr="002E1B4B">
        <w:tab/>
      </w:r>
    </w:p>
    <w:p w14:paraId="53205586" w14:textId="77777777" w:rsidR="003D5DB4" w:rsidRDefault="003D5DB4" w:rsidP="000A5389">
      <w:pPr>
        <w:spacing w:line="240" w:lineRule="auto"/>
      </w:pPr>
    </w:p>
    <w:p w14:paraId="0B5801CA" w14:textId="77777777" w:rsidR="00BB0A24" w:rsidRPr="002E1B4B" w:rsidRDefault="00BB0A24" w:rsidP="000A5389">
      <w:pPr>
        <w:spacing w:line="240" w:lineRule="auto"/>
      </w:pPr>
    </w:p>
    <w:p w14:paraId="1A7DCF39" w14:textId="77777777" w:rsidR="003D5DB4" w:rsidRPr="00BB0A24" w:rsidRDefault="003D5DB4" w:rsidP="000A5389">
      <w:pPr>
        <w:spacing w:line="240" w:lineRule="auto"/>
        <w:rPr>
          <w:i/>
          <w:iCs/>
        </w:rPr>
      </w:pPr>
      <w:r w:rsidRPr="00BB0A24">
        <w:rPr>
          <w:i/>
          <w:iCs/>
        </w:rPr>
        <w:t>CONCESIÓN RUMICHACA - PASTO</w:t>
      </w:r>
    </w:p>
    <w:p w14:paraId="67837381" w14:textId="77777777" w:rsidR="003D5DB4" w:rsidRPr="002E1B4B" w:rsidRDefault="003D5DB4" w:rsidP="000A5389">
      <w:pPr>
        <w:spacing w:line="240" w:lineRule="auto"/>
      </w:pPr>
    </w:p>
    <w:p w14:paraId="38F305BD" w14:textId="77777777" w:rsidR="003D5DB4" w:rsidRPr="002E1B4B" w:rsidRDefault="003D5DB4" w:rsidP="000A5389">
      <w:pPr>
        <w:spacing w:line="240" w:lineRule="auto"/>
      </w:pPr>
      <w:r w:rsidRPr="002E1B4B">
        <w:lastRenderedPageBreak/>
        <w:t>Descripción del Acuerdo</w:t>
      </w:r>
    </w:p>
    <w:p w14:paraId="5E2FF063" w14:textId="77777777" w:rsidR="003D5DB4" w:rsidRPr="002E1B4B" w:rsidRDefault="003D5DB4" w:rsidP="000A5389">
      <w:pPr>
        <w:spacing w:line="240" w:lineRule="auto"/>
      </w:pPr>
      <w:r w:rsidRPr="002E1B4B">
        <w:t>Número del Acuerdo de concesión:  Contrato 015 de 2015</w:t>
      </w:r>
    </w:p>
    <w:p w14:paraId="7025DFCD" w14:textId="77777777" w:rsidR="003D5DB4" w:rsidRPr="002E1B4B" w:rsidRDefault="003D5DB4" w:rsidP="000A5389">
      <w:pPr>
        <w:spacing w:line="240" w:lineRule="auto"/>
      </w:pPr>
      <w:r w:rsidRPr="002E1B4B">
        <w:t>Objeto / Descripción:  El Concesionario por su cuenta y riesgo, lleve a cabo el Proyecto. El alcance del Proyecto corresponde a La financiación, construcción, rehabilitación, mejoramiento, operación y mantenimiento y reversión del corredor Rumichaca- Pasto, de acuerdo con el Apéndice Técnico 1 y demás Apéndices Técnicos del Contrato.</w:t>
      </w:r>
    </w:p>
    <w:p w14:paraId="7807B381" w14:textId="77777777" w:rsidR="003D5DB4" w:rsidRPr="002E1B4B" w:rsidRDefault="003D5DB4" w:rsidP="000A5389">
      <w:pPr>
        <w:spacing w:line="240" w:lineRule="auto"/>
      </w:pPr>
      <w:r w:rsidRPr="002E1B4B">
        <w:t>Valor inicial:</w:t>
      </w:r>
      <w:r w:rsidRPr="002E1B4B">
        <w:tab/>
        <w:t>Dos billones trescientos diez y seis mil cientos veinte y siete millones setecientos setenta y unos mil cientos ochenta y un ($2.316.127.771.181) Pesos del Mes de Referencia (dic.2013)</w:t>
      </w:r>
    </w:p>
    <w:p w14:paraId="7A196E78" w14:textId="77777777" w:rsidR="00BB0A24" w:rsidRDefault="00BB0A24" w:rsidP="000A5389">
      <w:pPr>
        <w:spacing w:line="240" w:lineRule="auto"/>
      </w:pPr>
    </w:p>
    <w:p w14:paraId="5A7E5BC4" w14:textId="4A49539C" w:rsidR="003D5DB4" w:rsidRPr="002E1B4B" w:rsidRDefault="003D5DB4" w:rsidP="000A5389">
      <w:pPr>
        <w:spacing w:line="240" w:lineRule="auto"/>
      </w:pPr>
      <w:r w:rsidRPr="002E1B4B">
        <w:t>Fecha de inicio:</w:t>
      </w:r>
      <w:r w:rsidRPr="002E1B4B">
        <w:tab/>
        <w:t>27/10/2015</w:t>
      </w:r>
    </w:p>
    <w:p w14:paraId="3C934A71" w14:textId="77777777" w:rsidR="003D5DB4" w:rsidRPr="002E1B4B" w:rsidRDefault="003D5DB4" w:rsidP="000A5389">
      <w:pPr>
        <w:spacing w:line="240" w:lineRule="auto"/>
      </w:pPr>
      <w:r w:rsidRPr="002E1B4B">
        <w:t>Fecha de finalización estimada: 26/10/2040</w:t>
      </w:r>
    </w:p>
    <w:p w14:paraId="799B9B87" w14:textId="77777777" w:rsidR="003D5DB4" w:rsidRPr="002E1B4B" w:rsidRDefault="003D5DB4" w:rsidP="000A5389">
      <w:pPr>
        <w:spacing w:line="240" w:lineRule="auto"/>
      </w:pPr>
      <w:r w:rsidRPr="002E1B4B">
        <w:t>Tipo ID: NIT</w:t>
      </w:r>
    </w:p>
    <w:p w14:paraId="61AA7903" w14:textId="77777777" w:rsidR="003D5DB4" w:rsidRPr="002E1B4B" w:rsidRDefault="003D5DB4" w:rsidP="000A5389">
      <w:pPr>
        <w:spacing w:line="240" w:lineRule="auto"/>
      </w:pPr>
      <w:r w:rsidRPr="002E1B4B">
        <w:t>Número ID:</w:t>
      </w:r>
      <w:r w:rsidRPr="002E1B4B">
        <w:tab/>
        <w:t>900.880.846</w:t>
      </w:r>
    </w:p>
    <w:p w14:paraId="63F14260" w14:textId="77777777" w:rsidR="003D5DB4" w:rsidRPr="002E1B4B" w:rsidRDefault="003D5DB4" w:rsidP="000A5389">
      <w:pPr>
        <w:spacing w:line="240" w:lineRule="auto"/>
      </w:pPr>
      <w:r w:rsidRPr="002E1B4B">
        <w:t>Razón social del concesionario:</w:t>
      </w:r>
      <w:r w:rsidRPr="002E1B4B">
        <w:tab/>
        <w:t>CONCESIONARIA UNION DEL SUR</w:t>
      </w:r>
    </w:p>
    <w:p w14:paraId="398C585C" w14:textId="77777777" w:rsidR="003D5DB4" w:rsidRPr="002E1B4B" w:rsidRDefault="003D5DB4" w:rsidP="000A5389">
      <w:pPr>
        <w:spacing w:line="240" w:lineRule="auto"/>
      </w:pPr>
      <w:r w:rsidRPr="002E1B4B">
        <w:t>Nombre del proyecto:</w:t>
      </w:r>
      <w:r w:rsidRPr="002E1B4B">
        <w:tab/>
        <w:t>CONCESION RUMICHACA – PASTO</w:t>
      </w:r>
    </w:p>
    <w:p w14:paraId="58268215" w14:textId="77777777" w:rsidR="003D5DB4" w:rsidRPr="002E1B4B" w:rsidRDefault="003D5DB4" w:rsidP="000A5389">
      <w:pPr>
        <w:spacing w:line="240" w:lineRule="auto"/>
      </w:pPr>
    </w:p>
    <w:p w14:paraId="58595677" w14:textId="77777777" w:rsidR="003D5DB4" w:rsidRPr="002E1B4B" w:rsidRDefault="003D5DB4" w:rsidP="000A5389">
      <w:pPr>
        <w:spacing w:line="240" w:lineRule="auto"/>
      </w:pPr>
      <w:r w:rsidRPr="002E1B4B">
        <w:t>Términos significativos del Acuerdo que puedan afectar su valor, el calendario y la certeza de los flujos de efectivo futuros</w:t>
      </w:r>
    </w:p>
    <w:p w14:paraId="7656F037" w14:textId="77777777" w:rsidR="003D5DB4" w:rsidRDefault="003D5DB4" w:rsidP="000A5389">
      <w:pPr>
        <w:spacing w:line="240" w:lineRule="auto"/>
      </w:pPr>
      <w:r w:rsidRPr="002E1B4B">
        <w:t xml:space="preserve">Términos de valor: Parte General Sección 3.6 Intereses Remuneratorios y de Mora(a) La tasa de mora aplicable a los pagos debidos por las Partes bajo el presente Contrato será la equivalente a DTF más diez puntos porcentuales (10%).(d) Para obligaciones de pago de dinero distintas de las de realizar los Aportes ANI, desde la fecha de surgimiento de la respectiva obligación a cargo de la ANI y durante los primeros cuarenta y cinco (45) Días no se causarán intereses de ningún tipo. Parte Especial Sección 4.2 Estructura Tarifaria(a) Para efectos de lo dispuesto en la Sección 1.139 de la Parte General, y de acuerdo con lo establecido por la Resolución No.0001920 del 23 de junio de 2015, la estructura tarifaria que regirá el Proyecto. Parte Especial Sección 4.3 Cálculo de la Retribución. Parte Especial Sección 4.4 Giros de Equity. A la fecha el Concesionario ha dado cabal cumplimiento a su obligación de giros de Equity. Parte Especial Sección 4.5 Fondeos Subcuentas del Patrimonio Autónomo: Fondeos Subcuenta PREDIOS Total, aportes realizados, corresponde al 153,36% del valor estimado descrito en el numeral 7.2 literal (d) (i) de la parte General del Contrato, el concesionario ha dado cumplimiento a los fondeos contractuales. Fondeos Subcuenta COMPENSACIONES AMBIENTALES El Concesionario ha dado cumplimiento a la totalidad de los fondeos contractuales. Fondeos Subcuenta INTERVENTORÍA Y SUPERVISIÓN Al cierre de la vigencia del año 2025 el concesionario ha dado cumplimiento a la totalidad de los fondeos contractuales. Fondeos Subcuenta SOPORTE CONTRACTUAL. Al cierre de la vigencia del año 2025 el concesionario ha dado cumplimiento a la totalidad de los fondeos contractuales. Fondeos Subcuenta AMIGABLE COMPOSICIÓN Al cierre de la vigencia del año 2025 el concesionario ha dado cumplimiento a la totalidad de los fondeos contractuales. Fondeos Subcuenta REDES El concesionario ha dado cumplimiento a los fondeos contractuales respecto a la subcuenta redes hasta la franja de riesgo correspondiente a él 151%. Parte Especial, numeral 4.5 (d) Subcuenta Aportes ANI, En el 2025 la ANI efectúo dos consignaciones por valor de </w:t>
      </w:r>
      <w:r w:rsidRPr="002E1B4B">
        <w:lastRenderedPageBreak/>
        <w:t>$229.949.328.827,01 pesos y $107.557.177.780,00 pesos para el pago de la vigencia 2024. El monto contractual correspondiente a la vigencia futura expresada en pesos del mes de referencia es de $197.929.558.486,00</w:t>
      </w:r>
    </w:p>
    <w:p w14:paraId="461262E4" w14:textId="77777777" w:rsidR="00BB0A24" w:rsidRPr="002E1B4B" w:rsidRDefault="00BB0A24" w:rsidP="000A5389">
      <w:pPr>
        <w:spacing w:line="240" w:lineRule="auto"/>
      </w:pPr>
    </w:p>
    <w:p w14:paraId="004A57C9" w14:textId="719AB8C1" w:rsidR="003D5DB4" w:rsidRDefault="003D5DB4" w:rsidP="000A5389">
      <w:pPr>
        <w:spacing w:line="240" w:lineRule="auto"/>
      </w:pPr>
      <w:r w:rsidRPr="002E1B4B">
        <w:t xml:space="preserve">Términos de calendario: Parte Especial Sección 4.2 Estructura Tarifaria Para efectos de lo dispuesto en la Sección 1.139 de la Parte General, y de acuerdo con lo establecido por la Resolución No.0001920 del 23 de junio de 2015, la estructura tarifaria que regirá el Proyecto. Mintransporte, Resolución No.20213040020955 de 20-05-2021 “Por la cual se establecen las tarifas a cobrar en la estación de peaje denominada el Placer ubicada en el PR 49+560 del proyecto de asociación publico privada de iniciativa pública que pertenece al corredor vial Rumichaca – Pasto, y se dictan otras disposiciones” Mintransporte, Resolución No.20213040021155 de 21-05- 2021 “Por la cual se modifica la Resolución No.20213040020955 del 20 de mayo de 2021 “Por la cual se establecen las tarifas a cobrar en la estación de peaje denominada el Placer ubicada en el PR 49+560 del proyecto de asociación publico privada de iniciativa pública que pertenece al corredor vial Rumichaca – Pasto, y se dictan otras disposiciones” Mediante la suscripción de Actas de Acuerdo, el incremento tarifario de enero de 2022 fue aplazado y la Agencia se fundamentó en generar un alivio a los usuarios de la vía, dado el grave impacto que en la economía Nacional tuvo la Pandemia del Covid-19 y los hechos notorios de alteración del orden público que se presentaron en el país, como consecuencia de la crisis económica generada por la Pandemia, a lo largo de todo el territorio nacional. El Decreto 050 de 2023, el Ministerio de Transporte ordenó, a partir de la vigencia del mismo (15 de enero de 2023), no incrementar las tarifas de peaje a los vehículos que transiten por el territorio nacional por las Estaciones de Peaje a cargo del Instituto Nacional de Vías - INVIAS y de la Agencia Nacional de Infraestructura al IPC y el incremento porcentual y gradual para el año 2023 establecido en las Resoluciones 20213040020955 de 20 de mayo de 2021 y No. 20213040021155 de 21 de mayo de 2021.Resolución Ministerial 20243040001125 del 15 de enero de 2024 se autoriza el incremento en el IPC de la vigencia 2022 las tarifas de peajes a cargo de la ANI. Resolución Ministerial 20243040001135 del 15 de enero se establece en $500 la tarifa del FOSEVI. Resolución Ministerial 20243040035675 del 31/07/2024por la cual se autoriza el incremento del 4,64% las tarifas, esto a partir del 1 de agosto de 2024. El incremento corresponde al 50% del incremento no permitido por el Decreto 050 de 2023. Resolución Ministerial 20243040065055 del 31/12/2014 por la cual se Incrementa, a partir del 1 de enero de 2025, el 60% del valor pendiente por normalizar correspondiente al IPC registrado en el año 2023 a las tarifas de peajes aplicables a los vehículos que transiten por el territorio nacional por las estaciones a cargo de la ANI…Resolución Ministerial 20253040000365 del 10/01/2025 la cual se suspende el incremento contractual de las tarifas de peaje a vehículos que transiten por el territorio Nacional por las estaciones a cargo de la ANI. Resolución Ministerial del 25/06/2025 por la cual se ajusta la estructura Tarifaria del peaje de "El Placer" modificando la Resolución 20213040020955 de mayo de 2021Parte Especial Sección 4.3 Cálculo de la Retribución(a) El cálculo de la Retribución por Unidad Funcional para cada Mes será efectuado de acuerdo con la siguiente fórmula..Otrosí No. 6 (28-06-2021) Cláusula Cuarta“ MODIFICAR la sección 4.3(a) de la Parte Especial del Contrato de Concesión No. 015 de 2015, en el sentido de incluir la variable DICP_h^u a la fórmula del Cálculo de la </w:t>
      </w:r>
      <w:r w:rsidRPr="002E1B4B">
        <w:lastRenderedPageBreak/>
        <w:t>Retribución, que para todos los efectos legales quedará así…Parte General Sección 3.1 Retribución (d) La Retribución del Concesionario –y de la Compensación Especial, cuando sea aplicable– será calculada entre el Interventor y el Concesionario, dentro de los primeros diez (10) Días del Mes siguiente al Mes respecto del cual se calcula la Retribución.  El Interventor y el Concesionario consignarán las bases de cálculo en el Acta de Cálculo de la Retribución. Parte Especial Sección 4.5 Fondeo de Subcuentas del Patrimonio Autónomo Se han realizado los fondeos a las cuentas del fideicomiso, en las fechas establecidas en el contrato, como son: Predios, Compensaciones Ambientales, Redes, Aportes ANI, Interventoría y Supervisión, Soporte contractual, Amigable Composición. Parte Especial Sección 4.6 Cálculo de la Diferencia de Recaudo La fórmula a la que se refiere la Sección 3.4(b)(ii) de la Parte General para el cálculo del DR8, DR13 y DR18, es la siguiente… Al final del mes de septiembre, llegado al año 8, se efectuó el cálculo del DR8 con base en el VPIP acumulado a la fecha precitada. El valor conciliado y verificado por las partes asciende a: DR8 = $559.328.</w:t>
      </w:r>
      <w:r w:rsidR="00BB0A24" w:rsidRPr="002E1B4B">
        <w:t>871. 628.Parte</w:t>
      </w:r>
      <w:r w:rsidRPr="002E1B4B">
        <w:t xml:space="preserve"> Especial Sección 4.3 Cálculo de la Retribución Otrosí No. 6 (28-06-2021) Cláusula </w:t>
      </w:r>
      <w:r w:rsidR="00BB0A24" w:rsidRPr="002E1B4B">
        <w:t>Cuarta“MODIFICAR</w:t>
      </w:r>
      <w:r w:rsidRPr="002E1B4B">
        <w:t xml:space="preserve"> la sección 4.3(a) de la Parte Especial del Contrato de Concesión No. 015 de 2015, en el sentido de incluir la variable DICP_h^u a la fórmula del Cálculo de la Retribución. Parte Especial Sección 4.5 Fondeo de Subcuentas del Patrimonio Autónomo Se han realizado los fondeos a las cuentas del fideicomiso, en las fechas establecidas en el contrato, como son: Predios, Compensaciones Ambientales, Redes, Aportes ANI, Interventoría y Supervisión, Soporte contractual, Amigable Composición. Parte Especial Sección 4.6 Cálculo de la Diferencia de Recaudo Fuente: Elaboración Interventoría a partir de la Parte Especial Capítulo II Tabla de Referencias a la Parte General del Contrato de Concesión</w:t>
      </w:r>
    </w:p>
    <w:p w14:paraId="62E854A0" w14:textId="77777777" w:rsidR="00BB0A24" w:rsidRPr="002E1B4B" w:rsidRDefault="00BB0A24" w:rsidP="000A5389">
      <w:pPr>
        <w:spacing w:line="240" w:lineRule="auto"/>
      </w:pPr>
    </w:p>
    <w:p w14:paraId="3F16596A" w14:textId="77777777" w:rsidR="003D5DB4" w:rsidRDefault="003D5DB4" w:rsidP="000A5389">
      <w:pPr>
        <w:spacing w:line="240" w:lineRule="auto"/>
      </w:pPr>
      <w:r w:rsidRPr="002E1B4B">
        <w:t>Términos de certeza de flujos de efectivo futuros: Parte General Sección 1.162 VPIPEs el valor presente al Mes de Referencia del Recaudo de Peaje, cuyo monto se establece en la Parte Especial Parte Especial Capítulo II Tabla de Referencias a la Parte General El VPIP equivale a un billón ciento setenta y dos mil cuatrocientos noventa y cinco millones ciento ochenta y tres mil cuatrocientos cinco ($1.172.495.183.405) Pesos del Mes de Referencia Al cierre del presente informe Dic 2025 se presenta un acumulado en términos de VPIP de $364.366.297.232,60. Parte General Sección 3.4 Obtención del VPIP Cálculo del VPIP. En cualquier momento de ejecución del Contrato (Mes “m”) se podrá calcular el valor presente al Mes de Referencia del VPIP acumulado hasta ese momento (VPIPm)</w:t>
      </w:r>
    </w:p>
    <w:p w14:paraId="4AD67EF1" w14:textId="77777777" w:rsidR="00BB0A24" w:rsidRPr="002E1B4B" w:rsidRDefault="00BB0A24" w:rsidP="000A5389">
      <w:pPr>
        <w:spacing w:line="240" w:lineRule="auto"/>
      </w:pPr>
    </w:p>
    <w:p w14:paraId="57711578" w14:textId="77777777" w:rsidR="003D5DB4" w:rsidRDefault="003D5DB4" w:rsidP="000A5389">
      <w:pPr>
        <w:spacing w:line="240" w:lineRule="auto"/>
      </w:pPr>
      <w:r w:rsidRPr="002E1B4B">
        <w:t>Naturaleza y alcance del derecho a utilizar Activos y los aspectos pactados en torno a lo que se espera que el concesionario proporcione en relación con el Acuerdo de concesión</w:t>
      </w:r>
    </w:p>
    <w:p w14:paraId="62CA36CC" w14:textId="77777777" w:rsidR="00BB0A24" w:rsidRPr="002E1B4B" w:rsidRDefault="00BB0A24" w:rsidP="000A5389">
      <w:pPr>
        <w:spacing w:line="240" w:lineRule="auto"/>
      </w:pPr>
    </w:p>
    <w:p w14:paraId="28517C47" w14:textId="77777777" w:rsidR="003D5DB4" w:rsidRDefault="003D5DB4" w:rsidP="000A5389">
      <w:pPr>
        <w:spacing w:line="240" w:lineRule="auto"/>
      </w:pPr>
      <w:r w:rsidRPr="002E1B4B">
        <w:t>Naturaleza y alcance del derecho de uso de los Activos</w:t>
      </w:r>
    </w:p>
    <w:p w14:paraId="11DD110C" w14:textId="77777777" w:rsidR="00BB0A24" w:rsidRPr="002E1B4B" w:rsidRDefault="00BB0A24" w:rsidP="000A5389">
      <w:pPr>
        <w:spacing w:line="240" w:lineRule="auto"/>
      </w:pPr>
    </w:p>
    <w:p w14:paraId="591987E8" w14:textId="77777777" w:rsidR="003D5DB4" w:rsidRPr="002E1B4B" w:rsidRDefault="003D5DB4" w:rsidP="000A5389">
      <w:pPr>
        <w:spacing w:line="240" w:lineRule="auto"/>
      </w:pPr>
      <w:r w:rsidRPr="002E1B4B">
        <w:t>Descripción:</w:t>
      </w:r>
      <w:r w:rsidRPr="002E1B4B">
        <w:tab/>
        <w:t>El esquema de retribución al concesionario, incluye los recaudos de peaje, las vigencias Futuras (aportes del estado), y la explotación comercial.</w:t>
      </w:r>
    </w:p>
    <w:p w14:paraId="437FC07F" w14:textId="77777777" w:rsidR="003D5DB4" w:rsidRPr="002E1B4B" w:rsidRDefault="003D5DB4" w:rsidP="000A5389">
      <w:pPr>
        <w:spacing w:line="240" w:lineRule="auto"/>
      </w:pPr>
      <w:r w:rsidRPr="002E1B4B">
        <w:t>Observaciones: No se tiene observación</w:t>
      </w:r>
      <w:r w:rsidRPr="002E1B4B">
        <w:tab/>
      </w:r>
    </w:p>
    <w:p w14:paraId="001FE54B" w14:textId="77777777" w:rsidR="00BB0A24" w:rsidRDefault="00BB0A24" w:rsidP="000A5389">
      <w:pPr>
        <w:spacing w:line="240" w:lineRule="auto"/>
      </w:pPr>
    </w:p>
    <w:p w14:paraId="1708B396" w14:textId="68E3A438" w:rsidR="003D5DB4" w:rsidRPr="002E1B4B" w:rsidRDefault="003D5DB4" w:rsidP="000A5389">
      <w:pPr>
        <w:spacing w:line="240" w:lineRule="auto"/>
      </w:pPr>
      <w:r w:rsidRPr="002E1B4B">
        <w:t>Retribución al concesionario</w:t>
      </w:r>
    </w:p>
    <w:p w14:paraId="0131C0E7" w14:textId="77777777" w:rsidR="00BB0A24" w:rsidRDefault="00BB0A24" w:rsidP="000A5389">
      <w:pPr>
        <w:spacing w:line="240" w:lineRule="auto"/>
      </w:pPr>
    </w:p>
    <w:p w14:paraId="699E3E55" w14:textId="77777777" w:rsidR="00BB0A24" w:rsidRDefault="003D5DB4" w:rsidP="000A5389">
      <w:pPr>
        <w:spacing w:line="240" w:lineRule="auto"/>
      </w:pPr>
      <w:r w:rsidRPr="002E1B4B">
        <w:t xml:space="preserve">Descripción: El derecho a la Retribución del Concesionario con respecto a cada Unidad Funcional se iniciará a partir de la suscripción de la respectiva Acta de Terminación de Unidad Funcional. La suscripción del Acta de Terminación Parcial de Unidad Funcional cuando sea aplicable de conformidad con este Contrato dará lugar a la causación y pago de la Compensación Especial. Fuentes de la Retribución. Las fuentes para el pago de la </w:t>
      </w:r>
    </w:p>
    <w:p w14:paraId="44C1F93D" w14:textId="77777777" w:rsidR="00BB0A24" w:rsidRDefault="00BB0A24" w:rsidP="000A5389">
      <w:pPr>
        <w:spacing w:line="240" w:lineRule="auto"/>
      </w:pPr>
    </w:p>
    <w:p w14:paraId="43DE471A" w14:textId="76CA2A34" w:rsidR="003D5DB4" w:rsidRPr="002E1B4B" w:rsidRDefault="003D5DB4" w:rsidP="000A5389">
      <w:pPr>
        <w:spacing w:line="240" w:lineRule="auto"/>
      </w:pPr>
      <w:r w:rsidRPr="002E1B4B">
        <w:t>Retribución del Concesionario –o de la Compensación Especial, cuando sea aplicable– serán las siguientes: Aportes ANI Recaudo de Peajes Los Ingresos por Explotación Comercial. La Retribución correspondiente a cada Unidad Funcional se calculará conforme a la metodología definida en la Parte Especial.</w:t>
      </w:r>
    </w:p>
    <w:p w14:paraId="2BE5AF6F" w14:textId="77777777" w:rsidR="00BB0A24" w:rsidRDefault="00BB0A24" w:rsidP="000A5389">
      <w:pPr>
        <w:spacing w:line="240" w:lineRule="auto"/>
      </w:pPr>
    </w:p>
    <w:p w14:paraId="415A8078" w14:textId="608365CF" w:rsidR="003D5DB4" w:rsidRPr="002E1B4B" w:rsidRDefault="003D5DB4" w:rsidP="000A5389">
      <w:pPr>
        <w:spacing w:line="240" w:lineRule="auto"/>
      </w:pPr>
      <w:r w:rsidRPr="002E1B4B">
        <w:t>Tasa de retribución:</w:t>
      </w:r>
      <w:r w:rsidRPr="002E1B4B">
        <w:tab/>
      </w:r>
    </w:p>
    <w:p w14:paraId="482C6B36" w14:textId="77777777" w:rsidR="00BB0A24" w:rsidRDefault="00BB0A24" w:rsidP="000A5389">
      <w:pPr>
        <w:spacing w:line="240" w:lineRule="auto"/>
      </w:pPr>
    </w:p>
    <w:p w14:paraId="47FF5522" w14:textId="28B523D5" w:rsidR="003D5DB4" w:rsidRPr="002E1B4B" w:rsidRDefault="003D5DB4" w:rsidP="000A5389">
      <w:pPr>
        <w:spacing w:line="240" w:lineRule="auto"/>
      </w:pPr>
      <w:r w:rsidRPr="002E1B4B">
        <w:t>Derechos a recibir Activos especificados al final del acuerdo de concesión</w:t>
      </w:r>
    </w:p>
    <w:p w14:paraId="55CF87A9" w14:textId="77777777" w:rsidR="00BB0A24" w:rsidRDefault="00BB0A24" w:rsidP="000A5389">
      <w:pPr>
        <w:spacing w:line="240" w:lineRule="auto"/>
      </w:pPr>
    </w:p>
    <w:p w14:paraId="2971D584" w14:textId="6B19BF5F" w:rsidR="003D5DB4" w:rsidRDefault="003D5DB4" w:rsidP="000A5389">
      <w:pPr>
        <w:spacing w:line="240" w:lineRule="auto"/>
      </w:pPr>
      <w:r w:rsidRPr="002E1B4B">
        <w:t>Descripción:</w:t>
      </w:r>
      <w:r w:rsidRPr="002E1B4B">
        <w:tab/>
        <w:t>Al día siguiente de la fecha de terminación de la etapa de operación y mantenimiento o de la declaratoria de terminación anticipada del contrato el concesionario y el interventor deberán iniciar la verificación final del proyecto con el fin de proceder a la Reversión. (…) El procedimiento para la Reversión incluirá:(d) La actualización del Inventario de Activos de la Concesión que incluirá todos los bienes inmuebles por adhesión y destinación y en general todos aquellos bienes que (1) hayan sido adquiridos por el Concesionario y se encuentren destinados a las actividades de Operación, lo cual en ningún caso incluirá maquinaria de construcción, (2) hayan sido entregados por la ANI, y (3) que hubieren sido de particulares que hayan sido requeridos por el Proyecto. En todo caso este listado incluirá –como mínimo– el listado de bienes revertirles que aparece en el Apéndice Técnico 2. Así mismo, al momento de la actualización del Inventario de Activos de la Concesión se verificará que los Predios adquiridos se encuentran libres de toda ocupación ilegal.</w:t>
      </w:r>
    </w:p>
    <w:p w14:paraId="75070765" w14:textId="77777777" w:rsidR="00BB0A24" w:rsidRPr="002E1B4B" w:rsidRDefault="00BB0A24" w:rsidP="000A5389">
      <w:pPr>
        <w:spacing w:line="240" w:lineRule="auto"/>
      </w:pPr>
    </w:p>
    <w:p w14:paraId="0F18EC78" w14:textId="36FF4F3E" w:rsidR="003D5DB4" w:rsidRDefault="003D5DB4" w:rsidP="000A5389">
      <w:pPr>
        <w:spacing w:line="240" w:lineRule="auto"/>
      </w:pPr>
      <w:r w:rsidRPr="002E1B4B">
        <w:t>Observaciones:</w:t>
      </w:r>
      <w:r w:rsidR="00BB0A24">
        <w:t xml:space="preserve"> </w:t>
      </w:r>
      <w:r w:rsidRPr="002E1B4B">
        <w:t>El listado de activos revertirles se lista en el Apéndice Técnico del Contrato de Concesión.</w:t>
      </w:r>
    </w:p>
    <w:p w14:paraId="1249DF11" w14:textId="77777777" w:rsidR="00BB0A24" w:rsidRPr="002E1B4B" w:rsidRDefault="00BB0A24" w:rsidP="000A5389">
      <w:pPr>
        <w:spacing w:line="240" w:lineRule="auto"/>
      </w:pPr>
    </w:p>
    <w:p w14:paraId="4A345DF5" w14:textId="42F5A300" w:rsidR="003D5DB4" w:rsidRPr="002E1B4B" w:rsidRDefault="003D5DB4" w:rsidP="000A5389">
      <w:pPr>
        <w:spacing w:line="240" w:lineRule="auto"/>
      </w:pPr>
      <w:r w:rsidRPr="002E1B4B">
        <w:t>Las alternativas de renovación y cese del acuerdo</w:t>
      </w:r>
    </w:p>
    <w:p w14:paraId="560559D8" w14:textId="647B1FE6" w:rsidR="003D5DB4" w:rsidRPr="002E1B4B" w:rsidRDefault="00BB0A24" w:rsidP="000A5389">
      <w:pPr>
        <w:spacing w:line="240" w:lineRule="auto"/>
      </w:pPr>
      <w:r>
        <w:t xml:space="preserve"> </w:t>
      </w:r>
      <w:r w:rsidR="003D5DB4" w:rsidRPr="002E1B4B">
        <w:t>Descripción:</w:t>
      </w:r>
      <w:r w:rsidR="003D5DB4" w:rsidRPr="002E1B4B">
        <w:tab/>
        <w:t>En la vigencia 2025 no se suscribió adición o modificación que cambien el contrato de renovación o liquidación o finalización</w:t>
      </w:r>
    </w:p>
    <w:p w14:paraId="26548524" w14:textId="77777777" w:rsidR="003D5DB4" w:rsidRPr="002E1B4B" w:rsidRDefault="003D5DB4" w:rsidP="000A5389">
      <w:pPr>
        <w:spacing w:line="240" w:lineRule="auto"/>
      </w:pPr>
      <w:r w:rsidRPr="002E1B4B">
        <w:t>Observaciones:</w:t>
      </w:r>
      <w:r w:rsidRPr="002E1B4B">
        <w:tab/>
        <w:t>N/A</w:t>
      </w:r>
    </w:p>
    <w:p w14:paraId="2517D831" w14:textId="77777777" w:rsidR="00BB0A24" w:rsidRDefault="00BB0A24" w:rsidP="000A5389">
      <w:pPr>
        <w:spacing w:line="240" w:lineRule="auto"/>
      </w:pPr>
    </w:p>
    <w:p w14:paraId="13848F78" w14:textId="0F3CA879" w:rsidR="003D5DB4" w:rsidRPr="002E1B4B" w:rsidRDefault="003D5DB4" w:rsidP="000A5389">
      <w:pPr>
        <w:spacing w:line="240" w:lineRule="auto"/>
      </w:pPr>
      <w:r w:rsidRPr="002E1B4B">
        <w:t>Cambios en el acuerdo de concesión que se realicen durante el periodo fiscal</w:t>
      </w:r>
    </w:p>
    <w:p w14:paraId="004CDB7E" w14:textId="77777777" w:rsidR="00BB0A24" w:rsidRDefault="00BB0A24" w:rsidP="000A5389">
      <w:pPr>
        <w:spacing w:line="240" w:lineRule="auto"/>
      </w:pPr>
    </w:p>
    <w:p w14:paraId="5F80BCD1" w14:textId="04425894" w:rsidR="003D5DB4" w:rsidRPr="002E1B4B" w:rsidRDefault="003D5DB4" w:rsidP="000A5389">
      <w:pPr>
        <w:spacing w:line="240" w:lineRule="auto"/>
      </w:pPr>
      <w:r w:rsidRPr="002E1B4B">
        <w:t>Adiciones o modificaciones en tiempo</w:t>
      </w:r>
    </w:p>
    <w:p w14:paraId="68D8900A" w14:textId="77777777" w:rsidR="003D5DB4" w:rsidRPr="002E1B4B" w:rsidRDefault="003D5DB4" w:rsidP="000A5389">
      <w:pPr>
        <w:spacing w:line="240" w:lineRule="auto"/>
      </w:pPr>
      <w:r w:rsidRPr="002E1B4B">
        <w:t>Fechas de las adiciones o modificaciones:</w:t>
      </w:r>
      <w:r w:rsidRPr="002E1B4B">
        <w:tab/>
      </w:r>
    </w:p>
    <w:p w14:paraId="571AC1F9" w14:textId="77777777" w:rsidR="003D5DB4" w:rsidRPr="002E1B4B" w:rsidRDefault="003D5DB4" w:rsidP="000A5389">
      <w:pPr>
        <w:spacing w:line="240" w:lineRule="auto"/>
      </w:pPr>
      <w:r w:rsidRPr="002E1B4B">
        <w:t>Nueva Fecha de finalización estimada:</w:t>
      </w:r>
      <w:r w:rsidRPr="002E1B4B">
        <w:tab/>
      </w:r>
    </w:p>
    <w:p w14:paraId="38904E57" w14:textId="77777777" w:rsidR="003D5DB4" w:rsidRPr="002E1B4B" w:rsidRDefault="003D5DB4" w:rsidP="000A5389">
      <w:pPr>
        <w:spacing w:line="240" w:lineRule="auto"/>
      </w:pPr>
      <w:r w:rsidRPr="002E1B4B">
        <w:lastRenderedPageBreak/>
        <w:t>Observaciones: En la vigencia 2025 no se suscribió adición o modificación que cambien el contrato en tiempo</w:t>
      </w:r>
    </w:p>
    <w:p w14:paraId="06104D47" w14:textId="77777777" w:rsidR="00BB0A24" w:rsidRDefault="00BB0A24" w:rsidP="000A5389">
      <w:pPr>
        <w:spacing w:line="240" w:lineRule="auto"/>
      </w:pPr>
    </w:p>
    <w:p w14:paraId="131A3421" w14:textId="1F8D2D51" w:rsidR="003D5DB4" w:rsidRPr="002E1B4B" w:rsidRDefault="003D5DB4" w:rsidP="000A5389">
      <w:pPr>
        <w:spacing w:line="240" w:lineRule="auto"/>
      </w:pPr>
      <w:r w:rsidRPr="002E1B4B">
        <w:t>Adiciones o modificaciones en valor</w:t>
      </w:r>
    </w:p>
    <w:p w14:paraId="6F4E8544" w14:textId="77777777" w:rsidR="003D5DB4" w:rsidRPr="002E1B4B" w:rsidRDefault="003D5DB4" w:rsidP="000A5389">
      <w:pPr>
        <w:spacing w:line="240" w:lineRule="auto"/>
      </w:pPr>
      <w:r w:rsidRPr="002E1B4B">
        <w:t>Valor de la adición o modificación:</w:t>
      </w:r>
      <w:r w:rsidRPr="002E1B4B">
        <w:tab/>
        <w:t>En la vigencia 2025 no se suscribió adición o modificación que cambien el contrato en valor</w:t>
      </w:r>
    </w:p>
    <w:p w14:paraId="325B7325" w14:textId="77777777" w:rsidR="003D5DB4" w:rsidRPr="002E1B4B" w:rsidRDefault="003D5DB4" w:rsidP="000A5389">
      <w:pPr>
        <w:spacing w:line="240" w:lineRule="auto"/>
      </w:pPr>
      <w:r w:rsidRPr="002E1B4B">
        <w:t>Nuevo valor del acuerdo:</w:t>
      </w:r>
      <w:r w:rsidRPr="002E1B4B">
        <w:tab/>
      </w:r>
    </w:p>
    <w:p w14:paraId="795D2C94" w14:textId="77777777" w:rsidR="003D5DB4" w:rsidRPr="002E1B4B" w:rsidRDefault="003D5DB4" w:rsidP="000A5389">
      <w:pPr>
        <w:spacing w:line="240" w:lineRule="auto"/>
      </w:pPr>
      <w:r w:rsidRPr="002E1B4B">
        <w:t>Observaciones:  En la vigencia 2025 no se suscribió adición o modificación que cambien el contrato en tiempo</w:t>
      </w:r>
    </w:p>
    <w:p w14:paraId="06841751" w14:textId="77777777" w:rsidR="003D5DB4" w:rsidRPr="002E1B4B" w:rsidRDefault="003D5DB4" w:rsidP="000A5389">
      <w:pPr>
        <w:spacing w:line="240" w:lineRule="auto"/>
      </w:pPr>
    </w:p>
    <w:p w14:paraId="4EB74ADD" w14:textId="77777777" w:rsidR="00BB0A24" w:rsidRDefault="00BB0A24" w:rsidP="000A5389">
      <w:pPr>
        <w:spacing w:line="240" w:lineRule="auto"/>
      </w:pPr>
    </w:p>
    <w:p w14:paraId="147F211F" w14:textId="20F45EB0" w:rsidR="003D5DB4" w:rsidRPr="00BB0A24" w:rsidRDefault="003D5DB4" w:rsidP="000A5389">
      <w:pPr>
        <w:spacing w:line="240" w:lineRule="auto"/>
        <w:rPr>
          <w:i/>
          <w:iCs/>
        </w:rPr>
      </w:pPr>
      <w:r w:rsidRPr="00BB0A24">
        <w:rPr>
          <w:i/>
          <w:iCs/>
        </w:rPr>
        <w:t xml:space="preserve">CONCESION ANTIOQUIA </w:t>
      </w:r>
      <w:r w:rsidR="00BB0A24">
        <w:rPr>
          <w:i/>
          <w:iCs/>
        </w:rPr>
        <w:t>–</w:t>
      </w:r>
      <w:r w:rsidRPr="00BB0A24">
        <w:rPr>
          <w:i/>
          <w:iCs/>
        </w:rPr>
        <w:t xml:space="preserve"> BOLIVAR</w:t>
      </w:r>
    </w:p>
    <w:p w14:paraId="25CED064" w14:textId="77777777" w:rsidR="00BB0A24" w:rsidRDefault="00BB0A24" w:rsidP="000A5389">
      <w:pPr>
        <w:spacing w:line="240" w:lineRule="auto"/>
      </w:pPr>
    </w:p>
    <w:p w14:paraId="6C26598E" w14:textId="68BFEC08" w:rsidR="003D5DB4" w:rsidRPr="002E1B4B" w:rsidRDefault="003D5DB4" w:rsidP="000A5389">
      <w:pPr>
        <w:spacing w:line="240" w:lineRule="auto"/>
      </w:pPr>
      <w:r w:rsidRPr="002E1B4B">
        <w:t>Descripción del Acuerdo</w:t>
      </w:r>
    </w:p>
    <w:p w14:paraId="3460DB45" w14:textId="77777777" w:rsidR="00BB0A24" w:rsidRDefault="00BB0A24" w:rsidP="000A5389">
      <w:pPr>
        <w:spacing w:line="240" w:lineRule="auto"/>
      </w:pPr>
    </w:p>
    <w:p w14:paraId="16469EBD" w14:textId="59E15403" w:rsidR="003D5DB4" w:rsidRPr="002E1B4B" w:rsidRDefault="003D5DB4" w:rsidP="000A5389">
      <w:pPr>
        <w:spacing w:line="240" w:lineRule="auto"/>
      </w:pPr>
      <w:r w:rsidRPr="002E1B4B">
        <w:t>Número del Acuerdo de concesión:  No 016 de 14 de octubre de 2015</w:t>
      </w:r>
    </w:p>
    <w:p w14:paraId="2E447FC5" w14:textId="77777777" w:rsidR="003D5DB4" w:rsidRPr="002E1B4B" w:rsidRDefault="003D5DB4" w:rsidP="000A5389">
      <w:pPr>
        <w:spacing w:line="240" w:lineRule="auto"/>
      </w:pPr>
      <w:r w:rsidRPr="002E1B4B">
        <w:t xml:space="preserve">Objeto / Descripción:  La construcción, rehabilitación, mejoramiento, operación y mantenimiento del sistema vial para la conexión de los departamentos Antioquia-Bolívar.                                          </w:t>
      </w:r>
    </w:p>
    <w:p w14:paraId="14E66A82" w14:textId="77777777" w:rsidR="003D5DB4" w:rsidRPr="002E1B4B" w:rsidRDefault="003D5DB4" w:rsidP="000A5389">
      <w:pPr>
        <w:spacing w:line="240" w:lineRule="auto"/>
      </w:pPr>
      <w:r w:rsidRPr="002E1B4B">
        <w:t>Valor inicial:</w:t>
      </w:r>
      <w:r w:rsidRPr="002E1B4B">
        <w:tab/>
        <w:t>DOS BILLONES SETECIENTOS CINCUENTAY DOS MIL QUINIENTOS CINCUENTA y DOS MILLONES CIENTO NOVENTA y TRES MIL ONCE PESOS ($2.752.552.193.011) PESOS DEL MES DE REFERENCIA.</w:t>
      </w:r>
    </w:p>
    <w:p w14:paraId="6690AAB5" w14:textId="77777777" w:rsidR="003D5DB4" w:rsidRPr="002E1B4B" w:rsidRDefault="003D5DB4" w:rsidP="000A5389">
      <w:pPr>
        <w:spacing w:line="240" w:lineRule="auto"/>
      </w:pPr>
      <w:r w:rsidRPr="002E1B4B">
        <w:t>Fecha de inicio: 27/11/2015</w:t>
      </w:r>
    </w:p>
    <w:p w14:paraId="56F1C568" w14:textId="77777777" w:rsidR="003D5DB4" w:rsidRPr="002E1B4B" w:rsidRDefault="003D5DB4" w:rsidP="000A5389">
      <w:pPr>
        <w:spacing w:line="240" w:lineRule="auto"/>
      </w:pPr>
      <w:r w:rsidRPr="002E1B4B">
        <w:t>Fecha de finalización estimada:</w:t>
      </w:r>
      <w:r w:rsidRPr="002E1B4B">
        <w:tab/>
        <w:t>28/11/2049</w:t>
      </w:r>
    </w:p>
    <w:p w14:paraId="142F16F4" w14:textId="77777777" w:rsidR="003D5DB4" w:rsidRPr="002E1B4B" w:rsidRDefault="003D5DB4" w:rsidP="000A5389">
      <w:pPr>
        <w:spacing w:line="240" w:lineRule="auto"/>
      </w:pPr>
      <w:r w:rsidRPr="002E1B4B">
        <w:t>Tipo ID:</w:t>
      </w:r>
      <w:r w:rsidRPr="002E1B4B">
        <w:tab/>
        <w:t>NIT</w:t>
      </w:r>
    </w:p>
    <w:p w14:paraId="6D903EE4" w14:textId="77777777" w:rsidR="003D5DB4" w:rsidRPr="002E1B4B" w:rsidRDefault="003D5DB4" w:rsidP="000A5389">
      <w:pPr>
        <w:spacing w:line="240" w:lineRule="auto"/>
      </w:pPr>
      <w:r w:rsidRPr="002E1B4B">
        <w:t>Número ID:</w:t>
      </w:r>
      <w:r w:rsidRPr="002E1B4B">
        <w:tab/>
        <w:t>900.894.996-0</w:t>
      </w:r>
    </w:p>
    <w:p w14:paraId="51C9B021" w14:textId="77777777" w:rsidR="003D5DB4" w:rsidRPr="002E1B4B" w:rsidRDefault="003D5DB4" w:rsidP="000A5389">
      <w:pPr>
        <w:spacing w:line="240" w:lineRule="auto"/>
      </w:pPr>
      <w:r w:rsidRPr="002E1B4B">
        <w:t>Razón social del concesionario: CONCESION RUTA AL MAR S.A.S</w:t>
      </w:r>
    </w:p>
    <w:p w14:paraId="4176D335" w14:textId="77777777" w:rsidR="003D5DB4" w:rsidRPr="002E1B4B" w:rsidRDefault="003D5DB4" w:rsidP="000A5389">
      <w:pPr>
        <w:spacing w:line="240" w:lineRule="auto"/>
      </w:pPr>
      <w:r w:rsidRPr="002E1B4B">
        <w:t>Nombre del proyecto: CONCESION ANTIOQUIA-BOLIVAR</w:t>
      </w:r>
    </w:p>
    <w:p w14:paraId="06915D57" w14:textId="77777777" w:rsidR="003D5DB4" w:rsidRPr="002E1B4B" w:rsidRDefault="003D5DB4" w:rsidP="000A5389">
      <w:pPr>
        <w:spacing w:line="240" w:lineRule="auto"/>
      </w:pPr>
    </w:p>
    <w:p w14:paraId="11B69838" w14:textId="77777777" w:rsidR="003D5DB4" w:rsidRDefault="003D5DB4" w:rsidP="000A5389">
      <w:pPr>
        <w:spacing w:line="240" w:lineRule="auto"/>
      </w:pPr>
      <w:r w:rsidRPr="002E1B4B">
        <w:t>Términos significativos del Acuerdo que puedan afectar su valor, el calendario y la certeza de los flujos de efectivo futuros</w:t>
      </w:r>
    </w:p>
    <w:p w14:paraId="699F62A6" w14:textId="77777777" w:rsidR="00BB0A24" w:rsidRPr="002E1B4B" w:rsidRDefault="00BB0A24" w:rsidP="000A5389">
      <w:pPr>
        <w:spacing w:line="240" w:lineRule="auto"/>
      </w:pPr>
    </w:p>
    <w:p w14:paraId="24FA4602" w14:textId="77777777" w:rsidR="003D5DB4" w:rsidRDefault="003D5DB4" w:rsidP="000A5389">
      <w:pPr>
        <w:spacing w:line="240" w:lineRule="auto"/>
      </w:pPr>
      <w:r w:rsidRPr="002E1B4B">
        <w:t xml:space="preserve">Términos de valor:  CIRCULAR No. 20233050000024 ANI Aplicación del Decreto 50 de 2023.  El «no incremento» de que trata el artículo 1º del Decreto 050 de2023 incluye la «no actualización» de peajes según el IPC registrado para el año 2022 y demás definidos contractualmente; en este sentido deben mantenerse las tarifas que se cobraban antes de la entrada en vigencia del referido Decreto. Asimismo, en el Artículo 5to de la misma resolución, el Ministerio de Transporte, el Instituto Nacional de Vías - INVIAS y la agencia Nacional de Infraestructura, deberán diseñar y aplicar los mecanismos necesarios que permitan el restablecimiento de la tarifa a más tardar el 31 de diciembre del año 2024, con el propósito de normalizar el esquema tarifario estimado para ese momento. La resolución número 20243040065055 del 31 de diciembre de 2024, resolvió incrementar las tarifas a vehículos que transiten por el territorio nacional, a través de estaciones que se encuentran a cargo de la Agencia Nacional de Infraestructura (ANI) y del Instituto Nacional de Vías (INVIAS), por otra parte, el Artículo 5to. considera que, en los proyectos de Iniciativa </w:t>
      </w:r>
      <w:r w:rsidRPr="002E1B4B">
        <w:lastRenderedPageBreak/>
        <w:t xml:space="preserve">Privada que no requieran desembolso de recursos públicos, se aplicarán el IPC del año 2023 a partir del 1 de enero de 2025, y el incremento del IPC correspondiente al 2024, en las fechas establecidas en sus cláusulas contractuales.   Asimismo, la resolución del Ministerio de Transporte número 20253040018105 del 14 de mayo de 2025 Articulo 1. Ordenó incrementar las tarifas de las estaciones de peaje, como mecanismo de compensación por riesgo. El incremento tarifario en las estaciones de peaje corresponderá al 2% adicional al IPC indicado por el Departamento Nacional de Estadística (DANE), a partir del año 2026 y hasta el año 2034, inclusive, las cuáles serán actualizadas el dieciséis (16) de enero de cada año conforme la regulación contractual y la Resolución 20253040046605, Articulo 3. Establecer las tarifas diferenciales en las categorías 1E y 2E en la estación de peaje denominada La Caimanera. A continuación, se presentan las cláusulas contractuales del contrato de concesión No 016 de 2015 en términos de valor:                                                                                                                                                                                                                                                Parte Especial 4.2 Estructura Tarifaria: Para efectos de lo dispuesto en la Sección 1.140 de la Parte General, y de acuerdo con lo establecido por la Resolución No. 1884 de 17 de junio de 2015 y la Resolución No 982 de 16 de abril de 2015. Las tarifas serán actualizadas el dieciséis (16) de enero de cada año. Parte Especial 4.3 Cálculo de la Retribución, literal b: El cálculo de la Retribución por Unidad Funcional para cada mes será efectuado de acuerdo con la fórmula establecida contractualmente. Parte Especial 4.4 Giros de Equity: El Concesionario deberá girar como mínimo a la Cuenta Proyecto los valores expresados en Pesos del Mes de Referencia dentro de los plazos establecidos.                            Parte Especial 4.5 Fondeo de Subcuentas del Patrimonio Autónomo. Se indica los fondeos contractuales a las siguientes cuentas del Fideicomiso: Subcuenta Interventoría y Supervisión Subcuenta de Soporte Contractual Subcuenta Autónoma de Soporte Subcuenta MASC Subcuenta Excedentes ANI. Subcuenta Ingresos por Explotación Comercial. Subcuenta Obras Menores. Parte General 3.7 Intereses Remuneratorios y de Mora: La tasa de mora aplicable a los pagos debidos por las Partes bajo el presente Contrato será la equivalente a DTF más diez puntos porcentuales (10%). Parte General 14.1 (b): A partir del Acta de Terminación Parcial de Unidad Funcional comenzara a pagarse la Compensación Especial equivalente a una parte de la Retribución que se hubiese causado de haberse completado totalmente la Unidad Funcional, la  cual corresponderá al porcentaje que represente la proporción entre la inversión realizada efectivamente y la que corresponde a la totalidad de la Unidad Funcional, multiplicado por la fracción que corresponda, de conformidad con: - Del 40% al 60%= 0.75 -Superior al 60% = 0.80 -Del 80% en adelante= 0.90 </w:t>
      </w:r>
    </w:p>
    <w:p w14:paraId="4EE2D2ED" w14:textId="77777777" w:rsidR="00BB0A24" w:rsidRPr="002E1B4B" w:rsidRDefault="00BB0A24" w:rsidP="000A5389">
      <w:pPr>
        <w:spacing w:line="240" w:lineRule="auto"/>
      </w:pPr>
    </w:p>
    <w:p w14:paraId="305C6DE7" w14:textId="77777777" w:rsidR="003D5DB4" w:rsidRDefault="003D5DB4" w:rsidP="000A5389">
      <w:pPr>
        <w:spacing w:line="240" w:lineRule="auto"/>
      </w:pPr>
      <w:r w:rsidRPr="002E1B4B">
        <w:t xml:space="preserve">Términos de calendario: En el seguimiento que la interventoría hace mensualmente a la programación de obras, basado en el plan de obras V-13 No Objetado, con corte del 31 de diciembre de 2024, se relaciona el estado de avance de cada una de las unidades funcionales, el cual fue remitido por la interventoría mediante comunicación CI.023/AB13209/25/7.1.1 del 17 de enero de 2025.El avance va de acuerdo a lo siguiente:- UF1 Caucasia – Planeta Rica:100.00%- UF2 Cereté - Lorica: 88.74%- UF3 Variante Planeta Rica - Variante Cereté: 99.68%- UF4 Montería - Planeta Rica - Calzada derecha: 100.00%- UF5 Puerto Rey (Arboletes) - Montería: 100.00%- UF6 Cereté - Tolú: 97,94%- UF7 Variante Lorica - Tolú – Pita Abajo – El Pueblito: 85.31%-UF8 Tolú - Cruz del Viso: 99,81%Total Proyecto: 94,23%A continuación, se presenta último cronograma de obras aprobado para la ejecución de las obras </w:t>
      </w:r>
      <w:r w:rsidRPr="002E1B4B">
        <w:lastRenderedPageBreak/>
        <w:t>en cada unidad funcional versión No 13:- UF1 Caucasia – Planeta Rica Inicio 25/01/17, Finalización25/03/19- UF2 Cereté - Lorica Inicio 15/11/18, Finalización 31/01/25- UF3 Variante Planeta Rica - Variante Cereté Inicio 01/04/17,Finalización 26/08/19- UF4 Montería - Planeta Rica - Calzada derecha Inicio 02/04/18, Finalización 15/01/19- UF5 Puerto Rey (Arboletes) - Montería Inicio 02/04/18, Finalización 15/01/19- UF6 Cereté - Tolú Inicio 15/11/18, Finalización 31/01/25- UF7 Variante Lorica - Tolú – Pita Abajo – El Pueblito Inicio15/12/17, Finalización 26/01/24- UF8 Tolú - Cruz del Viso Inicio 15/11/17, Finalización 03/12/23Adicionalmente para el año 2024 se presentaron dos eventos eximentes de responsabilidad los cuales afectaron: la UF 5 en la ejecución de obras en el peaje Los Cedros y  la UF 2 con el evento de fuerza mayor predial, de la siguiente manera: UF 2.1 - Fuerza Mayor Predial. El 26 de octubre de 2024 mediante el comunicado "CI.023/AB12933/24/5.3 Rad ANI No. 20244091341232 se dio respuesta al oficio AB-23914, en el cual se realiza la Solicitud de reconocimiento de Evento Eximente de Responsabilidad sobre los predios CAB-2-1-002, CAB-2-1-007, CAB-2-1-068 y CAB-2-1-344, correspondientes a la unidad funcional 2. Actualmente el proceso se encuentra en trámite por parte de la Interventoría y en revisión interna de la ANI. Radicado No.  20243050181653 29/10/2024UF 5.1 - Imposibilidad de construir el quinto carril  - Estación de Peaje Cedros El 3 de octubre de 2024 mediante comunicado CI.023/AB12861/24/5.3 Rad ANI No. 20244091229612 se dio  respuesta al oficio AB-23835 "Respuesta a comunicado 20245010348971, con asunto “Solicitud de concepto radicado ANI No. 20244091142802 del 13 de septiembre de 2024 – Alcance Solicitud de reconocimiento de Evento Eximente de Responsabilidad por imposibilidad de construir el quinto carril de la Estación de Peaje Cedros – UF 5.1.– Contrato de Concesión No.016 de 2015. Proyecto Vial Conexión IP Antioquia – Bolívar.”"</w:t>
      </w:r>
    </w:p>
    <w:p w14:paraId="3E4F613D" w14:textId="77777777" w:rsidR="00BB0A24" w:rsidRPr="002E1B4B" w:rsidRDefault="00BB0A24" w:rsidP="000A5389">
      <w:pPr>
        <w:spacing w:line="240" w:lineRule="auto"/>
      </w:pPr>
    </w:p>
    <w:p w14:paraId="64F11314" w14:textId="77777777" w:rsidR="003D5DB4" w:rsidRDefault="003D5DB4" w:rsidP="000A5389">
      <w:pPr>
        <w:spacing w:line="240" w:lineRule="auto"/>
      </w:pPr>
      <w:r w:rsidRPr="002E1B4B">
        <w:t xml:space="preserve">Términos de certeza de flujos de efectivo futuros: En el Artículo 5to de la misma resolución, el Ministerio de Transporte, el Instituto Nacional de Vías - INVIAS y la agencia Nacional de Infraestructura, deberán diseñar y aplicar los mecanismos necesarios que permitan el restablecimiento de la tarifa a más tardar el 31 de diciembre del año 2024, con el propósito de normalizar el esquema tarifario estimado para ese momento. La resolución número 20243040065055 del 31 de diciembre de 2024, resolvió incrementar las tarifas a vehículos que transiten por el territorio nacional, a través de estaciones que se encuentran a cargo de la Agencia Nacional de Infraestructura (ANI) y del Instituto Nacional de Vías (INVIAS), por otra parte, el Artículo 5to. considera que, en los proyectos de Iniciativa Privada que no requieran desembolso de recursos públicos, se aplicarán el IPC del año 2023 a partir del 1 de enero de 2025, y el incremento del IPC correspondiente al 2024, en las fechas establecidas en sus cláusulas contractuales. Parte Especial 4.2 Estructura Tarifaria: Para efectos de lo dispuesto en la Sección 1.140 de la Parte General, y de acuerdo con lo establecido por la Resolución No. 1884 de 17 de junio de 2015 y la Resolución No 982 de 16 de abril de 2015. Las tarifas serán actualizadas el dieciséis (16) de enero de cada año. No obstante, para el año 2023 conforme a la promulgación del decreto 050 del 15 de enero de 2023 el gobierno nacional ordenó el no incremento para las tarifas de peaje para la vigencia 2023.  Parte General 3.1 Retribución literal a: El derecho a la retribución del concesionario con respecto a cada Unidad Funcional se iniciará a partir de la suscripción de la respectiva Acta de </w:t>
      </w:r>
      <w:r w:rsidRPr="002E1B4B">
        <w:lastRenderedPageBreak/>
        <w:t>Terminación de Unidad Funcional. La suscripción del Acta de Terminación Parcial de Unidad Funcional cuando sea aplicable, de conformidad con este Contrato, dará lugar a la acusación y pago de la Compensación Especial.  Parte Especial 4.4 Giros de Equity: El Concesionario deberá girar como mínimo a la Cuenta Proyecto los valores expresados en pesos del mes de referencia dentro de los plazos establecidos. Parte Especial 4.5 Fondeo de Subcuentas del Patrimonio Autónomo. Se indica los fondeos contractuales y las fechas programadas de cumplimiento a las siguientes cuentas del Fideicomiso: Subcuenta Interventoría y Supervisión Subcuenta de Soporte Contractual Subcuenta Autónoma de Soporte Subcuenta MASCS subcuenta Excedentes ANI Subcuenta Ingresos por Explotación Comercial Subcuenta Obras Menores. A continuación, se indica las cláusulas asociadas a los flujos de efectivo del contrato de concesión: Parte General Numeral 1.171” VPIP”: Es el valor presente al Mes de Referencia del Recaudo de Peaje, cuyo monto equivale a DOS BILLONES VEINTE MIL CUATROCIENTOS CINCUENTA y SEIS MILLONES DOSCIENTOS CINCO MIL SETECIENTOS OCHENTA Y OCHO ($2.020.456.205.788) Pesos del Mes de Referencia. Al cierre del 31 DE diciembre de 2025, se ha acumulado el valor de $595.136.132.004,92 con una ejecución del 29.45%. Parte General Numeral 3.5 Obtención del VPIP y Compensación por Riesgos (VPIPr) indica el cálculo del Valor Presente -al Mes de Referencia- del Recaudo de Peaje ajustado por el valor de cada uno de los riesgos materializados</w:t>
      </w:r>
    </w:p>
    <w:p w14:paraId="18F0E03B" w14:textId="77777777" w:rsidR="00BB0A24" w:rsidRPr="002E1B4B" w:rsidRDefault="00BB0A24" w:rsidP="000A5389">
      <w:pPr>
        <w:spacing w:line="240" w:lineRule="auto"/>
      </w:pPr>
    </w:p>
    <w:p w14:paraId="0F75D025" w14:textId="77777777" w:rsidR="003D5DB4" w:rsidRDefault="003D5DB4" w:rsidP="000A5389">
      <w:pPr>
        <w:spacing w:line="240" w:lineRule="auto"/>
      </w:pPr>
      <w:r w:rsidRPr="002E1B4B">
        <w:t>Naturaleza y alcance del derecho a utilizar Activos y los aspectos pactados en torno a lo que se espera que el concesionario proporcione en relación con el Acuerdo de concesión</w:t>
      </w:r>
    </w:p>
    <w:p w14:paraId="3023F120" w14:textId="77777777" w:rsidR="00BB0A24" w:rsidRPr="002E1B4B" w:rsidRDefault="00BB0A24" w:rsidP="000A5389">
      <w:pPr>
        <w:spacing w:line="240" w:lineRule="auto"/>
      </w:pPr>
    </w:p>
    <w:p w14:paraId="35BEC1CE" w14:textId="77777777" w:rsidR="003D5DB4" w:rsidRPr="002E1B4B" w:rsidRDefault="003D5DB4" w:rsidP="000A5389">
      <w:pPr>
        <w:spacing w:line="240" w:lineRule="auto"/>
      </w:pPr>
      <w:r w:rsidRPr="002E1B4B">
        <w:t>Naturaleza y alcance del derecho de uso de los Activos</w:t>
      </w:r>
    </w:p>
    <w:p w14:paraId="3358CED6" w14:textId="77777777" w:rsidR="00BB0A24" w:rsidRDefault="00BB0A24" w:rsidP="000A5389">
      <w:pPr>
        <w:spacing w:line="240" w:lineRule="auto"/>
      </w:pPr>
    </w:p>
    <w:p w14:paraId="721DD5AC" w14:textId="6DE633A9" w:rsidR="003D5DB4" w:rsidRPr="002E1B4B" w:rsidRDefault="003D5DB4" w:rsidP="000A5389">
      <w:pPr>
        <w:spacing w:line="240" w:lineRule="auto"/>
      </w:pPr>
      <w:r w:rsidRPr="002E1B4B">
        <w:t>Descripción: Alcance del derecho de uso de los activos: Parte General 3.4 Peajes, Derecho de Recaudo e Ingresos por Explotación Comercial. a) Se cederá al Concesionario la operación de las Estaciones de Peaje (el "Derecho de Recaudo") en la misma fecha de Entrega de la Infraestructura, salvo por las excepciones establecidas en la Parte Especial. b) El producto del Recaudo del Peaje será utilizado por la ANI como fuente de recursos para efectos del desembolso de la Retribución del Concesionario, de la Compensación Especial y de la Compensación por Riesgo, en los términos y condiciones señalados en el Contrato.</w:t>
      </w:r>
    </w:p>
    <w:p w14:paraId="33F8F2E9" w14:textId="77777777" w:rsidR="00BB0A24" w:rsidRDefault="00BB0A24" w:rsidP="000A5389">
      <w:pPr>
        <w:spacing w:line="240" w:lineRule="auto"/>
      </w:pPr>
    </w:p>
    <w:p w14:paraId="7D9B1F84" w14:textId="7103A5B5" w:rsidR="003D5DB4" w:rsidRPr="002E1B4B" w:rsidRDefault="003D5DB4" w:rsidP="000A5389">
      <w:pPr>
        <w:spacing w:line="240" w:lineRule="auto"/>
      </w:pPr>
      <w:r w:rsidRPr="002E1B4B">
        <w:t>Observaciones: No se tiene ninguna observación</w:t>
      </w:r>
    </w:p>
    <w:p w14:paraId="396C9FD3" w14:textId="77777777" w:rsidR="00BB0A24" w:rsidRDefault="00BB0A24" w:rsidP="000A5389">
      <w:pPr>
        <w:spacing w:line="240" w:lineRule="auto"/>
      </w:pPr>
    </w:p>
    <w:p w14:paraId="43150ADB" w14:textId="708BACAF" w:rsidR="003D5DB4" w:rsidRPr="002E1B4B" w:rsidRDefault="003D5DB4" w:rsidP="000A5389">
      <w:pPr>
        <w:spacing w:line="240" w:lineRule="auto"/>
      </w:pPr>
      <w:r w:rsidRPr="002E1B4B">
        <w:t>Retribución al concesionario</w:t>
      </w:r>
    </w:p>
    <w:p w14:paraId="7A4ABEE5" w14:textId="77777777" w:rsidR="00BB0A24" w:rsidRDefault="00BB0A24" w:rsidP="000A5389">
      <w:pPr>
        <w:spacing w:line="240" w:lineRule="auto"/>
      </w:pPr>
    </w:p>
    <w:p w14:paraId="7419E886" w14:textId="77777777" w:rsidR="00BB0A24" w:rsidRDefault="003D5DB4" w:rsidP="000A5389">
      <w:pPr>
        <w:spacing w:line="240" w:lineRule="auto"/>
      </w:pPr>
      <w:r w:rsidRPr="002E1B4B">
        <w:t xml:space="preserve">Descripción: Parte General 3.1 “Retribución” se indica el derecho a la Retribución del Concesionario con respecto a cada Unidad Funcional se iniciará a partir de la suscripción de la respectiva Acta de Terminación de Unidad Funcional. Las fuentes de la retribución aplican. (i) Recaudo de Peajes (ii) Los ingresos por Explotación Comercial. Al corte del mes de diciembre de 2025 se tiene un acumulado en términos de VPIP de $595.136.132.004,92 Valor Presente en términos de la referencia para una ejecución sobre el VPIP de 26.45%. A </w:t>
      </w:r>
      <w:r w:rsidRPr="002E1B4B">
        <w:lastRenderedPageBreak/>
        <w:t xml:space="preserve">continuación, se relacionan los valores correspondientes al recaudo con corte a 31 de diciembre de 2025 en pesos corrientes:   </w:t>
      </w:r>
    </w:p>
    <w:p w14:paraId="194E4FCC" w14:textId="208A48DC" w:rsidR="003D5DB4" w:rsidRPr="002E1B4B" w:rsidRDefault="003D5DB4" w:rsidP="000A5389">
      <w:pPr>
        <w:spacing w:line="240" w:lineRule="auto"/>
      </w:pPr>
      <w:r w:rsidRPr="002E1B4B">
        <w:t xml:space="preserve">                                                                   </w:t>
      </w:r>
    </w:p>
    <w:p w14:paraId="6C580F96" w14:textId="77777777" w:rsidR="003D5DB4" w:rsidRPr="002E1B4B" w:rsidRDefault="003D5DB4" w:rsidP="000A5389">
      <w:pPr>
        <w:spacing w:line="240" w:lineRule="auto"/>
      </w:pPr>
      <w:r w:rsidRPr="002E1B4B">
        <w:t xml:space="preserve">-PEAJE LA APARTADA $354.360.123.681,25 </w:t>
      </w:r>
    </w:p>
    <w:p w14:paraId="095ADC77" w14:textId="77777777" w:rsidR="003D5DB4" w:rsidRPr="002E1B4B" w:rsidRDefault="003D5DB4" w:rsidP="000A5389">
      <w:pPr>
        <w:spacing w:line="240" w:lineRule="auto"/>
      </w:pPr>
      <w:r w:rsidRPr="002E1B4B">
        <w:t xml:space="preserve">-PEAJE MATA DE CAÑA $161.438.624.308,08  </w:t>
      </w:r>
    </w:p>
    <w:p w14:paraId="7DC87527" w14:textId="77777777" w:rsidR="003D5DB4" w:rsidRPr="002E1B4B" w:rsidRDefault="003D5DB4" w:rsidP="000A5389">
      <w:pPr>
        <w:spacing w:line="240" w:lineRule="auto"/>
      </w:pPr>
      <w:r w:rsidRPr="002E1B4B">
        <w:t xml:space="preserve">-PEAJE SAN ONOFRE $207.791.650.461,35 </w:t>
      </w:r>
    </w:p>
    <w:p w14:paraId="0E4354A7" w14:textId="77777777" w:rsidR="003D5DB4" w:rsidRPr="002E1B4B" w:rsidRDefault="003D5DB4" w:rsidP="000A5389">
      <w:pPr>
        <w:spacing w:line="240" w:lineRule="auto"/>
      </w:pPr>
      <w:r w:rsidRPr="002E1B4B">
        <w:t xml:space="preserve">-PEAJE LOS CEDROS $131.453.969.631,53  </w:t>
      </w:r>
    </w:p>
    <w:p w14:paraId="48134B55" w14:textId="77777777" w:rsidR="003D5DB4" w:rsidRPr="002E1B4B" w:rsidRDefault="003D5DB4" w:rsidP="000A5389">
      <w:pPr>
        <w:spacing w:line="240" w:lineRule="auto"/>
      </w:pPr>
      <w:r w:rsidRPr="002E1B4B">
        <w:t xml:space="preserve">-PEAJE PURGATORIO $202.409.338.167,62 </w:t>
      </w:r>
    </w:p>
    <w:p w14:paraId="273DCC5B" w14:textId="77777777" w:rsidR="003D5DB4" w:rsidRPr="002E1B4B" w:rsidRDefault="003D5DB4" w:rsidP="000A5389">
      <w:pPr>
        <w:spacing w:line="240" w:lineRule="auto"/>
      </w:pPr>
      <w:r w:rsidRPr="002E1B4B">
        <w:t xml:space="preserve">-PEAJE SAN CARLOS $50.549.173.462,77 </w:t>
      </w:r>
    </w:p>
    <w:p w14:paraId="08D575AF" w14:textId="77777777" w:rsidR="003D5DB4" w:rsidRPr="002E1B4B" w:rsidRDefault="003D5DB4" w:rsidP="000A5389">
      <w:pPr>
        <w:spacing w:line="240" w:lineRule="auto"/>
      </w:pPr>
      <w:r w:rsidRPr="002E1B4B">
        <w:t xml:space="preserve">-PEAJE MANGUITOS $261.504.272.969,24 </w:t>
      </w:r>
    </w:p>
    <w:p w14:paraId="00107E04" w14:textId="77777777" w:rsidR="003D5DB4" w:rsidRPr="002E1B4B" w:rsidRDefault="003D5DB4" w:rsidP="000A5389">
      <w:pPr>
        <w:spacing w:line="240" w:lineRule="auto"/>
      </w:pPr>
      <w:r w:rsidRPr="002E1B4B">
        <w:t xml:space="preserve">-PEAJE CAIMANERA $12.033.566.629,30 </w:t>
      </w:r>
    </w:p>
    <w:p w14:paraId="13BEFEDA" w14:textId="77777777" w:rsidR="003D5DB4" w:rsidRPr="002E1B4B" w:rsidRDefault="003D5DB4" w:rsidP="000A5389">
      <w:pPr>
        <w:spacing w:line="240" w:lineRule="auto"/>
      </w:pPr>
      <w:r w:rsidRPr="002E1B4B">
        <w:t>Para un total recaudado en pesos corrientes al corte del 31 de diciembre de 2025 de $1.381.540.719.311,14</w:t>
      </w:r>
    </w:p>
    <w:p w14:paraId="2143A8CC" w14:textId="77777777" w:rsidR="003D5DB4" w:rsidRPr="002E1B4B" w:rsidRDefault="003D5DB4" w:rsidP="000A5389">
      <w:pPr>
        <w:spacing w:line="240" w:lineRule="auto"/>
      </w:pPr>
      <w:r w:rsidRPr="002E1B4B">
        <w:t>Tasa de retribución:</w:t>
      </w:r>
      <w:r w:rsidRPr="002E1B4B">
        <w:tab/>
        <w:t>La tasa de descuento real (TDI) expresada en términos efectivos mensuales es de cero puntos cincuenta y siete sesenta y tres por ciento (0,5763%).</w:t>
      </w:r>
    </w:p>
    <w:p w14:paraId="3BAF52B3" w14:textId="77777777" w:rsidR="003D5DB4" w:rsidRPr="002E1B4B" w:rsidRDefault="003D5DB4" w:rsidP="000A5389">
      <w:pPr>
        <w:spacing w:line="240" w:lineRule="auto"/>
      </w:pPr>
    </w:p>
    <w:p w14:paraId="50047451" w14:textId="77777777" w:rsidR="003D5DB4" w:rsidRPr="002E1B4B" w:rsidRDefault="003D5DB4" w:rsidP="000A5389">
      <w:pPr>
        <w:spacing w:line="240" w:lineRule="auto"/>
      </w:pPr>
      <w:r w:rsidRPr="002E1B4B">
        <w:t>Derechos a recibir Activos especificados al final del acuerdo de concesión</w:t>
      </w:r>
    </w:p>
    <w:p w14:paraId="55EF38B7" w14:textId="77777777" w:rsidR="003D5DB4" w:rsidRDefault="003D5DB4" w:rsidP="000A5389">
      <w:pPr>
        <w:spacing w:line="240" w:lineRule="auto"/>
      </w:pPr>
      <w:r w:rsidRPr="002E1B4B">
        <w:t>Descripción: Descripción: Se encuentra regulado en la numeral 9.7 Etapa de Reversión: a) Al Día siguiente de (i) la Fecha de Terminación de la Etapa de Operación y Mantenimiento, o (ii) cuando el Concesionario haya recibido el VPIP, o el VPIPr, según corresponda o (iii) antes de la declaratoria de Terminación Anticipada del Contrato, el Concesionario y el Interventor deberán iniciar la verificación final del Proyecto con el fin de proceder á la Reversión. d) (...) (i) La actualización del Inventario de Activos de la Concesión que incluirá todos los bienes inmuebles por adhesión y destinación y en general todos aquellos bienes que (1) hayan sido adquiridos por el Concesionario y se encuentren destinados a las actividades de Operación, lo cual en ningún caso incluirá maquinaria de construcción; (2) hayan sido entregados por la ANI; y (3) que hubieren sido de particulares que hayan sido requeridos por el Proyecto. En todo caso este listado incluirá -como mínimo él listado de bienes reversibles que aparece en el Apéndice Técnico 2. Así mismo, al momento de la actualización del Inventario de Activos de la Concesión se verificará que los predios adquiridos se encuentran libres de toda ocupación ilegal.</w:t>
      </w:r>
    </w:p>
    <w:p w14:paraId="3FD87B21" w14:textId="77777777" w:rsidR="00BB0A24" w:rsidRPr="002E1B4B" w:rsidRDefault="00BB0A24" w:rsidP="000A5389">
      <w:pPr>
        <w:spacing w:line="240" w:lineRule="auto"/>
      </w:pPr>
    </w:p>
    <w:p w14:paraId="555FB6E5" w14:textId="77777777" w:rsidR="003D5DB4" w:rsidRDefault="003D5DB4" w:rsidP="000A5389">
      <w:pPr>
        <w:spacing w:line="240" w:lineRule="auto"/>
      </w:pPr>
      <w:r w:rsidRPr="002E1B4B">
        <w:t>Observaciones: El listado de activos reversibles se lista en el Apéndice Técnico del Contrato de Concesión.</w:t>
      </w:r>
    </w:p>
    <w:p w14:paraId="4A652D07" w14:textId="77777777" w:rsidR="00BB0A24" w:rsidRPr="002E1B4B" w:rsidRDefault="00BB0A24" w:rsidP="000A5389">
      <w:pPr>
        <w:spacing w:line="240" w:lineRule="auto"/>
      </w:pPr>
    </w:p>
    <w:p w14:paraId="53F8570B" w14:textId="77777777" w:rsidR="003D5DB4" w:rsidRPr="002E1B4B" w:rsidRDefault="003D5DB4" w:rsidP="000A5389">
      <w:pPr>
        <w:spacing w:line="240" w:lineRule="auto"/>
      </w:pPr>
      <w:r w:rsidRPr="002E1B4B">
        <w:t>Las alternativas de renovación y cese del acuerdo</w:t>
      </w:r>
    </w:p>
    <w:p w14:paraId="2EF818A3" w14:textId="77777777" w:rsidR="00BB0A24" w:rsidRDefault="00BB0A24" w:rsidP="000A5389">
      <w:pPr>
        <w:spacing w:line="240" w:lineRule="auto"/>
      </w:pPr>
    </w:p>
    <w:p w14:paraId="79301164" w14:textId="6470E020" w:rsidR="003D5DB4" w:rsidRDefault="003D5DB4" w:rsidP="000A5389">
      <w:pPr>
        <w:spacing w:line="240" w:lineRule="auto"/>
      </w:pPr>
      <w:r w:rsidRPr="002E1B4B">
        <w:t xml:space="preserve">Descripción: Bajo la </w:t>
      </w:r>
      <w:r w:rsidR="00BB0A24" w:rsidRPr="002E1B4B">
        <w:t>óptica</w:t>
      </w:r>
      <w:r w:rsidRPr="002E1B4B">
        <w:t xml:space="preserve"> del Contrato de Concesión se detalla en la cláusula 1.161 la "Terminación </w:t>
      </w:r>
      <w:r w:rsidR="00BB0A24" w:rsidRPr="002E1B4B">
        <w:t>Anticipada del</w:t>
      </w:r>
      <w:r w:rsidRPr="002E1B4B">
        <w:t xml:space="preserve"> Contrato" o "Terminación Anticipada" bajo los siguientes términos:…"Es la consecuencia de la ocurrencia de cualquiera de las causales previstas en la Sección 17.de esta Parte General en cualquiera de las Etapas del Contrato. En todo caso,   la causal respectiva sólo se entenderá configurada cuando: i)las Partes acepten la ocurrencia de la misma, o cuando así lo declare, en pronunciamiento en firme, el Tribunal de Arbitramento, ii) de ser necesaria la expedición de un acto administrativo para la configuración de la causal, </w:t>
      </w:r>
      <w:r w:rsidRPr="002E1B4B">
        <w:lastRenderedPageBreak/>
        <w:t>cuando éste se encuentre en firme de acuerdo con lo dispuesto por la Ley Aplicable, o iii) cuando la ANI notifique al Concesionario la decisión de la que trata la Sección 17.2(d) de esta Parte General…"</w:t>
      </w:r>
    </w:p>
    <w:p w14:paraId="642773D2" w14:textId="77777777" w:rsidR="00BB0A24" w:rsidRPr="002E1B4B" w:rsidRDefault="00BB0A24" w:rsidP="000A5389">
      <w:pPr>
        <w:spacing w:line="240" w:lineRule="auto"/>
      </w:pPr>
    </w:p>
    <w:p w14:paraId="441825B6" w14:textId="77777777" w:rsidR="003D5DB4" w:rsidRPr="002E1B4B" w:rsidRDefault="003D5DB4" w:rsidP="000A5389">
      <w:pPr>
        <w:spacing w:line="240" w:lineRule="auto"/>
      </w:pPr>
      <w:r w:rsidRPr="002E1B4B">
        <w:t>Observaciones: No se tiene ninguna observación.</w:t>
      </w:r>
    </w:p>
    <w:p w14:paraId="6D6B7EAC" w14:textId="77777777" w:rsidR="003D5DB4" w:rsidRPr="002E1B4B" w:rsidRDefault="003D5DB4" w:rsidP="000A5389">
      <w:pPr>
        <w:spacing w:line="240" w:lineRule="auto"/>
      </w:pPr>
      <w:r w:rsidRPr="002E1B4B">
        <w:t>Cambios en el acuerdo de concesión que se realicen durante el periodo fiscal</w:t>
      </w:r>
    </w:p>
    <w:p w14:paraId="1E51B780" w14:textId="77777777" w:rsidR="00BB0A24" w:rsidRDefault="00BB0A24" w:rsidP="000A5389">
      <w:pPr>
        <w:spacing w:line="240" w:lineRule="auto"/>
      </w:pPr>
    </w:p>
    <w:p w14:paraId="4FE7783B" w14:textId="589319CD" w:rsidR="003D5DB4" w:rsidRPr="002E1B4B" w:rsidRDefault="003D5DB4" w:rsidP="000A5389">
      <w:pPr>
        <w:spacing w:line="240" w:lineRule="auto"/>
      </w:pPr>
      <w:r w:rsidRPr="002E1B4B">
        <w:t>Adiciones o modificaciones en tiempo</w:t>
      </w:r>
    </w:p>
    <w:p w14:paraId="5C905311" w14:textId="77777777" w:rsidR="00BB0A24" w:rsidRDefault="00BB0A24" w:rsidP="000A5389">
      <w:pPr>
        <w:spacing w:line="240" w:lineRule="auto"/>
      </w:pPr>
    </w:p>
    <w:p w14:paraId="7DFC5110" w14:textId="3FF95DCD" w:rsidR="003D5DB4" w:rsidRDefault="003D5DB4" w:rsidP="000A5389">
      <w:pPr>
        <w:spacing w:line="240" w:lineRule="auto"/>
      </w:pPr>
      <w:r w:rsidRPr="002E1B4B">
        <w:t>Fechas de las adiciones o modificaciones: Otrosí N. 14. Fecha de firma 19-06-2019 $14.271.912.632 ($ Mes de Referencia) Nueva Fecha de finalización estimada:</w:t>
      </w:r>
      <w:r w:rsidRPr="002E1B4B">
        <w:tab/>
        <w:t>UF6.3 23-12-2024. UF7.2 26-01-2024. UF7.3 14-07-2022. No se modifica el valor inicial del contrato por el contrario se realiza una sustitución de la inversión.</w:t>
      </w:r>
    </w:p>
    <w:p w14:paraId="6504CEB6" w14:textId="77777777" w:rsidR="00BB0A24" w:rsidRPr="002E1B4B" w:rsidRDefault="00BB0A24" w:rsidP="000A5389">
      <w:pPr>
        <w:spacing w:line="240" w:lineRule="auto"/>
      </w:pPr>
    </w:p>
    <w:p w14:paraId="53BEC6A7" w14:textId="77777777" w:rsidR="003D5DB4" w:rsidRDefault="003D5DB4" w:rsidP="000A5389">
      <w:pPr>
        <w:spacing w:line="240" w:lineRule="auto"/>
      </w:pPr>
      <w:r w:rsidRPr="002E1B4B">
        <w:t>Observaciones: Modifica el trazado y diseño geométrico de las unidades Funcionales 6.3, 7.2 y 7.3 del proyecto, debido a eventos eximentes de responsabilidad.  Modifica el trazado y diseño geométrico de las unidades funcionales 6.3, 7.2 y 7.3 del proyecto, debido a eventos eximentes de responsabilidad. Se indica la compensación por riesgos por sobrecostos por $14.271.912.632 ($ Mes de Referencia) de los cuales $13.997.183.821 ($ Mes de Referencia) correspondiente a Capex y $274.728.811($ Mes de Referencia) que se distribuirá en partes anuales iguales desde la fecha en que se suscriba la primera Acta de Cálculo de la Retribución de la Etapa de Operación y Mantenimiento, hasta que venza el Plazo Inicial del Contrato, Se precisa que la Agencia Nacional de Infraestructura realizó el pago correspondiente a $24.916.562.869,35 el día 29 de julio de 2024, referente al sobrecosto neto por las Intervenciones de Obras de Construcción y Mejoramiento no previstas.</w:t>
      </w:r>
    </w:p>
    <w:p w14:paraId="7FCF806B" w14:textId="77777777" w:rsidR="00BB0A24" w:rsidRPr="002E1B4B" w:rsidRDefault="00BB0A24" w:rsidP="000A5389">
      <w:pPr>
        <w:spacing w:line="240" w:lineRule="auto"/>
      </w:pPr>
    </w:p>
    <w:p w14:paraId="58D7C79D" w14:textId="77777777" w:rsidR="003D5DB4" w:rsidRDefault="003D5DB4" w:rsidP="000A5389">
      <w:pPr>
        <w:spacing w:line="240" w:lineRule="auto"/>
      </w:pPr>
      <w:r w:rsidRPr="002E1B4B">
        <w:t>Adiciones o modificaciones en valor</w:t>
      </w:r>
    </w:p>
    <w:p w14:paraId="4DC26211" w14:textId="77777777" w:rsidR="00BB0A24" w:rsidRPr="002E1B4B" w:rsidRDefault="00BB0A24" w:rsidP="000A5389">
      <w:pPr>
        <w:spacing w:line="240" w:lineRule="auto"/>
      </w:pPr>
    </w:p>
    <w:p w14:paraId="6911AECB" w14:textId="77777777" w:rsidR="003D5DB4" w:rsidRPr="002E1B4B" w:rsidRDefault="003D5DB4" w:rsidP="000A5389">
      <w:pPr>
        <w:spacing w:line="240" w:lineRule="auto"/>
      </w:pPr>
      <w:r w:rsidRPr="002E1B4B">
        <w:t>Valor de la adición o modificación: Otrosí N. 16 Fecha de Firma 07-05-2021</w:t>
      </w:r>
    </w:p>
    <w:p w14:paraId="666B9D00" w14:textId="77777777" w:rsidR="003D5DB4" w:rsidRPr="002E1B4B" w:rsidRDefault="003D5DB4" w:rsidP="000A5389">
      <w:pPr>
        <w:spacing w:line="240" w:lineRule="auto"/>
      </w:pPr>
      <w:r w:rsidRPr="002E1B4B">
        <w:t>Nuevo valor del acuerdo: UF6.3.2 Fecha de terminación 26-09-2022 UF 6.3.3 Fecha de Terminación 15-06-2022 Se realiza la sustitución de la tipología de los pasos peatonales del corredor con lo cual se hace una sustitución de la Inversión sin modificar el valor inicial del contrato</w:t>
      </w:r>
    </w:p>
    <w:p w14:paraId="4973017C" w14:textId="77777777" w:rsidR="003D5DB4" w:rsidRPr="002E1B4B" w:rsidRDefault="003D5DB4" w:rsidP="000A5389">
      <w:pPr>
        <w:spacing w:line="240" w:lineRule="auto"/>
      </w:pPr>
    </w:p>
    <w:p w14:paraId="5C0CCEE2" w14:textId="77777777" w:rsidR="003D5DB4" w:rsidRPr="002E1B4B" w:rsidRDefault="003D5DB4" w:rsidP="000A5389">
      <w:pPr>
        <w:spacing w:line="240" w:lineRule="auto"/>
      </w:pPr>
      <w:r w:rsidRPr="002E1B4B">
        <w:t xml:space="preserve">Observaciones: Adicionar al alcance del proyecto las intervenciones de Rehabilitación y Operación y Mantenimiento del PR35+000 al PR41+440 correspondientes al subsector 3.2 de la Unidad Funcional 6 y Puesta a Punto del PR43+355 al PR49+300 correspondientes al subsector 3.3 de la Unidad Funcional 6, las cuales serán pagadas con el valor de las obras dejadas de ejecutar por los pasos peatonales desafectados, y los recursos disponibles de la Subcuenta Autónoma de Soporte. Adicionar al alcance del proyecto las intervenciones de Rehabilitación y Operación y Mantenimiento delPR35+000 al PR41+440 correspondientes al subsector 3.2 de la Unidad Funcional 6 y Puesta a Punto del PR43+355 al PR49+300correspondientes al subsector 3.3 de la Unidad Funcional 6, las cuales serán pagadas con el valor de las obras dejadas de ejecutar por los pasos peatonales desafectados, </w:t>
      </w:r>
      <w:r w:rsidRPr="002E1B4B">
        <w:lastRenderedPageBreak/>
        <w:t>y los recursos disponibles de la Subcuenta Autónoma de Soporte. $10.413.658.145 de pesos constantes de marzo de 2021 correspondientes a la sustitución de la inversión en pasos peatonales. $4.026.296.855 de pesos constantes de marzo de 2021 saldo de la sustitución los cuales serán pagados al concesionario a recibo de las obras correspondientes. $2.000.000.000 actividades de operación y mantenimiento delPR35+000 al k41+440 por el lapso de 10 años. Se precisa, que la ANI realizó el reconocimiento de los recursos correspondiente a las obras anteriormente descritas por valor de $5.371.903.906,99 con fecha 29 de julio de 2024.</w:t>
      </w:r>
    </w:p>
    <w:p w14:paraId="72698FF6" w14:textId="77777777" w:rsidR="003D5DB4" w:rsidRPr="002E1B4B" w:rsidRDefault="003D5DB4" w:rsidP="000A5389">
      <w:pPr>
        <w:spacing w:line="240" w:lineRule="auto"/>
      </w:pPr>
    </w:p>
    <w:p w14:paraId="56C4C4BB" w14:textId="77777777" w:rsidR="003D5DB4" w:rsidRPr="002E1B4B" w:rsidRDefault="003D5DB4" w:rsidP="000A5389">
      <w:pPr>
        <w:spacing w:line="240" w:lineRule="auto"/>
      </w:pPr>
    </w:p>
    <w:p w14:paraId="2BD39EA7" w14:textId="77777777" w:rsidR="003D5DB4" w:rsidRPr="002E1B4B" w:rsidRDefault="003D5DB4" w:rsidP="000A5389">
      <w:pPr>
        <w:spacing w:line="240" w:lineRule="auto"/>
      </w:pPr>
    </w:p>
    <w:p w14:paraId="707A484D" w14:textId="77777777" w:rsidR="003D5DB4" w:rsidRPr="00BB0A24" w:rsidRDefault="003D5DB4" w:rsidP="000A5389">
      <w:pPr>
        <w:spacing w:line="240" w:lineRule="auto"/>
        <w:rPr>
          <w:i/>
          <w:iCs/>
        </w:rPr>
      </w:pPr>
      <w:r w:rsidRPr="00BB0A24">
        <w:rPr>
          <w:i/>
          <w:iCs/>
        </w:rPr>
        <w:t>CONCESION CORREDOR VIAL BUCARAMANGA - BARRANCABERMEJA - YONDÓ</w:t>
      </w:r>
    </w:p>
    <w:p w14:paraId="69F56FF9" w14:textId="77777777" w:rsidR="00BB0A24" w:rsidRDefault="00BB0A24" w:rsidP="000A5389">
      <w:pPr>
        <w:spacing w:line="240" w:lineRule="auto"/>
      </w:pPr>
    </w:p>
    <w:p w14:paraId="1E34B7CC" w14:textId="66D08E71" w:rsidR="003D5DB4" w:rsidRPr="002E1B4B" w:rsidRDefault="003D5DB4" w:rsidP="000A5389">
      <w:pPr>
        <w:spacing w:line="240" w:lineRule="auto"/>
      </w:pPr>
      <w:r w:rsidRPr="002E1B4B">
        <w:t>Descripción del Acuerdo</w:t>
      </w:r>
    </w:p>
    <w:p w14:paraId="677BD078" w14:textId="77777777" w:rsidR="003D5DB4" w:rsidRPr="002E1B4B" w:rsidRDefault="003D5DB4" w:rsidP="000A5389">
      <w:pPr>
        <w:spacing w:line="240" w:lineRule="auto"/>
      </w:pPr>
      <w:r w:rsidRPr="002E1B4B">
        <w:t>Número del Acuerdo de concesión:  Contrato de Concesión bajo esquema de APP N°013 de 2015</w:t>
      </w:r>
    </w:p>
    <w:p w14:paraId="13F970C0" w14:textId="77777777" w:rsidR="003D5DB4" w:rsidRPr="002E1B4B" w:rsidRDefault="003D5DB4" w:rsidP="000A5389">
      <w:pPr>
        <w:spacing w:line="240" w:lineRule="auto"/>
      </w:pPr>
      <w:r w:rsidRPr="002E1B4B">
        <w:t>Objeto / Descripción:  Según la Sección 3.2 de la Parte Especial "El alcance del contrato corresponde a los estudios y diseños definitivos, la financiación, gestión ambiental, predial y social, construcción, mejoramiento, rehabilitación operación, mantenimiento y reversión del corredor vial PROYECTOBUCARAMANGABARRANCABERMEJA- YONDÓ, de acuerdo con el Apéndice Técnico 1 y demás Apéndices del Contrato."</w:t>
      </w:r>
    </w:p>
    <w:p w14:paraId="63673177" w14:textId="77777777" w:rsidR="003D5DB4" w:rsidRPr="002E1B4B" w:rsidRDefault="003D5DB4" w:rsidP="000A5389">
      <w:pPr>
        <w:spacing w:line="240" w:lineRule="auto"/>
      </w:pPr>
      <w:r w:rsidRPr="002E1B4B">
        <w:t>Valor inicial:</w:t>
      </w:r>
      <w:r w:rsidRPr="002E1B4B">
        <w:tab/>
        <w:t>DOS BILLONES SEISCIENTOS NOVENTA Y UN MIL TRESCIENTOS NOVENTA Y DOS MILLONES CUATROCIENTOS TREINTA Y OCHO MIL CIENTO CATORCE ($2,691,392,438,114) Pesos del Mes de Referencia.</w:t>
      </w:r>
    </w:p>
    <w:p w14:paraId="255CB0F6" w14:textId="77777777" w:rsidR="00BB0A24" w:rsidRDefault="00BB0A24" w:rsidP="000A5389">
      <w:pPr>
        <w:spacing w:line="240" w:lineRule="auto"/>
      </w:pPr>
    </w:p>
    <w:p w14:paraId="08E19985" w14:textId="07D58504" w:rsidR="003D5DB4" w:rsidRPr="002E1B4B" w:rsidRDefault="003D5DB4" w:rsidP="000A5389">
      <w:pPr>
        <w:spacing w:line="240" w:lineRule="auto"/>
      </w:pPr>
      <w:r w:rsidRPr="002E1B4B">
        <w:t>Fecha de inicio: 13/10/2015</w:t>
      </w:r>
    </w:p>
    <w:p w14:paraId="51CB3D63" w14:textId="77777777" w:rsidR="003D5DB4" w:rsidRPr="002E1B4B" w:rsidRDefault="003D5DB4" w:rsidP="000A5389">
      <w:pPr>
        <w:spacing w:line="240" w:lineRule="auto"/>
      </w:pPr>
      <w:r w:rsidRPr="002E1B4B">
        <w:t>Fecha de finalización estimada: 7/10/2040</w:t>
      </w:r>
    </w:p>
    <w:p w14:paraId="7CFED009" w14:textId="77777777" w:rsidR="003D5DB4" w:rsidRPr="002E1B4B" w:rsidRDefault="003D5DB4" w:rsidP="000A5389">
      <w:pPr>
        <w:spacing w:line="240" w:lineRule="auto"/>
      </w:pPr>
      <w:r w:rsidRPr="002E1B4B">
        <w:t>Tipo ID: NIT</w:t>
      </w:r>
    </w:p>
    <w:p w14:paraId="567FD7A3" w14:textId="77777777" w:rsidR="003D5DB4" w:rsidRPr="002E1B4B" w:rsidRDefault="003D5DB4" w:rsidP="000A5389">
      <w:pPr>
        <w:spacing w:line="240" w:lineRule="auto"/>
      </w:pPr>
      <w:r w:rsidRPr="002E1B4B">
        <w:t>Número ID: 900.871.368-6</w:t>
      </w:r>
    </w:p>
    <w:p w14:paraId="0180777D" w14:textId="77777777" w:rsidR="003D5DB4" w:rsidRPr="002E1B4B" w:rsidRDefault="003D5DB4" w:rsidP="000A5389">
      <w:pPr>
        <w:spacing w:line="240" w:lineRule="auto"/>
      </w:pPr>
      <w:r w:rsidRPr="002E1B4B">
        <w:t>Razón social del concesionario: CONCESIONARIA RUTA DEL CACAO S.A.S</w:t>
      </w:r>
    </w:p>
    <w:p w14:paraId="38749FC5" w14:textId="77777777" w:rsidR="003D5DB4" w:rsidRPr="002E1B4B" w:rsidRDefault="003D5DB4" w:rsidP="000A5389">
      <w:pPr>
        <w:spacing w:line="240" w:lineRule="auto"/>
      </w:pPr>
    </w:p>
    <w:p w14:paraId="6D222C98" w14:textId="77777777" w:rsidR="003D5DB4" w:rsidRPr="002E1B4B" w:rsidRDefault="003D5DB4" w:rsidP="000A5389">
      <w:pPr>
        <w:spacing w:line="240" w:lineRule="auto"/>
      </w:pPr>
      <w:r w:rsidRPr="002E1B4B">
        <w:t>Nombre del proyecto: Concesión Corredor Vial Bucaramanga - Barrancabermeja - Yondó</w:t>
      </w:r>
    </w:p>
    <w:p w14:paraId="709452F8" w14:textId="77777777" w:rsidR="00BB0A24" w:rsidRDefault="00BB0A24" w:rsidP="000A5389">
      <w:pPr>
        <w:spacing w:line="240" w:lineRule="auto"/>
      </w:pPr>
    </w:p>
    <w:p w14:paraId="5315BB54" w14:textId="6FFDA448" w:rsidR="003D5DB4" w:rsidRDefault="003D5DB4" w:rsidP="000A5389">
      <w:pPr>
        <w:spacing w:line="240" w:lineRule="auto"/>
      </w:pPr>
      <w:r w:rsidRPr="002E1B4B">
        <w:t>Términos significativos del Acuerdo que puedan afectar su valor, el calendario y la certeza de los flujos de efectivo futuros</w:t>
      </w:r>
    </w:p>
    <w:p w14:paraId="7CD48FAB" w14:textId="77777777" w:rsidR="00BB0A24" w:rsidRPr="002E1B4B" w:rsidRDefault="00BB0A24" w:rsidP="000A5389">
      <w:pPr>
        <w:spacing w:line="240" w:lineRule="auto"/>
      </w:pPr>
    </w:p>
    <w:p w14:paraId="03C065F4" w14:textId="77777777" w:rsidR="003D5DB4" w:rsidRDefault="003D5DB4" w:rsidP="000A5389">
      <w:pPr>
        <w:spacing w:line="240" w:lineRule="auto"/>
      </w:pPr>
      <w:r w:rsidRPr="002E1B4B">
        <w:t>Términos de valor: De acuerdo con la sección 1.99 de la parte general del Contrato de Concesión, el Mes de Referencia es diciembre de 2013. Producto del Tribunal Arbitral No. 141913 se impuso a la ANI una Condena por valor de $35.825.535.588,80</w:t>
      </w:r>
    </w:p>
    <w:p w14:paraId="56FF35F6" w14:textId="77777777" w:rsidR="00BB0A24" w:rsidRPr="002E1B4B" w:rsidRDefault="00BB0A24" w:rsidP="000A5389">
      <w:pPr>
        <w:spacing w:line="240" w:lineRule="auto"/>
      </w:pPr>
    </w:p>
    <w:p w14:paraId="0713EC5B" w14:textId="77777777" w:rsidR="003D5DB4" w:rsidRDefault="003D5DB4" w:rsidP="000A5389">
      <w:pPr>
        <w:spacing w:line="240" w:lineRule="auto"/>
      </w:pPr>
      <w:r w:rsidRPr="002E1B4B">
        <w:t>Términos de calendario: El plazo del contrato se determinó en 29 años conforme a la sección 2.4 de la parte general del Contrato de Concesión. La estructura tarifaria se encuentra determinada en la sección 4.2 de la parte especial del Contrato de Concesión. Aportes ANI establecida en la sección 4.5 literal (d) parte especial. Plazos estimados de la etapa preoperativa establecidos en la sección 3.8 parte general.</w:t>
      </w:r>
    </w:p>
    <w:p w14:paraId="2408E146" w14:textId="77777777" w:rsidR="00BB0A24" w:rsidRPr="002E1B4B" w:rsidRDefault="00BB0A24" w:rsidP="000A5389">
      <w:pPr>
        <w:spacing w:line="240" w:lineRule="auto"/>
      </w:pPr>
    </w:p>
    <w:p w14:paraId="225F00B4" w14:textId="77777777" w:rsidR="003D5DB4" w:rsidRPr="002E1B4B" w:rsidRDefault="003D5DB4" w:rsidP="000A5389">
      <w:pPr>
        <w:spacing w:line="240" w:lineRule="auto"/>
      </w:pPr>
      <w:r w:rsidRPr="002E1B4B">
        <w:t>Términos de certeza de flujos de efectivo futuros: A la fecha se ve afectada la sección 4.5 (d) aportes ANI, afectación estructura tarifaria sección 4.2 (b).</w:t>
      </w:r>
    </w:p>
    <w:p w14:paraId="0BB563AE" w14:textId="77777777" w:rsidR="00BB0A24" w:rsidRDefault="00BB0A24" w:rsidP="000A5389">
      <w:pPr>
        <w:spacing w:line="240" w:lineRule="auto"/>
      </w:pPr>
    </w:p>
    <w:p w14:paraId="31AAC239" w14:textId="2FDEA6E5" w:rsidR="003D5DB4" w:rsidRPr="002E1B4B" w:rsidRDefault="003D5DB4" w:rsidP="000A5389">
      <w:pPr>
        <w:spacing w:line="240" w:lineRule="auto"/>
      </w:pPr>
      <w:r w:rsidRPr="002E1B4B">
        <w:t>Naturaleza y alcance del derecho a utilizar Activos y los aspectos pactados en torno a lo que se espera que el concesionario proporcione en relación con el Acuerdo de concesión</w:t>
      </w:r>
    </w:p>
    <w:p w14:paraId="2146B01A" w14:textId="77777777" w:rsidR="00BB0A24" w:rsidRDefault="00BB0A24" w:rsidP="000A5389">
      <w:pPr>
        <w:spacing w:line="240" w:lineRule="auto"/>
      </w:pPr>
    </w:p>
    <w:p w14:paraId="7EE9CD75" w14:textId="03B71253" w:rsidR="003D5DB4" w:rsidRPr="002E1B4B" w:rsidRDefault="003D5DB4" w:rsidP="000A5389">
      <w:pPr>
        <w:spacing w:line="240" w:lineRule="auto"/>
      </w:pPr>
      <w:r w:rsidRPr="002E1B4B">
        <w:t>Naturaleza y alcance del derecho de uso de los Activos</w:t>
      </w:r>
    </w:p>
    <w:p w14:paraId="323F9951" w14:textId="77777777" w:rsidR="00BB0A24" w:rsidRDefault="00BB0A24" w:rsidP="000A5389">
      <w:pPr>
        <w:spacing w:line="240" w:lineRule="auto"/>
      </w:pPr>
    </w:p>
    <w:p w14:paraId="6A7C1004" w14:textId="48BDBE70" w:rsidR="003D5DB4" w:rsidRPr="002E1B4B" w:rsidRDefault="003D5DB4" w:rsidP="000A5389">
      <w:pPr>
        <w:spacing w:line="240" w:lineRule="auto"/>
      </w:pPr>
      <w:r w:rsidRPr="002E1B4B">
        <w:t>Descripción: Corresponde a la utilización del corredor vial Bucaramanga-Barrancabermeja-Yondó con una longitud Concesionada de 151.60km</w:t>
      </w:r>
    </w:p>
    <w:p w14:paraId="347F55E0" w14:textId="77777777" w:rsidR="003D5DB4" w:rsidRDefault="003D5DB4" w:rsidP="000A5389">
      <w:pPr>
        <w:spacing w:line="240" w:lineRule="auto"/>
      </w:pPr>
      <w:r w:rsidRPr="002E1B4B">
        <w:t>Observaciones: El avance de las Unidades Funcionales es el siguiente: UF1: 56%, UF2: 100%, UF3: 89,63%, UF 4: 100%, UF 5: 100%, UF 6: 100%, UF 7: 100%, UF 8: 92,33%, UF 9: 99,70%</w:t>
      </w:r>
    </w:p>
    <w:p w14:paraId="371E9211" w14:textId="77777777" w:rsidR="00BB0A24" w:rsidRPr="002E1B4B" w:rsidRDefault="00BB0A24" w:rsidP="000A5389">
      <w:pPr>
        <w:spacing w:line="240" w:lineRule="auto"/>
      </w:pPr>
    </w:p>
    <w:p w14:paraId="140E45D9" w14:textId="77777777" w:rsidR="003D5DB4" w:rsidRPr="002E1B4B" w:rsidRDefault="003D5DB4" w:rsidP="000A5389">
      <w:pPr>
        <w:spacing w:line="240" w:lineRule="auto"/>
      </w:pPr>
      <w:r w:rsidRPr="002E1B4B">
        <w:t>Retribución al concesionario</w:t>
      </w:r>
    </w:p>
    <w:p w14:paraId="029A56A6" w14:textId="77777777" w:rsidR="003D5DB4" w:rsidRPr="002E1B4B" w:rsidRDefault="003D5DB4" w:rsidP="000A5389">
      <w:pPr>
        <w:spacing w:line="240" w:lineRule="auto"/>
      </w:pPr>
      <w:r w:rsidRPr="002E1B4B">
        <w:t>Descripción: La sección 4.3 de la parte especial del Contrato de Concesión</w:t>
      </w:r>
    </w:p>
    <w:p w14:paraId="75FAD659" w14:textId="77777777" w:rsidR="003D5DB4" w:rsidRPr="002E1B4B" w:rsidRDefault="003D5DB4" w:rsidP="000A5389">
      <w:pPr>
        <w:spacing w:line="240" w:lineRule="auto"/>
      </w:pPr>
      <w:r w:rsidRPr="002E1B4B">
        <w:t>Tasa de retribución:</w:t>
      </w:r>
      <w:r w:rsidRPr="002E1B4B">
        <w:tab/>
        <w:t>Conforme a la sección 4.1 de la parte especial del Contrato se asignan los porcentajes de distribución para la retribución por cada UF.</w:t>
      </w:r>
    </w:p>
    <w:p w14:paraId="7DF06E01" w14:textId="77777777" w:rsidR="00BB0A24" w:rsidRDefault="00BB0A24" w:rsidP="000A5389">
      <w:pPr>
        <w:spacing w:line="240" w:lineRule="auto"/>
      </w:pPr>
    </w:p>
    <w:p w14:paraId="32FE0F71" w14:textId="2AD66514" w:rsidR="003D5DB4" w:rsidRPr="002E1B4B" w:rsidRDefault="003D5DB4" w:rsidP="000A5389">
      <w:pPr>
        <w:spacing w:line="240" w:lineRule="auto"/>
      </w:pPr>
      <w:r w:rsidRPr="002E1B4B">
        <w:t>Derechos a recibir Activos especificados al final del acuerdo de concesión</w:t>
      </w:r>
    </w:p>
    <w:p w14:paraId="55A6CE26" w14:textId="77777777" w:rsidR="00BB0A24" w:rsidRDefault="00BB0A24" w:rsidP="000A5389">
      <w:pPr>
        <w:spacing w:line="240" w:lineRule="auto"/>
      </w:pPr>
    </w:p>
    <w:p w14:paraId="57A33D3D" w14:textId="0BB90FFB" w:rsidR="003D5DB4" w:rsidRPr="002E1B4B" w:rsidRDefault="003D5DB4" w:rsidP="000A5389">
      <w:pPr>
        <w:spacing w:line="240" w:lineRule="auto"/>
      </w:pPr>
      <w:r w:rsidRPr="002E1B4B">
        <w:t>Descripción: Sección 9.7 “Etapa de Reversión” de la parte general del Contrato de Concesión.</w:t>
      </w:r>
    </w:p>
    <w:p w14:paraId="4AD0DA42" w14:textId="77777777" w:rsidR="00BB0A24" w:rsidRDefault="00BB0A24" w:rsidP="000A5389">
      <w:pPr>
        <w:spacing w:line="240" w:lineRule="auto"/>
      </w:pPr>
    </w:p>
    <w:p w14:paraId="2C71292C" w14:textId="7B3F69F5" w:rsidR="003D5DB4" w:rsidRPr="002E1B4B" w:rsidRDefault="003D5DB4" w:rsidP="000A5389">
      <w:pPr>
        <w:spacing w:line="240" w:lineRule="auto"/>
      </w:pPr>
      <w:r w:rsidRPr="002E1B4B">
        <w:t>Observaciones: No se tienen observaciones</w:t>
      </w:r>
    </w:p>
    <w:p w14:paraId="0C4558ED" w14:textId="77777777" w:rsidR="003D5DB4" w:rsidRPr="002E1B4B" w:rsidRDefault="003D5DB4" w:rsidP="000A5389">
      <w:pPr>
        <w:spacing w:line="240" w:lineRule="auto"/>
      </w:pPr>
      <w:r w:rsidRPr="002E1B4B">
        <w:t>Las alternativas de renovación y cese del acuerdo</w:t>
      </w:r>
    </w:p>
    <w:p w14:paraId="5B712AB4" w14:textId="77777777" w:rsidR="003D5DB4" w:rsidRPr="002E1B4B" w:rsidRDefault="003D5DB4" w:rsidP="000A5389">
      <w:pPr>
        <w:spacing w:line="240" w:lineRule="auto"/>
      </w:pPr>
      <w:r w:rsidRPr="002E1B4B">
        <w:t>Descripción: Sección 18.3 del Contrato de Concesión parte general.</w:t>
      </w:r>
    </w:p>
    <w:p w14:paraId="1F80147C" w14:textId="77777777" w:rsidR="003D5DB4" w:rsidRPr="002E1B4B" w:rsidRDefault="003D5DB4" w:rsidP="000A5389">
      <w:pPr>
        <w:spacing w:line="240" w:lineRule="auto"/>
      </w:pPr>
      <w:r w:rsidRPr="002E1B4B">
        <w:t>Observaciones: No se tienen observaciones</w:t>
      </w:r>
    </w:p>
    <w:p w14:paraId="67CBB233" w14:textId="77777777" w:rsidR="00BB0A24" w:rsidRDefault="00BB0A24" w:rsidP="000A5389">
      <w:pPr>
        <w:spacing w:line="240" w:lineRule="auto"/>
      </w:pPr>
    </w:p>
    <w:p w14:paraId="0F9E8B67" w14:textId="4951F25D" w:rsidR="003D5DB4" w:rsidRPr="002E1B4B" w:rsidRDefault="003D5DB4" w:rsidP="000A5389">
      <w:pPr>
        <w:spacing w:line="240" w:lineRule="auto"/>
      </w:pPr>
      <w:r w:rsidRPr="002E1B4B">
        <w:t>Cambios en el acuerdo de concesión que se realicen durante el periodo fiscal</w:t>
      </w:r>
    </w:p>
    <w:p w14:paraId="2D87D994" w14:textId="77777777" w:rsidR="00BB0A24" w:rsidRDefault="00BB0A24" w:rsidP="000A5389">
      <w:pPr>
        <w:spacing w:line="240" w:lineRule="auto"/>
      </w:pPr>
    </w:p>
    <w:p w14:paraId="5056A44A" w14:textId="0C803542" w:rsidR="003D5DB4" w:rsidRPr="002E1B4B" w:rsidRDefault="003D5DB4" w:rsidP="000A5389">
      <w:pPr>
        <w:spacing w:line="240" w:lineRule="auto"/>
      </w:pPr>
      <w:r w:rsidRPr="002E1B4B">
        <w:t>Adiciones o modificaciones en tiempo</w:t>
      </w:r>
    </w:p>
    <w:p w14:paraId="26E99BBA" w14:textId="77777777" w:rsidR="003D5DB4" w:rsidRPr="002E1B4B" w:rsidRDefault="003D5DB4" w:rsidP="000A5389">
      <w:pPr>
        <w:spacing w:line="240" w:lineRule="auto"/>
      </w:pPr>
      <w:r w:rsidRPr="002E1B4B">
        <w:t>Fechas de las adiciones o modificaciones: N/A</w:t>
      </w:r>
    </w:p>
    <w:p w14:paraId="6B07F72C" w14:textId="77777777" w:rsidR="003D5DB4" w:rsidRPr="002E1B4B" w:rsidRDefault="003D5DB4" w:rsidP="000A5389">
      <w:pPr>
        <w:spacing w:line="240" w:lineRule="auto"/>
      </w:pPr>
      <w:r w:rsidRPr="002E1B4B">
        <w:t>Nueva Fecha de finalización estimada: N/A</w:t>
      </w:r>
    </w:p>
    <w:p w14:paraId="2BA25390" w14:textId="77777777" w:rsidR="003D5DB4" w:rsidRPr="002E1B4B" w:rsidRDefault="003D5DB4" w:rsidP="000A5389">
      <w:pPr>
        <w:spacing w:line="240" w:lineRule="auto"/>
      </w:pPr>
      <w:r w:rsidRPr="002E1B4B">
        <w:t>Observaciones: N/A</w:t>
      </w:r>
    </w:p>
    <w:p w14:paraId="18F75851" w14:textId="77777777" w:rsidR="00BB0A24" w:rsidRDefault="00BB0A24" w:rsidP="000A5389">
      <w:pPr>
        <w:spacing w:line="240" w:lineRule="auto"/>
      </w:pPr>
    </w:p>
    <w:p w14:paraId="0D6C8977" w14:textId="4FB2C9DF" w:rsidR="003D5DB4" w:rsidRPr="002E1B4B" w:rsidRDefault="003D5DB4" w:rsidP="000A5389">
      <w:pPr>
        <w:spacing w:line="240" w:lineRule="auto"/>
      </w:pPr>
      <w:r w:rsidRPr="002E1B4B">
        <w:t>Adiciones o modificaciones en valor</w:t>
      </w:r>
    </w:p>
    <w:p w14:paraId="17E25F04" w14:textId="77777777" w:rsidR="003D5DB4" w:rsidRPr="002E1B4B" w:rsidRDefault="003D5DB4" w:rsidP="000A5389">
      <w:pPr>
        <w:spacing w:line="240" w:lineRule="auto"/>
      </w:pPr>
      <w:r w:rsidRPr="002E1B4B">
        <w:t>Valor de la adición o modificación: N/A</w:t>
      </w:r>
    </w:p>
    <w:p w14:paraId="6263EC8D" w14:textId="77777777" w:rsidR="003D5DB4" w:rsidRPr="002E1B4B" w:rsidRDefault="003D5DB4" w:rsidP="000A5389">
      <w:pPr>
        <w:spacing w:line="240" w:lineRule="auto"/>
      </w:pPr>
      <w:r w:rsidRPr="002E1B4B">
        <w:t>Nuevo valor del acuerdo: N/A</w:t>
      </w:r>
    </w:p>
    <w:p w14:paraId="2E76BDBB" w14:textId="77777777" w:rsidR="003D5DB4" w:rsidRPr="002E1B4B" w:rsidRDefault="003D5DB4" w:rsidP="000A5389">
      <w:pPr>
        <w:spacing w:line="240" w:lineRule="auto"/>
      </w:pPr>
      <w:r w:rsidRPr="002E1B4B">
        <w:t>Observaciones: N/A</w:t>
      </w:r>
    </w:p>
    <w:p w14:paraId="1C5986FA" w14:textId="77777777" w:rsidR="003D5DB4" w:rsidRDefault="003D5DB4" w:rsidP="000A5389">
      <w:pPr>
        <w:spacing w:line="240" w:lineRule="auto"/>
      </w:pPr>
    </w:p>
    <w:p w14:paraId="003F4FF1" w14:textId="77777777" w:rsidR="00BB0A24" w:rsidRPr="002E1B4B" w:rsidRDefault="00BB0A24" w:rsidP="000A5389">
      <w:pPr>
        <w:spacing w:line="240" w:lineRule="auto"/>
      </w:pPr>
    </w:p>
    <w:p w14:paraId="319BE8B5" w14:textId="77777777" w:rsidR="003D5DB4" w:rsidRPr="00BB0A24" w:rsidRDefault="003D5DB4" w:rsidP="000A5389">
      <w:pPr>
        <w:spacing w:line="240" w:lineRule="auto"/>
        <w:rPr>
          <w:i/>
          <w:iCs/>
        </w:rPr>
      </w:pPr>
      <w:r w:rsidRPr="00BB0A24">
        <w:rPr>
          <w:i/>
          <w:iCs/>
        </w:rPr>
        <w:t>SANTANA MOCOA NEIVA</w:t>
      </w:r>
    </w:p>
    <w:p w14:paraId="1870ADE5" w14:textId="77777777" w:rsidR="00BB0A24" w:rsidRDefault="00BB0A24" w:rsidP="000A5389">
      <w:pPr>
        <w:spacing w:line="240" w:lineRule="auto"/>
      </w:pPr>
    </w:p>
    <w:p w14:paraId="453B30F5" w14:textId="17EA73FF" w:rsidR="003D5DB4" w:rsidRPr="002E1B4B" w:rsidRDefault="003D5DB4" w:rsidP="000A5389">
      <w:pPr>
        <w:spacing w:line="240" w:lineRule="auto"/>
      </w:pPr>
      <w:r w:rsidRPr="002E1B4B">
        <w:t>Descripción del Acuerdo</w:t>
      </w:r>
    </w:p>
    <w:p w14:paraId="0AD2129B" w14:textId="35CBEB23" w:rsidR="003D5DB4" w:rsidRPr="002E1B4B" w:rsidRDefault="003D5DB4" w:rsidP="000A5389">
      <w:pPr>
        <w:spacing w:line="240" w:lineRule="auto"/>
      </w:pPr>
      <w:r w:rsidRPr="002E1B4B">
        <w:t>Número del Acuerdo de concesión:  No 012 de 2015</w:t>
      </w:r>
    </w:p>
    <w:p w14:paraId="1C02B8B1" w14:textId="77777777" w:rsidR="00BB0A24" w:rsidRDefault="00BB0A24" w:rsidP="000A5389">
      <w:pPr>
        <w:spacing w:line="240" w:lineRule="auto"/>
      </w:pPr>
    </w:p>
    <w:p w14:paraId="3820717E" w14:textId="27D7C73A" w:rsidR="003D5DB4" w:rsidRPr="002E1B4B" w:rsidRDefault="003D5DB4" w:rsidP="000A5389">
      <w:pPr>
        <w:spacing w:line="240" w:lineRule="auto"/>
      </w:pPr>
      <w:r w:rsidRPr="002E1B4B">
        <w:t>Objeto / Descripción:  El presente Contrato de concesión bajo un esquema de asociación público-privada en los términos de la Ley 1508 de 2012, tiene por objeto el otorgamiento de una concesión para que de conformidad con lo previsto en este Contrato, el Concesionario, por su cuenta y riesgo, lleve a cabo el Proyecto. El alcance físico del Proyecto se describe en la Parte Especial y en el Apéndice Técnico 1.</w:t>
      </w:r>
    </w:p>
    <w:p w14:paraId="128D3476" w14:textId="77777777" w:rsidR="00BB0A24" w:rsidRDefault="00BB0A24" w:rsidP="000A5389">
      <w:pPr>
        <w:spacing w:line="240" w:lineRule="auto"/>
      </w:pPr>
    </w:p>
    <w:p w14:paraId="4FAEB68E" w14:textId="2F740FC1" w:rsidR="003D5DB4" w:rsidRPr="002E1B4B" w:rsidRDefault="003D5DB4" w:rsidP="000A5389">
      <w:pPr>
        <w:spacing w:line="240" w:lineRule="auto"/>
      </w:pPr>
      <w:r w:rsidRPr="002E1B4B">
        <w:t>Valor inicial:</w:t>
      </w:r>
      <w:r w:rsidRPr="002E1B4B">
        <w:tab/>
        <w:t>$ 2.969.581.000,000 de diciembre de /2013</w:t>
      </w:r>
    </w:p>
    <w:p w14:paraId="7C9E3FDF" w14:textId="77777777" w:rsidR="003D5DB4" w:rsidRPr="002E1B4B" w:rsidRDefault="003D5DB4" w:rsidP="000A5389">
      <w:pPr>
        <w:spacing w:line="240" w:lineRule="auto"/>
      </w:pPr>
      <w:r w:rsidRPr="002E1B4B">
        <w:t>Fecha de inicio: 23/09/2015</w:t>
      </w:r>
    </w:p>
    <w:p w14:paraId="5E05497E" w14:textId="77777777" w:rsidR="003D5DB4" w:rsidRPr="002E1B4B" w:rsidRDefault="003D5DB4" w:rsidP="000A5389">
      <w:pPr>
        <w:spacing w:line="240" w:lineRule="auto"/>
      </w:pPr>
      <w:r w:rsidRPr="002E1B4B">
        <w:t>Fecha de finalización estimada: 22/09/2040</w:t>
      </w:r>
    </w:p>
    <w:p w14:paraId="0BE14DCE" w14:textId="77777777" w:rsidR="003D5DB4" w:rsidRPr="002E1B4B" w:rsidRDefault="003D5DB4" w:rsidP="000A5389">
      <w:pPr>
        <w:spacing w:line="240" w:lineRule="auto"/>
      </w:pPr>
      <w:r w:rsidRPr="002E1B4B">
        <w:t>Tipo ID: NIT</w:t>
      </w:r>
    </w:p>
    <w:p w14:paraId="5D7281F2" w14:textId="77777777" w:rsidR="003D5DB4" w:rsidRPr="002E1B4B" w:rsidRDefault="003D5DB4" w:rsidP="000A5389">
      <w:pPr>
        <w:spacing w:line="240" w:lineRule="auto"/>
      </w:pPr>
      <w:r w:rsidRPr="002E1B4B">
        <w:t>Número ID:</w:t>
      </w:r>
      <w:r w:rsidRPr="002E1B4B">
        <w:tab/>
        <w:t>901.482.899</w:t>
      </w:r>
    </w:p>
    <w:p w14:paraId="0CEFFDE7" w14:textId="77777777" w:rsidR="003D5DB4" w:rsidRPr="002E1B4B" w:rsidRDefault="003D5DB4" w:rsidP="000A5389">
      <w:pPr>
        <w:spacing w:line="240" w:lineRule="auto"/>
      </w:pPr>
      <w:r w:rsidRPr="002E1B4B">
        <w:t>Razón social del concesionario: CONCESIONARIA RUTA AL SUR S.A.S.</w:t>
      </w:r>
    </w:p>
    <w:p w14:paraId="6DEC4A5A" w14:textId="77777777" w:rsidR="003D5DB4" w:rsidRPr="002E1B4B" w:rsidRDefault="003D5DB4" w:rsidP="000A5389">
      <w:pPr>
        <w:spacing w:line="240" w:lineRule="auto"/>
      </w:pPr>
      <w:r w:rsidRPr="002E1B4B">
        <w:t>Nombre del proyecto: SANTANA MOCOA NEIVA</w:t>
      </w:r>
    </w:p>
    <w:p w14:paraId="1CED4AD2" w14:textId="77777777" w:rsidR="003D5DB4" w:rsidRDefault="003D5DB4" w:rsidP="000A5389">
      <w:pPr>
        <w:spacing w:line="240" w:lineRule="auto"/>
      </w:pPr>
      <w:r w:rsidRPr="002E1B4B">
        <w:t>Términos significativos del Acuerdo que puedan afectar su valor, el calendario y la certeza de los flujos de efectivo futuros</w:t>
      </w:r>
    </w:p>
    <w:p w14:paraId="134D9704" w14:textId="77777777" w:rsidR="00BB0A24" w:rsidRPr="002E1B4B" w:rsidRDefault="00BB0A24" w:rsidP="000A5389">
      <w:pPr>
        <w:spacing w:line="240" w:lineRule="auto"/>
      </w:pPr>
    </w:p>
    <w:p w14:paraId="565C11F6" w14:textId="02577FC4" w:rsidR="003D5DB4" w:rsidRDefault="003D5DB4" w:rsidP="000A5389">
      <w:pPr>
        <w:spacing w:line="240" w:lineRule="auto"/>
      </w:pPr>
      <w:r w:rsidRPr="002E1B4B">
        <w:t xml:space="preserve">Términos de valor: Esquema Tarifario según la Resolución No. 1207 del 30Abril de  2015 y la </w:t>
      </w:r>
      <w:r w:rsidR="00BB0A24" w:rsidRPr="002E1B4B">
        <w:t>resolución 002503</w:t>
      </w:r>
      <w:r w:rsidRPr="002E1B4B">
        <w:t xml:space="preserve"> del 24 de Julio 2015, Con 21 Aportes estatales (Vigencias Futuras) programados desde el año 2019 a 2039 por valor de $ 2.641.603.022.649 pesos de diciembre de 2013.</w:t>
      </w:r>
    </w:p>
    <w:p w14:paraId="67CACECE" w14:textId="77777777" w:rsidR="00BB0A24" w:rsidRPr="002E1B4B" w:rsidRDefault="00BB0A24" w:rsidP="000A5389">
      <w:pPr>
        <w:spacing w:line="240" w:lineRule="auto"/>
      </w:pPr>
    </w:p>
    <w:p w14:paraId="2529E2A2" w14:textId="77777777" w:rsidR="003D5DB4" w:rsidRDefault="003D5DB4" w:rsidP="000A5389">
      <w:pPr>
        <w:spacing w:line="240" w:lineRule="auto"/>
      </w:pPr>
      <w:r w:rsidRPr="002E1B4B">
        <w:t>Términos de calendario: Las Tarifas de los Peajes de la Concesión se Actualizarán cada 16 de enero con las fórmulas de IPC., con formula de redondeo a la centena. Los Aportes Estatales (Vigencias Futuras) que están dentro del esquema de retribución al Concesionario, se inician a la terminación de cada Unidad Funcional, Incluyendo el VPIP ( (Valor presente de Peaje), La etapa de Construcción se inició el 02 de julio de 2022, al corte del mes de diciembre de 2025, se tiene un avance del plan de obras del 87,40%., se espera que el 3 de junio de 2026 se estén terminadas las  obras de las Unidades Funcionales.</w:t>
      </w:r>
    </w:p>
    <w:p w14:paraId="676A124D" w14:textId="77777777" w:rsidR="00BB0A24" w:rsidRPr="002E1B4B" w:rsidRDefault="00BB0A24" w:rsidP="000A5389">
      <w:pPr>
        <w:spacing w:line="240" w:lineRule="auto"/>
      </w:pPr>
    </w:p>
    <w:p w14:paraId="52E839A4" w14:textId="77777777" w:rsidR="003D5DB4" w:rsidRPr="002E1B4B" w:rsidRDefault="003D5DB4" w:rsidP="000A5389">
      <w:pPr>
        <w:spacing w:line="240" w:lineRule="auto"/>
      </w:pPr>
      <w:r w:rsidRPr="002E1B4B">
        <w:t>Términos de certeza de flujos de efectivo futuros:</w:t>
      </w:r>
      <w:r w:rsidRPr="002E1B4B">
        <w:tab/>
        <w:t>No hay explotación comercial</w:t>
      </w:r>
    </w:p>
    <w:p w14:paraId="06FA94CD" w14:textId="77777777" w:rsidR="00BB0A24" w:rsidRDefault="00BB0A24" w:rsidP="000A5389">
      <w:pPr>
        <w:spacing w:line="240" w:lineRule="auto"/>
      </w:pPr>
    </w:p>
    <w:p w14:paraId="31F82BC9" w14:textId="6B4D13B9" w:rsidR="003D5DB4" w:rsidRPr="002E1B4B" w:rsidRDefault="003D5DB4" w:rsidP="000A5389">
      <w:pPr>
        <w:spacing w:line="240" w:lineRule="auto"/>
      </w:pPr>
      <w:r w:rsidRPr="002E1B4B">
        <w:t>Naturaleza y alcance del derecho a utilizar Activos y los aspectos pactados en torno a lo que se espera que el concesionario proporcione en relación con el Acuerdo de concesión</w:t>
      </w:r>
    </w:p>
    <w:p w14:paraId="18B48461" w14:textId="77777777" w:rsidR="003D5DB4" w:rsidRPr="002E1B4B" w:rsidRDefault="003D5DB4" w:rsidP="000A5389">
      <w:pPr>
        <w:spacing w:line="240" w:lineRule="auto"/>
      </w:pPr>
      <w:r w:rsidRPr="002E1B4B">
        <w:t>Naturaleza y alcance del derecho de uso de los Activos</w:t>
      </w:r>
    </w:p>
    <w:p w14:paraId="60474637" w14:textId="77777777" w:rsidR="003D5DB4" w:rsidRPr="002E1B4B" w:rsidRDefault="003D5DB4" w:rsidP="000A5389">
      <w:pPr>
        <w:spacing w:line="240" w:lineRule="auto"/>
      </w:pPr>
      <w:r w:rsidRPr="002E1B4B">
        <w:t>Descripción:</w:t>
      </w:r>
      <w:r w:rsidRPr="002E1B4B">
        <w:tab/>
        <w:t>No hay explotación comercial</w:t>
      </w:r>
    </w:p>
    <w:p w14:paraId="295DA90A" w14:textId="77777777" w:rsidR="003D5DB4" w:rsidRPr="002E1B4B" w:rsidRDefault="003D5DB4" w:rsidP="000A5389">
      <w:pPr>
        <w:spacing w:line="240" w:lineRule="auto"/>
      </w:pPr>
      <w:r w:rsidRPr="002E1B4B">
        <w:t>Observaciones: NO APLICA</w:t>
      </w:r>
    </w:p>
    <w:p w14:paraId="4FBEE743" w14:textId="77777777" w:rsidR="00BB0A24" w:rsidRDefault="00BB0A24" w:rsidP="000A5389">
      <w:pPr>
        <w:spacing w:line="240" w:lineRule="auto"/>
      </w:pPr>
    </w:p>
    <w:p w14:paraId="092A9E2E" w14:textId="562B21DC" w:rsidR="003D5DB4" w:rsidRPr="002E1B4B" w:rsidRDefault="003D5DB4" w:rsidP="000A5389">
      <w:pPr>
        <w:spacing w:line="240" w:lineRule="auto"/>
      </w:pPr>
      <w:r w:rsidRPr="002E1B4B">
        <w:t>Retribución al concesionario</w:t>
      </w:r>
    </w:p>
    <w:p w14:paraId="3FB91D3A" w14:textId="77777777" w:rsidR="00BB0A24" w:rsidRDefault="00BB0A24" w:rsidP="000A5389">
      <w:pPr>
        <w:spacing w:line="240" w:lineRule="auto"/>
      </w:pPr>
    </w:p>
    <w:p w14:paraId="4303115E" w14:textId="69BAD638" w:rsidR="003D5DB4" w:rsidRPr="002E1B4B" w:rsidRDefault="003D5DB4" w:rsidP="000A5389">
      <w:pPr>
        <w:spacing w:line="240" w:lineRule="auto"/>
      </w:pPr>
      <w:r w:rsidRPr="002E1B4B">
        <w:lastRenderedPageBreak/>
        <w:t>Descripción: El esquema de retribución al concesionario incluye los recaudos de peaje, las vigencias Futuras (aportes del estado), y la explotación comercial.</w:t>
      </w:r>
    </w:p>
    <w:p w14:paraId="67BE2800" w14:textId="77777777" w:rsidR="003D5DB4" w:rsidRPr="002E1B4B" w:rsidRDefault="003D5DB4" w:rsidP="000A5389">
      <w:pPr>
        <w:spacing w:line="240" w:lineRule="auto"/>
      </w:pPr>
      <w:r w:rsidRPr="002E1B4B">
        <w:t>Tasa de retribución:</w:t>
      </w:r>
      <w:r w:rsidRPr="002E1B4B">
        <w:tab/>
        <w:t>TDI (Tasa de descuento de los ingresos por recaudo de peajes del 0,5571% E.A.  aplicada al VPIP (Valor presente de los Ingresos de Peaje)</w:t>
      </w:r>
    </w:p>
    <w:p w14:paraId="04441BE0" w14:textId="77777777" w:rsidR="00BB0A24" w:rsidRDefault="00BB0A24" w:rsidP="000A5389">
      <w:pPr>
        <w:spacing w:line="240" w:lineRule="auto"/>
      </w:pPr>
    </w:p>
    <w:p w14:paraId="05117493" w14:textId="570209F0" w:rsidR="003D5DB4" w:rsidRPr="002E1B4B" w:rsidRDefault="003D5DB4" w:rsidP="000A5389">
      <w:pPr>
        <w:spacing w:line="240" w:lineRule="auto"/>
      </w:pPr>
      <w:r w:rsidRPr="002E1B4B">
        <w:t>Derechos a recibir Activos especificados al final del acuerdo de concesión</w:t>
      </w:r>
    </w:p>
    <w:p w14:paraId="799EAA8E" w14:textId="77777777" w:rsidR="00BB0A24" w:rsidRDefault="00BB0A24" w:rsidP="000A5389">
      <w:pPr>
        <w:spacing w:line="240" w:lineRule="auto"/>
      </w:pPr>
    </w:p>
    <w:p w14:paraId="09B1E673" w14:textId="3BA30FB7" w:rsidR="003D5DB4" w:rsidRPr="002E1B4B" w:rsidRDefault="003D5DB4" w:rsidP="000A5389">
      <w:pPr>
        <w:spacing w:line="240" w:lineRule="auto"/>
      </w:pPr>
      <w:r w:rsidRPr="002E1B4B">
        <w:t>Descripción: Según la cláusula 9.7 Etapa de Reversión, los activos y obras del proyecto, revierten a la nación.</w:t>
      </w:r>
    </w:p>
    <w:p w14:paraId="08E2825A" w14:textId="77777777" w:rsidR="003D5DB4" w:rsidRPr="002E1B4B" w:rsidRDefault="003D5DB4" w:rsidP="000A5389">
      <w:pPr>
        <w:spacing w:line="240" w:lineRule="auto"/>
      </w:pPr>
      <w:r w:rsidRPr="002E1B4B">
        <w:t>Observaciones: No se tiene ninguna Observación.</w:t>
      </w:r>
    </w:p>
    <w:p w14:paraId="74AF6F7D" w14:textId="77777777" w:rsidR="003D5DB4" w:rsidRPr="002E1B4B" w:rsidRDefault="003D5DB4" w:rsidP="000A5389">
      <w:pPr>
        <w:spacing w:line="240" w:lineRule="auto"/>
      </w:pPr>
      <w:r w:rsidRPr="002E1B4B">
        <w:t>Las alternativas de renovación y cese del acuerdo</w:t>
      </w:r>
    </w:p>
    <w:p w14:paraId="0955027A" w14:textId="77777777" w:rsidR="003D5DB4" w:rsidRPr="002E1B4B" w:rsidRDefault="003D5DB4" w:rsidP="000A5389">
      <w:pPr>
        <w:spacing w:line="240" w:lineRule="auto"/>
      </w:pPr>
      <w:r w:rsidRPr="002E1B4B">
        <w:t>Descripción: No Aplica</w:t>
      </w:r>
    </w:p>
    <w:p w14:paraId="1D4CC3BC" w14:textId="77777777" w:rsidR="003D5DB4" w:rsidRPr="002E1B4B" w:rsidRDefault="003D5DB4" w:rsidP="000A5389">
      <w:pPr>
        <w:spacing w:line="240" w:lineRule="auto"/>
      </w:pPr>
      <w:r w:rsidRPr="002E1B4B">
        <w:t>Observaciones: No Aplica</w:t>
      </w:r>
    </w:p>
    <w:p w14:paraId="1F3A46D8" w14:textId="77777777" w:rsidR="00BB0A24" w:rsidRDefault="00BB0A24" w:rsidP="000A5389">
      <w:pPr>
        <w:spacing w:line="240" w:lineRule="auto"/>
      </w:pPr>
    </w:p>
    <w:p w14:paraId="24FDCCBB" w14:textId="43EE1221" w:rsidR="003D5DB4" w:rsidRPr="002E1B4B" w:rsidRDefault="003D5DB4" w:rsidP="000A5389">
      <w:pPr>
        <w:spacing w:line="240" w:lineRule="auto"/>
      </w:pPr>
      <w:r w:rsidRPr="002E1B4B">
        <w:t>Cambios en el acuerdo de concesión que se realicen durante el periodo fiscal</w:t>
      </w:r>
    </w:p>
    <w:p w14:paraId="7228BA31" w14:textId="77777777" w:rsidR="00BB0A24" w:rsidRDefault="00BB0A24" w:rsidP="000A5389">
      <w:pPr>
        <w:spacing w:line="240" w:lineRule="auto"/>
      </w:pPr>
    </w:p>
    <w:p w14:paraId="37A3D5B6" w14:textId="19BC918E" w:rsidR="003D5DB4" w:rsidRPr="002E1B4B" w:rsidRDefault="003D5DB4" w:rsidP="000A5389">
      <w:pPr>
        <w:spacing w:line="240" w:lineRule="auto"/>
      </w:pPr>
      <w:r w:rsidRPr="002E1B4B">
        <w:t>Adiciones o modificaciones en tiempo</w:t>
      </w:r>
    </w:p>
    <w:p w14:paraId="234A6E4D" w14:textId="77777777" w:rsidR="003D5DB4" w:rsidRPr="002E1B4B" w:rsidRDefault="003D5DB4" w:rsidP="000A5389">
      <w:pPr>
        <w:spacing w:line="240" w:lineRule="auto"/>
      </w:pPr>
      <w:r w:rsidRPr="002E1B4B">
        <w:t>Fechas de las adiciones o modificaciones:</w:t>
      </w:r>
      <w:r w:rsidRPr="002E1B4B">
        <w:tab/>
        <w:t>No Aplica</w:t>
      </w:r>
    </w:p>
    <w:p w14:paraId="797648E0" w14:textId="77777777" w:rsidR="003D5DB4" w:rsidRPr="002E1B4B" w:rsidRDefault="003D5DB4" w:rsidP="000A5389">
      <w:pPr>
        <w:spacing w:line="240" w:lineRule="auto"/>
      </w:pPr>
      <w:r w:rsidRPr="002E1B4B">
        <w:t>Nueva Fecha de finalización estimada: No Aplica</w:t>
      </w:r>
    </w:p>
    <w:p w14:paraId="49D6AF76" w14:textId="77777777" w:rsidR="003D5DB4" w:rsidRPr="002E1B4B" w:rsidRDefault="003D5DB4" w:rsidP="000A5389">
      <w:pPr>
        <w:spacing w:line="240" w:lineRule="auto"/>
      </w:pPr>
      <w:r w:rsidRPr="002E1B4B">
        <w:t>Observaciones: No Aplica</w:t>
      </w:r>
    </w:p>
    <w:p w14:paraId="6E546AF9" w14:textId="77777777" w:rsidR="00BB0A24" w:rsidRDefault="00BB0A24" w:rsidP="000A5389">
      <w:pPr>
        <w:spacing w:line="240" w:lineRule="auto"/>
      </w:pPr>
    </w:p>
    <w:p w14:paraId="4C1625E5" w14:textId="1F7BE031" w:rsidR="003D5DB4" w:rsidRPr="002E1B4B" w:rsidRDefault="003D5DB4" w:rsidP="000A5389">
      <w:pPr>
        <w:spacing w:line="240" w:lineRule="auto"/>
      </w:pPr>
      <w:r w:rsidRPr="002E1B4B">
        <w:t>Adiciones o modificaciones en valor</w:t>
      </w:r>
    </w:p>
    <w:p w14:paraId="7D2F8B34" w14:textId="77777777" w:rsidR="00BB0A24" w:rsidRDefault="00BB0A24" w:rsidP="000A5389">
      <w:pPr>
        <w:spacing w:line="240" w:lineRule="auto"/>
      </w:pPr>
    </w:p>
    <w:p w14:paraId="08B8AED7" w14:textId="3798D4FC" w:rsidR="003D5DB4" w:rsidRPr="002E1B4B" w:rsidRDefault="003D5DB4" w:rsidP="000A5389">
      <w:pPr>
        <w:spacing w:line="240" w:lineRule="auto"/>
      </w:pPr>
      <w:r w:rsidRPr="002E1B4B">
        <w:t>Valor de la adición o modificación:</w:t>
      </w:r>
      <w:r w:rsidRPr="002E1B4B">
        <w:tab/>
        <w:t>No Aplica</w:t>
      </w:r>
    </w:p>
    <w:p w14:paraId="3018301E" w14:textId="77777777" w:rsidR="003D5DB4" w:rsidRPr="002E1B4B" w:rsidRDefault="003D5DB4" w:rsidP="000A5389">
      <w:pPr>
        <w:spacing w:line="240" w:lineRule="auto"/>
      </w:pPr>
      <w:r w:rsidRPr="002E1B4B">
        <w:t>Nuevo valor del acuerdo:</w:t>
      </w:r>
      <w:r w:rsidRPr="002E1B4B">
        <w:tab/>
        <w:t>No Aplica</w:t>
      </w:r>
    </w:p>
    <w:p w14:paraId="2AFAC9B7" w14:textId="77777777" w:rsidR="003D5DB4" w:rsidRPr="002E1B4B" w:rsidRDefault="003D5DB4" w:rsidP="000A5389">
      <w:pPr>
        <w:spacing w:line="240" w:lineRule="auto"/>
      </w:pPr>
      <w:r w:rsidRPr="002E1B4B">
        <w:t>Observaciones:</w:t>
      </w:r>
      <w:r w:rsidRPr="002E1B4B">
        <w:tab/>
        <w:t>No Aplica</w:t>
      </w:r>
    </w:p>
    <w:p w14:paraId="72192AA6" w14:textId="77777777" w:rsidR="003D5DB4" w:rsidRDefault="003D5DB4" w:rsidP="000A5389">
      <w:pPr>
        <w:spacing w:line="240" w:lineRule="auto"/>
      </w:pPr>
    </w:p>
    <w:p w14:paraId="20D2EB1F" w14:textId="77777777" w:rsidR="00BB0A24" w:rsidRPr="002E1B4B" w:rsidRDefault="00BB0A24" w:rsidP="000A5389">
      <w:pPr>
        <w:spacing w:line="240" w:lineRule="auto"/>
      </w:pPr>
    </w:p>
    <w:p w14:paraId="4A8612D9" w14:textId="77777777" w:rsidR="003D5DB4" w:rsidRPr="00BB0A24" w:rsidRDefault="003D5DB4" w:rsidP="000A5389">
      <w:pPr>
        <w:spacing w:line="240" w:lineRule="auto"/>
        <w:rPr>
          <w:i/>
          <w:iCs/>
        </w:rPr>
      </w:pPr>
      <w:r w:rsidRPr="00BB0A24">
        <w:rPr>
          <w:i/>
          <w:iCs/>
        </w:rPr>
        <w:t>AUTOPISTA PARA LA PROSPERIDAD MAR 1</w:t>
      </w:r>
    </w:p>
    <w:p w14:paraId="5699B414" w14:textId="77777777" w:rsidR="00BB0A24" w:rsidRDefault="00BB0A24" w:rsidP="000A5389">
      <w:pPr>
        <w:spacing w:line="240" w:lineRule="auto"/>
      </w:pPr>
    </w:p>
    <w:p w14:paraId="148DE215" w14:textId="5692BE41" w:rsidR="003D5DB4" w:rsidRPr="002E1B4B" w:rsidRDefault="003D5DB4" w:rsidP="000A5389">
      <w:pPr>
        <w:spacing w:line="240" w:lineRule="auto"/>
      </w:pPr>
      <w:r w:rsidRPr="002E1B4B">
        <w:t>Descripción del Acuerdo</w:t>
      </w:r>
    </w:p>
    <w:p w14:paraId="2226EB8A" w14:textId="77777777" w:rsidR="003D5DB4" w:rsidRPr="002E1B4B" w:rsidRDefault="003D5DB4" w:rsidP="000A5389">
      <w:pPr>
        <w:spacing w:line="240" w:lineRule="auto"/>
      </w:pPr>
      <w:r w:rsidRPr="002E1B4B">
        <w:t>Número del Acuerdo de concesión:  Contrato de Concesión No. 014 del 3 de Septiembre de 2015</w:t>
      </w:r>
    </w:p>
    <w:p w14:paraId="4A26D18B" w14:textId="77777777" w:rsidR="003D5DB4" w:rsidRPr="002E1B4B" w:rsidRDefault="003D5DB4" w:rsidP="000A5389">
      <w:pPr>
        <w:spacing w:line="240" w:lineRule="auto"/>
      </w:pPr>
      <w:r w:rsidRPr="002E1B4B">
        <w:t>Objeto / Descripción:  De conformidad con el Objeto del Contrato dispuesto en la Parte General de este Contrato el Alcance del Contrato corresponde a los estudios y diseños definitivos, financiación, gestión ambiental, predial y social, construcción, mejoramiento, rehabilitación, operación, mantenimiento y reversión de la Concesión Autopista al Mar 1, del Proyecto "Autopistas para la Prosperidad", de acuerdo con el Apéndice Técnico 1 y demás Apéndices del Contrato”</w:t>
      </w:r>
    </w:p>
    <w:p w14:paraId="124CBBEF" w14:textId="77777777" w:rsidR="00BB0A24" w:rsidRDefault="00BB0A24" w:rsidP="000A5389">
      <w:pPr>
        <w:spacing w:line="240" w:lineRule="auto"/>
      </w:pPr>
    </w:p>
    <w:p w14:paraId="4E41951E" w14:textId="619E55C1" w:rsidR="003D5DB4" w:rsidRPr="002E1B4B" w:rsidRDefault="003D5DB4" w:rsidP="000A5389">
      <w:pPr>
        <w:spacing w:line="240" w:lineRule="auto"/>
      </w:pPr>
      <w:r w:rsidRPr="002E1B4B">
        <w:t>Valor inicial:</w:t>
      </w:r>
      <w:r w:rsidRPr="002E1B4B">
        <w:tab/>
        <w:t>$2.244.728.602.746 pesos de diciembre de 2012</w:t>
      </w:r>
    </w:p>
    <w:p w14:paraId="45026EA6" w14:textId="77777777" w:rsidR="003D5DB4" w:rsidRPr="002E1B4B" w:rsidRDefault="003D5DB4" w:rsidP="000A5389">
      <w:pPr>
        <w:spacing w:line="240" w:lineRule="auto"/>
      </w:pPr>
      <w:r w:rsidRPr="002E1B4B">
        <w:t>Fecha de inicio: 15/10/2015</w:t>
      </w:r>
    </w:p>
    <w:p w14:paraId="095BAC7A" w14:textId="77777777" w:rsidR="003D5DB4" w:rsidRPr="002E1B4B" w:rsidRDefault="003D5DB4" w:rsidP="000A5389">
      <w:pPr>
        <w:spacing w:line="240" w:lineRule="auto"/>
      </w:pPr>
      <w:r w:rsidRPr="002E1B4B">
        <w:t>Fecha de finalización estimada:</w:t>
      </w:r>
      <w:r w:rsidRPr="002E1B4B">
        <w:tab/>
        <w:t>15/10/2040</w:t>
      </w:r>
    </w:p>
    <w:p w14:paraId="1CF47374" w14:textId="77777777" w:rsidR="003D5DB4" w:rsidRPr="002E1B4B" w:rsidRDefault="003D5DB4" w:rsidP="000A5389">
      <w:pPr>
        <w:spacing w:line="240" w:lineRule="auto"/>
      </w:pPr>
      <w:r w:rsidRPr="002E1B4B">
        <w:t>Tipo ID:</w:t>
      </w:r>
      <w:r w:rsidRPr="002E1B4B">
        <w:tab/>
        <w:t>NIT</w:t>
      </w:r>
    </w:p>
    <w:p w14:paraId="68FDE648" w14:textId="77777777" w:rsidR="003D5DB4" w:rsidRPr="002E1B4B" w:rsidRDefault="003D5DB4" w:rsidP="000A5389">
      <w:pPr>
        <w:spacing w:line="240" w:lineRule="auto"/>
      </w:pPr>
      <w:r w:rsidRPr="002E1B4B">
        <w:lastRenderedPageBreak/>
        <w:t>Número ID:</w:t>
      </w:r>
      <w:r w:rsidRPr="002E1B4B">
        <w:tab/>
        <w:t>900.869.678-8</w:t>
      </w:r>
    </w:p>
    <w:p w14:paraId="6F783A62" w14:textId="77777777" w:rsidR="003D5DB4" w:rsidRPr="002E1B4B" w:rsidRDefault="003D5DB4" w:rsidP="000A5389">
      <w:pPr>
        <w:spacing w:line="240" w:lineRule="auto"/>
      </w:pPr>
      <w:r w:rsidRPr="002E1B4B">
        <w:t>Razón social del concesionario: Desarrollo Vía al Mar S.A.S.</w:t>
      </w:r>
    </w:p>
    <w:p w14:paraId="3C5597D7" w14:textId="77777777" w:rsidR="00BB0A24" w:rsidRDefault="00BB0A24" w:rsidP="000A5389">
      <w:pPr>
        <w:spacing w:line="240" w:lineRule="auto"/>
      </w:pPr>
    </w:p>
    <w:p w14:paraId="7264C6D2" w14:textId="24D28C1A" w:rsidR="003D5DB4" w:rsidRPr="002E1B4B" w:rsidRDefault="003D5DB4" w:rsidP="000A5389">
      <w:pPr>
        <w:spacing w:line="240" w:lineRule="auto"/>
      </w:pPr>
      <w:r w:rsidRPr="002E1B4B">
        <w:t>Nombre del proyecto: Autopista Para La Prosperidad Mar 1</w:t>
      </w:r>
    </w:p>
    <w:p w14:paraId="60805738" w14:textId="77777777" w:rsidR="00BB0A24" w:rsidRDefault="00BB0A24" w:rsidP="000A5389">
      <w:pPr>
        <w:spacing w:line="240" w:lineRule="auto"/>
      </w:pPr>
    </w:p>
    <w:p w14:paraId="1F2C64FF" w14:textId="3AAED724" w:rsidR="003D5DB4" w:rsidRPr="002E1B4B" w:rsidRDefault="003D5DB4" w:rsidP="000A5389">
      <w:pPr>
        <w:spacing w:line="240" w:lineRule="auto"/>
      </w:pPr>
      <w:r w:rsidRPr="002E1B4B">
        <w:t>Términos significativos del Acuerdo que puedan afectar su valor, el calendario y la certeza de los flujos de efectivo futuros</w:t>
      </w:r>
    </w:p>
    <w:p w14:paraId="086BC153" w14:textId="77777777" w:rsidR="00BB0A24" w:rsidRDefault="00BB0A24" w:rsidP="000A5389">
      <w:pPr>
        <w:spacing w:line="240" w:lineRule="auto"/>
      </w:pPr>
    </w:p>
    <w:p w14:paraId="052B441C" w14:textId="369EE2B3" w:rsidR="003D5DB4" w:rsidRPr="002E1B4B" w:rsidRDefault="003D5DB4" w:rsidP="000A5389">
      <w:pPr>
        <w:spacing w:line="240" w:lineRule="auto"/>
      </w:pPr>
      <w:r w:rsidRPr="002E1B4B">
        <w:t>Términos de valor: En la vigencia 2025 no se realizó el pago de la Vigencia Futura prevista en los términos de la Sección 4.5 Literal (d) de la Parte Especial del Contrato de Concesión.</w:t>
      </w:r>
    </w:p>
    <w:p w14:paraId="67E0A5DC" w14:textId="77777777" w:rsidR="003D5DB4" w:rsidRPr="002E1B4B" w:rsidRDefault="003D5DB4" w:rsidP="000A5389">
      <w:pPr>
        <w:spacing w:line="240" w:lineRule="auto"/>
      </w:pPr>
      <w:r w:rsidRPr="002E1B4B">
        <w:t xml:space="preserve">Términos de calendario: En el 2024 no se presentó ningún hecho relacionado con modificación de fechas relevantes sobre la ejecución en el proyecto.  </w:t>
      </w:r>
    </w:p>
    <w:p w14:paraId="598CFB45" w14:textId="77777777" w:rsidR="00BB0A24" w:rsidRDefault="00BB0A24" w:rsidP="000A5389">
      <w:pPr>
        <w:spacing w:line="240" w:lineRule="auto"/>
      </w:pPr>
    </w:p>
    <w:p w14:paraId="3047D1E6" w14:textId="28E44DE4" w:rsidR="003D5DB4" w:rsidRPr="002E1B4B" w:rsidRDefault="003D5DB4" w:rsidP="000A5389">
      <w:pPr>
        <w:spacing w:line="240" w:lineRule="auto"/>
      </w:pPr>
      <w:r w:rsidRPr="002E1B4B">
        <w:t>Términos de certeza de flujos de efectivo futuros: En la vigencia 2025 no se realizó el pago de la Vigencia Futura prevista en los términos de la Sección 4.5 Literal (d) de la Parte Especial del Contrato de Concesión.</w:t>
      </w:r>
    </w:p>
    <w:p w14:paraId="6CC54893" w14:textId="77777777" w:rsidR="001B234E" w:rsidRDefault="001B234E" w:rsidP="000A5389">
      <w:pPr>
        <w:spacing w:line="240" w:lineRule="auto"/>
      </w:pPr>
    </w:p>
    <w:p w14:paraId="4E4C2A63" w14:textId="16238C2D" w:rsidR="003D5DB4" w:rsidRPr="002E1B4B" w:rsidRDefault="003D5DB4" w:rsidP="000A5389">
      <w:pPr>
        <w:spacing w:line="240" w:lineRule="auto"/>
      </w:pPr>
      <w:r w:rsidRPr="002E1B4B">
        <w:t>Naturaleza y alcance del derecho a utilizar Activos y los aspectos pactados en torno a lo que se espera que el concesionario proporcione en relación con el Acuerdo de concesión</w:t>
      </w:r>
    </w:p>
    <w:p w14:paraId="3544487F" w14:textId="77777777" w:rsidR="00BB0A24" w:rsidRDefault="00BB0A24" w:rsidP="000A5389">
      <w:pPr>
        <w:spacing w:line="240" w:lineRule="auto"/>
      </w:pPr>
    </w:p>
    <w:p w14:paraId="5B02FCE4" w14:textId="6A82C173" w:rsidR="003D5DB4" w:rsidRPr="002E1B4B" w:rsidRDefault="003D5DB4" w:rsidP="000A5389">
      <w:pPr>
        <w:spacing w:line="240" w:lineRule="auto"/>
      </w:pPr>
      <w:r w:rsidRPr="002E1B4B">
        <w:t>Naturaleza y alcance del derecho de uso de los Activos</w:t>
      </w:r>
    </w:p>
    <w:p w14:paraId="23F1B901" w14:textId="77777777" w:rsidR="00BB0A24" w:rsidRDefault="00BB0A24" w:rsidP="000A5389">
      <w:pPr>
        <w:spacing w:line="240" w:lineRule="auto"/>
      </w:pPr>
    </w:p>
    <w:p w14:paraId="1CACAA5F" w14:textId="179E034F" w:rsidR="003D5DB4" w:rsidRPr="002E1B4B" w:rsidRDefault="003D5DB4" w:rsidP="000A5389">
      <w:pPr>
        <w:spacing w:line="240" w:lineRule="auto"/>
      </w:pPr>
      <w:r w:rsidRPr="002E1B4B">
        <w:t>Descripción: Se cederá al Concesionario el "Derecho de Recaudo" sobre la operación de las Estaciones de Peaje en la misma fecha de Entrega de la Infraestructura, salvo por las excepciones establecidas en la Parte Especial. En 2025 el Concesionario prestó los servicios correspondientes a la Fase de Operación y Mantenimiento.</w:t>
      </w:r>
    </w:p>
    <w:p w14:paraId="2710B570" w14:textId="77777777" w:rsidR="003D5DB4" w:rsidRPr="002E1B4B" w:rsidRDefault="003D5DB4" w:rsidP="000A5389">
      <w:pPr>
        <w:spacing w:line="240" w:lineRule="auto"/>
      </w:pPr>
      <w:r w:rsidRPr="002E1B4B">
        <w:t>Observaciones: No se tienen Observaciones</w:t>
      </w:r>
    </w:p>
    <w:p w14:paraId="470D42A2" w14:textId="77777777" w:rsidR="003D5DB4" w:rsidRPr="002E1B4B" w:rsidRDefault="003D5DB4" w:rsidP="000A5389">
      <w:pPr>
        <w:spacing w:line="240" w:lineRule="auto"/>
      </w:pPr>
      <w:r w:rsidRPr="002E1B4B">
        <w:t>Retribución al concesionario</w:t>
      </w:r>
    </w:p>
    <w:p w14:paraId="0F94DB71" w14:textId="77777777" w:rsidR="00BB0A24" w:rsidRDefault="00BB0A24" w:rsidP="000A5389">
      <w:pPr>
        <w:spacing w:line="240" w:lineRule="auto"/>
      </w:pPr>
    </w:p>
    <w:p w14:paraId="62C21C7D" w14:textId="0B5323E6" w:rsidR="003D5DB4" w:rsidRPr="002E1B4B" w:rsidRDefault="003D5DB4" w:rsidP="000A5389">
      <w:pPr>
        <w:spacing w:line="240" w:lineRule="auto"/>
      </w:pPr>
      <w:r w:rsidRPr="002E1B4B">
        <w:t>Descripción: El derecho a la Retribución del Concesionario con respecto a cada Unidad Funcional se iniciará a partir de la suscripción de la respectiva Acta de Terminación de Unidad Funcional. A 31 de diciembre de 2025 se han pagado actas de retribución por concepto de Recaudo Peajes, Explotación Comercial, Vigencias Futuras y Compensaciones de recaudo, así: UF1: $1.092.167.298.708,18 UF2: $665.994.143.066,19 UF3: $382.126.424.015,99 UF4: $349.041.695.463,96</w:t>
      </w:r>
    </w:p>
    <w:p w14:paraId="605D86C6" w14:textId="77777777" w:rsidR="00BB0A24" w:rsidRDefault="00BB0A24" w:rsidP="000A5389">
      <w:pPr>
        <w:spacing w:line="240" w:lineRule="auto"/>
      </w:pPr>
    </w:p>
    <w:p w14:paraId="4BCBC6DE" w14:textId="5CB329F5" w:rsidR="003D5DB4" w:rsidRPr="002E1B4B" w:rsidRDefault="003D5DB4" w:rsidP="000A5389">
      <w:pPr>
        <w:spacing w:line="240" w:lineRule="auto"/>
      </w:pPr>
      <w:r w:rsidRPr="002E1B4B">
        <w:t>Tasa de retribución:</w:t>
      </w:r>
      <w:r w:rsidRPr="002E1B4B">
        <w:tab/>
        <w:t>TDI: 0,5570%</w:t>
      </w:r>
    </w:p>
    <w:p w14:paraId="7D8806C1" w14:textId="77777777" w:rsidR="00BB0A24" w:rsidRDefault="00BB0A24" w:rsidP="000A5389">
      <w:pPr>
        <w:spacing w:line="240" w:lineRule="auto"/>
      </w:pPr>
    </w:p>
    <w:p w14:paraId="63991C38" w14:textId="7F0853E9" w:rsidR="003D5DB4" w:rsidRPr="002E1B4B" w:rsidRDefault="003D5DB4" w:rsidP="000A5389">
      <w:pPr>
        <w:spacing w:line="240" w:lineRule="auto"/>
      </w:pPr>
      <w:r w:rsidRPr="002E1B4B">
        <w:t>Derechos a recibir Activos especificados al final del acuerdo de concesión</w:t>
      </w:r>
    </w:p>
    <w:p w14:paraId="280C6D62" w14:textId="77777777" w:rsidR="00BB0A24" w:rsidRDefault="00BB0A24" w:rsidP="000A5389">
      <w:pPr>
        <w:spacing w:line="240" w:lineRule="auto"/>
      </w:pPr>
    </w:p>
    <w:p w14:paraId="03DC8DED" w14:textId="667816B8" w:rsidR="003D5DB4" w:rsidRPr="002E1B4B" w:rsidRDefault="003D5DB4" w:rsidP="000A5389">
      <w:pPr>
        <w:spacing w:line="240" w:lineRule="auto"/>
      </w:pPr>
      <w:r w:rsidRPr="002E1B4B">
        <w:t>Descripción:</w:t>
      </w:r>
      <w:r w:rsidRPr="002E1B4B">
        <w:tab/>
        <w:t xml:space="preserve">De conformidad con el Objeto del Contrato dispuesto en la Parte General de este Contrato el Alcance del Contrato corresponde a los estudios y diseños definitivos, financiación, gestión ambiental, predial y social, construcción, mejoramiento, rehabilitación, operación, mantenimiento y reversión de la Concesión Autopista al Mar 1, del Proyecto </w:t>
      </w:r>
      <w:r w:rsidRPr="002E1B4B">
        <w:lastRenderedPageBreak/>
        <w:t>"Autopistas para la Prosperidad", de acuerdo con el Apéndice Técnico 1 y demás Apéndices del Contrato</w:t>
      </w:r>
    </w:p>
    <w:p w14:paraId="3F3D810F" w14:textId="77777777" w:rsidR="003D5DB4" w:rsidRPr="002E1B4B" w:rsidRDefault="003D5DB4" w:rsidP="000A5389">
      <w:pPr>
        <w:spacing w:line="240" w:lineRule="auto"/>
      </w:pPr>
      <w:r w:rsidRPr="002E1B4B">
        <w:t>Observaciones:</w:t>
      </w:r>
      <w:r w:rsidRPr="002E1B4B">
        <w:tab/>
        <w:t>No se tienen observaciones</w:t>
      </w:r>
    </w:p>
    <w:p w14:paraId="77CF6756" w14:textId="77777777" w:rsidR="00BB0A24" w:rsidRDefault="00BB0A24" w:rsidP="000A5389">
      <w:pPr>
        <w:spacing w:line="240" w:lineRule="auto"/>
      </w:pPr>
    </w:p>
    <w:p w14:paraId="358CECA0" w14:textId="7FCD0896" w:rsidR="003D5DB4" w:rsidRPr="002E1B4B" w:rsidRDefault="003D5DB4" w:rsidP="000A5389">
      <w:pPr>
        <w:spacing w:line="240" w:lineRule="auto"/>
      </w:pPr>
      <w:r w:rsidRPr="002E1B4B">
        <w:t>Las alternativas de renovación y cese del acuerdo</w:t>
      </w:r>
    </w:p>
    <w:p w14:paraId="5564F9CC" w14:textId="77777777" w:rsidR="00BB0A24" w:rsidRDefault="00BB0A24" w:rsidP="000A5389">
      <w:pPr>
        <w:spacing w:line="240" w:lineRule="auto"/>
      </w:pPr>
    </w:p>
    <w:p w14:paraId="7A5E773C" w14:textId="6ABC5064" w:rsidR="003D5DB4" w:rsidRPr="002E1B4B" w:rsidRDefault="003D5DB4" w:rsidP="000A5389">
      <w:pPr>
        <w:spacing w:line="240" w:lineRule="auto"/>
      </w:pPr>
      <w:r w:rsidRPr="002E1B4B">
        <w:t>Descripción: El plazo del contrato podrá extenderse por la compensación de riesgos a cargo de la ANI, mediante el mecanismo de VPIPr en los términos establecidos en la Sección 3.2(h) (iii) de la Parte General. La Terminación Anticipada es la consecuencia de la ocurrencia de cualquiera de las causales previstas en la Sección 17.2 de la Parte General, en cualquiera de las Etapas del Contrato. En todo caso, la causal respectiva sólo se entenderá configurada cuando: i) las Partes acepten la ocurrencia de la misma, o cuando así lo declare, en pronunciamiento en firme, el Tribunal de Arbitramento, ii) de ser necesaria la expedición de un acto administrativo para la configuración de la causal, cuando éste se encuentre en firme de acuerdo con lo dispuesto por la Ley Aplicable, o iii) cuando la ANI notifique al Concesionario la decisión de la que trata la Sección 17.2(d) de la Parte General.</w:t>
      </w:r>
    </w:p>
    <w:p w14:paraId="15113315" w14:textId="77777777" w:rsidR="003D5DB4" w:rsidRPr="002E1B4B" w:rsidRDefault="003D5DB4" w:rsidP="000A5389">
      <w:pPr>
        <w:spacing w:line="240" w:lineRule="auto"/>
      </w:pPr>
      <w:r w:rsidRPr="002E1B4B">
        <w:t>Observaciones: No se tienen observaciones</w:t>
      </w:r>
    </w:p>
    <w:p w14:paraId="4FE170E3" w14:textId="77777777" w:rsidR="003D5DB4" w:rsidRPr="002E1B4B" w:rsidRDefault="003D5DB4" w:rsidP="000A5389">
      <w:pPr>
        <w:spacing w:line="240" w:lineRule="auto"/>
      </w:pPr>
      <w:r w:rsidRPr="002E1B4B">
        <w:t>Cambios en el acuerdo de concesión que se realicen durante el periodo fiscal</w:t>
      </w:r>
    </w:p>
    <w:p w14:paraId="4D2062FD" w14:textId="77777777" w:rsidR="00BB0A24" w:rsidRDefault="00BB0A24" w:rsidP="000A5389">
      <w:pPr>
        <w:spacing w:line="240" w:lineRule="auto"/>
      </w:pPr>
    </w:p>
    <w:p w14:paraId="16B4A084" w14:textId="1DCFEF69" w:rsidR="003D5DB4" w:rsidRPr="002E1B4B" w:rsidRDefault="003D5DB4" w:rsidP="000A5389">
      <w:pPr>
        <w:spacing w:line="240" w:lineRule="auto"/>
      </w:pPr>
      <w:r w:rsidRPr="002E1B4B">
        <w:t>Adiciones o modificaciones en tiempo</w:t>
      </w:r>
    </w:p>
    <w:p w14:paraId="3E02FE7F" w14:textId="77777777" w:rsidR="00BB0A24" w:rsidRDefault="00BB0A24" w:rsidP="000A5389">
      <w:pPr>
        <w:spacing w:line="240" w:lineRule="auto"/>
      </w:pPr>
    </w:p>
    <w:p w14:paraId="2A7E9895" w14:textId="6903488B" w:rsidR="003D5DB4" w:rsidRPr="002E1B4B" w:rsidRDefault="003D5DB4" w:rsidP="000A5389">
      <w:pPr>
        <w:spacing w:line="240" w:lineRule="auto"/>
      </w:pPr>
      <w:r w:rsidRPr="002E1B4B">
        <w:t>Fechas de las adiciones o modificaciones:</w:t>
      </w:r>
      <w:r w:rsidRPr="002E1B4B">
        <w:tab/>
        <w:t>No Aplica</w:t>
      </w:r>
    </w:p>
    <w:p w14:paraId="55B0618C" w14:textId="77777777" w:rsidR="003D5DB4" w:rsidRPr="002E1B4B" w:rsidRDefault="003D5DB4" w:rsidP="000A5389">
      <w:pPr>
        <w:spacing w:line="240" w:lineRule="auto"/>
      </w:pPr>
      <w:r w:rsidRPr="002E1B4B">
        <w:t>Nueva Fecha de finalización estimada: No Aplica</w:t>
      </w:r>
    </w:p>
    <w:p w14:paraId="6A9B1465" w14:textId="77777777" w:rsidR="003D5DB4" w:rsidRPr="002E1B4B" w:rsidRDefault="003D5DB4" w:rsidP="000A5389">
      <w:pPr>
        <w:spacing w:line="240" w:lineRule="auto"/>
      </w:pPr>
      <w:r w:rsidRPr="002E1B4B">
        <w:t>Observaciones: No se tienen observaciones</w:t>
      </w:r>
    </w:p>
    <w:p w14:paraId="1BCBEF7C" w14:textId="77777777" w:rsidR="00BB0A24" w:rsidRDefault="00BB0A24" w:rsidP="000A5389">
      <w:pPr>
        <w:spacing w:line="240" w:lineRule="auto"/>
      </w:pPr>
    </w:p>
    <w:p w14:paraId="5A6A4D0B" w14:textId="6E826790" w:rsidR="003D5DB4" w:rsidRPr="002E1B4B" w:rsidRDefault="003D5DB4" w:rsidP="000A5389">
      <w:pPr>
        <w:spacing w:line="240" w:lineRule="auto"/>
      </w:pPr>
      <w:r w:rsidRPr="002E1B4B">
        <w:t>Adiciones o modificaciones en valor</w:t>
      </w:r>
    </w:p>
    <w:p w14:paraId="19E409CC" w14:textId="77777777" w:rsidR="00BB0A24" w:rsidRDefault="00BB0A24" w:rsidP="000A5389">
      <w:pPr>
        <w:spacing w:line="240" w:lineRule="auto"/>
      </w:pPr>
    </w:p>
    <w:p w14:paraId="3B1A7D7B" w14:textId="13EA2D99" w:rsidR="003D5DB4" w:rsidRPr="002E1B4B" w:rsidRDefault="003D5DB4" w:rsidP="000A5389">
      <w:pPr>
        <w:spacing w:line="240" w:lineRule="auto"/>
      </w:pPr>
      <w:r w:rsidRPr="002E1B4B">
        <w:t>Valor de la adición o modificación: No Aplica</w:t>
      </w:r>
    </w:p>
    <w:p w14:paraId="024CB366" w14:textId="77777777" w:rsidR="003D5DB4" w:rsidRPr="002E1B4B" w:rsidRDefault="003D5DB4" w:rsidP="000A5389">
      <w:pPr>
        <w:spacing w:line="240" w:lineRule="auto"/>
      </w:pPr>
      <w:r w:rsidRPr="002E1B4B">
        <w:t>Nuevo valor del acuerdo: No Aplica</w:t>
      </w:r>
    </w:p>
    <w:p w14:paraId="538B101E" w14:textId="77777777" w:rsidR="003D5DB4" w:rsidRPr="002E1B4B" w:rsidRDefault="003D5DB4" w:rsidP="000A5389">
      <w:pPr>
        <w:spacing w:line="240" w:lineRule="auto"/>
      </w:pPr>
      <w:r w:rsidRPr="002E1B4B">
        <w:t>Observaciones: No se tienen observaciones</w:t>
      </w:r>
    </w:p>
    <w:p w14:paraId="18F6345B" w14:textId="77777777" w:rsidR="003D5DB4" w:rsidRDefault="003D5DB4" w:rsidP="000A5389">
      <w:pPr>
        <w:spacing w:line="240" w:lineRule="auto"/>
      </w:pPr>
    </w:p>
    <w:p w14:paraId="4B64D2B1" w14:textId="77777777" w:rsidR="00BB0A24" w:rsidRPr="002E1B4B" w:rsidRDefault="00BB0A24" w:rsidP="000A5389">
      <w:pPr>
        <w:spacing w:line="240" w:lineRule="auto"/>
      </w:pPr>
    </w:p>
    <w:p w14:paraId="38434F4A" w14:textId="77777777" w:rsidR="003D5DB4" w:rsidRPr="00BB0A24" w:rsidRDefault="003D5DB4" w:rsidP="000A5389">
      <w:pPr>
        <w:spacing w:line="240" w:lineRule="auto"/>
        <w:rPr>
          <w:i/>
          <w:iCs/>
        </w:rPr>
      </w:pPr>
      <w:r w:rsidRPr="00BB0A24">
        <w:rPr>
          <w:i/>
          <w:iCs/>
        </w:rPr>
        <w:t>CONCESIÓN TRANSVERSAL DEL SISGA</w:t>
      </w:r>
    </w:p>
    <w:p w14:paraId="1E60296F" w14:textId="77777777" w:rsidR="00BB0A24" w:rsidRDefault="00BB0A24" w:rsidP="000A5389">
      <w:pPr>
        <w:spacing w:line="240" w:lineRule="auto"/>
      </w:pPr>
    </w:p>
    <w:p w14:paraId="0945A79F" w14:textId="75F3A079" w:rsidR="003D5DB4" w:rsidRPr="002E1B4B" w:rsidRDefault="003D5DB4" w:rsidP="000A5389">
      <w:pPr>
        <w:spacing w:line="240" w:lineRule="auto"/>
      </w:pPr>
      <w:r w:rsidRPr="002E1B4B">
        <w:t>Descripción del Acuerdo</w:t>
      </w:r>
    </w:p>
    <w:p w14:paraId="503C3B27" w14:textId="77777777" w:rsidR="003D5DB4" w:rsidRPr="002E1B4B" w:rsidRDefault="003D5DB4" w:rsidP="000A5389">
      <w:pPr>
        <w:spacing w:line="240" w:lineRule="auto"/>
      </w:pPr>
      <w:r w:rsidRPr="002E1B4B">
        <w:t xml:space="preserve">Número del Acuerdo de concesión: </w:t>
      </w:r>
      <w:r w:rsidRPr="002E1B4B">
        <w:rPr>
          <w:rFonts w:eastAsia="Times New Roman"/>
          <w:lang w:val="es-MX"/>
        </w:rPr>
        <w:t>APP No009 de 2015</w:t>
      </w:r>
    </w:p>
    <w:p w14:paraId="31B63072" w14:textId="77777777" w:rsidR="003D5DB4" w:rsidRPr="002E1B4B" w:rsidRDefault="003D5DB4" w:rsidP="000A5389">
      <w:pPr>
        <w:spacing w:line="240" w:lineRule="auto"/>
      </w:pPr>
      <w:r w:rsidRPr="002E1B4B">
        <w:t>Objeto / Descripción: La financiación, elaboración de estudios y diseños, construcción, rehabilitación, mejoramiento, operación, mantenimiento, Gestión Predial, Gestión Social y Ambiental y Reversión del corredor Transversal del Sisga, de acuerdo con el Apéndice Técnico 1 y demás Apéndices del Contrato”</w:t>
      </w:r>
    </w:p>
    <w:p w14:paraId="356D40C2" w14:textId="77777777" w:rsidR="003D5DB4" w:rsidRPr="002E1B4B" w:rsidRDefault="003D5DB4" w:rsidP="000A5389">
      <w:pPr>
        <w:spacing w:line="240" w:lineRule="auto"/>
      </w:pPr>
      <w:r w:rsidRPr="002E1B4B">
        <w:t>Valor inicial:</w:t>
      </w:r>
      <w:r w:rsidRPr="002E1B4B">
        <w:tab/>
        <w:t>$966.849.097.446 pesos del mes de referencia diciembre de 2013.</w:t>
      </w:r>
    </w:p>
    <w:p w14:paraId="3B5A26EC" w14:textId="77777777" w:rsidR="003D5DB4" w:rsidRPr="002E1B4B" w:rsidRDefault="003D5DB4" w:rsidP="000A5389">
      <w:pPr>
        <w:spacing w:line="240" w:lineRule="auto"/>
      </w:pPr>
      <w:r w:rsidRPr="002E1B4B">
        <w:t>Fecha de inicio: 28/08/2015</w:t>
      </w:r>
    </w:p>
    <w:p w14:paraId="0C93FA6A" w14:textId="77777777" w:rsidR="003D5DB4" w:rsidRPr="002E1B4B" w:rsidRDefault="003D5DB4" w:rsidP="000A5389">
      <w:pPr>
        <w:spacing w:line="240" w:lineRule="auto"/>
      </w:pPr>
      <w:r w:rsidRPr="002E1B4B">
        <w:t>Fecha de finalización estimada:</w:t>
      </w:r>
      <w:r w:rsidRPr="002E1B4B">
        <w:tab/>
        <w:t>27/08/2040</w:t>
      </w:r>
    </w:p>
    <w:p w14:paraId="23FA5D59" w14:textId="77777777" w:rsidR="003D5DB4" w:rsidRPr="002E1B4B" w:rsidRDefault="003D5DB4" w:rsidP="000A5389">
      <w:pPr>
        <w:spacing w:line="240" w:lineRule="auto"/>
      </w:pPr>
      <w:r w:rsidRPr="002E1B4B">
        <w:t>Tipo ID: NIT</w:t>
      </w:r>
    </w:p>
    <w:p w14:paraId="56DBD295" w14:textId="77777777" w:rsidR="003D5DB4" w:rsidRPr="002E1B4B" w:rsidRDefault="003D5DB4" w:rsidP="000A5389">
      <w:pPr>
        <w:spacing w:line="240" w:lineRule="auto"/>
      </w:pPr>
      <w:r w:rsidRPr="002E1B4B">
        <w:lastRenderedPageBreak/>
        <w:t>Número ID: 901.161.505</w:t>
      </w:r>
    </w:p>
    <w:p w14:paraId="4A2A8142" w14:textId="77777777" w:rsidR="003D5DB4" w:rsidRPr="002E1B4B" w:rsidRDefault="003D5DB4" w:rsidP="000A5389">
      <w:pPr>
        <w:spacing w:line="240" w:lineRule="auto"/>
      </w:pPr>
      <w:r w:rsidRPr="002E1B4B">
        <w:t>Razón social del concesionario: CONCESION TRANSVERSAL DEL SISGA S.A.S.</w:t>
      </w:r>
    </w:p>
    <w:p w14:paraId="5BADA6BA" w14:textId="77777777" w:rsidR="003D5DB4" w:rsidRPr="002E1B4B" w:rsidRDefault="003D5DB4" w:rsidP="000A5389">
      <w:pPr>
        <w:spacing w:line="240" w:lineRule="auto"/>
      </w:pPr>
      <w:r w:rsidRPr="002E1B4B">
        <w:t>Nombre del proyecto: TRANSVERSAL DEL SISGA</w:t>
      </w:r>
    </w:p>
    <w:p w14:paraId="2FE22109" w14:textId="77777777" w:rsidR="003D5DB4" w:rsidRPr="002E1B4B" w:rsidRDefault="003D5DB4" w:rsidP="000A5389">
      <w:pPr>
        <w:spacing w:line="240" w:lineRule="auto"/>
      </w:pPr>
    </w:p>
    <w:p w14:paraId="111A2C97" w14:textId="77777777" w:rsidR="003D5DB4" w:rsidRPr="002E1B4B" w:rsidRDefault="003D5DB4" w:rsidP="000A5389">
      <w:pPr>
        <w:spacing w:line="240" w:lineRule="auto"/>
      </w:pPr>
      <w:r w:rsidRPr="002E1B4B">
        <w:t>Términos significativos del Acuerdo que puedan afectar su valor, el calendario y la certeza de los flujos de efectivo futuros</w:t>
      </w:r>
    </w:p>
    <w:p w14:paraId="43162404" w14:textId="77777777" w:rsidR="00BB0A24" w:rsidRDefault="00BB0A24" w:rsidP="000A5389">
      <w:pPr>
        <w:spacing w:line="240" w:lineRule="auto"/>
      </w:pPr>
    </w:p>
    <w:p w14:paraId="342D59EC" w14:textId="6A225B51" w:rsidR="003D5DB4" w:rsidRDefault="003D5DB4" w:rsidP="000A5389">
      <w:pPr>
        <w:spacing w:line="240" w:lineRule="auto"/>
      </w:pPr>
      <w:r w:rsidRPr="002E1B4B">
        <w:t>Términos de valor: Parte General Sección 3.6 Intereses Remuneratorios y de Mora(a)   Parte Especial Sección 4.2 Estructura Tarifaria(a) Para efectos de lo dispuesto en la Sección 1.139 de la Parte General, y de acuerdo con lo establecido por la Resolución No.0000981 del 16 de abril  de 2015.Sección 4.3 Cálculo de la Retribución. Contrato Parte Especial Sección 4.4 Giros de Equity. A la fecha el Concesionario ha dado cabal cumplimiento a su obligación de giros de equity. Parte Especial Sección 4.5 Fondeos Subcuentas del Patrimonio Autónomo: Fondeos Subcuenta PREDIOS (a) Total, aportes realizados supera la franja del 200% del valor estimado descrito en el numeral 7.2 literal (d) (i) de la parte General del Contrato, el concesionario ha dado cumplimiento a los fondeos contractuales a cierre de la vigencia 2025. Fondeos Subcuenta COMPENSACIONES AMBIENTALES. Fondeos Subcuenta INTERVENTORÍA Y SUPERVISIÓN. Fondeos Subcuenta SOPORTE CONTRACTUAL Al cierre de la vigencia del año 2025. Fondeos Subcuenta AMIGABLE COMPOSICIÓN Al cierre de la vigencia del año 2025. Fondeos Subcuenta REDES, respecto a la subcuenta redes hasta la franja de riesgo correspondiente al (120%), y consecuentemente ha realizado los fondeos requeridos frente a la necesidad y a la materialización de riesgos por sobrecostos en la protección y traslado de redes. Parte Especial, numeral 4.5 (d) Subcuenta Aportes ANI se establecen los valores correspondientes a los Aportes ANI, así como las fechas máximas de desembolso para cada uno de ellos. Los valores están expresados en Pesos del Mes de Referencia y serán actualizados, para el cálculo de la Retribución, como se prevé en la Sección 4.5 (d) de esta Parte Especial. En el 2025 la ANI efectúo dos consignaciones por valor de $62.383.752.147 pesos y $22.387.977.551,00 pesos para el pago de la vigencia 2024. El monto contractual correspondiente a la vigencia futura expresada en pesos del mes de referencia es de $46.118.974.390,00.  El 17 de octubre de 2019 se da cumplimiento por parte del Concesionario al Otrosí No 7 Clausula Segunda y Fondea la subcuenta Otrosí-Obras por un valor de $5.339.604.636</w:t>
      </w:r>
    </w:p>
    <w:p w14:paraId="511F819B" w14:textId="77777777" w:rsidR="00BB0A24" w:rsidRPr="002E1B4B" w:rsidRDefault="00BB0A24" w:rsidP="000A5389">
      <w:pPr>
        <w:spacing w:line="240" w:lineRule="auto"/>
      </w:pPr>
    </w:p>
    <w:p w14:paraId="4ADF8DFF" w14:textId="77777777" w:rsidR="003D5DB4" w:rsidRPr="002E1B4B" w:rsidRDefault="003D5DB4" w:rsidP="000A5389">
      <w:pPr>
        <w:spacing w:line="240" w:lineRule="auto"/>
      </w:pPr>
      <w:r w:rsidRPr="002E1B4B">
        <w:t xml:space="preserve">Términos de calendario: El plazo del contrato se establece en 25 años, conforme Contrato de la Parte General. El plazo estimado de la etapa de construcción es de (1350) días, según lo establecido en el Otrosí No. 8 de 2020, contados desde el Acta de Inicio de la Fase de Construcción, la cual se firmó el 31 de octubre de 2016. Sin embargo, debido a los diferentes eventos eximentes y a la proyección realizada se estima que la etapa de construcción se estimaría en (2.127) días. El Amigable Componedor fallo a favor del Concesionario, declarando la configuración de dos Eventos Eximentes de Responsabilidad que afectaron los tiempos de entrega de la infraestructura CCO, y el cumplimento de obligaciones conexas y reconoce un Periodo Especial total de 349 días para el CCO en la UF1 y para el Área de Servicios de la UF2. Producto del COVID-19, el Concesionario hizo parte del Acuerdo suscrito entre la Agencia Nacional de Infraestructura y los Concesionarios del modo </w:t>
      </w:r>
      <w:r w:rsidRPr="002E1B4B">
        <w:lastRenderedPageBreak/>
        <w:t xml:space="preserve">carretero, el cual otorgó un Periodo Especial de 98 días. De acuerdo con lo previsto en la Parte Especial del Contrato de Concesión, Capítulo IV Aspectos Económicos del Contrato, numeral 4.2 “Estructura Tarifaria”, modificada por el Otrosí No. 8 el 28 de febrero de 2020, el incremento de tarifas de la Estación de Peaje de Macheta se efectúa con la suscripción del Acta de Terminación o el Acta de Terminación Parcial de la Unidad Funcional 1, la cual se suscribió 28 de febrero de 2021; sin embargo, el 09 de septiembre de 2020, se suspendió el incremento para las Cat. III, IV y V, postergándolo para el 16 de enero de 2021, luego se postergo durante todo el año 2021 y  hasta enero de 2022.De igual manera, la Sección 4.2 de la Parte Especial del Contrato de Concesión, modificada por el Otrosí No. 8 el 28 de febrero de 2020, establece la activación de la Estación de Peaje San Luis, con el Acta de Terminación o el Acta de Terminación Parcial de la Unidad Funcional No. 4.Se hace la Entrega definitiva de la UF1 con fecha de 28 de febrero de 2021.Se hace la Entrega definitiva de la UF2 con fecha de 24 de marzo de 2022.Se hace la Entrega definitiva de la UF3 con fecha de 31 de marzo de 2022.Se hace la Entrega definitiva de la UF4 con fecha de 25 de mayo de 2024.Parte Especial Sección 4.2 Estructura Tarifaria Para efectos de lo dispuesto en la Sección 1.139 de la Parte General, y de acuerdo con lo establecido por la Resolución No.0000981 del 16 de abril de 2015, la estructura tarifaria que regirá el Proyecto, no incluye las tasas correspondientes al Fondo de Seguridad Vial o cualquier sobretasa o similar que tenga destinación diferente al proyecto y estará compuesta por las siguientes tarifas: (…) Mintransporte, Resolución No.20213040001125 de 15-01-2021 “Por la cual se establecen tarifas diferenciales en las categorías I y II de la estación de peaje denominada Machetá, para los vehículos de servicio particular, vehículos autorizados por l autoridad competente para la prestación del servicio público de transporte de pasajeros y vehículos oficiales …”Mediante el Decreto 050 de 2023, el Ministerio de Transporte ordenó, a partir de la vigencia del mismo (15 de enero de 2023), no incrementar las tarifas de peaje a los vehículos que transiten por el territorio nacional por las Estaciones de Peaje a cargo del Instituto Nacional de Vías - INVIAS y de la Agencia Nacional de Infraestructura. Mediante la Resolución Ministerial 20243040001125 del 15 de enero de 2024 se autoriza el incremento en el IPC de la vigencia 2022 las tarifas de peajes a cargo de la ANI. Mediante la Resolución Ministerial 20243040001135 del 15 de enero se establece en $500 la tarifa del FOSEVI. El 31 de julio de 2024 se expidió la Resolución Ministerial 20243040035675 por la cual se autoriza el incremento del 4,64% las tarifas, esto a partir del 1 de agosto de 2024. El incremento corresponde al 50% del incremento no permitido por el Decreto 050 de 2023. Resolución Ministerial 20243040065055 de 31-12-2024por la cual se Incrementa, a partir del 1 de enero de 2025, el 60% del valor pendiente por normalizar correspondiente al IPC registrado en el año 2023 a las tarifas de peajes aplicables a los vehículos que transiten por el territorio nacional por las estaciones a cargo de la ANI…El 8 de enero de 2025, la ANI y la CONCESIÓN TRANSVERSAL DEL SISGA S.A.S. suscribieron el “Acta de Acuerdo Ajuste a la Estructura Tarifaria del Peaje Machetá”, mediante la cual se ajustó la estructura tarifaria en atención al contexto social y económico del área de influencia del Proyecto. Resolución Ministerial 20253040000365 de 10-01-2025, por la cual se suspende el incremento contractual de las tarifas de peaje a vehículos que transiten por el territorio Nacional por las estaciones a cargo de la ANI.  Mintransporte, Resolución No.20253040026415 de 07-08-2025 Por medio de la cual se normaliza la estructura tarifaria </w:t>
      </w:r>
      <w:r w:rsidRPr="002E1B4B">
        <w:lastRenderedPageBreak/>
        <w:t>para las categorías III, IV y V del Peaje Machetá del Proyecto Transversal del Sisga – Contrato de Concesión APP No. 009 de 2015”, mediante la cual se estableció un esquema gradual de aplicación de las tarifas para las citadas categorías. Contrato Parte Especial Sección 4.3 Cálculo de la Retribución Otrosí No. 11 (05-08-2022)“MODIFICAR la sección 4.3(a) de la Parte Especial del Contrato de Concesión No. 015 de 2015, en el sentido de incluir la variable DICP_h^u a la fórmula del Cálculo de la Retribución,:               Parte General Sección 3.1 Retribución Parte Especial Sección 4.5 Fondeo de Subcuentas del Patrimonio Autónomo Se han realizado los fondeos a las cuentas del fideicomiso, en las fechas establecidas en el contrato, como son:  Predios, Compensaciones Ambientales, Redes, Aportes ANI, Interventoría y Supervisión, Soporte contractual, Amigable Composición.  Parte Especial Sección 4.6 Cálculo de la Diferencia de Recaudo La fórmula a la que se refiere la Sección 3.4(b)(ii) de la Parte General para el cálculo del DR8, DR13 y DR18.En octubre de 2023, llegado al año 8, se efectuó el cálculo del DR8 con base en el VPIP acumulado a la fecha precitada. El valor conciliado y verificado por las partes asciende a: DR8 = $319.223.352.576,08. El Índice de cumplimiento promedio corresponde a 99.8903%</w:t>
      </w:r>
    </w:p>
    <w:p w14:paraId="7D57529D" w14:textId="77777777" w:rsidR="003D5DB4" w:rsidRPr="002E1B4B" w:rsidRDefault="003D5DB4" w:rsidP="000A5389">
      <w:pPr>
        <w:spacing w:line="240" w:lineRule="auto"/>
      </w:pPr>
      <w:r w:rsidRPr="002E1B4B">
        <w:t xml:space="preserve">Términos de certeza de flujos de efectivo futuros: Parte General Sección 1.162 VPIP Es el valor presente al Mes de Referencia del Recaudo de Peaje, cuyo monto se establece en la Parte Especial Parte Especial Capítulo II Tabla de Referencias a la Parte General El VPIP equivale a cuatrocientos sesenta mil  cuatrocientos cincuenta y cuatro millones doscientos veintitrés mil novecientos noventa y tres ($460.454.223.993) Pesos del Mes de Referencia Al cierre del presente informe Dic 2025 se presenta un acumulado en términos de VPIP de $144.906.989.270,00.   </w:t>
      </w:r>
    </w:p>
    <w:p w14:paraId="1A094F38" w14:textId="77777777" w:rsidR="003D5DB4" w:rsidRPr="002E1B4B" w:rsidRDefault="003D5DB4" w:rsidP="000A5389">
      <w:pPr>
        <w:spacing w:line="240" w:lineRule="auto"/>
      </w:pPr>
    </w:p>
    <w:p w14:paraId="7230C652" w14:textId="77777777" w:rsidR="003D5DB4" w:rsidRPr="002E1B4B" w:rsidRDefault="003D5DB4" w:rsidP="000A5389">
      <w:pPr>
        <w:spacing w:line="240" w:lineRule="auto"/>
      </w:pPr>
      <w:r w:rsidRPr="002E1B4B">
        <w:t>Naturaleza y alcance del derecho a utilizar Activos y los aspectos pactados en torno a lo que se espera que el concesionario proporcione en relación con el Acuerdo de concesión</w:t>
      </w:r>
    </w:p>
    <w:p w14:paraId="03EE5E30" w14:textId="77777777" w:rsidR="00BB0A24" w:rsidRDefault="00BB0A24" w:rsidP="000A5389">
      <w:pPr>
        <w:spacing w:line="240" w:lineRule="auto"/>
      </w:pPr>
    </w:p>
    <w:p w14:paraId="543533B8" w14:textId="40BBE935" w:rsidR="003D5DB4" w:rsidRPr="002E1B4B" w:rsidRDefault="003D5DB4" w:rsidP="000A5389">
      <w:pPr>
        <w:spacing w:line="240" w:lineRule="auto"/>
      </w:pPr>
      <w:r w:rsidRPr="002E1B4B">
        <w:t>Naturaleza y alcance del derecho de uso de los Activos</w:t>
      </w:r>
    </w:p>
    <w:p w14:paraId="1AF76BDA" w14:textId="77777777" w:rsidR="00BB0A24" w:rsidRDefault="00BB0A24" w:rsidP="000A5389">
      <w:pPr>
        <w:spacing w:line="240" w:lineRule="auto"/>
      </w:pPr>
    </w:p>
    <w:p w14:paraId="180E0478" w14:textId="6AA0194C" w:rsidR="003D5DB4" w:rsidRPr="002E1B4B" w:rsidRDefault="003D5DB4" w:rsidP="000A5389">
      <w:pPr>
        <w:spacing w:line="240" w:lineRule="auto"/>
      </w:pPr>
      <w:r w:rsidRPr="002E1B4B">
        <w:t>Descripción: Parte General Sección 3.3 Peajes, Derecho de Recaudo e Ingresos por Explotación Comercial Se cederá al Concesionario el Derecho de Recaudo sobre la operación de las Estaciones de Peaje en la misma fecha de Entrega de la Infraestructura, salvo por las excepciones establecidas en la Parte Especial.(b) El producto del Recaudo de Peaje será utilizado por la ANI como fuente de recursos para efectos del desembolso de la Retribución del Concesionario en los términos y condiciones señalados en el presente Contrato.(c) El Concesionario tendrá la obligación de llevar a cabo el Recaudo de Peaje de la totalidad de las Estaciones de Peaje del Proyecto cuando le sean entregadas por la ANI, así como también de los valores por contribución al Fondo de Seguridad Vial o cualquier otra sobretasa, contribución o similar que tenga destinación diferente al Proyecto. El producto de los anteriores recaudos será consignado en su totalidad en la Subcuenta Recaudo Peaje y se manejará de conformidad con lo previsto en la Sección 3.14(i)(iii) de esta Parte General.En el caso en que el Concesionario cobre una tarifa superior a la autorizada en este Contrato que corresponde a la prevista en la Resolución de Peaje, además de las Multas que de acuerdo con la Parte Especial se causen, el Concesionario deberá consignar el valor cobrado en exceso en la Subcuenta Excedentes ANI.</w:t>
      </w:r>
    </w:p>
    <w:p w14:paraId="3D4815AD" w14:textId="77777777" w:rsidR="00BB0A24" w:rsidRDefault="00BB0A24" w:rsidP="000A5389">
      <w:pPr>
        <w:spacing w:line="240" w:lineRule="auto"/>
      </w:pPr>
    </w:p>
    <w:p w14:paraId="6CCE3546" w14:textId="4C42E495" w:rsidR="003D5DB4" w:rsidRPr="002E1B4B" w:rsidRDefault="003D5DB4" w:rsidP="000A5389">
      <w:pPr>
        <w:spacing w:line="240" w:lineRule="auto"/>
      </w:pPr>
      <w:r w:rsidRPr="002E1B4B">
        <w:t>Observaciones:</w:t>
      </w:r>
      <w:r w:rsidRPr="002E1B4B">
        <w:tab/>
      </w:r>
    </w:p>
    <w:p w14:paraId="63EE691A" w14:textId="77777777" w:rsidR="00BB0A24" w:rsidRDefault="00BB0A24" w:rsidP="000A5389">
      <w:pPr>
        <w:spacing w:line="240" w:lineRule="auto"/>
      </w:pPr>
    </w:p>
    <w:p w14:paraId="3DDEBBC9" w14:textId="20F14B9C" w:rsidR="003D5DB4" w:rsidRPr="002E1B4B" w:rsidRDefault="003D5DB4" w:rsidP="000A5389">
      <w:pPr>
        <w:spacing w:line="240" w:lineRule="auto"/>
      </w:pPr>
      <w:r w:rsidRPr="002E1B4B">
        <w:t>Retribución al concesionario</w:t>
      </w:r>
    </w:p>
    <w:p w14:paraId="3730F9D6" w14:textId="77777777" w:rsidR="00BB0A24" w:rsidRDefault="00BB0A24" w:rsidP="000A5389">
      <w:pPr>
        <w:spacing w:line="240" w:lineRule="auto"/>
      </w:pPr>
    </w:p>
    <w:p w14:paraId="6B25F436" w14:textId="77777777" w:rsidR="00BB0A24" w:rsidRDefault="003D5DB4" w:rsidP="000A5389">
      <w:pPr>
        <w:spacing w:line="240" w:lineRule="auto"/>
      </w:pPr>
      <w:r w:rsidRPr="002E1B4B">
        <w:t xml:space="preserve">Descripción: El derecho a la Retribución del Concesionario con respecto a cada Unidad Funcional se iniciará a partir de la suscripción de la respectiva Acta de Terminación de Unidad Funcional. La suscripción del Acta de Terminación Parcial de Unidad Funcional cuando sea aplicable de conformidad con este Contrato dará lugar a la causación y pago de la Compensación Especial. Fuentes de la Retribución. Las fuentes para el pago de la Retribución del Concesionario –o de la Compensación Especial, cuando sea aplicable– serán las siguientes: Aportes ANI, Recaudo de Peajes, Los Ingresos por Explotación Comercial. La </w:t>
      </w:r>
    </w:p>
    <w:p w14:paraId="41A3E1E7" w14:textId="77777777" w:rsidR="00BB0A24" w:rsidRDefault="00BB0A24" w:rsidP="000A5389">
      <w:pPr>
        <w:spacing w:line="240" w:lineRule="auto"/>
      </w:pPr>
    </w:p>
    <w:p w14:paraId="6D846084" w14:textId="77777777" w:rsidR="00BB0A24" w:rsidRDefault="00BB0A24" w:rsidP="000A5389">
      <w:pPr>
        <w:spacing w:line="240" w:lineRule="auto"/>
      </w:pPr>
    </w:p>
    <w:p w14:paraId="24D6E384" w14:textId="471E392D" w:rsidR="003D5DB4" w:rsidRPr="002E1B4B" w:rsidRDefault="003D5DB4" w:rsidP="000A5389">
      <w:pPr>
        <w:spacing w:line="240" w:lineRule="auto"/>
      </w:pPr>
      <w:r w:rsidRPr="002E1B4B">
        <w:t>Retribución correspondiente a cada Unidad Funcional se calculará conforme a la metodología definida en la Parte Especial.</w:t>
      </w:r>
    </w:p>
    <w:p w14:paraId="62E2FC18" w14:textId="61D25AF8" w:rsidR="003D5DB4" w:rsidRPr="002E1B4B" w:rsidRDefault="003D5DB4" w:rsidP="000A5389">
      <w:pPr>
        <w:spacing w:line="240" w:lineRule="auto"/>
      </w:pPr>
      <w:r w:rsidRPr="002E1B4B">
        <w:t>Tasa de retribución:</w:t>
      </w:r>
      <w:r w:rsidRPr="002E1B4B">
        <w:tab/>
        <w:t xml:space="preserve">Parte Especial Capítulo II Tabla de Referencias a la Parte General La tasa de descuento real (TDI) expresada en términos efectivos mensuales, para efectos de este Proyecto, será de </w:t>
      </w:r>
      <w:r w:rsidR="001B234E" w:rsidRPr="002E1B4B">
        <w:t>cero coma</w:t>
      </w:r>
      <w:r w:rsidR="001B234E">
        <w:t xml:space="preserve"> </w:t>
      </w:r>
      <w:r w:rsidRPr="002E1B4B">
        <w:t>cincuenta y cinco setenta y uno por ciento (0,5571%)</w:t>
      </w:r>
    </w:p>
    <w:p w14:paraId="29784F5B" w14:textId="77777777" w:rsidR="00BB0A24" w:rsidRDefault="00BB0A24" w:rsidP="000A5389">
      <w:pPr>
        <w:spacing w:line="240" w:lineRule="auto"/>
      </w:pPr>
    </w:p>
    <w:p w14:paraId="38EE06F3" w14:textId="0A779ABF" w:rsidR="003D5DB4" w:rsidRPr="002E1B4B" w:rsidRDefault="003D5DB4" w:rsidP="000A5389">
      <w:pPr>
        <w:spacing w:line="240" w:lineRule="auto"/>
      </w:pPr>
      <w:r w:rsidRPr="002E1B4B">
        <w:t>Derechos a recibir Activos especificados al final del acuerdo de concesión</w:t>
      </w:r>
    </w:p>
    <w:p w14:paraId="307EB016" w14:textId="77777777" w:rsidR="00BB0A24" w:rsidRDefault="00BB0A24" w:rsidP="000A5389">
      <w:pPr>
        <w:spacing w:line="240" w:lineRule="auto"/>
      </w:pPr>
    </w:p>
    <w:p w14:paraId="1E8D7724" w14:textId="078911DB" w:rsidR="003D5DB4" w:rsidRPr="002E1B4B" w:rsidRDefault="003D5DB4" w:rsidP="000A5389">
      <w:pPr>
        <w:spacing w:line="240" w:lineRule="auto"/>
      </w:pPr>
      <w:r w:rsidRPr="002E1B4B">
        <w:t>Descripción: Contrato parte General numeral 9.7 Etapa de Reversión. Al día siguiente de la fecha de terminación de la etapa de operación y mantenimiento o de la declaratoria de terminación anticipada del contrato el concesionario y el interventor deberán iniciar la verificación final del proyecto con el fin de proceder a la Reversión. (…) El procedimiento para la Reversión incluirá:(d) La actualización del Inventario de Activos de la Concesión que incluirá todos los bienes inmuebles por adhesión y destinación y en general todos aquellos bienes que (1) hayan sido adquiridos por el Concesionario y se encuentren destinados a las actividades de Operación, lo cual en ningún caso incluirá maquinaria de construcción, (2) hayan sido entregados por la ANI, y (3) que hubieren sido de particulares que hayan sido requeridos por el Proyecto. En todo caso este listado incluirá –como mínimo– el listado de bienes revertibles que aparece en el Apéndice Técnico 2. Así mismo, al momento de la actualización del Inventario de Activos de la Concesión se verificará que los Predios adquiridos se encuentran libres de toda ocupación ilegal.</w:t>
      </w:r>
    </w:p>
    <w:p w14:paraId="414F39C9" w14:textId="77777777" w:rsidR="00BB0A24" w:rsidRDefault="00BB0A24" w:rsidP="000A5389">
      <w:pPr>
        <w:spacing w:line="240" w:lineRule="auto"/>
      </w:pPr>
    </w:p>
    <w:p w14:paraId="342051E8" w14:textId="0736184F" w:rsidR="003D5DB4" w:rsidRPr="002E1B4B" w:rsidRDefault="003D5DB4" w:rsidP="000A5389">
      <w:pPr>
        <w:spacing w:line="240" w:lineRule="auto"/>
      </w:pPr>
      <w:r w:rsidRPr="002E1B4B">
        <w:t>Observaciones: El listado de activos revertirles se lista en el Apéndice Técnico del Contrato de Concesión.</w:t>
      </w:r>
    </w:p>
    <w:p w14:paraId="22AF6774" w14:textId="77777777" w:rsidR="00BB0A24" w:rsidRDefault="00BB0A24" w:rsidP="000A5389">
      <w:pPr>
        <w:spacing w:line="240" w:lineRule="auto"/>
      </w:pPr>
    </w:p>
    <w:p w14:paraId="56F3031A" w14:textId="17689882" w:rsidR="003D5DB4" w:rsidRPr="002E1B4B" w:rsidRDefault="003D5DB4" w:rsidP="000A5389">
      <w:pPr>
        <w:spacing w:line="240" w:lineRule="auto"/>
      </w:pPr>
      <w:r w:rsidRPr="002E1B4B">
        <w:t>Las alternativas de renovación y cese del acuerdo</w:t>
      </w:r>
    </w:p>
    <w:p w14:paraId="43CAE3C6" w14:textId="77777777" w:rsidR="003D5DB4" w:rsidRPr="002E1B4B" w:rsidRDefault="003D5DB4" w:rsidP="000A5389">
      <w:pPr>
        <w:spacing w:line="240" w:lineRule="auto"/>
      </w:pPr>
      <w:r w:rsidRPr="002E1B4B">
        <w:t>Descripción: No Aplica</w:t>
      </w:r>
    </w:p>
    <w:p w14:paraId="5990E8E9" w14:textId="77777777" w:rsidR="003D5DB4" w:rsidRPr="002E1B4B" w:rsidRDefault="003D5DB4" w:rsidP="000A5389">
      <w:pPr>
        <w:spacing w:line="240" w:lineRule="auto"/>
      </w:pPr>
      <w:r w:rsidRPr="002E1B4B">
        <w:t>Observaciones: No Aplica</w:t>
      </w:r>
    </w:p>
    <w:p w14:paraId="036B371D" w14:textId="77777777" w:rsidR="00BB0A24" w:rsidRDefault="00BB0A24" w:rsidP="000A5389">
      <w:pPr>
        <w:spacing w:line="240" w:lineRule="auto"/>
      </w:pPr>
    </w:p>
    <w:p w14:paraId="27442583" w14:textId="3E2097C5" w:rsidR="003D5DB4" w:rsidRPr="002E1B4B" w:rsidRDefault="003D5DB4" w:rsidP="000A5389">
      <w:pPr>
        <w:spacing w:line="240" w:lineRule="auto"/>
      </w:pPr>
      <w:r w:rsidRPr="002E1B4B">
        <w:t>Cambios en el acuerdo de concesión que se realicen durante el periodo fiscal</w:t>
      </w:r>
    </w:p>
    <w:p w14:paraId="56A1FD57" w14:textId="77777777" w:rsidR="00BB0A24" w:rsidRDefault="00BB0A24" w:rsidP="000A5389">
      <w:pPr>
        <w:spacing w:line="240" w:lineRule="auto"/>
      </w:pPr>
    </w:p>
    <w:p w14:paraId="7C5FD785" w14:textId="432DFF25" w:rsidR="003D5DB4" w:rsidRPr="002E1B4B" w:rsidRDefault="003D5DB4" w:rsidP="000A5389">
      <w:pPr>
        <w:spacing w:line="240" w:lineRule="auto"/>
      </w:pPr>
      <w:r w:rsidRPr="002E1B4B">
        <w:t>Adiciones o modificaciones en tiempo</w:t>
      </w:r>
    </w:p>
    <w:p w14:paraId="03DC0DB8" w14:textId="77777777" w:rsidR="003D5DB4" w:rsidRPr="002E1B4B" w:rsidRDefault="003D5DB4" w:rsidP="000A5389">
      <w:pPr>
        <w:spacing w:line="240" w:lineRule="auto"/>
      </w:pPr>
      <w:r w:rsidRPr="002E1B4B">
        <w:t>Fechas de las adiciones o modificaciones:</w:t>
      </w:r>
      <w:r w:rsidRPr="002E1B4B">
        <w:tab/>
        <w:t>N/A</w:t>
      </w:r>
    </w:p>
    <w:p w14:paraId="2C06FDD3" w14:textId="77777777" w:rsidR="003D5DB4" w:rsidRPr="002E1B4B" w:rsidRDefault="003D5DB4" w:rsidP="000A5389">
      <w:pPr>
        <w:spacing w:line="240" w:lineRule="auto"/>
      </w:pPr>
      <w:r w:rsidRPr="002E1B4B">
        <w:t>Nueva Fecha de finalización estimada:</w:t>
      </w:r>
      <w:r w:rsidRPr="002E1B4B">
        <w:tab/>
        <w:t>N/A</w:t>
      </w:r>
    </w:p>
    <w:p w14:paraId="2344410D" w14:textId="77777777" w:rsidR="003D5DB4" w:rsidRPr="002E1B4B" w:rsidRDefault="003D5DB4" w:rsidP="000A5389">
      <w:pPr>
        <w:spacing w:line="240" w:lineRule="auto"/>
      </w:pPr>
      <w:r w:rsidRPr="002E1B4B">
        <w:t>Observaciones:</w:t>
      </w:r>
      <w:r w:rsidRPr="002E1B4B">
        <w:tab/>
        <w:t>N/A</w:t>
      </w:r>
    </w:p>
    <w:p w14:paraId="2CB9D15F" w14:textId="77777777" w:rsidR="00BB0A24" w:rsidRDefault="00BB0A24" w:rsidP="000A5389">
      <w:pPr>
        <w:spacing w:line="240" w:lineRule="auto"/>
      </w:pPr>
    </w:p>
    <w:p w14:paraId="0C804872" w14:textId="1F80D6B6" w:rsidR="003D5DB4" w:rsidRPr="002E1B4B" w:rsidRDefault="003D5DB4" w:rsidP="000A5389">
      <w:pPr>
        <w:spacing w:line="240" w:lineRule="auto"/>
      </w:pPr>
      <w:r w:rsidRPr="002E1B4B">
        <w:t>Adiciones o modificaciones en valor</w:t>
      </w:r>
    </w:p>
    <w:p w14:paraId="3137359B" w14:textId="77777777" w:rsidR="00BB0A24" w:rsidRDefault="00BB0A24" w:rsidP="000A5389">
      <w:pPr>
        <w:spacing w:line="240" w:lineRule="auto"/>
      </w:pPr>
    </w:p>
    <w:p w14:paraId="30680426" w14:textId="6FA1E766" w:rsidR="003D5DB4" w:rsidRPr="002E1B4B" w:rsidRDefault="003D5DB4" w:rsidP="000A5389">
      <w:pPr>
        <w:spacing w:line="240" w:lineRule="auto"/>
      </w:pPr>
      <w:r w:rsidRPr="002E1B4B">
        <w:t>Valor de la adición o modificación: No Aplica</w:t>
      </w:r>
    </w:p>
    <w:p w14:paraId="2173EB44" w14:textId="77777777" w:rsidR="003D5DB4" w:rsidRPr="002E1B4B" w:rsidRDefault="003D5DB4" w:rsidP="000A5389">
      <w:pPr>
        <w:spacing w:line="240" w:lineRule="auto"/>
      </w:pPr>
      <w:r w:rsidRPr="002E1B4B">
        <w:t>Nuevo valor del acuerdo: No Aplica</w:t>
      </w:r>
    </w:p>
    <w:p w14:paraId="771551C9" w14:textId="77777777" w:rsidR="003D5DB4" w:rsidRPr="002E1B4B" w:rsidRDefault="003D5DB4" w:rsidP="000A5389">
      <w:pPr>
        <w:spacing w:line="240" w:lineRule="auto"/>
      </w:pPr>
      <w:r w:rsidRPr="002E1B4B">
        <w:t>Observaciones: No Aplica</w:t>
      </w:r>
    </w:p>
    <w:p w14:paraId="07EF942B" w14:textId="77777777" w:rsidR="003D5DB4" w:rsidRDefault="003D5DB4" w:rsidP="000A5389">
      <w:pPr>
        <w:spacing w:line="240" w:lineRule="auto"/>
      </w:pPr>
    </w:p>
    <w:p w14:paraId="43F5A099" w14:textId="77777777" w:rsidR="00BB0A24" w:rsidRPr="002E1B4B" w:rsidRDefault="00BB0A24" w:rsidP="000A5389">
      <w:pPr>
        <w:spacing w:line="240" w:lineRule="auto"/>
      </w:pPr>
    </w:p>
    <w:p w14:paraId="0D13EAC0" w14:textId="77777777" w:rsidR="003D5DB4" w:rsidRPr="00BB0A24" w:rsidRDefault="003D5DB4" w:rsidP="000A5389">
      <w:pPr>
        <w:spacing w:line="240" w:lineRule="auto"/>
        <w:rPr>
          <w:i/>
          <w:iCs/>
        </w:rPr>
      </w:pPr>
      <w:r w:rsidRPr="00BB0A24">
        <w:rPr>
          <w:i/>
          <w:iCs/>
        </w:rPr>
        <w:t>PROYECTO VÍAL CAMBAO –MANIZALES, IBAGUE- MARIQUITA-HONDA</w:t>
      </w:r>
    </w:p>
    <w:p w14:paraId="35A49DF9" w14:textId="77777777" w:rsidR="00BB0A24" w:rsidRDefault="00BB0A24" w:rsidP="000A5389">
      <w:pPr>
        <w:spacing w:line="240" w:lineRule="auto"/>
      </w:pPr>
    </w:p>
    <w:p w14:paraId="502172E8" w14:textId="0DBA0D80" w:rsidR="003D5DB4" w:rsidRPr="002E1B4B" w:rsidRDefault="003D5DB4" w:rsidP="000A5389">
      <w:pPr>
        <w:spacing w:line="240" w:lineRule="auto"/>
      </w:pPr>
      <w:r w:rsidRPr="002E1B4B">
        <w:t>Descripción del Acuerdo</w:t>
      </w:r>
    </w:p>
    <w:p w14:paraId="2E422019" w14:textId="77777777" w:rsidR="003D5DB4" w:rsidRPr="002E1B4B" w:rsidRDefault="003D5DB4" w:rsidP="000A5389">
      <w:pPr>
        <w:spacing w:line="240" w:lineRule="auto"/>
      </w:pPr>
      <w:r w:rsidRPr="002E1B4B">
        <w:t>Número del Acuerdo de concesión: 008 de 2015</w:t>
      </w:r>
    </w:p>
    <w:p w14:paraId="39D6358D" w14:textId="77777777" w:rsidR="003D5DB4" w:rsidRPr="002E1B4B" w:rsidRDefault="003D5DB4" w:rsidP="000A5389">
      <w:pPr>
        <w:spacing w:line="240" w:lineRule="auto"/>
      </w:pPr>
      <w:r w:rsidRPr="002E1B4B">
        <w:t>Objeto / Descripción:  La financiación, operación, mantenimiento y rehabilitación del corredor - Ibagué - Armero - Mariquita - Honda y la financiación, operación, mantenimiento, mejoramiento y rehabilitación del corredor existente entre Cambao - Armero - Líbano - Murillo - La Esperanza</w:t>
      </w:r>
    </w:p>
    <w:p w14:paraId="69D12D39" w14:textId="77777777" w:rsidR="003D5DB4" w:rsidRPr="002E1B4B" w:rsidRDefault="003D5DB4" w:rsidP="000A5389">
      <w:pPr>
        <w:spacing w:line="240" w:lineRule="auto"/>
      </w:pPr>
      <w:r w:rsidRPr="002E1B4B">
        <w:t>Valor inicial:</w:t>
      </w:r>
      <w:r w:rsidRPr="002E1B4B">
        <w:tab/>
        <w:t>$1.334.383.590.504 dic-13</w:t>
      </w:r>
    </w:p>
    <w:p w14:paraId="18C0DD18" w14:textId="77777777" w:rsidR="003D5DB4" w:rsidRPr="002E1B4B" w:rsidRDefault="003D5DB4" w:rsidP="000A5389">
      <w:pPr>
        <w:spacing w:line="240" w:lineRule="auto"/>
      </w:pPr>
      <w:r w:rsidRPr="002E1B4B">
        <w:t>Fecha de inicio: 21/08/2015</w:t>
      </w:r>
    </w:p>
    <w:p w14:paraId="39EE9F16" w14:textId="77777777" w:rsidR="003D5DB4" w:rsidRPr="002E1B4B" w:rsidRDefault="003D5DB4" w:rsidP="000A5389">
      <w:pPr>
        <w:spacing w:line="240" w:lineRule="auto"/>
      </w:pPr>
      <w:r w:rsidRPr="002E1B4B">
        <w:t>Fecha de finalización estimada: 20/08/2049</w:t>
      </w:r>
    </w:p>
    <w:p w14:paraId="1259DFC5" w14:textId="77777777" w:rsidR="003D5DB4" w:rsidRPr="002E1B4B" w:rsidRDefault="003D5DB4" w:rsidP="000A5389">
      <w:pPr>
        <w:spacing w:line="240" w:lineRule="auto"/>
      </w:pPr>
      <w:r w:rsidRPr="002E1B4B">
        <w:t>Tipo ID: NIT</w:t>
      </w:r>
    </w:p>
    <w:p w14:paraId="1CEA34B4" w14:textId="77777777" w:rsidR="003D5DB4" w:rsidRPr="002E1B4B" w:rsidRDefault="003D5DB4" w:rsidP="000A5389">
      <w:pPr>
        <w:spacing w:line="240" w:lineRule="auto"/>
      </w:pPr>
      <w:r w:rsidRPr="002E1B4B">
        <w:t>Número ID: 900.864.150</w:t>
      </w:r>
    </w:p>
    <w:p w14:paraId="380358CA" w14:textId="77777777" w:rsidR="00BB0A24" w:rsidRDefault="00BB0A24" w:rsidP="000A5389">
      <w:pPr>
        <w:spacing w:line="240" w:lineRule="auto"/>
      </w:pPr>
    </w:p>
    <w:p w14:paraId="5FF49057" w14:textId="074D3553" w:rsidR="003D5DB4" w:rsidRPr="002E1B4B" w:rsidRDefault="003D5DB4" w:rsidP="000A5389">
      <w:pPr>
        <w:spacing w:line="240" w:lineRule="auto"/>
      </w:pPr>
      <w:r w:rsidRPr="002E1B4B">
        <w:t>Razón social del concesionario: Concesionaria Alternativas Viales S.A.S.</w:t>
      </w:r>
    </w:p>
    <w:p w14:paraId="4452473A" w14:textId="77777777" w:rsidR="003D5DB4" w:rsidRPr="002E1B4B" w:rsidRDefault="003D5DB4" w:rsidP="000A5389">
      <w:pPr>
        <w:spacing w:line="240" w:lineRule="auto"/>
      </w:pPr>
      <w:r w:rsidRPr="002E1B4B">
        <w:t>Nombre del proyecto:</w:t>
      </w:r>
      <w:r w:rsidRPr="002E1B4B">
        <w:tab/>
        <w:t>PROYECTO VÍAL CAMBAO –MANIZALES, IBAGUE- MARIQUITA-HONDA</w:t>
      </w:r>
    </w:p>
    <w:p w14:paraId="7B73118E" w14:textId="77777777" w:rsidR="00BB0A24" w:rsidRDefault="00BB0A24" w:rsidP="000A5389">
      <w:pPr>
        <w:spacing w:line="240" w:lineRule="auto"/>
      </w:pPr>
    </w:p>
    <w:p w14:paraId="23834BF2" w14:textId="73721A97" w:rsidR="003D5DB4" w:rsidRPr="002E1B4B" w:rsidRDefault="003D5DB4" w:rsidP="000A5389">
      <w:pPr>
        <w:spacing w:line="240" w:lineRule="auto"/>
      </w:pPr>
      <w:r w:rsidRPr="002E1B4B">
        <w:t>Términos significativos del Acuerdo que puedan afectar su valor, el calendario y la certeza de los flujos de efectivo futuros</w:t>
      </w:r>
    </w:p>
    <w:p w14:paraId="1DF430C9" w14:textId="77777777" w:rsidR="00BB0A24" w:rsidRDefault="00BB0A24" w:rsidP="000A5389">
      <w:pPr>
        <w:spacing w:line="240" w:lineRule="auto"/>
      </w:pPr>
    </w:p>
    <w:p w14:paraId="7F054E83" w14:textId="08757AC9" w:rsidR="003D5DB4" w:rsidRDefault="003D5DB4" w:rsidP="000A5389">
      <w:pPr>
        <w:spacing w:line="240" w:lineRule="auto"/>
      </w:pPr>
      <w:r w:rsidRPr="002E1B4B">
        <w:t>Términos de valor: El valor del contrato se fijó, mediante la Cláusula Tercera del Otrosí 6 de 2019 en $1.147.653.421.799 pesos de dic-13. El valor del VPIP equivale a $648.991.699.537 pesos del mes de referencia, según la Cláusula Primera del Otrosí 6 de 2019. Mediante Decreto 050 de 2023 no se permitió el incremento de tarifas. Este riesgo se ha compensado mediante actas trimestrales. En 2024 se compensaron $5.823.858.200 que corresponde al periodo octubre de 2023 a septiembre de 2024. En 2025 se compensaron $814.023.900 del periodo octubre a diciembre de 2024. En 2025 se compensó igualmente el Componente B del Acuerdo COVID por un valor de $8.821.853.900.</w:t>
      </w:r>
    </w:p>
    <w:p w14:paraId="7453CDA8" w14:textId="77777777" w:rsidR="00BB0A24" w:rsidRPr="002E1B4B" w:rsidRDefault="00BB0A24" w:rsidP="000A5389">
      <w:pPr>
        <w:spacing w:line="240" w:lineRule="auto"/>
      </w:pPr>
    </w:p>
    <w:p w14:paraId="09A2025C" w14:textId="77777777" w:rsidR="003D5DB4" w:rsidRPr="002E1B4B" w:rsidRDefault="003D5DB4" w:rsidP="000A5389">
      <w:pPr>
        <w:spacing w:line="240" w:lineRule="auto"/>
      </w:pPr>
      <w:r w:rsidRPr="002E1B4B">
        <w:lastRenderedPageBreak/>
        <w:t>El riesgo tarifario por el Decreto 050 de 2023 cesó en 2024, puesto que a partir del 1 de enero de 2025 se realizaron los incrementos que se encontraban pendientes. Los valores de los saldos iniciales por gastos de Opex y Carga Financiera de la vigencia anterior se recalculan por la reprogramación de estos gastos de acuerdo con el avance ejecutado del cronograma de obras de la presente vigencia y por la actualización del IPC proyectado en estos gastos.</w:t>
      </w:r>
      <w:r w:rsidRPr="002E1B4B">
        <w:tab/>
      </w:r>
    </w:p>
    <w:p w14:paraId="2741462F" w14:textId="77777777" w:rsidR="003D5DB4" w:rsidRPr="002E1B4B" w:rsidRDefault="003D5DB4" w:rsidP="000A5389">
      <w:pPr>
        <w:spacing w:line="240" w:lineRule="auto"/>
      </w:pPr>
      <w:r w:rsidRPr="002E1B4B">
        <w:t xml:space="preserve">Términos de calendario: El plazo del contrato se determinó en 34 años. Se reporta construcción de las unidades funcionales con un avance del 100% del CAPEX en el año 2025 teniendo en cuenta la firma de las actas de terminación de construcción de cada UF. </w:t>
      </w:r>
    </w:p>
    <w:p w14:paraId="0E2E4CD9" w14:textId="77777777" w:rsidR="003D5DB4" w:rsidRPr="002E1B4B" w:rsidRDefault="003D5DB4" w:rsidP="000A5389">
      <w:pPr>
        <w:spacing w:line="240" w:lineRule="auto"/>
      </w:pPr>
      <w:r w:rsidRPr="002E1B4B">
        <w:t>Términos de certeza de flujos de efectivo futuros: La fecha de inicio de la etapa de operación y mantenimiento es el 1 de noviembre de 2024. La retribución acumulada de las UF4 y UF5 se pagó el 30 de septiembre de 2024 y de la UF3 el 26 de noviembre de 2024.</w:t>
      </w:r>
    </w:p>
    <w:p w14:paraId="2146D728" w14:textId="77777777" w:rsidR="003D5DB4" w:rsidRPr="002E1B4B" w:rsidRDefault="003D5DB4" w:rsidP="000A5389">
      <w:pPr>
        <w:spacing w:line="240" w:lineRule="auto"/>
      </w:pPr>
      <w:r w:rsidRPr="002E1B4B">
        <w:t>Naturaleza y alcance del derecho a utilizar Activos y los aspectos pactados en torno a lo que se espera que el concesionario proporcione en relación con el Acuerdo de concesión</w:t>
      </w:r>
    </w:p>
    <w:p w14:paraId="45BF2BE6" w14:textId="77777777" w:rsidR="00BB0A24" w:rsidRDefault="00BB0A24" w:rsidP="000A5389">
      <w:pPr>
        <w:spacing w:line="240" w:lineRule="auto"/>
      </w:pPr>
    </w:p>
    <w:p w14:paraId="35B8E775" w14:textId="4E058B55" w:rsidR="003D5DB4" w:rsidRPr="002E1B4B" w:rsidRDefault="003D5DB4" w:rsidP="000A5389">
      <w:pPr>
        <w:spacing w:line="240" w:lineRule="auto"/>
      </w:pPr>
      <w:r w:rsidRPr="002E1B4B">
        <w:t>Naturaleza y alcance del derecho de uso de los Activos</w:t>
      </w:r>
    </w:p>
    <w:p w14:paraId="7997E1FA" w14:textId="77777777" w:rsidR="00BB0A24" w:rsidRDefault="00BB0A24" w:rsidP="000A5389">
      <w:pPr>
        <w:spacing w:line="240" w:lineRule="auto"/>
      </w:pPr>
    </w:p>
    <w:p w14:paraId="119449C0" w14:textId="5203DF3C" w:rsidR="003D5DB4" w:rsidRPr="002E1B4B" w:rsidRDefault="003D5DB4" w:rsidP="000A5389">
      <w:pPr>
        <w:spacing w:line="240" w:lineRule="auto"/>
      </w:pPr>
      <w:r w:rsidRPr="002E1B4B">
        <w:t>Descripción: El Proyecto corresponde al corredor existente entre Ibagué – Armero – Mariquita – Honda en una longitud de 124.6 km (tramo longitudinal), y el mejoramiento y rehabilitación del corredor existente entre Cambao – Armero – Líbano – Murillo – La Esperanza con una longitud de 132 km (tramo longitudinal), el cual se divide en cinco (5) Unidades Funcionales</w:t>
      </w:r>
    </w:p>
    <w:p w14:paraId="00DE00DA" w14:textId="77777777" w:rsidR="003D5DB4" w:rsidRPr="002E1B4B" w:rsidRDefault="003D5DB4" w:rsidP="000A5389">
      <w:pPr>
        <w:spacing w:line="240" w:lineRule="auto"/>
      </w:pPr>
      <w:r w:rsidRPr="002E1B4B">
        <w:t>Observaciones:</w:t>
      </w:r>
      <w:r w:rsidRPr="002E1B4B">
        <w:tab/>
        <w:t xml:space="preserve">Ninguna </w:t>
      </w:r>
    </w:p>
    <w:p w14:paraId="700B1723" w14:textId="77777777" w:rsidR="00BB0A24" w:rsidRDefault="00BB0A24" w:rsidP="000A5389">
      <w:pPr>
        <w:spacing w:line="240" w:lineRule="auto"/>
      </w:pPr>
    </w:p>
    <w:p w14:paraId="5FD36437" w14:textId="52C52436" w:rsidR="003D5DB4" w:rsidRPr="002E1B4B" w:rsidRDefault="003D5DB4" w:rsidP="000A5389">
      <w:pPr>
        <w:spacing w:line="240" w:lineRule="auto"/>
      </w:pPr>
      <w:r w:rsidRPr="002E1B4B">
        <w:t>Retribución al concesionario</w:t>
      </w:r>
    </w:p>
    <w:p w14:paraId="75B7D515" w14:textId="77777777" w:rsidR="00BB0A24" w:rsidRDefault="00BB0A24" w:rsidP="000A5389">
      <w:pPr>
        <w:spacing w:line="240" w:lineRule="auto"/>
      </w:pPr>
    </w:p>
    <w:p w14:paraId="4BB87496" w14:textId="74838CA7" w:rsidR="003D5DB4" w:rsidRPr="002E1B4B" w:rsidRDefault="003D5DB4" w:rsidP="000A5389">
      <w:pPr>
        <w:spacing w:line="240" w:lineRule="auto"/>
      </w:pPr>
      <w:r w:rsidRPr="002E1B4B">
        <w:t xml:space="preserve">Descripción: Mensualmente se elabora el Acta de Cálculo de la Retribución dentro de los diez (10) primeros días siguientes del mes, entre el Concesionario y la Interventoría, conforme la definición del numeral 1.2 de la Parte General. El valor de la Retribución se encuentra descrito en el numeral 3.1 de la Parte General Las fuentes de retribución son el recaudo de peajes y la explotación comercial. </w:t>
      </w:r>
    </w:p>
    <w:p w14:paraId="627C1507" w14:textId="77777777" w:rsidR="00BB0A24" w:rsidRDefault="00BB0A24" w:rsidP="000A5389">
      <w:pPr>
        <w:spacing w:line="240" w:lineRule="auto"/>
      </w:pPr>
    </w:p>
    <w:p w14:paraId="7E5D854A" w14:textId="28766E8E" w:rsidR="003D5DB4" w:rsidRPr="002E1B4B" w:rsidRDefault="003D5DB4" w:rsidP="000A5389">
      <w:pPr>
        <w:spacing w:line="240" w:lineRule="auto"/>
      </w:pPr>
      <w:r w:rsidRPr="002E1B4B">
        <w:t>Tasa de retribución:</w:t>
      </w:r>
      <w:r w:rsidRPr="002E1B4B">
        <w:tab/>
        <w:t>TDI: 0,5742%</w:t>
      </w:r>
    </w:p>
    <w:p w14:paraId="19142DF5" w14:textId="77777777" w:rsidR="00BB0A24" w:rsidRDefault="00BB0A24" w:rsidP="000A5389">
      <w:pPr>
        <w:spacing w:line="240" w:lineRule="auto"/>
      </w:pPr>
    </w:p>
    <w:p w14:paraId="64CF702D" w14:textId="4D3F8668" w:rsidR="003D5DB4" w:rsidRPr="002E1B4B" w:rsidRDefault="003D5DB4" w:rsidP="000A5389">
      <w:pPr>
        <w:spacing w:line="240" w:lineRule="auto"/>
      </w:pPr>
      <w:r w:rsidRPr="002E1B4B">
        <w:t>Derechos a recibir Activos especificados al final del acuerdo de concesión</w:t>
      </w:r>
    </w:p>
    <w:p w14:paraId="7D155DE0" w14:textId="77777777" w:rsidR="00BB0A24" w:rsidRDefault="00BB0A24" w:rsidP="000A5389">
      <w:pPr>
        <w:spacing w:line="240" w:lineRule="auto"/>
      </w:pPr>
    </w:p>
    <w:p w14:paraId="050F57C7" w14:textId="3633D23E" w:rsidR="003D5DB4" w:rsidRPr="002E1B4B" w:rsidRDefault="003D5DB4" w:rsidP="000A5389">
      <w:pPr>
        <w:spacing w:line="240" w:lineRule="auto"/>
      </w:pPr>
      <w:r w:rsidRPr="002E1B4B">
        <w:t xml:space="preserve">Descripción: Se cederá al Concesionario el "Derecho de Recaudo" sobre la operación de las Estaciones de Peaje en la misma fecha de Entrega de la Infraestructura, salvo por las excepciones establecidas en la Parte Especial. La reversión de la infraestructura se realizará conforme a la Sección 9.7 de la Parte General en la cual se describe el procedimiento para la entrega del Concesionario a la ANI de los bienes asociados al Proyecto. </w:t>
      </w:r>
    </w:p>
    <w:p w14:paraId="38A71036" w14:textId="77777777" w:rsidR="003D5DB4" w:rsidRPr="002E1B4B" w:rsidRDefault="003D5DB4" w:rsidP="000A5389">
      <w:pPr>
        <w:spacing w:line="240" w:lineRule="auto"/>
      </w:pPr>
      <w:r w:rsidRPr="002E1B4B">
        <w:t>Observaciones: Sin observaciones</w:t>
      </w:r>
    </w:p>
    <w:p w14:paraId="4202DD19" w14:textId="77777777" w:rsidR="00BB0A24" w:rsidRDefault="00BB0A24" w:rsidP="000A5389">
      <w:pPr>
        <w:spacing w:line="240" w:lineRule="auto"/>
      </w:pPr>
    </w:p>
    <w:p w14:paraId="7C25B3D1" w14:textId="37BF53E9" w:rsidR="003D5DB4" w:rsidRPr="002E1B4B" w:rsidRDefault="003D5DB4" w:rsidP="000A5389">
      <w:pPr>
        <w:spacing w:line="240" w:lineRule="auto"/>
      </w:pPr>
      <w:r w:rsidRPr="002E1B4B">
        <w:t>Las alternativas de renovación y cese del acuerdo</w:t>
      </w:r>
    </w:p>
    <w:p w14:paraId="3AAE923A" w14:textId="77777777" w:rsidR="00BB0A24" w:rsidRDefault="00BB0A24" w:rsidP="000A5389">
      <w:pPr>
        <w:spacing w:line="240" w:lineRule="auto"/>
      </w:pPr>
    </w:p>
    <w:p w14:paraId="4D704EB6" w14:textId="02E8DE8E" w:rsidR="003D5DB4" w:rsidRPr="002E1B4B" w:rsidRDefault="003D5DB4" w:rsidP="000A5389">
      <w:pPr>
        <w:spacing w:line="240" w:lineRule="auto"/>
      </w:pPr>
      <w:r w:rsidRPr="002E1B4B">
        <w:lastRenderedPageBreak/>
        <w:t>Descripción: El plazo del contrato podrá extenderse si al año 25 no se ha alcanzado el VPIP, caso en el cual el plazo máximo es de 29 años. Lo anterior de acuerdo con la Sección 2.4 de la Parte General. La Terminación Anticipada es la consecuencia de la ocurrencia de cualquiera de las causales previstas en la Sección 17.2 de la Parte General, en cualquiera de las Etapas del Contrato. En todo caso, la causal respectiva sólo se entenderá configurada cuando: i) las Partes acepten la ocurrencia de la misma, o -de no estar de acuerdo sobre este punto- cuando así lo declare, en pronunciamiento en firme, el Tribunal de arbitramento, ii) de ser necesaria la expedición de un acto administrativo para la configuración de la causal, cuando éste se encuentre en firme de acuerdo con lo dispuesto por la Ley Aplicable, o iii) cuando la ANI notifique al Concesionario la decisión de la que trata la Sección 17.2(c) de la Parte General.</w:t>
      </w:r>
    </w:p>
    <w:p w14:paraId="06540318" w14:textId="77777777" w:rsidR="00BB0A24" w:rsidRDefault="00BB0A24" w:rsidP="000A5389">
      <w:pPr>
        <w:spacing w:line="240" w:lineRule="auto"/>
      </w:pPr>
    </w:p>
    <w:p w14:paraId="68888AA2" w14:textId="562C8E18" w:rsidR="003D5DB4" w:rsidRPr="002E1B4B" w:rsidRDefault="003D5DB4" w:rsidP="000A5389">
      <w:pPr>
        <w:spacing w:line="240" w:lineRule="auto"/>
      </w:pPr>
      <w:r w:rsidRPr="002E1B4B">
        <w:t>Observaciones: Ninguna</w:t>
      </w:r>
    </w:p>
    <w:p w14:paraId="13BDA623" w14:textId="77777777" w:rsidR="00BB0A24" w:rsidRDefault="00BB0A24" w:rsidP="000A5389">
      <w:pPr>
        <w:spacing w:line="240" w:lineRule="auto"/>
      </w:pPr>
    </w:p>
    <w:p w14:paraId="593B65FB" w14:textId="6007510F" w:rsidR="003D5DB4" w:rsidRPr="002E1B4B" w:rsidRDefault="003D5DB4" w:rsidP="000A5389">
      <w:pPr>
        <w:spacing w:line="240" w:lineRule="auto"/>
      </w:pPr>
      <w:r w:rsidRPr="002E1B4B">
        <w:t>Cambios en el acuerdo de concesión que se realicen durante el periodo fiscal</w:t>
      </w:r>
    </w:p>
    <w:p w14:paraId="77E36A81" w14:textId="77777777" w:rsidR="00BB0A24" w:rsidRDefault="00BB0A24" w:rsidP="000A5389">
      <w:pPr>
        <w:spacing w:line="240" w:lineRule="auto"/>
      </w:pPr>
    </w:p>
    <w:p w14:paraId="56C4350F" w14:textId="6D9B3F97" w:rsidR="003D5DB4" w:rsidRPr="002E1B4B" w:rsidRDefault="003D5DB4" w:rsidP="000A5389">
      <w:pPr>
        <w:spacing w:line="240" w:lineRule="auto"/>
      </w:pPr>
      <w:r w:rsidRPr="002E1B4B">
        <w:t>Adiciones o modificaciones en tiempo</w:t>
      </w:r>
    </w:p>
    <w:p w14:paraId="40346959" w14:textId="77777777" w:rsidR="003D5DB4" w:rsidRPr="002E1B4B" w:rsidRDefault="003D5DB4" w:rsidP="000A5389">
      <w:pPr>
        <w:spacing w:line="240" w:lineRule="auto"/>
      </w:pPr>
      <w:r w:rsidRPr="002E1B4B">
        <w:t>Fechas de las adiciones o modificaciones:</w:t>
      </w:r>
      <w:r w:rsidRPr="002E1B4B">
        <w:tab/>
        <w:t>No Aplica</w:t>
      </w:r>
    </w:p>
    <w:p w14:paraId="35BA6090" w14:textId="77777777" w:rsidR="003D5DB4" w:rsidRPr="002E1B4B" w:rsidRDefault="003D5DB4" w:rsidP="000A5389">
      <w:pPr>
        <w:spacing w:line="240" w:lineRule="auto"/>
      </w:pPr>
      <w:r w:rsidRPr="002E1B4B">
        <w:t>Nueva Fecha de finalización estimada: No Aplica</w:t>
      </w:r>
    </w:p>
    <w:p w14:paraId="4A173700" w14:textId="6A79D15E" w:rsidR="003D5DB4" w:rsidRPr="002E1B4B" w:rsidRDefault="003D5DB4" w:rsidP="000A5389">
      <w:pPr>
        <w:spacing w:line="240" w:lineRule="auto"/>
      </w:pPr>
      <w:r w:rsidRPr="002E1B4B">
        <w:t>Observaciones: Ninguna</w:t>
      </w:r>
    </w:p>
    <w:p w14:paraId="70EE6617" w14:textId="77777777" w:rsidR="00BB0A24" w:rsidRDefault="00BB0A24" w:rsidP="000A5389">
      <w:pPr>
        <w:spacing w:line="240" w:lineRule="auto"/>
      </w:pPr>
    </w:p>
    <w:p w14:paraId="77A5C7CC" w14:textId="21811AD0" w:rsidR="003D5DB4" w:rsidRPr="002E1B4B" w:rsidRDefault="003D5DB4" w:rsidP="000A5389">
      <w:pPr>
        <w:spacing w:line="240" w:lineRule="auto"/>
      </w:pPr>
      <w:r w:rsidRPr="002E1B4B">
        <w:t>Adiciones o modificaciones en valor</w:t>
      </w:r>
    </w:p>
    <w:p w14:paraId="2686CB14" w14:textId="77777777" w:rsidR="00BB0A24" w:rsidRDefault="00BB0A24" w:rsidP="000A5389">
      <w:pPr>
        <w:spacing w:line="240" w:lineRule="auto"/>
      </w:pPr>
    </w:p>
    <w:p w14:paraId="2DEEE448" w14:textId="04CF79F8" w:rsidR="003D5DB4" w:rsidRPr="002E1B4B" w:rsidRDefault="003D5DB4" w:rsidP="000A5389">
      <w:pPr>
        <w:spacing w:line="240" w:lineRule="auto"/>
      </w:pPr>
      <w:r w:rsidRPr="002E1B4B">
        <w:t>Valor de la adición o modificación: -$186.730.168.705 pesos dic-13</w:t>
      </w:r>
    </w:p>
    <w:p w14:paraId="40B86BB5" w14:textId="77777777" w:rsidR="003D5DB4" w:rsidRPr="002E1B4B" w:rsidRDefault="003D5DB4" w:rsidP="000A5389">
      <w:pPr>
        <w:spacing w:line="240" w:lineRule="auto"/>
      </w:pPr>
      <w:r w:rsidRPr="002E1B4B">
        <w:t>Nuevo valor del acuerdo: $1.147.653.421.799 pesos dic-13</w:t>
      </w:r>
    </w:p>
    <w:p w14:paraId="7E08D884" w14:textId="77777777" w:rsidR="003D5DB4" w:rsidRPr="002E1B4B" w:rsidRDefault="003D5DB4" w:rsidP="000A5389">
      <w:pPr>
        <w:spacing w:line="240" w:lineRule="auto"/>
      </w:pPr>
      <w:r w:rsidRPr="002E1B4B">
        <w:t>Observaciones:</w:t>
      </w:r>
      <w:r w:rsidRPr="002E1B4B">
        <w:tab/>
        <w:t>La modificación en valor se realizó con el Otrosí 6 de 2019</w:t>
      </w:r>
    </w:p>
    <w:p w14:paraId="34673105" w14:textId="77777777" w:rsidR="003D5DB4" w:rsidRDefault="003D5DB4" w:rsidP="000A5389">
      <w:pPr>
        <w:spacing w:line="240" w:lineRule="auto"/>
      </w:pPr>
    </w:p>
    <w:p w14:paraId="00924E72" w14:textId="77777777" w:rsidR="00BB0A24" w:rsidRPr="002E1B4B" w:rsidRDefault="00BB0A24" w:rsidP="000A5389">
      <w:pPr>
        <w:spacing w:line="240" w:lineRule="auto"/>
      </w:pPr>
    </w:p>
    <w:p w14:paraId="75D06A66" w14:textId="77777777" w:rsidR="003D5DB4" w:rsidRPr="00BB0A24" w:rsidRDefault="003D5DB4" w:rsidP="000A5389">
      <w:pPr>
        <w:spacing w:line="240" w:lineRule="auto"/>
        <w:rPr>
          <w:i/>
          <w:iCs/>
        </w:rPr>
      </w:pPr>
      <w:r w:rsidRPr="00BB0A24">
        <w:rPr>
          <w:i/>
          <w:iCs/>
        </w:rPr>
        <w:t>POPAYÁN – SANTANDER DE QUILICHAO</w:t>
      </w:r>
    </w:p>
    <w:p w14:paraId="078AD500" w14:textId="77777777" w:rsidR="00BB0A24" w:rsidRDefault="00BB0A24" w:rsidP="000A5389">
      <w:pPr>
        <w:spacing w:line="240" w:lineRule="auto"/>
      </w:pPr>
    </w:p>
    <w:p w14:paraId="578EC63C" w14:textId="07D8142E" w:rsidR="003D5DB4" w:rsidRPr="002E1B4B" w:rsidRDefault="003D5DB4" w:rsidP="000A5389">
      <w:pPr>
        <w:spacing w:line="240" w:lineRule="auto"/>
      </w:pPr>
      <w:r w:rsidRPr="002E1B4B">
        <w:t>Descripción del Acuerdo</w:t>
      </w:r>
    </w:p>
    <w:p w14:paraId="258C6535" w14:textId="77777777" w:rsidR="00BB0A24" w:rsidRDefault="00BB0A24" w:rsidP="000A5389">
      <w:pPr>
        <w:spacing w:line="240" w:lineRule="auto"/>
      </w:pPr>
    </w:p>
    <w:p w14:paraId="1B57DD51" w14:textId="741A0706" w:rsidR="003D5DB4" w:rsidRPr="002E1B4B" w:rsidRDefault="003D5DB4" w:rsidP="000A5389">
      <w:pPr>
        <w:spacing w:line="240" w:lineRule="auto"/>
      </w:pPr>
      <w:r w:rsidRPr="002E1B4B">
        <w:t>Número del Acuerdo de concesión:  11 del 11 agosto 2015</w:t>
      </w:r>
    </w:p>
    <w:p w14:paraId="14D22706" w14:textId="77777777" w:rsidR="003D5DB4" w:rsidRPr="002E1B4B" w:rsidRDefault="003D5DB4" w:rsidP="000A5389">
      <w:pPr>
        <w:spacing w:line="240" w:lineRule="auto"/>
      </w:pPr>
      <w:r w:rsidRPr="002E1B4B">
        <w:t>Objeto / Descripción:  “(..) financiación, construcción, rehabilitación, operación, mantenimiento y reversión de la Concesión vial “Popayán – Santander de Quilichao " de acuerdo con el Apéndice Técnico 1 y demás Apéndices del Contrato.”</w:t>
      </w:r>
    </w:p>
    <w:p w14:paraId="5D2FC64D" w14:textId="77777777" w:rsidR="003D5DB4" w:rsidRPr="002E1B4B" w:rsidRDefault="003D5DB4" w:rsidP="000A5389">
      <w:pPr>
        <w:spacing w:line="240" w:lineRule="auto"/>
      </w:pPr>
      <w:r w:rsidRPr="002E1B4B">
        <w:t>Valor inicial:</w:t>
      </w:r>
      <w:r w:rsidRPr="002E1B4B">
        <w:tab/>
        <w:t>Un billón setecientos dos mil setecientos ochenta y seis millones setecientos diez y seis mil ciento sesenta y siete ($1.702.786.716.167) Pesos del Mes de Referencia</w:t>
      </w:r>
    </w:p>
    <w:p w14:paraId="0CD76FDD" w14:textId="77777777" w:rsidR="003D5DB4" w:rsidRPr="002E1B4B" w:rsidRDefault="003D5DB4" w:rsidP="000A5389">
      <w:pPr>
        <w:spacing w:line="240" w:lineRule="auto"/>
      </w:pPr>
      <w:r w:rsidRPr="002E1B4B">
        <w:t>Fecha de inicio: 23/09/2015</w:t>
      </w:r>
    </w:p>
    <w:p w14:paraId="3FEB1660" w14:textId="77777777" w:rsidR="003D5DB4" w:rsidRPr="002E1B4B" w:rsidRDefault="003D5DB4" w:rsidP="000A5389">
      <w:pPr>
        <w:spacing w:line="240" w:lineRule="auto"/>
      </w:pPr>
      <w:r w:rsidRPr="002E1B4B">
        <w:t>Fecha de finalización estimada:</w:t>
      </w:r>
      <w:r w:rsidRPr="002E1B4B">
        <w:tab/>
        <w:t>22/09/2040</w:t>
      </w:r>
    </w:p>
    <w:p w14:paraId="38C63758" w14:textId="77777777" w:rsidR="003D5DB4" w:rsidRPr="002E1B4B" w:rsidRDefault="003D5DB4" w:rsidP="000A5389">
      <w:pPr>
        <w:spacing w:line="240" w:lineRule="auto"/>
      </w:pPr>
      <w:r w:rsidRPr="002E1B4B">
        <w:t>Tipo ID:</w:t>
      </w:r>
      <w:r w:rsidRPr="002E1B4B">
        <w:tab/>
        <w:t>NIT</w:t>
      </w:r>
    </w:p>
    <w:p w14:paraId="2745F5F9" w14:textId="77777777" w:rsidR="003D5DB4" w:rsidRPr="002E1B4B" w:rsidRDefault="003D5DB4" w:rsidP="000A5389">
      <w:pPr>
        <w:spacing w:line="240" w:lineRule="auto"/>
      </w:pPr>
      <w:r w:rsidRPr="002E1B4B">
        <w:t>Número ID:</w:t>
      </w:r>
      <w:r w:rsidRPr="002E1B4B">
        <w:tab/>
        <w:t>900.866.440-9</w:t>
      </w:r>
    </w:p>
    <w:p w14:paraId="41FA247A" w14:textId="77777777" w:rsidR="003D5DB4" w:rsidRPr="002E1B4B" w:rsidRDefault="003D5DB4" w:rsidP="000A5389">
      <w:pPr>
        <w:spacing w:line="240" w:lineRule="auto"/>
      </w:pPr>
      <w:r w:rsidRPr="002E1B4B">
        <w:t>Razón social del concesionario: NUEVO CAUCA S.A.S.</w:t>
      </w:r>
    </w:p>
    <w:p w14:paraId="3456400D" w14:textId="77777777" w:rsidR="003D5DB4" w:rsidRPr="002E1B4B" w:rsidRDefault="003D5DB4" w:rsidP="000A5389">
      <w:pPr>
        <w:spacing w:line="240" w:lineRule="auto"/>
      </w:pPr>
      <w:r w:rsidRPr="002E1B4B">
        <w:t>Nombre del proyecto: POPAYÁN – SANTANDER DE QUILICHAO</w:t>
      </w:r>
    </w:p>
    <w:p w14:paraId="6BE4037E" w14:textId="77777777" w:rsidR="003D5DB4" w:rsidRPr="002E1B4B" w:rsidRDefault="003D5DB4" w:rsidP="000A5389">
      <w:pPr>
        <w:spacing w:line="240" w:lineRule="auto"/>
      </w:pPr>
    </w:p>
    <w:p w14:paraId="2566F1A2" w14:textId="77777777" w:rsidR="003D5DB4" w:rsidRPr="002E1B4B" w:rsidRDefault="003D5DB4" w:rsidP="000A5389">
      <w:pPr>
        <w:spacing w:line="240" w:lineRule="auto"/>
      </w:pPr>
      <w:r w:rsidRPr="002E1B4B">
        <w:t>Términos significativos del Acuerdo que puedan afectar su valor, el calendario y la certeza de los flujos de efectivo futuros</w:t>
      </w:r>
    </w:p>
    <w:p w14:paraId="033F0565" w14:textId="77777777" w:rsidR="00BB0A24" w:rsidRDefault="00BB0A24" w:rsidP="000A5389">
      <w:pPr>
        <w:spacing w:line="240" w:lineRule="auto"/>
      </w:pPr>
    </w:p>
    <w:p w14:paraId="7950AD3D" w14:textId="16137367" w:rsidR="003D5DB4" w:rsidRDefault="003D5DB4" w:rsidP="000A5389">
      <w:pPr>
        <w:spacing w:line="240" w:lineRule="auto"/>
      </w:pPr>
      <w:r w:rsidRPr="002E1B4B">
        <w:t>Términos de valor: Recaudo de Peaje: las tarifas aplicadas en cada peaje son las definidas específicamente mediante resolución de la autoridad competente para el proyecto, las que se aplicarán a los todos los vehículos según su categoría, anualmente se actualizan esas tarifas utilizando el IPC. Aportes de la Nación: los aportes de la nación a lo largo del proyecto se aseguran mediante la modalidad de vigencias futuras aportadas de manera anual, cuyos montos comprometidos están expresados en pesos del mes de referencia del proyecto y se actualiza cada año de acuerdo con la fórmula contractual que involucra, además del IPC, la TRM en los casos que aplique. Plan de Inversión: luego de la estructuración del proyecto, como parte de los soportes para la contratación, el concesionario se compromete con un plan financiero que se convierte en el punto de referencia para el control y seguimiento, el flujo está expresado en pesos del mes de referencia para el proyecto. Régimen de sanciones (capítulo VI de la Parte Especial): el contrato de concesión incluye las cláusulas que detallan las sanciones aplicables al concesionario por incumplimientos contractuales, como multas por cobro excesivo de peajes y por no cumplir con las especificaciones técnicas, por demoras en los aportes de equity y otros aportes convenidos, etc.</w:t>
      </w:r>
    </w:p>
    <w:p w14:paraId="66B5108C" w14:textId="77777777" w:rsidR="00BB0A24" w:rsidRPr="002E1B4B" w:rsidRDefault="00BB0A24" w:rsidP="000A5389">
      <w:pPr>
        <w:spacing w:line="240" w:lineRule="auto"/>
      </w:pPr>
    </w:p>
    <w:p w14:paraId="2712F1C0" w14:textId="77777777" w:rsidR="003D5DB4" w:rsidRPr="002E1B4B" w:rsidRDefault="003D5DB4" w:rsidP="000A5389">
      <w:pPr>
        <w:spacing w:line="240" w:lineRule="auto"/>
      </w:pPr>
      <w:r w:rsidRPr="002E1B4B">
        <w:t>Términos de calendario: Está definida por el recaudo de las estaciones de Peaje y este flujo está compuesto por dos factores: a) por el valor de las tarifas; y b) por el tráfico de vehículos. La Concesión vial Popayán – Santander de Quilichao contempla dos (2) estaciones de Peaje, a saber: Peaje Piendamó en la Unidad Funcional 1, Peaje Mondomo en la Unidad Funcional 4. De acuerdo con el Contrato de Concesión las tarifas serán actualizadas el dieciséis (16) de enero de cada año con la fórmula allí establecida que gravita alrededor del IPC de referencia vs el mes anterior al mes de la actualización. A diciembre de 2025 las dos casetas de peaje no han sido instaladas. Las tarifas de peaje las regula la Resolución No. 0001347 de 2015.</w:t>
      </w:r>
    </w:p>
    <w:p w14:paraId="1CD11E81" w14:textId="77777777" w:rsidR="003D5DB4" w:rsidRPr="002E1B4B" w:rsidRDefault="003D5DB4" w:rsidP="000A5389">
      <w:pPr>
        <w:spacing w:line="240" w:lineRule="auto"/>
      </w:pPr>
      <w:r w:rsidRPr="002E1B4B">
        <w:t>Términos de certeza de flujos de efectivo futuros: Las Vigencias Futuras del proyecto se han aportado completas hasta la vigencia 2023 y a diciembre de 2025 están pendientes, un saldo de la VF de 2024 y la correspondiente a 2025.</w:t>
      </w:r>
    </w:p>
    <w:p w14:paraId="1D8C06D8" w14:textId="77777777" w:rsidR="003D5DB4" w:rsidRPr="002E1B4B" w:rsidRDefault="003D5DB4" w:rsidP="000A5389">
      <w:pPr>
        <w:spacing w:line="240" w:lineRule="auto"/>
      </w:pPr>
    </w:p>
    <w:p w14:paraId="1FEF46FD" w14:textId="77777777" w:rsidR="003D5DB4" w:rsidRDefault="003D5DB4" w:rsidP="000A5389">
      <w:pPr>
        <w:spacing w:line="240" w:lineRule="auto"/>
      </w:pPr>
      <w:r w:rsidRPr="002E1B4B">
        <w:t>Naturaleza y alcance del derecho a utilizar Activos y los aspectos pactados en torno a lo que se espera que el concesionario proporcione en relación con el Acuerdo de concesión</w:t>
      </w:r>
    </w:p>
    <w:p w14:paraId="41F39E60" w14:textId="77777777" w:rsidR="00BB0A24" w:rsidRPr="002E1B4B" w:rsidRDefault="00BB0A24" w:rsidP="000A5389">
      <w:pPr>
        <w:spacing w:line="240" w:lineRule="auto"/>
      </w:pPr>
    </w:p>
    <w:p w14:paraId="39832C6E" w14:textId="77777777" w:rsidR="003D5DB4" w:rsidRPr="002E1B4B" w:rsidRDefault="003D5DB4" w:rsidP="000A5389">
      <w:pPr>
        <w:spacing w:line="240" w:lineRule="auto"/>
      </w:pPr>
      <w:r w:rsidRPr="002E1B4B">
        <w:t>Naturaleza y alcance del derecho de uso de los Activos</w:t>
      </w:r>
    </w:p>
    <w:p w14:paraId="023E968C" w14:textId="77777777" w:rsidR="00BB0A24" w:rsidRDefault="00BB0A24" w:rsidP="000A5389">
      <w:pPr>
        <w:spacing w:line="240" w:lineRule="auto"/>
      </w:pPr>
    </w:p>
    <w:p w14:paraId="784C4D9A" w14:textId="3A0F911B" w:rsidR="003D5DB4" w:rsidRDefault="003D5DB4" w:rsidP="000A5389">
      <w:pPr>
        <w:spacing w:line="240" w:lineRule="auto"/>
      </w:pPr>
      <w:r w:rsidRPr="002E1B4B">
        <w:t xml:space="preserve">Descripción: Los derechos cedidos al concesionario incluyen el uso, operación, y mantenimiento de los activos de la concesión, esto abarca la gestión de la infraestructura, la recaudación de tarifas y la realización de las mejoras necesarias. Estos derechos están condicionados al cumplimiento de las normativas y estándares establecidos en el contrato. La concesión otorga al concesionario la autorización para llevar a cabo estas actividades durante un periodo definido, con el objetivo de recuperar la inversión realizada y obtener una rentabilidad adecuada. Es fundamental que el concesionario adhiera a los términos </w:t>
      </w:r>
      <w:r w:rsidRPr="002E1B4B">
        <w:lastRenderedPageBreak/>
        <w:t>contractuales, incluyendo las obligaciones de servicio y calidad, para mantener la validez de estos derechos</w:t>
      </w:r>
    </w:p>
    <w:p w14:paraId="5961C186" w14:textId="77777777" w:rsidR="00BB0A24" w:rsidRPr="002E1B4B" w:rsidRDefault="00BB0A24" w:rsidP="000A5389">
      <w:pPr>
        <w:spacing w:line="240" w:lineRule="auto"/>
      </w:pPr>
    </w:p>
    <w:p w14:paraId="2249FE64" w14:textId="77777777" w:rsidR="003D5DB4" w:rsidRDefault="003D5DB4" w:rsidP="000A5389">
      <w:pPr>
        <w:spacing w:line="240" w:lineRule="auto"/>
      </w:pPr>
      <w:r w:rsidRPr="002E1B4B">
        <w:t>Observaciones:</w:t>
      </w:r>
      <w:r w:rsidRPr="002E1B4B">
        <w:tab/>
        <w:t>El estado de avance determina la evolución del proceso constructivo. En términos generales a la entrega de la infraestructura y el cumplimiento de los correspondientes niveles de servicio se genera el derecho por parte del concesionario a recibir la retribución. El proyecto se encuentra en un avance estimado de las obras de 45,56%, con corte al 31 de diciembre de 2025.</w:t>
      </w:r>
    </w:p>
    <w:p w14:paraId="364909B5" w14:textId="77777777" w:rsidR="00BB0A24" w:rsidRPr="002E1B4B" w:rsidRDefault="00BB0A24" w:rsidP="000A5389">
      <w:pPr>
        <w:spacing w:line="240" w:lineRule="auto"/>
      </w:pPr>
    </w:p>
    <w:p w14:paraId="0BB0F61B" w14:textId="77777777" w:rsidR="003D5DB4" w:rsidRDefault="003D5DB4" w:rsidP="000A5389">
      <w:pPr>
        <w:spacing w:line="240" w:lineRule="auto"/>
      </w:pPr>
      <w:r w:rsidRPr="002E1B4B">
        <w:t>Retribución al concesionario</w:t>
      </w:r>
    </w:p>
    <w:p w14:paraId="280F70BD" w14:textId="77777777" w:rsidR="00BB0A24" w:rsidRPr="002E1B4B" w:rsidRDefault="00BB0A24" w:rsidP="000A5389">
      <w:pPr>
        <w:spacing w:line="240" w:lineRule="auto"/>
      </w:pPr>
    </w:p>
    <w:p w14:paraId="1EDE30FE" w14:textId="77777777" w:rsidR="003D5DB4" w:rsidRDefault="003D5DB4" w:rsidP="000A5389">
      <w:pPr>
        <w:spacing w:line="240" w:lineRule="auto"/>
      </w:pPr>
      <w:r w:rsidRPr="002E1B4B">
        <w:t>Descripción:</w:t>
      </w:r>
      <w:r w:rsidRPr="002E1B4B">
        <w:tab/>
        <w:t>Numeral 3.1 del capítulo III "Aspectos Económicos del Contrato" de la Parte General del Contrato de Concesión</w:t>
      </w:r>
    </w:p>
    <w:p w14:paraId="7E57F895" w14:textId="77777777" w:rsidR="00BB0A24" w:rsidRPr="002E1B4B" w:rsidRDefault="00BB0A24" w:rsidP="000A5389">
      <w:pPr>
        <w:spacing w:line="240" w:lineRule="auto"/>
      </w:pPr>
    </w:p>
    <w:p w14:paraId="4D0A492E" w14:textId="77777777" w:rsidR="003D5DB4" w:rsidRDefault="003D5DB4" w:rsidP="000A5389">
      <w:pPr>
        <w:spacing w:line="240" w:lineRule="auto"/>
      </w:pPr>
      <w:r w:rsidRPr="002E1B4B">
        <w:t>Tasa de retribución:</w:t>
      </w:r>
      <w:r w:rsidRPr="002E1B4B">
        <w:tab/>
        <w:t>La metodología utilizada se basa en la aplicación del costo promedio ponderado de capital, que incorpora, de manera ponderada, tanto el costo del capital propio, determinado a través del modelo de valoración de activos financieros, que contempla variables como el rendimiento del mercado y la tasa libre de riesgo, como el costo del capital ajeno, reflejado en la tasa de interés de los préstamos contratados, ajustada por el efecto fiscal del endeudamiento. Ese costo promedio ponderado de capital, en su función de tasa de descuento, es utilizado para actualizar los flujos de caja futuros del proyecto a su valor presente, permitiendo una valoración acorde con el nivel de riesgo y la estructura financiera de la concesión, en línea con los principios de eficiencia y sostenibilidad financiera que rigen los proyectos de infraestructura vial bajo el esquema de concesión APP. La Tasa de Descuento Real del Contrato de Concesión es de 0,5571% Nominal Mensual</w:t>
      </w:r>
    </w:p>
    <w:p w14:paraId="64513673" w14:textId="77777777" w:rsidR="00BB0A24" w:rsidRPr="002E1B4B" w:rsidRDefault="00BB0A24" w:rsidP="000A5389">
      <w:pPr>
        <w:spacing w:line="240" w:lineRule="auto"/>
      </w:pPr>
    </w:p>
    <w:p w14:paraId="1EA63970" w14:textId="77777777" w:rsidR="003D5DB4" w:rsidRDefault="003D5DB4" w:rsidP="000A5389">
      <w:pPr>
        <w:spacing w:line="240" w:lineRule="auto"/>
      </w:pPr>
      <w:r w:rsidRPr="002E1B4B">
        <w:t>Derechos a recibir Activos especificados al final del acuerdo de concesión</w:t>
      </w:r>
    </w:p>
    <w:p w14:paraId="71300AC8" w14:textId="77777777" w:rsidR="00BB0A24" w:rsidRPr="002E1B4B" w:rsidRDefault="00BB0A24" w:rsidP="000A5389">
      <w:pPr>
        <w:spacing w:line="240" w:lineRule="auto"/>
      </w:pPr>
    </w:p>
    <w:p w14:paraId="69F63B5A" w14:textId="77777777" w:rsidR="003D5DB4" w:rsidRPr="002E1B4B" w:rsidRDefault="003D5DB4" w:rsidP="000A5389">
      <w:pPr>
        <w:spacing w:line="240" w:lineRule="auto"/>
      </w:pPr>
      <w:r w:rsidRPr="002E1B4B">
        <w:t>Descripción: En el Capítulo IX de la Parte General del contrato de concesión se detalla la obligación del concesionario de revertir los activos en concesión a la entidad concedente una vez finalice el plazo del acuerdo. Allí se establece que, al término del contrato, todos los activos e infraestructuras desarrollados o mejorados durante la concesión deben ser transferidos a la entidad concedente en condiciones óptimas para su funcionamiento y uso continuo. Esta disposición garantiza que la entidad concedente recupere la posesión de los activos, asegurando su adecuada manutención y operatividad a lo largo del periodo de concesión y facilitando una transición eficiente al finalizar el acuerdo.</w:t>
      </w:r>
    </w:p>
    <w:p w14:paraId="264FD858" w14:textId="77777777" w:rsidR="003D5DB4" w:rsidRPr="002E1B4B" w:rsidRDefault="003D5DB4" w:rsidP="000A5389">
      <w:pPr>
        <w:spacing w:line="240" w:lineRule="auto"/>
      </w:pPr>
    </w:p>
    <w:p w14:paraId="602B69FB" w14:textId="77777777" w:rsidR="003D5DB4" w:rsidRPr="002E1B4B" w:rsidRDefault="003D5DB4" w:rsidP="000A5389">
      <w:pPr>
        <w:spacing w:line="240" w:lineRule="auto"/>
      </w:pPr>
      <w:r w:rsidRPr="002E1B4B">
        <w:t>Observaciones: Ninguna</w:t>
      </w:r>
    </w:p>
    <w:p w14:paraId="22CE4879" w14:textId="77777777" w:rsidR="00BB0A24" w:rsidRDefault="00BB0A24" w:rsidP="000A5389">
      <w:pPr>
        <w:spacing w:line="240" w:lineRule="auto"/>
      </w:pPr>
    </w:p>
    <w:p w14:paraId="7C8D9CFE" w14:textId="5B1A80DB" w:rsidR="003D5DB4" w:rsidRPr="002E1B4B" w:rsidRDefault="003D5DB4" w:rsidP="000A5389">
      <w:pPr>
        <w:spacing w:line="240" w:lineRule="auto"/>
      </w:pPr>
      <w:r w:rsidRPr="002E1B4B">
        <w:t>Las alternativas de renovación y cese del acuerdo</w:t>
      </w:r>
    </w:p>
    <w:p w14:paraId="5FCCC22B" w14:textId="77777777" w:rsidR="003D5DB4" w:rsidRPr="002E1B4B" w:rsidRDefault="003D5DB4" w:rsidP="000A5389">
      <w:pPr>
        <w:spacing w:line="240" w:lineRule="auto"/>
      </w:pPr>
      <w:r w:rsidRPr="002E1B4B">
        <w:t>Descripción: No Aplica</w:t>
      </w:r>
    </w:p>
    <w:p w14:paraId="4D41DC3D" w14:textId="77777777" w:rsidR="003D5DB4" w:rsidRPr="002E1B4B" w:rsidRDefault="003D5DB4" w:rsidP="000A5389">
      <w:pPr>
        <w:spacing w:line="240" w:lineRule="auto"/>
      </w:pPr>
      <w:r w:rsidRPr="002E1B4B">
        <w:t>Observaciones: Ninguna</w:t>
      </w:r>
    </w:p>
    <w:p w14:paraId="61916B89" w14:textId="77777777" w:rsidR="00BB0A24" w:rsidRDefault="00BB0A24" w:rsidP="000A5389">
      <w:pPr>
        <w:spacing w:line="240" w:lineRule="auto"/>
      </w:pPr>
    </w:p>
    <w:p w14:paraId="72AAEA39" w14:textId="5EBF078C" w:rsidR="003D5DB4" w:rsidRPr="002E1B4B" w:rsidRDefault="003D5DB4" w:rsidP="000A5389">
      <w:pPr>
        <w:spacing w:line="240" w:lineRule="auto"/>
      </w:pPr>
      <w:r w:rsidRPr="002E1B4B">
        <w:t>Cambios en el acuerdo de concesión que se realicen durante el periodo fiscal</w:t>
      </w:r>
    </w:p>
    <w:p w14:paraId="39A23224" w14:textId="77777777" w:rsidR="00BB0A24" w:rsidRDefault="00BB0A24" w:rsidP="000A5389">
      <w:pPr>
        <w:spacing w:line="240" w:lineRule="auto"/>
      </w:pPr>
    </w:p>
    <w:p w14:paraId="21E87349" w14:textId="22D75345" w:rsidR="003D5DB4" w:rsidRPr="002E1B4B" w:rsidRDefault="003D5DB4" w:rsidP="000A5389">
      <w:pPr>
        <w:spacing w:line="240" w:lineRule="auto"/>
      </w:pPr>
      <w:r w:rsidRPr="002E1B4B">
        <w:t>Adiciones o modificaciones en tiempo</w:t>
      </w:r>
    </w:p>
    <w:p w14:paraId="6D9B849E" w14:textId="77777777" w:rsidR="003D5DB4" w:rsidRPr="002E1B4B" w:rsidRDefault="003D5DB4" w:rsidP="000A5389">
      <w:pPr>
        <w:spacing w:line="240" w:lineRule="auto"/>
      </w:pPr>
      <w:r w:rsidRPr="002E1B4B">
        <w:t>Fechas de las adiciones o modificaciones: No Aplica</w:t>
      </w:r>
    </w:p>
    <w:p w14:paraId="023B9E15" w14:textId="77777777" w:rsidR="003D5DB4" w:rsidRPr="002E1B4B" w:rsidRDefault="003D5DB4" w:rsidP="000A5389">
      <w:pPr>
        <w:spacing w:line="240" w:lineRule="auto"/>
      </w:pPr>
      <w:r w:rsidRPr="002E1B4B">
        <w:t>Nueva Fecha de finalización estimada: No Aplica</w:t>
      </w:r>
    </w:p>
    <w:p w14:paraId="442C48B2" w14:textId="1E6A7223" w:rsidR="003D5DB4" w:rsidRPr="002E1B4B" w:rsidRDefault="003D5DB4" w:rsidP="000A5389">
      <w:pPr>
        <w:spacing w:line="240" w:lineRule="auto"/>
      </w:pPr>
      <w:r w:rsidRPr="002E1B4B">
        <w:t>Observaciones: Ninguna</w:t>
      </w:r>
    </w:p>
    <w:p w14:paraId="6EC7D00E" w14:textId="77777777" w:rsidR="00BB0A24" w:rsidRDefault="00BB0A24" w:rsidP="000A5389">
      <w:pPr>
        <w:spacing w:line="240" w:lineRule="auto"/>
      </w:pPr>
    </w:p>
    <w:p w14:paraId="71EDAFED" w14:textId="0F91FDF1" w:rsidR="003D5DB4" w:rsidRPr="002E1B4B" w:rsidRDefault="003D5DB4" w:rsidP="000A5389">
      <w:pPr>
        <w:spacing w:line="240" w:lineRule="auto"/>
      </w:pPr>
      <w:r w:rsidRPr="002E1B4B">
        <w:t>Adiciones o modificaciones en valor</w:t>
      </w:r>
    </w:p>
    <w:p w14:paraId="58136339" w14:textId="77777777" w:rsidR="00BB0A24" w:rsidRDefault="00BB0A24" w:rsidP="000A5389">
      <w:pPr>
        <w:spacing w:line="240" w:lineRule="auto"/>
      </w:pPr>
    </w:p>
    <w:p w14:paraId="46831115" w14:textId="02858A32" w:rsidR="003D5DB4" w:rsidRPr="002E1B4B" w:rsidRDefault="003D5DB4" w:rsidP="000A5389">
      <w:pPr>
        <w:spacing w:line="240" w:lineRule="auto"/>
      </w:pPr>
      <w:r w:rsidRPr="002E1B4B">
        <w:t>Valor de la adición o modificación: No Aplica</w:t>
      </w:r>
    </w:p>
    <w:p w14:paraId="2D332161" w14:textId="77777777" w:rsidR="003D5DB4" w:rsidRPr="002E1B4B" w:rsidRDefault="003D5DB4" w:rsidP="000A5389">
      <w:pPr>
        <w:spacing w:line="240" w:lineRule="auto"/>
      </w:pPr>
      <w:r w:rsidRPr="002E1B4B">
        <w:t>Nuevo valor del acuerdo: No Aplica</w:t>
      </w:r>
    </w:p>
    <w:p w14:paraId="1D945C69" w14:textId="77777777" w:rsidR="003D5DB4" w:rsidRPr="002E1B4B" w:rsidRDefault="003D5DB4" w:rsidP="000A5389">
      <w:pPr>
        <w:spacing w:line="240" w:lineRule="auto"/>
      </w:pPr>
      <w:r w:rsidRPr="002E1B4B">
        <w:t>Observaciones: Ninguna</w:t>
      </w:r>
    </w:p>
    <w:p w14:paraId="5FA9D746" w14:textId="77777777" w:rsidR="003D5DB4" w:rsidRDefault="003D5DB4" w:rsidP="000A5389">
      <w:pPr>
        <w:spacing w:line="240" w:lineRule="auto"/>
      </w:pPr>
    </w:p>
    <w:p w14:paraId="1BB03B3F" w14:textId="77777777" w:rsidR="00054049" w:rsidRPr="002E1B4B" w:rsidRDefault="00054049" w:rsidP="000A5389">
      <w:pPr>
        <w:spacing w:line="240" w:lineRule="auto"/>
      </w:pPr>
    </w:p>
    <w:p w14:paraId="11B47BF0" w14:textId="77777777" w:rsidR="003D5DB4" w:rsidRDefault="003D5DB4" w:rsidP="000A5389">
      <w:pPr>
        <w:spacing w:line="240" w:lineRule="auto"/>
        <w:rPr>
          <w:i/>
          <w:iCs/>
        </w:rPr>
      </w:pPr>
      <w:r w:rsidRPr="00054049">
        <w:rPr>
          <w:i/>
          <w:iCs/>
        </w:rPr>
        <w:t xml:space="preserve">CHIRAJARA-FUNDADORES </w:t>
      </w:r>
    </w:p>
    <w:p w14:paraId="19BBA4D7" w14:textId="77777777" w:rsidR="00054049" w:rsidRPr="00054049" w:rsidRDefault="00054049" w:rsidP="000A5389">
      <w:pPr>
        <w:spacing w:line="240" w:lineRule="auto"/>
        <w:rPr>
          <w:i/>
          <w:iCs/>
        </w:rPr>
      </w:pPr>
    </w:p>
    <w:p w14:paraId="5403620E" w14:textId="77777777" w:rsidR="003D5DB4" w:rsidRPr="002E1B4B" w:rsidRDefault="003D5DB4" w:rsidP="000A5389">
      <w:pPr>
        <w:spacing w:line="240" w:lineRule="auto"/>
      </w:pPr>
      <w:r w:rsidRPr="002E1B4B">
        <w:t>Descripción del Acuerdo</w:t>
      </w:r>
    </w:p>
    <w:p w14:paraId="20D591F3" w14:textId="77777777" w:rsidR="003D5DB4" w:rsidRPr="002E1B4B" w:rsidRDefault="003D5DB4" w:rsidP="000A5389">
      <w:pPr>
        <w:spacing w:line="240" w:lineRule="auto"/>
      </w:pPr>
      <w:r w:rsidRPr="002E1B4B">
        <w:t>Número del Acuerdo de concesión:  Contrato de Concesión No. 005 de 2015</w:t>
      </w:r>
    </w:p>
    <w:p w14:paraId="2B8D6ACC" w14:textId="77777777" w:rsidR="001B234E" w:rsidRDefault="003D5DB4" w:rsidP="000A5389">
      <w:pPr>
        <w:spacing w:line="240" w:lineRule="auto"/>
      </w:pPr>
      <w:r w:rsidRPr="002E1B4B">
        <w:t xml:space="preserve">Objeto / Descripción:  Construcción, operación y mantenimiento de una nueva calzada entre </w:t>
      </w:r>
    </w:p>
    <w:p w14:paraId="18185800" w14:textId="77777777" w:rsidR="001B234E" w:rsidRDefault="001B234E" w:rsidP="000A5389">
      <w:pPr>
        <w:spacing w:line="240" w:lineRule="auto"/>
      </w:pPr>
    </w:p>
    <w:p w14:paraId="3C4CC91B" w14:textId="6B46D9A4" w:rsidR="003D5DB4" w:rsidRPr="002E1B4B" w:rsidRDefault="003D5DB4" w:rsidP="000A5389">
      <w:pPr>
        <w:spacing w:line="240" w:lineRule="auto"/>
      </w:pPr>
      <w:r w:rsidRPr="002E1B4B">
        <w:t>Chirajara y la intersección Fundadores, y la operación y el mantenimiento de todo el corredor Bogotá-Villavicencio, para mejorar la capacidad, las condiciones de seguridad en la operación y el nivel de servicio ofrecido a los usuarios, atendiendo la demanda de tráfico actual y contribuyendo al desarrollo del país con una infraestructura adecuada para los requerimientos actuales y futuros</w:t>
      </w:r>
    </w:p>
    <w:p w14:paraId="68CBE2A1" w14:textId="77777777" w:rsidR="003D5DB4" w:rsidRPr="002E1B4B" w:rsidRDefault="003D5DB4" w:rsidP="000A5389">
      <w:pPr>
        <w:spacing w:line="240" w:lineRule="auto"/>
      </w:pPr>
      <w:r w:rsidRPr="002E1B4B">
        <w:t>Valor inicial:</w:t>
      </w:r>
      <w:r w:rsidRPr="002E1B4B">
        <w:tab/>
        <w:t>$5.090.472.461.167</w:t>
      </w:r>
    </w:p>
    <w:p w14:paraId="70C221D0" w14:textId="77777777" w:rsidR="003D5DB4" w:rsidRPr="002E1B4B" w:rsidRDefault="003D5DB4" w:rsidP="000A5389">
      <w:pPr>
        <w:spacing w:line="240" w:lineRule="auto"/>
      </w:pPr>
      <w:r w:rsidRPr="002E1B4B">
        <w:t>Fecha de inicio: 23/07/2015</w:t>
      </w:r>
    </w:p>
    <w:p w14:paraId="629814E8" w14:textId="77777777" w:rsidR="003D5DB4" w:rsidRPr="002E1B4B" w:rsidRDefault="003D5DB4" w:rsidP="000A5389">
      <w:pPr>
        <w:spacing w:line="240" w:lineRule="auto"/>
      </w:pPr>
      <w:r w:rsidRPr="002E1B4B">
        <w:t>Fecha de finalización estimada: 15/09/2054</w:t>
      </w:r>
    </w:p>
    <w:p w14:paraId="7F66FB4B" w14:textId="77777777" w:rsidR="003D5DB4" w:rsidRPr="002E1B4B" w:rsidRDefault="003D5DB4" w:rsidP="000A5389">
      <w:pPr>
        <w:spacing w:line="240" w:lineRule="auto"/>
      </w:pPr>
      <w:r w:rsidRPr="002E1B4B">
        <w:t>Tipo ID: NIT</w:t>
      </w:r>
    </w:p>
    <w:p w14:paraId="2CC3657B" w14:textId="77777777" w:rsidR="003D5DB4" w:rsidRPr="002E1B4B" w:rsidRDefault="003D5DB4" w:rsidP="000A5389">
      <w:pPr>
        <w:spacing w:line="240" w:lineRule="auto"/>
      </w:pPr>
      <w:r w:rsidRPr="002E1B4B">
        <w:t>Número ID:</w:t>
      </w:r>
      <w:r w:rsidRPr="002E1B4B">
        <w:tab/>
        <w:t>900.848.064</w:t>
      </w:r>
    </w:p>
    <w:p w14:paraId="3DA18A18" w14:textId="77777777" w:rsidR="00054049" w:rsidRDefault="00054049" w:rsidP="000A5389">
      <w:pPr>
        <w:spacing w:line="240" w:lineRule="auto"/>
      </w:pPr>
    </w:p>
    <w:p w14:paraId="5F18F5A0" w14:textId="4EAF7ED5" w:rsidR="003D5DB4" w:rsidRPr="002E1B4B" w:rsidRDefault="003D5DB4" w:rsidP="000A5389">
      <w:pPr>
        <w:spacing w:line="240" w:lineRule="auto"/>
      </w:pPr>
      <w:r w:rsidRPr="002E1B4B">
        <w:t>Razón social del concesionario: Concesionaria Vial Andina SAS- Coviandina SAS</w:t>
      </w:r>
    </w:p>
    <w:p w14:paraId="5B93E213" w14:textId="77777777" w:rsidR="003D5DB4" w:rsidRPr="002E1B4B" w:rsidRDefault="003D5DB4" w:rsidP="000A5389">
      <w:pPr>
        <w:spacing w:line="240" w:lineRule="auto"/>
      </w:pPr>
      <w:r w:rsidRPr="002E1B4B">
        <w:t>Nombre del proyecto: Construcción de una nueva calzada en el sector Chirajara-Fundadores y la administración, operación y mantenimiento de la carretera Bogotá-Villavicencio</w:t>
      </w:r>
    </w:p>
    <w:p w14:paraId="7E1AFF7B" w14:textId="77777777" w:rsidR="00054049" w:rsidRDefault="00054049" w:rsidP="000A5389">
      <w:pPr>
        <w:spacing w:line="240" w:lineRule="auto"/>
      </w:pPr>
    </w:p>
    <w:p w14:paraId="5354E2C5" w14:textId="793B96F4" w:rsidR="003D5DB4" w:rsidRPr="002E1B4B" w:rsidRDefault="003D5DB4" w:rsidP="000A5389">
      <w:pPr>
        <w:spacing w:line="240" w:lineRule="auto"/>
      </w:pPr>
      <w:r w:rsidRPr="002E1B4B">
        <w:t>Términos significativos del Acuerdo que puedan afectar su valor, el calendario y la certeza de los flujos de efectivo futuros</w:t>
      </w:r>
    </w:p>
    <w:p w14:paraId="4FD3A0B3" w14:textId="77777777" w:rsidR="00054049" w:rsidRDefault="00054049" w:rsidP="000A5389">
      <w:pPr>
        <w:spacing w:line="240" w:lineRule="auto"/>
      </w:pPr>
    </w:p>
    <w:p w14:paraId="7A8C80AC" w14:textId="6CC800CD" w:rsidR="003D5DB4" w:rsidRDefault="003D5DB4" w:rsidP="000A5389">
      <w:pPr>
        <w:spacing w:line="240" w:lineRule="auto"/>
      </w:pPr>
      <w:r w:rsidRPr="002E1B4B">
        <w:t xml:space="preserve">Términos de valor: Los pesos de referencia del contrato corresponden a diciembre de 2013.El valor presente ofertado está descontado a una tasa de descuento efectiva mensual del 0,8919%. El valor del VPIP equivale a $2.185.031.662.470 pesos del mes de referencia, numeral 1.171 Tabla de referencias a la Parte Especial. La obtención del VPIP determina la fecha de terminación del contrato, siendo su tiempo máximo el año 39 del Contrato de Concesión. El contrato contempla la cesión del recaudo de peajes de cuatro estaciones: Peaje Boquerón I, Boquerón II, Peaje Naranjal y Peaje Pipiral. Capítulo IV de la Parte Especial del </w:t>
      </w:r>
      <w:r w:rsidRPr="002E1B4B">
        <w:lastRenderedPageBreak/>
        <w:t>Contrato. La estructura tarifaria se encuentra determinada en la Parte Especial 4.2 (a) y en la Resolución N. 0001131 del 28 de abril de 2015 expedida por el Ministerio de Transporte. En el numeral 4.1 del Contrato Parte Especial define el porcentaje de participación de las Unidades Funcionales y el Otrosí N.7 al Contrato de Concesión firmado el 2 de julio de 2020 acuerdan la modificación los porcentajes de participación de las Unidades Funcionales.  Las Fuentes de retribución son los Aportes ANI, el Recaudo de Peaje y los Ingresos Por Explotación Comercial.</w:t>
      </w:r>
    </w:p>
    <w:p w14:paraId="2479C891" w14:textId="77777777" w:rsidR="00054049" w:rsidRPr="002E1B4B" w:rsidRDefault="00054049" w:rsidP="000A5389">
      <w:pPr>
        <w:spacing w:line="240" w:lineRule="auto"/>
      </w:pPr>
    </w:p>
    <w:p w14:paraId="7B312FE8" w14:textId="77777777" w:rsidR="003D5DB4" w:rsidRPr="002E1B4B" w:rsidRDefault="003D5DB4" w:rsidP="000A5389">
      <w:pPr>
        <w:spacing w:line="240" w:lineRule="auto"/>
      </w:pPr>
      <w:r w:rsidRPr="002E1B4B">
        <w:t>Términos de calendario: El plazo del contrato se determinó en 39 años, conforme al numeral 2.4 “Plazo del Contrato” de la Parte General. Plazo fase Preconstrucción:  365 días desde la fecha de inicio. El plazo estimado de la etapa de construcción es de sesenta (60) meses (1.825 días) contados desde el acta de inicio de construcción, la cual se firmó el 23 de julio de 2015. El Otrosí N. 2 otorgó 6 meses adicionales para la etapa de construcción. Como resultado del acuerdo 001 por efecto del COVID y a que el Concesionario hizo parte del Acuerdo de la CCI, se otorgó 98 días adicionales.  La etapa de construcción terminó el 31 de julio de 2023.</w:t>
      </w:r>
    </w:p>
    <w:p w14:paraId="59DAC90F" w14:textId="77777777" w:rsidR="00054049" w:rsidRDefault="00054049" w:rsidP="000A5389">
      <w:pPr>
        <w:spacing w:line="240" w:lineRule="auto"/>
      </w:pPr>
    </w:p>
    <w:p w14:paraId="2907C700" w14:textId="6F1027FB" w:rsidR="003D5DB4" w:rsidRPr="002E1B4B" w:rsidRDefault="003D5DB4" w:rsidP="000A5389">
      <w:pPr>
        <w:spacing w:line="240" w:lineRule="auto"/>
      </w:pPr>
      <w:r w:rsidRPr="002E1B4B">
        <w:t>Términos de certeza de flujos de efectivo futuros:</w:t>
      </w:r>
      <w:r w:rsidRPr="002E1B4B">
        <w:tab/>
        <w:t>El Capítulo XIII Parte General -Ecuación Contractual y Asignación de Riesgos-, establece la asignación de riesgos que permita mantener la ecuación contractual del Contrato de Concesión.  La Cláusula 3.2 de la Parte de General del Contrato de Concesión, “Compensación por Riesgos” señala cuales son los mecanismos por Compensación por riesgos a favor del Concesionario, cuando sean aplicables.</w:t>
      </w:r>
    </w:p>
    <w:p w14:paraId="2A6A1E3F" w14:textId="77777777" w:rsidR="003D5DB4" w:rsidRPr="002E1B4B" w:rsidRDefault="003D5DB4" w:rsidP="000A5389">
      <w:pPr>
        <w:spacing w:line="240" w:lineRule="auto"/>
      </w:pPr>
    </w:p>
    <w:p w14:paraId="44172928" w14:textId="77777777" w:rsidR="003D5DB4" w:rsidRPr="002E1B4B" w:rsidRDefault="003D5DB4" w:rsidP="000A5389">
      <w:pPr>
        <w:spacing w:line="240" w:lineRule="auto"/>
      </w:pPr>
      <w:r w:rsidRPr="002E1B4B">
        <w:t>Naturaleza y alcance del derecho a utilizar Activos y los aspectos pactados en torno a lo que se espera que el concesionario proporcione en relación con el Acuerdo de concesión</w:t>
      </w:r>
    </w:p>
    <w:p w14:paraId="39E3B29F" w14:textId="77777777" w:rsidR="00054049" w:rsidRDefault="00054049" w:rsidP="000A5389">
      <w:pPr>
        <w:spacing w:line="240" w:lineRule="auto"/>
      </w:pPr>
    </w:p>
    <w:p w14:paraId="4792CE4E" w14:textId="39602E79" w:rsidR="003D5DB4" w:rsidRPr="002E1B4B" w:rsidRDefault="003D5DB4" w:rsidP="000A5389">
      <w:pPr>
        <w:spacing w:line="240" w:lineRule="auto"/>
      </w:pPr>
      <w:r w:rsidRPr="002E1B4B">
        <w:t>Naturaleza y alcance del derecho de uso de los Activos</w:t>
      </w:r>
    </w:p>
    <w:p w14:paraId="44194ED8" w14:textId="77777777" w:rsidR="00054049" w:rsidRDefault="00054049" w:rsidP="000A5389">
      <w:pPr>
        <w:spacing w:line="240" w:lineRule="auto"/>
      </w:pPr>
    </w:p>
    <w:p w14:paraId="660159F4" w14:textId="6F484F5B" w:rsidR="003D5DB4" w:rsidRDefault="003D5DB4" w:rsidP="000A5389">
      <w:pPr>
        <w:spacing w:line="240" w:lineRule="auto"/>
      </w:pPr>
      <w:r w:rsidRPr="002E1B4B">
        <w:t>Descripción: Los derechos que se le cedió al Concesionario fue el recaudo de peaje de las estaciones de Peaje revertidas del Contrato de Concesión 444 de 1994, de acuerdo con la Sección 4.2 de la Parte Especial y la Sección 3.3 de la Parte General. El proyecto está localizado entre los departamentos del Meta y Cundinamarca, la nueva calzada tiene una longitud total estimada origen - destino de 22.60 km y de desarrollo de 32.46 km. La operación y mantenimiento del Corredor Bogotá–Villavicencio corresponderá a una longitud total estimada origen – destino de 85.60 km y de desarrollo de 174 km.</w:t>
      </w:r>
    </w:p>
    <w:p w14:paraId="082ACB4F" w14:textId="77777777" w:rsidR="00054049" w:rsidRPr="002E1B4B" w:rsidRDefault="00054049" w:rsidP="000A5389">
      <w:pPr>
        <w:spacing w:line="240" w:lineRule="auto"/>
      </w:pPr>
    </w:p>
    <w:p w14:paraId="5CE4DAC1" w14:textId="77777777" w:rsidR="003D5DB4" w:rsidRPr="002E1B4B" w:rsidRDefault="003D5DB4" w:rsidP="000A5389">
      <w:pPr>
        <w:spacing w:line="240" w:lineRule="auto"/>
      </w:pPr>
      <w:r w:rsidRPr="002E1B4B">
        <w:t>Observaciones:</w:t>
      </w:r>
      <w:r w:rsidRPr="002E1B4B">
        <w:tab/>
        <w:t>La información descrita en el presente capítulo corresponde al Alcance del Contrato y a lo descrito en el Apéndice Técnico 1 (Estructuración del Proyecto).</w:t>
      </w:r>
    </w:p>
    <w:p w14:paraId="52A8F448" w14:textId="77777777" w:rsidR="003D5DB4" w:rsidRDefault="003D5DB4" w:rsidP="000A5389">
      <w:pPr>
        <w:spacing w:line="240" w:lineRule="auto"/>
      </w:pPr>
      <w:r w:rsidRPr="002E1B4B">
        <w:t>Retribución al concesionario</w:t>
      </w:r>
    </w:p>
    <w:p w14:paraId="0C6566DF" w14:textId="77777777" w:rsidR="00054049" w:rsidRPr="002E1B4B" w:rsidRDefault="00054049" w:rsidP="000A5389">
      <w:pPr>
        <w:spacing w:line="240" w:lineRule="auto"/>
      </w:pPr>
    </w:p>
    <w:p w14:paraId="36B043A6" w14:textId="77777777" w:rsidR="003D5DB4" w:rsidRDefault="003D5DB4" w:rsidP="000A5389">
      <w:pPr>
        <w:spacing w:line="240" w:lineRule="auto"/>
      </w:pPr>
      <w:r w:rsidRPr="002E1B4B">
        <w:t>Descripción: La Sección 3.1 de la Parte General del Contrato de Concesión establece los términos de retribución al Concesionario.  Así mismo, la Sección 4.3 literal (a) y (b) de la Parte Especial establece el cálculo de la retribución</w:t>
      </w:r>
    </w:p>
    <w:p w14:paraId="44489B55" w14:textId="77777777" w:rsidR="00D749F2" w:rsidRPr="002E1B4B" w:rsidRDefault="00D749F2" w:rsidP="000A5389">
      <w:pPr>
        <w:spacing w:line="240" w:lineRule="auto"/>
      </w:pPr>
    </w:p>
    <w:p w14:paraId="23201AD0" w14:textId="77777777" w:rsidR="003D5DB4" w:rsidRDefault="003D5DB4" w:rsidP="000A5389">
      <w:pPr>
        <w:spacing w:line="240" w:lineRule="auto"/>
      </w:pPr>
      <w:r w:rsidRPr="002E1B4B">
        <w:lastRenderedPageBreak/>
        <w:t>Tasa de retribución:</w:t>
      </w:r>
      <w:r w:rsidRPr="002E1B4B">
        <w:tab/>
        <w:t>La Tasa de descuento TDI expresada en términos efectivos mensuales, es de 0,8919%.De acuerdo con lo establecido en la sección 3.1 de la Parte General del Contrato, las fuentes para el pago de la retribución serán los recursos consignados por recaudo de peajes y los ingresos por explotación comercial. La retribución para cada unidad funcional será calculada de acuerdo con lo definido en el Capítulo IV numeral 4.1 de la Parte Especial del Contrato.</w:t>
      </w:r>
    </w:p>
    <w:p w14:paraId="1D8FE55A" w14:textId="77777777" w:rsidR="00D749F2" w:rsidRPr="002E1B4B" w:rsidRDefault="00D749F2" w:rsidP="000A5389">
      <w:pPr>
        <w:spacing w:line="240" w:lineRule="auto"/>
      </w:pPr>
    </w:p>
    <w:p w14:paraId="21B1596F" w14:textId="77777777" w:rsidR="003D5DB4" w:rsidRDefault="003D5DB4" w:rsidP="000A5389">
      <w:pPr>
        <w:spacing w:line="240" w:lineRule="auto"/>
      </w:pPr>
      <w:r w:rsidRPr="002E1B4B">
        <w:t>Derechos a recibir Activos especificados al final del acuerdo de concesión</w:t>
      </w:r>
    </w:p>
    <w:p w14:paraId="26FBA18B" w14:textId="77777777" w:rsidR="00D749F2" w:rsidRPr="002E1B4B" w:rsidRDefault="00D749F2" w:rsidP="000A5389">
      <w:pPr>
        <w:spacing w:line="240" w:lineRule="auto"/>
      </w:pPr>
    </w:p>
    <w:p w14:paraId="2BC0AFD2" w14:textId="77777777" w:rsidR="003D5DB4" w:rsidRDefault="003D5DB4" w:rsidP="000A5389">
      <w:pPr>
        <w:spacing w:line="240" w:lineRule="auto"/>
      </w:pPr>
      <w:r w:rsidRPr="002E1B4B">
        <w:t>Descripción: Según el numeral 1.141 “Reversión” del CAPITULO I Definiciones de la Parte General, estipulada lo siguiente: Corresponde al procedimiento señalado en la sección 9.7 de esta Parte General, mediante el cual el Concesionario entrega los bienes asociados al proyecto a la ANI para dar por terminado el contrato.</w:t>
      </w:r>
    </w:p>
    <w:p w14:paraId="71C16BA7" w14:textId="77777777" w:rsidR="00D749F2" w:rsidRPr="002E1B4B" w:rsidRDefault="00D749F2" w:rsidP="000A5389">
      <w:pPr>
        <w:spacing w:line="240" w:lineRule="auto"/>
      </w:pPr>
    </w:p>
    <w:p w14:paraId="1A25E37B" w14:textId="77777777" w:rsidR="003D5DB4" w:rsidRPr="002E1B4B" w:rsidRDefault="003D5DB4" w:rsidP="000A5389">
      <w:pPr>
        <w:spacing w:line="240" w:lineRule="auto"/>
      </w:pPr>
      <w:r w:rsidRPr="002E1B4B">
        <w:t>Observaciones: Según el numeral 1.141 “Reversión” del CAPITULO I Definiciones de la Parte General, estipulada lo siguiente: Corresponde al procedimiento señalado en la sección 9.7 de esta Parte General, mediante el cual el Concesionario entrega los bienes asociados al proyecto a la ANI para dar por terminado el contrato.</w:t>
      </w:r>
    </w:p>
    <w:p w14:paraId="0AA53D0A" w14:textId="77777777" w:rsidR="00D749F2" w:rsidRDefault="00D749F2" w:rsidP="000A5389">
      <w:pPr>
        <w:spacing w:line="240" w:lineRule="auto"/>
      </w:pPr>
    </w:p>
    <w:p w14:paraId="3A94B782" w14:textId="244BCA86" w:rsidR="003D5DB4" w:rsidRPr="002E1B4B" w:rsidRDefault="003D5DB4" w:rsidP="000A5389">
      <w:pPr>
        <w:spacing w:line="240" w:lineRule="auto"/>
      </w:pPr>
      <w:r w:rsidRPr="002E1B4B">
        <w:t>Las alternativas de renovación y cese del acuerdo</w:t>
      </w:r>
    </w:p>
    <w:p w14:paraId="7650B730" w14:textId="77777777" w:rsidR="003D5DB4" w:rsidRPr="002E1B4B" w:rsidRDefault="003D5DB4" w:rsidP="000A5389">
      <w:pPr>
        <w:spacing w:line="240" w:lineRule="auto"/>
      </w:pPr>
      <w:r w:rsidRPr="002E1B4B">
        <w:t>Descripción:</w:t>
      </w:r>
    </w:p>
    <w:p w14:paraId="119098C9" w14:textId="77777777" w:rsidR="003D5DB4" w:rsidRPr="002E1B4B" w:rsidRDefault="003D5DB4" w:rsidP="000A5389">
      <w:pPr>
        <w:spacing w:line="240" w:lineRule="auto"/>
      </w:pPr>
      <w:r w:rsidRPr="002E1B4B">
        <w:t xml:space="preserve">Observaciones: </w:t>
      </w:r>
    </w:p>
    <w:p w14:paraId="6ACA6ABA" w14:textId="77777777" w:rsidR="00D749F2" w:rsidRDefault="00D749F2" w:rsidP="000A5389">
      <w:pPr>
        <w:spacing w:line="240" w:lineRule="auto"/>
      </w:pPr>
    </w:p>
    <w:p w14:paraId="734223AB" w14:textId="0023719E" w:rsidR="003D5DB4" w:rsidRPr="002E1B4B" w:rsidRDefault="003D5DB4" w:rsidP="000A5389">
      <w:pPr>
        <w:spacing w:line="240" w:lineRule="auto"/>
      </w:pPr>
      <w:r w:rsidRPr="002E1B4B">
        <w:t>Cambios en el acuerdo de concesión que se realicen durante el periodo fiscal</w:t>
      </w:r>
    </w:p>
    <w:p w14:paraId="6475E0BA" w14:textId="77777777" w:rsidR="00D749F2" w:rsidRDefault="00D749F2" w:rsidP="000A5389">
      <w:pPr>
        <w:spacing w:line="240" w:lineRule="auto"/>
      </w:pPr>
    </w:p>
    <w:p w14:paraId="4B5F505B" w14:textId="726D417A" w:rsidR="003D5DB4" w:rsidRPr="002E1B4B" w:rsidRDefault="003D5DB4" w:rsidP="000A5389">
      <w:pPr>
        <w:spacing w:line="240" w:lineRule="auto"/>
      </w:pPr>
      <w:r w:rsidRPr="002E1B4B">
        <w:t>Adiciones o modificaciones en tiempo</w:t>
      </w:r>
    </w:p>
    <w:p w14:paraId="229A8901" w14:textId="77777777" w:rsidR="003D5DB4" w:rsidRPr="002E1B4B" w:rsidRDefault="003D5DB4" w:rsidP="000A5389">
      <w:pPr>
        <w:spacing w:line="240" w:lineRule="auto"/>
      </w:pPr>
      <w:r w:rsidRPr="002E1B4B">
        <w:t>Fechas de las adiciones o modificaciones: 24/07/2017 OTROSÍ N.2, 05/10/2020 Acuerdo EER Covid 19</w:t>
      </w:r>
    </w:p>
    <w:p w14:paraId="1D86ABF4" w14:textId="77777777" w:rsidR="003D5DB4" w:rsidRPr="002E1B4B" w:rsidRDefault="003D5DB4" w:rsidP="000A5389">
      <w:pPr>
        <w:spacing w:line="240" w:lineRule="auto"/>
      </w:pPr>
      <w:r w:rsidRPr="002E1B4B">
        <w:t>Nueva Fecha de finalización estimada:</w:t>
      </w:r>
      <w:r w:rsidRPr="002E1B4B">
        <w:tab/>
        <w:t>Marzo de 2022 y Junio de 2022</w:t>
      </w:r>
    </w:p>
    <w:p w14:paraId="527F7925" w14:textId="77777777" w:rsidR="003D5DB4" w:rsidRPr="002E1B4B" w:rsidRDefault="003D5DB4" w:rsidP="000A5389">
      <w:pPr>
        <w:spacing w:line="240" w:lineRule="auto"/>
      </w:pPr>
      <w:r w:rsidRPr="002E1B4B">
        <w:t>Observaciones: El Otrosí N. 2 otorgó 6 meses adicionales para la etapa de construcción. Como resultado del acuerdo 001 por efecto del COVID y a que el Concesionario hizo parte del Acuerdo de la CCI, se otorgó 98 días adicionales.  La etapa de construcción terminó el 31 de julio de 2023.</w:t>
      </w:r>
    </w:p>
    <w:p w14:paraId="0C3C17F5" w14:textId="77777777" w:rsidR="00D749F2" w:rsidRDefault="00D749F2" w:rsidP="000A5389">
      <w:pPr>
        <w:spacing w:line="240" w:lineRule="auto"/>
      </w:pPr>
    </w:p>
    <w:p w14:paraId="7F57618C" w14:textId="193B1FB5" w:rsidR="003D5DB4" w:rsidRPr="002E1B4B" w:rsidRDefault="003D5DB4" w:rsidP="000A5389">
      <w:pPr>
        <w:spacing w:line="240" w:lineRule="auto"/>
      </w:pPr>
      <w:r w:rsidRPr="002E1B4B">
        <w:t>Adiciones o modificaciones en valor</w:t>
      </w:r>
    </w:p>
    <w:p w14:paraId="72C413AE" w14:textId="77777777" w:rsidR="00D749F2" w:rsidRDefault="00D749F2" w:rsidP="000A5389">
      <w:pPr>
        <w:spacing w:line="240" w:lineRule="auto"/>
      </w:pPr>
    </w:p>
    <w:p w14:paraId="56462148" w14:textId="786FC421" w:rsidR="003D5DB4" w:rsidRPr="002E1B4B" w:rsidRDefault="003D5DB4" w:rsidP="000A5389">
      <w:pPr>
        <w:spacing w:line="240" w:lineRule="auto"/>
      </w:pPr>
      <w:r w:rsidRPr="002E1B4B">
        <w:t>Valor de la adición o modificación: No Aplica</w:t>
      </w:r>
    </w:p>
    <w:p w14:paraId="5B77B6DF" w14:textId="77777777" w:rsidR="003D5DB4" w:rsidRPr="002E1B4B" w:rsidRDefault="003D5DB4" w:rsidP="000A5389">
      <w:pPr>
        <w:spacing w:line="240" w:lineRule="auto"/>
      </w:pPr>
      <w:r w:rsidRPr="002E1B4B">
        <w:t>Nuevo valor del acuerdo:</w:t>
      </w:r>
      <w:r w:rsidRPr="002E1B4B">
        <w:tab/>
      </w:r>
    </w:p>
    <w:p w14:paraId="1AAF828C" w14:textId="77777777" w:rsidR="003D5DB4" w:rsidRPr="002E1B4B" w:rsidRDefault="003D5DB4" w:rsidP="000A5389">
      <w:pPr>
        <w:spacing w:line="240" w:lineRule="auto"/>
      </w:pPr>
      <w:r w:rsidRPr="002E1B4B">
        <w:t>Observaciones:</w:t>
      </w:r>
      <w:r w:rsidRPr="002E1B4B">
        <w:tab/>
      </w:r>
    </w:p>
    <w:p w14:paraId="5A300029" w14:textId="77777777" w:rsidR="003D5DB4" w:rsidRDefault="003D5DB4" w:rsidP="000A5389">
      <w:pPr>
        <w:spacing w:line="240" w:lineRule="auto"/>
      </w:pPr>
    </w:p>
    <w:p w14:paraId="4FA78B6D" w14:textId="77777777" w:rsidR="00D749F2" w:rsidRPr="002E1B4B" w:rsidRDefault="00D749F2" w:rsidP="000A5389">
      <w:pPr>
        <w:spacing w:line="240" w:lineRule="auto"/>
      </w:pPr>
    </w:p>
    <w:p w14:paraId="7E8313C9" w14:textId="77777777" w:rsidR="003D5DB4" w:rsidRPr="00D749F2" w:rsidRDefault="003D5DB4" w:rsidP="000A5389">
      <w:pPr>
        <w:spacing w:line="240" w:lineRule="auto"/>
        <w:rPr>
          <w:i/>
          <w:iCs/>
        </w:rPr>
      </w:pPr>
      <w:r w:rsidRPr="00D749F2">
        <w:rPr>
          <w:i/>
          <w:iCs/>
        </w:rPr>
        <w:t xml:space="preserve">VILLAVICENCIO – YOPAL </w:t>
      </w:r>
    </w:p>
    <w:p w14:paraId="3D8BD173" w14:textId="77777777" w:rsidR="00D749F2" w:rsidRDefault="00D749F2" w:rsidP="000A5389">
      <w:pPr>
        <w:spacing w:line="240" w:lineRule="auto"/>
      </w:pPr>
    </w:p>
    <w:p w14:paraId="059AFFA2" w14:textId="699CC058" w:rsidR="003D5DB4" w:rsidRPr="002E1B4B" w:rsidRDefault="003D5DB4" w:rsidP="000A5389">
      <w:pPr>
        <w:spacing w:line="240" w:lineRule="auto"/>
      </w:pPr>
      <w:r w:rsidRPr="002E1B4B">
        <w:t>Descripción del Acuerdo</w:t>
      </w:r>
    </w:p>
    <w:p w14:paraId="264D95D6" w14:textId="77777777" w:rsidR="003D5DB4" w:rsidRPr="002E1B4B" w:rsidRDefault="003D5DB4" w:rsidP="000A5389">
      <w:pPr>
        <w:spacing w:line="240" w:lineRule="auto"/>
      </w:pPr>
      <w:r w:rsidRPr="002E1B4B">
        <w:lastRenderedPageBreak/>
        <w:t>Número del Acuerdo de concesión:  Contrato APP No 010 del 23 de julio de 2015</w:t>
      </w:r>
    </w:p>
    <w:p w14:paraId="0979FE20" w14:textId="77777777" w:rsidR="003D5DB4" w:rsidRPr="002E1B4B" w:rsidRDefault="003D5DB4" w:rsidP="000A5389">
      <w:pPr>
        <w:spacing w:line="240" w:lineRule="auto"/>
      </w:pPr>
      <w:r w:rsidRPr="002E1B4B">
        <w:t>Objeto / Descripción:  El presente contrato de concesión bajo un esquema de asociación publico privada en los términos de la ley 1508 de 2012, tiene por objeto el otorgamiento de una Concesión para que, de conformidad con lo previsto en este Contrato, el Concesionario, por su cuenta y riesgo, lleve a cabo el proyecto. (Parte General, CAPITULO II ASPECTOS GENERALES DEL CONTRATO numeral 2.1).  ALCANCE: La financiación, elaboración de estudios y diseños, Construcción, Rehabilitación, mejoramiento, Operación y mantenimiento, Gestión predial, Gestión Social y Ambiental y Reversión del corredor Villavicencio – Yopal, de acuerdo con el Apéndice Técnico 1 y demás apéndices del Contrato. (Parte especial, CAPITULO III ASPECTOS GENERALES, numeral 3.2)</w:t>
      </w:r>
    </w:p>
    <w:p w14:paraId="2816BAC3" w14:textId="77777777" w:rsidR="003D5DB4" w:rsidRPr="002E1B4B" w:rsidRDefault="003D5DB4" w:rsidP="000A5389">
      <w:pPr>
        <w:spacing w:line="240" w:lineRule="auto"/>
      </w:pPr>
      <w:r w:rsidRPr="002E1B4B">
        <w:t>Valor inicial:</w:t>
      </w:r>
      <w:r w:rsidRPr="002E1B4B">
        <w:tab/>
        <w:t>Dos billones novecientos treinta y nueve mil trescientos veinte millones setecientos noventa y seis mil trescientos veinticuatro $2.939.320.796.324 Pesos de diciembre de 2013</w:t>
      </w:r>
    </w:p>
    <w:p w14:paraId="0B0799F8" w14:textId="77777777" w:rsidR="003D5DB4" w:rsidRPr="002E1B4B" w:rsidRDefault="003D5DB4" w:rsidP="000A5389">
      <w:pPr>
        <w:spacing w:line="240" w:lineRule="auto"/>
      </w:pPr>
      <w:r w:rsidRPr="002E1B4B">
        <w:t>Fecha de inicio: 8/09/2015</w:t>
      </w:r>
    </w:p>
    <w:p w14:paraId="3DAA6B60" w14:textId="77777777" w:rsidR="003D5DB4" w:rsidRPr="002E1B4B" w:rsidRDefault="003D5DB4" w:rsidP="000A5389">
      <w:pPr>
        <w:spacing w:line="240" w:lineRule="auto"/>
      </w:pPr>
      <w:r w:rsidRPr="002E1B4B">
        <w:t>Fecha de finalización estimada:</w:t>
      </w:r>
      <w:r w:rsidRPr="002E1B4B">
        <w:tab/>
        <w:t>7/09/2040</w:t>
      </w:r>
    </w:p>
    <w:p w14:paraId="4DE62920" w14:textId="77777777" w:rsidR="003D5DB4" w:rsidRPr="002E1B4B" w:rsidRDefault="003D5DB4" w:rsidP="000A5389">
      <w:pPr>
        <w:spacing w:line="240" w:lineRule="auto"/>
      </w:pPr>
      <w:r w:rsidRPr="002E1B4B">
        <w:t>Tipo ID:</w:t>
      </w:r>
      <w:r w:rsidRPr="002E1B4B">
        <w:tab/>
        <w:t>NIT</w:t>
      </w:r>
    </w:p>
    <w:p w14:paraId="11C49602" w14:textId="77777777" w:rsidR="003D5DB4" w:rsidRPr="002E1B4B" w:rsidRDefault="003D5DB4" w:rsidP="000A5389">
      <w:pPr>
        <w:spacing w:line="240" w:lineRule="auto"/>
      </w:pPr>
      <w:r w:rsidRPr="002E1B4B">
        <w:t>Número ID:</w:t>
      </w:r>
      <w:r w:rsidRPr="002E1B4B">
        <w:tab/>
        <w:t>900.862.215-1</w:t>
      </w:r>
    </w:p>
    <w:p w14:paraId="3DBB74FD" w14:textId="77777777" w:rsidR="003D5DB4" w:rsidRPr="002E1B4B" w:rsidRDefault="003D5DB4" w:rsidP="000A5389">
      <w:pPr>
        <w:spacing w:line="240" w:lineRule="auto"/>
      </w:pPr>
      <w:r w:rsidRPr="002E1B4B">
        <w:t>Razón social del concesionario: Concesionaria Vial del Oriente S.A.S</w:t>
      </w:r>
    </w:p>
    <w:p w14:paraId="5B83D278" w14:textId="77777777" w:rsidR="003D5DB4" w:rsidRPr="002E1B4B" w:rsidRDefault="003D5DB4" w:rsidP="000A5389">
      <w:pPr>
        <w:spacing w:line="240" w:lineRule="auto"/>
      </w:pPr>
      <w:r w:rsidRPr="002E1B4B">
        <w:t>Nombre del proyecto: Villavicencio – Yopal</w:t>
      </w:r>
    </w:p>
    <w:p w14:paraId="6B2E2726" w14:textId="77777777" w:rsidR="003D5DB4" w:rsidRPr="002E1B4B" w:rsidRDefault="003D5DB4" w:rsidP="000A5389">
      <w:pPr>
        <w:spacing w:line="240" w:lineRule="auto"/>
      </w:pPr>
    </w:p>
    <w:p w14:paraId="64A0C9AC" w14:textId="77777777" w:rsidR="003D5DB4" w:rsidRPr="002E1B4B" w:rsidRDefault="003D5DB4" w:rsidP="000A5389">
      <w:pPr>
        <w:spacing w:line="240" w:lineRule="auto"/>
      </w:pPr>
      <w:r w:rsidRPr="002E1B4B">
        <w:t>Términos significativos del Acuerdo que puedan afectar su valor, el calendario y la certeza de los flujos de efectivo futuros</w:t>
      </w:r>
    </w:p>
    <w:p w14:paraId="6913043F" w14:textId="77777777" w:rsidR="00D749F2" w:rsidRDefault="00D749F2" w:rsidP="000A5389">
      <w:pPr>
        <w:spacing w:line="240" w:lineRule="auto"/>
      </w:pPr>
    </w:p>
    <w:p w14:paraId="0765C8D8" w14:textId="37EF0EAE" w:rsidR="003D5DB4" w:rsidRDefault="003D5DB4" w:rsidP="000A5389">
      <w:pPr>
        <w:spacing w:line="240" w:lineRule="auto"/>
      </w:pPr>
      <w:r w:rsidRPr="002E1B4B">
        <w:t>Términos de valor: Las estaciones de peaje vigentes son: Puente Amarillo, Veracruz y San Pedro (en operación) y Tacuya y Yopal (nuevas). El primero de abril de 2025 se ajustan las tarifas actualizándolas a dic-2024 dando así fin a lo establecido en el decreto 050 la cual suspendió el incremento de las tarifas a partir de 16 de enero de 2023. En el Contrato de Concesión N° 010 de 2015, Parte Especial, numeral 4.2, Estructura Tarifaria literales (a) al (f), se presentan las tarifas del usuario al Proyecto en pesos del Mes de Referencia (Dic-2013). Los montos y plazos de los aportes ANI se establecen en numeral 4.5 (d) de la parte especial del contrato de concesión, por valor de $2.501.255.341.139 Pesos de diciembre de 2013. El giro de las vigencias futuras del año 2025 está pendiente de pago esperando que se efectué en el año 2026. En el mes de febrero y marzo de 2025 se realizó el pago correspondiente a la vigencia futura de 2024 por valor de $282.188.118.368 pesos corrientes equivalentes a $167.567.824.737 precios de referencia. Las variables para la actualización de las Vigencias Futuras están contempladas en la sección 4.3(e) de la parte especial del contrato.  El valor de recaudo durante el 2025 fue de $78.692.404.912 pesos corrientes equivalentes a $41.688.874.977 precios de referencia.</w:t>
      </w:r>
    </w:p>
    <w:p w14:paraId="4B1C2955" w14:textId="77777777" w:rsidR="00D749F2" w:rsidRPr="002E1B4B" w:rsidRDefault="00D749F2" w:rsidP="000A5389">
      <w:pPr>
        <w:spacing w:line="240" w:lineRule="auto"/>
      </w:pPr>
    </w:p>
    <w:p w14:paraId="66D6B586" w14:textId="77777777" w:rsidR="003D5DB4" w:rsidRDefault="003D5DB4" w:rsidP="000A5389">
      <w:pPr>
        <w:spacing w:line="240" w:lineRule="auto"/>
      </w:pPr>
      <w:r w:rsidRPr="002E1B4B">
        <w:t xml:space="preserve">Términos de calendario: Las unidades funcionales 2, 3 y 5 cuentan con acta de terminación parcial, su fecha de terminación con plazo de cura es 15/05/2023 todas cuentan con eventos eximentes de responsabilidad. Por su parte, las unidades funcionales 1 y 7 su fecha de terminación con plazo de cura es del 14/3/2024, actualmente se encuentran cubiertas con eventos eximentes de responsabilidad. A la fecha se desconoce la fecha de terminación </w:t>
      </w:r>
      <w:r w:rsidRPr="002E1B4B">
        <w:lastRenderedPageBreak/>
        <w:t>definitiva. En cuanto a las unidades funcionales 4 y 6, a la fecha ya cuentan con acta de terminación definitiva suscritas el 30/11/2025 y 27/11/2025 respectivamente. En el mes de septiembre de 2023 se cumplió el diferencial de recaudo del año 8- DR-8</w:t>
      </w:r>
    </w:p>
    <w:p w14:paraId="19417D38" w14:textId="77777777" w:rsidR="00D749F2" w:rsidRPr="002E1B4B" w:rsidRDefault="00D749F2" w:rsidP="000A5389">
      <w:pPr>
        <w:spacing w:line="240" w:lineRule="auto"/>
      </w:pPr>
    </w:p>
    <w:p w14:paraId="55FEB237" w14:textId="77777777" w:rsidR="003D5DB4" w:rsidRPr="002E1B4B" w:rsidRDefault="003D5DB4" w:rsidP="000A5389">
      <w:pPr>
        <w:spacing w:line="240" w:lineRule="auto"/>
      </w:pPr>
      <w:r w:rsidRPr="002E1B4B">
        <w:t>Términos de certeza de flujos de efectivo futuros: El proyecto se encuentra en etapa de construcción con acta de inicio del 13 de noviembre de 2018, la fecha de inicio de construcción se dio dos años después de lo estipulado contractualmente. Todas las UF cuentan con actas de terminación parcial. En el mes de diciembre de 2023, se aprobó por parte del Ministerio de Hacienda y Crédito Publico la actualización del plan de aportes para cubrir los riesgos tarifario, comercial, redes y costos ociosos asociados al proyecto</w:t>
      </w:r>
    </w:p>
    <w:p w14:paraId="0435E6FE" w14:textId="77777777" w:rsidR="00D749F2" w:rsidRDefault="00D749F2" w:rsidP="000A5389">
      <w:pPr>
        <w:spacing w:line="240" w:lineRule="auto"/>
      </w:pPr>
    </w:p>
    <w:p w14:paraId="2707CE56" w14:textId="006D828C" w:rsidR="003D5DB4" w:rsidRPr="002E1B4B" w:rsidRDefault="003D5DB4" w:rsidP="000A5389">
      <w:pPr>
        <w:spacing w:line="240" w:lineRule="auto"/>
      </w:pPr>
      <w:r w:rsidRPr="002E1B4B">
        <w:t>Naturaleza y alcance del derecho a utilizar Activos y los aspectos pactados en torno a lo que se espera que el concesionario proporcione en relación con el Acuerdo de concesión</w:t>
      </w:r>
    </w:p>
    <w:p w14:paraId="7183715C" w14:textId="77777777" w:rsidR="003D5DB4" w:rsidRDefault="003D5DB4" w:rsidP="000A5389">
      <w:pPr>
        <w:spacing w:line="240" w:lineRule="auto"/>
      </w:pPr>
      <w:r w:rsidRPr="002E1B4B">
        <w:t>Naturaleza y alcance del derecho de uso de los Activos</w:t>
      </w:r>
    </w:p>
    <w:p w14:paraId="35E60FDD" w14:textId="77777777" w:rsidR="00D749F2" w:rsidRPr="002E1B4B" w:rsidRDefault="00D749F2" w:rsidP="000A5389">
      <w:pPr>
        <w:spacing w:line="240" w:lineRule="auto"/>
      </w:pPr>
    </w:p>
    <w:p w14:paraId="5AA0D87F" w14:textId="77777777" w:rsidR="003D5DB4" w:rsidRPr="002E1B4B" w:rsidRDefault="003D5DB4" w:rsidP="000A5389">
      <w:pPr>
        <w:spacing w:line="240" w:lineRule="auto"/>
      </w:pPr>
      <w:r w:rsidRPr="002E1B4B">
        <w:t>Descripción: Los derechos que cedió el concedente al concesionario para explotar los activos en concesión, se encuentran en la parte General del Contrato capítulo III Aspectos Económicos del Contrato numeral 3.3 y se estableció que se ceden los peajes, derecho de recaudo e ingresos por explotación comercial. Activos para el desarrollo del acuerdo de concesión: En el Contrato de Concesión N° 010 de 2015, Parte Especial, numeral 3.5, Entrega de la Infraestructura literales (a) y (b),</w:t>
      </w:r>
    </w:p>
    <w:p w14:paraId="2795FFDB" w14:textId="77777777" w:rsidR="00D749F2" w:rsidRDefault="00D749F2" w:rsidP="000A5389">
      <w:pPr>
        <w:spacing w:line="240" w:lineRule="auto"/>
      </w:pPr>
    </w:p>
    <w:p w14:paraId="679E6690" w14:textId="55FB5FC6" w:rsidR="003D5DB4" w:rsidRPr="002E1B4B" w:rsidRDefault="003D5DB4" w:rsidP="000A5389">
      <w:pPr>
        <w:spacing w:line="240" w:lineRule="auto"/>
      </w:pPr>
      <w:r w:rsidRPr="002E1B4B">
        <w:t>Observaciones:</w:t>
      </w:r>
      <w:r w:rsidRPr="002E1B4B">
        <w:tab/>
        <w:t>N.A.</w:t>
      </w:r>
    </w:p>
    <w:p w14:paraId="42D187C4" w14:textId="77777777" w:rsidR="003D5DB4" w:rsidRPr="002E1B4B" w:rsidRDefault="003D5DB4" w:rsidP="000A5389">
      <w:pPr>
        <w:spacing w:line="240" w:lineRule="auto"/>
      </w:pPr>
    </w:p>
    <w:p w14:paraId="7B5241CA" w14:textId="77777777" w:rsidR="003D5DB4" w:rsidRPr="002E1B4B" w:rsidRDefault="003D5DB4" w:rsidP="000A5389">
      <w:pPr>
        <w:spacing w:line="240" w:lineRule="auto"/>
      </w:pPr>
      <w:r w:rsidRPr="002E1B4B">
        <w:t>Retribución al concesionario</w:t>
      </w:r>
    </w:p>
    <w:p w14:paraId="505AA78F" w14:textId="77777777" w:rsidR="00D749F2" w:rsidRDefault="00D749F2" w:rsidP="000A5389">
      <w:pPr>
        <w:spacing w:line="240" w:lineRule="auto"/>
      </w:pPr>
    </w:p>
    <w:p w14:paraId="1DB2EF8D" w14:textId="40852EA1" w:rsidR="003D5DB4" w:rsidRDefault="003D5DB4" w:rsidP="000A5389">
      <w:pPr>
        <w:spacing w:line="240" w:lineRule="auto"/>
      </w:pPr>
      <w:r w:rsidRPr="002E1B4B">
        <w:t>Descripción: En el numeral 3.5 de la PECC se hace referencia al cálculo para la obtención del VPIP y compensación por riesgos y en el literal a) se establece que “(…) en cualquier momento de la ejecución del contrato (Mes “m”), se podrá calcular el valor presente a referencia del VPIP acumulado hasta ese momento (…)”. Dado lo anterior, El VPIPm del recaudo asciende a $217.329.3 millones, teniendo en cuenta además las compensaciones otorgadas por tarifa diferencial. El reconocimiento del DR8 con la firma del acta con efectos transaccionales asciende a la suma de $306.170 millones, para un total VPIP de $523.499 millones es decir con un 28.1% de cumplimiento del VPIP total.</w:t>
      </w:r>
    </w:p>
    <w:p w14:paraId="2DB49D9F" w14:textId="77777777" w:rsidR="00D749F2" w:rsidRPr="002E1B4B" w:rsidRDefault="00D749F2" w:rsidP="000A5389">
      <w:pPr>
        <w:spacing w:line="240" w:lineRule="auto"/>
      </w:pPr>
    </w:p>
    <w:p w14:paraId="749CAFCA" w14:textId="77777777" w:rsidR="003D5DB4" w:rsidRDefault="003D5DB4" w:rsidP="000A5389">
      <w:pPr>
        <w:spacing w:line="240" w:lineRule="auto"/>
      </w:pPr>
      <w:r w:rsidRPr="002E1B4B">
        <w:t>Tasa de retribución:</w:t>
      </w:r>
      <w:r w:rsidRPr="002E1B4B">
        <w:tab/>
        <w:t>TDI: 0,5571%</w:t>
      </w:r>
    </w:p>
    <w:p w14:paraId="444DA11A" w14:textId="77777777" w:rsidR="00D749F2" w:rsidRPr="002E1B4B" w:rsidRDefault="00D749F2" w:rsidP="000A5389">
      <w:pPr>
        <w:spacing w:line="240" w:lineRule="auto"/>
      </w:pPr>
    </w:p>
    <w:p w14:paraId="3A10C1BC" w14:textId="77777777" w:rsidR="003D5DB4" w:rsidRDefault="003D5DB4" w:rsidP="000A5389">
      <w:pPr>
        <w:spacing w:line="240" w:lineRule="auto"/>
      </w:pPr>
      <w:r w:rsidRPr="002E1B4B">
        <w:t>Derechos a recibir Activos especificados al final del acuerdo de concesión</w:t>
      </w:r>
    </w:p>
    <w:p w14:paraId="7F1AAE60" w14:textId="77777777" w:rsidR="00D749F2" w:rsidRPr="002E1B4B" w:rsidRDefault="00D749F2" w:rsidP="000A5389">
      <w:pPr>
        <w:spacing w:line="240" w:lineRule="auto"/>
      </w:pPr>
    </w:p>
    <w:p w14:paraId="2FE50BC2" w14:textId="77777777" w:rsidR="003D5DB4" w:rsidRDefault="003D5DB4" w:rsidP="000A5389">
      <w:pPr>
        <w:spacing w:line="240" w:lineRule="auto"/>
      </w:pPr>
      <w:r w:rsidRPr="002E1B4B">
        <w:t>Descripción: La sección 9.7 literales a) al (h) de la Parte General del Contrato establece lo correspondiente a la reversión, que se dará cuando concluya la etapa de Operación y Mantenimiento o cuando el Contrato se termine anticipadamente.</w:t>
      </w:r>
    </w:p>
    <w:p w14:paraId="529982FB" w14:textId="77777777" w:rsidR="00D749F2" w:rsidRPr="002E1B4B" w:rsidRDefault="00D749F2" w:rsidP="000A5389">
      <w:pPr>
        <w:spacing w:line="240" w:lineRule="auto"/>
      </w:pPr>
    </w:p>
    <w:p w14:paraId="0100EFBE" w14:textId="77777777" w:rsidR="003D5DB4" w:rsidRDefault="003D5DB4" w:rsidP="000A5389">
      <w:pPr>
        <w:spacing w:line="240" w:lineRule="auto"/>
      </w:pPr>
      <w:r w:rsidRPr="002E1B4B">
        <w:lastRenderedPageBreak/>
        <w:t>Observaciones: El Apéndice Técnico 2 numeral 5 Reversión define: “todas las obras y bienes de la Concesión, incluyendo los predios de la zona del Corredor del Proyecto y las obras civiles (calzadas, separadores, intersecciones, estructuras, obras de drenaje, obras de arte y señales), las Estaciones de Peaje y sus equipos, las Estaciones de Pesaje y sus equipos, el Centro de Control de Operación y sus equipos, las Bases de Operación (uno o los que haya), las Áreas de Servicio, todos los automotores y equipos instalados para la Operación del Proyecto, incluyendo equipos y software de computación, equipos de telecomunicaciones, red de fibra óptica, los entregados a la Policía de Carreteras, los equipos de rescate, los elementos de Traslado Asistencial Médico (TAM) y cualquier otra obra y bien que forme parte de la concesión, deberán ser entregados a la ANI sin costo alguno y libre de todo gravamen.”</w:t>
      </w:r>
    </w:p>
    <w:p w14:paraId="28E41577" w14:textId="77777777" w:rsidR="00D749F2" w:rsidRPr="002E1B4B" w:rsidRDefault="00D749F2" w:rsidP="000A5389">
      <w:pPr>
        <w:spacing w:line="240" w:lineRule="auto"/>
      </w:pPr>
    </w:p>
    <w:p w14:paraId="1BF9EC78" w14:textId="77777777" w:rsidR="003D5DB4" w:rsidRDefault="003D5DB4" w:rsidP="000A5389">
      <w:pPr>
        <w:spacing w:line="240" w:lineRule="auto"/>
      </w:pPr>
      <w:r w:rsidRPr="002E1B4B">
        <w:t>Las alternativas de renovación y cese del acuerdo</w:t>
      </w:r>
    </w:p>
    <w:p w14:paraId="2832A8D9" w14:textId="77777777" w:rsidR="00D749F2" w:rsidRPr="002E1B4B" w:rsidRDefault="00D749F2" w:rsidP="000A5389">
      <w:pPr>
        <w:spacing w:line="240" w:lineRule="auto"/>
      </w:pPr>
    </w:p>
    <w:p w14:paraId="5DF18405" w14:textId="77777777" w:rsidR="003D5DB4" w:rsidRPr="002E1B4B" w:rsidRDefault="003D5DB4" w:rsidP="000A5389">
      <w:pPr>
        <w:spacing w:line="240" w:lineRule="auto"/>
      </w:pPr>
      <w:r w:rsidRPr="002E1B4B">
        <w:t>Descripción: Contrato de Concesión parte general Capitulo XI Cláusulas Excepcionales del Derecho Común Capítulo XVII Terminación del Contrato.</w:t>
      </w:r>
    </w:p>
    <w:p w14:paraId="1562A3A6" w14:textId="77777777" w:rsidR="003D5DB4" w:rsidRPr="002E1B4B" w:rsidRDefault="003D5DB4" w:rsidP="000A5389">
      <w:pPr>
        <w:spacing w:line="240" w:lineRule="auto"/>
      </w:pPr>
      <w:r w:rsidRPr="002E1B4B">
        <w:t>Observaciones:</w:t>
      </w:r>
      <w:r w:rsidRPr="002E1B4B">
        <w:tab/>
        <w:t>No se tiene observaciones</w:t>
      </w:r>
    </w:p>
    <w:p w14:paraId="042CE1CA" w14:textId="77777777" w:rsidR="003D5DB4" w:rsidRPr="002E1B4B" w:rsidRDefault="003D5DB4" w:rsidP="000A5389">
      <w:pPr>
        <w:spacing w:line="240" w:lineRule="auto"/>
      </w:pPr>
      <w:r w:rsidRPr="002E1B4B">
        <w:t>Cambios en el acuerdo de concesión que se realicen durante el periodo fiscal</w:t>
      </w:r>
    </w:p>
    <w:p w14:paraId="02B7596E" w14:textId="77777777" w:rsidR="00D749F2" w:rsidRDefault="00D749F2" w:rsidP="000A5389">
      <w:pPr>
        <w:spacing w:line="240" w:lineRule="auto"/>
      </w:pPr>
    </w:p>
    <w:p w14:paraId="48DEA4A0" w14:textId="3A845B82" w:rsidR="003D5DB4" w:rsidRPr="002E1B4B" w:rsidRDefault="003D5DB4" w:rsidP="000A5389">
      <w:pPr>
        <w:spacing w:line="240" w:lineRule="auto"/>
      </w:pPr>
      <w:r w:rsidRPr="002E1B4B">
        <w:t>Adiciones o modificaciones en tiempo</w:t>
      </w:r>
    </w:p>
    <w:p w14:paraId="205E6857" w14:textId="77777777" w:rsidR="003D5DB4" w:rsidRPr="002E1B4B" w:rsidRDefault="003D5DB4" w:rsidP="000A5389">
      <w:pPr>
        <w:spacing w:line="240" w:lineRule="auto"/>
      </w:pPr>
      <w:r w:rsidRPr="002E1B4B">
        <w:t>Fechas de las adiciones o modificaciones:</w:t>
      </w:r>
      <w:r w:rsidRPr="002E1B4B">
        <w:tab/>
        <w:t>No Aplica</w:t>
      </w:r>
    </w:p>
    <w:p w14:paraId="60D59FC1" w14:textId="77777777" w:rsidR="003D5DB4" w:rsidRPr="002E1B4B" w:rsidRDefault="003D5DB4" w:rsidP="000A5389">
      <w:pPr>
        <w:spacing w:line="240" w:lineRule="auto"/>
      </w:pPr>
      <w:r w:rsidRPr="002E1B4B">
        <w:t>Nueva Fecha de finalización estimada:</w:t>
      </w:r>
      <w:r w:rsidRPr="002E1B4B">
        <w:tab/>
        <w:t>No tiene Observaciones</w:t>
      </w:r>
    </w:p>
    <w:p w14:paraId="7E5E9A42" w14:textId="77777777" w:rsidR="003D5DB4" w:rsidRPr="002E1B4B" w:rsidRDefault="003D5DB4" w:rsidP="000A5389">
      <w:pPr>
        <w:spacing w:line="240" w:lineRule="auto"/>
      </w:pPr>
      <w:r w:rsidRPr="002E1B4B">
        <w:t>Observaciones: No Aplica</w:t>
      </w:r>
    </w:p>
    <w:p w14:paraId="2F52EEC0" w14:textId="77777777" w:rsidR="00D749F2" w:rsidRDefault="00D749F2" w:rsidP="000A5389">
      <w:pPr>
        <w:spacing w:line="240" w:lineRule="auto"/>
      </w:pPr>
    </w:p>
    <w:p w14:paraId="0E50CC71" w14:textId="4EEE8436" w:rsidR="003D5DB4" w:rsidRPr="002E1B4B" w:rsidRDefault="003D5DB4" w:rsidP="000A5389">
      <w:pPr>
        <w:spacing w:line="240" w:lineRule="auto"/>
      </w:pPr>
      <w:r w:rsidRPr="002E1B4B">
        <w:t>Adiciones o modificaciones en valor</w:t>
      </w:r>
    </w:p>
    <w:p w14:paraId="1A2AD97B" w14:textId="77777777" w:rsidR="00D749F2" w:rsidRDefault="00D749F2" w:rsidP="000A5389">
      <w:pPr>
        <w:spacing w:line="240" w:lineRule="auto"/>
      </w:pPr>
    </w:p>
    <w:p w14:paraId="4CBFC545" w14:textId="1B9E1225" w:rsidR="003D5DB4" w:rsidRPr="002E1B4B" w:rsidRDefault="003D5DB4" w:rsidP="000A5389">
      <w:pPr>
        <w:spacing w:line="240" w:lineRule="auto"/>
      </w:pPr>
      <w:r w:rsidRPr="002E1B4B">
        <w:t>Valor de la adición o modificación:</w:t>
      </w:r>
      <w:r w:rsidRPr="002E1B4B">
        <w:tab/>
        <w:t>No Aplica</w:t>
      </w:r>
    </w:p>
    <w:p w14:paraId="73FFC713" w14:textId="77777777" w:rsidR="003D5DB4" w:rsidRPr="002E1B4B" w:rsidRDefault="003D5DB4" w:rsidP="000A5389">
      <w:pPr>
        <w:spacing w:line="240" w:lineRule="auto"/>
      </w:pPr>
      <w:r w:rsidRPr="002E1B4B">
        <w:t>Nuevo valor del acuerdo:</w:t>
      </w:r>
      <w:r w:rsidRPr="002E1B4B">
        <w:tab/>
        <w:t>No Aplica</w:t>
      </w:r>
    </w:p>
    <w:p w14:paraId="36850A08" w14:textId="77777777" w:rsidR="003D5DB4" w:rsidRPr="002E1B4B" w:rsidRDefault="003D5DB4" w:rsidP="000A5389">
      <w:pPr>
        <w:spacing w:line="240" w:lineRule="auto"/>
      </w:pPr>
      <w:r w:rsidRPr="002E1B4B">
        <w:t>Observaciones:</w:t>
      </w:r>
      <w:r w:rsidRPr="002E1B4B">
        <w:tab/>
        <w:t>Sin Observaciones</w:t>
      </w:r>
    </w:p>
    <w:p w14:paraId="28DE9E90" w14:textId="77777777" w:rsidR="003D5DB4" w:rsidRDefault="003D5DB4" w:rsidP="000A5389">
      <w:pPr>
        <w:spacing w:line="240" w:lineRule="auto"/>
      </w:pPr>
    </w:p>
    <w:p w14:paraId="28E03639" w14:textId="77777777" w:rsidR="00D749F2" w:rsidRPr="002E1B4B" w:rsidRDefault="00D749F2" w:rsidP="000A5389">
      <w:pPr>
        <w:spacing w:line="240" w:lineRule="auto"/>
      </w:pPr>
    </w:p>
    <w:p w14:paraId="7F75C2FD" w14:textId="77777777" w:rsidR="003D5DB4" w:rsidRPr="00D749F2" w:rsidRDefault="003D5DB4" w:rsidP="000A5389">
      <w:pPr>
        <w:spacing w:line="240" w:lineRule="auto"/>
        <w:rPr>
          <w:i/>
          <w:iCs/>
        </w:rPr>
      </w:pPr>
      <w:r w:rsidRPr="00D749F2">
        <w:rPr>
          <w:i/>
          <w:iCs/>
        </w:rPr>
        <w:t>CONCESION PUERTA DE HIERRO PALMAR DE VARELAY CARRETO CRUZ DEL VISO</w:t>
      </w:r>
    </w:p>
    <w:p w14:paraId="07D88FD9" w14:textId="77777777" w:rsidR="00D749F2" w:rsidRDefault="00D749F2" w:rsidP="000A5389">
      <w:pPr>
        <w:spacing w:line="240" w:lineRule="auto"/>
      </w:pPr>
    </w:p>
    <w:p w14:paraId="63C66B74" w14:textId="3C8CFD27" w:rsidR="003D5DB4" w:rsidRPr="002E1B4B" w:rsidRDefault="003D5DB4" w:rsidP="000A5389">
      <w:pPr>
        <w:spacing w:line="240" w:lineRule="auto"/>
      </w:pPr>
      <w:r w:rsidRPr="002E1B4B">
        <w:t>Descripción del Acuerdo</w:t>
      </w:r>
    </w:p>
    <w:p w14:paraId="77E96C8E" w14:textId="77777777" w:rsidR="0068642D" w:rsidRDefault="0068642D" w:rsidP="000A5389">
      <w:pPr>
        <w:spacing w:line="240" w:lineRule="auto"/>
      </w:pPr>
    </w:p>
    <w:p w14:paraId="4E15319C" w14:textId="5FDE8D8E" w:rsidR="003D5DB4" w:rsidRPr="002E1B4B" w:rsidRDefault="003D5DB4" w:rsidP="000A5389">
      <w:pPr>
        <w:spacing w:line="240" w:lineRule="auto"/>
      </w:pPr>
      <w:r w:rsidRPr="002E1B4B">
        <w:t>Número del Acuerdo de concesión:  No 007 de 03 de julio 2015</w:t>
      </w:r>
    </w:p>
    <w:p w14:paraId="1E1CF9CD" w14:textId="77777777" w:rsidR="003D5DB4" w:rsidRPr="002E1B4B" w:rsidRDefault="003D5DB4" w:rsidP="000A5389">
      <w:pPr>
        <w:spacing w:line="240" w:lineRule="auto"/>
      </w:pPr>
      <w:r w:rsidRPr="002E1B4B">
        <w:t xml:space="preserve">Objeto / Descripción:  La Financiación, elaboración de estudios y diseños definitivos, gestión social y ambiental, gestión predial, construcción, mejoramiento, operación y mantenimiento del corredor Puerta Hierro – Palmar de Varela y Carreto – Cruz del Viso. </w:t>
      </w:r>
    </w:p>
    <w:p w14:paraId="58A7F5ED" w14:textId="77777777" w:rsidR="003D5DB4" w:rsidRPr="002E1B4B" w:rsidRDefault="003D5DB4" w:rsidP="000A5389">
      <w:pPr>
        <w:spacing w:line="240" w:lineRule="auto"/>
      </w:pPr>
      <w:r w:rsidRPr="002E1B4B">
        <w:t>Valor inicial:</w:t>
      </w:r>
      <w:r w:rsidRPr="002E1B4B">
        <w:tab/>
        <w:t>UN BILLÓN DOSCIENTOS CUARENTA MIL OCHOCIENTOS VEITISIETE MILLONES NOVECIENTOS NOVENTA Y SEIS MIL DOSCIENTOS CINCUENTA Y SEIS ($1.240.827.996.256.00) Pesos del Mes de Referencia (dic 2013).</w:t>
      </w:r>
    </w:p>
    <w:p w14:paraId="3E9277BD" w14:textId="77777777" w:rsidR="003D5DB4" w:rsidRPr="002E1B4B" w:rsidRDefault="003D5DB4" w:rsidP="000A5389">
      <w:pPr>
        <w:spacing w:line="240" w:lineRule="auto"/>
      </w:pPr>
      <w:r w:rsidRPr="002E1B4B">
        <w:t>Fecha de inicio: 20/08/2015</w:t>
      </w:r>
    </w:p>
    <w:p w14:paraId="1408640E" w14:textId="77777777" w:rsidR="003D5DB4" w:rsidRPr="002E1B4B" w:rsidRDefault="003D5DB4" w:rsidP="000A5389">
      <w:pPr>
        <w:spacing w:line="240" w:lineRule="auto"/>
      </w:pPr>
      <w:r w:rsidRPr="002E1B4B">
        <w:t>Fecha de finalización estimada:</w:t>
      </w:r>
      <w:r w:rsidRPr="002E1B4B">
        <w:tab/>
        <w:t>19/08/2040</w:t>
      </w:r>
    </w:p>
    <w:p w14:paraId="20F33120" w14:textId="77777777" w:rsidR="003D5DB4" w:rsidRPr="002E1B4B" w:rsidRDefault="003D5DB4" w:rsidP="000A5389">
      <w:pPr>
        <w:spacing w:line="240" w:lineRule="auto"/>
      </w:pPr>
      <w:r w:rsidRPr="002E1B4B">
        <w:lastRenderedPageBreak/>
        <w:t>Tipo ID:</w:t>
      </w:r>
      <w:r w:rsidRPr="002E1B4B">
        <w:tab/>
        <w:t>NIT</w:t>
      </w:r>
    </w:p>
    <w:p w14:paraId="2CB04968" w14:textId="77777777" w:rsidR="003D5DB4" w:rsidRPr="002E1B4B" w:rsidRDefault="003D5DB4" w:rsidP="000A5389">
      <w:pPr>
        <w:spacing w:line="240" w:lineRule="auto"/>
      </w:pPr>
      <w:r w:rsidRPr="002E1B4B">
        <w:t>Número ID:</w:t>
      </w:r>
      <w:r w:rsidRPr="002E1B4B">
        <w:tab/>
        <w:t>900.858.096</w:t>
      </w:r>
    </w:p>
    <w:p w14:paraId="1AB21F00" w14:textId="77777777" w:rsidR="0068642D" w:rsidRDefault="0068642D" w:rsidP="000A5389">
      <w:pPr>
        <w:spacing w:line="240" w:lineRule="auto"/>
      </w:pPr>
    </w:p>
    <w:p w14:paraId="01FCD7C7" w14:textId="50F679F9" w:rsidR="003D5DB4" w:rsidRPr="002E1B4B" w:rsidRDefault="003D5DB4" w:rsidP="000A5389">
      <w:pPr>
        <w:spacing w:line="240" w:lineRule="auto"/>
      </w:pPr>
      <w:r w:rsidRPr="002E1B4B">
        <w:t xml:space="preserve">Razón social del concesionario: SOCIEDAD CONCESIONARIA VIAL MONTES DE MARÍA S.A.S </w:t>
      </w:r>
    </w:p>
    <w:p w14:paraId="696493FB" w14:textId="77777777" w:rsidR="0068642D" w:rsidRDefault="0068642D" w:rsidP="000A5389">
      <w:pPr>
        <w:spacing w:line="240" w:lineRule="auto"/>
      </w:pPr>
    </w:p>
    <w:p w14:paraId="5BEE9B39" w14:textId="3E5BF8CD" w:rsidR="003D5DB4" w:rsidRPr="002E1B4B" w:rsidRDefault="003D5DB4" w:rsidP="000A5389">
      <w:pPr>
        <w:spacing w:line="240" w:lineRule="auto"/>
      </w:pPr>
      <w:r w:rsidRPr="002E1B4B">
        <w:t>Nombre del proyecto: CONCESION PUERTA DE HIERRO PALMAR DE VARELAY CARRETO CRUZ DEL VISO</w:t>
      </w:r>
    </w:p>
    <w:p w14:paraId="6BC5C0CF" w14:textId="77777777" w:rsidR="003D5DB4" w:rsidRPr="002E1B4B" w:rsidRDefault="003D5DB4" w:rsidP="000A5389">
      <w:pPr>
        <w:spacing w:line="240" w:lineRule="auto"/>
      </w:pPr>
    </w:p>
    <w:p w14:paraId="1C82B3A5" w14:textId="77777777" w:rsidR="003D5DB4" w:rsidRPr="002E1B4B" w:rsidRDefault="003D5DB4" w:rsidP="000A5389">
      <w:pPr>
        <w:spacing w:line="240" w:lineRule="auto"/>
      </w:pPr>
      <w:r w:rsidRPr="002E1B4B">
        <w:t>Términos significativos del Acuerdo que puedan afectar su valor, el calendario y la certeza de los flujos de efectivo futuros</w:t>
      </w:r>
    </w:p>
    <w:p w14:paraId="2B541245" w14:textId="77777777" w:rsidR="0068642D" w:rsidRDefault="0068642D" w:rsidP="000A5389">
      <w:pPr>
        <w:spacing w:line="240" w:lineRule="auto"/>
      </w:pPr>
    </w:p>
    <w:p w14:paraId="5D3290E3" w14:textId="528DF746" w:rsidR="003D5DB4" w:rsidRDefault="003D5DB4" w:rsidP="000A5389">
      <w:pPr>
        <w:spacing w:line="240" w:lineRule="auto"/>
      </w:pPr>
      <w:r w:rsidRPr="002E1B4B">
        <w:t>Términos de valor: En los meses de febrero y marzo de 2025  fue girado el valor del Aporte ANI de la vigencia de 2024, y en los meses de enero y febrero de 2025 se hicieron dos giros anticipados del Aporte ANI de la vigencia de 2025. En aplicación de la Sección 3.3. literal (i) Parte General del Contrato, por no incremento de tarifas de acuerdo con la Resolución contractual para la Estación de Peaje El Carmen en el periodo 2025 fue consignado por parte de la ANI a la Subcuenta de Recaudo el valor correspondiente a las actas de compensación trimestral: Actas No. 11, 12 y 13. En la vigencia 2025 para las Estaciones de Peaje El Carmen y Calamar se suscribieron y giraron a la Subcuenta de Recaudo los recursos correspondientes a las actas No. 11, 12 y 13 de compensación trimestral de menor recaudo por efectos del Decreto 050, que ordenó no incrementar las tarifas. A corte de 31 de diciembre de 2025 se suscribieron y pagaron actas de Retribución por Recaudo de Peaje y Aportes ANI entre el Concesionario y la Interventoría hasta el mes de octubre.</w:t>
      </w:r>
    </w:p>
    <w:p w14:paraId="66CED60C" w14:textId="77777777" w:rsidR="0068642D" w:rsidRPr="002E1B4B" w:rsidRDefault="0068642D" w:rsidP="000A5389">
      <w:pPr>
        <w:spacing w:line="240" w:lineRule="auto"/>
      </w:pPr>
    </w:p>
    <w:p w14:paraId="77ED4D65" w14:textId="77777777" w:rsidR="003D5DB4" w:rsidRDefault="003D5DB4" w:rsidP="000A5389">
      <w:pPr>
        <w:spacing w:line="240" w:lineRule="auto"/>
      </w:pPr>
      <w:r w:rsidRPr="002E1B4B">
        <w:t xml:space="preserve">Términos de calendario: La Etapa de Operación y Mantenimiento en que se encuentra el Proyecto se inició el 19 de mayo de 2021 y durante 2025 se cumplió lo establecido en la Sección 3.1 (d) de la Parte General que indica que la Retribución del Concesionario será calculada dentro de los primeros diez días del Mes siguiente al mes respecto del cual va a retribuir, también se cumplió con el literal (e) de la misma Sección, pues se remitieron a la ANI y a la Fiducia las Actas de Cálculo de la Retribución, a más tardar al Día Hábil siguiente a su suscripción. Adicionalmente, la Fiduciaria giró los recursos de las Actas cumpliendo la instrucción contractual que estable que de no haber objeción por parte de la ANI dentro de los doce Días Hábiles siguientes de su recepción, la Fiduciaria procederá con el giro. Las Actas de Cálculo de la Retribución se pagaron durante 2025 para todas las UF y su último pago al cierre del año fue el Actas de octubre de 2025.Se dio aplicación también a la Sección 4.2 (c) de la Parte Especial, pues el 16 de enero se incrementaron las tarifas de los peajes de acuerdo con el IPC del año anterior y con la Resolución 20253040026475 del 7 de julio de 2025 del Ministerio de Transporte.  Al inicio de 2025 existen aún los efectos del Decreto 050, por lo que no se podían subir las tarifas de los peajes de acuerdo con lo estipulado en el Contrato, sin embargo, el Ministerio de Transporte emitió la Resolución 20243040065055 del 31 de diciembre de 2024 en la cual definió que a partir del 1 de abril de 2025 las tarifas de los peajes se modificarían para cumplir con lo dispuesto en el Contrato, cesando así los efectos del Decreto 050 en los peajes del Proyecto.  De acuerdo de lo anterior, la ANI </w:t>
      </w:r>
      <w:r w:rsidRPr="002E1B4B">
        <w:lastRenderedPageBreak/>
        <w:t>reconoció y pagó durante la vigencia de 2025 las Actas trimestrales No. 11, 12 y 13 de compensación por menor recaudo para las Estaciones de El Carmen y Calamar correspondiente a los períodos comprendidos entre el 1 de agosto de 2024 y el 30 de abril de 2025, siendo la compensación por menor recaudo del mes de abril de 2025 únicamente de la Estación de Peaje El Carmen, por los efectos de la Resolución 20253040000365 del 10 de enero de 2025 del Ministerio de Transporte.   El 11 de febrero y el 7 de marzo de 2025 se realizaron los giros de la totalidad del Aporte ANI de 2024 actualizando el capital con la variable IPC de enero de 2025. El 31 de enero y el 28 de febrero de 2025 se hicieron dos giros anticipados del Aporte ANI de la vigencia de 2025. Sección 4.5(d) Parte Especial El valor de los Aportes ANI deben ser consignadas a mas tardar el 31 de diciembre de cada año. El aporte estatal de la vigencia 2024 no fueron girado durante 2024.</w:t>
      </w:r>
    </w:p>
    <w:p w14:paraId="3670FC08" w14:textId="77777777" w:rsidR="0068642D" w:rsidRPr="002E1B4B" w:rsidRDefault="0068642D" w:rsidP="000A5389">
      <w:pPr>
        <w:spacing w:line="240" w:lineRule="auto"/>
      </w:pPr>
    </w:p>
    <w:p w14:paraId="65BF2256" w14:textId="77777777" w:rsidR="003D5DB4" w:rsidRPr="002E1B4B" w:rsidRDefault="003D5DB4" w:rsidP="000A5389">
      <w:pPr>
        <w:spacing w:line="240" w:lineRule="auto"/>
      </w:pPr>
      <w:r w:rsidRPr="002E1B4B">
        <w:t xml:space="preserve">Términos de certeza de flujos de efectivo futuros: El Ministerio de Transporte emitió la Resolución 20243040065055 del 31 de diciembre de 2024, ordenando el incremento de las tarifas desde el 16 de enero y desde el 1 abril de 2025 con el propósito de que los efectos del Decreto 050 de 2023 cesen por completo para las Estaciones de Peaje del Proyecto.    El Ministerio de transporte emitió la Resolución20253040000365 del 10 de enero de 2025 donde ordenó suspender el incremento de las tarifas de la Estación de Peaje El Carmen por el término de 6 meses, no obstante, el mismo Ministerio emitió la Resolución 20253040026475 del 7 de julio de 2025, en donde dispuso el aumento de las tarifas para la Estación de Peaje El Carmen para los años 2026 a 2029.  </w:t>
      </w:r>
    </w:p>
    <w:p w14:paraId="709526D0" w14:textId="77777777" w:rsidR="003D5DB4" w:rsidRPr="002E1B4B" w:rsidRDefault="003D5DB4" w:rsidP="000A5389">
      <w:pPr>
        <w:spacing w:line="240" w:lineRule="auto"/>
      </w:pPr>
    </w:p>
    <w:p w14:paraId="24FEF725" w14:textId="77777777" w:rsidR="003D5DB4" w:rsidRDefault="003D5DB4" w:rsidP="000A5389">
      <w:pPr>
        <w:spacing w:line="240" w:lineRule="auto"/>
      </w:pPr>
      <w:r w:rsidRPr="002E1B4B">
        <w:t>Naturaleza y alcance del derecho a utilizar Activos y los aspectos pactados en torno a lo que se espera que el concesionario proporcione en relación con el Acuerdo de concesión</w:t>
      </w:r>
    </w:p>
    <w:p w14:paraId="2FB9E0FC" w14:textId="77777777" w:rsidR="0068642D" w:rsidRPr="002E1B4B" w:rsidRDefault="0068642D" w:rsidP="000A5389">
      <w:pPr>
        <w:spacing w:line="240" w:lineRule="auto"/>
      </w:pPr>
    </w:p>
    <w:p w14:paraId="645C0A66" w14:textId="77777777" w:rsidR="003D5DB4" w:rsidRDefault="003D5DB4" w:rsidP="000A5389">
      <w:pPr>
        <w:spacing w:line="240" w:lineRule="auto"/>
      </w:pPr>
      <w:r w:rsidRPr="002E1B4B">
        <w:t>Naturaleza y alcance del derecho de uso de los Activos</w:t>
      </w:r>
    </w:p>
    <w:p w14:paraId="525179D1" w14:textId="77777777" w:rsidR="0068642D" w:rsidRPr="002E1B4B" w:rsidRDefault="0068642D" w:rsidP="000A5389">
      <w:pPr>
        <w:spacing w:line="240" w:lineRule="auto"/>
      </w:pPr>
    </w:p>
    <w:p w14:paraId="3A07E198" w14:textId="77777777" w:rsidR="003D5DB4" w:rsidRPr="002E1B4B" w:rsidRDefault="003D5DB4" w:rsidP="000A5389">
      <w:pPr>
        <w:spacing w:line="240" w:lineRule="auto"/>
      </w:pPr>
      <w:r w:rsidRPr="002E1B4B">
        <w:t>Descripción: La sección 3.5 (b) del Capítulo III de la Parte Especial del Contrato determina la infraestructura programada para ser recibida por el Concesionario. La Sección 3.6 de la Parte Especial establece las Estaciones de Peaje. La Sección 3.3 Parte General peajes, dispone los derechos sobre el Recaudo de Peaje y los ingresos por Explotación Comercial.</w:t>
      </w:r>
    </w:p>
    <w:p w14:paraId="1B6E4824" w14:textId="77777777" w:rsidR="0068642D" w:rsidRDefault="0068642D" w:rsidP="000A5389">
      <w:pPr>
        <w:spacing w:line="240" w:lineRule="auto"/>
      </w:pPr>
    </w:p>
    <w:p w14:paraId="5B664555" w14:textId="1ABB385F" w:rsidR="003D5DB4" w:rsidRPr="002E1B4B" w:rsidRDefault="003D5DB4" w:rsidP="000A5389">
      <w:pPr>
        <w:spacing w:line="240" w:lineRule="auto"/>
      </w:pPr>
      <w:r w:rsidRPr="002E1B4B">
        <w:t>Observaciones:</w:t>
      </w:r>
      <w:r w:rsidRPr="002E1B4B">
        <w:tab/>
        <w:t>N/A</w:t>
      </w:r>
    </w:p>
    <w:p w14:paraId="4DE0AF4D" w14:textId="77777777" w:rsidR="0068642D" w:rsidRDefault="0068642D" w:rsidP="000A5389">
      <w:pPr>
        <w:spacing w:line="240" w:lineRule="auto"/>
      </w:pPr>
    </w:p>
    <w:p w14:paraId="7D7EA1CC" w14:textId="70D24652" w:rsidR="003D5DB4" w:rsidRPr="002E1B4B" w:rsidRDefault="003D5DB4" w:rsidP="000A5389">
      <w:pPr>
        <w:spacing w:line="240" w:lineRule="auto"/>
      </w:pPr>
      <w:r w:rsidRPr="002E1B4B">
        <w:t>Retribución al concesionario</w:t>
      </w:r>
    </w:p>
    <w:p w14:paraId="27B86DDC" w14:textId="77777777" w:rsidR="0068642D" w:rsidRDefault="0068642D" w:rsidP="000A5389">
      <w:pPr>
        <w:spacing w:line="240" w:lineRule="auto"/>
      </w:pPr>
    </w:p>
    <w:p w14:paraId="7E11F9BB" w14:textId="3FB1EC06" w:rsidR="003D5DB4" w:rsidRPr="002E1B4B" w:rsidRDefault="003D5DB4" w:rsidP="000A5389">
      <w:pPr>
        <w:spacing w:line="240" w:lineRule="auto"/>
      </w:pPr>
      <w:r w:rsidRPr="002E1B4B">
        <w:t>Descripción: Se establece en el Contrato en la Parte General Capítulo III Aspectos Económicos del Contrato numeral 3.1 Retribución al Concesionario literales a) al i) y 3.2 Deducciones por Desempeño y en la Parte Especial capítulo IV numeral 4.3 cálculo de la Retribución al cierre de la vigencia de 2025 se encuentran reconocidas actas de retribución al corte del mes de octubre de 2025.</w:t>
      </w:r>
    </w:p>
    <w:p w14:paraId="6FFC7076" w14:textId="77777777" w:rsidR="0068642D" w:rsidRDefault="0068642D" w:rsidP="000A5389">
      <w:pPr>
        <w:spacing w:line="240" w:lineRule="auto"/>
      </w:pPr>
    </w:p>
    <w:p w14:paraId="12A6670F" w14:textId="695B55EE" w:rsidR="003D5DB4" w:rsidRDefault="003D5DB4" w:rsidP="000A5389">
      <w:pPr>
        <w:spacing w:line="240" w:lineRule="auto"/>
      </w:pPr>
      <w:r w:rsidRPr="002E1B4B">
        <w:t>Tasa de retribución:</w:t>
      </w:r>
      <w:r w:rsidRPr="002E1B4B">
        <w:tab/>
        <w:t xml:space="preserve">En cuanto al Modelo Financiero con propósito Contable, la metodología para el cálculo de la carga financiera se estableció conforme a lo planteado en </w:t>
      </w:r>
      <w:r w:rsidRPr="002E1B4B">
        <w:lastRenderedPageBreak/>
        <w:t>el modelo financiero contratado por la Agencia. La carga financiera se obtiene a través del cálculo resultante para mantener el equilibrio entre los recursos disponibles del proyecto y las obligaciones pagar.</w:t>
      </w:r>
    </w:p>
    <w:p w14:paraId="5E38911D" w14:textId="77777777" w:rsidR="0068642D" w:rsidRPr="002E1B4B" w:rsidRDefault="0068642D" w:rsidP="000A5389">
      <w:pPr>
        <w:spacing w:line="240" w:lineRule="auto"/>
      </w:pPr>
    </w:p>
    <w:p w14:paraId="14CC6220" w14:textId="77777777" w:rsidR="003D5DB4" w:rsidRDefault="003D5DB4" w:rsidP="000A5389">
      <w:pPr>
        <w:spacing w:line="240" w:lineRule="auto"/>
      </w:pPr>
      <w:r w:rsidRPr="002E1B4B">
        <w:t>Derechos a recibir Activos especificados al final del acuerdo de concesión</w:t>
      </w:r>
    </w:p>
    <w:p w14:paraId="6C28C16E" w14:textId="77777777" w:rsidR="0068642D" w:rsidRPr="002E1B4B" w:rsidRDefault="0068642D" w:rsidP="000A5389">
      <w:pPr>
        <w:spacing w:line="240" w:lineRule="auto"/>
      </w:pPr>
    </w:p>
    <w:p w14:paraId="7FDD1786" w14:textId="77777777" w:rsidR="003D5DB4" w:rsidRPr="002E1B4B" w:rsidRDefault="003D5DB4" w:rsidP="000A5389">
      <w:pPr>
        <w:spacing w:line="240" w:lineRule="auto"/>
      </w:pPr>
      <w:r w:rsidRPr="002E1B4B">
        <w:t>Descripción: Sección 9.7 Etapa de Reversión de la Parte General del Contrato de Concesión.</w:t>
      </w:r>
    </w:p>
    <w:p w14:paraId="5FDC6ED5" w14:textId="77777777" w:rsidR="003D5DB4" w:rsidRPr="002E1B4B" w:rsidRDefault="003D5DB4" w:rsidP="000A5389">
      <w:pPr>
        <w:spacing w:line="240" w:lineRule="auto"/>
      </w:pPr>
      <w:r w:rsidRPr="002E1B4B">
        <w:t>Observaciones: No se tiene observación.</w:t>
      </w:r>
    </w:p>
    <w:p w14:paraId="2694C4A9" w14:textId="77777777" w:rsidR="003D5DB4" w:rsidRPr="002E1B4B" w:rsidRDefault="003D5DB4" w:rsidP="000A5389">
      <w:pPr>
        <w:spacing w:line="240" w:lineRule="auto"/>
      </w:pPr>
      <w:r w:rsidRPr="002E1B4B">
        <w:t>Las alternativas de renovación y cese del acuerdo</w:t>
      </w:r>
    </w:p>
    <w:p w14:paraId="344954B9" w14:textId="77777777" w:rsidR="003D5DB4" w:rsidRPr="002E1B4B" w:rsidRDefault="003D5DB4" w:rsidP="000A5389">
      <w:pPr>
        <w:spacing w:line="240" w:lineRule="auto"/>
      </w:pPr>
      <w:r w:rsidRPr="002E1B4B">
        <w:t>Descripción:</w:t>
      </w:r>
      <w:r w:rsidRPr="002E1B4B">
        <w:tab/>
        <w:t>No Aplica</w:t>
      </w:r>
    </w:p>
    <w:p w14:paraId="7C440210" w14:textId="77777777" w:rsidR="003D5DB4" w:rsidRPr="002E1B4B" w:rsidRDefault="003D5DB4" w:rsidP="000A5389">
      <w:pPr>
        <w:spacing w:line="240" w:lineRule="auto"/>
      </w:pPr>
      <w:r w:rsidRPr="002E1B4B">
        <w:t>Observaciones: No Aplica</w:t>
      </w:r>
    </w:p>
    <w:p w14:paraId="58101D3E" w14:textId="77777777" w:rsidR="003D5DB4" w:rsidRPr="002E1B4B" w:rsidRDefault="003D5DB4" w:rsidP="000A5389">
      <w:pPr>
        <w:spacing w:line="240" w:lineRule="auto"/>
      </w:pPr>
    </w:p>
    <w:p w14:paraId="7D3EB00E" w14:textId="77777777" w:rsidR="003D5DB4" w:rsidRPr="002E1B4B" w:rsidRDefault="003D5DB4" w:rsidP="000A5389">
      <w:pPr>
        <w:spacing w:line="240" w:lineRule="auto"/>
      </w:pPr>
      <w:r w:rsidRPr="002E1B4B">
        <w:t>Cambios en el acuerdo de concesión que se realicen durante el periodo fiscal</w:t>
      </w:r>
    </w:p>
    <w:p w14:paraId="547D2B26" w14:textId="77777777" w:rsidR="0068642D" w:rsidRDefault="0068642D" w:rsidP="000A5389">
      <w:pPr>
        <w:spacing w:line="240" w:lineRule="auto"/>
      </w:pPr>
    </w:p>
    <w:p w14:paraId="68F515CD" w14:textId="72918A8D" w:rsidR="003D5DB4" w:rsidRPr="002E1B4B" w:rsidRDefault="003D5DB4" w:rsidP="000A5389">
      <w:pPr>
        <w:spacing w:line="240" w:lineRule="auto"/>
      </w:pPr>
      <w:r w:rsidRPr="002E1B4B">
        <w:t>Adiciones o modificaciones en tiempo</w:t>
      </w:r>
    </w:p>
    <w:p w14:paraId="1D52381C" w14:textId="77777777" w:rsidR="003D5DB4" w:rsidRPr="002E1B4B" w:rsidRDefault="003D5DB4" w:rsidP="000A5389">
      <w:pPr>
        <w:spacing w:line="240" w:lineRule="auto"/>
      </w:pPr>
      <w:r w:rsidRPr="002E1B4B">
        <w:t>Fechas de las adiciones o modificaciones: No Aplica</w:t>
      </w:r>
    </w:p>
    <w:p w14:paraId="763F4D74" w14:textId="77777777" w:rsidR="003D5DB4" w:rsidRPr="002E1B4B" w:rsidRDefault="003D5DB4" w:rsidP="000A5389">
      <w:pPr>
        <w:spacing w:line="240" w:lineRule="auto"/>
      </w:pPr>
      <w:r w:rsidRPr="002E1B4B">
        <w:t>Nueva Fecha de finalización estimada:</w:t>
      </w:r>
      <w:r w:rsidRPr="002E1B4B">
        <w:tab/>
        <w:t>No Aplica</w:t>
      </w:r>
    </w:p>
    <w:p w14:paraId="758B5FB0" w14:textId="77777777" w:rsidR="003D5DB4" w:rsidRPr="002E1B4B" w:rsidRDefault="003D5DB4" w:rsidP="000A5389">
      <w:pPr>
        <w:spacing w:line="240" w:lineRule="auto"/>
      </w:pPr>
      <w:r w:rsidRPr="002E1B4B">
        <w:t>Observaciones: No Aplica</w:t>
      </w:r>
    </w:p>
    <w:p w14:paraId="052DD1C1" w14:textId="77777777" w:rsidR="0068642D" w:rsidRDefault="0068642D" w:rsidP="000A5389">
      <w:pPr>
        <w:spacing w:line="240" w:lineRule="auto"/>
      </w:pPr>
    </w:p>
    <w:p w14:paraId="7EE2C936" w14:textId="49D49CEC" w:rsidR="003D5DB4" w:rsidRPr="002E1B4B" w:rsidRDefault="003D5DB4" w:rsidP="000A5389">
      <w:pPr>
        <w:spacing w:line="240" w:lineRule="auto"/>
      </w:pPr>
      <w:r w:rsidRPr="002E1B4B">
        <w:t>Adiciones o modificaciones en valor</w:t>
      </w:r>
    </w:p>
    <w:p w14:paraId="4961442A" w14:textId="77777777" w:rsidR="0068642D" w:rsidRDefault="0068642D" w:rsidP="000A5389">
      <w:pPr>
        <w:spacing w:line="240" w:lineRule="auto"/>
      </w:pPr>
    </w:p>
    <w:p w14:paraId="5D4E1A92" w14:textId="16C61D5D" w:rsidR="003D5DB4" w:rsidRPr="002E1B4B" w:rsidRDefault="003D5DB4" w:rsidP="000A5389">
      <w:pPr>
        <w:spacing w:line="240" w:lineRule="auto"/>
      </w:pPr>
      <w:r w:rsidRPr="002E1B4B">
        <w:t>Valor de la adición o modificación:</w:t>
      </w:r>
      <w:r w:rsidRPr="002E1B4B">
        <w:tab/>
        <w:t>No Aplica</w:t>
      </w:r>
    </w:p>
    <w:p w14:paraId="185E39EB" w14:textId="77777777" w:rsidR="003D5DB4" w:rsidRPr="002E1B4B" w:rsidRDefault="003D5DB4" w:rsidP="000A5389">
      <w:pPr>
        <w:spacing w:line="240" w:lineRule="auto"/>
      </w:pPr>
      <w:r w:rsidRPr="002E1B4B">
        <w:t>Nuevo valor del acuerdo: No Aplica</w:t>
      </w:r>
    </w:p>
    <w:p w14:paraId="71E0AEE8" w14:textId="77777777" w:rsidR="003D5DB4" w:rsidRPr="002E1B4B" w:rsidRDefault="003D5DB4" w:rsidP="000A5389">
      <w:pPr>
        <w:spacing w:line="240" w:lineRule="auto"/>
      </w:pPr>
      <w:r w:rsidRPr="002E1B4B">
        <w:t>Observaciones: No Aplica</w:t>
      </w:r>
    </w:p>
    <w:p w14:paraId="53A2DF82" w14:textId="77777777" w:rsidR="003D5DB4" w:rsidRDefault="003D5DB4" w:rsidP="000A5389">
      <w:pPr>
        <w:spacing w:line="240" w:lineRule="auto"/>
      </w:pPr>
    </w:p>
    <w:p w14:paraId="6F88B799" w14:textId="77777777" w:rsidR="0068642D" w:rsidRDefault="0068642D" w:rsidP="000A5389">
      <w:pPr>
        <w:spacing w:line="240" w:lineRule="auto"/>
      </w:pPr>
    </w:p>
    <w:p w14:paraId="55C4C52E" w14:textId="77777777" w:rsidR="0068642D" w:rsidRPr="002E1B4B" w:rsidRDefault="0068642D" w:rsidP="000A5389">
      <w:pPr>
        <w:spacing w:line="240" w:lineRule="auto"/>
      </w:pPr>
    </w:p>
    <w:p w14:paraId="2A65675A" w14:textId="77777777" w:rsidR="003D5DB4" w:rsidRPr="0068642D" w:rsidRDefault="003D5DB4" w:rsidP="000A5389">
      <w:pPr>
        <w:spacing w:line="240" w:lineRule="auto"/>
        <w:rPr>
          <w:i/>
          <w:iCs/>
        </w:rPr>
      </w:pPr>
      <w:r w:rsidRPr="0068642D">
        <w:rPr>
          <w:i/>
          <w:iCs/>
        </w:rPr>
        <w:t>MALLA VIAL DEL META</w:t>
      </w:r>
    </w:p>
    <w:p w14:paraId="7A3A85D2" w14:textId="77777777" w:rsidR="0068642D" w:rsidRDefault="0068642D" w:rsidP="000A5389">
      <w:pPr>
        <w:spacing w:line="240" w:lineRule="auto"/>
      </w:pPr>
    </w:p>
    <w:p w14:paraId="0F3ABB78" w14:textId="78CD6221" w:rsidR="003D5DB4" w:rsidRPr="002E1B4B" w:rsidRDefault="003D5DB4" w:rsidP="000A5389">
      <w:pPr>
        <w:spacing w:line="240" w:lineRule="auto"/>
      </w:pPr>
      <w:r w:rsidRPr="002E1B4B">
        <w:t>Descripción del Acuerdo</w:t>
      </w:r>
    </w:p>
    <w:p w14:paraId="5B36A0EA" w14:textId="77777777" w:rsidR="003D5DB4" w:rsidRPr="002E1B4B" w:rsidRDefault="003D5DB4" w:rsidP="000A5389">
      <w:pPr>
        <w:spacing w:line="240" w:lineRule="auto"/>
      </w:pPr>
      <w:r w:rsidRPr="002E1B4B">
        <w:t>Número del Acuerdo de concesión:  Contrato APP No 004 del 04 de mayo de 2015 - Otrosí No. 10 del 08 de enero de 2010</w:t>
      </w:r>
    </w:p>
    <w:p w14:paraId="59C8254C" w14:textId="77777777" w:rsidR="003D5DB4" w:rsidRPr="002E1B4B" w:rsidRDefault="003D5DB4" w:rsidP="000A5389">
      <w:pPr>
        <w:spacing w:line="240" w:lineRule="auto"/>
      </w:pPr>
      <w:r w:rsidRPr="002E1B4B">
        <w:t>Objeto / Descripción:  Realizar los estudios, diseños, financiación, construcción, operación, mantenimiento, gestión social, predial y ambiental respecto de los siguientes ítems a saber: i) Corredor Granada – Villavicencio – Puerto López – Puerto Gaitán – Puente Arrimen. ii) Anillo Vial de Villavicencio y Accesos a la Ciudad – Malla Vial del Meta</w:t>
      </w:r>
    </w:p>
    <w:p w14:paraId="6E4BAAD9" w14:textId="77777777" w:rsidR="003D5DB4" w:rsidRPr="002E1B4B" w:rsidRDefault="003D5DB4" w:rsidP="000A5389">
      <w:pPr>
        <w:spacing w:line="240" w:lineRule="auto"/>
      </w:pPr>
      <w:r w:rsidRPr="002E1B4B">
        <w:t>Valor inicial:</w:t>
      </w:r>
      <w:r w:rsidRPr="002E1B4B">
        <w:tab/>
        <w:t>$ 3.200.531.909.579,00</w:t>
      </w:r>
    </w:p>
    <w:p w14:paraId="67E649A8" w14:textId="77777777" w:rsidR="003D5DB4" w:rsidRPr="002E1B4B" w:rsidRDefault="003D5DB4" w:rsidP="000A5389">
      <w:pPr>
        <w:spacing w:line="240" w:lineRule="auto"/>
      </w:pPr>
      <w:r w:rsidRPr="002E1B4B">
        <w:t>Fecha de inicio:</w:t>
      </w:r>
      <w:r w:rsidRPr="002E1B4B">
        <w:tab/>
        <w:t>5/05/2015</w:t>
      </w:r>
    </w:p>
    <w:p w14:paraId="08A49192" w14:textId="77777777" w:rsidR="003D5DB4" w:rsidRPr="002E1B4B" w:rsidRDefault="003D5DB4" w:rsidP="000A5389">
      <w:pPr>
        <w:spacing w:line="240" w:lineRule="auto"/>
      </w:pPr>
      <w:r w:rsidRPr="002E1B4B">
        <w:t>Fecha de finalización estimada:</w:t>
      </w:r>
      <w:r w:rsidRPr="002E1B4B">
        <w:tab/>
        <w:t>4/06/2045</w:t>
      </w:r>
    </w:p>
    <w:p w14:paraId="2C7131DB" w14:textId="77777777" w:rsidR="003D5DB4" w:rsidRPr="002E1B4B" w:rsidRDefault="003D5DB4" w:rsidP="000A5389">
      <w:pPr>
        <w:spacing w:line="240" w:lineRule="auto"/>
      </w:pPr>
      <w:r w:rsidRPr="002E1B4B">
        <w:t>Tipo ID:</w:t>
      </w:r>
      <w:r w:rsidRPr="002E1B4B">
        <w:tab/>
        <w:t>NIT</w:t>
      </w:r>
    </w:p>
    <w:p w14:paraId="0D9271A8" w14:textId="77777777" w:rsidR="003D5DB4" w:rsidRPr="002E1B4B" w:rsidRDefault="003D5DB4" w:rsidP="000A5389">
      <w:pPr>
        <w:spacing w:line="240" w:lineRule="auto"/>
      </w:pPr>
      <w:r w:rsidRPr="002E1B4B">
        <w:t>Número ID:</w:t>
      </w:r>
      <w:r w:rsidRPr="002E1B4B">
        <w:tab/>
        <w:t>900.843.297-2</w:t>
      </w:r>
    </w:p>
    <w:p w14:paraId="461EFE5E" w14:textId="77777777" w:rsidR="003D5DB4" w:rsidRPr="002E1B4B" w:rsidRDefault="003D5DB4" w:rsidP="000A5389">
      <w:pPr>
        <w:spacing w:line="240" w:lineRule="auto"/>
      </w:pPr>
      <w:r w:rsidRPr="002E1B4B">
        <w:t>Razón social del concesionario:</w:t>
      </w:r>
      <w:r w:rsidRPr="002E1B4B">
        <w:tab/>
        <w:t>Concesión Vial De Los Llanos SAS</w:t>
      </w:r>
    </w:p>
    <w:p w14:paraId="2E1128CD" w14:textId="77777777" w:rsidR="003D5DB4" w:rsidRPr="002E1B4B" w:rsidRDefault="003D5DB4" w:rsidP="000A5389">
      <w:pPr>
        <w:spacing w:line="240" w:lineRule="auto"/>
      </w:pPr>
      <w:r w:rsidRPr="002E1B4B">
        <w:t>Nombre del proyecto:</w:t>
      </w:r>
      <w:r w:rsidRPr="002E1B4B">
        <w:tab/>
        <w:t>Malla Vial Meta</w:t>
      </w:r>
    </w:p>
    <w:p w14:paraId="63571357" w14:textId="77777777" w:rsidR="003D5DB4" w:rsidRPr="002E1B4B" w:rsidRDefault="003D5DB4" w:rsidP="000A5389">
      <w:pPr>
        <w:spacing w:line="240" w:lineRule="auto"/>
      </w:pPr>
    </w:p>
    <w:p w14:paraId="1E8DECC4" w14:textId="77777777" w:rsidR="003D5DB4" w:rsidRPr="002E1B4B" w:rsidRDefault="003D5DB4" w:rsidP="000A5389">
      <w:pPr>
        <w:spacing w:line="240" w:lineRule="auto"/>
      </w:pPr>
      <w:r w:rsidRPr="002E1B4B">
        <w:lastRenderedPageBreak/>
        <w:t>Términos significativos del Acuerdo que puedan afectar su valor, el calendario y la certeza de los flujos de efectivo futuros</w:t>
      </w:r>
    </w:p>
    <w:p w14:paraId="70A001C8" w14:textId="77777777" w:rsidR="0068642D" w:rsidRDefault="0068642D" w:rsidP="000A5389">
      <w:pPr>
        <w:spacing w:line="240" w:lineRule="auto"/>
      </w:pPr>
    </w:p>
    <w:p w14:paraId="45C0CDDB" w14:textId="137452FA" w:rsidR="003D5DB4" w:rsidRPr="002E1B4B" w:rsidRDefault="003D5DB4" w:rsidP="000A5389">
      <w:pPr>
        <w:spacing w:line="240" w:lineRule="auto"/>
      </w:pPr>
      <w:r w:rsidRPr="002E1B4B">
        <w:t>Términos de valor: En el año 2025 el esquema tarifario establecido en la Resolución No. 20213040037385 del 26 de agosto de 2021, fue ajustado con el índice de inflación del año 2024, es decir, 5,2 %.</w:t>
      </w:r>
    </w:p>
    <w:p w14:paraId="435996F2" w14:textId="77777777" w:rsidR="0068642D" w:rsidRDefault="0068642D" w:rsidP="000A5389">
      <w:pPr>
        <w:spacing w:line="240" w:lineRule="auto"/>
      </w:pPr>
    </w:p>
    <w:p w14:paraId="10A61C4F" w14:textId="3C7A8553" w:rsidR="003D5DB4" w:rsidRPr="002E1B4B" w:rsidRDefault="003D5DB4" w:rsidP="000A5389">
      <w:pPr>
        <w:spacing w:line="240" w:lineRule="auto"/>
      </w:pPr>
      <w:r w:rsidRPr="002E1B4B">
        <w:t>Términos de calendario: El estado de avance determina la evolución del proceso constructivo. En términos generales a la entrega de la infraestructura y el cumplimiento de los correspondientes niveles de servicio se genera el derecho por parte del concesionario a recibir la retribución. La etapa de construcción el 16/06/2022, y su terminación está programada para el 27/11/2025</w:t>
      </w:r>
    </w:p>
    <w:p w14:paraId="35446E35" w14:textId="77777777" w:rsidR="0068642D" w:rsidRDefault="0068642D" w:rsidP="000A5389">
      <w:pPr>
        <w:spacing w:line="240" w:lineRule="auto"/>
      </w:pPr>
    </w:p>
    <w:p w14:paraId="4F98BCB1" w14:textId="5F009AED" w:rsidR="003D5DB4" w:rsidRPr="002E1B4B" w:rsidRDefault="003D5DB4" w:rsidP="000A5389">
      <w:pPr>
        <w:spacing w:line="240" w:lineRule="auto"/>
      </w:pPr>
      <w:r w:rsidRPr="002E1B4B">
        <w:t>Términos de certeza de flujos de efectivo futuros: La principal fuente de efectivo del proyecto es el ingreso por la tasa de peaje. Durante la vigencia del presente reporte el esquema tarifario fue ajustado con el índice de inflación del año 2024.</w:t>
      </w:r>
    </w:p>
    <w:p w14:paraId="318BC2C5" w14:textId="77777777" w:rsidR="003D5DB4" w:rsidRPr="002E1B4B" w:rsidRDefault="003D5DB4" w:rsidP="000A5389">
      <w:pPr>
        <w:spacing w:line="240" w:lineRule="auto"/>
      </w:pPr>
    </w:p>
    <w:p w14:paraId="59BBCBB1" w14:textId="77777777" w:rsidR="003D5DB4" w:rsidRDefault="003D5DB4" w:rsidP="000A5389">
      <w:pPr>
        <w:spacing w:line="240" w:lineRule="auto"/>
      </w:pPr>
      <w:r w:rsidRPr="002E1B4B">
        <w:t>Naturaleza y alcance del derecho a utilizar Activos y los aspectos pactados en torno a lo que se espera que el concesionario proporcione en relación con el Acuerdo de concesión</w:t>
      </w:r>
    </w:p>
    <w:p w14:paraId="72AA9C23" w14:textId="77777777" w:rsidR="0068642D" w:rsidRPr="002E1B4B" w:rsidRDefault="0068642D" w:rsidP="000A5389">
      <w:pPr>
        <w:spacing w:line="240" w:lineRule="auto"/>
      </w:pPr>
    </w:p>
    <w:p w14:paraId="1482341F" w14:textId="77777777" w:rsidR="003D5DB4" w:rsidRPr="002E1B4B" w:rsidRDefault="003D5DB4" w:rsidP="000A5389">
      <w:pPr>
        <w:spacing w:line="240" w:lineRule="auto"/>
      </w:pPr>
      <w:r w:rsidRPr="002E1B4B">
        <w:t>Naturaleza y alcance del derecho de uso de los Activos</w:t>
      </w:r>
    </w:p>
    <w:p w14:paraId="051702B7" w14:textId="77777777" w:rsidR="0068642D" w:rsidRDefault="0068642D" w:rsidP="000A5389">
      <w:pPr>
        <w:spacing w:line="240" w:lineRule="auto"/>
      </w:pPr>
    </w:p>
    <w:p w14:paraId="62165589" w14:textId="1634DD35" w:rsidR="003D5DB4" w:rsidRDefault="003D5DB4" w:rsidP="000A5389">
      <w:pPr>
        <w:spacing w:line="240" w:lineRule="auto"/>
      </w:pPr>
      <w:r w:rsidRPr="002E1B4B">
        <w:t>Descripción: La naturaleza y alcance del derecho al uso de activos especificados, esta determinada por la infraestructura definida en el otrosí 10, Parte Especial, Numeral 3,5; particularmente por el uso de las vías Granada - La Ye de Granada, Ye de Granada - Villavicencio, Villavicencio - Puerto López, y Puerto López - Puerto Gaitán; así como las estaciones de peaje Ocoa, La Libertad, Iracá, Yucao y Casetabla</w:t>
      </w:r>
    </w:p>
    <w:p w14:paraId="64E11515" w14:textId="77777777" w:rsidR="0068642D" w:rsidRPr="002E1B4B" w:rsidRDefault="0068642D" w:rsidP="000A5389">
      <w:pPr>
        <w:spacing w:line="240" w:lineRule="auto"/>
      </w:pPr>
    </w:p>
    <w:p w14:paraId="0DDC6587" w14:textId="77777777" w:rsidR="003D5DB4" w:rsidRPr="002E1B4B" w:rsidRDefault="003D5DB4" w:rsidP="000A5389">
      <w:pPr>
        <w:spacing w:line="240" w:lineRule="auto"/>
      </w:pPr>
      <w:r w:rsidRPr="002E1B4B">
        <w:t>Observaciones: El concesionario tiene el derecho a obtener el VPIP contractual. El otrosí N° 10 suscrito el 8 de enero de 2021, modificó el valor del VPIP previsto en la Parte Especial del Contrato de Concesión, Capítulo II Tabla de Referencias a la Parte General en el numeral 1.169 el VPIP equivale a la suma de $ 951.237.143.568 pesos del mes de referencia. Con corte a diciembre de 2025, el VPIP acumulado asciende a la suma de $452.125.385.700</w:t>
      </w:r>
    </w:p>
    <w:p w14:paraId="5E7E30AF" w14:textId="77777777" w:rsidR="0068642D" w:rsidRDefault="0068642D" w:rsidP="000A5389">
      <w:pPr>
        <w:spacing w:line="240" w:lineRule="auto"/>
      </w:pPr>
    </w:p>
    <w:p w14:paraId="5B2FB014" w14:textId="29F2B107" w:rsidR="003D5DB4" w:rsidRPr="002E1B4B" w:rsidRDefault="003D5DB4" w:rsidP="000A5389">
      <w:pPr>
        <w:spacing w:line="240" w:lineRule="auto"/>
      </w:pPr>
      <w:r w:rsidRPr="002E1B4B">
        <w:t>Retribución al concesionario</w:t>
      </w:r>
    </w:p>
    <w:p w14:paraId="71115AC1" w14:textId="77777777" w:rsidR="0068642D" w:rsidRDefault="0068642D" w:rsidP="000A5389">
      <w:pPr>
        <w:spacing w:line="240" w:lineRule="auto"/>
      </w:pPr>
    </w:p>
    <w:p w14:paraId="4F82C668" w14:textId="41D38537" w:rsidR="003D5DB4" w:rsidRDefault="003D5DB4" w:rsidP="000A5389">
      <w:pPr>
        <w:spacing w:line="240" w:lineRule="auto"/>
      </w:pPr>
      <w:r w:rsidRPr="002E1B4B">
        <w:t>Descripción: La retribución es la contraprestación económica a la que tiene derecho el Concesionario, según se define y se estable en la Parte General del contrato, en la sección 1.143 y en el numeral 3.1. El derecho a la retribución por cada unidad funcional inicia a partir de la suscripción de la respectiva acta de terminación de unidad funcional. Las fuentes de retribución son recaudo de peajes e ingresos por explotación comercial.</w:t>
      </w:r>
    </w:p>
    <w:p w14:paraId="24C57456" w14:textId="77777777" w:rsidR="0068642D" w:rsidRPr="002E1B4B" w:rsidRDefault="0068642D" w:rsidP="000A5389">
      <w:pPr>
        <w:spacing w:line="240" w:lineRule="auto"/>
      </w:pPr>
    </w:p>
    <w:p w14:paraId="67026722" w14:textId="77777777" w:rsidR="003D5DB4" w:rsidRPr="002E1B4B" w:rsidRDefault="003D5DB4" w:rsidP="000A5389">
      <w:pPr>
        <w:spacing w:line="240" w:lineRule="auto"/>
      </w:pPr>
      <w:r w:rsidRPr="002E1B4B">
        <w:t>Tasa de retribución:</w:t>
      </w:r>
      <w:r w:rsidRPr="002E1B4B">
        <w:tab/>
        <w:t xml:space="preserve">La metodología para el cálculo de la carga financiera se estableció conforme a lo planteado en el modelo financiero contratado por la entidad, en este la carga </w:t>
      </w:r>
      <w:r w:rsidRPr="002E1B4B">
        <w:lastRenderedPageBreak/>
        <w:t>financiera se obtiene a través del cálculo de una tasa resultante para mantener el equilibrio entre los recursos disponibles del proyecto y las obligaciones a pagar, la tasa que asegure ese equilibrio es la tasa de cierre del modelo. La retribución al concesionario corresponde por las unidades funcionales UF0, UF1 y UF7-8. Para la UF0 el porcentaje de retribución es del 47,70 % sobre el recaudo del mes, según otrosí N° 10 suscrito el 8 de enero de 2021, mientras que para la UF1 es del 5,53 %. A 31 de diciembre de 2025 la retribución acumulada por UF0 es de $391.863.333.628,17. En cuanto a las unidades funcionales UF1 y UF7-8, a 31 de diciembre de 2025, la retribución acumulada es de $77.500.619.811,28 y $75.037.490.777,34, respectivamente. La tasa de descuento real (TDI) del proyecto es de 0,6207 % efectivo mensual.</w:t>
      </w:r>
    </w:p>
    <w:p w14:paraId="623B7E02" w14:textId="77777777" w:rsidR="003D5DB4" w:rsidRPr="002E1B4B" w:rsidRDefault="003D5DB4" w:rsidP="000A5389">
      <w:pPr>
        <w:spacing w:line="240" w:lineRule="auto"/>
      </w:pPr>
    </w:p>
    <w:p w14:paraId="1F5DF9D5" w14:textId="77777777" w:rsidR="003D5DB4" w:rsidRDefault="003D5DB4" w:rsidP="000A5389">
      <w:pPr>
        <w:spacing w:line="240" w:lineRule="auto"/>
      </w:pPr>
      <w:r w:rsidRPr="002E1B4B">
        <w:t>Derechos a recibir Activos especificados al final del acuerdo de concesión</w:t>
      </w:r>
    </w:p>
    <w:p w14:paraId="7623DFCF" w14:textId="77777777" w:rsidR="0068642D" w:rsidRPr="002E1B4B" w:rsidRDefault="0068642D" w:rsidP="000A5389">
      <w:pPr>
        <w:spacing w:line="240" w:lineRule="auto"/>
      </w:pPr>
    </w:p>
    <w:p w14:paraId="73461174" w14:textId="77777777" w:rsidR="003D5DB4" w:rsidRPr="002E1B4B" w:rsidRDefault="003D5DB4" w:rsidP="000A5389">
      <w:pPr>
        <w:spacing w:line="240" w:lineRule="auto"/>
      </w:pPr>
      <w:r w:rsidRPr="002E1B4B">
        <w:t>Descripción: La sección 9.7 literales a) al (h) de la Parte General del Contrato establece lo correspondiente a la reversión, que se dará cuando concluya la etapa de Operación y Mantenimiento o cuando el Contrato se termine anticipadamente</w:t>
      </w:r>
    </w:p>
    <w:p w14:paraId="62188E5E" w14:textId="77777777" w:rsidR="003D5DB4" w:rsidRDefault="003D5DB4" w:rsidP="000A5389">
      <w:pPr>
        <w:spacing w:line="240" w:lineRule="auto"/>
      </w:pPr>
      <w:r w:rsidRPr="002E1B4B">
        <w:t>Observaciones: El Apéndice Técnico 2 numeral 5 Reversión define: “todas las obras y bienes de la Concesión, incluyendo los predios de la zona del Corredor del Proyecto y las obras civiles (calzadas, separadores, intersecciones, estructuras, obras de drenaje, obras de arte y señales), las Estaciones de Peaje y sus equipos, las Estaciones de Pesaje y sus equipos, el Centro de Control de Operación y sus equipos, las Bases de Operación (uno o los que haya), las Áreas de Servicio, todos los automotores y equipos instalados para la Operación del Proyecto, incluyendo equipos y software de computación, equipos de telecomunicaciones, red de fibra óptica, los entregados a la Policía de Carreteras, los equipos de rescate, los elementos de Traslado Asistencial Médico (TAM) y cualquier otra obra y bien que forme parte de la concesión, deberán ser entregados a la ANI sin costo alguno y libre de todo gravamen.”</w:t>
      </w:r>
    </w:p>
    <w:p w14:paraId="1F0D26F7" w14:textId="77777777" w:rsidR="0068642D" w:rsidRPr="002E1B4B" w:rsidRDefault="0068642D" w:rsidP="000A5389">
      <w:pPr>
        <w:spacing w:line="240" w:lineRule="auto"/>
      </w:pPr>
    </w:p>
    <w:p w14:paraId="631A9678" w14:textId="77777777" w:rsidR="003D5DB4" w:rsidRDefault="003D5DB4" w:rsidP="000A5389">
      <w:pPr>
        <w:spacing w:line="240" w:lineRule="auto"/>
      </w:pPr>
      <w:r w:rsidRPr="002E1B4B">
        <w:t>Las alternativas de renovación y cese del acuerdo</w:t>
      </w:r>
    </w:p>
    <w:p w14:paraId="524C7EC6" w14:textId="77777777" w:rsidR="0068642D" w:rsidRPr="002E1B4B" w:rsidRDefault="0068642D" w:rsidP="000A5389">
      <w:pPr>
        <w:spacing w:line="240" w:lineRule="auto"/>
      </w:pPr>
    </w:p>
    <w:p w14:paraId="0E0B7022" w14:textId="77777777" w:rsidR="003D5DB4" w:rsidRDefault="003D5DB4" w:rsidP="000A5389">
      <w:pPr>
        <w:spacing w:line="240" w:lineRule="auto"/>
      </w:pPr>
      <w:r w:rsidRPr="002E1B4B">
        <w:t xml:space="preserve">Descripción: La terminación anticipada del contrato procederá por causas imputables al concesionario, ante la declaración de caducidad, o por declaratoria de terminación unilateral, en los términos establecidos en el literal A, numeral 17.2, Capítulo 17, Parte General del Contrato. También podrá terminar anticipadamente, por causas no imputables a ninguna de las partes, por ocurrencia de un Evento Eximente de Responsabilidad con duración mayor a 90 días y se haya paralizado la ejecución del contrato en su totalidad; por declaratoria de terminación unilateral; por solicitud de cualquiera de las Partes ante la ocurrencia del evento previsto en las Secciones  3.4(g), 3.4(i), 7.4, 8.1(e) y 8.2(j) de Parte General; en caso de materialización de un riesgo a cargo de la ANI que no pueda ser compensado mediante los mecanismos establecidos en la sección 3.2 de Parte General; y por decisión unilateral de la ANI de acuerdo con la autorización de que trata el artículo 32 de la Ley 1508 de 2012; todas estas causas ajustadas a los términos del el literal B, numeral 17.2, Capítulo 17, Parte General del Contrato. </w:t>
      </w:r>
    </w:p>
    <w:p w14:paraId="618100F8" w14:textId="77777777" w:rsidR="0068642D" w:rsidRPr="002E1B4B" w:rsidRDefault="0068642D" w:rsidP="000A5389">
      <w:pPr>
        <w:spacing w:line="240" w:lineRule="auto"/>
      </w:pPr>
    </w:p>
    <w:p w14:paraId="67D98976" w14:textId="77777777" w:rsidR="003D5DB4" w:rsidRPr="002E1B4B" w:rsidRDefault="003D5DB4" w:rsidP="000A5389">
      <w:pPr>
        <w:spacing w:line="240" w:lineRule="auto"/>
      </w:pPr>
      <w:r w:rsidRPr="002E1B4B">
        <w:lastRenderedPageBreak/>
        <w:t>En cuanto a alternativas de renovación, la ANI, podrá modificar el contrato para evitar la paralización o afectación grave del servicio; podrá hacerlo mediante supresión o adición de obras, trabajos o servicios; en los términos establecidos en el numeral 11.3, de Parte General.</w:t>
      </w:r>
    </w:p>
    <w:p w14:paraId="39499D9E" w14:textId="77777777" w:rsidR="0068642D" w:rsidRDefault="0068642D" w:rsidP="000A5389">
      <w:pPr>
        <w:spacing w:line="240" w:lineRule="auto"/>
      </w:pPr>
    </w:p>
    <w:p w14:paraId="1F7B6E27" w14:textId="2D0F26A0" w:rsidR="003D5DB4" w:rsidRPr="002E1B4B" w:rsidRDefault="003D5DB4" w:rsidP="000A5389">
      <w:pPr>
        <w:spacing w:line="240" w:lineRule="auto"/>
      </w:pPr>
      <w:r w:rsidRPr="002E1B4B">
        <w:t>Observaciones: No se tienen observaciones</w:t>
      </w:r>
    </w:p>
    <w:p w14:paraId="5B8D1526" w14:textId="77777777" w:rsidR="0068642D" w:rsidRDefault="0068642D" w:rsidP="000A5389">
      <w:pPr>
        <w:spacing w:line="240" w:lineRule="auto"/>
      </w:pPr>
    </w:p>
    <w:p w14:paraId="5D3D926D" w14:textId="583099E7" w:rsidR="003D5DB4" w:rsidRPr="002E1B4B" w:rsidRDefault="003D5DB4" w:rsidP="000A5389">
      <w:pPr>
        <w:spacing w:line="240" w:lineRule="auto"/>
      </w:pPr>
      <w:r w:rsidRPr="002E1B4B">
        <w:t>Cambios en el acuerdo de concesión que se realicen durante el periodo fiscal</w:t>
      </w:r>
    </w:p>
    <w:p w14:paraId="678B1EF2" w14:textId="77777777" w:rsidR="0068642D" w:rsidRDefault="0068642D" w:rsidP="000A5389">
      <w:pPr>
        <w:spacing w:line="240" w:lineRule="auto"/>
      </w:pPr>
    </w:p>
    <w:p w14:paraId="1E274BA6" w14:textId="4E7131AA" w:rsidR="003D5DB4" w:rsidRPr="002E1B4B" w:rsidRDefault="003D5DB4" w:rsidP="000A5389">
      <w:pPr>
        <w:spacing w:line="240" w:lineRule="auto"/>
      </w:pPr>
      <w:r w:rsidRPr="002E1B4B">
        <w:t>Adiciones o modificaciones en tiempo</w:t>
      </w:r>
    </w:p>
    <w:p w14:paraId="648DCFEE" w14:textId="77777777" w:rsidR="003D5DB4" w:rsidRPr="002E1B4B" w:rsidRDefault="003D5DB4" w:rsidP="000A5389">
      <w:pPr>
        <w:spacing w:line="240" w:lineRule="auto"/>
      </w:pPr>
      <w:r w:rsidRPr="002E1B4B">
        <w:t>Fechas de las adiciones o modificaciones:</w:t>
      </w:r>
      <w:r w:rsidRPr="002E1B4B">
        <w:tab/>
        <w:t>Ninguna</w:t>
      </w:r>
    </w:p>
    <w:p w14:paraId="2F6ED93E" w14:textId="77777777" w:rsidR="003D5DB4" w:rsidRPr="002E1B4B" w:rsidRDefault="003D5DB4" w:rsidP="000A5389">
      <w:pPr>
        <w:spacing w:line="240" w:lineRule="auto"/>
      </w:pPr>
      <w:r w:rsidRPr="002E1B4B">
        <w:t>Nueva Fecha de finalización estimada:</w:t>
      </w:r>
      <w:r w:rsidRPr="002E1B4B">
        <w:tab/>
        <w:t>Ninguna</w:t>
      </w:r>
    </w:p>
    <w:p w14:paraId="4A90FC0F" w14:textId="77777777" w:rsidR="003D5DB4" w:rsidRPr="002E1B4B" w:rsidRDefault="003D5DB4" w:rsidP="000A5389">
      <w:pPr>
        <w:spacing w:line="240" w:lineRule="auto"/>
      </w:pPr>
      <w:r w:rsidRPr="002E1B4B">
        <w:t>Observaciones:</w:t>
      </w:r>
      <w:r w:rsidRPr="002E1B4B">
        <w:tab/>
        <w:t>No se tiene ninguna observación</w:t>
      </w:r>
    </w:p>
    <w:p w14:paraId="2E3C0069" w14:textId="77777777" w:rsidR="0068642D" w:rsidRDefault="0068642D" w:rsidP="000A5389">
      <w:pPr>
        <w:spacing w:line="240" w:lineRule="auto"/>
      </w:pPr>
    </w:p>
    <w:p w14:paraId="3722B1CD" w14:textId="5F2F2219" w:rsidR="003D5DB4" w:rsidRPr="002E1B4B" w:rsidRDefault="003D5DB4" w:rsidP="000A5389">
      <w:pPr>
        <w:spacing w:line="240" w:lineRule="auto"/>
      </w:pPr>
      <w:r w:rsidRPr="002E1B4B">
        <w:t>Adiciones o modificaciones en valor</w:t>
      </w:r>
    </w:p>
    <w:p w14:paraId="48D4F87D" w14:textId="77777777" w:rsidR="0068642D" w:rsidRDefault="0068642D" w:rsidP="000A5389">
      <w:pPr>
        <w:spacing w:line="240" w:lineRule="auto"/>
      </w:pPr>
    </w:p>
    <w:p w14:paraId="490BE3F5" w14:textId="4EE88221" w:rsidR="003D5DB4" w:rsidRPr="002E1B4B" w:rsidRDefault="003D5DB4" w:rsidP="000A5389">
      <w:pPr>
        <w:spacing w:line="240" w:lineRule="auto"/>
      </w:pPr>
      <w:r w:rsidRPr="002E1B4B">
        <w:t>Valor de la adición o modificación:</w:t>
      </w:r>
      <w:r w:rsidRPr="002E1B4B">
        <w:tab/>
        <w:t>($ 1.619.604.878.672,00)</w:t>
      </w:r>
    </w:p>
    <w:p w14:paraId="683509B7" w14:textId="77777777" w:rsidR="003D5DB4" w:rsidRPr="002E1B4B" w:rsidRDefault="003D5DB4" w:rsidP="000A5389">
      <w:pPr>
        <w:spacing w:line="240" w:lineRule="auto"/>
      </w:pPr>
      <w:r w:rsidRPr="002E1B4B">
        <w:t>Nuevo valor del acuerdo:</w:t>
      </w:r>
      <w:r w:rsidRPr="002E1B4B">
        <w:tab/>
        <w:t>$ 1.580.927.030.907,00</w:t>
      </w:r>
    </w:p>
    <w:p w14:paraId="55C297E8" w14:textId="77777777" w:rsidR="003D5DB4" w:rsidRPr="002E1B4B" w:rsidRDefault="003D5DB4" w:rsidP="000A5389">
      <w:pPr>
        <w:spacing w:line="240" w:lineRule="auto"/>
      </w:pPr>
      <w:r w:rsidRPr="002E1B4B">
        <w:t>Observaciones:</w:t>
      </w:r>
      <w:r w:rsidRPr="002E1B4B">
        <w:tab/>
        <w:t>Modificado mediante Otrosí No. 10</w:t>
      </w:r>
    </w:p>
    <w:p w14:paraId="254A84BC" w14:textId="77777777" w:rsidR="003D5DB4" w:rsidRDefault="003D5DB4" w:rsidP="000A5389">
      <w:pPr>
        <w:spacing w:line="240" w:lineRule="auto"/>
      </w:pPr>
    </w:p>
    <w:p w14:paraId="1A9A03CB" w14:textId="77777777" w:rsidR="0068642D" w:rsidRPr="002E1B4B" w:rsidRDefault="0068642D" w:rsidP="000A5389">
      <w:pPr>
        <w:spacing w:line="240" w:lineRule="auto"/>
      </w:pPr>
    </w:p>
    <w:p w14:paraId="36D2F7E4" w14:textId="40133E75" w:rsidR="003D5DB4" w:rsidRPr="0068642D" w:rsidRDefault="003D5DB4" w:rsidP="000A5389">
      <w:pPr>
        <w:spacing w:line="240" w:lineRule="auto"/>
        <w:rPr>
          <w:i/>
          <w:iCs/>
        </w:rPr>
      </w:pPr>
      <w:r w:rsidRPr="0068642D">
        <w:rPr>
          <w:i/>
          <w:iCs/>
        </w:rPr>
        <w:t xml:space="preserve">MULALÓ </w:t>
      </w:r>
      <w:r w:rsidR="0068642D">
        <w:rPr>
          <w:i/>
          <w:iCs/>
        </w:rPr>
        <w:t>–</w:t>
      </w:r>
      <w:r w:rsidRPr="0068642D">
        <w:rPr>
          <w:i/>
          <w:iCs/>
        </w:rPr>
        <w:t xml:space="preserve"> LOBOGUERRERO</w:t>
      </w:r>
    </w:p>
    <w:p w14:paraId="34409D19" w14:textId="77777777" w:rsidR="0068642D" w:rsidRDefault="0068642D" w:rsidP="000A5389">
      <w:pPr>
        <w:spacing w:line="240" w:lineRule="auto"/>
      </w:pPr>
    </w:p>
    <w:p w14:paraId="567CA644" w14:textId="219034A7" w:rsidR="003D5DB4" w:rsidRPr="002E1B4B" w:rsidRDefault="003D5DB4" w:rsidP="000A5389">
      <w:pPr>
        <w:spacing w:line="240" w:lineRule="auto"/>
      </w:pPr>
      <w:r w:rsidRPr="002E1B4B">
        <w:t>Descripción del Acuerdo</w:t>
      </w:r>
    </w:p>
    <w:p w14:paraId="070360A3" w14:textId="77777777" w:rsidR="003D5DB4" w:rsidRPr="002E1B4B" w:rsidRDefault="003D5DB4" w:rsidP="000A5389">
      <w:pPr>
        <w:spacing w:line="240" w:lineRule="auto"/>
      </w:pPr>
      <w:r w:rsidRPr="002E1B4B">
        <w:t>Número del Acuerdo de concesión:  CONTRATO DE CONCESIÓN BAJO EL ESQUEMA DE APP No.001 DE 2015</w:t>
      </w:r>
    </w:p>
    <w:p w14:paraId="279F1034" w14:textId="77777777" w:rsidR="003D5DB4" w:rsidRPr="002E1B4B" w:rsidRDefault="003D5DB4" w:rsidP="000A5389">
      <w:pPr>
        <w:spacing w:line="240" w:lineRule="auto"/>
      </w:pPr>
      <w:r w:rsidRPr="002E1B4B">
        <w:t>Objeto / Descripción:  La financiación, construcción, rehabilitación, mejoramiento, operación, mantenimiento y reversión del corredor Mulaló-Loboguerrero, de acuerdo con el Apéndice Técnico 1.</w:t>
      </w:r>
    </w:p>
    <w:p w14:paraId="1C3D5D34" w14:textId="77777777" w:rsidR="003D5DB4" w:rsidRPr="002E1B4B" w:rsidRDefault="003D5DB4" w:rsidP="000A5389">
      <w:pPr>
        <w:spacing w:line="240" w:lineRule="auto"/>
      </w:pPr>
      <w:r w:rsidRPr="002E1B4B">
        <w:t>Valor inicial:</w:t>
      </w:r>
      <w:r w:rsidRPr="002E1B4B">
        <w:tab/>
        <w:t>$1.587.924.097.847 a precios de diciembre de 2012.</w:t>
      </w:r>
    </w:p>
    <w:p w14:paraId="792D6436" w14:textId="77777777" w:rsidR="003D5DB4" w:rsidRPr="002E1B4B" w:rsidRDefault="003D5DB4" w:rsidP="000A5389">
      <w:pPr>
        <w:spacing w:line="240" w:lineRule="auto"/>
      </w:pPr>
      <w:r w:rsidRPr="002E1B4B">
        <w:t>Fecha de inicio: 17/03/2015</w:t>
      </w:r>
    </w:p>
    <w:p w14:paraId="5D6A6107" w14:textId="77777777" w:rsidR="003D5DB4" w:rsidRPr="002E1B4B" w:rsidRDefault="003D5DB4" w:rsidP="000A5389">
      <w:pPr>
        <w:spacing w:line="240" w:lineRule="auto"/>
      </w:pPr>
      <w:r w:rsidRPr="002E1B4B">
        <w:t>Fecha de finalización estimada:</w:t>
      </w:r>
      <w:r w:rsidRPr="002E1B4B">
        <w:tab/>
        <w:t>17/03/2040</w:t>
      </w:r>
    </w:p>
    <w:p w14:paraId="55193BA8" w14:textId="77777777" w:rsidR="003D5DB4" w:rsidRPr="002E1B4B" w:rsidRDefault="003D5DB4" w:rsidP="000A5389">
      <w:pPr>
        <w:spacing w:line="240" w:lineRule="auto"/>
      </w:pPr>
      <w:r w:rsidRPr="002E1B4B">
        <w:t>Tipo ID:</w:t>
      </w:r>
      <w:r w:rsidRPr="002E1B4B">
        <w:tab/>
        <w:t>NIT</w:t>
      </w:r>
    </w:p>
    <w:p w14:paraId="44128E5F" w14:textId="77777777" w:rsidR="003D5DB4" w:rsidRPr="002E1B4B" w:rsidRDefault="003D5DB4" w:rsidP="000A5389">
      <w:pPr>
        <w:spacing w:line="240" w:lineRule="auto"/>
      </w:pPr>
      <w:r w:rsidRPr="002E1B4B">
        <w:t>Número ID:</w:t>
      </w:r>
      <w:r w:rsidRPr="002E1B4B">
        <w:tab/>
        <w:t>900.809.931-0</w:t>
      </w:r>
    </w:p>
    <w:p w14:paraId="3B0A86BD" w14:textId="77777777" w:rsidR="0068642D" w:rsidRDefault="0068642D" w:rsidP="000A5389">
      <w:pPr>
        <w:spacing w:line="240" w:lineRule="auto"/>
      </w:pPr>
    </w:p>
    <w:p w14:paraId="16ECB366" w14:textId="3D4FD77C" w:rsidR="003D5DB4" w:rsidRPr="002E1B4B" w:rsidRDefault="003D5DB4" w:rsidP="000A5389">
      <w:pPr>
        <w:spacing w:line="240" w:lineRule="auto"/>
      </w:pPr>
      <w:r w:rsidRPr="002E1B4B">
        <w:t>Razón social del concesionario: Concesionaria Nueva Vía al Mar S.A.S</w:t>
      </w:r>
    </w:p>
    <w:p w14:paraId="11AAFE37" w14:textId="77777777" w:rsidR="003D5DB4" w:rsidRDefault="003D5DB4" w:rsidP="000A5389">
      <w:pPr>
        <w:spacing w:line="240" w:lineRule="auto"/>
      </w:pPr>
      <w:r w:rsidRPr="002E1B4B">
        <w:t>Nombre del proyecto: Mulaló-Loboguerrero</w:t>
      </w:r>
    </w:p>
    <w:p w14:paraId="30B707B3" w14:textId="77777777" w:rsidR="0068642D" w:rsidRPr="002E1B4B" w:rsidRDefault="0068642D" w:rsidP="000A5389">
      <w:pPr>
        <w:spacing w:line="240" w:lineRule="auto"/>
      </w:pPr>
    </w:p>
    <w:p w14:paraId="67E73342" w14:textId="77777777" w:rsidR="003D5DB4" w:rsidRDefault="003D5DB4" w:rsidP="000A5389">
      <w:pPr>
        <w:spacing w:line="240" w:lineRule="auto"/>
      </w:pPr>
      <w:r w:rsidRPr="002E1B4B">
        <w:t>Términos significativos del Acuerdo que puedan afectar su valor, el calendario y la certeza de los flujos de efectivo futuros</w:t>
      </w:r>
    </w:p>
    <w:p w14:paraId="0B8F9A60" w14:textId="77777777" w:rsidR="0068642D" w:rsidRPr="002E1B4B" w:rsidRDefault="0068642D" w:rsidP="000A5389">
      <w:pPr>
        <w:spacing w:line="240" w:lineRule="auto"/>
      </w:pPr>
    </w:p>
    <w:p w14:paraId="2BA65C6B" w14:textId="77777777" w:rsidR="003D5DB4" w:rsidRDefault="003D5DB4" w:rsidP="000A5389">
      <w:pPr>
        <w:spacing w:line="240" w:lineRule="auto"/>
      </w:pPr>
      <w:r w:rsidRPr="002E1B4B">
        <w:t>Términos de valor: Las Estaciones nuevas serán ubicadas e instaladas por el Concesionario conforme lo establece el Capítulo III del Apéndice Técnico 1. El Recaudo de Peaje de las Estaciones de Peaje nuevas comenzará con la firma del Acta de Terminación de la Unidad Funcional.</w:t>
      </w:r>
    </w:p>
    <w:p w14:paraId="78690FA6" w14:textId="77777777" w:rsidR="0068642D" w:rsidRPr="002E1B4B" w:rsidRDefault="0068642D" w:rsidP="000A5389">
      <w:pPr>
        <w:spacing w:line="240" w:lineRule="auto"/>
      </w:pPr>
    </w:p>
    <w:p w14:paraId="28344EDD" w14:textId="77777777" w:rsidR="003D5DB4" w:rsidRPr="002E1B4B" w:rsidRDefault="003D5DB4" w:rsidP="000A5389">
      <w:pPr>
        <w:spacing w:line="240" w:lineRule="auto"/>
      </w:pPr>
      <w:r w:rsidRPr="002E1B4B">
        <w:t>Términos de calendario: A la fecha no se ha dado el inicio a la fase de construcción. No se cuenta con peajes instalados A ANI ha realizado los aportes hasta la vigencia 2023.</w:t>
      </w:r>
    </w:p>
    <w:p w14:paraId="79C22D87" w14:textId="77777777" w:rsidR="003D5DB4" w:rsidRDefault="003D5DB4" w:rsidP="000A5389">
      <w:pPr>
        <w:spacing w:line="240" w:lineRule="auto"/>
      </w:pPr>
      <w:r w:rsidRPr="002E1B4B">
        <w:t>Términos de certeza de flujos de efectivo futuros:</w:t>
      </w:r>
      <w:r w:rsidRPr="002E1B4B">
        <w:tab/>
        <w:t>El proyecto se encuentra en litigio jurídico y no ha dado inicio a la Fase de Construcción</w:t>
      </w:r>
    </w:p>
    <w:p w14:paraId="5FDB34C4" w14:textId="77777777" w:rsidR="0068642D" w:rsidRPr="002E1B4B" w:rsidRDefault="0068642D" w:rsidP="000A5389">
      <w:pPr>
        <w:spacing w:line="240" w:lineRule="auto"/>
      </w:pPr>
    </w:p>
    <w:p w14:paraId="29598B8E" w14:textId="77777777" w:rsidR="003D5DB4" w:rsidRDefault="003D5DB4" w:rsidP="000A5389">
      <w:pPr>
        <w:spacing w:line="240" w:lineRule="auto"/>
      </w:pPr>
      <w:r w:rsidRPr="002E1B4B">
        <w:t>Naturaleza y alcance del derecho a utilizar Activos y los aspectos pactados en torno a lo que se espera que el concesionario proporcione en relación con el Acuerdo de concesión</w:t>
      </w:r>
    </w:p>
    <w:p w14:paraId="2568DD7E" w14:textId="77777777" w:rsidR="0068642D" w:rsidRPr="002E1B4B" w:rsidRDefault="0068642D" w:rsidP="000A5389">
      <w:pPr>
        <w:spacing w:line="240" w:lineRule="auto"/>
      </w:pPr>
    </w:p>
    <w:p w14:paraId="6B4B95A2" w14:textId="77777777" w:rsidR="003D5DB4" w:rsidRPr="002E1B4B" w:rsidRDefault="003D5DB4" w:rsidP="000A5389">
      <w:pPr>
        <w:spacing w:line="240" w:lineRule="auto"/>
      </w:pPr>
      <w:r w:rsidRPr="002E1B4B">
        <w:t>Naturaleza y alcance del derecho de uso de los Activos</w:t>
      </w:r>
    </w:p>
    <w:p w14:paraId="4DB859E4" w14:textId="77777777" w:rsidR="003D5DB4" w:rsidRPr="002E1B4B" w:rsidRDefault="003D5DB4" w:rsidP="000A5389">
      <w:pPr>
        <w:spacing w:line="240" w:lineRule="auto"/>
      </w:pPr>
      <w:r w:rsidRPr="002E1B4B">
        <w:t>Descripción:</w:t>
      </w:r>
      <w:r w:rsidRPr="002E1B4B">
        <w:tab/>
        <w:t>En el alcance inicial del Proyecto no se comprenden vías existentes</w:t>
      </w:r>
    </w:p>
    <w:p w14:paraId="345D6B5A" w14:textId="77777777" w:rsidR="003D5DB4" w:rsidRPr="002E1B4B" w:rsidRDefault="003D5DB4" w:rsidP="000A5389">
      <w:pPr>
        <w:spacing w:line="240" w:lineRule="auto"/>
      </w:pPr>
      <w:r w:rsidRPr="002E1B4B">
        <w:t>Observaciones: Proyecto GreenField</w:t>
      </w:r>
    </w:p>
    <w:p w14:paraId="579E5BB5" w14:textId="77777777" w:rsidR="0068642D" w:rsidRDefault="0068642D" w:rsidP="000A5389">
      <w:pPr>
        <w:spacing w:line="240" w:lineRule="auto"/>
      </w:pPr>
    </w:p>
    <w:p w14:paraId="7EEC2845" w14:textId="4305FBEC" w:rsidR="003D5DB4" w:rsidRPr="002E1B4B" w:rsidRDefault="003D5DB4" w:rsidP="000A5389">
      <w:pPr>
        <w:spacing w:line="240" w:lineRule="auto"/>
      </w:pPr>
      <w:r w:rsidRPr="002E1B4B">
        <w:t>Retribución al concesionario</w:t>
      </w:r>
    </w:p>
    <w:p w14:paraId="03B8A326" w14:textId="77777777" w:rsidR="0068642D" w:rsidRDefault="0068642D" w:rsidP="000A5389">
      <w:pPr>
        <w:spacing w:line="240" w:lineRule="auto"/>
      </w:pPr>
    </w:p>
    <w:p w14:paraId="44D1D155" w14:textId="713119D3" w:rsidR="003D5DB4" w:rsidRPr="002E1B4B" w:rsidRDefault="003D5DB4" w:rsidP="000A5389">
      <w:pPr>
        <w:spacing w:line="240" w:lineRule="auto"/>
      </w:pPr>
      <w:r w:rsidRPr="002E1B4B">
        <w:t>Descripción: La retribución es la contraprestación económica a la que tiene derecho en los términos de la sección 3.1 de la Parte General del Contrato de Concesión (PGCC). El Concesionario tendrá derecho a retribución por cada unidad funcional y adicionalmente el contrato establece compensaciones especiales, los cuales se reconocerán según lo previsto en la Sección 14.1 de la PGCC. A la fecha no se ha realizado pagos por este concepto</w:t>
      </w:r>
    </w:p>
    <w:p w14:paraId="06B13536" w14:textId="77777777" w:rsidR="0068642D" w:rsidRDefault="0068642D" w:rsidP="000A5389">
      <w:pPr>
        <w:spacing w:line="240" w:lineRule="auto"/>
      </w:pPr>
    </w:p>
    <w:p w14:paraId="405883DE" w14:textId="5D57A712" w:rsidR="003D5DB4" w:rsidRPr="002E1B4B" w:rsidRDefault="003D5DB4" w:rsidP="000A5389">
      <w:pPr>
        <w:spacing w:line="240" w:lineRule="auto"/>
      </w:pPr>
      <w:r w:rsidRPr="002E1B4B">
        <w:t>Tasa de retribución:</w:t>
      </w:r>
      <w:r w:rsidRPr="002E1B4B">
        <w:tab/>
        <w:t>La TDI del proyecto es de 0,65880%</w:t>
      </w:r>
    </w:p>
    <w:p w14:paraId="2540A635" w14:textId="77777777" w:rsidR="0068642D" w:rsidRDefault="0068642D" w:rsidP="000A5389">
      <w:pPr>
        <w:spacing w:line="240" w:lineRule="auto"/>
      </w:pPr>
    </w:p>
    <w:p w14:paraId="1EC7BB42" w14:textId="5752F9A9" w:rsidR="003D5DB4" w:rsidRPr="002E1B4B" w:rsidRDefault="003D5DB4" w:rsidP="000A5389">
      <w:pPr>
        <w:spacing w:line="240" w:lineRule="auto"/>
      </w:pPr>
      <w:r w:rsidRPr="002E1B4B">
        <w:t>Derechos a recibir Activos especificados al final del acuerdo de concesión</w:t>
      </w:r>
    </w:p>
    <w:p w14:paraId="6F67A41F" w14:textId="77777777" w:rsidR="003D5DB4" w:rsidRPr="002E1B4B" w:rsidRDefault="003D5DB4" w:rsidP="000A5389">
      <w:pPr>
        <w:spacing w:line="240" w:lineRule="auto"/>
      </w:pPr>
      <w:r w:rsidRPr="002E1B4B">
        <w:t>Descripción: No aplica porque es un proyecto Green Field</w:t>
      </w:r>
    </w:p>
    <w:p w14:paraId="76102E99" w14:textId="77777777" w:rsidR="003D5DB4" w:rsidRPr="002E1B4B" w:rsidRDefault="003D5DB4" w:rsidP="000A5389">
      <w:pPr>
        <w:spacing w:line="240" w:lineRule="auto"/>
      </w:pPr>
      <w:r w:rsidRPr="002E1B4B">
        <w:t>Observaciones:</w:t>
      </w:r>
      <w:r w:rsidRPr="002E1B4B">
        <w:tab/>
        <w:t>No hay observaciones</w:t>
      </w:r>
    </w:p>
    <w:p w14:paraId="58B22630" w14:textId="77777777" w:rsidR="0068642D" w:rsidRDefault="0068642D" w:rsidP="000A5389">
      <w:pPr>
        <w:spacing w:line="240" w:lineRule="auto"/>
      </w:pPr>
    </w:p>
    <w:p w14:paraId="65D88ECD" w14:textId="3C35029D" w:rsidR="003D5DB4" w:rsidRPr="002E1B4B" w:rsidRDefault="003D5DB4" w:rsidP="000A5389">
      <w:pPr>
        <w:spacing w:line="240" w:lineRule="auto"/>
      </w:pPr>
      <w:r w:rsidRPr="002E1B4B">
        <w:t>Las alternativas de renovación y cese del acuerdo</w:t>
      </w:r>
    </w:p>
    <w:p w14:paraId="3FEB4BFA" w14:textId="77777777" w:rsidR="003D5DB4" w:rsidRPr="002E1B4B" w:rsidRDefault="003D5DB4" w:rsidP="000A5389">
      <w:pPr>
        <w:spacing w:line="240" w:lineRule="auto"/>
      </w:pPr>
      <w:r w:rsidRPr="002E1B4B">
        <w:t>Descripción:</w:t>
      </w:r>
      <w:r w:rsidRPr="002E1B4B">
        <w:tab/>
        <w:t>Términos contractuales que permiten al concesionario ó a la ANI prorrogar o terminar de manera anticipada el contrato de concesión Art 13 Ley 1508 de 2012Contrato de Concesión parte general Capitulo XI Cláusulas Excepcionales del Derecho Común Capítulo XVII Terminación del Contrato.</w:t>
      </w:r>
    </w:p>
    <w:p w14:paraId="40CE992D" w14:textId="77777777" w:rsidR="003D5DB4" w:rsidRPr="002E1B4B" w:rsidRDefault="003D5DB4" w:rsidP="000A5389">
      <w:pPr>
        <w:spacing w:line="240" w:lineRule="auto"/>
      </w:pPr>
      <w:r w:rsidRPr="002E1B4B">
        <w:t>Observaciones: No se tiene observaciones</w:t>
      </w:r>
    </w:p>
    <w:p w14:paraId="50D727A4" w14:textId="77777777" w:rsidR="003D5DB4" w:rsidRPr="002E1B4B" w:rsidRDefault="003D5DB4" w:rsidP="000A5389">
      <w:pPr>
        <w:spacing w:line="240" w:lineRule="auto"/>
      </w:pPr>
    </w:p>
    <w:p w14:paraId="6918A5AD" w14:textId="77777777" w:rsidR="003D5DB4" w:rsidRPr="002E1B4B" w:rsidRDefault="003D5DB4" w:rsidP="000A5389">
      <w:pPr>
        <w:spacing w:line="240" w:lineRule="auto"/>
      </w:pPr>
      <w:r w:rsidRPr="002E1B4B">
        <w:t>Cambios en el acuerdo de concesión que se realicen durante el periodo fiscal</w:t>
      </w:r>
    </w:p>
    <w:p w14:paraId="702B7C3D" w14:textId="77777777" w:rsidR="0068642D" w:rsidRDefault="0068642D" w:rsidP="000A5389">
      <w:pPr>
        <w:spacing w:line="240" w:lineRule="auto"/>
      </w:pPr>
    </w:p>
    <w:p w14:paraId="7198DBA6" w14:textId="456FE185" w:rsidR="003D5DB4" w:rsidRPr="002E1B4B" w:rsidRDefault="003D5DB4" w:rsidP="000A5389">
      <w:pPr>
        <w:spacing w:line="240" w:lineRule="auto"/>
      </w:pPr>
      <w:r w:rsidRPr="002E1B4B">
        <w:t>Adiciones o modificaciones en tiempo</w:t>
      </w:r>
    </w:p>
    <w:p w14:paraId="102F6E89" w14:textId="77777777" w:rsidR="003D5DB4" w:rsidRPr="002E1B4B" w:rsidRDefault="003D5DB4" w:rsidP="000A5389">
      <w:pPr>
        <w:spacing w:line="240" w:lineRule="auto"/>
      </w:pPr>
      <w:r w:rsidRPr="002E1B4B">
        <w:t>Fechas de las adiciones o modificaciones: No aplica</w:t>
      </w:r>
    </w:p>
    <w:p w14:paraId="06B041BC" w14:textId="77777777" w:rsidR="003D5DB4" w:rsidRPr="002E1B4B" w:rsidRDefault="003D5DB4" w:rsidP="000A5389">
      <w:pPr>
        <w:spacing w:line="240" w:lineRule="auto"/>
      </w:pPr>
      <w:r w:rsidRPr="002E1B4B">
        <w:t>Nueva Fecha de finalización estimada:</w:t>
      </w:r>
      <w:r w:rsidRPr="002E1B4B">
        <w:tab/>
        <w:t>No aplica</w:t>
      </w:r>
    </w:p>
    <w:p w14:paraId="32D6731C" w14:textId="77777777" w:rsidR="003D5DB4" w:rsidRPr="002E1B4B" w:rsidRDefault="003D5DB4" w:rsidP="000A5389">
      <w:pPr>
        <w:spacing w:line="240" w:lineRule="auto"/>
      </w:pPr>
      <w:r w:rsidRPr="002E1B4B">
        <w:t>Observaciones: No aplica</w:t>
      </w:r>
    </w:p>
    <w:p w14:paraId="676B685D" w14:textId="77777777" w:rsidR="0068642D" w:rsidRDefault="0068642D" w:rsidP="000A5389">
      <w:pPr>
        <w:spacing w:line="240" w:lineRule="auto"/>
      </w:pPr>
    </w:p>
    <w:p w14:paraId="680ABA48" w14:textId="4F4A1098" w:rsidR="003D5DB4" w:rsidRPr="002E1B4B" w:rsidRDefault="003D5DB4" w:rsidP="000A5389">
      <w:pPr>
        <w:spacing w:line="240" w:lineRule="auto"/>
      </w:pPr>
      <w:r w:rsidRPr="002E1B4B">
        <w:t>Adiciones o modificaciones en valor</w:t>
      </w:r>
    </w:p>
    <w:p w14:paraId="08F16957" w14:textId="77777777" w:rsidR="0068642D" w:rsidRDefault="0068642D" w:rsidP="000A5389">
      <w:pPr>
        <w:spacing w:line="240" w:lineRule="auto"/>
      </w:pPr>
    </w:p>
    <w:p w14:paraId="7E995670" w14:textId="1E8FAD20" w:rsidR="003D5DB4" w:rsidRPr="002E1B4B" w:rsidRDefault="003D5DB4" w:rsidP="000A5389">
      <w:pPr>
        <w:spacing w:line="240" w:lineRule="auto"/>
      </w:pPr>
      <w:r w:rsidRPr="002E1B4B">
        <w:t>Valor de la adición o modificación: No aplica</w:t>
      </w:r>
    </w:p>
    <w:p w14:paraId="5B95F14F" w14:textId="77777777" w:rsidR="003D5DB4" w:rsidRPr="002E1B4B" w:rsidRDefault="003D5DB4" w:rsidP="000A5389">
      <w:pPr>
        <w:spacing w:line="240" w:lineRule="auto"/>
      </w:pPr>
      <w:r w:rsidRPr="002E1B4B">
        <w:lastRenderedPageBreak/>
        <w:t>Nuevo valor del acuerdo: No aplica</w:t>
      </w:r>
    </w:p>
    <w:p w14:paraId="22574FD3" w14:textId="77777777" w:rsidR="003D5DB4" w:rsidRPr="002E1B4B" w:rsidRDefault="003D5DB4" w:rsidP="000A5389">
      <w:pPr>
        <w:spacing w:line="240" w:lineRule="auto"/>
      </w:pPr>
      <w:r w:rsidRPr="002E1B4B">
        <w:t>Observaciones: No aplica</w:t>
      </w:r>
    </w:p>
    <w:p w14:paraId="0A9E0941" w14:textId="77777777" w:rsidR="003D5DB4" w:rsidRDefault="003D5DB4" w:rsidP="000A5389">
      <w:pPr>
        <w:spacing w:line="240" w:lineRule="auto"/>
      </w:pPr>
    </w:p>
    <w:p w14:paraId="5A070E24" w14:textId="77777777" w:rsidR="0068642D" w:rsidRDefault="0068642D" w:rsidP="000A5389">
      <w:pPr>
        <w:spacing w:line="240" w:lineRule="auto"/>
      </w:pPr>
    </w:p>
    <w:p w14:paraId="35206650" w14:textId="77777777" w:rsidR="0068642D" w:rsidRPr="002E1B4B" w:rsidRDefault="0068642D" w:rsidP="000A5389">
      <w:pPr>
        <w:spacing w:line="240" w:lineRule="auto"/>
      </w:pPr>
    </w:p>
    <w:p w14:paraId="6BD5AD8B" w14:textId="77777777" w:rsidR="003D5DB4" w:rsidRDefault="003D5DB4" w:rsidP="000A5389">
      <w:pPr>
        <w:spacing w:line="240" w:lineRule="auto"/>
        <w:rPr>
          <w:i/>
          <w:iCs/>
        </w:rPr>
      </w:pPr>
      <w:r w:rsidRPr="0068642D">
        <w:rPr>
          <w:i/>
          <w:iCs/>
        </w:rPr>
        <w:t>GICA-IP</w:t>
      </w:r>
    </w:p>
    <w:p w14:paraId="5DF8B244" w14:textId="77777777" w:rsidR="001B234E" w:rsidRPr="0068642D" w:rsidRDefault="001B234E" w:rsidP="000A5389">
      <w:pPr>
        <w:spacing w:line="240" w:lineRule="auto"/>
        <w:rPr>
          <w:i/>
          <w:iCs/>
        </w:rPr>
      </w:pPr>
    </w:p>
    <w:p w14:paraId="7F6FB0C4" w14:textId="77777777" w:rsidR="003D5DB4" w:rsidRPr="002E1B4B" w:rsidRDefault="003D5DB4" w:rsidP="000A5389">
      <w:pPr>
        <w:spacing w:line="240" w:lineRule="auto"/>
      </w:pPr>
      <w:r w:rsidRPr="002E1B4B">
        <w:t>Descripción del Acuerdo</w:t>
      </w:r>
    </w:p>
    <w:p w14:paraId="7ADD5865" w14:textId="77777777" w:rsidR="003D5DB4" w:rsidRDefault="003D5DB4" w:rsidP="000A5389">
      <w:pPr>
        <w:spacing w:line="240" w:lineRule="auto"/>
      </w:pPr>
      <w:r w:rsidRPr="002E1B4B">
        <w:t>Número del Acuerdo de concesión:  Contrato de Concesión No. 002 del 12 de febrero de 2015 – APP GICA</w:t>
      </w:r>
    </w:p>
    <w:p w14:paraId="7B70EF5D" w14:textId="77777777" w:rsidR="0068642D" w:rsidRPr="002E1B4B" w:rsidRDefault="0068642D" w:rsidP="000A5389">
      <w:pPr>
        <w:spacing w:line="240" w:lineRule="auto"/>
      </w:pPr>
    </w:p>
    <w:p w14:paraId="18950B03" w14:textId="77777777" w:rsidR="003D5DB4" w:rsidRDefault="003D5DB4" w:rsidP="000A5389">
      <w:pPr>
        <w:spacing w:line="240" w:lineRule="auto"/>
      </w:pPr>
      <w:r w:rsidRPr="002E1B4B">
        <w:t>Objeto / Descripción:  De conformidad con la sección 2.1 de la Parte General del Contrato, el objeto es: “El presente Contrato de concesión bajo un esquema de asociación público-privada de Iniciativa Privada en los términos de la Ley 1508 de 2012, tiene por objeto el otorgamiento de una concesión para que de conformidad con lo previsto en este Contrato, el Concesionario, por su cuenta y riesgo, lleve a cabo el Proyecto. El alcance físico del Proyecto se describe en la Parte Especial y en el Apéndice Técnico 1.” Así mismo, de acuerdo con lo dispuesto en la sección 3.2 de la Parte Especial del Contrato, el alcance es: “De conformidad con el Objeto del Contrato dispuesto en la Parte General el alcance del Contrato corresponde a los Estudios, diseños, construcción, operación, mantenimiento, gestión social, predial y ambiental de la segunda calzada de la vía Ibagué – Cajamarca; y la operación y mantenimiento del sistema vial Variante Chicoral, Variante Gualanday, Gualanday -Ibagué, Gualanday – Espinal, Variante Picaleña, Ramal Norte y trazado existente Ibagué-Cajamarca, de acuerdo con el Apéndice Técnico 1 y demás Apéndices del Contrato.”</w:t>
      </w:r>
    </w:p>
    <w:p w14:paraId="0E1052A1" w14:textId="77777777" w:rsidR="0068642D" w:rsidRPr="002E1B4B" w:rsidRDefault="0068642D" w:rsidP="000A5389">
      <w:pPr>
        <w:spacing w:line="240" w:lineRule="auto"/>
      </w:pPr>
    </w:p>
    <w:p w14:paraId="28D4305B" w14:textId="77777777" w:rsidR="003D5DB4" w:rsidRDefault="003D5DB4" w:rsidP="000A5389">
      <w:pPr>
        <w:spacing w:line="240" w:lineRule="auto"/>
      </w:pPr>
      <w:r w:rsidRPr="002E1B4B">
        <w:t>Valor inicial:</w:t>
      </w:r>
      <w:r w:rsidRPr="002E1B4B">
        <w:tab/>
        <w:t>El valor inicial del Contrato era de Un Billón Ochocientos sesenta mil seiscientos cuarenta y nueve millones quinientos ochenta y seis mil quinientos treinta y un pesos ($1.860.649.586.531.) del Mes de Referencia (diciembre 2012), el cual fue modificado en la Cláusula Decima del Otrosí No. 1 al Contrato, quedando en Un Billón ochocientos diez mil trescientos noventa y dos millones ($1.810.392.000.000.) del Mes de Referencia. Modificado mediante el otrosí No 7 en su Clausula Quinta por un valor de Un Billón veintiocho mil quinientos Treinta Millones seiscientos noventa y nueve mil quinientos ochenta y un pesos con un centavo ($1.028.530.699.581.01) mes de referencia.</w:t>
      </w:r>
    </w:p>
    <w:p w14:paraId="3594EF03" w14:textId="77777777" w:rsidR="0068642D" w:rsidRPr="002E1B4B" w:rsidRDefault="0068642D" w:rsidP="000A5389">
      <w:pPr>
        <w:spacing w:line="240" w:lineRule="auto"/>
      </w:pPr>
    </w:p>
    <w:p w14:paraId="6F4FEAB9" w14:textId="77777777" w:rsidR="003D5DB4" w:rsidRPr="002E1B4B" w:rsidRDefault="003D5DB4" w:rsidP="000A5389">
      <w:pPr>
        <w:spacing w:line="240" w:lineRule="auto"/>
      </w:pPr>
      <w:r w:rsidRPr="002E1B4B">
        <w:t>Fecha de inicio:</w:t>
      </w:r>
      <w:r w:rsidRPr="002E1B4B">
        <w:tab/>
        <w:t>15/04/2015</w:t>
      </w:r>
    </w:p>
    <w:p w14:paraId="67ECA8FA" w14:textId="77777777" w:rsidR="003D5DB4" w:rsidRPr="002E1B4B" w:rsidRDefault="003D5DB4" w:rsidP="000A5389">
      <w:pPr>
        <w:spacing w:line="240" w:lineRule="auto"/>
      </w:pPr>
      <w:r w:rsidRPr="002E1B4B">
        <w:t>Fecha de finalización estimada: 30/11/2040</w:t>
      </w:r>
    </w:p>
    <w:p w14:paraId="7D1B5CB4" w14:textId="77777777" w:rsidR="003D5DB4" w:rsidRPr="002E1B4B" w:rsidRDefault="003D5DB4" w:rsidP="000A5389">
      <w:pPr>
        <w:spacing w:line="240" w:lineRule="auto"/>
      </w:pPr>
      <w:r w:rsidRPr="002E1B4B">
        <w:t>Tipo ID: NIT</w:t>
      </w:r>
    </w:p>
    <w:p w14:paraId="1DC05616" w14:textId="77777777" w:rsidR="003D5DB4" w:rsidRPr="002E1B4B" w:rsidRDefault="003D5DB4" w:rsidP="000A5389">
      <w:pPr>
        <w:spacing w:line="240" w:lineRule="auto"/>
      </w:pPr>
      <w:r w:rsidRPr="002E1B4B">
        <w:t>Número ID:</w:t>
      </w:r>
      <w:r w:rsidRPr="002E1B4B">
        <w:tab/>
        <w:t>900.816.750.3</w:t>
      </w:r>
    </w:p>
    <w:p w14:paraId="76B344A8" w14:textId="77777777" w:rsidR="003D5DB4" w:rsidRPr="002E1B4B" w:rsidRDefault="003D5DB4" w:rsidP="000A5389">
      <w:pPr>
        <w:spacing w:line="240" w:lineRule="auto"/>
      </w:pPr>
      <w:r w:rsidRPr="002E1B4B">
        <w:t>Razón social del concesionario: Concesión APP GICA</w:t>
      </w:r>
    </w:p>
    <w:p w14:paraId="565DE9D9" w14:textId="77777777" w:rsidR="003D5DB4" w:rsidRPr="002E1B4B" w:rsidRDefault="003D5DB4" w:rsidP="000A5389">
      <w:pPr>
        <w:spacing w:line="240" w:lineRule="auto"/>
      </w:pPr>
      <w:r w:rsidRPr="002E1B4B">
        <w:t>Nombre del proyecto:</w:t>
      </w:r>
      <w:r w:rsidRPr="002E1B4B">
        <w:tab/>
        <w:t>GICA-IP</w:t>
      </w:r>
    </w:p>
    <w:p w14:paraId="6BE11DBE" w14:textId="77777777" w:rsidR="003D5DB4" w:rsidRPr="002E1B4B" w:rsidRDefault="003D5DB4" w:rsidP="000A5389">
      <w:pPr>
        <w:spacing w:line="240" w:lineRule="auto"/>
      </w:pPr>
    </w:p>
    <w:p w14:paraId="363F0227" w14:textId="77777777" w:rsidR="003D5DB4" w:rsidRDefault="003D5DB4" w:rsidP="000A5389">
      <w:pPr>
        <w:spacing w:line="240" w:lineRule="auto"/>
      </w:pPr>
      <w:r w:rsidRPr="002E1B4B">
        <w:t>Términos significativos del Acuerdo que puedan afectar su valor, el calendario y la certeza de los flujos de efectivo futuros</w:t>
      </w:r>
    </w:p>
    <w:p w14:paraId="40DD918E" w14:textId="77777777" w:rsidR="0068642D" w:rsidRPr="002E1B4B" w:rsidRDefault="0068642D" w:rsidP="000A5389">
      <w:pPr>
        <w:spacing w:line="240" w:lineRule="auto"/>
      </w:pPr>
    </w:p>
    <w:p w14:paraId="2A425D06" w14:textId="77777777" w:rsidR="003D5DB4" w:rsidRDefault="003D5DB4" w:rsidP="000A5389">
      <w:pPr>
        <w:spacing w:line="240" w:lineRule="auto"/>
      </w:pPr>
      <w:r w:rsidRPr="002E1B4B">
        <w:lastRenderedPageBreak/>
        <w:t>Términos de valor: De acuerdo con la sección 1.99 de la Parte General del Contrato, el Mes de Referencia es diciembre de 2012.</w:t>
      </w:r>
    </w:p>
    <w:p w14:paraId="36C0B08A" w14:textId="77777777" w:rsidR="0068642D" w:rsidRPr="002E1B4B" w:rsidRDefault="0068642D" w:rsidP="000A5389">
      <w:pPr>
        <w:spacing w:line="240" w:lineRule="auto"/>
      </w:pPr>
    </w:p>
    <w:p w14:paraId="4EF77443" w14:textId="77777777" w:rsidR="003D5DB4" w:rsidRDefault="003D5DB4" w:rsidP="000A5389">
      <w:pPr>
        <w:spacing w:line="240" w:lineRule="auto"/>
      </w:pPr>
      <w:r w:rsidRPr="002E1B4B">
        <w:t>Términos de calendario: El plazo del contrato se determinó en 28 años, conforme a la sección1.124 de la Parte General del Contrato”.El plazo estimado de la etapa de construcción es de (2.920) días contados desde el Acta de Inicio de construcción, la cual se firmó el 15 de abril de 2016. El proyecto está dividido en tres Unidades Funcionales. La estructura tarifaria se encuentra determinada en la sección 4.2 de la Parte Especial del Contrato.</w:t>
      </w:r>
    </w:p>
    <w:p w14:paraId="7F9BBD83" w14:textId="77777777" w:rsidR="0068642D" w:rsidRPr="002E1B4B" w:rsidRDefault="0068642D" w:rsidP="000A5389">
      <w:pPr>
        <w:spacing w:line="240" w:lineRule="auto"/>
      </w:pPr>
    </w:p>
    <w:p w14:paraId="06341A51" w14:textId="77777777" w:rsidR="003D5DB4" w:rsidRDefault="003D5DB4" w:rsidP="000A5389">
      <w:pPr>
        <w:spacing w:line="240" w:lineRule="auto"/>
      </w:pPr>
      <w:r w:rsidRPr="002E1B4B">
        <w:t>Términos de certeza de flujos de efectivo futuros: De conformidad con la cláusula cuarta del Otrosí # 7 se modificó el Apéndice técnico 1, excluyendo la Unidad Funcional 2 y se modificó la Unidad Funcional 1, quedando solo dos unidades funcionales para la etapa de operación y mantenimiento Unidad Funcional 1 y Unidad funcional 3.</w:t>
      </w:r>
    </w:p>
    <w:p w14:paraId="0995E3E0" w14:textId="77777777" w:rsidR="0068642D" w:rsidRPr="002E1B4B" w:rsidRDefault="0068642D" w:rsidP="000A5389">
      <w:pPr>
        <w:spacing w:line="240" w:lineRule="auto"/>
      </w:pPr>
    </w:p>
    <w:p w14:paraId="17E23F17" w14:textId="77777777" w:rsidR="003D5DB4" w:rsidRPr="002E1B4B" w:rsidRDefault="003D5DB4" w:rsidP="000A5389">
      <w:pPr>
        <w:spacing w:line="240" w:lineRule="auto"/>
      </w:pPr>
      <w:r w:rsidRPr="002E1B4B">
        <w:t>Naturaleza y alcance del derecho a utilizar Activos y los aspectos pactados en torno a lo que se espera que el concesionario proporcione en relación con el Acuerdo de concesión</w:t>
      </w:r>
    </w:p>
    <w:p w14:paraId="5D9B0888" w14:textId="77777777" w:rsidR="003D5DB4" w:rsidRDefault="003D5DB4" w:rsidP="000A5389">
      <w:pPr>
        <w:spacing w:line="240" w:lineRule="auto"/>
      </w:pPr>
      <w:r w:rsidRPr="002E1B4B">
        <w:t>Naturaleza y alcance del derecho de uso de los Activos</w:t>
      </w:r>
    </w:p>
    <w:p w14:paraId="6662DFF8" w14:textId="77777777" w:rsidR="0068642D" w:rsidRPr="002E1B4B" w:rsidRDefault="0068642D" w:rsidP="000A5389">
      <w:pPr>
        <w:spacing w:line="240" w:lineRule="auto"/>
      </w:pPr>
    </w:p>
    <w:p w14:paraId="1FA32592" w14:textId="77777777" w:rsidR="003D5DB4" w:rsidRPr="002E1B4B" w:rsidRDefault="003D5DB4" w:rsidP="000A5389">
      <w:pPr>
        <w:spacing w:line="240" w:lineRule="auto"/>
      </w:pPr>
      <w:r w:rsidRPr="002E1B4B">
        <w:t>Descripción:</w:t>
      </w:r>
      <w:r w:rsidRPr="002E1B4B">
        <w:tab/>
        <w:t>El Proyecto corresponde a la segunda calzada de la vía Ibagué- Cajamarca y la operación y mantenimiento del sistema vial variante Chicoral, Variante Gualanday, Gualanday-Ibagué, Gualanday- Espinal, Variante Picaleña, Ramal Norte y Trazado existente Ibagué-Cajamarca con una longitud de 180 Km dividido en tres unidades funcionales.</w:t>
      </w:r>
    </w:p>
    <w:p w14:paraId="2CAD0984" w14:textId="77777777" w:rsidR="0068642D" w:rsidRDefault="0068642D" w:rsidP="000A5389">
      <w:pPr>
        <w:spacing w:line="240" w:lineRule="auto"/>
      </w:pPr>
    </w:p>
    <w:p w14:paraId="50E5158C" w14:textId="7A370AFA" w:rsidR="003D5DB4" w:rsidRPr="002E1B4B" w:rsidRDefault="003D5DB4" w:rsidP="000A5389">
      <w:pPr>
        <w:spacing w:line="240" w:lineRule="auto"/>
      </w:pPr>
      <w:r w:rsidRPr="002E1B4B">
        <w:t>Observaciones: No se tiene Observaciones</w:t>
      </w:r>
    </w:p>
    <w:p w14:paraId="53C10137" w14:textId="77777777" w:rsidR="0068642D" w:rsidRDefault="0068642D" w:rsidP="000A5389">
      <w:pPr>
        <w:spacing w:line="240" w:lineRule="auto"/>
      </w:pPr>
    </w:p>
    <w:p w14:paraId="7F788EF2" w14:textId="0552C7A0" w:rsidR="003D5DB4" w:rsidRPr="002E1B4B" w:rsidRDefault="003D5DB4" w:rsidP="000A5389">
      <w:pPr>
        <w:spacing w:line="240" w:lineRule="auto"/>
      </w:pPr>
      <w:r w:rsidRPr="002E1B4B">
        <w:t>Retribución al concesionario</w:t>
      </w:r>
    </w:p>
    <w:p w14:paraId="16690138" w14:textId="77777777" w:rsidR="0068642D" w:rsidRDefault="0068642D" w:rsidP="000A5389">
      <w:pPr>
        <w:spacing w:line="240" w:lineRule="auto"/>
      </w:pPr>
    </w:p>
    <w:p w14:paraId="4F10DA1E" w14:textId="2E588EBF" w:rsidR="003D5DB4" w:rsidRPr="002E1B4B" w:rsidRDefault="003D5DB4" w:rsidP="000A5389">
      <w:pPr>
        <w:spacing w:line="240" w:lineRule="auto"/>
      </w:pPr>
      <w:r w:rsidRPr="002E1B4B">
        <w:t>Descripción: Clausula 4.3 Parte especial del contrato de Concesión.</w:t>
      </w:r>
    </w:p>
    <w:p w14:paraId="548C82A5" w14:textId="77777777" w:rsidR="003D5DB4" w:rsidRPr="002E1B4B" w:rsidRDefault="003D5DB4" w:rsidP="000A5389">
      <w:pPr>
        <w:spacing w:line="240" w:lineRule="auto"/>
      </w:pPr>
      <w:r w:rsidRPr="002E1B4B">
        <w:t>Tasa de retribución:</w:t>
      </w:r>
      <w:r w:rsidRPr="002E1B4B">
        <w:tab/>
        <w:t>Conforme a la cláusula séptima del Otrosí 7 se modificó la cláusula tercera del Otro si No 5, quedando el porcentaje de participación de las unidades funcionales, así: Desde el primer día calendario del mes siguiente al de la entrega de la Infraestructura de la UF3 hasta el 31 de diciembre de 2022 La UF1 el 76,01% La UF3 el 23,99% Porcentaje de participación para el año 2023 La UF1 el 76,01% La UF3 el 23,99% Porcentaje de participación a partir de abril de 2024, la retribución para cada unidad funcional estará conformada así: La UF1 el 76,01% La UF3 el 23,99%</w:t>
      </w:r>
    </w:p>
    <w:p w14:paraId="6F65F9DB" w14:textId="77777777" w:rsidR="0068642D" w:rsidRDefault="0068642D" w:rsidP="000A5389">
      <w:pPr>
        <w:spacing w:line="240" w:lineRule="auto"/>
      </w:pPr>
    </w:p>
    <w:p w14:paraId="2D7CD44D" w14:textId="55606DED" w:rsidR="003D5DB4" w:rsidRPr="002E1B4B" w:rsidRDefault="003D5DB4" w:rsidP="000A5389">
      <w:pPr>
        <w:spacing w:line="240" w:lineRule="auto"/>
      </w:pPr>
      <w:r w:rsidRPr="002E1B4B">
        <w:t>Derechos a recibir Activos especificados al final del acuerdo de concesión</w:t>
      </w:r>
    </w:p>
    <w:p w14:paraId="4DFCC11F" w14:textId="77777777" w:rsidR="0068642D" w:rsidRDefault="0068642D" w:rsidP="000A5389">
      <w:pPr>
        <w:spacing w:line="240" w:lineRule="auto"/>
      </w:pPr>
    </w:p>
    <w:p w14:paraId="28E95814" w14:textId="362F41D1" w:rsidR="003D5DB4" w:rsidRPr="002E1B4B" w:rsidRDefault="003D5DB4" w:rsidP="000A5389">
      <w:pPr>
        <w:spacing w:line="240" w:lineRule="auto"/>
      </w:pPr>
      <w:r w:rsidRPr="002E1B4B">
        <w:t>Descripción:</w:t>
      </w:r>
      <w:r w:rsidRPr="002E1B4B">
        <w:tab/>
        <w:t>Clausula 9.7 Etapa de Reversión del Contrato de concesión.</w:t>
      </w:r>
    </w:p>
    <w:p w14:paraId="1AE4C365" w14:textId="77777777" w:rsidR="003D5DB4" w:rsidRPr="002E1B4B" w:rsidRDefault="003D5DB4" w:rsidP="000A5389">
      <w:pPr>
        <w:spacing w:line="240" w:lineRule="auto"/>
      </w:pPr>
      <w:r w:rsidRPr="002E1B4B">
        <w:t>Observaciones: No se tiene ninguna observación</w:t>
      </w:r>
    </w:p>
    <w:p w14:paraId="5528C225" w14:textId="77777777" w:rsidR="003D5DB4" w:rsidRPr="002E1B4B" w:rsidRDefault="003D5DB4" w:rsidP="000A5389">
      <w:pPr>
        <w:spacing w:line="240" w:lineRule="auto"/>
      </w:pPr>
      <w:r w:rsidRPr="002E1B4B">
        <w:t>Las alternativas de renovación y cese del acuerdo</w:t>
      </w:r>
    </w:p>
    <w:p w14:paraId="5FB4B1EA" w14:textId="77777777" w:rsidR="0068642D" w:rsidRDefault="0068642D" w:rsidP="000A5389">
      <w:pPr>
        <w:spacing w:line="240" w:lineRule="auto"/>
      </w:pPr>
    </w:p>
    <w:p w14:paraId="17ACF816" w14:textId="7489A610" w:rsidR="003D5DB4" w:rsidRPr="002E1B4B" w:rsidRDefault="003D5DB4" w:rsidP="000A5389">
      <w:pPr>
        <w:spacing w:line="240" w:lineRule="auto"/>
      </w:pPr>
      <w:r w:rsidRPr="002E1B4B">
        <w:t>Descripción:</w:t>
      </w:r>
      <w:r w:rsidRPr="002E1B4B">
        <w:tab/>
        <w:t>Sección 18.3 del Contrato de Concesión Parte General</w:t>
      </w:r>
    </w:p>
    <w:p w14:paraId="61B61405" w14:textId="77777777" w:rsidR="003D5DB4" w:rsidRPr="002E1B4B" w:rsidRDefault="003D5DB4" w:rsidP="000A5389">
      <w:pPr>
        <w:spacing w:line="240" w:lineRule="auto"/>
      </w:pPr>
      <w:r w:rsidRPr="002E1B4B">
        <w:t>Observaciones: No se tiene ninguna observación</w:t>
      </w:r>
    </w:p>
    <w:p w14:paraId="36E822F3" w14:textId="77777777" w:rsidR="0068642D" w:rsidRDefault="0068642D" w:rsidP="000A5389">
      <w:pPr>
        <w:spacing w:line="240" w:lineRule="auto"/>
      </w:pPr>
    </w:p>
    <w:p w14:paraId="212AEE37" w14:textId="321A52D2" w:rsidR="003D5DB4" w:rsidRPr="002E1B4B" w:rsidRDefault="003D5DB4" w:rsidP="000A5389">
      <w:pPr>
        <w:spacing w:line="240" w:lineRule="auto"/>
      </w:pPr>
      <w:r w:rsidRPr="002E1B4B">
        <w:t>Cambios en el acuerdo de concesión que se realicen durante el periodo fiscal</w:t>
      </w:r>
    </w:p>
    <w:p w14:paraId="237DA3D6" w14:textId="77777777" w:rsidR="0068642D" w:rsidRDefault="0068642D" w:rsidP="000A5389">
      <w:pPr>
        <w:spacing w:line="240" w:lineRule="auto"/>
      </w:pPr>
    </w:p>
    <w:p w14:paraId="07018B20" w14:textId="029183E5" w:rsidR="003D5DB4" w:rsidRPr="002E1B4B" w:rsidRDefault="003D5DB4" w:rsidP="000A5389">
      <w:pPr>
        <w:spacing w:line="240" w:lineRule="auto"/>
      </w:pPr>
      <w:r w:rsidRPr="002E1B4B">
        <w:t>Adiciones o modificaciones en tiempo</w:t>
      </w:r>
    </w:p>
    <w:p w14:paraId="6143079D" w14:textId="77777777" w:rsidR="003D5DB4" w:rsidRPr="002E1B4B" w:rsidRDefault="003D5DB4" w:rsidP="000A5389">
      <w:pPr>
        <w:spacing w:line="240" w:lineRule="auto"/>
      </w:pPr>
      <w:r w:rsidRPr="002E1B4B">
        <w:t>Fechas de las adiciones o modificaciones:  2/08/2024</w:t>
      </w:r>
    </w:p>
    <w:p w14:paraId="63880CB1" w14:textId="77777777" w:rsidR="003D5DB4" w:rsidRPr="002E1B4B" w:rsidRDefault="003D5DB4" w:rsidP="000A5389">
      <w:pPr>
        <w:spacing w:line="240" w:lineRule="auto"/>
      </w:pPr>
      <w:r w:rsidRPr="002E1B4B">
        <w:t>Nueva fecha de finalización estimada: 12/02/2043</w:t>
      </w:r>
    </w:p>
    <w:p w14:paraId="755BC966" w14:textId="77777777" w:rsidR="003D5DB4" w:rsidRPr="002E1B4B" w:rsidRDefault="003D5DB4" w:rsidP="000A5389">
      <w:pPr>
        <w:spacing w:line="240" w:lineRule="auto"/>
      </w:pPr>
      <w:r w:rsidRPr="002E1B4B">
        <w:t>Observaciones: No se tiene Observación</w:t>
      </w:r>
    </w:p>
    <w:p w14:paraId="5EF13238" w14:textId="77777777" w:rsidR="0068642D" w:rsidRDefault="0068642D" w:rsidP="000A5389">
      <w:pPr>
        <w:spacing w:line="240" w:lineRule="auto"/>
      </w:pPr>
    </w:p>
    <w:p w14:paraId="5D4A4BDC" w14:textId="260312B3" w:rsidR="003D5DB4" w:rsidRPr="002E1B4B" w:rsidRDefault="003D5DB4" w:rsidP="000A5389">
      <w:pPr>
        <w:spacing w:line="240" w:lineRule="auto"/>
      </w:pPr>
      <w:r w:rsidRPr="002E1B4B">
        <w:t>Adiciones o modificaciones en valor</w:t>
      </w:r>
    </w:p>
    <w:p w14:paraId="074EE1F6" w14:textId="77777777" w:rsidR="0068642D" w:rsidRDefault="0068642D" w:rsidP="000A5389">
      <w:pPr>
        <w:spacing w:line="240" w:lineRule="auto"/>
      </w:pPr>
    </w:p>
    <w:p w14:paraId="064D0FDE" w14:textId="66207C56" w:rsidR="003D5DB4" w:rsidRPr="002E1B4B" w:rsidRDefault="003D5DB4" w:rsidP="000A5389">
      <w:pPr>
        <w:spacing w:line="240" w:lineRule="auto"/>
      </w:pPr>
      <w:r w:rsidRPr="002E1B4B">
        <w:t>Valor de la adición o modificación:</w:t>
      </w:r>
      <w:r w:rsidRPr="002E1B4B">
        <w:tab/>
        <w:t>No Aplica</w:t>
      </w:r>
    </w:p>
    <w:p w14:paraId="55665C10" w14:textId="77777777" w:rsidR="003D5DB4" w:rsidRPr="002E1B4B" w:rsidRDefault="003D5DB4" w:rsidP="000A5389">
      <w:pPr>
        <w:spacing w:line="240" w:lineRule="auto"/>
      </w:pPr>
      <w:r w:rsidRPr="002E1B4B">
        <w:t>Nuevo valor del acuerdo: Clausula Quinta del otrosí No7</w:t>
      </w:r>
    </w:p>
    <w:p w14:paraId="52E6B64A" w14:textId="77777777" w:rsidR="003D5DB4" w:rsidRPr="002E1B4B" w:rsidRDefault="003D5DB4" w:rsidP="000A5389">
      <w:pPr>
        <w:spacing w:line="240" w:lineRule="auto"/>
      </w:pPr>
      <w:r w:rsidRPr="002E1B4B">
        <w:t>Observaciones: No se tiene observación</w:t>
      </w:r>
    </w:p>
    <w:p w14:paraId="77EC24F9" w14:textId="77777777" w:rsidR="003D5DB4" w:rsidRDefault="003D5DB4" w:rsidP="000A5389">
      <w:pPr>
        <w:spacing w:line="240" w:lineRule="auto"/>
      </w:pPr>
    </w:p>
    <w:p w14:paraId="30214310" w14:textId="77777777" w:rsidR="0068642D" w:rsidRPr="002E1B4B" w:rsidRDefault="0068642D" w:rsidP="000A5389">
      <w:pPr>
        <w:spacing w:line="240" w:lineRule="auto"/>
      </w:pPr>
    </w:p>
    <w:p w14:paraId="228AF645" w14:textId="00AA871F" w:rsidR="001B234E" w:rsidRDefault="003D5DB4" w:rsidP="000A5389">
      <w:pPr>
        <w:spacing w:line="240" w:lineRule="auto"/>
        <w:rPr>
          <w:i/>
          <w:iCs/>
        </w:rPr>
      </w:pPr>
      <w:r w:rsidRPr="0068642D">
        <w:rPr>
          <w:i/>
          <w:iCs/>
        </w:rPr>
        <w:t>AUTOPISTA RIO MAGDALENA 2</w:t>
      </w:r>
    </w:p>
    <w:p w14:paraId="29234F2E" w14:textId="77777777" w:rsidR="001B234E" w:rsidRPr="0068642D" w:rsidRDefault="001B234E" w:rsidP="000A5389">
      <w:pPr>
        <w:spacing w:line="240" w:lineRule="auto"/>
        <w:rPr>
          <w:i/>
          <w:iCs/>
        </w:rPr>
      </w:pPr>
    </w:p>
    <w:p w14:paraId="4DC28ABB" w14:textId="77777777" w:rsidR="003D5DB4" w:rsidRPr="002E1B4B" w:rsidRDefault="003D5DB4" w:rsidP="000A5389">
      <w:pPr>
        <w:spacing w:line="240" w:lineRule="auto"/>
      </w:pPr>
      <w:r w:rsidRPr="002E1B4B">
        <w:t>Descripción del Acuerdo</w:t>
      </w:r>
    </w:p>
    <w:p w14:paraId="3B50F94E" w14:textId="77777777" w:rsidR="003D5DB4" w:rsidRPr="002E1B4B" w:rsidRDefault="003D5DB4" w:rsidP="000A5389">
      <w:pPr>
        <w:spacing w:line="240" w:lineRule="auto"/>
      </w:pPr>
      <w:r w:rsidRPr="002E1B4B">
        <w:t>Número del Acuerdo de concesión:  Contrato de Concesión N° 008 del 10 de diciembre de 20141</w:t>
      </w:r>
    </w:p>
    <w:p w14:paraId="08481A39" w14:textId="77777777" w:rsidR="0068642D" w:rsidRDefault="003D5DB4" w:rsidP="000A5389">
      <w:pPr>
        <w:spacing w:line="240" w:lineRule="auto"/>
      </w:pPr>
      <w:r w:rsidRPr="002E1B4B">
        <w:t>Objeto / D</w:t>
      </w:r>
    </w:p>
    <w:p w14:paraId="2C790938" w14:textId="07169468" w:rsidR="003D5DB4" w:rsidRDefault="003D5DB4" w:rsidP="000A5389">
      <w:pPr>
        <w:spacing w:line="240" w:lineRule="auto"/>
      </w:pPr>
      <w:r w:rsidRPr="002E1B4B">
        <w:t>escripción:  De acuerdo con el numeral 2.1 del Capítulo II de la Parte General del Contrato de Concesión se tiene que: “El presente Contrato de concesión bajo un esquema de asociación público-privada en los términos de la Ley 1508 de 2012, tiene por objeto el otorgamiento de una concesión para que, de conformidad con lo previsto en este Contrato, el Concesionario, por su cuenta y riesgo, lleve a cabo el Proyecto. El alcance físico del Proyecto se describe en la Parte Especial y en el Apéndice Técnico 1.”Según la Sección 3.2 de la Parte Especial “De conformidad con el Objeto del Contrato dispuesto en la Parte General de este Contrato el Alcance del Contrato corresponde a los estudios y diseños definitivos, financiación, gestión ambiental, predial y social, construcción, mejoramiento, rehabilitación, operación, mantenimiento y reversión de la Concesión Autopista al Río Magdalena 2, del Proyecto "Autopistas para la Prosperidad", de acuerdo con el Apéndice Técnico 1 y demás Apéndices del Contrato.”</w:t>
      </w:r>
    </w:p>
    <w:p w14:paraId="3C043EC8" w14:textId="77777777" w:rsidR="0068642D" w:rsidRPr="002E1B4B" w:rsidRDefault="0068642D" w:rsidP="000A5389">
      <w:pPr>
        <w:spacing w:line="240" w:lineRule="auto"/>
      </w:pPr>
    </w:p>
    <w:p w14:paraId="3A6361B1" w14:textId="77777777" w:rsidR="003D5DB4" w:rsidRPr="002E1B4B" w:rsidRDefault="003D5DB4" w:rsidP="000A5389">
      <w:pPr>
        <w:spacing w:line="240" w:lineRule="auto"/>
      </w:pPr>
      <w:r w:rsidRPr="002E1B4B">
        <w:t>Valor inicial:</w:t>
      </w:r>
      <w:r w:rsidRPr="002E1B4B">
        <w:tab/>
        <w:t>El Valor del Contrato es de un billón setecientos cuarenta mil cuatrocientos veintisiete millones quinientos sesenta y tres mil trescientos treinta y siete pesos ($1.740.427.563.337) del Mes de Referencia</w:t>
      </w:r>
    </w:p>
    <w:p w14:paraId="11A78D8F" w14:textId="77777777" w:rsidR="003D5DB4" w:rsidRPr="002E1B4B" w:rsidRDefault="003D5DB4" w:rsidP="000A5389">
      <w:pPr>
        <w:spacing w:line="240" w:lineRule="auto"/>
      </w:pPr>
      <w:r w:rsidRPr="002E1B4B">
        <w:t>Fecha de inicio: 14 de marzo de 2015</w:t>
      </w:r>
    </w:p>
    <w:p w14:paraId="63EE5AA6" w14:textId="77777777" w:rsidR="003D5DB4" w:rsidRPr="002E1B4B" w:rsidRDefault="003D5DB4" w:rsidP="000A5389">
      <w:pPr>
        <w:spacing w:line="240" w:lineRule="auto"/>
      </w:pPr>
      <w:r w:rsidRPr="002E1B4B">
        <w:t>Fecha de finalización estimada:</w:t>
      </w:r>
      <w:r w:rsidRPr="002E1B4B">
        <w:tab/>
        <w:t>13 de marzo de 2040</w:t>
      </w:r>
    </w:p>
    <w:p w14:paraId="4A1878E2" w14:textId="77777777" w:rsidR="003D5DB4" w:rsidRPr="002E1B4B" w:rsidRDefault="003D5DB4" w:rsidP="000A5389">
      <w:pPr>
        <w:spacing w:line="240" w:lineRule="auto"/>
      </w:pPr>
      <w:r w:rsidRPr="002E1B4B">
        <w:t>Tipo ID:</w:t>
      </w:r>
      <w:r w:rsidRPr="002E1B4B">
        <w:tab/>
        <w:t>NIT</w:t>
      </w:r>
    </w:p>
    <w:p w14:paraId="27E24321" w14:textId="77777777" w:rsidR="003D5DB4" w:rsidRPr="002E1B4B" w:rsidRDefault="003D5DB4" w:rsidP="000A5389">
      <w:pPr>
        <w:spacing w:line="240" w:lineRule="auto"/>
      </w:pPr>
      <w:r w:rsidRPr="002E1B4B">
        <w:t>Número ID:</w:t>
      </w:r>
      <w:r w:rsidRPr="002E1B4B">
        <w:tab/>
        <w:t>900.788.548-0</w:t>
      </w:r>
    </w:p>
    <w:p w14:paraId="2E361857" w14:textId="77777777" w:rsidR="003D5DB4" w:rsidRPr="002E1B4B" w:rsidRDefault="003D5DB4" w:rsidP="000A5389">
      <w:pPr>
        <w:spacing w:line="240" w:lineRule="auto"/>
      </w:pPr>
      <w:r w:rsidRPr="002E1B4B">
        <w:t>Razón social del concesionario: Autopista Rio Magdalena SAS</w:t>
      </w:r>
    </w:p>
    <w:p w14:paraId="6C5082CA" w14:textId="77777777" w:rsidR="003D5DB4" w:rsidRPr="002E1B4B" w:rsidRDefault="003D5DB4" w:rsidP="000A5389">
      <w:pPr>
        <w:spacing w:line="240" w:lineRule="auto"/>
      </w:pPr>
      <w:r w:rsidRPr="002E1B4B">
        <w:t>Nombre del proyecto: AUTOPISTA RIO MAGDALENA 2</w:t>
      </w:r>
    </w:p>
    <w:p w14:paraId="67B680A2" w14:textId="77777777" w:rsidR="003D5DB4" w:rsidRPr="002E1B4B" w:rsidRDefault="003D5DB4" w:rsidP="000A5389">
      <w:pPr>
        <w:spacing w:line="240" w:lineRule="auto"/>
      </w:pPr>
    </w:p>
    <w:p w14:paraId="5F71AD6D" w14:textId="77777777" w:rsidR="003D5DB4" w:rsidRPr="002E1B4B" w:rsidRDefault="003D5DB4" w:rsidP="000A5389">
      <w:pPr>
        <w:spacing w:line="240" w:lineRule="auto"/>
      </w:pPr>
      <w:r w:rsidRPr="002E1B4B">
        <w:lastRenderedPageBreak/>
        <w:t>Términos significativos del Acuerdo que puedan afectar su valor, el calendario y la certeza de los flujos de efectivo futuros</w:t>
      </w:r>
    </w:p>
    <w:p w14:paraId="546E3A6A" w14:textId="77777777" w:rsidR="0068642D" w:rsidRDefault="0068642D" w:rsidP="000A5389">
      <w:pPr>
        <w:spacing w:line="240" w:lineRule="auto"/>
      </w:pPr>
    </w:p>
    <w:p w14:paraId="271721FD" w14:textId="09E940F9" w:rsidR="003D5DB4" w:rsidRDefault="003D5DB4" w:rsidP="000A5389">
      <w:pPr>
        <w:spacing w:line="240" w:lineRule="auto"/>
      </w:pPr>
      <w:r w:rsidRPr="002E1B4B">
        <w:t>Términos de valor: La sección 4.2 (a)(iii) de la Parte Especial del Contrato de Concesión define la formula con la cual deberán ser actualizadas las tarifas el dieciséis (16) de enero de cada año. A diciembre de 2025 hace parte de la retribución del Concesionario: los aportes ANI vigencias futuras, el recaudo de peaje de las tres estaciones de peaje contempladas que son reguladas por la Resolución No. 1557 de 2014 Puerto Berrío, Vegachí y Santa Isabel y los ingresos por explotación comercial. En términos generales, entre marzo de 2015 y el 31 de diciembre de 2025 el total acumulado de ingresos por recaudo de peajes de la Concesión alcanzó los $496.747.898.166,00. Durante la vigencia 2025 se obtuvieron ingresos por recaudo de peaje (Santa Isabel, Vegachí y Puerto Berrío) por valor de $36.775.123.572, adicionalmente se recibieron recursos por valor de $9.265.349.500  correspondientes al giro de  actas N.º 7, 8, 9 y 10 de compensación por menor recaudo (efectos del decreto 050 de 2023).Para la vigencia 2025 el Patrimonio Autónomo del proyecto reportó que al 31 de diciembre de 2025 se recibió el giro de la vigencia 2024 por valor de $313.721.262.810,00 y no se registró el ingreso del giro correspondiente a la vigencia 2025. Por otro lado, y de acuerdo con lo reportado por la Fiduciaria, se observa que el total acumulado de aportes ANI realizado a la fecha asciende a $1.492.097.530.349,00. Dado que no se realizó el giro de vigencias para el año 2025, quedó pendiente un monto total de $159.789.438.940,00 (precios del mes de referencia). Este valor se actualizará según las variables económicas establecidas en el contrato al momento de efectuar el giro. Durante la vigencia 2025 la Concesión recibió ingresos totales por concepto de explotación comercial por valor de $13.706.482,00 producto del Contrato de arrendamiento del área o espacio dentro del Centro de Control de Operaciones - CCO - del proyecto AUTOPISTA MAGDALENA 2, celebrado entre la Concesionaria Autopista Rio Magdalena SAS y Federico Bedoya Navarro. Para la vigencia 2025, el proyecto registró varios incrementos tarifarios, distribuidos de la siguiente manera: - El primer incremento se aplicó con un ajuste por IPC del 2,78 %, correspondiente al 60 % del valor pendiente por normalizar del IPC de 2023 (IPC 2023: 9,28 %, del cual se ajustó el 50 % en agosto de 2024, equivalente a 4,64 %). Este ajuste rigió para la tarifa cobrada entre el 1 y el 15 de enero de 2025, conforme a lo establecido en la Resolución No. 20243040065055 del 31 de diciembre de 2024.- El segundo incremento correspondió a un ajuste por IPC del 5,20 %, equivalente al 100 % del IPC de diciembre de 2024, aplicado durante el periodo comprendido entre el 16 de enero y el 30 de marzo de 2025. Este ajuste contractual se realizó de acuerdo con la Sección 4.2 de la Parte Especial del Contrato de Concesión y la Resolución No. 0001557 del 5 de junio de 2014.- Posteriormente, el proyecto registró un tercer incremento del 1,86 %, correspondiente al 40 % restante del IPC de diciembre de 2023 (IPC 2023: 9,28 %, del cual se ajustó el 50 % en agosto de 2024 y el 60 % del saldo en enero de 2025). Este ajuste fue aplicado para el periodo comprendido entre el 1 de abril y el 15 de julio de 2025, en atención a lo dispuesto en el artículo 3° de la Resolución No. 20243040065055 del 31 de diciembre de 2024.- Finalmente, a partir del 16 de julio de 2025, se aplicó un cuarto incremento tarifario, de conformidad con lo establecido en la Resolución No. 20253040026455 del 7 de julio de 2025.</w:t>
      </w:r>
    </w:p>
    <w:p w14:paraId="2DF1CE6A" w14:textId="77777777" w:rsidR="0068642D" w:rsidRPr="002E1B4B" w:rsidRDefault="0068642D" w:rsidP="000A5389">
      <w:pPr>
        <w:spacing w:line="240" w:lineRule="auto"/>
      </w:pPr>
    </w:p>
    <w:p w14:paraId="7F4415F4" w14:textId="77777777" w:rsidR="0068642D" w:rsidRDefault="003D5DB4" w:rsidP="000A5389">
      <w:pPr>
        <w:spacing w:line="240" w:lineRule="auto"/>
      </w:pPr>
      <w:r w:rsidRPr="002E1B4B">
        <w:lastRenderedPageBreak/>
        <w:t xml:space="preserve">Términos de calendario: El estado de avance determina la evolución del proceso constructivo. </w:t>
      </w:r>
    </w:p>
    <w:p w14:paraId="31A9870C" w14:textId="77777777" w:rsidR="0068642D" w:rsidRDefault="0068642D" w:rsidP="000A5389">
      <w:pPr>
        <w:spacing w:line="240" w:lineRule="auto"/>
      </w:pPr>
    </w:p>
    <w:p w14:paraId="3D7FB642" w14:textId="720B2C25" w:rsidR="003D5DB4" w:rsidRDefault="003D5DB4" w:rsidP="000A5389">
      <w:pPr>
        <w:spacing w:line="240" w:lineRule="auto"/>
      </w:pPr>
      <w:r w:rsidRPr="002E1B4B">
        <w:t>En términos generales a la entrega de la infraestructura y el cumplimiento de los correspondientes niveles de servicio se genera el derecho por parte del concesionario a recibir la retribución. Conforme a lo dispuesto en el apéndice técnico y dando aplicación a los indicadores de cumplimiento. En relación con el CAPEX del proyecto, al cierre de la vigencia 2025 se evidencia una ejecución del 100% conforme a lo programado en el plan de obras y verificado mediante las actas de terminación y entrega de cada Unidad Funcional. En vista de lo anterior, se da por concluida la etapa preoperativa y se da inicio a la etapa de Operación y mantenimiento.</w:t>
      </w:r>
    </w:p>
    <w:p w14:paraId="77FF6F2B" w14:textId="77777777" w:rsidR="0068642D" w:rsidRPr="002E1B4B" w:rsidRDefault="0068642D" w:rsidP="000A5389">
      <w:pPr>
        <w:spacing w:line="240" w:lineRule="auto"/>
      </w:pPr>
    </w:p>
    <w:p w14:paraId="677FE986" w14:textId="77777777" w:rsidR="003D5DB4" w:rsidRPr="002E1B4B" w:rsidRDefault="003D5DB4" w:rsidP="000A5389">
      <w:pPr>
        <w:spacing w:line="240" w:lineRule="auto"/>
      </w:pPr>
      <w:r w:rsidRPr="002E1B4B">
        <w:t>Términos de certeza de flujos de efectivo futuros: En vista de la aplicación del decreto N.º 050 del 15 de enero de 2023, el proyecto liquidó actas de compensación por diferencial de recaudo. A la fecha se registran el pago de diez (10) actas trimestrales que reflejan un ingreso acumulado por valor $19.295.943.920.</w:t>
      </w:r>
    </w:p>
    <w:p w14:paraId="312EBAEF" w14:textId="77777777" w:rsidR="003D5DB4" w:rsidRPr="002E1B4B" w:rsidRDefault="003D5DB4" w:rsidP="000A5389">
      <w:pPr>
        <w:spacing w:line="240" w:lineRule="auto"/>
      </w:pPr>
    </w:p>
    <w:p w14:paraId="68C622F6" w14:textId="77777777" w:rsidR="003D5DB4" w:rsidRPr="002E1B4B" w:rsidRDefault="003D5DB4" w:rsidP="000A5389">
      <w:pPr>
        <w:spacing w:line="240" w:lineRule="auto"/>
      </w:pPr>
      <w:r w:rsidRPr="002E1B4B">
        <w:t>Naturaleza y alcance del derecho a utilizar Activos y los aspectos pactados en torno a lo que se espera que el concesionario proporcione en relación con el Acuerdo de concesión</w:t>
      </w:r>
    </w:p>
    <w:p w14:paraId="143823CB" w14:textId="77777777" w:rsidR="003D5DB4" w:rsidRDefault="003D5DB4" w:rsidP="000A5389">
      <w:pPr>
        <w:spacing w:line="240" w:lineRule="auto"/>
      </w:pPr>
      <w:r w:rsidRPr="002E1B4B">
        <w:t>Naturaleza y alcance del derecho de uso de los Activos</w:t>
      </w:r>
    </w:p>
    <w:p w14:paraId="6EB504BA" w14:textId="77777777" w:rsidR="0068642D" w:rsidRPr="002E1B4B" w:rsidRDefault="0068642D" w:rsidP="000A5389">
      <w:pPr>
        <w:spacing w:line="240" w:lineRule="auto"/>
      </w:pPr>
    </w:p>
    <w:p w14:paraId="48C1CFDA" w14:textId="77777777" w:rsidR="003D5DB4" w:rsidRPr="002E1B4B" w:rsidRDefault="003D5DB4" w:rsidP="000A5389">
      <w:pPr>
        <w:spacing w:line="240" w:lineRule="auto"/>
      </w:pPr>
      <w:r w:rsidRPr="002E1B4B">
        <w:t>Descripción: La sección 3.5 (b) del Capítulo III de la Parte Especial del Contrato determina la infraestructura programada para ser recibida por el Concesionario al inicio del Contrato. Así mismo, se programó la entrega (Capitulo III, Sección 3.6 - Parte Especial) de la estación de Peaje existente en el momento de la estructuración del contrato, a saber: Puerto Berrío.</w:t>
      </w:r>
    </w:p>
    <w:p w14:paraId="4E4FC55F" w14:textId="77777777" w:rsidR="003D5DB4" w:rsidRPr="002E1B4B" w:rsidRDefault="003D5DB4" w:rsidP="000A5389">
      <w:pPr>
        <w:spacing w:line="240" w:lineRule="auto"/>
      </w:pPr>
      <w:r w:rsidRPr="002E1B4B">
        <w:t>Observaciones: El concesionario tiene el derecho a obtener el VPIP contractual. Entiéndase las siglas VPIP, según el numeral 1.162 de la Parte General del Contrato, cómo “Es el valor presente al Mes de Referencia del Recaudo de Peaje, ofrecido por la ANI al Concesionario en las reglas del Proceso de Selección. El monto de VPIP se señala en la Parte Especial.”.  En la Sección 1.162 de la Parte Especial se señala: “El VPIP equivale a SETECIENTOS VEINTIDÓS MIL QUINIENTOS CUARENTA Y OCHO MILLONES NOVECIENTOS NOVENTA Y SIETE MIL OCHOCIENTOS CUARENTA Y CUATRO PESOS ($722.548.997.844) del Mes de Referencia.”, teniendo en cuenta que el Mes de Referencia es diciembre de 2012.  Con corte de 31 de diciembre de 2025 el proyecto presenta el siguiente VPIP: VPIP Contractual: $722.548.997.844VPIP Acumulado: $138.688.667.340% de VPIP: 19,19%Tiempo transcurrido: 10,8 años.</w:t>
      </w:r>
    </w:p>
    <w:p w14:paraId="165702EC" w14:textId="77777777" w:rsidR="0068642D" w:rsidRDefault="0068642D" w:rsidP="000A5389">
      <w:pPr>
        <w:spacing w:line="240" w:lineRule="auto"/>
      </w:pPr>
    </w:p>
    <w:p w14:paraId="6553ABEB" w14:textId="318354BF" w:rsidR="003D5DB4" w:rsidRPr="002E1B4B" w:rsidRDefault="003D5DB4" w:rsidP="000A5389">
      <w:pPr>
        <w:spacing w:line="240" w:lineRule="auto"/>
      </w:pPr>
      <w:r w:rsidRPr="002E1B4B">
        <w:t>Retribución al concesionario</w:t>
      </w:r>
    </w:p>
    <w:p w14:paraId="6642A11A" w14:textId="77777777" w:rsidR="0068642D" w:rsidRDefault="0068642D" w:rsidP="000A5389">
      <w:pPr>
        <w:spacing w:line="240" w:lineRule="auto"/>
      </w:pPr>
    </w:p>
    <w:p w14:paraId="55F7517A" w14:textId="2317E1EA" w:rsidR="003D5DB4" w:rsidRPr="002E1B4B" w:rsidRDefault="003D5DB4" w:rsidP="000A5389">
      <w:pPr>
        <w:spacing w:line="240" w:lineRule="auto"/>
      </w:pPr>
      <w:r w:rsidRPr="002E1B4B">
        <w:t>Descripción:</w:t>
      </w:r>
      <w:r w:rsidRPr="002E1B4B">
        <w:tab/>
        <w:t xml:space="preserve">De acuerdo con la sección 1.138 de la Parte General la retribución se define como: “Se refiere a la contraprestación económica a la que tiene derecho el Concesionario en los términos de la Sección 3.1 de esta Parte General. El reconocimiento de la Retribución –y de la Compensación Especial, cuando sea aplicable– se verificará mediante los traslados entre las subcuentas del Patrimonio Autónomo a los que se refiere dicha Sección. En el caso en que el Concesionario decida instrumentar mecanismos de financiación a través de uno o </w:t>
      </w:r>
      <w:r w:rsidRPr="002E1B4B">
        <w:lastRenderedPageBreak/>
        <w:t>varios Patrimonios Autónomos-Deuda, incluido el mecanismo previsto en el Apéndice Financiero 2, el reconocimiento de la Retribución se verificará mediante el traslado de las subcuentas del Patrimonio Autónomo que correspondan, de conformidad con este Contrato, a dicho(s) Patrimonio(s) Autónomo(s)-Deuda. El reconocimiento de la Retribución –y de la Compensación Especial, cuando sea aplicable– también se podrá efectuar mediante el traslado de recursos directamente a los Cesionarios Especiales, tal y como se prevé en el Apéndice Financiero 2.” En la sección 4.3 de la Parte Especial del contrato de concesión se establece el Cálculo de la Retribución al concesionario. Durante la vigencia 2025 se suscribieron 12 actas de la Unidad Funcional Cuatro (UF4) por valor de total $44.519.065.638, 12 actas de la Unidad Funcional Tres (UF3) por valor total de $33.762.860.235, 10 actas de la Unidad Funcional Dos (UF2) por valor total de $736.215.159.854 y 3 actas de la Unidad Funcional Uno (UF1) por valor total de $736.949.125.720.</w:t>
      </w:r>
    </w:p>
    <w:p w14:paraId="093B5119" w14:textId="77777777" w:rsidR="0068642D" w:rsidRDefault="0068642D" w:rsidP="000A5389">
      <w:pPr>
        <w:spacing w:line="240" w:lineRule="auto"/>
      </w:pPr>
    </w:p>
    <w:p w14:paraId="0BFD9FDF" w14:textId="252B4D25" w:rsidR="003D5DB4" w:rsidRPr="002E1B4B" w:rsidRDefault="003D5DB4" w:rsidP="000A5389">
      <w:pPr>
        <w:spacing w:line="240" w:lineRule="auto"/>
      </w:pPr>
      <w:r w:rsidRPr="002E1B4B">
        <w:t>Tasa de retribución:</w:t>
      </w:r>
      <w:r w:rsidRPr="002E1B4B">
        <w:tab/>
        <w:t>De acuerdo con el contrato parte especial Capitulo II Tabla de referencias a la parte especial, 3.4(a) la Tasa descuento real TDI expresada en términos efectivos mensuales, para efectos de este proyecto, será de cero puntos cincuenta y seis sesenta y cinco (0,5665%).</w:t>
      </w:r>
    </w:p>
    <w:p w14:paraId="1BEAECBB" w14:textId="77777777" w:rsidR="003D5DB4" w:rsidRPr="002E1B4B" w:rsidRDefault="003D5DB4" w:rsidP="000A5389">
      <w:pPr>
        <w:spacing w:line="240" w:lineRule="auto"/>
      </w:pPr>
    </w:p>
    <w:p w14:paraId="1E8876AF" w14:textId="77777777" w:rsidR="003D5DB4" w:rsidRDefault="003D5DB4" w:rsidP="000A5389">
      <w:pPr>
        <w:spacing w:line="240" w:lineRule="auto"/>
      </w:pPr>
      <w:r w:rsidRPr="002E1B4B">
        <w:t>Derechos a recibir Activos especificados al final del acuerdo de concesión</w:t>
      </w:r>
    </w:p>
    <w:p w14:paraId="595BEEA6" w14:textId="77777777" w:rsidR="0068642D" w:rsidRPr="002E1B4B" w:rsidRDefault="0068642D" w:rsidP="000A5389">
      <w:pPr>
        <w:spacing w:line="240" w:lineRule="auto"/>
      </w:pPr>
    </w:p>
    <w:p w14:paraId="743DEC9D" w14:textId="77777777" w:rsidR="003D5DB4" w:rsidRPr="002E1B4B" w:rsidRDefault="003D5DB4" w:rsidP="000A5389">
      <w:pPr>
        <w:spacing w:line="240" w:lineRule="auto"/>
      </w:pPr>
      <w:r w:rsidRPr="002E1B4B">
        <w:t>Descripción: Corresponde al procedimiento señalado en la sección 9.7 de la Parte General, mediante el cual el Concesionario entrega los bienes asociados al proyecto a la ANI para dar por terminado el contrato.“(…) (b) Sin perjuicio de la obligación que le asiste al Concesionario en cuanto a la ejecución de las intervenciones, las obligaciones de Operación y las Obras de Mantenimiento a que se refiere el Contrato, se entenderá que la ANI se hará propietario de las obras que conforman el Proyecto al momento de su ejecución, incluyendo además, pero sin limitarse, las Estaciones de Peaje y de Pesaje, junto con la totalidad de los bienes muebles o inmuebles por destinación o adhesión, que se encuentren en las mismas, no obstante lo cual, el Concesionario conservará la mera tenencia para efectos del cumplimiento del Contrato y será por ende responsable de la guarda material y jurídica de tales bienes aquí mencionados que conforman el Proyecto.(c) Estos bienes de propiedad de la ANI, y, en general, todos los bienes inmuebles con todas sus anexidades y los equipos, software y demás activos que hacen parte del Proyecto, serán entregados a la ANI, según corresponda, en las condiciones señaladas en el Apéndice Técnico 2 al momento de la terminación de la Etapa de Reversión (…)”</w:t>
      </w:r>
    </w:p>
    <w:p w14:paraId="2B272E8A" w14:textId="77777777" w:rsidR="0068642D" w:rsidRDefault="0068642D" w:rsidP="000A5389">
      <w:pPr>
        <w:spacing w:line="240" w:lineRule="auto"/>
      </w:pPr>
    </w:p>
    <w:p w14:paraId="06AB4976" w14:textId="36DF2F52" w:rsidR="003D5DB4" w:rsidRDefault="003D5DB4" w:rsidP="000A5389">
      <w:pPr>
        <w:spacing w:line="240" w:lineRule="auto"/>
      </w:pPr>
      <w:r w:rsidRPr="002E1B4B">
        <w:t xml:space="preserve">Observaciones: El estado de las obras y bienes al momento de entregar la obra deberá ser el siguiente:  Al momento de la Terminación del Contrato el Concesionario deberá cumplir con los Valores Mínimos de Aceptación de los Indicadores incluidos en el Apéndice Técnico 4: (I) Pavimentos:  Sin perjuicio del cumplimiento de los demás Indicadores, al momento de la terminación del Contrato, los pavimentos deberán contar al menos con el índice de deflexión que se indica en el Apéndice Técnico 4 como valor mínimo de aceptación para el Indicador de Capacidad Estructural E16, (ii)  Equipos: Todos los equipos entregados deberán operar </w:t>
      </w:r>
      <w:r w:rsidRPr="002E1B4B">
        <w:lastRenderedPageBreak/>
        <w:t>por lo menos durante cinco (5) años más sin necesidad de reposición, a excepción de los vehículos automotores que deberán tener una vida útil de tres (3) años como mínimo, (iii) Túneles: Sin perjuicio de las obligaciones estipuladas en la Parte General, para la reversión de la infraestructura, dentro cuatro (4) meses antes de la fecha de finalización de la Etapa de Operación y Mantenimiento el Concesionario deberá cumplir con todos y cada uno de los siguientes puntos: Permitirá el ingreso del personal de la ANI o a quien éste delegue a todas las instalaciones para la operación. Durante este tiempo el Concesionario deberá realizar el empalme con el encargado de la operación del túnel.</w:t>
      </w:r>
    </w:p>
    <w:p w14:paraId="0C5DA219" w14:textId="77777777" w:rsidR="0068642D" w:rsidRPr="002E1B4B" w:rsidRDefault="0068642D" w:rsidP="000A5389">
      <w:pPr>
        <w:spacing w:line="240" w:lineRule="auto"/>
      </w:pPr>
    </w:p>
    <w:p w14:paraId="742DE23F" w14:textId="77777777" w:rsidR="003D5DB4" w:rsidRDefault="003D5DB4" w:rsidP="000A5389">
      <w:pPr>
        <w:spacing w:line="240" w:lineRule="auto"/>
      </w:pPr>
      <w:r w:rsidRPr="002E1B4B">
        <w:t>Las alternativas de renovación y cese del acuerdo</w:t>
      </w:r>
    </w:p>
    <w:p w14:paraId="1317D34A" w14:textId="77777777" w:rsidR="0068642D" w:rsidRPr="002E1B4B" w:rsidRDefault="0068642D" w:rsidP="000A5389">
      <w:pPr>
        <w:spacing w:line="240" w:lineRule="auto"/>
      </w:pPr>
    </w:p>
    <w:p w14:paraId="1F4D7570" w14:textId="77777777" w:rsidR="003D5DB4" w:rsidRPr="002E1B4B" w:rsidRDefault="003D5DB4" w:rsidP="000A5389">
      <w:pPr>
        <w:spacing w:line="240" w:lineRule="auto"/>
      </w:pPr>
      <w:r w:rsidRPr="002E1B4B">
        <w:t>Descripción:</w:t>
      </w:r>
      <w:r w:rsidRPr="002E1B4B">
        <w:tab/>
        <w:t>La sección 11.2 de la Parte General del Contrato de Concesión establece las causales de terminación anticipada del contrato.</w:t>
      </w:r>
    </w:p>
    <w:p w14:paraId="799F088D" w14:textId="77777777" w:rsidR="003D5DB4" w:rsidRPr="002E1B4B" w:rsidRDefault="003D5DB4" w:rsidP="000A5389">
      <w:pPr>
        <w:spacing w:line="240" w:lineRule="auto"/>
      </w:pPr>
      <w:r w:rsidRPr="002E1B4B">
        <w:t>Observaciones: No se tiene ninguna observación.</w:t>
      </w:r>
    </w:p>
    <w:p w14:paraId="6517F245" w14:textId="77777777" w:rsidR="003D5DB4" w:rsidRPr="002E1B4B" w:rsidRDefault="003D5DB4" w:rsidP="000A5389">
      <w:pPr>
        <w:spacing w:line="240" w:lineRule="auto"/>
      </w:pPr>
    </w:p>
    <w:p w14:paraId="62B63461" w14:textId="77777777" w:rsidR="003D5DB4" w:rsidRPr="002E1B4B" w:rsidRDefault="003D5DB4" w:rsidP="000A5389">
      <w:pPr>
        <w:spacing w:line="240" w:lineRule="auto"/>
      </w:pPr>
      <w:r w:rsidRPr="002E1B4B">
        <w:t>Cambios en el acuerdo de concesión que se realicen durante el periodo fiscal</w:t>
      </w:r>
    </w:p>
    <w:p w14:paraId="03045BFD" w14:textId="77777777" w:rsidR="003D5DB4" w:rsidRDefault="003D5DB4" w:rsidP="000A5389">
      <w:pPr>
        <w:spacing w:line="240" w:lineRule="auto"/>
      </w:pPr>
      <w:r w:rsidRPr="002E1B4B">
        <w:t>Adiciones o modificaciones en tiempo</w:t>
      </w:r>
    </w:p>
    <w:p w14:paraId="7FF0FD27" w14:textId="77777777" w:rsidR="0068642D" w:rsidRPr="002E1B4B" w:rsidRDefault="0068642D" w:rsidP="000A5389">
      <w:pPr>
        <w:spacing w:line="240" w:lineRule="auto"/>
      </w:pPr>
    </w:p>
    <w:p w14:paraId="594997DB" w14:textId="77777777" w:rsidR="003D5DB4" w:rsidRPr="002E1B4B" w:rsidRDefault="003D5DB4" w:rsidP="000A5389">
      <w:pPr>
        <w:spacing w:line="240" w:lineRule="auto"/>
      </w:pPr>
      <w:r w:rsidRPr="002E1B4B">
        <w:t>Fechas de las adiciones o modificaciones:</w:t>
      </w:r>
      <w:r w:rsidRPr="002E1B4B">
        <w:tab/>
        <w:t>No Aplica</w:t>
      </w:r>
    </w:p>
    <w:p w14:paraId="77538712" w14:textId="77777777" w:rsidR="003D5DB4" w:rsidRPr="002E1B4B" w:rsidRDefault="003D5DB4" w:rsidP="000A5389">
      <w:pPr>
        <w:spacing w:line="240" w:lineRule="auto"/>
      </w:pPr>
      <w:r w:rsidRPr="002E1B4B">
        <w:t>Nueva Fecha de finalización estimada:</w:t>
      </w:r>
      <w:r w:rsidRPr="002E1B4B">
        <w:tab/>
        <w:t>No Aplica</w:t>
      </w:r>
    </w:p>
    <w:p w14:paraId="5A71BE90" w14:textId="77777777" w:rsidR="003D5DB4" w:rsidRPr="002E1B4B" w:rsidRDefault="003D5DB4" w:rsidP="000A5389">
      <w:pPr>
        <w:spacing w:line="240" w:lineRule="auto"/>
      </w:pPr>
      <w:r w:rsidRPr="002E1B4B">
        <w:t>Observaciones: No se tiene ninguna Observación</w:t>
      </w:r>
    </w:p>
    <w:p w14:paraId="60E055CA" w14:textId="77777777" w:rsidR="0068642D" w:rsidRDefault="0068642D" w:rsidP="000A5389">
      <w:pPr>
        <w:spacing w:line="240" w:lineRule="auto"/>
      </w:pPr>
    </w:p>
    <w:p w14:paraId="58A8926C" w14:textId="5B2CCDCF" w:rsidR="003D5DB4" w:rsidRPr="002E1B4B" w:rsidRDefault="003D5DB4" w:rsidP="000A5389">
      <w:pPr>
        <w:spacing w:line="240" w:lineRule="auto"/>
      </w:pPr>
      <w:r w:rsidRPr="002E1B4B">
        <w:t>Adiciones o modificaciones en valor</w:t>
      </w:r>
    </w:p>
    <w:p w14:paraId="7C2EA601" w14:textId="77777777" w:rsidR="0068642D" w:rsidRDefault="0068642D" w:rsidP="000A5389">
      <w:pPr>
        <w:spacing w:line="240" w:lineRule="auto"/>
      </w:pPr>
    </w:p>
    <w:p w14:paraId="56061997" w14:textId="19480D30" w:rsidR="003D5DB4" w:rsidRPr="002E1B4B" w:rsidRDefault="003D5DB4" w:rsidP="000A5389">
      <w:pPr>
        <w:spacing w:line="240" w:lineRule="auto"/>
      </w:pPr>
      <w:r w:rsidRPr="002E1B4B">
        <w:t>Valor de la adición o modificación: No Aplica</w:t>
      </w:r>
    </w:p>
    <w:p w14:paraId="4310A653" w14:textId="77777777" w:rsidR="003D5DB4" w:rsidRPr="002E1B4B" w:rsidRDefault="003D5DB4" w:rsidP="000A5389">
      <w:pPr>
        <w:spacing w:line="240" w:lineRule="auto"/>
      </w:pPr>
      <w:r w:rsidRPr="002E1B4B">
        <w:t>Nuevo valor del acuerdo: No Aplica</w:t>
      </w:r>
    </w:p>
    <w:p w14:paraId="70C98A47" w14:textId="77777777" w:rsidR="003D5DB4" w:rsidRPr="002E1B4B" w:rsidRDefault="003D5DB4" w:rsidP="000A5389">
      <w:pPr>
        <w:spacing w:line="240" w:lineRule="auto"/>
      </w:pPr>
      <w:r w:rsidRPr="002E1B4B">
        <w:t>Observaciones: No se tiene ninguna Observación</w:t>
      </w:r>
    </w:p>
    <w:p w14:paraId="7ECAB49C" w14:textId="77777777" w:rsidR="003D5DB4" w:rsidRDefault="003D5DB4" w:rsidP="000A5389">
      <w:pPr>
        <w:spacing w:line="240" w:lineRule="auto"/>
      </w:pPr>
    </w:p>
    <w:p w14:paraId="2A4EF7F2" w14:textId="77777777" w:rsidR="0068642D" w:rsidRPr="002E1B4B" w:rsidRDefault="0068642D" w:rsidP="000A5389">
      <w:pPr>
        <w:spacing w:line="240" w:lineRule="auto"/>
      </w:pPr>
    </w:p>
    <w:p w14:paraId="417FB763" w14:textId="77777777" w:rsidR="003D5DB4" w:rsidRDefault="003D5DB4" w:rsidP="000A5389">
      <w:pPr>
        <w:spacing w:line="240" w:lineRule="auto"/>
        <w:rPr>
          <w:i/>
          <w:iCs/>
        </w:rPr>
      </w:pPr>
      <w:r w:rsidRPr="0068642D">
        <w:rPr>
          <w:i/>
          <w:iCs/>
        </w:rPr>
        <w:t>AUTOPISTA CONEXIÓN NORTE</w:t>
      </w:r>
    </w:p>
    <w:p w14:paraId="0E941060" w14:textId="77777777" w:rsidR="0068642D" w:rsidRPr="0068642D" w:rsidRDefault="0068642D" w:rsidP="000A5389">
      <w:pPr>
        <w:spacing w:line="240" w:lineRule="auto"/>
        <w:rPr>
          <w:i/>
          <w:iCs/>
        </w:rPr>
      </w:pPr>
    </w:p>
    <w:p w14:paraId="5BAB2E66" w14:textId="77777777" w:rsidR="003D5DB4" w:rsidRPr="002E1B4B" w:rsidRDefault="003D5DB4" w:rsidP="000A5389">
      <w:pPr>
        <w:spacing w:line="240" w:lineRule="auto"/>
      </w:pPr>
      <w:r w:rsidRPr="002E1B4B">
        <w:t>Descripción del Acuerdo</w:t>
      </w:r>
    </w:p>
    <w:p w14:paraId="511FEC4D" w14:textId="77777777" w:rsidR="003D5DB4" w:rsidRPr="002E1B4B" w:rsidRDefault="003D5DB4" w:rsidP="000A5389">
      <w:pPr>
        <w:spacing w:line="240" w:lineRule="auto"/>
      </w:pPr>
      <w:r w:rsidRPr="002E1B4B">
        <w:t>Número del Acuerdo de concesión:  009 del 10 diciembre 2014</w:t>
      </w:r>
    </w:p>
    <w:p w14:paraId="50B9195E" w14:textId="77777777" w:rsidR="003D5DB4" w:rsidRPr="002E1B4B" w:rsidRDefault="003D5DB4" w:rsidP="000A5389">
      <w:pPr>
        <w:spacing w:line="240" w:lineRule="auto"/>
      </w:pPr>
      <w:r w:rsidRPr="002E1B4B">
        <w:t>Objeto / Descripción:  “(..) estudios y diseños definitivos, financiación, gestión ambiental, predial y social, construcción, mejoramiento, rehabilitación, operación, mantenimiento y reversión de la Concesión Autopista Conexión Norte, del Proyecto "Autopistas para la Prosperidad", de acuerdo con el Apéndice Técnico 1 y demás Apéndices del Contrato.”</w:t>
      </w:r>
    </w:p>
    <w:p w14:paraId="680F0B5B" w14:textId="77777777" w:rsidR="003D5DB4" w:rsidRPr="002E1B4B" w:rsidRDefault="003D5DB4" w:rsidP="000A5389">
      <w:pPr>
        <w:spacing w:line="240" w:lineRule="auto"/>
      </w:pPr>
      <w:r w:rsidRPr="002E1B4B">
        <w:t>Valor inicial:</w:t>
      </w:r>
      <w:r w:rsidRPr="002E1B4B">
        <w:tab/>
        <w:t>UN BILLÓN TRESCIENTOS MIL DOSCIENTOS SETENTA Y TRES MILLONES SETECIENTOS OCHENTA Y CUATRO MIL CUATROCIENTOS VEINTE PESOS ($1.300.273.784.420) del Mes de Referencia.</w:t>
      </w:r>
    </w:p>
    <w:p w14:paraId="24338497" w14:textId="77777777" w:rsidR="003D5DB4" w:rsidRPr="002E1B4B" w:rsidRDefault="003D5DB4" w:rsidP="000A5389">
      <w:pPr>
        <w:spacing w:line="240" w:lineRule="auto"/>
      </w:pPr>
      <w:r w:rsidRPr="002E1B4B">
        <w:t>Fecha de inicio: 06 de febrero de 2015</w:t>
      </w:r>
    </w:p>
    <w:p w14:paraId="29435385" w14:textId="77777777" w:rsidR="0068642D" w:rsidRDefault="0068642D" w:rsidP="000A5389">
      <w:pPr>
        <w:spacing w:line="240" w:lineRule="auto"/>
      </w:pPr>
    </w:p>
    <w:p w14:paraId="67726939" w14:textId="6144D8F0" w:rsidR="003D5DB4" w:rsidRPr="002E1B4B" w:rsidRDefault="003D5DB4" w:rsidP="000A5389">
      <w:pPr>
        <w:spacing w:line="240" w:lineRule="auto"/>
      </w:pPr>
      <w:r w:rsidRPr="002E1B4B">
        <w:t>Fecha de finalización estimada:</w:t>
      </w:r>
      <w:r w:rsidRPr="002E1B4B">
        <w:tab/>
        <w:t>04 de febrero de 2040</w:t>
      </w:r>
    </w:p>
    <w:p w14:paraId="2B3B9DC7" w14:textId="77777777" w:rsidR="003D5DB4" w:rsidRPr="002E1B4B" w:rsidRDefault="003D5DB4" w:rsidP="000A5389">
      <w:pPr>
        <w:spacing w:line="240" w:lineRule="auto"/>
      </w:pPr>
      <w:r w:rsidRPr="002E1B4B">
        <w:t>Tipo ID:</w:t>
      </w:r>
      <w:r w:rsidRPr="002E1B4B">
        <w:tab/>
        <w:t>NIT</w:t>
      </w:r>
    </w:p>
    <w:p w14:paraId="2920AE9D" w14:textId="77777777" w:rsidR="003D5DB4" w:rsidRPr="002E1B4B" w:rsidRDefault="003D5DB4" w:rsidP="000A5389">
      <w:pPr>
        <w:spacing w:line="240" w:lineRule="auto"/>
      </w:pPr>
      <w:r w:rsidRPr="002E1B4B">
        <w:lastRenderedPageBreak/>
        <w:t>Número ID:</w:t>
      </w:r>
      <w:r w:rsidRPr="002E1B4B">
        <w:tab/>
        <w:t>900.793.991-0</w:t>
      </w:r>
    </w:p>
    <w:p w14:paraId="65D79646" w14:textId="77777777" w:rsidR="003D5DB4" w:rsidRPr="002E1B4B" w:rsidRDefault="003D5DB4" w:rsidP="000A5389">
      <w:pPr>
        <w:spacing w:line="240" w:lineRule="auto"/>
      </w:pPr>
      <w:r w:rsidRPr="002E1B4B">
        <w:t>Razón social del concesionario:</w:t>
      </w:r>
      <w:r w:rsidRPr="002E1B4B">
        <w:tab/>
        <w:t>Autopistas del Nordeste S.A.S.</w:t>
      </w:r>
    </w:p>
    <w:p w14:paraId="1AACE216" w14:textId="77777777" w:rsidR="003D5DB4" w:rsidRPr="002E1B4B" w:rsidRDefault="003D5DB4" w:rsidP="000A5389">
      <w:pPr>
        <w:spacing w:line="240" w:lineRule="auto"/>
      </w:pPr>
      <w:r w:rsidRPr="002E1B4B">
        <w:t>Nombre del proyecto:</w:t>
      </w:r>
      <w:r w:rsidRPr="002E1B4B">
        <w:tab/>
        <w:t>AUTOPISTA CONEXIÓN NORTE</w:t>
      </w:r>
    </w:p>
    <w:p w14:paraId="32B6EF8E" w14:textId="77777777" w:rsidR="0068642D" w:rsidRDefault="0068642D" w:rsidP="000A5389">
      <w:pPr>
        <w:spacing w:line="240" w:lineRule="auto"/>
      </w:pPr>
    </w:p>
    <w:p w14:paraId="756A139F" w14:textId="7BF64B62" w:rsidR="003D5DB4" w:rsidRPr="002E1B4B" w:rsidRDefault="003D5DB4" w:rsidP="000A5389">
      <w:pPr>
        <w:spacing w:line="240" w:lineRule="auto"/>
      </w:pPr>
      <w:r w:rsidRPr="002E1B4B">
        <w:t>Términos significativos del Acuerdo que puedan afectar su valor, el calendario y la certeza de los flujos (Solo se requiere redacción, sin imágenes, gráficas, estadísticas, cuadros, ni objeto, solo texto)</w:t>
      </w:r>
    </w:p>
    <w:p w14:paraId="564DF710" w14:textId="77777777" w:rsidR="0068642D" w:rsidRDefault="0068642D" w:rsidP="000A5389">
      <w:pPr>
        <w:spacing w:line="240" w:lineRule="auto"/>
      </w:pPr>
    </w:p>
    <w:p w14:paraId="017FAC5B" w14:textId="16E7D11D" w:rsidR="003D5DB4" w:rsidRPr="002E1B4B" w:rsidRDefault="003D5DB4" w:rsidP="000A5389">
      <w:pPr>
        <w:spacing w:line="240" w:lineRule="auto"/>
      </w:pPr>
      <w:r w:rsidRPr="002E1B4B">
        <w:t>Términos de valor:</w:t>
      </w:r>
    </w:p>
    <w:p w14:paraId="4EFA8612" w14:textId="77777777" w:rsidR="0068642D" w:rsidRDefault="0068642D" w:rsidP="000A5389">
      <w:pPr>
        <w:spacing w:line="240" w:lineRule="auto"/>
      </w:pPr>
    </w:p>
    <w:p w14:paraId="1A03E0A0" w14:textId="080BFD21" w:rsidR="003D5DB4" w:rsidRPr="002E1B4B" w:rsidRDefault="003D5DB4" w:rsidP="000A5389">
      <w:pPr>
        <w:spacing w:line="240" w:lineRule="auto"/>
      </w:pPr>
      <w:r w:rsidRPr="002E1B4B">
        <w:t>Términos de calendario: Está definida por el recaudo de las estaciones de Peaje y este flujo está compuesto por dos factores: a) por el valor de las tarifas; y b) por el tráfico de vehículos. La Concesión Autopista Conexión Norte contempla dos (2) estaciones de Peaje, a saber: Peaje Fragua en la Unidad Funcional 1, Peaje Zaragoza en la Unidad Funcional 2. De acuerdo con el Contrato de Concesión las tarifas serán actualizadas el dieciséis (16) de enero de cada año bajo la siguiente fórmula:</w:t>
      </w:r>
    </w:p>
    <w:p w14:paraId="21CD0B22" w14:textId="77777777" w:rsidR="003D5DB4" w:rsidRPr="002E1B4B" w:rsidRDefault="003D5DB4" w:rsidP="000A5389">
      <w:pPr>
        <w:spacing w:line="240" w:lineRule="auto"/>
      </w:pPr>
      <w:r w:rsidRPr="002E1B4B">
        <w:rPr>
          <w:noProof/>
        </w:rPr>
        <w:drawing>
          <wp:anchor distT="0" distB="0" distL="114300" distR="114300" simplePos="0" relativeHeight="251661313" behindDoc="0" locked="0" layoutInCell="1" allowOverlap="1" wp14:anchorId="5A7EBDEA" wp14:editId="4B488FF3">
            <wp:simplePos x="0" y="0"/>
            <wp:positionH relativeFrom="column">
              <wp:posOffset>1365456</wp:posOffset>
            </wp:positionH>
            <wp:positionV relativeFrom="paragraph">
              <wp:posOffset>98517</wp:posOffset>
            </wp:positionV>
            <wp:extent cx="1990725" cy="295275"/>
            <wp:effectExtent l="0" t="0" r="9525" b="9525"/>
            <wp:wrapNone/>
            <wp:docPr id="3"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990725" cy="295275"/>
                    </a:xfrm>
                    <a:prstGeom prst="rect">
                      <a:avLst/>
                    </a:prstGeom>
                  </pic:spPr>
                </pic:pic>
              </a:graphicData>
            </a:graphic>
          </wp:anchor>
        </w:drawing>
      </w:r>
      <w:r w:rsidRPr="002E1B4B">
        <w:t xml:space="preserve"> </w:t>
      </w:r>
    </w:p>
    <w:p w14:paraId="5230CE63" w14:textId="77777777" w:rsidR="003D5DB4" w:rsidRPr="002E1B4B" w:rsidRDefault="003D5DB4" w:rsidP="000A5389">
      <w:pPr>
        <w:spacing w:line="240" w:lineRule="auto"/>
      </w:pPr>
      <w:r w:rsidRPr="002E1B4B">
        <w:t>Donde:</w:t>
      </w:r>
    </w:p>
    <w:p w14:paraId="356A828C" w14:textId="77777777" w:rsidR="003D5DB4" w:rsidRPr="002E1B4B" w:rsidRDefault="003D5DB4" w:rsidP="000A5389">
      <w:pPr>
        <w:spacing w:line="240" w:lineRule="auto"/>
      </w:pPr>
      <w:r w:rsidRPr="002E1B4B">
        <w:rPr>
          <w:noProof/>
        </w:rPr>
        <w:drawing>
          <wp:inline distT="0" distB="0" distL="0" distR="0" wp14:anchorId="39C7443B" wp14:editId="2C9154F1">
            <wp:extent cx="4314825" cy="657225"/>
            <wp:effectExtent l="0" t="0" r="9525" b="9525"/>
            <wp:docPr id="446212417" name="Image 4" descr="Texto&#10;&#10;Descripción generada automáticament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46212417" name="Image 4" descr="Texto&#10;&#10;Descripción generada automáticamente"/>
                    <pic:cNvPicPr/>
                  </pic:nvPicPr>
                  <pic:blipFill>
                    <a:blip r:embed="rId16" cstate="print"/>
                    <a:stretch>
                      <a:fillRect/>
                    </a:stretch>
                  </pic:blipFill>
                  <pic:spPr>
                    <a:xfrm>
                      <a:off x="0" y="0"/>
                      <a:ext cx="4314825" cy="657225"/>
                    </a:xfrm>
                    <a:prstGeom prst="rect">
                      <a:avLst/>
                    </a:prstGeom>
                  </pic:spPr>
                </pic:pic>
              </a:graphicData>
            </a:graphic>
          </wp:inline>
        </w:drawing>
      </w:r>
    </w:p>
    <w:p w14:paraId="36392565" w14:textId="77777777" w:rsidR="0068642D" w:rsidRDefault="0068642D" w:rsidP="000A5389">
      <w:pPr>
        <w:spacing w:line="240" w:lineRule="auto"/>
      </w:pPr>
    </w:p>
    <w:p w14:paraId="521EF718" w14:textId="2F10E54A" w:rsidR="003D5DB4" w:rsidRPr="002E1B4B" w:rsidRDefault="003D5DB4" w:rsidP="000A5389">
      <w:pPr>
        <w:spacing w:line="240" w:lineRule="auto"/>
      </w:pPr>
      <w:r w:rsidRPr="002E1B4B">
        <w:t>Desde diciembre de 2024,  las dos casetas de peaje, se encuentran recaudando la tarifa respectiva, tanto “Zaragoza” como "FRAGUA", correspondiente a las Unidades Funcionales Números 1 y 2. Las tarifas de peaje las regula la Resolución No. 645 de 2014.</w:t>
      </w:r>
    </w:p>
    <w:p w14:paraId="08FA4371" w14:textId="77777777" w:rsidR="003D5DB4" w:rsidRDefault="003D5DB4" w:rsidP="000A5389">
      <w:pPr>
        <w:spacing w:line="240" w:lineRule="auto"/>
      </w:pPr>
      <w:r w:rsidRPr="002E1B4B">
        <w:t>Términos de certeza de flujos de efectivo futuros: Las Vigencias Futuras del proyecto se han aportado en su totalidad, con excepción de la Vigencia 2025, la cual fue calculada por un valor de $254.889.374.239 Pesos Corrientes, cifra que se encuentra pendiente por recibirse desde el Ministerio de Hacienda y Crédito Público (MHCP)</w:t>
      </w:r>
    </w:p>
    <w:p w14:paraId="7816E0C4" w14:textId="77777777" w:rsidR="0068642D" w:rsidRPr="002E1B4B" w:rsidRDefault="0068642D" w:rsidP="000A5389">
      <w:pPr>
        <w:spacing w:line="240" w:lineRule="auto"/>
      </w:pPr>
    </w:p>
    <w:p w14:paraId="03F9F2DD" w14:textId="77777777" w:rsidR="003D5DB4" w:rsidRPr="002E1B4B" w:rsidRDefault="003D5DB4" w:rsidP="000A5389">
      <w:pPr>
        <w:spacing w:line="240" w:lineRule="auto"/>
      </w:pPr>
      <w:r w:rsidRPr="002E1B4B">
        <w:t>Naturaleza y alcance del derecho a utilizar Activos y los aspectos pactados en torno a lo que se espera que el concesionario proporcione en relación con el Acuerdo de concesión (Se requiere ser breves, precisos, y concisos en la redacción)</w:t>
      </w:r>
    </w:p>
    <w:p w14:paraId="11F37EE4" w14:textId="77777777" w:rsidR="0068642D" w:rsidRDefault="0068642D" w:rsidP="000A5389">
      <w:pPr>
        <w:spacing w:line="240" w:lineRule="auto"/>
      </w:pPr>
    </w:p>
    <w:p w14:paraId="26E6AD3A" w14:textId="20B9C627" w:rsidR="003D5DB4" w:rsidRPr="002E1B4B" w:rsidRDefault="003D5DB4" w:rsidP="000A5389">
      <w:pPr>
        <w:spacing w:line="240" w:lineRule="auto"/>
      </w:pPr>
      <w:r w:rsidRPr="002E1B4B">
        <w:t>Naturaleza y alcance del derecho de uso de los Activos</w:t>
      </w:r>
    </w:p>
    <w:p w14:paraId="7A905299" w14:textId="4557B78F" w:rsidR="003D5DB4" w:rsidRDefault="003D5DB4" w:rsidP="000A5389">
      <w:pPr>
        <w:spacing w:line="240" w:lineRule="auto"/>
      </w:pPr>
      <w:r w:rsidRPr="002E1B4B">
        <w:t>Descripción:</w:t>
      </w:r>
    </w:p>
    <w:p w14:paraId="4CD47204" w14:textId="77777777" w:rsidR="0068642D" w:rsidRPr="002E1B4B" w:rsidRDefault="0068642D" w:rsidP="000A5389">
      <w:pPr>
        <w:spacing w:line="240" w:lineRule="auto"/>
      </w:pPr>
    </w:p>
    <w:p w14:paraId="0DBDB132" w14:textId="77777777" w:rsidR="003D5DB4" w:rsidRDefault="003D5DB4" w:rsidP="000A5389">
      <w:pPr>
        <w:spacing w:line="240" w:lineRule="auto"/>
      </w:pPr>
      <w:r w:rsidRPr="002E1B4B">
        <w:t>Observaciones: El estado de avance determina la evolución del proceso constructivo. En términos generales a la entrega de la infraestructura y el cumplimiento de los correspondientes niveles de servicio se genera el derecho por parte del concesionario a recibir la retribución. El proyecto se encuentra en un avance estimado de las obras de 100%, con corte al 31 de diciembre de 2025.</w:t>
      </w:r>
    </w:p>
    <w:p w14:paraId="28350A36" w14:textId="77777777" w:rsidR="0068642D" w:rsidRPr="002E1B4B" w:rsidRDefault="0068642D" w:rsidP="000A5389">
      <w:pPr>
        <w:spacing w:line="240" w:lineRule="auto"/>
      </w:pPr>
    </w:p>
    <w:p w14:paraId="41437726" w14:textId="77777777" w:rsidR="003D5DB4" w:rsidRDefault="003D5DB4" w:rsidP="000A5389">
      <w:pPr>
        <w:spacing w:line="240" w:lineRule="auto"/>
      </w:pPr>
      <w:r w:rsidRPr="002E1B4B">
        <w:lastRenderedPageBreak/>
        <w:t>Retribución al concesionario</w:t>
      </w:r>
    </w:p>
    <w:p w14:paraId="3B3C5B8F" w14:textId="77777777" w:rsidR="0068642D" w:rsidRPr="002E1B4B" w:rsidRDefault="0068642D" w:rsidP="000A5389">
      <w:pPr>
        <w:spacing w:line="240" w:lineRule="auto"/>
      </w:pPr>
    </w:p>
    <w:p w14:paraId="543EB82F" w14:textId="77777777" w:rsidR="003D5DB4" w:rsidRDefault="003D5DB4" w:rsidP="000A5389">
      <w:pPr>
        <w:spacing w:line="240" w:lineRule="auto"/>
      </w:pPr>
      <w:r w:rsidRPr="002E1B4B">
        <w:t>Descripción: La sección 3.5 (b) del Capítulo III de la Parte Especial del Contrato determina la infraestructura programada para ser recibida por el Concesionario al inicio del Contrato. Así mismo, se programó la puesta en operación (conforme a la Sección 3.6 - Parte Especial del contrato de concesión), de las estaciones de Peaje denominadas Fragua y Zaragoza respectivamente, las cuales están operativas desde el año 2024.</w:t>
      </w:r>
    </w:p>
    <w:p w14:paraId="032B9B86" w14:textId="77777777" w:rsidR="0068642D" w:rsidRPr="002E1B4B" w:rsidRDefault="0068642D" w:rsidP="000A5389">
      <w:pPr>
        <w:spacing w:line="240" w:lineRule="auto"/>
      </w:pPr>
    </w:p>
    <w:p w14:paraId="052CB294" w14:textId="77777777" w:rsidR="003D5DB4" w:rsidRDefault="003D5DB4" w:rsidP="000A5389">
      <w:pPr>
        <w:spacing w:line="240" w:lineRule="auto"/>
      </w:pPr>
      <w:r w:rsidRPr="002E1B4B">
        <w:t>Tasa de retribución: La Tasa de Descuento Real del Contrato de Concesión es de 0,5661% Nominal Mensual</w:t>
      </w:r>
    </w:p>
    <w:p w14:paraId="29681369" w14:textId="77777777" w:rsidR="0068642D" w:rsidRPr="002E1B4B" w:rsidRDefault="0068642D" w:rsidP="000A5389">
      <w:pPr>
        <w:spacing w:line="240" w:lineRule="auto"/>
      </w:pPr>
    </w:p>
    <w:p w14:paraId="1ECB8087" w14:textId="77777777" w:rsidR="003D5DB4" w:rsidRDefault="003D5DB4" w:rsidP="000A5389">
      <w:pPr>
        <w:spacing w:line="240" w:lineRule="auto"/>
      </w:pPr>
      <w:r w:rsidRPr="002E1B4B">
        <w:t>Derechos a recibir Activos especificados al final del acuerdo de concesión</w:t>
      </w:r>
    </w:p>
    <w:p w14:paraId="376B0CFD" w14:textId="77777777" w:rsidR="0068642D" w:rsidRPr="002E1B4B" w:rsidRDefault="0068642D" w:rsidP="000A5389">
      <w:pPr>
        <w:spacing w:line="240" w:lineRule="auto"/>
      </w:pPr>
    </w:p>
    <w:p w14:paraId="000E8DB1" w14:textId="77777777" w:rsidR="003D5DB4" w:rsidRPr="002E1B4B" w:rsidRDefault="003D5DB4" w:rsidP="000A5389">
      <w:pPr>
        <w:spacing w:line="240" w:lineRule="auto"/>
      </w:pPr>
      <w:r w:rsidRPr="002E1B4B">
        <w:t>Descripción:</w:t>
      </w:r>
      <w:r w:rsidRPr="002E1B4B">
        <w:tab/>
        <w:t>De acuerdo con la Sección 9.7 de la Parte General del Contrato, al terminar el contrato de Concesión, la ANI recibirá la infraestructura concesionada en los siguientes términos: “(b) Sin perjuicio de la obligación que le asiste al Concesionario en cuanto a la ejecución de las Intervenciones, las obligaciones de Operación y las Obras de Mantenimiento a que se refiere el Contrato, se entenderá que la ANI se hará propietario de las obras que conforman el Proyecto al momento de su ejecución, incluyendo además, pero sin limitarse, las Estaciones de Peaje y de Pesaje, junto con la totalidad de los bienes muebles o inmuebles por destinación o adhesión, que se encuentren en las mismas, no obstante lo cual, el Concesionario conservará la mera tenencia para efectos del cumplimiento del Contrato y será por ende responsable de la guarda material y jurídica de tales bienes aquí mencionados que conforman el Proyecto.  (c)  Estos bienes de propiedad de la ANI, y, en general, todos los bienes inmuebles con todas sus anexidades y los equipos, software y demás activos que hacen parte del Proyecto, serán entregados a la ANI, según corresponda, en las condiciones señaladas en el Apéndice Técnico 2 al momento de la terminación de la Etapa de Reversión.”</w:t>
      </w:r>
    </w:p>
    <w:p w14:paraId="495E8030" w14:textId="77777777" w:rsidR="003D5DB4" w:rsidRPr="002E1B4B" w:rsidRDefault="003D5DB4" w:rsidP="000A5389">
      <w:pPr>
        <w:spacing w:line="240" w:lineRule="auto"/>
      </w:pPr>
      <w:r w:rsidRPr="002E1B4B">
        <w:t>Observaciones: Obtención del VPIP El concesionario tiene el derecho a obtener el VPIP contractual. Entiéndase las siglas VPIP, según el numeral 1.162 de la Parte General del Contrato, cómo: “Es el valor presente al Mes de Referencia del Recaudo de Peaje, ofrecido por la ANI al Concesionario en las reglas del Proceso de Selección. El monto de VPIP se señala en la Parte Especial.”. En la Sección 1.162 de la Parte Especial se señala: “El VPIP equivale a QUINIENTOS MIL NOVECIENTOS SESENTA MILLONES CIENTO CINCUENTA Y NUEVE MIL CUATROCIENTOS NOVENTA Y CUATRO PESOS ($500.960.159.494) del Mes de Referencia.” Teniendo en cuenta que a corte 31 de diciembre de 2025, ninguna de las dos estaciones de cobro de peaje, han sido puestas en funcionamiento, el valor del V.P.I.P. del proyecto es de ($92.766.272.334) Pesos de Referencia, desde el punto de vista del recaudo de peajes como fuente inicial de ingresos. No obstante, lo anterior, en el 1er semestre del año 2023, la ANI reconoció la Diferencia de Recaudo del año 8 (DR8), la cual equilibró el contrato en términos del Riesgo Comercial. Al final del año el valor del VPIP cumulado, y teniendo en cuenta el factor DR8 es el siguiente:</w:t>
      </w:r>
    </w:p>
    <w:p w14:paraId="496896D1" w14:textId="77777777" w:rsidR="003D5DB4" w:rsidRPr="002E1B4B" w:rsidRDefault="003D5DB4" w:rsidP="000A5389">
      <w:pPr>
        <w:spacing w:line="240" w:lineRule="auto"/>
      </w:pPr>
      <w:r w:rsidRPr="002E1B4B">
        <w:t>VPIP Contractual</w:t>
      </w:r>
      <w:r w:rsidRPr="002E1B4B">
        <w:tab/>
        <w:t>VPIP Acumulado</w:t>
      </w:r>
      <w:r w:rsidRPr="002E1B4B">
        <w:tab/>
        <w:t>% de VPIP</w:t>
      </w:r>
    </w:p>
    <w:p w14:paraId="4C6EAE2F" w14:textId="77777777" w:rsidR="003D5DB4" w:rsidRPr="002E1B4B" w:rsidRDefault="003D5DB4" w:rsidP="000A5389">
      <w:pPr>
        <w:spacing w:line="240" w:lineRule="auto"/>
      </w:pPr>
      <w:r w:rsidRPr="002E1B4B">
        <w:t>$500.960.159.494</w:t>
      </w:r>
      <w:r w:rsidRPr="002E1B4B">
        <w:tab/>
        <w:t>$92.766.272.334</w:t>
      </w:r>
      <w:r w:rsidRPr="002E1B4B">
        <w:tab/>
        <w:t>18,5177%</w:t>
      </w:r>
    </w:p>
    <w:p w14:paraId="03190A13" w14:textId="77777777" w:rsidR="0068642D" w:rsidRDefault="0068642D" w:rsidP="000A5389">
      <w:pPr>
        <w:spacing w:line="240" w:lineRule="auto"/>
      </w:pPr>
    </w:p>
    <w:p w14:paraId="4D1D2E3F" w14:textId="20DE16AF" w:rsidR="003D5DB4" w:rsidRPr="002E1B4B" w:rsidRDefault="003D5DB4" w:rsidP="000A5389">
      <w:pPr>
        <w:spacing w:line="240" w:lineRule="auto"/>
      </w:pPr>
      <w:r w:rsidRPr="002E1B4B">
        <w:lastRenderedPageBreak/>
        <w:t>De acuerdo con la Sección 2.4 de la Parte General literal (b): “(b) La Fecha de Terminación de la Etapa de Operación y Mantenimiento ocurrirá en cualquiera de los siguientes eventos, el que primera acaezca:</w:t>
      </w:r>
    </w:p>
    <w:p w14:paraId="1F7FF1D2" w14:textId="77777777" w:rsidR="0068642D" w:rsidRDefault="0068642D" w:rsidP="000A5389">
      <w:pPr>
        <w:spacing w:line="240" w:lineRule="auto"/>
      </w:pPr>
    </w:p>
    <w:p w14:paraId="7383F350" w14:textId="72A42DDA" w:rsidR="003D5DB4" w:rsidRPr="002E1B4B" w:rsidRDefault="003D5DB4" w:rsidP="000A5389">
      <w:pPr>
        <w:spacing w:line="240" w:lineRule="auto"/>
      </w:pPr>
      <w:r w:rsidRPr="002E1B4B">
        <w:t>Al cumplirse el año VEINTICINCO (25) contado a partir de la Fecha de Inicio si se ha alcanzado o superado el VPIP, o;</w:t>
      </w:r>
    </w:p>
    <w:p w14:paraId="281A2865" w14:textId="77777777" w:rsidR="003D5DB4" w:rsidRPr="002E1B4B" w:rsidRDefault="003D5DB4" w:rsidP="000A5389">
      <w:pPr>
        <w:spacing w:line="240" w:lineRule="auto"/>
      </w:pPr>
      <w:r w:rsidRPr="002E1B4B">
        <w:t>En el momento en que, pasados los VEINTICINCO (25) años se verifique de acuerdo con el procedimiento de verificación del VPIP, que se ha alcanzado o superado el VPIP para lo cual se tendrá como fecha de terminación el décimo Día Hábil del Mes correspondiente a la fecha en la que se verifica tal circunstancia, o;</w:t>
      </w:r>
    </w:p>
    <w:p w14:paraId="0E8C6690" w14:textId="77777777" w:rsidR="003D5DB4" w:rsidRPr="002E1B4B" w:rsidRDefault="003D5DB4" w:rsidP="000A5389">
      <w:pPr>
        <w:spacing w:line="240" w:lineRule="auto"/>
      </w:pPr>
      <w:r w:rsidRPr="002E1B4B">
        <w:t>Al cumplirse el año VEINTINUEVE (29) contado a partir de la Fecha de Inicio, aun en el caso en que llegada esa fecha el Concesionario no hubiere obtenido el VPIP.”</w:t>
      </w:r>
    </w:p>
    <w:p w14:paraId="3B475ACF" w14:textId="77777777" w:rsidR="003D5DB4" w:rsidRPr="002E1B4B" w:rsidRDefault="003D5DB4" w:rsidP="000A5389">
      <w:pPr>
        <w:spacing w:line="240" w:lineRule="auto"/>
      </w:pPr>
    </w:p>
    <w:p w14:paraId="3B738F64" w14:textId="77777777" w:rsidR="003D5DB4" w:rsidRPr="002E1B4B" w:rsidRDefault="003D5DB4" w:rsidP="000A5389">
      <w:pPr>
        <w:spacing w:line="240" w:lineRule="auto"/>
      </w:pPr>
      <w:r w:rsidRPr="002E1B4B">
        <w:t>Las alternativas de renovación y cese del acuerdo</w:t>
      </w:r>
    </w:p>
    <w:p w14:paraId="5B50C126" w14:textId="77777777" w:rsidR="003D5DB4" w:rsidRPr="002E1B4B" w:rsidRDefault="003D5DB4" w:rsidP="000A5389">
      <w:pPr>
        <w:spacing w:line="240" w:lineRule="auto"/>
      </w:pPr>
      <w:r w:rsidRPr="002E1B4B">
        <w:t>Descripción: NO APLICA</w:t>
      </w:r>
    </w:p>
    <w:p w14:paraId="440EB622" w14:textId="77777777" w:rsidR="003D5DB4" w:rsidRPr="002E1B4B" w:rsidRDefault="003D5DB4" w:rsidP="000A5389">
      <w:pPr>
        <w:spacing w:line="240" w:lineRule="auto"/>
      </w:pPr>
      <w:r w:rsidRPr="002E1B4B">
        <w:t>Observaciones: NO APLICA</w:t>
      </w:r>
    </w:p>
    <w:p w14:paraId="036DFC57" w14:textId="77777777" w:rsidR="003D5DB4" w:rsidRPr="002E1B4B" w:rsidRDefault="003D5DB4" w:rsidP="000A5389">
      <w:pPr>
        <w:spacing w:line="240" w:lineRule="auto"/>
      </w:pPr>
      <w:r w:rsidRPr="002E1B4B">
        <w:t>Cambios en el acuerdo de concesión que se realicen durante el periodo fiscal</w:t>
      </w:r>
    </w:p>
    <w:p w14:paraId="09ED3260" w14:textId="77777777" w:rsidR="0068642D" w:rsidRDefault="0068642D" w:rsidP="000A5389">
      <w:pPr>
        <w:spacing w:line="240" w:lineRule="auto"/>
      </w:pPr>
    </w:p>
    <w:p w14:paraId="2D763BBF" w14:textId="0A6CC5CE" w:rsidR="003D5DB4" w:rsidRPr="002E1B4B" w:rsidRDefault="003D5DB4" w:rsidP="000A5389">
      <w:pPr>
        <w:spacing w:line="240" w:lineRule="auto"/>
      </w:pPr>
      <w:r w:rsidRPr="002E1B4B">
        <w:t>Adiciones o modificaciones en tiempo</w:t>
      </w:r>
    </w:p>
    <w:p w14:paraId="2BDED353" w14:textId="77777777" w:rsidR="003D5DB4" w:rsidRPr="002E1B4B" w:rsidRDefault="003D5DB4" w:rsidP="000A5389">
      <w:pPr>
        <w:spacing w:line="240" w:lineRule="auto"/>
      </w:pPr>
      <w:r w:rsidRPr="002E1B4B">
        <w:t>Fechas de las adiciones o modificaciones: NO APLICA</w:t>
      </w:r>
    </w:p>
    <w:p w14:paraId="1E5DCED4" w14:textId="77777777" w:rsidR="003D5DB4" w:rsidRPr="002E1B4B" w:rsidRDefault="003D5DB4" w:rsidP="000A5389">
      <w:pPr>
        <w:spacing w:line="240" w:lineRule="auto"/>
      </w:pPr>
      <w:r w:rsidRPr="002E1B4B">
        <w:t>Nueva fecha de finalización estimada: NO APLICA</w:t>
      </w:r>
    </w:p>
    <w:p w14:paraId="0FD44CEC" w14:textId="77777777" w:rsidR="003D5DB4" w:rsidRPr="002E1B4B" w:rsidRDefault="003D5DB4" w:rsidP="000A5389">
      <w:pPr>
        <w:spacing w:line="240" w:lineRule="auto"/>
      </w:pPr>
      <w:r w:rsidRPr="002E1B4B">
        <w:t>Observaciones:  NINGUNA</w:t>
      </w:r>
    </w:p>
    <w:p w14:paraId="32107AB6" w14:textId="77777777" w:rsidR="0068642D" w:rsidRDefault="0068642D" w:rsidP="000A5389">
      <w:pPr>
        <w:spacing w:line="240" w:lineRule="auto"/>
      </w:pPr>
    </w:p>
    <w:p w14:paraId="5E97AC29" w14:textId="6BB24BBD" w:rsidR="003D5DB4" w:rsidRPr="002E1B4B" w:rsidRDefault="003D5DB4" w:rsidP="000A5389">
      <w:pPr>
        <w:spacing w:line="240" w:lineRule="auto"/>
      </w:pPr>
      <w:r w:rsidRPr="002E1B4B">
        <w:t>Adiciones o modificaciones en valor</w:t>
      </w:r>
    </w:p>
    <w:p w14:paraId="6A722BEB" w14:textId="77777777" w:rsidR="0068642D" w:rsidRDefault="0068642D" w:rsidP="000A5389">
      <w:pPr>
        <w:spacing w:line="240" w:lineRule="auto"/>
      </w:pPr>
    </w:p>
    <w:p w14:paraId="7BB48419" w14:textId="3D406512" w:rsidR="003D5DB4" w:rsidRPr="002E1B4B" w:rsidRDefault="003D5DB4" w:rsidP="000A5389">
      <w:pPr>
        <w:spacing w:line="240" w:lineRule="auto"/>
      </w:pPr>
      <w:r w:rsidRPr="002E1B4B">
        <w:t xml:space="preserve"> Valor de la adición o modificación: NO APLICA</w:t>
      </w:r>
    </w:p>
    <w:p w14:paraId="573C9FCD" w14:textId="77777777" w:rsidR="003D5DB4" w:rsidRPr="002E1B4B" w:rsidRDefault="003D5DB4" w:rsidP="000A5389">
      <w:pPr>
        <w:spacing w:line="240" w:lineRule="auto"/>
      </w:pPr>
      <w:r w:rsidRPr="002E1B4B">
        <w:t>Nuevo valor del acuerdo: NO APLICA</w:t>
      </w:r>
    </w:p>
    <w:p w14:paraId="4BCB6AE4" w14:textId="77777777" w:rsidR="003D5DB4" w:rsidRPr="002E1B4B" w:rsidRDefault="003D5DB4" w:rsidP="000A5389">
      <w:pPr>
        <w:spacing w:line="240" w:lineRule="auto"/>
      </w:pPr>
      <w:r w:rsidRPr="002E1B4B">
        <w:t>Observaciones: NINGUNA</w:t>
      </w:r>
    </w:p>
    <w:p w14:paraId="55D08A7D" w14:textId="77777777" w:rsidR="003D5DB4" w:rsidRDefault="003D5DB4" w:rsidP="000A5389">
      <w:pPr>
        <w:spacing w:line="240" w:lineRule="auto"/>
      </w:pPr>
    </w:p>
    <w:p w14:paraId="131FFA83" w14:textId="77777777" w:rsidR="0068642D" w:rsidRPr="002E1B4B" w:rsidRDefault="0068642D" w:rsidP="000A5389">
      <w:pPr>
        <w:spacing w:line="240" w:lineRule="auto"/>
      </w:pPr>
    </w:p>
    <w:p w14:paraId="3C5DB933" w14:textId="77777777" w:rsidR="003D5DB4" w:rsidRPr="0068642D" w:rsidRDefault="003D5DB4" w:rsidP="000A5389">
      <w:pPr>
        <w:spacing w:line="240" w:lineRule="auto"/>
        <w:rPr>
          <w:i/>
          <w:iCs/>
        </w:rPr>
      </w:pPr>
      <w:r w:rsidRPr="0068642D">
        <w:rPr>
          <w:i/>
          <w:iCs/>
        </w:rPr>
        <w:t>AUTOPISTA CONEXIÓN PACIFICO 1</w:t>
      </w:r>
    </w:p>
    <w:p w14:paraId="6A866CE9" w14:textId="77777777" w:rsidR="0068642D" w:rsidRDefault="0068642D" w:rsidP="000A5389">
      <w:pPr>
        <w:spacing w:line="240" w:lineRule="auto"/>
      </w:pPr>
    </w:p>
    <w:p w14:paraId="7296A08E" w14:textId="4CDA3740" w:rsidR="003D5DB4" w:rsidRPr="002E1B4B" w:rsidRDefault="003D5DB4" w:rsidP="000A5389">
      <w:pPr>
        <w:spacing w:line="240" w:lineRule="auto"/>
      </w:pPr>
      <w:r w:rsidRPr="002E1B4B">
        <w:t>Descripción del Acuerdo</w:t>
      </w:r>
    </w:p>
    <w:p w14:paraId="0C5BF2BC" w14:textId="77777777" w:rsidR="0068642D" w:rsidRDefault="0068642D" w:rsidP="000A5389">
      <w:pPr>
        <w:spacing w:line="240" w:lineRule="auto"/>
      </w:pPr>
    </w:p>
    <w:p w14:paraId="179A6F49" w14:textId="420D1E9B" w:rsidR="003D5DB4" w:rsidRPr="002E1B4B" w:rsidRDefault="003D5DB4" w:rsidP="000A5389">
      <w:pPr>
        <w:spacing w:line="240" w:lineRule="auto"/>
      </w:pPr>
      <w:r w:rsidRPr="002E1B4B">
        <w:t>Número del Acuerdo de concesión:  Contrato de Concesión No. 007 del 15 de septiembre de 2014.</w:t>
      </w:r>
    </w:p>
    <w:p w14:paraId="1AABF533" w14:textId="77777777" w:rsidR="003D5DB4" w:rsidRPr="002E1B4B" w:rsidRDefault="003D5DB4" w:rsidP="000A5389">
      <w:pPr>
        <w:spacing w:line="240" w:lineRule="auto"/>
      </w:pPr>
      <w:r w:rsidRPr="002E1B4B">
        <w:t>Objeto / Descripción: El presente Contrato de concesión bajo un esquema de asociación público-privada en los términos de la Ley 1508 de 2012, tiene por objeto el otorgamiento de una concesión para que, de conformidad con lo previsto en este Contrato, el Concesionario, por su cuenta y riesgo, lleve a cabo el Proyecto. Contrato corresponde a los estudios y diseños definitivos, financiación, gestión ambiental, predial y social, construcción, mejoramiento, rehabilitación, operación, mantenimiento y reversión de la Concesión Autopista Conexión Pacífico 1, del Proyecto "Autopistas para la Prosperidad", de acuerdo con el Apéndice Técnico 1</w:t>
      </w:r>
      <w:r w:rsidRPr="002E1B4B">
        <w:tab/>
        <w:t>y demás Apéndices del Contrato.</w:t>
      </w:r>
    </w:p>
    <w:p w14:paraId="51EA6969" w14:textId="77777777" w:rsidR="003D5DB4" w:rsidRPr="002E1B4B" w:rsidRDefault="003D5DB4" w:rsidP="000A5389">
      <w:pPr>
        <w:spacing w:line="240" w:lineRule="auto"/>
      </w:pPr>
      <w:r w:rsidRPr="002E1B4B">
        <w:lastRenderedPageBreak/>
        <w:t>Valor inicial:</w:t>
      </w:r>
      <w:r w:rsidRPr="002E1B4B">
        <w:tab/>
        <w:t>$ 2.087.106.175.109 precios mes de referencia del contrato dic-2012.</w:t>
      </w:r>
    </w:p>
    <w:p w14:paraId="28DAD0B7" w14:textId="77777777" w:rsidR="003D5DB4" w:rsidRPr="002E1B4B" w:rsidRDefault="003D5DB4" w:rsidP="000A5389">
      <w:pPr>
        <w:spacing w:line="240" w:lineRule="auto"/>
      </w:pPr>
      <w:r w:rsidRPr="002E1B4B">
        <w:t>Fecha de inicio: 11 de noviembre de 2014</w:t>
      </w:r>
    </w:p>
    <w:p w14:paraId="6D85C1B6" w14:textId="77777777" w:rsidR="003D5DB4" w:rsidRPr="002E1B4B" w:rsidRDefault="003D5DB4" w:rsidP="000A5389">
      <w:pPr>
        <w:spacing w:line="240" w:lineRule="auto"/>
      </w:pPr>
      <w:r w:rsidRPr="002E1B4B">
        <w:t>Fecha de finalización estimada: 11 de noviembre de 2039</w:t>
      </w:r>
    </w:p>
    <w:p w14:paraId="3F655D07" w14:textId="77777777" w:rsidR="003D5DB4" w:rsidRPr="002E1B4B" w:rsidRDefault="003D5DB4" w:rsidP="000A5389">
      <w:pPr>
        <w:spacing w:line="240" w:lineRule="auto"/>
      </w:pPr>
      <w:r w:rsidRPr="002E1B4B">
        <w:t>Tipo ID: NIT</w:t>
      </w:r>
    </w:p>
    <w:p w14:paraId="2EAE9D67" w14:textId="77777777" w:rsidR="003D5DB4" w:rsidRPr="002E1B4B" w:rsidRDefault="003D5DB4" w:rsidP="000A5389">
      <w:pPr>
        <w:spacing w:line="240" w:lineRule="auto"/>
      </w:pPr>
      <w:r w:rsidRPr="002E1B4B">
        <w:t>Número ID:</w:t>
      </w:r>
      <w:r w:rsidRPr="002E1B4B">
        <w:tab/>
        <w:t>900.744.773</w:t>
      </w:r>
    </w:p>
    <w:p w14:paraId="7BD9334F" w14:textId="77777777" w:rsidR="003D5DB4" w:rsidRPr="002E1B4B" w:rsidRDefault="003D5DB4" w:rsidP="000A5389">
      <w:pPr>
        <w:spacing w:line="240" w:lineRule="auto"/>
      </w:pPr>
      <w:r w:rsidRPr="002E1B4B">
        <w:t>Razón social del concesionario: Concesionaria Vial del Pacifico S.A.S – COVIPACIFICO S.A.S</w:t>
      </w:r>
    </w:p>
    <w:p w14:paraId="5692550F" w14:textId="77777777" w:rsidR="003D5DB4" w:rsidRPr="002E1B4B" w:rsidRDefault="003D5DB4" w:rsidP="000A5389">
      <w:pPr>
        <w:spacing w:line="240" w:lineRule="auto"/>
      </w:pPr>
      <w:r w:rsidRPr="002E1B4B">
        <w:t>Nombre del proyecto: Autopista Conexión Pacifico 1</w:t>
      </w:r>
    </w:p>
    <w:p w14:paraId="46D607ED" w14:textId="77777777" w:rsidR="003D5DB4" w:rsidRPr="002E1B4B" w:rsidRDefault="003D5DB4" w:rsidP="000A5389">
      <w:pPr>
        <w:spacing w:line="240" w:lineRule="auto"/>
      </w:pPr>
    </w:p>
    <w:p w14:paraId="1BFAE305" w14:textId="77777777" w:rsidR="003D5DB4" w:rsidRPr="002E1B4B" w:rsidRDefault="003D5DB4" w:rsidP="000A5389">
      <w:pPr>
        <w:spacing w:line="240" w:lineRule="auto"/>
      </w:pPr>
      <w:r w:rsidRPr="002E1B4B">
        <w:t>Términos significativos del Acuerdo que puedan afectar su valor, el calendario y la certeza de los flujos de efectivo futuros</w:t>
      </w:r>
    </w:p>
    <w:p w14:paraId="2CD90F89" w14:textId="77777777" w:rsidR="0068642D" w:rsidRDefault="0068642D" w:rsidP="000A5389">
      <w:pPr>
        <w:spacing w:line="240" w:lineRule="auto"/>
      </w:pPr>
    </w:p>
    <w:p w14:paraId="109D8832" w14:textId="77777777" w:rsidR="0068642D" w:rsidRDefault="003D5DB4" w:rsidP="000A5389">
      <w:pPr>
        <w:spacing w:line="240" w:lineRule="auto"/>
      </w:pPr>
      <w:r w:rsidRPr="002E1B4B">
        <w:t xml:space="preserve">Términos de valor: Los pesos de referencia del contrato corresponden a diciembre de 2012 Tabla de Referencia en la Parte Especial. El valor del contrato en precios de referencia es de $2.087.106.175.109, de acuerdo con la sección 3.4 de la Parte Especial En el numeral 3.1 del contrato en su parte General se establece los términos de la retribución por Unidad Funcional, la retribución puede efectuarse por Acta de Terminación, Compensación Especial o retribución parcial. La Sección 4.3 de la Parte Especia establece el cálculo de la retribución. Las Fuentes de retribución son los Aportes ANI, el Recaudo de Peaje e ingresos por </w:t>
      </w:r>
    </w:p>
    <w:p w14:paraId="40C506AA" w14:textId="77777777" w:rsidR="0068642D" w:rsidRDefault="0068642D" w:rsidP="000A5389">
      <w:pPr>
        <w:spacing w:line="240" w:lineRule="auto"/>
      </w:pPr>
    </w:p>
    <w:p w14:paraId="02E3FB15" w14:textId="743C4856" w:rsidR="003D5DB4" w:rsidRDefault="003D5DB4" w:rsidP="000A5389">
      <w:pPr>
        <w:spacing w:line="240" w:lineRule="auto"/>
      </w:pPr>
      <w:r w:rsidRPr="002E1B4B">
        <w:t>Explotación Comercial. El contrato contempla la cesión del recaudo de peajes de dos estaciones: Peaje Amagá y Ancón Sur, como lo establece el contrato en su numeral 3.6. Estación de Peaje de la Parte Especial. Sin embargo, teniendo en cuenta las condiciones sociales del área de influencia del proyecto se estableció mediante otrosí No.4 la no instalación de la estación de Peaje Ancón Sur, y por lo cual, trimestralmente la Agencia paga una compensación con el objeto de no afectar el VPIP y Project finance del proyecto. La estructura tarifaria se encuentra determinada en el numeral 4.2. Estructura Tarifaria de la Parte Especial</w:t>
      </w:r>
    </w:p>
    <w:p w14:paraId="44838AE4" w14:textId="77777777" w:rsidR="0068642D" w:rsidRPr="002E1B4B" w:rsidRDefault="0068642D" w:rsidP="000A5389">
      <w:pPr>
        <w:spacing w:line="240" w:lineRule="auto"/>
      </w:pPr>
    </w:p>
    <w:p w14:paraId="7F23F3F2" w14:textId="77777777" w:rsidR="003D5DB4" w:rsidRDefault="003D5DB4" w:rsidP="000A5389">
      <w:pPr>
        <w:spacing w:line="240" w:lineRule="auto"/>
      </w:pPr>
      <w:r w:rsidRPr="002E1B4B">
        <w:t xml:space="preserve">Cada 16 de enero se realiza el incremento por inflación a las tarifas de las estaciones de peaje, de acuerdo con la sección 4.2 de la Parte Especial. El valor del VPIP equivale a $1.117.896.880.711 pesos del mes de referencia, Tabla de referencia a la Parte Especial. El cálculo del VPIP se encuentra establecido en la Sección 3.4 de la Parte General del Contrato de Concesión. La obtención del VPIP determina la fecha de terminación del contrato, siendo su tiempo máximo el año 29 del Contrato de Concesión. Los Aportes ANI se encuentran establecidas en la sección 4.5 literal d) Parte Especial, por un valor total de $2.597.747.762.745 en precios de referencia. A corte de 31 de diciembre de 2025 se han desembolsado seis vigencias futuras, por el valor de $1.627.523.539.706. La actualización del valor, depende del IPC del mes anterior a la fecha de gira respecto al IPC de diciembre de 2012, así como la fracción en dólares solicitada. La sección 3.6 de la Parte General establece los Intereses Remuneratorio y de Mora a los pagos debidos por las partes. La obligación de financiación, fuente equity y deuda, se encuentra a cargo del Concesionario de acuerdo con la Sección 3.7 de la Parte General. </w:t>
      </w:r>
    </w:p>
    <w:p w14:paraId="7268E37B" w14:textId="77777777" w:rsidR="0068642D" w:rsidRPr="002E1B4B" w:rsidRDefault="0068642D" w:rsidP="000A5389">
      <w:pPr>
        <w:spacing w:line="240" w:lineRule="auto"/>
      </w:pPr>
    </w:p>
    <w:p w14:paraId="21528846" w14:textId="77777777" w:rsidR="003D5DB4" w:rsidRDefault="003D5DB4" w:rsidP="000A5389">
      <w:pPr>
        <w:spacing w:line="240" w:lineRule="auto"/>
      </w:pPr>
      <w:r w:rsidRPr="002E1B4B">
        <w:lastRenderedPageBreak/>
        <w:t>Los valores de los saldos iniciales por gastos de Opex y Carga Financiera de la vigencia anterior se recalculan por la reprogramación de los mismos de acuerdo al avance ejecutado del cronograma de obras de la presente vigencia y por la actualización del IPC proyectado en estos gastos.</w:t>
      </w:r>
    </w:p>
    <w:p w14:paraId="5221F522" w14:textId="77777777" w:rsidR="0068642D" w:rsidRPr="002E1B4B" w:rsidRDefault="0068642D" w:rsidP="000A5389">
      <w:pPr>
        <w:spacing w:line="240" w:lineRule="auto"/>
      </w:pPr>
    </w:p>
    <w:p w14:paraId="7642AB7C" w14:textId="77777777" w:rsidR="003D5DB4" w:rsidRDefault="003D5DB4" w:rsidP="000A5389">
      <w:pPr>
        <w:spacing w:line="240" w:lineRule="auto"/>
      </w:pPr>
      <w:r w:rsidRPr="002E1B4B">
        <w:t>Términos de calendario: El plazo del contrato se determinó en 25 años, conforme Contrato de la Parte General. El plazo estimado de la etapa de construcción es de (1800) días, contados desde el acta de inicio de construcción, la cual se firmó el 10 de mayo de 2018. Se suscribió en 2022 el otrosí 10. El objeto de este Otrosí es la incorporación de tres nuevos capítulos a la Parte Especial del Contrato, con el fin de incluir: (i) la regulación particular aplicable a la terminación e inicio de Operación de las Unidades Funcionales 1 y 4 del Proyecto, en atención a los hechos constitutivos de los Eventos Eximentes de Responsabilidad de Sinifaná y Paso Nivel referidos en los considerandos de este documento; (ii) las reglas aplicables al reconocimiento de los sobrecostos de la Solución de Movilidad de Paso Nivel, en consideración de las previsiones contractuales contenidas en la Parte General del Contrato y de la decisión de los Amigables Componedores de fecha 4 de octubre de 2021, adicionada el 14 de octubre de la misma anualidad; y (iii) las reglas y parámetros generales aplicables, entre otros asuntos, a la definición del presupuesto, sobrecostos y fuente de pago de las nuevas Intervenciones para la reconexión de la doble calzada de Sinifaná.</w:t>
      </w:r>
    </w:p>
    <w:p w14:paraId="3F9D15B2" w14:textId="77777777" w:rsidR="0068642D" w:rsidRPr="002E1B4B" w:rsidRDefault="0068642D" w:rsidP="000A5389">
      <w:pPr>
        <w:spacing w:line="240" w:lineRule="auto"/>
      </w:pPr>
    </w:p>
    <w:p w14:paraId="76B9ADE1" w14:textId="77777777" w:rsidR="003D5DB4" w:rsidRDefault="003D5DB4" w:rsidP="000A5389">
      <w:pPr>
        <w:spacing w:line="240" w:lineRule="auto"/>
      </w:pPr>
      <w:r w:rsidRPr="002E1B4B">
        <w:t xml:space="preserve">Términos de certeza de flujos de efectivo futuros: Retribución 3.1 Parte General Contrato de Concesión.  A continuación, se relacionan las compensaciones especiales y retribuciones suscritas tramitadas al corte del presente informe, según lo previsto en la Sección 3.1 Retribución, literal (d) y (e), de la Parte General del Contrato de Concesión.  En el anexo 3.7 se detalla la información compilada de las compensaciones especiales y retribuciones a la fecha de elaboración de este informe. Acta de Cálculo de Compensación Especial UF1. El 31 de mayo de 2021 se suscribió el Acta de Terminación Parcial de la UF1 en los términos del Capítulo XIV de la Parte General del Contrato de Concesión. Según lo previsto en la Sección 3.1 Retribución, literal (d) y (e), de la Parte General del Contrato de Concesión, se han remitido las actas de compensación especial para la UF 1, las cuales suman un valor total de $ 462.281.227.664 </w:t>
      </w:r>
    </w:p>
    <w:p w14:paraId="6D5E6436" w14:textId="77777777" w:rsidR="0068642D" w:rsidRPr="002E1B4B" w:rsidRDefault="0068642D" w:rsidP="000A5389">
      <w:pPr>
        <w:spacing w:line="240" w:lineRule="auto"/>
      </w:pPr>
    </w:p>
    <w:p w14:paraId="4C507810" w14:textId="77777777" w:rsidR="003D5DB4" w:rsidRDefault="003D5DB4" w:rsidP="000A5389">
      <w:pPr>
        <w:spacing w:line="240" w:lineRule="auto"/>
      </w:pPr>
      <w:r w:rsidRPr="002E1B4B">
        <w:t xml:space="preserve">Desde Agosto de 2023 se informó por parte de la Interventoría la suspensión de la compensación de la UF 1 en los siguientes términos: “Sobre la base de cálculo NO se presentan observaciones. No obstante, lo anterior, la Interventoría presenta la siguiente objeción a la compensación “Teniendo en cuenta que el plazo de setecientos treinta (730) Días contados desde el vencimiento del plazo originalmente previsto para la terminación de la Unidad Funcional más los noventa y ocho (98) Días de desplazamiento de cronograma ocasionado por el EER COVID 19 venció el pasado 31 de julio de 2023 sin que a la fecha se logre culminar las intervenciones correspondientes a la UF1, ni se tenga definido el alcance de las intervenciones requeridas para culminar las obras de la UF1, procede la suspensión de la Compensación Especial, según lo dispuesto en el Numeral 14.1 literal (e ) del Contrato de Concesión Parte General. Por lo anterior este cálculo solo referencial”. Dicha objeción no es compartida por el Concesionario.” </w:t>
      </w:r>
    </w:p>
    <w:p w14:paraId="3DC00E01" w14:textId="77777777" w:rsidR="0068642D" w:rsidRPr="002E1B4B" w:rsidRDefault="0068642D" w:rsidP="000A5389">
      <w:pPr>
        <w:spacing w:line="240" w:lineRule="auto"/>
      </w:pPr>
    </w:p>
    <w:p w14:paraId="461AEA3C" w14:textId="77777777" w:rsidR="003D5DB4" w:rsidRDefault="003D5DB4" w:rsidP="000A5389">
      <w:pPr>
        <w:spacing w:line="240" w:lineRule="auto"/>
      </w:pPr>
      <w:r w:rsidRPr="002E1B4B">
        <w:t>Al respecto la Sección 3.1 (f) Parte General del Contrato indica:  “(f) De no existir acuerdo entre el Concesionario y el Interventor, y salvo que la ANI esté de acuerdo con el Concesionario, se procederá así:</w:t>
      </w:r>
    </w:p>
    <w:p w14:paraId="15F42ECC" w14:textId="77777777" w:rsidR="0068642D" w:rsidRPr="002E1B4B" w:rsidRDefault="0068642D" w:rsidP="000A5389">
      <w:pPr>
        <w:spacing w:line="240" w:lineRule="auto"/>
      </w:pPr>
    </w:p>
    <w:p w14:paraId="1198D345" w14:textId="77777777" w:rsidR="003D5DB4" w:rsidRDefault="003D5DB4" w:rsidP="000A5389">
      <w:pPr>
        <w:spacing w:line="240" w:lineRule="auto"/>
      </w:pPr>
      <w:r w:rsidRPr="002E1B4B">
        <w:t>La Retribución se reconocerá conforme al cálculo efectuado por el Interventor, siempre que dicho cálculo no haya sido objetado por la ANI.</w:t>
      </w:r>
    </w:p>
    <w:p w14:paraId="3C00CD11" w14:textId="77777777" w:rsidR="0068642D" w:rsidRPr="002E1B4B" w:rsidRDefault="0068642D" w:rsidP="000A5389">
      <w:pPr>
        <w:spacing w:line="240" w:lineRule="auto"/>
      </w:pPr>
    </w:p>
    <w:p w14:paraId="2EEDBEE1" w14:textId="77777777" w:rsidR="003D5DB4" w:rsidRPr="002E1B4B" w:rsidRDefault="003D5DB4" w:rsidP="000A5389">
      <w:pPr>
        <w:spacing w:line="240" w:lineRule="auto"/>
      </w:pPr>
      <w:r w:rsidRPr="002E1B4B">
        <w:t>El Concesionario podrá acudir al Amigable Componedor para que defina la controversia.</w:t>
      </w:r>
    </w:p>
    <w:p w14:paraId="71C09C25" w14:textId="77777777" w:rsidR="003D5DB4" w:rsidRPr="002E1B4B" w:rsidRDefault="003D5DB4" w:rsidP="000A5389">
      <w:pPr>
        <w:spacing w:line="240" w:lineRule="auto"/>
      </w:pPr>
      <w:r w:rsidRPr="002E1B4B">
        <w:t>La existencia de una controversia no detendrá el traslado de las sumas no discutidas de acuerdo con los plazos y mecanismos previstos en el Contrato</w:t>
      </w:r>
    </w:p>
    <w:p w14:paraId="0533328D" w14:textId="77777777" w:rsidR="003D5DB4" w:rsidRPr="002E1B4B" w:rsidRDefault="003D5DB4" w:rsidP="000A5389">
      <w:pPr>
        <w:spacing w:line="240" w:lineRule="auto"/>
      </w:pPr>
      <w:r w:rsidRPr="002E1B4B">
        <w:t>De existir a la postre una diferencia entre el valor trasladado y el resultante de la aplicación del método de solución de controversias, ésta diferencia será actualizada hasta la fecha del pago conforme a la fórmula incluida en la Parte Especial.</w:t>
      </w:r>
    </w:p>
    <w:p w14:paraId="18270F7C" w14:textId="00B9C162" w:rsidR="003D5DB4" w:rsidRDefault="003D5DB4" w:rsidP="000A5389">
      <w:pPr>
        <w:spacing w:line="240" w:lineRule="auto"/>
      </w:pPr>
      <w:r w:rsidRPr="002E1B4B">
        <w:t xml:space="preserve">El pago de la diferencia deberá efectuarse dentro de los términos y con los intereses a que se refiere la Sección 3.6 de esta Parte General.” Esta posición es compartida por la Agencia según lo indicó en la comunicación RA-COSE-0068-2024-VT (20245040028981). Por otro </w:t>
      </w:r>
      <w:r w:rsidR="0068642D" w:rsidRPr="002E1B4B">
        <w:t>lado,</w:t>
      </w:r>
      <w:r w:rsidRPr="002E1B4B">
        <w:t xml:space="preserve"> es pertinente mencionar que las actas 21 a la 26 de la UF1 se presentaron diferencias de criterio entre la Interventoría y Concesionario, dado que el Índice de Cumplimiento medido por la Interventoría en los meses de enero a junio de 2023 se calificó en 0,979, y a criterio del Concesionario, dicha calificación debía ser 1 dado el presunto EER argumentado por el Concesionario, que fue negado por la Agencia.</w:t>
      </w:r>
    </w:p>
    <w:p w14:paraId="39944ABB" w14:textId="77777777" w:rsidR="0068642D" w:rsidRPr="002E1B4B" w:rsidRDefault="0068642D" w:rsidP="000A5389">
      <w:pPr>
        <w:spacing w:line="240" w:lineRule="auto"/>
      </w:pPr>
    </w:p>
    <w:p w14:paraId="2D89CDBB" w14:textId="77777777" w:rsidR="003D5DB4" w:rsidRDefault="003D5DB4" w:rsidP="000A5389">
      <w:pPr>
        <w:spacing w:line="240" w:lineRule="auto"/>
      </w:pPr>
      <w:r w:rsidRPr="002E1B4B">
        <w:t>Esta situación se ve reflejada en la compensación de la UF1 con el descuento correspondiente. Cabe señalar que, como consecuencia de la suspensión de las actas a partir de agosto de 2023, el reconocimiento de las mismas se retomó en el mes de febrero de 2025. En dicho mes se efectuó el pago de un acta de compensación especial por valor de $104.392347.737, alcanzando así un valor cumulado de $582.741.254.487 por concepto de actas de compensación especial. Posteriormente entre los meses de febrero y julio de 2025, se reconocieron actas de retribución por un valor total de $230.040.671.811. Finalmente, las actas correspondientes al período comprendido entre julio y diciembre de 2025 reflejan una retribución por $18.174.031.264 las cuales a la fecha no han sido reconocidas y se encuentran retenidas.</w:t>
      </w:r>
    </w:p>
    <w:p w14:paraId="70F111CE" w14:textId="77777777" w:rsidR="0068642D" w:rsidRPr="002E1B4B" w:rsidRDefault="0068642D" w:rsidP="000A5389">
      <w:pPr>
        <w:spacing w:line="240" w:lineRule="auto"/>
      </w:pPr>
    </w:p>
    <w:p w14:paraId="1AA655EE" w14:textId="77777777" w:rsidR="003D5DB4" w:rsidRPr="002E1B4B" w:rsidRDefault="003D5DB4" w:rsidP="000A5389">
      <w:pPr>
        <w:spacing w:line="240" w:lineRule="auto"/>
      </w:pPr>
      <w:r w:rsidRPr="002E1B4B">
        <w:t>Actas de calculo de Retribución UF 2</w:t>
      </w:r>
    </w:p>
    <w:p w14:paraId="7A3B3A83" w14:textId="77777777" w:rsidR="003D5DB4" w:rsidRPr="002E1B4B" w:rsidRDefault="003D5DB4" w:rsidP="000A5389">
      <w:pPr>
        <w:spacing w:line="240" w:lineRule="auto"/>
      </w:pPr>
      <w:r w:rsidRPr="002E1B4B">
        <w:t>El 28 de febrero de 2025 se suscribió el acta de terminación de la Unidad funcional 2, con lo cual se activó el derecho del concesionario a percibir la correspondiente retribución. Al 31 de diciembre del 2025, se ha recaudado un valor total de $688.281.859.858. No obstante, al concesionario se le ha reconocido y pagado el valor de $766.866.931.082 correspondiente a las actasde retribución comprendidas entre febrero y julio de 2025, y se mantiene retenido un valor de $20.566.475.680 asociado a las actas correspondientes al período entre agosto y diciembre de 2025.</w:t>
      </w:r>
    </w:p>
    <w:p w14:paraId="351586E2" w14:textId="77777777" w:rsidR="0000529C" w:rsidRDefault="0000529C" w:rsidP="000A5389">
      <w:pPr>
        <w:spacing w:line="240" w:lineRule="auto"/>
      </w:pPr>
    </w:p>
    <w:p w14:paraId="4D40B67D" w14:textId="6256C020" w:rsidR="003D5DB4" w:rsidRPr="002E1B4B" w:rsidRDefault="003D5DB4" w:rsidP="000A5389">
      <w:pPr>
        <w:spacing w:line="240" w:lineRule="auto"/>
      </w:pPr>
      <w:r w:rsidRPr="002E1B4B">
        <w:t>Actas de Cálculo de Retribución UF3</w:t>
      </w:r>
    </w:p>
    <w:p w14:paraId="46A5BFD6" w14:textId="77777777" w:rsidR="003D5DB4" w:rsidRDefault="003D5DB4" w:rsidP="000A5389">
      <w:pPr>
        <w:spacing w:line="240" w:lineRule="auto"/>
      </w:pPr>
      <w:r w:rsidRPr="002E1B4B">
        <w:lastRenderedPageBreak/>
        <w:t>El 31 de agosto de 2022 se suscribió el Acta de Terminación de la Unidad Funcional 3, con lo cual se activó el derecho para el Concesionario de percibir la retribución conforme a lo estipulado en la Sección 3.1 de la Parte General del Contrato de Concesión; Otrosí No. 7 del 09 de marzo de 2022. El valor total remunerado para esta UF es $ 284.124.714.284 hasta el mes de agosto de 2025 y se mantiene retenido el valor de $2.297.620.424 asociada a las actas entre septiembre y diciembre de 2025.</w:t>
      </w:r>
    </w:p>
    <w:p w14:paraId="74FF8D8A" w14:textId="77777777" w:rsidR="0000529C" w:rsidRPr="002E1B4B" w:rsidRDefault="0000529C" w:rsidP="000A5389">
      <w:pPr>
        <w:spacing w:line="240" w:lineRule="auto"/>
      </w:pPr>
    </w:p>
    <w:p w14:paraId="5FBD5A32" w14:textId="77777777" w:rsidR="003D5DB4" w:rsidRPr="002E1B4B" w:rsidRDefault="003D5DB4" w:rsidP="000A5389">
      <w:pPr>
        <w:spacing w:line="240" w:lineRule="auto"/>
      </w:pPr>
      <w:r w:rsidRPr="002E1B4B">
        <w:t>Respecto a la retribución de la UF 3 se debe mencionar que existe desacuerdo entre la concesionaria y la interventoría en el acta de retribución 19 ($ 408.963.408) y 20 ($ 394.081.105), considerando la nota propuesta por la interventoría, con el fin de conciliar financieramente el pago no autorizado del acta 28 de la UF 1 y en dado</w:t>
      </w:r>
    </w:p>
    <w:p w14:paraId="7E3A07C0" w14:textId="77777777" w:rsidR="003D5DB4" w:rsidRDefault="003D5DB4" w:rsidP="000A5389">
      <w:pPr>
        <w:spacing w:line="240" w:lineRule="auto"/>
      </w:pPr>
      <w:r w:rsidRPr="002E1B4B">
        <w:t>caso aplicar REINTEGRO PENDIENTE. Sobre el REINTEGRO PENDIENTE relacionado anteriormente, se debe mencionar que a la fecha no se ha realizado.</w:t>
      </w:r>
    </w:p>
    <w:p w14:paraId="31363C93" w14:textId="77777777" w:rsidR="0000529C" w:rsidRPr="002E1B4B" w:rsidRDefault="0000529C" w:rsidP="000A5389">
      <w:pPr>
        <w:spacing w:line="240" w:lineRule="auto"/>
      </w:pPr>
    </w:p>
    <w:p w14:paraId="13485DEB" w14:textId="77777777" w:rsidR="003D5DB4" w:rsidRDefault="003D5DB4" w:rsidP="000A5389">
      <w:pPr>
        <w:spacing w:line="240" w:lineRule="auto"/>
      </w:pPr>
      <w:r w:rsidRPr="002E1B4B">
        <w:t>Al respecto debemos resaltar que el 4 de septiembre de 2024 la interventoría radicó ante la ANI oficio (Radicado ANI 20244091095482 del 4 de septiembre de 2024) con el ASUNTO: Solicitud de cumplimiento de la Sección 3.1 literal (e) y (f) Parte General Contrato de Concesión. NO existencia de acuerdo en el cálculo de las Actas de Retribución No. 19, 20 UF3 y Acta No. 9 de la UF4, en términos de instruir el reintegro a la UF 1 de las actas mencionadas.</w:t>
      </w:r>
    </w:p>
    <w:p w14:paraId="12E1398A" w14:textId="77777777" w:rsidR="0000529C" w:rsidRPr="002E1B4B" w:rsidRDefault="0000529C" w:rsidP="000A5389">
      <w:pPr>
        <w:spacing w:line="240" w:lineRule="auto"/>
      </w:pPr>
    </w:p>
    <w:p w14:paraId="5A47BBF0" w14:textId="77777777" w:rsidR="003D5DB4" w:rsidRPr="002E1B4B" w:rsidRDefault="003D5DB4" w:rsidP="000A5389">
      <w:pPr>
        <w:spacing w:line="240" w:lineRule="auto"/>
      </w:pPr>
      <w:r w:rsidRPr="002E1B4B">
        <w:t>Acta de Cálculo de Compensación Especial y Retribución UF4.</w:t>
      </w:r>
    </w:p>
    <w:p w14:paraId="0D01CF8A" w14:textId="77777777" w:rsidR="003D5DB4" w:rsidRDefault="003D5DB4" w:rsidP="000A5389">
      <w:pPr>
        <w:spacing w:line="240" w:lineRule="auto"/>
      </w:pPr>
      <w:r w:rsidRPr="002E1B4B">
        <w:t>El 28 de febrero de 2022 se suscribió el Acta de Terminación Parcial de la UF4, en los términos del Capítulo XIV de la Parte General del Contrato de Concesión. Por otro lado, se destaca que el Acta de Terminación de la UF 4 – en los términos del otrosí No. 10 al Contrato de Concesión- se suscribió el pasado 04 de julio de 2023, por lo cual aplica Acta de Retribución desde esta fecha. El valor reconocido por esta UF a la fecha es $ 130.648.819.168.</w:t>
      </w:r>
    </w:p>
    <w:p w14:paraId="0C9504D6" w14:textId="77777777" w:rsidR="0000529C" w:rsidRPr="002E1B4B" w:rsidRDefault="0000529C" w:rsidP="000A5389">
      <w:pPr>
        <w:spacing w:line="240" w:lineRule="auto"/>
      </w:pPr>
    </w:p>
    <w:p w14:paraId="1983A372" w14:textId="77777777" w:rsidR="003D5DB4" w:rsidRDefault="003D5DB4" w:rsidP="000A5389">
      <w:pPr>
        <w:spacing w:line="240" w:lineRule="auto"/>
      </w:pPr>
      <w:r w:rsidRPr="002E1B4B">
        <w:t>Al igual que la situación de la UF 3, respecto a la retribución de la UF 4 se debe mencionar que existe desacuerdo entre la concesionaria y la interventoría en el acta de retribución 9, considerando la nota propuesta por la interventoría, con el fin de conciliar financieramente el pago no autorizado del acta 28 de la UF 1 y en dado caso aplicar REINTEGRO PENDIENTE. Esta acta refleja el siguiente valor $ 285.766.043. Sobre el REINTEGRO PENDIENTE relacionado anteriormente, se debe mencionar que a la fecha no se ha realizado. Al respecto debemos resaltar que el 4 de septiembre de 2024 la interventoría radicó ante la ANI oficio (Radicado ANI 20244091095482 del 4 de septiembre de 2024) con el ASUNTO: Solicitud de cumplimiento de la Sección 3.1 literal (e) y (f) Parte General Contrato de Concesión. NO existencia de acuerdo en el cálculo de las Actas de Retribución No. 19, 20 UF3 y Acta No. 9 de la UF4, en términos de instruir el reintegro a la UF 1 de las actas mencionadas. El detalle de los parámetros de cálculo de las actas de retribución y compensación especial se puede ver el anexo 3.7. Por otra parte, a 31 de diciembre de 2025 este es el avance de obra por Unidad Funcional:</w:t>
      </w:r>
    </w:p>
    <w:p w14:paraId="29E68580" w14:textId="77777777" w:rsidR="001B234E" w:rsidRPr="002E1B4B" w:rsidRDefault="001B234E" w:rsidP="000A5389">
      <w:pPr>
        <w:spacing w:line="240" w:lineRule="auto"/>
      </w:pPr>
    </w:p>
    <w:p w14:paraId="6A221CBC" w14:textId="77777777" w:rsidR="003D5DB4" w:rsidRPr="002E1B4B" w:rsidRDefault="003D5DB4" w:rsidP="000A5389">
      <w:pPr>
        <w:spacing w:line="240" w:lineRule="auto"/>
      </w:pPr>
      <w:r w:rsidRPr="002E1B4B">
        <w:lastRenderedPageBreak/>
        <w:t xml:space="preserve">                                      UF1=92,60%</w:t>
      </w:r>
    </w:p>
    <w:p w14:paraId="39B54DB6" w14:textId="77777777" w:rsidR="003D5DB4" w:rsidRPr="002E1B4B" w:rsidRDefault="003D5DB4" w:rsidP="000A5389">
      <w:pPr>
        <w:spacing w:line="240" w:lineRule="auto"/>
      </w:pPr>
      <w:r w:rsidRPr="002E1B4B">
        <w:t xml:space="preserve">                                      UF2=100,00% </w:t>
      </w:r>
    </w:p>
    <w:p w14:paraId="7B730ACB" w14:textId="77777777" w:rsidR="003D5DB4" w:rsidRPr="002E1B4B" w:rsidRDefault="003D5DB4" w:rsidP="000A5389">
      <w:pPr>
        <w:spacing w:line="240" w:lineRule="auto"/>
      </w:pPr>
      <w:r w:rsidRPr="002E1B4B">
        <w:t xml:space="preserve">                                      UF3=100,00% </w:t>
      </w:r>
    </w:p>
    <w:p w14:paraId="0771F91F" w14:textId="77777777" w:rsidR="003D5DB4" w:rsidRPr="002E1B4B" w:rsidRDefault="003D5DB4" w:rsidP="000A5389">
      <w:pPr>
        <w:spacing w:line="240" w:lineRule="auto"/>
      </w:pPr>
      <w:r w:rsidRPr="002E1B4B">
        <w:t xml:space="preserve">                                      UF4=97,45%</w:t>
      </w:r>
    </w:p>
    <w:p w14:paraId="03006EB3" w14:textId="77777777" w:rsidR="0000529C" w:rsidRDefault="0000529C" w:rsidP="000A5389">
      <w:pPr>
        <w:spacing w:line="240" w:lineRule="auto"/>
      </w:pPr>
    </w:p>
    <w:p w14:paraId="3A6ED8FA" w14:textId="4BE749A0" w:rsidR="003D5DB4" w:rsidRPr="002E1B4B" w:rsidRDefault="003D5DB4" w:rsidP="000A5389">
      <w:pPr>
        <w:spacing w:line="240" w:lineRule="auto"/>
      </w:pPr>
      <w:r w:rsidRPr="002E1B4B">
        <w:t>Variables que pueden afectar los flujos de efectivo: Las variables que pueden afectar los flujos de efectivo son principalmente el riesgo por sobrecostos y el riesgo por menor recaudo. Ver Capítulo XIII Ecuación Contractual y Asignación de Riesgos del Contrato de Concesión.</w:t>
      </w:r>
    </w:p>
    <w:p w14:paraId="4986C9EF" w14:textId="77777777" w:rsidR="003D5DB4" w:rsidRPr="002E1B4B" w:rsidRDefault="003D5DB4" w:rsidP="000A5389">
      <w:pPr>
        <w:spacing w:line="240" w:lineRule="auto"/>
      </w:pPr>
      <w:r w:rsidRPr="002E1B4B">
        <w:t>Términos de calendario: Las fechas estimadas de terminación de la etapa de construcción, por Unidad Funcional son las siguientes:</w:t>
      </w:r>
    </w:p>
    <w:p w14:paraId="52FDAADE" w14:textId="77777777" w:rsidR="003D5DB4" w:rsidRPr="002E1B4B" w:rsidRDefault="003D5DB4" w:rsidP="000A5389">
      <w:pPr>
        <w:spacing w:line="240" w:lineRule="auto"/>
      </w:pPr>
      <w:r w:rsidRPr="002E1B4B">
        <w:t xml:space="preserve">UF1=02/02/2024 </w:t>
      </w:r>
    </w:p>
    <w:p w14:paraId="6890E6B4" w14:textId="77777777" w:rsidR="003D5DB4" w:rsidRPr="002E1B4B" w:rsidRDefault="003D5DB4" w:rsidP="000A5389">
      <w:pPr>
        <w:spacing w:line="240" w:lineRule="auto"/>
      </w:pPr>
      <w:r w:rsidRPr="002E1B4B">
        <w:t xml:space="preserve">UF2=19/07/2023 </w:t>
      </w:r>
    </w:p>
    <w:p w14:paraId="19EF825A" w14:textId="77777777" w:rsidR="003D5DB4" w:rsidRPr="002E1B4B" w:rsidRDefault="003D5DB4" w:rsidP="000A5389">
      <w:pPr>
        <w:spacing w:line="240" w:lineRule="auto"/>
      </w:pPr>
      <w:r w:rsidRPr="002E1B4B">
        <w:t xml:space="preserve">UF3=31/08/2022 </w:t>
      </w:r>
    </w:p>
    <w:p w14:paraId="14686CF2" w14:textId="77777777" w:rsidR="003D5DB4" w:rsidRPr="002E1B4B" w:rsidRDefault="003D5DB4" w:rsidP="000A5389">
      <w:pPr>
        <w:spacing w:line="240" w:lineRule="auto"/>
      </w:pPr>
      <w:r w:rsidRPr="002E1B4B">
        <w:t>UF4=31/03/2025</w:t>
      </w:r>
    </w:p>
    <w:p w14:paraId="052846E0" w14:textId="77777777" w:rsidR="003D5DB4" w:rsidRPr="002E1B4B" w:rsidRDefault="003D5DB4" w:rsidP="000A5389">
      <w:pPr>
        <w:spacing w:line="240" w:lineRule="auto"/>
      </w:pPr>
    </w:p>
    <w:p w14:paraId="7533B35F" w14:textId="77777777" w:rsidR="003D5DB4" w:rsidRPr="002E1B4B" w:rsidRDefault="003D5DB4" w:rsidP="000A5389">
      <w:pPr>
        <w:spacing w:line="240" w:lineRule="auto"/>
      </w:pPr>
      <w:r w:rsidRPr="002E1B4B">
        <w:t>Naturaleza y alcance del derecho a utilizar Activos y los aspectos pactados en torno a lo que se espera que el concesionario proporcione en relación con el Acuerdo de concesión</w:t>
      </w:r>
    </w:p>
    <w:p w14:paraId="5B7545F6" w14:textId="77777777" w:rsidR="003D5DB4" w:rsidRPr="002E1B4B" w:rsidRDefault="003D5DB4" w:rsidP="000A5389">
      <w:pPr>
        <w:spacing w:line="240" w:lineRule="auto"/>
      </w:pPr>
      <w:r w:rsidRPr="002E1B4B">
        <w:t>Naturaleza y alcance del derecho de uso de los Activos</w:t>
      </w:r>
    </w:p>
    <w:p w14:paraId="11D5B61B" w14:textId="77777777" w:rsidR="0000529C" w:rsidRDefault="0000529C" w:rsidP="000A5389">
      <w:pPr>
        <w:spacing w:line="240" w:lineRule="auto"/>
      </w:pPr>
    </w:p>
    <w:p w14:paraId="3D09D159" w14:textId="42A367E6" w:rsidR="003D5DB4" w:rsidRPr="002E1B4B" w:rsidRDefault="003D5DB4" w:rsidP="000A5389">
      <w:pPr>
        <w:spacing w:line="240" w:lineRule="auto"/>
      </w:pPr>
      <w:r w:rsidRPr="002E1B4B">
        <w:t>Descripción: Activos reconocidos. Alcance del derecho de uso de los activos:</w:t>
      </w:r>
    </w:p>
    <w:p w14:paraId="3CB11B26" w14:textId="77777777" w:rsidR="003D5DB4" w:rsidRPr="002E1B4B" w:rsidRDefault="003D5DB4" w:rsidP="000A5389">
      <w:pPr>
        <w:spacing w:line="240" w:lineRule="auto"/>
      </w:pPr>
      <w:r w:rsidRPr="002E1B4B">
        <w:t xml:space="preserve">i. Los derechos que cedió al concesionario para explotar los activos en concesión. </w:t>
      </w:r>
    </w:p>
    <w:p w14:paraId="716B5625" w14:textId="77777777" w:rsidR="003D5DB4" w:rsidRPr="002E1B4B" w:rsidRDefault="003D5DB4" w:rsidP="000A5389">
      <w:pPr>
        <w:spacing w:line="240" w:lineRule="auto"/>
      </w:pPr>
      <w:r w:rsidRPr="002E1B4B">
        <w:t>a) Obtención del Valor Presente al Mes de Referencia del Recaudo de Peaje (VPIP), el cual equivale a un billón ciento diecisiete mil ochocientos noventa y seis millones ochocientos ochenta mil setecientos once Pesos ($1.117.896.880.711,) del Mes de Referencia).</w:t>
      </w:r>
    </w:p>
    <w:p w14:paraId="3DD4C560" w14:textId="77777777" w:rsidR="003D5DB4" w:rsidRPr="002E1B4B" w:rsidRDefault="003D5DB4" w:rsidP="000A5389">
      <w:pPr>
        <w:spacing w:line="240" w:lineRule="auto"/>
      </w:pPr>
      <w:r w:rsidRPr="002E1B4B">
        <w:t>b) Aportes ANI</w:t>
      </w:r>
    </w:p>
    <w:p w14:paraId="26A4B823" w14:textId="77777777" w:rsidR="003D5DB4" w:rsidRDefault="003D5DB4" w:rsidP="000A5389">
      <w:pPr>
        <w:spacing w:line="240" w:lineRule="auto"/>
      </w:pPr>
      <w:r w:rsidRPr="002E1B4B">
        <w:t>ii. Activos para el desarrollo del acuerdo de concesión: Infraestructura Entregada al Concesionario Del PR48+000 al PR88+100 de la Ruta Nacional 6003 (Bolombolo – Cuatro Palos). Calzada sencilla. Del PR90+000 al PR93+700 de la Ruta Nacional 6003 (Rancherito Amagá – Rancherito Caldas). Doble calzada. Del PR54+000 al PR64+000 de la Ruta Nacional 2509 (Primavera – Ancón Sur). Doble calzada.</w:t>
      </w:r>
    </w:p>
    <w:p w14:paraId="7F6EC2A7" w14:textId="77777777" w:rsidR="0000529C" w:rsidRPr="002E1B4B" w:rsidRDefault="0000529C" w:rsidP="000A5389">
      <w:pPr>
        <w:spacing w:line="240" w:lineRule="auto"/>
      </w:pPr>
    </w:p>
    <w:p w14:paraId="1838DC67" w14:textId="77777777" w:rsidR="003D5DB4" w:rsidRDefault="003D5DB4" w:rsidP="000A5389">
      <w:pPr>
        <w:spacing w:line="240" w:lineRule="auto"/>
      </w:pPr>
      <w:r w:rsidRPr="002E1B4B">
        <w:t xml:space="preserve">iii. Obligaciones de desempeño: El alcance del proyecto esta definido en el apéndice técnico 1 numeral 2.4 literal a), En el Apéndice Técnico 4 están los Indicadores que debe cumplir el Concesionario, entre otros con: Indicadores exclusivos para Pavimento Flexible: entre los cuales tenemos, Ahuellamiento, Fisuras, Baches, Hundimientos y Capacidad Estructural. Indicadores exclusivos para Pavimento Rígido: Escalonamiento, Grietas, Desportillamiento o de juntas, Juntas y Eficiencia en la transferencia de carga. Puentes y Estructuras, Disponibilidad de la Vía, Ocupación de Carriles, Cola de peaje, Tiempo de atención de incidentes, Tiempo de atención de accidentes y emergencias, Disponibilidad del SICC. Indicadores exclusivos para Túneles: Estado de elementos estructurales, Sistema de iluminación, Sistema de ventilación, Sistema de túneles, Tiempo de atención de incidentes en túneles, Tiempo de atención de accidentes y emergencias en túneles. </w:t>
      </w:r>
    </w:p>
    <w:p w14:paraId="2D7D437C" w14:textId="77777777" w:rsidR="0000529C" w:rsidRPr="002E1B4B" w:rsidRDefault="0000529C" w:rsidP="000A5389">
      <w:pPr>
        <w:spacing w:line="240" w:lineRule="auto"/>
      </w:pPr>
    </w:p>
    <w:p w14:paraId="586C0C0C" w14:textId="77777777" w:rsidR="003D5DB4" w:rsidRDefault="003D5DB4" w:rsidP="000A5389">
      <w:pPr>
        <w:spacing w:line="240" w:lineRule="auto"/>
      </w:pPr>
      <w:r w:rsidRPr="002E1B4B">
        <w:lastRenderedPageBreak/>
        <w:t>Finalmente, se resalta que en el 2023 se activo el Diferencial de Recaudo 8, el cual se entiende como la diferencia entre el valor presente del Recaudo de Peaje acumulado hasta el año ocho (8) y el VPIP8, de conformidad con lo previsto en la Sección ¡Error! No se encuentra el origen de la referencia. de esta Parte General.</w:t>
      </w:r>
    </w:p>
    <w:p w14:paraId="4D57174D" w14:textId="77777777" w:rsidR="0000529C" w:rsidRPr="002E1B4B" w:rsidRDefault="0000529C" w:rsidP="000A5389">
      <w:pPr>
        <w:spacing w:line="240" w:lineRule="auto"/>
      </w:pPr>
    </w:p>
    <w:p w14:paraId="4416FDC7" w14:textId="77777777" w:rsidR="003D5DB4" w:rsidRPr="002E1B4B" w:rsidRDefault="003D5DB4" w:rsidP="000A5389">
      <w:pPr>
        <w:spacing w:line="240" w:lineRule="auto"/>
      </w:pPr>
      <w:r w:rsidRPr="002E1B4B">
        <w:t>Conforme la metodología acordada en el Acta Aclaratoria con Efectos Transaccionales por concepto del Diferencial de Recaudo del año 8 (DR8), con la comunicación CO-COSE-0436-2023-VT (2023-409- 0431932, - 05-01-20230420023488), se remitió por parte de la Interventoría el cálculo del DR8 Así:</w:t>
      </w:r>
    </w:p>
    <w:p w14:paraId="411297D4" w14:textId="77777777" w:rsidR="003D5DB4" w:rsidRPr="00F333D8" w:rsidRDefault="003D5DB4" w:rsidP="000A5389">
      <w:pPr>
        <w:spacing w:line="240" w:lineRule="auto"/>
        <w:rPr>
          <w:lang w:val="en-US"/>
        </w:rPr>
      </w:pPr>
      <w:r w:rsidRPr="002E1B4B">
        <w:t xml:space="preserve">             </w:t>
      </w:r>
      <w:r w:rsidRPr="00F333D8">
        <w:rPr>
          <w:lang w:val="en-US"/>
        </w:rPr>
        <w:t xml:space="preserve">UF 1 = $132.459.166.361 </w:t>
      </w:r>
    </w:p>
    <w:p w14:paraId="0157865F" w14:textId="77777777" w:rsidR="003D5DB4" w:rsidRPr="00F333D8" w:rsidRDefault="003D5DB4" w:rsidP="000A5389">
      <w:pPr>
        <w:spacing w:line="240" w:lineRule="auto"/>
        <w:rPr>
          <w:lang w:val="en-US"/>
        </w:rPr>
      </w:pPr>
      <w:r w:rsidRPr="00F333D8">
        <w:rPr>
          <w:lang w:val="en-US"/>
        </w:rPr>
        <w:t xml:space="preserve">             UF 2= $142.977.015.799 </w:t>
      </w:r>
    </w:p>
    <w:p w14:paraId="15CAA2A3" w14:textId="77777777" w:rsidR="003D5DB4" w:rsidRPr="00F333D8" w:rsidRDefault="003D5DB4" w:rsidP="000A5389">
      <w:pPr>
        <w:spacing w:line="240" w:lineRule="auto"/>
        <w:rPr>
          <w:lang w:val="en-US"/>
        </w:rPr>
      </w:pPr>
      <w:r w:rsidRPr="00F333D8">
        <w:rPr>
          <w:lang w:val="en-US"/>
        </w:rPr>
        <w:t xml:space="preserve">             UF 3 = $ 52.698.808.122 </w:t>
      </w:r>
    </w:p>
    <w:p w14:paraId="19CDFC91" w14:textId="2FB1234F" w:rsidR="003D5DB4" w:rsidRPr="00F333D8" w:rsidRDefault="003D5DB4" w:rsidP="000A5389">
      <w:pPr>
        <w:spacing w:line="240" w:lineRule="auto"/>
        <w:rPr>
          <w:lang w:val="en-US"/>
        </w:rPr>
      </w:pPr>
      <w:r w:rsidRPr="00F333D8">
        <w:rPr>
          <w:lang w:val="en-US"/>
        </w:rPr>
        <w:t xml:space="preserve">        UF 4 = $ 37.068.115.207 </w:t>
      </w:r>
    </w:p>
    <w:p w14:paraId="0E5F123F" w14:textId="3CEB30DA" w:rsidR="003D5DB4" w:rsidRPr="00F333D8" w:rsidRDefault="003D5DB4" w:rsidP="000A5389">
      <w:pPr>
        <w:spacing w:line="240" w:lineRule="auto"/>
        <w:rPr>
          <w:lang w:val="en-US"/>
        </w:rPr>
      </w:pPr>
      <w:r w:rsidRPr="00F333D8">
        <w:rPr>
          <w:lang w:val="en-US"/>
        </w:rPr>
        <w:t xml:space="preserve">        </w:t>
      </w:r>
      <w:r w:rsidR="0000529C" w:rsidRPr="00F333D8">
        <w:rPr>
          <w:lang w:val="en-US"/>
        </w:rPr>
        <w:t>TOTAL =</w:t>
      </w:r>
      <w:r w:rsidRPr="00F333D8">
        <w:rPr>
          <w:lang w:val="en-US"/>
        </w:rPr>
        <w:t xml:space="preserve">   $365.203.105.489</w:t>
      </w:r>
    </w:p>
    <w:p w14:paraId="427A47B0" w14:textId="77777777" w:rsidR="0000529C" w:rsidRPr="00F333D8" w:rsidRDefault="0000529C" w:rsidP="000A5389">
      <w:pPr>
        <w:spacing w:line="240" w:lineRule="auto"/>
        <w:rPr>
          <w:lang w:val="en-US"/>
        </w:rPr>
      </w:pPr>
    </w:p>
    <w:p w14:paraId="704BA242" w14:textId="2125CEC6" w:rsidR="003D5DB4" w:rsidRPr="002E1B4B" w:rsidRDefault="003D5DB4" w:rsidP="000A5389">
      <w:pPr>
        <w:spacing w:line="240" w:lineRule="auto"/>
      </w:pPr>
      <w:r w:rsidRPr="002E1B4B">
        <w:t>Observaciones: No hay observaciones</w:t>
      </w:r>
    </w:p>
    <w:p w14:paraId="209CBC58" w14:textId="77777777" w:rsidR="003D5DB4" w:rsidRPr="002E1B4B" w:rsidRDefault="003D5DB4" w:rsidP="000A5389">
      <w:pPr>
        <w:spacing w:line="240" w:lineRule="auto"/>
      </w:pPr>
      <w:r w:rsidRPr="002E1B4B">
        <w:t>Retribución al concesionario</w:t>
      </w:r>
    </w:p>
    <w:p w14:paraId="03E406A5" w14:textId="77777777" w:rsidR="0000529C" w:rsidRDefault="003D5DB4" w:rsidP="000A5389">
      <w:pPr>
        <w:spacing w:line="240" w:lineRule="auto"/>
      </w:pPr>
      <w:r w:rsidRPr="002E1B4B">
        <w:t xml:space="preserve">Descripción: La Sección 3.1 de la Parte General del Contrato de Concesión y la Cláusula </w:t>
      </w:r>
    </w:p>
    <w:p w14:paraId="37F24FAA" w14:textId="25BDF81C" w:rsidR="003D5DB4" w:rsidRPr="002E1B4B" w:rsidRDefault="003D5DB4" w:rsidP="000A5389">
      <w:pPr>
        <w:spacing w:line="240" w:lineRule="auto"/>
      </w:pPr>
      <w:r w:rsidRPr="002E1B4B">
        <w:t>Décima, establecen los términos de retribución al Concesionario. Así mismo, la Sección 4.3 literal (a) y (b) de la Parte Especial establece el cálculo de la retribución.</w:t>
      </w:r>
    </w:p>
    <w:p w14:paraId="63F5E516" w14:textId="77777777" w:rsidR="0000529C" w:rsidRDefault="0000529C" w:rsidP="000A5389">
      <w:pPr>
        <w:spacing w:line="240" w:lineRule="auto"/>
      </w:pPr>
    </w:p>
    <w:p w14:paraId="65E70279" w14:textId="5DDF8B75" w:rsidR="003D5DB4" w:rsidRPr="002E1B4B" w:rsidRDefault="003D5DB4" w:rsidP="000A5389">
      <w:pPr>
        <w:spacing w:line="240" w:lineRule="auto"/>
      </w:pPr>
      <w:r w:rsidRPr="002E1B4B">
        <w:t>Tasa de retribución:</w:t>
      </w:r>
      <w:r w:rsidRPr="002E1B4B">
        <w:tab/>
        <w:t>La metodología para el cálculo de la carga financiera se establece conforme a lo plantado en el modelo financiero contratado, en esta la carga financiera se obtiene a través del cálculo de una tasa resultante para mantener el equilibrio entre los recursos disponibles del proyecto y las obligaciones a pagar, la tasa que asegure se equilibrio es la tasa de cierre del modelo. La tasa de descuento real (TDI) expresada en términos efectivos mensuales, para efectos de este Proyecto, será del cero punto cincuenta y seis sesenta y cinco por ciento (0.5665%).A continuación, se relaciona el consolidado de las actas de retribución reconocidas por UF al corte del 31 de diciembre de 2025, es importante indicar que a la fecha estas pendientes algunas actas por reconocer: UF1 = $812.781.926.301 UF2 = $766.866.931.081 UF3 = $284.124.714.284 UF4 = $154.424.057.986                                                      TOTAL = $2.018.197.629.652</w:t>
      </w:r>
    </w:p>
    <w:p w14:paraId="3BA92180" w14:textId="77777777" w:rsidR="0000529C" w:rsidRDefault="0000529C" w:rsidP="000A5389">
      <w:pPr>
        <w:spacing w:line="240" w:lineRule="auto"/>
      </w:pPr>
    </w:p>
    <w:p w14:paraId="6A56D45D" w14:textId="6B62782C" w:rsidR="003D5DB4" w:rsidRPr="002E1B4B" w:rsidRDefault="003D5DB4" w:rsidP="000A5389">
      <w:pPr>
        <w:spacing w:line="240" w:lineRule="auto"/>
      </w:pPr>
      <w:r w:rsidRPr="002E1B4B">
        <w:t>Derechos a recibir Activos especificados al final del acuerdo de concesión</w:t>
      </w:r>
    </w:p>
    <w:p w14:paraId="201DF005" w14:textId="77777777" w:rsidR="003D5DB4" w:rsidRPr="002E1B4B" w:rsidRDefault="003D5DB4" w:rsidP="000A5389">
      <w:pPr>
        <w:spacing w:line="240" w:lineRule="auto"/>
      </w:pPr>
      <w:r w:rsidRPr="002E1B4B">
        <w:t>Descripción:</w:t>
      </w:r>
      <w:r w:rsidRPr="002E1B4B">
        <w:tab/>
      </w:r>
    </w:p>
    <w:p w14:paraId="378DA970" w14:textId="77777777" w:rsidR="003D5DB4" w:rsidRPr="002E1B4B" w:rsidRDefault="003D5DB4" w:rsidP="000A5389">
      <w:pPr>
        <w:spacing w:line="240" w:lineRule="auto"/>
      </w:pPr>
      <w:r w:rsidRPr="002E1B4B">
        <w:t>Observaciones:</w:t>
      </w:r>
      <w:r w:rsidRPr="002E1B4B">
        <w:tab/>
      </w:r>
    </w:p>
    <w:p w14:paraId="75FF61C3" w14:textId="77777777" w:rsidR="0000529C" w:rsidRDefault="0000529C" w:rsidP="000A5389">
      <w:pPr>
        <w:spacing w:line="240" w:lineRule="auto"/>
      </w:pPr>
    </w:p>
    <w:p w14:paraId="50A9FB50" w14:textId="0D89AEB1" w:rsidR="003D5DB4" w:rsidRPr="002E1B4B" w:rsidRDefault="003D5DB4" w:rsidP="000A5389">
      <w:pPr>
        <w:spacing w:line="240" w:lineRule="auto"/>
      </w:pPr>
      <w:r w:rsidRPr="002E1B4B">
        <w:t>Las alternativas de renovación y cese del acuerdo</w:t>
      </w:r>
    </w:p>
    <w:p w14:paraId="241B0CCC" w14:textId="77777777" w:rsidR="003D5DB4" w:rsidRPr="002E1B4B" w:rsidRDefault="003D5DB4" w:rsidP="000A5389">
      <w:pPr>
        <w:spacing w:line="240" w:lineRule="auto"/>
      </w:pPr>
      <w:r w:rsidRPr="002E1B4B">
        <w:t>Descripción:</w:t>
      </w:r>
      <w:r w:rsidRPr="002E1B4B">
        <w:tab/>
      </w:r>
    </w:p>
    <w:p w14:paraId="3CC6B4B1" w14:textId="77777777" w:rsidR="003D5DB4" w:rsidRPr="002E1B4B" w:rsidRDefault="003D5DB4" w:rsidP="000A5389">
      <w:pPr>
        <w:spacing w:line="240" w:lineRule="auto"/>
      </w:pPr>
      <w:r w:rsidRPr="002E1B4B">
        <w:t>Observaciones:</w:t>
      </w:r>
      <w:r w:rsidRPr="002E1B4B">
        <w:tab/>
      </w:r>
    </w:p>
    <w:p w14:paraId="4BF2E1A4" w14:textId="77777777" w:rsidR="0000529C" w:rsidRDefault="0000529C" w:rsidP="000A5389">
      <w:pPr>
        <w:spacing w:line="240" w:lineRule="auto"/>
      </w:pPr>
    </w:p>
    <w:p w14:paraId="2E0EC830" w14:textId="61566F26" w:rsidR="003D5DB4" w:rsidRPr="002E1B4B" w:rsidRDefault="003D5DB4" w:rsidP="000A5389">
      <w:pPr>
        <w:spacing w:line="240" w:lineRule="auto"/>
      </w:pPr>
      <w:r w:rsidRPr="002E1B4B">
        <w:t>Cambios en el acuerdo de concesión que se realicen durante el periodo fiscal</w:t>
      </w:r>
    </w:p>
    <w:p w14:paraId="0822A3C5" w14:textId="77777777" w:rsidR="003D5DB4" w:rsidRPr="002E1B4B" w:rsidRDefault="003D5DB4" w:rsidP="000A5389">
      <w:pPr>
        <w:spacing w:line="240" w:lineRule="auto"/>
      </w:pPr>
      <w:r w:rsidRPr="002E1B4B">
        <w:t>Adiciones o modificaciones en tiempo</w:t>
      </w:r>
    </w:p>
    <w:p w14:paraId="33F1773C" w14:textId="77777777" w:rsidR="003D5DB4" w:rsidRPr="002E1B4B" w:rsidRDefault="003D5DB4" w:rsidP="000A5389">
      <w:pPr>
        <w:spacing w:line="240" w:lineRule="auto"/>
      </w:pPr>
      <w:r w:rsidRPr="002E1B4B">
        <w:t>Fechas de las adiciones o modificaciones:</w:t>
      </w:r>
      <w:r w:rsidRPr="002E1B4B">
        <w:tab/>
      </w:r>
    </w:p>
    <w:p w14:paraId="5700B90D" w14:textId="77777777" w:rsidR="0000529C" w:rsidRDefault="0000529C" w:rsidP="000A5389">
      <w:pPr>
        <w:spacing w:line="240" w:lineRule="auto"/>
      </w:pPr>
    </w:p>
    <w:p w14:paraId="51781B40" w14:textId="3FC72C71" w:rsidR="003D5DB4" w:rsidRPr="002E1B4B" w:rsidRDefault="003D5DB4" w:rsidP="000A5389">
      <w:pPr>
        <w:spacing w:line="240" w:lineRule="auto"/>
      </w:pPr>
      <w:r w:rsidRPr="002E1B4B">
        <w:t>Nueva Fecha de finalización estimada:</w:t>
      </w:r>
      <w:r w:rsidRPr="002E1B4B">
        <w:tab/>
      </w:r>
    </w:p>
    <w:p w14:paraId="07BA5A05" w14:textId="77777777" w:rsidR="003D5DB4" w:rsidRPr="002E1B4B" w:rsidRDefault="003D5DB4" w:rsidP="000A5389">
      <w:pPr>
        <w:spacing w:line="240" w:lineRule="auto"/>
      </w:pPr>
      <w:r w:rsidRPr="002E1B4B">
        <w:t>Observaciones:</w:t>
      </w:r>
      <w:r w:rsidRPr="002E1B4B">
        <w:tab/>
      </w:r>
    </w:p>
    <w:p w14:paraId="01721D2B" w14:textId="77777777" w:rsidR="0000529C" w:rsidRDefault="0000529C" w:rsidP="000A5389">
      <w:pPr>
        <w:spacing w:line="240" w:lineRule="auto"/>
      </w:pPr>
    </w:p>
    <w:p w14:paraId="131C1749" w14:textId="51C804EF" w:rsidR="003D5DB4" w:rsidRPr="002E1B4B" w:rsidRDefault="003D5DB4" w:rsidP="000A5389">
      <w:pPr>
        <w:spacing w:line="240" w:lineRule="auto"/>
      </w:pPr>
      <w:r w:rsidRPr="002E1B4B">
        <w:t>Adiciones o modificaciones en valor</w:t>
      </w:r>
    </w:p>
    <w:p w14:paraId="4E67DC8A" w14:textId="77777777" w:rsidR="0000529C" w:rsidRDefault="0000529C" w:rsidP="000A5389">
      <w:pPr>
        <w:spacing w:line="240" w:lineRule="auto"/>
      </w:pPr>
    </w:p>
    <w:p w14:paraId="37B5F81A" w14:textId="11D5B405" w:rsidR="003D5DB4" w:rsidRPr="002E1B4B" w:rsidRDefault="003D5DB4" w:rsidP="000A5389">
      <w:pPr>
        <w:spacing w:line="240" w:lineRule="auto"/>
      </w:pPr>
      <w:r w:rsidRPr="002E1B4B">
        <w:t>Valor de la adición o modificación:</w:t>
      </w:r>
      <w:r w:rsidRPr="002E1B4B">
        <w:tab/>
      </w:r>
    </w:p>
    <w:p w14:paraId="5AFBDA35" w14:textId="77777777" w:rsidR="003D5DB4" w:rsidRPr="002E1B4B" w:rsidRDefault="003D5DB4" w:rsidP="000A5389">
      <w:pPr>
        <w:spacing w:line="240" w:lineRule="auto"/>
      </w:pPr>
      <w:r w:rsidRPr="002E1B4B">
        <w:t>Nuevo valor del acuerdo:</w:t>
      </w:r>
      <w:r w:rsidRPr="002E1B4B">
        <w:tab/>
      </w:r>
    </w:p>
    <w:p w14:paraId="0AEEF827" w14:textId="77777777" w:rsidR="003D5DB4" w:rsidRDefault="003D5DB4" w:rsidP="000A5389">
      <w:pPr>
        <w:spacing w:line="240" w:lineRule="auto"/>
      </w:pPr>
      <w:r w:rsidRPr="002E1B4B">
        <w:t>Observaciones:</w:t>
      </w:r>
      <w:r w:rsidRPr="002E1B4B">
        <w:tab/>
      </w:r>
    </w:p>
    <w:p w14:paraId="503E2638" w14:textId="77777777" w:rsidR="0000529C" w:rsidRPr="002E1B4B" w:rsidRDefault="0000529C" w:rsidP="000A5389">
      <w:pPr>
        <w:spacing w:line="240" w:lineRule="auto"/>
      </w:pPr>
    </w:p>
    <w:p w14:paraId="0CB29BEE" w14:textId="77777777" w:rsidR="003D5DB4" w:rsidRPr="0000529C" w:rsidRDefault="003D5DB4" w:rsidP="000A5389">
      <w:pPr>
        <w:spacing w:line="240" w:lineRule="auto"/>
        <w:rPr>
          <w:i/>
          <w:iCs/>
        </w:rPr>
      </w:pPr>
    </w:p>
    <w:p w14:paraId="3B14AFEF" w14:textId="77777777" w:rsidR="003D5DB4" w:rsidRPr="0000529C" w:rsidRDefault="003D5DB4" w:rsidP="000A5389">
      <w:pPr>
        <w:spacing w:line="240" w:lineRule="auto"/>
        <w:rPr>
          <w:i/>
          <w:iCs/>
        </w:rPr>
      </w:pPr>
      <w:r w:rsidRPr="0000529C">
        <w:rPr>
          <w:i/>
          <w:iCs/>
        </w:rPr>
        <w:t>AUTOPISTA CONEXIÓN PACIFICO 2</w:t>
      </w:r>
    </w:p>
    <w:p w14:paraId="23AE3FB0" w14:textId="77777777" w:rsidR="003D5DB4" w:rsidRPr="002E1B4B" w:rsidRDefault="003D5DB4" w:rsidP="000A5389">
      <w:pPr>
        <w:spacing w:line="240" w:lineRule="auto"/>
      </w:pPr>
    </w:p>
    <w:p w14:paraId="6ECE10EF" w14:textId="77777777" w:rsidR="003D5DB4" w:rsidRDefault="003D5DB4" w:rsidP="000A5389">
      <w:pPr>
        <w:spacing w:line="240" w:lineRule="auto"/>
      </w:pPr>
      <w:r w:rsidRPr="002E1B4B">
        <w:t>Descripción del Acuerdo</w:t>
      </w:r>
    </w:p>
    <w:p w14:paraId="54B41167" w14:textId="77777777" w:rsidR="0000529C" w:rsidRPr="002E1B4B" w:rsidRDefault="0000529C" w:rsidP="000A5389">
      <w:pPr>
        <w:spacing w:line="240" w:lineRule="auto"/>
      </w:pPr>
    </w:p>
    <w:p w14:paraId="726CA465" w14:textId="77777777" w:rsidR="003D5DB4" w:rsidRPr="002E1B4B" w:rsidRDefault="003D5DB4" w:rsidP="000A5389">
      <w:pPr>
        <w:spacing w:line="240" w:lineRule="auto"/>
      </w:pPr>
      <w:r w:rsidRPr="002E1B4B">
        <w:t>Número del Acuerdo de concesión:  Contrato APP N0 006 del 11 de septiembre de 2014</w:t>
      </w:r>
    </w:p>
    <w:p w14:paraId="4CEBB565" w14:textId="77777777" w:rsidR="003D5DB4" w:rsidRPr="002E1B4B" w:rsidRDefault="003D5DB4" w:rsidP="000A5389">
      <w:pPr>
        <w:spacing w:line="240" w:lineRule="auto"/>
      </w:pPr>
      <w:r w:rsidRPr="002E1B4B">
        <w:t>Objeto / Descripción:  De acuerdo con Capitulo II, numeral 2.1 de la Parte General del Contrato de Concesión se tiene que: “El presente Contrato de Concesión bajo un esquema de asociación publico privada en los términos de la Ley 1508 de 2012, tiene por objeto el otorgamiento de una Concesión para que, de conformidad con lo previsto en este Contrato, el Concesionario, por su cuenta y riesgo, lleve a cabo el proyecto. “Según el Capitulo III, numeral 3.2 de la Parte Especial del Contrato: “De conformidad con el objeto del Contrato dispuesto en la Parte General de este Contrato el Alcance corresponde a los estudios y diseños definitivos, financiación, gestión ambiental, predial y social, construcción, mejoramiento, rehabilitación, operación, mantenimiento y reversión de la Concesión Autopista Conexión Pacífico 2, del Proyecto “Autopistas para la Prosperidad ”, de acuerdo con el Apéndice Técnico 1 y demás Apéndices del Contrato.”</w:t>
      </w:r>
    </w:p>
    <w:p w14:paraId="099AC387" w14:textId="77777777" w:rsidR="003D5DB4" w:rsidRPr="002E1B4B" w:rsidRDefault="003D5DB4" w:rsidP="000A5389">
      <w:pPr>
        <w:spacing w:line="240" w:lineRule="auto"/>
      </w:pPr>
      <w:r w:rsidRPr="002E1B4B">
        <w:t>Valor inicial:</w:t>
      </w:r>
      <w:r w:rsidRPr="002E1B4B">
        <w:tab/>
        <w:t>$1.300.234.031.470 del Mes de Referencia (diciembre de 2012)</w:t>
      </w:r>
    </w:p>
    <w:p w14:paraId="114BD1BC" w14:textId="77777777" w:rsidR="003D5DB4" w:rsidRPr="002E1B4B" w:rsidRDefault="003D5DB4" w:rsidP="000A5389">
      <w:pPr>
        <w:spacing w:line="240" w:lineRule="auto"/>
      </w:pPr>
      <w:r w:rsidRPr="002E1B4B">
        <w:t>Fecha de inicio:</w:t>
      </w:r>
      <w:r w:rsidRPr="002E1B4B">
        <w:tab/>
        <w:t>11/11/2014</w:t>
      </w:r>
    </w:p>
    <w:p w14:paraId="24B9DBE9" w14:textId="77777777" w:rsidR="003D5DB4" w:rsidRPr="002E1B4B" w:rsidRDefault="003D5DB4" w:rsidP="000A5389">
      <w:pPr>
        <w:spacing w:line="240" w:lineRule="auto"/>
      </w:pPr>
      <w:r w:rsidRPr="002E1B4B">
        <w:t>Fecha de finalización estimada:</w:t>
      </w:r>
      <w:r w:rsidRPr="002E1B4B">
        <w:tab/>
        <w:t>10/11/2039</w:t>
      </w:r>
    </w:p>
    <w:p w14:paraId="09363F7B" w14:textId="77777777" w:rsidR="003D5DB4" w:rsidRPr="002E1B4B" w:rsidRDefault="003D5DB4" w:rsidP="000A5389">
      <w:pPr>
        <w:spacing w:line="240" w:lineRule="auto"/>
      </w:pPr>
      <w:r w:rsidRPr="002E1B4B">
        <w:t>Tipo ID:</w:t>
      </w:r>
      <w:r w:rsidRPr="002E1B4B">
        <w:tab/>
        <w:t>NIT</w:t>
      </w:r>
    </w:p>
    <w:p w14:paraId="012E1041" w14:textId="77777777" w:rsidR="003D5DB4" w:rsidRPr="002E1B4B" w:rsidRDefault="003D5DB4" w:rsidP="000A5389">
      <w:pPr>
        <w:spacing w:line="240" w:lineRule="auto"/>
      </w:pPr>
      <w:r w:rsidRPr="002E1B4B">
        <w:t>Número ID:</w:t>
      </w:r>
      <w:r w:rsidRPr="002E1B4B">
        <w:tab/>
        <w:t>900.740.893-1</w:t>
      </w:r>
    </w:p>
    <w:p w14:paraId="5F32346D" w14:textId="77777777" w:rsidR="003D5DB4" w:rsidRPr="002E1B4B" w:rsidRDefault="003D5DB4" w:rsidP="000A5389">
      <w:pPr>
        <w:spacing w:line="240" w:lineRule="auto"/>
      </w:pPr>
      <w:r w:rsidRPr="002E1B4B">
        <w:t>Razón social del concesionario: CONCESIÓN LA PINTADA S.A.S.</w:t>
      </w:r>
    </w:p>
    <w:p w14:paraId="241216E3" w14:textId="77777777" w:rsidR="003D5DB4" w:rsidRPr="002E1B4B" w:rsidRDefault="003D5DB4" w:rsidP="000A5389">
      <w:pPr>
        <w:spacing w:line="240" w:lineRule="auto"/>
      </w:pPr>
      <w:r w:rsidRPr="002E1B4B">
        <w:t>Nombre del proyecto:</w:t>
      </w:r>
      <w:r w:rsidRPr="002E1B4B">
        <w:tab/>
        <w:t>AUTOPISTA CONEXION PACIFICO 2</w:t>
      </w:r>
    </w:p>
    <w:p w14:paraId="46A064FA" w14:textId="77777777" w:rsidR="0000529C" w:rsidRDefault="0000529C" w:rsidP="000A5389">
      <w:pPr>
        <w:spacing w:line="240" w:lineRule="auto"/>
      </w:pPr>
    </w:p>
    <w:p w14:paraId="6504C6DF" w14:textId="1B0C6C38" w:rsidR="003D5DB4" w:rsidRPr="002E1B4B" w:rsidRDefault="003D5DB4" w:rsidP="000A5389">
      <w:pPr>
        <w:spacing w:line="240" w:lineRule="auto"/>
      </w:pPr>
      <w:r w:rsidRPr="002E1B4B">
        <w:t>Términos significativos del Acuerdo que puedan afectar su valor, el calendario y la certeza de los flujos de efectivo futuros</w:t>
      </w:r>
    </w:p>
    <w:p w14:paraId="70431FB7" w14:textId="77777777" w:rsidR="0000529C" w:rsidRDefault="0000529C" w:rsidP="000A5389">
      <w:pPr>
        <w:spacing w:line="240" w:lineRule="auto"/>
      </w:pPr>
    </w:p>
    <w:p w14:paraId="034E5300" w14:textId="124EB359" w:rsidR="003D5DB4" w:rsidRDefault="003D5DB4" w:rsidP="000A5389">
      <w:pPr>
        <w:spacing w:line="240" w:lineRule="auto"/>
      </w:pPr>
      <w:r w:rsidRPr="002E1B4B">
        <w:t xml:space="preserve">Términos de valor: Durante 2025, se aplicó la Resolución 20243040065055, logrando que al 01 de abrl se nivelaran los incrementos por IPC (2023) que estaban pendientes de normalizar. La ANI durante el 2025 reconoció y pago las Actas 18, 20, 22 y 24 correspondientes a la Compensación Tarifaria por la Resolución 1056 2014 y Actas 19, 21 y 23 por Compensación Tarifaria por Decreto 050. Durante la vigencia 2025 la Interventoría radicó a la fiducia las correspondientes actas de retribución por peajes, explotación comercial y Vigencias Futuras, </w:t>
      </w:r>
      <w:r w:rsidRPr="002E1B4B">
        <w:lastRenderedPageBreak/>
        <w:t>por lo tanto, la fiduciaria durante el año  realizo los giros correspondientes por concepto de retribución. En cumplimiento de lo dispuesto en el Otrosí No. 007 al Contrato de Concesión, durante el año 2025 el Concesionario efectuó el reintegro mensual del valor correspondiente al Opex. En los meses de febrero y marzo de 2025 la ANI giró la Vigencia Futura correspondiente al año 2024. No obstante, no se giró la Vigencia Futura del año 2025, la cual debía haberse girado a más tardar el 31 de diciembre de 2025. Mediante Laudo Final proferido el 30 de mayo de 2025, el Tribunal de Arbitraje Internacional administrado por el CIRD, dentro del proceso Concesión La Pintada S.A.S. vs. Agencia Nacional de Infraestructura – ANI, declaró la responsabilidad de la ANI por los sobrecostos derivados del Evento K39 y, en los numerales f), g) y h) del Capítulo IX – Decisión, la condenó a pagar a favor del Concesionario la indemnización correspondiente a los sobrecostos incurridos, así como su indexación desde el momento de la causación hasta la fecha del Laudo (tener en cuenta que, la indexación referida en el numeral (g) se deberá actualizar hasta la fecha efectiva y completa del pago de la deuda) y el costo de oportunidad calculado para el mismo período, al concluir que los hechos fueron imprevisibles y no imputables al Concesionario, debiendo ser asumidos patrimonialmente por la ANI. El Concesionario utiliza el mecanismo de solución de controversia para el reconocimiento de Costos Ociosos derivados del Acuerdo COVID-19, en el cual el Panel de Amigable Composición en la Decisión de Controversia No. 155805  decide que la ANI debe reconocer y pagar los Costos Ociosos asociados a la emergencia por COVID-19, sin embargo, la ANI en busca de velar por los recursos públicos, propone al Concesionario condonar la indexación del capital, a lo cual la Concesión acepta de manera  condicionada condonar la mitad de la indexación siempre y cuando la ANI pague a más tardar al 31 de diciembre de 2025, razón por la cual la ANI  realiza el pago en diciembre de 2025.</w:t>
      </w:r>
    </w:p>
    <w:p w14:paraId="4C12E2B8" w14:textId="77777777" w:rsidR="0000529C" w:rsidRPr="002E1B4B" w:rsidRDefault="0000529C" w:rsidP="000A5389">
      <w:pPr>
        <w:spacing w:line="240" w:lineRule="auto"/>
      </w:pPr>
    </w:p>
    <w:p w14:paraId="6ED2CF62" w14:textId="77777777" w:rsidR="003D5DB4" w:rsidRDefault="003D5DB4" w:rsidP="000A5389">
      <w:pPr>
        <w:spacing w:line="240" w:lineRule="auto"/>
      </w:pPr>
      <w:r w:rsidRPr="002E1B4B">
        <w:t>Términos de calendario: Quedó pendiente el ajuste tarifario contractual de la Estación de Peaje La Pintada, el cual no pudo ejecutarse según la gradualidad de la Resolución 2022304001745 debido a las restricciones del Decreto 0050 de 2023. Para completar la estructura tarifaria del proyecto, el Ministerio de Transporte expidió la Resolución 20253040031235 el 8 de agosto de 2025, estableciendo una nueva gradualidad para los años 2026, 2027 y 2028. Cabe precisar que los efectos del Decreto 0050 se extendieron hasta el 7 de agosto de 2025, dado que la nueva resolución mantuvo las tarifas vigentes por el resto de dicho año.</w:t>
      </w:r>
    </w:p>
    <w:p w14:paraId="41862504" w14:textId="77777777" w:rsidR="0000529C" w:rsidRPr="002E1B4B" w:rsidRDefault="0000529C" w:rsidP="000A5389">
      <w:pPr>
        <w:spacing w:line="240" w:lineRule="auto"/>
      </w:pPr>
    </w:p>
    <w:p w14:paraId="286ADF23" w14:textId="77777777" w:rsidR="003D5DB4" w:rsidRPr="002E1B4B" w:rsidRDefault="003D5DB4" w:rsidP="000A5389">
      <w:pPr>
        <w:spacing w:line="240" w:lineRule="auto"/>
      </w:pPr>
      <w:r w:rsidRPr="002E1B4B">
        <w:t>Términos de certeza de flujos de efectivo futuros: Mediante la Resolución No. 20243040065055 del 31 de diciembre de 2024, el Ministerio de Transporte estableció que, a partir del 1 de enero de 2025, las tarifas de peaje se incrementan en un 60% del ajuste pendiente correspondiente al IPC de 2023, y que el porcentaje restante para completar el ajuste total del 9,28% se aplica desde el 1 de abril de 2025. Sin embargo, queda pendiente completar el incremento contractual de las tarifas de peaje en la Estación La Pintada, por lo cual el Ministerio de Transporte expide la Resolución No. 20253040031235 del 8 de agosto de 2025, estableciendo incrementos progresivos al valor pendiente por incrementar, distribuido para enero de 2026, enero de 2027 y enero de 2028. A 31 de diciembre de 2025 no se giró la Vigencia Futura correspondiente a 2025.</w:t>
      </w:r>
    </w:p>
    <w:p w14:paraId="26FF07ED" w14:textId="77777777" w:rsidR="003D5DB4" w:rsidRPr="002E1B4B" w:rsidRDefault="003D5DB4" w:rsidP="000A5389">
      <w:pPr>
        <w:spacing w:line="240" w:lineRule="auto"/>
      </w:pPr>
    </w:p>
    <w:p w14:paraId="20DFCA25" w14:textId="77777777" w:rsidR="003D5DB4" w:rsidRPr="002E1B4B" w:rsidRDefault="003D5DB4" w:rsidP="000A5389">
      <w:pPr>
        <w:spacing w:line="240" w:lineRule="auto"/>
      </w:pPr>
      <w:r w:rsidRPr="002E1B4B">
        <w:t>Naturaleza y alcance del derecho a utilizar Activos y los aspectos pactados en torno a lo que se espera que el concesionario proporcione en relación con el Acuerdo de concesión</w:t>
      </w:r>
    </w:p>
    <w:p w14:paraId="03551292" w14:textId="77777777" w:rsidR="0000529C" w:rsidRDefault="0000529C" w:rsidP="000A5389">
      <w:pPr>
        <w:spacing w:line="240" w:lineRule="auto"/>
      </w:pPr>
    </w:p>
    <w:p w14:paraId="445AA603" w14:textId="5246DB3A" w:rsidR="003D5DB4" w:rsidRPr="002E1B4B" w:rsidRDefault="003D5DB4" w:rsidP="000A5389">
      <w:pPr>
        <w:spacing w:line="240" w:lineRule="auto"/>
      </w:pPr>
      <w:r w:rsidRPr="002E1B4B">
        <w:t>Naturaleza y alcance del derecho de uso de los Activos</w:t>
      </w:r>
    </w:p>
    <w:p w14:paraId="72A96088" w14:textId="77777777" w:rsidR="0000529C" w:rsidRDefault="0000529C" w:rsidP="000A5389">
      <w:pPr>
        <w:spacing w:line="240" w:lineRule="auto"/>
      </w:pPr>
    </w:p>
    <w:p w14:paraId="649FA03F" w14:textId="71B61DFD" w:rsidR="003D5DB4" w:rsidRPr="002E1B4B" w:rsidRDefault="003D5DB4" w:rsidP="000A5389">
      <w:pPr>
        <w:spacing w:line="240" w:lineRule="auto"/>
      </w:pPr>
      <w:r w:rsidRPr="002E1B4B">
        <w:t>Descripción: En la Parte Especial, numeral 3.5 literales a) y b) se determina la entrega de la Infraestructura recibida por el Concesionario al inicio del Contrato.  El Capítulo III, Sección 3.6 - Parte Especial – cita las Estaciones de Peaje del Proyecto.  Durante 2025 el Concesionario continuó recibiendo recursos por Explotación Comercial por el arrendamiento de un local comercial y su retribución se está reconociendo en las respectivas actas mensuales.</w:t>
      </w:r>
    </w:p>
    <w:p w14:paraId="5AD384F3" w14:textId="39A462E5" w:rsidR="003D5DB4" w:rsidRPr="002E1B4B" w:rsidRDefault="003D5DB4" w:rsidP="000A5389">
      <w:pPr>
        <w:spacing w:line="240" w:lineRule="auto"/>
      </w:pPr>
      <w:r w:rsidRPr="002E1B4B">
        <w:t>Observaciones:</w:t>
      </w:r>
      <w:r w:rsidR="001B234E">
        <w:t xml:space="preserve"> </w:t>
      </w:r>
      <w:r w:rsidRPr="002E1B4B">
        <w:t>Sin observaciones</w:t>
      </w:r>
    </w:p>
    <w:p w14:paraId="7FA045F9" w14:textId="77777777" w:rsidR="003D5DB4" w:rsidRPr="002E1B4B" w:rsidRDefault="003D5DB4" w:rsidP="000A5389">
      <w:pPr>
        <w:spacing w:line="240" w:lineRule="auto"/>
      </w:pPr>
      <w:r w:rsidRPr="002E1B4B">
        <w:t>Retribución al concesionario</w:t>
      </w:r>
    </w:p>
    <w:p w14:paraId="19BB3B22" w14:textId="77777777" w:rsidR="0000529C" w:rsidRDefault="0000529C" w:rsidP="000A5389">
      <w:pPr>
        <w:spacing w:line="240" w:lineRule="auto"/>
      </w:pPr>
    </w:p>
    <w:p w14:paraId="42A970A5" w14:textId="66E92848" w:rsidR="003D5DB4" w:rsidRPr="002E1B4B" w:rsidRDefault="003D5DB4" w:rsidP="000A5389">
      <w:pPr>
        <w:spacing w:line="240" w:lineRule="auto"/>
      </w:pPr>
      <w:r w:rsidRPr="002E1B4B">
        <w:t>Descripción:</w:t>
      </w:r>
      <w:r w:rsidRPr="002E1B4B">
        <w:tab/>
        <w:t>Que el cálculo de la Retribución se encuentra contenido en la Cláusula 4.3. b) de la Parte Especial del Contrato de Concesión. Las fuentes de la retribución aplican así: i) Aportes ANI; ii) Recaudo de peajes; y iii) Los ingresos por Explotación Comercial.</w:t>
      </w:r>
    </w:p>
    <w:p w14:paraId="79534846" w14:textId="77777777" w:rsidR="003D5DB4" w:rsidRPr="002E1B4B" w:rsidRDefault="003D5DB4" w:rsidP="000A5389">
      <w:pPr>
        <w:spacing w:line="240" w:lineRule="auto"/>
      </w:pPr>
    </w:p>
    <w:p w14:paraId="0B089992" w14:textId="77777777" w:rsidR="003D5DB4" w:rsidRDefault="003D5DB4" w:rsidP="000A5389">
      <w:pPr>
        <w:spacing w:line="240" w:lineRule="auto"/>
      </w:pPr>
      <w:r w:rsidRPr="002E1B4B">
        <w:t>Tasa de retribución:</w:t>
      </w:r>
      <w:r w:rsidRPr="002E1B4B">
        <w:tab/>
        <w:t xml:space="preserve">En cuanto al Modelo Financiero con propósito Contable, la metodología para el cálculo de la carga financiera se estableció conforme a lo planteado en el modelo financiero contratado por la Agencia. La carga financiera se obtiene a través del cálculo resultante para mantener el equilibrio entre los recursos disponibles del proyecto y las obligaciones a pagar. TASA: 0.5665% </w:t>
      </w:r>
    </w:p>
    <w:p w14:paraId="0B15E902" w14:textId="77777777" w:rsidR="0000529C" w:rsidRPr="002E1B4B" w:rsidRDefault="0000529C" w:rsidP="000A5389">
      <w:pPr>
        <w:spacing w:line="240" w:lineRule="auto"/>
      </w:pPr>
    </w:p>
    <w:p w14:paraId="63F83E7E" w14:textId="77777777" w:rsidR="003D5DB4" w:rsidRPr="002E1B4B" w:rsidRDefault="003D5DB4" w:rsidP="000A5389">
      <w:pPr>
        <w:spacing w:line="240" w:lineRule="auto"/>
      </w:pPr>
      <w:r w:rsidRPr="002E1B4B">
        <w:t>Derechos a recibir Activos especificados al final del acuerdo de concesión</w:t>
      </w:r>
    </w:p>
    <w:p w14:paraId="1320C36C" w14:textId="77777777" w:rsidR="0000529C" w:rsidRDefault="0000529C" w:rsidP="000A5389">
      <w:pPr>
        <w:spacing w:line="240" w:lineRule="auto"/>
      </w:pPr>
    </w:p>
    <w:p w14:paraId="45825A6A" w14:textId="6298988A" w:rsidR="003D5DB4" w:rsidRDefault="003D5DB4" w:rsidP="000A5389">
      <w:pPr>
        <w:spacing w:line="240" w:lineRule="auto"/>
      </w:pPr>
      <w:r w:rsidRPr="002E1B4B">
        <w:t>Descripción: La sección 9.7 literales a) al (h) de la Parte General del Contrato establece lo correspondiente a la reversión, que se dará cuando concluya la etapa de Operación y Mantenimiento o cuando el Contrato se termine anticipadamente.</w:t>
      </w:r>
    </w:p>
    <w:p w14:paraId="576E23B2" w14:textId="77777777" w:rsidR="00B45E02" w:rsidRPr="002E1B4B" w:rsidRDefault="00B45E02" w:rsidP="000A5389">
      <w:pPr>
        <w:spacing w:line="240" w:lineRule="auto"/>
      </w:pPr>
    </w:p>
    <w:p w14:paraId="34D36AE7" w14:textId="77777777" w:rsidR="003D5DB4" w:rsidRPr="002E1B4B" w:rsidRDefault="003D5DB4" w:rsidP="000A5389">
      <w:pPr>
        <w:spacing w:line="240" w:lineRule="auto"/>
      </w:pPr>
      <w:r w:rsidRPr="002E1B4B">
        <w:t>Observaciones: El Apéndice Técnico 2 numeral 5 Reversión define: “todas las obras y bienes de la Concesión, incluyendo los predios de la zona del Corredor del Proyecto y las obras civiles (calzadas, separadores, intersecciones, estructuras, obras de drenaje, obras de arte y señales), las Estaciones de Peaje y sus equipos, las Estaciones de Pesaje y sus equipos, el Centro de Control de Operación y sus equipos, las Bases de Operación de Servicio, todos los automotores y equipos instalados para la Operación del Proyecto, incluyendo equipos y software de computación, equipos de telecomunicaciones, red de fibra óptica, los entregados a la Policía de Carreteras, los equipos de rescate, los elementos de Traslado Asistencial Médico (TAM) y cualquier otra obra y bien que forme parte de la concesión, deberán ser entregados a la ANI sin costo alguno y libre de todo gravamen.”</w:t>
      </w:r>
    </w:p>
    <w:p w14:paraId="6A203EFB" w14:textId="77777777" w:rsidR="00B45E02" w:rsidRDefault="00B45E02" w:rsidP="000A5389">
      <w:pPr>
        <w:spacing w:line="240" w:lineRule="auto"/>
      </w:pPr>
    </w:p>
    <w:p w14:paraId="2DB8E3F4" w14:textId="375C4718" w:rsidR="003D5DB4" w:rsidRPr="002E1B4B" w:rsidRDefault="003D5DB4" w:rsidP="000A5389">
      <w:pPr>
        <w:spacing w:line="240" w:lineRule="auto"/>
      </w:pPr>
      <w:r w:rsidRPr="002E1B4B">
        <w:t>Las alternativas de renovación y cese del acuerdo</w:t>
      </w:r>
    </w:p>
    <w:p w14:paraId="5E825112" w14:textId="77777777" w:rsidR="00B45E02" w:rsidRDefault="00B45E02" w:rsidP="000A5389">
      <w:pPr>
        <w:spacing w:line="240" w:lineRule="auto"/>
      </w:pPr>
    </w:p>
    <w:p w14:paraId="290DDEC9" w14:textId="721D0629" w:rsidR="003D5DB4" w:rsidRPr="002E1B4B" w:rsidRDefault="003D5DB4" w:rsidP="000A5389">
      <w:pPr>
        <w:spacing w:line="240" w:lineRule="auto"/>
      </w:pPr>
      <w:r w:rsidRPr="002E1B4B">
        <w:lastRenderedPageBreak/>
        <w:t>Descripción: El Contrato de Concesión en la Parte General regula el cese del acuerdo mediante las figuras de terminación anticipada, caducidad y terminación unilateral, conforme a lo dispuesto en los Capítulos XI y XVII. Así mismo, se establece en el Capítulo XIX numeral 19.10 la Modificación del Contrato mediante otrosíes, sin contemplar renovación automática del contrato.</w:t>
      </w:r>
    </w:p>
    <w:p w14:paraId="1CBB1575" w14:textId="77777777" w:rsidR="00B45E02" w:rsidRDefault="00B45E02" w:rsidP="000A5389">
      <w:pPr>
        <w:spacing w:line="240" w:lineRule="auto"/>
      </w:pPr>
    </w:p>
    <w:p w14:paraId="14288204" w14:textId="486D1B3F" w:rsidR="003D5DB4" w:rsidRPr="002E1B4B" w:rsidRDefault="003D5DB4" w:rsidP="000A5389">
      <w:pPr>
        <w:spacing w:line="240" w:lineRule="auto"/>
      </w:pPr>
      <w:r w:rsidRPr="002E1B4B">
        <w:t>Observaciones: No se tiene ninguna observación.</w:t>
      </w:r>
    </w:p>
    <w:p w14:paraId="4CD27E25" w14:textId="77777777" w:rsidR="00B45E02" w:rsidRDefault="00B45E02" w:rsidP="000A5389">
      <w:pPr>
        <w:spacing w:line="240" w:lineRule="auto"/>
      </w:pPr>
    </w:p>
    <w:p w14:paraId="71108162" w14:textId="5032ED9D" w:rsidR="003D5DB4" w:rsidRPr="002E1B4B" w:rsidRDefault="003D5DB4" w:rsidP="000A5389">
      <w:pPr>
        <w:spacing w:line="240" w:lineRule="auto"/>
      </w:pPr>
      <w:r w:rsidRPr="002E1B4B">
        <w:t>Cambios en el acuerdo de concesión que se realicen durante el periodo fiscal</w:t>
      </w:r>
    </w:p>
    <w:p w14:paraId="66DE3184" w14:textId="77777777" w:rsidR="00B45E02" w:rsidRDefault="00B45E02" w:rsidP="000A5389">
      <w:pPr>
        <w:spacing w:line="240" w:lineRule="auto"/>
      </w:pPr>
    </w:p>
    <w:p w14:paraId="214073B5" w14:textId="423E30AD" w:rsidR="003D5DB4" w:rsidRPr="002E1B4B" w:rsidRDefault="003D5DB4" w:rsidP="000A5389">
      <w:pPr>
        <w:spacing w:line="240" w:lineRule="auto"/>
      </w:pPr>
      <w:r w:rsidRPr="002E1B4B">
        <w:t>Adiciones o modificaciones en tiempo</w:t>
      </w:r>
    </w:p>
    <w:p w14:paraId="40A397D5" w14:textId="77777777" w:rsidR="003D5DB4" w:rsidRPr="002E1B4B" w:rsidRDefault="003D5DB4" w:rsidP="000A5389">
      <w:pPr>
        <w:spacing w:line="240" w:lineRule="auto"/>
      </w:pPr>
      <w:r w:rsidRPr="002E1B4B">
        <w:t>Fechas de las adiciones o modificaciones:</w:t>
      </w:r>
      <w:r w:rsidRPr="002E1B4B">
        <w:tab/>
        <w:t>No Aplica</w:t>
      </w:r>
    </w:p>
    <w:p w14:paraId="5F049F3E" w14:textId="77777777" w:rsidR="003D5DB4" w:rsidRPr="002E1B4B" w:rsidRDefault="003D5DB4" w:rsidP="000A5389">
      <w:pPr>
        <w:spacing w:line="240" w:lineRule="auto"/>
      </w:pPr>
      <w:r w:rsidRPr="002E1B4B">
        <w:t>Nueva Fecha de finalización estimada:</w:t>
      </w:r>
      <w:r w:rsidRPr="002E1B4B">
        <w:tab/>
        <w:t>No Aplica</w:t>
      </w:r>
    </w:p>
    <w:p w14:paraId="4F5DF7B2" w14:textId="77777777" w:rsidR="003D5DB4" w:rsidRPr="002E1B4B" w:rsidRDefault="003D5DB4" w:rsidP="000A5389">
      <w:pPr>
        <w:spacing w:line="240" w:lineRule="auto"/>
      </w:pPr>
      <w:r w:rsidRPr="002E1B4B">
        <w:t>Observaciones: No se tiene ninguna observación</w:t>
      </w:r>
    </w:p>
    <w:p w14:paraId="2D02E29B" w14:textId="77777777" w:rsidR="00B45E02" w:rsidRDefault="00B45E02" w:rsidP="000A5389">
      <w:pPr>
        <w:spacing w:line="240" w:lineRule="auto"/>
      </w:pPr>
    </w:p>
    <w:p w14:paraId="62F45043" w14:textId="751E7888" w:rsidR="003D5DB4" w:rsidRPr="002E1B4B" w:rsidRDefault="003D5DB4" w:rsidP="000A5389">
      <w:pPr>
        <w:spacing w:line="240" w:lineRule="auto"/>
      </w:pPr>
      <w:r w:rsidRPr="002E1B4B">
        <w:t>Adiciones o modificaciones en valor</w:t>
      </w:r>
    </w:p>
    <w:p w14:paraId="6865B7EC" w14:textId="77777777" w:rsidR="00B45E02" w:rsidRDefault="00B45E02" w:rsidP="000A5389">
      <w:pPr>
        <w:spacing w:line="240" w:lineRule="auto"/>
      </w:pPr>
    </w:p>
    <w:p w14:paraId="51B80A0F" w14:textId="62BC2F0C" w:rsidR="003D5DB4" w:rsidRPr="002E1B4B" w:rsidRDefault="003D5DB4" w:rsidP="000A5389">
      <w:pPr>
        <w:spacing w:line="240" w:lineRule="auto"/>
      </w:pPr>
      <w:r w:rsidRPr="002E1B4B">
        <w:t>Valor de la adición o modificación:</w:t>
      </w:r>
      <w:r w:rsidRPr="002E1B4B">
        <w:tab/>
        <w:t>No Aplica</w:t>
      </w:r>
    </w:p>
    <w:p w14:paraId="1C66B49F" w14:textId="77777777" w:rsidR="003D5DB4" w:rsidRPr="002E1B4B" w:rsidRDefault="003D5DB4" w:rsidP="000A5389">
      <w:pPr>
        <w:spacing w:line="240" w:lineRule="auto"/>
      </w:pPr>
      <w:r w:rsidRPr="002E1B4B">
        <w:t>Nuevo valor del acuerdo: No Aplica</w:t>
      </w:r>
    </w:p>
    <w:p w14:paraId="2B2C0311" w14:textId="77777777" w:rsidR="003D5DB4" w:rsidRPr="002E1B4B" w:rsidRDefault="003D5DB4" w:rsidP="000A5389">
      <w:pPr>
        <w:spacing w:line="240" w:lineRule="auto"/>
      </w:pPr>
      <w:r w:rsidRPr="002E1B4B">
        <w:t>Observaciones: No se tiene ninguna observación</w:t>
      </w:r>
    </w:p>
    <w:p w14:paraId="527E6BB5" w14:textId="77777777" w:rsidR="003D5DB4" w:rsidRPr="002E1B4B" w:rsidRDefault="003D5DB4" w:rsidP="000A5389">
      <w:pPr>
        <w:spacing w:line="240" w:lineRule="auto"/>
      </w:pPr>
    </w:p>
    <w:p w14:paraId="56F6D200" w14:textId="77777777" w:rsidR="003D5DB4" w:rsidRPr="002E1B4B" w:rsidRDefault="003D5DB4" w:rsidP="000A5389">
      <w:pPr>
        <w:spacing w:line="240" w:lineRule="auto"/>
      </w:pPr>
    </w:p>
    <w:p w14:paraId="55E31C45" w14:textId="77777777" w:rsidR="003D5DB4" w:rsidRPr="00B45E02" w:rsidRDefault="003D5DB4" w:rsidP="000A5389">
      <w:pPr>
        <w:spacing w:line="240" w:lineRule="auto"/>
        <w:rPr>
          <w:i/>
          <w:iCs/>
        </w:rPr>
      </w:pPr>
      <w:r w:rsidRPr="00B45E02">
        <w:rPr>
          <w:i/>
          <w:iCs/>
        </w:rPr>
        <w:t>CARTAGENA BARRANQUILLA Y CIRCUNVALAR DE LA PROSPERIDAD</w:t>
      </w:r>
    </w:p>
    <w:p w14:paraId="04C06DD8" w14:textId="77777777" w:rsidR="003D5DB4" w:rsidRPr="002E1B4B" w:rsidRDefault="003D5DB4" w:rsidP="000A5389">
      <w:pPr>
        <w:spacing w:line="240" w:lineRule="auto"/>
      </w:pPr>
    </w:p>
    <w:p w14:paraId="6542A4B9" w14:textId="77777777" w:rsidR="003D5DB4" w:rsidRPr="002E1B4B" w:rsidRDefault="003D5DB4" w:rsidP="000A5389">
      <w:pPr>
        <w:spacing w:line="240" w:lineRule="auto"/>
      </w:pPr>
      <w:r w:rsidRPr="002E1B4B">
        <w:t>Descripción del Acuerdo</w:t>
      </w:r>
    </w:p>
    <w:p w14:paraId="48B64252" w14:textId="77777777" w:rsidR="003D5DB4" w:rsidRDefault="003D5DB4" w:rsidP="000A5389">
      <w:pPr>
        <w:spacing w:line="240" w:lineRule="auto"/>
      </w:pPr>
      <w:r w:rsidRPr="002E1B4B">
        <w:t>Número del Acuerdo de concesión:  CONTRATO DE CONCESIÓN NO. 004 DEL 10 DE SEPTIEMBRE DE 2014</w:t>
      </w:r>
    </w:p>
    <w:p w14:paraId="40CD94C7" w14:textId="77777777" w:rsidR="00B45E02" w:rsidRPr="002E1B4B" w:rsidRDefault="00B45E02" w:rsidP="000A5389">
      <w:pPr>
        <w:spacing w:line="240" w:lineRule="auto"/>
      </w:pPr>
    </w:p>
    <w:p w14:paraId="131B19F6" w14:textId="77777777" w:rsidR="003D5DB4" w:rsidRPr="002E1B4B" w:rsidRDefault="003D5DB4" w:rsidP="000A5389">
      <w:pPr>
        <w:spacing w:line="240" w:lineRule="auto"/>
      </w:pPr>
      <w:r w:rsidRPr="002E1B4B">
        <w:t>Objeto / Descripción:  De acuerdo con el numeral 2.1 del Capítulo II de la Parte General del Contrato de Concesión se tiene que: “El presente Contrato de concesión bajo un esquema de asociación público-privada en los términos de la Ley 1508 de 2012, tiene por objeto el otorgamiento de una concesión para que, de conformidad con lo previsto en este Contrato, el Concesionario, por su cuenta y riesgo, lleve a cabo el Proyecto. El alcance físico del Proyecto se describe en la Parte Especial y en el Apéndice Técnico 1.” Según la Sección 3.2 de la Parte Especial “La financiación, elaboración de estudios y diseños definitivos, gestión ambiental, gestión predial, gestión social, construcción, rehabilitación, mejoramiento, operación y mantenimiento del corredor PROYECTO CARTAGENA-BARRANQUILLA y CIRCUNVALAR DE LA PROSPERIDAD, de acuerdo con el Apéndice Técnico 1 y demás Apéndices del Contrato.”</w:t>
      </w:r>
    </w:p>
    <w:p w14:paraId="6015B90F" w14:textId="77777777" w:rsidR="00B45E02" w:rsidRDefault="00B45E02" w:rsidP="000A5389">
      <w:pPr>
        <w:spacing w:line="240" w:lineRule="auto"/>
      </w:pPr>
    </w:p>
    <w:p w14:paraId="11BFA180" w14:textId="29D15E27" w:rsidR="003D5DB4" w:rsidRPr="002E1B4B" w:rsidRDefault="003D5DB4" w:rsidP="000A5389">
      <w:pPr>
        <w:spacing w:line="240" w:lineRule="auto"/>
      </w:pPr>
      <w:r w:rsidRPr="002E1B4B">
        <w:t>Valor inicial:</w:t>
      </w:r>
      <w:r w:rsidRPr="002E1B4B">
        <w:tab/>
        <w:t>UN BILLÓN SETECIENTOS NUEVE MIL TRESCIENTOS SESENTA Y CUATRO MILLONES QUINIENTOS TREINTA MIL DOSCIENTOS DIECISEIS PESOS ($1,709,364,530,216) constantes de 31 de diciembre de 2012.</w:t>
      </w:r>
    </w:p>
    <w:p w14:paraId="7FA368A3" w14:textId="77777777" w:rsidR="003D5DB4" w:rsidRPr="002E1B4B" w:rsidRDefault="003D5DB4" w:rsidP="000A5389">
      <w:pPr>
        <w:spacing w:line="240" w:lineRule="auto"/>
      </w:pPr>
      <w:r w:rsidRPr="002E1B4B">
        <w:t>Fecha de inicio: 05 de noviembre 2014</w:t>
      </w:r>
    </w:p>
    <w:p w14:paraId="3AF23DCF" w14:textId="77777777" w:rsidR="003D5DB4" w:rsidRPr="002E1B4B" w:rsidRDefault="003D5DB4" w:rsidP="000A5389">
      <w:pPr>
        <w:spacing w:line="240" w:lineRule="auto"/>
      </w:pPr>
      <w:r w:rsidRPr="002E1B4B">
        <w:lastRenderedPageBreak/>
        <w:t>Fecha de finalización estimada: 01 de noviembre 2039</w:t>
      </w:r>
    </w:p>
    <w:p w14:paraId="7A3A0D21" w14:textId="77777777" w:rsidR="003D5DB4" w:rsidRPr="002E1B4B" w:rsidRDefault="003D5DB4" w:rsidP="000A5389">
      <w:pPr>
        <w:spacing w:line="240" w:lineRule="auto"/>
      </w:pPr>
      <w:r w:rsidRPr="002E1B4B">
        <w:t>Tipo ID: NIT</w:t>
      </w:r>
    </w:p>
    <w:p w14:paraId="2016B083" w14:textId="77777777" w:rsidR="003D5DB4" w:rsidRPr="002E1B4B" w:rsidRDefault="003D5DB4" w:rsidP="000A5389">
      <w:pPr>
        <w:spacing w:line="240" w:lineRule="auto"/>
      </w:pPr>
      <w:r w:rsidRPr="002E1B4B">
        <w:t>Número ID:</w:t>
      </w:r>
      <w:r w:rsidRPr="002E1B4B">
        <w:tab/>
        <w:t>900.763.355</w:t>
      </w:r>
    </w:p>
    <w:p w14:paraId="217E5F71" w14:textId="77777777" w:rsidR="003D5DB4" w:rsidRPr="002E1B4B" w:rsidRDefault="003D5DB4" w:rsidP="000A5389">
      <w:pPr>
        <w:spacing w:line="240" w:lineRule="auto"/>
      </w:pPr>
      <w:r w:rsidRPr="002E1B4B">
        <w:t>Razón social del concesionario: Concesión Costera Cartagena Barranquilla SAS</w:t>
      </w:r>
    </w:p>
    <w:p w14:paraId="08204154" w14:textId="77777777" w:rsidR="003D5DB4" w:rsidRPr="002E1B4B" w:rsidRDefault="003D5DB4" w:rsidP="000A5389">
      <w:pPr>
        <w:spacing w:line="240" w:lineRule="auto"/>
      </w:pPr>
      <w:r w:rsidRPr="002E1B4B">
        <w:t>Nombre del proyecto: CARTAGENA BARRANQUILLA Y CIRCUNVALAR DE LA PROSPERIDAD</w:t>
      </w:r>
    </w:p>
    <w:p w14:paraId="3359CB9A" w14:textId="77777777" w:rsidR="00B45E02" w:rsidRDefault="00B45E02" w:rsidP="000A5389">
      <w:pPr>
        <w:spacing w:line="240" w:lineRule="auto"/>
      </w:pPr>
    </w:p>
    <w:p w14:paraId="5876EDBC" w14:textId="3C696BCF" w:rsidR="003D5DB4" w:rsidRPr="002E1B4B" w:rsidRDefault="003D5DB4" w:rsidP="000A5389">
      <w:pPr>
        <w:spacing w:line="240" w:lineRule="auto"/>
      </w:pPr>
      <w:r w:rsidRPr="002E1B4B">
        <w:t>Términos significativos del Acuerdo que puedan afectar su valor, el calendario y la certeza de los flujos de efectivo futuros</w:t>
      </w:r>
    </w:p>
    <w:p w14:paraId="5BD702EF" w14:textId="77777777" w:rsidR="00B45E02" w:rsidRDefault="00B45E02" w:rsidP="000A5389">
      <w:pPr>
        <w:spacing w:line="240" w:lineRule="auto"/>
      </w:pPr>
    </w:p>
    <w:p w14:paraId="658B244E" w14:textId="16E49FE6" w:rsidR="003D5DB4" w:rsidRPr="002E1B4B" w:rsidRDefault="003D5DB4" w:rsidP="000A5389">
      <w:pPr>
        <w:spacing w:line="240" w:lineRule="auto"/>
      </w:pPr>
      <w:r w:rsidRPr="002E1B4B">
        <w:t>Términos de valor: Las principales variables, con efectos sobre el flujo de caja son Recaudo de peaje, Aportes ANI y el estado de avance del proyecto.  En el mes de febrero de 2025 fue cancelado el saldo el segundo giro de vigencias futuras 2024 e intereses de extemporaneidad. En la vigencia de 2025 fueron pagadas actas de retribución por compensación tarifaria por $67.166.356.200.00 Y Decreto 050 por $1.326.418.200.00 (certificaciones Fiducia)</w:t>
      </w:r>
    </w:p>
    <w:p w14:paraId="0E06C0A7" w14:textId="77777777" w:rsidR="00B45E02" w:rsidRDefault="00B45E02" w:rsidP="000A5389">
      <w:pPr>
        <w:spacing w:line="240" w:lineRule="auto"/>
      </w:pPr>
    </w:p>
    <w:p w14:paraId="25FCAA77" w14:textId="73071D4E" w:rsidR="003D5DB4" w:rsidRPr="002E1B4B" w:rsidRDefault="003D5DB4" w:rsidP="000A5389">
      <w:pPr>
        <w:spacing w:line="240" w:lineRule="auto"/>
      </w:pPr>
      <w:r w:rsidRPr="002E1B4B">
        <w:t xml:space="preserve">Términos de calendario: A partir del 1 de enero de 2025 fueron incrementadas las tarifas de los pajes </w:t>
      </w:r>
      <w:r w:rsidR="00B45E02" w:rsidRPr="002E1B4B">
        <w:t>de acuerdo con</w:t>
      </w:r>
      <w:r w:rsidRPr="002E1B4B">
        <w:t xml:space="preserve"> lo dispuesto en la resolución No 20243040065055 del 31-12-2024 en el 60% del valor pendiente por normalizar del IPC 2023. A partir del 1 de abril de 2025 fueron actualizadas las tarifas con el IPC de 2024 e incremento de FOSEVI a $526.00 </w:t>
      </w:r>
    </w:p>
    <w:p w14:paraId="692460CF" w14:textId="77777777" w:rsidR="003D5DB4" w:rsidRPr="002E1B4B" w:rsidRDefault="003D5DB4" w:rsidP="000A5389">
      <w:pPr>
        <w:spacing w:line="240" w:lineRule="auto"/>
      </w:pPr>
    </w:p>
    <w:p w14:paraId="33A2CD47" w14:textId="77777777" w:rsidR="003D5DB4" w:rsidRPr="002E1B4B" w:rsidRDefault="003D5DB4" w:rsidP="000A5389">
      <w:pPr>
        <w:spacing w:line="240" w:lineRule="auto"/>
      </w:pPr>
      <w:r w:rsidRPr="002E1B4B">
        <w:t>Términos de certeza de flujos de efectivo futuros:</w:t>
      </w:r>
      <w:r w:rsidRPr="002E1B4B">
        <w:tab/>
        <w:t>Teniendo en cuenta que el reconocimiento de las actas por menos valor de recaudo decreto 050 se presentan trimestralmente. en la vigencia de 2025 fueron pagadas al concesionario actas por este concepto.  Igualmente, para la vigencia de 2025 se presentaron resoluciones de tarifa diferencia y no cobro en la estación de Papiros.</w:t>
      </w:r>
    </w:p>
    <w:p w14:paraId="07A9DBBD" w14:textId="77777777" w:rsidR="003D5DB4" w:rsidRPr="002E1B4B" w:rsidRDefault="003D5DB4" w:rsidP="000A5389">
      <w:pPr>
        <w:spacing w:line="240" w:lineRule="auto"/>
      </w:pPr>
    </w:p>
    <w:p w14:paraId="1A5F84F4" w14:textId="77777777" w:rsidR="003D5DB4" w:rsidRPr="002E1B4B" w:rsidRDefault="003D5DB4" w:rsidP="000A5389">
      <w:pPr>
        <w:spacing w:line="240" w:lineRule="auto"/>
      </w:pPr>
      <w:r w:rsidRPr="002E1B4B">
        <w:t>Naturaleza y alcance del derecho a utilizar Activos y los aspectos pactados en torno a lo que se espera que el concesionario proporcione en relación con el Acuerdo de concesión</w:t>
      </w:r>
    </w:p>
    <w:p w14:paraId="501BA19B" w14:textId="77777777" w:rsidR="00B45E02" w:rsidRDefault="00B45E02" w:rsidP="000A5389">
      <w:pPr>
        <w:spacing w:line="240" w:lineRule="auto"/>
      </w:pPr>
    </w:p>
    <w:p w14:paraId="5D7C4D52" w14:textId="72FC321E" w:rsidR="003D5DB4" w:rsidRPr="002E1B4B" w:rsidRDefault="003D5DB4" w:rsidP="000A5389">
      <w:pPr>
        <w:spacing w:line="240" w:lineRule="auto"/>
      </w:pPr>
      <w:r w:rsidRPr="002E1B4B">
        <w:t>Naturaleza y alcance del derecho de uso de los Activos</w:t>
      </w:r>
    </w:p>
    <w:p w14:paraId="04AF23FA" w14:textId="77777777" w:rsidR="003D5DB4" w:rsidRPr="002E1B4B" w:rsidRDefault="003D5DB4" w:rsidP="000A5389">
      <w:pPr>
        <w:spacing w:line="240" w:lineRule="auto"/>
      </w:pPr>
      <w:r w:rsidRPr="002E1B4B">
        <w:t>Descripción:</w:t>
      </w:r>
      <w:r w:rsidRPr="002E1B4B">
        <w:tab/>
        <w:t>N/A</w:t>
      </w:r>
    </w:p>
    <w:p w14:paraId="4E03D17C" w14:textId="77777777" w:rsidR="003D5DB4" w:rsidRPr="002E1B4B" w:rsidRDefault="003D5DB4" w:rsidP="000A5389">
      <w:pPr>
        <w:spacing w:line="240" w:lineRule="auto"/>
      </w:pPr>
      <w:r w:rsidRPr="002E1B4B">
        <w:t xml:space="preserve">Observaciones: No se tiene observación </w:t>
      </w:r>
    </w:p>
    <w:p w14:paraId="03886D93" w14:textId="77777777" w:rsidR="003D5DB4" w:rsidRPr="002E1B4B" w:rsidRDefault="003D5DB4" w:rsidP="000A5389">
      <w:pPr>
        <w:spacing w:line="240" w:lineRule="auto"/>
      </w:pPr>
    </w:p>
    <w:p w14:paraId="23E0469E" w14:textId="77777777" w:rsidR="003D5DB4" w:rsidRPr="002E1B4B" w:rsidRDefault="003D5DB4" w:rsidP="000A5389">
      <w:pPr>
        <w:spacing w:line="240" w:lineRule="auto"/>
      </w:pPr>
      <w:r w:rsidRPr="002E1B4B">
        <w:t>Retribución al concesionario</w:t>
      </w:r>
    </w:p>
    <w:p w14:paraId="404C0718" w14:textId="77777777" w:rsidR="00B45E02" w:rsidRDefault="00B45E02" w:rsidP="000A5389">
      <w:pPr>
        <w:spacing w:line="240" w:lineRule="auto"/>
      </w:pPr>
    </w:p>
    <w:p w14:paraId="6E01E74C" w14:textId="4F13A920" w:rsidR="003D5DB4" w:rsidRPr="002E1B4B" w:rsidRDefault="003D5DB4" w:rsidP="000A5389">
      <w:pPr>
        <w:spacing w:line="240" w:lineRule="auto"/>
      </w:pPr>
      <w:r w:rsidRPr="002E1B4B">
        <w:t>Descripción: En la sección 4.3 de la Parte Especial del contrato de concesión se establece el cálculo de la retribución al concesionario.</w:t>
      </w:r>
    </w:p>
    <w:p w14:paraId="34AB023B" w14:textId="77777777" w:rsidR="00B45E02" w:rsidRDefault="00B45E02" w:rsidP="000A5389">
      <w:pPr>
        <w:spacing w:line="240" w:lineRule="auto"/>
      </w:pPr>
    </w:p>
    <w:p w14:paraId="5A134EE3" w14:textId="3FB8EEB9" w:rsidR="003D5DB4" w:rsidRPr="002E1B4B" w:rsidRDefault="003D5DB4" w:rsidP="000A5389">
      <w:pPr>
        <w:spacing w:line="240" w:lineRule="auto"/>
      </w:pPr>
      <w:r w:rsidRPr="002E1B4B">
        <w:t>Tasa de retribución:</w:t>
      </w:r>
      <w:r w:rsidRPr="002E1B4B">
        <w:tab/>
        <w:t>Capitulo II Aspectos económicos del contrato: La tasa de descuento real (TDI) expresada en términos efectivos mensuales, para efectos de este Proyecto, será del cero punto cincuenta y cinco setenta y uno por ciento 0.5571%</w:t>
      </w:r>
    </w:p>
    <w:p w14:paraId="3EB8DF3F" w14:textId="77777777" w:rsidR="00B45E02" w:rsidRDefault="00B45E02" w:rsidP="000A5389">
      <w:pPr>
        <w:spacing w:line="240" w:lineRule="auto"/>
      </w:pPr>
    </w:p>
    <w:p w14:paraId="31C6331B" w14:textId="1F814ECD" w:rsidR="003D5DB4" w:rsidRPr="002E1B4B" w:rsidRDefault="003D5DB4" w:rsidP="000A5389">
      <w:pPr>
        <w:spacing w:line="240" w:lineRule="auto"/>
      </w:pPr>
      <w:r w:rsidRPr="002E1B4B">
        <w:t>Derechos a recibir Activos especificados al final del acuerdo de concesión</w:t>
      </w:r>
    </w:p>
    <w:p w14:paraId="5CEDF6EA" w14:textId="77777777" w:rsidR="00B45E02" w:rsidRDefault="00B45E02" w:rsidP="000A5389">
      <w:pPr>
        <w:spacing w:line="240" w:lineRule="auto"/>
      </w:pPr>
    </w:p>
    <w:p w14:paraId="1BA36814" w14:textId="55594662" w:rsidR="003D5DB4" w:rsidRPr="002E1B4B" w:rsidRDefault="003D5DB4" w:rsidP="000A5389">
      <w:pPr>
        <w:spacing w:line="240" w:lineRule="auto"/>
      </w:pPr>
      <w:r w:rsidRPr="002E1B4B">
        <w:t>Descripción: Descripción: Corresponde al procedimiento señalado en la sección 9.7 del Contrato Parte General, mediante el cual el Concesionario entrega los bienes asociados al proyecto a la ANI para dar por terminado el contrato.</w:t>
      </w:r>
    </w:p>
    <w:p w14:paraId="66DC95DD" w14:textId="77777777" w:rsidR="003D5DB4" w:rsidRPr="002E1B4B" w:rsidRDefault="003D5DB4" w:rsidP="000A5389">
      <w:pPr>
        <w:spacing w:line="240" w:lineRule="auto"/>
      </w:pPr>
      <w:r w:rsidRPr="002E1B4B">
        <w:t>Observaciones: No se tiene observaciones</w:t>
      </w:r>
    </w:p>
    <w:p w14:paraId="4ABC5C5D" w14:textId="77777777" w:rsidR="00B45E02" w:rsidRDefault="00B45E02" w:rsidP="000A5389">
      <w:pPr>
        <w:spacing w:line="240" w:lineRule="auto"/>
      </w:pPr>
    </w:p>
    <w:p w14:paraId="376E2DE1" w14:textId="30265CA1" w:rsidR="003D5DB4" w:rsidRPr="002E1B4B" w:rsidRDefault="003D5DB4" w:rsidP="000A5389">
      <w:pPr>
        <w:spacing w:line="240" w:lineRule="auto"/>
      </w:pPr>
      <w:r w:rsidRPr="002E1B4B">
        <w:t>Las alternativas de renovación y cese del acuerdo</w:t>
      </w:r>
    </w:p>
    <w:p w14:paraId="18E2EE7A" w14:textId="77777777" w:rsidR="003D5DB4" w:rsidRPr="002E1B4B" w:rsidRDefault="003D5DB4" w:rsidP="000A5389">
      <w:pPr>
        <w:spacing w:line="240" w:lineRule="auto"/>
      </w:pPr>
      <w:r w:rsidRPr="002E1B4B">
        <w:t>Descripción:</w:t>
      </w:r>
      <w:r w:rsidRPr="002E1B4B">
        <w:tab/>
        <w:t>No Aplica</w:t>
      </w:r>
    </w:p>
    <w:p w14:paraId="54E37AB6" w14:textId="77777777" w:rsidR="003D5DB4" w:rsidRPr="002E1B4B" w:rsidRDefault="003D5DB4" w:rsidP="000A5389">
      <w:pPr>
        <w:spacing w:line="240" w:lineRule="auto"/>
      </w:pPr>
      <w:r w:rsidRPr="002E1B4B">
        <w:t>Observaciones: No Aplica</w:t>
      </w:r>
    </w:p>
    <w:p w14:paraId="35E78164" w14:textId="0C633047" w:rsidR="003D5DB4" w:rsidRPr="002E1B4B" w:rsidRDefault="003D5DB4" w:rsidP="000A5389">
      <w:pPr>
        <w:spacing w:line="240" w:lineRule="auto"/>
      </w:pPr>
      <w:r w:rsidRPr="002E1B4B">
        <w:t>Cambios en el acuerdo de concesión que se realicen durante el periodo fiscal</w:t>
      </w:r>
    </w:p>
    <w:p w14:paraId="2CE39E37" w14:textId="77777777" w:rsidR="00B45E02" w:rsidRDefault="00B45E02" w:rsidP="000A5389">
      <w:pPr>
        <w:spacing w:line="240" w:lineRule="auto"/>
      </w:pPr>
    </w:p>
    <w:p w14:paraId="0D5BBB0A" w14:textId="543FC133" w:rsidR="003D5DB4" w:rsidRPr="002E1B4B" w:rsidRDefault="003D5DB4" w:rsidP="000A5389">
      <w:pPr>
        <w:spacing w:line="240" w:lineRule="auto"/>
      </w:pPr>
      <w:r w:rsidRPr="002E1B4B">
        <w:t>Adiciones o modificaciones en tiempo</w:t>
      </w:r>
    </w:p>
    <w:p w14:paraId="13231CB7" w14:textId="77777777" w:rsidR="003D5DB4" w:rsidRPr="002E1B4B" w:rsidRDefault="003D5DB4" w:rsidP="000A5389">
      <w:pPr>
        <w:spacing w:line="240" w:lineRule="auto"/>
      </w:pPr>
      <w:r w:rsidRPr="002E1B4B">
        <w:t>Fechas de las adiciones o modificaciones: No Aplica</w:t>
      </w:r>
    </w:p>
    <w:p w14:paraId="45116728" w14:textId="77777777" w:rsidR="003D5DB4" w:rsidRPr="002E1B4B" w:rsidRDefault="003D5DB4" w:rsidP="000A5389">
      <w:pPr>
        <w:spacing w:line="240" w:lineRule="auto"/>
      </w:pPr>
      <w:r w:rsidRPr="002E1B4B">
        <w:t>Nueva Fecha de finalización estimada: No Aplica</w:t>
      </w:r>
    </w:p>
    <w:p w14:paraId="47AF38BB" w14:textId="77777777" w:rsidR="003D5DB4" w:rsidRPr="002E1B4B" w:rsidRDefault="003D5DB4" w:rsidP="000A5389">
      <w:pPr>
        <w:spacing w:line="240" w:lineRule="auto"/>
      </w:pPr>
      <w:r w:rsidRPr="002E1B4B">
        <w:t xml:space="preserve">Observaciones: </w:t>
      </w:r>
    </w:p>
    <w:p w14:paraId="3DD3A786" w14:textId="77777777" w:rsidR="00B45E02" w:rsidRDefault="00B45E02" w:rsidP="000A5389">
      <w:pPr>
        <w:spacing w:line="240" w:lineRule="auto"/>
      </w:pPr>
    </w:p>
    <w:p w14:paraId="2820378D" w14:textId="333971E8" w:rsidR="003D5DB4" w:rsidRPr="002E1B4B" w:rsidRDefault="003D5DB4" w:rsidP="000A5389">
      <w:pPr>
        <w:spacing w:line="240" w:lineRule="auto"/>
      </w:pPr>
      <w:r w:rsidRPr="002E1B4B">
        <w:t>Adiciones o modificaciones en valor</w:t>
      </w:r>
    </w:p>
    <w:p w14:paraId="4048F076" w14:textId="77777777" w:rsidR="00B45E02" w:rsidRDefault="00B45E02" w:rsidP="000A5389">
      <w:pPr>
        <w:spacing w:line="240" w:lineRule="auto"/>
      </w:pPr>
    </w:p>
    <w:p w14:paraId="76FFD8FD" w14:textId="7BCE9C23" w:rsidR="003D5DB4" w:rsidRPr="002E1B4B" w:rsidRDefault="003D5DB4" w:rsidP="000A5389">
      <w:pPr>
        <w:spacing w:line="240" w:lineRule="auto"/>
      </w:pPr>
      <w:r w:rsidRPr="002E1B4B">
        <w:t>Valor de la adición o modificación: No Aplica</w:t>
      </w:r>
    </w:p>
    <w:p w14:paraId="503447AA" w14:textId="77777777" w:rsidR="003D5DB4" w:rsidRPr="002E1B4B" w:rsidRDefault="003D5DB4" w:rsidP="000A5389">
      <w:pPr>
        <w:spacing w:line="240" w:lineRule="auto"/>
      </w:pPr>
      <w:r w:rsidRPr="002E1B4B">
        <w:t>Nuevo valor del acuerdo: No Aplica</w:t>
      </w:r>
    </w:p>
    <w:p w14:paraId="30F5BAFB" w14:textId="6686B425" w:rsidR="003D5DB4" w:rsidRPr="002E1B4B" w:rsidRDefault="003D5DB4" w:rsidP="000A5389">
      <w:pPr>
        <w:spacing w:line="240" w:lineRule="auto"/>
      </w:pPr>
      <w:r w:rsidRPr="002E1B4B">
        <w:t>Observaciones: No Aplica</w:t>
      </w:r>
    </w:p>
    <w:p w14:paraId="5E130A5F" w14:textId="77777777" w:rsidR="003D5DB4" w:rsidRPr="002E1B4B" w:rsidRDefault="003D5DB4" w:rsidP="000A5389">
      <w:pPr>
        <w:spacing w:line="240" w:lineRule="auto"/>
      </w:pPr>
    </w:p>
    <w:p w14:paraId="5C96BEBA" w14:textId="77777777" w:rsidR="003D5DB4" w:rsidRPr="002E1B4B" w:rsidRDefault="003D5DB4" w:rsidP="000A5389">
      <w:pPr>
        <w:spacing w:line="240" w:lineRule="auto"/>
      </w:pPr>
    </w:p>
    <w:p w14:paraId="1E1FCAA7" w14:textId="77777777" w:rsidR="003D5DB4" w:rsidRPr="00B45E02" w:rsidRDefault="003D5DB4" w:rsidP="000A5389">
      <w:pPr>
        <w:spacing w:line="240" w:lineRule="auto"/>
        <w:rPr>
          <w:i/>
          <w:iCs/>
        </w:rPr>
      </w:pPr>
      <w:r w:rsidRPr="00B45E02">
        <w:rPr>
          <w:i/>
          <w:iCs/>
        </w:rPr>
        <w:t>CONEXIÓN PACÍFICO TRES</w:t>
      </w:r>
    </w:p>
    <w:p w14:paraId="3B0B3710" w14:textId="77777777" w:rsidR="00B45E02" w:rsidRDefault="00B45E02" w:rsidP="000A5389">
      <w:pPr>
        <w:spacing w:line="240" w:lineRule="auto"/>
      </w:pPr>
    </w:p>
    <w:p w14:paraId="44AE1D6B" w14:textId="15280317" w:rsidR="003D5DB4" w:rsidRDefault="003D5DB4" w:rsidP="000A5389">
      <w:pPr>
        <w:spacing w:line="240" w:lineRule="auto"/>
      </w:pPr>
      <w:r w:rsidRPr="002E1B4B">
        <w:t>Descripción del Acuerdo</w:t>
      </w:r>
    </w:p>
    <w:p w14:paraId="6E739266" w14:textId="77777777" w:rsidR="00B45E02" w:rsidRPr="002E1B4B" w:rsidRDefault="00B45E02" w:rsidP="000A5389">
      <w:pPr>
        <w:spacing w:line="240" w:lineRule="auto"/>
      </w:pPr>
    </w:p>
    <w:p w14:paraId="66AB66EA" w14:textId="77777777" w:rsidR="003D5DB4" w:rsidRPr="002E1B4B" w:rsidRDefault="003D5DB4" w:rsidP="000A5389">
      <w:pPr>
        <w:spacing w:line="240" w:lineRule="auto"/>
      </w:pPr>
      <w:r w:rsidRPr="002E1B4B">
        <w:t xml:space="preserve">Número del Acuerdo de concesión:  Contrato de Concesión No. 005 del 10 de septiembre de 2014 </w:t>
      </w:r>
    </w:p>
    <w:p w14:paraId="5897FF11" w14:textId="77777777" w:rsidR="003D5DB4" w:rsidRPr="002E1B4B" w:rsidRDefault="003D5DB4" w:rsidP="000A5389">
      <w:pPr>
        <w:spacing w:line="240" w:lineRule="auto"/>
      </w:pPr>
      <w:r w:rsidRPr="002E1B4B">
        <w:t xml:space="preserve">Objeto / Descripción: De acuerdo al numeral 2.1 del Capítulo II de la Parte General del Contrato de Concesión se tiene que: “El presente Contrato de concesión bajo un esquema de asociación público-privada en los términos de la Ley 1508 de 2012, tiene por objeto el otorgamiento de una concesión para que de conformidad con lo previsto en este Contrato, el Concesionario, por su cuenta y riesgo, lleve a cabo el Proyecto. El alcance físico del Proyecto se describe en la Parte Especial y en el Apéndice Técnico 1.” Según la Sección 3.2 de la Parte Especial “De conformidad con el Objeto del Contrato dispuesto en la Parte General de este Contrato el Alcance del Contrato corresponde a los estudios y diseños definitivos, financiación, gestión ambiental, predial y social, construcción, mejoramiento, rehabilitación, operación, mantenimiento y reversión de la Concesión Autopista Conexión Pacífico 3, del Proyecto "Autopistas para la Prosperidad", de acuerdo con el Apéndice Técnico 1 y demás Apéndices del Contrato” </w:t>
      </w:r>
    </w:p>
    <w:p w14:paraId="1D6AE2CD" w14:textId="77777777" w:rsidR="00B45E02" w:rsidRDefault="00B45E02" w:rsidP="000A5389">
      <w:pPr>
        <w:spacing w:line="240" w:lineRule="auto"/>
      </w:pPr>
    </w:p>
    <w:p w14:paraId="5A2103C5" w14:textId="62C43D27" w:rsidR="003D5DB4" w:rsidRPr="002E1B4B" w:rsidRDefault="003D5DB4" w:rsidP="000A5389">
      <w:pPr>
        <w:spacing w:line="240" w:lineRule="auto"/>
      </w:pPr>
      <w:r w:rsidRPr="002E1B4B">
        <w:lastRenderedPageBreak/>
        <w:t>Valor inicial:</w:t>
      </w:r>
      <w:r w:rsidRPr="002E1B4B">
        <w:tab/>
        <w:t xml:space="preserve">El Valor del Contrato es de un billón ochocientos sesenta y nueve mil trescientos treinta millones seiscientos setenta y ocho mil cuatrocientos diecisiete pesos ($1.869.330.678.417) del Mes de Referencia </w:t>
      </w:r>
    </w:p>
    <w:p w14:paraId="3F9A792E" w14:textId="77777777" w:rsidR="003D5DB4" w:rsidRPr="002E1B4B" w:rsidRDefault="003D5DB4" w:rsidP="000A5389">
      <w:pPr>
        <w:spacing w:line="240" w:lineRule="auto"/>
      </w:pPr>
      <w:r w:rsidRPr="002E1B4B">
        <w:t>Fecha de inicio:</w:t>
      </w:r>
      <w:r w:rsidRPr="002E1B4B">
        <w:tab/>
        <w:t xml:space="preserve">4/09/2014 </w:t>
      </w:r>
    </w:p>
    <w:p w14:paraId="2427A0AC" w14:textId="77777777" w:rsidR="003D5DB4" w:rsidRPr="002E1B4B" w:rsidRDefault="003D5DB4" w:rsidP="000A5389">
      <w:pPr>
        <w:spacing w:line="240" w:lineRule="auto"/>
      </w:pPr>
      <w:r w:rsidRPr="002E1B4B">
        <w:t>Fecha de finalización estimada:</w:t>
      </w:r>
      <w:r w:rsidRPr="002E1B4B">
        <w:tab/>
        <w:t>29/10/2039</w:t>
      </w:r>
    </w:p>
    <w:p w14:paraId="1F4B9A7D" w14:textId="77777777" w:rsidR="003D5DB4" w:rsidRPr="002E1B4B" w:rsidRDefault="003D5DB4" w:rsidP="000A5389">
      <w:pPr>
        <w:spacing w:line="240" w:lineRule="auto"/>
      </w:pPr>
      <w:r w:rsidRPr="002E1B4B">
        <w:t>Tipo ID: NIT</w:t>
      </w:r>
    </w:p>
    <w:p w14:paraId="32726323" w14:textId="77777777" w:rsidR="003D5DB4" w:rsidRPr="002E1B4B" w:rsidRDefault="003D5DB4" w:rsidP="000A5389">
      <w:pPr>
        <w:spacing w:line="240" w:lineRule="auto"/>
      </w:pPr>
      <w:r w:rsidRPr="002E1B4B">
        <w:t>Número ID: 900.763.357-2</w:t>
      </w:r>
    </w:p>
    <w:p w14:paraId="6951F241" w14:textId="77777777" w:rsidR="003D5DB4" w:rsidRPr="002E1B4B" w:rsidRDefault="003D5DB4" w:rsidP="000A5389">
      <w:pPr>
        <w:spacing w:line="240" w:lineRule="auto"/>
      </w:pPr>
      <w:r w:rsidRPr="002E1B4B">
        <w:t xml:space="preserve">Razón social del concesionario: CONCESIÓN PACÍFICO TRES S.A.S. </w:t>
      </w:r>
    </w:p>
    <w:p w14:paraId="07C79ED4" w14:textId="77777777" w:rsidR="003D5DB4" w:rsidRPr="002E1B4B" w:rsidRDefault="003D5DB4" w:rsidP="000A5389">
      <w:pPr>
        <w:spacing w:line="240" w:lineRule="auto"/>
      </w:pPr>
      <w:r w:rsidRPr="002E1B4B">
        <w:t xml:space="preserve">Nombre del proyecto: CONEXIÓN PACÍFICO TRES </w:t>
      </w:r>
    </w:p>
    <w:p w14:paraId="1024DE1F" w14:textId="77777777" w:rsidR="003D5DB4" w:rsidRPr="002E1B4B" w:rsidRDefault="003D5DB4" w:rsidP="000A5389">
      <w:pPr>
        <w:spacing w:line="240" w:lineRule="auto"/>
      </w:pPr>
    </w:p>
    <w:p w14:paraId="7169FA17" w14:textId="77777777" w:rsidR="003D5DB4" w:rsidRPr="002E1B4B" w:rsidRDefault="003D5DB4" w:rsidP="000A5389">
      <w:pPr>
        <w:spacing w:line="240" w:lineRule="auto"/>
      </w:pPr>
      <w:r w:rsidRPr="002E1B4B">
        <w:t>Términos significativos del Acuerdo que puedan afectar su valor, el calendario y la certeza de los flujos de efectivo futuros</w:t>
      </w:r>
    </w:p>
    <w:p w14:paraId="0F840014" w14:textId="77777777" w:rsidR="00B45E02" w:rsidRDefault="00B45E02" w:rsidP="000A5389">
      <w:pPr>
        <w:spacing w:line="240" w:lineRule="auto"/>
      </w:pPr>
    </w:p>
    <w:p w14:paraId="09AC325B" w14:textId="288B9FF3" w:rsidR="003D5DB4" w:rsidRPr="002E1B4B" w:rsidRDefault="003D5DB4" w:rsidP="000A5389">
      <w:pPr>
        <w:spacing w:line="240" w:lineRule="auto"/>
      </w:pPr>
      <w:r w:rsidRPr="002E1B4B">
        <w:t>Términos de valor: N/A</w:t>
      </w:r>
    </w:p>
    <w:p w14:paraId="2E14730C" w14:textId="5603A7BA" w:rsidR="003D5DB4" w:rsidRPr="002E1B4B" w:rsidRDefault="003D5DB4" w:rsidP="000A5389">
      <w:pPr>
        <w:spacing w:line="240" w:lineRule="auto"/>
      </w:pPr>
      <w:r w:rsidRPr="002E1B4B">
        <w:t>Términos de calendario: N/A</w:t>
      </w:r>
    </w:p>
    <w:p w14:paraId="3DAC1B81" w14:textId="77777777" w:rsidR="00B45E02" w:rsidRDefault="00B45E02" w:rsidP="000A5389">
      <w:pPr>
        <w:spacing w:line="240" w:lineRule="auto"/>
      </w:pPr>
    </w:p>
    <w:p w14:paraId="618E70B8" w14:textId="59055C20" w:rsidR="003D5DB4" w:rsidRPr="002E1B4B" w:rsidRDefault="003D5DB4" w:rsidP="000A5389">
      <w:pPr>
        <w:spacing w:line="240" w:lineRule="auto"/>
      </w:pPr>
      <w:r w:rsidRPr="002E1B4B">
        <w:t>Términos de certeza de flujos de efectivo futuros: N/A</w:t>
      </w:r>
    </w:p>
    <w:p w14:paraId="5E778BA8" w14:textId="77777777" w:rsidR="00B45E02" w:rsidRDefault="00B45E02" w:rsidP="000A5389">
      <w:pPr>
        <w:spacing w:line="240" w:lineRule="auto"/>
      </w:pPr>
    </w:p>
    <w:p w14:paraId="3087291F" w14:textId="0EA80293" w:rsidR="003D5DB4" w:rsidRDefault="003D5DB4" w:rsidP="000A5389">
      <w:pPr>
        <w:spacing w:line="240" w:lineRule="auto"/>
      </w:pPr>
      <w:r w:rsidRPr="002E1B4B">
        <w:t>Naturaleza y alcance del derecho a utilizar Activos y los aspectos pactados en torno a lo que se espera que el concesionario proporcione en relación con el Acuerdo de concesión</w:t>
      </w:r>
    </w:p>
    <w:p w14:paraId="3F662D4C" w14:textId="77777777" w:rsidR="00B45E02" w:rsidRPr="002E1B4B" w:rsidRDefault="00B45E02" w:rsidP="000A5389">
      <w:pPr>
        <w:spacing w:line="240" w:lineRule="auto"/>
      </w:pPr>
    </w:p>
    <w:p w14:paraId="4C4161C7" w14:textId="77777777" w:rsidR="003D5DB4" w:rsidRDefault="003D5DB4" w:rsidP="000A5389">
      <w:pPr>
        <w:spacing w:line="240" w:lineRule="auto"/>
      </w:pPr>
      <w:r w:rsidRPr="002E1B4B">
        <w:t>Naturaleza y alcance del derecho de uso de los Activos</w:t>
      </w:r>
    </w:p>
    <w:p w14:paraId="53810190" w14:textId="77777777" w:rsidR="00B45E02" w:rsidRPr="002E1B4B" w:rsidRDefault="00B45E02" w:rsidP="000A5389">
      <w:pPr>
        <w:spacing w:line="240" w:lineRule="auto"/>
      </w:pPr>
    </w:p>
    <w:p w14:paraId="0350EF21" w14:textId="77777777" w:rsidR="003D5DB4" w:rsidRPr="002E1B4B" w:rsidRDefault="003D5DB4" w:rsidP="000A5389">
      <w:pPr>
        <w:spacing w:line="240" w:lineRule="auto"/>
      </w:pPr>
      <w:r w:rsidRPr="002E1B4B">
        <w:t xml:space="preserve">Descripción: Para el año 2025 no se presentó variación en la naturaleza y alcance del derecho a utilizar activos especificados en el contrato de Concesión. Los derechos cedidos al concesionario para explotar los activos en concesión. Obtención del VPIP El concesionario tiene el derecho a obtener el VPIP contractual. Entiéndase las siglas VPIP, según el numeral 1.162 de la Parte General del Contrato, cómo “Es el valor presente al Mes de Referencia del Recaudo de Peaje, ofrecido por la ANI al Concesionario en las reglas del Proceso de Selección. El monto de VPIP se señala en la Parte Especial.”. En la Sección 1.162 de la Parte Especial se señala: “El VPIP equivale a un billón cincuenta mil doscientos dieciocho millones novecientos noventa y dos mil trescientos trece Pesos ($1.050.218.992.313) del Mes de Referencia”, teniendo en cuenta que el Mes de Referencia es Diciembre de 2012, según Sección 1.101 de la Parte Especial. Con corte de 31 de diciembre de 2025 el proyecto presenta el siguiente VPIP: $376.952.673.320 del mes de referencia, 35.89 % del total </w:t>
      </w:r>
    </w:p>
    <w:p w14:paraId="71530077" w14:textId="77777777" w:rsidR="00B45E02" w:rsidRDefault="00B45E02" w:rsidP="000A5389">
      <w:pPr>
        <w:spacing w:line="240" w:lineRule="auto"/>
      </w:pPr>
    </w:p>
    <w:p w14:paraId="52F284AD" w14:textId="12EB8B7D" w:rsidR="003D5DB4" w:rsidRPr="002E1B4B" w:rsidRDefault="003D5DB4" w:rsidP="000A5389">
      <w:pPr>
        <w:spacing w:line="240" w:lineRule="auto"/>
      </w:pPr>
      <w:r w:rsidRPr="002E1B4B">
        <w:t>Observaciones:</w:t>
      </w:r>
      <w:r w:rsidRPr="002E1B4B">
        <w:tab/>
      </w:r>
    </w:p>
    <w:p w14:paraId="21FD712D" w14:textId="77777777" w:rsidR="00B45E02" w:rsidRDefault="00B45E02" w:rsidP="000A5389">
      <w:pPr>
        <w:spacing w:line="240" w:lineRule="auto"/>
      </w:pPr>
    </w:p>
    <w:p w14:paraId="3CD8C9D3" w14:textId="1725D8DE" w:rsidR="003D5DB4" w:rsidRPr="002E1B4B" w:rsidRDefault="003D5DB4" w:rsidP="000A5389">
      <w:pPr>
        <w:spacing w:line="240" w:lineRule="auto"/>
      </w:pPr>
      <w:r w:rsidRPr="002E1B4B">
        <w:t>Retribución al concesionario</w:t>
      </w:r>
    </w:p>
    <w:p w14:paraId="49258023" w14:textId="77777777" w:rsidR="00B45E02" w:rsidRDefault="00B45E02" w:rsidP="000A5389">
      <w:pPr>
        <w:spacing w:line="240" w:lineRule="auto"/>
      </w:pPr>
    </w:p>
    <w:p w14:paraId="63C3807D" w14:textId="1845CF11" w:rsidR="003D5DB4" w:rsidRPr="002E1B4B" w:rsidRDefault="003D5DB4" w:rsidP="000A5389">
      <w:pPr>
        <w:spacing w:line="240" w:lineRule="auto"/>
      </w:pPr>
      <w:r w:rsidRPr="002E1B4B">
        <w:rPr>
          <w:rFonts w:eastAsia="Times New Roman"/>
          <w:noProof/>
        </w:rPr>
        <w:drawing>
          <wp:anchor distT="0" distB="0" distL="114300" distR="114300" simplePos="0" relativeHeight="251662337" behindDoc="0" locked="0" layoutInCell="1" allowOverlap="1" wp14:anchorId="5E745C4B" wp14:editId="310592AC">
            <wp:simplePos x="0" y="0"/>
            <wp:positionH relativeFrom="column">
              <wp:posOffset>1814400</wp:posOffset>
            </wp:positionH>
            <wp:positionV relativeFrom="paragraph">
              <wp:posOffset>428390</wp:posOffset>
            </wp:positionV>
            <wp:extent cx="1740535" cy="171450"/>
            <wp:effectExtent l="0" t="0" r="0" b="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740535" cy="1714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E1B4B">
        <w:t>Descripción: Que el cálculo de la Retribución se encuentra contenido en la Cláusula 4.3. b)  de la Parte Especial del Contrato de Concesión.</w:t>
      </w:r>
    </w:p>
    <w:p w14:paraId="5E251745" w14:textId="77777777" w:rsidR="003D5DB4" w:rsidRPr="002E1B4B" w:rsidRDefault="003D5DB4" w:rsidP="000A5389">
      <w:pPr>
        <w:spacing w:line="240" w:lineRule="auto"/>
      </w:pPr>
    </w:p>
    <w:p w14:paraId="4FFAA66E" w14:textId="77777777" w:rsidR="003D5DB4" w:rsidRPr="002E1B4B" w:rsidRDefault="003D5DB4" w:rsidP="000A5389">
      <w:pPr>
        <w:spacing w:line="240" w:lineRule="auto"/>
      </w:pPr>
      <w:r w:rsidRPr="002E1B4B">
        <w:t>Tasa de retribución:</w:t>
      </w:r>
      <w:r w:rsidRPr="002E1B4B">
        <w:tab/>
        <w:t>0.5663%</w:t>
      </w:r>
    </w:p>
    <w:p w14:paraId="5DCFA72C" w14:textId="77777777" w:rsidR="003D5DB4" w:rsidRPr="002E1B4B" w:rsidRDefault="003D5DB4" w:rsidP="000A5389">
      <w:pPr>
        <w:spacing w:line="240" w:lineRule="auto"/>
      </w:pPr>
    </w:p>
    <w:p w14:paraId="024D1B54" w14:textId="77777777" w:rsidR="003D5DB4" w:rsidRPr="002E1B4B" w:rsidRDefault="003D5DB4" w:rsidP="000A5389">
      <w:pPr>
        <w:spacing w:line="240" w:lineRule="auto"/>
      </w:pPr>
      <w:r w:rsidRPr="002E1B4B">
        <w:t>Derechos a recibir Activos especificados al final del acuerdo de concesión</w:t>
      </w:r>
    </w:p>
    <w:p w14:paraId="40FC5151" w14:textId="77777777" w:rsidR="00B45E02" w:rsidRDefault="00B45E02" w:rsidP="000A5389">
      <w:pPr>
        <w:spacing w:line="240" w:lineRule="auto"/>
      </w:pPr>
    </w:p>
    <w:p w14:paraId="631E1EE9" w14:textId="3EB1AB10" w:rsidR="003D5DB4" w:rsidRDefault="003D5DB4" w:rsidP="000A5389">
      <w:pPr>
        <w:spacing w:line="240" w:lineRule="auto"/>
      </w:pPr>
      <w:r w:rsidRPr="002E1B4B">
        <w:t>Descripción:</w:t>
      </w:r>
      <w:r w:rsidRPr="002E1B4B">
        <w:tab/>
        <w:t xml:space="preserve">Al día siguiente de la Fecha de Terminación de la Etapa de Operación y Mantenimiento, o de la declaratoria de Terminación Anticipada del Contrato, el Concesionario y el Interventor deberán iniciar la verificación final del Proyecto con el fin de proceder a la Reversión. </w:t>
      </w:r>
    </w:p>
    <w:p w14:paraId="627F8875" w14:textId="77777777" w:rsidR="00B45E02" w:rsidRPr="002E1B4B" w:rsidRDefault="00B45E02" w:rsidP="000A5389">
      <w:pPr>
        <w:spacing w:line="240" w:lineRule="auto"/>
      </w:pPr>
    </w:p>
    <w:p w14:paraId="1594AFBC" w14:textId="77777777" w:rsidR="003D5DB4" w:rsidRDefault="003D5DB4" w:rsidP="000A5389">
      <w:pPr>
        <w:spacing w:line="240" w:lineRule="auto"/>
      </w:pPr>
      <w:r w:rsidRPr="002E1B4B">
        <w:t xml:space="preserve">Sin perjuicio de la obligación que le asiste al Concesionario en cuanto a la ejecución de las Intervenciones, las obligaciones de Operación y las Obras de Mantenimiento a que se refiere el Contrato, se entenderá que la ANI se hará propietario de las obras que conforman el Proyecto al momento de su ejecución, incluyendo además, pero sin limitarse, las Estaciones de Peaje y de Pesaje, junto con la totalidad de los destinación o adhesión, que se encuentren en las mismas, no obstante lo cual, el Concesionario conservará la mera tenencia para efectos del cumplimiento del Contrato y será por ende responsable de la guarda material y jurídica de tales bienes aquí mencionados que conforman el Proyecto. </w:t>
      </w:r>
    </w:p>
    <w:p w14:paraId="6CFD065B" w14:textId="77777777" w:rsidR="00B45E02" w:rsidRPr="002E1B4B" w:rsidRDefault="00B45E02" w:rsidP="000A5389">
      <w:pPr>
        <w:spacing w:line="240" w:lineRule="auto"/>
      </w:pPr>
    </w:p>
    <w:p w14:paraId="042676AC" w14:textId="77777777" w:rsidR="003D5DB4" w:rsidRDefault="003D5DB4" w:rsidP="000A5389">
      <w:pPr>
        <w:spacing w:line="240" w:lineRule="auto"/>
      </w:pPr>
      <w:r w:rsidRPr="002E1B4B">
        <w:t xml:space="preserve">Estos bienes de propiedad de la ANI, y, en general, todos los bienes inmuebles con todas sus anexidades y los equipos, software y demás activos que hacen parte del Proyecto, serán entregados a la ANI, según corresponda, en las condiciones señaladas en el Apéndice Técnico 2 al momento de la terminación de la Etapa de Reversión. </w:t>
      </w:r>
    </w:p>
    <w:p w14:paraId="3DB55B10" w14:textId="77777777" w:rsidR="00B45E02" w:rsidRPr="002E1B4B" w:rsidRDefault="00B45E02" w:rsidP="000A5389">
      <w:pPr>
        <w:spacing w:line="240" w:lineRule="auto"/>
      </w:pPr>
    </w:p>
    <w:p w14:paraId="52A360E0" w14:textId="77777777" w:rsidR="003D5DB4" w:rsidRDefault="003D5DB4" w:rsidP="000A5389">
      <w:pPr>
        <w:spacing w:line="240" w:lineRule="auto"/>
      </w:pPr>
      <w:r w:rsidRPr="002E1B4B">
        <w:t xml:space="preserve">El procedimiento para la Reversión incluirá: </w:t>
      </w:r>
    </w:p>
    <w:p w14:paraId="6D166B70" w14:textId="77777777" w:rsidR="00B45E02" w:rsidRPr="002E1B4B" w:rsidRDefault="00B45E02" w:rsidP="000A5389">
      <w:pPr>
        <w:spacing w:line="240" w:lineRule="auto"/>
      </w:pPr>
    </w:p>
    <w:p w14:paraId="60C85AA6" w14:textId="77777777" w:rsidR="003D5DB4" w:rsidRDefault="003D5DB4" w:rsidP="000A5389">
      <w:pPr>
        <w:spacing w:line="240" w:lineRule="auto"/>
      </w:pPr>
      <w:r w:rsidRPr="002E1B4B">
        <w:t xml:space="preserve">Actualización del Inventario de Activos de la Concesión que incluirá todos los bienes inmuebles por adhesión y destinación y en general todos aquellos bienes que (1) hayan sido adquiridos por el Concesionario y se encuentren destinados a las actividades de Operación, lo cual en ningún caso incluirá maquinaria de construcción; (2) hayan sido entregados por la ANI; y (3) que hubieren sido de particulares que hayan sido requeridos por el Proyecto. En todo caso este listado incluirá –como mínimo– el listado de bienes revertibles que aparece en el Apéndice Técnico 2. Así mismo, se verificará que los Predios adquiridos se encuentran libres de toda ocupación ilegal. Un recorrido del Corredor del Proyecto con el Interventor en la cual se dejará constancia de las condiciones técnicas del Proyecto incluyendo la medición de los Indicadores, el estado de los Predios que conforman el Corredor del Proyecto y de las Fajas El Concesionario deberá actualizar la Memoria Técnica correspondiente a todas las Unidades Funcionales que hacen parte del Proyecto. </w:t>
      </w:r>
    </w:p>
    <w:p w14:paraId="64759F2F" w14:textId="77777777" w:rsidR="00B45E02" w:rsidRPr="002E1B4B" w:rsidRDefault="00B45E02" w:rsidP="000A5389">
      <w:pPr>
        <w:spacing w:line="240" w:lineRule="auto"/>
      </w:pPr>
    </w:p>
    <w:p w14:paraId="014A7404" w14:textId="77777777" w:rsidR="003D5DB4" w:rsidRDefault="003D5DB4" w:rsidP="000A5389">
      <w:pPr>
        <w:spacing w:line="240" w:lineRule="auto"/>
      </w:pPr>
      <w:r w:rsidRPr="002E1B4B">
        <w:t xml:space="preserve">En el evento en que haya activos en leasing o arriendos de cualquier naturaleza, tales contratos deberán terminarse anticipadamente por el Concesionario (y asumir el costo de tal terminación) de manera que se pueda transferir la propiedad de dichos activos a la ANI. En caso de ser necesario, deberán suscribirse las escrituras públicas requeridas para la transferencia de bienes inmuebles y los contratos de transferencia de aquellos muebles sujetos a registro. </w:t>
      </w:r>
    </w:p>
    <w:p w14:paraId="3F1255C1" w14:textId="77777777" w:rsidR="00B45E02" w:rsidRPr="002E1B4B" w:rsidRDefault="00B45E02" w:rsidP="000A5389">
      <w:pPr>
        <w:spacing w:line="240" w:lineRule="auto"/>
      </w:pPr>
    </w:p>
    <w:p w14:paraId="20516B89" w14:textId="77777777" w:rsidR="003D5DB4" w:rsidRPr="002E1B4B" w:rsidRDefault="003D5DB4" w:rsidP="000A5389">
      <w:pPr>
        <w:spacing w:line="240" w:lineRule="auto"/>
      </w:pPr>
      <w:r w:rsidRPr="002E1B4B">
        <w:lastRenderedPageBreak/>
        <w:t xml:space="preserve">El Concesionario deberá adelantar todos los trámites tendientes al perfeccionamiento de las transferencias de los bienes muebles e inmuebles. El Concesionario deberá realizar la entrega de los activos relacionados con la Propiedad, Planta y Equipo de acuerdo con el procedimiento contable para el reconocimiento y revelación de hechos relacionados con las propiedades, planta y equipo, contemplado en el Régimen de Contabilidad Pública y en la doctrina contable pública. El Concesionario deberá realizar la entrega de los activos intangibles de acuerdo con el procedimiento contable para el reconocimiento y revelación de los activos intangibles, contemplado en el Régimen de Contabilidad Pública y en la doctrina contable pública. El Concesionario deberá hacer la entrega de los bienes, construcciones e inmuebles que fueron entregados al Concesionario en el momento de la suscripción del Contrato de acuerdo con lo establecido en la Resolución 237 de 2010 de la Contaduría General de la Nación y demás normas que la modifiquen, complementen o sustituyan. El Concesionario deberá entregar un avalúo de los activos fijos debidamente actualizado. El Concesionario deberá entregar diligenciados y conciliados con la Interventoría, los formatos fm 57 (aportes estatales), fm 112A (inversión del privado) y fm 112B (Recaudo de Peajes). </w:t>
      </w:r>
    </w:p>
    <w:p w14:paraId="6E973571" w14:textId="77777777" w:rsidR="003D5DB4" w:rsidRPr="002E1B4B" w:rsidRDefault="003D5DB4" w:rsidP="000A5389">
      <w:pPr>
        <w:spacing w:line="240" w:lineRule="auto"/>
      </w:pPr>
      <w:r w:rsidRPr="002E1B4B">
        <w:t>Observaciones:</w:t>
      </w:r>
      <w:r w:rsidRPr="002E1B4B">
        <w:tab/>
      </w:r>
    </w:p>
    <w:p w14:paraId="266B48AF" w14:textId="77777777" w:rsidR="00B45E02" w:rsidRDefault="00B45E02" w:rsidP="000A5389">
      <w:pPr>
        <w:spacing w:line="240" w:lineRule="auto"/>
      </w:pPr>
    </w:p>
    <w:p w14:paraId="39EA311E" w14:textId="3D70AB60" w:rsidR="003D5DB4" w:rsidRPr="002E1B4B" w:rsidRDefault="003D5DB4" w:rsidP="000A5389">
      <w:pPr>
        <w:spacing w:line="240" w:lineRule="auto"/>
      </w:pPr>
      <w:r w:rsidRPr="002E1B4B">
        <w:t>Las alternativas de renovación y cese del acuerdo</w:t>
      </w:r>
    </w:p>
    <w:p w14:paraId="686B0DE8" w14:textId="77777777" w:rsidR="003D5DB4" w:rsidRPr="002E1B4B" w:rsidRDefault="003D5DB4" w:rsidP="000A5389">
      <w:pPr>
        <w:spacing w:line="240" w:lineRule="auto"/>
      </w:pPr>
      <w:r w:rsidRPr="002E1B4B">
        <w:t>Descripción:</w:t>
      </w:r>
      <w:r w:rsidRPr="002E1B4B">
        <w:tab/>
      </w:r>
    </w:p>
    <w:p w14:paraId="6E017E75" w14:textId="77777777" w:rsidR="003D5DB4" w:rsidRPr="002E1B4B" w:rsidRDefault="003D5DB4" w:rsidP="000A5389">
      <w:pPr>
        <w:spacing w:line="240" w:lineRule="auto"/>
      </w:pPr>
      <w:r w:rsidRPr="002E1B4B">
        <w:t>Observaciones:</w:t>
      </w:r>
      <w:r w:rsidRPr="002E1B4B">
        <w:tab/>
      </w:r>
    </w:p>
    <w:p w14:paraId="4A5D2E0A" w14:textId="77777777" w:rsidR="003D5DB4" w:rsidRPr="002E1B4B" w:rsidRDefault="003D5DB4" w:rsidP="000A5389">
      <w:pPr>
        <w:spacing w:line="240" w:lineRule="auto"/>
      </w:pPr>
    </w:p>
    <w:p w14:paraId="73BBFFE2" w14:textId="77777777" w:rsidR="003D5DB4" w:rsidRPr="002E1B4B" w:rsidRDefault="003D5DB4" w:rsidP="000A5389">
      <w:pPr>
        <w:spacing w:line="240" w:lineRule="auto"/>
      </w:pPr>
      <w:r w:rsidRPr="002E1B4B">
        <w:t>Cambios en el acuerdo de concesión que se realicen durante el periodo fiscal</w:t>
      </w:r>
    </w:p>
    <w:p w14:paraId="059C5617" w14:textId="77777777" w:rsidR="00B45E02" w:rsidRDefault="00B45E02" w:rsidP="000A5389">
      <w:pPr>
        <w:spacing w:line="240" w:lineRule="auto"/>
      </w:pPr>
    </w:p>
    <w:p w14:paraId="0E548188" w14:textId="2C4C4914" w:rsidR="003D5DB4" w:rsidRPr="002E1B4B" w:rsidRDefault="003D5DB4" w:rsidP="000A5389">
      <w:pPr>
        <w:spacing w:line="240" w:lineRule="auto"/>
      </w:pPr>
      <w:r w:rsidRPr="002E1B4B">
        <w:t>Adiciones o modificaciones en tiempo</w:t>
      </w:r>
    </w:p>
    <w:p w14:paraId="5AF9FEC5" w14:textId="77777777" w:rsidR="003D5DB4" w:rsidRPr="002E1B4B" w:rsidRDefault="003D5DB4" w:rsidP="000A5389">
      <w:pPr>
        <w:spacing w:line="240" w:lineRule="auto"/>
      </w:pPr>
      <w:r w:rsidRPr="002E1B4B">
        <w:t>Fechas de las adiciones o modificaciones:</w:t>
      </w:r>
      <w:r w:rsidRPr="002E1B4B">
        <w:tab/>
      </w:r>
    </w:p>
    <w:p w14:paraId="54CB1CC5" w14:textId="77777777" w:rsidR="00B45E02" w:rsidRDefault="00B45E02" w:rsidP="000A5389">
      <w:pPr>
        <w:spacing w:line="240" w:lineRule="auto"/>
      </w:pPr>
    </w:p>
    <w:p w14:paraId="43AFA688" w14:textId="599F7151" w:rsidR="003D5DB4" w:rsidRPr="002E1B4B" w:rsidRDefault="003D5DB4" w:rsidP="000A5389">
      <w:pPr>
        <w:spacing w:line="240" w:lineRule="auto"/>
      </w:pPr>
      <w:r w:rsidRPr="002E1B4B">
        <w:t>Nueva Fecha de finalización estimada:</w:t>
      </w:r>
      <w:r w:rsidRPr="002E1B4B">
        <w:tab/>
      </w:r>
    </w:p>
    <w:p w14:paraId="44947683" w14:textId="77777777" w:rsidR="003D5DB4" w:rsidRPr="002E1B4B" w:rsidRDefault="003D5DB4" w:rsidP="000A5389">
      <w:pPr>
        <w:spacing w:line="240" w:lineRule="auto"/>
      </w:pPr>
      <w:r w:rsidRPr="002E1B4B">
        <w:t>Observaciones:</w:t>
      </w:r>
      <w:r w:rsidRPr="002E1B4B">
        <w:tab/>
      </w:r>
    </w:p>
    <w:p w14:paraId="59819A54" w14:textId="77777777" w:rsidR="00B45E02" w:rsidRDefault="00B45E02" w:rsidP="000A5389">
      <w:pPr>
        <w:spacing w:line="240" w:lineRule="auto"/>
      </w:pPr>
    </w:p>
    <w:p w14:paraId="0E9367E5" w14:textId="7CD02DFF" w:rsidR="003D5DB4" w:rsidRPr="002E1B4B" w:rsidRDefault="003D5DB4" w:rsidP="000A5389">
      <w:pPr>
        <w:spacing w:line="240" w:lineRule="auto"/>
      </w:pPr>
      <w:r w:rsidRPr="002E1B4B">
        <w:t>Adiciones o modificaciones en valor</w:t>
      </w:r>
    </w:p>
    <w:p w14:paraId="16AE0040" w14:textId="77777777" w:rsidR="00B45E02" w:rsidRDefault="00B45E02" w:rsidP="000A5389">
      <w:pPr>
        <w:spacing w:line="240" w:lineRule="auto"/>
      </w:pPr>
    </w:p>
    <w:p w14:paraId="480569AC" w14:textId="5C0A6ABF" w:rsidR="003D5DB4" w:rsidRPr="002E1B4B" w:rsidRDefault="003D5DB4" w:rsidP="000A5389">
      <w:pPr>
        <w:spacing w:line="240" w:lineRule="auto"/>
      </w:pPr>
      <w:r w:rsidRPr="002E1B4B">
        <w:t>Valor de la adición o modificación:</w:t>
      </w:r>
      <w:r w:rsidRPr="002E1B4B">
        <w:tab/>
      </w:r>
    </w:p>
    <w:p w14:paraId="12B3CF24" w14:textId="77777777" w:rsidR="003D5DB4" w:rsidRPr="002E1B4B" w:rsidRDefault="003D5DB4" w:rsidP="000A5389">
      <w:pPr>
        <w:spacing w:line="240" w:lineRule="auto"/>
      </w:pPr>
      <w:r w:rsidRPr="002E1B4B">
        <w:t>Nuevo valor del acuerdo:</w:t>
      </w:r>
      <w:r w:rsidRPr="002E1B4B">
        <w:tab/>
      </w:r>
    </w:p>
    <w:p w14:paraId="171E61E3" w14:textId="77777777" w:rsidR="003D5DB4" w:rsidRPr="002E1B4B" w:rsidRDefault="003D5DB4" w:rsidP="000A5389">
      <w:pPr>
        <w:spacing w:line="240" w:lineRule="auto"/>
      </w:pPr>
      <w:r w:rsidRPr="002E1B4B">
        <w:t>Observaciones:</w:t>
      </w:r>
    </w:p>
    <w:p w14:paraId="039DF1B9" w14:textId="77777777" w:rsidR="003D5DB4" w:rsidRDefault="003D5DB4" w:rsidP="000A5389">
      <w:pPr>
        <w:spacing w:line="240" w:lineRule="auto"/>
      </w:pPr>
    </w:p>
    <w:p w14:paraId="327FFB42" w14:textId="77777777" w:rsidR="00B45E02" w:rsidRPr="002E1B4B" w:rsidRDefault="00B45E02" w:rsidP="000A5389">
      <w:pPr>
        <w:spacing w:line="240" w:lineRule="auto"/>
      </w:pPr>
    </w:p>
    <w:p w14:paraId="5D4EF8C8" w14:textId="77777777" w:rsidR="003D5DB4" w:rsidRPr="00B45E02" w:rsidRDefault="003D5DB4" w:rsidP="000A5389">
      <w:pPr>
        <w:spacing w:line="240" w:lineRule="auto"/>
        <w:rPr>
          <w:i/>
          <w:iCs/>
        </w:rPr>
      </w:pPr>
      <w:r w:rsidRPr="00B45E02">
        <w:rPr>
          <w:i/>
          <w:iCs/>
        </w:rPr>
        <w:t>HONDA – PUERTO SALGAR – GIRARDOT</w:t>
      </w:r>
    </w:p>
    <w:p w14:paraId="3AE8D85B" w14:textId="77777777" w:rsidR="00B45E02" w:rsidRDefault="00B45E02" w:rsidP="000A5389">
      <w:pPr>
        <w:spacing w:line="240" w:lineRule="auto"/>
      </w:pPr>
    </w:p>
    <w:p w14:paraId="39AB01CC" w14:textId="72D6F102" w:rsidR="003D5DB4" w:rsidRPr="002E1B4B" w:rsidRDefault="003D5DB4" w:rsidP="000A5389">
      <w:pPr>
        <w:spacing w:line="240" w:lineRule="auto"/>
      </w:pPr>
      <w:r w:rsidRPr="002E1B4B">
        <w:t>Descripción del Acuerdo</w:t>
      </w:r>
    </w:p>
    <w:p w14:paraId="325D6EC8" w14:textId="77777777" w:rsidR="00B45E02" w:rsidRDefault="00B45E02" w:rsidP="000A5389">
      <w:pPr>
        <w:spacing w:line="240" w:lineRule="auto"/>
      </w:pPr>
    </w:p>
    <w:p w14:paraId="7070D396" w14:textId="11C0F400" w:rsidR="003D5DB4" w:rsidRPr="002E1B4B" w:rsidRDefault="003D5DB4" w:rsidP="000A5389">
      <w:pPr>
        <w:spacing w:line="240" w:lineRule="auto"/>
      </w:pPr>
      <w:r w:rsidRPr="002E1B4B">
        <w:t>Número del Acuerdo de concesión: No. 003 de 9 de septiembre de 2014.</w:t>
      </w:r>
    </w:p>
    <w:p w14:paraId="33721196" w14:textId="77777777" w:rsidR="003D5DB4" w:rsidRPr="002E1B4B" w:rsidRDefault="003D5DB4" w:rsidP="000A5389">
      <w:pPr>
        <w:spacing w:line="240" w:lineRule="auto"/>
      </w:pPr>
      <w:r w:rsidRPr="002E1B4B">
        <w:t>Objeto / Descripción: La financiación; construcción, rehabilitación, mejoramiento, operación y mantenimiento del corredor Honda- Puerto Salgar- Girardot.</w:t>
      </w:r>
    </w:p>
    <w:p w14:paraId="3A197724" w14:textId="77777777" w:rsidR="003D5DB4" w:rsidRPr="002E1B4B" w:rsidRDefault="003D5DB4" w:rsidP="000A5389">
      <w:pPr>
        <w:spacing w:line="240" w:lineRule="auto"/>
      </w:pPr>
      <w:r w:rsidRPr="002E1B4B">
        <w:t>Valor inicial:</w:t>
      </w:r>
      <w:r w:rsidRPr="002E1B4B">
        <w:tab/>
        <w:t>$1.465.609.000.000 del Mes de Referencia. (Dic. 2012).</w:t>
      </w:r>
    </w:p>
    <w:p w14:paraId="7DFC7D23" w14:textId="77777777" w:rsidR="003D5DB4" w:rsidRPr="002E1B4B" w:rsidRDefault="003D5DB4" w:rsidP="000A5389">
      <w:pPr>
        <w:spacing w:line="240" w:lineRule="auto"/>
      </w:pPr>
      <w:r w:rsidRPr="002E1B4B">
        <w:lastRenderedPageBreak/>
        <w:t>Fecha de inicio: 4 de noviembre de 2014.</w:t>
      </w:r>
    </w:p>
    <w:p w14:paraId="5A59987B" w14:textId="77777777" w:rsidR="003D5DB4" w:rsidRPr="002E1B4B" w:rsidRDefault="003D5DB4" w:rsidP="000A5389">
      <w:pPr>
        <w:spacing w:line="240" w:lineRule="auto"/>
      </w:pPr>
      <w:r w:rsidRPr="002E1B4B">
        <w:t>Fecha de finalización estimada: 3 de noviembre de 2039</w:t>
      </w:r>
    </w:p>
    <w:p w14:paraId="3A3B8EC2" w14:textId="77777777" w:rsidR="003D5DB4" w:rsidRPr="002E1B4B" w:rsidRDefault="003D5DB4" w:rsidP="000A5389">
      <w:pPr>
        <w:spacing w:line="240" w:lineRule="auto"/>
      </w:pPr>
      <w:r w:rsidRPr="002E1B4B">
        <w:t>Tipo ID: NIT</w:t>
      </w:r>
    </w:p>
    <w:p w14:paraId="19E08DC8" w14:textId="77777777" w:rsidR="003D5DB4" w:rsidRPr="002E1B4B" w:rsidRDefault="003D5DB4" w:rsidP="000A5389">
      <w:pPr>
        <w:spacing w:line="240" w:lineRule="auto"/>
      </w:pPr>
      <w:r w:rsidRPr="002E1B4B">
        <w:t>Número ID: 900.745.219-8</w:t>
      </w:r>
    </w:p>
    <w:p w14:paraId="6843F1A8" w14:textId="77777777" w:rsidR="00B45E02" w:rsidRDefault="00B45E02" w:rsidP="000A5389">
      <w:pPr>
        <w:spacing w:line="240" w:lineRule="auto"/>
      </w:pPr>
    </w:p>
    <w:p w14:paraId="56ABFB4F" w14:textId="456FACC6" w:rsidR="003D5DB4" w:rsidRPr="002E1B4B" w:rsidRDefault="003D5DB4" w:rsidP="000A5389">
      <w:pPr>
        <w:spacing w:line="240" w:lineRule="auto"/>
      </w:pPr>
      <w:r w:rsidRPr="002E1B4B">
        <w:t>Razón social del concesionario: Concesión Alto Magdalena S.A.S.</w:t>
      </w:r>
    </w:p>
    <w:p w14:paraId="1ED4F4BF" w14:textId="77777777" w:rsidR="003D5DB4" w:rsidRPr="002E1B4B" w:rsidRDefault="003D5DB4" w:rsidP="000A5389">
      <w:pPr>
        <w:spacing w:line="240" w:lineRule="auto"/>
      </w:pPr>
      <w:r w:rsidRPr="002E1B4B">
        <w:t>Nombre del proyecto: Concesión Honda – Puerto Salgar –Girardot.</w:t>
      </w:r>
    </w:p>
    <w:p w14:paraId="6ABDFE34" w14:textId="77777777" w:rsidR="003D5DB4" w:rsidRPr="002E1B4B" w:rsidRDefault="003D5DB4" w:rsidP="000A5389">
      <w:pPr>
        <w:spacing w:line="240" w:lineRule="auto"/>
      </w:pPr>
      <w:r w:rsidRPr="002E1B4B">
        <w:t>Términos significativos del Acuerdo que puedan afectar su valor, el calendario y la certeza de los flujos de efectivo futuros</w:t>
      </w:r>
    </w:p>
    <w:p w14:paraId="7660730E" w14:textId="77777777" w:rsidR="00B45E02" w:rsidRDefault="00B45E02" w:rsidP="000A5389">
      <w:pPr>
        <w:spacing w:line="240" w:lineRule="auto"/>
      </w:pPr>
    </w:p>
    <w:p w14:paraId="15CE0149" w14:textId="119AB00C" w:rsidR="003D5DB4" w:rsidRDefault="003D5DB4" w:rsidP="000A5389">
      <w:pPr>
        <w:spacing w:line="240" w:lineRule="auto"/>
      </w:pPr>
      <w:r w:rsidRPr="002E1B4B">
        <w:t>Términos de valor: Durante 2025, la ANI efectuó los Aportes ANI de la vigencia 2024, actualizados con TRM e IPC. En la vigencia se suscribieron actas trimestrales de compensación por menor recaudo derivado del Decreto 050, correspondientes a los periodos julio–septiembre, octubre–diciembre de 2024 y enero–marzo de 2025, reconocidas durante el 2025. Así mismo, se suscribieron actas trimestrales por Tarifas Diferenciales correspondientes a los periodos julio–septiembre, octubre–diciembre de 2024, enero–marzo, abril–junio, julio-septiembre de 2025, pagadas en 2025. Al 31 de diciembre de 2025, se encontraban suscritas actas de Retribución hasta septiembre, con pagos efectuados hasta agosto.</w:t>
      </w:r>
    </w:p>
    <w:p w14:paraId="1E9B2346" w14:textId="77777777" w:rsidR="00B45E02" w:rsidRPr="002E1B4B" w:rsidRDefault="00B45E02" w:rsidP="000A5389">
      <w:pPr>
        <w:spacing w:line="240" w:lineRule="auto"/>
      </w:pPr>
    </w:p>
    <w:p w14:paraId="1B1412AE" w14:textId="77777777" w:rsidR="003D5DB4" w:rsidRPr="002E1B4B" w:rsidRDefault="003D5DB4" w:rsidP="000A5389">
      <w:pPr>
        <w:spacing w:line="240" w:lineRule="auto"/>
      </w:pPr>
      <w:r w:rsidRPr="002E1B4B">
        <w:t>Términos de calendario:</w:t>
      </w:r>
      <w:r w:rsidRPr="002E1B4B">
        <w:tab/>
        <w:t>La Etapa de Operación y Mantenimiento inició el 1 de octubre de 2020. Las tarifas de peaje se actualizan anualmente el 16 de enero, en el 2025 se aplicaron dos actualizaciones adicionales el 1 de enero y el 1 de abril, según la Resolución Número 20243040065055 del 31 de diciembre de 2024. Las actas trimestrales del Decreto 050 comprenden los periodos de julio a septiembre, octubre a diciembre de 2024, se reconocieron en el 2025. Así mismo las actas de enero a marzo de 2025 se reconocieron el 19-09-2025. Las actas trimestrales de Tarifas Diferenciales comprenden el periodo de julio a septiembre, octubre a diciembre de 2024, se reconocieron el 27-05-2025, así mismo enero a marzo de 2025, se reconocieron el 27-08-2025, abril a junio de 2025, se reconocieron el 27-11-2025 y julio-septiembre se reconocieron el 23-12-2025. El aporte ANI vigencia 2024 se realizó en dos fechas el 11-02-2025 y 07-03-2025, su capital se actualizo con las variables TRM e IPC de enero de 2025. Al corte del 31 de diciembre de 2025, se suscribieron actas de retribución hasta el mes de septiembre, y la Fiduciaria pago actas de agosto el 01-12-2025 y 25-12-2025.</w:t>
      </w:r>
    </w:p>
    <w:p w14:paraId="131C2D0A" w14:textId="77777777" w:rsidR="00B45E02" w:rsidRDefault="00B45E02" w:rsidP="000A5389">
      <w:pPr>
        <w:spacing w:line="240" w:lineRule="auto"/>
      </w:pPr>
    </w:p>
    <w:p w14:paraId="6C1D69C9" w14:textId="40A4F372" w:rsidR="003D5DB4" w:rsidRDefault="003D5DB4" w:rsidP="000A5389">
      <w:pPr>
        <w:spacing w:line="240" w:lineRule="auto"/>
      </w:pPr>
      <w:r w:rsidRPr="002E1B4B">
        <w:t>Términos de certeza de flujos de efectivo futuros: Mediante la Resolución No. 20243040065055 del 31 de diciembre de 2024, el Ministerio de Transporte estableció que, a partir del 1 de enero de 2025, las tarifas de peaje se incrementan en un 60% del ajuste pendiente correspondiente al IPC de 2023, y que el porcentaje restante para completar el ajuste total del 9,28% se aplica desde el 1 de abril de 2025. Adicionalmente, se definió que las tarifas de peaje se ajustarán anualmente el 16 de enero con base en el IPC certificado por el DANE del año inmediatamente anterior.</w:t>
      </w:r>
    </w:p>
    <w:p w14:paraId="6EB3425B" w14:textId="77777777" w:rsidR="00B45E02" w:rsidRPr="002E1B4B" w:rsidRDefault="00B45E02" w:rsidP="000A5389">
      <w:pPr>
        <w:spacing w:line="240" w:lineRule="auto"/>
      </w:pPr>
    </w:p>
    <w:p w14:paraId="3F703649" w14:textId="77777777" w:rsidR="003D5DB4" w:rsidRPr="002E1B4B" w:rsidRDefault="003D5DB4" w:rsidP="000A5389">
      <w:pPr>
        <w:spacing w:line="240" w:lineRule="auto"/>
      </w:pPr>
      <w:r w:rsidRPr="002E1B4B">
        <w:t>Naturaleza y alcance del derecho a utilizar Activos y los aspectos pactados en torno a lo que se espera que el concesionario proporcione en relación con el Acuerdo de concesión</w:t>
      </w:r>
    </w:p>
    <w:p w14:paraId="65894673" w14:textId="77777777" w:rsidR="00B45E02" w:rsidRDefault="00B45E02" w:rsidP="000A5389">
      <w:pPr>
        <w:spacing w:line="240" w:lineRule="auto"/>
      </w:pPr>
    </w:p>
    <w:p w14:paraId="4EDF6882" w14:textId="6E0589ED" w:rsidR="003D5DB4" w:rsidRPr="002E1B4B" w:rsidRDefault="003D5DB4" w:rsidP="000A5389">
      <w:pPr>
        <w:spacing w:line="240" w:lineRule="auto"/>
      </w:pPr>
      <w:r w:rsidRPr="002E1B4B">
        <w:t>Naturaleza y alcance del derecho de uso de los Activos</w:t>
      </w:r>
    </w:p>
    <w:p w14:paraId="3CBF1B5B" w14:textId="77777777" w:rsidR="00B45E02" w:rsidRDefault="00B45E02" w:rsidP="000A5389">
      <w:pPr>
        <w:spacing w:line="240" w:lineRule="auto"/>
      </w:pPr>
    </w:p>
    <w:p w14:paraId="6BB922D5" w14:textId="5E60A5A2" w:rsidR="003D5DB4" w:rsidRPr="002E1B4B" w:rsidRDefault="003D5DB4" w:rsidP="000A5389">
      <w:pPr>
        <w:spacing w:line="240" w:lineRule="auto"/>
      </w:pPr>
      <w:r w:rsidRPr="002E1B4B">
        <w:t>Descripción:</w:t>
      </w:r>
      <w:r w:rsidRPr="002E1B4B">
        <w:tab/>
        <w:t>En la Parte General, el numeral 3.3 regula los peajes, el derecho de recaudo y los ingresos por explotación comercial. La entrega de la infraestructura y la operación de las estaciones de peaje se encuentran reguladas en la Parte Especial, Capítulo III, Secciones 3.5(b) y 3.6.</w:t>
      </w:r>
    </w:p>
    <w:p w14:paraId="517379BE" w14:textId="77777777" w:rsidR="00B45E02" w:rsidRDefault="00B45E02" w:rsidP="000A5389">
      <w:pPr>
        <w:spacing w:line="240" w:lineRule="auto"/>
      </w:pPr>
    </w:p>
    <w:p w14:paraId="387A3CE4" w14:textId="0A89544B" w:rsidR="003D5DB4" w:rsidRPr="002E1B4B" w:rsidRDefault="003D5DB4" w:rsidP="000A5389">
      <w:pPr>
        <w:spacing w:line="240" w:lineRule="auto"/>
      </w:pPr>
      <w:r w:rsidRPr="002E1B4B">
        <w:t>Observaciones: No se tiene ninguna observación</w:t>
      </w:r>
    </w:p>
    <w:p w14:paraId="447EC5E1" w14:textId="77777777" w:rsidR="003D5DB4" w:rsidRPr="002E1B4B" w:rsidRDefault="003D5DB4" w:rsidP="000A5389">
      <w:pPr>
        <w:spacing w:line="240" w:lineRule="auto"/>
      </w:pPr>
      <w:r w:rsidRPr="002E1B4B">
        <w:t>Retribución al concesionario</w:t>
      </w:r>
    </w:p>
    <w:p w14:paraId="161C7DCE" w14:textId="77777777" w:rsidR="00B45E02" w:rsidRDefault="00B45E02" w:rsidP="000A5389">
      <w:pPr>
        <w:spacing w:line="240" w:lineRule="auto"/>
      </w:pPr>
    </w:p>
    <w:p w14:paraId="4E7A146A" w14:textId="56124637" w:rsidR="003D5DB4" w:rsidRPr="002E1B4B" w:rsidRDefault="003D5DB4" w:rsidP="000A5389">
      <w:pPr>
        <w:spacing w:line="240" w:lineRule="auto"/>
      </w:pPr>
      <w:r w:rsidRPr="002E1B4B">
        <w:t>Descripción: La Retribución al Concesionario, se encuentra en la Parte general 3.1 y 3.2 del Contrato de Concesión, así mismo hace parte el numeral 4.3 cálculo de la Retribución de la parte Especial del Contrato.</w:t>
      </w:r>
    </w:p>
    <w:p w14:paraId="1B456675" w14:textId="77777777" w:rsidR="00B45E02" w:rsidRDefault="00B45E02" w:rsidP="000A5389">
      <w:pPr>
        <w:spacing w:line="240" w:lineRule="auto"/>
      </w:pPr>
    </w:p>
    <w:p w14:paraId="3C6E11E1" w14:textId="5E1308CC" w:rsidR="003D5DB4" w:rsidRPr="002E1B4B" w:rsidRDefault="003D5DB4" w:rsidP="000A5389">
      <w:pPr>
        <w:spacing w:line="240" w:lineRule="auto"/>
      </w:pPr>
      <w:r w:rsidRPr="002E1B4B">
        <w:t>Tasa de retribución:</w:t>
      </w:r>
      <w:r w:rsidRPr="002E1B4B">
        <w:tab/>
        <w:t>La carga financiera se determina con base en la metodología definida en el modelo financiero contratado por la Agencia, correspondiendo a la tasa de cierre establecida en dicho modelo, orientada a mantener el equilibrio entre los recursos del proyecto y sus obligaciones financieras.</w:t>
      </w:r>
    </w:p>
    <w:p w14:paraId="357B08A9" w14:textId="77777777" w:rsidR="00B45E02" w:rsidRDefault="00B45E02" w:rsidP="000A5389">
      <w:pPr>
        <w:spacing w:line="240" w:lineRule="auto"/>
      </w:pPr>
    </w:p>
    <w:p w14:paraId="65B0C9BD" w14:textId="50786301" w:rsidR="003D5DB4" w:rsidRPr="002E1B4B" w:rsidRDefault="003D5DB4" w:rsidP="000A5389">
      <w:pPr>
        <w:spacing w:line="240" w:lineRule="auto"/>
      </w:pPr>
      <w:r w:rsidRPr="002E1B4B">
        <w:t>Derechos a recibir Activos especificados al final del acuerdo de concesión</w:t>
      </w:r>
    </w:p>
    <w:p w14:paraId="6DC46939" w14:textId="77777777" w:rsidR="00B45E02" w:rsidRDefault="00B45E02" w:rsidP="000A5389">
      <w:pPr>
        <w:spacing w:line="240" w:lineRule="auto"/>
      </w:pPr>
    </w:p>
    <w:p w14:paraId="4A38522B" w14:textId="4C08196E" w:rsidR="003D5DB4" w:rsidRPr="002E1B4B" w:rsidRDefault="003D5DB4" w:rsidP="000A5389">
      <w:pPr>
        <w:spacing w:line="240" w:lineRule="auto"/>
      </w:pPr>
      <w:r w:rsidRPr="002E1B4B">
        <w:t>Descripción: Está regulada en el Numeral 9.7 Etapa de Reversión del Contrato de Concesión.</w:t>
      </w:r>
    </w:p>
    <w:p w14:paraId="2C121134" w14:textId="77777777" w:rsidR="00B45E02" w:rsidRDefault="00B45E02" w:rsidP="000A5389">
      <w:pPr>
        <w:spacing w:line="240" w:lineRule="auto"/>
      </w:pPr>
    </w:p>
    <w:p w14:paraId="6DB514C9" w14:textId="2305AEDD" w:rsidR="003D5DB4" w:rsidRPr="002E1B4B" w:rsidRDefault="003D5DB4" w:rsidP="000A5389">
      <w:pPr>
        <w:spacing w:line="240" w:lineRule="auto"/>
      </w:pPr>
      <w:r w:rsidRPr="002E1B4B">
        <w:t>Observaciones: No se tiene ninguna observación</w:t>
      </w:r>
    </w:p>
    <w:p w14:paraId="1FDCBA35" w14:textId="77777777" w:rsidR="00B45E02" w:rsidRDefault="00B45E02" w:rsidP="000A5389">
      <w:pPr>
        <w:spacing w:line="240" w:lineRule="auto"/>
      </w:pPr>
    </w:p>
    <w:p w14:paraId="56EB42B4" w14:textId="4C2AC537" w:rsidR="003D5DB4" w:rsidRPr="002E1B4B" w:rsidRDefault="003D5DB4" w:rsidP="000A5389">
      <w:pPr>
        <w:spacing w:line="240" w:lineRule="auto"/>
      </w:pPr>
      <w:r w:rsidRPr="002E1B4B">
        <w:t>Las alternativas de renovación y cese del acuerdo</w:t>
      </w:r>
    </w:p>
    <w:p w14:paraId="41361A64" w14:textId="77777777" w:rsidR="00B45E02" w:rsidRDefault="00B45E02" w:rsidP="000A5389">
      <w:pPr>
        <w:spacing w:line="240" w:lineRule="auto"/>
      </w:pPr>
    </w:p>
    <w:p w14:paraId="1A6ACB95" w14:textId="71E033F4" w:rsidR="003D5DB4" w:rsidRPr="002E1B4B" w:rsidRDefault="003D5DB4" w:rsidP="000A5389">
      <w:pPr>
        <w:spacing w:line="240" w:lineRule="auto"/>
      </w:pPr>
      <w:r w:rsidRPr="002E1B4B">
        <w:t>Descripción: El Contrato regula el cese del acuerdo mediante las figuras de terminación anticipada, caducidad y terminación unilateral, conforme a lo dispuesto en los Capítulos XI y XVII. Así mismo, prevé la modificación del plazo contractual mediante otrosíes, de acuerdo con la Sección 19.10 del Capítulo XIX, sin contemplar renovación automática del contrato.</w:t>
      </w:r>
    </w:p>
    <w:p w14:paraId="0E10E4F4" w14:textId="77777777" w:rsidR="003D5DB4" w:rsidRDefault="003D5DB4" w:rsidP="000A5389">
      <w:pPr>
        <w:spacing w:line="240" w:lineRule="auto"/>
      </w:pPr>
      <w:r w:rsidRPr="002E1B4B">
        <w:t>Observaciones: No se tiene ninguna observación.</w:t>
      </w:r>
    </w:p>
    <w:p w14:paraId="206CADA0" w14:textId="77777777" w:rsidR="00B45E02" w:rsidRPr="002E1B4B" w:rsidRDefault="00B45E02" w:rsidP="000A5389">
      <w:pPr>
        <w:spacing w:line="240" w:lineRule="auto"/>
      </w:pPr>
    </w:p>
    <w:p w14:paraId="392C259B" w14:textId="77777777" w:rsidR="003D5DB4" w:rsidRPr="002E1B4B" w:rsidRDefault="003D5DB4" w:rsidP="000A5389">
      <w:pPr>
        <w:spacing w:line="240" w:lineRule="auto"/>
      </w:pPr>
      <w:r w:rsidRPr="002E1B4B">
        <w:t>Cambios en el acuerdo de concesión que se realicen durante el periodo fiscal</w:t>
      </w:r>
    </w:p>
    <w:p w14:paraId="2CBE98CB" w14:textId="77777777" w:rsidR="00B45E02" w:rsidRDefault="00B45E02" w:rsidP="000A5389">
      <w:pPr>
        <w:spacing w:line="240" w:lineRule="auto"/>
      </w:pPr>
    </w:p>
    <w:p w14:paraId="6DAB714A" w14:textId="044D839C" w:rsidR="003D5DB4" w:rsidRPr="002E1B4B" w:rsidRDefault="003D5DB4" w:rsidP="000A5389">
      <w:pPr>
        <w:spacing w:line="240" w:lineRule="auto"/>
      </w:pPr>
      <w:r w:rsidRPr="002E1B4B">
        <w:t>Adiciones o modificaciones en tiempo</w:t>
      </w:r>
    </w:p>
    <w:p w14:paraId="652616BF" w14:textId="77777777" w:rsidR="003D5DB4" w:rsidRPr="002E1B4B" w:rsidRDefault="003D5DB4" w:rsidP="000A5389">
      <w:pPr>
        <w:spacing w:line="240" w:lineRule="auto"/>
      </w:pPr>
      <w:r w:rsidRPr="002E1B4B">
        <w:t>Fechas de las adiciones o modificaciones: No aplica</w:t>
      </w:r>
    </w:p>
    <w:p w14:paraId="014388C3" w14:textId="77777777" w:rsidR="003D5DB4" w:rsidRPr="002E1B4B" w:rsidRDefault="003D5DB4" w:rsidP="000A5389">
      <w:pPr>
        <w:spacing w:line="240" w:lineRule="auto"/>
      </w:pPr>
      <w:r w:rsidRPr="002E1B4B">
        <w:t>Nueva Fecha de finalización estimada: No aplica</w:t>
      </w:r>
    </w:p>
    <w:p w14:paraId="16E25F7C" w14:textId="77777777" w:rsidR="003D5DB4" w:rsidRPr="002E1B4B" w:rsidRDefault="003D5DB4" w:rsidP="000A5389">
      <w:pPr>
        <w:spacing w:line="240" w:lineRule="auto"/>
      </w:pPr>
      <w:r w:rsidRPr="002E1B4B">
        <w:t>Observaciones: No se tiene ninguna observación.</w:t>
      </w:r>
    </w:p>
    <w:p w14:paraId="21DAA480" w14:textId="77777777" w:rsidR="00B45E02" w:rsidRDefault="00B45E02" w:rsidP="000A5389">
      <w:pPr>
        <w:spacing w:line="240" w:lineRule="auto"/>
      </w:pPr>
    </w:p>
    <w:p w14:paraId="0575C5D5" w14:textId="26F8622A" w:rsidR="003D5DB4" w:rsidRPr="002E1B4B" w:rsidRDefault="003D5DB4" w:rsidP="000A5389">
      <w:pPr>
        <w:spacing w:line="240" w:lineRule="auto"/>
      </w:pPr>
      <w:r w:rsidRPr="002E1B4B">
        <w:t>Adiciones o modificaciones en valor</w:t>
      </w:r>
    </w:p>
    <w:p w14:paraId="0EAC3552" w14:textId="77777777" w:rsidR="00B45E02" w:rsidRDefault="00B45E02" w:rsidP="000A5389">
      <w:pPr>
        <w:spacing w:line="240" w:lineRule="auto"/>
      </w:pPr>
    </w:p>
    <w:p w14:paraId="12333AAF" w14:textId="5BE581AA" w:rsidR="003D5DB4" w:rsidRPr="002E1B4B" w:rsidRDefault="003D5DB4" w:rsidP="000A5389">
      <w:pPr>
        <w:spacing w:line="240" w:lineRule="auto"/>
      </w:pPr>
      <w:r w:rsidRPr="002E1B4B">
        <w:t>Valor de la adición o modificación: No aplica</w:t>
      </w:r>
    </w:p>
    <w:p w14:paraId="525F138B" w14:textId="77777777" w:rsidR="003D5DB4" w:rsidRPr="002E1B4B" w:rsidRDefault="003D5DB4" w:rsidP="000A5389">
      <w:pPr>
        <w:spacing w:line="240" w:lineRule="auto"/>
      </w:pPr>
      <w:r w:rsidRPr="002E1B4B">
        <w:lastRenderedPageBreak/>
        <w:t>Nuevo valor del acuerdo: No aplica</w:t>
      </w:r>
    </w:p>
    <w:p w14:paraId="247D9407" w14:textId="77777777" w:rsidR="003D5DB4" w:rsidRPr="002E1B4B" w:rsidRDefault="003D5DB4" w:rsidP="000A5389">
      <w:pPr>
        <w:spacing w:line="240" w:lineRule="auto"/>
      </w:pPr>
      <w:r w:rsidRPr="002E1B4B">
        <w:t>Observaciones: No se tiene ninguna observación.</w:t>
      </w:r>
    </w:p>
    <w:p w14:paraId="00A48825" w14:textId="77777777" w:rsidR="003D5DB4" w:rsidRDefault="003D5DB4" w:rsidP="000A5389">
      <w:pPr>
        <w:spacing w:line="240" w:lineRule="auto"/>
      </w:pPr>
    </w:p>
    <w:p w14:paraId="5D62B91D" w14:textId="77777777" w:rsidR="00B45E02" w:rsidRPr="002E1B4B" w:rsidRDefault="00B45E02" w:rsidP="000A5389">
      <w:pPr>
        <w:spacing w:line="240" w:lineRule="auto"/>
      </w:pPr>
    </w:p>
    <w:p w14:paraId="43079E60" w14:textId="77777777" w:rsidR="003D5DB4" w:rsidRPr="00B45E02" w:rsidRDefault="003D5DB4" w:rsidP="000A5389">
      <w:pPr>
        <w:spacing w:line="240" w:lineRule="auto"/>
        <w:rPr>
          <w:i/>
          <w:iCs/>
        </w:rPr>
      </w:pPr>
      <w:r w:rsidRPr="00B45E02">
        <w:rPr>
          <w:i/>
          <w:iCs/>
        </w:rPr>
        <w:t>CORREDOR PERIMETRAL DEL ORIENTE DE CUNDINAMARCA</w:t>
      </w:r>
    </w:p>
    <w:p w14:paraId="3BAA8ADB" w14:textId="77777777" w:rsidR="00B45E02" w:rsidRDefault="00B45E02" w:rsidP="000A5389">
      <w:pPr>
        <w:spacing w:line="240" w:lineRule="auto"/>
      </w:pPr>
    </w:p>
    <w:p w14:paraId="1653A5CA" w14:textId="2F64735D" w:rsidR="003D5DB4" w:rsidRPr="002E1B4B" w:rsidRDefault="003D5DB4" w:rsidP="000A5389">
      <w:pPr>
        <w:spacing w:line="240" w:lineRule="auto"/>
      </w:pPr>
      <w:r w:rsidRPr="002E1B4B">
        <w:t>Descripción del Acuerdo</w:t>
      </w:r>
    </w:p>
    <w:p w14:paraId="77B860EA" w14:textId="77777777" w:rsidR="00B45E02" w:rsidRDefault="00B45E02" w:rsidP="000A5389">
      <w:pPr>
        <w:spacing w:line="240" w:lineRule="auto"/>
      </w:pPr>
    </w:p>
    <w:p w14:paraId="220BFE51" w14:textId="189DC5C2" w:rsidR="003D5DB4" w:rsidRPr="002E1B4B" w:rsidRDefault="003D5DB4" w:rsidP="000A5389">
      <w:pPr>
        <w:spacing w:line="240" w:lineRule="auto"/>
      </w:pPr>
      <w:r w:rsidRPr="002E1B4B">
        <w:t>Número del Acuerdo de concesión:  N.002 del 08 de septiembre de 2014</w:t>
      </w:r>
    </w:p>
    <w:p w14:paraId="41282B4A" w14:textId="77777777" w:rsidR="003D5DB4" w:rsidRPr="002E1B4B" w:rsidRDefault="003D5DB4" w:rsidP="000A5389">
      <w:pPr>
        <w:spacing w:line="240" w:lineRule="auto"/>
      </w:pPr>
      <w:r w:rsidRPr="002E1B4B">
        <w:t>Objeto / Descripción:  Otorgamiento de una Concesión para que de conformidad con lo previsto en el Contrato, el Concesionario, por su cuenta y riesgo, lleve a cabo el Proyecto. El alcance físico del Proyecto se describe en le Parte Especial y en el Apéndice técnico 1.</w:t>
      </w:r>
    </w:p>
    <w:p w14:paraId="3D1182C2" w14:textId="77777777" w:rsidR="003D5DB4" w:rsidRPr="002E1B4B" w:rsidRDefault="003D5DB4" w:rsidP="000A5389">
      <w:pPr>
        <w:spacing w:line="240" w:lineRule="auto"/>
      </w:pPr>
      <w:r w:rsidRPr="002E1B4B">
        <w:t>Valor inicial:</w:t>
      </w:r>
      <w:r w:rsidRPr="002E1B4B">
        <w:tab/>
        <w:t>$1.647.776.111.169 pesos de diciembre de 2012</w:t>
      </w:r>
    </w:p>
    <w:p w14:paraId="63D23440" w14:textId="77777777" w:rsidR="003D5DB4" w:rsidRPr="002E1B4B" w:rsidRDefault="003D5DB4" w:rsidP="000A5389">
      <w:pPr>
        <w:spacing w:line="240" w:lineRule="auto"/>
      </w:pPr>
      <w:r w:rsidRPr="002E1B4B">
        <w:t>Fecha de inicio: 19 de diciembre de 2014</w:t>
      </w:r>
    </w:p>
    <w:p w14:paraId="122B6B0C" w14:textId="77777777" w:rsidR="003D5DB4" w:rsidRPr="002E1B4B" w:rsidRDefault="003D5DB4" w:rsidP="000A5389">
      <w:pPr>
        <w:spacing w:line="240" w:lineRule="auto"/>
      </w:pPr>
      <w:r w:rsidRPr="002E1B4B">
        <w:t>Fecha de finalización estimada: 19/12/2024</w:t>
      </w:r>
    </w:p>
    <w:p w14:paraId="26B65F23" w14:textId="77777777" w:rsidR="003D5DB4" w:rsidRPr="002E1B4B" w:rsidRDefault="003D5DB4" w:rsidP="000A5389">
      <w:pPr>
        <w:spacing w:line="240" w:lineRule="auto"/>
      </w:pPr>
      <w:r w:rsidRPr="002E1B4B">
        <w:t>Tipo ID:</w:t>
      </w:r>
      <w:r w:rsidRPr="002E1B4B">
        <w:tab/>
        <w:t>NIT</w:t>
      </w:r>
    </w:p>
    <w:p w14:paraId="3D6C88E6" w14:textId="77777777" w:rsidR="003D5DB4" w:rsidRPr="002E1B4B" w:rsidRDefault="003D5DB4" w:rsidP="000A5389">
      <w:pPr>
        <w:spacing w:line="240" w:lineRule="auto"/>
      </w:pPr>
      <w:r w:rsidRPr="002E1B4B">
        <w:t>Número ID:</w:t>
      </w:r>
      <w:r w:rsidRPr="002E1B4B">
        <w:tab/>
        <w:t>900.761.657-8</w:t>
      </w:r>
    </w:p>
    <w:p w14:paraId="07CCA877" w14:textId="77777777" w:rsidR="003D5DB4" w:rsidRPr="002E1B4B" w:rsidRDefault="003D5DB4" w:rsidP="000A5389">
      <w:pPr>
        <w:spacing w:line="240" w:lineRule="auto"/>
      </w:pPr>
      <w:r w:rsidRPr="002E1B4B">
        <w:t>Razón social del concesionario: Perimetral Oriental de Bogotá S.A.S.</w:t>
      </w:r>
    </w:p>
    <w:p w14:paraId="51678697" w14:textId="77777777" w:rsidR="003D5DB4" w:rsidRPr="002E1B4B" w:rsidRDefault="003D5DB4" w:rsidP="000A5389">
      <w:pPr>
        <w:spacing w:line="240" w:lineRule="auto"/>
      </w:pPr>
      <w:r w:rsidRPr="002E1B4B">
        <w:t>Nombre del proyecto: Corredor Perimetral del Oriente de Cundinamarca</w:t>
      </w:r>
    </w:p>
    <w:p w14:paraId="0BA332E3" w14:textId="77777777" w:rsidR="003D5DB4" w:rsidRPr="002E1B4B" w:rsidRDefault="003D5DB4" w:rsidP="000A5389">
      <w:pPr>
        <w:spacing w:line="240" w:lineRule="auto"/>
      </w:pPr>
    </w:p>
    <w:p w14:paraId="0EE3F4C0" w14:textId="77777777" w:rsidR="003D5DB4" w:rsidRPr="002E1B4B" w:rsidRDefault="003D5DB4" w:rsidP="000A5389">
      <w:pPr>
        <w:spacing w:line="240" w:lineRule="auto"/>
      </w:pPr>
      <w:r w:rsidRPr="002E1B4B">
        <w:t>Términos significativos del Acuerdo que puedan afectar su valor, el calendario y la certeza de los flujos de efectivo futuros</w:t>
      </w:r>
    </w:p>
    <w:p w14:paraId="5C63F9FC" w14:textId="77777777" w:rsidR="00B45E02" w:rsidRDefault="00B45E02" w:rsidP="000A5389">
      <w:pPr>
        <w:spacing w:line="240" w:lineRule="auto"/>
      </w:pPr>
    </w:p>
    <w:p w14:paraId="5A312BC3" w14:textId="480BBE6C" w:rsidR="003D5DB4" w:rsidRDefault="003D5DB4" w:rsidP="000A5389">
      <w:pPr>
        <w:spacing w:line="240" w:lineRule="auto"/>
      </w:pPr>
      <w:r w:rsidRPr="002E1B4B">
        <w:t>Términos de valor: El valor del Contrato es de $1.647.776.111.169 a precios del mes de referencia definido en la Parte Especial 3.4• El mes de referencia es 31 diciembre de 2012• El valor presente ofertado está descontado a una tasa de descuento efectiva mensual del 0,5671%.• El Valor Presente de los Ingresos por Peajes (VPIP) está establecido de la siguiente forma: Valor Presente al Mes de Referencia del Recaudo de Peajes (VPIP</w:t>
      </w:r>
      <w:r w:rsidR="005E7D03" w:rsidRPr="002E1B4B">
        <w:t>): $</w:t>
      </w:r>
      <w:r w:rsidRPr="002E1B4B">
        <w:t xml:space="preserve">574.788.427.023 pesos del mes de referencia. Valor Presente al Mes de Referencia del recaudo de Peajes hasta el vencimiento del año ocho (8) contado desde la fecha de inicio (VPIP8): $198.625.240.698 pesos del mes de referencia. Valor Presente al Mes de Referencia del recaudo de Peajes hasta el vencimiento del año trece (13) contado desde la fecha de inicio (VPIP13): $337.067.100.597 pesos del mes de referencia. Valor Presente al Mes de Referencia del recaudo de Peajes hasta el vencimiento del año dieciocho (18) contado desde la fecha de inicio (VPIP18): $450.859.048.181 pesos del mes de referencia. El Contrato contempla que si al vencimiento del año 8 contado desde la fecha de inicio, el valor del VPIPm es inferior al VPIP8, la ANI pagará al Concesionario la diferencia (DR8) ponderada por el índice de cumplimiento promedio de acuerdo con las reglas definidas en la Parte General3.4 (b). El mismo procedimiento aplica para el cálculo y pago de la DR13, DR18 y al finalizar la etapa de Operación y Mantenimiento si el Concesionario no ha obtenido el VPIP. • El Apéndice Técnico No. 1 contempla las Estaciones de Peaje existentes La Cabaña y Patios y las Estaciones de Peaje nuevas: UF 1 Sopó – Salitre, UF 5 Ubaque y UF 3 Choachí – Límite Bogotá.• La estructura tarifaria se encuentra determinada en la Parte Especial 4.2 (a) y en la Resolución N. 1462 del 29 de mayo de 2014.• Las fuentes para el pago de la retribución o </w:t>
      </w:r>
      <w:r w:rsidRPr="002E1B4B">
        <w:lastRenderedPageBreak/>
        <w:t>Compensación especial (cuando aplique) son:- Aportes ANI- Recaudo de Peajes- Los ingresos por explotación comercial En cuanto a los Aportes ANI la Sección 1.16 del Contrato de Concesión Nº 002 de 2014 en su Parte General define los denominados "Aportes ANI”. En concordancia con lo anterior, el Contrato de Concesión en su Parte Especial, Sección 4.5 (d) "Subcuenta Aportes ANI”. El Recaudo neto de Peajes al cierre de diciembre de 2022 asciende a la suma de $193.311. 379.572,00 pesos corrientes. • Durante el año 2021 se pagaron al Concesionario 5 Actas de Compensación Especial por la no instalación del Peaje de Choachí por un valor total de $8.806.518.602,00. Teniendo en cuenta lo anterior, el recaudo neto en precios corrientes corresponde al valor de$202.117.898.174,00.• Durante el año 2022 los ingresos por explotación comercial fueron de $35.700.000 en los meses de marzo, abril y mayo de 2022.• La retribución inició en el mes de febrero de 2019 para la UF1 luego de firmada el Acta de Terminación.• Compensación Especial: Para las UF 2 y UF 3 se suscribió Acta de Terminación Parcial en los meses de octubre y noviembre de 2019, respectivamente, que dan lugar a las Actas de Compensación Especial de cada Unidad Funcional.• Luego de firmada el Acta de terminación para la Unidad Funcional 2, a partir del mes de agosto de 2021 se inició el pago de la retribución.• La distribución del CAPEX, OPEX y Mantenimiento Mayor se realiza de acuerdo con los valores del Anexo del cierre Financiero y se prorratea de acuerdo al valor del Contrato.</w:t>
      </w:r>
    </w:p>
    <w:p w14:paraId="43F14C3F" w14:textId="77777777" w:rsidR="005E7D03" w:rsidRPr="002E1B4B" w:rsidRDefault="005E7D03" w:rsidP="000A5389">
      <w:pPr>
        <w:spacing w:line="240" w:lineRule="auto"/>
      </w:pPr>
    </w:p>
    <w:p w14:paraId="2B68B2A8" w14:textId="77777777" w:rsidR="003D5DB4" w:rsidRDefault="003D5DB4" w:rsidP="000A5389">
      <w:pPr>
        <w:spacing w:line="240" w:lineRule="auto"/>
      </w:pPr>
      <w:r w:rsidRPr="002E1B4B">
        <w:t>Términos de calendario: El plazo del Contrato: 25 años• Plazo fase de preconstrucción: 360 días contados desde la fecha de inicio• Plazo fase de construcción: 1080 días (3 años) contados desde la fecha del Acta de Inicio de la fase de construcción.</w:t>
      </w:r>
    </w:p>
    <w:p w14:paraId="70785A24" w14:textId="77777777" w:rsidR="005E7D03" w:rsidRPr="002E1B4B" w:rsidRDefault="005E7D03" w:rsidP="000A5389">
      <w:pPr>
        <w:spacing w:line="240" w:lineRule="auto"/>
      </w:pPr>
    </w:p>
    <w:p w14:paraId="6A9A9033" w14:textId="77777777" w:rsidR="003D5DB4" w:rsidRPr="002E1B4B" w:rsidRDefault="003D5DB4" w:rsidP="000A5389">
      <w:pPr>
        <w:spacing w:line="240" w:lineRule="auto"/>
      </w:pPr>
      <w:r w:rsidRPr="002E1B4B">
        <w:t>Términos de certeza de flujos de efectivo futuros: De acuerdo con el cronograma de obras, la unidad funcional 3 se entregaría en el año 2023 con lo cual se liberarían los valores retenidos por concepto de Compensación Especial. Determinar la fecha exacta es incierto porque está supeditado al tema de peaje de Choachí, que requiere tramites de socialización. Respecto a las Unidades funcionales 4 y 5 depende de que se logren acuerdos entre las partes para poder llevar a cabo la construcción de las mismas.</w:t>
      </w:r>
    </w:p>
    <w:p w14:paraId="469AE512" w14:textId="77777777" w:rsidR="003D5DB4" w:rsidRPr="002E1B4B" w:rsidRDefault="003D5DB4" w:rsidP="000A5389">
      <w:pPr>
        <w:spacing w:line="240" w:lineRule="auto"/>
      </w:pPr>
    </w:p>
    <w:p w14:paraId="3F52B6A3" w14:textId="77777777" w:rsidR="003D5DB4" w:rsidRDefault="003D5DB4" w:rsidP="000A5389">
      <w:pPr>
        <w:spacing w:line="240" w:lineRule="auto"/>
      </w:pPr>
      <w:r w:rsidRPr="002E1B4B">
        <w:t>Naturaleza y alcance del derecho a utilizar Activos y los aspectos pactados en torno a lo que se espera que el concesionario proporcione en relación con el Acuerdo de concesión</w:t>
      </w:r>
    </w:p>
    <w:p w14:paraId="76DDE321" w14:textId="77777777" w:rsidR="005E7D03" w:rsidRPr="002E1B4B" w:rsidRDefault="005E7D03" w:rsidP="000A5389">
      <w:pPr>
        <w:spacing w:line="240" w:lineRule="auto"/>
      </w:pPr>
    </w:p>
    <w:p w14:paraId="63354F8C" w14:textId="77777777" w:rsidR="003D5DB4" w:rsidRDefault="003D5DB4" w:rsidP="000A5389">
      <w:pPr>
        <w:spacing w:line="240" w:lineRule="auto"/>
      </w:pPr>
      <w:r w:rsidRPr="002E1B4B">
        <w:t>Naturaleza y alcance del derecho de uso de los Activos</w:t>
      </w:r>
    </w:p>
    <w:p w14:paraId="1BCC348E" w14:textId="77777777" w:rsidR="005E7D03" w:rsidRPr="002E1B4B" w:rsidRDefault="005E7D03" w:rsidP="000A5389">
      <w:pPr>
        <w:spacing w:line="240" w:lineRule="auto"/>
      </w:pPr>
    </w:p>
    <w:p w14:paraId="0F39A0E1" w14:textId="77777777" w:rsidR="003D5DB4" w:rsidRPr="002E1B4B" w:rsidRDefault="003D5DB4" w:rsidP="000A5389">
      <w:pPr>
        <w:spacing w:line="240" w:lineRule="auto"/>
      </w:pPr>
      <w:r w:rsidRPr="002E1B4B">
        <w:t xml:space="preserve">Descripción: El Proyecto de Concesión corredor Perimetral de Oriente de Cundinamarca, con una longitud aproximada de 152,24 Km de origen - destino, se enmarca en el departamento de Cundinamarca y conformará una alternativa de movilidad que conecta la Autopista Norte de Bogotá (vía Bogotá - Tunja) con la vía Bogotá – Villavicencio, discurriendo por el oriente de Bogotá, interconectando las vías Sopó- Salitre, Salitre – Guasca, Salitre – La Calera, Guasca – Sesquilé, Patios – La Calera, Límite Bogotá – Choachí, La Calera- Choachí y Choachí - Cáqueza, favoreciendo la movilidad local entre los Municipios de Sopó, La Calera, Guasca, Guatavita, Sesquilé, Choachí, Ubaque y Cáqueza, facilitando el comercio y el transporte entre el norte del país y Villavicencio y demás </w:t>
      </w:r>
      <w:r w:rsidRPr="002E1B4B">
        <w:lastRenderedPageBreak/>
        <w:t>Municipios del Oriente Colombiano. Geográficamente se encuentra ubicado en el centro occidente del país, conforma la unión e integración del tráfico del largo recorrido proveniente del norte del país, hacia el oriente, favoreciendo especialmente los departamentos de Cundinamarca, Boyacá y Meta.</w:t>
      </w:r>
    </w:p>
    <w:p w14:paraId="30DD843F" w14:textId="77777777" w:rsidR="003D5DB4" w:rsidRPr="002E1B4B" w:rsidRDefault="003D5DB4" w:rsidP="000A5389">
      <w:pPr>
        <w:spacing w:line="240" w:lineRule="auto"/>
      </w:pPr>
    </w:p>
    <w:p w14:paraId="3D273AAE" w14:textId="77777777" w:rsidR="003D5DB4" w:rsidRPr="002E1B4B" w:rsidRDefault="003D5DB4" w:rsidP="000A5389">
      <w:pPr>
        <w:spacing w:line="240" w:lineRule="auto"/>
      </w:pPr>
      <w:r w:rsidRPr="002E1B4B">
        <w:t>Observaciones:</w:t>
      </w:r>
      <w:r w:rsidRPr="002E1B4B">
        <w:tab/>
      </w:r>
    </w:p>
    <w:p w14:paraId="6398D806" w14:textId="77777777" w:rsidR="005E7D03" w:rsidRDefault="005E7D03" w:rsidP="000A5389">
      <w:pPr>
        <w:spacing w:line="240" w:lineRule="auto"/>
      </w:pPr>
    </w:p>
    <w:p w14:paraId="2502FE3A" w14:textId="0408E07D" w:rsidR="003D5DB4" w:rsidRPr="002E1B4B" w:rsidRDefault="003D5DB4" w:rsidP="000A5389">
      <w:pPr>
        <w:spacing w:line="240" w:lineRule="auto"/>
      </w:pPr>
      <w:r w:rsidRPr="002E1B4B">
        <w:t>Retribución al concesionario</w:t>
      </w:r>
    </w:p>
    <w:p w14:paraId="31780AC4" w14:textId="77777777" w:rsidR="005E7D03" w:rsidRDefault="005E7D03" w:rsidP="000A5389">
      <w:pPr>
        <w:spacing w:line="240" w:lineRule="auto"/>
      </w:pPr>
    </w:p>
    <w:p w14:paraId="7EDFC8D0" w14:textId="79A45C5B" w:rsidR="003D5DB4" w:rsidRPr="002E1B4B" w:rsidRDefault="003D5DB4" w:rsidP="000A5389">
      <w:pPr>
        <w:spacing w:line="240" w:lineRule="auto"/>
      </w:pPr>
      <w:r w:rsidRPr="002E1B4B">
        <w:t>Descripción: Descripción: El Numeral 1.138 del Capítulo I del Contrato de Concesión, establece que: "1.138 "Retribución ”“Se refiere a la contraprestación económica a la que tiene derecho el Concesionario en los términos de la Sección 3.1 de esta Parte General. El reconocimiento de la Retribución — y de la Compensación Especial, cuando sea aplicable- se verificará mediante los traslados entre las subcuentas del Patrimonio Autónomo a los que se refiere dicha Sección. En el caso en que el Concesionario decida instrumentar mecanismos de financiación a través de uno o varios Patrimonios Autónomos-Deuda, incluido el mecanismo previsto en el Apéndice Financiero 2, el reconocimiento de la Retribución se verificará mediante el traslado de las subcuentas del Patrimonio Autónomo que correspondan, de conformidad con este Contrato, a dicho(s) Patrimonio(s) Autónomo(s)-Deuda. El reconocimiento de la Retribución —y de la Compensación Especial, cuando sea aplicable- también se podrá efectuar mediante el traslado de recursos directamente a los Cesionarios Especiales, tal y como se prevé en el Apéndice Financiero 2”.De conformidad con el Numeral 3.1, del Literal (b) de la Parte General del Contrato de Concesión, las Fuentes para el pago de la Retribución del Concesionario son las siguientes: (i) Aportes ANI, (ii) Recaudo de Peajes y (iii) los Ingresos por Explotación Comercial.</w:t>
      </w:r>
    </w:p>
    <w:p w14:paraId="6A27DA48" w14:textId="77777777" w:rsidR="003D5DB4" w:rsidRPr="002E1B4B" w:rsidRDefault="003D5DB4" w:rsidP="000A5389">
      <w:pPr>
        <w:spacing w:line="240" w:lineRule="auto"/>
      </w:pPr>
      <w:r w:rsidRPr="002E1B4B">
        <w:t>Tasa de retribución:</w:t>
      </w:r>
      <w:r w:rsidRPr="002E1B4B">
        <w:tab/>
        <w:t>Tasa de Descuento Real (TDI): 0,5671% expresada en términos efectivos mensuales</w:t>
      </w:r>
    </w:p>
    <w:p w14:paraId="15EDECC7" w14:textId="77777777" w:rsidR="003D5DB4" w:rsidRPr="002E1B4B" w:rsidRDefault="003D5DB4" w:rsidP="000A5389">
      <w:pPr>
        <w:spacing w:line="240" w:lineRule="auto"/>
      </w:pPr>
    </w:p>
    <w:p w14:paraId="63A141FE" w14:textId="77777777" w:rsidR="003D5DB4" w:rsidRPr="002E1B4B" w:rsidRDefault="003D5DB4" w:rsidP="000A5389">
      <w:pPr>
        <w:spacing w:line="240" w:lineRule="auto"/>
      </w:pPr>
      <w:r w:rsidRPr="002E1B4B">
        <w:t>Derechos a recibir Activos especificados al final del acuerdo de concesión</w:t>
      </w:r>
    </w:p>
    <w:p w14:paraId="29DC0DE9" w14:textId="77777777" w:rsidR="005E7D03" w:rsidRDefault="005E7D03" w:rsidP="000A5389">
      <w:pPr>
        <w:spacing w:line="240" w:lineRule="auto"/>
      </w:pPr>
    </w:p>
    <w:p w14:paraId="3C6D93DA" w14:textId="6541D6D8" w:rsidR="003D5DB4" w:rsidRPr="002E1B4B" w:rsidRDefault="003D5DB4" w:rsidP="000A5389">
      <w:pPr>
        <w:spacing w:line="240" w:lineRule="auto"/>
      </w:pPr>
      <w:r w:rsidRPr="002E1B4B">
        <w:t>Descripción:</w:t>
      </w:r>
      <w:r w:rsidRPr="002E1B4B">
        <w:tab/>
        <w:t xml:space="preserve">Según el numeral 1.139 “Reversión” del CAPITULO I Definiciones de la Parte General, estipulada lo siguiente: Corresponde al procedimiento señalado en la sección 9.7 de esta Parte General, mediante el cual el Concesionario entrega los bienes asociados al proyecto a la ANI para dar por terminado el contrato. (…)(b) Sin perjuicio de las obligaciones que le asiste al Concesionario en cuanto a la ejecución de las intervenciones, las obligaciones de operación y las obras de mantenimiento a que se refiere el contrato, se entenderá que la ANI se hará propietaria de las obras que conforman el proyecto de su ejecución, incluyendo, además, pero sin limitarse, las Estaciones de Peaje y Estaciones de Pesaje, y la totalidad de los bienes muebles o inmuebles por destinación o adhesión que se encuentren en las mismas. El Concesionario conservará la mera tenencia de estos bienes para efectos del cumplimiento del Contrato y será responsable de la guarda material y jurídica de los bienes que conforman el Proyecto.(c) Estos bienes de propiedad de la ANI, y, en general, todos los bienes inmuebles con todas sus anexidades y los equipos, software y demás activos que hacen parte del Proyecto, serán entregados a la ANI en las condiciones señaladas en el Apéndice Técnico 2 </w:t>
      </w:r>
      <w:r w:rsidRPr="002E1B4B">
        <w:lastRenderedPageBreak/>
        <w:t>al momento de la terminación de la Etapa de Reversión. (…)Construcción: Cuándo concluya la Etapa de Operación y Mantenimiento o cuando el Contrato se termine anticipadamente, todas las obras y bienes de la Concesión, incluyendo los predios del Corredor del Proyecto y las obras civiles (calzadas, separadores, intersecciones, estructuras, obras de drenaje, obras de arte y señales), las Estaciones de Peaje y sus equipos, las Estaciones de Pesaje y sus equipos, el Centro de Control de Operación y sus equipos, las Bases de Operación (uno o los que haya), las Áreas de Servicio, todos los automotores y equipos instalados para la Operación del Proyecto, incluyendo equipos y software de computación, equipos de telecomunicaciones, red de fibra óptica, los entregados a la Policía de Carreteras, los equipos de rescate, los elementos de Traslado Asistencial Médico (TAM) y cualquier otra obra y bien que forme parte de la concesión, deberán ser entregados a la ANI sin costo alguno y libre de todo gravamen. Operación y Mantenimiento. Él estado de las obras y bienes al momento de entregar la obra deberá ser el siguiente: - Indicadores: Al momento de la Terminación del Contrato el Concesionario deberá cumplir con los Valores Mínimos de Aceptación de los Indicadores incluidos en el Apéndice Técnico 4. - Pavimentos: Sin perjuicio del cumplimiento de los demás indicadores, al momento de la terminación del Contrato, los pavimentos deberán contar al menos con el índice de deflexión que se indica en el Apéndice Técnico 4 como valor mínimo de aceptación para el Indicador de Capacidad Estructural E16.- Equipos: Todos los equipos entregados deberán operar por lo menos durante cinco (5) años más sin necesidad de reposición, a excepción de los vehículos automotores que deberán tener una vida útil de tres (3) años como mínimo.</w:t>
      </w:r>
    </w:p>
    <w:p w14:paraId="4E4B2F6D" w14:textId="77777777" w:rsidR="005E7D03" w:rsidRDefault="005E7D03" w:rsidP="000A5389">
      <w:pPr>
        <w:spacing w:line="240" w:lineRule="auto"/>
      </w:pPr>
    </w:p>
    <w:p w14:paraId="52CDDF39" w14:textId="45EA7304" w:rsidR="003D5DB4" w:rsidRPr="002E1B4B" w:rsidRDefault="003D5DB4" w:rsidP="000A5389">
      <w:pPr>
        <w:spacing w:line="240" w:lineRule="auto"/>
      </w:pPr>
      <w:r w:rsidRPr="002E1B4B">
        <w:t>Observaciones: El estado de las obras y bienes al momento de entregar la obra deberá ser el siguiente: Al momento de la Terminación del Contrato el Concesionario deberá cumplir con los Valores Mínimos de Aceptación de los Indicadores incluidos en el Apéndice Técnico 4.</w:t>
      </w:r>
    </w:p>
    <w:p w14:paraId="3EF95D0E" w14:textId="77777777" w:rsidR="003D5DB4" w:rsidRPr="002E1B4B" w:rsidRDefault="003D5DB4" w:rsidP="000A5389">
      <w:pPr>
        <w:spacing w:line="240" w:lineRule="auto"/>
      </w:pPr>
    </w:p>
    <w:p w14:paraId="7F73C9A2" w14:textId="77777777" w:rsidR="003D5DB4" w:rsidRPr="002E1B4B" w:rsidRDefault="003D5DB4" w:rsidP="000A5389">
      <w:pPr>
        <w:spacing w:line="240" w:lineRule="auto"/>
      </w:pPr>
      <w:r w:rsidRPr="002E1B4B">
        <w:t>Las alternativas de renovación y cese del acuerdo</w:t>
      </w:r>
    </w:p>
    <w:p w14:paraId="18F68F76" w14:textId="77777777" w:rsidR="005E7D03" w:rsidRDefault="005E7D03" w:rsidP="000A5389">
      <w:pPr>
        <w:spacing w:line="240" w:lineRule="auto"/>
      </w:pPr>
    </w:p>
    <w:p w14:paraId="180B4D1B" w14:textId="7A0E7DA1" w:rsidR="003D5DB4" w:rsidRPr="002E1B4B" w:rsidRDefault="003D5DB4" w:rsidP="000A5389">
      <w:pPr>
        <w:spacing w:line="240" w:lineRule="auto"/>
      </w:pPr>
      <w:r w:rsidRPr="002E1B4B">
        <w:t xml:space="preserve">Descripción: El Contrato terminará cuando finalice la Etapa de Reversión, lo cual ocurrirá a más tardar al vencimiento del plazo máximo de la etapa de reversión. Parte General Sección 17.2 Causales de Terminación Anticipada del Contrato El presente Contrato terminará de manera anticipada en los siguientes casos:(a) Por las siguientes causas imputables al Concesionario en cualquiera de las Etapas del Contrato:(i) Por declaración de Caducidad del Contrato.(ii) Por declaratoria de Terminación Unilateral, a menos que ésta se deba a la aplicación del numeral 1º del artículo 17 de la Ley 80 de 1993, caso en el cual no se entenderá que la causal es, necesariamente, imputable al Concesionario.(b) Por las siguientes causas no imputables a ninguna de las Partes, en cualquiera de las Etapas del Contrato:(i) Por solicitud de cualquiera de las Partes por la ocurrencia de un Evento Eximente de Responsabilidad cuya duración supere noventa (90) Días y se haya paralizado la ejecución del Contrato en su totalidad. Esta estipulación también será aplicable cuando las Partes (o el Amigable Componedor, en caso de desacuerdo) concluyan que las obligaciones afectadas por un Evento Eximente de Responsabilidad son de tal importancia que hayan conducido a la suspensión total del plazo contractual, en los términos previstos en la Sección 14.2(f)(ii) de esta Parte General.(ii) Por declaratoria de Terminación Unilateral con base en la aplicación del numeral </w:t>
      </w:r>
      <w:r w:rsidRPr="002E1B4B">
        <w:lastRenderedPageBreak/>
        <w:t>1º del artículo 17 de la Ley 80 de 1993.(iii) Por solicitud de cualquiera de las Partes ante la ocurrencia del evento previsto en las Secciones 8.1(g) y 14.2 (g)(ii) de esta Parte General. (c) Por solicitud del Concesionario si se presenta mora superior a sesenta (60) días en el pago de cualquier obligación dineraria a cargo de la ANI, siempre que el valor pendiente de pago sea superior al definido en la Parte Especial. Se entenderá que hay mora de la ANI solo desde cuando, de conformidad con este contrato, procedan intereses de mora, de acuerdo con lo previsto en la Sección 3.6 de esta Parte General.(d) Por decisión unilateral de la ANI de acuerdo con la autorización dada por el artículo 32 de la Ley 1508 de 2012.</w:t>
      </w:r>
    </w:p>
    <w:p w14:paraId="0499C507" w14:textId="77777777" w:rsidR="003D5DB4" w:rsidRPr="002E1B4B" w:rsidRDefault="003D5DB4" w:rsidP="000A5389">
      <w:pPr>
        <w:spacing w:line="240" w:lineRule="auto"/>
      </w:pPr>
    </w:p>
    <w:p w14:paraId="1A284435" w14:textId="77777777" w:rsidR="003D5DB4" w:rsidRPr="002E1B4B" w:rsidRDefault="003D5DB4" w:rsidP="000A5389">
      <w:pPr>
        <w:spacing w:line="240" w:lineRule="auto"/>
      </w:pPr>
      <w:r w:rsidRPr="002E1B4B">
        <w:t>Observaciones: La Terminación Anticipada del Contrato, se regula mediante la información descrita en la Sección 17.2 de la Parte General y las fórmulas de liquidación en la Sección 18.3 de la Parte General.</w:t>
      </w:r>
    </w:p>
    <w:p w14:paraId="15CD749B" w14:textId="77777777" w:rsidR="003D5DB4" w:rsidRPr="002E1B4B" w:rsidRDefault="003D5DB4" w:rsidP="000A5389">
      <w:pPr>
        <w:spacing w:line="240" w:lineRule="auto"/>
      </w:pPr>
    </w:p>
    <w:p w14:paraId="05FF1F80" w14:textId="77777777" w:rsidR="003D5DB4" w:rsidRPr="002E1B4B" w:rsidRDefault="003D5DB4" w:rsidP="000A5389">
      <w:pPr>
        <w:spacing w:line="240" w:lineRule="auto"/>
      </w:pPr>
      <w:r w:rsidRPr="002E1B4B">
        <w:t>Cambios en el acuerdo de concesión que se realicen durante el periodo fiscal</w:t>
      </w:r>
    </w:p>
    <w:p w14:paraId="5801B69D" w14:textId="77777777" w:rsidR="005E7D03" w:rsidRDefault="005E7D03" w:rsidP="000A5389">
      <w:pPr>
        <w:spacing w:line="240" w:lineRule="auto"/>
      </w:pPr>
    </w:p>
    <w:p w14:paraId="27682607" w14:textId="356753AC" w:rsidR="003D5DB4" w:rsidRPr="002E1B4B" w:rsidRDefault="003D5DB4" w:rsidP="000A5389">
      <w:pPr>
        <w:spacing w:line="240" w:lineRule="auto"/>
      </w:pPr>
      <w:r w:rsidRPr="002E1B4B">
        <w:t>Adiciones o modificaciones en tiempo</w:t>
      </w:r>
    </w:p>
    <w:p w14:paraId="61879AAE" w14:textId="77777777" w:rsidR="003D5DB4" w:rsidRPr="002E1B4B" w:rsidRDefault="003D5DB4" w:rsidP="000A5389">
      <w:pPr>
        <w:spacing w:line="240" w:lineRule="auto"/>
      </w:pPr>
      <w:r w:rsidRPr="002E1B4B">
        <w:t>Fechas de las adiciones o modificaciones: N/A</w:t>
      </w:r>
    </w:p>
    <w:p w14:paraId="2A45F1A2" w14:textId="77777777" w:rsidR="003D5DB4" w:rsidRPr="002E1B4B" w:rsidRDefault="003D5DB4" w:rsidP="000A5389">
      <w:pPr>
        <w:spacing w:line="240" w:lineRule="auto"/>
      </w:pPr>
      <w:r w:rsidRPr="002E1B4B">
        <w:t>Nueva Fecha de finalización estimada: N/A</w:t>
      </w:r>
    </w:p>
    <w:p w14:paraId="5853A752" w14:textId="77777777" w:rsidR="003D5DB4" w:rsidRPr="002E1B4B" w:rsidRDefault="003D5DB4" w:rsidP="000A5389">
      <w:pPr>
        <w:spacing w:line="240" w:lineRule="auto"/>
      </w:pPr>
      <w:r w:rsidRPr="002E1B4B">
        <w:t>Observaciones: N/A</w:t>
      </w:r>
    </w:p>
    <w:p w14:paraId="05F9166E" w14:textId="77777777" w:rsidR="005E7D03" w:rsidRDefault="005E7D03" w:rsidP="000A5389">
      <w:pPr>
        <w:spacing w:line="240" w:lineRule="auto"/>
      </w:pPr>
    </w:p>
    <w:p w14:paraId="1C46DBF8" w14:textId="54C789AA" w:rsidR="003D5DB4" w:rsidRPr="002E1B4B" w:rsidRDefault="003D5DB4" w:rsidP="000A5389">
      <w:pPr>
        <w:spacing w:line="240" w:lineRule="auto"/>
      </w:pPr>
      <w:r w:rsidRPr="002E1B4B">
        <w:t>Adiciones o modificaciones en valor</w:t>
      </w:r>
    </w:p>
    <w:p w14:paraId="46BED32C" w14:textId="77777777" w:rsidR="005E7D03" w:rsidRDefault="005E7D03" w:rsidP="000A5389">
      <w:pPr>
        <w:spacing w:line="240" w:lineRule="auto"/>
      </w:pPr>
    </w:p>
    <w:p w14:paraId="65717123" w14:textId="3FDE1B01" w:rsidR="003D5DB4" w:rsidRPr="002E1B4B" w:rsidRDefault="003D5DB4" w:rsidP="000A5389">
      <w:pPr>
        <w:spacing w:line="240" w:lineRule="auto"/>
      </w:pPr>
      <w:r w:rsidRPr="002E1B4B">
        <w:t>Valor de la adición o modificación: N/A</w:t>
      </w:r>
    </w:p>
    <w:p w14:paraId="4C0E46D2" w14:textId="77777777" w:rsidR="003D5DB4" w:rsidRPr="002E1B4B" w:rsidRDefault="003D5DB4" w:rsidP="000A5389">
      <w:pPr>
        <w:spacing w:line="240" w:lineRule="auto"/>
      </w:pPr>
      <w:r w:rsidRPr="002E1B4B">
        <w:t>Nuevo valor del acuerdo: N/A</w:t>
      </w:r>
    </w:p>
    <w:p w14:paraId="5ABFD0D6" w14:textId="77777777" w:rsidR="003D5DB4" w:rsidRPr="002E1B4B" w:rsidRDefault="003D5DB4" w:rsidP="000A5389">
      <w:pPr>
        <w:spacing w:line="240" w:lineRule="auto"/>
      </w:pPr>
      <w:r w:rsidRPr="002E1B4B">
        <w:t>Observaciones: N/A</w:t>
      </w:r>
    </w:p>
    <w:p w14:paraId="0BBB86D3" w14:textId="77777777" w:rsidR="003D5DB4" w:rsidRDefault="003D5DB4" w:rsidP="000A5389">
      <w:pPr>
        <w:spacing w:line="240" w:lineRule="auto"/>
      </w:pPr>
    </w:p>
    <w:p w14:paraId="30FE8CE9" w14:textId="77777777" w:rsidR="005E7D03" w:rsidRPr="002E1B4B" w:rsidRDefault="005E7D03" w:rsidP="000A5389">
      <w:pPr>
        <w:spacing w:line="240" w:lineRule="auto"/>
      </w:pPr>
    </w:p>
    <w:p w14:paraId="34300167" w14:textId="77777777" w:rsidR="003D5DB4" w:rsidRPr="005E7D03" w:rsidRDefault="003D5DB4" w:rsidP="000A5389">
      <w:pPr>
        <w:spacing w:line="240" w:lineRule="auto"/>
        <w:rPr>
          <w:i/>
          <w:iCs/>
        </w:rPr>
      </w:pPr>
      <w:r w:rsidRPr="005E7D03">
        <w:rPr>
          <w:i/>
          <w:iCs/>
        </w:rPr>
        <w:t>RUTA DEL SOL – SECTOR 3</w:t>
      </w:r>
    </w:p>
    <w:p w14:paraId="01C7059A" w14:textId="77777777" w:rsidR="005E7D03" w:rsidRDefault="005E7D03" w:rsidP="000A5389">
      <w:pPr>
        <w:spacing w:line="240" w:lineRule="auto"/>
      </w:pPr>
    </w:p>
    <w:p w14:paraId="30B2A176" w14:textId="2E1F4C83" w:rsidR="003D5DB4" w:rsidRPr="002E1B4B" w:rsidRDefault="003D5DB4" w:rsidP="000A5389">
      <w:pPr>
        <w:spacing w:line="240" w:lineRule="auto"/>
      </w:pPr>
      <w:r w:rsidRPr="002E1B4B">
        <w:t>Descripción del Acuerdo</w:t>
      </w:r>
    </w:p>
    <w:p w14:paraId="4FE90BED" w14:textId="77777777" w:rsidR="003D5DB4" w:rsidRPr="002E1B4B" w:rsidRDefault="003D5DB4" w:rsidP="000A5389">
      <w:pPr>
        <w:spacing w:line="240" w:lineRule="auto"/>
      </w:pPr>
      <w:r w:rsidRPr="002E1B4B">
        <w:t>Número del Acuerdo de concesión:  N°007 de 2010</w:t>
      </w:r>
    </w:p>
    <w:p w14:paraId="3A7B57B1" w14:textId="77777777" w:rsidR="003D5DB4" w:rsidRPr="002E1B4B" w:rsidRDefault="003D5DB4" w:rsidP="000A5389">
      <w:pPr>
        <w:spacing w:line="240" w:lineRule="auto"/>
      </w:pPr>
      <w:r w:rsidRPr="002E1B4B">
        <w:t>Objeto / Descripción:  El otorgamiento de una concesión para que de conformidad con lo previsto en el número 4 del artículo 32 de la Ley 80 de 1993, el concesionario, por su cuenta y riesgo elabore los diseños, financie, obtenga las licencias ambientales y demás permisos, adquiera los predios, rehabilite, construya, mejore, opere y mantenga el sector, que es el trayecto comprendido entre San Roque- Yé de Ciénaga y Valledupar-Carmen de Bolívar.</w:t>
      </w:r>
    </w:p>
    <w:p w14:paraId="28DFFDEA" w14:textId="77777777" w:rsidR="003D5DB4" w:rsidRPr="002E1B4B" w:rsidRDefault="003D5DB4" w:rsidP="000A5389">
      <w:pPr>
        <w:spacing w:line="240" w:lineRule="auto"/>
      </w:pPr>
      <w:r w:rsidRPr="002E1B4B">
        <w:t>Valor inicial:</w:t>
      </w:r>
      <w:r w:rsidRPr="002E1B4B">
        <w:tab/>
        <w:t>$2.079.953.179.851 constantes del 31 de diciembre de 2008.</w:t>
      </w:r>
    </w:p>
    <w:p w14:paraId="341CC0F7" w14:textId="77777777" w:rsidR="003D5DB4" w:rsidRPr="002E1B4B" w:rsidRDefault="003D5DB4" w:rsidP="000A5389">
      <w:pPr>
        <w:spacing w:line="240" w:lineRule="auto"/>
      </w:pPr>
      <w:r w:rsidRPr="002E1B4B">
        <w:t>Fecha de inicio: 1/06/2011</w:t>
      </w:r>
    </w:p>
    <w:p w14:paraId="4E239E18" w14:textId="77777777" w:rsidR="003D5DB4" w:rsidRPr="002E1B4B" w:rsidRDefault="003D5DB4" w:rsidP="000A5389">
      <w:pPr>
        <w:spacing w:line="240" w:lineRule="auto"/>
      </w:pPr>
      <w:r w:rsidRPr="002E1B4B">
        <w:t>Fecha de finalización estimada: 31/05/2036</w:t>
      </w:r>
    </w:p>
    <w:p w14:paraId="4774DACE" w14:textId="77777777" w:rsidR="003D5DB4" w:rsidRPr="002E1B4B" w:rsidRDefault="003D5DB4" w:rsidP="000A5389">
      <w:pPr>
        <w:spacing w:line="240" w:lineRule="auto"/>
      </w:pPr>
      <w:r w:rsidRPr="002E1B4B">
        <w:t>Tipo ID: NIT</w:t>
      </w:r>
    </w:p>
    <w:p w14:paraId="68FAF3BD" w14:textId="77777777" w:rsidR="003D5DB4" w:rsidRPr="002E1B4B" w:rsidRDefault="003D5DB4" w:rsidP="000A5389">
      <w:pPr>
        <w:spacing w:line="240" w:lineRule="auto"/>
      </w:pPr>
      <w:r w:rsidRPr="002E1B4B">
        <w:t>Número ID: 900.373.090-2</w:t>
      </w:r>
    </w:p>
    <w:p w14:paraId="7E6590DE" w14:textId="77777777" w:rsidR="003D5DB4" w:rsidRPr="002E1B4B" w:rsidRDefault="003D5DB4" w:rsidP="000A5389">
      <w:pPr>
        <w:spacing w:line="240" w:lineRule="auto"/>
      </w:pPr>
      <w:r w:rsidRPr="002E1B4B">
        <w:t>Razón social del concesionario: Yuma Concesionaria S.A. en Reorganización</w:t>
      </w:r>
    </w:p>
    <w:p w14:paraId="1973947B" w14:textId="77777777" w:rsidR="003D5DB4" w:rsidRPr="002E1B4B" w:rsidRDefault="003D5DB4" w:rsidP="000A5389">
      <w:pPr>
        <w:spacing w:line="240" w:lineRule="auto"/>
      </w:pPr>
      <w:r w:rsidRPr="002E1B4B">
        <w:t>Nombre del proyecto: Ruta del Sol Sector 3</w:t>
      </w:r>
    </w:p>
    <w:p w14:paraId="0213E1AB" w14:textId="77777777" w:rsidR="003D5DB4" w:rsidRPr="002E1B4B" w:rsidRDefault="003D5DB4" w:rsidP="000A5389">
      <w:pPr>
        <w:spacing w:line="240" w:lineRule="auto"/>
      </w:pPr>
    </w:p>
    <w:p w14:paraId="4FC50C53" w14:textId="77777777" w:rsidR="003D5DB4" w:rsidRPr="002E1B4B" w:rsidRDefault="003D5DB4" w:rsidP="000A5389">
      <w:pPr>
        <w:spacing w:line="240" w:lineRule="auto"/>
      </w:pPr>
      <w:r w:rsidRPr="002E1B4B">
        <w:lastRenderedPageBreak/>
        <w:t>Términos significativos del Acuerdo que puedan afectar su valor, el calendario y la certeza de los flujos de efectivo futuros</w:t>
      </w:r>
    </w:p>
    <w:p w14:paraId="56802E90" w14:textId="77777777" w:rsidR="005E7D03" w:rsidRDefault="005E7D03" w:rsidP="000A5389">
      <w:pPr>
        <w:spacing w:line="240" w:lineRule="auto"/>
      </w:pPr>
    </w:p>
    <w:p w14:paraId="5576B6A0" w14:textId="74E67CD2" w:rsidR="003D5DB4" w:rsidRPr="002E1B4B" w:rsidRDefault="003D5DB4" w:rsidP="000A5389">
      <w:pPr>
        <w:spacing w:line="240" w:lineRule="auto"/>
      </w:pPr>
      <w:r w:rsidRPr="002E1B4B">
        <w:t>Términos de valor: Las principales variables con incidencia directa en el flujo de caja del proyecto corresponden al recaudo de peajes, los aportes de la ANI y el estado de avance del proyecto. En este sentido, la actualización de las tarifas de peaje se encuentra determinada por la aplicación del factor de ajuste contractual, el cual depende del Índice de Precios al Consumidor (IPC) y del Tráfico Promedio Diario (TPD</w:t>
      </w:r>
      <w:r w:rsidR="005E7D03" w:rsidRPr="002E1B4B">
        <w:t>). Por</w:t>
      </w:r>
      <w:r w:rsidRPr="002E1B4B">
        <w:t xml:space="preserve"> su parte, los aportes estatales corresponden a los recursos que la Agencia Nacional de Infraestructura (ANI) debe desembolsar conforme al cronograma establecido en la Sección 13.04 del Contrato de Concesión, modificado mediante el Otrosí No. 1.   Dentro de temas relevantes y significativos es importante anotar que se condenó a la ANI mediante Arbitraje internacional 23250 del 3 de septiembre 2025 al pago de obligaciones relacionadas con consultas previas, ola invernal, manual de drenaje y traslado de redes que generaron un desequilibrio económico del contrato y para lo cual se suscribió Acuerdo Conciliatorio 28291 en cumplimiento del Laudo Internacional.</w:t>
      </w:r>
    </w:p>
    <w:p w14:paraId="46490D3D" w14:textId="77777777" w:rsidR="003D5DB4" w:rsidRDefault="003D5DB4" w:rsidP="000A5389">
      <w:pPr>
        <w:spacing w:line="240" w:lineRule="auto"/>
      </w:pPr>
      <w:r w:rsidRPr="002E1B4B">
        <w:t>Términos de calendario: Las tarifas serán reajustadas a más tardar el 20 de enero de cada año, la fecha de inicio de la etapa de construcción se dio el 1 de junio de 2012 y la fecha estimada de entrega en servicio: 16 de mayo de 2026.Los aportes ANI de acuerdo con el cronograma establecido en la sección 13,04 del Contrato</w:t>
      </w:r>
    </w:p>
    <w:p w14:paraId="08B7BD40" w14:textId="77777777" w:rsidR="005E7D03" w:rsidRPr="002E1B4B" w:rsidRDefault="005E7D03" w:rsidP="000A5389">
      <w:pPr>
        <w:spacing w:line="240" w:lineRule="auto"/>
      </w:pPr>
    </w:p>
    <w:p w14:paraId="7B8DB353" w14:textId="77777777" w:rsidR="003D5DB4" w:rsidRPr="002E1B4B" w:rsidRDefault="003D5DB4" w:rsidP="000A5389">
      <w:pPr>
        <w:spacing w:line="240" w:lineRule="auto"/>
      </w:pPr>
      <w:r w:rsidRPr="002E1B4B">
        <w:t>Términos de certeza de flujos de efectivo futuros: La certidumbre de los flujos de efectivo se encuentra asociada al cumplimiento de las metas del Plan de Obras, las cuales son retribuidas con cargo a los aportes de la ANI, así como al recaudo de peajes. Por su parte, las principales fuentes de incertidumbre corresponden a las dificultades para la obtención de financiación bancaria y a la congelación de las tarifas de peaje, situación que reduce y retrasa los ingresos esperados por este concepto. Al respecto, es relevante señalar que, para la vigencia reportada (año 2025), se reconocieron compensaciones mediante la suscripción de dos actas, derivadas de la aplicación del Decreto 050.</w:t>
      </w:r>
    </w:p>
    <w:p w14:paraId="06257303" w14:textId="77777777" w:rsidR="003D5DB4" w:rsidRPr="002E1B4B" w:rsidRDefault="003D5DB4" w:rsidP="000A5389">
      <w:pPr>
        <w:spacing w:line="240" w:lineRule="auto"/>
      </w:pPr>
    </w:p>
    <w:p w14:paraId="65B9F74E" w14:textId="77777777" w:rsidR="003D5DB4" w:rsidRPr="002E1B4B" w:rsidRDefault="003D5DB4" w:rsidP="000A5389">
      <w:pPr>
        <w:spacing w:line="240" w:lineRule="auto"/>
      </w:pPr>
      <w:r w:rsidRPr="002E1B4B">
        <w:t>Naturaleza y alcance del derecho a utilizar Activos y los aspectos pactados en torno a lo que se espera que el concesionario proporcione en relación con el Acuerdo de concesión</w:t>
      </w:r>
    </w:p>
    <w:p w14:paraId="444909E3" w14:textId="77777777" w:rsidR="005E7D03" w:rsidRDefault="005E7D03" w:rsidP="000A5389">
      <w:pPr>
        <w:spacing w:line="240" w:lineRule="auto"/>
      </w:pPr>
    </w:p>
    <w:p w14:paraId="2A515489" w14:textId="0BE3FC0C" w:rsidR="003D5DB4" w:rsidRPr="002E1B4B" w:rsidRDefault="003D5DB4" w:rsidP="000A5389">
      <w:pPr>
        <w:spacing w:line="240" w:lineRule="auto"/>
      </w:pPr>
      <w:r w:rsidRPr="002E1B4B">
        <w:t>Naturaleza y alcance del derecho de uso de los Activos</w:t>
      </w:r>
    </w:p>
    <w:p w14:paraId="306F14BE" w14:textId="77777777" w:rsidR="005E7D03" w:rsidRDefault="005E7D03" w:rsidP="000A5389">
      <w:pPr>
        <w:spacing w:line="240" w:lineRule="auto"/>
      </w:pPr>
    </w:p>
    <w:p w14:paraId="0D24E683" w14:textId="410D25C7" w:rsidR="003D5DB4" w:rsidRPr="002E1B4B" w:rsidRDefault="003D5DB4" w:rsidP="000A5389">
      <w:pPr>
        <w:spacing w:line="240" w:lineRule="auto"/>
      </w:pPr>
      <w:r w:rsidRPr="002E1B4B">
        <w:t>Descripción: La Sección 13.05 del Contrato de Concesión establece que, adicionalmente a los aportes de la ANI, esta cede y transfiere al concesionario el derecho al recaudo de los peajes, definiendo los términos para la entrega del tramo Bosconia – Ye de Ciénaga, así como las condiciones aplicables para la construcción de las segundas calzadas en los tramos Bosconia – Valledupar y Carmen de Bolívar – Bosconia.</w:t>
      </w:r>
    </w:p>
    <w:p w14:paraId="5BABE1CA" w14:textId="77777777" w:rsidR="003D5DB4" w:rsidRPr="002E1B4B" w:rsidRDefault="003D5DB4" w:rsidP="000A5389">
      <w:pPr>
        <w:spacing w:line="240" w:lineRule="auto"/>
      </w:pPr>
      <w:r w:rsidRPr="002E1B4B">
        <w:t>Observaciones:</w:t>
      </w:r>
      <w:r w:rsidRPr="002E1B4B">
        <w:tab/>
        <w:t>N/A</w:t>
      </w:r>
    </w:p>
    <w:p w14:paraId="6C01F70B" w14:textId="77777777" w:rsidR="003D5DB4" w:rsidRPr="002E1B4B" w:rsidRDefault="003D5DB4" w:rsidP="000A5389">
      <w:pPr>
        <w:spacing w:line="240" w:lineRule="auto"/>
      </w:pPr>
    </w:p>
    <w:p w14:paraId="226F5A15" w14:textId="77777777" w:rsidR="003D5DB4" w:rsidRPr="002E1B4B" w:rsidRDefault="003D5DB4" w:rsidP="000A5389">
      <w:pPr>
        <w:spacing w:line="240" w:lineRule="auto"/>
      </w:pPr>
      <w:r w:rsidRPr="002E1B4B">
        <w:t>Retribución al concesionario</w:t>
      </w:r>
    </w:p>
    <w:p w14:paraId="0D2432D1" w14:textId="77777777" w:rsidR="005E7D03" w:rsidRDefault="005E7D03" w:rsidP="000A5389">
      <w:pPr>
        <w:spacing w:line="240" w:lineRule="auto"/>
      </w:pPr>
    </w:p>
    <w:p w14:paraId="24DF9F7D" w14:textId="307B8182" w:rsidR="003D5DB4" w:rsidRDefault="003D5DB4" w:rsidP="000A5389">
      <w:pPr>
        <w:spacing w:line="240" w:lineRule="auto"/>
      </w:pPr>
      <w:r w:rsidRPr="002E1B4B">
        <w:lastRenderedPageBreak/>
        <w:t>Descripción: La contraprestación a favor del Concesionario consiste en alcanzar el Valor Presente de los Ingresos Totales (VPIT), el cual se conforma por los ingresos provenientes de los aportes de la ANI y del recaudo de peajes. Una vez alcanzado el VPIT, se producirá la terminación del Contrato de Concesión, salvo que previamente se agote el plazo máximo contractual, el cual corresponde a veinticinco (25) años.</w:t>
      </w:r>
    </w:p>
    <w:p w14:paraId="5EA58C20" w14:textId="77777777" w:rsidR="005E7D03" w:rsidRPr="002E1B4B" w:rsidRDefault="005E7D03" w:rsidP="000A5389">
      <w:pPr>
        <w:spacing w:line="240" w:lineRule="auto"/>
      </w:pPr>
    </w:p>
    <w:p w14:paraId="31F6394E" w14:textId="77777777" w:rsidR="003D5DB4" w:rsidRDefault="003D5DB4" w:rsidP="000A5389">
      <w:pPr>
        <w:spacing w:line="240" w:lineRule="auto"/>
      </w:pPr>
      <w:r w:rsidRPr="002E1B4B">
        <w:t>Tasa de retribución:</w:t>
      </w:r>
      <w:r w:rsidRPr="002E1B4B">
        <w:tab/>
        <w:t>La tasa de descuento real, expresada en términos efectivos mensuales, aplicable para la presente valoración corresponde al 0,6240 %.</w:t>
      </w:r>
    </w:p>
    <w:p w14:paraId="0FEE6F45" w14:textId="77777777" w:rsidR="005E7D03" w:rsidRPr="002E1B4B" w:rsidRDefault="005E7D03" w:rsidP="000A5389">
      <w:pPr>
        <w:spacing w:line="240" w:lineRule="auto"/>
      </w:pPr>
    </w:p>
    <w:p w14:paraId="4E013655" w14:textId="77777777" w:rsidR="003D5DB4" w:rsidRDefault="003D5DB4" w:rsidP="000A5389">
      <w:pPr>
        <w:spacing w:line="240" w:lineRule="auto"/>
      </w:pPr>
      <w:r w:rsidRPr="002E1B4B">
        <w:t>Derechos a recibir Activos especificados al final del acuerdo de concesión</w:t>
      </w:r>
    </w:p>
    <w:p w14:paraId="3AAE3D73" w14:textId="77777777" w:rsidR="005E7D03" w:rsidRPr="002E1B4B" w:rsidRDefault="005E7D03" w:rsidP="000A5389">
      <w:pPr>
        <w:spacing w:line="240" w:lineRule="auto"/>
      </w:pPr>
    </w:p>
    <w:p w14:paraId="1F8E4248" w14:textId="77777777" w:rsidR="003D5DB4" w:rsidRPr="002E1B4B" w:rsidRDefault="003D5DB4" w:rsidP="000A5389">
      <w:pPr>
        <w:spacing w:line="240" w:lineRule="auto"/>
      </w:pPr>
      <w:r w:rsidRPr="002E1B4B">
        <w:t>Descripción: La Sección 15.04, literal c), del Contrato de Concesión establece que, sin perjuicio de las obligaciones a cargo del Concesionario, el INCO (hoy ANI) adquiere la propiedad de las obras desde el momento de su ejecución, incluyendo las estaciones de peaje, junto con la totalidad de los bienes muebles o inmuebles por destinación o adhesión que se encuentren en estas, así como, en general, todos los bienes inmuebles y sus anexidades que hacen parte del sector concesionado.</w:t>
      </w:r>
    </w:p>
    <w:p w14:paraId="2F91911C" w14:textId="77777777" w:rsidR="003D5DB4" w:rsidRPr="002E1B4B" w:rsidRDefault="003D5DB4" w:rsidP="000A5389">
      <w:pPr>
        <w:spacing w:line="240" w:lineRule="auto"/>
      </w:pPr>
      <w:r w:rsidRPr="002E1B4B">
        <w:t>Observaciones:</w:t>
      </w:r>
      <w:r w:rsidRPr="002E1B4B">
        <w:tab/>
        <w:t>N/A</w:t>
      </w:r>
    </w:p>
    <w:p w14:paraId="7E78A78D" w14:textId="77777777" w:rsidR="003D5DB4" w:rsidRPr="002E1B4B" w:rsidRDefault="003D5DB4" w:rsidP="000A5389">
      <w:pPr>
        <w:spacing w:line="240" w:lineRule="auto"/>
      </w:pPr>
    </w:p>
    <w:p w14:paraId="75C0B7E4" w14:textId="77777777" w:rsidR="003D5DB4" w:rsidRPr="002E1B4B" w:rsidRDefault="003D5DB4" w:rsidP="000A5389">
      <w:pPr>
        <w:spacing w:line="240" w:lineRule="auto"/>
      </w:pPr>
      <w:r w:rsidRPr="002E1B4B">
        <w:t>Las alternativas de renovación y cese del acuerdo</w:t>
      </w:r>
    </w:p>
    <w:p w14:paraId="7D5BA6C7" w14:textId="77777777" w:rsidR="003D5DB4" w:rsidRPr="002E1B4B" w:rsidRDefault="003D5DB4" w:rsidP="000A5389">
      <w:pPr>
        <w:spacing w:line="240" w:lineRule="auto"/>
      </w:pPr>
      <w:r w:rsidRPr="002E1B4B">
        <w:t>Descripción: N/A</w:t>
      </w:r>
    </w:p>
    <w:p w14:paraId="401A115C" w14:textId="77777777" w:rsidR="003D5DB4" w:rsidRPr="002E1B4B" w:rsidRDefault="003D5DB4" w:rsidP="000A5389">
      <w:pPr>
        <w:spacing w:line="240" w:lineRule="auto"/>
      </w:pPr>
      <w:r w:rsidRPr="002E1B4B">
        <w:t>Observaciones: N/A</w:t>
      </w:r>
    </w:p>
    <w:p w14:paraId="4318D402" w14:textId="77777777" w:rsidR="003D5DB4" w:rsidRPr="002E1B4B" w:rsidRDefault="003D5DB4" w:rsidP="000A5389">
      <w:pPr>
        <w:spacing w:line="240" w:lineRule="auto"/>
      </w:pPr>
    </w:p>
    <w:p w14:paraId="2A8A258C" w14:textId="77777777" w:rsidR="003D5DB4" w:rsidRPr="002E1B4B" w:rsidRDefault="003D5DB4" w:rsidP="000A5389">
      <w:pPr>
        <w:spacing w:line="240" w:lineRule="auto"/>
      </w:pPr>
      <w:r w:rsidRPr="002E1B4B">
        <w:t>Cambios en el acuerdo de concesión que se realicen durante el periodo fiscal</w:t>
      </w:r>
    </w:p>
    <w:p w14:paraId="051B70E0" w14:textId="77777777" w:rsidR="005E7D03" w:rsidRDefault="005E7D03" w:rsidP="000A5389">
      <w:pPr>
        <w:spacing w:line="240" w:lineRule="auto"/>
      </w:pPr>
    </w:p>
    <w:p w14:paraId="10CF3704" w14:textId="7995DBBA" w:rsidR="003D5DB4" w:rsidRPr="002E1B4B" w:rsidRDefault="003D5DB4" w:rsidP="000A5389">
      <w:pPr>
        <w:spacing w:line="240" w:lineRule="auto"/>
      </w:pPr>
      <w:r w:rsidRPr="002E1B4B">
        <w:t>Adiciones o modificaciones en tiempo</w:t>
      </w:r>
    </w:p>
    <w:p w14:paraId="787E4F0B" w14:textId="77777777" w:rsidR="003D5DB4" w:rsidRPr="002E1B4B" w:rsidRDefault="003D5DB4" w:rsidP="000A5389">
      <w:pPr>
        <w:spacing w:line="240" w:lineRule="auto"/>
      </w:pPr>
      <w:r w:rsidRPr="002E1B4B">
        <w:t>Fechas de las adiciones o modificaciones: N/A</w:t>
      </w:r>
    </w:p>
    <w:p w14:paraId="20AB5AD9" w14:textId="77777777" w:rsidR="003D5DB4" w:rsidRPr="002E1B4B" w:rsidRDefault="003D5DB4" w:rsidP="000A5389">
      <w:pPr>
        <w:spacing w:line="240" w:lineRule="auto"/>
      </w:pPr>
      <w:r w:rsidRPr="002E1B4B">
        <w:t>Nueva Fecha de finalización estimada:</w:t>
      </w:r>
      <w:r w:rsidRPr="002E1B4B">
        <w:tab/>
        <w:t>N/A</w:t>
      </w:r>
    </w:p>
    <w:p w14:paraId="68C9086D" w14:textId="77777777" w:rsidR="003D5DB4" w:rsidRPr="002E1B4B" w:rsidRDefault="003D5DB4" w:rsidP="000A5389">
      <w:pPr>
        <w:spacing w:line="240" w:lineRule="auto"/>
      </w:pPr>
      <w:r w:rsidRPr="002E1B4B">
        <w:t>Observaciones:</w:t>
      </w:r>
      <w:r w:rsidRPr="002E1B4B">
        <w:tab/>
        <w:t>N/A</w:t>
      </w:r>
    </w:p>
    <w:p w14:paraId="26969319" w14:textId="77777777" w:rsidR="005E7D03" w:rsidRDefault="005E7D03" w:rsidP="000A5389">
      <w:pPr>
        <w:spacing w:line="240" w:lineRule="auto"/>
      </w:pPr>
    </w:p>
    <w:p w14:paraId="03553663" w14:textId="49784908" w:rsidR="003D5DB4" w:rsidRPr="002E1B4B" w:rsidRDefault="003D5DB4" w:rsidP="000A5389">
      <w:pPr>
        <w:spacing w:line="240" w:lineRule="auto"/>
      </w:pPr>
      <w:r w:rsidRPr="002E1B4B">
        <w:t>Adiciones o modificaciones en valor</w:t>
      </w:r>
    </w:p>
    <w:p w14:paraId="77141FF2" w14:textId="77777777" w:rsidR="003D5DB4" w:rsidRPr="002E1B4B" w:rsidRDefault="003D5DB4" w:rsidP="000A5389">
      <w:pPr>
        <w:spacing w:line="240" w:lineRule="auto"/>
      </w:pPr>
      <w:r w:rsidRPr="002E1B4B">
        <w:t>Valor de la adición o modificación: $5.788.240.106 E&amp;D Puente Zambrano y $7.060.731.671 Intersección Prodeco</w:t>
      </w:r>
    </w:p>
    <w:p w14:paraId="5A1A78A8" w14:textId="77777777" w:rsidR="003D5DB4" w:rsidRPr="002E1B4B" w:rsidRDefault="003D5DB4" w:rsidP="000A5389">
      <w:pPr>
        <w:spacing w:line="240" w:lineRule="auto"/>
      </w:pPr>
      <w:r w:rsidRPr="002E1B4B">
        <w:t>Nuevo valor del acuerdo: Estas obras no generaron adiciones, ni cambios en el valor inicial del contrato de Concesión.</w:t>
      </w:r>
    </w:p>
    <w:p w14:paraId="679C7680" w14:textId="77777777" w:rsidR="002A0E29" w:rsidRDefault="002A0E29" w:rsidP="000A5389">
      <w:pPr>
        <w:spacing w:line="240" w:lineRule="auto"/>
      </w:pPr>
    </w:p>
    <w:p w14:paraId="4493AB9C" w14:textId="6D621A6B" w:rsidR="003D5DB4" w:rsidRPr="002E1B4B" w:rsidRDefault="003D5DB4" w:rsidP="000A5389">
      <w:pPr>
        <w:spacing w:line="240" w:lineRule="auto"/>
      </w:pPr>
      <w:r w:rsidRPr="002E1B4B">
        <w:t>Observaciones: Mediante el Otrosí No 5, Clausula segunda, se acuerda la elaboración de los estudios y diseños fase III del segundo puente en Plato-Zambrano sobre el río Magdalena. Mediante el Otrosí No 7, Clausula octava, se acuerda que hace parte del alcance del contrato de concesión la infraestructura denominada intersección a desnivel ubicada en el PR34+830 (PRODECO), de la ruta 4516</w:t>
      </w:r>
    </w:p>
    <w:p w14:paraId="702B4CB2" w14:textId="77777777" w:rsidR="003D5DB4" w:rsidRDefault="003D5DB4" w:rsidP="000A5389">
      <w:pPr>
        <w:spacing w:line="240" w:lineRule="auto"/>
      </w:pPr>
    </w:p>
    <w:p w14:paraId="21F9BA34" w14:textId="77777777" w:rsidR="002A0E29" w:rsidRPr="002A0E29" w:rsidRDefault="002A0E29" w:rsidP="000A5389">
      <w:pPr>
        <w:spacing w:line="240" w:lineRule="auto"/>
        <w:rPr>
          <w:i/>
          <w:iCs/>
        </w:rPr>
      </w:pPr>
    </w:p>
    <w:p w14:paraId="482A3E60" w14:textId="77777777" w:rsidR="003D5DB4" w:rsidRPr="002A0E29" w:rsidRDefault="003D5DB4" w:rsidP="000A5389">
      <w:pPr>
        <w:spacing w:line="240" w:lineRule="auto"/>
        <w:rPr>
          <w:i/>
          <w:iCs/>
        </w:rPr>
      </w:pPr>
      <w:r w:rsidRPr="002A0E29">
        <w:rPr>
          <w:i/>
          <w:iCs/>
        </w:rPr>
        <w:t>CORDOBA - SUCRE</w:t>
      </w:r>
    </w:p>
    <w:p w14:paraId="17A7D081" w14:textId="77777777" w:rsidR="003D5DB4" w:rsidRPr="002E1B4B" w:rsidRDefault="003D5DB4" w:rsidP="000A5389">
      <w:pPr>
        <w:spacing w:line="240" w:lineRule="auto"/>
      </w:pPr>
    </w:p>
    <w:p w14:paraId="1BF6A05C" w14:textId="77777777" w:rsidR="003D5DB4" w:rsidRPr="002E1B4B" w:rsidRDefault="003D5DB4" w:rsidP="000A5389">
      <w:pPr>
        <w:spacing w:line="240" w:lineRule="auto"/>
      </w:pPr>
      <w:r w:rsidRPr="002E1B4B">
        <w:t>Descripción del Acuerdo</w:t>
      </w:r>
    </w:p>
    <w:p w14:paraId="5F72A570" w14:textId="77777777" w:rsidR="003D5DB4" w:rsidRPr="002E1B4B" w:rsidRDefault="003D5DB4" w:rsidP="000A5389">
      <w:pPr>
        <w:spacing w:line="240" w:lineRule="auto"/>
      </w:pPr>
      <w:r w:rsidRPr="002E1B4B">
        <w:t>Número del Acuerdo de concesión:  002 del 06 de marzo de 2007</w:t>
      </w:r>
    </w:p>
    <w:p w14:paraId="4C41A67C" w14:textId="77777777" w:rsidR="003D5DB4" w:rsidRPr="002E1B4B" w:rsidRDefault="003D5DB4" w:rsidP="000A5389">
      <w:pPr>
        <w:spacing w:line="240" w:lineRule="auto"/>
      </w:pPr>
      <w:r w:rsidRPr="002E1B4B">
        <w:t>Objeto / Descripción:  La realización de los Estudios y diseños definitivos, gestión predial, gestión. social, gestión ambiental, financiación, construcción, rehabilitación, mejoramiento, operación y mantenimiento del proyecto de concesión vial "Córdoba - Sucre" Cláusula 2 Contrato de Concesión No. 002 del 06 de marzo de 2.007</w:t>
      </w:r>
    </w:p>
    <w:p w14:paraId="52C47CD9" w14:textId="77777777" w:rsidR="002A0E29" w:rsidRDefault="003D5DB4" w:rsidP="000A5389">
      <w:pPr>
        <w:spacing w:line="240" w:lineRule="auto"/>
      </w:pPr>
      <w:r w:rsidRPr="002E1B4B">
        <w:t>Valor inicial:</w:t>
      </w:r>
      <w:r w:rsidRPr="002E1B4B">
        <w:tab/>
        <w:t xml:space="preserve">$849.811.507.598 pesos de Dic-2005, integra los valores de los siguientes </w:t>
      </w:r>
    </w:p>
    <w:p w14:paraId="466CD9E6" w14:textId="77777777" w:rsidR="002A0E29" w:rsidRDefault="002A0E29" w:rsidP="000A5389">
      <w:pPr>
        <w:spacing w:line="240" w:lineRule="auto"/>
      </w:pPr>
    </w:p>
    <w:p w14:paraId="0D9CB300" w14:textId="56F66AD2" w:rsidR="003D5DB4" w:rsidRPr="002E1B4B" w:rsidRDefault="003D5DB4" w:rsidP="000A5389">
      <w:pPr>
        <w:spacing w:line="240" w:lineRule="auto"/>
      </w:pPr>
      <w:r w:rsidRPr="002E1B4B">
        <w:t>alcances contractuales: Alcance Básico, Adicional 2, Adicional 3, Otrosí 1 y Otrosí 3</w:t>
      </w:r>
    </w:p>
    <w:p w14:paraId="4F8BB335" w14:textId="77777777" w:rsidR="003D5DB4" w:rsidRPr="002E1B4B" w:rsidRDefault="003D5DB4" w:rsidP="000A5389">
      <w:pPr>
        <w:spacing w:line="240" w:lineRule="auto"/>
      </w:pPr>
      <w:r w:rsidRPr="002E1B4B">
        <w:t>Fecha de inicio: 1 de noviembre de 2007</w:t>
      </w:r>
    </w:p>
    <w:p w14:paraId="3D66D88A" w14:textId="77777777" w:rsidR="003D5DB4" w:rsidRPr="002E1B4B" w:rsidRDefault="003D5DB4" w:rsidP="000A5389">
      <w:pPr>
        <w:spacing w:line="240" w:lineRule="auto"/>
      </w:pPr>
      <w:r w:rsidRPr="002E1B4B">
        <w:t>Fecha de finalización estimada:</w:t>
      </w:r>
      <w:r w:rsidRPr="002E1B4B">
        <w:tab/>
        <w:t>El 20 de febrero de 2025 el proyecto alcanzó el Ingreso Esperado, conforme a lo establecido en el Contrato de Concesión, dando lugar a la terminación de la etapa de operación y mantenimiento e inicio de la fase de reversión del proyecto</w:t>
      </w:r>
    </w:p>
    <w:p w14:paraId="2D8DE945" w14:textId="77777777" w:rsidR="003D5DB4" w:rsidRPr="002E1B4B" w:rsidRDefault="003D5DB4" w:rsidP="000A5389">
      <w:pPr>
        <w:spacing w:line="240" w:lineRule="auto"/>
      </w:pPr>
      <w:r w:rsidRPr="002E1B4B">
        <w:t>Tipo ID:</w:t>
      </w:r>
      <w:r w:rsidRPr="002E1B4B">
        <w:tab/>
        <w:t>NIT</w:t>
      </w:r>
    </w:p>
    <w:p w14:paraId="383ACC51" w14:textId="77777777" w:rsidR="003D5DB4" w:rsidRPr="002E1B4B" w:rsidRDefault="003D5DB4" w:rsidP="000A5389">
      <w:pPr>
        <w:spacing w:line="240" w:lineRule="auto"/>
      </w:pPr>
      <w:r w:rsidRPr="002E1B4B">
        <w:t>Número ID:</w:t>
      </w:r>
      <w:r w:rsidRPr="002E1B4B">
        <w:tab/>
        <w:t>900.135.168-</w:t>
      </w:r>
    </w:p>
    <w:p w14:paraId="42BD0782" w14:textId="77777777" w:rsidR="003D5DB4" w:rsidRPr="002E1B4B" w:rsidRDefault="003D5DB4" w:rsidP="000A5389">
      <w:pPr>
        <w:spacing w:line="240" w:lineRule="auto"/>
      </w:pPr>
      <w:r w:rsidRPr="002E1B4B">
        <w:t>Razón social del concesionario: Autopistas de la Sabana S.A.S</w:t>
      </w:r>
    </w:p>
    <w:p w14:paraId="68D5D606" w14:textId="77777777" w:rsidR="003D5DB4" w:rsidRPr="002E1B4B" w:rsidRDefault="003D5DB4" w:rsidP="000A5389">
      <w:pPr>
        <w:spacing w:line="240" w:lineRule="auto"/>
      </w:pPr>
      <w:r w:rsidRPr="002E1B4B">
        <w:t>Nombre del proyecto: Córdoba Sucre</w:t>
      </w:r>
    </w:p>
    <w:p w14:paraId="6E808F2D" w14:textId="77777777" w:rsidR="003D5DB4" w:rsidRPr="002E1B4B" w:rsidRDefault="003D5DB4" w:rsidP="000A5389">
      <w:pPr>
        <w:spacing w:line="240" w:lineRule="auto"/>
      </w:pPr>
    </w:p>
    <w:p w14:paraId="550199DF" w14:textId="77777777" w:rsidR="003D5DB4" w:rsidRPr="002E1B4B" w:rsidRDefault="003D5DB4" w:rsidP="000A5389">
      <w:pPr>
        <w:spacing w:line="240" w:lineRule="auto"/>
      </w:pPr>
      <w:r w:rsidRPr="002E1B4B">
        <w:t>Términos significativos del Acuerdo que puedan afectar su valor, el calendario y la certeza de los flujos de efectivo futuros</w:t>
      </w:r>
    </w:p>
    <w:p w14:paraId="0EB0515E" w14:textId="77777777" w:rsidR="002A0E29" w:rsidRDefault="002A0E29" w:rsidP="000A5389">
      <w:pPr>
        <w:spacing w:line="240" w:lineRule="auto"/>
      </w:pPr>
    </w:p>
    <w:p w14:paraId="3978E8D6" w14:textId="58F01DB3" w:rsidR="003D5DB4" w:rsidRDefault="003D5DB4" w:rsidP="000A5389">
      <w:pPr>
        <w:spacing w:line="240" w:lineRule="auto"/>
      </w:pPr>
      <w:r w:rsidRPr="002E1B4B">
        <w:t>Términos de valor: El valor del Contrato  de concesión estuvo determinado principalmente por los ingresos provenientes de la explotación de las estaciones de peaje Flores, Garzones y La Esperanza, de conformidad con lo establecido en el Contrato de Concesión No. 002 de 2007 y la Resolución 3284 de 2006 del Ministerio de Transporte, que regula el esquema tarifario y sus incrementos anuales con base en el Índice de Precios al Consumidor (IPC).Durante la ejecución del contrato, se aplicaron los ajustes tarifarios previstos contractualmente, así como las medidas regulatorias posteriores relacionadas con tarifas diferenciales y congelamientos tarifarios, respecto de las cuales la Agencia Nacional de Infraestructura asumió las compensaciones a que hubo lugar, el proyecto alcanzó el Ingreso Esperado pactado contractualmente, motivo por el cual cesó la generación de ingresos por explotación económica del proyecto y, en consecuencia, no se generan valores adicionales asociados a la retribución del concesionario con posterioridad a dicha fecha.</w:t>
      </w:r>
    </w:p>
    <w:p w14:paraId="13878C0E" w14:textId="77777777" w:rsidR="002A0E29" w:rsidRPr="002E1B4B" w:rsidRDefault="002A0E29" w:rsidP="000A5389">
      <w:pPr>
        <w:spacing w:line="240" w:lineRule="auto"/>
      </w:pPr>
    </w:p>
    <w:p w14:paraId="6E893800" w14:textId="77777777" w:rsidR="003D5DB4" w:rsidRDefault="003D5DB4" w:rsidP="000A5389">
      <w:pPr>
        <w:spacing w:line="240" w:lineRule="auto"/>
      </w:pPr>
      <w:r w:rsidRPr="002E1B4B">
        <w:t>Términos de calendario: El calendario del acuerdo de concesión estuvo determinado por las etapas de preconstrucción, construcción, operación y mantenimiento, conforme a los plazos contractuales y sus modificaciones. La etapa de operación y explotación económica se extendió hasta el 20 de febrero de 2025, fecha en la cual se alcanzó el Ingreso Esperado del proyecto, dando lugar a la terminación de dicha etapa. Posteriormente, se dio inicio a la fase de reversión del proyecto, culminando con la suscripción del Acta de Reversión y Entrega de la infraestructura vial y demás activos asociados el 29 de abril de 2025 a favor del Instituto Nacional de Vías – INVIAS.</w:t>
      </w:r>
    </w:p>
    <w:p w14:paraId="7F315B5C" w14:textId="77777777" w:rsidR="002A0E29" w:rsidRPr="002E1B4B" w:rsidRDefault="002A0E29" w:rsidP="000A5389">
      <w:pPr>
        <w:spacing w:line="240" w:lineRule="auto"/>
      </w:pPr>
    </w:p>
    <w:p w14:paraId="2136452C" w14:textId="77777777" w:rsidR="003D5DB4" w:rsidRPr="002E1B4B" w:rsidRDefault="003D5DB4" w:rsidP="000A5389">
      <w:pPr>
        <w:spacing w:line="240" w:lineRule="auto"/>
        <w:rPr>
          <w:rFonts w:cs="Times New Roman"/>
          <w:szCs w:val="24"/>
        </w:rPr>
      </w:pPr>
      <w:r w:rsidRPr="002E1B4B">
        <w:rPr>
          <w:rFonts w:cs="Times New Roman"/>
          <w:szCs w:val="24"/>
        </w:rPr>
        <w:t>Términos de certeza de flujos de efectivo futuros: El valor del contrato de concesión estuvo determinado por los ingresos derivados de la explotación de las estaciones de peaje del proyecto, de conformidad con el esquema tarifario previsto en el Contrato de Concesión No. 002 de 2007 y sus modificaciones, así como por los mecanismos de compensación asociados a eventos regulatorios y contractuales. El calendario del acuerdo comprendió las etapas de preconstrucción, construcción, operación y mantenimiento. La etapa de explotación económica se extendió hasta el 20 de febrero de 2025, fecha en la cual el proyecto alcanzó el Ingreso Esperado pactado contractualmente, dando lugar a la terminación de dicha etapa y al inicio de la fase de reversión, la cual culminó con la suscripción del Acta de Reversión y Entrega de la infraestructura vial el 29 de abril de 2025.A partir del 20 de febrero de 2025 no se generan flujos de efectivo futuros derivados de la explotación económica del contrato de concesión. No obstante, a la fecha se encuentra en curso un proceso arbitral entre el concesionario Autopistas de la Sabana S.A.S. y la Agencia Nacional de Infraestructura – ANI, relacionado con reclamaciones de naturaleza económica derivadas de la ejecución del contrato, incluyendo, entre otros aspectos, tarifas diferenciales, la aplicación del Decreto 050 de 2023, eventos asociados a la emergencia sanitaria por Covid-19, el paro nacional de 2021, fondeos ambientales, la implementación del sistema IP/REV y la reconstrucción del Puente La Panela.  Adicionalmente, la Entidad formuló demanda de reconvención relacionada con la ejecución de la subcuenta ambiental y otros aspectos derivados del proceso de liquidación contractual. En consecuencia, el resultado del proceso arbitral es incierto. En caso de que del mismo se deriven efectos económicos, estos serán reconocidos conforme a las disposiciones contables aplicables y al momento en que se configuren los hechos que den lugar a su reconocimiento.</w:t>
      </w:r>
    </w:p>
    <w:p w14:paraId="3A08757D" w14:textId="77777777" w:rsidR="003D5DB4" w:rsidRPr="002E1B4B" w:rsidRDefault="003D5DB4" w:rsidP="000A5389">
      <w:pPr>
        <w:spacing w:line="240" w:lineRule="auto"/>
        <w:rPr>
          <w:rFonts w:cs="Times New Roman"/>
          <w:szCs w:val="24"/>
        </w:rPr>
      </w:pPr>
    </w:p>
    <w:p w14:paraId="71900157" w14:textId="77777777" w:rsidR="003D5DB4" w:rsidRPr="002A0E29" w:rsidRDefault="003D5DB4" w:rsidP="002A0E29">
      <w:pPr>
        <w:spacing w:line="240" w:lineRule="auto"/>
        <w:rPr>
          <w:rFonts w:cs="Times New Roman"/>
          <w:szCs w:val="24"/>
        </w:rPr>
      </w:pPr>
      <w:r w:rsidRPr="002A0E29">
        <w:rPr>
          <w:rFonts w:cs="Times New Roman"/>
          <w:szCs w:val="24"/>
        </w:rPr>
        <w:t>Naturaleza y alcance del derecho a utilizar Activos y los aspectos pactados en torno a lo que se espera que el concesionario proporcione en relación con el Acuerdo de concesión</w:t>
      </w:r>
    </w:p>
    <w:p w14:paraId="372CC1BA" w14:textId="77777777" w:rsidR="002A0E29" w:rsidRDefault="002A0E29" w:rsidP="000A5389">
      <w:pPr>
        <w:spacing w:line="240" w:lineRule="auto"/>
        <w:rPr>
          <w:rFonts w:cs="Times New Roman"/>
          <w:szCs w:val="24"/>
        </w:rPr>
      </w:pPr>
    </w:p>
    <w:p w14:paraId="3C906B01" w14:textId="038F9AA8" w:rsidR="003D5DB4" w:rsidRDefault="003D5DB4" w:rsidP="000A5389">
      <w:pPr>
        <w:spacing w:line="240" w:lineRule="auto"/>
        <w:rPr>
          <w:rFonts w:cs="Times New Roman"/>
          <w:szCs w:val="24"/>
        </w:rPr>
      </w:pPr>
      <w:r w:rsidRPr="002E1B4B">
        <w:rPr>
          <w:rFonts w:cs="Times New Roman"/>
          <w:szCs w:val="24"/>
        </w:rPr>
        <w:t>Naturaleza y alcance del derecho de uso de los Activos</w:t>
      </w:r>
    </w:p>
    <w:p w14:paraId="5C8A359D" w14:textId="77777777" w:rsidR="002A0E29" w:rsidRPr="002E1B4B" w:rsidRDefault="002A0E29" w:rsidP="000A5389">
      <w:pPr>
        <w:spacing w:line="240" w:lineRule="auto"/>
        <w:rPr>
          <w:rFonts w:cs="Times New Roman"/>
          <w:szCs w:val="24"/>
        </w:rPr>
      </w:pPr>
    </w:p>
    <w:p w14:paraId="0B65DDB5" w14:textId="77777777" w:rsidR="003D5DB4" w:rsidRPr="002E1B4B" w:rsidRDefault="003D5DB4" w:rsidP="000A5389">
      <w:pPr>
        <w:spacing w:line="240" w:lineRule="auto"/>
        <w:rPr>
          <w:rFonts w:cs="Times New Roman"/>
          <w:szCs w:val="24"/>
        </w:rPr>
      </w:pPr>
      <w:r w:rsidRPr="002E1B4B">
        <w:rPr>
          <w:rFonts w:cs="Times New Roman"/>
          <w:szCs w:val="24"/>
        </w:rPr>
        <w:t>Descripción:</w:t>
      </w:r>
      <w:r w:rsidRPr="002E1B4B">
        <w:rPr>
          <w:rFonts w:cs="Times New Roman"/>
          <w:szCs w:val="24"/>
        </w:rPr>
        <w:tab/>
        <w:t>Al final del contrato de concesión, la entidad concedente adquirió el derecho a recibir la infraestructura vial y los activos asociados al proyecto Córdoba–Sucre, de conformidad con lo establecido en el Contrato de Concesión No. 002 de 2007 y sus apéndices. El 29 de abril de 2025 fue firma el acta de revisión de infraestructura al Invias. Adicionalmente, en desarrollo del proceso de reversión y liquidación contractual, se efectuó la entrega posterior de bienes de propiedad, planta y equipo asociados a la operación del proyecto, tales como vehículos, equipos y otros activos, los cuales fueron recibidos por el Instituto Nacional de Vías – INVIAS conforme a las actas de recibo suscritas entre las partes. La entrega de dichos bienes se realizó de manera progresiva, sin que ello afectara la terminación del derecho de explotación económica ni la reversión de la infraestructura principal del proyecto.  clic o pulse aquí para escribir texto.</w:t>
      </w:r>
    </w:p>
    <w:p w14:paraId="447C119A" w14:textId="77777777" w:rsidR="002A0E29" w:rsidRDefault="002A0E29" w:rsidP="000A5389">
      <w:pPr>
        <w:spacing w:line="240" w:lineRule="auto"/>
        <w:rPr>
          <w:rFonts w:cs="Times New Roman"/>
          <w:szCs w:val="24"/>
        </w:rPr>
      </w:pPr>
    </w:p>
    <w:p w14:paraId="090FDCFF" w14:textId="77777777" w:rsidR="002A0E29" w:rsidRDefault="003D5DB4" w:rsidP="000A5389">
      <w:pPr>
        <w:spacing w:line="240" w:lineRule="auto"/>
        <w:rPr>
          <w:rFonts w:cs="Times New Roman"/>
          <w:szCs w:val="24"/>
        </w:rPr>
      </w:pPr>
      <w:r w:rsidRPr="002E1B4B">
        <w:rPr>
          <w:rFonts w:cs="Times New Roman"/>
          <w:szCs w:val="24"/>
        </w:rPr>
        <w:t>Observaciones:</w:t>
      </w:r>
    </w:p>
    <w:p w14:paraId="5DF72226" w14:textId="22AAAF32" w:rsidR="003D5DB4" w:rsidRPr="002E1B4B" w:rsidRDefault="003D5DB4" w:rsidP="000A5389">
      <w:pPr>
        <w:spacing w:line="240" w:lineRule="auto"/>
        <w:rPr>
          <w:rFonts w:cs="Times New Roman"/>
          <w:szCs w:val="24"/>
        </w:rPr>
      </w:pPr>
      <w:r w:rsidRPr="002E1B4B">
        <w:rPr>
          <w:rFonts w:cs="Times New Roman"/>
          <w:szCs w:val="24"/>
        </w:rPr>
        <w:tab/>
      </w:r>
    </w:p>
    <w:p w14:paraId="6CE5EAE3" w14:textId="77777777" w:rsidR="003D5DB4" w:rsidRDefault="003D5DB4" w:rsidP="000A5389">
      <w:pPr>
        <w:spacing w:line="240" w:lineRule="auto"/>
        <w:rPr>
          <w:rFonts w:cs="Times New Roman"/>
          <w:szCs w:val="24"/>
        </w:rPr>
      </w:pPr>
      <w:r w:rsidRPr="002E1B4B">
        <w:rPr>
          <w:rFonts w:cs="Times New Roman"/>
          <w:szCs w:val="24"/>
        </w:rPr>
        <w:lastRenderedPageBreak/>
        <w:t>Retribución al concesionario</w:t>
      </w:r>
    </w:p>
    <w:p w14:paraId="0123741C" w14:textId="77777777" w:rsidR="002A0E29" w:rsidRPr="002E1B4B" w:rsidRDefault="002A0E29" w:rsidP="000A5389">
      <w:pPr>
        <w:spacing w:line="240" w:lineRule="auto"/>
        <w:rPr>
          <w:rFonts w:cs="Times New Roman"/>
          <w:szCs w:val="24"/>
        </w:rPr>
      </w:pPr>
    </w:p>
    <w:p w14:paraId="4B70F38F" w14:textId="77777777" w:rsidR="003D5DB4" w:rsidRPr="002E1B4B" w:rsidRDefault="003D5DB4" w:rsidP="000A5389">
      <w:pPr>
        <w:spacing w:line="240" w:lineRule="auto"/>
        <w:rPr>
          <w:rFonts w:cs="Times New Roman"/>
          <w:szCs w:val="24"/>
        </w:rPr>
      </w:pPr>
      <w:r w:rsidRPr="002E1B4B">
        <w:rPr>
          <w:rFonts w:cs="Times New Roman"/>
          <w:szCs w:val="24"/>
        </w:rPr>
        <w:t>Descripción:</w:t>
      </w:r>
      <w:r w:rsidRPr="002E1B4B">
        <w:rPr>
          <w:rFonts w:cs="Times New Roman"/>
          <w:szCs w:val="24"/>
        </w:rPr>
        <w:tab/>
        <w:t>Recaudo de peajes, hasta la consecución del Ingreso Esperado del proyecto (I.E.), el cual se encuentra a diciembre 31 de 2024 en$514.286.825.012 pesos de 2005 (98,97%), sobre un total de $519.621.162.123 Aportes ANI, ya reseñados en este documento</w:t>
      </w:r>
    </w:p>
    <w:p w14:paraId="473CA0C5" w14:textId="77777777" w:rsidR="003D5DB4" w:rsidRPr="002E1B4B" w:rsidRDefault="003D5DB4" w:rsidP="000A5389">
      <w:pPr>
        <w:spacing w:line="240" w:lineRule="auto"/>
        <w:rPr>
          <w:rFonts w:cs="Times New Roman"/>
          <w:szCs w:val="24"/>
        </w:rPr>
      </w:pPr>
      <w:r w:rsidRPr="002E1B4B">
        <w:rPr>
          <w:rFonts w:cs="Times New Roman"/>
          <w:szCs w:val="24"/>
        </w:rPr>
        <w:t>Tasa de retribución:</w:t>
      </w:r>
      <w:r w:rsidRPr="002E1B4B">
        <w:rPr>
          <w:rFonts w:cs="Times New Roman"/>
          <w:szCs w:val="24"/>
        </w:rPr>
        <w:tab/>
        <w:t>No Aplica</w:t>
      </w:r>
    </w:p>
    <w:p w14:paraId="6479E3FC" w14:textId="77777777" w:rsidR="002A0E29" w:rsidRDefault="002A0E29" w:rsidP="002A0E29">
      <w:pPr>
        <w:spacing w:line="240" w:lineRule="auto"/>
        <w:rPr>
          <w:rFonts w:cs="Times New Roman"/>
          <w:szCs w:val="24"/>
        </w:rPr>
      </w:pPr>
    </w:p>
    <w:p w14:paraId="5685113C" w14:textId="387E6873" w:rsidR="003D5DB4" w:rsidRDefault="003D5DB4" w:rsidP="002A0E29">
      <w:pPr>
        <w:spacing w:line="240" w:lineRule="auto"/>
        <w:rPr>
          <w:rFonts w:cs="Times New Roman"/>
          <w:szCs w:val="24"/>
        </w:rPr>
      </w:pPr>
      <w:r w:rsidRPr="002A0E29">
        <w:rPr>
          <w:rFonts w:cs="Times New Roman"/>
          <w:szCs w:val="24"/>
        </w:rPr>
        <w:t>Derechos a recibir Activos especificados al final del acuerdo de concesión</w:t>
      </w:r>
    </w:p>
    <w:p w14:paraId="3E645CA3" w14:textId="77777777" w:rsidR="002A0E29" w:rsidRPr="002A0E29" w:rsidRDefault="002A0E29" w:rsidP="002A0E29">
      <w:pPr>
        <w:spacing w:line="240" w:lineRule="auto"/>
        <w:rPr>
          <w:rFonts w:cs="Times New Roman"/>
          <w:szCs w:val="24"/>
        </w:rPr>
      </w:pPr>
    </w:p>
    <w:p w14:paraId="49F30649" w14:textId="77777777" w:rsidR="003D5DB4" w:rsidRPr="002E1B4B" w:rsidRDefault="003D5DB4" w:rsidP="000A5389">
      <w:pPr>
        <w:spacing w:line="240" w:lineRule="auto"/>
        <w:rPr>
          <w:rFonts w:cs="Times New Roman"/>
          <w:szCs w:val="24"/>
        </w:rPr>
      </w:pPr>
      <w:r w:rsidRPr="002E1B4B">
        <w:rPr>
          <w:rFonts w:cs="Times New Roman"/>
          <w:szCs w:val="24"/>
        </w:rPr>
        <w:t>Descripción: Al final del acuerdo de concesión, la entidad concedente adquirió el derecho a recibir la infraestructura vial y los activos asociados al proyecto Córdoba–Sucre, de conformidad con lo establecido en el Contrato de Concesión No. 002 de 2007, sus apéndices y demás documentos contractuales. La infraestructura vial del proyecto fue revertida y entregada mediante la suscripción del Acta de Reversión y Entrega el 29 de abril de 2025, fecha en la cual se formalizó la devolución de la infraestructura principal objeto del contrato. Adicionalmente, en el marco del proceso de reversión y liquidación contractual, se realizó la entrega posterior de bienes de propiedad, planta y equipo asociados a la operación del proyecto, tales como vehículos, equipos y otros activos operativos, los cuales fueron recibidos por el Instituto Nacional de Vías – INVIAS conforme a las actas de recibo suscritas entre las partes. La entrega de dichos bienes se efectuó de manera progresiva, sin que ello afectara la terminación del derecho de explotación económica del proyecto ni la reversión de la infraestructura vial principal.</w:t>
      </w:r>
    </w:p>
    <w:p w14:paraId="33ED80BC" w14:textId="77777777" w:rsidR="002A0E29" w:rsidRDefault="002A0E29" w:rsidP="000A5389">
      <w:pPr>
        <w:spacing w:line="240" w:lineRule="auto"/>
        <w:rPr>
          <w:rFonts w:cs="Times New Roman"/>
          <w:szCs w:val="24"/>
        </w:rPr>
      </w:pPr>
    </w:p>
    <w:p w14:paraId="0B44F00C" w14:textId="59192000" w:rsidR="003D5DB4" w:rsidRPr="002E1B4B" w:rsidRDefault="003D5DB4" w:rsidP="000A5389">
      <w:pPr>
        <w:spacing w:line="240" w:lineRule="auto"/>
        <w:rPr>
          <w:rFonts w:cs="Times New Roman"/>
          <w:szCs w:val="24"/>
        </w:rPr>
      </w:pPr>
      <w:r w:rsidRPr="002E1B4B">
        <w:rPr>
          <w:rFonts w:cs="Times New Roman"/>
          <w:szCs w:val="24"/>
        </w:rPr>
        <w:t>Observaciones: No Aplica</w:t>
      </w:r>
    </w:p>
    <w:p w14:paraId="6EB9A172" w14:textId="77777777" w:rsidR="003D5DB4" w:rsidRPr="002E1B4B" w:rsidRDefault="003D5DB4" w:rsidP="000A5389">
      <w:pPr>
        <w:spacing w:line="240" w:lineRule="auto"/>
        <w:rPr>
          <w:rFonts w:cs="Times New Roman"/>
          <w:szCs w:val="24"/>
        </w:rPr>
      </w:pPr>
    </w:p>
    <w:p w14:paraId="62738F3E" w14:textId="77777777" w:rsidR="003D5DB4" w:rsidRPr="002A0E29" w:rsidRDefault="003D5DB4" w:rsidP="002A0E29">
      <w:pPr>
        <w:spacing w:line="240" w:lineRule="auto"/>
        <w:rPr>
          <w:rFonts w:cs="Times New Roman"/>
          <w:szCs w:val="24"/>
        </w:rPr>
      </w:pPr>
      <w:r w:rsidRPr="002A0E29">
        <w:rPr>
          <w:rFonts w:cs="Times New Roman"/>
          <w:szCs w:val="24"/>
        </w:rPr>
        <w:t>Las alternativas de renovación y cese del acuerdo</w:t>
      </w:r>
    </w:p>
    <w:p w14:paraId="0B47B5E1" w14:textId="77777777" w:rsidR="002A0E29" w:rsidRDefault="002A0E29" w:rsidP="000A5389">
      <w:pPr>
        <w:spacing w:line="240" w:lineRule="auto"/>
        <w:rPr>
          <w:rFonts w:cs="Times New Roman"/>
          <w:szCs w:val="24"/>
        </w:rPr>
      </w:pPr>
    </w:p>
    <w:p w14:paraId="064B2F0B" w14:textId="1C588735" w:rsidR="003D5DB4" w:rsidRPr="002E1B4B" w:rsidRDefault="003D5DB4" w:rsidP="000A5389">
      <w:pPr>
        <w:spacing w:line="240" w:lineRule="auto"/>
        <w:rPr>
          <w:rFonts w:cs="Times New Roman"/>
          <w:szCs w:val="24"/>
        </w:rPr>
      </w:pPr>
      <w:r w:rsidRPr="002E1B4B">
        <w:rPr>
          <w:rFonts w:cs="Times New Roman"/>
          <w:szCs w:val="24"/>
        </w:rPr>
        <w:t>Descripción:</w:t>
      </w:r>
      <w:r w:rsidRPr="002E1B4B">
        <w:rPr>
          <w:rFonts w:cs="Times New Roman"/>
          <w:szCs w:val="24"/>
        </w:rPr>
        <w:tab/>
        <w:t>El Contrato de Concesión No. 002 de 2007 no contempló alternativas de renovación automática del acuerdo. La vigencia del contrato se encontraba condicionada al cumplimiento del Ingreso Esperado pactado contractualmente. El acuerdo de concesión cesó una vez alcanzado el Ingreso Esperado el 20 de febrero de 2025, fecha a partir de la cual se dio por terminada la etapa de explotación económica del proyecto. En cumplimiento de lo anterior, se dio inicio al proceso de reversión de la infraestructura vial y de los activos asociados, el cual culminó con la suscripción del Acta de Reversión y Entrega el 29 de abril de 2025, así como con la entrega posterior de bienes de propiedad, planta y equipo a favor del Instituto Nacional de Vías – INVIAS, en el marco del proceso de liquidación contractual. En consecuencia, al cierre de la vigencia 2025, el acuerdo de concesión se encuentra terminado y no existen alternativas de renovación vigentes.</w:t>
      </w:r>
    </w:p>
    <w:p w14:paraId="29F3FFA0" w14:textId="77777777" w:rsidR="002A0E29" w:rsidRDefault="002A0E29" w:rsidP="000A5389">
      <w:pPr>
        <w:spacing w:line="240" w:lineRule="auto"/>
        <w:rPr>
          <w:rFonts w:cs="Times New Roman"/>
          <w:szCs w:val="24"/>
        </w:rPr>
      </w:pPr>
    </w:p>
    <w:p w14:paraId="0D587398" w14:textId="397072E1" w:rsidR="003D5DB4" w:rsidRPr="002E1B4B" w:rsidRDefault="003D5DB4" w:rsidP="000A5389">
      <w:pPr>
        <w:spacing w:line="240" w:lineRule="auto"/>
        <w:rPr>
          <w:rFonts w:cs="Times New Roman"/>
          <w:szCs w:val="24"/>
        </w:rPr>
      </w:pPr>
      <w:r w:rsidRPr="002E1B4B">
        <w:rPr>
          <w:rFonts w:cs="Times New Roman"/>
          <w:szCs w:val="24"/>
        </w:rPr>
        <w:t>Observaciones:</w:t>
      </w:r>
      <w:r w:rsidRPr="002E1B4B">
        <w:rPr>
          <w:rFonts w:cs="Times New Roman"/>
          <w:szCs w:val="24"/>
        </w:rPr>
        <w:tab/>
      </w:r>
    </w:p>
    <w:p w14:paraId="2794E6A3" w14:textId="77777777" w:rsidR="00197C31" w:rsidRDefault="00197C31" w:rsidP="00197C31">
      <w:pPr>
        <w:spacing w:line="240" w:lineRule="auto"/>
        <w:rPr>
          <w:rFonts w:cs="Times New Roman"/>
          <w:szCs w:val="24"/>
        </w:rPr>
      </w:pPr>
    </w:p>
    <w:p w14:paraId="15574359" w14:textId="1F4EA822" w:rsidR="003D5DB4" w:rsidRPr="00197C31" w:rsidRDefault="003D5DB4" w:rsidP="00197C31">
      <w:pPr>
        <w:spacing w:line="240" w:lineRule="auto"/>
        <w:rPr>
          <w:rFonts w:cs="Times New Roman"/>
          <w:szCs w:val="24"/>
        </w:rPr>
      </w:pPr>
      <w:r w:rsidRPr="00197C31">
        <w:rPr>
          <w:rFonts w:cs="Times New Roman"/>
          <w:szCs w:val="24"/>
        </w:rPr>
        <w:t>Cambios en el acuerdo de concesión que se realicen durante el periodo fiscal</w:t>
      </w:r>
    </w:p>
    <w:p w14:paraId="184834E3" w14:textId="77777777" w:rsidR="00197C31" w:rsidRDefault="00197C31" w:rsidP="000A5389">
      <w:pPr>
        <w:spacing w:line="240" w:lineRule="auto"/>
        <w:rPr>
          <w:rFonts w:cs="Times New Roman"/>
          <w:szCs w:val="24"/>
        </w:rPr>
      </w:pPr>
    </w:p>
    <w:p w14:paraId="4FBF587D" w14:textId="1660BD3B" w:rsidR="003D5DB4" w:rsidRPr="002E1B4B" w:rsidRDefault="003D5DB4" w:rsidP="000A5389">
      <w:pPr>
        <w:spacing w:line="240" w:lineRule="auto"/>
        <w:rPr>
          <w:rFonts w:cs="Times New Roman"/>
          <w:szCs w:val="24"/>
        </w:rPr>
      </w:pPr>
      <w:r w:rsidRPr="002E1B4B">
        <w:rPr>
          <w:rFonts w:cs="Times New Roman"/>
          <w:szCs w:val="24"/>
        </w:rPr>
        <w:t>Adiciones o modificaciones en tiempo</w:t>
      </w:r>
    </w:p>
    <w:p w14:paraId="1642B466" w14:textId="77777777" w:rsidR="00197C31" w:rsidRDefault="00197C31" w:rsidP="000A5389">
      <w:pPr>
        <w:spacing w:line="240" w:lineRule="auto"/>
        <w:rPr>
          <w:rFonts w:cs="Times New Roman"/>
          <w:szCs w:val="24"/>
        </w:rPr>
      </w:pPr>
    </w:p>
    <w:p w14:paraId="7AB2A539" w14:textId="2521A1A3" w:rsidR="003D5DB4" w:rsidRPr="002E1B4B" w:rsidRDefault="003D5DB4" w:rsidP="000A5389">
      <w:pPr>
        <w:spacing w:line="240" w:lineRule="auto"/>
        <w:rPr>
          <w:rFonts w:cs="Times New Roman"/>
          <w:szCs w:val="24"/>
        </w:rPr>
      </w:pPr>
      <w:r w:rsidRPr="002E1B4B">
        <w:rPr>
          <w:rFonts w:cs="Times New Roman"/>
          <w:szCs w:val="24"/>
        </w:rPr>
        <w:t>Fechas de las adiciones o modificaciones:</w:t>
      </w:r>
      <w:r w:rsidRPr="002E1B4B">
        <w:rPr>
          <w:rFonts w:cs="Times New Roman"/>
          <w:szCs w:val="24"/>
        </w:rPr>
        <w:tab/>
        <w:t>NINGUNA</w:t>
      </w:r>
    </w:p>
    <w:p w14:paraId="3279788A" w14:textId="77777777" w:rsidR="003D5DB4" w:rsidRPr="002E1B4B" w:rsidRDefault="003D5DB4" w:rsidP="000A5389">
      <w:pPr>
        <w:spacing w:line="240" w:lineRule="auto"/>
        <w:rPr>
          <w:rFonts w:cs="Times New Roman"/>
          <w:szCs w:val="24"/>
        </w:rPr>
      </w:pPr>
      <w:r w:rsidRPr="002E1B4B">
        <w:rPr>
          <w:rFonts w:cs="Times New Roman"/>
          <w:szCs w:val="24"/>
        </w:rPr>
        <w:t>Nueva Fecha de finalización estimada:</w:t>
      </w:r>
      <w:r w:rsidRPr="002E1B4B">
        <w:rPr>
          <w:rFonts w:cs="Times New Roman"/>
          <w:szCs w:val="24"/>
        </w:rPr>
        <w:tab/>
        <w:t>No Aplica</w:t>
      </w:r>
    </w:p>
    <w:p w14:paraId="79121148" w14:textId="77777777" w:rsidR="003D5DB4" w:rsidRPr="002E1B4B" w:rsidRDefault="003D5DB4" w:rsidP="000A5389">
      <w:pPr>
        <w:spacing w:line="240" w:lineRule="auto"/>
        <w:rPr>
          <w:rFonts w:cs="Times New Roman"/>
          <w:szCs w:val="24"/>
        </w:rPr>
      </w:pPr>
      <w:r w:rsidRPr="002E1B4B">
        <w:rPr>
          <w:rFonts w:cs="Times New Roman"/>
          <w:szCs w:val="24"/>
        </w:rPr>
        <w:t>Observaciones:</w:t>
      </w:r>
      <w:r w:rsidRPr="002E1B4B">
        <w:rPr>
          <w:rFonts w:cs="Times New Roman"/>
          <w:szCs w:val="24"/>
        </w:rPr>
        <w:tab/>
      </w:r>
    </w:p>
    <w:p w14:paraId="1FF45EB8" w14:textId="77777777" w:rsidR="00197C31" w:rsidRDefault="00197C31" w:rsidP="000A5389">
      <w:pPr>
        <w:spacing w:line="240" w:lineRule="auto"/>
        <w:rPr>
          <w:rFonts w:cs="Times New Roman"/>
          <w:szCs w:val="24"/>
        </w:rPr>
      </w:pPr>
    </w:p>
    <w:p w14:paraId="452DFE7A" w14:textId="180F59CA" w:rsidR="003D5DB4" w:rsidRPr="002E1B4B" w:rsidRDefault="003D5DB4" w:rsidP="000A5389">
      <w:pPr>
        <w:spacing w:line="240" w:lineRule="auto"/>
        <w:rPr>
          <w:rFonts w:cs="Times New Roman"/>
          <w:szCs w:val="24"/>
        </w:rPr>
      </w:pPr>
      <w:r w:rsidRPr="002E1B4B">
        <w:rPr>
          <w:rFonts w:cs="Times New Roman"/>
          <w:szCs w:val="24"/>
        </w:rPr>
        <w:t>Adiciones o modificaciones en valor</w:t>
      </w:r>
    </w:p>
    <w:p w14:paraId="19282C03" w14:textId="77777777" w:rsidR="00197C31" w:rsidRDefault="00197C31" w:rsidP="000A5389">
      <w:pPr>
        <w:spacing w:line="240" w:lineRule="auto"/>
        <w:rPr>
          <w:rFonts w:cs="Times New Roman"/>
          <w:szCs w:val="24"/>
        </w:rPr>
      </w:pPr>
    </w:p>
    <w:p w14:paraId="108869F6" w14:textId="7CE2857E" w:rsidR="003D5DB4" w:rsidRPr="002E1B4B" w:rsidRDefault="003D5DB4" w:rsidP="000A5389">
      <w:pPr>
        <w:spacing w:line="240" w:lineRule="auto"/>
        <w:rPr>
          <w:rFonts w:cs="Times New Roman"/>
          <w:szCs w:val="24"/>
        </w:rPr>
      </w:pPr>
      <w:r w:rsidRPr="002E1B4B">
        <w:rPr>
          <w:rFonts w:cs="Times New Roman"/>
          <w:szCs w:val="24"/>
        </w:rPr>
        <w:t>Valor de la adición o modificación: No Aplica</w:t>
      </w:r>
    </w:p>
    <w:p w14:paraId="5C55BB76" w14:textId="77777777" w:rsidR="003D5DB4" w:rsidRPr="002E1B4B" w:rsidRDefault="003D5DB4" w:rsidP="000A5389">
      <w:pPr>
        <w:spacing w:line="240" w:lineRule="auto"/>
        <w:rPr>
          <w:rFonts w:cs="Times New Roman"/>
          <w:szCs w:val="24"/>
        </w:rPr>
      </w:pPr>
      <w:r w:rsidRPr="002E1B4B">
        <w:rPr>
          <w:rFonts w:cs="Times New Roman"/>
          <w:szCs w:val="24"/>
        </w:rPr>
        <w:t>Nuevo valor del acuerdo: No Aplica</w:t>
      </w:r>
    </w:p>
    <w:p w14:paraId="60058771" w14:textId="77777777" w:rsidR="003D5DB4" w:rsidRPr="002E1B4B" w:rsidRDefault="003D5DB4" w:rsidP="000A5389">
      <w:pPr>
        <w:spacing w:line="240" w:lineRule="auto"/>
        <w:rPr>
          <w:rFonts w:cs="Times New Roman"/>
          <w:szCs w:val="24"/>
        </w:rPr>
      </w:pPr>
      <w:r w:rsidRPr="002E1B4B">
        <w:rPr>
          <w:rFonts w:cs="Times New Roman"/>
          <w:szCs w:val="24"/>
        </w:rPr>
        <w:t>Observaciones: No Aplica</w:t>
      </w:r>
    </w:p>
    <w:p w14:paraId="4F29D144" w14:textId="77777777" w:rsidR="003D5DB4" w:rsidRDefault="003D5DB4" w:rsidP="000A5389">
      <w:pPr>
        <w:spacing w:line="240" w:lineRule="auto"/>
        <w:rPr>
          <w:rFonts w:cs="Times New Roman"/>
          <w:szCs w:val="24"/>
        </w:rPr>
      </w:pPr>
    </w:p>
    <w:p w14:paraId="1EFE6D13" w14:textId="77777777" w:rsidR="00197C31" w:rsidRPr="00197C31" w:rsidRDefault="00197C31" w:rsidP="000A5389">
      <w:pPr>
        <w:spacing w:line="240" w:lineRule="auto"/>
        <w:rPr>
          <w:rFonts w:cs="Times New Roman"/>
          <w:i/>
          <w:iCs/>
          <w:szCs w:val="24"/>
        </w:rPr>
      </w:pPr>
    </w:p>
    <w:p w14:paraId="124E0808" w14:textId="77777777" w:rsidR="003D5DB4" w:rsidRPr="00197C31" w:rsidRDefault="003D5DB4" w:rsidP="000A5389">
      <w:pPr>
        <w:spacing w:line="240" w:lineRule="auto"/>
        <w:rPr>
          <w:rFonts w:cs="Times New Roman"/>
          <w:i/>
          <w:iCs/>
          <w:szCs w:val="24"/>
        </w:rPr>
      </w:pPr>
      <w:r w:rsidRPr="00197C31">
        <w:rPr>
          <w:rFonts w:cs="Times New Roman"/>
          <w:i/>
          <w:iCs/>
          <w:szCs w:val="24"/>
        </w:rPr>
        <w:t>CONCESION BRICEÑO – TUNJA - SOGAMOSO</w:t>
      </w:r>
    </w:p>
    <w:p w14:paraId="2DE0EA6E" w14:textId="77777777" w:rsidR="00197C31" w:rsidRDefault="00197C31" w:rsidP="00197C31">
      <w:pPr>
        <w:spacing w:line="240" w:lineRule="auto"/>
        <w:rPr>
          <w:rFonts w:cs="Times New Roman"/>
          <w:szCs w:val="24"/>
        </w:rPr>
      </w:pPr>
    </w:p>
    <w:p w14:paraId="5696C4B7" w14:textId="283900D0" w:rsidR="003D5DB4" w:rsidRPr="00197C31" w:rsidRDefault="003D5DB4" w:rsidP="00197C31">
      <w:pPr>
        <w:spacing w:line="240" w:lineRule="auto"/>
        <w:rPr>
          <w:rFonts w:cs="Times New Roman"/>
          <w:szCs w:val="24"/>
        </w:rPr>
      </w:pPr>
      <w:r w:rsidRPr="00197C31">
        <w:rPr>
          <w:rFonts w:cs="Times New Roman"/>
          <w:szCs w:val="24"/>
        </w:rPr>
        <w:t>Descripción del Acuerdo</w:t>
      </w:r>
    </w:p>
    <w:p w14:paraId="710587F4" w14:textId="488507B3" w:rsidR="003D5DB4" w:rsidRDefault="003D5DB4" w:rsidP="000A5389">
      <w:pPr>
        <w:spacing w:line="240" w:lineRule="auto"/>
        <w:rPr>
          <w:rFonts w:cs="Times New Roman"/>
          <w:szCs w:val="24"/>
        </w:rPr>
      </w:pPr>
      <w:r w:rsidRPr="002E1B4B">
        <w:rPr>
          <w:rFonts w:cs="Times New Roman"/>
          <w:szCs w:val="24"/>
        </w:rPr>
        <w:t xml:space="preserve">Número del Acuerdo de concesión:  CONTRATO DE CONCESIÓN Nro. 377 DE 2002 CORRESPONDIENTE AL CORREDOR DENOMINADO “BRICEÑO – TUNJA </w:t>
      </w:r>
      <w:r w:rsidR="00197C31">
        <w:rPr>
          <w:rFonts w:cs="Times New Roman"/>
          <w:szCs w:val="24"/>
        </w:rPr>
        <w:t>–</w:t>
      </w:r>
      <w:r w:rsidRPr="002E1B4B">
        <w:rPr>
          <w:rFonts w:cs="Times New Roman"/>
          <w:szCs w:val="24"/>
        </w:rPr>
        <w:t xml:space="preserve"> SOGAMOSO</w:t>
      </w:r>
    </w:p>
    <w:p w14:paraId="54674BF3" w14:textId="77777777" w:rsidR="00197C31" w:rsidRPr="002E1B4B" w:rsidRDefault="00197C31" w:rsidP="000A5389">
      <w:pPr>
        <w:spacing w:line="240" w:lineRule="auto"/>
        <w:rPr>
          <w:rFonts w:cs="Times New Roman"/>
          <w:szCs w:val="24"/>
        </w:rPr>
      </w:pPr>
    </w:p>
    <w:p w14:paraId="7C3D95EC" w14:textId="77777777" w:rsidR="003D5DB4" w:rsidRPr="002E1B4B" w:rsidRDefault="003D5DB4" w:rsidP="000A5389">
      <w:pPr>
        <w:spacing w:line="240" w:lineRule="auto"/>
        <w:rPr>
          <w:rFonts w:cs="Times New Roman"/>
          <w:szCs w:val="24"/>
        </w:rPr>
      </w:pPr>
      <w:r w:rsidRPr="002E1B4B">
        <w:rPr>
          <w:rFonts w:cs="Times New Roman"/>
          <w:szCs w:val="24"/>
        </w:rPr>
        <w:t>Objeto / Descripción:  Concesión para que realice a su cuenta y riesgo, los estudios y diseños definitivos, las obras de construcción, rehabilitación y mejoramiento, la operación y el mantenimiento de los trayectos, la prestación de servicios y el uso de los bienes de propiedad de la Agencia Nacional de Infraestructura dados en concesión, para la cabal ejecución del proyecto del Corredor BTS</w:t>
      </w:r>
    </w:p>
    <w:p w14:paraId="61AD695B" w14:textId="77777777" w:rsidR="003D5DB4" w:rsidRPr="002E1B4B" w:rsidRDefault="003D5DB4" w:rsidP="000A5389">
      <w:pPr>
        <w:spacing w:line="240" w:lineRule="auto"/>
        <w:rPr>
          <w:rFonts w:cs="Times New Roman"/>
          <w:szCs w:val="24"/>
        </w:rPr>
      </w:pPr>
      <w:r w:rsidRPr="002E1B4B">
        <w:rPr>
          <w:rFonts w:cs="Times New Roman"/>
          <w:szCs w:val="24"/>
        </w:rPr>
        <w:t>Valor inicial:</w:t>
      </w:r>
      <w:r w:rsidRPr="002E1B4B">
        <w:rPr>
          <w:rFonts w:cs="Times New Roman"/>
          <w:szCs w:val="24"/>
        </w:rPr>
        <w:tab/>
        <w:t>$238.853.000.000 pesos de julio de 2000</w:t>
      </w:r>
    </w:p>
    <w:p w14:paraId="54AFB42E" w14:textId="77777777" w:rsidR="003D5DB4" w:rsidRPr="002E1B4B" w:rsidRDefault="003D5DB4" w:rsidP="000A5389">
      <w:pPr>
        <w:spacing w:line="240" w:lineRule="auto"/>
        <w:rPr>
          <w:rFonts w:cs="Times New Roman"/>
          <w:szCs w:val="24"/>
        </w:rPr>
      </w:pPr>
    </w:p>
    <w:p w14:paraId="73A026AB" w14:textId="77777777" w:rsidR="003D5DB4" w:rsidRPr="002E1B4B" w:rsidRDefault="003D5DB4" w:rsidP="000A5389">
      <w:pPr>
        <w:spacing w:line="240" w:lineRule="auto"/>
        <w:rPr>
          <w:rFonts w:cs="Times New Roman"/>
          <w:szCs w:val="24"/>
        </w:rPr>
      </w:pPr>
      <w:r w:rsidRPr="002E1B4B">
        <w:rPr>
          <w:rFonts w:cs="Times New Roman"/>
          <w:szCs w:val="24"/>
        </w:rPr>
        <w:t>Fecha de inicio: 23 de septiembre de 2002</w:t>
      </w:r>
    </w:p>
    <w:p w14:paraId="61F865C8" w14:textId="7452ED1A" w:rsidR="003D5DB4" w:rsidRPr="002E1B4B" w:rsidRDefault="003D5DB4" w:rsidP="000A5389">
      <w:pPr>
        <w:spacing w:line="240" w:lineRule="auto"/>
        <w:rPr>
          <w:rFonts w:cs="Times New Roman"/>
          <w:szCs w:val="24"/>
        </w:rPr>
      </w:pPr>
      <w:r w:rsidRPr="002E1B4B">
        <w:rPr>
          <w:rFonts w:cs="Times New Roman"/>
          <w:szCs w:val="24"/>
        </w:rPr>
        <w:t xml:space="preserve">Fecha de finalización estimada: </w:t>
      </w:r>
      <w:r w:rsidR="00197C31" w:rsidRPr="002E1B4B">
        <w:rPr>
          <w:rFonts w:cs="Times New Roman"/>
          <w:szCs w:val="24"/>
        </w:rPr>
        <w:t>noviembre</w:t>
      </w:r>
      <w:r w:rsidRPr="002E1B4B">
        <w:rPr>
          <w:rFonts w:cs="Times New Roman"/>
          <w:szCs w:val="24"/>
        </w:rPr>
        <w:t xml:space="preserve"> de 2031</w:t>
      </w:r>
    </w:p>
    <w:p w14:paraId="116586A5" w14:textId="77777777" w:rsidR="003D5DB4" w:rsidRPr="002E1B4B" w:rsidRDefault="003D5DB4" w:rsidP="000A5389">
      <w:pPr>
        <w:spacing w:line="240" w:lineRule="auto"/>
        <w:rPr>
          <w:rFonts w:cs="Times New Roman"/>
          <w:szCs w:val="24"/>
        </w:rPr>
      </w:pPr>
      <w:r w:rsidRPr="002E1B4B">
        <w:rPr>
          <w:rFonts w:cs="Times New Roman"/>
          <w:szCs w:val="24"/>
        </w:rPr>
        <w:t>Tipo ID:</w:t>
      </w:r>
      <w:r w:rsidRPr="002E1B4B">
        <w:rPr>
          <w:rFonts w:cs="Times New Roman"/>
          <w:szCs w:val="24"/>
        </w:rPr>
        <w:tab/>
      </w:r>
    </w:p>
    <w:p w14:paraId="7EEB2B60" w14:textId="77777777" w:rsidR="003D5DB4" w:rsidRPr="002E1B4B" w:rsidRDefault="003D5DB4" w:rsidP="000A5389">
      <w:pPr>
        <w:spacing w:line="240" w:lineRule="auto"/>
        <w:rPr>
          <w:rFonts w:cs="Times New Roman"/>
          <w:szCs w:val="24"/>
        </w:rPr>
      </w:pPr>
      <w:r w:rsidRPr="002E1B4B">
        <w:rPr>
          <w:rFonts w:cs="Times New Roman"/>
          <w:szCs w:val="24"/>
        </w:rPr>
        <w:t>Número ID:</w:t>
      </w:r>
      <w:r w:rsidRPr="002E1B4B">
        <w:rPr>
          <w:rFonts w:cs="Times New Roman"/>
          <w:szCs w:val="24"/>
        </w:rPr>
        <w:tab/>
        <w:t>901.371.481-9</w:t>
      </w:r>
    </w:p>
    <w:p w14:paraId="1EEBEE00" w14:textId="77777777" w:rsidR="003D5DB4" w:rsidRPr="002E1B4B" w:rsidRDefault="003D5DB4" w:rsidP="000A5389">
      <w:pPr>
        <w:spacing w:line="240" w:lineRule="auto"/>
        <w:rPr>
          <w:rFonts w:cs="Times New Roman"/>
          <w:szCs w:val="24"/>
        </w:rPr>
      </w:pPr>
      <w:r w:rsidRPr="002E1B4B">
        <w:rPr>
          <w:rFonts w:cs="Times New Roman"/>
          <w:szCs w:val="24"/>
        </w:rPr>
        <w:t>Razón social del concesionario: BTS Concesionario S.A.S</w:t>
      </w:r>
    </w:p>
    <w:p w14:paraId="5C162DAC" w14:textId="77777777" w:rsidR="003D5DB4" w:rsidRPr="002E1B4B" w:rsidRDefault="003D5DB4" w:rsidP="000A5389">
      <w:pPr>
        <w:spacing w:line="240" w:lineRule="auto"/>
        <w:rPr>
          <w:rFonts w:cs="Times New Roman"/>
          <w:szCs w:val="24"/>
        </w:rPr>
      </w:pPr>
      <w:r w:rsidRPr="002E1B4B">
        <w:rPr>
          <w:rFonts w:cs="Times New Roman"/>
          <w:szCs w:val="24"/>
        </w:rPr>
        <w:t>Nombre del proyecto: Concesión Briceño - Tunja - Sogamoso</w:t>
      </w:r>
    </w:p>
    <w:p w14:paraId="59E2F7C0" w14:textId="77777777" w:rsidR="003D5DB4" w:rsidRPr="002E1B4B" w:rsidRDefault="003D5DB4" w:rsidP="000A5389">
      <w:pPr>
        <w:spacing w:line="240" w:lineRule="auto"/>
        <w:rPr>
          <w:rFonts w:cs="Times New Roman"/>
          <w:szCs w:val="24"/>
        </w:rPr>
      </w:pPr>
    </w:p>
    <w:p w14:paraId="7347598A" w14:textId="743D923D" w:rsidR="003D5DB4" w:rsidRPr="00197C31" w:rsidRDefault="003D5DB4" w:rsidP="00197C31">
      <w:pPr>
        <w:spacing w:line="240" w:lineRule="auto"/>
        <w:rPr>
          <w:rFonts w:cs="Times New Roman"/>
          <w:szCs w:val="24"/>
        </w:rPr>
      </w:pPr>
      <w:r w:rsidRPr="00197C31">
        <w:rPr>
          <w:rFonts w:cs="Times New Roman"/>
          <w:szCs w:val="24"/>
        </w:rPr>
        <w:t>Términos significativos del Acuerdo que puedan afectar su valor, el calendario y la certeza de los flujos de efectivo futuros</w:t>
      </w:r>
    </w:p>
    <w:p w14:paraId="5F7B2894" w14:textId="77777777" w:rsidR="00197C31" w:rsidRDefault="00197C31" w:rsidP="000A5389">
      <w:pPr>
        <w:spacing w:line="240" w:lineRule="auto"/>
        <w:rPr>
          <w:rFonts w:cs="Times New Roman"/>
          <w:szCs w:val="24"/>
        </w:rPr>
      </w:pPr>
    </w:p>
    <w:p w14:paraId="1342E657" w14:textId="7E09F7FA" w:rsidR="003D5DB4" w:rsidRPr="002E1B4B" w:rsidRDefault="003D5DB4" w:rsidP="000A5389">
      <w:pPr>
        <w:spacing w:line="240" w:lineRule="auto"/>
        <w:rPr>
          <w:rFonts w:cs="Times New Roman"/>
          <w:szCs w:val="24"/>
        </w:rPr>
      </w:pPr>
      <w:r w:rsidRPr="002E1B4B">
        <w:rPr>
          <w:rFonts w:cs="Times New Roman"/>
          <w:szCs w:val="24"/>
        </w:rPr>
        <w:t xml:space="preserve">Términos de valor: En la vigencia fiscal 2025 no se presentaron hechos que afectaran el valor del contrato ni sus variables económicas es asi que se mantiene el ingreso esperado en $1.8 billones de pesos de diciembre del 2000 y El valor del contrato en $238.853.000.000 de julio de 2000 así mismo El valor de las tarifas de peaje para las Casetas El Roble, Tuta y Albarracín será ajustado el quince (15) de enero de cada año de acuerdo con el incremento del IPC. </w:t>
      </w:r>
    </w:p>
    <w:p w14:paraId="088B5DF8" w14:textId="77777777" w:rsidR="003D5DB4" w:rsidRDefault="003D5DB4" w:rsidP="000A5389">
      <w:pPr>
        <w:spacing w:line="240" w:lineRule="auto"/>
        <w:rPr>
          <w:rFonts w:cs="Times New Roman"/>
          <w:szCs w:val="24"/>
        </w:rPr>
      </w:pPr>
      <w:r w:rsidRPr="002E1B4B">
        <w:rPr>
          <w:rFonts w:cs="Times New Roman"/>
          <w:szCs w:val="24"/>
        </w:rPr>
        <w:t xml:space="preserve">Términos de calendario: En el periodo fiscal 2024 en el proyecto se suscribió el acta de reversión entre el Concesionario y la interventoría (BTS-Consorcio Interventor ANI) de los siguientes trayectos 8, 9 y 17. </w:t>
      </w:r>
    </w:p>
    <w:p w14:paraId="6B52033B" w14:textId="77777777" w:rsidR="00197C31" w:rsidRPr="002E1B4B" w:rsidRDefault="00197C31" w:rsidP="000A5389">
      <w:pPr>
        <w:spacing w:line="240" w:lineRule="auto"/>
        <w:rPr>
          <w:rFonts w:cs="Times New Roman"/>
          <w:szCs w:val="24"/>
        </w:rPr>
      </w:pPr>
    </w:p>
    <w:p w14:paraId="65A095B5" w14:textId="77777777" w:rsidR="003D5DB4" w:rsidRPr="002E1B4B" w:rsidRDefault="003D5DB4" w:rsidP="000A5389">
      <w:pPr>
        <w:spacing w:line="240" w:lineRule="auto"/>
        <w:rPr>
          <w:rFonts w:cs="Times New Roman"/>
          <w:szCs w:val="24"/>
        </w:rPr>
      </w:pPr>
      <w:r w:rsidRPr="002E1B4B">
        <w:rPr>
          <w:rFonts w:cs="Times New Roman"/>
          <w:szCs w:val="24"/>
        </w:rPr>
        <w:t>Términos de certeza de flujos de efectivo futuros: En la vigencia 2024 se articularon acciones para adelantar el   proceso de reversión de los trayectos 8 a 11,17 y18 al INVIAS en el marco del otro si No 21 del 16 de octubre de 2020, dicha reversión se logró en mayo de 2024, fecha desde la cual el Concesionario ha realizado fondeos mensuales por $1.666.666.666 pesos constantes de julio de 2020. Actualmente, se encuentra vigente el laudo con radicación 4677 del 1 febrero de 2019, sin embargo, a la fecha no se ha cumplido el hito contractual establecido parágrafo 3° de la cláusula 27.3 el cual condiciona el pago a la finalización de la gestión predial, entendida como la adquisición del último predio. Es relevante señalar que el Plan de Aportes aprobado por el Ministerio de Hacienda y Crédito Público para la cobertura del riesgo predial del proyecto asciende a la suma de $60.185.000.000, expresados en pesos constantes del mes de referencia. Al actualizar dicho valor a pesos de diciembre de 2025, el monto equivalente corresponde a $211.795.006.933,21, se concluye que con estos recursos aportados en el Fondo de Contingencias de las Entidades Estatales son suficientes para atender las obligaciones por este concepto.</w:t>
      </w:r>
    </w:p>
    <w:p w14:paraId="5C9C3DCF" w14:textId="77777777" w:rsidR="003D5DB4" w:rsidRPr="00197C31" w:rsidRDefault="003D5DB4" w:rsidP="00197C31">
      <w:pPr>
        <w:spacing w:line="240" w:lineRule="auto"/>
        <w:rPr>
          <w:rFonts w:cs="Times New Roman"/>
          <w:szCs w:val="24"/>
        </w:rPr>
      </w:pPr>
      <w:r w:rsidRPr="00197C31">
        <w:rPr>
          <w:rFonts w:cs="Times New Roman"/>
          <w:szCs w:val="24"/>
        </w:rPr>
        <w:t>Naturaleza y alcance del derecho a utilizar Activos y los aspectos pactados en torno a lo que se espera que el concesionario proporcione en relación con el Acuerdo de concesión</w:t>
      </w:r>
    </w:p>
    <w:p w14:paraId="3B05A727" w14:textId="77777777" w:rsidR="00197C31" w:rsidRDefault="00197C31" w:rsidP="000A5389">
      <w:pPr>
        <w:spacing w:line="240" w:lineRule="auto"/>
        <w:rPr>
          <w:rFonts w:cs="Times New Roman"/>
          <w:szCs w:val="24"/>
        </w:rPr>
      </w:pPr>
    </w:p>
    <w:p w14:paraId="70FC0E1B" w14:textId="754D8C20" w:rsidR="003D5DB4" w:rsidRPr="002E1B4B" w:rsidRDefault="003D5DB4" w:rsidP="000A5389">
      <w:pPr>
        <w:spacing w:line="240" w:lineRule="auto"/>
        <w:rPr>
          <w:rFonts w:cs="Times New Roman"/>
          <w:szCs w:val="24"/>
        </w:rPr>
      </w:pPr>
      <w:r w:rsidRPr="002E1B4B">
        <w:rPr>
          <w:rFonts w:cs="Times New Roman"/>
          <w:szCs w:val="24"/>
        </w:rPr>
        <w:t>Naturaleza y alcance del derecho de uso de los Activos</w:t>
      </w:r>
    </w:p>
    <w:p w14:paraId="54E4DD0D" w14:textId="77777777" w:rsidR="00197C31" w:rsidRDefault="00197C31" w:rsidP="000A5389">
      <w:pPr>
        <w:spacing w:line="240" w:lineRule="auto"/>
        <w:rPr>
          <w:rFonts w:cs="Times New Roman"/>
          <w:szCs w:val="24"/>
        </w:rPr>
      </w:pPr>
    </w:p>
    <w:p w14:paraId="10B60ED5" w14:textId="62EA6300" w:rsidR="003D5DB4" w:rsidRDefault="003D5DB4" w:rsidP="000A5389">
      <w:pPr>
        <w:spacing w:line="240" w:lineRule="auto"/>
        <w:rPr>
          <w:rFonts w:cs="Times New Roman"/>
          <w:szCs w:val="24"/>
        </w:rPr>
      </w:pPr>
      <w:r w:rsidRPr="002E1B4B">
        <w:rPr>
          <w:rFonts w:cs="Times New Roman"/>
          <w:szCs w:val="24"/>
        </w:rPr>
        <w:t xml:space="preserve">Descripción: El contrato establece que sin perjuicio del derecho que tiene el concesionario de usar y explotar económicamente los bienes que hacen parte del proyecto, se entenderá que el INVIAS (hoy ANI) se hará propietario de las obras que conforman el proyecto, al momento de su ejecución, e los equipos que conforman el proyecto al momento de su instalación y de la infraestructura de peajes instalada por los terceros concesionarios en razón de los contratos de operación y recaudo de peajes. </w:t>
      </w:r>
    </w:p>
    <w:p w14:paraId="25E9ACDD" w14:textId="77777777" w:rsidR="00197C31" w:rsidRPr="002E1B4B" w:rsidRDefault="00197C31" w:rsidP="000A5389">
      <w:pPr>
        <w:spacing w:line="240" w:lineRule="auto"/>
        <w:rPr>
          <w:rFonts w:cs="Times New Roman"/>
          <w:szCs w:val="24"/>
        </w:rPr>
      </w:pPr>
    </w:p>
    <w:p w14:paraId="3363BFF2" w14:textId="77777777" w:rsidR="003D5DB4" w:rsidRPr="002E1B4B" w:rsidRDefault="003D5DB4" w:rsidP="000A5389">
      <w:pPr>
        <w:spacing w:line="240" w:lineRule="auto"/>
        <w:rPr>
          <w:rFonts w:cs="Times New Roman"/>
          <w:szCs w:val="24"/>
        </w:rPr>
      </w:pPr>
      <w:r w:rsidRPr="002E1B4B">
        <w:rPr>
          <w:rFonts w:cs="Times New Roman"/>
          <w:szCs w:val="24"/>
        </w:rPr>
        <w:t>Observaciones: Sin observaciones</w:t>
      </w:r>
    </w:p>
    <w:p w14:paraId="65F2705F" w14:textId="77777777" w:rsidR="00197C31" w:rsidRDefault="00197C31" w:rsidP="000A5389">
      <w:pPr>
        <w:spacing w:line="240" w:lineRule="auto"/>
        <w:rPr>
          <w:rFonts w:cs="Times New Roman"/>
          <w:szCs w:val="24"/>
        </w:rPr>
      </w:pPr>
    </w:p>
    <w:p w14:paraId="14C77418" w14:textId="109958DA" w:rsidR="003D5DB4" w:rsidRPr="002E1B4B" w:rsidRDefault="003D5DB4" w:rsidP="000A5389">
      <w:pPr>
        <w:spacing w:line="240" w:lineRule="auto"/>
        <w:rPr>
          <w:rFonts w:cs="Times New Roman"/>
          <w:szCs w:val="24"/>
        </w:rPr>
      </w:pPr>
      <w:r w:rsidRPr="002E1B4B">
        <w:rPr>
          <w:rFonts w:cs="Times New Roman"/>
          <w:szCs w:val="24"/>
        </w:rPr>
        <w:t>Retribución al concesionario</w:t>
      </w:r>
    </w:p>
    <w:p w14:paraId="42BD73A4" w14:textId="090CD4B0" w:rsidR="003D5DB4" w:rsidRDefault="003D5DB4" w:rsidP="000A5389">
      <w:pPr>
        <w:spacing w:line="240" w:lineRule="auto"/>
        <w:rPr>
          <w:rFonts w:cs="Times New Roman"/>
          <w:szCs w:val="24"/>
        </w:rPr>
      </w:pPr>
      <w:r w:rsidRPr="002E1B4B">
        <w:rPr>
          <w:rFonts w:cs="Times New Roman"/>
          <w:szCs w:val="24"/>
        </w:rPr>
        <w:t>Descripción:</w:t>
      </w:r>
      <w:r w:rsidRPr="002E1B4B">
        <w:rPr>
          <w:rFonts w:cs="Times New Roman"/>
          <w:szCs w:val="24"/>
        </w:rPr>
        <w:tab/>
        <w:t xml:space="preserve">En el periodo fiscal 2025, no se presentaron hechos que modificaran la remuneración, regulada en la cláusula 15 del contrato de concesión que </w:t>
      </w:r>
      <w:r w:rsidR="00197C31" w:rsidRPr="002E1B4B">
        <w:rPr>
          <w:rFonts w:cs="Times New Roman"/>
          <w:szCs w:val="24"/>
        </w:rPr>
        <w:t>básicamente establece</w:t>
      </w:r>
      <w:r w:rsidRPr="002E1B4B">
        <w:rPr>
          <w:rFonts w:cs="Times New Roman"/>
          <w:szCs w:val="24"/>
        </w:rPr>
        <w:t xml:space="preserve"> que la remuneración consistirá en el recaudo de peajes, los pagos Estatales y demás compensaciones a favor del concesionario</w:t>
      </w:r>
    </w:p>
    <w:p w14:paraId="11C3766C" w14:textId="77777777" w:rsidR="00197C31" w:rsidRPr="002E1B4B" w:rsidRDefault="00197C31" w:rsidP="000A5389">
      <w:pPr>
        <w:spacing w:line="240" w:lineRule="auto"/>
        <w:rPr>
          <w:rFonts w:cs="Times New Roman"/>
          <w:szCs w:val="24"/>
        </w:rPr>
      </w:pPr>
    </w:p>
    <w:p w14:paraId="790A39E2" w14:textId="77777777" w:rsidR="003D5DB4" w:rsidRPr="002E1B4B" w:rsidRDefault="003D5DB4" w:rsidP="000A5389">
      <w:pPr>
        <w:spacing w:line="240" w:lineRule="auto"/>
        <w:rPr>
          <w:rFonts w:cs="Times New Roman"/>
          <w:szCs w:val="24"/>
        </w:rPr>
      </w:pPr>
      <w:r w:rsidRPr="002E1B4B">
        <w:rPr>
          <w:rFonts w:cs="Times New Roman"/>
          <w:szCs w:val="24"/>
        </w:rPr>
        <w:t>Tasa de retribución:</w:t>
      </w:r>
      <w:r w:rsidRPr="002E1B4B">
        <w:rPr>
          <w:rFonts w:cs="Times New Roman"/>
          <w:szCs w:val="24"/>
        </w:rPr>
        <w:tab/>
        <w:t>El contrato establece que la remuneración al concesionario se realizará hasta alcanzar el ingreso esperado del Contrato el cual asciende a 1.8 billones a precios de diciembre de 2000. La Tasa de descuento nominal mensual empleada en el modelo financiero con fines contables fue 0.91%</w:t>
      </w:r>
    </w:p>
    <w:p w14:paraId="185B951B" w14:textId="77777777" w:rsidR="003D5DB4" w:rsidRPr="002E1B4B" w:rsidRDefault="003D5DB4" w:rsidP="000A5389">
      <w:pPr>
        <w:spacing w:line="240" w:lineRule="auto"/>
        <w:rPr>
          <w:rFonts w:cs="Times New Roman"/>
          <w:szCs w:val="24"/>
        </w:rPr>
      </w:pPr>
    </w:p>
    <w:p w14:paraId="0C73E5FB" w14:textId="77777777" w:rsidR="003D5DB4" w:rsidRPr="00197C31" w:rsidRDefault="003D5DB4" w:rsidP="00197C31">
      <w:pPr>
        <w:spacing w:line="240" w:lineRule="auto"/>
        <w:rPr>
          <w:rFonts w:cs="Times New Roman"/>
          <w:szCs w:val="24"/>
        </w:rPr>
      </w:pPr>
      <w:r w:rsidRPr="00197C31">
        <w:rPr>
          <w:rFonts w:cs="Times New Roman"/>
          <w:szCs w:val="24"/>
        </w:rPr>
        <w:t>Derechos a recibir Activos especificados al final del acuerdo de concesión</w:t>
      </w:r>
    </w:p>
    <w:p w14:paraId="6CE8B5A6" w14:textId="77777777" w:rsidR="00197C31" w:rsidRDefault="00197C31" w:rsidP="000A5389">
      <w:pPr>
        <w:spacing w:line="240" w:lineRule="auto"/>
        <w:rPr>
          <w:rFonts w:cs="Times New Roman"/>
          <w:szCs w:val="24"/>
        </w:rPr>
      </w:pPr>
    </w:p>
    <w:p w14:paraId="554A985D" w14:textId="67F9957C" w:rsidR="003D5DB4" w:rsidRDefault="003D5DB4" w:rsidP="000A5389">
      <w:pPr>
        <w:spacing w:line="240" w:lineRule="auto"/>
        <w:rPr>
          <w:rFonts w:cs="Times New Roman"/>
          <w:szCs w:val="24"/>
        </w:rPr>
      </w:pPr>
      <w:r w:rsidRPr="002E1B4B">
        <w:rPr>
          <w:rFonts w:cs="Times New Roman"/>
          <w:szCs w:val="24"/>
        </w:rPr>
        <w:t>Descripción:</w:t>
      </w:r>
      <w:r w:rsidRPr="002E1B4B">
        <w:rPr>
          <w:rFonts w:cs="Times New Roman"/>
          <w:szCs w:val="24"/>
        </w:rPr>
        <w:tab/>
        <w:t xml:space="preserve">La cláusula 14 del contrato de concesión indica lo relacionado con la devolución y reversión de bienes. </w:t>
      </w:r>
    </w:p>
    <w:p w14:paraId="6EA59625" w14:textId="77777777" w:rsidR="00197C31" w:rsidRPr="002E1B4B" w:rsidRDefault="00197C31" w:rsidP="000A5389">
      <w:pPr>
        <w:spacing w:line="240" w:lineRule="auto"/>
        <w:rPr>
          <w:rFonts w:cs="Times New Roman"/>
          <w:szCs w:val="24"/>
        </w:rPr>
      </w:pPr>
    </w:p>
    <w:p w14:paraId="29C3FAE2" w14:textId="77777777" w:rsidR="003D5DB4" w:rsidRPr="002E1B4B" w:rsidRDefault="003D5DB4" w:rsidP="000A5389">
      <w:pPr>
        <w:spacing w:line="240" w:lineRule="auto"/>
        <w:rPr>
          <w:rFonts w:cs="Times New Roman"/>
          <w:szCs w:val="24"/>
        </w:rPr>
      </w:pPr>
      <w:r w:rsidRPr="002E1B4B">
        <w:rPr>
          <w:rFonts w:cs="Times New Roman"/>
          <w:szCs w:val="24"/>
        </w:rPr>
        <w:t>Observaciones: Sin perjuicio del derecho que tiene el CONCESIONARIO -en los términos de este Contrato- de usar y explotar económicamente los bienes que hacen parte del Proyecto y con fundarnento en el artículo 19 de la Ley 80 de 1993, se entenderá que el INVIAS se hará propietario (i) de las obras que conforman el Proyecto, al momento de su ejecución, (ii) de los equipos que conforman el Proyecto, al momento de su instalación, y (iii) de La infraestructura de Peajes instalada por los terceros concesionarios en razón de los contratos de operación y recaudo de Peajes celebrados con el INVIAS, al momento de la terminación de los respectivos contratos sin perjuicio de lo establecido para este último evento en la Cláusula 16.1 de este Contrato. Por lo tanto, estos bienes de propiedad del INVIAS y, en general, todos los bienes inmuebles que hacen parte del Proyecto, con todas sus anexidades y mejoras, serán revertidos y entregados al INVIAS en condiciones óptimas para el normal funcionamiento y de acuerdo con lo señalado en las Especificaciones técnicas de operación y Mantenimiento, al momento de la terminación del Contrato, por cualquier causa.</w:t>
      </w:r>
    </w:p>
    <w:p w14:paraId="0B731691" w14:textId="77777777" w:rsidR="00197C31" w:rsidRDefault="00197C31" w:rsidP="00197C31">
      <w:pPr>
        <w:spacing w:line="240" w:lineRule="auto"/>
        <w:rPr>
          <w:rFonts w:cs="Times New Roman"/>
          <w:szCs w:val="24"/>
        </w:rPr>
      </w:pPr>
    </w:p>
    <w:p w14:paraId="5E7C746F" w14:textId="379FE077" w:rsidR="003D5DB4" w:rsidRPr="00197C31" w:rsidRDefault="003D5DB4" w:rsidP="00197C31">
      <w:pPr>
        <w:spacing w:line="240" w:lineRule="auto"/>
        <w:rPr>
          <w:rFonts w:cs="Times New Roman"/>
          <w:szCs w:val="24"/>
        </w:rPr>
      </w:pPr>
      <w:r w:rsidRPr="00197C31">
        <w:rPr>
          <w:rFonts w:cs="Times New Roman"/>
          <w:szCs w:val="24"/>
        </w:rPr>
        <w:t>Las alternativas de renovación y cese del acuerdo</w:t>
      </w:r>
    </w:p>
    <w:p w14:paraId="678BB956" w14:textId="77777777" w:rsidR="003D5DB4" w:rsidRPr="002E1B4B" w:rsidRDefault="003D5DB4" w:rsidP="000A5389">
      <w:pPr>
        <w:spacing w:line="240" w:lineRule="auto"/>
        <w:rPr>
          <w:rFonts w:cs="Times New Roman"/>
          <w:szCs w:val="24"/>
        </w:rPr>
      </w:pPr>
      <w:r w:rsidRPr="002E1B4B">
        <w:rPr>
          <w:rFonts w:cs="Times New Roman"/>
          <w:szCs w:val="24"/>
        </w:rPr>
        <w:t>Descripción: No Aplica</w:t>
      </w:r>
    </w:p>
    <w:p w14:paraId="76521179" w14:textId="77777777" w:rsidR="003D5DB4" w:rsidRPr="002E1B4B" w:rsidRDefault="003D5DB4" w:rsidP="000A5389">
      <w:pPr>
        <w:spacing w:line="240" w:lineRule="auto"/>
        <w:rPr>
          <w:rFonts w:cs="Times New Roman"/>
          <w:szCs w:val="24"/>
        </w:rPr>
      </w:pPr>
      <w:r w:rsidRPr="002E1B4B">
        <w:rPr>
          <w:rFonts w:cs="Times New Roman"/>
          <w:szCs w:val="24"/>
        </w:rPr>
        <w:t xml:space="preserve">Observaciones: No Aplica </w:t>
      </w:r>
    </w:p>
    <w:p w14:paraId="77DA9ACC" w14:textId="77777777" w:rsidR="00197C31" w:rsidRDefault="00197C31" w:rsidP="00197C31">
      <w:pPr>
        <w:spacing w:line="240" w:lineRule="auto"/>
        <w:rPr>
          <w:rFonts w:cs="Times New Roman"/>
          <w:szCs w:val="24"/>
        </w:rPr>
      </w:pPr>
    </w:p>
    <w:p w14:paraId="45754B1D" w14:textId="67FD34AC" w:rsidR="003D5DB4" w:rsidRPr="00197C31" w:rsidRDefault="003D5DB4" w:rsidP="00197C31">
      <w:pPr>
        <w:spacing w:line="240" w:lineRule="auto"/>
        <w:rPr>
          <w:rFonts w:cs="Times New Roman"/>
          <w:szCs w:val="24"/>
        </w:rPr>
      </w:pPr>
      <w:r w:rsidRPr="00197C31">
        <w:rPr>
          <w:rFonts w:cs="Times New Roman"/>
          <w:szCs w:val="24"/>
        </w:rPr>
        <w:t>Cambios en el acuerdo de concesión que se realicen durante el periodo fiscal</w:t>
      </w:r>
    </w:p>
    <w:p w14:paraId="3D11CBDB" w14:textId="77777777" w:rsidR="00197C31" w:rsidRDefault="00197C31" w:rsidP="000A5389">
      <w:pPr>
        <w:spacing w:line="240" w:lineRule="auto"/>
        <w:rPr>
          <w:rFonts w:cs="Times New Roman"/>
          <w:szCs w:val="24"/>
        </w:rPr>
      </w:pPr>
    </w:p>
    <w:p w14:paraId="3FCF70A0" w14:textId="6BAF3F06" w:rsidR="003D5DB4" w:rsidRPr="002E1B4B" w:rsidRDefault="003D5DB4" w:rsidP="000A5389">
      <w:pPr>
        <w:spacing w:line="240" w:lineRule="auto"/>
        <w:rPr>
          <w:rFonts w:cs="Times New Roman"/>
          <w:szCs w:val="24"/>
        </w:rPr>
      </w:pPr>
      <w:r w:rsidRPr="002E1B4B">
        <w:rPr>
          <w:rFonts w:cs="Times New Roman"/>
          <w:szCs w:val="24"/>
        </w:rPr>
        <w:t>Adiciones o modificaciones en tiempo</w:t>
      </w:r>
    </w:p>
    <w:p w14:paraId="142082D8" w14:textId="77777777" w:rsidR="003D5DB4" w:rsidRPr="002E1B4B" w:rsidRDefault="003D5DB4" w:rsidP="000A5389">
      <w:pPr>
        <w:spacing w:line="240" w:lineRule="auto"/>
        <w:rPr>
          <w:rFonts w:cs="Times New Roman"/>
          <w:szCs w:val="24"/>
        </w:rPr>
      </w:pPr>
      <w:r w:rsidRPr="002E1B4B">
        <w:rPr>
          <w:rFonts w:cs="Times New Roman"/>
          <w:szCs w:val="24"/>
        </w:rPr>
        <w:t>Fechas de las adiciones o modificaciones: No Aplica</w:t>
      </w:r>
    </w:p>
    <w:p w14:paraId="3E484E58" w14:textId="77777777" w:rsidR="003D5DB4" w:rsidRPr="002E1B4B" w:rsidRDefault="003D5DB4" w:rsidP="000A5389">
      <w:pPr>
        <w:spacing w:line="240" w:lineRule="auto"/>
        <w:rPr>
          <w:rFonts w:cs="Times New Roman"/>
          <w:szCs w:val="24"/>
        </w:rPr>
      </w:pPr>
      <w:r w:rsidRPr="002E1B4B">
        <w:rPr>
          <w:rFonts w:cs="Times New Roman"/>
          <w:szCs w:val="24"/>
        </w:rPr>
        <w:t>Nueva Fecha de finalización estimada: No Aplica</w:t>
      </w:r>
    </w:p>
    <w:p w14:paraId="76F25072" w14:textId="77777777" w:rsidR="003D5DB4" w:rsidRPr="002E1B4B" w:rsidRDefault="003D5DB4" w:rsidP="000A5389">
      <w:pPr>
        <w:spacing w:line="240" w:lineRule="auto"/>
        <w:rPr>
          <w:rFonts w:cs="Times New Roman"/>
          <w:szCs w:val="24"/>
        </w:rPr>
      </w:pPr>
      <w:r w:rsidRPr="002E1B4B">
        <w:rPr>
          <w:rFonts w:cs="Times New Roman"/>
          <w:szCs w:val="24"/>
        </w:rPr>
        <w:t>Observaciones: No Aplica</w:t>
      </w:r>
    </w:p>
    <w:p w14:paraId="5788D064" w14:textId="77777777" w:rsidR="00197C31" w:rsidRDefault="00197C31" w:rsidP="000A5389">
      <w:pPr>
        <w:spacing w:line="240" w:lineRule="auto"/>
        <w:rPr>
          <w:rFonts w:cs="Times New Roman"/>
          <w:szCs w:val="24"/>
        </w:rPr>
      </w:pPr>
    </w:p>
    <w:p w14:paraId="49051462" w14:textId="18718F07" w:rsidR="003D5DB4" w:rsidRPr="002E1B4B" w:rsidRDefault="003D5DB4" w:rsidP="000A5389">
      <w:pPr>
        <w:spacing w:line="240" w:lineRule="auto"/>
        <w:rPr>
          <w:rFonts w:cs="Times New Roman"/>
          <w:szCs w:val="24"/>
        </w:rPr>
      </w:pPr>
      <w:r w:rsidRPr="002E1B4B">
        <w:rPr>
          <w:rFonts w:cs="Times New Roman"/>
          <w:szCs w:val="24"/>
        </w:rPr>
        <w:t>Adiciones o modificaciones en valor</w:t>
      </w:r>
    </w:p>
    <w:p w14:paraId="62EBCDE3" w14:textId="77777777" w:rsidR="003D5DB4" w:rsidRPr="002E1B4B" w:rsidRDefault="003D5DB4" w:rsidP="000A5389">
      <w:pPr>
        <w:spacing w:line="240" w:lineRule="auto"/>
        <w:rPr>
          <w:rFonts w:cs="Times New Roman"/>
          <w:szCs w:val="24"/>
        </w:rPr>
      </w:pPr>
      <w:r w:rsidRPr="002E1B4B">
        <w:rPr>
          <w:rFonts w:cs="Times New Roman"/>
          <w:szCs w:val="24"/>
        </w:rPr>
        <w:t>Valor de la adición o modificación: No Aplica</w:t>
      </w:r>
    </w:p>
    <w:p w14:paraId="0B4678F3" w14:textId="77777777" w:rsidR="003D5DB4" w:rsidRPr="002E1B4B" w:rsidRDefault="003D5DB4" w:rsidP="000A5389">
      <w:pPr>
        <w:spacing w:line="240" w:lineRule="auto"/>
        <w:rPr>
          <w:rFonts w:cs="Times New Roman"/>
          <w:szCs w:val="24"/>
        </w:rPr>
      </w:pPr>
      <w:r w:rsidRPr="002E1B4B">
        <w:rPr>
          <w:rFonts w:cs="Times New Roman"/>
          <w:szCs w:val="24"/>
        </w:rPr>
        <w:t>Nuevo valor del acuerdo: No Aplica</w:t>
      </w:r>
    </w:p>
    <w:p w14:paraId="299AC2F1" w14:textId="77777777" w:rsidR="003D5DB4" w:rsidRPr="002E1B4B" w:rsidRDefault="003D5DB4" w:rsidP="000A5389">
      <w:pPr>
        <w:spacing w:line="240" w:lineRule="auto"/>
        <w:rPr>
          <w:rFonts w:cs="Times New Roman"/>
          <w:szCs w:val="24"/>
        </w:rPr>
      </w:pPr>
      <w:r w:rsidRPr="002E1B4B">
        <w:rPr>
          <w:rFonts w:cs="Times New Roman"/>
          <w:szCs w:val="24"/>
        </w:rPr>
        <w:t>Observaciones: No Aplica</w:t>
      </w:r>
    </w:p>
    <w:p w14:paraId="31356806" w14:textId="77777777" w:rsidR="003D5DB4" w:rsidRDefault="003D5DB4" w:rsidP="000A5389">
      <w:pPr>
        <w:spacing w:line="240" w:lineRule="auto"/>
        <w:rPr>
          <w:rFonts w:cs="Times New Roman"/>
          <w:szCs w:val="24"/>
        </w:rPr>
      </w:pPr>
    </w:p>
    <w:p w14:paraId="01E0F1F2" w14:textId="77777777" w:rsidR="00197C31" w:rsidRPr="002E1B4B" w:rsidRDefault="00197C31" w:rsidP="000A5389">
      <w:pPr>
        <w:spacing w:line="240" w:lineRule="auto"/>
        <w:rPr>
          <w:rFonts w:cs="Times New Roman"/>
          <w:szCs w:val="24"/>
        </w:rPr>
      </w:pPr>
    </w:p>
    <w:p w14:paraId="68E48B2A" w14:textId="77777777" w:rsidR="003D5DB4" w:rsidRPr="002E1B4B" w:rsidRDefault="003D5DB4" w:rsidP="000A5389">
      <w:pPr>
        <w:spacing w:line="240" w:lineRule="auto"/>
        <w:rPr>
          <w:rFonts w:cs="Times New Roman"/>
          <w:szCs w:val="24"/>
        </w:rPr>
      </w:pPr>
      <w:r w:rsidRPr="002E1B4B">
        <w:rPr>
          <w:rFonts w:cs="Times New Roman"/>
          <w:szCs w:val="24"/>
        </w:rPr>
        <w:t>PR</w:t>
      </w:r>
      <w:r w:rsidRPr="00197C31">
        <w:rPr>
          <w:rFonts w:cs="Times New Roman"/>
          <w:i/>
          <w:iCs/>
          <w:szCs w:val="24"/>
        </w:rPr>
        <w:t>OYECTO VIAL ARMENIA – PEREIRA – MANIZALES</w:t>
      </w:r>
    </w:p>
    <w:p w14:paraId="5D38EB7F" w14:textId="77777777" w:rsidR="00197C31" w:rsidRDefault="00197C31" w:rsidP="00197C31">
      <w:pPr>
        <w:spacing w:line="240" w:lineRule="auto"/>
        <w:rPr>
          <w:rFonts w:cs="Times New Roman"/>
          <w:szCs w:val="24"/>
        </w:rPr>
      </w:pPr>
    </w:p>
    <w:p w14:paraId="22BBB40F" w14:textId="42AC0B43" w:rsidR="003D5DB4" w:rsidRPr="00197C31" w:rsidRDefault="003D5DB4" w:rsidP="00197C31">
      <w:pPr>
        <w:spacing w:line="240" w:lineRule="auto"/>
        <w:rPr>
          <w:rFonts w:cs="Times New Roman"/>
          <w:szCs w:val="24"/>
        </w:rPr>
      </w:pPr>
      <w:r w:rsidRPr="00197C31">
        <w:rPr>
          <w:rFonts w:cs="Times New Roman"/>
          <w:szCs w:val="24"/>
        </w:rPr>
        <w:t>Descripción del Acuerdo</w:t>
      </w:r>
    </w:p>
    <w:p w14:paraId="15F76936" w14:textId="77777777" w:rsidR="003D5DB4" w:rsidRPr="002E1B4B" w:rsidRDefault="003D5DB4" w:rsidP="000A5389">
      <w:pPr>
        <w:spacing w:line="240" w:lineRule="auto"/>
        <w:rPr>
          <w:rFonts w:cs="Times New Roman"/>
          <w:szCs w:val="24"/>
        </w:rPr>
      </w:pPr>
      <w:r w:rsidRPr="002E1B4B">
        <w:rPr>
          <w:rFonts w:cs="Times New Roman"/>
          <w:szCs w:val="24"/>
        </w:rPr>
        <w:t>Número del Acuerdo de concesión:  113 del 21 de abril de 1997</w:t>
      </w:r>
    </w:p>
    <w:p w14:paraId="4F8BF437" w14:textId="77777777" w:rsidR="003D5DB4" w:rsidRPr="002E1B4B" w:rsidRDefault="003D5DB4" w:rsidP="000A5389">
      <w:pPr>
        <w:spacing w:line="240" w:lineRule="auto"/>
        <w:rPr>
          <w:rFonts w:cs="Times New Roman"/>
          <w:szCs w:val="24"/>
        </w:rPr>
      </w:pPr>
      <w:r w:rsidRPr="002E1B4B">
        <w:rPr>
          <w:rFonts w:cs="Times New Roman"/>
          <w:szCs w:val="24"/>
        </w:rPr>
        <w:t>Objeto / Descripción:  Proyecto Vial Armenia - Pereira - Manizales la Paila - Calarcá</w:t>
      </w:r>
    </w:p>
    <w:p w14:paraId="4724B347" w14:textId="77777777" w:rsidR="003D5DB4" w:rsidRPr="002E1B4B" w:rsidRDefault="003D5DB4" w:rsidP="000A5389">
      <w:pPr>
        <w:spacing w:line="240" w:lineRule="auto"/>
        <w:rPr>
          <w:rFonts w:cs="Times New Roman"/>
          <w:szCs w:val="24"/>
        </w:rPr>
      </w:pPr>
      <w:r w:rsidRPr="002E1B4B">
        <w:rPr>
          <w:rFonts w:cs="Times New Roman"/>
          <w:szCs w:val="24"/>
        </w:rPr>
        <w:t>Valor inicial:</w:t>
      </w:r>
      <w:r w:rsidRPr="002E1B4B">
        <w:rPr>
          <w:rFonts w:cs="Times New Roman"/>
          <w:szCs w:val="24"/>
        </w:rPr>
        <w:tab/>
        <w:t>Ciento Setenta y Siete Mil Novecientos Cincuenta millones de pesos del Mes de Referencia (septiembre 1996)</w:t>
      </w:r>
    </w:p>
    <w:p w14:paraId="65FE87B4" w14:textId="77777777" w:rsidR="003D5DB4" w:rsidRPr="002E1B4B" w:rsidRDefault="003D5DB4" w:rsidP="000A5389">
      <w:pPr>
        <w:spacing w:line="240" w:lineRule="auto"/>
        <w:rPr>
          <w:rFonts w:cs="Times New Roman"/>
          <w:szCs w:val="24"/>
        </w:rPr>
      </w:pPr>
      <w:r w:rsidRPr="002E1B4B">
        <w:rPr>
          <w:rFonts w:cs="Times New Roman"/>
          <w:szCs w:val="24"/>
        </w:rPr>
        <w:t>Fecha de inicio:</w:t>
      </w:r>
      <w:r w:rsidRPr="002E1B4B">
        <w:rPr>
          <w:rFonts w:cs="Times New Roman"/>
          <w:szCs w:val="24"/>
        </w:rPr>
        <w:tab/>
        <w:t>16/06/1997</w:t>
      </w:r>
    </w:p>
    <w:p w14:paraId="70A8E738" w14:textId="77777777" w:rsidR="003D5DB4" w:rsidRPr="002E1B4B" w:rsidRDefault="003D5DB4" w:rsidP="000A5389">
      <w:pPr>
        <w:spacing w:line="240" w:lineRule="auto"/>
        <w:rPr>
          <w:rFonts w:cs="Times New Roman"/>
          <w:szCs w:val="24"/>
        </w:rPr>
      </w:pPr>
      <w:r w:rsidRPr="002E1B4B">
        <w:rPr>
          <w:rFonts w:cs="Times New Roman"/>
          <w:szCs w:val="24"/>
        </w:rPr>
        <w:t>Fecha de finalización estimada: 1/02/2027</w:t>
      </w:r>
    </w:p>
    <w:p w14:paraId="1ABB3F97" w14:textId="77777777" w:rsidR="003D5DB4" w:rsidRPr="002E1B4B" w:rsidRDefault="003D5DB4" w:rsidP="000A5389">
      <w:pPr>
        <w:spacing w:line="240" w:lineRule="auto"/>
        <w:rPr>
          <w:rFonts w:cs="Times New Roman"/>
          <w:szCs w:val="24"/>
        </w:rPr>
      </w:pPr>
      <w:r w:rsidRPr="002E1B4B">
        <w:rPr>
          <w:rFonts w:cs="Times New Roman"/>
          <w:szCs w:val="24"/>
        </w:rPr>
        <w:t>Tipo ID: NIT</w:t>
      </w:r>
    </w:p>
    <w:p w14:paraId="1C833B3B" w14:textId="77777777" w:rsidR="003D5DB4" w:rsidRPr="002E1B4B" w:rsidRDefault="003D5DB4" w:rsidP="000A5389">
      <w:pPr>
        <w:spacing w:line="240" w:lineRule="auto"/>
        <w:rPr>
          <w:rFonts w:cs="Times New Roman"/>
          <w:szCs w:val="24"/>
        </w:rPr>
      </w:pPr>
      <w:r w:rsidRPr="002E1B4B">
        <w:rPr>
          <w:rFonts w:cs="Times New Roman"/>
          <w:szCs w:val="24"/>
        </w:rPr>
        <w:t>Número ID: 830.025.490-5</w:t>
      </w:r>
    </w:p>
    <w:p w14:paraId="718402D3" w14:textId="77777777" w:rsidR="003D5DB4" w:rsidRPr="002E1B4B" w:rsidRDefault="003D5DB4" w:rsidP="000A5389">
      <w:pPr>
        <w:spacing w:line="240" w:lineRule="auto"/>
        <w:rPr>
          <w:rFonts w:cs="Times New Roman"/>
          <w:szCs w:val="24"/>
        </w:rPr>
      </w:pPr>
      <w:r w:rsidRPr="002E1B4B">
        <w:rPr>
          <w:rFonts w:cs="Times New Roman"/>
          <w:szCs w:val="24"/>
        </w:rPr>
        <w:t>Razón social del concesionario: AUTOPISTAS DEL CAFÉ SA</w:t>
      </w:r>
    </w:p>
    <w:p w14:paraId="706D41ED" w14:textId="77777777" w:rsidR="003D5DB4" w:rsidRPr="002E1B4B" w:rsidRDefault="003D5DB4" w:rsidP="000A5389">
      <w:pPr>
        <w:spacing w:line="240" w:lineRule="auto"/>
        <w:rPr>
          <w:rFonts w:cs="Times New Roman"/>
          <w:szCs w:val="24"/>
        </w:rPr>
      </w:pPr>
      <w:r w:rsidRPr="002E1B4B">
        <w:rPr>
          <w:rFonts w:cs="Times New Roman"/>
          <w:szCs w:val="24"/>
        </w:rPr>
        <w:lastRenderedPageBreak/>
        <w:t>Nombre del proyecto: Proyecto Vial Armenia - Pereira - Manizales la Paila - Calarcá</w:t>
      </w:r>
    </w:p>
    <w:p w14:paraId="2A8702E1" w14:textId="77777777" w:rsidR="003D5DB4" w:rsidRPr="002E1B4B" w:rsidRDefault="003D5DB4" w:rsidP="000A5389">
      <w:pPr>
        <w:spacing w:line="240" w:lineRule="auto"/>
        <w:rPr>
          <w:rFonts w:cs="Times New Roman"/>
          <w:szCs w:val="24"/>
        </w:rPr>
      </w:pPr>
    </w:p>
    <w:p w14:paraId="18864D3A" w14:textId="77777777" w:rsidR="003D5DB4" w:rsidRPr="00197C31" w:rsidRDefault="003D5DB4" w:rsidP="00197C31">
      <w:pPr>
        <w:spacing w:line="240" w:lineRule="auto"/>
        <w:rPr>
          <w:rFonts w:cs="Times New Roman"/>
          <w:i/>
          <w:iCs/>
          <w:szCs w:val="24"/>
        </w:rPr>
      </w:pPr>
      <w:r w:rsidRPr="00197C31">
        <w:rPr>
          <w:rFonts w:cs="Times New Roman"/>
          <w:i/>
          <w:iCs/>
          <w:szCs w:val="24"/>
        </w:rPr>
        <w:t>Términos significativos del Acuerdo que puedan afectar su valor, el calendario y la certeza de los flujos de efectivo futuros</w:t>
      </w:r>
    </w:p>
    <w:p w14:paraId="3F860C6D" w14:textId="77777777" w:rsidR="00197C31" w:rsidRPr="00197C31" w:rsidRDefault="00197C31" w:rsidP="00197C31">
      <w:pPr>
        <w:spacing w:line="240" w:lineRule="auto"/>
        <w:rPr>
          <w:rFonts w:cs="Times New Roman"/>
          <w:szCs w:val="24"/>
        </w:rPr>
      </w:pPr>
    </w:p>
    <w:p w14:paraId="734D7B97" w14:textId="77777777" w:rsidR="003D5DB4" w:rsidRPr="002E1B4B" w:rsidRDefault="003D5DB4" w:rsidP="000A5389">
      <w:pPr>
        <w:spacing w:line="240" w:lineRule="auto"/>
        <w:rPr>
          <w:rFonts w:cs="Times New Roman"/>
          <w:szCs w:val="24"/>
        </w:rPr>
      </w:pPr>
      <w:r w:rsidRPr="002E1B4B">
        <w:rPr>
          <w:rFonts w:cs="Times New Roman"/>
          <w:szCs w:val="24"/>
        </w:rPr>
        <w:t xml:space="preserve">Términos de valor: El contrato de concesión contempla siete estaciones de peaje relacionadas a continuación: Estación de Peaje Corozal (PR 22+0600) Ruta 4002 La Paila - Club Campestre, Estación de Peaje Circasia (PR 16+0800) Ruta 2901 Armenia – Pereira, Estación de Peaje Tarapacá I (PR 20+0800) Ruta 2902 Jazmín – Chinchiná, Estación de Peaje Tarapacá II (PR 24+0800) Ruta 29RSC Jazmín- Intersección Chinchiná, Estación de Peaje Santagueda (PR 7+0150) Ruta 29CL03 La Yé - La Manuela, Estación de Peaje San Bernardo (PR 9+0170) Ruta 5005 La Manuela - La Trinidad, Estación de Peaje Las Pavas (PR 1+0200) Ruta 29CL03-1 La Yé - La Trinidad. </w:t>
      </w:r>
    </w:p>
    <w:p w14:paraId="7E8B41AB" w14:textId="77777777" w:rsidR="003D5DB4" w:rsidRPr="002E1B4B" w:rsidRDefault="003D5DB4" w:rsidP="000A5389">
      <w:pPr>
        <w:spacing w:line="240" w:lineRule="auto"/>
        <w:rPr>
          <w:rFonts w:cs="Times New Roman"/>
          <w:szCs w:val="24"/>
        </w:rPr>
      </w:pPr>
      <w:r w:rsidRPr="002E1B4B">
        <w:rPr>
          <w:rFonts w:cs="Times New Roman"/>
          <w:szCs w:val="24"/>
        </w:rPr>
        <w:t>Fecha de incremento (cláusula contractual): Cláusula Quinta del contrato, parágrafo 6. El ajuste se realiza al inicio de cada año calendario, de acuerdo con el aumento del IPC del año anterior tan pronto se publique por parte del DANE el IPC de diciembre.</w:t>
      </w:r>
    </w:p>
    <w:p w14:paraId="3F633A07" w14:textId="77777777" w:rsidR="003D5DB4" w:rsidRDefault="003D5DB4" w:rsidP="000A5389">
      <w:pPr>
        <w:spacing w:line="240" w:lineRule="auto"/>
        <w:rPr>
          <w:rFonts w:cs="Times New Roman"/>
          <w:szCs w:val="24"/>
        </w:rPr>
      </w:pPr>
      <w:r w:rsidRPr="002E1B4B">
        <w:rPr>
          <w:rFonts w:cs="Times New Roman"/>
          <w:szCs w:val="24"/>
        </w:rPr>
        <w:t>Las variables utilizadas para el Incremento: Cláusula Quinta, parágrafo 6. El ajuste se realiza al inicio de cada año calendario, de acuerdo con el aumento del IPC del año anterior tan pronto se publique por parte del DANE el IPC de diciembre.</w:t>
      </w:r>
    </w:p>
    <w:p w14:paraId="135A4A0C" w14:textId="77777777" w:rsidR="00197C31" w:rsidRPr="002E1B4B" w:rsidRDefault="00197C31" w:rsidP="000A5389">
      <w:pPr>
        <w:spacing w:line="240" w:lineRule="auto"/>
        <w:rPr>
          <w:rFonts w:cs="Times New Roman"/>
          <w:szCs w:val="24"/>
        </w:rPr>
      </w:pPr>
    </w:p>
    <w:p w14:paraId="5CB5F097" w14:textId="77777777" w:rsidR="003D5DB4" w:rsidRPr="002E1B4B" w:rsidRDefault="003D5DB4" w:rsidP="000A5389">
      <w:pPr>
        <w:spacing w:line="240" w:lineRule="auto"/>
        <w:rPr>
          <w:rFonts w:cs="Times New Roman"/>
          <w:szCs w:val="24"/>
        </w:rPr>
      </w:pPr>
      <w:r w:rsidRPr="002E1B4B">
        <w:rPr>
          <w:rFonts w:cs="Times New Roman"/>
          <w:szCs w:val="24"/>
        </w:rPr>
        <w:t xml:space="preserve">Variables que puedan afectar los flujos: Tráfico y Tarifa. El volumen de tráfico depende de la estacionalidad del año y la entrada de nuevos proyectos viales que pueden tener dos efectos: atraer nuevo tráfico o ser vías alternas por lo cual se disminuye el flujo. </w:t>
      </w:r>
    </w:p>
    <w:p w14:paraId="4ADBA6B9" w14:textId="77777777" w:rsidR="003D5DB4" w:rsidRDefault="003D5DB4" w:rsidP="000A5389">
      <w:pPr>
        <w:spacing w:line="240" w:lineRule="auto"/>
        <w:rPr>
          <w:rFonts w:cs="Times New Roman"/>
          <w:szCs w:val="24"/>
        </w:rPr>
      </w:pPr>
      <w:r w:rsidRPr="002E1B4B">
        <w:rPr>
          <w:rFonts w:cs="Times New Roman"/>
          <w:szCs w:val="24"/>
        </w:rPr>
        <w:t>Aportes ANI.</w:t>
      </w:r>
    </w:p>
    <w:p w14:paraId="25EE0AA2" w14:textId="77777777" w:rsidR="00197C31" w:rsidRPr="002E1B4B" w:rsidRDefault="00197C31" w:rsidP="000A5389">
      <w:pPr>
        <w:spacing w:line="240" w:lineRule="auto"/>
        <w:rPr>
          <w:rFonts w:cs="Times New Roman"/>
          <w:szCs w:val="24"/>
        </w:rPr>
      </w:pPr>
    </w:p>
    <w:p w14:paraId="6797E730" w14:textId="77777777" w:rsidR="003D5DB4" w:rsidRPr="002E1B4B" w:rsidRDefault="003D5DB4" w:rsidP="000A5389">
      <w:pPr>
        <w:spacing w:line="240" w:lineRule="auto"/>
        <w:rPr>
          <w:rFonts w:cs="Times New Roman"/>
          <w:szCs w:val="24"/>
        </w:rPr>
      </w:pPr>
      <w:r w:rsidRPr="002E1B4B">
        <w:rPr>
          <w:rFonts w:cs="Times New Roman"/>
          <w:szCs w:val="24"/>
        </w:rPr>
        <w:t>Fecha de obligación contractual (cláusula contractual): Adicional 7, Cláusula Sexta. Se pagan las vigencias en el mes de diciembre de cada año.</w:t>
      </w:r>
    </w:p>
    <w:p w14:paraId="498D106D" w14:textId="77777777" w:rsidR="003D5DB4" w:rsidRPr="002E1B4B" w:rsidRDefault="003D5DB4" w:rsidP="000A5389">
      <w:pPr>
        <w:spacing w:line="240" w:lineRule="auto"/>
        <w:rPr>
          <w:rFonts w:cs="Times New Roman"/>
          <w:szCs w:val="24"/>
        </w:rPr>
      </w:pPr>
      <w:r w:rsidRPr="002E1B4B">
        <w:rPr>
          <w:rFonts w:cs="Times New Roman"/>
          <w:szCs w:val="24"/>
        </w:rPr>
        <w:t xml:space="preserve">Mes </w:t>
      </w:r>
      <w:r w:rsidRPr="002E1B4B">
        <w:rPr>
          <w:rFonts w:cs="Times New Roman"/>
          <w:szCs w:val="24"/>
        </w:rPr>
        <w:tab/>
      </w:r>
      <w:r w:rsidRPr="002E1B4B">
        <w:rPr>
          <w:rFonts w:cs="Times New Roman"/>
          <w:szCs w:val="24"/>
        </w:rPr>
        <w:tab/>
        <w:t>Vigencia Futura ($ corrientes)</w:t>
      </w:r>
    </w:p>
    <w:p w14:paraId="43BC0655" w14:textId="77777777" w:rsidR="003D5DB4" w:rsidRPr="002E1B4B" w:rsidRDefault="003D5DB4" w:rsidP="000A5389">
      <w:pPr>
        <w:pStyle w:val="Sinespaciado"/>
        <w:rPr>
          <w:rFonts w:ascii="Times New Roman" w:hAnsi="Times New Roman"/>
          <w:sz w:val="24"/>
          <w:szCs w:val="24"/>
        </w:rPr>
      </w:pPr>
      <w:r w:rsidRPr="002E1B4B">
        <w:rPr>
          <w:rFonts w:ascii="Times New Roman" w:hAnsi="Times New Roman"/>
          <w:sz w:val="24"/>
          <w:szCs w:val="24"/>
        </w:rPr>
        <w:t xml:space="preserve">dic-12 </w:t>
      </w:r>
      <w:r w:rsidRPr="002E1B4B">
        <w:rPr>
          <w:rFonts w:ascii="Times New Roman" w:hAnsi="Times New Roman"/>
          <w:sz w:val="24"/>
          <w:szCs w:val="24"/>
        </w:rPr>
        <w:tab/>
      </w:r>
      <w:r w:rsidRPr="002E1B4B">
        <w:rPr>
          <w:rFonts w:ascii="Times New Roman" w:hAnsi="Times New Roman"/>
          <w:sz w:val="24"/>
          <w:szCs w:val="24"/>
        </w:rPr>
        <w:tab/>
        <w:t>$ 200.000.000.000</w:t>
      </w:r>
    </w:p>
    <w:p w14:paraId="1F4BB177" w14:textId="77777777" w:rsidR="003D5DB4" w:rsidRPr="002E1B4B" w:rsidRDefault="003D5DB4" w:rsidP="000A5389">
      <w:pPr>
        <w:pStyle w:val="Sinespaciado"/>
        <w:rPr>
          <w:rFonts w:ascii="Times New Roman" w:hAnsi="Times New Roman"/>
          <w:sz w:val="24"/>
          <w:szCs w:val="24"/>
          <w:lang w:val="en-US"/>
        </w:rPr>
      </w:pPr>
      <w:r w:rsidRPr="002E1B4B">
        <w:rPr>
          <w:rFonts w:ascii="Times New Roman" w:hAnsi="Times New Roman"/>
          <w:sz w:val="24"/>
          <w:szCs w:val="24"/>
          <w:lang w:val="en-US"/>
        </w:rPr>
        <w:t>dic-13</w:t>
      </w:r>
      <w:r w:rsidRPr="002E1B4B">
        <w:rPr>
          <w:rFonts w:ascii="Times New Roman" w:hAnsi="Times New Roman"/>
          <w:sz w:val="24"/>
          <w:szCs w:val="24"/>
          <w:lang w:val="en-US"/>
        </w:rPr>
        <w:tab/>
      </w:r>
      <w:r w:rsidRPr="002E1B4B">
        <w:rPr>
          <w:rFonts w:ascii="Times New Roman" w:hAnsi="Times New Roman"/>
          <w:sz w:val="24"/>
          <w:szCs w:val="24"/>
          <w:lang w:val="en-US"/>
        </w:rPr>
        <w:tab/>
        <w:t>$    73.513.000.000</w:t>
      </w:r>
    </w:p>
    <w:p w14:paraId="35E3D9C1" w14:textId="77777777" w:rsidR="003D5DB4" w:rsidRPr="002E1B4B" w:rsidRDefault="003D5DB4" w:rsidP="000A5389">
      <w:pPr>
        <w:pStyle w:val="Sinespaciado"/>
        <w:rPr>
          <w:rFonts w:ascii="Times New Roman" w:hAnsi="Times New Roman"/>
          <w:sz w:val="24"/>
          <w:szCs w:val="24"/>
          <w:lang w:val="en-US"/>
        </w:rPr>
      </w:pPr>
      <w:r w:rsidRPr="002E1B4B">
        <w:rPr>
          <w:rFonts w:ascii="Times New Roman" w:hAnsi="Times New Roman"/>
          <w:sz w:val="24"/>
          <w:szCs w:val="24"/>
          <w:lang w:val="en-US"/>
        </w:rPr>
        <w:t>dic-14</w:t>
      </w:r>
      <w:r w:rsidRPr="002E1B4B">
        <w:rPr>
          <w:rFonts w:ascii="Times New Roman" w:hAnsi="Times New Roman"/>
          <w:sz w:val="24"/>
          <w:szCs w:val="24"/>
          <w:lang w:val="en-US"/>
        </w:rPr>
        <w:tab/>
      </w:r>
      <w:r w:rsidRPr="002E1B4B">
        <w:rPr>
          <w:rFonts w:ascii="Times New Roman" w:hAnsi="Times New Roman"/>
          <w:sz w:val="24"/>
          <w:szCs w:val="24"/>
          <w:lang w:val="en-US"/>
        </w:rPr>
        <w:tab/>
        <w:t>$    16.765.094.480</w:t>
      </w:r>
    </w:p>
    <w:p w14:paraId="01258B72" w14:textId="77777777" w:rsidR="003D5DB4" w:rsidRPr="002E1B4B" w:rsidRDefault="003D5DB4" w:rsidP="000A5389">
      <w:pPr>
        <w:pStyle w:val="Sinespaciado"/>
        <w:rPr>
          <w:rFonts w:ascii="Times New Roman" w:hAnsi="Times New Roman"/>
          <w:sz w:val="24"/>
          <w:szCs w:val="24"/>
          <w:lang w:val="en-US"/>
        </w:rPr>
      </w:pPr>
      <w:r w:rsidRPr="002E1B4B">
        <w:rPr>
          <w:rFonts w:ascii="Times New Roman" w:hAnsi="Times New Roman"/>
          <w:sz w:val="24"/>
          <w:szCs w:val="24"/>
          <w:lang w:val="en-US"/>
        </w:rPr>
        <w:t>dic-15</w:t>
      </w:r>
      <w:r w:rsidRPr="002E1B4B">
        <w:rPr>
          <w:rFonts w:ascii="Times New Roman" w:hAnsi="Times New Roman"/>
          <w:sz w:val="24"/>
          <w:szCs w:val="24"/>
          <w:lang w:val="en-US"/>
        </w:rPr>
        <w:tab/>
      </w:r>
      <w:r w:rsidRPr="002E1B4B">
        <w:rPr>
          <w:rFonts w:ascii="Times New Roman" w:hAnsi="Times New Roman"/>
          <w:sz w:val="24"/>
          <w:szCs w:val="24"/>
          <w:lang w:val="en-US"/>
        </w:rPr>
        <w:tab/>
        <w:t>$    36.323.719.542</w:t>
      </w:r>
    </w:p>
    <w:p w14:paraId="18634F16" w14:textId="77777777" w:rsidR="003D5DB4" w:rsidRPr="002E1B4B" w:rsidRDefault="003D5DB4" w:rsidP="000A5389">
      <w:pPr>
        <w:pStyle w:val="Sinespaciado"/>
        <w:rPr>
          <w:rFonts w:ascii="Times New Roman" w:hAnsi="Times New Roman"/>
          <w:sz w:val="24"/>
          <w:szCs w:val="24"/>
          <w:lang w:val="en-US"/>
        </w:rPr>
      </w:pPr>
      <w:r w:rsidRPr="002E1B4B">
        <w:rPr>
          <w:rFonts w:ascii="Times New Roman" w:hAnsi="Times New Roman"/>
          <w:sz w:val="24"/>
          <w:szCs w:val="24"/>
          <w:lang w:val="en-US"/>
        </w:rPr>
        <w:t>dic-16</w:t>
      </w:r>
      <w:r w:rsidRPr="002E1B4B">
        <w:rPr>
          <w:rFonts w:ascii="Times New Roman" w:hAnsi="Times New Roman"/>
          <w:sz w:val="24"/>
          <w:szCs w:val="24"/>
          <w:lang w:val="en-US"/>
        </w:rPr>
        <w:tab/>
      </w:r>
      <w:r w:rsidRPr="002E1B4B">
        <w:rPr>
          <w:rFonts w:ascii="Times New Roman" w:hAnsi="Times New Roman"/>
          <w:sz w:val="24"/>
          <w:szCs w:val="24"/>
          <w:lang w:val="en-US"/>
        </w:rPr>
        <w:tab/>
        <w:t xml:space="preserve">$      1.646.021.394 </w:t>
      </w:r>
    </w:p>
    <w:p w14:paraId="34DDBB16" w14:textId="77777777" w:rsidR="003D5DB4" w:rsidRPr="002E1B4B" w:rsidRDefault="003D5DB4" w:rsidP="000A5389">
      <w:pPr>
        <w:pStyle w:val="Sinespaciado"/>
        <w:rPr>
          <w:rFonts w:ascii="Times New Roman" w:hAnsi="Times New Roman"/>
          <w:sz w:val="24"/>
          <w:szCs w:val="24"/>
          <w:lang w:val="en-US"/>
        </w:rPr>
      </w:pPr>
      <w:r w:rsidRPr="002E1B4B">
        <w:rPr>
          <w:rFonts w:ascii="Times New Roman" w:hAnsi="Times New Roman"/>
          <w:sz w:val="24"/>
          <w:szCs w:val="24"/>
          <w:lang w:val="en-US"/>
        </w:rPr>
        <w:t>dic-17</w:t>
      </w:r>
      <w:r w:rsidRPr="002E1B4B">
        <w:rPr>
          <w:rFonts w:ascii="Times New Roman" w:hAnsi="Times New Roman"/>
          <w:sz w:val="24"/>
          <w:szCs w:val="24"/>
          <w:lang w:val="en-US"/>
        </w:rPr>
        <w:tab/>
      </w:r>
      <w:r w:rsidRPr="002E1B4B">
        <w:rPr>
          <w:rFonts w:ascii="Times New Roman" w:hAnsi="Times New Roman"/>
          <w:sz w:val="24"/>
          <w:szCs w:val="24"/>
          <w:lang w:val="en-US"/>
        </w:rPr>
        <w:tab/>
        <w:t>$      3.151.394.153</w:t>
      </w:r>
    </w:p>
    <w:p w14:paraId="395F13E5" w14:textId="77777777" w:rsidR="003D5DB4" w:rsidRPr="002E1B4B" w:rsidRDefault="003D5DB4" w:rsidP="000A5389">
      <w:pPr>
        <w:pStyle w:val="Sinespaciado"/>
        <w:rPr>
          <w:rFonts w:ascii="Times New Roman" w:hAnsi="Times New Roman"/>
          <w:sz w:val="24"/>
          <w:szCs w:val="24"/>
          <w:lang w:val="en-US"/>
        </w:rPr>
      </w:pPr>
      <w:r w:rsidRPr="002E1B4B">
        <w:rPr>
          <w:rFonts w:ascii="Times New Roman" w:hAnsi="Times New Roman"/>
          <w:sz w:val="24"/>
          <w:szCs w:val="24"/>
          <w:lang w:val="en-US"/>
        </w:rPr>
        <w:t>dic-18</w:t>
      </w:r>
      <w:r w:rsidRPr="002E1B4B">
        <w:rPr>
          <w:rFonts w:ascii="Times New Roman" w:hAnsi="Times New Roman"/>
          <w:sz w:val="24"/>
          <w:szCs w:val="24"/>
          <w:lang w:val="en-US"/>
        </w:rPr>
        <w:tab/>
      </w:r>
      <w:r w:rsidRPr="002E1B4B">
        <w:rPr>
          <w:rFonts w:ascii="Times New Roman" w:hAnsi="Times New Roman"/>
          <w:sz w:val="24"/>
          <w:szCs w:val="24"/>
          <w:lang w:val="en-US"/>
        </w:rPr>
        <w:tab/>
        <w:t>$      2.361.342.060</w:t>
      </w:r>
    </w:p>
    <w:p w14:paraId="0F8B12AC" w14:textId="77777777" w:rsidR="003D5DB4" w:rsidRPr="002E1B4B" w:rsidRDefault="003D5DB4" w:rsidP="000A5389">
      <w:pPr>
        <w:pStyle w:val="Sinespaciado"/>
        <w:rPr>
          <w:rFonts w:ascii="Times New Roman" w:hAnsi="Times New Roman"/>
          <w:sz w:val="24"/>
          <w:szCs w:val="24"/>
          <w:lang w:val="en-US"/>
        </w:rPr>
      </w:pPr>
      <w:r w:rsidRPr="002E1B4B">
        <w:rPr>
          <w:rFonts w:ascii="Times New Roman" w:hAnsi="Times New Roman"/>
          <w:sz w:val="24"/>
          <w:szCs w:val="24"/>
          <w:lang w:val="en-US"/>
        </w:rPr>
        <w:t>dic-19</w:t>
      </w:r>
      <w:r w:rsidRPr="002E1B4B">
        <w:rPr>
          <w:rFonts w:ascii="Times New Roman" w:hAnsi="Times New Roman"/>
          <w:sz w:val="24"/>
          <w:szCs w:val="24"/>
          <w:lang w:val="en-US"/>
        </w:rPr>
        <w:tab/>
      </w:r>
      <w:r w:rsidRPr="002E1B4B">
        <w:rPr>
          <w:rFonts w:ascii="Times New Roman" w:hAnsi="Times New Roman"/>
          <w:sz w:val="24"/>
          <w:szCs w:val="24"/>
          <w:lang w:val="en-US"/>
        </w:rPr>
        <w:tab/>
        <w:t>$      1.037.128.057</w:t>
      </w:r>
    </w:p>
    <w:p w14:paraId="6557FD70" w14:textId="77777777" w:rsidR="003D5DB4" w:rsidRPr="002E1B4B" w:rsidRDefault="003D5DB4" w:rsidP="000A5389">
      <w:pPr>
        <w:pStyle w:val="Sinespaciado"/>
        <w:rPr>
          <w:rFonts w:ascii="Times New Roman" w:hAnsi="Times New Roman"/>
          <w:sz w:val="24"/>
          <w:szCs w:val="24"/>
          <w:lang w:val="en-US"/>
        </w:rPr>
      </w:pPr>
      <w:r w:rsidRPr="002E1B4B">
        <w:rPr>
          <w:rFonts w:ascii="Times New Roman" w:hAnsi="Times New Roman"/>
          <w:sz w:val="24"/>
          <w:szCs w:val="24"/>
          <w:lang w:val="en-US"/>
        </w:rPr>
        <w:t>dic-20</w:t>
      </w:r>
      <w:r w:rsidRPr="002E1B4B">
        <w:rPr>
          <w:rFonts w:ascii="Times New Roman" w:hAnsi="Times New Roman"/>
          <w:sz w:val="24"/>
          <w:szCs w:val="24"/>
          <w:lang w:val="en-US"/>
        </w:rPr>
        <w:tab/>
      </w:r>
      <w:r w:rsidRPr="002E1B4B">
        <w:rPr>
          <w:rFonts w:ascii="Times New Roman" w:hAnsi="Times New Roman"/>
          <w:sz w:val="24"/>
          <w:szCs w:val="24"/>
          <w:lang w:val="en-US"/>
        </w:rPr>
        <w:tab/>
        <w:t>$      2.949.357.186</w:t>
      </w:r>
    </w:p>
    <w:p w14:paraId="7BA2B149" w14:textId="77777777" w:rsidR="003D5DB4" w:rsidRPr="002E1B4B" w:rsidRDefault="003D5DB4" w:rsidP="000A5389">
      <w:pPr>
        <w:pStyle w:val="Sinespaciado"/>
        <w:rPr>
          <w:rFonts w:ascii="Times New Roman" w:hAnsi="Times New Roman"/>
          <w:sz w:val="24"/>
          <w:szCs w:val="24"/>
          <w:lang w:val="en-US"/>
        </w:rPr>
      </w:pPr>
      <w:r w:rsidRPr="002E1B4B">
        <w:rPr>
          <w:rFonts w:ascii="Times New Roman" w:hAnsi="Times New Roman"/>
          <w:sz w:val="24"/>
          <w:szCs w:val="24"/>
          <w:lang w:val="en-US"/>
        </w:rPr>
        <w:t>dic-21</w:t>
      </w:r>
      <w:r w:rsidRPr="002E1B4B">
        <w:rPr>
          <w:rFonts w:ascii="Times New Roman" w:hAnsi="Times New Roman"/>
          <w:sz w:val="24"/>
          <w:szCs w:val="24"/>
          <w:lang w:val="en-US"/>
        </w:rPr>
        <w:tab/>
      </w:r>
      <w:r w:rsidRPr="002E1B4B">
        <w:rPr>
          <w:rFonts w:ascii="Times New Roman" w:hAnsi="Times New Roman"/>
          <w:sz w:val="24"/>
          <w:szCs w:val="24"/>
          <w:lang w:val="en-US"/>
        </w:rPr>
        <w:tab/>
        <w:t>$      1.740.557.827</w:t>
      </w:r>
    </w:p>
    <w:p w14:paraId="2B784A89" w14:textId="77777777" w:rsidR="003D5DB4" w:rsidRPr="002E1B4B" w:rsidRDefault="003D5DB4" w:rsidP="000A5389">
      <w:pPr>
        <w:pStyle w:val="Sinespaciado"/>
        <w:rPr>
          <w:rFonts w:ascii="Times New Roman" w:hAnsi="Times New Roman"/>
          <w:sz w:val="24"/>
          <w:szCs w:val="24"/>
          <w:lang w:val="en-US"/>
        </w:rPr>
      </w:pPr>
      <w:r w:rsidRPr="002E1B4B">
        <w:rPr>
          <w:rFonts w:ascii="Times New Roman" w:hAnsi="Times New Roman"/>
          <w:sz w:val="24"/>
          <w:szCs w:val="24"/>
          <w:lang w:val="en-US"/>
        </w:rPr>
        <w:t>dic-22</w:t>
      </w:r>
      <w:r w:rsidRPr="002E1B4B">
        <w:rPr>
          <w:rFonts w:ascii="Times New Roman" w:hAnsi="Times New Roman"/>
          <w:sz w:val="24"/>
          <w:szCs w:val="24"/>
          <w:lang w:val="en-US"/>
        </w:rPr>
        <w:tab/>
      </w:r>
      <w:r w:rsidRPr="002E1B4B">
        <w:rPr>
          <w:rFonts w:ascii="Times New Roman" w:hAnsi="Times New Roman"/>
          <w:sz w:val="24"/>
          <w:szCs w:val="24"/>
          <w:lang w:val="en-US"/>
        </w:rPr>
        <w:tab/>
        <w:t>$     3.111.246.158</w:t>
      </w:r>
    </w:p>
    <w:p w14:paraId="40D03DEA" w14:textId="77777777" w:rsidR="003D5DB4" w:rsidRPr="002E1B4B" w:rsidRDefault="003D5DB4" w:rsidP="000A5389">
      <w:pPr>
        <w:pStyle w:val="Sinespaciado"/>
        <w:rPr>
          <w:rFonts w:ascii="Times New Roman" w:hAnsi="Times New Roman"/>
          <w:sz w:val="24"/>
          <w:szCs w:val="24"/>
        </w:rPr>
      </w:pPr>
      <w:r w:rsidRPr="002E1B4B">
        <w:rPr>
          <w:rFonts w:ascii="Times New Roman" w:hAnsi="Times New Roman"/>
          <w:sz w:val="24"/>
          <w:szCs w:val="24"/>
        </w:rPr>
        <w:t>dic-23</w:t>
      </w:r>
      <w:r w:rsidRPr="002E1B4B">
        <w:rPr>
          <w:rFonts w:ascii="Times New Roman" w:hAnsi="Times New Roman"/>
          <w:sz w:val="24"/>
          <w:szCs w:val="24"/>
        </w:rPr>
        <w:tab/>
      </w:r>
      <w:r w:rsidRPr="002E1B4B">
        <w:rPr>
          <w:rFonts w:ascii="Times New Roman" w:hAnsi="Times New Roman"/>
          <w:sz w:val="24"/>
          <w:szCs w:val="24"/>
        </w:rPr>
        <w:tab/>
        <w:t>$     3.195.851.089</w:t>
      </w:r>
    </w:p>
    <w:p w14:paraId="0FE4132D" w14:textId="77777777" w:rsidR="003D5DB4" w:rsidRPr="002E1B4B" w:rsidRDefault="003D5DB4" w:rsidP="000A5389">
      <w:pPr>
        <w:pStyle w:val="Sinespaciado"/>
        <w:rPr>
          <w:rFonts w:ascii="Times New Roman" w:hAnsi="Times New Roman"/>
          <w:sz w:val="24"/>
          <w:szCs w:val="24"/>
        </w:rPr>
      </w:pPr>
      <w:r w:rsidRPr="002E1B4B">
        <w:rPr>
          <w:rFonts w:ascii="Times New Roman" w:hAnsi="Times New Roman"/>
          <w:sz w:val="24"/>
          <w:szCs w:val="24"/>
        </w:rPr>
        <w:t>dic-24</w:t>
      </w:r>
      <w:r w:rsidRPr="002E1B4B">
        <w:rPr>
          <w:rFonts w:ascii="Times New Roman" w:hAnsi="Times New Roman"/>
          <w:sz w:val="24"/>
          <w:szCs w:val="24"/>
        </w:rPr>
        <w:tab/>
      </w:r>
      <w:r w:rsidRPr="002E1B4B">
        <w:rPr>
          <w:rFonts w:ascii="Times New Roman" w:hAnsi="Times New Roman"/>
          <w:sz w:val="24"/>
          <w:szCs w:val="24"/>
        </w:rPr>
        <w:tab/>
        <w:t>$     3.282.994.168</w:t>
      </w:r>
    </w:p>
    <w:p w14:paraId="3BC05EAB" w14:textId="77777777" w:rsidR="003D5DB4" w:rsidRPr="002E1B4B" w:rsidRDefault="003D5DB4" w:rsidP="000A5389">
      <w:pPr>
        <w:pStyle w:val="Sinespaciado"/>
        <w:rPr>
          <w:rFonts w:ascii="Times New Roman" w:hAnsi="Times New Roman"/>
          <w:sz w:val="24"/>
          <w:szCs w:val="24"/>
        </w:rPr>
      </w:pPr>
      <w:r w:rsidRPr="002E1B4B">
        <w:rPr>
          <w:rFonts w:ascii="Times New Roman" w:hAnsi="Times New Roman"/>
          <w:sz w:val="24"/>
          <w:szCs w:val="24"/>
        </w:rPr>
        <w:t>dic-25</w:t>
      </w:r>
      <w:r w:rsidRPr="002E1B4B">
        <w:rPr>
          <w:rFonts w:ascii="Times New Roman" w:hAnsi="Times New Roman"/>
          <w:sz w:val="24"/>
          <w:szCs w:val="24"/>
        </w:rPr>
        <w:tab/>
      </w:r>
      <w:r w:rsidRPr="002E1B4B">
        <w:rPr>
          <w:rFonts w:ascii="Times New Roman" w:hAnsi="Times New Roman"/>
          <w:sz w:val="24"/>
          <w:szCs w:val="24"/>
        </w:rPr>
        <w:tab/>
        <w:t>$     3.452.936.109</w:t>
      </w:r>
    </w:p>
    <w:p w14:paraId="5DFC9E3C" w14:textId="77777777" w:rsidR="003D5DB4" w:rsidRPr="002E1B4B" w:rsidRDefault="003D5DB4" w:rsidP="000A5389">
      <w:pPr>
        <w:pStyle w:val="Sinespaciado"/>
        <w:rPr>
          <w:rFonts w:ascii="Times New Roman" w:hAnsi="Times New Roman"/>
          <w:sz w:val="24"/>
          <w:szCs w:val="24"/>
        </w:rPr>
      </w:pPr>
      <w:r w:rsidRPr="002E1B4B">
        <w:rPr>
          <w:rFonts w:ascii="Times New Roman" w:hAnsi="Times New Roman"/>
          <w:sz w:val="24"/>
          <w:szCs w:val="24"/>
        </w:rPr>
        <w:t>dic-26</w:t>
      </w:r>
      <w:r w:rsidRPr="002E1B4B">
        <w:rPr>
          <w:rFonts w:ascii="Times New Roman" w:hAnsi="Times New Roman"/>
          <w:sz w:val="24"/>
          <w:szCs w:val="24"/>
        </w:rPr>
        <w:tab/>
      </w:r>
      <w:r w:rsidRPr="002E1B4B">
        <w:rPr>
          <w:rFonts w:ascii="Times New Roman" w:hAnsi="Times New Roman"/>
          <w:sz w:val="24"/>
          <w:szCs w:val="24"/>
        </w:rPr>
        <w:tab/>
        <w:t>$     3.465.177.785</w:t>
      </w:r>
    </w:p>
    <w:p w14:paraId="3F4F5504" w14:textId="77777777" w:rsidR="003D5DB4" w:rsidRPr="002E1B4B" w:rsidRDefault="003D5DB4" w:rsidP="000A5389">
      <w:pPr>
        <w:spacing w:line="240" w:lineRule="auto"/>
        <w:rPr>
          <w:rFonts w:cs="Times New Roman"/>
          <w:szCs w:val="24"/>
        </w:rPr>
      </w:pPr>
    </w:p>
    <w:p w14:paraId="617D3F89" w14:textId="77777777" w:rsidR="003D5DB4" w:rsidRPr="002E1B4B" w:rsidRDefault="003D5DB4" w:rsidP="000A5389">
      <w:pPr>
        <w:spacing w:line="240" w:lineRule="auto"/>
        <w:rPr>
          <w:rFonts w:cs="Times New Roman"/>
          <w:szCs w:val="24"/>
        </w:rPr>
      </w:pPr>
      <w:r w:rsidRPr="002E1B4B">
        <w:rPr>
          <w:rFonts w:cs="Times New Roman"/>
          <w:szCs w:val="24"/>
        </w:rPr>
        <w:lastRenderedPageBreak/>
        <w:t xml:space="preserve">Términos de calendario: El plazo de duración del presente Contrato, contados a partir de la fecha de suscripción del "Acta de Iniciación de la Etapa de Diseño y Programación", es de doscientos cincuenta y seis (256) meses el cual comprende tanto el plazo para la ejecución de las etapas del Contrato como el plazo para la liquidación del mismo. </w:t>
      </w:r>
    </w:p>
    <w:p w14:paraId="1CFB56BE" w14:textId="77777777" w:rsidR="003D5DB4" w:rsidRPr="002E1B4B" w:rsidRDefault="003D5DB4" w:rsidP="000A5389">
      <w:pPr>
        <w:spacing w:line="240" w:lineRule="auto"/>
        <w:rPr>
          <w:rFonts w:cs="Times New Roman"/>
          <w:szCs w:val="24"/>
        </w:rPr>
      </w:pPr>
    </w:p>
    <w:p w14:paraId="713B870B" w14:textId="77777777" w:rsidR="003D5DB4" w:rsidRDefault="003D5DB4" w:rsidP="000A5389">
      <w:pPr>
        <w:spacing w:line="240" w:lineRule="auto"/>
        <w:rPr>
          <w:rFonts w:cs="Times New Roman"/>
          <w:szCs w:val="24"/>
        </w:rPr>
      </w:pPr>
      <w:r w:rsidRPr="002E1B4B">
        <w:rPr>
          <w:rFonts w:cs="Times New Roman"/>
          <w:szCs w:val="24"/>
        </w:rPr>
        <w:t>El plazo para la ejecución de las etapas del Contrato es de doscientos cincuenta y seis (256) meses. contados a partir de la fecha de suscripción del "Acta de Iniciación de la Etapa de Diseño y Programación" y hasta la fecha de firma del Acta de Finalización de la Etapa de Operación.</w:t>
      </w:r>
    </w:p>
    <w:p w14:paraId="72A694C2" w14:textId="77777777" w:rsidR="00197C31" w:rsidRPr="002E1B4B" w:rsidRDefault="00197C31" w:rsidP="000A5389">
      <w:pPr>
        <w:spacing w:line="240" w:lineRule="auto"/>
        <w:rPr>
          <w:rFonts w:cs="Times New Roman"/>
          <w:szCs w:val="24"/>
        </w:rPr>
      </w:pPr>
    </w:p>
    <w:p w14:paraId="13B8B0E7" w14:textId="77777777" w:rsidR="003D5DB4" w:rsidRPr="002E1B4B" w:rsidRDefault="003D5DB4" w:rsidP="000A5389">
      <w:pPr>
        <w:spacing w:line="240" w:lineRule="auto"/>
        <w:rPr>
          <w:rFonts w:cs="Times New Roman"/>
          <w:szCs w:val="24"/>
        </w:rPr>
      </w:pPr>
      <w:r w:rsidRPr="002E1B4B">
        <w:rPr>
          <w:rFonts w:cs="Times New Roman"/>
          <w:szCs w:val="24"/>
        </w:rPr>
        <w:t xml:space="preserve">A. ETAPA DE DISEÑO Y PROGRAMACION. La Etapa de Diseño y Programación está comprendida entre la firma del "Acta de iniciación de la Etapa de Diseño y Programación" y la firma del "Acta de Terminación de la Etapa de Diseño y Programación".  El CONCESIONARIO tendrá seis (6) meses a partir de la firma del "Acta de Iniciación de la Etapa de Diseño y Programación" para realizar todas las actividades previstas para esta etapa. </w:t>
      </w:r>
    </w:p>
    <w:p w14:paraId="2F6743CB" w14:textId="77777777" w:rsidR="003D5DB4" w:rsidRDefault="003D5DB4" w:rsidP="000A5389">
      <w:pPr>
        <w:spacing w:line="240" w:lineRule="auto"/>
        <w:rPr>
          <w:rFonts w:cs="Times New Roman"/>
          <w:szCs w:val="24"/>
        </w:rPr>
      </w:pPr>
      <w:r w:rsidRPr="002E1B4B">
        <w:rPr>
          <w:rFonts w:cs="Times New Roman"/>
          <w:szCs w:val="24"/>
        </w:rPr>
        <w:t xml:space="preserve">B. ETAPA DE CONSTRUCCIÓN. La Etapa de Construcción está comprendida entre la fecha de suscripción del "Acta de Iniciación de la Etapa de Construcción" y la fecha de suscripción del "Acta de Finalización de la Etapa de construcción". la cual se firmará cuando las obras y equipos innecesarios para la puesta en servicio del último tramo de las obras básicas, sean recibidas por parte del INSTITUTO, y la totalidad del Proyecto Vial entre en operación. La Etapa de Construcción deberá adelantarse en un plazo máximo de veinticuatro (24) meses contados a partir de la fecha de iniciación de la misma EL CONCESIONARIO iniciará la Etapa de Construcción con obras de rehabilitación, por tramos. o por actividades definidas en el programa general de trabajo de tal forma que no se interrumpa la ejecución del Contrato. El plazo anterior no incluye las suspensiones y extensiones de plazos que procedan de conformidad con lo dispuesto en este Contrato. </w:t>
      </w:r>
    </w:p>
    <w:p w14:paraId="23800A84" w14:textId="77777777" w:rsidR="00197C31" w:rsidRPr="002E1B4B" w:rsidRDefault="00197C31" w:rsidP="000A5389">
      <w:pPr>
        <w:spacing w:line="240" w:lineRule="auto"/>
        <w:rPr>
          <w:rFonts w:cs="Times New Roman"/>
          <w:szCs w:val="24"/>
        </w:rPr>
      </w:pPr>
    </w:p>
    <w:p w14:paraId="27A08D3A" w14:textId="77777777" w:rsidR="003D5DB4" w:rsidRDefault="003D5DB4" w:rsidP="000A5389">
      <w:pPr>
        <w:spacing w:line="240" w:lineRule="auto"/>
        <w:rPr>
          <w:rFonts w:cs="Times New Roman"/>
          <w:szCs w:val="24"/>
        </w:rPr>
      </w:pPr>
      <w:r w:rsidRPr="002E1B4B">
        <w:rPr>
          <w:rFonts w:cs="Times New Roman"/>
          <w:szCs w:val="24"/>
        </w:rPr>
        <w:t>C. ETAPA DE OPERACIÓN. El plazo de la Etapa de Operación será de doscientos veintidós (222) meses contados a partir de la firma del "Acta de Iniciación de la Operación del Primer Tramo". Al finalizar la Etapa de Operación se suscribir el "Acta de Finalización de la Etapa de Operación" y simultáneamente se producirá la reversión de los bienes y servicios y el INSTITUTO reasumirá en forma inmediata el cobro y administración de los peajes dados en concesión y asumirá las obligaciones relacionadas con el mantenimiento y operación de la vía sin perjuicio de la garantía de estabilidad de la obra, en los términos previstos en este Contrato.</w:t>
      </w:r>
    </w:p>
    <w:p w14:paraId="7465F831" w14:textId="77777777" w:rsidR="0087451A" w:rsidRPr="002E1B4B" w:rsidRDefault="0087451A" w:rsidP="000A5389">
      <w:pPr>
        <w:spacing w:line="240" w:lineRule="auto"/>
        <w:rPr>
          <w:rFonts w:cs="Times New Roman"/>
          <w:szCs w:val="24"/>
        </w:rPr>
      </w:pPr>
    </w:p>
    <w:p w14:paraId="5556B2AD" w14:textId="77777777" w:rsidR="003D5DB4" w:rsidRPr="002E1B4B" w:rsidRDefault="003D5DB4" w:rsidP="000A5389">
      <w:pPr>
        <w:spacing w:line="240" w:lineRule="auto"/>
        <w:rPr>
          <w:rFonts w:cs="Times New Roman"/>
          <w:szCs w:val="24"/>
        </w:rPr>
      </w:pPr>
      <w:r w:rsidRPr="002E1B4B">
        <w:rPr>
          <w:rFonts w:cs="Times New Roman"/>
          <w:szCs w:val="24"/>
        </w:rPr>
        <w:t>Términos de certeza de flujos de efectivo futuros: Las Vigencias Futuras se determinaron en pesos corrientes, por lo cual no aplica ningún ajuste.</w:t>
      </w:r>
    </w:p>
    <w:p w14:paraId="7A11710F" w14:textId="77777777" w:rsidR="003D5DB4" w:rsidRPr="002E1B4B" w:rsidRDefault="003D5DB4" w:rsidP="000A5389">
      <w:pPr>
        <w:spacing w:line="240" w:lineRule="auto"/>
        <w:rPr>
          <w:rFonts w:cs="Times New Roman"/>
          <w:szCs w:val="24"/>
        </w:rPr>
      </w:pPr>
    </w:p>
    <w:p w14:paraId="0A2B40F7" w14:textId="77777777" w:rsidR="003D5DB4" w:rsidRPr="0087451A" w:rsidRDefault="003D5DB4" w:rsidP="0087451A">
      <w:pPr>
        <w:spacing w:line="240" w:lineRule="auto"/>
        <w:rPr>
          <w:rFonts w:cs="Times New Roman"/>
          <w:szCs w:val="24"/>
        </w:rPr>
      </w:pPr>
      <w:r w:rsidRPr="0087451A">
        <w:rPr>
          <w:rFonts w:cs="Times New Roman"/>
          <w:szCs w:val="24"/>
        </w:rPr>
        <w:t>Naturaleza y alcance del derecho a utilizar Activos y los aspectos pactados en torno a lo que se espera que el concesionario proporcione en relación con el Acuerdo de concesión</w:t>
      </w:r>
    </w:p>
    <w:p w14:paraId="37B61AC9" w14:textId="77777777" w:rsidR="0087451A" w:rsidRDefault="0087451A" w:rsidP="000A5389">
      <w:pPr>
        <w:spacing w:line="240" w:lineRule="auto"/>
        <w:rPr>
          <w:rFonts w:cs="Times New Roman"/>
          <w:szCs w:val="24"/>
        </w:rPr>
      </w:pPr>
    </w:p>
    <w:p w14:paraId="38680897" w14:textId="43EEB582" w:rsidR="003D5DB4" w:rsidRDefault="003D5DB4" w:rsidP="000A5389">
      <w:pPr>
        <w:spacing w:line="240" w:lineRule="auto"/>
        <w:rPr>
          <w:rFonts w:cs="Times New Roman"/>
          <w:szCs w:val="24"/>
        </w:rPr>
      </w:pPr>
      <w:r w:rsidRPr="002E1B4B">
        <w:rPr>
          <w:rFonts w:cs="Times New Roman"/>
          <w:szCs w:val="24"/>
        </w:rPr>
        <w:t>Naturaleza y alcance del derecho de uso de los Activos</w:t>
      </w:r>
    </w:p>
    <w:p w14:paraId="71197C55" w14:textId="77777777" w:rsidR="0087451A" w:rsidRPr="002E1B4B" w:rsidRDefault="0087451A" w:rsidP="000A5389">
      <w:pPr>
        <w:spacing w:line="240" w:lineRule="auto"/>
        <w:rPr>
          <w:rFonts w:cs="Times New Roman"/>
          <w:szCs w:val="24"/>
        </w:rPr>
      </w:pPr>
    </w:p>
    <w:p w14:paraId="0A1E5FED" w14:textId="77777777" w:rsidR="003D5DB4" w:rsidRPr="002E1B4B" w:rsidRDefault="003D5DB4" w:rsidP="000A5389">
      <w:pPr>
        <w:spacing w:line="240" w:lineRule="auto"/>
        <w:rPr>
          <w:rFonts w:cs="Times New Roman"/>
          <w:szCs w:val="24"/>
        </w:rPr>
      </w:pPr>
      <w:r w:rsidRPr="002E1B4B">
        <w:rPr>
          <w:rFonts w:cs="Times New Roman"/>
          <w:szCs w:val="24"/>
        </w:rPr>
        <w:lastRenderedPageBreak/>
        <w:t>Descripción: De acuerdo con el contrato N° 113 de 1997 en su cláusula primera establece como objeto: “EL Concesionario se obliga a ejecutar por el sistema de concesión, según lo establecido por el artículo 32, numeral 4 de la Ley 80 de 1993, los estudios y diseños definitivos, las obras de rehabilitación y de construcción, la operación, el mantenimiento y la prestación de los Servicios del proyecto vial Armenia - Pereira – Manizales y todas aquellas actividades necesarias para el adecuado funcionamiento de la obra y la prestación del servicio público.</w:t>
      </w:r>
    </w:p>
    <w:p w14:paraId="4A52BD1F" w14:textId="77777777" w:rsidR="003D5DB4" w:rsidRPr="002E1B4B" w:rsidRDefault="003D5DB4" w:rsidP="000A5389">
      <w:pPr>
        <w:spacing w:line="240" w:lineRule="auto"/>
        <w:rPr>
          <w:rFonts w:cs="Times New Roman"/>
          <w:szCs w:val="24"/>
        </w:rPr>
      </w:pPr>
    </w:p>
    <w:p w14:paraId="632E26AD" w14:textId="77777777" w:rsidR="003D5DB4" w:rsidRPr="002E1B4B" w:rsidRDefault="003D5DB4" w:rsidP="000A5389">
      <w:pPr>
        <w:spacing w:line="240" w:lineRule="auto"/>
        <w:rPr>
          <w:rFonts w:cs="Times New Roman"/>
          <w:szCs w:val="24"/>
        </w:rPr>
      </w:pPr>
      <w:r w:rsidRPr="002E1B4B">
        <w:rPr>
          <w:rFonts w:cs="Times New Roman"/>
          <w:szCs w:val="24"/>
        </w:rPr>
        <w:t xml:space="preserve">Observaciones: Y adicionalmente, el Parágrafo primero de dicha cláusula establece el alcance físico del proyecto vial y comprende las siguientes actividades, obras y servicios </w:t>
      </w:r>
    </w:p>
    <w:p w14:paraId="7C8EA192" w14:textId="77777777" w:rsidR="003D5DB4" w:rsidRPr="002E1B4B" w:rsidRDefault="003D5DB4" w:rsidP="000A5389">
      <w:pPr>
        <w:spacing w:line="240" w:lineRule="auto"/>
        <w:rPr>
          <w:rFonts w:cs="Times New Roman"/>
          <w:szCs w:val="24"/>
        </w:rPr>
      </w:pPr>
      <w:r w:rsidRPr="002E1B4B">
        <w:rPr>
          <w:rFonts w:cs="Times New Roman"/>
          <w:szCs w:val="24"/>
        </w:rPr>
        <w:t>Diseño. Rehabilitación, mantenimiento y operación de las calzadas existentes, en los tramos Armenia - Pereira y Pereira - Manizales (Estación La Uribe), 01 y 02 de la ruta 29. Diseño. Rehabilitación. mantenimiento y operación de las calzadas existentes en los ramales Chinchiná - Club Campestre - La Trinidad y Chinchiná (Club Campestre) - La Manuela.</w:t>
      </w:r>
    </w:p>
    <w:p w14:paraId="06D95F5E" w14:textId="77777777" w:rsidR="003D5DB4" w:rsidRPr="002E1B4B" w:rsidRDefault="003D5DB4" w:rsidP="000A5389">
      <w:pPr>
        <w:spacing w:line="240" w:lineRule="auto"/>
        <w:rPr>
          <w:rFonts w:cs="Times New Roman"/>
          <w:szCs w:val="24"/>
        </w:rPr>
      </w:pPr>
      <w:r w:rsidRPr="002E1B4B">
        <w:rPr>
          <w:rFonts w:cs="Times New Roman"/>
          <w:szCs w:val="24"/>
        </w:rPr>
        <w:t>Diseño, Rehabilitación, mantenimiento y operación de las calzadas existentes en los tramos Estación La Uribe - La Trinidad - La Manuela, tramo 05 de la ruta 50. Diseño, Construcción, operación y mantenimiento del Túnel de Santa Rosa de Cabal y sus accesos y conexión con la variante Troncal de Occidente (ruta alterna Pereira - El Pollo – La Romelia - Chinchiná). Diseño, Construcción, operación y mantenimiento de la segunda calzada en el tramo La Ye (Club Campestre-), La Trinidad - Manizales (Estación La Uribe). Diseño, Construcción, operación y mantenimiento del Tercer carril en el sector Chinchiná – La Ye (Club Campestre). Mantenimiento y operación de la Variante Troncal de Occidente Ruta Alterna Pereira (El Pollo) La Romelia- Chinchiná. Diseño. Construcción de Obras de Mejoramiento vial en pasos Urbanos en los Municipios de Dosquebradas, Santa Rosa de Cabal y Chinchiná.</w:t>
      </w:r>
    </w:p>
    <w:p w14:paraId="5C2C6067" w14:textId="77777777" w:rsidR="003D5DB4" w:rsidRPr="002E1B4B" w:rsidRDefault="003D5DB4" w:rsidP="000A5389">
      <w:pPr>
        <w:spacing w:line="240" w:lineRule="auto"/>
        <w:rPr>
          <w:rFonts w:cs="Times New Roman"/>
          <w:szCs w:val="24"/>
        </w:rPr>
      </w:pPr>
      <w:r w:rsidRPr="002E1B4B">
        <w:rPr>
          <w:rFonts w:cs="Times New Roman"/>
          <w:szCs w:val="24"/>
        </w:rPr>
        <w:t xml:space="preserve">Diseño. Construcción y mantenimiento de la infraestructura para la operación de la vía Armenia-Pereira y Pereira - Manizales (Estación La Uribe, tramos 01 y 02 de la ruta 29). </w:t>
      </w:r>
    </w:p>
    <w:p w14:paraId="2D7B45A8" w14:textId="77777777" w:rsidR="003D5DB4" w:rsidRDefault="003D5DB4" w:rsidP="000A5389">
      <w:pPr>
        <w:spacing w:line="240" w:lineRule="auto"/>
        <w:rPr>
          <w:rFonts w:cs="Times New Roman"/>
          <w:szCs w:val="24"/>
        </w:rPr>
      </w:pPr>
      <w:r w:rsidRPr="002E1B4B">
        <w:rPr>
          <w:rFonts w:cs="Times New Roman"/>
          <w:szCs w:val="24"/>
        </w:rPr>
        <w:t>Diseño, construcción. operación y mantenimiento de la segunda calzada en el tramo Armenia - Pereira (Club de Tiro).</w:t>
      </w:r>
    </w:p>
    <w:p w14:paraId="631229E6" w14:textId="77777777" w:rsidR="0087451A" w:rsidRPr="002E1B4B" w:rsidRDefault="0087451A" w:rsidP="000A5389">
      <w:pPr>
        <w:spacing w:line="240" w:lineRule="auto"/>
        <w:rPr>
          <w:rFonts w:cs="Times New Roman"/>
          <w:szCs w:val="24"/>
        </w:rPr>
      </w:pPr>
    </w:p>
    <w:p w14:paraId="6D2C09A2" w14:textId="77777777" w:rsidR="003D5DB4" w:rsidRDefault="003D5DB4" w:rsidP="000A5389">
      <w:pPr>
        <w:spacing w:line="240" w:lineRule="auto"/>
        <w:rPr>
          <w:rFonts w:cs="Times New Roman"/>
          <w:szCs w:val="24"/>
        </w:rPr>
      </w:pPr>
      <w:r w:rsidRPr="002E1B4B">
        <w:rPr>
          <w:rFonts w:cs="Times New Roman"/>
          <w:szCs w:val="24"/>
        </w:rPr>
        <w:t>Retribución al concesionario</w:t>
      </w:r>
    </w:p>
    <w:p w14:paraId="49C29366" w14:textId="77777777" w:rsidR="0087451A" w:rsidRPr="002E1B4B" w:rsidRDefault="0087451A" w:rsidP="000A5389">
      <w:pPr>
        <w:spacing w:line="240" w:lineRule="auto"/>
        <w:rPr>
          <w:rFonts w:cs="Times New Roman"/>
          <w:szCs w:val="24"/>
        </w:rPr>
      </w:pPr>
    </w:p>
    <w:p w14:paraId="4D7A7041" w14:textId="77777777" w:rsidR="003D5DB4" w:rsidRPr="002E1B4B" w:rsidRDefault="003D5DB4" w:rsidP="000A5389">
      <w:pPr>
        <w:spacing w:line="240" w:lineRule="auto"/>
        <w:rPr>
          <w:rFonts w:cs="Times New Roman"/>
          <w:szCs w:val="24"/>
        </w:rPr>
      </w:pPr>
      <w:r w:rsidRPr="002E1B4B">
        <w:rPr>
          <w:rFonts w:cs="Times New Roman"/>
          <w:szCs w:val="24"/>
        </w:rPr>
        <w:t>Descripción: Además de los recursos provenientes de los aportes estatales programados hasta el año 2026, se cuenta con los recursos provenientes del recaudo de peajes por medio de la figura del Ingreso Mínimo Garantizado a través de la siguiente línea de ingreso:</w:t>
      </w:r>
    </w:p>
    <w:p w14:paraId="5DDFB1F3" w14:textId="77777777" w:rsidR="0087451A" w:rsidRDefault="0087451A" w:rsidP="000A5389">
      <w:pPr>
        <w:spacing w:line="240" w:lineRule="auto"/>
        <w:rPr>
          <w:rFonts w:cs="Times New Roman"/>
          <w:szCs w:val="24"/>
        </w:rPr>
      </w:pPr>
    </w:p>
    <w:p w14:paraId="6D3156BC" w14:textId="489D840D" w:rsidR="003D5DB4" w:rsidRDefault="003D5DB4" w:rsidP="000A5389">
      <w:pPr>
        <w:spacing w:line="240" w:lineRule="auto"/>
        <w:rPr>
          <w:rFonts w:cs="Times New Roman"/>
          <w:szCs w:val="24"/>
        </w:rPr>
      </w:pPr>
      <w:r w:rsidRPr="002E1B4B">
        <w:rPr>
          <w:rFonts w:cs="Times New Roman"/>
          <w:szCs w:val="24"/>
        </w:rPr>
        <w:t>Año     Línea de Ingreso Garantizada ($sep-96)</w:t>
      </w:r>
    </w:p>
    <w:p w14:paraId="6084135A" w14:textId="77777777" w:rsidR="001B234E" w:rsidRPr="002E1B4B" w:rsidRDefault="001B234E" w:rsidP="000A5389">
      <w:pPr>
        <w:spacing w:line="240" w:lineRule="auto"/>
        <w:rPr>
          <w:rFonts w:cs="Times New Roman"/>
          <w:szCs w:val="24"/>
        </w:rPr>
      </w:pPr>
    </w:p>
    <w:p w14:paraId="18D9646F" w14:textId="77777777" w:rsidR="003D5DB4" w:rsidRPr="002E1B4B" w:rsidRDefault="003D5DB4" w:rsidP="000A5389">
      <w:pPr>
        <w:pStyle w:val="Sinespaciado"/>
        <w:rPr>
          <w:rFonts w:ascii="Times New Roman" w:hAnsi="Times New Roman"/>
          <w:sz w:val="24"/>
          <w:szCs w:val="24"/>
        </w:rPr>
      </w:pPr>
      <w:r w:rsidRPr="002E1B4B">
        <w:rPr>
          <w:rFonts w:ascii="Times New Roman" w:hAnsi="Times New Roman"/>
          <w:sz w:val="24"/>
          <w:szCs w:val="24"/>
        </w:rPr>
        <w:t>2004</w:t>
      </w:r>
      <w:r w:rsidRPr="002E1B4B">
        <w:rPr>
          <w:rFonts w:ascii="Times New Roman" w:hAnsi="Times New Roman"/>
          <w:sz w:val="24"/>
          <w:szCs w:val="24"/>
        </w:rPr>
        <w:tab/>
        <w:t>$ 30.874.000.000</w:t>
      </w:r>
    </w:p>
    <w:p w14:paraId="66EEACCC" w14:textId="77777777" w:rsidR="003D5DB4" w:rsidRPr="002E1B4B" w:rsidRDefault="003D5DB4" w:rsidP="000A5389">
      <w:pPr>
        <w:pStyle w:val="Sinespaciado"/>
        <w:rPr>
          <w:rFonts w:ascii="Times New Roman" w:hAnsi="Times New Roman"/>
          <w:sz w:val="24"/>
          <w:szCs w:val="24"/>
        </w:rPr>
      </w:pPr>
      <w:r w:rsidRPr="002E1B4B">
        <w:rPr>
          <w:rFonts w:ascii="Times New Roman" w:hAnsi="Times New Roman"/>
          <w:sz w:val="24"/>
          <w:szCs w:val="24"/>
        </w:rPr>
        <w:t>2005</w:t>
      </w:r>
      <w:r w:rsidRPr="002E1B4B">
        <w:rPr>
          <w:rFonts w:ascii="Times New Roman" w:hAnsi="Times New Roman"/>
          <w:sz w:val="24"/>
          <w:szCs w:val="24"/>
        </w:rPr>
        <w:tab/>
        <w:t>$ 31.337.000.000</w:t>
      </w:r>
    </w:p>
    <w:p w14:paraId="6D67E9F8" w14:textId="77777777" w:rsidR="003D5DB4" w:rsidRPr="002E1B4B" w:rsidRDefault="003D5DB4" w:rsidP="000A5389">
      <w:pPr>
        <w:pStyle w:val="Sinespaciado"/>
        <w:rPr>
          <w:rFonts w:ascii="Times New Roman" w:hAnsi="Times New Roman"/>
          <w:sz w:val="24"/>
          <w:szCs w:val="24"/>
        </w:rPr>
      </w:pPr>
      <w:r w:rsidRPr="002E1B4B">
        <w:rPr>
          <w:rFonts w:ascii="Times New Roman" w:hAnsi="Times New Roman"/>
          <w:sz w:val="24"/>
          <w:szCs w:val="24"/>
        </w:rPr>
        <w:t>2006</w:t>
      </w:r>
      <w:r w:rsidRPr="002E1B4B">
        <w:rPr>
          <w:rFonts w:ascii="Times New Roman" w:hAnsi="Times New Roman"/>
          <w:sz w:val="24"/>
          <w:szCs w:val="24"/>
        </w:rPr>
        <w:tab/>
        <w:t>$ 32.923.000.000</w:t>
      </w:r>
    </w:p>
    <w:p w14:paraId="4687C375" w14:textId="77777777" w:rsidR="003D5DB4" w:rsidRPr="002E1B4B" w:rsidRDefault="003D5DB4" w:rsidP="000A5389">
      <w:pPr>
        <w:pStyle w:val="Sinespaciado"/>
        <w:rPr>
          <w:rFonts w:ascii="Times New Roman" w:hAnsi="Times New Roman"/>
          <w:sz w:val="24"/>
          <w:szCs w:val="24"/>
        </w:rPr>
      </w:pPr>
      <w:r w:rsidRPr="002E1B4B">
        <w:rPr>
          <w:rFonts w:ascii="Times New Roman" w:hAnsi="Times New Roman"/>
          <w:sz w:val="24"/>
          <w:szCs w:val="24"/>
        </w:rPr>
        <w:t>2007</w:t>
      </w:r>
      <w:r w:rsidRPr="002E1B4B">
        <w:rPr>
          <w:rFonts w:ascii="Times New Roman" w:hAnsi="Times New Roman"/>
          <w:sz w:val="24"/>
          <w:szCs w:val="24"/>
        </w:rPr>
        <w:tab/>
        <w:t>$ 33.433.000.000</w:t>
      </w:r>
    </w:p>
    <w:p w14:paraId="61623CCA" w14:textId="77777777" w:rsidR="003D5DB4" w:rsidRPr="002E1B4B" w:rsidRDefault="003D5DB4" w:rsidP="000A5389">
      <w:pPr>
        <w:pStyle w:val="Sinespaciado"/>
        <w:rPr>
          <w:rFonts w:ascii="Times New Roman" w:hAnsi="Times New Roman"/>
          <w:sz w:val="24"/>
          <w:szCs w:val="24"/>
        </w:rPr>
      </w:pPr>
      <w:r w:rsidRPr="002E1B4B">
        <w:rPr>
          <w:rFonts w:ascii="Times New Roman" w:hAnsi="Times New Roman"/>
          <w:sz w:val="24"/>
          <w:szCs w:val="24"/>
        </w:rPr>
        <w:t>2008</w:t>
      </w:r>
      <w:r w:rsidRPr="002E1B4B">
        <w:rPr>
          <w:rFonts w:ascii="Times New Roman" w:hAnsi="Times New Roman"/>
          <w:sz w:val="24"/>
          <w:szCs w:val="24"/>
        </w:rPr>
        <w:tab/>
        <w:t>$ 33.935.000.000</w:t>
      </w:r>
    </w:p>
    <w:p w14:paraId="10C2F0B2" w14:textId="77777777" w:rsidR="003D5DB4" w:rsidRPr="002E1B4B" w:rsidRDefault="003D5DB4" w:rsidP="000A5389">
      <w:pPr>
        <w:pStyle w:val="Sinespaciado"/>
        <w:rPr>
          <w:rFonts w:ascii="Times New Roman" w:hAnsi="Times New Roman"/>
          <w:sz w:val="24"/>
          <w:szCs w:val="24"/>
        </w:rPr>
      </w:pPr>
      <w:r w:rsidRPr="002E1B4B">
        <w:rPr>
          <w:rFonts w:ascii="Times New Roman" w:hAnsi="Times New Roman"/>
          <w:sz w:val="24"/>
          <w:szCs w:val="24"/>
        </w:rPr>
        <w:t>2009</w:t>
      </w:r>
      <w:r w:rsidRPr="002E1B4B">
        <w:rPr>
          <w:rFonts w:ascii="Times New Roman" w:hAnsi="Times New Roman"/>
          <w:sz w:val="24"/>
          <w:szCs w:val="24"/>
        </w:rPr>
        <w:tab/>
        <w:t>$ 34.444.000.000</w:t>
      </w:r>
    </w:p>
    <w:p w14:paraId="219891F1" w14:textId="77777777" w:rsidR="003D5DB4" w:rsidRPr="002E1B4B" w:rsidRDefault="003D5DB4" w:rsidP="000A5389">
      <w:pPr>
        <w:pStyle w:val="Sinespaciado"/>
        <w:rPr>
          <w:rFonts w:ascii="Times New Roman" w:hAnsi="Times New Roman"/>
          <w:sz w:val="24"/>
          <w:szCs w:val="24"/>
        </w:rPr>
      </w:pPr>
      <w:r w:rsidRPr="002E1B4B">
        <w:rPr>
          <w:rFonts w:ascii="Times New Roman" w:hAnsi="Times New Roman"/>
          <w:sz w:val="24"/>
          <w:szCs w:val="24"/>
        </w:rPr>
        <w:t>2010</w:t>
      </w:r>
      <w:r w:rsidRPr="002E1B4B">
        <w:rPr>
          <w:rFonts w:ascii="Times New Roman" w:hAnsi="Times New Roman"/>
          <w:sz w:val="24"/>
          <w:szCs w:val="24"/>
        </w:rPr>
        <w:tab/>
        <w:t>$ 34.960.000.000</w:t>
      </w:r>
    </w:p>
    <w:p w14:paraId="752383A5" w14:textId="77777777" w:rsidR="003D5DB4" w:rsidRPr="002E1B4B" w:rsidRDefault="003D5DB4" w:rsidP="000A5389">
      <w:pPr>
        <w:pStyle w:val="Sinespaciado"/>
        <w:rPr>
          <w:rFonts w:ascii="Times New Roman" w:hAnsi="Times New Roman"/>
          <w:sz w:val="24"/>
          <w:szCs w:val="24"/>
        </w:rPr>
      </w:pPr>
      <w:r w:rsidRPr="002E1B4B">
        <w:rPr>
          <w:rFonts w:ascii="Times New Roman" w:hAnsi="Times New Roman"/>
          <w:sz w:val="24"/>
          <w:szCs w:val="24"/>
        </w:rPr>
        <w:lastRenderedPageBreak/>
        <w:t>2011</w:t>
      </w:r>
      <w:r w:rsidRPr="002E1B4B">
        <w:rPr>
          <w:rFonts w:ascii="Times New Roman" w:hAnsi="Times New Roman"/>
          <w:sz w:val="24"/>
          <w:szCs w:val="24"/>
        </w:rPr>
        <w:tab/>
        <w:t>$ 35.485.000.000</w:t>
      </w:r>
    </w:p>
    <w:p w14:paraId="6E7E3A83" w14:textId="77777777" w:rsidR="003D5DB4" w:rsidRPr="002E1B4B" w:rsidRDefault="003D5DB4" w:rsidP="000A5389">
      <w:pPr>
        <w:pStyle w:val="Sinespaciado"/>
        <w:rPr>
          <w:rFonts w:ascii="Times New Roman" w:hAnsi="Times New Roman"/>
          <w:sz w:val="24"/>
          <w:szCs w:val="24"/>
        </w:rPr>
      </w:pPr>
      <w:r w:rsidRPr="002E1B4B">
        <w:rPr>
          <w:rFonts w:ascii="Times New Roman" w:hAnsi="Times New Roman"/>
          <w:sz w:val="24"/>
          <w:szCs w:val="24"/>
        </w:rPr>
        <w:t>2012</w:t>
      </w:r>
      <w:r w:rsidRPr="002E1B4B">
        <w:rPr>
          <w:rFonts w:ascii="Times New Roman" w:hAnsi="Times New Roman"/>
          <w:sz w:val="24"/>
          <w:szCs w:val="24"/>
        </w:rPr>
        <w:tab/>
        <w:t>$ 36.017.000.000</w:t>
      </w:r>
    </w:p>
    <w:p w14:paraId="7B97B13E" w14:textId="77777777" w:rsidR="003D5DB4" w:rsidRPr="002E1B4B" w:rsidRDefault="003D5DB4" w:rsidP="000A5389">
      <w:pPr>
        <w:pStyle w:val="Sinespaciado"/>
        <w:rPr>
          <w:rFonts w:ascii="Times New Roman" w:hAnsi="Times New Roman"/>
          <w:sz w:val="24"/>
          <w:szCs w:val="24"/>
        </w:rPr>
      </w:pPr>
      <w:r w:rsidRPr="002E1B4B">
        <w:rPr>
          <w:rFonts w:ascii="Times New Roman" w:hAnsi="Times New Roman"/>
          <w:sz w:val="24"/>
          <w:szCs w:val="24"/>
        </w:rPr>
        <w:t>2013</w:t>
      </w:r>
      <w:r w:rsidRPr="002E1B4B">
        <w:rPr>
          <w:rFonts w:ascii="Times New Roman" w:hAnsi="Times New Roman"/>
          <w:sz w:val="24"/>
          <w:szCs w:val="24"/>
        </w:rPr>
        <w:tab/>
        <w:t>$ 36.557.000.000</w:t>
      </w:r>
    </w:p>
    <w:p w14:paraId="057788E5" w14:textId="77777777" w:rsidR="003D5DB4" w:rsidRPr="002E1B4B" w:rsidRDefault="003D5DB4" w:rsidP="000A5389">
      <w:pPr>
        <w:pStyle w:val="Sinespaciado"/>
        <w:rPr>
          <w:rFonts w:ascii="Times New Roman" w:hAnsi="Times New Roman"/>
          <w:sz w:val="24"/>
          <w:szCs w:val="24"/>
        </w:rPr>
      </w:pPr>
      <w:r w:rsidRPr="002E1B4B">
        <w:rPr>
          <w:rFonts w:ascii="Times New Roman" w:hAnsi="Times New Roman"/>
          <w:sz w:val="24"/>
          <w:szCs w:val="24"/>
        </w:rPr>
        <w:t>2014</w:t>
      </w:r>
      <w:r w:rsidRPr="002E1B4B">
        <w:rPr>
          <w:rFonts w:ascii="Times New Roman" w:hAnsi="Times New Roman"/>
          <w:sz w:val="24"/>
          <w:szCs w:val="24"/>
        </w:rPr>
        <w:tab/>
        <w:t>$ 37.200.000.000</w:t>
      </w:r>
    </w:p>
    <w:p w14:paraId="55CB65EC" w14:textId="77777777" w:rsidR="003D5DB4" w:rsidRPr="002E1B4B" w:rsidRDefault="003D5DB4" w:rsidP="000A5389">
      <w:pPr>
        <w:pStyle w:val="Sinespaciado"/>
        <w:rPr>
          <w:rFonts w:ascii="Times New Roman" w:hAnsi="Times New Roman"/>
          <w:sz w:val="24"/>
          <w:szCs w:val="24"/>
        </w:rPr>
      </w:pPr>
      <w:r w:rsidRPr="002E1B4B">
        <w:rPr>
          <w:rFonts w:ascii="Times New Roman" w:hAnsi="Times New Roman"/>
          <w:sz w:val="24"/>
          <w:szCs w:val="24"/>
        </w:rPr>
        <w:t>2015</w:t>
      </w:r>
      <w:r w:rsidRPr="002E1B4B">
        <w:rPr>
          <w:rFonts w:ascii="Times New Roman" w:hAnsi="Times New Roman"/>
          <w:sz w:val="24"/>
          <w:szCs w:val="24"/>
        </w:rPr>
        <w:tab/>
        <w:t>$ 37.863.000.000</w:t>
      </w:r>
    </w:p>
    <w:p w14:paraId="7711F96E" w14:textId="77777777" w:rsidR="003D5DB4" w:rsidRPr="002E1B4B" w:rsidRDefault="003D5DB4" w:rsidP="000A5389">
      <w:pPr>
        <w:pStyle w:val="Sinespaciado"/>
        <w:rPr>
          <w:rFonts w:ascii="Times New Roman" w:hAnsi="Times New Roman"/>
          <w:sz w:val="24"/>
          <w:szCs w:val="24"/>
        </w:rPr>
      </w:pPr>
      <w:r w:rsidRPr="002E1B4B">
        <w:rPr>
          <w:rFonts w:ascii="Times New Roman" w:hAnsi="Times New Roman"/>
          <w:sz w:val="24"/>
          <w:szCs w:val="24"/>
        </w:rPr>
        <w:t>2016</w:t>
      </w:r>
      <w:r w:rsidRPr="002E1B4B">
        <w:rPr>
          <w:rFonts w:ascii="Times New Roman" w:hAnsi="Times New Roman"/>
          <w:sz w:val="24"/>
          <w:szCs w:val="24"/>
        </w:rPr>
        <w:tab/>
        <w:t>$ 38.455.000.000</w:t>
      </w:r>
    </w:p>
    <w:p w14:paraId="079AE3FB" w14:textId="77777777" w:rsidR="003D5DB4" w:rsidRPr="002E1B4B" w:rsidRDefault="003D5DB4" w:rsidP="000A5389">
      <w:pPr>
        <w:pStyle w:val="Sinespaciado"/>
        <w:rPr>
          <w:rFonts w:ascii="Times New Roman" w:hAnsi="Times New Roman"/>
          <w:sz w:val="24"/>
          <w:szCs w:val="24"/>
        </w:rPr>
      </w:pPr>
      <w:r w:rsidRPr="002E1B4B">
        <w:rPr>
          <w:rFonts w:ascii="Times New Roman" w:hAnsi="Times New Roman"/>
          <w:sz w:val="24"/>
          <w:szCs w:val="24"/>
        </w:rPr>
        <w:t>2017</w:t>
      </w:r>
      <w:r w:rsidRPr="002E1B4B">
        <w:rPr>
          <w:rFonts w:ascii="Times New Roman" w:hAnsi="Times New Roman"/>
          <w:sz w:val="24"/>
          <w:szCs w:val="24"/>
        </w:rPr>
        <w:tab/>
        <w:t>$ 39.055.000.000</w:t>
      </w:r>
    </w:p>
    <w:p w14:paraId="5C28C0C4" w14:textId="77777777" w:rsidR="003D5DB4" w:rsidRPr="002E1B4B" w:rsidRDefault="003D5DB4" w:rsidP="000A5389">
      <w:pPr>
        <w:pStyle w:val="Sinespaciado"/>
        <w:rPr>
          <w:rFonts w:ascii="Times New Roman" w:hAnsi="Times New Roman"/>
          <w:sz w:val="24"/>
          <w:szCs w:val="24"/>
        </w:rPr>
      </w:pPr>
      <w:r w:rsidRPr="002E1B4B">
        <w:rPr>
          <w:rFonts w:ascii="Times New Roman" w:hAnsi="Times New Roman"/>
          <w:sz w:val="24"/>
          <w:szCs w:val="24"/>
        </w:rPr>
        <w:t>2018</w:t>
      </w:r>
      <w:r w:rsidRPr="002E1B4B">
        <w:rPr>
          <w:rFonts w:ascii="Times New Roman" w:hAnsi="Times New Roman"/>
          <w:sz w:val="24"/>
          <w:szCs w:val="24"/>
        </w:rPr>
        <w:tab/>
        <w:t>$ 39.666.000.000</w:t>
      </w:r>
    </w:p>
    <w:p w14:paraId="2277FBF7" w14:textId="77777777" w:rsidR="003D5DB4" w:rsidRPr="002E1B4B" w:rsidRDefault="003D5DB4" w:rsidP="000A5389">
      <w:pPr>
        <w:pStyle w:val="Sinespaciado"/>
        <w:rPr>
          <w:rFonts w:ascii="Times New Roman" w:hAnsi="Times New Roman"/>
          <w:sz w:val="24"/>
          <w:szCs w:val="24"/>
        </w:rPr>
      </w:pPr>
      <w:r w:rsidRPr="002E1B4B">
        <w:rPr>
          <w:rFonts w:ascii="Times New Roman" w:hAnsi="Times New Roman"/>
          <w:sz w:val="24"/>
          <w:szCs w:val="24"/>
        </w:rPr>
        <w:t>2019</w:t>
      </w:r>
      <w:r w:rsidRPr="002E1B4B">
        <w:rPr>
          <w:rFonts w:ascii="Times New Roman" w:hAnsi="Times New Roman"/>
          <w:sz w:val="24"/>
          <w:szCs w:val="24"/>
        </w:rPr>
        <w:tab/>
        <w:t>$ 40.286.000.000</w:t>
      </w:r>
    </w:p>
    <w:p w14:paraId="700A079F" w14:textId="77777777" w:rsidR="003D5DB4" w:rsidRPr="002E1B4B" w:rsidRDefault="003D5DB4" w:rsidP="000A5389">
      <w:pPr>
        <w:pStyle w:val="Sinespaciado"/>
        <w:rPr>
          <w:rFonts w:ascii="Times New Roman" w:hAnsi="Times New Roman"/>
          <w:sz w:val="24"/>
          <w:szCs w:val="24"/>
        </w:rPr>
      </w:pPr>
      <w:r w:rsidRPr="002E1B4B">
        <w:rPr>
          <w:rFonts w:ascii="Times New Roman" w:hAnsi="Times New Roman"/>
          <w:sz w:val="24"/>
          <w:szCs w:val="24"/>
        </w:rPr>
        <w:t>2020</w:t>
      </w:r>
      <w:r w:rsidRPr="002E1B4B">
        <w:rPr>
          <w:rFonts w:ascii="Times New Roman" w:hAnsi="Times New Roman"/>
          <w:sz w:val="24"/>
          <w:szCs w:val="24"/>
        </w:rPr>
        <w:tab/>
        <w:t>$ 40.916.000.000</w:t>
      </w:r>
    </w:p>
    <w:p w14:paraId="4BD3573F" w14:textId="77777777" w:rsidR="003D5DB4" w:rsidRPr="002E1B4B" w:rsidRDefault="003D5DB4" w:rsidP="000A5389">
      <w:pPr>
        <w:pStyle w:val="Sinespaciado"/>
        <w:rPr>
          <w:rFonts w:ascii="Times New Roman" w:hAnsi="Times New Roman"/>
          <w:sz w:val="24"/>
          <w:szCs w:val="24"/>
        </w:rPr>
      </w:pPr>
      <w:r w:rsidRPr="002E1B4B">
        <w:rPr>
          <w:rFonts w:ascii="Times New Roman" w:hAnsi="Times New Roman"/>
          <w:sz w:val="24"/>
          <w:szCs w:val="24"/>
        </w:rPr>
        <w:t>2021</w:t>
      </w:r>
      <w:r w:rsidRPr="002E1B4B">
        <w:rPr>
          <w:rFonts w:ascii="Times New Roman" w:hAnsi="Times New Roman"/>
          <w:sz w:val="24"/>
          <w:szCs w:val="24"/>
        </w:rPr>
        <w:tab/>
        <w:t>$ 41.555.000.000</w:t>
      </w:r>
    </w:p>
    <w:p w14:paraId="05C6E8BA" w14:textId="77777777" w:rsidR="003D5DB4" w:rsidRPr="002E1B4B" w:rsidRDefault="003D5DB4" w:rsidP="000A5389">
      <w:pPr>
        <w:pStyle w:val="Sinespaciado"/>
        <w:rPr>
          <w:rFonts w:ascii="Times New Roman" w:hAnsi="Times New Roman"/>
          <w:sz w:val="24"/>
          <w:szCs w:val="24"/>
        </w:rPr>
      </w:pPr>
      <w:r w:rsidRPr="002E1B4B">
        <w:rPr>
          <w:rFonts w:ascii="Times New Roman" w:hAnsi="Times New Roman"/>
          <w:sz w:val="24"/>
          <w:szCs w:val="24"/>
        </w:rPr>
        <w:t>2022</w:t>
      </w:r>
      <w:r w:rsidRPr="002E1B4B">
        <w:rPr>
          <w:rFonts w:ascii="Times New Roman" w:hAnsi="Times New Roman"/>
          <w:sz w:val="24"/>
          <w:szCs w:val="24"/>
        </w:rPr>
        <w:tab/>
        <w:t>$ 42.199.000.000</w:t>
      </w:r>
    </w:p>
    <w:p w14:paraId="3ADADD12" w14:textId="77777777" w:rsidR="003D5DB4" w:rsidRPr="002E1B4B" w:rsidRDefault="003D5DB4" w:rsidP="000A5389">
      <w:pPr>
        <w:pStyle w:val="Sinespaciado"/>
        <w:rPr>
          <w:rFonts w:ascii="Times New Roman" w:hAnsi="Times New Roman"/>
          <w:sz w:val="24"/>
          <w:szCs w:val="24"/>
        </w:rPr>
      </w:pPr>
      <w:r w:rsidRPr="002E1B4B">
        <w:rPr>
          <w:rFonts w:ascii="Times New Roman" w:hAnsi="Times New Roman"/>
          <w:sz w:val="24"/>
          <w:szCs w:val="24"/>
        </w:rPr>
        <w:t>2023</w:t>
      </w:r>
      <w:r w:rsidRPr="002E1B4B">
        <w:rPr>
          <w:rFonts w:ascii="Times New Roman" w:hAnsi="Times New Roman"/>
          <w:sz w:val="24"/>
          <w:szCs w:val="24"/>
        </w:rPr>
        <w:tab/>
        <w:t>$ 42.854.000.000</w:t>
      </w:r>
    </w:p>
    <w:p w14:paraId="795FC989" w14:textId="77777777" w:rsidR="003D5DB4" w:rsidRPr="002E1B4B" w:rsidRDefault="003D5DB4" w:rsidP="000A5389">
      <w:pPr>
        <w:pStyle w:val="Sinespaciado"/>
        <w:rPr>
          <w:rFonts w:ascii="Times New Roman" w:hAnsi="Times New Roman"/>
          <w:sz w:val="24"/>
          <w:szCs w:val="24"/>
        </w:rPr>
      </w:pPr>
      <w:r w:rsidRPr="002E1B4B">
        <w:rPr>
          <w:rFonts w:ascii="Times New Roman" w:hAnsi="Times New Roman"/>
          <w:sz w:val="24"/>
          <w:szCs w:val="24"/>
        </w:rPr>
        <w:t>2024</w:t>
      </w:r>
      <w:r w:rsidRPr="002E1B4B">
        <w:rPr>
          <w:rFonts w:ascii="Times New Roman" w:hAnsi="Times New Roman"/>
          <w:sz w:val="24"/>
          <w:szCs w:val="24"/>
        </w:rPr>
        <w:tab/>
        <w:t>$ 43.518.000.000</w:t>
      </w:r>
    </w:p>
    <w:p w14:paraId="6AC39057" w14:textId="77777777" w:rsidR="003D5DB4" w:rsidRPr="002E1B4B" w:rsidRDefault="003D5DB4" w:rsidP="000A5389">
      <w:pPr>
        <w:pStyle w:val="Sinespaciado"/>
        <w:rPr>
          <w:rFonts w:ascii="Times New Roman" w:hAnsi="Times New Roman"/>
          <w:sz w:val="24"/>
          <w:szCs w:val="24"/>
        </w:rPr>
      </w:pPr>
      <w:r w:rsidRPr="002E1B4B">
        <w:rPr>
          <w:rFonts w:ascii="Times New Roman" w:hAnsi="Times New Roman"/>
          <w:sz w:val="24"/>
          <w:szCs w:val="24"/>
        </w:rPr>
        <w:t>2025</w:t>
      </w:r>
      <w:r w:rsidRPr="002E1B4B">
        <w:rPr>
          <w:rFonts w:ascii="Times New Roman" w:hAnsi="Times New Roman"/>
          <w:sz w:val="24"/>
          <w:szCs w:val="24"/>
        </w:rPr>
        <w:tab/>
        <w:t>$ 44.193.000.000</w:t>
      </w:r>
    </w:p>
    <w:p w14:paraId="6B85584F" w14:textId="77777777" w:rsidR="003D5DB4" w:rsidRPr="002E1B4B" w:rsidRDefault="003D5DB4" w:rsidP="000A5389">
      <w:pPr>
        <w:pStyle w:val="Sinespaciado"/>
        <w:rPr>
          <w:rFonts w:ascii="Times New Roman" w:hAnsi="Times New Roman"/>
          <w:sz w:val="24"/>
          <w:szCs w:val="24"/>
        </w:rPr>
      </w:pPr>
      <w:r w:rsidRPr="002E1B4B">
        <w:rPr>
          <w:rFonts w:ascii="Times New Roman" w:hAnsi="Times New Roman"/>
          <w:sz w:val="24"/>
          <w:szCs w:val="24"/>
        </w:rPr>
        <w:t>2026</w:t>
      </w:r>
      <w:r w:rsidRPr="002E1B4B">
        <w:rPr>
          <w:rFonts w:ascii="Times New Roman" w:hAnsi="Times New Roman"/>
          <w:sz w:val="24"/>
          <w:szCs w:val="24"/>
        </w:rPr>
        <w:tab/>
        <w:t>$ 44.364.000.000</w:t>
      </w:r>
    </w:p>
    <w:p w14:paraId="7599AE74" w14:textId="77777777" w:rsidR="003D5DB4" w:rsidRPr="002E1B4B" w:rsidRDefault="003D5DB4" w:rsidP="000A5389">
      <w:pPr>
        <w:spacing w:line="240" w:lineRule="auto"/>
        <w:rPr>
          <w:rFonts w:cs="Times New Roman"/>
          <w:szCs w:val="24"/>
        </w:rPr>
      </w:pPr>
    </w:p>
    <w:p w14:paraId="23C69DBD" w14:textId="77777777" w:rsidR="003D5DB4" w:rsidRPr="002E1B4B" w:rsidRDefault="003D5DB4" w:rsidP="000A5389">
      <w:pPr>
        <w:spacing w:line="240" w:lineRule="auto"/>
        <w:rPr>
          <w:rFonts w:cs="Times New Roman"/>
          <w:szCs w:val="24"/>
        </w:rPr>
      </w:pPr>
      <w:r w:rsidRPr="002E1B4B">
        <w:rPr>
          <w:rFonts w:cs="Times New Roman"/>
          <w:szCs w:val="24"/>
        </w:rPr>
        <w:t>Tasa de retribución:</w:t>
      </w:r>
      <w:r w:rsidRPr="002E1B4B">
        <w:rPr>
          <w:rFonts w:cs="Times New Roman"/>
          <w:szCs w:val="24"/>
        </w:rPr>
        <w:tab/>
        <w:t>El modelo financiero avalado por el tribunal del año 2005 contempla una Tasa Interna de Retorno del 14,99% EA</w:t>
      </w:r>
    </w:p>
    <w:p w14:paraId="45DC3818" w14:textId="77777777" w:rsidR="0087451A" w:rsidRDefault="0087451A" w:rsidP="0087451A">
      <w:pPr>
        <w:pStyle w:val="Prrafodelista"/>
        <w:spacing w:line="240" w:lineRule="auto"/>
        <w:ind w:left="0"/>
        <w:rPr>
          <w:rFonts w:cs="Times New Roman"/>
          <w:szCs w:val="24"/>
        </w:rPr>
      </w:pPr>
    </w:p>
    <w:p w14:paraId="70B3C9F7" w14:textId="4C326F14" w:rsidR="003D5DB4" w:rsidRPr="002E1B4B" w:rsidRDefault="003D5DB4" w:rsidP="0087451A">
      <w:pPr>
        <w:pStyle w:val="Prrafodelista"/>
        <w:spacing w:line="240" w:lineRule="auto"/>
        <w:ind w:left="0"/>
        <w:rPr>
          <w:rFonts w:cs="Times New Roman"/>
          <w:szCs w:val="24"/>
        </w:rPr>
      </w:pPr>
      <w:r w:rsidRPr="002E1B4B">
        <w:rPr>
          <w:rFonts w:cs="Times New Roman"/>
          <w:szCs w:val="24"/>
        </w:rPr>
        <w:t>Derechos a recibir Activos especificados al final del acuerdo de concesión</w:t>
      </w:r>
    </w:p>
    <w:p w14:paraId="176A4B95" w14:textId="77777777" w:rsidR="0087451A" w:rsidRDefault="0087451A" w:rsidP="000A5389">
      <w:pPr>
        <w:spacing w:line="240" w:lineRule="auto"/>
        <w:rPr>
          <w:rFonts w:cs="Times New Roman"/>
          <w:szCs w:val="24"/>
        </w:rPr>
      </w:pPr>
    </w:p>
    <w:p w14:paraId="3C57EDCF" w14:textId="2C60C4CA" w:rsidR="003D5DB4" w:rsidRDefault="003D5DB4" w:rsidP="000A5389">
      <w:pPr>
        <w:spacing w:line="240" w:lineRule="auto"/>
        <w:rPr>
          <w:rFonts w:cs="Times New Roman"/>
          <w:szCs w:val="24"/>
        </w:rPr>
      </w:pPr>
      <w:r w:rsidRPr="002E1B4B">
        <w:rPr>
          <w:rFonts w:cs="Times New Roman"/>
          <w:szCs w:val="24"/>
        </w:rPr>
        <w:t xml:space="preserve">Descripción: CLÁUSULA VIGÉSIMA SEXTA. REVERSIÓN Y ENTREGA FINAL:  A la terminación de la Etapa de Operación, el CONCESIONARIO revertirá al INSTITUTO los bienes afectados a la concesión del Proyecto Vial, en los que se incluyen, entre otros, los siguientes: </w:t>
      </w:r>
    </w:p>
    <w:p w14:paraId="7C39C8C7" w14:textId="77777777" w:rsidR="0087451A" w:rsidRPr="002E1B4B" w:rsidRDefault="0087451A" w:rsidP="000A5389">
      <w:pPr>
        <w:spacing w:line="240" w:lineRule="auto"/>
        <w:rPr>
          <w:rFonts w:cs="Times New Roman"/>
          <w:szCs w:val="24"/>
        </w:rPr>
      </w:pPr>
    </w:p>
    <w:p w14:paraId="144AF964" w14:textId="77777777" w:rsidR="003D5DB4" w:rsidRPr="002E1B4B" w:rsidRDefault="003D5DB4" w:rsidP="000A5389">
      <w:pPr>
        <w:spacing w:line="240" w:lineRule="auto"/>
        <w:rPr>
          <w:rFonts w:cs="Times New Roman"/>
          <w:szCs w:val="24"/>
        </w:rPr>
      </w:pPr>
      <w:r w:rsidRPr="002E1B4B">
        <w:rPr>
          <w:rFonts w:cs="Times New Roman"/>
          <w:szCs w:val="24"/>
        </w:rPr>
        <w:t>a) los predios para el Derecho de Vía;</w:t>
      </w:r>
    </w:p>
    <w:p w14:paraId="1B4E26FB" w14:textId="77777777" w:rsidR="003D5DB4" w:rsidRPr="002E1B4B" w:rsidRDefault="003D5DB4" w:rsidP="000A5389">
      <w:pPr>
        <w:spacing w:line="240" w:lineRule="auto"/>
        <w:rPr>
          <w:rFonts w:cs="Times New Roman"/>
          <w:szCs w:val="24"/>
        </w:rPr>
      </w:pPr>
      <w:r w:rsidRPr="002E1B4B">
        <w:rPr>
          <w:rFonts w:cs="Times New Roman"/>
          <w:szCs w:val="24"/>
        </w:rPr>
        <w:t xml:space="preserve">b) la obra civil, calzadas, separadores, intersecciones, estructuras, obras de drenaje, obras de arte y seriales. las casetas de peaje y sus áreas de servicio. los equipos instalados para la operación del proyecto descritos en el anexo correspondiente; </w:t>
      </w:r>
    </w:p>
    <w:p w14:paraId="203A20C2" w14:textId="77777777" w:rsidR="003D5DB4" w:rsidRDefault="003D5DB4" w:rsidP="000A5389">
      <w:pPr>
        <w:spacing w:line="240" w:lineRule="auto"/>
        <w:rPr>
          <w:rFonts w:cs="Times New Roman"/>
          <w:szCs w:val="24"/>
        </w:rPr>
      </w:pPr>
      <w:r w:rsidRPr="002E1B4B">
        <w:rPr>
          <w:rFonts w:cs="Times New Roman"/>
          <w:szCs w:val="24"/>
        </w:rPr>
        <w:t>c) los demás bienes establecidos en los documentos de este Contrato revertirán en favor del INSTITUTO. sin costo alguno. libres de todo gravamen y con un nivel de servicio que alcance una calificación mínima del índice de Estado del Proyecto de Cuatro (4) puntos. de acuerdo con las "Normas de Mantenimiento para Carreteras Concesionadas" que forman parte del presente Contrato para la vía y en óptimas condiciones de funcionamiento para los demás bienes y equipos. Si el nivel de servicio es mayor a cuatro (1) el CONCESIONARIO no tendrá derecho a reconocimiento adicional alguno. Así mismo. si la entrega de los bienes se efectúa con una clasificación de cuatro (4), se entenderá que el CONCESIONARIO ha cumplido con su obligación y por ende no serán aplicables las sanciones previstas en este Contrato.</w:t>
      </w:r>
    </w:p>
    <w:p w14:paraId="3D285FBF" w14:textId="77777777" w:rsidR="0087451A" w:rsidRPr="002E1B4B" w:rsidRDefault="0087451A" w:rsidP="000A5389">
      <w:pPr>
        <w:spacing w:line="240" w:lineRule="auto"/>
        <w:rPr>
          <w:rFonts w:cs="Times New Roman"/>
          <w:szCs w:val="24"/>
        </w:rPr>
      </w:pPr>
    </w:p>
    <w:p w14:paraId="71078771" w14:textId="77777777" w:rsidR="003D5DB4" w:rsidRPr="002E1B4B" w:rsidRDefault="003D5DB4" w:rsidP="000A5389">
      <w:pPr>
        <w:spacing w:line="240" w:lineRule="auto"/>
        <w:rPr>
          <w:rFonts w:cs="Times New Roman"/>
          <w:szCs w:val="24"/>
        </w:rPr>
      </w:pPr>
      <w:r w:rsidRPr="002E1B4B">
        <w:rPr>
          <w:rFonts w:cs="Times New Roman"/>
          <w:szCs w:val="24"/>
        </w:rPr>
        <w:t>Observaciones: Ninguna</w:t>
      </w:r>
    </w:p>
    <w:p w14:paraId="48E3F981" w14:textId="77777777" w:rsidR="003D5DB4" w:rsidRPr="002E1B4B" w:rsidRDefault="003D5DB4" w:rsidP="000A5389">
      <w:pPr>
        <w:spacing w:line="240" w:lineRule="auto"/>
        <w:rPr>
          <w:rFonts w:cs="Times New Roman"/>
          <w:szCs w:val="24"/>
        </w:rPr>
      </w:pPr>
    </w:p>
    <w:p w14:paraId="6CE7A2A7" w14:textId="77777777" w:rsidR="003D5DB4" w:rsidRPr="0087451A" w:rsidRDefault="003D5DB4" w:rsidP="0087451A">
      <w:pPr>
        <w:spacing w:line="240" w:lineRule="auto"/>
        <w:rPr>
          <w:rFonts w:cs="Times New Roman"/>
          <w:szCs w:val="24"/>
        </w:rPr>
      </w:pPr>
      <w:r w:rsidRPr="0087451A">
        <w:rPr>
          <w:rFonts w:cs="Times New Roman"/>
          <w:szCs w:val="24"/>
        </w:rPr>
        <w:lastRenderedPageBreak/>
        <w:t>Las alternativas de renovación y cese del acuerdo</w:t>
      </w:r>
    </w:p>
    <w:p w14:paraId="0D57C3E0" w14:textId="77777777" w:rsidR="003D5DB4" w:rsidRPr="002E1B4B" w:rsidRDefault="003D5DB4" w:rsidP="000A5389">
      <w:pPr>
        <w:spacing w:line="240" w:lineRule="auto"/>
        <w:rPr>
          <w:rFonts w:cs="Times New Roman"/>
          <w:szCs w:val="24"/>
        </w:rPr>
      </w:pPr>
      <w:r w:rsidRPr="002E1B4B">
        <w:rPr>
          <w:rFonts w:cs="Times New Roman"/>
          <w:szCs w:val="24"/>
        </w:rPr>
        <w:t>Descripción: No Aplica</w:t>
      </w:r>
    </w:p>
    <w:p w14:paraId="7B022EBB" w14:textId="77777777" w:rsidR="003D5DB4" w:rsidRPr="002E1B4B" w:rsidRDefault="003D5DB4" w:rsidP="000A5389">
      <w:pPr>
        <w:spacing w:line="240" w:lineRule="auto"/>
        <w:rPr>
          <w:rFonts w:cs="Times New Roman"/>
          <w:szCs w:val="24"/>
        </w:rPr>
      </w:pPr>
      <w:r w:rsidRPr="002E1B4B">
        <w:rPr>
          <w:rFonts w:cs="Times New Roman"/>
          <w:szCs w:val="24"/>
        </w:rPr>
        <w:t>Observaciones: No Aplica</w:t>
      </w:r>
    </w:p>
    <w:p w14:paraId="2105166F" w14:textId="77777777" w:rsidR="0087451A" w:rsidRDefault="0087451A" w:rsidP="0087451A">
      <w:pPr>
        <w:spacing w:line="240" w:lineRule="auto"/>
        <w:rPr>
          <w:rFonts w:cs="Times New Roman"/>
          <w:szCs w:val="24"/>
        </w:rPr>
      </w:pPr>
    </w:p>
    <w:p w14:paraId="1DC7AB48" w14:textId="542816F2" w:rsidR="003D5DB4" w:rsidRPr="0087451A" w:rsidRDefault="003D5DB4" w:rsidP="0087451A">
      <w:pPr>
        <w:spacing w:line="240" w:lineRule="auto"/>
        <w:rPr>
          <w:rFonts w:cs="Times New Roman"/>
          <w:szCs w:val="24"/>
        </w:rPr>
      </w:pPr>
      <w:r w:rsidRPr="0087451A">
        <w:rPr>
          <w:rFonts w:cs="Times New Roman"/>
          <w:szCs w:val="24"/>
        </w:rPr>
        <w:t>Cambios en el acuerdo de concesión que se realicen durante el periodo fiscal</w:t>
      </w:r>
    </w:p>
    <w:p w14:paraId="100299A3" w14:textId="77777777" w:rsidR="003D5DB4" w:rsidRPr="002E1B4B" w:rsidRDefault="003D5DB4" w:rsidP="000A5389">
      <w:pPr>
        <w:spacing w:line="240" w:lineRule="auto"/>
        <w:rPr>
          <w:rFonts w:cs="Times New Roman"/>
          <w:szCs w:val="24"/>
        </w:rPr>
      </w:pPr>
      <w:r w:rsidRPr="002E1B4B">
        <w:rPr>
          <w:rFonts w:cs="Times New Roman"/>
          <w:szCs w:val="24"/>
        </w:rPr>
        <w:t>Adiciones o modificaciones en tiempo</w:t>
      </w:r>
    </w:p>
    <w:p w14:paraId="4ECCC9B2" w14:textId="77777777" w:rsidR="003D5DB4" w:rsidRPr="002E1B4B" w:rsidRDefault="003D5DB4" w:rsidP="000A5389">
      <w:pPr>
        <w:spacing w:line="240" w:lineRule="auto"/>
        <w:rPr>
          <w:rFonts w:cs="Times New Roman"/>
          <w:szCs w:val="24"/>
        </w:rPr>
      </w:pPr>
      <w:r w:rsidRPr="002E1B4B">
        <w:rPr>
          <w:rFonts w:cs="Times New Roman"/>
          <w:szCs w:val="24"/>
        </w:rPr>
        <w:t>Fechas de las adiciones o modificaciones:</w:t>
      </w:r>
      <w:r w:rsidRPr="002E1B4B">
        <w:rPr>
          <w:rFonts w:cs="Times New Roman"/>
          <w:szCs w:val="24"/>
        </w:rPr>
        <w:tab/>
        <w:t>N/A</w:t>
      </w:r>
    </w:p>
    <w:p w14:paraId="21629672" w14:textId="77777777" w:rsidR="003D5DB4" w:rsidRPr="002E1B4B" w:rsidRDefault="003D5DB4" w:rsidP="000A5389">
      <w:pPr>
        <w:spacing w:line="240" w:lineRule="auto"/>
        <w:rPr>
          <w:rFonts w:cs="Times New Roman"/>
          <w:szCs w:val="24"/>
        </w:rPr>
      </w:pPr>
      <w:r w:rsidRPr="002E1B4B">
        <w:rPr>
          <w:rFonts w:cs="Times New Roman"/>
          <w:szCs w:val="24"/>
        </w:rPr>
        <w:t>Nueva Fecha de finalización estimada:</w:t>
      </w:r>
      <w:r w:rsidRPr="002E1B4B">
        <w:rPr>
          <w:rFonts w:cs="Times New Roman"/>
          <w:szCs w:val="24"/>
        </w:rPr>
        <w:tab/>
        <w:t>N/A</w:t>
      </w:r>
    </w:p>
    <w:p w14:paraId="5E3252A7" w14:textId="77777777" w:rsidR="003D5DB4" w:rsidRPr="002E1B4B" w:rsidRDefault="003D5DB4" w:rsidP="000A5389">
      <w:pPr>
        <w:spacing w:line="240" w:lineRule="auto"/>
        <w:rPr>
          <w:rFonts w:cs="Times New Roman"/>
          <w:szCs w:val="24"/>
        </w:rPr>
      </w:pPr>
      <w:r w:rsidRPr="002E1B4B">
        <w:rPr>
          <w:rFonts w:cs="Times New Roman"/>
          <w:szCs w:val="24"/>
        </w:rPr>
        <w:t>Observaciones:</w:t>
      </w:r>
      <w:r w:rsidRPr="002E1B4B">
        <w:rPr>
          <w:rFonts w:cs="Times New Roman"/>
          <w:szCs w:val="24"/>
        </w:rPr>
        <w:tab/>
        <w:t>N/A</w:t>
      </w:r>
    </w:p>
    <w:p w14:paraId="6CCC762B" w14:textId="77777777" w:rsidR="0087451A" w:rsidRDefault="0087451A" w:rsidP="000A5389">
      <w:pPr>
        <w:spacing w:line="240" w:lineRule="auto"/>
        <w:rPr>
          <w:rFonts w:cs="Times New Roman"/>
          <w:szCs w:val="24"/>
        </w:rPr>
      </w:pPr>
    </w:p>
    <w:p w14:paraId="4B99B632" w14:textId="5B3A75F7" w:rsidR="003D5DB4" w:rsidRPr="002E1B4B" w:rsidRDefault="003D5DB4" w:rsidP="000A5389">
      <w:pPr>
        <w:spacing w:line="240" w:lineRule="auto"/>
        <w:rPr>
          <w:rFonts w:cs="Times New Roman"/>
          <w:szCs w:val="24"/>
        </w:rPr>
      </w:pPr>
      <w:r w:rsidRPr="002E1B4B">
        <w:rPr>
          <w:rFonts w:cs="Times New Roman"/>
          <w:szCs w:val="24"/>
        </w:rPr>
        <w:t>Adiciones o modificaciones en valor</w:t>
      </w:r>
    </w:p>
    <w:p w14:paraId="62EF7AB9" w14:textId="77777777" w:rsidR="003D5DB4" w:rsidRPr="002E1B4B" w:rsidRDefault="003D5DB4" w:rsidP="000A5389">
      <w:pPr>
        <w:spacing w:line="240" w:lineRule="auto"/>
        <w:rPr>
          <w:rFonts w:cs="Times New Roman"/>
          <w:szCs w:val="24"/>
        </w:rPr>
      </w:pPr>
      <w:r w:rsidRPr="002E1B4B">
        <w:rPr>
          <w:rFonts w:cs="Times New Roman"/>
          <w:szCs w:val="24"/>
        </w:rPr>
        <w:t>Valor de la adición o modificación: $172.764.835.780,36 pesos de sep-1996</w:t>
      </w:r>
    </w:p>
    <w:p w14:paraId="1843EDE4" w14:textId="77777777" w:rsidR="003D5DB4" w:rsidRPr="002E1B4B" w:rsidRDefault="003D5DB4" w:rsidP="000A5389">
      <w:pPr>
        <w:spacing w:line="240" w:lineRule="auto"/>
        <w:rPr>
          <w:rFonts w:cs="Times New Roman"/>
          <w:szCs w:val="24"/>
        </w:rPr>
      </w:pPr>
      <w:r w:rsidRPr="002E1B4B">
        <w:rPr>
          <w:rFonts w:cs="Times New Roman"/>
          <w:szCs w:val="24"/>
        </w:rPr>
        <w:t>Nuevo valor del acuerdo: $350.714.835.780 pesos de sep-1996</w:t>
      </w:r>
    </w:p>
    <w:p w14:paraId="0109FFC6" w14:textId="77777777" w:rsidR="003D5DB4" w:rsidRPr="002E1B4B" w:rsidRDefault="003D5DB4" w:rsidP="000A5389">
      <w:pPr>
        <w:spacing w:line="240" w:lineRule="auto"/>
        <w:rPr>
          <w:rFonts w:cs="Times New Roman"/>
          <w:szCs w:val="24"/>
        </w:rPr>
      </w:pPr>
      <w:r w:rsidRPr="002E1B4B">
        <w:rPr>
          <w:rFonts w:cs="Times New Roman"/>
          <w:szCs w:val="24"/>
        </w:rPr>
        <w:t>Observaciones: En 2025 se suscribieron los otrosíes No. 30 y 31</w:t>
      </w:r>
    </w:p>
    <w:p w14:paraId="77A60E64" w14:textId="77777777" w:rsidR="003D5DB4" w:rsidRDefault="003D5DB4" w:rsidP="000A5389">
      <w:pPr>
        <w:spacing w:line="240" w:lineRule="auto"/>
        <w:rPr>
          <w:rFonts w:cs="Times New Roman"/>
          <w:szCs w:val="24"/>
        </w:rPr>
      </w:pPr>
    </w:p>
    <w:p w14:paraId="3DAEE324" w14:textId="77777777" w:rsidR="0087451A" w:rsidRPr="0087451A" w:rsidRDefault="0087451A" w:rsidP="000A5389">
      <w:pPr>
        <w:spacing w:line="240" w:lineRule="auto"/>
        <w:rPr>
          <w:rFonts w:cs="Times New Roman"/>
          <w:i/>
          <w:iCs/>
          <w:szCs w:val="24"/>
        </w:rPr>
      </w:pPr>
    </w:p>
    <w:p w14:paraId="38830CC3" w14:textId="77777777" w:rsidR="003D5DB4" w:rsidRPr="0087451A" w:rsidRDefault="003D5DB4" w:rsidP="000A5389">
      <w:pPr>
        <w:spacing w:line="240" w:lineRule="auto"/>
        <w:rPr>
          <w:rFonts w:cs="Times New Roman"/>
          <w:i/>
          <w:iCs/>
          <w:szCs w:val="24"/>
        </w:rPr>
      </w:pPr>
      <w:r w:rsidRPr="0087451A">
        <w:rPr>
          <w:rFonts w:cs="Times New Roman"/>
          <w:i/>
          <w:iCs/>
          <w:szCs w:val="24"/>
        </w:rPr>
        <w:t xml:space="preserve">DESARROLLO VIAL DEL ORIENTE DE MEDELLÍN </w:t>
      </w:r>
    </w:p>
    <w:p w14:paraId="0FE65317" w14:textId="77777777" w:rsidR="0087451A" w:rsidRDefault="0087451A" w:rsidP="0087451A">
      <w:pPr>
        <w:spacing w:line="240" w:lineRule="auto"/>
        <w:rPr>
          <w:rFonts w:cs="Times New Roman"/>
          <w:szCs w:val="24"/>
        </w:rPr>
      </w:pPr>
    </w:p>
    <w:p w14:paraId="168D7294" w14:textId="740C1DF6" w:rsidR="003D5DB4" w:rsidRPr="0087451A" w:rsidRDefault="003D5DB4" w:rsidP="0087451A">
      <w:pPr>
        <w:spacing w:line="240" w:lineRule="auto"/>
        <w:rPr>
          <w:rFonts w:cs="Times New Roman"/>
          <w:szCs w:val="24"/>
        </w:rPr>
      </w:pPr>
      <w:r w:rsidRPr="0087451A">
        <w:rPr>
          <w:rFonts w:cs="Times New Roman"/>
          <w:szCs w:val="24"/>
        </w:rPr>
        <w:t>Descripción del Acuerdo</w:t>
      </w:r>
    </w:p>
    <w:p w14:paraId="4B715428" w14:textId="77777777" w:rsidR="003D5DB4" w:rsidRPr="002E1B4B" w:rsidRDefault="003D5DB4" w:rsidP="000A5389">
      <w:pPr>
        <w:spacing w:line="240" w:lineRule="auto"/>
        <w:rPr>
          <w:rFonts w:cs="Times New Roman"/>
          <w:szCs w:val="24"/>
        </w:rPr>
      </w:pPr>
      <w:r w:rsidRPr="002E1B4B">
        <w:rPr>
          <w:rFonts w:cs="Times New Roman"/>
          <w:szCs w:val="24"/>
        </w:rPr>
        <w:t>Número del Acuerdo de concesión:  N° 0275 del 23 de mayo de 1996</w:t>
      </w:r>
    </w:p>
    <w:p w14:paraId="55B66BCE" w14:textId="77777777" w:rsidR="003D5DB4" w:rsidRPr="002E1B4B" w:rsidRDefault="003D5DB4" w:rsidP="000A5389">
      <w:pPr>
        <w:spacing w:line="240" w:lineRule="auto"/>
        <w:rPr>
          <w:rFonts w:cs="Times New Roman"/>
          <w:szCs w:val="24"/>
        </w:rPr>
      </w:pPr>
      <w:r w:rsidRPr="002E1B4B">
        <w:rPr>
          <w:rFonts w:cs="Times New Roman"/>
          <w:szCs w:val="24"/>
        </w:rPr>
        <w:t>Objeto / Descripción:  Según lo acordado en la Cláusula Primera del contrato, este tiene por objeto realizar por el sistema de concesión los estudios y diseños definitivos, las obras de rehabilitación y de construcción, la operación y el mantenimiento del proyecto “Medellín - Valle de Rionegro y conexión a Puerto Triunfo Caño Alegre</w:t>
      </w:r>
    </w:p>
    <w:p w14:paraId="52529F8B" w14:textId="77777777" w:rsidR="003D5DB4" w:rsidRPr="002E1B4B" w:rsidRDefault="003D5DB4" w:rsidP="000A5389">
      <w:pPr>
        <w:spacing w:line="240" w:lineRule="auto"/>
        <w:rPr>
          <w:rFonts w:cs="Times New Roman"/>
          <w:szCs w:val="24"/>
        </w:rPr>
      </w:pPr>
      <w:r w:rsidRPr="002E1B4B">
        <w:rPr>
          <w:rFonts w:cs="Times New Roman"/>
          <w:szCs w:val="24"/>
        </w:rPr>
        <w:t>Valor inicial:</w:t>
      </w:r>
      <w:r w:rsidRPr="002E1B4B">
        <w:rPr>
          <w:rFonts w:cs="Times New Roman"/>
          <w:szCs w:val="24"/>
        </w:rPr>
        <w:tab/>
        <w:t>$97.406.008.294</w:t>
      </w:r>
    </w:p>
    <w:p w14:paraId="46BF6BF1" w14:textId="77777777" w:rsidR="003D5DB4" w:rsidRPr="002E1B4B" w:rsidRDefault="003D5DB4" w:rsidP="000A5389">
      <w:pPr>
        <w:spacing w:line="240" w:lineRule="auto"/>
        <w:rPr>
          <w:rFonts w:cs="Times New Roman"/>
          <w:szCs w:val="24"/>
        </w:rPr>
      </w:pPr>
      <w:r w:rsidRPr="002E1B4B">
        <w:rPr>
          <w:rFonts w:cs="Times New Roman"/>
          <w:szCs w:val="24"/>
        </w:rPr>
        <w:t>Fecha de inicio: 16/06/1996</w:t>
      </w:r>
    </w:p>
    <w:p w14:paraId="389CCB3A" w14:textId="77777777" w:rsidR="003D5DB4" w:rsidRPr="002E1B4B" w:rsidRDefault="003D5DB4" w:rsidP="000A5389">
      <w:pPr>
        <w:spacing w:line="240" w:lineRule="auto"/>
        <w:rPr>
          <w:rFonts w:cs="Times New Roman"/>
          <w:szCs w:val="24"/>
        </w:rPr>
      </w:pPr>
      <w:r w:rsidRPr="002E1B4B">
        <w:rPr>
          <w:rFonts w:cs="Times New Roman"/>
          <w:szCs w:val="24"/>
        </w:rPr>
        <w:t>Fecha de finalización estimada: 31/07/2026</w:t>
      </w:r>
    </w:p>
    <w:p w14:paraId="722D3F44" w14:textId="77777777" w:rsidR="003D5DB4" w:rsidRPr="002E1B4B" w:rsidRDefault="003D5DB4" w:rsidP="000A5389">
      <w:pPr>
        <w:spacing w:line="240" w:lineRule="auto"/>
        <w:rPr>
          <w:rFonts w:cs="Times New Roman"/>
          <w:szCs w:val="24"/>
        </w:rPr>
      </w:pPr>
      <w:r w:rsidRPr="002E1B4B">
        <w:rPr>
          <w:rFonts w:cs="Times New Roman"/>
          <w:szCs w:val="24"/>
        </w:rPr>
        <w:t>Tipo ID: NIT.</w:t>
      </w:r>
    </w:p>
    <w:p w14:paraId="4CE113AE" w14:textId="77777777" w:rsidR="003D5DB4" w:rsidRPr="002E1B4B" w:rsidRDefault="003D5DB4" w:rsidP="000A5389">
      <w:pPr>
        <w:spacing w:line="240" w:lineRule="auto"/>
        <w:rPr>
          <w:rFonts w:cs="Times New Roman"/>
          <w:szCs w:val="24"/>
        </w:rPr>
      </w:pPr>
      <w:r w:rsidRPr="002E1B4B">
        <w:rPr>
          <w:rFonts w:cs="Times New Roman"/>
          <w:szCs w:val="24"/>
        </w:rPr>
        <w:t>Número ID: 811.005.050-3</w:t>
      </w:r>
    </w:p>
    <w:p w14:paraId="71BCDD57" w14:textId="77777777" w:rsidR="003D5DB4" w:rsidRPr="002E1B4B" w:rsidRDefault="003D5DB4" w:rsidP="000A5389">
      <w:pPr>
        <w:spacing w:line="240" w:lineRule="auto"/>
        <w:rPr>
          <w:rFonts w:cs="Times New Roman"/>
          <w:szCs w:val="24"/>
        </w:rPr>
      </w:pPr>
      <w:r w:rsidRPr="002E1B4B">
        <w:rPr>
          <w:rFonts w:cs="Times New Roman"/>
          <w:szCs w:val="24"/>
        </w:rPr>
        <w:t>Razón social del concesionario: DEVIMED SA</w:t>
      </w:r>
    </w:p>
    <w:p w14:paraId="7584385B" w14:textId="77777777" w:rsidR="003D5DB4" w:rsidRPr="002E1B4B" w:rsidRDefault="003D5DB4" w:rsidP="000A5389">
      <w:pPr>
        <w:spacing w:line="240" w:lineRule="auto"/>
        <w:rPr>
          <w:rFonts w:cs="Times New Roman"/>
          <w:szCs w:val="24"/>
        </w:rPr>
      </w:pPr>
      <w:r w:rsidRPr="002E1B4B">
        <w:rPr>
          <w:rFonts w:cs="Times New Roman"/>
          <w:szCs w:val="24"/>
        </w:rPr>
        <w:t>Nombre del proyecto:  DESARROLLO VIAL DEL ORIENTE DE MEDELLÍN VALLE DE RIONEGRO Y CONEXIÓN A PUERTO TRIUNFO DEVIMED S.A.</w:t>
      </w:r>
    </w:p>
    <w:p w14:paraId="52AB1EF8" w14:textId="77777777" w:rsidR="0087451A" w:rsidRDefault="0087451A" w:rsidP="0087451A">
      <w:pPr>
        <w:spacing w:line="240" w:lineRule="auto"/>
        <w:rPr>
          <w:rFonts w:cs="Times New Roman"/>
          <w:szCs w:val="24"/>
        </w:rPr>
      </w:pPr>
    </w:p>
    <w:p w14:paraId="6C72EEAC" w14:textId="2DE55999" w:rsidR="003D5DB4" w:rsidRPr="0087451A" w:rsidRDefault="003D5DB4" w:rsidP="0087451A">
      <w:pPr>
        <w:spacing w:line="240" w:lineRule="auto"/>
        <w:rPr>
          <w:rFonts w:cs="Times New Roman"/>
          <w:szCs w:val="24"/>
        </w:rPr>
      </w:pPr>
      <w:r w:rsidRPr="0087451A">
        <w:rPr>
          <w:rFonts w:cs="Times New Roman"/>
          <w:szCs w:val="24"/>
        </w:rPr>
        <w:t>Términos significativos del Acuerdo que puedan afectar su valor, el calendario y la certeza de los flujos de efectivo futuros</w:t>
      </w:r>
    </w:p>
    <w:p w14:paraId="0817A9F5" w14:textId="77777777" w:rsidR="0087451A" w:rsidRDefault="0087451A" w:rsidP="000A5389">
      <w:pPr>
        <w:spacing w:line="240" w:lineRule="auto"/>
        <w:rPr>
          <w:rFonts w:cs="Times New Roman"/>
          <w:szCs w:val="24"/>
        </w:rPr>
      </w:pPr>
    </w:p>
    <w:p w14:paraId="103B20D1" w14:textId="09CFE883" w:rsidR="003D5DB4" w:rsidRPr="002E1B4B" w:rsidRDefault="003D5DB4" w:rsidP="000A5389">
      <w:pPr>
        <w:spacing w:line="240" w:lineRule="auto"/>
        <w:rPr>
          <w:rFonts w:cs="Times New Roman"/>
          <w:szCs w:val="24"/>
        </w:rPr>
      </w:pPr>
      <w:r w:rsidRPr="002E1B4B">
        <w:rPr>
          <w:rFonts w:cs="Times New Roman"/>
          <w:szCs w:val="24"/>
        </w:rPr>
        <w:t>Términos de valor: Según lo indicado en la Cláusula cuarta del contrato de concesión, las tarifas de los peajes están expresadas en pesos colombianos de julio de 1995, Para el periodo hacen parte del contrato la Estación de Peaje de la caseta Guarne y estación de Peaje de la caseta Las Palmas.</w:t>
      </w:r>
    </w:p>
    <w:p w14:paraId="3B52916B" w14:textId="77777777" w:rsidR="0087451A" w:rsidRDefault="0087451A" w:rsidP="000A5389">
      <w:pPr>
        <w:spacing w:line="240" w:lineRule="auto"/>
        <w:rPr>
          <w:rFonts w:cs="Times New Roman"/>
          <w:szCs w:val="24"/>
        </w:rPr>
      </w:pPr>
    </w:p>
    <w:p w14:paraId="4766ADCB" w14:textId="0EDFD09B" w:rsidR="003D5DB4" w:rsidRDefault="003D5DB4" w:rsidP="000A5389">
      <w:pPr>
        <w:spacing w:line="240" w:lineRule="auto"/>
        <w:rPr>
          <w:rFonts w:cs="Times New Roman"/>
          <w:szCs w:val="24"/>
        </w:rPr>
      </w:pPr>
      <w:r w:rsidRPr="002E1B4B">
        <w:rPr>
          <w:rFonts w:cs="Times New Roman"/>
          <w:szCs w:val="24"/>
        </w:rPr>
        <w:t xml:space="preserve">Para el desarrollo del contrato no se comprometieron vigencias futuras. </w:t>
      </w:r>
    </w:p>
    <w:p w14:paraId="727E140B" w14:textId="77777777" w:rsidR="0087451A" w:rsidRPr="002E1B4B" w:rsidRDefault="0087451A" w:rsidP="000A5389">
      <w:pPr>
        <w:spacing w:line="240" w:lineRule="auto"/>
        <w:rPr>
          <w:rFonts w:cs="Times New Roman"/>
          <w:szCs w:val="24"/>
        </w:rPr>
      </w:pPr>
    </w:p>
    <w:p w14:paraId="4926239B" w14:textId="77777777" w:rsidR="003D5DB4" w:rsidRDefault="003D5DB4" w:rsidP="000A5389">
      <w:pPr>
        <w:spacing w:line="240" w:lineRule="auto"/>
        <w:rPr>
          <w:rFonts w:cs="Times New Roman"/>
          <w:szCs w:val="24"/>
        </w:rPr>
      </w:pPr>
      <w:r w:rsidRPr="002E1B4B">
        <w:rPr>
          <w:rFonts w:cs="Times New Roman"/>
          <w:szCs w:val="24"/>
        </w:rPr>
        <w:lastRenderedPageBreak/>
        <w:t xml:space="preserve">Según lo indicado en la cláusula trigésima segunda si durante la ejecución de la etapa de operación, el Concesionario incumple el índice de estado mínimo establecido en las normas de mantenimiento para carreteras por concesiones, le serán impuesta multas proporcióneles a la reducción del valor del índice de Estado de la siguiente manera: a) para índices de estado entre 3,5 y 40 el 2% del recaudo de los peajes de los cuatro meses que se evalúan en la caseta del tramo calificado, b) para índices de estado entre 3,0 y 3,5 el 3% del recaudo de los peajes de los cuatro meses que se evalúan en la caseta de trafico calificado. c) para índices de estado entra 2,5 y 2.0 el 4 del recaudo de los peajes de los cuatro meses que se evalúan en las casetas del tramo calificado. d) para índices de estado inferiores a 2,5 el 6% del recaudo de los peajes de los cuatro meses que se evalúan en las casetas del tramo calificado.  El Concesionario a partir de la fecha de establecimiento del índice de estado, tendrá 30 días calendario para recuperar el índice de estado mínimo establecido en el contrato. Una vez recalificado el tramo se procederá con la sanción si a ello hubiere lugar.  Su durante la ejecución de la etapa de operación el Concesionario incumple alguna de las obligaciones contractuales incluidas en el reglamento de operación que forma parte del presente contrato deberá pagar al INSTITUTO una multa diaria de acuerdo con la gravedad de la falta hasta por valor equivalente al recaudo de peaje promedio diario del mes inmediatamente anterior.  El concesionario autoriza al INSTITUTO para descontar y tomar el valor de las multas de que tratan los literales anteriores de cualquier suma que le adeuda por algún compensación que se haya establecido de acuerdo a la Cláusula Trigésima Quinta sin prejuicio que este las haga efectivas conforme a la ley,  El pago o la deducción de dichas muta no exonera al Concesionario de su obligación de termina las obra ni de  las demás responsabilidades y obligaciones que emanen d este contrato ni de las indemnizaciones por caducidad en favor del INSTITUTO, los porcentajes establecidos en esta cláusula constituyen el tope máximo aplicable pero el monto de las multas podrá ser graduable por EL INSTITUTO conforme a la mayor o menor incidencia del incumplimiento del Concesionario en la ejecución del contrato.  </w:t>
      </w:r>
    </w:p>
    <w:p w14:paraId="7D85499E" w14:textId="77777777" w:rsidR="0087451A" w:rsidRPr="002E1B4B" w:rsidRDefault="0087451A" w:rsidP="000A5389">
      <w:pPr>
        <w:spacing w:line="240" w:lineRule="auto"/>
        <w:rPr>
          <w:rFonts w:cs="Times New Roman"/>
          <w:szCs w:val="24"/>
        </w:rPr>
      </w:pPr>
    </w:p>
    <w:p w14:paraId="5730C980" w14:textId="77777777" w:rsidR="003D5DB4" w:rsidRPr="002E1B4B" w:rsidRDefault="003D5DB4" w:rsidP="000A5389">
      <w:pPr>
        <w:spacing w:line="240" w:lineRule="auto"/>
        <w:rPr>
          <w:rFonts w:cs="Times New Roman"/>
          <w:szCs w:val="24"/>
        </w:rPr>
      </w:pPr>
      <w:r w:rsidRPr="002E1B4B">
        <w:rPr>
          <w:rFonts w:cs="Times New Roman"/>
          <w:szCs w:val="24"/>
        </w:rPr>
        <w:t>Términos de calendario: Según lo indicado en la Cláusula cuarta del contrato de concesión, las tarifas de los peajes están expresadas en pesos colombianos de julio de 1995, ajustadas al 1 de enero de cada año calendario con el porcentaje de variación de índice de precios al consumidor establecido por el DANE. La infraestructura ya se encuentra en servicio. El contrato se encuentra en etapa de operación y mantenimiento.</w:t>
      </w:r>
    </w:p>
    <w:p w14:paraId="564B1D46" w14:textId="77777777" w:rsidR="0087451A" w:rsidRDefault="0087451A" w:rsidP="000A5389">
      <w:pPr>
        <w:spacing w:line="240" w:lineRule="auto"/>
        <w:rPr>
          <w:rFonts w:cs="Times New Roman"/>
          <w:szCs w:val="24"/>
        </w:rPr>
      </w:pPr>
    </w:p>
    <w:p w14:paraId="05AF0553" w14:textId="7D663D50" w:rsidR="003D5DB4" w:rsidRPr="002E1B4B" w:rsidRDefault="003D5DB4" w:rsidP="000A5389">
      <w:pPr>
        <w:spacing w:line="240" w:lineRule="auto"/>
        <w:rPr>
          <w:rFonts w:cs="Times New Roman"/>
          <w:szCs w:val="24"/>
        </w:rPr>
      </w:pPr>
      <w:r w:rsidRPr="002E1B4B">
        <w:rPr>
          <w:rFonts w:cs="Times New Roman"/>
          <w:szCs w:val="24"/>
        </w:rPr>
        <w:t>Términos de certeza de flujos de efectivo futuros: El proyecto se encuentra en operación y mantenimiento, por tanto, no se identifican variables que puedan afectar los flujos de efectivo, las actividades de construcción que se están desarrollando corresponden a la inversión de los excedentes y no tienen impacto en el modelo, según acuerdo conciliatorio del adicional 17</w:t>
      </w:r>
    </w:p>
    <w:p w14:paraId="266C021E" w14:textId="77777777" w:rsidR="003D5DB4" w:rsidRPr="002E1B4B" w:rsidRDefault="003D5DB4" w:rsidP="000A5389">
      <w:pPr>
        <w:spacing w:line="240" w:lineRule="auto"/>
        <w:rPr>
          <w:rFonts w:cs="Times New Roman"/>
          <w:szCs w:val="24"/>
        </w:rPr>
      </w:pPr>
    </w:p>
    <w:p w14:paraId="1899FEE2" w14:textId="77777777" w:rsidR="003D5DB4" w:rsidRDefault="003D5DB4" w:rsidP="0087451A">
      <w:pPr>
        <w:spacing w:line="240" w:lineRule="auto"/>
        <w:rPr>
          <w:rFonts w:cs="Times New Roman"/>
          <w:szCs w:val="24"/>
        </w:rPr>
      </w:pPr>
      <w:r w:rsidRPr="0087451A">
        <w:rPr>
          <w:rFonts w:cs="Times New Roman"/>
          <w:szCs w:val="24"/>
        </w:rPr>
        <w:t>Naturaleza y alcance del derecho a utilizar Activos y los aspectos pactados en torno a lo que se espera que el concesionario proporcione en relación con el Acuerdo de concesión</w:t>
      </w:r>
    </w:p>
    <w:p w14:paraId="7E5FD8BE" w14:textId="77777777" w:rsidR="0087451A" w:rsidRPr="0087451A" w:rsidRDefault="0087451A" w:rsidP="0087451A">
      <w:pPr>
        <w:spacing w:line="240" w:lineRule="auto"/>
        <w:rPr>
          <w:rFonts w:cs="Times New Roman"/>
          <w:szCs w:val="24"/>
        </w:rPr>
      </w:pPr>
    </w:p>
    <w:p w14:paraId="66D3F09A" w14:textId="77777777" w:rsidR="003D5DB4" w:rsidRDefault="003D5DB4" w:rsidP="000A5389">
      <w:pPr>
        <w:spacing w:line="240" w:lineRule="auto"/>
        <w:rPr>
          <w:rFonts w:cs="Times New Roman"/>
          <w:szCs w:val="24"/>
        </w:rPr>
      </w:pPr>
      <w:r w:rsidRPr="002E1B4B">
        <w:rPr>
          <w:rFonts w:cs="Times New Roman"/>
          <w:szCs w:val="24"/>
        </w:rPr>
        <w:t>Naturaleza y alcance del derecho de uso de los Activos</w:t>
      </w:r>
    </w:p>
    <w:p w14:paraId="4176B69D" w14:textId="77777777" w:rsidR="0087451A" w:rsidRPr="002E1B4B" w:rsidRDefault="0087451A" w:rsidP="000A5389">
      <w:pPr>
        <w:spacing w:line="240" w:lineRule="auto"/>
        <w:rPr>
          <w:rFonts w:cs="Times New Roman"/>
          <w:szCs w:val="24"/>
        </w:rPr>
      </w:pPr>
    </w:p>
    <w:p w14:paraId="6BC22F3E" w14:textId="77777777" w:rsidR="003D5DB4" w:rsidRPr="002E1B4B" w:rsidRDefault="003D5DB4" w:rsidP="000A5389">
      <w:pPr>
        <w:spacing w:line="240" w:lineRule="auto"/>
        <w:rPr>
          <w:rFonts w:cs="Times New Roman"/>
          <w:szCs w:val="24"/>
        </w:rPr>
      </w:pPr>
      <w:r w:rsidRPr="002E1B4B">
        <w:rPr>
          <w:rFonts w:cs="Times New Roman"/>
          <w:szCs w:val="24"/>
        </w:rPr>
        <w:t>Descripción: Los activos entregados al concesionario, referidos a vías, se entregan para construcción, operación y mantenimiento. El recaudo de peajes hasta el fin de la concesión.</w:t>
      </w:r>
    </w:p>
    <w:p w14:paraId="139B3B90" w14:textId="77777777" w:rsidR="003D5DB4" w:rsidRPr="002E1B4B" w:rsidRDefault="003D5DB4" w:rsidP="000A5389">
      <w:pPr>
        <w:spacing w:line="240" w:lineRule="auto"/>
        <w:rPr>
          <w:rFonts w:cs="Times New Roman"/>
          <w:szCs w:val="24"/>
        </w:rPr>
      </w:pPr>
      <w:r w:rsidRPr="002E1B4B">
        <w:rPr>
          <w:rFonts w:cs="Times New Roman"/>
          <w:szCs w:val="24"/>
        </w:rPr>
        <w:t>Observaciones: Para el desarrollo del contrato se hizo entrega para su rehabilitación operación y mantenimiento las siguientes calzadas existentes en los tramos de carretera:</w:t>
      </w:r>
    </w:p>
    <w:p w14:paraId="4548B54A" w14:textId="77777777" w:rsidR="003D5DB4" w:rsidRPr="002E1B4B" w:rsidRDefault="003D5DB4" w:rsidP="000A5389">
      <w:pPr>
        <w:spacing w:line="240" w:lineRule="auto"/>
        <w:rPr>
          <w:rFonts w:cs="Times New Roman"/>
          <w:szCs w:val="24"/>
        </w:rPr>
      </w:pPr>
      <w:r w:rsidRPr="002E1B4B">
        <w:rPr>
          <w:rFonts w:cs="Times New Roman"/>
          <w:szCs w:val="24"/>
        </w:rPr>
        <w:t xml:space="preserve">Medellín – Guarne – Santuario de la ruta 60 tramo 04Medellín – Don Diego –La Ceja – La Unión de la ruta 56 Tramo 01. Don diego – Rionegro de la ruta 56AN Tramo 02                                                                                                                                        La Ceja – Rionegro de la ruta 56AN Tramo 03. T de Aeropuerto (cruce ruta 60) – aeropuerto                                                       Llano Grande- T de Rionegro – Aeropuerto Rionegro – Marinilla (Cruce ruta 60) La Fe – El Retiro                                        Rionegro – Carmen de Viboral Accesos a Marinilla y Santuario.                                                                                                                      </w:t>
      </w:r>
    </w:p>
    <w:p w14:paraId="115FB7A5" w14:textId="77777777" w:rsidR="003D5DB4" w:rsidRPr="002E1B4B" w:rsidRDefault="003D5DB4" w:rsidP="000A5389">
      <w:pPr>
        <w:spacing w:line="240" w:lineRule="auto"/>
        <w:rPr>
          <w:rFonts w:cs="Times New Roman"/>
          <w:szCs w:val="24"/>
        </w:rPr>
      </w:pPr>
      <w:r w:rsidRPr="002E1B4B">
        <w:rPr>
          <w:rFonts w:cs="Times New Roman"/>
          <w:szCs w:val="24"/>
        </w:rPr>
        <w:t>En el contrato se pacta adicionalmente la operación y mantenimiento de los tramos rehabilitados y construidos</w:t>
      </w:r>
    </w:p>
    <w:p w14:paraId="347FAECB" w14:textId="77777777" w:rsidR="0087451A" w:rsidRDefault="0087451A" w:rsidP="000A5389">
      <w:pPr>
        <w:spacing w:line="240" w:lineRule="auto"/>
        <w:rPr>
          <w:rFonts w:cs="Times New Roman"/>
          <w:szCs w:val="24"/>
        </w:rPr>
      </w:pPr>
    </w:p>
    <w:p w14:paraId="2014EDAA" w14:textId="02488E17" w:rsidR="003D5DB4" w:rsidRDefault="003D5DB4" w:rsidP="000A5389">
      <w:pPr>
        <w:spacing w:line="240" w:lineRule="auto"/>
        <w:rPr>
          <w:rFonts w:cs="Times New Roman"/>
          <w:szCs w:val="24"/>
        </w:rPr>
      </w:pPr>
      <w:r w:rsidRPr="002E1B4B">
        <w:rPr>
          <w:rFonts w:cs="Times New Roman"/>
          <w:szCs w:val="24"/>
        </w:rPr>
        <w:t>Retribución al concesionario</w:t>
      </w:r>
    </w:p>
    <w:p w14:paraId="57F90B59" w14:textId="77777777" w:rsidR="001B234E" w:rsidRPr="002E1B4B" w:rsidRDefault="001B234E" w:rsidP="000A5389">
      <w:pPr>
        <w:spacing w:line="240" w:lineRule="auto"/>
        <w:rPr>
          <w:rFonts w:cs="Times New Roman"/>
          <w:szCs w:val="24"/>
        </w:rPr>
      </w:pPr>
    </w:p>
    <w:p w14:paraId="5DEE597D" w14:textId="77777777" w:rsidR="003D5DB4" w:rsidRDefault="003D5DB4" w:rsidP="000A5389">
      <w:pPr>
        <w:spacing w:line="240" w:lineRule="auto"/>
        <w:rPr>
          <w:rFonts w:cs="Times New Roman"/>
          <w:szCs w:val="24"/>
        </w:rPr>
      </w:pPr>
      <w:r w:rsidRPr="002E1B4B">
        <w:rPr>
          <w:rFonts w:cs="Times New Roman"/>
          <w:szCs w:val="24"/>
        </w:rPr>
        <w:t>Descripción: La retribución al concesionario se encuentra detallada en el clausula cuarta del contrato de Concesión Tasa de retribución: la tasa de retribución del proyecto, según lo dispuesto en el parágrafo octavo de la cláusula quinta del contrato básico es del 18.98%, en términos reales.  Adicionalmente en resolución No 446 de 2010 del Ministerio de Hacienda y Crédito Público, se establece que la tasa para las adiciones o prorrogas de los contratos de Concesión   será del 7.75% en términos reales</w:t>
      </w:r>
    </w:p>
    <w:p w14:paraId="34DA6624" w14:textId="77777777" w:rsidR="0087451A" w:rsidRPr="002E1B4B" w:rsidRDefault="0087451A" w:rsidP="000A5389">
      <w:pPr>
        <w:spacing w:line="240" w:lineRule="auto"/>
        <w:rPr>
          <w:rFonts w:cs="Times New Roman"/>
          <w:szCs w:val="24"/>
        </w:rPr>
      </w:pPr>
    </w:p>
    <w:p w14:paraId="1BEBFC3C" w14:textId="77777777" w:rsidR="003D5DB4" w:rsidRDefault="003D5DB4" w:rsidP="000A5389">
      <w:pPr>
        <w:spacing w:line="240" w:lineRule="auto"/>
        <w:rPr>
          <w:rFonts w:cs="Times New Roman"/>
          <w:szCs w:val="24"/>
        </w:rPr>
      </w:pPr>
      <w:r w:rsidRPr="002E1B4B">
        <w:rPr>
          <w:rFonts w:cs="Times New Roman"/>
          <w:szCs w:val="24"/>
        </w:rPr>
        <w:t>Tasa de retribución:</w:t>
      </w:r>
      <w:r w:rsidRPr="002E1B4B">
        <w:rPr>
          <w:rFonts w:cs="Times New Roman"/>
          <w:szCs w:val="24"/>
        </w:rPr>
        <w:tab/>
        <w:t>18.98%</w:t>
      </w:r>
    </w:p>
    <w:p w14:paraId="7B6DF4D1" w14:textId="77777777" w:rsidR="0087451A" w:rsidRPr="002E1B4B" w:rsidRDefault="0087451A" w:rsidP="000A5389">
      <w:pPr>
        <w:spacing w:line="240" w:lineRule="auto"/>
        <w:rPr>
          <w:rFonts w:cs="Times New Roman"/>
          <w:szCs w:val="24"/>
        </w:rPr>
      </w:pPr>
    </w:p>
    <w:p w14:paraId="47384BE2" w14:textId="77777777" w:rsidR="003D5DB4" w:rsidRDefault="003D5DB4" w:rsidP="0087451A">
      <w:pPr>
        <w:spacing w:line="240" w:lineRule="auto"/>
        <w:rPr>
          <w:rFonts w:cs="Times New Roman"/>
          <w:szCs w:val="24"/>
        </w:rPr>
      </w:pPr>
      <w:r w:rsidRPr="0087451A">
        <w:rPr>
          <w:rFonts w:cs="Times New Roman"/>
          <w:szCs w:val="24"/>
        </w:rPr>
        <w:t>Derechos a recibir Activos especificados al final del acuerdo de concesión</w:t>
      </w:r>
    </w:p>
    <w:p w14:paraId="349B0E25" w14:textId="77777777" w:rsidR="0087451A" w:rsidRPr="0087451A" w:rsidRDefault="0087451A" w:rsidP="0087451A">
      <w:pPr>
        <w:spacing w:line="240" w:lineRule="auto"/>
        <w:rPr>
          <w:rFonts w:cs="Times New Roman"/>
          <w:szCs w:val="24"/>
        </w:rPr>
      </w:pPr>
    </w:p>
    <w:p w14:paraId="55C3FEE2" w14:textId="77777777" w:rsidR="003D5DB4" w:rsidRDefault="003D5DB4" w:rsidP="000A5389">
      <w:pPr>
        <w:spacing w:line="240" w:lineRule="auto"/>
        <w:rPr>
          <w:rFonts w:cs="Times New Roman"/>
          <w:szCs w:val="24"/>
        </w:rPr>
      </w:pPr>
      <w:r w:rsidRPr="002E1B4B">
        <w:rPr>
          <w:rFonts w:cs="Times New Roman"/>
          <w:szCs w:val="24"/>
        </w:rPr>
        <w:t>Descripción: Según lo estipulado en la Cláusula vigésima sexta del contrato de concesión, la reversión de los bines afectados a la concesión del proyecto se realizará al vencimiento de la etapa de operación</w:t>
      </w:r>
    </w:p>
    <w:p w14:paraId="60FB7751" w14:textId="77777777" w:rsidR="0087451A" w:rsidRPr="002E1B4B" w:rsidRDefault="0087451A" w:rsidP="000A5389">
      <w:pPr>
        <w:spacing w:line="240" w:lineRule="auto"/>
        <w:rPr>
          <w:rFonts w:cs="Times New Roman"/>
          <w:szCs w:val="24"/>
        </w:rPr>
      </w:pPr>
    </w:p>
    <w:p w14:paraId="5B15FF83" w14:textId="77777777" w:rsidR="003D5DB4" w:rsidRDefault="003D5DB4" w:rsidP="000A5389">
      <w:pPr>
        <w:spacing w:line="240" w:lineRule="auto"/>
        <w:rPr>
          <w:rFonts w:cs="Times New Roman"/>
          <w:szCs w:val="24"/>
        </w:rPr>
      </w:pPr>
      <w:r w:rsidRPr="002E1B4B">
        <w:rPr>
          <w:rFonts w:cs="Times New Roman"/>
          <w:szCs w:val="24"/>
        </w:rPr>
        <w:t xml:space="preserve">Observaciones: Los bienes a revertir incluyen: los predios para el derecho de vía, la obra civil: calzadas, separadores, intersecciones, estructuras, obras de drenaje, obras de arte y señales, las casetas de peaje y sus áreas de servicio, los equipos instalados para la operación del proyecto, revertirán al Instituto sin costo alguno , libres de todo gravamen y con un nivel de servicio que alcance una calificación mínima del índice de estado de pavimento de cuatro (4) puntos, acorde a los norma de mantenimiento para carreteras concesionadas.  Por otra parte, el Instituto, reconocerá las mejoras realizadas sobre los predios que conforman el derecho de vía para la instalación de los servicios complementarios autorizados o si así lo quisiera el Concesionario, podrá solicitar la ampliación o prórroga de la concesión para la explotación de los servicios complementarios que se hayan instalado.  Las máquinas y equipos que pasen a ser parte del Instituto deben encontrarse en buen estado y libres de cualquier gravamen o reserva de dominio.  Para el caso de las máquinas y equipos necesarios para la operación del proyecto, adquiridos por leasing y cuyos pagos no se hayan efectuado </w:t>
      </w:r>
      <w:r w:rsidRPr="002E1B4B">
        <w:rPr>
          <w:rFonts w:cs="Times New Roman"/>
          <w:szCs w:val="24"/>
        </w:rPr>
        <w:lastRenderedPageBreak/>
        <w:t>en su totalidad la responsabilidad de continuar con los pagos a partir de la terminación del contrato serán exclusivamente del Concesionario”.</w:t>
      </w:r>
    </w:p>
    <w:p w14:paraId="3DAE1E41" w14:textId="77777777" w:rsidR="0087451A" w:rsidRPr="002E1B4B" w:rsidRDefault="0087451A" w:rsidP="000A5389">
      <w:pPr>
        <w:spacing w:line="240" w:lineRule="auto"/>
        <w:rPr>
          <w:rFonts w:cs="Times New Roman"/>
          <w:szCs w:val="24"/>
        </w:rPr>
      </w:pPr>
    </w:p>
    <w:p w14:paraId="75F83581" w14:textId="77777777" w:rsidR="003D5DB4" w:rsidRDefault="003D5DB4" w:rsidP="0087451A">
      <w:pPr>
        <w:spacing w:line="240" w:lineRule="auto"/>
        <w:rPr>
          <w:rFonts w:cs="Times New Roman"/>
          <w:szCs w:val="24"/>
        </w:rPr>
      </w:pPr>
      <w:r w:rsidRPr="0087451A">
        <w:rPr>
          <w:rFonts w:cs="Times New Roman"/>
          <w:szCs w:val="24"/>
        </w:rPr>
        <w:t>Las alternativas de renovación y cese del acuerdo</w:t>
      </w:r>
    </w:p>
    <w:p w14:paraId="212AE061" w14:textId="77777777" w:rsidR="0087451A" w:rsidRPr="0087451A" w:rsidRDefault="0087451A" w:rsidP="0087451A">
      <w:pPr>
        <w:spacing w:line="240" w:lineRule="auto"/>
        <w:rPr>
          <w:rFonts w:cs="Times New Roman"/>
          <w:szCs w:val="24"/>
        </w:rPr>
      </w:pPr>
    </w:p>
    <w:p w14:paraId="4E298BCD" w14:textId="77777777" w:rsidR="003D5DB4" w:rsidRDefault="003D5DB4" w:rsidP="000A5389">
      <w:pPr>
        <w:spacing w:line="240" w:lineRule="auto"/>
        <w:rPr>
          <w:rFonts w:cs="Times New Roman"/>
          <w:szCs w:val="24"/>
        </w:rPr>
      </w:pPr>
      <w:r w:rsidRPr="002E1B4B">
        <w:rPr>
          <w:rFonts w:cs="Times New Roman"/>
          <w:szCs w:val="24"/>
        </w:rPr>
        <w:t>Descripción: El plazo del contrato fue modificado según acuerdo conciliatorio del 31 de enero de 2018. Según lo indicado en la cláusula vigésima novena el Instituto procederá a declarar la terminación anticipada en los eventos previstos por el artículo 17 de la ley 80 de 1993 y de acuerdo con lo preceptuado en el parágrafo 2 del artículo 30 de la ley 105 de 1993, mediante acto administrativo debidamente motivado.  Esta cláusula estuvo vigente hasta la etapa de construcción. El concesionario podrá ceder total o parcialmente el contrato a personas naturales o jurídicas con previo consentimiento por escrito del Instituto, tal como se indica en la cláusula duodécima del contrato</w:t>
      </w:r>
    </w:p>
    <w:p w14:paraId="50DC6BB4" w14:textId="77777777" w:rsidR="0087451A" w:rsidRPr="002E1B4B" w:rsidRDefault="0087451A" w:rsidP="000A5389">
      <w:pPr>
        <w:spacing w:line="240" w:lineRule="auto"/>
        <w:rPr>
          <w:rFonts w:cs="Times New Roman"/>
          <w:szCs w:val="24"/>
        </w:rPr>
      </w:pPr>
    </w:p>
    <w:p w14:paraId="2AE50DB7" w14:textId="77777777" w:rsidR="003D5DB4" w:rsidRPr="002E1B4B" w:rsidRDefault="003D5DB4" w:rsidP="000A5389">
      <w:pPr>
        <w:spacing w:line="240" w:lineRule="auto"/>
        <w:rPr>
          <w:rFonts w:cs="Times New Roman"/>
          <w:szCs w:val="24"/>
        </w:rPr>
      </w:pPr>
      <w:r w:rsidRPr="002E1B4B">
        <w:rPr>
          <w:rFonts w:cs="Times New Roman"/>
          <w:szCs w:val="24"/>
        </w:rPr>
        <w:t>Observaciones: No se tienen ninguna observación</w:t>
      </w:r>
    </w:p>
    <w:p w14:paraId="6F462CCC" w14:textId="77777777" w:rsidR="00D1143E" w:rsidRDefault="00D1143E" w:rsidP="00D1143E">
      <w:pPr>
        <w:spacing w:line="240" w:lineRule="auto"/>
        <w:rPr>
          <w:rFonts w:cs="Times New Roman"/>
          <w:szCs w:val="24"/>
        </w:rPr>
      </w:pPr>
    </w:p>
    <w:p w14:paraId="304C01F1" w14:textId="0FE56AFD" w:rsidR="003D5DB4" w:rsidRPr="00D1143E" w:rsidRDefault="003D5DB4" w:rsidP="00D1143E">
      <w:pPr>
        <w:spacing w:line="240" w:lineRule="auto"/>
        <w:rPr>
          <w:rFonts w:cs="Times New Roman"/>
          <w:szCs w:val="24"/>
        </w:rPr>
      </w:pPr>
      <w:r w:rsidRPr="00D1143E">
        <w:rPr>
          <w:rFonts w:cs="Times New Roman"/>
          <w:szCs w:val="24"/>
        </w:rPr>
        <w:t>Cambios en el acuerdo de concesión que se realicen durante el periodo fiscal</w:t>
      </w:r>
    </w:p>
    <w:p w14:paraId="6E28531B" w14:textId="77777777" w:rsidR="00D1143E" w:rsidRDefault="00D1143E" w:rsidP="000A5389">
      <w:pPr>
        <w:spacing w:line="240" w:lineRule="auto"/>
        <w:rPr>
          <w:rFonts w:cs="Times New Roman"/>
          <w:szCs w:val="24"/>
        </w:rPr>
      </w:pPr>
    </w:p>
    <w:p w14:paraId="6EF359EF" w14:textId="7231737C" w:rsidR="003D5DB4" w:rsidRPr="002E1B4B" w:rsidRDefault="003D5DB4" w:rsidP="000A5389">
      <w:pPr>
        <w:spacing w:line="240" w:lineRule="auto"/>
        <w:rPr>
          <w:rFonts w:cs="Times New Roman"/>
          <w:szCs w:val="24"/>
        </w:rPr>
      </w:pPr>
      <w:r w:rsidRPr="002E1B4B">
        <w:rPr>
          <w:rFonts w:cs="Times New Roman"/>
          <w:szCs w:val="24"/>
        </w:rPr>
        <w:t>Adiciones o modificaciones en tiempo</w:t>
      </w:r>
    </w:p>
    <w:p w14:paraId="08CE086F" w14:textId="77777777" w:rsidR="003D5DB4" w:rsidRPr="002E1B4B" w:rsidRDefault="003D5DB4" w:rsidP="000A5389">
      <w:pPr>
        <w:spacing w:line="240" w:lineRule="auto"/>
        <w:rPr>
          <w:rFonts w:cs="Times New Roman"/>
          <w:szCs w:val="24"/>
        </w:rPr>
      </w:pPr>
      <w:r w:rsidRPr="002E1B4B">
        <w:rPr>
          <w:rFonts w:cs="Times New Roman"/>
          <w:szCs w:val="24"/>
        </w:rPr>
        <w:t>Fechas de las adiciones o modificaciones: Durante el periodo fiscal, no se realizaron adiciones o modificaciones en el tiempo</w:t>
      </w:r>
    </w:p>
    <w:p w14:paraId="63263F4C" w14:textId="77777777" w:rsidR="003D5DB4" w:rsidRPr="002E1B4B" w:rsidRDefault="003D5DB4" w:rsidP="000A5389">
      <w:pPr>
        <w:spacing w:line="240" w:lineRule="auto"/>
        <w:rPr>
          <w:rFonts w:cs="Times New Roman"/>
          <w:szCs w:val="24"/>
        </w:rPr>
      </w:pPr>
      <w:r w:rsidRPr="002E1B4B">
        <w:rPr>
          <w:rFonts w:cs="Times New Roman"/>
          <w:szCs w:val="24"/>
        </w:rPr>
        <w:t>Nueva Fecha de finalización estimada: No Aplica</w:t>
      </w:r>
    </w:p>
    <w:p w14:paraId="4D57308F" w14:textId="77777777" w:rsidR="003D5DB4" w:rsidRPr="002E1B4B" w:rsidRDefault="003D5DB4" w:rsidP="000A5389">
      <w:pPr>
        <w:spacing w:line="240" w:lineRule="auto"/>
        <w:rPr>
          <w:rFonts w:cs="Times New Roman"/>
          <w:szCs w:val="24"/>
        </w:rPr>
      </w:pPr>
      <w:r w:rsidRPr="002E1B4B">
        <w:rPr>
          <w:rFonts w:cs="Times New Roman"/>
          <w:szCs w:val="24"/>
        </w:rPr>
        <w:t>Observaciones: No Aplica</w:t>
      </w:r>
    </w:p>
    <w:p w14:paraId="25D4A469" w14:textId="77777777" w:rsidR="00D1143E" w:rsidRDefault="00D1143E" w:rsidP="000A5389">
      <w:pPr>
        <w:spacing w:line="240" w:lineRule="auto"/>
        <w:rPr>
          <w:rFonts w:cs="Times New Roman"/>
          <w:szCs w:val="24"/>
        </w:rPr>
      </w:pPr>
    </w:p>
    <w:p w14:paraId="24EEB1A5" w14:textId="1C0924C7" w:rsidR="003D5DB4" w:rsidRPr="002E1B4B" w:rsidRDefault="003D5DB4" w:rsidP="000A5389">
      <w:pPr>
        <w:spacing w:line="240" w:lineRule="auto"/>
        <w:rPr>
          <w:rFonts w:cs="Times New Roman"/>
          <w:szCs w:val="24"/>
        </w:rPr>
      </w:pPr>
      <w:r w:rsidRPr="002E1B4B">
        <w:rPr>
          <w:rFonts w:cs="Times New Roman"/>
          <w:szCs w:val="24"/>
        </w:rPr>
        <w:t>Adiciones o modificaciones en valor</w:t>
      </w:r>
    </w:p>
    <w:p w14:paraId="3D517606" w14:textId="77777777" w:rsidR="00D1143E" w:rsidRDefault="00D1143E" w:rsidP="000A5389">
      <w:pPr>
        <w:spacing w:line="240" w:lineRule="auto"/>
        <w:rPr>
          <w:rFonts w:cs="Times New Roman"/>
          <w:szCs w:val="24"/>
        </w:rPr>
      </w:pPr>
    </w:p>
    <w:p w14:paraId="7421DCA8" w14:textId="69B419DF" w:rsidR="003D5DB4" w:rsidRPr="002E1B4B" w:rsidRDefault="003D5DB4" w:rsidP="000A5389">
      <w:pPr>
        <w:spacing w:line="240" w:lineRule="auto"/>
        <w:rPr>
          <w:rFonts w:cs="Times New Roman"/>
          <w:szCs w:val="24"/>
        </w:rPr>
      </w:pPr>
      <w:r w:rsidRPr="002E1B4B">
        <w:rPr>
          <w:rFonts w:cs="Times New Roman"/>
          <w:szCs w:val="24"/>
        </w:rPr>
        <w:t>Valor de la adición o modificación: Durante el periodo fiscal, no se realizaron adiciones o modificaciones en el valor del contrato</w:t>
      </w:r>
    </w:p>
    <w:p w14:paraId="521B1171" w14:textId="77777777" w:rsidR="003D5DB4" w:rsidRPr="002E1B4B" w:rsidRDefault="003D5DB4" w:rsidP="000A5389">
      <w:pPr>
        <w:spacing w:line="240" w:lineRule="auto"/>
        <w:rPr>
          <w:rFonts w:cs="Times New Roman"/>
          <w:szCs w:val="24"/>
        </w:rPr>
      </w:pPr>
      <w:r w:rsidRPr="002E1B4B">
        <w:rPr>
          <w:rFonts w:cs="Times New Roman"/>
          <w:szCs w:val="24"/>
        </w:rPr>
        <w:t>Nuevo valor del acuerdo: No Aplica</w:t>
      </w:r>
    </w:p>
    <w:p w14:paraId="7378F1FE" w14:textId="77777777" w:rsidR="003D5DB4" w:rsidRPr="002E1B4B" w:rsidRDefault="003D5DB4" w:rsidP="000A5389">
      <w:pPr>
        <w:spacing w:line="240" w:lineRule="auto"/>
        <w:rPr>
          <w:rFonts w:cs="Times New Roman"/>
          <w:szCs w:val="24"/>
        </w:rPr>
      </w:pPr>
      <w:r w:rsidRPr="002E1B4B">
        <w:rPr>
          <w:rFonts w:cs="Times New Roman"/>
          <w:szCs w:val="24"/>
        </w:rPr>
        <w:t>Observaciones: No Aplica</w:t>
      </w:r>
    </w:p>
    <w:p w14:paraId="7BFCA780" w14:textId="77777777" w:rsidR="002E1B4B" w:rsidRPr="000D0101" w:rsidRDefault="002E1B4B" w:rsidP="000A5389">
      <w:pPr>
        <w:spacing w:line="240" w:lineRule="auto"/>
        <w:rPr>
          <w:rFonts w:cs="Times New Roman"/>
          <w:szCs w:val="24"/>
        </w:rPr>
      </w:pPr>
    </w:p>
    <w:p w14:paraId="01E8843B" w14:textId="77777777" w:rsidR="003D5DB4" w:rsidRPr="000D0101" w:rsidRDefault="003D5DB4" w:rsidP="000A5389">
      <w:pPr>
        <w:spacing w:line="240" w:lineRule="auto"/>
        <w:rPr>
          <w:rFonts w:cs="Times New Roman"/>
          <w:szCs w:val="24"/>
        </w:rPr>
      </w:pPr>
    </w:p>
    <w:p w14:paraId="50256EB9" w14:textId="77E97B0F" w:rsidR="003D5DB4" w:rsidRPr="002E1B4B" w:rsidRDefault="003D5DB4" w:rsidP="000A5389">
      <w:pPr>
        <w:spacing w:line="240" w:lineRule="auto"/>
        <w:rPr>
          <w:rFonts w:cs="Times New Roman"/>
          <w:i/>
          <w:iCs/>
          <w:szCs w:val="24"/>
        </w:rPr>
      </w:pPr>
      <w:r w:rsidRPr="002E1B4B">
        <w:rPr>
          <w:rFonts w:cs="Times New Roman"/>
          <w:i/>
          <w:iCs/>
          <w:szCs w:val="24"/>
        </w:rPr>
        <w:t xml:space="preserve">SANTA MARTA – RIOHACHA </w:t>
      </w:r>
      <w:r w:rsidR="002E1B4B" w:rsidRPr="002E1B4B">
        <w:rPr>
          <w:rFonts w:cs="Times New Roman"/>
          <w:i/>
          <w:iCs/>
          <w:szCs w:val="24"/>
        </w:rPr>
        <w:t>–</w:t>
      </w:r>
      <w:r w:rsidRPr="002E1B4B">
        <w:rPr>
          <w:rFonts w:cs="Times New Roman"/>
          <w:i/>
          <w:iCs/>
          <w:szCs w:val="24"/>
        </w:rPr>
        <w:t xml:space="preserve"> PARAGUACHÓN</w:t>
      </w:r>
    </w:p>
    <w:p w14:paraId="312E47AD" w14:textId="77777777" w:rsidR="002E1B4B" w:rsidRPr="002E1B4B" w:rsidRDefault="002E1B4B" w:rsidP="000A5389">
      <w:pPr>
        <w:spacing w:line="240" w:lineRule="auto"/>
        <w:rPr>
          <w:rFonts w:cs="Times New Roman"/>
          <w:i/>
          <w:iCs/>
          <w:szCs w:val="24"/>
        </w:rPr>
      </w:pPr>
    </w:p>
    <w:p w14:paraId="47159E41" w14:textId="77777777" w:rsidR="003D5DB4" w:rsidRDefault="003D5DB4" w:rsidP="00D1143E">
      <w:pPr>
        <w:spacing w:line="240" w:lineRule="auto"/>
        <w:rPr>
          <w:rFonts w:cs="Times New Roman"/>
          <w:szCs w:val="24"/>
        </w:rPr>
      </w:pPr>
      <w:r w:rsidRPr="00D1143E">
        <w:rPr>
          <w:rFonts w:cs="Times New Roman"/>
          <w:szCs w:val="24"/>
        </w:rPr>
        <w:t>Descripción del Acuerdo</w:t>
      </w:r>
    </w:p>
    <w:p w14:paraId="26F50327" w14:textId="77777777" w:rsidR="00D1143E" w:rsidRPr="00D1143E" w:rsidRDefault="00D1143E" w:rsidP="00D1143E">
      <w:pPr>
        <w:spacing w:line="240" w:lineRule="auto"/>
        <w:rPr>
          <w:rFonts w:cs="Times New Roman"/>
          <w:szCs w:val="24"/>
        </w:rPr>
      </w:pPr>
    </w:p>
    <w:p w14:paraId="2364F570" w14:textId="77777777" w:rsidR="003D5DB4" w:rsidRPr="002E1B4B" w:rsidRDefault="003D5DB4" w:rsidP="000A5389">
      <w:pPr>
        <w:spacing w:line="240" w:lineRule="auto"/>
        <w:rPr>
          <w:rFonts w:cs="Times New Roman"/>
          <w:szCs w:val="24"/>
        </w:rPr>
      </w:pPr>
      <w:r w:rsidRPr="002E1B4B">
        <w:rPr>
          <w:rFonts w:cs="Times New Roman"/>
          <w:szCs w:val="24"/>
        </w:rPr>
        <w:t>Número del Acuerdo de concesión: SANTA MARTA – RIOHACHA - PARAGUACHÓN</w:t>
      </w:r>
    </w:p>
    <w:p w14:paraId="6D55E958" w14:textId="77777777" w:rsidR="00D1143E" w:rsidRDefault="00D1143E" w:rsidP="000A5389">
      <w:pPr>
        <w:spacing w:line="240" w:lineRule="auto"/>
        <w:rPr>
          <w:rFonts w:cs="Times New Roman"/>
          <w:szCs w:val="24"/>
        </w:rPr>
      </w:pPr>
    </w:p>
    <w:p w14:paraId="73288AA6" w14:textId="2086C590" w:rsidR="003D5DB4" w:rsidRPr="002E1B4B" w:rsidRDefault="003D5DB4" w:rsidP="000A5389">
      <w:pPr>
        <w:spacing w:line="240" w:lineRule="auto"/>
        <w:rPr>
          <w:rFonts w:cs="Times New Roman"/>
          <w:szCs w:val="24"/>
        </w:rPr>
      </w:pPr>
      <w:r w:rsidRPr="002E1B4B">
        <w:rPr>
          <w:rFonts w:cs="Times New Roman"/>
          <w:szCs w:val="24"/>
        </w:rPr>
        <w:t xml:space="preserve">Objeto / Descripción: Objeto Ejecutar por el sistema de concesión, según lo establecido en el artículo 32, numeral 40, de la Ley 80 de 1993, realizar por el sistema de concesión los estudios, diseños definitivos, las obras de rehabilitación de construcción, la operación y el mantenimiento de los sectores Río Palomino – Riohacha y Riohacha – Paraguachón y el mantenimiento y la operación del sector Santa Marta – Rio palomino, ruta 90 en los Departamentos del Magdalena y La Guajira. Las actividades incluidas para cumplir el objeto </w:t>
      </w:r>
      <w:r w:rsidRPr="002E1B4B">
        <w:rPr>
          <w:rFonts w:cs="Times New Roman"/>
          <w:szCs w:val="24"/>
        </w:rPr>
        <w:lastRenderedPageBreak/>
        <w:t xml:space="preserve">del contrato son: Estudios y diseños finales, financiación, construcción, suministro, instalación, montaje y prueba de los equipos, puesta en funcionamiento y operación del proyecto, las cuales deben hacerse en un todo de acuerdo con las condiciones, términos, alcances y obligaciones establecidas en este documento, en la oferta del CONCESIONARIO negociada y aceptada por el Instituto Nacional de Vías, en el pliego de condiciones anexo a la invitación a presentar oferta dentro del proceso de contratación directa, y en los pliegos de la licitación pública No. 095-93 fecha 2-Ago-1994 Otrosí No. 10 $238.834.396.072 5 de marzo de 2009. Diseño y rehabilitación paso nacional por el municipio de Riohacha, Diseño de la rehabilitación y mejoramiento de la vía Riohacha – La Florida, Revisión de los diseños del sector Maicao - Carraipía -Paradero y mejoramiento del sector Maicao - Carraipía - Paradero. Dado que los recursos destinados inicialmente al Contrato Adicional No. 9 eran insuficientes, se destinaron incluir $8.000.000 para la ejecución de las obras del fallo del Laudo arbitral del 31 de mayo de 2004. Tiempo: Variable, según cumplimiento de los hitos de construcción para cada una de las obras. Diseño: 2 meses Construcción: hasta 24 meses calendario dependiente de la obra a ejecutar. </w:t>
      </w:r>
    </w:p>
    <w:p w14:paraId="4D274F3F" w14:textId="77777777" w:rsidR="002E1B4B" w:rsidRDefault="002E1B4B" w:rsidP="000A5389">
      <w:pPr>
        <w:spacing w:line="240" w:lineRule="auto"/>
        <w:rPr>
          <w:rFonts w:cs="Times New Roman"/>
          <w:szCs w:val="24"/>
        </w:rPr>
      </w:pPr>
    </w:p>
    <w:p w14:paraId="755BEEA6" w14:textId="3CC0D7E5" w:rsidR="003D5DB4" w:rsidRPr="002E1B4B" w:rsidRDefault="003D5DB4" w:rsidP="000A5389">
      <w:pPr>
        <w:spacing w:line="240" w:lineRule="auto"/>
        <w:rPr>
          <w:rFonts w:cs="Times New Roman"/>
          <w:szCs w:val="24"/>
        </w:rPr>
      </w:pPr>
      <w:r w:rsidRPr="002E1B4B">
        <w:rPr>
          <w:rFonts w:cs="Times New Roman"/>
          <w:szCs w:val="24"/>
        </w:rPr>
        <w:t>Valor inicial:</w:t>
      </w:r>
      <w:r w:rsidRPr="002E1B4B">
        <w:rPr>
          <w:rFonts w:cs="Times New Roman"/>
          <w:szCs w:val="24"/>
        </w:rPr>
        <w:tab/>
        <w:t xml:space="preserve">VEINTIOCHO MIL CUATROCIENTOS CUARENTA YTRES MILLONES SEISCIENTOS MOVENTA Y OCHO MILQUINIENTOS NOVENTA Y TRES PESOS COLOMBIANOS. ($28.443.698.593) </w:t>
      </w:r>
    </w:p>
    <w:p w14:paraId="62DF4951" w14:textId="77777777" w:rsidR="003D5DB4" w:rsidRPr="002E1B4B" w:rsidRDefault="003D5DB4" w:rsidP="000A5389">
      <w:pPr>
        <w:spacing w:line="240" w:lineRule="auto"/>
        <w:rPr>
          <w:rFonts w:cs="Times New Roman"/>
          <w:szCs w:val="24"/>
        </w:rPr>
      </w:pPr>
      <w:r w:rsidRPr="002E1B4B">
        <w:rPr>
          <w:rFonts w:cs="Times New Roman"/>
          <w:szCs w:val="24"/>
        </w:rPr>
        <w:t xml:space="preserve">Fecha de inicio: 24 de agosto de 1994 </w:t>
      </w:r>
    </w:p>
    <w:p w14:paraId="2B0CA1BC" w14:textId="77777777" w:rsidR="003D5DB4" w:rsidRPr="002E1B4B" w:rsidRDefault="003D5DB4" w:rsidP="000A5389">
      <w:pPr>
        <w:spacing w:line="240" w:lineRule="auto"/>
        <w:rPr>
          <w:rFonts w:cs="Times New Roman"/>
          <w:szCs w:val="24"/>
        </w:rPr>
      </w:pPr>
      <w:r w:rsidRPr="002E1B4B">
        <w:rPr>
          <w:rFonts w:cs="Times New Roman"/>
          <w:szCs w:val="24"/>
        </w:rPr>
        <w:t xml:space="preserve">Fecha de finalización estimada: 27 de julio de 2030 </w:t>
      </w:r>
    </w:p>
    <w:p w14:paraId="1EA5860F" w14:textId="77777777" w:rsidR="003D5DB4" w:rsidRPr="002E1B4B" w:rsidRDefault="003D5DB4" w:rsidP="000A5389">
      <w:pPr>
        <w:spacing w:line="240" w:lineRule="auto"/>
        <w:rPr>
          <w:rFonts w:cs="Times New Roman"/>
          <w:szCs w:val="24"/>
        </w:rPr>
      </w:pPr>
      <w:r w:rsidRPr="002E1B4B">
        <w:rPr>
          <w:rFonts w:cs="Times New Roman"/>
          <w:szCs w:val="24"/>
        </w:rPr>
        <w:t>Tipo ID: NIT</w:t>
      </w:r>
    </w:p>
    <w:p w14:paraId="4F14C258" w14:textId="77777777" w:rsidR="003D5DB4" w:rsidRPr="002E1B4B" w:rsidRDefault="003D5DB4" w:rsidP="000A5389">
      <w:pPr>
        <w:spacing w:line="240" w:lineRule="auto"/>
        <w:rPr>
          <w:rFonts w:cs="Times New Roman"/>
          <w:szCs w:val="24"/>
        </w:rPr>
      </w:pPr>
      <w:r w:rsidRPr="002E1B4B">
        <w:rPr>
          <w:rFonts w:cs="Times New Roman"/>
          <w:szCs w:val="24"/>
        </w:rPr>
        <w:t>Número ID:</w:t>
      </w:r>
      <w:r w:rsidRPr="002E1B4B">
        <w:rPr>
          <w:rFonts w:cs="Times New Roman"/>
          <w:szCs w:val="24"/>
        </w:rPr>
        <w:tab/>
        <w:t>800.235.278-1</w:t>
      </w:r>
    </w:p>
    <w:p w14:paraId="6A707C17" w14:textId="77777777" w:rsidR="003D5DB4" w:rsidRPr="002E1B4B" w:rsidRDefault="003D5DB4" w:rsidP="000A5389">
      <w:pPr>
        <w:spacing w:line="240" w:lineRule="auto"/>
        <w:rPr>
          <w:rFonts w:cs="Times New Roman"/>
          <w:bCs/>
          <w:szCs w:val="24"/>
        </w:rPr>
      </w:pPr>
      <w:r w:rsidRPr="002E1B4B">
        <w:rPr>
          <w:rFonts w:cs="Times New Roman"/>
          <w:szCs w:val="24"/>
        </w:rPr>
        <w:t>Razón social del concesionario</w:t>
      </w:r>
      <w:r w:rsidRPr="002E1B4B">
        <w:rPr>
          <w:rFonts w:cs="Times New Roman"/>
          <w:bCs/>
          <w:szCs w:val="24"/>
        </w:rPr>
        <w:t>: CONCESIÓN SANTA MARTA PARAGUACHON S.A.</w:t>
      </w:r>
    </w:p>
    <w:p w14:paraId="78555B30" w14:textId="77777777" w:rsidR="003D5DB4" w:rsidRPr="002E1B4B" w:rsidRDefault="003D5DB4" w:rsidP="000A5389">
      <w:pPr>
        <w:spacing w:line="240" w:lineRule="auto"/>
        <w:rPr>
          <w:rFonts w:cs="Times New Roman"/>
          <w:bCs/>
          <w:szCs w:val="24"/>
        </w:rPr>
      </w:pPr>
      <w:r w:rsidRPr="002E1B4B">
        <w:rPr>
          <w:rFonts w:cs="Times New Roman"/>
          <w:bCs/>
          <w:szCs w:val="24"/>
        </w:rPr>
        <w:t>Nombre del proyecto: SANTA MARTA – RIOHACHA - PARAGUACHÓN</w:t>
      </w:r>
    </w:p>
    <w:p w14:paraId="7D9842A9" w14:textId="77777777" w:rsidR="003D5DB4" w:rsidRPr="002E1B4B" w:rsidRDefault="003D5DB4" w:rsidP="000A5389">
      <w:pPr>
        <w:tabs>
          <w:tab w:val="left" w:pos="426"/>
        </w:tabs>
        <w:spacing w:line="240" w:lineRule="auto"/>
        <w:rPr>
          <w:rFonts w:cs="Times New Roman"/>
          <w:bCs/>
          <w:szCs w:val="24"/>
        </w:rPr>
      </w:pPr>
    </w:p>
    <w:p w14:paraId="554241E8" w14:textId="77777777" w:rsidR="003D5DB4" w:rsidRPr="00D1143E" w:rsidRDefault="003D5DB4" w:rsidP="00D1143E">
      <w:pPr>
        <w:spacing w:line="240" w:lineRule="auto"/>
        <w:rPr>
          <w:rFonts w:cs="Times New Roman"/>
          <w:bCs/>
          <w:szCs w:val="24"/>
        </w:rPr>
      </w:pPr>
      <w:r w:rsidRPr="00D1143E">
        <w:rPr>
          <w:rFonts w:cs="Times New Roman"/>
          <w:bCs/>
          <w:szCs w:val="24"/>
        </w:rPr>
        <w:t>Términos significativos del Acuerdo que puedan afectar su valor, el calendario y la certeza de los flujos de efectivo futuros</w:t>
      </w:r>
    </w:p>
    <w:p w14:paraId="3664FF6B" w14:textId="77777777" w:rsidR="002E1B4B" w:rsidRDefault="002E1B4B" w:rsidP="000A5389">
      <w:pPr>
        <w:spacing w:line="240" w:lineRule="auto"/>
        <w:rPr>
          <w:rFonts w:cs="Times New Roman"/>
          <w:bCs/>
          <w:szCs w:val="24"/>
        </w:rPr>
      </w:pPr>
    </w:p>
    <w:p w14:paraId="2FD45FA2" w14:textId="77777777" w:rsidR="00D1143E" w:rsidRDefault="003D5DB4" w:rsidP="000A5389">
      <w:pPr>
        <w:spacing w:line="240" w:lineRule="auto"/>
        <w:rPr>
          <w:rFonts w:cs="Times New Roman"/>
          <w:bCs/>
          <w:szCs w:val="24"/>
        </w:rPr>
      </w:pPr>
      <w:r w:rsidRPr="002E1B4B">
        <w:rPr>
          <w:rFonts w:cs="Times New Roman"/>
          <w:bCs/>
          <w:szCs w:val="24"/>
        </w:rPr>
        <w:t xml:space="preserve">Términos de valor: No aplica </w:t>
      </w:r>
    </w:p>
    <w:p w14:paraId="324B7A3A" w14:textId="77777777" w:rsidR="00D1143E" w:rsidRDefault="00D1143E" w:rsidP="000A5389">
      <w:pPr>
        <w:spacing w:line="240" w:lineRule="auto"/>
        <w:rPr>
          <w:rFonts w:cs="Times New Roman"/>
          <w:bCs/>
          <w:szCs w:val="24"/>
        </w:rPr>
      </w:pPr>
    </w:p>
    <w:p w14:paraId="696EC7EE" w14:textId="01659D2D" w:rsidR="003D5DB4" w:rsidRPr="002E1B4B" w:rsidRDefault="003D5DB4" w:rsidP="000A5389">
      <w:pPr>
        <w:spacing w:line="240" w:lineRule="auto"/>
        <w:rPr>
          <w:rFonts w:cs="Times New Roman"/>
          <w:bCs/>
          <w:szCs w:val="24"/>
        </w:rPr>
      </w:pPr>
      <w:r w:rsidRPr="002E1B4B">
        <w:rPr>
          <w:rFonts w:cs="Times New Roman"/>
          <w:bCs/>
          <w:szCs w:val="24"/>
        </w:rPr>
        <w:t xml:space="preserve">Términos de calendario: Otrosí 10 amplia el contrato hasta julio 2030Diseño y Rehabilitación Paso Nacional por el municipio de Riohacha, Diseño de la Rehabilitación y mejoramiento de la vía Riohacha – La Florida, Revisión de los diseños del sector Maicao – Carraipía – Paradero y mejoramiento del sector Maicao– Carraipía – Paradero </w:t>
      </w:r>
    </w:p>
    <w:p w14:paraId="1360C6FA" w14:textId="77777777" w:rsidR="00D1143E" w:rsidRDefault="00D1143E" w:rsidP="000A5389">
      <w:pPr>
        <w:spacing w:line="240" w:lineRule="auto"/>
        <w:rPr>
          <w:rFonts w:cs="Times New Roman"/>
          <w:bCs/>
          <w:szCs w:val="24"/>
        </w:rPr>
      </w:pPr>
    </w:p>
    <w:p w14:paraId="59F8D1D9" w14:textId="0A059639" w:rsidR="003D5DB4" w:rsidRDefault="003D5DB4" w:rsidP="000A5389">
      <w:pPr>
        <w:spacing w:line="240" w:lineRule="auto"/>
        <w:rPr>
          <w:rFonts w:cs="Times New Roman"/>
          <w:bCs/>
          <w:szCs w:val="24"/>
        </w:rPr>
      </w:pPr>
      <w:r w:rsidRPr="002E1B4B">
        <w:rPr>
          <w:rFonts w:cs="Times New Roman"/>
          <w:bCs/>
          <w:szCs w:val="24"/>
        </w:rPr>
        <w:t>Términos de certeza de flujos de efectivo futuros: No Aplica</w:t>
      </w:r>
    </w:p>
    <w:p w14:paraId="4199AD21" w14:textId="77777777" w:rsidR="002E1B4B" w:rsidRPr="002E1B4B" w:rsidRDefault="002E1B4B" w:rsidP="000A5389">
      <w:pPr>
        <w:spacing w:line="240" w:lineRule="auto"/>
        <w:rPr>
          <w:rFonts w:cs="Times New Roman"/>
          <w:bCs/>
          <w:szCs w:val="24"/>
        </w:rPr>
      </w:pPr>
    </w:p>
    <w:p w14:paraId="39974A40" w14:textId="77777777" w:rsidR="003D5DB4" w:rsidRDefault="003D5DB4" w:rsidP="00D1143E">
      <w:pPr>
        <w:spacing w:line="240" w:lineRule="auto"/>
        <w:rPr>
          <w:rFonts w:cs="Times New Roman"/>
          <w:bCs/>
          <w:szCs w:val="24"/>
        </w:rPr>
      </w:pPr>
      <w:r w:rsidRPr="00D1143E">
        <w:rPr>
          <w:rFonts w:cs="Times New Roman"/>
          <w:bCs/>
          <w:szCs w:val="24"/>
        </w:rPr>
        <w:t>Naturaleza y alcance del derecho a utilizar Activos y los aspectos pactados en torno a lo que se espera que el concesionario proporcione en relación con el Acuerdo de concesión</w:t>
      </w:r>
    </w:p>
    <w:p w14:paraId="51639108" w14:textId="77777777" w:rsidR="00D1143E" w:rsidRPr="00D1143E" w:rsidRDefault="00D1143E" w:rsidP="00D1143E">
      <w:pPr>
        <w:spacing w:line="240" w:lineRule="auto"/>
        <w:rPr>
          <w:rFonts w:cs="Times New Roman"/>
          <w:bCs/>
          <w:szCs w:val="24"/>
        </w:rPr>
      </w:pPr>
    </w:p>
    <w:p w14:paraId="7C08399C" w14:textId="77777777" w:rsidR="003D5DB4" w:rsidRDefault="003D5DB4" w:rsidP="000A5389">
      <w:pPr>
        <w:spacing w:line="240" w:lineRule="auto"/>
        <w:rPr>
          <w:rFonts w:cs="Times New Roman"/>
          <w:bCs/>
          <w:szCs w:val="24"/>
        </w:rPr>
      </w:pPr>
      <w:r w:rsidRPr="002E1B4B">
        <w:rPr>
          <w:rFonts w:cs="Times New Roman"/>
          <w:bCs/>
          <w:szCs w:val="24"/>
        </w:rPr>
        <w:t>Naturaleza y alcance del derecho de uso de los Activos</w:t>
      </w:r>
    </w:p>
    <w:p w14:paraId="1DDE1636" w14:textId="77777777" w:rsidR="00D1143E" w:rsidRPr="002E1B4B" w:rsidRDefault="00D1143E" w:rsidP="000A5389">
      <w:pPr>
        <w:spacing w:line="240" w:lineRule="auto"/>
        <w:rPr>
          <w:rFonts w:cs="Times New Roman"/>
          <w:bCs/>
          <w:szCs w:val="24"/>
        </w:rPr>
      </w:pPr>
    </w:p>
    <w:p w14:paraId="629716FF" w14:textId="77777777" w:rsidR="003D5DB4" w:rsidRPr="002E1B4B" w:rsidRDefault="003D5DB4" w:rsidP="000A5389">
      <w:pPr>
        <w:spacing w:line="240" w:lineRule="auto"/>
        <w:rPr>
          <w:rFonts w:cs="Times New Roman"/>
          <w:bCs/>
          <w:szCs w:val="24"/>
        </w:rPr>
      </w:pPr>
      <w:r w:rsidRPr="002E1B4B">
        <w:rPr>
          <w:rFonts w:cs="Times New Roman"/>
          <w:bCs/>
          <w:szCs w:val="24"/>
        </w:rPr>
        <w:lastRenderedPageBreak/>
        <w:t>Descripción: Mediante la figura de concesión se asigna a la Concesión las actividades de construcción y mejoramiento de vías, prestación de servicios complementarios, operación, explotación, organización y gestión total del corredor vial por cuenta y riesgo del concesionario. Los servicios básicos o esenciales que deberá prestar el Concesionario, directa o indirectamente a través de terceros, son los siguientes:§ Mantenimiento del Sector§ Operación de las Estaciones de Peaje§ Operación y seguimiento del tránsito§ Seguridad vial§ Atención de accidentes§ Primeros auxilios a personas§ Primeros auxilios a vehículos§ Manejo y control Ambiental§ Áreas de Servicio§ Control del peso de vehículos de carga (Estaciones de Pesaje)§ Vigilancia de las instalaciones de las Estaciones de Peaje§ Comunicaciones con el Centro de Control de Operación§ Seguridad del Sector y de los Usuarios del Sector§ Paraderos para el servicio de transporte público.</w:t>
      </w:r>
    </w:p>
    <w:p w14:paraId="1F26FF2E" w14:textId="77777777" w:rsidR="002E1B4B" w:rsidRDefault="002E1B4B" w:rsidP="000A5389">
      <w:pPr>
        <w:spacing w:line="240" w:lineRule="auto"/>
        <w:rPr>
          <w:rFonts w:cs="Times New Roman"/>
          <w:bCs/>
          <w:szCs w:val="24"/>
        </w:rPr>
      </w:pPr>
    </w:p>
    <w:p w14:paraId="595A2241" w14:textId="3F93AB7F" w:rsidR="003D5DB4" w:rsidRPr="002E1B4B" w:rsidRDefault="003D5DB4" w:rsidP="000A5389">
      <w:pPr>
        <w:spacing w:line="240" w:lineRule="auto"/>
        <w:rPr>
          <w:rFonts w:cs="Times New Roman"/>
          <w:bCs/>
          <w:szCs w:val="24"/>
        </w:rPr>
      </w:pPr>
      <w:r w:rsidRPr="002E1B4B">
        <w:rPr>
          <w:rFonts w:cs="Times New Roman"/>
          <w:bCs/>
          <w:szCs w:val="24"/>
        </w:rPr>
        <w:t xml:space="preserve">Observaciones: Sin observaciones </w:t>
      </w:r>
    </w:p>
    <w:p w14:paraId="71E10DD9" w14:textId="77777777" w:rsidR="003D5DB4" w:rsidRDefault="003D5DB4" w:rsidP="000A5389">
      <w:pPr>
        <w:spacing w:line="240" w:lineRule="auto"/>
        <w:rPr>
          <w:rFonts w:cs="Times New Roman"/>
          <w:bCs/>
          <w:szCs w:val="24"/>
        </w:rPr>
      </w:pPr>
      <w:r w:rsidRPr="002E1B4B">
        <w:rPr>
          <w:rFonts w:cs="Times New Roman"/>
          <w:bCs/>
          <w:szCs w:val="24"/>
        </w:rPr>
        <w:t>Retribución al concesionario</w:t>
      </w:r>
    </w:p>
    <w:p w14:paraId="2DBC7FF2" w14:textId="77777777" w:rsidR="002E1B4B" w:rsidRPr="002E1B4B" w:rsidRDefault="002E1B4B" w:rsidP="000A5389">
      <w:pPr>
        <w:spacing w:line="240" w:lineRule="auto"/>
        <w:rPr>
          <w:rFonts w:cs="Times New Roman"/>
          <w:bCs/>
          <w:szCs w:val="24"/>
        </w:rPr>
      </w:pPr>
    </w:p>
    <w:p w14:paraId="61DD2FCC" w14:textId="77777777" w:rsidR="003D5DB4" w:rsidRPr="002E1B4B" w:rsidRDefault="003D5DB4" w:rsidP="000A5389">
      <w:pPr>
        <w:spacing w:line="240" w:lineRule="auto"/>
        <w:rPr>
          <w:rFonts w:cs="Times New Roman"/>
          <w:bCs/>
          <w:szCs w:val="24"/>
        </w:rPr>
      </w:pPr>
      <w:r w:rsidRPr="002E1B4B">
        <w:rPr>
          <w:rFonts w:cs="Times New Roman"/>
          <w:bCs/>
          <w:szCs w:val="24"/>
        </w:rPr>
        <w:t>Descripción: Definido como el valor presente en pesos de 1994 de los ingresos por peajes y por vigencias futuras pagadas al concesionario en el periodo respectivo. El cual al alcanzarse genera la toma de posesión por parte del concedente. Documentos Contractuales: Otrosí No. 10 Periodo: Su inicio se da a partir de febrero 28 de 2017 hasta que se realice la toma de posesión Valor en pesos constantes de 1994: $83.672.094.023.</w:t>
      </w:r>
    </w:p>
    <w:p w14:paraId="7D7F8996" w14:textId="77777777" w:rsidR="003D5DB4" w:rsidRDefault="003D5DB4" w:rsidP="000A5389">
      <w:pPr>
        <w:spacing w:line="240" w:lineRule="auto"/>
        <w:rPr>
          <w:rFonts w:cs="Times New Roman"/>
          <w:bCs/>
          <w:szCs w:val="24"/>
        </w:rPr>
      </w:pPr>
      <w:r w:rsidRPr="002E1B4B">
        <w:rPr>
          <w:rFonts w:cs="Times New Roman"/>
          <w:bCs/>
          <w:szCs w:val="24"/>
        </w:rPr>
        <w:t>Tasa de retribución:</w:t>
      </w:r>
      <w:r w:rsidRPr="002E1B4B">
        <w:rPr>
          <w:rFonts w:cs="Times New Roman"/>
          <w:bCs/>
          <w:szCs w:val="24"/>
        </w:rPr>
        <w:tab/>
        <w:t>9,1300%</w:t>
      </w:r>
    </w:p>
    <w:p w14:paraId="5D18F5C9" w14:textId="77777777" w:rsidR="002E1B4B" w:rsidRPr="002E1B4B" w:rsidRDefault="002E1B4B" w:rsidP="000A5389">
      <w:pPr>
        <w:spacing w:line="240" w:lineRule="auto"/>
        <w:rPr>
          <w:rFonts w:cs="Times New Roman"/>
          <w:bCs/>
          <w:szCs w:val="24"/>
        </w:rPr>
      </w:pPr>
    </w:p>
    <w:p w14:paraId="20CE2F96" w14:textId="3B235664" w:rsidR="003D5DB4" w:rsidRDefault="003D5DB4" w:rsidP="00D1143E">
      <w:pPr>
        <w:spacing w:line="240" w:lineRule="auto"/>
        <w:rPr>
          <w:rFonts w:cs="Times New Roman"/>
          <w:bCs/>
          <w:szCs w:val="24"/>
        </w:rPr>
      </w:pPr>
      <w:r w:rsidRPr="00D1143E">
        <w:rPr>
          <w:rFonts w:cs="Times New Roman"/>
          <w:bCs/>
          <w:szCs w:val="24"/>
        </w:rPr>
        <w:t>Derechos a recibir Activos especificados al final del acuerdo de concesió</w:t>
      </w:r>
      <w:r w:rsidR="00D1143E">
        <w:rPr>
          <w:rFonts w:cs="Times New Roman"/>
          <w:bCs/>
          <w:szCs w:val="24"/>
        </w:rPr>
        <w:t>n</w:t>
      </w:r>
    </w:p>
    <w:p w14:paraId="0D100884" w14:textId="77777777" w:rsidR="00D1143E" w:rsidRPr="00D1143E" w:rsidRDefault="00D1143E" w:rsidP="00D1143E">
      <w:pPr>
        <w:spacing w:line="240" w:lineRule="auto"/>
        <w:rPr>
          <w:rFonts w:cs="Times New Roman"/>
          <w:bCs/>
          <w:szCs w:val="24"/>
        </w:rPr>
      </w:pPr>
    </w:p>
    <w:p w14:paraId="21045D25" w14:textId="77777777" w:rsidR="003D5DB4" w:rsidRDefault="003D5DB4" w:rsidP="000A5389">
      <w:pPr>
        <w:spacing w:line="240" w:lineRule="auto"/>
        <w:rPr>
          <w:rFonts w:cs="Times New Roman"/>
          <w:bCs/>
          <w:szCs w:val="24"/>
        </w:rPr>
      </w:pPr>
      <w:r w:rsidRPr="002E1B4B">
        <w:rPr>
          <w:rFonts w:cs="Times New Roman"/>
          <w:bCs/>
          <w:szCs w:val="24"/>
        </w:rPr>
        <w:t xml:space="preserve">Descripción: Al vencimiento de la etapa de operación, los bienes afectados a la concesión del proyecto. </w:t>
      </w:r>
    </w:p>
    <w:p w14:paraId="175D3CF5" w14:textId="77777777" w:rsidR="002E1B4B" w:rsidRPr="002E1B4B" w:rsidRDefault="002E1B4B" w:rsidP="000A5389">
      <w:pPr>
        <w:spacing w:line="240" w:lineRule="auto"/>
        <w:rPr>
          <w:rFonts w:cs="Times New Roman"/>
          <w:bCs/>
          <w:szCs w:val="24"/>
        </w:rPr>
      </w:pPr>
    </w:p>
    <w:p w14:paraId="3F760B24" w14:textId="77777777" w:rsidR="003D5DB4" w:rsidRDefault="003D5DB4" w:rsidP="000A5389">
      <w:pPr>
        <w:spacing w:line="240" w:lineRule="auto"/>
        <w:rPr>
          <w:rFonts w:cs="Times New Roman"/>
          <w:bCs/>
          <w:szCs w:val="24"/>
        </w:rPr>
      </w:pPr>
      <w:r w:rsidRPr="002E1B4B">
        <w:rPr>
          <w:rFonts w:cs="Times New Roman"/>
          <w:bCs/>
          <w:szCs w:val="24"/>
        </w:rPr>
        <w:t xml:space="preserve">Observaciones: Los predios para la zona de carreteras, la obra civil: calzadas, separadores, intersecciones, estructuras, obras de drenaje, obras de arte y señales, las casetas de peaje y sus áreas deservicio y los equipos instalados para la operación del proyecto, revertirán en favor del Instituto Nacional De Vías, sin costo alguno, libres de todo gravamen y con un nivel de servicio que alcance una calificación mínima de Cuatro (4) puntos, de acuerdo con las “Normas de Mantenimiento para Carreteras Concesionadas” que forman parte del Pliego de Condiciones </w:t>
      </w:r>
    </w:p>
    <w:p w14:paraId="4299C681" w14:textId="77777777" w:rsidR="002E1B4B" w:rsidRPr="002E1B4B" w:rsidRDefault="002E1B4B" w:rsidP="000A5389">
      <w:pPr>
        <w:spacing w:line="240" w:lineRule="auto"/>
        <w:rPr>
          <w:rFonts w:cs="Times New Roman"/>
          <w:bCs/>
          <w:szCs w:val="24"/>
        </w:rPr>
      </w:pPr>
    </w:p>
    <w:p w14:paraId="2E962E7C" w14:textId="77777777" w:rsidR="003D5DB4" w:rsidRDefault="003D5DB4" w:rsidP="00D1143E">
      <w:pPr>
        <w:spacing w:line="240" w:lineRule="auto"/>
        <w:rPr>
          <w:rFonts w:cs="Times New Roman"/>
          <w:bCs/>
          <w:szCs w:val="24"/>
        </w:rPr>
      </w:pPr>
      <w:r w:rsidRPr="00D1143E">
        <w:rPr>
          <w:rFonts w:cs="Times New Roman"/>
          <w:bCs/>
          <w:szCs w:val="24"/>
        </w:rPr>
        <w:t>Las alternativas de renovación y cese del acuerdo</w:t>
      </w:r>
    </w:p>
    <w:p w14:paraId="22B706C6" w14:textId="77777777" w:rsidR="00D1143E" w:rsidRPr="00D1143E" w:rsidRDefault="00D1143E" w:rsidP="00D1143E">
      <w:pPr>
        <w:spacing w:line="240" w:lineRule="auto"/>
        <w:rPr>
          <w:rFonts w:cs="Times New Roman"/>
          <w:bCs/>
          <w:szCs w:val="24"/>
        </w:rPr>
      </w:pPr>
    </w:p>
    <w:p w14:paraId="52820CAF" w14:textId="77777777" w:rsidR="003D5DB4" w:rsidRPr="002E1B4B" w:rsidRDefault="003D5DB4" w:rsidP="000A5389">
      <w:pPr>
        <w:spacing w:line="240" w:lineRule="auto"/>
        <w:rPr>
          <w:rFonts w:cs="Times New Roman"/>
          <w:bCs/>
          <w:szCs w:val="24"/>
        </w:rPr>
      </w:pPr>
      <w:r w:rsidRPr="002E1B4B">
        <w:rPr>
          <w:rFonts w:cs="Times New Roman"/>
          <w:bCs/>
          <w:szCs w:val="24"/>
        </w:rPr>
        <w:t xml:space="preserve">Descripción: No Aplica </w:t>
      </w:r>
    </w:p>
    <w:p w14:paraId="622D73E8" w14:textId="77777777" w:rsidR="003D5DB4" w:rsidRDefault="003D5DB4" w:rsidP="000A5389">
      <w:pPr>
        <w:spacing w:line="240" w:lineRule="auto"/>
        <w:rPr>
          <w:rFonts w:cs="Times New Roman"/>
          <w:bCs/>
          <w:szCs w:val="24"/>
        </w:rPr>
      </w:pPr>
      <w:r w:rsidRPr="002E1B4B">
        <w:rPr>
          <w:rFonts w:cs="Times New Roman"/>
          <w:bCs/>
          <w:szCs w:val="24"/>
        </w:rPr>
        <w:t xml:space="preserve">Observaciones: No Aplica </w:t>
      </w:r>
    </w:p>
    <w:p w14:paraId="47328719" w14:textId="77777777" w:rsidR="002E1B4B" w:rsidRPr="002E1B4B" w:rsidRDefault="002E1B4B" w:rsidP="000A5389">
      <w:pPr>
        <w:spacing w:line="240" w:lineRule="auto"/>
        <w:rPr>
          <w:rFonts w:cs="Times New Roman"/>
          <w:bCs/>
          <w:szCs w:val="24"/>
        </w:rPr>
      </w:pPr>
    </w:p>
    <w:p w14:paraId="04C47F6D" w14:textId="77777777" w:rsidR="003D5DB4" w:rsidRPr="00D1143E" w:rsidRDefault="003D5DB4" w:rsidP="00D1143E">
      <w:pPr>
        <w:spacing w:line="240" w:lineRule="auto"/>
        <w:rPr>
          <w:rFonts w:cs="Times New Roman"/>
          <w:bCs/>
          <w:szCs w:val="24"/>
        </w:rPr>
      </w:pPr>
      <w:r w:rsidRPr="00D1143E">
        <w:rPr>
          <w:rFonts w:cs="Times New Roman"/>
          <w:bCs/>
          <w:szCs w:val="24"/>
        </w:rPr>
        <w:t>Cambios en el acuerdo de concesión que se realicen durante el periodo fiscal</w:t>
      </w:r>
    </w:p>
    <w:p w14:paraId="37852FAB" w14:textId="77777777" w:rsidR="00D1143E" w:rsidRDefault="00D1143E" w:rsidP="000A5389">
      <w:pPr>
        <w:spacing w:line="240" w:lineRule="auto"/>
        <w:rPr>
          <w:rFonts w:cs="Times New Roman"/>
          <w:bCs/>
          <w:szCs w:val="24"/>
        </w:rPr>
      </w:pPr>
    </w:p>
    <w:p w14:paraId="01591A8B" w14:textId="508FCBAB" w:rsidR="003D5DB4" w:rsidRDefault="003D5DB4" w:rsidP="000A5389">
      <w:pPr>
        <w:spacing w:line="240" w:lineRule="auto"/>
        <w:rPr>
          <w:rFonts w:cs="Times New Roman"/>
          <w:bCs/>
          <w:szCs w:val="24"/>
        </w:rPr>
      </w:pPr>
      <w:r w:rsidRPr="002E1B4B">
        <w:rPr>
          <w:rFonts w:cs="Times New Roman"/>
          <w:bCs/>
          <w:szCs w:val="24"/>
        </w:rPr>
        <w:t>Adiciones o modificaciones en tiempo</w:t>
      </w:r>
    </w:p>
    <w:p w14:paraId="55E491F9" w14:textId="77777777" w:rsidR="002E1B4B" w:rsidRPr="002E1B4B" w:rsidRDefault="002E1B4B" w:rsidP="000A5389">
      <w:pPr>
        <w:spacing w:line="240" w:lineRule="auto"/>
        <w:rPr>
          <w:rFonts w:cs="Times New Roman"/>
          <w:bCs/>
          <w:szCs w:val="24"/>
        </w:rPr>
      </w:pPr>
    </w:p>
    <w:p w14:paraId="525C04D6" w14:textId="77777777" w:rsidR="003D5DB4" w:rsidRPr="002E1B4B" w:rsidRDefault="003D5DB4" w:rsidP="000A5389">
      <w:pPr>
        <w:spacing w:line="240" w:lineRule="auto"/>
        <w:rPr>
          <w:rFonts w:cs="Times New Roman"/>
          <w:bCs/>
          <w:szCs w:val="24"/>
        </w:rPr>
      </w:pPr>
      <w:r w:rsidRPr="002E1B4B">
        <w:rPr>
          <w:rFonts w:cs="Times New Roman"/>
          <w:bCs/>
          <w:szCs w:val="24"/>
        </w:rPr>
        <w:lastRenderedPageBreak/>
        <w:t xml:space="preserve">Fechas de las adiciones o modificaciones: No Aplica </w:t>
      </w:r>
    </w:p>
    <w:p w14:paraId="2F326461" w14:textId="77777777" w:rsidR="003D5DB4" w:rsidRPr="002E1B4B" w:rsidRDefault="003D5DB4" w:rsidP="000A5389">
      <w:pPr>
        <w:spacing w:line="240" w:lineRule="auto"/>
        <w:rPr>
          <w:rFonts w:cs="Times New Roman"/>
          <w:bCs/>
          <w:szCs w:val="24"/>
        </w:rPr>
      </w:pPr>
      <w:r w:rsidRPr="002E1B4B">
        <w:rPr>
          <w:rFonts w:cs="Times New Roman"/>
          <w:bCs/>
          <w:szCs w:val="24"/>
        </w:rPr>
        <w:t xml:space="preserve">Nueva Fecha de finalización estimada: No Aplica </w:t>
      </w:r>
    </w:p>
    <w:p w14:paraId="3B41ABFD" w14:textId="77777777" w:rsidR="003D5DB4" w:rsidRPr="002E1B4B" w:rsidRDefault="003D5DB4" w:rsidP="000A5389">
      <w:pPr>
        <w:spacing w:line="240" w:lineRule="auto"/>
        <w:rPr>
          <w:rFonts w:cs="Times New Roman"/>
          <w:bCs/>
          <w:szCs w:val="24"/>
        </w:rPr>
      </w:pPr>
      <w:r w:rsidRPr="002E1B4B">
        <w:rPr>
          <w:rFonts w:cs="Times New Roman"/>
          <w:bCs/>
          <w:szCs w:val="24"/>
        </w:rPr>
        <w:t>Observaciones: No se tiene ninguna observación</w:t>
      </w:r>
    </w:p>
    <w:p w14:paraId="2BEA9995" w14:textId="77777777" w:rsidR="00D1143E" w:rsidRDefault="00D1143E" w:rsidP="000A5389">
      <w:pPr>
        <w:spacing w:line="240" w:lineRule="auto"/>
        <w:rPr>
          <w:rFonts w:cs="Times New Roman"/>
          <w:bCs/>
          <w:szCs w:val="24"/>
        </w:rPr>
      </w:pPr>
    </w:p>
    <w:p w14:paraId="616FDF13" w14:textId="0B829714" w:rsidR="003D5DB4" w:rsidRPr="002E1B4B" w:rsidRDefault="003D5DB4" w:rsidP="000A5389">
      <w:pPr>
        <w:spacing w:line="240" w:lineRule="auto"/>
        <w:rPr>
          <w:rFonts w:cs="Times New Roman"/>
          <w:bCs/>
          <w:szCs w:val="24"/>
        </w:rPr>
      </w:pPr>
      <w:r w:rsidRPr="002E1B4B">
        <w:rPr>
          <w:rFonts w:cs="Times New Roman"/>
          <w:bCs/>
          <w:szCs w:val="24"/>
        </w:rPr>
        <w:t>Adiciones o modificaciones en valor</w:t>
      </w:r>
    </w:p>
    <w:p w14:paraId="1BCDD7C3" w14:textId="77777777" w:rsidR="003D5DB4" w:rsidRPr="002E1B4B" w:rsidRDefault="003D5DB4" w:rsidP="000A5389">
      <w:pPr>
        <w:spacing w:line="240" w:lineRule="auto"/>
        <w:rPr>
          <w:rFonts w:cs="Times New Roman"/>
          <w:bCs/>
          <w:szCs w:val="24"/>
        </w:rPr>
      </w:pPr>
      <w:r w:rsidRPr="002E1B4B">
        <w:rPr>
          <w:rFonts w:cs="Times New Roman"/>
          <w:bCs/>
          <w:szCs w:val="24"/>
        </w:rPr>
        <w:t>Valor de la adición o modificación: No Aplica</w:t>
      </w:r>
    </w:p>
    <w:p w14:paraId="42DB10FB" w14:textId="77777777" w:rsidR="003D5DB4" w:rsidRPr="002E1B4B" w:rsidRDefault="003D5DB4" w:rsidP="000A5389">
      <w:pPr>
        <w:spacing w:line="240" w:lineRule="auto"/>
        <w:rPr>
          <w:rFonts w:cs="Times New Roman"/>
          <w:bCs/>
          <w:szCs w:val="24"/>
        </w:rPr>
      </w:pPr>
      <w:r w:rsidRPr="002E1B4B">
        <w:rPr>
          <w:rFonts w:cs="Times New Roman"/>
          <w:bCs/>
          <w:szCs w:val="24"/>
        </w:rPr>
        <w:t>Nuevo valor del acuerdo: No Aplica</w:t>
      </w:r>
    </w:p>
    <w:p w14:paraId="69274F6A" w14:textId="77777777" w:rsidR="003D5DB4" w:rsidRPr="002E1B4B" w:rsidRDefault="003D5DB4" w:rsidP="000A5389">
      <w:pPr>
        <w:spacing w:line="240" w:lineRule="auto"/>
        <w:rPr>
          <w:rFonts w:cs="Times New Roman"/>
          <w:bCs/>
          <w:szCs w:val="24"/>
        </w:rPr>
      </w:pPr>
      <w:r w:rsidRPr="002E1B4B">
        <w:rPr>
          <w:rFonts w:cs="Times New Roman"/>
          <w:bCs/>
          <w:szCs w:val="24"/>
        </w:rPr>
        <w:t>Observaciones: No se tiene ninguna observación</w:t>
      </w:r>
    </w:p>
    <w:p w14:paraId="241E745E" w14:textId="77777777" w:rsidR="003D5DB4" w:rsidRDefault="003D5DB4" w:rsidP="000A5389">
      <w:pPr>
        <w:spacing w:line="240" w:lineRule="auto"/>
        <w:rPr>
          <w:rFonts w:cs="Times New Roman"/>
          <w:szCs w:val="24"/>
        </w:rPr>
      </w:pPr>
    </w:p>
    <w:p w14:paraId="3F631257" w14:textId="11260DBE" w:rsidR="003D5DB4" w:rsidRPr="002E1B4B" w:rsidRDefault="003D5DB4" w:rsidP="000A5389">
      <w:pPr>
        <w:spacing w:line="240" w:lineRule="auto"/>
        <w:rPr>
          <w:rFonts w:cs="Times New Roman"/>
          <w:i/>
          <w:iCs/>
          <w:szCs w:val="24"/>
        </w:rPr>
      </w:pPr>
      <w:r w:rsidRPr="002E1B4B">
        <w:rPr>
          <w:rFonts w:cs="Times New Roman"/>
          <w:i/>
          <w:iCs/>
          <w:szCs w:val="24"/>
        </w:rPr>
        <w:t>SIBERIA- LA PUNTA - EL VINO - LA VEGA- VILLETA</w:t>
      </w:r>
    </w:p>
    <w:p w14:paraId="6AC28DD3" w14:textId="77777777" w:rsidR="002E1B4B" w:rsidRPr="002E1B4B" w:rsidRDefault="002E1B4B" w:rsidP="000A5389">
      <w:pPr>
        <w:spacing w:line="240" w:lineRule="auto"/>
        <w:rPr>
          <w:rFonts w:cs="Times New Roman"/>
          <w:i/>
          <w:iCs/>
          <w:szCs w:val="24"/>
        </w:rPr>
      </w:pPr>
    </w:p>
    <w:p w14:paraId="56C3656D" w14:textId="77777777" w:rsidR="003D5DB4" w:rsidRDefault="003D5DB4" w:rsidP="00D1143E">
      <w:pPr>
        <w:spacing w:line="240" w:lineRule="auto"/>
        <w:rPr>
          <w:rFonts w:cs="Times New Roman"/>
          <w:szCs w:val="24"/>
        </w:rPr>
      </w:pPr>
      <w:r w:rsidRPr="00D1143E">
        <w:rPr>
          <w:rFonts w:cs="Times New Roman"/>
          <w:szCs w:val="24"/>
        </w:rPr>
        <w:t>Descripción del Acuerdo</w:t>
      </w:r>
    </w:p>
    <w:p w14:paraId="44C8A95C" w14:textId="77777777" w:rsidR="00D1143E" w:rsidRPr="00D1143E" w:rsidRDefault="00D1143E" w:rsidP="00D1143E">
      <w:pPr>
        <w:spacing w:line="240" w:lineRule="auto"/>
        <w:rPr>
          <w:rFonts w:cs="Times New Roman"/>
          <w:szCs w:val="24"/>
        </w:rPr>
      </w:pPr>
    </w:p>
    <w:p w14:paraId="2116EDED" w14:textId="77777777" w:rsidR="003D5DB4" w:rsidRPr="002E1B4B" w:rsidRDefault="003D5DB4" w:rsidP="000A5389">
      <w:pPr>
        <w:spacing w:line="240" w:lineRule="auto"/>
        <w:rPr>
          <w:rFonts w:cs="Times New Roman"/>
          <w:szCs w:val="24"/>
        </w:rPr>
      </w:pPr>
      <w:r w:rsidRPr="002E1B4B">
        <w:rPr>
          <w:rFonts w:cs="Times New Roman"/>
          <w:szCs w:val="24"/>
        </w:rPr>
        <w:t>Número del Acuerdo de concesión:  CONTRATO DE CONCESION No 447 DE 1994</w:t>
      </w:r>
    </w:p>
    <w:p w14:paraId="07B26316" w14:textId="77777777" w:rsidR="003D5DB4" w:rsidRDefault="003D5DB4" w:rsidP="000A5389">
      <w:pPr>
        <w:spacing w:line="240" w:lineRule="auto"/>
        <w:rPr>
          <w:rFonts w:cs="Times New Roman"/>
          <w:szCs w:val="24"/>
        </w:rPr>
      </w:pPr>
      <w:r w:rsidRPr="002E1B4B">
        <w:rPr>
          <w:rFonts w:cs="Times New Roman"/>
          <w:szCs w:val="24"/>
        </w:rPr>
        <w:t>Objeto / Descripción: “EL CONCESIONARIO se obliga a ejecutar por el sistema de concesión, según lo establecido por el artículo 32, numeral 4o. de la Ley 80 de 1993, los estudios, diseños definitivos, las obras de rehabilitación, de construcción, la operación y el mantenimiento de la carretera Santafé de Bogotá (Puente El Cortijo) -. Siberia- La Punta -El Vino, del tramo de carretera Santafé de Bogotá – La Vega, ruta 54, en el Departamento de Cundinamarca</w:t>
      </w:r>
    </w:p>
    <w:p w14:paraId="40DC07CD" w14:textId="77777777" w:rsidR="002E1B4B" w:rsidRPr="002E1B4B" w:rsidRDefault="002E1B4B" w:rsidP="000A5389">
      <w:pPr>
        <w:spacing w:line="240" w:lineRule="auto"/>
        <w:rPr>
          <w:rFonts w:cs="Times New Roman"/>
          <w:szCs w:val="24"/>
        </w:rPr>
      </w:pPr>
    </w:p>
    <w:p w14:paraId="618FE921" w14:textId="77777777" w:rsidR="003D5DB4" w:rsidRDefault="003D5DB4" w:rsidP="000A5389">
      <w:pPr>
        <w:spacing w:line="240" w:lineRule="auto"/>
        <w:rPr>
          <w:rFonts w:cs="Times New Roman"/>
          <w:szCs w:val="24"/>
        </w:rPr>
      </w:pPr>
      <w:r w:rsidRPr="002E1B4B">
        <w:rPr>
          <w:rFonts w:cs="Times New Roman"/>
          <w:szCs w:val="24"/>
        </w:rPr>
        <w:t>Valor inicial:</w:t>
      </w:r>
      <w:r w:rsidRPr="002E1B4B">
        <w:rPr>
          <w:rFonts w:cs="Times New Roman"/>
          <w:szCs w:val="24"/>
        </w:rPr>
        <w:tab/>
        <w:t>De acuerdo con la Cláusula Cuarta del contrato, el valor es de $25.633.440.000 a precios de la fecha de invitación a presentar oferta para la negociación directa (junio de 1994).</w:t>
      </w:r>
    </w:p>
    <w:p w14:paraId="23C3B579" w14:textId="77777777" w:rsidR="00D1143E" w:rsidRPr="002E1B4B" w:rsidRDefault="00D1143E" w:rsidP="000A5389">
      <w:pPr>
        <w:spacing w:line="240" w:lineRule="auto"/>
        <w:rPr>
          <w:rFonts w:cs="Times New Roman"/>
          <w:szCs w:val="24"/>
        </w:rPr>
      </w:pPr>
    </w:p>
    <w:p w14:paraId="68EF8249" w14:textId="77777777" w:rsidR="003D5DB4" w:rsidRPr="002E1B4B" w:rsidRDefault="003D5DB4" w:rsidP="000A5389">
      <w:pPr>
        <w:spacing w:line="240" w:lineRule="auto"/>
        <w:rPr>
          <w:rFonts w:cs="Times New Roman"/>
          <w:szCs w:val="24"/>
        </w:rPr>
      </w:pPr>
      <w:r w:rsidRPr="002E1B4B">
        <w:rPr>
          <w:rFonts w:cs="Times New Roman"/>
          <w:szCs w:val="24"/>
        </w:rPr>
        <w:t>Fecha de inicio: 02 de agosto de 1994</w:t>
      </w:r>
    </w:p>
    <w:p w14:paraId="4766088E" w14:textId="77777777" w:rsidR="003D5DB4" w:rsidRPr="002E1B4B" w:rsidRDefault="003D5DB4" w:rsidP="000A5389">
      <w:pPr>
        <w:spacing w:line="240" w:lineRule="auto"/>
        <w:rPr>
          <w:rFonts w:cs="Times New Roman"/>
          <w:szCs w:val="24"/>
        </w:rPr>
      </w:pPr>
      <w:r w:rsidRPr="002E1B4B">
        <w:rPr>
          <w:rFonts w:cs="Times New Roman"/>
          <w:szCs w:val="24"/>
        </w:rPr>
        <w:t>Fecha de finalización estimada: El plazo para la ejecución de las etapas del contrato es de ciento noventa (190) meses, estimado inicialmente para junio de 2010. Con el Anexo Técnico Financiero Modificado se estableció un plazo máximo para alcanzar la TIR del modelo financiero contractual de 26 años</w:t>
      </w:r>
    </w:p>
    <w:p w14:paraId="306307DA" w14:textId="77777777" w:rsidR="003D5DB4" w:rsidRPr="002E1B4B" w:rsidRDefault="003D5DB4" w:rsidP="000A5389">
      <w:pPr>
        <w:spacing w:line="240" w:lineRule="auto"/>
        <w:rPr>
          <w:rFonts w:cs="Times New Roman"/>
          <w:szCs w:val="24"/>
        </w:rPr>
      </w:pPr>
      <w:r w:rsidRPr="002E1B4B">
        <w:rPr>
          <w:rFonts w:cs="Times New Roman"/>
          <w:szCs w:val="24"/>
        </w:rPr>
        <w:t>Tipo ID: NIT</w:t>
      </w:r>
    </w:p>
    <w:p w14:paraId="62310EFC" w14:textId="77777777" w:rsidR="003D5DB4" w:rsidRPr="002E1B4B" w:rsidRDefault="003D5DB4" w:rsidP="000A5389">
      <w:pPr>
        <w:spacing w:line="240" w:lineRule="auto"/>
        <w:rPr>
          <w:rFonts w:cs="Times New Roman"/>
          <w:szCs w:val="24"/>
        </w:rPr>
      </w:pPr>
      <w:r w:rsidRPr="002E1B4B">
        <w:rPr>
          <w:rFonts w:cs="Times New Roman"/>
          <w:szCs w:val="24"/>
        </w:rPr>
        <w:t>Número ID: 800.235.280-7</w:t>
      </w:r>
    </w:p>
    <w:p w14:paraId="0F18BCC1" w14:textId="77777777" w:rsidR="003D5DB4" w:rsidRPr="002E1B4B" w:rsidRDefault="003D5DB4" w:rsidP="000A5389">
      <w:pPr>
        <w:spacing w:line="240" w:lineRule="auto"/>
        <w:rPr>
          <w:rFonts w:cs="Times New Roman"/>
          <w:szCs w:val="24"/>
        </w:rPr>
      </w:pPr>
      <w:r w:rsidRPr="002E1B4B">
        <w:rPr>
          <w:rFonts w:cs="Times New Roman"/>
          <w:szCs w:val="24"/>
        </w:rPr>
        <w:t>Razón social del concesionario: CONCESION SABANA DE OCCIDENTE S.A.S</w:t>
      </w:r>
    </w:p>
    <w:p w14:paraId="430DFE79" w14:textId="77777777" w:rsidR="003D5DB4" w:rsidRPr="002E1B4B" w:rsidRDefault="003D5DB4" w:rsidP="000A5389">
      <w:pPr>
        <w:spacing w:line="240" w:lineRule="auto"/>
        <w:rPr>
          <w:rFonts w:cs="Times New Roman"/>
          <w:szCs w:val="24"/>
        </w:rPr>
      </w:pPr>
      <w:r w:rsidRPr="002E1B4B">
        <w:rPr>
          <w:rFonts w:cs="Times New Roman"/>
          <w:szCs w:val="24"/>
        </w:rPr>
        <w:t>Nombre del proyecto: SANTAFE DE BOGOTA (PUENTE EL CORTIJO) - SIBERIA- LA PUNTA - EL VINO - LA VEGA- VILLETA</w:t>
      </w:r>
    </w:p>
    <w:p w14:paraId="0C7BB6C5" w14:textId="77777777" w:rsidR="00F91855" w:rsidRPr="002E1B4B" w:rsidRDefault="00F91855" w:rsidP="000A5389">
      <w:pPr>
        <w:spacing w:line="240" w:lineRule="auto"/>
        <w:rPr>
          <w:rFonts w:cs="Times New Roman"/>
          <w:szCs w:val="24"/>
        </w:rPr>
      </w:pPr>
    </w:p>
    <w:p w14:paraId="0AE830F1" w14:textId="77777777" w:rsidR="003D5DB4" w:rsidRPr="00D1143E" w:rsidRDefault="003D5DB4" w:rsidP="00D1143E">
      <w:pPr>
        <w:spacing w:line="240" w:lineRule="auto"/>
        <w:rPr>
          <w:rFonts w:cs="Times New Roman"/>
          <w:szCs w:val="24"/>
        </w:rPr>
      </w:pPr>
      <w:r w:rsidRPr="00D1143E">
        <w:rPr>
          <w:rFonts w:cs="Times New Roman"/>
          <w:szCs w:val="24"/>
        </w:rPr>
        <w:t>Términos significativos del Acuerdo que puedan afectar su valor, el calendario y la certeza de los flujos de efectivo futuros</w:t>
      </w:r>
    </w:p>
    <w:p w14:paraId="2CD09659" w14:textId="77777777" w:rsidR="00F91855" w:rsidRPr="00F91855" w:rsidRDefault="00F91855" w:rsidP="00F91855">
      <w:pPr>
        <w:pStyle w:val="Prrafodelista"/>
        <w:spacing w:line="240" w:lineRule="auto"/>
        <w:ind w:left="284"/>
        <w:rPr>
          <w:rFonts w:cs="Times New Roman"/>
          <w:szCs w:val="24"/>
        </w:rPr>
      </w:pPr>
    </w:p>
    <w:p w14:paraId="08AA3DE2" w14:textId="77777777" w:rsidR="003D5DB4" w:rsidRDefault="003D5DB4" w:rsidP="000A5389">
      <w:pPr>
        <w:spacing w:line="240" w:lineRule="auto"/>
        <w:rPr>
          <w:rFonts w:cs="Times New Roman"/>
          <w:szCs w:val="24"/>
        </w:rPr>
      </w:pPr>
      <w:r w:rsidRPr="00F91855">
        <w:rPr>
          <w:rFonts w:cs="Times New Roman"/>
          <w:szCs w:val="24"/>
        </w:rPr>
        <w:t>Términos de valor: La</w:t>
      </w:r>
      <w:r w:rsidRPr="000D0101">
        <w:rPr>
          <w:rFonts w:cs="Times New Roman"/>
          <w:szCs w:val="24"/>
        </w:rPr>
        <w:t xml:space="preserve"> principal fuente de efectivo del proyecto proviene del recaudo de las Estaciones de Peaje y este flujo está compuesto por dos factores: a) por el valor de las tarifas; y b) por el tráfico de vehículos.</w:t>
      </w:r>
    </w:p>
    <w:p w14:paraId="6B0FB691" w14:textId="77777777" w:rsidR="00F91855" w:rsidRPr="000D0101" w:rsidRDefault="00F91855" w:rsidP="000A5389">
      <w:pPr>
        <w:spacing w:line="240" w:lineRule="auto"/>
        <w:rPr>
          <w:rFonts w:cs="Times New Roman"/>
          <w:szCs w:val="24"/>
        </w:rPr>
      </w:pPr>
    </w:p>
    <w:p w14:paraId="0614C0A6" w14:textId="77777777" w:rsidR="003D5DB4" w:rsidRDefault="003D5DB4" w:rsidP="000A5389">
      <w:pPr>
        <w:spacing w:line="240" w:lineRule="auto"/>
        <w:rPr>
          <w:rFonts w:cs="Times New Roman"/>
          <w:szCs w:val="24"/>
        </w:rPr>
      </w:pPr>
      <w:r w:rsidRPr="000D0101">
        <w:rPr>
          <w:rFonts w:cs="Times New Roman"/>
          <w:szCs w:val="24"/>
        </w:rPr>
        <w:lastRenderedPageBreak/>
        <w:t>La Concesión SANTAFE DE BOGOTA (PUENTE EL CORTIJO) - SIBERIA- LA PUNTA - EL VINO - LA VEGA- VILLETA contempla dos (2) estaciones de Peaje: 1) Siberia y 2) Caiquero.</w:t>
      </w:r>
    </w:p>
    <w:p w14:paraId="561EFC4B" w14:textId="77777777" w:rsidR="001B234E" w:rsidRPr="000D0101" w:rsidRDefault="001B234E" w:rsidP="000A5389">
      <w:pPr>
        <w:spacing w:line="240" w:lineRule="auto"/>
        <w:rPr>
          <w:rFonts w:cs="Times New Roman"/>
          <w:szCs w:val="24"/>
        </w:rPr>
      </w:pPr>
    </w:p>
    <w:p w14:paraId="652F66F6" w14:textId="77777777" w:rsidR="003D5DB4" w:rsidRDefault="003D5DB4" w:rsidP="000A5389">
      <w:pPr>
        <w:spacing w:line="240" w:lineRule="auto"/>
        <w:rPr>
          <w:rFonts w:cs="Times New Roman"/>
          <w:szCs w:val="24"/>
        </w:rPr>
      </w:pPr>
      <w:r w:rsidRPr="000D0101">
        <w:rPr>
          <w:rFonts w:cs="Times New Roman"/>
          <w:szCs w:val="24"/>
        </w:rPr>
        <w:t>Fijación de tarifas: La Cláusula Quinta del Contrato, establece la estructura tarifaria, la cual tiene como fecha máxima de actualización el 16 de enero de cada año. Las tarifas de peaje se actualizarán para iniciar el cobro, con el porcentaje de la variación del IPC entre la fecha de invitación a presentar oferta y la fecha de suscripción del acta de iniciación del recaudo de peaje. Ajuste del valor de las tarifas: El valor de las tarifas se mantendrá en Valor Constante y se ajustará de acuerdo con el Índice de Precios al Consumidor, establecido por el Departamento Nacional de -Estadística - DANE, conforme al siguiente procedimiento:</w:t>
      </w:r>
    </w:p>
    <w:p w14:paraId="09E7C5AA" w14:textId="77777777" w:rsidR="001B234E" w:rsidRPr="000D0101" w:rsidRDefault="001B234E" w:rsidP="000A5389">
      <w:pPr>
        <w:spacing w:line="240" w:lineRule="auto"/>
        <w:rPr>
          <w:rFonts w:cs="Times New Roman"/>
          <w:szCs w:val="24"/>
        </w:rPr>
      </w:pPr>
    </w:p>
    <w:p w14:paraId="343B90AE" w14:textId="77777777" w:rsidR="001B234E" w:rsidRDefault="003D5DB4" w:rsidP="00D763F7">
      <w:pPr>
        <w:pStyle w:val="Prrafodelista"/>
        <w:numPr>
          <w:ilvl w:val="1"/>
          <w:numId w:val="75"/>
        </w:numPr>
        <w:spacing w:line="240" w:lineRule="auto"/>
        <w:rPr>
          <w:rFonts w:cs="Times New Roman"/>
          <w:szCs w:val="24"/>
        </w:rPr>
      </w:pPr>
      <w:r w:rsidRPr="001B234E">
        <w:rPr>
          <w:rFonts w:cs="Times New Roman"/>
          <w:szCs w:val="24"/>
        </w:rPr>
        <w:t>Ajuste de tarifas con el porcentaje de variación del IPC, cuando dicho índice supere el diez por ciento (10%) del que prevalecía en la fecha en que se inició el cobro del peaje o en la fecha en que se autorizó el último ajuste (para este año, sep/25).</w:t>
      </w:r>
    </w:p>
    <w:p w14:paraId="2B91AC1A" w14:textId="77777777" w:rsidR="001B234E" w:rsidRDefault="001B234E" w:rsidP="001B234E">
      <w:pPr>
        <w:pStyle w:val="Prrafodelista"/>
        <w:spacing w:line="240" w:lineRule="auto"/>
        <w:ind w:left="1440"/>
        <w:rPr>
          <w:rFonts w:cs="Times New Roman"/>
          <w:szCs w:val="24"/>
        </w:rPr>
      </w:pPr>
    </w:p>
    <w:p w14:paraId="6979E0EA" w14:textId="2E0295DA" w:rsidR="003D5DB4" w:rsidRPr="001B234E" w:rsidRDefault="003D5DB4" w:rsidP="00D763F7">
      <w:pPr>
        <w:pStyle w:val="Prrafodelista"/>
        <w:numPr>
          <w:ilvl w:val="1"/>
          <w:numId w:val="75"/>
        </w:numPr>
        <w:spacing w:line="240" w:lineRule="auto"/>
        <w:rPr>
          <w:rFonts w:cs="Times New Roman"/>
          <w:szCs w:val="24"/>
        </w:rPr>
      </w:pPr>
      <w:r w:rsidRPr="001B234E">
        <w:rPr>
          <w:rFonts w:cs="Times New Roman"/>
          <w:szCs w:val="24"/>
        </w:rPr>
        <w:t>b) En el evento que el IPC se incremente en los doce (12) meses siguientes al último aumento de tarifas de peaje en una tasa inferior a la acordada para el incremento periódico de tarifas, estas se reajustaran, en ese término con el incremento del IPC en los doce (12) meses ocurridos desde el último aumento.</w:t>
      </w:r>
    </w:p>
    <w:p w14:paraId="0164B6E3" w14:textId="77777777" w:rsidR="001B234E" w:rsidRDefault="001B234E" w:rsidP="000A5389">
      <w:pPr>
        <w:spacing w:line="240" w:lineRule="auto"/>
        <w:rPr>
          <w:rFonts w:cs="Times New Roman"/>
          <w:szCs w:val="24"/>
        </w:rPr>
      </w:pPr>
    </w:p>
    <w:p w14:paraId="03B6526B" w14:textId="0E8437FE" w:rsidR="003D5DB4" w:rsidRDefault="003D5DB4" w:rsidP="000A5389">
      <w:pPr>
        <w:spacing w:line="240" w:lineRule="auto"/>
        <w:rPr>
          <w:rFonts w:cs="Times New Roman"/>
          <w:szCs w:val="24"/>
        </w:rPr>
      </w:pPr>
      <w:r w:rsidRPr="000D0101">
        <w:rPr>
          <w:rFonts w:cs="Times New Roman"/>
          <w:szCs w:val="24"/>
        </w:rPr>
        <w:t>Con la aplicación de esta metodología, el último incremento de tarifas se realizó en septiembre 2025.</w:t>
      </w:r>
    </w:p>
    <w:p w14:paraId="05D2C38D" w14:textId="77777777" w:rsidR="00D1143E" w:rsidRPr="000D0101" w:rsidRDefault="00D1143E" w:rsidP="000A5389">
      <w:pPr>
        <w:spacing w:line="240" w:lineRule="auto"/>
        <w:rPr>
          <w:rFonts w:cs="Times New Roman"/>
          <w:szCs w:val="24"/>
        </w:rPr>
      </w:pPr>
    </w:p>
    <w:p w14:paraId="04848B72" w14:textId="77777777" w:rsidR="003D5DB4" w:rsidRDefault="003D5DB4" w:rsidP="000A5389">
      <w:pPr>
        <w:spacing w:line="240" w:lineRule="auto"/>
        <w:rPr>
          <w:rFonts w:cs="Times New Roman"/>
          <w:szCs w:val="24"/>
        </w:rPr>
      </w:pPr>
      <w:r w:rsidRPr="000D0101">
        <w:rPr>
          <w:rFonts w:cs="Times New Roman"/>
          <w:szCs w:val="24"/>
        </w:rPr>
        <w:t>Ajuste del valor del FOSEVI: El valor de la tasa FOSEVI inició en $200, los cuales se suman a la tarifa contractual y se redondea a la centena. En 2024 se expidió resolución que aumentaba la tasa a $500 y posteriormente se indexa con el IPC año calendario. Con el incremento de septiembre 2025, el Concesionario aduce que no es responsable de asumir los $26 adicionales a la centena de la tasa de FSV. Tema en revisión.</w:t>
      </w:r>
    </w:p>
    <w:p w14:paraId="19263BFA" w14:textId="77777777" w:rsidR="00F91855" w:rsidRPr="000D0101" w:rsidRDefault="00F91855" w:rsidP="000A5389">
      <w:pPr>
        <w:spacing w:line="240" w:lineRule="auto"/>
        <w:rPr>
          <w:rFonts w:cs="Times New Roman"/>
          <w:szCs w:val="24"/>
        </w:rPr>
      </w:pPr>
    </w:p>
    <w:p w14:paraId="6BE64D35" w14:textId="77777777" w:rsidR="003D5DB4" w:rsidRDefault="003D5DB4" w:rsidP="000A5389">
      <w:pPr>
        <w:spacing w:line="240" w:lineRule="auto"/>
        <w:rPr>
          <w:rFonts w:cs="Times New Roman"/>
          <w:szCs w:val="24"/>
        </w:rPr>
      </w:pPr>
      <w:r w:rsidRPr="00F91855">
        <w:rPr>
          <w:rFonts w:cs="Times New Roman"/>
          <w:szCs w:val="24"/>
        </w:rPr>
        <w:t>Términos de calendario</w:t>
      </w:r>
      <w:r w:rsidRPr="000D0101">
        <w:rPr>
          <w:rFonts w:cs="Times New Roman"/>
          <w:b/>
          <w:bCs/>
          <w:szCs w:val="24"/>
        </w:rPr>
        <w:t xml:space="preserve">: </w:t>
      </w:r>
      <w:r w:rsidRPr="000D0101">
        <w:rPr>
          <w:rFonts w:cs="Times New Roman"/>
          <w:szCs w:val="24"/>
        </w:rPr>
        <w:t>El Anexo Técnico Financiero estableció un plazo máximo para alcanzar la TIR del modelo financiero contractual, en 26 años (16-feb-2034), se llegue a esta TIR o no. En caso de obtenerla antes de dicha fecha, el contrato finaliza y Concesionario comenzará el proceso de reversión.</w:t>
      </w:r>
    </w:p>
    <w:p w14:paraId="0DE5F688" w14:textId="77777777" w:rsidR="00F91855" w:rsidRPr="000D0101" w:rsidRDefault="00F91855" w:rsidP="000A5389">
      <w:pPr>
        <w:spacing w:line="240" w:lineRule="auto"/>
        <w:rPr>
          <w:rFonts w:cs="Times New Roman"/>
          <w:szCs w:val="24"/>
        </w:rPr>
      </w:pPr>
    </w:p>
    <w:p w14:paraId="7D2CDE50" w14:textId="77777777" w:rsidR="003D5DB4" w:rsidRPr="00F91855" w:rsidRDefault="003D5DB4" w:rsidP="000A5389">
      <w:pPr>
        <w:spacing w:line="240" w:lineRule="auto"/>
        <w:rPr>
          <w:rFonts w:cs="Times New Roman"/>
          <w:szCs w:val="24"/>
        </w:rPr>
      </w:pPr>
      <w:r w:rsidRPr="00F91855">
        <w:rPr>
          <w:rFonts w:cs="Times New Roman"/>
          <w:szCs w:val="24"/>
        </w:rPr>
        <w:t>Términos de certeza de flujos de efectivo futuros: De acuerdo con el anexo técnico financiero, se modificó la forma de retribución al concesionario, actualmente se cuenta con ingreso esperado con modelo financiero contractual el cual tiene como TIR el 12.26% EA.</w:t>
      </w:r>
    </w:p>
    <w:p w14:paraId="3F4125AB" w14:textId="77777777" w:rsidR="00F91855" w:rsidRPr="00F91855" w:rsidRDefault="00F91855" w:rsidP="000A5389">
      <w:pPr>
        <w:spacing w:line="240" w:lineRule="auto"/>
        <w:rPr>
          <w:rFonts w:cs="Times New Roman"/>
          <w:szCs w:val="24"/>
        </w:rPr>
      </w:pPr>
    </w:p>
    <w:p w14:paraId="3D59B134" w14:textId="77777777" w:rsidR="003D5DB4" w:rsidRPr="00D1143E" w:rsidRDefault="003D5DB4" w:rsidP="00D1143E">
      <w:pPr>
        <w:spacing w:line="240" w:lineRule="auto"/>
        <w:rPr>
          <w:rFonts w:cs="Times New Roman"/>
          <w:szCs w:val="24"/>
        </w:rPr>
      </w:pPr>
      <w:r w:rsidRPr="00D1143E">
        <w:rPr>
          <w:rFonts w:cs="Times New Roman"/>
          <w:szCs w:val="24"/>
        </w:rPr>
        <w:t>Naturaleza y alcance del derecho a utilizar Activos y los aspectos pactados en torno a lo que se espera que el concesionario proporcione en relación con el Acuerdo de concesión</w:t>
      </w:r>
    </w:p>
    <w:p w14:paraId="24CBCF5A" w14:textId="77777777" w:rsidR="00F91855" w:rsidRDefault="00F91855" w:rsidP="000A5389">
      <w:pPr>
        <w:spacing w:line="240" w:lineRule="auto"/>
        <w:rPr>
          <w:rFonts w:cs="Times New Roman"/>
          <w:b/>
          <w:bCs/>
          <w:szCs w:val="24"/>
        </w:rPr>
      </w:pPr>
    </w:p>
    <w:p w14:paraId="34EFE165" w14:textId="7BAC8734" w:rsidR="003D5DB4" w:rsidRPr="00F91855" w:rsidRDefault="003D5DB4" w:rsidP="000A5389">
      <w:pPr>
        <w:spacing w:line="240" w:lineRule="auto"/>
        <w:rPr>
          <w:rFonts w:cs="Times New Roman"/>
          <w:szCs w:val="24"/>
        </w:rPr>
      </w:pPr>
      <w:r w:rsidRPr="00F91855">
        <w:rPr>
          <w:rFonts w:cs="Times New Roman"/>
          <w:szCs w:val="24"/>
        </w:rPr>
        <w:t>Naturaleza y alcance del derecho de uso de los Activos</w:t>
      </w:r>
    </w:p>
    <w:p w14:paraId="6BA25948" w14:textId="77777777" w:rsidR="00F91855" w:rsidRDefault="00F91855" w:rsidP="000A5389">
      <w:pPr>
        <w:spacing w:line="240" w:lineRule="auto"/>
        <w:rPr>
          <w:rFonts w:cs="Times New Roman"/>
          <w:b/>
          <w:bCs/>
          <w:szCs w:val="24"/>
        </w:rPr>
      </w:pPr>
    </w:p>
    <w:p w14:paraId="71A6C0CC" w14:textId="02265FD7" w:rsidR="003D5DB4" w:rsidRDefault="003D5DB4" w:rsidP="000A5389">
      <w:pPr>
        <w:spacing w:line="240" w:lineRule="auto"/>
        <w:rPr>
          <w:rFonts w:cs="Times New Roman"/>
          <w:szCs w:val="24"/>
        </w:rPr>
      </w:pPr>
      <w:r w:rsidRPr="00F91855">
        <w:rPr>
          <w:rFonts w:cs="Times New Roman"/>
          <w:szCs w:val="24"/>
        </w:rPr>
        <w:t>Descripción: Para</w:t>
      </w:r>
      <w:r w:rsidRPr="000D0101">
        <w:rPr>
          <w:rFonts w:cs="Times New Roman"/>
          <w:szCs w:val="24"/>
        </w:rPr>
        <w:t xml:space="preserve"> el proceso de diseño, construcción y operación el corredor vialconcesionado se dividió en los siguientes sectores:</w:t>
      </w:r>
    </w:p>
    <w:p w14:paraId="2520A31B" w14:textId="77777777" w:rsidR="001B234E" w:rsidRPr="000D0101" w:rsidRDefault="001B234E" w:rsidP="000A5389">
      <w:pPr>
        <w:spacing w:line="240" w:lineRule="auto"/>
        <w:rPr>
          <w:rFonts w:cs="Times New Roman"/>
          <w:szCs w:val="24"/>
        </w:rPr>
      </w:pPr>
    </w:p>
    <w:p w14:paraId="253F3B89" w14:textId="77777777" w:rsidR="003D5DB4" w:rsidRPr="000D0101" w:rsidRDefault="003D5DB4" w:rsidP="000A5389">
      <w:pPr>
        <w:spacing w:line="240" w:lineRule="auto"/>
        <w:rPr>
          <w:rFonts w:cs="Times New Roman"/>
          <w:szCs w:val="24"/>
        </w:rPr>
      </w:pPr>
      <w:r w:rsidRPr="000D0101">
        <w:rPr>
          <w:rFonts w:cs="Times New Roman"/>
          <w:szCs w:val="24"/>
        </w:rPr>
        <w:t>• Tramo 7: Bogotá – Puente Piedra. K0+000 al K15+000</w:t>
      </w:r>
    </w:p>
    <w:p w14:paraId="05DBC021" w14:textId="77777777" w:rsidR="003D5DB4" w:rsidRPr="000D0101" w:rsidRDefault="003D5DB4" w:rsidP="000A5389">
      <w:pPr>
        <w:spacing w:line="240" w:lineRule="auto"/>
        <w:rPr>
          <w:rFonts w:cs="Times New Roman"/>
          <w:szCs w:val="24"/>
        </w:rPr>
      </w:pPr>
      <w:r w:rsidRPr="000D0101">
        <w:rPr>
          <w:rFonts w:cs="Times New Roman"/>
          <w:szCs w:val="24"/>
        </w:rPr>
        <w:t>• Tramo 6: Puente Piedra – El Rosal K15+000 al K22+200</w:t>
      </w:r>
    </w:p>
    <w:p w14:paraId="5A665ECB" w14:textId="77777777" w:rsidR="003D5DB4" w:rsidRPr="000D0101" w:rsidRDefault="003D5DB4" w:rsidP="000A5389">
      <w:pPr>
        <w:spacing w:line="240" w:lineRule="auto"/>
        <w:rPr>
          <w:rFonts w:cs="Times New Roman"/>
          <w:szCs w:val="24"/>
        </w:rPr>
      </w:pPr>
      <w:r w:rsidRPr="000D0101">
        <w:rPr>
          <w:rFonts w:cs="Times New Roman"/>
          <w:szCs w:val="24"/>
        </w:rPr>
        <w:t>• Tramo 5: El Rosal – El Vino K22+200 al K31+200</w:t>
      </w:r>
    </w:p>
    <w:p w14:paraId="244F836A" w14:textId="77777777" w:rsidR="003D5DB4" w:rsidRPr="000D0101" w:rsidRDefault="003D5DB4" w:rsidP="000A5389">
      <w:pPr>
        <w:spacing w:line="240" w:lineRule="auto"/>
        <w:rPr>
          <w:rFonts w:cs="Times New Roman"/>
          <w:szCs w:val="24"/>
        </w:rPr>
      </w:pPr>
      <w:r w:rsidRPr="000D0101">
        <w:rPr>
          <w:rFonts w:cs="Times New Roman"/>
          <w:szCs w:val="24"/>
        </w:rPr>
        <w:t>• Tramo 4: El Vino – El Chuscal. K31+200 al K37+900</w:t>
      </w:r>
    </w:p>
    <w:p w14:paraId="1971420B" w14:textId="77777777" w:rsidR="003D5DB4" w:rsidRPr="000D0101" w:rsidRDefault="003D5DB4" w:rsidP="000A5389">
      <w:pPr>
        <w:spacing w:line="240" w:lineRule="auto"/>
        <w:rPr>
          <w:rFonts w:cs="Times New Roman"/>
          <w:szCs w:val="24"/>
        </w:rPr>
      </w:pPr>
      <w:r w:rsidRPr="000D0101">
        <w:rPr>
          <w:rFonts w:cs="Times New Roman"/>
          <w:szCs w:val="24"/>
        </w:rPr>
        <w:t>• Tramo 3: El Chuscal – La Vega K37+900 al K56+700</w:t>
      </w:r>
    </w:p>
    <w:p w14:paraId="28FF4CE1" w14:textId="77777777" w:rsidR="003D5DB4" w:rsidRPr="000D0101" w:rsidRDefault="003D5DB4" w:rsidP="000A5389">
      <w:pPr>
        <w:spacing w:line="240" w:lineRule="auto"/>
        <w:rPr>
          <w:rFonts w:cs="Times New Roman"/>
          <w:szCs w:val="24"/>
        </w:rPr>
      </w:pPr>
      <w:r w:rsidRPr="000D0101">
        <w:rPr>
          <w:rFonts w:cs="Times New Roman"/>
          <w:szCs w:val="24"/>
        </w:rPr>
        <w:t>• Tramo 2: La Vega – Cruce a Utica K56+700 al K78+750</w:t>
      </w:r>
    </w:p>
    <w:p w14:paraId="65352602" w14:textId="77777777" w:rsidR="003D5DB4" w:rsidRPr="000D0101" w:rsidRDefault="003D5DB4" w:rsidP="000A5389">
      <w:pPr>
        <w:spacing w:line="240" w:lineRule="auto"/>
        <w:rPr>
          <w:rFonts w:cs="Times New Roman"/>
          <w:szCs w:val="24"/>
        </w:rPr>
      </w:pPr>
      <w:r w:rsidRPr="000D0101">
        <w:rPr>
          <w:rFonts w:cs="Times New Roman"/>
          <w:szCs w:val="24"/>
        </w:rPr>
        <w:t>• Tramo 1: Cruce a Utica – Intercambiador Villeta – Guaduas K78+750 al K81+626</w:t>
      </w:r>
    </w:p>
    <w:p w14:paraId="43000580" w14:textId="77777777" w:rsidR="003D5DB4" w:rsidRPr="000D0101" w:rsidRDefault="003D5DB4" w:rsidP="000A5389">
      <w:pPr>
        <w:spacing w:line="240" w:lineRule="auto"/>
        <w:rPr>
          <w:rFonts w:cs="Times New Roman"/>
          <w:szCs w:val="24"/>
        </w:rPr>
      </w:pPr>
      <w:r w:rsidRPr="000D0101">
        <w:rPr>
          <w:rFonts w:cs="Times New Roman"/>
          <w:szCs w:val="24"/>
        </w:rPr>
        <w:t>Traslados al concesionario constitutivos de ingreso</w:t>
      </w:r>
    </w:p>
    <w:p w14:paraId="4735F2B3" w14:textId="77777777" w:rsidR="00F91855" w:rsidRDefault="00F91855" w:rsidP="000A5389">
      <w:pPr>
        <w:spacing w:line="240" w:lineRule="auto"/>
        <w:rPr>
          <w:rFonts w:cs="Times New Roman"/>
          <w:b/>
          <w:bCs/>
          <w:szCs w:val="24"/>
        </w:rPr>
      </w:pPr>
    </w:p>
    <w:p w14:paraId="72DFD31E" w14:textId="2EC49933" w:rsidR="003D5DB4" w:rsidRPr="00550B4B" w:rsidRDefault="003D5DB4" w:rsidP="000A5389">
      <w:pPr>
        <w:spacing w:line="240" w:lineRule="auto"/>
        <w:rPr>
          <w:rFonts w:cs="Times New Roman"/>
          <w:szCs w:val="24"/>
        </w:rPr>
      </w:pPr>
      <w:r w:rsidRPr="00F91855">
        <w:rPr>
          <w:rFonts w:cs="Times New Roman"/>
          <w:szCs w:val="24"/>
        </w:rPr>
        <w:t>Observaciones:</w:t>
      </w:r>
      <w:r w:rsidRPr="000D0101">
        <w:rPr>
          <w:rFonts w:cs="Times New Roman"/>
          <w:szCs w:val="24"/>
        </w:rPr>
        <w:t xml:space="preserve"> A cierre de la vigencia 2025 se encuentra activa una demanda en contra de la Agencia Nacional de Infraestructura interpuesta por el Concesionario, con el fin de que se reconozca el CAPEX real ejecutado. En caso de que se acepte la posición de la ANI, el plazo estimado puede disminuir. Dicho Tribunal está en etapa de revisión, y se tiene previsto el </w:t>
      </w:r>
      <w:r w:rsidRPr="00550B4B">
        <w:rPr>
          <w:rFonts w:cs="Times New Roman"/>
          <w:szCs w:val="24"/>
        </w:rPr>
        <w:t>fallo para el 20-ene-26.</w:t>
      </w:r>
    </w:p>
    <w:p w14:paraId="0FB31B04" w14:textId="77777777" w:rsidR="003D5DB4" w:rsidRDefault="003D5DB4" w:rsidP="000A5389">
      <w:pPr>
        <w:spacing w:line="240" w:lineRule="auto"/>
        <w:rPr>
          <w:rFonts w:cs="Times New Roman"/>
          <w:szCs w:val="24"/>
        </w:rPr>
      </w:pPr>
      <w:r w:rsidRPr="00550B4B">
        <w:rPr>
          <w:rFonts w:cs="Times New Roman"/>
          <w:szCs w:val="24"/>
        </w:rPr>
        <w:t>Retribución al concesionario</w:t>
      </w:r>
    </w:p>
    <w:p w14:paraId="06026C41" w14:textId="77777777" w:rsidR="00550B4B" w:rsidRPr="00550B4B" w:rsidRDefault="00550B4B" w:rsidP="000A5389">
      <w:pPr>
        <w:spacing w:line="240" w:lineRule="auto"/>
        <w:rPr>
          <w:rFonts w:cs="Times New Roman"/>
          <w:szCs w:val="24"/>
        </w:rPr>
      </w:pPr>
    </w:p>
    <w:p w14:paraId="65201855" w14:textId="77777777" w:rsidR="003D5DB4" w:rsidRPr="00550B4B" w:rsidRDefault="003D5DB4" w:rsidP="000A5389">
      <w:pPr>
        <w:spacing w:line="240" w:lineRule="auto"/>
        <w:rPr>
          <w:rFonts w:cs="Times New Roman"/>
          <w:szCs w:val="24"/>
        </w:rPr>
      </w:pPr>
      <w:r w:rsidRPr="00550B4B">
        <w:rPr>
          <w:rFonts w:cs="Times New Roman"/>
          <w:szCs w:val="24"/>
        </w:rPr>
        <w:t>Descripción: Inicialmente se pactó la retribución al concesionario por el método de ingreso garantizado el cual fue modificado mediante EL ACUERDO CONCILIATORIO DE 2006, Y ANEXO TECNICO FINANCIERO CÁLCULO DE LA TASA INTERNA DE RETORNO, se acordó que el Contrato tiene un plazo estimado de 23 años contados a partir de la entrega de la estación de peaje de Caiquero (16 de febrero de 2008), sujeto a la obtención de la Tasa Interna de Retorno de 12.26% en términos constantes y después de impuestos, con un plazo máximo de 26 años (16-feb-2034).</w:t>
      </w:r>
    </w:p>
    <w:p w14:paraId="1B525158" w14:textId="77777777" w:rsidR="003D5DB4" w:rsidRPr="00550B4B" w:rsidRDefault="003D5DB4" w:rsidP="000A5389">
      <w:pPr>
        <w:spacing w:line="240" w:lineRule="auto"/>
        <w:rPr>
          <w:rFonts w:cs="Times New Roman"/>
          <w:szCs w:val="24"/>
        </w:rPr>
      </w:pPr>
    </w:p>
    <w:p w14:paraId="400755FD" w14:textId="77777777" w:rsidR="003D5DB4" w:rsidRPr="00550B4B" w:rsidRDefault="003D5DB4" w:rsidP="000A5389">
      <w:pPr>
        <w:spacing w:line="240" w:lineRule="auto"/>
        <w:rPr>
          <w:rFonts w:cs="Times New Roman"/>
          <w:szCs w:val="24"/>
        </w:rPr>
      </w:pPr>
      <w:r w:rsidRPr="00550B4B">
        <w:rPr>
          <w:rFonts w:cs="Times New Roman"/>
          <w:szCs w:val="24"/>
        </w:rPr>
        <w:t>Tasa de retribución:</w:t>
      </w:r>
      <w:r w:rsidRPr="000D0101">
        <w:rPr>
          <w:rFonts w:cs="Times New Roman"/>
          <w:szCs w:val="24"/>
        </w:rPr>
        <w:tab/>
        <w:t xml:space="preserve">Tasa Interna de Retorno de acuerdo con el Acuerdo Conciliatorio de 2007, en 12.26% EA en términos constantes. Tasa FOSEVI: Inicialmente dicha tasa era de $200 por categoría (excluyendo remolques). Posteriormente, en 2024 dicha tarifa incremento a $500 con indexaciones anuales al IPC. Se presenta diferencia con el Concesionario frente al </w:t>
      </w:r>
      <w:r w:rsidRPr="00550B4B">
        <w:rPr>
          <w:rFonts w:cs="Times New Roman"/>
          <w:szCs w:val="24"/>
        </w:rPr>
        <w:t>valor residual del redondeo de la centena, aduciendo que no debe asumirla el Concesionario. Para 2025 dicha variación es de $26 ($500 vs. $526). Tema en revisión.</w:t>
      </w:r>
    </w:p>
    <w:p w14:paraId="46B4F554" w14:textId="77777777" w:rsidR="00550B4B" w:rsidRPr="00550B4B" w:rsidRDefault="00550B4B" w:rsidP="000A5389">
      <w:pPr>
        <w:spacing w:line="240" w:lineRule="auto"/>
        <w:rPr>
          <w:rFonts w:cs="Times New Roman"/>
          <w:szCs w:val="24"/>
        </w:rPr>
      </w:pPr>
    </w:p>
    <w:p w14:paraId="747AAD83" w14:textId="77777777" w:rsidR="003D5DB4" w:rsidRDefault="003D5DB4" w:rsidP="00D1143E">
      <w:pPr>
        <w:spacing w:line="240" w:lineRule="auto"/>
        <w:rPr>
          <w:rFonts w:cs="Times New Roman"/>
          <w:szCs w:val="24"/>
        </w:rPr>
      </w:pPr>
      <w:r w:rsidRPr="00D1143E">
        <w:rPr>
          <w:rFonts w:cs="Times New Roman"/>
          <w:szCs w:val="24"/>
        </w:rPr>
        <w:t>Derechos a recibir Activos especificados al final del acuerdo de concesión</w:t>
      </w:r>
    </w:p>
    <w:p w14:paraId="603BE37C" w14:textId="77777777" w:rsidR="00D1143E" w:rsidRPr="00D1143E" w:rsidRDefault="00D1143E" w:rsidP="00D1143E">
      <w:pPr>
        <w:spacing w:line="240" w:lineRule="auto"/>
        <w:rPr>
          <w:rFonts w:cs="Times New Roman"/>
          <w:szCs w:val="24"/>
        </w:rPr>
      </w:pPr>
    </w:p>
    <w:p w14:paraId="215F7C4B" w14:textId="77777777" w:rsidR="003D5DB4" w:rsidRPr="00550B4B" w:rsidRDefault="003D5DB4" w:rsidP="000A5389">
      <w:pPr>
        <w:spacing w:line="240" w:lineRule="auto"/>
        <w:rPr>
          <w:rFonts w:cs="Times New Roman"/>
          <w:szCs w:val="24"/>
        </w:rPr>
      </w:pPr>
      <w:r w:rsidRPr="00550B4B">
        <w:rPr>
          <w:rFonts w:cs="Times New Roman"/>
          <w:szCs w:val="24"/>
        </w:rPr>
        <w:t xml:space="preserve">Descripción: El INVIAS hizo entrega de los predios para la zona de carreteras, la obra civil: calzadas, separadores, intersecciones, estructuras, obras de drenaje, obras de arte y señales, las casetas de peaje y sus áreas de servicio y los equipos instalados para la operación del proyecto. Al vencimiento de la etapa de operación, los bienes afectados a la concesión del proyecto, en los que se incluyen: los predios para la zona de carreteras, la obra civil: calzadas, separadores, intersecciones, estructuras, obras de drenaje, obras de arte y señales, las casetas </w:t>
      </w:r>
      <w:r w:rsidRPr="00550B4B">
        <w:rPr>
          <w:rFonts w:cs="Times New Roman"/>
          <w:szCs w:val="24"/>
        </w:rPr>
        <w:lastRenderedPageBreak/>
        <w:t>de peaje y sus áreas de servicio y los equipos instalados para la operación del proyecto, revertirán en favor del Instituto Nacional de Vías</w:t>
      </w:r>
    </w:p>
    <w:p w14:paraId="4527C901" w14:textId="77777777" w:rsidR="00D1143E" w:rsidRDefault="00D1143E" w:rsidP="000A5389">
      <w:pPr>
        <w:spacing w:line="240" w:lineRule="auto"/>
        <w:rPr>
          <w:rFonts w:cs="Times New Roman"/>
          <w:szCs w:val="24"/>
        </w:rPr>
      </w:pPr>
    </w:p>
    <w:p w14:paraId="67300CE7" w14:textId="7492F757" w:rsidR="003D5DB4" w:rsidRPr="00550B4B" w:rsidRDefault="003D5DB4" w:rsidP="000A5389">
      <w:pPr>
        <w:spacing w:line="240" w:lineRule="auto"/>
        <w:rPr>
          <w:rFonts w:cs="Times New Roman"/>
          <w:szCs w:val="24"/>
        </w:rPr>
      </w:pPr>
      <w:r w:rsidRPr="00550B4B">
        <w:rPr>
          <w:rFonts w:cs="Times New Roman"/>
          <w:szCs w:val="24"/>
        </w:rPr>
        <w:t>Observaciones: No hay observaciones</w:t>
      </w:r>
    </w:p>
    <w:p w14:paraId="53AB65BE" w14:textId="77777777" w:rsidR="00550B4B" w:rsidRPr="00550B4B" w:rsidRDefault="00550B4B" w:rsidP="000A5389">
      <w:pPr>
        <w:spacing w:line="240" w:lineRule="auto"/>
        <w:rPr>
          <w:rFonts w:cs="Times New Roman"/>
          <w:szCs w:val="24"/>
        </w:rPr>
      </w:pPr>
    </w:p>
    <w:p w14:paraId="396BFAF2" w14:textId="77777777" w:rsidR="003D5DB4" w:rsidRPr="00D1143E" w:rsidRDefault="003D5DB4" w:rsidP="00D1143E">
      <w:pPr>
        <w:spacing w:line="240" w:lineRule="auto"/>
        <w:rPr>
          <w:rFonts w:cs="Times New Roman"/>
          <w:szCs w:val="24"/>
        </w:rPr>
      </w:pPr>
      <w:r w:rsidRPr="00D1143E">
        <w:rPr>
          <w:rFonts w:cs="Times New Roman"/>
          <w:szCs w:val="24"/>
        </w:rPr>
        <w:t>Las alternativas de renovación y cese del acuerdo</w:t>
      </w:r>
    </w:p>
    <w:p w14:paraId="7E86E782" w14:textId="77777777" w:rsidR="003D5DB4" w:rsidRPr="00550B4B" w:rsidRDefault="003D5DB4" w:rsidP="000A5389">
      <w:pPr>
        <w:spacing w:line="240" w:lineRule="auto"/>
        <w:rPr>
          <w:rFonts w:cs="Times New Roman"/>
          <w:szCs w:val="24"/>
        </w:rPr>
      </w:pPr>
      <w:r w:rsidRPr="00550B4B">
        <w:rPr>
          <w:rFonts w:cs="Times New Roman"/>
          <w:szCs w:val="24"/>
        </w:rPr>
        <w:t>Descripción:</w:t>
      </w:r>
      <w:r w:rsidRPr="00550B4B">
        <w:rPr>
          <w:rFonts w:cs="Times New Roman"/>
          <w:szCs w:val="24"/>
        </w:rPr>
        <w:tab/>
        <w:t>No Aplica</w:t>
      </w:r>
    </w:p>
    <w:p w14:paraId="186C5F04" w14:textId="77777777" w:rsidR="003D5DB4" w:rsidRPr="00550B4B" w:rsidRDefault="003D5DB4" w:rsidP="000A5389">
      <w:pPr>
        <w:spacing w:line="240" w:lineRule="auto"/>
        <w:rPr>
          <w:rFonts w:cs="Times New Roman"/>
          <w:szCs w:val="24"/>
        </w:rPr>
      </w:pPr>
      <w:r w:rsidRPr="00550B4B">
        <w:rPr>
          <w:rFonts w:cs="Times New Roman"/>
          <w:szCs w:val="24"/>
        </w:rPr>
        <w:t>Observaciones: No Aplica</w:t>
      </w:r>
    </w:p>
    <w:p w14:paraId="30B11045" w14:textId="77777777" w:rsidR="00550B4B" w:rsidRPr="00550B4B" w:rsidRDefault="00550B4B" w:rsidP="000A5389">
      <w:pPr>
        <w:spacing w:line="240" w:lineRule="auto"/>
        <w:rPr>
          <w:rFonts w:cs="Times New Roman"/>
          <w:szCs w:val="24"/>
        </w:rPr>
      </w:pPr>
    </w:p>
    <w:p w14:paraId="1085C870" w14:textId="77777777" w:rsidR="003D5DB4" w:rsidRPr="00D1143E" w:rsidRDefault="003D5DB4" w:rsidP="00D1143E">
      <w:pPr>
        <w:spacing w:line="240" w:lineRule="auto"/>
        <w:rPr>
          <w:rFonts w:cs="Times New Roman"/>
          <w:szCs w:val="24"/>
        </w:rPr>
      </w:pPr>
      <w:r w:rsidRPr="00D1143E">
        <w:rPr>
          <w:rFonts w:cs="Times New Roman"/>
          <w:szCs w:val="24"/>
        </w:rPr>
        <w:t>Cambios en el acuerdo de concesión que se realicen durante el periodo fiscal</w:t>
      </w:r>
    </w:p>
    <w:p w14:paraId="77673C10" w14:textId="204F0AC3" w:rsidR="003D5DB4" w:rsidRPr="00550B4B" w:rsidRDefault="003D5DB4" w:rsidP="00D1143E">
      <w:pPr>
        <w:spacing w:line="240" w:lineRule="auto"/>
        <w:rPr>
          <w:rFonts w:cs="Times New Roman"/>
          <w:szCs w:val="24"/>
        </w:rPr>
      </w:pPr>
      <w:r w:rsidRPr="00550B4B">
        <w:rPr>
          <w:rFonts w:cs="Times New Roman"/>
          <w:szCs w:val="24"/>
        </w:rPr>
        <w:t>Adiciones o modificaciones en tiempo</w:t>
      </w:r>
    </w:p>
    <w:p w14:paraId="4E7827AD" w14:textId="77777777" w:rsidR="003D5DB4" w:rsidRPr="00550B4B" w:rsidRDefault="003D5DB4" w:rsidP="000A5389">
      <w:pPr>
        <w:spacing w:line="240" w:lineRule="auto"/>
        <w:rPr>
          <w:rFonts w:cs="Times New Roman"/>
          <w:szCs w:val="24"/>
        </w:rPr>
      </w:pPr>
      <w:r w:rsidRPr="00550B4B">
        <w:rPr>
          <w:rFonts w:cs="Times New Roman"/>
          <w:szCs w:val="24"/>
        </w:rPr>
        <w:t>Fechas de las adiciones o modificaciones: Para el periodo comprendido entre el 01 de enero al diciembre 31 de 2025, no se presentaron modificaciones que tengan que ser reflejadas en este documento.</w:t>
      </w:r>
    </w:p>
    <w:p w14:paraId="45FF280F" w14:textId="77777777" w:rsidR="00550B4B" w:rsidRPr="00550B4B" w:rsidRDefault="00550B4B" w:rsidP="000A5389">
      <w:pPr>
        <w:spacing w:line="240" w:lineRule="auto"/>
        <w:rPr>
          <w:rFonts w:cs="Times New Roman"/>
          <w:szCs w:val="24"/>
        </w:rPr>
      </w:pPr>
    </w:p>
    <w:p w14:paraId="7296E70B" w14:textId="77777777" w:rsidR="003D5DB4" w:rsidRPr="00550B4B" w:rsidRDefault="003D5DB4" w:rsidP="000A5389">
      <w:pPr>
        <w:spacing w:line="240" w:lineRule="auto"/>
        <w:rPr>
          <w:rFonts w:cs="Times New Roman"/>
          <w:szCs w:val="24"/>
        </w:rPr>
      </w:pPr>
      <w:r w:rsidRPr="00550B4B">
        <w:rPr>
          <w:rFonts w:cs="Times New Roman"/>
          <w:szCs w:val="24"/>
        </w:rPr>
        <w:t>Nueva Fecha de finalización estimada: No Aplica</w:t>
      </w:r>
    </w:p>
    <w:p w14:paraId="748F0281" w14:textId="77777777" w:rsidR="00D1143E" w:rsidRDefault="00D1143E" w:rsidP="000A5389">
      <w:pPr>
        <w:spacing w:line="240" w:lineRule="auto"/>
        <w:rPr>
          <w:rFonts w:cs="Times New Roman"/>
          <w:szCs w:val="24"/>
        </w:rPr>
      </w:pPr>
    </w:p>
    <w:p w14:paraId="222A90FA" w14:textId="61B8407E" w:rsidR="003D5DB4" w:rsidRPr="00550B4B" w:rsidRDefault="003D5DB4" w:rsidP="000A5389">
      <w:pPr>
        <w:spacing w:line="240" w:lineRule="auto"/>
        <w:rPr>
          <w:rFonts w:cs="Times New Roman"/>
          <w:szCs w:val="24"/>
        </w:rPr>
      </w:pPr>
      <w:r w:rsidRPr="00550B4B">
        <w:rPr>
          <w:rFonts w:cs="Times New Roman"/>
          <w:szCs w:val="24"/>
        </w:rPr>
        <w:t>Observaciones: El 26-dic-24 se firmó la Modificación 12 al Contrato de Concesión, para desarrollar la construcción de obras de mitigación en el sector comprendido en el PR 75+000 (K70) (Tramo I y II) y la construcción de un retorno para vehículos livianos en sentido bidireccional, en el sector del Caserío El Vino entre la Estación de Servicio Brío y el Parque Ecológico Jericó ubicado en el PR 112 +000 (K 33 + 500). El Acta de Inicio de estas obras se firmó el 6-nov-25.</w:t>
      </w:r>
    </w:p>
    <w:p w14:paraId="56088396" w14:textId="77777777" w:rsidR="003D5DB4" w:rsidRPr="00550B4B" w:rsidRDefault="003D5DB4" w:rsidP="000A5389">
      <w:pPr>
        <w:spacing w:line="240" w:lineRule="auto"/>
        <w:rPr>
          <w:rFonts w:cs="Times New Roman"/>
          <w:szCs w:val="24"/>
        </w:rPr>
      </w:pPr>
    </w:p>
    <w:p w14:paraId="1FACF73F" w14:textId="77777777" w:rsidR="003D5DB4" w:rsidRPr="00550B4B" w:rsidRDefault="003D5DB4" w:rsidP="00915852">
      <w:pPr>
        <w:spacing w:line="240" w:lineRule="auto"/>
        <w:rPr>
          <w:rFonts w:cs="Times New Roman"/>
          <w:szCs w:val="24"/>
        </w:rPr>
      </w:pPr>
      <w:r w:rsidRPr="00550B4B">
        <w:rPr>
          <w:rFonts w:cs="Times New Roman"/>
          <w:szCs w:val="24"/>
        </w:rPr>
        <w:t>Adiciones o modificaciones en valor</w:t>
      </w:r>
    </w:p>
    <w:p w14:paraId="4995F8FD" w14:textId="77777777" w:rsidR="003D5DB4" w:rsidRPr="00550B4B" w:rsidRDefault="003D5DB4" w:rsidP="000A5389">
      <w:pPr>
        <w:spacing w:line="240" w:lineRule="auto"/>
        <w:rPr>
          <w:rFonts w:cs="Times New Roman"/>
          <w:szCs w:val="24"/>
        </w:rPr>
      </w:pPr>
      <w:r w:rsidRPr="00550B4B">
        <w:rPr>
          <w:rFonts w:cs="Times New Roman"/>
          <w:szCs w:val="24"/>
        </w:rPr>
        <w:t>Valor de la adición o modificación: No Aplica</w:t>
      </w:r>
    </w:p>
    <w:p w14:paraId="197DD83B" w14:textId="77777777" w:rsidR="003D5DB4" w:rsidRPr="00550B4B" w:rsidRDefault="003D5DB4" w:rsidP="000A5389">
      <w:pPr>
        <w:spacing w:line="240" w:lineRule="auto"/>
        <w:rPr>
          <w:rFonts w:cs="Times New Roman"/>
          <w:szCs w:val="24"/>
        </w:rPr>
      </w:pPr>
      <w:r w:rsidRPr="00550B4B">
        <w:rPr>
          <w:rFonts w:cs="Times New Roman"/>
          <w:szCs w:val="24"/>
        </w:rPr>
        <w:t>Nuevo valor del acuerdo: No Aplica</w:t>
      </w:r>
    </w:p>
    <w:p w14:paraId="0BDD0C81" w14:textId="77777777" w:rsidR="003D5DB4" w:rsidRPr="00550B4B" w:rsidRDefault="003D5DB4" w:rsidP="000A5389">
      <w:pPr>
        <w:spacing w:line="240" w:lineRule="auto"/>
        <w:rPr>
          <w:rFonts w:cs="Times New Roman"/>
          <w:szCs w:val="24"/>
        </w:rPr>
      </w:pPr>
      <w:r w:rsidRPr="00550B4B">
        <w:rPr>
          <w:rFonts w:cs="Times New Roman"/>
          <w:szCs w:val="24"/>
        </w:rPr>
        <w:t>Observaciones: No Aplica</w:t>
      </w:r>
    </w:p>
    <w:p w14:paraId="33F76C1B" w14:textId="77777777" w:rsidR="003D5DB4" w:rsidRPr="000D0101" w:rsidRDefault="003D5DB4" w:rsidP="000A5389">
      <w:pPr>
        <w:pStyle w:val="Sinespaciado"/>
        <w:rPr>
          <w:rFonts w:ascii="Times New Roman" w:hAnsi="Times New Roman"/>
          <w:b/>
          <w:bCs/>
          <w:sz w:val="24"/>
          <w:szCs w:val="24"/>
          <w:u w:val="single"/>
        </w:rPr>
      </w:pPr>
    </w:p>
    <w:sdt>
      <w:sdtPr>
        <w:id w:val="771984243"/>
        <w:docPartObj>
          <w:docPartGallery w:val="Cover Pages"/>
          <w:docPartUnique/>
        </w:docPartObj>
      </w:sdtPr>
      <w:sdtEndPr>
        <w:rPr>
          <w:color w:val="1F3864" w:themeColor="accent1" w:themeShade="80"/>
        </w:rPr>
      </w:sdtEndPr>
      <w:sdtContent>
        <w:bookmarkStart w:id="1080" w:name="_Hlk62826888" w:displacedByCustomXml="prev"/>
        <w:p w14:paraId="01C63121" w14:textId="3F646010" w:rsidR="00915852" w:rsidRDefault="00915852" w:rsidP="000A5389">
          <w:pPr>
            <w:spacing w:line="240" w:lineRule="auto"/>
          </w:pPr>
        </w:p>
        <w:p w14:paraId="35FB1D27" w14:textId="6FE6BBF9" w:rsidR="003D5DB4" w:rsidRPr="00915852" w:rsidRDefault="003D5DB4" w:rsidP="000A5389">
          <w:pPr>
            <w:spacing w:line="240" w:lineRule="auto"/>
            <w:rPr>
              <w:b/>
              <w:bCs/>
              <w:i/>
              <w:iCs/>
            </w:rPr>
          </w:pPr>
          <w:r w:rsidRPr="00915852">
            <w:rPr>
              <w:b/>
              <w:bCs/>
              <w:i/>
              <w:iCs/>
            </w:rPr>
            <w:t>PROYECTOS PORTUARIOS</w:t>
          </w:r>
        </w:p>
        <w:p w14:paraId="7D9A36BC" w14:textId="77777777" w:rsidR="003D5DB4" w:rsidRPr="000D0101" w:rsidRDefault="003D5DB4" w:rsidP="000A5389">
          <w:pPr>
            <w:spacing w:line="240" w:lineRule="auto"/>
          </w:pPr>
        </w:p>
        <w:p w14:paraId="2032B4C6" w14:textId="77777777" w:rsidR="003D5DB4" w:rsidRPr="00915852" w:rsidRDefault="003D5DB4" w:rsidP="000A5389">
          <w:pPr>
            <w:spacing w:line="240" w:lineRule="auto"/>
            <w:rPr>
              <w:rFonts w:eastAsia="Times New Roman"/>
              <w:i/>
              <w:iCs/>
              <w:lang w:eastAsia="es-CO"/>
            </w:rPr>
          </w:pPr>
          <w:r w:rsidRPr="00915852">
            <w:rPr>
              <w:rFonts w:eastAsia="Times New Roman"/>
              <w:i/>
              <w:iCs/>
              <w:lang w:eastAsia="es-CO"/>
            </w:rPr>
            <w:t xml:space="preserve">AGENCIA LOGISTICA DE LAS FUERZAS MILITARES MUELLE 13 </w:t>
          </w:r>
        </w:p>
        <w:p w14:paraId="544DC7C0" w14:textId="77777777" w:rsidR="003D5DB4" w:rsidRPr="000D0101" w:rsidRDefault="003D5DB4" w:rsidP="000A5389">
          <w:pPr>
            <w:spacing w:line="240" w:lineRule="auto"/>
          </w:pPr>
        </w:p>
        <w:p w14:paraId="46F4F6F4" w14:textId="08C61E9B" w:rsidR="003D5DB4" w:rsidRPr="000D0101" w:rsidRDefault="003D5DB4" w:rsidP="000A5389">
          <w:pPr>
            <w:spacing w:line="240" w:lineRule="auto"/>
          </w:pPr>
          <w:r w:rsidRPr="000D0101">
            <w:t>a.Descripción del Acuerdo</w:t>
          </w:r>
        </w:p>
        <w:p w14:paraId="3EB2BF30" w14:textId="77777777" w:rsidR="003D5DB4" w:rsidRPr="000D0101" w:rsidRDefault="003D5DB4" w:rsidP="000A5389">
          <w:pPr>
            <w:spacing w:line="240" w:lineRule="auto"/>
          </w:pPr>
        </w:p>
        <w:p w14:paraId="6A5D7864" w14:textId="77777777" w:rsidR="003D5DB4" w:rsidRPr="000D0101" w:rsidRDefault="003D5DB4" w:rsidP="000A5389">
          <w:pPr>
            <w:spacing w:line="240" w:lineRule="auto"/>
          </w:pPr>
          <w:r w:rsidRPr="000D0101">
            <w:t>Número del Acuerdo de concesión: Resolución 004 del 6 de enero de 1994</w:t>
          </w:r>
        </w:p>
        <w:p w14:paraId="1EE07A02" w14:textId="77777777" w:rsidR="003D5DB4" w:rsidRPr="000D0101" w:rsidRDefault="003D5DB4" w:rsidP="000A5389">
          <w:pPr>
            <w:spacing w:line="240" w:lineRule="auto"/>
          </w:pPr>
        </w:p>
        <w:p w14:paraId="24B564DD" w14:textId="77777777" w:rsidR="003D5DB4" w:rsidRPr="000D0101" w:rsidRDefault="003D5DB4" w:rsidP="000A5389">
          <w:pPr>
            <w:spacing w:line="240" w:lineRule="auto"/>
          </w:pPr>
          <w:r w:rsidRPr="000D0101">
            <w:t>Objeto / Descripción: En virtud de lo establecido en el Considerando Primero de la Resolución No. 004 de 1994, reconocer que la Armada Nacional – Fondo Rotatorio de la Armada Nacional, tiene autorización vigente hasta el 6 de enero de 2024 para la ocupación y uso del Muelle 13, para la operación y desarrollo de actividades portuarias de servicio público.</w:t>
          </w:r>
        </w:p>
        <w:p w14:paraId="5DEB265C" w14:textId="77777777" w:rsidR="003D5DB4" w:rsidRPr="000D0101" w:rsidRDefault="003D5DB4" w:rsidP="000A5389">
          <w:pPr>
            <w:spacing w:line="240" w:lineRule="auto"/>
          </w:pPr>
        </w:p>
        <w:p w14:paraId="212B7A7B" w14:textId="77777777" w:rsidR="003D5DB4" w:rsidRPr="000D0101" w:rsidRDefault="003D5DB4" w:rsidP="000A5389">
          <w:pPr>
            <w:spacing w:line="240" w:lineRule="auto"/>
          </w:pPr>
          <w:r w:rsidRPr="000D0101">
            <w:lastRenderedPageBreak/>
            <w:t>Valor inicial:</w:t>
          </w:r>
          <w:r w:rsidRPr="000D0101">
            <w:tab/>
            <w:t>N/A - Corresponde a una homologación</w:t>
          </w:r>
        </w:p>
        <w:p w14:paraId="1C06791B" w14:textId="77777777" w:rsidR="003D5DB4" w:rsidRPr="000D0101" w:rsidRDefault="003D5DB4" w:rsidP="000A5389">
          <w:pPr>
            <w:spacing w:line="240" w:lineRule="auto"/>
          </w:pPr>
          <w:r w:rsidRPr="000D0101">
            <w:t>Fecha de inicio: 6/01/1994</w:t>
          </w:r>
        </w:p>
        <w:p w14:paraId="3F60D208" w14:textId="77777777" w:rsidR="003D5DB4" w:rsidRPr="000D0101" w:rsidRDefault="003D5DB4" w:rsidP="000A5389">
          <w:pPr>
            <w:spacing w:line="240" w:lineRule="auto"/>
          </w:pPr>
          <w:r w:rsidRPr="000D0101">
            <w:t>Fecha de finalización estimada: 5/01/2025</w:t>
          </w:r>
        </w:p>
        <w:p w14:paraId="006652DA" w14:textId="77777777" w:rsidR="003D5DB4" w:rsidRPr="000D0101" w:rsidRDefault="003D5DB4" w:rsidP="000A5389">
          <w:pPr>
            <w:spacing w:line="240" w:lineRule="auto"/>
          </w:pPr>
          <w:r w:rsidRPr="000D0101">
            <w:t>Tipo ID: NIT</w:t>
          </w:r>
        </w:p>
        <w:p w14:paraId="708535C8" w14:textId="77777777" w:rsidR="003D5DB4" w:rsidRPr="000D0101" w:rsidRDefault="003D5DB4" w:rsidP="000A5389">
          <w:pPr>
            <w:spacing w:line="240" w:lineRule="auto"/>
          </w:pPr>
          <w:r w:rsidRPr="000D0101">
            <w:t>Número ID: 899.99.162 - 4</w:t>
          </w:r>
        </w:p>
        <w:p w14:paraId="416D2987" w14:textId="77777777" w:rsidR="003D5DB4" w:rsidRPr="000D0101" w:rsidRDefault="003D5DB4" w:rsidP="000A5389">
          <w:pPr>
            <w:spacing w:line="240" w:lineRule="auto"/>
          </w:pPr>
          <w:r w:rsidRPr="000D0101">
            <w:t>Razón social del concesionario: Agencia Logística de las Fuerzas Militares</w:t>
          </w:r>
        </w:p>
        <w:p w14:paraId="13DEE940" w14:textId="77777777" w:rsidR="003D5DB4" w:rsidRPr="000D0101" w:rsidRDefault="003D5DB4" w:rsidP="000A5389">
          <w:pPr>
            <w:spacing w:line="240" w:lineRule="auto"/>
          </w:pPr>
          <w:r w:rsidRPr="000D0101">
            <w:t>Nombre del proyecto: Agencia Logística de las Fuerzas Militares</w:t>
          </w:r>
        </w:p>
        <w:p w14:paraId="69A7017B" w14:textId="77777777" w:rsidR="003D5DB4" w:rsidRPr="000D0101" w:rsidRDefault="003D5DB4" w:rsidP="000A5389">
          <w:pPr>
            <w:spacing w:line="240" w:lineRule="auto"/>
          </w:pPr>
        </w:p>
        <w:p w14:paraId="46F0C598" w14:textId="77777777" w:rsidR="003D5DB4" w:rsidRPr="000D0101" w:rsidRDefault="003D5DB4" w:rsidP="000A5389">
          <w:pPr>
            <w:spacing w:line="240" w:lineRule="auto"/>
          </w:pPr>
          <w:r w:rsidRPr="000D0101">
            <w:t>b. Términos significativos del Acuerdo que puedan afectar su valor, el calendario y la certeza de los flujos de efectivo futuros</w:t>
          </w:r>
        </w:p>
        <w:p w14:paraId="2DAD7A4A" w14:textId="77777777" w:rsidR="003D5DB4" w:rsidRPr="000D0101" w:rsidRDefault="003D5DB4" w:rsidP="000A5389">
          <w:pPr>
            <w:spacing w:line="240" w:lineRule="auto"/>
          </w:pPr>
          <w:r w:rsidRPr="000D0101">
            <w:t>Términos de valor: 1) Tarifas: Al ser el terminal marítimo de servicio público la Ley 1ª de 1991 establece: Las sociedades portuarias que operan puertos de servicio público las tarifas requieren ser aprobadas según la metodología establecida por la Superintendencia General de Puertos hoy Superintendencia de Transporte.2) Contraprestación portuaria: De acuerdo con el último documento contractual vigente la metodología de contraprestación vigente es CONPES 2680 DE 1993 (Productividad). Se establece en el Artículo 1° de la Resolución No. 003236 de 2000 que el CONCESIONARIO deberá pagar por concepto de contraprestación la suma anual de USD 117.640, de dicho pago el 80% le corresponde a la Nación (INVIAS-ANI) y el 20% restante al Municipio de Buenaventura, de acuerdo con lo establecido en el parágrafo 1 del artículo 1 de la Ley 856 del 21 de diciembre de 2003, que modifica el artículo 7 de la Ley 1ª de 1991.</w:t>
          </w:r>
        </w:p>
        <w:p w14:paraId="73393E00" w14:textId="77777777" w:rsidR="003D5DB4" w:rsidRPr="000D0101" w:rsidRDefault="003D5DB4" w:rsidP="000A5389">
          <w:pPr>
            <w:spacing w:line="240" w:lineRule="auto"/>
          </w:pPr>
        </w:p>
        <w:p w14:paraId="760C6D06" w14:textId="77777777" w:rsidR="003D5DB4" w:rsidRPr="000D0101" w:rsidRDefault="003D5DB4" w:rsidP="000A5389">
          <w:pPr>
            <w:spacing w:line="240" w:lineRule="auto"/>
          </w:pPr>
          <w:r w:rsidRPr="000D0101">
            <w:t>Términos de calendario: Tarifas: Aprobadas según la metodología establecida por la Superintendencia General de Puertos hoy Superintendencia de Transporte. Contraprestación portuaria: La contraprestación se debe pagar dentro de los cinco (5) primeros días hábiles después del 06 de enero de cada año.</w:t>
          </w:r>
        </w:p>
        <w:p w14:paraId="55BF7617" w14:textId="77777777" w:rsidR="003D5DB4" w:rsidRPr="000D0101" w:rsidRDefault="003D5DB4" w:rsidP="000A5389">
          <w:pPr>
            <w:spacing w:line="240" w:lineRule="auto"/>
          </w:pPr>
        </w:p>
        <w:p w14:paraId="2D223463" w14:textId="77777777" w:rsidR="003D5DB4" w:rsidRPr="000D0101" w:rsidRDefault="003D5DB4" w:rsidP="000A5389">
          <w:pPr>
            <w:spacing w:line="240" w:lineRule="auto"/>
          </w:pPr>
          <w:r w:rsidRPr="000D0101">
            <w:t>Términos de certeza de flujos de efectivo futuros: Reconocer que el Fondo Rotatorio de la Armada Nacional, tiene autorización vigente hasta el 6 de enero de 2024 para la ocupación, goce y uso de forma temporal y exclusiva de la línea de playa, terrenos y zonas accesorias a aquellas y éstas, del Muelle 13 para la operación y desarrollo de actividades portuarias de servicio público en el Municipio de Buenaventura, a cambio del pago de una contraprestación económica. Artículo Primero de la Resolución 003236 de 2000: Del valor a pagar por concepto de contraprestación el 80% le corresponde a la Nación-INVÍAS y el 20 % al Municipio de Buenaventura.</w:t>
          </w:r>
        </w:p>
        <w:p w14:paraId="14408040" w14:textId="77777777" w:rsidR="003D5DB4" w:rsidRPr="000D0101" w:rsidRDefault="003D5DB4" w:rsidP="000A5389">
          <w:pPr>
            <w:spacing w:line="240" w:lineRule="auto"/>
          </w:pPr>
        </w:p>
        <w:p w14:paraId="0984D944" w14:textId="77777777" w:rsidR="003D5DB4" w:rsidRPr="000D0101" w:rsidRDefault="003D5DB4" w:rsidP="000A5389">
          <w:pPr>
            <w:spacing w:line="240" w:lineRule="auto"/>
          </w:pPr>
          <w:r w:rsidRPr="000D0101">
            <w:t>c. Naturaleza y alcance del derecho a utilizar Activos y los aspectos pactados en torno a lo que se espera que el concesionario proporcione en relación con el Acuerdo de concesión</w:t>
          </w:r>
        </w:p>
        <w:p w14:paraId="488FBA27" w14:textId="77777777" w:rsidR="003D5DB4" w:rsidRPr="000D0101" w:rsidRDefault="003D5DB4" w:rsidP="000A5389">
          <w:pPr>
            <w:spacing w:line="240" w:lineRule="auto"/>
          </w:pPr>
        </w:p>
        <w:p w14:paraId="4CE549B3" w14:textId="77777777" w:rsidR="003D5DB4" w:rsidRPr="000D0101" w:rsidRDefault="003D5DB4" w:rsidP="000A5389">
          <w:pPr>
            <w:spacing w:line="240" w:lineRule="auto"/>
          </w:pPr>
          <w:r w:rsidRPr="000D0101">
            <w:t>Naturaleza y alcance del derecho de uso de los Activos</w:t>
          </w:r>
        </w:p>
        <w:p w14:paraId="13494893" w14:textId="77777777" w:rsidR="003D5DB4" w:rsidRPr="000D0101" w:rsidRDefault="003D5DB4" w:rsidP="000A5389">
          <w:pPr>
            <w:spacing w:line="240" w:lineRule="auto"/>
          </w:pPr>
        </w:p>
        <w:p w14:paraId="7D71DC22" w14:textId="77777777" w:rsidR="003D5DB4" w:rsidRPr="000D0101" w:rsidRDefault="003D5DB4" w:rsidP="000A5389">
          <w:pPr>
            <w:spacing w:line="240" w:lineRule="auto"/>
          </w:pPr>
          <w:r w:rsidRPr="000D0101">
            <w:t>Descripción:</w:t>
          </w:r>
          <w:r w:rsidRPr="000D0101">
            <w:tab/>
            <w:t xml:space="preserve">Descripción del proyecto, especificaciones técnicas, modalidades de operación: las condiciones especiales de operación del puerto están establecidas en el artículo primero de la Resolución No. 004 de 1994.  Área entregada en concesión: La descripción de </w:t>
          </w:r>
          <w:r w:rsidRPr="000D0101">
            <w:lastRenderedPageBreak/>
            <w:t>la ubicación, linderos y extensión de los bienes de uso público (playas y terrenos de baja mar, zonas marítimas accesorias de maniobras) entregados en concesión están establecidos en el Artículo Primero de la Resolución No. 1027 del 27 de septiembre de 1994.</w:t>
          </w:r>
        </w:p>
        <w:p w14:paraId="1416EF0D" w14:textId="77777777" w:rsidR="003D5DB4" w:rsidRPr="000D0101" w:rsidRDefault="003D5DB4" w:rsidP="000A5389">
          <w:pPr>
            <w:spacing w:line="240" w:lineRule="auto"/>
          </w:pPr>
        </w:p>
        <w:p w14:paraId="4EDD9260" w14:textId="77777777" w:rsidR="003D5DB4" w:rsidRPr="000D0101" w:rsidRDefault="003D5DB4" w:rsidP="000A5389">
          <w:pPr>
            <w:spacing w:line="240" w:lineRule="auto"/>
          </w:pPr>
          <w:r w:rsidRPr="000D0101">
            <w:t>Observaciones: NA</w:t>
          </w:r>
        </w:p>
        <w:p w14:paraId="25453FBF" w14:textId="77777777" w:rsidR="003D5DB4" w:rsidRPr="000D0101" w:rsidRDefault="003D5DB4" w:rsidP="000A5389">
          <w:pPr>
            <w:spacing w:line="240" w:lineRule="auto"/>
          </w:pPr>
        </w:p>
        <w:p w14:paraId="6CAB582D" w14:textId="77777777" w:rsidR="003D5DB4" w:rsidRPr="000D0101" w:rsidRDefault="003D5DB4" w:rsidP="000A5389">
          <w:pPr>
            <w:spacing w:line="240" w:lineRule="auto"/>
          </w:pPr>
          <w:r w:rsidRPr="000D0101">
            <w:t>Retribución al concesionario</w:t>
          </w:r>
        </w:p>
        <w:p w14:paraId="0462B5BB" w14:textId="77777777" w:rsidR="003D5DB4" w:rsidRPr="000D0101" w:rsidRDefault="003D5DB4" w:rsidP="000A5389">
          <w:pPr>
            <w:spacing w:line="240" w:lineRule="auto"/>
          </w:pPr>
        </w:p>
        <w:p w14:paraId="59E27251" w14:textId="77777777" w:rsidR="003D5DB4" w:rsidRPr="000D0101" w:rsidRDefault="003D5DB4" w:rsidP="000A5389">
          <w:pPr>
            <w:spacing w:line="240" w:lineRule="auto"/>
          </w:pPr>
          <w:r w:rsidRPr="000D0101">
            <w:t>Descripción:</w:t>
          </w:r>
          <w:r w:rsidRPr="000D0101">
            <w:tab/>
            <w:t>En virtud del artículo primero de la Resolución 004 de 1994, y del artículo 1° de la Resolución 3236 de 2000: Reconocer que el Fondo Rotatorio de la Armada Nacional tiene autorización vigente hasta el 6 de enero de 2024, para la ocupación, uso y goce del Muelle 13, a cambio de la contraprestación económica.</w:t>
          </w:r>
        </w:p>
        <w:p w14:paraId="5F486DC8" w14:textId="77777777" w:rsidR="003D5DB4" w:rsidRPr="000D0101" w:rsidRDefault="003D5DB4" w:rsidP="000A5389">
          <w:pPr>
            <w:spacing w:line="240" w:lineRule="auto"/>
          </w:pPr>
        </w:p>
        <w:p w14:paraId="78A8821F" w14:textId="77777777" w:rsidR="003D5DB4" w:rsidRPr="000D0101" w:rsidRDefault="003D5DB4" w:rsidP="000A5389">
          <w:pPr>
            <w:spacing w:line="240" w:lineRule="auto"/>
          </w:pPr>
          <w:r w:rsidRPr="000D0101">
            <w:t>Tasa de retribución:</w:t>
          </w:r>
          <w:r w:rsidRPr="000D0101">
            <w:tab/>
            <w:t>N/A</w:t>
          </w:r>
        </w:p>
        <w:p w14:paraId="7394D1C0" w14:textId="77777777" w:rsidR="003D5DB4" w:rsidRPr="000D0101" w:rsidRDefault="003D5DB4" w:rsidP="000A5389">
          <w:pPr>
            <w:spacing w:line="240" w:lineRule="auto"/>
          </w:pPr>
        </w:p>
        <w:p w14:paraId="2F3FA192" w14:textId="77777777" w:rsidR="003D5DB4" w:rsidRPr="000D0101" w:rsidRDefault="003D5DB4" w:rsidP="000A5389">
          <w:pPr>
            <w:spacing w:line="240" w:lineRule="auto"/>
          </w:pPr>
          <w:r w:rsidRPr="000D0101">
            <w:t>d. Derechos a recibir Activos especificados al final del acuerdo de concesión</w:t>
          </w:r>
        </w:p>
        <w:p w14:paraId="37262A64" w14:textId="77777777" w:rsidR="003D5DB4" w:rsidRPr="000D0101" w:rsidRDefault="003D5DB4" w:rsidP="000A5389">
          <w:pPr>
            <w:spacing w:line="240" w:lineRule="auto"/>
          </w:pPr>
        </w:p>
        <w:p w14:paraId="4E351BB0" w14:textId="77777777" w:rsidR="003D5DB4" w:rsidRPr="000D0101" w:rsidRDefault="003D5DB4" w:rsidP="000A5389">
          <w:pPr>
            <w:spacing w:line="240" w:lineRule="auto"/>
          </w:pPr>
          <w:r w:rsidRPr="000D0101">
            <w:t>Descripción:</w:t>
          </w:r>
          <w:r w:rsidRPr="000D0101">
            <w:tab/>
            <w:t>De acuerdo con el Artículo 8º de la Ley 1 de 1991 en el modo portuario el concesionario no tiene derechos finales sobre activos los debe revertir a la Nación al final del contrato de concesión.</w:t>
          </w:r>
        </w:p>
        <w:p w14:paraId="66741536" w14:textId="77777777" w:rsidR="003D5DB4" w:rsidRPr="000D0101" w:rsidRDefault="003D5DB4" w:rsidP="000A5389">
          <w:pPr>
            <w:spacing w:line="240" w:lineRule="auto"/>
          </w:pPr>
        </w:p>
        <w:p w14:paraId="0E5EB680" w14:textId="77777777" w:rsidR="003D5DB4" w:rsidRPr="000D0101" w:rsidRDefault="003D5DB4" w:rsidP="000A5389">
          <w:pPr>
            <w:spacing w:line="240" w:lineRule="auto"/>
          </w:pPr>
          <w:r w:rsidRPr="000D0101">
            <w:t xml:space="preserve">Observaciones: Reversión: De acuerdo con lo establecido en el artículo cuarto de la Resolución No. 004 de 1994, una vez vencida la autorización otorgada (…), adelantará la diligencia de reversión, en favor de la Nación, de los bienes–inmuebles por la destinación situados en la zona de uso público, (…).  </w:t>
          </w:r>
        </w:p>
        <w:p w14:paraId="628C05F8" w14:textId="77777777" w:rsidR="003D5DB4" w:rsidRPr="000D0101" w:rsidRDefault="003D5DB4" w:rsidP="000A5389">
          <w:pPr>
            <w:spacing w:line="240" w:lineRule="auto"/>
          </w:pPr>
        </w:p>
        <w:p w14:paraId="30CDE126" w14:textId="77777777" w:rsidR="003D5DB4" w:rsidRPr="000D0101" w:rsidRDefault="003D5DB4" w:rsidP="000A5389">
          <w:pPr>
            <w:spacing w:line="240" w:lineRule="auto"/>
          </w:pPr>
          <w:r w:rsidRPr="000D0101">
            <w:t>e. Las alternativas de renovación y cese del acuerdo</w:t>
          </w:r>
        </w:p>
        <w:p w14:paraId="6543316A" w14:textId="77777777" w:rsidR="003D5DB4" w:rsidRPr="000D0101" w:rsidRDefault="003D5DB4" w:rsidP="000A5389">
          <w:pPr>
            <w:spacing w:line="240" w:lineRule="auto"/>
          </w:pPr>
        </w:p>
        <w:p w14:paraId="5DCB9BB4" w14:textId="77777777" w:rsidR="003D5DB4" w:rsidRPr="000D0101" w:rsidRDefault="003D5DB4" w:rsidP="000A5389">
          <w:pPr>
            <w:spacing w:line="240" w:lineRule="auto"/>
          </w:pPr>
          <w:r w:rsidRPr="000D0101">
            <w:t>Descripción:</w:t>
          </w:r>
          <w:r w:rsidRPr="000D0101">
            <w:tab/>
            <w:t>La terminación del contrato se menciona en la Resolución No. 004 de 1994, específicamente en su Artículo Cuarto</w:t>
          </w:r>
        </w:p>
        <w:p w14:paraId="67212D51" w14:textId="77777777" w:rsidR="003D5DB4" w:rsidRPr="000D0101" w:rsidRDefault="003D5DB4" w:rsidP="000A5389">
          <w:pPr>
            <w:spacing w:line="240" w:lineRule="auto"/>
          </w:pPr>
        </w:p>
        <w:p w14:paraId="7ED46FF6" w14:textId="77777777" w:rsidR="003D5DB4" w:rsidRPr="000D0101" w:rsidRDefault="003D5DB4" w:rsidP="000A5389">
          <w:pPr>
            <w:spacing w:line="240" w:lineRule="auto"/>
          </w:pPr>
          <w:r w:rsidRPr="000D0101">
            <w:t>Observaciones: No se tiene ninguna observación</w:t>
          </w:r>
        </w:p>
        <w:p w14:paraId="36D83404" w14:textId="77777777" w:rsidR="003D5DB4" w:rsidRPr="000D0101" w:rsidRDefault="003D5DB4" w:rsidP="000A5389">
          <w:pPr>
            <w:spacing w:line="240" w:lineRule="auto"/>
          </w:pPr>
        </w:p>
        <w:p w14:paraId="1F505CD7" w14:textId="77777777" w:rsidR="003D5DB4" w:rsidRPr="000D0101" w:rsidRDefault="003D5DB4" w:rsidP="000A5389">
          <w:pPr>
            <w:spacing w:line="240" w:lineRule="auto"/>
          </w:pPr>
          <w:r w:rsidRPr="000D0101">
            <w:t>f. Cambios en el acuerdo de concesión que se realicen durante el periodo fiscal</w:t>
          </w:r>
        </w:p>
        <w:p w14:paraId="69066058" w14:textId="77777777" w:rsidR="003D5DB4" w:rsidRPr="000D0101" w:rsidRDefault="003D5DB4" w:rsidP="000A5389">
          <w:pPr>
            <w:spacing w:line="240" w:lineRule="auto"/>
          </w:pPr>
        </w:p>
        <w:p w14:paraId="34AB11AC" w14:textId="77777777" w:rsidR="003D5DB4" w:rsidRPr="000D0101" w:rsidRDefault="003D5DB4" w:rsidP="000A5389">
          <w:pPr>
            <w:spacing w:line="240" w:lineRule="auto"/>
          </w:pPr>
          <w:r w:rsidRPr="000D0101">
            <w:t>Adiciones o modificaciones en tiempo</w:t>
          </w:r>
        </w:p>
        <w:p w14:paraId="21D1B712" w14:textId="77777777" w:rsidR="003D5DB4" w:rsidRPr="000D0101" w:rsidRDefault="003D5DB4" w:rsidP="000A5389">
          <w:pPr>
            <w:spacing w:line="240" w:lineRule="auto"/>
          </w:pPr>
          <w:r w:rsidRPr="000D0101">
            <w:t>Fechas de las adiciones o modificaciones:</w:t>
          </w:r>
          <w:r w:rsidRPr="000D0101">
            <w:tab/>
            <w:t>N/A</w:t>
          </w:r>
        </w:p>
        <w:p w14:paraId="0569013D" w14:textId="77777777" w:rsidR="003D5DB4" w:rsidRPr="000D0101" w:rsidRDefault="003D5DB4" w:rsidP="000A5389">
          <w:pPr>
            <w:spacing w:line="240" w:lineRule="auto"/>
          </w:pPr>
          <w:r w:rsidRPr="000D0101">
            <w:t>Nueva fecha de finalización estimada: N/A</w:t>
          </w:r>
        </w:p>
        <w:p w14:paraId="28613084" w14:textId="77777777" w:rsidR="003D5DB4" w:rsidRPr="000D0101" w:rsidRDefault="003D5DB4" w:rsidP="000A5389">
          <w:pPr>
            <w:spacing w:line="240" w:lineRule="auto"/>
          </w:pPr>
          <w:r w:rsidRPr="000D0101">
            <w:t>Observaciones: N/A</w:t>
          </w:r>
        </w:p>
        <w:p w14:paraId="338F0A00" w14:textId="77777777" w:rsidR="003D5DB4" w:rsidRPr="000D0101" w:rsidRDefault="003D5DB4" w:rsidP="000A5389">
          <w:pPr>
            <w:spacing w:line="240" w:lineRule="auto"/>
          </w:pPr>
          <w:r w:rsidRPr="000D0101">
            <w:t>Adiciones o modificaciones en valor</w:t>
          </w:r>
        </w:p>
        <w:p w14:paraId="117F77DF" w14:textId="77777777" w:rsidR="003D5DB4" w:rsidRPr="000D0101" w:rsidRDefault="003D5DB4" w:rsidP="000A5389">
          <w:pPr>
            <w:spacing w:line="240" w:lineRule="auto"/>
          </w:pPr>
        </w:p>
        <w:p w14:paraId="62265FA1" w14:textId="77777777" w:rsidR="003D5DB4" w:rsidRPr="000D0101" w:rsidRDefault="003D5DB4" w:rsidP="000A5389">
          <w:pPr>
            <w:spacing w:line="240" w:lineRule="auto"/>
          </w:pPr>
          <w:r w:rsidRPr="000D0101">
            <w:t xml:space="preserve">Valor de la adición o modificación: -&gt;Resolución 1027 de 1994: Se fija un pago de US$2.948.299,86 o 30 cuotas anuales anticipadas de US$328.511.-&gt;Resolución 482 de 1997: Se establece un nuevo valor de US$1.636.110 a valor presente o 28 cuotas anuales de </w:t>
          </w:r>
          <w:r w:rsidRPr="000D0101">
            <w:lastRenderedPageBreak/>
            <w:t>US$183.922.-&gt;Resolución 3236 de 2000: Reduce la contraprestación a US$984.149,33 o 23 cuotas de US$117.639,92.</w:t>
          </w:r>
        </w:p>
        <w:p w14:paraId="752F9779" w14:textId="77777777" w:rsidR="003D5DB4" w:rsidRPr="000D0101" w:rsidRDefault="003D5DB4" w:rsidP="000A5389">
          <w:pPr>
            <w:spacing w:line="240" w:lineRule="auto"/>
          </w:pPr>
        </w:p>
        <w:p w14:paraId="3DD3040E" w14:textId="77777777" w:rsidR="003D5DB4" w:rsidRPr="000D0101" w:rsidRDefault="003D5DB4" w:rsidP="000A5389">
          <w:pPr>
            <w:spacing w:line="240" w:lineRule="auto"/>
          </w:pPr>
          <w:r w:rsidRPr="000D0101">
            <w:t>Nuevo valor del acuerdo: El último ajuste de la contraprestación, según la Resolución 3236 de 2000, establece que el Fondo Rotatorio de la Armada Nacional pagará US$984.149,33 hasta el 6 de enero de 2024.</w:t>
          </w:r>
        </w:p>
        <w:p w14:paraId="634F53BE" w14:textId="77777777" w:rsidR="003D5DB4" w:rsidRPr="000D0101" w:rsidRDefault="003D5DB4" w:rsidP="000A5389">
          <w:pPr>
            <w:spacing w:line="240" w:lineRule="auto"/>
          </w:pPr>
        </w:p>
        <w:p w14:paraId="754C84E0" w14:textId="77777777" w:rsidR="003D5DB4" w:rsidRPr="000D0101" w:rsidRDefault="003D5DB4" w:rsidP="000A5389">
          <w:pPr>
            <w:spacing w:line="240" w:lineRule="auto"/>
          </w:pPr>
          <w:r w:rsidRPr="000D0101">
            <w:t>Observaciones: La contraprestación ha sido modificada en varias ocasiones, reduciéndose desde US$2.9 millones en 1994 hasta US$984.149,33 en 2000. Estas modificaciones se basaron en cambios en las áreas concesionadas y en la reducción del área del contrato</w:t>
          </w:r>
        </w:p>
        <w:p w14:paraId="11DC3299" w14:textId="77777777" w:rsidR="003D5DB4" w:rsidRPr="00915852" w:rsidRDefault="003D5DB4" w:rsidP="000A5389">
          <w:pPr>
            <w:spacing w:line="240" w:lineRule="auto"/>
            <w:rPr>
              <w:rFonts w:eastAsia="Times New Roman"/>
              <w:i/>
              <w:iCs/>
              <w:lang w:eastAsia="es-CO"/>
            </w:rPr>
          </w:pPr>
          <w:r w:rsidRPr="00915852">
            <w:rPr>
              <w:rFonts w:eastAsia="Times New Roman"/>
              <w:i/>
              <w:iCs/>
              <w:lang w:eastAsia="es-CO"/>
            </w:rPr>
            <w:t xml:space="preserve">ALGRANEL S.A. </w:t>
          </w:r>
        </w:p>
        <w:p w14:paraId="478DCC42" w14:textId="77777777" w:rsidR="003D5DB4" w:rsidRPr="000D0101" w:rsidRDefault="003D5DB4" w:rsidP="000A5389">
          <w:pPr>
            <w:spacing w:line="240" w:lineRule="auto"/>
            <w:rPr>
              <w:rFonts w:eastAsia="Times New Roman"/>
              <w:lang w:eastAsia="es-CO"/>
            </w:rPr>
          </w:pPr>
        </w:p>
        <w:p w14:paraId="25E1CE0E" w14:textId="77777777" w:rsidR="003D5DB4" w:rsidRPr="000D0101" w:rsidRDefault="003D5DB4" w:rsidP="000A5389">
          <w:pPr>
            <w:spacing w:line="240" w:lineRule="auto"/>
          </w:pPr>
          <w:r w:rsidRPr="000D0101">
            <w:t>a. Descripción del Acuerdo</w:t>
          </w:r>
        </w:p>
        <w:p w14:paraId="62AAACE6" w14:textId="77777777" w:rsidR="003D5DB4" w:rsidRPr="000D0101" w:rsidRDefault="003D5DB4" w:rsidP="000A5389">
          <w:pPr>
            <w:spacing w:line="240" w:lineRule="auto"/>
          </w:pPr>
        </w:p>
        <w:p w14:paraId="48B7EE23" w14:textId="77777777" w:rsidR="003D5DB4" w:rsidRPr="000D0101" w:rsidRDefault="003D5DB4" w:rsidP="000A5389">
          <w:pPr>
            <w:spacing w:line="240" w:lineRule="auto"/>
          </w:pPr>
          <w:r w:rsidRPr="000D0101">
            <w:t>Número del Acuerdo de Concesión: 010 de 1994</w:t>
          </w:r>
        </w:p>
        <w:p w14:paraId="533794D9" w14:textId="77777777" w:rsidR="003D5DB4" w:rsidRPr="000D0101" w:rsidRDefault="003D5DB4" w:rsidP="000A5389">
          <w:pPr>
            <w:spacing w:line="240" w:lineRule="auto"/>
          </w:pPr>
        </w:p>
        <w:p w14:paraId="16562466" w14:textId="77777777" w:rsidR="003D5DB4" w:rsidRPr="000D0101" w:rsidRDefault="003D5DB4" w:rsidP="000A5389">
          <w:pPr>
            <w:spacing w:line="240" w:lineRule="auto"/>
          </w:pPr>
          <w:r w:rsidRPr="000D0101">
            <w:t>Objeto / Descripción: En virtud del Contrato de concesión y sus modificaciones, se otorga al CONCESIONARIO una concesión portuaria cuyos terrenos están localizados en la Bahía de Cartagena, Departamento del Bolívar. Los terrenos se encuentran incluidos en el Plan de Expansión Portuaria aprobado mediante Decreto 2147 de 1991. En desarrollo de la concesión portuaria se otorga al concesionario el derecho a: (a) ocupar y utilizar en forma temporal y exclusiva una línea de playa y zona de bajamar, (b) efectuar un dragado de profundización; y (c) ejecutar un relleno de la zona marina y nivelación de dicho lote, para operar sus instalaciones en un puerto de servicio público, conforme lo establece la Cláusula Primera del Otrosí No. 4 del 23 de septiembre de 2011.</w:t>
          </w:r>
        </w:p>
        <w:p w14:paraId="01BF0F30" w14:textId="77777777" w:rsidR="003D5DB4" w:rsidRPr="000D0101" w:rsidRDefault="003D5DB4" w:rsidP="000A5389">
          <w:pPr>
            <w:spacing w:line="240" w:lineRule="auto"/>
          </w:pPr>
          <w:r w:rsidRPr="000D0101">
            <w:t>Valor inicial: USD 458.380,43 Cláusula Décima / Contrato No. 010 de 1994</w:t>
          </w:r>
        </w:p>
        <w:p w14:paraId="19B64569" w14:textId="77777777" w:rsidR="003D5DB4" w:rsidRPr="000D0101" w:rsidRDefault="003D5DB4" w:rsidP="000A5389">
          <w:pPr>
            <w:spacing w:line="240" w:lineRule="auto"/>
          </w:pPr>
          <w:r w:rsidRPr="000D0101">
            <w:t>Fecha de inicio: 21/04/1994</w:t>
          </w:r>
        </w:p>
        <w:p w14:paraId="00917DA1" w14:textId="77777777" w:rsidR="003D5DB4" w:rsidRPr="000D0101" w:rsidRDefault="003D5DB4" w:rsidP="000A5389">
          <w:pPr>
            <w:spacing w:line="240" w:lineRule="auto"/>
          </w:pPr>
          <w:r w:rsidRPr="000D0101">
            <w:t>Fecha de finalización estimada: 21/04/2034</w:t>
          </w:r>
        </w:p>
        <w:p w14:paraId="688D419C" w14:textId="77777777" w:rsidR="003D5DB4" w:rsidRPr="000D0101" w:rsidRDefault="003D5DB4" w:rsidP="000A5389">
          <w:pPr>
            <w:spacing w:line="240" w:lineRule="auto"/>
          </w:pPr>
          <w:r w:rsidRPr="000D0101">
            <w:t xml:space="preserve">Tipo ID: </w:t>
          </w:r>
          <w:r w:rsidRPr="000D0101">
            <w:rPr>
              <w:rStyle w:val="Estilo5"/>
              <w:rFonts w:cs="Times New Roman"/>
              <w:szCs w:val="24"/>
            </w:rPr>
            <w:t>NIT</w:t>
          </w:r>
        </w:p>
        <w:p w14:paraId="0E1AD963" w14:textId="77777777" w:rsidR="003D5DB4" w:rsidRPr="000D0101" w:rsidRDefault="003D5DB4" w:rsidP="000A5389">
          <w:pPr>
            <w:spacing w:line="240" w:lineRule="auto"/>
          </w:pPr>
          <w:r w:rsidRPr="000D0101">
            <w:t xml:space="preserve">Número ID: </w:t>
          </w:r>
          <w:r w:rsidRPr="000D0101">
            <w:rPr>
              <w:rStyle w:val="Estilo6"/>
              <w:rFonts w:cs="Times New Roman"/>
              <w:szCs w:val="24"/>
            </w:rPr>
            <w:t>860.053.976-0</w:t>
          </w:r>
        </w:p>
        <w:p w14:paraId="3712767E" w14:textId="77777777" w:rsidR="003D5DB4" w:rsidRPr="000D0101" w:rsidRDefault="003D5DB4" w:rsidP="000A5389">
          <w:pPr>
            <w:spacing w:line="240" w:lineRule="auto"/>
          </w:pPr>
          <w:r w:rsidRPr="000D0101">
            <w:t>Razón social del concesionario: Sociedad Portuaria Algranel S.A.</w:t>
          </w:r>
        </w:p>
        <w:p w14:paraId="5A589D35" w14:textId="77777777" w:rsidR="003D5DB4" w:rsidRPr="000D0101" w:rsidRDefault="003D5DB4" w:rsidP="000A5389">
          <w:pPr>
            <w:spacing w:line="240" w:lineRule="auto"/>
          </w:pPr>
          <w:r w:rsidRPr="000D0101">
            <w:t>Nombre del proyecto: Sociedad Portuaria Algranel S.A.</w:t>
          </w:r>
        </w:p>
        <w:p w14:paraId="1493E781" w14:textId="77777777" w:rsidR="003D5DB4" w:rsidRPr="000D0101" w:rsidRDefault="003D5DB4" w:rsidP="000A5389">
          <w:pPr>
            <w:spacing w:line="240" w:lineRule="auto"/>
            <w:rPr>
              <w:lang w:val="es-MX"/>
            </w:rPr>
          </w:pPr>
        </w:p>
        <w:p w14:paraId="0924ECE6" w14:textId="77777777" w:rsidR="003D5DB4" w:rsidRPr="000D0101" w:rsidRDefault="003D5DB4" w:rsidP="000A5389">
          <w:pPr>
            <w:spacing w:line="240" w:lineRule="auto"/>
            <w:rPr>
              <w:lang w:val="es-MX"/>
            </w:rPr>
          </w:pPr>
          <w:r w:rsidRPr="000D0101">
            <w:rPr>
              <w:lang w:val="es-MX"/>
            </w:rPr>
            <w:t>b. Términos significativos del Acuerdo que puedan afectar su valor, el calendario y la certeza de los flujos</w:t>
          </w:r>
        </w:p>
        <w:p w14:paraId="68A0ED66" w14:textId="77777777" w:rsidR="003D5DB4" w:rsidRPr="000D0101" w:rsidRDefault="003D5DB4" w:rsidP="000A5389">
          <w:pPr>
            <w:spacing w:line="240" w:lineRule="auto"/>
          </w:pPr>
        </w:p>
        <w:p w14:paraId="00C04497" w14:textId="77777777" w:rsidR="003D5DB4" w:rsidRPr="000D0101" w:rsidRDefault="003D5DB4" w:rsidP="000A5389">
          <w:pPr>
            <w:spacing w:line="240" w:lineRule="auto"/>
          </w:pPr>
          <w:r w:rsidRPr="000D0101">
            <w:t xml:space="preserve">Términos de valor: </w:t>
          </w:r>
          <w:r w:rsidRPr="000D0101">
            <w:rPr>
              <w:rStyle w:val="EncabezadoCar"/>
              <w:rFonts w:cs="Times New Roman"/>
              <w:szCs w:val="24"/>
            </w:rPr>
            <w:t xml:space="preserve">Tarifas: Al ser el terminal marítimo de servicio público la Ley 1ª de 1991 establece: Las sociedades portuarias que operan puertos de servicio público las tarifas requieren ser aprobadas según la metodología establecida por la Superintendencia General de Puertos hoy Superintendencia de Transporte. Contraprestación portuaria: De acuerdo con el último documento contractual vigente la metodología de contraprestación vigente es CONPES 3744 de 2013 (Componentes Fijo y Variable). A febrero de 2022 el CONCESIONARIO debió pagar la suma de USD 113.344 El valor correspondiente a la contraprestación por zona de uso público resultará de la diferencia entre el valor de la </w:t>
          </w:r>
          <w:r w:rsidRPr="000D0101">
            <w:rPr>
              <w:rStyle w:val="EncabezadoCar"/>
              <w:rFonts w:cs="Times New Roman"/>
              <w:szCs w:val="24"/>
            </w:rPr>
            <w:lastRenderedPageBreak/>
            <w:t>liquidación total y el valor de la infraestructura. Y el recaudo se realizará de conformidad con la Ley 856 de 2003, es decir, ZUP el 80% le corresponde a la Nación Instituto nacional de vías (INVIAS) y el 20% restante al Municipio de Cartagena. Plan de Inversiones: Está establecido en la cláusula sexta del contrato, modificado por el Otrosí No. 4 de 2011, modificado por el Otrosí No. 5 de 2019, que a su vez es modificado por el Otrosí No. 6 de 2020, que el plan de inversión será USD 13.371.740 en constantes de 2011.Obligaciones del CONCESIONARIO: Se encuentran descritas en la Cláusula Décima Primera del Contrato. Multas y sanciones: Están establecidas en el numeral Noveno del Otrosí N. 4 de 2011.Penal pecuniario: En la Cláusula Décima Cuarta del Contrato se establece que en el evento en que el INCO hoy ANI declare la caducidad o el incumplimiento del presente contrato se podrá imponer una penalidad pecuniaria, equivalente al 10% del valor total de la contraprestación.</w:t>
          </w:r>
        </w:p>
        <w:p w14:paraId="6B1402DC" w14:textId="77777777" w:rsidR="003D5DB4" w:rsidRPr="000D0101" w:rsidRDefault="003D5DB4" w:rsidP="000A5389">
          <w:pPr>
            <w:spacing w:line="240" w:lineRule="auto"/>
          </w:pPr>
          <w:r w:rsidRPr="000D0101">
            <w:t xml:space="preserve">Términos de calendario: </w:t>
          </w:r>
          <w:r w:rsidRPr="000D0101">
            <w:rPr>
              <w:rStyle w:val="EncabezadoCar"/>
              <w:rFonts w:cs="Times New Roman"/>
              <w:szCs w:val="24"/>
            </w:rPr>
            <w:t>Tarifas: Aprobadas según la metodología establecida por la Superintendencia General de Puertos hoy Superintendencia de Transporte. Contraprestación portuaria: Anexo 2 del Conpes 3744 de 2013 “(…) Antes de finalizar los meses de febrero cada concesionario deberá corregir su liquidación del año anterior según el movimiento de carga real y la indexación del valor de referencia por metro cuadrado, del avalúo de la infraestructura concesionada y de los cargos, así como realizar el pago anticipado del año en curso con base en lo proyectado en el FCL definitivo” Plan de Inversiones: En la Cláusula Primera del Otrosí No. 6 de 2020 se establece que, el Concesionario ejecutará el nuevo plan de inversiones en los años 2011 a 2031.Multas y sanciones: Están establecidas en el numeral Noveno del Otrosí N. 4 de 2011.</w:t>
          </w:r>
        </w:p>
        <w:p w14:paraId="79BE9FFD" w14:textId="77777777" w:rsidR="003D5DB4" w:rsidRPr="000D0101" w:rsidRDefault="003D5DB4" w:rsidP="000A5389">
          <w:pPr>
            <w:spacing w:line="240" w:lineRule="auto"/>
          </w:pPr>
        </w:p>
        <w:p w14:paraId="210CB236" w14:textId="77777777" w:rsidR="003D5DB4" w:rsidRPr="000D0101" w:rsidRDefault="003D5DB4" w:rsidP="000A5389">
          <w:pPr>
            <w:spacing w:line="240" w:lineRule="auto"/>
          </w:pPr>
          <w:r w:rsidRPr="000D0101">
            <w:t xml:space="preserve">Términos de certeza de flujos de efectivo futuros: </w:t>
          </w:r>
          <w:r w:rsidRPr="000D0101">
            <w:rPr>
              <w:rStyle w:val="EncabezadoCar"/>
              <w:rFonts w:cs="Times New Roman"/>
              <w:szCs w:val="24"/>
            </w:rPr>
            <w:t>Se otorga al concesionario el derecho a: (a) ocupar y utilizar en forma temporal y exclusiva una línea de playa y zona de bajamar, (b) efectuar un dragado de profundización; y (c) ejecutar un relleno de la zona marina y nivelación de dicho lote, para operar sus instalaciones en un puerto de servicio público, para la movilización de minerales a granel, especialmente materias primas, a cambio de una contraprestación económica. Numeral Octavo del Otrosí No. 4 de 2011: Del pago de la contraprestación corresponderá el ochenta por ciento (80%) a la Nación- Instituto Nacional de Vías- INVIAS y el veinte por ciento (20%) restante al Municipio correspondiente, de acuerdo con lo establecido en el parágrafo 1° del artículo 1° de la Ley 856 de 2003, que modifica el artículo 7° de la Ley 1ª de 1991</w:t>
          </w:r>
        </w:p>
        <w:p w14:paraId="7F1D7A7C" w14:textId="77777777" w:rsidR="003D5DB4" w:rsidRPr="000D0101" w:rsidRDefault="003D5DB4" w:rsidP="000A5389">
          <w:pPr>
            <w:spacing w:line="240" w:lineRule="auto"/>
            <w:rPr>
              <w:lang w:val="es-MX"/>
            </w:rPr>
          </w:pPr>
          <w:r w:rsidRPr="000D0101">
            <w:rPr>
              <w:lang w:val="es-MX"/>
            </w:rPr>
            <w:t>c. Naturaleza y alcance del derecho a utilizar activos especificados y los aspectos pactados en torno a lo que se espera que el concesionario proporcione en relación con el acuerdo de concesión</w:t>
          </w:r>
        </w:p>
        <w:p w14:paraId="28F0E215" w14:textId="77777777" w:rsidR="003D5DB4" w:rsidRPr="000D0101" w:rsidRDefault="003D5DB4" w:rsidP="000A5389">
          <w:pPr>
            <w:spacing w:line="240" w:lineRule="auto"/>
          </w:pPr>
        </w:p>
        <w:p w14:paraId="3C1DFCFF" w14:textId="77777777" w:rsidR="003D5DB4" w:rsidRPr="000D0101" w:rsidRDefault="003D5DB4" w:rsidP="000A5389">
          <w:pPr>
            <w:spacing w:line="240" w:lineRule="auto"/>
          </w:pPr>
          <w:r w:rsidRPr="000D0101">
            <w:t>Naturaleza y alcance del derecho de uso de los activos</w:t>
          </w:r>
        </w:p>
        <w:p w14:paraId="657F9368" w14:textId="77777777" w:rsidR="003D5DB4" w:rsidRPr="000D0101" w:rsidRDefault="003D5DB4" w:rsidP="000A5389">
          <w:pPr>
            <w:spacing w:line="240" w:lineRule="auto"/>
          </w:pPr>
        </w:p>
        <w:p w14:paraId="6A46F5A3" w14:textId="77777777" w:rsidR="003D5DB4" w:rsidRPr="000D0101" w:rsidRDefault="003D5DB4" w:rsidP="000A5389">
          <w:pPr>
            <w:spacing w:line="240" w:lineRule="auto"/>
          </w:pPr>
          <w:r w:rsidRPr="000D0101">
            <w:t xml:space="preserve">Descripción: las condiciones especiales de operación del puerto están establecidas en la Cláusula Cuarta del Otrosí No. 4 del 23 de septiembre de 2011.  </w:t>
          </w:r>
        </w:p>
        <w:p w14:paraId="3F4A6DE5" w14:textId="77777777" w:rsidR="003D5DB4" w:rsidRPr="000D0101" w:rsidRDefault="003D5DB4" w:rsidP="000A5389">
          <w:pPr>
            <w:spacing w:line="240" w:lineRule="auto"/>
          </w:pPr>
        </w:p>
        <w:p w14:paraId="2566B173" w14:textId="77777777" w:rsidR="003D5DB4" w:rsidRPr="000D0101" w:rsidRDefault="003D5DB4" w:rsidP="000A5389">
          <w:pPr>
            <w:spacing w:line="240" w:lineRule="auto"/>
          </w:pPr>
          <w:r w:rsidRPr="000D0101">
            <w:t xml:space="preserve">Observaciones: La descripción de la ubicación, linderos y extensión de los bienes de uso público (playas y terrenos de baja mar, zonas marítimas accesorias de maniobras) entregados </w:t>
          </w:r>
          <w:r w:rsidRPr="000D0101">
            <w:lastRenderedPageBreak/>
            <w:t>en concesión están establecidos en la cláusula segunda del Otrosí No. 4 del 23 de septiembre de 2011</w:t>
          </w:r>
        </w:p>
        <w:p w14:paraId="6FB258A6" w14:textId="77777777" w:rsidR="003D5DB4" w:rsidRPr="000D0101" w:rsidRDefault="003D5DB4" w:rsidP="000A5389">
          <w:pPr>
            <w:spacing w:line="240" w:lineRule="auto"/>
          </w:pPr>
        </w:p>
        <w:p w14:paraId="27FFCA46" w14:textId="77777777" w:rsidR="003D5DB4" w:rsidRPr="000D0101" w:rsidRDefault="003D5DB4" w:rsidP="000A5389">
          <w:pPr>
            <w:spacing w:line="240" w:lineRule="auto"/>
          </w:pPr>
          <w:r w:rsidRPr="000D0101">
            <w:t>Retribución al concesionario</w:t>
          </w:r>
        </w:p>
        <w:p w14:paraId="1AFF9D8C" w14:textId="77777777" w:rsidR="003D5DB4" w:rsidRPr="000D0101" w:rsidRDefault="003D5DB4" w:rsidP="000A5389">
          <w:pPr>
            <w:spacing w:line="240" w:lineRule="auto"/>
          </w:pPr>
        </w:p>
        <w:p w14:paraId="5B4BCD96" w14:textId="77777777" w:rsidR="003D5DB4" w:rsidRPr="000D0101" w:rsidRDefault="003D5DB4" w:rsidP="000A5389">
          <w:pPr>
            <w:spacing w:line="240" w:lineRule="auto"/>
          </w:pPr>
          <w:r w:rsidRPr="000D0101">
            <w:t>Descripción: Numeral Primero del Otrosí No. 4 de 2011: Se otorga al concesionario el derecho a: (a) ocupar y utilizar en forma temporal y exclusiva una línea de playa y zona de bajamar, (b) efectuar un dragado de profundización; y (c) ejecutar un relleno de la zona marina y nivelación de dicho lote, para operar sus instalaciones en un puerto de servicio público, para la movilización de minerales a granel, especialmente materias primas, a cambio de una contraprestación económica</w:t>
          </w:r>
        </w:p>
        <w:p w14:paraId="061AE982" w14:textId="77777777" w:rsidR="003D5DB4" w:rsidRPr="000D0101" w:rsidRDefault="003D5DB4" w:rsidP="000A5389">
          <w:pPr>
            <w:spacing w:line="240" w:lineRule="auto"/>
          </w:pPr>
        </w:p>
        <w:p w14:paraId="517CD6EC" w14:textId="77777777" w:rsidR="003D5DB4" w:rsidRPr="000D0101" w:rsidRDefault="003D5DB4" w:rsidP="000A5389">
          <w:pPr>
            <w:spacing w:line="240" w:lineRule="auto"/>
          </w:pPr>
          <w:r w:rsidRPr="000D0101">
            <w:t xml:space="preserve">Tasa de retribución: </w:t>
          </w:r>
          <w:r w:rsidRPr="000D0101">
            <w:rPr>
              <w:rStyle w:val="Estilo6"/>
              <w:rFonts w:cs="Times New Roman"/>
              <w:szCs w:val="24"/>
            </w:rPr>
            <w:t>N/A</w:t>
          </w:r>
        </w:p>
        <w:p w14:paraId="3D4E0C80" w14:textId="77777777" w:rsidR="003D5DB4" w:rsidRPr="000D0101" w:rsidRDefault="003D5DB4" w:rsidP="000A5389">
          <w:pPr>
            <w:spacing w:line="240" w:lineRule="auto"/>
          </w:pPr>
        </w:p>
        <w:p w14:paraId="7642727F" w14:textId="77777777" w:rsidR="003D5DB4" w:rsidRPr="000D0101" w:rsidRDefault="003D5DB4" w:rsidP="000A5389">
          <w:pPr>
            <w:spacing w:line="240" w:lineRule="auto"/>
          </w:pPr>
          <w:r w:rsidRPr="000D0101">
            <w:t>d. Derechos a recibir activos especificados al final del acuerdo de concesión</w:t>
          </w:r>
        </w:p>
        <w:p w14:paraId="6E2F76D5" w14:textId="77777777" w:rsidR="003D5DB4" w:rsidRPr="000D0101" w:rsidRDefault="003D5DB4" w:rsidP="000A5389">
          <w:pPr>
            <w:spacing w:line="240" w:lineRule="auto"/>
          </w:pPr>
        </w:p>
        <w:p w14:paraId="2DEEBD98" w14:textId="77777777" w:rsidR="003D5DB4" w:rsidRPr="000D0101" w:rsidRDefault="003D5DB4" w:rsidP="000A5389">
          <w:pPr>
            <w:spacing w:line="240" w:lineRule="auto"/>
          </w:pPr>
          <w:r w:rsidRPr="000D0101">
            <w:t>Descripción: De acuerdo con el Artículo 8º de la Ley 1 de 1991 en el modo portuario el concesionario no tiene derechos finales sobre activos los debe revertir a la Nación al final del contrato de concesión.</w:t>
          </w:r>
        </w:p>
        <w:p w14:paraId="3AEC3F92" w14:textId="77777777" w:rsidR="003D5DB4" w:rsidRPr="000D0101" w:rsidRDefault="003D5DB4" w:rsidP="000A5389">
          <w:pPr>
            <w:spacing w:line="240" w:lineRule="auto"/>
          </w:pPr>
        </w:p>
        <w:p w14:paraId="144F853B" w14:textId="77777777" w:rsidR="003D5DB4" w:rsidRPr="000D0101" w:rsidRDefault="003D5DB4" w:rsidP="000A5389">
          <w:pPr>
            <w:spacing w:line="240" w:lineRule="auto"/>
          </w:pPr>
          <w:r w:rsidRPr="000D0101">
            <w:t>Observaciones: Reversión: De acuerdo con lo establecido en el numeral séptimo del Otrosí N.4 de 2011, todas las construcciones e inmuebles por destinación, que se encuentren instalados en la zona de uso público otorgada en concesión revertirán gratuitamente por el Concesionario. Para tal fin, en el momento de la reversión el CONCESIONARIO elaborará un inventario de los bienes y los enviará para su revisión y aprobación. La ANI es la entidad concedente pero la titularidad de los activos al final de la concesión es del Instituto Nacional de Vías INVIAS.</w:t>
          </w:r>
        </w:p>
        <w:p w14:paraId="49B6DCF5" w14:textId="77777777" w:rsidR="003D5DB4" w:rsidRPr="000D0101" w:rsidRDefault="003D5DB4" w:rsidP="000A5389">
          <w:pPr>
            <w:spacing w:line="240" w:lineRule="auto"/>
          </w:pPr>
        </w:p>
        <w:p w14:paraId="07478982" w14:textId="77777777" w:rsidR="003D5DB4" w:rsidRPr="000D0101" w:rsidRDefault="003D5DB4" w:rsidP="000A5389">
          <w:pPr>
            <w:spacing w:line="240" w:lineRule="auto"/>
          </w:pPr>
          <w:r w:rsidRPr="000D0101">
            <w:t>e. Las alternativas de renovación y cese del Acuerdo</w:t>
          </w:r>
        </w:p>
        <w:p w14:paraId="5E730648" w14:textId="77777777" w:rsidR="003D5DB4" w:rsidRPr="000D0101" w:rsidRDefault="003D5DB4" w:rsidP="000A5389">
          <w:pPr>
            <w:spacing w:line="240" w:lineRule="auto"/>
          </w:pPr>
        </w:p>
        <w:p w14:paraId="7DC4F1FC" w14:textId="77777777" w:rsidR="003D5DB4" w:rsidRPr="000D0101" w:rsidRDefault="003D5DB4" w:rsidP="000A5389">
          <w:pPr>
            <w:spacing w:line="240" w:lineRule="auto"/>
          </w:pPr>
          <w:r w:rsidRPr="000D0101">
            <w:t>Descripción: Plazo: Está descrito en el numeral Sexto del Otrosí N.4 de 2011. Caducidad: Establecida en la Cláusula Décima Segunda del Contrato No. 010 de 1994.Suspensión del contrato: Está establecida en la Cláusula Décima Novena del Contrato No 010 de 1994.Cesión: Está establecido en la cláusula vigésima del Contrato No. 010 de 1994. Modificación, interpretación y terminación, unilateral: Está establecido en la cláusula vigésima primera del Contrato No. 01 de 1994.</w:t>
          </w:r>
        </w:p>
        <w:p w14:paraId="07845E17" w14:textId="77777777" w:rsidR="003D5DB4" w:rsidRPr="000D0101" w:rsidRDefault="003D5DB4" w:rsidP="000A5389">
          <w:pPr>
            <w:spacing w:line="240" w:lineRule="auto"/>
          </w:pPr>
          <w:r w:rsidRPr="000D0101">
            <w:t>Observaciones: Está descrito en el numeral Sexto del Otrosí N. 4 de 2011, el plazo de la concesión es hasta el 21 de abril de 2034. Antes del vencimiento del plazo indicado, las partes podrán prorrogar el término de la concesión, por periodos de 20 años máximo cada vez y así sucesivamente. En ningún caso habrá lugar de prórroga automática.</w:t>
          </w:r>
        </w:p>
        <w:p w14:paraId="7C1A5079" w14:textId="77777777" w:rsidR="003D5DB4" w:rsidRPr="000D0101" w:rsidRDefault="003D5DB4" w:rsidP="000A5389">
          <w:pPr>
            <w:spacing w:line="240" w:lineRule="auto"/>
          </w:pPr>
        </w:p>
        <w:p w14:paraId="188E3409" w14:textId="77777777" w:rsidR="003D5DB4" w:rsidRPr="000D0101" w:rsidRDefault="003D5DB4" w:rsidP="000A5389">
          <w:pPr>
            <w:spacing w:line="240" w:lineRule="auto"/>
            <w:rPr>
              <w:lang w:val="es-MX"/>
            </w:rPr>
          </w:pPr>
          <w:r w:rsidRPr="000D0101">
            <w:t>f. Camb</w:t>
          </w:r>
          <w:r w:rsidRPr="000D0101">
            <w:rPr>
              <w:lang w:val="es-MX"/>
            </w:rPr>
            <w:t>ios en el acuerdo de concesión que se realicen durante el periodo fiscal</w:t>
          </w:r>
        </w:p>
        <w:p w14:paraId="226EFD56" w14:textId="77777777" w:rsidR="003D5DB4" w:rsidRPr="000D0101" w:rsidRDefault="003D5DB4" w:rsidP="000A5389">
          <w:pPr>
            <w:spacing w:line="240" w:lineRule="auto"/>
            <w:rPr>
              <w:lang w:val="es-MX"/>
            </w:rPr>
          </w:pPr>
        </w:p>
        <w:p w14:paraId="16F98B56" w14:textId="77777777" w:rsidR="003D5DB4" w:rsidRPr="000D0101" w:rsidRDefault="003D5DB4" w:rsidP="000A5389">
          <w:pPr>
            <w:spacing w:line="240" w:lineRule="auto"/>
          </w:pPr>
          <w:r w:rsidRPr="000D0101">
            <w:t>Adiciones o modificaciones en tiempo</w:t>
          </w:r>
        </w:p>
        <w:p w14:paraId="7E631377" w14:textId="77777777" w:rsidR="003D5DB4" w:rsidRPr="000D0101" w:rsidRDefault="003D5DB4" w:rsidP="000A5389">
          <w:pPr>
            <w:spacing w:line="240" w:lineRule="auto"/>
          </w:pPr>
        </w:p>
        <w:p w14:paraId="39EEC965" w14:textId="77777777" w:rsidR="003D5DB4" w:rsidRPr="000D0101" w:rsidRDefault="003D5DB4" w:rsidP="000A5389">
          <w:pPr>
            <w:spacing w:line="240" w:lineRule="auto"/>
          </w:pPr>
          <w:r w:rsidRPr="000D0101">
            <w:t>Fechas de las adiciones o modificaciones: Otrosí N° 1 del 27/12/1996; Otrosí N° 2 del 1999; Otrosí N° 3 del 19/11/2003; Otrosí N° 4 del 23/09/2011 y Otrosí N° 5 del 23/09/2020</w:t>
          </w:r>
        </w:p>
        <w:p w14:paraId="18B109A0" w14:textId="77777777" w:rsidR="003D5DB4" w:rsidRPr="000D0101" w:rsidRDefault="003D5DB4" w:rsidP="000A5389">
          <w:pPr>
            <w:spacing w:line="240" w:lineRule="auto"/>
          </w:pPr>
          <w:r w:rsidRPr="000D0101">
            <w:t xml:space="preserve"> </w:t>
          </w:r>
        </w:p>
        <w:p w14:paraId="5ACB021C" w14:textId="77777777" w:rsidR="003D5DB4" w:rsidRPr="000D0101" w:rsidRDefault="003D5DB4" w:rsidP="000A5389">
          <w:pPr>
            <w:spacing w:line="240" w:lineRule="auto"/>
            <w:rPr>
              <w:rStyle w:val="Estilo6"/>
              <w:rFonts w:cs="Times New Roman"/>
              <w:szCs w:val="24"/>
            </w:rPr>
          </w:pPr>
          <w:r w:rsidRPr="000D0101">
            <w:t xml:space="preserve">Nueva fecha de finalización estimada: </w:t>
          </w:r>
          <w:r w:rsidRPr="000D0101">
            <w:rPr>
              <w:rStyle w:val="Estilo6"/>
              <w:rFonts w:cs="Times New Roman"/>
              <w:szCs w:val="24"/>
            </w:rPr>
            <w:t>20/04/2034</w:t>
          </w:r>
        </w:p>
        <w:p w14:paraId="391CD4D9" w14:textId="77777777" w:rsidR="003D5DB4" w:rsidRPr="000D0101" w:rsidRDefault="003D5DB4" w:rsidP="000A5389">
          <w:pPr>
            <w:spacing w:line="240" w:lineRule="auto"/>
          </w:pPr>
          <w:r w:rsidRPr="000D0101">
            <w:t>Observaciones: No se tiene ninguna observación</w:t>
          </w:r>
        </w:p>
        <w:p w14:paraId="221E5928" w14:textId="77777777" w:rsidR="003D5DB4" w:rsidRPr="000D0101" w:rsidRDefault="003D5DB4" w:rsidP="000A5389">
          <w:pPr>
            <w:spacing w:line="240" w:lineRule="auto"/>
          </w:pPr>
          <w:r w:rsidRPr="000D0101">
            <w:t>Adiciones o modificaciones en valor</w:t>
          </w:r>
        </w:p>
        <w:p w14:paraId="014F2296" w14:textId="77777777" w:rsidR="003D5DB4" w:rsidRPr="000D0101" w:rsidRDefault="003D5DB4" w:rsidP="000A5389">
          <w:pPr>
            <w:spacing w:line="240" w:lineRule="auto"/>
          </w:pPr>
          <w:r w:rsidRPr="000D0101">
            <w:t xml:space="preserve">Valor de la adición o modificación: </w:t>
          </w:r>
          <w:r w:rsidRPr="000D0101">
            <w:rPr>
              <w:rStyle w:val="Estilo6"/>
              <w:rFonts w:cs="Times New Roman"/>
              <w:szCs w:val="24"/>
            </w:rPr>
            <w:t>N/A</w:t>
          </w:r>
          <w:r w:rsidRPr="000D0101">
            <w:t xml:space="preserve"> </w:t>
          </w:r>
        </w:p>
        <w:p w14:paraId="53EE79CE" w14:textId="77777777" w:rsidR="003D5DB4" w:rsidRPr="000D0101" w:rsidRDefault="003D5DB4" w:rsidP="000A5389">
          <w:pPr>
            <w:spacing w:line="240" w:lineRule="auto"/>
            <w:rPr>
              <w:rStyle w:val="Estilo6"/>
              <w:rFonts w:cs="Times New Roman"/>
              <w:szCs w:val="24"/>
            </w:rPr>
          </w:pPr>
          <w:r w:rsidRPr="000D0101">
            <w:t xml:space="preserve">Nuevo valor del acuerdo: </w:t>
          </w:r>
          <w:r w:rsidRPr="000D0101">
            <w:rPr>
              <w:rStyle w:val="Estilo6"/>
              <w:rFonts w:cs="Times New Roman"/>
              <w:szCs w:val="24"/>
            </w:rPr>
            <w:t>N/A</w:t>
          </w:r>
        </w:p>
        <w:p w14:paraId="7EC3BF35" w14:textId="77777777" w:rsidR="003D5DB4" w:rsidRPr="000D0101" w:rsidRDefault="003D5DB4" w:rsidP="000A5389">
          <w:pPr>
            <w:spacing w:line="240" w:lineRule="auto"/>
          </w:pPr>
          <w:r w:rsidRPr="000D0101">
            <w:t xml:space="preserve">Observaciones: </w:t>
          </w:r>
          <w:r w:rsidRPr="000D0101">
            <w:rPr>
              <w:rStyle w:val="Estilo6"/>
              <w:rFonts w:cs="Times New Roman"/>
              <w:szCs w:val="24"/>
            </w:rPr>
            <w:t>No se tiene ninguna observación.</w:t>
          </w:r>
        </w:p>
        <w:p w14:paraId="368B44B9" w14:textId="77777777" w:rsidR="003D5DB4" w:rsidRPr="000D0101" w:rsidRDefault="003D5DB4" w:rsidP="000A5389">
          <w:pPr>
            <w:spacing w:line="240" w:lineRule="auto"/>
          </w:pPr>
        </w:p>
        <w:p w14:paraId="17D83969" w14:textId="77777777" w:rsidR="003D5DB4" w:rsidRPr="000D0101" w:rsidRDefault="003D5DB4" w:rsidP="000A5389">
          <w:pPr>
            <w:spacing w:line="240" w:lineRule="auto"/>
            <w:rPr>
              <w:rFonts w:eastAsia="Times New Roman"/>
              <w:lang w:eastAsia="es-CO"/>
            </w:rPr>
          </w:pPr>
        </w:p>
        <w:p w14:paraId="5D1F4091" w14:textId="77777777" w:rsidR="003D5DB4" w:rsidRPr="00915852" w:rsidRDefault="003D5DB4" w:rsidP="000A5389">
          <w:pPr>
            <w:spacing w:line="240" w:lineRule="auto"/>
            <w:rPr>
              <w:rFonts w:eastAsia="Times New Roman"/>
              <w:i/>
              <w:iCs/>
              <w:lang w:eastAsia="es-CO"/>
            </w:rPr>
          </w:pPr>
          <w:r w:rsidRPr="00915852">
            <w:rPr>
              <w:rFonts w:eastAsia="Times New Roman"/>
              <w:i/>
              <w:iCs/>
              <w:lang w:eastAsia="es-CO"/>
            </w:rPr>
            <w:t xml:space="preserve">AMERICAN PORT COMPANY INC </w:t>
          </w:r>
        </w:p>
        <w:p w14:paraId="12FCE933" w14:textId="77777777" w:rsidR="003D5DB4" w:rsidRPr="000D0101" w:rsidRDefault="003D5DB4" w:rsidP="000A5389">
          <w:pPr>
            <w:spacing w:line="240" w:lineRule="auto"/>
            <w:rPr>
              <w:rFonts w:eastAsia="Times New Roman"/>
              <w:lang w:eastAsia="es-CO"/>
            </w:rPr>
          </w:pPr>
        </w:p>
        <w:p w14:paraId="0B8AF9EF" w14:textId="77777777" w:rsidR="003D5DB4" w:rsidRPr="000D0101" w:rsidRDefault="003D5DB4" w:rsidP="000A5389">
          <w:pPr>
            <w:spacing w:line="240" w:lineRule="auto"/>
          </w:pPr>
          <w:r w:rsidRPr="000D0101">
            <w:t>a. Descripción del Acuerdo</w:t>
          </w:r>
        </w:p>
        <w:p w14:paraId="6DA30656" w14:textId="77777777" w:rsidR="003D5DB4" w:rsidRPr="000D0101" w:rsidRDefault="003D5DB4" w:rsidP="000A5389">
          <w:pPr>
            <w:spacing w:line="240" w:lineRule="auto"/>
          </w:pPr>
        </w:p>
        <w:p w14:paraId="2236FA25" w14:textId="77777777" w:rsidR="003D5DB4" w:rsidRPr="000D0101" w:rsidRDefault="003D5DB4" w:rsidP="000A5389">
          <w:pPr>
            <w:spacing w:line="240" w:lineRule="auto"/>
          </w:pPr>
          <w:r w:rsidRPr="000D0101">
            <w:t>Número del Acuerdo de Concesión: 002 de 1992</w:t>
          </w:r>
        </w:p>
        <w:p w14:paraId="32271C4F" w14:textId="77777777" w:rsidR="003D5DB4" w:rsidRPr="000D0101" w:rsidRDefault="003D5DB4" w:rsidP="000A5389">
          <w:pPr>
            <w:spacing w:line="240" w:lineRule="auto"/>
          </w:pPr>
        </w:p>
        <w:p w14:paraId="2175C563" w14:textId="77777777" w:rsidR="003D5DB4" w:rsidRPr="000D0101" w:rsidRDefault="003D5DB4" w:rsidP="000A5389">
          <w:pPr>
            <w:spacing w:line="240" w:lineRule="auto"/>
          </w:pPr>
          <w:r w:rsidRPr="000D0101">
            <w:t>Objeto / Descripción: En virtud del Contrato de concesión y sus modificaciones, se permite al CONCESIONARIO ocupar y usar de forma temporal y exclusiva las playas, los terrenos de bajamar y zonas accesorias a aquellas o estos, para construcción, administración y operación de un puerto destinado al servicio privado, conforme lo establece la Cláusula Primera del Otrosí No. 4 del 2013.</w:t>
          </w:r>
        </w:p>
        <w:p w14:paraId="3E2233C4" w14:textId="77777777" w:rsidR="003D5DB4" w:rsidRPr="000D0101" w:rsidRDefault="003D5DB4" w:rsidP="000A5389">
          <w:pPr>
            <w:spacing w:line="240" w:lineRule="auto"/>
          </w:pPr>
          <w:r w:rsidRPr="000D0101">
            <w:t>Valor inicial: USD $ 4.723.423/ Cláusula Novena / Contrato No 002 de 1992. USD $45.385.709 / Cláusula séptima / Otrosí 4 de 2013.</w:t>
          </w:r>
        </w:p>
        <w:p w14:paraId="4128C703" w14:textId="77777777" w:rsidR="003D5DB4" w:rsidRPr="000D0101" w:rsidRDefault="003D5DB4" w:rsidP="000A5389">
          <w:pPr>
            <w:spacing w:line="240" w:lineRule="auto"/>
          </w:pPr>
          <w:r w:rsidRPr="000D0101">
            <w:t>Fecha de inicio: 16/07/1993</w:t>
          </w:r>
        </w:p>
        <w:p w14:paraId="54678BA4" w14:textId="77777777" w:rsidR="003D5DB4" w:rsidRPr="000D0101" w:rsidRDefault="003D5DB4" w:rsidP="000A5389">
          <w:pPr>
            <w:spacing w:line="240" w:lineRule="auto"/>
          </w:pPr>
          <w:r w:rsidRPr="000D0101">
            <w:t>Fecha de finalización estimada: 15/07/2043</w:t>
          </w:r>
        </w:p>
        <w:p w14:paraId="2364EC58" w14:textId="77777777" w:rsidR="003D5DB4" w:rsidRPr="000D0101" w:rsidRDefault="003D5DB4" w:rsidP="000A5389">
          <w:pPr>
            <w:spacing w:line="240" w:lineRule="auto"/>
          </w:pPr>
          <w:r w:rsidRPr="000D0101">
            <w:t xml:space="preserve">Tipo ID: </w:t>
          </w:r>
          <w:r w:rsidRPr="000D0101">
            <w:rPr>
              <w:rStyle w:val="Estilo5"/>
              <w:rFonts w:cs="Times New Roman"/>
              <w:szCs w:val="24"/>
            </w:rPr>
            <w:t>NIT</w:t>
          </w:r>
        </w:p>
        <w:p w14:paraId="71CBB6AB" w14:textId="77777777" w:rsidR="003D5DB4" w:rsidRPr="000D0101" w:rsidRDefault="003D5DB4" w:rsidP="000A5389">
          <w:pPr>
            <w:spacing w:line="240" w:lineRule="auto"/>
          </w:pPr>
          <w:r w:rsidRPr="000D0101">
            <w:t>Número ID: 800.153.687-8</w:t>
          </w:r>
        </w:p>
        <w:p w14:paraId="2F2BC1FF" w14:textId="77777777" w:rsidR="003D5DB4" w:rsidRPr="000D0101" w:rsidRDefault="003D5DB4" w:rsidP="000A5389">
          <w:pPr>
            <w:spacing w:line="240" w:lineRule="auto"/>
          </w:pPr>
          <w:r w:rsidRPr="000D0101">
            <w:t xml:space="preserve">Razón social del concesionario: </w:t>
          </w:r>
          <w:r w:rsidRPr="000D0101">
            <w:rPr>
              <w:rStyle w:val="Estilo6"/>
              <w:rFonts w:cs="Times New Roman"/>
              <w:szCs w:val="24"/>
            </w:rPr>
            <w:t>Sociedad American Port Company INC – Puerto Drummon</w:t>
          </w:r>
        </w:p>
        <w:p w14:paraId="3CBE217D" w14:textId="77777777" w:rsidR="003D5DB4" w:rsidRPr="000D0101" w:rsidRDefault="003D5DB4" w:rsidP="000A5389">
          <w:pPr>
            <w:spacing w:line="240" w:lineRule="auto"/>
            <w:rPr>
              <w:rStyle w:val="Estilo6"/>
              <w:rFonts w:cs="Times New Roman"/>
              <w:szCs w:val="24"/>
            </w:rPr>
          </w:pPr>
          <w:r w:rsidRPr="000D0101">
            <w:t xml:space="preserve">Nombre del proyecto: </w:t>
          </w:r>
          <w:r w:rsidRPr="000D0101">
            <w:rPr>
              <w:rStyle w:val="Estilo6"/>
              <w:rFonts w:cs="Times New Roman"/>
              <w:szCs w:val="24"/>
            </w:rPr>
            <w:t>Sociedad American Port Company INC – Puerto Drummon</w:t>
          </w:r>
        </w:p>
        <w:p w14:paraId="651787AF" w14:textId="77777777" w:rsidR="003D5DB4" w:rsidRPr="000D0101" w:rsidRDefault="003D5DB4" w:rsidP="000A5389">
          <w:pPr>
            <w:spacing w:line="240" w:lineRule="auto"/>
          </w:pPr>
        </w:p>
        <w:p w14:paraId="52BD2528" w14:textId="77777777" w:rsidR="003D5DB4" w:rsidRPr="000D0101" w:rsidRDefault="003D5DB4" w:rsidP="000A5389">
          <w:pPr>
            <w:spacing w:line="240" w:lineRule="auto"/>
            <w:rPr>
              <w:lang w:val="es-MX"/>
            </w:rPr>
          </w:pPr>
          <w:r w:rsidRPr="000D0101">
            <w:rPr>
              <w:lang w:val="es-MX"/>
            </w:rPr>
            <w:t>b. Términos significativos del Acuerdo que puedan afectar su valor, el calendario y la certeza de los flujos</w:t>
          </w:r>
        </w:p>
        <w:p w14:paraId="3D474E8A" w14:textId="77777777" w:rsidR="003D5DB4" w:rsidRPr="000D0101" w:rsidRDefault="003D5DB4" w:rsidP="000A5389">
          <w:pPr>
            <w:spacing w:line="240" w:lineRule="auto"/>
          </w:pPr>
        </w:p>
        <w:p w14:paraId="739CEA42" w14:textId="77777777" w:rsidR="003D5DB4" w:rsidRPr="000D0101" w:rsidRDefault="003D5DB4" w:rsidP="000A5389">
          <w:pPr>
            <w:spacing w:line="240" w:lineRule="auto"/>
          </w:pPr>
          <w:r w:rsidRPr="000D0101">
            <w:t xml:space="preserve">Términos de valor: 1: Tarifas: Al ser el terminal marítimo de servicio privado la Ley 1 de 1991 establece: Las sociedades portuarias que operan puertos de servicio privado podrán fijar libremente sus tarifas, pero mantendrán informada sobre ellas a la Superintendencia General de Puertos hoy Superintendencia de Transporte. </w:t>
          </w:r>
        </w:p>
        <w:p w14:paraId="65D3D5EB" w14:textId="77777777" w:rsidR="003D5DB4" w:rsidRPr="000D0101" w:rsidRDefault="003D5DB4" w:rsidP="000A5389">
          <w:pPr>
            <w:spacing w:line="240" w:lineRule="auto"/>
          </w:pPr>
          <w:r w:rsidRPr="000D0101">
            <w:t xml:space="preserve">2: Contraprestación portuaria: De acuerdo con el último documento contractual vigente la metodología de contraprestación vigente es CONPES 3744 de 2013 (Componentes Fijo y Variable). A febrero de 2025 el CONCESIONARIO debió pagar la suma de USD 7.544.604 El valor correspondiente a la contraprestación por zona de uso público resultará de la diferencia entre el valor de la liquidación total y el valor de la infraestructura. Y el recaudo </w:t>
          </w:r>
          <w:r w:rsidRPr="000D0101">
            <w:lastRenderedPageBreak/>
            <w:t xml:space="preserve">se realizará de conformidad con la ley 856 de 2003, es decir, ZUP el 80% le corresponde a la Nación Instituto nacional de vías (INVIAS-ANI) y el 20% restante al municipio de Ciénaga departamento del Magdalena. </w:t>
          </w:r>
        </w:p>
        <w:p w14:paraId="0AC2809A" w14:textId="77777777" w:rsidR="003D5DB4" w:rsidRPr="000D0101" w:rsidRDefault="003D5DB4" w:rsidP="000A5389">
          <w:pPr>
            <w:spacing w:line="240" w:lineRule="auto"/>
          </w:pPr>
          <w:r w:rsidRPr="000D0101">
            <w:t xml:space="preserve">3: Plan de Inversiones: Está establecido en la cláusula cuarta del Otrosí No 004 del 05 de diciembre de 2013 al Contrato de Concesión 002 de 1992 el cual será de USD 212.643.850 dólares corrientes. </w:t>
          </w:r>
        </w:p>
        <w:p w14:paraId="62CC3A75" w14:textId="77777777" w:rsidR="003D5DB4" w:rsidRPr="000D0101" w:rsidRDefault="003D5DB4" w:rsidP="000A5389">
          <w:pPr>
            <w:spacing w:line="240" w:lineRule="auto"/>
          </w:pPr>
          <w:r w:rsidRPr="000D0101">
            <w:t xml:space="preserve">Obligaciones del CONCESIONARIO: se encuentran descritas en la cláusula décima del contrato y en la cláusula octava del Otrosí modificatorio No 004 de 2013. </w:t>
          </w:r>
        </w:p>
        <w:p w14:paraId="4FEB8247" w14:textId="77777777" w:rsidR="003D5DB4" w:rsidRPr="000D0101" w:rsidRDefault="003D5DB4" w:rsidP="000A5389">
          <w:pPr>
            <w:spacing w:line="240" w:lineRule="auto"/>
          </w:pPr>
          <w:r w:rsidRPr="000D0101">
            <w:t>Multas y sanciones: Están establecidas en la cláusula decimosegunda del Contrato 002 de 1992. Penal pecuniario: En la cláusula décima tercera se establece en el evento que la Superintendencia hoy Agencia Nacional de Infraestructura declare la caducidad o el incumplimiento del presente contrato, el Concesionario deberá pagar la suma del 10% del valor total de la Contraprestación como sanción pecuniaria. El valor de esta suma pagada por el Concesionario se considerará como pago parcial pero definitivo a los perjuicios causados a la Superintendencia hoy Agencia Nacional de Infraestructura</w:t>
          </w:r>
        </w:p>
        <w:p w14:paraId="18F1CD97" w14:textId="77777777" w:rsidR="003D5DB4" w:rsidRPr="000D0101" w:rsidRDefault="003D5DB4" w:rsidP="000A5389">
          <w:pPr>
            <w:spacing w:line="240" w:lineRule="auto"/>
          </w:pPr>
        </w:p>
        <w:p w14:paraId="0F68CDA2" w14:textId="77777777" w:rsidR="003D5DB4" w:rsidRPr="000D0101" w:rsidRDefault="003D5DB4" w:rsidP="000A5389">
          <w:pPr>
            <w:spacing w:line="240" w:lineRule="auto"/>
          </w:pPr>
          <w:r w:rsidRPr="000D0101">
            <w:t>Términos de calendario: 1: Tarifas: Al ser el terminal marítimo de servicio privado la Ley 1 de 1991 establece: Las sociedades portuarias que operan puertos de servicio privado podrán fijar libremente sus tarifas, pero mantendrán informada sobre ellas a la Superintendencia General de Puertos hoy Superintendencia de Transporte.</w:t>
          </w:r>
        </w:p>
        <w:p w14:paraId="42A58709" w14:textId="77777777" w:rsidR="003D5DB4" w:rsidRPr="000D0101" w:rsidRDefault="003D5DB4" w:rsidP="000A5389">
          <w:pPr>
            <w:spacing w:line="240" w:lineRule="auto"/>
          </w:pPr>
          <w:r w:rsidRPr="000D0101">
            <w:t xml:space="preserve">2: Contraprestación portuaria: Contraprestación portuaria: Anexo 2 CONPES 3744 de 2013 “(…) Antes de finalizar los meses de febrero cada concesionario deberá corregir su liquidación del año anterior según el movimiento de carga real y la indexación del valor de referencia por metro cuadrado, del avalúo de la infraestructura concesionada y de los cargos, así como realizar el pago anticipado del año en curso con base en lo proyectado en el FCL definitivo. </w:t>
          </w:r>
        </w:p>
        <w:p w14:paraId="633A2D2C" w14:textId="77777777" w:rsidR="003D5DB4" w:rsidRPr="000D0101" w:rsidRDefault="003D5DB4" w:rsidP="000A5389">
          <w:pPr>
            <w:spacing w:line="240" w:lineRule="auto"/>
          </w:pPr>
          <w:r w:rsidRPr="000D0101">
            <w:t xml:space="preserve">3: Plan de inversiones: Se estableció en la cláusula séptimas del otrosí 4 ejecución de inversiones en el periodo de tiempo comprendido entre el año 2012 a 2014. </w:t>
          </w:r>
        </w:p>
        <w:p w14:paraId="49E3E712" w14:textId="77777777" w:rsidR="003D5DB4" w:rsidRPr="000D0101" w:rsidRDefault="003D5DB4" w:rsidP="000A5389">
          <w:pPr>
            <w:spacing w:line="240" w:lineRule="auto"/>
          </w:pPr>
          <w:r w:rsidRPr="000D0101">
            <w:t>4: Multas: Están establecidas en la cláusula decimosegunda del Contrato 002 de 1992</w:t>
          </w:r>
        </w:p>
        <w:p w14:paraId="47248191" w14:textId="77777777" w:rsidR="003D5DB4" w:rsidRPr="000D0101" w:rsidRDefault="003D5DB4" w:rsidP="000A5389">
          <w:pPr>
            <w:spacing w:line="240" w:lineRule="auto"/>
          </w:pPr>
          <w:r w:rsidRPr="000D0101">
            <w:t xml:space="preserve">Términos de certeza de flujos de efectivo futuros: </w:t>
          </w:r>
          <w:r w:rsidRPr="000D0101">
            <w:rPr>
              <w:rStyle w:val="Estilo6"/>
              <w:rFonts w:cs="Times New Roman"/>
              <w:szCs w:val="24"/>
            </w:rPr>
            <w:t>En virtud del Contrato de concesión y sus modificaciones, se permite al CONCESIONARIO ocupar y usar de forma temporal y exclusiva las playas, los terrenos de bajamar y zonas accesorias a aquellas o estos, para construcción, administración y operación de un puerto destinado al servicio privado, para el manejo de carbón con el sistema de cargue directo, en la jurisdicción del municipio de Ciénaga, departamento de Magdalena, en el kilómetro ocho sobre la troncal del Caribe en la Vía que comunica del Ciénaga a la Santa Marta, a cambio de la contraprestación establecida en el contrato. Teniendo en cuenta que el valor establecido de contraprestación corresponde solo al concepto de Zona de uso público, el ochenta por ciento (80%) de la misma le corresponde a la Nación-Instituto Nacional de Vías INVIAS-ANI, y el veinte por ciento (20%) restante al municipio de Ciénaga, de acuerdo con lo establecido en el parágrafo 1 de articulo de la Ley 856 de 21 de diciembre de 2003, que modifica el artículo 7 de la Ley 1 de 1991.</w:t>
          </w:r>
        </w:p>
        <w:p w14:paraId="5E8B8452" w14:textId="77777777" w:rsidR="003D5DB4" w:rsidRPr="000D0101" w:rsidRDefault="003D5DB4" w:rsidP="000A5389">
          <w:pPr>
            <w:spacing w:line="240" w:lineRule="auto"/>
            <w:rPr>
              <w:lang w:val="es-MX"/>
            </w:rPr>
          </w:pPr>
        </w:p>
        <w:p w14:paraId="2960262A" w14:textId="77777777" w:rsidR="003D5DB4" w:rsidRPr="000D0101" w:rsidRDefault="003D5DB4" w:rsidP="000A5389">
          <w:pPr>
            <w:spacing w:line="240" w:lineRule="auto"/>
            <w:rPr>
              <w:lang w:val="es-MX"/>
            </w:rPr>
          </w:pPr>
          <w:r w:rsidRPr="000D0101">
            <w:rPr>
              <w:lang w:val="es-MX"/>
            </w:rPr>
            <w:lastRenderedPageBreak/>
            <w:t>c. Naturaleza y alcance del derecho a utilizar activos especificados y los aspectos pactados en torno a lo que se espera que el concesionario proporcione en relación con el acuerdo de concesión</w:t>
          </w:r>
        </w:p>
        <w:p w14:paraId="68A4F412" w14:textId="77777777" w:rsidR="003D5DB4" w:rsidRPr="000D0101" w:rsidRDefault="003D5DB4" w:rsidP="000A5389">
          <w:pPr>
            <w:spacing w:line="240" w:lineRule="auto"/>
            <w:rPr>
              <w:lang w:val="es-MX"/>
            </w:rPr>
          </w:pPr>
        </w:p>
        <w:p w14:paraId="1B343613" w14:textId="77777777" w:rsidR="003D5DB4" w:rsidRPr="000D0101" w:rsidRDefault="003D5DB4" w:rsidP="000A5389">
          <w:pPr>
            <w:spacing w:line="240" w:lineRule="auto"/>
          </w:pPr>
          <w:r w:rsidRPr="000D0101">
            <w:t>Naturaleza y alcance del derecho de uso de los activos</w:t>
          </w:r>
        </w:p>
        <w:p w14:paraId="3D0B4115" w14:textId="77777777" w:rsidR="003D5DB4" w:rsidRPr="000D0101" w:rsidRDefault="003D5DB4" w:rsidP="000A5389">
          <w:pPr>
            <w:spacing w:line="240" w:lineRule="auto"/>
          </w:pPr>
        </w:p>
        <w:p w14:paraId="73CC95B9" w14:textId="77777777" w:rsidR="003D5DB4" w:rsidRPr="000D0101" w:rsidRDefault="003D5DB4" w:rsidP="000A5389">
          <w:pPr>
            <w:spacing w:line="240" w:lineRule="auto"/>
          </w:pPr>
          <w:r w:rsidRPr="000D0101">
            <w:t>Descripción: Descripción del proyecto, especificaciones técnicas, modalidades de operación: las condiciones especiales de operación del puerto están establecidas en la Cláusula Cuarta del otrosí No. 4 del 2013. Área entregada en concesión: La descripción de la ubicación, linderos y extensión de los bienes de uso público (playas y terrenos de baja mar, zonas marítimas accesorias de maniobras) entregados en concesión están establecidos en la cláusula segunda del Otrosí No. 4 del 2013.</w:t>
          </w:r>
        </w:p>
        <w:p w14:paraId="0A98C4E9" w14:textId="77777777" w:rsidR="003D5DB4" w:rsidRPr="000D0101" w:rsidRDefault="003D5DB4" w:rsidP="000A5389">
          <w:pPr>
            <w:spacing w:line="240" w:lineRule="auto"/>
          </w:pPr>
          <w:r w:rsidRPr="000D0101">
            <w:t xml:space="preserve">Observaciones: </w:t>
          </w:r>
          <w:r w:rsidRPr="000D0101">
            <w:rPr>
              <w:rStyle w:val="Estilo6"/>
              <w:rFonts w:cs="Times New Roman"/>
              <w:szCs w:val="24"/>
            </w:rPr>
            <w:t>NA</w:t>
          </w:r>
        </w:p>
        <w:p w14:paraId="21C6C4EF" w14:textId="77777777" w:rsidR="003D5DB4" w:rsidRPr="000D0101" w:rsidRDefault="003D5DB4" w:rsidP="000A5389">
          <w:pPr>
            <w:spacing w:line="240" w:lineRule="auto"/>
          </w:pPr>
          <w:r w:rsidRPr="000D0101">
            <w:t>Retribución al concesionario</w:t>
          </w:r>
        </w:p>
        <w:p w14:paraId="617DD7B1" w14:textId="77777777" w:rsidR="003D5DB4" w:rsidRPr="000D0101" w:rsidRDefault="003D5DB4" w:rsidP="000A5389">
          <w:pPr>
            <w:spacing w:line="240" w:lineRule="auto"/>
          </w:pPr>
        </w:p>
        <w:p w14:paraId="33C89D75" w14:textId="77777777" w:rsidR="003D5DB4" w:rsidRPr="000D0101" w:rsidRDefault="003D5DB4" w:rsidP="000A5389">
          <w:pPr>
            <w:spacing w:line="240" w:lineRule="auto"/>
          </w:pPr>
          <w:r w:rsidRPr="000D0101">
            <w:t>Descripción: Descripción: En virtud del Contrato de concesión y sus modificaciones, se permite al CONCESIONARIO ocupar y usar de forma temporal y exclusiva las playas, los terrenos de bajamar y zonas accesorias a aquellas o estos, para construcción, administración y operación de un puerto destinado al servicio privado, para el manejo de carbón con el sistema de cargue directo, en la jurisdicción del municipio de Ciénaga, departamento de Magdalena, en el kilómetro ocho sobre la troncal del Caribe en la Vía que comunica del Ciénaga a la Santa Marta, a cambio de la contraprestación establecida en el contrato.</w:t>
          </w:r>
        </w:p>
        <w:p w14:paraId="324D6A85" w14:textId="77777777" w:rsidR="003D5DB4" w:rsidRPr="000D0101" w:rsidRDefault="003D5DB4" w:rsidP="000A5389">
          <w:pPr>
            <w:spacing w:line="240" w:lineRule="auto"/>
          </w:pPr>
          <w:r w:rsidRPr="000D0101">
            <w:t xml:space="preserve">Tasa de retribución: </w:t>
          </w:r>
          <w:r w:rsidRPr="000D0101">
            <w:rPr>
              <w:rStyle w:val="Estilo6"/>
              <w:rFonts w:cs="Times New Roman"/>
              <w:szCs w:val="24"/>
            </w:rPr>
            <w:t>NA</w:t>
          </w:r>
        </w:p>
        <w:p w14:paraId="5EFC4210" w14:textId="77777777" w:rsidR="003D5DB4" w:rsidRPr="000D0101" w:rsidRDefault="003D5DB4" w:rsidP="000A5389">
          <w:pPr>
            <w:spacing w:line="240" w:lineRule="auto"/>
          </w:pPr>
          <w:r w:rsidRPr="000D0101">
            <w:t>d. Derechos a recibir activos especificados al final del acuerdo de concesión</w:t>
          </w:r>
        </w:p>
        <w:p w14:paraId="0E7F402C" w14:textId="77777777" w:rsidR="003D5DB4" w:rsidRPr="000D0101" w:rsidRDefault="003D5DB4" w:rsidP="000A5389">
          <w:pPr>
            <w:spacing w:line="240" w:lineRule="auto"/>
          </w:pPr>
        </w:p>
        <w:p w14:paraId="42CDA217" w14:textId="77777777" w:rsidR="003D5DB4" w:rsidRPr="000D0101" w:rsidRDefault="003D5DB4" w:rsidP="000A5389">
          <w:pPr>
            <w:spacing w:line="240" w:lineRule="auto"/>
          </w:pPr>
          <w:r w:rsidRPr="000D0101">
            <w:t xml:space="preserve">Descripción: </w:t>
          </w:r>
          <w:r w:rsidRPr="000D0101">
            <w:rPr>
              <w:rStyle w:val="Estilo6"/>
              <w:rFonts w:cs="Times New Roman"/>
              <w:szCs w:val="24"/>
            </w:rPr>
            <w:t>De acuerdo con el Artículo 8º de la Ley 1 de 1991 en el modo portuario el concesionario no tiene derechos finales sobre activos los debe revertir a la Nación al final del contrato de concesión.</w:t>
          </w:r>
        </w:p>
        <w:p w14:paraId="65D0187B" w14:textId="77777777" w:rsidR="003D5DB4" w:rsidRPr="000D0101" w:rsidRDefault="003D5DB4" w:rsidP="000A5389">
          <w:pPr>
            <w:spacing w:line="240" w:lineRule="auto"/>
          </w:pPr>
          <w:r w:rsidRPr="000D0101">
            <w:t>Observaciones: Reversión: De acuerdo con lo establecido en la cláusula octava del contrato de concesión, todas las construcciones e inmuebles por destinación, que se encuentren instalados en la zona de uso público otorgada en concesión revertirán gratuitamente por el Concesionario. Para tal fin, en el momento de la reversión el CONCESIONARIO elaborará un inventario de los bienes y los enviará para su revisión y aprobación. La ANI es la entidad concedente pero la titularidad de los activos al final de la concesión es del Instituto Nacional de Vías INVIAS.</w:t>
          </w:r>
        </w:p>
        <w:p w14:paraId="7B481580" w14:textId="77777777" w:rsidR="003D5DB4" w:rsidRPr="000D0101" w:rsidRDefault="003D5DB4" w:rsidP="000A5389">
          <w:pPr>
            <w:spacing w:line="240" w:lineRule="auto"/>
          </w:pPr>
          <w:r w:rsidRPr="000D0101">
            <w:t>e. Las alternativas de renovación y cese del Acuerdo</w:t>
          </w:r>
        </w:p>
        <w:p w14:paraId="176DC225" w14:textId="77777777" w:rsidR="003D5DB4" w:rsidRPr="000D0101" w:rsidRDefault="003D5DB4" w:rsidP="000A5389">
          <w:pPr>
            <w:spacing w:line="240" w:lineRule="auto"/>
          </w:pPr>
        </w:p>
        <w:p w14:paraId="68BDB59E" w14:textId="77777777" w:rsidR="003D5DB4" w:rsidRPr="000D0101" w:rsidRDefault="003D5DB4" w:rsidP="000A5389">
          <w:pPr>
            <w:spacing w:line="240" w:lineRule="auto"/>
          </w:pPr>
          <w:r w:rsidRPr="000D0101">
            <w:t>Descripción: NA</w:t>
          </w:r>
        </w:p>
        <w:p w14:paraId="50ED66BC" w14:textId="77777777" w:rsidR="003D5DB4" w:rsidRPr="000D0101" w:rsidRDefault="003D5DB4" w:rsidP="000A5389">
          <w:pPr>
            <w:spacing w:line="240" w:lineRule="auto"/>
          </w:pPr>
          <w:r w:rsidRPr="000D0101">
            <w:t xml:space="preserve">Observaciones: </w:t>
          </w:r>
          <w:r w:rsidRPr="000D0101">
            <w:rPr>
              <w:rStyle w:val="Estilo6"/>
              <w:rFonts w:cs="Times New Roman"/>
              <w:szCs w:val="24"/>
            </w:rPr>
            <w:t>No observaciones</w:t>
          </w:r>
        </w:p>
        <w:p w14:paraId="3E8B0932" w14:textId="77777777" w:rsidR="003D5DB4" w:rsidRPr="000D0101" w:rsidRDefault="003D5DB4" w:rsidP="000A5389">
          <w:pPr>
            <w:spacing w:line="240" w:lineRule="auto"/>
            <w:rPr>
              <w:lang w:val="es-MX"/>
            </w:rPr>
          </w:pPr>
          <w:r w:rsidRPr="000D0101">
            <w:rPr>
              <w:lang w:val="es-MX"/>
            </w:rPr>
            <w:t>f. Cambios en el acuerdo de concesión que se realicen durante el periodo fiscal</w:t>
          </w:r>
        </w:p>
        <w:p w14:paraId="76ECA744" w14:textId="77777777" w:rsidR="003D5DB4" w:rsidRPr="000D0101" w:rsidRDefault="003D5DB4" w:rsidP="000A5389">
          <w:pPr>
            <w:spacing w:line="240" w:lineRule="auto"/>
            <w:rPr>
              <w:lang w:val="es-MX"/>
            </w:rPr>
          </w:pPr>
        </w:p>
        <w:p w14:paraId="6FD9CF51" w14:textId="77777777" w:rsidR="003D5DB4" w:rsidRPr="000D0101" w:rsidRDefault="003D5DB4" w:rsidP="000A5389">
          <w:pPr>
            <w:spacing w:line="240" w:lineRule="auto"/>
          </w:pPr>
          <w:r w:rsidRPr="000D0101">
            <w:t>Adiciones o modificaciones en tiempo</w:t>
          </w:r>
        </w:p>
        <w:p w14:paraId="11F33AC2" w14:textId="77777777" w:rsidR="003D5DB4" w:rsidRPr="000D0101" w:rsidRDefault="003D5DB4" w:rsidP="000A5389">
          <w:pPr>
            <w:spacing w:line="240" w:lineRule="auto"/>
            <w:rPr>
              <w:rStyle w:val="Estilo6"/>
              <w:rFonts w:cs="Times New Roman"/>
              <w:szCs w:val="24"/>
            </w:rPr>
          </w:pPr>
          <w:r w:rsidRPr="000D0101">
            <w:t xml:space="preserve">Fechas de las adiciones o modificaciones: </w:t>
          </w:r>
          <w:r w:rsidRPr="000D0101">
            <w:rPr>
              <w:rStyle w:val="Estilo6"/>
              <w:rFonts w:cs="Times New Roman"/>
              <w:szCs w:val="24"/>
            </w:rPr>
            <w:t>El Otrosí No. 4 del 5 de diciembre de 2013, se prorrogó por 20 años adicionales</w:t>
          </w:r>
        </w:p>
        <w:p w14:paraId="3B21E058" w14:textId="77777777" w:rsidR="003D5DB4" w:rsidRPr="000D0101" w:rsidRDefault="003D5DB4" w:rsidP="000A5389">
          <w:pPr>
            <w:spacing w:line="240" w:lineRule="auto"/>
          </w:pPr>
          <w:r w:rsidRPr="000D0101">
            <w:lastRenderedPageBreak/>
            <w:t>Nueva fecha de finalización estimada: 16 de julio de 2043, como resultado de la prórroga aprobada mediante el Otrosí No. 4 de 2013 y ratificada en el Otrosí No. 5 de 2014</w:t>
          </w:r>
        </w:p>
        <w:p w14:paraId="1DA86ED5" w14:textId="77777777" w:rsidR="003D5DB4" w:rsidRPr="000D0101" w:rsidRDefault="003D5DB4" w:rsidP="000A5389">
          <w:pPr>
            <w:spacing w:line="240" w:lineRule="auto"/>
          </w:pPr>
          <w:r w:rsidRPr="000D0101">
            <w:t xml:space="preserve">Observaciones: </w:t>
          </w:r>
          <w:r w:rsidRPr="000D0101">
            <w:rPr>
              <w:rStyle w:val="Estilo6"/>
              <w:rFonts w:cs="Times New Roman"/>
              <w:szCs w:val="24"/>
            </w:rPr>
            <w:t>No observaciones</w:t>
          </w:r>
        </w:p>
        <w:p w14:paraId="61B09334" w14:textId="77777777" w:rsidR="003D5DB4" w:rsidRPr="000D0101" w:rsidRDefault="003D5DB4" w:rsidP="000A5389">
          <w:pPr>
            <w:spacing w:line="240" w:lineRule="auto"/>
          </w:pPr>
          <w:r w:rsidRPr="000D0101">
            <w:t>Adiciones o modificaciones en valor</w:t>
          </w:r>
        </w:p>
        <w:p w14:paraId="4E0C2A13" w14:textId="77777777" w:rsidR="003D5DB4" w:rsidRPr="000D0101" w:rsidRDefault="003D5DB4" w:rsidP="000A5389">
          <w:pPr>
            <w:spacing w:line="240" w:lineRule="auto"/>
          </w:pPr>
          <w:r w:rsidRPr="000D0101">
            <w:t xml:space="preserve">Valor de la adición o modificación: </w:t>
          </w:r>
          <w:r w:rsidRPr="000D0101">
            <w:rPr>
              <w:rStyle w:val="Estilo6"/>
              <w:rFonts w:cs="Times New Roman"/>
              <w:szCs w:val="24"/>
            </w:rPr>
            <w:t>En el Otrosí No. 2 de 1994, se desarrolló una contraprestación de USD $2,378,984.15 con un esquema de pagos anuales</w:t>
          </w:r>
        </w:p>
        <w:p w14:paraId="43B7023B" w14:textId="77777777" w:rsidR="003D5DB4" w:rsidRPr="000D0101" w:rsidRDefault="003D5DB4" w:rsidP="000A5389">
          <w:pPr>
            <w:spacing w:line="240" w:lineRule="auto"/>
          </w:pPr>
          <w:r w:rsidRPr="000D0101">
            <w:t>Nuevo valor del acuerdo: En el Otrosí No. 4 del 5 de diciembre de 2013 se desarrolló un Valor Presente Neto (VPN) de USD $45,385,70</w:t>
          </w:r>
        </w:p>
        <w:p w14:paraId="5EDD576A" w14:textId="77777777" w:rsidR="003D5DB4" w:rsidRPr="000D0101" w:rsidRDefault="003D5DB4" w:rsidP="000A5389">
          <w:pPr>
            <w:spacing w:line="240" w:lineRule="auto"/>
          </w:pPr>
          <w:r w:rsidRPr="000D0101">
            <w:t xml:space="preserve">Observaciones: </w:t>
          </w:r>
          <w:r w:rsidRPr="000D0101">
            <w:rPr>
              <w:rStyle w:val="Estilo6"/>
              <w:rFonts w:cs="Times New Roman"/>
              <w:szCs w:val="24"/>
            </w:rPr>
            <w:t xml:space="preserve">No observaciones </w:t>
          </w:r>
        </w:p>
        <w:p w14:paraId="0A36D7D0" w14:textId="77777777" w:rsidR="003D5DB4" w:rsidRPr="00915852" w:rsidRDefault="003D5DB4" w:rsidP="000A5389">
          <w:pPr>
            <w:spacing w:line="240" w:lineRule="auto"/>
            <w:rPr>
              <w:rFonts w:eastAsia="Times New Roman"/>
              <w:i/>
              <w:iCs/>
              <w:lang w:eastAsia="es-CO"/>
            </w:rPr>
          </w:pPr>
          <w:r w:rsidRPr="00915852">
            <w:rPr>
              <w:rFonts w:eastAsia="Times New Roman"/>
              <w:i/>
              <w:iCs/>
              <w:lang w:eastAsia="es-CO"/>
            </w:rPr>
            <w:t xml:space="preserve">ATUNAMAR LIMITADA </w:t>
          </w:r>
        </w:p>
        <w:p w14:paraId="7501FE3B" w14:textId="77777777" w:rsidR="003D5DB4" w:rsidRPr="00915852" w:rsidRDefault="003D5DB4" w:rsidP="000A5389">
          <w:pPr>
            <w:spacing w:line="240" w:lineRule="auto"/>
            <w:rPr>
              <w:rFonts w:eastAsia="Times New Roman"/>
              <w:i/>
              <w:iCs/>
              <w:lang w:eastAsia="es-CO"/>
            </w:rPr>
          </w:pPr>
        </w:p>
        <w:p w14:paraId="68831C0F" w14:textId="77777777" w:rsidR="003D5DB4" w:rsidRPr="000D0101" w:rsidRDefault="003D5DB4" w:rsidP="000A5389">
          <w:pPr>
            <w:spacing w:line="240" w:lineRule="auto"/>
          </w:pPr>
          <w:r w:rsidRPr="000D0101">
            <w:t>a. Descripción del Acuerdo</w:t>
          </w:r>
        </w:p>
        <w:p w14:paraId="08D86AC2" w14:textId="77777777" w:rsidR="003D5DB4" w:rsidRPr="000D0101" w:rsidRDefault="003D5DB4" w:rsidP="000A5389">
          <w:pPr>
            <w:spacing w:line="240" w:lineRule="auto"/>
          </w:pPr>
        </w:p>
        <w:p w14:paraId="718438E4" w14:textId="77777777" w:rsidR="003D5DB4" w:rsidRPr="000D0101" w:rsidRDefault="003D5DB4" w:rsidP="000A5389">
          <w:pPr>
            <w:spacing w:line="240" w:lineRule="auto"/>
          </w:pPr>
          <w:r w:rsidRPr="000D0101">
            <w:t>Número del Acuerdo de Concesión: 002 de 2014</w:t>
          </w:r>
        </w:p>
        <w:p w14:paraId="7887674E" w14:textId="77777777" w:rsidR="003D5DB4" w:rsidRPr="000D0101" w:rsidRDefault="003D5DB4" w:rsidP="000A5389">
          <w:pPr>
            <w:spacing w:line="240" w:lineRule="auto"/>
          </w:pPr>
        </w:p>
        <w:p w14:paraId="7D930B80" w14:textId="77777777" w:rsidR="003D5DB4" w:rsidRPr="000D0101" w:rsidRDefault="003D5DB4" w:rsidP="000A5389">
          <w:pPr>
            <w:spacing w:line="240" w:lineRule="auto"/>
            <w:rPr>
              <w:rStyle w:val="EncabezadoCar"/>
              <w:rFonts w:cs="Times New Roman"/>
              <w:szCs w:val="24"/>
            </w:rPr>
          </w:pPr>
          <w:r w:rsidRPr="000D0101">
            <w:t xml:space="preserve">Objeto / Descripción: </w:t>
          </w:r>
          <w:r w:rsidRPr="000D0101">
            <w:rPr>
              <w:rStyle w:val="EncabezadoCar"/>
              <w:rFonts w:cs="Times New Roman"/>
              <w:szCs w:val="24"/>
            </w:rPr>
            <w:t>Otorgar al Concesionario por parte del Concedente, una concesión para que ocupe en forma temporal y exclusiva los bienes de uso público descritos en la Cláusula 2 del contrato de concesión, para la construcción y operación de un terminal portuario, a cambio de una contraprestación económica a favor del Concedente, en los términos descritos en la cláusula 13 del contrato de concesión.</w:t>
          </w:r>
        </w:p>
        <w:p w14:paraId="0D2D2A8F" w14:textId="77777777" w:rsidR="003D5DB4" w:rsidRPr="000D0101" w:rsidRDefault="003D5DB4" w:rsidP="000A5389">
          <w:pPr>
            <w:spacing w:line="240" w:lineRule="auto"/>
          </w:pPr>
        </w:p>
        <w:p w14:paraId="18C66992" w14:textId="77777777" w:rsidR="003D5DB4" w:rsidRPr="000D0101" w:rsidRDefault="003D5DB4" w:rsidP="000A5389">
          <w:pPr>
            <w:spacing w:line="240" w:lineRule="auto"/>
          </w:pPr>
          <w:r w:rsidRPr="000D0101">
            <w:t>Valor inicial: DOSCIENTOS NOVENTA Y SEIS MIL CIENTO OCHO DOLARES (USD $296.108) Constantes de diciembre de 2013, Cláusula 13 / Contrato de concesión No. 002 de 2014.</w:t>
          </w:r>
        </w:p>
        <w:p w14:paraId="0ECCD3AB" w14:textId="77777777" w:rsidR="003D5DB4" w:rsidRPr="000D0101" w:rsidRDefault="003D5DB4" w:rsidP="000A5389">
          <w:pPr>
            <w:spacing w:line="240" w:lineRule="auto"/>
          </w:pPr>
          <w:r w:rsidRPr="000D0101">
            <w:t>Fecha de inicio: 23/02/2015</w:t>
          </w:r>
        </w:p>
        <w:p w14:paraId="62E1017D" w14:textId="77777777" w:rsidR="003D5DB4" w:rsidRPr="000D0101" w:rsidRDefault="003D5DB4" w:rsidP="000A5389">
          <w:pPr>
            <w:spacing w:line="240" w:lineRule="auto"/>
          </w:pPr>
          <w:r w:rsidRPr="000D0101">
            <w:t>Fecha de finalización estimada: 22/02/2035</w:t>
          </w:r>
        </w:p>
        <w:p w14:paraId="6D03055A" w14:textId="77777777" w:rsidR="003D5DB4" w:rsidRPr="000D0101" w:rsidRDefault="003D5DB4" w:rsidP="000A5389">
          <w:pPr>
            <w:spacing w:line="240" w:lineRule="auto"/>
          </w:pPr>
          <w:r w:rsidRPr="000D0101">
            <w:t xml:space="preserve">Tipo ID: </w:t>
          </w:r>
          <w:r w:rsidRPr="000D0101">
            <w:rPr>
              <w:rStyle w:val="Estilo5"/>
              <w:rFonts w:cs="Times New Roman"/>
              <w:szCs w:val="24"/>
            </w:rPr>
            <w:t>NIT</w:t>
          </w:r>
        </w:p>
        <w:p w14:paraId="27F151F2" w14:textId="77777777" w:rsidR="003D5DB4" w:rsidRPr="000D0101" w:rsidRDefault="003D5DB4" w:rsidP="000A5389">
          <w:pPr>
            <w:spacing w:line="240" w:lineRule="auto"/>
          </w:pPr>
          <w:r w:rsidRPr="000D0101">
            <w:t>Número ID: 806.008.240-1</w:t>
          </w:r>
        </w:p>
        <w:p w14:paraId="6FE17B51" w14:textId="77777777" w:rsidR="003D5DB4" w:rsidRPr="000D0101" w:rsidRDefault="003D5DB4" w:rsidP="000A5389">
          <w:pPr>
            <w:spacing w:line="240" w:lineRule="auto"/>
          </w:pPr>
          <w:r w:rsidRPr="000D0101">
            <w:t>Razón social del concesionario: Sociedad Atunamar Limitada</w:t>
          </w:r>
        </w:p>
        <w:p w14:paraId="3844BA6D" w14:textId="77777777" w:rsidR="003D5DB4" w:rsidRPr="000D0101" w:rsidRDefault="003D5DB4" w:rsidP="000A5389">
          <w:pPr>
            <w:spacing w:line="240" w:lineRule="auto"/>
          </w:pPr>
          <w:r w:rsidRPr="000D0101">
            <w:t>Nombre del proyecto: Sociedad Atunamar Limitada</w:t>
          </w:r>
        </w:p>
        <w:p w14:paraId="3FB0C5EF" w14:textId="77777777" w:rsidR="003D5DB4" w:rsidRPr="000D0101" w:rsidRDefault="003D5DB4" w:rsidP="000A5389">
          <w:pPr>
            <w:spacing w:line="240" w:lineRule="auto"/>
            <w:rPr>
              <w:lang w:val="es-MX"/>
            </w:rPr>
          </w:pPr>
        </w:p>
        <w:p w14:paraId="7BA62F99" w14:textId="77777777" w:rsidR="003D5DB4" w:rsidRPr="000D0101" w:rsidRDefault="003D5DB4" w:rsidP="000A5389">
          <w:pPr>
            <w:spacing w:line="240" w:lineRule="auto"/>
            <w:rPr>
              <w:lang w:val="es-MX"/>
            </w:rPr>
          </w:pPr>
          <w:r w:rsidRPr="000D0101">
            <w:rPr>
              <w:lang w:val="es-MX"/>
            </w:rPr>
            <w:t>b. Términos significativos del Acuerdo que puedan afectar su valor, el calendario y la certeza de los flujos</w:t>
          </w:r>
        </w:p>
        <w:p w14:paraId="317CEF41" w14:textId="77777777" w:rsidR="003D5DB4" w:rsidRPr="000D0101" w:rsidRDefault="003D5DB4" w:rsidP="000A5389">
          <w:pPr>
            <w:spacing w:line="240" w:lineRule="auto"/>
          </w:pPr>
        </w:p>
        <w:p w14:paraId="20F34F08" w14:textId="77777777" w:rsidR="003D5DB4" w:rsidRPr="000D0101" w:rsidRDefault="003D5DB4" w:rsidP="000A5389">
          <w:pPr>
            <w:spacing w:line="240" w:lineRule="auto"/>
          </w:pPr>
          <w:r w:rsidRPr="000D0101">
            <w:t xml:space="preserve">Términos de valor: 1) Tarifas: Al ser el terminal marítimo de servicio privado la Ley 1 de 1991 establece: Las sociedades portuarias que operan puertos de servicio privado podrán fijar libremente sus tarifas, pero mantendrán informada sobre ellas a la Superintendencia General de Puertos hoy Superintendencia de Transporte.2) Contraprestación portuaria: De acuerdo con el contrato de concesión No. 002 de 2014, la metodología de Contraprestación corresponde al Conpes 3744 de 2013. A febrero de 2024 el CONCESIONARIO debió pagar la suma de USD 34.942,25 por concepto de contraprestación.  El Parágrafo Tercero, numeral 13.1 de la Cláusula 13 del contrato establece que de dicho pago, por zona de uso público el 80% le corresponde a la Nación (INVIAS-ANI) y el 20% restante al municipio de Cartagena, de acuerdo con lo establecido en el parágrafo 1 del artículo 1 de la Ley 856 del 21 de </w:t>
          </w:r>
          <w:r w:rsidRPr="000D0101">
            <w:lastRenderedPageBreak/>
            <w:t xml:space="preserve">diciembre de 2003, que modifica el artículo 7 de la ley 1ª de 1991, y por infraestructura le corresponde a la Nación (INVIAS-ANI) el 100%.3) Plan de Inversiones: Está establecido en la Cláusula 12 del contrato, el plan de inversión será de DOSCIENTOS CINCUENTA Y NUEVE MIL CUATROCIENTOS NOVENTA Y CUATRO DOLARES (USD$ 259.494) constantes de diciembre de </w:t>
          </w:r>
          <w:r w:rsidRPr="000D0101">
            <w:tab/>
            <w:t>2013.4) Obligaciones del CONCESIONARIO: se encuentran descritas en la Cláusula 19 del contrato. 5) Multas y sanciones: están establecidas en la Cláusula 22 del contrato. Penal Pecuniaria: En la Cláusula 23 se establece que en el evento en que el concedente declare la caducidad o el incumplimiento del contrato, el Concesionario deberá pagar la suma equivalente al 10% del valor total de la contraprestación, como sanción pecuniaria</w:t>
          </w:r>
        </w:p>
        <w:p w14:paraId="312BA526" w14:textId="77777777" w:rsidR="003D5DB4" w:rsidRPr="000D0101" w:rsidRDefault="003D5DB4" w:rsidP="000A5389">
          <w:pPr>
            <w:spacing w:line="240" w:lineRule="auto"/>
          </w:pPr>
        </w:p>
        <w:p w14:paraId="726B61F7" w14:textId="77777777" w:rsidR="003D5DB4" w:rsidRPr="000D0101" w:rsidRDefault="003D5DB4" w:rsidP="000A5389">
          <w:pPr>
            <w:spacing w:line="240" w:lineRule="auto"/>
          </w:pPr>
          <w:r w:rsidRPr="000D0101">
            <w:t xml:space="preserve">Términos de calendario: Tarifas: Aprobadas según la metodología establecida por la Superintendencia General de Puertos, hoy Superintendencia de Transporte. Contraprestación portuaria: la contraprestación se debe pagar de manera anual anticipada en el mes de febrero de cada año. Plan de inversiones: Se estableció en la Cláusula 12 del contrato, cuya ejecución de inversiones deberá realizarse en el periodo correspondiente al primer año. Multas: Cláusula 22 del contrato. </w:t>
          </w:r>
        </w:p>
        <w:p w14:paraId="1C9A45A8" w14:textId="77777777" w:rsidR="003D5DB4" w:rsidRPr="000D0101" w:rsidRDefault="003D5DB4" w:rsidP="000A5389">
          <w:pPr>
            <w:spacing w:line="240" w:lineRule="auto"/>
          </w:pPr>
        </w:p>
        <w:p w14:paraId="656EFA7F" w14:textId="77777777" w:rsidR="003D5DB4" w:rsidRPr="000D0101" w:rsidRDefault="003D5DB4" w:rsidP="000A5389">
          <w:pPr>
            <w:spacing w:line="240" w:lineRule="auto"/>
          </w:pPr>
          <w:r w:rsidRPr="000D0101">
            <w:t xml:space="preserve">Términos de certeza de flujos de efectivo futuros: </w:t>
          </w:r>
          <w:r w:rsidRPr="000D0101">
            <w:rPr>
              <w:rStyle w:val="Estilo6"/>
              <w:rFonts w:cs="Times New Roman"/>
              <w:szCs w:val="24"/>
            </w:rPr>
            <w:t xml:space="preserve">Se le otorga al CONCESIONARIO por parte del CONCEDENTE, de una concesión para que ocupe en forma temporal y exclusiva los bienes de usp público descrito en la Cláusula 2 para la construcción y operación de un terminal portuario, a cambio de una contraprestación económica a favor del CONCEDENTE, en los términos descritos en la Cláusula 13 de este contrato. </w:t>
          </w:r>
        </w:p>
        <w:p w14:paraId="6D8CCA60" w14:textId="77777777" w:rsidR="003D5DB4" w:rsidRPr="000D0101" w:rsidRDefault="003D5DB4" w:rsidP="000A5389">
          <w:pPr>
            <w:spacing w:line="240" w:lineRule="auto"/>
            <w:rPr>
              <w:lang w:val="es-MX"/>
            </w:rPr>
          </w:pPr>
        </w:p>
        <w:p w14:paraId="4D3CC8D3" w14:textId="77777777" w:rsidR="003D5DB4" w:rsidRPr="000D0101" w:rsidRDefault="003D5DB4" w:rsidP="000A5389">
          <w:pPr>
            <w:spacing w:line="240" w:lineRule="auto"/>
            <w:rPr>
              <w:lang w:val="es-MX"/>
            </w:rPr>
          </w:pPr>
          <w:r w:rsidRPr="000D0101">
            <w:rPr>
              <w:lang w:val="es-MX"/>
            </w:rPr>
            <w:t>c. Naturaleza y alcance del derecho a utilizar activos especificados y los aspectos pactados en torno a lo que se espera que el concesionario proporcione en relación con el acuerdo de concesión</w:t>
          </w:r>
        </w:p>
        <w:p w14:paraId="2FF11B8C" w14:textId="77777777" w:rsidR="003D5DB4" w:rsidRPr="000D0101" w:rsidRDefault="003D5DB4" w:rsidP="000A5389">
          <w:pPr>
            <w:spacing w:line="240" w:lineRule="auto"/>
          </w:pPr>
        </w:p>
        <w:p w14:paraId="4FBA9BFB" w14:textId="77777777" w:rsidR="003D5DB4" w:rsidRPr="000D0101" w:rsidRDefault="003D5DB4" w:rsidP="000A5389">
          <w:pPr>
            <w:spacing w:line="240" w:lineRule="auto"/>
          </w:pPr>
          <w:r w:rsidRPr="000D0101">
            <w:t>Naturaleza y alcance del derecho de uso de los activos</w:t>
          </w:r>
        </w:p>
        <w:p w14:paraId="44FEC905" w14:textId="77777777" w:rsidR="003D5DB4" w:rsidRPr="000D0101" w:rsidRDefault="003D5DB4" w:rsidP="000A5389">
          <w:pPr>
            <w:spacing w:line="240" w:lineRule="auto"/>
          </w:pPr>
        </w:p>
        <w:p w14:paraId="7D72A0AD" w14:textId="77777777" w:rsidR="003D5DB4" w:rsidRPr="000D0101" w:rsidRDefault="003D5DB4" w:rsidP="000A5389">
          <w:pPr>
            <w:spacing w:line="240" w:lineRule="auto"/>
          </w:pPr>
          <w:r w:rsidRPr="000D0101">
            <w:t>Descripción: Descripción del proyecto, especificaciones técnicas, modalidades de operación: las condiciones especiales de operación del puerto están establecidas en la cláusula quinta del Contrato de Concesión. Área entregada en concesión: La descripción de la ubicación, linderos y extensión de los bienes de uso público (playas y terrenos de baja mar, zonas marítimas accesorias de maniobras) entregados en concesión están establecidos en la cláusula segunda. Infraestructura y equipos entregados en concesión: En la cláusula segunda del Contrato, se describe que lo entregado en concesión fue: Muelle en concreto de 120m x 12m</w:t>
          </w:r>
        </w:p>
        <w:p w14:paraId="318B0136" w14:textId="77777777" w:rsidR="003D5DB4" w:rsidRPr="000D0101" w:rsidRDefault="003D5DB4" w:rsidP="000A5389">
          <w:pPr>
            <w:spacing w:line="240" w:lineRule="auto"/>
          </w:pPr>
        </w:p>
        <w:p w14:paraId="3CBA51E7" w14:textId="77777777" w:rsidR="003D5DB4" w:rsidRPr="000D0101" w:rsidRDefault="003D5DB4" w:rsidP="000A5389">
          <w:pPr>
            <w:spacing w:line="240" w:lineRule="auto"/>
          </w:pPr>
          <w:r w:rsidRPr="000D0101">
            <w:t>Observaciones: No se tiene ninguna observación</w:t>
          </w:r>
        </w:p>
        <w:p w14:paraId="52E4EA3A" w14:textId="77777777" w:rsidR="003D5DB4" w:rsidRPr="000D0101" w:rsidRDefault="003D5DB4" w:rsidP="000A5389">
          <w:pPr>
            <w:spacing w:line="240" w:lineRule="auto"/>
          </w:pPr>
        </w:p>
        <w:p w14:paraId="32FA8EB5" w14:textId="77777777" w:rsidR="003D5DB4" w:rsidRPr="000D0101" w:rsidRDefault="003D5DB4" w:rsidP="000A5389">
          <w:pPr>
            <w:spacing w:line="240" w:lineRule="auto"/>
          </w:pPr>
          <w:r w:rsidRPr="000D0101">
            <w:t>Retribución al concesionario</w:t>
          </w:r>
        </w:p>
        <w:p w14:paraId="51419536" w14:textId="77777777" w:rsidR="003D5DB4" w:rsidRPr="000D0101" w:rsidRDefault="003D5DB4" w:rsidP="000A5389">
          <w:pPr>
            <w:spacing w:line="240" w:lineRule="auto"/>
          </w:pPr>
        </w:p>
        <w:p w14:paraId="5C062231" w14:textId="77777777" w:rsidR="003D5DB4" w:rsidRPr="000D0101" w:rsidRDefault="003D5DB4" w:rsidP="000A5389">
          <w:pPr>
            <w:spacing w:line="240" w:lineRule="auto"/>
          </w:pPr>
          <w:r w:rsidRPr="000D0101">
            <w:t xml:space="preserve">Descripción: Cláusula 1 del contrato 002 de 2014: Otorgar al Concesionario concesión donde se autoriza la ocupación en forma temporal y exclusiva los bienes de uso público descritos </w:t>
          </w:r>
          <w:r w:rsidRPr="000D0101">
            <w:lastRenderedPageBreak/>
            <w:t>en la Cláusula 2 para la construcción y operación de un terminal portuario, a cambio de una contraprestación económica, en los términos descritos en la Cláusula 13 del contrato.</w:t>
          </w:r>
        </w:p>
        <w:p w14:paraId="725A8904" w14:textId="77777777" w:rsidR="003D5DB4" w:rsidRPr="000D0101" w:rsidRDefault="003D5DB4" w:rsidP="000A5389">
          <w:pPr>
            <w:spacing w:line="240" w:lineRule="auto"/>
          </w:pPr>
        </w:p>
        <w:p w14:paraId="164748C7" w14:textId="77777777" w:rsidR="003D5DB4" w:rsidRPr="000D0101" w:rsidRDefault="003D5DB4" w:rsidP="000A5389">
          <w:pPr>
            <w:spacing w:line="240" w:lineRule="auto"/>
          </w:pPr>
          <w:r w:rsidRPr="000D0101">
            <w:t>Tasa de retribución: N/A</w:t>
          </w:r>
        </w:p>
        <w:p w14:paraId="47BFCA8B" w14:textId="77777777" w:rsidR="003D5DB4" w:rsidRPr="000D0101" w:rsidRDefault="003D5DB4" w:rsidP="000A5389">
          <w:pPr>
            <w:spacing w:line="240" w:lineRule="auto"/>
          </w:pPr>
        </w:p>
        <w:p w14:paraId="23C9FE94" w14:textId="77777777" w:rsidR="003D5DB4" w:rsidRPr="000D0101" w:rsidRDefault="003D5DB4" w:rsidP="000A5389">
          <w:pPr>
            <w:spacing w:line="240" w:lineRule="auto"/>
          </w:pPr>
          <w:r w:rsidRPr="000D0101">
            <w:t>d. Derechos a recibir activos especificados al final del acuerdo de concesión</w:t>
          </w:r>
        </w:p>
        <w:p w14:paraId="17384391" w14:textId="77777777" w:rsidR="003D5DB4" w:rsidRPr="000D0101" w:rsidRDefault="003D5DB4" w:rsidP="000A5389">
          <w:pPr>
            <w:spacing w:line="240" w:lineRule="auto"/>
          </w:pPr>
        </w:p>
        <w:p w14:paraId="6484D64F" w14:textId="77777777" w:rsidR="003D5DB4" w:rsidRPr="000D0101" w:rsidRDefault="003D5DB4" w:rsidP="000A5389">
          <w:pPr>
            <w:spacing w:line="240" w:lineRule="auto"/>
          </w:pPr>
          <w:r w:rsidRPr="000D0101">
            <w:t>Descripción: De acuerdo con el Artículo 8º de la Ley 1 de 1991 en el modo portuario el concesionario no tiene derechos finales sobre activos, los debe revertir a la Nación al final del contrato de concesión.</w:t>
          </w:r>
        </w:p>
        <w:p w14:paraId="571E7D39" w14:textId="77777777" w:rsidR="003D5DB4" w:rsidRPr="000D0101" w:rsidRDefault="003D5DB4" w:rsidP="000A5389">
          <w:pPr>
            <w:spacing w:line="240" w:lineRule="auto"/>
          </w:pPr>
        </w:p>
        <w:p w14:paraId="47B6DC75" w14:textId="77777777" w:rsidR="003D5DB4" w:rsidRPr="000D0101" w:rsidRDefault="003D5DB4" w:rsidP="000A5389">
          <w:pPr>
            <w:spacing w:line="240" w:lineRule="auto"/>
          </w:pPr>
          <w:r w:rsidRPr="000D0101">
            <w:t>Observaciones: Reversión: De acuerdo con lo establecido en la cláusula 32 del contrato de concesión, todas las construcciones y equipos entregadas en concesión, serán cedidas gratuitamente por el Concesionario a la Nación, en buen estado de operación y mantenimiento, al extinguirse el plazo de la concesión portuaria o al ser declarada la caducidad.</w:t>
          </w:r>
        </w:p>
        <w:p w14:paraId="4D344BCB" w14:textId="77777777" w:rsidR="003D5DB4" w:rsidRPr="000D0101" w:rsidRDefault="003D5DB4" w:rsidP="000A5389">
          <w:pPr>
            <w:spacing w:line="240" w:lineRule="auto"/>
          </w:pPr>
        </w:p>
        <w:p w14:paraId="6A4C9C09" w14:textId="77777777" w:rsidR="003D5DB4" w:rsidRPr="000D0101" w:rsidRDefault="003D5DB4" w:rsidP="000A5389">
          <w:pPr>
            <w:spacing w:line="240" w:lineRule="auto"/>
          </w:pPr>
          <w:r w:rsidRPr="000D0101">
            <w:t>e. Las alternativas de renovación y cese del Acuerdo</w:t>
          </w:r>
        </w:p>
        <w:p w14:paraId="180AF7B0" w14:textId="77777777" w:rsidR="003D5DB4" w:rsidRPr="000D0101" w:rsidRDefault="003D5DB4" w:rsidP="000A5389">
          <w:pPr>
            <w:spacing w:line="240" w:lineRule="auto"/>
          </w:pPr>
        </w:p>
        <w:p w14:paraId="77CCDC6C" w14:textId="77777777" w:rsidR="003D5DB4" w:rsidRPr="000D0101" w:rsidRDefault="003D5DB4" w:rsidP="000A5389">
          <w:pPr>
            <w:spacing w:line="240" w:lineRule="auto"/>
            <w:rPr>
              <w:lang w:val="es-MX"/>
            </w:rPr>
          </w:pPr>
          <w:r w:rsidRPr="000D0101">
            <w:t xml:space="preserve">Descripción: La prórroga de la Concesión se encuentra en la CLÁUSULA 11. El cese del acuerdo se encuentra en la CLÁUSULA 33 del Contrato de Concesión. </w:t>
          </w:r>
        </w:p>
        <w:p w14:paraId="09311200" w14:textId="77777777" w:rsidR="003D5DB4" w:rsidRPr="000D0101" w:rsidRDefault="003D5DB4" w:rsidP="000A5389">
          <w:pPr>
            <w:spacing w:line="240" w:lineRule="auto"/>
          </w:pPr>
        </w:p>
        <w:p w14:paraId="3A8C39BB" w14:textId="77777777" w:rsidR="003D5DB4" w:rsidRPr="000D0101" w:rsidRDefault="003D5DB4" w:rsidP="000A5389">
          <w:pPr>
            <w:spacing w:line="240" w:lineRule="auto"/>
            <w:rPr>
              <w:lang w:val="es-MX"/>
            </w:rPr>
          </w:pPr>
          <w:r w:rsidRPr="000D0101">
            <w:t>Observaciones: No se tiene ninguna observación</w:t>
          </w:r>
        </w:p>
        <w:p w14:paraId="308F8976" w14:textId="77777777" w:rsidR="003D5DB4" w:rsidRPr="000D0101" w:rsidRDefault="003D5DB4" w:rsidP="000A5389">
          <w:pPr>
            <w:spacing w:line="240" w:lineRule="auto"/>
          </w:pPr>
        </w:p>
        <w:p w14:paraId="0D993522" w14:textId="77777777" w:rsidR="003D5DB4" w:rsidRPr="000D0101" w:rsidRDefault="003D5DB4" w:rsidP="000A5389">
          <w:pPr>
            <w:spacing w:line="240" w:lineRule="auto"/>
            <w:rPr>
              <w:lang w:val="es-MX"/>
            </w:rPr>
          </w:pPr>
          <w:r w:rsidRPr="000D0101">
            <w:rPr>
              <w:lang w:val="es-MX"/>
            </w:rPr>
            <w:t>f. Cambios en el acuerdo de concesión que se realicen durante el periodo fiscal</w:t>
          </w:r>
        </w:p>
        <w:p w14:paraId="499814D8" w14:textId="77777777" w:rsidR="003D5DB4" w:rsidRPr="000D0101" w:rsidRDefault="003D5DB4" w:rsidP="000A5389">
          <w:pPr>
            <w:spacing w:line="240" w:lineRule="auto"/>
            <w:rPr>
              <w:lang w:val="es-MX"/>
            </w:rPr>
          </w:pPr>
        </w:p>
        <w:p w14:paraId="6A6484D9" w14:textId="77777777" w:rsidR="003D5DB4" w:rsidRPr="000D0101" w:rsidRDefault="003D5DB4" w:rsidP="000A5389">
          <w:pPr>
            <w:spacing w:line="240" w:lineRule="auto"/>
          </w:pPr>
          <w:r w:rsidRPr="000D0101">
            <w:t>Adiciones o modificaciones en tiempo</w:t>
          </w:r>
        </w:p>
        <w:p w14:paraId="2D4965A1" w14:textId="77777777" w:rsidR="003D5DB4" w:rsidRPr="000D0101" w:rsidRDefault="003D5DB4" w:rsidP="000A5389">
          <w:pPr>
            <w:spacing w:line="240" w:lineRule="auto"/>
          </w:pPr>
          <w:r w:rsidRPr="000D0101">
            <w:t>Fechas de las adiciones o modificaciones: No aplica</w:t>
          </w:r>
        </w:p>
        <w:p w14:paraId="73CCA16F" w14:textId="77777777" w:rsidR="003D5DB4" w:rsidRPr="000D0101" w:rsidRDefault="003D5DB4" w:rsidP="000A5389">
          <w:pPr>
            <w:spacing w:line="240" w:lineRule="auto"/>
          </w:pPr>
          <w:r w:rsidRPr="000D0101">
            <w:t>Nueva fecha de finalización estimada: No aplica</w:t>
          </w:r>
        </w:p>
        <w:p w14:paraId="0C5A1843" w14:textId="77777777" w:rsidR="003D5DB4" w:rsidRPr="000D0101" w:rsidRDefault="003D5DB4" w:rsidP="000A5389">
          <w:pPr>
            <w:spacing w:line="240" w:lineRule="auto"/>
          </w:pPr>
          <w:r w:rsidRPr="000D0101">
            <w:t>Observaciones: No se tiene ninguna observación</w:t>
          </w:r>
        </w:p>
        <w:p w14:paraId="77617C68" w14:textId="77777777" w:rsidR="003D5DB4" w:rsidRPr="000D0101" w:rsidRDefault="003D5DB4" w:rsidP="000A5389">
          <w:pPr>
            <w:spacing w:line="240" w:lineRule="auto"/>
          </w:pPr>
          <w:r w:rsidRPr="000D0101">
            <w:t>Adiciones o modificaciones en valor</w:t>
          </w:r>
        </w:p>
        <w:p w14:paraId="71EE9937" w14:textId="77777777" w:rsidR="003D5DB4" w:rsidRPr="000D0101" w:rsidRDefault="003D5DB4" w:rsidP="000A5389">
          <w:pPr>
            <w:spacing w:line="240" w:lineRule="auto"/>
          </w:pPr>
          <w:r w:rsidRPr="000D0101">
            <w:t>Valor de la adición o modificación: No aplica</w:t>
          </w:r>
        </w:p>
        <w:p w14:paraId="6978C17F" w14:textId="77777777" w:rsidR="003D5DB4" w:rsidRPr="000D0101" w:rsidRDefault="003D5DB4" w:rsidP="000A5389">
          <w:pPr>
            <w:spacing w:line="240" w:lineRule="auto"/>
          </w:pPr>
          <w:r w:rsidRPr="000D0101">
            <w:t>Nuevo valor del acuerdo: No aplica</w:t>
          </w:r>
        </w:p>
        <w:p w14:paraId="58A42257" w14:textId="77777777" w:rsidR="003D5DB4" w:rsidRPr="000D0101" w:rsidRDefault="003D5DB4" w:rsidP="000A5389">
          <w:pPr>
            <w:spacing w:line="240" w:lineRule="auto"/>
          </w:pPr>
          <w:r w:rsidRPr="000D0101">
            <w:t>Observaciones: No se tiene ninguna observación</w:t>
          </w:r>
        </w:p>
        <w:p w14:paraId="2BC65174" w14:textId="77777777" w:rsidR="003D5DB4" w:rsidRPr="000D0101" w:rsidRDefault="003D5DB4" w:rsidP="000A5389">
          <w:pPr>
            <w:spacing w:line="240" w:lineRule="auto"/>
          </w:pPr>
        </w:p>
        <w:p w14:paraId="722F8D8E" w14:textId="77777777" w:rsidR="003D5DB4" w:rsidRPr="000D0101" w:rsidRDefault="003D5DB4" w:rsidP="000A5389">
          <w:pPr>
            <w:spacing w:line="240" w:lineRule="auto"/>
            <w:rPr>
              <w:rFonts w:eastAsia="Times New Roman"/>
              <w:lang w:eastAsia="es-CO"/>
            </w:rPr>
          </w:pPr>
        </w:p>
        <w:p w14:paraId="25566631" w14:textId="77777777" w:rsidR="003D5DB4" w:rsidRPr="000D0101" w:rsidRDefault="003D5DB4" w:rsidP="000A5389">
          <w:pPr>
            <w:spacing w:line="240" w:lineRule="auto"/>
            <w:rPr>
              <w:rFonts w:eastAsia="Times New Roman"/>
              <w:lang w:eastAsia="es-CO"/>
            </w:rPr>
          </w:pPr>
          <w:r w:rsidRPr="000D0101">
            <w:rPr>
              <w:rFonts w:eastAsia="Times New Roman"/>
              <w:lang w:eastAsia="es-CO"/>
            </w:rPr>
            <w:t xml:space="preserve">C.I. UNION DE BANANEROS DE URABA S.A. - UNIBAN </w:t>
          </w:r>
        </w:p>
        <w:p w14:paraId="7E9B24F6" w14:textId="77777777" w:rsidR="003D5DB4" w:rsidRPr="000D0101" w:rsidRDefault="003D5DB4" w:rsidP="000A5389">
          <w:pPr>
            <w:spacing w:line="240" w:lineRule="auto"/>
          </w:pPr>
        </w:p>
        <w:p w14:paraId="20E5F64B" w14:textId="77777777" w:rsidR="003D5DB4" w:rsidRPr="000D0101" w:rsidRDefault="003D5DB4" w:rsidP="000A5389">
          <w:pPr>
            <w:spacing w:line="240" w:lineRule="auto"/>
          </w:pPr>
          <w:r w:rsidRPr="000D0101">
            <w:t>a. Descripción del Acuerdo</w:t>
          </w:r>
        </w:p>
        <w:p w14:paraId="312657B7" w14:textId="77777777" w:rsidR="003D5DB4" w:rsidRPr="000D0101" w:rsidRDefault="003D5DB4" w:rsidP="000A5389">
          <w:pPr>
            <w:spacing w:line="240" w:lineRule="auto"/>
          </w:pPr>
        </w:p>
        <w:p w14:paraId="26FFD15D" w14:textId="77777777" w:rsidR="003D5DB4" w:rsidRPr="000D0101" w:rsidRDefault="003D5DB4" w:rsidP="000A5389">
          <w:pPr>
            <w:spacing w:line="240" w:lineRule="auto"/>
          </w:pPr>
          <w:r w:rsidRPr="000D0101">
            <w:t>Número del Acuerdo de concesión: 1955 de 2016 (Resolución de Cesión No. 20213030004535 del 26 de marzo de 2021).</w:t>
          </w:r>
        </w:p>
        <w:p w14:paraId="3F0F9402" w14:textId="77777777" w:rsidR="003D5DB4" w:rsidRPr="000D0101" w:rsidRDefault="003D5DB4" w:rsidP="000A5389">
          <w:pPr>
            <w:spacing w:line="240" w:lineRule="auto"/>
          </w:pPr>
        </w:p>
        <w:p w14:paraId="53ADE58B" w14:textId="77777777" w:rsidR="003D5DB4" w:rsidRPr="000D0101" w:rsidRDefault="003D5DB4" w:rsidP="000A5389">
          <w:pPr>
            <w:spacing w:line="240" w:lineRule="auto"/>
          </w:pPr>
          <w:r w:rsidRPr="000D0101">
            <w:lastRenderedPageBreak/>
            <w:t>Objeto / Descripción: Homologar el permiso de operación para el cargue de banano, plátano de exportación, cargue y descargue de bienes y materias primas propios necesarios para la producción, beneficio y empaque de la fruta, así como el aprovechamiento de la capacidad de carga al norte y del flete de compensación con carga al sur, para terceras personas, a la sociedad Cl. UNION DE BANANEROS DE URABA S A - Cl. UNIBAN S A, de los muelles fluviales, otorgado por el Ministerio de Transporte, por medio de Resolución No. 002060 del 6 de agosto de 2004, ubicados en los Corregimientos de Zungo y Nueva Colonia de los municipios de Carepa y Turbo de la Zona de Urabá.</w:t>
          </w:r>
        </w:p>
        <w:p w14:paraId="6A500F0B" w14:textId="77777777" w:rsidR="003D5DB4" w:rsidRPr="000D0101" w:rsidRDefault="003D5DB4" w:rsidP="000A5389">
          <w:pPr>
            <w:spacing w:line="240" w:lineRule="auto"/>
          </w:pPr>
          <w:r w:rsidRPr="000D0101">
            <w:t>Valor inicial:</w:t>
          </w:r>
          <w:r w:rsidRPr="000D0101">
            <w:tab/>
            <w:t>USD $13.046.525 Artículo Sexto/ Resolución 1955 de 2016.</w:t>
          </w:r>
        </w:p>
        <w:p w14:paraId="1C5E1AD9" w14:textId="77777777" w:rsidR="003D5DB4" w:rsidRPr="000D0101" w:rsidRDefault="003D5DB4" w:rsidP="000A5389">
          <w:pPr>
            <w:spacing w:line="240" w:lineRule="auto"/>
          </w:pPr>
          <w:r w:rsidRPr="000D0101">
            <w:t>Fecha de inicio: 12/01/2017</w:t>
          </w:r>
        </w:p>
        <w:p w14:paraId="6138C85A" w14:textId="77777777" w:rsidR="003D5DB4" w:rsidRPr="000D0101" w:rsidRDefault="003D5DB4" w:rsidP="000A5389">
          <w:pPr>
            <w:spacing w:line="240" w:lineRule="auto"/>
          </w:pPr>
          <w:r w:rsidRPr="000D0101">
            <w:t>Fecha de finalización estimada: 11/01/2037</w:t>
          </w:r>
        </w:p>
        <w:p w14:paraId="5A6B1683" w14:textId="77777777" w:rsidR="003D5DB4" w:rsidRPr="000D0101" w:rsidRDefault="003D5DB4" w:rsidP="000A5389">
          <w:pPr>
            <w:spacing w:line="240" w:lineRule="auto"/>
          </w:pPr>
          <w:r w:rsidRPr="000D0101">
            <w:t>Tipo ID: NIT</w:t>
          </w:r>
        </w:p>
        <w:p w14:paraId="594B760E" w14:textId="77777777" w:rsidR="003D5DB4" w:rsidRPr="000D0101" w:rsidRDefault="003D5DB4" w:rsidP="000A5389">
          <w:pPr>
            <w:spacing w:line="240" w:lineRule="auto"/>
          </w:pPr>
          <w:r w:rsidRPr="000D0101">
            <w:t>Número ID: 901343976-3</w:t>
          </w:r>
        </w:p>
        <w:p w14:paraId="3EFCE874" w14:textId="77777777" w:rsidR="003D5DB4" w:rsidRPr="000D0101" w:rsidRDefault="003D5DB4" w:rsidP="000A5389">
          <w:pPr>
            <w:spacing w:line="240" w:lineRule="auto"/>
          </w:pPr>
          <w:r w:rsidRPr="000D0101">
            <w:t>Razón social del concesionario: UNIBÁN SERVICIOS S.A. (C.I. UNIÓN DE BANANEROS DE URABÁ S.A. – UNIBAN).</w:t>
          </w:r>
        </w:p>
        <w:p w14:paraId="076E7D2A" w14:textId="77777777" w:rsidR="003D5DB4" w:rsidRPr="000D0101" w:rsidRDefault="003D5DB4" w:rsidP="000A5389">
          <w:pPr>
            <w:spacing w:line="240" w:lineRule="auto"/>
          </w:pPr>
          <w:r w:rsidRPr="000D0101">
            <w:t>Nombre del proyecto: UNIBÁN SERVICIOS S.A. (C.I. UNIÓN DE BANANEROS DE URABÁ S.A. – UNIBAN).</w:t>
          </w:r>
        </w:p>
        <w:p w14:paraId="34C471A0" w14:textId="77777777" w:rsidR="003D5DB4" w:rsidRPr="000D0101" w:rsidRDefault="003D5DB4" w:rsidP="000A5389">
          <w:pPr>
            <w:spacing w:line="240" w:lineRule="auto"/>
          </w:pPr>
        </w:p>
        <w:p w14:paraId="6F47D7E5" w14:textId="77777777" w:rsidR="003D5DB4" w:rsidRPr="000D0101" w:rsidRDefault="003D5DB4" w:rsidP="000A5389">
          <w:pPr>
            <w:spacing w:line="240" w:lineRule="auto"/>
          </w:pPr>
          <w:r w:rsidRPr="000D0101">
            <w:t>b. Términos significativos del Acuerdo que puedan afectar su valor, el calendario y la certeza de los flujos de efectivo futuros</w:t>
          </w:r>
        </w:p>
        <w:p w14:paraId="3232650D" w14:textId="77777777" w:rsidR="003D5DB4" w:rsidRPr="000D0101" w:rsidRDefault="003D5DB4" w:rsidP="000A5389">
          <w:pPr>
            <w:spacing w:line="240" w:lineRule="auto"/>
          </w:pPr>
        </w:p>
        <w:p w14:paraId="525B7D1C" w14:textId="77777777" w:rsidR="003D5DB4" w:rsidRPr="000D0101" w:rsidRDefault="003D5DB4" w:rsidP="000A5389">
          <w:pPr>
            <w:spacing w:line="240" w:lineRule="auto"/>
          </w:pPr>
          <w:r w:rsidRPr="000D0101">
            <w:t>Términos de valor: Tarifas: Al ser el terminal marítimo de servicio privado la Ley 1 de 1991 establece: Las sociedades portuarias que operan puertos de servicio privado podrán fijar libremente sus tarifas, pero mantendrán informada sobre ellas a la Superintendencia General de Puertos hoy Superintendencia de Transporte. Contraprestación portuaria: De acuerdo con el último documento contractual la metodología de contraprestación vigente es CONPES 3744 de 2013 y según el artículo sexto de la Resolución No. 1955 de 2016 (Componentes Fijo y Variable).  A febrero de 2024 se proyectó que el CONCESIONARIO debió pagar la suma de USD $ USD 1.566.811,89, valor que incluye componente fijo y componente variable.  El valor correspondiente a la contraprestación por zona de uso público resultará de la diferencia entre el valor de la liquidación total y el valor de la infraestructura. Y el recaudo se realizará de conformidad con la ley 856 de 2003, es decir, ZUP el 80% le corresponde a la Nación (INVIAS - ANI) y el 20% restante a los Municipios de Carepa y Turbo (Antioquia); e INFRAESTRUCTURA en un 100% a la Nación (INVIAS-ANI). Plan de Inversiones: Teniendo en cuenta la Resolución No. 1955 de 2016, no se cuenta con un plan de inversión. Obligaciones del CONCESIONARIO: se encuentran descritas en la cláusula décima.</w:t>
          </w:r>
        </w:p>
        <w:p w14:paraId="1ADB8FC3" w14:textId="77777777" w:rsidR="003D5DB4" w:rsidRPr="000D0101" w:rsidRDefault="003D5DB4" w:rsidP="000A5389">
          <w:pPr>
            <w:spacing w:line="240" w:lineRule="auto"/>
          </w:pPr>
        </w:p>
        <w:p w14:paraId="7426F797" w14:textId="77777777" w:rsidR="003D5DB4" w:rsidRPr="000D0101" w:rsidRDefault="003D5DB4" w:rsidP="000A5389">
          <w:pPr>
            <w:spacing w:line="240" w:lineRule="auto"/>
          </w:pPr>
          <w:r w:rsidRPr="000D0101">
            <w:t>Términos de calendario: Tarifas: Aprobadas según la metodología establecida por la Superintendencia General de Puertos hoy Superintendencia de Transporte.  Contraprestación portuaria: La contraprestación se debe pagar de manera anticipada antes del mes de febrero de cada año.  Plan de inversiones: Teniendo en cuenta la Resolución No. 1955 de 2016, no se cuenta con un plan de inversión.</w:t>
          </w:r>
        </w:p>
        <w:p w14:paraId="15F54E33" w14:textId="77777777" w:rsidR="003D5DB4" w:rsidRPr="000D0101" w:rsidRDefault="003D5DB4" w:rsidP="000A5389">
          <w:pPr>
            <w:spacing w:line="240" w:lineRule="auto"/>
          </w:pPr>
        </w:p>
        <w:p w14:paraId="7EC5B531" w14:textId="77777777" w:rsidR="003D5DB4" w:rsidRPr="000D0101" w:rsidRDefault="003D5DB4" w:rsidP="000A5389">
          <w:pPr>
            <w:spacing w:line="240" w:lineRule="auto"/>
          </w:pPr>
          <w:r w:rsidRPr="000D0101">
            <w:lastRenderedPageBreak/>
            <w:t>Términos de certeza de flujos de efectivo futuros: Homologar el permiso de operación para el cargue de banano, plátano de exportación, cargue y descargue de bienes y materias primas propios necesarios para la producción, beneficio y empaque de la fruta, así como el aprovechamiento de la capacidad de carga al norte y del flete de compensación con carga al sur, para terceras personas, a la sociedad Cl. UNION DE BANANEROS DE URABA S A – Cl. UNIBAN S A, de los muelles fluviales, otorgado por el Ministerio de Transporte, por medio de Resolución No. 002060 del 6 de agosto de 2004, ubicados en los Corregimientos de Zungo y Nueva Colonia de los municipios de Carepa y Turbo de la Zona de Urabá. En el parágrafo del artículo sexto de la Resolución No. 1955 de 2016, se menciona que de dicho pago el 80% le corresponde a la NACIÓN-Instituto Nacional de Vías y el 20% restante a los Municipios de Carepa y Turbo (Antioquia), de acuerdo con lo establecido en el parágrafo 1 del artículo 1 de la Ley 856 del 21 de diciembre de 2003, que modifica el artículo 7 de la Ley 1 de 1991.</w:t>
          </w:r>
        </w:p>
        <w:p w14:paraId="01C521A0" w14:textId="77777777" w:rsidR="003D5DB4" w:rsidRPr="000D0101" w:rsidRDefault="003D5DB4" w:rsidP="000A5389">
          <w:pPr>
            <w:spacing w:line="240" w:lineRule="auto"/>
          </w:pPr>
        </w:p>
        <w:p w14:paraId="02A79E51" w14:textId="77777777" w:rsidR="003D5DB4" w:rsidRPr="000D0101" w:rsidRDefault="003D5DB4" w:rsidP="000A5389">
          <w:pPr>
            <w:spacing w:line="240" w:lineRule="auto"/>
          </w:pPr>
          <w:r w:rsidRPr="000D0101">
            <w:t>c. Naturaleza y alcance del derecho a utilizar Activos y los aspectos pactados en torno a lo que se espera que el concesionario proporcione en relación con el Acuerdo de concesión</w:t>
          </w:r>
        </w:p>
        <w:p w14:paraId="73713CD3" w14:textId="77777777" w:rsidR="003D5DB4" w:rsidRPr="000D0101" w:rsidRDefault="003D5DB4" w:rsidP="000A5389">
          <w:pPr>
            <w:spacing w:line="240" w:lineRule="auto"/>
          </w:pPr>
        </w:p>
        <w:p w14:paraId="5A3772B7" w14:textId="77777777" w:rsidR="003D5DB4" w:rsidRPr="000D0101" w:rsidRDefault="003D5DB4" w:rsidP="000A5389">
          <w:pPr>
            <w:spacing w:line="240" w:lineRule="auto"/>
          </w:pPr>
          <w:r w:rsidRPr="000D0101">
            <w:t>d. Naturaleza y alcance del derecho de uso de los Activos</w:t>
          </w:r>
        </w:p>
        <w:p w14:paraId="1C38C9CC" w14:textId="77777777" w:rsidR="003D5DB4" w:rsidRPr="000D0101" w:rsidRDefault="003D5DB4" w:rsidP="000A5389">
          <w:pPr>
            <w:spacing w:line="240" w:lineRule="auto"/>
          </w:pPr>
        </w:p>
        <w:p w14:paraId="49A25F7D" w14:textId="77777777" w:rsidR="003D5DB4" w:rsidRPr="000D0101" w:rsidRDefault="003D5DB4" w:rsidP="000A5389">
          <w:pPr>
            <w:spacing w:line="240" w:lineRule="auto"/>
          </w:pPr>
          <w:r w:rsidRPr="000D0101">
            <w:t>Descripción:</w:t>
          </w:r>
          <w:r w:rsidRPr="000D0101">
            <w:tab/>
            <w:t>Área entregada en concesión: La descripción de la ubicación, linderos y extensión de los bienes de uso público (playas y terrenos de baja mar, zonas marítimas accesorias de maniobras) entregados en concesión están establecidos en el artículo primero. El área solicitada en concesión corresponde al área acuática, la cual se encuentra ubicada en íes muelles fluviales de Zungo y Nueva Colonia en los Municipios de Carepa y Turbo, sector de Urabá. El área correspondiente a las zonas de uso público señalada como área acuática ocupada por la Infraestructura de los embarcaderos, zonas aledañas a los terrenos del proyecto que son propiedad privada de C.I. UNIBAN S.A. por el término de 20 años a cambio de la contraprestación establecida en el Artículo Sexto - Contraprestación de la Resolución de Homologación No. 1955 del 21 de diciembre del 2016</w:t>
          </w:r>
        </w:p>
        <w:p w14:paraId="75362A14" w14:textId="77777777" w:rsidR="003D5DB4" w:rsidRPr="000D0101" w:rsidRDefault="003D5DB4" w:rsidP="000A5389">
          <w:pPr>
            <w:spacing w:line="240" w:lineRule="auto"/>
          </w:pPr>
        </w:p>
        <w:p w14:paraId="39F94225" w14:textId="77777777" w:rsidR="003D5DB4" w:rsidRPr="000D0101" w:rsidRDefault="003D5DB4" w:rsidP="000A5389">
          <w:pPr>
            <w:spacing w:line="240" w:lineRule="auto"/>
          </w:pPr>
          <w:r w:rsidRPr="000D0101">
            <w:t>Observaciones: No se tiene observaciones</w:t>
          </w:r>
        </w:p>
        <w:p w14:paraId="2A6B491A" w14:textId="77777777" w:rsidR="003D5DB4" w:rsidRPr="000D0101" w:rsidRDefault="003D5DB4" w:rsidP="000A5389">
          <w:pPr>
            <w:spacing w:line="240" w:lineRule="auto"/>
          </w:pPr>
        </w:p>
        <w:p w14:paraId="70E0451B" w14:textId="77777777" w:rsidR="003D5DB4" w:rsidRPr="000D0101" w:rsidRDefault="003D5DB4" w:rsidP="000A5389">
          <w:pPr>
            <w:spacing w:line="240" w:lineRule="auto"/>
          </w:pPr>
          <w:r w:rsidRPr="000D0101">
            <w:t>Retribución al concesionario</w:t>
          </w:r>
        </w:p>
        <w:p w14:paraId="66C814C4" w14:textId="77777777" w:rsidR="003D5DB4" w:rsidRPr="000D0101" w:rsidRDefault="003D5DB4" w:rsidP="000A5389">
          <w:pPr>
            <w:spacing w:line="240" w:lineRule="auto"/>
          </w:pPr>
        </w:p>
        <w:p w14:paraId="24D19C10" w14:textId="77777777" w:rsidR="003D5DB4" w:rsidRPr="000D0101" w:rsidRDefault="003D5DB4" w:rsidP="000A5389">
          <w:pPr>
            <w:spacing w:line="240" w:lineRule="auto"/>
          </w:pPr>
          <w:r w:rsidRPr="000D0101">
            <w:t>Descripción:</w:t>
          </w:r>
          <w:r w:rsidRPr="000D0101">
            <w:tab/>
            <w:t>Teniendo en cuenta el artículo primero, sobre el objeto que en particular describe homologar el permiso de operación para el cargue de banano, plátano de exportación, cargue y descargue de bienes y materias primas propios necesarios para la producción, beneficio y empaque de la fruta, así como el aprovechamiento de la capacidad de carga al norte y del flete de compensación con carga al sur, para terceras personas, a la sociedad Cl. UNION DE BANANEROS DE URABA S A - Cl. UNIBAN S A, de los muelles fluviales, otorgado por el Ministerio de Transporte, por medio de Resolución No. 002060 del 6 de agosto de 2004, ubicados en los Corregimientos de Zungo y Nueva Colonia de los municipios de Carepa y Turbo de la Zona de Urabá.</w:t>
          </w:r>
        </w:p>
        <w:p w14:paraId="185CEB21" w14:textId="77777777" w:rsidR="003D5DB4" w:rsidRPr="000D0101" w:rsidRDefault="003D5DB4" w:rsidP="000A5389">
          <w:pPr>
            <w:spacing w:line="240" w:lineRule="auto"/>
          </w:pPr>
        </w:p>
        <w:p w14:paraId="3FB5183F" w14:textId="77777777" w:rsidR="003D5DB4" w:rsidRPr="000D0101" w:rsidRDefault="003D5DB4" w:rsidP="000A5389">
          <w:pPr>
            <w:spacing w:line="240" w:lineRule="auto"/>
          </w:pPr>
          <w:r w:rsidRPr="000D0101">
            <w:lastRenderedPageBreak/>
            <w:t>Tasa de retribución:</w:t>
          </w:r>
          <w:r w:rsidRPr="000D0101">
            <w:tab/>
            <w:t>N/A</w:t>
          </w:r>
        </w:p>
        <w:p w14:paraId="216FF8C3" w14:textId="77777777" w:rsidR="003D5DB4" w:rsidRPr="000D0101" w:rsidRDefault="003D5DB4" w:rsidP="000A5389">
          <w:pPr>
            <w:spacing w:line="240" w:lineRule="auto"/>
          </w:pPr>
        </w:p>
        <w:p w14:paraId="5FA71C71" w14:textId="77777777" w:rsidR="003D5DB4" w:rsidRPr="000D0101" w:rsidRDefault="003D5DB4" w:rsidP="000A5389">
          <w:pPr>
            <w:spacing w:line="240" w:lineRule="auto"/>
          </w:pPr>
          <w:r w:rsidRPr="000D0101">
            <w:t>d. Derechos a recibir Activos especificados al final del acuerdo de concesión</w:t>
          </w:r>
        </w:p>
        <w:p w14:paraId="28FAFF75" w14:textId="77777777" w:rsidR="003D5DB4" w:rsidRPr="000D0101" w:rsidRDefault="003D5DB4" w:rsidP="000A5389">
          <w:pPr>
            <w:spacing w:line="240" w:lineRule="auto"/>
          </w:pPr>
        </w:p>
        <w:p w14:paraId="4026EE44" w14:textId="77777777" w:rsidR="003D5DB4" w:rsidRPr="000D0101" w:rsidRDefault="003D5DB4" w:rsidP="000A5389">
          <w:pPr>
            <w:spacing w:line="240" w:lineRule="auto"/>
          </w:pPr>
          <w:r w:rsidRPr="000D0101">
            <w:t>Descripción:</w:t>
          </w:r>
          <w:r w:rsidRPr="000D0101">
            <w:tab/>
            <w:t>De acuerdo con el Artículo 8º de la Ley 1 de 1991 en el modo portuario el concesionario no tiene derechos finales sobre activos los debe revertir a la Nación al final del contrato de concesión. Para el caso de UNIBÁN S.A. no hay activos para revertir a la nación</w:t>
          </w:r>
        </w:p>
        <w:p w14:paraId="308F7A79" w14:textId="77777777" w:rsidR="003D5DB4" w:rsidRPr="000D0101" w:rsidRDefault="003D5DB4" w:rsidP="000A5389">
          <w:pPr>
            <w:spacing w:line="240" w:lineRule="auto"/>
          </w:pPr>
        </w:p>
        <w:p w14:paraId="0B5A50A6" w14:textId="77777777" w:rsidR="003D5DB4" w:rsidRPr="000D0101" w:rsidRDefault="003D5DB4" w:rsidP="000A5389">
          <w:pPr>
            <w:spacing w:line="240" w:lineRule="auto"/>
          </w:pPr>
          <w:r w:rsidRPr="000D0101">
            <w:t>Observaciones: No se tiene ninguna observación</w:t>
          </w:r>
        </w:p>
        <w:p w14:paraId="50D2F5E4" w14:textId="77777777" w:rsidR="003D5DB4" w:rsidRPr="000D0101" w:rsidRDefault="003D5DB4" w:rsidP="000A5389">
          <w:pPr>
            <w:spacing w:line="240" w:lineRule="auto"/>
          </w:pPr>
          <w:r w:rsidRPr="000D0101">
            <w:t>e. Las alternativas de renovación y cese del acuerdo</w:t>
          </w:r>
        </w:p>
        <w:p w14:paraId="4830084A" w14:textId="77777777" w:rsidR="003D5DB4" w:rsidRPr="000D0101" w:rsidRDefault="003D5DB4" w:rsidP="000A5389">
          <w:pPr>
            <w:spacing w:line="240" w:lineRule="auto"/>
          </w:pPr>
        </w:p>
        <w:p w14:paraId="75BADE43" w14:textId="77777777" w:rsidR="003D5DB4" w:rsidRPr="000D0101" w:rsidRDefault="003D5DB4" w:rsidP="000A5389">
          <w:pPr>
            <w:spacing w:line="240" w:lineRule="auto"/>
          </w:pPr>
          <w:r w:rsidRPr="000D0101">
            <w:t>Descripción:</w:t>
          </w:r>
          <w:r w:rsidRPr="000D0101">
            <w:tab/>
            <w:t>N/A</w:t>
          </w:r>
        </w:p>
        <w:p w14:paraId="1CEDB950" w14:textId="77777777" w:rsidR="003D5DB4" w:rsidRPr="000D0101" w:rsidRDefault="003D5DB4" w:rsidP="000A5389">
          <w:pPr>
            <w:spacing w:line="240" w:lineRule="auto"/>
          </w:pPr>
        </w:p>
        <w:p w14:paraId="66EAE709" w14:textId="77777777" w:rsidR="003D5DB4" w:rsidRPr="000D0101" w:rsidRDefault="003D5DB4" w:rsidP="000A5389">
          <w:pPr>
            <w:spacing w:line="240" w:lineRule="auto"/>
          </w:pPr>
          <w:r w:rsidRPr="000D0101">
            <w:t>Observaciones: No se tiene ninguna observación</w:t>
          </w:r>
        </w:p>
        <w:p w14:paraId="5CAE2E37" w14:textId="77777777" w:rsidR="003D5DB4" w:rsidRPr="000D0101" w:rsidRDefault="003D5DB4" w:rsidP="000A5389">
          <w:pPr>
            <w:spacing w:line="240" w:lineRule="auto"/>
          </w:pPr>
        </w:p>
        <w:p w14:paraId="212FEE0A" w14:textId="77777777" w:rsidR="003D5DB4" w:rsidRPr="000D0101" w:rsidRDefault="003D5DB4" w:rsidP="000A5389">
          <w:pPr>
            <w:spacing w:line="240" w:lineRule="auto"/>
          </w:pPr>
          <w:r w:rsidRPr="000D0101">
            <w:t>f. Cambios en el acuerdo de concesión que se realicen durante el periodo fiscal</w:t>
          </w:r>
        </w:p>
        <w:p w14:paraId="46CBCB5A" w14:textId="77777777" w:rsidR="003D5DB4" w:rsidRPr="000D0101" w:rsidRDefault="003D5DB4" w:rsidP="000A5389">
          <w:pPr>
            <w:spacing w:line="240" w:lineRule="auto"/>
          </w:pPr>
        </w:p>
        <w:p w14:paraId="13450DBF" w14:textId="77777777" w:rsidR="003D5DB4" w:rsidRPr="000D0101" w:rsidRDefault="003D5DB4" w:rsidP="000A5389">
          <w:pPr>
            <w:spacing w:line="240" w:lineRule="auto"/>
          </w:pPr>
          <w:r w:rsidRPr="000D0101">
            <w:t>Adiciones o modificaciones en tiempo</w:t>
          </w:r>
        </w:p>
        <w:p w14:paraId="5B2D07E4" w14:textId="77777777" w:rsidR="003D5DB4" w:rsidRPr="000D0101" w:rsidRDefault="003D5DB4" w:rsidP="000A5389">
          <w:pPr>
            <w:spacing w:line="240" w:lineRule="auto"/>
          </w:pPr>
          <w:r w:rsidRPr="000D0101">
            <w:t>Fechas de las adiciones o modificaciones:</w:t>
          </w:r>
          <w:r w:rsidRPr="000D0101">
            <w:tab/>
            <w:t>Resolución 20213030004535 del 26/03/2021</w:t>
          </w:r>
        </w:p>
        <w:p w14:paraId="699495CF" w14:textId="77777777" w:rsidR="003D5DB4" w:rsidRPr="000D0101" w:rsidRDefault="003D5DB4" w:rsidP="000A5389">
          <w:pPr>
            <w:spacing w:line="240" w:lineRule="auto"/>
          </w:pPr>
          <w:r w:rsidRPr="000D0101">
            <w:t>Nueva fecha de finalización estimada: No aplica</w:t>
          </w:r>
        </w:p>
        <w:p w14:paraId="04441A31" w14:textId="77777777" w:rsidR="003D5DB4" w:rsidRPr="000D0101" w:rsidRDefault="003D5DB4" w:rsidP="000A5389">
          <w:pPr>
            <w:spacing w:line="240" w:lineRule="auto"/>
          </w:pPr>
          <w:r w:rsidRPr="000D0101">
            <w:t>Observaciones: No se tiene ninguna observación</w:t>
          </w:r>
        </w:p>
        <w:p w14:paraId="43AD842C" w14:textId="77777777" w:rsidR="003D5DB4" w:rsidRPr="000D0101" w:rsidRDefault="003D5DB4" w:rsidP="000A5389">
          <w:pPr>
            <w:spacing w:line="240" w:lineRule="auto"/>
          </w:pPr>
          <w:r w:rsidRPr="000D0101">
            <w:t>Adiciones o modificaciones en valor</w:t>
          </w:r>
        </w:p>
        <w:p w14:paraId="72B45290" w14:textId="77777777" w:rsidR="003D5DB4" w:rsidRPr="000D0101" w:rsidRDefault="003D5DB4" w:rsidP="000A5389">
          <w:pPr>
            <w:spacing w:line="240" w:lineRule="auto"/>
          </w:pPr>
          <w:r w:rsidRPr="000D0101">
            <w:t>Valor de la adición o modificación: N/A</w:t>
          </w:r>
        </w:p>
        <w:p w14:paraId="0AD06291" w14:textId="77777777" w:rsidR="003D5DB4" w:rsidRPr="000D0101" w:rsidRDefault="003D5DB4" w:rsidP="000A5389">
          <w:pPr>
            <w:spacing w:line="240" w:lineRule="auto"/>
          </w:pPr>
          <w:r w:rsidRPr="000D0101">
            <w:t>Nuevo valor del acuerdo: N/A</w:t>
          </w:r>
        </w:p>
        <w:p w14:paraId="7761F8B7" w14:textId="77777777" w:rsidR="003D5DB4" w:rsidRPr="000D0101" w:rsidRDefault="003D5DB4" w:rsidP="000A5389">
          <w:pPr>
            <w:spacing w:line="240" w:lineRule="auto"/>
          </w:pPr>
          <w:r w:rsidRPr="000D0101">
            <w:t>Observaciones: No se tiene ninguna observación</w:t>
          </w:r>
        </w:p>
        <w:p w14:paraId="048F6C7C" w14:textId="77777777" w:rsidR="003D5DB4" w:rsidRPr="000D0101" w:rsidRDefault="003D5DB4" w:rsidP="000A5389">
          <w:pPr>
            <w:spacing w:line="240" w:lineRule="auto"/>
          </w:pPr>
        </w:p>
        <w:p w14:paraId="0D418906" w14:textId="77777777" w:rsidR="003D5DB4" w:rsidRPr="000D0101" w:rsidRDefault="003D5DB4" w:rsidP="000A5389">
          <w:pPr>
            <w:spacing w:line="240" w:lineRule="auto"/>
            <w:rPr>
              <w:rFonts w:eastAsia="Times New Roman"/>
              <w:lang w:eastAsia="es-CO"/>
            </w:rPr>
          </w:pPr>
        </w:p>
        <w:p w14:paraId="26325298" w14:textId="77777777" w:rsidR="003D5DB4" w:rsidRPr="00915852" w:rsidRDefault="003D5DB4" w:rsidP="000A5389">
          <w:pPr>
            <w:spacing w:line="240" w:lineRule="auto"/>
            <w:rPr>
              <w:rFonts w:eastAsia="Times New Roman"/>
              <w:i/>
              <w:iCs/>
              <w:lang w:eastAsia="es-CO"/>
            </w:rPr>
          </w:pPr>
          <w:r w:rsidRPr="00915852">
            <w:rPr>
              <w:rFonts w:eastAsia="Times New Roman"/>
              <w:i/>
              <w:iCs/>
              <w:lang w:eastAsia="es-CO"/>
            </w:rPr>
            <w:t>CENIT TRANSPORTE Y LOGÍSTICA DE HIDROCARBUROS S.A.S. - Terminal Marítimo de Pozos Colorados</w:t>
          </w:r>
        </w:p>
        <w:p w14:paraId="73975986" w14:textId="77777777" w:rsidR="003D5DB4" w:rsidRPr="00915852" w:rsidRDefault="003D5DB4" w:rsidP="000A5389">
          <w:pPr>
            <w:spacing w:line="240" w:lineRule="auto"/>
            <w:rPr>
              <w:i/>
              <w:iCs/>
            </w:rPr>
          </w:pPr>
        </w:p>
        <w:p w14:paraId="10524E63" w14:textId="77777777" w:rsidR="003D5DB4" w:rsidRPr="000D0101" w:rsidRDefault="003D5DB4" w:rsidP="000A5389">
          <w:pPr>
            <w:spacing w:line="240" w:lineRule="auto"/>
          </w:pPr>
          <w:r w:rsidRPr="000D0101">
            <w:t>a. Descripción del Acuerdo</w:t>
          </w:r>
        </w:p>
        <w:p w14:paraId="4095E43C" w14:textId="77777777" w:rsidR="003D5DB4" w:rsidRPr="000D0101" w:rsidRDefault="003D5DB4" w:rsidP="000A5389">
          <w:pPr>
            <w:spacing w:line="240" w:lineRule="auto"/>
          </w:pPr>
        </w:p>
        <w:p w14:paraId="5161BB72" w14:textId="77777777" w:rsidR="003D5DB4" w:rsidRPr="000D0101" w:rsidRDefault="003D5DB4" w:rsidP="000A5389">
          <w:pPr>
            <w:spacing w:line="240" w:lineRule="auto"/>
          </w:pPr>
          <w:r w:rsidRPr="000D0101">
            <w:t>Número del Acuerdo de concesión: 005 de 2010.</w:t>
          </w:r>
        </w:p>
        <w:p w14:paraId="2D60E29A" w14:textId="77777777" w:rsidR="003D5DB4" w:rsidRPr="000D0101" w:rsidRDefault="003D5DB4" w:rsidP="000A5389">
          <w:pPr>
            <w:spacing w:line="240" w:lineRule="auto"/>
          </w:pPr>
        </w:p>
        <w:p w14:paraId="78E1EDC8" w14:textId="77777777" w:rsidR="003D5DB4" w:rsidRPr="000D0101" w:rsidRDefault="003D5DB4" w:rsidP="000A5389">
          <w:pPr>
            <w:spacing w:line="240" w:lineRule="auto"/>
          </w:pPr>
          <w:r w:rsidRPr="000D0101">
            <w:t>Objeto / Descripción: En virtud del Contrato de concesión y su modificación, se permite al CONCESIONARIO la ocupación y utilización en forma temporal y exclusiva del terminal marítimo denominado “Pozos Colorados”; concesión que incluye igualmente la ocupación y utilización en forma temporal y exclusiva de las playas, los terrenos de bajamar, zonas accesorias a aquellas o estos y la infraestructura portuaria que allí se encuentra, para la construcción, operación y el desarrollo de actividades portuarias de servicio privado, conforme lo establece la Cláusula Primera del Contrato.</w:t>
          </w:r>
        </w:p>
        <w:p w14:paraId="0E6C0892" w14:textId="77777777" w:rsidR="003D5DB4" w:rsidRPr="000D0101" w:rsidRDefault="003D5DB4" w:rsidP="000A5389">
          <w:pPr>
            <w:spacing w:line="240" w:lineRule="auto"/>
          </w:pPr>
        </w:p>
        <w:p w14:paraId="619186B4" w14:textId="77777777" w:rsidR="003D5DB4" w:rsidRPr="000D0101" w:rsidRDefault="003D5DB4" w:rsidP="000A5389">
          <w:pPr>
            <w:spacing w:line="240" w:lineRule="auto"/>
          </w:pPr>
          <w:r w:rsidRPr="000D0101">
            <w:t>Valor inicial:</w:t>
          </w:r>
          <w:r w:rsidRPr="000D0101">
            <w:tab/>
            <w:t>USD $4.492.159 Cláusula octava / Contrato No 005 de 2010</w:t>
          </w:r>
        </w:p>
        <w:p w14:paraId="26E9940A" w14:textId="77777777" w:rsidR="003D5DB4" w:rsidRPr="000D0101" w:rsidRDefault="003D5DB4" w:rsidP="000A5389">
          <w:pPr>
            <w:spacing w:line="240" w:lineRule="auto"/>
          </w:pPr>
          <w:r w:rsidRPr="000D0101">
            <w:t>Fecha de inicio: 16/06/2010</w:t>
          </w:r>
        </w:p>
        <w:p w14:paraId="69E105A4" w14:textId="77777777" w:rsidR="003D5DB4" w:rsidRPr="000D0101" w:rsidRDefault="003D5DB4" w:rsidP="000A5389">
          <w:pPr>
            <w:spacing w:line="240" w:lineRule="auto"/>
          </w:pPr>
          <w:r w:rsidRPr="000D0101">
            <w:lastRenderedPageBreak/>
            <w:t>Fecha de finalización estimada: 15/06/2030</w:t>
          </w:r>
        </w:p>
        <w:p w14:paraId="78A265C0" w14:textId="77777777" w:rsidR="003D5DB4" w:rsidRPr="000D0101" w:rsidRDefault="003D5DB4" w:rsidP="000A5389">
          <w:pPr>
            <w:spacing w:line="240" w:lineRule="auto"/>
          </w:pPr>
          <w:r w:rsidRPr="000D0101">
            <w:t>Tipo ID: NIT</w:t>
          </w:r>
        </w:p>
        <w:p w14:paraId="09267CA7" w14:textId="77777777" w:rsidR="003D5DB4" w:rsidRPr="000D0101" w:rsidRDefault="003D5DB4" w:rsidP="000A5389">
          <w:pPr>
            <w:spacing w:line="240" w:lineRule="auto"/>
          </w:pPr>
          <w:r w:rsidRPr="000D0101">
            <w:t>Número ID: 900.531.210-3</w:t>
          </w:r>
        </w:p>
        <w:p w14:paraId="2488B690" w14:textId="77777777" w:rsidR="003D5DB4" w:rsidRPr="000D0101" w:rsidRDefault="003D5DB4" w:rsidP="000A5389">
          <w:pPr>
            <w:spacing w:line="240" w:lineRule="auto"/>
          </w:pPr>
          <w:r w:rsidRPr="000D0101">
            <w:t>Razón social del concesionario: Sociedad CENIT Transporte y Logística de Hidrocarburos S.A.S. Terminal Marítimo Pozos Colorados.</w:t>
          </w:r>
        </w:p>
        <w:p w14:paraId="2BD06604" w14:textId="77777777" w:rsidR="003D5DB4" w:rsidRPr="000D0101" w:rsidRDefault="003D5DB4" w:rsidP="000A5389">
          <w:pPr>
            <w:spacing w:line="240" w:lineRule="auto"/>
          </w:pPr>
          <w:r w:rsidRPr="000D0101">
            <w:t>Nombre del proyecto: Sociedad CENIT Transporte y Logística de Hidrocarburos S.A.S. Terminal Marítimo Pozos Colorados.</w:t>
          </w:r>
        </w:p>
        <w:p w14:paraId="74E667AA" w14:textId="77777777" w:rsidR="003D5DB4" w:rsidRPr="000D0101" w:rsidRDefault="003D5DB4" w:rsidP="000A5389">
          <w:pPr>
            <w:spacing w:line="240" w:lineRule="auto"/>
          </w:pPr>
        </w:p>
        <w:p w14:paraId="4623D826" w14:textId="77777777" w:rsidR="003D5DB4" w:rsidRPr="000D0101" w:rsidRDefault="003D5DB4" w:rsidP="000A5389">
          <w:pPr>
            <w:spacing w:line="240" w:lineRule="auto"/>
          </w:pPr>
          <w:r w:rsidRPr="000D0101">
            <w:t>b. Términos significativos del Acuerdo que puedan afectar su valor, el calendario y la certeza de los flujos de efectivo futuros</w:t>
          </w:r>
        </w:p>
        <w:p w14:paraId="6827F927" w14:textId="77777777" w:rsidR="003D5DB4" w:rsidRPr="000D0101" w:rsidRDefault="003D5DB4" w:rsidP="000A5389">
          <w:pPr>
            <w:spacing w:line="240" w:lineRule="auto"/>
          </w:pPr>
        </w:p>
        <w:p w14:paraId="608E34B8" w14:textId="77777777" w:rsidR="003D5DB4" w:rsidRPr="000D0101" w:rsidRDefault="003D5DB4" w:rsidP="000A5389">
          <w:pPr>
            <w:spacing w:line="240" w:lineRule="auto"/>
          </w:pPr>
          <w:r w:rsidRPr="000D0101">
            <w:t xml:space="preserve">Términos de valor: 1. Tarifas: Al ser el terminal marítimo de servicio privado la Ley 1 de 1991 establece: Las sociedades portuarias que operan puertos de servicio privado podrán fijar libremente sus tarifas, pero mantendrán informada sobre ellas a la Superintendencia General de Puertos hoy Superintendencia de Transporte.   2. Contraprestación portuaria: De acuerdo con el último documento contractual vigente la metodología de contraprestación vigente es CONPES 2680 DE 1993 (Productividad). Se establece en la cláusula octava del Contrato que el CONCESIONARIO deberá pagar por concepto de zona de uso público la suma anual de (USD 386.239), de dicho pago el 80% le corresponde a la Nación Instituto nacional de vías (INVIAS-ANI) y el 20% restante al Distrito Cultural e Histórico de Santa Marta, de acuerdo con lo establecido en el parágrafo 1 del artículo 1 de la ley 856 del 21 de diciembre de 2003, que modifica el artículo 7 de la ley 1ª de 1991. Así mismo, por concepto de infraestructura el CONCESIONARIO deberá pagar la suma anual de (USD 150.730), el cual corresponde en un 100% a la Nación - Instituto Nacional de Vías (INVIAS- ANI) de acuerdo con lo establecido en el artículo 1 de la ley 856 del 21 diciembre de 2003.  3. Plan de Inversiones: Está establecido en la cláusula séptima del Contrato, el plan de inversión será de USD $20.234.859 expresado en términos corrientes.  4. Obligaciones del CONCESIONARIO: Se encuentran descritas en la cláusula décima Quinta del Contrato Principal.   5. Multas y sanciones: Se encuentran descritas en la cláusula décima Octava del Contrato Principal.   6. Penal pecuniario: Se encuentran descritas en la cláusula décima Novena del Contrato Principal.  </w:t>
          </w:r>
        </w:p>
        <w:p w14:paraId="4A8951BB" w14:textId="77777777" w:rsidR="003D5DB4" w:rsidRPr="000D0101" w:rsidRDefault="003D5DB4" w:rsidP="000A5389">
          <w:pPr>
            <w:spacing w:line="240" w:lineRule="auto"/>
          </w:pPr>
        </w:p>
        <w:p w14:paraId="11115970" w14:textId="77777777" w:rsidR="003D5DB4" w:rsidRPr="000D0101" w:rsidRDefault="003D5DB4" w:rsidP="000A5389">
          <w:pPr>
            <w:spacing w:line="240" w:lineRule="auto"/>
          </w:pPr>
          <w:r w:rsidRPr="000D0101">
            <w:t xml:space="preserve">Términos de calendario: 1. Tarifas: Aprobadas según la metodología establecida por la Superintendencia General de Puertos hoy Superintendencia de Transporte.  2. Contraprestación portuaria: Se deberá pagar de manera anual, atendiendo los términos descritos en la cláusula Octava del Contrato principal.  3. Plan de inversiones: Se estableció en la cláusula Séptima del Contrato principal, en el cual se establece que la ejecución se realizará entre los años 1, 9, 14 y 19.  4. Multas: Se encuentran descritas en la cláusula décima Octava del Contrato Principal.  </w:t>
          </w:r>
        </w:p>
        <w:p w14:paraId="61A0E3BE" w14:textId="77777777" w:rsidR="003D5DB4" w:rsidRPr="000D0101" w:rsidRDefault="003D5DB4" w:rsidP="000A5389">
          <w:pPr>
            <w:spacing w:line="240" w:lineRule="auto"/>
          </w:pPr>
        </w:p>
        <w:p w14:paraId="744DE9DB" w14:textId="77777777" w:rsidR="003D5DB4" w:rsidRPr="000D0101" w:rsidRDefault="003D5DB4" w:rsidP="000A5389">
          <w:pPr>
            <w:spacing w:line="240" w:lineRule="auto"/>
          </w:pPr>
          <w:r w:rsidRPr="000D0101">
            <w:t xml:space="preserve">Términos de certeza de flujos de efectivo futuros: En virtud del Contrato de concesión y su modificación, se permite al CONCESIONARIO la ocupación y utilización en forma temporal y exclusiva del terminal marítimo denominado “Pozos Colorados”; concesión que incluye igualmente la ocupación y utilización en forma temporal y exclusiva de las playas, los </w:t>
          </w:r>
          <w:r w:rsidRPr="000D0101">
            <w:lastRenderedPageBreak/>
            <w:t>terrenos de bajamar, zonas accesorias a aquellas o estos y la infraestructura portuaria que allí se encuentra, para la construcción, operación y el desarrollo de actividades portuarias de servicio privado, conforme lo establece la Cláusula Primera del Contrato. Cláusula Octava: En el parágrafo segundo se detalla el valor a pagar por concepto de contraprestación por Zona de Uso público el 80% le corresponde a la Nación-INVIAS-ANI y el 20 % al Distrito Cultural e Histórico de Santa Marta, y por Infraestructura el 100% a la Nación-INVIAS-ANI.</w:t>
          </w:r>
        </w:p>
        <w:p w14:paraId="6C115DBC" w14:textId="77777777" w:rsidR="003D5DB4" w:rsidRPr="000D0101" w:rsidRDefault="003D5DB4" w:rsidP="000A5389">
          <w:pPr>
            <w:spacing w:line="240" w:lineRule="auto"/>
          </w:pPr>
        </w:p>
        <w:p w14:paraId="7145D3C7" w14:textId="77777777" w:rsidR="003D5DB4" w:rsidRPr="000D0101" w:rsidRDefault="003D5DB4" w:rsidP="000A5389">
          <w:pPr>
            <w:spacing w:line="240" w:lineRule="auto"/>
          </w:pPr>
          <w:r w:rsidRPr="000D0101">
            <w:t>c. Naturaleza y alcance del derecho a utilizar Activos y los aspectos pactados en torno a lo que se espera que el concesionario proporcione en relación con el Acuerdo de concesión</w:t>
          </w:r>
        </w:p>
        <w:p w14:paraId="1EDA7B72" w14:textId="77777777" w:rsidR="003D5DB4" w:rsidRPr="000D0101" w:rsidRDefault="003D5DB4" w:rsidP="000A5389">
          <w:pPr>
            <w:spacing w:line="240" w:lineRule="auto"/>
          </w:pPr>
        </w:p>
        <w:p w14:paraId="3EBE8B85" w14:textId="77777777" w:rsidR="003D5DB4" w:rsidRPr="000D0101" w:rsidRDefault="003D5DB4" w:rsidP="000A5389">
          <w:pPr>
            <w:spacing w:line="240" w:lineRule="auto"/>
          </w:pPr>
          <w:r w:rsidRPr="000D0101">
            <w:t>Naturaleza y alcance del derecho de uso de los Activos</w:t>
          </w:r>
        </w:p>
        <w:p w14:paraId="2EFB559E" w14:textId="77777777" w:rsidR="003D5DB4" w:rsidRPr="000D0101" w:rsidRDefault="003D5DB4" w:rsidP="000A5389">
          <w:pPr>
            <w:spacing w:line="240" w:lineRule="auto"/>
          </w:pPr>
        </w:p>
        <w:p w14:paraId="7B10623D" w14:textId="77777777" w:rsidR="003D5DB4" w:rsidRPr="000D0101" w:rsidRDefault="003D5DB4" w:rsidP="000A5389">
          <w:pPr>
            <w:spacing w:line="240" w:lineRule="auto"/>
          </w:pPr>
          <w:r w:rsidRPr="000D0101">
            <w:t>Descripción:</w:t>
          </w:r>
          <w:r w:rsidRPr="000D0101">
            <w:tab/>
            <w:t>Descripción del proyecto, especificaciones técnicas, modalidades de operación: Las condiciones especiales de operación del puerto están establecidas en la cláusula quinta. Área entregada en concesión: La descripción de la ubicación, linderos y extensión de los bienes de uso público (las playas, los terrenos de bajamar, zonas accesorias a aquellas o estos) entregados en concesión están establecidos en la cláusula segunda. Infraestructura y equipos entregados en concesión: En la cláusula segunda del Contrato, se describe que lo entregado en concesión fue:  Oleoducto submarino: 24” de diámetro y longitud de 2700 metros. Sistema CALM: Monoboya, Sistema de Anclaje, Sistema de Cabos Flotantes, Sistema de Mangueras Submarinas, múltiple (PLEMA) al final de la tubería, ubicado debajo de la monoboya.</w:t>
          </w:r>
        </w:p>
        <w:p w14:paraId="3E95C82E" w14:textId="77777777" w:rsidR="003D5DB4" w:rsidRPr="000D0101" w:rsidRDefault="003D5DB4" w:rsidP="000A5389">
          <w:pPr>
            <w:spacing w:line="240" w:lineRule="auto"/>
          </w:pPr>
        </w:p>
        <w:p w14:paraId="132D56AB" w14:textId="77777777" w:rsidR="003D5DB4" w:rsidRPr="000D0101" w:rsidRDefault="003D5DB4" w:rsidP="000A5389">
          <w:pPr>
            <w:spacing w:line="240" w:lineRule="auto"/>
          </w:pPr>
          <w:r w:rsidRPr="000D0101">
            <w:t>Observaciones: NA</w:t>
          </w:r>
        </w:p>
        <w:p w14:paraId="4D629C50" w14:textId="77777777" w:rsidR="003D5DB4" w:rsidRPr="000D0101" w:rsidRDefault="003D5DB4" w:rsidP="000A5389">
          <w:pPr>
            <w:spacing w:line="240" w:lineRule="auto"/>
          </w:pPr>
        </w:p>
        <w:p w14:paraId="5B1379C2" w14:textId="77777777" w:rsidR="003D5DB4" w:rsidRPr="000D0101" w:rsidRDefault="003D5DB4" w:rsidP="000A5389">
          <w:pPr>
            <w:spacing w:line="240" w:lineRule="auto"/>
          </w:pPr>
          <w:r w:rsidRPr="000D0101">
            <w:t>Retribución al concesionario</w:t>
          </w:r>
        </w:p>
        <w:p w14:paraId="1532F95F" w14:textId="77777777" w:rsidR="003D5DB4" w:rsidRPr="000D0101" w:rsidRDefault="003D5DB4" w:rsidP="000A5389">
          <w:pPr>
            <w:spacing w:line="240" w:lineRule="auto"/>
          </w:pPr>
        </w:p>
        <w:p w14:paraId="5F956895" w14:textId="77777777" w:rsidR="003D5DB4" w:rsidRPr="000D0101" w:rsidRDefault="003D5DB4" w:rsidP="000A5389">
          <w:pPr>
            <w:spacing w:line="240" w:lineRule="auto"/>
          </w:pPr>
          <w:r w:rsidRPr="000D0101">
            <w:t>Descripción:</w:t>
          </w:r>
          <w:r w:rsidRPr="000D0101">
            <w:tab/>
            <w:t>EL INCO en virtud del presente contrato de concesión portuaria, permite al CONCESIONARIO, la ocupación y utilización en temporal y exclusiva del Terminal Marítimo denominado “POZOS COLORADOS”; concesión que incluye igualmente la ocupación y utilización en forma temporal y exclusiva de las playas, los terrenos de bajamar, zonas accesorias a aquellas o éstos y la infraestructura portuaria que allí se encuentra, por el término de veinte (20) años a cambio de la contraprestación establecida en la Cláusula Octava de éste contrato.</w:t>
          </w:r>
        </w:p>
        <w:p w14:paraId="01DA0961" w14:textId="77777777" w:rsidR="003D5DB4" w:rsidRPr="000D0101" w:rsidRDefault="003D5DB4" w:rsidP="000A5389">
          <w:pPr>
            <w:spacing w:line="240" w:lineRule="auto"/>
          </w:pPr>
        </w:p>
        <w:p w14:paraId="24A67B46" w14:textId="77777777" w:rsidR="003D5DB4" w:rsidRPr="000D0101" w:rsidRDefault="003D5DB4" w:rsidP="000A5389">
          <w:pPr>
            <w:spacing w:line="240" w:lineRule="auto"/>
          </w:pPr>
          <w:r w:rsidRPr="000D0101">
            <w:t>Tasa de retribución:</w:t>
          </w:r>
          <w:r w:rsidRPr="000D0101">
            <w:tab/>
            <w:t>NA</w:t>
          </w:r>
        </w:p>
        <w:p w14:paraId="21D3E647" w14:textId="77777777" w:rsidR="003D5DB4" w:rsidRPr="000D0101" w:rsidRDefault="003D5DB4" w:rsidP="000A5389">
          <w:pPr>
            <w:spacing w:line="240" w:lineRule="auto"/>
          </w:pPr>
        </w:p>
        <w:p w14:paraId="593604F6" w14:textId="77777777" w:rsidR="003D5DB4" w:rsidRPr="000D0101" w:rsidRDefault="003D5DB4" w:rsidP="000A5389">
          <w:pPr>
            <w:spacing w:line="240" w:lineRule="auto"/>
          </w:pPr>
          <w:r w:rsidRPr="000D0101">
            <w:t>d. Derechos a recibir Activos especificados al final del acuerdo de concesión</w:t>
          </w:r>
        </w:p>
        <w:p w14:paraId="0869430A" w14:textId="77777777" w:rsidR="003D5DB4" w:rsidRPr="000D0101" w:rsidRDefault="003D5DB4" w:rsidP="000A5389">
          <w:pPr>
            <w:spacing w:line="240" w:lineRule="auto"/>
          </w:pPr>
        </w:p>
        <w:p w14:paraId="493D78CD" w14:textId="77777777" w:rsidR="003D5DB4" w:rsidRPr="000D0101" w:rsidRDefault="003D5DB4" w:rsidP="000A5389">
          <w:pPr>
            <w:spacing w:line="240" w:lineRule="auto"/>
          </w:pPr>
          <w:r w:rsidRPr="000D0101">
            <w:t>Descripción:</w:t>
          </w:r>
          <w:r w:rsidRPr="000D0101">
            <w:tab/>
            <w:t>De acuerdo con el Artículo 8º de la Ley 1 de 1991 en el modo portuario el concesionario no tiene derechos finales sobre activos los debe revertir a la Nación al final del contrato de concesión.</w:t>
          </w:r>
        </w:p>
        <w:p w14:paraId="565023B8" w14:textId="77777777" w:rsidR="003D5DB4" w:rsidRPr="000D0101" w:rsidRDefault="003D5DB4" w:rsidP="000A5389">
          <w:pPr>
            <w:spacing w:line="240" w:lineRule="auto"/>
          </w:pPr>
        </w:p>
        <w:p w14:paraId="5B771C1D" w14:textId="77777777" w:rsidR="003D5DB4" w:rsidRPr="000D0101" w:rsidRDefault="003D5DB4" w:rsidP="000A5389">
          <w:pPr>
            <w:spacing w:line="240" w:lineRule="auto"/>
          </w:pPr>
          <w:r w:rsidRPr="000D0101">
            <w:lastRenderedPageBreak/>
            <w:t>Observaciones: Reversión: De acuerdo con lo establecido en la cláusula Decimo Segunda del contrato de concesión, todas las construcciones e inmuebles por destinación, que se encuentren instalados en la zona de uso público otorgada en concesión revertirán gratuitamente por el Concesionario. Para tal fin, en el momento de la reversión el CONCESIONARIO elaborará un inventario de los bienes y los enviará para su revisión y aprobación. La ANI es la entidad concedente pero la titularidad de los activos al final de la concesión es del Instituto Nacional de Vías INVIAS.</w:t>
          </w:r>
        </w:p>
        <w:p w14:paraId="037E6F50" w14:textId="77777777" w:rsidR="003D5DB4" w:rsidRPr="000D0101" w:rsidRDefault="003D5DB4" w:rsidP="000A5389">
          <w:pPr>
            <w:spacing w:line="240" w:lineRule="auto"/>
          </w:pPr>
        </w:p>
        <w:p w14:paraId="2480FD52" w14:textId="77777777" w:rsidR="003D5DB4" w:rsidRPr="000D0101" w:rsidRDefault="003D5DB4" w:rsidP="000A5389">
          <w:pPr>
            <w:spacing w:line="240" w:lineRule="auto"/>
          </w:pPr>
          <w:r w:rsidRPr="000D0101">
            <w:t>e. Las alternativas de renovación y cese del acuerdo</w:t>
          </w:r>
        </w:p>
        <w:p w14:paraId="0383018B" w14:textId="77777777" w:rsidR="003D5DB4" w:rsidRPr="000D0101" w:rsidRDefault="003D5DB4" w:rsidP="000A5389">
          <w:pPr>
            <w:spacing w:line="240" w:lineRule="auto"/>
          </w:pPr>
        </w:p>
        <w:p w14:paraId="53DEE14D" w14:textId="77777777" w:rsidR="003D5DB4" w:rsidRPr="000D0101" w:rsidRDefault="003D5DB4" w:rsidP="000A5389">
          <w:pPr>
            <w:spacing w:line="240" w:lineRule="auto"/>
          </w:pPr>
          <w:r w:rsidRPr="000D0101">
            <w:t>Descripción:</w:t>
          </w:r>
          <w:r w:rsidRPr="000D0101">
            <w:tab/>
            <w:t>La CLÁUSULA DÉCIMA PRIMERA establece las alternativas de renovación. La CLÁUSULA VIGÉSIMA PRIMERA establece el cese del acuerdo.</w:t>
          </w:r>
        </w:p>
        <w:p w14:paraId="28761C78" w14:textId="77777777" w:rsidR="003D5DB4" w:rsidRPr="000D0101" w:rsidRDefault="003D5DB4" w:rsidP="000A5389">
          <w:pPr>
            <w:spacing w:line="240" w:lineRule="auto"/>
          </w:pPr>
        </w:p>
        <w:p w14:paraId="562EE4BC" w14:textId="77777777" w:rsidR="003D5DB4" w:rsidRPr="000D0101" w:rsidRDefault="003D5DB4" w:rsidP="000A5389">
          <w:pPr>
            <w:spacing w:line="240" w:lineRule="auto"/>
          </w:pPr>
          <w:r w:rsidRPr="000D0101">
            <w:t>Observaciones: NA</w:t>
          </w:r>
        </w:p>
        <w:p w14:paraId="6009E287" w14:textId="77777777" w:rsidR="003D5DB4" w:rsidRPr="000D0101" w:rsidRDefault="003D5DB4" w:rsidP="000A5389">
          <w:pPr>
            <w:spacing w:line="240" w:lineRule="auto"/>
          </w:pPr>
        </w:p>
        <w:p w14:paraId="764433E6" w14:textId="77777777" w:rsidR="003D5DB4" w:rsidRPr="000D0101" w:rsidRDefault="003D5DB4" w:rsidP="000A5389">
          <w:pPr>
            <w:spacing w:line="240" w:lineRule="auto"/>
          </w:pPr>
          <w:r w:rsidRPr="000D0101">
            <w:t>f. Cambios en el acuerdo de concesión que se realicen durante el periodo fiscal</w:t>
          </w:r>
        </w:p>
        <w:p w14:paraId="3187FD1C" w14:textId="77777777" w:rsidR="003D5DB4" w:rsidRPr="000D0101" w:rsidRDefault="003D5DB4" w:rsidP="000A5389">
          <w:pPr>
            <w:spacing w:line="240" w:lineRule="auto"/>
          </w:pPr>
        </w:p>
        <w:p w14:paraId="4905ED11" w14:textId="77777777" w:rsidR="003D5DB4" w:rsidRPr="000D0101" w:rsidRDefault="003D5DB4" w:rsidP="000A5389">
          <w:pPr>
            <w:spacing w:line="240" w:lineRule="auto"/>
          </w:pPr>
          <w:r w:rsidRPr="000D0101">
            <w:t>Adiciones o modificaciones en tiempo</w:t>
          </w:r>
        </w:p>
        <w:p w14:paraId="03649379" w14:textId="77777777" w:rsidR="003D5DB4" w:rsidRPr="000D0101" w:rsidRDefault="003D5DB4" w:rsidP="000A5389">
          <w:pPr>
            <w:spacing w:line="240" w:lineRule="auto"/>
          </w:pPr>
          <w:r w:rsidRPr="000D0101">
            <w:t>Fechas de las adiciones o modificaciones:</w:t>
          </w:r>
          <w:r w:rsidRPr="000D0101">
            <w:tab/>
            <w:t>NA</w:t>
          </w:r>
        </w:p>
        <w:p w14:paraId="447A4AD2" w14:textId="77777777" w:rsidR="003D5DB4" w:rsidRPr="000D0101" w:rsidRDefault="003D5DB4" w:rsidP="000A5389">
          <w:pPr>
            <w:spacing w:line="240" w:lineRule="auto"/>
          </w:pPr>
          <w:r w:rsidRPr="000D0101">
            <w:t>Nueva fecha de finalización estimada: NA</w:t>
          </w:r>
        </w:p>
        <w:p w14:paraId="2295272B" w14:textId="77777777" w:rsidR="003D5DB4" w:rsidRPr="000D0101" w:rsidRDefault="003D5DB4" w:rsidP="000A5389">
          <w:pPr>
            <w:spacing w:line="240" w:lineRule="auto"/>
          </w:pPr>
          <w:r w:rsidRPr="000D0101">
            <w:t>Observaciones: NA</w:t>
          </w:r>
        </w:p>
        <w:p w14:paraId="4F0C5E08" w14:textId="77777777" w:rsidR="003D5DB4" w:rsidRPr="000D0101" w:rsidRDefault="003D5DB4" w:rsidP="000A5389">
          <w:pPr>
            <w:spacing w:line="240" w:lineRule="auto"/>
          </w:pPr>
        </w:p>
        <w:p w14:paraId="288048B3" w14:textId="77777777" w:rsidR="003D5DB4" w:rsidRPr="000D0101" w:rsidRDefault="003D5DB4" w:rsidP="000A5389">
          <w:pPr>
            <w:spacing w:line="240" w:lineRule="auto"/>
          </w:pPr>
          <w:r w:rsidRPr="000D0101">
            <w:t>Adiciones o modificaciones en valor</w:t>
          </w:r>
        </w:p>
        <w:p w14:paraId="5C71D52A" w14:textId="77777777" w:rsidR="003D5DB4" w:rsidRPr="000D0101" w:rsidRDefault="003D5DB4" w:rsidP="000A5389">
          <w:pPr>
            <w:spacing w:line="240" w:lineRule="auto"/>
          </w:pPr>
          <w:r w:rsidRPr="000D0101">
            <w:t>Valor de la adición o modificación: NA</w:t>
          </w:r>
        </w:p>
        <w:p w14:paraId="160B99CE" w14:textId="77777777" w:rsidR="003D5DB4" w:rsidRPr="000D0101" w:rsidRDefault="003D5DB4" w:rsidP="000A5389">
          <w:pPr>
            <w:spacing w:line="240" w:lineRule="auto"/>
          </w:pPr>
          <w:r w:rsidRPr="000D0101">
            <w:t>Nuevo valor del acuerdo: NA</w:t>
          </w:r>
        </w:p>
        <w:p w14:paraId="56183CBD" w14:textId="77777777" w:rsidR="003D5DB4" w:rsidRPr="000D0101" w:rsidRDefault="003D5DB4" w:rsidP="000A5389">
          <w:pPr>
            <w:spacing w:line="240" w:lineRule="auto"/>
          </w:pPr>
          <w:r w:rsidRPr="000D0101">
            <w:t>Observaciones: NA</w:t>
          </w:r>
        </w:p>
        <w:p w14:paraId="7ADF14BE" w14:textId="77777777" w:rsidR="003D5DB4" w:rsidRPr="000D0101" w:rsidRDefault="003D5DB4" w:rsidP="000A5389">
          <w:pPr>
            <w:spacing w:line="240" w:lineRule="auto"/>
          </w:pPr>
        </w:p>
        <w:p w14:paraId="5B2BC76A" w14:textId="77777777" w:rsidR="003D5DB4" w:rsidRPr="000D0101" w:rsidRDefault="003D5DB4" w:rsidP="000A5389">
          <w:pPr>
            <w:spacing w:line="240" w:lineRule="auto"/>
            <w:rPr>
              <w:rFonts w:eastAsia="Times New Roman"/>
              <w:lang w:eastAsia="es-CO"/>
            </w:rPr>
          </w:pPr>
        </w:p>
        <w:p w14:paraId="398E1A3B" w14:textId="77777777" w:rsidR="003D5DB4" w:rsidRPr="000D0101" w:rsidRDefault="003D5DB4" w:rsidP="000A5389">
          <w:pPr>
            <w:spacing w:line="240" w:lineRule="auto"/>
            <w:rPr>
              <w:rFonts w:eastAsia="Times New Roman"/>
              <w:lang w:eastAsia="es-CO"/>
            </w:rPr>
          </w:pPr>
          <w:r w:rsidRPr="000D0101">
            <w:rPr>
              <w:rFonts w:eastAsia="Times New Roman"/>
              <w:lang w:eastAsia="es-CO"/>
            </w:rPr>
            <w:t>CENIT TRANSPORTE Y LOGÍSTICA DE HIDROCARBUROS S.A.S. - Terminal Marítimo de Tumaco</w:t>
          </w:r>
        </w:p>
        <w:p w14:paraId="1B91126B" w14:textId="77777777" w:rsidR="003D5DB4" w:rsidRPr="000D0101" w:rsidRDefault="003D5DB4" w:rsidP="000A5389">
          <w:pPr>
            <w:spacing w:line="240" w:lineRule="auto"/>
          </w:pPr>
        </w:p>
        <w:p w14:paraId="277C4334" w14:textId="77777777" w:rsidR="003D5DB4" w:rsidRPr="000D0101" w:rsidRDefault="003D5DB4" w:rsidP="000A5389">
          <w:pPr>
            <w:spacing w:line="240" w:lineRule="auto"/>
          </w:pPr>
          <w:r w:rsidRPr="000D0101">
            <w:t>a. Descripción del Acuerdo</w:t>
          </w:r>
        </w:p>
        <w:p w14:paraId="652ADB6F" w14:textId="77777777" w:rsidR="003D5DB4" w:rsidRPr="000D0101" w:rsidRDefault="003D5DB4" w:rsidP="000A5389">
          <w:pPr>
            <w:spacing w:line="240" w:lineRule="auto"/>
          </w:pPr>
        </w:p>
        <w:p w14:paraId="38311E58" w14:textId="77777777" w:rsidR="003D5DB4" w:rsidRPr="000D0101" w:rsidRDefault="003D5DB4" w:rsidP="000A5389">
          <w:pPr>
            <w:spacing w:line="240" w:lineRule="auto"/>
          </w:pPr>
          <w:r w:rsidRPr="000D0101">
            <w:t>Número del Acuerdo de concesión: 001 de 2013</w:t>
          </w:r>
        </w:p>
        <w:p w14:paraId="4F65FAD2" w14:textId="77777777" w:rsidR="003D5DB4" w:rsidRPr="000D0101" w:rsidRDefault="003D5DB4" w:rsidP="000A5389">
          <w:pPr>
            <w:spacing w:line="240" w:lineRule="auto"/>
          </w:pPr>
        </w:p>
        <w:p w14:paraId="165436DD" w14:textId="77777777" w:rsidR="003D5DB4" w:rsidRPr="000D0101" w:rsidRDefault="003D5DB4" w:rsidP="000A5389">
          <w:pPr>
            <w:spacing w:line="240" w:lineRule="auto"/>
          </w:pPr>
          <w:r w:rsidRPr="000D0101">
            <w:t>Objeto / Descripción: En virtud del Contrato de concesión y su modificación, se permite al CONCESIONARIO ocupar y utilizar en forma temporal y exclusiva el área de uso público de una zona de playas, de bajamar y aguas marítimas interiores y espejo de agua, para el manejo de hidrocarburos y el desarrollo de actividades portuarias de servicio privado, conforme lo establece la Cláusula Primera del Contrato.</w:t>
          </w:r>
        </w:p>
        <w:p w14:paraId="37C97754" w14:textId="77777777" w:rsidR="003D5DB4" w:rsidRPr="000D0101" w:rsidRDefault="003D5DB4" w:rsidP="000A5389">
          <w:pPr>
            <w:spacing w:line="240" w:lineRule="auto"/>
          </w:pPr>
        </w:p>
        <w:p w14:paraId="0DC50AF1" w14:textId="77777777" w:rsidR="003D5DB4" w:rsidRPr="000D0101" w:rsidRDefault="003D5DB4" w:rsidP="000A5389">
          <w:pPr>
            <w:spacing w:line="240" w:lineRule="auto"/>
          </w:pPr>
          <w:r w:rsidRPr="000D0101">
            <w:t>Fecha de inicio: 5/02/2013</w:t>
          </w:r>
        </w:p>
        <w:p w14:paraId="5B4166E3" w14:textId="77777777" w:rsidR="003D5DB4" w:rsidRPr="000D0101" w:rsidRDefault="003D5DB4" w:rsidP="000A5389">
          <w:pPr>
            <w:spacing w:line="240" w:lineRule="auto"/>
          </w:pPr>
          <w:r w:rsidRPr="000D0101">
            <w:t>Fecha de finalización estimada: 4/02/2033</w:t>
          </w:r>
        </w:p>
        <w:p w14:paraId="7714FA2A" w14:textId="77777777" w:rsidR="003D5DB4" w:rsidRPr="000D0101" w:rsidRDefault="003D5DB4" w:rsidP="000A5389">
          <w:pPr>
            <w:spacing w:line="240" w:lineRule="auto"/>
          </w:pPr>
          <w:r w:rsidRPr="000D0101">
            <w:t>Tipo ID: NIT</w:t>
          </w:r>
        </w:p>
        <w:p w14:paraId="7ACE0614" w14:textId="77777777" w:rsidR="003D5DB4" w:rsidRPr="000D0101" w:rsidRDefault="003D5DB4" w:rsidP="000A5389">
          <w:pPr>
            <w:spacing w:line="240" w:lineRule="auto"/>
          </w:pPr>
          <w:r w:rsidRPr="000D0101">
            <w:lastRenderedPageBreak/>
            <w:t>Número ID: 900.531.210-3</w:t>
          </w:r>
        </w:p>
        <w:p w14:paraId="4CCC31F7" w14:textId="77777777" w:rsidR="003D5DB4" w:rsidRPr="000D0101" w:rsidRDefault="003D5DB4" w:rsidP="000A5389">
          <w:pPr>
            <w:spacing w:line="240" w:lineRule="auto"/>
          </w:pPr>
          <w:r w:rsidRPr="000D0101">
            <w:t>Razón social del concesionario: Sociedad CENIT Transporte y Logística de Hidrocarburos S.A.S. Terminal Marítimo Tumaco.</w:t>
          </w:r>
        </w:p>
        <w:p w14:paraId="50A59E95" w14:textId="77777777" w:rsidR="003D5DB4" w:rsidRPr="000D0101" w:rsidRDefault="003D5DB4" w:rsidP="000A5389">
          <w:pPr>
            <w:spacing w:line="240" w:lineRule="auto"/>
          </w:pPr>
          <w:r w:rsidRPr="000D0101">
            <w:t>Nombre del proyecto: Sociedad CENIT Transporte y Logística de Hidrocarburos S.A.S. Terminal Marítimo Tumaco.</w:t>
          </w:r>
        </w:p>
        <w:p w14:paraId="7CC18966" w14:textId="77777777" w:rsidR="003D5DB4" w:rsidRPr="000D0101" w:rsidRDefault="003D5DB4" w:rsidP="000A5389">
          <w:pPr>
            <w:spacing w:line="240" w:lineRule="auto"/>
          </w:pPr>
        </w:p>
        <w:p w14:paraId="27C11501" w14:textId="77777777" w:rsidR="003D5DB4" w:rsidRPr="000D0101" w:rsidRDefault="003D5DB4" w:rsidP="000A5389">
          <w:pPr>
            <w:spacing w:line="240" w:lineRule="auto"/>
          </w:pPr>
          <w:r w:rsidRPr="000D0101">
            <w:t>b. Términos significativos del Acuerdo que puedan afectar su valor, el calendario y la certeza de los flujos de efectivo futuros</w:t>
          </w:r>
        </w:p>
        <w:p w14:paraId="354F8016" w14:textId="77777777" w:rsidR="003D5DB4" w:rsidRPr="000D0101" w:rsidRDefault="003D5DB4" w:rsidP="000A5389">
          <w:pPr>
            <w:spacing w:line="240" w:lineRule="auto"/>
          </w:pPr>
        </w:p>
        <w:p w14:paraId="45F192B9" w14:textId="77777777" w:rsidR="003D5DB4" w:rsidRPr="000D0101" w:rsidRDefault="003D5DB4" w:rsidP="000A5389">
          <w:pPr>
            <w:spacing w:line="240" w:lineRule="auto"/>
          </w:pPr>
          <w:r w:rsidRPr="000D0101">
            <w:t xml:space="preserve">Términos de valor: Tarifas: Al ser el terminal marítimo de servicio privado la Ley 1 de 1991 establece: Las sociedades portuarias que operan puertos de servicio privado podrán fijar libremente sus tarifas, pero mantendrán informada sobre ellas a la Superintendencia General de Puertos hoy Superintendencia de Transporte.   Contraprestación portuaria: De acuerdo con el último documento contractual la metodología de contraprestación vigente es CONPES 3744 de 2013 (Componentes Fijo y Variable).  A febrero de 2023 se proyectó que el CONCESIONARIO debió pagar la suma de USD $677.000, valor que incluye componente fijo y componente variable.  El valor correspondiente a la contraprestación por zona de uso público resultará de la diferencia entre el valor de la liquidación total y el valor de la infraestructura. Y el recaudo se realizará de conformidad con la ley 856 de 2003, es decir, ZUP el 80% le corresponde a la Nación Instituto nacional de vías (INVIAS- ANI) y el 20% restante al Municipio de Tumaco; e INFRAESTRUCTURA en un 100% a la Nación - Instituto Nacional de Vías (INVIAS-ANI).  Plan de Inversiones: está establecido en la cláusula Séptima del Contrato No. 001 de 2013, el cual establece en el parágrafo primero un valor de inversiones en Valor presente Neto de USD $2.853.739.  Obligaciones del CONCESIONARIO: se encuentran descritas en la cláusula décima Quinta del Contrato de Concesión.   Multas y sanciones: están establecidas en la cláusula décima octava.  Penal pecuniario: En la cláusula vigésima, se establece que en el evento que la Agencia Nacional de Infraestructura declare la caducidad o el incumplimiento del presente contrato, LA SOCIEDAD CONCESIONARIA deberá pagar la suma equivalente al 10% del valor total de la contraprestación, como sanción pecuniaria.  </w:t>
          </w:r>
        </w:p>
        <w:p w14:paraId="5F96AF07" w14:textId="77777777" w:rsidR="003D5DB4" w:rsidRPr="000D0101" w:rsidRDefault="003D5DB4" w:rsidP="000A5389">
          <w:pPr>
            <w:spacing w:line="240" w:lineRule="auto"/>
          </w:pPr>
        </w:p>
        <w:p w14:paraId="32C587FE" w14:textId="77777777" w:rsidR="003D5DB4" w:rsidRPr="000D0101" w:rsidRDefault="003D5DB4" w:rsidP="000A5389">
          <w:pPr>
            <w:spacing w:line="240" w:lineRule="auto"/>
          </w:pPr>
          <w:r w:rsidRPr="000D0101">
            <w:t>Términos de calendario: Tarifas: Aprobadas según la metodología establecida por la Superintendencia General de Puertos hoy Superintendencia de Transporte.  Contraprestación portuaria: La contraprestación se debe pagar de manera anticipada antes del mes de febrero de cada año, según la metodología Conpes 3744 de 2013.NAPlan de inversiones: Se estableció en la cláusula séptima del contrato principal, la ejecución de inversiones se realizará en los años 1, 2, 3 y año 15 del contrato de Concesión.  Multas: están establecidas en la cláusula décima octava</w:t>
          </w:r>
        </w:p>
        <w:p w14:paraId="5EFEFD0E" w14:textId="77777777" w:rsidR="003D5DB4" w:rsidRPr="000D0101" w:rsidRDefault="003D5DB4" w:rsidP="000A5389">
          <w:pPr>
            <w:spacing w:line="240" w:lineRule="auto"/>
          </w:pPr>
        </w:p>
        <w:p w14:paraId="773EDD7F" w14:textId="77777777" w:rsidR="003D5DB4" w:rsidRPr="000D0101" w:rsidRDefault="003D5DB4" w:rsidP="000A5389">
          <w:pPr>
            <w:spacing w:line="240" w:lineRule="auto"/>
          </w:pPr>
          <w:r w:rsidRPr="000D0101">
            <w:t xml:space="preserve">Términos de certeza de flujos de efectivo futuros: El objeto del presente contrato es entonces, la entrega a LA SOCIEDAD CONCESIONARIA del uso y explotación de una zona de uso público perteneciente a la Nación por el tiempo de ejecución estipulado y para que sea destinada al servicio establecido en la solicitud a cambio de la contraprestación establecida en la Cláusula Octava de este contrato.  En el parágrafo segundo de la Cláusula Octava, se </w:t>
          </w:r>
          <w:r w:rsidRPr="000D0101">
            <w:lastRenderedPageBreak/>
            <w:t xml:space="preserve">menciona que de dicho pago el 80% le corresponde a la NACIÓN-Instituto Nacional de Vías y el 20% restante al Municipio de Tumaco (Departamento de Nariño), de acuerdo con lo establecido en el parágrafo 1 del artículo 1 de la Ley 856 del 21 de diciembre de 2003, que modifica el artículo 7 de la Ley 1 de 1991. </w:t>
          </w:r>
        </w:p>
        <w:p w14:paraId="41C4420E" w14:textId="77777777" w:rsidR="003D5DB4" w:rsidRPr="000D0101" w:rsidRDefault="003D5DB4" w:rsidP="000A5389">
          <w:pPr>
            <w:spacing w:line="240" w:lineRule="auto"/>
          </w:pPr>
        </w:p>
        <w:p w14:paraId="2126E2BD" w14:textId="77777777" w:rsidR="003D5DB4" w:rsidRPr="000D0101" w:rsidRDefault="003D5DB4" w:rsidP="000A5389">
          <w:pPr>
            <w:spacing w:line="240" w:lineRule="auto"/>
          </w:pPr>
          <w:r w:rsidRPr="000D0101">
            <w:t>c. Naturaleza y alcance del derecho a utilizar Activos y los aspectos pactados en torno a lo que se espera que el concesionario proporcione en relación con el Acuerdo de concesión</w:t>
          </w:r>
        </w:p>
        <w:p w14:paraId="6BD5235B" w14:textId="77777777" w:rsidR="003D5DB4" w:rsidRPr="000D0101" w:rsidRDefault="003D5DB4" w:rsidP="000A5389">
          <w:pPr>
            <w:spacing w:line="240" w:lineRule="auto"/>
          </w:pPr>
        </w:p>
        <w:p w14:paraId="6ABA4AD3" w14:textId="77777777" w:rsidR="003D5DB4" w:rsidRPr="000D0101" w:rsidRDefault="003D5DB4" w:rsidP="000A5389">
          <w:pPr>
            <w:spacing w:line="240" w:lineRule="auto"/>
          </w:pPr>
          <w:r w:rsidRPr="000D0101">
            <w:t>Naturaleza y alcance del derecho de uso de los Activos</w:t>
          </w:r>
        </w:p>
        <w:p w14:paraId="07D568BB" w14:textId="77777777" w:rsidR="003D5DB4" w:rsidRPr="000D0101" w:rsidRDefault="003D5DB4" w:rsidP="000A5389">
          <w:pPr>
            <w:spacing w:line="240" w:lineRule="auto"/>
          </w:pPr>
        </w:p>
        <w:p w14:paraId="211F8CE0" w14:textId="77777777" w:rsidR="003D5DB4" w:rsidRPr="000D0101" w:rsidRDefault="003D5DB4" w:rsidP="000A5389">
          <w:pPr>
            <w:spacing w:line="240" w:lineRule="auto"/>
          </w:pPr>
          <w:r w:rsidRPr="000D0101">
            <w:t>Descripción:</w:t>
          </w:r>
          <w:r w:rsidRPr="000D0101">
            <w:tab/>
            <w:t>Descripción del proyecto, especificaciones técnicas, modalidades de operación: las condiciones especiales de operación del puerto están establecidas en la cláusula quinta del Contrato de Concesión. Área entregada en concesión: La descripción de la ubicación, linderos y extensión de los bienes de uso público (terrenos de bajamar, aguas marítimas interiores y espejo de agua en el océano Pacifico frente al municipio de Tumaco) entregados en concesión están establecidos en la cláusula segunda. Infraestructura y equipos entregados en concesión: En la cláusula segunda del Contrato, se describe que lo entregado en concesión fue:  Infraestructura: Un amarradero flotante de tipo multiboya que consta de 7 boyas de amarre de cuerpo cilíndrico, 2 líneas de mangueras submarinas de 12”, un gancho pelicano y ánodos de protección, una boya PLEM, una boya de enfilación, y ánodos de zinc para protección catódica. El amarradero esta unido a la planta en tierra por una línea submarina de 36” de diámetro. Muelle la Gabarra: muelle en ferro concreto en forma de T para embarcaciones menores, localizado en la ensenada interior de Tumaco.</w:t>
          </w:r>
        </w:p>
        <w:p w14:paraId="526C3707" w14:textId="77777777" w:rsidR="003D5DB4" w:rsidRPr="000D0101" w:rsidRDefault="003D5DB4" w:rsidP="000A5389">
          <w:pPr>
            <w:spacing w:line="240" w:lineRule="auto"/>
          </w:pPr>
        </w:p>
        <w:p w14:paraId="1C87F697" w14:textId="77777777" w:rsidR="003D5DB4" w:rsidRPr="000D0101" w:rsidRDefault="003D5DB4" w:rsidP="000A5389">
          <w:pPr>
            <w:spacing w:line="240" w:lineRule="auto"/>
          </w:pPr>
          <w:r w:rsidRPr="000D0101">
            <w:t>Observaciones: NA</w:t>
          </w:r>
        </w:p>
        <w:p w14:paraId="270BB9AD" w14:textId="77777777" w:rsidR="003D5DB4" w:rsidRPr="000D0101" w:rsidRDefault="003D5DB4" w:rsidP="000A5389">
          <w:pPr>
            <w:spacing w:line="240" w:lineRule="auto"/>
          </w:pPr>
        </w:p>
        <w:p w14:paraId="07DEEBE1" w14:textId="77777777" w:rsidR="003D5DB4" w:rsidRPr="000D0101" w:rsidRDefault="003D5DB4" w:rsidP="000A5389">
          <w:pPr>
            <w:spacing w:line="240" w:lineRule="auto"/>
          </w:pPr>
          <w:r w:rsidRPr="000D0101">
            <w:t>Retribución al concesionario</w:t>
          </w:r>
        </w:p>
        <w:p w14:paraId="0E0BDBE7" w14:textId="77777777" w:rsidR="003D5DB4" w:rsidRPr="000D0101" w:rsidRDefault="003D5DB4" w:rsidP="000A5389">
          <w:pPr>
            <w:spacing w:line="240" w:lineRule="auto"/>
          </w:pPr>
        </w:p>
        <w:p w14:paraId="77FFD321" w14:textId="77777777" w:rsidR="003D5DB4" w:rsidRPr="000D0101" w:rsidRDefault="003D5DB4" w:rsidP="000A5389">
          <w:pPr>
            <w:spacing w:line="240" w:lineRule="auto"/>
          </w:pPr>
          <w:r w:rsidRPr="000D0101">
            <w:t>Descripción:</w:t>
          </w:r>
          <w:r w:rsidRPr="000D0101">
            <w:tab/>
            <w:t>En la cláusula primera en el punto 1.2. del mismo se menciona que El objeto del presente contrato es entonces, la entrega a LA SOCIEDAD CONCESIONARIA del uso y explotación de una zona de uso público perteneciente a la Nación por el tiempo de ejecución estipulado y para que sea destinada al servicio establecido en la solicitud a cambio de la contraprestación establecida en la Cláusula Octava de este contrato.</w:t>
          </w:r>
        </w:p>
        <w:p w14:paraId="2C538B41" w14:textId="77777777" w:rsidR="003D5DB4" w:rsidRPr="000D0101" w:rsidRDefault="003D5DB4" w:rsidP="000A5389">
          <w:pPr>
            <w:spacing w:line="240" w:lineRule="auto"/>
          </w:pPr>
        </w:p>
        <w:p w14:paraId="1C12169B" w14:textId="77777777" w:rsidR="003D5DB4" w:rsidRPr="000D0101" w:rsidRDefault="003D5DB4" w:rsidP="000A5389">
          <w:pPr>
            <w:spacing w:line="240" w:lineRule="auto"/>
          </w:pPr>
          <w:r w:rsidRPr="000D0101">
            <w:t>Tasa de retribución:</w:t>
          </w:r>
          <w:r w:rsidRPr="000D0101">
            <w:tab/>
            <w:t>NA</w:t>
          </w:r>
        </w:p>
        <w:p w14:paraId="7CF9F18D" w14:textId="77777777" w:rsidR="003D5DB4" w:rsidRPr="000D0101" w:rsidRDefault="003D5DB4" w:rsidP="000A5389">
          <w:pPr>
            <w:spacing w:line="240" w:lineRule="auto"/>
          </w:pPr>
        </w:p>
        <w:p w14:paraId="1BB4A5BC" w14:textId="77777777" w:rsidR="003D5DB4" w:rsidRPr="000D0101" w:rsidRDefault="003D5DB4" w:rsidP="000A5389">
          <w:pPr>
            <w:spacing w:line="240" w:lineRule="auto"/>
          </w:pPr>
          <w:r w:rsidRPr="000D0101">
            <w:t>d. Derechos a recibir Activos especificados al final del acuerdo de concesión</w:t>
          </w:r>
        </w:p>
        <w:p w14:paraId="7C46EC58" w14:textId="77777777" w:rsidR="003D5DB4" w:rsidRPr="000D0101" w:rsidRDefault="003D5DB4" w:rsidP="000A5389">
          <w:pPr>
            <w:spacing w:line="240" w:lineRule="auto"/>
          </w:pPr>
        </w:p>
        <w:p w14:paraId="47E5DE02" w14:textId="77777777" w:rsidR="003D5DB4" w:rsidRPr="000D0101" w:rsidRDefault="003D5DB4" w:rsidP="000A5389">
          <w:pPr>
            <w:spacing w:line="240" w:lineRule="auto"/>
          </w:pPr>
          <w:r w:rsidRPr="000D0101">
            <w:t>Descripción: De acuerdo con el Artículo 8º de la Ley 1 de 1991 en el modo portuario el concesionario no tiene derechos finales sobre activos los debe revertir a la Nación al final del contrato de concesión.</w:t>
          </w:r>
        </w:p>
        <w:p w14:paraId="5882DE3F" w14:textId="77777777" w:rsidR="003D5DB4" w:rsidRPr="000D0101" w:rsidRDefault="003D5DB4" w:rsidP="000A5389">
          <w:pPr>
            <w:spacing w:line="240" w:lineRule="auto"/>
          </w:pPr>
        </w:p>
        <w:p w14:paraId="2F9509D4" w14:textId="77777777" w:rsidR="003D5DB4" w:rsidRPr="000D0101" w:rsidRDefault="003D5DB4" w:rsidP="000A5389">
          <w:pPr>
            <w:spacing w:line="240" w:lineRule="auto"/>
          </w:pPr>
          <w:r w:rsidRPr="000D0101">
            <w:t xml:space="preserve">Observaciones: Reversión: De acuerdo con lo establecido en la cláusula decimosegunda del contrato de concesión, todas las construcciones e inmuebles por destinación, que se </w:t>
          </w:r>
          <w:r w:rsidRPr="000D0101">
            <w:lastRenderedPageBreak/>
            <w:t>encuentren instalados en la zona de uso público otorgada en concesión revertirán gratuitamente por el Concesionario. Para tal fin, en el momento de la reversión el CONCESIONARIO elaborará un inventario de los bienes y los enviará para su revisión y aprobación. La ANI es la entidad concedente pero la titularidad de los activos al final de la concesión es del Instituto Nacional de Vías INVIAS.</w:t>
          </w:r>
        </w:p>
        <w:p w14:paraId="03A6D5EC" w14:textId="77777777" w:rsidR="003D5DB4" w:rsidRPr="000D0101" w:rsidRDefault="003D5DB4" w:rsidP="000A5389">
          <w:pPr>
            <w:spacing w:line="240" w:lineRule="auto"/>
          </w:pPr>
        </w:p>
        <w:p w14:paraId="32697249" w14:textId="77777777" w:rsidR="003D5DB4" w:rsidRPr="000D0101" w:rsidRDefault="003D5DB4" w:rsidP="000A5389">
          <w:pPr>
            <w:spacing w:line="240" w:lineRule="auto"/>
          </w:pPr>
          <w:r w:rsidRPr="000D0101">
            <w:t>e. Las alternativas de renovación y cese del acuerdo</w:t>
          </w:r>
        </w:p>
        <w:p w14:paraId="1252332A" w14:textId="77777777" w:rsidR="003D5DB4" w:rsidRPr="000D0101" w:rsidRDefault="003D5DB4" w:rsidP="000A5389">
          <w:pPr>
            <w:spacing w:line="240" w:lineRule="auto"/>
          </w:pPr>
        </w:p>
        <w:p w14:paraId="76818129" w14:textId="77777777" w:rsidR="003D5DB4" w:rsidRPr="000D0101" w:rsidRDefault="003D5DB4" w:rsidP="000A5389">
          <w:pPr>
            <w:spacing w:line="240" w:lineRule="auto"/>
          </w:pPr>
          <w:r w:rsidRPr="000D0101">
            <w:t>Descripción:</w:t>
          </w:r>
          <w:r w:rsidRPr="000D0101">
            <w:tab/>
            <w:t>La CLÁUSULA DÉCIMA PRIMERA aborda la prórroga de concesión. Por otro lado, la CLÁUSULA VIGÉSIMA SEGUNDA regular la terminación del contrato. Contrato N° 001 de 2013</w:t>
          </w:r>
        </w:p>
        <w:p w14:paraId="6144F6DB" w14:textId="77777777" w:rsidR="003D5DB4" w:rsidRPr="000D0101" w:rsidRDefault="003D5DB4" w:rsidP="000A5389">
          <w:pPr>
            <w:spacing w:line="240" w:lineRule="auto"/>
          </w:pPr>
        </w:p>
        <w:p w14:paraId="2DBF1E3B" w14:textId="77777777" w:rsidR="003D5DB4" w:rsidRPr="000D0101" w:rsidRDefault="003D5DB4" w:rsidP="000A5389">
          <w:pPr>
            <w:spacing w:line="240" w:lineRule="auto"/>
          </w:pPr>
          <w:r w:rsidRPr="000D0101">
            <w:t>Observaciones: No se tienen observaciones</w:t>
          </w:r>
        </w:p>
        <w:p w14:paraId="17F77BC7" w14:textId="77777777" w:rsidR="003D5DB4" w:rsidRPr="000D0101" w:rsidRDefault="003D5DB4" w:rsidP="000A5389">
          <w:pPr>
            <w:spacing w:line="240" w:lineRule="auto"/>
          </w:pPr>
        </w:p>
        <w:p w14:paraId="0C543991" w14:textId="77777777" w:rsidR="003D5DB4" w:rsidRPr="000D0101" w:rsidRDefault="003D5DB4" w:rsidP="000A5389">
          <w:pPr>
            <w:spacing w:line="240" w:lineRule="auto"/>
          </w:pPr>
          <w:r w:rsidRPr="000D0101">
            <w:t>f. Cambios en el acuerdo de concesión que se realicen durante el periodo fiscal</w:t>
          </w:r>
        </w:p>
        <w:p w14:paraId="163132F7" w14:textId="77777777" w:rsidR="003D5DB4" w:rsidRPr="000D0101" w:rsidRDefault="003D5DB4" w:rsidP="000A5389">
          <w:pPr>
            <w:spacing w:line="240" w:lineRule="auto"/>
          </w:pPr>
        </w:p>
        <w:p w14:paraId="787CE58D" w14:textId="77777777" w:rsidR="003D5DB4" w:rsidRPr="000D0101" w:rsidRDefault="003D5DB4" w:rsidP="000A5389">
          <w:pPr>
            <w:spacing w:line="240" w:lineRule="auto"/>
          </w:pPr>
          <w:r w:rsidRPr="000D0101">
            <w:t>Adiciones o modificaciones en tiempo</w:t>
          </w:r>
        </w:p>
        <w:p w14:paraId="6A7F386C" w14:textId="77777777" w:rsidR="003D5DB4" w:rsidRPr="000D0101" w:rsidRDefault="003D5DB4" w:rsidP="000A5389">
          <w:pPr>
            <w:spacing w:line="240" w:lineRule="auto"/>
          </w:pPr>
          <w:r w:rsidRPr="000D0101">
            <w:t>Fechas de las adiciones o modificaciones:</w:t>
          </w:r>
          <w:r w:rsidRPr="000D0101">
            <w:tab/>
            <w:t>NA</w:t>
          </w:r>
        </w:p>
        <w:p w14:paraId="2DA47E26" w14:textId="77777777" w:rsidR="003D5DB4" w:rsidRPr="000D0101" w:rsidRDefault="003D5DB4" w:rsidP="000A5389">
          <w:pPr>
            <w:spacing w:line="240" w:lineRule="auto"/>
          </w:pPr>
          <w:r w:rsidRPr="000D0101">
            <w:t>Nueva fecha de finalización estimada: NA</w:t>
          </w:r>
        </w:p>
        <w:p w14:paraId="1A883566" w14:textId="77777777" w:rsidR="003D5DB4" w:rsidRPr="000D0101" w:rsidRDefault="003D5DB4" w:rsidP="000A5389">
          <w:pPr>
            <w:spacing w:line="240" w:lineRule="auto"/>
          </w:pPr>
          <w:r w:rsidRPr="000D0101">
            <w:t>Observaciones: NA</w:t>
          </w:r>
        </w:p>
        <w:p w14:paraId="7675495E" w14:textId="77777777" w:rsidR="003D5DB4" w:rsidRPr="000D0101" w:rsidRDefault="003D5DB4" w:rsidP="000A5389">
          <w:pPr>
            <w:spacing w:line="240" w:lineRule="auto"/>
          </w:pPr>
          <w:r w:rsidRPr="000D0101">
            <w:t>Adiciones o modificaciones en valor</w:t>
          </w:r>
        </w:p>
        <w:p w14:paraId="0C8C87A6" w14:textId="77777777" w:rsidR="003D5DB4" w:rsidRPr="000D0101" w:rsidRDefault="003D5DB4" w:rsidP="000A5389">
          <w:pPr>
            <w:spacing w:line="240" w:lineRule="auto"/>
          </w:pPr>
          <w:r w:rsidRPr="000D0101">
            <w:t>Valor de la adición o modificación: NA</w:t>
          </w:r>
        </w:p>
        <w:p w14:paraId="063C9F62" w14:textId="77777777" w:rsidR="003D5DB4" w:rsidRPr="000D0101" w:rsidRDefault="003D5DB4" w:rsidP="000A5389">
          <w:pPr>
            <w:spacing w:line="240" w:lineRule="auto"/>
          </w:pPr>
          <w:r w:rsidRPr="000D0101">
            <w:t>Nuevo valor del acuerdo: NA</w:t>
          </w:r>
        </w:p>
        <w:p w14:paraId="5EBB2F4B" w14:textId="77777777" w:rsidR="003D5DB4" w:rsidRPr="000D0101" w:rsidRDefault="003D5DB4" w:rsidP="000A5389">
          <w:pPr>
            <w:spacing w:line="240" w:lineRule="auto"/>
          </w:pPr>
        </w:p>
        <w:p w14:paraId="4E122F08" w14:textId="77777777" w:rsidR="003D5DB4" w:rsidRPr="000D0101" w:rsidRDefault="003D5DB4" w:rsidP="000A5389">
          <w:pPr>
            <w:spacing w:line="240" w:lineRule="auto"/>
          </w:pPr>
          <w:r w:rsidRPr="000D0101">
            <w:t>Observaciones: NA</w:t>
          </w:r>
        </w:p>
        <w:p w14:paraId="2AA31721" w14:textId="77777777" w:rsidR="003D5DB4" w:rsidRPr="000D0101" w:rsidRDefault="003D5DB4" w:rsidP="000A5389">
          <w:pPr>
            <w:spacing w:line="240" w:lineRule="auto"/>
          </w:pPr>
        </w:p>
        <w:p w14:paraId="4DBB22EE" w14:textId="77777777" w:rsidR="003D5DB4" w:rsidRPr="000D0101" w:rsidRDefault="003D5DB4" w:rsidP="000A5389">
          <w:pPr>
            <w:spacing w:line="240" w:lineRule="auto"/>
            <w:rPr>
              <w:rFonts w:eastAsia="Times New Roman"/>
              <w:lang w:eastAsia="es-CO"/>
            </w:rPr>
          </w:pPr>
        </w:p>
        <w:p w14:paraId="3F4F0B03" w14:textId="77777777" w:rsidR="003D5DB4" w:rsidRPr="000D0101" w:rsidRDefault="003D5DB4" w:rsidP="000A5389">
          <w:pPr>
            <w:spacing w:line="240" w:lineRule="auto"/>
            <w:rPr>
              <w:rFonts w:eastAsia="Times New Roman"/>
              <w:lang w:eastAsia="es-CO"/>
            </w:rPr>
          </w:pPr>
        </w:p>
        <w:p w14:paraId="56665332" w14:textId="77777777" w:rsidR="003D5DB4" w:rsidRPr="000D0101" w:rsidRDefault="003D5DB4" w:rsidP="000A5389">
          <w:pPr>
            <w:spacing w:line="240" w:lineRule="auto"/>
            <w:rPr>
              <w:rFonts w:eastAsia="Times New Roman"/>
              <w:lang w:eastAsia="es-CO"/>
            </w:rPr>
          </w:pPr>
          <w:r w:rsidRPr="000D0101">
            <w:rPr>
              <w:rFonts w:eastAsia="Times New Roman"/>
              <w:lang w:eastAsia="es-CO"/>
            </w:rPr>
            <w:t xml:space="preserve">CENIT TRANSPORTE Y LOGÍSTICA DE HIDROCARBUROS S.A.S. - Terminal Petrolero de Coveñas </w:t>
          </w:r>
        </w:p>
        <w:p w14:paraId="2E928E97" w14:textId="77777777" w:rsidR="003D5DB4" w:rsidRPr="000D0101" w:rsidRDefault="003D5DB4" w:rsidP="000A5389">
          <w:pPr>
            <w:spacing w:line="240" w:lineRule="auto"/>
          </w:pPr>
        </w:p>
        <w:p w14:paraId="47750023" w14:textId="77777777" w:rsidR="003D5DB4" w:rsidRPr="000D0101" w:rsidRDefault="003D5DB4" w:rsidP="000A5389">
          <w:pPr>
            <w:spacing w:line="240" w:lineRule="auto"/>
            <w:rPr>
              <w:lang w:val="es-MX"/>
            </w:rPr>
          </w:pPr>
          <w:r w:rsidRPr="000D0101">
            <w:rPr>
              <w:lang w:val="es-MX"/>
            </w:rPr>
            <w:t>Descripción del Acuerdo</w:t>
          </w:r>
        </w:p>
        <w:p w14:paraId="6E930AEA" w14:textId="77777777" w:rsidR="003D5DB4" w:rsidRPr="000D0101" w:rsidRDefault="003D5DB4" w:rsidP="000A5389">
          <w:pPr>
            <w:spacing w:line="240" w:lineRule="auto"/>
            <w:rPr>
              <w:lang w:val="es-MX"/>
            </w:rPr>
          </w:pPr>
        </w:p>
        <w:p w14:paraId="1A16A8CC" w14:textId="77777777" w:rsidR="003D5DB4" w:rsidRPr="000D0101" w:rsidRDefault="003D5DB4" w:rsidP="000A5389">
          <w:pPr>
            <w:spacing w:line="240" w:lineRule="auto"/>
            <w:rPr>
              <w:lang w:val="es-MX"/>
            </w:rPr>
          </w:pPr>
          <w:r w:rsidRPr="000D0101">
            <w:rPr>
              <w:lang w:val="es-MX"/>
            </w:rPr>
            <w:t>Número del Acuerdo de concesión: 004 de 2007</w:t>
          </w:r>
        </w:p>
        <w:p w14:paraId="72566243" w14:textId="77777777" w:rsidR="003D5DB4" w:rsidRPr="000D0101" w:rsidRDefault="003D5DB4" w:rsidP="000A5389">
          <w:pPr>
            <w:spacing w:line="240" w:lineRule="auto"/>
            <w:rPr>
              <w:lang w:val="es-MX"/>
            </w:rPr>
          </w:pPr>
        </w:p>
        <w:p w14:paraId="7704A178" w14:textId="77777777" w:rsidR="003D5DB4" w:rsidRPr="000D0101" w:rsidRDefault="003D5DB4" w:rsidP="000A5389">
          <w:pPr>
            <w:spacing w:line="240" w:lineRule="auto"/>
            <w:rPr>
              <w:lang w:val="es-MX"/>
            </w:rPr>
          </w:pPr>
          <w:r w:rsidRPr="000D0101">
            <w:rPr>
              <w:lang w:val="es-MX"/>
            </w:rPr>
            <w:t>Objeto / Descripción: El Inco en virtud del presente Contrato, otorga formalmente una concesión portuaria al Concesionario, para la ocupación y utilización en forma temporal y exclusiva de las playas, los terrenos de bajamar y las zonas accesorias o aquellas a estas, para la operación de las instalaciones Portuarias.</w:t>
          </w:r>
        </w:p>
        <w:p w14:paraId="07B35FA0" w14:textId="77777777" w:rsidR="003D5DB4" w:rsidRPr="000D0101" w:rsidRDefault="003D5DB4" w:rsidP="000A5389">
          <w:pPr>
            <w:spacing w:line="240" w:lineRule="auto"/>
            <w:rPr>
              <w:lang w:val="es-MX"/>
            </w:rPr>
          </w:pPr>
        </w:p>
        <w:p w14:paraId="07682750" w14:textId="77777777" w:rsidR="003D5DB4" w:rsidRPr="000D0101" w:rsidRDefault="003D5DB4" w:rsidP="000A5389">
          <w:pPr>
            <w:spacing w:line="240" w:lineRule="auto"/>
            <w:rPr>
              <w:lang w:val="es-MX"/>
            </w:rPr>
          </w:pPr>
          <w:r w:rsidRPr="000D0101">
            <w:rPr>
              <w:lang w:val="es-MX"/>
            </w:rPr>
            <w:t>Valor inicial:</w:t>
          </w:r>
          <w:r w:rsidRPr="000D0101">
            <w:rPr>
              <w:lang w:val="es-MX"/>
            </w:rPr>
            <w:tab/>
            <w:t>USD $3.704.355,43 Cláusula octava / Contrato No 004 de 2007.</w:t>
          </w:r>
        </w:p>
        <w:p w14:paraId="41B8E5A7" w14:textId="77777777" w:rsidR="003D5DB4" w:rsidRPr="000D0101" w:rsidRDefault="003D5DB4" w:rsidP="000A5389">
          <w:pPr>
            <w:spacing w:line="240" w:lineRule="auto"/>
            <w:rPr>
              <w:lang w:val="es-MX"/>
            </w:rPr>
          </w:pPr>
          <w:r w:rsidRPr="000D0101">
            <w:rPr>
              <w:lang w:val="es-MX"/>
            </w:rPr>
            <w:t>Fecha de inicio: 18/05/2007</w:t>
          </w:r>
        </w:p>
        <w:p w14:paraId="6D4F1D58" w14:textId="77777777" w:rsidR="003D5DB4" w:rsidRPr="000D0101" w:rsidRDefault="003D5DB4" w:rsidP="000A5389">
          <w:pPr>
            <w:spacing w:line="240" w:lineRule="auto"/>
            <w:rPr>
              <w:lang w:val="es-MX"/>
            </w:rPr>
          </w:pPr>
          <w:r w:rsidRPr="000D0101">
            <w:rPr>
              <w:lang w:val="es-MX"/>
            </w:rPr>
            <w:t>Fecha de finalización estimada: 17/05/2027</w:t>
          </w:r>
        </w:p>
        <w:p w14:paraId="0F25A578" w14:textId="77777777" w:rsidR="003D5DB4" w:rsidRPr="000D0101" w:rsidRDefault="003D5DB4" w:rsidP="000A5389">
          <w:pPr>
            <w:spacing w:line="240" w:lineRule="auto"/>
            <w:rPr>
              <w:lang w:val="es-MX"/>
            </w:rPr>
          </w:pPr>
          <w:r w:rsidRPr="000D0101">
            <w:rPr>
              <w:lang w:val="es-MX"/>
            </w:rPr>
            <w:t>Tipo ID: NIT</w:t>
          </w:r>
        </w:p>
        <w:p w14:paraId="3249A0AC" w14:textId="77777777" w:rsidR="003D5DB4" w:rsidRPr="000D0101" w:rsidRDefault="003D5DB4" w:rsidP="000A5389">
          <w:pPr>
            <w:spacing w:line="240" w:lineRule="auto"/>
            <w:rPr>
              <w:lang w:val="es-MX"/>
            </w:rPr>
          </w:pPr>
          <w:r w:rsidRPr="000D0101">
            <w:rPr>
              <w:lang w:val="es-MX"/>
            </w:rPr>
            <w:lastRenderedPageBreak/>
            <w:t>Número ID: 900531210-3</w:t>
          </w:r>
        </w:p>
        <w:p w14:paraId="4DA5A32D" w14:textId="77777777" w:rsidR="003D5DB4" w:rsidRPr="000D0101" w:rsidRDefault="003D5DB4" w:rsidP="000A5389">
          <w:pPr>
            <w:spacing w:line="240" w:lineRule="auto"/>
            <w:rPr>
              <w:lang w:val="es-MX"/>
            </w:rPr>
          </w:pPr>
          <w:r w:rsidRPr="000D0101">
            <w:rPr>
              <w:lang w:val="es-MX"/>
            </w:rPr>
            <w:t>Razón social del concesionario: CENIT Transporte y Logística de Hidrocarburos S.A.S. (Terminal Petrolero de Coveñas).</w:t>
          </w:r>
        </w:p>
        <w:p w14:paraId="6671D421" w14:textId="77777777" w:rsidR="003D5DB4" w:rsidRPr="000D0101" w:rsidRDefault="003D5DB4" w:rsidP="000A5389">
          <w:pPr>
            <w:spacing w:line="240" w:lineRule="auto"/>
            <w:rPr>
              <w:lang w:val="es-MX"/>
            </w:rPr>
          </w:pPr>
          <w:r w:rsidRPr="000D0101">
            <w:rPr>
              <w:lang w:val="es-MX"/>
            </w:rPr>
            <w:t>Nombre del proyecto: CENIT Transporte y Logística de Hidrocarburos S.A.S. (Terminal Petrolero de Coveñas).</w:t>
          </w:r>
        </w:p>
        <w:p w14:paraId="37E3ED93" w14:textId="77777777" w:rsidR="003D5DB4" w:rsidRPr="000D0101" w:rsidRDefault="003D5DB4" w:rsidP="000A5389">
          <w:pPr>
            <w:spacing w:line="240" w:lineRule="auto"/>
            <w:rPr>
              <w:lang w:val="es-MX"/>
            </w:rPr>
          </w:pPr>
        </w:p>
        <w:p w14:paraId="3E1DF658" w14:textId="77777777" w:rsidR="003D5DB4" w:rsidRPr="000D0101" w:rsidRDefault="003D5DB4" w:rsidP="000A5389">
          <w:pPr>
            <w:spacing w:line="240" w:lineRule="auto"/>
            <w:rPr>
              <w:lang w:val="es-MX"/>
            </w:rPr>
          </w:pPr>
          <w:r w:rsidRPr="000D0101">
            <w:rPr>
              <w:lang w:val="es-MX"/>
            </w:rPr>
            <w:t>Términos significativos del Acuerdo que puedan afectar su valor, el calendario y la certeza de los flujos de efectivo futuros</w:t>
          </w:r>
        </w:p>
        <w:p w14:paraId="1E8074EC" w14:textId="77777777" w:rsidR="003D5DB4" w:rsidRPr="000D0101" w:rsidRDefault="003D5DB4" w:rsidP="000A5389">
          <w:pPr>
            <w:spacing w:line="240" w:lineRule="auto"/>
            <w:rPr>
              <w:lang w:val="es-MX"/>
            </w:rPr>
          </w:pPr>
        </w:p>
        <w:p w14:paraId="41124B3D" w14:textId="77777777" w:rsidR="003D5DB4" w:rsidRPr="000D0101" w:rsidRDefault="003D5DB4" w:rsidP="000A5389">
          <w:pPr>
            <w:spacing w:line="240" w:lineRule="auto"/>
            <w:rPr>
              <w:lang w:val="es-MX"/>
            </w:rPr>
          </w:pPr>
          <w:r w:rsidRPr="000D0101">
            <w:rPr>
              <w:lang w:val="es-MX"/>
            </w:rPr>
            <w:t>Términos de valor:</w:t>
          </w:r>
          <w:r w:rsidRPr="000D0101">
            <w:rPr>
              <w:lang w:val="es-MX"/>
            </w:rPr>
            <w:tab/>
            <w:t xml:space="preserve">1. Tarifas: Al ser el terminal marítimo de servicio privado la Ley 1 de 1991 establece: Las sociedades portuarias que operan puertos de servicio privado podrán fijar libremente sus tarifas, pero mantendrán informada sobre ellas a la Superintendencia General de Puertos hoy Superintendencia de Transporte.  2. Contraprestación portuaria: De acuerdo con el último documento contractual vigente la metodología de contraprestación vigente es CONPES 2680 DE 1993 (Productividad). Se establece en la cláusula octava del Contrato que el CONCESIONARIO deberá pagar por concepto de zona de uso público la suma anual de (USD 168.598,74), de dicho pago el 80% le corresponde a la Nación Instituto nacional de vías (INVIAS) y el 20% restante al Municipio de Coveñas, de acuerdo con lo establecido en el parágrafo 1 del artículo 1 de la ley 856 del 21 de diciembre de 2003, que modifica el artículo 7 de la ley 1ª de 1991. Así mismo, por concepto de infraestructura el CONCESIONARIO deberá pagar la suma anual de (USD 274.200), el cual corresponde en un 100% a la Nación - Instituto Nacional de Vías (INVIAS) de acuerdo con lo establecido en el artículo 1 de la ley 856 del 21 diciembre de 2003. 3. Plan de Inversiones: Está establecido en la cláusula séptima del Contrato, el plan de inversión será de USD $3.000.000 expresado en términos corrientes, programado para los años 2009, 2014 y 2019.4. Obligaciones del Concesionario: Se encuentran descritas en la cláusula décima Quinta del Contrato Principal.  5. Multas: Se encuentran descritas en la cláusula décima Octava del Contrato Principal.  </w:t>
          </w:r>
        </w:p>
        <w:p w14:paraId="75DD4444" w14:textId="77777777" w:rsidR="003D5DB4" w:rsidRPr="000D0101" w:rsidRDefault="003D5DB4" w:rsidP="000A5389">
          <w:pPr>
            <w:spacing w:line="240" w:lineRule="auto"/>
            <w:rPr>
              <w:lang w:val="es-MX"/>
            </w:rPr>
          </w:pPr>
        </w:p>
        <w:p w14:paraId="4490CE21" w14:textId="77777777" w:rsidR="003D5DB4" w:rsidRPr="000D0101" w:rsidRDefault="003D5DB4" w:rsidP="000A5389">
          <w:pPr>
            <w:spacing w:line="240" w:lineRule="auto"/>
            <w:rPr>
              <w:lang w:val="es-MX"/>
            </w:rPr>
          </w:pPr>
          <w:r w:rsidRPr="000D0101">
            <w:rPr>
              <w:lang w:val="es-MX"/>
            </w:rPr>
            <w:t xml:space="preserve">Términos de calendario: 1. Tarifas: Al ser el terminal marítimo de servicio privado la Ley 1 de 1991 establece: Las sociedades portuarias que operan puertos de servicio privado podrán fijar libremente sus tarifas, pero mantendrán informada sobre ellas a la Superintendencia General de Puertos hoy Superintendencia de Transporte.  2. Contraprestación portuaria: De acuerdo con el último documento contractual vigente la metodología de contraprestación vigente es CONPES 2680 DE 1993 (Productividad). Se establece en la cláusula octava del Contrato que el CONCESIONARIO deberá pagar por concepto de zona de uso público la suma anual de (USD 168.598,74), de dicho pago el 80% le corresponde a la Nación Instituto nacional de vías (INVIAS) y el 20% restante al Municipio de Coveñas, de acuerdo con lo establecido en el parágrafo 1 del artículo 1 de la ley 856 del 21 de diciembre de 2003, que modifica el artículo 7 de la ley 1ª de 1991. Así mismo, por concepto de infraestructura el CONCESIONARIO deberá pagar la suma anual de (USD 274.200), el cual corresponde en un 100% a la Nación - Instituto Nacional de Vías (INVIAS) de acuerdo con lo establecido en el artículo 1 de la ley 856 del 21 diciembre de 2003. 3. Plan de Inversiones: Está establecido en la cláusula séptima del Contrato, el plan de inversión será de USD $3.000.000 </w:t>
          </w:r>
          <w:r w:rsidRPr="000D0101">
            <w:rPr>
              <w:lang w:val="es-MX"/>
            </w:rPr>
            <w:lastRenderedPageBreak/>
            <w:t xml:space="preserve">expresado en términos corrientes, programado para los años 2009, 2014 y 2019.4. Obligaciones del Concesionario: Se encuentran descritas en la cláusula décima Quinta del Contrato Principal.  5. Multas: Se encuentran descritas en la cláusula décima Octava del Contrato Principal.  </w:t>
          </w:r>
        </w:p>
        <w:p w14:paraId="02409159" w14:textId="77777777" w:rsidR="003D5DB4" w:rsidRPr="000D0101" w:rsidRDefault="003D5DB4" w:rsidP="000A5389">
          <w:pPr>
            <w:spacing w:line="240" w:lineRule="auto"/>
            <w:rPr>
              <w:lang w:val="es-MX"/>
            </w:rPr>
          </w:pPr>
        </w:p>
        <w:p w14:paraId="0214B025" w14:textId="77777777" w:rsidR="003D5DB4" w:rsidRPr="000D0101" w:rsidRDefault="003D5DB4" w:rsidP="000A5389">
          <w:pPr>
            <w:spacing w:line="240" w:lineRule="auto"/>
            <w:rPr>
              <w:lang w:val="es-MX"/>
            </w:rPr>
          </w:pPr>
          <w:r w:rsidRPr="000D0101">
            <w:rPr>
              <w:lang w:val="es-MX"/>
            </w:rPr>
            <w:t>Términos de certeza de flujos de efectivo futuros: El Inco en virtud del presente Contrato, otorga formalmente una concesión portuaria al Concesionario, para la ocupación y utilización en forma temporal y exclusiva de las playas, los terrenos de bajamar y las zonas accesorias o aquellas a estas, para la operación de las instalaciones Portuarias. La Cláusula Octava, en el punto 8.2 y 8.3, establece que del valor a pagar por concepto de contraprestación por Zona de Uso público es el 80% y le corresponde a la Nación-INVIAS, el 20 % al Distrito Cultural e Histórico de Santa Marta, y por Infraestructura el 100% le corresponde a la Nación.</w:t>
          </w:r>
        </w:p>
        <w:p w14:paraId="6EB62062" w14:textId="77777777" w:rsidR="003D5DB4" w:rsidRPr="000D0101" w:rsidRDefault="003D5DB4" w:rsidP="000A5389">
          <w:pPr>
            <w:spacing w:line="240" w:lineRule="auto"/>
            <w:rPr>
              <w:lang w:val="es-MX"/>
            </w:rPr>
          </w:pPr>
        </w:p>
        <w:p w14:paraId="5C052F21" w14:textId="77777777" w:rsidR="003D5DB4" w:rsidRPr="000D0101" w:rsidRDefault="003D5DB4" w:rsidP="000A5389">
          <w:pPr>
            <w:spacing w:line="240" w:lineRule="auto"/>
            <w:rPr>
              <w:lang w:val="es-MX"/>
            </w:rPr>
          </w:pPr>
          <w:r w:rsidRPr="000D0101">
            <w:rPr>
              <w:lang w:val="es-MX"/>
            </w:rPr>
            <w:t>Naturaleza y alcance del derecho a utilizar Activos y los aspectos pactados en torno a lo que se espera que el concesionario proporcione en relación con el Acuerdo de concesión</w:t>
          </w:r>
        </w:p>
        <w:p w14:paraId="4DEDEDF6" w14:textId="77777777" w:rsidR="003D5DB4" w:rsidRPr="000D0101" w:rsidRDefault="003D5DB4" w:rsidP="000A5389">
          <w:pPr>
            <w:spacing w:line="240" w:lineRule="auto"/>
            <w:rPr>
              <w:lang w:val="es-MX"/>
            </w:rPr>
          </w:pPr>
        </w:p>
        <w:p w14:paraId="3BCEE290" w14:textId="77777777" w:rsidR="003D5DB4" w:rsidRPr="000D0101" w:rsidRDefault="003D5DB4" w:rsidP="000A5389">
          <w:pPr>
            <w:spacing w:line="240" w:lineRule="auto"/>
            <w:rPr>
              <w:lang w:val="es-MX"/>
            </w:rPr>
          </w:pPr>
          <w:r w:rsidRPr="000D0101">
            <w:rPr>
              <w:lang w:val="es-MX"/>
            </w:rPr>
            <w:t>Naturaleza y alcance del derecho de uso de los Activos</w:t>
          </w:r>
        </w:p>
        <w:p w14:paraId="0AD6933F" w14:textId="77777777" w:rsidR="003D5DB4" w:rsidRPr="000D0101" w:rsidRDefault="003D5DB4" w:rsidP="000A5389">
          <w:pPr>
            <w:spacing w:line="240" w:lineRule="auto"/>
            <w:rPr>
              <w:lang w:val="es-MX"/>
            </w:rPr>
          </w:pPr>
        </w:p>
        <w:p w14:paraId="64DB7EB3" w14:textId="77777777" w:rsidR="003D5DB4" w:rsidRPr="000D0101" w:rsidRDefault="003D5DB4" w:rsidP="000A5389">
          <w:pPr>
            <w:spacing w:line="240" w:lineRule="auto"/>
            <w:rPr>
              <w:lang w:val="es-MX"/>
            </w:rPr>
          </w:pPr>
          <w:r w:rsidRPr="000D0101">
            <w:rPr>
              <w:lang w:val="es-MX"/>
            </w:rPr>
            <w:t>Descripción:</w:t>
          </w:r>
          <w:r w:rsidRPr="000D0101">
            <w:rPr>
              <w:lang w:val="es-MX"/>
            </w:rPr>
            <w:tab/>
            <w:t>Descripción del proyecto, especificaciones técnicas, modalidades de operación: las condiciones especiales de operación del puerto están establecidas en la cláusula quinta. Área entregada en concesión: La descripción de la ubicación, linderos y extensión de los bienes de uso público (playas y terrenos de baja mar, zonas marítimas accesorias) entregados en concesión están establecidos en la cláusula segunda del Contrato de Concesión No. 004 de 2007.Infraestructura y equipos entregados en concesión: En la cláusula segunda del Contrato (otrosí), se describe que lo entregado en concesión fue: Infraestructura: Placa de concreto zona de parqueo y acceso al muelle, área de terreno confiada por la malla de cerramiento de acceso al muelle, caseta de vigilancia con su jardinera, muelle de servicio con área de 3,348 m2, TLU-1, TLU-S, 10.065 m de tubería c ducto submarino que conecta laTlU-1 con la estación del terminal en tierra, 16.063 m de tubería o ducto submarino que conecta laTLU-3 con la estación del terminal en tierra, 6.621 m de tubería o ducto submarino que conecta la TLU-1con la TLU-3</w:t>
          </w:r>
        </w:p>
        <w:p w14:paraId="53987650" w14:textId="77777777" w:rsidR="003D5DB4" w:rsidRPr="000D0101" w:rsidRDefault="003D5DB4" w:rsidP="000A5389">
          <w:pPr>
            <w:spacing w:line="240" w:lineRule="auto"/>
            <w:rPr>
              <w:lang w:val="es-MX"/>
            </w:rPr>
          </w:pPr>
        </w:p>
        <w:p w14:paraId="1AFFBA60" w14:textId="77777777" w:rsidR="003D5DB4" w:rsidRPr="000D0101" w:rsidRDefault="003D5DB4" w:rsidP="000A5389">
          <w:pPr>
            <w:spacing w:line="240" w:lineRule="auto"/>
            <w:rPr>
              <w:lang w:val="es-MX"/>
            </w:rPr>
          </w:pPr>
          <w:r w:rsidRPr="000D0101">
            <w:rPr>
              <w:lang w:val="es-MX"/>
            </w:rPr>
            <w:t>Observaciones: NA</w:t>
          </w:r>
        </w:p>
        <w:p w14:paraId="5F9DAA26" w14:textId="77777777" w:rsidR="003D5DB4" w:rsidRPr="000D0101" w:rsidRDefault="003D5DB4" w:rsidP="000A5389">
          <w:pPr>
            <w:spacing w:line="240" w:lineRule="auto"/>
            <w:rPr>
              <w:lang w:val="es-MX"/>
            </w:rPr>
          </w:pPr>
        </w:p>
        <w:p w14:paraId="3E955344" w14:textId="77777777" w:rsidR="003D5DB4" w:rsidRPr="000D0101" w:rsidRDefault="003D5DB4" w:rsidP="000A5389">
          <w:pPr>
            <w:spacing w:line="240" w:lineRule="auto"/>
            <w:rPr>
              <w:lang w:val="es-MX"/>
            </w:rPr>
          </w:pPr>
          <w:r w:rsidRPr="000D0101">
            <w:rPr>
              <w:lang w:val="es-MX"/>
            </w:rPr>
            <w:t>Retribución al concesionario</w:t>
          </w:r>
        </w:p>
        <w:p w14:paraId="01A81AEB" w14:textId="77777777" w:rsidR="003D5DB4" w:rsidRPr="000D0101" w:rsidRDefault="003D5DB4" w:rsidP="000A5389">
          <w:pPr>
            <w:spacing w:line="240" w:lineRule="auto"/>
            <w:rPr>
              <w:lang w:val="es-MX"/>
            </w:rPr>
          </w:pPr>
        </w:p>
        <w:p w14:paraId="291D5A3A" w14:textId="77777777" w:rsidR="003D5DB4" w:rsidRPr="000D0101" w:rsidRDefault="003D5DB4" w:rsidP="000A5389">
          <w:pPr>
            <w:spacing w:line="240" w:lineRule="auto"/>
            <w:rPr>
              <w:lang w:val="es-MX"/>
            </w:rPr>
          </w:pPr>
          <w:r w:rsidRPr="000D0101">
            <w:rPr>
              <w:lang w:val="es-MX"/>
            </w:rPr>
            <w:t>Descripción:</w:t>
          </w:r>
          <w:r w:rsidRPr="000D0101">
            <w:rPr>
              <w:lang w:val="es-MX"/>
            </w:rPr>
            <w:tab/>
            <w:t>El Inco en virtud del presente Contrato, otorga formalmente una concesión portuaria al Concesionario, para la ocupación y utilización en forma temporal y exclusiva de las playas, los terrenos de bajamar y las zonas accesorias o aquellas a estas, para la operación de las instalaciones Portuarias.</w:t>
          </w:r>
        </w:p>
        <w:p w14:paraId="661B2708" w14:textId="77777777" w:rsidR="003D5DB4" w:rsidRPr="000D0101" w:rsidRDefault="003D5DB4" w:rsidP="000A5389">
          <w:pPr>
            <w:spacing w:line="240" w:lineRule="auto"/>
            <w:rPr>
              <w:lang w:val="es-MX"/>
            </w:rPr>
          </w:pPr>
        </w:p>
        <w:p w14:paraId="3AB53995" w14:textId="77777777" w:rsidR="003D5DB4" w:rsidRPr="000D0101" w:rsidRDefault="003D5DB4" w:rsidP="000A5389">
          <w:pPr>
            <w:spacing w:line="240" w:lineRule="auto"/>
            <w:rPr>
              <w:lang w:val="es-MX"/>
            </w:rPr>
          </w:pPr>
          <w:r w:rsidRPr="000D0101">
            <w:rPr>
              <w:lang w:val="es-MX"/>
            </w:rPr>
            <w:t>Tasa de retribución:</w:t>
          </w:r>
          <w:r w:rsidRPr="000D0101">
            <w:rPr>
              <w:lang w:val="es-MX"/>
            </w:rPr>
            <w:tab/>
            <w:t xml:space="preserve"> NA</w:t>
          </w:r>
        </w:p>
        <w:p w14:paraId="556ED8DA" w14:textId="77777777" w:rsidR="003D5DB4" w:rsidRPr="000D0101" w:rsidRDefault="003D5DB4" w:rsidP="000A5389">
          <w:pPr>
            <w:spacing w:line="240" w:lineRule="auto"/>
            <w:rPr>
              <w:lang w:val="es-MX"/>
            </w:rPr>
          </w:pPr>
        </w:p>
        <w:p w14:paraId="1882073A" w14:textId="77777777" w:rsidR="003D5DB4" w:rsidRPr="000D0101" w:rsidRDefault="003D5DB4" w:rsidP="000A5389">
          <w:pPr>
            <w:spacing w:line="240" w:lineRule="auto"/>
            <w:rPr>
              <w:lang w:val="es-MX"/>
            </w:rPr>
          </w:pPr>
          <w:r w:rsidRPr="000D0101">
            <w:rPr>
              <w:lang w:val="es-MX"/>
            </w:rPr>
            <w:t>Derechos a recibir Activos especificados al final del acuerdo de concesión</w:t>
          </w:r>
        </w:p>
        <w:p w14:paraId="4F5C025A" w14:textId="77777777" w:rsidR="003D5DB4" w:rsidRPr="000D0101" w:rsidRDefault="003D5DB4" w:rsidP="000A5389">
          <w:pPr>
            <w:spacing w:line="240" w:lineRule="auto"/>
            <w:rPr>
              <w:lang w:val="es-MX"/>
            </w:rPr>
          </w:pPr>
        </w:p>
        <w:p w14:paraId="17D31F13" w14:textId="77777777" w:rsidR="003D5DB4" w:rsidRPr="000D0101" w:rsidRDefault="003D5DB4" w:rsidP="000A5389">
          <w:pPr>
            <w:spacing w:line="240" w:lineRule="auto"/>
            <w:rPr>
              <w:lang w:val="es-MX"/>
            </w:rPr>
          </w:pPr>
          <w:r w:rsidRPr="000D0101">
            <w:rPr>
              <w:lang w:val="es-MX"/>
            </w:rPr>
            <w:t>Descripción: Descripción: De acuerdo con el Artículo 8º de la Ley 1 de 1991 en el modo portuario el concesionario no tiene derechos finales sobre activos los debe revertir a la Nación al final del contrato de concesión</w:t>
          </w:r>
        </w:p>
        <w:p w14:paraId="195BD05B" w14:textId="77777777" w:rsidR="003D5DB4" w:rsidRPr="000D0101" w:rsidRDefault="003D5DB4" w:rsidP="000A5389">
          <w:pPr>
            <w:spacing w:line="240" w:lineRule="auto"/>
            <w:rPr>
              <w:lang w:val="es-MX"/>
            </w:rPr>
          </w:pPr>
        </w:p>
        <w:p w14:paraId="7254EC3A" w14:textId="77777777" w:rsidR="003D5DB4" w:rsidRPr="000D0101" w:rsidRDefault="003D5DB4" w:rsidP="000A5389">
          <w:pPr>
            <w:spacing w:line="240" w:lineRule="auto"/>
            <w:rPr>
              <w:lang w:val="es-MX"/>
            </w:rPr>
          </w:pPr>
          <w:r w:rsidRPr="000D0101">
            <w:rPr>
              <w:lang w:val="es-MX"/>
            </w:rPr>
            <w:t>Observaciones: NA.</w:t>
          </w:r>
        </w:p>
        <w:p w14:paraId="3EF75D9D" w14:textId="77777777" w:rsidR="003D5DB4" w:rsidRPr="000D0101" w:rsidRDefault="003D5DB4" w:rsidP="000A5389">
          <w:pPr>
            <w:spacing w:line="240" w:lineRule="auto"/>
            <w:rPr>
              <w:lang w:val="es-MX"/>
            </w:rPr>
          </w:pPr>
        </w:p>
        <w:p w14:paraId="32CF2348" w14:textId="77777777" w:rsidR="003D5DB4" w:rsidRPr="000D0101" w:rsidRDefault="003D5DB4" w:rsidP="000A5389">
          <w:pPr>
            <w:spacing w:line="240" w:lineRule="auto"/>
            <w:rPr>
              <w:lang w:val="es-MX"/>
            </w:rPr>
          </w:pPr>
          <w:r w:rsidRPr="000D0101">
            <w:rPr>
              <w:lang w:val="es-MX"/>
            </w:rPr>
            <w:t>Las alternativas de renovación y cese del acuerdo</w:t>
          </w:r>
        </w:p>
        <w:p w14:paraId="4F89536D" w14:textId="77777777" w:rsidR="003D5DB4" w:rsidRPr="000D0101" w:rsidRDefault="003D5DB4" w:rsidP="000A5389">
          <w:pPr>
            <w:spacing w:line="240" w:lineRule="auto"/>
            <w:rPr>
              <w:lang w:val="es-MX"/>
            </w:rPr>
          </w:pPr>
        </w:p>
        <w:p w14:paraId="6252675E" w14:textId="77777777" w:rsidR="003D5DB4" w:rsidRPr="000D0101" w:rsidRDefault="003D5DB4" w:rsidP="000A5389">
          <w:pPr>
            <w:spacing w:line="240" w:lineRule="auto"/>
            <w:rPr>
              <w:lang w:val="es-MX"/>
            </w:rPr>
          </w:pPr>
          <w:r w:rsidRPr="000D0101">
            <w:rPr>
              <w:lang w:val="es-MX"/>
            </w:rPr>
            <w:t>Descripción:</w:t>
          </w:r>
          <w:r w:rsidRPr="000D0101">
            <w:rPr>
              <w:lang w:val="es-MX"/>
            </w:rPr>
            <w:tab/>
            <w:t>Descripción: De acuerdo con el Artículo 8º de la Ley 1 de 1991 en el modo portuario el concesionario no tiene derechos finales sobre activos los debe revertir a la Nación al final del contrato de concesión</w:t>
          </w:r>
        </w:p>
        <w:p w14:paraId="0E547B23" w14:textId="77777777" w:rsidR="003D5DB4" w:rsidRPr="000D0101" w:rsidRDefault="003D5DB4" w:rsidP="000A5389">
          <w:pPr>
            <w:spacing w:line="240" w:lineRule="auto"/>
            <w:rPr>
              <w:lang w:val="es-MX"/>
            </w:rPr>
          </w:pPr>
        </w:p>
        <w:p w14:paraId="5A04961A" w14:textId="77777777" w:rsidR="003D5DB4" w:rsidRPr="000D0101" w:rsidRDefault="003D5DB4" w:rsidP="000A5389">
          <w:pPr>
            <w:spacing w:line="240" w:lineRule="auto"/>
            <w:rPr>
              <w:lang w:val="es-MX"/>
            </w:rPr>
          </w:pPr>
          <w:r w:rsidRPr="000D0101">
            <w:rPr>
              <w:lang w:val="es-MX"/>
            </w:rPr>
            <w:t>Observaciones: Reversión: De acuerdo con lo establecido en el Artículo Octavo de la Resolución 1010 de 2013, las inversiones están focalizadas en zona de uso público, por lo tanto, las mismas pasarán a ser propiedad de la Nación de acuerdo con lo establecido en el inciso final del artículo 8 de la Ley 1 de 1991 y la cláusula décima segunda de Contrato de concesión Portuaria No. 004 de 2007.Obras Adicionales: De acuerdo con lo establecido en la cláusula décimo tercera del Contrato de Concesión No. 004 de 2007, en el evento que el Concesionario requiera efectuar obras e Inversiones en la zona de uso público no previstas en el contrato y su respectivo plan de Inversiones, y/o adquirir o instalar equipos destinados a la operación del muelle, deberá contar con la respectiva autorización previa y escrita por parte del INCO hoy Agencia Nacional de infraestructura, a través del Subgerente de Gestión Contractual o quien haga sus veces. Para tal fin, en el momento de la reversión el CONCESIONARIO elaborará un inventario de los bienes y los enviará para su revisión y aprobación. La ANI es la entidad concedente pero la titularidad de los activos al final de la concesión es del Instituto Nacional de Vías INVIAS</w:t>
          </w:r>
        </w:p>
        <w:p w14:paraId="7CFF399C" w14:textId="77777777" w:rsidR="003D5DB4" w:rsidRPr="000D0101" w:rsidRDefault="003D5DB4" w:rsidP="000A5389">
          <w:pPr>
            <w:spacing w:line="240" w:lineRule="auto"/>
            <w:rPr>
              <w:lang w:val="es-MX"/>
            </w:rPr>
          </w:pPr>
        </w:p>
        <w:p w14:paraId="66521187" w14:textId="77777777" w:rsidR="003D5DB4" w:rsidRPr="000D0101" w:rsidRDefault="003D5DB4" w:rsidP="000A5389">
          <w:pPr>
            <w:spacing w:line="240" w:lineRule="auto"/>
            <w:rPr>
              <w:lang w:val="es-MX"/>
            </w:rPr>
          </w:pPr>
          <w:r w:rsidRPr="000D0101">
            <w:rPr>
              <w:lang w:val="es-MX"/>
            </w:rPr>
            <w:t>Cambios en el acuerdo de concesión que se realicen durante el periodo fiscal</w:t>
          </w:r>
        </w:p>
        <w:p w14:paraId="75774B9F" w14:textId="77777777" w:rsidR="003D5DB4" w:rsidRPr="000D0101" w:rsidRDefault="003D5DB4" w:rsidP="000A5389">
          <w:pPr>
            <w:spacing w:line="240" w:lineRule="auto"/>
            <w:rPr>
              <w:lang w:val="es-MX"/>
            </w:rPr>
          </w:pPr>
        </w:p>
        <w:p w14:paraId="7C9CFBF5" w14:textId="77777777" w:rsidR="003D5DB4" w:rsidRPr="000D0101" w:rsidRDefault="003D5DB4" w:rsidP="000A5389">
          <w:pPr>
            <w:spacing w:line="240" w:lineRule="auto"/>
            <w:rPr>
              <w:lang w:val="es-MX"/>
            </w:rPr>
          </w:pPr>
          <w:r w:rsidRPr="000D0101">
            <w:rPr>
              <w:lang w:val="es-MX"/>
            </w:rPr>
            <w:t>Adiciones o modificaciones en tiempo</w:t>
          </w:r>
        </w:p>
        <w:p w14:paraId="2D7AE71B" w14:textId="77777777" w:rsidR="003D5DB4" w:rsidRPr="000D0101" w:rsidRDefault="003D5DB4" w:rsidP="000A5389">
          <w:pPr>
            <w:spacing w:line="240" w:lineRule="auto"/>
            <w:rPr>
              <w:lang w:val="es-MX"/>
            </w:rPr>
          </w:pPr>
          <w:r w:rsidRPr="000D0101">
            <w:rPr>
              <w:lang w:val="es-MX"/>
            </w:rPr>
            <w:t>Fechas de las adiciones o modificaciones:</w:t>
          </w:r>
          <w:r w:rsidRPr="000D0101">
            <w:rPr>
              <w:lang w:val="es-MX"/>
            </w:rPr>
            <w:tab/>
            <w:t>NA</w:t>
          </w:r>
        </w:p>
        <w:p w14:paraId="5F00CF72" w14:textId="77777777" w:rsidR="003D5DB4" w:rsidRPr="000D0101" w:rsidRDefault="003D5DB4" w:rsidP="000A5389">
          <w:pPr>
            <w:spacing w:line="240" w:lineRule="auto"/>
            <w:rPr>
              <w:lang w:val="es-MX"/>
            </w:rPr>
          </w:pPr>
          <w:r w:rsidRPr="000D0101">
            <w:rPr>
              <w:lang w:val="es-MX"/>
            </w:rPr>
            <w:t>Nueva fecha de finalización estimada: NA</w:t>
          </w:r>
        </w:p>
        <w:p w14:paraId="3D23440C" w14:textId="77777777" w:rsidR="003D5DB4" w:rsidRPr="000D0101" w:rsidRDefault="003D5DB4" w:rsidP="000A5389">
          <w:pPr>
            <w:spacing w:line="240" w:lineRule="auto"/>
            <w:rPr>
              <w:lang w:val="es-MX"/>
            </w:rPr>
          </w:pPr>
          <w:r w:rsidRPr="000D0101">
            <w:rPr>
              <w:lang w:val="es-MX"/>
            </w:rPr>
            <w:t>Observaciones: NA</w:t>
          </w:r>
        </w:p>
        <w:p w14:paraId="0CF64EF6" w14:textId="77777777" w:rsidR="003D5DB4" w:rsidRPr="000D0101" w:rsidRDefault="003D5DB4" w:rsidP="000A5389">
          <w:pPr>
            <w:spacing w:line="240" w:lineRule="auto"/>
            <w:rPr>
              <w:lang w:val="es-MX"/>
            </w:rPr>
          </w:pPr>
          <w:r w:rsidRPr="000D0101">
            <w:rPr>
              <w:lang w:val="es-MX"/>
            </w:rPr>
            <w:t>Adiciones o modificaciones en valor</w:t>
          </w:r>
        </w:p>
        <w:p w14:paraId="603FFB99" w14:textId="77777777" w:rsidR="003D5DB4" w:rsidRPr="000D0101" w:rsidRDefault="003D5DB4" w:rsidP="000A5389">
          <w:pPr>
            <w:spacing w:line="240" w:lineRule="auto"/>
            <w:rPr>
              <w:lang w:val="es-MX"/>
            </w:rPr>
          </w:pPr>
          <w:r w:rsidRPr="000D0101">
            <w:rPr>
              <w:lang w:val="es-MX"/>
            </w:rPr>
            <w:t>Valor de la adición o modificación: NA</w:t>
          </w:r>
        </w:p>
        <w:p w14:paraId="11A3FA52" w14:textId="77777777" w:rsidR="003D5DB4" w:rsidRPr="000D0101" w:rsidRDefault="003D5DB4" w:rsidP="000A5389">
          <w:pPr>
            <w:spacing w:line="240" w:lineRule="auto"/>
            <w:rPr>
              <w:lang w:val="es-MX"/>
            </w:rPr>
          </w:pPr>
          <w:r w:rsidRPr="000D0101">
            <w:rPr>
              <w:lang w:val="es-MX"/>
            </w:rPr>
            <w:t>Nuevo valor del acuerdo: NA</w:t>
          </w:r>
        </w:p>
        <w:p w14:paraId="5AC6D82E" w14:textId="77777777" w:rsidR="003D5DB4" w:rsidRPr="000D0101" w:rsidRDefault="003D5DB4" w:rsidP="000A5389">
          <w:pPr>
            <w:spacing w:line="240" w:lineRule="auto"/>
            <w:rPr>
              <w:lang w:val="es-MX"/>
            </w:rPr>
          </w:pPr>
        </w:p>
        <w:p w14:paraId="196045FD" w14:textId="77777777" w:rsidR="003D5DB4" w:rsidRPr="000D0101" w:rsidRDefault="003D5DB4" w:rsidP="000A5389">
          <w:pPr>
            <w:spacing w:line="240" w:lineRule="auto"/>
            <w:rPr>
              <w:lang w:val="es-MX"/>
            </w:rPr>
          </w:pPr>
          <w:r w:rsidRPr="000D0101">
            <w:rPr>
              <w:lang w:val="es-MX"/>
            </w:rPr>
            <w:t>Observaciones: NA</w:t>
          </w:r>
        </w:p>
        <w:p w14:paraId="7B81B00E" w14:textId="77777777" w:rsidR="003D5DB4" w:rsidRPr="000D0101" w:rsidRDefault="003D5DB4" w:rsidP="000A5389">
          <w:pPr>
            <w:spacing w:line="240" w:lineRule="auto"/>
            <w:rPr>
              <w:rFonts w:eastAsia="Times New Roman"/>
              <w:lang w:eastAsia="es-CO"/>
            </w:rPr>
          </w:pPr>
        </w:p>
        <w:p w14:paraId="394BFE20" w14:textId="77777777" w:rsidR="003D5DB4" w:rsidRPr="000D0101" w:rsidRDefault="003D5DB4" w:rsidP="000A5389">
          <w:pPr>
            <w:spacing w:line="240" w:lineRule="auto"/>
            <w:rPr>
              <w:rFonts w:eastAsia="Times New Roman"/>
              <w:lang w:eastAsia="es-CO"/>
            </w:rPr>
          </w:pPr>
        </w:p>
        <w:p w14:paraId="3360E0FA" w14:textId="77777777" w:rsidR="003D5DB4" w:rsidRPr="00915852" w:rsidRDefault="003D5DB4" w:rsidP="000A5389">
          <w:pPr>
            <w:spacing w:line="240" w:lineRule="auto"/>
            <w:rPr>
              <w:rFonts w:eastAsia="Times New Roman"/>
              <w:i/>
              <w:iCs/>
            </w:rPr>
          </w:pPr>
          <w:r w:rsidRPr="00915852">
            <w:rPr>
              <w:rFonts w:eastAsia="Times New Roman"/>
              <w:i/>
              <w:iCs/>
              <w:lang w:eastAsia="es-CO"/>
            </w:rPr>
            <w:t xml:space="preserve">CERREJON ZONA NORTE S.A. </w:t>
          </w:r>
        </w:p>
        <w:p w14:paraId="26A39803" w14:textId="77777777" w:rsidR="003D5DB4" w:rsidRPr="00915852" w:rsidRDefault="003D5DB4" w:rsidP="000A5389">
          <w:pPr>
            <w:spacing w:line="240" w:lineRule="auto"/>
            <w:rPr>
              <w:i/>
              <w:iCs/>
            </w:rPr>
          </w:pPr>
        </w:p>
        <w:p w14:paraId="6D0B5F9D" w14:textId="77777777" w:rsidR="003D5DB4" w:rsidRPr="000D0101" w:rsidRDefault="003D5DB4" w:rsidP="000A5389">
          <w:pPr>
            <w:spacing w:line="240" w:lineRule="auto"/>
          </w:pPr>
          <w:r w:rsidRPr="000D0101">
            <w:t>Descripción del Acuerdo</w:t>
          </w:r>
        </w:p>
        <w:p w14:paraId="685FF089" w14:textId="77777777" w:rsidR="003D5DB4" w:rsidRPr="000D0101" w:rsidRDefault="003D5DB4" w:rsidP="000A5389">
          <w:pPr>
            <w:spacing w:line="240" w:lineRule="auto"/>
          </w:pPr>
        </w:p>
        <w:p w14:paraId="439BA431" w14:textId="77777777" w:rsidR="003D5DB4" w:rsidRPr="000D0101" w:rsidRDefault="003D5DB4" w:rsidP="000A5389">
          <w:pPr>
            <w:spacing w:line="240" w:lineRule="auto"/>
          </w:pPr>
          <w:r w:rsidRPr="000D0101">
            <w:t>Número del Acuerdo de concesión: 164 del 09/03/1994</w:t>
          </w:r>
        </w:p>
        <w:p w14:paraId="44F6BF45" w14:textId="77777777" w:rsidR="003D5DB4" w:rsidRPr="000D0101" w:rsidRDefault="003D5DB4" w:rsidP="000A5389">
          <w:pPr>
            <w:spacing w:line="240" w:lineRule="auto"/>
          </w:pPr>
        </w:p>
        <w:p w14:paraId="4914A13E" w14:textId="77777777" w:rsidR="003D5DB4" w:rsidRPr="000D0101" w:rsidRDefault="003D5DB4" w:rsidP="000A5389">
          <w:pPr>
            <w:spacing w:line="240" w:lineRule="auto"/>
          </w:pPr>
          <w:r w:rsidRPr="000D0101">
            <w:t>Objeto / Descripción: En virtud de la Resolución de homologación portuaria y sus modificaciones, se permite al CONCESIONARIO el uso y goce del área de propiedad de la Nación ubicada el puerto Bahía de Portete, Municipio de Uribia, Departamento de la Guajira, para la construcción de un complejo portuario para la explotación y exportación de carbón y todos aquellos productos necesarios para la infraestructura de los proyectos carboníferos y el desarrollo de actividades portuarias de servicio privado</w:t>
          </w:r>
        </w:p>
        <w:p w14:paraId="377AA5EF" w14:textId="77777777" w:rsidR="003D5DB4" w:rsidRPr="000D0101" w:rsidRDefault="003D5DB4" w:rsidP="000A5389">
          <w:pPr>
            <w:spacing w:line="240" w:lineRule="auto"/>
          </w:pPr>
        </w:p>
        <w:p w14:paraId="773C9691" w14:textId="77777777" w:rsidR="003D5DB4" w:rsidRPr="000D0101" w:rsidRDefault="003D5DB4" w:rsidP="000A5389">
          <w:pPr>
            <w:spacing w:line="240" w:lineRule="auto"/>
          </w:pPr>
          <w:r w:rsidRPr="000D0101">
            <w:t>Valor inicial:</w:t>
          </w:r>
          <w:r w:rsidRPr="000D0101">
            <w:tab/>
            <w:t>USD $648.348, 66/ artículo segundo/ Resolución 164 de 1994. USD $83.639.650 artículo cuarto / Resolución 776 de 2014. USD 51.592.512 artículo tercero/ 20233030007875 27 de junio de 2023.</w:t>
          </w:r>
        </w:p>
        <w:p w14:paraId="6A692339" w14:textId="77777777" w:rsidR="003D5DB4" w:rsidRPr="000D0101" w:rsidRDefault="003D5DB4" w:rsidP="000A5389">
          <w:pPr>
            <w:spacing w:line="240" w:lineRule="auto"/>
          </w:pPr>
          <w:r w:rsidRPr="000D0101">
            <w:t>Fecha de inicio: 9/03/1994</w:t>
          </w:r>
        </w:p>
        <w:p w14:paraId="5E7926EF" w14:textId="77777777" w:rsidR="003D5DB4" w:rsidRPr="000D0101" w:rsidRDefault="003D5DB4" w:rsidP="000A5389">
          <w:pPr>
            <w:spacing w:line="240" w:lineRule="auto"/>
          </w:pPr>
          <w:r w:rsidRPr="000D0101">
            <w:t>Fecha de finalización estimada: 1/07/2033</w:t>
          </w:r>
        </w:p>
        <w:p w14:paraId="68D787DF" w14:textId="77777777" w:rsidR="003D5DB4" w:rsidRPr="000D0101" w:rsidRDefault="003D5DB4" w:rsidP="000A5389">
          <w:pPr>
            <w:spacing w:line="240" w:lineRule="auto"/>
          </w:pPr>
          <w:r w:rsidRPr="000D0101">
            <w:t>Tipo ID: NIT</w:t>
          </w:r>
        </w:p>
        <w:p w14:paraId="2F84692E" w14:textId="77777777" w:rsidR="003D5DB4" w:rsidRPr="000D0101" w:rsidRDefault="003D5DB4" w:rsidP="000A5389">
          <w:pPr>
            <w:spacing w:line="240" w:lineRule="auto"/>
          </w:pPr>
          <w:r w:rsidRPr="000D0101">
            <w:t>Número ID:</w:t>
          </w:r>
          <w:r w:rsidRPr="000D0101">
            <w:tab/>
            <w:t>830.078.038-6</w:t>
          </w:r>
        </w:p>
        <w:p w14:paraId="05C3C429" w14:textId="77777777" w:rsidR="003D5DB4" w:rsidRPr="000D0101" w:rsidRDefault="003D5DB4" w:rsidP="000A5389">
          <w:pPr>
            <w:spacing w:line="240" w:lineRule="auto"/>
          </w:pPr>
          <w:r w:rsidRPr="000D0101">
            <w:t>Razón social del concesionario: Cerrejón Zona Norte S.A</w:t>
          </w:r>
        </w:p>
        <w:p w14:paraId="42490015" w14:textId="77777777" w:rsidR="003D5DB4" w:rsidRPr="000D0101" w:rsidRDefault="003D5DB4" w:rsidP="000A5389">
          <w:pPr>
            <w:spacing w:line="240" w:lineRule="auto"/>
          </w:pPr>
          <w:r w:rsidRPr="000D0101">
            <w:t>Nombre del proyecto: Cerrejón Zona Norte S.A</w:t>
          </w:r>
        </w:p>
        <w:p w14:paraId="0594FF66" w14:textId="77777777" w:rsidR="003D5DB4" w:rsidRPr="000D0101" w:rsidRDefault="003D5DB4" w:rsidP="000A5389">
          <w:pPr>
            <w:spacing w:line="240" w:lineRule="auto"/>
          </w:pPr>
        </w:p>
        <w:p w14:paraId="40169065" w14:textId="77777777" w:rsidR="003D5DB4" w:rsidRPr="000D0101" w:rsidRDefault="003D5DB4" w:rsidP="000A5389">
          <w:pPr>
            <w:spacing w:line="240" w:lineRule="auto"/>
          </w:pPr>
          <w:r w:rsidRPr="000D0101">
            <w:t>Términos significativos del Acuerdo que puedan afectar su valor, el calendario y la certeza de los flujos de efectivo futuros</w:t>
          </w:r>
        </w:p>
        <w:p w14:paraId="3CAE5034" w14:textId="77777777" w:rsidR="003D5DB4" w:rsidRPr="000D0101" w:rsidRDefault="003D5DB4" w:rsidP="000A5389">
          <w:pPr>
            <w:spacing w:line="240" w:lineRule="auto"/>
          </w:pPr>
        </w:p>
        <w:p w14:paraId="0647A8BF" w14:textId="77777777" w:rsidR="003D5DB4" w:rsidRPr="000D0101" w:rsidRDefault="003D5DB4" w:rsidP="000A5389">
          <w:pPr>
            <w:spacing w:line="240" w:lineRule="auto"/>
          </w:pPr>
          <w:r w:rsidRPr="000D0101">
            <w:t>Términos de valor:</w:t>
          </w:r>
          <w:r w:rsidRPr="000D0101">
            <w:tab/>
            <w:t xml:space="preserve">1: Tarifas: Al ser el terminal marítimo de servicio privado la Ley 1 de 1991 establece: Las sociedades portuarias que operan puertos de servicio privado podrán fijar libremente sus tarifas, pero mantendrán informada sobre ellas a la Superintendencia General de Puertos hoy Superintendencia de Transporte. </w:t>
          </w:r>
        </w:p>
        <w:p w14:paraId="0621504D" w14:textId="77777777" w:rsidR="003D5DB4" w:rsidRPr="000D0101" w:rsidRDefault="003D5DB4" w:rsidP="000A5389">
          <w:pPr>
            <w:spacing w:line="240" w:lineRule="auto"/>
          </w:pPr>
        </w:p>
        <w:p w14:paraId="47125431" w14:textId="77777777" w:rsidR="003D5DB4" w:rsidRPr="000D0101" w:rsidRDefault="003D5DB4" w:rsidP="000A5389">
          <w:pPr>
            <w:spacing w:line="240" w:lineRule="auto"/>
          </w:pPr>
          <w:r w:rsidRPr="000D0101">
            <w:t>2: Contraprestación portuaria: De acuerdo con el último documento contractual vigente la metodología de contraprestación vigente es CONPES 3744 de 2013 (Componentes Fijo y Variable A febrero de 2025 el CONCESIONARIO debió pagar la suma de USD 9.762.991 El valor correspondiente a la contraprestación por zona de uso público resultará de la diferencia entre el valor de la liquidación total y el valor de la infraestructura. Y el recaudo se realizará de conformidad con la ley 856 de 2003, es decir, ZUP el 80% le corresponde a la Nación Instituto nacional de vías (INVIAS)- ANI y el 20% restante al municipio de Uribia departamento de la Guajira; e INFRAESTRUCTURA en un 100% a la Nación - Instituto Nacional de Vías (INVIAS)- ANI</w:t>
          </w:r>
        </w:p>
        <w:p w14:paraId="2534BAD0" w14:textId="77777777" w:rsidR="003D5DB4" w:rsidRPr="000D0101" w:rsidRDefault="003D5DB4" w:rsidP="000A5389">
          <w:pPr>
            <w:spacing w:line="240" w:lineRule="auto"/>
          </w:pPr>
        </w:p>
        <w:p w14:paraId="72EF7D53" w14:textId="77777777" w:rsidR="003D5DB4" w:rsidRPr="000D0101" w:rsidRDefault="003D5DB4" w:rsidP="000A5389">
          <w:pPr>
            <w:spacing w:line="240" w:lineRule="auto"/>
          </w:pPr>
          <w:r w:rsidRPr="000D0101">
            <w:t>Términos de calendario: 1: Tarifas: Al ser el terminal marítimo de servicio privado la Ley 1 de 1991 establece: Las sociedades portuarias que operan puertos de servicio privado podrán fijar libremente sus tarifas, pero mantendrán informada sobre ellas a la Superintendencia General de Puertos hoy Superintendencia de Transporte.</w:t>
          </w:r>
        </w:p>
        <w:p w14:paraId="68A7C918" w14:textId="77777777" w:rsidR="003D5DB4" w:rsidRPr="000D0101" w:rsidRDefault="003D5DB4" w:rsidP="000A5389">
          <w:pPr>
            <w:spacing w:line="240" w:lineRule="auto"/>
          </w:pPr>
        </w:p>
        <w:p w14:paraId="07DA85F3" w14:textId="77777777" w:rsidR="003D5DB4" w:rsidRPr="000D0101" w:rsidRDefault="003D5DB4" w:rsidP="000A5389">
          <w:pPr>
            <w:spacing w:line="240" w:lineRule="auto"/>
          </w:pPr>
          <w:r w:rsidRPr="000D0101">
            <w:lastRenderedPageBreak/>
            <w:t>2: Contraprestación portuaria: Anexo 2 Conpes 3744 de 2013 “(…) Antes de finalizar los meses de febrero cada concesionario deberá corregir su liquidación del año anterior según el movimiento de carga real y la indexación del valor de referencia por metro cuadrado, del avalúo de la infraestructura concesionada y de los cargos, así como realizar el pago anticipado del año en curso con base en lo proyectado en el FCL definitivo”</w:t>
          </w:r>
        </w:p>
        <w:p w14:paraId="655161CA" w14:textId="77777777" w:rsidR="003D5DB4" w:rsidRPr="000D0101" w:rsidRDefault="003D5DB4" w:rsidP="000A5389">
          <w:pPr>
            <w:spacing w:line="240" w:lineRule="auto"/>
          </w:pPr>
        </w:p>
        <w:p w14:paraId="7E216A28" w14:textId="77777777" w:rsidR="003D5DB4" w:rsidRPr="000D0101" w:rsidRDefault="003D5DB4" w:rsidP="000A5389">
          <w:pPr>
            <w:spacing w:line="240" w:lineRule="auto"/>
          </w:pPr>
          <w:r w:rsidRPr="000D0101">
            <w:t>Términos de certeza de flujos de efectivo futuros: Se otorga a EL CONCESIONARIO el derecho de una concesión portuaria, para que de conformidad con lo previsto en la Ley 1ª de 1991, el Concesionario ocupe de manera temporal y exclusiva, los bienes de uso público descritos en la Sección 6.1 para la construcción, operación, mantenimiento y administración de un terminal marítimo de uso público; a cambio de una contraprestación económica a favor del Concedente, en los términos descritos en la Sección 4.1 de este Contrato, del valor a pagar por concepto de contraprestación por Zona de Uso público el 80% le corresponde a la Nación-INVIAS- Nación y el 20 % al Distrito turístico de Cartagena de Indias y por Infraestructura el 100% a la Nación-INVIAS- ANI</w:t>
          </w:r>
        </w:p>
        <w:p w14:paraId="62F27053" w14:textId="77777777" w:rsidR="003D5DB4" w:rsidRPr="000D0101" w:rsidRDefault="003D5DB4" w:rsidP="000A5389">
          <w:pPr>
            <w:spacing w:line="240" w:lineRule="auto"/>
          </w:pPr>
        </w:p>
        <w:p w14:paraId="09CBFA4B" w14:textId="77777777" w:rsidR="003D5DB4" w:rsidRPr="000D0101" w:rsidRDefault="003D5DB4" w:rsidP="000A5389">
          <w:pPr>
            <w:spacing w:line="240" w:lineRule="auto"/>
          </w:pPr>
          <w:r w:rsidRPr="000D0101">
            <w:t>Naturaleza y alcance del derecho a utilizar Activos y los aspectos pactados en torno a lo que se espera que el concesionario proporcione en relación con el Acuerdo de concesión</w:t>
          </w:r>
        </w:p>
        <w:p w14:paraId="714DD66D" w14:textId="77777777" w:rsidR="003D5DB4" w:rsidRPr="000D0101" w:rsidRDefault="003D5DB4" w:rsidP="000A5389">
          <w:pPr>
            <w:spacing w:line="240" w:lineRule="auto"/>
          </w:pPr>
        </w:p>
        <w:p w14:paraId="522802DE" w14:textId="77777777" w:rsidR="003D5DB4" w:rsidRPr="000D0101" w:rsidRDefault="003D5DB4" w:rsidP="000A5389">
          <w:pPr>
            <w:spacing w:line="240" w:lineRule="auto"/>
          </w:pPr>
          <w:r w:rsidRPr="000D0101">
            <w:t>Naturaleza y alcance del derecho de uso de los Activos</w:t>
          </w:r>
        </w:p>
        <w:p w14:paraId="6402CE72" w14:textId="77777777" w:rsidR="003D5DB4" w:rsidRPr="000D0101" w:rsidRDefault="003D5DB4" w:rsidP="000A5389">
          <w:pPr>
            <w:spacing w:line="240" w:lineRule="auto"/>
          </w:pPr>
        </w:p>
        <w:p w14:paraId="5AB6D669" w14:textId="77777777" w:rsidR="003D5DB4" w:rsidRPr="000D0101" w:rsidRDefault="003D5DB4" w:rsidP="000A5389">
          <w:pPr>
            <w:spacing w:line="240" w:lineRule="auto"/>
          </w:pPr>
          <w:r w:rsidRPr="000D0101">
            <w:t>Descripción:</w:t>
          </w:r>
          <w:r w:rsidRPr="000D0101">
            <w:tab/>
            <w:t>En virtud de la Resolución de homologación portuaria y sus modificaciones, se permite al CONCESIONARIO para el uso y goce del área de propiedad de la Nación ubicada el puerto Bahía de Portete, Municipio de Uribia, Departamento de la Guajira, para la construcción de un complejo portuario para la explotación y exportación de carbón y todos aquellos productos necesarios para la infraestructura de los proyectos carboníferos y el desarrollo de actividades portuarias a cambio de una contraprestación económica. El valor establecido en la contraprestación por zona de uso público corresponde el ochenta (80%) a la Nación- Instituto Nacional de Vías INVIAS- ANI, y el veinte por ciento (20%) restante municipio e Uribia, de acuerdo con lo establecido en el parágrafo 1 del artículo 1 de la Ley 856 del 21 de diciembre de 2003, que modifica el artículo 7 de la Ley 1ª de 1991. En cien por ciento (100%) del valor de la contraprestación por infraestructura le corresponde a la Nación- Instituto Nacional de Vías.</w:t>
          </w:r>
        </w:p>
        <w:p w14:paraId="334C62AC" w14:textId="77777777" w:rsidR="003D5DB4" w:rsidRPr="000D0101" w:rsidRDefault="003D5DB4" w:rsidP="000A5389">
          <w:pPr>
            <w:spacing w:line="240" w:lineRule="auto"/>
          </w:pPr>
        </w:p>
        <w:p w14:paraId="147222E0" w14:textId="77777777" w:rsidR="003D5DB4" w:rsidRPr="000D0101" w:rsidRDefault="003D5DB4" w:rsidP="000A5389">
          <w:pPr>
            <w:spacing w:line="240" w:lineRule="auto"/>
          </w:pPr>
          <w:r w:rsidRPr="000D0101">
            <w:t>Observaciones: NA</w:t>
          </w:r>
        </w:p>
        <w:p w14:paraId="79B09C4D" w14:textId="77777777" w:rsidR="003D5DB4" w:rsidRPr="000D0101" w:rsidRDefault="003D5DB4" w:rsidP="000A5389">
          <w:pPr>
            <w:spacing w:line="240" w:lineRule="auto"/>
          </w:pPr>
        </w:p>
        <w:p w14:paraId="07692745" w14:textId="77777777" w:rsidR="003D5DB4" w:rsidRPr="000D0101" w:rsidRDefault="003D5DB4" w:rsidP="000A5389">
          <w:pPr>
            <w:spacing w:line="240" w:lineRule="auto"/>
          </w:pPr>
          <w:r w:rsidRPr="000D0101">
            <w:t>Retribución al concesionario</w:t>
          </w:r>
        </w:p>
        <w:p w14:paraId="681427C1" w14:textId="77777777" w:rsidR="003D5DB4" w:rsidRPr="000D0101" w:rsidRDefault="003D5DB4" w:rsidP="000A5389">
          <w:pPr>
            <w:spacing w:line="240" w:lineRule="auto"/>
          </w:pPr>
        </w:p>
        <w:p w14:paraId="6845FEF6" w14:textId="77777777" w:rsidR="003D5DB4" w:rsidRPr="000D0101" w:rsidRDefault="003D5DB4" w:rsidP="000A5389">
          <w:pPr>
            <w:spacing w:line="240" w:lineRule="auto"/>
          </w:pPr>
          <w:r w:rsidRPr="000D0101">
            <w:t>Descripción:</w:t>
          </w:r>
          <w:r w:rsidRPr="000D0101">
            <w:tab/>
            <w:t>Descripción: en virtud de la Resolución de homologación portuaria y sus modificaciones, se permite al CONCESIONARIO el uso y goce del área de propiedad de la Nación ubicada el puerto Bahía de Portete, Municipio de Uribia, Departamento de la Guajira, para la construcción de un complejo portuario para la explotación y exportación de carbón y todos aquellos productos necesarios para la infraestructura de los proyectos carboníferos y el desarrollo de actividades portuarias a cambio de una contraprestación económica.</w:t>
          </w:r>
        </w:p>
        <w:p w14:paraId="60531A20" w14:textId="77777777" w:rsidR="003D5DB4" w:rsidRPr="000D0101" w:rsidRDefault="003D5DB4" w:rsidP="000A5389">
          <w:pPr>
            <w:spacing w:line="240" w:lineRule="auto"/>
          </w:pPr>
        </w:p>
        <w:p w14:paraId="6F1E3A01" w14:textId="77777777" w:rsidR="003D5DB4" w:rsidRPr="000D0101" w:rsidRDefault="003D5DB4" w:rsidP="000A5389">
          <w:pPr>
            <w:spacing w:line="240" w:lineRule="auto"/>
          </w:pPr>
          <w:r w:rsidRPr="000D0101">
            <w:t>Tasa de retribución:</w:t>
          </w:r>
          <w:r w:rsidRPr="000D0101">
            <w:tab/>
            <w:t>NA</w:t>
          </w:r>
        </w:p>
        <w:p w14:paraId="75A42648" w14:textId="77777777" w:rsidR="003D5DB4" w:rsidRPr="000D0101" w:rsidRDefault="003D5DB4" w:rsidP="000A5389">
          <w:pPr>
            <w:spacing w:line="240" w:lineRule="auto"/>
          </w:pPr>
        </w:p>
        <w:p w14:paraId="355D83FB" w14:textId="77777777" w:rsidR="003D5DB4" w:rsidRPr="000D0101" w:rsidRDefault="003D5DB4" w:rsidP="000A5389">
          <w:pPr>
            <w:spacing w:line="240" w:lineRule="auto"/>
          </w:pPr>
          <w:r w:rsidRPr="000D0101">
            <w:t>Derechos a recibir Activos especificados al final del acuerdo de concesión</w:t>
          </w:r>
        </w:p>
        <w:p w14:paraId="5F9CF658" w14:textId="77777777" w:rsidR="003D5DB4" w:rsidRPr="000D0101" w:rsidRDefault="003D5DB4" w:rsidP="000A5389">
          <w:pPr>
            <w:spacing w:line="240" w:lineRule="auto"/>
          </w:pPr>
        </w:p>
        <w:p w14:paraId="23A376B8" w14:textId="77777777" w:rsidR="003D5DB4" w:rsidRPr="000D0101" w:rsidRDefault="003D5DB4" w:rsidP="000A5389">
          <w:pPr>
            <w:spacing w:line="240" w:lineRule="auto"/>
          </w:pPr>
          <w:r w:rsidRPr="000D0101">
            <w:t>Descripción:</w:t>
          </w:r>
          <w:r w:rsidRPr="000D0101">
            <w:tab/>
            <w:t>De acuerdo con el Artículo 8º de la Ley 1 de 1991 en el modo portuario el concesionario no tiene derechos finales sobre activos los debe revertir a la Nación al final del contrato de concesión.</w:t>
          </w:r>
        </w:p>
        <w:p w14:paraId="510E4822" w14:textId="77777777" w:rsidR="003D5DB4" w:rsidRPr="000D0101" w:rsidRDefault="003D5DB4" w:rsidP="000A5389">
          <w:pPr>
            <w:spacing w:line="240" w:lineRule="auto"/>
          </w:pPr>
        </w:p>
        <w:p w14:paraId="2BF231A5" w14:textId="77777777" w:rsidR="003D5DB4" w:rsidRPr="000D0101" w:rsidRDefault="003D5DB4" w:rsidP="000A5389">
          <w:pPr>
            <w:spacing w:line="240" w:lineRule="auto"/>
          </w:pPr>
          <w:r w:rsidRPr="000D0101">
            <w:t xml:space="preserve">Observaciones: Reversión: De acuerdo con lo establecido en el Artículo 8º de la Ley 1 de 1991 todas las construcciones e inmuebles por destinación, que se encuentren instalados en la zona de uso público otorgada en concesión revertirán gratuitamente por el Concesionario. </w:t>
          </w:r>
        </w:p>
        <w:p w14:paraId="056752FF" w14:textId="77777777" w:rsidR="003D5DB4" w:rsidRPr="000D0101" w:rsidRDefault="003D5DB4" w:rsidP="000A5389">
          <w:pPr>
            <w:spacing w:line="240" w:lineRule="auto"/>
          </w:pPr>
          <w:r w:rsidRPr="000D0101">
            <w:t xml:space="preserve">Para tal fin, en el momento de la reversión el CONCESIONARIO elaborará un inventario de los bienes y los enviará para su revisión y aprobación. </w:t>
          </w:r>
        </w:p>
        <w:p w14:paraId="67E7C21F" w14:textId="77777777" w:rsidR="003D5DB4" w:rsidRPr="000D0101" w:rsidRDefault="003D5DB4" w:rsidP="000A5389">
          <w:pPr>
            <w:spacing w:line="240" w:lineRule="auto"/>
          </w:pPr>
          <w:r w:rsidRPr="000D0101">
            <w:t>La ANI es la entidad concedente pero la titularidad de los activos al final de la concesión es del Instituto Nacional de Vías INVIAS- ANI</w:t>
          </w:r>
        </w:p>
        <w:p w14:paraId="410F1606" w14:textId="77777777" w:rsidR="003D5DB4" w:rsidRPr="000D0101" w:rsidRDefault="003D5DB4" w:rsidP="000A5389">
          <w:pPr>
            <w:spacing w:line="240" w:lineRule="auto"/>
          </w:pPr>
        </w:p>
        <w:p w14:paraId="7ACCBA32" w14:textId="77777777" w:rsidR="003D5DB4" w:rsidRPr="000D0101" w:rsidRDefault="003D5DB4" w:rsidP="000A5389">
          <w:pPr>
            <w:spacing w:line="240" w:lineRule="auto"/>
          </w:pPr>
          <w:r w:rsidRPr="000D0101">
            <w:t>Las alternativas de renovación y cese del acuerdo</w:t>
          </w:r>
        </w:p>
        <w:p w14:paraId="1B0FFE16" w14:textId="77777777" w:rsidR="003D5DB4" w:rsidRPr="000D0101" w:rsidRDefault="003D5DB4" w:rsidP="000A5389">
          <w:pPr>
            <w:spacing w:line="240" w:lineRule="auto"/>
          </w:pPr>
        </w:p>
        <w:p w14:paraId="4F935773" w14:textId="77777777" w:rsidR="003D5DB4" w:rsidRPr="000D0101" w:rsidRDefault="003D5DB4" w:rsidP="000A5389">
          <w:pPr>
            <w:spacing w:line="240" w:lineRule="auto"/>
          </w:pPr>
          <w:r w:rsidRPr="000D0101">
            <w:t>Descripción:</w:t>
          </w:r>
          <w:r w:rsidRPr="000D0101">
            <w:tab/>
            <w:t>NA</w:t>
          </w:r>
        </w:p>
        <w:p w14:paraId="194AF5DB" w14:textId="77777777" w:rsidR="003D5DB4" w:rsidRPr="000D0101" w:rsidRDefault="003D5DB4" w:rsidP="000A5389">
          <w:pPr>
            <w:spacing w:line="240" w:lineRule="auto"/>
          </w:pPr>
          <w:r w:rsidRPr="000D0101">
            <w:t>Observaciones: No observaciones</w:t>
          </w:r>
        </w:p>
        <w:p w14:paraId="6BC6879B" w14:textId="77777777" w:rsidR="003D5DB4" w:rsidRPr="000D0101" w:rsidRDefault="003D5DB4" w:rsidP="000A5389">
          <w:pPr>
            <w:spacing w:line="240" w:lineRule="auto"/>
          </w:pPr>
        </w:p>
        <w:p w14:paraId="3A4D363A" w14:textId="77777777" w:rsidR="003D5DB4" w:rsidRPr="000D0101" w:rsidRDefault="003D5DB4" w:rsidP="000A5389">
          <w:pPr>
            <w:spacing w:line="240" w:lineRule="auto"/>
          </w:pPr>
          <w:r w:rsidRPr="000D0101">
            <w:t>Cambios en el acuerdo de concesión que se realicen durante el periodo fiscal</w:t>
          </w:r>
        </w:p>
        <w:p w14:paraId="3F261EB8" w14:textId="77777777" w:rsidR="003D5DB4" w:rsidRPr="000D0101" w:rsidRDefault="003D5DB4" w:rsidP="000A5389">
          <w:pPr>
            <w:spacing w:line="240" w:lineRule="auto"/>
          </w:pPr>
        </w:p>
        <w:p w14:paraId="347555E8" w14:textId="77777777" w:rsidR="003D5DB4" w:rsidRPr="000D0101" w:rsidRDefault="003D5DB4" w:rsidP="000A5389">
          <w:pPr>
            <w:spacing w:line="240" w:lineRule="auto"/>
          </w:pPr>
          <w:r w:rsidRPr="000D0101">
            <w:t>Adiciones o modificaciones en tiempo</w:t>
          </w:r>
        </w:p>
        <w:p w14:paraId="146D6FB0" w14:textId="77777777" w:rsidR="003D5DB4" w:rsidRPr="000D0101" w:rsidRDefault="003D5DB4" w:rsidP="000A5389">
          <w:pPr>
            <w:spacing w:line="240" w:lineRule="auto"/>
          </w:pPr>
          <w:r w:rsidRPr="000D0101">
            <w:t>Fechas de las adiciones o modificaciones:</w:t>
          </w:r>
          <w:r w:rsidRPr="000D0101">
            <w:tab/>
            <w:t>Resolución 164 del 9 de marzo 1994</w:t>
          </w:r>
        </w:p>
        <w:p w14:paraId="45627493" w14:textId="77777777" w:rsidR="003D5DB4" w:rsidRPr="000D0101" w:rsidRDefault="003D5DB4" w:rsidP="000A5389">
          <w:pPr>
            <w:spacing w:line="240" w:lineRule="auto"/>
          </w:pPr>
          <w:r w:rsidRPr="000D0101">
            <w:t>Nueva fecha de finalización estimada: 30 de junio de 2033</w:t>
          </w:r>
        </w:p>
        <w:p w14:paraId="6D1F09BC" w14:textId="77777777" w:rsidR="003D5DB4" w:rsidRPr="000D0101" w:rsidRDefault="003D5DB4" w:rsidP="000A5389">
          <w:pPr>
            <w:spacing w:line="240" w:lineRule="auto"/>
          </w:pPr>
          <w:r w:rsidRPr="000D0101">
            <w:t>Observaciones: No observaciones</w:t>
          </w:r>
        </w:p>
        <w:p w14:paraId="5AC5656F" w14:textId="77777777" w:rsidR="003D5DB4" w:rsidRPr="000D0101" w:rsidRDefault="003D5DB4" w:rsidP="000A5389">
          <w:pPr>
            <w:spacing w:line="240" w:lineRule="auto"/>
          </w:pPr>
          <w:r w:rsidRPr="000D0101">
            <w:t>Adiciones o modificaciones en valor</w:t>
          </w:r>
        </w:p>
        <w:p w14:paraId="61D14224" w14:textId="77777777" w:rsidR="003D5DB4" w:rsidRPr="000D0101" w:rsidRDefault="003D5DB4" w:rsidP="000A5389">
          <w:pPr>
            <w:spacing w:line="240" w:lineRule="auto"/>
          </w:pPr>
          <w:r w:rsidRPr="000D0101">
            <w:t>Valor de la adición o modificación: NA</w:t>
          </w:r>
        </w:p>
        <w:p w14:paraId="33E351B8" w14:textId="77777777" w:rsidR="003D5DB4" w:rsidRPr="000D0101" w:rsidRDefault="003D5DB4" w:rsidP="000A5389">
          <w:pPr>
            <w:spacing w:line="240" w:lineRule="auto"/>
          </w:pPr>
          <w:r w:rsidRPr="000D0101">
            <w:t>Nuevo valor del acuerdo: 9.853.931 UDS</w:t>
          </w:r>
        </w:p>
        <w:p w14:paraId="0F71A34F" w14:textId="2ED3FE18" w:rsidR="003D5DB4" w:rsidRPr="000D0101" w:rsidRDefault="003D5DB4" w:rsidP="000A5389">
          <w:pPr>
            <w:spacing w:line="240" w:lineRule="auto"/>
            <w:rPr>
              <w:rFonts w:eastAsia="Times New Roman"/>
              <w:lang w:eastAsia="es-CO"/>
            </w:rPr>
          </w:pPr>
          <w:r w:rsidRPr="000D0101">
            <w:t>Observaciones: No observaciones</w:t>
          </w:r>
        </w:p>
        <w:p w14:paraId="1592CAC5" w14:textId="77777777" w:rsidR="003D5DB4" w:rsidRPr="000D0101" w:rsidRDefault="003D5DB4" w:rsidP="000A5389">
          <w:pPr>
            <w:spacing w:line="240" w:lineRule="auto"/>
            <w:rPr>
              <w:rFonts w:eastAsia="Times New Roman"/>
              <w:lang w:eastAsia="es-CO"/>
            </w:rPr>
          </w:pPr>
        </w:p>
        <w:p w14:paraId="3B799C77" w14:textId="77777777" w:rsidR="003D5DB4" w:rsidRPr="000D0101" w:rsidRDefault="003D5DB4" w:rsidP="000A5389">
          <w:pPr>
            <w:spacing w:line="240" w:lineRule="auto"/>
            <w:rPr>
              <w:rFonts w:eastAsia="Times New Roman"/>
              <w:lang w:eastAsia="es-CO"/>
            </w:rPr>
          </w:pPr>
        </w:p>
        <w:p w14:paraId="43746436" w14:textId="77777777" w:rsidR="003D5DB4" w:rsidRPr="00915852" w:rsidRDefault="003D5DB4" w:rsidP="000A5389">
          <w:pPr>
            <w:spacing w:line="240" w:lineRule="auto"/>
            <w:rPr>
              <w:rFonts w:eastAsia="Times New Roman"/>
              <w:i/>
              <w:iCs/>
              <w:lang w:eastAsia="es-CO"/>
            </w:rPr>
          </w:pPr>
          <w:r w:rsidRPr="00915852">
            <w:rPr>
              <w:rFonts w:eastAsia="Times New Roman"/>
              <w:i/>
              <w:iCs/>
              <w:lang w:eastAsia="es-CO"/>
            </w:rPr>
            <w:t>COMPAÑIA DE PUERTOS ASOCIADOS S.A. COMPAS - Terminal Buenaventura</w:t>
          </w:r>
        </w:p>
        <w:p w14:paraId="6335436E" w14:textId="77777777" w:rsidR="003D5DB4" w:rsidRPr="000D0101" w:rsidRDefault="003D5DB4" w:rsidP="000A5389">
          <w:pPr>
            <w:spacing w:line="240" w:lineRule="auto"/>
          </w:pPr>
        </w:p>
        <w:p w14:paraId="0D68CEAC" w14:textId="77777777" w:rsidR="003D5DB4" w:rsidRPr="000D0101" w:rsidRDefault="003D5DB4" w:rsidP="000A5389">
          <w:pPr>
            <w:spacing w:line="240" w:lineRule="auto"/>
          </w:pPr>
          <w:r w:rsidRPr="000D0101">
            <w:t>Descripción del Acuerdo</w:t>
          </w:r>
        </w:p>
        <w:p w14:paraId="08CD4BB1" w14:textId="77777777" w:rsidR="003D5DB4" w:rsidRPr="000D0101" w:rsidRDefault="003D5DB4" w:rsidP="000A5389">
          <w:pPr>
            <w:spacing w:line="240" w:lineRule="auto"/>
          </w:pPr>
        </w:p>
        <w:p w14:paraId="46DD8969" w14:textId="77777777" w:rsidR="003D5DB4" w:rsidRPr="000D0101" w:rsidRDefault="003D5DB4" w:rsidP="000A5389">
          <w:pPr>
            <w:spacing w:line="240" w:lineRule="auto"/>
          </w:pPr>
          <w:r w:rsidRPr="000D0101">
            <w:t>Número del Acuerdo de concesión: 024 de 1999</w:t>
          </w:r>
        </w:p>
        <w:p w14:paraId="3BED5F41" w14:textId="77777777" w:rsidR="003D5DB4" w:rsidRPr="000D0101" w:rsidRDefault="003D5DB4" w:rsidP="000A5389">
          <w:pPr>
            <w:spacing w:line="240" w:lineRule="auto"/>
          </w:pPr>
        </w:p>
        <w:p w14:paraId="1C6C1FDA" w14:textId="77777777" w:rsidR="003D5DB4" w:rsidRPr="000D0101" w:rsidRDefault="003D5DB4" w:rsidP="000A5389">
          <w:pPr>
            <w:spacing w:line="240" w:lineRule="auto"/>
          </w:pPr>
          <w:r w:rsidRPr="000D0101">
            <w:t xml:space="preserve">Objeto / Descripción: En virtud del contrato de concesión y sus modificaciones, se permite al CONCESIONARIO la ocupación en forma temporal y exclusiva de una zona de playas, de bajamar y aguas marítimas accesorias, para la construcción, operación y el desarrollo de </w:t>
          </w:r>
          <w:r w:rsidRPr="000D0101">
            <w:lastRenderedPageBreak/>
            <w:t>actividades portuarias de servicio público, conforme lo establece la Clausula Primera del contrato.</w:t>
          </w:r>
        </w:p>
        <w:p w14:paraId="7B0E9C7F" w14:textId="77777777" w:rsidR="003D5DB4" w:rsidRPr="000D0101" w:rsidRDefault="003D5DB4" w:rsidP="000A5389">
          <w:pPr>
            <w:spacing w:line="240" w:lineRule="auto"/>
          </w:pPr>
        </w:p>
        <w:p w14:paraId="7A96BE14" w14:textId="77777777" w:rsidR="003D5DB4" w:rsidRPr="000D0101" w:rsidRDefault="003D5DB4" w:rsidP="000A5389">
          <w:pPr>
            <w:spacing w:line="240" w:lineRule="auto"/>
          </w:pPr>
          <w:r w:rsidRPr="000D0101">
            <w:t>Valor inicial:</w:t>
          </w:r>
          <w:r w:rsidRPr="000D0101">
            <w:tab/>
            <w:t>USD 715.776,79 Cláusula Décima Primera/Contrato No. 024 de 1999.</w:t>
          </w:r>
        </w:p>
        <w:p w14:paraId="0406EE8B" w14:textId="77777777" w:rsidR="003D5DB4" w:rsidRPr="000D0101" w:rsidRDefault="003D5DB4" w:rsidP="000A5389">
          <w:pPr>
            <w:spacing w:line="240" w:lineRule="auto"/>
          </w:pPr>
          <w:r w:rsidRPr="000D0101">
            <w:t>Fecha de inicio: 22/10/1999</w:t>
          </w:r>
        </w:p>
        <w:p w14:paraId="18FA05EB" w14:textId="77777777" w:rsidR="003D5DB4" w:rsidRPr="000D0101" w:rsidRDefault="003D5DB4" w:rsidP="000A5389">
          <w:pPr>
            <w:spacing w:line="240" w:lineRule="auto"/>
          </w:pPr>
          <w:r w:rsidRPr="000D0101">
            <w:t>Fecha de finalización estimada: 21/11/2041</w:t>
          </w:r>
        </w:p>
        <w:p w14:paraId="4AC1BD6C" w14:textId="77777777" w:rsidR="003D5DB4" w:rsidRPr="000D0101" w:rsidRDefault="003D5DB4" w:rsidP="000A5389">
          <w:pPr>
            <w:spacing w:line="240" w:lineRule="auto"/>
          </w:pPr>
          <w:r w:rsidRPr="000D0101">
            <w:t>Tipo ID: NIT</w:t>
          </w:r>
        </w:p>
        <w:p w14:paraId="058CA2CB" w14:textId="77777777" w:rsidR="003D5DB4" w:rsidRPr="000D0101" w:rsidRDefault="003D5DB4" w:rsidP="000A5389">
          <w:pPr>
            <w:spacing w:line="240" w:lineRule="auto"/>
          </w:pPr>
          <w:r w:rsidRPr="000D0101">
            <w:t>Número ID: 800156044-6</w:t>
          </w:r>
        </w:p>
        <w:p w14:paraId="7F4DEEF4" w14:textId="77777777" w:rsidR="003D5DB4" w:rsidRPr="000D0101" w:rsidRDefault="003D5DB4" w:rsidP="000A5389">
          <w:pPr>
            <w:spacing w:line="240" w:lineRule="auto"/>
          </w:pPr>
          <w:r w:rsidRPr="000D0101">
            <w:t>Razón social del concesionario: Sociedad COMPAÑIA DE PUERTOS ASOCIADOS S.A. - COMPAS</w:t>
          </w:r>
        </w:p>
        <w:p w14:paraId="6BD50318" w14:textId="77777777" w:rsidR="003D5DB4" w:rsidRPr="000D0101" w:rsidRDefault="003D5DB4" w:rsidP="000A5389">
          <w:pPr>
            <w:spacing w:line="240" w:lineRule="auto"/>
          </w:pPr>
          <w:r w:rsidRPr="000D0101">
            <w:t>Nombre del proyecto: Sociedad COMPAÑIA DE PUERTOS ASOCIADOS S.A. - COMPAS</w:t>
          </w:r>
        </w:p>
        <w:p w14:paraId="65E4A4AE" w14:textId="77777777" w:rsidR="003D5DB4" w:rsidRPr="000D0101" w:rsidRDefault="003D5DB4" w:rsidP="000A5389">
          <w:pPr>
            <w:spacing w:line="240" w:lineRule="auto"/>
          </w:pPr>
        </w:p>
        <w:p w14:paraId="0F8E95E2" w14:textId="77777777" w:rsidR="003D5DB4" w:rsidRPr="000D0101" w:rsidRDefault="003D5DB4" w:rsidP="000A5389">
          <w:pPr>
            <w:spacing w:line="240" w:lineRule="auto"/>
          </w:pPr>
          <w:r w:rsidRPr="000D0101">
            <w:t>Términos significativos del Acuerdo que puedan afectar su valor, el calendario y la certeza de los flujos de efectivo futuros</w:t>
          </w:r>
        </w:p>
        <w:p w14:paraId="6C18BD71" w14:textId="77777777" w:rsidR="003D5DB4" w:rsidRPr="000D0101" w:rsidRDefault="003D5DB4" w:rsidP="000A5389">
          <w:pPr>
            <w:spacing w:line="240" w:lineRule="auto"/>
          </w:pPr>
        </w:p>
        <w:p w14:paraId="0C2876B0" w14:textId="77777777" w:rsidR="003D5DB4" w:rsidRPr="000D0101" w:rsidRDefault="003D5DB4" w:rsidP="000A5389">
          <w:pPr>
            <w:spacing w:line="240" w:lineRule="auto"/>
          </w:pPr>
          <w:r w:rsidRPr="000D0101">
            <w:t>Términos de valor:</w:t>
          </w:r>
          <w:r w:rsidRPr="000D0101">
            <w:tab/>
            <w:t>1. Tarifas: Al ser el terminal marítimo de servicio público la Ley 1 de 1991 establece: Las sociedades portuarias que operan puertos de servicio público las tarifas requieren ser aprobadas según la metodología establecida por la Superintendencia General de Puertos hoy Superintendencia de Transporte.2. Contraprestación portuaria: De acuerdo con el último documento contractual vigente la metodología de contraprestación vigente es CONPES 3744 de 2013 (Componentes Fijo y Variable). A febrero de 2023 el CONCESIONARIO debió pagar la suma de USD 2.580.841. El valor correspondiente a la contraprestación por zona de uso público resultará de la diferencia entre el valor de la liquidación total y el valor de la infraestructura. Y el recaudo se realizará de conformidad con la ley 856 de 2003, es decir, ZUP el 80% le corresponde a la Nación Instituto nacional de vías (INVIAS) y el 20% restante al Municipio de Buenaventura; e INFRAESTRUCTURA en un 100% a la Nación - Instituto Nacional de Vías (INVIAS). 3. Plan de Inversiones: de acuerdo con lo establecido en el Otrosí No. 6 de 2021 en la Cláusula Tercera, el plan de inversiones es por valor de USD$ 8.597.979 constantes de diciembre de 2020. 4. Obligaciones del CONCESIONARIO: se encuentran descritas en la cláusula décima segunda del Contrato de Concesión. 5. Multas y sanciones: están establecidas en la cláusula décima primera del Otrosí No. 6 de 2021. 6. Penal pecuniaria: En la cláusula décima sexta se establece que en el evento en que la ANI declare la caducidad o el incumplimiento del presente contrato se podrá imponer una penalidad pecuniaria equivalente al 10% del valor total de la contraprestación.</w:t>
          </w:r>
        </w:p>
        <w:p w14:paraId="075E014D" w14:textId="77777777" w:rsidR="003D5DB4" w:rsidRPr="000D0101" w:rsidRDefault="003D5DB4" w:rsidP="000A5389">
          <w:pPr>
            <w:spacing w:line="240" w:lineRule="auto"/>
          </w:pPr>
        </w:p>
        <w:p w14:paraId="3C64A5C3" w14:textId="77777777" w:rsidR="003D5DB4" w:rsidRPr="000D0101" w:rsidRDefault="003D5DB4" w:rsidP="000A5389">
          <w:pPr>
            <w:spacing w:line="240" w:lineRule="auto"/>
          </w:pPr>
          <w:r w:rsidRPr="000D0101">
            <w:t>Términos de calendario: 1. Tarifas: Aprobadas según la metodología establecida por la Superintendencia General de Puertos hoy Superintendencia de Transporte.2. Contraprestación portuaria: la contraprestación se debe pagar de manera anual anticipada desde el mes de febrero de cada año. 3. Plan de inversiones: establecido en el Otrosí No. 6 de 2021 en la Cláusula Tercera 7. Multas: están establecidas en la cláusula décima primera del Otrosí No. 6 de 2021.</w:t>
          </w:r>
        </w:p>
        <w:p w14:paraId="7C380BEB" w14:textId="77777777" w:rsidR="003D5DB4" w:rsidRPr="000D0101" w:rsidRDefault="003D5DB4" w:rsidP="000A5389">
          <w:pPr>
            <w:spacing w:line="240" w:lineRule="auto"/>
          </w:pPr>
        </w:p>
        <w:p w14:paraId="0D2E2DA9" w14:textId="77777777" w:rsidR="003D5DB4" w:rsidRPr="000D0101" w:rsidRDefault="003D5DB4" w:rsidP="000A5389">
          <w:pPr>
            <w:spacing w:line="240" w:lineRule="auto"/>
          </w:pPr>
          <w:r w:rsidRPr="000D0101">
            <w:lastRenderedPageBreak/>
            <w:t>Términos de certeza de flujos de efectivo futuros: Se permite al CONCESIONARIO la ocupación en forma temporal y exclusiva de una zona de playas, de bajamar y aguas marítimas accesorias, para la construcción, operación y el desarrollo de actividades portuarias de servicio público, conforme lo establece la Cláusula Primera del Contrato. Cláusula Décima Primera, Parágrafo Primero, El Ochenta Por Ciento (80%) del valor de la contraprestación le corresponde a La Nación y el Veinte Por Ciento (20%) del valor de la contraprestación le corresponde al municipio de Buenaventura, conforme lo establece el Artículo 7° Numeral1° de la Ley 1" de 1991.</w:t>
          </w:r>
        </w:p>
        <w:p w14:paraId="3F9A6677" w14:textId="77777777" w:rsidR="003D5DB4" w:rsidRPr="000D0101" w:rsidRDefault="003D5DB4" w:rsidP="000A5389">
          <w:pPr>
            <w:spacing w:line="240" w:lineRule="auto"/>
          </w:pPr>
        </w:p>
        <w:p w14:paraId="2159B44E" w14:textId="77777777" w:rsidR="003D5DB4" w:rsidRPr="000D0101" w:rsidRDefault="003D5DB4" w:rsidP="000A5389">
          <w:pPr>
            <w:spacing w:line="240" w:lineRule="auto"/>
          </w:pPr>
          <w:r w:rsidRPr="000D0101">
            <w:t>Naturaleza y alcance del derecho a utilizar Activos y los aspectos pactados en torno a lo que se espera que el concesionario proporcione en relación con el Acuerdo de concesión</w:t>
          </w:r>
        </w:p>
        <w:p w14:paraId="0966DC58" w14:textId="77777777" w:rsidR="003D5DB4" w:rsidRPr="000D0101" w:rsidRDefault="003D5DB4" w:rsidP="000A5389">
          <w:pPr>
            <w:spacing w:line="240" w:lineRule="auto"/>
          </w:pPr>
        </w:p>
        <w:p w14:paraId="4A1FE4CC" w14:textId="77777777" w:rsidR="003D5DB4" w:rsidRPr="000D0101" w:rsidRDefault="003D5DB4" w:rsidP="000A5389">
          <w:pPr>
            <w:spacing w:line="240" w:lineRule="auto"/>
          </w:pPr>
          <w:r w:rsidRPr="000D0101">
            <w:t>Naturaleza y alcance del derecho de uso de los Activos</w:t>
          </w:r>
        </w:p>
        <w:p w14:paraId="4499553A" w14:textId="77777777" w:rsidR="003D5DB4" w:rsidRPr="000D0101" w:rsidRDefault="003D5DB4" w:rsidP="000A5389">
          <w:pPr>
            <w:spacing w:line="240" w:lineRule="auto"/>
          </w:pPr>
        </w:p>
        <w:p w14:paraId="49677A38" w14:textId="77777777" w:rsidR="003D5DB4" w:rsidRPr="000D0101" w:rsidRDefault="003D5DB4" w:rsidP="000A5389">
          <w:pPr>
            <w:spacing w:line="240" w:lineRule="auto"/>
          </w:pPr>
          <w:r w:rsidRPr="000D0101">
            <w:t>Descripción:</w:t>
          </w:r>
          <w:r w:rsidRPr="000D0101">
            <w:tab/>
            <w:t>Descripción del proyecto, especificaciones técnicas, modalidades de operación: las condiciones especiales de operación del puerto están establecidas en la Cláusula Cuarta. Área entregada en concesión: La descripción de la ubicación, linderos y extensión de los bienes de uso público (playas y terrenos de baja mar, zonas marítimas accesorias de maniobras) entregados en concesión están establecidos en la Cláusula Primera del Otrosí No. 1 de 2003.Infraestructura y equipos entregados en concesión: En el contrato de concesión portuaria no fueron entregados activos relacionados con infraestructura y equipos, el plan de inversiones desarrolla la infraestructura y la adquisición de equipos para su posterior reversión a la Nación.</w:t>
          </w:r>
        </w:p>
        <w:p w14:paraId="21C8A29E" w14:textId="77777777" w:rsidR="003D5DB4" w:rsidRPr="000D0101" w:rsidRDefault="003D5DB4" w:rsidP="000A5389">
          <w:pPr>
            <w:spacing w:line="240" w:lineRule="auto"/>
          </w:pPr>
        </w:p>
        <w:p w14:paraId="29134CEF" w14:textId="77777777" w:rsidR="003D5DB4" w:rsidRPr="000D0101" w:rsidRDefault="003D5DB4" w:rsidP="000A5389">
          <w:pPr>
            <w:spacing w:line="240" w:lineRule="auto"/>
          </w:pPr>
          <w:r w:rsidRPr="000D0101">
            <w:t>Observaciones: NA</w:t>
          </w:r>
        </w:p>
        <w:p w14:paraId="647B35E1" w14:textId="77777777" w:rsidR="003D5DB4" w:rsidRPr="000D0101" w:rsidRDefault="003D5DB4" w:rsidP="000A5389">
          <w:pPr>
            <w:spacing w:line="240" w:lineRule="auto"/>
          </w:pPr>
        </w:p>
        <w:p w14:paraId="65CED666" w14:textId="77777777" w:rsidR="003D5DB4" w:rsidRPr="000D0101" w:rsidRDefault="003D5DB4" w:rsidP="000A5389">
          <w:pPr>
            <w:spacing w:line="240" w:lineRule="auto"/>
          </w:pPr>
          <w:r w:rsidRPr="000D0101">
            <w:t>Retribución al concesionario</w:t>
          </w:r>
        </w:p>
        <w:p w14:paraId="4B03E2D7" w14:textId="77777777" w:rsidR="003D5DB4" w:rsidRPr="000D0101" w:rsidRDefault="003D5DB4" w:rsidP="000A5389">
          <w:pPr>
            <w:spacing w:line="240" w:lineRule="auto"/>
          </w:pPr>
        </w:p>
        <w:p w14:paraId="6F223F80" w14:textId="77777777" w:rsidR="003D5DB4" w:rsidRPr="000D0101" w:rsidRDefault="003D5DB4" w:rsidP="000A5389">
          <w:pPr>
            <w:spacing w:line="240" w:lineRule="auto"/>
          </w:pPr>
          <w:r w:rsidRPr="000D0101">
            <w:t>Descripción:</w:t>
          </w:r>
          <w:r w:rsidRPr="000D0101">
            <w:tab/>
            <w:t>Cláusula primera Contrato 024 de 1999: Se otorga a EL CONCESIONARIO el derecho de ocupar y utilizar en forma temporal y exclusiva las playas, los terrenos de bajamar y zonas accesorias a aquellas o estos, descritos en la cláusula segunda del contrato, a cambio de la contraprestación económica.</w:t>
          </w:r>
        </w:p>
        <w:p w14:paraId="0FEAF2D6" w14:textId="77777777" w:rsidR="003D5DB4" w:rsidRPr="000D0101" w:rsidRDefault="003D5DB4" w:rsidP="000A5389">
          <w:pPr>
            <w:spacing w:line="240" w:lineRule="auto"/>
          </w:pPr>
        </w:p>
        <w:p w14:paraId="4372AD6B" w14:textId="77777777" w:rsidR="003D5DB4" w:rsidRPr="000D0101" w:rsidRDefault="003D5DB4" w:rsidP="000A5389">
          <w:pPr>
            <w:spacing w:line="240" w:lineRule="auto"/>
          </w:pPr>
          <w:r w:rsidRPr="000D0101">
            <w:t>Tasa de retribución:</w:t>
          </w:r>
          <w:r w:rsidRPr="000D0101">
            <w:tab/>
            <w:t>NA</w:t>
          </w:r>
        </w:p>
        <w:p w14:paraId="2173CC1F" w14:textId="77777777" w:rsidR="003D5DB4" w:rsidRPr="000D0101" w:rsidRDefault="003D5DB4" w:rsidP="000A5389">
          <w:pPr>
            <w:spacing w:line="240" w:lineRule="auto"/>
          </w:pPr>
        </w:p>
        <w:p w14:paraId="726A8A77" w14:textId="77777777" w:rsidR="003D5DB4" w:rsidRPr="000D0101" w:rsidRDefault="003D5DB4" w:rsidP="000A5389">
          <w:pPr>
            <w:spacing w:line="240" w:lineRule="auto"/>
          </w:pPr>
          <w:r w:rsidRPr="000D0101">
            <w:t>Derechos a recibir Activos especificados al final del acuerdo de concesión</w:t>
          </w:r>
        </w:p>
        <w:p w14:paraId="7C4EE2D3" w14:textId="77777777" w:rsidR="003D5DB4" w:rsidRPr="000D0101" w:rsidRDefault="003D5DB4" w:rsidP="000A5389">
          <w:pPr>
            <w:spacing w:line="240" w:lineRule="auto"/>
          </w:pPr>
        </w:p>
        <w:p w14:paraId="7960B28F" w14:textId="77777777" w:rsidR="003D5DB4" w:rsidRPr="000D0101" w:rsidRDefault="003D5DB4" w:rsidP="000A5389">
          <w:pPr>
            <w:spacing w:line="240" w:lineRule="auto"/>
          </w:pPr>
          <w:r w:rsidRPr="000D0101">
            <w:t>Descripción:</w:t>
          </w:r>
          <w:r w:rsidRPr="000D0101">
            <w:tab/>
            <w:t>De acuerdo con el Artículo 8º de la Ley 1 de 1991 en el modo portuario el concesionario no tiene derechos finales sobre activos los debe revertir a la Nación al final del contrato de concesión.</w:t>
          </w:r>
        </w:p>
        <w:p w14:paraId="0DAF062C" w14:textId="77777777" w:rsidR="003D5DB4" w:rsidRPr="000D0101" w:rsidRDefault="003D5DB4" w:rsidP="000A5389">
          <w:pPr>
            <w:spacing w:line="240" w:lineRule="auto"/>
          </w:pPr>
        </w:p>
        <w:p w14:paraId="0E8C80F5" w14:textId="77777777" w:rsidR="003D5DB4" w:rsidRPr="000D0101" w:rsidRDefault="003D5DB4" w:rsidP="000A5389">
          <w:pPr>
            <w:spacing w:line="240" w:lineRule="auto"/>
          </w:pPr>
          <w:r w:rsidRPr="000D0101">
            <w:t>Observaciones: NA</w:t>
          </w:r>
        </w:p>
        <w:p w14:paraId="3F3BE89B" w14:textId="77777777" w:rsidR="003D5DB4" w:rsidRPr="000D0101" w:rsidRDefault="003D5DB4" w:rsidP="000A5389">
          <w:pPr>
            <w:spacing w:line="240" w:lineRule="auto"/>
          </w:pPr>
        </w:p>
        <w:p w14:paraId="78576596" w14:textId="77777777" w:rsidR="003D5DB4" w:rsidRPr="000D0101" w:rsidRDefault="003D5DB4" w:rsidP="000A5389">
          <w:pPr>
            <w:spacing w:line="240" w:lineRule="auto"/>
          </w:pPr>
          <w:r w:rsidRPr="000D0101">
            <w:t>Las alternativas de renovación y cese del acuerdo</w:t>
          </w:r>
        </w:p>
        <w:p w14:paraId="4BE11F2E" w14:textId="77777777" w:rsidR="003D5DB4" w:rsidRPr="000D0101" w:rsidRDefault="003D5DB4" w:rsidP="000A5389">
          <w:pPr>
            <w:spacing w:line="240" w:lineRule="auto"/>
          </w:pPr>
        </w:p>
        <w:p w14:paraId="167612F0" w14:textId="77777777" w:rsidR="003D5DB4" w:rsidRPr="000D0101" w:rsidRDefault="003D5DB4" w:rsidP="000A5389">
          <w:pPr>
            <w:spacing w:line="240" w:lineRule="auto"/>
          </w:pPr>
          <w:r w:rsidRPr="000D0101">
            <w:t>Descripción:</w:t>
          </w:r>
          <w:r w:rsidRPr="000D0101">
            <w:tab/>
            <w:t>NA</w:t>
          </w:r>
        </w:p>
        <w:p w14:paraId="70A3D436" w14:textId="77777777" w:rsidR="003D5DB4" w:rsidRPr="000D0101" w:rsidRDefault="003D5DB4" w:rsidP="000A5389">
          <w:pPr>
            <w:spacing w:line="240" w:lineRule="auto"/>
          </w:pPr>
          <w:r w:rsidRPr="000D0101">
            <w:t>Observaciones: NA</w:t>
          </w:r>
        </w:p>
        <w:p w14:paraId="58111A65" w14:textId="77777777" w:rsidR="003D5DB4" w:rsidRPr="000D0101" w:rsidRDefault="003D5DB4" w:rsidP="000A5389">
          <w:pPr>
            <w:spacing w:line="240" w:lineRule="auto"/>
          </w:pPr>
        </w:p>
        <w:p w14:paraId="232E7B6C" w14:textId="77777777" w:rsidR="003D5DB4" w:rsidRPr="000D0101" w:rsidRDefault="003D5DB4" w:rsidP="000A5389">
          <w:pPr>
            <w:spacing w:line="240" w:lineRule="auto"/>
          </w:pPr>
          <w:r w:rsidRPr="000D0101">
            <w:t>Cambios en el acuerdo de concesión que se realicen durante el periodo fiscal</w:t>
          </w:r>
        </w:p>
        <w:p w14:paraId="494192D5" w14:textId="77777777" w:rsidR="003D5DB4" w:rsidRPr="000D0101" w:rsidRDefault="003D5DB4" w:rsidP="000A5389">
          <w:pPr>
            <w:spacing w:line="240" w:lineRule="auto"/>
          </w:pPr>
        </w:p>
        <w:p w14:paraId="73AAE2D9" w14:textId="77777777" w:rsidR="003D5DB4" w:rsidRPr="000D0101" w:rsidRDefault="003D5DB4" w:rsidP="000A5389">
          <w:pPr>
            <w:spacing w:line="240" w:lineRule="auto"/>
          </w:pPr>
          <w:r w:rsidRPr="000D0101">
            <w:t>Adiciones o modificaciones en tiempo</w:t>
          </w:r>
        </w:p>
        <w:p w14:paraId="7DCD8721" w14:textId="77777777" w:rsidR="003D5DB4" w:rsidRPr="000D0101" w:rsidRDefault="003D5DB4" w:rsidP="000A5389">
          <w:pPr>
            <w:spacing w:line="240" w:lineRule="auto"/>
          </w:pPr>
        </w:p>
        <w:p w14:paraId="50C5F732" w14:textId="77777777" w:rsidR="003D5DB4" w:rsidRPr="000D0101" w:rsidRDefault="003D5DB4" w:rsidP="000A5389">
          <w:pPr>
            <w:spacing w:line="240" w:lineRule="auto"/>
          </w:pPr>
          <w:r w:rsidRPr="000D0101">
            <w:t>Fechas de las adiciones o modificaciones:</w:t>
          </w:r>
          <w:r w:rsidRPr="000D0101">
            <w:tab/>
            <w:t>NA</w:t>
          </w:r>
        </w:p>
        <w:p w14:paraId="55A91CE5" w14:textId="77777777" w:rsidR="003D5DB4" w:rsidRPr="000D0101" w:rsidRDefault="003D5DB4" w:rsidP="000A5389">
          <w:pPr>
            <w:spacing w:line="240" w:lineRule="auto"/>
          </w:pPr>
          <w:r w:rsidRPr="000D0101">
            <w:t>Nueva fecha de finalización estimada: NA</w:t>
          </w:r>
        </w:p>
        <w:p w14:paraId="53C64DF7" w14:textId="77777777" w:rsidR="003D5DB4" w:rsidRPr="000D0101" w:rsidRDefault="003D5DB4" w:rsidP="000A5389">
          <w:pPr>
            <w:spacing w:line="240" w:lineRule="auto"/>
          </w:pPr>
          <w:r w:rsidRPr="000D0101">
            <w:t>Observaciones: NA</w:t>
          </w:r>
        </w:p>
        <w:p w14:paraId="79A9CF39" w14:textId="77777777" w:rsidR="003D5DB4" w:rsidRPr="000D0101" w:rsidRDefault="003D5DB4" w:rsidP="000A5389">
          <w:pPr>
            <w:spacing w:line="240" w:lineRule="auto"/>
          </w:pPr>
          <w:r w:rsidRPr="000D0101">
            <w:t>Adiciones o modificaciones en valor</w:t>
          </w:r>
        </w:p>
        <w:p w14:paraId="027FBD64" w14:textId="77777777" w:rsidR="003D5DB4" w:rsidRPr="000D0101" w:rsidRDefault="003D5DB4" w:rsidP="000A5389">
          <w:pPr>
            <w:spacing w:line="240" w:lineRule="auto"/>
          </w:pPr>
          <w:r w:rsidRPr="000D0101">
            <w:t>Valor de la adición o modificación: NA</w:t>
          </w:r>
        </w:p>
        <w:p w14:paraId="79914638" w14:textId="77777777" w:rsidR="003D5DB4" w:rsidRPr="000D0101" w:rsidRDefault="003D5DB4" w:rsidP="000A5389">
          <w:pPr>
            <w:spacing w:line="240" w:lineRule="auto"/>
          </w:pPr>
          <w:r w:rsidRPr="000D0101">
            <w:t>Nuevo valor del acuerdo: NA</w:t>
          </w:r>
        </w:p>
        <w:p w14:paraId="553FC895" w14:textId="77777777" w:rsidR="003D5DB4" w:rsidRPr="000D0101" w:rsidRDefault="003D5DB4" w:rsidP="000A5389">
          <w:pPr>
            <w:spacing w:line="240" w:lineRule="auto"/>
          </w:pPr>
          <w:r w:rsidRPr="000D0101">
            <w:t>Observaciones: NA</w:t>
          </w:r>
        </w:p>
        <w:p w14:paraId="0AFEDED0" w14:textId="77777777" w:rsidR="003D5DB4" w:rsidRPr="000D0101" w:rsidRDefault="003D5DB4" w:rsidP="000A5389">
          <w:pPr>
            <w:spacing w:line="240" w:lineRule="auto"/>
            <w:rPr>
              <w:rFonts w:eastAsia="Times New Roman"/>
            </w:rPr>
          </w:pPr>
        </w:p>
        <w:p w14:paraId="6EB68D81" w14:textId="77777777" w:rsidR="003D5DB4" w:rsidRPr="000D0101" w:rsidRDefault="003D5DB4" w:rsidP="000A5389">
          <w:pPr>
            <w:spacing w:line="240" w:lineRule="auto"/>
            <w:rPr>
              <w:rFonts w:eastAsia="Times New Roman"/>
            </w:rPr>
          </w:pPr>
        </w:p>
        <w:p w14:paraId="6C5F73B0" w14:textId="77777777" w:rsidR="003D5DB4" w:rsidRPr="00915852" w:rsidRDefault="003D5DB4" w:rsidP="000A5389">
          <w:pPr>
            <w:spacing w:line="240" w:lineRule="auto"/>
            <w:rPr>
              <w:i/>
              <w:iCs/>
            </w:rPr>
          </w:pPr>
          <w:r w:rsidRPr="00915852">
            <w:rPr>
              <w:rFonts w:eastAsia="Times New Roman"/>
              <w:i/>
              <w:iCs/>
              <w:lang w:eastAsia="es-CO"/>
            </w:rPr>
            <w:t xml:space="preserve">COMPAÑIA DE PUERTOS ASOCIADOS S.A. </w:t>
          </w:r>
          <w:r w:rsidRPr="00915852">
            <w:rPr>
              <w:i/>
              <w:iCs/>
            </w:rPr>
            <w:t>COMPAS S.A. – Terminal Cartagena</w:t>
          </w:r>
        </w:p>
        <w:p w14:paraId="339B2DA5" w14:textId="77777777" w:rsidR="00915852" w:rsidRPr="000D0101" w:rsidRDefault="00915852" w:rsidP="000A5389">
          <w:pPr>
            <w:spacing w:line="240" w:lineRule="auto"/>
          </w:pPr>
        </w:p>
        <w:p w14:paraId="24E62172" w14:textId="77777777" w:rsidR="003D5DB4" w:rsidRPr="000D0101" w:rsidRDefault="003D5DB4" w:rsidP="000A5389">
          <w:pPr>
            <w:spacing w:line="240" w:lineRule="auto"/>
          </w:pPr>
          <w:r w:rsidRPr="000D0101">
            <w:t>a. Descripción del Acuerdo</w:t>
          </w:r>
        </w:p>
        <w:p w14:paraId="2B9DEBA8" w14:textId="77777777" w:rsidR="003D5DB4" w:rsidRPr="000D0101" w:rsidRDefault="003D5DB4" w:rsidP="000A5389">
          <w:pPr>
            <w:spacing w:line="240" w:lineRule="auto"/>
          </w:pPr>
        </w:p>
        <w:p w14:paraId="64664C51" w14:textId="77777777" w:rsidR="003D5DB4" w:rsidRPr="000D0101" w:rsidRDefault="003D5DB4" w:rsidP="000A5389">
          <w:pPr>
            <w:spacing w:line="240" w:lineRule="auto"/>
          </w:pPr>
          <w:r w:rsidRPr="000D0101">
            <w:t xml:space="preserve">Número del Acuerdo de Concesión: </w:t>
          </w:r>
          <w:r w:rsidRPr="000D0101">
            <w:rPr>
              <w:rStyle w:val="Estilo6"/>
              <w:rFonts w:cs="Times New Roman"/>
              <w:szCs w:val="24"/>
            </w:rPr>
            <w:t>001 de 1992</w:t>
          </w:r>
        </w:p>
        <w:p w14:paraId="3C061F40" w14:textId="77777777" w:rsidR="003D5DB4" w:rsidRPr="000D0101" w:rsidRDefault="003D5DB4" w:rsidP="000A5389">
          <w:pPr>
            <w:spacing w:line="240" w:lineRule="auto"/>
          </w:pPr>
          <w:r w:rsidRPr="000D0101">
            <w:t xml:space="preserve">Objeto / Descripción: </w:t>
          </w:r>
          <w:r w:rsidRPr="000D0101">
            <w:rPr>
              <w:rStyle w:val="Estilo6"/>
              <w:rFonts w:cs="Times New Roman"/>
              <w:szCs w:val="24"/>
            </w:rPr>
            <w:t>En virtud del Contrato de concesión y sus modificaciones, se permite al CONCESIONARIO ocupar y utilizar en forma temporal y exclusiva las playas, los terrenos de bajamar y zonas marinas accesorias a aquellas o éstos, para la construcción y operación de un puerto de servicio público, habilitado para el comercio exterior y para prestar servicio de carga general y contenedores en la ciudad de Cartagena, conforme lo establece la Cláusula Primera del Contrato</w:t>
          </w:r>
        </w:p>
        <w:p w14:paraId="7343AA07" w14:textId="77777777" w:rsidR="00915852" w:rsidRDefault="00915852" w:rsidP="000A5389">
          <w:pPr>
            <w:spacing w:line="240" w:lineRule="auto"/>
          </w:pPr>
        </w:p>
        <w:p w14:paraId="51E99BD0" w14:textId="47BB3095" w:rsidR="003D5DB4" w:rsidRPr="000D0101" w:rsidRDefault="003D5DB4" w:rsidP="000A5389">
          <w:pPr>
            <w:spacing w:line="240" w:lineRule="auto"/>
          </w:pPr>
          <w:r w:rsidRPr="000D0101">
            <w:t xml:space="preserve">Valor inicial: </w:t>
          </w:r>
          <w:r w:rsidRPr="000D0101">
            <w:rPr>
              <w:rStyle w:val="Estilo6"/>
              <w:rFonts w:cs="Times New Roman"/>
              <w:szCs w:val="24"/>
            </w:rPr>
            <w:t>USD 601.280 Cláusula Séptima/ Contrato No. 001 de 1992</w:t>
          </w:r>
        </w:p>
        <w:p w14:paraId="0A0B51EF" w14:textId="77777777" w:rsidR="003D5DB4" w:rsidRPr="000D0101" w:rsidRDefault="003D5DB4" w:rsidP="000A5389">
          <w:pPr>
            <w:spacing w:line="240" w:lineRule="auto"/>
          </w:pPr>
          <w:r w:rsidRPr="000D0101">
            <w:t>Fecha de inicio: 8/07/1992</w:t>
          </w:r>
        </w:p>
        <w:p w14:paraId="6F52E95B" w14:textId="77777777" w:rsidR="003D5DB4" w:rsidRPr="000D0101" w:rsidRDefault="003D5DB4" w:rsidP="000A5389">
          <w:pPr>
            <w:spacing w:line="240" w:lineRule="auto"/>
          </w:pPr>
          <w:r w:rsidRPr="000D0101">
            <w:t>Fecha de finalización estimada: 17/11/2032</w:t>
          </w:r>
        </w:p>
        <w:p w14:paraId="5ACF365A" w14:textId="77777777" w:rsidR="003D5DB4" w:rsidRPr="000D0101" w:rsidRDefault="003D5DB4" w:rsidP="000A5389">
          <w:pPr>
            <w:spacing w:line="240" w:lineRule="auto"/>
          </w:pPr>
          <w:r w:rsidRPr="000D0101">
            <w:t xml:space="preserve">Tipo ID: </w:t>
          </w:r>
          <w:r w:rsidRPr="000D0101">
            <w:rPr>
              <w:rStyle w:val="Estilo5"/>
              <w:rFonts w:cs="Times New Roman"/>
              <w:szCs w:val="24"/>
            </w:rPr>
            <w:t>NIT</w:t>
          </w:r>
        </w:p>
        <w:p w14:paraId="5A6502EB" w14:textId="77777777" w:rsidR="003D5DB4" w:rsidRPr="000D0101" w:rsidRDefault="003D5DB4" w:rsidP="000A5389">
          <w:pPr>
            <w:spacing w:line="240" w:lineRule="auto"/>
          </w:pPr>
          <w:r w:rsidRPr="000D0101">
            <w:t xml:space="preserve">Número ID: </w:t>
          </w:r>
          <w:r w:rsidRPr="000D0101">
            <w:rPr>
              <w:rStyle w:val="Estilo6"/>
              <w:rFonts w:cs="Times New Roman"/>
              <w:szCs w:val="24"/>
            </w:rPr>
            <w:t>800156044 - 6</w:t>
          </w:r>
        </w:p>
        <w:p w14:paraId="702DE49C" w14:textId="77777777" w:rsidR="003D5DB4" w:rsidRPr="000D0101" w:rsidRDefault="003D5DB4" w:rsidP="000A5389">
          <w:pPr>
            <w:spacing w:line="240" w:lineRule="auto"/>
          </w:pPr>
          <w:r w:rsidRPr="000D0101">
            <w:t xml:space="preserve">Razón social del concesionario: </w:t>
          </w:r>
          <w:r w:rsidRPr="000D0101">
            <w:rPr>
              <w:rStyle w:val="Estilo6"/>
              <w:rFonts w:cs="Times New Roman"/>
              <w:szCs w:val="24"/>
            </w:rPr>
            <w:t>COMPAÑÍA DE PUERTOS ASOCIADOS S.A. COMPAS S.A.</w:t>
          </w:r>
        </w:p>
        <w:p w14:paraId="2BA81C73" w14:textId="77777777" w:rsidR="003D5DB4" w:rsidRPr="000D0101" w:rsidRDefault="003D5DB4" w:rsidP="000A5389">
          <w:pPr>
            <w:spacing w:line="240" w:lineRule="auto"/>
          </w:pPr>
          <w:r w:rsidRPr="000D0101">
            <w:t xml:space="preserve">Nombre del proyecto: </w:t>
          </w:r>
          <w:r w:rsidRPr="000D0101">
            <w:rPr>
              <w:rStyle w:val="Estilo6"/>
              <w:rFonts w:cs="Times New Roman"/>
              <w:szCs w:val="24"/>
            </w:rPr>
            <w:t>COMPAÑÍA DE PUERTOS ASOCIADOS S.A. COMPAS S.A.</w:t>
          </w:r>
        </w:p>
        <w:p w14:paraId="6B583148" w14:textId="77777777" w:rsidR="003D5DB4" w:rsidRPr="000D0101" w:rsidRDefault="003D5DB4" w:rsidP="000A5389">
          <w:pPr>
            <w:spacing w:line="240" w:lineRule="auto"/>
            <w:rPr>
              <w:lang w:val="es-MX"/>
            </w:rPr>
          </w:pPr>
        </w:p>
        <w:p w14:paraId="31677844" w14:textId="77777777" w:rsidR="003D5DB4" w:rsidRPr="000D0101" w:rsidRDefault="003D5DB4" w:rsidP="000A5389">
          <w:pPr>
            <w:spacing w:line="240" w:lineRule="auto"/>
            <w:rPr>
              <w:lang w:val="es-MX"/>
            </w:rPr>
          </w:pPr>
          <w:r w:rsidRPr="000D0101">
            <w:rPr>
              <w:lang w:val="es-MX"/>
            </w:rPr>
            <w:t>b. Términos significativos del Acuerdo que puedan afectar su valor, el calendario y la certeza de los flujos</w:t>
          </w:r>
        </w:p>
        <w:p w14:paraId="697D8BC3" w14:textId="77777777" w:rsidR="003D5DB4" w:rsidRPr="000D0101" w:rsidRDefault="003D5DB4" w:rsidP="000A5389">
          <w:pPr>
            <w:spacing w:line="240" w:lineRule="auto"/>
          </w:pPr>
        </w:p>
        <w:p w14:paraId="1067A77C" w14:textId="77777777" w:rsidR="003D5DB4" w:rsidRPr="000D0101" w:rsidRDefault="003D5DB4" w:rsidP="000A5389">
          <w:pPr>
            <w:spacing w:line="240" w:lineRule="auto"/>
          </w:pPr>
          <w:r w:rsidRPr="000D0101">
            <w:t xml:space="preserve">Términos de valor: </w:t>
          </w:r>
          <w:r w:rsidRPr="000D0101">
            <w:rPr>
              <w:rStyle w:val="Estilo6"/>
              <w:rFonts w:cs="Times New Roman"/>
              <w:szCs w:val="24"/>
            </w:rPr>
            <w:t xml:space="preserve">1. Tarifas: Al ser el terminal marítimo de servicio público la Ley 1 de 1991 establece: Las sociedades portuarias que operan puertos de servicio público, las tarifas requieren ser aprobadas según la metodología establecida por la Superintendencia General </w:t>
          </w:r>
          <w:r w:rsidRPr="000D0101">
            <w:rPr>
              <w:rStyle w:val="Estilo6"/>
              <w:rFonts w:cs="Times New Roman"/>
              <w:szCs w:val="24"/>
            </w:rPr>
            <w:lastRenderedPageBreak/>
            <w:t>de Puertos hoy Superintendencia de Transporte. 2. Contraprestación portuaria: De acuerdo con el último documento contractual vigente la metodología de contraprestación vigente es CONPES 2680 DE 1993 (Productividad). Se establece en la cláusula cuarta del Otrosí No. 10 del 2006 que el CONCESIONARIO deberá pagar por concepto de zona de uso público la suma anual de (USD 236.815,30), de dicho pago el 80% le corresponde a la Nación Instituto nacional de vías (INVIAS) y el 20% restante al distrito de Cartagena de acuerdo con lo establecido en el parágrafo 1 del artículo 1 de la ley 856 del 21 de diciembre de 2003, que modifica el artículo 7 de la ley 1ª de 1991. Así mismo, por concepto de infraestructura el CONCESIONARIO deberá pagar la suma anual de (USD 144.951), el cual corresponde en un 100% a la Nación - Instituto Nacional de Vías (INVIAS) de acuerdo con lo establecido en el artículo 1 de la ley 856 del 21 diciembre de 2003.3.</w:t>
          </w:r>
          <w:r w:rsidRPr="000D0101">
            <w:rPr>
              <w:rStyle w:val="Estilo6"/>
              <w:rFonts w:cs="Times New Roman"/>
              <w:szCs w:val="24"/>
            </w:rPr>
            <w:tab/>
            <w:t>Plan de Inversiones: está establecido en la cláusula séptima del contrato, modificado por el Otrosí No.10 de 2006 que estableció en la cláusula primera, el plan de inversión será de USD $20.547.504,12 en valor presente.4. Obligaciones del CONCESIONARIO: se encuentran descritas en la cláusula octava 5.</w:t>
          </w:r>
          <w:r w:rsidRPr="000D0101">
            <w:rPr>
              <w:rStyle w:val="Estilo6"/>
              <w:rFonts w:cs="Times New Roman"/>
              <w:szCs w:val="24"/>
            </w:rPr>
            <w:tab/>
            <w:t>Multas y sanciones: están establecidas en la cláusula décima.6.</w:t>
          </w:r>
          <w:r w:rsidRPr="000D0101">
            <w:rPr>
              <w:rStyle w:val="Estilo6"/>
              <w:rFonts w:cs="Times New Roman"/>
              <w:szCs w:val="24"/>
            </w:rPr>
            <w:tab/>
            <w:t>Penal pecuniario: En la cláusula décima primera se establece que en el evento que se declare caducidad o el incumplimiento del contrato, el Concesionario deberá pagar la suma del 10% del valor total de la contraprestación.7. Riesgos: en el Contrato de Concesión No. 001 de 1992 no se estableció cláusula de riesgos.</w:t>
          </w:r>
        </w:p>
        <w:p w14:paraId="73910C3F" w14:textId="77777777" w:rsidR="003D5DB4" w:rsidRPr="000D0101" w:rsidRDefault="003D5DB4" w:rsidP="000A5389">
          <w:pPr>
            <w:spacing w:line="240" w:lineRule="auto"/>
          </w:pPr>
        </w:p>
        <w:p w14:paraId="1E8FC2AD" w14:textId="77777777" w:rsidR="003D5DB4" w:rsidRPr="000D0101" w:rsidRDefault="003D5DB4" w:rsidP="000A5389">
          <w:pPr>
            <w:spacing w:line="240" w:lineRule="auto"/>
          </w:pPr>
          <w:r w:rsidRPr="000D0101">
            <w:t xml:space="preserve">Términos de calendario: </w:t>
          </w:r>
          <w:r w:rsidRPr="000D0101">
            <w:rPr>
              <w:rStyle w:val="Estilo6"/>
              <w:rFonts w:cs="Times New Roman"/>
              <w:szCs w:val="24"/>
            </w:rPr>
            <w:t>1.</w:t>
          </w:r>
          <w:r w:rsidRPr="000D0101">
            <w:rPr>
              <w:rStyle w:val="Estilo6"/>
              <w:rFonts w:cs="Times New Roman"/>
              <w:szCs w:val="24"/>
            </w:rPr>
            <w:tab/>
            <w:t>Tarifas: Aprobadas según la metodología establecida por la Superintendencia General de Puertos hoy Superintendencia de Transporte.2. Contraprestación portuaria: la contraprestación se debe pagar de manera anual anticipada desde el mes de noviembre de cada año. 3. Plan de inversiones: Se estableció en la cláusula primera del otrosí 10 de 2006 ejecución de inversiones en el periodo de tiempo comprendido entre el año 2006 a 2030.4. Multas: están establecidas en la cláusula décima. Términos de certeza de flujos de efectivo futuros: Se permite al CONCESIONARIO ocupar y utilizar en forma temporal y exclusiva las playas, los terrenos de bajamar y zonas marinas accesorias a aquellas o éstos, para la construcción y operación de un puerto de servicio público, habilitado para el comercio exterior y para prestar servicio de carga general y contenedores, conforme lo establece la Cláusula Primera del Contrato. Cláusula Cuarta, numeral 4.2. Otrosí No. 9 de 2005.  Del valor a pagar por concepto de contraprestación por Zona de Uso público el 80% le corresponde a la Nación-INVIAS y el 20 % al Distrito turístico de Cartagena de Indias y por Infraestructura el 100% a la Nación-INVIAS.</w:t>
          </w:r>
        </w:p>
        <w:p w14:paraId="0C2C2F02" w14:textId="77777777" w:rsidR="003D5DB4" w:rsidRPr="000D0101" w:rsidRDefault="003D5DB4" w:rsidP="000A5389">
          <w:pPr>
            <w:spacing w:line="240" w:lineRule="auto"/>
            <w:rPr>
              <w:lang w:val="es-MX"/>
            </w:rPr>
          </w:pPr>
          <w:r w:rsidRPr="000D0101">
            <w:t xml:space="preserve">Términos de certeza de flujos de efectivo futuros: </w:t>
          </w:r>
          <w:r w:rsidRPr="000D0101">
            <w:rPr>
              <w:rStyle w:val="Estilo6"/>
              <w:rFonts w:cs="Times New Roman"/>
              <w:szCs w:val="24"/>
            </w:rPr>
            <w:t>Se permite al CONCESIONARIO ocupar y utilizar en forma temporal y exclusiva las playas, los terrenos de bajamar y zonas marinas accesorias a aquellas o éstos, para la construcción y operación de un puerto de servicio público, habilitado para el comercio exterior y para prestar servicio de carga general y contenedores, conforme lo establece la Cláusula Primera del Contrato. Cláusula Cuarta, numeral 4.2. Otrosí No. 9 de 2005.  Del valor a pagar por concepto de contraprestación por Zona de Uso público el 80% le corresponde a la Nación-INVIAS y el 20 % al Distrito turístico de Cartagena de Indias y por Infraestructura el 100% a la Nación-INVIAS.</w:t>
          </w:r>
        </w:p>
        <w:p w14:paraId="16141022" w14:textId="77777777" w:rsidR="003D5DB4" w:rsidRPr="000D0101" w:rsidRDefault="003D5DB4" w:rsidP="000A5389">
          <w:pPr>
            <w:spacing w:line="240" w:lineRule="auto"/>
            <w:rPr>
              <w:lang w:val="es-MX"/>
            </w:rPr>
          </w:pPr>
          <w:r w:rsidRPr="000D0101">
            <w:rPr>
              <w:lang w:val="es-MX"/>
            </w:rPr>
            <w:lastRenderedPageBreak/>
            <w:t>c. Naturaleza y alcance del derecho a utilizar activos especificados y los aspectos pactados en torno a lo que se espera que el concesionario proporcione en relación con el acuerdo de concesión</w:t>
          </w:r>
        </w:p>
        <w:p w14:paraId="1ABBA8DE" w14:textId="77777777" w:rsidR="003D5DB4" w:rsidRPr="000D0101" w:rsidRDefault="003D5DB4" w:rsidP="000A5389">
          <w:pPr>
            <w:spacing w:line="240" w:lineRule="auto"/>
          </w:pPr>
        </w:p>
        <w:p w14:paraId="2C4A0F30" w14:textId="77777777" w:rsidR="003D5DB4" w:rsidRPr="000D0101" w:rsidRDefault="003D5DB4" w:rsidP="000A5389">
          <w:pPr>
            <w:spacing w:line="240" w:lineRule="auto"/>
          </w:pPr>
          <w:r w:rsidRPr="000D0101">
            <w:t>Naturaleza y alcance del derecho de uso de los activos</w:t>
          </w:r>
        </w:p>
        <w:p w14:paraId="3035634E" w14:textId="77777777" w:rsidR="003D5DB4" w:rsidRPr="000D0101" w:rsidRDefault="003D5DB4" w:rsidP="000A5389">
          <w:pPr>
            <w:spacing w:line="240" w:lineRule="auto"/>
          </w:pPr>
        </w:p>
        <w:p w14:paraId="0B2F6A07" w14:textId="77777777" w:rsidR="003D5DB4" w:rsidRPr="000D0101" w:rsidRDefault="003D5DB4" w:rsidP="000A5389">
          <w:pPr>
            <w:spacing w:line="240" w:lineRule="auto"/>
          </w:pPr>
          <w:r w:rsidRPr="000D0101">
            <w:t xml:space="preserve">Descripción: </w:t>
          </w:r>
          <w:r w:rsidRPr="000D0101">
            <w:rPr>
              <w:rStyle w:val="Estilo6"/>
              <w:rFonts w:cs="Times New Roman"/>
              <w:szCs w:val="24"/>
            </w:rPr>
            <w:t>Descripción del proyecto, especificaciones técnicas, modalidades de operación: las condiciones especiales de operación del puerto están establecidas en la cláusula tercera del Contrato de Concesión. Área entregada en concesión: La descripción de la ubicación, linderos y extensión de los bienes de uso público (playas y terrenos de baja mar, zonas marítimas accesorias de maniobras) entregados en concesión están establecidos en la cláusula segunda. Infraestructura y equipos entregados en concesión: En la cláusula tercera del Contrato, se describe que lo entregado en concesión fue: Infraestructura: Muelles en concreto, plataformas de operación, piñas de atraque y piñas de amarre.</w:t>
          </w:r>
        </w:p>
        <w:p w14:paraId="350334FB" w14:textId="77777777" w:rsidR="003D5DB4" w:rsidRPr="000D0101" w:rsidRDefault="003D5DB4" w:rsidP="000A5389">
          <w:pPr>
            <w:spacing w:line="240" w:lineRule="auto"/>
          </w:pPr>
          <w:r w:rsidRPr="000D0101">
            <w:t xml:space="preserve">Observaciones: </w:t>
          </w:r>
          <w:r w:rsidRPr="000D0101">
            <w:rPr>
              <w:rStyle w:val="Estilo6"/>
              <w:rFonts w:cs="Times New Roman"/>
              <w:szCs w:val="24"/>
            </w:rPr>
            <w:t>NA</w:t>
          </w:r>
        </w:p>
        <w:p w14:paraId="571461FD" w14:textId="77777777" w:rsidR="003D5DB4" w:rsidRPr="000D0101" w:rsidRDefault="003D5DB4" w:rsidP="000A5389">
          <w:pPr>
            <w:spacing w:line="240" w:lineRule="auto"/>
          </w:pPr>
          <w:r w:rsidRPr="000D0101">
            <w:t>Retribución al concesionario</w:t>
          </w:r>
        </w:p>
        <w:p w14:paraId="44001AD3" w14:textId="77777777" w:rsidR="003D5DB4" w:rsidRPr="000D0101" w:rsidRDefault="003D5DB4" w:rsidP="000A5389">
          <w:pPr>
            <w:spacing w:line="240" w:lineRule="auto"/>
          </w:pPr>
        </w:p>
        <w:p w14:paraId="5311EA6A" w14:textId="77777777" w:rsidR="003D5DB4" w:rsidRPr="000D0101" w:rsidRDefault="003D5DB4" w:rsidP="000A5389">
          <w:pPr>
            <w:spacing w:line="240" w:lineRule="auto"/>
          </w:pPr>
          <w:r w:rsidRPr="000D0101">
            <w:t xml:space="preserve">Descripción: </w:t>
          </w:r>
          <w:r w:rsidRPr="000D0101">
            <w:rPr>
              <w:rStyle w:val="Estilo6"/>
              <w:rFonts w:cs="Times New Roman"/>
              <w:szCs w:val="24"/>
            </w:rPr>
            <w:t>Cláusula primera Contrato 001 de 1992: Se otorga a EL CONCESIONARIO el derecho de ocupar y utilizar en forma temporal y exclusiva las playas, los terrenos de bajamar y zonas accesorias a aquellas o estos, descritos en la cláusula segunda del contrato, a cambio de la contraprestación económica.</w:t>
          </w:r>
        </w:p>
        <w:p w14:paraId="715AD592" w14:textId="77777777" w:rsidR="003D5DB4" w:rsidRDefault="003D5DB4" w:rsidP="000A5389">
          <w:pPr>
            <w:spacing w:line="240" w:lineRule="auto"/>
            <w:rPr>
              <w:rStyle w:val="Estilo6"/>
              <w:rFonts w:cs="Times New Roman"/>
              <w:szCs w:val="24"/>
            </w:rPr>
          </w:pPr>
          <w:r w:rsidRPr="000D0101">
            <w:t xml:space="preserve">Tasa de retribución: </w:t>
          </w:r>
          <w:r w:rsidRPr="000D0101">
            <w:rPr>
              <w:rStyle w:val="Estilo6"/>
              <w:rFonts w:cs="Times New Roman"/>
              <w:szCs w:val="24"/>
            </w:rPr>
            <w:t>NA</w:t>
          </w:r>
        </w:p>
        <w:p w14:paraId="11D3B3F7" w14:textId="77777777" w:rsidR="001B234E" w:rsidRPr="000D0101" w:rsidRDefault="001B234E" w:rsidP="000A5389">
          <w:pPr>
            <w:spacing w:line="240" w:lineRule="auto"/>
          </w:pPr>
        </w:p>
        <w:p w14:paraId="44C045EA" w14:textId="77777777" w:rsidR="003D5DB4" w:rsidRPr="000D0101" w:rsidRDefault="003D5DB4" w:rsidP="000A5389">
          <w:pPr>
            <w:spacing w:line="240" w:lineRule="auto"/>
          </w:pPr>
          <w:r w:rsidRPr="000D0101">
            <w:t>d. Derechos a recibir activos especificados al final del acuerdo de concesión</w:t>
          </w:r>
        </w:p>
        <w:p w14:paraId="1F46EFDC" w14:textId="77777777" w:rsidR="003D5DB4" w:rsidRPr="000D0101" w:rsidRDefault="003D5DB4" w:rsidP="000A5389">
          <w:pPr>
            <w:spacing w:line="240" w:lineRule="auto"/>
          </w:pPr>
        </w:p>
        <w:p w14:paraId="7F6C9A31" w14:textId="77777777" w:rsidR="003D5DB4" w:rsidRPr="000D0101" w:rsidRDefault="003D5DB4" w:rsidP="000A5389">
          <w:pPr>
            <w:spacing w:line="240" w:lineRule="auto"/>
          </w:pPr>
          <w:r w:rsidRPr="000D0101">
            <w:t xml:space="preserve">Descripción: </w:t>
          </w:r>
          <w:r w:rsidRPr="000D0101">
            <w:rPr>
              <w:rStyle w:val="Estilo6"/>
              <w:rFonts w:cs="Times New Roman"/>
              <w:szCs w:val="24"/>
            </w:rPr>
            <w:t>De acuerdo con el Artículo 8º de la Ley 1 de 1991 en el modo portuario el concesionario no tiene derechos finales sobre activos, los debe revertir a la Nación al final del contrato de concesión.</w:t>
          </w:r>
        </w:p>
        <w:p w14:paraId="046450C0" w14:textId="77777777" w:rsidR="003D5DB4" w:rsidRDefault="003D5DB4" w:rsidP="000A5389">
          <w:pPr>
            <w:spacing w:line="240" w:lineRule="auto"/>
            <w:rPr>
              <w:rStyle w:val="Estilo6"/>
              <w:rFonts w:cs="Times New Roman"/>
              <w:szCs w:val="24"/>
            </w:rPr>
          </w:pPr>
          <w:r w:rsidRPr="000D0101">
            <w:t xml:space="preserve">Observaciones: </w:t>
          </w:r>
          <w:r w:rsidRPr="000D0101">
            <w:rPr>
              <w:rStyle w:val="Estilo6"/>
              <w:rFonts w:cs="Times New Roman"/>
              <w:szCs w:val="24"/>
            </w:rPr>
            <w:t>Reversión: De acuerdo con lo establecido en la cláusula tercera del Otrosí No. 9 de 2005 todas las construcciones e inmuebles por destinación existentes y las autorizadas, levantadas en zona de uso público o que se encuentren habitualmente instaladas en ellas revertirán gratuitamente por parte de la Sociedad Portuaria a la Nación. La primera diligencia de reversión se realizará en noviembre de 2032, en el inventario de esta reversión no se incluirán las obras de infraestructura portuaria propuestas en el nuevo plan de inversiones pactado como soporte financiero de la prórroga anticipada. Al extinguirse el plazo adicional de la concesión o en el evento de ser declarada una caducidad del contrato, se realizará la diligencia de reversión de acuerdo con el Articulo 8 de la Ley 1 de 1991.Para tal fin, en el momento de la reversión el CONCESIONARIO elaborará un inventario de los bienes y los enviará para su revisión y aprobación. La ANI es la entidad concedente pero la titularidad de los activos al final de la concesión es del Instituto Nacional de Vías INVIAS.</w:t>
          </w:r>
        </w:p>
        <w:p w14:paraId="2CC10396" w14:textId="77777777" w:rsidR="001B234E" w:rsidRPr="000D0101" w:rsidRDefault="001B234E" w:rsidP="000A5389">
          <w:pPr>
            <w:spacing w:line="240" w:lineRule="auto"/>
          </w:pPr>
        </w:p>
        <w:p w14:paraId="177A8E79" w14:textId="77777777" w:rsidR="003D5DB4" w:rsidRPr="000D0101" w:rsidRDefault="003D5DB4" w:rsidP="000A5389">
          <w:pPr>
            <w:spacing w:line="240" w:lineRule="auto"/>
          </w:pPr>
          <w:r w:rsidRPr="000D0101">
            <w:t>e. Las alternativas de renovación y cese del Acuerdo</w:t>
          </w:r>
        </w:p>
        <w:p w14:paraId="53B87EB0" w14:textId="77777777" w:rsidR="003D5DB4" w:rsidRPr="000D0101" w:rsidRDefault="003D5DB4" w:rsidP="000A5389">
          <w:pPr>
            <w:spacing w:line="240" w:lineRule="auto"/>
          </w:pPr>
        </w:p>
        <w:p w14:paraId="67E111C2" w14:textId="77777777" w:rsidR="003D5DB4" w:rsidRPr="000D0101" w:rsidRDefault="003D5DB4" w:rsidP="000A5389">
          <w:pPr>
            <w:spacing w:line="240" w:lineRule="auto"/>
          </w:pPr>
          <w:r w:rsidRPr="000D0101">
            <w:lastRenderedPageBreak/>
            <w:t xml:space="preserve">Descripción: </w:t>
          </w:r>
          <w:r w:rsidRPr="000D0101">
            <w:rPr>
              <w:rStyle w:val="Estilo6"/>
              <w:rFonts w:cs="Times New Roman"/>
              <w:szCs w:val="24"/>
            </w:rPr>
            <w:t xml:space="preserve">El contrato fue prorrogado y ya no tiene posibilidad de prorroga adicional. La Clausula décimo quinta establece los parámetros para la terminación del contrato  </w:t>
          </w:r>
        </w:p>
        <w:p w14:paraId="407327ED" w14:textId="77777777" w:rsidR="003D5DB4" w:rsidRPr="000D0101" w:rsidRDefault="003D5DB4" w:rsidP="000A5389">
          <w:pPr>
            <w:spacing w:line="240" w:lineRule="auto"/>
            <w:rPr>
              <w:rStyle w:val="Estilo3"/>
              <w:rFonts w:cs="Times New Roman"/>
              <w:szCs w:val="24"/>
            </w:rPr>
          </w:pPr>
          <w:r w:rsidRPr="000D0101">
            <w:t>Observaciones: El contrato fue prorrogado por 20 años</w:t>
          </w:r>
        </w:p>
        <w:p w14:paraId="1CCF90E2" w14:textId="77777777" w:rsidR="003D5DB4" w:rsidRPr="000D0101" w:rsidRDefault="003D5DB4" w:rsidP="000A5389">
          <w:pPr>
            <w:spacing w:line="240" w:lineRule="auto"/>
          </w:pPr>
        </w:p>
        <w:p w14:paraId="61F5E326" w14:textId="77777777" w:rsidR="003D5DB4" w:rsidRPr="000D0101" w:rsidRDefault="003D5DB4" w:rsidP="000A5389">
          <w:pPr>
            <w:spacing w:line="240" w:lineRule="auto"/>
            <w:rPr>
              <w:lang w:val="es-MX"/>
            </w:rPr>
          </w:pPr>
          <w:r w:rsidRPr="000D0101">
            <w:rPr>
              <w:lang w:val="es-MX"/>
            </w:rPr>
            <w:t>Cambios en el acuerdo de concesión que se realicen durante el periodo fiscal</w:t>
          </w:r>
        </w:p>
        <w:p w14:paraId="311819B9" w14:textId="77777777" w:rsidR="003D5DB4" w:rsidRPr="000D0101" w:rsidRDefault="003D5DB4" w:rsidP="000A5389">
          <w:pPr>
            <w:spacing w:line="240" w:lineRule="auto"/>
            <w:rPr>
              <w:lang w:val="es-MX"/>
            </w:rPr>
          </w:pPr>
        </w:p>
        <w:p w14:paraId="049F9DC9" w14:textId="77777777" w:rsidR="003D5DB4" w:rsidRPr="000D0101" w:rsidRDefault="003D5DB4" w:rsidP="000A5389">
          <w:pPr>
            <w:spacing w:line="240" w:lineRule="auto"/>
          </w:pPr>
          <w:r w:rsidRPr="000D0101">
            <w:t>Adiciones o modificaciones en tiempo</w:t>
          </w:r>
        </w:p>
        <w:p w14:paraId="7A74D7BF" w14:textId="77777777" w:rsidR="003D5DB4" w:rsidRPr="000D0101" w:rsidRDefault="003D5DB4" w:rsidP="000A5389">
          <w:pPr>
            <w:spacing w:line="240" w:lineRule="auto"/>
          </w:pPr>
          <w:r w:rsidRPr="000D0101">
            <w:t xml:space="preserve">Fechas de las adiciones o modificaciones: </w:t>
          </w:r>
          <w:r w:rsidRPr="000D0101">
            <w:rPr>
              <w:rStyle w:val="Estilo6"/>
              <w:rFonts w:cs="Times New Roman"/>
              <w:szCs w:val="24"/>
            </w:rPr>
            <w:t>24/11/2005</w:t>
          </w:r>
        </w:p>
        <w:p w14:paraId="6F85AF46" w14:textId="77777777" w:rsidR="003D5DB4" w:rsidRPr="000D0101" w:rsidRDefault="003D5DB4" w:rsidP="000A5389">
          <w:pPr>
            <w:spacing w:line="240" w:lineRule="auto"/>
          </w:pPr>
          <w:r w:rsidRPr="000D0101">
            <w:t xml:space="preserve">Nueva fecha de finalización estimada: </w:t>
          </w:r>
          <w:r w:rsidRPr="000D0101">
            <w:rPr>
              <w:rStyle w:val="Estilo6"/>
              <w:rFonts w:cs="Times New Roman"/>
              <w:szCs w:val="24"/>
            </w:rPr>
            <w:t>17/12/2032</w:t>
          </w:r>
        </w:p>
        <w:p w14:paraId="76A1F80D" w14:textId="77777777" w:rsidR="003D5DB4" w:rsidRPr="000D0101" w:rsidRDefault="003D5DB4" w:rsidP="000A5389">
          <w:pPr>
            <w:spacing w:line="240" w:lineRule="auto"/>
          </w:pPr>
          <w:r w:rsidRPr="000D0101">
            <w:t xml:space="preserve">Observaciones: </w:t>
          </w:r>
          <w:r w:rsidRPr="000D0101">
            <w:rPr>
              <w:rStyle w:val="Estilo6"/>
              <w:rFonts w:cs="Times New Roman"/>
              <w:szCs w:val="24"/>
            </w:rPr>
            <w:t>NA</w:t>
          </w:r>
        </w:p>
        <w:p w14:paraId="3EB61305" w14:textId="77777777" w:rsidR="003D5DB4" w:rsidRPr="000D0101" w:rsidRDefault="003D5DB4" w:rsidP="000A5389">
          <w:pPr>
            <w:spacing w:line="240" w:lineRule="auto"/>
          </w:pPr>
          <w:r w:rsidRPr="000D0101">
            <w:t>Adiciones o modificaciones en valor</w:t>
          </w:r>
        </w:p>
        <w:p w14:paraId="6A0469E0" w14:textId="77777777" w:rsidR="003D5DB4" w:rsidRPr="000D0101" w:rsidRDefault="003D5DB4" w:rsidP="000A5389">
          <w:pPr>
            <w:spacing w:line="240" w:lineRule="auto"/>
          </w:pPr>
          <w:r w:rsidRPr="000D0101">
            <w:t xml:space="preserve">Valor de la adición o modificación: </w:t>
          </w:r>
          <w:r w:rsidRPr="000D0101">
            <w:rPr>
              <w:rStyle w:val="Estilo6"/>
              <w:rFonts w:cs="Times New Roman"/>
              <w:szCs w:val="24"/>
            </w:rPr>
            <w:t>NA</w:t>
          </w:r>
        </w:p>
        <w:p w14:paraId="465EA605" w14:textId="77777777" w:rsidR="003D5DB4" w:rsidRPr="000D0101" w:rsidRDefault="003D5DB4" w:rsidP="000A5389">
          <w:pPr>
            <w:spacing w:line="240" w:lineRule="auto"/>
          </w:pPr>
          <w:r w:rsidRPr="000D0101">
            <w:t xml:space="preserve">Nuevo valor del acuerdo: </w:t>
          </w:r>
          <w:r w:rsidRPr="000D0101">
            <w:rPr>
              <w:rStyle w:val="Estilo6"/>
              <w:rFonts w:cs="Times New Roman"/>
              <w:szCs w:val="24"/>
            </w:rPr>
            <w:t>NA</w:t>
          </w:r>
        </w:p>
        <w:p w14:paraId="3813DA05" w14:textId="77777777" w:rsidR="003D5DB4" w:rsidRPr="000D0101" w:rsidRDefault="003D5DB4" w:rsidP="000A5389">
          <w:pPr>
            <w:spacing w:line="240" w:lineRule="auto"/>
          </w:pPr>
          <w:r w:rsidRPr="000D0101">
            <w:t xml:space="preserve">Observaciones: </w:t>
          </w:r>
          <w:r w:rsidRPr="000D0101">
            <w:rPr>
              <w:rStyle w:val="Estilo6"/>
              <w:rFonts w:cs="Times New Roman"/>
              <w:szCs w:val="24"/>
            </w:rPr>
            <w:t>NA</w:t>
          </w:r>
        </w:p>
        <w:p w14:paraId="6C9FC13D" w14:textId="77777777" w:rsidR="003D5DB4" w:rsidRPr="000D0101" w:rsidRDefault="003D5DB4" w:rsidP="000A5389">
          <w:pPr>
            <w:spacing w:line="240" w:lineRule="auto"/>
          </w:pPr>
        </w:p>
        <w:p w14:paraId="47C52FAE" w14:textId="77777777" w:rsidR="003D5DB4" w:rsidRPr="000D0101" w:rsidRDefault="003D5DB4" w:rsidP="000A5389">
          <w:pPr>
            <w:spacing w:line="240" w:lineRule="auto"/>
            <w:rPr>
              <w:rFonts w:eastAsia="Times New Roman"/>
              <w:lang w:eastAsia="es-CO"/>
            </w:rPr>
          </w:pPr>
        </w:p>
        <w:p w14:paraId="72C2FD0D" w14:textId="77777777" w:rsidR="003D5DB4" w:rsidRPr="00915852" w:rsidRDefault="003D5DB4" w:rsidP="000A5389">
          <w:pPr>
            <w:spacing w:line="240" w:lineRule="auto"/>
            <w:rPr>
              <w:rFonts w:eastAsia="Times New Roman"/>
              <w:i/>
              <w:iCs/>
              <w:lang w:eastAsia="es-CO"/>
            </w:rPr>
          </w:pPr>
          <w:r w:rsidRPr="00915852">
            <w:rPr>
              <w:rFonts w:eastAsia="Times New Roman"/>
              <w:i/>
              <w:iCs/>
              <w:lang w:eastAsia="es-CO"/>
            </w:rPr>
            <w:t>COMPAÑIA DE PUERTOS ASOCIADOS S.A. COMPAS – Terminal Tolú</w:t>
          </w:r>
        </w:p>
        <w:p w14:paraId="77ABA49A" w14:textId="77777777" w:rsidR="003D5DB4" w:rsidRPr="000D0101" w:rsidRDefault="003D5DB4" w:rsidP="000A5389">
          <w:pPr>
            <w:spacing w:line="240" w:lineRule="auto"/>
          </w:pPr>
          <w:r w:rsidRPr="000D0101">
            <w:t>Descripción del Acuerdo</w:t>
          </w:r>
        </w:p>
        <w:p w14:paraId="0ED69B7D" w14:textId="77777777" w:rsidR="003D5DB4" w:rsidRPr="000D0101" w:rsidRDefault="003D5DB4" w:rsidP="000A5389">
          <w:pPr>
            <w:spacing w:line="240" w:lineRule="auto"/>
          </w:pPr>
        </w:p>
        <w:p w14:paraId="5A17C17B" w14:textId="77777777" w:rsidR="003D5DB4" w:rsidRPr="000D0101" w:rsidRDefault="003D5DB4" w:rsidP="000A5389">
          <w:pPr>
            <w:spacing w:line="240" w:lineRule="auto"/>
          </w:pPr>
          <w:r w:rsidRPr="000D0101">
            <w:t>Número del Acuerdo de concesión: 015 de 1996</w:t>
          </w:r>
        </w:p>
        <w:p w14:paraId="5C6678ED" w14:textId="77777777" w:rsidR="003D5DB4" w:rsidRPr="000D0101" w:rsidRDefault="003D5DB4" w:rsidP="000A5389">
          <w:pPr>
            <w:spacing w:line="240" w:lineRule="auto"/>
          </w:pPr>
        </w:p>
        <w:p w14:paraId="623A15DB" w14:textId="77777777" w:rsidR="003D5DB4" w:rsidRPr="000D0101" w:rsidRDefault="003D5DB4" w:rsidP="000A5389">
          <w:pPr>
            <w:spacing w:line="240" w:lineRule="auto"/>
          </w:pPr>
          <w:r w:rsidRPr="000D0101">
            <w:t>Objeto / Descripción: La Superintendencia en Virtud del presente Contrato, otorga al Concesionario una concesión portuaria cuyos terrenos están localizados al sur-oeste del Municipio de Santiago de Tolú, Departamento de Sucre, en la Costa del Golfo de Morrosquillo</w:t>
          </w:r>
        </w:p>
        <w:p w14:paraId="696552C4" w14:textId="77777777" w:rsidR="003D5DB4" w:rsidRPr="000D0101" w:rsidRDefault="003D5DB4" w:rsidP="000A5389">
          <w:pPr>
            <w:spacing w:line="240" w:lineRule="auto"/>
          </w:pPr>
        </w:p>
        <w:p w14:paraId="6F250BBB" w14:textId="77777777" w:rsidR="003D5DB4" w:rsidRPr="000D0101" w:rsidRDefault="003D5DB4" w:rsidP="000A5389">
          <w:pPr>
            <w:spacing w:line="240" w:lineRule="auto"/>
          </w:pPr>
          <w:r w:rsidRPr="000D0101">
            <w:t>Valor inicial:</w:t>
          </w:r>
          <w:r w:rsidRPr="000D0101">
            <w:tab/>
            <w:t>USD 604.420 Cláusula décima/Contrato No. 015 de 1996</w:t>
          </w:r>
        </w:p>
        <w:p w14:paraId="7B3FFFAA" w14:textId="77777777" w:rsidR="003D5DB4" w:rsidRPr="000D0101" w:rsidRDefault="003D5DB4" w:rsidP="000A5389">
          <w:pPr>
            <w:spacing w:line="240" w:lineRule="auto"/>
          </w:pPr>
          <w:r w:rsidRPr="000D0101">
            <w:t>Fecha de inicio: 25/09/2036</w:t>
          </w:r>
        </w:p>
        <w:p w14:paraId="61400AFA" w14:textId="77777777" w:rsidR="003D5DB4" w:rsidRPr="000D0101" w:rsidRDefault="003D5DB4" w:rsidP="000A5389">
          <w:pPr>
            <w:spacing w:line="240" w:lineRule="auto"/>
          </w:pPr>
          <w:r w:rsidRPr="000D0101">
            <w:t>Fecha de finalización estimada:25/09/2036</w:t>
          </w:r>
        </w:p>
        <w:p w14:paraId="70F1FA26" w14:textId="77777777" w:rsidR="003D5DB4" w:rsidRPr="000D0101" w:rsidRDefault="003D5DB4" w:rsidP="000A5389">
          <w:pPr>
            <w:spacing w:line="240" w:lineRule="auto"/>
          </w:pPr>
          <w:r w:rsidRPr="000D0101">
            <w:t>Tipo ID: NIT</w:t>
          </w:r>
        </w:p>
        <w:p w14:paraId="0E168223" w14:textId="77777777" w:rsidR="003D5DB4" w:rsidRPr="000D0101" w:rsidRDefault="003D5DB4" w:rsidP="000A5389">
          <w:pPr>
            <w:spacing w:line="240" w:lineRule="auto"/>
          </w:pPr>
          <w:r w:rsidRPr="000D0101">
            <w:t>Número ID: 800156044-6</w:t>
          </w:r>
        </w:p>
        <w:p w14:paraId="108B35C9" w14:textId="77777777" w:rsidR="003D5DB4" w:rsidRPr="000D0101" w:rsidRDefault="003D5DB4" w:rsidP="000A5389">
          <w:pPr>
            <w:spacing w:line="240" w:lineRule="auto"/>
          </w:pPr>
          <w:r w:rsidRPr="000D0101">
            <w:t>Razón social del concesionario: Compañía de Puertos Asociados S.A. COMPAS TOLÚ</w:t>
          </w:r>
        </w:p>
        <w:p w14:paraId="479B14EB" w14:textId="77777777" w:rsidR="003D5DB4" w:rsidRPr="000D0101" w:rsidRDefault="003D5DB4" w:rsidP="000A5389">
          <w:pPr>
            <w:spacing w:line="240" w:lineRule="auto"/>
          </w:pPr>
          <w:r w:rsidRPr="000D0101">
            <w:t>Nombre del proyecto: Compañía de Puertos Asociados S.A. COMPAS TOLÚ</w:t>
          </w:r>
        </w:p>
        <w:p w14:paraId="237E5E5A" w14:textId="77777777" w:rsidR="003D5DB4" w:rsidRPr="000D0101" w:rsidRDefault="003D5DB4" w:rsidP="000A5389">
          <w:pPr>
            <w:spacing w:line="240" w:lineRule="auto"/>
          </w:pPr>
        </w:p>
        <w:p w14:paraId="41F67A83" w14:textId="77777777" w:rsidR="003D5DB4" w:rsidRPr="000D0101" w:rsidRDefault="003D5DB4" w:rsidP="000A5389">
          <w:pPr>
            <w:spacing w:line="240" w:lineRule="auto"/>
          </w:pPr>
          <w:r w:rsidRPr="000D0101">
            <w:t>Términos significativos del Acuerdo que puedan afectar su valor, el calendario y la certeza de los flujos de efectivo futuros</w:t>
          </w:r>
        </w:p>
        <w:p w14:paraId="27C6C8EF" w14:textId="77777777" w:rsidR="003D5DB4" w:rsidRPr="000D0101" w:rsidRDefault="003D5DB4" w:rsidP="000A5389">
          <w:pPr>
            <w:spacing w:line="240" w:lineRule="auto"/>
          </w:pPr>
        </w:p>
        <w:p w14:paraId="10174E65" w14:textId="77777777" w:rsidR="003D5DB4" w:rsidRPr="000D0101" w:rsidRDefault="003D5DB4" w:rsidP="000A5389">
          <w:pPr>
            <w:spacing w:line="240" w:lineRule="auto"/>
          </w:pPr>
          <w:r w:rsidRPr="000D0101">
            <w:t>Términos de valor:</w:t>
          </w:r>
          <w:r w:rsidRPr="000D0101">
            <w:tab/>
            <w:t xml:space="preserve">1. Tarifas: Al ser el terminal marítimo de servicio público la Ley 1 de 1991 establece: Las sociedades portuarias que operan puertos de servicio público las tarifas requieren ser aprobadas según la metodología establecida por la Superintendencia General de Puertos hoy Superintendencia de Transporte.2. Contraprestación portuaria: De acuerdo con el último documento contractual vigente la metodología de contraprestación vigente es CONPES 3744 de 2013 (Componentes Fijo y Variable). A febrero de 2024 el CONCESIONARIO debió pagar la suma de $ USD 1.856.188. El valor correspondiente a la </w:t>
          </w:r>
          <w:r w:rsidRPr="000D0101">
            <w:lastRenderedPageBreak/>
            <w:t>contraprestación por zona de uso público resultará de la diferencia entre el valor de la liquidación total y el valor de la infraestructura. Y el recaudo se realizará de conformidad con la ley 856 de 2003, es decir, ZUP el 80% le corresponde a la Nación (INVIAS-ANI) y el 20% restante al distrito de Santiago de Tolú; e INFRAESTRUCTURA en un 100% a la Nación - (INVIAS-ANI).3. Plan de Inversiones: está establecido en la cláusula sexta del contrato, modificado por la Otrosí No.7 de 2019 que estableció en la cláusula primera, el plan de inversión será de USD $28.629.838 en constantes.4. Obligaciones del CONCESIONARIO: se encuentran descritas en la Cláusula Octava del Otrosí No. 5 de 2016.5. Multas y sanciones: están establecidas en la cláusula Novena del Otrosí No. 5 de 2016.6. Penal pecuniaria: En la cláusula décima del Otrosí No. 5 de 2016 se establece que en el evento en que la ANI declare la caducidad o el incumplimiento del presente contrato se podrá imponer una penalidad pecuniaria del 10% del valor total de la contraprestación.7. Riesgos: están descritos en la cláusula novena del Otrosí No. 2 de 2006, el CONCESIONARIO asume la totalidad de los inherentes a la ejecución de las obras en su etapa preoperativa, de construcción, de operación y de revisión y su ocurrencia no dará derecho a indemnización o reconocimiento a favor del mismo.</w:t>
          </w:r>
        </w:p>
        <w:p w14:paraId="69273CCD" w14:textId="77777777" w:rsidR="003D5DB4" w:rsidRPr="000D0101" w:rsidRDefault="003D5DB4" w:rsidP="000A5389">
          <w:pPr>
            <w:spacing w:line="240" w:lineRule="auto"/>
          </w:pPr>
        </w:p>
        <w:p w14:paraId="21546296" w14:textId="77777777" w:rsidR="003D5DB4" w:rsidRPr="000D0101" w:rsidRDefault="003D5DB4" w:rsidP="000A5389">
          <w:pPr>
            <w:spacing w:line="240" w:lineRule="auto"/>
          </w:pPr>
          <w:r w:rsidRPr="000D0101">
            <w:t>Términos de calendario: 1. Tarifas: Aprobadas según la metodología establecida por la Superintendencia General de Puertos hoy Superintendencia de Transporte.2. Contraprestación portuaria: la contraprestación se debe pagar de manera anual en febrero de cada año3. Plan de inversiones: Se estableció en la cláusula sexta del otrosí No. 7 de 2019, la ejecución de inversiones en el periodo de tiempo comprendido entre septiembre 2018 y septiembre 2019.8. Multas: están establecidas en la cláusula Novena del Otrosí No. 5 de2016.</w:t>
          </w:r>
        </w:p>
        <w:p w14:paraId="3D56CD5D" w14:textId="77777777" w:rsidR="003D5DB4" w:rsidRPr="000D0101" w:rsidRDefault="003D5DB4" w:rsidP="000A5389">
          <w:pPr>
            <w:spacing w:line="240" w:lineRule="auto"/>
          </w:pPr>
        </w:p>
        <w:p w14:paraId="46113D74" w14:textId="77777777" w:rsidR="003D5DB4" w:rsidRPr="000D0101" w:rsidRDefault="003D5DB4" w:rsidP="000A5389">
          <w:pPr>
            <w:spacing w:line="240" w:lineRule="auto"/>
          </w:pPr>
          <w:r w:rsidRPr="000D0101">
            <w:t>Términos de certeza de flujos de efectivo futuros: Se otorga a EL CONCESIONARIO el derecho de ocupar y utilizar en forma temporal y exclusiva las playas, los terrenos de bajamar y zonas accesorias a aquellas o estos, descritos en la cláusula primera del contrato, a cambio de la contraprestación económica. Cláusula séptima, numeral 10.1.3 Del valor a pagar por concepto de contraprestación por Zona de Uso público el 80% le corresponde a la Nación-(INVIAS-ANI) y el 20 % al municipio de Santiago de Tolú y por Infraestructura el 100% a la Nación-(INVIAS-ANI).</w:t>
          </w:r>
        </w:p>
        <w:p w14:paraId="1E6F6EB9" w14:textId="77777777" w:rsidR="003D5DB4" w:rsidRPr="000D0101" w:rsidRDefault="003D5DB4" w:rsidP="000A5389">
          <w:pPr>
            <w:spacing w:line="240" w:lineRule="auto"/>
          </w:pPr>
        </w:p>
        <w:p w14:paraId="33F7720B" w14:textId="77777777" w:rsidR="003D5DB4" w:rsidRPr="000D0101" w:rsidRDefault="003D5DB4" w:rsidP="000A5389">
          <w:pPr>
            <w:spacing w:line="240" w:lineRule="auto"/>
          </w:pPr>
          <w:r w:rsidRPr="000D0101">
            <w:t>Naturaleza y alcance del derecho a utilizar Activos y los aspectos pactados en torno a lo que se espera que el concesionario proporcione en relación con el Acuerdo de concesión</w:t>
          </w:r>
        </w:p>
        <w:p w14:paraId="36DEEABC" w14:textId="77777777" w:rsidR="003D5DB4" w:rsidRPr="000D0101" w:rsidRDefault="003D5DB4" w:rsidP="000A5389">
          <w:pPr>
            <w:spacing w:line="240" w:lineRule="auto"/>
          </w:pPr>
        </w:p>
        <w:p w14:paraId="20E006DD" w14:textId="77777777" w:rsidR="003D5DB4" w:rsidRPr="000D0101" w:rsidRDefault="003D5DB4" w:rsidP="000A5389">
          <w:pPr>
            <w:spacing w:line="240" w:lineRule="auto"/>
          </w:pPr>
          <w:r w:rsidRPr="000D0101">
            <w:t>Naturaleza y alcance del derecho de uso de los Activos</w:t>
          </w:r>
        </w:p>
        <w:p w14:paraId="4D741A96" w14:textId="77777777" w:rsidR="003D5DB4" w:rsidRPr="000D0101" w:rsidRDefault="003D5DB4" w:rsidP="000A5389">
          <w:pPr>
            <w:spacing w:line="240" w:lineRule="auto"/>
          </w:pPr>
        </w:p>
        <w:p w14:paraId="7A2CBF36" w14:textId="77777777" w:rsidR="003D5DB4" w:rsidRPr="000D0101" w:rsidRDefault="003D5DB4" w:rsidP="000A5389">
          <w:pPr>
            <w:spacing w:line="240" w:lineRule="auto"/>
          </w:pPr>
          <w:r w:rsidRPr="000D0101">
            <w:t>Descripción:</w:t>
          </w:r>
          <w:r w:rsidRPr="000D0101">
            <w:tab/>
            <w:t xml:space="preserve">Alcance del derecho de uso de los activos: Descripción del proyecto, especificaciones técnicas, modalidades de operación: las condiciones especiales de operación del puerto están establecidas en la Cláusula Quinta, la cual fue modificada mediante la Cláusula Tercera del Otrosí No. 5.Área entregada en concesión: La descripción de la ubicación, linderos y extensión de los bienes de uso público (playas y terrenos de baja mar, zonas accesorias) entregados en concesión están establecidos en la Cláusula Segunda del </w:t>
          </w:r>
          <w:r w:rsidRPr="000D0101">
            <w:lastRenderedPageBreak/>
            <w:t>Contrato, ajustada mediante la Cláusula Segunda del Otrosí No. 3 y modificada mediante la Cláusula Primera del Otrosí No. 5.</w:t>
          </w:r>
        </w:p>
        <w:p w14:paraId="21B068D7" w14:textId="77777777" w:rsidR="003D5DB4" w:rsidRPr="000D0101" w:rsidRDefault="003D5DB4" w:rsidP="000A5389">
          <w:pPr>
            <w:spacing w:line="240" w:lineRule="auto"/>
          </w:pPr>
        </w:p>
        <w:p w14:paraId="07B2BB14" w14:textId="77777777" w:rsidR="003D5DB4" w:rsidRPr="000D0101" w:rsidRDefault="003D5DB4" w:rsidP="000A5389">
          <w:pPr>
            <w:spacing w:line="240" w:lineRule="auto"/>
          </w:pPr>
          <w:r w:rsidRPr="000D0101">
            <w:t>Observaciones: NA</w:t>
          </w:r>
        </w:p>
        <w:p w14:paraId="6EBF9FDE" w14:textId="77777777" w:rsidR="003D5DB4" w:rsidRPr="000D0101" w:rsidRDefault="003D5DB4" w:rsidP="000A5389">
          <w:pPr>
            <w:spacing w:line="240" w:lineRule="auto"/>
          </w:pPr>
        </w:p>
        <w:p w14:paraId="4864EAEE" w14:textId="77777777" w:rsidR="003D5DB4" w:rsidRPr="000D0101" w:rsidRDefault="003D5DB4" w:rsidP="000A5389">
          <w:pPr>
            <w:spacing w:line="240" w:lineRule="auto"/>
          </w:pPr>
          <w:r w:rsidRPr="000D0101">
            <w:t>Retribución al concesionario</w:t>
          </w:r>
        </w:p>
        <w:p w14:paraId="629579DC" w14:textId="77777777" w:rsidR="003D5DB4" w:rsidRPr="000D0101" w:rsidRDefault="003D5DB4" w:rsidP="000A5389">
          <w:pPr>
            <w:spacing w:line="240" w:lineRule="auto"/>
          </w:pPr>
        </w:p>
        <w:p w14:paraId="1B70DF1D" w14:textId="77777777" w:rsidR="003D5DB4" w:rsidRPr="000D0101" w:rsidRDefault="003D5DB4" w:rsidP="000A5389">
          <w:pPr>
            <w:spacing w:line="240" w:lineRule="auto"/>
          </w:pPr>
          <w:r w:rsidRPr="000D0101">
            <w:t>Descripción:</w:t>
          </w:r>
          <w:r w:rsidRPr="000D0101">
            <w:tab/>
            <w:t>Cláusula primera Contrato 015 de 1996: Se otorga a EL CONCESIONARIO el derecho de ocupar y utilizar en forma temporal y exclusiva las playas, los terrenos de bajamar y zonas accesorias a aquellas o estos, descritos en la cláusula segunda del contrato, a cambio de la contraprestación económica.</w:t>
          </w:r>
        </w:p>
        <w:p w14:paraId="542C2E7B" w14:textId="77777777" w:rsidR="003D5DB4" w:rsidRPr="000D0101" w:rsidRDefault="003D5DB4" w:rsidP="000A5389">
          <w:pPr>
            <w:spacing w:line="240" w:lineRule="auto"/>
          </w:pPr>
        </w:p>
        <w:p w14:paraId="3E000172" w14:textId="77777777" w:rsidR="003D5DB4" w:rsidRPr="000D0101" w:rsidRDefault="003D5DB4" w:rsidP="000A5389">
          <w:pPr>
            <w:spacing w:line="240" w:lineRule="auto"/>
          </w:pPr>
          <w:r w:rsidRPr="000D0101">
            <w:t>Tasa de retribución:</w:t>
          </w:r>
          <w:r w:rsidRPr="000D0101">
            <w:tab/>
            <w:t>NA</w:t>
          </w:r>
        </w:p>
        <w:p w14:paraId="537073D2" w14:textId="77777777" w:rsidR="003D5DB4" w:rsidRPr="000D0101" w:rsidRDefault="003D5DB4" w:rsidP="000A5389">
          <w:pPr>
            <w:spacing w:line="240" w:lineRule="auto"/>
          </w:pPr>
          <w:r w:rsidRPr="000D0101">
            <w:t>Derechos a recibir Activos especificados al final del acuerdo de concesión</w:t>
          </w:r>
        </w:p>
        <w:p w14:paraId="1C181C21" w14:textId="77777777" w:rsidR="003D5DB4" w:rsidRPr="000D0101" w:rsidRDefault="003D5DB4" w:rsidP="000A5389">
          <w:pPr>
            <w:spacing w:line="240" w:lineRule="auto"/>
          </w:pPr>
        </w:p>
        <w:p w14:paraId="63FBD37C" w14:textId="77777777" w:rsidR="003D5DB4" w:rsidRPr="000D0101" w:rsidRDefault="003D5DB4" w:rsidP="000A5389">
          <w:pPr>
            <w:spacing w:line="240" w:lineRule="auto"/>
          </w:pPr>
          <w:r w:rsidRPr="000D0101">
            <w:t>Descripción:</w:t>
          </w:r>
          <w:r w:rsidRPr="000D0101">
            <w:tab/>
            <w:t>De acuerdo con el Artículo 8º de la Ley 1 de 1991 en el modo portuario el concesionario no tiene derechos finales sobre activos los debe revertir a la Nación al final del contrato de concesión.</w:t>
          </w:r>
        </w:p>
        <w:p w14:paraId="4EED3069" w14:textId="77777777" w:rsidR="003D5DB4" w:rsidRPr="000D0101" w:rsidRDefault="003D5DB4" w:rsidP="000A5389">
          <w:pPr>
            <w:spacing w:line="240" w:lineRule="auto"/>
          </w:pPr>
        </w:p>
        <w:p w14:paraId="7C67095A" w14:textId="77777777" w:rsidR="003D5DB4" w:rsidRPr="000D0101" w:rsidRDefault="003D5DB4" w:rsidP="000A5389">
          <w:pPr>
            <w:spacing w:line="240" w:lineRule="auto"/>
          </w:pPr>
          <w:r w:rsidRPr="000D0101">
            <w:t>Observaciones: Reversión: De acuerdo con lo establecido en la cláusula Octava del Otrosí No. 2 de 2005, todas las construcciones e inmuebles por destinación que hayan sido autorizadas, las cuales han de ser levantadas sobre la Zona de uso público, revertirán gratuitamente por el Concesionario. Dichos bienes deberán encontrarse en buen estado de operación y mantenimiento, al extinguirse el plazo inicial de la misma o al ser declarada la caducidad. Obras Adicionales: De acuerdo con lo establecido en la cláusula Cuarta parágrafo sexto del Otrosí No. 5 de 2016, las obras e Inversiones adicionales deberán ser previamente autorizadas por la ANI, previo campamiento de los requisitos que para estos efectos establezca la Ley y el Contrato de Concesión. Para tal fin, en el momento de la reversión el CONCESIONARIO elaborará un inventario de los bienes y los enviará para su revisión y aprobación. La ANI es la entidad concedente pero la titularidad de los activos al final de la concesión es del Instituto Nacional de Vías INVIAS.</w:t>
          </w:r>
        </w:p>
        <w:p w14:paraId="17DEC067" w14:textId="77777777" w:rsidR="003D5DB4" w:rsidRPr="000D0101" w:rsidRDefault="003D5DB4" w:rsidP="000A5389">
          <w:pPr>
            <w:spacing w:line="240" w:lineRule="auto"/>
          </w:pPr>
          <w:r w:rsidRPr="000D0101">
            <w:t>Las alternativas de renovación y cese del acuerdo</w:t>
          </w:r>
        </w:p>
        <w:p w14:paraId="5787E8E3" w14:textId="77777777" w:rsidR="003D5DB4" w:rsidRPr="000D0101" w:rsidRDefault="003D5DB4" w:rsidP="000A5389">
          <w:pPr>
            <w:spacing w:line="240" w:lineRule="auto"/>
          </w:pPr>
        </w:p>
        <w:p w14:paraId="13FE3285" w14:textId="77777777" w:rsidR="003D5DB4" w:rsidRPr="000D0101" w:rsidRDefault="003D5DB4" w:rsidP="000A5389">
          <w:pPr>
            <w:spacing w:line="240" w:lineRule="auto"/>
          </w:pPr>
          <w:r w:rsidRPr="000D0101">
            <w:t>Descripción:</w:t>
          </w:r>
          <w:r w:rsidRPr="000D0101">
            <w:tab/>
            <w:t>En la CLÁUSULA DÉCIMA OCTAVA del contrato se evidencia el cese del acuerdo</w:t>
          </w:r>
        </w:p>
        <w:p w14:paraId="19E4DAEE" w14:textId="77777777" w:rsidR="003D5DB4" w:rsidRPr="000D0101" w:rsidRDefault="003D5DB4" w:rsidP="000A5389">
          <w:pPr>
            <w:spacing w:line="240" w:lineRule="auto"/>
          </w:pPr>
        </w:p>
        <w:p w14:paraId="7BAFA24A" w14:textId="77777777" w:rsidR="003D5DB4" w:rsidRPr="000D0101" w:rsidRDefault="003D5DB4" w:rsidP="000A5389">
          <w:pPr>
            <w:spacing w:line="240" w:lineRule="auto"/>
          </w:pPr>
          <w:r w:rsidRPr="000D0101">
            <w:t>Observaciones: No se tiene ninguna observación</w:t>
          </w:r>
        </w:p>
        <w:p w14:paraId="1BF1FC2D" w14:textId="77777777" w:rsidR="003D5DB4" w:rsidRPr="000D0101" w:rsidRDefault="003D5DB4" w:rsidP="000A5389">
          <w:pPr>
            <w:spacing w:line="240" w:lineRule="auto"/>
          </w:pPr>
        </w:p>
        <w:p w14:paraId="2D64179A" w14:textId="77777777" w:rsidR="003D5DB4" w:rsidRPr="000D0101" w:rsidRDefault="003D5DB4" w:rsidP="000A5389">
          <w:pPr>
            <w:spacing w:line="240" w:lineRule="auto"/>
          </w:pPr>
          <w:r w:rsidRPr="000D0101">
            <w:t>Cambios en el acuerdo de concesión que se realicen durante el periodo fiscal</w:t>
          </w:r>
        </w:p>
        <w:p w14:paraId="73EA2CD5" w14:textId="77777777" w:rsidR="003D5DB4" w:rsidRPr="000D0101" w:rsidRDefault="003D5DB4" w:rsidP="000A5389">
          <w:pPr>
            <w:spacing w:line="240" w:lineRule="auto"/>
          </w:pPr>
        </w:p>
        <w:p w14:paraId="79C6E8ED" w14:textId="77777777" w:rsidR="003D5DB4" w:rsidRPr="000D0101" w:rsidRDefault="003D5DB4" w:rsidP="000A5389">
          <w:pPr>
            <w:spacing w:line="240" w:lineRule="auto"/>
          </w:pPr>
          <w:r w:rsidRPr="000D0101">
            <w:t>Adiciones o modificaciones en tiempo</w:t>
          </w:r>
        </w:p>
        <w:p w14:paraId="5EE2CE8C" w14:textId="77777777" w:rsidR="003D5DB4" w:rsidRPr="000D0101" w:rsidRDefault="003D5DB4" w:rsidP="000A5389">
          <w:pPr>
            <w:spacing w:line="240" w:lineRule="auto"/>
          </w:pPr>
          <w:r w:rsidRPr="000D0101">
            <w:t>Fechas de las adiciones o modificaciones:</w:t>
          </w:r>
          <w:r w:rsidRPr="000D0101">
            <w:tab/>
            <w:t>Otrosí No. 5 de 2016 – Prórroga de 20 años</w:t>
          </w:r>
        </w:p>
        <w:p w14:paraId="3E1AB3D7" w14:textId="77777777" w:rsidR="003D5DB4" w:rsidRPr="000D0101" w:rsidRDefault="003D5DB4" w:rsidP="000A5389">
          <w:pPr>
            <w:spacing w:line="240" w:lineRule="auto"/>
          </w:pPr>
          <w:r w:rsidRPr="000D0101">
            <w:t>Nueva fecha de finalización estimada: 26 de septiembre de 2036</w:t>
          </w:r>
        </w:p>
        <w:p w14:paraId="217216EC" w14:textId="77777777" w:rsidR="003D5DB4" w:rsidRPr="000D0101" w:rsidRDefault="003D5DB4" w:rsidP="000A5389">
          <w:pPr>
            <w:spacing w:line="240" w:lineRule="auto"/>
          </w:pPr>
          <w:r w:rsidRPr="000D0101">
            <w:t>Observaciones: Contrato en período de prórroga</w:t>
          </w:r>
        </w:p>
        <w:p w14:paraId="30E63114" w14:textId="77777777" w:rsidR="003D5DB4" w:rsidRPr="000D0101" w:rsidRDefault="003D5DB4" w:rsidP="000A5389">
          <w:pPr>
            <w:spacing w:line="240" w:lineRule="auto"/>
          </w:pPr>
          <w:r w:rsidRPr="000D0101">
            <w:lastRenderedPageBreak/>
            <w:t>Adiciones o modificaciones en valor</w:t>
          </w:r>
        </w:p>
        <w:p w14:paraId="09F5A1D6" w14:textId="77777777" w:rsidR="003D5DB4" w:rsidRPr="000D0101" w:rsidRDefault="003D5DB4" w:rsidP="000A5389">
          <w:pPr>
            <w:spacing w:line="240" w:lineRule="auto"/>
          </w:pPr>
          <w:r w:rsidRPr="000D0101">
            <w:t>Valor de la adición o modificación: Otrosí No. 5 de 2016 – Inversión adicional de USD $6.000.000</w:t>
          </w:r>
        </w:p>
        <w:p w14:paraId="2F4E52DA" w14:textId="77777777" w:rsidR="003D5DB4" w:rsidRPr="000D0101" w:rsidRDefault="003D5DB4" w:rsidP="000A5389">
          <w:pPr>
            <w:spacing w:line="240" w:lineRule="auto"/>
          </w:pPr>
          <w:r w:rsidRPr="000D0101">
            <w:t>Nuevo valor del acuerdo: USD $11.570.283</w:t>
          </w:r>
        </w:p>
        <w:p w14:paraId="6ACD534E" w14:textId="77777777" w:rsidR="003D5DB4" w:rsidRPr="000D0101" w:rsidRDefault="003D5DB4" w:rsidP="000A5389">
          <w:pPr>
            <w:spacing w:line="240" w:lineRule="auto"/>
          </w:pPr>
          <w:r w:rsidRPr="000D0101">
            <w:t>Observaciones: NA</w:t>
          </w:r>
        </w:p>
        <w:p w14:paraId="6201B691" w14:textId="77777777" w:rsidR="003D5DB4" w:rsidRPr="000D0101" w:rsidRDefault="003D5DB4" w:rsidP="000A5389">
          <w:pPr>
            <w:spacing w:line="240" w:lineRule="auto"/>
            <w:rPr>
              <w:rFonts w:eastAsia="Times New Roman"/>
              <w:lang w:eastAsia="es-CO"/>
            </w:rPr>
          </w:pPr>
        </w:p>
        <w:p w14:paraId="76C5D3C8" w14:textId="77777777" w:rsidR="003D5DB4" w:rsidRPr="000D0101" w:rsidRDefault="003D5DB4" w:rsidP="000A5389">
          <w:pPr>
            <w:spacing w:line="240" w:lineRule="auto"/>
            <w:rPr>
              <w:rFonts w:eastAsia="Times New Roman"/>
              <w:lang w:eastAsia="es-CO"/>
            </w:rPr>
          </w:pPr>
        </w:p>
        <w:p w14:paraId="1E5A8A35" w14:textId="77777777" w:rsidR="003D5DB4" w:rsidRPr="00915852" w:rsidRDefault="003D5DB4" w:rsidP="000A5389">
          <w:pPr>
            <w:spacing w:line="240" w:lineRule="auto"/>
            <w:rPr>
              <w:rFonts w:eastAsia="Times New Roman"/>
              <w:i/>
              <w:iCs/>
              <w:lang w:eastAsia="es-CO"/>
            </w:rPr>
          </w:pPr>
          <w:r w:rsidRPr="00915852">
            <w:rPr>
              <w:rFonts w:eastAsia="Times New Roman"/>
              <w:i/>
              <w:iCs/>
              <w:lang w:eastAsia="es-CO"/>
            </w:rPr>
            <w:t xml:space="preserve">COREMAR SHORE BASE SA </w:t>
          </w:r>
        </w:p>
        <w:p w14:paraId="1274D21F" w14:textId="77777777" w:rsidR="003D5DB4" w:rsidRPr="000D0101" w:rsidRDefault="003D5DB4" w:rsidP="000A5389">
          <w:pPr>
            <w:spacing w:line="240" w:lineRule="auto"/>
          </w:pPr>
        </w:p>
        <w:p w14:paraId="26ADB1F3" w14:textId="77777777" w:rsidR="003D5DB4" w:rsidRPr="000D0101" w:rsidRDefault="003D5DB4" w:rsidP="000A5389">
          <w:pPr>
            <w:spacing w:line="240" w:lineRule="auto"/>
          </w:pPr>
          <w:r w:rsidRPr="000D0101">
            <w:t>Descripción del Acuerdo</w:t>
          </w:r>
        </w:p>
        <w:p w14:paraId="70908414" w14:textId="77777777" w:rsidR="003D5DB4" w:rsidRPr="000D0101" w:rsidRDefault="003D5DB4" w:rsidP="000A5389">
          <w:pPr>
            <w:spacing w:line="240" w:lineRule="auto"/>
          </w:pPr>
        </w:p>
        <w:p w14:paraId="7327D412" w14:textId="77777777" w:rsidR="003D5DB4" w:rsidRPr="000D0101" w:rsidRDefault="003D5DB4" w:rsidP="000A5389">
          <w:pPr>
            <w:spacing w:line="240" w:lineRule="auto"/>
          </w:pPr>
          <w:r w:rsidRPr="000D0101">
            <w:t>Número del Acuerdo de concesión: 002 de 2015</w:t>
          </w:r>
        </w:p>
        <w:p w14:paraId="59FFAA74" w14:textId="77777777" w:rsidR="003D5DB4" w:rsidRPr="000D0101" w:rsidRDefault="003D5DB4" w:rsidP="000A5389">
          <w:pPr>
            <w:spacing w:line="240" w:lineRule="auto"/>
          </w:pPr>
        </w:p>
        <w:p w14:paraId="403AFDFB" w14:textId="77777777" w:rsidR="003D5DB4" w:rsidRPr="000D0101" w:rsidRDefault="003D5DB4" w:rsidP="000A5389">
          <w:pPr>
            <w:spacing w:line="240" w:lineRule="auto"/>
          </w:pPr>
          <w:r w:rsidRPr="000D0101">
            <w:t>Objeto / Descripción: En virtud del Contrato de concesión, se permite al CONCESIONARIO la ocupación en forma temporal y exclusiva de una zona de playas, de bajamar y aguas marítimas accesorias, para la construcción, operación y el desarrollo de actividades portuarias de servicio público, conforme lo establece la Cláusula Primera del Contrato.</w:t>
          </w:r>
        </w:p>
        <w:p w14:paraId="322E57DB" w14:textId="77777777" w:rsidR="003D5DB4" w:rsidRPr="000D0101" w:rsidRDefault="003D5DB4" w:rsidP="000A5389">
          <w:pPr>
            <w:spacing w:line="240" w:lineRule="auto"/>
          </w:pPr>
        </w:p>
        <w:p w14:paraId="36ED45F3" w14:textId="77777777" w:rsidR="003D5DB4" w:rsidRPr="000D0101" w:rsidRDefault="003D5DB4" w:rsidP="000A5389">
          <w:pPr>
            <w:spacing w:line="240" w:lineRule="auto"/>
          </w:pPr>
          <w:r w:rsidRPr="000D0101">
            <w:t>Valor inicial:</w:t>
          </w:r>
          <w:r w:rsidRPr="000D0101">
            <w:tab/>
            <w:t>USD $1.842.998 Cláusula décima tercera/ Contrato No 002 de 2015.Valor del Contrato actualizado: USD $1.368.189 / Cláusula tercera / Otrosí No. 1 de 2021.</w:t>
          </w:r>
        </w:p>
        <w:p w14:paraId="47A14981" w14:textId="77777777" w:rsidR="003D5DB4" w:rsidRPr="000D0101" w:rsidRDefault="003D5DB4" w:rsidP="000A5389">
          <w:pPr>
            <w:spacing w:line="240" w:lineRule="auto"/>
          </w:pPr>
          <w:r w:rsidRPr="000D0101">
            <w:t>Fecha de inicio: 1/07/2016</w:t>
          </w:r>
        </w:p>
        <w:p w14:paraId="118DA59E" w14:textId="77777777" w:rsidR="003D5DB4" w:rsidRPr="000D0101" w:rsidRDefault="003D5DB4" w:rsidP="000A5389">
          <w:pPr>
            <w:spacing w:line="240" w:lineRule="auto"/>
          </w:pPr>
          <w:r w:rsidRPr="000D0101">
            <w:t>Fecha de finalización estimada: 30/06/2036</w:t>
          </w:r>
        </w:p>
        <w:p w14:paraId="02176A61" w14:textId="77777777" w:rsidR="003D5DB4" w:rsidRPr="000D0101" w:rsidRDefault="003D5DB4" w:rsidP="000A5389">
          <w:pPr>
            <w:spacing w:line="240" w:lineRule="auto"/>
          </w:pPr>
          <w:r w:rsidRPr="000D0101">
            <w:t>Tipo ID: NIT</w:t>
          </w:r>
        </w:p>
        <w:p w14:paraId="5758C5C2" w14:textId="77777777" w:rsidR="003D5DB4" w:rsidRPr="000D0101" w:rsidRDefault="003D5DB4" w:rsidP="000A5389">
          <w:pPr>
            <w:spacing w:line="240" w:lineRule="auto"/>
          </w:pPr>
          <w:r w:rsidRPr="000D0101">
            <w:t>Número ID: 900815014-6</w:t>
          </w:r>
        </w:p>
        <w:p w14:paraId="03A77801" w14:textId="77777777" w:rsidR="003D5DB4" w:rsidRPr="000D0101" w:rsidRDefault="003D5DB4" w:rsidP="000A5389">
          <w:pPr>
            <w:spacing w:line="240" w:lineRule="auto"/>
          </w:pPr>
          <w:r w:rsidRPr="000D0101">
            <w:t>Razón social del concesionario: Sociedad Coremar Shore Base S.A.</w:t>
          </w:r>
        </w:p>
        <w:p w14:paraId="4AB35E48" w14:textId="77777777" w:rsidR="003D5DB4" w:rsidRPr="000D0101" w:rsidRDefault="003D5DB4" w:rsidP="000A5389">
          <w:pPr>
            <w:spacing w:line="240" w:lineRule="auto"/>
          </w:pPr>
          <w:r w:rsidRPr="000D0101">
            <w:t>Nombre del proyecto: Sociedad Coremar Shore Base S.A.</w:t>
          </w:r>
        </w:p>
        <w:p w14:paraId="5E34D888" w14:textId="77777777" w:rsidR="003D5DB4" w:rsidRPr="000D0101" w:rsidRDefault="003D5DB4" w:rsidP="000A5389">
          <w:pPr>
            <w:spacing w:line="240" w:lineRule="auto"/>
          </w:pPr>
        </w:p>
        <w:p w14:paraId="2C63B439" w14:textId="77777777" w:rsidR="003D5DB4" w:rsidRPr="000D0101" w:rsidRDefault="003D5DB4" w:rsidP="000A5389">
          <w:pPr>
            <w:spacing w:line="240" w:lineRule="auto"/>
          </w:pPr>
          <w:r w:rsidRPr="000D0101">
            <w:t>Términos significativos del Acuerdo que puedan afectar su valor, el calendario y la certeza de los flujos de efectivo futuros</w:t>
          </w:r>
        </w:p>
        <w:p w14:paraId="0805A7E2" w14:textId="77777777" w:rsidR="003D5DB4" w:rsidRPr="000D0101" w:rsidRDefault="003D5DB4" w:rsidP="000A5389">
          <w:pPr>
            <w:spacing w:line="240" w:lineRule="auto"/>
          </w:pPr>
        </w:p>
        <w:p w14:paraId="5C062CEA" w14:textId="77777777" w:rsidR="003D5DB4" w:rsidRPr="000D0101" w:rsidRDefault="003D5DB4" w:rsidP="000A5389">
          <w:pPr>
            <w:spacing w:line="240" w:lineRule="auto"/>
          </w:pPr>
          <w:r w:rsidRPr="000D0101">
            <w:t xml:space="preserve">Términos de valor: 1: Tarifas: Al ser el terminal marítimo de servicio público la Ley 1 de 1991 establece: Las sociedades portuarias que operan puertos de servicio público las tarifas requieren ser aprobadas según la metodología establecida por la Superintendencia General de Puertos hoy Superintendencia de Transporte.2: Contraprestación portuaria: De acuerdo con el último documento contractual vigente la metodología de contraprestación vigente es CONPES 3744 de 2013 (Componentes Fijo y Variable). A febrero de 2025 el CONCESIONARIO debió pagar USD180.989. El valor correspondiente a la contraprestación por zona de uso público resultará de la diferencia entre el valor de la liquidación total y el valor de la infraestructura. Y el recaudo se realizará de conformidad con la ley 856 de 2003, es decir, ZUP el 80% le corresponde a la Nación (INVIAS-ANI) y el 20% restante al distrito de Cartagena; e INFRAESTRUCTURA en un 100% a la Nación - (INVIAS-ANI).3: Plan de Inversiones: está establecido en la cláusula décima segunda del contrato, modificado por el otrosí No. 1 de 2021 en la cláusula segunda donde establece el plan de inversiones será USD $7.473.335 constantes de diciembre de 2014 y ejecutará </w:t>
          </w:r>
          <w:r w:rsidRPr="000D0101">
            <w:lastRenderedPageBreak/>
            <w:t>inversiones por cuenta y riesgo por USD $579.463 constantes de diciembre de 2014.Obligaciones del CONCESIONARIO: se encuentran descritas en la cláusula vigésima del contrato. Multas y sanciones: están establecidas en la cláusula vigésima tercera del contrato. Penal pecuniaria: En la cláusula vigésima cuarta del contrato se establece que en el evento en que la ANI declare la caducidad o el incumplimiento del presente contrato se podrá imponer una penalidad pecuniaria del 10% del valor total de la contraprestación</w:t>
          </w:r>
        </w:p>
        <w:p w14:paraId="73F60677" w14:textId="77777777" w:rsidR="003D5DB4" w:rsidRPr="000D0101" w:rsidRDefault="003D5DB4" w:rsidP="000A5389">
          <w:pPr>
            <w:spacing w:line="240" w:lineRule="auto"/>
          </w:pPr>
        </w:p>
        <w:p w14:paraId="4062EDEE" w14:textId="77777777" w:rsidR="003D5DB4" w:rsidRPr="000D0101" w:rsidRDefault="003D5DB4" w:rsidP="000A5389">
          <w:pPr>
            <w:spacing w:line="240" w:lineRule="auto"/>
          </w:pPr>
          <w:r w:rsidRPr="000D0101">
            <w:t>Términos de calendario: 1: Tarifas: Aprobadas según la metodología establecida por la Superintendencia General de Puertos hoy Superintendencia de Transporte.2: Contraprestación portuaria: De acuerdo con el último documento contractual vigente la metodología de contraprestación vigente es CONPES 3744 de 2013 (Componentes Fijo y Variable). A febrero de 2023 el CONCESIONARIO tenía saldo a favor. El valor correspondiente a la contraprestación por zona de uso público resultará de la diferencia entre el valor de la liquidación total y el valor de la infraestructura. Y el recaudo se realizará de conformidad con la ley 856 de 2003, es decir, ZUP el 80% le corresponde a la Nación (INVIAS-ANI) y el 20% restante al distrito de Cartagena; e INFRAESTRUCTURA en un 100% a la Nación - (INVIAS-ANI).3: Plan de inversiones: Se estableció en la cláusula decima segunda del contrato modificado por el otrosí No. 1 de 2021 en la cláusula segunda la ejecución de inversiones en el periodo de tiempo comprendido entre el año 2016 a 2026.4: Multas: Cláusula vigésima tercera del contrato 002 de 2015.</w:t>
          </w:r>
        </w:p>
        <w:p w14:paraId="2E4E901D" w14:textId="77777777" w:rsidR="003D5DB4" w:rsidRPr="000D0101" w:rsidRDefault="003D5DB4" w:rsidP="000A5389">
          <w:pPr>
            <w:spacing w:line="240" w:lineRule="auto"/>
          </w:pPr>
        </w:p>
        <w:p w14:paraId="16FB7B69" w14:textId="77777777" w:rsidR="003D5DB4" w:rsidRPr="000D0101" w:rsidRDefault="003D5DB4" w:rsidP="000A5389">
          <w:pPr>
            <w:spacing w:line="240" w:lineRule="auto"/>
          </w:pPr>
          <w:r w:rsidRPr="000D0101">
            <w:t>Términos de certeza de flujos de efectivo futuros: Se otorga a EL CONCESIONARIO la autorización de ocupar en forma temporal y exclusiva de los bienes de uso público descrito en la cláusula segunda del contrato, a cambio de la contraprestación económica. Cláusula Décima Tercera, numeral 13.1 Del valor a pagar por concepto de contraprestación por Zona de Uso público el 80% le corresponde a la Nación-(INVIAS-ANI) y el 20 % al Distrito turístico de Cartagena de Indias y por Infraestructura el 100% a la Nación-(INVIAS-ANI).</w:t>
          </w:r>
        </w:p>
        <w:p w14:paraId="48BA1A93" w14:textId="77777777" w:rsidR="003D5DB4" w:rsidRPr="000D0101" w:rsidRDefault="003D5DB4" w:rsidP="000A5389">
          <w:pPr>
            <w:spacing w:line="240" w:lineRule="auto"/>
          </w:pPr>
        </w:p>
        <w:p w14:paraId="269A526B" w14:textId="77777777" w:rsidR="003D5DB4" w:rsidRPr="000D0101" w:rsidRDefault="003D5DB4" w:rsidP="000A5389">
          <w:pPr>
            <w:spacing w:line="240" w:lineRule="auto"/>
          </w:pPr>
          <w:r w:rsidRPr="000D0101">
            <w:t>Naturaleza y alcance del derecho a utilizar Activos y los aspectos pactados en torno a lo que se espera que el concesionario proporcione en relación con el Acuerdo de concesión</w:t>
          </w:r>
        </w:p>
        <w:p w14:paraId="0958A49F" w14:textId="77777777" w:rsidR="003D5DB4" w:rsidRPr="000D0101" w:rsidRDefault="003D5DB4" w:rsidP="000A5389">
          <w:pPr>
            <w:spacing w:line="240" w:lineRule="auto"/>
          </w:pPr>
        </w:p>
        <w:p w14:paraId="28B021C2" w14:textId="77777777" w:rsidR="003D5DB4" w:rsidRPr="000D0101" w:rsidRDefault="003D5DB4" w:rsidP="000A5389">
          <w:pPr>
            <w:spacing w:line="240" w:lineRule="auto"/>
          </w:pPr>
          <w:r w:rsidRPr="000D0101">
            <w:t>Naturaleza y alcance del derecho de uso de los Activos</w:t>
          </w:r>
        </w:p>
        <w:p w14:paraId="080BD996" w14:textId="77777777" w:rsidR="003D5DB4" w:rsidRPr="000D0101" w:rsidRDefault="003D5DB4" w:rsidP="000A5389">
          <w:pPr>
            <w:spacing w:line="240" w:lineRule="auto"/>
          </w:pPr>
        </w:p>
        <w:p w14:paraId="49A6F541" w14:textId="77777777" w:rsidR="003D5DB4" w:rsidRPr="000D0101" w:rsidRDefault="003D5DB4" w:rsidP="000A5389">
          <w:pPr>
            <w:spacing w:line="240" w:lineRule="auto"/>
          </w:pPr>
          <w:r w:rsidRPr="000D0101">
            <w:t>Descripción: Descripción del proyecto, especificaciones técnicas, modalidades de operación: las condiciones especiales de operación del puerto están establecidas en la cláusula primera del Otrosí No. 1 de 2022.Área entregada en concesión: La descripción de la ubicación, linderos y extensión de los bienes de uso público (playas y terrenos de baja mar, zonas marítimas accesorias de maniobras) entregados en concesión están establecidos en la cláusula segunda. Infraestructura y equipos entregados en concesión: En la cláusula segunda del Contrato, se describe que lo entregado en concesión fue: Infraestructura: Muelle marginal de 465.6 m2Equipos: en el contrato de concesión portuaria no fueron entregados activos relacionados con equipos.</w:t>
          </w:r>
        </w:p>
        <w:p w14:paraId="251BAD6F" w14:textId="77777777" w:rsidR="003D5DB4" w:rsidRPr="000D0101" w:rsidRDefault="003D5DB4" w:rsidP="000A5389">
          <w:pPr>
            <w:spacing w:line="240" w:lineRule="auto"/>
          </w:pPr>
        </w:p>
        <w:p w14:paraId="31D9479A" w14:textId="77777777" w:rsidR="003D5DB4" w:rsidRPr="000D0101" w:rsidRDefault="003D5DB4" w:rsidP="000A5389">
          <w:pPr>
            <w:spacing w:line="240" w:lineRule="auto"/>
          </w:pPr>
          <w:r w:rsidRPr="000D0101">
            <w:t>Observaciones: N/A</w:t>
          </w:r>
        </w:p>
        <w:p w14:paraId="779CB556" w14:textId="77777777" w:rsidR="003D5DB4" w:rsidRPr="000D0101" w:rsidRDefault="003D5DB4" w:rsidP="000A5389">
          <w:pPr>
            <w:spacing w:line="240" w:lineRule="auto"/>
          </w:pPr>
        </w:p>
        <w:p w14:paraId="51E58EA4" w14:textId="77777777" w:rsidR="003D5DB4" w:rsidRPr="000D0101" w:rsidRDefault="003D5DB4" w:rsidP="000A5389">
          <w:pPr>
            <w:spacing w:line="240" w:lineRule="auto"/>
          </w:pPr>
          <w:r w:rsidRPr="000D0101">
            <w:t>Retribución al concesionario</w:t>
          </w:r>
        </w:p>
        <w:p w14:paraId="6E9E00B8" w14:textId="77777777" w:rsidR="003D5DB4" w:rsidRPr="000D0101" w:rsidRDefault="003D5DB4" w:rsidP="000A5389">
          <w:pPr>
            <w:spacing w:line="240" w:lineRule="auto"/>
          </w:pPr>
        </w:p>
        <w:p w14:paraId="3E8E7633" w14:textId="77777777" w:rsidR="003D5DB4" w:rsidRPr="000D0101" w:rsidRDefault="003D5DB4" w:rsidP="000A5389">
          <w:pPr>
            <w:spacing w:line="240" w:lineRule="auto"/>
          </w:pPr>
          <w:r w:rsidRPr="000D0101">
            <w:t>Descripción: Cláusula primera Contrato 002 de 2015: Se otorga a EL CONCESIONARIO la autorización de ocupar en forma temporal y exclusiva de los bienes de uso público descrito en la cláusula segunda del contrato, a cambio de la contraprestación económica.</w:t>
          </w:r>
          <w:r w:rsidRPr="000D0101">
            <w:cr/>
          </w:r>
        </w:p>
        <w:p w14:paraId="7A5956F8" w14:textId="77777777" w:rsidR="003D5DB4" w:rsidRPr="000D0101" w:rsidRDefault="003D5DB4" w:rsidP="000A5389">
          <w:pPr>
            <w:spacing w:line="240" w:lineRule="auto"/>
          </w:pPr>
          <w:r w:rsidRPr="000D0101">
            <w:t>Tasa de retribución: N/A</w:t>
          </w:r>
        </w:p>
        <w:p w14:paraId="506A5D22" w14:textId="77777777" w:rsidR="003D5DB4" w:rsidRPr="000D0101" w:rsidRDefault="003D5DB4" w:rsidP="000A5389">
          <w:pPr>
            <w:spacing w:line="240" w:lineRule="auto"/>
          </w:pPr>
        </w:p>
        <w:p w14:paraId="1B83B0B4" w14:textId="77777777" w:rsidR="003D5DB4" w:rsidRPr="000D0101" w:rsidRDefault="003D5DB4" w:rsidP="000A5389">
          <w:pPr>
            <w:spacing w:line="240" w:lineRule="auto"/>
          </w:pPr>
          <w:r w:rsidRPr="000D0101">
            <w:t>Derechos a recibir Activos especificados al final del acuerdo de concesión</w:t>
          </w:r>
        </w:p>
        <w:p w14:paraId="261EAA95" w14:textId="77777777" w:rsidR="003D5DB4" w:rsidRPr="000D0101" w:rsidRDefault="003D5DB4" w:rsidP="000A5389">
          <w:pPr>
            <w:spacing w:line="240" w:lineRule="auto"/>
          </w:pPr>
        </w:p>
        <w:p w14:paraId="0182CAA8" w14:textId="77777777" w:rsidR="003D5DB4" w:rsidRPr="000D0101" w:rsidRDefault="003D5DB4" w:rsidP="000A5389">
          <w:pPr>
            <w:spacing w:line="240" w:lineRule="auto"/>
          </w:pPr>
          <w:r w:rsidRPr="000D0101">
            <w:t>Descripción: De acuerdo con el Artículo 8º de la Ley 1 de 1991 en el modo portuario el concesionario no tiene derechos finales sobre activos los debe revertir a la Nación al final del contrato de concesión.</w:t>
          </w:r>
        </w:p>
        <w:p w14:paraId="11A54F2C" w14:textId="77777777" w:rsidR="003D5DB4" w:rsidRPr="000D0101" w:rsidRDefault="003D5DB4" w:rsidP="000A5389">
          <w:pPr>
            <w:spacing w:line="240" w:lineRule="auto"/>
          </w:pPr>
        </w:p>
        <w:p w14:paraId="0DDB110C" w14:textId="77777777" w:rsidR="003D5DB4" w:rsidRPr="000D0101" w:rsidRDefault="003D5DB4" w:rsidP="000A5389">
          <w:pPr>
            <w:spacing w:line="240" w:lineRule="auto"/>
          </w:pPr>
          <w:r w:rsidRPr="000D0101">
            <w:t>Observaciones: Reversión: De acuerdo con lo establecido en la cláusula trigésima cuarta del contrato de concesión, la zona de uso público y todas las construcciones e inmuebles por destinación existentes, así como los que se autoricen por la ANI, levantadas o construidas en la zona de uso público que ha sido determinada o que se encuentren habitualmente instaladas se revertirán a la Nación en buenas condiciones de operación tecnológica, mantenimiento y de adecuada eficiencia al término de este contrato y de las prórrogas si la hubiere. Igualmente procederá la reversión al ser declarado la caducidad o la terminación unilateral. Para tal fin, en el momento de la reversión el CONCESIONARIO deberá hacer entrega de un avaluó comercial actualizado y valoración técnica de las condiciones de operación de la infraestructura portuaria, equipos e inmuebles por destinación que habitualmente se encuentren instalados en las zonas de uso público que se revierten y que son propiedad de la Nación. La ANI es la entidad concedente pero la titularidad de los activos al final de la concesión es del Instituto Nacional de Vías INVIAS.</w:t>
          </w:r>
        </w:p>
        <w:p w14:paraId="2829B1F8" w14:textId="77777777" w:rsidR="003D5DB4" w:rsidRPr="000D0101" w:rsidRDefault="003D5DB4" w:rsidP="000A5389">
          <w:pPr>
            <w:spacing w:line="240" w:lineRule="auto"/>
          </w:pPr>
        </w:p>
        <w:p w14:paraId="629D468E" w14:textId="77777777" w:rsidR="003D5DB4" w:rsidRPr="000D0101" w:rsidRDefault="003D5DB4" w:rsidP="000A5389">
          <w:pPr>
            <w:spacing w:line="240" w:lineRule="auto"/>
          </w:pPr>
          <w:r w:rsidRPr="000D0101">
            <w:t>Las alternativas de renovación y cese del acuerdo</w:t>
          </w:r>
        </w:p>
        <w:p w14:paraId="46A89468" w14:textId="77777777" w:rsidR="003D5DB4" w:rsidRPr="000D0101" w:rsidRDefault="003D5DB4" w:rsidP="000A5389">
          <w:pPr>
            <w:spacing w:line="240" w:lineRule="auto"/>
          </w:pPr>
        </w:p>
        <w:p w14:paraId="4C5241A2" w14:textId="77777777" w:rsidR="003D5DB4" w:rsidRPr="000D0101" w:rsidRDefault="003D5DB4" w:rsidP="000A5389">
          <w:pPr>
            <w:spacing w:line="240" w:lineRule="auto"/>
          </w:pPr>
          <w:r w:rsidRPr="000D0101">
            <w:t>Descripción: Las alternativas de renovación se encuentran en la CLAUSULA 11 - PRÓRROGA DE CONCESIÓN y el cese del acuerdo en la CLAUSULA 30 - TERMINACIÓN DE CONTRATO</w:t>
          </w:r>
        </w:p>
        <w:p w14:paraId="0AACB441" w14:textId="77777777" w:rsidR="003D5DB4" w:rsidRPr="000D0101" w:rsidRDefault="003D5DB4" w:rsidP="000A5389">
          <w:pPr>
            <w:spacing w:line="240" w:lineRule="auto"/>
          </w:pPr>
        </w:p>
        <w:p w14:paraId="1E8BD145" w14:textId="77777777" w:rsidR="003D5DB4" w:rsidRPr="000D0101" w:rsidRDefault="003D5DB4" w:rsidP="000A5389">
          <w:pPr>
            <w:spacing w:line="240" w:lineRule="auto"/>
          </w:pPr>
          <w:r w:rsidRPr="000D0101">
            <w:t>Observaciones: No se tiene ninguna observación</w:t>
          </w:r>
        </w:p>
        <w:p w14:paraId="74E80B9F" w14:textId="77777777" w:rsidR="003D5DB4" w:rsidRPr="000D0101" w:rsidRDefault="003D5DB4" w:rsidP="000A5389">
          <w:pPr>
            <w:spacing w:line="240" w:lineRule="auto"/>
          </w:pPr>
        </w:p>
        <w:p w14:paraId="0512BE83" w14:textId="77777777" w:rsidR="003D5DB4" w:rsidRPr="000D0101" w:rsidRDefault="003D5DB4" w:rsidP="000A5389">
          <w:pPr>
            <w:spacing w:line="240" w:lineRule="auto"/>
          </w:pPr>
          <w:r w:rsidRPr="000D0101">
            <w:t>Cambios en el acuerdo de concesión que se realicen durante el periodo fiscal</w:t>
          </w:r>
        </w:p>
        <w:p w14:paraId="3B2362DC" w14:textId="77777777" w:rsidR="003D5DB4" w:rsidRPr="000D0101" w:rsidRDefault="003D5DB4" w:rsidP="000A5389">
          <w:pPr>
            <w:spacing w:line="240" w:lineRule="auto"/>
          </w:pPr>
        </w:p>
        <w:p w14:paraId="57945F66" w14:textId="77777777" w:rsidR="003D5DB4" w:rsidRPr="000D0101" w:rsidRDefault="003D5DB4" w:rsidP="000A5389">
          <w:pPr>
            <w:spacing w:line="240" w:lineRule="auto"/>
          </w:pPr>
          <w:r w:rsidRPr="000D0101">
            <w:t>Adiciones o modificaciones en tiempo</w:t>
          </w:r>
        </w:p>
        <w:p w14:paraId="721C9ED9" w14:textId="77777777" w:rsidR="003D5DB4" w:rsidRPr="000D0101" w:rsidRDefault="003D5DB4" w:rsidP="000A5389">
          <w:pPr>
            <w:spacing w:line="240" w:lineRule="auto"/>
          </w:pPr>
          <w:r w:rsidRPr="000D0101">
            <w:t>Fechas de las adiciones o modificaciones: Otrosí No. 1 - Junio de 2022</w:t>
          </w:r>
        </w:p>
        <w:p w14:paraId="4F06E005" w14:textId="77777777" w:rsidR="003D5DB4" w:rsidRPr="000D0101" w:rsidRDefault="003D5DB4" w:rsidP="000A5389">
          <w:pPr>
            <w:spacing w:line="240" w:lineRule="auto"/>
          </w:pPr>
          <w:r w:rsidRPr="000D0101">
            <w:t>Nueva fecha de finalización estimada: Nuevas fechas de cumplimiento de compromisos, con hitos de inversión distribuidos entre 2023 y 2028</w:t>
          </w:r>
        </w:p>
        <w:p w14:paraId="55CCFCF4" w14:textId="77777777" w:rsidR="003D5DB4" w:rsidRPr="000D0101" w:rsidRDefault="003D5DB4" w:rsidP="000A5389">
          <w:pPr>
            <w:spacing w:line="240" w:lineRule="auto"/>
          </w:pPr>
          <w:r w:rsidRPr="000D0101">
            <w:t>Observaciones: N/A</w:t>
          </w:r>
        </w:p>
        <w:p w14:paraId="3410EE04" w14:textId="77777777" w:rsidR="003D5DB4" w:rsidRPr="000D0101" w:rsidRDefault="003D5DB4" w:rsidP="000A5389">
          <w:pPr>
            <w:spacing w:line="240" w:lineRule="auto"/>
          </w:pPr>
          <w:r w:rsidRPr="000D0101">
            <w:lastRenderedPageBreak/>
            <w:t>Adiciones o modificaciones en valor</w:t>
          </w:r>
        </w:p>
        <w:p w14:paraId="0887CCF9" w14:textId="77777777" w:rsidR="003D5DB4" w:rsidRPr="000D0101" w:rsidRDefault="003D5DB4" w:rsidP="000A5389">
          <w:pPr>
            <w:spacing w:line="240" w:lineRule="auto"/>
          </w:pPr>
          <w:r w:rsidRPr="000D0101">
            <w:t>Valor de la adición o modificación: Modificación del contrato: - US $ 474.809Modificación de plan de inversión: US 1.174.534</w:t>
          </w:r>
        </w:p>
        <w:p w14:paraId="5CCF24CD" w14:textId="77777777" w:rsidR="003D5DB4" w:rsidRPr="000D0101" w:rsidRDefault="003D5DB4" w:rsidP="000A5389">
          <w:pPr>
            <w:spacing w:line="240" w:lineRule="auto"/>
          </w:pPr>
          <w:r w:rsidRPr="000D0101">
            <w:t>Nuevo valor del acuerdo: Valor contracto actual: US $1.368.189Valor plan de inversión actual: US $7.473.335</w:t>
          </w:r>
        </w:p>
        <w:p w14:paraId="11C3BD18" w14:textId="77777777" w:rsidR="003D5DB4" w:rsidRPr="000D0101" w:rsidRDefault="003D5DB4" w:rsidP="000A5389">
          <w:pPr>
            <w:spacing w:line="240" w:lineRule="auto"/>
          </w:pPr>
          <w:r w:rsidRPr="000D0101">
            <w:t>Observaciones: N/A</w:t>
          </w:r>
        </w:p>
        <w:p w14:paraId="1D39F56C" w14:textId="77777777" w:rsidR="003D5DB4" w:rsidRPr="000D0101" w:rsidRDefault="003D5DB4" w:rsidP="000A5389">
          <w:pPr>
            <w:spacing w:line="240" w:lineRule="auto"/>
          </w:pPr>
        </w:p>
        <w:p w14:paraId="5388F072" w14:textId="77777777" w:rsidR="003D5DB4" w:rsidRPr="000D0101" w:rsidRDefault="003D5DB4" w:rsidP="000A5389">
          <w:pPr>
            <w:spacing w:line="240" w:lineRule="auto"/>
          </w:pPr>
        </w:p>
        <w:p w14:paraId="477D38CE" w14:textId="77777777" w:rsidR="003D5DB4" w:rsidRPr="00915852" w:rsidRDefault="003D5DB4" w:rsidP="000A5389">
          <w:pPr>
            <w:spacing w:line="240" w:lineRule="auto"/>
            <w:rPr>
              <w:rFonts w:eastAsia="Times New Roman"/>
              <w:i/>
              <w:iCs/>
              <w:lang w:eastAsia="es-CO"/>
            </w:rPr>
          </w:pPr>
          <w:r w:rsidRPr="00915852">
            <w:rPr>
              <w:rFonts w:eastAsia="Times New Roman"/>
              <w:i/>
              <w:iCs/>
              <w:lang w:eastAsia="es-CO"/>
            </w:rPr>
            <w:t>ECOPETROL S.A. </w:t>
          </w:r>
        </w:p>
        <w:p w14:paraId="29F90630" w14:textId="77777777" w:rsidR="003D5DB4" w:rsidRPr="000D0101" w:rsidRDefault="003D5DB4" w:rsidP="000A5389">
          <w:pPr>
            <w:spacing w:line="240" w:lineRule="auto"/>
          </w:pPr>
        </w:p>
        <w:p w14:paraId="516F20A0" w14:textId="77777777" w:rsidR="003D5DB4" w:rsidRPr="000D0101" w:rsidRDefault="003D5DB4" w:rsidP="000A5389">
          <w:pPr>
            <w:spacing w:line="240" w:lineRule="auto"/>
          </w:pPr>
          <w:r w:rsidRPr="000D0101">
            <w:t>Descripción del Acuerdo</w:t>
          </w:r>
        </w:p>
        <w:p w14:paraId="49ECDA97" w14:textId="77777777" w:rsidR="003D5DB4" w:rsidRPr="000D0101" w:rsidRDefault="003D5DB4" w:rsidP="000A5389">
          <w:pPr>
            <w:spacing w:line="240" w:lineRule="auto"/>
          </w:pPr>
          <w:r w:rsidRPr="000D0101">
            <w:t>Número del Acuerdo de concesión: 010 de 2010 - Otrosí No 001 de 2015. (Agencia Nacional de Infraestructura ANI – Ecopetrol)</w:t>
          </w:r>
        </w:p>
        <w:p w14:paraId="1E8ABF47" w14:textId="77777777" w:rsidR="003D5DB4" w:rsidRPr="000D0101" w:rsidRDefault="003D5DB4" w:rsidP="000A5389">
          <w:pPr>
            <w:spacing w:line="240" w:lineRule="auto"/>
          </w:pPr>
        </w:p>
        <w:p w14:paraId="4BD8DA43" w14:textId="77777777" w:rsidR="003D5DB4" w:rsidRPr="000D0101" w:rsidRDefault="003D5DB4" w:rsidP="000A5389">
          <w:pPr>
            <w:spacing w:line="240" w:lineRule="auto"/>
          </w:pPr>
          <w:r w:rsidRPr="000D0101">
            <w:t>Objeto / Descripción: En virtud del Contrato de concesión y sus modificaciones, se permite al CONCESIONARIO la materialización de la cesión parcial del Contrato de Concesión Portuaria 010 de 2010 suscrito con REFICAR S.A. a su matriz ECOPETROL S.A a fin de que ésta en su calidad de  CESIONARIO CONCESIONARIO se encuentre autorizada bajo el régimen legal de concesión portuaria para la ocupación en forma temporal y exclusiva de los bienes de uso público propiedad de la Nación, localizados en el Distrito de Cartagena de Indias (Bolívar) y descritos en la CLÁUSULA 2,  para la modernización y operación de los terminales de servicio privado denominados “Nestor Pineda” y “Refinería” así como las áreas cedidas por Reficar, ejecutando en los mismos el plan de inversiones descrito en la CLÁUSULA 11 del presente, a cambio de una contraprestación económica a favor de la Nación Instituto Nacional de Vías – INVIAS  y el Distrito de Cartagena de Indias , en los términos descritos en la CLÁUSULA 12 del presente.</w:t>
          </w:r>
        </w:p>
        <w:p w14:paraId="593A2384" w14:textId="77777777" w:rsidR="003D5DB4" w:rsidRPr="000D0101" w:rsidRDefault="003D5DB4" w:rsidP="000A5389">
          <w:pPr>
            <w:spacing w:line="240" w:lineRule="auto"/>
          </w:pPr>
        </w:p>
        <w:p w14:paraId="26715D5D" w14:textId="77777777" w:rsidR="003D5DB4" w:rsidRPr="000D0101" w:rsidRDefault="003D5DB4" w:rsidP="000A5389">
          <w:pPr>
            <w:spacing w:line="240" w:lineRule="auto"/>
          </w:pPr>
          <w:r w:rsidRPr="000D0101">
            <w:t>Valor inicial:</w:t>
          </w:r>
          <w:r w:rsidRPr="000D0101">
            <w:tab/>
            <w:t>USD $14.531.935 Cláusula 12 Otrosí No 001 de 2015 / Contrato No 010 de 2010.</w:t>
          </w:r>
        </w:p>
        <w:p w14:paraId="66178D87" w14:textId="77777777" w:rsidR="003D5DB4" w:rsidRPr="000D0101" w:rsidRDefault="003D5DB4" w:rsidP="000A5389">
          <w:pPr>
            <w:spacing w:line="240" w:lineRule="auto"/>
          </w:pPr>
          <w:r w:rsidRPr="000D0101">
            <w:t>Fecha de inicio: 24/12/2024</w:t>
          </w:r>
        </w:p>
        <w:p w14:paraId="309D5E98" w14:textId="77777777" w:rsidR="003D5DB4" w:rsidRPr="000D0101" w:rsidRDefault="003D5DB4" w:rsidP="000A5389">
          <w:pPr>
            <w:spacing w:line="240" w:lineRule="auto"/>
          </w:pPr>
          <w:r w:rsidRPr="000D0101">
            <w:t>Fecha de finalización estimada: 23/12/2035</w:t>
          </w:r>
        </w:p>
        <w:p w14:paraId="2042ABF0" w14:textId="77777777" w:rsidR="003D5DB4" w:rsidRPr="000D0101" w:rsidRDefault="003D5DB4" w:rsidP="000A5389">
          <w:pPr>
            <w:spacing w:line="240" w:lineRule="auto"/>
          </w:pPr>
          <w:r w:rsidRPr="000D0101">
            <w:t>Tipo ID: NIT</w:t>
          </w:r>
        </w:p>
        <w:p w14:paraId="38CACAF0" w14:textId="77777777" w:rsidR="003D5DB4" w:rsidRPr="000D0101" w:rsidRDefault="003D5DB4" w:rsidP="000A5389">
          <w:pPr>
            <w:spacing w:line="240" w:lineRule="auto"/>
          </w:pPr>
          <w:r w:rsidRPr="000D0101">
            <w:t>Número ID: 899.999.068-1</w:t>
          </w:r>
        </w:p>
        <w:p w14:paraId="56D82E3B" w14:textId="77777777" w:rsidR="003D5DB4" w:rsidRPr="000D0101" w:rsidRDefault="003D5DB4" w:rsidP="000A5389">
          <w:pPr>
            <w:spacing w:line="240" w:lineRule="auto"/>
          </w:pPr>
          <w:r w:rsidRPr="000D0101">
            <w:t>Razón social del concesionario: SOCIEDAD ECOPETROL S. A</w:t>
          </w:r>
        </w:p>
        <w:p w14:paraId="3E726D7E" w14:textId="77777777" w:rsidR="003D5DB4" w:rsidRPr="000D0101" w:rsidRDefault="003D5DB4" w:rsidP="000A5389">
          <w:pPr>
            <w:spacing w:line="240" w:lineRule="auto"/>
          </w:pPr>
          <w:r w:rsidRPr="000D0101">
            <w:t>Nombre del proyecto: SOCIEDAD ECOPETROL S. A</w:t>
          </w:r>
        </w:p>
        <w:p w14:paraId="46DF4F5E" w14:textId="77777777" w:rsidR="003D5DB4" w:rsidRPr="000D0101" w:rsidRDefault="003D5DB4" w:rsidP="000A5389">
          <w:pPr>
            <w:spacing w:line="240" w:lineRule="auto"/>
          </w:pPr>
        </w:p>
        <w:p w14:paraId="7FF4A5C2" w14:textId="77777777" w:rsidR="003D5DB4" w:rsidRPr="000D0101" w:rsidRDefault="003D5DB4" w:rsidP="000A5389">
          <w:pPr>
            <w:spacing w:line="240" w:lineRule="auto"/>
          </w:pPr>
          <w:r w:rsidRPr="000D0101">
            <w:t>Términos significativos del Acuerdo que puedan afectar su valor, el calendario y la certeza de los flujos de efectivo futuros</w:t>
          </w:r>
        </w:p>
        <w:p w14:paraId="6787F0CB" w14:textId="77777777" w:rsidR="003D5DB4" w:rsidRPr="000D0101" w:rsidRDefault="003D5DB4" w:rsidP="000A5389">
          <w:pPr>
            <w:spacing w:line="240" w:lineRule="auto"/>
          </w:pPr>
        </w:p>
        <w:p w14:paraId="652D9C8C" w14:textId="77777777" w:rsidR="003D5DB4" w:rsidRPr="000D0101" w:rsidRDefault="003D5DB4" w:rsidP="000A5389">
          <w:pPr>
            <w:spacing w:line="240" w:lineRule="auto"/>
          </w:pPr>
          <w:r w:rsidRPr="000D0101">
            <w:t>Términos de valor:</w:t>
          </w:r>
          <w:r w:rsidRPr="000D0101">
            <w:tab/>
            <w:t xml:space="preserve">1. Tarifas: Al ser el terminal marítimo de servicio privado la Ley 1 de 1991.establece: Las sociedades portuarias que operan puertos de servicio privado podrán fijar libremente sus tarifas, pero mantendrán informada sobre ellas a la Superintendencia General de Puertos hoy Superintendencia de Transporte. 2: Contraprestación portuaria: De acuerdo con el último documento contractual vigente la metodología de contraprestación vigente es </w:t>
          </w:r>
          <w:r w:rsidRPr="000D0101">
            <w:lastRenderedPageBreak/>
            <w:t>CONPES 3744 de 2013 (Componentes Fijo y Variable). A febrero de 2025 el CONCESIONARIO debió pagar la suma de USD USD 2.261.959. El valor correspondiente a la contraprestación por zona de uso público resultará de la diferencia entre el valor de la liquidación total y el valor de la infraestructura. Y el recaudo se realizará de conformidad con la ley 856 de 2003, es decir, ZUP el 80% le corresponde a la Nación Instituto nacional de vías y la ANI (INVIAS-ANI) y el 20% restante al distrito de Cartagena. Plan de Inversiones: Está establecido en la cláusula primera del Otrosí No 002 de 2022 al Contrato 010 (A) por CINCUENTA YNUEVE MILLONES SEISCIENTOS SETENTA Y OCHO MIL OCHOCIENTOS CINCUENTA Y SEIS DÓLARES (59.678.856) Constantes de 2014.Obligaciones del CONCESIONARIO: se encuentran descritas en la cláusula décima quinta. Multas y sanciones: están establecidas en la cláusula décima octava. Penal pecuniario: En la cláusula décima novena se establece que en el evento en que el INCO hoy ANI declare la caducidad o el incumplimiento del presente contrato se podrá imponer una penalidad pecuniaria.</w:t>
          </w:r>
        </w:p>
        <w:p w14:paraId="21DB89EB" w14:textId="77777777" w:rsidR="003D5DB4" w:rsidRPr="000D0101" w:rsidRDefault="003D5DB4" w:rsidP="000A5389">
          <w:pPr>
            <w:spacing w:line="240" w:lineRule="auto"/>
          </w:pPr>
        </w:p>
        <w:p w14:paraId="7E46B4CA" w14:textId="77777777" w:rsidR="003D5DB4" w:rsidRPr="000D0101" w:rsidRDefault="003D5DB4" w:rsidP="000A5389">
          <w:pPr>
            <w:spacing w:line="240" w:lineRule="auto"/>
          </w:pPr>
          <w:r w:rsidRPr="000D0101">
            <w:t xml:space="preserve">Términos de calendario: 1: Tarifas: Al ser el terminal marítimo de servicio privado la Ley 1 de 1991 establece: Las sociedades portuarias que operan puertos de servicio privado podrán fijar libremente sus tarifas, pero mantendrán informada sobre ellas a la Superintendencia General de Puertos hoy Superintendencia de Transporte.2: Contraprestación portuaria: Contraprestación portuaria: Anexo 2 Conpes 3744 de 2013 “(…) Antes de finalizar los meses de febrero cada concesionario deberá corregir su liquidación del año anterior según el movimiento de carga real y la indexación del valor de referencia por metro cuadrado, del avalúo de la infraestructura concesionada y de los cargos, así como realizar el pago anticipado del año en curso con base en lo proyectado en el FCL definitivo”3: Plan de inversiones: Está establecido en la cláusula primera del Otrosí No 002 de 2022 al Contrato 010 (A) por CINCUENTA YNUEVE MILLONES SEISCIENTOS SETENTA Y OCHO MIL OCHOCIENTOS CINCUENTA Y SEIS DÓLARES (59.678.856) Constantes de 2014.Multas y sanciones: están establecidas en la cláusula décima octava. </w:t>
          </w:r>
        </w:p>
        <w:p w14:paraId="7992A0F7" w14:textId="77777777" w:rsidR="003D5DB4" w:rsidRPr="000D0101" w:rsidRDefault="003D5DB4" w:rsidP="000A5389">
          <w:pPr>
            <w:spacing w:line="240" w:lineRule="auto"/>
          </w:pPr>
        </w:p>
        <w:p w14:paraId="0936200A" w14:textId="77777777" w:rsidR="003D5DB4" w:rsidRPr="000D0101" w:rsidRDefault="003D5DB4" w:rsidP="000A5389">
          <w:pPr>
            <w:spacing w:line="240" w:lineRule="auto"/>
          </w:pPr>
          <w:r w:rsidRPr="000D0101">
            <w:t xml:space="preserve">Términos de certeza de flujos de efectivo futuros: En virtud del Contrato de concesión y sus modificaciones, se permite al CONCESIONARIO la materialización de la cesión parcial del Contrato de Concesión Portuaria 010 de 2010 suscrito con REFICAR S.A. a su matriz ECOPETROL S.A a fin de que ésta en su calidad de  CESIONARIO CONCESIONARIO se encuentre autorizada bajo el régimen legal de concesión portuaria para la ocupación en forma temporal y exclusiva de los bienes de uso público propiedad de la Nación, localizados en el Distrito de Cartagena de Indias (Bolívar) y descritos en la CLÁUSULA 2,  para la modernización y operación de los terminales de servicio privado denominados “Nestor Pineda” y “Refinería” así como las áreas cedidas por Reficar, ejecutando en los mismos el plan de inversiones descrito en la CLÁUSULA 11 del presente, a cambio de una contraprestación económica a favor de la Nación Instituto Nacional de Vías – INVIAS y el Distrito de Cartagena de Indias , en los términos descritos en la CLÁUSULA 12 del presente. En el parágrafo sexto de la Cláusula 12 El pago de la contraprestación con relación al componente fijo y variable por el goce y uso de la zona de uso público le corresponde a la NACIÓN- Instituto Nacional de Vías el 80% y el 20% restante al Distrito de Cartagena de </w:t>
          </w:r>
          <w:r w:rsidRPr="000D0101">
            <w:lastRenderedPageBreak/>
            <w:t>Indias (Bolívar), de acuerdo con lo establecido parágrafo 1 del artículo 1 de la Ley 856 del 21 de diciembre de 2003, que modifica el artículo 7 de la Ley 1ª de 1991. El pago de la contraprestación con relación al componente fijo por Infraestructura le corresponde al 100% a la Nación- Instituto nacional de Vías de acuerdo con la Ley 846 del 21 de diciembre de 2003.</w:t>
          </w:r>
        </w:p>
        <w:p w14:paraId="7C77E04B" w14:textId="77777777" w:rsidR="003D5DB4" w:rsidRPr="000D0101" w:rsidRDefault="003D5DB4" w:rsidP="000A5389">
          <w:pPr>
            <w:spacing w:line="240" w:lineRule="auto"/>
          </w:pPr>
        </w:p>
        <w:p w14:paraId="1DE49416" w14:textId="77777777" w:rsidR="003D5DB4" w:rsidRPr="000D0101" w:rsidRDefault="003D5DB4" w:rsidP="000A5389">
          <w:pPr>
            <w:spacing w:line="240" w:lineRule="auto"/>
          </w:pPr>
          <w:r w:rsidRPr="000D0101">
            <w:t>Naturaleza y alcance del derecho a utilizar Activos y los aspectos pactados en torno a lo que se espera que el concesionario proporcione en relación con el Acuerdo de concesión</w:t>
          </w:r>
        </w:p>
        <w:p w14:paraId="6511C6C3" w14:textId="77777777" w:rsidR="003D5DB4" w:rsidRPr="000D0101" w:rsidRDefault="003D5DB4" w:rsidP="000A5389">
          <w:pPr>
            <w:spacing w:line="240" w:lineRule="auto"/>
          </w:pPr>
        </w:p>
        <w:p w14:paraId="76031E93" w14:textId="77777777" w:rsidR="003D5DB4" w:rsidRPr="000D0101" w:rsidRDefault="003D5DB4" w:rsidP="000A5389">
          <w:pPr>
            <w:spacing w:line="240" w:lineRule="auto"/>
          </w:pPr>
          <w:r w:rsidRPr="000D0101">
            <w:t>Naturaleza y alcance del derecho de uso de los Activos</w:t>
          </w:r>
        </w:p>
        <w:p w14:paraId="70B8D147" w14:textId="77777777" w:rsidR="003D5DB4" w:rsidRPr="000D0101" w:rsidRDefault="003D5DB4" w:rsidP="000A5389">
          <w:pPr>
            <w:spacing w:line="240" w:lineRule="auto"/>
          </w:pPr>
        </w:p>
        <w:p w14:paraId="7D4195F0" w14:textId="77777777" w:rsidR="003D5DB4" w:rsidRPr="000D0101" w:rsidRDefault="003D5DB4" w:rsidP="000A5389">
          <w:pPr>
            <w:spacing w:line="240" w:lineRule="auto"/>
          </w:pPr>
          <w:r w:rsidRPr="000D0101">
            <w:t>Descripción:</w:t>
          </w:r>
          <w:r w:rsidRPr="000D0101">
            <w:tab/>
            <w:t>Descripción del proyecto, especificaciones técnicas, modalidades de operación, volúmenes y clase de carga: las condiciones especiales de operación del puerto están establecidas en la cláusula quinta del Otrosí No 01 de 2015.Área entregada en concesión: La descripción de la ubicación, linderos y extensión de los bienes de uso público (playas y terrenos de baja mar, zonas marítimas accesorias de maniobras) entregados en concesión están establecidos en la cláusula segunda del Otrosí No 001 de 2015.Infraestructura y equipos entregados en concesión: En la cláusula quinta del Otrosí No 001 de 2015, se describe que lo entregado en concesión fue: Infraestructura: Es un conjunto de instalaciones portuarias integrado por el Terminal Marítimo de Refinería, el Muelle Marítimo de GLP, el Muelle Fluvial de Refinería, el Muelle Fluvial Opón, Terminal Marítimo Néstor Pineda y por el Terminal Fluvial Néstor PinedaEquipos: Brazos de cargue y equipos asociados a sistema de tuberías para cargue y descargue de hidrocarburos.</w:t>
          </w:r>
        </w:p>
        <w:p w14:paraId="58220FD9" w14:textId="77777777" w:rsidR="003D5DB4" w:rsidRPr="000D0101" w:rsidRDefault="003D5DB4" w:rsidP="000A5389">
          <w:pPr>
            <w:spacing w:line="240" w:lineRule="auto"/>
          </w:pPr>
        </w:p>
        <w:p w14:paraId="2DC6D4D2" w14:textId="77777777" w:rsidR="003D5DB4" w:rsidRPr="000D0101" w:rsidRDefault="003D5DB4" w:rsidP="000A5389">
          <w:pPr>
            <w:spacing w:line="240" w:lineRule="auto"/>
          </w:pPr>
          <w:r w:rsidRPr="000D0101">
            <w:t>Observaciones: NA.</w:t>
          </w:r>
        </w:p>
        <w:p w14:paraId="3FDF3FBA" w14:textId="77777777" w:rsidR="003D5DB4" w:rsidRPr="000D0101" w:rsidRDefault="003D5DB4" w:rsidP="000A5389">
          <w:pPr>
            <w:spacing w:line="240" w:lineRule="auto"/>
          </w:pPr>
        </w:p>
        <w:p w14:paraId="729C8853" w14:textId="77777777" w:rsidR="003D5DB4" w:rsidRPr="000D0101" w:rsidRDefault="003D5DB4" w:rsidP="000A5389">
          <w:pPr>
            <w:spacing w:line="240" w:lineRule="auto"/>
          </w:pPr>
          <w:r w:rsidRPr="000D0101">
            <w:t>Retribución al concesionario</w:t>
          </w:r>
        </w:p>
        <w:p w14:paraId="7A26DC79" w14:textId="77777777" w:rsidR="003D5DB4" w:rsidRPr="000D0101" w:rsidRDefault="003D5DB4" w:rsidP="000A5389">
          <w:pPr>
            <w:spacing w:line="240" w:lineRule="auto"/>
          </w:pPr>
        </w:p>
        <w:p w14:paraId="3FE505C5" w14:textId="77777777" w:rsidR="003D5DB4" w:rsidRPr="000D0101" w:rsidRDefault="003D5DB4" w:rsidP="000A5389">
          <w:pPr>
            <w:spacing w:line="240" w:lineRule="auto"/>
          </w:pPr>
          <w:r w:rsidRPr="000D0101">
            <w:t>Descripción:</w:t>
          </w:r>
          <w:r w:rsidRPr="000D0101">
            <w:tab/>
            <w:t xml:space="preserve">En virtud del Contrato de concesión y sus modificaciones, se permite al CONCESIONARIO la materialización de la cesión parcial del Contrato de Concesión Portuaria 010 de 2010 suscrito con REFICAR S.A. a su matriz ECOPETROL S.A a fin de que ésta en su calidad de  CESIONARIO CONCESIONARIO se encuentre autorizada bajo el régimen legal de concesión portuaria para la ocupación en forma temporal y exclusiva de los bienes de uso público propiedad de la Nación, localizados en el Distrito de Cartagena de Indias (Bolívar) y descritos en la CLÁUSULA 2,  para la modernización y operación de los terminales de servicio privado denominados “Nestor Pineda” y “Refinería” así como las áreas cedidas por Reficar, ejecutando en los mismos el plan de inversiones descrito en la CLÁUSULA 11 del presente, a cambio de una contraprestación económica a favor de la Nación Instituto Nacional de Vías – INVIAS-ANI y el Distrito de Cartagena de Indias , en los términos descritos en la CLÁUSULA 12 del presente. </w:t>
          </w:r>
        </w:p>
        <w:p w14:paraId="501B1B20" w14:textId="77777777" w:rsidR="003D5DB4" w:rsidRPr="000D0101" w:rsidRDefault="003D5DB4" w:rsidP="000A5389">
          <w:pPr>
            <w:spacing w:line="240" w:lineRule="auto"/>
          </w:pPr>
        </w:p>
        <w:p w14:paraId="3AEC7C2F" w14:textId="77777777" w:rsidR="003D5DB4" w:rsidRPr="000D0101" w:rsidRDefault="003D5DB4" w:rsidP="000A5389">
          <w:pPr>
            <w:spacing w:line="240" w:lineRule="auto"/>
          </w:pPr>
          <w:r w:rsidRPr="000D0101">
            <w:t>Tasa de retribución:</w:t>
          </w:r>
          <w:r w:rsidRPr="000D0101">
            <w:tab/>
            <w:t>N/A</w:t>
          </w:r>
        </w:p>
        <w:p w14:paraId="1D64DD96" w14:textId="77777777" w:rsidR="003D5DB4" w:rsidRPr="000D0101" w:rsidRDefault="003D5DB4" w:rsidP="000A5389">
          <w:pPr>
            <w:spacing w:line="240" w:lineRule="auto"/>
          </w:pPr>
        </w:p>
        <w:p w14:paraId="4195740C" w14:textId="77777777" w:rsidR="003D5DB4" w:rsidRPr="000D0101" w:rsidRDefault="003D5DB4" w:rsidP="000A5389">
          <w:pPr>
            <w:spacing w:line="240" w:lineRule="auto"/>
          </w:pPr>
          <w:r w:rsidRPr="000D0101">
            <w:t>Derechos a recibir Activos especificados al final del acuerdo de concesión</w:t>
          </w:r>
        </w:p>
        <w:p w14:paraId="1D91BED0" w14:textId="77777777" w:rsidR="003D5DB4" w:rsidRPr="000D0101" w:rsidRDefault="003D5DB4" w:rsidP="000A5389">
          <w:pPr>
            <w:spacing w:line="240" w:lineRule="auto"/>
          </w:pPr>
        </w:p>
        <w:p w14:paraId="7B51EBDA" w14:textId="77777777" w:rsidR="003D5DB4" w:rsidRPr="000D0101" w:rsidRDefault="003D5DB4" w:rsidP="000A5389">
          <w:pPr>
            <w:spacing w:line="240" w:lineRule="auto"/>
          </w:pPr>
          <w:r w:rsidRPr="000D0101">
            <w:t>Descripción:</w:t>
          </w:r>
          <w:r w:rsidRPr="000D0101">
            <w:tab/>
            <w:t>De acuerdo con el Artículo 8º de la Ley 1 de 1991 en el modo portuario el concesionario no tiene derechos finales sobre activos los debe revertir a la Nación al final del contrato de concesión.</w:t>
          </w:r>
        </w:p>
        <w:p w14:paraId="10D2168A" w14:textId="77777777" w:rsidR="003D5DB4" w:rsidRPr="000D0101" w:rsidRDefault="003D5DB4" w:rsidP="000A5389">
          <w:pPr>
            <w:spacing w:line="240" w:lineRule="auto"/>
          </w:pPr>
        </w:p>
        <w:p w14:paraId="66B767D9" w14:textId="77777777" w:rsidR="003D5DB4" w:rsidRPr="000D0101" w:rsidRDefault="003D5DB4" w:rsidP="000A5389">
          <w:pPr>
            <w:spacing w:line="240" w:lineRule="auto"/>
          </w:pPr>
          <w:r w:rsidRPr="000D0101">
            <w:t>Observaciones: CESIONARIO CONCESIONARIO deberá entregar con una antelación mínima de seis (6) meses anteriores a la terminación del contrato, un avalúo comercial actualizado y valoración técnica de las condiciones de operación de la infraestructura portuaria, equipos e inmuebles por destinación que habitualmente se encuentren instalados en las zonas de uso público que se revierten y que son propiedad de la Nación</w:t>
          </w:r>
        </w:p>
        <w:p w14:paraId="2517E71F" w14:textId="77777777" w:rsidR="003D5DB4" w:rsidRPr="000D0101" w:rsidRDefault="003D5DB4" w:rsidP="000A5389">
          <w:pPr>
            <w:spacing w:line="240" w:lineRule="auto"/>
          </w:pPr>
        </w:p>
        <w:p w14:paraId="210A4A55" w14:textId="77777777" w:rsidR="003D5DB4" w:rsidRPr="000D0101" w:rsidRDefault="003D5DB4" w:rsidP="000A5389">
          <w:pPr>
            <w:spacing w:line="240" w:lineRule="auto"/>
          </w:pPr>
          <w:r w:rsidRPr="000D0101">
            <w:t>Las alternativas de renovación y cese del acuerdo</w:t>
          </w:r>
        </w:p>
        <w:p w14:paraId="22D26FF4" w14:textId="77777777" w:rsidR="003D5DB4" w:rsidRPr="000D0101" w:rsidRDefault="003D5DB4" w:rsidP="000A5389">
          <w:pPr>
            <w:spacing w:line="240" w:lineRule="auto"/>
          </w:pPr>
        </w:p>
        <w:p w14:paraId="7E1DABA5" w14:textId="77777777" w:rsidR="003D5DB4" w:rsidRPr="000D0101" w:rsidRDefault="003D5DB4" w:rsidP="000A5389">
          <w:pPr>
            <w:spacing w:line="240" w:lineRule="auto"/>
          </w:pPr>
          <w:r w:rsidRPr="000D0101">
            <w:t>Descripción:</w:t>
          </w:r>
          <w:r w:rsidRPr="000D0101">
            <w:tab/>
            <w:t>La Cláusula Décima Primera establece la prórroga del contrato. La Cláusula Vigésima Primera dispone las condiciones para el cese del acuerdo</w:t>
          </w:r>
        </w:p>
        <w:p w14:paraId="534EC822" w14:textId="77777777" w:rsidR="003D5DB4" w:rsidRPr="000D0101" w:rsidRDefault="003D5DB4" w:rsidP="000A5389">
          <w:pPr>
            <w:spacing w:line="240" w:lineRule="auto"/>
          </w:pPr>
        </w:p>
        <w:p w14:paraId="1060AF79" w14:textId="77777777" w:rsidR="003D5DB4" w:rsidRPr="000D0101" w:rsidRDefault="003D5DB4" w:rsidP="000A5389">
          <w:pPr>
            <w:spacing w:line="240" w:lineRule="auto"/>
          </w:pPr>
          <w:r w:rsidRPr="000D0101">
            <w:t>Observaciones: No se tiene ninguna observación</w:t>
          </w:r>
        </w:p>
        <w:p w14:paraId="683876BE" w14:textId="77777777" w:rsidR="003D5DB4" w:rsidRPr="000D0101" w:rsidRDefault="003D5DB4" w:rsidP="000A5389">
          <w:pPr>
            <w:spacing w:line="240" w:lineRule="auto"/>
          </w:pPr>
        </w:p>
        <w:p w14:paraId="5930434B" w14:textId="77777777" w:rsidR="003D5DB4" w:rsidRPr="000D0101" w:rsidRDefault="003D5DB4" w:rsidP="000A5389">
          <w:pPr>
            <w:spacing w:line="240" w:lineRule="auto"/>
          </w:pPr>
          <w:r w:rsidRPr="000D0101">
            <w:t>Cambios en el acuerdo de concesión que se realicen durante el periodo fiscal</w:t>
          </w:r>
        </w:p>
        <w:p w14:paraId="2B928025" w14:textId="77777777" w:rsidR="003D5DB4" w:rsidRPr="000D0101" w:rsidRDefault="003D5DB4" w:rsidP="000A5389">
          <w:pPr>
            <w:spacing w:line="240" w:lineRule="auto"/>
          </w:pPr>
        </w:p>
        <w:p w14:paraId="2E4AD47F" w14:textId="77777777" w:rsidR="003D5DB4" w:rsidRPr="000D0101" w:rsidRDefault="003D5DB4" w:rsidP="000A5389">
          <w:pPr>
            <w:spacing w:line="240" w:lineRule="auto"/>
          </w:pPr>
          <w:r w:rsidRPr="000D0101">
            <w:t>Adiciones o modificaciones en tiempo</w:t>
          </w:r>
        </w:p>
        <w:p w14:paraId="07C6E9CD" w14:textId="77777777" w:rsidR="003D5DB4" w:rsidRPr="000D0101" w:rsidRDefault="003D5DB4" w:rsidP="000A5389">
          <w:pPr>
            <w:spacing w:line="240" w:lineRule="auto"/>
          </w:pPr>
          <w:r w:rsidRPr="000D0101">
            <w:t>Fechas de las adiciones o modificaciones:</w:t>
          </w:r>
          <w:r w:rsidRPr="000D0101">
            <w:tab/>
            <w:t>N/A</w:t>
          </w:r>
        </w:p>
        <w:p w14:paraId="750412E5" w14:textId="77777777" w:rsidR="003D5DB4" w:rsidRPr="000D0101" w:rsidRDefault="003D5DB4" w:rsidP="000A5389">
          <w:pPr>
            <w:spacing w:line="240" w:lineRule="auto"/>
          </w:pPr>
          <w:r w:rsidRPr="000D0101">
            <w:t>Nueva fecha de finalización estimada: N/A</w:t>
          </w:r>
        </w:p>
        <w:p w14:paraId="3855C896" w14:textId="77777777" w:rsidR="003D5DB4" w:rsidRPr="000D0101" w:rsidRDefault="003D5DB4" w:rsidP="000A5389">
          <w:pPr>
            <w:spacing w:line="240" w:lineRule="auto"/>
          </w:pPr>
          <w:r w:rsidRPr="000D0101">
            <w:t>Observaciones: NA</w:t>
          </w:r>
        </w:p>
        <w:p w14:paraId="4DFD03D3" w14:textId="77777777" w:rsidR="003D5DB4" w:rsidRPr="000D0101" w:rsidRDefault="003D5DB4" w:rsidP="000A5389">
          <w:pPr>
            <w:spacing w:line="240" w:lineRule="auto"/>
          </w:pPr>
          <w:r w:rsidRPr="000D0101">
            <w:t>Adiciones o modificaciones en valor</w:t>
          </w:r>
        </w:p>
        <w:p w14:paraId="7E888D9D" w14:textId="77777777" w:rsidR="003D5DB4" w:rsidRPr="000D0101" w:rsidRDefault="003D5DB4" w:rsidP="000A5389">
          <w:pPr>
            <w:spacing w:line="240" w:lineRule="auto"/>
          </w:pPr>
          <w:r w:rsidRPr="000D0101">
            <w:t>Valor de la adición o modificación: N/A</w:t>
          </w:r>
        </w:p>
        <w:p w14:paraId="57ADC9AD" w14:textId="77777777" w:rsidR="003D5DB4" w:rsidRPr="000D0101" w:rsidRDefault="003D5DB4" w:rsidP="000A5389">
          <w:pPr>
            <w:spacing w:line="240" w:lineRule="auto"/>
          </w:pPr>
          <w:r w:rsidRPr="000D0101">
            <w:t>Nuevo valor del acuerdo: N/A</w:t>
          </w:r>
        </w:p>
        <w:p w14:paraId="411EE59D" w14:textId="77777777" w:rsidR="003D5DB4" w:rsidRPr="000D0101" w:rsidRDefault="003D5DB4" w:rsidP="000A5389">
          <w:pPr>
            <w:spacing w:line="240" w:lineRule="auto"/>
          </w:pPr>
          <w:r w:rsidRPr="000D0101">
            <w:t>Observaciones: N/A</w:t>
          </w:r>
        </w:p>
        <w:p w14:paraId="595B83DD" w14:textId="77777777" w:rsidR="003D5DB4" w:rsidRPr="000D0101" w:rsidRDefault="003D5DB4" w:rsidP="000A5389">
          <w:pPr>
            <w:spacing w:line="240" w:lineRule="auto"/>
          </w:pPr>
        </w:p>
        <w:p w14:paraId="26DE883C" w14:textId="77777777" w:rsidR="003D5DB4" w:rsidRPr="000D0101" w:rsidRDefault="003D5DB4" w:rsidP="000A5389">
          <w:pPr>
            <w:spacing w:line="240" w:lineRule="auto"/>
          </w:pPr>
        </w:p>
        <w:p w14:paraId="421D1C32" w14:textId="77777777" w:rsidR="003D5DB4" w:rsidRPr="00915852" w:rsidRDefault="003D5DB4" w:rsidP="000A5389">
          <w:pPr>
            <w:spacing w:line="240" w:lineRule="auto"/>
            <w:rPr>
              <w:i/>
              <w:iCs/>
            </w:rPr>
          </w:pPr>
          <w:r w:rsidRPr="00915852">
            <w:rPr>
              <w:rFonts w:eastAsia="Times New Roman"/>
              <w:i/>
              <w:iCs/>
              <w:lang w:eastAsia="es-CO"/>
            </w:rPr>
            <w:t>EMPRESA COLOMBIANA PESQUERA DE TOLU S.A.</w:t>
          </w:r>
        </w:p>
        <w:p w14:paraId="71CF7F0E" w14:textId="77777777" w:rsidR="003D5DB4" w:rsidRPr="000D0101" w:rsidRDefault="003D5DB4" w:rsidP="000A5389">
          <w:pPr>
            <w:spacing w:line="240" w:lineRule="auto"/>
          </w:pPr>
        </w:p>
        <w:p w14:paraId="404A3492" w14:textId="77777777" w:rsidR="003D5DB4" w:rsidRPr="000D0101" w:rsidRDefault="003D5DB4" w:rsidP="000A5389">
          <w:pPr>
            <w:spacing w:line="240" w:lineRule="auto"/>
          </w:pPr>
          <w:r w:rsidRPr="000D0101">
            <w:t>Descripción del Acuerdo</w:t>
          </w:r>
        </w:p>
        <w:p w14:paraId="79CFA1DF" w14:textId="77777777" w:rsidR="003D5DB4" w:rsidRPr="000D0101" w:rsidRDefault="003D5DB4" w:rsidP="000A5389">
          <w:pPr>
            <w:spacing w:line="240" w:lineRule="auto"/>
          </w:pPr>
        </w:p>
        <w:p w14:paraId="2D81EA3D" w14:textId="77777777" w:rsidR="003D5DB4" w:rsidRPr="000D0101" w:rsidRDefault="003D5DB4" w:rsidP="000A5389">
          <w:pPr>
            <w:spacing w:line="240" w:lineRule="auto"/>
          </w:pPr>
          <w:r w:rsidRPr="000D0101">
            <w:t>Número del Acuerdo de concesión: 002 de 2013.</w:t>
          </w:r>
        </w:p>
        <w:p w14:paraId="6C03F44F" w14:textId="77777777" w:rsidR="003D5DB4" w:rsidRPr="000D0101" w:rsidRDefault="003D5DB4" w:rsidP="000A5389">
          <w:pPr>
            <w:spacing w:line="240" w:lineRule="auto"/>
          </w:pPr>
        </w:p>
        <w:p w14:paraId="6EC065D8" w14:textId="77777777" w:rsidR="003D5DB4" w:rsidRPr="000D0101" w:rsidRDefault="003D5DB4" w:rsidP="000A5389">
          <w:pPr>
            <w:spacing w:line="240" w:lineRule="auto"/>
          </w:pPr>
          <w:r w:rsidRPr="000D0101">
            <w:t xml:space="preserve">Objeto / Descripción: A través del referido contrato se otorgó el derecho a Pestolú a ocupar y utilizar en forma temporal y exclusiva el área de uso público descrito en la Cláusula Segunda del contrato, a cambio de la contraprestación económica de que trata la Cláusula Octava a favor de la Nación Instituto Nacional de Vías - Invias y el Municipio de Tolú”. De igual forma se otorgó a la Sociedad Concesionaria el uso y explotación de una zona de uso público perteneciente a la Nación por el tiempo de ejecución estipulado para que sea destinada a continuar ocupando, utilizando y administrando, en forma temporal y exclusiva, la zona de uso público y el muelle pesquero existente, ubicado frente al Golfo de </w:t>
          </w:r>
          <w:r w:rsidRPr="000D0101">
            <w:lastRenderedPageBreak/>
            <w:t>Morrosquillo, en el Municipio de Tolú, en el Departamento de Sucre, para el desarrollo de actividades pesqueras a cambio de la contraprestación establecida en la Cláusula Octava de este contrato.</w:t>
          </w:r>
        </w:p>
        <w:p w14:paraId="66100614" w14:textId="77777777" w:rsidR="003D5DB4" w:rsidRPr="000D0101" w:rsidRDefault="003D5DB4" w:rsidP="000A5389">
          <w:pPr>
            <w:spacing w:line="240" w:lineRule="auto"/>
          </w:pPr>
        </w:p>
        <w:p w14:paraId="0FC61BCA" w14:textId="77777777" w:rsidR="003D5DB4" w:rsidRPr="000D0101" w:rsidRDefault="003D5DB4" w:rsidP="000A5389">
          <w:pPr>
            <w:spacing w:line="240" w:lineRule="auto"/>
          </w:pPr>
          <w:r w:rsidRPr="000D0101">
            <w:t>Valor inicial:</w:t>
          </w:r>
          <w:r w:rsidRPr="000D0101">
            <w:tab/>
            <w:t>USD $ 13.684 Cláusula Octava/ Contrato No 002 de 2013.</w:t>
          </w:r>
        </w:p>
        <w:p w14:paraId="3E24C4C9" w14:textId="77777777" w:rsidR="003D5DB4" w:rsidRPr="000D0101" w:rsidRDefault="003D5DB4" w:rsidP="000A5389">
          <w:pPr>
            <w:spacing w:line="240" w:lineRule="auto"/>
          </w:pPr>
          <w:r w:rsidRPr="000D0101">
            <w:t>Fecha de inicio: 22/01/2020</w:t>
          </w:r>
        </w:p>
        <w:p w14:paraId="239E39E6" w14:textId="77777777" w:rsidR="003D5DB4" w:rsidRPr="000D0101" w:rsidRDefault="003D5DB4" w:rsidP="000A5389">
          <w:pPr>
            <w:spacing w:line="240" w:lineRule="auto"/>
          </w:pPr>
          <w:r w:rsidRPr="000D0101">
            <w:t>Fecha de finalización estimada: 7/11/2021</w:t>
          </w:r>
        </w:p>
        <w:p w14:paraId="081FEF18" w14:textId="77777777" w:rsidR="003D5DB4" w:rsidRPr="000D0101" w:rsidRDefault="003D5DB4" w:rsidP="000A5389">
          <w:pPr>
            <w:spacing w:line="240" w:lineRule="auto"/>
          </w:pPr>
          <w:r w:rsidRPr="000D0101">
            <w:t>Tipo ID: NIT</w:t>
          </w:r>
        </w:p>
        <w:p w14:paraId="4C242A95" w14:textId="77777777" w:rsidR="003D5DB4" w:rsidRPr="000D0101" w:rsidRDefault="003D5DB4" w:rsidP="000A5389">
          <w:pPr>
            <w:spacing w:line="240" w:lineRule="auto"/>
          </w:pPr>
          <w:r w:rsidRPr="000D0101">
            <w:t>Número ID: 860063082-4</w:t>
          </w:r>
        </w:p>
        <w:p w14:paraId="22827F2E" w14:textId="77777777" w:rsidR="003D5DB4" w:rsidRPr="000D0101" w:rsidRDefault="003D5DB4" w:rsidP="000A5389">
          <w:pPr>
            <w:spacing w:line="240" w:lineRule="auto"/>
          </w:pPr>
          <w:r w:rsidRPr="000D0101">
            <w:t>Razón social del concesionario: Empresa Colombiana Pesquera de Tolú - PESTOLÚ S.A.</w:t>
          </w:r>
        </w:p>
        <w:p w14:paraId="0355D484" w14:textId="77777777" w:rsidR="003D5DB4" w:rsidRPr="000D0101" w:rsidRDefault="003D5DB4" w:rsidP="000A5389">
          <w:pPr>
            <w:spacing w:line="240" w:lineRule="auto"/>
          </w:pPr>
          <w:r w:rsidRPr="000D0101">
            <w:t>Nombre del proyecto: Empresa Colombiana Pesquera de Tolú - PESTOLÚ S.A.</w:t>
          </w:r>
        </w:p>
        <w:p w14:paraId="0EC68667" w14:textId="77777777" w:rsidR="003D5DB4" w:rsidRPr="000D0101" w:rsidRDefault="003D5DB4" w:rsidP="000A5389">
          <w:pPr>
            <w:spacing w:line="240" w:lineRule="auto"/>
          </w:pPr>
        </w:p>
        <w:p w14:paraId="711EC49A" w14:textId="77777777" w:rsidR="003D5DB4" w:rsidRPr="000D0101" w:rsidRDefault="003D5DB4" w:rsidP="000A5389">
          <w:pPr>
            <w:spacing w:line="240" w:lineRule="auto"/>
          </w:pPr>
          <w:r w:rsidRPr="000D0101">
            <w:t>Términos significativos del Acuerdo que puedan afectar su valor, el calendario y la certeza de los flujos de efectivo futuros</w:t>
          </w:r>
        </w:p>
        <w:p w14:paraId="44694813" w14:textId="77777777" w:rsidR="003D5DB4" w:rsidRPr="000D0101" w:rsidRDefault="003D5DB4" w:rsidP="000A5389">
          <w:pPr>
            <w:spacing w:line="240" w:lineRule="auto"/>
          </w:pPr>
        </w:p>
        <w:p w14:paraId="15FECBC2" w14:textId="77777777" w:rsidR="003D5DB4" w:rsidRPr="000D0101" w:rsidRDefault="003D5DB4" w:rsidP="000A5389">
          <w:pPr>
            <w:spacing w:line="240" w:lineRule="auto"/>
          </w:pPr>
          <w:r w:rsidRPr="000D0101">
            <w:t>Términos de valor: Tarifas: Al ser el terminal marítimo de servicio privado la Ley 1 de 1991 establece: Las sociedades portuarias que operan puertos de servicio privado podrán fijar libremente sus tarifas, pero mantendrán informada sobre ellas a la Superintendencia General de Puertos hoy Superintendencia de Transporte. Contraprestación portuaria:  El Puerto través de Resolución No. 20223030010055 de 22 de julio de 2022 se “(…) Liquida Unilateralmente el Contrato de Concesión Portuaria No. 002 de 2013, otorgado a la Empresa Colombiana Pesquera de Tolú PESTOLÚ. Por tanto, a 2024, no se cobró contraprestación. Plan de Inversiones: está establecido en la Cláusula Séptima del contrato, el plan de Inversión será de USD$32.157,00. Obligaciones del CONCESIONARIO: se encuentran descritas en la Cláusula Décima Quinta. Multas y Sanciones: están establecidas en la cláusula Décima Octava. Penal pecuniaria: En la Cláusula Décima Novena se establece que en el evento en que el INCO hoy ANI declare la caducidad o el incumplimiento del presente contrato se podrá imponer una penalidad pecuniaria.</w:t>
          </w:r>
        </w:p>
        <w:p w14:paraId="6ADB968F" w14:textId="77777777" w:rsidR="003D5DB4" w:rsidRPr="000D0101" w:rsidRDefault="003D5DB4" w:rsidP="000A5389">
          <w:pPr>
            <w:spacing w:line="240" w:lineRule="auto"/>
          </w:pPr>
        </w:p>
        <w:p w14:paraId="052BD7ED" w14:textId="77777777" w:rsidR="003D5DB4" w:rsidRPr="000D0101" w:rsidRDefault="003D5DB4" w:rsidP="000A5389">
          <w:pPr>
            <w:spacing w:line="240" w:lineRule="auto"/>
          </w:pPr>
          <w:r w:rsidRPr="000D0101">
            <w:t>Términos de calendario: Tarifas: Aprobadas según la metodología establecida por la Superintendencia General de Puertos hoy Superintendencia de Transporte. Contraprestación portuaria: la contraprestación se debía pagar de manera anticipada anual desde el mes de febrero de cada año. Plan de inversiones: Se estableció en la Cláusula Séptima y la ejecución fue en el periodo de tiempo comprendido entre el año 2013 a 2014.Multas: están establecidas en la Cláusula Décima Octava.</w:t>
          </w:r>
        </w:p>
        <w:p w14:paraId="7E0748D4" w14:textId="77777777" w:rsidR="003D5DB4" w:rsidRPr="000D0101" w:rsidRDefault="003D5DB4" w:rsidP="000A5389">
          <w:pPr>
            <w:spacing w:line="240" w:lineRule="auto"/>
          </w:pPr>
        </w:p>
        <w:p w14:paraId="7881F3E2" w14:textId="77777777" w:rsidR="003D5DB4" w:rsidRPr="000D0101" w:rsidRDefault="003D5DB4" w:rsidP="000A5389">
          <w:pPr>
            <w:spacing w:line="240" w:lineRule="auto"/>
          </w:pPr>
          <w:r w:rsidRPr="000D0101">
            <w:t>Términos de certeza de flujos de efectivo futuros: Se otorga a EL CONCESIONARIO el derecho de ocupar y utilizar en forma temporal y exclusiva el área de uso público descritos en la Cláusula Segunda del contrato, a cambio de la contraprestación económica. Cláusula Octava, Parágrafo Tercero indica que del valor a pagar por concepto de contraprestación por Zona de Uso público el 80% le corresponde a la Nación-INVIAS y el 20 % al Distrito de Santiago de Tolú (Departamento de Sucre).</w:t>
          </w:r>
        </w:p>
        <w:p w14:paraId="2C762382" w14:textId="77777777" w:rsidR="003D5DB4" w:rsidRPr="000D0101" w:rsidRDefault="003D5DB4" w:rsidP="000A5389">
          <w:pPr>
            <w:spacing w:line="240" w:lineRule="auto"/>
          </w:pPr>
        </w:p>
        <w:p w14:paraId="4B3CF630" w14:textId="77777777" w:rsidR="003D5DB4" w:rsidRPr="000D0101" w:rsidRDefault="003D5DB4" w:rsidP="000A5389">
          <w:pPr>
            <w:spacing w:line="240" w:lineRule="auto"/>
          </w:pPr>
          <w:r w:rsidRPr="000D0101">
            <w:lastRenderedPageBreak/>
            <w:t>Naturaleza y alcance del derecho a utilizar Activos y los aspectos pactados en torno a lo que se espera que el concesionario proporcione en relación con el Acuerdo de concesión</w:t>
          </w:r>
        </w:p>
        <w:p w14:paraId="7CBD5F9B" w14:textId="77777777" w:rsidR="003D5DB4" w:rsidRPr="000D0101" w:rsidRDefault="003D5DB4" w:rsidP="000A5389">
          <w:pPr>
            <w:spacing w:line="240" w:lineRule="auto"/>
          </w:pPr>
        </w:p>
        <w:p w14:paraId="0809CB27" w14:textId="77777777" w:rsidR="003D5DB4" w:rsidRPr="000D0101" w:rsidRDefault="003D5DB4" w:rsidP="000A5389">
          <w:pPr>
            <w:spacing w:line="240" w:lineRule="auto"/>
          </w:pPr>
          <w:r w:rsidRPr="000D0101">
            <w:t>Naturaleza y alcance del derecho de uso de los Activos</w:t>
          </w:r>
        </w:p>
        <w:p w14:paraId="7AC344CC" w14:textId="77777777" w:rsidR="003D5DB4" w:rsidRPr="000D0101" w:rsidRDefault="003D5DB4" w:rsidP="000A5389">
          <w:pPr>
            <w:spacing w:line="240" w:lineRule="auto"/>
          </w:pPr>
        </w:p>
        <w:p w14:paraId="303337B4" w14:textId="77777777" w:rsidR="003D5DB4" w:rsidRPr="000D0101" w:rsidRDefault="003D5DB4" w:rsidP="000A5389">
          <w:pPr>
            <w:spacing w:line="240" w:lineRule="auto"/>
          </w:pPr>
          <w:r w:rsidRPr="000D0101">
            <w:t>Descripción:</w:t>
          </w:r>
          <w:r w:rsidRPr="000D0101">
            <w:tab/>
            <w:t>Descripción del proyecto, especificaciones técnicas, modalidades de operación: las condiciones especiales de operación del puerto se encuentran establecidas en la Cláusula Quinta del Contrato. Área entregada en concesión:  La descripción de la ubicación, linderos y extensión de los bienes de uso público entregados en concesión están detallados en la Cláusula Segunda del Contrato. Infraestructura y equipos entregados en concesión: En la Cláusula Segunda del Contrato, se describe la infraestructura entregada en concesión, así: Infraestructura: Muelle pesquero.</w:t>
          </w:r>
        </w:p>
        <w:p w14:paraId="0F0D2903" w14:textId="77777777" w:rsidR="003D5DB4" w:rsidRPr="000D0101" w:rsidRDefault="003D5DB4" w:rsidP="000A5389">
          <w:pPr>
            <w:spacing w:line="240" w:lineRule="auto"/>
          </w:pPr>
          <w:r w:rsidRPr="000D0101">
            <w:t>Observaciones: Proyecto en proceso de restitución.</w:t>
          </w:r>
        </w:p>
        <w:p w14:paraId="06EB03A1" w14:textId="77777777" w:rsidR="003D5DB4" w:rsidRPr="000D0101" w:rsidRDefault="003D5DB4" w:rsidP="000A5389">
          <w:pPr>
            <w:spacing w:line="240" w:lineRule="auto"/>
          </w:pPr>
        </w:p>
        <w:p w14:paraId="00F6D90F" w14:textId="77777777" w:rsidR="003D5DB4" w:rsidRPr="000D0101" w:rsidRDefault="003D5DB4" w:rsidP="000A5389">
          <w:pPr>
            <w:spacing w:line="240" w:lineRule="auto"/>
          </w:pPr>
          <w:r w:rsidRPr="000D0101">
            <w:t>Retribución al concesionario</w:t>
          </w:r>
        </w:p>
        <w:p w14:paraId="18F1D650" w14:textId="77777777" w:rsidR="003D5DB4" w:rsidRPr="000D0101" w:rsidRDefault="003D5DB4" w:rsidP="000A5389">
          <w:pPr>
            <w:spacing w:line="240" w:lineRule="auto"/>
          </w:pPr>
        </w:p>
        <w:p w14:paraId="10B787F1" w14:textId="77777777" w:rsidR="003D5DB4" w:rsidRPr="000D0101" w:rsidRDefault="003D5DB4" w:rsidP="000A5389">
          <w:pPr>
            <w:spacing w:line="240" w:lineRule="auto"/>
          </w:pPr>
          <w:r w:rsidRPr="000D0101">
            <w:t>Descripción:</w:t>
          </w:r>
          <w:r w:rsidRPr="000D0101">
            <w:tab/>
            <w:t>En la Clausula Primera del Contrato de concesión indica que se otorga a EL CONCESIONARIO el derecho de ocupar y utilizar en forma temporal y exclusiva el área de uso público descritos en la Cláusula Segunda del contrato, a cambio de la contraprestación económica.</w:t>
          </w:r>
        </w:p>
        <w:p w14:paraId="6BE6F576" w14:textId="77777777" w:rsidR="003D5DB4" w:rsidRPr="000D0101" w:rsidRDefault="003D5DB4" w:rsidP="000A5389">
          <w:pPr>
            <w:spacing w:line="240" w:lineRule="auto"/>
          </w:pPr>
        </w:p>
        <w:p w14:paraId="1663AE50" w14:textId="77777777" w:rsidR="003D5DB4" w:rsidRPr="000D0101" w:rsidRDefault="003D5DB4" w:rsidP="000A5389">
          <w:pPr>
            <w:spacing w:line="240" w:lineRule="auto"/>
          </w:pPr>
          <w:r w:rsidRPr="000D0101">
            <w:t>Tasa de retribución:</w:t>
          </w:r>
          <w:r w:rsidRPr="000D0101">
            <w:tab/>
            <w:t>N/A</w:t>
          </w:r>
        </w:p>
        <w:p w14:paraId="0922E74B" w14:textId="77777777" w:rsidR="003D5DB4" w:rsidRPr="000D0101" w:rsidRDefault="003D5DB4" w:rsidP="000A5389">
          <w:pPr>
            <w:spacing w:line="240" w:lineRule="auto"/>
          </w:pPr>
        </w:p>
        <w:p w14:paraId="1B0FCC84" w14:textId="77777777" w:rsidR="003D5DB4" w:rsidRPr="000D0101" w:rsidRDefault="003D5DB4" w:rsidP="000A5389">
          <w:pPr>
            <w:spacing w:line="240" w:lineRule="auto"/>
          </w:pPr>
          <w:r w:rsidRPr="000D0101">
            <w:t>Derechos a recibir Activos especificados al final del acuerdo de concesión</w:t>
          </w:r>
        </w:p>
        <w:p w14:paraId="48259422" w14:textId="77777777" w:rsidR="003D5DB4" w:rsidRPr="000D0101" w:rsidRDefault="003D5DB4" w:rsidP="000A5389">
          <w:pPr>
            <w:spacing w:line="240" w:lineRule="auto"/>
          </w:pPr>
        </w:p>
        <w:p w14:paraId="64B0AE52" w14:textId="77777777" w:rsidR="003D5DB4" w:rsidRPr="000D0101" w:rsidRDefault="003D5DB4" w:rsidP="000A5389">
          <w:pPr>
            <w:spacing w:line="240" w:lineRule="auto"/>
          </w:pPr>
          <w:r w:rsidRPr="000D0101">
            <w:t>Descripción:</w:t>
          </w:r>
          <w:r w:rsidRPr="000D0101">
            <w:tab/>
            <w:t>De acuerdo con el Artículo 8º de la Ley 1 de 1991 en el modo portuario el concesionario no tiene derechos finales sobre activos los debe revertir a la Nación al final del contrato de concesión.</w:t>
          </w:r>
        </w:p>
        <w:p w14:paraId="691C750D" w14:textId="77777777" w:rsidR="003D5DB4" w:rsidRPr="000D0101" w:rsidRDefault="003D5DB4" w:rsidP="000A5389">
          <w:pPr>
            <w:spacing w:line="240" w:lineRule="auto"/>
          </w:pPr>
        </w:p>
        <w:p w14:paraId="03C357D5" w14:textId="77777777" w:rsidR="003D5DB4" w:rsidRPr="000D0101" w:rsidRDefault="003D5DB4" w:rsidP="000A5389">
          <w:pPr>
            <w:spacing w:line="240" w:lineRule="auto"/>
          </w:pPr>
          <w:r w:rsidRPr="000D0101">
            <w:t>Observaciones: Reversión: De acuerdo con lo establecido en la Cláusula Décima Segunda del Contrato de Concesión, la zona de uso público y todas las construcciones y equipos entregadas en concesión se revertirán a la Nación en buenas condiciones de operación tecnológica, mantenimiento y de adecuada eficiencia al término de este contrato y de las prórrogas si la hubiere. Igualmente procederá la reversión al ser declarado la caducidad o la terminación unilateral.   Para tal fin, en el momento de la reversión el CONCESIONARIO deberá hacer entrega de un avaluó comercial actualizado y valoración técnica de las condiciones de operación de la infraestructura portuaria, equipos e inmuebles por destinación que habitualmente se encuentren instalados en las zonas de uso público que se revierten y que son propiedad de la Nación. La ANI es la entidad concedente pero la titularidad de los activos al final de la concesión es del Instituto Nacional de Vías INVIAS.</w:t>
          </w:r>
        </w:p>
        <w:p w14:paraId="780D2D43" w14:textId="77777777" w:rsidR="003D5DB4" w:rsidRPr="000D0101" w:rsidRDefault="003D5DB4" w:rsidP="000A5389">
          <w:pPr>
            <w:spacing w:line="240" w:lineRule="auto"/>
          </w:pPr>
        </w:p>
        <w:p w14:paraId="2C8E6DF5" w14:textId="77777777" w:rsidR="003D5DB4" w:rsidRPr="000D0101" w:rsidRDefault="003D5DB4" w:rsidP="000A5389">
          <w:pPr>
            <w:spacing w:line="240" w:lineRule="auto"/>
          </w:pPr>
          <w:r w:rsidRPr="000D0101">
            <w:t>Las alternativas de renovación y cese del acuerdo</w:t>
          </w:r>
        </w:p>
        <w:p w14:paraId="6F1D2B57" w14:textId="77777777" w:rsidR="003D5DB4" w:rsidRPr="000D0101" w:rsidRDefault="003D5DB4" w:rsidP="000A5389">
          <w:pPr>
            <w:spacing w:line="240" w:lineRule="auto"/>
          </w:pPr>
        </w:p>
        <w:p w14:paraId="4D14928E" w14:textId="77777777" w:rsidR="003D5DB4" w:rsidRPr="000D0101" w:rsidRDefault="003D5DB4" w:rsidP="000A5389">
          <w:pPr>
            <w:spacing w:line="240" w:lineRule="auto"/>
          </w:pPr>
          <w:r w:rsidRPr="000D0101">
            <w:t>Descripción:</w:t>
          </w:r>
          <w:r w:rsidRPr="000D0101">
            <w:tab/>
            <w:t>N/A</w:t>
          </w:r>
        </w:p>
        <w:p w14:paraId="2973D09E" w14:textId="77777777" w:rsidR="003D5DB4" w:rsidRPr="000D0101" w:rsidRDefault="003D5DB4" w:rsidP="000A5389">
          <w:pPr>
            <w:spacing w:line="240" w:lineRule="auto"/>
          </w:pPr>
          <w:r w:rsidRPr="000D0101">
            <w:lastRenderedPageBreak/>
            <w:t>Observaciones: N/A</w:t>
          </w:r>
        </w:p>
        <w:p w14:paraId="5B170734" w14:textId="77777777" w:rsidR="003D5DB4" w:rsidRPr="000D0101" w:rsidRDefault="003D5DB4" w:rsidP="000A5389">
          <w:pPr>
            <w:spacing w:line="240" w:lineRule="auto"/>
          </w:pPr>
        </w:p>
        <w:p w14:paraId="1D7C2C83" w14:textId="77777777" w:rsidR="003D5DB4" w:rsidRPr="000D0101" w:rsidRDefault="003D5DB4" w:rsidP="000A5389">
          <w:pPr>
            <w:spacing w:line="240" w:lineRule="auto"/>
          </w:pPr>
          <w:r w:rsidRPr="000D0101">
            <w:t>Cambios en el acuerdo de concesión que se realicen durante el periodo fiscal</w:t>
          </w:r>
        </w:p>
        <w:p w14:paraId="3FC4502B" w14:textId="77777777" w:rsidR="003D5DB4" w:rsidRPr="000D0101" w:rsidRDefault="003D5DB4" w:rsidP="000A5389">
          <w:pPr>
            <w:spacing w:line="240" w:lineRule="auto"/>
          </w:pPr>
        </w:p>
        <w:p w14:paraId="69444C66" w14:textId="77777777" w:rsidR="003D5DB4" w:rsidRPr="000D0101" w:rsidRDefault="003D5DB4" w:rsidP="000A5389">
          <w:pPr>
            <w:spacing w:line="240" w:lineRule="auto"/>
          </w:pPr>
          <w:r w:rsidRPr="000D0101">
            <w:t>Adiciones o modificaciones en tiempo</w:t>
          </w:r>
        </w:p>
        <w:p w14:paraId="7C33C988" w14:textId="77777777" w:rsidR="003D5DB4" w:rsidRPr="000D0101" w:rsidRDefault="003D5DB4" w:rsidP="000A5389">
          <w:pPr>
            <w:spacing w:line="240" w:lineRule="auto"/>
          </w:pPr>
          <w:r w:rsidRPr="000D0101">
            <w:t>Fechas de las adiciones o modificaciones:</w:t>
          </w:r>
          <w:r w:rsidRPr="000D0101">
            <w:tab/>
            <w:t>N/A</w:t>
          </w:r>
        </w:p>
        <w:p w14:paraId="69C7567F" w14:textId="77777777" w:rsidR="003D5DB4" w:rsidRPr="000D0101" w:rsidRDefault="003D5DB4" w:rsidP="000A5389">
          <w:pPr>
            <w:spacing w:line="240" w:lineRule="auto"/>
          </w:pPr>
          <w:r w:rsidRPr="000D0101">
            <w:t>Nueva fecha de finalización estimada: N/A</w:t>
          </w:r>
        </w:p>
        <w:p w14:paraId="1F4E3C27" w14:textId="77777777" w:rsidR="003D5DB4" w:rsidRPr="000D0101" w:rsidRDefault="003D5DB4" w:rsidP="000A5389">
          <w:pPr>
            <w:spacing w:line="240" w:lineRule="auto"/>
          </w:pPr>
          <w:r w:rsidRPr="000D0101">
            <w:t>Observaciones: N/A</w:t>
          </w:r>
        </w:p>
        <w:p w14:paraId="3F80B197" w14:textId="77777777" w:rsidR="001B234E" w:rsidRDefault="001B234E" w:rsidP="000A5389">
          <w:pPr>
            <w:spacing w:line="240" w:lineRule="auto"/>
          </w:pPr>
        </w:p>
        <w:p w14:paraId="17665ADE" w14:textId="2D15FC66" w:rsidR="003D5DB4" w:rsidRPr="000D0101" w:rsidRDefault="003D5DB4" w:rsidP="000A5389">
          <w:pPr>
            <w:spacing w:line="240" w:lineRule="auto"/>
          </w:pPr>
          <w:r w:rsidRPr="000D0101">
            <w:t>Adiciones o modificaciones en valor</w:t>
          </w:r>
        </w:p>
        <w:p w14:paraId="4CB8C10D" w14:textId="59389B2D" w:rsidR="003D5DB4" w:rsidRPr="000D0101" w:rsidRDefault="003D5DB4" w:rsidP="000A5389">
          <w:pPr>
            <w:spacing w:line="240" w:lineRule="auto"/>
          </w:pPr>
          <w:r w:rsidRPr="000D0101">
            <w:t>Valor de la adición o modificación: N/A</w:t>
          </w:r>
        </w:p>
        <w:p w14:paraId="66D2F7B9" w14:textId="77777777" w:rsidR="003D5DB4" w:rsidRPr="000D0101" w:rsidRDefault="003D5DB4" w:rsidP="000A5389">
          <w:pPr>
            <w:spacing w:line="240" w:lineRule="auto"/>
          </w:pPr>
          <w:r w:rsidRPr="000D0101">
            <w:t>Nuevo valor del acuerdo: N/A</w:t>
          </w:r>
        </w:p>
        <w:p w14:paraId="4676528B" w14:textId="77777777" w:rsidR="003D5DB4" w:rsidRPr="000D0101" w:rsidRDefault="003D5DB4" w:rsidP="000A5389">
          <w:pPr>
            <w:spacing w:line="240" w:lineRule="auto"/>
          </w:pPr>
          <w:r w:rsidRPr="000D0101">
            <w:t>Observaciones: N/A</w:t>
          </w:r>
        </w:p>
        <w:p w14:paraId="44496C46" w14:textId="77777777" w:rsidR="003D5DB4" w:rsidRPr="000D0101" w:rsidRDefault="003D5DB4" w:rsidP="000A5389">
          <w:pPr>
            <w:spacing w:line="240" w:lineRule="auto"/>
          </w:pPr>
        </w:p>
        <w:p w14:paraId="4FCB81BC" w14:textId="77777777" w:rsidR="003D5DB4" w:rsidRPr="000D0101" w:rsidRDefault="003D5DB4" w:rsidP="000A5389">
          <w:pPr>
            <w:spacing w:line="240" w:lineRule="auto"/>
          </w:pPr>
        </w:p>
        <w:p w14:paraId="4D3CEE00" w14:textId="77777777" w:rsidR="003D5DB4" w:rsidRPr="00915852" w:rsidRDefault="003D5DB4" w:rsidP="000A5389">
          <w:pPr>
            <w:spacing w:line="240" w:lineRule="auto"/>
            <w:rPr>
              <w:rFonts w:eastAsia="Times New Roman"/>
              <w:i/>
              <w:iCs/>
              <w:lang w:eastAsia="es-CO"/>
            </w:rPr>
          </w:pPr>
          <w:r w:rsidRPr="00915852">
            <w:rPr>
              <w:rFonts w:eastAsia="Times New Roman"/>
              <w:i/>
              <w:iCs/>
              <w:lang w:eastAsia="es-CO"/>
            </w:rPr>
            <w:t>GRUPO PORTUARIO S.A. 50 MTS</w:t>
          </w:r>
        </w:p>
        <w:p w14:paraId="358354A3" w14:textId="77777777" w:rsidR="003D5DB4" w:rsidRPr="00915852" w:rsidRDefault="003D5DB4" w:rsidP="000A5389">
          <w:pPr>
            <w:spacing w:line="240" w:lineRule="auto"/>
            <w:rPr>
              <w:rFonts w:eastAsia="Times New Roman"/>
              <w:i/>
              <w:iCs/>
              <w:lang w:eastAsia="es-CO"/>
            </w:rPr>
          </w:pPr>
        </w:p>
        <w:p w14:paraId="0A52B481" w14:textId="77777777" w:rsidR="003D5DB4" w:rsidRPr="000D0101" w:rsidRDefault="003D5DB4" w:rsidP="000A5389">
          <w:pPr>
            <w:spacing w:line="240" w:lineRule="auto"/>
          </w:pPr>
          <w:r w:rsidRPr="000D0101">
            <w:t>Descripción del Acuerdo</w:t>
          </w:r>
        </w:p>
        <w:p w14:paraId="21E370B0" w14:textId="77777777" w:rsidR="003D5DB4" w:rsidRPr="000D0101" w:rsidRDefault="003D5DB4" w:rsidP="000A5389">
          <w:pPr>
            <w:spacing w:line="240" w:lineRule="auto"/>
          </w:pPr>
        </w:p>
        <w:p w14:paraId="2D66CFC7" w14:textId="77777777" w:rsidR="003D5DB4" w:rsidRPr="000D0101" w:rsidRDefault="003D5DB4" w:rsidP="000A5389">
          <w:pPr>
            <w:spacing w:line="240" w:lineRule="auto"/>
          </w:pPr>
          <w:r w:rsidRPr="000D0101">
            <w:t>Número del Acuerdo de concesión: 002 de 2005</w:t>
          </w:r>
        </w:p>
        <w:p w14:paraId="5C3DD5D7" w14:textId="77777777" w:rsidR="003D5DB4" w:rsidRPr="000D0101" w:rsidRDefault="003D5DB4" w:rsidP="000A5389">
          <w:pPr>
            <w:spacing w:line="240" w:lineRule="auto"/>
          </w:pPr>
        </w:p>
        <w:p w14:paraId="4B417D0F" w14:textId="77777777" w:rsidR="003D5DB4" w:rsidRPr="000D0101" w:rsidRDefault="003D5DB4" w:rsidP="000A5389">
          <w:pPr>
            <w:spacing w:line="240" w:lineRule="auto"/>
          </w:pPr>
          <w:r w:rsidRPr="000D0101">
            <w:t>Objeto / Descripción: En virtud del Contrato de Concesión, se permite al CONCESIONARIO la ocupación en forma temporal y exclusiva de los bienes pertenecientes a la Nación descritos en la Cláusula Segunda del Contrato, para la construcción, operación y el desarrollo de actividades portuarias de servicio público, conforme lo establece la Cláusula Primera del Contrato.</w:t>
          </w:r>
        </w:p>
        <w:p w14:paraId="2A678E21" w14:textId="77777777" w:rsidR="003D5DB4" w:rsidRPr="000D0101" w:rsidRDefault="003D5DB4" w:rsidP="000A5389">
          <w:pPr>
            <w:spacing w:line="240" w:lineRule="auto"/>
          </w:pPr>
        </w:p>
        <w:p w14:paraId="61C44E1F" w14:textId="77777777" w:rsidR="003D5DB4" w:rsidRPr="000D0101" w:rsidRDefault="003D5DB4" w:rsidP="000A5389">
          <w:pPr>
            <w:spacing w:line="240" w:lineRule="auto"/>
          </w:pPr>
          <w:r w:rsidRPr="000D0101">
            <w:t>Valor inicial:</w:t>
          </w:r>
          <w:r w:rsidRPr="000D0101">
            <w:tab/>
            <w:t>USD 258.739,26 Cláusula Séptima / Contrato No. 002 de 2005</w:t>
          </w:r>
        </w:p>
        <w:p w14:paraId="42F5D5B3" w14:textId="77777777" w:rsidR="003D5DB4" w:rsidRPr="000D0101" w:rsidRDefault="003D5DB4" w:rsidP="000A5389">
          <w:pPr>
            <w:spacing w:line="240" w:lineRule="auto"/>
          </w:pPr>
          <w:r w:rsidRPr="000D0101">
            <w:t>Fecha de inicio: 28/12/2005</w:t>
          </w:r>
        </w:p>
        <w:p w14:paraId="6C141715" w14:textId="77777777" w:rsidR="003D5DB4" w:rsidRPr="000D0101" w:rsidRDefault="003D5DB4" w:rsidP="000A5389">
          <w:pPr>
            <w:spacing w:line="240" w:lineRule="auto"/>
          </w:pPr>
          <w:r w:rsidRPr="000D0101">
            <w:t>Fecha de finalización estimada: 27/12/2025</w:t>
          </w:r>
        </w:p>
        <w:p w14:paraId="59C65F69" w14:textId="77777777" w:rsidR="003D5DB4" w:rsidRPr="000D0101" w:rsidRDefault="003D5DB4" w:rsidP="000A5389">
          <w:pPr>
            <w:spacing w:line="240" w:lineRule="auto"/>
          </w:pPr>
          <w:r w:rsidRPr="000D0101">
            <w:t>Tipo ID: NIT</w:t>
          </w:r>
        </w:p>
        <w:p w14:paraId="2A4736CF" w14:textId="77777777" w:rsidR="003D5DB4" w:rsidRPr="000D0101" w:rsidRDefault="003D5DB4" w:rsidP="000A5389">
          <w:pPr>
            <w:spacing w:line="240" w:lineRule="auto"/>
          </w:pPr>
          <w:r w:rsidRPr="000D0101">
            <w:t>Número ID: 830.020.263 - 7</w:t>
          </w:r>
        </w:p>
        <w:p w14:paraId="090E59C0" w14:textId="77777777" w:rsidR="003D5DB4" w:rsidRPr="000D0101" w:rsidRDefault="003D5DB4" w:rsidP="000A5389">
          <w:pPr>
            <w:spacing w:line="240" w:lineRule="auto"/>
          </w:pPr>
          <w:r w:rsidRPr="000D0101">
            <w:t>Razón social del concesionario: Grupo Portuario S.A.</w:t>
          </w:r>
        </w:p>
        <w:p w14:paraId="0695D739" w14:textId="77777777" w:rsidR="003D5DB4" w:rsidRPr="000D0101" w:rsidRDefault="003D5DB4" w:rsidP="000A5389">
          <w:pPr>
            <w:spacing w:line="240" w:lineRule="auto"/>
          </w:pPr>
          <w:r w:rsidRPr="000D0101">
            <w:t>Nombre del proyecto: Grupo Portuario S.A. “Lote 50 Metros”</w:t>
          </w:r>
        </w:p>
        <w:p w14:paraId="3D6E4939" w14:textId="77777777" w:rsidR="003D5DB4" w:rsidRPr="000D0101" w:rsidRDefault="003D5DB4" w:rsidP="000A5389">
          <w:pPr>
            <w:spacing w:line="240" w:lineRule="auto"/>
          </w:pPr>
        </w:p>
        <w:p w14:paraId="4AFBED4B" w14:textId="77777777" w:rsidR="003D5DB4" w:rsidRPr="000D0101" w:rsidRDefault="003D5DB4" w:rsidP="000A5389">
          <w:pPr>
            <w:spacing w:line="240" w:lineRule="auto"/>
          </w:pPr>
          <w:r w:rsidRPr="000D0101">
            <w:t>Términos significativos del Acuerdo que puedan afectar su valor, el calendario y la certeza de los flujos de efectivo futuros</w:t>
          </w:r>
        </w:p>
        <w:p w14:paraId="3DCB2B11" w14:textId="77777777" w:rsidR="003D5DB4" w:rsidRPr="000D0101" w:rsidRDefault="003D5DB4" w:rsidP="000A5389">
          <w:pPr>
            <w:spacing w:line="240" w:lineRule="auto"/>
          </w:pPr>
        </w:p>
        <w:p w14:paraId="363FF654" w14:textId="77777777" w:rsidR="003D5DB4" w:rsidRPr="000D0101" w:rsidRDefault="003D5DB4" w:rsidP="000A5389">
          <w:pPr>
            <w:spacing w:line="240" w:lineRule="auto"/>
          </w:pPr>
          <w:r w:rsidRPr="000D0101">
            <w:t xml:space="preserve">Términos de valor: 1) Tarifas: Al ser el terminal marítimo de servicio público la Ley 1ª de 1991 establece: Las sociedades portuarias que operan puertos de servicio público las tarifas requieren ser aprobadas según la metodología establecida por la Superintendencia General de Puertos hoy Superintendencia de Transporte.2) Contraprestación portuaria: De acuerdo con el último documento contractual vigente la metodología de contraprestación vigente es CONPES 2680 DE 1993 (Productividad). Se establece en la Cláusula Séptima del Contrato </w:t>
          </w:r>
          <w:r w:rsidRPr="000D0101">
            <w:lastRenderedPageBreak/>
            <w:t>que el CONCESIONARIO deberá pagar por concepto de contraprestación la suma anual de (USD 30.928,30), de dicho pago el 80% le corresponde a la Nación (INVIAS-ANI) y el 20% restante al Municipio de Buenaventura de acuerdo con lo establecido en el parágrafo 1 del artículo 1 de la Ley 856 del 21 de diciembre de 2003, que modifica el artículo 7 de la Ley 1ª de 1991.3) Plan de Inversiones: Está establecido en la Cláusula Sexta del Contrato que el plan de inversión será de USD 805.652 en valores corrientes.4) Obligaciones del Concesionario: Se encuentran descritas en la Cláusula Décima Cuarta del Contrato.5) Multas y sanciones: Están establecidas en la Cláusula Décima Séptima del Contrato.6) Penal pecuniario: En la Cláusula Décima Octava se establece que en el evento en que el INCO, hoy ANI, declare la caducidad o el incumplimiento del contrato, se podrá imponer una penalidad pecuniaria equivalente al 10% del valor total de la contraprestación.</w:t>
          </w:r>
        </w:p>
        <w:p w14:paraId="4ED9D579" w14:textId="77777777" w:rsidR="003D5DB4" w:rsidRPr="000D0101" w:rsidRDefault="003D5DB4" w:rsidP="000A5389">
          <w:pPr>
            <w:spacing w:line="240" w:lineRule="auto"/>
          </w:pPr>
        </w:p>
        <w:p w14:paraId="15DF5E73" w14:textId="77777777" w:rsidR="003D5DB4" w:rsidRPr="000D0101" w:rsidRDefault="003D5DB4" w:rsidP="000A5389">
          <w:pPr>
            <w:spacing w:line="240" w:lineRule="auto"/>
          </w:pPr>
          <w:r w:rsidRPr="000D0101">
            <w:t>Términos de calendario: Tarifas: Aprobadas según la metodología establecida por la Superintendencia General de Puertos hoy Superintendencia de Transporte. Contraprestación portuaria: La contraprestación se debe pagar en anualidades anticipadas, dentro de los cinco (5) días siguientes a la fecha del vencimiento de la anualidad (28 de diciembre de cada año). Plan de inversiones: Se estableció en la Cláusula Sexta del Contrato de concesión la ejecución de inversiones en el periodo de tiempo comprendido entre el año 2005 a 2006.Multas: Están establecidas en la Cláusula Décima Séptima del Contrato de Concesión Portuaria No. 002 de 2005.</w:t>
          </w:r>
        </w:p>
        <w:p w14:paraId="35370CF0" w14:textId="77777777" w:rsidR="003D5DB4" w:rsidRPr="000D0101" w:rsidRDefault="003D5DB4" w:rsidP="000A5389">
          <w:pPr>
            <w:spacing w:line="240" w:lineRule="auto"/>
          </w:pPr>
        </w:p>
        <w:p w14:paraId="1BF81EA5" w14:textId="77777777" w:rsidR="003D5DB4" w:rsidRPr="000D0101" w:rsidRDefault="003D5DB4" w:rsidP="000A5389">
          <w:pPr>
            <w:spacing w:line="240" w:lineRule="auto"/>
          </w:pPr>
          <w:r w:rsidRPr="000D0101">
            <w:t>Términos de certeza de flujos de efectivo futuros: Se otorga a EL CONCESIONARIO el derecho de ocupar y utilizar en forma temporal y exclusiva los bienes pertenecientes a la Nación determinados en la cláusula segunda del contrato, a cambio de la contraprestación económica. El numeral 7.2 de la Cláusula Séptima del Contrato indica que, del valor a pagar por concepto de contraprestación por Zona de Uso público, el 80% le corresponde a la Nación-INVIAS y ANI y el 20 % al Municipio de Buenaventura.</w:t>
          </w:r>
        </w:p>
        <w:p w14:paraId="18BC500C" w14:textId="77777777" w:rsidR="003D5DB4" w:rsidRPr="000D0101" w:rsidRDefault="003D5DB4" w:rsidP="000A5389">
          <w:pPr>
            <w:spacing w:line="240" w:lineRule="auto"/>
          </w:pPr>
        </w:p>
        <w:p w14:paraId="0B57A75E" w14:textId="77777777" w:rsidR="003D5DB4" w:rsidRPr="000D0101" w:rsidRDefault="003D5DB4" w:rsidP="000A5389">
          <w:pPr>
            <w:spacing w:line="240" w:lineRule="auto"/>
          </w:pPr>
          <w:r w:rsidRPr="000D0101">
            <w:t>Naturaleza y alcance del derecho a utilizar Activos y los aspectos pactados en torno a lo que se espera que el concesionario proporcione en relación con el Acuerdo de concesión</w:t>
          </w:r>
        </w:p>
        <w:p w14:paraId="3CBC6DCE" w14:textId="77777777" w:rsidR="003D5DB4" w:rsidRPr="000D0101" w:rsidRDefault="003D5DB4" w:rsidP="000A5389">
          <w:pPr>
            <w:spacing w:line="240" w:lineRule="auto"/>
          </w:pPr>
        </w:p>
        <w:p w14:paraId="23CD5B91" w14:textId="77777777" w:rsidR="003D5DB4" w:rsidRPr="000D0101" w:rsidRDefault="003D5DB4" w:rsidP="000A5389">
          <w:pPr>
            <w:spacing w:line="240" w:lineRule="auto"/>
          </w:pPr>
          <w:r w:rsidRPr="000D0101">
            <w:t>Naturaleza y alcance del derecho de uso de los Activos</w:t>
          </w:r>
        </w:p>
        <w:p w14:paraId="183E9A74" w14:textId="77777777" w:rsidR="003D5DB4" w:rsidRPr="000D0101" w:rsidRDefault="003D5DB4" w:rsidP="000A5389">
          <w:pPr>
            <w:spacing w:line="240" w:lineRule="auto"/>
          </w:pPr>
        </w:p>
        <w:p w14:paraId="34B80046" w14:textId="77777777" w:rsidR="003D5DB4" w:rsidRPr="000D0101" w:rsidRDefault="003D5DB4" w:rsidP="000A5389">
          <w:pPr>
            <w:spacing w:line="240" w:lineRule="auto"/>
          </w:pPr>
          <w:r w:rsidRPr="000D0101">
            <w:t>Descripción:</w:t>
          </w:r>
          <w:r w:rsidRPr="000D0101">
            <w:tab/>
            <w:t>Descripción del proyecto, especificaciones técnicas, modalidades de operación: las condiciones especiales de operación del puerto están establecidas en la cláusula cuarta.   Área entregada en concesión: La descripción de la ubicación, linderos y extensión de los bienes de uso público (Zona de Uso Público terrestre, accesos marítimos y acceso terrestre) entregados en concesión están establecidos en la cláusula segunda. Infraestructura y equipos entregados en concesión: En la cláusula segunda del Contrato, se describe que lo entregado en concesión fue:  Infraestructura: Corresponde a la proyección de un muelle de 20 metros de ancho por 10.43 metros de ancho.</w:t>
          </w:r>
        </w:p>
        <w:p w14:paraId="11EF56BF" w14:textId="77777777" w:rsidR="003D5DB4" w:rsidRPr="000D0101" w:rsidRDefault="003D5DB4" w:rsidP="000A5389">
          <w:pPr>
            <w:spacing w:line="240" w:lineRule="auto"/>
          </w:pPr>
        </w:p>
        <w:p w14:paraId="25DFA4A5" w14:textId="77777777" w:rsidR="003D5DB4" w:rsidRPr="000D0101" w:rsidRDefault="003D5DB4" w:rsidP="000A5389">
          <w:pPr>
            <w:spacing w:line="240" w:lineRule="auto"/>
          </w:pPr>
          <w:r w:rsidRPr="000D0101">
            <w:t>Observaciones: N/A</w:t>
          </w:r>
        </w:p>
        <w:p w14:paraId="0FBC1DD1" w14:textId="77777777" w:rsidR="003D5DB4" w:rsidRPr="000D0101" w:rsidRDefault="003D5DB4" w:rsidP="000A5389">
          <w:pPr>
            <w:spacing w:line="240" w:lineRule="auto"/>
          </w:pPr>
        </w:p>
        <w:p w14:paraId="3ED0A687" w14:textId="77777777" w:rsidR="003D5DB4" w:rsidRPr="000D0101" w:rsidRDefault="003D5DB4" w:rsidP="000A5389">
          <w:pPr>
            <w:spacing w:line="240" w:lineRule="auto"/>
          </w:pPr>
          <w:r w:rsidRPr="000D0101">
            <w:lastRenderedPageBreak/>
            <w:t>Retribución al concesionario</w:t>
          </w:r>
        </w:p>
        <w:p w14:paraId="65916D72" w14:textId="77777777" w:rsidR="003D5DB4" w:rsidRPr="000D0101" w:rsidRDefault="003D5DB4" w:rsidP="000A5389">
          <w:pPr>
            <w:spacing w:line="240" w:lineRule="auto"/>
          </w:pPr>
        </w:p>
        <w:p w14:paraId="1720978B" w14:textId="77777777" w:rsidR="003D5DB4" w:rsidRPr="000D0101" w:rsidRDefault="003D5DB4" w:rsidP="000A5389">
          <w:pPr>
            <w:spacing w:line="240" w:lineRule="auto"/>
          </w:pPr>
          <w:r w:rsidRPr="000D0101">
            <w:t>Descripción:</w:t>
          </w:r>
          <w:r w:rsidRPr="000D0101">
            <w:tab/>
            <w:t>Cláusula Primera del Contrato No. 002 de 2005: Se otorga a EL CONCESIONARIO el derecho de ocupar y utilizar en forma temporal y exclusiva los bienes pertenecientes a la Nación determinados en la cláusula segunda del contrato, a cambio de la contraprestación establecida en la Cláusula Séptima del contrato.</w:t>
          </w:r>
        </w:p>
        <w:p w14:paraId="58625CE7" w14:textId="77777777" w:rsidR="003D5DB4" w:rsidRPr="000D0101" w:rsidRDefault="003D5DB4" w:rsidP="000A5389">
          <w:pPr>
            <w:spacing w:line="240" w:lineRule="auto"/>
          </w:pPr>
        </w:p>
        <w:p w14:paraId="5092E69B" w14:textId="77777777" w:rsidR="003D5DB4" w:rsidRPr="000D0101" w:rsidRDefault="003D5DB4" w:rsidP="000A5389">
          <w:pPr>
            <w:spacing w:line="240" w:lineRule="auto"/>
          </w:pPr>
          <w:r w:rsidRPr="000D0101">
            <w:t>Tasa de retribución:</w:t>
          </w:r>
          <w:r w:rsidRPr="000D0101">
            <w:tab/>
            <w:t>N/A</w:t>
          </w:r>
        </w:p>
        <w:p w14:paraId="2EA5963C" w14:textId="77777777" w:rsidR="003D5DB4" w:rsidRPr="000D0101" w:rsidRDefault="003D5DB4" w:rsidP="000A5389">
          <w:pPr>
            <w:spacing w:line="240" w:lineRule="auto"/>
          </w:pPr>
        </w:p>
        <w:p w14:paraId="2181520B" w14:textId="77777777" w:rsidR="003D5DB4" w:rsidRPr="000D0101" w:rsidRDefault="003D5DB4" w:rsidP="000A5389">
          <w:pPr>
            <w:spacing w:line="240" w:lineRule="auto"/>
          </w:pPr>
          <w:r w:rsidRPr="000D0101">
            <w:t>Derechos a recibir Activos especificados al final del acuerdo de concesión</w:t>
          </w:r>
        </w:p>
        <w:p w14:paraId="79352617" w14:textId="77777777" w:rsidR="003D5DB4" w:rsidRPr="000D0101" w:rsidRDefault="003D5DB4" w:rsidP="000A5389">
          <w:pPr>
            <w:spacing w:line="240" w:lineRule="auto"/>
          </w:pPr>
        </w:p>
        <w:p w14:paraId="0703461B" w14:textId="77777777" w:rsidR="003D5DB4" w:rsidRPr="000D0101" w:rsidRDefault="003D5DB4" w:rsidP="000A5389">
          <w:pPr>
            <w:spacing w:line="240" w:lineRule="auto"/>
          </w:pPr>
          <w:r w:rsidRPr="000D0101">
            <w:t>Descripción:</w:t>
          </w:r>
          <w:r w:rsidRPr="000D0101">
            <w:tab/>
            <w:t>Cláusula Primera del Contrato No. 002 de 2005: Se otorga a EL CONCESIONARIO el derecho de ocupar y utilizar en forma temporal y exclusiva los bienes pertenecientes a la Nación determinados en la cláusula segunda del contrato, a cambio de la contraprestación establecida en la Cláusula Séptima del contrato.</w:t>
          </w:r>
        </w:p>
        <w:p w14:paraId="23A53621" w14:textId="77777777" w:rsidR="003D5DB4" w:rsidRPr="000D0101" w:rsidRDefault="003D5DB4" w:rsidP="000A5389">
          <w:pPr>
            <w:spacing w:line="240" w:lineRule="auto"/>
          </w:pPr>
        </w:p>
        <w:p w14:paraId="141A4BEF" w14:textId="77777777" w:rsidR="003D5DB4" w:rsidRPr="000D0101" w:rsidRDefault="003D5DB4" w:rsidP="000A5389">
          <w:pPr>
            <w:spacing w:line="240" w:lineRule="auto"/>
          </w:pPr>
          <w:r w:rsidRPr="000D0101">
            <w:t>Observaciones: Reversión: De acuerdo con lo establecido en la Cláusula Décima Primera del contrato de concesión, la zona de uso público y todas las construcciones (obras e inversiones), y los inmuebles por destinación (equipos e inversiones) otorgadas en concesión se revertirán a la Nación en buenas condiciones de operación tecnológica, mantenimiento y de adecuada eficiencia al término de este contrato y de las prórrogas si la hubiere. Igualmente procederá la reversión al ser declarada la caducidad o la terminación unilateral. Para tal fin, en el momento de la reversión el CONCESIONARIO deberá hacer entrega de un avaluó comercial actualizado y valoración técnica de las condiciones de operación de la infraestructura portuaria, equipos e inmuebles por destinación que habitualmente se encuentren instalados en las zonas de uso público que se revierten y que son propiedad de la Nación.</w:t>
          </w:r>
        </w:p>
        <w:p w14:paraId="4FDFCF4A" w14:textId="77777777" w:rsidR="003D5DB4" w:rsidRPr="000D0101" w:rsidRDefault="003D5DB4" w:rsidP="000A5389">
          <w:pPr>
            <w:spacing w:line="240" w:lineRule="auto"/>
          </w:pPr>
        </w:p>
        <w:p w14:paraId="58201DF4" w14:textId="77777777" w:rsidR="003D5DB4" w:rsidRPr="000D0101" w:rsidRDefault="003D5DB4" w:rsidP="000A5389">
          <w:pPr>
            <w:spacing w:line="240" w:lineRule="auto"/>
          </w:pPr>
          <w:r w:rsidRPr="000D0101">
            <w:t>Las alternativas de renovación y cese del acuerdo</w:t>
          </w:r>
        </w:p>
        <w:p w14:paraId="6329EBD6" w14:textId="77777777" w:rsidR="003D5DB4" w:rsidRPr="000D0101" w:rsidRDefault="003D5DB4" w:rsidP="000A5389">
          <w:pPr>
            <w:spacing w:line="240" w:lineRule="auto"/>
          </w:pPr>
        </w:p>
        <w:p w14:paraId="5A49548C" w14:textId="77777777" w:rsidR="003D5DB4" w:rsidRPr="000D0101" w:rsidRDefault="003D5DB4" w:rsidP="000A5389">
          <w:pPr>
            <w:spacing w:line="240" w:lineRule="auto"/>
          </w:pPr>
          <w:r w:rsidRPr="000D0101">
            <w:t>Descripción:</w:t>
          </w:r>
          <w:r w:rsidRPr="000D0101">
            <w:tab/>
            <w:t>La prórroga del contrato está en la CLÁUSULA DÉCIMA, permitiendo extenderlo hasta 20 años más bajo ciertas condiciones, y la terminación en la CLÁUSULA VIGÉSIMA, regulando su finalización por vencimiento, mutuo acuerdo, suspensión o nulidad.</w:t>
          </w:r>
          <w:r w:rsidRPr="000D0101">
            <w:cr/>
          </w:r>
        </w:p>
        <w:p w14:paraId="4A3D569A" w14:textId="77777777" w:rsidR="003D5DB4" w:rsidRPr="000D0101" w:rsidRDefault="003D5DB4" w:rsidP="000A5389">
          <w:pPr>
            <w:spacing w:line="240" w:lineRule="auto"/>
          </w:pPr>
          <w:r w:rsidRPr="000D0101">
            <w:t>Observaciones: No se tiene ninguna observación.</w:t>
          </w:r>
        </w:p>
        <w:p w14:paraId="2E302052" w14:textId="77777777" w:rsidR="003D5DB4" w:rsidRPr="000D0101" w:rsidRDefault="003D5DB4" w:rsidP="000A5389">
          <w:pPr>
            <w:spacing w:line="240" w:lineRule="auto"/>
          </w:pPr>
        </w:p>
        <w:p w14:paraId="0754C37B" w14:textId="77777777" w:rsidR="003D5DB4" w:rsidRPr="000D0101" w:rsidRDefault="003D5DB4" w:rsidP="000A5389">
          <w:pPr>
            <w:spacing w:line="240" w:lineRule="auto"/>
          </w:pPr>
          <w:r w:rsidRPr="000D0101">
            <w:t>Cambios en el acuerdo de concesión que se realicen durante el periodo fiscal</w:t>
          </w:r>
        </w:p>
        <w:p w14:paraId="59DC096B" w14:textId="77777777" w:rsidR="003D5DB4" w:rsidRPr="000D0101" w:rsidRDefault="003D5DB4" w:rsidP="000A5389">
          <w:pPr>
            <w:spacing w:line="240" w:lineRule="auto"/>
          </w:pPr>
        </w:p>
        <w:p w14:paraId="69622F80" w14:textId="77777777" w:rsidR="003D5DB4" w:rsidRPr="000D0101" w:rsidRDefault="003D5DB4" w:rsidP="000A5389">
          <w:pPr>
            <w:spacing w:line="240" w:lineRule="auto"/>
          </w:pPr>
          <w:r w:rsidRPr="000D0101">
            <w:t>Adiciones o modificaciones en tiempo</w:t>
          </w:r>
        </w:p>
        <w:p w14:paraId="76C53556" w14:textId="77777777" w:rsidR="003D5DB4" w:rsidRPr="000D0101" w:rsidRDefault="003D5DB4" w:rsidP="000A5389">
          <w:pPr>
            <w:spacing w:line="240" w:lineRule="auto"/>
          </w:pPr>
          <w:r w:rsidRPr="000D0101">
            <w:t>Fechas de las adiciones o modificaciones:</w:t>
          </w:r>
          <w:r w:rsidRPr="000D0101">
            <w:tab/>
            <w:t>N/A</w:t>
          </w:r>
        </w:p>
        <w:p w14:paraId="069C1D68" w14:textId="77777777" w:rsidR="003D5DB4" w:rsidRPr="000D0101" w:rsidRDefault="003D5DB4" w:rsidP="000A5389">
          <w:pPr>
            <w:spacing w:line="240" w:lineRule="auto"/>
          </w:pPr>
          <w:r w:rsidRPr="000D0101">
            <w:t>Nueva fecha de finalización estimada: N/A</w:t>
          </w:r>
        </w:p>
        <w:p w14:paraId="2E20C752" w14:textId="77777777" w:rsidR="003D5DB4" w:rsidRPr="000D0101" w:rsidRDefault="003D5DB4" w:rsidP="000A5389">
          <w:pPr>
            <w:spacing w:line="240" w:lineRule="auto"/>
          </w:pPr>
          <w:r w:rsidRPr="000D0101">
            <w:t>Observaciones: N/A</w:t>
          </w:r>
        </w:p>
        <w:p w14:paraId="3A8B5288" w14:textId="77777777" w:rsidR="003D5DB4" w:rsidRPr="000D0101" w:rsidRDefault="003D5DB4" w:rsidP="000A5389">
          <w:pPr>
            <w:spacing w:line="240" w:lineRule="auto"/>
          </w:pPr>
          <w:r w:rsidRPr="000D0101">
            <w:t>Adiciones o modificaciones en valor</w:t>
          </w:r>
        </w:p>
        <w:p w14:paraId="0DE9F8A9" w14:textId="77777777" w:rsidR="003D5DB4" w:rsidRPr="000D0101" w:rsidRDefault="003D5DB4" w:rsidP="000A5389">
          <w:pPr>
            <w:spacing w:line="240" w:lineRule="auto"/>
          </w:pPr>
          <w:r w:rsidRPr="000D0101">
            <w:t>Valor de la adición o modificación: N/A</w:t>
          </w:r>
        </w:p>
        <w:p w14:paraId="63F52949" w14:textId="77777777" w:rsidR="003D5DB4" w:rsidRPr="000D0101" w:rsidRDefault="003D5DB4" w:rsidP="000A5389">
          <w:pPr>
            <w:spacing w:line="240" w:lineRule="auto"/>
          </w:pPr>
          <w:r w:rsidRPr="000D0101">
            <w:t>Nuevo valor del acuerdo: N/A</w:t>
          </w:r>
        </w:p>
        <w:p w14:paraId="4F3DB0B5" w14:textId="77777777" w:rsidR="003D5DB4" w:rsidRPr="000D0101" w:rsidRDefault="003D5DB4" w:rsidP="000A5389">
          <w:pPr>
            <w:spacing w:line="240" w:lineRule="auto"/>
          </w:pPr>
          <w:r w:rsidRPr="000D0101">
            <w:lastRenderedPageBreak/>
            <w:t>Observaciones: N/A</w:t>
          </w:r>
        </w:p>
        <w:p w14:paraId="0CB0EBC5" w14:textId="77777777" w:rsidR="003D5DB4" w:rsidRPr="000D0101" w:rsidRDefault="003D5DB4" w:rsidP="000A5389">
          <w:pPr>
            <w:spacing w:line="240" w:lineRule="auto"/>
          </w:pPr>
        </w:p>
        <w:p w14:paraId="7A519A23" w14:textId="77777777" w:rsidR="003D5DB4" w:rsidRPr="000D0101" w:rsidRDefault="003D5DB4" w:rsidP="000A5389">
          <w:pPr>
            <w:spacing w:line="240" w:lineRule="auto"/>
            <w:rPr>
              <w:rFonts w:eastAsia="Times New Roman"/>
              <w:lang w:eastAsia="es-CO"/>
            </w:rPr>
          </w:pPr>
        </w:p>
        <w:p w14:paraId="27932C0C" w14:textId="77777777" w:rsidR="003D5DB4" w:rsidRPr="00915852" w:rsidRDefault="003D5DB4" w:rsidP="000A5389">
          <w:pPr>
            <w:spacing w:line="240" w:lineRule="auto"/>
            <w:rPr>
              <w:rFonts w:eastAsia="Times New Roman"/>
              <w:i/>
              <w:iCs/>
              <w:lang w:eastAsia="es-CO"/>
            </w:rPr>
          </w:pPr>
          <w:r w:rsidRPr="00915852">
            <w:rPr>
              <w:rFonts w:eastAsia="Times New Roman"/>
              <w:i/>
              <w:iCs/>
              <w:lang w:eastAsia="es-CO"/>
            </w:rPr>
            <w:t>GRUPO PORTUARIO S.A. - LOTE EL VACÍO</w:t>
          </w:r>
        </w:p>
        <w:p w14:paraId="540DA199" w14:textId="77777777" w:rsidR="003D5DB4" w:rsidRPr="000D0101" w:rsidRDefault="003D5DB4" w:rsidP="000A5389">
          <w:pPr>
            <w:spacing w:line="240" w:lineRule="auto"/>
            <w:rPr>
              <w:lang w:val="es-MX"/>
            </w:rPr>
          </w:pPr>
        </w:p>
        <w:p w14:paraId="29FD513C" w14:textId="77777777" w:rsidR="003D5DB4" w:rsidRPr="000D0101" w:rsidRDefault="003D5DB4" w:rsidP="000A5389">
          <w:pPr>
            <w:spacing w:line="240" w:lineRule="auto"/>
          </w:pPr>
          <w:r w:rsidRPr="000D0101">
            <w:t>Descripción del Acuerdo</w:t>
          </w:r>
        </w:p>
        <w:p w14:paraId="76223ECA" w14:textId="77777777" w:rsidR="003D5DB4" w:rsidRPr="000D0101" w:rsidRDefault="003D5DB4" w:rsidP="000A5389">
          <w:pPr>
            <w:spacing w:line="240" w:lineRule="auto"/>
          </w:pPr>
        </w:p>
        <w:p w14:paraId="1ACFBCFA" w14:textId="77777777" w:rsidR="003D5DB4" w:rsidRPr="000D0101" w:rsidRDefault="003D5DB4" w:rsidP="000A5389">
          <w:pPr>
            <w:spacing w:line="240" w:lineRule="auto"/>
          </w:pPr>
          <w:r w:rsidRPr="000D0101">
            <w:t>Número del Acuerdo de concesión: 018 de 1997</w:t>
          </w:r>
        </w:p>
        <w:p w14:paraId="2E918462" w14:textId="77777777" w:rsidR="003D5DB4" w:rsidRPr="000D0101" w:rsidRDefault="003D5DB4" w:rsidP="000A5389">
          <w:pPr>
            <w:spacing w:line="240" w:lineRule="auto"/>
          </w:pPr>
        </w:p>
        <w:p w14:paraId="1F907AF8" w14:textId="77777777" w:rsidR="003D5DB4" w:rsidRPr="000D0101" w:rsidRDefault="003D5DB4" w:rsidP="000A5389">
          <w:pPr>
            <w:spacing w:line="240" w:lineRule="auto"/>
          </w:pPr>
          <w:r w:rsidRPr="000D0101">
            <w:t>Objeto / Descripción: En virtud del Contrato de concesión y sus modificaciones, se permite al CONCESIONARIO la ocupación en forma temporal y exclusiva de un lote de terreno ubicado en zona de bajamar considerado como zona de Uso Público, denominado “Vacío”. Dicho terreno no tiene acceso directo o salida al océano pacifico, su principal objetivo social es la administración, explotación y usufructo del terreno objeto de la concesión portuaria, destinado a la prestación de servicios relacionados con actividades portuarias de servicio público, conforme lo establece la Cláusula Primera del Contrato.</w:t>
          </w:r>
        </w:p>
        <w:p w14:paraId="04CA4DFF" w14:textId="77777777" w:rsidR="003D5DB4" w:rsidRPr="000D0101" w:rsidRDefault="003D5DB4" w:rsidP="000A5389">
          <w:pPr>
            <w:spacing w:line="240" w:lineRule="auto"/>
          </w:pPr>
        </w:p>
        <w:p w14:paraId="601ED134" w14:textId="77777777" w:rsidR="003D5DB4" w:rsidRPr="000D0101" w:rsidRDefault="003D5DB4" w:rsidP="000A5389">
          <w:pPr>
            <w:spacing w:line="240" w:lineRule="auto"/>
          </w:pPr>
          <w:r w:rsidRPr="000D0101">
            <w:t>Valor inicial:</w:t>
          </w:r>
          <w:r w:rsidRPr="000D0101">
            <w:tab/>
            <w:t>USD 273.623,22 - Cláusula Novena / Contrato de Concesión Portuaria No. 018 de 1997.Valor actualizado: USD 1.193.007 Cláusula Quinta Otrosí No 01 de 2016.</w:t>
          </w:r>
        </w:p>
        <w:p w14:paraId="194CA01E" w14:textId="77777777" w:rsidR="003D5DB4" w:rsidRPr="000D0101" w:rsidRDefault="003D5DB4" w:rsidP="000A5389">
          <w:pPr>
            <w:spacing w:line="240" w:lineRule="auto"/>
          </w:pPr>
        </w:p>
        <w:p w14:paraId="2BA76BC7" w14:textId="77777777" w:rsidR="003D5DB4" w:rsidRPr="000D0101" w:rsidRDefault="003D5DB4" w:rsidP="000A5389">
          <w:pPr>
            <w:spacing w:line="240" w:lineRule="auto"/>
          </w:pPr>
          <w:r w:rsidRPr="000D0101">
            <w:t>Fecha de inicio: 4/03/1997</w:t>
          </w:r>
        </w:p>
        <w:p w14:paraId="50DE72B4" w14:textId="77777777" w:rsidR="003D5DB4" w:rsidRPr="000D0101" w:rsidRDefault="003D5DB4" w:rsidP="000A5389">
          <w:pPr>
            <w:spacing w:line="240" w:lineRule="auto"/>
          </w:pPr>
          <w:r w:rsidRPr="000D0101">
            <w:t>Fecha de finalización estimada: 3/03/2037</w:t>
          </w:r>
        </w:p>
        <w:p w14:paraId="00E35330" w14:textId="77777777" w:rsidR="003D5DB4" w:rsidRPr="000D0101" w:rsidRDefault="003D5DB4" w:rsidP="000A5389">
          <w:pPr>
            <w:spacing w:line="240" w:lineRule="auto"/>
          </w:pPr>
          <w:r w:rsidRPr="000D0101">
            <w:t>Tipo ID: NIT</w:t>
          </w:r>
        </w:p>
        <w:p w14:paraId="2BFB0C37" w14:textId="77777777" w:rsidR="003D5DB4" w:rsidRPr="000D0101" w:rsidRDefault="003D5DB4" w:rsidP="000A5389">
          <w:pPr>
            <w:spacing w:line="240" w:lineRule="auto"/>
          </w:pPr>
          <w:r w:rsidRPr="000D0101">
            <w:t>Número ID: 830.020.263-7</w:t>
          </w:r>
        </w:p>
        <w:p w14:paraId="5910612A" w14:textId="77777777" w:rsidR="003D5DB4" w:rsidRPr="000D0101" w:rsidRDefault="003D5DB4" w:rsidP="000A5389">
          <w:pPr>
            <w:spacing w:line="240" w:lineRule="auto"/>
          </w:pPr>
          <w:r w:rsidRPr="000D0101">
            <w:t>Razón social del concesionario: Grupo Portuario S.A.</w:t>
          </w:r>
        </w:p>
        <w:p w14:paraId="646C5CAA" w14:textId="77777777" w:rsidR="003D5DB4" w:rsidRPr="000D0101" w:rsidRDefault="003D5DB4" w:rsidP="000A5389">
          <w:pPr>
            <w:spacing w:line="240" w:lineRule="auto"/>
          </w:pPr>
          <w:r w:rsidRPr="000D0101">
            <w:t>Nombre del proyecto: Grupo Portuario S.A. “Lote El Vacío”</w:t>
          </w:r>
        </w:p>
        <w:p w14:paraId="2C2BC42B" w14:textId="77777777" w:rsidR="003D5DB4" w:rsidRPr="000D0101" w:rsidRDefault="003D5DB4" w:rsidP="000A5389">
          <w:pPr>
            <w:spacing w:line="240" w:lineRule="auto"/>
          </w:pPr>
        </w:p>
        <w:p w14:paraId="26117A5E" w14:textId="77777777" w:rsidR="003D5DB4" w:rsidRPr="000D0101" w:rsidRDefault="003D5DB4" w:rsidP="000A5389">
          <w:pPr>
            <w:spacing w:line="240" w:lineRule="auto"/>
          </w:pPr>
          <w:r w:rsidRPr="000D0101">
            <w:t>Términos significativos del Acuerdo que puedan afectar su valor, el calendario y la certeza de los flujos de efectivo futuros</w:t>
          </w:r>
        </w:p>
        <w:p w14:paraId="07902C56" w14:textId="77777777" w:rsidR="003D5DB4" w:rsidRPr="000D0101" w:rsidRDefault="003D5DB4" w:rsidP="000A5389">
          <w:pPr>
            <w:spacing w:line="240" w:lineRule="auto"/>
          </w:pPr>
        </w:p>
        <w:p w14:paraId="41019DF5" w14:textId="77777777" w:rsidR="003D5DB4" w:rsidRPr="000D0101" w:rsidRDefault="003D5DB4" w:rsidP="000A5389">
          <w:pPr>
            <w:spacing w:line="240" w:lineRule="auto"/>
          </w:pPr>
          <w:r w:rsidRPr="000D0101">
            <w:t xml:space="preserve">Términos de valor: 1) Tarifas: Al ser el terminal marítimo de servicio público la Ley 1ª de 1991 establece: Las sociedades portuarias que operan puertos de servicio público las tarifas requieren ser aprobadas según la metodología establecida por la Superintendencia General de Puertos hoy Superintendencia de Transporte.2) Contraprestación portuaria: De acuerdo con el último documento contractual vigente la metodología de contraprestación vigente es CONPES 3744 de 2013 (Componentes Fijo y Variable). A febrero de 2024 el CONCESIONARIO debió pagar la suma de USD 208.689,53 por concepto de contraprestación. El valor correspondiente a la contraprestación por zona de uso público resultará de la diferencia entre el valor de la liquidación total y el valor de la infraestructura. Y el recaudo se realizará de conformidad con la Ley 856 de 2003, es decir, ZUP el 80% le corresponde a la Nación (INVIAS-ANI) y el 20% restante al Distrito Especial, Industrial, Portuario, Biodiverso y Ecoturístico de Buenaventura; e INFRAESTRUCTURA en un 100% a la Nación (INVIAS-ANI).3) Plan de Inversiones: Establecido en la Cláusula Quinta del Contrato de Concesión, modificado por la Cláusula Tercera del Otrosí No. 1 de 2016, la cual </w:t>
          </w:r>
          <w:r w:rsidRPr="000D0101">
            <w:lastRenderedPageBreak/>
            <w:t>aprueba que, el nuevo plan de inversión será de USD 1.591.845 en constantes de diciembre de 2015.4) Obligaciones del CONCESIONARIO: Se encuentran descritas en la Cláusula Décima del Contrato de Concesión y en la Cláusula Octava del Otrosí N.1 de 2016. 5) Multas y sanciones: Establecidas en la Cláusula Décima del Otrosí No.1 de 2016.6) Penal pecuniario: En la Cláusula Décima Tercera del Contrato de Concesión, se establece que, en el evento en que la ANI declare la caducidad o el incumplimiento del contrato, EL CONCESIONARIO deberá pagar la suma del 10% del valor total de la contraprestación como sanción pecuniaria.7) Riesgos: Están descritos en la cláusula décima segunda del Otrosí N.1 de 2016. El CONCESIONARIO acepta la totalidad de los riesgos inherentes a su ejecución en sus etapas serán asumidos por dicha sociedad, y que la ocurrencia de cualquier riesgo no dará derecho a indemnización o reconocimiento alguno a favor del CONCESIONARIO.</w:t>
          </w:r>
        </w:p>
        <w:p w14:paraId="76159B1D" w14:textId="77777777" w:rsidR="003D5DB4" w:rsidRPr="000D0101" w:rsidRDefault="003D5DB4" w:rsidP="000A5389">
          <w:pPr>
            <w:spacing w:line="240" w:lineRule="auto"/>
          </w:pPr>
        </w:p>
        <w:p w14:paraId="35ECA2F1" w14:textId="77777777" w:rsidR="003D5DB4" w:rsidRPr="000D0101" w:rsidRDefault="003D5DB4" w:rsidP="000A5389">
          <w:pPr>
            <w:spacing w:line="240" w:lineRule="auto"/>
          </w:pPr>
          <w:r w:rsidRPr="000D0101">
            <w:t>Términos de calendario: Tarifas: Aprobadas según la metodología establecida por la Superintendencia General de Puertos hoy Superintendencia de Transporte. Contraprestación portuaria: Anexo 2 del Conpes 3744 de 2013 “(…) Antes de finalizar los meses de febrero cada concesionario deberá corregir su liquidación del año anterior según el movimiento de carga real y la indexación del valor de referencia por metro cuadrado, del avalúo de la infraestructura concesionada y de los cargos, así como realizar el pago anticipado del año en curso con base en lo proyectado en el FCL definitivo”. Plan de inversiones: En la Cláusula Tercera del Otrosí No. 1 del 22 de diciembre de 2016, se establece que, el Concesionario ejecutará el nuevo plan de inversiones dentro de los dos primeros años de la presente prórroga. Multas: Cláusula Décima del Otrosí No.1 de 2016.</w:t>
          </w:r>
        </w:p>
        <w:p w14:paraId="5233D7AF" w14:textId="77777777" w:rsidR="003D5DB4" w:rsidRPr="000D0101" w:rsidRDefault="003D5DB4" w:rsidP="000A5389">
          <w:pPr>
            <w:spacing w:line="240" w:lineRule="auto"/>
          </w:pPr>
        </w:p>
        <w:p w14:paraId="29E63023" w14:textId="77777777" w:rsidR="003D5DB4" w:rsidRPr="000D0101" w:rsidRDefault="003D5DB4" w:rsidP="000A5389">
          <w:pPr>
            <w:spacing w:line="240" w:lineRule="auto"/>
          </w:pPr>
          <w:r w:rsidRPr="000D0101">
            <w:t>Términos de certeza de flujos de efectivo futuros: Se otorga una CONCESION PORTUARIA al CONCESIONARIO, para la ocupación y utilización en forma temporal y exclusiva de un lote de terreno ubicado en zona de bajamar, considerada como zona de uso público, denominado "Vacío", cuyas áreas y ubicación están descritos en la cláusula segunda del contrato de concesión portuaria, a cambio de la contraprestación económica.  Cláusula Quinta del Otrosí No. 1 de 2016. Del valor a pagar por concepto de contraprestación por Zona de Uso público el 80% le corresponde a la Nación-INVIAS y el 20 % al Municipio (Distrito Especial, Industrial, Portuario, Biodiverso y Ecoturístico de Buenaventura), y por Infraestructura el 100% a la Nación-INVIAS.</w:t>
          </w:r>
        </w:p>
        <w:p w14:paraId="7ED18734" w14:textId="77777777" w:rsidR="003D5DB4" w:rsidRPr="000D0101" w:rsidRDefault="003D5DB4" w:rsidP="000A5389">
          <w:pPr>
            <w:spacing w:line="240" w:lineRule="auto"/>
          </w:pPr>
        </w:p>
        <w:p w14:paraId="473CC396" w14:textId="77777777" w:rsidR="003D5DB4" w:rsidRPr="000D0101" w:rsidRDefault="003D5DB4" w:rsidP="000A5389">
          <w:pPr>
            <w:spacing w:line="240" w:lineRule="auto"/>
          </w:pPr>
          <w:r w:rsidRPr="000D0101">
            <w:t>Naturaleza y alcance del derecho a utilizar Activos y los aspectos pactados en torno a lo que se espera que el concesionario proporcione en relación con el Acuerdo de concesión</w:t>
          </w:r>
        </w:p>
        <w:p w14:paraId="01282857" w14:textId="77777777" w:rsidR="003D5DB4" w:rsidRPr="000D0101" w:rsidRDefault="003D5DB4" w:rsidP="000A5389">
          <w:pPr>
            <w:spacing w:line="240" w:lineRule="auto"/>
          </w:pPr>
        </w:p>
        <w:p w14:paraId="7CA032B8" w14:textId="77777777" w:rsidR="003D5DB4" w:rsidRPr="000D0101" w:rsidRDefault="003D5DB4" w:rsidP="000A5389">
          <w:pPr>
            <w:spacing w:line="240" w:lineRule="auto"/>
          </w:pPr>
          <w:r w:rsidRPr="000D0101">
            <w:t>Naturaleza y alcance del derecho de uso de los Activos</w:t>
          </w:r>
        </w:p>
        <w:p w14:paraId="28C6C7FD" w14:textId="77777777" w:rsidR="003D5DB4" w:rsidRPr="000D0101" w:rsidRDefault="003D5DB4" w:rsidP="000A5389">
          <w:pPr>
            <w:spacing w:line="240" w:lineRule="auto"/>
          </w:pPr>
        </w:p>
        <w:p w14:paraId="6CF2FFC3" w14:textId="77777777" w:rsidR="003D5DB4" w:rsidRPr="000D0101" w:rsidRDefault="003D5DB4" w:rsidP="000A5389">
          <w:pPr>
            <w:spacing w:line="240" w:lineRule="auto"/>
          </w:pPr>
          <w:r w:rsidRPr="000D0101">
            <w:t>Descripción:</w:t>
          </w:r>
          <w:r w:rsidRPr="000D0101">
            <w:tab/>
            <w:t xml:space="preserve">Descripción del proyecto, especificaciones técnicas, modalidades de operación: las condiciones especiales de operación del puerto están establecidas en la cláusula Primera del Otrosí No. 1 de 2016. Área entregada en concesión: La descripción de la ubicación, linderos y extensión de los bienes de uso público entregados en concesión están establecidos en la cláusula segunda. Infraestructura y equipos entregados en concesión: En la cláusula segunda del Contrato, se describe que lo entregado en concesión fue:  </w:t>
          </w:r>
          <w:r w:rsidRPr="000D0101">
            <w:lastRenderedPageBreak/>
            <w:t>Infraestructura: Patio del almacenamiento, parte de las bodegas 1 y 2 de la unidad funcional que corresponde a aproximadamente el 30% de las bodegas.</w:t>
          </w:r>
        </w:p>
        <w:p w14:paraId="414AC74A" w14:textId="77777777" w:rsidR="003D5DB4" w:rsidRPr="000D0101" w:rsidRDefault="003D5DB4" w:rsidP="000A5389">
          <w:pPr>
            <w:spacing w:line="240" w:lineRule="auto"/>
          </w:pPr>
        </w:p>
        <w:p w14:paraId="6CCC27A3" w14:textId="77777777" w:rsidR="003D5DB4" w:rsidRPr="000D0101" w:rsidRDefault="003D5DB4" w:rsidP="000A5389">
          <w:pPr>
            <w:spacing w:line="240" w:lineRule="auto"/>
          </w:pPr>
          <w:r w:rsidRPr="000D0101">
            <w:t>Observaciones: NA</w:t>
          </w:r>
        </w:p>
        <w:p w14:paraId="6F199C89" w14:textId="77777777" w:rsidR="003D5DB4" w:rsidRPr="000D0101" w:rsidRDefault="003D5DB4" w:rsidP="000A5389">
          <w:pPr>
            <w:spacing w:line="240" w:lineRule="auto"/>
          </w:pPr>
        </w:p>
        <w:p w14:paraId="44972B94" w14:textId="77777777" w:rsidR="003D5DB4" w:rsidRPr="000D0101" w:rsidRDefault="003D5DB4" w:rsidP="000A5389">
          <w:pPr>
            <w:spacing w:line="240" w:lineRule="auto"/>
          </w:pPr>
          <w:r w:rsidRPr="000D0101">
            <w:t>Retribución al concesionario</w:t>
          </w:r>
        </w:p>
        <w:p w14:paraId="766FB7AF" w14:textId="77777777" w:rsidR="003D5DB4" w:rsidRPr="000D0101" w:rsidRDefault="003D5DB4" w:rsidP="000A5389">
          <w:pPr>
            <w:spacing w:line="240" w:lineRule="auto"/>
          </w:pPr>
        </w:p>
        <w:p w14:paraId="36E6BC7F" w14:textId="77777777" w:rsidR="003D5DB4" w:rsidRPr="000D0101" w:rsidRDefault="003D5DB4" w:rsidP="000A5389">
          <w:pPr>
            <w:spacing w:line="240" w:lineRule="auto"/>
          </w:pPr>
          <w:r w:rsidRPr="000D0101">
            <w:t>Descripción:</w:t>
          </w:r>
          <w:r w:rsidRPr="000D0101">
            <w:tab/>
            <w:t>Descripción: Cláusula Primera y Cláusula Novena del Contrato de Concesión No. 018 de 1997: Se otorga a EL CONCESIONARIO una Concesión Portuaria para la ocupación, en forma temporal y exclusiva de un lote de terreno ubicado en zona de bajamar, considerada como zona de uso público, denominado "Vacío", a cambio de la contraprestación económica.</w:t>
          </w:r>
        </w:p>
        <w:p w14:paraId="4CDA1ACB" w14:textId="77777777" w:rsidR="003D5DB4" w:rsidRPr="000D0101" w:rsidRDefault="003D5DB4" w:rsidP="000A5389">
          <w:pPr>
            <w:spacing w:line="240" w:lineRule="auto"/>
          </w:pPr>
        </w:p>
        <w:p w14:paraId="6642C299" w14:textId="77777777" w:rsidR="003D5DB4" w:rsidRPr="000D0101" w:rsidRDefault="003D5DB4" w:rsidP="000A5389">
          <w:pPr>
            <w:spacing w:line="240" w:lineRule="auto"/>
          </w:pPr>
          <w:r w:rsidRPr="000D0101">
            <w:t>Tasa de retribución:</w:t>
          </w:r>
          <w:r w:rsidRPr="000D0101">
            <w:tab/>
            <w:t>N/A</w:t>
          </w:r>
        </w:p>
        <w:p w14:paraId="2A305428" w14:textId="77777777" w:rsidR="003D5DB4" w:rsidRPr="000D0101" w:rsidRDefault="003D5DB4" w:rsidP="000A5389">
          <w:pPr>
            <w:spacing w:line="240" w:lineRule="auto"/>
          </w:pPr>
        </w:p>
        <w:p w14:paraId="1B193D94" w14:textId="77777777" w:rsidR="003D5DB4" w:rsidRPr="000D0101" w:rsidRDefault="003D5DB4" w:rsidP="000A5389">
          <w:pPr>
            <w:spacing w:line="240" w:lineRule="auto"/>
          </w:pPr>
          <w:r w:rsidRPr="000D0101">
            <w:t>Derechos a recibir Activos especificados al final del acuerdo de concesión</w:t>
          </w:r>
        </w:p>
        <w:p w14:paraId="325C0F56" w14:textId="77777777" w:rsidR="003D5DB4" w:rsidRPr="000D0101" w:rsidRDefault="003D5DB4" w:rsidP="000A5389">
          <w:pPr>
            <w:spacing w:line="240" w:lineRule="auto"/>
          </w:pPr>
        </w:p>
        <w:p w14:paraId="10C53568" w14:textId="77777777" w:rsidR="003D5DB4" w:rsidRPr="000D0101" w:rsidRDefault="003D5DB4" w:rsidP="000A5389">
          <w:pPr>
            <w:spacing w:line="240" w:lineRule="auto"/>
          </w:pPr>
          <w:r w:rsidRPr="000D0101">
            <w:t>Descripción:</w:t>
          </w:r>
          <w:r w:rsidRPr="000D0101">
            <w:tab/>
            <w:t>De acuerdo con el Artículo 8º de la Ley 1 de 1991 en el modo portuario el concesionario no tiene derechos finales sobre activos los debe revertir a la Nación al final del contrato de concesión.</w:t>
          </w:r>
        </w:p>
        <w:p w14:paraId="789E7E1E" w14:textId="77777777" w:rsidR="003D5DB4" w:rsidRPr="000D0101" w:rsidRDefault="003D5DB4" w:rsidP="000A5389">
          <w:pPr>
            <w:spacing w:line="240" w:lineRule="auto"/>
          </w:pPr>
        </w:p>
        <w:p w14:paraId="73592C99" w14:textId="77777777" w:rsidR="003D5DB4" w:rsidRPr="000D0101" w:rsidRDefault="003D5DB4" w:rsidP="000A5389">
          <w:pPr>
            <w:spacing w:line="240" w:lineRule="auto"/>
          </w:pPr>
          <w:r w:rsidRPr="000D0101">
            <w:t>Observaciones: De acuerdo con lo establecido en la cláusula octava del contrato de concesión, todas las construcciones e inmuebles por destinación que se encuentren habitualmente instaladas en las zonas de uso público objeto de esta concesión, serán cedidas gratuitamente por EL CONCESIONARIO a LA NACIÓN, en buen estado de mantenimiento y operación al término del presente contrato o al ser declarada la caducidad y teniendo en consideración el normal deterioro de las mismas a consecuencia de su operación.   Para tal fin, en el momento de la reversión el CONCESIONARIO deberá hacer entrega de un avaluó comercial actualizado y valoración técnica de las condiciones de operación de la infraestructura portuaria, equipos e inmuebles por destinación que habitualmente se encuentren instalados en las zonas de uso público que se revierten y que son propiedad de la Nación.</w:t>
          </w:r>
        </w:p>
        <w:p w14:paraId="3F10D268" w14:textId="77777777" w:rsidR="003D5DB4" w:rsidRPr="000D0101" w:rsidRDefault="003D5DB4" w:rsidP="000A5389">
          <w:pPr>
            <w:spacing w:line="240" w:lineRule="auto"/>
          </w:pPr>
        </w:p>
        <w:p w14:paraId="0364BE1F" w14:textId="77777777" w:rsidR="003D5DB4" w:rsidRPr="000D0101" w:rsidRDefault="003D5DB4" w:rsidP="000A5389">
          <w:pPr>
            <w:spacing w:line="240" w:lineRule="auto"/>
          </w:pPr>
          <w:r w:rsidRPr="000D0101">
            <w:t>Las alternativas de renovación y cese del acuerdo</w:t>
          </w:r>
        </w:p>
        <w:p w14:paraId="4ADE52AC" w14:textId="77777777" w:rsidR="003D5DB4" w:rsidRPr="000D0101" w:rsidRDefault="003D5DB4" w:rsidP="000A5389">
          <w:pPr>
            <w:spacing w:line="240" w:lineRule="auto"/>
          </w:pPr>
        </w:p>
        <w:p w14:paraId="4E167F27" w14:textId="77777777" w:rsidR="003D5DB4" w:rsidRPr="000D0101" w:rsidRDefault="003D5DB4" w:rsidP="000A5389">
          <w:pPr>
            <w:spacing w:line="240" w:lineRule="auto"/>
          </w:pPr>
          <w:r w:rsidRPr="000D0101">
            <w:t>Descripción:</w:t>
          </w:r>
          <w:r w:rsidRPr="000D0101">
            <w:tab/>
            <w:t>En la CLÁUSULA DÉCIMA SEPTIMA del contrato, establece las causas por las cuales el contrato podrá darse por terminado.</w:t>
          </w:r>
        </w:p>
        <w:p w14:paraId="5018DFDF" w14:textId="77777777" w:rsidR="003D5DB4" w:rsidRPr="000D0101" w:rsidRDefault="003D5DB4" w:rsidP="000A5389">
          <w:pPr>
            <w:spacing w:line="240" w:lineRule="auto"/>
          </w:pPr>
        </w:p>
        <w:p w14:paraId="65514CA5" w14:textId="77777777" w:rsidR="003D5DB4" w:rsidRPr="000D0101" w:rsidRDefault="003D5DB4" w:rsidP="000A5389">
          <w:pPr>
            <w:spacing w:line="240" w:lineRule="auto"/>
          </w:pPr>
          <w:r w:rsidRPr="000D0101">
            <w:t>Observaciones: No se tienen ninguna observación</w:t>
          </w:r>
        </w:p>
        <w:p w14:paraId="7AF63F96" w14:textId="77777777" w:rsidR="003D5DB4" w:rsidRPr="000D0101" w:rsidRDefault="003D5DB4" w:rsidP="000A5389">
          <w:pPr>
            <w:spacing w:line="240" w:lineRule="auto"/>
          </w:pPr>
        </w:p>
        <w:p w14:paraId="53F2620A" w14:textId="77777777" w:rsidR="003D5DB4" w:rsidRPr="000D0101" w:rsidRDefault="003D5DB4" w:rsidP="000A5389">
          <w:pPr>
            <w:spacing w:line="240" w:lineRule="auto"/>
          </w:pPr>
          <w:r w:rsidRPr="000D0101">
            <w:t>Cambios en el acuerdo de concesión que se realicen durante el periodo fiscal</w:t>
          </w:r>
        </w:p>
        <w:p w14:paraId="14A7FFEA" w14:textId="77777777" w:rsidR="003D5DB4" w:rsidRPr="000D0101" w:rsidRDefault="003D5DB4" w:rsidP="000A5389">
          <w:pPr>
            <w:spacing w:line="240" w:lineRule="auto"/>
          </w:pPr>
        </w:p>
        <w:p w14:paraId="0C11652A" w14:textId="77777777" w:rsidR="003D5DB4" w:rsidRPr="000D0101" w:rsidRDefault="003D5DB4" w:rsidP="000A5389">
          <w:pPr>
            <w:spacing w:line="240" w:lineRule="auto"/>
          </w:pPr>
          <w:r w:rsidRPr="000D0101">
            <w:t>Adiciones o modificaciones en tiempo</w:t>
          </w:r>
        </w:p>
        <w:p w14:paraId="1262B5BB" w14:textId="77777777" w:rsidR="003D5DB4" w:rsidRPr="000D0101" w:rsidRDefault="003D5DB4" w:rsidP="000A5389">
          <w:pPr>
            <w:spacing w:line="240" w:lineRule="auto"/>
          </w:pPr>
          <w:r w:rsidRPr="000D0101">
            <w:lastRenderedPageBreak/>
            <w:t>Fechas de las adiciones o modificaciones:</w:t>
          </w:r>
          <w:r w:rsidRPr="000D0101">
            <w:tab/>
            <w:t>22 de diciembre de 2016 (Fecha del Otrosí No. 1 que establece la prórroga del contrato).</w:t>
          </w:r>
        </w:p>
        <w:p w14:paraId="6FE2869F" w14:textId="77777777" w:rsidR="003D5DB4" w:rsidRPr="000D0101" w:rsidRDefault="003D5DB4" w:rsidP="000A5389">
          <w:pPr>
            <w:spacing w:line="240" w:lineRule="auto"/>
          </w:pPr>
          <w:r w:rsidRPr="000D0101">
            <w:t>Nueva fecha de finalización estimada: 04 de marzo de 2037 (20 años adicionales tras la prórroga aprobada en 2016).</w:t>
          </w:r>
        </w:p>
        <w:p w14:paraId="60536ABC" w14:textId="77777777" w:rsidR="003D5DB4" w:rsidRPr="000D0101" w:rsidRDefault="003D5DB4" w:rsidP="000A5389">
          <w:pPr>
            <w:spacing w:line="240" w:lineRule="auto"/>
          </w:pPr>
          <w:r w:rsidRPr="000D0101">
            <w:t>Observaciones: El contrato de concesión se encuentra el periodo de prorroga</w:t>
          </w:r>
        </w:p>
        <w:p w14:paraId="7B329A91" w14:textId="77777777" w:rsidR="003D5DB4" w:rsidRPr="000D0101" w:rsidRDefault="003D5DB4" w:rsidP="000A5389">
          <w:pPr>
            <w:spacing w:line="240" w:lineRule="auto"/>
          </w:pPr>
          <w:r w:rsidRPr="000D0101">
            <w:t>Adiciones o modificaciones en valor</w:t>
          </w:r>
        </w:p>
        <w:p w14:paraId="5F609892" w14:textId="77777777" w:rsidR="003D5DB4" w:rsidRPr="000D0101" w:rsidRDefault="003D5DB4" w:rsidP="000A5389">
          <w:pPr>
            <w:spacing w:line="240" w:lineRule="auto"/>
          </w:pPr>
          <w:r w:rsidRPr="000D0101">
            <w:t>Valor de la adición o modificación: USD$1.591.845: Valor del nuevo plan de inversión aprobado en la Cláusula Tercera del Otrosí No. 1 de 2016</w:t>
          </w:r>
        </w:p>
        <w:p w14:paraId="17CA0876" w14:textId="77777777" w:rsidR="003D5DB4" w:rsidRPr="000D0101" w:rsidRDefault="003D5DB4" w:rsidP="000A5389">
          <w:pPr>
            <w:spacing w:line="240" w:lineRule="auto"/>
          </w:pPr>
          <w:r w:rsidRPr="000D0101">
            <w:t>Nuevo valor del acuerdo: USD$1.193.007: Valor de referencia de la prórroga del contrato de concesión, calculado como el valor presente neto de las contraprestaciones</w:t>
          </w:r>
        </w:p>
        <w:p w14:paraId="3CB34E2A" w14:textId="77777777" w:rsidR="003D5DB4" w:rsidRPr="000D0101" w:rsidRDefault="003D5DB4" w:rsidP="000A5389">
          <w:pPr>
            <w:spacing w:line="240" w:lineRule="auto"/>
          </w:pPr>
          <w:r w:rsidRPr="000D0101">
            <w:t>Observaciones: No se tiene ninguna observación</w:t>
          </w:r>
        </w:p>
        <w:p w14:paraId="267E69A9" w14:textId="77777777" w:rsidR="003D5DB4" w:rsidRPr="00915852" w:rsidRDefault="003D5DB4" w:rsidP="000A5389">
          <w:pPr>
            <w:spacing w:line="240" w:lineRule="auto"/>
            <w:rPr>
              <w:rFonts w:eastAsia="Times New Roman"/>
              <w:i/>
              <w:iCs/>
              <w:lang w:eastAsia="es-CO"/>
            </w:rPr>
          </w:pPr>
          <w:r w:rsidRPr="00915852">
            <w:rPr>
              <w:rFonts w:eastAsia="Times New Roman"/>
              <w:i/>
              <w:iCs/>
              <w:lang w:eastAsia="es-CO"/>
            </w:rPr>
            <w:t>GRUPO PORTUARIO S.A. - LOTES A1 y A2</w:t>
          </w:r>
        </w:p>
        <w:p w14:paraId="5AA8505C" w14:textId="77777777" w:rsidR="003D5DB4" w:rsidRPr="00915852" w:rsidRDefault="003D5DB4" w:rsidP="000A5389">
          <w:pPr>
            <w:spacing w:line="240" w:lineRule="auto"/>
            <w:rPr>
              <w:i/>
              <w:iCs/>
            </w:rPr>
          </w:pPr>
        </w:p>
        <w:p w14:paraId="061FBCB5" w14:textId="77777777" w:rsidR="003D5DB4" w:rsidRPr="000D0101" w:rsidRDefault="003D5DB4" w:rsidP="000A5389">
          <w:pPr>
            <w:spacing w:line="240" w:lineRule="auto"/>
          </w:pPr>
          <w:r w:rsidRPr="000D0101">
            <w:t>Descripción del Acuerdo</w:t>
          </w:r>
        </w:p>
        <w:p w14:paraId="0A9712B8" w14:textId="77777777" w:rsidR="003D5DB4" w:rsidRPr="000D0101" w:rsidRDefault="003D5DB4" w:rsidP="000A5389">
          <w:pPr>
            <w:spacing w:line="240" w:lineRule="auto"/>
          </w:pPr>
        </w:p>
        <w:p w14:paraId="60B5E1B4" w14:textId="77777777" w:rsidR="003D5DB4" w:rsidRPr="000D0101" w:rsidRDefault="003D5DB4" w:rsidP="000A5389">
          <w:pPr>
            <w:spacing w:line="240" w:lineRule="auto"/>
          </w:pPr>
          <w:r w:rsidRPr="000D0101">
            <w:t>Número del Acuerdo de concesión: 001 de 2008.</w:t>
          </w:r>
        </w:p>
        <w:p w14:paraId="3CA08D75" w14:textId="77777777" w:rsidR="003D5DB4" w:rsidRPr="000D0101" w:rsidRDefault="003D5DB4" w:rsidP="000A5389">
          <w:pPr>
            <w:spacing w:line="240" w:lineRule="auto"/>
          </w:pPr>
        </w:p>
        <w:p w14:paraId="765F9DE3" w14:textId="77777777" w:rsidR="003D5DB4" w:rsidRPr="000D0101" w:rsidRDefault="003D5DB4" w:rsidP="000A5389">
          <w:pPr>
            <w:spacing w:line="240" w:lineRule="auto"/>
          </w:pPr>
          <w:r w:rsidRPr="000D0101">
            <w:t>Objeto / Descripción: En virtud del Contrato de concesión, se permite al CONCESIONARIO la ocupación en forma temporal y exclusiva la zona de uso público y su infraestructura junto con las construcciones e inmuebles por destinación que allí se encuentra, para la construcción, operación y el desarrollo de actividades portuarias de servicio público, conforme lo establece la Cláusula Primera del contrato.</w:t>
          </w:r>
        </w:p>
        <w:p w14:paraId="4D390C3E" w14:textId="77777777" w:rsidR="003D5DB4" w:rsidRPr="000D0101" w:rsidRDefault="003D5DB4" w:rsidP="000A5389">
          <w:pPr>
            <w:spacing w:line="240" w:lineRule="auto"/>
          </w:pPr>
        </w:p>
        <w:p w14:paraId="20978D41" w14:textId="77777777" w:rsidR="003D5DB4" w:rsidRPr="000D0101" w:rsidRDefault="003D5DB4" w:rsidP="000A5389">
          <w:pPr>
            <w:spacing w:line="240" w:lineRule="auto"/>
          </w:pPr>
          <w:r w:rsidRPr="000D0101">
            <w:t>Valor inicial:</w:t>
          </w:r>
          <w:r w:rsidRPr="000D0101">
            <w:tab/>
            <w:t>USD 2.090.412,73 Cláusula Octava / Contrato de Concesión Portuaria No. 001 de 2008.</w:t>
          </w:r>
        </w:p>
        <w:p w14:paraId="7112AB36" w14:textId="77777777" w:rsidR="003D5DB4" w:rsidRPr="000D0101" w:rsidRDefault="003D5DB4" w:rsidP="000A5389">
          <w:pPr>
            <w:spacing w:line="240" w:lineRule="auto"/>
          </w:pPr>
          <w:r w:rsidRPr="000D0101">
            <w:t>Fecha de inicio: 30/12/2008</w:t>
          </w:r>
        </w:p>
        <w:p w14:paraId="743F2416" w14:textId="77777777" w:rsidR="003D5DB4" w:rsidRPr="000D0101" w:rsidRDefault="003D5DB4" w:rsidP="000A5389">
          <w:pPr>
            <w:spacing w:line="240" w:lineRule="auto"/>
          </w:pPr>
          <w:r w:rsidRPr="000D0101">
            <w:t>Fecha de finalización estimada: 29/12/2028</w:t>
          </w:r>
        </w:p>
        <w:p w14:paraId="3558485E" w14:textId="77777777" w:rsidR="003D5DB4" w:rsidRPr="000D0101" w:rsidRDefault="003D5DB4" w:rsidP="000A5389">
          <w:pPr>
            <w:spacing w:line="240" w:lineRule="auto"/>
          </w:pPr>
          <w:r w:rsidRPr="000D0101">
            <w:t>Tipo ID: NIT</w:t>
          </w:r>
        </w:p>
        <w:p w14:paraId="16DD190A" w14:textId="77777777" w:rsidR="003D5DB4" w:rsidRPr="000D0101" w:rsidRDefault="003D5DB4" w:rsidP="000A5389">
          <w:pPr>
            <w:spacing w:line="240" w:lineRule="auto"/>
          </w:pPr>
          <w:r w:rsidRPr="000D0101">
            <w:t>Número ID: 830.020.263-7</w:t>
          </w:r>
        </w:p>
        <w:p w14:paraId="3B1654C6" w14:textId="77777777" w:rsidR="003D5DB4" w:rsidRPr="000D0101" w:rsidRDefault="003D5DB4" w:rsidP="000A5389">
          <w:pPr>
            <w:spacing w:line="240" w:lineRule="auto"/>
          </w:pPr>
          <w:r w:rsidRPr="000D0101">
            <w:t>Razón social del concesionario: Grupo Portuario S.A.</w:t>
          </w:r>
        </w:p>
        <w:p w14:paraId="62BEF5FC" w14:textId="77777777" w:rsidR="003D5DB4" w:rsidRPr="000D0101" w:rsidRDefault="003D5DB4" w:rsidP="000A5389">
          <w:pPr>
            <w:spacing w:line="240" w:lineRule="auto"/>
          </w:pPr>
          <w:r w:rsidRPr="000D0101">
            <w:t>Nombre del proyecto: Grupo Portuario S.A. “Lotes A1 y A2”</w:t>
          </w:r>
        </w:p>
        <w:p w14:paraId="52EFBE61" w14:textId="77777777" w:rsidR="003D5DB4" w:rsidRPr="000D0101" w:rsidRDefault="003D5DB4" w:rsidP="000A5389">
          <w:pPr>
            <w:spacing w:line="240" w:lineRule="auto"/>
          </w:pPr>
        </w:p>
        <w:p w14:paraId="5267766A" w14:textId="77777777" w:rsidR="003D5DB4" w:rsidRPr="000D0101" w:rsidRDefault="003D5DB4" w:rsidP="000A5389">
          <w:pPr>
            <w:spacing w:line="240" w:lineRule="auto"/>
          </w:pPr>
          <w:r w:rsidRPr="000D0101">
            <w:t>Términos significativos del Acuerdo que puedan afectar su valor, el calendario y la certeza de los flujos de efectivo futuros</w:t>
          </w:r>
        </w:p>
        <w:p w14:paraId="66369EEA" w14:textId="77777777" w:rsidR="003D5DB4" w:rsidRPr="000D0101" w:rsidRDefault="003D5DB4" w:rsidP="000A5389">
          <w:pPr>
            <w:spacing w:line="240" w:lineRule="auto"/>
          </w:pPr>
        </w:p>
        <w:p w14:paraId="587B721D" w14:textId="77777777" w:rsidR="003D5DB4" w:rsidRPr="000D0101" w:rsidRDefault="003D5DB4" w:rsidP="000A5389">
          <w:pPr>
            <w:spacing w:line="240" w:lineRule="auto"/>
          </w:pPr>
          <w:r w:rsidRPr="000D0101">
            <w:t xml:space="preserve">Términos de valor: 1) Tarifas: Al ser el terminal marítimo de servicio público la Ley 1ª de 1991 establece: Las sociedades portuarias que operan puertos de servicio público las tarifas requieren ser aprobadas según la metodología establecida por la Superintendencia General de Puertos hoy Superintendencia de Transporte.2) Contraprestación portuaria: De acuerdo con el último documento contractual vigente la metodología de contraprestación vigente es CONPES 2680 DE 1993 (Productividad). Se establece en la Cláusula Octava del Contrato que el CONCESIONARIO deberá pagar por concepto de contraprestación la suma anual de (USD 249.877), de dicho pago el 80% le corresponde a la Nación (INVIAS-ANI) y el 20% restante al Municipio de Buenaventura, de acuerdo con lo establecido en el parágrafo 1 del </w:t>
          </w:r>
          <w:r w:rsidRPr="000D0101">
            <w:lastRenderedPageBreak/>
            <w:t>artículo 1 de la Ley 856 del 21 de diciembre de 2003, que modifica el artículo 7 de la Ley 1ª de 1991. Así mismo, por concepto de infraestructura, le corresponde en un 100% a la Nación (INVIAS-ANI) de acuerdo con lo establecido en el artículo 1 de la Ley 856 del 21 diciembre de 2003.3) Plan de Inversiones: Está establecido en la Cláusula Segunda del Otrosí No. 1 de 2021 que el plan de inversión será de USD 1.196.884 en valores corrientes.4) Obligaciones del Concesionario: Se encuentran descritas en la Cláusula Décima Quinta del Contrato.5) Multas y sanciones: Están establecidas en la Cláusula Décima Octava del Contrato de Concesión y en la Cláusula Cuarta del Otrosí No. 1.6) Penal pecuniario: En la Cláusula Décima Novena se establece que en el evento en que el INCO hoy ANI declare la caducidad o el incumplimiento del presente contrato se podrá imponer una penalidad pecuniaria, equivalente al 10% del valor total de la contraprestación.</w:t>
          </w:r>
        </w:p>
        <w:p w14:paraId="12D5AD16" w14:textId="77777777" w:rsidR="003D5DB4" w:rsidRPr="000D0101" w:rsidRDefault="003D5DB4" w:rsidP="000A5389">
          <w:pPr>
            <w:spacing w:line="240" w:lineRule="auto"/>
          </w:pPr>
        </w:p>
        <w:p w14:paraId="2A5DE3B5" w14:textId="77777777" w:rsidR="003D5DB4" w:rsidRPr="000D0101" w:rsidRDefault="003D5DB4" w:rsidP="000A5389">
          <w:pPr>
            <w:spacing w:line="240" w:lineRule="auto"/>
          </w:pPr>
          <w:r w:rsidRPr="000D0101">
            <w:t>Términos de calendario: Tarifas: Aprobadas según la metodología establecida por la Superintendencia General de Puertos hoy Superintendencia de Transporte. Contraprestación portuaria: La contraprestación se debe pagar en anualidades anticipadas, dentro de los cinco (5) días siguientes a la fecha del vencimiento de la anualidad (30 de diciembre de cada año).Plan de Inversiones: Se estableció en la Cláusula Segunda del Otrosí No. 1 de 2021, la ejecución de inversiones en el periodo de tiempo comprendido entre el año 2008 a 2022.Multas y sanciones: Están establecidas en la Cláusula Décima Octava del Contrato de Concesión y en la Cláusula Cuarta del Otrosí No. 1.</w:t>
          </w:r>
        </w:p>
        <w:p w14:paraId="6EF571DD" w14:textId="77777777" w:rsidR="003D5DB4" w:rsidRPr="000D0101" w:rsidRDefault="003D5DB4" w:rsidP="000A5389">
          <w:pPr>
            <w:spacing w:line="240" w:lineRule="auto"/>
          </w:pPr>
        </w:p>
        <w:p w14:paraId="591E26B1" w14:textId="77777777" w:rsidR="003D5DB4" w:rsidRPr="000D0101" w:rsidRDefault="003D5DB4" w:rsidP="000A5389">
          <w:pPr>
            <w:spacing w:line="240" w:lineRule="auto"/>
          </w:pPr>
          <w:r w:rsidRPr="000D0101">
            <w:t>Términos de certeza de flujos de efectivo futuros: Se otorga a EL CONCESIONARIO el derecho de ocupar en forma temporal y exclusiva una zona de uso público y su infraestructura existente (Lotes A1 y A2) descritos en la Cláusula Segunda del Contrato, a cambio de la contraprestación establecida en la Cláusula Octava del Contrato. El Parágrafo Segundo de la Cláusula Octava del Contrato indica que, del valor a pagar por concepto de contraprestación por Zona de Uso Público, el 80% le corresponde a la Nación-INVIAS y el 20 % al Municipio de Buenaventura, y por Infraestructura el 100% a la Nación-INVIAS.</w:t>
          </w:r>
        </w:p>
        <w:p w14:paraId="74BF346E" w14:textId="77777777" w:rsidR="003D5DB4" w:rsidRPr="000D0101" w:rsidRDefault="003D5DB4" w:rsidP="000A5389">
          <w:pPr>
            <w:spacing w:line="240" w:lineRule="auto"/>
          </w:pPr>
        </w:p>
        <w:p w14:paraId="664B61E2" w14:textId="77777777" w:rsidR="003D5DB4" w:rsidRPr="000D0101" w:rsidRDefault="003D5DB4" w:rsidP="000A5389">
          <w:pPr>
            <w:spacing w:line="240" w:lineRule="auto"/>
          </w:pPr>
          <w:r w:rsidRPr="000D0101">
            <w:t>Naturaleza y alcance del derecho a utilizar Activos y los aspectos pactados en torno a lo que se espera que el concesionario proporcione en relación con el Acuerdo de concesión</w:t>
          </w:r>
        </w:p>
        <w:p w14:paraId="74F71A1A" w14:textId="77777777" w:rsidR="003D5DB4" w:rsidRPr="000D0101" w:rsidRDefault="003D5DB4" w:rsidP="000A5389">
          <w:pPr>
            <w:spacing w:line="240" w:lineRule="auto"/>
          </w:pPr>
        </w:p>
        <w:p w14:paraId="46B15314" w14:textId="77777777" w:rsidR="003D5DB4" w:rsidRPr="000D0101" w:rsidRDefault="003D5DB4" w:rsidP="000A5389">
          <w:pPr>
            <w:spacing w:line="240" w:lineRule="auto"/>
          </w:pPr>
          <w:r w:rsidRPr="000D0101">
            <w:t>Naturaleza y alcance del derecho de uso de los Activos</w:t>
          </w:r>
        </w:p>
        <w:p w14:paraId="1BCCF505" w14:textId="77777777" w:rsidR="003D5DB4" w:rsidRPr="000D0101" w:rsidRDefault="003D5DB4" w:rsidP="000A5389">
          <w:pPr>
            <w:spacing w:line="240" w:lineRule="auto"/>
          </w:pPr>
        </w:p>
        <w:p w14:paraId="20E0709F" w14:textId="77777777" w:rsidR="003D5DB4" w:rsidRPr="000D0101" w:rsidRDefault="003D5DB4" w:rsidP="000A5389">
          <w:pPr>
            <w:spacing w:line="240" w:lineRule="auto"/>
          </w:pPr>
          <w:r w:rsidRPr="000D0101">
            <w:t>Descripción:</w:t>
          </w:r>
          <w:r w:rsidRPr="000D0101">
            <w:tab/>
            <w:t>Descripción del proyecto, especificaciones técnicas, modalidades de operación: las condiciones especiales de operación del puerto están establecidas en la Cláusula Quinta.  Área entregada en concesión: La descripción de la ubicación, linderos y extensión de los bienes de uso público entregados en concesión están establecidos en la Cláusula Segunda.  Infraestructura y equipos entregados en concesión: En la Cláusula Segunda del Contrato, se describe que lo entregado en concesión fue:   Infraestructura: Lote A1 y Lote A2 con un área aproximada de 18.011 m2 En el Lote A1: se encuentran 3 bodegas y dos cobertizos.  En el Lote A2: se encuentran una caseta de control de pesaje, una portería y dos garitas de vigilancia.   Equipos: en el Lote A2, se entregaron dos básculas.</w:t>
          </w:r>
        </w:p>
        <w:p w14:paraId="5D4D5941" w14:textId="77777777" w:rsidR="003D5DB4" w:rsidRPr="000D0101" w:rsidRDefault="003D5DB4" w:rsidP="000A5389">
          <w:pPr>
            <w:spacing w:line="240" w:lineRule="auto"/>
          </w:pPr>
        </w:p>
        <w:p w14:paraId="7B65F61D" w14:textId="77777777" w:rsidR="003D5DB4" w:rsidRPr="000D0101" w:rsidRDefault="003D5DB4" w:rsidP="000A5389">
          <w:pPr>
            <w:spacing w:line="240" w:lineRule="auto"/>
          </w:pPr>
          <w:r w:rsidRPr="000D0101">
            <w:lastRenderedPageBreak/>
            <w:t>Observaciones: N/A</w:t>
          </w:r>
        </w:p>
        <w:p w14:paraId="119FBF22" w14:textId="77777777" w:rsidR="003D5DB4" w:rsidRPr="000D0101" w:rsidRDefault="003D5DB4" w:rsidP="000A5389">
          <w:pPr>
            <w:spacing w:line="240" w:lineRule="auto"/>
          </w:pPr>
        </w:p>
        <w:p w14:paraId="387433EC" w14:textId="77777777" w:rsidR="003D5DB4" w:rsidRPr="000D0101" w:rsidRDefault="003D5DB4" w:rsidP="000A5389">
          <w:pPr>
            <w:spacing w:line="240" w:lineRule="auto"/>
          </w:pPr>
          <w:r w:rsidRPr="000D0101">
            <w:t>Retribución al concesionario</w:t>
          </w:r>
        </w:p>
        <w:p w14:paraId="5CF8C3E4" w14:textId="77777777" w:rsidR="003D5DB4" w:rsidRPr="000D0101" w:rsidRDefault="003D5DB4" w:rsidP="000A5389">
          <w:pPr>
            <w:spacing w:line="240" w:lineRule="auto"/>
          </w:pPr>
        </w:p>
        <w:p w14:paraId="4E7FF5E4" w14:textId="77777777" w:rsidR="003D5DB4" w:rsidRPr="000D0101" w:rsidRDefault="003D5DB4" w:rsidP="000A5389">
          <w:pPr>
            <w:spacing w:line="240" w:lineRule="auto"/>
          </w:pPr>
          <w:r w:rsidRPr="000D0101">
            <w:t>Descripción:</w:t>
          </w:r>
          <w:r w:rsidRPr="000D0101">
            <w:tab/>
            <w:t>Descripción: Cláusula Primera Contrato No. 001 de 2008: Se otorga a EL CONCESIONARIO el derecho de ocupar en forma temporal y exclusiva una zona de uso público y su infraestructura existente (Lotes A1 y A2) descritos en la Cláusula Segunda del contrato, a cambio de la contraprestación establecida en la Cláusula Octava del contrato.</w:t>
          </w:r>
        </w:p>
        <w:p w14:paraId="1E091388" w14:textId="77777777" w:rsidR="003D5DB4" w:rsidRPr="000D0101" w:rsidRDefault="003D5DB4" w:rsidP="000A5389">
          <w:pPr>
            <w:spacing w:line="240" w:lineRule="auto"/>
          </w:pPr>
        </w:p>
        <w:p w14:paraId="5D3F0ADE" w14:textId="77777777" w:rsidR="003D5DB4" w:rsidRPr="000D0101" w:rsidRDefault="003D5DB4" w:rsidP="000A5389">
          <w:pPr>
            <w:spacing w:line="240" w:lineRule="auto"/>
          </w:pPr>
          <w:r w:rsidRPr="000D0101">
            <w:t>Tasa de retribución:</w:t>
          </w:r>
          <w:r w:rsidRPr="000D0101">
            <w:tab/>
            <w:t>N/A</w:t>
          </w:r>
        </w:p>
        <w:p w14:paraId="5690C4E8" w14:textId="77777777" w:rsidR="003D5DB4" w:rsidRPr="000D0101" w:rsidRDefault="003D5DB4" w:rsidP="000A5389">
          <w:pPr>
            <w:spacing w:line="240" w:lineRule="auto"/>
          </w:pPr>
        </w:p>
        <w:p w14:paraId="0ADEE575" w14:textId="77777777" w:rsidR="003D5DB4" w:rsidRPr="000D0101" w:rsidRDefault="003D5DB4" w:rsidP="000A5389">
          <w:pPr>
            <w:spacing w:line="240" w:lineRule="auto"/>
          </w:pPr>
          <w:r w:rsidRPr="000D0101">
            <w:t>Derechos a recibir Activos especificados al final del acuerdo de concesión</w:t>
          </w:r>
        </w:p>
        <w:p w14:paraId="24155F92" w14:textId="77777777" w:rsidR="003D5DB4" w:rsidRPr="000D0101" w:rsidRDefault="003D5DB4" w:rsidP="000A5389">
          <w:pPr>
            <w:spacing w:line="240" w:lineRule="auto"/>
          </w:pPr>
        </w:p>
        <w:p w14:paraId="63002201" w14:textId="77777777" w:rsidR="003D5DB4" w:rsidRPr="000D0101" w:rsidRDefault="003D5DB4" w:rsidP="000A5389">
          <w:pPr>
            <w:spacing w:line="240" w:lineRule="auto"/>
          </w:pPr>
          <w:r w:rsidRPr="000D0101">
            <w:t>Descripción:</w:t>
          </w:r>
          <w:r w:rsidRPr="000D0101">
            <w:tab/>
            <w:t>De acuerdo con el Artículo 8º de la Ley 1 de 1991 en el modo portuario el concesionario no tiene derechos finales sobre activos los debe revertir a la Nación al final del contrato de concesión.</w:t>
          </w:r>
        </w:p>
        <w:p w14:paraId="17256286" w14:textId="77777777" w:rsidR="003D5DB4" w:rsidRPr="000D0101" w:rsidRDefault="003D5DB4" w:rsidP="000A5389">
          <w:pPr>
            <w:spacing w:line="240" w:lineRule="auto"/>
          </w:pPr>
        </w:p>
        <w:p w14:paraId="10416036" w14:textId="77777777" w:rsidR="003D5DB4" w:rsidRPr="000D0101" w:rsidRDefault="003D5DB4" w:rsidP="000A5389">
          <w:pPr>
            <w:spacing w:line="240" w:lineRule="auto"/>
          </w:pPr>
          <w:r w:rsidRPr="000D0101">
            <w:t>Observaciones: Reversión: De acuerdo con lo establecido en la Cláusula Décima Segunda del contrato de concesión, la zona de uso público y todas las construcciones (obras e inversiones), y los inmuebles por destinación (equipos e inversiones) entregadas en concesión se revertirán a la Nación en buenas condiciones de operación tecnológica, mantenimiento y de adecuada eficiencia al término de este contrato y de las prórrogas si la hubiere. Igualmente procederá la reversión al ser declarada la caducidad o la terminación unilateral.  Para tal fin, en el momento de la reversión el CONCESIONARIO deberá hacer entrega de un avaluó comercial actualizado y valoración técnica de las condiciones de operación de la infraestructura portuaria, equipos e inmuebles por destinación que habitualmente se encuentren instalados en las zonas de uso público que se revierten y que son propiedad de la Nación.</w:t>
          </w:r>
        </w:p>
        <w:p w14:paraId="3714AD91" w14:textId="77777777" w:rsidR="003D5DB4" w:rsidRPr="000D0101" w:rsidRDefault="003D5DB4" w:rsidP="000A5389">
          <w:pPr>
            <w:spacing w:line="240" w:lineRule="auto"/>
          </w:pPr>
        </w:p>
        <w:p w14:paraId="2F536520" w14:textId="77777777" w:rsidR="003D5DB4" w:rsidRPr="000D0101" w:rsidRDefault="003D5DB4" w:rsidP="000A5389">
          <w:pPr>
            <w:spacing w:line="240" w:lineRule="auto"/>
          </w:pPr>
          <w:r w:rsidRPr="000D0101">
            <w:t>Las alternativas de renovación y cese del acuerdo</w:t>
          </w:r>
        </w:p>
        <w:p w14:paraId="2D5B411C" w14:textId="77777777" w:rsidR="003D5DB4" w:rsidRPr="000D0101" w:rsidRDefault="003D5DB4" w:rsidP="000A5389">
          <w:pPr>
            <w:spacing w:line="240" w:lineRule="auto"/>
          </w:pPr>
        </w:p>
        <w:p w14:paraId="20DDA9C3" w14:textId="77777777" w:rsidR="003D5DB4" w:rsidRPr="000D0101" w:rsidRDefault="003D5DB4" w:rsidP="000A5389">
          <w:pPr>
            <w:spacing w:line="240" w:lineRule="auto"/>
          </w:pPr>
          <w:r w:rsidRPr="000D0101">
            <w:t>Descripción:</w:t>
          </w:r>
          <w:r w:rsidRPr="000D0101">
            <w:tab/>
            <w:t>La posibilidad de prórroga se encuentra en la CLÁUSULA SÉPTIMA del contrato. Al igual que el cese del acuerdo se encuentra en la CLÁUSULA DECIMA SÉPTIMA.</w:t>
          </w:r>
        </w:p>
        <w:p w14:paraId="72C66877" w14:textId="77777777" w:rsidR="003D5DB4" w:rsidRPr="000D0101" w:rsidRDefault="003D5DB4" w:rsidP="000A5389">
          <w:pPr>
            <w:spacing w:line="240" w:lineRule="auto"/>
          </w:pPr>
        </w:p>
        <w:p w14:paraId="40A29A23" w14:textId="77777777" w:rsidR="003D5DB4" w:rsidRPr="000D0101" w:rsidRDefault="003D5DB4" w:rsidP="000A5389">
          <w:pPr>
            <w:spacing w:line="240" w:lineRule="auto"/>
          </w:pPr>
          <w:r w:rsidRPr="000D0101">
            <w:t>Observaciones: No se tiene ninguna observación.</w:t>
          </w:r>
        </w:p>
        <w:p w14:paraId="390002C3" w14:textId="77777777" w:rsidR="003D5DB4" w:rsidRPr="000D0101" w:rsidRDefault="003D5DB4" w:rsidP="000A5389">
          <w:pPr>
            <w:spacing w:line="240" w:lineRule="auto"/>
          </w:pPr>
        </w:p>
        <w:p w14:paraId="5076C8B5" w14:textId="77777777" w:rsidR="003D5DB4" w:rsidRPr="000D0101" w:rsidRDefault="003D5DB4" w:rsidP="000A5389">
          <w:pPr>
            <w:spacing w:line="240" w:lineRule="auto"/>
          </w:pPr>
          <w:r w:rsidRPr="000D0101">
            <w:t>Cambios en el acuerdo de concesión que se realicen durante el periodo fiscal</w:t>
          </w:r>
        </w:p>
        <w:p w14:paraId="77FEA7BC" w14:textId="77777777" w:rsidR="003D5DB4" w:rsidRPr="000D0101" w:rsidRDefault="003D5DB4" w:rsidP="000A5389">
          <w:pPr>
            <w:spacing w:line="240" w:lineRule="auto"/>
          </w:pPr>
        </w:p>
        <w:p w14:paraId="7F75CB48" w14:textId="77777777" w:rsidR="003D5DB4" w:rsidRPr="000D0101" w:rsidRDefault="003D5DB4" w:rsidP="000A5389">
          <w:pPr>
            <w:spacing w:line="240" w:lineRule="auto"/>
          </w:pPr>
          <w:r w:rsidRPr="000D0101">
            <w:t>Adiciones o modificaciones en tiempo</w:t>
          </w:r>
        </w:p>
        <w:p w14:paraId="65049040" w14:textId="77777777" w:rsidR="003D5DB4" w:rsidRPr="000D0101" w:rsidRDefault="003D5DB4" w:rsidP="000A5389">
          <w:pPr>
            <w:spacing w:line="240" w:lineRule="auto"/>
          </w:pPr>
          <w:r w:rsidRPr="000D0101">
            <w:t>Fechas de las adiciones o modificaciones:</w:t>
          </w:r>
          <w:r w:rsidRPr="000D0101">
            <w:tab/>
            <w:t>N/A</w:t>
          </w:r>
        </w:p>
        <w:p w14:paraId="7B1ED444" w14:textId="77777777" w:rsidR="003D5DB4" w:rsidRPr="000D0101" w:rsidRDefault="003D5DB4" w:rsidP="000A5389">
          <w:pPr>
            <w:spacing w:line="240" w:lineRule="auto"/>
          </w:pPr>
          <w:r w:rsidRPr="000D0101">
            <w:t>Nueva fecha de finalización estimada: N/A</w:t>
          </w:r>
        </w:p>
        <w:p w14:paraId="68C23FEB" w14:textId="77777777" w:rsidR="003D5DB4" w:rsidRPr="000D0101" w:rsidRDefault="003D5DB4" w:rsidP="000A5389">
          <w:pPr>
            <w:spacing w:line="240" w:lineRule="auto"/>
          </w:pPr>
          <w:r w:rsidRPr="000D0101">
            <w:t>Observaciones: N/A</w:t>
          </w:r>
        </w:p>
        <w:p w14:paraId="7F1B0717" w14:textId="77777777" w:rsidR="003D5DB4" w:rsidRPr="000D0101" w:rsidRDefault="003D5DB4" w:rsidP="000A5389">
          <w:pPr>
            <w:spacing w:line="240" w:lineRule="auto"/>
          </w:pPr>
          <w:r w:rsidRPr="000D0101">
            <w:t>Adiciones o modificaciones en valor</w:t>
          </w:r>
        </w:p>
        <w:p w14:paraId="4AEBECB3" w14:textId="77777777" w:rsidR="003D5DB4" w:rsidRPr="000D0101" w:rsidRDefault="003D5DB4" w:rsidP="000A5389">
          <w:pPr>
            <w:spacing w:line="240" w:lineRule="auto"/>
          </w:pPr>
          <w:r w:rsidRPr="000D0101">
            <w:lastRenderedPageBreak/>
            <w:t>Valor de la adición o modificación: N/A</w:t>
          </w:r>
        </w:p>
        <w:p w14:paraId="57E465DE" w14:textId="77777777" w:rsidR="003D5DB4" w:rsidRPr="000D0101" w:rsidRDefault="003D5DB4" w:rsidP="000A5389">
          <w:pPr>
            <w:spacing w:line="240" w:lineRule="auto"/>
          </w:pPr>
          <w:r w:rsidRPr="000D0101">
            <w:t>Nuevo valor del acuerdo: N/A</w:t>
          </w:r>
        </w:p>
        <w:p w14:paraId="7024E37E" w14:textId="77777777" w:rsidR="003D5DB4" w:rsidRPr="000D0101" w:rsidRDefault="003D5DB4" w:rsidP="000A5389">
          <w:pPr>
            <w:spacing w:line="240" w:lineRule="auto"/>
          </w:pPr>
          <w:r w:rsidRPr="000D0101">
            <w:t>Observaciones: N/A</w:t>
          </w:r>
        </w:p>
        <w:p w14:paraId="52383D8D" w14:textId="77777777" w:rsidR="003D5DB4" w:rsidRPr="000D0101" w:rsidRDefault="003D5DB4" w:rsidP="000A5389">
          <w:pPr>
            <w:spacing w:line="240" w:lineRule="auto"/>
          </w:pPr>
        </w:p>
        <w:p w14:paraId="529E2FE6" w14:textId="77777777" w:rsidR="003D5DB4" w:rsidRPr="000D0101" w:rsidRDefault="003D5DB4" w:rsidP="000A5389">
          <w:pPr>
            <w:spacing w:line="240" w:lineRule="auto"/>
            <w:rPr>
              <w:rFonts w:eastAsia="Times New Roman"/>
              <w:lang w:eastAsia="es-CO"/>
            </w:rPr>
          </w:pPr>
        </w:p>
        <w:p w14:paraId="19A0770E" w14:textId="77777777" w:rsidR="003D5DB4" w:rsidRPr="00915852" w:rsidRDefault="003D5DB4" w:rsidP="000A5389">
          <w:pPr>
            <w:spacing w:line="240" w:lineRule="auto"/>
            <w:rPr>
              <w:rFonts w:eastAsia="Times New Roman"/>
              <w:i/>
              <w:iCs/>
              <w:lang w:eastAsia="es-CO"/>
            </w:rPr>
          </w:pPr>
          <w:r w:rsidRPr="00915852">
            <w:rPr>
              <w:rFonts w:eastAsia="Times New Roman"/>
              <w:i/>
              <w:iCs/>
              <w:lang w:eastAsia="es-CO"/>
            </w:rPr>
            <w:t>NUEVA SOCIEDAD PORTUARIA ZONA ATLANTICA S.A. Cartagena</w:t>
          </w:r>
        </w:p>
        <w:p w14:paraId="3C040829" w14:textId="77777777" w:rsidR="003D5DB4" w:rsidRPr="000D0101" w:rsidRDefault="003D5DB4" w:rsidP="000A5389">
          <w:pPr>
            <w:spacing w:line="240" w:lineRule="auto"/>
          </w:pPr>
        </w:p>
        <w:p w14:paraId="01B9EFF4" w14:textId="77777777" w:rsidR="003D5DB4" w:rsidRPr="000D0101" w:rsidRDefault="003D5DB4" w:rsidP="000A5389">
          <w:pPr>
            <w:spacing w:line="240" w:lineRule="auto"/>
            <w:rPr>
              <w:rFonts w:eastAsia="Times New Roman"/>
              <w:lang w:eastAsia="es-CO"/>
            </w:rPr>
          </w:pPr>
          <w:r w:rsidRPr="000D0101">
            <w:rPr>
              <w:rFonts w:eastAsia="Times New Roman"/>
              <w:lang w:eastAsia="es-CO"/>
            </w:rPr>
            <w:t>Descripción del Acuerdo</w:t>
          </w:r>
        </w:p>
        <w:p w14:paraId="55371C10" w14:textId="77777777" w:rsidR="003D5DB4" w:rsidRPr="000D0101" w:rsidRDefault="003D5DB4" w:rsidP="000A5389">
          <w:pPr>
            <w:spacing w:line="240" w:lineRule="auto"/>
            <w:rPr>
              <w:rFonts w:eastAsia="Times New Roman"/>
              <w:lang w:eastAsia="es-CO"/>
            </w:rPr>
          </w:pPr>
        </w:p>
        <w:p w14:paraId="3E3C630A" w14:textId="77777777" w:rsidR="003D5DB4" w:rsidRPr="000D0101" w:rsidRDefault="003D5DB4" w:rsidP="000A5389">
          <w:pPr>
            <w:spacing w:line="240" w:lineRule="auto"/>
            <w:rPr>
              <w:rFonts w:eastAsia="Times New Roman"/>
              <w:lang w:eastAsia="es-CO"/>
            </w:rPr>
          </w:pPr>
          <w:r w:rsidRPr="000D0101">
            <w:rPr>
              <w:rFonts w:eastAsia="Times New Roman"/>
              <w:lang w:eastAsia="es-CO"/>
            </w:rPr>
            <w:t>Número del Acuerdo de concesión: 025 de 2003.</w:t>
          </w:r>
        </w:p>
        <w:p w14:paraId="2DB03D37" w14:textId="77777777" w:rsidR="003D5DB4" w:rsidRPr="000D0101" w:rsidRDefault="003D5DB4" w:rsidP="000A5389">
          <w:pPr>
            <w:spacing w:line="240" w:lineRule="auto"/>
            <w:rPr>
              <w:rFonts w:eastAsia="Times New Roman"/>
              <w:lang w:eastAsia="es-CO"/>
            </w:rPr>
          </w:pPr>
        </w:p>
        <w:p w14:paraId="5D2944DD" w14:textId="77777777" w:rsidR="003D5DB4" w:rsidRPr="000D0101" w:rsidRDefault="003D5DB4" w:rsidP="000A5389">
          <w:pPr>
            <w:spacing w:line="240" w:lineRule="auto"/>
            <w:rPr>
              <w:rFonts w:eastAsia="Times New Roman"/>
              <w:lang w:eastAsia="es-CO"/>
            </w:rPr>
          </w:pPr>
          <w:r w:rsidRPr="000D0101">
            <w:rPr>
              <w:rFonts w:eastAsia="Times New Roman"/>
              <w:lang w:eastAsia="es-CO"/>
            </w:rPr>
            <w:t>Objeto / Descripción: En virtud del Contrato de concesión y sus modificaciones, a) se otorga a EL CONCESIONARIO, el derecho a ocupar y utilizar en forma temporal y exclusiva las playas, los terrenos de bajamar y zonas accesorias a aquellas o estos, descritos en la cláusula segunda del contrato, a cambio de la contraprestación económica de que trata la cláusula décima primera del contrato, a favor de la Nación y del municipio de Cartagena, donde operará el terminal. El terminal será de servicio privado, previamente habilitado para el comercio exterior por la autoridad competente, para el manejo de carga de propiedad de la Sociedad CHEVRON TEXACO, en su condición de Sociedad controlante de la Sociedad Portuaria de la Zona Atlántica S.A. b) Se otorga a EL CONCESIONARIO, el derecho a utilizar temporalmente la línea de costa y zonas marinas accesorias en donde se localiza el muelle de servicio privado y demás bienes, alinderados en la cláusula segunda y los relacionados en la cláusula quinta del contrato, a cambio de la contraprestación de que trata la cláusula décima primera del mismo, a favor de la Nación exclusivamente. Por su parte, EL CONCESIONARIO explotará el negocio portuario en el área entregada en concesión, de conformidad con la Ley, conforme lo establece la Cláusula Primera del Contrato</w:t>
          </w:r>
        </w:p>
        <w:p w14:paraId="1343C2FB" w14:textId="77777777" w:rsidR="003D5DB4" w:rsidRPr="000D0101" w:rsidRDefault="003D5DB4" w:rsidP="000A5389">
          <w:pPr>
            <w:spacing w:line="240" w:lineRule="auto"/>
            <w:rPr>
              <w:rFonts w:eastAsia="Times New Roman"/>
              <w:lang w:eastAsia="es-CO"/>
            </w:rPr>
          </w:pPr>
        </w:p>
        <w:p w14:paraId="299BD1DB" w14:textId="77777777" w:rsidR="003D5DB4" w:rsidRPr="000D0101" w:rsidRDefault="003D5DB4" w:rsidP="000A5389">
          <w:pPr>
            <w:spacing w:line="240" w:lineRule="auto"/>
            <w:rPr>
              <w:rFonts w:eastAsia="Times New Roman"/>
              <w:lang w:eastAsia="es-CO"/>
            </w:rPr>
          </w:pPr>
          <w:r w:rsidRPr="000D0101">
            <w:rPr>
              <w:rFonts w:eastAsia="Times New Roman"/>
              <w:lang w:eastAsia="es-CO"/>
            </w:rPr>
            <w:t>Valor inicial:</w:t>
          </w:r>
          <w:r w:rsidRPr="000D0101">
            <w:rPr>
              <w:rFonts w:eastAsia="Times New Roman"/>
              <w:lang w:eastAsia="es-CO"/>
            </w:rPr>
            <w:tab/>
            <w:t>CIENTO TREINTA Y CINCO MIL SETECIENTOS NOVENTA Y SEIS DOLARES CON CINCUENTA Y SIETE CENTAVOS DE DÓLAR (USD $135.796,57), a valor presente, liquidados a la Tasa Representativa del Mercado – TRM del día de pago, Cláusula Décima Primera / Contrato de concesión No. 025 de 2003.</w:t>
          </w:r>
        </w:p>
        <w:p w14:paraId="59CE7AA6" w14:textId="77777777" w:rsidR="003D5DB4" w:rsidRPr="000D0101" w:rsidRDefault="003D5DB4" w:rsidP="000A5389">
          <w:pPr>
            <w:spacing w:line="240" w:lineRule="auto"/>
            <w:rPr>
              <w:rFonts w:eastAsia="Times New Roman"/>
              <w:lang w:eastAsia="es-CO"/>
            </w:rPr>
          </w:pPr>
        </w:p>
        <w:p w14:paraId="61442611" w14:textId="77777777" w:rsidR="003D5DB4" w:rsidRPr="000D0101" w:rsidRDefault="003D5DB4" w:rsidP="000A5389">
          <w:pPr>
            <w:spacing w:line="240" w:lineRule="auto"/>
            <w:rPr>
              <w:rFonts w:eastAsia="Times New Roman"/>
              <w:lang w:eastAsia="es-CO"/>
            </w:rPr>
          </w:pPr>
          <w:r w:rsidRPr="000D0101">
            <w:rPr>
              <w:rFonts w:eastAsia="Times New Roman"/>
              <w:lang w:eastAsia="es-CO"/>
            </w:rPr>
            <w:t>Fecha de inicio: 29/05/2003</w:t>
          </w:r>
        </w:p>
        <w:p w14:paraId="0E754C5F" w14:textId="77777777" w:rsidR="003D5DB4" w:rsidRPr="000D0101" w:rsidRDefault="003D5DB4" w:rsidP="000A5389">
          <w:pPr>
            <w:spacing w:line="240" w:lineRule="auto"/>
            <w:rPr>
              <w:rFonts w:eastAsia="Times New Roman"/>
              <w:lang w:eastAsia="es-CO"/>
            </w:rPr>
          </w:pPr>
          <w:r w:rsidRPr="000D0101">
            <w:rPr>
              <w:rFonts w:eastAsia="Times New Roman"/>
              <w:lang w:eastAsia="es-CO"/>
            </w:rPr>
            <w:t>Fecha de finalización estimada: 28/05/2043</w:t>
          </w:r>
        </w:p>
        <w:p w14:paraId="44FF8518" w14:textId="77777777" w:rsidR="003D5DB4" w:rsidRPr="000D0101" w:rsidRDefault="003D5DB4" w:rsidP="000A5389">
          <w:pPr>
            <w:spacing w:line="240" w:lineRule="auto"/>
            <w:rPr>
              <w:rFonts w:eastAsia="Times New Roman"/>
              <w:lang w:eastAsia="es-CO"/>
            </w:rPr>
          </w:pPr>
          <w:r w:rsidRPr="000D0101">
            <w:rPr>
              <w:rFonts w:eastAsia="Times New Roman"/>
              <w:lang w:eastAsia="es-CO"/>
            </w:rPr>
            <w:t>Tipo ID: NIT</w:t>
          </w:r>
        </w:p>
        <w:p w14:paraId="19A1C67C" w14:textId="77777777" w:rsidR="003D5DB4" w:rsidRPr="000D0101" w:rsidRDefault="003D5DB4" w:rsidP="000A5389">
          <w:pPr>
            <w:spacing w:line="240" w:lineRule="auto"/>
            <w:rPr>
              <w:rFonts w:eastAsia="Times New Roman"/>
              <w:lang w:eastAsia="es-CO"/>
            </w:rPr>
          </w:pPr>
          <w:r w:rsidRPr="000D0101">
            <w:rPr>
              <w:rFonts w:eastAsia="Times New Roman"/>
              <w:lang w:eastAsia="es-CO"/>
            </w:rPr>
            <w:t>Número ID: 900.944.661-4</w:t>
          </w:r>
        </w:p>
        <w:p w14:paraId="6E483193" w14:textId="77777777" w:rsidR="003D5DB4" w:rsidRPr="000D0101" w:rsidRDefault="003D5DB4" w:rsidP="000A5389">
          <w:pPr>
            <w:spacing w:line="240" w:lineRule="auto"/>
            <w:rPr>
              <w:rFonts w:eastAsia="Times New Roman"/>
              <w:lang w:eastAsia="es-CO"/>
            </w:rPr>
          </w:pPr>
          <w:r w:rsidRPr="000D0101">
            <w:rPr>
              <w:rFonts w:eastAsia="Times New Roman"/>
              <w:lang w:eastAsia="es-CO"/>
            </w:rPr>
            <w:t>Razón social del concesionario: NUEVA SOCIEDAD PORTUARIA ZONA ATLÁNTICA S.A.</w:t>
          </w:r>
        </w:p>
        <w:p w14:paraId="62A2CCE3" w14:textId="77777777" w:rsidR="003D5DB4" w:rsidRPr="000D0101" w:rsidRDefault="003D5DB4" w:rsidP="000A5389">
          <w:pPr>
            <w:spacing w:line="240" w:lineRule="auto"/>
            <w:rPr>
              <w:rFonts w:eastAsia="Times New Roman"/>
              <w:lang w:eastAsia="es-CO"/>
            </w:rPr>
          </w:pPr>
          <w:r w:rsidRPr="000D0101">
            <w:rPr>
              <w:rFonts w:eastAsia="Times New Roman"/>
              <w:lang w:eastAsia="es-CO"/>
            </w:rPr>
            <w:t>Nombre del proyecto: NUEVA SOCIEDAD PORTUARIA ZONA ATLÁNTICA S.A. – Terminal Cartagena.</w:t>
          </w:r>
        </w:p>
        <w:p w14:paraId="1A9AFD4E" w14:textId="77777777" w:rsidR="003D5DB4" w:rsidRPr="000D0101" w:rsidRDefault="003D5DB4" w:rsidP="000A5389">
          <w:pPr>
            <w:spacing w:line="240" w:lineRule="auto"/>
            <w:rPr>
              <w:rFonts w:eastAsia="Times New Roman"/>
              <w:lang w:eastAsia="es-CO"/>
            </w:rPr>
          </w:pPr>
        </w:p>
        <w:p w14:paraId="46F44ED6" w14:textId="77777777" w:rsidR="003D5DB4" w:rsidRPr="000D0101" w:rsidRDefault="003D5DB4" w:rsidP="000A5389">
          <w:pPr>
            <w:spacing w:line="240" w:lineRule="auto"/>
            <w:rPr>
              <w:rFonts w:eastAsia="Times New Roman"/>
              <w:lang w:eastAsia="es-CO"/>
            </w:rPr>
          </w:pPr>
          <w:r w:rsidRPr="000D0101">
            <w:rPr>
              <w:rFonts w:eastAsia="Times New Roman"/>
              <w:lang w:eastAsia="es-CO"/>
            </w:rPr>
            <w:t>Términos significativos del Acuerdo que puedan afectar su valor, el calendario y la certeza de los flujos de efectivo futuros</w:t>
          </w:r>
        </w:p>
        <w:p w14:paraId="258135BF" w14:textId="77777777" w:rsidR="003D5DB4" w:rsidRPr="000D0101" w:rsidRDefault="003D5DB4" w:rsidP="000A5389">
          <w:pPr>
            <w:spacing w:line="240" w:lineRule="auto"/>
            <w:rPr>
              <w:rFonts w:eastAsia="Times New Roman"/>
              <w:lang w:eastAsia="es-CO"/>
            </w:rPr>
          </w:pPr>
        </w:p>
        <w:p w14:paraId="68F7973B" w14:textId="77777777" w:rsidR="003D5DB4" w:rsidRPr="000D0101" w:rsidRDefault="003D5DB4" w:rsidP="000A5389">
          <w:pPr>
            <w:spacing w:line="240" w:lineRule="auto"/>
            <w:rPr>
              <w:rFonts w:eastAsia="Times New Roman"/>
              <w:lang w:eastAsia="es-CO"/>
            </w:rPr>
          </w:pPr>
          <w:r w:rsidRPr="000D0101">
            <w:rPr>
              <w:rFonts w:eastAsia="Times New Roman"/>
              <w:lang w:eastAsia="es-CO"/>
            </w:rPr>
            <w:lastRenderedPageBreak/>
            <w:t xml:space="preserve">Términos de valor: 1) Tarifas: Al ser el terminal marítimo de servicio privado la Ley 1 de 1991 establece: Las sociedades portuarias que operan puertos de servicio privado podrán fijar libremente sus tarifas, pero mantendrán informada sobre ellas a la Superintendencia General de Puertos hoy Superintendencia de Transporte.2) Contraprestación portuaria: La metodología de contraprestación inicial del contrato de concesión 025 de 2003, correspondía a Productividad; a partir del 28 de mayo de 2013, se aplica la nueva metodología de contraprestación referente al Anexo 2 del documento Conpes 3744 de 2013, adoptado mediante el Decreto 1099 de 2013 y resolución del Ministerio de Transporte No. 5394 de diciembre 2 de 2013. A febrero de 2024, el CONCESIONARIO debió pagar la suma de USD 76.829,24 por concepto de contraprestación. La Cláusula Decima Primera, numeral 11.2.1 del contrato establece que por concepto de zona de uso público el 80% le corresponde a la Nación (INVIAS-ANI) y el 20% restante al municipio de Cartagena de acuerdo con lo establecido en el parágrafo 1 del artículo 1 de la ley 856 del 21 de diciembre de 2003, que modifica el artículo 7 de la ley 1ª de 1991. Así mismo, el numeral 11.2.2 establece que por concepto de uso de la infraestructura el 100% del valor a pagar le corresponde a la Nación (INVIAS-ANI) de acuerdo con lo establecido en el artículo 1 de la ley 856 del 21 diciembre de 2003. 3) Plan de Inversiones: </w:t>
          </w:r>
          <w:r w:rsidRPr="000D0101">
            <w:rPr>
              <w:rFonts w:eastAsia="Times New Roman"/>
              <w:lang w:eastAsia="es-CO"/>
            </w:rPr>
            <w:tab/>
            <w:t>Está establecido en el OFICIO No. 651 del 26 de agosto de 2003 de INVIAS, el plan de inversión será de CIENTO SIETE MIL QUINIENTOS SETENTA Y CINCO DOLARES (USD$ 107.578) en valores corrientes.4) Obligaciones del CONCESIONARIO: se encuentran descritas en la cláusula Décima Segunda del contrato. 5) Multas y sanciones: están establecidas en la Cláusula Décima Quinta del contrato. Penal pecuniaria: En la cláusula Décima Sexta se establece que en el evento en que el Ministerio (hoy ANI), declare la caducidad o el incumplimiento del presente contrato el Concesionario deberá pagar la suma equivalente al 10% del valor total de la contraprestación, como sanción pecuniaria.</w:t>
          </w:r>
        </w:p>
        <w:p w14:paraId="7D71B122" w14:textId="77777777" w:rsidR="003D5DB4" w:rsidRPr="000D0101" w:rsidRDefault="003D5DB4" w:rsidP="000A5389">
          <w:pPr>
            <w:spacing w:line="240" w:lineRule="auto"/>
            <w:rPr>
              <w:rFonts w:eastAsia="Times New Roman"/>
              <w:lang w:eastAsia="es-CO"/>
            </w:rPr>
          </w:pPr>
        </w:p>
        <w:p w14:paraId="0DA56B7A" w14:textId="77777777" w:rsidR="003D5DB4" w:rsidRPr="000D0101" w:rsidRDefault="003D5DB4" w:rsidP="000A5389">
          <w:pPr>
            <w:spacing w:line="240" w:lineRule="auto"/>
            <w:rPr>
              <w:rFonts w:eastAsia="Times New Roman"/>
              <w:lang w:eastAsia="es-CO"/>
            </w:rPr>
          </w:pPr>
          <w:r w:rsidRPr="000D0101">
            <w:rPr>
              <w:rFonts w:eastAsia="Times New Roman"/>
              <w:lang w:eastAsia="es-CO"/>
            </w:rPr>
            <w:t xml:space="preserve">Términos de calendario: Tarifas: Aprobadas según la metodología establecida por la Superintendencia General </w:t>
          </w:r>
          <w:r w:rsidRPr="000D0101">
            <w:rPr>
              <w:rFonts w:eastAsia="Times New Roman"/>
              <w:lang w:eastAsia="es-CO"/>
            </w:rPr>
            <w:tab/>
            <w:t>de Puertos hoy Superintendencia de Transporte. Contraprestación portuaria: la contraprestación se debe pagar de manera anual                anticipada en el mes de febrero de cada año.  El Concesionario, teniendo en cuenta que al inicio del contrato se estableció la metodología de productividad, pago de manera anticipada la totalidad de la contraprestación con dicha metodología.  A partir del 28 de mayo de 2013, anualmente se calcula con la metodología Conpes 3744 de 2013 y se homologa con los pagos realizados con la metodología de productividad para determinar el valor final a pagar. Plan de inversiones: Se estableció en el OFICIO No. 651 del 26 de agosto de 2003 de INVIAS, cuya ejecución corresponde a los años 2011 y 2018.Multas: Cláusula Décima Quinta del contrato</w:t>
          </w:r>
        </w:p>
        <w:p w14:paraId="1E18E031" w14:textId="77777777" w:rsidR="003D5DB4" w:rsidRPr="000D0101" w:rsidRDefault="003D5DB4" w:rsidP="000A5389">
          <w:pPr>
            <w:spacing w:line="240" w:lineRule="auto"/>
            <w:rPr>
              <w:rFonts w:eastAsia="Times New Roman"/>
              <w:lang w:eastAsia="es-CO"/>
            </w:rPr>
          </w:pPr>
        </w:p>
        <w:p w14:paraId="3B5D8C78" w14:textId="77777777" w:rsidR="003D5DB4" w:rsidRPr="000D0101" w:rsidRDefault="003D5DB4" w:rsidP="000A5389">
          <w:pPr>
            <w:spacing w:line="240" w:lineRule="auto"/>
            <w:rPr>
              <w:rFonts w:eastAsia="Times New Roman"/>
              <w:lang w:eastAsia="es-CO"/>
            </w:rPr>
          </w:pPr>
          <w:r w:rsidRPr="000D0101">
            <w:rPr>
              <w:rFonts w:eastAsia="Times New Roman"/>
              <w:lang w:eastAsia="es-CO"/>
            </w:rPr>
            <w:t xml:space="preserve">Términos de certeza de flujos de efectivo futuros: Se otorga a EL CONCESIONARIO el derecho de ocupar y utilizar en forma temporal y exclusiva las playas, los terrenos de bajamar y zonas accesorias a aquellas o estos, descritos en la Cláusula Segunda y Quinta del contrato 025 de 2003, a cambio de la </w:t>
          </w:r>
          <w:r w:rsidRPr="000D0101">
            <w:rPr>
              <w:rFonts w:eastAsia="Times New Roman"/>
              <w:lang w:eastAsia="es-CO"/>
            </w:rPr>
            <w:tab/>
            <w:t xml:space="preserve">contraprestación económica de que trata la Cláusula Décima Primera del mencionado contrato. Cláusula Decima Primera, numeral 11.2.1, del valor a pagar por concepto de Contraprestación por Zona de Uso público el 80% le corresponde a la </w:t>
          </w:r>
          <w:r w:rsidRPr="000D0101">
            <w:rPr>
              <w:rFonts w:eastAsia="Times New Roman"/>
              <w:lang w:eastAsia="es-CO"/>
            </w:rPr>
            <w:lastRenderedPageBreak/>
            <w:t xml:space="preserve">Nación-INVIAS y el 20 % al municipio de Cartagena y numeral 11.2.2, por Infraestructura el 100% a la Nación-INVIAS. </w:t>
          </w:r>
        </w:p>
        <w:p w14:paraId="0EE2BB2D" w14:textId="77777777" w:rsidR="003D5DB4" w:rsidRPr="000D0101" w:rsidRDefault="003D5DB4" w:rsidP="000A5389">
          <w:pPr>
            <w:spacing w:line="240" w:lineRule="auto"/>
            <w:rPr>
              <w:rFonts w:eastAsia="Times New Roman"/>
              <w:lang w:eastAsia="es-CO"/>
            </w:rPr>
          </w:pPr>
        </w:p>
        <w:p w14:paraId="2B33702F" w14:textId="77777777" w:rsidR="003D5DB4" w:rsidRPr="000D0101" w:rsidRDefault="003D5DB4" w:rsidP="000A5389">
          <w:pPr>
            <w:spacing w:line="240" w:lineRule="auto"/>
            <w:rPr>
              <w:rFonts w:eastAsia="Times New Roman"/>
              <w:lang w:eastAsia="es-CO"/>
            </w:rPr>
          </w:pPr>
          <w:r w:rsidRPr="000D0101">
            <w:rPr>
              <w:rFonts w:eastAsia="Times New Roman"/>
              <w:lang w:eastAsia="es-CO"/>
            </w:rPr>
            <w:t>Naturaleza y alcance del derecho a utilizar Activos y los aspectos pactados en torno a lo que se espera que el concesionario proporcione en relación con el Acuerdo de concesión</w:t>
          </w:r>
        </w:p>
        <w:p w14:paraId="6F6395CF" w14:textId="77777777" w:rsidR="003D5DB4" w:rsidRPr="000D0101" w:rsidRDefault="003D5DB4" w:rsidP="000A5389">
          <w:pPr>
            <w:spacing w:line="240" w:lineRule="auto"/>
            <w:rPr>
              <w:rFonts w:eastAsia="Times New Roman"/>
              <w:lang w:eastAsia="es-CO"/>
            </w:rPr>
          </w:pPr>
        </w:p>
        <w:p w14:paraId="5A772520" w14:textId="77777777" w:rsidR="003D5DB4" w:rsidRPr="000D0101" w:rsidRDefault="003D5DB4" w:rsidP="000A5389">
          <w:pPr>
            <w:spacing w:line="240" w:lineRule="auto"/>
            <w:rPr>
              <w:rFonts w:eastAsia="Times New Roman"/>
              <w:lang w:eastAsia="es-CO"/>
            </w:rPr>
          </w:pPr>
          <w:r w:rsidRPr="000D0101">
            <w:rPr>
              <w:rFonts w:eastAsia="Times New Roman"/>
              <w:lang w:eastAsia="es-CO"/>
            </w:rPr>
            <w:t>Naturaleza y alcance del derecho de uso de los Activos</w:t>
          </w:r>
        </w:p>
        <w:p w14:paraId="27D83171" w14:textId="77777777" w:rsidR="003D5DB4" w:rsidRPr="000D0101" w:rsidRDefault="003D5DB4" w:rsidP="000A5389">
          <w:pPr>
            <w:spacing w:line="240" w:lineRule="auto"/>
            <w:rPr>
              <w:rFonts w:eastAsia="Times New Roman"/>
              <w:lang w:eastAsia="es-CO"/>
            </w:rPr>
          </w:pPr>
        </w:p>
        <w:p w14:paraId="2BED7659" w14:textId="77777777" w:rsidR="003D5DB4" w:rsidRPr="000D0101" w:rsidRDefault="003D5DB4" w:rsidP="000A5389">
          <w:pPr>
            <w:spacing w:line="240" w:lineRule="auto"/>
            <w:rPr>
              <w:rFonts w:eastAsia="Times New Roman"/>
              <w:lang w:eastAsia="es-CO"/>
            </w:rPr>
          </w:pPr>
          <w:r w:rsidRPr="000D0101">
            <w:rPr>
              <w:rFonts w:eastAsia="Times New Roman"/>
              <w:lang w:eastAsia="es-CO"/>
            </w:rPr>
            <w:t>Descripción:</w:t>
          </w:r>
          <w:r w:rsidRPr="000D0101">
            <w:rPr>
              <w:rFonts w:eastAsia="Times New Roman"/>
              <w:lang w:eastAsia="es-CO"/>
            </w:rPr>
            <w:tab/>
            <w:t>Las condiciones especiales de operación del puerto están establecidas en la cláusula quinta del Contrato de Concesión. Área entregada en concesión: La descripción de la ubicación, linderos y extensión de los bienes de uso público (playas y terrenos de baja mar, zonas marítimas accesorias de maniobras) entregados en concesión están establecidos en la cláusula segunda. Infraestructura y equipos entregados en concesión: En la cláusula quinta del Contrato, se describe que lo entregado en concesión fue: Infraestructura: Muelle, cuatro piñas-dos de atraque y dos de amarre, tanques de almacenamiento, estación para despacho de carrotanque, área administrativa y bodegas, área de laboratorio, vías internas.</w:t>
          </w:r>
        </w:p>
        <w:p w14:paraId="4FE1F3F2" w14:textId="77777777" w:rsidR="003D5DB4" w:rsidRPr="000D0101" w:rsidRDefault="003D5DB4" w:rsidP="000A5389">
          <w:pPr>
            <w:spacing w:line="240" w:lineRule="auto"/>
            <w:rPr>
              <w:rFonts w:eastAsia="Times New Roman"/>
              <w:lang w:eastAsia="es-CO"/>
            </w:rPr>
          </w:pPr>
        </w:p>
        <w:p w14:paraId="2A586CEC" w14:textId="77777777" w:rsidR="003D5DB4" w:rsidRPr="000D0101" w:rsidRDefault="003D5DB4" w:rsidP="000A5389">
          <w:pPr>
            <w:spacing w:line="240" w:lineRule="auto"/>
            <w:rPr>
              <w:rFonts w:eastAsia="Times New Roman"/>
              <w:lang w:eastAsia="es-CO"/>
            </w:rPr>
          </w:pPr>
          <w:r w:rsidRPr="000D0101">
            <w:rPr>
              <w:rFonts w:eastAsia="Times New Roman"/>
              <w:lang w:eastAsia="es-CO"/>
            </w:rPr>
            <w:t>Observaciones: NA</w:t>
          </w:r>
        </w:p>
        <w:p w14:paraId="1D5763B1" w14:textId="77777777" w:rsidR="003D5DB4" w:rsidRPr="000D0101" w:rsidRDefault="003D5DB4" w:rsidP="000A5389">
          <w:pPr>
            <w:spacing w:line="240" w:lineRule="auto"/>
            <w:rPr>
              <w:rFonts w:eastAsia="Times New Roman"/>
              <w:lang w:eastAsia="es-CO"/>
            </w:rPr>
          </w:pPr>
        </w:p>
        <w:p w14:paraId="3C983B7E" w14:textId="77777777" w:rsidR="003D5DB4" w:rsidRPr="000D0101" w:rsidRDefault="003D5DB4" w:rsidP="000A5389">
          <w:pPr>
            <w:spacing w:line="240" w:lineRule="auto"/>
            <w:rPr>
              <w:rFonts w:eastAsia="Times New Roman"/>
              <w:lang w:eastAsia="es-CO"/>
            </w:rPr>
          </w:pPr>
          <w:r w:rsidRPr="000D0101">
            <w:rPr>
              <w:rFonts w:eastAsia="Times New Roman"/>
              <w:lang w:eastAsia="es-CO"/>
            </w:rPr>
            <w:t>Retribución al concesionario</w:t>
          </w:r>
        </w:p>
        <w:p w14:paraId="372F2179" w14:textId="77777777" w:rsidR="003D5DB4" w:rsidRPr="000D0101" w:rsidRDefault="003D5DB4" w:rsidP="000A5389">
          <w:pPr>
            <w:spacing w:line="240" w:lineRule="auto"/>
            <w:rPr>
              <w:rFonts w:eastAsia="Times New Roman"/>
              <w:lang w:eastAsia="es-CO"/>
            </w:rPr>
          </w:pPr>
        </w:p>
        <w:p w14:paraId="2623EA7D" w14:textId="77777777" w:rsidR="003D5DB4" w:rsidRPr="000D0101" w:rsidRDefault="003D5DB4" w:rsidP="000A5389">
          <w:pPr>
            <w:spacing w:line="240" w:lineRule="auto"/>
            <w:rPr>
              <w:rFonts w:eastAsia="Times New Roman"/>
              <w:lang w:eastAsia="es-CO"/>
            </w:rPr>
          </w:pPr>
          <w:r w:rsidRPr="000D0101">
            <w:rPr>
              <w:rFonts w:eastAsia="Times New Roman"/>
              <w:lang w:eastAsia="es-CO"/>
            </w:rPr>
            <w:t>Descripción:</w:t>
          </w:r>
          <w:r w:rsidRPr="000D0101">
            <w:rPr>
              <w:rFonts w:eastAsia="Times New Roman"/>
              <w:lang w:eastAsia="es-CO"/>
            </w:rPr>
            <w:tab/>
            <w:t xml:space="preserve">Artículo Primero del contrato 025 de 2003: Otorgar la concesión portuaria a la Sociedad Portuaria el derecho de ocupar y utilizar en forma temporal y exclusiva las playas, los terrenos de bajamar y zonas accesorias a aquellas o estos, </w:t>
          </w:r>
          <w:r w:rsidRPr="000D0101">
            <w:rPr>
              <w:rFonts w:eastAsia="Times New Roman"/>
              <w:lang w:eastAsia="es-CO"/>
            </w:rPr>
            <w:tab/>
            <w:t>descritos en el Cláusula Segunda y Quinta del referido contrato a cambio de la contraprestación económica.</w:t>
          </w:r>
        </w:p>
        <w:p w14:paraId="4AE7747B" w14:textId="77777777" w:rsidR="003D5DB4" w:rsidRPr="000D0101" w:rsidRDefault="003D5DB4" w:rsidP="000A5389">
          <w:pPr>
            <w:spacing w:line="240" w:lineRule="auto"/>
            <w:rPr>
              <w:rFonts w:eastAsia="Times New Roman"/>
              <w:lang w:eastAsia="es-CO"/>
            </w:rPr>
          </w:pPr>
        </w:p>
        <w:p w14:paraId="2C6C7FEE" w14:textId="77777777" w:rsidR="003D5DB4" w:rsidRPr="000D0101" w:rsidRDefault="003D5DB4" w:rsidP="000A5389">
          <w:pPr>
            <w:spacing w:line="240" w:lineRule="auto"/>
            <w:rPr>
              <w:rFonts w:eastAsia="Times New Roman"/>
              <w:lang w:eastAsia="es-CO"/>
            </w:rPr>
          </w:pPr>
          <w:r w:rsidRPr="000D0101">
            <w:rPr>
              <w:rFonts w:eastAsia="Times New Roman"/>
              <w:lang w:eastAsia="es-CO"/>
            </w:rPr>
            <w:t>Tasa de retribución:</w:t>
          </w:r>
          <w:r w:rsidRPr="000D0101">
            <w:rPr>
              <w:rFonts w:eastAsia="Times New Roman"/>
              <w:lang w:eastAsia="es-CO"/>
            </w:rPr>
            <w:tab/>
            <w:t>N/A</w:t>
          </w:r>
        </w:p>
        <w:p w14:paraId="5974A0DB" w14:textId="77777777" w:rsidR="003D5DB4" w:rsidRPr="000D0101" w:rsidRDefault="003D5DB4" w:rsidP="000A5389">
          <w:pPr>
            <w:spacing w:line="240" w:lineRule="auto"/>
            <w:rPr>
              <w:rFonts w:eastAsia="Times New Roman"/>
              <w:lang w:eastAsia="es-CO"/>
            </w:rPr>
          </w:pPr>
        </w:p>
        <w:p w14:paraId="6A4BD1C4" w14:textId="77777777" w:rsidR="003D5DB4" w:rsidRPr="000D0101" w:rsidRDefault="003D5DB4" w:rsidP="000A5389">
          <w:pPr>
            <w:spacing w:line="240" w:lineRule="auto"/>
            <w:rPr>
              <w:rFonts w:eastAsia="Times New Roman"/>
              <w:lang w:eastAsia="es-CO"/>
            </w:rPr>
          </w:pPr>
          <w:r w:rsidRPr="000D0101">
            <w:rPr>
              <w:rFonts w:eastAsia="Times New Roman"/>
              <w:lang w:eastAsia="es-CO"/>
            </w:rPr>
            <w:t>Derechos a recibir Activos especificados al final del acuerdo de concesión</w:t>
          </w:r>
        </w:p>
        <w:p w14:paraId="79BB2EBB" w14:textId="77777777" w:rsidR="003D5DB4" w:rsidRPr="000D0101" w:rsidRDefault="003D5DB4" w:rsidP="000A5389">
          <w:pPr>
            <w:spacing w:line="240" w:lineRule="auto"/>
            <w:rPr>
              <w:rFonts w:eastAsia="Times New Roman"/>
              <w:lang w:eastAsia="es-CO"/>
            </w:rPr>
          </w:pPr>
        </w:p>
        <w:p w14:paraId="1CFCB6AB" w14:textId="77777777" w:rsidR="003D5DB4" w:rsidRPr="000D0101" w:rsidRDefault="003D5DB4" w:rsidP="000A5389">
          <w:pPr>
            <w:spacing w:line="240" w:lineRule="auto"/>
            <w:rPr>
              <w:rFonts w:eastAsia="Times New Roman"/>
              <w:lang w:eastAsia="es-CO"/>
            </w:rPr>
          </w:pPr>
          <w:r w:rsidRPr="000D0101">
            <w:rPr>
              <w:rFonts w:eastAsia="Times New Roman"/>
              <w:lang w:eastAsia="es-CO"/>
            </w:rPr>
            <w:t>Descripción:</w:t>
          </w:r>
          <w:r w:rsidRPr="000D0101">
            <w:rPr>
              <w:rFonts w:eastAsia="Times New Roman"/>
              <w:lang w:eastAsia="es-CO"/>
            </w:rPr>
            <w:tab/>
            <w:t>De acuerdo con el Artículo 8º de la Ley 1 de 1991 en el modo portuario el concesionario no tiene derechos finales sobre activos los debe revertir a la Nación al final del contrato de concesión.</w:t>
          </w:r>
        </w:p>
        <w:p w14:paraId="25F885FB" w14:textId="77777777" w:rsidR="003D5DB4" w:rsidRPr="000D0101" w:rsidRDefault="003D5DB4" w:rsidP="000A5389">
          <w:pPr>
            <w:spacing w:line="240" w:lineRule="auto"/>
            <w:rPr>
              <w:rFonts w:eastAsia="Times New Roman"/>
              <w:lang w:eastAsia="es-CO"/>
            </w:rPr>
          </w:pPr>
        </w:p>
        <w:p w14:paraId="4A38A914" w14:textId="77777777" w:rsidR="003D5DB4" w:rsidRPr="000D0101" w:rsidRDefault="003D5DB4" w:rsidP="000A5389">
          <w:pPr>
            <w:spacing w:line="240" w:lineRule="auto"/>
            <w:rPr>
              <w:rFonts w:eastAsia="Times New Roman"/>
              <w:lang w:eastAsia="es-CO"/>
            </w:rPr>
          </w:pPr>
          <w:r w:rsidRPr="000D0101">
            <w:rPr>
              <w:rFonts w:eastAsia="Times New Roman"/>
              <w:lang w:eastAsia="es-CO"/>
            </w:rPr>
            <w:t>Observaciones: Reversión: De acuerdo con lo establecido en la cláusula novena del contrato de concesión, todas las construcciones e inmuebles por destinación, que se encuentren instalados en la zona de uso público otorgada en concesión revertirán gratuitamente por el Concesionario. Para tal fin, en el momento de la reversión el CONCESIONARIO elaborará un inventario de los bienes y los enviará para su revisión y aprobación. La ANI es la entidad concedente pero la titularidad de los activos al final de la concesión es del Instituto Nacional de Vías INVIAS.</w:t>
          </w:r>
        </w:p>
        <w:p w14:paraId="7ABB3543" w14:textId="77777777" w:rsidR="003D5DB4" w:rsidRPr="000D0101" w:rsidRDefault="003D5DB4" w:rsidP="000A5389">
          <w:pPr>
            <w:spacing w:line="240" w:lineRule="auto"/>
            <w:rPr>
              <w:rFonts w:eastAsia="Times New Roman"/>
              <w:lang w:eastAsia="es-CO"/>
            </w:rPr>
          </w:pPr>
        </w:p>
        <w:p w14:paraId="7AF732BD" w14:textId="77777777" w:rsidR="003D5DB4" w:rsidRPr="000D0101" w:rsidRDefault="003D5DB4" w:rsidP="000A5389">
          <w:pPr>
            <w:spacing w:line="240" w:lineRule="auto"/>
            <w:rPr>
              <w:rFonts w:eastAsia="Times New Roman"/>
              <w:lang w:eastAsia="es-CO"/>
            </w:rPr>
          </w:pPr>
          <w:r w:rsidRPr="000D0101">
            <w:rPr>
              <w:rFonts w:eastAsia="Times New Roman"/>
              <w:lang w:eastAsia="es-CO"/>
            </w:rPr>
            <w:t>Las alternativas de renovación y cese del acuerdo</w:t>
          </w:r>
        </w:p>
        <w:p w14:paraId="78626FF9" w14:textId="77777777" w:rsidR="003D5DB4" w:rsidRPr="000D0101" w:rsidRDefault="003D5DB4" w:rsidP="000A5389">
          <w:pPr>
            <w:spacing w:line="240" w:lineRule="auto"/>
            <w:rPr>
              <w:rFonts w:eastAsia="Times New Roman"/>
              <w:lang w:eastAsia="es-CO"/>
            </w:rPr>
          </w:pPr>
        </w:p>
        <w:p w14:paraId="736E9246" w14:textId="77777777" w:rsidR="003D5DB4" w:rsidRPr="000D0101" w:rsidRDefault="003D5DB4" w:rsidP="000A5389">
          <w:pPr>
            <w:spacing w:line="240" w:lineRule="auto"/>
            <w:rPr>
              <w:rFonts w:eastAsia="Times New Roman"/>
              <w:lang w:eastAsia="es-CO"/>
            </w:rPr>
          </w:pPr>
          <w:r w:rsidRPr="000D0101">
            <w:rPr>
              <w:rFonts w:eastAsia="Times New Roman"/>
              <w:lang w:eastAsia="es-CO"/>
            </w:rPr>
            <w:lastRenderedPageBreak/>
            <w:t>Descripción:</w:t>
          </w:r>
          <w:r w:rsidRPr="000D0101">
            <w:rPr>
              <w:rFonts w:eastAsia="Times New Roman"/>
              <w:lang w:eastAsia="es-CO"/>
            </w:rPr>
            <w:tab/>
            <w:t>El contrato fue prorrogado y ya no tiene posibilidad de prorroga adicional. La Clausula vigésima del contrato de concesión establece los parámetros para la terminación del contrato.</w:t>
          </w:r>
        </w:p>
        <w:p w14:paraId="73EE7A24" w14:textId="77777777" w:rsidR="003D5DB4" w:rsidRPr="000D0101" w:rsidRDefault="003D5DB4" w:rsidP="000A5389">
          <w:pPr>
            <w:spacing w:line="240" w:lineRule="auto"/>
            <w:rPr>
              <w:rFonts w:eastAsia="Times New Roman"/>
              <w:lang w:eastAsia="es-CO"/>
            </w:rPr>
          </w:pPr>
        </w:p>
        <w:p w14:paraId="1ED0BAE1" w14:textId="77777777" w:rsidR="003D5DB4" w:rsidRPr="000D0101" w:rsidRDefault="003D5DB4" w:rsidP="000A5389">
          <w:pPr>
            <w:spacing w:line="240" w:lineRule="auto"/>
            <w:rPr>
              <w:rFonts w:eastAsia="Times New Roman"/>
              <w:lang w:eastAsia="es-CO"/>
            </w:rPr>
          </w:pPr>
          <w:r w:rsidRPr="000D0101">
            <w:rPr>
              <w:rFonts w:eastAsia="Times New Roman"/>
              <w:lang w:eastAsia="es-CO"/>
            </w:rPr>
            <w:t>Observaciones: El contrato fue prorrogado 20 años mas</w:t>
          </w:r>
        </w:p>
        <w:p w14:paraId="489E10B2" w14:textId="77777777" w:rsidR="003D5DB4" w:rsidRPr="000D0101" w:rsidRDefault="003D5DB4" w:rsidP="000A5389">
          <w:pPr>
            <w:spacing w:line="240" w:lineRule="auto"/>
            <w:rPr>
              <w:rFonts w:eastAsia="Times New Roman"/>
              <w:lang w:eastAsia="es-CO"/>
            </w:rPr>
          </w:pPr>
        </w:p>
        <w:p w14:paraId="72F35706" w14:textId="77777777" w:rsidR="003D5DB4" w:rsidRPr="000D0101" w:rsidRDefault="003D5DB4" w:rsidP="000A5389">
          <w:pPr>
            <w:spacing w:line="240" w:lineRule="auto"/>
            <w:rPr>
              <w:rFonts w:eastAsia="Times New Roman"/>
              <w:lang w:eastAsia="es-CO"/>
            </w:rPr>
          </w:pPr>
          <w:r w:rsidRPr="000D0101">
            <w:rPr>
              <w:rFonts w:eastAsia="Times New Roman"/>
              <w:lang w:eastAsia="es-CO"/>
            </w:rPr>
            <w:t>Cambios en el acuerdo de concesión que se realicen durante el periodo fiscal</w:t>
          </w:r>
        </w:p>
        <w:p w14:paraId="7C5E83A0" w14:textId="77777777" w:rsidR="003D5DB4" w:rsidRPr="000D0101" w:rsidRDefault="003D5DB4" w:rsidP="000A5389">
          <w:pPr>
            <w:spacing w:line="240" w:lineRule="auto"/>
            <w:rPr>
              <w:rFonts w:eastAsia="Times New Roman"/>
              <w:lang w:eastAsia="es-CO"/>
            </w:rPr>
          </w:pPr>
        </w:p>
        <w:p w14:paraId="50EC9A78" w14:textId="77777777" w:rsidR="003D5DB4" w:rsidRPr="000D0101" w:rsidRDefault="003D5DB4" w:rsidP="000A5389">
          <w:pPr>
            <w:spacing w:line="240" w:lineRule="auto"/>
            <w:rPr>
              <w:rFonts w:eastAsia="Times New Roman"/>
              <w:lang w:eastAsia="es-CO"/>
            </w:rPr>
          </w:pPr>
          <w:r w:rsidRPr="000D0101">
            <w:rPr>
              <w:rFonts w:eastAsia="Times New Roman"/>
              <w:lang w:eastAsia="es-CO"/>
            </w:rPr>
            <w:t>Adiciones o modificaciones en tiempo</w:t>
          </w:r>
        </w:p>
        <w:p w14:paraId="1FEEC57D" w14:textId="77777777" w:rsidR="003D5DB4" w:rsidRPr="000D0101" w:rsidRDefault="003D5DB4" w:rsidP="000A5389">
          <w:pPr>
            <w:spacing w:line="240" w:lineRule="auto"/>
            <w:rPr>
              <w:rFonts w:eastAsia="Times New Roman"/>
              <w:lang w:eastAsia="es-CO"/>
            </w:rPr>
          </w:pPr>
          <w:r w:rsidRPr="000D0101">
            <w:rPr>
              <w:rFonts w:eastAsia="Times New Roman"/>
              <w:lang w:eastAsia="es-CO"/>
            </w:rPr>
            <w:t>Fechas de las adiciones o modificaciones:</w:t>
          </w:r>
          <w:r w:rsidRPr="000D0101">
            <w:rPr>
              <w:rFonts w:eastAsia="Times New Roman"/>
              <w:lang w:eastAsia="es-CO"/>
            </w:rPr>
            <w:tab/>
            <w:t>N/A</w:t>
          </w:r>
        </w:p>
        <w:p w14:paraId="261B025C" w14:textId="77777777" w:rsidR="003D5DB4" w:rsidRPr="000D0101" w:rsidRDefault="003D5DB4" w:rsidP="000A5389">
          <w:pPr>
            <w:spacing w:line="240" w:lineRule="auto"/>
            <w:rPr>
              <w:rFonts w:eastAsia="Times New Roman"/>
              <w:lang w:eastAsia="es-CO"/>
            </w:rPr>
          </w:pPr>
          <w:r w:rsidRPr="000D0101">
            <w:rPr>
              <w:rFonts w:eastAsia="Times New Roman"/>
              <w:lang w:eastAsia="es-CO"/>
            </w:rPr>
            <w:t>Nueva fecha de finalización estimada: N/A</w:t>
          </w:r>
        </w:p>
        <w:p w14:paraId="753654DE" w14:textId="77777777" w:rsidR="003D5DB4" w:rsidRDefault="003D5DB4" w:rsidP="000A5389">
          <w:pPr>
            <w:spacing w:line="240" w:lineRule="auto"/>
            <w:rPr>
              <w:rFonts w:eastAsia="Times New Roman"/>
              <w:lang w:eastAsia="es-CO"/>
            </w:rPr>
          </w:pPr>
          <w:r w:rsidRPr="000D0101">
            <w:rPr>
              <w:rFonts w:eastAsia="Times New Roman"/>
              <w:lang w:eastAsia="es-CO"/>
            </w:rPr>
            <w:t>Observaciones: N/A</w:t>
          </w:r>
        </w:p>
        <w:p w14:paraId="6F828699" w14:textId="77777777" w:rsidR="001B234E" w:rsidRPr="000D0101" w:rsidRDefault="001B234E" w:rsidP="000A5389">
          <w:pPr>
            <w:spacing w:line="240" w:lineRule="auto"/>
            <w:rPr>
              <w:rFonts w:eastAsia="Times New Roman"/>
              <w:lang w:eastAsia="es-CO"/>
            </w:rPr>
          </w:pPr>
        </w:p>
        <w:p w14:paraId="4062B37F" w14:textId="77777777" w:rsidR="003D5DB4" w:rsidRDefault="003D5DB4" w:rsidP="000A5389">
          <w:pPr>
            <w:spacing w:line="240" w:lineRule="auto"/>
            <w:rPr>
              <w:rFonts w:eastAsia="Times New Roman"/>
              <w:lang w:eastAsia="es-CO"/>
            </w:rPr>
          </w:pPr>
          <w:r w:rsidRPr="000D0101">
            <w:rPr>
              <w:rFonts w:eastAsia="Times New Roman"/>
              <w:lang w:eastAsia="es-CO"/>
            </w:rPr>
            <w:t>Adiciones o modificaciones en valor</w:t>
          </w:r>
        </w:p>
        <w:p w14:paraId="1EC3F978" w14:textId="77777777" w:rsidR="001B234E" w:rsidRPr="000D0101" w:rsidRDefault="001B234E" w:rsidP="000A5389">
          <w:pPr>
            <w:spacing w:line="240" w:lineRule="auto"/>
            <w:rPr>
              <w:rFonts w:eastAsia="Times New Roman"/>
              <w:lang w:eastAsia="es-CO"/>
            </w:rPr>
          </w:pPr>
        </w:p>
        <w:p w14:paraId="258CE9E0" w14:textId="77777777" w:rsidR="003D5DB4" w:rsidRPr="000D0101" w:rsidRDefault="003D5DB4" w:rsidP="000A5389">
          <w:pPr>
            <w:spacing w:line="240" w:lineRule="auto"/>
            <w:rPr>
              <w:rFonts w:eastAsia="Times New Roman"/>
              <w:lang w:eastAsia="es-CO"/>
            </w:rPr>
          </w:pPr>
          <w:r w:rsidRPr="000D0101">
            <w:rPr>
              <w:rFonts w:eastAsia="Times New Roman"/>
              <w:lang w:eastAsia="es-CO"/>
            </w:rPr>
            <w:t>Valor de la adición o modificación: USD 531.294</w:t>
          </w:r>
        </w:p>
        <w:p w14:paraId="29F50EF1" w14:textId="77777777" w:rsidR="003D5DB4" w:rsidRPr="000D0101" w:rsidRDefault="003D5DB4" w:rsidP="000A5389">
          <w:pPr>
            <w:spacing w:line="240" w:lineRule="auto"/>
            <w:rPr>
              <w:rFonts w:eastAsia="Times New Roman"/>
              <w:lang w:eastAsia="es-CO"/>
            </w:rPr>
          </w:pPr>
          <w:r w:rsidRPr="000D0101">
            <w:rPr>
              <w:rFonts w:eastAsia="Times New Roman"/>
              <w:lang w:eastAsia="es-CO"/>
            </w:rPr>
            <w:t>Nuevo valor del acuerdo: USD 531.294</w:t>
          </w:r>
        </w:p>
        <w:p w14:paraId="394B01DA" w14:textId="77777777" w:rsidR="003D5DB4" w:rsidRPr="000D0101" w:rsidRDefault="003D5DB4" w:rsidP="000A5389">
          <w:pPr>
            <w:spacing w:line="240" w:lineRule="auto"/>
            <w:rPr>
              <w:rFonts w:eastAsia="Times New Roman"/>
              <w:lang w:eastAsia="es-CO"/>
            </w:rPr>
          </w:pPr>
          <w:r w:rsidRPr="000D0101">
            <w:rPr>
              <w:rFonts w:eastAsia="Times New Roman"/>
              <w:lang w:eastAsia="es-CO"/>
            </w:rPr>
            <w:t>Observaciones: Valor expresado en dólares constantes de diciembre de 2022, cláusula Quinta, otrosí 4 de 2023</w:t>
          </w:r>
        </w:p>
        <w:p w14:paraId="0D92DAEB" w14:textId="77777777" w:rsidR="003D5DB4" w:rsidRPr="000D0101" w:rsidRDefault="003D5DB4" w:rsidP="000A5389">
          <w:pPr>
            <w:spacing w:line="240" w:lineRule="auto"/>
            <w:rPr>
              <w:rFonts w:eastAsia="Times New Roman"/>
              <w:lang w:eastAsia="es-CO"/>
            </w:rPr>
          </w:pPr>
        </w:p>
        <w:p w14:paraId="55E5313A" w14:textId="77777777" w:rsidR="003D5DB4" w:rsidRPr="000D0101" w:rsidRDefault="003D5DB4" w:rsidP="000A5389">
          <w:pPr>
            <w:spacing w:line="240" w:lineRule="auto"/>
            <w:rPr>
              <w:rFonts w:eastAsia="Times New Roman"/>
              <w:lang w:eastAsia="es-CO"/>
            </w:rPr>
          </w:pPr>
        </w:p>
        <w:p w14:paraId="549E5F54" w14:textId="77777777" w:rsidR="003D5DB4" w:rsidRPr="00915852" w:rsidRDefault="003D5DB4" w:rsidP="000A5389">
          <w:pPr>
            <w:spacing w:line="240" w:lineRule="auto"/>
            <w:rPr>
              <w:rFonts w:eastAsia="Times New Roman"/>
              <w:i/>
              <w:iCs/>
              <w:lang w:eastAsia="es-CO"/>
            </w:rPr>
          </w:pPr>
          <w:r w:rsidRPr="00915852">
            <w:rPr>
              <w:rFonts w:eastAsia="Times New Roman"/>
              <w:i/>
              <w:iCs/>
              <w:lang w:eastAsia="es-CO"/>
            </w:rPr>
            <w:t>NUEVA SOCIEDAD PORTUARIA ZONA ATLANTICA S.A. San Andrés el Arenal</w:t>
          </w:r>
        </w:p>
        <w:p w14:paraId="5ABBEA83" w14:textId="77777777" w:rsidR="003D5DB4" w:rsidRPr="00915852" w:rsidRDefault="003D5DB4" w:rsidP="000A5389">
          <w:pPr>
            <w:spacing w:line="240" w:lineRule="auto"/>
            <w:rPr>
              <w:i/>
              <w:iCs/>
            </w:rPr>
          </w:pPr>
        </w:p>
        <w:p w14:paraId="76208AFD" w14:textId="77777777" w:rsidR="003D5DB4" w:rsidRPr="000D0101" w:rsidRDefault="003D5DB4" w:rsidP="000A5389">
          <w:pPr>
            <w:spacing w:line="240" w:lineRule="auto"/>
            <w:rPr>
              <w:rFonts w:eastAsia="Times New Roman"/>
              <w:lang w:eastAsia="es-CO"/>
            </w:rPr>
          </w:pPr>
          <w:r w:rsidRPr="000D0101">
            <w:rPr>
              <w:rFonts w:eastAsia="Times New Roman"/>
              <w:lang w:eastAsia="es-CO"/>
            </w:rPr>
            <w:t>Descripción del Acuerdo</w:t>
          </w:r>
        </w:p>
        <w:p w14:paraId="5980FF39" w14:textId="77777777" w:rsidR="003D5DB4" w:rsidRPr="000D0101" w:rsidRDefault="003D5DB4" w:rsidP="000A5389">
          <w:pPr>
            <w:spacing w:line="240" w:lineRule="auto"/>
            <w:rPr>
              <w:rFonts w:eastAsia="Times New Roman"/>
              <w:lang w:eastAsia="es-CO"/>
            </w:rPr>
          </w:pPr>
        </w:p>
        <w:p w14:paraId="44CC1C87" w14:textId="77777777" w:rsidR="003D5DB4" w:rsidRPr="000D0101" w:rsidRDefault="003D5DB4" w:rsidP="000A5389">
          <w:pPr>
            <w:spacing w:line="240" w:lineRule="auto"/>
            <w:rPr>
              <w:rFonts w:eastAsia="Times New Roman"/>
              <w:lang w:eastAsia="es-CO"/>
            </w:rPr>
          </w:pPr>
          <w:r w:rsidRPr="000D0101">
            <w:rPr>
              <w:rFonts w:eastAsia="Times New Roman"/>
              <w:lang w:eastAsia="es-CO"/>
            </w:rPr>
            <w:t>Número del Acuerdo de concesión: 009 de 2007</w:t>
          </w:r>
        </w:p>
        <w:p w14:paraId="656F3351" w14:textId="77777777" w:rsidR="003D5DB4" w:rsidRPr="000D0101" w:rsidRDefault="003D5DB4" w:rsidP="000A5389">
          <w:pPr>
            <w:spacing w:line="240" w:lineRule="auto"/>
            <w:rPr>
              <w:rFonts w:eastAsia="Times New Roman"/>
              <w:lang w:eastAsia="es-CO"/>
            </w:rPr>
          </w:pPr>
        </w:p>
        <w:p w14:paraId="7610A72E" w14:textId="77777777" w:rsidR="003D5DB4" w:rsidRPr="000D0101" w:rsidRDefault="003D5DB4" w:rsidP="000A5389">
          <w:pPr>
            <w:spacing w:line="240" w:lineRule="auto"/>
            <w:rPr>
              <w:rFonts w:eastAsia="Times New Roman"/>
              <w:lang w:eastAsia="es-CO"/>
            </w:rPr>
          </w:pPr>
          <w:r w:rsidRPr="000D0101">
            <w:rPr>
              <w:rFonts w:eastAsia="Times New Roman"/>
              <w:lang w:eastAsia="es-CO"/>
            </w:rPr>
            <w:t>Objeto / Descripción: En virtud del Contrato de concesión y sus modificaciones, se permite al CONCESIONARIO ocupar y utilizar en forma temporal y exclusiva la zona de uso público que incluye el sector de playa, terrenos de bajamar y las zonas marítimas accesorias a aquellas o éstos, para la administración y operación de la infraestructura portuaria que incluye el muelle denominado "Texas Arenal Las facilidades portuarias se encuentran ubicadas en el sector denominado El Arenal de la Isla de San Andrés, en el departamento de San Andrés, Providencia y Santa Catalina, por el término de veinte (20) años, a cambio de la contra prestación establecida en la Cláusula Octava.</w:t>
          </w:r>
        </w:p>
        <w:p w14:paraId="77EA7A1B" w14:textId="77777777" w:rsidR="003D5DB4" w:rsidRPr="000D0101" w:rsidRDefault="003D5DB4" w:rsidP="000A5389">
          <w:pPr>
            <w:spacing w:line="240" w:lineRule="auto"/>
            <w:rPr>
              <w:rFonts w:eastAsia="Times New Roman"/>
              <w:lang w:eastAsia="es-CO"/>
            </w:rPr>
          </w:pPr>
        </w:p>
        <w:p w14:paraId="795B5B4F" w14:textId="77777777" w:rsidR="003D5DB4" w:rsidRPr="000D0101" w:rsidRDefault="003D5DB4" w:rsidP="000A5389">
          <w:pPr>
            <w:spacing w:line="240" w:lineRule="auto"/>
            <w:rPr>
              <w:rFonts w:eastAsia="Times New Roman"/>
              <w:lang w:eastAsia="es-CO"/>
            </w:rPr>
          </w:pPr>
          <w:r w:rsidRPr="000D0101">
            <w:rPr>
              <w:rFonts w:eastAsia="Times New Roman"/>
              <w:lang w:eastAsia="es-CO"/>
            </w:rPr>
            <w:t>Valor inicial:</w:t>
          </w:r>
          <w:r w:rsidRPr="000D0101">
            <w:rPr>
              <w:rFonts w:eastAsia="Times New Roman"/>
              <w:lang w:eastAsia="es-CO"/>
            </w:rPr>
            <w:tab/>
            <w:t>Valor inicial: USD $153.540,89 Cláusula octava / Contrato No 009 de 2007.Valor del Contrato actualizado: USD $153.540,89 / Cláusula primera / Otrosí 1 de 2009. Valor presente.</w:t>
          </w:r>
        </w:p>
        <w:p w14:paraId="40CAEF7E" w14:textId="77777777" w:rsidR="003D5DB4" w:rsidRPr="000D0101" w:rsidRDefault="003D5DB4" w:rsidP="000A5389">
          <w:pPr>
            <w:spacing w:line="240" w:lineRule="auto"/>
            <w:rPr>
              <w:rFonts w:eastAsia="Times New Roman"/>
              <w:lang w:eastAsia="es-CO"/>
            </w:rPr>
          </w:pPr>
        </w:p>
        <w:p w14:paraId="4452901C" w14:textId="77777777" w:rsidR="003D5DB4" w:rsidRPr="000D0101" w:rsidRDefault="003D5DB4" w:rsidP="000A5389">
          <w:pPr>
            <w:spacing w:line="240" w:lineRule="auto"/>
            <w:rPr>
              <w:rFonts w:eastAsia="Times New Roman"/>
              <w:lang w:eastAsia="es-CO"/>
            </w:rPr>
          </w:pPr>
          <w:r w:rsidRPr="000D0101">
            <w:rPr>
              <w:rFonts w:eastAsia="Times New Roman"/>
              <w:lang w:eastAsia="es-CO"/>
            </w:rPr>
            <w:t>Fecha de inicio: 18/09/2007</w:t>
          </w:r>
        </w:p>
        <w:p w14:paraId="2E6F6C1F" w14:textId="77777777" w:rsidR="003D5DB4" w:rsidRPr="000D0101" w:rsidRDefault="003D5DB4" w:rsidP="000A5389">
          <w:pPr>
            <w:spacing w:line="240" w:lineRule="auto"/>
            <w:rPr>
              <w:rFonts w:eastAsia="Times New Roman"/>
              <w:lang w:eastAsia="es-CO"/>
            </w:rPr>
          </w:pPr>
          <w:r w:rsidRPr="000D0101">
            <w:rPr>
              <w:rFonts w:eastAsia="Times New Roman"/>
              <w:lang w:eastAsia="es-CO"/>
            </w:rPr>
            <w:t>Fecha de finalización estimada: 17/09/2027</w:t>
          </w:r>
        </w:p>
        <w:p w14:paraId="0393B4F6" w14:textId="77777777" w:rsidR="003D5DB4" w:rsidRPr="000D0101" w:rsidRDefault="003D5DB4" w:rsidP="000A5389">
          <w:pPr>
            <w:spacing w:line="240" w:lineRule="auto"/>
            <w:rPr>
              <w:rFonts w:eastAsia="Times New Roman"/>
              <w:lang w:eastAsia="es-CO"/>
            </w:rPr>
          </w:pPr>
          <w:r w:rsidRPr="000D0101">
            <w:rPr>
              <w:rFonts w:eastAsia="Times New Roman"/>
              <w:lang w:eastAsia="es-CO"/>
            </w:rPr>
            <w:t>Tipo ID: NIT</w:t>
          </w:r>
        </w:p>
        <w:p w14:paraId="5491F0B9" w14:textId="77777777" w:rsidR="003D5DB4" w:rsidRPr="000D0101" w:rsidRDefault="003D5DB4" w:rsidP="000A5389">
          <w:pPr>
            <w:spacing w:line="240" w:lineRule="auto"/>
            <w:rPr>
              <w:rFonts w:eastAsia="Times New Roman"/>
              <w:lang w:eastAsia="es-CO"/>
            </w:rPr>
          </w:pPr>
          <w:r w:rsidRPr="000D0101">
            <w:rPr>
              <w:rFonts w:eastAsia="Times New Roman"/>
              <w:lang w:eastAsia="es-CO"/>
            </w:rPr>
            <w:t>Número ID: 900.944.661-4</w:t>
          </w:r>
        </w:p>
        <w:p w14:paraId="7DCCBB40" w14:textId="77777777" w:rsidR="003D5DB4" w:rsidRPr="000D0101" w:rsidRDefault="003D5DB4" w:rsidP="000A5389">
          <w:pPr>
            <w:spacing w:line="240" w:lineRule="auto"/>
            <w:rPr>
              <w:rFonts w:eastAsia="Times New Roman"/>
              <w:lang w:eastAsia="es-CO"/>
            </w:rPr>
          </w:pPr>
          <w:r w:rsidRPr="000D0101">
            <w:rPr>
              <w:rFonts w:eastAsia="Times New Roman"/>
              <w:lang w:eastAsia="es-CO"/>
            </w:rPr>
            <w:lastRenderedPageBreak/>
            <w:t>Razón social del concesionario: Nueva Sociedad Portuaria de la Zona Atlántica S.A</w:t>
          </w:r>
        </w:p>
        <w:p w14:paraId="3238827B" w14:textId="77777777" w:rsidR="003D5DB4" w:rsidRPr="000D0101" w:rsidRDefault="003D5DB4" w:rsidP="000A5389">
          <w:pPr>
            <w:spacing w:line="240" w:lineRule="auto"/>
            <w:rPr>
              <w:rFonts w:eastAsia="Times New Roman"/>
              <w:lang w:eastAsia="es-CO"/>
            </w:rPr>
          </w:pPr>
          <w:r w:rsidRPr="000D0101">
            <w:rPr>
              <w:rFonts w:eastAsia="Times New Roman"/>
              <w:lang w:eastAsia="es-CO"/>
            </w:rPr>
            <w:t>Nombre del proyecto: Nueva Sociedad Portuaria de la Zona Atlántica S.A.</w:t>
          </w:r>
        </w:p>
        <w:p w14:paraId="3CF288D1" w14:textId="77777777" w:rsidR="003D5DB4" w:rsidRPr="000D0101" w:rsidRDefault="003D5DB4" w:rsidP="000A5389">
          <w:pPr>
            <w:spacing w:line="240" w:lineRule="auto"/>
            <w:rPr>
              <w:rFonts w:eastAsia="Times New Roman"/>
              <w:lang w:eastAsia="es-CO"/>
            </w:rPr>
          </w:pPr>
        </w:p>
        <w:p w14:paraId="3F77957D" w14:textId="77777777" w:rsidR="003D5DB4" w:rsidRPr="000D0101" w:rsidRDefault="003D5DB4" w:rsidP="000A5389">
          <w:pPr>
            <w:spacing w:line="240" w:lineRule="auto"/>
            <w:rPr>
              <w:rFonts w:eastAsia="Times New Roman"/>
              <w:lang w:eastAsia="es-CO"/>
            </w:rPr>
          </w:pPr>
          <w:r w:rsidRPr="000D0101">
            <w:rPr>
              <w:rFonts w:eastAsia="Times New Roman"/>
              <w:lang w:eastAsia="es-CO"/>
            </w:rPr>
            <w:t>Términos significativos del Acuerdo que puedan afectar su valor, el calendario y la certeza de los flujos de efectivo futuros</w:t>
          </w:r>
        </w:p>
        <w:p w14:paraId="69AEB4E6" w14:textId="77777777" w:rsidR="003D5DB4" w:rsidRPr="000D0101" w:rsidRDefault="003D5DB4" w:rsidP="000A5389">
          <w:pPr>
            <w:spacing w:line="240" w:lineRule="auto"/>
            <w:rPr>
              <w:rFonts w:eastAsia="Times New Roman"/>
              <w:lang w:eastAsia="es-CO"/>
            </w:rPr>
          </w:pPr>
        </w:p>
        <w:p w14:paraId="6E5EC93F" w14:textId="77777777" w:rsidR="003D5DB4" w:rsidRPr="000D0101" w:rsidRDefault="003D5DB4" w:rsidP="000A5389">
          <w:pPr>
            <w:spacing w:line="240" w:lineRule="auto"/>
            <w:rPr>
              <w:rFonts w:eastAsia="Times New Roman"/>
              <w:lang w:eastAsia="es-CO"/>
            </w:rPr>
          </w:pPr>
          <w:r w:rsidRPr="000D0101">
            <w:rPr>
              <w:rFonts w:eastAsia="Times New Roman"/>
              <w:lang w:eastAsia="es-CO"/>
            </w:rPr>
            <w:t>Términos de valor: 1: Tarifas: Al ser el terminal marítimo de servicio privado la Ley 1 de 1991 establece: Las sociedades portuarias que operan puertos de servicio privado podrán fijar libremente sus tarifas, pero mantendrán informada sobre ellas a la Superintendencia General de Puertos hoy Superintendencia de Transporte.2: Contraprestación portuaria: De acuerdo con el último documento contractual vigente la metodología de contraprestación vigente es CONPES 2680 DE 1993 (Productividad). Se establece en la cláusula primera del otrosí 1 de 2009 del Contrato que el CONCESIONARIO deberá pagar por concepto de zona de uso público la suma anual de (USD 8.442,66), de dicho pago el 80% le corresponde a la Nación (INVIAS-ANI) y el 20% restante al municipio de San Andrés Islas (San Andrés, Providencia y Santa Catalina) de acuerdo con lo establecido en el parágrafo 1 del artículo 1 de la ley 856 del 21 de diciembre de 2003, que modifica el artículo 7 de la ley 1ª de 1991. Así mismo, por concepto de infraestructura el CONCESIONARIO deberá pagar la suma anual de (USD 9.910,79), el cual corresponde en un 100% a la Nación -  (INVIAS-ANI) de acuerdo con lo establecido en el artículo 1 de la ley 856 del 21 diciembre de 2003.Para el caso de este contrato, en el año 2011 el Concesionario pagó de manera anticipada la totalidad de la contraprestación.3: Plan de Inversiones: está establecido en la cláusula séptima del contrato, que el plan de inversión será de USD $112.500 en valores corrientes. Obligaciones del CONCESIONARIO: se encuentran descritas en la cláusula décima quinta del contrato. Multas y sanciones: están establecidas en la cláusula décima octava del contrato. Penal pecuniaria: En la cláusula décima novena se establece que en el evento en que el INCO hoy ANI declare la caducidad o el incumplimiento del presente contrato se podrá imponer una penalidad pecuniaria del 10% del valor total de la contraprestación.</w:t>
          </w:r>
        </w:p>
        <w:p w14:paraId="455B7318" w14:textId="77777777" w:rsidR="003D5DB4" w:rsidRPr="000D0101" w:rsidRDefault="003D5DB4" w:rsidP="000A5389">
          <w:pPr>
            <w:spacing w:line="240" w:lineRule="auto"/>
            <w:rPr>
              <w:rFonts w:eastAsia="Times New Roman"/>
              <w:lang w:eastAsia="es-CO"/>
            </w:rPr>
          </w:pPr>
        </w:p>
        <w:p w14:paraId="605B2746" w14:textId="77777777" w:rsidR="003D5DB4" w:rsidRPr="000D0101" w:rsidRDefault="003D5DB4" w:rsidP="000A5389">
          <w:pPr>
            <w:spacing w:line="240" w:lineRule="auto"/>
            <w:rPr>
              <w:rFonts w:eastAsia="Times New Roman"/>
              <w:lang w:eastAsia="es-CO"/>
            </w:rPr>
          </w:pPr>
          <w:r w:rsidRPr="000D0101">
            <w:rPr>
              <w:rFonts w:eastAsia="Times New Roman"/>
              <w:lang w:eastAsia="es-CO"/>
            </w:rPr>
            <w:t>Términos de calendario: 1: Tarifas: Aprobadas según la metodología establecida por la Superintendencia General de Puertos hoy Superintendencia de Transporte.2: Contraprestación portuaria: la contraprestación se debe pagar de manera anual anticipada desde el mes de septiembre de cada año3: Plan de inversiones: Se estableció en la cláusula séptima del contrato ejecución de inversiones en el periodo de tiempo comprendido entre el año 2009 a 2025.4: Multas: Cláusula décima octava del contrato 009 de 2007.</w:t>
          </w:r>
        </w:p>
        <w:p w14:paraId="23FE942E" w14:textId="77777777" w:rsidR="003D5DB4" w:rsidRPr="000D0101" w:rsidRDefault="003D5DB4" w:rsidP="000A5389">
          <w:pPr>
            <w:spacing w:line="240" w:lineRule="auto"/>
            <w:rPr>
              <w:rFonts w:eastAsia="Times New Roman"/>
              <w:lang w:eastAsia="es-CO"/>
            </w:rPr>
          </w:pPr>
        </w:p>
        <w:p w14:paraId="788763D4" w14:textId="77777777" w:rsidR="003D5DB4" w:rsidRPr="000D0101" w:rsidRDefault="003D5DB4" w:rsidP="000A5389">
          <w:pPr>
            <w:spacing w:line="240" w:lineRule="auto"/>
            <w:rPr>
              <w:rFonts w:eastAsia="Times New Roman"/>
              <w:lang w:eastAsia="es-CO"/>
            </w:rPr>
          </w:pPr>
          <w:r w:rsidRPr="000D0101">
            <w:rPr>
              <w:rFonts w:eastAsia="Times New Roman"/>
              <w:lang w:eastAsia="es-CO"/>
            </w:rPr>
            <w:t>Términos de certeza de flujos de efectivo futuros: Se otorga a EL CONCESIONARIO el derecho de ocupar y utilizar en forma temporal y exclusiva la zona de uso público que incluye el sector de playa, terrenos de bajamar y las zonas marítimas accesorias a aquellas o éstos, a cambio de la contraprestación económica. Cláusula primera del otrosí 1 de 2009, numeral 8.1 Del valor a pagar por concepto de contraprestación por Zona de Uso público el 80% le corresponde a la Nación-(INVIAS-ANI) y el 20 % al municipio de San Andrés Islas (San Andrés, Providencia y Santa Catalina) y por Infraestructura el 100% a la Nación-(INVIAS-ANI).</w:t>
          </w:r>
        </w:p>
        <w:p w14:paraId="7D0DA1EA" w14:textId="77777777" w:rsidR="003D5DB4" w:rsidRPr="000D0101" w:rsidRDefault="003D5DB4" w:rsidP="000A5389">
          <w:pPr>
            <w:spacing w:line="240" w:lineRule="auto"/>
            <w:rPr>
              <w:rFonts w:eastAsia="Times New Roman"/>
              <w:lang w:eastAsia="es-CO"/>
            </w:rPr>
          </w:pPr>
        </w:p>
        <w:p w14:paraId="0F098F6A" w14:textId="77777777" w:rsidR="003D5DB4" w:rsidRPr="000D0101" w:rsidRDefault="003D5DB4" w:rsidP="000A5389">
          <w:pPr>
            <w:spacing w:line="240" w:lineRule="auto"/>
            <w:rPr>
              <w:rFonts w:eastAsia="Times New Roman"/>
              <w:lang w:eastAsia="es-CO"/>
            </w:rPr>
          </w:pPr>
          <w:r w:rsidRPr="000D0101">
            <w:rPr>
              <w:rFonts w:eastAsia="Times New Roman"/>
              <w:lang w:eastAsia="es-CO"/>
            </w:rPr>
            <w:t>Naturaleza y alcance del derecho a utilizar Activos y los aspectos pactados en torno a lo que se espera que el concesionario proporcione en relación con el Acuerdo de concesión</w:t>
          </w:r>
        </w:p>
        <w:p w14:paraId="7CCF7D4B" w14:textId="77777777" w:rsidR="003D5DB4" w:rsidRPr="000D0101" w:rsidRDefault="003D5DB4" w:rsidP="000A5389">
          <w:pPr>
            <w:spacing w:line="240" w:lineRule="auto"/>
            <w:rPr>
              <w:rFonts w:eastAsia="Times New Roman"/>
              <w:lang w:eastAsia="es-CO"/>
            </w:rPr>
          </w:pPr>
        </w:p>
        <w:p w14:paraId="3F069165" w14:textId="77777777" w:rsidR="003D5DB4" w:rsidRPr="000D0101" w:rsidRDefault="003D5DB4" w:rsidP="000A5389">
          <w:pPr>
            <w:spacing w:line="240" w:lineRule="auto"/>
            <w:rPr>
              <w:rFonts w:eastAsia="Times New Roman"/>
              <w:lang w:eastAsia="es-CO"/>
            </w:rPr>
          </w:pPr>
          <w:r w:rsidRPr="000D0101">
            <w:rPr>
              <w:rFonts w:eastAsia="Times New Roman"/>
              <w:lang w:eastAsia="es-CO"/>
            </w:rPr>
            <w:t>Naturaleza y alcance del derecho de uso de los Activos</w:t>
          </w:r>
        </w:p>
        <w:p w14:paraId="7A049FF0" w14:textId="77777777" w:rsidR="003D5DB4" w:rsidRPr="000D0101" w:rsidRDefault="003D5DB4" w:rsidP="000A5389">
          <w:pPr>
            <w:spacing w:line="240" w:lineRule="auto"/>
            <w:rPr>
              <w:rFonts w:eastAsia="Times New Roman"/>
              <w:lang w:eastAsia="es-CO"/>
            </w:rPr>
          </w:pPr>
        </w:p>
        <w:p w14:paraId="1E78A8A2" w14:textId="77777777" w:rsidR="003D5DB4" w:rsidRPr="000D0101" w:rsidRDefault="003D5DB4" w:rsidP="000A5389">
          <w:pPr>
            <w:spacing w:line="240" w:lineRule="auto"/>
            <w:rPr>
              <w:rFonts w:eastAsia="Times New Roman"/>
              <w:lang w:eastAsia="es-CO"/>
            </w:rPr>
          </w:pPr>
          <w:r w:rsidRPr="000D0101">
            <w:rPr>
              <w:rFonts w:eastAsia="Times New Roman"/>
              <w:lang w:eastAsia="es-CO"/>
            </w:rPr>
            <w:t>Descripción:</w:t>
          </w:r>
          <w:r w:rsidRPr="000D0101">
            <w:rPr>
              <w:rFonts w:eastAsia="Times New Roman"/>
              <w:lang w:eastAsia="es-CO"/>
            </w:rPr>
            <w:tab/>
            <w:t>las condiciones especiales de operación del puerto están establecidas en la cláusula quinta del contrato de concesión 009 de 2017.Área entregada en concesión: La descripción de la ubicación, linderos y extensión de los bienes de uso público (playas y terrenos de baja mar, zonas marítimas accesorias de maniobras) entregados en concesión están establecidos en la cláusula segunda contrato de concesión 009 de 2017.Infraestructura y equipos entregados en concesión: En la cláusula quinta del Contrato 009 de 2017, se describe que lo entregado en concesión fue: Infraestructura: Muelle marginal en forma de "L", construido con una plataforma principal en concreto que mide 83.5 metros de largo por 6 metros de ancho, este muelle está equipado con 5 Bitas de amarre, un sistema de cargue y descargue y 13 defensas de caucho. El muelle se complementa en el extremo oriental con otra plataforma secundaria, igualmente en concreto de 15 metros de largo por 10 de ancho por un muelle marginal. El área del muelle está conformada por un relleno soportado por un tablestacado metálico, sujeto en su parte superior por una viga de concreto tensionada desde el interior de la planta con unos muertos de anclaje. Cuenta con protección catódica con puntos de contacto a lo largo del tablestacado y con tres ánodos de sacrificio. Equipos: Sistemas de bombeo y líneas de conducción</w:t>
          </w:r>
        </w:p>
        <w:p w14:paraId="15EA1ECE" w14:textId="77777777" w:rsidR="003D5DB4" w:rsidRPr="000D0101" w:rsidRDefault="003D5DB4" w:rsidP="000A5389">
          <w:pPr>
            <w:spacing w:line="240" w:lineRule="auto"/>
            <w:rPr>
              <w:rFonts w:eastAsia="Times New Roman"/>
              <w:lang w:eastAsia="es-CO"/>
            </w:rPr>
          </w:pPr>
        </w:p>
        <w:p w14:paraId="51AC710B" w14:textId="77777777" w:rsidR="003D5DB4" w:rsidRPr="000D0101" w:rsidRDefault="003D5DB4" w:rsidP="000A5389">
          <w:pPr>
            <w:spacing w:line="240" w:lineRule="auto"/>
            <w:rPr>
              <w:rFonts w:eastAsia="Times New Roman"/>
              <w:lang w:eastAsia="es-CO"/>
            </w:rPr>
          </w:pPr>
          <w:r w:rsidRPr="000D0101">
            <w:rPr>
              <w:rFonts w:eastAsia="Times New Roman"/>
              <w:lang w:eastAsia="es-CO"/>
            </w:rPr>
            <w:t>Observaciones: N/A</w:t>
          </w:r>
        </w:p>
        <w:p w14:paraId="5F799347" w14:textId="77777777" w:rsidR="003D5DB4" w:rsidRPr="000D0101" w:rsidRDefault="003D5DB4" w:rsidP="000A5389">
          <w:pPr>
            <w:spacing w:line="240" w:lineRule="auto"/>
            <w:rPr>
              <w:rFonts w:eastAsia="Times New Roman"/>
              <w:lang w:eastAsia="es-CO"/>
            </w:rPr>
          </w:pPr>
        </w:p>
        <w:p w14:paraId="5613F44A" w14:textId="77777777" w:rsidR="003D5DB4" w:rsidRPr="000D0101" w:rsidRDefault="003D5DB4" w:rsidP="000A5389">
          <w:pPr>
            <w:spacing w:line="240" w:lineRule="auto"/>
            <w:rPr>
              <w:rFonts w:eastAsia="Times New Roman"/>
              <w:lang w:eastAsia="es-CO"/>
            </w:rPr>
          </w:pPr>
          <w:r w:rsidRPr="000D0101">
            <w:rPr>
              <w:rFonts w:eastAsia="Times New Roman"/>
              <w:lang w:eastAsia="es-CO"/>
            </w:rPr>
            <w:t>Retribución al concesionario</w:t>
          </w:r>
        </w:p>
        <w:p w14:paraId="568FB17E" w14:textId="77777777" w:rsidR="003D5DB4" w:rsidRPr="000D0101" w:rsidRDefault="003D5DB4" w:rsidP="000A5389">
          <w:pPr>
            <w:spacing w:line="240" w:lineRule="auto"/>
            <w:rPr>
              <w:rFonts w:eastAsia="Times New Roman"/>
              <w:lang w:eastAsia="es-CO"/>
            </w:rPr>
          </w:pPr>
        </w:p>
        <w:p w14:paraId="61991D37" w14:textId="77777777" w:rsidR="003D5DB4" w:rsidRPr="000D0101" w:rsidRDefault="003D5DB4" w:rsidP="000A5389">
          <w:pPr>
            <w:spacing w:line="240" w:lineRule="auto"/>
            <w:rPr>
              <w:rFonts w:eastAsia="Times New Roman"/>
              <w:lang w:eastAsia="es-CO"/>
            </w:rPr>
          </w:pPr>
          <w:r w:rsidRPr="000D0101">
            <w:rPr>
              <w:rFonts w:eastAsia="Times New Roman"/>
              <w:lang w:eastAsia="es-CO"/>
            </w:rPr>
            <w:t>Descripción:</w:t>
          </w:r>
          <w:r w:rsidRPr="000D0101">
            <w:rPr>
              <w:rFonts w:eastAsia="Times New Roman"/>
              <w:lang w:eastAsia="es-CO"/>
            </w:rPr>
            <w:tab/>
            <w:t>Cláusula primera Contrato 009 de 2007: Se otorga a EL CONCESIONARIO el derecho de ocupar y utilizar en forma temporal y exclusiva la zona de uso público que incluye el sector de playa, terrenos de bajamar y las zonas marítimas accesorias a aquellas o éstos, a cambio de la contraprestación económica.</w:t>
          </w:r>
        </w:p>
        <w:p w14:paraId="4A02BD24" w14:textId="77777777" w:rsidR="003D5DB4" w:rsidRPr="000D0101" w:rsidRDefault="003D5DB4" w:rsidP="000A5389">
          <w:pPr>
            <w:spacing w:line="240" w:lineRule="auto"/>
            <w:rPr>
              <w:rFonts w:eastAsia="Times New Roman"/>
              <w:lang w:eastAsia="es-CO"/>
            </w:rPr>
          </w:pPr>
        </w:p>
        <w:p w14:paraId="661EF913" w14:textId="77777777" w:rsidR="003D5DB4" w:rsidRPr="000D0101" w:rsidRDefault="003D5DB4" w:rsidP="000A5389">
          <w:pPr>
            <w:spacing w:line="240" w:lineRule="auto"/>
            <w:rPr>
              <w:rFonts w:eastAsia="Times New Roman"/>
              <w:lang w:eastAsia="es-CO"/>
            </w:rPr>
          </w:pPr>
          <w:r w:rsidRPr="000D0101">
            <w:rPr>
              <w:rFonts w:eastAsia="Times New Roman"/>
              <w:lang w:eastAsia="es-CO"/>
            </w:rPr>
            <w:t>Tasa de retribución:</w:t>
          </w:r>
          <w:r w:rsidRPr="000D0101">
            <w:rPr>
              <w:rFonts w:eastAsia="Times New Roman"/>
              <w:lang w:eastAsia="es-CO"/>
            </w:rPr>
            <w:tab/>
            <w:t>N/A</w:t>
          </w:r>
        </w:p>
        <w:p w14:paraId="4D46366D" w14:textId="77777777" w:rsidR="003D5DB4" w:rsidRPr="000D0101" w:rsidRDefault="003D5DB4" w:rsidP="000A5389">
          <w:pPr>
            <w:spacing w:line="240" w:lineRule="auto"/>
            <w:rPr>
              <w:rFonts w:eastAsia="Times New Roman"/>
              <w:lang w:eastAsia="es-CO"/>
            </w:rPr>
          </w:pPr>
        </w:p>
        <w:p w14:paraId="19A2DC5A" w14:textId="77777777" w:rsidR="003D5DB4" w:rsidRPr="000D0101" w:rsidRDefault="003D5DB4" w:rsidP="000A5389">
          <w:pPr>
            <w:spacing w:line="240" w:lineRule="auto"/>
            <w:rPr>
              <w:rFonts w:eastAsia="Times New Roman"/>
              <w:lang w:eastAsia="es-CO"/>
            </w:rPr>
          </w:pPr>
          <w:r w:rsidRPr="000D0101">
            <w:rPr>
              <w:rFonts w:eastAsia="Times New Roman"/>
              <w:lang w:eastAsia="es-CO"/>
            </w:rPr>
            <w:t>Derechos a recibir Activos especificados al final del acuerdo de concesión</w:t>
          </w:r>
        </w:p>
        <w:p w14:paraId="17EC19A0" w14:textId="77777777" w:rsidR="003D5DB4" w:rsidRPr="000D0101" w:rsidRDefault="003D5DB4" w:rsidP="000A5389">
          <w:pPr>
            <w:spacing w:line="240" w:lineRule="auto"/>
            <w:rPr>
              <w:rFonts w:eastAsia="Times New Roman"/>
              <w:lang w:eastAsia="es-CO"/>
            </w:rPr>
          </w:pPr>
        </w:p>
        <w:p w14:paraId="579FDA0D" w14:textId="77777777" w:rsidR="003D5DB4" w:rsidRPr="000D0101" w:rsidRDefault="003D5DB4" w:rsidP="000A5389">
          <w:pPr>
            <w:spacing w:line="240" w:lineRule="auto"/>
            <w:rPr>
              <w:rFonts w:eastAsia="Times New Roman"/>
              <w:lang w:eastAsia="es-CO"/>
            </w:rPr>
          </w:pPr>
          <w:r w:rsidRPr="000D0101">
            <w:rPr>
              <w:rFonts w:eastAsia="Times New Roman"/>
              <w:lang w:eastAsia="es-CO"/>
            </w:rPr>
            <w:t>Descripción:</w:t>
          </w:r>
          <w:r w:rsidRPr="000D0101">
            <w:rPr>
              <w:rFonts w:eastAsia="Times New Roman"/>
              <w:lang w:eastAsia="es-CO"/>
            </w:rPr>
            <w:tab/>
            <w:t>De acuerdo con el Artículo 8º de la Ley 1 de 1991 en el modo portuario el concesionario no tiene derechos finales sobre activos los debe revertir a la Nación al final del contrato de concesión.</w:t>
          </w:r>
        </w:p>
        <w:p w14:paraId="2A7D1724" w14:textId="77777777" w:rsidR="003D5DB4" w:rsidRPr="000D0101" w:rsidRDefault="003D5DB4" w:rsidP="000A5389">
          <w:pPr>
            <w:spacing w:line="240" w:lineRule="auto"/>
            <w:rPr>
              <w:rFonts w:eastAsia="Times New Roman"/>
              <w:lang w:eastAsia="es-CO"/>
            </w:rPr>
          </w:pPr>
        </w:p>
        <w:p w14:paraId="1BED8191" w14:textId="77777777" w:rsidR="003D5DB4" w:rsidRPr="000D0101" w:rsidRDefault="003D5DB4" w:rsidP="000A5389">
          <w:pPr>
            <w:spacing w:line="240" w:lineRule="auto"/>
            <w:rPr>
              <w:rFonts w:eastAsia="Times New Roman"/>
              <w:lang w:eastAsia="es-CO"/>
            </w:rPr>
          </w:pPr>
          <w:r w:rsidRPr="000D0101">
            <w:rPr>
              <w:rFonts w:eastAsia="Times New Roman"/>
              <w:lang w:eastAsia="es-CO"/>
            </w:rPr>
            <w:t xml:space="preserve">Observaciones: Reversión: De acuerdo con lo establecido en la cláusula décimo segunda del contrato de concesión, la zona de uso público y todas las construcciones y equipos entregadas en concesión se revertirán a la Nación en buenas condiciones de operación tecnológica, mantenimiento y de adecuada eficiencia al término de este contrato y de las prórrogas si la </w:t>
          </w:r>
          <w:r w:rsidRPr="000D0101">
            <w:rPr>
              <w:rFonts w:eastAsia="Times New Roman"/>
              <w:lang w:eastAsia="es-CO"/>
            </w:rPr>
            <w:lastRenderedPageBreak/>
            <w:t>hubiere. Igualmente procederá la reversión al ser declarado la caducidad o la terminación unilateral. Para tal fin, en el momento de la reversión el CONCESIONARIO elaborará un inventario de los bienes y los enviará para su revisión y aprobación. La ANI es la entidad concedente pero la titularidad de los activos al final de la concesión es del Instituto Nacional de Vías INVIAS.</w:t>
          </w:r>
        </w:p>
        <w:p w14:paraId="01906814" w14:textId="77777777" w:rsidR="003D5DB4" w:rsidRPr="000D0101" w:rsidRDefault="003D5DB4" w:rsidP="000A5389">
          <w:pPr>
            <w:spacing w:line="240" w:lineRule="auto"/>
            <w:rPr>
              <w:rFonts w:eastAsia="Times New Roman"/>
              <w:lang w:eastAsia="es-CO"/>
            </w:rPr>
          </w:pPr>
        </w:p>
        <w:p w14:paraId="1BF576EC" w14:textId="77777777" w:rsidR="003D5DB4" w:rsidRPr="000D0101" w:rsidRDefault="003D5DB4" w:rsidP="000A5389">
          <w:pPr>
            <w:spacing w:line="240" w:lineRule="auto"/>
            <w:rPr>
              <w:rFonts w:eastAsia="Times New Roman"/>
              <w:lang w:eastAsia="es-CO"/>
            </w:rPr>
          </w:pPr>
          <w:r w:rsidRPr="000D0101">
            <w:rPr>
              <w:rFonts w:eastAsia="Times New Roman"/>
              <w:lang w:eastAsia="es-CO"/>
            </w:rPr>
            <w:t>Las alternativas de renovación y cese del acuerdo</w:t>
          </w:r>
        </w:p>
        <w:p w14:paraId="32E0034B" w14:textId="77777777" w:rsidR="003D5DB4" w:rsidRPr="000D0101" w:rsidRDefault="003D5DB4" w:rsidP="000A5389">
          <w:pPr>
            <w:spacing w:line="240" w:lineRule="auto"/>
            <w:rPr>
              <w:rFonts w:eastAsia="Times New Roman"/>
              <w:lang w:eastAsia="es-CO"/>
            </w:rPr>
          </w:pPr>
        </w:p>
        <w:p w14:paraId="56EB2521" w14:textId="77777777" w:rsidR="003D5DB4" w:rsidRPr="000D0101" w:rsidRDefault="003D5DB4" w:rsidP="000A5389">
          <w:pPr>
            <w:spacing w:line="240" w:lineRule="auto"/>
            <w:rPr>
              <w:rFonts w:eastAsia="Times New Roman"/>
              <w:lang w:eastAsia="es-CO"/>
            </w:rPr>
          </w:pPr>
          <w:r w:rsidRPr="000D0101">
            <w:rPr>
              <w:rFonts w:eastAsia="Times New Roman"/>
              <w:lang w:eastAsia="es-CO"/>
            </w:rPr>
            <w:t>Descripción:</w:t>
          </w:r>
          <w:r w:rsidRPr="000D0101">
            <w:rPr>
              <w:rFonts w:eastAsia="Times New Roman"/>
              <w:lang w:eastAsia="es-CO"/>
            </w:rPr>
            <w:tab/>
            <w:t>La alternativa de renovación se encuentra presente en la Cláusula Décima Primera del contrato de concesión. El cede del acuerdo en encuentra en la Cláusula Décima Segunda del contrato de concesión.</w:t>
          </w:r>
        </w:p>
        <w:p w14:paraId="0C0D8C41" w14:textId="77777777" w:rsidR="003D5DB4" w:rsidRPr="000D0101" w:rsidRDefault="003D5DB4" w:rsidP="000A5389">
          <w:pPr>
            <w:spacing w:line="240" w:lineRule="auto"/>
            <w:rPr>
              <w:rFonts w:eastAsia="Times New Roman"/>
              <w:lang w:eastAsia="es-CO"/>
            </w:rPr>
          </w:pPr>
          <w:r w:rsidRPr="000D0101">
            <w:rPr>
              <w:rFonts w:eastAsia="Times New Roman"/>
              <w:lang w:eastAsia="es-CO"/>
            </w:rPr>
            <w:t>Observaciones: No se tiene ninguna observación</w:t>
          </w:r>
        </w:p>
        <w:p w14:paraId="7ECA51BB" w14:textId="77777777" w:rsidR="003D5DB4" w:rsidRPr="000D0101" w:rsidRDefault="003D5DB4" w:rsidP="000A5389">
          <w:pPr>
            <w:spacing w:line="240" w:lineRule="auto"/>
            <w:rPr>
              <w:rFonts w:eastAsia="Times New Roman"/>
              <w:lang w:eastAsia="es-CO"/>
            </w:rPr>
          </w:pPr>
        </w:p>
        <w:p w14:paraId="32AE7503" w14:textId="77777777" w:rsidR="003D5DB4" w:rsidRPr="000D0101" w:rsidRDefault="003D5DB4" w:rsidP="000A5389">
          <w:pPr>
            <w:spacing w:line="240" w:lineRule="auto"/>
            <w:rPr>
              <w:rFonts w:eastAsia="Times New Roman"/>
              <w:lang w:eastAsia="es-CO"/>
            </w:rPr>
          </w:pPr>
          <w:r w:rsidRPr="000D0101">
            <w:rPr>
              <w:rFonts w:eastAsia="Times New Roman"/>
              <w:lang w:eastAsia="es-CO"/>
            </w:rPr>
            <w:t>Cambios en el acuerdo de concesión que se realicen durante el periodo fiscal</w:t>
          </w:r>
        </w:p>
        <w:p w14:paraId="69CBB427" w14:textId="77777777" w:rsidR="003D5DB4" w:rsidRPr="000D0101" w:rsidRDefault="003D5DB4" w:rsidP="000A5389">
          <w:pPr>
            <w:spacing w:line="240" w:lineRule="auto"/>
            <w:rPr>
              <w:rFonts w:eastAsia="Times New Roman"/>
              <w:lang w:eastAsia="es-CO"/>
            </w:rPr>
          </w:pPr>
        </w:p>
        <w:p w14:paraId="46CB219F" w14:textId="77777777" w:rsidR="003D5DB4" w:rsidRPr="000D0101" w:rsidRDefault="003D5DB4" w:rsidP="000A5389">
          <w:pPr>
            <w:spacing w:line="240" w:lineRule="auto"/>
            <w:rPr>
              <w:rFonts w:eastAsia="Times New Roman"/>
              <w:lang w:eastAsia="es-CO"/>
            </w:rPr>
          </w:pPr>
          <w:r w:rsidRPr="000D0101">
            <w:rPr>
              <w:rFonts w:eastAsia="Times New Roman"/>
              <w:lang w:eastAsia="es-CO"/>
            </w:rPr>
            <w:t>Adiciones o modificaciones en tiempo</w:t>
          </w:r>
        </w:p>
        <w:p w14:paraId="79D5A85A" w14:textId="77777777" w:rsidR="003D5DB4" w:rsidRPr="000D0101" w:rsidRDefault="003D5DB4" w:rsidP="000A5389">
          <w:pPr>
            <w:spacing w:line="240" w:lineRule="auto"/>
            <w:rPr>
              <w:rFonts w:eastAsia="Times New Roman"/>
              <w:lang w:eastAsia="es-CO"/>
            </w:rPr>
          </w:pPr>
          <w:r w:rsidRPr="000D0101">
            <w:rPr>
              <w:rFonts w:eastAsia="Times New Roman"/>
              <w:lang w:eastAsia="es-CO"/>
            </w:rPr>
            <w:t>Fechas de las adiciones o modificaciones: N/A</w:t>
          </w:r>
        </w:p>
        <w:p w14:paraId="14A86B80" w14:textId="77777777" w:rsidR="003D5DB4" w:rsidRPr="000D0101" w:rsidRDefault="003D5DB4" w:rsidP="000A5389">
          <w:pPr>
            <w:spacing w:line="240" w:lineRule="auto"/>
            <w:rPr>
              <w:rFonts w:eastAsia="Times New Roman"/>
              <w:lang w:eastAsia="es-CO"/>
            </w:rPr>
          </w:pPr>
          <w:r w:rsidRPr="000D0101">
            <w:rPr>
              <w:rFonts w:eastAsia="Times New Roman"/>
              <w:lang w:eastAsia="es-CO"/>
            </w:rPr>
            <w:t>Nueva fecha de finalización estimada: N/A</w:t>
          </w:r>
        </w:p>
        <w:p w14:paraId="1C30C912" w14:textId="77777777" w:rsidR="003D5DB4" w:rsidRPr="000D0101" w:rsidRDefault="003D5DB4" w:rsidP="000A5389">
          <w:pPr>
            <w:spacing w:line="240" w:lineRule="auto"/>
            <w:rPr>
              <w:rFonts w:eastAsia="Times New Roman"/>
              <w:lang w:eastAsia="es-CO"/>
            </w:rPr>
          </w:pPr>
          <w:r w:rsidRPr="000D0101">
            <w:rPr>
              <w:rFonts w:eastAsia="Times New Roman"/>
              <w:lang w:eastAsia="es-CO"/>
            </w:rPr>
            <w:t>Observaciones: N/A</w:t>
          </w:r>
        </w:p>
        <w:p w14:paraId="169E7A87" w14:textId="77777777" w:rsidR="003D5DB4" w:rsidRPr="000D0101" w:rsidRDefault="003D5DB4" w:rsidP="000A5389">
          <w:pPr>
            <w:spacing w:line="240" w:lineRule="auto"/>
            <w:rPr>
              <w:rFonts w:eastAsia="Times New Roman"/>
              <w:lang w:eastAsia="es-CO"/>
            </w:rPr>
          </w:pPr>
        </w:p>
        <w:p w14:paraId="58CF4F5A" w14:textId="77777777" w:rsidR="003D5DB4" w:rsidRPr="000D0101" w:rsidRDefault="003D5DB4" w:rsidP="000A5389">
          <w:pPr>
            <w:spacing w:line="240" w:lineRule="auto"/>
            <w:rPr>
              <w:rFonts w:eastAsia="Times New Roman"/>
              <w:lang w:eastAsia="es-CO"/>
            </w:rPr>
          </w:pPr>
          <w:r w:rsidRPr="000D0101">
            <w:rPr>
              <w:rFonts w:eastAsia="Times New Roman"/>
              <w:lang w:eastAsia="es-CO"/>
            </w:rPr>
            <w:t>Adiciones o modificaciones en valor</w:t>
          </w:r>
        </w:p>
        <w:p w14:paraId="24242662" w14:textId="77777777" w:rsidR="003D5DB4" w:rsidRPr="000D0101" w:rsidRDefault="003D5DB4" w:rsidP="000A5389">
          <w:pPr>
            <w:spacing w:line="240" w:lineRule="auto"/>
            <w:rPr>
              <w:rFonts w:eastAsia="Times New Roman"/>
              <w:lang w:eastAsia="es-CO"/>
            </w:rPr>
          </w:pPr>
          <w:r w:rsidRPr="000D0101">
            <w:rPr>
              <w:rFonts w:eastAsia="Times New Roman"/>
              <w:lang w:eastAsia="es-CO"/>
            </w:rPr>
            <w:t>Valor de la adición o modificación: N/A</w:t>
          </w:r>
        </w:p>
        <w:p w14:paraId="19E14CA7" w14:textId="77777777" w:rsidR="003D5DB4" w:rsidRPr="000D0101" w:rsidRDefault="003D5DB4" w:rsidP="000A5389">
          <w:pPr>
            <w:spacing w:line="240" w:lineRule="auto"/>
            <w:rPr>
              <w:rFonts w:eastAsia="Times New Roman"/>
              <w:lang w:eastAsia="es-CO"/>
            </w:rPr>
          </w:pPr>
          <w:r w:rsidRPr="000D0101">
            <w:rPr>
              <w:rFonts w:eastAsia="Times New Roman"/>
              <w:lang w:eastAsia="es-CO"/>
            </w:rPr>
            <w:t>Nuevo valor del acuerdo: N/A</w:t>
          </w:r>
        </w:p>
        <w:p w14:paraId="73466E58" w14:textId="77777777" w:rsidR="003D5DB4" w:rsidRPr="000D0101" w:rsidRDefault="003D5DB4" w:rsidP="000A5389">
          <w:pPr>
            <w:spacing w:line="240" w:lineRule="auto"/>
            <w:rPr>
              <w:rFonts w:eastAsia="Times New Roman"/>
              <w:lang w:eastAsia="es-CO"/>
            </w:rPr>
          </w:pPr>
          <w:r w:rsidRPr="000D0101">
            <w:rPr>
              <w:rFonts w:eastAsia="Times New Roman"/>
              <w:lang w:eastAsia="es-CO"/>
            </w:rPr>
            <w:t>Observaciones: N/A</w:t>
          </w:r>
        </w:p>
        <w:p w14:paraId="70041157" w14:textId="77777777" w:rsidR="003D5DB4" w:rsidRDefault="003D5DB4" w:rsidP="000A5389">
          <w:pPr>
            <w:spacing w:line="240" w:lineRule="auto"/>
            <w:rPr>
              <w:rFonts w:eastAsia="Times New Roman"/>
              <w:lang w:eastAsia="es-CO"/>
            </w:rPr>
          </w:pPr>
        </w:p>
        <w:p w14:paraId="11189BC5" w14:textId="77777777" w:rsidR="00915852" w:rsidRPr="000D0101" w:rsidRDefault="00915852" w:rsidP="000A5389">
          <w:pPr>
            <w:spacing w:line="240" w:lineRule="auto"/>
            <w:rPr>
              <w:rFonts w:eastAsia="Times New Roman"/>
              <w:lang w:eastAsia="es-CO"/>
            </w:rPr>
          </w:pPr>
        </w:p>
        <w:p w14:paraId="671A1BAF" w14:textId="77777777" w:rsidR="003D5DB4" w:rsidRPr="00915852" w:rsidRDefault="003D5DB4" w:rsidP="000A5389">
          <w:pPr>
            <w:spacing w:line="240" w:lineRule="auto"/>
            <w:rPr>
              <w:rFonts w:eastAsia="Times New Roman"/>
              <w:i/>
              <w:iCs/>
              <w:lang w:eastAsia="es-CO"/>
            </w:rPr>
          </w:pPr>
          <w:r w:rsidRPr="00915852">
            <w:rPr>
              <w:rFonts w:eastAsia="Times New Roman"/>
              <w:i/>
              <w:iCs/>
              <w:lang w:eastAsia="es-CO"/>
            </w:rPr>
            <w:t xml:space="preserve">OILTANKING COLOMBIA S.A. </w:t>
          </w:r>
        </w:p>
        <w:p w14:paraId="6FA4E3C2" w14:textId="77777777" w:rsidR="003D5DB4" w:rsidRPr="000D0101" w:rsidRDefault="003D5DB4" w:rsidP="000A5389">
          <w:pPr>
            <w:spacing w:line="240" w:lineRule="auto"/>
          </w:pPr>
        </w:p>
        <w:p w14:paraId="23C28BDB" w14:textId="77777777" w:rsidR="003D5DB4" w:rsidRPr="000D0101" w:rsidRDefault="003D5DB4" w:rsidP="000A5389">
          <w:pPr>
            <w:spacing w:line="240" w:lineRule="auto"/>
          </w:pPr>
          <w:r w:rsidRPr="000D0101">
            <w:t>Descripción del Acuerdo</w:t>
          </w:r>
        </w:p>
        <w:p w14:paraId="797C0621" w14:textId="77777777" w:rsidR="003D5DB4" w:rsidRPr="000D0101" w:rsidRDefault="003D5DB4" w:rsidP="000A5389">
          <w:pPr>
            <w:spacing w:line="240" w:lineRule="auto"/>
          </w:pPr>
        </w:p>
        <w:p w14:paraId="26041B52" w14:textId="77777777" w:rsidR="003D5DB4" w:rsidRPr="000D0101" w:rsidRDefault="003D5DB4" w:rsidP="000A5389">
          <w:pPr>
            <w:spacing w:line="240" w:lineRule="auto"/>
          </w:pPr>
          <w:r w:rsidRPr="000D0101">
            <w:t>Número del Acuerdo de concesión: 021 de 1997</w:t>
          </w:r>
        </w:p>
        <w:p w14:paraId="0698F208" w14:textId="77777777" w:rsidR="003D5DB4" w:rsidRPr="000D0101" w:rsidRDefault="003D5DB4" w:rsidP="000A5389">
          <w:pPr>
            <w:spacing w:line="240" w:lineRule="auto"/>
          </w:pPr>
        </w:p>
        <w:p w14:paraId="3489DD32" w14:textId="77777777" w:rsidR="003D5DB4" w:rsidRPr="000D0101" w:rsidRDefault="003D5DB4" w:rsidP="000A5389">
          <w:pPr>
            <w:spacing w:line="240" w:lineRule="auto"/>
          </w:pPr>
          <w:r w:rsidRPr="000D0101">
            <w:t>Objeto / Descripción: En virtud del Contrato de concesión y sus modificaciones, se permite al CONCESIONARIO una concesión portuaria cuyos terrenos están localizados en un sector de playa en la Bahía de Cartagena, Departamento del Bolívar, kilómetro catorce (14) de la zona industrial de Mamonal. En desarrollo de la concesión portuaria se otorga al CONCESIONARIO CESIONARIO el derecho a: (a) ocupar y utilizar en forma temporal y exclusiva una línea de playa y zona de bajamar, (b) operar sus instalaciones en un puerto de servicio público, para el recibo y despacho de productos químicos y a granel, conforme lo establece la Cláusula Segunda del Otrosí No. 1 del Contrato.</w:t>
          </w:r>
        </w:p>
        <w:p w14:paraId="27F79B29" w14:textId="77777777" w:rsidR="003D5DB4" w:rsidRPr="000D0101" w:rsidRDefault="003D5DB4" w:rsidP="000A5389">
          <w:pPr>
            <w:spacing w:line="240" w:lineRule="auto"/>
          </w:pPr>
        </w:p>
        <w:p w14:paraId="61083F1F" w14:textId="77777777" w:rsidR="003D5DB4" w:rsidRPr="000D0101" w:rsidRDefault="003D5DB4" w:rsidP="000A5389">
          <w:pPr>
            <w:spacing w:line="240" w:lineRule="auto"/>
          </w:pPr>
          <w:r w:rsidRPr="000D0101">
            <w:t>Valor inicial:</w:t>
          </w:r>
          <w:r w:rsidRPr="000D0101">
            <w:tab/>
            <w:t>USD 705.449 Cláusula Décima Tercera / Contrato No. 021 de 1997. Otrosí No.5 de 2021 Cláusula USD 1.283.241</w:t>
          </w:r>
        </w:p>
        <w:p w14:paraId="146A7031" w14:textId="77777777" w:rsidR="003D5DB4" w:rsidRPr="000D0101" w:rsidRDefault="003D5DB4" w:rsidP="000A5389">
          <w:pPr>
            <w:spacing w:line="240" w:lineRule="auto"/>
          </w:pPr>
          <w:r w:rsidRPr="000D0101">
            <w:t>Fecha de inicio: 30/12/1997</w:t>
          </w:r>
        </w:p>
        <w:p w14:paraId="525EB8CE" w14:textId="77777777" w:rsidR="003D5DB4" w:rsidRPr="000D0101" w:rsidRDefault="003D5DB4" w:rsidP="000A5389">
          <w:pPr>
            <w:spacing w:line="240" w:lineRule="auto"/>
          </w:pPr>
          <w:r w:rsidRPr="000D0101">
            <w:lastRenderedPageBreak/>
            <w:t>Fecha de finalización estimada: 29/12/2037</w:t>
          </w:r>
        </w:p>
        <w:p w14:paraId="16E488BC" w14:textId="77777777" w:rsidR="003D5DB4" w:rsidRPr="000D0101" w:rsidRDefault="003D5DB4" w:rsidP="000A5389">
          <w:pPr>
            <w:spacing w:line="240" w:lineRule="auto"/>
          </w:pPr>
          <w:r w:rsidRPr="000D0101">
            <w:t>Tipo ID: NIT</w:t>
          </w:r>
        </w:p>
        <w:p w14:paraId="585E5C3A" w14:textId="77777777" w:rsidR="003D5DB4" w:rsidRPr="000D0101" w:rsidRDefault="003D5DB4" w:rsidP="000A5389">
          <w:pPr>
            <w:spacing w:line="240" w:lineRule="auto"/>
          </w:pPr>
          <w:r w:rsidRPr="000D0101">
            <w:t>Número ID: 900.257.792-3</w:t>
          </w:r>
        </w:p>
        <w:p w14:paraId="3705054C" w14:textId="77777777" w:rsidR="003D5DB4" w:rsidRPr="000D0101" w:rsidRDefault="003D5DB4" w:rsidP="000A5389">
          <w:pPr>
            <w:spacing w:line="240" w:lineRule="auto"/>
          </w:pPr>
          <w:r w:rsidRPr="000D0101">
            <w:t>Razón social del concesionario: Oiltanking Colombia SA</w:t>
          </w:r>
        </w:p>
        <w:p w14:paraId="56A9017C" w14:textId="77777777" w:rsidR="003D5DB4" w:rsidRPr="000D0101" w:rsidRDefault="003D5DB4" w:rsidP="000A5389">
          <w:pPr>
            <w:spacing w:line="240" w:lineRule="auto"/>
          </w:pPr>
          <w:r w:rsidRPr="000D0101">
            <w:t>Nombre del proyecto: Oiltanking Colombia SA</w:t>
          </w:r>
        </w:p>
        <w:p w14:paraId="2CAAD9D3" w14:textId="77777777" w:rsidR="003D5DB4" w:rsidRPr="000D0101" w:rsidRDefault="003D5DB4" w:rsidP="000A5389">
          <w:pPr>
            <w:spacing w:line="240" w:lineRule="auto"/>
          </w:pPr>
        </w:p>
        <w:p w14:paraId="31733D15" w14:textId="77777777" w:rsidR="003D5DB4" w:rsidRPr="000D0101" w:rsidRDefault="003D5DB4" w:rsidP="000A5389">
          <w:pPr>
            <w:spacing w:line="240" w:lineRule="auto"/>
          </w:pPr>
          <w:r w:rsidRPr="000D0101">
            <w:t>Términos significativos del Acuerdo que puedan afectar su valor, el calendario y la certeza de los flujos de efectivo futuros</w:t>
          </w:r>
        </w:p>
        <w:p w14:paraId="2CFB28C5" w14:textId="77777777" w:rsidR="003D5DB4" w:rsidRPr="000D0101" w:rsidRDefault="003D5DB4" w:rsidP="000A5389">
          <w:pPr>
            <w:spacing w:line="240" w:lineRule="auto"/>
          </w:pPr>
        </w:p>
        <w:p w14:paraId="3A57D4C0" w14:textId="77777777" w:rsidR="003D5DB4" w:rsidRPr="000D0101" w:rsidRDefault="003D5DB4" w:rsidP="000A5389">
          <w:pPr>
            <w:spacing w:line="240" w:lineRule="auto"/>
          </w:pPr>
          <w:r w:rsidRPr="000D0101">
            <w:t>Términos de valor: Tarifas: Al ser el terminal marítimo de servicio público la Ley 1ª de 1991 establece: Las sociedades portuarias que operan puertos de servicio público las tarifas requieren ser aprobadas según la metodología establecida por la Superintendencia General de Puertos hoy Superintendencia de Transporte. Contraprestación portuaria: De acuerdo con el último documento contractual vigente la metodología de contraprestación vigente es CONPES 3744 de 2013 (Componentes Fijo y Variable). A febrero de 2022 el CONCESIONARIO ya pagó mediante anticipo.  El valor correspondiente a la contraprestación por zona de uso público resultará de la diferencia entre el valor de la liquidación total y el valor de la infraestructura. Y el recaudo se realizará de conformidad con la Ley 856 de 2003, es decir, ZUP el 80% le corresponde a la Nación Instituto Nacional de Vías (INVIAS) y el 20% restante al Municipio de Cartagena; e INFRAESTRUCTURA en un 100% a la Nación - Instituto Nacional de Vías (INVIAS).Plan de Inversiones: Está establecido en la Cláusula tercera del Otrosí No 5 de 2022 por USD 6.444.289Obligaciones del Concesionario: Se encuentran descritas en la Cláusula Décima Cuarta del Contrato de Concesión y clausula sexta del Otrosí No.5 de 2022.Multas y sanciones: Están establecidas en el numeral Décimo Tercero del Otrosí No. 2 de 2012.y clausula séptima del Otrosí No 05 de 2021.Penal pecuniario: En la Cláusula Décima Octava del Contrato, se establece que en el evento en que LA SUPERINTENDENCIA hoy ANI, declare la caducidad o el incumplimiento del presente contrato, EL CONCESIONARIO deberá pagar la suma del 10% del valor total de la contraprestación, como sanción pecuniaria.</w:t>
          </w:r>
        </w:p>
        <w:p w14:paraId="568992A7" w14:textId="77777777" w:rsidR="003D5DB4" w:rsidRPr="000D0101" w:rsidRDefault="003D5DB4" w:rsidP="000A5389">
          <w:pPr>
            <w:spacing w:line="240" w:lineRule="auto"/>
          </w:pPr>
        </w:p>
        <w:p w14:paraId="76CC06C0" w14:textId="77777777" w:rsidR="003D5DB4" w:rsidRPr="000D0101" w:rsidRDefault="003D5DB4" w:rsidP="000A5389">
          <w:pPr>
            <w:spacing w:line="240" w:lineRule="auto"/>
          </w:pPr>
          <w:r w:rsidRPr="000D0101">
            <w:t>Términos de calendario: Tarifas: Aprobadas según la metodología establecida por la Superintendencia General de Puertos hoy Superintendencia de Transporte. Contraprestación portuaria: Anexo 2 del Conpes 3744 de 2013 “(…) Antes de finalizar los meses de febrero cada concesionario deberá corregir su liquidación del año anterior según el movimiento de carga real y la indexación del valor de referencia por metro cuadrado, del avalúo de la infraestructura concesionada y de los cargos, así como realizar el pago anticipado del año en curso con base en lo proyectado en el FCL definitivo” Plan de inversiones: En la Cláusula Primera del Otrosí No. 5 de 2022 se establece que, el Concesionario ejecutará el nuevo plan de inversiones en los años 2021 a 2024.Multas y sanciones: Están establecidas en el numeral Décimo Tercero del Otrosí No. 2 de 2012, clausula séptima del Otrosí No 05 de 2022</w:t>
          </w:r>
        </w:p>
        <w:p w14:paraId="0C2BFE25" w14:textId="77777777" w:rsidR="003D5DB4" w:rsidRPr="000D0101" w:rsidRDefault="003D5DB4" w:rsidP="000A5389">
          <w:pPr>
            <w:spacing w:line="240" w:lineRule="auto"/>
          </w:pPr>
        </w:p>
        <w:p w14:paraId="0EC197CD" w14:textId="77777777" w:rsidR="003D5DB4" w:rsidRPr="000D0101" w:rsidRDefault="003D5DB4" w:rsidP="000A5389">
          <w:pPr>
            <w:spacing w:line="240" w:lineRule="auto"/>
          </w:pPr>
          <w:r w:rsidRPr="000D0101">
            <w:t xml:space="preserve">Términos de certeza de flujos de efectivo futuros: Una línea de playa y zona de bajamar, (b) operar sus instalaciones en un puerto de servicio público, para el recibo de productos químicos y a granel, a cambio de la contraprestación económica. En el numeral Décimo </w:t>
          </w:r>
          <w:r w:rsidRPr="000D0101">
            <w:lastRenderedPageBreak/>
            <w:t>Segundo del Otrosí No. 2 de 2012, se establece que de dicho pago corresponderá el ochenta por ciento (80%) a la NACIÓN- INVIAS y el veinte por ciento (20%) al Distrito de Cartagena, y por Infraestructura el 100% a la Nación-INVIAS.</w:t>
          </w:r>
        </w:p>
        <w:p w14:paraId="33E95C74" w14:textId="77777777" w:rsidR="003D5DB4" w:rsidRPr="000D0101" w:rsidRDefault="003D5DB4" w:rsidP="000A5389">
          <w:pPr>
            <w:spacing w:line="240" w:lineRule="auto"/>
          </w:pPr>
        </w:p>
        <w:p w14:paraId="1A8CA4D6" w14:textId="77777777" w:rsidR="003D5DB4" w:rsidRPr="000D0101" w:rsidRDefault="003D5DB4" w:rsidP="000A5389">
          <w:pPr>
            <w:spacing w:line="240" w:lineRule="auto"/>
          </w:pPr>
          <w:r w:rsidRPr="000D0101">
            <w:t>Naturaleza y alcance del derecho a utilizar Activos y los aspectos pactados en torno a lo que se espera que el concesionario proporcione en relación con el Acuerdo de concesión</w:t>
          </w:r>
        </w:p>
        <w:p w14:paraId="209C5F4A" w14:textId="77777777" w:rsidR="003D5DB4" w:rsidRPr="000D0101" w:rsidRDefault="003D5DB4" w:rsidP="000A5389">
          <w:pPr>
            <w:spacing w:line="240" w:lineRule="auto"/>
          </w:pPr>
        </w:p>
        <w:p w14:paraId="2A00608B" w14:textId="77777777" w:rsidR="003D5DB4" w:rsidRPr="000D0101" w:rsidRDefault="003D5DB4" w:rsidP="000A5389">
          <w:pPr>
            <w:spacing w:line="240" w:lineRule="auto"/>
          </w:pPr>
          <w:r w:rsidRPr="000D0101">
            <w:t>Naturaleza y alcance del derecho de uso de los Activos</w:t>
          </w:r>
        </w:p>
        <w:p w14:paraId="6B8472FC" w14:textId="77777777" w:rsidR="003D5DB4" w:rsidRPr="000D0101" w:rsidRDefault="003D5DB4" w:rsidP="000A5389">
          <w:pPr>
            <w:spacing w:line="240" w:lineRule="auto"/>
          </w:pPr>
        </w:p>
        <w:p w14:paraId="533C1A1E" w14:textId="77777777" w:rsidR="003D5DB4" w:rsidRPr="000D0101" w:rsidRDefault="003D5DB4" w:rsidP="000A5389">
          <w:pPr>
            <w:spacing w:line="240" w:lineRule="auto"/>
          </w:pPr>
          <w:r w:rsidRPr="000D0101">
            <w:t>Descripción:</w:t>
          </w:r>
          <w:r w:rsidRPr="000D0101">
            <w:tab/>
            <w:t>Descripción del proyecto, especificaciones técnicas, modalidades de operación: las condiciones especiales de operación del puerto están establecidas en la cláusula quinta del Contrato (Otrosí No.1). Área entregada en concesión: La descripción de la ubicación, linderos y extensión de los bienes de uso público (playas y terrenos de baja mar, zonas marítimas accesorias de maniobras) entregados en concesión están establecidos en la cláusula tercera del Contrato (Otrosí No. 1)Infraestructura y equipos entregados en concesión: En la cláusula tercera del Contrato (otrosí No.1), se describe que lo entregado en concesión fue: Infraestructura: Sistema de pilotes, pasarela de acceso (tráfico peatonal), plataforma de operaciones, construcciones de apoyo, una caseta de operaciones ubicada en la punta del muelle, una caseta de vigilancia construida en concreto, veintinueve (29) líneas de tuberías de 135 metros de largo, un lanzador de PIG en una de las líneas de 6 pulgadas destinada para el transporte de productos químicos, una estructura metálica de 6 metros de altura y 8.5 metros de ancho, nueve (9) postes de alumbrado ubicados a lo largo de la pasarela y en la plataforma central con sus respectivas lámparas, un embarcadero para lanchas menores y un canal de acceso en la zona de maniobra.</w:t>
          </w:r>
        </w:p>
        <w:p w14:paraId="43C2D261" w14:textId="77777777" w:rsidR="003D5DB4" w:rsidRPr="000D0101" w:rsidRDefault="003D5DB4" w:rsidP="000A5389">
          <w:pPr>
            <w:spacing w:line="240" w:lineRule="auto"/>
          </w:pPr>
        </w:p>
        <w:p w14:paraId="240DB925" w14:textId="77777777" w:rsidR="003D5DB4" w:rsidRPr="000D0101" w:rsidRDefault="003D5DB4" w:rsidP="000A5389">
          <w:pPr>
            <w:spacing w:line="240" w:lineRule="auto"/>
          </w:pPr>
          <w:r w:rsidRPr="000D0101">
            <w:t>Observaciones: N/A</w:t>
          </w:r>
        </w:p>
        <w:p w14:paraId="3D84751E" w14:textId="77777777" w:rsidR="003D5DB4" w:rsidRPr="000D0101" w:rsidRDefault="003D5DB4" w:rsidP="000A5389">
          <w:pPr>
            <w:spacing w:line="240" w:lineRule="auto"/>
          </w:pPr>
        </w:p>
        <w:p w14:paraId="1D8DCDFA" w14:textId="77777777" w:rsidR="003D5DB4" w:rsidRPr="000D0101" w:rsidRDefault="003D5DB4" w:rsidP="000A5389">
          <w:pPr>
            <w:spacing w:line="240" w:lineRule="auto"/>
          </w:pPr>
          <w:r w:rsidRPr="000D0101">
            <w:t>Retribución al concesionario</w:t>
          </w:r>
        </w:p>
        <w:p w14:paraId="6423ADA2" w14:textId="77777777" w:rsidR="003D5DB4" w:rsidRPr="000D0101" w:rsidRDefault="003D5DB4" w:rsidP="000A5389">
          <w:pPr>
            <w:spacing w:line="240" w:lineRule="auto"/>
          </w:pPr>
        </w:p>
        <w:p w14:paraId="47C91A6F" w14:textId="77777777" w:rsidR="003D5DB4" w:rsidRPr="000D0101" w:rsidRDefault="003D5DB4" w:rsidP="000A5389">
          <w:pPr>
            <w:spacing w:line="240" w:lineRule="auto"/>
          </w:pPr>
          <w:r w:rsidRPr="000D0101">
            <w:t>Descripción:</w:t>
          </w:r>
          <w:r w:rsidRPr="000D0101">
            <w:tab/>
            <w:t>Se otorga a EL CONCESIONARIO el derecho de ocupar y utilizar en forma temporal y exclusiva las playas, los terrenos de bajamar y zonas accesorias a aquellas o estos, descritos en la cláusula segunda del contrato principal, a cambio de la contraprestación económica.</w:t>
          </w:r>
        </w:p>
        <w:p w14:paraId="0907F476" w14:textId="77777777" w:rsidR="003D5DB4" w:rsidRPr="000D0101" w:rsidRDefault="003D5DB4" w:rsidP="000A5389">
          <w:pPr>
            <w:spacing w:line="240" w:lineRule="auto"/>
          </w:pPr>
        </w:p>
        <w:p w14:paraId="113A0812" w14:textId="77777777" w:rsidR="003D5DB4" w:rsidRPr="000D0101" w:rsidRDefault="003D5DB4" w:rsidP="000A5389">
          <w:pPr>
            <w:spacing w:line="240" w:lineRule="auto"/>
          </w:pPr>
          <w:r w:rsidRPr="000D0101">
            <w:t>Tasa de retribución:</w:t>
          </w:r>
          <w:r w:rsidRPr="000D0101">
            <w:tab/>
            <w:t>N/A</w:t>
          </w:r>
        </w:p>
        <w:p w14:paraId="7A544CAA" w14:textId="77777777" w:rsidR="003D5DB4" w:rsidRPr="000D0101" w:rsidRDefault="003D5DB4" w:rsidP="000A5389">
          <w:pPr>
            <w:spacing w:line="240" w:lineRule="auto"/>
          </w:pPr>
        </w:p>
        <w:p w14:paraId="0F0E0375" w14:textId="77777777" w:rsidR="003D5DB4" w:rsidRPr="000D0101" w:rsidRDefault="003D5DB4" w:rsidP="000A5389">
          <w:pPr>
            <w:spacing w:line="240" w:lineRule="auto"/>
          </w:pPr>
          <w:r w:rsidRPr="000D0101">
            <w:t>Derechos a recibir Activos especificados al final del acuerdo de concesión</w:t>
          </w:r>
        </w:p>
        <w:p w14:paraId="27A74FFC" w14:textId="77777777" w:rsidR="003D5DB4" w:rsidRPr="000D0101" w:rsidRDefault="003D5DB4" w:rsidP="000A5389">
          <w:pPr>
            <w:spacing w:line="240" w:lineRule="auto"/>
          </w:pPr>
        </w:p>
        <w:p w14:paraId="58B43E07" w14:textId="77777777" w:rsidR="003D5DB4" w:rsidRPr="000D0101" w:rsidRDefault="003D5DB4" w:rsidP="000A5389">
          <w:pPr>
            <w:spacing w:line="240" w:lineRule="auto"/>
          </w:pPr>
          <w:r w:rsidRPr="000D0101">
            <w:t>Descripción: De acuerdo con el Artículo 8º de la Ley 1 de 1991 en el modo portuario el concesionario no tiene derechos finales sobre activos los debe revertir a la Nación al final del contrato de concesión.</w:t>
          </w:r>
        </w:p>
        <w:p w14:paraId="15BC7753" w14:textId="77777777" w:rsidR="003D5DB4" w:rsidRPr="000D0101" w:rsidRDefault="003D5DB4" w:rsidP="000A5389">
          <w:pPr>
            <w:spacing w:line="240" w:lineRule="auto"/>
          </w:pPr>
        </w:p>
        <w:p w14:paraId="7A3A6A63" w14:textId="77777777" w:rsidR="003D5DB4" w:rsidRPr="000D0101" w:rsidRDefault="003D5DB4" w:rsidP="000A5389">
          <w:pPr>
            <w:spacing w:line="240" w:lineRule="auto"/>
          </w:pPr>
          <w:r w:rsidRPr="000D0101">
            <w:t xml:space="preserve">Observaciones: 2 de 2012, todas las zonas de uso público, las construcciones y los bienes que de conformidad con la ley se reputen inmuebles por destinación de las zonas de uso público </w:t>
          </w:r>
          <w:r w:rsidRPr="000D0101">
            <w:lastRenderedPageBreak/>
            <w:t>objeto de la concesión, serán cedidos gratuitamente a la Nación en buen estado de operación y mantenimiento al extinguirse el plazo de la concesión o al ser declarada la caducidad o terminada anticipadamente la concesión, teniendo en consideración el normal deterioro de los mismos a consecuencia de su operación, conforme a lo dispuesto en la normatividad aplicable. El acta de reversión contendrá la liquidación, el inventario de bienes objeto de reversión y las manifestaciones de paz y salvo del CONCESIONARIO CESIONADO y la Entidad CONCEDENTE. Así mismo, en el anexo G del Otrosí No.2, se relacionan todos los documentos y requisitos de la reversión. Para tal fin, en el momento de la reversión el CONCESIONARIO elaborará un inventario de los bienes y los enviará para su revisión y aprobación. La ANI es la entidad concedente pero la titularidad de los activos al final de la concesión es del Instituto Nacional de Vías INVIAS.</w:t>
          </w:r>
        </w:p>
        <w:p w14:paraId="45D3A731" w14:textId="77777777" w:rsidR="003D5DB4" w:rsidRPr="000D0101" w:rsidRDefault="003D5DB4" w:rsidP="000A5389">
          <w:pPr>
            <w:spacing w:line="240" w:lineRule="auto"/>
          </w:pPr>
          <w:r w:rsidRPr="000D0101">
            <w:t>Las alternativas de renovación y cese del acuerdo</w:t>
          </w:r>
        </w:p>
        <w:p w14:paraId="63C1EC73" w14:textId="77777777" w:rsidR="003D5DB4" w:rsidRPr="000D0101" w:rsidRDefault="003D5DB4" w:rsidP="000A5389">
          <w:pPr>
            <w:spacing w:line="240" w:lineRule="auto"/>
          </w:pPr>
        </w:p>
        <w:p w14:paraId="2198D5F7" w14:textId="77777777" w:rsidR="003D5DB4" w:rsidRPr="000D0101" w:rsidRDefault="003D5DB4" w:rsidP="000A5389">
          <w:pPr>
            <w:spacing w:line="240" w:lineRule="auto"/>
          </w:pPr>
          <w:r w:rsidRPr="000D0101">
            <w:t>Descripción:</w:t>
          </w:r>
          <w:r w:rsidRPr="000D0101">
            <w:tab/>
            <w:t>El contrato fue prorrogado y ya no tiene posibilidad de prorroga adicional. La Clausula Vigesimoquinta del contrato de concesión establece la terminación del contrato.</w:t>
          </w:r>
        </w:p>
        <w:p w14:paraId="7F552491" w14:textId="77777777" w:rsidR="003D5DB4" w:rsidRPr="000D0101" w:rsidRDefault="003D5DB4" w:rsidP="000A5389">
          <w:pPr>
            <w:spacing w:line="240" w:lineRule="auto"/>
          </w:pPr>
        </w:p>
        <w:p w14:paraId="0068C597" w14:textId="77777777" w:rsidR="003D5DB4" w:rsidRPr="000D0101" w:rsidRDefault="003D5DB4" w:rsidP="000A5389">
          <w:pPr>
            <w:spacing w:line="240" w:lineRule="auto"/>
          </w:pPr>
          <w:r w:rsidRPr="000D0101">
            <w:t>Observaciones: El contrato ya está prorrogado por 20 años</w:t>
          </w:r>
        </w:p>
        <w:p w14:paraId="4E70EF85" w14:textId="77777777" w:rsidR="003D5DB4" w:rsidRPr="000D0101" w:rsidRDefault="003D5DB4" w:rsidP="000A5389">
          <w:pPr>
            <w:spacing w:line="240" w:lineRule="auto"/>
          </w:pPr>
        </w:p>
        <w:p w14:paraId="5DA1ADF6" w14:textId="77777777" w:rsidR="003D5DB4" w:rsidRPr="000D0101" w:rsidRDefault="003D5DB4" w:rsidP="000A5389">
          <w:pPr>
            <w:spacing w:line="240" w:lineRule="auto"/>
          </w:pPr>
          <w:r w:rsidRPr="000D0101">
            <w:t>Cambios en el acuerdo de concesión que se realicen durante el periodo fiscal</w:t>
          </w:r>
        </w:p>
        <w:p w14:paraId="1E9BAD22" w14:textId="77777777" w:rsidR="003D5DB4" w:rsidRPr="000D0101" w:rsidRDefault="003D5DB4" w:rsidP="000A5389">
          <w:pPr>
            <w:spacing w:line="240" w:lineRule="auto"/>
          </w:pPr>
        </w:p>
        <w:p w14:paraId="554DA101" w14:textId="77777777" w:rsidR="003D5DB4" w:rsidRPr="000D0101" w:rsidRDefault="003D5DB4" w:rsidP="000A5389">
          <w:pPr>
            <w:spacing w:line="240" w:lineRule="auto"/>
          </w:pPr>
          <w:r w:rsidRPr="000D0101">
            <w:t>Adiciones o modificaciones en tiempo</w:t>
          </w:r>
        </w:p>
        <w:p w14:paraId="1E269149" w14:textId="77777777" w:rsidR="003D5DB4" w:rsidRPr="000D0101" w:rsidRDefault="003D5DB4" w:rsidP="000A5389">
          <w:pPr>
            <w:spacing w:line="240" w:lineRule="auto"/>
          </w:pPr>
          <w:r w:rsidRPr="000D0101">
            <w:t>Fechas de las adiciones o modificaciones:</w:t>
          </w:r>
          <w:r w:rsidRPr="000D0101">
            <w:tab/>
            <w:t>06/02/2012 - 06/01/2012</w:t>
          </w:r>
        </w:p>
        <w:p w14:paraId="48A062E7" w14:textId="77777777" w:rsidR="003D5DB4" w:rsidRPr="000D0101" w:rsidRDefault="003D5DB4" w:rsidP="000A5389">
          <w:pPr>
            <w:spacing w:line="240" w:lineRule="auto"/>
          </w:pPr>
          <w:r w:rsidRPr="000D0101">
            <w:t>Nueva fecha de finalización estimada: 29/12/2037</w:t>
          </w:r>
        </w:p>
        <w:p w14:paraId="4BFF1966" w14:textId="77777777" w:rsidR="003D5DB4" w:rsidRPr="000D0101" w:rsidRDefault="003D5DB4" w:rsidP="000A5389">
          <w:pPr>
            <w:spacing w:line="240" w:lineRule="auto"/>
          </w:pPr>
          <w:r w:rsidRPr="000D0101">
            <w:t>Observaciones: N/A</w:t>
          </w:r>
        </w:p>
        <w:p w14:paraId="147E43F6" w14:textId="77777777" w:rsidR="003D5DB4" w:rsidRPr="000D0101" w:rsidRDefault="003D5DB4" w:rsidP="000A5389">
          <w:pPr>
            <w:spacing w:line="240" w:lineRule="auto"/>
          </w:pPr>
          <w:r w:rsidRPr="000D0101">
            <w:t>Adiciones o modificaciones en valor</w:t>
          </w:r>
        </w:p>
        <w:p w14:paraId="4B01E90B" w14:textId="77777777" w:rsidR="003D5DB4" w:rsidRPr="000D0101" w:rsidRDefault="003D5DB4" w:rsidP="000A5389">
          <w:pPr>
            <w:spacing w:line="240" w:lineRule="auto"/>
          </w:pPr>
          <w:r w:rsidRPr="000D0101">
            <w:t>Valor de la adición o modificación: USD 1.283.241</w:t>
          </w:r>
        </w:p>
        <w:p w14:paraId="23561913" w14:textId="77777777" w:rsidR="003D5DB4" w:rsidRPr="000D0101" w:rsidRDefault="003D5DB4" w:rsidP="000A5389">
          <w:pPr>
            <w:spacing w:line="240" w:lineRule="auto"/>
          </w:pPr>
          <w:r w:rsidRPr="000D0101">
            <w:t>Nuevo valor del acuerdo: USD 1.283.241</w:t>
          </w:r>
        </w:p>
        <w:p w14:paraId="36248610" w14:textId="3E98D49E" w:rsidR="003D5DB4" w:rsidRPr="000D0101" w:rsidRDefault="003D5DB4" w:rsidP="000A5389">
          <w:pPr>
            <w:spacing w:line="240" w:lineRule="auto"/>
          </w:pPr>
          <w:r w:rsidRPr="000D0101">
            <w:t>Observaciones: N/A</w:t>
          </w:r>
        </w:p>
        <w:p w14:paraId="3237F3F2" w14:textId="77777777" w:rsidR="003D5DB4" w:rsidRPr="000D0101" w:rsidRDefault="003D5DB4" w:rsidP="000A5389">
          <w:pPr>
            <w:spacing w:line="240" w:lineRule="auto"/>
            <w:rPr>
              <w:rFonts w:eastAsia="Times New Roman"/>
              <w:lang w:eastAsia="es-CO"/>
            </w:rPr>
          </w:pPr>
        </w:p>
        <w:p w14:paraId="2796667A" w14:textId="77777777" w:rsidR="003D5DB4" w:rsidRPr="000D0101" w:rsidRDefault="003D5DB4" w:rsidP="000A5389">
          <w:pPr>
            <w:spacing w:line="240" w:lineRule="auto"/>
            <w:rPr>
              <w:rFonts w:eastAsia="Times New Roman"/>
              <w:lang w:eastAsia="es-CO"/>
            </w:rPr>
          </w:pPr>
        </w:p>
        <w:p w14:paraId="4FE62ECF" w14:textId="77777777" w:rsidR="003D5DB4" w:rsidRPr="00915852" w:rsidRDefault="003D5DB4" w:rsidP="000A5389">
          <w:pPr>
            <w:spacing w:line="240" w:lineRule="auto"/>
            <w:rPr>
              <w:rFonts w:eastAsia="Times New Roman"/>
              <w:i/>
              <w:iCs/>
              <w:lang w:eastAsia="es-CO"/>
            </w:rPr>
          </w:pPr>
          <w:r w:rsidRPr="00915852">
            <w:rPr>
              <w:rFonts w:eastAsia="Times New Roman"/>
              <w:i/>
              <w:iCs/>
              <w:lang w:eastAsia="es-CO"/>
            </w:rPr>
            <w:t>OLEODUCTO CENTRAL S.A. - OCENSA S.A.</w:t>
          </w:r>
        </w:p>
        <w:p w14:paraId="4C9EA8E5" w14:textId="77777777" w:rsidR="003D5DB4" w:rsidRPr="000D0101" w:rsidRDefault="003D5DB4" w:rsidP="000A5389">
          <w:pPr>
            <w:spacing w:line="240" w:lineRule="auto"/>
          </w:pPr>
        </w:p>
        <w:p w14:paraId="7DC23008" w14:textId="77777777" w:rsidR="003D5DB4" w:rsidRPr="000D0101" w:rsidRDefault="003D5DB4" w:rsidP="000A5389">
          <w:pPr>
            <w:spacing w:line="240" w:lineRule="auto"/>
          </w:pPr>
          <w:r w:rsidRPr="000D0101">
            <w:t>Descripción del Acuerdo</w:t>
          </w:r>
        </w:p>
        <w:p w14:paraId="1DB990C1" w14:textId="77777777" w:rsidR="003D5DB4" w:rsidRPr="000D0101" w:rsidRDefault="003D5DB4" w:rsidP="000A5389">
          <w:pPr>
            <w:spacing w:line="240" w:lineRule="auto"/>
          </w:pPr>
        </w:p>
        <w:p w14:paraId="72F2FAAD" w14:textId="77777777" w:rsidR="003D5DB4" w:rsidRPr="000D0101" w:rsidRDefault="003D5DB4" w:rsidP="000A5389">
          <w:pPr>
            <w:spacing w:line="240" w:lineRule="auto"/>
          </w:pPr>
          <w:r w:rsidRPr="000D0101">
            <w:t>Número del Acuerdo de concesión: 016 de 1996</w:t>
          </w:r>
        </w:p>
        <w:p w14:paraId="6E87B262" w14:textId="77777777" w:rsidR="003D5DB4" w:rsidRPr="000D0101" w:rsidRDefault="003D5DB4" w:rsidP="000A5389">
          <w:pPr>
            <w:spacing w:line="240" w:lineRule="auto"/>
          </w:pPr>
        </w:p>
        <w:p w14:paraId="66D35D66" w14:textId="77777777" w:rsidR="003D5DB4" w:rsidRPr="000D0101" w:rsidRDefault="003D5DB4" w:rsidP="000A5389">
          <w:pPr>
            <w:spacing w:line="240" w:lineRule="auto"/>
          </w:pPr>
          <w:r w:rsidRPr="000D0101">
            <w:t>Objeto / Descripción: La Superintendencia General de Puertos (hoy Agencia Nacional de Infraestructura) otorgó a Oleoducto Central S.A. (OCENSA) en calidad de concesionario, una concesión portuaria para la construcción y operación de instalaciones costa afuera de un nuevo terminal petrolero de Coveñas destinado al cargue de crudo de exportación y de servicio privado</w:t>
          </w:r>
        </w:p>
        <w:p w14:paraId="55B2FF60" w14:textId="77777777" w:rsidR="003D5DB4" w:rsidRPr="000D0101" w:rsidRDefault="003D5DB4" w:rsidP="000A5389">
          <w:pPr>
            <w:spacing w:line="240" w:lineRule="auto"/>
          </w:pPr>
        </w:p>
        <w:p w14:paraId="4EFBE03D" w14:textId="77777777" w:rsidR="003D5DB4" w:rsidRPr="000D0101" w:rsidRDefault="003D5DB4" w:rsidP="000A5389">
          <w:pPr>
            <w:spacing w:line="240" w:lineRule="auto"/>
          </w:pPr>
          <w:r w:rsidRPr="000D0101">
            <w:t>Valor inicial:</w:t>
          </w:r>
          <w:r w:rsidRPr="000D0101">
            <w:tab/>
            <w:t>USD $3.081.481,62 Cláusula décima primera del Contrato No. 016 de 1996.</w:t>
          </w:r>
        </w:p>
        <w:p w14:paraId="2FD66040" w14:textId="77777777" w:rsidR="003D5DB4" w:rsidRPr="000D0101" w:rsidRDefault="003D5DB4" w:rsidP="000A5389">
          <w:pPr>
            <w:spacing w:line="240" w:lineRule="auto"/>
          </w:pPr>
        </w:p>
        <w:p w14:paraId="4E3733CB" w14:textId="77777777" w:rsidR="003D5DB4" w:rsidRPr="000D0101" w:rsidRDefault="003D5DB4" w:rsidP="000A5389">
          <w:pPr>
            <w:spacing w:line="240" w:lineRule="auto"/>
          </w:pPr>
          <w:r w:rsidRPr="000D0101">
            <w:lastRenderedPageBreak/>
            <w:t>Fecha de inicio: 6/12/2016</w:t>
          </w:r>
        </w:p>
        <w:p w14:paraId="36CAC398" w14:textId="77777777" w:rsidR="003D5DB4" w:rsidRPr="000D0101" w:rsidRDefault="003D5DB4" w:rsidP="000A5389">
          <w:pPr>
            <w:spacing w:line="240" w:lineRule="auto"/>
          </w:pPr>
          <w:r w:rsidRPr="000D0101">
            <w:t>Fecha de finalización estimada: 5/12/2036</w:t>
          </w:r>
        </w:p>
        <w:p w14:paraId="1BBE77B0" w14:textId="77777777" w:rsidR="003D5DB4" w:rsidRPr="000D0101" w:rsidRDefault="003D5DB4" w:rsidP="000A5389">
          <w:pPr>
            <w:spacing w:line="240" w:lineRule="auto"/>
          </w:pPr>
          <w:r w:rsidRPr="000D0101">
            <w:t>Tipo ID: NIT</w:t>
          </w:r>
        </w:p>
        <w:p w14:paraId="750249C4" w14:textId="77777777" w:rsidR="003D5DB4" w:rsidRPr="000D0101" w:rsidRDefault="003D5DB4" w:rsidP="000A5389">
          <w:pPr>
            <w:spacing w:line="240" w:lineRule="auto"/>
          </w:pPr>
          <w:r w:rsidRPr="000D0101">
            <w:t>Número ID:</w:t>
          </w:r>
          <w:r w:rsidRPr="000D0101">
            <w:tab/>
            <w:t>800251163-0</w:t>
          </w:r>
        </w:p>
        <w:p w14:paraId="73D4D232" w14:textId="77777777" w:rsidR="003D5DB4" w:rsidRPr="000D0101" w:rsidRDefault="003D5DB4" w:rsidP="000A5389">
          <w:pPr>
            <w:spacing w:line="240" w:lineRule="auto"/>
          </w:pPr>
          <w:r w:rsidRPr="000D0101">
            <w:t>Razón social del concesionario: Oleoducto Central S.A. – OCENSA</w:t>
          </w:r>
        </w:p>
        <w:p w14:paraId="4690BAE1" w14:textId="77777777" w:rsidR="003D5DB4" w:rsidRPr="000D0101" w:rsidRDefault="003D5DB4" w:rsidP="000A5389">
          <w:pPr>
            <w:spacing w:line="240" w:lineRule="auto"/>
          </w:pPr>
          <w:r w:rsidRPr="000D0101">
            <w:t>Nombre del proyecto: Oleoducto Central S.A. – OCENSA</w:t>
          </w:r>
        </w:p>
        <w:p w14:paraId="395E272D" w14:textId="77777777" w:rsidR="003D5DB4" w:rsidRPr="000D0101" w:rsidRDefault="003D5DB4" w:rsidP="000A5389">
          <w:pPr>
            <w:spacing w:line="240" w:lineRule="auto"/>
          </w:pPr>
        </w:p>
        <w:p w14:paraId="6C11B03A" w14:textId="77777777" w:rsidR="003D5DB4" w:rsidRPr="000D0101" w:rsidRDefault="003D5DB4" w:rsidP="000A5389">
          <w:pPr>
            <w:spacing w:line="240" w:lineRule="auto"/>
          </w:pPr>
          <w:r w:rsidRPr="000D0101">
            <w:t>Términos significativos del Acuerdo que puedan afectar su valor, el calendario y la certeza de los flujos de efectivo futuros</w:t>
          </w:r>
        </w:p>
        <w:p w14:paraId="7DA29AD3" w14:textId="77777777" w:rsidR="003D5DB4" w:rsidRPr="000D0101" w:rsidRDefault="003D5DB4" w:rsidP="000A5389">
          <w:pPr>
            <w:spacing w:line="240" w:lineRule="auto"/>
          </w:pPr>
        </w:p>
        <w:p w14:paraId="621A974C" w14:textId="77777777" w:rsidR="003D5DB4" w:rsidRPr="000D0101" w:rsidRDefault="003D5DB4" w:rsidP="000A5389">
          <w:pPr>
            <w:spacing w:line="240" w:lineRule="auto"/>
          </w:pPr>
          <w:r w:rsidRPr="000D0101">
            <w:t xml:space="preserve">Términos de valor: Tarifas: La cláusula sexta del Contrato de Concesión Portuaria No. 016 de 1996 establece que: “El Concesionario se compromete a cumplir con el régimen de tarifas, la tasa de vigilancia vigente, y la contraprestación establecida de acuerdo con las normas legales”. Contraprestación portuaria: La metodología de contraprestación vigente para la concesión es el CONPES 3744 de 2013 (componentes fijo y variable).  El Concesionario pagó por concepto de contraprestación portuaria para el año 2025, la suma total de USD 2.912.680,98, valor que incluye componente fijo y componente variable, y que fue liquidado y pagado conforme a lo establecido en la cláusula segunda del Otrosí No. 5 al Contrato de Concesión Portuaria. Es preciso mencionar que, en la liquidación de la contraprestación portuaria para el año 2023 se tuvo en cuenta la disminución del componente de infraestructura, toda vez que OCENSA cumplió con lo establecido en el parágrafo de la mencionada cláusula que establece lo siguiente: “PARÁGRAFO: Para poder efectuar la disminución de la contraprestación por infraestructura a partir del año 6 se requerirá: (i) Reemplazar antes del inicio del año 6 el conjunto de la Monoboya-TLU-2-PLEM (ii) Presentar las respectivas certificaciones técnicas, mecánicas y económicas que soporten el reemplazo realizado (iii) Aportar mínimo dos (2) meses antes de iniciar el año 6 los documentos soporte para el trámite de reversión de la mencionada infraestructura. En caso contrario la Sociedad OCENSA deberá seguir pagando contraprestación por infraestructura respecto a la Monoboya-TLU-2-PLEM”. La disminución por este concepto fue de USD 276.913.De otra parte, en relación con la controversia derivada del proceso arbitral de OCENSA contra la ANI, las partes suscribieron un acuerdo el 4 de agosto de 2022, tras la realización de un proceso de mediación adelantado ante la Agencia Nacional de Defensa Jurídica del Estado, y actualmente sometido a conocimiento de la Procuraduría General de la Nación con facultades de conciliación, en virtud del cual, tras concesiones recíprocas, se estableció un reconocimiento por concepto de actualización de la contraprestación marginal, en seguimiento de los lineamientos y previsiones del laudo arbitral que dirimió las disputas entre la ANI y OCENSA. El valor de actualización a reconocer corresponde a la suma de COP 750.174.613,35 el cual fue actualizado conforme el referido acuerdo, constituyéndose un certificado de depósito hasta tanto se surtan las aprobaciones correspondientes en el marco de la conciliación extrajudicial en derecho. La ANI y OCENSA de manera conjunta presentaron solicitud de conciliación extrajudicial el 30 de noviembre de 2022.Plan de Inversiones: El plan de inversión vigente está establecido en la cláusula primera del Otrosí No. 5 del 24 de septiembre de 2019 y modificado por Acta de fuerza mayor del 04-12-2020 corresponde a valor en USD $108.533.547 constantes de diciembre de 2015.Obligaciones </w:t>
          </w:r>
          <w:r w:rsidRPr="000D0101">
            <w:lastRenderedPageBreak/>
            <w:t>del Concesionario: se encuentran descritas en la cláusula séptima del Otrosí No. 3 del 5 de diciembre de 2016. Multas por mora e incumplimiento: están establecidas en la cláusula octava del Otrosí No. 3 del Contrato de Concesión Portuaria. Cláusula penal pecuniaria: En la cláusula novena del Otrosí No. 3 del Contrato de Concesión Portuaria, se establece que en el evento en que el INCO (hoy ANI) declare la caducidad o el incumplimiento del Contrato de Concesión Portuaria, podrá imponer una sanción pecuniaria del 10% del valor total de la contraprestación.</w:t>
          </w:r>
        </w:p>
        <w:p w14:paraId="312B282F" w14:textId="77777777" w:rsidR="003D5DB4" w:rsidRPr="000D0101" w:rsidRDefault="003D5DB4" w:rsidP="000A5389">
          <w:pPr>
            <w:spacing w:line="240" w:lineRule="auto"/>
          </w:pPr>
        </w:p>
        <w:p w14:paraId="5FB16A4A" w14:textId="77777777" w:rsidR="003D5DB4" w:rsidRPr="000D0101" w:rsidRDefault="003D5DB4" w:rsidP="000A5389">
          <w:pPr>
            <w:spacing w:line="240" w:lineRule="auto"/>
          </w:pPr>
          <w:r w:rsidRPr="000D0101">
            <w:t>Términos de calendario: Tarifas: Las tarifas vigentes se encuentran registradas ante la Superintendencia de Transporte, de acuerdo con lo establecido en la Resolución 723 de 1993 y demás normas aplicables. Contraprestación portuaria: la cláusula segunda del Otrosí No. 5 del Contrato de Concesión Portuaria establece que el Concesionario deberá realizar la autoliquidación de su contraprestación portuaria antes de finalizar el mes de febrero de cada año. Plan de inversiones: Se estableció en la cláusula primera del Otrosí 5 del Contrato de Concesión Portuaria, el cronograma de los proyectos de inversión y programa de trabajos y obras   para el periodo de tiempo comprendido entre el año 06 de diciembre de 2016 y el 05 de diciembre de 2036, el cual fue modificado por la cláusula primera del Acta de Declaratoria de ocurrencia de un fenómeno de fuerza mayor con ocasión del Covid-19 suscrita el 4 de diciembre de 2020.</w:t>
          </w:r>
        </w:p>
        <w:p w14:paraId="34478335" w14:textId="77777777" w:rsidR="003D5DB4" w:rsidRPr="000D0101" w:rsidRDefault="003D5DB4" w:rsidP="000A5389">
          <w:pPr>
            <w:spacing w:line="240" w:lineRule="auto"/>
          </w:pPr>
        </w:p>
        <w:p w14:paraId="3681586E" w14:textId="77777777" w:rsidR="003D5DB4" w:rsidRPr="000D0101" w:rsidRDefault="003D5DB4" w:rsidP="000A5389">
          <w:pPr>
            <w:spacing w:line="240" w:lineRule="auto"/>
          </w:pPr>
          <w:r w:rsidRPr="000D0101">
            <w:t xml:space="preserve">Términos de certeza de flujos de efectivo futuros: En el contrato principal se establece que se otorga al Concesionario el derecho a ocupar y utilizar en forma temporal y exclusiva las playas, los terrenos de bajamar y las zonas accesorias a aquellos o estos, en la Costa del mar Caribe, en el Golfo de Morrosquillo en jurisdicción del Municipio de San Antero, Córdoba, para la construcción y operación de las instalaciones Costa Afuera del Nuevo Terminal Petrolero de Coveñas, destinado al cargue de crudo de exportación. La cláusula segunda del Otrosí No. 5 de 2019 en su numeral 11.3, fija los valores de referencia y distribución de contraprestación se debe pagar por el goce y uso de la Zona de Uso Público el 80% a la NACIÓN – Instituto Nacional de Vías (INVIAS)- ANI y el 20% restante al Municipio de San Antero (Córdoba) y por Infraestructura le corresponde 100% a la NACIÓN- Instituto Nacional de Vías (INVIAS)- ANI. Es de mencionar que, la metodología aplicable al Contrato de Concesión es la establecida en el CONPES 3744 de 2013, el cual incluye un componente variable.  </w:t>
          </w:r>
        </w:p>
        <w:p w14:paraId="1B2A3514" w14:textId="77777777" w:rsidR="003D5DB4" w:rsidRPr="000D0101" w:rsidRDefault="003D5DB4" w:rsidP="000A5389">
          <w:pPr>
            <w:spacing w:line="240" w:lineRule="auto"/>
          </w:pPr>
        </w:p>
        <w:p w14:paraId="3D42EDD3" w14:textId="77777777" w:rsidR="003D5DB4" w:rsidRPr="000D0101" w:rsidRDefault="003D5DB4" w:rsidP="000A5389">
          <w:pPr>
            <w:spacing w:line="240" w:lineRule="auto"/>
          </w:pPr>
          <w:r w:rsidRPr="000D0101">
            <w:t>Naturaleza y alcance del derecho a utilizar Activos y los aspectos pactados en torno a lo que se espera que el concesionario proporcione en relación con el Acuerdo de concesión</w:t>
          </w:r>
        </w:p>
        <w:p w14:paraId="4BAA7BE9" w14:textId="77777777" w:rsidR="003D5DB4" w:rsidRPr="000D0101" w:rsidRDefault="003D5DB4" w:rsidP="000A5389">
          <w:pPr>
            <w:spacing w:line="240" w:lineRule="auto"/>
          </w:pPr>
        </w:p>
        <w:p w14:paraId="666085B0" w14:textId="77777777" w:rsidR="003D5DB4" w:rsidRPr="000D0101" w:rsidRDefault="003D5DB4" w:rsidP="000A5389">
          <w:pPr>
            <w:spacing w:line="240" w:lineRule="auto"/>
          </w:pPr>
          <w:r w:rsidRPr="000D0101">
            <w:t>Naturaleza y alcance del derecho de uso de los Activos</w:t>
          </w:r>
        </w:p>
        <w:p w14:paraId="1FF5AE4B" w14:textId="77777777" w:rsidR="003D5DB4" w:rsidRPr="000D0101" w:rsidRDefault="003D5DB4" w:rsidP="000A5389">
          <w:pPr>
            <w:spacing w:line="240" w:lineRule="auto"/>
          </w:pPr>
        </w:p>
        <w:p w14:paraId="2F2C48AA" w14:textId="77777777" w:rsidR="003D5DB4" w:rsidRPr="000D0101" w:rsidRDefault="003D5DB4" w:rsidP="000A5389">
          <w:pPr>
            <w:spacing w:line="240" w:lineRule="auto"/>
          </w:pPr>
          <w:r w:rsidRPr="000D0101">
            <w:t>Descripción:</w:t>
          </w:r>
          <w:r w:rsidRPr="000D0101">
            <w:tab/>
            <w:t xml:space="preserve">Las condiciones especiales de operación del puerto están establecidas en la cláusula quinta del Contrato de Concesión Portuaria, aclarando que, con la suscripción el 24 de octubre de 2011 del Otrosí No. 2 al Contrato de Concesión Portuaria, el puerto pasó a ser de servicio público. Área entregada en concesión: la descripción de la ubicación, linderos y extensión de los bienes de uso público (playas y terrenos de baja mar, zonas marítimas </w:t>
          </w:r>
          <w:r w:rsidRPr="000D0101">
            <w:lastRenderedPageBreak/>
            <w:t>accesorias de maniobras) entregados en concesión están establecidos en la Cláusula Segunda del Contrato que modificada por la Cláusula Primera del Otrosí No. 3.</w:t>
          </w:r>
        </w:p>
        <w:p w14:paraId="50EC7E4B" w14:textId="77777777" w:rsidR="003D5DB4" w:rsidRPr="000D0101" w:rsidRDefault="003D5DB4" w:rsidP="000A5389">
          <w:pPr>
            <w:spacing w:line="240" w:lineRule="auto"/>
          </w:pPr>
        </w:p>
        <w:p w14:paraId="1BB5E99A" w14:textId="77777777" w:rsidR="003D5DB4" w:rsidRPr="000D0101" w:rsidRDefault="003D5DB4" w:rsidP="000A5389">
          <w:pPr>
            <w:spacing w:line="240" w:lineRule="auto"/>
          </w:pPr>
          <w:r w:rsidRPr="000D0101">
            <w:t>Observaciones: N/A</w:t>
          </w:r>
        </w:p>
        <w:p w14:paraId="2CCF7111" w14:textId="77777777" w:rsidR="003D5DB4" w:rsidRPr="000D0101" w:rsidRDefault="003D5DB4" w:rsidP="000A5389">
          <w:pPr>
            <w:spacing w:line="240" w:lineRule="auto"/>
          </w:pPr>
        </w:p>
        <w:p w14:paraId="2D3174E4" w14:textId="77777777" w:rsidR="003D5DB4" w:rsidRPr="000D0101" w:rsidRDefault="003D5DB4" w:rsidP="000A5389">
          <w:pPr>
            <w:spacing w:line="240" w:lineRule="auto"/>
          </w:pPr>
          <w:r w:rsidRPr="000D0101">
            <w:t>Retribución al concesionario</w:t>
          </w:r>
        </w:p>
        <w:p w14:paraId="5D5E0EE4" w14:textId="77777777" w:rsidR="003D5DB4" w:rsidRPr="000D0101" w:rsidRDefault="003D5DB4" w:rsidP="000A5389">
          <w:pPr>
            <w:spacing w:line="240" w:lineRule="auto"/>
          </w:pPr>
        </w:p>
        <w:p w14:paraId="7C6E2647" w14:textId="77777777" w:rsidR="003D5DB4" w:rsidRPr="000D0101" w:rsidRDefault="003D5DB4" w:rsidP="000A5389">
          <w:pPr>
            <w:spacing w:line="240" w:lineRule="auto"/>
          </w:pPr>
          <w:r w:rsidRPr="000D0101">
            <w:t>Descripción:</w:t>
          </w:r>
          <w:r w:rsidRPr="000D0101">
            <w:tab/>
            <w:t xml:space="preserve">Parágrafo primero de la cláusula primera del Otrosí 5 del Contrato de Concesión Portuaria que aclaró la cláusula tercera del Otrosí 3, que a su vez modificó la cláusula séptima del Contrato de Concesión. </w:t>
          </w:r>
        </w:p>
        <w:p w14:paraId="532ED943" w14:textId="77777777" w:rsidR="003D5DB4" w:rsidRPr="000D0101" w:rsidRDefault="003D5DB4" w:rsidP="000A5389">
          <w:pPr>
            <w:spacing w:line="240" w:lineRule="auto"/>
          </w:pPr>
          <w:r w:rsidRPr="000D0101">
            <w:t>Tasa de retribución:</w:t>
          </w:r>
          <w:r w:rsidRPr="000D0101">
            <w:tab/>
            <w:t>N/A</w:t>
          </w:r>
        </w:p>
        <w:p w14:paraId="4751C83D" w14:textId="77777777" w:rsidR="003D5DB4" w:rsidRPr="000D0101" w:rsidRDefault="003D5DB4" w:rsidP="000A5389">
          <w:pPr>
            <w:spacing w:line="240" w:lineRule="auto"/>
          </w:pPr>
        </w:p>
        <w:p w14:paraId="277BB164" w14:textId="77777777" w:rsidR="003D5DB4" w:rsidRPr="000D0101" w:rsidRDefault="003D5DB4" w:rsidP="000A5389">
          <w:pPr>
            <w:spacing w:line="240" w:lineRule="auto"/>
          </w:pPr>
          <w:r w:rsidRPr="000D0101">
            <w:t>Derechos a recibir Activos especificados al final del acuerdo de concesión</w:t>
          </w:r>
        </w:p>
        <w:p w14:paraId="4F510C04" w14:textId="77777777" w:rsidR="003D5DB4" w:rsidRPr="000D0101" w:rsidRDefault="003D5DB4" w:rsidP="000A5389">
          <w:pPr>
            <w:spacing w:line="240" w:lineRule="auto"/>
          </w:pPr>
        </w:p>
        <w:p w14:paraId="7346C240" w14:textId="77777777" w:rsidR="003D5DB4" w:rsidRPr="000D0101" w:rsidRDefault="003D5DB4" w:rsidP="000A5389">
          <w:pPr>
            <w:spacing w:line="240" w:lineRule="auto"/>
          </w:pPr>
          <w:r w:rsidRPr="000D0101">
            <w:t>Descripción:</w:t>
          </w:r>
          <w:r w:rsidRPr="000D0101">
            <w:tab/>
            <w:t>De acuerdo con el Artículo 8º de la Ley 1 de 1991 en el modo portuario el concesionario no tiene derechos finales sobre la infraestructura, equipos e inmuebles por destinación que se encuentren instalados en las zonas de uso público, por lo cual, deben ser revertidos a la Nación al finalizar el plazo del contrato de concesión. Lo mismo se establece en las cláusulas tercera del otrosí No. 5, décima tercera del Otrosí 3 y décima del Contrato de Concesión Portuaria.</w:t>
          </w:r>
        </w:p>
        <w:p w14:paraId="7C97186B" w14:textId="77777777" w:rsidR="003D5DB4" w:rsidRPr="000D0101" w:rsidRDefault="003D5DB4" w:rsidP="000A5389">
          <w:pPr>
            <w:spacing w:line="240" w:lineRule="auto"/>
          </w:pPr>
        </w:p>
        <w:p w14:paraId="4B90B4C9" w14:textId="77777777" w:rsidR="003D5DB4" w:rsidRPr="000D0101" w:rsidRDefault="003D5DB4" w:rsidP="000A5389">
          <w:pPr>
            <w:spacing w:line="240" w:lineRule="auto"/>
          </w:pPr>
          <w:r w:rsidRPr="000D0101">
            <w:t>Observaciones: Reversión: De acuerdo con lo establecido en las cláusulas tercera del otrosí No. 5 y décima tercera del Otrosí 3 del Contrato de Concesión Portuaria, las obras ejecutadas dentro de la zona de uso público durante el término de la concesión y su prórroga deberán revertir a la Nación de acuerdo con lo establecido en el Inciso final del artículo 8 de la Ley 1 de 1991 y en los términos de la Cláusula Décima "REVERSIÓN" del Contrato de Concesión Portuaria. Para tal fin, en el momento de la reversión el Concesionario deberá hacer entrega de un avalúo comercial actualizado y valoración técnica de las condiciones de operación de la infraestructura portuaria, equipos e inmuebles por destinación que habitualmente se encuentren instalados en las zonas de uso público que se revierten y que son propiedad de la Nación. A su vez, la cláusula décima primera del Otrosí 3 del Contrato de Concesión Portuaria ordena la creación de un patrimonio autónomo para garantizar los pagos a la interventoría de reversión.</w:t>
          </w:r>
        </w:p>
        <w:p w14:paraId="09745CDD" w14:textId="77777777" w:rsidR="003D5DB4" w:rsidRPr="000D0101" w:rsidRDefault="003D5DB4" w:rsidP="000A5389">
          <w:pPr>
            <w:spacing w:line="240" w:lineRule="auto"/>
          </w:pPr>
        </w:p>
        <w:p w14:paraId="501B3598" w14:textId="77777777" w:rsidR="003D5DB4" w:rsidRPr="000D0101" w:rsidRDefault="003D5DB4" w:rsidP="000A5389">
          <w:pPr>
            <w:spacing w:line="240" w:lineRule="auto"/>
          </w:pPr>
          <w:r w:rsidRPr="000D0101">
            <w:t>Las alternativas de renovación y cese del acuerdo</w:t>
          </w:r>
        </w:p>
        <w:p w14:paraId="3EE3E19C" w14:textId="77777777" w:rsidR="003D5DB4" w:rsidRPr="000D0101" w:rsidRDefault="003D5DB4" w:rsidP="000A5389">
          <w:pPr>
            <w:spacing w:line="240" w:lineRule="auto"/>
          </w:pPr>
        </w:p>
        <w:p w14:paraId="4752EBE6" w14:textId="77777777" w:rsidR="003D5DB4" w:rsidRPr="000D0101" w:rsidRDefault="003D5DB4" w:rsidP="000A5389">
          <w:pPr>
            <w:spacing w:line="240" w:lineRule="auto"/>
          </w:pPr>
          <w:r w:rsidRPr="000D0101">
            <w:t>Descripción:</w:t>
          </w:r>
          <w:r w:rsidRPr="000D0101">
            <w:tab/>
            <w:t>La terminación del contrato se encuentra en la Cláusula Décima Séptima del contrato original</w:t>
          </w:r>
        </w:p>
        <w:p w14:paraId="5330A24E" w14:textId="77777777" w:rsidR="003D5DB4" w:rsidRPr="000D0101" w:rsidRDefault="003D5DB4" w:rsidP="000A5389">
          <w:pPr>
            <w:spacing w:line="240" w:lineRule="auto"/>
          </w:pPr>
        </w:p>
        <w:p w14:paraId="0BCF7CAE" w14:textId="77777777" w:rsidR="003D5DB4" w:rsidRPr="000D0101" w:rsidRDefault="003D5DB4" w:rsidP="000A5389">
          <w:pPr>
            <w:spacing w:line="240" w:lineRule="auto"/>
          </w:pPr>
          <w:r w:rsidRPr="000D0101">
            <w:t>Observaciones: El contrato se encuentra en periodo de prorroga</w:t>
          </w:r>
        </w:p>
        <w:p w14:paraId="31EED9BB" w14:textId="77777777" w:rsidR="003D5DB4" w:rsidRPr="000D0101" w:rsidRDefault="003D5DB4" w:rsidP="000A5389">
          <w:pPr>
            <w:spacing w:line="240" w:lineRule="auto"/>
          </w:pPr>
        </w:p>
        <w:p w14:paraId="3323AF74" w14:textId="77777777" w:rsidR="003D5DB4" w:rsidRPr="000D0101" w:rsidRDefault="003D5DB4" w:rsidP="000A5389">
          <w:pPr>
            <w:spacing w:line="240" w:lineRule="auto"/>
          </w:pPr>
          <w:r w:rsidRPr="000D0101">
            <w:t>Cambios en el acuerdo de concesión que se realicen durante el periodo fiscal</w:t>
          </w:r>
        </w:p>
        <w:p w14:paraId="7B0ECAC8" w14:textId="77777777" w:rsidR="003D5DB4" w:rsidRPr="000D0101" w:rsidRDefault="003D5DB4" w:rsidP="000A5389">
          <w:pPr>
            <w:spacing w:line="240" w:lineRule="auto"/>
          </w:pPr>
        </w:p>
        <w:p w14:paraId="01864C1A" w14:textId="77777777" w:rsidR="003D5DB4" w:rsidRPr="000D0101" w:rsidRDefault="003D5DB4" w:rsidP="000A5389">
          <w:pPr>
            <w:spacing w:line="240" w:lineRule="auto"/>
          </w:pPr>
          <w:r w:rsidRPr="000D0101">
            <w:t>Adiciones o modificaciones en tiempo</w:t>
          </w:r>
        </w:p>
        <w:p w14:paraId="18223539" w14:textId="77777777" w:rsidR="003D5DB4" w:rsidRPr="000D0101" w:rsidRDefault="003D5DB4" w:rsidP="000A5389">
          <w:pPr>
            <w:spacing w:line="240" w:lineRule="auto"/>
          </w:pPr>
          <w:r w:rsidRPr="000D0101">
            <w:lastRenderedPageBreak/>
            <w:t>Fechas de las adiciones o modificaciones:</w:t>
          </w:r>
          <w:r w:rsidRPr="000D0101">
            <w:tab/>
            <w:t>N/A</w:t>
          </w:r>
        </w:p>
        <w:p w14:paraId="736092E3" w14:textId="77777777" w:rsidR="003D5DB4" w:rsidRPr="000D0101" w:rsidRDefault="003D5DB4" w:rsidP="000A5389">
          <w:pPr>
            <w:spacing w:line="240" w:lineRule="auto"/>
          </w:pPr>
          <w:r w:rsidRPr="000D0101">
            <w:t>Nueva fecha de finalización estimada: N/A</w:t>
          </w:r>
        </w:p>
        <w:p w14:paraId="5AF0093C" w14:textId="77777777" w:rsidR="003D5DB4" w:rsidRPr="000D0101" w:rsidRDefault="003D5DB4" w:rsidP="000A5389">
          <w:pPr>
            <w:spacing w:line="240" w:lineRule="auto"/>
          </w:pPr>
          <w:r w:rsidRPr="000D0101">
            <w:t>Observaciones: N/A</w:t>
          </w:r>
        </w:p>
        <w:p w14:paraId="459F2148" w14:textId="77777777" w:rsidR="003D5DB4" w:rsidRPr="000D0101" w:rsidRDefault="003D5DB4" w:rsidP="000A5389">
          <w:pPr>
            <w:spacing w:line="240" w:lineRule="auto"/>
          </w:pPr>
          <w:r w:rsidRPr="000D0101">
            <w:t>Adiciones o modificaciones en valor</w:t>
          </w:r>
        </w:p>
        <w:p w14:paraId="04CCA2DF" w14:textId="77777777" w:rsidR="003D5DB4" w:rsidRPr="000D0101" w:rsidRDefault="003D5DB4" w:rsidP="000A5389">
          <w:pPr>
            <w:spacing w:line="240" w:lineRule="auto"/>
          </w:pPr>
          <w:r w:rsidRPr="000D0101">
            <w:t>Valor de la adición o modificación: N/A</w:t>
          </w:r>
        </w:p>
        <w:p w14:paraId="39910513" w14:textId="77777777" w:rsidR="003D5DB4" w:rsidRPr="000D0101" w:rsidRDefault="003D5DB4" w:rsidP="000A5389">
          <w:pPr>
            <w:spacing w:line="240" w:lineRule="auto"/>
          </w:pPr>
          <w:r w:rsidRPr="000D0101">
            <w:t>Nuevo valor del acuerdo: N/A</w:t>
          </w:r>
        </w:p>
        <w:p w14:paraId="0B7C8F5C" w14:textId="77777777" w:rsidR="003D5DB4" w:rsidRPr="000D0101" w:rsidRDefault="003D5DB4" w:rsidP="000A5389">
          <w:pPr>
            <w:spacing w:line="240" w:lineRule="auto"/>
          </w:pPr>
          <w:r w:rsidRPr="000D0101">
            <w:t>Observaciones: N/A</w:t>
          </w:r>
        </w:p>
        <w:p w14:paraId="44946DA6" w14:textId="77777777" w:rsidR="003D5DB4" w:rsidRPr="000D0101" w:rsidRDefault="003D5DB4" w:rsidP="000A5389">
          <w:pPr>
            <w:spacing w:line="240" w:lineRule="auto"/>
            <w:rPr>
              <w:rFonts w:eastAsia="Times New Roman"/>
            </w:rPr>
          </w:pPr>
        </w:p>
        <w:p w14:paraId="0D3F601C" w14:textId="77777777" w:rsidR="003D5DB4" w:rsidRPr="000D0101" w:rsidRDefault="003D5DB4" w:rsidP="000A5389">
          <w:pPr>
            <w:spacing w:line="240" w:lineRule="auto"/>
            <w:rPr>
              <w:rFonts w:eastAsia="Times New Roman"/>
            </w:rPr>
          </w:pPr>
        </w:p>
        <w:p w14:paraId="5356CDBD" w14:textId="77777777" w:rsidR="003D5DB4" w:rsidRPr="00915852" w:rsidRDefault="003D5DB4" w:rsidP="000A5389">
          <w:pPr>
            <w:spacing w:line="240" w:lineRule="auto"/>
            <w:rPr>
              <w:rFonts w:eastAsia="Times New Roman"/>
              <w:i/>
              <w:iCs/>
            </w:rPr>
          </w:pPr>
          <w:r w:rsidRPr="00915852">
            <w:rPr>
              <w:rFonts w:eastAsia="Times New Roman"/>
              <w:i/>
              <w:iCs/>
              <w:lang w:eastAsia="es-CO"/>
            </w:rPr>
            <w:t xml:space="preserve">PETROLEOS Y DERIVADOS DE COLOMBIA S.A. </w:t>
          </w:r>
        </w:p>
        <w:p w14:paraId="0F6FF668" w14:textId="77777777" w:rsidR="003D5DB4" w:rsidRPr="000D0101" w:rsidRDefault="003D5DB4" w:rsidP="000A5389">
          <w:pPr>
            <w:spacing w:line="240" w:lineRule="auto"/>
            <w:rPr>
              <w:rFonts w:eastAsia="Times New Roman"/>
            </w:rPr>
          </w:pPr>
          <w:r w:rsidRPr="000D0101">
            <w:rPr>
              <w:rFonts w:eastAsia="Times New Roman"/>
            </w:rPr>
            <w:t>a. Descripción del Acuerdo</w:t>
          </w:r>
        </w:p>
        <w:p w14:paraId="554C9DBD" w14:textId="77777777" w:rsidR="003D5DB4" w:rsidRPr="000D0101" w:rsidRDefault="003D5DB4" w:rsidP="000A5389">
          <w:pPr>
            <w:spacing w:line="240" w:lineRule="auto"/>
            <w:rPr>
              <w:rFonts w:eastAsia="Times New Roman"/>
            </w:rPr>
          </w:pPr>
        </w:p>
        <w:p w14:paraId="774C5112" w14:textId="77777777" w:rsidR="003D5DB4" w:rsidRPr="000D0101" w:rsidRDefault="003D5DB4" w:rsidP="000A5389">
          <w:pPr>
            <w:spacing w:line="240" w:lineRule="auto"/>
            <w:rPr>
              <w:rFonts w:eastAsia="Times New Roman"/>
            </w:rPr>
          </w:pPr>
          <w:r w:rsidRPr="000D0101">
            <w:rPr>
              <w:rFonts w:eastAsia="Times New Roman"/>
            </w:rPr>
            <w:t>Número del Acuerdo de concesión: 004 de 2015.</w:t>
          </w:r>
        </w:p>
        <w:p w14:paraId="45CF1194" w14:textId="77777777" w:rsidR="003D5DB4" w:rsidRPr="000D0101" w:rsidRDefault="003D5DB4" w:rsidP="000A5389">
          <w:pPr>
            <w:spacing w:line="240" w:lineRule="auto"/>
            <w:rPr>
              <w:rFonts w:eastAsia="Times New Roman"/>
            </w:rPr>
          </w:pPr>
        </w:p>
        <w:p w14:paraId="33E2464A" w14:textId="77777777" w:rsidR="003D5DB4" w:rsidRPr="000D0101" w:rsidRDefault="003D5DB4" w:rsidP="000A5389">
          <w:pPr>
            <w:spacing w:line="240" w:lineRule="auto"/>
            <w:rPr>
              <w:rFonts w:eastAsia="Times New Roman"/>
            </w:rPr>
          </w:pPr>
          <w:r w:rsidRPr="000D0101">
            <w:rPr>
              <w:rFonts w:eastAsia="Times New Roman"/>
            </w:rPr>
            <w:t xml:space="preserve">Objeto / Descripción: En virtud del Contrato de concesión, se permite al CONCESIONARIO “la ocupación en forma temporal y exclusiva de los bienes de uso público una zonas de playas, de bajamar y aguas marítimas accesorias descritos en la cláusula segunda BIENES CONCESIONADOS para ocupar y utilizar en forma temporal y exclusiva los bienes de uso público propiedad de la Nación, localizados en el municipio de Tumaco para la construcción y operación de un muelle de servicio privado a cambio de una contraprestación económica a favor del CONCEDENTE, en los términos descritos en la cláusula trece VALOR DEL CONTRATO Y DE LA CONTRAPRESTACIÓN de este contrato”, conforme lo establece la Cláusula Primera del Contrato de concesión portuaria.  </w:t>
          </w:r>
        </w:p>
        <w:p w14:paraId="0AAF5177" w14:textId="77777777" w:rsidR="003D5DB4" w:rsidRPr="000D0101" w:rsidRDefault="003D5DB4" w:rsidP="000A5389">
          <w:pPr>
            <w:spacing w:line="240" w:lineRule="auto"/>
            <w:rPr>
              <w:rFonts w:eastAsia="Times New Roman"/>
            </w:rPr>
          </w:pPr>
        </w:p>
        <w:p w14:paraId="02D4E7C6" w14:textId="77777777" w:rsidR="003D5DB4" w:rsidRPr="000D0101" w:rsidRDefault="003D5DB4" w:rsidP="000A5389">
          <w:pPr>
            <w:spacing w:line="240" w:lineRule="auto"/>
            <w:rPr>
              <w:rFonts w:eastAsia="Times New Roman"/>
            </w:rPr>
          </w:pPr>
          <w:r w:rsidRPr="000D0101">
            <w:rPr>
              <w:rFonts w:eastAsia="Times New Roman"/>
            </w:rPr>
            <w:t>Valor inicial:</w:t>
          </w:r>
          <w:r w:rsidRPr="000D0101">
            <w:rPr>
              <w:rFonts w:eastAsia="Times New Roman"/>
            </w:rPr>
            <w:tab/>
            <w:t>USD $ 655.930,00 / Clausula décimo tercera / Contrato No. 004 de 2015</w:t>
          </w:r>
        </w:p>
        <w:p w14:paraId="3CCC4A7B" w14:textId="77777777" w:rsidR="003D5DB4" w:rsidRPr="000D0101" w:rsidRDefault="003D5DB4" w:rsidP="000A5389">
          <w:pPr>
            <w:spacing w:line="240" w:lineRule="auto"/>
            <w:rPr>
              <w:rFonts w:eastAsia="Times New Roman"/>
            </w:rPr>
          </w:pPr>
        </w:p>
        <w:p w14:paraId="04522954" w14:textId="77777777" w:rsidR="003D5DB4" w:rsidRPr="000D0101" w:rsidRDefault="003D5DB4" w:rsidP="000A5389">
          <w:pPr>
            <w:spacing w:line="240" w:lineRule="auto"/>
            <w:rPr>
              <w:rFonts w:eastAsia="Times New Roman"/>
            </w:rPr>
          </w:pPr>
          <w:r w:rsidRPr="000D0101">
            <w:rPr>
              <w:rFonts w:eastAsia="Times New Roman"/>
            </w:rPr>
            <w:t>Fecha de inicio: 22/03/2017</w:t>
          </w:r>
        </w:p>
        <w:p w14:paraId="5F08416C" w14:textId="77777777" w:rsidR="003D5DB4" w:rsidRPr="000D0101" w:rsidRDefault="003D5DB4" w:rsidP="000A5389">
          <w:pPr>
            <w:spacing w:line="240" w:lineRule="auto"/>
            <w:rPr>
              <w:rFonts w:eastAsia="Times New Roman"/>
            </w:rPr>
          </w:pPr>
          <w:r w:rsidRPr="000D0101">
            <w:rPr>
              <w:rFonts w:eastAsia="Times New Roman"/>
            </w:rPr>
            <w:t>Fecha de finalización estimada: 21/03/2035</w:t>
          </w:r>
        </w:p>
        <w:p w14:paraId="5AC2B821" w14:textId="77777777" w:rsidR="003D5DB4" w:rsidRPr="000D0101" w:rsidRDefault="003D5DB4" w:rsidP="000A5389">
          <w:pPr>
            <w:spacing w:line="240" w:lineRule="auto"/>
            <w:rPr>
              <w:rFonts w:eastAsia="Times New Roman"/>
            </w:rPr>
          </w:pPr>
          <w:r w:rsidRPr="000D0101">
            <w:rPr>
              <w:rFonts w:eastAsia="Times New Roman"/>
            </w:rPr>
            <w:t>Tipo ID: NIT</w:t>
          </w:r>
        </w:p>
        <w:p w14:paraId="7B1EB967" w14:textId="77777777" w:rsidR="003D5DB4" w:rsidRPr="000D0101" w:rsidRDefault="003D5DB4" w:rsidP="000A5389">
          <w:pPr>
            <w:spacing w:line="240" w:lineRule="auto"/>
            <w:rPr>
              <w:rFonts w:eastAsia="Times New Roman"/>
            </w:rPr>
          </w:pPr>
          <w:r w:rsidRPr="000D0101">
            <w:rPr>
              <w:rFonts w:eastAsia="Times New Roman"/>
            </w:rPr>
            <w:t>Número ID: 900.135.202-6</w:t>
          </w:r>
        </w:p>
        <w:p w14:paraId="64BBA871" w14:textId="77777777" w:rsidR="003D5DB4" w:rsidRPr="000D0101" w:rsidRDefault="003D5DB4" w:rsidP="000A5389">
          <w:pPr>
            <w:spacing w:line="240" w:lineRule="auto"/>
            <w:rPr>
              <w:rFonts w:eastAsia="Times New Roman"/>
            </w:rPr>
          </w:pPr>
          <w:r w:rsidRPr="000D0101">
            <w:rPr>
              <w:rFonts w:eastAsia="Times New Roman"/>
            </w:rPr>
            <w:t>Razón social del concesionario: PETRÓLEOS Y DERIVADOS DE COLOMBIA S.A.</w:t>
          </w:r>
        </w:p>
        <w:p w14:paraId="0E39D2FE" w14:textId="77777777" w:rsidR="003D5DB4" w:rsidRPr="000D0101" w:rsidRDefault="003D5DB4" w:rsidP="000A5389">
          <w:pPr>
            <w:spacing w:line="240" w:lineRule="auto"/>
            <w:rPr>
              <w:rFonts w:eastAsia="Times New Roman"/>
            </w:rPr>
          </w:pPr>
          <w:r w:rsidRPr="000D0101">
            <w:rPr>
              <w:rFonts w:eastAsia="Times New Roman"/>
            </w:rPr>
            <w:t>Nombre del proyecto: PETRÓLEOS Y DERIVADOS DE COLOMBIA S.A.</w:t>
          </w:r>
        </w:p>
        <w:p w14:paraId="5B6008E1" w14:textId="77777777" w:rsidR="003D5DB4" w:rsidRPr="000D0101" w:rsidRDefault="003D5DB4" w:rsidP="000A5389">
          <w:pPr>
            <w:spacing w:line="240" w:lineRule="auto"/>
            <w:rPr>
              <w:rFonts w:eastAsia="Times New Roman"/>
            </w:rPr>
          </w:pPr>
        </w:p>
        <w:p w14:paraId="0E4178D5" w14:textId="77777777" w:rsidR="003D5DB4" w:rsidRPr="000D0101" w:rsidRDefault="003D5DB4" w:rsidP="000A5389">
          <w:pPr>
            <w:spacing w:line="240" w:lineRule="auto"/>
            <w:rPr>
              <w:rFonts w:eastAsia="Times New Roman"/>
            </w:rPr>
          </w:pPr>
          <w:r w:rsidRPr="000D0101">
            <w:rPr>
              <w:rFonts w:eastAsia="Times New Roman"/>
            </w:rPr>
            <w:t>b. Términos significativos del Acuerdo que puedan afectar su valor, el calendario y la certeza de los flujos de efectivo futuros</w:t>
          </w:r>
        </w:p>
        <w:p w14:paraId="00C535BC" w14:textId="77777777" w:rsidR="003D5DB4" w:rsidRPr="000D0101" w:rsidRDefault="003D5DB4" w:rsidP="000A5389">
          <w:pPr>
            <w:spacing w:line="240" w:lineRule="auto"/>
            <w:rPr>
              <w:rFonts w:eastAsia="Times New Roman"/>
            </w:rPr>
          </w:pPr>
        </w:p>
        <w:p w14:paraId="28AB232C" w14:textId="77777777" w:rsidR="003D5DB4" w:rsidRPr="000D0101" w:rsidRDefault="003D5DB4" w:rsidP="000A5389">
          <w:pPr>
            <w:spacing w:line="240" w:lineRule="auto"/>
            <w:rPr>
              <w:rFonts w:eastAsia="Times New Roman"/>
            </w:rPr>
          </w:pPr>
          <w:r w:rsidRPr="000D0101">
            <w:rPr>
              <w:rFonts w:eastAsia="Times New Roman"/>
            </w:rPr>
            <w:t>Términos de valor:</w:t>
          </w:r>
          <w:r w:rsidRPr="000D0101">
            <w:rPr>
              <w:rFonts w:eastAsia="Times New Roman"/>
            </w:rPr>
            <w:tab/>
            <w:t xml:space="preserve">1) Tarifas: Al ser el terminal marítimo de servicio privado la Ley 1 de 1991 establece: Las sociedades portuarias que operan puertos de servicio privado podrán fijar libremente sus tarifas, pero mantendrán informada sobre ellas a la Superintendencia General de Puertos hoy Superintendencia de Transporte. 2) Contraprestación portuaria: De acuerdo con el último documento contractual vigente la metodología de contraprestación vigente es CONPES 3744 de 2013 (Componentes Fijo y Variable). A febrero de 2025 el CONCESIONARIO debió pagar la suma de USD $56.365 por contraprestación. El valor correspondiente a la contraprestación por zona de uso público resultará de la diferencia entre </w:t>
          </w:r>
          <w:r w:rsidRPr="000D0101">
            <w:rPr>
              <w:rFonts w:eastAsia="Times New Roman"/>
            </w:rPr>
            <w:lastRenderedPageBreak/>
            <w:t>el valor de la liquidación total y el valor de la Infraestructura. Y el recaudo se realizará de conformidad con la ley 856 de 2003, es decir, ZUP el 80% le corresponde a la Nación instituto nacional de vías (INVIAS-ANI) y el 20% restante al municipio de Tumaco, Nariño. En tanto que el valor de la contraprestación por Infraestructura, el 100% le corresponde a la Nación (INVIAS-ANI)3) Plan de Inversiones: Está establecido en la cláusula décimo segunda del contrato, el plan de Inversión será de USD $5.833.102 en valores constantes.4) Obligaciones del CONCESIONARIO: se encuentran descritas en la cláusula vigésima del contrato. 5) Multas y sanciones: Están establecidas en la cláusula vigésima tercera del contrato.6) Penal pecuniaria: En la cláusula vigésima cuarta se establece que en el evento en que el CONCEDENTE declare la caducidad o el Incumplimiento del presente contrato se podrá Imponer una penalidad pecuniaria.7) Riesgos: Están descritos en la cláusula décimo séptima, el CONCESIONARIO asume los efectos derivados de los riesgos enlistados en el contrato, además de aquellos que se desprendan de otras clausulas o estipulaciones del contrato y de sus anexos o que se deriven de la naturaleza de este contrato. No procederá reclamaciones del CONCESIONARIO basadas en el acaecimiento de algunos de los riesgos que fueron asumidos.</w:t>
          </w:r>
        </w:p>
        <w:p w14:paraId="48711977" w14:textId="77777777" w:rsidR="003D5DB4" w:rsidRPr="000D0101" w:rsidRDefault="003D5DB4" w:rsidP="000A5389">
          <w:pPr>
            <w:spacing w:line="240" w:lineRule="auto"/>
            <w:rPr>
              <w:rFonts w:eastAsia="Times New Roman"/>
            </w:rPr>
          </w:pPr>
        </w:p>
        <w:p w14:paraId="35EABE57" w14:textId="77777777" w:rsidR="003D5DB4" w:rsidRPr="000D0101" w:rsidRDefault="003D5DB4" w:rsidP="000A5389">
          <w:pPr>
            <w:spacing w:line="240" w:lineRule="auto"/>
            <w:rPr>
              <w:rFonts w:eastAsia="Times New Roman"/>
            </w:rPr>
          </w:pPr>
          <w:r w:rsidRPr="000D0101">
            <w:rPr>
              <w:rFonts w:eastAsia="Times New Roman"/>
            </w:rPr>
            <w:t>Términos de calendario: Tarifas: Las sociedades portuarias que operan puertos de servicio privado podrán fijar libremente sus tarifas, pero mantendrán informada sobre ellas a la Superintendencia General de Puertos hoy Superintendencia de Transporte. Contraprestación portuaria: Contraprestación portuaria: Anexo 2 Conpes 3744 de 2013 “(…) Antes de finalizar los meses de febrero cada concesionario deberá corregir su liquidación del año anterior según el movimiento de carga real y la indexación del valor de referencia por metro cuadrado, del avalúo de la infraestructura concesionada y de los cargos, así como realizar el pago anticipado del año en curso con base en lo proyectado en el FCL definitivo ”Plan de inversiones: Está establecido en la cláusula décimo segunda del contrato, el plan de Inversión será de USD $5.833.102 en valores constantes y la ejecución de inversiones en el periodo de tiempo comprendido entre el año 2017 al 2018.Multas: Están establecidas en la cláusula vigésima tercera del contrato.</w:t>
          </w:r>
        </w:p>
        <w:p w14:paraId="0994D225" w14:textId="77777777" w:rsidR="003D5DB4" w:rsidRPr="000D0101" w:rsidRDefault="003D5DB4" w:rsidP="000A5389">
          <w:pPr>
            <w:spacing w:line="240" w:lineRule="auto"/>
            <w:rPr>
              <w:rFonts w:eastAsia="Times New Roman"/>
            </w:rPr>
          </w:pPr>
        </w:p>
        <w:p w14:paraId="2D4E944F" w14:textId="77777777" w:rsidR="003D5DB4" w:rsidRPr="000D0101" w:rsidRDefault="003D5DB4" w:rsidP="000A5389">
          <w:pPr>
            <w:spacing w:line="240" w:lineRule="auto"/>
            <w:rPr>
              <w:rFonts w:eastAsia="Times New Roman"/>
            </w:rPr>
          </w:pPr>
          <w:r w:rsidRPr="000D0101">
            <w:rPr>
              <w:rFonts w:eastAsia="Times New Roman"/>
            </w:rPr>
            <w:t>Términos de certeza de flujos de efectivo futuros: Se otorga a EL CONCESIONARIO la autorización de la ocupación en forma temporal y exclusiva de los bienes de uso público en zonas de playas, bajamar y aguas marítimas accesorias descritos en la CLÁUSULA 2 BIENES CONCESIONADOS, a cambio de una contraprestación económica. Cláusula décimo tercera, parágrafo sexto, el pago de la contraprestación con relación al componente fijo y variable le corresponde a la Nación- Instituto Nacional de Vías el 80% y el 20% restante al Municipio de Tumaco, Departamento de Nariño, de acuerdo con lo establecido en el parágrafo 1º del artículo 1º de la Ley 856 del 21 de diciembre de 2003, que modifico el artículo 7º de la Ley 1ª de 1991.</w:t>
          </w:r>
        </w:p>
        <w:p w14:paraId="3A9C5D63" w14:textId="77777777" w:rsidR="003D5DB4" w:rsidRPr="000D0101" w:rsidRDefault="003D5DB4" w:rsidP="000A5389">
          <w:pPr>
            <w:spacing w:line="240" w:lineRule="auto"/>
            <w:rPr>
              <w:rFonts w:eastAsia="Times New Roman"/>
            </w:rPr>
          </w:pPr>
        </w:p>
        <w:p w14:paraId="1BB76BC5" w14:textId="77777777" w:rsidR="003D5DB4" w:rsidRPr="000D0101" w:rsidRDefault="003D5DB4" w:rsidP="000A5389">
          <w:pPr>
            <w:spacing w:line="240" w:lineRule="auto"/>
            <w:rPr>
              <w:rFonts w:eastAsia="Times New Roman"/>
            </w:rPr>
          </w:pPr>
          <w:r w:rsidRPr="000D0101">
            <w:rPr>
              <w:rFonts w:eastAsia="Times New Roman"/>
            </w:rPr>
            <w:t>c. Naturaleza y alcance del derecho a utilizar Activos y los aspectos pactados en torno a lo que se espera que el concesionario proporcione en relación con el Acuerdo de concesión</w:t>
          </w:r>
        </w:p>
        <w:p w14:paraId="66AE1F02" w14:textId="77777777" w:rsidR="003D5DB4" w:rsidRPr="000D0101" w:rsidRDefault="003D5DB4" w:rsidP="000A5389">
          <w:pPr>
            <w:spacing w:line="240" w:lineRule="auto"/>
            <w:rPr>
              <w:rFonts w:eastAsia="Times New Roman"/>
            </w:rPr>
          </w:pPr>
        </w:p>
        <w:p w14:paraId="40E883A4" w14:textId="77777777" w:rsidR="003D5DB4" w:rsidRPr="000D0101" w:rsidRDefault="003D5DB4" w:rsidP="000A5389">
          <w:pPr>
            <w:spacing w:line="240" w:lineRule="auto"/>
            <w:rPr>
              <w:rFonts w:eastAsia="Times New Roman"/>
            </w:rPr>
          </w:pPr>
          <w:r w:rsidRPr="000D0101">
            <w:rPr>
              <w:rFonts w:eastAsia="Times New Roman"/>
            </w:rPr>
            <w:t>Naturaleza y alcance del derecho de uso de los Activos</w:t>
          </w:r>
        </w:p>
        <w:p w14:paraId="330F0458" w14:textId="77777777" w:rsidR="003D5DB4" w:rsidRPr="000D0101" w:rsidRDefault="003D5DB4" w:rsidP="000A5389">
          <w:pPr>
            <w:spacing w:line="240" w:lineRule="auto"/>
            <w:rPr>
              <w:rFonts w:eastAsia="Times New Roman"/>
            </w:rPr>
          </w:pPr>
        </w:p>
        <w:p w14:paraId="62266EAC" w14:textId="77777777" w:rsidR="003D5DB4" w:rsidRPr="000D0101" w:rsidRDefault="003D5DB4" w:rsidP="000A5389">
          <w:pPr>
            <w:spacing w:line="240" w:lineRule="auto"/>
            <w:rPr>
              <w:rFonts w:eastAsia="Times New Roman"/>
            </w:rPr>
          </w:pPr>
          <w:r w:rsidRPr="000D0101">
            <w:rPr>
              <w:rFonts w:eastAsia="Times New Roman"/>
            </w:rPr>
            <w:t>Descripción:</w:t>
          </w:r>
          <w:r w:rsidRPr="000D0101">
            <w:rPr>
              <w:rFonts w:eastAsia="Times New Roman"/>
            </w:rPr>
            <w:tab/>
            <w:t>Descripción del proyecto, especificaciones técnicas, modalidades de operación: la información correspondiente a la descripción del proyecto, especificaciones técnicas, volumen y clase de carga, así como la modalidad de operación se encuentran contempladas en la en la cláusula quinta del contrato de concesión portuaria.  Área entregada en concesión: La descripción de la ubicación y extensión de los bienes de uso público entregados en concesión están establecidos en la cláusula segunda del contrato de concesión portuaria.</w:t>
          </w:r>
        </w:p>
        <w:p w14:paraId="777099FE" w14:textId="77777777" w:rsidR="003D5DB4" w:rsidRPr="000D0101" w:rsidRDefault="003D5DB4" w:rsidP="000A5389">
          <w:pPr>
            <w:spacing w:line="240" w:lineRule="auto"/>
            <w:rPr>
              <w:rFonts w:eastAsia="Times New Roman"/>
            </w:rPr>
          </w:pPr>
        </w:p>
        <w:p w14:paraId="35D0997D" w14:textId="77777777" w:rsidR="003D5DB4" w:rsidRPr="000D0101" w:rsidRDefault="003D5DB4" w:rsidP="000A5389">
          <w:pPr>
            <w:spacing w:line="240" w:lineRule="auto"/>
            <w:rPr>
              <w:rFonts w:eastAsia="Times New Roman"/>
            </w:rPr>
          </w:pPr>
          <w:r w:rsidRPr="000D0101">
            <w:rPr>
              <w:rFonts w:eastAsia="Times New Roman"/>
            </w:rPr>
            <w:t>Observaciones: N/A</w:t>
          </w:r>
        </w:p>
        <w:p w14:paraId="0CD83D08" w14:textId="77777777" w:rsidR="003D5DB4" w:rsidRPr="000D0101" w:rsidRDefault="003D5DB4" w:rsidP="000A5389">
          <w:pPr>
            <w:spacing w:line="240" w:lineRule="auto"/>
            <w:rPr>
              <w:rFonts w:eastAsia="Times New Roman"/>
            </w:rPr>
          </w:pPr>
          <w:r w:rsidRPr="000D0101">
            <w:rPr>
              <w:rFonts w:eastAsia="Times New Roman"/>
            </w:rPr>
            <w:t>Retribución al concesionario</w:t>
          </w:r>
        </w:p>
        <w:p w14:paraId="5EAA106E" w14:textId="77777777" w:rsidR="003D5DB4" w:rsidRPr="000D0101" w:rsidRDefault="003D5DB4" w:rsidP="000A5389">
          <w:pPr>
            <w:spacing w:line="240" w:lineRule="auto"/>
            <w:rPr>
              <w:rFonts w:eastAsia="Times New Roman"/>
            </w:rPr>
          </w:pPr>
        </w:p>
        <w:p w14:paraId="3D453277" w14:textId="77777777" w:rsidR="003D5DB4" w:rsidRPr="000D0101" w:rsidRDefault="003D5DB4" w:rsidP="000A5389">
          <w:pPr>
            <w:spacing w:line="240" w:lineRule="auto"/>
            <w:rPr>
              <w:rFonts w:eastAsia="Times New Roman"/>
            </w:rPr>
          </w:pPr>
          <w:r w:rsidRPr="000D0101">
            <w:rPr>
              <w:rFonts w:eastAsia="Times New Roman"/>
            </w:rPr>
            <w:t>Descripción:</w:t>
          </w:r>
          <w:r w:rsidRPr="000D0101">
            <w:rPr>
              <w:rFonts w:eastAsia="Times New Roman"/>
            </w:rPr>
            <w:tab/>
            <w:t>Cláusula primera Contrato No 004 de 2015: Se otorga a EL CONCESIONARIO la autorización de la ocupación en forma temporal y exclusiva de los bienes de uso público en zonas de playas, bajamar y aguas marítimas accesorias descritos en la CLÁUSULA 2 BIENES CONCESIONADOS, a cambio de una contraprestación económica.</w:t>
          </w:r>
        </w:p>
        <w:p w14:paraId="22ADC54A" w14:textId="77777777" w:rsidR="003D5DB4" w:rsidRPr="000D0101" w:rsidRDefault="003D5DB4" w:rsidP="000A5389">
          <w:pPr>
            <w:spacing w:line="240" w:lineRule="auto"/>
            <w:rPr>
              <w:rFonts w:eastAsia="Times New Roman"/>
            </w:rPr>
          </w:pPr>
        </w:p>
        <w:p w14:paraId="7F767B59" w14:textId="77777777" w:rsidR="003D5DB4" w:rsidRPr="000D0101" w:rsidRDefault="003D5DB4" w:rsidP="000A5389">
          <w:pPr>
            <w:spacing w:line="240" w:lineRule="auto"/>
            <w:rPr>
              <w:rFonts w:eastAsia="Times New Roman"/>
            </w:rPr>
          </w:pPr>
          <w:r w:rsidRPr="000D0101">
            <w:rPr>
              <w:rFonts w:eastAsia="Times New Roman"/>
            </w:rPr>
            <w:t>Tasa de retribución:</w:t>
          </w:r>
          <w:r w:rsidRPr="000D0101">
            <w:rPr>
              <w:rFonts w:eastAsia="Times New Roman"/>
            </w:rPr>
            <w:tab/>
            <w:t>N/A</w:t>
          </w:r>
        </w:p>
        <w:p w14:paraId="7F6712DE" w14:textId="77777777" w:rsidR="003D5DB4" w:rsidRPr="000D0101" w:rsidRDefault="003D5DB4" w:rsidP="000A5389">
          <w:pPr>
            <w:spacing w:line="240" w:lineRule="auto"/>
            <w:rPr>
              <w:rFonts w:eastAsia="Times New Roman"/>
            </w:rPr>
          </w:pPr>
        </w:p>
        <w:p w14:paraId="304BD37F" w14:textId="77777777" w:rsidR="003D5DB4" w:rsidRPr="000D0101" w:rsidRDefault="003D5DB4" w:rsidP="000A5389">
          <w:pPr>
            <w:spacing w:line="240" w:lineRule="auto"/>
            <w:rPr>
              <w:rFonts w:eastAsia="Times New Roman"/>
            </w:rPr>
          </w:pPr>
          <w:r w:rsidRPr="000D0101">
            <w:rPr>
              <w:rFonts w:eastAsia="Times New Roman"/>
            </w:rPr>
            <w:t>d. Derechos a recibir Activos especificados al final del acuerdo de concesión</w:t>
          </w:r>
        </w:p>
        <w:p w14:paraId="67FD8AEC" w14:textId="77777777" w:rsidR="003D5DB4" w:rsidRPr="000D0101" w:rsidRDefault="003D5DB4" w:rsidP="000A5389">
          <w:pPr>
            <w:spacing w:line="240" w:lineRule="auto"/>
            <w:rPr>
              <w:rFonts w:eastAsia="Times New Roman"/>
            </w:rPr>
          </w:pPr>
        </w:p>
        <w:p w14:paraId="04C76D22" w14:textId="77777777" w:rsidR="003D5DB4" w:rsidRPr="000D0101" w:rsidRDefault="003D5DB4" w:rsidP="000A5389">
          <w:pPr>
            <w:spacing w:line="240" w:lineRule="auto"/>
            <w:rPr>
              <w:rFonts w:eastAsia="Times New Roman"/>
            </w:rPr>
          </w:pPr>
          <w:r w:rsidRPr="000D0101">
            <w:rPr>
              <w:rFonts w:eastAsia="Times New Roman"/>
            </w:rPr>
            <w:t>Descripción:</w:t>
          </w:r>
          <w:r w:rsidRPr="000D0101">
            <w:rPr>
              <w:rFonts w:eastAsia="Times New Roman"/>
            </w:rPr>
            <w:tab/>
            <w:t>De acuerdo con el Artículo 8º de la Ley 1 de 1991 en el modo portuario el concesionario no tiene derechos finales sobre activos los debe revertir a la Nación al final del contrato de concesión.</w:t>
          </w:r>
        </w:p>
        <w:p w14:paraId="71B26C51" w14:textId="77777777" w:rsidR="003D5DB4" w:rsidRPr="000D0101" w:rsidRDefault="003D5DB4" w:rsidP="000A5389">
          <w:pPr>
            <w:spacing w:line="240" w:lineRule="auto"/>
            <w:rPr>
              <w:rFonts w:eastAsia="Times New Roman"/>
            </w:rPr>
          </w:pPr>
        </w:p>
        <w:p w14:paraId="64F25DC1" w14:textId="77777777" w:rsidR="003D5DB4" w:rsidRPr="000D0101" w:rsidRDefault="003D5DB4" w:rsidP="000A5389">
          <w:pPr>
            <w:spacing w:line="240" w:lineRule="auto"/>
            <w:rPr>
              <w:rFonts w:eastAsia="Times New Roman"/>
            </w:rPr>
          </w:pPr>
          <w:r w:rsidRPr="000D0101">
            <w:rPr>
              <w:rFonts w:eastAsia="Times New Roman"/>
            </w:rPr>
            <w:t>Observaciones: De acuerdo con lo establecido en la cláusula trigésimo cuarta del contrato de concesión, la zona de uso público y todas las construcciones e inmuebles por destinación existentes, así como los que se autoricen por la ANI, levantadas y construidas en la zona de uso público que ha sido determinada o que se encuentre habitualmente instalada en ellas y afectadas a la concesión, serán revertidas gratuitamente por el CONCESIONARIO a la Nación- Instituto Nacional de Vías INVIAS conforme a lo dispuesto en el artículo 8 de la ley de 1991, en buen estado de operación y mantenimiento al extinguirse el plazo de la misma o al ser declarada la caducidad. Dichos bienes deberán entregarse en buenas condiciones de operación tecnológica, mantenimiento y adecuada eficiencia al término de este contrato.  Para efecto el CONCESIONARIO deberá entregar un avaluó comercial actualizado y valoración técnica de las condiciones de operación de la Infraestructura portuaria, equipos e inmuebles por destinación que habitualmente se encuentren Instalados en las zonas de uso público que se revierten y que son propiedad de la Nación. La ANI es la entidad concedente pero la titularidad de los activos al final de la concesión es del Instituto Nacional de Vías INVIAS.</w:t>
          </w:r>
        </w:p>
        <w:p w14:paraId="4103988B" w14:textId="77777777" w:rsidR="003D5DB4" w:rsidRPr="000D0101" w:rsidRDefault="003D5DB4" w:rsidP="000A5389">
          <w:pPr>
            <w:spacing w:line="240" w:lineRule="auto"/>
            <w:rPr>
              <w:rFonts w:eastAsia="Times New Roman"/>
            </w:rPr>
          </w:pPr>
        </w:p>
        <w:p w14:paraId="41FFE7C2" w14:textId="77777777" w:rsidR="003D5DB4" w:rsidRPr="000D0101" w:rsidRDefault="003D5DB4" w:rsidP="000A5389">
          <w:pPr>
            <w:spacing w:line="240" w:lineRule="auto"/>
            <w:rPr>
              <w:rFonts w:eastAsia="Times New Roman"/>
            </w:rPr>
          </w:pPr>
          <w:r w:rsidRPr="000D0101">
            <w:rPr>
              <w:rFonts w:eastAsia="Times New Roman"/>
            </w:rPr>
            <w:t>e. Las alternativas de renovación y cese del acuerdo</w:t>
          </w:r>
        </w:p>
        <w:p w14:paraId="116AE076" w14:textId="77777777" w:rsidR="003D5DB4" w:rsidRPr="000D0101" w:rsidRDefault="003D5DB4" w:rsidP="000A5389">
          <w:pPr>
            <w:spacing w:line="240" w:lineRule="auto"/>
            <w:rPr>
              <w:rFonts w:eastAsia="Times New Roman"/>
            </w:rPr>
          </w:pPr>
        </w:p>
        <w:p w14:paraId="4C31C052" w14:textId="77777777" w:rsidR="003D5DB4" w:rsidRPr="000D0101" w:rsidRDefault="003D5DB4" w:rsidP="000A5389">
          <w:pPr>
            <w:spacing w:line="240" w:lineRule="auto"/>
            <w:rPr>
              <w:rFonts w:eastAsia="Times New Roman"/>
            </w:rPr>
          </w:pPr>
          <w:r w:rsidRPr="000D0101">
            <w:rPr>
              <w:rFonts w:eastAsia="Times New Roman"/>
            </w:rPr>
            <w:lastRenderedPageBreak/>
            <w:t>Descripción:</w:t>
          </w:r>
          <w:r w:rsidRPr="000D0101">
            <w:rPr>
              <w:rFonts w:eastAsia="Times New Roman"/>
            </w:rPr>
            <w:tab/>
            <w:t>La prórroga de la Concesión se encuentra en la CLÁUSULA 11. El cese del acuerdo se encuentra en la CLÁUSULA 30 y CLÁUSULA 33 del Contrato de Concesión.</w:t>
          </w:r>
        </w:p>
        <w:p w14:paraId="2BABDF22" w14:textId="77777777" w:rsidR="003D5DB4" w:rsidRPr="000D0101" w:rsidRDefault="003D5DB4" w:rsidP="000A5389">
          <w:pPr>
            <w:spacing w:line="240" w:lineRule="auto"/>
            <w:rPr>
              <w:rFonts w:eastAsia="Times New Roman"/>
            </w:rPr>
          </w:pPr>
        </w:p>
        <w:p w14:paraId="7B9BF0EB" w14:textId="77777777" w:rsidR="003D5DB4" w:rsidRPr="000D0101" w:rsidRDefault="003D5DB4" w:rsidP="000A5389">
          <w:pPr>
            <w:spacing w:line="240" w:lineRule="auto"/>
            <w:rPr>
              <w:rFonts w:eastAsia="Times New Roman"/>
            </w:rPr>
          </w:pPr>
          <w:r w:rsidRPr="000D0101">
            <w:rPr>
              <w:rFonts w:eastAsia="Times New Roman"/>
            </w:rPr>
            <w:t>Observaciones: N/A</w:t>
          </w:r>
        </w:p>
        <w:p w14:paraId="287651D9" w14:textId="77777777" w:rsidR="003D5DB4" w:rsidRPr="000D0101" w:rsidRDefault="003D5DB4" w:rsidP="000A5389">
          <w:pPr>
            <w:spacing w:line="240" w:lineRule="auto"/>
            <w:rPr>
              <w:rFonts w:eastAsia="Times New Roman"/>
            </w:rPr>
          </w:pPr>
        </w:p>
        <w:p w14:paraId="5E2EA9A7" w14:textId="77777777" w:rsidR="003D5DB4" w:rsidRPr="000D0101" w:rsidRDefault="003D5DB4" w:rsidP="000A5389">
          <w:pPr>
            <w:spacing w:line="240" w:lineRule="auto"/>
            <w:rPr>
              <w:rFonts w:eastAsia="Times New Roman"/>
            </w:rPr>
          </w:pPr>
          <w:r w:rsidRPr="000D0101">
            <w:rPr>
              <w:rFonts w:eastAsia="Times New Roman"/>
            </w:rPr>
            <w:t>f. Cambios en el acuerdo de concesión que se realicen durante el periodo fiscal</w:t>
          </w:r>
        </w:p>
        <w:p w14:paraId="3F2F51DF" w14:textId="77777777" w:rsidR="003D5DB4" w:rsidRPr="000D0101" w:rsidRDefault="003D5DB4" w:rsidP="000A5389">
          <w:pPr>
            <w:spacing w:line="240" w:lineRule="auto"/>
            <w:rPr>
              <w:rFonts w:eastAsia="Times New Roman"/>
            </w:rPr>
          </w:pPr>
        </w:p>
        <w:p w14:paraId="1564A890" w14:textId="77777777" w:rsidR="003D5DB4" w:rsidRPr="000D0101" w:rsidRDefault="003D5DB4" w:rsidP="000A5389">
          <w:pPr>
            <w:spacing w:line="240" w:lineRule="auto"/>
            <w:rPr>
              <w:rFonts w:eastAsia="Times New Roman"/>
            </w:rPr>
          </w:pPr>
          <w:r w:rsidRPr="000D0101">
            <w:rPr>
              <w:rFonts w:eastAsia="Times New Roman"/>
            </w:rPr>
            <w:t>Adiciones o modificaciones en tiempo</w:t>
          </w:r>
        </w:p>
        <w:p w14:paraId="51A359E7" w14:textId="77777777" w:rsidR="003D5DB4" w:rsidRPr="000D0101" w:rsidRDefault="003D5DB4" w:rsidP="000A5389">
          <w:pPr>
            <w:spacing w:line="240" w:lineRule="auto"/>
            <w:rPr>
              <w:rFonts w:eastAsia="Times New Roman"/>
            </w:rPr>
          </w:pPr>
          <w:r w:rsidRPr="000D0101">
            <w:rPr>
              <w:rFonts w:eastAsia="Times New Roman"/>
            </w:rPr>
            <w:t>Fechas de las adiciones o modificaciones:</w:t>
          </w:r>
          <w:r w:rsidRPr="000D0101">
            <w:rPr>
              <w:rFonts w:eastAsia="Times New Roman"/>
            </w:rPr>
            <w:tab/>
            <w:t>N/A</w:t>
          </w:r>
        </w:p>
        <w:p w14:paraId="02BCD89A" w14:textId="77777777" w:rsidR="003D5DB4" w:rsidRPr="000D0101" w:rsidRDefault="003D5DB4" w:rsidP="000A5389">
          <w:pPr>
            <w:spacing w:line="240" w:lineRule="auto"/>
            <w:rPr>
              <w:rFonts w:eastAsia="Times New Roman"/>
            </w:rPr>
          </w:pPr>
          <w:r w:rsidRPr="000D0101">
            <w:rPr>
              <w:rFonts w:eastAsia="Times New Roman"/>
            </w:rPr>
            <w:t>Nueva fecha de finalización estimada: N/A</w:t>
          </w:r>
        </w:p>
        <w:p w14:paraId="21CE2BB8" w14:textId="77777777" w:rsidR="003D5DB4" w:rsidRPr="000D0101" w:rsidRDefault="003D5DB4" w:rsidP="000A5389">
          <w:pPr>
            <w:spacing w:line="240" w:lineRule="auto"/>
            <w:rPr>
              <w:rFonts w:eastAsia="Times New Roman"/>
            </w:rPr>
          </w:pPr>
          <w:r w:rsidRPr="000D0101">
            <w:rPr>
              <w:rFonts w:eastAsia="Times New Roman"/>
            </w:rPr>
            <w:t>Observaciones: N/A</w:t>
          </w:r>
        </w:p>
        <w:p w14:paraId="7D6FE5EB" w14:textId="77777777" w:rsidR="003D5DB4" w:rsidRPr="000D0101" w:rsidRDefault="003D5DB4" w:rsidP="000A5389">
          <w:pPr>
            <w:spacing w:line="240" w:lineRule="auto"/>
            <w:rPr>
              <w:rFonts w:eastAsia="Times New Roman"/>
            </w:rPr>
          </w:pPr>
          <w:r w:rsidRPr="000D0101">
            <w:rPr>
              <w:rFonts w:eastAsia="Times New Roman"/>
            </w:rPr>
            <w:t>Adiciones o modificaciones en valor</w:t>
          </w:r>
        </w:p>
        <w:p w14:paraId="48D4626E" w14:textId="77777777" w:rsidR="003D5DB4" w:rsidRPr="000D0101" w:rsidRDefault="003D5DB4" w:rsidP="000A5389">
          <w:pPr>
            <w:spacing w:line="240" w:lineRule="auto"/>
            <w:rPr>
              <w:rFonts w:eastAsia="Times New Roman"/>
            </w:rPr>
          </w:pPr>
          <w:r w:rsidRPr="000D0101">
            <w:rPr>
              <w:rFonts w:eastAsia="Times New Roman"/>
            </w:rPr>
            <w:t>Valor de la adición o modificación: N/A</w:t>
          </w:r>
        </w:p>
        <w:p w14:paraId="16D0EBC2" w14:textId="77777777" w:rsidR="003D5DB4" w:rsidRPr="000D0101" w:rsidRDefault="003D5DB4" w:rsidP="000A5389">
          <w:pPr>
            <w:spacing w:line="240" w:lineRule="auto"/>
            <w:rPr>
              <w:rFonts w:eastAsia="Times New Roman"/>
            </w:rPr>
          </w:pPr>
          <w:r w:rsidRPr="000D0101">
            <w:rPr>
              <w:rFonts w:eastAsia="Times New Roman"/>
            </w:rPr>
            <w:t>Nuevo valor del acuerdo: N/A</w:t>
          </w:r>
        </w:p>
        <w:p w14:paraId="67F12420" w14:textId="77777777" w:rsidR="003D5DB4" w:rsidRPr="000D0101" w:rsidRDefault="003D5DB4" w:rsidP="000A5389">
          <w:pPr>
            <w:spacing w:line="240" w:lineRule="auto"/>
            <w:rPr>
              <w:rFonts w:eastAsia="Times New Roman"/>
            </w:rPr>
          </w:pPr>
          <w:r w:rsidRPr="000D0101">
            <w:rPr>
              <w:rFonts w:eastAsia="Times New Roman"/>
            </w:rPr>
            <w:t>Observaciones: N/A</w:t>
          </w:r>
        </w:p>
        <w:p w14:paraId="2903D7BD" w14:textId="77777777" w:rsidR="003D5DB4" w:rsidRPr="000D0101" w:rsidRDefault="003D5DB4" w:rsidP="000A5389">
          <w:pPr>
            <w:spacing w:line="240" w:lineRule="auto"/>
            <w:rPr>
              <w:rFonts w:eastAsia="Times New Roman"/>
            </w:rPr>
          </w:pPr>
        </w:p>
        <w:p w14:paraId="137827A8" w14:textId="77777777" w:rsidR="003D5DB4" w:rsidRPr="000D0101" w:rsidRDefault="003D5DB4" w:rsidP="000A5389">
          <w:pPr>
            <w:spacing w:line="240" w:lineRule="auto"/>
            <w:rPr>
              <w:rFonts w:eastAsia="Times New Roman"/>
            </w:rPr>
          </w:pPr>
        </w:p>
        <w:p w14:paraId="03962224" w14:textId="77777777" w:rsidR="003D5DB4" w:rsidRPr="00915852" w:rsidRDefault="003D5DB4" w:rsidP="000A5389">
          <w:pPr>
            <w:spacing w:line="240" w:lineRule="auto"/>
            <w:rPr>
              <w:rFonts w:eastAsia="Times New Roman"/>
              <w:i/>
              <w:iCs/>
              <w:lang w:eastAsia="es-CO"/>
            </w:rPr>
          </w:pPr>
          <w:r w:rsidRPr="00915852">
            <w:rPr>
              <w:rFonts w:eastAsia="Times New Roman"/>
              <w:i/>
              <w:iCs/>
              <w:lang w:eastAsia="es-CO"/>
            </w:rPr>
            <w:t xml:space="preserve">PORTUARIA PUNTA DE VACA S.A. </w:t>
          </w:r>
        </w:p>
        <w:p w14:paraId="31A864D8" w14:textId="77777777" w:rsidR="003D5DB4" w:rsidRPr="000D0101" w:rsidRDefault="003D5DB4" w:rsidP="000A5389">
          <w:pPr>
            <w:spacing w:line="240" w:lineRule="auto"/>
            <w:rPr>
              <w:rFonts w:eastAsia="Times New Roman"/>
            </w:rPr>
          </w:pPr>
        </w:p>
        <w:p w14:paraId="24317AED" w14:textId="77777777" w:rsidR="003D5DB4" w:rsidRPr="000D0101" w:rsidRDefault="003D5DB4" w:rsidP="000A5389">
          <w:pPr>
            <w:spacing w:line="240" w:lineRule="auto"/>
          </w:pPr>
          <w:r w:rsidRPr="000D0101">
            <w:t>a. Descripción del Acuerdo</w:t>
          </w:r>
        </w:p>
        <w:p w14:paraId="1945A261" w14:textId="77777777" w:rsidR="003D5DB4" w:rsidRPr="000D0101" w:rsidRDefault="003D5DB4" w:rsidP="000A5389">
          <w:pPr>
            <w:spacing w:line="240" w:lineRule="auto"/>
          </w:pPr>
        </w:p>
        <w:p w14:paraId="1F731345" w14:textId="77777777" w:rsidR="003D5DB4" w:rsidRPr="000D0101" w:rsidRDefault="003D5DB4" w:rsidP="000A5389">
          <w:pPr>
            <w:spacing w:line="240" w:lineRule="auto"/>
          </w:pPr>
          <w:r w:rsidRPr="000D0101">
            <w:t>Número del Acuerdo de Concesión: 002 de 2008</w:t>
          </w:r>
        </w:p>
        <w:p w14:paraId="1CB7021B" w14:textId="77777777" w:rsidR="003D5DB4" w:rsidRPr="000D0101" w:rsidRDefault="003D5DB4" w:rsidP="000A5389">
          <w:pPr>
            <w:spacing w:line="240" w:lineRule="auto"/>
          </w:pPr>
        </w:p>
        <w:p w14:paraId="33D87697" w14:textId="77777777" w:rsidR="003D5DB4" w:rsidRPr="000D0101" w:rsidRDefault="003D5DB4" w:rsidP="000A5389">
          <w:pPr>
            <w:spacing w:line="240" w:lineRule="auto"/>
          </w:pPr>
          <w:r w:rsidRPr="000D0101">
            <w:t>Objeto / Descripción: El INCO en virtud del presente contrato, otorga formalmente una concesión portuaria al concesionario, para el uso y goce en forma temporal y exclusiva de las playas, los terrenos de bajamar y zonas accesorias a aquellas o estos, de un sector de playa ubicado en el sitio denominado punta de las vacas frente a la bahía de turbo, departamento de Antioquia, para la operación y mantenimiento del muelle existente, destinado al recibo y despacho de combustibles por el termino de veinte (20) años a cambio de la contraprestación establecida en la cláusula octava de este contrato</w:t>
          </w:r>
        </w:p>
        <w:p w14:paraId="124A3BDA" w14:textId="77777777" w:rsidR="003D5DB4" w:rsidRPr="000D0101" w:rsidRDefault="003D5DB4" w:rsidP="000A5389">
          <w:pPr>
            <w:spacing w:line="240" w:lineRule="auto"/>
          </w:pPr>
          <w:r w:rsidRPr="000D0101">
            <w:t xml:space="preserve">Valor inicial: </w:t>
          </w:r>
          <w:r w:rsidRPr="000D0101">
            <w:rPr>
              <w:lang w:val="pt-PT"/>
            </w:rPr>
            <w:t>USD $79.818,34 Cláusula octava / Contrato No 002 de 2008.</w:t>
          </w:r>
        </w:p>
        <w:p w14:paraId="44E6C820" w14:textId="77777777" w:rsidR="003D5DB4" w:rsidRPr="000D0101" w:rsidRDefault="003D5DB4" w:rsidP="000A5389">
          <w:pPr>
            <w:spacing w:line="240" w:lineRule="auto"/>
          </w:pPr>
          <w:r w:rsidRPr="000D0101">
            <w:t>Fecha de inicio: 30/12/2008</w:t>
          </w:r>
        </w:p>
        <w:p w14:paraId="64985AB9" w14:textId="77777777" w:rsidR="003D5DB4" w:rsidRPr="000D0101" w:rsidRDefault="003D5DB4" w:rsidP="000A5389">
          <w:pPr>
            <w:spacing w:line="240" w:lineRule="auto"/>
          </w:pPr>
          <w:r w:rsidRPr="000D0101">
            <w:t>Fecha de finalización estimada: 19/12/2028</w:t>
          </w:r>
        </w:p>
        <w:p w14:paraId="43DD6903" w14:textId="77777777" w:rsidR="003D5DB4" w:rsidRPr="000D0101" w:rsidRDefault="003D5DB4" w:rsidP="000A5389">
          <w:pPr>
            <w:spacing w:line="240" w:lineRule="auto"/>
          </w:pPr>
          <w:r w:rsidRPr="000D0101">
            <w:t xml:space="preserve">Tipo ID: </w:t>
          </w:r>
          <w:r w:rsidRPr="000D0101">
            <w:rPr>
              <w:rStyle w:val="Estilo5"/>
              <w:rFonts w:cs="Times New Roman"/>
              <w:szCs w:val="24"/>
            </w:rPr>
            <w:t>NIT</w:t>
          </w:r>
        </w:p>
        <w:p w14:paraId="201270F5" w14:textId="77777777" w:rsidR="003D5DB4" w:rsidRPr="000D0101" w:rsidRDefault="003D5DB4" w:rsidP="000A5389">
          <w:pPr>
            <w:spacing w:line="240" w:lineRule="auto"/>
          </w:pPr>
          <w:r w:rsidRPr="000D0101">
            <w:t xml:space="preserve">Número ID: </w:t>
          </w:r>
          <w:r w:rsidRPr="000D0101">
            <w:rPr>
              <w:rStyle w:val="Estilo6"/>
              <w:rFonts w:cs="Times New Roman"/>
              <w:szCs w:val="24"/>
            </w:rPr>
            <w:t>841000270-3</w:t>
          </w:r>
        </w:p>
        <w:p w14:paraId="7E842ACF" w14:textId="77777777" w:rsidR="003D5DB4" w:rsidRPr="000D0101" w:rsidRDefault="003D5DB4" w:rsidP="000A5389">
          <w:pPr>
            <w:spacing w:line="240" w:lineRule="auto"/>
          </w:pPr>
          <w:r w:rsidRPr="000D0101">
            <w:t>Razón social del concesionario: Sociedad Portuaria Punta de Vaca S.A</w:t>
          </w:r>
        </w:p>
        <w:p w14:paraId="2F6B562A" w14:textId="77777777" w:rsidR="003D5DB4" w:rsidRPr="000D0101" w:rsidRDefault="003D5DB4" w:rsidP="000A5389">
          <w:pPr>
            <w:spacing w:line="240" w:lineRule="auto"/>
          </w:pPr>
          <w:r w:rsidRPr="000D0101">
            <w:t>Nombre del proyecto: Sociedad Portuaria Punta de Vaca S.A</w:t>
          </w:r>
        </w:p>
        <w:p w14:paraId="43D5529D" w14:textId="77777777" w:rsidR="003D5DB4" w:rsidRPr="000D0101" w:rsidRDefault="003D5DB4" w:rsidP="000A5389">
          <w:pPr>
            <w:spacing w:line="240" w:lineRule="auto"/>
          </w:pPr>
        </w:p>
        <w:p w14:paraId="69CF2434" w14:textId="77777777" w:rsidR="003D5DB4" w:rsidRPr="000D0101" w:rsidRDefault="003D5DB4" w:rsidP="000A5389">
          <w:pPr>
            <w:spacing w:line="240" w:lineRule="auto"/>
            <w:rPr>
              <w:lang w:val="es-MX"/>
            </w:rPr>
          </w:pPr>
          <w:r w:rsidRPr="000D0101">
            <w:rPr>
              <w:lang w:val="es-MX"/>
            </w:rPr>
            <w:t>b. Términos significativos del Acuerdo que puedan afectar su valor, el calendario y la certeza de los flujos</w:t>
          </w:r>
        </w:p>
        <w:p w14:paraId="4AACD08E" w14:textId="77777777" w:rsidR="003D5DB4" w:rsidRPr="000D0101" w:rsidRDefault="003D5DB4" w:rsidP="000A5389">
          <w:pPr>
            <w:spacing w:line="240" w:lineRule="auto"/>
          </w:pPr>
        </w:p>
        <w:p w14:paraId="62C9C67A" w14:textId="77777777" w:rsidR="003D5DB4" w:rsidRPr="000D0101" w:rsidRDefault="003D5DB4" w:rsidP="000A5389">
          <w:pPr>
            <w:spacing w:line="240" w:lineRule="auto"/>
          </w:pPr>
          <w:r w:rsidRPr="000D0101">
            <w:t xml:space="preserve">Términos de valor: 1: Tarifas: Al ser el terminal marítimo de servicio privado la Ley 1 de 1991 establece: Las sociedades portuarias que operan puertos de servicio privado podrán fijar libremente sus tarifas, pero mantendrán informada sobre ellas a la Superintendencia General </w:t>
          </w:r>
          <w:r w:rsidRPr="000D0101">
            <w:lastRenderedPageBreak/>
            <w:t>de Puertos hoy Superintendencia de Transporte. 2: Contraprestación portuaria: De acuerdo con el último documento contractual vigente la metodología de contraprestación vigente es CONPES 2680 DE 1993 (Productividad). Se establece en la cláusula octava del Contrato que el CONCESIONARIO deberá pagar por concepto de zona de uso público la suma anual de (USD 5.018,26), de dicho pago el 80% le corresponde a la Nación (INVIAS-ANI) y el 20% restante al municipio de Turbo (Antioquia) de acuerdo con lo establecido en el parágrafo 1 del artículo 1 de la ley 856 del 21 de diciembre de 2003, que modifica el artículo 7 de la ley 1ª de 1991. Así mismo, por concepto de infraestructura el CONCESIONARIO deberá pagar la suma anual de (USD 4.522,79), el cual corresponde en un 100% a la Nación -  (INVIAS-ANI) de acuerdo con lo establecido en el artículo 1 de la ley 856 del 21 diciembre de 2003.3: Plan de Inversiones: está establecido en la cláusula séptima del contrato donde indica que el plan de inversión será de USD $40.000 en valores corrientes. Obligaciones del CONCESIONARIO: se encuentran descritas en la cláusula décima quinta del contrato. Multas y sanciones: están establecidas en la cláusula décima octava del contrato. Penal pecuniaria: En la cláusula décima novena se establece que en el evento en que el INCO hoy ANI declare la caducidad o el incumplimiento del presente contrato se podrá imponer una penalidad pecuniaria del 10% del valor total de la contraprestación.</w:t>
          </w:r>
        </w:p>
        <w:p w14:paraId="71D02FED" w14:textId="77777777" w:rsidR="003D5DB4" w:rsidRPr="000D0101" w:rsidRDefault="003D5DB4" w:rsidP="000A5389">
          <w:pPr>
            <w:spacing w:line="240" w:lineRule="auto"/>
          </w:pPr>
          <w:r w:rsidRPr="000D0101">
            <w:t xml:space="preserve">Términos de calendario: 1: Tarifas: Aprobadas según la metodología establecida por la Superintendencia General de Puertos hoy Superintendencia de Transporte.2: Contraprestación portuaria: la contraprestación se debe pagar de manera anual anticipada desde el mes de enero de cada año3: Plan de inversiones: Se estableció en la cláusula séptima del contrato ejecución de inversiones en el periodo de tiempo comprendido entre el año 2010 a 2021.4: Multas: Cláusula décima octava contrato 002 de 2008.  </w:t>
          </w:r>
        </w:p>
        <w:p w14:paraId="5ACB8FBB" w14:textId="77777777" w:rsidR="003D5DB4" w:rsidRPr="000D0101" w:rsidRDefault="003D5DB4" w:rsidP="000A5389">
          <w:pPr>
            <w:spacing w:line="240" w:lineRule="auto"/>
          </w:pPr>
          <w:r w:rsidRPr="000D0101">
            <w:t>Términos de certeza de flujos de efectivo futuros: Se otorga a EL CONCESIONARIO el derecho de ocupar y utilizar en forma temporal y exclusiva las playas, los terrenos de bajamar y zonas accesorias a aquellas o estos, de un sector de playa ubicado en el sitio denominado Punta de las Vacas, frente a la Bahía de Turbo, departamento de Antioquia para la operación y el mantenimiento del muelle existente, destinado al recibo y despacho de combustibles, a cambio de la contraprestación establecida en la cláusula octava del contrato. Cláusula Octava, del valor a pagar por concepto de contraprestación por Zona de Uso público el 80% le corresponde a la Nación-(INVIAS-ANI) y el 20 % al municipio de Turbo (Antioquia) y por Infraestructura el 100% a la Nación-(INVIAS-ANI).</w:t>
          </w:r>
        </w:p>
        <w:p w14:paraId="4E55E3DB" w14:textId="77777777" w:rsidR="003D5DB4" w:rsidRPr="000D0101" w:rsidRDefault="003D5DB4" w:rsidP="000A5389">
          <w:pPr>
            <w:spacing w:line="240" w:lineRule="auto"/>
            <w:rPr>
              <w:lang w:val="es-MX"/>
            </w:rPr>
          </w:pPr>
        </w:p>
        <w:p w14:paraId="50132A1D" w14:textId="77777777" w:rsidR="003D5DB4" w:rsidRPr="000D0101" w:rsidRDefault="003D5DB4" w:rsidP="000A5389">
          <w:pPr>
            <w:spacing w:line="240" w:lineRule="auto"/>
            <w:rPr>
              <w:lang w:val="es-MX"/>
            </w:rPr>
          </w:pPr>
          <w:r w:rsidRPr="000D0101">
            <w:rPr>
              <w:lang w:val="es-MX"/>
            </w:rPr>
            <w:t>c. Naturaleza y alcance del derecho a utilizar activos especificados y los aspectos pactados en torno a lo que se espera que el concesionario proporcione en relación con el acuerdo de concesión</w:t>
          </w:r>
        </w:p>
        <w:p w14:paraId="0A438769" w14:textId="77777777" w:rsidR="003D5DB4" w:rsidRPr="000D0101" w:rsidRDefault="003D5DB4" w:rsidP="000A5389">
          <w:pPr>
            <w:spacing w:line="240" w:lineRule="auto"/>
          </w:pPr>
        </w:p>
        <w:p w14:paraId="5BAE77B2" w14:textId="77777777" w:rsidR="003D5DB4" w:rsidRPr="000D0101" w:rsidRDefault="003D5DB4" w:rsidP="000A5389">
          <w:pPr>
            <w:spacing w:line="240" w:lineRule="auto"/>
          </w:pPr>
          <w:r w:rsidRPr="000D0101">
            <w:t>Naturaleza y alcance del derecho de uso de los activos</w:t>
          </w:r>
        </w:p>
        <w:p w14:paraId="4F32DC7A" w14:textId="77777777" w:rsidR="003D5DB4" w:rsidRPr="000D0101" w:rsidRDefault="003D5DB4" w:rsidP="000A5389">
          <w:pPr>
            <w:spacing w:line="240" w:lineRule="auto"/>
          </w:pPr>
        </w:p>
        <w:p w14:paraId="6D4114FA" w14:textId="77777777" w:rsidR="003D5DB4" w:rsidRPr="000D0101" w:rsidRDefault="003D5DB4" w:rsidP="000A5389">
          <w:pPr>
            <w:spacing w:line="240" w:lineRule="auto"/>
          </w:pPr>
          <w:r w:rsidRPr="000D0101">
            <w:t xml:space="preserve">Descripción: Descripción del proyecto, especificaciones técnicas, modalidades de operación: las condiciones especiales de operación del puerto están establecidas en la cláusula quinta. las condiciones especiales de operación del puerto están establecidas en la cláusula quinta. Área entregada en concesión: La descripción de la ubicación, linderos y extensión de los bienes de uso público (construcciones portuarias, playas y terrenos de baja mar, zonas </w:t>
          </w:r>
          <w:r w:rsidRPr="000D0101">
            <w:lastRenderedPageBreak/>
            <w:t>marítimas accesorias de maniobras) entregados en concesión están establecidos en la cláusula segunda Infraestructura y equipos entregados en concesión: En la cláusula segunda del Contrato, se describe que lo entregado en concesión fue: Infraestructura: Muelle tipo patalán en concreto conformado por una pasarela de acceso en concreto soportada en pilotes de concreto, perpendicular a la línea de playa, con una longitud de 69,08 metros de largo por 1)50 metros de ancho, una plataforma central de operaciones en concreto de 5,6 metros de ancho por 8,8 metros de largo, dos (2) piñas en concreto para atraque o amarre de los buques, a lo largo de la pasarela y paralelas a ella, corren cuatro (4) tuberías de diámetro A" para el transporte de los combustibles, distribuidas así: 3 tuberías (1 para gasolina corriente, 1 para gasolina premium y 1 para diésel) y la otra, para el agua utilizada en el equipo contra Incendios del muelle y de la planta. Adicionalmente, existe una bodega para el almacenamiento de lubricantes, una (1) caseta construida en la plataforma central con techo de hoja de zinc y nueve (9) pilotes de madera; dicha caseta lleva nueve (9) bases de concreto; dentro de esta se encuentran: dos (2) postes de energía con su respectivas luminarias, tres (3) pilotes para prender y apagar las bombas de combustibles, tres (3) juegos de válvulas para operación, tres (3) Juegos de válvulas de paso para diésel, gasolina corriente y premium. Equipos: Una (í) registradora diésel, un (1) contador diésel, una (1) registradora gasolina, un (1) contador gasolina, una (1) registradora premium, un (1) contador premium. También cuenta con un equipo centra incendio constituido pon una (1) granada sumergida en el mar, una (1) bomba centrifuga, un (1) monitor ecualizable con boquillas, mangueras y un (1) extintor satélite de 1501b tipo ABC.</w:t>
          </w:r>
        </w:p>
        <w:p w14:paraId="74CEA0CB" w14:textId="77777777" w:rsidR="003D5DB4" w:rsidRPr="000D0101" w:rsidRDefault="003D5DB4" w:rsidP="000A5389">
          <w:pPr>
            <w:spacing w:line="240" w:lineRule="auto"/>
          </w:pPr>
          <w:r w:rsidRPr="000D0101">
            <w:t xml:space="preserve">Observaciones: </w:t>
          </w:r>
          <w:r w:rsidRPr="000D0101">
            <w:rPr>
              <w:rStyle w:val="Estilo6"/>
              <w:rFonts w:cs="Times New Roman"/>
              <w:szCs w:val="24"/>
            </w:rPr>
            <w:t>N/A</w:t>
          </w:r>
        </w:p>
        <w:p w14:paraId="35FB9431" w14:textId="77777777" w:rsidR="003D5DB4" w:rsidRPr="000D0101" w:rsidRDefault="003D5DB4" w:rsidP="000A5389">
          <w:pPr>
            <w:spacing w:line="240" w:lineRule="auto"/>
          </w:pPr>
          <w:r w:rsidRPr="000D0101">
            <w:t>Retribución al concesionario</w:t>
          </w:r>
        </w:p>
        <w:p w14:paraId="0F70ECCD" w14:textId="77777777" w:rsidR="003D5DB4" w:rsidRPr="000D0101" w:rsidRDefault="003D5DB4" w:rsidP="000A5389">
          <w:pPr>
            <w:spacing w:line="240" w:lineRule="auto"/>
          </w:pPr>
        </w:p>
        <w:p w14:paraId="7A393582" w14:textId="77777777" w:rsidR="003D5DB4" w:rsidRPr="000D0101" w:rsidRDefault="003D5DB4" w:rsidP="000A5389">
          <w:pPr>
            <w:spacing w:line="240" w:lineRule="auto"/>
          </w:pPr>
          <w:r w:rsidRPr="000D0101">
            <w:t>Descripción: Cláusula primera Contrato 002 de 2008: Se otorga a EL CONCESIONARIO el derecho de ocupar y utilizar en forma temporal y exclusiva las playas, los terrenos de bajamar y zonas accesorias a aquellas o estos, de un sector de playa ubicado en el sitio denominado Punta de las Vacas, frente a la Bahía de Turbo, departamento de Antioquia, a cambio de la contraprestación establecida en la cláusula octava del contrato.</w:t>
          </w:r>
        </w:p>
        <w:p w14:paraId="7FC6AF8A" w14:textId="77777777" w:rsidR="003D5DB4" w:rsidRPr="000D0101" w:rsidRDefault="003D5DB4" w:rsidP="000A5389">
          <w:pPr>
            <w:spacing w:line="240" w:lineRule="auto"/>
          </w:pPr>
          <w:r w:rsidRPr="000D0101">
            <w:t xml:space="preserve">Tasa de retribución: </w:t>
          </w:r>
          <w:r w:rsidRPr="000D0101">
            <w:rPr>
              <w:rStyle w:val="Estilo6"/>
              <w:rFonts w:cs="Times New Roman"/>
              <w:szCs w:val="24"/>
            </w:rPr>
            <w:t>N/A</w:t>
          </w:r>
        </w:p>
        <w:p w14:paraId="04492FF5" w14:textId="77777777" w:rsidR="003D5DB4" w:rsidRPr="000D0101" w:rsidRDefault="003D5DB4" w:rsidP="000A5389">
          <w:pPr>
            <w:spacing w:line="240" w:lineRule="auto"/>
          </w:pPr>
          <w:r w:rsidRPr="000D0101">
            <w:t>d. Derechos a recibir activos especificados al final del acuerdo de concesión</w:t>
          </w:r>
        </w:p>
        <w:p w14:paraId="06C16FFF" w14:textId="77777777" w:rsidR="003D5DB4" w:rsidRPr="000D0101" w:rsidRDefault="003D5DB4" w:rsidP="000A5389">
          <w:pPr>
            <w:spacing w:line="240" w:lineRule="auto"/>
          </w:pPr>
        </w:p>
        <w:p w14:paraId="45F240A2" w14:textId="77777777" w:rsidR="003D5DB4" w:rsidRPr="000D0101" w:rsidRDefault="003D5DB4" w:rsidP="000A5389">
          <w:pPr>
            <w:spacing w:line="240" w:lineRule="auto"/>
          </w:pPr>
          <w:r w:rsidRPr="000D0101">
            <w:t>Descripción: De acuerdo con el Artículo 8º de la Ley 1 de 1991 en el modo portuario el concesionario no tiene derechos finales sobre activos los debe revertir a la Nación al final del contrato de concesión</w:t>
          </w:r>
        </w:p>
        <w:p w14:paraId="79A66D20" w14:textId="77777777" w:rsidR="003D5DB4" w:rsidRPr="000D0101" w:rsidRDefault="003D5DB4" w:rsidP="000A5389">
          <w:pPr>
            <w:spacing w:line="240" w:lineRule="auto"/>
          </w:pPr>
          <w:r w:rsidRPr="000D0101">
            <w:t xml:space="preserve">Observaciones: Reversión: De acuerdo con lo establecido en la cláusula décimo segunda de! contrato de concesión, la zona de uso público y todas las construcciones y equipos entregadas en concesión se revertirán a la Nación en buenas condiciones de operación tecnológica, mantenimiento y de adecuada eficiencia al término de este contrato y de las prórrogas sí la hubiere. Igualmente procederá la reversión al ser declarado la caducidad o la terminación unilateral. Para tal fin, en el momento de la reversión el CONCESIONARIO deberá hacer entrega de un avaluó comercial actualizado y valoración técnica de las condiciones de operación de la Infraestructura portuaria, equipos e Inmuebles por destinación que habitualmente se encuentren instalados en las zonas de uso público que se revierten y que </w:t>
          </w:r>
          <w:r w:rsidRPr="000D0101">
            <w:lastRenderedPageBreak/>
            <w:t>son propiedad de la Nación. La ANI es la entidad concedente pero la titularidad de los activos al final de la concesión es del Instituto Nacional de Vías INVIAS</w:t>
          </w:r>
        </w:p>
        <w:p w14:paraId="00B56282" w14:textId="77777777" w:rsidR="003D5DB4" w:rsidRPr="000D0101" w:rsidRDefault="003D5DB4" w:rsidP="000A5389">
          <w:pPr>
            <w:spacing w:line="240" w:lineRule="auto"/>
          </w:pPr>
          <w:r w:rsidRPr="000D0101">
            <w:t>Las alternativas de renovación y cese del Acuerdo</w:t>
          </w:r>
        </w:p>
        <w:p w14:paraId="4990CEB2" w14:textId="77777777" w:rsidR="003D5DB4" w:rsidRPr="000D0101" w:rsidRDefault="003D5DB4" w:rsidP="000A5389">
          <w:pPr>
            <w:spacing w:line="240" w:lineRule="auto"/>
          </w:pPr>
        </w:p>
        <w:p w14:paraId="535668B7" w14:textId="77777777" w:rsidR="003D5DB4" w:rsidRPr="000D0101" w:rsidRDefault="003D5DB4" w:rsidP="000A5389">
          <w:pPr>
            <w:spacing w:line="240" w:lineRule="auto"/>
          </w:pPr>
          <w:r w:rsidRPr="000D0101">
            <w:t>Descripción: El cese del acuerdo se encuentra en las CLÁUSULA VIGÉSIMA PRIMERA y CLÁUSULA VIGÉSIMA CUARTA del Contrato de Concesión. En la CLÁUSULA DÉCIMA PRIMERA se encuentra las alternativas de renovación.</w:t>
          </w:r>
        </w:p>
        <w:p w14:paraId="34FC28EC" w14:textId="77777777" w:rsidR="003D5DB4" w:rsidRPr="000D0101" w:rsidRDefault="003D5DB4" w:rsidP="000A5389">
          <w:pPr>
            <w:spacing w:line="240" w:lineRule="auto"/>
          </w:pPr>
          <w:r w:rsidRPr="000D0101">
            <w:t>Observaciones: No se tiene ninguna observación</w:t>
          </w:r>
        </w:p>
        <w:p w14:paraId="48BAA38D" w14:textId="77777777" w:rsidR="003D5DB4" w:rsidRPr="000D0101" w:rsidRDefault="003D5DB4" w:rsidP="000A5389">
          <w:pPr>
            <w:spacing w:line="240" w:lineRule="auto"/>
            <w:rPr>
              <w:lang w:val="es-MX"/>
            </w:rPr>
          </w:pPr>
          <w:r w:rsidRPr="000D0101">
            <w:rPr>
              <w:lang w:val="es-MX"/>
            </w:rPr>
            <w:t>f. Cambios en el acuerdo de concesión que se realicen durante el periodo fiscal</w:t>
          </w:r>
        </w:p>
        <w:p w14:paraId="3B212C71" w14:textId="77777777" w:rsidR="003D5DB4" w:rsidRPr="000D0101" w:rsidRDefault="003D5DB4" w:rsidP="000A5389">
          <w:pPr>
            <w:spacing w:line="240" w:lineRule="auto"/>
            <w:rPr>
              <w:lang w:val="es-MX"/>
            </w:rPr>
          </w:pPr>
        </w:p>
        <w:p w14:paraId="02B2CB30" w14:textId="77777777" w:rsidR="003D5DB4" w:rsidRPr="000D0101" w:rsidRDefault="003D5DB4" w:rsidP="000A5389">
          <w:pPr>
            <w:spacing w:line="240" w:lineRule="auto"/>
          </w:pPr>
          <w:r w:rsidRPr="000D0101">
            <w:t>Adiciones o modificaciones en tiempo</w:t>
          </w:r>
        </w:p>
        <w:p w14:paraId="2029A5A4" w14:textId="77777777" w:rsidR="003D5DB4" w:rsidRPr="000D0101" w:rsidRDefault="003D5DB4" w:rsidP="000A5389">
          <w:pPr>
            <w:spacing w:line="240" w:lineRule="auto"/>
          </w:pPr>
          <w:r w:rsidRPr="000D0101">
            <w:t xml:space="preserve">Fechas de las adiciones o modificaciones: </w:t>
          </w:r>
          <w:r w:rsidRPr="000D0101">
            <w:rPr>
              <w:rStyle w:val="Estilo6"/>
              <w:rFonts w:cs="Times New Roman"/>
              <w:szCs w:val="24"/>
            </w:rPr>
            <w:t>N/A</w:t>
          </w:r>
          <w:r w:rsidRPr="000D0101">
            <w:t xml:space="preserve"> </w:t>
          </w:r>
        </w:p>
        <w:p w14:paraId="78C436B4" w14:textId="77777777" w:rsidR="003D5DB4" w:rsidRPr="000D0101" w:rsidRDefault="003D5DB4" w:rsidP="000A5389">
          <w:pPr>
            <w:spacing w:line="240" w:lineRule="auto"/>
            <w:rPr>
              <w:rStyle w:val="Estilo6"/>
              <w:rFonts w:cs="Times New Roman"/>
              <w:szCs w:val="24"/>
            </w:rPr>
          </w:pPr>
          <w:r w:rsidRPr="000D0101">
            <w:t xml:space="preserve">Nueva fecha de finalización estimada: </w:t>
          </w:r>
          <w:r w:rsidRPr="000D0101">
            <w:rPr>
              <w:rStyle w:val="Estilo6"/>
              <w:rFonts w:cs="Times New Roman"/>
              <w:szCs w:val="24"/>
            </w:rPr>
            <w:t>N/A</w:t>
          </w:r>
        </w:p>
        <w:p w14:paraId="1A739C17" w14:textId="77777777" w:rsidR="003D5DB4" w:rsidRPr="000D0101" w:rsidRDefault="003D5DB4" w:rsidP="000A5389">
          <w:pPr>
            <w:spacing w:line="240" w:lineRule="auto"/>
          </w:pPr>
          <w:r w:rsidRPr="000D0101">
            <w:t xml:space="preserve">Observaciones: </w:t>
          </w:r>
          <w:r w:rsidRPr="000D0101">
            <w:rPr>
              <w:rStyle w:val="Estilo6"/>
              <w:rFonts w:cs="Times New Roman"/>
              <w:szCs w:val="24"/>
            </w:rPr>
            <w:t>N/A</w:t>
          </w:r>
        </w:p>
        <w:p w14:paraId="6037EC34" w14:textId="77777777" w:rsidR="003D5DB4" w:rsidRPr="000D0101" w:rsidRDefault="003D5DB4" w:rsidP="000A5389">
          <w:pPr>
            <w:spacing w:line="240" w:lineRule="auto"/>
          </w:pPr>
          <w:r w:rsidRPr="000D0101">
            <w:t>Adiciones o modificaciones en valor</w:t>
          </w:r>
        </w:p>
        <w:p w14:paraId="5C6D7C87" w14:textId="77777777" w:rsidR="003D5DB4" w:rsidRPr="000D0101" w:rsidRDefault="003D5DB4" w:rsidP="000A5389">
          <w:pPr>
            <w:spacing w:line="240" w:lineRule="auto"/>
            <w:rPr>
              <w:rStyle w:val="Estilo6"/>
              <w:rFonts w:cs="Times New Roman"/>
              <w:szCs w:val="24"/>
            </w:rPr>
          </w:pPr>
          <w:r w:rsidRPr="000D0101">
            <w:t xml:space="preserve">Valor de la adición o modificación: </w:t>
          </w:r>
          <w:r w:rsidRPr="000D0101">
            <w:rPr>
              <w:rStyle w:val="Estilo6"/>
              <w:rFonts w:cs="Times New Roman"/>
              <w:szCs w:val="24"/>
            </w:rPr>
            <w:t>N/A</w:t>
          </w:r>
        </w:p>
        <w:p w14:paraId="6F4F279F" w14:textId="77777777" w:rsidR="003D5DB4" w:rsidRPr="000D0101" w:rsidRDefault="003D5DB4" w:rsidP="000A5389">
          <w:pPr>
            <w:spacing w:line="240" w:lineRule="auto"/>
            <w:rPr>
              <w:rStyle w:val="Estilo6"/>
              <w:rFonts w:cs="Times New Roman"/>
              <w:szCs w:val="24"/>
            </w:rPr>
          </w:pPr>
          <w:r w:rsidRPr="000D0101">
            <w:t xml:space="preserve">Nuevo valor del acuerdo: </w:t>
          </w:r>
          <w:r w:rsidRPr="000D0101">
            <w:rPr>
              <w:rStyle w:val="Estilo6"/>
              <w:rFonts w:cs="Times New Roman"/>
              <w:szCs w:val="24"/>
            </w:rPr>
            <w:t>N/A</w:t>
          </w:r>
        </w:p>
        <w:p w14:paraId="4AB00422" w14:textId="77777777" w:rsidR="003D5DB4" w:rsidRDefault="003D5DB4" w:rsidP="000A5389">
          <w:pPr>
            <w:spacing w:line="240" w:lineRule="auto"/>
            <w:rPr>
              <w:rStyle w:val="Estilo6"/>
              <w:rFonts w:cs="Times New Roman"/>
              <w:szCs w:val="24"/>
            </w:rPr>
          </w:pPr>
          <w:r w:rsidRPr="000D0101">
            <w:t xml:space="preserve">Observaciones: </w:t>
          </w:r>
          <w:r w:rsidRPr="000D0101">
            <w:rPr>
              <w:rStyle w:val="Estilo6"/>
              <w:rFonts w:cs="Times New Roman"/>
              <w:szCs w:val="24"/>
            </w:rPr>
            <w:t>N/A</w:t>
          </w:r>
        </w:p>
        <w:p w14:paraId="22EB1B59" w14:textId="77777777" w:rsidR="00D8025C" w:rsidRPr="000D0101" w:rsidRDefault="00D8025C" w:rsidP="000A5389">
          <w:pPr>
            <w:spacing w:line="240" w:lineRule="auto"/>
          </w:pPr>
        </w:p>
        <w:p w14:paraId="5D9B727A" w14:textId="77777777" w:rsidR="003D5DB4" w:rsidRPr="000D0101" w:rsidRDefault="003D5DB4" w:rsidP="000A5389">
          <w:pPr>
            <w:spacing w:line="240" w:lineRule="auto"/>
            <w:rPr>
              <w:rFonts w:eastAsia="Times New Roman"/>
              <w:lang w:eastAsia="es-CO"/>
            </w:rPr>
          </w:pPr>
        </w:p>
        <w:p w14:paraId="2F83A244" w14:textId="77777777" w:rsidR="003D5DB4" w:rsidRPr="00D8025C" w:rsidRDefault="003D5DB4" w:rsidP="000A5389">
          <w:pPr>
            <w:spacing w:line="240" w:lineRule="auto"/>
            <w:rPr>
              <w:rFonts w:eastAsia="Times New Roman"/>
              <w:i/>
              <w:iCs/>
            </w:rPr>
          </w:pPr>
          <w:r w:rsidRPr="00D8025C">
            <w:rPr>
              <w:rFonts w:eastAsia="Times New Roman"/>
              <w:i/>
              <w:iCs/>
              <w:lang w:eastAsia="es-CO"/>
            </w:rPr>
            <w:t xml:space="preserve">PROMOTORA BANANERA S.A. </w:t>
          </w:r>
        </w:p>
        <w:p w14:paraId="67F4CC6A" w14:textId="77777777" w:rsidR="003D5DB4" w:rsidRPr="000D0101" w:rsidRDefault="003D5DB4" w:rsidP="000A5389">
          <w:pPr>
            <w:spacing w:line="240" w:lineRule="auto"/>
          </w:pPr>
        </w:p>
        <w:p w14:paraId="3552E3D0" w14:textId="77777777" w:rsidR="003D5DB4" w:rsidRPr="000D0101" w:rsidRDefault="003D5DB4" w:rsidP="000A5389">
          <w:pPr>
            <w:spacing w:line="240" w:lineRule="auto"/>
            <w:rPr>
              <w:rFonts w:eastAsia="Times New Roman"/>
            </w:rPr>
          </w:pPr>
          <w:r w:rsidRPr="000D0101">
            <w:rPr>
              <w:rFonts w:eastAsia="Times New Roman"/>
            </w:rPr>
            <w:t>a. Descripción del Acuerdo</w:t>
          </w:r>
        </w:p>
        <w:p w14:paraId="47FA6C38" w14:textId="77777777" w:rsidR="003D5DB4" w:rsidRPr="000D0101" w:rsidRDefault="003D5DB4" w:rsidP="000A5389">
          <w:pPr>
            <w:spacing w:line="240" w:lineRule="auto"/>
            <w:rPr>
              <w:rFonts w:eastAsia="Times New Roman"/>
            </w:rPr>
          </w:pPr>
        </w:p>
        <w:p w14:paraId="6D166906" w14:textId="77777777" w:rsidR="003D5DB4" w:rsidRPr="000D0101" w:rsidRDefault="003D5DB4" w:rsidP="000A5389">
          <w:pPr>
            <w:spacing w:line="240" w:lineRule="auto"/>
            <w:rPr>
              <w:rFonts w:eastAsia="Times New Roman"/>
            </w:rPr>
          </w:pPr>
          <w:r w:rsidRPr="000D0101">
            <w:rPr>
              <w:rFonts w:eastAsia="Times New Roman"/>
            </w:rPr>
            <w:t>Número del Acuerdo de concesión: 1032 de 2017 (Resolución de Cesión No. 20213030004545 del 26 de marzo de 2021).</w:t>
          </w:r>
        </w:p>
        <w:p w14:paraId="0FC7EC5D" w14:textId="77777777" w:rsidR="003D5DB4" w:rsidRPr="000D0101" w:rsidRDefault="003D5DB4" w:rsidP="000A5389">
          <w:pPr>
            <w:spacing w:line="240" w:lineRule="auto"/>
            <w:rPr>
              <w:rFonts w:eastAsia="Times New Roman"/>
            </w:rPr>
          </w:pPr>
        </w:p>
        <w:p w14:paraId="03C375E5" w14:textId="77777777" w:rsidR="003D5DB4" w:rsidRPr="000D0101" w:rsidRDefault="003D5DB4" w:rsidP="000A5389">
          <w:pPr>
            <w:spacing w:line="240" w:lineRule="auto"/>
            <w:rPr>
              <w:rFonts w:eastAsia="Times New Roman"/>
            </w:rPr>
          </w:pPr>
          <w:r w:rsidRPr="000D0101">
            <w:rPr>
              <w:rFonts w:eastAsia="Times New Roman"/>
            </w:rPr>
            <w:t>Objeto / Descripción: Homologar el permiso de operación portuaria fluvial de los muelles de Zungo y Nueva Colonia, ubicados en los municipios de Carepa y Turbo, sector de Urabá, respectivamente, puertos de servicio público destinados a la comercialización de bananos a la sociedad PROMOTORA DE BANANO S.A. - PROBAN S.A, otorgado por el Ministerio de Transporte, por medio de la Resolución No. 0002426 del 31 de julio de 1998, prestando servicio de transporte a terceros de cargas diferentes al banano y conforme a lo establecido en el artículo 4 del decreto 2079 del 9 de junio de 2010, las actividades se desarrollan en inmuebles de dominio privado.</w:t>
          </w:r>
        </w:p>
        <w:p w14:paraId="7C8E77F4" w14:textId="77777777" w:rsidR="003D5DB4" w:rsidRPr="000D0101" w:rsidRDefault="003D5DB4" w:rsidP="000A5389">
          <w:pPr>
            <w:spacing w:line="240" w:lineRule="auto"/>
            <w:rPr>
              <w:rFonts w:eastAsia="Times New Roman"/>
            </w:rPr>
          </w:pPr>
        </w:p>
        <w:p w14:paraId="009CBA77" w14:textId="77777777" w:rsidR="003D5DB4" w:rsidRPr="000D0101" w:rsidRDefault="003D5DB4" w:rsidP="000A5389">
          <w:pPr>
            <w:spacing w:line="240" w:lineRule="auto"/>
            <w:rPr>
              <w:rFonts w:eastAsia="Times New Roman"/>
            </w:rPr>
          </w:pPr>
          <w:r w:rsidRPr="000D0101">
            <w:rPr>
              <w:rFonts w:eastAsia="Times New Roman"/>
            </w:rPr>
            <w:t>Valor inicial:</w:t>
          </w:r>
          <w:r w:rsidRPr="000D0101">
            <w:rPr>
              <w:rFonts w:eastAsia="Times New Roman"/>
            </w:rPr>
            <w:tab/>
            <w:t>USD $1.445.863 Artículo Quinto / Resolución No. 1032 de 2017.</w:t>
          </w:r>
        </w:p>
        <w:p w14:paraId="17AA0D39" w14:textId="77777777" w:rsidR="003D5DB4" w:rsidRPr="000D0101" w:rsidRDefault="003D5DB4" w:rsidP="000A5389">
          <w:pPr>
            <w:spacing w:line="240" w:lineRule="auto"/>
            <w:rPr>
              <w:rFonts w:eastAsia="Times New Roman"/>
            </w:rPr>
          </w:pPr>
          <w:r w:rsidRPr="000D0101">
            <w:rPr>
              <w:rFonts w:eastAsia="Times New Roman"/>
            </w:rPr>
            <w:t>Fecha de inicio: 31/07/2017</w:t>
          </w:r>
        </w:p>
        <w:p w14:paraId="71C9FAB4" w14:textId="77777777" w:rsidR="003D5DB4" w:rsidRPr="000D0101" w:rsidRDefault="003D5DB4" w:rsidP="000A5389">
          <w:pPr>
            <w:spacing w:line="240" w:lineRule="auto"/>
            <w:rPr>
              <w:rFonts w:eastAsia="Times New Roman"/>
            </w:rPr>
          </w:pPr>
          <w:r w:rsidRPr="000D0101">
            <w:rPr>
              <w:rFonts w:eastAsia="Times New Roman"/>
            </w:rPr>
            <w:t>Fecha de finalización estimada: 31/07/2037</w:t>
          </w:r>
        </w:p>
        <w:p w14:paraId="6CA3BD2B" w14:textId="77777777" w:rsidR="003D5DB4" w:rsidRPr="000D0101" w:rsidRDefault="003D5DB4" w:rsidP="000A5389">
          <w:pPr>
            <w:spacing w:line="240" w:lineRule="auto"/>
            <w:rPr>
              <w:rFonts w:eastAsia="Times New Roman"/>
            </w:rPr>
          </w:pPr>
          <w:r w:rsidRPr="000D0101">
            <w:rPr>
              <w:rFonts w:eastAsia="Times New Roman"/>
            </w:rPr>
            <w:t>Tipo ID: NIT</w:t>
          </w:r>
        </w:p>
        <w:p w14:paraId="609D00E6" w14:textId="77777777" w:rsidR="003D5DB4" w:rsidRPr="000D0101" w:rsidRDefault="003D5DB4" w:rsidP="000A5389">
          <w:pPr>
            <w:spacing w:line="240" w:lineRule="auto"/>
            <w:rPr>
              <w:rFonts w:eastAsia="Times New Roman"/>
            </w:rPr>
          </w:pPr>
          <w:r w:rsidRPr="000D0101">
            <w:rPr>
              <w:rFonts w:eastAsia="Times New Roman"/>
            </w:rPr>
            <w:t>Número ID:</w:t>
          </w:r>
          <w:r w:rsidRPr="000D0101">
            <w:rPr>
              <w:rFonts w:eastAsia="Times New Roman"/>
            </w:rPr>
            <w:tab/>
            <w:t>890933326</w:t>
          </w:r>
        </w:p>
        <w:p w14:paraId="02384F26" w14:textId="77777777" w:rsidR="003D5DB4" w:rsidRPr="000D0101" w:rsidRDefault="003D5DB4" w:rsidP="000A5389">
          <w:pPr>
            <w:spacing w:line="240" w:lineRule="auto"/>
            <w:rPr>
              <w:rFonts w:eastAsia="Times New Roman"/>
            </w:rPr>
          </w:pPr>
          <w:r w:rsidRPr="000D0101">
            <w:rPr>
              <w:rFonts w:eastAsia="Times New Roman"/>
            </w:rPr>
            <w:t>Razón social del concesionario: SOCIEDAD PROMOTORA BANANERA S.A. -PROBAN S.A</w:t>
          </w:r>
        </w:p>
        <w:p w14:paraId="4541253E" w14:textId="77777777" w:rsidR="003D5DB4" w:rsidRPr="000D0101" w:rsidRDefault="003D5DB4" w:rsidP="000A5389">
          <w:pPr>
            <w:spacing w:line="240" w:lineRule="auto"/>
            <w:rPr>
              <w:rFonts w:eastAsia="Times New Roman"/>
            </w:rPr>
          </w:pPr>
          <w:r w:rsidRPr="000D0101">
            <w:rPr>
              <w:rFonts w:eastAsia="Times New Roman"/>
            </w:rPr>
            <w:t>Nombre del proyecto: SOCIEDAD PROMOTORA BANANERA S.A. -PROBAN S.A</w:t>
          </w:r>
        </w:p>
        <w:p w14:paraId="6F3E9D74" w14:textId="77777777" w:rsidR="003D5DB4" w:rsidRPr="000D0101" w:rsidRDefault="003D5DB4" w:rsidP="000A5389">
          <w:pPr>
            <w:spacing w:line="240" w:lineRule="auto"/>
            <w:rPr>
              <w:rFonts w:eastAsia="Times New Roman"/>
            </w:rPr>
          </w:pPr>
        </w:p>
        <w:p w14:paraId="502B6B7E" w14:textId="77777777" w:rsidR="003D5DB4" w:rsidRPr="000D0101" w:rsidRDefault="003D5DB4" w:rsidP="000A5389">
          <w:pPr>
            <w:spacing w:line="240" w:lineRule="auto"/>
            <w:rPr>
              <w:rFonts w:eastAsia="Times New Roman"/>
            </w:rPr>
          </w:pPr>
          <w:r w:rsidRPr="000D0101">
            <w:rPr>
              <w:rFonts w:eastAsia="Times New Roman"/>
            </w:rPr>
            <w:t>b. Términos significativos del Acuerdo que puedan afectar su valor, el calendario y la certeza de los flujos de efectivo futuros</w:t>
          </w:r>
        </w:p>
        <w:p w14:paraId="2CC7A075" w14:textId="77777777" w:rsidR="003D5DB4" w:rsidRPr="000D0101" w:rsidRDefault="003D5DB4" w:rsidP="000A5389">
          <w:pPr>
            <w:spacing w:line="240" w:lineRule="auto"/>
            <w:rPr>
              <w:rFonts w:eastAsia="Times New Roman"/>
            </w:rPr>
          </w:pPr>
        </w:p>
        <w:p w14:paraId="016380A0" w14:textId="77777777" w:rsidR="003D5DB4" w:rsidRPr="000D0101" w:rsidRDefault="003D5DB4" w:rsidP="000A5389">
          <w:pPr>
            <w:spacing w:line="240" w:lineRule="auto"/>
            <w:rPr>
              <w:rFonts w:eastAsia="Times New Roman"/>
            </w:rPr>
          </w:pPr>
          <w:r w:rsidRPr="000D0101">
            <w:rPr>
              <w:rFonts w:eastAsia="Times New Roman"/>
            </w:rPr>
            <w:t>Términos de valor:</w:t>
          </w:r>
          <w:r w:rsidRPr="000D0101">
            <w:rPr>
              <w:rFonts w:eastAsia="Times New Roman"/>
            </w:rPr>
            <w:tab/>
            <w:t>Tarifas: Al ser el terminal marítimo de servicio privado la Ley 1 de 1991 establece: Las sociedades portuarias que operan puertos de servicio privado podrán fijar libremente sus tarifas, pero mantendrán informada sobre ellas a la Superintendencia General de Puertos hoy Superintendencia de Transporte. Contraprestación portuaria: De acuerdo con el último documento contractual la metodología de contraprestación vigente es CONPES 3744 de 2013 y según el artículo quinto de la Resolución No. 1032 de 2017 (Componentes Fijo y Variable).  A febrero de 2024 se proyectó que el CONCESIONARIO debió pagar la suma de USD $ USD $100.412,72 valor que incluye componente fijo y componente variable.  El valor correspondiente a la contraprestación por zona de uso público resultará de la diferencia entre el valor de la liquidación total y el valor de la infraestructura. Y el recaudo se realizará de conformidad con la ley 856 de 2003, es decir, ZUP el 80% le corresponde a la Nación (INVIAS-ANI) y el 20% restante a los Municipios de Carepa y Turbo (Antioquia); e INFRAESTRUCTURA en un 100% a la Nación (INVIAS-ANI). Plan de Inversiones: Teniendo en cuenta la Resolución No. 1032 de 2017, no se cuenta con un plan de inversión. Obligaciones del CONCESIONARIO: se encuentran descritas en el artículo noveno.</w:t>
          </w:r>
        </w:p>
        <w:p w14:paraId="614A1E9D" w14:textId="77777777" w:rsidR="003D5DB4" w:rsidRPr="000D0101" w:rsidRDefault="003D5DB4" w:rsidP="000A5389">
          <w:pPr>
            <w:spacing w:line="240" w:lineRule="auto"/>
            <w:rPr>
              <w:rFonts w:eastAsia="Times New Roman"/>
            </w:rPr>
          </w:pPr>
        </w:p>
        <w:p w14:paraId="7385587B" w14:textId="77777777" w:rsidR="003D5DB4" w:rsidRPr="000D0101" w:rsidRDefault="003D5DB4" w:rsidP="000A5389">
          <w:pPr>
            <w:spacing w:line="240" w:lineRule="auto"/>
            <w:rPr>
              <w:rFonts w:eastAsia="Times New Roman"/>
            </w:rPr>
          </w:pPr>
          <w:r w:rsidRPr="000D0101">
            <w:rPr>
              <w:rFonts w:eastAsia="Times New Roman"/>
            </w:rPr>
            <w:t>Términos de calendario: Tarifas: Aprobadas según la metodología establecida por la Superintendencia General de Puertos hoy Superintendencia de Transporte.  Contraprestación portuaria: La contraprestación se debe pagar de manera anticipada antes del mes de febrero de cada año.  Plan de inversiones: Teniendo en cuenta la Resolución No. 1032 de 2017, no se cuenta con un plan de inversión</w:t>
          </w:r>
        </w:p>
        <w:p w14:paraId="5DA05E1E" w14:textId="77777777" w:rsidR="003D5DB4" w:rsidRPr="000D0101" w:rsidRDefault="003D5DB4" w:rsidP="000A5389">
          <w:pPr>
            <w:spacing w:line="240" w:lineRule="auto"/>
            <w:rPr>
              <w:rFonts w:eastAsia="Times New Roman"/>
            </w:rPr>
          </w:pPr>
        </w:p>
        <w:p w14:paraId="6C47936A" w14:textId="77777777" w:rsidR="003D5DB4" w:rsidRPr="000D0101" w:rsidRDefault="003D5DB4" w:rsidP="000A5389">
          <w:pPr>
            <w:spacing w:line="240" w:lineRule="auto"/>
            <w:rPr>
              <w:rFonts w:eastAsia="Times New Roman"/>
            </w:rPr>
          </w:pPr>
          <w:r w:rsidRPr="000D0101">
            <w:rPr>
              <w:rFonts w:eastAsia="Times New Roman"/>
            </w:rPr>
            <w:t>Términos de certeza de flujos de efectivo futuros: Homologar el permiso de operación portuaria fluvial de los muelles de Zungo y Nueva Colonia, ubicados en los municipios de Carepa y Turbo, sector de Urabá, respectivamente, puertos de servicio público destinados a la comercialización de bananos a la sociedad PROMOTORA DE BANANO S.A. - PROBAN S.A, otorgado por el Ministerio de Transporte, por medio de la Resolución No. 0002426 del 31 de julio de 1998, prestando servicio de transporte a terceros de cargas diferentes al banano y conforme a lo establecido en el artículo 4 del decreto 2079 del 9 de junio de 2010, las actividades se desarrollan en inmuebles de dominio privado. En el parágrafo del artículo quinto, se menciona que de dicho pago el 80% le corresponde a la NACIÓN-Instituto Nacional de Vías y el 20% restante a los Municipios o distritos (Carepa y Turbo en Antioquia), de acuerdo con lo establecido en el parágrafo 1 del artículo 1 de la Ley 856 del 21 de diciembre de 2003, que modifica el artículo 7 de la Ley 1 de 1991.</w:t>
          </w:r>
        </w:p>
        <w:p w14:paraId="10EF46A4" w14:textId="77777777" w:rsidR="003D5DB4" w:rsidRPr="000D0101" w:rsidRDefault="003D5DB4" w:rsidP="000A5389">
          <w:pPr>
            <w:spacing w:line="240" w:lineRule="auto"/>
            <w:rPr>
              <w:rFonts w:eastAsia="Times New Roman"/>
            </w:rPr>
          </w:pPr>
        </w:p>
        <w:p w14:paraId="4675C23E" w14:textId="77777777" w:rsidR="003D5DB4" w:rsidRPr="000D0101" w:rsidRDefault="003D5DB4" w:rsidP="000A5389">
          <w:pPr>
            <w:spacing w:line="240" w:lineRule="auto"/>
            <w:rPr>
              <w:rFonts w:eastAsia="Times New Roman"/>
            </w:rPr>
          </w:pPr>
          <w:r w:rsidRPr="000D0101">
            <w:rPr>
              <w:rFonts w:eastAsia="Times New Roman"/>
            </w:rPr>
            <w:t>c. Naturaleza y alcance del derecho a utilizar Activos y los aspectos pactados en torno a lo que se espera que el concesionario proporcione en relación con el Acuerdo de concesión</w:t>
          </w:r>
        </w:p>
        <w:p w14:paraId="2EA994FF" w14:textId="77777777" w:rsidR="003D5DB4" w:rsidRPr="000D0101" w:rsidRDefault="003D5DB4" w:rsidP="000A5389">
          <w:pPr>
            <w:spacing w:line="240" w:lineRule="auto"/>
            <w:rPr>
              <w:rFonts w:eastAsia="Times New Roman"/>
            </w:rPr>
          </w:pPr>
        </w:p>
        <w:p w14:paraId="3AC5D7A0" w14:textId="77777777" w:rsidR="003D5DB4" w:rsidRPr="000D0101" w:rsidRDefault="003D5DB4" w:rsidP="000A5389">
          <w:pPr>
            <w:spacing w:line="240" w:lineRule="auto"/>
            <w:rPr>
              <w:rFonts w:eastAsia="Times New Roman"/>
            </w:rPr>
          </w:pPr>
          <w:r w:rsidRPr="000D0101">
            <w:rPr>
              <w:rFonts w:eastAsia="Times New Roman"/>
            </w:rPr>
            <w:t>Naturaleza y alcance del derecho de uso de los Activos</w:t>
          </w:r>
        </w:p>
        <w:p w14:paraId="52EDD88F" w14:textId="77777777" w:rsidR="003D5DB4" w:rsidRPr="000D0101" w:rsidRDefault="003D5DB4" w:rsidP="000A5389">
          <w:pPr>
            <w:spacing w:line="240" w:lineRule="auto"/>
            <w:rPr>
              <w:rFonts w:eastAsia="Times New Roman"/>
            </w:rPr>
          </w:pPr>
        </w:p>
        <w:p w14:paraId="0999D213" w14:textId="77777777" w:rsidR="003D5DB4" w:rsidRPr="000D0101" w:rsidRDefault="003D5DB4" w:rsidP="000A5389">
          <w:pPr>
            <w:spacing w:line="240" w:lineRule="auto"/>
            <w:rPr>
              <w:rFonts w:eastAsia="Times New Roman"/>
            </w:rPr>
          </w:pPr>
          <w:r w:rsidRPr="000D0101">
            <w:rPr>
              <w:rFonts w:eastAsia="Times New Roman"/>
            </w:rPr>
            <w:lastRenderedPageBreak/>
            <w:t>Descripción:</w:t>
          </w:r>
          <w:r w:rsidRPr="000D0101">
            <w:rPr>
              <w:rFonts w:eastAsia="Times New Roman"/>
            </w:rPr>
            <w:tab/>
            <w:t>Área entregada en concesión: La descripción de la ubicación, linderos y extensión de los bienes de uso público (playas y terrenos de baja mar, zonas marítimas accesorias de maniobras) entregados en concesión están establecidos en el artículo primero. El área solicitada en concesión corresponde al área acuática, la cual se encuentra ubicada en el área de influencia de los canales de Zungo y Nueva Colonia en los Municipios de Garepa y Turbo, sector de Urabá. El área correspondiente a las zonas de uso público señalada como área acuática ocupada por la Infraestructura de los embarcaderos, zonas aledañas a los terrenos del proyecto que son propiedad privada de PROBAN S.A. por el término de 20 años a cambio de la contraprestación establecida en el Artículo Quinto - Contraprestación de la Resolución de Homologación No. 1032 del 31 de julio del 2017</w:t>
          </w:r>
        </w:p>
        <w:p w14:paraId="6D1CDA7F" w14:textId="77777777" w:rsidR="003D5DB4" w:rsidRPr="000D0101" w:rsidRDefault="003D5DB4" w:rsidP="000A5389">
          <w:pPr>
            <w:spacing w:line="240" w:lineRule="auto"/>
            <w:rPr>
              <w:rFonts w:eastAsia="Times New Roman"/>
            </w:rPr>
          </w:pPr>
        </w:p>
        <w:p w14:paraId="06F731CD" w14:textId="77777777" w:rsidR="003D5DB4" w:rsidRPr="000D0101" w:rsidRDefault="003D5DB4" w:rsidP="000A5389">
          <w:pPr>
            <w:spacing w:line="240" w:lineRule="auto"/>
            <w:rPr>
              <w:rFonts w:eastAsia="Times New Roman"/>
            </w:rPr>
          </w:pPr>
          <w:r w:rsidRPr="000D0101">
            <w:rPr>
              <w:rFonts w:eastAsia="Times New Roman"/>
            </w:rPr>
            <w:t>Observaciones: No se tiene ninguna observación</w:t>
          </w:r>
        </w:p>
        <w:p w14:paraId="543E3C18" w14:textId="77777777" w:rsidR="003D5DB4" w:rsidRPr="000D0101" w:rsidRDefault="003D5DB4" w:rsidP="000A5389">
          <w:pPr>
            <w:spacing w:line="240" w:lineRule="auto"/>
            <w:rPr>
              <w:rFonts w:eastAsia="Times New Roman"/>
            </w:rPr>
          </w:pPr>
        </w:p>
        <w:p w14:paraId="72944E84" w14:textId="77777777" w:rsidR="003D5DB4" w:rsidRPr="000D0101" w:rsidRDefault="003D5DB4" w:rsidP="000A5389">
          <w:pPr>
            <w:spacing w:line="240" w:lineRule="auto"/>
            <w:rPr>
              <w:rFonts w:eastAsia="Times New Roman"/>
            </w:rPr>
          </w:pPr>
          <w:r w:rsidRPr="000D0101">
            <w:rPr>
              <w:rFonts w:eastAsia="Times New Roman"/>
            </w:rPr>
            <w:t>Retribución al concesionario</w:t>
          </w:r>
        </w:p>
        <w:p w14:paraId="3E950A13" w14:textId="77777777" w:rsidR="003D5DB4" w:rsidRPr="000D0101" w:rsidRDefault="003D5DB4" w:rsidP="000A5389">
          <w:pPr>
            <w:spacing w:line="240" w:lineRule="auto"/>
            <w:rPr>
              <w:rFonts w:eastAsia="Times New Roman"/>
            </w:rPr>
          </w:pPr>
        </w:p>
        <w:p w14:paraId="76B058EF" w14:textId="77777777" w:rsidR="003D5DB4" w:rsidRPr="000D0101" w:rsidRDefault="003D5DB4" w:rsidP="000A5389">
          <w:pPr>
            <w:spacing w:line="240" w:lineRule="auto"/>
            <w:rPr>
              <w:rFonts w:eastAsia="Times New Roman"/>
            </w:rPr>
          </w:pPr>
          <w:r w:rsidRPr="000D0101">
            <w:rPr>
              <w:rFonts w:eastAsia="Times New Roman"/>
            </w:rPr>
            <w:t>Descripción:</w:t>
          </w:r>
          <w:r w:rsidRPr="000D0101">
            <w:rPr>
              <w:rFonts w:eastAsia="Times New Roman"/>
            </w:rPr>
            <w:tab/>
            <w:t>Descripción:  Homologar el permiso de operación portuaria fluvial de los muelles de Zungo y Nueva Colonia, ubicados en los municipios de Carepa y Turbo, sector de Urabá, respectivamente, puertos de servicio público destinados a la comercialización de bananos a la sociedad PROMOTORA DE BANANO S.A. - PROBAN S.A, otorgado por el Ministerio de Transporte, por medio de la Resolución No. 0002426 del 31 de julio de 1998, prestando servicio de transporte a terceros de cargas diferentes al banano y conforme a lo establecido en el artículo 4 del decreto 2079 del 9 de junio de 2010, las actividades se desarrollan en inmuebles de dominio privado</w:t>
          </w:r>
        </w:p>
        <w:p w14:paraId="6650C773" w14:textId="77777777" w:rsidR="003D5DB4" w:rsidRPr="000D0101" w:rsidRDefault="003D5DB4" w:rsidP="000A5389">
          <w:pPr>
            <w:spacing w:line="240" w:lineRule="auto"/>
            <w:rPr>
              <w:rFonts w:eastAsia="Times New Roman"/>
            </w:rPr>
          </w:pPr>
        </w:p>
        <w:p w14:paraId="44008615" w14:textId="77777777" w:rsidR="003D5DB4" w:rsidRPr="000D0101" w:rsidRDefault="003D5DB4" w:rsidP="000A5389">
          <w:pPr>
            <w:spacing w:line="240" w:lineRule="auto"/>
            <w:rPr>
              <w:rFonts w:eastAsia="Times New Roman"/>
            </w:rPr>
          </w:pPr>
          <w:r w:rsidRPr="000D0101">
            <w:rPr>
              <w:rFonts w:eastAsia="Times New Roman"/>
            </w:rPr>
            <w:t>Tasa de retribución:</w:t>
          </w:r>
          <w:r w:rsidRPr="000D0101">
            <w:rPr>
              <w:rFonts w:eastAsia="Times New Roman"/>
            </w:rPr>
            <w:tab/>
            <w:t>N/A</w:t>
          </w:r>
        </w:p>
        <w:p w14:paraId="63249E68" w14:textId="77777777" w:rsidR="003D5DB4" w:rsidRPr="000D0101" w:rsidRDefault="003D5DB4" w:rsidP="000A5389">
          <w:pPr>
            <w:spacing w:line="240" w:lineRule="auto"/>
            <w:rPr>
              <w:rFonts w:eastAsia="Times New Roman"/>
            </w:rPr>
          </w:pPr>
        </w:p>
        <w:p w14:paraId="0EDDE043" w14:textId="77777777" w:rsidR="003D5DB4" w:rsidRPr="000D0101" w:rsidRDefault="003D5DB4" w:rsidP="000A5389">
          <w:pPr>
            <w:spacing w:line="240" w:lineRule="auto"/>
            <w:rPr>
              <w:rFonts w:eastAsia="Times New Roman"/>
            </w:rPr>
          </w:pPr>
          <w:r w:rsidRPr="000D0101">
            <w:rPr>
              <w:rFonts w:eastAsia="Times New Roman"/>
            </w:rPr>
            <w:t>d. Derechos a recibir Activos especificados al final del acuerdo de concesión</w:t>
          </w:r>
        </w:p>
        <w:p w14:paraId="70F13411" w14:textId="77777777" w:rsidR="003D5DB4" w:rsidRPr="000D0101" w:rsidRDefault="003D5DB4" w:rsidP="000A5389">
          <w:pPr>
            <w:spacing w:line="240" w:lineRule="auto"/>
            <w:rPr>
              <w:rFonts w:eastAsia="Times New Roman"/>
            </w:rPr>
          </w:pPr>
        </w:p>
        <w:p w14:paraId="7067662F" w14:textId="77777777" w:rsidR="003D5DB4" w:rsidRPr="000D0101" w:rsidRDefault="003D5DB4" w:rsidP="000A5389">
          <w:pPr>
            <w:spacing w:line="240" w:lineRule="auto"/>
            <w:rPr>
              <w:rFonts w:eastAsia="Times New Roman"/>
            </w:rPr>
          </w:pPr>
          <w:r w:rsidRPr="000D0101">
            <w:rPr>
              <w:rFonts w:eastAsia="Times New Roman"/>
            </w:rPr>
            <w:t>Descripción:</w:t>
          </w:r>
          <w:r w:rsidRPr="000D0101">
            <w:rPr>
              <w:rFonts w:eastAsia="Times New Roman"/>
            </w:rPr>
            <w:tab/>
            <w:t>De acuerdo con el Artículo 8º de la Ley 1 de 1991 en el modo portuario el concesionario no tiene derechos finales sobre activos los debe revertir a la Nación al final del contrato de concesión. Para el caso de PROBAN S.A. no hay activos para revertir a la nación</w:t>
          </w:r>
        </w:p>
        <w:p w14:paraId="49C81C93" w14:textId="77777777" w:rsidR="003D5DB4" w:rsidRPr="000D0101" w:rsidRDefault="003D5DB4" w:rsidP="000A5389">
          <w:pPr>
            <w:spacing w:line="240" w:lineRule="auto"/>
            <w:rPr>
              <w:rFonts w:eastAsia="Times New Roman"/>
            </w:rPr>
          </w:pPr>
        </w:p>
        <w:p w14:paraId="1CFD04DA" w14:textId="77777777" w:rsidR="003D5DB4" w:rsidRPr="000D0101" w:rsidRDefault="003D5DB4" w:rsidP="000A5389">
          <w:pPr>
            <w:spacing w:line="240" w:lineRule="auto"/>
            <w:rPr>
              <w:rFonts w:eastAsia="Times New Roman"/>
            </w:rPr>
          </w:pPr>
          <w:r w:rsidRPr="000D0101">
            <w:rPr>
              <w:rFonts w:eastAsia="Times New Roman"/>
            </w:rPr>
            <w:t>Observaciones: No se tiene ninguna observación</w:t>
          </w:r>
        </w:p>
        <w:p w14:paraId="31AFE3AE" w14:textId="77777777" w:rsidR="003D5DB4" w:rsidRPr="000D0101" w:rsidRDefault="003D5DB4" w:rsidP="000A5389">
          <w:pPr>
            <w:spacing w:line="240" w:lineRule="auto"/>
            <w:rPr>
              <w:rFonts w:eastAsia="Times New Roman"/>
            </w:rPr>
          </w:pPr>
        </w:p>
        <w:p w14:paraId="43BE64CD" w14:textId="77777777" w:rsidR="003D5DB4" w:rsidRPr="000D0101" w:rsidRDefault="003D5DB4" w:rsidP="000A5389">
          <w:pPr>
            <w:spacing w:line="240" w:lineRule="auto"/>
            <w:rPr>
              <w:rFonts w:eastAsia="Times New Roman"/>
            </w:rPr>
          </w:pPr>
          <w:r w:rsidRPr="000D0101">
            <w:rPr>
              <w:rFonts w:eastAsia="Times New Roman"/>
            </w:rPr>
            <w:t>e. Las alternativas de renovación y cese del acuerdo</w:t>
          </w:r>
        </w:p>
        <w:p w14:paraId="7A2DD719" w14:textId="77777777" w:rsidR="003D5DB4" w:rsidRPr="000D0101" w:rsidRDefault="003D5DB4" w:rsidP="000A5389">
          <w:pPr>
            <w:spacing w:line="240" w:lineRule="auto"/>
            <w:rPr>
              <w:rFonts w:eastAsia="Times New Roman"/>
            </w:rPr>
          </w:pPr>
        </w:p>
        <w:p w14:paraId="4BA1D6FD" w14:textId="77777777" w:rsidR="003D5DB4" w:rsidRPr="000D0101" w:rsidRDefault="003D5DB4" w:rsidP="000A5389">
          <w:pPr>
            <w:spacing w:line="240" w:lineRule="auto"/>
            <w:rPr>
              <w:rFonts w:eastAsia="Times New Roman"/>
            </w:rPr>
          </w:pPr>
          <w:r w:rsidRPr="000D0101">
            <w:rPr>
              <w:rFonts w:eastAsia="Times New Roman"/>
            </w:rPr>
            <w:t>Descripción:</w:t>
          </w:r>
          <w:r w:rsidRPr="000D0101">
            <w:rPr>
              <w:rFonts w:eastAsia="Times New Roman"/>
            </w:rPr>
            <w:tab/>
            <w:t>N/A</w:t>
          </w:r>
        </w:p>
        <w:p w14:paraId="1AC179F6" w14:textId="77777777" w:rsidR="003D5DB4" w:rsidRPr="000D0101" w:rsidRDefault="003D5DB4" w:rsidP="000A5389">
          <w:pPr>
            <w:spacing w:line="240" w:lineRule="auto"/>
            <w:rPr>
              <w:rFonts w:eastAsia="Times New Roman"/>
            </w:rPr>
          </w:pPr>
        </w:p>
        <w:p w14:paraId="0B7081E0" w14:textId="77777777" w:rsidR="003D5DB4" w:rsidRPr="000D0101" w:rsidRDefault="003D5DB4" w:rsidP="000A5389">
          <w:pPr>
            <w:spacing w:line="240" w:lineRule="auto"/>
            <w:rPr>
              <w:rFonts w:eastAsia="Times New Roman"/>
            </w:rPr>
          </w:pPr>
          <w:r w:rsidRPr="000D0101">
            <w:rPr>
              <w:rFonts w:eastAsia="Times New Roman"/>
            </w:rPr>
            <w:t>Observaciones: No se tiene ninguna observación</w:t>
          </w:r>
        </w:p>
        <w:p w14:paraId="763327FE" w14:textId="77777777" w:rsidR="003D5DB4" w:rsidRPr="000D0101" w:rsidRDefault="003D5DB4" w:rsidP="000A5389">
          <w:pPr>
            <w:spacing w:line="240" w:lineRule="auto"/>
            <w:rPr>
              <w:rFonts w:eastAsia="Times New Roman"/>
            </w:rPr>
          </w:pPr>
        </w:p>
        <w:p w14:paraId="23922F44" w14:textId="77777777" w:rsidR="003D5DB4" w:rsidRPr="000D0101" w:rsidRDefault="003D5DB4" w:rsidP="000A5389">
          <w:pPr>
            <w:spacing w:line="240" w:lineRule="auto"/>
            <w:rPr>
              <w:rFonts w:eastAsia="Times New Roman"/>
            </w:rPr>
          </w:pPr>
          <w:r w:rsidRPr="000D0101">
            <w:rPr>
              <w:rFonts w:eastAsia="Times New Roman"/>
            </w:rPr>
            <w:t>f. Cambios en el acuerdo de concesión que se realicen durante el periodo fiscal</w:t>
          </w:r>
        </w:p>
        <w:p w14:paraId="3A2BFE13" w14:textId="77777777" w:rsidR="003D5DB4" w:rsidRPr="000D0101" w:rsidRDefault="003D5DB4" w:rsidP="000A5389">
          <w:pPr>
            <w:spacing w:line="240" w:lineRule="auto"/>
            <w:rPr>
              <w:rFonts w:eastAsia="Times New Roman"/>
            </w:rPr>
          </w:pPr>
          <w:r w:rsidRPr="000D0101">
            <w:rPr>
              <w:rFonts w:eastAsia="Times New Roman"/>
            </w:rPr>
            <w:t>Adiciones o modificaciones en tiempo</w:t>
          </w:r>
        </w:p>
        <w:p w14:paraId="44BEE57C" w14:textId="77777777" w:rsidR="003D5DB4" w:rsidRPr="000D0101" w:rsidRDefault="003D5DB4" w:rsidP="000A5389">
          <w:pPr>
            <w:spacing w:line="240" w:lineRule="auto"/>
            <w:rPr>
              <w:rFonts w:eastAsia="Times New Roman"/>
            </w:rPr>
          </w:pPr>
        </w:p>
        <w:p w14:paraId="6A76A3EE" w14:textId="77777777" w:rsidR="003D5DB4" w:rsidRPr="000D0101" w:rsidRDefault="003D5DB4" w:rsidP="000A5389">
          <w:pPr>
            <w:spacing w:line="240" w:lineRule="auto"/>
            <w:rPr>
              <w:rFonts w:eastAsia="Times New Roman"/>
            </w:rPr>
          </w:pPr>
          <w:r w:rsidRPr="000D0101">
            <w:rPr>
              <w:rFonts w:eastAsia="Times New Roman"/>
            </w:rPr>
            <w:lastRenderedPageBreak/>
            <w:t>Fechas de las adiciones o modificaciones:</w:t>
          </w:r>
          <w:r w:rsidRPr="000D0101">
            <w:rPr>
              <w:rFonts w:eastAsia="Times New Roman"/>
            </w:rPr>
            <w:tab/>
            <w:t>Resolución N° 20213030004545 del 26/03/2021</w:t>
          </w:r>
        </w:p>
        <w:p w14:paraId="647BD227" w14:textId="77777777" w:rsidR="003D5DB4" w:rsidRPr="000D0101" w:rsidRDefault="003D5DB4" w:rsidP="000A5389">
          <w:pPr>
            <w:spacing w:line="240" w:lineRule="auto"/>
            <w:rPr>
              <w:rFonts w:eastAsia="Times New Roman"/>
            </w:rPr>
          </w:pPr>
          <w:r w:rsidRPr="000D0101">
            <w:rPr>
              <w:rFonts w:eastAsia="Times New Roman"/>
            </w:rPr>
            <w:t>Nueva fecha de finalización estimada: No aplica</w:t>
          </w:r>
        </w:p>
        <w:p w14:paraId="7D3A0332" w14:textId="77777777" w:rsidR="003D5DB4" w:rsidRPr="000D0101" w:rsidRDefault="003D5DB4" w:rsidP="000A5389">
          <w:pPr>
            <w:spacing w:line="240" w:lineRule="auto"/>
            <w:rPr>
              <w:rFonts w:eastAsia="Times New Roman"/>
            </w:rPr>
          </w:pPr>
          <w:r w:rsidRPr="000D0101">
            <w:rPr>
              <w:rFonts w:eastAsia="Times New Roman"/>
            </w:rPr>
            <w:t>Observaciones: No se tiene ninguna observación</w:t>
          </w:r>
        </w:p>
        <w:p w14:paraId="35999DFC" w14:textId="77777777" w:rsidR="003D5DB4" w:rsidRPr="000D0101" w:rsidRDefault="003D5DB4" w:rsidP="000A5389">
          <w:pPr>
            <w:spacing w:line="240" w:lineRule="auto"/>
            <w:rPr>
              <w:rFonts w:eastAsia="Times New Roman"/>
            </w:rPr>
          </w:pPr>
          <w:r w:rsidRPr="000D0101">
            <w:rPr>
              <w:rFonts w:eastAsia="Times New Roman"/>
            </w:rPr>
            <w:t>Adiciones o modificaciones en valor</w:t>
          </w:r>
        </w:p>
        <w:p w14:paraId="614E9A19" w14:textId="77777777" w:rsidR="003D5DB4" w:rsidRPr="000D0101" w:rsidRDefault="003D5DB4" w:rsidP="000A5389">
          <w:pPr>
            <w:spacing w:line="240" w:lineRule="auto"/>
            <w:rPr>
              <w:rFonts w:eastAsia="Times New Roman"/>
            </w:rPr>
          </w:pPr>
          <w:r w:rsidRPr="000D0101">
            <w:rPr>
              <w:rFonts w:eastAsia="Times New Roman"/>
            </w:rPr>
            <w:t>Valor de la adición o modificación: N/A</w:t>
          </w:r>
        </w:p>
        <w:p w14:paraId="1F7A8AD9" w14:textId="77777777" w:rsidR="003D5DB4" w:rsidRPr="000D0101" w:rsidRDefault="003D5DB4" w:rsidP="000A5389">
          <w:pPr>
            <w:spacing w:line="240" w:lineRule="auto"/>
            <w:rPr>
              <w:rFonts w:eastAsia="Times New Roman"/>
            </w:rPr>
          </w:pPr>
          <w:r w:rsidRPr="000D0101">
            <w:rPr>
              <w:rFonts w:eastAsia="Times New Roman"/>
            </w:rPr>
            <w:t>Nuevo valor del acuerdo: N/A</w:t>
          </w:r>
        </w:p>
        <w:p w14:paraId="3B2D7189" w14:textId="77777777" w:rsidR="003D5DB4" w:rsidRDefault="003D5DB4" w:rsidP="000A5389">
          <w:pPr>
            <w:spacing w:line="240" w:lineRule="auto"/>
            <w:rPr>
              <w:rFonts w:eastAsia="Times New Roman"/>
            </w:rPr>
          </w:pPr>
          <w:r w:rsidRPr="000D0101">
            <w:rPr>
              <w:rFonts w:eastAsia="Times New Roman"/>
            </w:rPr>
            <w:t>Observaciones: No se tiene ninguna observación</w:t>
          </w:r>
        </w:p>
        <w:p w14:paraId="4F66FCC4" w14:textId="77777777" w:rsidR="00D8025C" w:rsidRPr="000D0101" w:rsidRDefault="00D8025C" w:rsidP="000A5389">
          <w:pPr>
            <w:spacing w:line="240" w:lineRule="auto"/>
            <w:rPr>
              <w:rFonts w:eastAsia="Times New Roman"/>
            </w:rPr>
          </w:pPr>
        </w:p>
        <w:p w14:paraId="59697247" w14:textId="77777777" w:rsidR="003D5DB4" w:rsidRPr="00D8025C" w:rsidRDefault="003D5DB4" w:rsidP="000A5389">
          <w:pPr>
            <w:spacing w:line="240" w:lineRule="auto"/>
            <w:rPr>
              <w:rFonts w:eastAsia="Times New Roman"/>
              <w:i/>
              <w:iCs/>
              <w:lang w:eastAsia="es-CO"/>
            </w:rPr>
          </w:pPr>
        </w:p>
        <w:p w14:paraId="3D520202" w14:textId="77777777" w:rsidR="003D5DB4" w:rsidRPr="00D8025C" w:rsidRDefault="003D5DB4" w:rsidP="000A5389">
          <w:pPr>
            <w:spacing w:line="240" w:lineRule="auto"/>
            <w:rPr>
              <w:rFonts w:eastAsia="Times New Roman"/>
              <w:i/>
              <w:iCs/>
              <w:lang w:eastAsia="es-CO"/>
            </w:rPr>
          </w:pPr>
          <w:r w:rsidRPr="00D8025C">
            <w:rPr>
              <w:rFonts w:eastAsia="Times New Roman"/>
              <w:i/>
              <w:iCs/>
              <w:lang w:eastAsia="es-CO"/>
            </w:rPr>
            <w:t xml:space="preserve">SOCIEDAD PUERTO BRISA S.A. </w:t>
          </w:r>
        </w:p>
        <w:p w14:paraId="0E23D601" w14:textId="77777777" w:rsidR="003D5DB4" w:rsidRPr="000D0101" w:rsidRDefault="003D5DB4" w:rsidP="000A5389">
          <w:pPr>
            <w:spacing w:line="240" w:lineRule="auto"/>
          </w:pPr>
        </w:p>
        <w:p w14:paraId="0FD59E96" w14:textId="77777777" w:rsidR="003D5DB4" w:rsidRPr="000D0101" w:rsidRDefault="003D5DB4" w:rsidP="000A5389">
          <w:pPr>
            <w:spacing w:line="240" w:lineRule="auto"/>
          </w:pPr>
          <w:r w:rsidRPr="000D0101">
            <w:t>a. Descripción del Acuerdo</w:t>
          </w:r>
        </w:p>
        <w:p w14:paraId="11319924" w14:textId="77777777" w:rsidR="003D5DB4" w:rsidRPr="000D0101" w:rsidRDefault="003D5DB4" w:rsidP="000A5389">
          <w:pPr>
            <w:spacing w:line="240" w:lineRule="auto"/>
          </w:pPr>
        </w:p>
        <w:p w14:paraId="36CCB9D8" w14:textId="77777777" w:rsidR="003D5DB4" w:rsidRPr="000D0101" w:rsidRDefault="003D5DB4" w:rsidP="000A5389">
          <w:pPr>
            <w:spacing w:line="240" w:lineRule="auto"/>
          </w:pPr>
          <w:r w:rsidRPr="000D0101">
            <w:t>Número del Acuerdo de concesión: 009 de 2010</w:t>
          </w:r>
        </w:p>
        <w:p w14:paraId="67025D0C" w14:textId="77777777" w:rsidR="003D5DB4" w:rsidRPr="000D0101" w:rsidRDefault="003D5DB4" w:rsidP="000A5389">
          <w:pPr>
            <w:spacing w:line="240" w:lineRule="auto"/>
          </w:pPr>
        </w:p>
        <w:p w14:paraId="60B87D6F" w14:textId="77777777" w:rsidR="003D5DB4" w:rsidRPr="000D0101" w:rsidRDefault="003D5DB4" w:rsidP="000A5389">
          <w:pPr>
            <w:spacing w:line="240" w:lineRule="auto"/>
          </w:pPr>
          <w:r w:rsidRPr="000D0101">
            <w:t>Objeto / Descripción: En virtud del Contrato de concesión y sus modificaciones, se permite al CONCESIONARIO la ocupación en forma temporal y exclusiva de una zona de playas, de bajamar y aguas marítimas accesorias, para la construcción, operación y el desarrollo de actividades portuarias de servicio público, conforme lo establece la Cláusula Primera del Contrato</w:t>
          </w:r>
        </w:p>
        <w:p w14:paraId="20B0F0A1" w14:textId="77777777" w:rsidR="003D5DB4" w:rsidRPr="000D0101" w:rsidRDefault="003D5DB4" w:rsidP="000A5389">
          <w:pPr>
            <w:spacing w:line="240" w:lineRule="auto"/>
          </w:pPr>
        </w:p>
        <w:p w14:paraId="3F0C1A25" w14:textId="77777777" w:rsidR="003D5DB4" w:rsidRPr="000D0101" w:rsidRDefault="003D5DB4" w:rsidP="000A5389">
          <w:pPr>
            <w:spacing w:line="240" w:lineRule="auto"/>
          </w:pPr>
          <w:r w:rsidRPr="000D0101">
            <w:t>Valor inicial:</w:t>
          </w:r>
          <w:r w:rsidRPr="000D0101">
            <w:tab/>
            <w:t>USD $3.528.487,03, a valor presente, liquidados a la TRM del día de Pago. Cláusula octava / Contrato No. 009 de 2010. Valor actualizado: USD 6.674.254,05/ Cláusula sexta/ Otrosí No 001 de 2014</w:t>
          </w:r>
        </w:p>
        <w:p w14:paraId="4E53C61F" w14:textId="77777777" w:rsidR="003D5DB4" w:rsidRPr="000D0101" w:rsidRDefault="003D5DB4" w:rsidP="000A5389">
          <w:pPr>
            <w:spacing w:line="240" w:lineRule="auto"/>
          </w:pPr>
        </w:p>
        <w:p w14:paraId="7EE47471" w14:textId="77777777" w:rsidR="003D5DB4" w:rsidRPr="000D0101" w:rsidRDefault="003D5DB4" w:rsidP="000A5389">
          <w:pPr>
            <w:spacing w:line="240" w:lineRule="auto"/>
          </w:pPr>
          <w:r w:rsidRPr="000D0101">
            <w:t>Fecha de inicio: 6/08/2010</w:t>
          </w:r>
        </w:p>
        <w:p w14:paraId="1D540372" w14:textId="77777777" w:rsidR="003D5DB4" w:rsidRPr="000D0101" w:rsidRDefault="003D5DB4" w:rsidP="000A5389">
          <w:pPr>
            <w:spacing w:line="240" w:lineRule="auto"/>
          </w:pPr>
          <w:r w:rsidRPr="000D0101">
            <w:t>Fecha de finalización estimada: 5/08/2040</w:t>
          </w:r>
        </w:p>
        <w:p w14:paraId="3B14F193" w14:textId="77777777" w:rsidR="003D5DB4" w:rsidRPr="000D0101" w:rsidRDefault="003D5DB4" w:rsidP="000A5389">
          <w:pPr>
            <w:spacing w:line="240" w:lineRule="auto"/>
          </w:pPr>
          <w:r w:rsidRPr="000D0101">
            <w:t>Tipo ID: NIT</w:t>
          </w:r>
        </w:p>
        <w:p w14:paraId="2D8460FB" w14:textId="77777777" w:rsidR="003D5DB4" w:rsidRPr="000D0101" w:rsidRDefault="003D5DB4" w:rsidP="000A5389">
          <w:pPr>
            <w:spacing w:line="240" w:lineRule="auto"/>
          </w:pPr>
          <w:r w:rsidRPr="000D0101">
            <w:t>Número ID: 900.096.574-2</w:t>
          </w:r>
        </w:p>
        <w:p w14:paraId="4A894916" w14:textId="77777777" w:rsidR="003D5DB4" w:rsidRPr="000D0101" w:rsidRDefault="003D5DB4" w:rsidP="000A5389">
          <w:pPr>
            <w:spacing w:line="240" w:lineRule="auto"/>
          </w:pPr>
          <w:r w:rsidRPr="000D0101">
            <w:t>Razón social del concesionario: SOCIEDAD PUERTO BRISA S.A</w:t>
          </w:r>
        </w:p>
        <w:p w14:paraId="0FC5AAE9" w14:textId="77777777" w:rsidR="003D5DB4" w:rsidRPr="000D0101" w:rsidRDefault="003D5DB4" w:rsidP="000A5389">
          <w:pPr>
            <w:spacing w:line="240" w:lineRule="auto"/>
          </w:pPr>
          <w:r w:rsidRPr="000D0101">
            <w:t>Nombre del proyecto: SOCIEDAD PUERTO BRISA S.A</w:t>
          </w:r>
        </w:p>
        <w:p w14:paraId="2D3A5EEC" w14:textId="77777777" w:rsidR="003D5DB4" w:rsidRPr="000D0101" w:rsidRDefault="003D5DB4" w:rsidP="000A5389">
          <w:pPr>
            <w:spacing w:line="240" w:lineRule="auto"/>
          </w:pPr>
        </w:p>
        <w:p w14:paraId="33585901" w14:textId="77777777" w:rsidR="003D5DB4" w:rsidRPr="000D0101" w:rsidRDefault="003D5DB4" w:rsidP="000A5389">
          <w:pPr>
            <w:spacing w:line="240" w:lineRule="auto"/>
          </w:pPr>
          <w:r w:rsidRPr="000D0101">
            <w:t>b. Términos significativos del Acuerdo que puedan afectar su valor, el calendario y la certeza de los flujos de efectivo futuros</w:t>
          </w:r>
        </w:p>
        <w:p w14:paraId="5F5B49F6" w14:textId="77777777" w:rsidR="003D5DB4" w:rsidRPr="000D0101" w:rsidRDefault="003D5DB4" w:rsidP="000A5389">
          <w:pPr>
            <w:spacing w:line="240" w:lineRule="auto"/>
          </w:pPr>
        </w:p>
        <w:p w14:paraId="4C3150F6" w14:textId="77777777" w:rsidR="003D5DB4" w:rsidRPr="000D0101" w:rsidRDefault="003D5DB4" w:rsidP="000A5389">
          <w:pPr>
            <w:spacing w:line="240" w:lineRule="auto"/>
          </w:pPr>
          <w:r w:rsidRPr="000D0101">
            <w:t>Términos de valor:</w:t>
          </w:r>
          <w:r w:rsidRPr="000D0101">
            <w:tab/>
            <w:t xml:space="preserve">1: Tarifas: Al ser el terminal marítimo de servicio público la Ley 1 de 1991 establece: Las sociedades portuarias que operan puertos de servicio público las tarifas requieren ser aprobadas según la metodología establecida por la Superintendencia General de Puertos hoy Superintendencia de Transporte.2: Contraprestación: De acuerdo con el último documento contractual vigente la metodología de contraprestación vigente es CONPES 3744 de 2013 (Componentes Fijo y Variable). A febrero de 2025 el CONCESIONARIO pagó por concepto de contraprestación la suma de USD $755.537,26. El valor correspondiente a la contraprestación por zona de uso público resultará de la </w:t>
          </w:r>
          <w:r w:rsidRPr="000D0101">
            <w:lastRenderedPageBreak/>
            <w:t>diferencia entre el valor de la liquidación total y el valor de la infraestructura. Y el recaudo se realizará de conformidad con la ley 856 de 2003, es decir, ZUP el 80% le corresponde a la Nación Instituto nacional de vías (INVIAS) y el 20% restante al Municipio de Dibulla (Guajira).3: Plan de Inversiones: Está establecido en la cláusula séptima del contrato, modificado por la Otrosí No.1 de 2014 que estableció en la cláusula quinta, el plan de inversión será de USD $ 70.917.060 en valores corrientes. Obligaciones del CONCESIONARIO: se encuentran descritas en la cláusula décima quinta. Multas y sanciones: Están establecidas en la cláusula décima octava. Penal pecuniaria: En la cláusula décima novena se establece que en el evento en que el INCO hoy ANI declare la caducidad o el incumplimiento del presente contrato se podrá imponer una penalidad pecuniaria.</w:t>
          </w:r>
        </w:p>
        <w:p w14:paraId="1AFBCB1B" w14:textId="77777777" w:rsidR="003D5DB4" w:rsidRPr="000D0101" w:rsidRDefault="003D5DB4" w:rsidP="000A5389">
          <w:pPr>
            <w:spacing w:line="240" w:lineRule="auto"/>
          </w:pPr>
        </w:p>
        <w:p w14:paraId="48AB8733" w14:textId="77777777" w:rsidR="003D5DB4" w:rsidRPr="000D0101" w:rsidRDefault="003D5DB4" w:rsidP="000A5389">
          <w:pPr>
            <w:spacing w:line="240" w:lineRule="auto"/>
          </w:pPr>
          <w:r w:rsidRPr="000D0101">
            <w:t>Términos de calendario: 1: Tarifas: Aprobadas según la metodología establecida por la Superintendencia General de Puertos hoy Superintendencia de Transporte.2: Contraprestación portuaria: Anexo 2 Conpes 3744 de 2013 “(…) Antes de finalizar los meses de febrero cada concesionario deberá corregir su liquidación del año anterior según el movimiento de carga real y la indexación del valor de referencia por metro cuadrado, del avalúo de la infraestructura concesionada y de los cargos, así como realizar el pago anticipado del año en curso con base en lo proyectado en el FCL definitivo”3: Plan de inversiones: Está establecido en la cláusula séptima del contrato, modificado por la Otrosí No.1 de 2014 ejecutado en los años 2010 y 2011. Lo anterior, teniendo en cuenta lo decidido por el panel de amigable componedor y lo pactado en el acta de acuerdo cumplimiento de la decisión del amigable componedor del 22 de septiembre de 2020. 4: Multas: Están establecidas en la cláusula décima octava del Contrato de Concesión 009 de 2010.</w:t>
          </w:r>
        </w:p>
        <w:p w14:paraId="776E98CC" w14:textId="77777777" w:rsidR="003D5DB4" w:rsidRPr="000D0101" w:rsidRDefault="003D5DB4" w:rsidP="000A5389">
          <w:pPr>
            <w:spacing w:line="240" w:lineRule="auto"/>
          </w:pPr>
        </w:p>
        <w:p w14:paraId="68E8D22D" w14:textId="77777777" w:rsidR="003D5DB4" w:rsidRPr="000D0101" w:rsidRDefault="003D5DB4" w:rsidP="000A5389">
          <w:pPr>
            <w:spacing w:line="240" w:lineRule="auto"/>
          </w:pPr>
          <w:r w:rsidRPr="000D0101">
            <w:t>Términos de certeza de flujos de efectivo futuros: Se permite al CONCESIONARIO la ocupación en forma temporal y exclusiva de una zona de playas, de bajamar y aguas marítimas accesorias, para la construcción, operación y el desarrollo de actividades portuarias de servicio público, conforme lo establece la Cláusula Primera del Contrato. El área entregada en Concesión se encuentra ubicada en la zona de portuaria de la Guajira, en el corregimiento de Mingueo Municipio de Dibulla departamento de la Guajira, por un término de veinte (20) años a cambio de la contraprestación establecida en la Cláusula Octava de este contrato. Cláusula Sexta parágrafo 8.1 El valor a pagar por concepto de contraprestación por Zona de Uso público el 80% le corresponde a la Nación-INVIAS y el 20 % al Municipio de Dibulla Departamento de la Guajira.</w:t>
          </w:r>
        </w:p>
        <w:p w14:paraId="46D40328" w14:textId="77777777" w:rsidR="003D5DB4" w:rsidRPr="000D0101" w:rsidRDefault="003D5DB4" w:rsidP="000A5389">
          <w:pPr>
            <w:spacing w:line="240" w:lineRule="auto"/>
          </w:pPr>
        </w:p>
        <w:p w14:paraId="4E89E435" w14:textId="77777777" w:rsidR="003D5DB4" w:rsidRPr="000D0101" w:rsidRDefault="003D5DB4" w:rsidP="000A5389">
          <w:pPr>
            <w:spacing w:line="240" w:lineRule="auto"/>
          </w:pPr>
          <w:r w:rsidRPr="000D0101">
            <w:t>c. Naturaleza y alcance del derecho a utilizar Activos y los aspectos pactados en torno a lo que se espera que el concesionario proporcione en relación con el Acuerdo de concesión</w:t>
          </w:r>
        </w:p>
        <w:p w14:paraId="1B049475" w14:textId="77777777" w:rsidR="003D5DB4" w:rsidRPr="000D0101" w:rsidRDefault="003D5DB4" w:rsidP="000A5389">
          <w:pPr>
            <w:spacing w:line="240" w:lineRule="auto"/>
          </w:pPr>
        </w:p>
        <w:p w14:paraId="19BFFFC2" w14:textId="77777777" w:rsidR="003D5DB4" w:rsidRPr="000D0101" w:rsidRDefault="003D5DB4" w:rsidP="000A5389">
          <w:pPr>
            <w:spacing w:line="240" w:lineRule="auto"/>
          </w:pPr>
          <w:r w:rsidRPr="000D0101">
            <w:t>Naturaleza y alcance del derecho de uso de los Activos</w:t>
          </w:r>
        </w:p>
        <w:p w14:paraId="75C3723E" w14:textId="77777777" w:rsidR="003D5DB4" w:rsidRPr="000D0101" w:rsidRDefault="003D5DB4" w:rsidP="000A5389">
          <w:pPr>
            <w:spacing w:line="240" w:lineRule="auto"/>
          </w:pPr>
        </w:p>
        <w:p w14:paraId="66029A46" w14:textId="77777777" w:rsidR="003D5DB4" w:rsidRPr="000D0101" w:rsidRDefault="003D5DB4" w:rsidP="000A5389">
          <w:pPr>
            <w:spacing w:line="240" w:lineRule="auto"/>
          </w:pPr>
          <w:r w:rsidRPr="000D0101">
            <w:t>Descripción:</w:t>
          </w:r>
          <w:r w:rsidRPr="000D0101">
            <w:tab/>
            <w:t xml:space="preserve">Descripción del proyecto, especificaciones técnicas, modalidades de operación: las condiciones especiales de operación del puerto están establecidas en la cláusula cuarta del otrosí No. 1 de 2014.   Área entregada en concesión: La descripción de la ubicación, linderos y extensión de los bienes de uso público (playas y terrenos de baja mar, </w:t>
          </w:r>
          <w:r w:rsidRPr="000D0101">
            <w:lastRenderedPageBreak/>
            <w:t>zonas marítimas accesorias de maniobras) entregados en concesión están establecidos en la cláusula segunda del contrato de concesión portuaria No. 009 de 2010. Infraestructura y equipos entregados en concesión: en el contrato de concesión portuaria no fueron entregados activos relacionados con infraestructura y equipos, el plan de inversiones desarrolla la infraestructura y la adquisición de equipos para su posterior reversión a la Nación.</w:t>
          </w:r>
        </w:p>
        <w:p w14:paraId="0CE5630C" w14:textId="77777777" w:rsidR="003D5DB4" w:rsidRPr="000D0101" w:rsidRDefault="003D5DB4" w:rsidP="000A5389">
          <w:pPr>
            <w:spacing w:line="240" w:lineRule="auto"/>
          </w:pPr>
        </w:p>
        <w:p w14:paraId="57158140" w14:textId="77777777" w:rsidR="003D5DB4" w:rsidRPr="000D0101" w:rsidRDefault="003D5DB4" w:rsidP="000A5389">
          <w:pPr>
            <w:spacing w:line="240" w:lineRule="auto"/>
          </w:pPr>
          <w:r w:rsidRPr="000D0101">
            <w:t>Observaciones: NA</w:t>
          </w:r>
        </w:p>
        <w:p w14:paraId="6F0C4F6F" w14:textId="77777777" w:rsidR="003D5DB4" w:rsidRPr="000D0101" w:rsidRDefault="003D5DB4" w:rsidP="000A5389">
          <w:pPr>
            <w:spacing w:line="240" w:lineRule="auto"/>
          </w:pPr>
        </w:p>
        <w:p w14:paraId="465057B3" w14:textId="77777777" w:rsidR="003D5DB4" w:rsidRPr="000D0101" w:rsidRDefault="003D5DB4" w:rsidP="000A5389">
          <w:pPr>
            <w:spacing w:line="240" w:lineRule="auto"/>
          </w:pPr>
          <w:r w:rsidRPr="000D0101">
            <w:t>Retribución al concesionario</w:t>
          </w:r>
        </w:p>
        <w:p w14:paraId="134149F8" w14:textId="77777777" w:rsidR="003D5DB4" w:rsidRPr="000D0101" w:rsidRDefault="003D5DB4" w:rsidP="000A5389">
          <w:pPr>
            <w:spacing w:line="240" w:lineRule="auto"/>
          </w:pPr>
        </w:p>
        <w:p w14:paraId="4ABF5DB3" w14:textId="77777777" w:rsidR="003D5DB4" w:rsidRPr="000D0101" w:rsidRDefault="003D5DB4" w:rsidP="000A5389">
          <w:pPr>
            <w:spacing w:line="240" w:lineRule="auto"/>
          </w:pPr>
          <w:r w:rsidRPr="000D0101">
            <w:t>Descripción:</w:t>
          </w:r>
          <w:r w:rsidRPr="000D0101">
            <w:tab/>
            <w:t>En la Cláusula primera del presente contrato, se permite al CONCESIONARIO la ocupación en forma temporal y exclusiva de una zona de playas, de bajamar y aguas marítimas accesorias, para la construcción, operación y el desarrollo de actividades portuarias de servicio público. El área entregada en Concesión se encuentra ubicada en la zona de portuaria de la Guajira, en el corregimiento de Mingueo Municipio de Dibulla departamento de la Guajira, por un término de veinte (20) años a cambio de la contraprestación establecida en la Cláusula Octava de este contrato.</w:t>
          </w:r>
        </w:p>
        <w:p w14:paraId="2A7A751E" w14:textId="77777777" w:rsidR="003D5DB4" w:rsidRPr="000D0101" w:rsidRDefault="003D5DB4" w:rsidP="000A5389">
          <w:pPr>
            <w:spacing w:line="240" w:lineRule="auto"/>
          </w:pPr>
        </w:p>
        <w:p w14:paraId="36EBD89D" w14:textId="77777777" w:rsidR="003D5DB4" w:rsidRPr="000D0101" w:rsidRDefault="003D5DB4" w:rsidP="000A5389">
          <w:pPr>
            <w:spacing w:line="240" w:lineRule="auto"/>
          </w:pPr>
          <w:r w:rsidRPr="000D0101">
            <w:t>Tasa de retribución:</w:t>
          </w:r>
          <w:r w:rsidRPr="000D0101">
            <w:tab/>
            <w:t>N/A</w:t>
          </w:r>
        </w:p>
        <w:p w14:paraId="10E1DB46" w14:textId="77777777" w:rsidR="003D5DB4" w:rsidRPr="000D0101" w:rsidRDefault="003D5DB4" w:rsidP="000A5389">
          <w:pPr>
            <w:spacing w:line="240" w:lineRule="auto"/>
          </w:pPr>
        </w:p>
        <w:p w14:paraId="43A5D6E9" w14:textId="77777777" w:rsidR="003D5DB4" w:rsidRPr="000D0101" w:rsidRDefault="003D5DB4" w:rsidP="000A5389">
          <w:pPr>
            <w:spacing w:line="240" w:lineRule="auto"/>
          </w:pPr>
          <w:r w:rsidRPr="000D0101">
            <w:t>d. Derechos a recibir Activos especificados al final del acuerdo de concesión</w:t>
          </w:r>
        </w:p>
        <w:p w14:paraId="4C327140" w14:textId="77777777" w:rsidR="003D5DB4" w:rsidRPr="000D0101" w:rsidRDefault="003D5DB4" w:rsidP="000A5389">
          <w:pPr>
            <w:spacing w:line="240" w:lineRule="auto"/>
          </w:pPr>
        </w:p>
        <w:p w14:paraId="462F7E77" w14:textId="77777777" w:rsidR="003D5DB4" w:rsidRPr="000D0101" w:rsidRDefault="003D5DB4" w:rsidP="000A5389">
          <w:pPr>
            <w:spacing w:line="240" w:lineRule="auto"/>
          </w:pPr>
          <w:r w:rsidRPr="000D0101">
            <w:t>Descripción:</w:t>
          </w:r>
          <w:r w:rsidRPr="000D0101">
            <w:tab/>
            <w:t>De acuerdo con el Artículo 8º de la Ley 1 de 1991 en el modo portuario el concesionario no tiene derechos finales sobre activos, los debe revertir a la Nación al final del contrato de concesión.</w:t>
          </w:r>
        </w:p>
        <w:p w14:paraId="27136962" w14:textId="77777777" w:rsidR="003D5DB4" w:rsidRPr="000D0101" w:rsidRDefault="003D5DB4" w:rsidP="000A5389">
          <w:pPr>
            <w:spacing w:line="240" w:lineRule="auto"/>
          </w:pPr>
        </w:p>
        <w:p w14:paraId="2EBE9963" w14:textId="77777777" w:rsidR="003D5DB4" w:rsidRPr="000D0101" w:rsidRDefault="003D5DB4" w:rsidP="000A5389">
          <w:pPr>
            <w:spacing w:line="240" w:lineRule="auto"/>
          </w:pPr>
          <w:r w:rsidRPr="000D0101">
            <w:t>Observaciones: NA</w:t>
          </w:r>
        </w:p>
        <w:p w14:paraId="610F3B10" w14:textId="77777777" w:rsidR="003D5DB4" w:rsidRPr="000D0101" w:rsidRDefault="003D5DB4" w:rsidP="000A5389">
          <w:pPr>
            <w:spacing w:line="240" w:lineRule="auto"/>
          </w:pPr>
        </w:p>
        <w:p w14:paraId="2059B553" w14:textId="77777777" w:rsidR="003D5DB4" w:rsidRPr="000D0101" w:rsidRDefault="003D5DB4" w:rsidP="000A5389">
          <w:pPr>
            <w:spacing w:line="240" w:lineRule="auto"/>
          </w:pPr>
          <w:r w:rsidRPr="000D0101">
            <w:t>e. Las alternativas de renovación y cese del acuerdo</w:t>
          </w:r>
        </w:p>
        <w:p w14:paraId="2C8DE2D5" w14:textId="77777777" w:rsidR="003D5DB4" w:rsidRPr="000D0101" w:rsidRDefault="003D5DB4" w:rsidP="000A5389">
          <w:pPr>
            <w:spacing w:line="240" w:lineRule="auto"/>
          </w:pPr>
        </w:p>
        <w:p w14:paraId="5A43C943" w14:textId="77777777" w:rsidR="003D5DB4" w:rsidRPr="000D0101" w:rsidRDefault="003D5DB4" w:rsidP="000A5389">
          <w:pPr>
            <w:spacing w:line="240" w:lineRule="auto"/>
          </w:pPr>
          <w:r w:rsidRPr="000D0101">
            <w:t>Descripción:</w:t>
          </w:r>
          <w:r w:rsidRPr="000D0101">
            <w:tab/>
            <w:t>La CÁUSULA DÉCIMA PRIMERA establece la alternativa de renovación o prórroga del contrato. La CLÁUSULA DÉCIMA SEGUNDA establece el cede del acuerdo o terminación del acuerdo.</w:t>
          </w:r>
        </w:p>
        <w:p w14:paraId="758CFEE8" w14:textId="77777777" w:rsidR="003D5DB4" w:rsidRPr="000D0101" w:rsidRDefault="003D5DB4" w:rsidP="000A5389">
          <w:pPr>
            <w:spacing w:line="240" w:lineRule="auto"/>
          </w:pPr>
        </w:p>
        <w:p w14:paraId="3D1BF5E1" w14:textId="77777777" w:rsidR="003D5DB4" w:rsidRPr="000D0101" w:rsidRDefault="003D5DB4" w:rsidP="000A5389">
          <w:pPr>
            <w:spacing w:line="240" w:lineRule="auto"/>
          </w:pPr>
          <w:r w:rsidRPr="000D0101">
            <w:t>Observaciones: NA.</w:t>
          </w:r>
        </w:p>
        <w:p w14:paraId="74B48C48" w14:textId="77777777" w:rsidR="003D5DB4" w:rsidRPr="000D0101" w:rsidRDefault="003D5DB4" w:rsidP="000A5389">
          <w:pPr>
            <w:spacing w:line="240" w:lineRule="auto"/>
          </w:pPr>
        </w:p>
        <w:p w14:paraId="4D76944D" w14:textId="77777777" w:rsidR="003D5DB4" w:rsidRPr="000D0101" w:rsidRDefault="003D5DB4" w:rsidP="000A5389">
          <w:pPr>
            <w:spacing w:line="240" w:lineRule="auto"/>
          </w:pPr>
          <w:r w:rsidRPr="000D0101">
            <w:t>f. Cambios en el acuerdo de concesión que se realicen durante el periodo fiscal</w:t>
          </w:r>
        </w:p>
        <w:p w14:paraId="59242869" w14:textId="77777777" w:rsidR="003D5DB4" w:rsidRPr="000D0101" w:rsidRDefault="003D5DB4" w:rsidP="000A5389">
          <w:pPr>
            <w:spacing w:line="240" w:lineRule="auto"/>
          </w:pPr>
        </w:p>
        <w:p w14:paraId="5B2F2733" w14:textId="77777777" w:rsidR="003D5DB4" w:rsidRPr="000D0101" w:rsidRDefault="003D5DB4" w:rsidP="000A5389">
          <w:pPr>
            <w:spacing w:line="240" w:lineRule="auto"/>
          </w:pPr>
          <w:r w:rsidRPr="000D0101">
            <w:t>Adiciones o modificaciones en tiempo</w:t>
          </w:r>
        </w:p>
        <w:p w14:paraId="3AFFAE50" w14:textId="77777777" w:rsidR="003D5DB4" w:rsidRPr="000D0101" w:rsidRDefault="003D5DB4" w:rsidP="000A5389">
          <w:pPr>
            <w:spacing w:line="240" w:lineRule="auto"/>
          </w:pPr>
          <w:r w:rsidRPr="000D0101">
            <w:t>Fechas de las adiciones o modificaciones:</w:t>
          </w:r>
          <w:r w:rsidRPr="000D0101">
            <w:tab/>
            <w:t>Otrosí No. 1 de 2014 dio una prórroga de 10 años al contrato. 5 de agosto de 2040, según la Resolución No. 406 del 26 de febrero de 2014 , que autorizó la modificación</w:t>
          </w:r>
        </w:p>
        <w:p w14:paraId="7DCF0448" w14:textId="77777777" w:rsidR="003D5DB4" w:rsidRPr="000D0101" w:rsidRDefault="003D5DB4" w:rsidP="000A5389">
          <w:pPr>
            <w:spacing w:line="240" w:lineRule="auto"/>
          </w:pPr>
          <w:r w:rsidRPr="000D0101">
            <w:t>Nueva fecha de finalización estimada: No se tiene ninguna observación</w:t>
          </w:r>
        </w:p>
        <w:p w14:paraId="09E43A77" w14:textId="77777777" w:rsidR="003D5DB4" w:rsidRPr="000D0101" w:rsidRDefault="003D5DB4" w:rsidP="000A5389">
          <w:pPr>
            <w:spacing w:line="240" w:lineRule="auto"/>
          </w:pPr>
          <w:r w:rsidRPr="000D0101">
            <w:t>Observaciones: NA</w:t>
          </w:r>
        </w:p>
        <w:p w14:paraId="13A3A7E6" w14:textId="77777777" w:rsidR="003D5DB4" w:rsidRPr="000D0101" w:rsidRDefault="003D5DB4" w:rsidP="000A5389">
          <w:pPr>
            <w:spacing w:line="240" w:lineRule="auto"/>
          </w:pPr>
          <w:r w:rsidRPr="000D0101">
            <w:lastRenderedPageBreak/>
            <w:t>Adiciones o modificaciones en valor</w:t>
          </w:r>
        </w:p>
        <w:p w14:paraId="086CCCAB" w14:textId="77777777" w:rsidR="003D5DB4" w:rsidRPr="000D0101" w:rsidRDefault="003D5DB4" w:rsidP="000A5389">
          <w:pPr>
            <w:spacing w:line="240" w:lineRule="auto"/>
          </w:pPr>
          <w:r w:rsidRPr="000D0101">
            <w:t>Valor de la adición o modificación: El Valor Presente Neto (VPN) de la contraprestación se fijó en USD $6,674,251.05, compuesto por una carga fija de USD $2,693,135.94 y una carga variable de USD $ 3,981,115.12 A partir de 2016, el concesionario comenzó a pagar un componente fijo anual de USD $432,034.26, ajustado conforme a lo estipulado en el CONPES 3744 de 201</w:t>
          </w:r>
        </w:p>
        <w:p w14:paraId="50F472BE" w14:textId="77777777" w:rsidR="003D5DB4" w:rsidRPr="000D0101" w:rsidRDefault="003D5DB4" w:rsidP="000A5389">
          <w:pPr>
            <w:spacing w:line="240" w:lineRule="auto"/>
          </w:pPr>
          <w:r w:rsidRPr="000D0101">
            <w:t>Nuevo valor del acuerdo: NA.</w:t>
          </w:r>
        </w:p>
        <w:p w14:paraId="4CE2CCD2" w14:textId="77777777" w:rsidR="003D5DB4" w:rsidRPr="000D0101" w:rsidRDefault="003D5DB4" w:rsidP="000A5389">
          <w:pPr>
            <w:spacing w:line="240" w:lineRule="auto"/>
          </w:pPr>
          <w:r w:rsidRPr="000D0101">
            <w:t>Observaciones: No se tiene ninguna observación</w:t>
          </w:r>
        </w:p>
        <w:p w14:paraId="3ECD4F1B" w14:textId="77777777" w:rsidR="003D5DB4" w:rsidRPr="00D8025C" w:rsidRDefault="003D5DB4" w:rsidP="000A5389">
          <w:pPr>
            <w:spacing w:line="240" w:lineRule="auto"/>
            <w:rPr>
              <w:rFonts w:eastAsia="Times New Roman"/>
              <w:i/>
              <w:iCs/>
              <w:lang w:eastAsia="es-CO"/>
            </w:rPr>
          </w:pPr>
          <w:r w:rsidRPr="00D8025C">
            <w:rPr>
              <w:rFonts w:eastAsia="Times New Roman"/>
              <w:i/>
              <w:iCs/>
              <w:lang w:eastAsia="es-CO"/>
            </w:rPr>
            <w:t xml:space="preserve">PUERTO BUENAVISTA S.A. </w:t>
          </w:r>
        </w:p>
        <w:p w14:paraId="65609BB8" w14:textId="77777777" w:rsidR="003D5DB4" w:rsidRPr="000D0101" w:rsidRDefault="003D5DB4" w:rsidP="000A5389">
          <w:pPr>
            <w:spacing w:line="240" w:lineRule="auto"/>
          </w:pPr>
        </w:p>
        <w:p w14:paraId="4642C4AD" w14:textId="77777777" w:rsidR="003D5DB4" w:rsidRPr="000D0101" w:rsidRDefault="003D5DB4" w:rsidP="000A5389">
          <w:pPr>
            <w:spacing w:line="240" w:lineRule="auto"/>
          </w:pPr>
          <w:r w:rsidRPr="000D0101">
            <w:t>a. Descripción del Acuerdo</w:t>
          </w:r>
        </w:p>
        <w:p w14:paraId="0A7FEABB" w14:textId="77777777" w:rsidR="003D5DB4" w:rsidRPr="000D0101" w:rsidRDefault="003D5DB4" w:rsidP="000A5389">
          <w:pPr>
            <w:spacing w:line="240" w:lineRule="auto"/>
          </w:pPr>
        </w:p>
        <w:p w14:paraId="685CBF27" w14:textId="77777777" w:rsidR="003D5DB4" w:rsidRPr="000D0101" w:rsidRDefault="003D5DB4" w:rsidP="000A5389">
          <w:pPr>
            <w:spacing w:line="240" w:lineRule="auto"/>
          </w:pPr>
          <w:r w:rsidRPr="000D0101">
            <w:t>Número del Acuerdo de concesión: 020 de 1997</w:t>
          </w:r>
        </w:p>
        <w:p w14:paraId="491E365A" w14:textId="77777777" w:rsidR="003D5DB4" w:rsidRPr="000D0101" w:rsidRDefault="003D5DB4" w:rsidP="000A5389">
          <w:pPr>
            <w:spacing w:line="240" w:lineRule="auto"/>
          </w:pPr>
        </w:p>
        <w:p w14:paraId="2717E5DA" w14:textId="77777777" w:rsidR="003D5DB4" w:rsidRPr="000D0101" w:rsidRDefault="003D5DB4" w:rsidP="000A5389">
          <w:pPr>
            <w:spacing w:line="240" w:lineRule="auto"/>
          </w:pPr>
          <w:r w:rsidRPr="000D0101">
            <w:t>Objeto / Descripción: En virtud del Contrato de concesión y sus modificaciones, se otorga una concesión portuaria para la ocupación y utilización de las playas, los terrenos de bajamar y las zonas accesorias a aquellas que forman parte de los lotes de propiedad de ABOCOL, que están localizados en la zona industrial de Mamonal sobre la Bahía de Cartagena en el lugar denominado Ensenada de Buenavista con el propósito de ampliar las instalaciones actuales y continuar con el funcionamiento del puerto, prestando servicio al público en general para la movilización de graneles líquidos, sólidos, contenedores y carga general, utilizando en forma temporal y exclusiva un frente de playa de 211 metros lineales y una zona accesoria especificada en el contrato, conforme lo establece la Cláusula Primera del Contrato.</w:t>
          </w:r>
        </w:p>
        <w:p w14:paraId="5AD996CA" w14:textId="77777777" w:rsidR="003D5DB4" w:rsidRPr="000D0101" w:rsidRDefault="003D5DB4" w:rsidP="000A5389">
          <w:pPr>
            <w:spacing w:line="240" w:lineRule="auto"/>
          </w:pPr>
        </w:p>
        <w:p w14:paraId="687A9EDE" w14:textId="77777777" w:rsidR="003D5DB4" w:rsidRPr="000D0101" w:rsidRDefault="003D5DB4" w:rsidP="000A5389">
          <w:pPr>
            <w:spacing w:line="240" w:lineRule="auto"/>
          </w:pPr>
          <w:r w:rsidRPr="000D0101">
            <w:t>Valor inicial:</w:t>
          </w:r>
          <w:r w:rsidRPr="000D0101">
            <w:tab/>
            <w:t>USD 717.260,79 Cláusula décima segunda / Contrato No.020 de 1997.</w:t>
          </w:r>
        </w:p>
        <w:p w14:paraId="432DA289" w14:textId="77777777" w:rsidR="003D5DB4" w:rsidRPr="000D0101" w:rsidRDefault="003D5DB4" w:rsidP="000A5389">
          <w:pPr>
            <w:spacing w:line="240" w:lineRule="auto"/>
          </w:pPr>
          <w:r w:rsidRPr="000D0101">
            <w:t>Fecha de inicio: 30/09/1997</w:t>
          </w:r>
        </w:p>
        <w:p w14:paraId="48C12D39" w14:textId="77777777" w:rsidR="003D5DB4" w:rsidRPr="000D0101" w:rsidRDefault="003D5DB4" w:rsidP="000A5389">
          <w:pPr>
            <w:spacing w:line="240" w:lineRule="auto"/>
          </w:pPr>
          <w:r w:rsidRPr="000D0101">
            <w:t>Fecha de finalización estimada: 29/09/2037</w:t>
          </w:r>
        </w:p>
        <w:p w14:paraId="35F0BA2D" w14:textId="77777777" w:rsidR="003D5DB4" w:rsidRPr="000D0101" w:rsidRDefault="003D5DB4" w:rsidP="000A5389">
          <w:pPr>
            <w:spacing w:line="240" w:lineRule="auto"/>
          </w:pPr>
          <w:r w:rsidRPr="000D0101">
            <w:t>Tipo ID: NIT</w:t>
          </w:r>
        </w:p>
        <w:p w14:paraId="6F231B59" w14:textId="77777777" w:rsidR="003D5DB4" w:rsidRPr="000D0101" w:rsidRDefault="003D5DB4" w:rsidP="000A5389">
          <w:pPr>
            <w:spacing w:line="240" w:lineRule="auto"/>
          </w:pPr>
          <w:r w:rsidRPr="000D0101">
            <w:t>Número ID: 800.206.129-9</w:t>
          </w:r>
        </w:p>
        <w:p w14:paraId="30DD1EB8" w14:textId="77777777" w:rsidR="003D5DB4" w:rsidRPr="000D0101" w:rsidRDefault="003D5DB4" w:rsidP="000A5389">
          <w:pPr>
            <w:spacing w:line="240" w:lineRule="auto"/>
          </w:pPr>
          <w:r w:rsidRPr="000D0101">
            <w:t>Razón social del concesionario: Puerto Buenavista S.A</w:t>
          </w:r>
        </w:p>
        <w:p w14:paraId="2DF03636" w14:textId="77777777" w:rsidR="003D5DB4" w:rsidRPr="000D0101" w:rsidRDefault="003D5DB4" w:rsidP="000A5389">
          <w:pPr>
            <w:spacing w:line="240" w:lineRule="auto"/>
          </w:pPr>
          <w:r w:rsidRPr="000D0101">
            <w:t>Nombre del proyecto: Puerto Buenavista S.A</w:t>
          </w:r>
        </w:p>
        <w:p w14:paraId="735C8663" w14:textId="77777777" w:rsidR="003D5DB4" w:rsidRPr="000D0101" w:rsidRDefault="003D5DB4" w:rsidP="000A5389">
          <w:pPr>
            <w:spacing w:line="240" w:lineRule="auto"/>
          </w:pPr>
        </w:p>
        <w:p w14:paraId="3F9C7CD3" w14:textId="77777777" w:rsidR="003D5DB4" w:rsidRPr="000D0101" w:rsidRDefault="003D5DB4" w:rsidP="000A5389">
          <w:pPr>
            <w:spacing w:line="240" w:lineRule="auto"/>
          </w:pPr>
          <w:r w:rsidRPr="000D0101">
            <w:t>b. Términos significativos del Acuerdo que puedan afectar su valor, el calendario y la certeza de los flujos de efectivo futuros</w:t>
          </w:r>
        </w:p>
        <w:p w14:paraId="716D840A" w14:textId="77777777" w:rsidR="003D5DB4" w:rsidRPr="000D0101" w:rsidRDefault="003D5DB4" w:rsidP="000A5389">
          <w:pPr>
            <w:spacing w:line="240" w:lineRule="auto"/>
          </w:pPr>
        </w:p>
        <w:p w14:paraId="116F6839" w14:textId="77777777" w:rsidR="003D5DB4" w:rsidRPr="000D0101" w:rsidRDefault="003D5DB4" w:rsidP="000A5389">
          <w:pPr>
            <w:spacing w:line="240" w:lineRule="auto"/>
          </w:pPr>
          <w:r w:rsidRPr="000D0101">
            <w:t>Términos de valor:</w:t>
          </w:r>
          <w:r w:rsidRPr="000D0101">
            <w:tab/>
            <w:t xml:space="preserve">1. Tarifas: Al ser el terminal marítimo de servicio público la Ley 1 de 1991 establece: Las sociedades portuarias que operan puertos de servicio público las tarifas requieren ser aprobadas según la metodología establecida por la Superintendencia General de Puertos hoy Superintendencia de Transporte.2. Contraprestación portuaria: De acuerdo con el último documento contractual vigente la metodología de contraprestación vigente es CONPES 3744 de 2013 (Componentes Fijo y Variable). A febrero de 2024 el CONCESIONARIO debió pagar la suma de USD 453.508. El valor correspondiente a la contraprestación por zona de uso público resultará de la diferencia entre el valor de la </w:t>
          </w:r>
          <w:r w:rsidRPr="000D0101">
            <w:lastRenderedPageBreak/>
            <w:t>liquidación total y el valor de la infraestructura. Y el recaudo se realizará de conformidad con la ley 856 de 2003, es decir, ZUP el 80% le corresponde a la Nación (INVIAS-ANI) y el 20% restante al distrito de Cartagena; e INFRAESTRUCTURA en un 100% a la Nación - (INVIAS-ANI).3. Plan de Inversiones: está establecido en la cláusula Octava del contrato, modificado por el Otrosí No.3 de 2020 que estableció en la cláusula primera, el plan de inversión será de USD 2.852.580 en valores constantes de 2016.4. Obligaciones del CONCESIONARIO: se encuentran descritas en la cláusula Novena del Otrosí No. 2 de 2017.5. Multas y sanciones: están establecidas en la cláusula décima quinta del Otrosí No. 2 de 2017.6. Penal pecuniario: En la cláusula décima sexta del Otrosí No. 2 de 2016 se establece que en el evento en que la ANI declare la caducidad o el incumplimiento del presente contrato se podrá imponer una penalidad pecuniaria del 10% del valor total de la contraprestación.7. Riesgos: están descritos en la cláusula Trigésimo Séptima del Otrosí No. 2 de 2017, el CONCESIONARIO acepta la totalidad de los riesgos inherentes a su ejecución en sus etapas serán asumidos por dicha sociedad. La ocurrencia de cualquier riesgo no dará derecho a indemnización o reconocimiento alguno a favor del Concesionario.</w:t>
          </w:r>
        </w:p>
        <w:p w14:paraId="79FE1E75" w14:textId="77777777" w:rsidR="003D5DB4" w:rsidRPr="000D0101" w:rsidRDefault="003D5DB4" w:rsidP="000A5389">
          <w:pPr>
            <w:spacing w:line="240" w:lineRule="auto"/>
          </w:pPr>
        </w:p>
        <w:p w14:paraId="24E360D9" w14:textId="77777777" w:rsidR="003D5DB4" w:rsidRPr="000D0101" w:rsidRDefault="003D5DB4" w:rsidP="000A5389">
          <w:pPr>
            <w:spacing w:line="240" w:lineRule="auto"/>
          </w:pPr>
          <w:r w:rsidRPr="000D0101">
            <w:t>Términos de calendario: 1. Tarifas: Al ser el terminal marítimo de servicio público la Ley 1 de 1991 establece: Las sociedades portuarias que operan puertos de servicio público las tarifas requieren ser aprobadas según la metodología establecida por la Superintendencia General de Puertos hoy Superintendencia de Transporte.2. Contraprestación portuaria: De acuerdo con el último documento contractual vigente la metodología de contraprestación vigente es CONPES 3744 de 2013 (Componentes Fijo y Variable). A febrero de 2024 el CONCESIONARIO debió pagar la suma de USD $453.588. El valor correspondiente a la contraprestación por zona de uso público resultará de la diferencia entre el valor de la liquidación total y el valor de la infraestructura. Y el recaudo se realizará de conformidad con la ley 856 de 2003, es decir, ZUP el 80% le corresponde a la Nación (INVIAS-ANI) y el 20% restante al distrito de Cartagena; e INFRAESTRUCTURA en un 100% a la Nación - (INVIAS-ANI).3. Plan de Inversiones: está establecido en la cláusula Octava del contrato, modificado por el Otrosí No.3 de 2020 que estableció en la cláusula primera, el plan de inversión será de USD$2.852.580 en valores constantes de 2016.4. Obligaciones del CONCESIONARIO: se encuentran descritas en la cláusula Novena del Otrosí No. 2 de 2017.5. Multas y sanciones: están establecidas en la cláusula décima quinta del Otrosí No. 2 de 2017.</w:t>
          </w:r>
        </w:p>
        <w:p w14:paraId="42071F80" w14:textId="77777777" w:rsidR="003D5DB4" w:rsidRPr="000D0101" w:rsidRDefault="003D5DB4" w:rsidP="000A5389">
          <w:pPr>
            <w:spacing w:line="240" w:lineRule="auto"/>
          </w:pPr>
        </w:p>
        <w:p w14:paraId="265053F5" w14:textId="77777777" w:rsidR="003D5DB4" w:rsidRPr="000D0101" w:rsidRDefault="003D5DB4" w:rsidP="000A5389">
          <w:pPr>
            <w:spacing w:line="240" w:lineRule="auto"/>
          </w:pPr>
          <w:r w:rsidRPr="000D0101">
            <w:t>Términos de certeza de flujos de efectivo futuros: Se otorga a EL CONCESIONARIO el derecho de ocupar y utilizar en forma temporal y exclusiva las playas, los terrenos de bajamar y zonas accesorias a aquellas o estos, descritos en la cláusula segunda del contrato, a cambio de la contraprestación económica. Cláusula Cuarta Otrosí No.3 de 2020, numeral iv) Del valor a pagar por concepto de contraprestación por Zona de Uso público el 80% le corresponde a la Nación- (INVIAS-ANI) y el 20 % al Distrito turístico de Cartagena de Indias y por Infraestructura el 100% a la Nación-(INVIAS-ANI).</w:t>
          </w:r>
        </w:p>
        <w:p w14:paraId="72B1AB67" w14:textId="77777777" w:rsidR="003D5DB4" w:rsidRPr="000D0101" w:rsidRDefault="003D5DB4" w:rsidP="000A5389">
          <w:pPr>
            <w:spacing w:line="240" w:lineRule="auto"/>
          </w:pPr>
        </w:p>
        <w:p w14:paraId="2509809C" w14:textId="77777777" w:rsidR="003D5DB4" w:rsidRPr="000D0101" w:rsidRDefault="003D5DB4" w:rsidP="000A5389">
          <w:pPr>
            <w:spacing w:line="240" w:lineRule="auto"/>
          </w:pPr>
          <w:r w:rsidRPr="000D0101">
            <w:t>c. Naturaleza y alcance del derecho a utilizar Activos y los aspectos pactados en torno a lo que se espera que el concesionario proporcione en relación con el Acuerdo de concesión</w:t>
          </w:r>
        </w:p>
        <w:p w14:paraId="7897B39D" w14:textId="77777777" w:rsidR="003D5DB4" w:rsidRPr="000D0101" w:rsidRDefault="003D5DB4" w:rsidP="000A5389">
          <w:pPr>
            <w:spacing w:line="240" w:lineRule="auto"/>
          </w:pPr>
        </w:p>
        <w:p w14:paraId="6ED29128" w14:textId="77777777" w:rsidR="003D5DB4" w:rsidRPr="000D0101" w:rsidRDefault="003D5DB4" w:rsidP="000A5389">
          <w:pPr>
            <w:spacing w:line="240" w:lineRule="auto"/>
          </w:pPr>
          <w:r w:rsidRPr="000D0101">
            <w:t>Naturaleza y alcance del derecho de uso de los Activos</w:t>
          </w:r>
        </w:p>
        <w:p w14:paraId="1F17A6F1" w14:textId="77777777" w:rsidR="003D5DB4" w:rsidRPr="000D0101" w:rsidRDefault="003D5DB4" w:rsidP="000A5389">
          <w:pPr>
            <w:spacing w:line="240" w:lineRule="auto"/>
          </w:pPr>
        </w:p>
        <w:p w14:paraId="696C2551" w14:textId="77777777" w:rsidR="003D5DB4" w:rsidRPr="000D0101" w:rsidRDefault="003D5DB4" w:rsidP="000A5389">
          <w:pPr>
            <w:spacing w:line="240" w:lineRule="auto"/>
          </w:pPr>
          <w:r w:rsidRPr="000D0101">
            <w:t>Descripción:</w:t>
          </w:r>
          <w:r w:rsidRPr="000D0101">
            <w:tab/>
            <w:t>Activos reconocidos Alcance del derecho de uso de los activos: Descripción del proyecto, especificaciones técnicas, modalidades de operación: las condiciones especiales de operación del puerto están establecidas en la cláusula quinta del Contrato. Área entregada en concesión: La descripción de la ubicación, linderos y extensión de los bienes de uso público (playas y terrenos de baja mar, zonas marítimas accesorias de maniobras) entregados en concesión están establecidos en la cláusula segunda del Contrato. Infraestructura y equipos entregados en concesión: En el Formato de Registro de las Instalaciones de Muelles Privados y Públicos se describe que lo entregado en concesión fue: Infraestructura: Plataforma Muelle, Estructura metálica tablaestaca, oficinas, bodegas. Equipos: Equipos de control y acometida eléctrica, tolva acero al carbón de ¼, 2 bandas transportadoras de ancho 24” 3, 2 cucharas grandes CAP 5.0, 2 tolvas para cargue de volquetas.</w:t>
          </w:r>
        </w:p>
        <w:p w14:paraId="74E09659" w14:textId="77777777" w:rsidR="003D5DB4" w:rsidRPr="000D0101" w:rsidRDefault="003D5DB4" w:rsidP="000A5389">
          <w:pPr>
            <w:spacing w:line="240" w:lineRule="auto"/>
          </w:pPr>
        </w:p>
        <w:p w14:paraId="66F4D32F" w14:textId="77777777" w:rsidR="003D5DB4" w:rsidRPr="000D0101" w:rsidRDefault="003D5DB4" w:rsidP="000A5389">
          <w:pPr>
            <w:spacing w:line="240" w:lineRule="auto"/>
          </w:pPr>
          <w:r w:rsidRPr="000D0101">
            <w:t>Observaciones: N/A</w:t>
          </w:r>
        </w:p>
        <w:p w14:paraId="59569FD8" w14:textId="77777777" w:rsidR="003D5DB4" w:rsidRPr="000D0101" w:rsidRDefault="003D5DB4" w:rsidP="000A5389">
          <w:pPr>
            <w:spacing w:line="240" w:lineRule="auto"/>
          </w:pPr>
        </w:p>
        <w:p w14:paraId="6B3EFF47" w14:textId="77777777" w:rsidR="003D5DB4" w:rsidRPr="000D0101" w:rsidRDefault="003D5DB4" w:rsidP="000A5389">
          <w:pPr>
            <w:spacing w:line="240" w:lineRule="auto"/>
          </w:pPr>
          <w:r w:rsidRPr="000D0101">
            <w:t>Retribución al concesionario</w:t>
          </w:r>
        </w:p>
        <w:p w14:paraId="6AD43084" w14:textId="77777777" w:rsidR="003D5DB4" w:rsidRPr="000D0101" w:rsidRDefault="003D5DB4" w:rsidP="000A5389">
          <w:pPr>
            <w:spacing w:line="240" w:lineRule="auto"/>
          </w:pPr>
        </w:p>
        <w:p w14:paraId="69561D2E" w14:textId="77777777" w:rsidR="003D5DB4" w:rsidRPr="000D0101" w:rsidRDefault="003D5DB4" w:rsidP="000A5389">
          <w:pPr>
            <w:spacing w:line="240" w:lineRule="auto"/>
          </w:pPr>
          <w:r w:rsidRPr="000D0101">
            <w:t>Descripción:</w:t>
          </w:r>
          <w:r w:rsidRPr="000D0101">
            <w:tab/>
            <w:t>En virtud del Contrato de concesión y sus modificaciones, se otorga una concesión portuaria para la ocupación y utilización de las playas, los terrenos de bajamar y las zonas accesorias a aquellas que forman parte de los lotes de propiedad de ABOCOL, que están localizados en la zona industrial de Mamonal sobre la Bahía de Cartagena en el lugar denominado Ensenada de Buenavista con el propósito de ampliar las instalaciones actuales y continuar con el funcionamiento del puerto, prestando servicio al público en general para la movilización de graneles líquidos, sólidos, contenedores y carga general, utilizando en forma temporal y exclusiva un frente de playa de 211 metros lineales y una zona accesoria especificada en el contrato, conforme lo establécela Cláusula Primera del Contrato.</w:t>
          </w:r>
        </w:p>
        <w:p w14:paraId="27AA56D6" w14:textId="77777777" w:rsidR="003D5DB4" w:rsidRPr="000D0101" w:rsidRDefault="003D5DB4" w:rsidP="000A5389">
          <w:pPr>
            <w:spacing w:line="240" w:lineRule="auto"/>
          </w:pPr>
        </w:p>
        <w:p w14:paraId="4CD22383" w14:textId="77777777" w:rsidR="003D5DB4" w:rsidRPr="000D0101" w:rsidRDefault="003D5DB4" w:rsidP="000A5389">
          <w:pPr>
            <w:spacing w:line="240" w:lineRule="auto"/>
          </w:pPr>
          <w:r w:rsidRPr="000D0101">
            <w:t>Tasa de retribución:</w:t>
          </w:r>
          <w:r w:rsidRPr="000D0101">
            <w:tab/>
            <w:t>N/A</w:t>
          </w:r>
        </w:p>
        <w:p w14:paraId="34A93547" w14:textId="77777777" w:rsidR="003D5DB4" w:rsidRPr="000D0101" w:rsidRDefault="003D5DB4" w:rsidP="000A5389">
          <w:pPr>
            <w:spacing w:line="240" w:lineRule="auto"/>
          </w:pPr>
        </w:p>
        <w:p w14:paraId="5A6DB2B8" w14:textId="77777777" w:rsidR="003D5DB4" w:rsidRPr="000D0101" w:rsidRDefault="003D5DB4" w:rsidP="000A5389">
          <w:pPr>
            <w:spacing w:line="240" w:lineRule="auto"/>
          </w:pPr>
          <w:r w:rsidRPr="000D0101">
            <w:t>d. Derechos a recibir Activos especificados al final del acuerdo de concesión</w:t>
          </w:r>
        </w:p>
        <w:p w14:paraId="3D6E1316" w14:textId="77777777" w:rsidR="003D5DB4" w:rsidRPr="000D0101" w:rsidRDefault="003D5DB4" w:rsidP="000A5389">
          <w:pPr>
            <w:spacing w:line="240" w:lineRule="auto"/>
          </w:pPr>
        </w:p>
        <w:p w14:paraId="42DF0F74" w14:textId="77777777" w:rsidR="003D5DB4" w:rsidRPr="000D0101" w:rsidRDefault="003D5DB4" w:rsidP="000A5389">
          <w:pPr>
            <w:spacing w:line="240" w:lineRule="auto"/>
          </w:pPr>
          <w:r w:rsidRPr="000D0101">
            <w:t>Descripción:</w:t>
          </w:r>
          <w:r w:rsidRPr="000D0101">
            <w:tab/>
            <w:t>De acuerdo con el Artículo 8º de la Ley 1 de 1991 en el modo portuario el concesionario no tiene derechos finales sobre activos los debe revertir a la Nación al final del contrato de concesión.</w:t>
          </w:r>
        </w:p>
        <w:p w14:paraId="0260B487" w14:textId="77777777" w:rsidR="003D5DB4" w:rsidRPr="000D0101" w:rsidRDefault="003D5DB4" w:rsidP="000A5389">
          <w:pPr>
            <w:spacing w:line="240" w:lineRule="auto"/>
          </w:pPr>
        </w:p>
        <w:p w14:paraId="52FA5B49" w14:textId="77777777" w:rsidR="003D5DB4" w:rsidRPr="000D0101" w:rsidRDefault="003D5DB4" w:rsidP="000A5389">
          <w:pPr>
            <w:spacing w:line="240" w:lineRule="auto"/>
          </w:pPr>
          <w:r w:rsidRPr="000D0101">
            <w:t xml:space="preserve">Observaciones: Reversión: De acuerdo con lo establecido en la cláusula decimoquinta del Otrosí No. 2 de 2017, la zona de uso público durante el término dela concesión deberá revertir a la Nación de acuerdo con lo establecido en el inciso final del artículo 8 de la Ley 1 de 1991 y en los términos de la Cláusula Décima Primera del Contrato de Concesión No.020 de 1997.En razón a que parte de la infraestructura asociada al proyecto no se ubica exclusivamente en zona de uso público, sino que abarca también zona adyacente, como en el </w:t>
          </w:r>
          <w:r w:rsidRPr="000D0101">
            <w:lastRenderedPageBreak/>
            <w:t>caso de la línea de amoniaco, la reversión de dicha infraestructura, deber ser legalmente viable, y en caso de la no continuidad en la operación del terminal portuario para la prestación del servicio público al que está destinado, podrá, adelantarse bajo la figura de compensación en dinero. Para cuyos efectos el valor a reconocer determinará con base en el avalúo que a dicha fecha deberá presentar el concesionario. Para tal fin, en el momento de la reversión el CONCESIONARIO elaborará un inventario de los bienes y los enviará para su revisión y aprobación. La ANI es la entidad concedente pero la titularidad de los activos al final de la concesión es del Instituto Nacional de Vías INVIAS.</w:t>
          </w:r>
        </w:p>
        <w:p w14:paraId="5BB50482" w14:textId="77777777" w:rsidR="003D5DB4" w:rsidRPr="000D0101" w:rsidRDefault="003D5DB4" w:rsidP="000A5389">
          <w:pPr>
            <w:spacing w:line="240" w:lineRule="auto"/>
          </w:pPr>
          <w:r w:rsidRPr="000D0101">
            <w:t>e. Las alternativas de renovación y cese del acuerdo</w:t>
          </w:r>
        </w:p>
        <w:p w14:paraId="4A7AE038" w14:textId="77777777" w:rsidR="003D5DB4" w:rsidRPr="000D0101" w:rsidRDefault="003D5DB4" w:rsidP="000A5389">
          <w:pPr>
            <w:spacing w:line="240" w:lineRule="auto"/>
          </w:pPr>
        </w:p>
        <w:p w14:paraId="66F89AE2" w14:textId="77777777" w:rsidR="003D5DB4" w:rsidRPr="000D0101" w:rsidRDefault="003D5DB4" w:rsidP="000A5389">
          <w:pPr>
            <w:spacing w:line="240" w:lineRule="auto"/>
          </w:pPr>
          <w:r w:rsidRPr="000D0101">
            <w:t>Descripción:</w:t>
          </w:r>
          <w:r w:rsidRPr="000D0101">
            <w:tab/>
            <w:t>El cese del acuerdo se encuentra en la CLÁUSULA VIGÉSIMO PRIMERA del contrato</w:t>
          </w:r>
        </w:p>
        <w:p w14:paraId="6A5AC86F" w14:textId="77777777" w:rsidR="003D5DB4" w:rsidRPr="000D0101" w:rsidRDefault="003D5DB4" w:rsidP="000A5389">
          <w:pPr>
            <w:spacing w:line="240" w:lineRule="auto"/>
          </w:pPr>
        </w:p>
        <w:p w14:paraId="37C83F96" w14:textId="77777777" w:rsidR="003D5DB4" w:rsidRPr="000D0101" w:rsidRDefault="003D5DB4" w:rsidP="000A5389">
          <w:pPr>
            <w:spacing w:line="240" w:lineRule="auto"/>
          </w:pPr>
          <w:r w:rsidRPr="000D0101">
            <w:t>Observaciones: No se tiene ninguna observación</w:t>
          </w:r>
        </w:p>
        <w:p w14:paraId="183C4199" w14:textId="77777777" w:rsidR="003D5DB4" w:rsidRPr="000D0101" w:rsidRDefault="003D5DB4" w:rsidP="000A5389">
          <w:pPr>
            <w:spacing w:line="240" w:lineRule="auto"/>
          </w:pPr>
        </w:p>
        <w:p w14:paraId="5AAD57D5" w14:textId="77777777" w:rsidR="003D5DB4" w:rsidRPr="000D0101" w:rsidRDefault="003D5DB4" w:rsidP="000A5389">
          <w:pPr>
            <w:spacing w:line="240" w:lineRule="auto"/>
          </w:pPr>
          <w:r w:rsidRPr="000D0101">
            <w:t>f. Cambios en el acuerdo de concesión que se realicen durante el periodo fiscal</w:t>
          </w:r>
        </w:p>
        <w:p w14:paraId="470F6AA2" w14:textId="77777777" w:rsidR="003D5DB4" w:rsidRPr="000D0101" w:rsidRDefault="003D5DB4" w:rsidP="000A5389">
          <w:pPr>
            <w:spacing w:line="240" w:lineRule="auto"/>
          </w:pPr>
        </w:p>
        <w:p w14:paraId="357AA40A" w14:textId="77777777" w:rsidR="003D5DB4" w:rsidRPr="000D0101" w:rsidRDefault="003D5DB4" w:rsidP="000A5389">
          <w:pPr>
            <w:spacing w:line="240" w:lineRule="auto"/>
          </w:pPr>
          <w:r w:rsidRPr="000D0101">
            <w:t>Adiciones o modificaciones en tiempo</w:t>
          </w:r>
        </w:p>
        <w:p w14:paraId="3CF3EFA5" w14:textId="77777777" w:rsidR="003D5DB4" w:rsidRPr="000D0101" w:rsidRDefault="003D5DB4" w:rsidP="000A5389">
          <w:pPr>
            <w:spacing w:line="240" w:lineRule="auto"/>
          </w:pPr>
          <w:r w:rsidRPr="000D0101">
            <w:t>Fechas de las adiciones o modificaciones:</w:t>
          </w:r>
          <w:r w:rsidRPr="000D0101">
            <w:tab/>
            <w:t>Otrosí No. 2 (29-sep-2017) - Extensión por 20 años adicionales</w:t>
          </w:r>
        </w:p>
        <w:p w14:paraId="753D68E0" w14:textId="77777777" w:rsidR="003D5DB4" w:rsidRPr="000D0101" w:rsidRDefault="003D5DB4" w:rsidP="000A5389">
          <w:pPr>
            <w:spacing w:line="240" w:lineRule="auto"/>
          </w:pPr>
          <w:r w:rsidRPr="000D0101">
            <w:t>Nueva fecha de finalización estimada: 29 de septiembre de 2037</w:t>
          </w:r>
        </w:p>
        <w:p w14:paraId="4FED54B5" w14:textId="77777777" w:rsidR="003D5DB4" w:rsidRPr="000D0101" w:rsidRDefault="003D5DB4" w:rsidP="000A5389">
          <w:pPr>
            <w:spacing w:line="240" w:lineRule="auto"/>
          </w:pPr>
          <w:r w:rsidRPr="000D0101">
            <w:t>Observaciones: El contrato está en período de prórroga.</w:t>
          </w:r>
        </w:p>
        <w:p w14:paraId="5ED77CFE" w14:textId="77777777" w:rsidR="003D5DB4" w:rsidRPr="000D0101" w:rsidRDefault="003D5DB4" w:rsidP="000A5389">
          <w:pPr>
            <w:spacing w:line="240" w:lineRule="auto"/>
          </w:pPr>
          <w:r w:rsidRPr="000D0101">
            <w:t>Adiciones o modificaciones en valor</w:t>
          </w:r>
        </w:p>
        <w:p w14:paraId="0BE302EE" w14:textId="77777777" w:rsidR="003D5DB4" w:rsidRPr="000D0101" w:rsidRDefault="003D5DB4" w:rsidP="000A5389">
          <w:pPr>
            <w:spacing w:line="240" w:lineRule="auto"/>
          </w:pPr>
          <w:r w:rsidRPr="000D0101">
            <w:t>Valor de la adición o modificación: Otrosí No. 2 de 2017 estableció un nuevo plan de inversiones por USD 2.343.179</w:t>
          </w:r>
        </w:p>
        <w:p w14:paraId="1EF41218" w14:textId="77777777" w:rsidR="003D5DB4" w:rsidRPr="000D0101" w:rsidRDefault="003D5DB4" w:rsidP="000A5389">
          <w:pPr>
            <w:spacing w:line="240" w:lineRule="auto"/>
          </w:pPr>
          <w:r w:rsidRPr="000D0101">
            <w:t>Nuevo valor del acuerdo: USD 4.228.211 - Nuevo valor del contrato</w:t>
          </w:r>
        </w:p>
        <w:p w14:paraId="1466EDF3" w14:textId="77777777" w:rsidR="003D5DB4" w:rsidRPr="000D0101" w:rsidRDefault="003D5DB4" w:rsidP="000A5389">
          <w:pPr>
            <w:spacing w:line="240" w:lineRule="auto"/>
          </w:pPr>
          <w:r w:rsidRPr="000D0101">
            <w:t>Observaciones: No se tiene ninguna observación</w:t>
          </w:r>
        </w:p>
        <w:p w14:paraId="4BC344D7" w14:textId="77777777" w:rsidR="003D5DB4" w:rsidRPr="000D0101" w:rsidRDefault="003D5DB4" w:rsidP="000A5389">
          <w:pPr>
            <w:spacing w:line="240" w:lineRule="auto"/>
            <w:rPr>
              <w:rFonts w:eastAsia="Times New Roman"/>
              <w:lang w:eastAsia="es-CO"/>
            </w:rPr>
          </w:pPr>
        </w:p>
        <w:p w14:paraId="1D34C379" w14:textId="77777777" w:rsidR="003D5DB4" w:rsidRPr="000D0101" w:rsidRDefault="003D5DB4" w:rsidP="000A5389">
          <w:pPr>
            <w:spacing w:line="240" w:lineRule="auto"/>
            <w:rPr>
              <w:rFonts w:eastAsia="Times New Roman"/>
              <w:lang w:eastAsia="es-CO"/>
            </w:rPr>
          </w:pPr>
        </w:p>
        <w:p w14:paraId="0C3BCADB" w14:textId="77777777" w:rsidR="003D5DB4" w:rsidRPr="00876603" w:rsidRDefault="003D5DB4" w:rsidP="000A5389">
          <w:pPr>
            <w:spacing w:line="240" w:lineRule="auto"/>
            <w:rPr>
              <w:rFonts w:eastAsia="Times New Roman"/>
              <w:i/>
              <w:iCs/>
              <w:lang w:eastAsia="es-CO"/>
            </w:rPr>
          </w:pPr>
          <w:r w:rsidRPr="00876603">
            <w:rPr>
              <w:rFonts w:eastAsia="Times New Roman"/>
              <w:i/>
              <w:iCs/>
              <w:lang w:eastAsia="es-CO"/>
            </w:rPr>
            <w:t xml:space="preserve">PUERTO DE MAMONAL S.A. </w:t>
          </w:r>
        </w:p>
        <w:p w14:paraId="6CE1FB7D" w14:textId="77777777" w:rsidR="003D5DB4" w:rsidRPr="000D0101" w:rsidRDefault="003D5DB4" w:rsidP="000A5389">
          <w:pPr>
            <w:spacing w:line="240" w:lineRule="auto"/>
            <w:rPr>
              <w:rFonts w:eastAsia="Times New Roman"/>
              <w:lang w:eastAsia="es-CO"/>
            </w:rPr>
          </w:pPr>
        </w:p>
        <w:p w14:paraId="3479D2A3" w14:textId="77777777" w:rsidR="003D5DB4" w:rsidRPr="000D0101" w:rsidRDefault="003D5DB4" w:rsidP="000A5389">
          <w:pPr>
            <w:spacing w:line="240" w:lineRule="auto"/>
          </w:pPr>
          <w:r w:rsidRPr="000D0101">
            <w:t>Descripción del Acuerdo</w:t>
          </w:r>
        </w:p>
        <w:p w14:paraId="4092842B" w14:textId="77777777" w:rsidR="003D5DB4" w:rsidRPr="000D0101" w:rsidRDefault="003D5DB4" w:rsidP="000A5389">
          <w:pPr>
            <w:spacing w:line="240" w:lineRule="auto"/>
          </w:pPr>
        </w:p>
        <w:p w14:paraId="4FE52E00" w14:textId="77777777" w:rsidR="003D5DB4" w:rsidRPr="000D0101" w:rsidRDefault="003D5DB4" w:rsidP="000A5389">
          <w:pPr>
            <w:spacing w:line="240" w:lineRule="auto"/>
          </w:pPr>
          <w:r w:rsidRPr="000D0101">
            <w:t>Número del Acuerdo de concesión: 088 de 2004.</w:t>
          </w:r>
        </w:p>
        <w:p w14:paraId="2622A1AD" w14:textId="77777777" w:rsidR="003D5DB4" w:rsidRPr="000D0101" w:rsidRDefault="003D5DB4" w:rsidP="000A5389">
          <w:pPr>
            <w:spacing w:line="240" w:lineRule="auto"/>
          </w:pPr>
        </w:p>
        <w:p w14:paraId="19A11E00" w14:textId="77777777" w:rsidR="003D5DB4" w:rsidRPr="000D0101" w:rsidRDefault="003D5DB4" w:rsidP="000A5389">
          <w:pPr>
            <w:spacing w:line="240" w:lineRule="auto"/>
          </w:pPr>
          <w:r w:rsidRPr="000D0101">
            <w:t>Objeto / Descripción:</w:t>
          </w:r>
          <w:r w:rsidRPr="000D0101">
            <w:tab/>
            <w:t xml:space="preserve">La Agencia Nacional de Infraestructura, en virtud del presente contrato, otorga formalmente una Concesión Portuaria a la Sociedad Portuaria Puerto de Mamonal S.A., para ocupar y utilizar en forma temporal y exclusiva los bienes pertenecientes a la Nación determinados en la Clausula Segunda del presente Contrato, ubicados en el Distrito de Cartagena de Indias, departamento de Bolívar, destinados a la construcción, mantenimiento, administración y operación de un puerto de servicio público para comercio interior y exterior, destinado al manejo de carbones, coques, petcoques, graneles sólidos, minerales, clinker, abonos y alimentos entre otros, graneles líquidos, carga general, carga suelta, combustibles- hidrocarburos y contenedores, por el tiempo estimado, a cambio de la </w:t>
          </w:r>
          <w:r w:rsidRPr="000D0101">
            <w:lastRenderedPageBreak/>
            <w:t>Contraprestación establecida en la Cláusula Séptima de éste, conforme lo establece la Cláusula primera del Otrosí No. 01 del 13 de noviembre de 2012.</w:t>
          </w:r>
        </w:p>
        <w:p w14:paraId="5508A9A9" w14:textId="77777777" w:rsidR="003D5DB4" w:rsidRPr="000D0101" w:rsidRDefault="003D5DB4" w:rsidP="000A5389">
          <w:pPr>
            <w:spacing w:line="240" w:lineRule="auto"/>
          </w:pPr>
        </w:p>
        <w:p w14:paraId="4861930F" w14:textId="77777777" w:rsidR="003D5DB4" w:rsidRPr="000D0101" w:rsidRDefault="003D5DB4" w:rsidP="000A5389">
          <w:pPr>
            <w:spacing w:line="240" w:lineRule="auto"/>
          </w:pPr>
          <w:r w:rsidRPr="000D0101">
            <w:t>Valor inicial:</w:t>
          </w:r>
          <w:r w:rsidRPr="000D0101">
            <w:tab/>
            <w:t>USD $ 77.698,50 / Cláusula Sexta / Contrato No.088 de 2004.</w:t>
          </w:r>
        </w:p>
        <w:p w14:paraId="6253780B" w14:textId="77777777" w:rsidR="003D5DB4" w:rsidRPr="000D0101" w:rsidRDefault="003D5DB4" w:rsidP="000A5389">
          <w:pPr>
            <w:spacing w:line="240" w:lineRule="auto"/>
          </w:pPr>
          <w:r w:rsidRPr="000D0101">
            <w:t>Fecha de inicio: 22/12/2004</w:t>
          </w:r>
        </w:p>
        <w:p w14:paraId="373136C8" w14:textId="77777777" w:rsidR="003D5DB4" w:rsidRPr="000D0101" w:rsidRDefault="003D5DB4" w:rsidP="000A5389">
          <w:pPr>
            <w:spacing w:line="240" w:lineRule="auto"/>
          </w:pPr>
          <w:r w:rsidRPr="000D0101">
            <w:t>Fecha de finalización estimada: 21/12/2034</w:t>
          </w:r>
        </w:p>
        <w:p w14:paraId="760F6900" w14:textId="77777777" w:rsidR="003D5DB4" w:rsidRPr="000D0101" w:rsidRDefault="003D5DB4" w:rsidP="000A5389">
          <w:pPr>
            <w:spacing w:line="240" w:lineRule="auto"/>
          </w:pPr>
          <w:r w:rsidRPr="000D0101">
            <w:t>Tipo ID: NIT</w:t>
          </w:r>
        </w:p>
        <w:p w14:paraId="483C16BE" w14:textId="77777777" w:rsidR="003D5DB4" w:rsidRPr="000D0101" w:rsidRDefault="003D5DB4" w:rsidP="000A5389">
          <w:pPr>
            <w:spacing w:line="240" w:lineRule="auto"/>
          </w:pPr>
          <w:r w:rsidRPr="000D0101">
            <w:t>Número ID: 800.096.464-8</w:t>
          </w:r>
        </w:p>
        <w:p w14:paraId="444146AC" w14:textId="77777777" w:rsidR="003D5DB4" w:rsidRPr="000D0101" w:rsidRDefault="003D5DB4" w:rsidP="000A5389">
          <w:pPr>
            <w:spacing w:line="240" w:lineRule="auto"/>
          </w:pPr>
          <w:r w:rsidRPr="000D0101">
            <w:t>Razón social del concesionario: Sociedad Portuaria Puerto de Mamonal S.A</w:t>
          </w:r>
        </w:p>
        <w:p w14:paraId="1741118C" w14:textId="77777777" w:rsidR="003D5DB4" w:rsidRPr="000D0101" w:rsidRDefault="003D5DB4" w:rsidP="000A5389">
          <w:pPr>
            <w:spacing w:line="240" w:lineRule="auto"/>
          </w:pPr>
          <w:r w:rsidRPr="000D0101">
            <w:t>Nombre del proyecto: Sociedad Portuaria Puerto de Mamonal S.A</w:t>
          </w:r>
        </w:p>
        <w:p w14:paraId="743CDC56" w14:textId="77777777" w:rsidR="003D5DB4" w:rsidRPr="000D0101" w:rsidRDefault="003D5DB4" w:rsidP="000A5389">
          <w:pPr>
            <w:spacing w:line="240" w:lineRule="auto"/>
          </w:pPr>
          <w:r w:rsidRPr="000D0101">
            <w:t>b. Términos significativos del Acuerdo que puedan afectar su valor, el calendario y la certeza de los flujos de efectivo futuros</w:t>
          </w:r>
        </w:p>
        <w:p w14:paraId="5DDDD3F0" w14:textId="77777777" w:rsidR="003D5DB4" w:rsidRPr="000D0101" w:rsidRDefault="003D5DB4" w:rsidP="000A5389">
          <w:pPr>
            <w:spacing w:line="240" w:lineRule="auto"/>
          </w:pPr>
        </w:p>
        <w:p w14:paraId="22189267" w14:textId="77777777" w:rsidR="003D5DB4" w:rsidRPr="000D0101" w:rsidRDefault="003D5DB4" w:rsidP="000A5389">
          <w:pPr>
            <w:spacing w:line="240" w:lineRule="auto"/>
          </w:pPr>
          <w:r w:rsidRPr="000D0101">
            <w:t>Términos de valor:</w:t>
          </w:r>
          <w:r w:rsidRPr="000D0101">
            <w:tab/>
            <w:t>Tarifas: Al ser el terminal marítimo de servicio público según la cláusula décima tercera, la Ley 1 de 1991 establece: Las sociedades portuarias que operan puertos de servicio público las tarifas requieren ser aprobadas según la metodología establecida por la Superintendencia General de Puertos hoy Superintendencia de Transporte. Contraprestación portuaria: De acuerdo con el último documento contractual vigente metodología de contraprestación vigente es CONPES 3744 de 2013 (Componentes Fijo y Variable). A febrero de 2025 el CONCESIONARIO debió pagar la suma de USD $724.076 por contraprestación. El valor correspondiente a la contraprestación por zona de uso público resultará de la diferencia entre el valor de la liquidación total y el valor de la infraestructura. Y el recaudo se realizará de conformidad con la ley 856 de 2003, es decir, ZUP el 80% le corresponde a la Nación (INVIAS-ANI) y el 20% restante al distrito de Cartagena; e INFRAESTRUCTURA en un 100% a la Nación - (INVIAS-ANI). Plan de Inversiones: Está establecido en la cláusula décima cuarta del contrato, modificado por la cláusula décima primera del otrosí N.1 del 12 de noviembre de 2012, el plan de inversión será de USD $18.182.360 en valores corrientes. Obligaciones del CONCESIONARIO: se encuentran descritas en la cláusula décima primera del contrato. Multas y sanciones: Están establecidas en la cláusula décima séptima del contrato. Penal pecuniaria: En la cláusula décima octava del contrato se establece que en el evento en que el INCO hoy ANI declare la caducidad o el incumplimiento del presente contrato se podrá imponer una penalidad pecuniaria. Riesgos: Están descritos en la cláusula trigésima del contrato, por ser este un proyecto a ser desarrollado a riesgo e iniciativa del CONCESIONARIO es claro que la totalidad de los riesgos inherentes a la ejecución del mismo en su etapa preoperativa, de construcción, de operación y de reversión, serán asumidos por EL CONCESIONARIO, y su ocurrencia no dará derecho a indemnización o reconocimiento alguno a favor del mismo.</w:t>
          </w:r>
        </w:p>
        <w:p w14:paraId="23B548B2" w14:textId="77777777" w:rsidR="003D5DB4" w:rsidRPr="000D0101" w:rsidRDefault="003D5DB4" w:rsidP="000A5389">
          <w:pPr>
            <w:spacing w:line="240" w:lineRule="auto"/>
          </w:pPr>
        </w:p>
        <w:p w14:paraId="7CB28EE1" w14:textId="77777777" w:rsidR="003D5DB4" w:rsidRPr="000D0101" w:rsidRDefault="003D5DB4" w:rsidP="000A5389">
          <w:pPr>
            <w:spacing w:line="240" w:lineRule="auto"/>
          </w:pPr>
          <w:r w:rsidRPr="000D0101">
            <w:t xml:space="preserve">Términos de calendario: Tarifas: Aprobadas según la metodología establecida por la Superintendencia General de Puertos hoy Superintendencia de Transporte. Contraprestación portuaria: Contraprestación portuaria: Anexo 2 Conpes 3744 de 2013 “(…) Antes de finalizar los meses de febrero cada concesionario deberá corregir su liquidación del año anterior según el movimiento de carga real y la indexación del valor de referencia por metro cuadrado, del avalúo de la infraestructura concesionada y de los cargos, así como realizar el pago anticipado </w:t>
          </w:r>
          <w:r w:rsidRPr="000D0101">
            <w:lastRenderedPageBreak/>
            <w:t>del año en curso con base en lo proyectado en el FCL definitivo” Plan de inversiones: Está establecido en la cláusula décima cuarta del contrato, modificado por la cláusula decima primera del otrosí N.1de 2012, ejecución de inversiones en el periodo de tiempo comprendido entre el año 2012 a 2018.Multas: Están establecidas en la cláusula décima séptima del contrato.</w:t>
          </w:r>
        </w:p>
        <w:p w14:paraId="6920531C" w14:textId="77777777" w:rsidR="003D5DB4" w:rsidRPr="000D0101" w:rsidRDefault="003D5DB4" w:rsidP="000A5389">
          <w:pPr>
            <w:spacing w:line="240" w:lineRule="auto"/>
          </w:pPr>
        </w:p>
        <w:p w14:paraId="18213F4D" w14:textId="77777777" w:rsidR="003D5DB4" w:rsidRPr="000D0101" w:rsidRDefault="003D5DB4" w:rsidP="000A5389">
          <w:pPr>
            <w:spacing w:line="240" w:lineRule="auto"/>
          </w:pPr>
          <w:r w:rsidRPr="000D0101">
            <w:t>Términos de certeza de flujos de efectivo futuros: Se otorga una Concesión Portuaria a la Sociedad Portuaria Puerto de Mamonal S.A., para ocupar y utilizar en forma temporal y exclusiva los bienes pertenecientes a la Nación determinados en la Cláusula Segunda del presente Contrato, por el tiempo estimado, a cambio de la Contraprestación. Cláusula Sexta, del Otrosí No.1 de 2012. Dicho pago corresponderá el ochenta por ciento (80%) a la Nación – (INVIAS-ANI) y el veinte por ciento (20%) restante al Municipio correspondiente, de acuerdo con lo establecido en el parágrafo 1º del artículo 1º de la ley 856 de 2003, que modifica el artículo 7º de la Ley 1ª de 1991.</w:t>
          </w:r>
        </w:p>
        <w:p w14:paraId="4E86368D" w14:textId="77777777" w:rsidR="003D5DB4" w:rsidRPr="000D0101" w:rsidRDefault="003D5DB4" w:rsidP="000A5389">
          <w:pPr>
            <w:spacing w:line="240" w:lineRule="auto"/>
          </w:pPr>
        </w:p>
        <w:p w14:paraId="0DE7A74D" w14:textId="77777777" w:rsidR="003D5DB4" w:rsidRPr="000D0101" w:rsidRDefault="003D5DB4" w:rsidP="000A5389">
          <w:pPr>
            <w:spacing w:line="240" w:lineRule="auto"/>
          </w:pPr>
          <w:r w:rsidRPr="000D0101">
            <w:t>c. Naturaleza y alcance del derecho a utilizar Activos y los aspectos pactados en torno a lo que se espera que el concesionario proporcione en relación con el Acuerdo de concesión</w:t>
          </w:r>
        </w:p>
        <w:p w14:paraId="0B09F3EA" w14:textId="77777777" w:rsidR="003D5DB4" w:rsidRPr="000D0101" w:rsidRDefault="003D5DB4" w:rsidP="000A5389">
          <w:pPr>
            <w:spacing w:line="240" w:lineRule="auto"/>
          </w:pPr>
        </w:p>
        <w:p w14:paraId="17DF21AA" w14:textId="77777777" w:rsidR="003D5DB4" w:rsidRPr="000D0101" w:rsidRDefault="003D5DB4" w:rsidP="000A5389">
          <w:pPr>
            <w:spacing w:line="240" w:lineRule="auto"/>
          </w:pPr>
          <w:r w:rsidRPr="000D0101">
            <w:t>Naturaleza y alcance del derecho de uso de los Activos</w:t>
          </w:r>
        </w:p>
        <w:p w14:paraId="661B3F70" w14:textId="77777777" w:rsidR="003D5DB4" w:rsidRPr="000D0101" w:rsidRDefault="003D5DB4" w:rsidP="000A5389">
          <w:pPr>
            <w:spacing w:line="240" w:lineRule="auto"/>
          </w:pPr>
        </w:p>
        <w:p w14:paraId="3E5D8CDF" w14:textId="77777777" w:rsidR="003D5DB4" w:rsidRPr="000D0101" w:rsidRDefault="003D5DB4" w:rsidP="000A5389">
          <w:pPr>
            <w:spacing w:line="240" w:lineRule="auto"/>
          </w:pPr>
          <w:r w:rsidRPr="000D0101">
            <w:t>Descripción:</w:t>
          </w:r>
          <w:r w:rsidRPr="000D0101">
            <w:tab/>
            <w:t>Activos reconocidos Alcance del derecho de uso de los activos: Descripción del proyecto, especificaciones técnicas, modalidades de operación: las condiciones especiales de operación del puerto están establecidas en la cláusula quinta del Otrosí No. 01 de2012.Área entregada en concesión: La descripción de la ubicación, linderos y extensión de los bienes de uso público (playas y terrenos de baja mar, zonas marítimas accesorias de maniobras) entregados en concesión están establecidos en la Cláusula Segunda del Contrato, la Cláusula Segunda del Otrosí No. 01 de 2012 y la Cláusula primera del Otrosí No. 02 de 2013. Infraestructura y equipos entregados en concesión: Se relacionan los siguientes elementos de Infraestructura de acuerdo con el oficio 20144090258012: Plataforma Viga corona de 1,20 m de sección Refuerzo del Muelle en Tabla estacado Metálico Defensas Bolardos Cornamusas</w:t>
          </w:r>
        </w:p>
        <w:p w14:paraId="25F2110B" w14:textId="77777777" w:rsidR="003D5DB4" w:rsidRPr="000D0101" w:rsidRDefault="003D5DB4" w:rsidP="000A5389">
          <w:pPr>
            <w:spacing w:line="240" w:lineRule="auto"/>
          </w:pPr>
        </w:p>
        <w:p w14:paraId="52849827" w14:textId="77777777" w:rsidR="003D5DB4" w:rsidRPr="000D0101" w:rsidRDefault="003D5DB4" w:rsidP="000A5389">
          <w:pPr>
            <w:spacing w:line="240" w:lineRule="auto"/>
          </w:pPr>
          <w:r w:rsidRPr="000D0101">
            <w:t>Observaciones: N/A</w:t>
          </w:r>
        </w:p>
        <w:p w14:paraId="43CE031C" w14:textId="77777777" w:rsidR="003D5DB4" w:rsidRPr="000D0101" w:rsidRDefault="003D5DB4" w:rsidP="000A5389">
          <w:pPr>
            <w:spacing w:line="240" w:lineRule="auto"/>
          </w:pPr>
        </w:p>
        <w:p w14:paraId="515A1513" w14:textId="77777777" w:rsidR="003D5DB4" w:rsidRPr="000D0101" w:rsidRDefault="003D5DB4" w:rsidP="000A5389">
          <w:pPr>
            <w:spacing w:line="240" w:lineRule="auto"/>
          </w:pPr>
          <w:r w:rsidRPr="000D0101">
            <w:t>Retribución al concesionario</w:t>
          </w:r>
        </w:p>
        <w:p w14:paraId="07E753D2" w14:textId="77777777" w:rsidR="003D5DB4" w:rsidRPr="000D0101" w:rsidRDefault="003D5DB4" w:rsidP="000A5389">
          <w:pPr>
            <w:spacing w:line="240" w:lineRule="auto"/>
          </w:pPr>
        </w:p>
        <w:p w14:paraId="50875191" w14:textId="77777777" w:rsidR="003D5DB4" w:rsidRPr="000D0101" w:rsidRDefault="003D5DB4" w:rsidP="000A5389">
          <w:pPr>
            <w:spacing w:line="240" w:lineRule="auto"/>
          </w:pPr>
          <w:r w:rsidRPr="000D0101">
            <w:t>Descripción:</w:t>
          </w:r>
          <w:r w:rsidRPr="000D0101">
            <w:tab/>
            <w:t>Se otorga una Concesión Portuaria a la Sociedad Portuaria Puerto de Mamonal S.A., para ocupar y utilizar en forma temporal y exclusiva los bienes pertenecientes a la Nación determinados en la Cláusula Segunda del presente Contrato, por el tiempo estimado, a cambio de la Contraprestación</w:t>
          </w:r>
        </w:p>
        <w:p w14:paraId="7250FCF1" w14:textId="77777777" w:rsidR="003D5DB4" w:rsidRPr="000D0101" w:rsidRDefault="003D5DB4" w:rsidP="000A5389">
          <w:pPr>
            <w:spacing w:line="240" w:lineRule="auto"/>
          </w:pPr>
        </w:p>
        <w:p w14:paraId="28049E84" w14:textId="77777777" w:rsidR="003D5DB4" w:rsidRPr="000D0101" w:rsidRDefault="003D5DB4" w:rsidP="000A5389">
          <w:pPr>
            <w:spacing w:line="240" w:lineRule="auto"/>
          </w:pPr>
          <w:r w:rsidRPr="000D0101">
            <w:t>Tasa de retribución: N/A</w:t>
          </w:r>
        </w:p>
        <w:p w14:paraId="5441F642" w14:textId="77777777" w:rsidR="003D5DB4" w:rsidRPr="000D0101" w:rsidRDefault="003D5DB4" w:rsidP="000A5389">
          <w:pPr>
            <w:spacing w:line="240" w:lineRule="auto"/>
          </w:pPr>
        </w:p>
        <w:p w14:paraId="019126AF" w14:textId="77777777" w:rsidR="003D5DB4" w:rsidRPr="000D0101" w:rsidRDefault="003D5DB4" w:rsidP="000A5389">
          <w:pPr>
            <w:spacing w:line="240" w:lineRule="auto"/>
          </w:pPr>
          <w:r w:rsidRPr="000D0101">
            <w:t>d. Derechos a recibir Activos especificados al final del acuerdo de concesión</w:t>
          </w:r>
        </w:p>
        <w:p w14:paraId="3885BFD9" w14:textId="77777777" w:rsidR="003D5DB4" w:rsidRPr="000D0101" w:rsidRDefault="003D5DB4" w:rsidP="000A5389">
          <w:pPr>
            <w:spacing w:line="240" w:lineRule="auto"/>
          </w:pPr>
        </w:p>
        <w:p w14:paraId="7E1DAB1E" w14:textId="77777777" w:rsidR="003D5DB4" w:rsidRPr="000D0101" w:rsidRDefault="003D5DB4" w:rsidP="000A5389">
          <w:pPr>
            <w:spacing w:line="240" w:lineRule="auto"/>
          </w:pPr>
          <w:r w:rsidRPr="000D0101">
            <w:t>Descripción: De acuerdo con el Artículo 8º de la Ley 1 de 1991 en el modo portuario el concesionario no tiene derechos finales sobre activos los debe revertir a la Nación al final del contrato de concesión.</w:t>
          </w:r>
        </w:p>
        <w:p w14:paraId="533A878C" w14:textId="77777777" w:rsidR="003D5DB4" w:rsidRPr="000D0101" w:rsidRDefault="003D5DB4" w:rsidP="000A5389">
          <w:pPr>
            <w:spacing w:line="240" w:lineRule="auto"/>
          </w:pPr>
        </w:p>
        <w:p w14:paraId="076EE433" w14:textId="77777777" w:rsidR="003D5DB4" w:rsidRPr="000D0101" w:rsidRDefault="003D5DB4" w:rsidP="000A5389">
          <w:pPr>
            <w:spacing w:line="240" w:lineRule="auto"/>
          </w:pPr>
          <w:r w:rsidRPr="000D0101">
            <w:t>Observaciones: Reversión: De acuerdo con lo establecido en la cláusula novena del contrato de concesión, la zona de uso público y todas las construcciones (obras e inversiones) que se encuentren habitualmente instaladas sobre aquellas, otorgadas en concesión en virtud del presente contrato, o que sean ejecutadas dentro del plazo del mismo, y los inmuebles por destinación (equipos e inversiones) afectos a la operación del muelle revertirán y/o cederán a la Nación, en buenas condiciones de operación tecnológica, física y de adecuada eficiencia al término de este contrato. Igualmente procederá la reversión al ser declarada la caducidad o la terminación unilateral. Al efecto ELCONCESIONARIO deberá al momento de la reversión hacer entrega de un avalúo comercial actualizado y valoración técnica de las condiciones de operación de la infraestructura portuaria, equipos e inmuebles por destinación que habitualmente se encuentren instalados en las zonas de uso</w:t>
          </w:r>
        </w:p>
        <w:p w14:paraId="44351FF1" w14:textId="77777777" w:rsidR="003D5DB4" w:rsidRPr="000D0101" w:rsidRDefault="003D5DB4" w:rsidP="000A5389">
          <w:pPr>
            <w:spacing w:line="240" w:lineRule="auto"/>
          </w:pPr>
        </w:p>
        <w:p w14:paraId="451728DB" w14:textId="77777777" w:rsidR="003D5DB4" w:rsidRPr="000D0101" w:rsidRDefault="003D5DB4" w:rsidP="000A5389">
          <w:pPr>
            <w:spacing w:line="240" w:lineRule="auto"/>
          </w:pPr>
          <w:r w:rsidRPr="000D0101">
            <w:t>e. Las alternativas de renovación y cese del acuerdo</w:t>
          </w:r>
        </w:p>
        <w:p w14:paraId="24873E44" w14:textId="77777777" w:rsidR="003D5DB4" w:rsidRPr="000D0101" w:rsidRDefault="003D5DB4" w:rsidP="000A5389">
          <w:pPr>
            <w:spacing w:line="240" w:lineRule="auto"/>
          </w:pPr>
        </w:p>
        <w:p w14:paraId="736C6EF9" w14:textId="77777777" w:rsidR="003D5DB4" w:rsidRPr="000D0101" w:rsidRDefault="003D5DB4" w:rsidP="000A5389">
          <w:pPr>
            <w:spacing w:line="240" w:lineRule="auto"/>
          </w:pPr>
          <w:r w:rsidRPr="000D0101">
            <w:t>Descripción:</w:t>
          </w:r>
          <w:r w:rsidRPr="000D0101">
            <w:tab/>
            <w:t>El cese del acuerdo se encuentra en las CLÁUSULA VIGÉSIMA del Contrato de Concesión.</w:t>
          </w:r>
        </w:p>
        <w:p w14:paraId="21EA301C" w14:textId="77777777" w:rsidR="003D5DB4" w:rsidRPr="000D0101" w:rsidRDefault="003D5DB4" w:rsidP="000A5389">
          <w:pPr>
            <w:spacing w:line="240" w:lineRule="auto"/>
          </w:pPr>
        </w:p>
        <w:p w14:paraId="30445A25" w14:textId="77777777" w:rsidR="003D5DB4" w:rsidRPr="000D0101" w:rsidRDefault="003D5DB4" w:rsidP="000A5389">
          <w:pPr>
            <w:spacing w:line="240" w:lineRule="auto"/>
          </w:pPr>
          <w:r w:rsidRPr="000D0101">
            <w:t>Observaciones: N/A</w:t>
          </w:r>
        </w:p>
        <w:p w14:paraId="49430B37" w14:textId="77777777" w:rsidR="003D5DB4" w:rsidRPr="000D0101" w:rsidRDefault="003D5DB4" w:rsidP="000A5389">
          <w:pPr>
            <w:spacing w:line="240" w:lineRule="auto"/>
          </w:pPr>
        </w:p>
        <w:p w14:paraId="2C122BA7" w14:textId="77777777" w:rsidR="003D5DB4" w:rsidRPr="000D0101" w:rsidRDefault="003D5DB4" w:rsidP="000A5389">
          <w:pPr>
            <w:spacing w:line="240" w:lineRule="auto"/>
          </w:pPr>
          <w:r w:rsidRPr="000D0101">
            <w:t>f. Cambios en el acuerdo de concesión que se realicen durante el periodo fiscal</w:t>
          </w:r>
        </w:p>
        <w:p w14:paraId="50216402" w14:textId="77777777" w:rsidR="003D5DB4" w:rsidRPr="000D0101" w:rsidRDefault="003D5DB4" w:rsidP="000A5389">
          <w:pPr>
            <w:spacing w:line="240" w:lineRule="auto"/>
          </w:pPr>
        </w:p>
        <w:p w14:paraId="2C067F5D" w14:textId="77777777" w:rsidR="003D5DB4" w:rsidRPr="000D0101" w:rsidRDefault="003D5DB4" w:rsidP="000A5389">
          <w:pPr>
            <w:spacing w:line="240" w:lineRule="auto"/>
          </w:pPr>
          <w:r w:rsidRPr="000D0101">
            <w:t>Adiciones o modificaciones en tiempo</w:t>
          </w:r>
        </w:p>
        <w:p w14:paraId="1050D613" w14:textId="77777777" w:rsidR="003D5DB4" w:rsidRPr="000D0101" w:rsidRDefault="003D5DB4" w:rsidP="000A5389">
          <w:pPr>
            <w:spacing w:line="240" w:lineRule="auto"/>
          </w:pPr>
          <w:r w:rsidRPr="000D0101">
            <w:t>Fechas de las adiciones o modificaciones: N/A</w:t>
          </w:r>
        </w:p>
        <w:p w14:paraId="08314EBA" w14:textId="77777777" w:rsidR="003D5DB4" w:rsidRPr="000D0101" w:rsidRDefault="003D5DB4" w:rsidP="000A5389">
          <w:pPr>
            <w:spacing w:line="240" w:lineRule="auto"/>
          </w:pPr>
          <w:r w:rsidRPr="000D0101">
            <w:t>Nueva fecha de finalización estimada: N/A</w:t>
          </w:r>
        </w:p>
        <w:p w14:paraId="66A5F568" w14:textId="77777777" w:rsidR="003D5DB4" w:rsidRPr="000D0101" w:rsidRDefault="003D5DB4" w:rsidP="000A5389">
          <w:pPr>
            <w:spacing w:line="240" w:lineRule="auto"/>
          </w:pPr>
          <w:r w:rsidRPr="000D0101">
            <w:t>Observaciones: N/A</w:t>
          </w:r>
        </w:p>
        <w:p w14:paraId="07C48DB2" w14:textId="77777777" w:rsidR="003D5DB4" w:rsidRPr="000D0101" w:rsidRDefault="003D5DB4" w:rsidP="000A5389">
          <w:pPr>
            <w:spacing w:line="240" w:lineRule="auto"/>
          </w:pPr>
          <w:r w:rsidRPr="000D0101">
            <w:t>Adiciones o modificaciones en valor</w:t>
          </w:r>
        </w:p>
        <w:p w14:paraId="1A7CA342" w14:textId="77777777" w:rsidR="003D5DB4" w:rsidRPr="000D0101" w:rsidRDefault="003D5DB4" w:rsidP="000A5389">
          <w:pPr>
            <w:spacing w:line="240" w:lineRule="auto"/>
          </w:pPr>
          <w:r w:rsidRPr="000D0101">
            <w:t>Valor de la adición o modificación:</w:t>
          </w:r>
          <w:r w:rsidRPr="000D0101">
            <w:tab/>
            <w:t>N/A</w:t>
          </w:r>
        </w:p>
        <w:p w14:paraId="3A8FDA4B" w14:textId="77777777" w:rsidR="003D5DB4" w:rsidRPr="000D0101" w:rsidRDefault="003D5DB4" w:rsidP="000A5389">
          <w:pPr>
            <w:spacing w:line="240" w:lineRule="auto"/>
          </w:pPr>
          <w:r w:rsidRPr="000D0101">
            <w:t>Nuevo valor del acuerdo: N/ A</w:t>
          </w:r>
        </w:p>
        <w:p w14:paraId="582AA4AD" w14:textId="54B2915F" w:rsidR="003D5DB4" w:rsidRPr="000D0101" w:rsidRDefault="003D5DB4" w:rsidP="000A5389">
          <w:pPr>
            <w:spacing w:line="240" w:lineRule="auto"/>
          </w:pPr>
          <w:r w:rsidRPr="000D0101">
            <w:t>Observaciones: N/A</w:t>
          </w:r>
        </w:p>
        <w:p w14:paraId="76FC63E6" w14:textId="77777777" w:rsidR="003D5DB4" w:rsidRPr="000D0101" w:rsidRDefault="003D5DB4" w:rsidP="000A5389">
          <w:pPr>
            <w:spacing w:line="240" w:lineRule="auto"/>
            <w:rPr>
              <w:rFonts w:eastAsia="Times New Roman"/>
              <w:lang w:eastAsia="es-CO"/>
            </w:rPr>
          </w:pPr>
        </w:p>
        <w:p w14:paraId="4B9173B4" w14:textId="77777777" w:rsidR="003D5DB4" w:rsidRPr="000D0101" w:rsidRDefault="003D5DB4" w:rsidP="000A5389">
          <w:pPr>
            <w:spacing w:line="240" w:lineRule="auto"/>
            <w:rPr>
              <w:rFonts w:eastAsia="Times New Roman"/>
              <w:lang w:eastAsia="es-CO"/>
            </w:rPr>
          </w:pPr>
        </w:p>
        <w:p w14:paraId="261091B1" w14:textId="77777777" w:rsidR="003D5DB4" w:rsidRPr="00876603" w:rsidRDefault="003D5DB4" w:rsidP="000A5389">
          <w:pPr>
            <w:spacing w:line="240" w:lineRule="auto"/>
            <w:rPr>
              <w:rFonts w:eastAsia="Times New Roman"/>
              <w:i/>
              <w:iCs/>
              <w:lang w:eastAsia="es-CO"/>
            </w:rPr>
          </w:pPr>
          <w:r w:rsidRPr="00876603">
            <w:rPr>
              <w:rFonts w:eastAsia="Times New Roman"/>
              <w:i/>
              <w:iCs/>
              <w:lang w:eastAsia="es-CO"/>
            </w:rPr>
            <w:t xml:space="preserve">PUERTOS DEL CARIBE SOCIEDAD PORTUARIA S.A. Antes ExxonMobil de Colombia </w:t>
          </w:r>
        </w:p>
        <w:p w14:paraId="64B1E9D9" w14:textId="77777777" w:rsidR="003D5DB4" w:rsidRPr="000D0101" w:rsidRDefault="003D5DB4" w:rsidP="000A5389">
          <w:pPr>
            <w:spacing w:line="240" w:lineRule="auto"/>
          </w:pPr>
        </w:p>
        <w:p w14:paraId="18650CAA" w14:textId="77777777" w:rsidR="003D5DB4" w:rsidRPr="000D0101" w:rsidRDefault="003D5DB4" w:rsidP="000A5389">
          <w:pPr>
            <w:spacing w:line="240" w:lineRule="auto"/>
          </w:pPr>
          <w:r w:rsidRPr="000D0101">
            <w:t>a. Descripción del Acuerdo</w:t>
          </w:r>
        </w:p>
        <w:p w14:paraId="77A39FA2" w14:textId="77777777" w:rsidR="003D5DB4" w:rsidRPr="000D0101" w:rsidRDefault="003D5DB4" w:rsidP="000A5389">
          <w:pPr>
            <w:spacing w:line="240" w:lineRule="auto"/>
          </w:pPr>
        </w:p>
        <w:p w14:paraId="5B300DCD" w14:textId="77777777" w:rsidR="003D5DB4" w:rsidRPr="000D0101" w:rsidRDefault="003D5DB4" w:rsidP="000A5389">
          <w:pPr>
            <w:spacing w:line="240" w:lineRule="auto"/>
          </w:pPr>
          <w:r w:rsidRPr="000D0101">
            <w:t>Número del Acuerdo de concesión: 01 de 2017.</w:t>
          </w:r>
        </w:p>
        <w:p w14:paraId="5D8E465D" w14:textId="77777777" w:rsidR="003D5DB4" w:rsidRPr="000D0101" w:rsidRDefault="003D5DB4" w:rsidP="000A5389">
          <w:pPr>
            <w:spacing w:line="240" w:lineRule="auto"/>
          </w:pPr>
          <w:r w:rsidRPr="000D0101">
            <w:t xml:space="preserve">Objeto / Descripción: Otorgamiento al CONCESIONARIO por parte del CONDECENTE, una concesión para autorizar la ocupación en forma temporal y exclusiva de los bienes de uso públicos descritos en la CLÁUSULA 2. BIENES CONCESIONADOS para la </w:t>
          </w:r>
          <w:r w:rsidRPr="000D0101">
            <w:lastRenderedPageBreak/>
            <w:t>importación de hidrocarburos con el fin de abastecer la planta de lubricantes de ExxonMobil de Colombia S.A. de servicio privado a cambio de una contraprestación económica a favor del CONCEDENTE, en los términos descritos en la CLÁUSULA 13 – VALOR DEL CONTRATO Y DE LA CONTRAPRESTACIÓN de este Contrato.</w:t>
          </w:r>
        </w:p>
        <w:p w14:paraId="2AB071E7" w14:textId="77777777" w:rsidR="003D5DB4" w:rsidRPr="000D0101" w:rsidRDefault="003D5DB4" w:rsidP="000A5389">
          <w:pPr>
            <w:spacing w:line="240" w:lineRule="auto"/>
          </w:pPr>
          <w:r w:rsidRPr="000D0101">
            <w:t>Valor inicial:</w:t>
          </w:r>
          <w:r w:rsidRPr="000D0101">
            <w:tab/>
            <w:t>USD $1.448.806.00 Cláusula Décima Tercera / Contrato de Concesión No 01 de 2017.</w:t>
          </w:r>
        </w:p>
        <w:p w14:paraId="4E0E86C8" w14:textId="77777777" w:rsidR="003D5DB4" w:rsidRPr="000D0101" w:rsidRDefault="003D5DB4" w:rsidP="000A5389">
          <w:pPr>
            <w:spacing w:line="240" w:lineRule="auto"/>
          </w:pPr>
          <w:r w:rsidRPr="000D0101">
            <w:t>Fecha de inicio: 11/08/2017</w:t>
          </w:r>
        </w:p>
        <w:p w14:paraId="1E5574A9" w14:textId="77777777" w:rsidR="003D5DB4" w:rsidRPr="000D0101" w:rsidRDefault="003D5DB4" w:rsidP="000A5389">
          <w:pPr>
            <w:spacing w:line="240" w:lineRule="auto"/>
          </w:pPr>
          <w:r w:rsidRPr="000D0101">
            <w:t>Fecha de finalización estimada: 10/08/2037</w:t>
          </w:r>
        </w:p>
        <w:p w14:paraId="4F692E3E" w14:textId="77777777" w:rsidR="003D5DB4" w:rsidRPr="000D0101" w:rsidRDefault="003D5DB4" w:rsidP="000A5389">
          <w:pPr>
            <w:spacing w:line="240" w:lineRule="auto"/>
          </w:pPr>
          <w:r w:rsidRPr="000D0101">
            <w:t>Tipo ID: NIT</w:t>
          </w:r>
        </w:p>
        <w:p w14:paraId="111FD8DE" w14:textId="77777777" w:rsidR="003D5DB4" w:rsidRPr="000D0101" w:rsidRDefault="003D5DB4" w:rsidP="000A5389">
          <w:pPr>
            <w:spacing w:line="240" w:lineRule="auto"/>
          </w:pPr>
          <w:r w:rsidRPr="000D0101">
            <w:t>Número ID:</w:t>
          </w:r>
          <w:r w:rsidRPr="000D0101">
            <w:tab/>
            <w:t>901.045.599-1</w:t>
          </w:r>
        </w:p>
        <w:p w14:paraId="0DCF760C" w14:textId="77777777" w:rsidR="003D5DB4" w:rsidRPr="000D0101" w:rsidRDefault="003D5DB4" w:rsidP="000A5389">
          <w:pPr>
            <w:spacing w:line="240" w:lineRule="auto"/>
          </w:pPr>
          <w:r w:rsidRPr="000D0101">
            <w:t>Razón social del concesionario: Puertos del Caribe Sociedad Portuaria S.A.</w:t>
          </w:r>
        </w:p>
        <w:p w14:paraId="6AF06314" w14:textId="77777777" w:rsidR="003D5DB4" w:rsidRPr="000D0101" w:rsidRDefault="003D5DB4" w:rsidP="000A5389">
          <w:pPr>
            <w:spacing w:line="240" w:lineRule="auto"/>
          </w:pPr>
          <w:r w:rsidRPr="000D0101">
            <w:t>Nombre del proyecto: Puertos del Caribe Sociedad Portuaria S.A.</w:t>
          </w:r>
        </w:p>
        <w:p w14:paraId="2315E35D" w14:textId="77777777" w:rsidR="003D5DB4" w:rsidRPr="000D0101" w:rsidRDefault="003D5DB4" w:rsidP="000A5389">
          <w:pPr>
            <w:spacing w:line="240" w:lineRule="auto"/>
          </w:pPr>
        </w:p>
        <w:p w14:paraId="19C02C3F" w14:textId="77777777" w:rsidR="003D5DB4" w:rsidRPr="000D0101" w:rsidRDefault="003D5DB4" w:rsidP="000A5389">
          <w:pPr>
            <w:spacing w:line="240" w:lineRule="auto"/>
          </w:pPr>
          <w:r w:rsidRPr="000D0101">
            <w:t>b. Términos significativos del Acuerdo que puedan afectar su valor, el calendario y la certeza de los flujos de efectivo futuros</w:t>
          </w:r>
        </w:p>
        <w:p w14:paraId="7C6E2EF8" w14:textId="77777777" w:rsidR="003D5DB4" w:rsidRPr="000D0101" w:rsidRDefault="003D5DB4" w:rsidP="000A5389">
          <w:pPr>
            <w:spacing w:line="240" w:lineRule="auto"/>
          </w:pPr>
        </w:p>
        <w:p w14:paraId="2A0CE83D" w14:textId="77777777" w:rsidR="003D5DB4" w:rsidRPr="000D0101" w:rsidRDefault="003D5DB4" w:rsidP="000A5389">
          <w:pPr>
            <w:spacing w:line="240" w:lineRule="auto"/>
          </w:pPr>
          <w:r w:rsidRPr="000D0101">
            <w:t xml:space="preserve">Términos de valor: 1) Tarifas: Al ser el terminal marítimo de servicio privado la Ley 1 de 1991 establece: Las sociedades portuarias que operan puertos de servicio privado podrán fijar libremente sus tarifas, pero mantendrán informada sobre ellas a la Superintendencia General de Puertos hoy Superintendencia de Transporte. 2) Contraprestación portuaria: De acuerdo con el último documento contractual vigente la metodología de contraprestación vigente es CONPES 3744 de 2013 (Componentes Fijo y Variable). A febrero de 2024 el CONCESIONARIO debió pagar la suma de USD 259.191 por concepto de contraprestación.  El valor correspondiente a la contraprestación por zona de uso público resultará de la diferencia entre el valor de la liquidación total y el valor de la infraestructura. Y el recaudo se realizará de conformidad con la ley 856 de 2003, es decir, ZUP el 80% le corresponde a la Nación (INVIAS-ANI) y el 20% restante al distrito de Cartagena; e INFRAESTRUCTURA en un 100% a la Nación - (INVIAS-ANI). 3) Plan de Inversiones: Esta establecido en el Clausula primera del Otrosí No.2 de 2021 al contrato de concesión No.001 de 2017, el plan de inversión será de USD $437.163,20 constantes a diciembre 2016.4) Obligaciones del CONCESIONARIO: se encuentran descritas en la Cláusula Vigésima del contrato. 5) Multas y sanciones: están establecidas en la Cláusula Vigésima Tercera del contrato.6) Penal pecuniaria: En la Cláusula Vigésima Cuarta del contrato, se establece que en el evento en que la ANI declare la caducidad o el incumplimiento del presente contrato se podrá imponer una penalidad pecuniaria.7) Riesgos: están descritos en la cláusula vigesimoséptima del contrato, el CONCESIONARIO asume los efectos derivados de los riesgos que se enlistan en el contrato y los que se desprenden de las cláusulas o estipulaciones del contrato y sus anexos o que se deriven de la naturaleza de este contrato, el CONCESIONARIO asume el riesgo del estado en que se encuentran las zonas de uso público concesionadas y los bienes muebles e inmuebles que lo conforman. No procederá reclamaciones del CONCESIONARIO basadas en el acaecimiento de algunos de los riesgos que fueran asumidos por el CONCESIONARIO y consecuentemente el CONCEDENTE no hará reconocimiento alguno, ni se entenderá que ofrece garantía alguna al CONCESIONARIO, que permita eliminar o mitigar los efectos </w:t>
          </w:r>
          <w:r w:rsidRPr="000D0101">
            <w:lastRenderedPageBreak/>
            <w:t>causados por la ocurrencia de algunos de estos riesgos previstos, salvo que dicho reconocimiento o garantía se encuentre expresamente pactada en el contrato.</w:t>
          </w:r>
        </w:p>
        <w:p w14:paraId="4C3647A6" w14:textId="77777777" w:rsidR="003D5DB4" w:rsidRPr="000D0101" w:rsidRDefault="003D5DB4" w:rsidP="000A5389">
          <w:pPr>
            <w:spacing w:line="240" w:lineRule="auto"/>
          </w:pPr>
        </w:p>
        <w:p w14:paraId="59677CD3" w14:textId="77777777" w:rsidR="003D5DB4" w:rsidRPr="000D0101" w:rsidRDefault="003D5DB4" w:rsidP="000A5389">
          <w:pPr>
            <w:spacing w:line="240" w:lineRule="auto"/>
          </w:pPr>
          <w:r w:rsidRPr="000D0101">
            <w:t>Términos de calendario: Otorgamiento al CONCESIONARIO por parte del CONDECENTE, una concesión para autorizar la ocupación en forma temporal y exclusiva de los bienes de uso públicos descritos en la Cláusula 2. Bienes concesionados. Cláusula Décima Tercera numeral 1 en el parágrafo primero del Contrato, del valor a pagar por concepto de contraprestación por Zona de Uso público el 80% le corresponde a la Nación-INVIAS y el 20 % al municipio y por Infraestructura el 100% a la Nación-INVIAS.</w:t>
          </w:r>
        </w:p>
        <w:p w14:paraId="722C9C77" w14:textId="77777777" w:rsidR="003D5DB4" w:rsidRPr="000D0101" w:rsidRDefault="003D5DB4" w:rsidP="000A5389">
          <w:pPr>
            <w:spacing w:line="240" w:lineRule="auto"/>
          </w:pPr>
        </w:p>
        <w:p w14:paraId="347B7E10" w14:textId="77777777" w:rsidR="003D5DB4" w:rsidRPr="000D0101" w:rsidRDefault="003D5DB4" w:rsidP="000A5389">
          <w:pPr>
            <w:spacing w:line="240" w:lineRule="auto"/>
          </w:pPr>
          <w:r w:rsidRPr="000D0101">
            <w:t>Términos de certeza de flujos de efectivo futuros: NA</w:t>
          </w:r>
        </w:p>
        <w:p w14:paraId="13D242B1" w14:textId="77777777" w:rsidR="003D5DB4" w:rsidRPr="000D0101" w:rsidRDefault="003D5DB4" w:rsidP="000A5389">
          <w:pPr>
            <w:spacing w:line="240" w:lineRule="auto"/>
          </w:pPr>
          <w:r w:rsidRPr="000D0101">
            <w:t>c. Naturaleza y alcance del derecho a utilizar Activos y los aspectos pactados en torno a lo que se espera que el concesionario proporcione en relación con el Acuerdo de concesión</w:t>
          </w:r>
        </w:p>
        <w:p w14:paraId="0455356E" w14:textId="77777777" w:rsidR="003D5DB4" w:rsidRPr="000D0101" w:rsidRDefault="003D5DB4" w:rsidP="000A5389">
          <w:pPr>
            <w:spacing w:line="240" w:lineRule="auto"/>
          </w:pPr>
        </w:p>
        <w:p w14:paraId="53EF739F" w14:textId="77777777" w:rsidR="003D5DB4" w:rsidRPr="000D0101" w:rsidRDefault="003D5DB4" w:rsidP="000A5389">
          <w:pPr>
            <w:spacing w:line="240" w:lineRule="auto"/>
          </w:pPr>
          <w:r w:rsidRPr="000D0101">
            <w:t>Naturaleza y alcance del derecho de uso de los Activos</w:t>
          </w:r>
        </w:p>
        <w:p w14:paraId="243374DD" w14:textId="77777777" w:rsidR="003D5DB4" w:rsidRPr="000D0101" w:rsidRDefault="003D5DB4" w:rsidP="000A5389">
          <w:pPr>
            <w:spacing w:line="240" w:lineRule="auto"/>
          </w:pPr>
        </w:p>
        <w:p w14:paraId="65171933" w14:textId="77777777" w:rsidR="003D5DB4" w:rsidRPr="000D0101" w:rsidRDefault="003D5DB4" w:rsidP="000A5389">
          <w:pPr>
            <w:spacing w:line="240" w:lineRule="auto"/>
          </w:pPr>
          <w:r w:rsidRPr="000D0101">
            <w:t>Descripción:</w:t>
          </w:r>
          <w:r w:rsidRPr="000D0101">
            <w:tab/>
            <w:t>Cláusula Primera - Contrato de Concesión No. 01 de 2017: Autoriza la ocupación en forma temporal y exclusiva de los bienes de uso público descritos en la CLAUSULA 2 BIENES CONCESIONADOS, a cambio de una contraprestación económica.</w:t>
          </w:r>
        </w:p>
        <w:p w14:paraId="422EAE57" w14:textId="77777777" w:rsidR="003D5DB4" w:rsidRPr="000D0101" w:rsidRDefault="003D5DB4" w:rsidP="000A5389">
          <w:pPr>
            <w:spacing w:line="240" w:lineRule="auto"/>
          </w:pPr>
        </w:p>
        <w:p w14:paraId="13E32044" w14:textId="77777777" w:rsidR="003D5DB4" w:rsidRPr="000D0101" w:rsidRDefault="003D5DB4" w:rsidP="000A5389">
          <w:pPr>
            <w:spacing w:line="240" w:lineRule="auto"/>
          </w:pPr>
          <w:r w:rsidRPr="000D0101">
            <w:t>Observaciones: N/A</w:t>
          </w:r>
        </w:p>
        <w:p w14:paraId="0B599052" w14:textId="77777777" w:rsidR="003D5DB4" w:rsidRPr="000D0101" w:rsidRDefault="003D5DB4" w:rsidP="000A5389">
          <w:pPr>
            <w:spacing w:line="240" w:lineRule="auto"/>
          </w:pPr>
        </w:p>
        <w:p w14:paraId="06025570" w14:textId="77777777" w:rsidR="003D5DB4" w:rsidRPr="000D0101" w:rsidRDefault="003D5DB4" w:rsidP="000A5389">
          <w:pPr>
            <w:spacing w:line="240" w:lineRule="auto"/>
          </w:pPr>
          <w:r w:rsidRPr="000D0101">
            <w:t>Retribución al concesionario</w:t>
          </w:r>
        </w:p>
        <w:p w14:paraId="22944D48" w14:textId="77777777" w:rsidR="003D5DB4" w:rsidRPr="000D0101" w:rsidRDefault="003D5DB4" w:rsidP="000A5389">
          <w:pPr>
            <w:spacing w:line="240" w:lineRule="auto"/>
          </w:pPr>
        </w:p>
        <w:p w14:paraId="2E658159" w14:textId="77777777" w:rsidR="003D5DB4" w:rsidRPr="000D0101" w:rsidRDefault="003D5DB4" w:rsidP="000A5389">
          <w:pPr>
            <w:spacing w:line="240" w:lineRule="auto"/>
          </w:pPr>
          <w:r w:rsidRPr="000D0101">
            <w:t>Descripción:</w:t>
          </w:r>
          <w:r w:rsidRPr="000D0101">
            <w:tab/>
            <w:t>De acuerdo con el Artículo 8º de la Ley 1 de 1991 en el modo portuario el concesionario no tiene derechos finales sobre activos los debe revertir a la Nación al final del contrato de concesión</w:t>
          </w:r>
        </w:p>
        <w:p w14:paraId="07200409" w14:textId="77777777" w:rsidR="003D5DB4" w:rsidRPr="000D0101" w:rsidRDefault="003D5DB4" w:rsidP="000A5389">
          <w:pPr>
            <w:spacing w:line="240" w:lineRule="auto"/>
          </w:pPr>
        </w:p>
        <w:p w14:paraId="7247726E" w14:textId="77777777" w:rsidR="003D5DB4" w:rsidRPr="000D0101" w:rsidRDefault="003D5DB4" w:rsidP="000A5389">
          <w:pPr>
            <w:spacing w:line="240" w:lineRule="auto"/>
          </w:pPr>
          <w:r w:rsidRPr="000D0101">
            <w:t>Tasa de retribución:</w:t>
          </w:r>
          <w:r w:rsidRPr="000D0101">
            <w:tab/>
            <w:t>Haga clic o pulse aquí para escribir texto.</w:t>
          </w:r>
        </w:p>
        <w:p w14:paraId="39FDE9C3" w14:textId="77777777" w:rsidR="003D5DB4" w:rsidRPr="000D0101" w:rsidRDefault="003D5DB4" w:rsidP="000A5389">
          <w:pPr>
            <w:spacing w:line="240" w:lineRule="auto"/>
          </w:pPr>
        </w:p>
        <w:p w14:paraId="5CFDA4CC" w14:textId="77777777" w:rsidR="003D5DB4" w:rsidRPr="000D0101" w:rsidRDefault="003D5DB4" w:rsidP="000A5389">
          <w:pPr>
            <w:spacing w:line="240" w:lineRule="auto"/>
          </w:pPr>
          <w:r w:rsidRPr="000D0101">
            <w:t>d. Derechos a recibir Activos especificados al final del acuerdo de concesión</w:t>
          </w:r>
        </w:p>
        <w:p w14:paraId="09A8007A" w14:textId="77777777" w:rsidR="003D5DB4" w:rsidRPr="000D0101" w:rsidRDefault="003D5DB4" w:rsidP="000A5389">
          <w:pPr>
            <w:spacing w:line="240" w:lineRule="auto"/>
          </w:pPr>
        </w:p>
        <w:p w14:paraId="0D26FE0C" w14:textId="77777777" w:rsidR="003D5DB4" w:rsidRPr="000D0101" w:rsidRDefault="003D5DB4" w:rsidP="000A5389">
          <w:pPr>
            <w:spacing w:line="240" w:lineRule="auto"/>
          </w:pPr>
          <w:r w:rsidRPr="000D0101">
            <w:t>Descripción:</w:t>
          </w:r>
          <w:r w:rsidRPr="000D0101">
            <w:tab/>
            <w:t xml:space="preserve">Reversión: la Cláusula Trigésima Cuarta del Contrato de Concesión establece que, la zona de uso público y todas las construcciones e inmuebles por destinación existentes, así como los que se autoricen por la ANI, levantados o construidos en la zona de uso público que ha sido determinada o se encuentren habitualmente instalados en ellas y afectadas a la concesión, serán revertidas gratuitamente por el CONCESIONARIO a la Nación – Instituto Nacional del Vías INVIAS  conforme a los dispuesto en el artículo 8 de la ley 1° de 1991, en buen estado de operación y mantenimiento al extinguirse el plazo de la misma o al ser declarada la caducidad. Dichos bienes deberán entregarse en buenas condiciones de operación tecnológica, mantenimiento y de adecuada eficiencia al término de este contrato y de la prórroga si la hubiere. Para el respecto el concesionario deberá entregar con antelación a la terminación del contrato, un avalúo comercial actualizado y valoración técnica de las condiciones de operación de la infraestructura portuaria, equipos e inmuebles por destinación </w:t>
          </w:r>
          <w:r w:rsidRPr="000D0101">
            <w:lastRenderedPageBreak/>
            <w:t>que habitualmente se encuentren instalados en las zonas de uso público que se revierten y que son propiedad de la Nación. La ANI es la entidad concedente pero la titularidad de los activos al final de la concesión es del Instituto Nacional de Vías INVIAS.</w:t>
          </w:r>
        </w:p>
        <w:p w14:paraId="2BECCEE7" w14:textId="77777777" w:rsidR="003D5DB4" w:rsidRPr="000D0101" w:rsidRDefault="003D5DB4" w:rsidP="000A5389">
          <w:pPr>
            <w:spacing w:line="240" w:lineRule="auto"/>
          </w:pPr>
        </w:p>
        <w:p w14:paraId="36CA44C4" w14:textId="77777777" w:rsidR="003D5DB4" w:rsidRPr="000D0101" w:rsidRDefault="003D5DB4" w:rsidP="000A5389">
          <w:pPr>
            <w:spacing w:line="240" w:lineRule="auto"/>
          </w:pPr>
          <w:r w:rsidRPr="000D0101">
            <w:t>Observaciones: No se tiene ninguna observación</w:t>
          </w:r>
        </w:p>
        <w:p w14:paraId="08BCECAC" w14:textId="77777777" w:rsidR="003D5DB4" w:rsidRPr="000D0101" w:rsidRDefault="003D5DB4" w:rsidP="000A5389">
          <w:pPr>
            <w:spacing w:line="240" w:lineRule="auto"/>
          </w:pPr>
        </w:p>
        <w:p w14:paraId="52D03150" w14:textId="77777777" w:rsidR="003D5DB4" w:rsidRPr="000D0101" w:rsidRDefault="003D5DB4" w:rsidP="000A5389">
          <w:pPr>
            <w:spacing w:line="240" w:lineRule="auto"/>
          </w:pPr>
          <w:r w:rsidRPr="000D0101">
            <w:t>e. Las alternativas de renovación y cese del acuerdo</w:t>
          </w:r>
        </w:p>
        <w:p w14:paraId="1800B80F" w14:textId="77777777" w:rsidR="003D5DB4" w:rsidRPr="000D0101" w:rsidRDefault="003D5DB4" w:rsidP="000A5389">
          <w:pPr>
            <w:spacing w:line="240" w:lineRule="auto"/>
          </w:pPr>
        </w:p>
        <w:p w14:paraId="6EA1E3CC" w14:textId="77777777" w:rsidR="003D5DB4" w:rsidRPr="000D0101" w:rsidRDefault="003D5DB4" w:rsidP="000A5389">
          <w:pPr>
            <w:spacing w:line="240" w:lineRule="auto"/>
          </w:pPr>
          <w:r w:rsidRPr="000D0101">
            <w:t>Descripción: NA</w:t>
          </w:r>
        </w:p>
        <w:p w14:paraId="53AD0CD5" w14:textId="77777777" w:rsidR="003D5DB4" w:rsidRPr="000D0101" w:rsidRDefault="003D5DB4" w:rsidP="000A5389">
          <w:pPr>
            <w:spacing w:line="240" w:lineRule="auto"/>
          </w:pPr>
        </w:p>
        <w:p w14:paraId="30D22DCF" w14:textId="77777777" w:rsidR="003D5DB4" w:rsidRPr="000D0101" w:rsidRDefault="003D5DB4" w:rsidP="000A5389">
          <w:pPr>
            <w:spacing w:line="240" w:lineRule="auto"/>
          </w:pPr>
          <w:r w:rsidRPr="000D0101">
            <w:t>Observaciones: NA</w:t>
          </w:r>
        </w:p>
        <w:p w14:paraId="0C54777A" w14:textId="77777777" w:rsidR="003D5DB4" w:rsidRPr="000D0101" w:rsidRDefault="003D5DB4" w:rsidP="000A5389">
          <w:pPr>
            <w:spacing w:line="240" w:lineRule="auto"/>
          </w:pPr>
          <w:r w:rsidRPr="000D0101">
            <w:t>f. Cambios en el acuerdo de concesión que se realicen durante el periodo fiscal</w:t>
          </w:r>
        </w:p>
        <w:p w14:paraId="1F7843C3" w14:textId="77777777" w:rsidR="003D5DB4" w:rsidRPr="000D0101" w:rsidRDefault="003D5DB4" w:rsidP="000A5389">
          <w:pPr>
            <w:spacing w:line="240" w:lineRule="auto"/>
          </w:pPr>
        </w:p>
        <w:p w14:paraId="63CC4B68" w14:textId="77777777" w:rsidR="003D5DB4" w:rsidRPr="000D0101" w:rsidRDefault="003D5DB4" w:rsidP="000A5389">
          <w:pPr>
            <w:spacing w:line="240" w:lineRule="auto"/>
          </w:pPr>
          <w:r w:rsidRPr="000D0101">
            <w:t>Adiciones o modificaciones en tiempo</w:t>
          </w:r>
        </w:p>
        <w:p w14:paraId="2F75BE22" w14:textId="77777777" w:rsidR="003D5DB4" w:rsidRPr="000D0101" w:rsidRDefault="003D5DB4" w:rsidP="000A5389">
          <w:pPr>
            <w:spacing w:line="240" w:lineRule="auto"/>
          </w:pPr>
          <w:r w:rsidRPr="000D0101">
            <w:t>Fechas de las adiciones o modificaciones:</w:t>
          </w:r>
          <w:r w:rsidRPr="000D0101">
            <w:tab/>
            <w:t>N/A</w:t>
          </w:r>
        </w:p>
        <w:p w14:paraId="530BE0AA" w14:textId="77777777" w:rsidR="003D5DB4" w:rsidRPr="000D0101" w:rsidRDefault="003D5DB4" w:rsidP="000A5389">
          <w:pPr>
            <w:spacing w:line="240" w:lineRule="auto"/>
          </w:pPr>
          <w:r w:rsidRPr="000D0101">
            <w:t>Nueva fecha de finalización estimada: N/A</w:t>
          </w:r>
        </w:p>
        <w:p w14:paraId="09B6AA16" w14:textId="77777777" w:rsidR="003D5DB4" w:rsidRPr="000D0101" w:rsidRDefault="003D5DB4" w:rsidP="000A5389">
          <w:pPr>
            <w:spacing w:line="240" w:lineRule="auto"/>
          </w:pPr>
          <w:r w:rsidRPr="000D0101">
            <w:t>Observaciones: N/A</w:t>
          </w:r>
        </w:p>
        <w:p w14:paraId="3FA7B6AE" w14:textId="77777777" w:rsidR="003D5DB4" w:rsidRPr="000D0101" w:rsidRDefault="003D5DB4" w:rsidP="000A5389">
          <w:pPr>
            <w:spacing w:line="240" w:lineRule="auto"/>
          </w:pPr>
          <w:r w:rsidRPr="000D0101">
            <w:t>Adiciones o modificaciones en valor</w:t>
          </w:r>
        </w:p>
        <w:p w14:paraId="2017FCE4" w14:textId="77777777" w:rsidR="003D5DB4" w:rsidRPr="000D0101" w:rsidRDefault="003D5DB4" w:rsidP="000A5389">
          <w:pPr>
            <w:spacing w:line="240" w:lineRule="auto"/>
          </w:pPr>
          <w:r w:rsidRPr="000D0101">
            <w:t>Valor de la adición o modificación: Otrosí No. 2 (2021): Inversión adicional total: USD 437.163,20.</w:t>
          </w:r>
        </w:p>
        <w:p w14:paraId="534D7BD6" w14:textId="77777777" w:rsidR="003D5DB4" w:rsidRPr="000D0101" w:rsidRDefault="003D5DB4" w:rsidP="000A5389">
          <w:pPr>
            <w:spacing w:line="240" w:lineRule="auto"/>
          </w:pPr>
          <w:r w:rsidRPr="000D0101">
            <w:t>Nuevo valor del acuerdo: N/A</w:t>
          </w:r>
        </w:p>
        <w:p w14:paraId="07A76489" w14:textId="3D4B4AA1" w:rsidR="003D5DB4" w:rsidRPr="000D0101" w:rsidRDefault="003D5DB4" w:rsidP="000A5389">
          <w:pPr>
            <w:spacing w:line="240" w:lineRule="auto"/>
          </w:pPr>
          <w:r w:rsidRPr="000D0101">
            <w:t>Observaciones: No se tiene ninguna observación</w:t>
          </w:r>
        </w:p>
        <w:p w14:paraId="3BC88E92" w14:textId="77777777" w:rsidR="003D5DB4" w:rsidRPr="000D0101" w:rsidRDefault="003D5DB4" w:rsidP="000A5389">
          <w:pPr>
            <w:spacing w:line="240" w:lineRule="auto"/>
          </w:pPr>
        </w:p>
        <w:p w14:paraId="181256BA" w14:textId="77777777" w:rsidR="003D5DB4" w:rsidRPr="000D0101" w:rsidRDefault="003D5DB4" w:rsidP="000A5389">
          <w:pPr>
            <w:spacing w:line="240" w:lineRule="auto"/>
            <w:rPr>
              <w:rFonts w:eastAsia="Times New Roman"/>
            </w:rPr>
          </w:pPr>
        </w:p>
        <w:p w14:paraId="1295CF53" w14:textId="77777777" w:rsidR="003D5DB4" w:rsidRPr="004B430B" w:rsidRDefault="003D5DB4" w:rsidP="000A5389">
          <w:pPr>
            <w:spacing w:line="240" w:lineRule="auto"/>
            <w:rPr>
              <w:rFonts w:eastAsia="Times New Roman"/>
              <w:i/>
              <w:iCs/>
              <w:lang w:eastAsia="es-CO"/>
            </w:rPr>
          </w:pPr>
          <w:r w:rsidRPr="004B430B">
            <w:rPr>
              <w:rFonts w:eastAsia="Times New Roman"/>
              <w:i/>
              <w:iCs/>
              <w:lang w:eastAsia="es-CO"/>
            </w:rPr>
            <w:t xml:space="preserve">REFINERIA DE CARTAGENA S.A.S. REFICAR </w:t>
          </w:r>
        </w:p>
        <w:p w14:paraId="183F6E02" w14:textId="77777777" w:rsidR="003D5DB4" w:rsidRPr="000D0101" w:rsidRDefault="003D5DB4" w:rsidP="000A5389">
          <w:pPr>
            <w:spacing w:line="240" w:lineRule="auto"/>
          </w:pPr>
        </w:p>
        <w:p w14:paraId="546C07CF" w14:textId="77777777" w:rsidR="003D5DB4" w:rsidRPr="000D0101" w:rsidRDefault="003D5DB4" w:rsidP="000A5389">
          <w:pPr>
            <w:spacing w:line="240" w:lineRule="auto"/>
          </w:pPr>
          <w:r w:rsidRPr="000D0101">
            <w:t>a. Descripción del Acuerdo</w:t>
          </w:r>
        </w:p>
        <w:p w14:paraId="4F747C2C" w14:textId="77777777" w:rsidR="003D5DB4" w:rsidRPr="000D0101" w:rsidRDefault="003D5DB4" w:rsidP="000A5389">
          <w:pPr>
            <w:spacing w:line="240" w:lineRule="auto"/>
          </w:pPr>
        </w:p>
        <w:p w14:paraId="42CC7402" w14:textId="77777777" w:rsidR="003D5DB4" w:rsidRPr="000D0101" w:rsidRDefault="003D5DB4" w:rsidP="000A5389">
          <w:pPr>
            <w:spacing w:line="240" w:lineRule="auto"/>
          </w:pPr>
          <w:r w:rsidRPr="000D0101">
            <w:t xml:space="preserve">Número del Acuerdo de concesión: 010 de 2010 - Otrosí No 002 de 2015 la Sociedad Refinería de Cartagena S.A- REFICAR. </w:t>
          </w:r>
        </w:p>
        <w:p w14:paraId="388B4A44" w14:textId="77777777" w:rsidR="003D5DB4" w:rsidRPr="000D0101" w:rsidRDefault="003D5DB4" w:rsidP="000A5389">
          <w:pPr>
            <w:spacing w:line="240" w:lineRule="auto"/>
          </w:pPr>
        </w:p>
        <w:p w14:paraId="52ACEEDD" w14:textId="77777777" w:rsidR="003D5DB4" w:rsidRPr="000D0101" w:rsidRDefault="003D5DB4" w:rsidP="000A5389">
          <w:pPr>
            <w:spacing w:line="240" w:lineRule="auto"/>
          </w:pPr>
          <w:r w:rsidRPr="000D0101">
            <w:t>Objeto / Descripción: En virtud del Contrato de concesión y sus modificaciones, se permite al CONCESIONARIO la utilización y ocupación en forma temporal y exclusiva de las playas, terrenos de bajamar, y las zonas accesorias a aquellas o éstas localizados en el sector de Mamonal de la Bahía de Cartagena por un término de veinte (20) años para el desarrollo de actividades portuarias de servicio privado, conforme lo establece la Cláusula Primera del Contrato.</w:t>
          </w:r>
        </w:p>
        <w:p w14:paraId="4F547E29" w14:textId="77777777" w:rsidR="003D5DB4" w:rsidRPr="000D0101" w:rsidRDefault="003D5DB4" w:rsidP="000A5389">
          <w:pPr>
            <w:spacing w:line="240" w:lineRule="auto"/>
          </w:pPr>
        </w:p>
        <w:p w14:paraId="7778B79E" w14:textId="77777777" w:rsidR="003D5DB4" w:rsidRPr="000D0101" w:rsidRDefault="003D5DB4" w:rsidP="000A5389">
          <w:pPr>
            <w:spacing w:line="240" w:lineRule="auto"/>
          </w:pPr>
          <w:r w:rsidRPr="000D0101">
            <w:t>Valor inicial:</w:t>
          </w:r>
          <w:r w:rsidRPr="000D0101">
            <w:tab/>
            <w:t>USD $3.621.210 Cláusula Octava / Contrato No 010 de 2010.Valor del Contrato actualizado: USD 2.187.500 Otrosí No. 002 de 2015</w:t>
          </w:r>
        </w:p>
        <w:p w14:paraId="6D292899" w14:textId="77777777" w:rsidR="003D5DB4" w:rsidRPr="000D0101" w:rsidRDefault="003D5DB4" w:rsidP="000A5389">
          <w:pPr>
            <w:spacing w:line="240" w:lineRule="auto"/>
          </w:pPr>
          <w:r w:rsidRPr="000D0101">
            <w:t>Fecha de inicio: 19 de noviembre de 2010</w:t>
          </w:r>
        </w:p>
        <w:p w14:paraId="5F076DB1" w14:textId="77777777" w:rsidR="003D5DB4" w:rsidRPr="000D0101" w:rsidRDefault="003D5DB4" w:rsidP="000A5389">
          <w:pPr>
            <w:spacing w:line="240" w:lineRule="auto"/>
          </w:pPr>
          <w:r w:rsidRPr="000D0101">
            <w:t>Fecha de finalización estimada: 18 de noviembre de 2030.</w:t>
          </w:r>
        </w:p>
        <w:p w14:paraId="3B07FFBC" w14:textId="77777777" w:rsidR="003D5DB4" w:rsidRPr="000D0101" w:rsidRDefault="003D5DB4" w:rsidP="000A5389">
          <w:pPr>
            <w:spacing w:line="240" w:lineRule="auto"/>
          </w:pPr>
          <w:r w:rsidRPr="000D0101">
            <w:t>Tipo ID: NIT</w:t>
          </w:r>
        </w:p>
        <w:p w14:paraId="3CEAA05F" w14:textId="77777777" w:rsidR="003D5DB4" w:rsidRPr="000D0101" w:rsidRDefault="003D5DB4" w:rsidP="000A5389">
          <w:pPr>
            <w:spacing w:line="240" w:lineRule="auto"/>
          </w:pPr>
          <w:r w:rsidRPr="000D0101">
            <w:t>Número ID:</w:t>
          </w:r>
          <w:r w:rsidRPr="000D0101">
            <w:tab/>
            <w:t>900.112.515-7</w:t>
          </w:r>
        </w:p>
        <w:p w14:paraId="10172485" w14:textId="77777777" w:rsidR="003D5DB4" w:rsidRPr="000D0101" w:rsidRDefault="003D5DB4" w:rsidP="000A5389">
          <w:pPr>
            <w:spacing w:line="240" w:lineRule="auto"/>
          </w:pPr>
          <w:r w:rsidRPr="000D0101">
            <w:lastRenderedPageBreak/>
            <w:t>Razón social del concesionario: Sociedad Refinería de Cartagena S.A- REFICAR.</w:t>
          </w:r>
        </w:p>
        <w:p w14:paraId="62E0CB25" w14:textId="77777777" w:rsidR="003D5DB4" w:rsidRPr="000D0101" w:rsidRDefault="003D5DB4" w:rsidP="000A5389">
          <w:pPr>
            <w:spacing w:line="240" w:lineRule="auto"/>
          </w:pPr>
          <w:r w:rsidRPr="000D0101">
            <w:t>Nombre del proyecto: Sociedad Refinería de Cartagena S.A- REFICAR.</w:t>
          </w:r>
        </w:p>
        <w:p w14:paraId="3C530B1A" w14:textId="77777777" w:rsidR="003D5DB4" w:rsidRPr="000D0101" w:rsidRDefault="003D5DB4" w:rsidP="000A5389">
          <w:pPr>
            <w:spacing w:line="240" w:lineRule="auto"/>
          </w:pPr>
          <w:r w:rsidRPr="000D0101">
            <w:t>b. Términos significativos del Acuerdo que puedan afectar su valor, el calendario y la certeza de los flujos de efectivo futuros</w:t>
          </w:r>
        </w:p>
        <w:p w14:paraId="58DDAA5A" w14:textId="77777777" w:rsidR="003D5DB4" w:rsidRPr="000D0101" w:rsidRDefault="003D5DB4" w:rsidP="000A5389">
          <w:pPr>
            <w:spacing w:line="240" w:lineRule="auto"/>
          </w:pPr>
        </w:p>
        <w:p w14:paraId="4ADD2A97" w14:textId="77777777" w:rsidR="003D5DB4" w:rsidRPr="000D0101" w:rsidRDefault="003D5DB4" w:rsidP="000A5389">
          <w:pPr>
            <w:spacing w:line="240" w:lineRule="auto"/>
          </w:pPr>
          <w:r w:rsidRPr="000D0101">
            <w:t>Términos de valor: Tarifas: Al ser el terminal marítimo de servicio privado la Ley 1 de 1991 establece: Las sociedades portuarias que operan puertos de servicio privado podrán fijar libremente sus tarifas, pero mantendrán informada sobre ellas a la Superintendencia General de Puertos hoy Superintendencia de Transporte.2: Contraprestación portuaria: Contraprestación portuaria: Anexo 2 Conpes 3744 de 2013 “(…) Antes de finalizar los meses de febrero cada concesionario deberá corregir su liquidación del año anterior según el movimiento de carga real y la indexación del valor de referencia por metro cuadrado, del avalúo de la infraestructura concesionada y de los cargos, así como realizar el pago anticipado del año en curso con base en lo proyectado en el FCL. A 2025 el Concesionario debió pagar un valor de USD USD 135.551 definitivo”.3: Plan de inversiones: Se estableció en la cláusula séptima del contrato, modificado en la Cláusula tercera del Otrosí No 002 de 2015 ejecución de inversiones en el periodo de tiempo comprendido año 2010.4: Multas: Están establecidas en la cláusula décima octava del Contrato 010 de 2010.</w:t>
          </w:r>
        </w:p>
        <w:p w14:paraId="21B7D247" w14:textId="77777777" w:rsidR="003D5DB4" w:rsidRPr="000D0101" w:rsidRDefault="003D5DB4" w:rsidP="000A5389">
          <w:pPr>
            <w:spacing w:line="240" w:lineRule="auto"/>
          </w:pPr>
        </w:p>
        <w:p w14:paraId="240AA518" w14:textId="77777777" w:rsidR="003D5DB4" w:rsidRPr="000D0101" w:rsidRDefault="003D5DB4" w:rsidP="000A5389">
          <w:pPr>
            <w:spacing w:line="240" w:lineRule="auto"/>
          </w:pPr>
          <w:r w:rsidRPr="000D0101">
            <w:t>Términos de calendario: 1.Tarifas: Al ser el terminal marítimo de servicio privado la Ley 1 de 1991 establece: Las sociedades portuarias que operan puertos de servicio privado podrán fijar libremente sus tarifas, pero mantendrán informada sobre ellas a la Superintendencia General de Puertos hoy Superintendencia de Transporte.2: Contraprestación portuaria: Contraprestación portuaria: Anexo 2 Conpes 3744 de 2013 “(…) Antes de finalizar los meses de febrero cada concesionario deberá corregir su liquidación del año anterior según el movimiento de carga real y la indexación del valor de referencia por metro cuadrado, del avalúo de la infraestructura concesionada y de los cargos, así como realizar el pago anticipado del año en curso con base en lo proyectado en el FCL definitivo”.3: Plan de inversiones: Se estableció en la cláusula séptima del contrato, modificado en la Cláusula tercera del Otrosí No 002 de 2015 ejecución de inversiones en el periodo de tiempo comprendido año 2010.4: Multas: Están establecidas en la cláusula décima octava del Contrato 010 de 2010</w:t>
          </w:r>
        </w:p>
        <w:p w14:paraId="476C3F24" w14:textId="77777777" w:rsidR="003D5DB4" w:rsidRPr="000D0101" w:rsidRDefault="003D5DB4" w:rsidP="000A5389">
          <w:pPr>
            <w:spacing w:line="240" w:lineRule="auto"/>
          </w:pPr>
        </w:p>
        <w:p w14:paraId="1EBF357A" w14:textId="77777777" w:rsidR="003D5DB4" w:rsidRPr="000D0101" w:rsidRDefault="003D5DB4" w:rsidP="000A5389">
          <w:pPr>
            <w:spacing w:line="240" w:lineRule="auto"/>
          </w:pPr>
          <w:r w:rsidRPr="000D0101">
            <w:t>Términos de certeza de flujos de efectivo futuros: En virtud del Contrato de concesión y sus modificaciones, se permite al CONCESIONARIO la utilización y ocupación en forma temporal y exclusiva de las playas, terrenos de bajamar, y las zonas accesorias a aquellas o éstas localizados en el sector de Mamonal de la Bahía de Cartagena por un término de veinte (20) años a cambio de la contraprestación establecida en la Cláusula Octava del presente Contrato. Cláusula Quinta parágrafo sexto del Otrosí No 002 de 2015 El pago de la contraprestación con relación al componente fijo y variable por el goce y uso de la zona de uso público le corresponde a la Nación- Instituto Nacional de Vías el 80% y el 20% restante al Distrito de Cartagena de Indias (Bolívar).</w:t>
          </w:r>
        </w:p>
        <w:p w14:paraId="2873444A" w14:textId="77777777" w:rsidR="003D5DB4" w:rsidRPr="000D0101" w:rsidRDefault="003D5DB4" w:rsidP="000A5389">
          <w:pPr>
            <w:spacing w:line="240" w:lineRule="auto"/>
          </w:pPr>
        </w:p>
        <w:p w14:paraId="690FA2D9" w14:textId="77777777" w:rsidR="003D5DB4" w:rsidRPr="000D0101" w:rsidRDefault="003D5DB4" w:rsidP="000A5389">
          <w:pPr>
            <w:spacing w:line="240" w:lineRule="auto"/>
          </w:pPr>
          <w:r w:rsidRPr="000D0101">
            <w:t>c. Naturaleza y alcance del derecho a utilizar Activos y los aspectos pactados en torno a lo que se espera que el concesionario proporcione en relación con el Acuerdo de concesión</w:t>
          </w:r>
        </w:p>
        <w:p w14:paraId="17E7421D" w14:textId="77777777" w:rsidR="003D5DB4" w:rsidRPr="000D0101" w:rsidRDefault="003D5DB4" w:rsidP="000A5389">
          <w:pPr>
            <w:spacing w:line="240" w:lineRule="auto"/>
          </w:pPr>
        </w:p>
        <w:p w14:paraId="1DE01FDD" w14:textId="77777777" w:rsidR="003D5DB4" w:rsidRPr="000D0101" w:rsidRDefault="003D5DB4" w:rsidP="000A5389">
          <w:pPr>
            <w:spacing w:line="240" w:lineRule="auto"/>
          </w:pPr>
          <w:r w:rsidRPr="000D0101">
            <w:t>Naturaleza y alcance del derecho de uso de los Activos</w:t>
          </w:r>
        </w:p>
        <w:p w14:paraId="574B3082" w14:textId="77777777" w:rsidR="003D5DB4" w:rsidRPr="000D0101" w:rsidRDefault="003D5DB4" w:rsidP="000A5389">
          <w:pPr>
            <w:spacing w:line="240" w:lineRule="auto"/>
          </w:pPr>
          <w:r w:rsidRPr="000D0101">
            <w:t>Descripción:</w:t>
          </w:r>
          <w:r w:rsidRPr="000D0101">
            <w:tab/>
            <w:t>En virtud del Contrato de concesión y sus modificaciones, se permite al CONCESIONARIO la utilización y ocupación en forma temporal y exclusiva de las playas, terrenos de bajamar, y las zonas accesorias a aquellas o éstas localizados en el sector de Mamonal de la Bahía de Cartagena por un término de veinte (20) años a cambio de la contraprestación establecida en la Cláusula Octava del presente Contrato. Cláusula Quinta parágrafo sexto del Otrosí No 002 de 2015 El pago de la contraprestación con relación al componente fijo y variable por el goce y uso de la zona de uso público le corresponde a la Nación- Instituto Nacional de Vías el 80% y el 20% restante al Distrito de Cartagena de Indias (Bolívar).</w:t>
          </w:r>
        </w:p>
        <w:p w14:paraId="1F46AA74" w14:textId="77777777" w:rsidR="003D5DB4" w:rsidRPr="000D0101" w:rsidRDefault="003D5DB4" w:rsidP="000A5389">
          <w:pPr>
            <w:spacing w:line="240" w:lineRule="auto"/>
          </w:pPr>
          <w:r w:rsidRPr="000D0101">
            <w:t>Observaciones: NA</w:t>
          </w:r>
        </w:p>
        <w:p w14:paraId="7505E480" w14:textId="77777777" w:rsidR="003D5DB4" w:rsidRPr="000D0101" w:rsidRDefault="003D5DB4" w:rsidP="000A5389">
          <w:pPr>
            <w:spacing w:line="240" w:lineRule="auto"/>
          </w:pPr>
        </w:p>
        <w:p w14:paraId="7E1C03D3" w14:textId="77777777" w:rsidR="003D5DB4" w:rsidRPr="000D0101" w:rsidRDefault="003D5DB4" w:rsidP="000A5389">
          <w:pPr>
            <w:spacing w:line="240" w:lineRule="auto"/>
          </w:pPr>
          <w:r w:rsidRPr="000D0101">
            <w:t>Retribución al concesionario</w:t>
          </w:r>
        </w:p>
        <w:p w14:paraId="13CBA347" w14:textId="77777777" w:rsidR="003D5DB4" w:rsidRPr="000D0101" w:rsidRDefault="003D5DB4" w:rsidP="000A5389">
          <w:pPr>
            <w:spacing w:line="240" w:lineRule="auto"/>
          </w:pPr>
        </w:p>
        <w:p w14:paraId="06438462" w14:textId="77777777" w:rsidR="003D5DB4" w:rsidRPr="000D0101" w:rsidRDefault="003D5DB4" w:rsidP="000A5389">
          <w:pPr>
            <w:spacing w:line="240" w:lineRule="auto"/>
          </w:pPr>
          <w:r w:rsidRPr="000D0101">
            <w:t>Descripción:</w:t>
          </w:r>
          <w:r w:rsidRPr="000D0101">
            <w:tab/>
            <w:t xml:space="preserve">En virtud Cláusula primea del Contrato de concesión, se permite al CONCESIONARIO la utilización y ocupación en forma temporal y exclusiva de las playas, terrenos de bajamar, y las zonas accesorias a aquellas o éstas localizados en el sector de Mamonal de la Bahía de Cartagena por un término de veinte (20) años a cambio de la contraprestación establecida en la Cláusula Octava del presente Contrato. </w:t>
          </w:r>
        </w:p>
        <w:p w14:paraId="673A4FCF" w14:textId="77777777" w:rsidR="003D5DB4" w:rsidRPr="000D0101" w:rsidRDefault="003D5DB4" w:rsidP="000A5389">
          <w:pPr>
            <w:spacing w:line="240" w:lineRule="auto"/>
          </w:pPr>
        </w:p>
        <w:p w14:paraId="4314987B" w14:textId="77777777" w:rsidR="003D5DB4" w:rsidRPr="000D0101" w:rsidRDefault="003D5DB4" w:rsidP="000A5389">
          <w:pPr>
            <w:spacing w:line="240" w:lineRule="auto"/>
          </w:pPr>
          <w:r w:rsidRPr="000D0101">
            <w:t>Tasa de retribución:</w:t>
          </w:r>
          <w:r w:rsidRPr="000D0101">
            <w:tab/>
            <w:t>N/A</w:t>
          </w:r>
        </w:p>
        <w:p w14:paraId="082A9030" w14:textId="77777777" w:rsidR="003D5DB4" w:rsidRPr="000D0101" w:rsidRDefault="003D5DB4" w:rsidP="000A5389">
          <w:pPr>
            <w:spacing w:line="240" w:lineRule="auto"/>
          </w:pPr>
        </w:p>
        <w:p w14:paraId="63EA2B52" w14:textId="77777777" w:rsidR="003D5DB4" w:rsidRPr="000D0101" w:rsidRDefault="003D5DB4" w:rsidP="000A5389">
          <w:pPr>
            <w:spacing w:line="240" w:lineRule="auto"/>
          </w:pPr>
          <w:r w:rsidRPr="000D0101">
            <w:t>d. Derechos a recibir Activos especificados al final del acuerdo de concesión</w:t>
          </w:r>
        </w:p>
        <w:p w14:paraId="298CD73C" w14:textId="77777777" w:rsidR="003D5DB4" w:rsidRPr="000D0101" w:rsidRDefault="003D5DB4" w:rsidP="000A5389">
          <w:pPr>
            <w:spacing w:line="240" w:lineRule="auto"/>
          </w:pPr>
        </w:p>
        <w:p w14:paraId="1B29E899" w14:textId="77777777" w:rsidR="003D5DB4" w:rsidRPr="000D0101" w:rsidRDefault="003D5DB4" w:rsidP="000A5389">
          <w:pPr>
            <w:spacing w:line="240" w:lineRule="auto"/>
          </w:pPr>
          <w:r w:rsidRPr="000D0101">
            <w:t>Descripción:</w:t>
          </w:r>
          <w:r w:rsidRPr="000D0101">
            <w:tab/>
            <w:t>De acuerdo con el Artículo 8º de la Ley 1 de 1991 en el modo portuario el concesionario no tiene derechos finales sobre activos los debe revertir a la Nación al final del contrato de concesión.</w:t>
          </w:r>
        </w:p>
        <w:p w14:paraId="31CCFA38" w14:textId="77777777" w:rsidR="003D5DB4" w:rsidRPr="000D0101" w:rsidRDefault="003D5DB4" w:rsidP="000A5389">
          <w:pPr>
            <w:spacing w:line="240" w:lineRule="auto"/>
          </w:pPr>
        </w:p>
        <w:p w14:paraId="1FA7F882" w14:textId="77777777" w:rsidR="003D5DB4" w:rsidRPr="000D0101" w:rsidRDefault="003D5DB4" w:rsidP="000A5389">
          <w:pPr>
            <w:spacing w:line="240" w:lineRule="auto"/>
          </w:pPr>
          <w:r w:rsidRPr="000D0101">
            <w:t>Observaciones: NA</w:t>
          </w:r>
        </w:p>
        <w:p w14:paraId="09F5559E" w14:textId="77777777" w:rsidR="003D5DB4" w:rsidRPr="000D0101" w:rsidRDefault="003D5DB4" w:rsidP="000A5389">
          <w:pPr>
            <w:spacing w:line="240" w:lineRule="auto"/>
          </w:pPr>
        </w:p>
        <w:p w14:paraId="23E23F54" w14:textId="77777777" w:rsidR="003D5DB4" w:rsidRPr="000D0101" w:rsidRDefault="003D5DB4" w:rsidP="000A5389">
          <w:pPr>
            <w:spacing w:line="240" w:lineRule="auto"/>
          </w:pPr>
          <w:r w:rsidRPr="000D0101">
            <w:t>e. Las alternativas de renovación y cese del acuerdo</w:t>
          </w:r>
        </w:p>
        <w:p w14:paraId="39A44472" w14:textId="77777777" w:rsidR="003D5DB4" w:rsidRPr="000D0101" w:rsidRDefault="003D5DB4" w:rsidP="000A5389">
          <w:pPr>
            <w:spacing w:line="240" w:lineRule="auto"/>
          </w:pPr>
        </w:p>
        <w:p w14:paraId="6DE29577" w14:textId="77777777" w:rsidR="003D5DB4" w:rsidRPr="000D0101" w:rsidRDefault="003D5DB4" w:rsidP="000A5389">
          <w:pPr>
            <w:spacing w:line="240" w:lineRule="auto"/>
          </w:pPr>
          <w:r w:rsidRPr="000D0101">
            <w:t>Descripción:</w:t>
          </w:r>
          <w:r w:rsidRPr="000D0101">
            <w:tab/>
            <w:t xml:space="preserve">De acuerdo con lo establecido en la cláusula Décimosegunda del Otrosí No. 002 de 2015 al contrato de concesión 010 de 2010 La zona de uso público y todas las construcciones e inmuebles por destinación existentes, así como las que autoricen por la Agencia Nacional de Infraestructura, levantadas o construidas en la zona de uso público que se ha sido determinada o que se encuentran habitualmente instaladas en ellas y afectadas a la concesión serán revertidas  gratuitamente por el Concesionario a la Nación- Instituto Nacional de Vías, o quien haga sus veces, conforme a los dispuesto en el artículo 8 ° de la Ley 1° de 1991,  o la norma que lo modifique y reglamente, en buen estado de operación y mantenimiento, al extinguirse el plazo de la misma o al ser declarada la caducidad. Dichos bienes deberán entregarse en buenas condiciones de operación tecnología, mantenimiento y de adecuada eficiencia al término de este contrato y de la prórroga si la hubiere. Igualmente, </w:t>
          </w:r>
          <w:r w:rsidRPr="000D0101">
            <w:lastRenderedPageBreak/>
            <w:t>procederá a la reversión al ser declarada la caducidad o la terminación unilateral. Para efecto el CONCESIONARIO deberá entregar con una antelación mínima de seis (6) meses anteriores a la terminación del contrato, un avaluó comercial actualizado y valoración técnica de las condiciones de operación de la infraestructura portuaria, equipos e inmuebles por destinación que habitualmente se encuentren instalados en las zonas de uso público que se revertirán y serán propiedad de la Nación. Para tal fin, en el momento de la reversión el CONCESIONARIO elaborará un inventario de los bienes y los enviará para su revisión y aprobación. La ANI es la entidad concedente pero la titularidad de los activos al final de la concesión es del Instituto Nacional de Vías INVIAS.</w:t>
          </w:r>
        </w:p>
        <w:p w14:paraId="288CDE15" w14:textId="77777777" w:rsidR="003D5DB4" w:rsidRPr="000D0101" w:rsidRDefault="003D5DB4" w:rsidP="000A5389">
          <w:pPr>
            <w:spacing w:line="240" w:lineRule="auto"/>
          </w:pPr>
        </w:p>
        <w:p w14:paraId="3F309C2D" w14:textId="77777777" w:rsidR="003D5DB4" w:rsidRPr="000D0101" w:rsidRDefault="003D5DB4" w:rsidP="000A5389">
          <w:pPr>
            <w:spacing w:line="240" w:lineRule="auto"/>
          </w:pPr>
          <w:r w:rsidRPr="000D0101">
            <w:t>Observaciones: NA</w:t>
          </w:r>
        </w:p>
        <w:p w14:paraId="46E44E4D" w14:textId="77777777" w:rsidR="003D5DB4" w:rsidRPr="000D0101" w:rsidRDefault="003D5DB4" w:rsidP="000A5389">
          <w:pPr>
            <w:spacing w:line="240" w:lineRule="auto"/>
          </w:pPr>
        </w:p>
        <w:p w14:paraId="3F9CC5A7" w14:textId="77777777" w:rsidR="003D5DB4" w:rsidRPr="000D0101" w:rsidRDefault="003D5DB4" w:rsidP="000A5389">
          <w:pPr>
            <w:spacing w:line="240" w:lineRule="auto"/>
          </w:pPr>
          <w:r w:rsidRPr="000D0101">
            <w:t>f. Cambios en el acuerdo de concesión que se realicen durante el periodo fiscal</w:t>
          </w:r>
        </w:p>
        <w:p w14:paraId="7C575DCC" w14:textId="77777777" w:rsidR="003D5DB4" w:rsidRPr="000D0101" w:rsidRDefault="003D5DB4" w:rsidP="000A5389">
          <w:pPr>
            <w:spacing w:line="240" w:lineRule="auto"/>
          </w:pPr>
        </w:p>
        <w:p w14:paraId="3EB65BE9" w14:textId="77777777" w:rsidR="003D5DB4" w:rsidRPr="000D0101" w:rsidRDefault="003D5DB4" w:rsidP="000A5389">
          <w:pPr>
            <w:spacing w:line="240" w:lineRule="auto"/>
          </w:pPr>
          <w:r w:rsidRPr="000D0101">
            <w:t>Adiciones o modificaciones en tiempo</w:t>
          </w:r>
        </w:p>
        <w:p w14:paraId="74F0DCC6" w14:textId="77777777" w:rsidR="003D5DB4" w:rsidRPr="000D0101" w:rsidRDefault="003D5DB4" w:rsidP="000A5389">
          <w:pPr>
            <w:spacing w:line="240" w:lineRule="auto"/>
          </w:pPr>
          <w:r w:rsidRPr="000D0101">
            <w:t>Fechas de las adiciones o modificaciones:</w:t>
          </w:r>
          <w:r w:rsidRPr="000D0101">
            <w:tab/>
            <w:t>N/A</w:t>
          </w:r>
        </w:p>
        <w:p w14:paraId="57527DAE" w14:textId="77777777" w:rsidR="003D5DB4" w:rsidRPr="000D0101" w:rsidRDefault="003D5DB4" w:rsidP="000A5389">
          <w:pPr>
            <w:spacing w:line="240" w:lineRule="auto"/>
          </w:pPr>
          <w:r w:rsidRPr="000D0101">
            <w:t>Nueva fecha de finalización estimada: N/A</w:t>
          </w:r>
        </w:p>
        <w:p w14:paraId="12AC6FD4" w14:textId="77777777" w:rsidR="003D5DB4" w:rsidRPr="000D0101" w:rsidRDefault="003D5DB4" w:rsidP="000A5389">
          <w:pPr>
            <w:spacing w:line="240" w:lineRule="auto"/>
          </w:pPr>
          <w:r w:rsidRPr="000D0101">
            <w:t>Observaciones: NA</w:t>
          </w:r>
        </w:p>
        <w:p w14:paraId="7C4AD5E7" w14:textId="77777777" w:rsidR="003D5DB4" w:rsidRPr="000D0101" w:rsidRDefault="003D5DB4" w:rsidP="000A5389">
          <w:pPr>
            <w:spacing w:line="240" w:lineRule="auto"/>
          </w:pPr>
          <w:r w:rsidRPr="000D0101">
            <w:t>Adiciones o modificaciones en valor</w:t>
          </w:r>
        </w:p>
        <w:p w14:paraId="5DFD0078" w14:textId="77777777" w:rsidR="003D5DB4" w:rsidRPr="000D0101" w:rsidRDefault="003D5DB4" w:rsidP="000A5389">
          <w:pPr>
            <w:spacing w:line="240" w:lineRule="auto"/>
          </w:pPr>
          <w:r w:rsidRPr="000D0101">
            <w:t>Valor de la adición o modificación: N/A</w:t>
          </w:r>
        </w:p>
        <w:p w14:paraId="4E07D7AE" w14:textId="77777777" w:rsidR="003D5DB4" w:rsidRPr="000D0101" w:rsidRDefault="003D5DB4" w:rsidP="000A5389">
          <w:pPr>
            <w:spacing w:line="240" w:lineRule="auto"/>
          </w:pPr>
          <w:r w:rsidRPr="000D0101">
            <w:t>Nuevo valor del acuerdo: N/A</w:t>
          </w:r>
        </w:p>
        <w:p w14:paraId="379F7CBF" w14:textId="043DE2DA" w:rsidR="003D5DB4" w:rsidRPr="000D0101" w:rsidRDefault="003D5DB4" w:rsidP="000A5389">
          <w:pPr>
            <w:spacing w:line="240" w:lineRule="auto"/>
          </w:pPr>
          <w:r w:rsidRPr="000D0101">
            <w:t>Observaciones: N/A</w:t>
          </w:r>
        </w:p>
        <w:p w14:paraId="7C8184D9" w14:textId="77777777" w:rsidR="003D5DB4" w:rsidRPr="000D0101" w:rsidRDefault="003D5DB4" w:rsidP="000A5389">
          <w:pPr>
            <w:spacing w:line="240" w:lineRule="auto"/>
          </w:pPr>
        </w:p>
        <w:p w14:paraId="0FD27464" w14:textId="77777777" w:rsidR="003D5DB4" w:rsidRPr="004B430B" w:rsidRDefault="003D5DB4" w:rsidP="000A5389">
          <w:pPr>
            <w:spacing w:line="240" w:lineRule="auto"/>
            <w:rPr>
              <w:rFonts w:eastAsia="Times New Roman"/>
              <w:i/>
              <w:iCs/>
              <w:lang w:eastAsia="es-CO"/>
            </w:rPr>
          </w:pPr>
        </w:p>
        <w:p w14:paraId="17C7E80A" w14:textId="77777777" w:rsidR="003D5DB4" w:rsidRPr="004B430B" w:rsidRDefault="003D5DB4" w:rsidP="000A5389">
          <w:pPr>
            <w:spacing w:line="240" w:lineRule="auto"/>
            <w:rPr>
              <w:rFonts w:eastAsia="Times New Roman"/>
              <w:i/>
              <w:iCs/>
              <w:lang w:eastAsia="es-CO"/>
            </w:rPr>
          </w:pPr>
          <w:r w:rsidRPr="004B430B">
            <w:rPr>
              <w:rFonts w:eastAsia="Times New Roman"/>
              <w:i/>
              <w:iCs/>
              <w:lang w:eastAsia="es-CO"/>
            </w:rPr>
            <w:t xml:space="preserve">SOCIEDAD PORTUARIA BAVARIA S.A. </w:t>
          </w:r>
        </w:p>
        <w:p w14:paraId="6B1D7496" w14:textId="77777777" w:rsidR="003D5DB4" w:rsidRPr="000D0101" w:rsidRDefault="003D5DB4" w:rsidP="000A5389">
          <w:pPr>
            <w:spacing w:line="240" w:lineRule="auto"/>
          </w:pPr>
        </w:p>
        <w:p w14:paraId="640E9E18" w14:textId="77777777" w:rsidR="003D5DB4" w:rsidRPr="000D0101" w:rsidRDefault="003D5DB4" w:rsidP="000A5389">
          <w:pPr>
            <w:spacing w:line="240" w:lineRule="auto"/>
          </w:pPr>
          <w:r w:rsidRPr="000D0101">
            <w:t>a. Descripción del Acuerdo</w:t>
          </w:r>
        </w:p>
        <w:p w14:paraId="1FD3E573" w14:textId="77777777" w:rsidR="003D5DB4" w:rsidRPr="000D0101" w:rsidRDefault="003D5DB4" w:rsidP="000A5389">
          <w:pPr>
            <w:spacing w:line="240" w:lineRule="auto"/>
          </w:pPr>
        </w:p>
        <w:p w14:paraId="1F162161" w14:textId="77777777" w:rsidR="003D5DB4" w:rsidRPr="000D0101" w:rsidRDefault="003D5DB4" w:rsidP="000A5389">
          <w:pPr>
            <w:spacing w:line="240" w:lineRule="auto"/>
          </w:pPr>
          <w:r w:rsidRPr="000D0101">
            <w:t xml:space="preserve">Número del Acuerdo de Concesión: </w:t>
          </w:r>
          <w:r w:rsidRPr="000D0101">
            <w:rPr>
              <w:rStyle w:val="Estilo3"/>
              <w:rFonts w:cs="Times New Roman"/>
              <w:szCs w:val="24"/>
            </w:rPr>
            <w:t>001 de 2007.</w:t>
          </w:r>
        </w:p>
        <w:p w14:paraId="2F0B4D59" w14:textId="77777777" w:rsidR="003D5DB4" w:rsidRPr="000D0101" w:rsidRDefault="003D5DB4" w:rsidP="000A5389">
          <w:pPr>
            <w:spacing w:line="240" w:lineRule="auto"/>
          </w:pPr>
          <w:r w:rsidRPr="000D0101">
            <w:t xml:space="preserve">Objeto / Descripción: </w:t>
          </w:r>
          <w:r w:rsidRPr="000D0101">
            <w:rPr>
              <w:rStyle w:val="Estilo3"/>
              <w:rFonts w:cs="Times New Roman"/>
              <w:szCs w:val="24"/>
            </w:rPr>
            <w:t>En virtud del Contrato de concesión y sus modificaciones, se permite al CONCESIONARIO una concesión portuaria para utilizar en forma temporal y exclusiva el muelle especializado en el manejo de graneles limpios, las playas, los terrenos de bajamar y las zonas accesorias a aquellas o éstos. Las facilidades portuarias que se entregan en concesión son las desarrolladas por BAVARIA S.A. en virtud de la concesión portuaria otorgada por la DIMAR, según resolución No. 515 de mayo 27 de 1986, ubicada en la zona industrial de Mamonal de la ciudad de Cartagena, Departamento de Bolívar, conforme lo establece la Cláusula Primera del Contrato.</w:t>
          </w:r>
        </w:p>
        <w:p w14:paraId="5FA31144" w14:textId="77777777" w:rsidR="003D5DB4" w:rsidRPr="000D0101" w:rsidRDefault="003D5DB4" w:rsidP="000A5389">
          <w:pPr>
            <w:spacing w:line="240" w:lineRule="auto"/>
          </w:pPr>
        </w:p>
        <w:p w14:paraId="0DDA57EA" w14:textId="77777777" w:rsidR="003D5DB4" w:rsidRPr="000D0101" w:rsidRDefault="003D5DB4" w:rsidP="000A5389">
          <w:pPr>
            <w:spacing w:line="240" w:lineRule="auto"/>
          </w:pPr>
          <w:r w:rsidRPr="000D0101">
            <w:t xml:space="preserve">Valor inicial: </w:t>
          </w:r>
          <w:r w:rsidRPr="000D0101">
            <w:rPr>
              <w:rStyle w:val="Estilo5"/>
              <w:rFonts w:cs="Times New Roman"/>
              <w:szCs w:val="24"/>
            </w:rPr>
            <w:t>USD 3.328.837 Clausula Séptima / Contrato No.001 de 2007.</w:t>
          </w:r>
        </w:p>
        <w:p w14:paraId="0C6B694D" w14:textId="77777777" w:rsidR="003D5DB4" w:rsidRPr="000D0101" w:rsidRDefault="003D5DB4" w:rsidP="000A5389">
          <w:pPr>
            <w:spacing w:line="240" w:lineRule="auto"/>
          </w:pPr>
          <w:r w:rsidRPr="000D0101">
            <w:t>Fecha de inicio: 28/02/2007</w:t>
          </w:r>
        </w:p>
        <w:p w14:paraId="0FB378C8" w14:textId="77777777" w:rsidR="003D5DB4" w:rsidRPr="000D0101" w:rsidRDefault="003D5DB4" w:rsidP="000A5389">
          <w:pPr>
            <w:spacing w:line="240" w:lineRule="auto"/>
          </w:pPr>
          <w:r w:rsidRPr="000D0101">
            <w:t>Fecha de finalización estimada: 27/02/2027</w:t>
          </w:r>
        </w:p>
        <w:p w14:paraId="732D40E8" w14:textId="77777777" w:rsidR="003D5DB4" w:rsidRPr="000D0101" w:rsidRDefault="003D5DB4" w:rsidP="000A5389">
          <w:pPr>
            <w:spacing w:line="240" w:lineRule="auto"/>
          </w:pPr>
          <w:r w:rsidRPr="000D0101">
            <w:t xml:space="preserve">Tipo ID: </w:t>
          </w:r>
          <w:r w:rsidRPr="000D0101">
            <w:rPr>
              <w:rStyle w:val="Estilo5"/>
              <w:rFonts w:cs="Times New Roman"/>
              <w:szCs w:val="24"/>
            </w:rPr>
            <w:t>NIT</w:t>
          </w:r>
        </w:p>
        <w:p w14:paraId="2A200396" w14:textId="77777777" w:rsidR="003D5DB4" w:rsidRPr="000D0101" w:rsidRDefault="003D5DB4" w:rsidP="000A5389">
          <w:pPr>
            <w:spacing w:line="240" w:lineRule="auto"/>
          </w:pPr>
          <w:r w:rsidRPr="000D0101">
            <w:t>Número ID: 900.106.818-9</w:t>
          </w:r>
        </w:p>
        <w:p w14:paraId="29365C59" w14:textId="77777777" w:rsidR="003D5DB4" w:rsidRPr="000D0101" w:rsidRDefault="003D5DB4" w:rsidP="000A5389">
          <w:pPr>
            <w:spacing w:line="240" w:lineRule="auto"/>
          </w:pPr>
          <w:r w:rsidRPr="000D0101">
            <w:t xml:space="preserve">Razón social del concesionario: </w:t>
          </w:r>
          <w:r w:rsidRPr="000D0101">
            <w:rPr>
              <w:rStyle w:val="EncabezadoCar"/>
              <w:rFonts w:cs="Times New Roman"/>
              <w:szCs w:val="24"/>
            </w:rPr>
            <w:t>Sociedad Portuaria Bavaria S.A.</w:t>
          </w:r>
        </w:p>
        <w:p w14:paraId="2581876B" w14:textId="77777777" w:rsidR="003D5DB4" w:rsidRPr="000D0101" w:rsidRDefault="003D5DB4" w:rsidP="000A5389">
          <w:pPr>
            <w:spacing w:line="240" w:lineRule="auto"/>
          </w:pPr>
          <w:r w:rsidRPr="000D0101">
            <w:lastRenderedPageBreak/>
            <w:t>Nombre del proyecto: Sociedad Portuaria Bavaria S.A.</w:t>
          </w:r>
        </w:p>
        <w:p w14:paraId="7534D97A" w14:textId="77777777" w:rsidR="003D5DB4" w:rsidRPr="000D0101" w:rsidRDefault="003D5DB4" w:rsidP="000A5389">
          <w:pPr>
            <w:spacing w:line="240" w:lineRule="auto"/>
            <w:rPr>
              <w:lang w:val="es-MX"/>
            </w:rPr>
          </w:pPr>
        </w:p>
        <w:p w14:paraId="078813B6" w14:textId="77777777" w:rsidR="003D5DB4" w:rsidRPr="000D0101" w:rsidRDefault="003D5DB4" w:rsidP="000A5389">
          <w:pPr>
            <w:spacing w:line="240" w:lineRule="auto"/>
            <w:rPr>
              <w:lang w:val="es-MX"/>
            </w:rPr>
          </w:pPr>
          <w:r w:rsidRPr="000D0101">
            <w:rPr>
              <w:lang w:val="es-MX"/>
            </w:rPr>
            <w:t>b. Términos significativos del Acuerdo que puedan afectar su valor, el calendario y la certeza de los flujos</w:t>
          </w:r>
        </w:p>
        <w:p w14:paraId="0A68E04C" w14:textId="77777777" w:rsidR="003D5DB4" w:rsidRPr="000D0101" w:rsidRDefault="003D5DB4" w:rsidP="000A5389">
          <w:pPr>
            <w:spacing w:line="240" w:lineRule="auto"/>
          </w:pPr>
        </w:p>
        <w:p w14:paraId="74717968" w14:textId="77777777" w:rsidR="003D5DB4" w:rsidRPr="000D0101" w:rsidRDefault="003D5DB4" w:rsidP="000A5389">
          <w:pPr>
            <w:spacing w:line="240" w:lineRule="auto"/>
            <w:rPr>
              <w:rStyle w:val="Estilo5"/>
              <w:rFonts w:cs="Times New Roman"/>
              <w:szCs w:val="24"/>
            </w:rPr>
          </w:pPr>
          <w:r w:rsidRPr="000D0101">
            <w:t xml:space="preserve">Términos de valor: </w:t>
          </w:r>
          <w:r w:rsidRPr="000D0101">
            <w:rPr>
              <w:rStyle w:val="Estilo5"/>
              <w:rFonts w:cs="Times New Roman"/>
              <w:szCs w:val="24"/>
            </w:rPr>
            <w:t xml:space="preserve">Tarifas: Al ser el terminal marítimo de servicio privado la Ley 1ª de 1991 establece: Las sociedades portuarias que operan puertos de servicio privado podrán fijar libremente sus tarifas, pero mantendrán informada sobre ellas a la Superintendencia General de Puertos hoy Superintendencia de Transporte. Contraprestación portuaria: De acuerdo con el último documento contractual vigente la metodología de contraprestación vigente es CONPES 2680 DE 1993 (Productividad). Se establece en la Cláusula Séptima del Contrato que el CONCESIONARIO deberá pagar por concepto de zona de uso público la suma anual de USD 342.000, de dicho pago el 80% le corresponde a la Nación Instituto Nacional de Vías (INVIAS) y el 20% restante al distrito de Cartagena de acuerdo con lo establecido en el parágrafo 1 del artículo 1 de la Ley 856 del 21 de diciembre de 2003, que modifica el artículo 7 de la Ley 1ª de 1991. </w:t>
          </w:r>
        </w:p>
        <w:p w14:paraId="404B74A8" w14:textId="77777777" w:rsidR="003D5DB4" w:rsidRPr="000D0101" w:rsidRDefault="003D5DB4" w:rsidP="000A5389">
          <w:pPr>
            <w:spacing w:line="240" w:lineRule="auto"/>
            <w:rPr>
              <w:rStyle w:val="Estilo5"/>
              <w:rFonts w:cs="Times New Roman"/>
              <w:szCs w:val="24"/>
            </w:rPr>
          </w:pPr>
          <w:r w:rsidRPr="000D0101">
            <w:rPr>
              <w:rStyle w:val="Estilo5"/>
              <w:rFonts w:cs="Times New Roman"/>
              <w:szCs w:val="24"/>
            </w:rPr>
            <w:t xml:space="preserve">Así mismo, por concepto de infraestructura el CONCESIONARIO deberá pagar la suma anual de USD 55.910, el cual corresponde en un 100% a la Nación - Instituto Nacional de Vías (INVIAS) de acuerdo con lo establecido en el artículo 1 de la Ley 856 del 21 diciembre de 2003.Plan de Inversiones: Está establecido en la Cláusula Sexta del Contrato que el VPN de las inversiones es de USD 2.998.719. </w:t>
          </w:r>
        </w:p>
        <w:p w14:paraId="5BEBA20F" w14:textId="77777777" w:rsidR="004B430B" w:rsidRDefault="004B430B" w:rsidP="000A5389">
          <w:pPr>
            <w:spacing w:line="240" w:lineRule="auto"/>
            <w:rPr>
              <w:rStyle w:val="Estilo5"/>
              <w:rFonts w:cs="Times New Roman"/>
              <w:szCs w:val="24"/>
            </w:rPr>
          </w:pPr>
        </w:p>
        <w:p w14:paraId="29C71DD6" w14:textId="38BA3E0F" w:rsidR="003D5DB4" w:rsidRPr="000D0101" w:rsidRDefault="003D5DB4" w:rsidP="000A5389">
          <w:pPr>
            <w:spacing w:line="240" w:lineRule="auto"/>
          </w:pPr>
          <w:r w:rsidRPr="000D0101">
            <w:rPr>
              <w:rStyle w:val="Estilo5"/>
              <w:rFonts w:cs="Times New Roman"/>
              <w:szCs w:val="24"/>
            </w:rPr>
            <w:t>Asimismo, en la Cláusula Primera del Otrosí No. 3 de 2018, se menciona que el nuevo plan de inversiones que debe ejecutar la Sociedad Portuaria es de USD 7.169.181 en valores corrientes. Obligaciones del Concesionario: Se encuentran descritas en la Cláusula Décima Cuarta del Contrato. Multas y sanciones: Están establecidas en la Cláusula Décima Séptima del Contrato. Penal pecuniario: En la Cláusula Décima Octava del contrato se establece que en el evento en que el INCO hoy ANI declare la caducidad o el incumplimiento del presente contrato se podrá imponer una penalidad pecuniaria, equivalente al 10% del valor total de la contraprestación. Riesgos: Está establecido en la Cláusula Vigésima Novena del Contrato, la totalidad de los riesgos inherentes a la ejecución del contrato en su etapa preoperativa, de construcción, operación, y de reversión, serán asumidos por el CONCESIONARIO, y su ocurrencia no dará derecho a indemnización o reconocimiento alguno a favor de este.</w:t>
          </w:r>
        </w:p>
        <w:p w14:paraId="56D0552F" w14:textId="77777777" w:rsidR="003D5DB4" w:rsidRPr="000D0101" w:rsidRDefault="003D5DB4" w:rsidP="000A5389">
          <w:pPr>
            <w:spacing w:line="240" w:lineRule="auto"/>
          </w:pPr>
          <w:r w:rsidRPr="000D0101">
            <w:t>Términos de calendario: Tarifas: Aprobadas según la metodología establecida por la Superintendencia General de Puertos hoy Superintendencia de Transporte.</w:t>
          </w:r>
        </w:p>
        <w:p w14:paraId="1160DFFE" w14:textId="77777777" w:rsidR="003D5DB4" w:rsidRPr="000D0101" w:rsidRDefault="003D5DB4" w:rsidP="000A5389">
          <w:pPr>
            <w:spacing w:line="240" w:lineRule="auto"/>
          </w:pPr>
          <w:r w:rsidRPr="000D0101">
            <w:t>Contraprestación portuaria: La contraprestación se debe pagar en anualidades anticipadas, dentro de los cinco (5) días siguientes a la fecha del vencimiento de la anualidad (28 de febrero de cada año).</w:t>
          </w:r>
        </w:p>
        <w:p w14:paraId="6198A9E2" w14:textId="77777777" w:rsidR="004B430B" w:rsidRDefault="004B430B" w:rsidP="000A5389">
          <w:pPr>
            <w:spacing w:line="240" w:lineRule="auto"/>
          </w:pPr>
          <w:bookmarkStart w:id="1081" w:name="_Hlk222399191"/>
        </w:p>
        <w:p w14:paraId="4C7DC6AC" w14:textId="50582BE4" w:rsidR="003D5DB4" w:rsidRPr="000D0101" w:rsidRDefault="003D5DB4" w:rsidP="000A5389">
          <w:pPr>
            <w:spacing w:line="240" w:lineRule="auto"/>
          </w:pPr>
          <w:r w:rsidRPr="000D0101">
            <w:t>Tarifas: Aprobadas según la metodología establecida por la Superintendencia General de Puertos hoy Superintendencia de Transporte.</w:t>
          </w:r>
        </w:p>
        <w:p w14:paraId="103BA58E" w14:textId="77777777" w:rsidR="003D5DB4" w:rsidRPr="000D0101" w:rsidRDefault="003D5DB4" w:rsidP="000A5389">
          <w:pPr>
            <w:spacing w:line="240" w:lineRule="auto"/>
          </w:pPr>
          <w:r w:rsidRPr="000D0101">
            <w:t>Contraprestación portuaria: La contraprestación se debe pagar en anualidades anticipadas, dentro de los cinco (5) días siguientes a la fecha del vencimiento de la anualidad (28 de febrero de cada año).</w:t>
          </w:r>
          <w:bookmarkEnd w:id="1081"/>
        </w:p>
        <w:p w14:paraId="5B4AEFBB" w14:textId="77777777" w:rsidR="003D5DB4" w:rsidRPr="000D0101" w:rsidRDefault="003D5DB4" w:rsidP="000A5389">
          <w:pPr>
            <w:spacing w:line="240" w:lineRule="auto"/>
          </w:pPr>
          <w:r w:rsidRPr="000D0101">
            <w:lastRenderedPageBreak/>
            <w:t>Plan de inversiones: Se estableció en la Cláusula Primera del Otrosí No. 3 de 2018, la ejecución de inversiones en el periodo de tiempo comprendido entre el año 2007 a 2027.</w:t>
          </w:r>
        </w:p>
        <w:p w14:paraId="64DBCD25" w14:textId="77777777" w:rsidR="003D5DB4" w:rsidRPr="000D0101" w:rsidRDefault="003D5DB4" w:rsidP="000A5389">
          <w:pPr>
            <w:spacing w:line="240" w:lineRule="auto"/>
          </w:pPr>
          <w:r w:rsidRPr="000D0101">
            <w:t>Multas y sanciones: Están establecidas en la Cláusula Décima Séptima del Contrato. A la fecha el contrato no ha tenido ninguna multa.</w:t>
          </w:r>
        </w:p>
        <w:p w14:paraId="5F59FA14" w14:textId="77777777" w:rsidR="003D5DB4" w:rsidRPr="000D0101" w:rsidRDefault="003D5DB4" w:rsidP="000A5389">
          <w:pPr>
            <w:spacing w:line="240" w:lineRule="auto"/>
          </w:pPr>
        </w:p>
        <w:p w14:paraId="19DBB1DA" w14:textId="77777777" w:rsidR="003D5DB4" w:rsidRPr="000D0101" w:rsidRDefault="003D5DB4" w:rsidP="000A5389">
          <w:pPr>
            <w:spacing w:line="240" w:lineRule="auto"/>
          </w:pPr>
          <w:r w:rsidRPr="000D0101">
            <w:t>Términos de certeza de flujos de efectivo futuros: Se otorga al CONCESIONARIO una concesión portuaria para utilizar en forma temporal y exclusiva el muelle especializado en el manejo de graneles limpios, las playas, los terrenos de bajamar y las zonas accesorias a aquellas o éstos, a cambio de la contraprestación. Cláusula Séptima del Contrato, del valor a pagar por concepto de contraprestación por Zona de Uso Público el 80% corresponde a la Nación-INVIAS y el 20 % al Distrito de Cartagena, y por Infraestructura el 100% a la Nación-INVIAS.</w:t>
          </w:r>
        </w:p>
        <w:p w14:paraId="1C42B0D8" w14:textId="77777777" w:rsidR="003D5DB4" w:rsidRPr="000D0101" w:rsidRDefault="003D5DB4" w:rsidP="000A5389">
          <w:pPr>
            <w:spacing w:line="240" w:lineRule="auto"/>
            <w:rPr>
              <w:lang w:val="es-MX"/>
            </w:rPr>
          </w:pPr>
        </w:p>
        <w:p w14:paraId="45870E3C" w14:textId="77777777" w:rsidR="003D5DB4" w:rsidRPr="000D0101" w:rsidRDefault="003D5DB4" w:rsidP="000A5389">
          <w:pPr>
            <w:spacing w:line="240" w:lineRule="auto"/>
            <w:rPr>
              <w:lang w:val="es-MX"/>
            </w:rPr>
          </w:pPr>
          <w:r w:rsidRPr="000D0101">
            <w:rPr>
              <w:lang w:val="es-MX"/>
            </w:rPr>
            <w:t>c. Naturaleza y alcance del derecho a utilizar activos especificados y los aspectos pactados en torno a lo que se espera que el concesionario proporcione en relación con el acuerdo de concesión</w:t>
          </w:r>
        </w:p>
        <w:p w14:paraId="6939DD60" w14:textId="77777777" w:rsidR="003D5DB4" w:rsidRPr="000D0101" w:rsidRDefault="003D5DB4" w:rsidP="000A5389">
          <w:pPr>
            <w:spacing w:line="240" w:lineRule="auto"/>
          </w:pPr>
        </w:p>
        <w:p w14:paraId="6BEE93F3" w14:textId="77777777" w:rsidR="003D5DB4" w:rsidRPr="000D0101" w:rsidRDefault="003D5DB4" w:rsidP="000A5389">
          <w:pPr>
            <w:spacing w:line="240" w:lineRule="auto"/>
          </w:pPr>
          <w:r w:rsidRPr="000D0101">
            <w:t>Naturaleza y alcance del derecho de uso de los activos</w:t>
          </w:r>
        </w:p>
        <w:p w14:paraId="3AAEB695" w14:textId="77777777" w:rsidR="003D5DB4" w:rsidRPr="000D0101" w:rsidRDefault="003D5DB4" w:rsidP="000A5389">
          <w:pPr>
            <w:spacing w:line="240" w:lineRule="auto"/>
          </w:pPr>
          <w:r w:rsidRPr="000D0101">
            <w:t>Descripción: Descripción del proyecto, especificaciones técnicas, modalidades de operación: las condiciones especiales de operación del puerto están establecidas en la cláusula quinta del Contrato de Concesión Área entregada en concesión: La descripción de la ubicación, linderos y extensión de los bienes de uso público (playas y terrenos de baja mar, zonas marítimas accesorias de maniobras) entregados en concesión están establecidos en la cláusula segunda. Infraestructura y equipos entregados en concesión: En la cláusula segunda del Contrato, se describe que lo entregado en concesión fue: Infraestructura:  Una plataforma de atraque y operaciones, dos (2) piñas de amarre, una pasarela que va desde la plataforma del muelle hasta la zona de almacenamiento (silos) de la planta de Maltería Tropical S.A. con una longitud de 1250m lineales. Equipos: Una banda transportadora de 40 pulgadas de ancho, un equipo succionador neumático marca VIGAN – Modelo NIV-300 y un elevador de canjilones.</w:t>
          </w:r>
        </w:p>
        <w:p w14:paraId="5B9F3BC8" w14:textId="77777777" w:rsidR="003D5DB4" w:rsidRPr="000D0101" w:rsidRDefault="003D5DB4" w:rsidP="000A5389">
          <w:pPr>
            <w:spacing w:line="240" w:lineRule="auto"/>
          </w:pPr>
        </w:p>
        <w:p w14:paraId="06C556B4" w14:textId="77777777" w:rsidR="003D5DB4" w:rsidRPr="000D0101" w:rsidRDefault="003D5DB4" w:rsidP="000A5389">
          <w:pPr>
            <w:spacing w:line="240" w:lineRule="auto"/>
          </w:pPr>
          <w:r w:rsidRPr="000D0101">
            <w:t>Observaciones: N/A</w:t>
          </w:r>
        </w:p>
        <w:p w14:paraId="5B9BF235" w14:textId="77777777" w:rsidR="003D5DB4" w:rsidRPr="000D0101" w:rsidRDefault="003D5DB4" w:rsidP="000A5389">
          <w:pPr>
            <w:spacing w:line="240" w:lineRule="auto"/>
          </w:pPr>
        </w:p>
        <w:p w14:paraId="08A7CBA6" w14:textId="77777777" w:rsidR="003D5DB4" w:rsidRPr="000D0101" w:rsidRDefault="003D5DB4" w:rsidP="000A5389">
          <w:pPr>
            <w:spacing w:line="240" w:lineRule="auto"/>
          </w:pPr>
          <w:r w:rsidRPr="000D0101">
            <w:t>Retribución al concesionario</w:t>
          </w:r>
        </w:p>
        <w:p w14:paraId="283C6477" w14:textId="77777777" w:rsidR="003D5DB4" w:rsidRPr="000D0101" w:rsidRDefault="003D5DB4" w:rsidP="000A5389">
          <w:pPr>
            <w:spacing w:line="240" w:lineRule="auto"/>
          </w:pPr>
        </w:p>
        <w:p w14:paraId="2FE6F5CF" w14:textId="77777777" w:rsidR="003D5DB4" w:rsidRPr="000D0101" w:rsidRDefault="003D5DB4" w:rsidP="000A5389">
          <w:pPr>
            <w:spacing w:line="240" w:lineRule="auto"/>
          </w:pPr>
          <w:r w:rsidRPr="000D0101">
            <w:t>Descripción: Cláusula Primera del Contrato No. 001 de 2007: Se otorga al CONCESIONARIO, una concesión portuaria para utilizar en forma temporal y exclusiva el muelle especializado en el manejo de graneles limpios, las playas, los terrenos de bajamar y las zonas accesorias a aquellas o éstos, a cambio de la contraprestación establecida en la Cláusula Séptima del Contrato.</w:t>
          </w:r>
        </w:p>
        <w:p w14:paraId="4A70D21A" w14:textId="77777777" w:rsidR="003D5DB4" w:rsidRPr="000D0101" w:rsidRDefault="003D5DB4" w:rsidP="000A5389">
          <w:pPr>
            <w:spacing w:line="240" w:lineRule="auto"/>
          </w:pPr>
        </w:p>
        <w:p w14:paraId="6539095B" w14:textId="77777777" w:rsidR="003D5DB4" w:rsidRPr="000D0101" w:rsidRDefault="003D5DB4" w:rsidP="000A5389">
          <w:pPr>
            <w:spacing w:line="240" w:lineRule="auto"/>
          </w:pPr>
          <w:r w:rsidRPr="000D0101">
            <w:t>Tasa de retribución: N/A</w:t>
          </w:r>
        </w:p>
        <w:p w14:paraId="5828E710" w14:textId="77777777" w:rsidR="003D5DB4" w:rsidRPr="000D0101" w:rsidRDefault="003D5DB4" w:rsidP="000A5389">
          <w:pPr>
            <w:spacing w:line="240" w:lineRule="auto"/>
          </w:pPr>
        </w:p>
        <w:p w14:paraId="34352615" w14:textId="77777777" w:rsidR="003D5DB4" w:rsidRPr="000D0101" w:rsidRDefault="003D5DB4" w:rsidP="000A5389">
          <w:pPr>
            <w:spacing w:line="240" w:lineRule="auto"/>
          </w:pPr>
          <w:r w:rsidRPr="000D0101">
            <w:t>d. Derechos a recibir activos especificados al final del acuerdo de concesión</w:t>
          </w:r>
        </w:p>
        <w:p w14:paraId="7602C23A" w14:textId="77777777" w:rsidR="003D5DB4" w:rsidRPr="000D0101" w:rsidRDefault="003D5DB4" w:rsidP="000A5389">
          <w:pPr>
            <w:spacing w:line="240" w:lineRule="auto"/>
          </w:pPr>
        </w:p>
        <w:p w14:paraId="62E219AA" w14:textId="77777777" w:rsidR="003D5DB4" w:rsidRPr="000D0101" w:rsidRDefault="003D5DB4" w:rsidP="000A5389">
          <w:pPr>
            <w:spacing w:line="240" w:lineRule="auto"/>
          </w:pPr>
          <w:r w:rsidRPr="000D0101">
            <w:t>Descripción: De acuerdo con el Artículo 8º de la Ley 1 de 1991 en el modo portuario el concesionario no tiene derechos finales sobre activos, los debe revertir a la Nación al final del contrato de concesión.</w:t>
          </w:r>
        </w:p>
        <w:p w14:paraId="16FF6C7F" w14:textId="77777777" w:rsidR="003D5DB4" w:rsidRPr="000D0101" w:rsidRDefault="003D5DB4" w:rsidP="000A5389">
          <w:pPr>
            <w:spacing w:line="240" w:lineRule="auto"/>
          </w:pPr>
        </w:p>
        <w:p w14:paraId="5FF20087" w14:textId="77777777" w:rsidR="003D5DB4" w:rsidRPr="000D0101" w:rsidRDefault="003D5DB4" w:rsidP="000A5389">
          <w:pPr>
            <w:spacing w:line="240" w:lineRule="auto"/>
          </w:pPr>
          <w:r w:rsidRPr="000D0101">
            <w:t>Observaciones: Reversión: De acuerdo con lo establecido en la cláusula decimoprimera del contrato de concesión, todas las construcciones e inmuebles por destinación, que se encuentren instalados en la zona de uso público otorgada en concesión revertirán gratuitamente por el Concesionario. Para tal fin, en el momento de la reversión el CONCESIONARIO elaborará un inventario de los bienes y los enviará para su revisión y aprobación. La ANI es la entidad concedente pero la titularidad de los activos al final de la concesión es del Instituto Nacional de Vías INVIAS.</w:t>
          </w:r>
        </w:p>
        <w:p w14:paraId="620B2451" w14:textId="77777777" w:rsidR="003D5DB4" w:rsidRPr="000D0101" w:rsidRDefault="003D5DB4" w:rsidP="000A5389">
          <w:pPr>
            <w:spacing w:line="240" w:lineRule="auto"/>
          </w:pPr>
        </w:p>
        <w:p w14:paraId="607D1921" w14:textId="77777777" w:rsidR="003D5DB4" w:rsidRPr="000D0101" w:rsidRDefault="003D5DB4" w:rsidP="000A5389">
          <w:pPr>
            <w:spacing w:line="240" w:lineRule="auto"/>
          </w:pPr>
          <w:r w:rsidRPr="000D0101">
            <w:t>e. Las alternativas de renovación y cese del Acuerdo</w:t>
          </w:r>
        </w:p>
        <w:p w14:paraId="3A3A01CC" w14:textId="77777777" w:rsidR="003D5DB4" w:rsidRPr="000D0101" w:rsidRDefault="003D5DB4" w:rsidP="000A5389">
          <w:pPr>
            <w:spacing w:line="240" w:lineRule="auto"/>
          </w:pPr>
        </w:p>
        <w:p w14:paraId="5E63BDC8" w14:textId="77777777" w:rsidR="003D5DB4" w:rsidRPr="000D0101" w:rsidRDefault="003D5DB4" w:rsidP="000A5389">
          <w:pPr>
            <w:spacing w:line="240" w:lineRule="auto"/>
            <w:rPr>
              <w:lang w:val="es-MX"/>
            </w:rPr>
          </w:pPr>
          <w:r w:rsidRPr="000D0101">
            <w:t>Descripción: La cláusula vigésima del contrato de concesión, estipula los parámetros para la terminación del contrato.</w:t>
          </w:r>
        </w:p>
        <w:p w14:paraId="33749738" w14:textId="77777777" w:rsidR="003D5DB4" w:rsidRPr="000D0101" w:rsidRDefault="003D5DB4" w:rsidP="000A5389">
          <w:pPr>
            <w:spacing w:line="240" w:lineRule="auto"/>
          </w:pPr>
        </w:p>
        <w:p w14:paraId="1ADA18F6" w14:textId="77777777" w:rsidR="003D5DB4" w:rsidRPr="000D0101" w:rsidRDefault="003D5DB4" w:rsidP="000A5389">
          <w:pPr>
            <w:spacing w:line="240" w:lineRule="auto"/>
          </w:pPr>
          <w:r w:rsidRPr="000D0101">
            <w:t>Observaciones: N/A</w:t>
          </w:r>
        </w:p>
        <w:p w14:paraId="3BFC5222" w14:textId="77777777" w:rsidR="003D5DB4" w:rsidRPr="000D0101" w:rsidRDefault="003D5DB4" w:rsidP="000A5389">
          <w:pPr>
            <w:spacing w:line="240" w:lineRule="auto"/>
          </w:pPr>
        </w:p>
        <w:p w14:paraId="59E7C81A" w14:textId="77777777" w:rsidR="003D5DB4" w:rsidRPr="000D0101" w:rsidRDefault="003D5DB4" w:rsidP="000A5389">
          <w:pPr>
            <w:spacing w:line="240" w:lineRule="auto"/>
            <w:rPr>
              <w:lang w:val="es-MX"/>
            </w:rPr>
          </w:pPr>
          <w:r w:rsidRPr="000D0101">
            <w:rPr>
              <w:lang w:val="es-MX"/>
            </w:rPr>
            <w:t>Cambios en el acuerdo de concesión que se realicen durante el periodo fiscal</w:t>
          </w:r>
        </w:p>
        <w:p w14:paraId="2BF480E9" w14:textId="77777777" w:rsidR="003D5DB4" w:rsidRPr="000D0101" w:rsidRDefault="003D5DB4" w:rsidP="000A5389">
          <w:pPr>
            <w:spacing w:line="240" w:lineRule="auto"/>
            <w:rPr>
              <w:lang w:val="es-MX"/>
            </w:rPr>
          </w:pPr>
        </w:p>
        <w:p w14:paraId="5E0240F6" w14:textId="77777777" w:rsidR="003D5DB4" w:rsidRPr="000D0101" w:rsidRDefault="003D5DB4" w:rsidP="000A5389">
          <w:pPr>
            <w:spacing w:line="240" w:lineRule="auto"/>
          </w:pPr>
          <w:r w:rsidRPr="000D0101">
            <w:t>Adiciones o modificaciones en tiempo</w:t>
          </w:r>
        </w:p>
        <w:p w14:paraId="178300CD" w14:textId="77777777" w:rsidR="003D5DB4" w:rsidRPr="000D0101" w:rsidRDefault="003D5DB4" w:rsidP="000A5389">
          <w:pPr>
            <w:spacing w:line="240" w:lineRule="auto"/>
          </w:pPr>
          <w:r w:rsidRPr="000D0101">
            <w:t>Fechas de las adiciones o modificaciones: N/A</w:t>
          </w:r>
        </w:p>
        <w:p w14:paraId="17C26D60" w14:textId="77777777" w:rsidR="003D5DB4" w:rsidRPr="000D0101" w:rsidRDefault="003D5DB4" w:rsidP="000A5389">
          <w:pPr>
            <w:spacing w:line="240" w:lineRule="auto"/>
          </w:pPr>
          <w:r w:rsidRPr="000D0101">
            <w:t>Nueva fecha de finalización estimada: N/A</w:t>
          </w:r>
        </w:p>
        <w:p w14:paraId="18EAB87F" w14:textId="77777777" w:rsidR="003D5DB4" w:rsidRPr="000D0101" w:rsidRDefault="003D5DB4" w:rsidP="000A5389">
          <w:pPr>
            <w:spacing w:line="240" w:lineRule="auto"/>
          </w:pPr>
          <w:r w:rsidRPr="000D0101">
            <w:t>Observaciones: N/A</w:t>
          </w:r>
        </w:p>
        <w:p w14:paraId="7FB49196" w14:textId="77777777" w:rsidR="003D5DB4" w:rsidRPr="000D0101" w:rsidRDefault="003D5DB4" w:rsidP="000A5389">
          <w:pPr>
            <w:spacing w:line="240" w:lineRule="auto"/>
          </w:pPr>
          <w:r w:rsidRPr="000D0101">
            <w:t>Adiciones o modificaciones en valor</w:t>
          </w:r>
        </w:p>
        <w:p w14:paraId="4D422333" w14:textId="77777777" w:rsidR="003D5DB4" w:rsidRPr="000D0101" w:rsidRDefault="003D5DB4" w:rsidP="000A5389">
          <w:pPr>
            <w:spacing w:line="240" w:lineRule="auto"/>
          </w:pPr>
          <w:r w:rsidRPr="000D0101">
            <w:t>Valor de la adición o modificación: N/A</w:t>
          </w:r>
        </w:p>
        <w:p w14:paraId="7D4D312B" w14:textId="77777777" w:rsidR="003D5DB4" w:rsidRPr="000D0101" w:rsidRDefault="003D5DB4" w:rsidP="000A5389">
          <w:pPr>
            <w:spacing w:line="240" w:lineRule="auto"/>
          </w:pPr>
          <w:r w:rsidRPr="000D0101">
            <w:t>Nuevo valor del acuerdo: N/A</w:t>
          </w:r>
        </w:p>
        <w:p w14:paraId="15643011" w14:textId="77777777" w:rsidR="003D5DB4" w:rsidRPr="000D0101" w:rsidRDefault="003D5DB4" w:rsidP="000A5389">
          <w:pPr>
            <w:spacing w:line="240" w:lineRule="auto"/>
          </w:pPr>
          <w:r w:rsidRPr="000D0101">
            <w:t>Observaciones: N/A</w:t>
          </w:r>
        </w:p>
        <w:p w14:paraId="462EEAD3" w14:textId="77777777" w:rsidR="003D5DB4" w:rsidRPr="000D0101" w:rsidRDefault="003D5DB4" w:rsidP="000A5389">
          <w:pPr>
            <w:spacing w:line="240" w:lineRule="auto"/>
          </w:pPr>
        </w:p>
        <w:p w14:paraId="10F36990" w14:textId="77777777" w:rsidR="003D5DB4" w:rsidRPr="000D0101" w:rsidRDefault="003D5DB4" w:rsidP="000A5389">
          <w:pPr>
            <w:spacing w:line="240" w:lineRule="auto"/>
            <w:rPr>
              <w:rFonts w:eastAsia="Times New Roman"/>
              <w:lang w:eastAsia="es-CO"/>
            </w:rPr>
          </w:pPr>
        </w:p>
        <w:p w14:paraId="652562AC" w14:textId="77777777" w:rsidR="003D5DB4" w:rsidRPr="004B430B" w:rsidRDefault="003D5DB4" w:rsidP="000A5389">
          <w:pPr>
            <w:spacing w:line="240" w:lineRule="auto"/>
            <w:rPr>
              <w:rFonts w:eastAsia="Times New Roman"/>
              <w:i/>
              <w:iCs/>
              <w:lang w:eastAsia="es-CO"/>
            </w:rPr>
          </w:pPr>
          <w:r w:rsidRPr="004B430B">
            <w:rPr>
              <w:rFonts w:eastAsia="Times New Roman"/>
              <w:i/>
              <w:iCs/>
              <w:lang w:eastAsia="es-CO"/>
            </w:rPr>
            <w:t>SOCIEDAD PORTUARIA BITA RM S.A.</w:t>
          </w:r>
        </w:p>
        <w:p w14:paraId="66474483" w14:textId="77777777" w:rsidR="003D5DB4" w:rsidRPr="000D0101" w:rsidRDefault="003D5DB4" w:rsidP="000A5389">
          <w:pPr>
            <w:spacing w:line="240" w:lineRule="auto"/>
            <w:rPr>
              <w:rFonts w:eastAsia="Times New Roman"/>
              <w:lang w:eastAsia="es-CO"/>
            </w:rPr>
          </w:pPr>
        </w:p>
        <w:p w14:paraId="571C423C" w14:textId="77777777" w:rsidR="003D5DB4" w:rsidRPr="000D0101" w:rsidRDefault="003D5DB4" w:rsidP="000A5389">
          <w:pPr>
            <w:spacing w:line="240" w:lineRule="auto"/>
          </w:pPr>
          <w:r w:rsidRPr="000D0101">
            <w:t>a. Descripción del Acuerdo</w:t>
          </w:r>
        </w:p>
        <w:p w14:paraId="7225E02B" w14:textId="77777777" w:rsidR="003D5DB4" w:rsidRPr="000D0101" w:rsidRDefault="003D5DB4" w:rsidP="000A5389">
          <w:pPr>
            <w:spacing w:line="240" w:lineRule="auto"/>
          </w:pPr>
        </w:p>
        <w:p w14:paraId="3215D2CC" w14:textId="77777777" w:rsidR="003D5DB4" w:rsidRPr="000D0101" w:rsidRDefault="003D5DB4" w:rsidP="000A5389">
          <w:pPr>
            <w:spacing w:line="240" w:lineRule="auto"/>
          </w:pPr>
          <w:r w:rsidRPr="000D0101">
            <w:t>Número del Acuerdo de Concesión: 002 de 2021</w:t>
          </w:r>
        </w:p>
        <w:p w14:paraId="0A44BBA6" w14:textId="77777777" w:rsidR="003D5DB4" w:rsidRPr="000D0101" w:rsidRDefault="003D5DB4" w:rsidP="000A5389">
          <w:pPr>
            <w:spacing w:line="240" w:lineRule="auto"/>
          </w:pPr>
        </w:p>
        <w:p w14:paraId="09DF7320" w14:textId="77777777" w:rsidR="003D5DB4" w:rsidRPr="000D0101" w:rsidRDefault="003D5DB4" w:rsidP="000A5389">
          <w:pPr>
            <w:spacing w:line="240" w:lineRule="auto"/>
          </w:pPr>
          <w:r w:rsidRPr="000D0101">
            <w:t xml:space="preserve">Objeto / Descripción: Otorgamiento de una concesión portuaria, para que de conformidad con lo previsto en la Ley 1ª de 1991, el Concesionario ocupe, de manera temporal y exclusiva, los bienes de uso público descritos en la Sección 6.1, así como la Infraestructura Existente descrita en la Sección 6.2, para la construcción, operación, mantenimiento, y administración de un Terminal Portuario de uso público;1.1.1(a) a cambio de una contraprestación </w:t>
          </w:r>
          <w:r w:rsidRPr="000D0101">
            <w:lastRenderedPageBreak/>
            <w:t>económica a favor del Concedente, en los términos descritos en la Sección 4.1 de este Contrato.</w:t>
          </w:r>
        </w:p>
        <w:p w14:paraId="5C503F5B" w14:textId="77777777" w:rsidR="003D5DB4" w:rsidRPr="000D0101" w:rsidRDefault="003D5DB4" w:rsidP="000A5389">
          <w:pPr>
            <w:spacing w:line="240" w:lineRule="auto"/>
          </w:pPr>
        </w:p>
        <w:p w14:paraId="0D9B70C3" w14:textId="77777777" w:rsidR="003D5DB4" w:rsidRPr="000D0101" w:rsidRDefault="003D5DB4" w:rsidP="000A5389">
          <w:pPr>
            <w:spacing w:line="240" w:lineRule="auto"/>
          </w:pPr>
          <w:r w:rsidRPr="000D0101">
            <w:t>Valor inicial: CIENTO SESENTA MIL QUINIENTOS SESENTA DOLARES (USD $160.560) Constantes de diciembre de 2019, Capítulo IV, numeral 4.1/ Contrato de concesión No. 002 de 2021</w:t>
          </w:r>
        </w:p>
        <w:p w14:paraId="1F418F21" w14:textId="77777777" w:rsidR="003D5DB4" w:rsidRPr="000D0101" w:rsidRDefault="003D5DB4" w:rsidP="000A5389">
          <w:pPr>
            <w:spacing w:line="240" w:lineRule="auto"/>
          </w:pPr>
        </w:p>
        <w:p w14:paraId="311CB7DC" w14:textId="77777777" w:rsidR="003D5DB4" w:rsidRPr="000D0101" w:rsidRDefault="003D5DB4" w:rsidP="000A5389">
          <w:pPr>
            <w:spacing w:line="240" w:lineRule="auto"/>
          </w:pPr>
          <w:r w:rsidRPr="000D0101">
            <w:t>Fecha de inicio: 25/06/2021</w:t>
          </w:r>
        </w:p>
        <w:p w14:paraId="35C648B7" w14:textId="77777777" w:rsidR="003D5DB4" w:rsidRPr="000D0101" w:rsidRDefault="003D5DB4" w:rsidP="000A5389">
          <w:pPr>
            <w:spacing w:line="240" w:lineRule="auto"/>
          </w:pPr>
          <w:r w:rsidRPr="000D0101">
            <w:t>Fecha de finalización estimada: 24/06/2041</w:t>
          </w:r>
        </w:p>
        <w:p w14:paraId="12E06D80" w14:textId="77777777" w:rsidR="003D5DB4" w:rsidRPr="000D0101" w:rsidRDefault="003D5DB4" w:rsidP="000A5389">
          <w:pPr>
            <w:spacing w:line="240" w:lineRule="auto"/>
          </w:pPr>
          <w:r w:rsidRPr="000D0101">
            <w:t xml:space="preserve">Tipo ID: </w:t>
          </w:r>
          <w:r w:rsidRPr="000D0101">
            <w:rPr>
              <w:rStyle w:val="Estilo5"/>
              <w:rFonts w:cs="Times New Roman"/>
              <w:szCs w:val="24"/>
            </w:rPr>
            <w:t>NIT</w:t>
          </w:r>
        </w:p>
        <w:p w14:paraId="46D572E2" w14:textId="77777777" w:rsidR="003D5DB4" w:rsidRPr="000D0101" w:rsidRDefault="003D5DB4" w:rsidP="000A5389">
          <w:pPr>
            <w:spacing w:line="240" w:lineRule="auto"/>
          </w:pPr>
          <w:r w:rsidRPr="000D0101">
            <w:t xml:space="preserve">Número ID: </w:t>
          </w:r>
          <w:r w:rsidRPr="000D0101">
            <w:rPr>
              <w:rStyle w:val="EncabezadoCar"/>
              <w:rFonts w:cs="Times New Roman"/>
              <w:szCs w:val="24"/>
            </w:rPr>
            <w:t>901.077.888-2</w:t>
          </w:r>
        </w:p>
        <w:p w14:paraId="05A52877" w14:textId="77777777" w:rsidR="003D5DB4" w:rsidRPr="000D0101" w:rsidRDefault="003D5DB4" w:rsidP="000A5389">
          <w:pPr>
            <w:spacing w:line="240" w:lineRule="auto"/>
          </w:pPr>
          <w:r w:rsidRPr="000D0101">
            <w:t>Razón social del concesionario: Sociedad Portuaria Bita RM S.A</w:t>
          </w:r>
        </w:p>
        <w:p w14:paraId="2C0E00F9" w14:textId="77777777" w:rsidR="003D5DB4" w:rsidRPr="000D0101" w:rsidRDefault="003D5DB4" w:rsidP="000A5389">
          <w:pPr>
            <w:spacing w:line="240" w:lineRule="auto"/>
          </w:pPr>
          <w:r w:rsidRPr="000D0101">
            <w:t>Nombre del proyecto: Sociedad Portuaria Bita RM S.A</w:t>
          </w:r>
        </w:p>
        <w:p w14:paraId="30481C96" w14:textId="77777777" w:rsidR="003D5DB4" w:rsidRPr="000D0101" w:rsidRDefault="003D5DB4" w:rsidP="000A5389">
          <w:pPr>
            <w:spacing w:line="240" w:lineRule="auto"/>
            <w:rPr>
              <w:lang w:val="es-MX"/>
            </w:rPr>
          </w:pPr>
        </w:p>
        <w:p w14:paraId="597D6EF2" w14:textId="77777777" w:rsidR="003D5DB4" w:rsidRPr="000D0101" w:rsidRDefault="003D5DB4" w:rsidP="000A5389">
          <w:pPr>
            <w:spacing w:line="240" w:lineRule="auto"/>
            <w:rPr>
              <w:lang w:val="es-MX"/>
            </w:rPr>
          </w:pPr>
          <w:r w:rsidRPr="000D0101">
            <w:rPr>
              <w:lang w:val="es-MX"/>
            </w:rPr>
            <w:t>b. Términos significativos del Acuerdo que puedan afectar su valor, el calendario y la certeza de los flujos</w:t>
          </w:r>
        </w:p>
        <w:p w14:paraId="3C162C8E" w14:textId="77777777" w:rsidR="003D5DB4" w:rsidRPr="000D0101" w:rsidRDefault="003D5DB4" w:rsidP="000A5389">
          <w:pPr>
            <w:spacing w:line="240" w:lineRule="auto"/>
          </w:pPr>
        </w:p>
        <w:p w14:paraId="39B819FB" w14:textId="77777777" w:rsidR="003D5DB4" w:rsidRPr="000D0101" w:rsidRDefault="003D5DB4" w:rsidP="000A5389">
          <w:pPr>
            <w:spacing w:line="240" w:lineRule="auto"/>
          </w:pPr>
          <w:r w:rsidRPr="000D0101">
            <w:t xml:space="preserve">Términos de valor: </w:t>
          </w:r>
          <w:r w:rsidRPr="000D0101">
            <w:rPr>
              <w:rStyle w:val="EncabezadoCar"/>
              <w:rFonts w:cs="Times New Roman"/>
              <w:szCs w:val="24"/>
            </w:rPr>
            <w:t xml:space="preserve">Tarifas: Al ser el terminal marítimo de servicio privado la Ley 1 de 1991 establece: Las sociedades portuarias que operan puertos de servicio privado podrán fijar libremente sus tarifas, pero mantendrán informada sobre ellas a la Superintendencia General de Puertos hoy Superintendencia de Transporte. Contraprestación portuaria: De acuerdo con el contrato de concesión No. 002 de 2021, la metodología de contraprestación corresponde al Conpes 3744 de 2013. A febrero de 2024, el CONCESIONARIO debió pagar la suma de USD 28.450 por concepto de contraprestación. El literal (a), Capítulo IV, Sección 4.3 del contrato establece que el pago de la contraprestación con relación al componente fijo le corresponde a la Nación (INVIAS-ANI) el 80% y el 20% restante al municipio de Cartagena, de acuerdo con lo establecido en el parágrafo 1 del artículo 1 de la Ley 856 del 21 de diciembre de 2003, que modifica el artículo 7 de la ley 1ª de 1991.  El literal (b), Sección 4.4, establece que el total de la contraprestación por infraestructura le corresponde a la Nación (INVIAS-ANI).Plan de Inversiones: Está establecido en el Capítulo IV, Sección 4.5 del contrato, el plan de inversiones que deberá ejecutar, durante los primeros dos (2) años de concesión, será de DOSCIENTOS VEINTIUN MIL TRESCIENTOS NOVENTA Y SEIS DOLARES (USD$ 221.396) constantes de diciembre de 2019.Obligaciones del CONCESIONARIO: se encuentran descritas en el Capítulo V, numeral 5.1 del contrato. Multas y sanciones: están establecidas en el Capítulo IX, Sección 9.1 del contrato. Penal: En la Cláusula IX, numeral 9.8, se establece que en el evento que el Concedente declare la terminación anticipada del contrato por la caducidad del contrato, o el incumplimiento que lleve a la terminación anticipada del presente contrato, el Concesionario, deberá pagar al Concedente, la suma equivalente al 10% del valor total de la sumatoria (i) del valor presente de la contraprestación referida en la Sección 4.1 del Contrato, y (ii) del valor presente del Plan de Inversiones actualizado con el CPI for all ítems (Consumer Price Index) de Estados Unidos (Fuente: https://www.bls.gov – </w:t>
          </w:r>
          <w:r w:rsidRPr="000D0101">
            <w:rPr>
              <w:rStyle w:val="EncabezadoCar"/>
              <w:rFonts w:cs="Times New Roman"/>
              <w:szCs w:val="24"/>
            </w:rPr>
            <w:tab/>
            <w:t>BUREAU OF LABOR STATISTICS) en el mes inmediatamente anterior a la imposición, o proporcionalmente por incumplimiento parcial, a título indemnizatorio</w:t>
          </w:r>
        </w:p>
        <w:p w14:paraId="66C97637" w14:textId="77777777" w:rsidR="003D5DB4" w:rsidRPr="000D0101" w:rsidRDefault="003D5DB4" w:rsidP="000A5389">
          <w:pPr>
            <w:spacing w:line="240" w:lineRule="auto"/>
          </w:pPr>
        </w:p>
        <w:p w14:paraId="59C9197C" w14:textId="77777777" w:rsidR="003D5DB4" w:rsidRPr="000D0101" w:rsidRDefault="003D5DB4" w:rsidP="000A5389">
          <w:pPr>
            <w:spacing w:line="240" w:lineRule="auto"/>
          </w:pPr>
          <w:r w:rsidRPr="000D0101">
            <w:t xml:space="preserve">Términos de calendario: Tarifas: Aprobadas según la metodología establecida por la Superintendencia General de Puertos, hoy Superintendencia de Transporte. Contraprestación portuaria: la contraprestación se debe pagar de manera anual anticipada en el mes de febrero de cada año. Plan de inversiones: Se estableció en el Capítulo IV, Sección 4.5. del contrato, que la ejecución del plan de inversiones debe realizarse durante los primeros dos (2) años de Concesión. Multas: Capítulo IX, Sección 9.1. del contrato.  </w:t>
          </w:r>
        </w:p>
        <w:p w14:paraId="12E38D68" w14:textId="77777777" w:rsidR="003D5DB4" w:rsidRPr="000D0101" w:rsidRDefault="003D5DB4" w:rsidP="000A5389">
          <w:pPr>
            <w:spacing w:line="240" w:lineRule="auto"/>
          </w:pPr>
        </w:p>
        <w:p w14:paraId="3EB47CB6" w14:textId="77777777" w:rsidR="003D5DB4" w:rsidRPr="000D0101" w:rsidRDefault="003D5DB4" w:rsidP="000A5389">
          <w:pPr>
            <w:spacing w:line="240" w:lineRule="auto"/>
          </w:pPr>
          <w:r w:rsidRPr="000D0101">
            <w:t>Términos de certeza de flujos de efectivo futuros: Se otorga a EL CONCESIONARIO una concesión portuaria, para que de conformidad con lo previsto en la Ley 1ª. De 1991, el Concesionario ocupe, de manera temporal y exclusiva, los bienes de uso público descritos en la Sección 6.1, así como la infraestructura existente descrita en la Sección 6.2, para la construcción para la construcción, operación, mantenimiento, y administración de un terminal portuario de uso público, a cambio de una contraprestación económica a favor del Concedente, en los términos descritos en la Sección 4.1 de este contrato. Capítulo 4, Sección 4.3, literal (a), del valor a pagar por concepto de contraprestación del componente fijo, el 80% le corresponde a la Nación-INVIAS y el 20 % al municipio de Cartagena.</w:t>
          </w:r>
        </w:p>
        <w:p w14:paraId="2D213938" w14:textId="77777777" w:rsidR="003D5DB4" w:rsidRPr="000D0101" w:rsidRDefault="003D5DB4" w:rsidP="000A5389">
          <w:pPr>
            <w:spacing w:line="240" w:lineRule="auto"/>
            <w:rPr>
              <w:lang w:val="es-MX"/>
            </w:rPr>
          </w:pPr>
        </w:p>
        <w:p w14:paraId="6E9CF0C8" w14:textId="77777777" w:rsidR="003D5DB4" w:rsidRPr="000D0101" w:rsidRDefault="003D5DB4" w:rsidP="000A5389">
          <w:pPr>
            <w:spacing w:line="240" w:lineRule="auto"/>
            <w:rPr>
              <w:lang w:val="es-MX"/>
            </w:rPr>
          </w:pPr>
          <w:r w:rsidRPr="000D0101">
            <w:rPr>
              <w:lang w:val="es-MX"/>
            </w:rPr>
            <w:t>c. Naturaleza y alcance del derecho a utilizar activos especificados y los aspectos pactados en torno a lo que se espera que el concesionario proporcione en relación con el acuerdo de concesión</w:t>
          </w:r>
        </w:p>
        <w:p w14:paraId="15CE27E3" w14:textId="77777777" w:rsidR="003D5DB4" w:rsidRPr="000D0101" w:rsidRDefault="003D5DB4" w:rsidP="000A5389">
          <w:pPr>
            <w:spacing w:line="240" w:lineRule="auto"/>
          </w:pPr>
        </w:p>
        <w:p w14:paraId="20DCF36D" w14:textId="77777777" w:rsidR="003D5DB4" w:rsidRPr="000D0101" w:rsidRDefault="003D5DB4" w:rsidP="000A5389">
          <w:pPr>
            <w:spacing w:line="240" w:lineRule="auto"/>
          </w:pPr>
          <w:r w:rsidRPr="000D0101">
            <w:t>Naturaleza y alcance del derecho de uso de los activos</w:t>
          </w:r>
        </w:p>
        <w:p w14:paraId="57736CC5" w14:textId="77777777" w:rsidR="003D5DB4" w:rsidRPr="000D0101" w:rsidRDefault="003D5DB4" w:rsidP="000A5389">
          <w:pPr>
            <w:spacing w:line="240" w:lineRule="auto"/>
          </w:pPr>
        </w:p>
        <w:p w14:paraId="0220A90C" w14:textId="77777777" w:rsidR="003D5DB4" w:rsidRPr="000D0101" w:rsidRDefault="003D5DB4" w:rsidP="000A5389">
          <w:pPr>
            <w:spacing w:line="240" w:lineRule="auto"/>
          </w:pPr>
          <w:r w:rsidRPr="000D0101">
            <w:t>Descripción: Descripción del proyecto, especificaciones técnicas, modalidades de operación: las condiciones especiales de operación del puerto están establecidas en el Capítulo VI del Contrato de concesión Área entregada en concesión: La descripción de la ubicación, linderos y extensión de los bienes de uso público (playas y terrenos de baja mar, zonas marítimas accesorias de maniobras) entregados en concesión están establecidos en el numeral 6.1 del Contrato de concesión Infraestructura entregada en concesión: En el numeral 6.2 del Contrato de concesión, se describe que lo entregado en concesión fue: Infraestructura: Muelle de 41,4 metros de longitud y 2,5 metros de ancho; Edificio en 2 plantas de Oficinas.</w:t>
          </w:r>
        </w:p>
        <w:p w14:paraId="3A01DEEB" w14:textId="77777777" w:rsidR="003D5DB4" w:rsidRPr="000D0101" w:rsidRDefault="003D5DB4" w:rsidP="000A5389">
          <w:pPr>
            <w:spacing w:line="240" w:lineRule="auto"/>
          </w:pPr>
        </w:p>
        <w:p w14:paraId="74D1A1A1" w14:textId="77777777" w:rsidR="003D5DB4" w:rsidRPr="000D0101" w:rsidRDefault="003D5DB4" w:rsidP="000A5389">
          <w:pPr>
            <w:spacing w:line="240" w:lineRule="auto"/>
          </w:pPr>
          <w:r w:rsidRPr="000D0101">
            <w:t>Observaciones: No se tiene ninguna observación</w:t>
          </w:r>
        </w:p>
        <w:p w14:paraId="2932A08A" w14:textId="77777777" w:rsidR="003D5DB4" w:rsidRPr="000D0101" w:rsidRDefault="003D5DB4" w:rsidP="000A5389">
          <w:pPr>
            <w:spacing w:line="240" w:lineRule="auto"/>
          </w:pPr>
        </w:p>
        <w:p w14:paraId="16459C23" w14:textId="77777777" w:rsidR="003D5DB4" w:rsidRPr="000D0101" w:rsidRDefault="003D5DB4" w:rsidP="000A5389">
          <w:pPr>
            <w:spacing w:line="240" w:lineRule="auto"/>
          </w:pPr>
          <w:r w:rsidRPr="000D0101">
            <w:t>Retribución al concesionario</w:t>
          </w:r>
        </w:p>
        <w:p w14:paraId="0783A191" w14:textId="77777777" w:rsidR="003D5DB4" w:rsidRPr="000D0101" w:rsidRDefault="003D5DB4" w:rsidP="000A5389">
          <w:pPr>
            <w:spacing w:line="240" w:lineRule="auto"/>
          </w:pPr>
        </w:p>
        <w:p w14:paraId="5FD9E9A7" w14:textId="77777777" w:rsidR="003D5DB4" w:rsidRPr="000D0101" w:rsidRDefault="003D5DB4" w:rsidP="000A5389">
          <w:pPr>
            <w:spacing w:line="240" w:lineRule="auto"/>
          </w:pPr>
          <w:r w:rsidRPr="000D0101">
            <w:t xml:space="preserve">Descripción: Capítulo III, Sección 3.2 del contrato 002 de 2021: Otorgamiento de una concesión portuaria para que de conformidad con lo previsto en la Ley 1ª. De 1991, el Concesionario ocupe, de manera temporal y exclusiva, los bienes de uso público </w:t>
          </w:r>
          <w:r w:rsidRPr="000D0101">
            <w:tab/>
            <w:t>descritos en la Sección 6.1, así como la infraestructura existente descrita en la Sección 6.2, para la construcción para la construcción, operación, mantenimiento, y administración de un terminal portuario de uso público, a cambio de una contraprestación económica a favor del Concedente, en los términos descritos en la Sección 4.1 de este contrato.</w:t>
          </w:r>
        </w:p>
        <w:p w14:paraId="1222B3AF" w14:textId="77777777" w:rsidR="003D5DB4" w:rsidRPr="000D0101" w:rsidRDefault="003D5DB4" w:rsidP="000A5389">
          <w:pPr>
            <w:spacing w:line="240" w:lineRule="auto"/>
          </w:pPr>
          <w:r w:rsidRPr="000D0101">
            <w:lastRenderedPageBreak/>
            <w:t>Tasa de retribución: N/A</w:t>
          </w:r>
        </w:p>
        <w:p w14:paraId="5854074E" w14:textId="77777777" w:rsidR="003D5DB4" w:rsidRPr="000D0101" w:rsidRDefault="003D5DB4" w:rsidP="000A5389">
          <w:pPr>
            <w:spacing w:line="240" w:lineRule="auto"/>
          </w:pPr>
        </w:p>
        <w:p w14:paraId="2AA92729" w14:textId="77777777" w:rsidR="003D5DB4" w:rsidRPr="000D0101" w:rsidRDefault="003D5DB4" w:rsidP="000A5389">
          <w:pPr>
            <w:spacing w:line="240" w:lineRule="auto"/>
          </w:pPr>
          <w:r w:rsidRPr="000D0101">
            <w:t>d. Derechos a recibir activos especificados al final del acuerdo de concesión</w:t>
          </w:r>
        </w:p>
        <w:p w14:paraId="365011FB" w14:textId="77777777" w:rsidR="003D5DB4" w:rsidRPr="000D0101" w:rsidRDefault="003D5DB4" w:rsidP="000A5389">
          <w:pPr>
            <w:spacing w:line="240" w:lineRule="auto"/>
          </w:pPr>
        </w:p>
        <w:p w14:paraId="38CEABF7" w14:textId="77777777" w:rsidR="003D5DB4" w:rsidRPr="000D0101" w:rsidRDefault="003D5DB4" w:rsidP="000A5389">
          <w:pPr>
            <w:spacing w:line="240" w:lineRule="auto"/>
          </w:pPr>
          <w:r w:rsidRPr="000D0101">
            <w:t>Descripción: De acuerdo con el Artículo 8º de la Ley 1 de 1991 en el modo portuario el concesionario no tiene derechos finales sobre activos los debe revertir a la Nación al final del contrato de concesión.</w:t>
          </w:r>
        </w:p>
        <w:p w14:paraId="6BA7FE24" w14:textId="77777777" w:rsidR="003D5DB4" w:rsidRPr="000D0101" w:rsidRDefault="003D5DB4" w:rsidP="000A5389">
          <w:pPr>
            <w:spacing w:line="240" w:lineRule="auto"/>
          </w:pPr>
        </w:p>
        <w:p w14:paraId="26CD9BFF" w14:textId="77777777" w:rsidR="003D5DB4" w:rsidRPr="000D0101" w:rsidRDefault="003D5DB4" w:rsidP="000A5389">
          <w:pPr>
            <w:spacing w:line="240" w:lineRule="auto"/>
          </w:pPr>
          <w:r w:rsidRPr="000D0101">
            <w:t>Observaciones: No se tiene ninguna observación</w:t>
          </w:r>
        </w:p>
        <w:p w14:paraId="38E65549" w14:textId="77777777" w:rsidR="003D5DB4" w:rsidRPr="000D0101" w:rsidRDefault="003D5DB4" w:rsidP="000A5389">
          <w:pPr>
            <w:spacing w:line="240" w:lineRule="auto"/>
          </w:pPr>
        </w:p>
        <w:p w14:paraId="7762AE94" w14:textId="77777777" w:rsidR="003D5DB4" w:rsidRPr="000D0101" w:rsidRDefault="003D5DB4" w:rsidP="000A5389">
          <w:pPr>
            <w:spacing w:line="240" w:lineRule="auto"/>
          </w:pPr>
          <w:r w:rsidRPr="000D0101">
            <w:t>e. Las alternativas de renovación y cese del Acuerdo</w:t>
          </w:r>
        </w:p>
        <w:p w14:paraId="1FD05489" w14:textId="77777777" w:rsidR="003D5DB4" w:rsidRPr="000D0101" w:rsidRDefault="003D5DB4" w:rsidP="000A5389">
          <w:pPr>
            <w:spacing w:line="240" w:lineRule="auto"/>
          </w:pPr>
        </w:p>
        <w:p w14:paraId="1647CD7C" w14:textId="77777777" w:rsidR="003D5DB4" w:rsidRPr="000D0101" w:rsidRDefault="003D5DB4" w:rsidP="000A5389">
          <w:pPr>
            <w:spacing w:line="240" w:lineRule="auto"/>
            <w:rPr>
              <w:lang w:val="es-MX"/>
            </w:rPr>
          </w:pPr>
          <w:r w:rsidRPr="000D0101">
            <w:t>Descripción: El capito VX del contrato de concesión, estipula los parámetros para la terminación del contrato</w:t>
          </w:r>
        </w:p>
        <w:p w14:paraId="5BA2CCFC" w14:textId="77777777" w:rsidR="003D5DB4" w:rsidRPr="000D0101" w:rsidRDefault="003D5DB4" w:rsidP="000A5389">
          <w:pPr>
            <w:spacing w:line="240" w:lineRule="auto"/>
          </w:pPr>
        </w:p>
        <w:p w14:paraId="0F9ECF91" w14:textId="77777777" w:rsidR="003D5DB4" w:rsidRPr="000D0101" w:rsidRDefault="003D5DB4" w:rsidP="000A5389">
          <w:pPr>
            <w:spacing w:line="240" w:lineRule="auto"/>
          </w:pPr>
          <w:r w:rsidRPr="000D0101">
            <w:t>Observaciones: No se tiene ninguna observación</w:t>
          </w:r>
        </w:p>
        <w:p w14:paraId="5A8DB65B" w14:textId="77777777" w:rsidR="003D5DB4" w:rsidRPr="000D0101" w:rsidRDefault="003D5DB4" w:rsidP="000A5389">
          <w:pPr>
            <w:spacing w:line="240" w:lineRule="auto"/>
          </w:pPr>
        </w:p>
        <w:p w14:paraId="0999A23F" w14:textId="77777777" w:rsidR="003D5DB4" w:rsidRPr="000D0101" w:rsidRDefault="003D5DB4" w:rsidP="000A5389">
          <w:pPr>
            <w:spacing w:line="240" w:lineRule="auto"/>
            <w:rPr>
              <w:lang w:val="es-MX"/>
            </w:rPr>
          </w:pPr>
          <w:r w:rsidRPr="000D0101">
            <w:rPr>
              <w:lang w:val="es-MX"/>
            </w:rPr>
            <w:t>Cambios en el acuerdo de concesión que se realicen durante el periodo fiscal</w:t>
          </w:r>
        </w:p>
        <w:p w14:paraId="65F1EE8D" w14:textId="77777777" w:rsidR="003D5DB4" w:rsidRPr="000D0101" w:rsidRDefault="003D5DB4" w:rsidP="000A5389">
          <w:pPr>
            <w:spacing w:line="240" w:lineRule="auto"/>
            <w:rPr>
              <w:lang w:val="es-MX"/>
            </w:rPr>
          </w:pPr>
        </w:p>
        <w:p w14:paraId="0D5982C0" w14:textId="77777777" w:rsidR="003D5DB4" w:rsidRPr="000D0101" w:rsidRDefault="003D5DB4" w:rsidP="000A5389">
          <w:pPr>
            <w:spacing w:line="240" w:lineRule="auto"/>
          </w:pPr>
          <w:r w:rsidRPr="000D0101">
            <w:t>Adiciones o modificaciones en tiempo</w:t>
          </w:r>
        </w:p>
        <w:p w14:paraId="3DF9A5F7" w14:textId="77777777" w:rsidR="003D5DB4" w:rsidRPr="000D0101" w:rsidRDefault="003D5DB4" w:rsidP="000A5389">
          <w:pPr>
            <w:spacing w:line="240" w:lineRule="auto"/>
          </w:pPr>
          <w:r w:rsidRPr="000D0101">
            <w:t>Fechas de las adiciones o modificaciones: N/A</w:t>
          </w:r>
        </w:p>
        <w:p w14:paraId="2D60C0A2" w14:textId="77777777" w:rsidR="003D5DB4" w:rsidRPr="000D0101" w:rsidRDefault="003D5DB4" w:rsidP="000A5389">
          <w:pPr>
            <w:spacing w:line="240" w:lineRule="auto"/>
          </w:pPr>
          <w:r w:rsidRPr="000D0101">
            <w:t>Nueva fecha de finalización estimada: N/A</w:t>
          </w:r>
        </w:p>
        <w:p w14:paraId="73CAE0C3" w14:textId="77777777" w:rsidR="003D5DB4" w:rsidRPr="000D0101" w:rsidRDefault="003D5DB4" w:rsidP="000A5389">
          <w:pPr>
            <w:spacing w:line="240" w:lineRule="auto"/>
          </w:pPr>
          <w:r w:rsidRPr="000D0101">
            <w:t>Observaciones: No se tiene ninguna observación</w:t>
          </w:r>
        </w:p>
        <w:p w14:paraId="491D97D8" w14:textId="77777777" w:rsidR="003D5DB4" w:rsidRPr="000D0101" w:rsidRDefault="003D5DB4" w:rsidP="000A5389">
          <w:pPr>
            <w:spacing w:line="240" w:lineRule="auto"/>
          </w:pPr>
          <w:r w:rsidRPr="000D0101">
            <w:t>Adiciones o modificaciones en valor</w:t>
          </w:r>
        </w:p>
        <w:p w14:paraId="0F570ED1" w14:textId="77777777" w:rsidR="003D5DB4" w:rsidRPr="000D0101" w:rsidRDefault="003D5DB4" w:rsidP="000A5389">
          <w:pPr>
            <w:spacing w:line="240" w:lineRule="auto"/>
          </w:pPr>
          <w:r w:rsidRPr="000D0101">
            <w:t>Valor de la adición o modificación: N/A</w:t>
          </w:r>
        </w:p>
        <w:p w14:paraId="19E01722" w14:textId="77777777" w:rsidR="003D5DB4" w:rsidRPr="000D0101" w:rsidRDefault="003D5DB4" w:rsidP="000A5389">
          <w:pPr>
            <w:spacing w:line="240" w:lineRule="auto"/>
          </w:pPr>
          <w:r w:rsidRPr="000D0101">
            <w:t>Nuevo valor del acuerdo: N/A</w:t>
          </w:r>
        </w:p>
        <w:p w14:paraId="1ADD610F" w14:textId="7BDD0B5A" w:rsidR="003D5DB4" w:rsidRDefault="003D5DB4" w:rsidP="000A5389">
          <w:pPr>
            <w:spacing w:line="240" w:lineRule="auto"/>
            <w:rPr>
              <w:rFonts w:eastAsia="Times New Roman"/>
              <w:lang w:eastAsia="es-CO"/>
            </w:rPr>
          </w:pPr>
          <w:r w:rsidRPr="000D0101">
            <w:t>Observaciones: No se tiene ninguna observación</w:t>
          </w:r>
        </w:p>
        <w:p w14:paraId="3ACC72AD" w14:textId="77777777" w:rsidR="004B430B" w:rsidRPr="000D0101" w:rsidRDefault="004B430B" w:rsidP="000A5389">
          <w:pPr>
            <w:spacing w:line="240" w:lineRule="auto"/>
            <w:rPr>
              <w:rFonts w:eastAsia="Times New Roman"/>
              <w:lang w:eastAsia="es-CO"/>
            </w:rPr>
          </w:pPr>
        </w:p>
        <w:p w14:paraId="39E12AC2" w14:textId="77777777" w:rsidR="003D5DB4" w:rsidRPr="000D0101" w:rsidRDefault="003D5DB4" w:rsidP="000A5389">
          <w:pPr>
            <w:spacing w:line="240" w:lineRule="auto"/>
            <w:rPr>
              <w:rFonts w:eastAsia="Times New Roman"/>
              <w:lang w:eastAsia="es-CO"/>
            </w:rPr>
          </w:pPr>
        </w:p>
        <w:p w14:paraId="0E3228B3" w14:textId="77777777" w:rsidR="003D5DB4" w:rsidRPr="004B430B" w:rsidRDefault="003D5DB4" w:rsidP="000A5389">
          <w:pPr>
            <w:spacing w:line="240" w:lineRule="auto"/>
            <w:rPr>
              <w:rFonts w:eastAsia="Times New Roman"/>
              <w:i/>
              <w:iCs/>
              <w:lang w:eastAsia="es-CO"/>
            </w:rPr>
          </w:pPr>
          <w:r w:rsidRPr="004B430B">
            <w:rPr>
              <w:rFonts w:eastAsia="Times New Roman"/>
              <w:i/>
              <w:iCs/>
              <w:lang w:eastAsia="es-CO"/>
            </w:rPr>
            <w:t xml:space="preserve">SOCIEDAD PORTUARIA BULLPESA S.A. </w:t>
          </w:r>
        </w:p>
        <w:p w14:paraId="355014CC" w14:textId="77777777" w:rsidR="003D5DB4" w:rsidRPr="000D0101" w:rsidRDefault="003D5DB4" w:rsidP="000A5389">
          <w:pPr>
            <w:spacing w:line="240" w:lineRule="auto"/>
            <w:rPr>
              <w:rFonts w:eastAsia="Times New Roman"/>
              <w:lang w:eastAsia="es-CO"/>
            </w:rPr>
          </w:pPr>
        </w:p>
        <w:p w14:paraId="5C3AB1AC" w14:textId="77777777" w:rsidR="003D5DB4" w:rsidRPr="000D0101" w:rsidRDefault="003D5DB4" w:rsidP="000A5389">
          <w:pPr>
            <w:spacing w:line="240" w:lineRule="auto"/>
            <w:rPr>
              <w:rFonts w:eastAsia="Times New Roman"/>
              <w:lang w:eastAsia="es-CO"/>
            </w:rPr>
          </w:pPr>
          <w:r w:rsidRPr="000D0101">
            <w:rPr>
              <w:rFonts w:eastAsia="Times New Roman"/>
              <w:lang w:eastAsia="es-CO"/>
            </w:rPr>
            <w:t>a. Descripción del Acuerdo</w:t>
          </w:r>
        </w:p>
        <w:p w14:paraId="52BEEBF9" w14:textId="77777777" w:rsidR="003D5DB4" w:rsidRPr="000D0101" w:rsidRDefault="003D5DB4" w:rsidP="000A5389">
          <w:pPr>
            <w:spacing w:line="240" w:lineRule="auto"/>
            <w:rPr>
              <w:rFonts w:eastAsia="Times New Roman"/>
              <w:lang w:eastAsia="es-CO"/>
            </w:rPr>
          </w:pPr>
        </w:p>
        <w:p w14:paraId="016F9D28" w14:textId="77777777" w:rsidR="003D5DB4" w:rsidRPr="000D0101" w:rsidRDefault="003D5DB4" w:rsidP="000A5389">
          <w:pPr>
            <w:spacing w:line="240" w:lineRule="auto"/>
            <w:rPr>
              <w:rFonts w:eastAsia="Times New Roman"/>
              <w:lang w:eastAsia="es-CO"/>
            </w:rPr>
          </w:pPr>
          <w:r w:rsidRPr="000D0101">
            <w:rPr>
              <w:rFonts w:eastAsia="Times New Roman"/>
              <w:lang w:eastAsia="es-CO"/>
            </w:rPr>
            <w:t>Número del Acuerdo de concesión: 001 de 2016.</w:t>
          </w:r>
        </w:p>
        <w:p w14:paraId="31ECB803" w14:textId="77777777" w:rsidR="003D5DB4" w:rsidRPr="000D0101" w:rsidRDefault="003D5DB4" w:rsidP="000A5389">
          <w:pPr>
            <w:spacing w:line="240" w:lineRule="auto"/>
            <w:rPr>
              <w:rFonts w:eastAsia="Times New Roman"/>
              <w:lang w:eastAsia="es-CO"/>
            </w:rPr>
          </w:pPr>
        </w:p>
        <w:p w14:paraId="615C1292" w14:textId="77777777" w:rsidR="003D5DB4" w:rsidRPr="000D0101" w:rsidRDefault="003D5DB4" w:rsidP="000A5389">
          <w:pPr>
            <w:spacing w:line="240" w:lineRule="auto"/>
            <w:rPr>
              <w:rFonts w:eastAsia="Times New Roman"/>
              <w:lang w:eastAsia="es-CO"/>
            </w:rPr>
          </w:pPr>
          <w:r w:rsidRPr="000D0101">
            <w:rPr>
              <w:rFonts w:eastAsia="Times New Roman"/>
              <w:lang w:eastAsia="es-CO"/>
            </w:rPr>
            <w:t>Objeto / Descripción: Otorgamiento al Concesionario por parte del Concedente, de una concesión para autorizar la ocupación en forma temporal y exclusiva de los bienes de uso público descritos en la cláusula 2 Bienes Concesionados, para la construcción, operación, mantenimiento y administración de un terminal marítimo de uso público a cambio de una contraprestación económica a favor del Concedente, en los términos descritos en la cláusula 13 Valor del Contrato y de la Contraprestación, del contrato de concesión.</w:t>
          </w:r>
        </w:p>
        <w:p w14:paraId="24415B52" w14:textId="77777777" w:rsidR="003D5DB4" w:rsidRPr="000D0101" w:rsidRDefault="003D5DB4" w:rsidP="000A5389">
          <w:pPr>
            <w:spacing w:line="240" w:lineRule="auto"/>
            <w:rPr>
              <w:rFonts w:eastAsia="Times New Roman"/>
              <w:lang w:eastAsia="es-CO"/>
            </w:rPr>
          </w:pPr>
        </w:p>
        <w:p w14:paraId="7A5926B6" w14:textId="77777777" w:rsidR="003D5DB4" w:rsidRPr="000D0101" w:rsidRDefault="003D5DB4" w:rsidP="000A5389">
          <w:pPr>
            <w:spacing w:line="240" w:lineRule="auto"/>
            <w:rPr>
              <w:rFonts w:eastAsia="Times New Roman"/>
              <w:lang w:eastAsia="es-CO"/>
            </w:rPr>
          </w:pPr>
          <w:r w:rsidRPr="000D0101">
            <w:rPr>
              <w:rFonts w:eastAsia="Times New Roman"/>
              <w:lang w:eastAsia="es-CO"/>
            </w:rPr>
            <w:lastRenderedPageBreak/>
            <w:t>Valor inicial: OCHOCIENTOS NOVENTA Y CUATRO MIL CUATROCIENTOS DIECIOCHO DOLARES (USD $894.418) Constantes de diciembre de 2015, Cláusula 13 / Contrato de concesión No. 001 de 2016.</w:t>
          </w:r>
        </w:p>
        <w:p w14:paraId="492F10B9" w14:textId="77777777" w:rsidR="003D5DB4" w:rsidRPr="000D0101" w:rsidRDefault="003D5DB4" w:rsidP="000A5389">
          <w:pPr>
            <w:spacing w:line="240" w:lineRule="auto"/>
            <w:rPr>
              <w:rFonts w:eastAsia="Times New Roman"/>
              <w:lang w:eastAsia="es-CO"/>
            </w:rPr>
          </w:pPr>
        </w:p>
        <w:p w14:paraId="2DA165BF" w14:textId="77777777" w:rsidR="003D5DB4" w:rsidRPr="000D0101" w:rsidRDefault="003D5DB4" w:rsidP="000A5389">
          <w:pPr>
            <w:spacing w:line="240" w:lineRule="auto"/>
            <w:rPr>
              <w:rFonts w:eastAsia="Times New Roman"/>
              <w:lang w:eastAsia="es-CO"/>
            </w:rPr>
          </w:pPr>
          <w:r w:rsidRPr="000D0101">
            <w:rPr>
              <w:rFonts w:eastAsia="Times New Roman"/>
              <w:lang w:eastAsia="es-CO"/>
            </w:rPr>
            <w:t>Fecha de inicio: 13/06/2017</w:t>
          </w:r>
        </w:p>
        <w:p w14:paraId="23C91061" w14:textId="77777777" w:rsidR="003D5DB4" w:rsidRPr="000D0101" w:rsidRDefault="003D5DB4" w:rsidP="000A5389">
          <w:pPr>
            <w:spacing w:line="240" w:lineRule="auto"/>
            <w:rPr>
              <w:rFonts w:eastAsia="Times New Roman"/>
              <w:lang w:eastAsia="es-CO"/>
            </w:rPr>
          </w:pPr>
          <w:r w:rsidRPr="000D0101">
            <w:rPr>
              <w:rFonts w:eastAsia="Times New Roman"/>
              <w:lang w:eastAsia="es-CO"/>
            </w:rPr>
            <w:t>Fecha de finalización estimada: 12/06/2035</w:t>
          </w:r>
        </w:p>
        <w:p w14:paraId="7386115B" w14:textId="77777777" w:rsidR="003D5DB4" w:rsidRPr="000D0101" w:rsidRDefault="003D5DB4" w:rsidP="000A5389">
          <w:pPr>
            <w:spacing w:line="240" w:lineRule="auto"/>
            <w:rPr>
              <w:rFonts w:eastAsia="Times New Roman"/>
              <w:lang w:eastAsia="es-CO"/>
            </w:rPr>
          </w:pPr>
          <w:r w:rsidRPr="000D0101">
            <w:rPr>
              <w:rFonts w:eastAsia="Times New Roman"/>
              <w:lang w:eastAsia="es-CO"/>
            </w:rPr>
            <w:t>Tipo ID: NIT</w:t>
          </w:r>
        </w:p>
        <w:p w14:paraId="7954D222" w14:textId="77777777" w:rsidR="003D5DB4" w:rsidRPr="000D0101" w:rsidRDefault="003D5DB4" w:rsidP="000A5389">
          <w:pPr>
            <w:spacing w:line="240" w:lineRule="auto"/>
            <w:rPr>
              <w:rFonts w:eastAsia="Times New Roman"/>
              <w:lang w:eastAsia="es-CO"/>
            </w:rPr>
          </w:pPr>
          <w:r w:rsidRPr="000D0101">
            <w:rPr>
              <w:rFonts w:eastAsia="Times New Roman"/>
              <w:lang w:eastAsia="es-CO"/>
            </w:rPr>
            <w:t>Número ID: 900.732.683-6</w:t>
          </w:r>
        </w:p>
        <w:p w14:paraId="460E48C7" w14:textId="77777777" w:rsidR="003D5DB4" w:rsidRPr="000D0101" w:rsidRDefault="003D5DB4" w:rsidP="000A5389">
          <w:pPr>
            <w:spacing w:line="240" w:lineRule="auto"/>
            <w:rPr>
              <w:rFonts w:eastAsia="Times New Roman"/>
              <w:lang w:eastAsia="es-CO"/>
            </w:rPr>
          </w:pPr>
          <w:r w:rsidRPr="000D0101">
            <w:rPr>
              <w:rFonts w:eastAsia="Times New Roman"/>
              <w:lang w:eastAsia="es-CO"/>
            </w:rPr>
            <w:t>Razón social del concesionario: Sociedad Portuaria Bullpesa S.A</w:t>
          </w:r>
        </w:p>
        <w:p w14:paraId="2D0ADFD3" w14:textId="77777777" w:rsidR="003D5DB4" w:rsidRPr="000D0101" w:rsidRDefault="003D5DB4" w:rsidP="000A5389">
          <w:pPr>
            <w:spacing w:line="240" w:lineRule="auto"/>
            <w:rPr>
              <w:rFonts w:eastAsia="Times New Roman"/>
              <w:lang w:eastAsia="es-CO"/>
            </w:rPr>
          </w:pPr>
          <w:r w:rsidRPr="000D0101">
            <w:rPr>
              <w:rFonts w:eastAsia="Times New Roman"/>
              <w:lang w:eastAsia="es-CO"/>
            </w:rPr>
            <w:t>Nombre del proyecto: Sociedad Portuaria Bullpesa S.A</w:t>
          </w:r>
        </w:p>
        <w:p w14:paraId="153959DA" w14:textId="77777777" w:rsidR="003D5DB4" w:rsidRPr="000D0101" w:rsidRDefault="003D5DB4" w:rsidP="000A5389">
          <w:pPr>
            <w:spacing w:line="240" w:lineRule="auto"/>
            <w:rPr>
              <w:rFonts w:eastAsia="Times New Roman"/>
              <w:lang w:eastAsia="es-CO"/>
            </w:rPr>
          </w:pPr>
        </w:p>
        <w:p w14:paraId="5438BC83" w14:textId="77777777" w:rsidR="003D5DB4" w:rsidRPr="000D0101" w:rsidRDefault="003D5DB4" w:rsidP="000A5389">
          <w:pPr>
            <w:spacing w:line="240" w:lineRule="auto"/>
            <w:rPr>
              <w:rFonts w:eastAsia="Times New Roman"/>
              <w:lang w:eastAsia="es-CO"/>
            </w:rPr>
          </w:pPr>
          <w:r w:rsidRPr="000D0101">
            <w:rPr>
              <w:rFonts w:eastAsia="Times New Roman"/>
              <w:lang w:eastAsia="es-CO"/>
            </w:rPr>
            <w:t>b. Términos significativos del Acuerdo que puedan afectar su valor, el calendario y la certeza de los flujos de efectivo futuros</w:t>
          </w:r>
        </w:p>
        <w:p w14:paraId="10C86A06" w14:textId="77777777" w:rsidR="003D5DB4" w:rsidRPr="000D0101" w:rsidRDefault="003D5DB4" w:rsidP="000A5389">
          <w:pPr>
            <w:spacing w:line="240" w:lineRule="auto"/>
            <w:rPr>
              <w:rFonts w:eastAsia="Times New Roman"/>
              <w:lang w:eastAsia="es-CO"/>
            </w:rPr>
          </w:pPr>
          <w:r w:rsidRPr="000D0101">
            <w:rPr>
              <w:rFonts w:eastAsia="Times New Roman"/>
              <w:lang w:eastAsia="es-CO"/>
            </w:rPr>
            <w:t>Términos de valor: 1) Tarifas: Al ser el terminal marítimo de servicio público, las tarifas requieren ser aprobadas según metodología establecida por la Superintendencia General de Puertos hoy Superintendencia de Transporte.2) Contraprestación portuaria: De acuerdo con el contrato de concesión No. 001 de 2016, la metodología de contraprestación corresponde al Conpes 3744 de 2013. Es de aclarar que en el segundo semestre de 2022, la entidad caducó el contrato, por varios incumplimientos, incluyendo el no pago de contraprestaciòn. De acuerdo con el Parágrafo Sexto, numeral 13.1 de la Cláusula 13 del contrato se establece que del valor a pagar por concepto de zona de uso público. el pago de la contraprestación con relación al componente fijo y variable el 80% le corresponde a la Nación- INVIAS y el 20% restante el municipio de Cartagena, de acuerdo con lo establecido en el parágrafo 1 del artículo 1 de la Ley 856 del 21 de diciembre de 2003, que modifica el artículo 7 de la ley 1ª de 1991. 3) Plan de Inversiones: Está establecido en la Cláusula 12 del contrato, el plan de inversión será de DOCE MILLONES DOSCIENTOS OCHENTA Y CINCO MIL CIENTO TREINTA Y TRES DOLARES (USD$ 12.285.133) constantes de diciembre de 2015.4) Obligaciones del CONCESIONARIO: se encuentran descritas en la Cláusula 20 del contrato. 5) Multas y sanciones: están establecidas en la Cláusula 23 del contrato.6) Penal Pecuniaria: En la Cláusula 24 se establece que en el evento en que el concedente declare la caducidad o el incumplimiento del contrato, el Concesionario deberá pagar la suma equivalente al 10% del valor total de la contraprestación, o proporcionalmente por incumplimiento parcial, como sanción pecuniaria.</w:t>
          </w:r>
        </w:p>
        <w:p w14:paraId="739815E2" w14:textId="77777777" w:rsidR="003D5DB4" w:rsidRPr="000D0101" w:rsidRDefault="003D5DB4" w:rsidP="000A5389">
          <w:pPr>
            <w:spacing w:line="240" w:lineRule="auto"/>
            <w:rPr>
              <w:rFonts w:eastAsia="Times New Roman"/>
              <w:lang w:eastAsia="es-CO"/>
            </w:rPr>
          </w:pPr>
        </w:p>
        <w:p w14:paraId="2C8C77AA" w14:textId="77777777" w:rsidR="003D5DB4" w:rsidRPr="000D0101" w:rsidRDefault="003D5DB4" w:rsidP="000A5389">
          <w:pPr>
            <w:spacing w:line="240" w:lineRule="auto"/>
            <w:rPr>
              <w:rFonts w:eastAsia="Times New Roman"/>
              <w:lang w:eastAsia="es-CO"/>
            </w:rPr>
          </w:pPr>
          <w:r w:rsidRPr="000D0101">
            <w:rPr>
              <w:rFonts w:eastAsia="Times New Roman"/>
              <w:lang w:eastAsia="es-CO"/>
            </w:rPr>
            <w:t>Términos de calendario: Tarifas: Aprobadas según la metodología establecida por la Superintendencia General de Puertos, hoy Superintendencia de Transporte. Contraprestación portuaria: la contraprestación se debe pagar de manera anual anticipada en el mes de febrero de cada año. Plan de inversiones: Se estableció en la Cláusula 12 del contrato, cuya ejecución de inversiones deberá corresponder al periodo referido en el Parágrafo Primero de la mencionada cláusula. Multas: Cláusula 23 del contrato</w:t>
          </w:r>
        </w:p>
        <w:p w14:paraId="23D77247" w14:textId="77777777" w:rsidR="003D5DB4" w:rsidRPr="000D0101" w:rsidRDefault="003D5DB4" w:rsidP="000A5389">
          <w:pPr>
            <w:spacing w:line="240" w:lineRule="auto"/>
            <w:rPr>
              <w:rFonts w:eastAsia="Times New Roman"/>
              <w:lang w:eastAsia="es-CO"/>
            </w:rPr>
          </w:pPr>
        </w:p>
        <w:p w14:paraId="1B47C624" w14:textId="77777777" w:rsidR="003D5DB4" w:rsidRPr="000D0101" w:rsidRDefault="003D5DB4" w:rsidP="000A5389">
          <w:pPr>
            <w:spacing w:line="240" w:lineRule="auto"/>
            <w:rPr>
              <w:rFonts w:eastAsia="Times New Roman"/>
              <w:lang w:eastAsia="es-CO"/>
            </w:rPr>
          </w:pPr>
          <w:r w:rsidRPr="000D0101">
            <w:rPr>
              <w:rFonts w:eastAsia="Times New Roman"/>
              <w:lang w:eastAsia="es-CO"/>
            </w:rPr>
            <w:t xml:space="preserve">Términos de certeza de flujos de efectivo futuros: Se otorga a EL CONCESIONARIO el derecho de ocupar en forma temporal y exclusiva de los bienes de uso público descritos en la Cláusula 2 Bienes Concesionados para la construcción, operación, mantenimiento y </w:t>
          </w:r>
          <w:r w:rsidRPr="000D0101">
            <w:rPr>
              <w:rFonts w:eastAsia="Times New Roman"/>
              <w:lang w:eastAsia="es-CO"/>
            </w:rPr>
            <w:lastRenderedPageBreak/>
            <w:t>administración de un terminal marítimo de uso público a cambio de la contraprestación económica, en los términos de la Cláusula 13 del contrato 001 de 2016.Cláusula 13, numeral 13.1, Parágrafo Sexto, del valor a pagar por concepto de contraprestación con relación al componente fijo y variable el 80% le corresponde a la Nación-INVIAS y el 20 % al municipio de Cartagena.</w:t>
          </w:r>
        </w:p>
        <w:p w14:paraId="2B891D55" w14:textId="77777777" w:rsidR="003D5DB4" w:rsidRPr="000D0101" w:rsidRDefault="003D5DB4" w:rsidP="000A5389">
          <w:pPr>
            <w:spacing w:line="240" w:lineRule="auto"/>
            <w:rPr>
              <w:rFonts w:eastAsia="Times New Roman"/>
              <w:lang w:eastAsia="es-CO"/>
            </w:rPr>
          </w:pPr>
        </w:p>
        <w:p w14:paraId="46371FF1" w14:textId="77777777" w:rsidR="003D5DB4" w:rsidRPr="000D0101" w:rsidRDefault="003D5DB4" w:rsidP="000A5389">
          <w:pPr>
            <w:spacing w:line="240" w:lineRule="auto"/>
            <w:rPr>
              <w:rFonts w:eastAsia="Times New Roman"/>
              <w:lang w:eastAsia="es-CO"/>
            </w:rPr>
          </w:pPr>
          <w:r w:rsidRPr="000D0101">
            <w:rPr>
              <w:rFonts w:eastAsia="Times New Roman"/>
              <w:lang w:eastAsia="es-CO"/>
            </w:rPr>
            <w:t>c. Naturaleza y alcance del derecho a utilizar Activos y los aspectos pactados en torno a lo que se espera que el concesionario proporcione en relación con el Acuerdo de concesión</w:t>
          </w:r>
        </w:p>
        <w:p w14:paraId="4BD14721" w14:textId="77777777" w:rsidR="003D5DB4" w:rsidRPr="000D0101" w:rsidRDefault="003D5DB4" w:rsidP="000A5389">
          <w:pPr>
            <w:spacing w:line="240" w:lineRule="auto"/>
            <w:rPr>
              <w:rFonts w:eastAsia="Times New Roman"/>
              <w:lang w:eastAsia="es-CO"/>
            </w:rPr>
          </w:pPr>
        </w:p>
        <w:p w14:paraId="36A28A04" w14:textId="77777777" w:rsidR="003D5DB4" w:rsidRPr="000D0101" w:rsidRDefault="003D5DB4" w:rsidP="000A5389">
          <w:pPr>
            <w:spacing w:line="240" w:lineRule="auto"/>
            <w:rPr>
              <w:rFonts w:eastAsia="Times New Roman"/>
              <w:lang w:eastAsia="es-CO"/>
            </w:rPr>
          </w:pPr>
          <w:r w:rsidRPr="000D0101">
            <w:rPr>
              <w:rFonts w:eastAsia="Times New Roman"/>
              <w:lang w:eastAsia="es-CO"/>
            </w:rPr>
            <w:t>Naturaleza y alcance del derecho de uso de los Activos</w:t>
          </w:r>
        </w:p>
        <w:p w14:paraId="14958ACE" w14:textId="77777777" w:rsidR="003D5DB4" w:rsidRPr="000D0101" w:rsidRDefault="003D5DB4" w:rsidP="000A5389">
          <w:pPr>
            <w:spacing w:line="240" w:lineRule="auto"/>
            <w:rPr>
              <w:rFonts w:eastAsia="Times New Roman"/>
              <w:lang w:eastAsia="es-CO"/>
            </w:rPr>
          </w:pPr>
        </w:p>
        <w:p w14:paraId="47FAC206" w14:textId="77777777" w:rsidR="003D5DB4" w:rsidRPr="000D0101" w:rsidRDefault="003D5DB4" w:rsidP="000A5389">
          <w:pPr>
            <w:spacing w:line="240" w:lineRule="auto"/>
            <w:rPr>
              <w:rFonts w:eastAsia="Times New Roman"/>
              <w:lang w:eastAsia="es-CO"/>
            </w:rPr>
          </w:pPr>
          <w:r w:rsidRPr="000D0101">
            <w:rPr>
              <w:rFonts w:eastAsia="Times New Roman"/>
              <w:lang w:eastAsia="es-CO"/>
            </w:rPr>
            <w:t>Descripción: Descripción del proyecto, especificaciones técnicas, modalidades de operación: las condiciones especiales de operación del puerto están establecidas en la cláusula quinta del Contrato de Concesión. Área entregada en concesión: La descripción de la ubicación, linderos y extensión de los bienes de uso público (playas y terrenos de baja mar, zonas marítimas accesorias de maniobras) entregados en concesión están establecidos en la cláusula segunda. Infraestructura y equipos entregados en concesión: en el contrato de concesión portuaria no fueron entregados activos relacionados con infraestructura y equipos, el plan de inversiones desarrolla la infraestructura y la adquisición de equipos para su posterior reversión a la Nación.</w:t>
          </w:r>
        </w:p>
        <w:p w14:paraId="79F23B11" w14:textId="77777777" w:rsidR="003D5DB4" w:rsidRPr="000D0101" w:rsidRDefault="003D5DB4" w:rsidP="000A5389">
          <w:pPr>
            <w:spacing w:line="240" w:lineRule="auto"/>
            <w:rPr>
              <w:rFonts w:eastAsia="Times New Roman"/>
              <w:lang w:eastAsia="es-CO"/>
            </w:rPr>
          </w:pPr>
        </w:p>
        <w:p w14:paraId="5CD0E1AD" w14:textId="77777777" w:rsidR="003D5DB4" w:rsidRPr="000D0101" w:rsidRDefault="003D5DB4" w:rsidP="000A5389">
          <w:pPr>
            <w:spacing w:line="240" w:lineRule="auto"/>
            <w:rPr>
              <w:rFonts w:eastAsia="Times New Roman"/>
              <w:lang w:eastAsia="es-CO"/>
            </w:rPr>
          </w:pPr>
          <w:r w:rsidRPr="000D0101">
            <w:rPr>
              <w:rFonts w:eastAsia="Times New Roman"/>
              <w:lang w:eastAsia="es-CO"/>
            </w:rPr>
            <w:t>Observaciones: No se tiene ninguna observación</w:t>
          </w:r>
        </w:p>
        <w:p w14:paraId="546E9645" w14:textId="77777777" w:rsidR="003D5DB4" w:rsidRPr="000D0101" w:rsidRDefault="003D5DB4" w:rsidP="000A5389">
          <w:pPr>
            <w:spacing w:line="240" w:lineRule="auto"/>
            <w:rPr>
              <w:rFonts w:eastAsia="Times New Roman"/>
              <w:lang w:eastAsia="es-CO"/>
            </w:rPr>
          </w:pPr>
        </w:p>
        <w:p w14:paraId="3187A88A" w14:textId="77777777" w:rsidR="003D5DB4" w:rsidRPr="000D0101" w:rsidRDefault="003D5DB4" w:rsidP="000A5389">
          <w:pPr>
            <w:spacing w:line="240" w:lineRule="auto"/>
            <w:rPr>
              <w:rFonts w:eastAsia="Times New Roman"/>
              <w:lang w:eastAsia="es-CO"/>
            </w:rPr>
          </w:pPr>
          <w:r w:rsidRPr="000D0101">
            <w:rPr>
              <w:rFonts w:eastAsia="Times New Roman"/>
              <w:lang w:eastAsia="es-CO"/>
            </w:rPr>
            <w:t>Retribución al concesionario</w:t>
          </w:r>
        </w:p>
        <w:p w14:paraId="3C5976F2" w14:textId="77777777" w:rsidR="003D5DB4" w:rsidRPr="000D0101" w:rsidRDefault="003D5DB4" w:rsidP="000A5389">
          <w:pPr>
            <w:spacing w:line="240" w:lineRule="auto"/>
            <w:rPr>
              <w:rFonts w:eastAsia="Times New Roman"/>
              <w:lang w:eastAsia="es-CO"/>
            </w:rPr>
          </w:pPr>
        </w:p>
        <w:p w14:paraId="4F350053" w14:textId="77777777" w:rsidR="003D5DB4" w:rsidRPr="000D0101" w:rsidRDefault="003D5DB4" w:rsidP="000A5389">
          <w:pPr>
            <w:spacing w:line="240" w:lineRule="auto"/>
            <w:rPr>
              <w:rFonts w:eastAsia="Times New Roman"/>
              <w:lang w:eastAsia="es-CO"/>
            </w:rPr>
          </w:pPr>
          <w:r w:rsidRPr="000D0101">
            <w:rPr>
              <w:rFonts w:eastAsia="Times New Roman"/>
              <w:lang w:eastAsia="es-CO"/>
            </w:rPr>
            <w:t>Descripción: N/A</w:t>
          </w:r>
        </w:p>
        <w:p w14:paraId="3F5A44E6" w14:textId="77777777" w:rsidR="003D5DB4" w:rsidRPr="000D0101" w:rsidRDefault="003D5DB4" w:rsidP="000A5389">
          <w:pPr>
            <w:spacing w:line="240" w:lineRule="auto"/>
            <w:rPr>
              <w:rFonts w:eastAsia="Times New Roman"/>
              <w:lang w:eastAsia="es-CO"/>
            </w:rPr>
          </w:pPr>
        </w:p>
        <w:p w14:paraId="0511EFBE" w14:textId="77777777" w:rsidR="003D5DB4" w:rsidRPr="000D0101" w:rsidRDefault="003D5DB4" w:rsidP="000A5389">
          <w:pPr>
            <w:spacing w:line="240" w:lineRule="auto"/>
            <w:rPr>
              <w:rFonts w:eastAsia="Times New Roman"/>
              <w:lang w:eastAsia="es-CO"/>
            </w:rPr>
          </w:pPr>
          <w:r w:rsidRPr="000D0101">
            <w:rPr>
              <w:rFonts w:eastAsia="Times New Roman"/>
              <w:lang w:eastAsia="es-CO"/>
            </w:rPr>
            <w:t>Tasa de retribución: N/A</w:t>
          </w:r>
        </w:p>
        <w:p w14:paraId="1C270ABE" w14:textId="77777777" w:rsidR="003D5DB4" w:rsidRPr="000D0101" w:rsidRDefault="003D5DB4" w:rsidP="000A5389">
          <w:pPr>
            <w:spacing w:line="240" w:lineRule="auto"/>
            <w:rPr>
              <w:rFonts w:eastAsia="Times New Roman"/>
              <w:lang w:eastAsia="es-CO"/>
            </w:rPr>
          </w:pPr>
        </w:p>
        <w:p w14:paraId="20D3CFC6" w14:textId="77777777" w:rsidR="003D5DB4" w:rsidRPr="000D0101" w:rsidRDefault="003D5DB4" w:rsidP="000A5389">
          <w:pPr>
            <w:spacing w:line="240" w:lineRule="auto"/>
            <w:rPr>
              <w:rFonts w:eastAsia="Times New Roman"/>
              <w:lang w:eastAsia="es-CO"/>
            </w:rPr>
          </w:pPr>
          <w:r w:rsidRPr="000D0101">
            <w:rPr>
              <w:rFonts w:eastAsia="Times New Roman"/>
              <w:lang w:eastAsia="es-CO"/>
            </w:rPr>
            <w:t>d. Derechos a recibir Activos especificados al final del acuerdo de concesión</w:t>
          </w:r>
        </w:p>
        <w:p w14:paraId="78D6B3F8" w14:textId="77777777" w:rsidR="003D5DB4" w:rsidRPr="000D0101" w:rsidRDefault="003D5DB4" w:rsidP="000A5389">
          <w:pPr>
            <w:spacing w:line="240" w:lineRule="auto"/>
            <w:rPr>
              <w:rFonts w:eastAsia="Times New Roman"/>
              <w:lang w:eastAsia="es-CO"/>
            </w:rPr>
          </w:pPr>
        </w:p>
        <w:p w14:paraId="5FC33783" w14:textId="77777777" w:rsidR="003D5DB4" w:rsidRPr="000D0101" w:rsidRDefault="003D5DB4" w:rsidP="000A5389">
          <w:pPr>
            <w:spacing w:line="240" w:lineRule="auto"/>
            <w:rPr>
              <w:rFonts w:eastAsia="Times New Roman"/>
              <w:lang w:eastAsia="es-CO"/>
            </w:rPr>
          </w:pPr>
          <w:r w:rsidRPr="000D0101">
            <w:rPr>
              <w:rFonts w:eastAsia="Times New Roman"/>
              <w:lang w:eastAsia="es-CO"/>
            </w:rPr>
            <w:t>Descripción: N/A</w:t>
          </w:r>
        </w:p>
        <w:p w14:paraId="5F3597B2" w14:textId="77777777" w:rsidR="003D5DB4" w:rsidRPr="000D0101" w:rsidRDefault="003D5DB4" w:rsidP="000A5389">
          <w:pPr>
            <w:spacing w:line="240" w:lineRule="auto"/>
            <w:rPr>
              <w:rFonts w:eastAsia="Times New Roman"/>
              <w:lang w:eastAsia="es-CO"/>
            </w:rPr>
          </w:pPr>
        </w:p>
        <w:p w14:paraId="26097237" w14:textId="77777777" w:rsidR="003D5DB4" w:rsidRPr="000D0101" w:rsidRDefault="003D5DB4" w:rsidP="000A5389">
          <w:pPr>
            <w:spacing w:line="240" w:lineRule="auto"/>
            <w:rPr>
              <w:rFonts w:eastAsia="Times New Roman"/>
              <w:lang w:eastAsia="es-CO"/>
            </w:rPr>
          </w:pPr>
          <w:r w:rsidRPr="000D0101">
            <w:rPr>
              <w:rFonts w:eastAsia="Times New Roman"/>
              <w:lang w:eastAsia="es-CO"/>
            </w:rPr>
            <w:t>Observaciones: N/A</w:t>
          </w:r>
        </w:p>
        <w:p w14:paraId="536F66B2" w14:textId="77777777" w:rsidR="003D5DB4" w:rsidRPr="000D0101" w:rsidRDefault="003D5DB4" w:rsidP="000A5389">
          <w:pPr>
            <w:spacing w:line="240" w:lineRule="auto"/>
            <w:rPr>
              <w:rFonts w:eastAsia="Times New Roman"/>
              <w:lang w:eastAsia="es-CO"/>
            </w:rPr>
          </w:pPr>
        </w:p>
        <w:p w14:paraId="73C395C6" w14:textId="77777777" w:rsidR="003D5DB4" w:rsidRPr="000D0101" w:rsidRDefault="003D5DB4" w:rsidP="000A5389">
          <w:pPr>
            <w:spacing w:line="240" w:lineRule="auto"/>
            <w:rPr>
              <w:rFonts w:eastAsia="Times New Roman"/>
              <w:lang w:eastAsia="es-CO"/>
            </w:rPr>
          </w:pPr>
          <w:r w:rsidRPr="000D0101">
            <w:rPr>
              <w:rFonts w:eastAsia="Times New Roman"/>
              <w:lang w:eastAsia="es-CO"/>
            </w:rPr>
            <w:t>e. Las alternativas de renovación y cese del acuerdo</w:t>
          </w:r>
        </w:p>
        <w:p w14:paraId="3155C856" w14:textId="77777777" w:rsidR="003D5DB4" w:rsidRPr="000D0101" w:rsidRDefault="003D5DB4" w:rsidP="000A5389">
          <w:pPr>
            <w:spacing w:line="240" w:lineRule="auto"/>
            <w:rPr>
              <w:rFonts w:eastAsia="Times New Roman"/>
              <w:lang w:eastAsia="es-CO"/>
            </w:rPr>
          </w:pPr>
        </w:p>
        <w:p w14:paraId="42F36B60" w14:textId="77777777" w:rsidR="003D5DB4" w:rsidRPr="000D0101" w:rsidRDefault="003D5DB4" w:rsidP="000A5389">
          <w:pPr>
            <w:spacing w:line="240" w:lineRule="auto"/>
            <w:rPr>
              <w:rFonts w:eastAsia="Times New Roman"/>
              <w:lang w:eastAsia="es-CO"/>
            </w:rPr>
          </w:pPr>
          <w:r w:rsidRPr="000D0101">
            <w:rPr>
              <w:rFonts w:eastAsia="Times New Roman"/>
              <w:lang w:eastAsia="es-CO"/>
            </w:rPr>
            <w:t>Descripción: La prórroga de la Concesión se encuentra en la CLÁUSULA 11. El cese del acuerdo se encuentra en la CLÁUSULA 30 y CLÁUSULA 33 del Contrato de Concesión.</w:t>
          </w:r>
        </w:p>
        <w:p w14:paraId="0F6B1D71" w14:textId="77777777" w:rsidR="003D5DB4" w:rsidRPr="000D0101" w:rsidRDefault="003D5DB4" w:rsidP="000A5389">
          <w:pPr>
            <w:spacing w:line="240" w:lineRule="auto"/>
            <w:rPr>
              <w:rFonts w:eastAsia="Times New Roman"/>
              <w:lang w:eastAsia="es-CO"/>
            </w:rPr>
          </w:pPr>
        </w:p>
        <w:p w14:paraId="1B552A2E" w14:textId="77777777" w:rsidR="003D5DB4" w:rsidRPr="000D0101" w:rsidRDefault="003D5DB4" w:rsidP="000A5389">
          <w:pPr>
            <w:spacing w:line="240" w:lineRule="auto"/>
            <w:rPr>
              <w:rFonts w:eastAsia="Times New Roman"/>
              <w:lang w:eastAsia="es-CO"/>
            </w:rPr>
          </w:pPr>
          <w:r w:rsidRPr="000D0101">
            <w:rPr>
              <w:rFonts w:eastAsia="Times New Roman"/>
              <w:lang w:eastAsia="es-CO"/>
            </w:rPr>
            <w:t>Observaciones: No se tiene ninguna observación</w:t>
          </w:r>
        </w:p>
        <w:p w14:paraId="2D3FEE0B" w14:textId="77777777" w:rsidR="003D5DB4" w:rsidRPr="000D0101" w:rsidRDefault="003D5DB4" w:rsidP="000A5389">
          <w:pPr>
            <w:spacing w:line="240" w:lineRule="auto"/>
            <w:rPr>
              <w:rFonts w:eastAsia="Times New Roman"/>
              <w:lang w:eastAsia="es-CO"/>
            </w:rPr>
          </w:pPr>
        </w:p>
        <w:p w14:paraId="089BF2D7" w14:textId="77777777" w:rsidR="003D5DB4" w:rsidRPr="000D0101" w:rsidRDefault="003D5DB4" w:rsidP="000A5389">
          <w:pPr>
            <w:spacing w:line="240" w:lineRule="auto"/>
            <w:rPr>
              <w:rFonts w:eastAsia="Times New Roman"/>
              <w:lang w:eastAsia="es-CO"/>
            </w:rPr>
          </w:pPr>
          <w:r w:rsidRPr="000D0101">
            <w:rPr>
              <w:rFonts w:eastAsia="Times New Roman"/>
              <w:lang w:eastAsia="es-CO"/>
            </w:rPr>
            <w:t xml:space="preserve">f. Cambios en el acuerdo de concesión que se realicen durante el periodo fiscal </w:t>
          </w:r>
        </w:p>
        <w:p w14:paraId="1A710446" w14:textId="77777777" w:rsidR="003D5DB4" w:rsidRPr="000D0101" w:rsidRDefault="003D5DB4" w:rsidP="000A5389">
          <w:pPr>
            <w:spacing w:line="240" w:lineRule="auto"/>
            <w:rPr>
              <w:rFonts w:eastAsia="Times New Roman"/>
              <w:lang w:eastAsia="es-CO"/>
            </w:rPr>
          </w:pPr>
          <w:r w:rsidRPr="000D0101">
            <w:rPr>
              <w:rFonts w:eastAsia="Times New Roman"/>
              <w:lang w:eastAsia="es-CO"/>
            </w:rPr>
            <w:t>Adiciones o modificaciones en tiempo</w:t>
          </w:r>
        </w:p>
        <w:p w14:paraId="7CBDB0AA" w14:textId="77777777" w:rsidR="003D5DB4" w:rsidRPr="000D0101" w:rsidRDefault="003D5DB4" w:rsidP="000A5389">
          <w:pPr>
            <w:spacing w:line="240" w:lineRule="auto"/>
            <w:rPr>
              <w:rFonts w:eastAsia="Times New Roman"/>
              <w:lang w:eastAsia="es-CO"/>
            </w:rPr>
          </w:pPr>
          <w:r w:rsidRPr="000D0101">
            <w:rPr>
              <w:rFonts w:eastAsia="Times New Roman"/>
              <w:lang w:eastAsia="es-CO"/>
            </w:rPr>
            <w:lastRenderedPageBreak/>
            <w:t>Fechas de las adiciones o modificaciones: NA</w:t>
          </w:r>
        </w:p>
        <w:p w14:paraId="142F75A7" w14:textId="77777777" w:rsidR="003D5DB4" w:rsidRPr="000D0101" w:rsidRDefault="003D5DB4" w:rsidP="000A5389">
          <w:pPr>
            <w:spacing w:line="240" w:lineRule="auto"/>
            <w:rPr>
              <w:rFonts w:eastAsia="Times New Roman"/>
              <w:lang w:eastAsia="es-CO"/>
            </w:rPr>
          </w:pPr>
          <w:r w:rsidRPr="000D0101">
            <w:rPr>
              <w:rFonts w:eastAsia="Times New Roman"/>
              <w:lang w:eastAsia="es-CO"/>
            </w:rPr>
            <w:t>Nueva fecha de finalización estimada: NA</w:t>
          </w:r>
        </w:p>
        <w:p w14:paraId="7BC13FF0" w14:textId="77777777" w:rsidR="003D5DB4" w:rsidRPr="000D0101" w:rsidRDefault="003D5DB4" w:rsidP="000A5389">
          <w:pPr>
            <w:spacing w:line="240" w:lineRule="auto"/>
            <w:rPr>
              <w:rFonts w:eastAsia="Times New Roman"/>
              <w:lang w:eastAsia="es-CO"/>
            </w:rPr>
          </w:pPr>
          <w:r w:rsidRPr="000D0101">
            <w:rPr>
              <w:rFonts w:eastAsia="Times New Roman"/>
              <w:lang w:eastAsia="es-CO"/>
            </w:rPr>
            <w:t>Observaciones: No se tiene ninguna observación</w:t>
          </w:r>
        </w:p>
        <w:p w14:paraId="3FBEC3D6" w14:textId="77777777" w:rsidR="003D5DB4" w:rsidRPr="000D0101" w:rsidRDefault="003D5DB4" w:rsidP="000A5389">
          <w:pPr>
            <w:spacing w:line="240" w:lineRule="auto"/>
            <w:rPr>
              <w:rFonts w:eastAsia="Times New Roman"/>
              <w:lang w:eastAsia="es-CO"/>
            </w:rPr>
          </w:pPr>
          <w:r w:rsidRPr="000D0101">
            <w:rPr>
              <w:rFonts w:eastAsia="Times New Roman"/>
              <w:lang w:eastAsia="es-CO"/>
            </w:rPr>
            <w:t xml:space="preserve">Adiciones o modificaciones en valor </w:t>
          </w:r>
        </w:p>
        <w:p w14:paraId="146BC714" w14:textId="77777777" w:rsidR="003D5DB4" w:rsidRPr="000D0101" w:rsidRDefault="003D5DB4" w:rsidP="000A5389">
          <w:pPr>
            <w:spacing w:line="240" w:lineRule="auto"/>
            <w:rPr>
              <w:rFonts w:eastAsia="Times New Roman"/>
              <w:lang w:eastAsia="es-CO"/>
            </w:rPr>
          </w:pPr>
          <w:r w:rsidRPr="000D0101">
            <w:rPr>
              <w:rFonts w:eastAsia="Times New Roman"/>
              <w:lang w:eastAsia="es-CO"/>
            </w:rPr>
            <w:t>Valor de la adición o modificación: NA</w:t>
          </w:r>
        </w:p>
        <w:p w14:paraId="05C1180C" w14:textId="77777777" w:rsidR="003D5DB4" w:rsidRPr="000D0101" w:rsidRDefault="003D5DB4" w:rsidP="000A5389">
          <w:pPr>
            <w:spacing w:line="240" w:lineRule="auto"/>
            <w:rPr>
              <w:rFonts w:eastAsia="Times New Roman"/>
              <w:lang w:eastAsia="es-CO"/>
            </w:rPr>
          </w:pPr>
          <w:r w:rsidRPr="000D0101">
            <w:rPr>
              <w:rFonts w:eastAsia="Times New Roman"/>
              <w:lang w:eastAsia="es-CO"/>
            </w:rPr>
            <w:t>Nuevo valor del acuerdo: NA</w:t>
          </w:r>
        </w:p>
        <w:p w14:paraId="5BC4264D" w14:textId="77777777" w:rsidR="003D5DB4" w:rsidRPr="000D0101" w:rsidRDefault="003D5DB4" w:rsidP="000A5389">
          <w:pPr>
            <w:spacing w:line="240" w:lineRule="auto"/>
            <w:rPr>
              <w:rFonts w:eastAsia="Times New Roman"/>
              <w:lang w:eastAsia="es-CO"/>
            </w:rPr>
          </w:pPr>
          <w:r w:rsidRPr="000D0101">
            <w:rPr>
              <w:rFonts w:eastAsia="Times New Roman"/>
              <w:lang w:eastAsia="es-CO"/>
            </w:rPr>
            <w:t>Observaciones: N/A</w:t>
          </w:r>
        </w:p>
        <w:p w14:paraId="0EFE3CAE" w14:textId="77777777" w:rsidR="003D5DB4" w:rsidRPr="000D0101" w:rsidRDefault="003D5DB4" w:rsidP="000A5389">
          <w:pPr>
            <w:spacing w:line="240" w:lineRule="auto"/>
            <w:rPr>
              <w:color w:val="FF0000"/>
            </w:rPr>
          </w:pPr>
        </w:p>
        <w:p w14:paraId="4A6A977B" w14:textId="77777777" w:rsidR="003D5DB4" w:rsidRPr="000D0101" w:rsidRDefault="003D5DB4" w:rsidP="000A5389">
          <w:pPr>
            <w:spacing w:line="240" w:lineRule="auto"/>
            <w:rPr>
              <w:rFonts w:eastAsia="Times New Roman"/>
              <w:lang w:eastAsia="es-CO"/>
            </w:rPr>
          </w:pPr>
        </w:p>
        <w:p w14:paraId="76423354" w14:textId="77777777" w:rsidR="003D5DB4" w:rsidRPr="00CE510F" w:rsidRDefault="003D5DB4" w:rsidP="000A5389">
          <w:pPr>
            <w:spacing w:line="240" w:lineRule="auto"/>
            <w:rPr>
              <w:rFonts w:eastAsia="Times New Roman"/>
              <w:i/>
              <w:iCs/>
              <w:lang w:eastAsia="es-CO"/>
            </w:rPr>
          </w:pPr>
          <w:r w:rsidRPr="00CE510F">
            <w:rPr>
              <w:rFonts w:eastAsia="Times New Roman"/>
              <w:i/>
              <w:iCs/>
              <w:lang w:eastAsia="es-CO"/>
            </w:rPr>
            <w:t xml:space="preserve">SOCIEDAD PORTUARIA CENTRAL CARTAGENA S.A. </w:t>
          </w:r>
        </w:p>
        <w:p w14:paraId="64B82210" w14:textId="77777777" w:rsidR="003D5DB4" w:rsidRPr="000D0101" w:rsidRDefault="003D5DB4" w:rsidP="000A5389">
          <w:pPr>
            <w:spacing w:line="240" w:lineRule="auto"/>
            <w:rPr>
              <w:rFonts w:eastAsia="Times New Roman"/>
              <w:lang w:eastAsia="es-CO"/>
            </w:rPr>
          </w:pPr>
        </w:p>
        <w:p w14:paraId="06FFA618" w14:textId="77777777" w:rsidR="003D5DB4" w:rsidRPr="000D0101" w:rsidRDefault="003D5DB4" w:rsidP="000A5389">
          <w:pPr>
            <w:spacing w:line="240" w:lineRule="auto"/>
          </w:pPr>
          <w:r w:rsidRPr="000D0101">
            <w:t>a. Descripción del Acuerdo</w:t>
          </w:r>
        </w:p>
        <w:p w14:paraId="189397E0" w14:textId="77777777" w:rsidR="003D5DB4" w:rsidRPr="000D0101" w:rsidRDefault="003D5DB4" w:rsidP="000A5389">
          <w:pPr>
            <w:spacing w:line="240" w:lineRule="auto"/>
          </w:pPr>
        </w:p>
        <w:p w14:paraId="713625D8" w14:textId="77777777" w:rsidR="003D5DB4" w:rsidRPr="000D0101" w:rsidRDefault="003D5DB4" w:rsidP="000A5389">
          <w:pPr>
            <w:spacing w:line="240" w:lineRule="auto"/>
          </w:pPr>
          <w:r w:rsidRPr="000D0101">
            <w:t>Número del Acuerdo de Concesión: 006 de 2010.</w:t>
          </w:r>
        </w:p>
        <w:p w14:paraId="4556B585" w14:textId="77777777" w:rsidR="003D5DB4" w:rsidRPr="000D0101" w:rsidRDefault="003D5DB4" w:rsidP="000A5389">
          <w:pPr>
            <w:spacing w:line="240" w:lineRule="auto"/>
          </w:pPr>
        </w:p>
        <w:p w14:paraId="2A7E9871" w14:textId="77777777" w:rsidR="003D5DB4" w:rsidRPr="000D0101" w:rsidRDefault="003D5DB4" w:rsidP="000A5389">
          <w:pPr>
            <w:spacing w:line="240" w:lineRule="auto"/>
          </w:pPr>
          <w:r w:rsidRPr="000D0101">
            <w:t>Objeto / Descripción: El INCO en virtud del presente contrato de concesión portuaria, permite al Concesionario la ocupación y utilización en forma temporal y exclusiva de las playas, los terrenos de bajamar y zonas accesorias a aquellas o éstos descritos por sus límites y características en el artículo segundo de la Resolución 462 del 3 de septiembre de 2009 y en la Cláusula segunda de este Contrato para la Operación de las instalaciones portuarias allí constituidas, las cuales están localizadas en el sector de Mamonal Distrito de Cartagena, Departamento de Bolívar, por el termino de veinte (20) años a cambio de la contraprestación establecida en la Cláusula Octava de este contrato.</w:t>
          </w:r>
        </w:p>
        <w:p w14:paraId="02F43B99" w14:textId="77777777" w:rsidR="00CE510F" w:rsidRDefault="00CE510F" w:rsidP="000A5389">
          <w:pPr>
            <w:spacing w:line="240" w:lineRule="auto"/>
          </w:pPr>
        </w:p>
        <w:p w14:paraId="55AAFAD2" w14:textId="6F71FC98" w:rsidR="003D5DB4" w:rsidRPr="000D0101" w:rsidRDefault="003D5DB4" w:rsidP="000A5389">
          <w:pPr>
            <w:spacing w:line="240" w:lineRule="auto"/>
          </w:pPr>
          <w:r w:rsidRPr="000D0101">
            <w:t xml:space="preserve">Valor inicial: </w:t>
          </w:r>
          <w:r w:rsidRPr="000D0101">
            <w:rPr>
              <w:lang w:val="pt-PT"/>
            </w:rPr>
            <w:t>USD $371.524 Cláusula octava / Contrato No 006 de 2010.</w:t>
          </w:r>
        </w:p>
        <w:p w14:paraId="1B6526FA" w14:textId="77777777" w:rsidR="003D5DB4" w:rsidRPr="000D0101" w:rsidRDefault="003D5DB4" w:rsidP="000A5389">
          <w:pPr>
            <w:spacing w:line="240" w:lineRule="auto"/>
          </w:pPr>
          <w:r w:rsidRPr="000D0101">
            <w:t>Fecha de inicio: 30/07/2007</w:t>
          </w:r>
        </w:p>
        <w:p w14:paraId="129512C0" w14:textId="77777777" w:rsidR="003D5DB4" w:rsidRPr="000D0101" w:rsidRDefault="003D5DB4" w:rsidP="000A5389">
          <w:pPr>
            <w:spacing w:line="240" w:lineRule="auto"/>
          </w:pPr>
          <w:r w:rsidRPr="000D0101">
            <w:t>Fecha de finalización estimada: 30/07/2030</w:t>
          </w:r>
        </w:p>
        <w:p w14:paraId="7BFCFFA0" w14:textId="77777777" w:rsidR="003D5DB4" w:rsidRPr="000D0101" w:rsidRDefault="003D5DB4" w:rsidP="000A5389">
          <w:pPr>
            <w:spacing w:line="240" w:lineRule="auto"/>
          </w:pPr>
          <w:r w:rsidRPr="000D0101">
            <w:t xml:space="preserve">Tipo ID: </w:t>
          </w:r>
          <w:r w:rsidRPr="000D0101">
            <w:rPr>
              <w:rStyle w:val="Estilo5"/>
              <w:rFonts w:cs="Times New Roman"/>
              <w:szCs w:val="24"/>
            </w:rPr>
            <w:t>NIT</w:t>
          </w:r>
        </w:p>
        <w:p w14:paraId="33E79FF3" w14:textId="77777777" w:rsidR="003D5DB4" w:rsidRPr="000D0101" w:rsidRDefault="003D5DB4" w:rsidP="000A5389">
          <w:pPr>
            <w:spacing w:line="240" w:lineRule="auto"/>
          </w:pPr>
          <w:r w:rsidRPr="000D0101">
            <w:t xml:space="preserve">Número ID: </w:t>
          </w:r>
          <w:r w:rsidRPr="000D0101">
            <w:rPr>
              <w:rStyle w:val="Estilo6"/>
              <w:rFonts w:cs="Times New Roman"/>
              <w:szCs w:val="24"/>
            </w:rPr>
            <w:t>900325249-7</w:t>
          </w:r>
        </w:p>
        <w:p w14:paraId="57F00CCF" w14:textId="77777777" w:rsidR="003D5DB4" w:rsidRPr="000D0101" w:rsidRDefault="003D5DB4" w:rsidP="000A5389">
          <w:pPr>
            <w:spacing w:line="240" w:lineRule="auto"/>
          </w:pPr>
          <w:r w:rsidRPr="000D0101">
            <w:t xml:space="preserve">Razón social del concesionario: </w:t>
          </w:r>
          <w:r w:rsidRPr="000D0101">
            <w:rPr>
              <w:rStyle w:val="Estilo6"/>
              <w:rFonts w:cs="Times New Roman"/>
              <w:szCs w:val="24"/>
            </w:rPr>
            <w:t>Sociedad portuaria Puerto Caribe S.A.</w:t>
          </w:r>
        </w:p>
        <w:p w14:paraId="2F2851BE" w14:textId="77777777" w:rsidR="003D5DB4" w:rsidRPr="000D0101" w:rsidRDefault="003D5DB4" w:rsidP="000A5389">
          <w:pPr>
            <w:spacing w:line="240" w:lineRule="auto"/>
          </w:pPr>
          <w:r w:rsidRPr="000D0101">
            <w:t>Nombre del proyecto: Sociedad portuaria Puerto Caribe S.A.</w:t>
          </w:r>
        </w:p>
        <w:p w14:paraId="38D4B91F" w14:textId="77777777" w:rsidR="003D5DB4" w:rsidRPr="000D0101" w:rsidRDefault="003D5DB4" w:rsidP="000A5389">
          <w:pPr>
            <w:spacing w:line="240" w:lineRule="auto"/>
            <w:rPr>
              <w:lang w:val="es-MX"/>
            </w:rPr>
          </w:pPr>
        </w:p>
        <w:p w14:paraId="53CE9E98" w14:textId="77777777" w:rsidR="003D5DB4" w:rsidRPr="000D0101" w:rsidRDefault="003D5DB4" w:rsidP="000A5389">
          <w:pPr>
            <w:spacing w:line="240" w:lineRule="auto"/>
            <w:rPr>
              <w:lang w:val="es-MX"/>
            </w:rPr>
          </w:pPr>
          <w:r w:rsidRPr="000D0101">
            <w:rPr>
              <w:lang w:val="es-MX"/>
            </w:rPr>
            <w:t>b. Términos significativos del Acuerdo que puedan afectar su valor, el calendario y la certeza de los flujos</w:t>
          </w:r>
        </w:p>
        <w:p w14:paraId="38A7203C" w14:textId="77777777" w:rsidR="003D5DB4" w:rsidRPr="000D0101" w:rsidRDefault="003D5DB4" w:rsidP="000A5389">
          <w:pPr>
            <w:spacing w:line="240" w:lineRule="auto"/>
          </w:pPr>
        </w:p>
        <w:p w14:paraId="7E8C70AA" w14:textId="77777777" w:rsidR="003D5DB4" w:rsidRPr="000D0101" w:rsidRDefault="003D5DB4" w:rsidP="000A5389">
          <w:pPr>
            <w:spacing w:line="240" w:lineRule="auto"/>
          </w:pPr>
          <w:r w:rsidRPr="000D0101">
            <w:t xml:space="preserve">Términos de valor: 1: Tarifas: Al ser el terminal marítimo de servicio público la Ley 1 de 1991 establece: Las sociedades portuarias que operan puertos de servicio público las tarifas requieren ser aprobadas según la metodología establecida por la Superintendencia General de Puertos hoy Superintendencia de Transporte.2: Contraprestación portuaria: De acuerdo con el último documento contractual vigente la metodología de contraprestación vigente es CONPES 2680 DE 1993 (Productividad). Se establece en la cláusula octava del Contrato que el CONCESIONARIO deberá pagar por concepto de zona de uso público la suma anual de (USD 44.533), de dicho pago el 80% le corresponde a la Nación (INVIAS-ANI) y el 20% restante al distrito de Cartagena de acuerdo con lo establecido en el parágrafo 1 del artículo </w:t>
          </w:r>
          <w:r w:rsidRPr="000D0101">
            <w:lastRenderedPageBreak/>
            <w:t>1 de la ley 856 del21 de diciembre de 2003, que modifica el artículo 7 de la ley 1ª de 1991. Así mismo, por concepto de infraestructura el CONCESIONARIO deberá pagar la suma anual de (USD 3.541), el cual corresponde en un 100% a la Nación - (INVIAS-ANI) de acuerdo con lo establecido en el artículo 1 de la ley 856 del 21 diciembre de 2003.Para el caso de este contrato, en el año 2011 el Concesionario pagó de manera anticipada la totalidad de la contraprestación.3: Plan de Inversiones: está establecido en la cláusula séptima del contrato, modificado por la Otrosí No.1 de 2014 que estableció en la cláusula sexta, el plan de inversión será de USD 327.009 en valores corrientes y ejecutará inversiones por cuenta y riesgo por USD 1.673.646 en valores corrientes. Obligaciones del CONCESIONARIO: se encuentran descritas en la cláusula décima quinta del contrato. Multas y sanciones: están establecidas en la cláusula décima octava del contrato. Penal pecuniaria: En la cláusula décima novena se establece que en el evento en que el INCO hoy ANI declare la caducidad o el incumplimiento del presente contrato se podrá imponer una penalidad pecuniaria del 10% del valor total de la contraprestación</w:t>
          </w:r>
        </w:p>
        <w:p w14:paraId="6CCB25E9" w14:textId="77777777" w:rsidR="003D5DB4" w:rsidRPr="000D0101" w:rsidRDefault="003D5DB4" w:rsidP="000A5389">
          <w:pPr>
            <w:spacing w:line="240" w:lineRule="auto"/>
          </w:pPr>
          <w:r w:rsidRPr="000D0101">
            <w:t>Términos de calendario: 1: Tarifas: Aprobadas según la metodología establecida por la Superintendencia General de Puertos hoy Superintendencia de Transporte.2: Contraprestación portuaria: la contraprestación se debe pagar de manera anual anticipada desde el mes de agosto de cada año3: Plan de inversiones: Se estableció en la cláusula sexta del otrosí 1 ejecución de inversiones en el periodo de tiempo comprendido entre el año 2010 a 2016.4: Multas: Cláusula décima octava del contrato 006 de 2010.</w:t>
          </w:r>
        </w:p>
        <w:p w14:paraId="487A5B19" w14:textId="77777777" w:rsidR="003D5DB4" w:rsidRPr="000D0101" w:rsidRDefault="003D5DB4" w:rsidP="000A5389">
          <w:pPr>
            <w:spacing w:line="240" w:lineRule="auto"/>
          </w:pPr>
          <w:r w:rsidRPr="000D0101">
            <w:t>Términos de certeza de flujos de efectivo futuros: Se otorga a EL CONCESIONARIO el derecho de ocupar y utilizar en forma temporal y exclusiva las playas, los terrenos de bajamar y zonas accesorias a aquellas o estos, descritos en la cláusula segunda del contrato, a cambio de la contraprestación económica. Cláusula octava, Del valor a pagar por concepto de contraprestación por Zona de Uso público el 80% le corresponde a la Nación-(INVIAS-ANI) y el 20 % al Distrito turístico de Cartagena de Indias y por Infraestructura el 100% a la Nación-(INVIAS-ANI) .</w:t>
          </w:r>
        </w:p>
        <w:p w14:paraId="1905A6E0" w14:textId="77777777" w:rsidR="003D5DB4" w:rsidRPr="000D0101" w:rsidRDefault="003D5DB4" w:rsidP="000A5389">
          <w:pPr>
            <w:spacing w:line="240" w:lineRule="auto"/>
            <w:rPr>
              <w:lang w:val="es-MX"/>
            </w:rPr>
          </w:pPr>
          <w:r w:rsidRPr="000D0101">
            <w:rPr>
              <w:lang w:val="es-MX"/>
            </w:rPr>
            <w:t>c. Naturaleza y alcance del derecho a utilizar activos especificados y los aspectos pactados en torno a lo que se espera que el concesionario proporcione en relación con el acuerdo de concesión</w:t>
          </w:r>
        </w:p>
        <w:p w14:paraId="08DF9C38" w14:textId="77777777" w:rsidR="003D5DB4" w:rsidRPr="000D0101" w:rsidRDefault="003D5DB4" w:rsidP="000A5389">
          <w:pPr>
            <w:spacing w:line="240" w:lineRule="auto"/>
          </w:pPr>
        </w:p>
        <w:p w14:paraId="0578D6B5" w14:textId="77777777" w:rsidR="003D5DB4" w:rsidRPr="000D0101" w:rsidRDefault="003D5DB4" w:rsidP="000A5389">
          <w:pPr>
            <w:spacing w:line="240" w:lineRule="auto"/>
          </w:pPr>
          <w:r w:rsidRPr="000D0101">
            <w:t>Naturaleza y alcance del derecho de uso de los activos</w:t>
          </w:r>
        </w:p>
        <w:p w14:paraId="07D18060" w14:textId="77777777" w:rsidR="003D5DB4" w:rsidRPr="000D0101" w:rsidRDefault="003D5DB4" w:rsidP="000A5389">
          <w:pPr>
            <w:spacing w:line="240" w:lineRule="auto"/>
          </w:pPr>
        </w:p>
        <w:p w14:paraId="0B369335" w14:textId="77777777" w:rsidR="003D5DB4" w:rsidRPr="000D0101" w:rsidRDefault="003D5DB4" w:rsidP="000A5389">
          <w:pPr>
            <w:spacing w:line="240" w:lineRule="auto"/>
          </w:pPr>
          <w:r w:rsidRPr="000D0101">
            <w:t xml:space="preserve">Descripción: Descripción del proyecto, especificaciones técnicas, modalidades de operación: las condiciones especiales de operación del puerto están establecidas en la cláusula quinta del Contrato de Concesión, particularmente en los numerales 5.1, 5.2 y 5.3.Área entregada en concesión: La descripción de la ubicación, linderos y extensión de los bienes de uso público (playas y terrenos de baja mar, zonas marítimas accesorias de maniobras) entregados en concesión están establecidos en la cláusula segunda, numeral2.2. del Contrato de Concesión. Infraestructura y equipos entregados en concesión: En la cláusula segunda, parágrafo primero del Contrato de Concesión, se describe que la infraestructura entregada en concesión de la siguiente manera: Infraestructura: Escalera de Acceso al área del muelle, Plataforma del muelle en concreto, ampliación del muelle en plataforma metálica, puertas de </w:t>
          </w:r>
          <w:r w:rsidRPr="000D0101">
            <w:lastRenderedPageBreak/>
            <w:t>acceso, pasarela de acceso a la barcaza, Bitas en “H” en tubería de 12 pulgadas, bitas y barcaza. Equipos: No se reporta equipos entregados en concesión.</w:t>
          </w:r>
        </w:p>
        <w:p w14:paraId="47BA11CC" w14:textId="77777777" w:rsidR="003D5DB4" w:rsidRPr="000D0101" w:rsidRDefault="003D5DB4" w:rsidP="000A5389">
          <w:pPr>
            <w:spacing w:line="240" w:lineRule="auto"/>
          </w:pPr>
          <w:r w:rsidRPr="000D0101">
            <w:t xml:space="preserve">Observaciones: </w:t>
          </w:r>
          <w:r w:rsidRPr="000D0101">
            <w:rPr>
              <w:rStyle w:val="Estilo6"/>
              <w:rFonts w:cs="Times New Roman"/>
              <w:szCs w:val="24"/>
            </w:rPr>
            <w:t>N/A</w:t>
          </w:r>
        </w:p>
        <w:p w14:paraId="4849AC21" w14:textId="77777777" w:rsidR="003D5DB4" w:rsidRPr="000D0101" w:rsidRDefault="003D5DB4" w:rsidP="000A5389">
          <w:pPr>
            <w:spacing w:line="240" w:lineRule="auto"/>
          </w:pPr>
          <w:r w:rsidRPr="000D0101">
            <w:t>Retribución al concesionario</w:t>
          </w:r>
        </w:p>
        <w:p w14:paraId="4D5D52D7" w14:textId="77777777" w:rsidR="003D5DB4" w:rsidRPr="000D0101" w:rsidRDefault="003D5DB4" w:rsidP="000A5389">
          <w:pPr>
            <w:spacing w:line="240" w:lineRule="auto"/>
          </w:pPr>
        </w:p>
        <w:p w14:paraId="103FEEAE" w14:textId="77777777" w:rsidR="003D5DB4" w:rsidRPr="000D0101" w:rsidRDefault="003D5DB4" w:rsidP="000A5389">
          <w:pPr>
            <w:spacing w:line="240" w:lineRule="auto"/>
          </w:pPr>
          <w:r w:rsidRPr="000D0101">
            <w:t>Descripción: Cláusula primera Contrato 006 de 2010: Se otorga a EL CONCESIONARIO el derecho de ocupar y utilizar en forma temporal y exclusiva las playas, los terrenos de bajamar y zonas accesorias a aquellas o estos, descritos en la cláusula segunda del contrato, a cambio de la contraprestación económica.</w:t>
          </w:r>
        </w:p>
        <w:p w14:paraId="7FB44440" w14:textId="77777777" w:rsidR="003D5DB4" w:rsidRPr="000D0101" w:rsidRDefault="003D5DB4" w:rsidP="000A5389">
          <w:pPr>
            <w:spacing w:line="240" w:lineRule="auto"/>
          </w:pPr>
        </w:p>
        <w:p w14:paraId="41AB508C" w14:textId="77777777" w:rsidR="003D5DB4" w:rsidRPr="000D0101" w:rsidRDefault="003D5DB4" w:rsidP="000A5389">
          <w:pPr>
            <w:spacing w:line="240" w:lineRule="auto"/>
          </w:pPr>
          <w:r w:rsidRPr="000D0101">
            <w:t xml:space="preserve">Tasa de retribución: </w:t>
          </w:r>
          <w:r w:rsidRPr="000D0101">
            <w:rPr>
              <w:rStyle w:val="Estilo6"/>
              <w:rFonts w:cs="Times New Roman"/>
              <w:szCs w:val="24"/>
            </w:rPr>
            <w:t>N/A</w:t>
          </w:r>
        </w:p>
        <w:p w14:paraId="643DEA17" w14:textId="77777777" w:rsidR="003D5DB4" w:rsidRPr="000D0101" w:rsidRDefault="003D5DB4" w:rsidP="000A5389">
          <w:pPr>
            <w:spacing w:line="240" w:lineRule="auto"/>
          </w:pPr>
        </w:p>
        <w:p w14:paraId="364A6F63" w14:textId="77777777" w:rsidR="003D5DB4" w:rsidRPr="000D0101" w:rsidRDefault="003D5DB4" w:rsidP="000A5389">
          <w:pPr>
            <w:spacing w:line="240" w:lineRule="auto"/>
          </w:pPr>
          <w:r w:rsidRPr="000D0101">
            <w:t>d. Derechos a recibir activos especificados al final del acuerdo de concesión</w:t>
          </w:r>
        </w:p>
        <w:p w14:paraId="770E19B1" w14:textId="77777777" w:rsidR="003D5DB4" w:rsidRPr="000D0101" w:rsidRDefault="003D5DB4" w:rsidP="000A5389">
          <w:pPr>
            <w:spacing w:line="240" w:lineRule="auto"/>
          </w:pPr>
          <w:r w:rsidRPr="000D0101">
            <w:t>Descripción: De acuerdo con el Artículo 8º de la Ley 1 de 1991 en el modo portuario el concesionario no tiene derechos finales sobre activos los debe revertir a la Nación al final del contrato de concesión.</w:t>
          </w:r>
        </w:p>
        <w:p w14:paraId="72FC9C66" w14:textId="77777777" w:rsidR="003D5DB4" w:rsidRPr="000D0101" w:rsidRDefault="003D5DB4" w:rsidP="000A5389">
          <w:pPr>
            <w:spacing w:line="240" w:lineRule="auto"/>
          </w:pPr>
        </w:p>
        <w:p w14:paraId="6008F40E" w14:textId="77777777" w:rsidR="003D5DB4" w:rsidRPr="000D0101" w:rsidRDefault="003D5DB4" w:rsidP="000A5389">
          <w:pPr>
            <w:spacing w:line="240" w:lineRule="auto"/>
          </w:pPr>
          <w:r w:rsidRPr="000D0101">
            <w:t>Observaciones: Reversión: De acuerdo con lo establecido en la cláusula décimo segunda del contrato de concesión, la zona de uso público y todas las construcciones y equipos entregadas en concesión se revertirán a la Nación en buenas condiciones de operación tecnológica, mantenimiento y de adecuada eficiencia al término de este contrato y de las prórrogas si la hubiere. Igualmente procederá la reversión al ser declarado la caducidad o la terminación unilateral. De acuerdo con el otrosí No.1 de 2014 los mayores montos de inversión y las obras adicionales aprobados en el otrosí pasará a ser propiedad de la nación. Para tal fin, en el momento de la reversión el CONCESIONARIO deberá hacer entrega de un avaluó comercial actualizado y valoración técnica de las condiciones de operación de la infraestructura portuaria, equipos e inmuebles por destinación que habitualmente se encuentren instalados en las zonas de uso público que se revierten y que son propiedad de la Nación. Para tal fin, en el momento de la reversión el CONCESIONARIO elaborará un inventario de los bienes y los enviará para su revisión y aprobación. La ANI es la entidad concedente pero la titularidad de los activos al final de la concesión es del Instituto Nacional de Vías INVIAS.</w:t>
          </w:r>
        </w:p>
        <w:p w14:paraId="5287B8CB" w14:textId="77777777" w:rsidR="003D5DB4" w:rsidRPr="000D0101" w:rsidRDefault="003D5DB4" w:rsidP="000A5389">
          <w:pPr>
            <w:spacing w:line="240" w:lineRule="auto"/>
          </w:pPr>
          <w:r w:rsidRPr="000D0101">
            <w:t>e. Las alternativas de renovación y cese del Acuerdo</w:t>
          </w:r>
        </w:p>
        <w:p w14:paraId="3BC91951" w14:textId="77777777" w:rsidR="003D5DB4" w:rsidRPr="000D0101" w:rsidRDefault="003D5DB4" w:rsidP="000A5389">
          <w:pPr>
            <w:spacing w:line="240" w:lineRule="auto"/>
          </w:pPr>
        </w:p>
        <w:p w14:paraId="2CDCFC89" w14:textId="77777777" w:rsidR="003D5DB4" w:rsidRPr="000D0101" w:rsidRDefault="003D5DB4" w:rsidP="000A5389">
          <w:pPr>
            <w:spacing w:line="240" w:lineRule="auto"/>
          </w:pPr>
          <w:r w:rsidRPr="000D0101">
            <w:t>Descripción: El cese del acuerdo se encuentra en la CLÁUSULA VIGÉSIMA PRIMERA del Contrato de Concesión.</w:t>
          </w:r>
        </w:p>
        <w:p w14:paraId="34D0F1E1" w14:textId="77777777" w:rsidR="003D5DB4" w:rsidRPr="000D0101" w:rsidRDefault="003D5DB4" w:rsidP="000A5389">
          <w:pPr>
            <w:spacing w:line="240" w:lineRule="auto"/>
          </w:pPr>
          <w:r w:rsidRPr="000D0101">
            <w:t>Observaciones: No se tiene ninguna observación</w:t>
          </w:r>
        </w:p>
        <w:p w14:paraId="4EDC23F9" w14:textId="77777777" w:rsidR="003D5DB4" w:rsidRPr="000D0101" w:rsidRDefault="003D5DB4" w:rsidP="000A5389">
          <w:pPr>
            <w:spacing w:line="240" w:lineRule="auto"/>
          </w:pPr>
        </w:p>
        <w:p w14:paraId="6E5CDC20" w14:textId="77777777" w:rsidR="003D5DB4" w:rsidRPr="000D0101" w:rsidRDefault="003D5DB4" w:rsidP="000A5389">
          <w:pPr>
            <w:spacing w:line="240" w:lineRule="auto"/>
            <w:rPr>
              <w:lang w:val="es-MX"/>
            </w:rPr>
          </w:pPr>
          <w:r w:rsidRPr="000D0101">
            <w:rPr>
              <w:lang w:val="es-MX"/>
            </w:rPr>
            <w:t>Cambios en el acuerdo de concesión que se realicen durante el periodo fiscal</w:t>
          </w:r>
        </w:p>
        <w:p w14:paraId="7B759B34" w14:textId="77777777" w:rsidR="003D5DB4" w:rsidRPr="000D0101" w:rsidRDefault="003D5DB4" w:rsidP="000A5389">
          <w:pPr>
            <w:spacing w:line="240" w:lineRule="auto"/>
            <w:rPr>
              <w:lang w:val="es-MX"/>
            </w:rPr>
          </w:pPr>
        </w:p>
        <w:p w14:paraId="69D0032A" w14:textId="77777777" w:rsidR="003D5DB4" w:rsidRPr="000D0101" w:rsidRDefault="003D5DB4" w:rsidP="000A5389">
          <w:pPr>
            <w:spacing w:line="240" w:lineRule="auto"/>
          </w:pPr>
          <w:r w:rsidRPr="000D0101">
            <w:t>Adiciones o modificaciones en tiempo</w:t>
          </w:r>
        </w:p>
        <w:p w14:paraId="6C164409" w14:textId="77777777" w:rsidR="003D5DB4" w:rsidRPr="000D0101" w:rsidRDefault="003D5DB4" w:rsidP="000A5389">
          <w:pPr>
            <w:spacing w:line="240" w:lineRule="auto"/>
          </w:pPr>
          <w:r w:rsidRPr="000D0101">
            <w:t>Fechas de las adiciones o modificaciones: 22/12/2014 Otrosí N° 1.</w:t>
          </w:r>
        </w:p>
        <w:p w14:paraId="2D3D0F0C" w14:textId="77777777" w:rsidR="003D5DB4" w:rsidRPr="000D0101" w:rsidRDefault="003D5DB4" w:rsidP="000A5389">
          <w:pPr>
            <w:spacing w:line="240" w:lineRule="auto"/>
            <w:rPr>
              <w:rStyle w:val="Estilo6"/>
              <w:rFonts w:cs="Times New Roman"/>
              <w:szCs w:val="24"/>
            </w:rPr>
          </w:pPr>
          <w:r w:rsidRPr="000D0101">
            <w:t xml:space="preserve">Nueva fecha de finalización estimada: </w:t>
          </w:r>
          <w:r w:rsidRPr="000D0101">
            <w:rPr>
              <w:rStyle w:val="Estilo6"/>
              <w:rFonts w:cs="Times New Roman"/>
              <w:szCs w:val="24"/>
            </w:rPr>
            <w:t>N/A</w:t>
          </w:r>
        </w:p>
        <w:p w14:paraId="1A7709EA" w14:textId="77777777" w:rsidR="003D5DB4" w:rsidRPr="000D0101" w:rsidRDefault="003D5DB4" w:rsidP="000A5389">
          <w:pPr>
            <w:spacing w:line="240" w:lineRule="auto"/>
          </w:pPr>
          <w:r w:rsidRPr="000D0101">
            <w:t>Observaciones: No se tiene ninguna observación</w:t>
          </w:r>
        </w:p>
        <w:p w14:paraId="63C42594" w14:textId="77777777" w:rsidR="003D5DB4" w:rsidRPr="000D0101" w:rsidRDefault="003D5DB4" w:rsidP="000A5389">
          <w:pPr>
            <w:spacing w:line="240" w:lineRule="auto"/>
          </w:pPr>
          <w:r w:rsidRPr="000D0101">
            <w:t>Adiciones o modificaciones en valor</w:t>
          </w:r>
        </w:p>
        <w:p w14:paraId="76E29B38" w14:textId="77777777" w:rsidR="003D5DB4" w:rsidRPr="000D0101" w:rsidRDefault="003D5DB4" w:rsidP="000A5389">
          <w:pPr>
            <w:spacing w:line="240" w:lineRule="auto"/>
          </w:pPr>
          <w:r w:rsidRPr="000D0101">
            <w:lastRenderedPageBreak/>
            <w:t xml:space="preserve">Valor de la adición o modificación: </w:t>
          </w:r>
          <w:r w:rsidRPr="000D0101">
            <w:rPr>
              <w:rStyle w:val="Estilo6"/>
              <w:rFonts w:cs="Times New Roman"/>
              <w:szCs w:val="24"/>
            </w:rPr>
            <w:t>N/A</w:t>
          </w:r>
        </w:p>
        <w:p w14:paraId="6E69A83B" w14:textId="77777777" w:rsidR="003D5DB4" w:rsidRPr="000D0101" w:rsidRDefault="003D5DB4" w:rsidP="000A5389">
          <w:pPr>
            <w:spacing w:line="240" w:lineRule="auto"/>
          </w:pPr>
          <w:r w:rsidRPr="000D0101">
            <w:t xml:space="preserve">Nuevo valor del acuerdo: </w:t>
          </w:r>
          <w:r w:rsidRPr="000D0101">
            <w:rPr>
              <w:rStyle w:val="Estilo6"/>
              <w:rFonts w:cs="Times New Roman"/>
              <w:szCs w:val="24"/>
            </w:rPr>
            <w:t>N/A</w:t>
          </w:r>
        </w:p>
        <w:p w14:paraId="6667C70F" w14:textId="77777777" w:rsidR="003D5DB4" w:rsidRPr="000D0101" w:rsidRDefault="003D5DB4" w:rsidP="000A5389">
          <w:pPr>
            <w:spacing w:line="240" w:lineRule="auto"/>
          </w:pPr>
          <w:r w:rsidRPr="000D0101">
            <w:t xml:space="preserve">Observaciones: </w:t>
          </w:r>
          <w:r w:rsidRPr="000D0101">
            <w:rPr>
              <w:rStyle w:val="Estilo6"/>
              <w:rFonts w:cs="Times New Roman"/>
              <w:szCs w:val="24"/>
            </w:rPr>
            <w:t>N/A</w:t>
          </w:r>
        </w:p>
        <w:p w14:paraId="364C6C62" w14:textId="77777777" w:rsidR="003D5DB4" w:rsidRPr="000D0101" w:rsidRDefault="003D5DB4" w:rsidP="000A5389">
          <w:pPr>
            <w:spacing w:line="240" w:lineRule="auto"/>
          </w:pPr>
        </w:p>
        <w:p w14:paraId="2CE6AE97" w14:textId="77777777" w:rsidR="003D5DB4" w:rsidRPr="000D0101" w:rsidRDefault="003D5DB4" w:rsidP="000A5389">
          <w:pPr>
            <w:spacing w:line="240" w:lineRule="auto"/>
            <w:rPr>
              <w:rFonts w:eastAsia="Times New Roman"/>
              <w:lang w:eastAsia="es-CO"/>
            </w:rPr>
          </w:pPr>
        </w:p>
        <w:p w14:paraId="28C4992B" w14:textId="77777777" w:rsidR="003D5DB4" w:rsidRPr="00CE510F" w:rsidRDefault="003D5DB4" w:rsidP="000A5389">
          <w:pPr>
            <w:spacing w:line="240" w:lineRule="auto"/>
            <w:rPr>
              <w:rFonts w:eastAsia="Times New Roman"/>
              <w:i/>
              <w:iCs/>
              <w:lang w:eastAsia="es-CO"/>
            </w:rPr>
          </w:pPr>
          <w:r w:rsidRPr="00CE510F">
            <w:rPr>
              <w:rFonts w:eastAsia="Times New Roman"/>
              <w:i/>
              <w:iCs/>
              <w:lang w:eastAsia="es-CO"/>
            </w:rPr>
            <w:t xml:space="preserve">SOCIEDAD PORTUARIA DE LA PENINSULA S.A PENSOPORT S.A. </w:t>
          </w:r>
        </w:p>
        <w:p w14:paraId="1934D6F2" w14:textId="77777777" w:rsidR="003D5DB4" w:rsidRPr="000D0101" w:rsidRDefault="003D5DB4" w:rsidP="000A5389">
          <w:pPr>
            <w:spacing w:line="240" w:lineRule="auto"/>
            <w:rPr>
              <w:color w:val="FF0000"/>
            </w:rPr>
          </w:pPr>
        </w:p>
        <w:p w14:paraId="1B26D0F7" w14:textId="77777777" w:rsidR="003D5DB4" w:rsidRPr="000D0101" w:rsidRDefault="003D5DB4" w:rsidP="000A5389">
          <w:pPr>
            <w:spacing w:line="240" w:lineRule="auto"/>
            <w:rPr>
              <w:rFonts w:eastAsia="Times New Roman"/>
              <w:lang w:eastAsia="es-CO"/>
            </w:rPr>
          </w:pPr>
          <w:r w:rsidRPr="000D0101">
            <w:rPr>
              <w:rFonts w:eastAsia="Times New Roman"/>
              <w:lang w:eastAsia="es-CO"/>
            </w:rPr>
            <w:t>a. Descripción del Acuerdo</w:t>
          </w:r>
        </w:p>
        <w:p w14:paraId="3B2B5F69" w14:textId="77777777" w:rsidR="003D5DB4" w:rsidRPr="000D0101" w:rsidRDefault="003D5DB4" w:rsidP="000A5389">
          <w:pPr>
            <w:spacing w:line="240" w:lineRule="auto"/>
            <w:rPr>
              <w:rFonts w:eastAsia="Times New Roman"/>
              <w:lang w:eastAsia="es-CO"/>
            </w:rPr>
          </w:pPr>
        </w:p>
        <w:p w14:paraId="09F80428" w14:textId="77777777" w:rsidR="003D5DB4" w:rsidRPr="000D0101" w:rsidRDefault="003D5DB4" w:rsidP="000A5389">
          <w:pPr>
            <w:spacing w:line="240" w:lineRule="auto"/>
            <w:rPr>
              <w:rFonts w:eastAsia="Times New Roman"/>
              <w:lang w:eastAsia="es-CO"/>
            </w:rPr>
          </w:pPr>
          <w:r w:rsidRPr="000D0101">
            <w:rPr>
              <w:rFonts w:eastAsia="Times New Roman"/>
              <w:lang w:eastAsia="es-CO"/>
            </w:rPr>
            <w:t>Número del Acuerdo de concesión: 001 de 2009</w:t>
          </w:r>
        </w:p>
        <w:p w14:paraId="0AC4312D" w14:textId="77777777" w:rsidR="003D5DB4" w:rsidRPr="000D0101" w:rsidRDefault="003D5DB4" w:rsidP="000A5389">
          <w:pPr>
            <w:spacing w:line="240" w:lineRule="auto"/>
            <w:rPr>
              <w:rFonts w:eastAsia="Times New Roman"/>
              <w:lang w:eastAsia="es-CO"/>
            </w:rPr>
          </w:pPr>
        </w:p>
        <w:p w14:paraId="239F3922" w14:textId="77777777" w:rsidR="003D5DB4" w:rsidRPr="000D0101" w:rsidRDefault="003D5DB4" w:rsidP="000A5389">
          <w:pPr>
            <w:spacing w:line="240" w:lineRule="auto"/>
            <w:rPr>
              <w:rFonts w:eastAsia="Times New Roman"/>
              <w:lang w:eastAsia="es-CO"/>
            </w:rPr>
          </w:pPr>
          <w:r w:rsidRPr="000D0101">
            <w:rPr>
              <w:rFonts w:eastAsia="Times New Roman"/>
              <w:lang w:eastAsia="es-CO"/>
            </w:rPr>
            <w:t>Objeto / Descripción: El INCO en virtud del presente Contrato, otorga formalmente una concesión portuaria al Concesionario, para la ocupación y utilización en forma temporal y exclusiva de las playas, los terrenos de bajamar y zonas accesorias a aquellas o éstos, para la operación de las instalaciones portuarias allí construidas, localizadas en el sitio conocido con el nombre de Puerto Nuevo, área sur de Bahía Pórtete, jurisdicción del Municipio de Uribia, Departamento de la Guajira, destinada a la prestación de servicios portuarios por el termino de 20 años a cambio de la Contraprestación establecida en la Clausula Novena del presente Contrato.</w:t>
          </w:r>
        </w:p>
        <w:p w14:paraId="2E5F8028" w14:textId="77777777" w:rsidR="003D5DB4" w:rsidRPr="000D0101" w:rsidRDefault="003D5DB4" w:rsidP="000A5389">
          <w:pPr>
            <w:spacing w:line="240" w:lineRule="auto"/>
            <w:rPr>
              <w:rFonts w:eastAsia="Times New Roman"/>
              <w:lang w:eastAsia="es-CO"/>
            </w:rPr>
          </w:pPr>
        </w:p>
        <w:p w14:paraId="20C437DB" w14:textId="77777777" w:rsidR="003D5DB4" w:rsidRPr="000D0101" w:rsidRDefault="003D5DB4" w:rsidP="000A5389">
          <w:pPr>
            <w:spacing w:line="240" w:lineRule="auto"/>
            <w:rPr>
              <w:rFonts w:eastAsia="Times New Roman"/>
              <w:lang w:eastAsia="es-CO"/>
            </w:rPr>
          </w:pPr>
          <w:r w:rsidRPr="000D0101">
            <w:rPr>
              <w:rFonts w:eastAsia="Times New Roman"/>
              <w:lang w:eastAsia="es-CO"/>
            </w:rPr>
            <w:t>Valor inicial:</w:t>
          </w:r>
          <w:r w:rsidRPr="000D0101">
            <w:rPr>
              <w:rFonts w:eastAsia="Times New Roman"/>
              <w:lang w:eastAsia="es-CO"/>
            </w:rPr>
            <w:tab/>
            <w:t>USD 467.032,72 Cláusula Novena / Contrato No. 001 de 2009.</w:t>
          </w:r>
        </w:p>
        <w:p w14:paraId="229F7E50" w14:textId="77777777" w:rsidR="003D5DB4" w:rsidRPr="000D0101" w:rsidRDefault="003D5DB4" w:rsidP="000A5389">
          <w:pPr>
            <w:spacing w:line="240" w:lineRule="auto"/>
            <w:rPr>
              <w:rFonts w:eastAsia="Times New Roman"/>
              <w:lang w:eastAsia="es-CO"/>
            </w:rPr>
          </w:pPr>
        </w:p>
        <w:p w14:paraId="5BBD8DEA" w14:textId="77777777" w:rsidR="003D5DB4" w:rsidRPr="000D0101" w:rsidRDefault="003D5DB4" w:rsidP="000A5389">
          <w:pPr>
            <w:spacing w:line="240" w:lineRule="auto"/>
            <w:rPr>
              <w:rFonts w:eastAsia="Times New Roman"/>
              <w:lang w:eastAsia="es-CO"/>
            </w:rPr>
          </w:pPr>
          <w:r w:rsidRPr="000D0101">
            <w:rPr>
              <w:rFonts w:eastAsia="Times New Roman"/>
              <w:lang w:eastAsia="es-CO"/>
            </w:rPr>
            <w:t>Fecha de inicio: 19/11/2009</w:t>
          </w:r>
        </w:p>
        <w:p w14:paraId="11FA3575" w14:textId="77777777" w:rsidR="003D5DB4" w:rsidRPr="000D0101" w:rsidRDefault="003D5DB4" w:rsidP="000A5389">
          <w:pPr>
            <w:spacing w:line="240" w:lineRule="auto"/>
            <w:rPr>
              <w:rFonts w:eastAsia="Times New Roman"/>
              <w:lang w:eastAsia="es-CO"/>
            </w:rPr>
          </w:pPr>
          <w:r w:rsidRPr="000D0101">
            <w:rPr>
              <w:rFonts w:eastAsia="Times New Roman"/>
              <w:lang w:eastAsia="es-CO"/>
            </w:rPr>
            <w:t>Fecha de finalización estimada: 18/11/2029</w:t>
          </w:r>
        </w:p>
        <w:p w14:paraId="46E18F1D" w14:textId="77777777" w:rsidR="003D5DB4" w:rsidRPr="000D0101" w:rsidRDefault="003D5DB4" w:rsidP="000A5389">
          <w:pPr>
            <w:spacing w:line="240" w:lineRule="auto"/>
            <w:rPr>
              <w:rFonts w:eastAsia="Times New Roman"/>
              <w:lang w:eastAsia="es-CO"/>
            </w:rPr>
          </w:pPr>
          <w:r w:rsidRPr="000D0101">
            <w:rPr>
              <w:rFonts w:eastAsia="Times New Roman"/>
              <w:lang w:eastAsia="es-CO"/>
            </w:rPr>
            <w:t>Tipo ID: NIT</w:t>
          </w:r>
        </w:p>
        <w:p w14:paraId="563C1B8F" w14:textId="77777777" w:rsidR="003D5DB4" w:rsidRPr="000D0101" w:rsidRDefault="003D5DB4" w:rsidP="000A5389">
          <w:pPr>
            <w:spacing w:line="240" w:lineRule="auto"/>
            <w:rPr>
              <w:rFonts w:eastAsia="Times New Roman"/>
              <w:lang w:eastAsia="es-CO"/>
            </w:rPr>
          </w:pPr>
          <w:r w:rsidRPr="000D0101">
            <w:rPr>
              <w:rFonts w:eastAsia="Times New Roman"/>
              <w:lang w:eastAsia="es-CO"/>
            </w:rPr>
            <w:t>Número ID: 839.000.348-1</w:t>
          </w:r>
        </w:p>
        <w:p w14:paraId="5AFA167D" w14:textId="77777777" w:rsidR="003D5DB4" w:rsidRPr="000D0101" w:rsidRDefault="003D5DB4" w:rsidP="000A5389">
          <w:pPr>
            <w:spacing w:line="240" w:lineRule="auto"/>
            <w:rPr>
              <w:rFonts w:eastAsia="Times New Roman"/>
              <w:lang w:eastAsia="es-CO"/>
            </w:rPr>
          </w:pPr>
          <w:r w:rsidRPr="000D0101">
            <w:rPr>
              <w:rFonts w:eastAsia="Times New Roman"/>
              <w:lang w:eastAsia="es-CO"/>
            </w:rPr>
            <w:t>Razón social del concesionario: Sociedad Portuaria de la Península S.A.</w:t>
          </w:r>
        </w:p>
        <w:p w14:paraId="473D9592" w14:textId="77777777" w:rsidR="003D5DB4" w:rsidRPr="000D0101" w:rsidRDefault="003D5DB4" w:rsidP="000A5389">
          <w:pPr>
            <w:spacing w:line="240" w:lineRule="auto"/>
            <w:rPr>
              <w:rFonts w:eastAsia="Times New Roman"/>
              <w:lang w:eastAsia="es-CO"/>
            </w:rPr>
          </w:pPr>
          <w:r w:rsidRPr="000D0101">
            <w:rPr>
              <w:rFonts w:eastAsia="Times New Roman"/>
              <w:lang w:eastAsia="es-CO"/>
            </w:rPr>
            <w:t>Nombre del proyecto: Sociedad Portuaria de la Península S.A. - PENSOPORT</w:t>
          </w:r>
        </w:p>
        <w:p w14:paraId="209FEBEA" w14:textId="77777777" w:rsidR="003D5DB4" w:rsidRPr="000D0101" w:rsidRDefault="003D5DB4" w:rsidP="000A5389">
          <w:pPr>
            <w:spacing w:line="240" w:lineRule="auto"/>
            <w:rPr>
              <w:rFonts w:eastAsia="Times New Roman"/>
              <w:lang w:eastAsia="es-CO"/>
            </w:rPr>
          </w:pPr>
        </w:p>
        <w:p w14:paraId="322A3CBC" w14:textId="77777777" w:rsidR="003D5DB4" w:rsidRPr="000D0101" w:rsidRDefault="003D5DB4" w:rsidP="000A5389">
          <w:pPr>
            <w:spacing w:line="240" w:lineRule="auto"/>
            <w:rPr>
              <w:rFonts w:eastAsia="Times New Roman"/>
              <w:lang w:eastAsia="es-CO"/>
            </w:rPr>
          </w:pPr>
          <w:r w:rsidRPr="000D0101">
            <w:rPr>
              <w:rFonts w:eastAsia="Times New Roman"/>
              <w:lang w:eastAsia="es-CO"/>
            </w:rPr>
            <w:t>b. Términos significativos del Acuerdo que puedan afectar su valor, el calendario y la certeza de los flujos de efectivo futuros</w:t>
          </w:r>
        </w:p>
        <w:p w14:paraId="1968D223" w14:textId="77777777" w:rsidR="003D5DB4" w:rsidRPr="000D0101" w:rsidRDefault="003D5DB4" w:rsidP="000A5389">
          <w:pPr>
            <w:spacing w:line="240" w:lineRule="auto"/>
            <w:rPr>
              <w:rFonts w:eastAsia="Times New Roman"/>
              <w:lang w:eastAsia="es-CO"/>
            </w:rPr>
          </w:pPr>
        </w:p>
        <w:p w14:paraId="65525A62" w14:textId="77777777" w:rsidR="003D5DB4" w:rsidRPr="000D0101" w:rsidRDefault="003D5DB4" w:rsidP="000A5389">
          <w:pPr>
            <w:spacing w:line="240" w:lineRule="auto"/>
            <w:rPr>
              <w:rFonts w:eastAsia="Times New Roman"/>
              <w:lang w:eastAsia="es-CO"/>
            </w:rPr>
          </w:pPr>
          <w:r w:rsidRPr="000D0101">
            <w:rPr>
              <w:rFonts w:eastAsia="Times New Roman"/>
              <w:lang w:eastAsia="es-CO"/>
            </w:rPr>
            <w:t xml:space="preserve">Términos de valor: Tarifas: Al ser el terminal marítimo de servicio público la Ley 1ª de 1991 establece: Las sociedades portuarias que operan puertos de servicio público las tarifas requieren ser aprobadas según la metodología establecida por la Superintendencia General de Puertos hoy Superintendencia de Transporte. Contraprestación portuaria: De acuerdo con el último documento contractual vigente la metodología de contraprestación vigente es CONPES 2680 DE 1993 (Productividad). Se establece en la Cláusula Novena del Contrato que el CONCESIONARIO deberá pagar por concepto de zona de uso público la suma anual de USD 54.140,88, de dicho pago el 80% le corresponde a la Nación - Instituto Nacional de Vías (INVIAS) y el 20% restante al Municipio de Uribia de acuerdo con lo establecido en el parágrafo 1 del artículo 1 de la Ley 856 del 21 de diciembre de 2003, que modifica el artículo 7 de la Ley 1ª de 1991. Así mismo, por concepto de infraestructura el CONCESIONARIO deberá pagar la suma anual de USD 1.685,70, el cual corresponde en un 100% a la Nación - </w:t>
          </w:r>
          <w:r w:rsidRPr="000D0101">
            <w:rPr>
              <w:rFonts w:eastAsia="Times New Roman"/>
              <w:lang w:eastAsia="es-CO"/>
            </w:rPr>
            <w:lastRenderedPageBreak/>
            <w:t>Instituto Nacional de Vías (INVIAS) de acuerdo con lo establecido en el artículo 1 de la Ley 856 del 21 diciembre de 2003.Plan de Inversiones: Está establecido en la Cláusula Séptima del Contrato que el VPN de las inversiones es de USD 1.029.746,72. Asimismo, en la Cláusula Primera de la Resolución No.1630 de 2014, el nuevo plan de inversiones que debe ejecutar la Sociedad Portuaria es de USD 2.110.191,52 en valores corrientes. Obligaciones del Concesionario: Se encuentran descritas en la Cláusula Décima Sexta del Contrato. Multas y sanciones: Están establecidas en la Cláusula Décima Novena del Contrato. Penal pecuniario: La Cláusula Vigésima del Contrato establece que en el evento en que el INCO hoy ANI declare la caducidad o el incumplimiento del presente contrato se podrá imponer una penalidad pecuniaria del 10% del valor total de la contraprestación</w:t>
          </w:r>
        </w:p>
        <w:p w14:paraId="2362615B" w14:textId="77777777" w:rsidR="003D5DB4" w:rsidRPr="000D0101" w:rsidRDefault="003D5DB4" w:rsidP="000A5389">
          <w:pPr>
            <w:spacing w:line="240" w:lineRule="auto"/>
            <w:rPr>
              <w:rFonts w:eastAsia="Times New Roman"/>
              <w:lang w:eastAsia="es-CO"/>
            </w:rPr>
          </w:pPr>
        </w:p>
        <w:p w14:paraId="103DAE49" w14:textId="77777777" w:rsidR="003D5DB4" w:rsidRPr="000D0101" w:rsidRDefault="003D5DB4" w:rsidP="000A5389">
          <w:pPr>
            <w:spacing w:line="240" w:lineRule="auto"/>
            <w:rPr>
              <w:rFonts w:eastAsia="Times New Roman"/>
              <w:lang w:eastAsia="es-CO"/>
            </w:rPr>
          </w:pPr>
          <w:r w:rsidRPr="000D0101">
            <w:rPr>
              <w:rFonts w:eastAsia="Times New Roman"/>
              <w:lang w:eastAsia="es-CO"/>
            </w:rPr>
            <w:t>Términos de calendario: Tarifas: Aprobadas según la metodología establecida por la Superintendencia General de Puertos hoy Superintendencia de Transporte. Contraprestación portuaria: La contraprestación se debe pagar en anualidades anticipadas, dentro de los cinco (5) días siguientes a la fecha del vencimiento de la anualidad (19 de noviembre de cada año).Plan de inversiones: Se estableció en la Cláusula Primera de la Resolución No.1630 de 2014, la cual modifica la Cláusula Séptima del Contrato, la ejecución de inversiones en el periodo de tiempo comprendido entre el año 2009 a 2017.Multas y sanciones: Cláusula Décima Novena del Contrato No. 001 de 2009.</w:t>
          </w:r>
        </w:p>
        <w:p w14:paraId="2953F246" w14:textId="77777777" w:rsidR="003D5DB4" w:rsidRPr="000D0101" w:rsidRDefault="003D5DB4" w:rsidP="000A5389">
          <w:pPr>
            <w:spacing w:line="240" w:lineRule="auto"/>
            <w:rPr>
              <w:rFonts w:eastAsia="Times New Roman"/>
              <w:lang w:eastAsia="es-CO"/>
            </w:rPr>
          </w:pPr>
        </w:p>
        <w:p w14:paraId="14823369" w14:textId="77777777" w:rsidR="003D5DB4" w:rsidRPr="000D0101" w:rsidRDefault="003D5DB4" w:rsidP="000A5389">
          <w:pPr>
            <w:spacing w:line="240" w:lineRule="auto"/>
            <w:rPr>
              <w:rFonts w:eastAsia="Times New Roman"/>
              <w:lang w:eastAsia="es-CO"/>
            </w:rPr>
          </w:pPr>
          <w:r w:rsidRPr="000D0101">
            <w:rPr>
              <w:rFonts w:eastAsia="Times New Roman"/>
              <w:lang w:eastAsia="es-CO"/>
            </w:rPr>
            <w:t>Términos de certeza de flujos de efectivo futuros: Se otorga al CONCESIONARIO el derecho de ocupar y utilizar en forma temporal y exclusiva las playas, los terrenos de bajamar y zonas accesorias a aquellas o estos, descritos en la Cláusula Segunda del Contrato, a cambio de la contraprestación. Cláusula Novena del Contrato, del valor a pagar por concepto de contraprestación por Zona de Uso Público el 80% corresponde a la Nación- INVIAS-ANI y el 20 % al Distrito de Cartagena, y por Infraestructura el 100% a la Nación-INVIAS-ANI.</w:t>
          </w:r>
        </w:p>
        <w:p w14:paraId="61FAFDA9" w14:textId="77777777" w:rsidR="003D5DB4" w:rsidRPr="000D0101" w:rsidRDefault="003D5DB4" w:rsidP="000A5389">
          <w:pPr>
            <w:spacing w:line="240" w:lineRule="auto"/>
            <w:rPr>
              <w:rFonts w:eastAsia="Times New Roman"/>
              <w:lang w:eastAsia="es-CO"/>
            </w:rPr>
          </w:pPr>
        </w:p>
        <w:p w14:paraId="74E23746" w14:textId="77777777" w:rsidR="003D5DB4" w:rsidRPr="000D0101" w:rsidRDefault="003D5DB4" w:rsidP="000A5389">
          <w:pPr>
            <w:spacing w:line="240" w:lineRule="auto"/>
            <w:rPr>
              <w:rFonts w:eastAsia="Times New Roman"/>
              <w:lang w:eastAsia="es-CO"/>
            </w:rPr>
          </w:pPr>
          <w:r w:rsidRPr="000D0101">
            <w:rPr>
              <w:rFonts w:eastAsia="Times New Roman"/>
              <w:lang w:eastAsia="es-CO"/>
            </w:rPr>
            <w:t>c. Naturaleza y alcance del derecho a utilizar Activos y los aspectos pactados en torno a lo que se espera que el concesionario proporcione en relación con el Acuerdo de concesión</w:t>
          </w:r>
        </w:p>
        <w:p w14:paraId="256F7470" w14:textId="77777777" w:rsidR="003D5DB4" w:rsidRPr="000D0101" w:rsidRDefault="003D5DB4" w:rsidP="000A5389">
          <w:pPr>
            <w:spacing w:line="240" w:lineRule="auto"/>
            <w:rPr>
              <w:rFonts w:eastAsia="Times New Roman"/>
              <w:lang w:eastAsia="es-CO"/>
            </w:rPr>
          </w:pPr>
        </w:p>
        <w:p w14:paraId="3FD2B7D7" w14:textId="77777777" w:rsidR="003D5DB4" w:rsidRPr="000D0101" w:rsidRDefault="003D5DB4" w:rsidP="000A5389">
          <w:pPr>
            <w:spacing w:line="240" w:lineRule="auto"/>
            <w:rPr>
              <w:rFonts w:eastAsia="Times New Roman"/>
              <w:lang w:eastAsia="es-CO"/>
            </w:rPr>
          </w:pPr>
          <w:r w:rsidRPr="000D0101">
            <w:rPr>
              <w:rFonts w:eastAsia="Times New Roman"/>
              <w:lang w:eastAsia="es-CO"/>
            </w:rPr>
            <w:t>Naturaleza y alcance del derecho de uso de los Activos</w:t>
          </w:r>
        </w:p>
        <w:p w14:paraId="11E39411" w14:textId="77777777" w:rsidR="003D5DB4" w:rsidRPr="000D0101" w:rsidRDefault="003D5DB4" w:rsidP="000A5389">
          <w:pPr>
            <w:spacing w:line="240" w:lineRule="auto"/>
            <w:rPr>
              <w:rFonts w:eastAsia="Times New Roman"/>
              <w:lang w:eastAsia="es-CO"/>
            </w:rPr>
          </w:pPr>
        </w:p>
        <w:p w14:paraId="62B4054C" w14:textId="77777777" w:rsidR="003D5DB4" w:rsidRPr="000D0101" w:rsidRDefault="003D5DB4" w:rsidP="000A5389">
          <w:pPr>
            <w:spacing w:line="240" w:lineRule="auto"/>
            <w:rPr>
              <w:rFonts w:eastAsia="Times New Roman"/>
              <w:lang w:eastAsia="es-CO"/>
            </w:rPr>
          </w:pPr>
          <w:r w:rsidRPr="000D0101">
            <w:rPr>
              <w:rFonts w:eastAsia="Times New Roman"/>
              <w:lang w:eastAsia="es-CO"/>
            </w:rPr>
            <w:t>Descripción:</w:t>
          </w:r>
          <w:r w:rsidRPr="000D0101">
            <w:rPr>
              <w:rFonts w:eastAsia="Times New Roman"/>
              <w:lang w:eastAsia="es-CO"/>
            </w:rPr>
            <w:tab/>
            <w:t xml:space="preserve">Descripción del proyecto, especificaciones técnicas, modalidades de operación: las condiciones especiales de operación del puerto están establecidas en la cláusula quinta del Contrato de Concesión.  Área entregada en concesión: La descripción de la ubicación, linderos y extensión de los bienes de uso público (playas y terrenos de baja mar, zonas marítimas accesorias de maniobras) entregados en concesión están establecidos en la cláusula tercera del Contrato de Concesión.  Infraestructura y equipos entregados en concesión: En la cláusula segunda del Contrato, se describe lo entregado en concesión de la siguiente manera:  Infraestructura: La infraestructura existente entregada al Concesionario consiste en dos muelles artesanales tipo espigón construidos por un relleno protegido por tablestacado de madera (Muelle artesanal A y B) según lo establece la Clausula Segunda del Contrato de Concesión.  </w:t>
          </w:r>
        </w:p>
        <w:p w14:paraId="3283CF97" w14:textId="77777777" w:rsidR="003D5DB4" w:rsidRPr="000D0101" w:rsidRDefault="003D5DB4" w:rsidP="000A5389">
          <w:pPr>
            <w:spacing w:line="240" w:lineRule="auto"/>
            <w:rPr>
              <w:rFonts w:eastAsia="Times New Roman"/>
              <w:lang w:eastAsia="es-CO"/>
            </w:rPr>
          </w:pPr>
          <w:r w:rsidRPr="000D0101">
            <w:rPr>
              <w:rFonts w:eastAsia="Times New Roman"/>
              <w:lang w:eastAsia="es-CO"/>
            </w:rPr>
            <w:t>Observaciones: N/A</w:t>
          </w:r>
        </w:p>
        <w:p w14:paraId="05BFAA54" w14:textId="77777777" w:rsidR="003D5DB4" w:rsidRPr="000D0101" w:rsidRDefault="003D5DB4" w:rsidP="000A5389">
          <w:pPr>
            <w:spacing w:line="240" w:lineRule="auto"/>
            <w:rPr>
              <w:rFonts w:eastAsia="Times New Roman"/>
              <w:lang w:eastAsia="es-CO"/>
            </w:rPr>
          </w:pPr>
        </w:p>
        <w:p w14:paraId="24F5FD28" w14:textId="77777777" w:rsidR="003D5DB4" w:rsidRPr="000D0101" w:rsidRDefault="003D5DB4" w:rsidP="000A5389">
          <w:pPr>
            <w:spacing w:line="240" w:lineRule="auto"/>
            <w:rPr>
              <w:rFonts w:eastAsia="Times New Roman"/>
              <w:lang w:eastAsia="es-CO"/>
            </w:rPr>
          </w:pPr>
          <w:r w:rsidRPr="000D0101">
            <w:rPr>
              <w:rFonts w:eastAsia="Times New Roman"/>
              <w:lang w:eastAsia="es-CO"/>
            </w:rPr>
            <w:t>Retribución al concesionario</w:t>
          </w:r>
        </w:p>
        <w:p w14:paraId="0BFDBA8E" w14:textId="77777777" w:rsidR="003D5DB4" w:rsidRPr="000D0101" w:rsidRDefault="003D5DB4" w:rsidP="000A5389">
          <w:pPr>
            <w:spacing w:line="240" w:lineRule="auto"/>
            <w:rPr>
              <w:rFonts w:eastAsia="Times New Roman"/>
              <w:lang w:eastAsia="es-CO"/>
            </w:rPr>
          </w:pPr>
        </w:p>
        <w:p w14:paraId="1FEA96F4" w14:textId="77777777" w:rsidR="003D5DB4" w:rsidRPr="000D0101" w:rsidRDefault="003D5DB4" w:rsidP="000A5389">
          <w:pPr>
            <w:spacing w:line="240" w:lineRule="auto"/>
            <w:rPr>
              <w:rFonts w:eastAsia="Times New Roman"/>
              <w:lang w:eastAsia="es-CO"/>
            </w:rPr>
          </w:pPr>
          <w:r w:rsidRPr="000D0101">
            <w:rPr>
              <w:rFonts w:eastAsia="Times New Roman"/>
              <w:lang w:eastAsia="es-CO"/>
            </w:rPr>
            <w:t>Descripción:</w:t>
          </w:r>
          <w:r w:rsidRPr="000D0101">
            <w:rPr>
              <w:rFonts w:eastAsia="Times New Roman"/>
              <w:lang w:eastAsia="es-CO"/>
            </w:rPr>
            <w:tab/>
            <w:t>Cláusula Primera del Contrato No. 001 de 2009: Se otorga al CONCESIONARIO el derecho de ocupar y utilizar en forma temporal y exclusiva las playas, los terrenos de bajamar y zonas accesorias a aquellas o estos, descritos en la cláusula segunda del contrato, a cambio de la contraprestación económica.</w:t>
          </w:r>
        </w:p>
        <w:p w14:paraId="05ADDF6B" w14:textId="77777777" w:rsidR="003D5DB4" w:rsidRPr="000D0101" w:rsidRDefault="003D5DB4" w:rsidP="000A5389">
          <w:pPr>
            <w:spacing w:line="240" w:lineRule="auto"/>
            <w:rPr>
              <w:rFonts w:eastAsia="Times New Roman"/>
              <w:lang w:eastAsia="es-CO"/>
            </w:rPr>
          </w:pPr>
        </w:p>
        <w:p w14:paraId="7A60B800" w14:textId="77777777" w:rsidR="003D5DB4" w:rsidRPr="000D0101" w:rsidRDefault="003D5DB4" w:rsidP="000A5389">
          <w:pPr>
            <w:spacing w:line="240" w:lineRule="auto"/>
            <w:rPr>
              <w:rFonts w:eastAsia="Times New Roman"/>
              <w:lang w:eastAsia="es-CO"/>
            </w:rPr>
          </w:pPr>
          <w:r w:rsidRPr="000D0101">
            <w:rPr>
              <w:rFonts w:eastAsia="Times New Roman"/>
              <w:lang w:eastAsia="es-CO"/>
            </w:rPr>
            <w:t>Tasa de retribución:</w:t>
          </w:r>
          <w:r w:rsidRPr="000D0101">
            <w:rPr>
              <w:rFonts w:eastAsia="Times New Roman"/>
              <w:lang w:eastAsia="es-CO"/>
            </w:rPr>
            <w:tab/>
            <w:t>N/A</w:t>
          </w:r>
        </w:p>
        <w:p w14:paraId="6B7FD7AD" w14:textId="77777777" w:rsidR="003D5DB4" w:rsidRPr="000D0101" w:rsidRDefault="003D5DB4" w:rsidP="000A5389">
          <w:pPr>
            <w:spacing w:line="240" w:lineRule="auto"/>
            <w:rPr>
              <w:rFonts w:eastAsia="Times New Roman"/>
              <w:lang w:eastAsia="es-CO"/>
            </w:rPr>
          </w:pPr>
        </w:p>
        <w:p w14:paraId="2281F578" w14:textId="77777777" w:rsidR="003D5DB4" w:rsidRPr="000D0101" w:rsidRDefault="003D5DB4" w:rsidP="000A5389">
          <w:pPr>
            <w:spacing w:line="240" w:lineRule="auto"/>
            <w:rPr>
              <w:rFonts w:eastAsia="Times New Roman"/>
              <w:lang w:eastAsia="es-CO"/>
            </w:rPr>
          </w:pPr>
          <w:r w:rsidRPr="000D0101">
            <w:rPr>
              <w:rFonts w:eastAsia="Times New Roman"/>
              <w:lang w:eastAsia="es-CO"/>
            </w:rPr>
            <w:t>d. Derechos a recibir Activos especificados al final del acuerdo de concesión</w:t>
          </w:r>
        </w:p>
        <w:p w14:paraId="6EB2CC8A" w14:textId="77777777" w:rsidR="003D5DB4" w:rsidRPr="000D0101" w:rsidRDefault="003D5DB4" w:rsidP="000A5389">
          <w:pPr>
            <w:spacing w:line="240" w:lineRule="auto"/>
            <w:rPr>
              <w:rFonts w:eastAsia="Times New Roman"/>
              <w:lang w:eastAsia="es-CO"/>
            </w:rPr>
          </w:pPr>
        </w:p>
        <w:p w14:paraId="5C5DC311" w14:textId="77777777" w:rsidR="003D5DB4" w:rsidRPr="000D0101" w:rsidRDefault="003D5DB4" w:rsidP="000A5389">
          <w:pPr>
            <w:spacing w:line="240" w:lineRule="auto"/>
            <w:rPr>
              <w:rFonts w:eastAsia="Times New Roman"/>
              <w:lang w:eastAsia="es-CO"/>
            </w:rPr>
          </w:pPr>
          <w:r w:rsidRPr="000D0101">
            <w:rPr>
              <w:rFonts w:eastAsia="Times New Roman"/>
              <w:lang w:eastAsia="es-CO"/>
            </w:rPr>
            <w:t>Descripción:</w:t>
          </w:r>
          <w:r w:rsidRPr="000D0101">
            <w:rPr>
              <w:rFonts w:eastAsia="Times New Roman"/>
              <w:lang w:eastAsia="es-CO"/>
            </w:rPr>
            <w:tab/>
            <w:t>De acuerdo con el Artículo 8º de la Ley 1 de 1991 en el modo portuario el concesionario no tiene derechos finales sobre activos los debe revertir a la Nación al final del contrato de concesión.</w:t>
          </w:r>
        </w:p>
        <w:p w14:paraId="1411439D" w14:textId="77777777" w:rsidR="003D5DB4" w:rsidRPr="000D0101" w:rsidRDefault="003D5DB4" w:rsidP="000A5389">
          <w:pPr>
            <w:spacing w:line="240" w:lineRule="auto"/>
            <w:rPr>
              <w:rFonts w:eastAsia="Times New Roman"/>
              <w:lang w:eastAsia="es-CO"/>
            </w:rPr>
          </w:pPr>
        </w:p>
        <w:p w14:paraId="755B88BE" w14:textId="77777777" w:rsidR="003D5DB4" w:rsidRPr="000D0101" w:rsidRDefault="003D5DB4" w:rsidP="000A5389">
          <w:pPr>
            <w:spacing w:line="240" w:lineRule="auto"/>
            <w:rPr>
              <w:rFonts w:eastAsia="Times New Roman"/>
              <w:lang w:eastAsia="es-CO"/>
            </w:rPr>
          </w:pPr>
          <w:r w:rsidRPr="000D0101">
            <w:rPr>
              <w:rFonts w:eastAsia="Times New Roman"/>
              <w:lang w:eastAsia="es-CO"/>
            </w:rPr>
            <w:t>Observaciones: Reversión: De acuerdo con lo establecido en la cláusula décima tercera del contrato de concesión, la zona de uso público y todas las construcciones (obras e inversiones), y los inmuebles por destinación (equipos e inversiones) entregadas en concesión se revertirán a la Nación en buenas condiciones de operación tecnológica, mantenimiento y de adecuada eficiencia al término de este contrato y de las prórrogas si la hubiere. Igualmente, procederá la reversión al ser declarada la caducidad o la terminación unilateral. Para tal fin, en el momento de la reversión el CONCESIONARIO deberá hacer entrega de un avaluó comercial actualizado y valoración técnica de las condiciones de operación de la infraestructura portuaria, equipos e inmuebles por destinación que habitualmente se encuentren instalados en las zonas de uso público que se revierten y que son propiedad de la Nación. Para tal fin, en el momento de la reversión el CONCESIONARIO elaborará un inventario de los bienes y los enviará para su revisión y aprobación. La ANI es la entidad concedente pero la titularidad de los activos al final de la concesión es del Instituto Nacional de Vías INVIAS.</w:t>
          </w:r>
        </w:p>
        <w:p w14:paraId="5399CF64" w14:textId="77777777" w:rsidR="003D5DB4" w:rsidRPr="000D0101" w:rsidRDefault="003D5DB4" w:rsidP="000A5389">
          <w:pPr>
            <w:spacing w:line="240" w:lineRule="auto"/>
            <w:rPr>
              <w:rFonts w:eastAsia="Times New Roman"/>
              <w:lang w:eastAsia="es-CO"/>
            </w:rPr>
          </w:pPr>
        </w:p>
        <w:p w14:paraId="4EB61E99" w14:textId="77777777" w:rsidR="003D5DB4" w:rsidRPr="000D0101" w:rsidRDefault="003D5DB4" w:rsidP="000A5389">
          <w:pPr>
            <w:spacing w:line="240" w:lineRule="auto"/>
            <w:rPr>
              <w:rFonts w:eastAsia="Times New Roman"/>
              <w:lang w:eastAsia="es-CO"/>
            </w:rPr>
          </w:pPr>
          <w:r w:rsidRPr="000D0101">
            <w:rPr>
              <w:rFonts w:eastAsia="Times New Roman"/>
              <w:lang w:eastAsia="es-CO"/>
            </w:rPr>
            <w:t>e. Las alternativas de renovación y cese del acuerdo</w:t>
          </w:r>
        </w:p>
        <w:p w14:paraId="3BC0A34E" w14:textId="77777777" w:rsidR="003D5DB4" w:rsidRPr="000D0101" w:rsidRDefault="003D5DB4" w:rsidP="000A5389">
          <w:pPr>
            <w:spacing w:line="240" w:lineRule="auto"/>
            <w:rPr>
              <w:rFonts w:eastAsia="Times New Roman"/>
              <w:lang w:eastAsia="es-CO"/>
            </w:rPr>
          </w:pPr>
        </w:p>
        <w:p w14:paraId="6845CB5D" w14:textId="77777777" w:rsidR="003D5DB4" w:rsidRPr="000D0101" w:rsidRDefault="003D5DB4" w:rsidP="000A5389">
          <w:pPr>
            <w:spacing w:line="240" w:lineRule="auto"/>
            <w:rPr>
              <w:rFonts w:eastAsia="Times New Roman"/>
              <w:lang w:eastAsia="es-CO"/>
            </w:rPr>
          </w:pPr>
          <w:r w:rsidRPr="000D0101">
            <w:rPr>
              <w:rFonts w:eastAsia="Times New Roman"/>
              <w:lang w:eastAsia="es-CO"/>
            </w:rPr>
            <w:t>Descripción:</w:t>
          </w:r>
          <w:r w:rsidRPr="000D0101">
            <w:rPr>
              <w:rFonts w:eastAsia="Times New Roman"/>
              <w:lang w:eastAsia="es-CO"/>
            </w:rPr>
            <w:tab/>
            <w:t>La CLÁUSULA DÉCIMA SEGUNDA del contrato, trata las alternativas de renovación del contrato. La CLÁUSULA VIGÉSIMA SEGUNDA abarca lo relacionado con el cese del acuerdo.</w:t>
          </w:r>
        </w:p>
        <w:p w14:paraId="58979B6E" w14:textId="77777777" w:rsidR="003D5DB4" w:rsidRPr="000D0101" w:rsidRDefault="003D5DB4" w:rsidP="000A5389">
          <w:pPr>
            <w:spacing w:line="240" w:lineRule="auto"/>
            <w:rPr>
              <w:rFonts w:eastAsia="Times New Roman"/>
              <w:lang w:eastAsia="es-CO"/>
            </w:rPr>
          </w:pPr>
        </w:p>
        <w:p w14:paraId="4B32B356" w14:textId="77777777" w:rsidR="003D5DB4" w:rsidRPr="000D0101" w:rsidRDefault="003D5DB4" w:rsidP="000A5389">
          <w:pPr>
            <w:spacing w:line="240" w:lineRule="auto"/>
            <w:rPr>
              <w:rFonts w:eastAsia="Times New Roman"/>
              <w:lang w:eastAsia="es-CO"/>
            </w:rPr>
          </w:pPr>
          <w:r w:rsidRPr="000D0101">
            <w:rPr>
              <w:rFonts w:eastAsia="Times New Roman"/>
              <w:lang w:eastAsia="es-CO"/>
            </w:rPr>
            <w:t>Observaciones: NA.</w:t>
          </w:r>
        </w:p>
        <w:p w14:paraId="7316C50D" w14:textId="77777777" w:rsidR="003D5DB4" w:rsidRPr="000D0101" w:rsidRDefault="003D5DB4" w:rsidP="000A5389">
          <w:pPr>
            <w:spacing w:line="240" w:lineRule="auto"/>
            <w:rPr>
              <w:rFonts w:eastAsia="Times New Roman"/>
              <w:lang w:eastAsia="es-CO"/>
            </w:rPr>
          </w:pPr>
        </w:p>
        <w:p w14:paraId="4B92899E" w14:textId="77777777" w:rsidR="003D5DB4" w:rsidRPr="000D0101" w:rsidRDefault="003D5DB4" w:rsidP="000A5389">
          <w:pPr>
            <w:spacing w:line="240" w:lineRule="auto"/>
            <w:rPr>
              <w:rFonts w:eastAsia="Times New Roman"/>
              <w:lang w:eastAsia="es-CO"/>
            </w:rPr>
          </w:pPr>
          <w:r w:rsidRPr="000D0101">
            <w:rPr>
              <w:rFonts w:eastAsia="Times New Roman"/>
              <w:lang w:eastAsia="es-CO"/>
            </w:rPr>
            <w:t>f. Cambios en el acuerdo de concesión que se realicen durante el periodo fiscal</w:t>
          </w:r>
        </w:p>
        <w:p w14:paraId="4FB66304" w14:textId="77777777" w:rsidR="003D5DB4" w:rsidRPr="000D0101" w:rsidRDefault="003D5DB4" w:rsidP="000A5389">
          <w:pPr>
            <w:spacing w:line="240" w:lineRule="auto"/>
            <w:rPr>
              <w:rFonts w:eastAsia="Times New Roman"/>
              <w:lang w:eastAsia="es-CO"/>
            </w:rPr>
          </w:pPr>
        </w:p>
        <w:p w14:paraId="23016A85" w14:textId="77777777" w:rsidR="003D5DB4" w:rsidRPr="000D0101" w:rsidRDefault="003D5DB4" w:rsidP="000A5389">
          <w:pPr>
            <w:spacing w:line="240" w:lineRule="auto"/>
            <w:rPr>
              <w:rFonts w:eastAsia="Times New Roman"/>
              <w:lang w:eastAsia="es-CO"/>
            </w:rPr>
          </w:pPr>
          <w:r w:rsidRPr="000D0101">
            <w:rPr>
              <w:rFonts w:eastAsia="Times New Roman"/>
              <w:lang w:eastAsia="es-CO"/>
            </w:rPr>
            <w:t>Adiciones o modificaciones en tiempo</w:t>
          </w:r>
        </w:p>
        <w:p w14:paraId="08603089" w14:textId="77777777" w:rsidR="003D5DB4" w:rsidRPr="000D0101" w:rsidRDefault="003D5DB4" w:rsidP="000A5389">
          <w:pPr>
            <w:spacing w:line="240" w:lineRule="auto"/>
            <w:rPr>
              <w:rFonts w:eastAsia="Times New Roman"/>
              <w:lang w:eastAsia="es-CO"/>
            </w:rPr>
          </w:pPr>
          <w:r w:rsidRPr="000D0101">
            <w:rPr>
              <w:rFonts w:eastAsia="Times New Roman"/>
              <w:lang w:eastAsia="es-CO"/>
            </w:rPr>
            <w:t>Fechas de las adiciones o modificaciones: N/A</w:t>
          </w:r>
        </w:p>
        <w:p w14:paraId="6D329E6E" w14:textId="77777777" w:rsidR="003D5DB4" w:rsidRPr="000D0101" w:rsidRDefault="003D5DB4" w:rsidP="000A5389">
          <w:pPr>
            <w:spacing w:line="240" w:lineRule="auto"/>
            <w:rPr>
              <w:rFonts w:eastAsia="Times New Roman"/>
              <w:lang w:eastAsia="es-CO"/>
            </w:rPr>
          </w:pPr>
          <w:r w:rsidRPr="000D0101">
            <w:rPr>
              <w:rFonts w:eastAsia="Times New Roman"/>
              <w:lang w:eastAsia="es-CO"/>
            </w:rPr>
            <w:t>Nueva fecha de finalización estimada: N/A</w:t>
          </w:r>
        </w:p>
        <w:p w14:paraId="49F4D7AC" w14:textId="77777777" w:rsidR="003D5DB4" w:rsidRPr="000D0101" w:rsidRDefault="003D5DB4" w:rsidP="000A5389">
          <w:pPr>
            <w:spacing w:line="240" w:lineRule="auto"/>
            <w:rPr>
              <w:rFonts w:eastAsia="Times New Roman"/>
              <w:lang w:eastAsia="es-CO"/>
            </w:rPr>
          </w:pPr>
          <w:r w:rsidRPr="000D0101">
            <w:rPr>
              <w:rFonts w:eastAsia="Times New Roman"/>
              <w:lang w:eastAsia="es-CO"/>
            </w:rPr>
            <w:t>Observaciones: N/A</w:t>
          </w:r>
        </w:p>
        <w:p w14:paraId="5102C91C" w14:textId="77777777" w:rsidR="003D5DB4" w:rsidRPr="000D0101" w:rsidRDefault="003D5DB4" w:rsidP="000A5389">
          <w:pPr>
            <w:spacing w:line="240" w:lineRule="auto"/>
            <w:rPr>
              <w:rFonts w:eastAsia="Times New Roman"/>
              <w:lang w:eastAsia="es-CO"/>
            </w:rPr>
          </w:pPr>
          <w:r w:rsidRPr="000D0101">
            <w:rPr>
              <w:rFonts w:eastAsia="Times New Roman"/>
              <w:lang w:eastAsia="es-CO"/>
            </w:rPr>
            <w:lastRenderedPageBreak/>
            <w:t>Adiciones o modificaciones en valor</w:t>
          </w:r>
        </w:p>
        <w:p w14:paraId="72EA1907" w14:textId="77777777" w:rsidR="003D5DB4" w:rsidRPr="000D0101" w:rsidRDefault="003D5DB4" w:rsidP="000A5389">
          <w:pPr>
            <w:spacing w:line="240" w:lineRule="auto"/>
            <w:rPr>
              <w:rFonts w:eastAsia="Times New Roman"/>
              <w:lang w:eastAsia="es-CO"/>
            </w:rPr>
          </w:pPr>
          <w:r w:rsidRPr="000D0101">
            <w:rPr>
              <w:rFonts w:eastAsia="Times New Roman"/>
              <w:lang w:eastAsia="es-CO"/>
            </w:rPr>
            <w:t>Valor de la adición o modificación: N/A</w:t>
          </w:r>
        </w:p>
        <w:p w14:paraId="19CF03ED" w14:textId="77777777" w:rsidR="003D5DB4" w:rsidRPr="000D0101" w:rsidRDefault="003D5DB4" w:rsidP="000A5389">
          <w:pPr>
            <w:spacing w:line="240" w:lineRule="auto"/>
            <w:rPr>
              <w:rFonts w:eastAsia="Times New Roman"/>
              <w:lang w:eastAsia="es-CO"/>
            </w:rPr>
          </w:pPr>
          <w:r w:rsidRPr="000D0101">
            <w:rPr>
              <w:rFonts w:eastAsia="Times New Roman"/>
              <w:lang w:eastAsia="es-CO"/>
            </w:rPr>
            <w:t>Nuevo valor del acuerdo: N/A</w:t>
          </w:r>
        </w:p>
        <w:p w14:paraId="35D6619B" w14:textId="77777777" w:rsidR="003D5DB4" w:rsidRPr="000D0101" w:rsidRDefault="003D5DB4" w:rsidP="000A5389">
          <w:pPr>
            <w:spacing w:line="240" w:lineRule="auto"/>
            <w:rPr>
              <w:rFonts w:eastAsia="Times New Roman"/>
              <w:lang w:eastAsia="es-CO"/>
            </w:rPr>
          </w:pPr>
          <w:r w:rsidRPr="000D0101">
            <w:rPr>
              <w:rFonts w:eastAsia="Times New Roman"/>
              <w:lang w:eastAsia="es-CO"/>
            </w:rPr>
            <w:t>Observaciones: N/A</w:t>
          </w:r>
        </w:p>
        <w:p w14:paraId="7C6B4E39" w14:textId="77777777" w:rsidR="003D5DB4" w:rsidRPr="000D0101" w:rsidRDefault="003D5DB4" w:rsidP="000A5389">
          <w:pPr>
            <w:spacing w:line="240" w:lineRule="auto"/>
            <w:rPr>
              <w:rFonts w:eastAsia="Times New Roman"/>
              <w:lang w:eastAsia="es-CO"/>
            </w:rPr>
          </w:pPr>
        </w:p>
        <w:p w14:paraId="3BA4D585" w14:textId="77777777" w:rsidR="003D5DB4" w:rsidRPr="000D0101" w:rsidRDefault="003D5DB4" w:rsidP="000A5389">
          <w:pPr>
            <w:spacing w:line="240" w:lineRule="auto"/>
            <w:rPr>
              <w:rFonts w:eastAsia="Times New Roman"/>
              <w:lang w:eastAsia="es-CO"/>
            </w:rPr>
          </w:pPr>
        </w:p>
        <w:p w14:paraId="3DA0300D" w14:textId="77777777" w:rsidR="003D5DB4" w:rsidRPr="00CE510F" w:rsidRDefault="003D5DB4" w:rsidP="000A5389">
          <w:pPr>
            <w:spacing w:line="240" w:lineRule="auto"/>
            <w:rPr>
              <w:rFonts w:eastAsia="Times New Roman"/>
              <w:i/>
              <w:iCs/>
              <w:lang w:eastAsia="es-CO"/>
            </w:rPr>
          </w:pPr>
          <w:r w:rsidRPr="00CE510F">
            <w:rPr>
              <w:rFonts w:eastAsia="Times New Roman"/>
              <w:i/>
              <w:iCs/>
              <w:lang w:eastAsia="es-CO"/>
            </w:rPr>
            <w:t xml:space="preserve">SOCIEDAD PORTUARIA DEL DIQUE S.A. </w:t>
          </w:r>
        </w:p>
        <w:p w14:paraId="4560294E" w14:textId="77777777" w:rsidR="003D5DB4" w:rsidRPr="000D0101" w:rsidRDefault="003D5DB4" w:rsidP="000A5389">
          <w:pPr>
            <w:spacing w:line="240" w:lineRule="auto"/>
          </w:pPr>
        </w:p>
        <w:p w14:paraId="151D7339" w14:textId="77777777" w:rsidR="003D5DB4" w:rsidRPr="000D0101" w:rsidRDefault="003D5DB4" w:rsidP="000A5389">
          <w:pPr>
            <w:spacing w:line="240" w:lineRule="auto"/>
            <w:rPr>
              <w:rFonts w:eastAsia="Times New Roman"/>
              <w:lang w:eastAsia="es-CO"/>
            </w:rPr>
          </w:pPr>
          <w:r w:rsidRPr="000D0101">
            <w:rPr>
              <w:rFonts w:eastAsia="Times New Roman"/>
              <w:lang w:eastAsia="es-CO"/>
            </w:rPr>
            <w:t>a. Descripción del Acuerdo</w:t>
          </w:r>
        </w:p>
        <w:p w14:paraId="25DA1C0A" w14:textId="77777777" w:rsidR="003D5DB4" w:rsidRPr="000D0101" w:rsidRDefault="003D5DB4" w:rsidP="000A5389">
          <w:pPr>
            <w:spacing w:line="240" w:lineRule="auto"/>
            <w:rPr>
              <w:rFonts w:eastAsia="Times New Roman"/>
              <w:lang w:eastAsia="es-CO"/>
            </w:rPr>
          </w:pPr>
        </w:p>
        <w:p w14:paraId="3B72664D" w14:textId="77777777" w:rsidR="003D5DB4" w:rsidRPr="000D0101" w:rsidRDefault="003D5DB4" w:rsidP="000A5389">
          <w:pPr>
            <w:spacing w:line="240" w:lineRule="auto"/>
            <w:rPr>
              <w:rFonts w:eastAsia="Times New Roman"/>
              <w:lang w:eastAsia="es-CO"/>
            </w:rPr>
          </w:pPr>
          <w:r w:rsidRPr="000D0101">
            <w:rPr>
              <w:rFonts w:eastAsia="Times New Roman"/>
              <w:lang w:eastAsia="es-CO"/>
            </w:rPr>
            <w:t>Número del Acuerdo de concesión: 060 de 2004</w:t>
          </w:r>
        </w:p>
        <w:p w14:paraId="2ECB7A6E" w14:textId="77777777" w:rsidR="003D5DB4" w:rsidRPr="000D0101" w:rsidRDefault="003D5DB4" w:rsidP="000A5389">
          <w:pPr>
            <w:spacing w:line="240" w:lineRule="auto"/>
            <w:rPr>
              <w:rFonts w:eastAsia="Times New Roman"/>
              <w:lang w:eastAsia="es-CO"/>
            </w:rPr>
          </w:pPr>
          <w:r w:rsidRPr="000D0101">
            <w:rPr>
              <w:rFonts w:eastAsia="Times New Roman"/>
              <w:lang w:eastAsia="es-CO"/>
            </w:rPr>
            <w:t>Objeto / Descripción: En virtud del Contrato de concesión y sus modificaciones, se permite al CONCESIONARIO ocupar y utilizar en forma temporal y exclusiva los bienes pertenecientes a la Nación determinados en la cláusula segunda del presente contrato, ubicados en el distrito de Cartagena de Indias, departamento de Bolívar, destinados al manejo de carga general, a granel y en contenedores, por el tiempo de ejecución estipulado, a cambio de la contraprestación establecida en la Cláusula sexta de este. Cláusula Primera del Contrato.</w:t>
          </w:r>
        </w:p>
        <w:p w14:paraId="4F249B5C" w14:textId="77777777" w:rsidR="003D5DB4" w:rsidRPr="000D0101" w:rsidRDefault="003D5DB4" w:rsidP="000A5389">
          <w:pPr>
            <w:spacing w:line="240" w:lineRule="auto"/>
            <w:rPr>
              <w:rFonts w:eastAsia="Times New Roman"/>
              <w:lang w:eastAsia="es-CO"/>
            </w:rPr>
          </w:pPr>
        </w:p>
        <w:p w14:paraId="4A690A9D" w14:textId="77777777" w:rsidR="003D5DB4" w:rsidRPr="000D0101" w:rsidRDefault="003D5DB4" w:rsidP="000A5389">
          <w:pPr>
            <w:spacing w:line="240" w:lineRule="auto"/>
            <w:rPr>
              <w:rFonts w:eastAsia="Times New Roman"/>
              <w:lang w:eastAsia="es-CO"/>
            </w:rPr>
          </w:pPr>
          <w:r w:rsidRPr="000D0101">
            <w:rPr>
              <w:rFonts w:eastAsia="Times New Roman"/>
              <w:lang w:eastAsia="es-CO"/>
            </w:rPr>
            <w:t>Valor inicial:</w:t>
          </w:r>
          <w:r w:rsidRPr="000D0101">
            <w:rPr>
              <w:rFonts w:eastAsia="Times New Roman"/>
              <w:lang w:eastAsia="es-CO"/>
            </w:rPr>
            <w:tab/>
            <w:t xml:space="preserve">USD $ 394.413,10/ Cláusula sexta / Contrato No 060 de 2004. </w:t>
          </w:r>
        </w:p>
        <w:p w14:paraId="3AC8FBFB" w14:textId="77777777" w:rsidR="003D5DB4" w:rsidRPr="000D0101" w:rsidRDefault="003D5DB4" w:rsidP="000A5389">
          <w:pPr>
            <w:spacing w:line="240" w:lineRule="auto"/>
            <w:rPr>
              <w:rFonts w:eastAsia="Times New Roman"/>
              <w:lang w:eastAsia="es-CO"/>
            </w:rPr>
          </w:pPr>
        </w:p>
        <w:p w14:paraId="4B77A8F2" w14:textId="77777777" w:rsidR="003D5DB4" w:rsidRPr="000D0101" w:rsidRDefault="003D5DB4" w:rsidP="000A5389">
          <w:pPr>
            <w:spacing w:line="240" w:lineRule="auto"/>
            <w:rPr>
              <w:rFonts w:eastAsia="Times New Roman"/>
              <w:lang w:eastAsia="es-CO"/>
            </w:rPr>
          </w:pPr>
          <w:r w:rsidRPr="000D0101">
            <w:rPr>
              <w:rFonts w:eastAsia="Times New Roman"/>
              <w:lang w:eastAsia="es-CO"/>
            </w:rPr>
            <w:t>Valor del Contrato actualizado: Adicionar a la cláusula sexta del Contrato de Concesión una contraprestación por zona de uso público de USD 171.152 /Cláusula cuarta / Otrosí 01 de 2009.</w:t>
          </w:r>
        </w:p>
        <w:p w14:paraId="489920CF" w14:textId="77777777" w:rsidR="003D5DB4" w:rsidRPr="000D0101" w:rsidRDefault="003D5DB4" w:rsidP="000A5389">
          <w:pPr>
            <w:spacing w:line="240" w:lineRule="auto"/>
            <w:rPr>
              <w:rFonts w:eastAsia="Times New Roman"/>
              <w:lang w:eastAsia="es-CO"/>
            </w:rPr>
          </w:pPr>
        </w:p>
        <w:p w14:paraId="358C7752" w14:textId="77777777" w:rsidR="003D5DB4" w:rsidRPr="000D0101" w:rsidRDefault="003D5DB4" w:rsidP="000A5389">
          <w:pPr>
            <w:spacing w:line="240" w:lineRule="auto"/>
            <w:rPr>
              <w:rFonts w:eastAsia="Times New Roman"/>
              <w:lang w:eastAsia="es-CO"/>
            </w:rPr>
          </w:pPr>
          <w:r w:rsidRPr="000D0101">
            <w:rPr>
              <w:rFonts w:eastAsia="Times New Roman"/>
              <w:lang w:eastAsia="es-CO"/>
            </w:rPr>
            <w:t>Fecha de inicio: 5/10/2004</w:t>
          </w:r>
        </w:p>
        <w:p w14:paraId="68CA61A0" w14:textId="77777777" w:rsidR="003D5DB4" w:rsidRPr="000D0101" w:rsidRDefault="003D5DB4" w:rsidP="000A5389">
          <w:pPr>
            <w:spacing w:line="240" w:lineRule="auto"/>
            <w:rPr>
              <w:rFonts w:eastAsia="Times New Roman"/>
              <w:lang w:eastAsia="es-CO"/>
            </w:rPr>
          </w:pPr>
          <w:r w:rsidRPr="000D0101">
            <w:rPr>
              <w:rFonts w:eastAsia="Times New Roman"/>
              <w:lang w:eastAsia="es-CO"/>
            </w:rPr>
            <w:t>Fecha de finalización estimada: 20/06/2024.</w:t>
          </w:r>
        </w:p>
        <w:p w14:paraId="371012FD" w14:textId="77777777" w:rsidR="003D5DB4" w:rsidRPr="000D0101" w:rsidRDefault="003D5DB4" w:rsidP="000A5389">
          <w:pPr>
            <w:spacing w:line="240" w:lineRule="auto"/>
            <w:rPr>
              <w:rFonts w:eastAsia="Times New Roman"/>
              <w:lang w:eastAsia="es-CO"/>
            </w:rPr>
          </w:pPr>
          <w:r w:rsidRPr="000D0101">
            <w:rPr>
              <w:rFonts w:eastAsia="Times New Roman"/>
              <w:lang w:eastAsia="es-CO"/>
            </w:rPr>
            <w:t>Tipo ID: NIT</w:t>
          </w:r>
        </w:p>
        <w:p w14:paraId="7EB541E8" w14:textId="77777777" w:rsidR="003D5DB4" w:rsidRPr="000D0101" w:rsidRDefault="003D5DB4" w:rsidP="000A5389">
          <w:pPr>
            <w:spacing w:line="240" w:lineRule="auto"/>
            <w:rPr>
              <w:rFonts w:eastAsia="Times New Roman"/>
              <w:lang w:eastAsia="es-CO"/>
            </w:rPr>
          </w:pPr>
          <w:r w:rsidRPr="000D0101">
            <w:rPr>
              <w:rFonts w:eastAsia="Times New Roman"/>
              <w:lang w:eastAsia="es-CO"/>
            </w:rPr>
            <w:t>Número ID: 806.012.654-2</w:t>
          </w:r>
        </w:p>
        <w:p w14:paraId="0AAE64DC" w14:textId="77777777" w:rsidR="003D5DB4" w:rsidRPr="000D0101" w:rsidRDefault="003D5DB4" w:rsidP="000A5389">
          <w:pPr>
            <w:spacing w:line="240" w:lineRule="auto"/>
            <w:rPr>
              <w:rFonts w:eastAsia="Times New Roman"/>
              <w:lang w:eastAsia="es-CO"/>
            </w:rPr>
          </w:pPr>
          <w:r w:rsidRPr="000D0101">
            <w:rPr>
              <w:rFonts w:eastAsia="Times New Roman"/>
              <w:lang w:eastAsia="es-CO"/>
            </w:rPr>
            <w:t>Razón social del concesionario: Sociedad Portuaria del Dique S.A.</w:t>
          </w:r>
        </w:p>
        <w:p w14:paraId="5F5FFDE6" w14:textId="77777777" w:rsidR="003D5DB4" w:rsidRPr="000D0101" w:rsidRDefault="003D5DB4" w:rsidP="000A5389">
          <w:pPr>
            <w:spacing w:line="240" w:lineRule="auto"/>
            <w:rPr>
              <w:rFonts w:eastAsia="Times New Roman"/>
              <w:lang w:eastAsia="es-CO"/>
            </w:rPr>
          </w:pPr>
          <w:r w:rsidRPr="000D0101">
            <w:rPr>
              <w:rFonts w:eastAsia="Times New Roman"/>
              <w:lang w:eastAsia="es-CO"/>
            </w:rPr>
            <w:t>Nombre del proyecto: Sociedad Portuaria del Dique S.A.</w:t>
          </w:r>
        </w:p>
        <w:p w14:paraId="009C4051" w14:textId="77777777" w:rsidR="003D5DB4" w:rsidRPr="000D0101" w:rsidRDefault="003D5DB4" w:rsidP="000A5389">
          <w:pPr>
            <w:spacing w:line="240" w:lineRule="auto"/>
            <w:rPr>
              <w:rFonts w:eastAsia="Times New Roman"/>
              <w:lang w:eastAsia="es-CO"/>
            </w:rPr>
          </w:pPr>
        </w:p>
        <w:p w14:paraId="055C1C27" w14:textId="77777777" w:rsidR="003D5DB4" w:rsidRPr="000D0101" w:rsidRDefault="003D5DB4" w:rsidP="000A5389">
          <w:pPr>
            <w:spacing w:line="240" w:lineRule="auto"/>
            <w:rPr>
              <w:rFonts w:eastAsia="Times New Roman"/>
              <w:lang w:eastAsia="es-CO"/>
            </w:rPr>
          </w:pPr>
          <w:r w:rsidRPr="000D0101">
            <w:rPr>
              <w:rFonts w:eastAsia="Times New Roman"/>
              <w:lang w:eastAsia="es-CO"/>
            </w:rPr>
            <w:t>b. Términos significativos del Acuerdo que puedan afectar su valor, el calendario y la certeza de los flujos de efectivo futuros</w:t>
          </w:r>
        </w:p>
        <w:p w14:paraId="39B0A48A" w14:textId="77777777" w:rsidR="003D5DB4" w:rsidRPr="000D0101" w:rsidRDefault="003D5DB4" w:rsidP="000A5389">
          <w:pPr>
            <w:spacing w:line="240" w:lineRule="auto"/>
            <w:rPr>
              <w:rFonts w:eastAsia="Times New Roman"/>
              <w:lang w:eastAsia="es-CO"/>
            </w:rPr>
          </w:pPr>
        </w:p>
        <w:p w14:paraId="48A51317" w14:textId="77777777" w:rsidR="003D5DB4" w:rsidRPr="000D0101" w:rsidRDefault="003D5DB4" w:rsidP="000A5389">
          <w:pPr>
            <w:spacing w:line="240" w:lineRule="auto"/>
            <w:rPr>
              <w:rFonts w:eastAsia="Times New Roman"/>
              <w:lang w:eastAsia="es-CO"/>
            </w:rPr>
          </w:pPr>
          <w:r w:rsidRPr="000D0101">
            <w:rPr>
              <w:rFonts w:eastAsia="Times New Roman"/>
              <w:lang w:eastAsia="es-CO"/>
            </w:rPr>
            <w:t>Términos de valor:</w:t>
          </w:r>
          <w:r w:rsidRPr="000D0101">
            <w:rPr>
              <w:rFonts w:eastAsia="Times New Roman"/>
              <w:lang w:eastAsia="es-CO"/>
            </w:rPr>
            <w:tab/>
            <w:t xml:space="preserve">1: Tarifas: Al ser el terminal marítimo de servicio público la Ley 1 de 1991 establece: las sociedades portuarias que operan puertos de servicio público las tarifas requieren ser aprobadas según la metodología establecida por la Superintendencia General de Puertos hoy Superintendencia de Transporte. </w:t>
          </w:r>
        </w:p>
        <w:p w14:paraId="7FDA227B" w14:textId="77777777" w:rsidR="003D5DB4" w:rsidRPr="000D0101" w:rsidRDefault="003D5DB4" w:rsidP="000A5389">
          <w:pPr>
            <w:spacing w:line="240" w:lineRule="auto"/>
            <w:rPr>
              <w:rFonts w:eastAsia="Times New Roman"/>
              <w:lang w:eastAsia="es-CO"/>
            </w:rPr>
          </w:pPr>
        </w:p>
        <w:p w14:paraId="6E69D3AC" w14:textId="77777777" w:rsidR="003D5DB4" w:rsidRPr="000D0101" w:rsidRDefault="003D5DB4" w:rsidP="000A5389">
          <w:pPr>
            <w:spacing w:line="240" w:lineRule="auto"/>
            <w:rPr>
              <w:rFonts w:eastAsia="Times New Roman"/>
              <w:lang w:eastAsia="es-CO"/>
            </w:rPr>
          </w:pPr>
          <w:r w:rsidRPr="000D0101">
            <w:rPr>
              <w:rFonts w:eastAsia="Times New Roman"/>
              <w:lang w:eastAsia="es-CO"/>
            </w:rPr>
            <w:t>2: Contraprestación portuaria: Contraprestación metodología CONPES 3744 de 2013, Pago en 2025 la suma de $ 239,449,662. $ 223,446,771 INVIAS</w:t>
          </w:r>
          <w:r w:rsidRPr="000D0101">
            <w:rPr>
              <w:rFonts w:eastAsia="Times New Roman"/>
              <w:lang w:eastAsia="es-CO"/>
            </w:rPr>
            <w:tab/>
            <w:t>$16,002,891. MUNICIPIO Autorización temporal.</w:t>
          </w:r>
        </w:p>
        <w:p w14:paraId="6CEA6B96" w14:textId="77777777" w:rsidR="003D5DB4" w:rsidRPr="000D0101" w:rsidRDefault="003D5DB4" w:rsidP="000A5389">
          <w:pPr>
            <w:spacing w:line="240" w:lineRule="auto"/>
            <w:rPr>
              <w:rFonts w:eastAsia="Times New Roman"/>
              <w:lang w:eastAsia="es-CO"/>
            </w:rPr>
          </w:pPr>
        </w:p>
        <w:p w14:paraId="782E4E4D" w14:textId="77777777" w:rsidR="003D5DB4" w:rsidRPr="000D0101" w:rsidRDefault="003D5DB4" w:rsidP="000A5389">
          <w:pPr>
            <w:spacing w:line="240" w:lineRule="auto"/>
            <w:rPr>
              <w:rFonts w:eastAsia="Times New Roman"/>
              <w:lang w:eastAsia="es-CO"/>
            </w:rPr>
          </w:pPr>
          <w:r w:rsidRPr="000D0101">
            <w:rPr>
              <w:rFonts w:eastAsia="Times New Roman"/>
              <w:lang w:eastAsia="es-CO"/>
            </w:rPr>
            <w:lastRenderedPageBreak/>
            <w:t xml:space="preserve">3.Plan de Inversiones: Está establecido en la cláusula décima cuarta del contrato, modificado por el Otrosí No.001 de 2009 en su cláusula octava, modificada por la cláusula primera del Otrosí No. 002 de 2010, cuyo valor presente neto equivale a USD 299.343 tal como está establecido en la Resolución 1104 de 2017. </w:t>
          </w:r>
        </w:p>
        <w:p w14:paraId="237EE712" w14:textId="77777777" w:rsidR="003D5DB4" w:rsidRPr="000D0101" w:rsidRDefault="003D5DB4" w:rsidP="000A5389">
          <w:pPr>
            <w:spacing w:line="240" w:lineRule="auto"/>
            <w:rPr>
              <w:rFonts w:eastAsia="Times New Roman"/>
              <w:lang w:eastAsia="es-CO"/>
            </w:rPr>
          </w:pPr>
        </w:p>
        <w:p w14:paraId="56736432" w14:textId="77777777" w:rsidR="003D5DB4" w:rsidRPr="000D0101" w:rsidRDefault="003D5DB4" w:rsidP="000A5389">
          <w:pPr>
            <w:spacing w:line="240" w:lineRule="auto"/>
            <w:rPr>
              <w:rFonts w:eastAsia="Times New Roman"/>
              <w:lang w:eastAsia="es-CO"/>
            </w:rPr>
          </w:pPr>
          <w:r w:rsidRPr="000D0101">
            <w:rPr>
              <w:rFonts w:eastAsia="Times New Roman"/>
              <w:lang w:eastAsia="es-CO"/>
            </w:rPr>
            <w:t xml:space="preserve">4. Obligaciones del CONCESIONARIO: se encuentran descritas en la cláusula décima primera y cláusula sexta del Otrosí No 001 de 2009. </w:t>
          </w:r>
        </w:p>
        <w:p w14:paraId="23D7B705" w14:textId="77777777" w:rsidR="003D5DB4" w:rsidRPr="000D0101" w:rsidRDefault="003D5DB4" w:rsidP="000A5389">
          <w:pPr>
            <w:spacing w:line="240" w:lineRule="auto"/>
            <w:rPr>
              <w:rFonts w:eastAsia="Times New Roman"/>
              <w:lang w:eastAsia="es-CO"/>
            </w:rPr>
          </w:pPr>
        </w:p>
        <w:p w14:paraId="25950107" w14:textId="77777777" w:rsidR="003D5DB4" w:rsidRPr="000D0101" w:rsidRDefault="003D5DB4" w:rsidP="000A5389">
          <w:pPr>
            <w:spacing w:line="240" w:lineRule="auto"/>
            <w:rPr>
              <w:rFonts w:eastAsia="Times New Roman"/>
              <w:lang w:eastAsia="es-CO"/>
            </w:rPr>
          </w:pPr>
          <w:r w:rsidRPr="000D0101">
            <w:rPr>
              <w:rFonts w:eastAsia="Times New Roman"/>
              <w:lang w:eastAsia="es-CO"/>
            </w:rPr>
            <w:t xml:space="preserve">5. Multas y sanciones: están establecidas en la cláusula décima séptima del Contrato 006 de 2004. </w:t>
          </w:r>
        </w:p>
        <w:p w14:paraId="60552496" w14:textId="77777777" w:rsidR="003D5DB4" w:rsidRPr="000D0101" w:rsidRDefault="003D5DB4" w:rsidP="000A5389">
          <w:pPr>
            <w:spacing w:line="240" w:lineRule="auto"/>
            <w:rPr>
              <w:rFonts w:eastAsia="Times New Roman"/>
              <w:lang w:eastAsia="es-CO"/>
            </w:rPr>
          </w:pPr>
        </w:p>
        <w:p w14:paraId="3D696D6D" w14:textId="77777777" w:rsidR="003D5DB4" w:rsidRPr="000D0101" w:rsidRDefault="003D5DB4" w:rsidP="000A5389">
          <w:pPr>
            <w:spacing w:line="240" w:lineRule="auto"/>
            <w:rPr>
              <w:rFonts w:eastAsia="Times New Roman"/>
              <w:lang w:eastAsia="es-CO"/>
            </w:rPr>
          </w:pPr>
          <w:r w:rsidRPr="000D0101">
            <w:rPr>
              <w:rFonts w:eastAsia="Times New Roman"/>
              <w:lang w:eastAsia="es-CO"/>
            </w:rPr>
            <w:t>6. Penal pecuniario: En la cláusula décima octava del Contrato se establece que en el evento en que el INCO declare la caducidad o el incumplimiento del presente contrato, El Concesionario deberá pagar la suma equivalente al 10% del valor total de la contraprestación, como sanción pecuniaria.</w:t>
          </w:r>
        </w:p>
        <w:p w14:paraId="1097CDC3" w14:textId="77777777" w:rsidR="003D5DB4" w:rsidRPr="000D0101" w:rsidRDefault="003D5DB4" w:rsidP="000A5389">
          <w:pPr>
            <w:spacing w:line="240" w:lineRule="auto"/>
            <w:rPr>
              <w:rFonts w:eastAsia="Times New Roman"/>
              <w:lang w:eastAsia="es-CO"/>
            </w:rPr>
          </w:pPr>
        </w:p>
        <w:p w14:paraId="2ABD592E" w14:textId="77777777" w:rsidR="003D5DB4" w:rsidRPr="000D0101" w:rsidRDefault="003D5DB4" w:rsidP="000A5389">
          <w:pPr>
            <w:spacing w:line="240" w:lineRule="auto"/>
            <w:rPr>
              <w:rFonts w:eastAsia="Times New Roman"/>
              <w:lang w:eastAsia="es-CO"/>
            </w:rPr>
          </w:pPr>
          <w:r w:rsidRPr="000D0101">
            <w:rPr>
              <w:rFonts w:eastAsia="Times New Roman"/>
              <w:lang w:eastAsia="es-CO"/>
            </w:rPr>
            <w:t>Términos de calendario:</w:t>
          </w:r>
          <w:r w:rsidRPr="000D0101">
            <w:rPr>
              <w:rFonts w:eastAsia="Times New Roman"/>
              <w:lang w:eastAsia="es-CO"/>
            </w:rPr>
            <w:tab/>
            <w:t xml:space="preserve">1: Tarifas: Aprobadas según la metodología establecida por la Superintendencia General de Puertos hoy Superintendencia de Transporte. </w:t>
          </w:r>
        </w:p>
        <w:p w14:paraId="3D12FB0D" w14:textId="77777777" w:rsidR="003D5DB4" w:rsidRPr="000D0101" w:rsidRDefault="003D5DB4" w:rsidP="000A5389">
          <w:pPr>
            <w:spacing w:line="240" w:lineRule="auto"/>
            <w:rPr>
              <w:rFonts w:eastAsia="Times New Roman"/>
              <w:lang w:eastAsia="es-CO"/>
            </w:rPr>
          </w:pPr>
        </w:p>
        <w:p w14:paraId="1C35E430" w14:textId="77777777" w:rsidR="003D5DB4" w:rsidRPr="000D0101" w:rsidRDefault="003D5DB4" w:rsidP="000A5389">
          <w:pPr>
            <w:spacing w:line="240" w:lineRule="auto"/>
            <w:rPr>
              <w:rFonts w:eastAsia="Times New Roman"/>
              <w:lang w:eastAsia="es-CO"/>
            </w:rPr>
          </w:pPr>
          <w:r w:rsidRPr="000D0101">
            <w:rPr>
              <w:rFonts w:eastAsia="Times New Roman"/>
              <w:lang w:eastAsia="es-CO"/>
            </w:rPr>
            <w:t>2: Contraprestación portuaria: la contraprestación se debe pagar de manera anticipada dentro de los cinco (5) días siguientes a la fecha de vencimiento de la anualidad en el mes de octubre.</w:t>
          </w:r>
        </w:p>
        <w:p w14:paraId="5A7FBD55" w14:textId="77777777" w:rsidR="003D5DB4" w:rsidRPr="000D0101" w:rsidRDefault="003D5DB4" w:rsidP="000A5389">
          <w:pPr>
            <w:spacing w:line="240" w:lineRule="auto"/>
            <w:rPr>
              <w:rFonts w:eastAsia="Times New Roman"/>
              <w:lang w:eastAsia="es-CO"/>
            </w:rPr>
          </w:pPr>
        </w:p>
        <w:p w14:paraId="718F530C" w14:textId="77777777" w:rsidR="003D5DB4" w:rsidRPr="000D0101" w:rsidRDefault="003D5DB4" w:rsidP="000A5389">
          <w:pPr>
            <w:spacing w:line="240" w:lineRule="auto"/>
            <w:rPr>
              <w:rFonts w:eastAsia="Times New Roman"/>
              <w:lang w:eastAsia="es-CO"/>
            </w:rPr>
          </w:pPr>
          <w:r w:rsidRPr="000D0101">
            <w:rPr>
              <w:rFonts w:eastAsia="Times New Roman"/>
              <w:lang w:eastAsia="es-CO"/>
            </w:rPr>
            <w:t xml:space="preserve">3: Plan de Inversiones: Está establecido en la cláusula décima cuarta del contrato, modificado por el Otrosí No.001 de 2009 en su cláusula octava, modificada por la cláusula primera del Otrosí No. 002 de 2010, cuyo valor presente neto equivale a USD 299.343 tal como está establecido en la Resolución 1104 de 2017. </w:t>
          </w:r>
        </w:p>
        <w:p w14:paraId="2271E627" w14:textId="77777777" w:rsidR="003D5DB4" w:rsidRPr="000D0101" w:rsidRDefault="003D5DB4" w:rsidP="000A5389">
          <w:pPr>
            <w:spacing w:line="240" w:lineRule="auto"/>
            <w:rPr>
              <w:rFonts w:eastAsia="Times New Roman"/>
              <w:lang w:eastAsia="es-CO"/>
            </w:rPr>
          </w:pPr>
        </w:p>
        <w:p w14:paraId="06972423" w14:textId="77777777" w:rsidR="003D5DB4" w:rsidRPr="000D0101" w:rsidRDefault="003D5DB4" w:rsidP="000A5389">
          <w:pPr>
            <w:spacing w:line="240" w:lineRule="auto"/>
            <w:rPr>
              <w:rFonts w:eastAsia="Times New Roman"/>
              <w:lang w:eastAsia="es-CO"/>
            </w:rPr>
          </w:pPr>
          <w:r w:rsidRPr="000D0101">
            <w:rPr>
              <w:rFonts w:eastAsia="Times New Roman"/>
              <w:lang w:eastAsia="es-CO"/>
            </w:rPr>
            <w:t>4. Multas: Cláusula décima séptima del Contrato 006 de 2004</w:t>
          </w:r>
        </w:p>
        <w:p w14:paraId="6F520E81" w14:textId="77777777" w:rsidR="003D5DB4" w:rsidRPr="000D0101" w:rsidRDefault="003D5DB4" w:rsidP="000A5389">
          <w:pPr>
            <w:spacing w:line="240" w:lineRule="auto"/>
            <w:rPr>
              <w:rFonts w:eastAsia="Times New Roman"/>
              <w:lang w:eastAsia="es-CO"/>
            </w:rPr>
          </w:pPr>
        </w:p>
        <w:p w14:paraId="3A03691E" w14:textId="77777777" w:rsidR="003D5DB4" w:rsidRPr="000D0101" w:rsidRDefault="003D5DB4" w:rsidP="000A5389">
          <w:pPr>
            <w:spacing w:line="240" w:lineRule="auto"/>
            <w:rPr>
              <w:rFonts w:eastAsia="Times New Roman"/>
              <w:lang w:eastAsia="es-CO"/>
            </w:rPr>
          </w:pPr>
          <w:r w:rsidRPr="000D0101">
            <w:rPr>
              <w:rFonts w:eastAsia="Times New Roman"/>
              <w:lang w:eastAsia="es-CO"/>
            </w:rPr>
            <w:t>Términos de certeza de flujos de efectivo futuros: Se permite al CONCESIONARIO para ocupar y utilizar en forma temporal y exclusiva los bienes pertenecientes a la Nación determinados en la Cláusula segunda del presente contrato, ubicados en el Distrito de Cartagena de Indias, departamento de Bolívar, destinados al manejo de carga general, a granel y en contenedores, por el tiempo de ejecución estipulado, a cambio de la contraprestación establecida en la Cláusula sexta de esta de este. En la Cláusula sexta, el valor a pagar por concepto de contraprestación por Zona de Uso público el 80% le corresponde a la Nación-INVIAS y el 20 % al Distrito turístico de Cartagena de Indias de conformidad con lo establecido en la Ley 856 del 21 de diciembre de 2003 y por Infraestructura el 100% a la Nación-INVIAS.</w:t>
          </w:r>
        </w:p>
        <w:p w14:paraId="2FE48049" w14:textId="77777777" w:rsidR="003D5DB4" w:rsidRPr="000D0101" w:rsidRDefault="003D5DB4" w:rsidP="000A5389">
          <w:pPr>
            <w:spacing w:line="240" w:lineRule="auto"/>
            <w:rPr>
              <w:rFonts w:eastAsia="Times New Roman"/>
              <w:lang w:eastAsia="es-CO"/>
            </w:rPr>
          </w:pPr>
        </w:p>
        <w:p w14:paraId="6C1A48EF" w14:textId="77777777" w:rsidR="003D5DB4" w:rsidRPr="000D0101" w:rsidRDefault="003D5DB4" w:rsidP="000A5389">
          <w:pPr>
            <w:spacing w:line="240" w:lineRule="auto"/>
            <w:rPr>
              <w:rFonts w:eastAsia="Times New Roman"/>
              <w:lang w:eastAsia="es-CO"/>
            </w:rPr>
          </w:pPr>
          <w:r w:rsidRPr="000D0101">
            <w:rPr>
              <w:rFonts w:eastAsia="Times New Roman"/>
              <w:lang w:eastAsia="es-CO"/>
            </w:rPr>
            <w:t>c. Naturaleza y alcance del derecho a utilizar Activos y los aspectos pactados en torno a lo que se espera que el concesionario proporcione en relación con el Acuerdo de concesión</w:t>
          </w:r>
        </w:p>
        <w:p w14:paraId="476CDF8D" w14:textId="77777777" w:rsidR="003D5DB4" w:rsidRPr="000D0101" w:rsidRDefault="003D5DB4" w:rsidP="000A5389">
          <w:pPr>
            <w:spacing w:line="240" w:lineRule="auto"/>
            <w:rPr>
              <w:rFonts w:eastAsia="Times New Roman"/>
              <w:lang w:eastAsia="es-CO"/>
            </w:rPr>
          </w:pPr>
        </w:p>
        <w:p w14:paraId="36C8FF43" w14:textId="77777777" w:rsidR="003D5DB4" w:rsidRPr="000D0101" w:rsidRDefault="003D5DB4" w:rsidP="000A5389">
          <w:pPr>
            <w:spacing w:line="240" w:lineRule="auto"/>
            <w:rPr>
              <w:rFonts w:eastAsia="Times New Roman"/>
              <w:lang w:eastAsia="es-CO"/>
            </w:rPr>
          </w:pPr>
          <w:r w:rsidRPr="000D0101">
            <w:rPr>
              <w:rFonts w:eastAsia="Times New Roman"/>
              <w:lang w:eastAsia="es-CO"/>
            </w:rPr>
            <w:t>Naturaleza y alcance del derecho de uso de los Activos</w:t>
          </w:r>
        </w:p>
        <w:p w14:paraId="7F8C75AF" w14:textId="77777777" w:rsidR="003D5DB4" w:rsidRPr="000D0101" w:rsidRDefault="003D5DB4" w:rsidP="000A5389">
          <w:pPr>
            <w:spacing w:line="240" w:lineRule="auto"/>
            <w:rPr>
              <w:rFonts w:eastAsia="Times New Roman"/>
              <w:lang w:eastAsia="es-CO"/>
            </w:rPr>
          </w:pPr>
          <w:r w:rsidRPr="000D0101">
            <w:rPr>
              <w:rFonts w:eastAsia="Times New Roman"/>
              <w:lang w:eastAsia="es-CO"/>
            </w:rPr>
            <w:lastRenderedPageBreak/>
            <w:t>Descripción:</w:t>
          </w:r>
          <w:r w:rsidRPr="000D0101">
            <w:rPr>
              <w:rFonts w:eastAsia="Times New Roman"/>
              <w:lang w:eastAsia="es-CO"/>
            </w:rPr>
            <w:tab/>
            <w:t>las condiciones especiales de operación del puerto están establecidas en la cláusula quinta. Área entregada en concesión: La descripción de la ubicación, linderos y extensión de los bienes de uso público (playas y terrenos de baja mar, zonas marítimas accesorias de maniobras) entregados en concesión están establecidos en la cláusula segunda. Infraestructura y equipos entregados en concesión: En la cláusula segunda del Contrato, se describe que lo entregado en concesión fue: Infraestructura: Muelle marginal construido en tablestacas de concreto y reforzado con tablestacado en acero. / Construcción de viga y Bita de amarre.</w:t>
          </w:r>
        </w:p>
        <w:p w14:paraId="4A8BB528" w14:textId="77777777" w:rsidR="003D5DB4" w:rsidRPr="000D0101" w:rsidRDefault="003D5DB4" w:rsidP="000A5389">
          <w:pPr>
            <w:spacing w:line="240" w:lineRule="auto"/>
            <w:rPr>
              <w:rFonts w:eastAsia="Times New Roman"/>
              <w:lang w:eastAsia="es-CO"/>
            </w:rPr>
          </w:pPr>
        </w:p>
        <w:p w14:paraId="6CB19FA9" w14:textId="77777777" w:rsidR="003D5DB4" w:rsidRPr="000D0101" w:rsidRDefault="003D5DB4" w:rsidP="000A5389">
          <w:pPr>
            <w:spacing w:line="240" w:lineRule="auto"/>
            <w:rPr>
              <w:rFonts w:eastAsia="Times New Roman"/>
              <w:lang w:eastAsia="es-CO"/>
            </w:rPr>
          </w:pPr>
          <w:r w:rsidRPr="000D0101">
            <w:rPr>
              <w:rFonts w:eastAsia="Times New Roman"/>
              <w:lang w:eastAsia="es-CO"/>
            </w:rPr>
            <w:t>Observaciones: NA</w:t>
          </w:r>
        </w:p>
        <w:p w14:paraId="75471851" w14:textId="77777777" w:rsidR="003D5DB4" w:rsidRPr="000D0101" w:rsidRDefault="003D5DB4" w:rsidP="000A5389">
          <w:pPr>
            <w:spacing w:line="240" w:lineRule="auto"/>
            <w:rPr>
              <w:rFonts w:eastAsia="Times New Roman"/>
              <w:lang w:eastAsia="es-CO"/>
            </w:rPr>
          </w:pPr>
        </w:p>
        <w:p w14:paraId="437CDA6E" w14:textId="77777777" w:rsidR="003D5DB4" w:rsidRPr="000D0101" w:rsidRDefault="003D5DB4" w:rsidP="000A5389">
          <w:pPr>
            <w:spacing w:line="240" w:lineRule="auto"/>
            <w:rPr>
              <w:rFonts w:eastAsia="Times New Roman"/>
              <w:lang w:eastAsia="es-CO"/>
            </w:rPr>
          </w:pPr>
          <w:r w:rsidRPr="000D0101">
            <w:rPr>
              <w:rFonts w:eastAsia="Times New Roman"/>
              <w:lang w:eastAsia="es-CO"/>
            </w:rPr>
            <w:t>Retribución al concesionario</w:t>
          </w:r>
        </w:p>
        <w:p w14:paraId="27D4834E" w14:textId="77777777" w:rsidR="003D5DB4" w:rsidRPr="000D0101" w:rsidRDefault="003D5DB4" w:rsidP="000A5389">
          <w:pPr>
            <w:spacing w:line="240" w:lineRule="auto"/>
            <w:rPr>
              <w:rFonts w:eastAsia="Times New Roman"/>
              <w:lang w:eastAsia="es-CO"/>
            </w:rPr>
          </w:pPr>
        </w:p>
        <w:p w14:paraId="1EBE1CE8" w14:textId="77777777" w:rsidR="003D5DB4" w:rsidRPr="000D0101" w:rsidRDefault="003D5DB4" w:rsidP="000A5389">
          <w:pPr>
            <w:spacing w:line="240" w:lineRule="auto"/>
            <w:rPr>
              <w:rFonts w:eastAsia="Times New Roman"/>
              <w:lang w:eastAsia="es-CO"/>
            </w:rPr>
          </w:pPr>
          <w:r w:rsidRPr="000D0101">
            <w:rPr>
              <w:rFonts w:eastAsia="Times New Roman"/>
              <w:lang w:eastAsia="es-CO"/>
            </w:rPr>
            <w:t>Descripción:</w:t>
          </w:r>
          <w:r w:rsidRPr="000D0101">
            <w:rPr>
              <w:rFonts w:eastAsia="Times New Roman"/>
              <w:lang w:eastAsia="es-CO"/>
            </w:rPr>
            <w:tab/>
            <w:t>Se permite al CONCESIONARIO para ocupar y utilizar en forma temporal y exclusiva los bienes pertenecientes a la Nación determinados en la Cláusula segunda del presente contrato, ubicados en el Distrito de Cartagena de Indias, departamento de Bolívar, destinados al manejo de carga general, a granel y en contenedores, por el tiempo de ejecución estipulado, a cambio de la contraprestación establecida en la Cláusula sexta de esta de este.</w:t>
          </w:r>
        </w:p>
        <w:p w14:paraId="7E67B463" w14:textId="77777777" w:rsidR="003D5DB4" w:rsidRPr="000D0101" w:rsidRDefault="003D5DB4" w:rsidP="000A5389">
          <w:pPr>
            <w:spacing w:line="240" w:lineRule="auto"/>
            <w:rPr>
              <w:rFonts w:eastAsia="Times New Roman"/>
              <w:lang w:eastAsia="es-CO"/>
            </w:rPr>
          </w:pPr>
        </w:p>
        <w:p w14:paraId="6B803E70" w14:textId="77777777" w:rsidR="003D5DB4" w:rsidRPr="000D0101" w:rsidRDefault="003D5DB4" w:rsidP="000A5389">
          <w:pPr>
            <w:spacing w:line="240" w:lineRule="auto"/>
            <w:rPr>
              <w:rFonts w:eastAsia="Times New Roman"/>
              <w:lang w:eastAsia="es-CO"/>
            </w:rPr>
          </w:pPr>
          <w:r w:rsidRPr="000D0101">
            <w:rPr>
              <w:rFonts w:eastAsia="Times New Roman"/>
              <w:lang w:eastAsia="es-CO"/>
            </w:rPr>
            <w:t>Tasa de retribución:</w:t>
          </w:r>
          <w:r w:rsidRPr="000D0101">
            <w:rPr>
              <w:rFonts w:eastAsia="Times New Roman"/>
              <w:lang w:eastAsia="es-CO"/>
            </w:rPr>
            <w:tab/>
            <w:t>NA</w:t>
          </w:r>
        </w:p>
        <w:p w14:paraId="31E82DEC" w14:textId="77777777" w:rsidR="003D5DB4" w:rsidRPr="000D0101" w:rsidRDefault="003D5DB4" w:rsidP="000A5389">
          <w:pPr>
            <w:spacing w:line="240" w:lineRule="auto"/>
            <w:rPr>
              <w:rFonts w:eastAsia="Times New Roman"/>
              <w:lang w:eastAsia="es-CO"/>
            </w:rPr>
          </w:pPr>
        </w:p>
        <w:p w14:paraId="33368B7B" w14:textId="77777777" w:rsidR="003D5DB4" w:rsidRPr="000D0101" w:rsidRDefault="003D5DB4" w:rsidP="000A5389">
          <w:pPr>
            <w:spacing w:line="240" w:lineRule="auto"/>
            <w:rPr>
              <w:rFonts w:eastAsia="Times New Roman"/>
              <w:lang w:eastAsia="es-CO"/>
            </w:rPr>
          </w:pPr>
          <w:r w:rsidRPr="000D0101">
            <w:rPr>
              <w:rFonts w:eastAsia="Times New Roman"/>
              <w:lang w:eastAsia="es-CO"/>
            </w:rPr>
            <w:t>d. Derechos a recibir Activos especificados al final del acuerdo de concesión</w:t>
          </w:r>
        </w:p>
        <w:p w14:paraId="4E91B1DE" w14:textId="77777777" w:rsidR="003D5DB4" w:rsidRPr="000D0101" w:rsidRDefault="003D5DB4" w:rsidP="000A5389">
          <w:pPr>
            <w:spacing w:line="240" w:lineRule="auto"/>
            <w:rPr>
              <w:rFonts w:eastAsia="Times New Roman"/>
              <w:lang w:eastAsia="es-CO"/>
            </w:rPr>
          </w:pPr>
        </w:p>
        <w:p w14:paraId="466176BA" w14:textId="77777777" w:rsidR="003D5DB4" w:rsidRPr="000D0101" w:rsidRDefault="003D5DB4" w:rsidP="000A5389">
          <w:pPr>
            <w:spacing w:line="240" w:lineRule="auto"/>
            <w:rPr>
              <w:rFonts w:eastAsia="Times New Roman"/>
              <w:lang w:eastAsia="es-CO"/>
            </w:rPr>
          </w:pPr>
          <w:r w:rsidRPr="000D0101">
            <w:rPr>
              <w:rFonts w:eastAsia="Times New Roman"/>
              <w:lang w:eastAsia="es-CO"/>
            </w:rPr>
            <w:t>Descripción:</w:t>
          </w:r>
          <w:r w:rsidRPr="000D0101">
            <w:rPr>
              <w:rFonts w:eastAsia="Times New Roman"/>
              <w:lang w:eastAsia="es-CO"/>
            </w:rPr>
            <w:tab/>
            <w:t>De acuerdo con el Artículo 8º de la Ley 1 de 1991 en el modo portuario el concesionario no tiene derechos finales sobre activos los debe revertir a la Nación al final del contrato de concesión.</w:t>
          </w:r>
        </w:p>
        <w:p w14:paraId="241498AF" w14:textId="77777777" w:rsidR="003D5DB4" w:rsidRPr="000D0101" w:rsidRDefault="003D5DB4" w:rsidP="000A5389">
          <w:pPr>
            <w:spacing w:line="240" w:lineRule="auto"/>
            <w:rPr>
              <w:rFonts w:eastAsia="Times New Roman"/>
              <w:lang w:eastAsia="es-CO"/>
            </w:rPr>
          </w:pPr>
        </w:p>
        <w:p w14:paraId="4532469E" w14:textId="77777777" w:rsidR="003D5DB4" w:rsidRPr="000D0101" w:rsidRDefault="003D5DB4" w:rsidP="000A5389">
          <w:pPr>
            <w:spacing w:line="240" w:lineRule="auto"/>
            <w:rPr>
              <w:rFonts w:eastAsia="Times New Roman"/>
              <w:lang w:eastAsia="es-CO"/>
            </w:rPr>
          </w:pPr>
          <w:r w:rsidRPr="000D0101">
            <w:rPr>
              <w:rFonts w:eastAsia="Times New Roman"/>
              <w:lang w:eastAsia="es-CO"/>
            </w:rPr>
            <w:t>Observaciones: Reversión: De acuerdo con lo establecido en la cláusula novena, la zona de uso público y todas las construcciones (obras e inversiones) que se encuentren habitualmente instaladas sobre aquélla, otorgadas en concesión en virtud del presente contrato, o que sean ejecutadas dentro del plazo del mismo y los inmuebles por destinación (equipos e| inversiones) afectos a la operación del muelle revertirán a la Nación, en buenas condiciones de operación tecnológica y de adecuada eficiencia al término de este contrato. Igualmente, procederá la reversión al ser declarada la caducidad o la terminación unilateral. Al efecto el Concesionario deberá en el momento de la reversión hacer entrega de un avalúo comercial actualizado y valoración técnica de las condiciones de operación de la infraestructura portuaria y equipos e inmuebles por destinación que habitualmente se encuentren instalados en las zonas de uso público que se revierten y que son de propiedad de la Nación. Para tal fin, en el momento de la reversión el CONCESIONARIO elaborará un inventario de los bienes y los enviará para su revisión y aprobación. La ANI es la entidad concedente pero la titularidad de los activos al final de la concesión es del Instituto Nacional de Vías INVIAS.</w:t>
          </w:r>
        </w:p>
        <w:p w14:paraId="34CBFB75" w14:textId="77777777" w:rsidR="003D5DB4" w:rsidRPr="000D0101" w:rsidRDefault="003D5DB4" w:rsidP="000A5389">
          <w:pPr>
            <w:spacing w:line="240" w:lineRule="auto"/>
            <w:rPr>
              <w:rFonts w:eastAsia="Times New Roman"/>
              <w:lang w:eastAsia="es-CO"/>
            </w:rPr>
          </w:pPr>
        </w:p>
        <w:p w14:paraId="107A8C1A" w14:textId="77777777" w:rsidR="003D5DB4" w:rsidRPr="000D0101" w:rsidRDefault="003D5DB4" w:rsidP="000A5389">
          <w:pPr>
            <w:spacing w:line="240" w:lineRule="auto"/>
            <w:rPr>
              <w:rFonts w:eastAsia="Times New Roman"/>
              <w:lang w:eastAsia="es-CO"/>
            </w:rPr>
          </w:pPr>
          <w:r w:rsidRPr="000D0101">
            <w:rPr>
              <w:rFonts w:eastAsia="Times New Roman"/>
              <w:lang w:eastAsia="es-CO"/>
            </w:rPr>
            <w:t>e. Las alternativas de renovación y cese del acuerdo</w:t>
          </w:r>
        </w:p>
        <w:p w14:paraId="485D77B1" w14:textId="77777777" w:rsidR="003D5DB4" w:rsidRPr="000D0101" w:rsidRDefault="003D5DB4" w:rsidP="000A5389">
          <w:pPr>
            <w:spacing w:line="240" w:lineRule="auto"/>
            <w:rPr>
              <w:rFonts w:eastAsia="Times New Roman"/>
              <w:lang w:eastAsia="es-CO"/>
            </w:rPr>
          </w:pPr>
        </w:p>
        <w:p w14:paraId="44C5AE9F" w14:textId="77777777" w:rsidR="003D5DB4" w:rsidRPr="000D0101" w:rsidRDefault="003D5DB4" w:rsidP="000A5389">
          <w:pPr>
            <w:spacing w:line="240" w:lineRule="auto"/>
            <w:rPr>
              <w:rFonts w:eastAsia="Times New Roman"/>
              <w:lang w:eastAsia="es-CO"/>
            </w:rPr>
          </w:pPr>
          <w:r w:rsidRPr="000D0101">
            <w:rPr>
              <w:rFonts w:eastAsia="Times New Roman"/>
              <w:lang w:eastAsia="es-CO"/>
            </w:rPr>
            <w:lastRenderedPageBreak/>
            <w:t>Descripción:</w:t>
          </w:r>
          <w:r w:rsidRPr="000D0101">
            <w:rPr>
              <w:rFonts w:eastAsia="Times New Roman"/>
              <w:lang w:eastAsia="es-CO"/>
            </w:rPr>
            <w:tab/>
            <w:t>El contrato 060 de 2004 finalizó el 20 de junio de 2024, por lo que se le otorgó una autorización temporal de un año a la sociedad Portuaria a través de la resolución N°20243030006745 y 20253030007985.</w:t>
          </w:r>
        </w:p>
        <w:p w14:paraId="6EC8E41F" w14:textId="77777777" w:rsidR="003D5DB4" w:rsidRPr="000D0101" w:rsidRDefault="003D5DB4" w:rsidP="000A5389">
          <w:pPr>
            <w:spacing w:line="240" w:lineRule="auto"/>
            <w:rPr>
              <w:rFonts w:eastAsia="Times New Roman"/>
              <w:lang w:eastAsia="es-CO"/>
            </w:rPr>
          </w:pPr>
        </w:p>
        <w:p w14:paraId="2BE47BB7" w14:textId="77777777" w:rsidR="003D5DB4" w:rsidRPr="000D0101" w:rsidRDefault="003D5DB4" w:rsidP="000A5389">
          <w:pPr>
            <w:spacing w:line="240" w:lineRule="auto"/>
            <w:rPr>
              <w:rFonts w:eastAsia="Times New Roman"/>
              <w:lang w:eastAsia="es-CO"/>
            </w:rPr>
          </w:pPr>
          <w:r w:rsidRPr="000D0101">
            <w:rPr>
              <w:rFonts w:eastAsia="Times New Roman"/>
              <w:lang w:eastAsia="es-CO"/>
            </w:rPr>
            <w:t>Observaciones: Se autoriza por un año mas</w:t>
          </w:r>
        </w:p>
        <w:p w14:paraId="776AD818" w14:textId="77777777" w:rsidR="003D5DB4" w:rsidRPr="000D0101" w:rsidRDefault="003D5DB4" w:rsidP="000A5389">
          <w:pPr>
            <w:spacing w:line="240" w:lineRule="auto"/>
            <w:rPr>
              <w:rFonts w:eastAsia="Times New Roman"/>
              <w:lang w:eastAsia="es-CO"/>
            </w:rPr>
          </w:pPr>
        </w:p>
        <w:p w14:paraId="58F10EE6" w14:textId="77777777" w:rsidR="003D5DB4" w:rsidRPr="000D0101" w:rsidRDefault="003D5DB4" w:rsidP="000A5389">
          <w:pPr>
            <w:spacing w:line="240" w:lineRule="auto"/>
            <w:rPr>
              <w:rFonts w:eastAsia="Times New Roman"/>
              <w:lang w:eastAsia="es-CO"/>
            </w:rPr>
          </w:pPr>
          <w:r w:rsidRPr="000D0101">
            <w:rPr>
              <w:rFonts w:eastAsia="Times New Roman"/>
              <w:lang w:eastAsia="es-CO"/>
            </w:rPr>
            <w:t>f. Cambios en el acuerdo de concesión que se realicen durante el periodo fiscal</w:t>
          </w:r>
        </w:p>
        <w:p w14:paraId="32D562E6" w14:textId="77777777" w:rsidR="003D5DB4" w:rsidRPr="000D0101" w:rsidRDefault="003D5DB4" w:rsidP="000A5389">
          <w:pPr>
            <w:spacing w:line="240" w:lineRule="auto"/>
            <w:rPr>
              <w:rFonts w:eastAsia="Times New Roman"/>
              <w:lang w:eastAsia="es-CO"/>
            </w:rPr>
          </w:pPr>
        </w:p>
        <w:p w14:paraId="3F3FE720" w14:textId="77777777" w:rsidR="003D5DB4" w:rsidRPr="000D0101" w:rsidRDefault="003D5DB4" w:rsidP="000A5389">
          <w:pPr>
            <w:spacing w:line="240" w:lineRule="auto"/>
            <w:rPr>
              <w:rFonts w:eastAsia="Times New Roman"/>
              <w:lang w:eastAsia="es-CO"/>
            </w:rPr>
          </w:pPr>
          <w:r w:rsidRPr="000D0101">
            <w:rPr>
              <w:rFonts w:eastAsia="Times New Roman"/>
              <w:lang w:eastAsia="es-CO"/>
            </w:rPr>
            <w:t>Adiciones o modificaciones en tiempo</w:t>
          </w:r>
        </w:p>
        <w:p w14:paraId="11927ABD" w14:textId="77777777" w:rsidR="003D5DB4" w:rsidRPr="000D0101" w:rsidRDefault="003D5DB4" w:rsidP="000A5389">
          <w:pPr>
            <w:spacing w:line="240" w:lineRule="auto"/>
            <w:rPr>
              <w:rFonts w:eastAsia="Times New Roman"/>
              <w:lang w:eastAsia="es-CO"/>
            </w:rPr>
          </w:pPr>
          <w:r w:rsidRPr="000D0101">
            <w:rPr>
              <w:rFonts w:eastAsia="Times New Roman"/>
              <w:lang w:eastAsia="es-CO"/>
            </w:rPr>
            <w:t>Fechas de las adiciones o modificaciones:</w:t>
          </w:r>
          <w:r w:rsidRPr="000D0101">
            <w:rPr>
              <w:rFonts w:eastAsia="Times New Roman"/>
              <w:lang w:eastAsia="es-CO"/>
            </w:rPr>
            <w:tab/>
            <w:t>NA</w:t>
          </w:r>
        </w:p>
        <w:p w14:paraId="3B7B5C68" w14:textId="77777777" w:rsidR="003D5DB4" w:rsidRPr="000D0101" w:rsidRDefault="003D5DB4" w:rsidP="000A5389">
          <w:pPr>
            <w:spacing w:line="240" w:lineRule="auto"/>
            <w:rPr>
              <w:rFonts w:eastAsia="Times New Roman"/>
              <w:lang w:eastAsia="es-CO"/>
            </w:rPr>
          </w:pPr>
          <w:r w:rsidRPr="000D0101">
            <w:rPr>
              <w:rFonts w:eastAsia="Times New Roman"/>
              <w:lang w:eastAsia="es-CO"/>
            </w:rPr>
            <w:t>Nueva fecha de finalización estimada: 19/06/2026</w:t>
          </w:r>
        </w:p>
        <w:p w14:paraId="0694E105" w14:textId="77777777" w:rsidR="003D5DB4" w:rsidRPr="000D0101" w:rsidRDefault="003D5DB4" w:rsidP="000A5389">
          <w:pPr>
            <w:spacing w:line="240" w:lineRule="auto"/>
            <w:rPr>
              <w:rFonts w:eastAsia="Times New Roman"/>
              <w:lang w:eastAsia="es-CO"/>
            </w:rPr>
          </w:pPr>
          <w:r w:rsidRPr="000D0101">
            <w:rPr>
              <w:rFonts w:eastAsia="Times New Roman"/>
              <w:lang w:eastAsia="es-CO"/>
            </w:rPr>
            <w:t>Observaciones: No observaciones</w:t>
          </w:r>
        </w:p>
        <w:p w14:paraId="18892B20" w14:textId="77777777" w:rsidR="003D5DB4" w:rsidRPr="000D0101" w:rsidRDefault="003D5DB4" w:rsidP="000A5389">
          <w:pPr>
            <w:spacing w:line="240" w:lineRule="auto"/>
            <w:rPr>
              <w:rFonts w:eastAsia="Times New Roman"/>
              <w:lang w:eastAsia="es-CO"/>
            </w:rPr>
          </w:pPr>
          <w:r w:rsidRPr="000D0101">
            <w:rPr>
              <w:rFonts w:eastAsia="Times New Roman"/>
              <w:lang w:eastAsia="es-CO"/>
            </w:rPr>
            <w:t>Adiciones o modificaciones en valor</w:t>
          </w:r>
        </w:p>
        <w:p w14:paraId="614827D7" w14:textId="77777777" w:rsidR="003D5DB4" w:rsidRPr="000D0101" w:rsidRDefault="003D5DB4" w:rsidP="000A5389">
          <w:pPr>
            <w:spacing w:line="240" w:lineRule="auto"/>
            <w:rPr>
              <w:rFonts w:eastAsia="Times New Roman"/>
              <w:lang w:eastAsia="es-CO"/>
            </w:rPr>
          </w:pPr>
          <w:r w:rsidRPr="000D0101">
            <w:rPr>
              <w:rFonts w:eastAsia="Times New Roman"/>
              <w:lang w:eastAsia="es-CO"/>
            </w:rPr>
            <w:t>Valor de la adición o modificación: USD 161.499</w:t>
          </w:r>
        </w:p>
        <w:p w14:paraId="282D4C4E" w14:textId="77777777" w:rsidR="003D5DB4" w:rsidRPr="000D0101" w:rsidRDefault="003D5DB4" w:rsidP="000A5389">
          <w:pPr>
            <w:spacing w:line="240" w:lineRule="auto"/>
            <w:rPr>
              <w:rFonts w:eastAsia="Times New Roman"/>
              <w:lang w:eastAsia="es-CO"/>
            </w:rPr>
          </w:pPr>
          <w:r w:rsidRPr="000D0101">
            <w:rPr>
              <w:rFonts w:eastAsia="Times New Roman"/>
              <w:lang w:eastAsia="es-CO"/>
            </w:rPr>
            <w:t>Nuevo valor del acuerdo: USD 161.49</w:t>
          </w:r>
        </w:p>
        <w:p w14:paraId="4848DC78" w14:textId="63F3C7FB" w:rsidR="003D5DB4" w:rsidRPr="000D0101" w:rsidRDefault="003D5DB4" w:rsidP="000A5389">
          <w:pPr>
            <w:spacing w:line="240" w:lineRule="auto"/>
            <w:rPr>
              <w:rFonts w:eastAsia="Times New Roman"/>
              <w:lang w:eastAsia="es-CO"/>
            </w:rPr>
          </w:pPr>
          <w:r w:rsidRPr="000D0101">
            <w:rPr>
              <w:rFonts w:eastAsia="Times New Roman"/>
              <w:lang w:eastAsia="es-CO"/>
            </w:rPr>
            <w:t>Observaciones: Corresponde a prorroga de la Autorización Temporal</w:t>
          </w:r>
        </w:p>
        <w:p w14:paraId="2E3EB60C" w14:textId="77777777" w:rsidR="003D5DB4" w:rsidRPr="000D0101" w:rsidRDefault="003D5DB4" w:rsidP="000A5389">
          <w:pPr>
            <w:spacing w:line="240" w:lineRule="auto"/>
            <w:rPr>
              <w:rFonts w:eastAsia="Times New Roman"/>
              <w:lang w:eastAsia="es-CO"/>
            </w:rPr>
          </w:pPr>
        </w:p>
        <w:p w14:paraId="36DAA4A8" w14:textId="77777777" w:rsidR="003D5DB4" w:rsidRPr="000D0101" w:rsidRDefault="003D5DB4" w:rsidP="000A5389">
          <w:pPr>
            <w:spacing w:line="240" w:lineRule="auto"/>
            <w:rPr>
              <w:rFonts w:eastAsia="Times New Roman"/>
              <w:lang w:eastAsia="es-CO"/>
            </w:rPr>
          </w:pPr>
        </w:p>
        <w:p w14:paraId="7CEB80A4" w14:textId="77777777" w:rsidR="003D5DB4" w:rsidRPr="00CE510F" w:rsidRDefault="003D5DB4" w:rsidP="000A5389">
          <w:pPr>
            <w:spacing w:line="240" w:lineRule="auto"/>
            <w:rPr>
              <w:rFonts w:eastAsia="Times New Roman"/>
              <w:i/>
              <w:iCs/>
            </w:rPr>
          </w:pPr>
          <w:r w:rsidRPr="00CE510F">
            <w:rPr>
              <w:rFonts w:eastAsia="Times New Roman"/>
              <w:i/>
              <w:iCs/>
              <w:lang w:eastAsia="es-CO"/>
            </w:rPr>
            <w:t xml:space="preserve">SOCIEDAD PORTUARIA DEXTON S.A. </w:t>
          </w:r>
        </w:p>
        <w:p w14:paraId="71B31BF2" w14:textId="77777777" w:rsidR="003D5DB4" w:rsidRPr="000D0101" w:rsidRDefault="003D5DB4" w:rsidP="000A5389">
          <w:pPr>
            <w:spacing w:line="240" w:lineRule="auto"/>
            <w:rPr>
              <w:color w:val="FF0000"/>
            </w:rPr>
          </w:pPr>
        </w:p>
        <w:p w14:paraId="7F44033A" w14:textId="77777777" w:rsidR="003D5DB4" w:rsidRPr="000D0101" w:rsidRDefault="003D5DB4" w:rsidP="000A5389">
          <w:pPr>
            <w:spacing w:line="240" w:lineRule="auto"/>
            <w:rPr>
              <w:rFonts w:eastAsia="Times New Roman"/>
            </w:rPr>
          </w:pPr>
          <w:r w:rsidRPr="000D0101">
            <w:rPr>
              <w:rFonts w:eastAsia="Times New Roman"/>
            </w:rPr>
            <w:t>a. Descripción del Acuerdo</w:t>
          </w:r>
        </w:p>
        <w:p w14:paraId="6F3CD30F" w14:textId="77777777" w:rsidR="003D5DB4" w:rsidRPr="000D0101" w:rsidRDefault="003D5DB4" w:rsidP="000A5389">
          <w:pPr>
            <w:spacing w:line="240" w:lineRule="auto"/>
            <w:rPr>
              <w:rFonts w:eastAsia="Times New Roman"/>
            </w:rPr>
          </w:pPr>
        </w:p>
        <w:p w14:paraId="0B79E48F" w14:textId="77777777" w:rsidR="003D5DB4" w:rsidRPr="000D0101" w:rsidRDefault="003D5DB4" w:rsidP="000A5389">
          <w:pPr>
            <w:spacing w:line="240" w:lineRule="auto"/>
            <w:rPr>
              <w:rFonts w:eastAsia="Times New Roman"/>
            </w:rPr>
          </w:pPr>
          <w:r w:rsidRPr="000D0101">
            <w:rPr>
              <w:rFonts w:eastAsia="Times New Roman"/>
            </w:rPr>
            <w:t>Número del Acuerdo de concesión: 003 de 2011</w:t>
          </w:r>
        </w:p>
        <w:p w14:paraId="5E41EA09" w14:textId="77777777" w:rsidR="003D5DB4" w:rsidRPr="000D0101" w:rsidRDefault="003D5DB4" w:rsidP="000A5389">
          <w:pPr>
            <w:spacing w:line="240" w:lineRule="auto"/>
            <w:rPr>
              <w:rFonts w:eastAsia="Times New Roman"/>
            </w:rPr>
          </w:pPr>
        </w:p>
        <w:p w14:paraId="21BC3BEE" w14:textId="77777777" w:rsidR="003D5DB4" w:rsidRPr="000D0101" w:rsidRDefault="003D5DB4" w:rsidP="000A5389">
          <w:pPr>
            <w:spacing w:line="240" w:lineRule="auto"/>
            <w:rPr>
              <w:rFonts w:eastAsia="Times New Roman"/>
            </w:rPr>
          </w:pPr>
          <w:r w:rsidRPr="000D0101">
            <w:rPr>
              <w:rFonts w:eastAsia="Times New Roman"/>
            </w:rPr>
            <w:t>Objeto / Descripción: Otorgar una concesión portuaria al concesionario, para la ocupación y utilización en forma temporal y exclusiva de la zona de uso público conformada por las playas, los terrenos de bajamar, zonas accesorias a aquellas o estos, terrenos adyacentes y las Construcciones portuarias allí ubicadas, conforme lo establece la Cláusula Segunda del Contrato.</w:t>
          </w:r>
        </w:p>
        <w:p w14:paraId="4D53D913" w14:textId="77777777" w:rsidR="003D5DB4" w:rsidRPr="000D0101" w:rsidRDefault="003D5DB4" w:rsidP="000A5389">
          <w:pPr>
            <w:spacing w:line="240" w:lineRule="auto"/>
            <w:rPr>
              <w:rFonts w:eastAsia="Times New Roman"/>
            </w:rPr>
          </w:pPr>
        </w:p>
        <w:p w14:paraId="24BB8FE9" w14:textId="77777777" w:rsidR="003D5DB4" w:rsidRPr="000D0101" w:rsidRDefault="003D5DB4" w:rsidP="000A5389">
          <w:pPr>
            <w:spacing w:line="240" w:lineRule="auto"/>
            <w:rPr>
              <w:rFonts w:eastAsia="Times New Roman"/>
            </w:rPr>
          </w:pPr>
          <w:r w:rsidRPr="000D0101">
            <w:rPr>
              <w:rFonts w:eastAsia="Times New Roman"/>
            </w:rPr>
            <w:t>Valor inicial:</w:t>
          </w:r>
          <w:r w:rsidRPr="000D0101">
            <w:rPr>
              <w:rFonts w:eastAsia="Times New Roman"/>
            </w:rPr>
            <w:tab/>
            <w:t>USD 700.909 corrientes / cláusula octava segunda parte del contrato / contrato No. 3 de 2011.Valor del Contrato actualizado: USD 1.509.874 constantes de 2014/ Cláusula tercera / Otrosí No. 1 de 2016.  Valor del Contrato actualizado: USD 1.678.023 constantes de 2014/ Cláusula tercera/ Otrosí No.3 de 2021.</w:t>
          </w:r>
        </w:p>
        <w:p w14:paraId="4A8CA799" w14:textId="77777777" w:rsidR="003D5DB4" w:rsidRPr="000D0101" w:rsidRDefault="003D5DB4" w:rsidP="000A5389">
          <w:pPr>
            <w:spacing w:line="240" w:lineRule="auto"/>
            <w:rPr>
              <w:rFonts w:eastAsia="Times New Roman"/>
            </w:rPr>
          </w:pPr>
        </w:p>
        <w:p w14:paraId="11067D24" w14:textId="77777777" w:rsidR="003D5DB4" w:rsidRPr="000D0101" w:rsidRDefault="003D5DB4" w:rsidP="000A5389">
          <w:pPr>
            <w:spacing w:line="240" w:lineRule="auto"/>
            <w:rPr>
              <w:rFonts w:eastAsia="Times New Roman"/>
            </w:rPr>
          </w:pPr>
          <w:r w:rsidRPr="000D0101">
            <w:rPr>
              <w:rFonts w:eastAsia="Times New Roman"/>
            </w:rPr>
            <w:t>Fecha de inicio: 30/09/2011</w:t>
          </w:r>
        </w:p>
        <w:p w14:paraId="40FB786A" w14:textId="77777777" w:rsidR="003D5DB4" w:rsidRPr="000D0101" w:rsidRDefault="003D5DB4" w:rsidP="000A5389">
          <w:pPr>
            <w:spacing w:line="240" w:lineRule="auto"/>
            <w:rPr>
              <w:rFonts w:eastAsia="Times New Roman"/>
            </w:rPr>
          </w:pPr>
          <w:r w:rsidRPr="000D0101">
            <w:rPr>
              <w:rFonts w:eastAsia="Times New Roman"/>
            </w:rPr>
            <w:t>Fecha de finalización estimada: 29/09/2031</w:t>
          </w:r>
        </w:p>
        <w:p w14:paraId="0A47460A" w14:textId="77777777" w:rsidR="003D5DB4" w:rsidRPr="000D0101" w:rsidRDefault="003D5DB4" w:rsidP="000A5389">
          <w:pPr>
            <w:spacing w:line="240" w:lineRule="auto"/>
            <w:rPr>
              <w:rFonts w:eastAsia="Times New Roman"/>
            </w:rPr>
          </w:pPr>
          <w:r w:rsidRPr="000D0101">
            <w:rPr>
              <w:rFonts w:eastAsia="Times New Roman"/>
            </w:rPr>
            <w:t>Tipo ID: NIT</w:t>
          </w:r>
        </w:p>
        <w:p w14:paraId="6B56A4B4" w14:textId="77777777" w:rsidR="003D5DB4" w:rsidRPr="000D0101" w:rsidRDefault="003D5DB4" w:rsidP="000A5389">
          <w:pPr>
            <w:spacing w:line="240" w:lineRule="auto"/>
            <w:rPr>
              <w:rFonts w:eastAsia="Times New Roman"/>
            </w:rPr>
          </w:pPr>
          <w:r w:rsidRPr="000D0101">
            <w:rPr>
              <w:rFonts w:eastAsia="Times New Roman"/>
            </w:rPr>
            <w:t>Número ID: 900.162.335-1</w:t>
          </w:r>
        </w:p>
        <w:p w14:paraId="75F97AA2" w14:textId="77777777" w:rsidR="003D5DB4" w:rsidRPr="000D0101" w:rsidRDefault="003D5DB4" w:rsidP="000A5389">
          <w:pPr>
            <w:spacing w:line="240" w:lineRule="auto"/>
            <w:rPr>
              <w:rFonts w:eastAsia="Times New Roman"/>
            </w:rPr>
          </w:pPr>
          <w:r w:rsidRPr="000D0101">
            <w:rPr>
              <w:rFonts w:eastAsia="Times New Roman"/>
            </w:rPr>
            <w:t>Razón social del concesionario: Sociedad Portuaria Dexton S.A.</w:t>
          </w:r>
        </w:p>
        <w:p w14:paraId="7EE292C2" w14:textId="77777777" w:rsidR="003D5DB4" w:rsidRPr="000D0101" w:rsidRDefault="003D5DB4" w:rsidP="000A5389">
          <w:pPr>
            <w:spacing w:line="240" w:lineRule="auto"/>
            <w:rPr>
              <w:rFonts w:eastAsia="Times New Roman"/>
            </w:rPr>
          </w:pPr>
          <w:r w:rsidRPr="000D0101">
            <w:rPr>
              <w:rFonts w:eastAsia="Times New Roman"/>
            </w:rPr>
            <w:t>Nombre del proyecto: Sociedad Portuaria Dexton S.A.</w:t>
          </w:r>
        </w:p>
        <w:p w14:paraId="55250AB2" w14:textId="77777777" w:rsidR="003D5DB4" w:rsidRPr="000D0101" w:rsidRDefault="003D5DB4" w:rsidP="000A5389">
          <w:pPr>
            <w:spacing w:line="240" w:lineRule="auto"/>
            <w:rPr>
              <w:rFonts w:eastAsia="Times New Roman"/>
            </w:rPr>
          </w:pPr>
        </w:p>
        <w:p w14:paraId="09183000" w14:textId="77777777" w:rsidR="003D5DB4" w:rsidRPr="000D0101" w:rsidRDefault="003D5DB4" w:rsidP="000A5389">
          <w:pPr>
            <w:spacing w:line="240" w:lineRule="auto"/>
            <w:rPr>
              <w:rFonts w:eastAsia="Times New Roman"/>
            </w:rPr>
          </w:pPr>
          <w:r w:rsidRPr="000D0101">
            <w:rPr>
              <w:rFonts w:eastAsia="Times New Roman"/>
            </w:rPr>
            <w:t>b. Términos significativos del Acuerdo que puedan afectar su valor, el calendario y la certeza de los flujos de efectivo futuros</w:t>
          </w:r>
        </w:p>
        <w:p w14:paraId="7FF62199" w14:textId="77777777" w:rsidR="003D5DB4" w:rsidRPr="000D0101" w:rsidRDefault="003D5DB4" w:rsidP="000A5389">
          <w:pPr>
            <w:spacing w:line="240" w:lineRule="auto"/>
            <w:rPr>
              <w:rFonts w:eastAsia="Times New Roman"/>
            </w:rPr>
          </w:pPr>
        </w:p>
        <w:p w14:paraId="2073F43A" w14:textId="77777777" w:rsidR="003D5DB4" w:rsidRPr="000D0101" w:rsidRDefault="003D5DB4" w:rsidP="000A5389">
          <w:pPr>
            <w:spacing w:line="240" w:lineRule="auto"/>
            <w:rPr>
              <w:rFonts w:eastAsia="Times New Roman"/>
            </w:rPr>
          </w:pPr>
          <w:r w:rsidRPr="000D0101">
            <w:rPr>
              <w:rFonts w:eastAsia="Times New Roman"/>
            </w:rPr>
            <w:t>Términos de valor: Tarifas: Al ser el terminal marítimo de servicio público la Ley 1 de 1991: establece Las sociedades portuarias que operan puertos de servicio público las tarifas requieren ser aprobadas según la metodología establecida por la Superintendencia General de Puertos hoy Superintendencia de Transporte. Contraprestación portuaria: De acuerdo con el último documento contractual vigente la metodología de contraprestación vigente es CONPES 3744 de 2013 (Componentes Fijo y Variable). A febrero de 2023 el CONCESIONARIO debió pagar al INVIAS USD 136.113.  El valor correspondiente a la contraprestación por zona de uso público resultará de la diferencia entre el valor de la liquidación total y el valor de la infraestructura. Y el recaudo se realizará de conformidad con la ley 856 de 2003, es decir, ZUP el 80% le corresponde a la Nación Instituto nacional de vías (INVIAS) y el 20% restante al distrito de Cartagena; e INFRAESTRUCTURA en un 100% a la Nación - Instituto Nacional de Vías (INVIAS).  Plan de Inversiones: Establecido en la segunda parte del contrato en la cláusula novena, fue modificado por el otrosí N. 1 del 2016 en la cláusula cuarta,  fue modificado en el otrosí N. 2 del 3 de mayo de 2019 en la cláusula primera, fue modificado por el Otrosí N. 3 del 30 de abril de 2021 en la cláusula primera, el CONCESIONARIO se obliga a ejecutar el siguiente PLAN DE INVERSIONES en la zona de uso público otorgada en concesión  y conforme el cronograma establecido, dentro de los cuatro años siguientes a la firma del otrosí No.3 de 2021, por la suma de USD $3.857.354 en constantes 2014. Obligaciones del CONCESIONARIO: Se encuentran descritas en la cláusula quinta del contrato.  Multas y sanciones: están establecidas en la cláusula décima tercera contrato. Penal pecuniario: En la cláusula décima sexta del contrato se establece que las partes convienen a título de pena pecuniaria por el incumplimiento del contrato, en una tasación anticipara de perjuicios que el CONCESIONARIO pagara al CONCEDENTE. Riesgos: están descritos en la cláusula novena del contrato, el CONCESIONARIO acepta que la totalidad de los riesgos inherentes al desarrollo del proyecto por el propuesto, serán asumidos por el CONCESIONARIO, y se somete a las siguientes reglas: la ocurrencia de cualquiera de los eventos aleatorios generadores de riesgo no dará derecho a indemnización o reconocimiento alguno a favor del concesionario, el concesionario asume los riesgos de todas las etapas del proyecto, el concesionario asume el riesgo inherente a la aprobación del trámite de declaratoria de existencia como zona franca permanente especial de servicios del área portuaria.</w:t>
          </w:r>
        </w:p>
        <w:p w14:paraId="1B6D2279" w14:textId="77777777" w:rsidR="003D5DB4" w:rsidRPr="000D0101" w:rsidRDefault="003D5DB4" w:rsidP="000A5389">
          <w:pPr>
            <w:spacing w:line="240" w:lineRule="auto"/>
            <w:rPr>
              <w:rFonts w:eastAsia="Times New Roman"/>
            </w:rPr>
          </w:pPr>
        </w:p>
        <w:p w14:paraId="44D047C9" w14:textId="77777777" w:rsidR="003D5DB4" w:rsidRPr="000D0101" w:rsidRDefault="003D5DB4" w:rsidP="000A5389">
          <w:pPr>
            <w:spacing w:line="240" w:lineRule="auto"/>
            <w:rPr>
              <w:rFonts w:eastAsia="Times New Roman"/>
            </w:rPr>
          </w:pPr>
          <w:r w:rsidRPr="000D0101">
            <w:rPr>
              <w:rFonts w:eastAsia="Times New Roman"/>
            </w:rPr>
            <w:t xml:space="preserve">Términos de calendario: Tarifas: Aprobadas según la metodología establecida por la Superintendencia General de Puertos hoy Superintendencia de Transporte. Contraprestación portuaria: Anexo 2 Conpes 3744 de 2013 “(…) Antes de finalizar los meses de febrero cada concesionario deberá corregir su liquidación del año anterior según el movimiento de carga real y la indexación del valor de referencia por metro cuadrado, del avalúo de la infraestructura concesionada y de los cargos, así como realizar el pago anticipado del año en curso con base en lo proyectado en el FCL definitivo” Plan de inversiones: Se estableció en la cláusula cuarta del otrosí N. 1 de 2016 y la cláusula primera del otrosí N. 2 de 2019, modificado en la cláusula primera del Otrosí N. 3 de 2021 ejecución de inversiones en el periodo de tiempo comprendido entre el año 2016 a 2025. Multas: Cláusula décima tercera del contrato </w:t>
          </w:r>
        </w:p>
        <w:p w14:paraId="055EBCF8" w14:textId="77777777" w:rsidR="003D5DB4" w:rsidRPr="000D0101" w:rsidRDefault="003D5DB4" w:rsidP="000A5389">
          <w:pPr>
            <w:spacing w:line="240" w:lineRule="auto"/>
            <w:rPr>
              <w:rFonts w:eastAsia="Times New Roman"/>
            </w:rPr>
          </w:pPr>
        </w:p>
        <w:p w14:paraId="1E842C7E" w14:textId="77777777" w:rsidR="003D5DB4" w:rsidRPr="000D0101" w:rsidRDefault="003D5DB4" w:rsidP="000A5389">
          <w:pPr>
            <w:spacing w:line="240" w:lineRule="auto"/>
            <w:rPr>
              <w:rFonts w:eastAsia="Times New Roman"/>
            </w:rPr>
          </w:pPr>
          <w:r w:rsidRPr="000D0101">
            <w:rPr>
              <w:rFonts w:eastAsia="Times New Roman"/>
            </w:rPr>
            <w:t>Términos de certeza de flujos de efectivo futuros: Se otorga una CONCESIÓN PORTUARIA al CONCESIONARIO, para la ocupación y utilización en forma temporal y exclusiva de la zona de uso público conformada por las playas, los terrenos de bajamar, zonas accesorias a aquellas o estos, los terrenos adyacentes y las construcciones portuarias allí ubicadas. descritos en la cláusula segunda del contrato, a cambio de la contraprestación económica. Contraprestación Portuaria: De acuerdo con el último documento contractual vigente la metodología de Contraprestación vigente es CONPES 3744 de 2013 (componentes fijo y variable). A febrero de 2023 EL CONCESIONARIO debió pagar la suma de USD116.113, del valor a pagar por concepto de contraprestación por Zona de Uso público el 80% le corresponde a la Nación-INVIAS y ANI y el 20 % al Distrito turístico de Cartagena de Indias y por Infraestructura el 100% a la Nación-INVIAS y ANI.</w:t>
          </w:r>
        </w:p>
        <w:p w14:paraId="4FABB2AB" w14:textId="77777777" w:rsidR="003D5DB4" w:rsidRPr="000D0101" w:rsidRDefault="003D5DB4" w:rsidP="000A5389">
          <w:pPr>
            <w:spacing w:line="240" w:lineRule="auto"/>
            <w:rPr>
              <w:rFonts w:eastAsia="Times New Roman"/>
            </w:rPr>
          </w:pPr>
        </w:p>
        <w:p w14:paraId="08F21C3F" w14:textId="77777777" w:rsidR="003D5DB4" w:rsidRPr="000D0101" w:rsidRDefault="003D5DB4" w:rsidP="000A5389">
          <w:pPr>
            <w:spacing w:line="240" w:lineRule="auto"/>
            <w:rPr>
              <w:rFonts w:eastAsia="Times New Roman"/>
            </w:rPr>
          </w:pPr>
          <w:r w:rsidRPr="000D0101">
            <w:rPr>
              <w:rFonts w:eastAsia="Times New Roman"/>
            </w:rPr>
            <w:t>c. Naturaleza y alcance del derecho a utilizar Activos y los aspectos pactados en torno a lo que se espera que el concesionario proporcione en relación con el Acuerdo de concesión</w:t>
          </w:r>
        </w:p>
        <w:p w14:paraId="4B32535C" w14:textId="77777777" w:rsidR="003D5DB4" w:rsidRPr="000D0101" w:rsidRDefault="003D5DB4" w:rsidP="000A5389">
          <w:pPr>
            <w:spacing w:line="240" w:lineRule="auto"/>
            <w:rPr>
              <w:rFonts w:eastAsia="Times New Roman"/>
            </w:rPr>
          </w:pPr>
        </w:p>
        <w:p w14:paraId="64B4CC48" w14:textId="77777777" w:rsidR="003D5DB4" w:rsidRPr="000D0101" w:rsidRDefault="003D5DB4" w:rsidP="000A5389">
          <w:pPr>
            <w:spacing w:line="240" w:lineRule="auto"/>
            <w:rPr>
              <w:rFonts w:eastAsia="Times New Roman"/>
            </w:rPr>
          </w:pPr>
          <w:r w:rsidRPr="000D0101">
            <w:rPr>
              <w:rFonts w:eastAsia="Times New Roman"/>
            </w:rPr>
            <w:t>Naturaleza y alcance del derecho de uso de los Activos</w:t>
          </w:r>
        </w:p>
        <w:p w14:paraId="070DDA86" w14:textId="77777777" w:rsidR="003D5DB4" w:rsidRPr="000D0101" w:rsidRDefault="003D5DB4" w:rsidP="000A5389">
          <w:pPr>
            <w:spacing w:line="240" w:lineRule="auto"/>
            <w:rPr>
              <w:rFonts w:eastAsia="Times New Roman"/>
            </w:rPr>
          </w:pPr>
        </w:p>
        <w:p w14:paraId="3984FD87" w14:textId="77777777" w:rsidR="003D5DB4" w:rsidRPr="000D0101" w:rsidRDefault="003D5DB4" w:rsidP="000A5389">
          <w:pPr>
            <w:spacing w:line="240" w:lineRule="auto"/>
            <w:rPr>
              <w:rFonts w:eastAsia="Times New Roman"/>
            </w:rPr>
          </w:pPr>
          <w:r w:rsidRPr="000D0101">
            <w:rPr>
              <w:rFonts w:eastAsia="Times New Roman"/>
            </w:rPr>
            <w:t>Descripción: Activos reconocidos Alcance del derecho de uso de los activos:  Descripción del proyecto, especificaciones técnicas, modalidades de operación: las condiciones especiales de operación del puerto están establecidas en la cláusula quinta del contrato de concesión portuaria No.003 de 2011, modificada por la cláusula segunda del Otrosí No.01 de 2016. Área entregada en concesión: la descripción de la ubicación, linderos y extensión de los bienes de uso público (playas y terrenos de baja mar, zonas marítimas accesorias de maniobras) entregados en concesión están establecidos en la cláusula cuarta del contrato de concesión portuaria No.003 de 2011, modificada por la cláusula primera del Otrosí No.01 de 2016. Infraestructura y equipos entregados en concesión: En la cláusula cuarta, numeral 4.3, del Contrato de concesión portuaria No.003 de 2011, se describe que lo entregado en concesión fue:  Pasarela de acceso, plataforma de operación, transformador, piñas de atraque y amarre, muelle de embarcaciones menores, sistema de iluminación.</w:t>
          </w:r>
        </w:p>
        <w:p w14:paraId="3DFEFC62" w14:textId="77777777" w:rsidR="003D5DB4" w:rsidRPr="000D0101" w:rsidRDefault="003D5DB4" w:rsidP="000A5389">
          <w:pPr>
            <w:spacing w:line="240" w:lineRule="auto"/>
            <w:rPr>
              <w:rFonts w:eastAsia="Times New Roman"/>
            </w:rPr>
          </w:pPr>
        </w:p>
        <w:p w14:paraId="7A251B5B" w14:textId="77777777" w:rsidR="003D5DB4" w:rsidRPr="000D0101" w:rsidRDefault="003D5DB4" w:rsidP="000A5389">
          <w:pPr>
            <w:spacing w:line="240" w:lineRule="auto"/>
            <w:rPr>
              <w:rFonts w:eastAsia="Times New Roman"/>
            </w:rPr>
          </w:pPr>
          <w:r w:rsidRPr="000D0101">
            <w:rPr>
              <w:rFonts w:eastAsia="Times New Roman"/>
            </w:rPr>
            <w:t>Observaciones: N/A</w:t>
          </w:r>
        </w:p>
        <w:p w14:paraId="7C977781" w14:textId="77777777" w:rsidR="003D5DB4" w:rsidRPr="000D0101" w:rsidRDefault="003D5DB4" w:rsidP="000A5389">
          <w:pPr>
            <w:spacing w:line="240" w:lineRule="auto"/>
            <w:rPr>
              <w:rFonts w:eastAsia="Times New Roman"/>
            </w:rPr>
          </w:pPr>
        </w:p>
        <w:p w14:paraId="59D07D08" w14:textId="77777777" w:rsidR="003D5DB4" w:rsidRPr="000D0101" w:rsidRDefault="003D5DB4" w:rsidP="000A5389">
          <w:pPr>
            <w:spacing w:line="240" w:lineRule="auto"/>
            <w:rPr>
              <w:rFonts w:eastAsia="Times New Roman"/>
            </w:rPr>
          </w:pPr>
          <w:r w:rsidRPr="000D0101">
            <w:rPr>
              <w:rFonts w:eastAsia="Times New Roman"/>
            </w:rPr>
            <w:t>Retribución al concesionario</w:t>
          </w:r>
        </w:p>
        <w:p w14:paraId="2E598EC6" w14:textId="77777777" w:rsidR="003D5DB4" w:rsidRPr="000D0101" w:rsidRDefault="003D5DB4" w:rsidP="000A5389">
          <w:pPr>
            <w:spacing w:line="240" w:lineRule="auto"/>
            <w:rPr>
              <w:rFonts w:eastAsia="Times New Roman"/>
            </w:rPr>
          </w:pPr>
        </w:p>
        <w:p w14:paraId="3CC706DD" w14:textId="77777777" w:rsidR="003D5DB4" w:rsidRPr="000D0101" w:rsidRDefault="003D5DB4" w:rsidP="000A5389">
          <w:pPr>
            <w:spacing w:line="240" w:lineRule="auto"/>
            <w:rPr>
              <w:rFonts w:eastAsia="Times New Roman"/>
            </w:rPr>
          </w:pPr>
          <w:r w:rsidRPr="000D0101">
            <w:rPr>
              <w:rFonts w:eastAsia="Times New Roman"/>
            </w:rPr>
            <w:t>Descripción: Cláusula segunda del contrato: se otorga una CONCESIÓN PORTUARIA al CONCESIONARIO, para la ocupación y utilización en forma temporal y exclusiva de la zona de uso público conformada por las playas, los terrenos de bajamar, zonas accesorias a aquellas o estos, los terrenos adyacentes y las construcciones portuarias allí ubicadas. A cambio de la contraprestación económica.</w:t>
          </w:r>
        </w:p>
        <w:p w14:paraId="3A5F2A52" w14:textId="77777777" w:rsidR="003D5DB4" w:rsidRPr="000D0101" w:rsidRDefault="003D5DB4" w:rsidP="000A5389">
          <w:pPr>
            <w:spacing w:line="240" w:lineRule="auto"/>
            <w:rPr>
              <w:rFonts w:eastAsia="Times New Roman"/>
            </w:rPr>
          </w:pPr>
        </w:p>
        <w:p w14:paraId="6FE7640D" w14:textId="77777777" w:rsidR="003D5DB4" w:rsidRPr="000D0101" w:rsidRDefault="003D5DB4" w:rsidP="000A5389">
          <w:pPr>
            <w:spacing w:line="240" w:lineRule="auto"/>
            <w:rPr>
              <w:rFonts w:eastAsia="Times New Roman"/>
            </w:rPr>
          </w:pPr>
          <w:r w:rsidRPr="000D0101">
            <w:rPr>
              <w:rFonts w:eastAsia="Times New Roman"/>
            </w:rPr>
            <w:t>Tasa de retribución:</w:t>
          </w:r>
          <w:r w:rsidRPr="000D0101">
            <w:rPr>
              <w:rFonts w:eastAsia="Times New Roman"/>
            </w:rPr>
            <w:tab/>
            <w:t>N/A</w:t>
          </w:r>
        </w:p>
        <w:p w14:paraId="1AF645E1" w14:textId="77777777" w:rsidR="003D5DB4" w:rsidRPr="000D0101" w:rsidRDefault="003D5DB4" w:rsidP="000A5389">
          <w:pPr>
            <w:spacing w:line="240" w:lineRule="auto"/>
            <w:rPr>
              <w:rFonts w:eastAsia="Times New Roman"/>
            </w:rPr>
          </w:pPr>
        </w:p>
        <w:p w14:paraId="74E385A7" w14:textId="77777777" w:rsidR="003D5DB4" w:rsidRPr="000D0101" w:rsidRDefault="003D5DB4" w:rsidP="000A5389">
          <w:pPr>
            <w:spacing w:line="240" w:lineRule="auto"/>
            <w:rPr>
              <w:rFonts w:eastAsia="Times New Roman"/>
            </w:rPr>
          </w:pPr>
          <w:r w:rsidRPr="000D0101">
            <w:rPr>
              <w:rFonts w:eastAsia="Times New Roman"/>
            </w:rPr>
            <w:t>d. Derechos a recibir Activos especificados al final del acuerdo de concesión</w:t>
          </w:r>
        </w:p>
        <w:p w14:paraId="578B4B5B" w14:textId="77777777" w:rsidR="003D5DB4" w:rsidRPr="000D0101" w:rsidRDefault="003D5DB4" w:rsidP="000A5389">
          <w:pPr>
            <w:spacing w:line="240" w:lineRule="auto"/>
            <w:rPr>
              <w:rFonts w:eastAsia="Times New Roman"/>
            </w:rPr>
          </w:pPr>
        </w:p>
        <w:p w14:paraId="15D6CD49" w14:textId="77777777" w:rsidR="003D5DB4" w:rsidRPr="000D0101" w:rsidRDefault="003D5DB4" w:rsidP="000A5389">
          <w:pPr>
            <w:spacing w:line="240" w:lineRule="auto"/>
            <w:rPr>
              <w:rFonts w:eastAsia="Times New Roman"/>
            </w:rPr>
          </w:pPr>
          <w:r w:rsidRPr="000D0101">
            <w:rPr>
              <w:rFonts w:eastAsia="Times New Roman"/>
            </w:rPr>
            <w:t>Descripción:</w:t>
          </w:r>
          <w:r w:rsidRPr="000D0101">
            <w:rPr>
              <w:rFonts w:eastAsia="Times New Roman"/>
            </w:rPr>
            <w:tab/>
            <w:t>De acuerdo con el Artículo 8º de la Ley 1 de 1991 en el modo portuario el concesionario no tiene derechos finales sobre activos, los debe revertir a la Nación al final del contrato de concesión.</w:t>
          </w:r>
        </w:p>
        <w:p w14:paraId="6C8E1A38" w14:textId="77777777" w:rsidR="003D5DB4" w:rsidRPr="000D0101" w:rsidRDefault="003D5DB4" w:rsidP="000A5389">
          <w:pPr>
            <w:spacing w:line="240" w:lineRule="auto"/>
            <w:rPr>
              <w:rFonts w:eastAsia="Times New Roman"/>
            </w:rPr>
          </w:pPr>
        </w:p>
        <w:p w14:paraId="2290D919" w14:textId="77777777" w:rsidR="003D5DB4" w:rsidRPr="000D0101" w:rsidRDefault="003D5DB4" w:rsidP="000A5389">
          <w:pPr>
            <w:spacing w:line="240" w:lineRule="auto"/>
            <w:rPr>
              <w:rFonts w:eastAsia="Times New Roman"/>
            </w:rPr>
          </w:pPr>
          <w:r w:rsidRPr="000D0101">
            <w:rPr>
              <w:rFonts w:eastAsia="Times New Roman"/>
            </w:rPr>
            <w:t>Observaciones: Reversión: De acuerdo con lo establecido en la cláusula décimo primera del contrato de concesión, todas las zonas de uso público, las construcciones y los inmuebles por destinación, serán cedidos gratuitamente a la Nación en óptimo estado de operación, mantenimiento y de adecuada eficiencia, al extinguirse el plazo de la CONCESIÓN, al declararse la caducidad o cuando se termine anticipadamente la CONCESIÓN. En caso de renuncia del CONCESIONARIO para revertir total o parcialmente los bienes objeto de la concesión portuaria, el CONCEDENTE revertirá los bienes de manera unilateral de acuerdo con la ley aplicables. El Concesionario deberá en el momento de la reversión hacer entrega de un avaluó comercial actualizado y valoración técnica de las condiciones de operación de la infraestructura portuaria, equipos e inmuebles por destinación que habitualmente se encuentren instalados en zona de uso público que se revierten y que son propiedad de la Nación. La ANI es la entidad concedente pero la titularidad de los activos al final de la concesión es del Instituto Nacional de Vías INVIAS.</w:t>
          </w:r>
        </w:p>
        <w:p w14:paraId="29E54636" w14:textId="77777777" w:rsidR="003D5DB4" w:rsidRPr="000D0101" w:rsidRDefault="003D5DB4" w:rsidP="000A5389">
          <w:pPr>
            <w:spacing w:line="240" w:lineRule="auto"/>
            <w:rPr>
              <w:rFonts w:eastAsia="Times New Roman"/>
            </w:rPr>
          </w:pPr>
        </w:p>
        <w:p w14:paraId="5BC34CF3" w14:textId="77777777" w:rsidR="003D5DB4" w:rsidRPr="000D0101" w:rsidRDefault="003D5DB4" w:rsidP="000A5389">
          <w:pPr>
            <w:spacing w:line="240" w:lineRule="auto"/>
            <w:rPr>
              <w:rFonts w:eastAsia="Times New Roman"/>
            </w:rPr>
          </w:pPr>
          <w:r w:rsidRPr="000D0101">
            <w:rPr>
              <w:rFonts w:eastAsia="Times New Roman"/>
            </w:rPr>
            <w:t>e. Las alternativas de renovación y cese del acuerdo</w:t>
          </w:r>
        </w:p>
        <w:p w14:paraId="6E6BDD1E" w14:textId="77777777" w:rsidR="003D5DB4" w:rsidRPr="000D0101" w:rsidRDefault="003D5DB4" w:rsidP="000A5389">
          <w:pPr>
            <w:spacing w:line="240" w:lineRule="auto"/>
            <w:rPr>
              <w:rFonts w:eastAsia="Times New Roman"/>
            </w:rPr>
          </w:pPr>
        </w:p>
        <w:p w14:paraId="3B0EB5BE" w14:textId="77777777" w:rsidR="003D5DB4" w:rsidRPr="000D0101" w:rsidRDefault="003D5DB4" w:rsidP="000A5389">
          <w:pPr>
            <w:spacing w:line="240" w:lineRule="auto"/>
            <w:rPr>
              <w:rFonts w:eastAsia="Times New Roman"/>
            </w:rPr>
          </w:pPr>
          <w:r w:rsidRPr="000D0101">
            <w:rPr>
              <w:rFonts w:eastAsia="Times New Roman"/>
            </w:rPr>
            <w:t>Descripción:</w:t>
          </w:r>
          <w:r w:rsidRPr="000D0101">
            <w:rPr>
              <w:rFonts w:eastAsia="Times New Roman"/>
            </w:rPr>
            <w:tab/>
            <w:t>La cláusula vigésima tercera del contrato de concesión, estipula los parámetros para la terminación del contrato.</w:t>
          </w:r>
        </w:p>
        <w:p w14:paraId="3E5F1EF4" w14:textId="77777777" w:rsidR="003D5DB4" w:rsidRPr="000D0101" w:rsidRDefault="003D5DB4" w:rsidP="000A5389">
          <w:pPr>
            <w:spacing w:line="240" w:lineRule="auto"/>
            <w:rPr>
              <w:rFonts w:eastAsia="Times New Roman"/>
            </w:rPr>
          </w:pPr>
        </w:p>
        <w:p w14:paraId="623343D1" w14:textId="77777777" w:rsidR="003D5DB4" w:rsidRPr="000D0101" w:rsidRDefault="003D5DB4" w:rsidP="000A5389">
          <w:pPr>
            <w:spacing w:line="240" w:lineRule="auto"/>
            <w:rPr>
              <w:rFonts w:eastAsia="Times New Roman"/>
            </w:rPr>
          </w:pPr>
          <w:r w:rsidRPr="000D0101">
            <w:rPr>
              <w:rFonts w:eastAsia="Times New Roman"/>
            </w:rPr>
            <w:t xml:space="preserve">Observaciones: N/A </w:t>
          </w:r>
        </w:p>
        <w:p w14:paraId="63BD8636" w14:textId="77777777" w:rsidR="003D5DB4" w:rsidRPr="000D0101" w:rsidRDefault="003D5DB4" w:rsidP="000A5389">
          <w:pPr>
            <w:spacing w:line="240" w:lineRule="auto"/>
            <w:rPr>
              <w:rFonts w:eastAsia="Times New Roman"/>
            </w:rPr>
          </w:pPr>
        </w:p>
        <w:p w14:paraId="78D2A4EC" w14:textId="77777777" w:rsidR="003D5DB4" w:rsidRPr="000D0101" w:rsidRDefault="003D5DB4" w:rsidP="000A5389">
          <w:pPr>
            <w:spacing w:line="240" w:lineRule="auto"/>
            <w:rPr>
              <w:rFonts w:eastAsia="Times New Roman"/>
            </w:rPr>
          </w:pPr>
          <w:r w:rsidRPr="000D0101">
            <w:rPr>
              <w:rFonts w:eastAsia="Times New Roman"/>
            </w:rPr>
            <w:t>f. Cambios en el acuerdo de concesión que se realicen durante el periodo fiscal</w:t>
          </w:r>
        </w:p>
        <w:p w14:paraId="440DF3BC" w14:textId="77777777" w:rsidR="003D5DB4" w:rsidRPr="000D0101" w:rsidRDefault="003D5DB4" w:rsidP="000A5389">
          <w:pPr>
            <w:spacing w:line="240" w:lineRule="auto"/>
            <w:rPr>
              <w:rFonts w:eastAsia="Times New Roman"/>
            </w:rPr>
          </w:pPr>
          <w:r w:rsidRPr="000D0101">
            <w:rPr>
              <w:rFonts w:eastAsia="Times New Roman"/>
            </w:rPr>
            <w:t xml:space="preserve"> </w:t>
          </w:r>
        </w:p>
        <w:p w14:paraId="664C52D4" w14:textId="77777777" w:rsidR="003D5DB4" w:rsidRPr="000D0101" w:rsidRDefault="003D5DB4" w:rsidP="000A5389">
          <w:pPr>
            <w:spacing w:line="240" w:lineRule="auto"/>
            <w:rPr>
              <w:rFonts w:eastAsia="Times New Roman"/>
            </w:rPr>
          </w:pPr>
          <w:r w:rsidRPr="000D0101">
            <w:rPr>
              <w:rFonts w:eastAsia="Times New Roman"/>
            </w:rPr>
            <w:t>Adiciones o modificaciones en tiempo</w:t>
          </w:r>
        </w:p>
        <w:p w14:paraId="19127F90" w14:textId="77777777" w:rsidR="003D5DB4" w:rsidRPr="000D0101" w:rsidRDefault="003D5DB4" w:rsidP="000A5389">
          <w:pPr>
            <w:spacing w:line="240" w:lineRule="auto"/>
            <w:rPr>
              <w:rFonts w:eastAsia="Times New Roman"/>
            </w:rPr>
          </w:pPr>
          <w:r w:rsidRPr="000D0101">
            <w:rPr>
              <w:rFonts w:eastAsia="Times New Roman"/>
            </w:rPr>
            <w:t>Fechas de las adiciones o modificaciones:</w:t>
          </w:r>
          <w:r w:rsidRPr="000D0101">
            <w:rPr>
              <w:rFonts w:eastAsia="Times New Roman"/>
            </w:rPr>
            <w:tab/>
            <w:t>N/A</w:t>
          </w:r>
        </w:p>
        <w:p w14:paraId="75B4640B" w14:textId="77777777" w:rsidR="003D5DB4" w:rsidRPr="000D0101" w:rsidRDefault="003D5DB4" w:rsidP="000A5389">
          <w:pPr>
            <w:spacing w:line="240" w:lineRule="auto"/>
            <w:rPr>
              <w:rFonts w:eastAsia="Times New Roman"/>
            </w:rPr>
          </w:pPr>
          <w:r w:rsidRPr="000D0101">
            <w:rPr>
              <w:rFonts w:eastAsia="Times New Roman"/>
            </w:rPr>
            <w:t>Nueva fecha de finalización estimada: N/A</w:t>
          </w:r>
        </w:p>
        <w:p w14:paraId="246EE4B2" w14:textId="77777777" w:rsidR="003D5DB4" w:rsidRPr="000D0101" w:rsidRDefault="003D5DB4" w:rsidP="000A5389">
          <w:pPr>
            <w:spacing w:line="240" w:lineRule="auto"/>
            <w:rPr>
              <w:rFonts w:eastAsia="Times New Roman"/>
            </w:rPr>
          </w:pPr>
          <w:r w:rsidRPr="000D0101">
            <w:rPr>
              <w:rFonts w:eastAsia="Times New Roman"/>
            </w:rPr>
            <w:t>Observaciones: N/A</w:t>
          </w:r>
        </w:p>
        <w:p w14:paraId="4D484D51" w14:textId="77777777" w:rsidR="003D5DB4" w:rsidRPr="000D0101" w:rsidRDefault="003D5DB4" w:rsidP="000A5389">
          <w:pPr>
            <w:spacing w:line="240" w:lineRule="auto"/>
            <w:rPr>
              <w:rFonts w:eastAsia="Times New Roman"/>
            </w:rPr>
          </w:pPr>
          <w:r w:rsidRPr="000D0101">
            <w:rPr>
              <w:rFonts w:eastAsia="Times New Roman"/>
            </w:rPr>
            <w:t>Adiciones o modificaciones en valor</w:t>
          </w:r>
        </w:p>
        <w:p w14:paraId="69CAEF4B" w14:textId="77777777" w:rsidR="003D5DB4" w:rsidRPr="000D0101" w:rsidRDefault="003D5DB4" w:rsidP="000A5389">
          <w:pPr>
            <w:spacing w:line="240" w:lineRule="auto"/>
            <w:rPr>
              <w:rFonts w:eastAsia="Times New Roman"/>
            </w:rPr>
          </w:pPr>
          <w:r w:rsidRPr="000D0101">
            <w:rPr>
              <w:rFonts w:eastAsia="Times New Roman"/>
            </w:rPr>
            <w:t>Valor de la adición o modificación: USD 1.678.023</w:t>
          </w:r>
        </w:p>
        <w:p w14:paraId="294B0C67" w14:textId="77777777" w:rsidR="003D5DB4" w:rsidRPr="000D0101" w:rsidRDefault="003D5DB4" w:rsidP="000A5389">
          <w:pPr>
            <w:spacing w:line="240" w:lineRule="auto"/>
            <w:rPr>
              <w:rFonts w:eastAsia="Times New Roman"/>
            </w:rPr>
          </w:pPr>
          <w:r w:rsidRPr="000D0101">
            <w:rPr>
              <w:rFonts w:eastAsia="Times New Roman"/>
            </w:rPr>
            <w:t>Nuevo valor del acuerdo: USD 1.678.023</w:t>
          </w:r>
        </w:p>
        <w:p w14:paraId="3F27A46F" w14:textId="77777777" w:rsidR="003D5DB4" w:rsidRPr="000D0101" w:rsidRDefault="003D5DB4" w:rsidP="000A5389">
          <w:pPr>
            <w:spacing w:line="240" w:lineRule="auto"/>
            <w:rPr>
              <w:rFonts w:eastAsia="Times New Roman"/>
            </w:rPr>
          </w:pPr>
          <w:r w:rsidRPr="000D0101">
            <w:rPr>
              <w:rFonts w:eastAsia="Times New Roman"/>
            </w:rPr>
            <w:t>Observaciones: N/A</w:t>
          </w:r>
        </w:p>
        <w:p w14:paraId="6EDC0812" w14:textId="77777777" w:rsidR="003D5DB4" w:rsidRPr="000D0101" w:rsidRDefault="003D5DB4" w:rsidP="000A5389">
          <w:pPr>
            <w:spacing w:line="240" w:lineRule="auto"/>
            <w:rPr>
              <w:rFonts w:eastAsia="Times New Roman"/>
            </w:rPr>
          </w:pPr>
        </w:p>
        <w:p w14:paraId="0A2E7AE7" w14:textId="77777777" w:rsidR="003D5DB4" w:rsidRPr="00CE510F" w:rsidRDefault="003D5DB4" w:rsidP="000A5389">
          <w:pPr>
            <w:spacing w:line="240" w:lineRule="auto"/>
            <w:rPr>
              <w:rFonts w:eastAsia="Times New Roman"/>
              <w:i/>
              <w:iCs/>
            </w:rPr>
          </w:pPr>
        </w:p>
        <w:p w14:paraId="342D93CF" w14:textId="77777777" w:rsidR="003D5DB4" w:rsidRPr="00CE510F" w:rsidRDefault="003D5DB4" w:rsidP="000A5389">
          <w:pPr>
            <w:spacing w:line="240" w:lineRule="auto"/>
            <w:rPr>
              <w:rFonts w:eastAsia="Times New Roman"/>
              <w:i/>
              <w:iCs/>
            </w:rPr>
          </w:pPr>
          <w:r w:rsidRPr="00CE510F">
            <w:rPr>
              <w:rFonts w:eastAsia="Times New Roman"/>
              <w:i/>
              <w:iCs/>
              <w:lang w:eastAsia="es-CO"/>
            </w:rPr>
            <w:t xml:space="preserve">SOCIEDAD PORTUARIA EL CAYAO S.A E.S.P. </w:t>
          </w:r>
        </w:p>
        <w:p w14:paraId="538C4643" w14:textId="77777777" w:rsidR="003D5DB4" w:rsidRPr="000D0101" w:rsidRDefault="003D5DB4" w:rsidP="000A5389">
          <w:pPr>
            <w:spacing w:line="240" w:lineRule="auto"/>
          </w:pPr>
        </w:p>
        <w:p w14:paraId="47705EEB" w14:textId="77777777" w:rsidR="003D5DB4" w:rsidRPr="000D0101" w:rsidRDefault="003D5DB4" w:rsidP="000A5389">
          <w:pPr>
            <w:spacing w:line="240" w:lineRule="auto"/>
          </w:pPr>
          <w:r w:rsidRPr="000D0101">
            <w:t>a. Descripción del Acuerdo</w:t>
          </w:r>
        </w:p>
        <w:p w14:paraId="3CF62A66" w14:textId="77777777" w:rsidR="003D5DB4" w:rsidRPr="000D0101" w:rsidRDefault="003D5DB4" w:rsidP="000A5389">
          <w:pPr>
            <w:spacing w:line="240" w:lineRule="auto"/>
          </w:pPr>
        </w:p>
        <w:p w14:paraId="4AC55A67" w14:textId="77777777" w:rsidR="003D5DB4" w:rsidRPr="000D0101" w:rsidRDefault="003D5DB4" w:rsidP="000A5389">
          <w:pPr>
            <w:spacing w:line="240" w:lineRule="auto"/>
          </w:pPr>
          <w:r w:rsidRPr="000D0101">
            <w:t>Número del Acuerdo de concesión: 001 de 2015</w:t>
          </w:r>
        </w:p>
        <w:p w14:paraId="102A08F9" w14:textId="77777777" w:rsidR="003D5DB4" w:rsidRPr="000D0101" w:rsidRDefault="003D5DB4" w:rsidP="000A5389">
          <w:pPr>
            <w:spacing w:line="240" w:lineRule="auto"/>
          </w:pPr>
        </w:p>
        <w:p w14:paraId="37A6ECFC" w14:textId="77777777" w:rsidR="003D5DB4" w:rsidRPr="000D0101" w:rsidRDefault="003D5DB4" w:rsidP="000A5389">
          <w:pPr>
            <w:spacing w:line="240" w:lineRule="auto"/>
          </w:pPr>
          <w:r w:rsidRPr="000D0101">
            <w:lastRenderedPageBreak/>
            <w:t>Objeto / Descripción: Otorgamiento al Concesionario por parte del Concedente, de una Concesión para que ocupe en forma temporal y exclusiva los bienes de uso público descritos en la Clausula 2 Bienes Concesionados para la construcción, operación y mantenimiento de un terminal portuario para realizar la actividad portuaria de regasificación y para la importación, exportación y cabotaje de gas natural licuado (GNL), a cambio de una contraprestación económica a favor del Concedente, en los términos descritos en la Clausula 14 Valor del Contrato y de la Contraprestación de éste contrato, conforme lo establece la Cláusula Primera del Contrato.</w:t>
          </w:r>
        </w:p>
        <w:p w14:paraId="19DE3FB0" w14:textId="77777777" w:rsidR="003D5DB4" w:rsidRPr="000D0101" w:rsidRDefault="003D5DB4" w:rsidP="000A5389">
          <w:pPr>
            <w:spacing w:line="240" w:lineRule="auto"/>
          </w:pPr>
        </w:p>
        <w:p w14:paraId="7E3E08FE" w14:textId="77777777" w:rsidR="003D5DB4" w:rsidRPr="000D0101" w:rsidRDefault="003D5DB4" w:rsidP="000A5389">
          <w:pPr>
            <w:spacing w:line="240" w:lineRule="auto"/>
          </w:pPr>
          <w:r w:rsidRPr="000D0101">
            <w:t>Valor inicial:</w:t>
          </w:r>
          <w:r w:rsidRPr="000D0101">
            <w:tab/>
            <w:t>USD $ 3.867.393,00 /Cláusula décimo cuarta / Contrato No. 001 de 2015</w:t>
          </w:r>
        </w:p>
        <w:p w14:paraId="2CEBF21C" w14:textId="77777777" w:rsidR="003D5DB4" w:rsidRPr="000D0101" w:rsidRDefault="003D5DB4" w:rsidP="000A5389">
          <w:pPr>
            <w:spacing w:line="240" w:lineRule="auto"/>
          </w:pPr>
          <w:r w:rsidRPr="000D0101">
            <w:t>Fecha de inicio: 30/09/2015</w:t>
          </w:r>
        </w:p>
        <w:p w14:paraId="72B3DD22" w14:textId="77777777" w:rsidR="003D5DB4" w:rsidRPr="000D0101" w:rsidRDefault="003D5DB4" w:rsidP="000A5389">
          <w:pPr>
            <w:spacing w:line="240" w:lineRule="auto"/>
          </w:pPr>
          <w:r w:rsidRPr="000D0101">
            <w:t>Fecha de finalización estimada: 29/09/2035</w:t>
          </w:r>
        </w:p>
        <w:p w14:paraId="79374DB2" w14:textId="77777777" w:rsidR="003D5DB4" w:rsidRPr="000D0101" w:rsidRDefault="003D5DB4" w:rsidP="000A5389">
          <w:pPr>
            <w:spacing w:line="240" w:lineRule="auto"/>
          </w:pPr>
          <w:r w:rsidRPr="000D0101">
            <w:t>Tipo ID: NIT</w:t>
          </w:r>
        </w:p>
        <w:p w14:paraId="59AC98AE" w14:textId="77777777" w:rsidR="003D5DB4" w:rsidRPr="000D0101" w:rsidRDefault="003D5DB4" w:rsidP="000A5389">
          <w:pPr>
            <w:spacing w:line="240" w:lineRule="auto"/>
          </w:pPr>
          <w:r w:rsidRPr="000D0101">
            <w:t>Número ID: 800.033.858-6</w:t>
          </w:r>
        </w:p>
        <w:p w14:paraId="4D6A1E28" w14:textId="77777777" w:rsidR="003D5DB4" w:rsidRPr="000D0101" w:rsidRDefault="003D5DB4" w:rsidP="000A5389">
          <w:pPr>
            <w:spacing w:line="240" w:lineRule="auto"/>
          </w:pPr>
          <w:r w:rsidRPr="000D0101">
            <w:t>Razón social del concesionario: Sociedad Portuaria el Cayao S.A</w:t>
          </w:r>
        </w:p>
        <w:p w14:paraId="7B13C14A" w14:textId="77777777" w:rsidR="003D5DB4" w:rsidRPr="000D0101" w:rsidRDefault="003D5DB4" w:rsidP="000A5389">
          <w:pPr>
            <w:spacing w:line="240" w:lineRule="auto"/>
          </w:pPr>
          <w:r w:rsidRPr="000D0101">
            <w:t>Nombre del proyecto: Sociedad Portuaria el Cayao S.A</w:t>
          </w:r>
        </w:p>
        <w:p w14:paraId="3FEB2F24" w14:textId="77777777" w:rsidR="003D5DB4" w:rsidRPr="000D0101" w:rsidRDefault="003D5DB4" w:rsidP="000A5389">
          <w:pPr>
            <w:spacing w:line="240" w:lineRule="auto"/>
          </w:pPr>
        </w:p>
        <w:p w14:paraId="3C7C4A46" w14:textId="77777777" w:rsidR="003D5DB4" w:rsidRPr="000D0101" w:rsidRDefault="003D5DB4" w:rsidP="000A5389">
          <w:pPr>
            <w:spacing w:line="240" w:lineRule="auto"/>
          </w:pPr>
          <w:r w:rsidRPr="000D0101">
            <w:t>b. Términos significativos del Acuerdo que puedan afectar su valor, el calendario y la certeza de los flujos de efectivo futuros</w:t>
          </w:r>
        </w:p>
        <w:p w14:paraId="073A433D" w14:textId="77777777" w:rsidR="003D5DB4" w:rsidRPr="000D0101" w:rsidRDefault="003D5DB4" w:rsidP="000A5389">
          <w:pPr>
            <w:spacing w:line="240" w:lineRule="auto"/>
          </w:pPr>
        </w:p>
        <w:p w14:paraId="61322C89" w14:textId="77777777" w:rsidR="003D5DB4" w:rsidRPr="000D0101" w:rsidRDefault="003D5DB4" w:rsidP="000A5389">
          <w:pPr>
            <w:spacing w:line="240" w:lineRule="auto"/>
          </w:pPr>
          <w:r w:rsidRPr="000D0101">
            <w:t>Términos de valor: Tarifas: Al ser el terminal marítimo de servicio público la Ley 1 de 1991 establece: Las sociedades portuarias que operan puertos de servicio público las tarifas requieren ser aprobadas según la metodología establecida por la Superintendencia General de Puertos hoy Superintendencia de Transporte. Contraprestación portuaria: De acuerdo con el último documento contractual vigente la metodología de contraprestación vigente es CONPES 3744 de 2013 (Componentes Fijo y Variable). A febrero de 2025 el CONCESIONARIO debía pagar por concepto de contraprestación USD 463.521. El valor correspondiente a la contraprestación por zona de uso público resultará de la diferencia entre el valor de la liquidación total y el valor de la infraestructura. Y el recaudo se realizará de conformidad con la ley 856 de 2003, es decir, ZUP el 80% le corresponde a la Nación (INVIAS-ANI) y el 20% restante al distrito de Cartagena. Plan de Inversiones: Está establecido en la cláusula décimo tercera del contrato, el plan de inversión será de USD $38.170.000. Obligaciones del CONCESIONARIO: Se encuentran descritas en la cláusula vigésima primera. Multas y sanciones: Están establecidas en la cláusula vigésima cuarta. Penal pecuniaria: En la cláusula vigésima quinta se establece que en el evento en que CONCEDENTE declare la caducidad o el incumplimiento del presente contrato se podrá imponer una penalidad pecuniaria. Riesgos: Están descritos en la cláusula décimo octava, el asume los efectos derivados de los riesgos enlistados en el contrato, además de aquellos que se desprendan de otras clausulas o estipulaciones del contrato y de sus anexos o que se deriven de la naturaleza de este contrato. No procederá reclamaciones del CONCESIONARIO basadas en el acaecimiento de algunos de los riesgos que fueron asumidos.</w:t>
          </w:r>
        </w:p>
        <w:p w14:paraId="5CE37882" w14:textId="77777777" w:rsidR="003D5DB4" w:rsidRPr="000D0101" w:rsidRDefault="003D5DB4" w:rsidP="000A5389">
          <w:pPr>
            <w:spacing w:line="240" w:lineRule="auto"/>
          </w:pPr>
        </w:p>
        <w:p w14:paraId="1D92ECEB" w14:textId="77777777" w:rsidR="003D5DB4" w:rsidRPr="000D0101" w:rsidRDefault="003D5DB4" w:rsidP="000A5389">
          <w:pPr>
            <w:spacing w:line="240" w:lineRule="auto"/>
          </w:pPr>
          <w:r w:rsidRPr="000D0101">
            <w:lastRenderedPageBreak/>
            <w:t>Términos de calendario: Tarifas: Las sociedades portuarias que operan puertos de servicio público las tarifas requieren ser aprobadas según la metodología establecida por la Superintendencia General de Puertos hoy Superintendencia de Transporte Contraprestación portuaria: Contraprestación portuaria: Anexo 2 Conpes 3744 de 2013 “(…) Antes de finalizar los meses de febrero cada concesionario deberá corregir su liquidación del año anterior según el movimiento de carga real y la indexación del valor de referencia por metro cuadrado, del avalúo de la infraestructura concesionada y de los cargos, así como realizar el pago anticipado del año en curso con base en lo proyectado en el FCL definitivo” Plan de inversiones: Se establecido en la cláusula decimotercera del contrato No. 001 de 2015 ejecución de inversiones en el periodo de tiempo comprendido entre los años 2015 a 2018. Multas: Están establecidas en la cláusula vigésima cuarta del contrato.</w:t>
          </w:r>
        </w:p>
        <w:p w14:paraId="2897B71C" w14:textId="77777777" w:rsidR="003D5DB4" w:rsidRPr="000D0101" w:rsidRDefault="003D5DB4" w:rsidP="000A5389">
          <w:pPr>
            <w:spacing w:line="240" w:lineRule="auto"/>
          </w:pPr>
        </w:p>
        <w:p w14:paraId="5F586870" w14:textId="77777777" w:rsidR="003D5DB4" w:rsidRPr="000D0101" w:rsidRDefault="003D5DB4" w:rsidP="000A5389">
          <w:pPr>
            <w:spacing w:line="240" w:lineRule="auto"/>
          </w:pPr>
          <w:r w:rsidRPr="000D0101">
            <w:t>Términos de certeza de flujos de efectivo futuros: Se otorga a EL CONCESIONARIO una concesión para que ocupe en forma temporal y exclusiva los bienes de uso público descritos en la CLÁUSULA 2 BIENES CONCESIONADOS, a cambio de una contraprestación económica. Cláusula decimocuarta parágrafo sexto del contrato, De dicho pago el 80% la corresponde a la Nación -Instituto Nacional de Vías y el 20% restante al Municipio de Cartagena de Indias- Departamento de Bolívar-, de acuerdo con lo establecido en el parágrafo 1º de la Ley 856 del 21 de diciembre de 2003, que modifica el artículo 7º de la Ley 1ª de 1991.</w:t>
          </w:r>
        </w:p>
        <w:p w14:paraId="5DAB8486" w14:textId="77777777" w:rsidR="003D5DB4" w:rsidRPr="000D0101" w:rsidRDefault="003D5DB4" w:rsidP="000A5389">
          <w:pPr>
            <w:spacing w:line="240" w:lineRule="auto"/>
          </w:pPr>
        </w:p>
        <w:p w14:paraId="180801D7" w14:textId="77777777" w:rsidR="003D5DB4" w:rsidRPr="000D0101" w:rsidRDefault="003D5DB4" w:rsidP="000A5389">
          <w:pPr>
            <w:spacing w:line="240" w:lineRule="auto"/>
          </w:pPr>
          <w:r w:rsidRPr="000D0101">
            <w:t>c. Naturaleza y alcance del derecho a utilizar Activos y los aspectos pactados en torno a lo que se espera que el concesionario proporcione en relación con el Acuerdo de concesión</w:t>
          </w:r>
        </w:p>
        <w:p w14:paraId="063B63EF" w14:textId="77777777" w:rsidR="003D5DB4" w:rsidRPr="000D0101" w:rsidRDefault="003D5DB4" w:rsidP="000A5389">
          <w:pPr>
            <w:spacing w:line="240" w:lineRule="auto"/>
          </w:pPr>
        </w:p>
        <w:p w14:paraId="2F757E99" w14:textId="77777777" w:rsidR="003D5DB4" w:rsidRPr="000D0101" w:rsidRDefault="003D5DB4" w:rsidP="000A5389">
          <w:pPr>
            <w:spacing w:line="240" w:lineRule="auto"/>
          </w:pPr>
          <w:r w:rsidRPr="000D0101">
            <w:t>Naturaleza y alcance del derecho de uso de los Activos</w:t>
          </w:r>
        </w:p>
        <w:p w14:paraId="498684F4" w14:textId="77777777" w:rsidR="003D5DB4" w:rsidRPr="000D0101" w:rsidRDefault="003D5DB4" w:rsidP="000A5389">
          <w:pPr>
            <w:spacing w:line="240" w:lineRule="auto"/>
          </w:pPr>
        </w:p>
        <w:p w14:paraId="48A76885" w14:textId="77777777" w:rsidR="003D5DB4" w:rsidRPr="000D0101" w:rsidRDefault="003D5DB4" w:rsidP="000A5389">
          <w:pPr>
            <w:spacing w:line="240" w:lineRule="auto"/>
          </w:pPr>
          <w:r w:rsidRPr="000D0101">
            <w:t>Descripción: Descripción del proyecto, especificaciones técnicas, modalidades de operación: las condiciones especiales de operación del puerto están establecidas en la cláusula sexta del Contrato de Concesión. Área entregada en concesión: La descripción de la ubicación, linderos y extensión de los bienes de uso público (playas y terrenos de baja mar, zonas marítimas accesorias de maniobras) entregados en concesión están establecidos en la cláusula cuarta del Contrato de Concesión.</w:t>
          </w:r>
        </w:p>
        <w:p w14:paraId="59619506" w14:textId="77777777" w:rsidR="003D5DB4" w:rsidRPr="000D0101" w:rsidRDefault="003D5DB4" w:rsidP="000A5389">
          <w:pPr>
            <w:spacing w:line="240" w:lineRule="auto"/>
          </w:pPr>
        </w:p>
        <w:p w14:paraId="0F9EF7CD" w14:textId="77777777" w:rsidR="003D5DB4" w:rsidRPr="000D0101" w:rsidRDefault="003D5DB4" w:rsidP="000A5389">
          <w:pPr>
            <w:spacing w:line="240" w:lineRule="auto"/>
          </w:pPr>
          <w:r w:rsidRPr="000D0101">
            <w:t>Observaciones: N/A</w:t>
          </w:r>
        </w:p>
        <w:p w14:paraId="6095272C" w14:textId="77777777" w:rsidR="003D5DB4" w:rsidRPr="000D0101" w:rsidRDefault="003D5DB4" w:rsidP="000A5389">
          <w:pPr>
            <w:spacing w:line="240" w:lineRule="auto"/>
          </w:pPr>
        </w:p>
        <w:p w14:paraId="550CA98F" w14:textId="77777777" w:rsidR="003D5DB4" w:rsidRPr="000D0101" w:rsidRDefault="003D5DB4" w:rsidP="000A5389">
          <w:pPr>
            <w:spacing w:line="240" w:lineRule="auto"/>
          </w:pPr>
          <w:r w:rsidRPr="000D0101">
            <w:t>Retribución al concesionario</w:t>
          </w:r>
        </w:p>
        <w:p w14:paraId="61D1C656" w14:textId="77777777" w:rsidR="003D5DB4" w:rsidRPr="000D0101" w:rsidRDefault="003D5DB4" w:rsidP="000A5389">
          <w:pPr>
            <w:spacing w:line="240" w:lineRule="auto"/>
          </w:pPr>
        </w:p>
        <w:p w14:paraId="47B2C6F4" w14:textId="77777777" w:rsidR="003D5DB4" w:rsidRPr="000D0101" w:rsidRDefault="003D5DB4" w:rsidP="000A5389">
          <w:pPr>
            <w:spacing w:line="240" w:lineRule="auto"/>
          </w:pPr>
          <w:r w:rsidRPr="000D0101">
            <w:t>Descripción: Se otorga a EL CONCESIONARIO una concesión para que ocupe en forma temporal y exclusiva los bienes de uso público descritos en la CLÁUSULA 2 BIENES CONCESIONADOS, a cambio de una contraprestación económica.</w:t>
          </w:r>
        </w:p>
        <w:p w14:paraId="30876631" w14:textId="77777777" w:rsidR="003D5DB4" w:rsidRPr="000D0101" w:rsidRDefault="003D5DB4" w:rsidP="000A5389">
          <w:pPr>
            <w:spacing w:line="240" w:lineRule="auto"/>
          </w:pPr>
        </w:p>
        <w:p w14:paraId="556840B0" w14:textId="77777777" w:rsidR="003D5DB4" w:rsidRPr="000D0101" w:rsidRDefault="003D5DB4" w:rsidP="000A5389">
          <w:pPr>
            <w:spacing w:line="240" w:lineRule="auto"/>
          </w:pPr>
          <w:r w:rsidRPr="000D0101">
            <w:t>Tasa de retribución: N/A</w:t>
          </w:r>
        </w:p>
        <w:p w14:paraId="1B868671" w14:textId="77777777" w:rsidR="003D5DB4" w:rsidRPr="000D0101" w:rsidRDefault="003D5DB4" w:rsidP="000A5389">
          <w:pPr>
            <w:spacing w:line="240" w:lineRule="auto"/>
          </w:pPr>
        </w:p>
        <w:p w14:paraId="12E0631D" w14:textId="77777777" w:rsidR="003D5DB4" w:rsidRPr="000D0101" w:rsidRDefault="003D5DB4" w:rsidP="000A5389">
          <w:pPr>
            <w:spacing w:line="240" w:lineRule="auto"/>
          </w:pPr>
          <w:r w:rsidRPr="000D0101">
            <w:t>d. Derechos a recibir Activos especificados al final del acuerdo de concesión</w:t>
          </w:r>
        </w:p>
        <w:p w14:paraId="4546FCA4" w14:textId="77777777" w:rsidR="003D5DB4" w:rsidRPr="000D0101" w:rsidRDefault="003D5DB4" w:rsidP="000A5389">
          <w:pPr>
            <w:spacing w:line="240" w:lineRule="auto"/>
          </w:pPr>
          <w:r w:rsidRPr="000D0101">
            <w:lastRenderedPageBreak/>
            <w:t>Descripción: De acuerdo con el Artículo 8º de la Ley 1 de 1991 en el modo portuario el concesionario no tiene derechos finales sobre activos, los debe revertir a la Nación al final del contrato de concesión.</w:t>
          </w:r>
        </w:p>
        <w:p w14:paraId="4F5706C1" w14:textId="77777777" w:rsidR="003D5DB4" w:rsidRPr="000D0101" w:rsidRDefault="003D5DB4" w:rsidP="000A5389">
          <w:pPr>
            <w:spacing w:line="240" w:lineRule="auto"/>
          </w:pPr>
        </w:p>
        <w:p w14:paraId="58AAF886" w14:textId="77777777" w:rsidR="003D5DB4" w:rsidRPr="000D0101" w:rsidRDefault="003D5DB4" w:rsidP="000A5389">
          <w:pPr>
            <w:spacing w:line="240" w:lineRule="auto"/>
          </w:pPr>
          <w:r w:rsidRPr="000D0101">
            <w:t>Observaciones: Reversión: De acuerdo con lo establecido en la cláusula trigésimo quinta del contrato de concesión, la zona de uso público  y todas las construcciones e inmuebles por destinación existentes, así como los que se autoricen por la ANI, levantadas y construidas en la zona de uso público que ha sido determinada o que se encuentre habitualmente instalada en ellas y afectadas a la concesión, serán revertidas gratuitamente por el CONCESIONARIO a la Nación- Instituto Nacional de Vías INVIAS conforme a lo dispuesto en el artículo 8 de la ley 1° de 1991, en buen estado de operación y mantenimiento al extinguirse el plazo de la misma o al ser declarada la caducidad. Dichos bienes deberán entregarse en buenas condiciones de operación tecnológica, mantenimiento y adecuada eficiencia al término de este contrato. Para tal fin, en el momento de la reversión el CONCESIONARIO deberá hacer entrega de un avaluó comercial actualizado y valoración técnica de las condiciones de operación de la infraestructura portuaria, equipos e inmuebles por destinación que habitualmente se encuentren instalados en las zonas de uso público que se revierten y que son propiedad de la Nación. La ANI es la entidad concedente pero la titularidad de los activos al final de la concesión es del Instituto Nacional de Vías INVIAS.</w:t>
          </w:r>
        </w:p>
        <w:p w14:paraId="320D016D" w14:textId="77777777" w:rsidR="003D5DB4" w:rsidRPr="000D0101" w:rsidRDefault="003D5DB4" w:rsidP="000A5389">
          <w:pPr>
            <w:spacing w:line="240" w:lineRule="auto"/>
          </w:pPr>
        </w:p>
        <w:p w14:paraId="37FC76C9" w14:textId="77777777" w:rsidR="003D5DB4" w:rsidRPr="000D0101" w:rsidRDefault="003D5DB4" w:rsidP="000A5389">
          <w:pPr>
            <w:spacing w:line="240" w:lineRule="auto"/>
          </w:pPr>
          <w:r w:rsidRPr="000D0101">
            <w:t>e. Las alternativas de renovación y cese del acuerdo</w:t>
          </w:r>
        </w:p>
        <w:p w14:paraId="6B65BBBB" w14:textId="77777777" w:rsidR="003D5DB4" w:rsidRPr="000D0101" w:rsidRDefault="003D5DB4" w:rsidP="000A5389">
          <w:pPr>
            <w:spacing w:line="240" w:lineRule="auto"/>
          </w:pPr>
        </w:p>
        <w:p w14:paraId="38DFF669" w14:textId="77777777" w:rsidR="003D5DB4" w:rsidRPr="000D0101" w:rsidRDefault="003D5DB4" w:rsidP="000A5389">
          <w:pPr>
            <w:spacing w:line="240" w:lineRule="auto"/>
          </w:pPr>
          <w:r w:rsidRPr="000D0101">
            <w:t>Descripción:</w:t>
          </w:r>
          <w:r w:rsidRPr="000D0101">
            <w:tab/>
            <w:t>La alternativa de renovación se encuentra en la CLÁUSULA 12 - PRÓRROGA DE LA CONCESIÓN y el cese del acuerdo en la CLÁUSULA 31 - TERMINACIÓN DEL CONTRATO del contrato No. 001 de 2015</w:t>
          </w:r>
        </w:p>
        <w:p w14:paraId="02FCEF31" w14:textId="77777777" w:rsidR="003D5DB4" w:rsidRPr="000D0101" w:rsidRDefault="003D5DB4" w:rsidP="000A5389">
          <w:pPr>
            <w:spacing w:line="240" w:lineRule="auto"/>
          </w:pPr>
        </w:p>
        <w:p w14:paraId="3C70E47F" w14:textId="77777777" w:rsidR="003D5DB4" w:rsidRPr="000D0101" w:rsidRDefault="003D5DB4" w:rsidP="000A5389">
          <w:pPr>
            <w:spacing w:line="240" w:lineRule="auto"/>
          </w:pPr>
          <w:r w:rsidRPr="000D0101">
            <w:t>Observaciones: No se tienen observaciones adicionales</w:t>
          </w:r>
        </w:p>
        <w:p w14:paraId="51FAB0BB" w14:textId="77777777" w:rsidR="003D5DB4" w:rsidRPr="000D0101" w:rsidRDefault="003D5DB4" w:rsidP="000A5389">
          <w:pPr>
            <w:spacing w:line="240" w:lineRule="auto"/>
          </w:pPr>
        </w:p>
        <w:p w14:paraId="195AE98D" w14:textId="77777777" w:rsidR="003D5DB4" w:rsidRPr="000D0101" w:rsidRDefault="003D5DB4" w:rsidP="000A5389">
          <w:pPr>
            <w:spacing w:line="240" w:lineRule="auto"/>
          </w:pPr>
          <w:r w:rsidRPr="000D0101">
            <w:t>f. Cambios en el acuerdo de concesión que se realicen durante el periodo fiscal</w:t>
          </w:r>
        </w:p>
        <w:p w14:paraId="4FBE841D" w14:textId="77777777" w:rsidR="003D5DB4" w:rsidRPr="000D0101" w:rsidRDefault="003D5DB4" w:rsidP="000A5389">
          <w:pPr>
            <w:spacing w:line="240" w:lineRule="auto"/>
          </w:pPr>
        </w:p>
        <w:p w14:paraId="5ADF27B9" w14:textId="77777777" w:rsidR="003D5DB4" w:rsidRPr="000D0101" w:rsidRDefault="003D5DB4" w:rsidP="000A5389">
          <w:pPr>
            <w:spacing w:line="240" w:lineRule="auto"/>
          </w:pPr>
          <w:r w:rsidRPr="000D0101">
            <w:t>Adiciones o modificaciones en tiempo</w:t>
          </w:r>
        </w:p>
        <w:p w14:paraId="3E03C038" w14:textId="77777777" w:rsidR="003D5DB4" w:rsidRPr="000D0101" w:rsidRDefault="003D5DB4" w:rsidP="000A5389">
          <w:pPr>
            <w:spacing w:line="240" w:lineRule="auto"/>
          </w:pPr>
          <w:r w:rsidRPr="000D0101">
            <w:t>Fechas de las adiciones o modificaciones:</w:t>
          </w:r>
          <w:r w:rsidRPr="000D0101">
            <w:tab/>
            <w:t>Otrosí No. 1, suscrito el 25 de septiembre de 2015</w:t>
          </w:r>
        </w:p>
        <w:p w14:paraId="30F20048" w14:textId="77777777" w:rsidR="003D5DB4" w:rsidRPr="000D0101" w:rsidRDefault="003D5DB4" w:rsidP="000A5389">
          <w:pPr>
            <w:spacing w:line="240" w:lineRule="auto"/>
          </w:pPr>
          <w:r w:rsidRPr="000D0101">
            <w:t>Nueva fecha de finalización estimada: N/A</w:t>
          </w:r>
        </w:p>
        <w:p w14:paraId="4F019F20" w14:textId="77777777" w:rsidR="003D5DB4" w:rsidRPr="000D0101" w:rsidRDefault="003D5DB4" w:rsidP="000A5389">
          <w:pPr>
            <w:spacing w:line="240" w:lineRule="auto"/>
          </w:pPr>
          <w:r w:rsidRPr="000D0101">
            <w:t>Observaciones: El otrosí No. 1 no modificó la duración del contrato</w:t>
          </w:r>
        </w:p>
        <w:p w14:paraId="0C4267B8" w14:textId="77777777" w:rsidR="003D5DB4" w:rsidRPr="000D0101" w:rsidRDefault="003D5DB4" w:rsidP="000A5389">
          <w:pPr>
            <w:spacing w:line="240" w:lineRule="auto"/>
          </w:pPr>
          <w:r w:rsidRPr="000D0101">
            <w:t>Adiciones o modificaciones en valor</w:t>
          </w:r>
        </w:p>
        <w:p w14:paraId="6A91B031" w14:textId="77777777" w:rsidR="003D5DB4" w:rsidRPr="000D0101" w:rsidRDefault="003D5DB4" w:rsidP="000A5389">
          <w:pPr>
            <w:spacing w:line="240" w:lineRule="auto"/>
          </w:pPr>
          <w:r w:rsidRPr="000D0101">
            <w:t>Valor de la adición o modificación: N/A</w:t>
          </w:r>
        </w:p>
        <w:p w14:paraId="72214A66" w14:textId="77777777" w:rsidR="003D5DB4" w:rsidRPr="000D0101" w:rsidRDefault="003D5DB4" w:rsidP="000A5389">
          <w:pPr>
            <w:spacing w:line="240" w:lineRule="auto"/>
          </w:pPr>
          <w:r w:rsidRPr="000D0101">
            <w:t>Nuevo valor del acuerdo: N/A</w:t>
          </w:r>
        </w:p>
        <w:p w14:paraId="0AAB0F50" w14:textId="2B720D4D" w:rsidR="003D5DB4" w:rsidRPr="000D0101" w:rsidRDefault="003D5DB4" w:rsidP="000A5389">
          <w:pPr>
            <w:spacing w:line="240" w:lineRule="auto"/>
          </w:pPr>
          <w:r w:rsidRPr="000D0101">
            <w:t>Observaciones: El otrosí No. 1 no modificó el valor del contrato</w:t>
          </w:r>
        </w:p>
        <w:p w14:paraId="5F7731DA" w14:textId="77777777" w:rsidR="003D5DB4" w:rsidRPr="000D0101" w:rsidRDefault="003D5DB4" w:rsidP="000A5389">
          <w:pPr>
            <w:spacing w:line="240" w:lineRule="auto"/>
            <w:rPr>
              <w:rFonts w:eastAsia="Times New Roman"/>
            </w:rPr>
          </w:pPr>
        </w:p>
        <w:p w14:paraId="7AC05518" w14:textId="77777777" w:rsidR="003D5DB4" w:rsidRPr="000D0101" w:rsidRDefault="003D5DB4" w:rsidP="000A5389">
          <w:pPr>
            <w:spacing w:line="240" w:lineRule="auto"/>
            <w:rPr>
              <w:rFonts w:eastAsia="Times New Roman"/>
            </w:rPr>
          </w:pPr>
        </w:p>
        <w:p w14:paraId="3F8D73A1" w14:textId="77777777" w:rsidR="003D5DB4" w:rsidRPr="00EE35D4" w:rsidRDefault="003D5DB4" w:rsidP="000A5389">
          <w:pPr>
            <w:spacing w:line="240" w:lineRule="auto"/>
            <w:rPr>
              <w:rFonts w:eastAsia="Times New Roman"/>
              <w:i/>
              <w:iCs/>
            </w:rPr>
          </w:pPr>
          <w:r w:rsidRPr="00EE35D4">
            <w:rPr>
              <w:rFonts w:eastAsia="Times New Roman"/>
              <w:i/>
              <w:iCs/>
              <w:lang w:eastAsia="es-CO"/>
            </w:rPr>
            <w:t xml:space="preserve">SOCIEDAD PORTUARIA ENERGÉTICA MULTIPROPÓSITO Y CONTENEDORES PUERTO SOLO BUENAVENTURA S.A. </w:t>
          </w:r>
        </w:p>
        <w:p w14:paraId="3099AF59" w14:textId="77777777" w:rsidR="003D5DB4" w:rsidRPr="000D0101" w:rsidRDefault="003D5DB4" w:rsidP="000A5389">
          <w:pPr>
            <w:spacing w:line="240" w:lineRule="auto"/>
          </w:pPr>
        </w:p>
        <w:p w14:paraId="12E8A43B" w14:textId="77777777" w:rsidR="003D5DB4" w:rsidRPr="000D0101" w:rsidRDefault="003D5DB4" w:rsidP="000A5389">
          <w:pPr>
            <w:spacing w:line="240" w:lineRule="auto"/>
          </w:pPr>
          <w:r w:rsidRPr="000D0101">
            <w:lastRenderedPageBreak/>
            <w:t>a. Descripción del Acuerdo</w:t>
          </w:r>
        </w:p>
        <w:p w14:paraId="01F11612" w14:textId="77777777" w:rsidR="003D5DB4" w:rsidRPr="000D0101" w:rsidRDefault="003D5DB4" w:rsidP="000A5389">
          <w:pPr>
            <w:spacing w:line="240" w:lineRule="auto"/>
          </w:pPr>
        </w:p>
        <w:p w14:paraId="18E87194" w14:textId="77777777" w:rsidR="003D5DB4" w:rsidRPr="000D0101" w:rsidRDefault="003D5DB4" w:rsidP="000A5389">
          <w:pPr>
            <w:spacing w:line="240" w:lineRule="auto"/>
          </w:pPr>
          <w:r w:rsidRPr="000D0101">
            <w:t>Número del Acuerdo de concesión: 001 de 2021</w:t>
          </w:r>
        </w:p>
        <w:p w14:paraId="285A07B9" w14:textId="77777777" w:rsidR="003D5DB4" w:rsidRPr="000D0101" w:rsidRDefault="003D5DB4" w:rsidP="000A5389">
          <w:pPr>
            <w:spacing w:line="240" w:lineRule="auto"/>
          </w:pPr>
        </w:p>
        <w:p w14:paraId="20E6FD3B" w14:textId="77777777" w:rsidR="003D5DB4" w:rsidRPr="000D0101" w:rsidRDefault="003D5DB4" w:rsidP="000A5389">
          <w:pPr>
            <w:spacing w:line="240" w:lineRule="auto"/>
          </w:pPr>
          <w:r w:rsidRPr="000D0101">
            <w:t>Objeto / Descripción: El objeto del presente Contrato es el otorgamiento de una concesión portuaria, para que de conformidad con lo previsto en la Ley 1ª de 1991, el Concesionario ocupe de manera temporal y exclusiva, los bienes de uso público descritos en la Sección 6.1 para la construcción, operación, mantenimiento y administración de un terminal marítimo de uso público; a cambio de una contraprestación económica a favor del Concedente, en los términos descritos en la Sección 4.1 de este Contrato.</w:t>
          </w:r>
        </w:p>
        <w:p w14:paraId="588D7CAD" w14:textId="77777777" w:rsidR="003D5DB4" w:rsidRPr="000D0101" w:rsidRDefault="003D5DB4" w:rsidP="000A5389">
          <w:pPr>
            <w:spacing w:line="240" w:lineRule="auto"/>
          </w:pPr>
        </w:p>
        <w:p w14:paraId="46F4D42F" w14:textId="77777777" w:rsidR="003D5DB4" w:rsidRPr="000D0101" w:rsidRDefault="003D5DB4" w:rsidP="000A5389">
          <w:pPr>
            <w:spacing w:line="240" w:lineRule="auto"/>
          </w:pPr>
          <w:r w:rsidRPr="000D0101">
            <w:t>Valor inicial:</w:t>
          </w:r>
          <w:r w:rsidRPr="000D0101">
            <w:tab/>
            <w:t>USD $ 28.434.281 precios constantes de diciembre de 2019</w:t>
          </w:r>
        </w:p>
        <w:p w14:paraId="397CF906" w14:textId="77777777" w:rsidR="003D5DB4" w:rsidRPr="000D0101" w:rsidRDefault="003D5DB4" w:rsidP="000A5389">
          <w:pPr>
            <w:spacing w:line="240" w:lineRule="auto"/>
          </w:pPr>
        </w:p>
        <w:p w14:paraId="0A6A2EE1" w14:textId="77777777" w:rsidR="003D5DB4" w:rsidRPr="000D0101" w:rsidRDefault="003D5DB4" w:rsidP="000A5389">
          <w:pPr>
            <w:spacing w:line="240" w:lineRule="auto"/>
          </w:pPr>
          <w:r w:rsidRPr="000D0101">
            <w:t>Fecha de inicio: 9/09/2021</w:t>
          </w:r>
        </w:p>
        <w:p w14:paraId="26951D18" w14:textId="77777777" w:rsidR="003D5DB4" w:rsidRPr="000D0101" w:rsidRDefault="003D5DB4" w:rsidP="000A5389">
          <w:pPr>
            <w:spacing w:line="240" w:lineRule="auto"/>
          </w:pPr>
          <w:r w:rsidRPr="000D0101">
            <w:t>Fecha de finalización estimada: 8/09/2051</w:t>
          </w:r>
        </w:p>
        <w:p w14:paraId="4189F3C4" w14:textId="77777777" w:rsidR="003D5DB4" w:rsidRPr="000D0101" w:rsidRDefault="003D5DB4" w:rsidP="000A5389">
          <w:pPr>
            <w:spacing w:line="240" w:lineRule="auto"/>
          </w:pPr>
          <w:r w:rsidRPr="000D0101">
            <w:t>Tipo ID: NIT</w:t>
          </w:r>
        </w:p>
        <w:p w14:paraId="64597C12" w14:textId="77777777" w:rsidR="003D5DB4" w:rsidRPr="000D0101" w:rsidRDefault="003D5DB4" w:rsidP="000A5389">
          <w:pPr>
            <w:spacing w:line="240" w:lineRule="auto"/>
          </w:pPr>
          <w:r w:rsidRPr="000D0101">
            <w:t>Número ID: 900.739.289-9</w:t>
          </w:r>
        </w:p>
        <w:p w14:paraId="57F99E85" w14:textId="77777777" w:rsidR="003D5DB4" w:rsidRPr="000D0101" w:rsidRDefault="003D5DB4" w:rsidP="000A5389">
          <w:pPr>
            <w:spacing w:line="240" w:lineRule="auto"/>
          </w:pPr>
          <w:r w:rsidRPr="000D0101">
            <w:t>Razón social del concesionario: Sociedad Portuaria Energética Multipropósito y Contenedores</w:t>
          </w:r>
        </w:p>
        <w:p w14:paraId="1E43484F" w14:textId="77777777" w:rsidR="003D5DB4" w:rsidRPr="000D0101" w:rsidRDefault="003D5DB4" w:rsidP="000A5389">
          <w:pPr>
            <w:spacing w:line="240" w:lineRule="auto"/>
          </w:pPr>
          <w:r w:rsidRPr="000D0101">
            <w:t>Nombre del proyecto: Sociedad Portuaria Energética Multipropósito y Contenedores Puerto Solo Buenaventura S.A. “Puerto Solo S.A.”</w:t>
          </w:r>
        </w:p>
        <w:p w14:paraId="1639B912" w14:textId="77777777" w:rsidR="003D5DB4" w:rsidRPr="000D0101" w:rsidRDefault="003D5DB4" w:rsidP="000A5389">
          <w:pPr>
            <w:spacing w:line="240" w:lineRule="auto"/>
          </w:pPr>
        </w:p>
        <w:p w14:paraId="3F7DAE1F" w14:textId="77777777" w:rsidR="003D5DB4" w:rsidRPr="000D0101" w:rsidRDefault="003D5DB4" w:rsidP="000A5389">
          <w:pPr>
            <w:spacing w:line="240" w:lineRule="auto"/>
          </w:pPr>
          <w:r w:rsidRPr="000D0101">
            <w:t>b. Términos significativos del Acuerdo que puedan afectar su valor, el calendario y la certeza de los flujos de efectivo futuros</w:t>
          </w:r>
        </w:p>
        <w:p w14:paraId="538DB925" w14:textId="77777777" w:rsidR="003D5DB4" w:rsidRPr="000D0101" w:rsidRDefault="003D5DB4" w:rsidP="000A5389">
          <w:pPr>
            <w:spacing w:line="240" w:lineRule="auto"/>
          </w:pPr>
          <w:r w:rsidRPr="000D0101">
            <w:t>Términos de valor:</w:t>
          </w:r>
          <w:r w:rsidRPr="000D0101">
            <w:tab/>
            <w:t>1: Tarifas: Al ser el terminal marítimo de servicio público la Ley 1 de 1991 establece: Las sociedades portuarias que operan puertos de servicio público las tarifas requieren ser aprobadas según la metodología establecida por la Superintendencia General de Puertos hoy Superintendencia de Transporte.</w:t>
          </w:r>
        </w:p>
        <w:p w14:paraId="7F04B121" w14:textId="77777777" w:rsidR="003D5DB4" w:rsidRPr="000D0101" w:rsidRDefault="003D5DB4" w:rsidP="000A5389">
          <w:pPr>
            <w:spacing w:line="240" w:lineRule="auto"/>
          </w:pPr>
        </w:p>
        <w:p w14:paraId="720C4662" w14:textId="77777777" w:rsidR="003D5DB4" w:rsidRPr="000D0101" w:rsidRDefault="003D5DB4" w:rsidP="000A5389">
          <w:pPr>
            <w:spacing w:line="240" w:lineRule="auto"/>
          </w:pPr>
          <w:r w:rsidRPr="000D0101">
            <w:t xml:space="preserve">2: Contraprestación portuaria: De acuerdo con el último documento contractual vigente la metodología de contraprestación vigente es CONPES 3744 de 2013 (Componentes Fijo y Variable). A noviembre de 2025 el CONCESIONARIO adeuda la suma de USD $UD14.219.741 valor que incluye componente fijo y componente variable. El recaudo se realizará de conformidad con la ley 856 de 2003, es decir, ZUP el 80% le corresponde a la Nación Instituto nacional de vías (INVIAS- ANI) y el 20% restante al distrito de Cartagena. </w:t>
          </w:r>
        </w:p>
        <w:p w14:paraId="5BF50022" w14:textId="77777777" w:rsidR="003D5DB4" w:rsidRPr="000D0101" w:rsidRDefault="003D5DB4" w:rsidP="000A5389">
          <w:pPr>
            <w:spacing w:line="240" w:lineRule="auto"/>
          </w:pPr>
        </w:p>
        <w:p w14:paraId="6112ECCB" w14:textId="77777777" w:rsidR="003D5DB4" w:rsidRPr="000D0101" w:rsidRDefault="003D5DB4" w:rsidP="000A5389">
          <w:pPr>
            <w:spacing w:line="240" w:lineRule="auto"/>
          </w:pPr>
          <w:r w:rsidRPr="000D0101">
            <w:t xml:space="preserve">3: Plan de Inversiones: está establecido en el Capítulo IV numeral 4.4. del contrato, que establece que el plan de inversiones será de USD 119.623.444 en valores constantes de diciembre de 2019, según Otrosí No. 1 de agosto de 2022. </w:t>
          </w:r>
        </w:p>
        <w:p w14:paraId="2E131CC9" w14:textId="77777777" w:rsidR="003D5DB4" w:rsidRPr="000D0101" w:rsidRDefault="003D5DB4" w:rsidP="000A5389">
          <w:pPr>
            <w:spacing w:line="240" w:lineRule="auto"/>
          </w:pPr>
        </w:p>
        <w:p w14:paraId="2E441A38" w14:textId="77777777" w:rsidR="003D5DB4" w:rsidRPr="000D0101" w:rsidRDefault="003D5DB4" w:rsidP="000A5389">
          <w:pPr>
            <w:spacing w:line="240" w:lineRule="auto"/>
          </w:pPr>
          <w:r w:rsidRPr="000D0101">
            <w:t xml:space="preserve">Obligaciones del CONCESIONARIO: se encuentran descritas en el Capítulo V del contrato. </w:t>
          </w:r>
        </w:p>
        <w:p w14:paraId="05AEAFF6" w14:textId="77777777" w:rsidR="003D5DB4" w:rsidRPr="000D0101" w:rsidRDefault="003D5DB4" w:rsidP="000A5389">
          <w:pPr>
            <w:spacing w:line="240" w:lineRule="auto"/>
          </w:pPr>
        </w:p>
        <w:p w14:paraId="19A12D23" w14:textId="77777777" w:rsidR="003D5DB4" w:rsidRPr="000D0101" w:rsidRDefault="003D5DB4" w:rsidP="000A5389">
          <w:pPr>
            <w:spacing w:line="240" w:lineRule="auto"/>
          </w:pPr>
          <w:r w:rsidRPr="000D0101">
            <w:t xml:space="preserve">Multas y sanciones: están establecidas en el Capítulo IX del contrato. </w:t>
          </w:r>
        </w:p>
        <w:p w14:paraId="574D571A" w14:textId="77777777" w:rsidR="003D5DB4" w:rsidRPr="000D0101" w:rsidRDefault="003D5DB4" w:rsidP="000A5389">
          <w:pPr>
            <w:spacing w:line="240" w:lineRule="auto"/>
          </w:pPr>
        </w:p>
        <w:p w14:paraId="4D1373E9" w14:textId="77777777" w:rsidR="003D5DB4" w:rsidRPr="000D0101" w:rsidRDefault="003D5DB4" w:rsidP="000A5389">
          <w:pPr>
            <w:spacing w:line="240" w:lineRule="auto"/>
          </w:pPr>
          <w:r w:rsidRPr="000D0101">
            <w:lastRenderedPageBreak/>
            <w:t>Penal pecuniaria: En el Capítulo IX numeral 9.8. En el evento que el Concedente declare la terminación anticipada del Contrato por la caducidad del Contrato, o el incumplimiento que lleve a la terminación anticipada del presente Contrato, el Concesionario, deberá pagar al Concedente, la suma equivalente al DIEZ POR CIENTO (10%) del valor total de la sumatoria (i) del valor presente de la Contraprestación referida en la Sección 4.1 del Contrato y (ii) del valor presente del Plan de Inversiones descrito en la Sección 4.4 del Contrato, actualizado con el CPI for all ítems (Consumer Price Index) de Estados Unidos (Fuente: https://www.bls.gov– BUREAU OF LABOR STATISTICS) en el Mes inmediatamente anterior a la imposición, o proporcionalmente por incumplimiento parcial, a título indemnizatorio. El valor pagado por el Concesionario se considerará como pago parcial pero no definitivo de los perjuicios causados a la ANI, sin perjuicio de las acciones judiciales que adelante el Concedente.</w:t>
          </w:r>
        </w:p>
        <w:p w14:paraId="7E5287F5" w14:textId="77777777" w:rsidR="003D5DB4" w:rsidRPr="000D0101" w:rsidRDefault="003D5DB4" w:rsidP="000A5389">
          <w:pPr>
            <w:spacing w:line="240" w:lineRule="auto"/>
          </w:pPr>
        </w:p>
        <w:p w14:paraId="3F36CBCC" w14:textId="77777777" w:rsidR="003D5DB4" w:rsidRPr="000D0101" w:rsidRDefault="003D5DB4" w:rsidP="000A5389">
          <w:pPr>
            <w:spacing w:line="240" w:lineRule="auto"/>
          </w:pPr>
          <w:r w:rsidRPr="000D0101">
            <w:t xml:space="preserve">Términos de calendario: 1: Tarifas: Aprobadas según la metodología establecida por la Superintendencia General de Puertos hoy Superintendencia de Transporte. </w:t>
          </w:r>
        </w:p>
        <w:p w14:paraId="34352C73" w14:textId="77777777" w:rsidR="003D5DB4" w:rsidRPr="000D0101" w:rsidRDefault="003D5DB4" w:rsidP="000A5389">
          <w:pPr>
            <w:spacing w:line="240" w:lineRule="auto"/>
          </w:pPr>
        </w:p>
        <w:p w14:paraId="76F6FB5C" w14:textId="77777777" w:rsidR="003D5DB4" w:rsidRPr="000D0101" w:rsidRDefault="003D5DB4" w:rsidP="000A5389">
          <w:pPr>
            <w:spacing w:line="240" w:lineRule="auto"/>
          </w:pPr>
          <w:r w:rsidRPr="000D0101">
            <w:t xml:space="preserve">2: Contraprestación portuaria: La contraprestación se debe pagar de manera anual anticipada desde el mes de septiembre de 2021, además es de indicar que por tratarse de un contrato cuya metodología de contraprestación corresponde a lo establecido en el CONPES 3744 de 2013 se debe pagar el último día del mes de febrero de cada año. </w:t>
          </w:r>
        </w:p>
        <w:p w14:paraId="7C15F27A" w14:textId="77777777" w:rsidR="003D5DB4" w:rsidRPr="000D0101" w:rsidRDefault="003D5DB4" w:rsidP="000A5389">
          <w:pPr>
            <w:spacing w:line="240" w:lineRule="auto"/>
          </w:pPr>
        </w:p>
        <w:p w14:paraId="71042E79" w14:textId="77777777" w:rsidR="003D5DB4" w:rsidRPr="000D0101" w:rsidRDefault="003D5DB4" w:rsidP="000A5389">
          <w:pPr>
            <w:spacing w:line="240" w:lineRule="auto"/>
          </w:pPr>
          <w:r w:rsidRPr="000D0101">
            <w:t xml:space="preserve">3: Plan de inversiones: Se estableció en el Capítulo IV numeral 4.4. del contrato. </w:t>
          </w:r>
        </w:p>
        <w:p w14:paraId="4877D769" w14:textId="77777777" w:rsidR="003D5DB4" w:rsidRPr="000D0101" w:rsidRDefault="003D5DB4" w:rsidP="000A5389">
          <w:pPr>
            <w:spacing w:line="240" w:lineRule="auto"/>
          </w:pPr>
        </w:p>
        <w:p w14:paraId="388FAFEF" w14:textId="77777777" w:rsidR="003D5DB4" w:rsidRPr="000D0101" w:rsidRDefault="003D5DB4" w:rsidP="000A5389">
          <w:pPr>
            <w:spacing w:line="240" w:lineRule="auto"/>
          </w:pPr>
          <w:r w:rsidRPr="000D0101">
            <w:t>4: Multas: Establecidas en el Capítulo IX del contrato 001 de 2021.</w:t>
          </w:r>
        </w:p>
        <w:p w14:paraId="7B5D4707" w14:textId="77777777" w:rsidR="003D5DB4" w:rsidRPr="000D0101" w:rsidRDefault="003D5DB4" w:rsidP="000A5389">
          <w:pPr>
            <w:spacing w:line="240" w:lineRule="auto"/>
          </w:pPr>
        </w:p>
        <w:p w14:paraId="447AC444" w14:textId="77777777" w:rsidR="003D5DB4" w:rsidRPr="000D0101" w:rsidRDefault="003D5DB4" w:rsidP="000A5389">
          <w:pPr>
            <w:spacing w:line="240" w:lineRule="auto"/>
          </w:pPr>
          <w:r w:rsidRPr="000D0101">
            <w:t>Términos de certeza de flujos de efectivo futuros: Se otorga a EL CONCESIONARIO el derecho de una concesión portuaria, para que de conformidad con lo previsto en la Ley 1ª de 1991, el Concesionario ocupe de manera temporal y exclusiva, los bienes de uso público descritos en la Sección 6.1 para la construcción, operación, mantenimiento y administración de un terminal marítimo de uso público; a cambio de una contraprestación económica a favor del Concedente, en los términos descritos en la Sección 4.1 de este Contrato, del valor a pagar por concepto de contraprestación por Zona de Uso público el 80% le corresponde a la Nación-INVIAS- Nación y el 20 % al Distrito turístico de Cartagena de Indias y por Infraestructura el 100% a la Nación-INVIAS- ANI</w:t>
          </w:r>
        </w:p>
        <w:p w14:paraId="34C82DC2" w14:textId="77777777" w:rsidR="003D5DB4" w:rsidRPr="000D0101" w:rsidRDefault="003D5DB4" w:rsidP="000A5389">
          <w:pPr>
            <w:spacing w:line="240" w:lineRule="auto"/>
          </w:pPr>
        </w:p>
        <w:p w14:paraId="7E904922" w14:textId="77777777" w:rsidR="003D5DB4" w:rsidRPr="000D0101" w:rsidRDefault="003D5DB4" w:rsidP="000A5389">
          <w:pPr>
            <w:spacing w:line="240" w:lineRule="auto"/>
          </w:pPr>
          <w:r w:rsidRPr="000D0101">
            <w:t>c. Naturaleza y alcance del derecho a utilizar Activos y los aspectos pactados en torno a lo que se espera que el concesionario proporcione en relación con el Acuerdo de concesión</w:t>
          </w:r>
        </w:p>
        <w:p w14:paraId="00529F82" w14:textId="77777777" w:rsidR="003D5DB4" w:rsidRPr="000D0101" w:rsidRDefault="003D5DB4" w:rsidP="000A5389">
          <w:pPr>
            <w:spacing w:line="240" w:lineRule="auto"/>
          </w:pPr>
        </w:p>
        <w:p w14:paraId="7CBDDEF8" w14:textId="77777777" w:rsidR="003D5DB4" w:rsidRPr="000D0101" w:rsidRDefault="003D5DB4" w:rsidP="000A5389">
          <w:pPr>
            <w:spacing w:line="240" w:lineRule="auto"/>
          </w:pPr>
          <w:r w:rsidRPr="000D0101">
            <w:t>Naturaleza y alcance del derecho de uso de los Activos</w:t>
          </w:r>
        </w:p>
        <w:p w14:paraId="1B1FB866" w14:textId="77777777" w:rsidR="003D5DB4" w:rsidRPr="000D0101" w:rsidRDefault="003D5DB4" w:rsidP="000A5389">
          <w:pPr>
            <w:spacing w:line="240" w:lineRule="auto"/>
          </w:pPr>
        </w:p>
        <w:p w14:paraId="2AF1DCED" w14:textId="77777777" w:rsidR="003D5DB4" w:rsidRPr="000D0101" w:rsidRDefault="003D5DB4" w:rsidP="000A5389">
          <w:pPr>
            <w:spacing w:line="240" w:lineRule="auto"/>
          </w:pPr>
          <w:r w:rsidRPr="000D0101">
            <w:t>Descripción:</w:t>
          </w:r>
          <w:r w:rsidRPr="000D0101">
            <w:tab/>
            <w:t xml:space="preserve">Descripción del proyecto, especificaciones técnicas, modalidades de operación: las condiciones especiales de operación del puerto están establecidas en el Capítulo VI del Contrato de Concesión. </w:t>
          </w:r>
        </w:p>
        <w:p w14:paraId="1BB52899" w14:textId="77777777" w:rsidR="003D5DB4" w:rsidRPr="000D0101" w:rsidRDefault="003D5DB4" w:rsidP="000A5389">
          <w:pPr>
            <w:spacing w:line="240" w:lineRule="auto"/>
          </w:pPr>
        </w:p>
        <w:p w14:paraId="0FE3276A" w14:textId="77777777" w:rsidR="003D5DB4" w:rsidRPr="000D0101" w:rsidRDefault="003D5DB4" w:rsidP="000A5389">
          <w:pPr>
            <w:spacing w:line="240" w:lineRule="auto"/>
          </w:pPr>
          <w:r w:rsidRPr="000D0101">
            <w:lastRenderedPageBreak/>
            <w:t xml:space="preserve">Área entregada en concesión: La descripción de la ubicación, linderos y extensión de los bienes de uso público (playas y terrenos de baja mar, zonas marítimas accesorias de maniobras) entregados en concesión están establecidos en el Capítulo VI del Contrato de Concesión. </w:t>
          </w:r>
        </w:p>
        <w:p w14:paraId="186BB8F8" w14:textId="77777777" w:rsidR="003D5DB4" w:rsidRPr="000D0101" w:rsidRDefault="003D5DB4" w:rsidP="000A5389">
          <w:pPr>
            <w:spacing w:line="240" w:lineRule="auto"/>
          </w:pPr>
        </w:p>
        <w:p w14:paraId="77A3C30E" w14:textId="77777777" w:rsidR="003D5DB4" w:rsidRPr="000D0101" w:rsidRDefault="003D5DB4" w:rsidP="000A5389">
          <w:pPr>
            <w:spacing w:line="240" w:lineRule="auto"/>
          </w:pPr>
          <w:r w:rsidRPr="000D0101">
            <w:t>Infraestructura y equipos: La descripción de la infraestructura y equipos a desarrollar en virtud del contrato de concesión se especifican en el Capítulo VI del Contrato de Concesión</w:t>
          </w:r>
        </w:p>
        <w:p w14:paraId="607EDC6E" w14:textId="77777777" w:rsidR="003D5DB4" w:rsidRPr="000D0101" w:rsidRDefault="003D5DB4" w:rsidP="000A5389">
          <w:pPr>
            <w:spacing w:line="240" w:lineRule="auto"/>
          </w:pPr>
        </w:p>
        <w:p w14:paraId="7DDB5AF9" w14:textId="77777777" w:rsidR="003D5DB4" w:rsidRPr="000D0101" w:rsidRDefault="003D5DB4" w:rsidP="000A5389">
          <w:pPr>
            <w:spacing w:line="240" w:lineRule="auto"/>
          </w:pPr>
          <w:r w:rsidRPr="000D0101">
            <w:t>Observaciones: NA</w:t>
          </w:r>
        </w:p>
        <w:p w14:paraId="633DFBB0" w14:textId="77777777" w:rsidR="003D5DB4" w:rsidRPr="000D0101" w:rsidRDefault="003D5DB4" w:rsidP="000A5389">
          <w:pPr>
            <w:spacing w:line="240" w:lineRule="auto"/>
          </w:pPr>
        </w:p>
        <w:p w14:paraId="5BED8B3E" w14:textId="77777777" w:rsidR="003D5DB4" w:rsidRPr="000D0101" w:rsidRDefault="003D5DB4" w:rsidP="000A5389">
          <w:pPr>
            <w:spacing w:line="240" w:lineRule="auto"/>
          </w:pPr>
          <w:r w:rsidRPr="000D0101">
            <w:t>Retribución al concesionario</w:t>
          </w:r>
        </w:p>
        <w:p w14:paraId="4303B07A" w14:textId="77777777" w:rsidR="003D5DB4" w:rsidRPr="000D0101" w:rsidRDefault="003D5DB4" w:rsidP="000A5389">
          <w:pPr>
            <w:spacing w:line="240" w:lineRule="auto"/>
          </w:pPr>
        </w:p>
        <w:p w14:paraId="7F9601D2" w14:textId="77777777" w:rsidR="003D5DB4" w:rsidRPr="000D0101" w:rsidRDefault="003D5DB4" w:rsidP="000A5389">
          <w:pPr>
            <w:spacing w:line="240" w:lineRule="auto"/>
          </w:pPr>
          <w:r w:rsidRPr="000D0101">
            <w:t>Descripción:</w:t>
          </w:r>
          <w:r w:rsidRPr="000D0101">
            <w:tab/>
            <w:t>Descripción: Establecido en el Capítulo III, Sección No. 3.2 otorgamiento de una concesión portuaria, para que de conformidad con lo previsto en la Ley 1ª de 1991, el Concesionario ocupe de manera temporal y exclusiva, los bienes de uso público descritos en la Sección 6.1 para la construcción, operación, mantenimiento y administración de un terminal marítimo de uso público; a cambio de una contraprestación económica a favor del Concedente, en los términos descritos en la Sección 4.1 del Contrato No. 001-2021.</w:t>
          </w:r>
        </w:p>
        <w:p w14:paraId="38D0DCC3" w14:textId="77777777" w:rsidR="003D5DB4" w:rsidRPr="000D0101" w:rsidRDefault="003D5DB4" w:rsidP="000A5389">
          <w:pPr>
            <w:spacing w:line="240" w:lineRule="auto"/>
          </w:pPr>
          <w:r w:rsidRPr="000D0101">
            <w:t>Tasa de retribución:</w:t>
          </w:r>
          <w:r w:rsidRPr="000D0101">
            <w:tab/>
            <w:t>Haga clic o pulse aquí para escribir texto.</w:t>
          </w:r>
        </w:p>
        <w:p w14:paraId="3FB1E7E7" w14:textId="77777777" w:rsidR="003D5DB4" w:rsidRPr="000D0101" w:rsidRDefault="003D5DB4" w:rsidP="000A5389">
          <w:pPr>
            <w:spacing w:line="240" w:lineRule="auto"/>
          </w:pPr>
        </w:p>
        <w:p w14:paraId="271A5233" w14:textId="77777777" w:rsidR="003D5DB4" w:rsidRPr="000D0101" w:rsidRDefault="003D5DB4" w:rsidP="000A5389">
          <w:pPr>
            <w:spacing w:line="240" w:lineRule="auto"/>
          </w:pPr>
          <w:r w:rsidRPr="000D0101">
            <w:t>d. Derechos a recibir Activos especificados al final del acuerdo de concesión</w:t>
          </w:r>
        </w:p>
        <w:p w14:paraId="37D03ABB" w14:textId="77777777" w:rsidR="003D5DB4" w:rsidRPr="000D0101" w:rsidRDefault="003D5DB4" w:rsidP="000A5389">
          <w:pPr>
            <w:spacing w:line="240" w:lineRule="auto"/>
          </w:pPr>
        </w:p>
        <w:p w14:paraId="4A69E75B" w14:textId="77777777" w:rsidR="003D5DB4" w:rsidRPr="000D0101" w:rsidRDefault="003D5DB4" w:rsidP="000A5389">
          <w:pPr>
            <w:spacing w:line="240" w:lineRule="auto"/>
          </w:pPr>
          <w:r w:rsidRPr="000D0101">
            <w:t>Descripción:</w:t>
          </w:r>
          <w:r w:rsidRPr="000D0101">
            <w:tab/>
            <w:t>De acuerdo con el Artículo 8º de la Ley 1 de 1991 en el modo portuario el concesionario no tiene derechos finales sobre activos los debe revertir a la Nación al final del contrato de concesión.</w:t>
          </w:r>
        </w:p>
        <w:p w14:paraId="5BDD7C94" w14:textId="77777777" w:rsidR="003D5DB4" w:rsidRPr="000D0101" w:rsidRDefault="003D5DB4" w:rsidP="000A5389">
          <w:pPr>
            <w:spacing w:line="240" w:lineRule="auto"/>
          </w:pPr>
        </w:p>
        <w:p w14:paraId="5B011088" w14:textId="77777777" w:rsidR="003D5DB4" w:rsidRPr="000D0101" w:rsidRDefault="003D5DB4" w:rsidP="000A5389">
          <w:pPr>
            <w:spacing w:line="240" w:lineRule="auto"/>
          </w:pPr>
          <w:r w:rsidRPr="000D0101">
            <w:t xml:space="preserve">Observaciones: Reversión: De acuerdo con lo establecido en Capítulo X, numeral 10.4 del contrato de concesión, todas las construcciones e inmuebles por destinación, que se encuentren instalados en la zona de uso público otorgada en concesión revertirán gratuitamente por el Concesionario. </w:t>
          </w:r>
        </w:p>
        <w:p w14:paraId="52E41848" w14:textId="77777777" w:rsidR="003D5DB4" w:rsidRPr="000D0101" w:rsidRDefault="003D5DB4" w:rsidP="000A5389">
          <w:pPr>
            <w:spacing w:line="240" w:lineRule="auto"/>
          </w:pPr>
        </w:p>
        <w:p w14:paraId="13846B0F" w14:textId="77777777" w:rsidR="003D5DB4" w:rsidRPr="000D0101" w:rsidRDefault="003D5DB4" w:rsidP="000A5389">
          <w:pPr>
            <w:spacing w:line="240" w:lineRule="auto"/>
          </w:pPr>
          <w:r w:rsidRPr="000D0101">
            <w:t xml:space="preserve">Para tal fin, en el momento de la reversión el CONCESIONARIO elaborará un inventario de los bienes y los enviará para su revisión y aprobación. </w:t>
          </w:r>
        </w:p>
        <w:p w14:paraId="5A0BDD50" w14:textId="77777777" w:rsidR="003D5DB4" w:rsidRPr="000D0101" w:rsidRDefault="003D5DB4" w:rsidP="000A5389">
          <w:pPr>
            <w:spacing w:line="240" w:lineRule="auto"/>
          </w:pPr>
        </w:p>
        <w:p w14:paraId="14362F1D" w14:textId="77777777" w:rsidR="003D5DB4" w:rsidRPr="000D0101" w:rsidRDefault="003D5DB4" w:rsidP="000A5389">
          <w:pPr>
            <w:spacing w:line="240" w:lineRule="auto"/>
          </w:pPr>
          <w:r w:rsidRPr="000D0101">
            <w:t>La ANI es la entidad concedente pero la titularidad de los activos al final de la concesión es del Instituto Nacional de Vías INVIAS.</w:t>
          </w:r>
        </w:p>
        <w:p w14:paraId="7DBA3855" w14:textId="77777777" w:rsidR="003D5DB4" w:rsidRPr="000D0101" w:rsidRDefault="003D5DB4" w:rsidP="000A5389">
          <w:pPr>
            <w:spacing w:line="240" w:lineRule="auto"/>
          </w:pPr>
        </w:p>
        <w:p w14:paraId="6C101C0C" w14:textId="77777777" w:rsidR="003D5DB4" w:rsidRPr="000D0101" w:rsidRDefault="003D5DB4" w:rsidP="000A5389">
          <w:pPr>
            <w:spacing w:line="240" w:lineRule="auto"/>
          </w:pPr>
          <w:r w:rsidRPr="000D0101">
            <w:t>e. Las alternativas de renovación y cese del acuerdo</w:t>
          </w:r>
        </w:p>
        <w:p w14:paraId="4110EC46" w14:textId="77777777" w:rsidR="003D5DB4" w:rsidRPr="000D0101" w:rsidRDefault="003D5DB4" w:rsidP="000A5389">
          <w:pPr>
            <w:spacing w:line="240" w:lineRule="auto"/>
          </w:pPr>
        </w:p>
        <w:p w14:paraId="41451345" w14:textId="77777777" w:rsidR="003D5DB4" w:rsidRPr="000D0101" w:rsidRDefault="003D5DB4" w:rsidP="000A5389">
          <w:pPr>
            <w:spacing w:line="240" w:lineRule="auto"/>
          </w:pPr>
          <w:r w:rsidRPr="000D0101">
            <w:t>Descripción:</w:t>
          </w:r>
          <w:r w:rsidRPr="000D0101">
            <w:tab/>
            <w:t>La prórroga de la Concesión se encuentra en el CAPÍTULO III (3.6 Prorroga de la Ejecución.) El cese del acuerdo se encuentra en el CAPÍTULO X (10.2 Terminación unilateral) y CAPÍTULO XV (TERMINACIÓN DEL CONTRATO), de Contrato de Concesión</w:t>
          </w:r>
        </w:p>
        <w:p w14:paraId="12010FBE" w14:textId="77777777" w:rsidR="003D5DB4" w:rsidRPr="000D0101" w:rsidRDefault="003D5DB4" w:rsidP="000A5389">
          <w:pPr>
            <w:spacing w:line="240" w:lineRule="auto"/>
          </w:pPr>
        </w:p>
        <w:p w14:paraId="4DC59F0D" w14:textId="77777777" w:rsidR="003D5DB4" w:rsidRPr="000D0101" w:rsidRDefault="003D5DB4" w:rsidP="000A5389">
          <w:pPr>
            <w:spacing w:line="240" w:lineRule="auto"/>
          </w:pPr>
          <w:r w:rsidRPr="000D0101">
            <w:lastRenderedPageBreak/>
            <w:t>Observaciones: No observaciones</w:t>
          </w:r>
        </w:p>
        <w:p w14:paraId="317383F3" w14:textId="77777777" w:rsidR="003D5DB4" w:rsidRPr="000D0101" w:rsidRDefault="003D5DB4" w:rsidP="000A5389">
          <w:pPr>
            <w:spacing w:line="240" w:lineRule="auto"/>
          </w:pPr>
        </w:p>
        <w:p w14:paraId="3799CD08" w14:textId="77777777" w:rsidR="003D5DB4" w:rsidRPr="000D0101" w:rsidRDefault="003D5DB4" w:rsidP="000A5389">
          <w:pPr>
            <w:spacing w:line="240" w:lineRule="auto"/>
          </w:pPr>
          <w:r w:rsidRPr="000D0101">
            <w:t>f. Cambios en el acuerdo de concesión que se realicen durante el periodo fiscal</w:t>
          </w:r>
        </w:p>
        <w:p w14:paraId="225B77E3" w14:textId="77777777" w:rsidR="003D5DB4" w:rsidRPr="000D0101" w:rsidRDefault="003D5DB4" w:rsidP="000A5389">
          <w:pPr>
            <w:spacing w:line="240" w:lineRule="auto"/>
          </w:pPr>
        </w:p>
        <w:p w14:paraId="2A12F9FC" w14:textId="77777777" w:rsidR="003D5DB4" w:rsidRPr="000D0101" w:rsidRDefault="003D5DB4" w:rsidP="000A5389">
          <w:pPr>
            <w:spacing w:line="240" w:lineRule="auto"/>
          </w:pPr>
          <w:r w:rsidRPr="000D0101">
            <w:t>Adiciones o modificaciones en tiempo</w:t>
          </w:r>
        </w:p>
        <w:p w14:paraId="350D0D11" w14:textId="77777777" w:rsidR="003D5DB4" w:rsidRPr="000D0101" w:rsidRDefault="003D5DB4" w:rsidP="000A5389">
          <w:pPr>
            <w:spacing w:line="240" w:lineRule="auto"/>
          </w:pPr>
          <w:r w:rsidRPr="000D0101">
            <w:t>Fechas de las adiciones o modificaciones:</w:t>
          </w:r>
          <w:r w:rsidRPr="000D0101">
            <w:tab/>
            <w:t>05/08/2022 Otrosí No. 1</w:t>
          </w:r>
        </w:p>
        <w:p w14:paraId="50BB1AD1" w14:textId="77777777" w:rsidR="003D5DB4" w:rsidRPr="000D0101" w:rsidRDefault="003D5DB4" w:rsidP="000A5389">
          <w:pPr>
            <w:spacing w:line="240" w:lineRule="auto"/>
          </w:pPr>
          <w:r w:rsidRPr="000D0101">
            <w:t>Nueva fecha de finalización estimada: NA</w:t>
          </w:r>
        </w:p>
        <w:p w14:paraId="3500B55E" w14:textId="77777777" w:rsidR="003D5DB4" w:rsidRPr="000D0101" w:rsidRDefault="003D5DB4" w:rsidP="000A5389">
          <w:pPr>
            <w:spacing w:line="240" w:lineRule="auto"/>
          </w:pPr>
          <w:r w:rsidRPr="000D0101">
            <w:t>Observaciones: No observaciones</w:t>
          </w:r>
        </w:p>
        <w:p w14:paraId="773AB122" w14:textId="77777777" w:rsidR="003D5DB4" w:rsidRPr="000D0101" w:rsidRDefault="003D5DB4" w:rsidP="000A5389">
          <w:pPr>
            <w:spacing w:line="240" w:lineRule="auto"/>
          </w:pPr>
          <w:r w:rsidRPr="000D0101">
            <w:t>Adiciones o modificaciones en valor</w:t>
          </w:r>
        </w:p>
        <w:p w14:paraId="21AA6B53" w14:textId="77777777" w:rsidR="003D5DB4" w:rsidRPr="000D0101" w:rsidRDefault="003D5DB4" w:rsidP="000A5389">
          <w:pPr>
            <w:spacing w:line="240" w:lineRule="auto"/>
          </w:pPr>
          <w:r w:rsidRPr="000D0101">
            <w:t>Valor de la adición o modificación: NA</w:t>
          </w:r>
        </w:p>
        <w:p w14:paraId="21E4204D" w14:textId="77777777" w:rsidR="003D5DB4" w:rsidRPr="000D0101" w:rsidRDefault="003D5DB4" w:rsidP="000A5389">
          <w:pPr>
            <w:spacing w:line="240" w:lineRule="auto"/>
          </w:pPr>
          <w:r w:rsidRPr="000D0101">
            <w:t>Nuevo valor del acuerdo: NA</w:t>
          </w:r>
        </w:p>
        <w:p w14:paraId="77D646FC" w14:textId="77FB24F5" w:rsidR="003D5DB4" w:rsidRPr="000D0101" w:rsidRDefault="003D5DB4" w:rsidP="000A5389">
          <w:pPr>
            <w:spacing w:line="240" w:lineRule="auto"/>
          </w:pPr>
          <w:r w:rsidRPr="000D0101">
            <w:t>Observaciones: No observaciones</w:t>
          </w:r>
        </w:p>
        <w:p w14:paraId="726E210A" w14:textId="77777777" w:rsidR="003D5DB4" w:rsidRPr="000D0101" w:rsidRDefault="003D5DB4" w:rsidP="000A5389">
          <w:pPr>
            <w:spacing w:line="240" w:lineRule="auto"/>
          </w:pPr>
        </w:p>
        <w:p w14:paraId="05F66144" w14:textId="77777777" w:rsidR="003D5DB4" w:rsidRPr="000D0101" w:rsidRDefault="003D5DB4" w:rsidP="000A5389">
          <w:pPr>
            <w:spacing w:line="240" w:lineRule="auto"/>
            <w:rPr>
              <w:rFonts w:eastAsia="Times New Roman"/>
            </w:rPr>
          </w:pPr>
        </w:p>
        <w:p w14:paraId="57FE1F14" w14:textId="77777777" w:rsidR="003D5DB4" w:rsidRPr="00EE35D4" w:rsidRDefault="003D5DB4" w:rsidP="000A5389">
          <w:pPr>
            <w:spacing w:line="240" w:lineRule="auto"/>
            <w:rPr>
              <w:rFonts w:eastAsia="Times New Roman"/>
              <w:i/>
              <w:iCs/>
              <w:lang w:eastAsia="es-CO"/>
            </w:rPr>
          </w:pPr>
          <w:r w:rsidRPr="00EE35D4">
            <w:rPr>
              <w:rFonts w:eastAsia="Times New Roman"/>
              <w:i/>
              <w:iCs/>
              <w:lang w:eastAsia="es-CO"/>
            </w:rPr>
            <w:t xml:space="preserve">SOCIEDAD PORTUARIA LAS AMERICAS S.A. </w:t>
          </w:r>
        </w:p>
        <w:p w14:paraId="4AFB3701" w14:textId="77777777" w:rsidR="003D5DB4" w:rsidRPr="000D0101" w:rsidRDefault="003D5DB4" w:rsidP="000A5389">
          <w:pPr>
            <w:spacing w:line="240" w:lineRule="auto"/>
          </w:pPr>
        </w:p>
        <w:p w14:paraId="2279FB0E" w14:textId="77777777" w:rsidR="003D5DB4" w:rsidRPr="000D0101" w:rsidRDefault="003D5DB4" w:rsidP="000A5389">
          <w:pPr>
            <w:spacing w:line="240" w:lineRule="auto"/>
            <w:rPr>
              <w:rFonts w:eastAsia="Times New Roman"/>
              <w:lang w:eastAsia="es-CO"/>
            </w:rPr>
          </w:pPr>
          <w:r w:rsidRPr="000D0101">
            <w:rPr>
              <w:rFonts w:eastAsia="Times New Roman"/>
              <w:lang w:eastAsia="es-CO"/>
            </w:rPr>
            <w:t>a. Descripción del Acuerdo</w:t>
          </w:r>
        </w:p>
        <w:p w14:paraId="3CA10BD2" w14:textId="77777777" w:rsidR="003D5DB4" w:rsidRPr="000D0101" w:rsidRDefault="003D5DB4" w:rsidP="000A5389">
          <w:pPr>
            <w:spacing w:line="240" w:lineRule="auto"/>
            <w:rPr>
              <w:rFonts w:eastAsia="Times New Roman"/>
              <w:lang w:eastAsia="es-CO"/>
            </w:rPr>
          </w:pPr>
        </w:p>
        <w:p w14:paraId="094F58ED" w14:textId="77777777" w:rsidR="003D5DB4" w:rsidRPr="000D0101" w:rsidRDefault="003D5DB4" w:rsidP="000A5389">
          <w:pPr>
            <w:spacing w:line="240" w:lineRule="auto"/>
            <w:rPr>
              <w:rFonts w:eastAsia="Times New Roman"/>
              <w:lang w:eastAsia="es-CO"/>
            </w:rPr>
          </w:pPr>
          <w:r w:rsidRPr="000D0101">
            <w:rPr>
              <w:rFonts w:eastAsia="Times New Roman"/>
              <w:lang w:eastAsia="es-CO"/>
            </w:rPr>
            <w:t>Número del Acuerdo de concesión: 003 de 2015.</w:t>
          </w:r>
        </w:p>
        <w:p w14:paraId="44132336" w14:textId="77777777" w:rsidR="003D5DB4" w:rsidRPr="000D0101" w:rsidRDefault="003D5DB4" w:rsidP="000A5389">
          <w:pPr>
            <w:spacing w:line="240" w:lineRule="auto"/>
            <w:rPr>
              <w:rFonts w:eastAsia="Times New Roman"/>
              <w:lang w:eastAsia="es-CO"/>
            </w:rPr>
          </w:pPr>
        </w:p>
        <w:p w14:paraId="2D3AA16A" w14:textId="77777777" w:rsidR="003D5DB4" w:rsidRPr="000D0101" w:rsidRDefault="003D5DB4" w:rsidP="000A5389">
          <w:pPr>
            <w:spacing w:line="240" w:lineRule="auto"/>
            <w:rPr>
              <w:rFonts w:eastAsia="Times New Roman"/>
              <w:lang w:eastAsia="es-CO"/>
            </w:rPr>
          </w:pPr>
          <w:r w:rsidRPr="000D0101">
            <w:rPr>
              <w:rFonts w:eastAsia="Times New Roman"/>
              <w:lang w:eastAsia="es-CO"/>
            </w:rPr>
            <w:t>Objeto / Descripción: En virtud del Contrato de concesión y sus modificaciones, se permite al CONCESIONARIO la ocupación en forma temporal y exclusiva de los bienes de uso público descritos en la CLÁUSULA 2 BIENES CONCESIONADOS para la construcción y operación de un terminal portuario de uso público para el cargue y descargue de gráneles líquidos, en el que se propone la construcción de un muelle en "T" de 187 metros de longitud para atender buques de tipo Handy de 30.000 DWT y que conectará mediante un viaducto, en la modalidad de servicio público, a cambio de una contraprestación económica a favor del CONCEDENTE, en los términos descritos en la CLÁUSULA 13, conforme lo establece la Cláusula Primera del Contrato. La clase de servicio es Público</w:t>
          </w:r>
        </w:p>
        <w:p w14:paraId="3D4F2E55" w14:textId="77777777" w:rsidR="003D5DB4" w:rsidRPr="000D0101" w:rsidRDefault="003D5DB4" w:rsidP="000A5389">
          <w:pPr>
            <w:spacing w:line="240" w:lineRule="auto"/>
            <w:rPr>
              <w:rFonts w:eastAsia="Times New Roman"/>
              <w:lang w:eastAsia="es-CO"/>
            </w:rPr>
          </w:pPr>
        </w:p>
        <w:p w14:paraId="21B15004" w14:textId="77777777" w:rsidR="003D5DB4" w:rsidRPr="000D0101" w:rsidRDefault="003D5DB4" w:rsidP="000A5389">
          <w:pPr>
            <w:spacing w:line="240" w:lineRule="auto"/>
            <w:rPr>
              <w:rFonts w:eastAsia="Times New Roman"/>
              <w:lang w:eastAsia="es-CO"/>
            </w:rPr>
          </w:pPr>
          <w:r w:rsidRPr="000D0101">
            <w:rPr>
              <w:rFonts w:eastAsia="Times New Roman"/>
              <w:lang w:eastAsia="es-CO"/>
            </w:rPr>
            <w:t>Valor inicial:</w:t>
          </w:r>
          <w:r w:rsidRPr="000D0101">
            <w:rPr>
              <w:rFonts w:eastAsia="Times New Roman"/>
              <w:lang w:eastAsia="es-CO"/>
            </w:rPr>
            <w:tab/>
            <w:t xml:space="preserve">USD $950.575,00 / Cláusula décimo tercera / Contrato No. 003 de 2015. </w:t>
          </w:r>
        </w:p>
        <w:p w14:paraId="2A577AD4" w14:textId="77777777" w:rsidR="003D5DB4" w:rsidRPr="000D0101" w:rsidRDefault="003D5DB4" w:rsidP="000A5389">
          <w:pPr>
            <w:spacing w:line="240" w:lineRule="auto"/>
            <w:rPr>
              <w:rFonts w:eastAsia="Times New Roman"/>
              <w:lang w:eastAsia="es-CO"/>
            </w:rPr>
          </w:pPr>
          <w:r w:rsidRPr="000D0101">
            <w:rPr>
              <w:rFonts w:eastAsia="Times New Roman"/>
              <w:lang w:eastAsia="es-CO"/>
            </w:rPr>
            <w:t>Valor del Contrato actualizado: USD $797.712 / Cláusula sexta / Otrosí No. 2 de 2020.</w:t>
          </w:r>
        </w:p>
        <w:p w14:paraId="790FD487" w14:textId="77777777" w:rsidR="003D5DB4" w:rsidRPr="000D0101" w:rsidRDefault="003D5DB4" w:rsidP="000A5389">
          <w:pPr>
            <w:spacing w:line="240" w:lineRule="auto"/>
            <w:rPr>
              <w:rFonts w:eastAsia="Times New Roman"/>
              <w:lang w:eastAsia="es-CO"/>
            </w:rPr>
          </w:pPr>
          <w:r w:rsidRPr="000D0101">
            <w:rPr>
              <w:rFonts w:eastAsia="Times New Roman"/>
              <w:lang w:eastAsia="es-CO"/>
            </w:rPr>
            <w:t>Fecha de inicio: 15/04/2016</w:t>
          </w:r>
        </w:p>
        <w:p w14:paraId="6F59441D" w14:textId="77777777" w:rsidR="003D5DB4" w:rsidRPr="000D0101" w:rsidRDefault="003D5DB4" w:rsidP="000A5389">
          <w:pPr>
            <w:spacing w:line="240" w:lineRule="auto"/>
            <w:rPr>
              <w:rFonts w:eastAsia="Times New Roman"/>
              <w:lang w:eastAsia="es-CO"/>
            </w:rPr>
          </w:pPr>
          <w:r w:rsidRPr="000D0101">
            <w:rPr>
              <w:rFonts w:eastAsia="Times New Roman"/>
              <w:lang w:eastAsia="es-CO"/>
            </w:rPr>
            <w:t>Fecha de finalización estimada: 14/04/2046</w:t>
          </w:r>
        </w:p>
        <w:p w14:paraId="4E96FD27" w14:textId="77777777" w:rsidR="003D5DB4" w:rsidRPr="000D0101" w:rsidRDefault="003D5DB4" w:rsidP="000A5389">
          <w:pPr>
            <w:spacing w:line="240" w:lineRule="auto"/>
            <w:rPr>
              <w:rFonts w:eastAsia="Times New Roman"/>
              <w:lang w:eastAsia="es-CO"/>
            </w:rPr>
          </w:pPr>
          <w:r w:rsidRPr="000D0101">
            <w:rPr>
              <w:rFonts w:eastAsia="Times New Roman"/>
              <w:lang w:eastAsia="es-CO"/>
            </w:rPr>
            <w:t>Tipo ID: NIT</w:t>
          </w:r>
        </w:p>
        <w:p w14:paraId="117A9B4F" w14:textId="77777777" w:rsidR="003D5DB4" w:rsidRPr="000D0101" w:rsidRDefault="003D5DB4" w:rsidP="000A5389">
          <w:pPr>
            <w:spacing w:line="240" w:lineRule="auto"/>
            <w:rPr>
              <w:rFonts w:eastAsia="Times New Roman"/>
              <w:lang w:eastAsia="es-CO"/>
            </w:rPr>
          </w:pPr>
          <w:r w:rsidRPr="000D0101">
            <w:rPr>
              <w:rFonts w:eastAsia="Times New Roman"/>
              <w:lang w:eastAsia="es-CO"/>
            </w:rPr>
            <w:t>Número ID: 900.364.519-7</w:t>
          </w:r>
        </w:p>
        <w:p w14:paraId="27A4ECE2" w14:textId="77777777" w:rsidR="003D5DB4" w:rsidRPr="000D0101" w:rsidRDefault="003D5DB4" w:rsidP="000A5389">
          <w:pPr>
            <w:spacing w:line="240" w:lineRule="auto"/>
            <w:rPr>
              <w:rFonts w:eastAsia="Times New Roman"/>
              <w:lang w:eastAsia="es-CO"/>
            </w:rPr>
          </w:pPr>
          <w:r w:rsidRPr="000D0101">
            <w:rPr>
              <w:rFonts w:eastAsia="Times New Roman"/>
              <w:lang w:eastAsia="es-CO"/>
            </w:rPr>
            <w:t>Razón social del concesionario: Sociedad Portuaria Las Americas S.A.</w:t>
          </w:r>
        </w:p>
        <w:p w14:paraId="7D206301" w14:textId="77777777" w:rsidR="003D5DB4" w:rsidRPr="000D0101" w:rsidRDefault="003D5DB4" w:rsidP="000A5389">
          <w:pPr>
            <w:spacing w:line="240" w:lineRule="auto"/>
            <w:rPr>
              <w:rFonts w:eastAsia="Times New Roman"/>
              <w:lang w:eastAsia="es-CO"/>
            </w:rPr>
          </w:pPr>
          <w:r w:rsidRPr="000D0101">
            <w:rPr>
              <w:rFonts w:eastAsia="Times New Roman"/>
              <w:lang w:eastAsia="es-CO"/>
            </w:rPr>
            <w:t>Nombre del proyecto: Sociedad Portuaria Las Americas S.A.”</w:t>
          </w:r>
        </w:p>
        <w:p w14:paraId="5E831373" w14:textId="77777777" w:rsidR="003D5DB4" w:rsidRPr="000D0101" w:rsidRDefault="003D5DB4" w:rsidP="000A5389">
          <w:pPr>
            <w:spacing w:line="240" w:lineRule="auto"/>
            <w:rPr>
              <w:rFonts w:eastAsia="Times New Roman"/>
              <w:lang w:eastAsia="es-CO"/>
            </w:rPr>
          </w:pPr>
        </w:p>
        <w:p w14:paraId="658E06CE" w14:textId="77777777" w:rsidR="003D5DB4" w:rsidRPr="000D0101" w:rsidRDefault="003D5DB4" w:rsidP="000A5389">
          <w:pPr>
            <w:spacing w:line="240" w:lineRule="auto"/>
            <w:rPr>
              <w:rFonts w:eastAsia="Times New Roman"/>
              <w:lang w:eastAsia="es-CO"/>
            </w:rPr>
          </w:pPr>
          <w:r w:rsidRPr="000D0101">
            <w:rPr>
              <w:rFonts w:eastAsia="Times New Roman"/>
              <w:lang w:eastAsia="es-CO"/>
            </w:rPr>
            <w:t>b. Términos significativos del Acuerdo que puedan afectar su valor, el calendario y la certeza de los flujos de efectivo futuros</w:t>
          </w:r>
        </w:p>
        <w:p w14:paraId="14A7F97C" w14:textId="77777777" w:rsidR="003D5DB4" w:rsidRPr="000D0101" w:rsidRDefault="003D5DB4" w:rsidP="000A5389">
          <w:pPr>
            <w:spacing w:line="240" w:lineRule="auto"/>
            <w:rPr>
              <w:rFonts w:eastAsia="Times New Roman"/>
              <w:lang w:eastAsia="es-CO"/>
            </w:rPr>
          </w:pPr>
        </w:p>
        <w:p w14:paraId="0B1ACC10" w14:textId="77777777" w:rsidR="003D5DB4" w:rsidRPr="000D0101" w:rsidRDefault="003D5DB4" w:rsidP="000A5389">
          <w:pPr>
            <w:spacing w:line="240" w:lineRule="auto"/>
            <w:rPr>
              <w:rFonts w:eastAsia="Times New Roman"/>
              <w:lang w:eastAsia="es-CO"/>
            </w:rPr>
          </w:pPr>
          <w:r w:rsidRPr="000D0101">
            <w:rPr>
              <w:rFonts w:eastAsia="Times New Roman"/>
              <w:lang w:eastAsia="es-CO"/>
            </w:rPr>
            <w:t>Términos de valor:</w:t>
          </w:r>
          <w:r w:rsidRPr="000D0101">
            <w:rPr>
              <w:rFonts w:eastAsia="Times New Roman"/>
              <w:lang w:eastAsia="es-CO"/>
            </w:rPr>
            <w:tab/>
            <w:t xml:space="preserve">1: Tarifas: Al ser el terminal marítimo de servicio público la Ley 1 de 1991 establece: Las sociedades portuarias que operan puertos de servicio público las tarifas </w:t>
          </w:r>
          <w:r w:rsidRPr="000D0101">
            <w:rPr>
              <w:rFonts w:eastAsia="Times New Roman"/>
              <w:lang w:eastAsia="es-CO"/>
            </w:rPr>
            <w:lastRenderedPageBreak/>
            <w:t>requieren ser aprobadas según la metodología establecida por la Superintendencia General de Puertos hoy Superintendencia de Transporte.</w:t>
          </w:r>
        </w:p>
        <w:p w14:paraId="1E133644" w14:textId="77777777" w:rsidR="003D5DB4" w:rsidRPr="000D0101" w:rsidRDefault="003D5DB4" w:rsidP="000A5389">
          <w:pPr>
            <w:spacing w:line="240" w:lineRule="auto"/>
            <w:rPr>
              <w:rFonts w:eastAsia="Times New Roman"/>
              <w:lang w:eastAsia="es-CO"/>
            </w:rPr>
          </w:pPr>
        </w:p>
        <w:p w14:paraId="621587DF" w14:textId="77777777" w:rsidR="003D5DB4" w:rsidRPr="000D0101" w:rsidRDefault="003D5DB4" w:rsidP="000A5389">
          <w:pPr>
            <w:spacing w:line="240" w:lineRule="auto"/>
            <w:rPr>
              <w:rFonts w:eastAsia="Times New Roman"/>
              <w:lang w:eastAsia="es-CO"/>
            </w:rPr>
          </w:pPr>
          <w:r w:rsidRPr="000D0101">
            <w:rPr>
              <w:rFonts w:eastAsia="Times New Roman"/>
              <w:lang w:eastAsia="es-CO"/>
            </w:rPr>
            <w:t xml:space="preserve">2: Contraprestación portuaria: De acuerdo con el último documento contractual vigente la metodología de contraprestación vigente es CONPES 3744 de 2013 (Componentes Fijo y Variable). A febrero de 2025 el CONCESIONARIO debió pagar la suma de USD 378.297,9 por contraprestación. El valor correspondiente a la contraprestación por zona de uso público resultará de la diferencia entre el valor de la liquidación total y el valor de la infraestructura. Y el recaudo se realizará de conformidad con la ley 856 de 2003, es decir, ZUP el 80% le corresponde a la Nación Instituto nacional de vías (INVIAS) y el 20% restante al municipio Taganga, Magdalena. </w:t>
          </w:r>
        </w:p>
        <w:p w14:paraId="6F0A668D" w14:textId="77777777" w:rsidR="003D5DB4" w:rsidRPr="000D0101" w:rsidRDefault="003D5DB4" w:rsidP="000A5389">
          <w:pPr>
            <w:spacing w:line="240" w:lineRule="auto"/>
            <w:rPr>
              <w:rFonts w:eastAsia="Times New Roman"/>
              <w:lang w:eastAsia="es-CO"/>
            </w:rPr>
          </w:pPr>
        </w:p>
        <w:p w14:paraId="7D0D28AE" w14:textId="77777777" w:rsidR="003D5DB4" w:rsidRPr="000D0101" w:rsidRDefault="003D5DB4" w:rsidP="000A5389">
          <w:pPr>
            <w:spacing w:line="240" w:lineRule="auto"/>
            <w:rPr>
              <w:rFonts w:eastAsia="Times New Roman"/>
              <w:lang w:eastAsia="es-CO"/>
            </w:rPr>
          </w:pPr>
          <w:r w:rsidRPr="000D0101">
            <w:rPr>
              <w:rFonts w:eastAsia="Times New Roman"/>
              <w:lang w:eastAsia="es-CO"/>
            </w:rPr>
            <w:t xml:space="preserve">3: Plan de Inversiones: Está establecido en la cláusula décimo segunda del contrato, modificado por el Otrosí No.2 de 2020 en la cláusula quinta establece el plan de inversiones será de $13.326.731 en dólares constantes de diciembre de 2015. Obligaciones del CONCESIONARIO: Se encuentran descritas en la cláusula vigésima del contrato No. 003 de 2015 y en la cláusula séptima del Otrosí No.2 de 2020. </w:t>
          </w:r>
        </w:p>
        <w:p w14:paraId="7CDE85FB" w14:textId="77777777" w:rsidR="003D5DB4" w:rsidRPr="000D0101" w:rsidRDefault="003D5DB4" w:rsidP="000A5389">
          <w:pPr>
            <w:spacing w:line="240" w:lineRule="auto"/>
            <w:rPr>
              <w:rFonts w:eastAsia="Times New Roman"/>
              <w:lang w:eastAsia="es-CO"/>
            </w:rPr>
          </w:pPr>
        </w:p>
        <w:p w14:paraId="7FC6E83D" w14:textId="77777777" w:rsidR="003D5DB4" w:rsidRPr="000D0101" w:rsidRDefault="003D5DB4" w:rsidP="000A5389">
          <w:pPr>
            <w:spacing w:line="240" w:lineRule="auto"/>
            <w:rPr>
              <w:rFonts w:eastAsia="Times New Roman"/>
              <w:lang w:eastAsia="es-CO"/>
            </w:rPr>
          </w:pPr>
          <w:r w:rsidRPr="000D0101">
            <w:rPr>
              <w:rFonts w:eastAsia="Times New Roman"/>
              <w:lang w:eastAsia="es-CO"/>
            </w:rPr>
            <w:t xml:space="preserve">4: Multas y Sanciones: Están establecidas en la cláusula vigésimo tercera del contrato. Penal pecuniaria: En la cláusula vigésima cuarta del contrato se establece que en el evento en que CONCEDENTE declare la caducidad o el incumplimiento del presente contrato se podrá imponer una penalidad pecuniaria. </w:t>
          </w:r>
        </w:p>
        <w:p w14:paraId="0CC86852" w14:textId="77777777" w:rsidR="003D5DB4" w:rsidRPr="000D0101" w:rsidRDefault="003D5DB4" w:rsidP="000A5389">
          <w:pPr>
            <w:spacing w:line="240" w:lineRule="auto"/>
            <w:rPr>
              <w:rFonts w:eastAsia="Times New Roman"/>
              <w:lang w:eastAsia="es-CO"/>
            </w:rPr>
          </w:pPr>
        </w:p>
        <w:p w14:paraId="7F56C483" w14:textId="77777777" w:rsidR="003D5DB4" w:rsidRPr="000D0101" w:rsidRDefault="003D5DB4" w:rsidP="000A5389">
          <w:pPr>
            <w:spacing w:line="240" w:lineRule="auto"/>
            <w:rPr>
              <w:rFonts w:eastAsia="Times New Roman"/>
              <w:lang w:eastAsia="es-CO"/>
            </w:rPr>
          </w:pPr>
          <w:r w:rsidRPr="000D0101">
            <w:rPr>
              <w:rFonts w:eastAsia="Times New Roman"/>
              <w:lang w:eastAsia="es-CO"/>
            </w:rPr>
            <w:t>5: Riesgos: Están descritos en la cláusula décimo séptima del contrato, el CONCESIONARIO asume los efectos derivados de los riesgos que se listan en el contrato, los que se desprenden de las cláusulas o estipulaciones del contrato, sus anexos o que se deriven de la naturaleza del contrato, el CONCESIONARIO asume el riesgo del estado en que se encuentren las zonas de uso público concesionadas y los bienes muebles e inmuebles que lo conforman.</w:t>
          </w:r>
        </w:p>
        <w:p w14:paraId="3EBDD4AB" w14:textId="77777777" w:rsidR="003D5DB4" w:rsidRPr="000D0101" w:rsidRDefault="003D5DB4" w:rsidP="000A5389">
          <w:pPr>
            <w:spacing w:line="240" w:lineRule="auto"/>
            <w:rPr>
              <w:rFonts w:eastAsia="Times New Roman"/>
              <w:lang w:eastAsia="es-CO"/>
            </w:rPr>
          </w:pPr>
        </w:p>
        <w:p w14:paraId="1394805C" w14:textId="77777777" w:rsidR="003D5DB4" w:rsidRPr="000D0101" w:rsidRDefault="003D5DB4" w:rsidP="000A5389">
          <w:pPr>
            <w:spacing w:line="240" w:lineRule="auto"/>
            <w:rPr>
              <w:rFonts w:eastAsia="Times New Roman"/>
              <w:lang w:eastAsia="es-CO"/>
            </w:rPr>
          </w:pPr>
          <w:r w:rsidRPr="000D0101">
            <w:rPr>
              <w:rFonts w:eastAsia="Times New Roman"/>
              <w:lang w:eastAsia="es-CO"/>
            </w:rPr>
            <w:t>Cláusula décima primera del Otrosí No. 2 de 2020 - Riesgos. La modificación de las condiciones de la concesión contenidas en el presente Otrosí no implica ningún cambio en la identificación y asignación de los riesgos del contrato de concesión ni genera modificación alguna del esquema de riesgos asignados en su totalidad al concesionario SOCIEDAD PORTUARIA LAS AMÉRICAS S.A, conforme lo estable la Cláusula 17 del Contrato de Concesión Portuaria No. 003 de 2015.</w:t>
          </w:r>
        </w:p>
        <w:p w14:paraId="430D13E7" w14:textId="77777777" w:rsidR="003D5DB4" w:rsidRPr="000D0101" w:rsidRDefault="003D5DB4" w:rsidP="000A5389">
          <w:pPr>
            <w:spacing w:line="240" w:lineRule="auto"/>
            <w:rPr>
              <w:rFonts w:eastAsia="Times New Roman"/>
              <w:lang w:eastAsia="es-CO"/>
            </w:rPr>
          </w:pPr>
          <w:r w:rsidRPr="000D0101">
            <w:rPr>
              <w:rFonts w:eastAsia="Times New Roman"/>
              <w:lang w:eastAsia="es-CO"/>
            </w:rPr>
            <w:t>Términos de calendario:</w:t>
          </w:r>
          <w:r w:rsidRPr="000D0101">
            <w:rPr>
              <w:rFonts w:eastAsia="Times New Roman"/>
              <w:lang w:eastAsia="es-CO"/>
            </w:rPr>
            <w:tab/>
            <w:t xml:space="preserve">Tarifas: Aprobadas según la metodología establecida por la Superintendencia General de Puertos hoy Superintendencia de Transporte. </w:t>
          </w:r>
        </w:p>
        <w:p w14:paraId="67C14D85" w14:textId="77777777" w:rsidR="003D5DB4" w:rsidRPr="000D0101" w:rsidRDefault="003D5DB4" w:rsidP="000A5389">
          <w:pPr>
            <w:spacing w:line="240" w:lineRule="auto"/>
            <w:rPr>
              <w:rFonts w:eastAsia="Times New Roman"/>
              <w:lang w:eastAsia="es-CO"/>
            </w:rPr>
          </w:pPr>
        </w:p>
        <w:p w14:paraId="7DC7E7E4" w14:textId="77777777" w:rsidR="003D5DB4" w:rsidRPr="000D0101" w:rsidRDefault="003D5DB4" w:rsidP="000A5389">
          <w:pPr>
            <w:spacing w:line="240" w:lineRule="auto"/>
            <w:rPr>
              <w:rFonts w:eastAsia="Times New Roman"/>
              <w:lang w:eastAsia="es-CO"/>
            </w:rPr>
          </w:pPr>
          <w:r w:rsidRPr="000D0101">
            <w:rPr>
              <w:rFonts w:eastAsia="Times New Roman"/>
              <w:lang w:eastAsia="es-CO"/>
            </w:rPr>
            <w:t xml:space="preserve">Contraprestación portuaria: Anexo 2 Conpes 3744 de 2013 “(…) Antes de finalizar los meses de febrero cada concesionario deberá corregir su liquidación del año anterior según el movimiento de carga real y la indexación del valor de referencia por metro cuadrado, del avalúo de la infraestructura concesionada y de los cargos, así como realizar el pago anticipado del año en curso con base en lo proyectado en el FCL definitivo” </w:t>
          </w:r>
        </w:p>
        <w:p w14:paraId="79180A57" w14:textId="77777777" w:rsidR="003D5DB4" w:rsidRPr="000D0101" w:rsidRDefault="003D5DB4" w:rsidP="000A5389">
          <w:pPr>
            <w:spacing w:line="240" w:lineRule="auto"/>
            <w:rPr>
              <w:rFonts w:eastAsia="Times New Roman"/>
              <w:lang w:eastAsia="es-CO"/>
            </w:rPr>
          </w:pPr>
        </w:p>
        <w:p w14:paraId="2A5196D4" w14:textId="77777777" w:rsidR="003D5DB4" w:rsidRPr="000D0101" w:rsidRDefault="003D5DB4" w:rsidP="000A5389">
          <w:pPr>
            <w:spacing w:line="240" w:lineRule="auto"/>
            <w:rPr>
              <w:rFonts w:eastAsia="Times New Roman"/>
              <w:lang w:eastAsia="es-CO"/>
            </w:rPr>
          </w:pPr>
          <w:r w:rsidRPr="000D0101">
            <w:rPr>
              <w:rFonts w:eastAsia="Times New Roman"/>
              <w:lang w:eastAsia="es-CO"/>
            </w:rPr>
            <w:t xml:space="preserve">Plan de inversiones: Se estableció en la cláusula quinta del Otrosí No. 2 de 2020 ejecución de inversiones en el periodo de tiempo comprendido entre el año 2020 a 2022. </w:t>
          </w:r>
        </w:p>
        <w:p w14:paraId="17141A29" w14:textId="77777777" w:rsidR="003D5DB4" w:rsidRPr="000D0101" w:rsidRDefault="003D5DB4" w:rsidP="000A5389">
          <w:pPr>
            <w:spacing w:line="240" w:lineRule="auto"/>
            <w:rPr>
              <w:rFonts w:eastAsia="Times New Roman"/>
              <w:lang w:eastAsia="es-CO"/>
            </w:rPr>
          </w:pPr>
        </w:p>
        <w:p w14:paraId="793C53E2" w14:textId="77777777" w:rsidR="003D5DB4" w:rsidRPr="000D0101" w:rsidRDefault="003D5DB4" w:rsidP="000A5389">
          <w:pPr>
            <w:spacing w:line="240" w:lineRule="auto"/>
            <w:rPr>
              <w:rFonts w:eastAsia="Times New Roman"/>
              <w:lang w:eastAsia="es-CO"/>
            </w:rPr>
          </w:pPr>
          <w:r w:rsidRPr="000D0101">
            <w:rPr>
              <w:rFonts w:eastAsia="Times New Roman"/>
              <w:lang w:eastAsia="es-CO"/>
            </w:rPr>
            <w:t>Multas: Están establecidas en la cláusula vigésimo tercera del contrato No. 003 de 2015.</w:t>
          </w:r>
        </w:p>
        <w:p w14:paraId="1A6AFFC3" w14:textId="77777777" w:rsidR="003D5DB4" w:rsidRPr="000D0101" w:rsidRDefault="003D5DB4" w:rsidP="000A5389">
          <w:pPr>
            <w:spacing w:line="240" w:lineRule="auto"/>
            <w:rPr>
              <w:rFonts w:eastAsia="Times New Roman"/>
              <w:lang w:eastAsia="es-CO"/>
            </w:rPr>
          </w:pPr>
        </w:p>
        <w:p w14:paraId="15E29CA8" w14:textId="77777777" w:rsidR="003D5DB4" w:rsidRPr="000D0101" w:rsidRDefault="003D5DB4" w:rsidP="000A5389">
          <w:pPr>
            <w:spacing w:line="240" w:lineRule="auto"/>
            <w:rPr>
              <w:rFonts w:eastAsia="Times New Roman"/>
              <w:lang w:eastAsia="es-CO"/>
            </w:rPr>
          </w:pPr>
          <w:r w:rsidRPr="000D0101">
            <w:rPr>
              <w:rFonts w:eastAsia="Times New Roman"/>
              <w:lang w:eastAsia="es-CO"/>
            </w:rPr>
            <w:t>Términos de certeza de flujos de efectivo futuros: Se permite al CONCESIONARIO la ocupación en forma temporal y exclusiva de los bienes de uso público descritos en la CLÁUSULA 2 BIENES CONCESIONADOS del contrato No. 003 de 2015 para la construcción y operación de un terminal portuario de uso público para el cargue y descargue de gráneles líquidos, a cambio de la contraprestación económica. El Anexo 1 del Otrosí No.2 de 2020, el valor a pagar por concepto de contraprestación por Zona de Uso público el 80% le corresponde a la Nación-INVIAS y el 20 % al municipio.</w:t>
          </w:r>
        </w:p>
        <w:p w14:paraId="31A09114" w14:textId="77777777" w:rsidR="003D5DB4" w:rsidRPr="000D0101" w:rsidRDefault="003D5DB4" w:rsidP="000A5389">
          <w:pPr>
            <w:spacing w:line="240" w:lineRule="auto"/>
            <w:rPr>
              <w:rFonts w:eastAsia="Times New Roman"/>
              <w:lang w:eastAsia="es-CO"/>
            </w:rPr>
          </w:pPr>
        </w:p>
        <w:p w14:paraId="77EA8102" w14:textId="77777777" w:rsidR="003D5DB4" w:rsidRPr="000D0101" w:rsidRDefault="003D5DB4" w:rsidP="000A5389">
          <w:pPr>
            <w:spacing w:line="240" w:lineRule="auto"/>
            <w:rPr>
              <w:rFonts w:eastAsia="Times New Roman"/>
              <w:lang w:eastAsia="es-CO"/>
            </w:rPr>
          </w:pPr>
          <w:r w:rsidRPr="000D0101">
            <w:rPr>
              <w:rFonts w:eastAsia="Times New Roman"/>
              <w:lang w:eastAsia="es-CO"/>
            </w:rPr>
            <w:t>c. Naturaleza y alcance del derecho a utilizar Activos y los aspectos pactados en torno a lo que se espera que el concesionario proporcione en relación con el Acuerdo de concesión</w:t>
          </w:r>
        </w:p>
        <w:p w14:paraId="7A641445" w14:textId="77777777" w:rsidR="003D5DB4" w:rsidRPr="000D0101" w:rsidRDefault="003D5DB4" w:rsidP="000A5389">
          <w:pPr>
            <w:spacing w:line="240" w:lineRule="auto"/>
            <w:rPr>
              <w:rFonts w:eastAsia="Times New Roman"/>
              <w:lang w:eastAsia="es-CO"/>
            </w:rPr>
          </w:pPr>
        </w:p>
        <w:p w14:paraId="6C6AA6A8" w14:textId="77777777" w:rsidR="003D5DB4" w:rsidRPr="000D0101" w:rsidRDefault="003D5DB4" w:rsidP="000A5389">
          <w:pPr>
            <w:spacing w:line="240" w:lineRule="auto"/>
            <w:rPr>
              <w:rFonts w:eastAsia="Times New Roman"/>
              <w:lang w:eastAsia="es-CO"/>
            </w:rPr>
          </w:pPr>
          <w:r w:rsidRPr="000D0101">
            <w:rPr>
              <w:rFonts w:eastAsia="Times New Roman"/>
              <w:lang w:eastAsia="es-CO"/>
            </w:rPr>
            <w:t>Naturaleza y alcance del derecho de uso de los Activos</w:t>
          </w:r>
        </w:p>
        <w:p w14:paraId="52886428" w14:textId="77777777" w:rsidR="003D5DB4" w:rsidRPr="000D0101" w:rsidRDefault="003D5DB4" w:rsidP="000A5389">
          <w:pPr>
            <w:spacing w:line="240" w:lineRule="auto"/>
            <w:rPr>
              <w:rFonts w:eastAsia="Times New Roman"/>
              <w:lang w:eastAsia="es-CO"/>
            </w:rPr>
          </w:pPr>
        </w:p>
        <w:p w14:paraId="55772660" w14:textId="77777777" w:rsidR="003D5DB4" w:rsidRPr="000D0101" w:rsidRDefault="003D5DB4" w:rsidP="000A5389">
          <w:pPr>
            <w:spacing w:line="240" w:lineRule="auto"/>
            <w:rPr>
              <w:rFonts w:eastAsia="Times New Roman"/>
              <w:lang w:eastAsia="es-CO"/>
            </w:rPr>
          </w:pPr>
          <w:r w:rsidRPr="000D0101">
            <w:rPr>
              <w:rFonts w:eastAsia="Times New Roman"/>
              <w:lang w:eastAsia="es-CO"/>
            </w:rPr>
            <w:t>Descripción:</w:t>
          </w:r>
          <w:r w:rsidRPr="000D0101">
            <w:rPr>
              <w:rFonts w:eastAsia="Times New Roman"/>
              <w:lang w:eastAsia="es-CO"/>
            </w:rPr>
            <w:tab/>
            <w:t>Activos reconocidos Alcance del derecho de uso de los activos: Descripción del proyecto, especificaciones técnicas, modalidades de operación: las condiciones especiales de operación del puerto están establecidas en la cláusula segunda del otrosí No. 2 de 2020. Área entregada en concesión: La descripción de la ubicación, linderos y extensión de los bienes de uso público (playas y terrenos de baja mar, zonas marítimas accesorias de maniobras) entregados en concesión están establecidos en la cláusula Primera del Otrosí No. 2 de 2020. En la Cláusula primera del Contrato No. 003 de 2015 se permite al CONCESIONARIO la ocupación en forma temporal y exclusiva de los bienes de uso público descritos en la CLÁUSULA 2 BIENES CONCESIONADOS para la construcción y operación de un terminal portuario de uso público para el cargue y descargue de gráneles líquidos, a cambio de la contraprestación económica</w:t>
          </w:r>
        </w:p>
        <w:p w14:paraId="57081487" w14:textId="77777777" w:rsidR="003D5DB4" w:rsidRPr="000D0101" w:rsidRDefault="003D5DB4" w:rsidP="000A5389">
          <w:pPr>
            <w:spacing w:line="240" w:lineRule="auto"/>
            <w:rPr>
              <w:rFonts w:eastAsia="Times New Roman"/>
              <w:lang w:eastAsia="es-CO"/>
            </w:rPr>
          </w:pPr>
        </w:p>
        <w:p w14:paraId="6C086F35" w14:textId="77777777" w:rsidR="003D5DB4" w:rsidRPr="000D0101" w:rsidRDefault="003D5DB4" w:rsidP="000A5389">
          <w:pPr>
            <w:spacing w:line="240" w:lineRule="auto"/>
            <w:rPr>
              <w:rFonts w:eastAsia="Times New Roman"/>
              <w:lang w:eastAsia="es-CO"/>
            </w:rPr>
          </w:pPr>
          <w:r w:rsidRPr="000D0101">
            <w:rPr>
              <w:rFonts w:eastAsia="Times New Roman"/>
              <w:lang w:eastAsia="es-CO"/>
            </w:rPr>
            <w:t>Observaciones: NA</w:t>
          </w:r>
        </w:p>
        <w:p w14:paraId="1A9F413D" w14:textId="77777777" w:rsidR="003D5DB4" w:rsidRPr="000D0101" w:rsidRDefault="003D5DB4" w:rsidP="000A5389">
          <w:pPr>
            <w:spacing w:line="240" w:lineRule="auto"/>
            <w:rPr>
              <w:rFonts w:eastAsia="Times New Roman"/>
              <w:lang w:eastAsia="es-CO"/>
            </w:rPr>
          </w:pPr>
        </w:p>
        <w:p w14:paraId="6A9673BC" w14:textId="77777777" w:rsidR="003D5DB4" w:rsidRPr="000D0101" w:rsidRDefault="003D5DB4" w:rsidP="000A5389">
          <w:pPr>
            <w:spacing w:line="240" w:lineRule="auto"/>
            <w:rPr>
              <w:rFonts w:eastAsia="Times New Roman"/>
              <w:lang w:eastAsia="es-CO"/>
            </w:rPr>
          </w:pPr>
          <w:r w:rsidRPr="000D0101">
            <w:rPr>
              <w:rFonts w:eastAsia="Times New Roman"/>
              <w:lang w:eastAsia="es-CO"/>
            </w:rPr>
            <w:t>Retribución al concesionario</w:t>
          </w:r>
        </w:p>
        <w:p w14:paraId="28E2E471" w14:textId="77777777" w:rsidR="003D5DB4" w:rsidRPr="000D0101" w:rsidRDefault="003D5DB4" w:rsidP="000A5389">
          <w:pPr>
            <w:spacing w:line="240" w:lineRule="auto"/>
            <w:rPr>
              <w:rFonts w:eastAsia="Times New Roman"/>
              <w:lang w:eastAsia="es-CO"/>
            </w:rPr>
          </w:pPr>
        </w:p>
        <w:p w14:paraId="2362812B" w14:textId="77777777" w:rsidR="003D5DB4" w:rsidRPr="000D0101" w:rsidRDefault="003D5DB4" w:rsidP="000A5389">
          <w:pPr>
            <w:spacing w:line="240" w:lineRule="auto"/>
            <w:rPr>
              <w:rFonts w:eastAsia="Times New Roman"/>
              <w:lang w:eastAsia="es-CO"/>
            </w:rPr>
          </w:pPr>
          <w:r w:rsidRPr="000D0101">
            <w:rPr>
              <w:rFonts w:eastAsia="Times New Roman"/>
              <w:lang w:eastAsia="es-CO"/>
            </w:rPr>
            <w:t>Descripción:</w:t>
          </w:r>
          <w:r w:rsidRPr="000D0101">
            <w:rPr>
              <w:rFonts w:eastAsia="Times New Roman"/>
              <w:lang w:eastAsia="es-CO"/>
            </w:rPr>
            <w:tab/>
            <w:t>En la Cláusula primera del Contrato No. 003 de 2015 se permite al CONCESIONARIO la ocupación en forma temporal y exclusiva de los bienes de uso público descritos en la CLÁUSULA 2 BIENES CONCESIONADOS para la construcción y operación de un terminal portuario de uso público para el cargue y descargue de gráneles líquidos, a cambio de la contraprestación económica.</w:t>
          </w:r>
        </w:p>
        <w:p w14:paraId="1502185A" w14:textId="77777777" w:rsidR="003D5DB4" w:rsidRPr="000D0101" w:rsidRDefault="003D5DB4" w:rsidP="000A5389">
          <w:pPr>
            <w:spacing w:line="240" w:lineRule="auto"/>
            <w:rPr>
              <w:rFonts w:eastAsia="Times New Roman"/>
              <w:lang w:eastAsia="es-CO"/>
            </w:rPr>
          </w:pPr>
        </w:p>
        <w:p w14:paraId="0C6D0459" w14:textId="77777777" w:rsidR="003D5DB4" w:rsidRPr="000D0101" w:rsidRDefault="003D5DB4" w:rsidP="000A5389">
          <w:pPr>
            <w:spacing w:line="240" w:lineRule="auto"/>
            <w:rPr>
              <w:rFonts w:eastAsia="Times New Roman"/>
              <w:lang w:eastAsia="es-CO"/>
            </w:rPr>
          </w:pPr>
          <w:r w:rsidRPr="000D0101">
            <w:rPr>
              <w:rFonts w:eastAsia="Times New Roman"/>
              <w:lang w:eastAsia="es-CO"/>
            </w:rPr>
            <w:t>Tasa de retribución:</w:t>
          </w:r>
          <w:r w:rsidRPr="000D0101">
            <w:rPr>
              <w:rFonts w:eastAsia="Times New Roman"/>
              <w:lang w:eastAsia="es-CO"/>
            </w:rPr>
            <w:tab/>
            <w:t>NA</w:t>
          </w:r>
        </w:p>
        <w:p w14:paraId="4D4C8107" w14:textId="77777777" w:rsidR="003D5DB4" w:rsidRPr="000D0101" w:rsidRDefault="003D5DB4" w:rsidP="000A5389">
          <w:pPr>
            <w:spacing w:line="240" w:lineRule="auto"/>
            <w:rPr>
              <w:rFonts w:eastAsia="Times New Roman"/>
              <w:lang w:eastAsia="es-CO"/>
            </w:rPr>
          </w:pPr>
        </w:p>
        <w:p w14:paraId="0AFEDA50" w14:textId="77777777" w:rsidR="003D5DB4" w:rsidRPr="000D0101" w:rsidRDefault="003D5DB4" w:rsidP="000A5389">
          <w:pPr>
            <w:spacing w:line="240" w:lineRule="auto"/>
            <w:rPr>
              <w:rFonts w:eastAsia="Times New Roman"/>
              <w:lang w:eastAsia="es-CO"/>
            </w:rPr>
          </w:pPr>
          <w:r w:rsidRPr="000D0101">
            <w:rPr>
              <w:rFonts w:eastAsia="Times New Roman"/>
              <w:lang w:eastAsia="es-CO"/>
            </w:rPr>
            <w:t>d. Derechos a recibir Activos especificados al final del acuerdo de concesión</w:t>
          </w:r>
        </w:p>
        <w:p w14:paraId="6E09F0B2" w14:textId="77777777" w:rsidR="003D5DB4" w:rsidRPr="000D0101" w:rsidRDefault="003D5DB4" w:rsidP="000A5389">
          <w:pPr>
            <w:spacing w:line="240" w:lineRule="auto"/>
            <w:rPr>
              <w:rFonts w:eastAsia="Times New Roman"/>
              <w:lang w:eastAsia="es-CO"/>
            </w:rPr>
          </w:pPr>
        </w:p>
        <w:p w14:paraId="0E63E15E" w14:textId="77777777" w:rsidR="003D5DB4" w:rsidRPr="000D0101" w:rsidRDefault="003D5DB4" w:rsidP="000A5389">
          <w:pPr>
            <w:spacing w:line="240" w:lineRule="auto"/>
            <w:rPr>
              <w:rFonts w:eastAsia="Times New Roman"/>
              <w:lang w:eastAsia="es-CO"/>
            </w:rPr>
          </w:pPr>
          <w:r w:rsidRPr="000D0101">
            <w:rPr>
              <w:rFonts w:eastAsia="Times New Roman"/>
              <w:lang w:eastAsia="es-CO"/>
            </w:rPr>
            <w:t>Descripción:</w:t>
          </w:r>
          <w:r w:rsidRPr="000D0101">
            <w:rPr>
              <w:rFonts w:eastAsia="Times New Roman"/>
              <w:lang w:eastAsia="es-CO"/>
            </w:rPr>
            <w:tab/>
            <w:t>De acuerdo con el Artículo 8º de la Ley 1 de 1991 en el modo portuario el concesionario no tiene derechos finales sobre activos los debe revertir a la Nación al final del contrato de concesión.</w:t>
          </w:r>
        </w:p>
        <w:p w14:paraId="28C97AA3" w14:textId="77777777" w:rsidR="003D5DB4" w:rsidRPr="000D0101" w:rsidRDefault="003D5DB4" w:rsidP="000A5389">
          <w:pPr>
            <w:spacing w:line="240" w:lineRule="auto"/>
            <w:rPr>
              <w:rFonts w:eastAsia="Times New Roman"/>
              <w:lang w:eastAsia="es-CO"/>
            </w:rPr>
          </w:pPr>
        </w:p>
        <w:p w14:paraId="54728E7D" w14:textId="77777777" w:rsidR="003D5DB4" w:rsidRPr="000D0101" w:rsidRDefault="003D5DB4" w:rsidP="000A5389">
          <w:pPr>
            <w:spacing w:line="240" w:lineRule="auto"/>
            <w:rPr>
              <w:rFonts w:eastAsia="Times New Roman"/>
              <w:lang w:eastAsia="es-CO"/>
            </w:rPr>
          </w:pPr>
          <w:r w:rsidRPr="000D0101">
            <w:rPr>
              <w:rFonts w:eastAsia="Times New Roman"/>
              <w:lang w:eastAsia="es-CO"/>
            </w:rPr>
            <w:t>Observaciones: Reversión: De acuerdo con lo establecido en la cláusula trigésima cuarta del contrato de concesión, la zona de uso público y todas las construcciones e inmuebles por destinación existentes, así como los que autorice la ANI , levantadas y construidas en la zona de uso público que ha sido determinada o que se encuentre habitualmente instalada en ellas y afectas a la concesión, serán revertidas gratuitamente por el CONCESIONARIO a la Nación- Instituto Nacional de Vías INVIAS conforme a lo dispuesto en el artículo 8 de la Ley 1ª de 1991, en buen estado de operación y mantenimiento al extinguirse el plazo de la misma o al ser declarada la caducidad. Dichos bienes deberán entregarse en buenas condiciones de operación tecnológica, mantenimiento y adecuada eficiencia al término de este contrato. Para tal fin, en el momento de la reversión el CONCESIONARIO deberá hacer entrega de un avaluó comercial actualizado y valoración técnica de las condiciones de operación de la infraestructura portuaria, equipos e inmuebles por destinación que habitualmente se encuentren instalados en las zonas de uso público que se revierten y que son propiedad de la Nación. La ANI es la entidad concedente pero la titularidad de los activos al final de la concesión es del Instituto Nacional de Vías INVIAS.</w:t>
          </w:r>
        </w:p>
        <w:p w14:paraId="49D131FE" w14:textId="77777777" w:rsidR="003D5DB4" w:rsidRPr="000D0101" w:rsidRDefault="003D5DB4" w:rsidP="000A5389">
          <w:pPr>
            <w:spacing w:line="240" w:lineRule="auto"/>
            <w:rPr>
              <w:rFonts w:eastAsia="Times New Roman"/>
              <w:lang w:eastAsia="es-CO"/>
            </w:rPr>
          </w:pPr>
        </w:p>
        <w:p w14:paraId="7977BC48" w14:textId="77777777" w:rsidR="003D5DB4" w:rsidRPr="000D0101" w:rsidRDefault="003D5DB4" w:rsidP="000A5389">
          <w:pPr>
            <w:spacing w:line="240" w:lineRule="auto"/>
            <w:rPr>
              <w:rFonts w:eastAsia="Times New Roman"/>
              <w:lang w:eastAsia="es-CO"/>
            </w:rPr>
          </w:pPr>
          <w:r w:rsidRPr="000D0101">
            <w:rPr>
              <w:rFonts w:eastAsia="Times New Roman"/>
              <w:lang w:eastAsia="es-CO"/>
            </w:rPr>
            <w:t>e. Las alternativas de renovación y cese del acuerdo</w:t>
          </w:r>
        </w:p>
        <w:p w14:paraId="017EFC4A" w14:textId="77777777" w:rsidR="003D5DB4" w:rsidRPr="000D0101" w:rsidRDefault="003D5DB4" w:rsidP="000A5389">
          <w:pPr>
            <w:spacing w:line="240" w:lineRule="auto"/>
            <w:rPr>
              <w:rFonts w:eastAsia="Times New Roman"/>
              <w:lang w:eastAsia="es-CO"/>
            </w:rPr>
          </w:pPr>
        </w:p>
        <w:p w14:paraId="7FA1462C" w14:textId="77777777" w:rsidR="003D5DB4" w:rsidRPr="000D0101" w:rsidRDefault="003D5DB4" w:rsidP="000A5389">
          <w:pPr>
            <w:spacing w:line="240" w:lineRule="auto"/>
            <w:rPr>
              <w:rFonts w:eastAsia="Times New Roman"/>
              <w:lang w:eastAsia="es-CO"/>
            </w:rPr>
          </w:pPr>
          <w:r w:rsidRPr="000D0101">
            <w:rPr>
              <w:rFonts w:eastAsia="Times New Roman"/>
              <w:lang w:eastAsia="es-CO"/>
            </w:rPr>
            <w:t>Descripción:</w:t>
          </w:r>
          <w:r w:rsidRPr="000D0101">
            <w:rPr>
              <w:rFonts w:eastAsia="Times New Roman"/>
              <w:lang w:eastAsia="es-CO"/>
            </w:rPr>
            <w:tab/>
            <w:t>La CLÁUSULA DÉCIMA PRIMERA del contrato de concesión, indica las alternativas de renovación del contrato. La CLÁUSULA TRIGESIMA del contrato indica el cese del mismo.</w:t>
          </w:r>
        </w:p>
        <w:p w14:paraId="690DF507" w14:textId="77777777" w:rsidR="003D5DB4" w:rsidRPr="000D0101" w:rsidRDefault="003D5DB4" w:rsidP="000A5389">
          <w:pPr>
            <w:spacing w:line="240" w:lineRule="auto"/>
            <w:rPr>
              <w:rFonts w:eastAsia="Times New Roman"/>
              <w:lang w:eastAsia="es-CO"/>
            </w:rPr>
          </w:pPr>
        </w:p>
        <w:p w14:paraId="577DFA43" w14:textId="77777777" w:rsidR="003D5DB4" w:rsidRPr="000D0101" w:rsidRDefault="003D5DB4" w:rsidP="000A5389">
          <w:pPr>
            <w:spacing w:line="240" w:lineRule="auto"/>
            <w:rPr>
              <w:rFonts w:eastAsia="Times New Roman"/>
              <w:lang w:eastAsia="es-CO"/>
            </w:rPr>
          </w:pPr>
          <w:r w:rsidRPr="000D0101">
            <w:rPr>
              <w:rFonts w:eastAsia="Times New Roman"/>
              <w:lang w:eastAsia="es-CO"/>
            </w:rPr>
            <w:t>Observaciones: No observaciones</w:t>
          </w:r>
        </w:p>
        <w:p w14:paraId="16F6CBB0" w14:textId="77777777" w:rsidR="003D5DB4" w:rsidRPr="000D0101" w:rsidRDefault="003D5DB4" w:rsidP="000A5389">
          <w:pPr>
            <w:spacing w:line="240" w:lineRule="auto"/>
            <w:rPr>
              <w:rFonts w:eastAsia="Times New Roman"/>
              <w:lang w:eastAsia="es-CO"/>
            </w:rPr>
          </w:pPr>
        </w:p>
        <w:p w14:paraId="14F0CF45" w14:textId="77777777" w:rsidR="003D5DB4" w:rsidRPr="000D0101" w:rsidRDefault="003D5DB4" w:rsidP="000A5389">
          <w:pPr>
            <w:spacing w:line="240" w:lineRule="auto"/>
            <w:rPr>
              <w:rFonts w:eastAsia="Times New Roman"/>
              <w:lang w:eastAsia="es-CO"/>
            </w:rPr>
          </w:pPr>
          <w:r w:rsidRPr="000D0101">
            <w:rPr>
              <w:rFonts w:eastAsia="Times New Roman"/>
              <w:lang w:eastAsia="es-CO"/>
            </w:rPr>
            <w:t>f. Cambios en el acuerdo de concesión que se realicen durante el periodo fiscal</w:t>
          </w:r>
        </w:p>
        <w:p w14:paraId="754C439C" w14:textId="77777777" w:rsidR="003D5DB4" w:rsidRPr="000D0101" w:rsidRDefault="003D5DB4" w:rsidP="000A5389">
          <w:pPr>
            <w:spacing w:line="240" w:lineRule="auto"/>
            <w:rPr>
              <w:rFonts w:eastAsia="Times New Roman"/>
              <w:lang w:eastAsia="es-CO"/>
            </w:rPr>
          </w:pPr>
        </w:p>
        <w:p w14:paraId="09CAA4B2" w14:textId="77777777" w:rsidR="003D5DB4" w:rsidRPr="000D0101" w:rsidRDefault="003D5DB4" w:rsidP="000A5389">
          <w:pPr>
            <w:spacing w:line="240" w:lineRule="auto"/>
            <w:rPr>
              <w:rFonts w:eastAsia="Times New Roman"/>
              <w:lang w:eastAsia="es-CO"/>
            </w:rPr>
          </w:pPr>
          <w:r w:rsidRPr="000D0101">
            <w:rPr>
              <w:rFonts w:eastAsia="Times New Roman"/>
              <w:lang w:eastAsia="es-CO"/>
            </w:rPr>
            <w:t>Adiciones o modificaciones en tiempo</w:t>
          </w:r>
        </w:p>
        <w:p w14:paraId="3E1CFF3B" w14:textId="77777777" w:rsidR="003D5DB4" w:rsidRPr="000D0101" w:rsidRDefault="003D5DB4" w:rsidP="000A5389">
          <w:pPr>
            <w:spacing w:line="240" w:lineRule="auto"/>
            <w:rPr>
              <w:rFonts w:eastAsia="Times New Roman"/>
              <w:lang w:eastAsia="es-CO"/>
            </w:rPr>
          </w:pPr>
          <w:r w:rsidRPr="000D0101">
            <w:rPr>
              <w:rFonts w:eastAsia="Times New Roman"/>
              <w:lang w:eastAsia="es-CO"/>
            </w:rPr>
            <w:t>Fechas de las adiciones o modificaciones:</w:t>
          </w:r>
          <w:r w:rsidRPr="000D0101">
            <w:rPr>
              <w:rFonts w:eastAsia="Times New Roman"/>
              <w:lang w:eastAsia="es-CO"/>
            </w:rPr>
            <w:tab/>
            <w:t>El Otrosí No. 2 de 2020 establece una prórroga por 10 años</w:t>
          </w:r>
        </w:p>
        <w:p w14:paraId="7978479B" w14:textId="77777777" w:rsidR="003D5DB4" w:rsidRPr="000D0101" w:rsidRDefault="003D5DB4" w:rsidP="000A5389">
          <w:pPr>
            <w:spacing w:line="240" w:lineRule="auto"/>
            <w:rPr>
              <w:rFonts w:eastAsia="Times New Roman"/>
              <w:lang w:eastAsia="es-CO"/>
            </w:rPr>
          </w:pPr>
          <w:r w:rsidRPr="000D0101">
            <w:rPr>
              <w:rFonts w:eastAsia="Times New Roman"/>
              <w:lang w:eastAsia="es-CO"/>
            </w:rPr>
            <w:t>Nueva fecha de finalización estimada: 14 de abril de 2046, según el Otrosí No. 2 de 2020</w:t>
          </w:r>
        </w:p>
        <w:p w14:paraId="166008F6" w14:textId="77777777" w:rsidR="003D5DB4" w:rsidRPr="000D0101" w:rsidRDefault="003D5DB4" w:rsidP="000A5389">
          <w:pPr>
            <w:spacing w:line="240" w:lineRule="auto"/>
            <w:rPr>
              <w:rFonts w:eastAsia="Times New Roman"/>
              <w:lang w:eastAsia="es-CO"/>
            </w:rPr>
          </w:pPr>
          <w:r w:rsidRPr="000D0101">
            <w:rPr>
              <w:rFonts w:eastAsia="Times New Roman"/>
              <w:lang w:eastAsia="es-CO"/>
            </w:rPr>
            <w:t>Observaciones: No observaciones</w:t>
          </w:r>
        </w:p>
        <w:p w14:paraId="7D447E62" w14:textId="77777777" w:rsidR="003D5DB4" w:rsidRPr="000D0101" w:rsidRDefault="003D5DB4" w:rsidP="000A5389">
          <w:pPr>
            <w:spacing w:line="240" w:lineRule="auto"/>
            <w:rPr>
              <w:rFonts w:eastAsia="Times New Roman"/>
              <w:lang w:eastAsia="es-CO"/>
            </w:rPr>
          </w:pPr>
          <w:r w:rsidRPr="000D0101">
            <w:rPr>
              <w:rFonts w:eastAsia="Times New Roman"/>
              <w:lang w:eastAsia="es-CO"/>
            </w:rPr>
            <w:t>Adiciones o modificaciones en valor</w:t>
          </w:r>
        </w:p>
        <w:p w14:paraId="47B17E92" w14:textId="77777777" w:rsidR="003D5DB4" w:rsidRPr="000D0101" w:rsidRDefault="003D5DB4" w:rsidP="000A5389">
          <w:pPr>
            <w:spacing w:line="240" w:lineRule="auto"/>
            <w:rPr>
              <w:rFonts w:eastAsia="Times New Roman"/>
              <w:lang w:eastAsia="es-CO"/>
            </w:rPr>
          </w:pPr>
          <w:r w:rsidRPr="000D0101">
            <w:rPr>
              <w:rFonts w:eastAsia="Times New Roman"/>
              <w:lang w:eastAsia="es-CO"/>
            </w:rPr>
            <w:t>Valor de la adición o modificación: El Otrosí No. 2 redujo el valor de la contraprestación en USD $153.045</w:t>
          </w:r>
        </w:p>
        <w:p w14:paraId="7F518260" w14:textId="77777777" w:rsidR="003D5DB4" w:rsidRPr="000D0101" w:rsidRDefault="003D5DB4" w:rsidP="000A5389">
          <w:pPr>
            <w:spacing w:line="240" w:lineRule="auto"/>
            <w:rPr>
              <w:rFonts w:eastAsia="Times New Roman"/>
              <w:lang w:eastAsia="es-CO"/>
            </w:rPr>
          </w:pPr>
          <w:r w:rsidRPr="000D0101">
            <w:rPr>
              <w:rFonts w:eastAsia="Times New Roman"/>
              <w:lang w:eastAsia="es-CO"/>
            </w:rPr>
            <w:t>Nuevo valor del acuerdo: Nuevo valor de la contraprestación, Otrosí No. 2 - 797.712 USD</w:t>
          </w:r>
        </w:p>
        <w:p w14:paraId="750386D2" w14:textId="77777777" w:rsidR="003D5DB4" w:rsidRPr="000D0101" w:rsidRDefault="003D5DB4" w:rsidP="000A5389">
          <w:pPr>
            <w:spacing w:line="240" w:lineRule="auto"/>
            <w:rPr>
              <w:rFonts w:eastAsia="Times New Roman"/>
              <w:lang w:eastAsia="es-CO"/>
            </w:rPr>
          </w:pPr>
          <w:r w:rsidRPr="000D0101">
            <w:rPr>
              <w:rFonts w:eastAsia="Times New Roman"/>
              <w:lang w:eastAsia="es-CO"/>
            </w:rPr>
            <w:t>Observaciones: No observaciones</w:t>
          </w:r>
        </w:p>
        <w:p w14:paraId="23582080" w14:textId="77777777" w:rsidR="003D5DB4" w:rsidRPr="000D0101" w:rsidRDefault="003D5DB4" w:rsidP="000A5389">
          <w:pPr>
            <w:spacing w:line="240" w:lineRule="auto"/>
            <w:rPr>
              <w:rFonts w:eastAsia="Times New Roman"/>
              <w:lang w:eastAsia="es-CO"/>
            </w:rPr>
          </w:pPr>
        </w:p>
        <w:p w14:paraId="06E38BDF" w14:textId="77777777" w:rsidR="003D5DB4" w:rsidRPr="000D0101" w:rsidRDefault="003D5DB4" w:rsidP="000A5389">
          <w:pPr>
            <w:spacing w:line="240" w:lineRule="auto"/>
            <w:rPr>
              <w:rFonts w:eastAsia="Times New Roman"/>
              <w:lang w:eastAsia="es-CO"/>
            </w:rPr>
          </w:pPr>
        </w:p>
        <w:p w14:paraId="6279946B" w14:textId="77777777" w:rsidR="003D5DB4" w:rsidRPr="00EE35D4" w:rsidRDefault="003D5DB4" w:rsidP="000A5389">
          <w:pPr>
            <w:spacing w:line="240" w:lineRule="auto"/>
            <w:rPr>
              <w:rFonts w:eastAsia="Times New Roman"/>
              <w:i/>
              <w:iCs/>
              <w:lang w:eastAsia="es-CO"/>
            </w:rPr>
          </w:pPr>
          <w:r w:rsidRPr="00EE35D4">
            <w:rPr>
              <w:rFonts w:eastAsia="Times New Roman"/>
              <w:i/>
              <w:iCs/>
              <w:lang w:eastAsia="es-CO"/>
            </w:rPr>
            <w:t xml:space="preserve">SOCIEDAD PORTUARIA OCEANOS S.A. </w:t>
          </w:r>
        </w:p>
        <w:p w14:paraId="6D3FC5BA" w14:textId="77777777" w:rsidR="003D5DB4" w:rsidRPr="000D0101" w:rsidRDefault="003D5DB4" w:rsidP="000A5389">
          <w:pPr>
            <w:spacing w:line="240" w:lineRule="auto"/>
            <w:rPr>
              <w:rFonts w:eastAsia="Times New Roman"/>
              <w:lang w:eastAsia="es-CO"/>
            </w:rPr>
          </w:pPr>
        </w:p>
        <w:p w14:paraId="42917040" w14:textId="77777777" w:rsidR="003D5DB4" w:rsidRPr="000D0101" w:rsidRDefault="003D5DB4" w:rsidP="000A5389">
          <w:pPr>
            <w:spacing w:line="240" w:lineRule="auto"/>
          </w:pPr>
          <w:r w:rsidRPr="000D0101">
            <w:t>a. Descripción del Acuerdo</w:t>
          </w:r>
        </w:p>
        <w:p w14:paraId="608C0E81" w14:textId="77777777" w:rsidR="003D5DB4" w:rsidRPr="000D0101" w:rsidRDefault="003D5DB4" w:rsidP="000A5389">
          <w:pPr>
            <w:spacing w:line="240" w:lineRule="auto"/>
          </w:pPr>
        </w:p>
        <w:p w14:paraId="78156119" w14:textId="77777777" w:rsidR="003D5DB4" w:rsidRPr="000D0101" w:rsidRDefault="003D5DB4" w:rsidP="000A5389">
          <w:pPr>
            <w:spacing w:line="240" w:lineRule="auto"/>
          </w:pPr>
          <w:r w:rsidRPr="000D0101">
            <w:t>Número del Acuerdo de Concesión: 476 de 2018.</w:t>
          </w:r>
        </w:p>
        <w:p w14:paraId="673AEE0C" w14:textId="77777777" w:rsidR="003D5DB4" w:rsidRPr="000D0101" w:rsidRDefault="003D5DB4" w:rsidP="000A5389">
          <w:pPr>
            <w:spacing w:line="240" w:lineRule="auto"/>
          </w:pPr>
        </w:p>
        <w:p w14:paraId="5ACB26D6" w14:textId="77777777" w:rsidR="003D5DB4" w:rsidRPr="000D0101" w:rsidRDefault="003D5DB4" w:rsidP="000A5389">
          <w:pPr>
            <w:spacing w:line="240" w:lineRule="auto"/>
            <w:rPr>
              <w:rStyle w:val="Estilo5"/>
              <w:rFonts w:cs="Times New Roman"/>
              <w:szCs w:val="24"/>
            </w:rPr>
          </w:pPr>
          <w:r w:rsidRPr="000D0101">
            <w:t xml:space="preserve">Objeto / Descripción: </w:t>
          </w:r>
          <w:r w:rsidRPr="000D0101">
            <w:rPr>
              <w:rStyle w:val="EncabezadoCar"/>
              <w:rFonts w:cs="Times New Roman"/>
              <w:szCs w:val="24"/>
            </w:rPr>
            <w:t>Descripción: En virtud de la Resolución, se permite al CONCESIONARIO operar el muelle ubicado en la ciudad de Cartagena de Indias, Departamento de Bolívar, Albornoz vía Mamonal 1-504, en el cual se destinará al descargue y tránsito de camarón de cultivo que proviene de manera directa de las granjas de su propiedad u ocasionalmente de terceros proveedores y el desarrollo de actividades portuarias de servicio privado, conforme lo establece el Artículo Primero de la Resolución.</w:t>
          </w:r>
        </w:p>
        <w:p w14:paraId="3E9DCFD6" w14:textId="77777777" w:rsidR="003D5DB4" w:rsidRPr="000D0101" w:rsidRDefault="003D5DB4" w:rsidP="000A5389">
          <w:pPr>
            <w:spacing w:line="240" w:lineRule="auto"/>
          </w:pPr>
          <w:r w:rsidRPr="000D0101">
            <w:t>Valor inicial: USD $62.469 Articulo Quinta / Resolución 476/2018Valor del Contrato actualizado: USD $49.272,17 / Artículo Cuarto / Resolución No, 20203030017095 /2020.Valor del Contrato actualizado: USD $ 56.458 / Artículo tercero / Resolución No. 20223030018775 /2022.Valor del Contrato actualizado: USD $86.784 / Artículo tercero / Resolución No. 20243030015155</w:t>
          </w:r>
        </w:p>
        <w:p w14:paraId="473B1464" w14:textId="77777777" w:rsidR="003D5DB4" w:rsidRPr="000D0101" w:rsidRDefault="003D5DB4" w:rsidP="000A5389">
          <w:pPr>
            <w:spacing w:line="240" w:lineRule="auto"/>
          </w:pPr>
          <w:r w:rsidRPr="000D0101">
            <w:t>Fecha de inicio: 23/11/2022</w:t>
          </w:r>
        </w:p>
        <w:p w14:paraId="408A1D64" w14:textId="77777777" w:rsidR="003D5DB4" w:rsidRPr="000D0101" w:rsidRDefault="003D5DB4" w:rsidP="000A5389">
          <w:pPr>
            <w:spacing w:line="240" w:lineRule="auto"/>
          </w:pPr>
          <w:r w:rsidRPr="000D0101">
            <w:t>Fecha de finalización estimada: 22/11/2026</w:t>
          </w:r>
        </w:p>
        <w:p w14:paraId="0D964FBC" w14:textId="77777777" w:rsidR="003D5DB4" w:rsidRPr="000D0101" w:rsidRDefault="003D5DB4" w:rsidP="000A5389">
          <w:pPr>
            <w:spacing w:line="240" w:lineRule="auto"/>
          </w:pPr>
          <w:r w:rsidRPr="000D0101">
            <w:t xml:space="preserve">Tipo ID: </w:t>
          </w:r>
          <w:r w:rsidRPr="000D0101">
            <w:rPr>
              <w:rStyle w:val="Estilo5"/>
              <w:rFonts w:cs="Times New Roman"/>
              <w:szCs w:val="24"/>
            </w:rPr>
            <w:t>NIT</w:t>
          </w:r>
        </w:p>
        <w:p w14:paraId="5A7DA0EF" w14:textId="77777777" w:rsidR="003D5DB4" w:rsidRPr="000D0101" w:rsidRDefault="003D5DB4" w:rsidP="000A5389">
          <w:pPr>
            <w:spacing w:line="240" w:lineRule="auto"/>
          </w:pPr>
          <w:r w:rsidRPr="000D0101">
            <w:t>Número ID: 900.947.660-0</w:t>
          </w:r>
        </w:p>
        <w:p w14:paraId="2093CF29" w14:textId="77777777" w:rsidR="003D5DB4" w:rsidRPr="000D0101" w:rsidRDefault="003D5DB4" w:rsidP="000A5389">
          <w:pPr>
            <w:spacing w:line="240" w:lineRule="auto"/>
          </w:pPr>
          <w:r w:rsidRPr="000D0101">
            <w:t>Razón social del concesionario: Sociedad Portuaria Océanos S.A.</w:t>
          </w:r>
        </w:p>
        <w:p w14:paraId="617F25AB" w14:textId="77777777" w:rsidR="003D5DB4" w:rsidRPr="000D0101" w:rsidRDefault="003D5DB4" w:rsidP="000A5389">
          <w:pPr>
            <w:spacing w:line="240" w:lineRule="auto"/>
          </w:pPr>
          <w:r w:rsidRPr="000D0101">
            <w:t>Nombre del proyecto: Sociedad Portuaria Océanos S.A.</w:t>
          </w:r>
        </w:p>
        <w:p w14:paraId="65D4FFCA" w14:textId="77777777" w:rsidR="003D5DB4" w:rsidRPr="000D0101" w:rsidRDefault="003D5DB4" w:rsidP="000A5389">
          <w:pPr>
            <w:spacing w:line="240" w:lineRule="auto"/>
            <w:rPr>
              <w:lang w:val="es-MX"/>
            </w:rPr>
          </w:pPr>
          <w:r w:rsidRPr="000D0101">
            <w:rPr>
              <w:lang w:val="es-MX"/>
            </w:rPr>
            <w:t>b. Términos significativos del Acuerdo que puedan afectar su valor, el calendario y la certeza de los flujos</w:t>
          </w:r>
        </w:p>
        <w:p w14:paraId="3765CD16" w14:textId="77777777" w:rsidR="003D5DB4" w:rsidRPr="000D0101" w:rsidRDefault="003D5DB4" w:rsidP="000A5389">
          <w:pPr>
            <w:spacing w:line="240" w:lineRule="auto"/>
          </w:pPr>
        </w:p>
        <w:p w14:paraId="5779A3A0" w14:textId="77777777" w:rsidR="003D5DB4" w:rsidRPr="000D0101" w:rsidRDefault="003D5DB4" w:rsidP="000A5389">
          <w:pPr>
            <w:spacing w:line="240" w:lineRule="auto"/>
          </w:pPr>
          <w:r w:rsidRPr="000D0101">
            <w:t xml:space="preserve">Términos de valor: </w:t>
          </w:r>
          <w:r w:rsidRPr="000D0101">
            <w:rPr>
              <w:rStyle w:val="EncabezadoCar"/>
              <w:rFonts w:cs="Times New Roman"/>
              <w:szCs w:val="24"/>
            </w:rPr>
            <w:t xml:space="preserve">Tarifas: Al ser el terminal marítimo de servicio privado la Ley 1 de 1991 establece: Las sociedades portuarias que operan puertos de servicio privado podrán fijar libremente sus tarifas, pero mantendrán informada sobre ellas a la Superintendencia General de Puertos hoy Superintendencia de Transporte. Contraprestación portuaria: De acuerdo con el último documento contractual vigente la metodología de contraprestación vigente es CONPES 3744 de 2013. La liquidación de las contraprestaciones se realizará de manera anticipada año a año y se reliquidará de forma vencida al año siguiente antes de finalizar febrero. Para efecto de la presente prórroga la SOCIEDAD PORTUARIA OCEANOS.A., se deberá tener en cuenta: • Dentro del primer mes de ejecución de la prórroga, la sociedad portuaria efectuará el pago anticipado de sus obligaciones de contraprestación por la porción del año restante hasta el 31 de diciembre de 2024. • Antes de finalizar el mes de febrero de cada uno de los años posteriores, la sociedad portuaria, hará una autoliquidación de la contraprestación portuaria en la que deberá actualizar variables macroeconómicas del año anterior, liquidando el valor vencido del año anterior y el valor anticipado del periodo del año. Obligaciones del CONCESIONARIO: se encuentran descritas en el Artículo Séptimo de la Resolución 476/2018.Multas y sanciones: están establecidas en Artículo Noveno de la Resolución 476/2018. </w:t>
          </w:r>
        </w:p>
        <w:p w14:paraId="70871AC5" w14:textId="77777777" w:rsidR="003D5DB4" w:rsidRPr="000D0101" w:rsidRDefault="003D5DB4" w:rsidP="000A5389">
          <w:pPr>
            <w:spacing w:line="240" w:lineRule="auto"/>
          </w:pPr>
          <w:r w:rsidRPr="000D0101">
            <w:t xml:space="preserve">Términos de calendario: Tarifas: Aprobadas según la metodología establecida por la Superintendencia General de Puertos hoy Superintendencia de Transporte. Contraprestación </w:t>
          </w:r>
          <w:r w:rsidRPr="000D0101">
            <w:lastRenderedPageBreak/>
            <w:t>portuaria: La contraprestación se debe pagar de manera anual anticipada, además es de indicar que por tratarse de un contrato cuya metodología de contraprestación corresponde a lo establecido en el CONPES 3744 de 2013 se debe pagar el último día del mes de febrero de cada año. Multas: Artículo Noveno de la Resolución 476/2018</w:t>
          </w:r>
        </w:p>
        <w:p w14:paraId="0A1AFC1E" w14:textId="77777777" w:rsidR="003D5DB4" w:rsidRPr="000D0101" w:rsidRDefault="003D5DB4" w:rsidP="000A5389">
          <w:pPr>
            <w:spacing w:line="240" w:lineRule="auto"/>
          </w:pPr>
          <w:r w:rsidRPr="000D0101">
            <w:t xml:space="preserve">Términos de certeza de flujos de efectivo futuros: </w:t>
          </w:r>
          <w:r w:rsidRPr="000D0101">
            <w:rPr>
              <w:rStyle w:val="EncabezadoCar"/>
              <w:rFonts w:cs="Times New Roman"/>
              <w:szCs w:val="24"/>
            </w:rPr>
            <w:t>Tarifas: Aprobadas según la metodología establecida por la Superintendencia General de Puertos hoy Superintendencia de Transporte. Contraprestación portuaria: La contraprestación se debe pagar de manera anual anticipada, además es de indicar que por tratarse de un contrato cuya metodología de contraprestación corresponde a lo establecido en el CONPES 3744 de 2013 se debe pagar el último día del mes de febrero de cada año. Multas: Artículo Noveno de la Resolución 476/2018</w:t>
          </w:r>
        </w:p>
        <w:p w14:paraId="4846CAD0" w14:textId="77777777" w:rsidR="003D5DB4" w:rsidRPr="000D0101" w:rsidRDefault="003D5DB4" w:rsidP="000A5389">
          <w:pPr>
            <w:spacing w:line="240" w:lineRule="auto"/>
            <w:rPr>
              <w:lang w:val="es-MX"/>
            </w:rPr>
          </w:pPr>
          <w:r w:rsidRPr="000D0101">
            <w:rPr>
              <w:lang w:val="es-MX"/>
            </w:rPr>
            <w:t>c. Naturaleza y alcance del derecho a utilizar activos especificados y los aspectos pactados en torno a lo que se espera que el concesionario proporcione en relación con el acuerdo de concesión</w:t>
          </w:r>
        </w:p>
        <w:p w14:paraId="5EDF6514" w14:textId="77777777" w:rsidR="003D5DB4" w:rsidRPr="000D0101" w:rsidRDefault="003D5DB4" w:rsidP="000A5389">
          <w:pPr>
            <w:spacing w:line="240" w:lineRule="auto"/>
          </w:pPr>
        </w:p>
        <w:p w14:paraId="3B359019" w14:textId="77777777" w:rsidR="003D5DB4" w:rsidRPr="000D0101" w:rsidRDefault="003D5DB4" w:rsidP="000A5389">
          <w:pPr>
            <w:spacing w:line="240" w:lineRule="auto"/>
          </w:pPr>
          <w:r w:rsidRPr="000D0101">
            <w:t>Naturaleza y alcance del derecho de uso de los activos</w:t>
          </w:r>
        </w:p>
        <w:p w14:paraId="10E5F523" w14:textId="77777777" w:rsidR="003D5DB4" w:rsidRPr="000D0101" w:rsidRDefault="003D5DB4" w:rsidP="000A5389">
          <w:pPr>
            <w:spacing w:line="240" w:lineRule="auto"/>
          </w:pPr>
        </w:p>
        <w:p w14:paraId="60FA0253" w14:textId="77777777" w:rsidR="003D5DB4" w:rsidRPr="000D0101" w:rsidRDefault="003D5DB4" w:rsidP="000A5389">
          <w:pPr>
            <w:spacing w:line="240" w:lineRule="auto"/>
          </w:pPr>
          <w:r w:rsidRPr="000D0101">
            <w:t>Descripción: Descripción del proyecto, especificaciones técnicas, modalidades de operación: las condiciones especiales de operación del puerto están establecidas en el Artículo Segundo Resolución No. 0476 /2018, Numeral 1.1 Resolución No. 20243030015155 de 2024. Área entregada en concesión: La descripción de la ubicación, linderos y extensión de los bienes de uso público (playas y terrenos de baja mar, zonas marítimas accesorias de maniobras) entregados en concesión están establecidos en Artículo Segundo Resolución No. 0476/2018. Las áreas de la zona otorgada en concesión a la SOCIEDAD PORTUARIA OCEANOS S.A mediante las Resoluciones 476 de 2018, 20203030017095 de 2020 y 20223030018775 de 2022 permanecen sin alteraciones. Infraestructura y equipos entregados en concesión: En Artículo Segundo de la resolución, se describe que lo entregado en concesión fue un muelle marginal.</w:t>
          </w:r>
        </w:p>
        <w:p w14:paraId="72381659" w14:textId="77777777" w:rsidR="003D5DB4" w:rsidRPr="000D0101" w:rsidRDefault="003D5DB4" w:rsidP="000A5389">
          <w:pPr>
            <w:spacing w:line="240" w:lineRule="auto"/>
          </w:pPr>
          <w:r w:rsidRPr="000D0101">
            <w:t>Observaciones: N/A</w:t>
          </w:r>
        </w:p>
        <w:p w14:paraId="6CBE3942" w14:textId="77777777" w:rsidR="003D5DB4" w:rsidRPr="000D0101" w:rsidRDefault="003D5DB4" w:rsidP="000A5389">
          <w:pPr>
            <w:spacing w:line="240" w:lineRule="auto"/>
          </w:pPr>
        </w:p>
        <w:p w14:paraId="58A78C97" w14:textId="77777777" w:rsidR="003D5DB4" w:rsidRPr="000D0101" w:rsidRDefault="003D5DB4" w:rsidP="000A5389">
          <w:pPr>
            <w:spacing w:line="240" w:lineRule="auto"/>
          </w:pPr>
          <w:r w:rsidRPr="000D0101">
            <w:t>Retribución al concesionario</w:t>
          </w:r>
        </w:p>
        <w:p w14:paraId="2EC96130" w14:textId="77777777" w:rsidR="003D5DB4" w:rsidRPr="000D0101" w:rsidRDefault="003D5DB4" w:rsidP="000A5389">
          <w:pPr>
            <w:spacing w:line="240" w:lineRule="auto"/>
          </w:pPr>
        </w:p>
        <w:p w14:paraId="7EA22A3A" w14:textId="77777777" w:rsidR="003D5DB4" w:rsidRPr="000D0101" w:rsidRDefault="003D5DB4" w:rsidP="000A5389">
          <w:pPr>
            <w:spacing w:line="240" w:lineRule="auto"/>
          </w:pPr>
          <w:r w:rsidRPr="000D0101">
            <w:t>Descripción: Descripción:  En el Artículo Primero de la Resolución 476 de 2018 indica que se permite al CONCESIONARIO operar el muelle ubicado en la ciudad de Cartagena de Indias, Departamento de Bolívar, Albornoz vía Mamonal 1-504, en el cual se destinará al descargue y tránsito de camarón de cultivo que proviene de manera directa de las granjas de su propiedad u ocasionalmente de terceros proveedores y el desarrollo de actividades portuarias de servicio privado, a cambio a de la contraprestación económica</w:t>
          </w:r>
        </w:p>
        <w:p w14:paraId="2E3AF153" w14:textId="77777777" w:rsidR="003D5DB4" w:rsidRPr="000D0101" w:rsidRDefault="003D5DB4" w:rsidP="000A5389">
          <w:pPr>
            <w:spacing w:line="240" w:lineRule="auto"/>
          </w:pPr>
          <w:r w:rsidRPr="000D0101">
            <w:t>Tasa de retribución: N/A</w:t>
          </w:r>
        </w:p>
        <w:p w14:paraId="2648D98A" w14:textId="77777777" w:rsidR="003D5DB4" w:rsidRPr="000D0101" w:rsidRDefault="003D5DB4" w:rsidP="000A5389">
          <w:pPr>
            <w:spacing w:line="240" w:lineRule="auto"/>
          </w:pPr>
        </w:p>
        <w:p w14:paraId="53CE5B8C" w14:textId="77777777" w:rsidR="003D5DB4" w:rsidRPr="000D0101" w:rsidRDefault="003D5DB4" w:rsidP="000A5389">
          <w:pPr>
            <w:spacing w:line="240" w:lineRule="auto"/>
          </w:pPr>
          <w:r w:rsidRPr="000D0101">
            <w:t>d. Derechos a recibir activos especificados al final del acuerdo de concesión</w:t>
          </w:r>
        </w:p>
        <w:p w14:paraId="2E9AF096" w14:textId="77777777" w:rsidR="003D5DB4" w:rsidRPr="000D0101" w:rsidRDefault="003D5DB4" w:rsidP="000A5389">
          <w:pPr>
            <w:spacing w:line="240" w:lineRule="auto"/>
          </w:pPr>
        </w:p>
        <w:p w14:paraId="090C8575" w14:textId="77777777" w:rsidR="003D5DB4" w:rsidRPr="000D0101" w:rsidRDefault="003D5DB4" w:rsidP="000A5389">
          <w:pPr>
            <w:spacing w:line="240" w:lineRule="auto"/>
          </w:pPr>
          <w:r w:rsidRPr="000D0101">
            <w:t>Descripción: Descripción: De acuerdo con el Artículo 8º de la Ley 1 de 1991 en el modo portuario el concesionario no tiene derechos finales sobre activos los debe revertir a la Nación al final del contrato de concesión.</w:t>
          </w:r>
        </w:p>
        <w:p w14:paraId="4068A09C" w14:textId="77777777" w:rsidR="003D5DB4" w:rsidRPr="000D0101" w:rsidRDefault="003D5DB4" w:rsidP="000A5389">
          <w:pPr>
            <w:spacing w:line="240" w:lineRule="auto"/>
          </w:pPr>
        </w:p>
        <w:p w14:paraId="08E668FA" w14:textId="77777777" w:rsidR="003D5DB4" w:rsidRPr="000D0101" w:rsidRDefault="003D5DB4" w:rsidP="000A5389">
          <w:pPr>
            <w:spacing w:line="240" w:lineRule="auto"/>
          </w:pPr>
        </w:p>
        <w:p w14:paraId="0A55EC4E" w14:textId="77777777" w:rsidR="003D5DB4" w:rsidRPr="000D0101" w:rsidRDefault="003D5DB4" w:rsidP="000A5389">
          <w:pPr>
            <w:spacing w:line="240" w:lineRule="auto"/>
          </w:pPr>
          <w:r w:rsidRPr="000D0101">
            <w:t>Observaciones: Reversión: De acuerdo con lo establecido en el artículo decimo de la resolución para embarcadero, todas las construcciones e inmuebles por destinación, que se encuentren instalados en la zona de uso público otorgada en concesión revertirán gratuitamente por el Concesionario. Para tal fin, en el momento de la reversión el CONCESIONARIO elaborará un inventario de los bienes y los enviará para su revisión y aprobación. La ANI es la entidad concedente pero la titularidad de los activos al final de la concesión es del Instituto Nacional de Vías INVIAS.</w:t>
          </w:r>
        </w:p>
        <w:p w14:paraId="1D5729A1" w14:textId="77777777" w:rsidR="003D5DB4" w:rsidRPr="000D0101" w:rsidRDefault="003D5DB4" w:rsidP="000A5389">
          <w:pPr>
            <w:spacing w:line="240" w:lineRule="auto"/>
          </w:pPr>
          <w:r w:rsidRPr="000D0101">
            <w:t>e. Las alternativas de renovación y cese del Acuerdo</w:t>
          </w:r>
        </w:p>
        <w:p w14:paraId="33E4CF4B" w14:textId="77777777" w:rsidR="003D5DB4" w:rsidRPr="000D0101" w:rsidRDefault="003D5DB4" w:rsidP="000A5389">
          <w:pPr>
            <w:spacing w:line="240" w:lineRule="auto"/>
          </w:pPr>
        </w:p>
        <w:p w14:paraId="6BF146DC" w14:textId="77777777" w:rsidR="003D5DB4" w:rsidRPr="000D0101" w:rsidRDefault="003D5DB4" w:rsidP="000A5389">
          <w:pPr>
            <w:spacing w:line="240" w:lineRule="auto"/>
          </w:pPr>
          <w:r w:rsidRPr="000D0101">
            <w:t>Descripción: Resolución 20243030015155 de 2024, por la cual se otorga concesión para embarcadero por un término de 2 años</w:t>
          </w:r>
        </w:p>
        <w:p w14:paraId="2238653A" w14:textId="77777777" w:rsidR="003D5DB4" w:rsidRPr="000D0101" w:rsidRDefault="003D5DB4" w:rsidP="000A5389">
          <w:pPr>
            <w:spacing w:line="240" w:lineRule="auto"/>
          </w:pPr>
          <w:r w:rsidRPr="000D0101">
            <w:t>Observaciones: N/A</w:t>
          </w:r>
        </w:p>
        <w:p w14:paraId="68902CEC" w14:textId="77777777" w:rsidR="003D5DB4" w:rsidRPr="000D0101" w:rsidRDefault="003D5DB4" w:rsidP="000A5389">
          <w:pPr>
            <w:spacing w:line="240" w:lineRule="auto"/>
          </w:pPr>
        </w:p>
        <w:p w14:paraId="7E18452E" w14:textId="77777777" w:rsidR="003D5DB4" w:rsidRPr="000D0101" w:rsidRDefault="003D5DB4" w:rsidP="000A5389">
          <w:pPr>
            <w:spacing w:line="240" w:lineRule="auto"/>
            <w:rPr>
              <w:lang w:val="es-MX"/>
            </w:rPr>
          </w:pPr>
          <w:r w:rsidRPr="000D0101">
            <w:rPr>
              <w:lang w:val="es-MX"/>
            </w:rPr>
            <w:t>f. Cambios en el acuerdo de concesión que se realicen durante el periodo fiscal</w:t>
          </w:r>
        </w:p>
        <w:p w14:paraId="0422E1B0" w14:textId="77777777" w:rsidR="003D5DB4" w:rsidRPr="000D0101" w:rsidRDefault="003D5DB4" w:rsidP="000A5389">
          <w:pPr>
            <w:spacing w:line="240" w:lineRule="auto"/>
          </w:pPr>
        </w:p>
        <w:p w14:paraId="4938C6AC" w14:textId="77777777" w:rsidR="003D5DB4" w:rsidRPr="000D0101" w:rsidRDefault="003D5DB4" w:rsidP="000A5389">
          <w:pPr>
            <w:spacing w:line="240" w:lineRule="auto"/>
          </w:pPr>
          <w:r w:rsidRPr="000D0101">
            <w:t>Adiciones o modificaciones en tiempo</w:t>
          </w:r>
        </w:p>
        <w:p w14:paraId="222A94FF" w14:textId="77777777" w:rsidR="003D5DB4" w:rsidRPr="000D0101" w:rsidRDefault="003D5DB4" w:rsidP="000A5389">
          <w:pPr>
            <w:spacing w:line="240" w:lineRule="auto"/>
          </w:pPr>
          <w:r w:rsidRPr="000D0101">
            <w:t xml:space="preserve">Fechas de las adiciones o modificaciones: </w:t>
          </w:r>
          <w:r w:rsidRPr="000D0101">
            <w:rPr>
              <w:rStyle w:val="Estilo6"/>
              <w:rFonts w:cs="Times New Roman"/>
              <w:szCs w:val="24"/>
            </w:rPr>
            <w:t>22/11/2024</w:t>
          </w:r>
        </w:p>
        <w:p w14:paraId="56A2AC50" w14:textId="77777777" w:rsidR="003D5DB4" w:rsidRPr="000D0101" w:rsidRDefault="003D5DB4" w:rsidP="000A5389">
          <w:pPr>
            <w:spacing w:line="240" w:lineRule="auto"/>
          </w:pPr>
          <w:r w:rsidRPr="000D0101">
            <w:t xml:space="preserve">Nueva fecha de finalización estimada: </w:t>
          </w:r>
          <w:r w:rsidRPr="000D0101">
            <w:rPr>
              <w:rStyle w:val="Estilo6"/>
              <w:rFonts w:cs="Times New Roman"/>
              <w:szCs w:val="24"/>
            </w:rPr>
            <w:t>22/11/2026</w:t>
          </w:r>
        </w:p>
        <w:p w14:paraId="39B96350" w14:textId="77777777" w:rsidR="003D5DB4" w:rsidRPr="000D0101" w:rsidRDefault="003D5DB4" w:rsidP="000A5389">
          <w:pPr>
            <w:spacing w:line="240" w:lineRule="auto"/>
          </w:pPr>
          <w:r w:rsidRPr="000D0101">
            <w:t>Observaciones: N/A</w:t>
          </w:r>
        </w:p>
        <w:p w14:paraId="1823BD45" w14:textId="77777777" w:rsidR="003D5DB4" w:rsidRPr="000D0101" w:rsidRDefault="003D5DB4" w:rsidP="000A5389">
          <w:pPr>
            <w:spacing w:line="240" w:lineRule="auto"/>
          </w:pPr>
          <w:r w:rsidRPr="000D0101">
            <w:t>Adiciones o modificaciones en valor</w:t>
          </w:r>
        </w:p>
        <w:p w14:paraId="2E20C54D" w14:textId="77777777" w:rsidR="003D5DB4" w:rsidRPr="000D0101" w:rsidRDefault="003D5DB4" w:rsidP="000A5389">
          <w:pPr>
            <w:spacing w:line="240" w:lineRule="auto"/>
          </w:pPr>
          <w:r w:rsidRPr="000D0101">
            <w:t>Valor de la adición o modificación: N/A</w:t>
          </w:r>
        </w:p>
        <w:p w14:paraId="3A3DEE85" w14:textId="77777777" w:rsidR="003D5DB4" w:rsidRPr="000D0101" w:rsidRDefault="003D5DB4" w:rsidP="000A5389">
          <w:pPr>
            <w:spacing w:line="240" w:lineRule="auto"/>
          </w:pPr>
        </w:p>
        <w:p w14:paraId="74F42C18" w14:textId="77777777" w:rsidR="003D5DB4" w:rsidRPr="000D0101" w:rsidRDefault="003D5DB4" w:rsidP="000A5389">
          <w:pPr>
            <w:spacing w:line="240" w:lineRule="auto"/>
          </w:pPr>
          <w:r w:rsidRPr="000D0101">
            <w:t>Nuevo valor del acuerdo: Resolución 20243030015155 de 2024. ARTICULO TERCERO: VALOR DEL CONTRATO Y DE LA CONTRAPRESTACIÓN. El valor de la concesión portuaria para embarcadero será el valor presente de las contraprestaciones descontadas a la tasa WACC del 12% real, tasadas a la SOCIEDAD PORTUARIA OCEANOS S.A. para todos los efectos y sin perjuicio de la naturaleza de la fórmula de cálculo de la contraprestación, el valor de referencia de la concesión portuaria para embarcadero será la suma de OCHENTA Y SEIS MIL SETECIENTOS OCHENTA Y CUATRO DÓLARES DE LOS ESTADOS UNIDOS DE AMÉRICA (USD 86.784).</w:t>
          </w:r>
        </w:p>
        <w:p w14:paraId="564C955F" w14:textId="77777777" w:rsidR="003D5DB4" w:rsidRPr="000D0101" w:rsidRDefault="003D5DB4" w:rsidP="000A5389">
          <w:pPr>
            <w:spacing w:line="240" w:lineRule="auto"/>
          </w:pPr>
          <w:r w:rsidRPr="000D0101">
            <w:t>Observaciones: N/A</w:t>
          </w:r>
        </w:p>
        <w:p w14:paraId="530B32B4" w14:textId="77777777" w:rsidR="003D5DB4" w:rsidRPr="000D0101" w:rsidRDefault="003D5DB4" w:rsidP="000A5389">
          <w:pPr>
            <w:spacing w:line="240" w:lineRule="auto"/>
          </w:pPr>
        </w:p>
        <w:p w14:paraId="6FA51162" w14:textId="77777777" w:rsidR="003D5DB4" w:rsidRPr="000D0101" w:rsidRDefault="003D5DB4" w:rsidP="000A5389">
          <w:pPr>
            <w:spacing w:line="240" w:lineRule="auto"/>
            <w:rPr>
              <w:rFonts w:eastAsia="Times New Roman"/>
              <w:lang w:eastAsia="es-CO"/>
            </w:rPr>
          </w:pPr>
        </w:p>
        <w:p w14:paraId="2A98CF52" w14:textId="77777777" w:rsidR="003D5DB4" w:rsidRPr="00EE35D4" w:rsidRDefault="003D5DB4" w:rsidP="000A5389">
          <w:pPr>
            <w:spacing w:line="240" w:lineRule="auto"/>
            <w:rPr>
              <w:rFonts w:eastAsia="Times New Roman"/>
              <w:i/>
              <w:iCs/>
              <w:lang w:eastAsia="es-CO"/>
            </w:rPr>
          </w:pPr>
          <w:r w:rsidRPr="00EE35D4">
            <w:rPr>
              <w:rFonts w:eastAsia="Times New Roman"/>
              <w:i/>
              <w:iCs/>
              <w:lang w:eastAsia="es-CO"/>
            </w:rPr>
            <w:t xml:space="preserve">SOCIEDAD PORTUARIA OLEFINAS Y DERIVADOS S.A. </w:t>
          </w:r>
        </w:p>
        <w:p w14:paraId="435633DD" w14:textId="77777777" w:rsidR="003D5DB4" w:rsidRPr="000D0101" w:rsidRDefault="003D5DB4" w:rsidP="000A5389">
          <w:pPr>
            <w:spacing w:line="240" w:lineRule="auto"/>
          </w:pPr>
        </w:p>
        <w:p w14:paraId="5D106C2A" w14:textId="77777777" w:rsidR="003D5DB4" w:rsidRPr="000D0101" w:rsidRDefault="003D5DB4" w:rsidP="000A5389">
          <w:pPr>
            <w:spacing w:line="240" w:lineRule="auto"/>
          </w:pPr>
          <w:r w:rsidRPr="000D0101">
            <w:t>a. Descripción del Acuerdo</w:t>
          </w:r>
        </w:p>
        <w:p w14:paraId="5A128104" w14:textId="77777777" w:rsidR="003D5DB4" w:rsidRPr="000D0101" w:rsidRDefault="003D5DB4" w:rsidP="000A5389">
          <w:pPr>
            <w:spacing w:line="240" w:lineRule="auto"/>
          </w:pPr>
        </w:p>
        <w:p w14:paraId="12EC56AA" w14:textId="77777777" w:rsidR="003D5DB4" w:rsidRPr="000D0101" w:rsidRDefault="003D5DB4" w:rsidP="000A5389">
          <w:pPr>
            <w:spacing w:line="240" w:lineRule="auto"/>
          </w:pPr>
          <w:r w:rsidRPr="000D0101">
            <w:t>Número del Acuerdo de concesión: 003 de 2007</w:t>
          </w:r>
        </w:p>
        <w:p w14:paraId="0FC573EE" w14:textId="77777777" w:rsidR="003D5DB4" w:rsidRPr="000D0101" w:rsidRDefault="003D5DB4" w:rsidP="000A5389">
          <w:pPr>
            <w:spacing w:line="240" w:lineRule="auto"/>
          </w:pPr>
        </w:p>
        <w:p w14:paraId="24FD1F78" w14:textId="77777777" w:rsidR="003D5DB4" w:rsidRPr="000D0101" w:rsidRDefault="003D5DB4" w:rsidP="000A5389">
          <w:pPr>
            <w:spacing w:line="240" w:lineRule="auto"/>
          </w:pPr>
          <w:r w:rsidRPr="000D0101">
            <w:t xml:space="preserve">Objeto / Descripción: En virtud del Contrato de concesión y sus modificaciones, se permite al CONCESIONARIO ocupar y utilizar en forma temporal y exclusiva las playas, los terrenos de bajamar y las zonas accesorias a aquellas o estos, para la operación de unas </w:t>
          </w:r>
          <w:r w:rsidRPr="000D0101">
            <w:lastRenderedPageBreak/>
            <w:t>instalaciones portuarias construidas, ubicadas en la bahía de Cartagena y el desarrollo de actividades portuarias de servicio público, conforme lo establece la Cláusula Primera del Contrato.</w:t>
          </w:r>
        </w:p>
        <w:p w14:paraId="1DAD064D" w14:textId="77777777" w:rsidR="003D5DB4" w:rsidRPr="000D0101" w:rsidRDefault="003D5DB4" w:rsidP="000A5389">
          <w:pPr>
            <w:spacing w:line="240" w:lineRule="auto"/>
          </w:pPr>
        </w:p>
        <w:p w14:paraId="11D78B4C" w14:textId="77777777" w:rsidR="003D5DB4" w:rsidRPr="000D0101" w:rsidRDefault="003D5DB4" w:rsidP="000A5389">
          <w:pPr>
            <w:spacing w:line="240" w:lineRule="auto"/>
          </w:pPr>
          <w:r w:rsidRPr="000D0101">
            <w:t>Valor inicial:</w:t>
          </w:r>
          <w:r w:rsidRPr="000D0101">
            <w:tab/>
            <w:t>USD $862.028 Cláusula Octava del Contrato No 003 de 2007</w:t>
          </w:r>
        </w:p>
        <w:p w14:paraId="1507957D" w14:textId="77777777" w:rsidR="003D5DB4" w:rsidRPr="000D0101" w:rsidRDefault="003D5DB4" w:rsidP="000A5389">
          <w:pPr>
            <w:spacing w:line="240" w:lineRule="auto"/>
          </w:pPr>
        </w:p>
        <w:p w14:paraId="5EFE9CB2" w14:textId="77777777" w:rsidR="003D5DB4" w:rsidRPr="000D0101" w:rsidRDefault="003D5DB4" w:rsidP="000A5389">
          <w:pPr>
            <w:spacing w:line="240" w:lineRule="auto"/>
          </w:pPr>
          <w:r w:rsidRPr="000D0101">
            <w:t>Fecha de inicio: 21/03/2007</w:t>
          </w:r>
        </w:p>
        <w:p w14:paraId="68CE5305" w14:textId="77777777" w:rsidR="003D5DB4" w:rsidRPr="000D0101" w:rsidRDefault="003D5DB4" w:rsidP="000A5389">
          <w:pPr>
            <w:spacing w:line="240" w:lineRule="auto"/>
          </w:pPr>
          <w:r w:rsidRPr="000D0101">
            <w:t>Fecha de finalización estimada: 20/03/2027</w:t>
          </w:r>
        </w:p>
        <w:p w14:paraId="4E53D868" w14:textId="77777777" w:rsidR="003D5DB4" w:rsidRPr="000D0101" w:rsidRDefault="003D5DB4" w:rsidP="000A5389">
          <w:pPr>
            <w:spacing w:line="240" w:lineRule="auto"/>
          </w:pPr>
          <w:r w:rsidRPr="000D0101">
            <w:t>Tipo ID: NIT</w:t>
          </w:r>
        </w:p>
        <w:p w14:paraId="01A1F5B6" w14:textId="77777777" w:rsidR="003D5DB4" w:rsidRPr="000D0101" w:rsidRDefault="003D5DB4" w:rsidP="000A5389">
          <w:pPr>
            <w:spacing w:line="240" w:lineRule="auto"/>
          </w:pPr>
          <w:r w:rsidRPr="000D0101">
            <w:t>Número ID: 806.016.414-1</w:t>
          </w:r>
        </w:p>
        <w:p w14:paraId="3D5BF81F" w14:textId="77777777" w:rsidR="003D5DB4" w:rsidRPr="000D0101" w:rsidRDefault="003D5DB4" w:rsidP="000A5389">
          <w:pPr>
            <w:spacing w:line="240" w:lineRule="auto"/>
          </w:pPr>
          <w:r w:rsidRPr="000D0101">
            <w:t>Razón social del concesionario: Sociedad Portuaria Olefinas y Derivados S.A</w:t>
          </w:r>
        </w:p>
        <w:p w14:paraId="0C4A8F2A" w14:textId="77777777" w:rsidR="003D5DB4" w:rsidRPr="000D0101" w:rsidRDefault="003D5DB4" w:rsidP="000A5389">
          <w:pPr>
            <w:spacing w:line="240" w:lineRule="auto"/>
          </w:pPr>
          <w:r w:rsidRPr="000D0101">
            <w:t>Nombre del proyecto: Sociedad Portuaria Olefinas y Derivados S.A</w:t>
          </w:r>
        </w:p>
        <w:p w14:paraId="2362EB4B" w14:textId="77777777" w:rsidR="003D5DB4" w:rsidRPr="000D0101" w:rsidRDefault="003D5DB4" w:rsidP="000A5389">
          <w:pPr>
            <w:spacing w:line="240" w:lineRule="auto"/>
          </w:pPr>
        </w:p>
        <w:p w14:paraId="24E95618" w14:textId="77777777" w:rsidR="003D5DB4" w:rsidRPr="000D0101" w:rsidRDefault="003D5DB4" w:rsidP="000A5389">
          <w:pPr>
            <w:spacing w:line="240" w:lineRule="auto"/>
          </w:pPr>
          <w:r w:rsidRPr="000D0101">
            <w:t>b. Términos significativos del Acuerdo que puedan afectar su valor, el calendario y la certeza de los flujos de efectivo futuros</w:t>
          </w:r>
        </w:p>
        <w:p w14:paraId="269892E3" w14:textId="77777777" w:rsidR="003D5DB4" w:rsidRPr="000D0101" w:rsidRDefault="003D5DB4" w:rsidP="000A5389">
          <w:pPr>
            <w:spacing w:line="240" w:lineRule="auto"/>
          </w:pPr>
        </w:p>
        <w:p w14:paraId="4647E2D6" w14:textId="77777777" w:rsidR="003D5DB4" w:rsidRPr="000D0101" w:rsidRDefault="003D5DB4" w:rsidP="000A5389">
          <w:pPr>
            <w:spacing w:line="240" w:lineRule="auto"/>
          </w:pPr>
          <w:r w:rsidRPr="000D0101">
            <w:t>Términos de valor:</w:t>
          </w:r>
          <w:r w:rsidRPr="000D0101">
            <w:tab/>
            <w:t>1: Tarifas: Al ser el terminal marítimo de servicio público la Ley 1 de 1991 establece: las sociedades portuarias que operan puertos de servicio público las tarifas requieren ser aprobadas según la metodología establecida por la Superintendencia General de Puertos hoy Superintendencia de Transporte.</w:t>
          </w:r>
        </w:p>
        <w:p w14:paraId="4ED5F373" w14:textId="77777777" w:rsidR="003D5DB4" w:rsidRPr="000D0101" w:rsidRDefault="003D5DB4" w:rsidP="000A5389">
          <w:pPr>
            <w:spacing w:line="240" w:lineRule="auto"/>
          </w:pPr>
        </w:p>
        <w:p w14:paraId="00E9561A" w14:textId="77777777" w:rsidR="003D5DB4" w:rsidRPr="000D0101" w:rsidRDefault="003D5DB4" w:rsidP="000A5389">
          <w:pPr>
            <w:spacing w:line="240" w:lineRule="auto"/>
          </w:pPr>
          <w:r w:rsidRPr="000D0101">
            <w:t xml:space="preserve">2. Contraprestación portuaria: De acuerdo con el último documento contractual vigente la metodología de contraprestación vigente es CONPES 2680 DE 1993 (Productividad). Se establece en la Cláusula Octava del Contrato que el CONCESIONARIO deberá pagar por concepto de zona de uso público la suma anual de (USD 98.614,00), de dicho pago el 80% le corresponde a la Nación Instituto nacional de vías (INVIAS) y el 20% restante al distrito de Cartagena de acuerdo con lo establecido en el parágrafo 1 del artículo 1 de la ley 856 del 21 de diciembre de 2003, que modifica el artículo 7 de la ley 1ª de 1991. Así mismo, por concepto de infraestructura el CONCESIONARIO deberá pagar la suma anual de (USD 4.429,00), el cual corresponde en un 100% a la Nación - Instituto Nacional de Vías (INVIAS) de acuerdo con lo establecido en el artículo 1 de la ley 856 del 21 diciembre de 2003. </w:t>
          </w:r>
        </w:p>
        <w:p w14:paraId="1298D653" w14:textId="77777777" w:rsidR="003D5DB4" w:rsidRPr="000D0101" w:rsidRDefault="003D5DB4" w:rsidP="000A5389">
          <w:pPr>
            <w:spacing w:line="240" w:lineRule="auto"/>
          </w:pPr>
        </w:p>
        <w:p w14:paraId="0C62EE72" w14:textId="77777777" w:rsidR="003D5DB4" w:rsidRPr="000D0101" w:rsidRDefault="003D5DB4" w:rsidP="000A5389">
          <w:pPr>
            <w:spacing w:line="240" w:lineRule="auto"/>
          </w:pPr>
          <w:r w:rsidRPr="000D0101">
            <w:t xml:space="preserve">3. Plan de Inversiones: está establecido en la Cláusula Séptima del contrato, el plan de inversión será de USD $782.473,00. Obras Adicionales: Mediante Otrosí No. 02 de 2021 se autorizaron obras adicionales a cuenta y riesgo del Concesionario por un valor estimado de USD 1.226.810 dólares UN MILLÓN DOSCIENTOS VEINTISÉIS MIL OCHOCIENTOS DIEZ DÓLARES CORRIENTES. </w:t>
          </w:r>
        </w:p>
        <w:p w14:paraId="4A62448C" w14:textId="77777777" w:rsidR="003D5DB4" w:rsidRPr="000D0101" w:rsidRDefault="003D5DB4" w:rsidP="000A5389">
          <w:pPr>
            <w:spacing w:line="240" w:lineRule="auto"/>
          </w:pPr>
        </w:p>
        <w:p w14:paraId="36EC88BD" w14:textId="77777777" w:rsidR="003D5DB4" w:rsidRPr="000D0101" w:rsidRDefault="003D5DB4" w:rsidP="000A5389">
          <w:pPr>
            <w:spacing w:line="240" w:lineRule="auto"/>
          </w:pPr>
          <w:r w:rsidRPr="000D0101">
            <w:t xml:space="preserve">4. Obligaciones del CONCESIONARIO: se encuentran descritas en la cláusula décima quinta. </w:t>
          </w:r>
        </w:p>
        <w:p w14:paraId="2B467C99" w14:textId="77777777" w:rsidR="003D5DB4" w:rsidRPr="000D0101" w:rsidRDefault="003D5DB4" w:rsidP="000A5389">
          <w:pPr>
            <w:spacing w:line="240" w:lineRule="auto"/>
          </w:pPr>
        </w:p>
        <w:p w14:paraId="4A26CD6D" w14:textId="77777777" w:rsidR="003D5DB4" w:rsidRPr="000D0101" w:rsidRDefault="003D5DB4" w:rsidP="000A5389">
          <w:pPr>
            <w:spacing w:line="240" w:lineRule="auto"/>
          </w:pPr>
          <w:r w:rsidRPr="000D0101">
            <w:t xml:space="preserve">5. Multas y sanciones: están establecidas en la Cláusula Décima Octava. </w:t>
          </w:r>
        </w:p>
        <w:p w14:paraId="4DA3B240" w14:textId="77777777" w:rsidR="003D5DB4" w:rsidRPr="000D0101" w:rsidRDefault="003D5DB4" w:rsidP="000A5389">
          <w:pPr>
            <w:spacing w:line="240" w:lineRule="auto"/>
          </w:pPr>
        </w:p>
        <w:p w14:paraId="1BFA316C" w14:textId="77777777" w:rsidR="003D5DB4" w:rsidRPr="000D0101" w:rsidRDefault="003D5DB4" w:rsidP="000A5389">
          <w:pPr>
            <w:spacing w:line="240" w:lineRule="auto"/>
          </w:pPr>
          <w:r w:rsidRPr="000D0101">
            <w:lastRenderedPageBreak/>
            <w:t>6. Penal pecuniaria: En la cláusula décima novena se establece que en el evento en que el INCO hoy ANI declare la caducidad o el incumplimiento del presente contrato se podrá imponer una penalidad pecuniaria.</w:t>
          </w:r>
        </w:p>
        <w:p w14:paraId="6846AC7C" w14:textId="77777777" w:rsidR="003D5DB4" w:rsidRPr="000D0101" w:rsidRDefault="003D5DB4" w:rsidP="000A5389">
          <w:pPr>
            <w:spacing w:line="240" w:lineRule="auto"/>
          </w:pPr>
        </w:p>
        <w:p w14:paraId="7A541059" w14:textId="77777777" w:rsidR="003D5DB4" w:rsidRPr="000D0101" w:rsidRDefault="003D5DB4" w:rsidP="000A5389">
          <w:pPr>
            <w:spacing w:line="240" w:lineRule="auto"/>
          </w:pPr>
          <w:r w:rsidRPr="000D0101">
            <w:t xml:space="preserve">Términos de calendario: 1: Tarifas: Aprobadas según la metodología establecida por la Superintendencia General de Puertos hoy Superintendencia de Transporte. </w:t>
          </w:r>
        </w:p>
        <w:p w14:paraId="0604177A" w14:textId="77777777" w:rsidR="003D5DB4" w:rsidRPr="000D0101" w:rsidRDefault="003D5DB4" w:rsidP="000A5389">
          <w:pPr>
            <w:spacing w:line="240" w:lineRule="auto"/>
          </w:pPr>
        </w:p>
        <w:p w14:paraId="66056195" w14:textId="77777777" w:rsidR="003D5DB4" w:rsidRPr="000D0101" w:rsidRDefault="003D5DB4" w:rsidP="000A5389">
          <w:pPr>
            <w:spacing w:line="240" w:lineRule="auto"/>
          </w:pPr>
          <w:r w:rsidRPr="000D0101">
            <w:t xml:space="preserve">2. Contraprestación portuaria: la contraprestación se debe pagar de manera anual anticipada desde el mes de marzo de cada año. </w:t>
          </w:r>
        </w:p>
        <w:p w14:paraId="777D8F28" w14:textId="77777777" w:rsidR="003D5DB4" w:rsidRPr="000D0101" w:rsidRDefault="003D5DB4" w:rsidP="000A5389">
          <w:pPr>
            <w:spacing w:line="240" w:lineRule="auto"/>
          </w:pPr>
        </w:p>
        <w:p w14:paraId="26E9DF4E" w14:textId="77777777" w:rsidR="003D5DB4" w:rsidRPr="000D0101" w:rsidRDefault="003D5DB4" w:rsidP="000A5389">
          <w:pPr>
            <w:spacing w:line="240" w:lineRule="auto"/>
          </w:pPr>
          <w:r w:rsidRPr="000D0101">
            <w:t>3.Plan de inversiones: Se estableció en la cláusula Séptima la ejecución de inversiones durante los 20 años de la concesión consistentes en adecuaciones y mejoramientos de las instalaciones portuarias existentes.</w:t>
          </w:r>
        </w:p>
        <w:p w14:paraId="75286ADB" w14:textId="77777777" w:rsidR="003D5DB4" w:rsidRPr="000D0101" w:rsidRDefault="003D5DB4" w:rsidP="000A5389">
          <w:pPr>
            <w:spacing w:line="240" w:lineRule="auto"/>
          </w:pPr>
        </w:p>
        <w:p w14:paraId="2A984441" w14:textId="77777777" w:rsidR="003D5DB4" w:rsidRPr="000D0101" w:rsidRDefault="003D5DB4" w:rsidP="000A5389">
          <w:pPr>
            <w:spacing w:line="240" w:lineRule="auto"/>
          </w:pPr>
          <w:r w:rsidRPr="000D0101">
            <w:t>4.Multas: Cláusula Décima Octava contrato 003 de 2007.</w:t>
          </w:r>
        </w:p>
        <w:p w14:paraId="2E7F2C49" w14:textId="77777777" w:rsidR="003D5DB4" w:rsidRPr="000D0101" w:rsidRDefault="003D5DB4" w:rsidP="000A5389">
          <w:pPr>
            <w:spacing w:line="240" w:lineRule="auto"/>
          </w:pPr>
        </w:p>
        <w:p w14:paraId="5FD2A89C" w14:textId="77777777" w:rsidR="003D5DB4" w:rsidRPr="000D0101" w:rsidRDefault="003D5DB4" w:rsidP="000A5389">
          <w:pPr>
            <w:spacing w:line="240" w:lineRule="auto"/>
          </w:pPr>
          <w:r w:rsidRPr="000D0101">
            <w:t>Términos de certeza de flujos de efectivo futuros: Se otorga a EL CONCESIONARIO el derecho de ocupar y utilizar en forma temporal y exclusiva las playas, los terrenos de bajamar y zonas accesorias a aquellas o estos, descritos en la cláusula segunda del contrato, a cambio de la contraprestación establecida en la Clausula Octava del contrato. Cláusula Octava indica que del valor a pagar por concepto de contraprestación por Zona de Uso público el 80% le corresponde a la Nación-INVIAS y el 20 % al Distrito turístico de Cartagena de Indias y por Infraestructura el 100% a la Nación-INVIAS.</w:t>
          </w:r>
        </w:p>
        <w:p w14:paraId="2F9B5C70" w14:textId="77777777" w:rsidR="003D5DB4" w:rsidRPr="000D0101" w:rsidRDefault="003D5DB4" w:rsidP="000A5389">
          <w:pPr>
            <w:spacing w:line="240" w:lineRule="auto"/>
          </w:pPr>
        </w:p>
        <w:p w14:paraId="76360083" w14:textId="77777777" w:rsidR="003D5DB4" w:rsidRPr="000D0101" w:rsidRDefault="003D5DB4" w:rsidP="000A5389">
          <w:pPr>
            <w:spacing w:line="240" w:lineRule="auto"/>
          </w:pPr>
          <w:r w:rsidRPr="000D0101">
            <w:t>c. Naturaleza y alcance del derecho a utilizar Activos y los aspectos pactados en torno a lo que se espera que el concesionario proporcione en relación con el Acuerdo de concesión</w:t>
          </w:r>
        </w:p>
        <w:p w14:paraId="10BE9AE7" w14:textId="77777777" w:rsidR="003D5DB4" w:rsidRPr="000D0101" w:rsidRDefault="003D5DB4" w:rsidP="000A5389">
          <w:pPr>
            <w:spacing w:line="240" w:lineRule="auto"/>
          </w:pPr>
        </w:p>
        <w:p w14:paraId="7B494663" w14:textId="77777777" w:rsidR="003D5DB4" w:rsidRPr="000D0101" w:rsidRDefault="003D5DB4" w:rsidP="000A5389">
          <w:pPr>
            <w:spacing w:line="240" w:lineRule="auto"/>
          </w:pPr>
          <w:r w:rsidRPr="000D0101">
            <w:t>Naturaleza y alcance del derecho de uso de los Activos</w:t>
          </w:r>
        </w:p>
        <w:p w14:paraId="451E4631" w14:textId="77777777" w:rsidR="003D5DB4" w:rsidRPr="000D0101" w:rsidRDefault="003D5DB4" w:rsidP="000A5389">
          <w:pPr>
            <w:spacing w:line="240" w:lineRule="auto"/>
          </w:pPr>
        </w:p>
        <w:p w14:paraId="357793F4" w14:textId="77777777" w:rsidR="003D5DB4" w:rsidRPr="000D0101" w:rsidRDefault="003D5DB4" w:rsidP="000A5389">
          <w:pPr>
            <w:spacing w:line="240" w:lineRule="auto"/>
          </w:pPr>
          <w:r w:rsidRPr="000D0101">
            <w:t>Descripción:</w:t>
          </w:r>
          <w:r w:rsidRPr="000D0101">
            <w:tab/>
            <w:t xml:space="preserve">Activos reconocidos Descripción del proyecto, especificaciones técnicas, modalidades de operación: las condiciones especiales de operación del puerto están establecidas en la cláusula quinta. </w:t>
          </w:r>
        </w:p>
        <w:p w14:paraId="4773BC6D" w14:textId="77777777" w:rsidR="003D5DB4" w:rsidRPr="000D0101" w:rsidRDefault="003D5DB4" w:rsidP="000A5389">
          <w:pPr>
            <w:spacing w:line="240" w:lineRule="auto"/>
          </w:pPr>
        </w:p>
        <w:p w14:paraId="3E1071B2" w14:textId="77777777" w:rsidR="003D5DB4" w:rsidRPr="000D0101" w:rsidRDefault="003D5DB4" w:rsidP="000A5389">
          <w:pPr>
            <w:spacing w:line="240" w:lineRule="auto"/>
          </w:pPr>
          <w:r w:rsidRPr="000D0101">
            <w:t xml:space="preserve">Área entregada en concesión: La descripción de la ubicación, linderos y extensión de los bienes de uso público (playas y terrenos de baja mar y zonas accesorias) entregados en concesión están establecidos en la cláusula segunda. </w:t>
          </w:r>
        </w:p>
        <w:p w14:paraId="17E69A2D" w14:textId="77777777" w:rsidR="003D5DB4" w:rsidRPr="000D0101" w:rsidRDefault="003D5DB4" w:rsidP="000A5389">
          <w:pPr>
            <w:spacing w:line="240" w:lineRule="auto"/>
          </w:pPr>
        </w:p>
        <w:p w14:paraId="04B56207" w14:textId="77777777" w:rsidR="003D5DB4" w:rsidRPr="000D0101" w:rsidRDefault="003D5DB4" w:rsidP="000A5389">
          <w:pPr>
            <w:spacing w:line="240" w:lineRule="auto"/>
          </w:pPr>
          <w:r w:rsidRPr="000D0101">
            <w:t xml:space="preserve">Infraestructura y equipos entregados en concesión: En la cláusula segunda del Contrato (otrosí), se describe que lo entregado en concesión fue: </w:t>
          </w:r>
        </w:p>
        <w:p w14:paraId="3D7E6A6E" w14:textId="77777777" w:rsidR="003D5DB4" w:rsidRPr="000D0101" w:rsidRDefault="003D5DB4" w:rsidP="000A5389">
          <w:pPr>
            <w:spacing w:line="240" w:lineRule="auto"/>
          </w:pPr>
        </w:p>
        <w:p w14:paraId="35C5C72B" w14:textId="77777777" w:rsidR="003D5DB4" w:rsidRPr="000D0101" w:rsidRDefault="003D5DB4" w:rsidP="000A5389">
          <w:pPr>
            <w:spacing w:line="240" w:lineRule="auto"/>
          </w:pPr>
          <w:r w:rsidRPr="000D0101">
            <w:t>Infraestructura: Muelle tipo pantalán, plataforma de operaciones, dos brazos para el descargue de gases licuados, tres piñas de atraque, un muelle para embarcaciones menores, una caseta de vigilancia, un sistema contraincendios.</w:t>
          </w:r>
        </w:p>
        <w:p w14:paraId="7F7681DA" w14:textId="77777777" w:rsidR="003D5DB4" w:rsidRPr="000D0101" w:rsidRDefault="003D5DB4" w:rsidP="000A5389">
          <w:pPr>
            <w:spacing w:line="240" w:lineRule="auto"/>
          </w:pPr>
        </w:p>
        <w:p w14:paraId="0060821C" w14:textId="77777777" w:rsidR="003D5DB4" w:rsidRPr="000D0101" w:rsidRDefault="003D5DB4" w:rsidP="000A5389">
          <w:pPr>
            <w:spacing w:line="240" w:lineRule="auto"/>
          </w:pPr>
          <w:r w:rsidRPr="000D0101">
            <w:lastRenderedPageBreak/>
            <w:t>Observaciones: NA</w:t>
          </w:r>
        </w:p>
        <w:p w14:paraId="116C0DAB" w14:textId="77777777" w:rsidR="003D5DB4" w:rsidRPr="000D0101" w:rsidRDefault="003D5DB4" w:rsidP="000A5389">
          <w:pPr>
            <w:spacing w:line="240" w:lineRule="auto"/>
          </w:pPr>
        </w:p>
        <w:p w14:paraId="79551403" w14:textId="77777777" w:rsidR="003D5DB4" w:rsidRPr="000D0101" w:rsidRDefault="003D5DB4" w:rsidP="000A5389">
          <w:pPr>
            <w:spacing w:line="240" w:lineRule="auto"/>
          </w:pPr>
          <w:r w:rsidRPr="000D0101">
            <w:t>Retribución al concesionario</w:t>
          </w:r>
        </w:p>
        <w:p w14:paraId="4FEDBCD1" w14:textId="77777777" w:rsidR="003D5DB4" w:rsidRPr="000D0101" w:rsidRDefault="003D5DB4" w:rsidP="000A5389">
          <w:pPr>
            <w:spacing w:line="240" w:lineRule="auto"/>
          </w:pPr>
        </w:p>
        <w:p w14:paraId="6E718865" w14:textId="77777777" w:rsidR="003D5DB4" w:rsidRPr="000D0101" w:rsidRDefault="003D5DB4" w:rsidP="000A5389">
          <w:pPr>
            <w:spacing w:line="240" w:lineRule="auto"/>
          </w:pPr>
          <w:r w:rsidRPr="000D0101">
            <w:t>Descripción:</w:t>
          </w:r>
          <w:r w:rsidRPr="000D0101">
            <w:tab/>
            <w:t>Cláusula primera Contrato 003 de 2007: Se otorga a EL CONCESIONARIO el derecho de ocupar y utilizar en forma temporal y exclusiva las playas, los terrenos de bajamar y zonas accesorias a aquellas o estos, descritos en la cláusula segunda del contrato, a cambio de la contraprestación establecida en la Clausula Octava del contrato.</w:t>
          </w:r>
        </w:p>
        <w:p w14:paraId="148A8F2B" w14:textId="77777777" w:rsidR="003D5DB4" w:rsidRPr="000D0101" w:rsidRDefault="003D5DB4" w:rsidP="000A5389">
          <w:pPr>
            <w:spacing w:line="240" w:lineRule="auto"/>
          </w:pPr>
        </w:p>
        <w:p w14:paraId="22A31D7E" w14:textId="77777777" w:rsidR="003D5DB4" w:rsidRPr="000D0101" w:rsidRDefault="003D5DB4" w:rsidP="000A5389">
          <w:pPr>
            <w:spacing w:line="240" w:lineRule="auto"/>
          </w:pPr>
          <w:r w:rsidRPr="000D0101">
            <w:t>Tasa de retribución:</w:t>
          </w:r>
          <w:r w:rsidRPr="000D0101">
            <w:tab/>
            <w:t>NA</w:t>
          </w:r>
        </w:p>
        <w:p w14:paraId="66AF3F71" w14:textId="77777777" w:rsidR="003D5DB4" w:rsidRPr="000D0101" w:rsidRDefault="003D5DB4" w:rsidP="000A5389">
          <w:pPr>
            <w:spacing w:line="240" w:lineRule="auto"/>
          </w:pPr>
        </w:p>
        <w:p w14:paraId="6C21B5A1" w14:textId="77777777" w:rsidR="003D5DB4" w:rsidRPr="000D0101" w:rsidRDefault="003D5DB4" w:rsidP="000A5389">
          <w:pPr>
            <w:spacing w:line="240" w:lineRule="auto"/>
          </w:pPr>
          <w:r w:rsidRPr="000D0101">
            <w:t>d. Derechos a recibir Activos especificados al final del acuerdo de concesión</w:t>
          </w:r>
        </w:p>
        <w:p w14:paraId="6441CAB0" w14:textId="77777777" w:rsidR="003D5DB4" w:rsidRPr="000D0101" w:rsidRDefault="003D5DB4" w:rsidP="000A5389">
          <w:pPr>
            <w:spacing w:line="240" w:lineRule="auto"/>
          </w:pPr>
        </w:p>
        <w:p w14:paraId="4B099CAD" w14:textId="77777777" w:rsidR="003D5DB4" w:rsidRPr="000D0101" w:rsidRDefault="003D5DB4" w:rsidP="000A5389">
          <w:pPr>
            <w:spacing w:line="240" w:lineRule="auto"/>
          </w:pPr>
          <w:r w:rsidRPr="000D0101">
            <w:t>Descripción:</w:t>
          </w:r>
          <w:r w:rsidRPr="000D0101">
            <w:tab/>
            <w:t>De acuerdo con el Artículo 8º de la Ley 1 de 1991 en el modo portuario el concesionario no tiene derechos finales sobre activos los debe revertir a la Nación al final del contrato de concesión.</w:t>
          </w:r>
        </w:p>
        <w:p w14:paraId="4ACC716A" w14:textId="77777777" w:rsidR="003D5DB4" w:rsidRPr="000D0101" w:rsidRDefault="003D5DB4" w:rsidP="000A5389">
          <w:pPr>
            <w:spacing w:line="240" w:lineRule="auto"/>
          </w:pPr>
        </w:p>
        <w:p w14:paraId="2027BDCF" w14:textId="77777777" w:rsidR="003D5DB4" w:rsidRPr="000D0101" w:rsidRDefault="003D5DB4" w:rsidP="000A5389">
          <w:pPr>
            <w:spacing w:line="240" w:lineRule="auto"/>
          </w:pPr>
          <w:r w:rsidRPr="000D0101">
            <w:t xml:space="preserve">Observaciones: Reversión: De acuerdo con lo establecido en la cláusula Decimo Segunda del contrato de concesión, todas las construcciones e inmuebles por destinación, que se encuentren instalados en la zona de uso público otorgada en concesión revertirán gratuitamente por el Concesionario. </w:t>
          </w:r>
        </w:p>
        <w:p w14:paraId="2FA980EC" w14:textId="77777777" w:rsidR="003D5DB4" w:rsidRPr="000D0101" w:rsidRDefault="003D5DB4" w:rsidP="000A5389">
          <w:pPr>
            <w:spacing w:line="240" w:lineRule="auto"/>
          </w:pPr>
        </w:p>
        <w:p w14:paraId="14C3A598" w14:textId="77777777" w:rsidR="003D5DB4" w:rsidRPr="000D0101" w:rsidRDefault="003D5DB4" w:rsidP="000A5389">
          <w:pPr>
            <w:spacing w:line="240" w:lineRule="auto"/>
          </w:pPr>
          <w:r w:rsidRPr="000D0101">
            <w:t xml:space="preserve">Para tal fin, en el momento de la reversión el CONCESIONARIO elaborará un inventario de los bienes y los enviará para su revisión y aprobación. </w:t>
          </w:r>
        </w:p>
        <w:p w14:paraId="30B4731D" w14:textId="77777777" w:rsidR="003D5DB4" w:rsidRPr="000D0101" w:rsidRDefault="003D5DB4" w:rsidP="000A5389">
          <w:pPr>
            <w:spacing w:line="240" w:lineRule="auto"/>
          </w:pPr>
        </w:p>
        <w:p w14:paraId="15B0F089" w14:textId="77777777" w:rsidR="003D5DB4" w:rsidRPr="000D0101" w:rsidRDefault="003D5DB4" w:rsidP="000A5389">
          <w:pPr>
            <w:spacing w:line="240" w:lineRule="auto"/>
          </w:pPr>
          <w:r w:rsidRPr="000D0101">
            <w:t>La ANI es la entidad concedente pero la titularidad de los activos al final de la concesión es del Instituto Nacional de Vías INVIAS.</w:t>
          </w:r>
        </w:p>
        <w:p w14:paraId="400878CF" w14:textId="77777777" w:rsidR="003D5DB4" w:rsidRPr="000D0101" w:rsidRDefault="003D5DB4" w:rsidP="000A5389">
          <w:pPr>
            <w:spacing w:line="240" w:lineRule="auto"/>
          </w:pPr>
        </w:p>
        <w:p w14:paraId="200F6A27" w14:textId="77777777" w:rsidR="003D5DB4" w:rsidRPr="000D0101" w:rsidRDefault="003D5DB4" w:rsidP="000A5389">
          <w:pPr>
            <w:spacing w:line="240" w:lineRule="auto"/>
          </w:pPr>
          <w:r w:rsidRPr="000D0101">
            <w:t>e. Las alternativas de renovación y cese del acuerdo</w:t>
          </w:r>
        </w:p>
        <w:p w14:paraId="0A68228D" w14:textId="77777777" w:rsidR="003D5DB4" w:rsidRPr="000D0101" w:rsidRDefault="003D5DB4" w:rsidP="000A5389">
          <w:pPr>
            <w:spacing w:line="240" w:lineRule="auto"/>
          </w:pPr>
        </w:p>
        <w:p w14:paraId="58024088" w14:textId="77777777" w:rsidR="003D5DB4" w:rsidRPr="000D0101" w:rsidRDefault="003D5DB4" w:rsidP="000A5389">
          <w:pPr>
            <w:spacing w:line="240" w:lineRule="auto"/>
          </w:pPr>
          <w:r w:rsidRPr="000D0101">
            <w:t>Descripción:</w:t>
          </w:r>
          <w:r w:rsidRPr="000D0101">
            <w:tab/>
            <w:t>La prórroga de la Concesión se encuentra en la CLÁUSULA DECIMA PRIMERA, modificada por la CLÁUSULA PRIMERA del Otrosí N° 1 al Contrato de Concesión. El cese del acuerdo se encuentra en la CLÁUSULA VIGÉSIMA CUARTA del Contrato de Concesión.</w:t>
          </w:r>
        </w:p>
        <w:p w14:paraId="69727BEB" w14:textId="77777777" w:rsidR="003D5DB4" w:rsidRPr="000D0101" w:rsidRDefault="003D5DB4" w:rsidP="000A5389">
          <w:pPr>
            <w:spacing w:line="240" w:lineRule="auto"/>
          </w:pPr>
        </w:p>
        <w:p w14:paraId="6808D064" w14:textId="77777777" w:rsidR="003D5DB4" w:rsidRPr="000D0101" w:rsidRDefault="003D5DB4" w:rsidP="000A5389">
          <w:pPr>
            <w:spacing w:line="240" w:lineRule="auto"/>
          </w:pPr>
          <w:r w:rsidRPr="000D0101">
            <w:t>Observaciones: No observaciones</w:t>
          </w:r>
        </w:p>
        <w:p w14:paraId="352F8D5B" w14:textId="77777777" w:rsidR="003D5DB4" w:rsidRPr="000D0101" w:rsidRDefault="003D5DB4" w:rsidP="000A5389">
          <w:pPr>
            <w:spacing w:line="240" w:lineRule="auto"/>
          </w:pPr>
        </w:p>
        <w:p w14:paraId="7C4EADA7" w14:textId="77777777" w:rsidR="003D5DB4" w:rsidRPr="000D0101" w:rsidRDefault="003D5DB4" w:rsidP="000A5389">
          <w:pPr>
            <w:spacing w:line="240" w:lineRule="auto"/>
          </w:pPr>
          <w:r w:rsidRPr="000D0101">
            <w:t>f. Cambios en el acuerdo de concesión que se realicen durante el periodo fiscal</w:t>
          </w:r>
        </w:p>
        <w:p w14:paraId="7168D873" w14:textId="77777777" w:rsidR="003D5DB4" w:rsidRPr="000D0101" w:rsidRDefault="003D5DB4" w:rsidP="000A5389">
          <w:pPr>
            <w:spacing w:line="240" w:lineRule="auto"/>
          </w:pPr>
        </w:p>
        <w:p w14:paraId="5E44AC7C" w14:textId="77777777" w:rsidR="003D5DB4" w:rsidRPr="000D0101" w:rsidRDefault="003D5DB4" w:rsidP="000A5389">
          <w:pPr>
            <w:spacing w:line="240" w:lineRule="auto"/>
          </w:pPr>
          <w:r w:rsidRPr="000D0101">
            <w:t>Adiciones o modificaciones en tiempo</w:t>
          </w:r>
        </w:p>
        <w:p w14:paraId="0B9A02DE" w14:textId="77777777" w:rsidR="003D5DB4" w:rsidRPr="000D0101" w:rsidRDefault="003D5DB4" w:rsidP="000A5389">
          <w:pPr>
            <w:spacing w:line="240" w:lineRule="auto"/>
          </w:pPr>
          <w:r w:rsidRPr="000D0101">
            <w:t>Fechas de las adiciones o modificaciones:</w:t>
          </w:r>
          <w:r w:rsidRPr="000D0101">
            <w:tab/>
            <w:t>Otrosí N° 1 del 04/05/2021 y Otrosí N° 2 del 02/11/2021</w:t>
          </w:r>
        </w:p>
        <w:p w14:paraId="2E6CAEC1" w14:textId="77777777" w:rsidR="003D5DB4" w:rsidRPr="000D0101" w:rsidRDefault="003D5DB4" w:rsidP="000A5389">
          <w:pPr>
            <w:spacing w:line="240" w:lineRule="auto"/>
          </w:pPr>
          <w:r w:rsidRPr="000D0101">
            <w:t>Nueva fecha de finalización estimada: NA</w:t>
          </w:r>
        </w:p>
        <w:p w14:paraId="1A78ED1E" w14:textId="77777777" w:rsidR="003D5DB4" w:rsidRPr="000D0101" w:rsidRDefault="003D5DB4" w:rsidP="000A5389">
          <w:pPr>
            <w:spacing w:line="240" w:lineRule="auto"/>
          </w:pPr>
          <w:r w:rsidRPr="000D0101">
            <w:t>Observaciones: No observaciones</w:t>
          </w:r>
        </w:p>
        <w:p w14:paraId="2C2D6AEC" w14:textId="77777777" w:rsidR="003D5DB4" w:rsidRPr="000D0101" w:rsidRDefault="003D5DB4" w:rsidP="000A5389">
          <w:pPr>
            <w:spacing w:line="240" w:lineRule="auto"/>
          </w:pPr>
          <w:r w:rsidRPr="000D0101">
            <w:lastRenderedPageBreak/>
            <w:t>Adiciones o modificaciones en valor</w:t>
          </w:r>
        </w:p>
        <w:p w14:paraId="656B9D19" w14:textId="77777777" w:rsidR="003D5DB4" w:rsidRPr="000D0101" w:rsidRDefault="003D5DB4" w:rsidP="000A5389">
          <w:pPr>
            <w:spacing w:line="240" w:lineRule="auto"/>
          </w:pPr>
          <w:r w:rsidRPr="000D0101">
            <w:t>Valor de la adición o modificación: NA</w:t>
          </w:r>
        </w:p>
        <w:p w14:paraId="6C76BF37" w14:textId="77777777" w:rsidR="003D5DB4" w:rsidRPr="000D0101" w:rsidRDefault="003D5DB4" w:rsidP="000A5389">
          <w:pPr>
            <w:spacing w:line="240" w:lineRule="auto"/>
          </w:pPr>
          <w:r w:rsidRPr="000D0101">
            <w:t>Nuevo valor del acuerdo: NA</w:t>
          </w:r>
        </w:p>
        <w:p w14:paraId="229299D8" w14:textId="77777777" w:rsidR="003D5DB4" w:rsidRPr="000D0101" w:rsidRDefault="003D5DB4" w:rsidP="000A5389">
          <w:pPr>
            <w:spacing w:line="240" w:lineRule="auto"/>
          </w:pPr>
          <w:r w:rsidRPr="000D0101">
            <w:t>Observaciones: No observaciones</w:t>
          </w:r>
        </w:p>
        <w:p w14:paraId="6D24A67E" w14:textId="77777777" w:rsidR="003D5DB4" w:rsidRDefault="003D5DB4" w:rsidP="000A5389">
          <w:pPr>
            <w:spacing w:line="240" w:lineRule="auto"/>
          </w:pPr>
        </w:p>
        <w:p w14:paraId="1C36FB98" w14:textId="77777777" w:rsidR="00EE35D4" w:rsidRPr="000D0101" w:rsidRDefault="00EE35D4" w:rsidP="000A5389">
          <w:pPr>
            <w:spacing w:line="240" w:lineRule="auto"/>
          </w:pPr>
        </w:p>
        <w:p w14:paraId="3214245D" w14:textId="77777777" w:rsidR="003D5DB4" w:rsidRPr="00EE35D4" w:rsidRDefault="003D5DB4" w:rsidP="000A5389">
          <w:pPr>
            <w:spacing w:line="240" w:lineRule="auto"/>
            <w:rPr>
              <w:rFonts w:eastAsia="Times New Roman"/>
              <w:i/>
              <w:iCs/>
              <w:lang w:eastAsia="es-CO"/>
            </w:rPr>
          </w:pPr>
          <w:r w:rsidRPr="00EE35D4">
            <w:rPr>
              <w:rFonts w:eastAsia="Times New Roman"/>
              <w:i/>
              <w:iCs/>
              <w:lang w:eastAsia="es-CO"/>
            </w:rPr>
            <w:t xml:space="preserve">SOCIEDAD PORTUARIA OPERADORA INTERNACIONAL S.A. </w:t>
          </w:r>
        </w:p>
        <w:p w14:paraId="49C3CF8A" w14:textId="77777777" w:rsidR="003D5DB4" w:rsidRPr="000D0101" w:rsidRDefault="003D5DB4" w:rsidP="000A5389">
          <w:pPr>
            <w:spacing w:line="240" w:lineRule="auto"/>
          </w:pPr>
        </w:p>
        <w:p w14:paraId="77FDAD1B" w14:textId="77777777" w:rsidR="003D5DB4" w:rsidRPr="000D0101" w:rsidRDefault="003D5DB4" w:rsidP="000A5389">
          <w:pPr>
            <w:spacing w:line="240" w:lineRule="auto"/>
          </w:pPr>
          <w:r w:rsidRPr="000D0101">
            <w:t>a. Descripción del Acuerdo</w:t>
          </w:r>
        </w:p>
        <w:p w14:paraId="59E6EC0E" w14:textId="77777777" w:rsidR="003D5DB4" w:rsidRPr="000D0101" w:rsidRDefault="003D5DB4" w:rsidP="000A5389">
          <w:pPr>
            <w:spacing w:line="240" w:lineRule="auto"/>
          </w:pPr>
        </w:p>
        <w:p w14:paraId="0AFAA9AF" w14:textId="77777777" w:rsidR="003D5DB4" w:rsidRPr="000D0101" w:rsidRDefault="003D5DB4" w:rsidP="000A5389">
          <w:pPr>
            <w:spacing w:line="240" w:lineRule="auto"/>
          </w:pPr>
          <w:r w:rsidRPr="000D0101">
            <w:t>Número del Acuerdo de concesión: 003 de 2014</w:t>
          </w:r>
        </w:p>
        <w:p w14:paraId="4D4C54D2" w14:textId="77777777" w:rsidR="003D5DB4" w:rsidRPr="000D0101" w:rsidRDefault="003D5DB4" w:rsidP="000A5389">
          <w:pPr>
            <w:spacing w:line="240" w:lineRule="auto"/>
          </w:pPr>
        </w:p>
        <w:p w14:paraId="045EE99D" w14:textId="77777777" w:rsidR="003D5DB4" w:rsidRPr="000D0101" w:rsidRDefault="003D5DB4" w:rsidP="000A5389">
          <w:pPr>
            <w:spacing w:line="240" w:lineRule="auto"/>
          </w:pPr>
          <w:r w:rsidRPr="000D0101">
            <w:t>Objeto / Descripción: En virtud del Contrato de concesión y sus modificaciones, se permite al CONCESIONARIO la ocupación en forma temporal y exclusiva de una área de playa, zona marítima accesoria, zona de maniobra y atraque, junto con las construcciones e inmuebles por destinación que allí se encuentra, para el atraque, permanencia y zarpe de naves mayores turísticas y en algunos casos naves de guerra, naves de gobierno, naves privadas mayores y el desarrollo de actividades portuarias de servicio público, conforme lo establece la Cláusula Primera del Contrato.</w:t>
          </w:r>
        </w:p>
        <w:p w14:paraId="4834E009" w14:textId="77777777" w:rsidR="003D5DB4" w:rsidRPr="000D0101" w:rsidRDefault="003D5DB4" w:rsidP="000A5389">
          <w:pPr>
            <w:spacing w:line="240" w:lineRule="auto"/>
          </w:pPr>
        </w:p>
        <w:p w14:paraId="2F83955C" w14:textId="77777777" w:rsidR="003D5DB4" w:rsidRPr="000D0101" w:rsidRDefault="003D5DB4" w:rsidP="000A5389">
          <w:pPr>
            <w:spacing w:line="240" w:lineRule="auto"/>
          </w:pPr>
          <w:r w:rsidRPr="000D0101">
            <w:t>Valor inicial:</w:t>
          </w:r>
          <w:r w:rsidRPr="000D0101">
            <w:tab/>
            <w:t>Se estableció en la cláusula 13 del Contrato de Concesión por valor de USD 1.089.857.</w:t>
          </w:r>
        </w:p>
        <w:p w14:paraId="6605A6F6" w14:textId="77777777" w:rsidR="003D5DB4" w:rsidRPr="000D0101" w:rsidRDefault="003D5DB4" w:rsidP="000A5389">
          <w:pPr>
            <w:spacing w:line="240" w:lineRule="auto"/>
          </w:pPr>
          <w:r w:rsidRPr="000D0101">
            <w:t>Fecha de inicio: 24/02/2015</w:t>
          </w:r>
        </w:p>
        <w:p w14:paraId="01E32295" w14:textId="77777777" w:rsidR="003D5DB4" w:rsidRPr="000D0101" w:rsidRDefault="003D5DB4" w:rsidP="000A5389">
          <w:pPr>
            <w:spacing w:line="240" w:lineRule="auto"/>
          </w:pPr>
          <w:r w:rsidRPr="000D0101">
            <w:t>Fecha de finalización estimada: 23/02/2035</w:t>
          </w:r>
        </w:p>
        <w:p w14:paraId="01B2613C" w14:textId="77777777" w:rsidR="003D5DB4" w:rsidRPr="000D0101" w:rsidRDefault="003D5DB4" w:rsidP="000A5389">
          <w:pPr>
            <w:spacing w:line="240" w:lineRule="auto"/>
          </w:pPr>
          <w:r w:rsidRPr="000D0101">
            <w:t>Tipo ID: NIT</w:t>
          </w:r>
        </w:p>
        <w:p w14:paraId="3348E9A1" w14:textId="77777777" w:rsidR="003D5DB4" w:rsidRPr="000D0101" w:rsidRDefault="003D5DB4" w:rsidP="000A5389">
          <w:pPr>
            <w:spacing w:line="240" w:lineRule="auto"/>
          </w:pPr>
          <w:r w:rsidRPr="000D0101">
            <w:t>Número ID: 890.401.435.0</w:t>
          </w:r>
        </w:p>
        <w:p w14:paraId="0F37A41F" w14:textId="77777777" w:rsidR="003D5DB4" w:rsidRPr="000D0101" w:rsidRDefault="003D5DB4" w:rsidP="000A5389">
          <w:pPr>
            <w:spacing w:line="240" w:lineRule="auto"/>
          </w:pPr>
          <w:r w:rsidRPr="000D0101">
            <w:t>Razón social del concesionario: Sociedad Portuaria Operadora Internacional S.A</w:t>
          </w:r>
        </w:p>
        <w:p w14:paraId="649FF4E7" w14:textId="77777777" w:rsidR="003D5DB4" w:rsidRPr="000D0101" w:rsidRDefault="003D5DB4" w:rsidP="000A5389">
          <w:pPr>
            <w:spacing w:line="240" w:lineRule="auto"/>
          </w:pPr>
          <w:r w:rsidRPr="000D0101">
            <w:t>Nombre del proyecto: Sociedad Portuaria Operadora Internacional S.A</w:t>
          </w:r>
        </w:p>
        <w:p w14:paraId="6783323C" w14:textId="77777777" w:rsidR="003D5DB4" w:rsidRPr="000D0101" w:rsidRDefault="003D5DB4" w:rsidP="000A5389">
          <w:pPr>
            <w:spacing w:line="240" w:lineRule="auto"/>
          </w:pPr>
        </w:p>
        <w:p w14:paraId="2F2B0C5A" w14:textId="77777777" w:rsidR="003D5DB4" w:rsidRPr="000D0101" w:rsidRDefault="003D5DB4" w:rsidP="000A5389">
          <w:pPr>
            <w:spacing w:line="240" w:lineRule="auto"/>
          </w:pPr>
          <w:r w:rsidRPr="000D0101">
            <w:t>b. Términos significativos del Acuerdo que puedan afectar su valor, el calendario y la certeza de los flujos de efectivo futuros</w:t>
          </w:r>
        </w:p>
        <w:p w14:paraId="2185A965" w14:textId="77777777" w:rsidR="003D5DB4" w:rsidRPr="000D0101" w:rsidRDefault="003D5DB4" w:rsidP="000A5389">
          <w:pPr>
            <w:spacing w:line="240" w:lineRule="auto"/>
          </w:pPr>
        </w:p>
        <w:p w14:paraId="1FC05339" w14:textId="77777777" w:rsidR="003D5DB4" w:rsidRPr="000D0101" w:rsidRDefault="003D5DB4" w:rsidP="000A5389">
          <w:pPr>
            <w:spacing w:line="240" w:lineRule="auto"/>
          </w:pPr>
          <w:r w:rsidRPr="000D0101">
            <w:t>Términos de valor: Tarifas: Al ser el terminal marítimo de servicio público la Ley 1 de 1991 establece: Las sociedades portuarias que operan puertos de servicio público las tarifas requieren ser aprobadas según la metodología establecida por la Superintendencia General de Puertos hoy Superintendencia de Transporte.  Contraprestación portuaria: De acuerdo con el último documento contractual la metodología de contraprestación vigente es CONPES 3744 de 2013 (Componentes Fijo y Variable).  A febrero de 2025 el CONCESIONARIO debió pagar la suma de USD 94.471, valor que incluye componente fijo y componente variable.  El valor correspondiente a la contraprestación por zona de uso público resultará de la diferencia entre el valor de la liquidación total y el valor de la infraestructura. Y el recaudo se realizará de conformidad con la ley 856 de 2003, es decir, ZUP el 80% le corresponde a la Nación Instituto nacional de vías (INVIAS-ANI) y el 20% restante al distrito de Cartagena; e INFRAESTRUCTURA en un 100% a la Nación - Instituto Nacional de Vías (INVIAS-</w:t>
          </w:r>
          <w:r w:rsidRPr="000D0101">
            <w:lastRenderedPageBreak/>
            <w:t xml:space="preserve">ANI).  Plan de Inversiones: está establecido en la cláusula 2 del Otrosí No. 2 de 2021, el plan de inversión será de USD $353.294 en valores constantes de 2013.  Obligaciones del CONCESIONARIO: Se encuentran descritas en la cláusula 19.   Multas y sanciones: Están establecidas en la cláusula 22. A diciembre de 2023 no se han establecido multas y sanciones para este concesionario a la fecha. Penal pecuniario: En la cláusula 23 del contrato de Concesión se establece que en el evento que el CONCEDENTE declare la caducidad o el incumplimiento del presente contrato, el CONCESIONARIO, deberá pagar al CONCEDENTE, la suma equivalente al 10% del valor total de la contraprestación, como sanción pecuniaria.  El valor pagado por el CONCESIONARIO se considera como un pago parcial pero no definitivo de los perjuicios causados a esta entidad, sin perjuicio de las acciones judiciales que adelante el CONCEDENTE. </w:t>
          </w:r>
        </w:p>
        <w:p w14:paraId="304568C8" w14:textId="77777777" w:rsidR="003D5DB4" w:rsidRPr="000D0101" w:rsidRDefault="003D5DB4" w:rsidP="000A5389">
          <w:pPr>
            <w:spacing w:line="240" w:lineRule="auto"/>
          </w:pPr>
        </w:p>
        <w:p w14:paraId="71D18789" w14:textId="77777777" w:rsidR="003D5DB4" w:rsidRPr="000D0101" w:rsidRDefault="003D5DB4" w:rsidP="000A5389">
          <w:pPr>
            <w:spacing w:line="240" w:lineRule="auto"/>
          </w:pPr>
          <w:r w:rsidRPr="000D0101">
            <w:t xml:space="preserve">Términos de calendario: 1. Tarifas: Aprobadas según la metodología establecida por la Superintendencia General de Puertos hoy Superintendencia de Transporte.  2: Contraprestación portuaria: la contraprestación se debe pagar de manera anticipada antes del mes de febrero de cada año.  3: Plan de inversiones: Se estableció en la cláusula 2 del Otrosí No. 2 de mayo de 2021, periodo de tiempo comprendido entre el año 2015 a 2022.  4: Multas: Cláusula 22 del contrato 003 de 2014. </w:t>
          </w:r>
        </w:p>
        <w:p w14:paraId="0E498C88" w14:textId="77777777" w:rsidR="003D5DB4" w:rsidRPr="000D0101" w:rsidRDefault="003D5DB4" w:rsidP="000A5389">
          <w:pPr>
            <w:spacing w:line="240" w:lineRule="auto"/>
          </w:pPr>
        </w:p>
        <w:p w14:paraId="36A0F754" w14:textId="77777777" w:rsidR="003D5DB4" w:rsidRPr="000D0101" w:rsidRDefault="003D5DB4" w:rsidP="000A5389">
          <w:pPr>
            <w:spacing w:line="240" w:lineRule="auto"/>
          </w:pPr>
          <w:r w:rsidRPr="000D0101">
            <w:t>Términos de certeza de flujos de efectivo futuros: En la Cláusula 1 del Contrato de Concesión, el objeto del presente contrato es el otorgamiento al CONCESIONARIO por parte del CONCEDENTE, de una concesión para que ocupe en forma temporal y exclusiva los bienes de uso público descritos en la Cláusula 2 para la construcción y operación de un terminal portuario, a cambio de una contraprestación económica a favor del CONCEDENTE, en los términos descritos en la Cláusula 13 de este contrato. En la Cláusula 13, en su parágrafo tercero, se establece que del pago por contraprestación le corresponde a la NACIÓN-Instituto Nacional de Vías el 80% y el 20% restante al Municipio de Cartagena (Bolívar), de acuerdo con lo establecido en el parágrafo 1 del artículo 1 de la Ley 856 del 21 de diciembre de 2003, que modifica el artículo 7 de la Ley 1 de 1991.</w:t>
          </w:r>
        </w:p>
        <w:p w14:paraId="583D14A6" w14:textId="77777777" w:rsidR="003D5DB4" w:rsidRPr="000D0101" w:rsidRDefault="003D5DB4" w:rsidP="000A5389">
          <w:pPr>
            <w:spacing w:line="240" w:lineRule="auto"/>
          </w:pPr>
        </w:p>
        <w:p w14:paraId="3A4E1AEB" w14:textId="77777777" w:rsidR="003D5DB4" w:rsidRPr="000D0101" w:rsidRDefault="003D5DB4" w:rsidP="000A5389">
          <w:pPr>
            <w:spacing w:line="240" w:lineRule="auto"/>
          </w:pPr>
          <w:r w:rsidRPr="000D0101">
            <w:t>c. Naturaleza y alcance del derecho a utilizar Activos y los aspectos pactados en torno a lo que se espera que el concesionario proporcione en relación con el Acuerdo de concesión</w:t>
          </w:r>
        </w:p>
        <w:p w14:paraId="616B7173" w14:textId="77777777" w:rsidR="003D5DB4" w:rsidRPr="000D0101" w:rsidRDefault="003D5DB4" w:rsidP="000A5389">
          <w:pPr>
            <w:spacing w:line="240" w:lineRule="auto"/>
          </w:pPr>
        </w:p>
        <w:p w14:paraId="71EC3EF0" w14:textId="77777777" w:rsidR="003D5DB4" w:rsidRPr="000D0101" w:rsidRDefault="003D5DB4" w:rsidP="000A5389">
          <w:pPr>
            <w:spacing w:line="240" w:lineRule="auto"/>
          </w:pPr>
          <w:r w:rsidRPr="000D0101">
            <w:t>Naturaleza y alcance del derecho de uso de los Activos</w:t>
          </w:r>
        </w:p>
        <w:p w14:paraId="0F376830" w14:textId="77777777" w:rsidR="003D5DB4" w:rsidRPr="000D0101" w:rsidRDefault="003D5DB4" w:rsidP="000A5389">
          <w:pPr>
            <w:spacing w:line="240" w:lineRule="auto"/>
          </w:pPr>
        </w:p>
        <w:p w14:paraId="5BA4BB99" w14:textId="77777777" w:rsidR="003D5DB4" w:rsidRPr="000D0101" w:rsidRDefault="003D5DB4" w:rsidP="000A5389">
          <w:pPr>
            <w:spacing w:line="240" w:lineRule="auto"/>
          </w:pPr>
          <w:r w:rsidRPr="000D0101">
            <w:t>Descripción:</w:t>
          </w:r>
          <w:r w:rsidRPr="000D0101">
            <w:tab/>
            <w:t>Descripción del proyecto, especificaciones técnicas, modalidades de operación: las condiciones especiales de operación del puerto están establecidas en la cláusula 5 del contrato principal. Área entregada en concesión: La descripción de la ubicación, linderos y extensión de los bienes de uso público (playas y terrenos de baja mar, zonas marítimas accesorias de maniobras) entregados en concesión están establecidos en la cláusula 2 del contrato principal. Infraestructura y equipos entregados en concesión: En la cláusula segunda del Contrato principal, se describe que lo entregado en concesión fue: Infraestructura: Muelle de cruceros, muelle de madera, piña y boya de amarre.</w:t>
          </w:r>
        </w:p>
        <w:p w14:paraId="59BDC555" w14:textId="77777777" w:rsidR="003D5DB4" w:rsidRPr="000D0101" w:rsidRDefault="003D5DB4" w:rsidP="000A5389">
          <w:pPr>
            <w:spacing w:line="240" w:lineRule="auto"/>
          </w:pPr>
        </w:p>
        <w:p w14:paraId="6048252B" w14:textId="77777777" w:rsidR="003D5DB4" w:rsidRPr="000D0101" w:rsidRDefault="003D5DB4" w:rsidP="000A5389">
          <w:pPr>
            <w:spacing w:line="240" w:lineRule="auto"/>
          </w:pPr>
          <w:r w:rsidRPr="000D0101">
            <w:lastRenderedPageBreak/>
            <w:t>Observaciones: N/A</w:t>
          </w:r>
        </w:p>
        <w:p w14:paraId="4AC6D3EA" w14:textId="77777777" w:rsidR="003D5DB4" w:rsidRPr="000D0101" w:rsidRDefault="003D5DB4" w:rsidP="000A5389">
          <w:pPr>
            <w:spacing w:line="240" w:lineRule="auto"/>
          </w:pPr>
        </w:p>
        <w:p w14:paraId="48BC840F" w14:textId="77777777" w:rsidR="003D5DB4" w:rsidRPr="000D0101" w:rsidRDefault="003D5DB4" w:rsidP="000A5389">
          <w:pPr>
            <w:spacing w:line="240" w:lineRule="auto"/>
          </w:pPr>
          <w:r w:rsidRPr="000D0101">
            <w:t>Retribución al concesionario</w:t>
          </w:r>
        </w:p>
        <w:p w14:paraId="03231B4E" w14:textId="77777777" w:rsidR="003D5DB4" w:rsidRPr="000D0101" w:rsidRDefault="003D5DB4" w:rsidP="000A5389">
          <w:pPr>
            <w:spacing w:line="240" w:lineRule="auto"/>
          </w:pPr>
        </w:p>
        <w:p w14:paraId="74DB295E" w14:textId="77777777" w:rsidR="003D5DB4" w:rsidRPr="000D0101" w:rsidRDefault="003D5DB4" w:rsidP="000A5389">
          <w:pPr>
            <w:spacing w:line="240" w:lineRule="auto"/>
          </w:pPr>
          <w:r w:rsidRPr="000D0101">
            <w:t>Descripción:</w:t>
          </w:r>
          <w:r w:rsidRPr="000D0101">
            <w:tab/>
            <w:t>En la Cláusula 1 del Contrato principal de Concesión, el objeto del presente contrato es el otorgamiento al CONCESIONARIO por parte del CONCEDENTE, de una concesión para que ocupe en forma temporal y exclusiva los bienes de uso público descritos en la Cláusula 2 para la construcción y operación de un terminal portuario, a cambio de una contraprestación económica a favor del CONCEDENTE, en los términos descritos en la Cláusula 13 de este contrato.</w:t>
          </w:r>
        </w:p>
        <w:p w14:paraId="16CEF789" w14:textId="77777777" w:rsidR="003D5DB4" w:rsidRPr="000D0101" w:rsidRDefault="003D5DB4" w:rsidP="000A5389">
          <w:pPr>
            <w:spacing w:line="240" w:lineRule="auto"/>
          </w:pPr>
        </w:p>
        <w:p w14:paraId="1CFAFB0B" w14:textId="77777777" w:rsidR="003D5DB4" w:rsidRPr="000D0101" w:rsidRDefault="003D5DB4" w:rsidP="000A5389">
          <w:pPr>
            <w:spacing w:line="240" w:lineRule="auto"/>
          </w:pPr>
          <w:r w:rsidRPr="000D0101">
            <w:t>Tasa de retribución: N/A</w:t>
          </w:r>
        </w:p>
        <w:p w14:paraId="637D9848" w14:textId="77777777" w:rsidR="003D5DB4" w:rsidRPr="000D0101" w:rsidRDefault="003D5DB4" w:rsidP="000A5389">
          <w:pPr>
            <w:spacing w:line="240" w:lineRule="auto"/>
          </w:pPr>
        </w:p>
        <w:p w14:paraId="6447E057" w14:textId="77777777" w:rsidR="003D5DB4" w:rsidRPr="000D0101" w:rsidRDefault="003D5DB4" w:rsidP="000A5389">
          <w:pPr>
            <w:spacing w:line="240" w:lineRule="auto"/>
          </w:pPr>
          <w:r w:rsidRPr="000D0101">
            <w:t>d. Derechos a recibir Activos especificados al final del acuerdo de concesión</w:t>
          </w:r>
        </w:p>
        <w:p w14:paraId="34764FCF" w14:textId="77777777" w:rsidR="003D5DB4" w:rsidRPr="000D0101" w:rsidRDefault="003D5DB4" w:rsidP="000A5389">
          <w:pPr>
            <w:spacing w:line="240" w:lineRule="auto"/>
          </w:pPr>
        </w:p>
        <w:p w14:paraId="39E088BF" w14:textId="77777777" w:rsidR="003D5DB4" w:rsidRPr="000D0101" w:rsidRDefault="003D5DB4" w:rsidP="000A5389">
          <w:pPr>
            <w:spacing w:line="240" w:lineRule="auto"/>
          </w:pPr>
          <w:r w:rsidRPr="000D0101">
            <w:t>Descripción:</w:t>
          </w:r>
          <w:r w:rsidRPr="000D0101">
            <w:tab/>
            <w:t>De acuerdo con el Artículo 8º de la Ley 1 de 1991 en el modo portuario el concesionario no tiene derechos finales sobre activos los debe revertir a la Nación al final del contrato de concesión.</w:t>
          </w:r>
        </w:p>
        <w:p w14:paraId="75EAEB57" w14:textId="77777777" w:rsidR="003D5DB4" w:rsidRPr="000D0101" w:rsidRDefault="003D5DB4" w:rsidP="000A5389">
          <w:pPr>
            <w:spacing w:line="240" w:lineRule="auto"/>
          </w:pPr>
        </w:p>
        <w:p w14:paraId="50534E48" w14:textId="77777777" w:rsidR="003D5DB4" w:rsidRPr="000D0101" w:rsidRDefault="003D5DB4" w:rsidP="000A5389">
          <w:pPr>
            <w:spacing w:line="240" w:lineRule="auto"/>
          </w:pPr>
          <w:r w:rsidRPr="000D0101">
            <w:t>Observaciones: Reversión: De acuerdo con lo establecido en la cláusula 32 del contrato de concesión, todas las construcciones e inmuebles por destinación, que se encuentren instalados en la zona de uso público otorgada en concesión revertirán gratuitamente por el Concesionario. Para tal fin, en el momento de la reversión el CONCESIONARIO elaborará un inventario de los bienes y los enviará para su revisión y aprobación. La ANI es la entidad concedente pero la titularidad de los activos al final de la concesión es del Instituto Nacional de Vías INVIAS.</w:t>
          </w:r>
        </w:p>
        <w:p w14:paraId="26EF0CBB" w14:textId="77777777" w:rsidR="003D5DB4" w:rsidRPr="000D0101" w:rsidRDefault="003D5DB4" w:rsidP="000A5389">
          <w:pPr>
            <w:spacing w:line="240" w:lineRule="auto"/>
          </w:pPr>
        </w:p>
        <w:p w14:paraId="3BC81CFA" w14:textId="77777777" w:rsidR="003D5DB4" w:rsidRPr="000D0101" w:rsidRDefault="003D5DB4" w:rsidP="000A5389">
          <w:pPr>
            <w:spacing w:line="240" w:lineRule="auto"/>
          </w:pPr>
          <w:r w:rsidRPr="000D0101">
            <w:t>e. Las alternativas de renovación y cese del acuerdo</w:t>
          </w:r>
        </w:p>
        <w:p w14:paraId="070C81C2" w14:textId="77777777" w:rsidR="003D5DB4" w:rsidRPr="000D0101" w:rsidRDefault="003D5DB4" w:rsidP="000A5389">
          <w:pPr>
            <w:spacing w:line="240" w:lineRule="auto"/>
          </w:pPr>
        </w:p>
        <w:p w14:paraId="05DAA847" w14:textId="77777777" w:rsidR="003D5DB4" w:rsidRPr="000D0101" w:rsidRDefault="003D5DB4" w:rsidP="000A5389">
          <w:pPr>
            <w:spacing w:line="240" w:lineRule="auto"/>
          </w:pPr>
          <w:r w:rsidRPr="000D0101">
            <w:t>Descripción:</w:t>
          </w:r>
          <w:r w:rsidRPr="000D0101">
            <w:tab/>
            <w:t>La prórroga de la Concesión se encuentra en la CLÁUSULA 11.  El cese del acuerdo se encuentra en la CLÁUSULA 29, del Contrato de Concesión.</w:t>
          </w:r>
        </w:p>
        <w:p w14:paraId="30765322" w14:textId="77777777" w:rsidR="003D5DB4" w:rsidRPr="000D0101" w:rsidRDefault="003D5DB4" w:rsidP="000A5389">
          <w:pPr>
            <w:spacing w:line="240" w:lineRule="auto"/>
          </w:pPr>
        </w:p>
        <w:p w14:paraId="466000B0" w14:textId="77777777" w:rsidR="003D5DB4" w:rsidRPr="000D0101" w:rsidRDefault="003D5DB4" w:rsidP="000A5389">
          <w:pPr>
            <w:spacing w:line="240" w:lineRule="auto"/>
          </w:pPr>
          <w:r w:rsidRPr="000D0101">
            <w:t>Observaciones: N/A</w:t>
          </w:r>
        </w:p>
        <w:p w14:paraId="6C0748C3" w14:textId="77777777" w:rsidR="003D5DB4" w:rsidRPr="000D0101" w:rsidRDefault="003D5DB4" w:rsidP="000A5389">
          <w:pPr>
            <w:spacing w:line="240" w:lineRule="auto"/>
          </w:pPr>
        </w:p>
        <w:p w14:paraId="6E7F3F19" w14:textId="77777777" w:rsidR="003D5DB4" w:rsidRPr="000D0101" w:rsidRDefault="003D5DB4" w:rsidP="000A5389">
          <w:pPr>
            <w:spacing w:line="240" w:lineRule="auto"/>
          </w:pPr>
          <w:r w:rsidRPr="000D0101">
            <w:t>f. Cambios en el acuerdo de concesión que se realicen durante el periodo fiscal</w:t>
          </w:r>
        </w:p>
        <w:p w14:paraId="22A48F68" w14:textId="77777777" w:rsidR="003D5DB4" w:rsidRPr="000D0101" w:rsidRDefault="003D5DB4" w:rsidP="000A5389">
          <w:pPr>
            <w:spacing w:line="240" w:lineRule="auto"/>
          </w:pPr>
        </w:p>
        <w:p w14:paraId="1E1E3CDC" w14:textId="77777777" w:rsidR="003D5DB4" w:rsidRPr="000D0101" w:rsidRDefault="003D5DB4" w:rsidP="000A5389">
          <w:pPr>
            <w:spacing w:line="240" w:lineRule="auto"/>
          </w:pPr>
          <w:r w:rsidRPr="000D0101">
            <w:t>Adiciones o modificaciones en tiempo</w:t>
          </w:r>
        </w:p>
        <w:p w14:paraId="0911809E" w14:textId="77777777" w:rsidR="003D5DB4" w:rsidRPr="000D0101" w:rsidRDefault="003D5DB4" w:rsidP="000A5389">
          <w:pPr>
            <w:spacing w:line="240" w:lineRule="auto"/>
          </w:pPr>
          <w:r w:rsidRPr="000D0101">
            <w:t>Fechas de las adiciones o modificaciones:</w:t>
          </w:r>
          <w:r w:rsidRPr="000D0101">
            <w:tab/>
            <w:t>N/A</w:t>
          </w:r>
        </w:p>
        <w:p w14:paraId="7F7FE5D1" w14:textId="77777777" w:rsidR="003D5DB4" w:rsidRPr="000D0101" w:rsidRDefault="003D5DB4" w:rsidP="000A5389">
          <w:pPr>
            <w:spacing w:line="240" w:lineRule="auto"/>
          </w:pPr>
          <w:r w:rsidRPr="000D0101">
            <w:t>Nueva fecha de finalización estimada: N/A</w:t>
          </w:r>
        </w:p>
        <w:p w14:paraId="68A07A82" w14:textId="77777777" w:rsidR="003D5DB4" w:rsidRPr="000D0101" w:rsidRDefault="003D5DB4" w:rsidP="000A5389">
          <w:pPr>
            <w:spacing w:line="240" w:lineRule="auto"/>
          </w:pPr>
          <w:r w:rsidRPr="000D0101">
            <w:t>Observaciones: N/A</w:t>
          </w:r>
        </w:p>
        <w:p w14:paraId="6F88C988" w14:textId="77777777" w:rsidR="003D5DB4" w:rsidRPr="000D0101" w:rsidRDefault="003D5DB4" w:rsidP="000A5389">
          <w:pPr>
            <w:spacing w:line="240" w:lineRule="auto"/>
          </w:pPr>
          <w:r w:rsidRPr="000D0101">
            <w:t>Adiciones o modificaciones en valor</w:t>
          </w:r>
        </w:p>
        <w:p w14:paraId="6DA84D5B" w14:textId="77777777" w:rsidR="003D5DB4" w:rsidRPr="000D0101" w:rsidRDefault="003D5DB4" w:rsidP="000A5389">
          <w:pPr>
            <w:spacing w:line="240" w:lineRule="auto"/>
          </w:pPr>
          <w:r w:rsidRPr="000D0101">
            <w:t>Valor de la adición o modificación: N/A</w:t>
          </w:r>
        </w:p>
        <w:p w14:paraId="6CAC8C13" w14:textId="77777777" w:rsidR="003D5DB4" w:rsidRPr="000D0101" w:rsidRDefault="003D5DB4" w:rsidP="000A5389">
          <w:pPr>
            <w:spacing w:line="240" w:lineRule="auto"/>
          </w:pPr>
          <w:r w:rsidRPr="000D0101">
            <w:t>Nuevo valor del acuerdo: N/A</w:t>
          </w:r>
        </w:p>
        <w:p w14:paraId="724F3C0A" w14:textId="71707928" w:rsidR="003D5DB4" w:rsidRPr="000D0101" w:rsidRDefault="003D5DB4" w:rsidP="000A5389">
          <w:pPr>
            <w:spacing w:line="240" w:lineRule="auto"/>
          </w:pPr>
          <w:r w:rsidRPr="000D0101">
            <w:t>Observaciones:  N/A</w:t>
          </w:r>
        </w:p>
        <w:p w14:paraId="64BF3EDF" w14:textId="77777777" w:rsidR="003D5DB4" w:rsidRPr="000D0101" w:rsidRDefault="003D5DB4" w:rsidP="000A5389">
          <w:pPr>
            <w:spacing w:line="240" w:lineRule="auto"/>
            <w:rPr>
              <w:rFonts w:eastAsia="Times New Roman"/>
              <w:lang w:eastAsia="es-CO"/>
            </w:rPr>
          </w:pPr>
        </w:p>
        <w:p w14:paraId="17DBD8F1" w14:textId="77777777" w:rsidR="003D5DB4" w:rsidRPr="000D0101" w:rsidRDefault="003D5DB4" w:rsidP="000A5389">
          <w:pPr>
            <w:spacing w:line="240" w:lineRule="auto"/>
            <w:rPr>
              <w:rFonts w:eastAsia="Times New Roman"/>
              <w:lang w:eastAsia="es-CO"/>
            </w:rPr>
          </w:pPr>
        </w:p>
        <w:p w14:paraId="6C85877B" w14:textId="4D56F145" w:rsidR="003D5DB4" w:rsidRPr="000D0101" w:rsidRDefault="003D5DB4" w:rsidP="000A5389">
          <w:pPr>
            <w:spacing w:line="240" w:lineRule="auto"/>
            <w:rPr>
              <w:rFonts w:eastAsia="Times New Roman"/>
              <w:lang w:eastAsia="es-CO"/>
            </w:rPr>
          </w:pPr>
          <w:r w:rsidRPr="00EE35D4">
            <w:rPr>
              <w:rFonts w:eastAsia="Times New Roman"/>
              <w:i/>
              <w:iCs/>
              <w:lang w:eastAsia="es-CO"/>
            </w:rPr>
            <w:t xml:space="preserve">SOCIEDAD PORTUARIA PALERMO S.A. </w:t>
          </w:r>
        </w:p>
        <w:p w14:paraId="59AB67FA" w14:textId="77777777" w:rsidR="003D5DB4" w:rsidRPr="000D0101" w:rsidRDefault="003D5DB4" w:rsidP="000A5389">
          <w:pPr>
            <w:spacing w:line="240" w:lineRule="auto"/>
          </w:pPr>
        </w:p>
        <w:p w14:paraId="1FC0CA0C" w14:textId="77777777" w:rsidR="003D5DB4" w:rsidRPr="000D0101" w:rsidRDefault="003D5DB4" w:rsidP="000A5389">
          <w:pPr>
            <w:spacing w:line="240" w:lineRule="auto"/>
            <w:rPr>
              <w:rFonts w:eastAsia="Times New Roman"/>
              <w:lang w:eastAsia="es-CO"/>
            </w:rPr>
          </w:pPr>
          <w:r w:rsidRPr="000D0101">
            <w:rPr>
              <w:rFonts w:eastAsia="Times New Roman"/>
              <w:lang w:eastAsia="es-CO"/>
            </w:rPr>
            <w:t>a. Descripción del Acuerdo</w:t>
          </w:r>
        </w:p>
        <w:p w14:paraId="4213FB3C" w14:textId="77777777" w:rsidR="003D5DB4" w:rsidRPr="000D0101" w:rsidRDefault="003D5DB4" w:rsidP="000A5389">
          <w:pPr>
            <w:spacing w:line="240" w:lineRule="auto"/>
            <w:rPr>
              <w:rFonts w:eastAsia="Times New Roman"/>
              <w:lang w:eastAsia="es-CO"/>
            </w:rPr>
          </w:pPr>
        </w:p>
        <w:p w14:paraId="139A1493" w14:textId="77777777" w:rsidR="003D5DB4" w:rsidRPr="000D0101" w:rsidRDefault="003D5DB4" w:rsidP="000A5389">
          <w:pPr>
            <w:spacing w:line="240" w:lineRule="auto"/>
            <w:rPr>
              <w:rFonts w:eastAsia="Times New Roman"/>
              <w:lang w:eastAsia="es-CO"/>
            </w:rPr>
          </w:pPr>
          <w:r w:rsidRPr="000D0101">
            <w:rPr>
              <w:rFonts w:eastAsia="Times New Roman"/>
              <w:lang w:eastAsia="es-CO"/>
            </w:rPr>
            <w:t>Número del Acuerdo de concesión: 001 de 2005</w:t>
          </w:r>
        </w:p>
        <w:p w14:paraId="191414D6" w14:textId="77777777" w:rsidR="003D5DB4" w:rsidRPr="000D0101" w:rsidRDefault="003D5DB4" w:rsidP="000A5389">
          <w:pPr>
            <w:spacing w:line="240" w:lineRule="auto"/>
            <w:rPr>
              <w:rFonts w:eastAsia="Times New Roman"/>
              <w:lang w:eastAsia="es-CO"/>
            </w:rPr>
          </w:pPr>
        </w:p>
        <w:p w14:paraId="32700985" w14:textId="77777777" w:rsidR="003D5DB4" w:rsidRPr="000D0101" w:rsidRDefault="003D5DB4" w:rsidP="000A5389">
          <w:pPr>
            <w:spacing w:line="240" w:lineRule="auto"/>
            <w:rPr>
              <w:rFonts w:eastAsia="Times New Roman"/>
              <w:lang w:eastAsia="es-CO"/>
            </w:rPr>
          </w:pPr>
          <w:r w:rsidRPr="000D0101">
            <w:rPr>
              <w:rFonts w:eastAsia="Times New Roman"/>
              <w:lang w:eastAsia="es-CO"/>
            </w:rPr>
            <w:t>Objeto / Descripción: En virtud del contrato de concesión N° 001 de 2005 El INCO otorga formalmente una concesión portuaria al CONCESIONARIO, para ocupar y utilizar en forma temporal y exclusiva los bienes pertenecientes a la Nación determinados en la cláusula segunda del presente contrato, ubicados en el Municipio de Coveñas, Departamento de Sucre, para el manejo de combustibles líquidos, por el tiempo de ejecución estipulado, a cambio de la contraprestación establecida en la cláusula octava de este contrato.</w:t>
          </w:r>
        </w:p>
        <w:p w14:paraId="0F29FA80" w14:textId="77777777" w:rsidR="003D5DB4" w:rsidRPr="000D0101" w:rsidRDefault="003D5DB4" w:rsidP="000A5389">
          <w:pPr>
            <w:spacing w:line="240" w:lineRule="auto"/>
            <w:rPr>
              <w:rFonts w:eastAsia="Times New Roman"/>
              <w:lang w:eastAsia="es-CO"/>
            </w:rPr>
          </w:pPr>
        </w:p>
        <w:p w14:paraId="587BC967" w14:textId="77777777" w:rsidR="003D5DB4" w:rsidRPr="000D0101" w:rsidRDefault="003D5DB4" w:rsidP="000A5389">
          <w:pPr>
            <w:spacing w:line="240" w:lineRule="auto"/>
            <w:rPr>
              <w:rFonts w:eastAsia="Times New Roman"/>
              <w:lang w:eastAsia="es-CO"/>
            </w:rPr>
          </w:pPr>
          <w:r w:rsidRPr="000D0101">
            <w:rPr>
              <w:rFonts w:eastAsia="Times New Roman"/>
              <w:lang w:eastAsia="es-CO"/>
            </w:rPr>
            <w:t>Valor inicial:</w:t>
          </w:r>
          <w:r w:rsidRPr="000D0101">
            <w:rPr>
              <w:rFonts w:eastAsia="Times New Roman"/>
              <w:lang w:eastAsia="es-CO"/>
            </w:rPr>
            <w:tab/>
            <w:t>USD $93.377,30 Cláusula octava / Contrato No 001 de 2005.</w:t>
          </w:r>
        </w:p>
        <w:p w14:paraId="1FEA6A82" w14:textId="77777777" w:rsidR="003D5DB4" w:rsidRPr="000D0101" w:rsidRDefault="003D5DB4" w:rsidP="000A5389">
          <w:pPr>
            <w:spacing w:line="240" w:lineRule="auto"/>
            <w:rPr>
              <w:rFonts w:eastAsia="Times New Roman"/>
              <w:lang w:eastAsia="es-CO"/>
            </w:rPr>
          </w:pPr>
        </w:p>
        <w:p w14:paraId="7F04BAE4" w14:textId="77777777" w:rsidR="003D5DB4" w:rsidRPr="000D0101" w:rsidRDefault="003D5DB4" w:rsidP="000A5389">
          <w:pPr>
            <w:spacing w:line="240" w:lineRule="auto"/>
            <w:rPr>
              <w:rFonts w:eastAsia="Times New Roman"/>
              <w:lang w:eastAsia="es-CO"/>
            </w:rPr>
          </w:pPr>
          <w:r w:rsidRPr="000D0101">
            <w:rPr>
              <w:rFonts w:eastAsia="Times New Roman"/>
              <w:lang w:eastAsia="es-CO"/>
            </w:rPr>
            <w:t>Fecha de inicio: 28/12/2005</w:t>
          </w:r>
        </w:p>
        <w:p w14:paraId="7382A979" w14:textId="77777777" w:rsidR="003D5DB4" w:rsidRPr="000D0101" w:rsidRDefault="003D5DB4" w:rsidP="000A5389">
          <w:pPr>
            <w:spacing w:line="240" w:lineRule="auto"/>
            <w:rPr>
              <w:rFonts w:eastAsia="Times New Roman"/>
              <w:lang w:eastAsia="es-CO"/>
            </w:rPr>
          </w:pPr>
          <w:r w:rsidRPr="000D0101">
            <w:rPr>
              <w:rFonts w:eastAsia="Times New Roman"/>
              <w:lang w:eastAsia="es-CO"/>
            </w:rPr>
            <w:t>Fecha de finalización estimada: 27/12/2025</w:t>
          </w:r>
        </w:p>
        <w:p w14:paraId="76AC6F7B" w14:textId="77777777" w:rsidR="003D5DB4" w:rsidRPr="000D0101" w:rsidRDefault="003D5DB4" w:rsidP="000A5389">
          <w:pPr>
            <w:spacing w:line="240" w:lineRule="auto"/>
            <w:rPr>
              <w:rFonts w:eastAsia="Times New Roman"/>
              <w:lang w:eastAsia="es-CO"/>
            </w:rPr>
          </w:pPr>
          <w:r w:rsidRPr="000D0101">
            <w:rPr>
              <w:rFonts w:eastAsia="Times New Roman"/>
              <w:lang w:eastAsia="es-CO"/>
            </w:rPr>
            <w:t>Tipo ID: NIT</w:t>
          </w:r>
        </w:p>
        <w:p w14:paraId="503DAA82" w14:textId="77777777" w:rsidR="003D5DB4" w:rsidRPr="000D0101" w:rsidRDefault="003D5DB4" w:rsidP="000A5389">
          <w:pPr>
            <w:spacing w:line="240" w:lineRule="auto"/>
            <w:rPr>
              <w:rFonts w:eastAsia="Times New Roman"/>
              <w:lang w:eastAsia="es-CO"/>
            </w:rPr>
          </w:pPr>
          <w:r w:rsidRPr="000D0101">
            <w:rPr>
              <w:rFonts w:eastAsia="Times New Roman"/>
              <w:lang w:eastAsia="es-CO"/>
            </w:rPr>
            <w:t>Número ID: 830.117.995-8</w:t>
          </w:r>
        </w:p>
        <w:p w14:paraId="68C31B8F" w14:textId="77777777" w:rsidR="003D5DB4" w:rsidRPr="000D0101" w:rsidRDefault="003D5DB4" w:rsidP="000A5389">
          <w:pPr>
            <w:spacing w:line="240" w:lineRule="auto"/>
            <w:rPr>
              <w:rFonts w:eastAsia="Times New Roman"/>
              <w:lang w:eastAsia="es-CO"/>
            </w:rPr>
          </w:pPr>
          <w:r w:rsidRPr="000D0101">
            <w:rPr>
              <w:rFonts w:eastAsia="Times New Roman"/>
              <w:lang w:eastAsia="es-CO"/>
            </w:rPr>
            <w:t>Razón social del concesionario: Sociedad Portuaria Palermo S.A.</w:t>
          </w:r>
        </w:p>
        <w:p w14:paraId="20053117" w14:textId="77777777" w:rsidR="003D5DB4" w:rsidRPr="000D0101" w:rsidRDefault="003D5DB4" w:rsidP="000A5389">
          <w:pPr>
            <w:spacing w:line="240" w:lineRule="auto"/>
            <w:rPr>
              <w:rFonts w:eastAsia="Times New Roman"/>
              <w:lang w:eastAsia="es-CO"/>
            </w:rPr>
          </w:pPr>
          <w:r w:rsidRPr="000D0101">
            <w:rPr>
              <w:rFonts w:eastAsia="Times New Roman"/>
              <w:lang w:eastAsia="es-CO"/>
            </w:rPr>
            <w:t>Nombre del proyecto: Sociedad Portuaria Palermo S.A.</w:t>
          </w:r>
        </w:p>
        <w:p w14:paraId="023907AA" w14:textId="77777777" w:rsidR="003D5DB4" w:rsidRPr="000D0101" w:rsidRDefault="003D5DB4" w:rsidP="000A5389">
          <w:pPr>
            <w:spacing w:line="240" w:lineRule="auto"/>
            <w:rPr>
              <w:rFonts w:eastAsia="Times New Roman"/>
              <w:lang w:eastAsia="es-CO"/>
            </w:rPr>
          </w:pPr>
        </w:p>
        <w:p w14:paraId="60E7C319" w14:textId="77777777" w:rsidR="003D5DB4" w:rsidRPr="000D0101" w:rsidRDefault="003D5DB4" w:rsidP="000A5389">
          <w:pPr>
            <w:spacing w:line="240" w:lineRule="auto"/>
            <w:rPr>
              <w:rFonts w:eastAsia="Times New Roman"/>
              <w:lang w:eastAsia="es-CO"/>
            </w:rPr>
          </w:pPr>
          <w:r w:rsidRPr="000D0101">
            <w:rPr>
              <w:rFonts w:eastAsia="Times New Roman"/>
              <w:lang w:eastAsia="es-CO"/>
            </w:rPr>
            <w:t>b. Términos significativos del Acuerdo que puedan afectar su valor, el calendario y la certeza de los flujos de efectivo futuros</w:t>
          </w:r>
        </w:p>
        <w:p w14:paraId="363474B8" w14:textId="77777777" w:rsidR="003D5DB4" w:rsidRPr="000D0101" w:rsidRDefault="003D5DB4" w:rsidP="000A5389">
          <w:pPr>
            <w:spacing w:line="240" w:lineRule="auto"/>
            <w:rPr>
              <w:rFonts w:eastAsia="Times New Roman"/>
              <w:lang w:eastAsia="es-CO"/>
            </w:rPr>
          </w:pPr>
        </w:p>
        <w:p w14:paraId="156E9123" w14:textId="77777777" w:rsidR="003D5DB4" w:rsidRPr="000D0101" w:rsidRDefault="003D5DB4" w:rsidP="000A5389">
          <w:pPr>
            <w:spacing w:line="240" w:lineRule="auto"/>
            <w:rPr>
              <w:rFonts w:eastAsia="Times New Roman"/>
              <w:lang w:eastAsia="es-CO"/>
            </w:rPr>
          </w:pPr>
          <w:r w:rsidRPr="000D0101">
            <w:rPr>
              <w:rFonts w:eastAsia="Times New Roman"/>
              <w:lang w:eastAsia="es-CO"/>
            </w:rPr>
            <w:t>Términos de valor:</w:t>
          </w:r>
          <w:r w:rsidRPr="000D0101">
            <w:rPr>
              <w:rFonts w:eastAsia="Times New Roman"/>
              <w:lang w:eastAsia="es-CO"/>
            </w:rPr>
            <w:tab/>
            <w:t xml:space="preserve">1: Tarifas: Al ser el terminal marítimo de servicio privado la Ley 1 de 1991 establece: Las sociedades portuarias que operan puertos de servicio privado podrán fijar libremente sus tarifas, pero mantendrán informada sobre ellas a la Superintendencia General de Puertos hoy Superintendencia de Transporte.2: Contraprestación portuaria: De acuerdo con el último documento contractual vigente la metodología de contraprestación vigente es CONPES 2680 DE 1993 (Productividad). Se establece en la cláusula octava del Contrato que el CONCESIONARIO deberá pagar por concepto de zona de uso público la suma anual de (USD 7.790), de dicho pago el 80% le corresponde a la Nación (INVIAS-ANI) y el 20% restante al distrito de Coveñas de acuerdo con lo establecido en el parágrafo 1 del artículo 1 de la ley 856 del 21 de diciembre de 2003, que modifica el artículo 7 de la ley 1ª de 1991. Así mismo, por concepto de infraestructura el CONCESIONARIO deberá pagar la suma anual de (USD 3.371,92), el cual corresponde en un 100% a la Nación - (INVIAS-ANI) de acuerdo con lo establecido en el artículo 1 de la ley 856 del 21 diciembre de 2003.3: Plan de Inversiones: está establecido en la cláusula séptima del contrato que el plan de inversión será de USD $150.000 en valores corrientes. Obligaciones del CONCESIONARIO: se encuentran descritas en la cláusula décima quinta del contrato. Multas y sanciones: están establecidas en la cláusula décima octava del contrato. Penal pecuniario: En la cláusula décima novena se </w:t>
          </w:r>
          <w:r w:rsidRPr="000D0101">
            <w:rPr>
              <w:rFonts w:eastAsia="Times New Roman"/>
              <w:lang w:eastAsia="es-CO"/>
            </w:rPr>
            <w:lastRenderedPageBreak/>
            <w:t>establece que en el evento en que el INCO hoy ANI declare la caducidad o el incumplimiento del presente contrato se podrá imponer una penalidad pecuniaria del 10% del valor total de la contraprestación.</w:t>
          </w:r>
        </w:p>
        <w:p w14:paraId="4DC29A78" w14:textId="77777777" w:rsidR="003D5DB4" w:rsidRPr="000D0101" w:rsidRDefault="003D5DB4" w:rsidP="000A5389">
          <w:pPr>
            <w:spacing w:line="240" w:lineRule="auto"/>
            <w:rPr>
              <w:rFonts w:eastAsia="Times New Roman"/>
              <w:lang w:eastAsia="es-CO"/>
            </w:rPr>
          </w:pPr>
        </w:p>
        <w:p w14:paraId="3DACD49F" w14:textId="77777777" w:rsidR="003D5DB4" w:rsidRPr="000D0101" w:rsidRDefault="003D5DB4" w:rsidP="000A5389">
          <w:pPr>
            <w:spacing w:line="240" w:lineRule="auto"/>
            <w:rPr>
              <w:rFonts w:eastAsia="Times New Roman"/>
              <w:lang w:eastAsia="es-CO"/>
            </w:rPr>
          </w:pPr>
          <w:r w:rsidRPr="000D0101">
            <w:rPr>
              <w:rFonts w:eastAsia="Times New Roman"/>
              <w:lang w:eastAsia="es-CO"/>
            </w:rPr>
            <w:t>Términos de calendario: 1: Tarifas: Aprobadas según la metodología establecida por la Superintendencia General de Puertos hoy Superintendencia de Transporte.2: Contraprestación portuaria: la contraprestación se debe pagar de manera anual anticipada desde el mes de enero de cada año3: Plan de inversiones: Se estableció en la cláusula séptima del contrato ejecución de inversiones en el periodo de tiempo comprendido entre el año 2005 a 2006.4: Multas: Cláusula décima octava contrato 001 de 2005.</w:t>
          </w:r>
        </w:p>
        <w:p w14:paraId="2A65A83D" w14:textId="77777777" w:rsidR="003D5DB4" w:rsidRPr="000D0101" w:rsidRDefault="003D5DB4" w:rsidP="000A5389">
          <w:pPr>
            <w:spacing w:line="240" w:lineRule="auto"/>
            <w:rPr>
              <w:rFonts w:eastAsia="Times New Roman"/>
              <w:lang w:eastAsia="es-CO"/>
            </w:rPr>
          </w:pPr>
        </w:p>
        <w:p w14:paraId="18F3E2C9" w14:textId="77777777" w:rsidR="003D5DB4" w:rsidRPr="000D0101" w:rsidRDefault="003D5DB4" w:rsidP="000A5389">
          <w:pPr>
            <w:spacing w:line="240" w:lineRule="auto"/>
            <w:rPr>
              <w:rFonts w:eastAsia="Times New Roman"/>
              <w:lang w:eastAsia="es-CO"/>
            </w:rPr>
          </w:pPr>
          <w:r w:rsidRPr="000D0101">
            <w:rPr>
              <w:rFonts w:eastAsia="Times New Roman"/>
              <w:lang w:eastAsia="es-CO"/>
            </w:rPr>
            <w:t>Términos de certeza de flujos de efectivo futuros: Se otorga a EL CONCESIONARIO formalmente una concesión portuaria al Concesionario, para ocupar y utilizar en forma temporal y exclusiva los bienes pertenecientes a la Nación determinados en la cláusula segunda del contrato, ubicados en el municipio de Coveñas, Departamento de Sucre, para el manejo de combustibles líquidos, por el tiempo de ejecución estipulado, a cambio de la contraprestación establecida en la cláusula octava del contrato. Cláusula octava, numeral 8.1 Del valor a pagar por concepto de contraprestación por Zona de Uso público el 80% le corresponde a la Nación-(INVIAS-ANI) y el 20 % al municipio de Coveñas (Sucre) y por Infraestructura el 100% a la Nación-(INVIAS-ANI).</w:t>
          </w:r>
        </w:p>
        <w:p w14:paraId="5F4FFC74" w14:textId="77777777" w:rsidR="003D5DB4" w:rsidRPr="000D0101" w:rsidRDefault="003D5DB4" w:rsidP="000A5389">
          <w:pPr>
            <w:spacing w:line="240" w:lineRule="auto"/>
            <w:rPr>
              <w:rFonts w:eastAsia="Times New Roman"/>
              <w:lang w:eastAsia="es-CO"/>
            </w:rPr>
          </w:pPr>
        </w:p>
        <w:p w14:paraId="1A94DA44" w14:textId="77777777" w:rsidR="003D5DB4" w:rsidRPr="000D0101" w:rsidRDefault="003D5DB4" w:rsidP="000A5389">
          <w:pPr>
            <w:spacing w:line="240" w:lineRule="auto"/>
            <w:rPr>
              <w:rFonts w:eastAsia="Times New Roman"/>
              <w:lang w:eastAsia="es-CO"/>
            </w:rPr>
          </w:pPr>
          <w:r w:rsidRPr="000D0101">
            <w:rPr>
              <w:rFonts w:eastAsia="Times New Roman"/>
              <w:lang w:eastAsia="es-CO"/>
            </w:rPr>
            <w:t>c. Naturaleza y alcance del derecho a utilizar Activos y los aspectos pactados en torno a lo que se espera que el concesionario proporcione en relación con el Acuerdo de concesión</w:t>
          </w:r>
        </w:p>
        <w:p w14:paraId="5B861A4C" w14:textId="77777777" w:rsidR="003D5DB4" w:rsidRPr="000D0101" w:rsidRDefault="003D5DB4" w:rsidP="000A5389">
          <w:pPr>
            <w:spacing w:line="240" w:lineRule="auto"/>
            <w:rPr>
              <w:rFonts w:eastAsia="Times New Roman"/>
              <w:lang w:eastAsia="es-CO"/>
            </w:rPr>
          </w:pPr>
        </w:p>
        <w:p w14:paraId="42ABCD45" w14:textId="77777777" w:rsidR="003D5DB4" w:rsidRPr="000D0101" w:rsidRDefault="003D5DB4" w:rsidP="000A5389">
          <w:pPr>
            <w:spacing w:line="240" w:lineRule="auto"/>
            <w:rPr>
              <w:rFonts w:eastAsia="Times New Roman"/>
              <w:lang w:eastAsia="es-CO"/>
            </w:rPr>
          </w:pPr>
          <w:r w:rsidRPr="000D0101">
            <w:rPr>
              <w:rFonts w:eastAsia="Times New Roman"/>
              <w:lang w:eastAsia="es-CO"/>
            </w:rPr>
            <w:t>Naturaleza y alcance del derecho de uso de los Activos</w:t>
          </w:r>
        </w:p>
        <w:p w14:paraId="53EEACFA" w14:textId="77777777" w:rsidR="003D5DB4" w:rsidRPr="000D0101" w:rsidRDefault="003D5DB4" w:rsidP="000A5389">
          <w:pPr>
            <w:spacing w:line="240" w:lineRule="auto"/>
            <w:rPr>
              <w:rFonts w:eastAsia="Times New Roman"/>
              <w:lang w:eastAsia="es-CO"/>
            </w:rPr>
          </w:pPr>
          <w:r w:rsidRPr="000D0101">
            <w:rPr>
              <w:rFonts w:eastAsia="Times New Roman"/>
              <w:lang w:eastAsia="es-CO"/>
            </w:rPr>
            <w:t>Descripción:</w:t>
          </w:r>
          <w:r w:rsidRPr="000D0101">
            <w:rPr>
              <w:rFonts w:eastAsia="Times New Roman"/>
              <w:lang w:eastAsia="es-CO"/>
            </w:rPr>
            <w:tab/>
            <w:t xml:space="preserve">En virtud del contrato de concesión N° 001 de 2005 El INCO otorga formalmente una concesión portuaria al CONCESIONARIO, para ocupar y utilizar en forma temporal y exclusiva los bienes pertenecientes a la Nación determinados en la cláusula segunda del presente contrato, ubicados en el Municipio de Coveñas, Departamento de Sucre, para el manejo de combustibles líquidos, por el tiempo de ejecución estipulado, a cambio de la contraprestación establecida en la cláusula octava de este contrato. Área entregada en concesión: La concesión se otorga sobre la zona de uso público y las construcciones portuarias allí levantadas que incluye la playa, los terrenos de bajamar, las aguas accesorias y de maniobra, que se encuentran ubicadas en el municipio de Coveñas, Departamento de Sucre y que se precisan con sus respectivas coordenadas en la cláusula segunda del contrato de concesión N°001 de 2005.Infraestructura y equipos entregados en concesión: plataforma exterior, muelle construido en madera en forma de espigón, caseta subestación eléctrica, caseta contra incendios, caseta de operaciones, plataforma central, pasarela de acceso. </w:t>
          </w:r>
        </w:p>
        <w:p w14:paraId="066ED5A8" w14:textId="77777777" w:rsidR="003D5DB4" w:rsidRPr="000D0101" w:rsidRDefault="003D5DB4" w:rsidP="000A5389">
          <w:pPr>
            <w:spacing w:line="240" w:lineRule="auto"/>
            <w:rPr>
              <w:rFonts w:eastAsia="Times New Roman"/>
              <w:lang w:eastAsia="es-CO"/>
            </w:rPr>
          </w:pPr>
        </w:p>
        <w:p w14:paraId="6507318C" w14:textId="77777777" w:rsidR="003D5DB4" w:rsidRPr="000D0101" w:rsidRDefault="003D5DB4" w:rsidP="000A5389">
          <w:pPr>
            <w:spacing w:line="240" w:lineRule="auto"/>
            <w:rPr>
              <w:rFonts w:eastAsia="Times New Roman"/>
              <w:lang w:eastAsia="es-CO"/>
            </w:rPr>
          </w:pPr>
          <w:r w:rsidRPr="000D0101">
            <w:rPr>
              <w:rFonts w:eastAsia="Times New Roman"/>
              <w:lang w:eastAsia="es-CO"/>
            </w:rPr>
            <w:t>Observaciones: N/A</w:t>
          </w:r>
        </w:p>
        <w:p w14:paraId="6004A571" w14:textId="77777777" w:rsidR="003D5DB4" w:rsidRPr="000D0101" w:rsidRDefault="003D5DB4" w:rsidP="000A5389">
          <w:pPr>
            <w:spacing w:line="240" w:lineRule="auto"/>
            <w:rPr>
              <w:rFonts w:eastAsia="Times New Roman"/>
              <w:lang w:eastAsia="es-CO"/>
            </w:rPr>
          </w:pPr>
        </w:p>
        <w:p w14:paraId="2D4BDB3C" w14:textId="77777777" w:rsidR="003D5DB4" w:rsidRPr="000D0101" w:rsidRDefault="003D5DB4" w:rsidP="000A5389">
          <w:pPr>
            <w:spacing w:line="240" w:lineRule="auto"/>
            <w:rPr>
              <w:rFonts w:eastAsia="Times New Roman"/>
              <w:lang w:eastAsia="es-CO"/>
            </w:rPr>
          </w:pPr>
          <w:r w:rsidRPr="000D0101">
            <w:rPr>
              <w:rFonts w:eastAsia="Times New Roman"/>
              <w:lang w:eastAsia="es-CO"/>
            </w:rPr>
            <w:t>Retribución al concesionario</w:t>
          </w:r>
        </w:p>
        <w:p w14:paraId="522657F3" w14:textId="77777777" w:rsidR="003D5DB4" w:rsidRPr="000D0101" w:rsidRDefault="003D5DB4" w:rsidP="000A5389">
          <w:pPr>
            <w:spacing w:line="240" w:lineRule="auto"/>
            <w:rPr>
              <w:rFonts w:eastAsia="Times New Roman"/>
              <w:lang w:eastAsia="es-CO"/>
            </w:rPr>
          </w:pPr>
        </w:p>
        <w:p w14:paraId="2408E63D" w14:textId="77777777" w:rsidR="003D5DB4" w:rsidRPr="000D0101" w:rsidRDefault="003D5DB4" w:rsidP="000A5389">
          <w:pPr>
            <w:spacing w:line="240" w:lineRule="auto"/>
            <w:rPr>
              <w:rFonts w:eastAsia="Times New Roman"/>
              <w:lang w:eastAsia="es-CO"/>
            </w:rPr>
          </w:pPr>
          <w:r w:rsidRPr="000D0101">
            <w:rPr>
              <w:rFonts w:eastAsia="Times New Roman"/>
              <w:lang w:eastAsia="es-CO"/>
            </w:rPr>
            <w:lastRenderedPageBreak/>
            <w:t>Descripción:</w:t>
          </w:r>
          <w:r w:rsidRPr="000D0101">
            <w:rPr>
              <w:rFonts w:eastAsia="Times New Roman"/>
              <w:lang w:eastAsia="es-CO"/>
            </w:rPr>
            <w:tab/>
            <w:t>Se otorga a EL CONCESIONARIO formalmente una concesión portuaria al Concesionario, para ocupar y utilizar en forma temporal y exclusiva los bienes pertenecientes a la Nación determinados en la cláusula segunda del contrato, ubicados en el municipio de Coveñas, Departamento de Sucre, para el manejo de combustibles líquidos, por el tiempo de ejecución estipulado, a cambio de la contraprestación establecida en la cláusula octava del contrato.</w:t>
          </w:r>
        </w:p>
        <w:p w14:paraId="0475674A" w14:textId="77777777" w:rsidR="003D5DB4" w:rsidRPr="000D0101" w:rsidRDefault="003D5DB4" w:rsidP="000A5389">
          <w:pPr>
            <w:spacing w:line="240" w:lineRule="auto"/>
            <w:rPr>
              <w:rFonts w:eastAsia="Times New Roman"/>
              <w:lang w:eastAsia="es-CO"/>
            </w:rPr>
          </w:pPr>
        </w:p>
        <w:p w14:paraId="27082D0B" w14:textId="77777777" w:rsidR="003D5DB4" w:rsidRPr="000D0101" w:rsidRDefault="003D5DB4" w:rsidP="000A5389">
          <w:pPr>
            <w:spacing w:line="240" w:lineRule="auto"/>
            <w:rPr>
              <w:rFonts w:eastAsia="Times New Roman"/>
              <w:lang w:eastAsia="es-CO"/>
            </w:rPr>
          </w:pPr>
          <w:r w:rsidRPr="000D0101">
            <w:rPr>
              <w:rFonts w:eastAsia="Times New Roman"/>
              <w:lang w:eastAsia="es-CO"/>
            </w:rPr>
            <w:t>Tasa de retribución:</w:t>
          </w:r>
          <w:r w:rsidRPr="000D0101">
            <w:rPr>
              <w:rFonts w:eastAsia="Times New Roman"/>
              <w:lang w:eastAsia="es-CO"/>
            </w:rPr>
            <w:tab/>
            <w:t>N/A</w:t>
          </w:r>
        </w:p>
        <w:p w14:paraId="7FB4CA72" w14:textId="77777777" w:rsidR="003D5DB4" w:rsidRPr="000D0101" w:rsidRDefault="003D5DB4" w:rsidP="000A5389">
          <w:pPr>
            <w:spacing w:line="240" w:lineRule="auto"/>
            <w:rPr>
              <w:rFonts w:eastAsia="Times New Roman"/>
              <w:lang w:eastAsia="es-CO"/>
            </w:rPr>
          </w:pPr>
        </w:p>
        <w:p w14:paraId="55C7743E" w14:textId="77777777" w:rsidR="003D5DB4" w:rsidRPr="000D0101" w:rsidRDefault="003D5DB4" w:rsidP="000A5389">
          <w:pPr>
            <w:spacing w:line="240" w:lineRule="auto"/>
            <w:rPr>
              <w:rFonts w:eastAsia="Times New Roman"/>
              <w:lang w:eastAsia="es-CO"/>
            </w:rPr>
          </w:pPr>
          <w:r w:rsidRPr="000D0101">
            <w:rPr>
              <w:rFonts w:eastAsia="Times New Roman"/>
              <w:lang w:eastAsia="es-CO"/>
            </w:rPr>
            <w:t>d. Derechos a recibir Activos especificados al final del acuerdo de concesión</w:t>
          </w:r>
        </w:p>
        <w:p w14:paraId="5FC3600A" w14:textId="77777777" w:rsidR="003D5DB4" w:rsidRPr="000D0101" w:rsidRDefault="003D5DB4" w:rsidP="000A5389">
          <w:pPr>
            <w:spacing w:line="240" w:lineRule="auto"/>
            <w:rPr>
              <w:rFonts w:eastAsia="Times New Roman"/>
              <w:lang w:eastAsia="es-CO"/>
            </w:rPr>
          </w:pPr>
        </w:p>
        <w:p w14:paraId="65484097" w14:textId="77777777" w:rsidR="003D5DB4" w:rsidRPr="000D0101" w:rsidRDefault="003D5DB4" w:rsidP="000A5389">
          <w:pPr>
            <w:spacing w:line="240" w:lineRule="auto"/>
            <w:rPr>
              <w:rFonts w:eastAsia="Times New Roman"/>
              <w:lang w:eastAsia="es-CO"/>
            </w:rPr>
          </w:pPr>
          <w:r w:rsidRPr="000D0101">
            <w:rPr>
              <w:rFonts w:eastAsia="Times New Roman"/>
              <w:lang w:eastAsia="es-CO"/>
            </w:rPr>
            <w:t>Descripción:</w:t>
          </w:r>
          <w:r w:rsidRPr="000D0101">
            <w:rPr>
              <w:rFonts w:eastAsia="Times New Roman"/>
              <w:lang w:eastAsia="es-CO"/>
            </w:rPr>
            <w:tab/>
            <w:t>De acuerdo con el Artículo 8º de la Ley 1 de 1991 en el modo portuario el concesionario no tiene derechos finales sobre activos, los debe revertir a la Nación al final del contrato de concesión.</w:t>
          </w:r>
        </w:p>
        <w:p w14:paraId="1FE2BC58" w14:textId="77777777" w:rsidR="003D5DB4" w:rsidRPr="000D0101" w:rsidRDefault="003D5DB4" w:rsidP="000A5389">
          <w:pPr>
            <w:spacing w:line="240" w:lineRule="auto"/>
            <w:rPr>
              <w:rFonts w:eastAsia="Times New Roman"/>
              <w:lang w:eastAsia="es-CO"/>
            </w:rPr>
          </w:pPr>
        </w:p>
        <w:p w14:paraId="58604D7D" w14:textId="77777777" w:rsidR="003D5DB4" w:rsidRPr="000D0101" w:rsidRDefault="003D5DB4" w:rsidP="000A5389">
          <w:pPr>
            <w:spacing w:line="240" w:lineRule="auto"/>
            <w:rPr>
              <w:rFonts w:eastAsia="Times New Roman"/>
              <w:lang w:eastAsia="es-CO"/>
            </w:rPr>
          </w:pPr>
          <w:r w:rsidRPr="000D0101">
            <w:rPr>
              <w:rFonts w:eastAsia="Times New Roman"/>
              <w:lang w:eastAsia="es-CO"/>
            </w:rPr>
            <w:t>Observaciones: Reversión: De acuerdo con lo establecido en la cláusula novena del contrato de concesión, todas las construcciones e inmuebles por destinación, que se encuentren instalados en la zona de uso público otorgada en concesión revertirán gratuitamente por el Concesionario. Para tal fin, en el momento de la reversión el CONCESIONARIO elaborará un inventario de los bienes y los enviará para su revisión y aprobación. La ANI es la entidad concedente pero la titularidad de los activos al final de la concesión es del Instituto Nacional de Vías INVIAS.</w:t>
          </w:r>
        </w:p>
        <w:p w14:paraId="0189A63B" w14:textId="77777777" w:rsidR="003D5DB4" w:rsidRPr="000D0101" w:rsidRDefault="003D5DB4" w:rsidP="000A5389">
          <w:pPr>
            <w:spacing w:line="240" w:lineRule="auto"/>
            <w:rPr>
              <w:rFonts w:eastAsia="Times New Roman"/>
              <w:lang w:eastAsia="es-CO"/>
            </w:rPr>
          </w:pPr>
        </w:p>
        <w:p w14:paraId="18BAD58A" w14:textId="77777777" w:rsidR="003D5DB4" w:rsidRPr="000D0101" w:rsidRDefault="003D5DB4" w:rsidP="000A5389">
          <w:pPr>
            <w:spacing w:line="240" w:lineRule="auto"/>
            <w:rPr>
              <w:rFonts w:eastAsia="Times New Roman"/>
              <w:lang w:eastAsia="es-CO"/>
            </w:rPr>
          </w:pPr>
          <w:r w:rsidRPr="000D0101">
            <w:rPr>
              <w:rFonts w:eastAsia="Times New Roman"/>
              <w:lang w:eastAsia="es-CO"/>
            </w:rPr>
            <w:t>e. Las alternativas de renovación y cese del acuerdo</w:t>
          </w:r>
        </w:p>
        <w:p w14:paraId="529EDA23" w14:textId="77777777" w:rsidR="003D5DB4" w:rsidRPr="000D0101" w:rsidRDefault="003D5DB4" w:rsidP="000A5389">
          <w:pPr>
            <w:spacing w:line="240" w:lineRule="auto"/>
            <w:rPr>
              <w:rFonts w:eastAsia="Times New Roman"/>
              <w:lang w:eastAsia="es-CO"/>
            </w:rPr>
          </w:pPr>
        </w:p>
        <w:p w14:paraId="33234F3D" w14:textId="77777777" w:rsidR="003D5DB4" w:rsidRPr="000D0101" w:rsidRDefault="003D5DB4" w:rsidP="000A5389">
          <w:pPr>
            <w:spacing w:line="240" w:lineRule="auto"/>
            <w:rPr>
              <w:rFonts w:eastAsia="Times New Roman"/>
              <w:lang w:eastAsia="es-CO"/>
            </w:rPr>
          </w:pPr>
          <w:r w:rsidRPr="000D0101">
            <w:rPr>
              <w:rFonts w:eastAsia="Times New Roman"/>
              <w:lang w:eastAsia="es-CO"/>
            </w:rPr>
            <w:t>Descripción:</w:t>
          </w:r>
          <w:r w:rsidRPr="000D0101">
            <w:rPr>
              <w:rFonts w:eastAsia="Times New Roman"/>
              <w:lang w:eastAsia="es-CO"/>
            </w:rPr>
            <w:tab/>
            <w:t>La CLÁUSULA DÉCIMA PRIMERA del contrato de concesión, indica las alternativas de renovación del mismo. La CLÁUSULA VIGÉSIMA PRIMERA del contrato, indica el cese del acuerdo.</w:t>
          </w:r>
        </w:p>
        <w:p w14:paraId="6CA3A323" w14:textId="77777777" w:rsidR="003D5DB4" w:rsidRPr="000D0101" w:rsidRDefault="003D5DB4" w:rsidP="000A5389">
          <w:pPr>
            <w:spacing w:line="240" w:lineRule="auto"/>
            <w:rPr>
              <w:rFonts w:eastAsia="Times New Roman"/>
              <w:lang w:eastAsia="es-CO"/>
            </w:rPr>
          </w:pPr>
        </w:p>
        <w:p w14:paraId="5CB65699" w14:textId="77777777" w:rsidR="003D5DB4" w:rsidRPr="000D0101" w:rsidRDefault="003D5DB4" w:rsidP="000A5389">
          <w:pPr>
            <w:spacing w:line="240" w:lineRule="auto"/>
            <w:rPr>
              <w:rFonts w:eastAsia="Times New Roman"/>
              <w:lang w:eastAsia="es-CO"/>
            </w:rPr>
          </w:pPr>
          <w:r w:rsidRPr="000D0101">
            <w:rPr>
              <w:rFonts w:eastAsia="Times New Roman"/>
              <w:lang w:eastAsia="es-CO"/>
            </w:rPr>
            <w:t>Observaciones: No se tiene ninguna observación.</w:t>
          </w:r>
        </w:p>
        <w:p w14:paraId="5A25002D" w14:textId="77777777" w:rsidR="003D5DB4" w:rsidRPr="000D0101" w:rsidRDefault="003D5DB4" w:rsidP="000A5389">
          <w:pPr>
            <w:spacing w:line="240" w:lineRule="auto"/>
            <w:rPr>
              <w:rFonts w:eastAsia="Times New Roman"/>
              <w:lang w:eastAsia="es-CO"/>
            </w:rPr>
          </w:pPr>
        </w:p>
        <w:p w14:paraId="58849AF5" w14:textId="77777777" w:rsidR="003D5DB4" w:rsidRPr="000D0101" w:rsidRDefault="003D5DB4" w:rsidP="000A5389">
          <w:pPr>
            <w:spacing w:line="240" w:lineRule="auto"/>
            <w:rPr>
              <w:rFonts w:eastAsia="Times New Roman"/>
              <w:lang w:eastAsia="es-CO"/>
            </w:rPr>
          </w:pPr>
          <w:r w:rsidRPr="000D0101">
            <w:rPr>
              <w:rFonts w:eastAsia="Times New Roman"/>
              <w:lang w:eastAsia="es-CO"/>
            </w:rPr>
            <w:t>f. Cambios en el acuerdo de concesión que se realicen durante el periodo fiscal</w:t>
          </w:r>
        </w:p>
        <w:p w14:paraId="72399652" w14:textId="77777777" w:rsidR="003D5DB4" w:rsidRPr="000D0101" w:rsidRDefault="003D5DB4" w:rsidP="000A5389">
          <w:pPr>
            <w:spacing w:line="240" w:lineRule="auto"/>
            <w:rPr>
              <w:rFonts w:eastAsia="Times New Roman"/>
              <w:lang w:eastAsia="es-CO"/>
            </w:rPr>
          </w:pPr>
        </w:p>
        <w:p w14:paraId="2648C885" w14:textId="77777777" w:rsidR="003D5DB4" w:rsidRPr="000D0101" w:rsidRDefault="003D5DB4" w:rsidP="000A5389">
          <w:pPr>
            <w:spacing w:line="240" w:lineRule="auto"/>
            <w:rPr>
              <w:rFonts w:eastAsia="Times New Roman"/>
              <w:lang w:eastAsia="es-CO"/>
            </w:rPr>
          </w:pPr>
          <w:r w:rsidRPr="000D0101">
            <w:rPr>
              <w:rFonts w:eastAsia="Times New Roman"/>
              <w:lang w:eastAsia="es-CO"/>
            </w:rPr>
            <w:t>Adiciones o modificaciones en tiempo</w:t>
          </w:r>
        </w:p>
        <w:p w14:paraId="51414C30" w14:textId="77777777" w:rsidR="003D5DB4" w:rsidRPr="000D0101" w:rsidRDefault="003D5DB4" w:rsidP="000A5389">
          <w:pPr>
            <w:spacing w:line="240" w:lineRule="auto"/>
            <w:rPr>
              <w:rFonts w:eastAsia="Times New Roman"/>
              <w:lang w:eastAsia="es-CO"/>
            </w:rPr>
          </w:pPr>
          <w:r w:rsidRPr="000D0101">
            <w:rPr>
              <w:rFonts w:eastAsia="Times New Roman"/>
              <w:lang w:eastAsia="es-CO"/>
            </w:rPr>
            <w:t>Fechas de las adiciones o modificaciones:</w:t>
          </w:r>
          <w:r w:rsidRPr="000D0101">
            <w:rPr>
              <w:rFonts w:eastAsia="Times New Roman"/>
              <w:lang w:eastAsia="es-CO"/>
            </w:rPr>
            <w:tab/>
            <w:t>N/A</w:t>
          </w:r>
        </w:p>
        <w:p w14:paraId="5114BE47" w14:textId="77777777" w:rsidR="003D5DB4" w:rsidRPr="000D0101" w:rsidRDefault="003D5DB4" w:rsidP="000A5389">
          <w:pPr>
            <w:spacing w:line="240" w:lineRule="auto"/>
            <w:rPr>
              <w:rFonts w:eastAsia="Times New Roman"/>
              <w:lang w:eastAsia="es-CO"/>
            </w:rPr>
          </w:pPr>
          <w:r w:rsidRPr="000D0101">
            <w:rPr>
              <w:rFonts w:eastAsia="Times New Roman"/>
              <w:lang w:eastAsia="es-CO"/>
            </w:rPr>
            <w:t>Nueva fecha de finalización estimada: N/A</w:t>
          </w:r>
        </w:p>
        <w:p w14:paraId="23D498C4" w14:textId="77777777" w:rsidR="003D5DB4" w:rsidRPr="000D0101" w:rsidRDefault="003D5DB4" w:rsidP="000A5389">
          <w:pPr>
            <w:spacing w:line="240" w:lineRule="auto"/>
            <w:rPr>
              <w:rFonts w:eastAsia="Times New Roman"/>
              <w:lang w:eastAsia="es-CO"/>
            </w:rPr>
          </w:pPr>
          <w:r w:rsidRPr="000D0101">
            <w:rPr>
              <w:rFonts w:eastAsia="Times New Roman"/>
              <w:lang w:eastAsia="es-CO"/>
            </w:rPr>
            <w:t>Observaciones: Otrosí No. 1 firmado el 12 de mayo de 2006, incorporando la cláusula de prórroga</w:t>
          </w:r>
        </w:p>
        <w:p w14:paraId="2DF54B0E" w14:textId="77777777" w:rsidR="003D5DB4" w:rsidRPr="000D0101" w:rsidRDefault="003D5DB4" w:rsidP="000A5389">
          <w:pPr>
            <w:spacing w:line="240" w:lineRule="auto"/>
            <w:rPr>
              <w:rFonts w:eastAsia="Times New Roman"/>
              <w:lang w:eastAsia="es-CO"/>
            </w:rPr>
          </w:pPr>
          <w:r w:rsidRPr="000D0101">
            <w:rPr>
              <w:rFonts w:eastAsia="Times New Roman"/>
              <w:lang w:eastAsia="es-CO"/>
            </w:rPr>
            <w:t>Adiciones o modificaciones en valor</w:t>
          </w:r>
        </w:p>
        <w:p w14:paraId="364D263D" w14:textId="77777777" w:rsidR="003D5DB4" w:rsidRPr="000D0101" w:rsidRDefault="003D5DB4" w:rsidP="000A5389">
          <w:pPr>
            <w:spacing w:line="240" w:lineRule="auto"/>
            <w:rPr>
              <w:rFonts w:eastAsia="Times New Roman"/>
              <w:lang w:eastAsia="es-CO"/>
            </w:rPr>
          </w:pPr>
          <w:r w:rsidRPr="000D0101">
            <w:rPr>
              <w:rFonts w:eastAsia="Times New Roman"/>
              <w:lang w:eastAsia="es-CO"/>
            </w:rPr>
            <w:t>Valor de la adición o modificación: Se desarrolló una inversión en infraestructura portuaria de 150.000 USD mediante Otrosí No. 1</w:t>
          </w:r>
        </w:p>
        <w:p w14:paraId="48C0B6F2" w14:textId="77777777" w:rsidR="003D5DB4" w:rsidRPr="000D0101" w:rsidRDefault="003D5DB4" w:rsidP="000A5389">
          <w:pPr>
            <w:spacing w:line="240" w:lineRule="auto"/>
            <w:rPr>
              <w:rFonts w:eastAsia="Times New Roman"/>
              <w:lang w:eastAsia="es-CO"/>
            </w:rPr>
          </w:pPr>
          <w:r w:rsidRPr="000D0101">
            <w:rPr>
              <w:rFonts w:eastAsia="Times New Roman"/>
              <w:lang w:eastAsia="es-CO"/>
            </w:rPr>
            <w:t>Nuevo valor del acuerdo: N/A</w:t>
          </w:r>
        </w:p>
        <w:p w14:paraId="24373204" w14:textId="77777777" w:rsidR="003D5DB4" w:rsidRPr="000D0101" w:rsidRDefault="003D5DB4" w:rsidP="000A5389">
          <w:pPr>
            <w:spacing w:line="240" w:lineRule="auto"/>
            <w:rPr>
              <w:rFonts w:eastAsia="Times New Roman"/>
              <w:lang w:eastAsia="es-CO"/>
            </w:rPr>
          </w:pPr>
          <w:r w:rsidRPr="000D0101">
            <w:rPr>
              <w:rFonts w:eastAsia="Times New Roman"/>
              <w:lang w:eastAsia="es-CO"/>
            </w:rPr>
            <w:t>Observaciones: N/A</w:t>
          </w:r>
        </w:p>
        <w:p w14:paraId="74867D98" w14:textId="77777777" w:rsidR="003D5DB4" w:rsidRPr="000D0101" w:rsidRDefault="003D5DB4" w:rsidP="000A5389">
          <w:pPr>
            <w:spacing w:line="240" w:lineRule="auto"/>
            <w:rPr>
              <w:rFonts w:eastAsia="Times New Roman"/>
              <w:lang w:eastAsia="es-CO"/>
            </w:rPr>
          </w:pPr>
        </w:p>
        <w:p w14:paraId="668D2E9F" w14:textId="77777777" w:rsidR="003D5DB4" w:rsidRPr="000D0101" w:rsidRDefault="003D5DB4" w:rsidP="000A5389">
          <w:pPr>
            <w:spacing w:line="240" w:lineRule="auto"/>
            <w:rPr>
              <w:rFonts w:eastAsia="Times New Roman"/>
              <w:lang w:eastAsia="es-CO"/>
            </w:rPr>
          </w:pPr>
        </w:p>
        <w:p w14:paraId="51427416" w14:textId="77777777" w:rsidR="003D5DB4" w:rsidRPr="00EE35D4" w:rsidRDefault="003D5DB4" w:rsidP="000A5389">
          <w:pPr>
            <w:spacing w:line="240" w:lineRule="auto"/>
            <w:rPr>
              <w:rFonts w:eastAsia="Times New Roman"/>
              <w:i/>
              <w:iCs/>
              <w:lang w:eastAsia="es-CO"/>
            </w:rPr>
          </w:pPr>
          <w:r w:rsidRPr="00EE35D4">
            <w:rPr>
              <w:rFonts w:eastAsia="Times New Roman"/>
              <w:i/>
              <w:iCs/>
              <w:lang w:eastAsia="es-CO"/>
            </w:rPr>
            <w:t>SOCIEDAD PORTUARIA PEDRO MARQUINEZ CUERO S. A.</w:t>
          </w:r>
        </w:p>
        <w:p w14:paraId="7D6C4029" w14:textId="77777777" w:rsidR="003D5DB4" w:rsidRPr="000D0101" w:rsidRDefault="003D5DB4" w:rsidP="000A5389">
          <w:pPr>
            <w:spacing w:line="240" w:lineRule="auto"/>
          </w:pPr>
        </w:p>
        <w:p w14:paraId="3CE672BC" w14:textId="77777777" w:rsidR="003D5DB4" w:rsidRPr="000D0101" w:rsidRDefault="003D5DB4" w:rsidP="000A5389">
          <w:pPr>
            <w:spacing w:line="240" w:lineRule="auto"/>
          </w:pPr>
          <w:r w:rsidRPr="000D0101">
            <w:t>a. Descripción del Acuerdo</w:t>
          </w:r>
        </w:p>
        <w:p w14:paraId="6FCC6A4A" w14:textId="77777777" w:rsidR="003D5DB4" w:rsidRPr="000D0101" w:rsidRDefault="003D5DB4" w:rsidP="000A5389">
          <w:pPr>
            <w:spacing w:line="240" w:lineRule="auto"/>
          </w:pPr>
        </w:p>
        <w:p w14:paraId="10168A7A" w14:textId="77777777" w:rsidR="003D5DB4" w:rsidRPr="000D0101" w:rsidRDefault="003D5DB4" w:rsidP="000A5389">
          <w:pPr>
            <w:spacing w:line="240" w:lineRule="auto"/>
          </w:pPr>
          <w:r w:rsidRPr="000D0101">
            <w:t>Número del Acuerdo de concesión: Resolución de otorgamiento No. 1493 de 2018.</w:t>
          </w:r>
        </w:p>
        <w:p w14:paraId="4BCB2BE2" w14:textId="77777777" w:rsidR="003D5DB4" w:rsidRPr="000D0101" w:rsidRDefault="003D5DB4" w:rsidP="000A5389">
          <w:pPr>
            <w:spacing w:line="240" w:lineRule="auto"/>
          </w:pPr>
        </w:p>
        <w:p w14:paraId="4C5F5478" w14:textId="77777777" w:rsidR="003D5DB4" w:rsidRPr="000D0101" w:rsidRDefault="003D5DB4" w:rsidP="000A5389">
          <w:pPr>
            <w:spacing w:line="240" w:lineRule="auto"/>
          </w:pPr>
          <w:r w:rsidRPr="000D0101">
            <w:t>Objeto / Descripción: En virtud de la resolución de otorgamiento No. 1493 de 2018, se permite al CONCESIONARIO la rehabilitación y mantenimiento de la infraestructura portuaria existente para la operación, admiración y mantenimiento de la infraestructura portuaria existente para la operación, administración y mantenimiento de un embarcadero marítimo en el Distrito de Buenaventura, para el manejo de carga general representada en madera, cemento y pesca al servicio de la comunidad de Buenaventura, para operar en el muelle ubicado en el estadero de San Antonio del municipio de Buenaventura, Valle del Cauca. Artículo primero de la Resolución.</w:t>
          </w:r>
        </w:p>
        <w:p w14:paraId="0038517F" w14:textId="77777777" w:rsidR="003D5DB4" w:rsidRPr="000D0101" w:rsidRDefault="003D5DB4" w:rsidP="000A5389">
          <w:pPr>
            <w:spacing w:line="240" w:lineRule="auto"/>
          </w:pPr>
        </w:p>
        <w:p w14:paraId="0B9B16B5" w14:textId="77777777" w:rsidR="003D5DB4" w:rsidRPr="000D0101" w:rsidRDefault="003D5DB4" w:rsidP="000A5389">
          <w:pPr>
            <w:spacing w:line="240" w:lineRule="auto"/>
          </w:pPr>
          <w:r w:rsidRPr="000D0101">
            <w:t>Valor inicial:</w:t>
          </w:r>
          <w:r w:rsidRPr="000D0101">
            <w:tab/>
            <w:t>CUARENTA Y UN MIL QUINIENTOS CINCUENTA Y DOS DOLARES (USD $41.552) constantes de diciembre de 2017, Artículo Sexto / Resolución de Otorgamiento 1493 de 2018.</w:t>
          </w:r>
        </w:p>
        <w:p w14:paraId="57C2DF9E" w14:textId="77777777" w:rsidR="003D5DB4" w:rsidRPr="000D0101" w:rsidRDefault="003D5DB4" w:rsidP="000A5389">
          <w:pPr>
            <w:spacing w:line="240" w:lineRule="auto"/>
          </w:pPr>
        </w:p>
        <w:p w14:paraId="6A098BA6" w14:textId="77777777" w:rsidR="003D5DB4" w:rsidRPr="000D0101" w:rsidRDefault="003D5DB4" w:rsidP="000A5389">
          <w:pPr>
            <w:spacing w:line="240" w:lineRule="auto"/>
          </w:pPr>
          <w:r w:rsidRPr="000D0101">
            <w:t>Fecha de inicio: 24/04/2019</w:t>
          </w:r>
        </w:p>
        <w:p w14:paraId="0B3F595E" w14:textId="77777777" w:rsidR="003D5DB4" w:rsidRPr="000D0101" w:rsidRDefault="003D5DB4" w:rsidP="000A5389">
          <w:pPr>
            <w:spacing w:line="240" w:lineRule="auto"/>
          </w:pPr>
          <w:r w:rsidRPr="000D0101">
            <w:t>Fecha de finalización estimada: 23/04/2021</w:t>
          </w:r>
        </w:p>
        <w:p w14:paraId="18541A82" w14:textId="77777777" w:rsidR="003D5DB4" w:rsidRPr="000D0101" w:rsidRDefault="003D5DB4" w:rsidP="000A5389">
          <w:pPr>
            <w:spacing w:line="240" w:lineRule="auto"/>
          </w:pPr>
          <w:r w:rsidRPr="000D0101">
            <w:t>Tipo ID: NIT</w:t>
          </w:r>
        </w:p>
        <w:p w14:paraId="6D8998E8" w14:textId="77777777" w:rsidR="003D5DB4" w:rsidRPr="000D0101" w:rsidRDefault="003D5DB4" w:rsidP="000A5389">
          <w:pPr>
            <w:spacing w:line="240" w:lineRule="auto"/>
          </w:pPr>
          <w:r w:rsidRPr="000D0101">
            <w:t>Número ID: 800176971 - 4</w:t>
          </w:r>
        </w:p>
        <w:p w14:paraId="52BBF883" w14:textId="77777777" w:rsidR="003D5DB4" w:rsidRPr="000D0101" w:rsidRDefault="003D5DB4" w:rsidP="000A5389">
          <w:pPr>
            <w:spacing w:line="240" w:lineRule="auto"/>
          </w:pPr>
          <w:r w:rsidRPr="000D0101">
            <w:t>Razón social del concesionario: Sociedad Portuaria Pedro Marquínez Cuero S.A.</w:t>
          </w:r>
        </w:p>
        <w:p w14:paraId="103999BA" w14:textId="77777777" w:rsidR="003D5DB4" w:rsidRPr="000D0101" w:rsidRDefault="003D5DB4" w:rsidP="000A5389">
          <w:pPr>
            <w:spacing w:line="240" w:lineRule="auto"/>
          </w:pPr>
          <w:r w:rsidRPr="000D0101">
            <w:t>Nombre del proyecto: Sociedad Portuaria Pedro Marquínez Cuero S.A.</w:t>
          </w:r>
        </w:p>
        <w:p w14:paraId="0CCB29C6" w14:textId="77777777" w:rsidR="003D5DB4" w:rsidRPr="000D0101" w:rsidRDefault="003D5DB4" w:rsidP="000A5389">
          <w:pPr>
            <w:spacing w:line="240" w:lineRule="auto"/>
          </w:pPr>
        </w:p>
        <w:p w14:paraId="690E430E" w14:textId="77777777" w:rsidR="003D5DB4" w:rsidRPr="000D0101" w:rsidRDefault="003D5DB4" w:rsidP="000A5389">
          <w:pPr>
            <w:spacing w:line="240" w:lineRule="auto"/>
          </w:pPr>
          <w:r w:rsidRPr="000D0101">
            <w:t>b. Términos significativos del Acuerdo que puedan afectar su valor, el calendario y la certeza de los flujos de efectivo futuros</w:t>
          </w:r>
        </w:p>
        <w:p w14:paraId="632F5DC7" w14:textId="77777777" w:rsidR="003D5DB4" w:rsidRPr="000D0101" w:rsidRDefault="003D5DB4" w:rsidP="000A5389">
          <w:pPr>
            <w:spacing w:line="240" w:lineRule="auto"/>
          </w:pPr>
        </w:p>
        <w:p w14:paraId="2B2D9880" w14:textId="77777777" w:rsidR="003D5DB4" w:rsidRPr="000D0101" w:rsidRDefault="003D5DB4" w:rsidP="000A5389">
          <w:pPr>
            <w:spacing w:line="240" w:lineRule="auto"/>
          </w:pPr>
          <w:r w:rsidRPr="000D0101">
            <w:t xml:space="preserve">Términos de valor: 1) Tarifas: Al ser el terminal marítimo de servicio privado la Ley 1 de 1991 establece: Las sociedades portuarias que operan puertos de servicio privado podrán fijar libremente sus tarifas, pero mantendrán informada sobre ellas a la Superintendencia General de Puertos hoy Superintendencia de Transporte.2) Contraprestación portuaria: De acuerdo con el último documento contractual vigente, la metodología de contraprestación del embarcadero es CONPES 3744 de 2013 (Componente Fijo).  Así mismo, se menciona que mediante resolución No. 20213030014815 del 07/09/2021, la ANI da por terminada, de manera anticipada, la concesión portuaria para embarcadero otorgada a la Sociedad Portuaria Pedro Marquínez Cuero S.A. mediante Resolución No.1493 del 09 de agosto de 2018.3) Plan de Inversiones: Está establecido en el Artículo Cuarto de la resolución de otorgamiento 1493 de 2018, el plan de inversión será de SESENTA Y SEIS </w:t>
          </w:r>
          <w:r w:rsidRPr="000D0101">
            <w:tab/>
            <w:t xml:space="preserve">MILLONES TRESCIENTOS SETENTA Y NUEVE MIL QUINIENTOS VEINTE PESOS ($66.379.520,oo), constantes de diciembre de 2017.4) Obligaciones del CONCESIONARIO: se encuentran descritas en el Artículo Octavo de la resolución de otorgamiento 1493 de 2018. 5) Multas y sanciones: están </w:t>
          </w:r>
          <w:r w:rsidRPr="000D0101">
            <w:lastRenderedPageBreak/>
            <w:t xml:space="preserve">establecidas en el Artículo Décimo de la resolución de </w:t>
          </w:r>
          <w:r w:rsidRPr="000D0101">
            <w:tab/>
            <w:t>otorgamiento 1493 de 2018.6) Penal Pecuniaria: La resolución de otorgamiento 1493 de 2018 no establece cláusula penal.</w:t>
          </w:r>
        </w:p>
        <w:p w14:paraId="0F402DFC" w14:textId="77777777" w:rsidR="003D5DB4" w:rsidRPr="000D0101" w:rsidRDefault="003D5DB4" w:rsidP="000A5389">
          <w:pPr>
            <w:spacing w:line="240" w:lineRule="auto"/>
          </w:pPr>
        </w:p>
        <w:p w14:paraId="2C30DAF7" w14:textId="77777777" w:rsidR="003D5DB4" w:rsidRPr="000D0101" w:rsidRDefault="003D5DB4" w:rsidP="000A5389">
          <w:pPr>
            <w:spacing w:line="240" w:lineRule="auto"/>
          </w:pPr>
          <w:r w:rsidRPr="000D0101">
            <w:t>Términos de calendario: Tarifas: Aprobadas según la metodología establecida por la Superintendencia General de Puertos hoy Superintendencia de Transporte. Contraprestación portuaria: la contraprestación se debe pagar de manera anual anticipada desde el mes de febrero de cada año. Plan de inversiones: Se estableció en el Artículo Cuarto de la resolución de otorgamiento 1493 de 2018, cuya ejecución de inversiones deberá realizarse en un plazo de nueve (9) semanas. Multas: Artículo Décimo de la resolución de otorgamiento 1493 de 2018.</w:t>
          </w:r>
        </w:p>
        <w:p w14:paraId="694CF4F8" w14:textId="77777777" w:rsidR="003D5DB4" w:rsidRPr="000D0101" w:rsidRDefault="003D5DB4" w:rsidP="000A5389">
          <w:pPr>
            <w:spacing w:line="240" w:lineRule="auto"/>
          </w:pPr>
        </w:p>
        <w:p w14:paraId="485EB39F" w14:textId="77777777" w:rsidR="003D5DB4" w:rsidRPr="000D0101" w:rsidRDefault="003D5DB4" w:rsidP="000A5389">
          <w:pPr>
            <w:spacing w:line="240" w:lineRule="auto"/>
          </w:pPr>
          <w:r w:rsidRPr="000D0101">
            <w:t>Términos de certeza de flujos de efectivo futuros: Otorgar a la Sociedad Portuaria Pedro Marquínez Cuero para la rehabilitación y mantenimiento de la infraestructura portuaria existente para la operación, mantenimiento y administración de un embarcadero marítimo en el municipio de Buenaventura a cambio del pago de una contraprestación económica. Artículo Sexto, numeral 6.1.1, Parágrafo Primero, del valor a pagar por concepto de contraprestación por Zona de Uso público el 80% le corresponde a la Nación-INVIAS y el 20 % al municipio de Buenaventura y numeral 6.1.2, Parágrafo Primero, por concepto de Infraestructura el 100% a la Nación-INVIAS.</w:t>
          </w:r>
        </w:p>
        <w:p w14:paraId="741DB952" w14:textId="77777777" w:rsidR="003D5DB4" w:rsidRPr="000D0101" w:rsidRDefault="003D5DB4" w:rsidP="000A5389">
          <w:pPr>
            <w:spacing w:line="240" w:lineRule="auto"/>
          </w:pPr>
        </w:p>
        <w:p w14:paraId="335B6179" w14:textId="77777777" w:rsidR="003D5DB4" w:rsidRPr="000D0101" w:rsidRDefault="003D5DB4" w:rsidP="000A5389">
          <w:pPr>
            <w:spacing w:line="240" w:lineRule="auto"/>
          </w:pPr>
          <w:r w:rsidRPr="000D0101">
            <w:t>c. Naturaleza y alcance del derecho a utilizar Activos y los aspectos pactados en torno a lo que se espera que el concesionario proporcione en relación con el Acuerdo de concesión</w:t>
          </w:r>
        </w:p>
        <w:p w14:paraId="53B71AF9" w14:textId="77777777" w:rsidR="003D5DB4" w:rsidRPr="000D0101" w:rsidRDefault="003D5DB4" w:rsidP="000A5389">
          <w:pPr>
            <w:spacing w:line="240" w:lineRule="auto"/>
          </w:pPr>
        </w:p>
        <w:p w14:paraId="3292AF41" w14:textId="77777777" w:rsidR="003D5DB4" w:rsidRPr="000D0101" w:rsidRDefault="003D5DB4" w:rsidP="000A5389">
          <w:pPr>
            <w:spacing w:line="240" w:lineRule="auto"/>
          </w:pPr>
          <w:r w:rsidRPr="000D0101">
            <w:t>Naturaleza y alcance del derecho de uso de los Activos</w:t>
          </w:r>
        </w:p>
        <w:p w14:paraId="405A2090" w14:textId="77777777" w:rsidR="003D5DB4" w:rsidRPr="000D0101" w:rsidRDefault="003D5DB4" w:rsidP="000A5389">
          <w:pPr>
            <w:spacing w:line="240" w:lineRule="auto"/>
          </w:pPr>
        </w:p>
        <w:p w14:paraId="5CA006E2" w14:textId="77777777" w:rsidR="003D5DB4" w:rsidRPr="000D0101" w:rsidRDefault="003D5DB4" w:rsidP="000A5389">
          <w:pPr>
            <w:spacing w:line="240" w:lineRule="auto"/>
          </w:pPr>
          <w:r w:rsidRPr="000D0101">
            <w:t>Descripción: Descripción del proyecto, especificaciones técnicas, modalidades de operación: las condiciones especiales de operación del puerto están establecidas en Artículo Segundo resolución de otorgamiento. Área entregada en concesión: La descripción de la ubicación, linderos y extensión de los bienes de uso público (playas y terrenos de baja mar, zonas marítimas accesorias de maniobras) entregados en concesión están establecidos Artículo Segundo de la resolución de otorgamiento. Infraestructura y equipos entregados en concesión: En el artículo segundo de la Resolución de otorgamiento, se describe que lo entregado en concesión fue: Infraestructura: Muelle N° 1 y 2-marginales sobre pilotes, dos bodegas, plataforma de acceso, edificio, losa zona húmeda y plataforma para tanques de combustibles.</w:t>
          </w:r>
        </w:p>
        <w:p w14:paraId="0234EC63" w14:textId="77777777" w:rsidR="003D5DB4" w:rsidRPr="000D0101" w:rsidRDefault="003D5DB4" w:rsidP="000A5389">
          <w:pPr>
            <w:spacing w:line="240" w:lineRule="auto"/>
          </w:pPr>
        </w:p>
        <w:p w14:paraId="435D551A" w14:textId="77777777" w:rsidR="003D5DB4" w:rsidRPr="000D0101" w:rsidRDefault="003D5DB4" w:rsidP="000A5389">
          <w:pPr>
            <w:spacing w:line="240" w:lineRule="auto"/>
          </w:pPr>
          <w:r w:rsidRPr="000D0101">
            <w:t>Observaciones: No se tiene ninguna observación</w:t>
          </w:r>
        </w:p>
        <w:p w14:paraId="6E9696B1" w14:textId="77777777" w:rsidR="003D5DB4" w:rsidRPr="000D0101" w:rsidRDefault="003D5DB4" w:rsidP="000A5389">
          <w:pPr>
            <w:spacing w:line="240" w:lineRule="auto"/>
          </w:pPr>
        </w:p>
        <w:p w14:paraId="222009C0" w14:textId="77777777" w:rsidR="003D5DB4" w:rsidRPr="000D0101" w:rsidRDefault="003D5DB4" w:rsidP="000A5389">
          <w:pPr>
            <w:spacing w:line="240" w:lineRule="auto"/>
          </w:pPr>
          <w:r w:rsidRPr="000D0101">
            <w:t>Retribución al concesionario</w:t>
          </w:r>
        </w:p>
        <w:p w14:paraId="4222D18F" w14:textId="77777777" w:rsidR="003D5DB4" w:rsidRPr="000D0101" w:rsidRDefault="003D5DB4" w:rsidP="000A5389">
          <w:pPr>
            <w:spacing w:line="240" w:lineRule="auto"/>
          </w:pPr>
        </w:p>
        <w:p w14:paraId="4CCE2760" w14:textId="77777777" w:rsidR="003D5DB4" w:rsidRPr="000D0101" w:rsidRDefault="003D5DB4" w:rsidP="000A5389">
          <w:pPr>
            <w:spacing w:line="240" w:lineRule="auto"/>
          </w:pPr>
          <w:r w:rsidRPr="000D0101">
            <w:t>Descripción: Artículo Primero resolución de otorgamiento 1493 de 2018: Otorgar la concesión portuaria para embarcadero al CONCESIONARIO para la rehabilitación y mantenimiento de la infraestructura portuaria existente para la operación, administración y mantenimiento de un embarcadero marítimo en el municipio de Buenaventura.</w:t>
          </w:r>
        </w:p>
        <w:p w14:paraId="1BC97235" w14:textId="77777777" w:rsidR="003D5DB4" w:rsidRPr="000D0101" w:rsidRDefault="003D5DB4" w:rsidP="000A5389">
          <w:pPr>
            <w:spacing w:line="240" w:lineRule="auto"/>
          </w:pPr>
        </w:p>
        <w:p w14:paraId="1A2F170D" w14:textId="77777777" w:rsidR="003D5DB4" w:rsidRPr="000D0101" w:rsidRDefault="003D5DB4" w:rsidP="000A5389">
          <w:pPr>
            <w:spacing w:line="240" w:lineRule="auto"/>
          </w:pPr>
          <w:r w:rsidRPr="000D0101">
            <w:t>Tasa de retribución:</w:t>
          </w:r>
          <w:r w:rsidRPr="000D0101">
            <w:tab/>
            <w:t>N/A</w:t>
          </w:r>
        </w:p>
        <w:p w14:paraId="1B93FF41" w14:textId="77777777" w:rsidR="003D5DB4" w:rsidRPr="000D0101" w:rsidRDefault="003D5DB4" w:rsidP="000A5389">
          <w:pPr>
            <w:spacing w:line="240" w:lineRule="auto"/>
          </w:pPr>
        </w:p>
        <w:p w14:paraId="17B41690" w14:textId="77777777" w:rsidR="003D5DB4" w:rsidRPr="000D0101" w:rsidRDefault="003D5DB4" w:rsidP="000A5389">
          <w:pPr>
            <w:spacing w:line="240" w:lineRule="auto"/>
          </w:pPr>
          <w:r w:rsidRPr="000D0101">
            <w:t>d. Derechos a recibir Activos especificados al final del acuerdo de concesión</w:t>
          </w:r>
        </w:p>
        <w:p w14:paraId="72D263C2" w14:textId="77777777" w:rsidR="003D5DB4" w:rsidRPr="000D0101" w:rsidRDefault="003D5DB4" w:rsidP="000A5389">
          <w:pPr>
            <w:spacing w:line="240" w:lineRule="auto"/>
          </w:pPr>
        </w:p>
        <w:p w14:paraId="0C49F454" w14:textId="77777777" w:rsidR="003D5DB4" w:rsidRPr="000D0101" w:rsidRDefault="003D5DB4" w:rsidP="000A5389">
          <w:pPr>
            <w:spacing w:line="240" w:lineRule="auto"/>
          </w:pPr>
          <w:r w:rsidRPr="000D0101">
            <w:t>Descripción: De acuerdo con el Artículo 8º de la Ley 1 de 1991 en el modo portuario el concesionario no tiene derechos finales sobre activos los debe revertir a la Nación al final del contrato de concesión.</w:t>
          </w:r>
        </w:p>
        <w:p w14:paraId="0C2EEEE5" w14:textId="77777777" w:rsidR="003D5DB4" w:rsidRPr="000D0101" w:rsidRDefault="003D5DB4" w:rsidP="000A5389">
          <w:pPr>
            <w:spacing w:line="240" w:lineRule="auto"/>
          </w:pPr>
        </w:p>
        <w:p w14:paraId="7F8F7964" w14:textId="77777777" w:rsidR="003D5DB4" w:rsidRPr="000D0101" w:rsidRDefault="003D5DB4" w:rsidP="000A5389">
          <w:pPr>
            <w:spacing w:line="240" w:lineRule="auto"/>
          </w:pPr>
          <w:r w:rsidRPr="000D0101">
            <w:t>Observaciones: De acuerdo con lo establecido en el artículo décimo primero de la resolución de otorgamiento, la zona de uso público y todas las construcciones y equipos entregadas en concesión se revertirán a la Nación en buenas condiciones de operación tecnológica, mantenimiento y de adecuada eficiencia al término de este contrato y de las prórrogas si la hubiere. Igualmente procederá la reversión al ser declarado la caducidad o la terminación unilateral. Para tal fin, en el momento de la reversión el CONCESIONARIO deberá hacer entrega de un avaluó comercial actualizado y valoración técnica de las condiciones de operación de la infraestructura portuaria, equipos e inmuebles por destinación que habitualmente se encuentren instalados en las zonas de uso público que se revierten y que son propiedad de la Nación. La ANI es la entidad concedente pero la titularidad de los activos al final de la concesión es del Instituto Nacional de Vías INVIAS.</w:t>
          </w:r>
        </w:p>
        <w:p w14:paraId="3E30E5FE" w14:textId="77777777" w:rsidR="003D5DB4" w:rsidRPr="000D0101" w:rsidRDefault="003D5DB4" w:rsidP="000A5389">
          <w:pPr>
            <w:spacing w:line="240" w:lineRule="auto"/>
          </w:pPr>
        </w:p>
        <w:p w14:paraId="74F41411" w14:textId="77777777" w:rsidR="003D5DB4" w:rsidRPr="000D0101" w:rsidRDefault="003D5DB4" w:rsidP="000A5389">
          <w:pPr>
            <w:spacing w:line="240" w:lineRule="auto"/>
          </w:pPr>
          <w:r w:rsidRPr="000D0101">
            <w:t>e. Las alternativas de renovación y cese del acuerdo</w:t>
          </w:r>
        </w:p>
        <w:p w14:paraId="52B2C55D" w14:textId="77777777" w:rsidR="003D5DB4" w:rsidRPr="000D0101" w:rsidRDefault="003D5DB4" w:rsidP="000A5389">
          <w:pPr>
            <w:spacing w:line="240" w:lineRule="auto"/>
          </w:pPr>
        </w:p>
        <w:p w14:paraId="2F4A5DEC" w14:textId="77777777" w:rsidR="003D5DB4" w:rsidRPr="000D0101" w:rsidRDefault="003D5DB4" w:rsidP="000A5389">
          <w:pPr>
            <w:spacing w:line="240" w:lineRule="auto"/>
          </w:pPr>
          <w:r w:rsidRPr="000D0101">
            <w:t>Descripción:</w:t>
          </w:r>
          <w:r w:rsidRPr="000D0101">
            <w:tab/>
            <w:t>ARTICULO TERCERO de la RESOLUCIÓN de otorgamiento No. 1493 de 2018.</w:t>
          </w:r>
        </w:p>
        <w:p w14:paraId="5301F81B" w14:textId="77777777" w:rsidR="003D5DB4" w:rsidRPr="000D0101" w:rsidRDefault="003D5DB4" w:rsidP="000A5389">
          <w:pPr>
            <w:spacing w:line="240" w:lineRule="auto"/>
          </w:pPr>
        </w:p>
        <w:p w14:paraId="0D9807B1" w14:textId="77777777" w:rsidR="003D5DB4" w:rsidRPr="000D0101" w:rsidRDefault="003D5DB4" w:rsidP="000A5389">
          <w:pPr>
            <w:spacing w:line="240" w:lineRule="auto"/>
          </w:pPr>
          <w:r w:rsidRPr="000D0101">
            <w:t>Observaciones: Terminación anticipada de la Resolución como concesión para embarcadero, en el 2021.</w:t>
          </w:r>
        </w:p>
        <w:p w14:paraId="1C6BC9A6" w14:textId="77777777" w:rsidR="003D5DB4" w:rsidRPr="000D0101" w:rsidRDefault="003D5DB4" w:rsidP="000A5389">
          <w:pPr>
            <w:spacing w:line="240" w:lineRule="auto"/>
          </w:pPr>
        </w:p>
        <w:p w14:paraId="6E23AF8E" w14:textId="77777777" w:rsidR="003D5DB4" w:rsidRPr="000D0101" w:rsidRDefault="003D5DB4" w:rsidP="000A5389">
          <w:pPr>
            <w:spacing w:line="240" w:lineRule="auto"/>
          </w:pPr>
          <w:r w:rsidRPr="000D0101">
            <w:t>f. Cambios en el acuerdo de concesión que se realicen durante el periodo fiscal</w:t>
          </w:r>
        </w:p>
        <w:p w14:paraId="6A12DB03" w14:textId="77777777" w:rsidR="003D5DB4" w:rsidRPr="000D0101" w:rsidRDefault="003D5DB4" w:rsidP="000A5389">
          <w:pPr>
            <w:spacing w:line="240" w:lineRule="auto"/>
          </w:pPr>
        </w:p>
        <w:p w14:paraId="7068E8D0" w14:textId="77777777" w:rsidR="003D5DB4" w:rsidRPr="000D0101" w:rsidRDefault="003D5DB4" w:rsidP="000A5389">
          <w:pPr>
            <w:spacing w:line="240" w:lineRule="auto"/>
          </w:pPr>
          <w:r w:rsidRPr="000D0101">
            <w:t>Adiciones o modificaciones en tiempo</w:t>
          </w:r>
        </w:p>
        <w:p w14:paraId="03B874E5" w14:textId="77777777" w:rsidR="003D5DB4" w:rsidRPr="000D0101" w:rsidRDefault="003D5DB4" w:rsidP="000A5389">
          <w:pPr>
            <w:spacing w:line="240" w:lineRule="auto"/>
          </w:pPr>
          <w:r w:rsidRPr="000D0101">
            <w:t>Fechas de las adiciones o modificaciones:</w:t>
          </w:r>
          <w:r w:rsidRPr="000D0101">
            <w:tab/>
            <w:t>07/09/2021 Resolución No. 20213030014815 de terminación anticipada.</w:t>
          </w:r>
        </w:p>
        <w:p w14:paraId="56691615" w14:textId="77777777" w:rsidR="003D5DB4" w:rsidRPr="000D0101" w:rsidRDefault="003D5DB4" w:rsidP="000A5389">
          <w:pPr>
            <w:spacing w:line="240" w:lineRule="auto"/>
          </w:pPr>
          <w:r w:rsidRPr="000D0101">
            <w:t>Nueva fecha de finalización estimada: 22/09/2020</w:t>
          </w:r>
        </w:p>
        <w:p w14:paraId="188119DE" w14:textId="77777777" w:rsidR="003D5DB4" w:rsidRPr="000D0101" w:rsidRDefault="003D5DB4" w:rsidP="000A5389">
          <w:pPr>
            <w:spacing w:line="240" w:lineRule="auto"/>
          </w:pPr>
          <w:r w:rsidRPr="000D0101">
            <w:t>Observaciones: Terminación anticipada</w:t>
          </w:r>
        </w:p>
        <w:p w14:paraId="2BCA2541" w14:textId="77777777" w:rsidR="003D5DB4" w:rsidRPr="000D0101" w:rsidRDefault="003D5DB4" w:rsidP="000A5389">
          <w:pPr>
            <w:spacing w:line="240" w:lineRule="auto"/>
          </w:pPr>
          <w:r w:rsidRPr="000D0101">
            <w:t>Adiciones o modificaciones en valor</w:t>
          </w:r>
        </w:p>
        <w:p w14:paraId="0503ECA8" w14:textId="77777777" w:rsidR="003D5DB4" w:rsidRPr="000D0101" w:rsidRDefault="003D5DB4" w:rsidP="000A5389">
          <w:pPr>
            <w:spacing w:line="240" w:lineRule="auto"/>
          </w:pPr>
          <w:r w:rsidRPr="000D0101">
            <w:t>Valor de la adición o modificación: No Aplica</w:t>
          </w:r>
        </w:p>
        <w:p w14:paraId="029AABCC" w14:textId="77777777" w:rsidR="003D5DB4" w:rsidRPr="000D0101" w:rsidRDefault="003D5DB4" w:rsidP="000A5389">
          <w:pPr>
            <w:spacing w:line="240" w:lineRule="auto"/>
          </w:pPr>
          <w:r w:rsidRPr="000D0101">
            <w:t>Nuevo valor del acuerdo: No Aplica</w:t>
          </w:r>
        </w:p>
        <w:p w14:paraId="02BD5E85" w14:textId="77777777" w:rsidR="003D5DB4" w:rsidRPr="000D0101" w:rsidRDefault="003D5DB4" w:rsidP="000A5389">
          <w:pPr>
            <w:spacing w:line="240" w:lineRule="auto"/>
          </w:pPr>
          <w:r w:rsidRPr="000D0101">
            <w:t>Observaciones: No se tiene ninguna observación.</w:t>
          </w:r>
        </w:p>
        <w:p w14:paraId="35DFCAA5" w14:textId="77777777" w:rsidR="003D5DB4" w:rsidRPr="000D0101" w:rsidRDefault="003D5DB4" w:rsidP="000A5389">
          <w:pPr>
            <w:spacing w:line="240" w:lineRule="auto"/>
          </w:pPr>
        </w:p>
        <w:p w14:paraId="656DDA80" w14:textId="77777777" w:rsidR="003D5DB4" w:rsidRPr="000D0101" w:rsidRDefault="003D5DB4" w:rsidP="000A5389">
          <w:pPr>
            <w:spacing w:line="240" w:lineRule="auto"/>
            <w:rPr>
              <w:rFonts w:eastAsia="Times New Roman"/>
              <w:lang w:eastAsia="es-CO"/>
            </w:rPr>
          </w:pPr>
        </w:p>
        <w:p w14:paraId="42644C66" w14:textId="77777777" w:rsidR="003D5DB4" w:rsidRPr="00EE35D4" w:rsidRDefault="003D5DB4" w:rsidP="000A5389">
          <w:pPr>
            <w:spacing w:line="240" w:lineRule="auto"/>
            <w:rPr>
              <w:rFonts w:eastAsia="Times New Roman"/>
              <w:i/>
              <w:iCs/>
              <w:lang w:eastAsia="es-CO"/>
            </w:rPr>
          </w:pPr>
          <w:r w:rsidRPr="00EE35D4">
            <w:rPr>
              <w:rFonts w:eastAsia="Times New Roman"/>
              <w:i/>
              <w:iCs/>
              <w:lang w:eastAsia="es-CO"/>
            </w:rPr>
            <w:t xml:space="preserve">SOCIEDAD PORTUARIA PUERTO BAHIA S.A. </w:t>
          </w:r>
        </w:p>
        <w:p w14:paraId="7FCB45D4" w14:textId="77777777" w:rsidR="003D5DB4" w:rsidRPr="000D0101" w:rsidRDefault="003D5DB4" w:rsidP="000A5389">
          <w:pPr>
            <w:spacing w:line="240" w:lineRule="auto"/>
          </w:pPr>
        </w:p>
        <w:p w14:paraId="3442D82B" w14:textId="77777777" w:rsidR="003D5DB4" w:rsidRPr="000D0101" w:rsidRDefault="003D5DB4" w:rsidP="000A5389">
          <w:pPr>
            <w:spacing w:line="240" w:lineRule="auto"/>
          </w:pPr>
          <w:r w:rsidRPr="000D0101">
            <w:lastRenderedPageBreak/>
            <w:t>a. Descripción del Acuerdo</w:t>
          </w:r>
        </w:p>
        <w:p w14:paraId="036BB0BB" w14:textId="77777777" w:rsidR="003D5DB4" w:rsidRPr="000D0101" w:rsidRDefault="003D5DB4" w:rsidP="000A5389">
          <w:pPr>
            <w:spacing w:line="240" w:lineRule="auto"/>
          </w:pPr>
        </w:p>
        <w:p w14:paraId="5567B7DF" w14:textId="77777777" w:rsidR="003D5DB4" w:rsidRPr="000D0101" w:rsidRDefault="003D5DB4" w:rsidP="000A5389">
          <w:pPr>
            <w:spacing w:line="240" w:lineRule="auto"/>
          </w:pPr>
          <w:r w:rsidRPr="000D0101">
            <w:t>Número del Acuerdo de concesión: 002 de 2011</w:t>
          </w:r>
        </w:p>
        <w:p w14:paraId="0705B9DC" w14:textId="77777777" w:rsidR="003D5DB4" w:rsidRPr="000D0101" w:rsidRDefault="003D5DB4" w:rsidP="000A5389">
          <w:pPr>
            <w:spacing w:line="240" w:lineRule="auto"/>
          </w:pPr>
        </w:p>
        <w:p w14:paraId="01B7EA38" w14:textId="77777777" w:rsidR="003D5DB4" w:rsidRPr="000D0101" w:rsidRDefault="003D5DB4" w:rsidP="000A5389">
          <w:pPr>
            <w:spacing w:line="240" w:lineRule="auto"/>
          </w:pPr>
          <w:r w:rsidRPr="000D0101">
            <w:t>Objeto / Descripción: EL INCO en virtud del presente contrato de concesión portuaria autoriza a EL CONCESIONARIO, la ocupación y utilización en forma temporal y exclusiva de la zona de uso público conformada por una línea de playa, terrenos de bajamar y zonas accesorias aquellas o a estos, para la construcción, administración y operación de un terminar multipropósito de servicio público ubicado en la Bahía de Cartagena en el sitio denominado “La Pulga” entre la desembocadura del Canal del dique y Bahía Honda, corregimiento de Santa Ana, del Distrito Turístico y Cultural de Cartagena de Indias, departamento de Bolívar, en los términos y condiciones establecidas en la Resolución 473 de 2010 y en el presente contrato.</w:t>
          </w:r>
        </w:p>
        <w:p w14:paraId="07A109CA" w14:textId="77777777" w:rsidR="003D5DB4" w:rsidRPr="000D0101" w:rsidRDefault="003D5DB4" w:rsidP="000A5389">
          <w:pPr>
            <w:spacing w:line="240" w:lineRule="auto"/>
          </w:pPr>
        </w:p>
        <w:p w14:paraId="48013AA4" w14:textId="77777777" w:rsidR="003D5DB4" w:rsidRPr="000D0101" w:rsidRDefault="003D5DB4" w:rsidP="000A5389">
          <w:pPr>
            <w:spacing w:line="240" w:lineRule="auto"/>
          </w:pPr>
          <w:r w:rsidRPr="000D0101">
            <w:t>Valor inicial:</w:t>
          </w:r>
          <w:r w:rsidRPr="000D0101">
            <w:tab/>
            <w:t>USD 1.051.776 Cláusula Décima Primera/Contrato de Concesión No. 002 de 2011.</w:t>
          </w:r>
        </w:p>
        <w:p w14:paraId="72336F25" w14:textId="77777777" w:rsidR="003D5DB4" w:rsidRPr="000D0101" w:rsidRDefault="003D5DB4" w:rsidP="000A5389">
          <w:pPr>
            <w:spacing w:line="240" w:lineRule="auto"/>
          </w:pPr>
          <w:r w:rsidRPr="000D0101">
            <w:t>Fecha de inicio: 15/04/2011</w:t>
          </w:r>
        </w:p>
        <w:p w14:paraId="3A3BDD98" w14:textId="77777777" w:rsidR="003D5DB4" w:rsidRPr="000D0101" w:rsidRDefault="003D5DB4" w:rsidP="000A5389">
          <w:pPr>
            <w:spacing w:line="240" w:lineRule="auto"/>
          </w:pPr>
          <w:r w:rsidRPr="000D0101">
            <w:t>Fecha de finalización estimada: 14/04/2031</w:t>
          </w:r>
        </w:p>
        <w:p w14:paraId="25B0F380" w14:textId="77777777" w:rsidR="003D5DB4" w:rsidRPr="000D0101" w:rsidRDefault="003D5DB4" w:rsidP="000A5389">
          <w:pPr>
            <w:spacing w:line="240" w:lineRule="auto"/>
          </w:pPr>
          <w:r w:rsidRPr="000D0101">
            <w:t>Tipo ID: NIT</w:t>
          </w:r>
        </w:p>
        <w:p w14:paraId="107A42D4" w14:textId="77777777" w:rsidR="003D5DB4" w:rsidRPr="000D0101" w:rsidRDefault="003D5DB4" w:rsidP="000A5389">
          <w:pPr>
            <w:spacing w:line="240" w:lineRule="auto"/>
          </w:pPr>
          <w:r w:rsidRPr="000D0101">
            <w:t>Número ID: 860.009.873-4</w:t>
          </w:r>
        </w:p>
        <w:p w14:paraId="3D6283E0" w14:textId="77777777" w:rsidR="003D5DB4" w:rsidRPr="000D0101" w:rsidRDefault="003D5DB4" w:rsidP="000A5389">
          <w:pPr>
            <w:spacing w:line="240" w:lineRule="auto"/>
          </w:pPr>
          <w:r w:rsidRPr="000D0101">
            <w:t>Razón social del concesionario: Sociedad Portuaria Puerto Bahía S.A.</w:t>
          </w:r>
        </w:p>
        <w:p w14:paraId="0769FF72" w14:textId="77777777" w:rsidR="003D5DB4" w:rsidRPr="000D0101" w:rsidRDefault="003D5DB4" w:rsidP="000A5389">
          <w:pPr>
            <w:spacing w:line="240" w:lineRule="auto"/>
          </w:pPr>
          <w:r w:rsidRPr="000D0101">
            <w:t>Nombre del proyecto: Sociedad Portuaria Puerto Bahía S.A.</w:t>
          </w:r>
        </w:p>
        <w:p w14:paraId="08796E71" w14:textId="77777777" w:rsidR="003D5DB4" w:rsidRPr="000D0101" w:rsidRDefault="003D5DB4" w:rsidP="000A5389">
          <w:pPr>
            <w:spacing w:line="240" w:lineRule="auto"/>
          </w:pPr>
        </w:p>
        <w:p w14:paraId="358E971B" w14:textId="77777777" w:rsidR="003D5DB4" w:rsidRPr="000D0101" w:rsidRDefault="003D5DB4" w:rsidP="000A5389">
          <w:pPr>
            <w:spacing w:line="240" w:lineRule="auto"/>
          </w:pPr>
          <w:r w:rsidRPr="000D0101">
            <w:t>b. Términos significativos del Acuerdo que puedan afectar su valor, el calendario y la certeza de los flujos de efectivo futuros</w:t>
          </w:r>
        </w:p>
        <w:p w14:paraId="3A47A72C" w14:textId="77777777" w:rsidR="003D5DB4" w:rsidRPr="000D0101" w:rsidRDefault="003D5DB4" w:rsidP="000A5389">
          <w:pPr>
            <w:spacing w:line="240" w:lineRule="auto"/>
          </w:pPr>
        </w:p>
        <w:p w14:paraId="69E51DF2" w14:textId="77777777" w:rsidR="003D5DB4" w:rsidRPr="000D0101" w:rsidRDefault="003D5DB4" w:rsidP="000A5389">
          <w:pPr>
            <w:spacing w:line="240" w:lineRule="auto"/>
          </w:pPr>
          <w:r w:rsidRPr="000D0101">
            <w:t xml:space="preserve">Términos de valor: Tarifas: Al ser el terminal marítimo de servicio público la Ley 1 de 1991 establece: Las sociedades portuarias que operan puertos de servicio público las tarifas requieren ser aprobadas según la metodología establecida por la Superintendencia General de Puertos hoy Superintendencia de Transporte. Contraprestación portuaria: De acuerdo con el último documento contractual vigente la metodología de contraprestación vigente es CONPES 3744 de 2013 (Componentes Fijo y Variable). A febrero de 2022 el CONCESIONARIO debió pagar la suma de USD $907.325. El valor correspondiente a la contraprestación por zona de uso público resultará de la diferencia entre el valor de la liquidación total y el valor de la infraestructura. Y el recaudo se realizará de conformidad con la Ley 856 de 2003, es decir, ZUP el 80% le corresponde a la Nación Instituto nacional de vías (INVIAS) y el 20% restante al Distrito Turístico, Cultural e Histórico de Cartagena; e INFRAESTRUCTURA en un 100% a la Nación - Instituto Nacional de Vías (INVIAS).Plan de Inversiones: Está establecido en la Cláusula Quinta del Otrosí No.1 de 2012 la cual modifica la Cláusula Novena del Contrato, que el plan de inversión será de USD66.127.611 en valores corrientes. Obligaciones del CONCESIONARIO: Se encuentran descritas en la Cláusula Décima Sexta del Contrato de Concesión. Multas y sanciones: Están establecidas en la Cláusula Vigésima Primera del Contrato. Penal pecuniario: En la Cláusula Vigésima Tercera del Contrato se establece que en el evento en que el INCO hoy ANI declare la </w:t>
          </w:r>
          <w:r w:rsidRPr="000D0101">
            <w:lastRenderedPageBreak/>
            <w:t>caducidad o el incumplimiento del presente contrato se podrá imponer una penalidad pecuniaria, equivalente al 10% del valor total de la contraprestación. Riesgos: Están descritos en la Cláusula Trigésima Segunda del Contrato, el CONCESIONARIO acepta la totalidad de los riesgos inherentes a la ejecución del contrato en su etapa preoperativa, de construcción, de operación, de liquidación y de reversión, incluyendo el riesgo inherente a la aprobación del trámite de declaratoria de existencia como zona franca permanente especial de servicios del área portuaria serán asumidos por dicha Sociedad. La ocurrencia de cualquier riesgo no dará derecho a indemnización o reconocimiento alguno a favor del CONCESIONARIO.</w:t>
          </w:r>
        </w:p>
        <w:p w14:paraId="15BABA63" w14:textId="77777777" w:rsidR="003D5DB4" w:rsidRPr="000D0101" w:rsidRDefault="003D5DB4" w:rsidP="000A5389">
          <w:pPr>
            <w:spacing w:line="240" w:lineRule="auto"/>
          </w:pPr>
        </w:p>
        <w:p w14:paraId="378D29E7" w14:textId="77777777" w:rsidR="003D5DB4" w:rsidRPr="000D0101" w:rsidRDefault="003D5DB4" w:rsidP="000A5389">
          <w:pPr>
            <w:spacing w:line="240" w:lineRule="auto"/>
          </w:pPr>
          <w:r w:rsidRPr="000D0101">
            <w:t>Términos de calendario: Tarifas: Aprobadas según la metodología establecida por la Superintendencia General de Puertos hoy Superintendencia de Transporte. Contraprestación portuaria: Anexo 2 del Conpes 3744 de 2013 “(…) Antes de finalizar los meses de febrero cada concesionario deberá corregir su liquidación del año anterior según el movimiento de carga real y la indexación del valor de referencia por metro cuadrado, del avalúo de la infraestructura concesionada y de los cargos, así como realizar el pago anticipado del año en curso con base en lo proyectado en el FCL definitivo”. Plan de inversiones: Se estableció en la Cláusula Quinta del Otrosí No. 1 y su Anexo No. 1, la ejecución de inversiones en el periodo de tiempo comprendido entre el año 2013 a 2015.Multas: Están establecidas en la Cláusula Vigésima Primera del Contrato</w:t>
          </w:r>
        </w:p>
        <w:p w14:paraId="3D8D56C3" w14:textId="77777777" w:rsidR="003D5DB4" w:rsidRPr="000D0101" w:rsidRDefault="003D5DB4" w:rsidP="000A5389">
          <w:pPr>
            <w:spacing w:line="240" w:lineRule="auto"/>
          </w:pPr>
        </w:p>
        <w:p w14:paraId="72465A7E" w14:textId="77777777" w:rsidR="003D5DB4" w:rsidRPr="000D0101" w:rsidRDefault="003D5DB4" w:rsidP="000A5389">
          <w:pPr>
            <w:spacing w:line="240" w:lineRule="auto"/>
          </w:pPr>
          <w:r w:rsidRPr="000D0101">
            <w:t>Términos de certeza de flujos de efectivo futuros: Se otorga a EL CONCESIONARIO el derecho de ocupar y utilizar en forma temporal y exclusiva las playas, los terrenos de bajamar y zonas accesorias a aquellas o estos, descritos en la cláusula primera del contrato, a cambio de la contraprestación económica. Cláusula Sexta, Parágrafo Primero, del valor a pagar por concepto de contraprestación por Zona de Uso público el 80% le corresponde a la Nación-INVIAS y ANI y el 20 % al Distrito turístico de Cartagena de Indias y por Infraestructura el 100% a la Nación-INVIAS y ANI</w:t>
          </w:r>
        </w:p>
        <w:p w14:paraId="100A83F2" w14:textId="77777777" w:rsidR="003D5DB4" w:rsidRPr="000D0101" w:rsidRDefault="003D5DB4" w:rsidP="000A5389">
          <w:pPr>
            <w:spacing w:line="240" w:lineRule="auto"/>
          </w:pPr>
        </w:p>
        <w:p w14:paraId="7E748B3D" w14:textId="77777777" w:rsidR="003D5DB4" w:rsidRPr="000D0101" w:rsidRDefault="003D5DB4" w:rsidP="000A5389">
          <w:pPr>
            <w:spacing w:line="240" w:lineRule="auto"/>
          </w:pPr>
          <w:r w:rsidRPr="000D0101">
            <w:t>c. Naturaleza y alcance del derecho a utilizar Activos y los aspectos pactados en torno a lo que se espera que el concesionario proporcione en relación con el Acuerdo de concesión</w:t>
          </w:r>
        </w:p>
        <w:p w14:paraId="580EA96E" w14:textId="77777777" w:rsidR="003D5DB4" w:rsidRPr="000D0101" w:rsidRDefault="003D5DB4" w:rsidP="000A5389">
          <w:pPr>
            <w:spacing w:line="240" w:lineRule="auto"/>
          </w:pPr>
        </w:p>
        <w:p w14:paraId="4586CDFB" w14:textId="77777777" w:rsidR="003D5DB4" w:rsidRPr="000D0101" w:rsidRDefault="003D5DB4" w:rsidP="000A5389">
          <w:pPr>
            <w:spacing w:line="240" w:lineRule="auto"/>
          </w:pPr>
          <w:r w:rsidRPr="000D0101">
            <w:t>Naturaleza y alcance del derecho de uso de los Activos</w:t>
          </w:r>
        </w:p>
        <w:p w14:paraId="5F98FB09" w14:textId="77777777" w:rsidR="003D5DB4" w:rsidRPr="000D0101" w:rsidRDefault="003D5DB4" w:rsidP="000A5389">
          <w:pPr>
            <w:spacing w:line="240" w:lineRule="auto"/>
          </w:pPr>
        </w:p>
        <w:p w14:paraId="0AE374D8" w14:textId="77777777" w:rsidR="003D5DB4" w:rsidRPr="000D0101" w:rsidRDefault="003D5DB4" w:rsidP="000A5389">
          <w:pPr>
            <w:spacing w:line="240" w:lineRule="auto"/>
          </w:pPr>
          <w:r w:rsidRPr="000D0101">
            <w:t>Descripción:</w:t>
          </w:r>
          <w:r w:rsidRPr="000D0101">
            <w:tab/>
            <w:t>Se otorga a EL CONCESIONARIO el derecho de ocupar y utilizar en forma temporal y exclusiva las playas, los terrenos de bajamar y zonas accesorias a aquellas o estos, descritos en la cláusula primera del contrato, a cambio de la contraprestación económica. Cláusula Sexta, Parágrafo Primero, del valor a pagar por concepto de contraprestación por Zona de Uso público el 80% le corresponde a la Nación-INVIAS y ANI y el 20 % al Distrito turístico de Cartagena de Indias y por Infraestructura el 100% a la Nación-INVIAS y ANI.</w:t>
          </w:r>
        </w:p>
        <w:p w14:paraId="53063D83" w14:textId="77777777" w:rsidR="003D5DB4" w:rsidRPr="000D0101" w:rsidRDefault="003D5DB4" w:rsidP="000A5389">
          <w:pPr>
            <w:spacing w:line="240" w:lineRule="auto"/>
          </w:pPr>
        </w:p>
        <w:p w14:paraId="3172A986" w14:textId="77777777" w:rsidR="003D5DB4" w:rsidRPr="000D0101" w:rsidRDefault="003D5DB4" w:rsidP="000A5389">
          <w:pPr>
            <w:spacing w:line="240" w:lineRule="auto"/>
          </w:pPr>
          <w:r w:rsidRPr="000D0101">
            <w:t>Observaciones: N/A</w:t>
          </w:r>
        </w:p>
        <w:p w14:paraId="16DE58D7" w14:textId="77777777" w:rsidR="003D5DB4" w:rsidRPr="000D0101" w:rsidRDefault="003D5DB4" w:rsidP="000A5389">
          <w:pPr>
            <w:spacing w:line="240" w:lineRule="auto"/>
          </w:pPr>
        </w:p>
        <w:p w14:paraId="6B02FDCE" w14:textId="77777777" w:rsidR="003D5DB4" w:rsidRPr="000D0101" w:rsidRDefault="003D5DB4" w:rsidP="000A5389">
          <w:pPr>
            <w:spacing w:line="240" w:lineRule="auto"/>
          </w:pPr>
          <w:r w:rsidRPr="000D0101">
            <w:t>Retribución al concesionario</w:t>
          </w:r>
        </w:p>
        <w:p w14:paraId="6CCFAF89" w14:textId="77777777" w:rsidR="003D5DB4" w:rsidRPr="000D0101" w:rsidRDefault="003D5DB4" w:rsidP="000A5389">
          <w:pPr>
            <w:spacing w:line="240" w:lineRule="auto"/>
          </w:pPr>
          <w:r w:rsidRPr="000D0101">
            <w:lastRenderedPageBreak/>
            <w:t>Descripción:</w:t>
          </w:r>
          <w:r w:rsidRPr="000D0101">
            <w:tab/>
            <w:t>Cláusula Primera - Contrato de Concesión Portuaria No. 002 de 2011: Se otorga a EL CONCESIONARIO el derecho de ocupar y utilizar en forma temporal y exclusiva las playas, los terrenos de bajamar y zonas accesorias a aquellas o estos, descritos en la Cláusula Segunda del Contrato, a cambio de la contraprestación económica.</w:t>
          </w:r>
        </w:p>
        <w:p w14:paraId="768E0397" w14:textId="77777777" w:rsidR="003D5DB4" w:rsidRPr="000D0101" w:rsidRDefault="003D5DB4" w:rsidP="000A5389">
          <w:pPr>
            <w:spacing w:line="240" w:lineRule="auto"/>
          </w:pPr>
        </w:p>
        <w:p w14:paraId="412CBC8E" w14:textId="77777777" w:rsidR="003D5DB4" w:rsidRPr="000D0101" w:rsidRDefault="003D5DB4" w:rsidP="000A5389">
          <w:pPr>
            <w:spacing w:line="240" w:lineRule="auto"/>
          </w:pPr>
          <w:r w:rsidRPr="000D0101">
            <w:t>Tasa de retribución:</w:t>
          </w:r>
          <w:r w:rsidRPr="000D0101">
            <w:tab/>
            <w:t>N/A</w:t>
          </w:r>
        </w:p>
        <w:p w14:paraId="6C4A616F" w14:textId="77777777" w:rsidR="003D5DB4" w:rsidRPr="000D0101" w:rsidRDefault="003D5DB4" w:rsidP="000A5389">
          <w:pPr>
            <w:spacing w:line="240" w:lineRule="auto"/>
          </w:pPr>
        </w:p>
        <w:p w14:paraId="7C88D4F5" w14:textId="77777777" w:rsidR="003D5DB4" w:rsidRPr="000D0101" w:rsidRDefault="003D5DB4" w:rsidP="000A5389">
          <w:pPr>
            <w:spacing w:line="240" w:lineRule="auto"/>
          </w:pPr>
          <w:r w:rsidRPr="000D0101">
            <w:t>d. Derechos a recibir Activos especificados al final del acuerdo de concesión</w:t>
          </w:r>
        </w:p>
        <w:p w14:paraId="285EC21A" w14:textId="77777777" w:rsidR="003D5DB4" w:rsidRPr="000D0101" w:rsidRDefault="003D5DB4" w:rsidP="000A5389">
          <w:pPr>
            <w:spacing w:line="240" w:lineRule="auto"/>
          </w:pPr>
        </w:p>
        <w:p w14:paraId="5649261A" w14:textId="77777777" w:rsidR="003D5DB4" w:rsidRPr="000D0101" w:rsidRDefault="003D5DB4" w:rsidP="000A5389">
          <w:pPr>
            <w:spacing w:line="240" w:lineRule="auto"/>
          </w:pPr>
          <w:r w:rsidRPr="000D0101">
            <w:t>Descripción:</w:t>
          </w:r>
          <w:r w:rsidRPr="000D0101">
            <w:tab/>
            <w:t>De acuerdo con el Artículo 8º de la Ley 1 de 1991 en el modo portuario el concesionario no tiene derechos finales sobre activos los debe revertir a la Nación al final del contrato de concesión.</w:t>
          </w:r>
        </w:p>
        <w:p w14:paraId="4F47984C" w14:textId="77777777" w:rsidR="003D5DB4" w:rsidRPr="000D0101" w:rsidRDefault="003D5DB4" w:rsidP="000A5389">
          <w:pPr>
            <w:spacing w:line="240" w:lineRule="auto"/>
          </w:pPr>
        </w:p>
        <w:p w14:paraId="08AA882F" w14:textId="77777777" w:rsidR="003D5DB4" w:rsidRPr="000D0101" w:rsidRDefault="003D5DB4" w:rsidP="000A5389">
          <w:pPr>
            <w:spacing w:line="240" w:lineRule="auto"/>
          </w:pPr>
          <w:r w:rsidRPr="000D0101">
            <w:t>Observaciones: Reversión: De acuerdo con lo establecido en la Cláusula Décima Tercera del Contrato de Concesión, la zona de uso público y toda la infraestructura y los inmuebles por destinación (equipos e inversiones) ejecutadas en concesión se revertirán sin costo alguno a la Nación, en buenas condiciones de operación tecnológica, mantenimiento y de adecuada eficiencia al término de este contrato y de la prórroga si la hubiere. Igualmente procederá la reversión al ser declarada la caducidad o la terminación unilateral. Para tal fin, en el momento de la reversión el CONCESIONARIO deberá hacer entrega de un avaluó comercial actualizado y valoración técnica de las condiciones de operación de la infraestructura portuaria, equipos e inmuebles por destinación que habitualmente se encuentren instalados en las zonas de uso público que se revierten y que son propiedad de la Nación. La ANI es la entidad concedente pero la titularidad de los activos al final de la concesión es del Instituto Nacional de Vías INVIAS</w:t>
          </w:r>
        </w:p>
        <w:p w14:paraId="11372E1F" w14:textId="77777777" w:rsidR="003D5DB4" w:rsidRPr="000D0101" w:rsidRDefault="003D5DB4" w:rsidP="000A5389">
          <w:pPr>
            <w:spacing w:line="240" w:lineRule="auto"/>
          </w:pPr>
        </w:p>
        <w:p w14:paraId="0CF113D6" w14:textId="77777777" w:rsidR="003D5DB4" w:rsidRPr="000D0101" w:rsidRDefault="003D5DB4" w:rsidP="000A5389">
          <w:pPr>
            <w:spacing w:line="240" w:lineRule="auto"/>
          </w:pPr>
          <w:r w:rsidRPr="000D0101">
            <w:t>e. Las alternativas de renovación y cese del acuerdo</w:t>
          </w:r>
        </w:p>
        <w:p w14:paraId="1792B18A" w14:textId="77777777" w:rsidR="003D5DB4" w:rsidRPr="000D0101" w:rsidRDefault="003D5DB4" w:rsidP="000A5389">
          <w:pPr>
            <w:spacing w:line="240" w:lineRule="auto"/>
          </w:pPr>
        </w:p>
        <w:p w14:paraId="71B1C8D5" w14:textId="77777777" w:rsidR="003D5DB4" w:rsidRPr="000D0101" w:rsidRDefault="003D5DB4" w:rsidP="000A5389">
          <w:pPr>
            <w:spacing w:line="240" w:lineRule="auto"/>
          </w:pPr>
          <w:r w:rsidRPr="000D0101">
            <w:t>Descripción:</w:t>
          </w:r>
          <w:r w:rsidRPr="000D0101">
            <w:tab/>
            <w:t>NA</w:t>
          </w:r>
        </w:p>
        <w:p w14:paraId="4C727B14" w14:textId="77777777" w:rsidR="003D5DB4" w:rsidRPr="000D0101" w:rsidRDefault="003D5DB4" w:rsidP="000A5389">
          <w:pPr>
            <w:spacing w:line="240" w:lineRule="auto"/>
          </w:pPr>
        </w:p>
        <w:p w14:paraId="5EE89717" w14:textId="77777777" w:rsidR="003D5DB4" w:rsidRPr="000D0101" w:rsidRDefault="003D5DB4" w:rsidP="000A5389">
          <w:pPr>
            <w:spacing w:line="240" w:lineRule="auto"/>
          </w:pPr>
          <w:r w:rsidRPr="000D0101">
            <w:t>Observaciones: NA</w:t>
          </w:r>
        </w:p>
        <w:p w14:paraId="1BF92B9E" w14:textId="77777777" w:rsidR="003D5DB4" w:rsidRPr="000D0101" w:rsidRDefault="003D5DB4" w:rsidP="000A5389">
          <w:pPr>
            <w:spacing w:line="240" w:lineRule="auto"/>
          </w:pPr>
        </w:p>
        <w:p w14:paraId="410B1335" w14:textId="77777777" w:rsidR="003D5DB4" w:rsidRPr="000D0101" w:rsidRDefault="003D5DB4" w:rsidP="000A5389">
          <w:pPr>
            <w:spacing w:line="240" w:lineRule="auto"/>
          </w:pPr>
          <w:r w:rsidRPr="000D0101">
            <w:t>f. Cambios en el acuerdo de concesión que se realicen durante el periodo fiscal</w:t>
          </w:r>
        </w:p>
        <w:p w14:paraId="60ECA4AE" w14:textId="77777777" w:rsidR="003D5DB4" w:rsidRPr="000D0101" w:rsidRDefault="003D5DB4" w:rsidP="000A5389">
          <w:pPr>
            <w:spacing w:line="240" w:lineRule="auto"/>
          </w:pPr>
        </w:p>
        <w:p w14:paraId="71768B8A" w14:textId="77777777" w:rsidR="003D5DB4" w:rsidRPr="000D0101" w:rsidRDefault="003D5DB4" w:rsidP="000A5389">
          <w:pPr>
            <w:spacing w:line="240" w:lineRule="auto"/>
          </w:pPr>
          <w:r w:rsidRPr="000D0101">
            <w:t>Adiciones o modificaciones en tiempo</w:t>
          </w:r>
        </w:p>
        <w:p w14:paraId="6BD40F49" w14:textId="77777777" w:rsidR="003D5DB4" w:rsidRPr="000D0101" w:rsidRDefault="003D5DB4" w:rsidP="000A5389">
          <w:pPr>
            <w:spacing w:line="240" w:lineRule="auto"/>
          </w:pPr>
          <w:r w:rsidRPr="000D0101">
            <w:t>Fechas de las adiciones o modificaciones:</w:t>
          </w:r>
          <w:r w:rsidRPr="000D0101">
            <w:tab/>
            <w:t>N/A</w:t>
          </w:r>
        </w:p>
        <w:p w14:paraId="415B61EC" w14:textId="77777777" w:rsidR="003D5DB4" w:rsidRPr="000D0101" w:rsidRDefault="003D5DB4" w:rsidP="000A5389">
          <w:pPr>
            <w:spacing w:line="240" w:lineRule="auto"/>
          </w:pPr>
          <w:r w:rsidRPr="000D0101">
            <w:t>Nueva fecha de finalización estimada: N/A</w:t>
          </w:r>
        </w:p>
        <w:p w14:paraId="69C8850E" w14:textId="77777777" w:rsidR="003D5DB4" w:rsidRPr="000D0101" w:rsidRDefault="003D5DB4" w:rsidP="000A5389">
          <w:pPr>
            <w:spacing w:line="240" w:lineRule="auto"/>
          </w:pPr>
          <w:r w:rsidRPr="000D0101">
            <w:t>Observaciones: N/A</w:t>
          </w:r>
        </w:p>
        <w:p w14:paraId="4CA5609F" w14:textId="77777777" w:rsidR="003D5DB4" w:rsidRPr="000D0101" w:rsidRDefault="003D5DB4" w:rsidP="000A5389">
          <w:pPr>
            <w:spacing w:line="240" w:lineRule="auto"/>
          </w:pPr>
          <w:r w:rsidRPr="000D0101">
            <w:t>Adiciones o modificaciones en valor</w:t>
          </w:r>
        </w:p>
        <w:p w14:paraId="7F789B3C" w14:textId="77777777" w:rsidR="003D5DB4" w:rsidRPr="000D0101" w:rsidRDefault="003D5DB4" w:rsidP="000A5389">
          <w:pPr>
            <w:spacing w:line="240" w:lineRule="auto"/>
          </w:pPr>
          <w:r w:rsidRPr="000D0101">
            <w:t>Valor de la adición o modificación: N/A</w:t>
          </w:r>
        </w:p>
        <w:p w14:paraId="50E84714" w14:textId="77777777" w:rsidR="003D5DB4" w:rsidRPr="000D0101" w:rsidRDefault="003D5DB4" w:rsidP="000A5389">
          <w:pPr>
            <w:spacing w:line="240" w:lineRule="auto"/>
          </w:pPr>
          <w:r w:rsidRPr="000D0101">
            <w:t>Nuevo valor del acuerdo: N/A</w:t>
          </w:r>
        </w:p>
        <w:p w14:paraId="48575483" w14:textId="3D881CF1" w:rsidR="003D5DB4" w:rsidRPr="000D0101" w:rsidRDefault="003D5DB4" w:rsidP="000A5389">
          <w:pPr>
            <w:spacing w:line="240" w:lineRule="auto"/>
          </w:pPr>
          <w:r w:rsidRPr="000D0101">
            <w:t>Observaciones: N/A</w:t>
          </w:r>
        </w:p>
        <w:p w14:paraId="5951FCBB" w14:textId="77777777" w:rsidR="003D5DB4" w:rsidRPr="000D0101" w:rsidRDefault="003D5DB4" w:rsidP="000A5389">
          <w:pPr>
            <w:spacing w:line="240" w:lineRule="auto"/>
            <w:rPr>
              <w:rFonts w:eastAsia="Times New Roman"/>
              <w:lang w:eastAsia="es-CO"/>
            </w:rPr>
          </w:pPr>
        </w:p>
        <w:p w14:paraId="3959754A" w14:textId="77777777" w:rsidR="003D5DB4" w:rsidRPr="000D0101" w:rsidRDefault="003D5DB4" w:rsidP="000A5389">
          <w:pPr>
            <w:spacing w:line="240" w:lineRule="auto"/>
            <w:rPr>
              <w:rFonts w:eastAsia="Times New Roman"/>
              <w:lang w:eastAsia="es-CO"/>
            </w:rPr>
          </w:pPr>
        </w:p>
        <w:p w14:paraId="37F56C2E" w14:textId="77777777" w:rsidR="003D5DB4" w:rsidRPr="00EE35D4" w:rsidRDefault="003D5DB4" w:rsidP="000A5389">
          <w:pPr>
            <w:spacing w:line="240" w:lineRule="auto"/>
            <w:rPr>
              <w:rFonts w:eastAsia="Times New Roman"/>
              <w:i/>
              <w:iCs/>
              <w:lang w:eastAsia="es-CO"/>
            </w:rPr>
          </w:pPr>
          <w:r w:rsidRPr="00EE35D4">
            <w:rPr>
              <w:rFonts w:eastAsia="Times New Roman"/>
              <w:i/>
              <w:iCs/>
              <w:lang w:eastAsia="es-CO"/>
            </w:rPr>
            <w:lastRenderedPageBreak/>
            <w:t xml:space="preserve">SOCIEDAD PORTUARIA PUERTO NUEVO S.A. </w:t>
          </w:r>
        </w:p>
        <w:p w14:paraId="102CD039" w14:textId="77777777" w:rsidR="003D5DB4" w:rsidRPr="000D0101" w:rsidRDefault="003D5DB4" w:rsidP="000A5389">
          <w:pPr>
            <w:spacing w:line="240" w:lineRule="auto"/>
          </w:pPr>
        </w:p>
        <w:p w14:paraId="223CCD36" w14:textId="77777777" w:rsidR="003D5DB4" w:rsidRPr="000D0101" w:rsidRDefault="003D5DB4" w:rsidP="000A5389">
          <w:pPr>
            <w:spacing w:line="240" w:lineRule="auto"/>
          </w:pPr>
          <w:r w:rsidRPr="000D0101">
            <w:t>a. Descripción del Acuerdo</w:t>
          </w:r>
        </w:p>
        <w:p w14:paraId="1199546E" w14:textId="77777777" w:rsidR="003D5DB4" w:rsidRPr="000D0101" w:rsidRDefault="003D5DB4" w:rsidP="000A5389">
          <w:pPr>
            <w:spacing w:line="240" w:lineRule="auto"/>
          </w:pPr>
          <w:r w:rsidRPr="000D0101">
            <w:t>Número del Acuerdo de concesión:</w:t>
          </w:r>
          <w:r w:rsidRPr="000D0101">
            <w:tab/>
            <w:t>001 de 2011.</w:t>
          </w:r>
        </w:p>
        <w:p w14:paraId="4248C233" w14:textId="77777777" w:rsidR="003D5DB4" w:rsidRPr="000D0101" w:rsidRDefault="003D5DB4" w:rsidP="000A5389">
          <w:pPr>
            <w:spacing w:line="240" w:lineRule="auto"/>
          </w:pPr>
        </w:p>
        <w:p w14:paraId="7C4EE7E1" w14:textId="77777777" w:rsidR="003D5DB4" w:rsidRPr="000D0101" w:rsidRDefault="003D5DB4" w:rsidP="000A5389">
          <w:pPr>
            <w:spacing w:line="240" w:lineRule="auto"/>
          </w:pPr>
          <w:r w:rsidRPr="000D0101">
            <w:t>Objeto / Descripción:</w:t>
          </w:r>
          <w:r w:rsidRPr="000D0101">
            <w:tab/>
            <w:t>En virtud del Contrato de concesión y sus modificaciones, se autoriza al CONCESIONARIO, a ocupar y usar en forma temporal y exclusiva las playas, los terrenos de bajamar y zonas accesorias a aquellas o éstos, para la construcción, administración y operación de un puerto destinado al servicio público para el manejo de carbón con el sistema de cargue directo, en jurisdicción del municipio de Ciénaga, departamento de Magdalena, en el sector conocido como Hacienda Papare en inmediaciones del Río  Toribio, por el término de veintitrés (23) años y doscientos ochenta y cuatro días (284), a cambio de la contraprestación.</w:t>
          </w:r>
        </w:p>
        <w:p w14:paraId="7A229C45" w14:textId="77777777" w:rsidR="003D5DB4" w:rsidRPr="000D0101" w:rsidRDefault="003D5DB4" w:rsidP="000A5389">
          <w:pPr>
            <w:spacing w:line="240" w:lineRule="auto"/>
          </w:pPr>
        </w:p>
        <w:p w14:paraId="1CD1F4E3" w14:textId="77777777" w:rsidR="003D5DB4" w:rsidRPr="000D0101" w:rsidRDefault="003D5DB4" w:rsidP="000A5389">
          <w:pPr>
            <w:spacing w:line="240" w:lineRule="auto"/>
          </w:pPr>
          <w:r w:rsidRPr="000D0101">
            <w:t>Valor inicial:</w:t>
          </w:r>
          <w:r w:rsidRPr="000D0101">
            <w:tab/>
            <w:t>USD $42.476.572,91 memorando 20143080027153 del 27 de marzo de 2014 concepto financiero para el cálculo de la contraprestación del periodo a partir de la publicación del decreto 1099 de 2013 para la Sociedad Puerto Nuevo S. A, con base en la metodología establecida en el CONPES 3744 de 2013.Valor del Contrato actualizado: USD 29.479.172 / Cláusula tercera / Otrosí 2 del 13 de diciembre de 2022.</w:t>
          </w:r>
        </w:p>
        <w:p w14:paraId="3DAC58A5" w14:textId="77777777" w:rsidR="003D5DB4" w:rsidRPr="000D0101" w:rsidRDefault="003D5DB4" w:rsidP="000A5389">
          <w:pPr>
            <w:spacing w:line="240" w:lineRule="auto"/>
          </w:pPr>
        </w:p>
        <w:p w14:paraId="17D183EA" w14:textId="77777777" w:rsidR="003D5DB4" w:rsidRPr="000D0101" w:rsidRDefault="003D5DB4" w:rsidP="000A5389">
          <w:pPr>
            <w:spacing w:line="240" w:lineRule="auto"/>
          </w:pPr>
          <w:r w:rsidRPr="000D0101">
            <w:t>Fecha de inicio: 31/03/2011</w:t>
          </w:r>
        </w:p>
        <w:p w14:paraId="5BBE76E8" w14:textId="77777777" w:rsidR="003D5DB4" w:rsidRPr="000D0101" w:rsidRDefault="003D5DB4" w:rsidP="000A5389">
          <w:pPr>
            <w:spacing w:line="240" w:lineRule="auto"/>
          </w:pPr>
          <w:r w:rsidRPr="000D0101">
            <w:t>Fecha de finalización estimada: 8/01/2035</w:t>
          </w:r>
        </w:p>
        <w:p w14:paraId="34E48663" w14:textId="77777777" w:rsidR="003D5DB4" w:rsidRPr="000D0101" w:rsidRDefault="003D5DB4" w:rsidP="000A5389">
          <w:pPr>
            <w:spacing w:line="240" w:lineRule="auto"/>
          </w:pPr>
          <w:r w:rsidRPr="000D0101">
            <w:t>Tipo ID: NIT</w:t>
          </w:r>
        </w:p>
        <w:p w14:paraId="3E045137" w14:textId="77777777" w:rsidR="003D5DB4" w:rsidRPr="000D0101" w:rsidRDefault="003D5DB4" w:rsidP="000A5389">
          <w:pPr>
            <w:spacing w:line="240" w:lineRule="auto"/>
          </w:pPr>
          <w:r w:rsidRPr="000D0101">
            <w:t>Número ID: 900.273.253-2</w:t>
          </w:r>
        </w:p>
        <w:p w14:paraId="46AC8F3C" w14:textId="77777777" w:rsidR="003D5DB4" w:rsidRPr="000D0101" w:rsidRDefault="003D5DB4" w:rsidP="000A5389">
          <w:pPr>
            <w:spacing w:line="240" w:lineRule="auto"/>
          </w:pPr>
          <w:r w:rsidRPr="000D0101">
            <w:t>Razón social del concesionario: Sociedad Portuaria Puerto Nuevo S.A.</w:t>
          </w:r>
        </w:p>
        <w:p w14:paraId="64FFCBFC" w14:textId="77777777" w:rsidR="003D5DB4" w:rsidRPr="000D0101" w:rsidRDefault="003D5DB4" w:rsidP="000A5389">
          <w:pPr>
            <w:spacing w:line="240" w:lineRule="auto"/>
          </w:pPr>
          <w:r w:rsidRPr="000D0101">
            <w:t>Nombre del proyecto: Sociedad Portuaria Puerto Nuevo S.A.</w:t>
          </w:r>
        </w:p>
        <w:p w14:paraId="44415E8F" w14:textId="77777777" w:rsidR="003D5DB4" w:rsidRPr="000D0101" w:rsidRDefault="003D5DB4" w:rsidP="000A5389">
          <w:pPr>
            <w:spacing w:line="240" w:lineRule="auto"/>
          </w:pPr>
        </w:p>
        <w:p w14:paraId="1AD56FE4" w14:textId="77777777" w:rsidR="003D5DB4" w:rsidRPr="000D0101" w:rsidRDefault="003D5DB4" w:rsidP="000A5389">
          <w:pPr>
            <w:spacing w:line="240" w:lineRule="auto"/>
          </w:pPr>
          <w:r w:rsidRPr="000D0101">
            <w:t>b. Términos significativos del Acuerdo que puedan afectar su valor, el calendario y la certeza de los flujos de efectivo futuros</w:t>
          </w:r>
        </w:p>
        <w:p w14:paraId="09322C70" w14:textId="77777777" w:rsidR="003D5DB4" w:rsidRPr="000D0101" w:rsidRDefault="003D5DB4" w:rsidP="000A5389">
          <w:pPr>
            <w:spacing w:line="240" w:lineRule="auto"/>
          </w:pPr>
        </w:p>
        <w:p w14:paraId="64DF7769" w14:textId="77777777" w:rsidR="003D5DB4" w:rsidRPr="000D0101" w:rsidRDefault="003D5DB4" w:rsidP="000A5389">
          <w:pPr>
            <w:spacing w:line="240" w:lineRule="auto"/>
          </w:pPr>
          <w:r w:rsidRPr="000D0101">
            <w:t xml:space="preserve">Términos de valor: 1: Tarifas: Las sociedades portuarias que operan puertos de servicio público las tarifas requieren ser aprobadas según la metodología establecida por la Superintendencia General de Puertos hoy Superintendencia de Transporte.2: Contraprestación portuaria: De acuerdo con el último documento contractual vigente la metodología de contraprestación vigente es CONPES 3744 de 2013 (Componentes Fijo y Variable). A febrero de 2025 el CONCESIONARIO debió pagar la suma de USD $ $1.852.146,25. El valor correspondiente a la contraprestación por zona de uso público resultará de la diferencia entre el valor de la liquidación total y el valor de la infraestructura. Y el recaudo se realizará de conformidad con la ley 856 de 2003, es decir, ZUP el 80% le corresponde a la Nación (INVIAS-ANI) y el 20% restante al municipio de Ciénaga departamento del Magdalena.3: Plan de Inversiones: está establecido en la cláusula segunda del otrosí 2 de 2022 del Contrato 001 de 2011 USD $ 183.541.302 dólares constantes de 2009.Obligaciones del CONCESIONARIO: Se encuentran descritas en la cláusula décima sexta del Contrato 001 de 2011. Multas y sanciones: están establecidas en la cláusula </w:t>
          </w:r>
          <w:r w:rsidRPr="000D0101">
            <w:lastRenderedPageBreak/>
            <w:t>Vigésima del Contrato 001 de 2011.Penal pecuniario: En la cláusula Vigésima primera se establece que en el evento en que el INCO hoy ANI declare el incumplimiento del presente contrato, el Concesionario deberá apagar una suma equivalente al 10% del valor total proyectado de la contraprestación, como sanción pecuniaria.</w:t>
          </w:r>
        </w:p>
        <w:p w14:paraId="6BF4F638" w14:textId="77777777" w:rsidR="003D5DB4" w:rsidRPr="000D0101" w:rsidRDefault="003D5DB4" w:rsidP="000A5389">
          <w:pPr>
            <w:spacing w:line="240" w:lineRule="auto"/>
          </w:pPr>
        </w:p>
        <w:p w14:paraId="2F96C4F2" w14:textId="77777777" w:rsidR="003D5DB4" w:rsidRPr="000D0101" w:rsidRDefault="003D5DB4" w:rsidP="000A5389">
          <w:pPr>
            <w:spacing w:line="240" w:lineRule="auto"/>
          </w:pPr>
          <w:r w:rsidRPr="000D0101">
            <w:t>Términos de calendario: Tarifas: Las sociedades portuarias que operan puertos de servicio  público las tarifas requieren ser aprobadas según la metodología  establecida por la Superintendencia General de Puertos hoy Superintendencia de Transporte.2: Contraprestación portuaria: Anexo 2 Conpes 3744 de 2013 “(…) Antes de finalizar los meses de febrero cada concesionario deberá corregir su liquidación del año anterior según el movimiento de carga real y la indexación del valor de referencia por metro cuadrado, del avalúo de la infraestructura concesionada y de los cargos, así como realizar el pago anticipado del año en curso con base en lo proyectado en el FCL definitivo”3: Plan de inversiones: Se estableció en la cláusula segunda del otrosí 2 de 2022 del Contrato 001 de 2011, USD $ 183.541.302 dólares constantes de 2009 ejecución de inversiones en el periodo de tiempo comprendido entre el año 2011 al 2022.4: Multas: Están establecidas en la cláusula Vigésima del Contrato 001 de 2011.</w:t>
          </w:r>
        </w:p>
        <w:p w14:paraId="460E4278" w14:textId="77777777" w:rsidR="003D5DB4" w:rsidRPr="000D0101" w:rsidRDefault="003D5DB4" w:rsidP="000A5389">
          <w:pPr>
            <w:spacing w:line="240" w:lineRule="auto"/>
          </w:pPr>
        </w:p>
        <w:p w14:paraId="2C18C52B" w14:textId="77777777" w:rsidR="003D5DB4" w:rsidRPr="000D0101" w:rsidRDefault="003D5DB4" w:rsidP="000A5389">
          <w:pPr>
            <w:spacing w:line="240" w:lineRule="auto"/>
          </w:pPr>
          <w:r w:rsidRPr="000D0101">
            <w:t>Términos de certeza de flujos de efectivo futuros: En virtud del Contrato de concesión y sus modificaciones, se autoriza al CONCESIONARIO, a ocupar y usar en forma temporal y exclusiva las playas, los terrenos de bajamar y zonas accesorias a  aquellas o éstos, para la construcción, administración y operación de un puerto destinado al servicio público para el manejo de carbón con el sistema de cargue directo, en jurisdicción del municipio de Ciénaga, departamento de Magdalena, en el sector conocido como Hacienda Papare en inmediaciones del Río Toribio, por el término de veintitrés (23) años y doscientos ochenta y cuatro días (284).En la Cláusula 3 distribución de la Contraprestación el ochenta por ciento (80%) de la Contraprestación a la Nación- (INVIAS-ANI), y el veinte por ciento (20%) restante al municipio de Ciénaga.</w:t>
          </w:r>
        </w:p>
        <w:p w14:paraId="4D50D8B7" w14:textId="77777777" w:rsidR="003D5DB4" w:rsidRPr="000D0101" w:rsidRDefault="003D5DB4" w:rsidP="000A5389">
          <w:pPr>
            <w:spacing w:line="240" w:lineRule="auto"/>
          </w:pPr>
        </w:p>
        <w:p w14:paraId="3196B302" w14:textId="77777777" w:rsidR="003D5DB4" w:rsidRPr="000D0101" w:rsidRDefault="003D5DB4" w:rsidP="000A5389">
          <w:pPr>
            <w:spacing w:line="240" w:lineRule="auto"/>
          </w:pPr>
          <w:r w:rsidRPr="000D0101">
            <w:t>c. Naturaleza y alcance del derecho a utilizar Activos y los aspectos pactados en torno a lo que se espera que el concesionario proporcione en relación con el Acuerdo de concesión</w:t>
          </w:r>
        </w:p>
        <w:p w14:paraId="7D5E14FC" w14:textId="77777777" w:rsidR="003D5DB4" w:rsidRPr="000D0101" w:rsidRDefault="003D5DB4" w:rsidP="000A5389">
          <w:pPr>
            <w:spacing w:line="240" w:lineRule="auto"/>
          </w:pPr>
        </w:p>
        <w:p w14:paraId="1D580FC5" w14:textId="77777777" w:rsidR="003D5DB4" w:rsidRPr="000D0101" w:rsidRDefault="003D5DB4" w:rsidP="000A5389">
          <w:pPr>
            <w:spacing w:line="240" w:lineRule="auto"/>
          </w:pPr>
          <w:r w:rsidRPr="000D0101">
            <w:t>Naturaleza y alcance del derecho de uso de los Activos</w:t>
          </w:r>
        </w:p>
        <w:p w14:paraId="5661B4BC" w14:textId="77777777" w:rsidR="003D5DB4" w:rsidRPr="000D0101" w:rsidRDefault="003D5DB4" w:rsidP="000A5389">
          <w:pPr>
            <w:spacing w:line="240" w:lineRule="auto"/>
          </w:pPr>
        </w:p>
        <w:p w14:paraId="7D5F64AA" w14:textId="77777777" w:rsidR="003D5DB4" w:rsidRPr="000D0101" w:rsidRDefault="003D5DB4" w:rsidP="000A5389">
          <w:pPr>
            <w:spacing w:line="240" w:lineRule="auto"/>
          </w:pPr>
          <w:r w:rsidRPr="000D0101">
            <w:t>Descripción: Descripción del proyecto, especificaciones técnicas, modalidades de operación: las condiciones especiales de operación del puerto están establecidas en la cláusula quinta, modificada por la Cláusula primera del Otrosí No. 002 de 2022.Área entregada en concesión: La descripción de la ubicación, linderos y extensión de los bienes de uso público (playas y terrenos de baja mar, zonas marítimas accesorias de maniobras) entregados en concesión están establecidos en la cláusula segunda del contrato de concesión y clausula primera del otrosí No. 01 de 2012. Infraestructura y equipos entregados en concesión: En el contrato de concesión portuaria no fueron entregados activos relacionados con infraestructura y equipos.</w:t>
          </w:r>
        </w:p>
        <w:p w14:paraId="4FA5BBD4" w14:textId="77777777" w:rsidR="003D5DB4" w:rsidRPr="000D0101" w:rsidRDefault="003D5DB4" w:rsidP="000A5389">
          <w:pPr>
            <w:spacing w:line="240" w:lineRule="auto"/>
          </w:pPr>
        </w:p>
        <w:p w14:paraId="2423876A" w14:textId="77777777" w:rsidR="003D5DB4" w:rsidRPr="000D0101" w:rsidRDefault="003D5DB4" w:rsidP="000A5389">
          <w:pPr>
            <w:spacing w:line="240" w:lineRule="auto"/>
          </w:pPr>
          <w:r w:rsidRPr="000D0101">
            <w:t>Observaciones: N/A</w:t>
          </w:r>
        </w:p>
        <w:p w14:paraId="020EA75B" w14:textId="77777777" w:rsidR="003D5DB4" w:rsidRPr="000D0101" w:rsidRDefault="003D5DB4" w:rsidP="000A5389">
          <w:pPr>
            <w:spacing w:line="240" w:lineRule="auto"/>
          </w:pPr>
        </w:p>
        <w:p w14:paraId="07370A3B" w14:textId="77777777" w:rsidR="003D5DB4" w:rsidRPr="000D0101" w:rsidRDefault="003D5DB4" w:rsidP="000A5389">
          <w:pPr>
            <w:spacing w:line="240" w:lineRule="auto"/>
          </w:pPr>
          <w:r w:rsidRPr="000D0101">
            <w:t>Retribución al concesionario</w:t>
          </w:r>
        </w:p>
        <w:p w14:paraId="65902771" w14:textId="77777777" w:rsidR="003D5DB4" w:rsidRPr="000D0101" w:rsidRDefault="003D5DB4" w:rsidP="000A5389">
          <w:pPr>
            <w:spacing w:line="240" w:lineRule="auto"/>
          </w:pPr>
        </w:p>
        <w:p w14:paraId="6645F8C0" w14:textId="77777777" w:rsidR="003D5DB4" w:rsidRPr="000D0101" w:rsidRDefault="003D5DB4" w:rsidP="000A5389">
          <w:pPr>
            <w:spacing w:line="240" w:lineRule="auto"/>
          </w:pPr>
          <w:r w:rsidRPr="000D0101">
            <w:t>Descripción: Descripción: Cláusula primera Contrato 001 de 2011: , a ocupar y usar en forma temporal y exclusiva las playas, los terrenos de bajamar y  zonas accesorias a aquellas o éstos, para la construcción, administración y operación de un puerto destinado al servicio público para el manejo de carbón con el sistema de cargue directo, en jurisdicción del municipio de Ciénaga, departamento de Magdalena, en el sector conocido como Hacienda Papare en inmediaciones del Río Toribio, por el término de veintitrés (23) años y doscientos ochenta y cuatro días (284), a cambio de la contraprestación.</w:t>
          </w:r>
        </w:p>
        <w:p w14:paraId="2564BF15" w14:textId="77777777" w:rsidR="003D5DB4" w:rsidRPr="000D0101" w:rsidRDefault="003D5DB4" w:rsidP="000A5389">
          <w:pPr>
            <w:spacing w:line="240" w:lineRule="auto"/>
          </w:pPr>
        </w:p>
        <w:p w14:paraId="25036099" w14:textId="77777777" w:rsidR="003D5DB4" w:rsidRPr="000D0101" w:rsidRDefault="003D5DB4" w:rsidP="000A5389">
          <w:pPr>
            <w:spacing w:line="240" w:lineRule="auto"/>
          </w:pPr>
          <w:r w:rsidRPr="000D0101">
            <w:t>Tasa de retribución: N/A</w:t>
          </w:r>
        </w:p>
        <w:p w14:paraId="0D9D8A81" w14:textId="77777777" w:rsidR="003D5DB4" w:rsidRPr="000D0101" w:rsidRDefault="003D5DB4" w:rsidP="000A5389">
          <w:pPr>
            <w:spacing w:line="240" w:lineRule="auto"/>
          </w:pPr>
        </w:p>
        <w:p w14:paraId="6FD71DD3" w14:textId="77777777" w:rsidR="003D5DB4" w:rsidRPr="000D0101" w:rsidRDefault="003D5DB4" w:rsidP="000A5389">
          <w:pPr>
            <w:spacing w:line="240" w:lineRule="auto"/>
          </w:pPr>
          <w:r w:rsidRPr="000D0101">
            <w:t>d. Derechos a recibir Activos especificados al final del acuerdo de concesión</w:t>
          </w:r>
        </w:p>
        <w:p w14:paraId="2AA012E0" w14:textId="77777777" w:rsidR="003D5DB4" w:rsidRPr="000D0101" w:rsidRDefault="003D5DB4" w:rsidP="000A5389">
          <w:pPr>
            <w:spacing w:line="240" w:lineRule="auto"/>
          </w:pPr>
        </w:p>
        <w:p w14:paraId="5A00F284" w14:textId="77777777" w:rsidR="003D5DB4" w:rsidRPr="000D0101" w:rsidRDefault="003D5DB4" w:rsidP="000A5389">
          <w:pPr>
            <w:spacing w:line="240" w:lineRule="auto"/>
          </w:pPr>
          <w:r w:rsidRPr="000D0101">
            <w:t>Descripción: De acuerdo con el Artículo 8º de la Ley 1 de 1991 en el modo portuario el concesionario no tiene derechos finales sobre activos los debe revertir a la Nación al final del contrato de concesión</w:t>
          </w:r>
        </w:p>
        <w:p w14:paraId="7164954E" w14:textId="77777777" w:rsidR="003D5DB4" w:rsidRPr="000D0101" w:rsidRDefault="003D5DB4" w:rsidP="000A5389">
          <w:pPr>
            <w:spacing w:line="240" w:lineRule="auto"/>
          </w:pPr>
        </w:p>
        <w:p w14:paraId="3AC0CBFF" w14:textId="77777777" w:rsidR="003D5DB4" w:rsidRPr="000D0101" w:rsidRDefault="003D5DB4" w:rsidP="000A5389">
          <w:pPr>
            <w:spacing w:line="240" w:lineRule="auto"/>
          </w:pPr>
          <w:r w:rsidRPr="000D0101">
            <w:t>Observaciones: Reversión: De acuerdo con lo establecido en la cláusula décimo tercera del contrato de concesión, la zona de uso público y todas las construcciones (obras e inversiones) que se encuentren habitualmente instaladas en zonas de uso público, entregadas en concesión en virtud del presente contrato, o que sean ejecutadas dentro del plazo del mimo y los inmuebles por destinación (equipos e inversiones) afectos a la operación del muelle revertirán a la nación en buenas condiciones de operación tecnológica, mantenimiento y de adecuada eficiencia al término de este contrato y de las prórrogas si la hubiere. Igualmente procederá la reversión al ser declarado la caducidad o la terminación unilateral. Para tal fin, en el momento de la reversión el CONCESIONARIO elaborará un inventario de los bienes y los enviará para su revisión y aprobación. La ANI es la entidad concedente pero la titularidad de los activos al final de la concesión es del Instituto Nacional de Vías INVIAS.</w:t>
          </w:r>
        </w:p>
        <w:p w14:paraId="115EB674" w14:textId="77777777" w:rsidR="003D5DB4" w:rsidRPr="000D0101" w:rsidRDefault="003D5DB4" w:rsidP="000A5389">
          <w:pPr>
            <w:spacing w:line="240" w:lineRule="auto"/>
          </w:pPr>
        </w:p>
        <w:p w14:paraId="798A382F" w14:textId="77777777" w:rsidR="003D5DB4" w:rsidRPr="000D0101" w:rsidRDefault="003D5DB4" w:rsidP="000A5389">
          <w:pPr>
            <w:spacing w:line="240" w:lineRule="auto"/>
          </w:pPr>
          <w:r w:rsidRPr="000D0101">
            <w:t>e. Las alternativas de renovación y cese del acuerdo</w:t>
          </w:r>
        </w:p>
        <w:p w14:paraId="469A5E2E" w14:textId="77777777" w:rsidR="003D5DB4" w:rsidRPr="000D0101" w:rsidRDefault="003D5DB4" w:rsidP="000A5389">
          <w:pPr>
            <w:spacing w:line="240" w:lineRule="auto"/>
          </w:pPr>
        </w:p>
        <w:p w14:paraId="2B1BF556" w14:textId="77777777" w:rsidR="003D5DB4" w:rsidRPr="000D0101" w:rsidRDefault="003D5DB4" w:rsidP="000A5389">
          <w:pPr>
            <w:spacing w:line="240" w:lineRule="auto"/>
          </w:pPr>
          <w:r w:rsidRPr="000D0101">
            <w:t>Descripción:</w:t>
          </w:r>
          <w:r w:rsidRPr="000D0101">
            <w:tab/>
            <w:t>La CLÁUSULA DÉCIMA SEGUNDA del contrato hace alusión a las alternativas de renovación. La CLÁUSULA VIGESIMA TERCERA hace referencia al cese del acuerdo del mismo.</w:t>
          </w:r>
        </w:p>
        <w:p w14:paraId="6A9FA9EC" w14:textId="77777777" w:rsidR="003D5DB4" w:rsidRPr="000D0101" w:rsidRDefault="003D5DB4" w:rsidP="000A5389">
          <w:pPr>
            <w:spacing w:line="240" w:lineRule="auto"/>
          </w:pPr>
        </w:p>
        <w:p w14:paraId="0A46C018" w14:textId="77777777" w:rsidR="003D5DB4" w:rsidRPr="000D0101" w:rsidRDefault="003D5DB4" w:rsidP="000A5389">
          <w:pPr>
            <w:spacing w:line="240" w:lineRule="auto"/>
          </w:pPr>
          <w:r w:rsidRPr="000D0101">
            <w:t>Observaciones: No se tiene ninguna observación</w:t>
          </w:r>
        </w:p>
        <w:p w14:paraId="574407C6" w14:textId="77777777" w:rsidR="003D5DB4" w:rsidRPr="000D0101" w:rsidRDefault="003D5DB4" w:rsidP="000A5389">
          <w:pPr>
            <w:spacing w:line="240" w:lineRule="auto"/>
          </w:pPr>
        </w:p>
        <w:p w14:paraId="67EB1377" w14:textId="77777777" w:rsidR="003D5DB4" w:rsidRPr="000D0101" w:rsidRDefault="003D5DB4" w:rsidP="000A5389">
          <w:pPr>
            <w:spacing w:line="240" w:lineRule="auto"/>
          </w:pPr>
          <w:r w:rsidRPr="000D0101">
            <w:t>f. Cambios en el acuerdo de concesión que se realicen durante el periodo fiscal</w:t>
          </w:r>
        </w:p>
        <w:p w14:paraId="4056A295" w14:textId="77777777" w:rsidR="003D5DB4" w:rsidRPr="000D0101" w:rsidRDefault="003D5DB4" w:rsidP="000A5389">
          <w:pPr>
            <w:spacing w:line="240" w:lineRule="auto"/>
          </w:pPr>
        </w:p>
        <w:p w14:paraId="56A80C9D" w14:textId="77777777" w:rsidR="003D5DB4" w:rsidRPr="000D0101" w:rsidRDefault="003D5DB4" w:rsidP="000A5389">
          <w:pPr>
            <w:spacing w:line="240" w:lineRule="auto"/>
          </w:pPr>
          <w:r w:rsidRPr="000D0101">
            <w:t>Adiciones o modificaciones en tiempo</w:t>
          </w:r>
        </w:p>
        <w:p w14:paraId="07F8BEC0" w14:textId="77777777" w:rsidR="003D5DB4" w:rsidRPr="000D0101" w:rsidRDefault="003D5DB4" w:rsidP="000A5389">
          <w:pPr>
            <w:spacing w:line="240" w:lineRule="auto"/>
          </w:pPr>
          <w:r w:rsidRPr="000D0101">
            <w:t>Fechas de las adiciones o modificaciones: N/A</w:t>
          </w:r>
        </w:p>
        <w:p w14:paraId="6CBA8BD0" w14:textId="77777777" w:rsidR="003D5DB4" w:rsidRPr="000D0101" w:rsidRDefault="003D5DB4" w:rsidP="000A5389">
          <w:pPr>
            <w:spacing w:line="240" w:lineRule="auto"/>
          </w:pPr>
          <w:r w:rsidRPr="000D0101">
            <w:t>Nueva fecha de finalización estimada: N/A</w:t>
          </w:r>
        </w:p>
        <w:p w14:paraId="4B929004" w14:textId="77777777" w:rsidR="003D5DB4" w:rsidRPr="000D0101" w:rsidRDefault="003D5DB4" w:rsidP="000A5389">
          <w:pPr>
            <w:spacing w:line="240" w:lineRule="auto"/>
          </w:pPr>
          <w:r w:rsidRPr="000D0101">
            <w:lastRenderedPageBreak/>
            <w:t>Observaciones: N/A</w:t>
          </w:r>
        </w:p>
        <w:p w14:paraId="50ABC132" w14:textId="77777777" w:rsidR="003D5DB4" w:rsidRPr="000D0101" w:rsidRDefault="003D5DB4" w:rsidP="000A5389">
          <w:pPr>
            <w:spacing w:line="240" w:lineRule="auto"/>
          </w:pPr>
          <w:r w:rsidRPr="000D0101">
            <w:t>Adiciones o modificaciones en valor</w:t>
          </w:r>
        </w:p>
        <w:p w14:paraId="681F6989" w14:textId="77777777" w:rsidR="003D5DB4" w:rsidRPr="000D0101" w:rsidRDefault="003D5DB4" w:rsidP="000A5389">
          <w:pPr>
            <w:spacing w:line="240" w:lineRule="auto"/>
          </w:pPr>
          <w:r w:rsidRPr="000D0101">
            <w:t>Valor de la adición o modificación: N/A</w:t>
          </w:r>
        </w:p>
        <w:p w14:paraId="1820ACD3" w14:textId="77777777" w:rsidR="003D5DB4" w:rsidRPr="000D0101" w:rsidRDefault="003D5DB4" w:rsidP="000A5389">
          <w:pPr>
            <w:spacing w:line="240" w:lineRule="auto"/>
          </w:pPr>
          <w:r w:rsidRPr="000D0101">
            <w:t>Nuevo valor del acuerdo: N/A</w:t>
          </w:r>
        </w:p>
        <w:p w14:paraId="3892DE63" w14:textId="77777777" w:rsidR="003D5DB4" w:rsidRPr="000D0101" w:rsidRDefault="003D5DB4" w:rsidP="000A5389">
          <w:pPr>
            <w:spacing w:line="240" w:lineRule="auto"/>
          </w:pPr>
          <w:r w:rsidRPr="000D0101">
            <w:t>Observaciones: N/A</w:t>
          </w:r>
        </w:p>
        <w:p w14:paraId="6C1A2D73" w14:textId="74C072BC" w:rsidR="003D5DB4" w:rsidRDefault="003D5DB4" w:rsidP="000A5389">
          <w:pPr>
            <w:spacing w:line="240" w:lineRule="auto"/>
            <w:rPr>
              <w:rFonts w:eastAsia="Times New Roman"/>
              <w:i/>
              <w:iCs/>
              <w:lang w:eastAsia="es-CO"/>
            </w:rPr>
          </w:pPr>
          <w:r w:rsidRPr="00EE35D4">
            <w:rPr>
              <w:rFonts w:eastAsia="Times New Roman"/>
              <w:i/>
              <w:iCs/>
              <w:lang w:eastAsia="es-CO"/>
            </w:rPr>
            <w:t xml:space="preserve">SOCIEDAD PORTUARIA REGIONAL DE BUENAVENTURA S.A. S.P.R. BUN </w:t>
          </w:r>
        </w:p>
        <w:p w14:paraId="5FA4A37E" w14:textId="77777777" w:rsidR="00EE35D4" w:rsidRPr="000D0101" w:rsidRDefault="00EE35D4" w:rsidP="000A5389">
          <w:pPr>
            <w:spacing w:line="240" w:lineRule="auto"/>
            <w:rPr>
              <w:rFonts w:eastAsia="Times New Roman"/>
              <w:lang w:eastAsia="es-CO"/>
            </w:rPr>
          </w:pPr>
        </w:p>
        <w:p w14:paraId="434E9009" w14:textId="77777777" w:rsidR="003D5DB4" w:rsidRPr="000D0101" w:rsidRDefault="003D5DB4" w:rsidP="000A5389">
          <w:pPr>
            <w:spacing w:line="240" w:lineRule="auto"/>
          </w:pPr>
          <w:r w:rsidRPr="000D0101">
            <w:t>a. Descripción del Acuerdo</w:t>
          </w:r>
        </w:p>
        <w:p w14:paraId="37F87B77" w14:textId="77777777" w:rsidR="003D5DB4" w:rsidRPr="000D0101" w:rsidRDefault="003D5DB4" w:rsidP="000A5389">
          <w:pPr>
            <w:spacing w:line="240" w:lineRule="auto"/>
          </w:pPr>
        </w:p>
        <w:p w14:paraId="52A56809" w14:textId="77777777" w:rsidR="003D5DB4" w:rsidRPr="000D0101" w:rsidRDefault="003D5DB4" w:rsidP="000A5389">
          <w:pPr>
            <w:spacing w:line="240" w:lineRule="auto"/>
          </w:pPr>
          <w:r w:rsidRPr="000D0101">
            <w:t xml:space="preserve">Número del Acuerdo de Concesión: </w:t>
          </w:r>
          <w:r w:rsidRPr="000D0101">
            <w:rPr>
              <w:rStyle w:val="Estilo6"/>
              <w:rFonts w:cs="Times New Roman"/>
              <w:szCs w:val="24"/>
            </w:rPr>
            <w:t>009 de 1994</w:t>
          </w:r>
        </w:p>
        <w:p w14:paraId="2E94F903" w14:textId="77777777" w:rsidR="003D5DB4" w:rsidRPr="000D0101" w:rsidRDefault="003D5DB4" w:rsidP="000A5389">
          <w:pPr>
            <w:spacing w:line="240" w:lineRule="auto"/>
          </w:pPr>
        </w:p>
        <w:p w14:paraId="2421B678" w14:textId="77777777" w:rsidR="003D5DB4" w:rsidRPr="000D0101" w:rsidRDefault="003D5DB4" w:rsidP="000A5389">
          <w:pPr>
            <w:spacing w:line="240" w:lineRule="auto"/>
          </w:pPr>
          <w:r w:rsidRPr="000D0101">
            <w:t xml:space="preserve">Objeto / Descripción: </w:t>
          </w:r>
          <w:r w:rsidRPr="000D0101">
            <w:rPr>
              <w:rStyle w:val="Estilo6"/>
              <w:rFonts w:cs="Times New Roman"/>
              <w:szCs w:val="24"/>
            </w:rPr>
            <w:t xml:space="preserve">En la cláusula primera del Contrato de Concesión No. 009 de 1994, se describe: LA SUPERINTENDENCIA en virtud del presente contrato, otorga a la SOCIEDAD PORTUARIA REGIONAL DE BUENAVENTURA S.A., una concesión portuaria en los siguientes términos: a) Se otorga a EL CONCESIONARIO el derecho para ocupar y utilizar en forma temporal y exclusiva las playas, los terrenos de bajamar y zonas accesorias a aquellas y estos, descritos en la Cláusula del presente contrato, a cambio de la contraprestación económica de que trata la cláusula Décima Primera de este contrato, a favor de la Nación y del Municipio de Buenaventura, donde operará el mencionado puerto. El puerto será de servicio público, habilitado para el comercio exterior y para prestar servicio a toda clase de carga. b). Se otorga a EL CONCESIONARIO el derecho a utilizar temporalmente los muelles, bodegas, cobertizos, edificios, patios, obras de urbanismo, muros de cerramiento, vías y en general los bienes relacionados en las Cláusulas Tercera y Quinta del presente contrato, a cambio de la contraprestación económica de que trata la Cláusula Décima Primera del mismo, a favor de la Nación exclusivamente. </w:t>
          </w:r>
        </w:p>
        <w:p w14:paraId="3C61CCEC" w14:textId="77777777" w:rsidR="003D5DB4" w:rsidRPr="000D0101" w:rsidRDefault="003D5DB4" w:rsidP="000A5389">
          <w:pPr>
            <w:spacing w:line="240" w:lineRule="auto"/>
          </w:pPr>
          <w:r w:rsidRPr="000D0101">
            <w:t xml:space="preserve">Valor inicial: </w:t>
          </w:r>
          <w:r w:rsidRPr="000D0101">
            <w:rPr>
              <w:rStyle w:val="Estilo6"/>
              <w:rFonts w:cs="Times New Roman"/>
              <w:szCs w:val="24"/>
            </w:rPr>
            <w:t>El valor fiscal del contrato según la cláusula décima primera del Contrato de Concesión No. 009 de 1994 es de TREINTA Y OCHO MILLONES CIENTO CUATRO MIL QUINIENTOS NOVENTA Y NUEVE DÓLARES DE LOS ESTADOS UNIDOS DE AMÉRICA (USD 38.104.599).</w:t>
          </w:r>
        </w:p>
        <w:p w14:paraId="0EFF3D79" w14:textId="77777777" w:rsidR="003D5DB4" w:rsidRPr="000D0101" w:rsidRDefault="003D5DB4" w:rsidP="000A5389">
          <w:pPr>
            <w:spacing w:line="240" w:lineRule="auto"/>
          </w:pPr>
          <w:r w:rsidRPr="000D0101">
            <w:t>Fecha de inicio: 21/02/1994</w:t>
          </w:r>
        </w:p>
        <w:p w14:paraId="70E60639" w14:textId="77777777" w:rsidR="003D5DB4" w:rsidRPr="000D0101" w:rsidRDefault="003D5DB4" w:rsidP="000A5389">
          <w:pPr>
            <w:spacing w:line="240" w:lineRule="auto"/>
          </w:pPr>
          <w:r w:rsidRPr="000D0101">
            <w:t>Fecha de finalización estimada: 21/02/2034</w:t>
          </w:r>
        </w:p>
        <w:p w14:paraId="4389AC8C" w14:textId="77777777" w:rsidR="003D5DB4" w:rsidRPr="000D0101" w:rsidRDefault="003D5DB4" w:rsidP="000A5389">
          <w:pPr>
            <w:spacing w:line="240" w:lineRule="auto"/>
          </w:pPr>
          <w:r w:rsidRPr="000D0101">
            <w:t xml:space="preserve">Tipo ID: </w:t>
          </w:r>
          <w:r w:rsidRPr="000D0101">
            <w:rPr>
              <w:rStyle w:val="Estilo5"/>
              <w:rFonts w:cs="Times New Roman"/>
              <w:szCs w:val="24"/>
            </w:rPr>
            <w:t>NIT</w:t>
          </w:r>
        </w:p>
        <w:p w14:paraId="13AD49CF" w14:textId="77777777" w:rsidR="003D5DB4" w:rsidRPr="000D0101" w:rsidRDefault="003D5DB4" w:rsidP="000A5389">
          <w:pPr>
            <w:spacing w:line="240" w:lineRule="auto"/>
          </w:pPr>
          <w:r w:rsidRPr="000D0101">
            <w:t xml:space="preserve">Número ID: </w:t>
          </w:r>
          <w:r w:rsidRPr="000D0101">
            <w:rPr>
              <w:rStyle w:val="Estilo6"/>
              <w:rFonts w:cs="Times New Roman"/>
              <w:szCs w:val="24"/>
            </w:rPr>
            <w:t xml:space="preserve">800.215.775-5 </w:t>
          </w:r>
        </w:p>
        <w:p w14:paraId="79F54098" w14:textId="77777777" w:rsidR="003D5DB4" w:rsidRPr="000D0101" w:rsidRDefault="003D5DB4" w:rsidP="000A5389">
          <w:pPr>
            <w:spacing w:line="240" w:lineRule="auto"/>
          </w:pPr>
          <w:r w:rsidRPr="000D0101">
            <w:t xml:space="preserve">Razón social del concesionario: </w:t>
          </w:r>
          <w:r w:rsidRPr="000D0101">
            <w:rPr>
              <w:rStyle w:val="Estilo6"/>
              <w:rFonts w:cs="Times New Roman"/>
              <w:szCs w:val="24"/>
            </w:rPr>
            <w:t xml:space="preserve">Sociedad Portuaria Regional de Buenaventura S.A. </w:t>
          </w:r>
        </w:p>
        <w:p w14:paraId="50BC027A" w14:textId="77777777" w:rsidR="003D5DB4" w:rsidRPr="000D0101" w:rsidRDefault="003D5DB4" w:rsidP="000A5389">
          <w:pPr>
            <w:spacing w:line="240" w:lineRule="auto"/>
          </w:pPr>
          <w:r w:rsidRPr="000D0101">
            <w:t xml:space="preserve">Nombre del proyecto: </w:t>
          </w:r>
          <w:r w:rsidRPr="000D0101">
            <w:rPr>
              <w:rStyle w:val="Estilo6"/>
              <w:rFonts w:cs="Times New Roman"/>
              <w:szCs w:val="24"/>
            </w:rPr>
            <w:t xml:space="preserve">Sociedad Portuaria Regional de Buenaventura S.A. </w:t>
          </w:r>
        </w:p>
        <w:p w14:paraId="57B7D484" w14:textId="77777777" w:rsidR="003D5DB4" w:rsidRPr="000D0101" w:rsidRDefault="003D5DB4" w:rsidP="000A5389">
          <w:pPr>
            <w:spacing w:line="240" w:lineRule="auto"/>
            <w:rPr>
              <w:lang w:val="es-MX"/>
            </w:rPr>
          </w:pPr>
        </w:p>
        <w:p w14:paraId="4260AFC2" w14:textId="77777777" w:rsidR="003D5DB4" w:rsidRPr="000D0101" w:rsidRDefault="003D5DB4" w:rsidP="000A5389">
          <w:pPr>
            <w:spacing w:line="240" w:lineRule="auto"/>
            <w:rPr>
              <w:lang w:val="es-MX"/>
            </w:rPr>
          </w:pPr>
          <w:r w:rsidRPr="000D0101">
            <w:rPr>
              <w:lang w:val="es-MX"/>
            </w:rPr>
            <w:t>b. Términos significativos del Acuerdo que puedan afectar su valor, el calendario y la certeza de los flujos</w:t>
          </w:r>
        </w:p>
        <w:p w14:paraId="12437D39" w14:textId="77777777" w:rsidR="003D5DB4" w:rsidRPr="000D0101" w:rsidRDefault="003D5DB4" w:rsidP="000A5389">
          <w:pPr>
            <w:spacing w:line="240" w:lineRule="auto"/>
          </w:pPr>
        </w:p>
        <w:p w14:paraId="42279BB8" w14:textId="77777777" w:rsidR="003D5DB4" w:rsidRDefault="003D5DB4" w:rsidP="000A5389">
          <w:pPr>
            <w:spacing w:line="240" w:lineRule="auto"/>
            <w:rPr>
              <w:rStyle w:val="Estilo6"/>
              <w:rFonts w:cs="Times New Roman"/>
              <w:szCs w:val="24"/>
            </w:rPr>
          </w:pPr>
          <w:r w:rsidRPr="000D0101">
            <w:t xml:space="preserve">Términos de valor: </w:t>
          </w:r>
          <w:r w:rsidRPr="000D0101">
            <w:rPr>
              <w:rStyle w:val="Estilo6"/>
              <w:rFonts w:cs="Times New Roman"/>
              <w:szCs w:val="24"/>
            </w:rPr>
            <w:t xml:space="preserve">Tarifas: Al ser el terminal marítimo de servicio público la Ley 1 de 1991 establece: Las sociedades portuarias que operan puertos de servicio público las tarifas requieren ser aprobadas según la metodología establecida por la Superintendencia General de Puertos hoy Superintendencia de Transporte. Contraprestación portuaria: De acuerdo con el último documento contractual la metodología de contraprestación vigente es la descrita en </w:t>
          </w:r>
          <w:r w:rsidRPr="000D0101">
            <w:rPr>
              <w:rStyle w:val="Estilo6"/>
              <w:rFonts w:cs="Times New Roman"/>
              <w:szCs w:val="24"/>
            </w:rPr>
            <w:lastRenderedPageBreak/>
            <w:t xml:space="preserve">el Decreto 1873 de 2008 (cobro de las contraprestaciones por concepto de las concesiones portuarias, sobre los activos entregados a la Sociedad Portuaria Regional de Buenaventura). Según la cláusula Quinta del Otrosí No. 2 de 2008, para el año 2024 se proyectó que la Sociedad Portuaria pagará la suma de USD22.304.683, de los cuales pagará la suma de USD 12.605.332 por concepto de Zona de Uso Público y el valor de USD 9.699.351 por concepto de Infraestructura aproximadamente. Plan de Inversiones: Según la cláusula tercera del Otrosí No. 2 de 2008, que modifica el Contrato de Concesión No. 009 de 1994, el plan de inversión será de USD $449.696.302 en valores constantes del año 2007. Obligaciones del CONCESIONARIO: se encuentran descritas en la cláusula décima segunda del Contrato de Concesión No. 009 de 1994. Multas y sanciones: Se encuentran establecidas en la cláusula décima quinta del Contrato de Concesión No. 009 de 1994. Penal pecuniario: En la cláusula décima sexta se establece que en el evento en que la Superintendencia hoy ANI declare la caducidad del presente contrato. EL CONCESIONARIO deberá pagar la suma del 10% del valor total de la contraprestación, como sanción pecuniaria. El valor de esta suma pagada por EL CONCESIONARIO se considera como pago parcial pero no definitivo, los perjuicios causados a LA SUPERINTENDENCIA. </w:t>
          </w:r>
        </w:p>
        <w:p w14:paraId="75F1E7E2" w14:textId="77777777" w:rsidR="00EE35D4" w:rsidRPr="000D0101" w:rsidRDefault="00EE35D4" w:rsidP="000A5389">
          <w:pPr>
            <w:spacing w:line="240" w:lineRule="auto"/>
          </w:pPr>
        </w:p>
        <w:p w14:paraId="048DBB89" w14:textId="77777777" w:rsidR="003D5DB4" w:rsidRDefault="003D5DB4" w:rsidP="000A5389">
          <w:pPr>
            <w:spacing w:line="240" w:lineRule="auto"/>
            <w:rPr>
              <w:rStyle w:val="Estilo6"/>
              <w:rFonts w:cs="Times New Roman"/>
              <w:szCs w:val="24"/>
            </w:rPr>
          </w:pPr>
          <w:r w:rsidRPr="000D0101">
            <w:t xml:space="preserve">Términos de calendario: </w:t>
          </w:r>
          <w:r w:rsidRPr="000D0101">
            <w:rPr>
              <w:rStyle w:val="Estilo6"/>
              <w:rFonts w:cs="Times New Roman"/>
              <w:szCs w:val="24"/>
            </w:rPr>
            <w:t xml:space="preserve">Tarifas: Aprobadas según la metodología establecida por la Superintendencia General de Puertos hoy Superintendencia de Transporte. Contraprestación portuaria: la contraprestación corresponde a liquidación anual que se pagará por semestres vencidos, a partir del día siguiente de aquel en que expire el plazo del contrato original suscrito con las Sociedades Portuarias Regionales a la que se refiere el Decreto 1873 de 2008. Plan de inversiones: Según la cláusula tercera del Otrosí No. 2 de 2008, que modifica el Contrato de Concesión No. 009 de 1994, el plan de inversión será de USD $449.696.302 en valores constantes del año 2007. Multas: Se encuentran establecidas en la cláusula décima quinta del Contrato de Concesión No. 009 de 1994. </w:t>
          </w:r>
        </w:p>
        <w:p w14:paraId="0F22979E" w14:textId="77777777" w:rsidR="00EE35D4" w:rsidRPr="000D0101" w:rsidRDefault="00EE35D4" w:rsidP="000A5389">
          <w:pPr>
            <w:spacing w:line="240" w:lineRule="auto"/>
          </w:pPr>
        </w:p>
        <w:p w14:paraId="4C603A81" w14:textId="77777777" w:rsidR="003D5DB4" w:rsidRPr="000D0101" w:rsidRDefault="003D5DB4" w:rsidP="000A5389">
          <w:pPr>
            <w:spacing w:line="240" w:lineRule="auto"/>
          </w:pPr>
          <w:r w:rsidRPr="000D0101">
            <w:t xml:space="preserve">Términos de certeza de flujos de efectivo futuros: </w:t>
          </w:r>
          <w:r w:rsidRPr="000D0101">
            <w:rPr>
              <w:rStyle w:val="Estilo6"/>
              <w:rFonts w:cs="Times New Roman"/>
              <w:szCs w:val="24"/>
            </w:rPr>
            <w:t xml:space="preserve">LA SUPERINTENDENCIA en virtud del presente contrato, otorga a la SOCIEDAD PORTUARIA REGIONAL DE BUENAVENTURA S.A., una concesión portuaria en los siguientes términos: a) Se otorga a EL CONCESIONARIO el derecho para ocupar y utilizar en forma temporal y exclusiva las playas, los terrenos de bajamar y zonas accesorias a aquellas y éstos, descritos en la Cláusula del presente contrato, a cambio de la contraprestación económica de que trata la Cláusula Décima Primera de este contrato, a favor de la Nación y del Municipio de Buenaventura, donde operará el mencionado puerto. El puerto será de servicio público, habilitado para el comercio exterior y para prestar servicio a toda clase de carga. b). Se otorga a EL CONCESIONARIO el derecho a utilizar temporalmente los muelles, bodegas, cobertizos, edificios, patios, obras de urbanismo, muros de cerramiento, vías y en general los bienes relacionados en las Cláusulas Tercera y Quinta del presente contrato, a cambio de la contraprestación económica de que trata la Cláusula Décima Primera del mismo, a favor de la Nación exclusivamente. La cláusula décimo primera del Contrato de Concesión, que fue modificada por la Clausula Quinta del Otrosí No. 2 de 2008, establece el pago de la contraprestación sobre la cual se indica que el 80% le corresponde a la Nación y el 20% al </w:t>
          </w:r>
          <w:r w:rsidRPr="000D0101">
            <w:rPr>
              <w:rStyle w:val="Estilo6"/>
              <w:rFonts w:cs="Times New Roman"/>
              <w:szCs w:val="24"/>
            </w:rPr>
            <w:lastRenderedPageBreak/>
            <w:t xml:space="preserve">Municipio de Buenaventura, de acuerdo con lo establecido en el Decreto 2147 del 13-09-1991 y Resolución 040 de 1992; modificadas por la Ley 856 de 2003. </w:t>
          </w:r>
        </w:p>
        <w:p w14:paraId="22B1487F" w14:textId="77777777" w:rsidR="003D5DB4" w:rsidRPr="000D0101" w:rsidRDefault="003D5DB4" w:rsidP="000A5389">
          <w:pPr>
            <w:spacing w:line="240" w:lineRule="auto"/>
            <w:rPr>
              <w:lang w:val="es-MX"/>
            </w:rPr>
          </w:pPr>
        </w:p>
        <w:p w14:paraId="0636FD9E" w14:textId="77777777" w:rsidR="003D5DB4" w:rsidRPr="000D0101" w:rsidRDefault="003D5DB4" w:rsidP="000A5389">
          <w:pPr>
            <w:spacing w:line="240" w:lineRule="auto"/>
            <w:rPr>
              <w:lang w:val="es-MX"/>
            </w:rPr>
          </w:pPr>
          <w:r w:rsidRPr="000D0101">
            <w:rPr>
              <w:lang w:val="es-MX"/>
            </w:rPr>
            <w:t>c. Naturaleza y alcance del derecho a utilizar activos especificados y los aspectos pactados en torno a lo que se espera que el concesionario proporcione en relación con el acuerdo de concesión</w:t>
          </w:r>
        </w:p>
        <w:p w14:paraId="198CB435" w14:textId="77777777" w:rsidR="003D5DB4" w:rsidRPr="000D0101" w:rsidRDefault="003D5DB4" w:rsidP="000A5389">
          <w:pPr>
            <w:spacing w:line="240" w:lineRule="auto"/>
          </w:pPr>
          <w:r w:rsidRPr="000D0101">
            <w:t>Naturaleza y alcance del derecho de uso de los activos</w:t>
          </w:r>
        </w:p>
        <w:p w14:paraId="45EA0C07" w14:textId="77777777" w:rsidR="003D5DB4" w:rsidRPr="000D0101" w:rsidRDefault="003D5DB4" w:rsidP="000A5389">
          <w:pPr>
            <w:spacing w:line="240" w:lineRule="auto"/>
          </w:pPr>
        </w:p>
        <w:p w14:paraId="3EDC39EA" w14:textId="77777777" w:rsidR="003D5DB4" w:rsidRPr="000D0101" w:rsidRDefault="003D5DB4" w:rsidP="000A5389">
          <w:pPr>
            <w:spacing w:line="240" w:lineRule="auto"/>
          </w:pPr>
          <w:r w:rsidRPr="000D0101">
            <w:t xml:space="preserve">Descripción: </w:t>
          </w:r>
          <w:r w:rsidRPr="000D0101">
            <w:rPr>
              <w:rStyle w:val="Estilo6"/>
              <w:rFonts w:cs="Times New Roman"/>
              <w:szCs w:val="24"/>
            </w:rPr>
            <w:t>Descripción del proyecto, especificaciones técnicas, modalidades de operación: las condiciones especiales de operación del puerto están establecidas en la cláusula sexta del Contrato de Concesión Área entregada en concesión: La descripción de la ubicación, linderos y extensión de los bienes de uso público (playas y terrenos de baja mar, zonas marítimas accesorias de maniobras) entregados en concesión están establecidos en la cláusula tercera. Infraestructura y equipos entregados en concesión: En la cláusula quinta del Contrato inicial, se describe que lo entregado en concesión fue: Infraestructura: Muelles, Bodegas, Cobertizos, Edificio, Redes de Servicios, Red de Alcantarillado, Red Eléctrica y de Alumbrado,</w:t>
          </w:r>
        </w:p>
        <w:p w14:paraId="21A6A9E4" w14:textId="77777777" w:rsidR="003D5DB4" w:rsidRPr="000D0101" w:rsidRDefault="003D5DB4" w:rsidP="000A5389">
          <w:pPr>
            <w:spacing w:line="240" w:lineRule="auto"/>
            <w:rPr>
              <w:rStyle w:val="Estilo3"/>
              <w:rFonts w:cs="Times New Roman"/>
              <w:szCs w:val="24"/>
            </w:rPr>
          </w:pPr>
          <w:r w:rsidRPr="000D0101">
            <w:t xml:space="preserve">Observaciones: </w:t>
          </w:r>
          <w:r w:rsidRPr="000D0101">
            <w:rPr>
              <w:rStyle w:val="Estilo6"/>
              <w:rFonts w:cs="Times New Roman"/>
              <w:szCs w:val="24"/>
            </w:rPr>
            <w:t>NA</w:t>
          </w:r>
        </w:p>
        <w:p w14:paraId="11D0482D" w14:textId="77777777" w:rsidR="003D5DB4" w:rsidRPr="000D0101" w:rsidRDefault="003D5DB4" w:rsidP="000A5389">
          <w:pPr>
            <w:spacing w:line="240" w:lineRule="auto"/>
          </w:pPr>
        </w:p>
        <w:p w14:paraId="7E6DB099" w14:textId="77777777" w:rsidR="003D5DB4" w:rsidRPr="000D0101" w:rsidRDefault="003D5DB4" w:rsidP="000A5389">
          <w:pPr>
            <w:spacing w:line="240" w:lineRule="auto"/>
          </w:pPr>
          <w:r w:rsidRPr="000D0101">
            <w:t>Retribución al concesionario</w:t>
          </w:r>
        </w:p>
        <w:p w14:paraId="511CDE02" w14:textId="77777777" w:rsidR="003D5DB4" w:rsidRPr="000D0101" w:rsidRDefault="003D5DB4" w:rsidP="000A5389">
          <w:pPr>
            <w:spacing w:line="240" w:lineRule="auto"/>
          </w:pPr>
        </w:p>
        <w:p w14:paraId="5B7DD974" w14:textId="2307B366" w:rsidR="003D5DB4" w:rsidRPr="000D0101" w:rsidRDefault="003D5DB4" w:rsidP="000A5389">
          <w:pPr>
            <w:spacing w:line="240" w:lineRule="auto"/>
          </w:pPr>
          <w:r w:rsidRPr="000D0101">
            <w:t xml:space="preserve">Descripción: </w:t>
          </w:r>
          <w:r w:rsidRPr="000D0101">
            <w:rPr>
              <w:rStyle w:val="Estilo6"/>
              <w:rFonts w:cs="Times New Roman"/>
              <w:szCs w:val="24"/>
            </w:rPr>
            <w:t xml:space="preserve">En la cláusula primera del Contrato de Concesión No. 009 de 1994, se describe: LA SUPERINTENDENCIA en virtud del presente contrato, otorga a la SOCIEDAD PORTUARIA REGIONAL DE BUENAVENTURA S.A., una concesión portuaria en los siguientes términos: a) Se otorga a EL CONCESIONARIO el derecho para ocupar y utilizar en forma temporal y exclusiva las playas, los terrenos de bajamar y zonas accesorias a aquellas y éstos, descritos en la Cláusula del presente contrato, a cambio de la contraprestación económica de que trata la Cláusula Décima Primera de este contrato, a favor de la Nación y del Municipio de Buenaventura, donde operará el mencionado puerto. El puerto será de servicio público, habilitado para el comercio exterior y para prestar servicio a toda clase de carga. b). Se otorga a EL CONCESIONARIO el derecho a utilizar temporalmente los muelles, bodegas, cobertizos, edificios, patios, obras de urbanismo, muros de cerramiento, vías y en general los bienes relacionados en las Cláusulas Tercera y Quinta del presente contrato, a cambio de la </w:t>
          </w:r>
          <w:r w:rsidR="00EE35D4" w:rsidRPr="000D0101">
            <w:rPr>
              <w:rStyle w:val="Estilo6"/>
              <w:rFonts w:cs="Times New Roman"/>
              <w:szCs w:val="24"/>
            </w:rPr>
            <w:t>contraprestación</w:t>
          </w:r>
          <w:r w:rsidRPr="000D0101">
            <w:rPr>
              <w:rStyle w:val="Estilo6"/>
              <w:rFonts w:cs="Times New Roman"/>
              <w:szCs w:val="24"/>
            </w:rPr>
            <w:t xml:space="preserve"> </w:t>
          </w:r>
          <w:r w:rsidR="00EE35D4" w:rsidRPr="000D0101">
            <w:rPr>
              <w:rStyle w:val="Estilo6"/>
              <w:rFonts w:cs="Times New Roman"/>
              <w:szCs w:val="24"/>
            </w:rPr>
            <w:t>económica</w:t>
          </w:r>
          <w:r w:rsidRPr="000D0101">
            <w:rPr>
              <w:rStyle w:val="Estilo6"/>
              <w:rFonts w:cs="Times New Roman"/>
              <w:szCs w:val="24"/>
            </w:rPr>
            <w:t xml:space="preserve"> de que trata la </w:t>
          </w:r>
          <w:r w:rsidR="00EE35D4" w:rsidRPr="000D0101">
            <w:rPr>
              <w:rStyle w:val="Estilo6"/>
              <w:rFonts w:cs="Times New Roman"/>
              <w:szCs w:val="24"/>
            </w:rPr>
            <w:t>Cláusula</w:t>
          </w:r>
          <w:r w:rsidRPr="000D0101">
            <w:rPr>
              <w:rStyle w:val="Estilo6"/>
              <w:rFonts w:cs="Times New Roman"/>
              <w:szCs w:val="24"/>
            </w:rPr>
            <w:t xml:space="preserve"> </w:t>
          </w:r>
          <w:r w:rsidR="00EE35D4" w:rsidRPr="000D0101">
            <w:rPr>
              <w:rStyle w:val="Estilo6"/>
              <w:rFonts w:cs="Times New Roman"/>
              <w:szCs w:val="24"/>
            </w:rPr>
            <w:t>Décima</w:t>
          </w:r>
          <w:r w:rsidRPr="000D0101">
            <w:rPr>
              <w:rStyle w:val="Estilo6"/>
              <w:rFonts w:cs="Times New Roman"/>
              <w:szCs w:val="24"/>
            </w:rPr>
            <w:t xml:space="preserve"> Primera del mismo, a favor de la </w:t>
          </w:r>
          <w:r w:rsidR="00EE35D4" w:rsidRPr="000D0101">
            <w:rPr>
              <w:rStyle w:val="Estilo6"/>
              <w:rFonts w:cs="Times New Roman"/>
              <w:szCs w:val="24"/>
            </w:rPr>
            <w:t>Nación</w:t>
          </w:r>
          <w:r w:rsidRPr="000D0101">
            <w:rPr>
              <w:rStyle w:val="Estilo6"/>
              <w:rFonts w:cs="Times New Roman"/>
              <w:szCs w:val="24"/>
            </w:rPr>
            <w:t xml:space="preserve"> exclusivamente. </w:t>
          </w:r>
        </w:p>
        <w:p w14:paraId="060C121C" w14:textId="77777777" w:rsidR="003D5DB4" w:rsidRPr="000D0101" w:rsidRDefault="003D5DB4" w:rsidP="000A5389">
          <w:pPr>
            <w:spacing w:line="240" w:lineRule="auto"/>
          </w:pPr>
          <w:r w:rsidRPr="000D0101">
            <w:t xml:space="preserve">Tasa de retribución: </w:t>
          </w:r>
          <w:r w:rsidRPr="000D0101">
            <w:rPr>
              <w:rStyle w:val="Estilo6"/>
              <w:rFonts w:cs="Times New Roman"/>
              <w:szCs w:val="24"/>
            </w:rPr>
            <w:t>NA</w:t>
          </w:r>
        </w:p>
        <w:p w14:paraId="181F5CEB" w14:textId="77777777" w:rsidR="003D5DB4" w:rsidRPr="000D0101" w:rsidRDefault="003D5DB4" w:rsidP="000A5389">
          <w:pPr>
            <w:spacing w:line="240" w:lineRule="auto"/>
          </w:pPr>
        </w:p>
        <w:p w14:paraId="063C6550" w14:textId="77777777" w:rsidR="003D5DB4" w:rsidRPr="000D0101" w:rsidRDefault="003D5DB4" w:rsidP="000A5389">
          <w:pPr>
            <w:spacing w:line="240" w:lineRule="auto"/>
          </w:pPr>
          <w:r w:rsidRPr="000D0101">
            <w:t>d. Derechos a recibir activos especificados al final del acuerdo de concesión</w:t>
          </w:r>
        </w:p>
        <w:p w14:paraId="56075B8B" w14:textId="77777777" w:rsidR="003D5DB4" w:rsidRPr="000D0101" w:rsidRDefault="003D5DB4" w:rsidP="000A5389">
          <w:pPr>
            <w:spacing w:line="240" w:lineRule="auto"/>
          </w:pPr>
        </w:p>
        <w:p w14:paraId="734FC726" w14:textId="5D081A7C" w:rsidR="003D5DB4" w:rsidRPr="000D0101" w:rsidRDefault="003D5DB4" w:rsidP="000A5389">
          <w:pPr>
            <w:spacing w:line="240" w:lineRule="auto"/>
          </w:pPr>
          <w:r w:rsidRPr="000D0101">
            <w:t xml:space="preserve">Descripción: </w:t>
          </w:r>
          <w:r w:rsidRPr="000D0101">
            <w:rPr>
              <w:rStyle w:val="Estilo6"/>
              <w:rFonts w:cs="Times New Roman"/>
              <w:szCs w:val="24"/>
            </w:rPr>
            <w:t xml:space="preserve">De acuerdo con el </w:t>
          </w:r>
          <w:r w:rsidR="00EE35D4" w:rsidRPr="000D0101">
            <w:rPr>
              <w:rStyle w:val="Estilo6"/>
              <w:rFonts w:cs="Times New Roman"/>
              <w:szCs w:val="24"/>
            </w:rPr>
            <w:t>Articulo</w:t>
          </w:r>
          <w:r w:rsidRPr="000D0101">
            <w:rPr>
              <w:rStyle w:val="Estilo6"/>
              <w:rFonts w:cs="Times New Roman"/>
              <w:szCs w:val="24"/>
            </w:rPr>
            <w:t xml:space="preserve"> 8o de la Ley 1 de 1991 en el modo portuario el concesionario no tiene derechos finales sobre activos los debe revertir a la </w:t>
          </w:r>
          <w:r w:rsidR="00EE35D4" w:rsidRPr="000D0101">
            <w:rPr>
              <w:rStyle w:val="Estilo6"/>
              <w:rFonts w:cs="Times New Roman"/>
              <w:szCs w:val="24"/>
            </w:rPr>
            <w:t>Nación</w:t>
          </w:r>
          <w:r w:rsidRPr="000D0101">
            <w:rPr>
              <w:rStyle w:val="Estilo6"/>
              <w:rFonts w:cs="Times New Roman"/>
              <w:szCs w:val="24"/>
            </w:rPr>
            <w:t xml:space="preserve"> al final del contrato de </w:t>
          </w:r>
          <w:r w:rsidR="00EE35D4" w:rsidRPr="000D0101">
            <w:rPr>
              <w:rStyle w:val="Estilo6"/>
              <w:rFonts w:cs="Times New Roman"/>
              <w:szCs w:val="24"/>
            </w:rPr>
            <w:t>concesión</w:t>
          </w:r>
          <w:r w:rsidRPr="000D0101">
            <w:rPr>
              <w:rStyle w:val="Estilo6"/>
              <w:rFonts w:cs="Times New Roman"/>
              <w:szCs w:val="24"/>
            </w:rPr>
            <w:t>.</w:t>
          </w:r>
        </w:p>
        <w:p w14:paraId="5697ECF9" w14:textId="6B120245" w:rsidR="003D5DB4" w:rsidRPr="000D0101" w:rsidRDefault="003D5DB4" w:rsidP="000A5389">
          <w:pPr>
            <w:spacing w:line="240" w:lineRule="auto"/>
          </w:pPr>
          <w:r w:rsidRPr="000D0101">
            <w:t xml:space="preserve">Observaciones: </w:t>
          </w:r>
          <w:r w:rsidR="00EE35D4" w:rsidRPr="000D0101">
            <w:rPr>
              <w:rStyle w:val="Estilo6"/>
              <w:rFonts w:cs="Times New Roman"/>
              <w:szCs w:val="24"/>
            </w:rPr>
            <w:t>Reversión</w:t>
          </w:r>
          <w:r w:rsidRPr="000D0101">
            <w:rPr>
              <w:rStyle w:val="Estilo6"/>
              <w:rFonts w:cs="Times New Roman"/>
              <w:szCs w:val="24"/>
            </w:rPr>
            <w:t xml:space="preserve">: De acuerdo con lo establecido en la </w:t>
          </w:r>
          <w:r w:rsidR="00EE35D4" w:rsidRPr="000D0101">
            <w:rPr>
              <w:rStyle w:val="Estilo6"/>
              <w:rFonts w:cs="Times New Roman"/>
              <w:szCs w:val="24"/>
            </w:rPr>
            <w:t>cláusula</w:t>
          </w:r>
          <w:r w:rsidRPr="000D0101">
            <w:rPr>
              <w:rStyle w:val="Estilo6"/>
              <w:rFonts w:cs="Times New Roman"/>
              <w:szCs w:val="24"/>
            </w:rPr>
            <w:t xml:space="preserve"> novena del contrato de </w:t>
          </w:r>
          <w:r w:rsidR="00EE35D4" w:rsidRPr="000D0101">
            <w:rPr>
              <w:rStyle w:val="Estilo6"/>
              <w:rFonts w:cs="Times New Roman"/>
              <w:szCs w:val="24"/>
            </w:rPr>
            <w:t>concesión</w:t>
          </w:r>
          <w:r w:rsidRPr="000D0101">
            <w:rPr>
              <w:rStyle w:val="Estilo6"/>
              <w:rFonts w:cs="Times New Roman"/>
              <w:szCs w:val="24"/>
            </w:rPr>
            <w:t xml:space="preserve">, todas las construcciones e inmuebles por </w:t>
          </w:r>
          <w:r w:rsidR="00EE35D4" w:rsidRPr="000D0101">
            <w:rPr>
              <w:rStyle w:val="Estilo6"/>
              <w:rFonts w:cs="Times New Roman"/>
              <w:szCs w:val="24"/>
            </w:rPr>
            <w:t>destinación</w:t>
          </w:r>
          <w:r w:rsidRPr="000D0101">
            <w:rPr>
              <w:rStyle w:val="Estilo6"/>
              <w:rFonts w:cs="Times New Roman"/>
              <w:szCs w:val="24"/>
            </w:rPr>
            <w:t xml:space="preserve">, que se encuentren instalados en la zona de uso </w:t>
          </w:r>
          <w:r w:rsidR="00EE35D4" w:rsidRPr="000D0101">
            <w:rPr>
              <w:rStyle w:val="Estilo6"/>
              <w:rFonts w:cs="Times New Roman"/>
              <w:szCs w:val="24"/>
            </w:rPr>
            <w:t>público</w:t>
          </w:r>
          <w:r w:rsidRPr="000D0101">
            <w:rPr>
              <w:rStyle w:val="Estilo6"/>
              <w:rFonts w:cs="Times New Roman"/>
              <w:szCs w:val="24"/>
            </w:rPr>
            <w:t xml:space="preserve"> otorgada en </w:t>
          </w:r>
          <w:r w:rsidR="00EE35D4" w:rsidRPr="000D0101">
            <w:rPr>
              <w:rStyle w:val="Estilo6"/>
              <w:rFonts w:cs="Times New Roman"/>
              <w:szCs w:val="24"/>
            </w:rPr>
            <w:t>concesión</w:t>
          </w:r>
          <w:r w:rsidRPr="000D0101">
            <w:rPr>
              <w:rStyle w:val="Estilo6"/>
              <w:rFonts w:cs="Times New Roman"/>
              <w:szCs w:val="24"/>
            </w:rPr>
            <w:t xml:space="preserve"> </w:t>
          </w:r>
          <w:r w:rsidR="00EE35D4" w:rsidRPr="000D0101">
            <w:rPr>
              <w:rStyle w:val="Estilo6"/>
              <w:rFonts w:cs="Times New Roman"/>
              <w:szCs w:val="24"/>
            </w:rPr>
            <w:t>revertirán</w:t>
          </w:r>
          <w:r w:rsidRPr="000D0101">
            <w:rPr>
              <w:rStyle w:val="Estilo6"/>
              <w:rFonts w:cs="Times New Roman"/>
              <w:szCs w:val="24"/>
            </w:rPr>
            <w:t xml:space="preserve"> gratuitamente por el </w:t>
          </w:r>
          <w:r w:rsidRPr="000D0101">
            <w:rPr>
              <w:rStyle w:val="Estilo6"/>
              <w:rFonts w:cs="Times New Roman"/>
              <w:szCs w:val="24"/>
            </w:rPr>
            <w:lastRenderedPageBreak/>
            <w:t xml:space="preserve">Concesionario. Para tal fin, en el momento de la </w:t>
          </w:r>
          <w:r w:rsidR="00EE35D4" w:rsidRPr="000D0101">
            <w:rPr>
              <w:rStyle w:val="Estilo6"/>
              <w:rFonts w:cs="Times New Roman"/>
              <w:szCs w:val="24"/>
            </w:rPr>
            <w:t>reversión</w:t>
          </w:r>
          <w:r w:rsidRPr="000D0101">
            <w:rPr>
              <w:rStyle w:val="Estilo6"/>
              <w:rFonts w:cs="Times New Roman"/>
              <w:szCs w:val="24"/>
            </w:rPr>
            <w:t xml:space="preserve"> el CONCESIONARIO elaborará un inventario de los bienes y los enviará para su </w:t>
          </w:r>
          <w:r w:rsidR="00EE35D4" w:rsidRPr="000D0101">
            <w:rPr>
              <w:rStyle w:val="Estilo6"/>
              <w:rFonts w:cs="Times New Roman"/>
              <w:szCs w:val="24"/>
            </w:rPr>
            <w:t>revisión</w:t>
          </w:r>
          <w:r w:rsidRPr="000D0101">
            <w:rPr>
              <w:rStyle w:val="Estilo6"/>
              <w:rFonts w:cs="Times New Roman"/>
              <w:szCs w:val="24"/>
            </w:rPr>
            <w:t xml:space="preserve"> y </w:t>
          </w:r>
          <w:r w:rsidR="00EE35D4" w:rsidRPr="000D0101">
            <w:rPr>
              <w:rStyle w:val="Estilo6"/>
              <w:rFonts w:cs="Times New Roman"/>
              <w:szCs w:val="24"/>
            </w:rPr>
            <w:t>aprobación</w:t>
          </w:r>
          <w:r w:rsidRPr="000D0101">
            <w:rPr>
              <w:rStyle w:val="Estilo6"/>
              <w:rFonts w:cs="Times New Roman"/>
              <w:szCs w:val="24"/>
            </w:rPr>
            <w:t xml:space="preserve">. La ANI es la entidad concedente pero la titularidad de los activos al final de la </w:t>
          </w:r>
          <w:r w:rsidR="00EE35D4" w:rsidRPr="000D0101">
            <w:rPr>
              <w:rStyle w:val="Estilo6"/>
              <w:rFonts w:cs="Times New Roman"/>
              <w:szCs w:val="24"/>
            </w:rPr>
            <w:t>concesión</w:t>
          </w:r>
          <w:r w:rsidRPr="000D0101">
            <w:rPr>
              <w:rStyle w:val="Estilo6"/>
              <w:rFonts w:cs="Times New Roman"/>
              <w:szCs w:val="24"/>
            </w:rPr>
            <w:t xml:space="preserve"> es del Instituto Nacional de </w:t>
          </w:r>
          <w:r w:rsidR="00EE35D4" w:rsidRPr="000D0101">
            <w:rPr>
              <w:rStyle w:val="Estilo6"/>
              <w:rFonts w:cs="Times New Roman"/>
              <w:szCs w:val="24"/>
            </w:rPr>
            <w:t>Vías</w:t>
          </w:r>
          <w:r w:rsidRPr="000D0101">
            <w:rPr>
              <w:rStyle w:val="Estilo6"/>
              <w:rFonts w:cs="Times New Roman"/>
              <w:szCs w:val="24"/>
            </w:rPr>
            <w:t xml:space="preserve"> INVIAS.</w:t>
          </w:r>
        </w:p>
        <w:p w14:paraId="1D6AE327" w14:textId="77777777" w:rsidR="003D5DB4" w:rsidRPr="000D0101" w:rsidRDefault="003D5DB4" w:rsidP="000A5389">
          <w:pPr>
            <w:spacing w:line="240" w:lineRule="auto"/>
          </w:pPr>
        </w:p>
        <w:p w14:paraId="289908B7" w14:textId="77777777" w:rsidR="003D5DB4" w:rsidRPr="000D0101" w:rsidRDefault="003D5DB4" w:rsidP="000A5389">
          <w:pPr>
            <w:spacing w:line="240" w:lineRule="auto"/>
          </w:pPr>
          <w:r w:rsidRPr="000D0101">
            <w:t>e. Las alternativas de renovación y cese del Acuerdo</w:t>
          </w:r>
        </w:p>
        <w:p w14:paraId="434DF292" w14:textId="77777777" w:rsidR="003D5DB4" w:rsidRPr="000D0101" w:rsidRDefault="003D5DB4" w:rsidP="000A5389">
          <w:pPr>
            <w:spacing w:line="240" w:lineRule="auto"/>
          </w:pPr>
          <w:r w:rsidRPr="000D0101">
            <w:t xml:space="preserve">Descripción: </w:t>
          </w:r>
          <w:r w:rsidRPr="000D0101">
            <w:rPr>
              <w:rStyle w:val="Estilo6"/>
              <w:rFonts w:cs="Times New Roman"/>
              <w:szCs w:val="24"/>
            </w:rPr>
            <w:t>La Cláusula Novena, establece que la terminación anticipada del contrato podrá darse por mutuo acuerdo entre las partes o por incumplimiento de las obligaciones contractuales, conforme a lo estipulado en la normatividad vigente</w:t>
          </w:r>
        </w:p>
        <w:p w14:paraId="205F9140" w14:textId="77777777" w:rsidR="003D5DB4" w:rsidRPr="000D0101" w:rsidRDefault="003D5DB4" w:rsidP="000A5389">
          <w:pPr>
            <w:spacing w:line="240" w:lineRule="auto"/>
          </w:pPr>
          <w:r w:rsidRPr="000D0101">
            <w:t xml:space="preserve">Observaciones: </w:t>
          </w:r>
          <w:r w:rsidRPr="000D0101">
            <w:rPr>
              <w:rStyle w:val="Estilo6"/>
              <w:rFonts w:cs="Times New Roman"/>
              <w:szCs w:val="24"/>
            </w:rPr>
            <w:t>El contrato actualmente se encuentra en su etapa de prórroga.</w:t>
          </w:r>
        </w:p>
        <w:p w14:paraId="0D53FF4C" w14:textId="77777777" w:rsidR="003D5DB4" w:rsidRPr="000D0101" w:rsidRDefault="003D5DB4" w:rsidP="000A5389">
          <w:pPr>
            <w:spacing w:line="240" w:lineRule="auto"/>
          </w:pPr>
        </w:p>
        <w:p w14:paraId="6A75BF2E" w14:textId="77777777" w:rsidR="003D5DB4" w:rsidRPr="000D0101" w:rsidRDefault="003D5DB4" w:rsidP="000A5389">
          <w:pPr>
            <w:spacing w:line="240" w:lineRule="auto"/>
            <w:rPr>
              <w:lang w:val="es-MX"/>
            </w:rPr>
          </w:pPr>
          <w:r w:rsidRPr="000D0101">
            <w:rPr>
              <w:lang w:val="es-MX"/>
            </w:rPr>
            <w:t>f. Cambios en el acuerdo de concesión que se realicen durante el periodo fiscal</w:t>
          </w:r>
        </w:p>
        <w:p w14:paraId="423426DF" w14:textId="77777777" w:rsidR="003D5DB4" w:rsidRPr="000D0101" w:rsidRDefault="003D5DB4" w:rsidP="000A5389">
          <w:pPr>
            <w:spacing w:line="240" w:lineRule="auto"/>
            <w:rPr>
              <w:lang w:val="es-MX"/>
            </w:rPr>
          </w:pPr>
        </w:p>
        <w:p w14:paraId="65C406B6" w14:textId="77777777" w:rsidR="003D5DB4" w:rsidRPr="000D0101" w:rsidRDefault="003D5DB4" w:rsidP="000A5389">
          <w:pPr>
            <w:spacing w:line="240" w:lineRule="auto"/>
          </w:pPr>
          <w:r w:rsidRPr="000D0101">
            <w:t>Adiciones o modificaciones en tiempo</w:t>
          </w:r>
        </w:p>
        <w:p w14:paraId="2C425BD2" w14:textId="77777777" w:rsidR="003D5DB4" w:rsidRPr="000D0101" w:rsidRDefault="003D5DB4" w:rsidP="000A5389">
          <w:pPr>
            <w:spacing w:line="240" w:lineRule="auto"/>
          </w:pPr>
          <w:r w:rsidRPr="000D0101">
            <w:t xml:space="preserve">Fechas de las adiciones o modificaciones: </w:t>
          </w:r>
          <w:r w:rsidRPr="000D0101">
            <w:rPr>
              <w:rStyle w:val="Estilo6"/>
              <w:rFonts w:cs="Times New Roman"/>
              <w:szCs w:val="24"/>
            </w:rPr>
            <w:t>Otrosí No. 01 – 27 de enero de 2004, Otrosí No. 02 – 30 de mayo de 2008, Otrosí No. 03 – 29 de enero de 2010, Otrosí No. 04 – 4 de noviembre de 2025</w:t>
          </w:r>
        </w:p>
        <w:p w14:paraId="08C949C1" w14:textId="77777777" w:rsidR="003D5DB4" w:rsidRPr="000D0101" w:rsidRDefault="003D5DB4" w:rsidP="000A5389">
          <w:pPr>
            <w:spacing w:line="240" w:lineRule="auto"/>
          </w:pPr>
          <w:r w:rsidRPr="000D0101">
            <w:t xml:space="preserve">Nueva fecha de finalización estimada: </w:t>
          </w:r>
          <w:r w:rsidRPr="000D0101">
            <w:rPr>
              <w:rStyle w:val="Estilo6"/>
              <w:rFonts w:cs="Times New Roman"/>
              <w:szCs w:val="24"/>
            </w:rPr>
            <w:t>20 de febrero de 2034</w:t>
          </w:r>
        </w:p>
        <w:p w14:paraId="2D1F2903" w14:textId="77777777" w:rsidR="003D5DB4" w:rsidRPr="000D0101" w:rsidRDefault="003D5DB4" w:rsidP="000A5389">
          <w:pPr>
            <w:spacing w:line="240" w:lineRule="auto"/>
          </w:pPr>
          <w:r w:rsidRPr="000D0101">
            <w:t xml:space="preserve">Observaciones: </w:t>
          </w:r>
          <w:r w:rsidRPr="000D0101">
            <w:rPr>
              <w:rStyle w:val="Estilo6"/>
              <w:rFonts w:cs="Times New Roman"/>
              <w:szCs w:val="24"/>
            </w:rPr>
            <w:t>Se concedió una prórroga de 20 años adicionales</w:t>
          </w:r>
        </w:p>
        <w:p w14:paraId="1F751EE6" w14:textId="77777777" w:rsidR="003D5DB4" w:rsidRPr="000D0101" w:rsidRDefault="003D5DB4" w:rsidP="000A5389">
          <w:pPr>
            <w:spacing w:line="240" w:lineRule="auto"/>
          </w:pPr>
          <w:r w:rsidRPr="000D0101">
            <w:t>Adiciones o modificaciones en valor</w:t>
          </w:r>
        </w:p>
        <w:p w14:paraId="6B2F29FB" w14:textId="77777777" w:rsidR="003D5DB4" w:rsidRPr="000D0101" w:rsidRDefault="003D5DB4" w:rsidP="000A5389">
          <w:pPr>
            <w:spacing w:line="240" w:lineRule="auto"/>
          </w:pPr>
          <w:r w:rsidRPr="000D0101">
            <w:t xml:space="preserve">Valor de la adición o modificación: </w:t>
          </w:r>
          <w:r w:rsidRPr="000D0101">
            <w:rPr>
              <w:rStyle w:val="Estilo6"/>
              <w:rFonts w:cs="Times New Roman"/>
              <w:szCs w:val="24"/>
            </w:rPr>
            <w:t>El Otrosí No. 02 estableció un Plan de Inversiones por un monto total mínimo de USD $449.696.302</w:t>
          </w:r>
        </w:p>
        <w:p w14:paraId="0B6A6684" w14:textId="77777777" w:rsidR="003D5DB4" w:rsidRPr="000D0101" w:rsidRDefault="003D5DB4" w:rsidP="000A5389">
          <w:pPr>
            <w:spacing w:line="240" w:lineRule="auto"/>
          </w:pPr>
          <w:r w:rsidRPr="000D0101">
            <w:t xml:space="preserve">Nuevo valor del acuerdo: </w:t>
          </w:r>
          <w:r w:rsidRPr="000D0101">
            <w:rPr>
              <w:rStyle w:val="Estilo6"/>
              <w:rFonts w:cs="Times New Roman"/>
              <w:szCs w:val="24"/>
            </w:rPr>
            <w:t>$487.800.901</w:t>
          </w:r>
        </w:p>
        <w:p w14:paraId="0BEB91D3" w14:textId="77777777" w:rsidR="003D5DB4" w:rsidRPr="000D0101" w:rsidRDefault="003D5DB4" w:rsidP="000A5389">
          <w:pPr>
            <w:spacing w:line="240" w:lineRule="auto"/>
          </w:pPr>
          <w:r w:rsidRPr="000D0101">
            <w:t xml:space="preserve">Observaciones: </w:t>
          </w:r>
          <w:r w:rsidRPr="000D0101">
            <w:rPr>
              <w:rStyle w:val="Estilo6"/>
              <w:rFonts w:cs="Times New Roman"/>
              <w:szCs w:val="24"/>
            </w:rPr>
            <w:t>NA</w:t>
          </w:r>
        </w:p>
        <w:p w14:paraId="67460425" w14:textId="77777777" w:rsidR="003D5DB4" w:rsidRPr="000D0101" w:rsidRDefault="003D5DB4" w:rsidP="000A5389">
          <w:pPr>
            <w:spacing w:line="240" w:lineRule="auto"/>
            <w:rPr>
              <w:rFonts w:eastAsia="Times New Roman"/>
              <w:lang w:eastAsia="es-CO"/>
            </w:rPr>
          </w:pPr>
        </w:p>
        <w:p w14:paraId="0419FE00" w14:textId="77777777" w:rsidR="003D5DB4" w:rsidRPr="000D0101" w:rsidRDefault="003D5DB4" w:rsidP="000A5389">
          <w:pPr>
            <w:spacing w:line="240" w:lineRule="auto"/>
            <w:rPr>
              <w:rFonts w:eastAsia="Times New Roman"/>
              <w:lang w:eastAsia="es-CO"/>
            </w:rPr>
          </w:pPr>
        </w:p>
        <w:p w14:paraId="7431F175" w14:textId="77777777" w:rsidR="003D5DB4" w:rsidRPr="00EE35D4" w:rsidRDefault="003D5DB4" w:rsidP="000A5389">
          <w:pPr>
            <w:spacing w:line="240" w:lineRule="auto"/>
            <w:rPr>
              <w:rFonts w:eastAsia="Times New Roman"/>
              <w:i/>
              <w:iCs/>
              <w:lang w:eastAsia="es-CO"/>
            </w:rPr>
          </w:pPr>
          <w:r w:rsidRPr="00EE35D4">
            <w:rPr>
              <w:rFonts w:eastAsia="Times New Roman"/>
              <w:i/>
              <w:iCs/>
              <w:lang w:eastAsia="es-CO"/>
            </w:rPr>
            <w:t xml:space="preserve">SOCIEDAD PORTUARIA REGIONAL DE CARTAGENA S.A. </w:t>
          </w:r>
        </w:p>
        <w:p w14:paraId="62D83D6F" w14:textId="77777777" w:rsidR="003D5DB4" w:rsidRPr="000D0101" w:rsidRDefault="003D5DB4" w:rsidP="000A5389">
          <w:pPr>
            <w:spacing w:line="240" w:lineRule="auto"/>
          </w:pPr>
        </w:p>
        <w:p w14:paraId="1CB9C529" w14:textId="77777777" w:rsidR="003D5DB4" w:rsidRPr="000D0101" w:rsidRDefault="003D5DB4" w:rsidP="000A5389">
          <w:pPr>
            <w:spacing w:line="240" w:lineRule="auto"/>
          </w:pPr>
          <w:r w:rsidRPr="000D0101">
            <w:t>a. Descripción del Acuerdo</w:t>
          </w:r>
        </w:p>
        <w:p w14:paraId="1DCD76B6" w14:textId="77777777" w:rsidR="003D5DB4" w:rsidRPr="000D0101" w:rsidRDefault="003D5DB4" w:rsidP="000A5389">
          <w:pPr>
            <w:spacing w:line="240" w:lineRule="auto"/>
          </w:pPr>
        </w:p>
        <w:p w14:paraId="6E4FDC29" w14:textId="77777777" w:rsidR="003D5DB4" w:rsidRPr="000D0101" w:rsidRDefault="003D5DB4" w:rsidP="000A5389">
          <w:pPr>
            <w:spacing w:line="240" w:lineRule="auto"/>
          </w:pPr>
          <w:r w:rsidRPr="000D0101">
            <w:t xml:space="preserve">Número del Acuerdo de Concesión: 007 de 1993 </w:t>
          </w:r>
        </w:p>
        <w:p w14:paraId="08BE0C01" w14:textId="77777777" w:rsidR="003D5DB4" w:rsidRPr="000D0101" w:rsidRDefault="003D5DB4" w:rsidP="000A5389">
          <w:pPr>
            <w:spacing w:line="240" w:lineRule="auto"/>
          </w:pPr>
        </w:p>
        <w:p w14:paraId="7DDF469F" w14:textId="77777777" w:rsidR="003D5DB4" w:rsidRPr="000D0101" w:rsidRDefault="003D5DB4" w:rsidP="000A5389">
          <w:pPr>
            <w:spacing w:line="240" w:lineRule="auto"/>
          </w:pPr>
          <w:r w:rsidRPr="000D0101">
            <w:t xml:space="preserve">Objeto / Descripción: La SUPERINTENDENCIA en virtud del contrato, otorga a la SOCIEDAD PORTUARIAREGIONAL DECARTAGENA S.A. una concesión portuaria en los siguientes términos: a) Se otorga a ELCONCESIONARIO el derecho de ocupar y utilizar en forma temporal y exclusiva las playas, los terrenos de bajamar y zonas accesorias a aquellas o estos, descritos en la cláusula segunda del contrato, a cambio de la contraprestación económica de que trata la cláusula decima primera de este contrato, a favor de la Nación y del distrito de CARTAGENA, donde operara el mencionado puerto. El puerto será de servicio público, habilitado para el comercio exterior y para prestar el servicio a toda clase de carga. b) Se otorga a ELCONCESIONARIO el derecho a utilizar temporalmente los La SUPERINTENDENCIA en virtud del contrato, otorga a la SOCIEDAD PORTUARIAREGIONAL DECARTAGENA S.A. una concesión portuaria en los siguientes términos: a) Se otorga a EL CONCESIONARIO el derecho de ocupar y utilizar en forma </w:t>
          </w:r>
          <w:r w:rsidRPr="000D0101">
            <w:lastRenderedPageBreak/>
            <w:t>temporal y exclusiva las playas, los terrenos de bajamar y zonas accesorias a aquellas o estos, descritos en la cláusula segunda del contrato, a cambio de la contraprestación económica de que trata la cláusula decima primera de este contrato, a favor de la Nación y del distrito de CARTAGENA, donde operara el mencionado puerto. El puerto será de servicio público, habilitado para el comercio exterior y para prestar el servicio a toda clase de carga. b) Se otorga a ELCONCESIONARIO el derecho a utilizar temporalmente los muelles, patios, bodegas y demás bienes relacionados en la Cláusula Tercera, y Quinta del contrato, a cambio de la contraprestación de que trata la Cláusula Decima Primera del mismo, a favor de la Nación exclusivamente.</w:t>
          </w:r>
        </w:p>
        <w:p w14:paraId="79A52DCE" w14:textId="77777777" w:rsidR="003D5DB4" w:rsidRPr="000D0101" w:rsidRDefault="003D5DB4" w:rsidP="000A5389">
          <w:pPr>
            <w:spacing w:line="240" w:lineRule="auto"/>
          </w:pPr>
        </w:p>
        <w:p w14:paraId="50DB3557" w14:textId="77777777" w:rsidR="003D5DB4" w:rsidRPr="000D0101" w:rsidRDefault="003D5DB4" w:rsidP="000A5389">
          <w:pPr>
            <w:spacing w:line="240" w:lineRule="auto"/>
          </w:pPr>
          <w:r w:rsidRPr="000D0101">
            <w:t>Valor inicial: USD $8.946.250 Cláusula décima primera / Contrato No 007 de 1993.</w:t>
          </w:r>
        </w:p>
        <w:p w14:paraId="049A2E0A" w14:textId="77777777" w:rsidR="003D5DB4" w:rsidRPr="000D0101" w:rsidRDefault="003D5DB4" w:rsidP="000A5389">
          <w:pPr>
            <w:spacing w:line="240" w:lineRule="auto"/>
          </w:pPr>
          <w:r w:rsidRPr="000D0101">
            <w:t xml:space="preserve">Fecha de inicio: </w:t>
          </w:r>
          <w:r w:rsidRPr="000D0101">
            <w:rPr>
              <w:lang w:val="es-MX"/>
            </w:rPr>
            <w:t>8/07/1993</w:t>
          </w:r>
        </w:p>
        <w:p w14:paraId="29E4EA89" w14:textId="77777777" w:rsidR="003D5DB4" w:rsidRPr="000D0101" w:rsidRDefault="003D5DB4" w:rsidP="000A5389">
          <w:pPr>
            <w:spacing w:line="240" w:lineRule="auto"/>
          </w:pPr>
          <w:r w:rsidRPr="000D0101">
            <w:t xml:space="preserve">Fecha de finalización estimada: </w:t>
          </w:r>
          <w:r w:rsidRPr="000D0101">
            <w:rPr>
              <w:lang w:val="es-MX"/>
            </w:rPr>
            <w:t>13/12/2033</w:t>
          </w:r>
        </w:p>
        <w:p w14:paraId="4E064663" w14:textId="77777777" w:rsidR="003D5DB4" w:rsidRPr="000D0101" w:rsidRDefault="003D5DB4" w:rsidP="000A5389">
          <w:pPr>
            <w:spacing w:line="240" w:lineRule="auto"/>
          </w:pPr>
          <w:r w:rsidRPr="000D0101">
            <w:t xml:space="preserve">Tipo ID: </w:t>
          </w:r>
          <w:r w:rsidRPr="000D0101">
            <w:rPr>
              <w:rStyle w:val="Estilo5"/>
              <w:rFonts w:cs="Times New Roman"/>
              <w:szCs w:val="24"/>
            </w:rPr>
            <w:t>NIT</w:t>
          </w:r>
        </w:p>
        <w:p w14:paraId="61C71BC7" w14:textId="77777777" w:rsidR="003D5DB4" w:rsidRPr="000D0101" w:rsidRDefault="003D5DB4" w:rsidP="000A5389">
          <w:pPr>
            <w:spacing w:line="240" w:lineRule="auto"/>
          </w:pPr>
          <w:r w:rsidRPr="000D0101">
            <w:t xml:space="preserve">Número ID: </w:t>
          </w:r>
          <w:r w:rsidRPr="000D0101">
            <w:rPr>
              <w:lang w:val="es-MX"/>
            </w:rPr>
            <w:t>800.200.969-1</w:t>
          </w:r>
        </w:p>
        <w:p w14:paraId="2E819D00" w14:textId="77777777" w:rsidR="003D5DB4" w:rsidRPr="000D0101" w:rsidRDefault="003D5DB4" w:rsidP="000A5389">
          <w:pPr>
            <w:spacing w:line="240" w:lineRule="auto"/>
          </w:pPr>
          <w:r w:rsidRPr="000D0101">
            <w:t>Razón social del concesionario: Sociedad Portuaria Regional de Cartagena S.A.</w:t>
          </w:r>
        </w:p>
        <w:p w14:paraId="3D70DE92" w14:textId="77777777" w:rsidR="003D5DB4" w:rsidRPr="000D0101" w:rsidRDefault="003D5DB4" w:rsidP="000A5389">
          <w:pPr>
            <w:spacing w:line="240" w:lineRule="auto"/>
          </w:pPr>
          <w:r w:rsidRPr="000D0101">
            <w:t>Nombre del proyecto: Sociedad Portuaria Regional de Cartagena S.A.</w:t>
          </w:r>
        </w:p>
        <w:p w14:paraId="2E174B26" w14:textId="77777777" w:rsidR="003D5DB4" w:rsidRPr="000D0101" w:rsidRDefault="003D5DB4" w:rsidP="000A5389">
          <w:pPr>
            <w:spacing w:line="240" w:lineRule="auto"/>
            <w:rPr>
              <w:lang w:val="es-MX"/>
            </w:rPr>
          </w:pPr>
        </w:p>
        <w:p w14:paraId="4EAACEEA" w14:textId="77777777" w:rsidR="003D5DB4" w:rsidRPr="000D0101" w:rsidRDefault="003D5DB4" w:rsidP="000A5389">
          <w:pPr>
            <w:spacing w:line="240" w:lineRule="auto"/>
            <w:rPr>
              <w:lang w:val="es-MX"/>
            </w:rPr>
          </w:pPr>
          <w:r w:rsidRPr="000D0101">
            <w:rPr>
              <w:lang w:val="es-MX"/>
            </w:rPr>
            <w:t>b. Términos significativos del Acuerdo que puedan afectar su valor, el calendario y la certeza de los flujos futuros</w:t>
          </w:r>
        </w:p>
        <w:p w14:paraId="09D0C63F" w14:textId="77777777" w:rsidR="003D5DB4" w:rsidRPr="000D0101" w:rsidRDefault="003D5DB4" w:rsidP="000A5389">
          <w:pPr>
            <w:spacing w:line="240" w:lineRule="auto"/>
          </w:pPr>
        </w:p>
        <w:p w14:paraId="29520D32" w14:textId="77777777" w:rsidR="003D5DB4" w:rsidRPr="000D0101" w:rsidRDefault="003D5DB4" w:rsidP="000A5389">
          <w:pPr>
            <w:spacing w:line="240" w:lineRule="auto"/>
          </w:pPr>
          <w:r w:rsidRPr="000D0101">
            <w:t>Términos de valor: 1: Tarifas: Al ser el terminal marítimo de servicio público la Ley 1 de 1991 establece: Las sociedades portuarias que operan puertos de servicio público las tarifas requieren ser aprobadas según la metodología establecida por la Superintendencia General de Puertos hoy Superintendencia de Transporte.2: Contraprestación portuaria: De acuerdo con el último documento contractual vigente la metodología de contraprestación vigente es Regionales (ingresos). Se establece en la cláusula octava del Contrato que el CONCESIONARIO deberá pagar por concepto de zona de uso público la suma anual de (USD 528.629), de dicho pago el 80% le corresponde a la Nación (INVIAS-ANI) y el 20% restante al distrito de Cartagena de acuerdo con lo establecido en el parágrafo 1 del artículo 1 de la ley 856 del 21 de diciembre de 2003, que modifica el artículo 7 de la ley 1ª de 1991. Así mismo, por concepto de infraestructura el CONCESIONARIO deberá pagar la suma anual de (USD 2.012.401), el cual corresponde en un 100% a la Nación - (INVIAS-ANI) de acuerdo con lo establecido en el artículo 1 de la ley 856 del 21 diciembre de 2003.Para el caso de este contrato, en el año 2013 el Concesionario pagó de manera anticipada la totalidad de la contraprestación.3: Plan de Inversiones: está establecido en la cláusula décima del contrato, modificado por el Otrosí No.5 de 1998 que estableció en la cláusula octava, el plan de inversión será de USD $88.041.479,73 en valores corrientes, ejecutados al 100.Obligaciones del CONCESIONARIO: se encuentran descritas en la cláusula décima. Multas y sanciones: están establecidas en la cláusula décima quinta. Penal pecuniaria: En la cláusula décima sexta se establece que en el evento en que el INCO hoy ANI declare la caducidad o el incumplimiento del presente contrato se podrá imponer una penalidad pecuniaria del 10% del valor total de la contraprestación</w:t>
          </w:r>
        </w:p>
        <w:p w14:paraId="4BD0F461" w14:textId="77777777" w:rsidR="003D5DB4" w:rsidRPr="000D0101" w:rsidRDefault="003D5DB4" w:rsidP="000A5389">
          <w:pPr>
            <w:spacing w:line="240" w:lineRule="auto"/>
          </w:pPr>
        </w:p>
        <w:p w14:paraId="2A3C1670" w14:textId="77777777" w:rsidR="003D5DB4" w:rsidRPr="000D0101" w:rsidRDefault="003D5DB4" w:rsidP="000A5389">
          <w:pPr>
            <w:spacing w:line="240" w:lineRule="auto"/>
          </w:pPr>
          <w:r w:rsidRPr="000D0101">
            <w:lastRenderedPageBreak/>
            <w:t xml:space="preserve">Términos de calendario: 1. Tarifas: Aprobadas según la metodología establecida por la Superintendencia General de Puertos hoy Superintendencia de Transporte. 2. Contraprestación portuaria: la contraprestación se debe pagar de manera trimestral anticipada desde el mes de marzo de cada año. 3. Plan de inversiones: Se estableció en la cláusula octava del otros sí 5 ejecución de inversiones en el periodo de tiempo comprendido entre el año 1993 a 2008. 4. Multas: Cláusula décima quinta contrato 007 de 1993.  </w:t>
          </w:r>
        </w:p>
        <w:p w14:paraId="4A7EAB2A" w14:textId="77777777" w:rsidR="003D5DB4" w:rsidRPr="000D0101" w:rsidRDefault="003D5DB4" w:rsidP="000A5389">
          <w:pPr>
            <w:spacing w:line="240" w:lineRule="auto"/>
          </w:pPr>
          <w:r w:rsidRPr="000D0101">
            <w:t>Términos de certeza de flujos de efectivo futuros: Se otorga a EL CONCESIONARIO el derecho de ocupar y utilizar en forma temporal y exclusiva las playas, los terrenos de bajamar y zonas accesorias a aquellas o estos, descritos en la cláusula segunda del contrato, a cambio de la contraprestación económica. Cláusula Novena, numeral 11.2.1 Del valor a pagar por concepto de contraprestación por Zona de Uso público el 80% le corresponde a la Nación- (INVIAS-ANI) y el 20 % al Distrito turístico de Cartagena de Indias y por Infraestructura el 100% a la Nación-(INVIAS-ANI).</w:t>
          </w:r>
        </w:p>
        <w:p w14:paraId="7879388E" w14:textId="77777777" w:rsidR="003D5DB4" w:rsidRPr="000D0101" w:rsidRDefault="003D5DB4" w:rsidP="000A5389">
          <w:pPr>
            <w:spacing w:line="240" w:lineRule="auto"/>
            <w:rPr>
              <w:lang w:val="es-MX"/>
            </w:rPr>
          </w:pPr>
        </w:p>
        <w:p w14:paraId="5D7B98AB" w14:textId="77777777" w:rsidR="003D5DB4" w:rsidRPr="000D0101" w:rsidRDefault="003D5DB4" w:rsidP="000A5389">
          <w:pPr>
            <w:spacing w:line="240" w:lineRule="auto"/>
            <w:rPr>
              <w:lang w:val="es-MX"/>
            </w:rPr>
          </w:pPr>
          <w:r w:rsidRPr="000D0101">
            <w:rPr>
              <w:lang w:val="es-MX"/>
            </w:rPr>
            <w:t>c. Naturaleza y alcance del derecho a utilizar activos y los aspectos pactados en torno a lo que se espera que el concesionario proporcione en relación con el acuerdo de concesión</w:t>
          </w:r>
        </w:p>
        <w:p w14:paraId="699CC657" w14:textId="77777777" w:rsidR="003D5DB4" w:rsidRPr="000D0101" w:rsidRDefault="003D5DB4" w:rsidP="000A5389">
          <w:pPr>
            <w:spacing w:line="240" w:lineRule="auto"/>
          </w:pPr>
        </w:p>
        <w:p w14:paraId="3E71D8DD" w14:textId="77777777" w:rsidR="003D5DB4" w:rsidRPr="000D0101" w:rsidRDefault="003D5DB4" w:rsidP="000A5389">
          <w:pPr>
            <w:spacing w:line="240" w:lineRule="auto"/>
          </w:pPr>
          <w:r w:rsidRPr="000D0101">
            <w:t>Naturaleza y alcance del derecho de uso de los activos</w:t>
          </w:r>
        </w:p>
        <w:p w14:paraId="30996749" w14:textId="77777777" w:rsidR="003D5DB4" w:rsidRPr="000D0101" w:rsidRDefault="003D5DB4" w:rsidP="000A5389">
          <w:pPr>
            <w:spacing w:line="240" w:lineRule="auto"/>
          </w:pPr>
        </w:p>
        <w:p w14:paraId="081C1C90" w14:textId="77777777" w:rsidR="003D5DB4" w:rsidRPr="000D0101" w:rsidRDefault="003D5DB4" w:rsidP="000A5389">
          <w:pPr>
            <w:spacing w:line="240" w:lineRule="auto"/>
          </w:pPr>
          <w:r w:rsidRPr="000D0101">
            <w:t>Descripción: Descripción del proyecto, especificaciones técnicas, modalidades de operación: las condiciones especiales de operación volúmenes y clase de carga del puerto están establecidas en la cláusula sexta del Contrato de Concesión Área entregada en concesión: La descripción de la ubicación, linderos y extensión de los bienes de uso público (playas y terrenos de baja mar, zonas marítimas accesorias de maniobras) entregados en concesión están establecidos en la cláusula tercera. Infraestructura y equipos entregados en concesión: En la cláusula quinta del Contrato, se describe que lo entregado en concesión fue: Infraestructura: Muelles, Bodegas, Cobertizos, Edificios, Redes de Servicios, Red de Acueducto, Red de Alcantarillado, Red Eléctrica y de Alumbrado.</w:t>
          </w:r>
        </w:p>
        <w:p w14:paraId="398066E7" w14:textId="77777777" w:rsidR="003D5DB4" w:rsidRPr="000D0101" w:rsidRDefault="003D5DB4" w:rsidP="000A5389">
          <w:pPr>
            <w:spacing w:line="240" w:lineRule="auto"/>
          </w:pPr>
          <w:r w:rsidRPr="000D0101">
            <w:t>Observaciones: N/A</w:t>
          </w:r>
        </w:p>
        <w:p w14:paraId="0DF8744D" w14:textId="77777777" w:rsidR="003D5DB4" w:rsidRPr="000D0101" w:rsidRDefault="003D5DB4" w:rsidP="000A5389">
          <w:pPr>
            <w:spacing w:line="240" w:lineRule="auto"/>
          </w:pPr>
        </w:p>
        <w:p w14:paraId="0F927349" w14:textId="77777777" w:rsidR="003D5DB4" w:rsidRPr="000D0101" w:rsidRDefault="003D5DB4" w:rsidP="000A5389">
          <w:pPr>
            <w:spacing w:line="240" w:lineRule="auto"/>
          </w:pPr>
          <w:r w:rsidRPr="000D0101">
            <w:t>Retribución al concesionario</w:t>
          </w:r>
        </w:p>
        <w:p w14:paraId="005D6BAD" w14:textId="77777777" w:rsidR="003D5DB4" w:rsidRPr="000D0101" w:rsidRDefault="003D5DB4" w:rsidP="000A5389">
          <w:pPr>
            <w:spacing w:line="240" w:lineRule="auto"/>
          </w:pPr>
        </w:p>
        <w:p w14:paraId="1AF86926" w14:textId="77777777" w:rsidR="003D5DB4" w:rsidRPr="000D0101" w:rsidRDefault="003D5DB4" w:rsidP="000A5389">
          <w:pPr>
            <w:spacing w:line="240" w:lineRule="auto"/>
          </w:pPr>
          <w:r w:rsidRPr="000D0101">
            <w:t>Descripción: Cláusula primera Contrato 007 de 1993: Se otorga a EL CONCESIONARIO el derecho de ocupar y utilizar en forma temporal y exclusiva las playas, los terrenos de bajamar y zonas accesorias a aquellas o estos, descritos en la cláusula segunda del contrato, a cambio de la contraprestación económica.</w:t>
          </w:r>
        </w:p>
        <w:p w14:paraId="46E68B1B" w14:textId="77777777" w:rsidR="003D5DB4" w:rsidRPr="000D0101" w:rsidRDefault="003D5DB4" w:rsidP="000A5389">
          <w:pPr>
            <w:spacing w:line="240" w:lineRule="auto"/>
          </w:pPr>
        </w:p>
        <w:p w14:paraId="15736ACB" w14:textId="77777777" w:rsidR="003D5DB4" w:rsidRPr="000D0101" w:rsidRDefault="003D5DB4" w:rsidP="000A5389">
          <w:pPr>
            <w:spacing w:line="240" w:lineRule="auto"/>
          </w:pPr>
          <w:r w:rsidRPr="000D0101">
            <w:t>Tasa de retribución: N/A</w:t>
          </w:r>
        </w:p>
        <w:p w14:paraId="07D4BB60" w14:textId="77777777" w:rsidR="003D5DB4" w:rsidRPr="000D0101" w:rsidRDefault="003D5DB4" w:rsidP="000A5389">
          <w:pPr>
            <w:spacing w:line="240" w:lineRule="auto"/>
          </w:pPr>
        </w:p>
        <w:p w14:paraId="07250C3F" w14:textId="77777777" w:rsidR="003D5DB4" w:rsidRPr="000D0101" w:rsidRDefault="003D5DB4" w:rsidP="000A5389">
          <w:pPr>
            <w:spacing w:line="240" w:lineRule="auto"/>
          </w:pPr>
          <w:r w:rsidRPr="000D0101">
            <w:t>d. Derechos a recibir activos especificados al final del acuerdo de concesión</w:t>
          </w:r>
        </w:p>
        <w:p w14:paraId="33539378" w14:textId="77777777" w:rsidR="003D5DB4" w:rsidRPr="000D0101" w:rsidRDefault="003D5DB4" w:rsidP="000A5389">
          <w:pPr>
            <w:spacing w:line="240" w:lineRule="auto"/>
          </w:pPr>
        </w:p>
        <w:p w14:paraId="284D407B" w14:textId="77777777" w:rsidR="003D5DB4" w:rsidRPr="000D0101" w:rsidRDefault="003D5DB4" w:rsidP="000A5389">
          <w:pPr>
            <w:spacing w:line="240" w:lineRule="auto"/>
          </w:pPr>
          <w:r w:rsidRPr="000D0101">
            <w:t>Descripción: De acuerdo con el Artículo 8º de la Ley 1 de 1991 en el modo portuario el concesionario no tiene derechos finales sobre activos los debe revertir a la Nación al final del contrato de concesión.</w:t>
          </w:r>
        </w:p>
        <w:p w14:paraId="36AF7903" w14:textId="77777777" w:rsidR="003D5DB4" w:rsidRPr="000D0101" w:rsidRDefault="003D5DB4" w:rsidP="000A5389">
          <w:pPr>
            <w:spacing w:line="240" w:lineRule="auto"/>
          </w:pPr>
        </w:p>
        <w:p w14:paraId="04C24920" w14:textId="77777777" w:rsidR="003D5DB4" w:rsidRPr="000D0101" w:rsidRDefault="003D5DB4" w:rsidP="000A5389">
          <w:pPr>
            <w:spacing w:line="240" w:lineRule="auto"/>
          </w:pPr>
          <w:r w:rsidRPr="000D0101">
            <w:t>Observaciones: Reversión: De acuerdo con lo establecido en la cláusula novena del contrato de concesión, todas las construcciones e inmuebles por destinación, que se encuentren instalados en la zona de uso público otorgada en concesión revertirán gratuitamente por el Concesionario. Para tal fin, en el momento de la reversión el CONCESIONARIO elaborará un inventario de los bienes y los enviará para su revisión y aprobación. La ANI es la entidad concedente pero la titularidad de los activos al final de la concesión es del Instituto Nacional de Vías INVIAS.</w:t>
          </w:r>
        </w:p>
        <w:p w14:paraId="2C7C0CB8" w14:textId="77777777" w:rsidR="003D5DB4" w:rsidRPr="000D0101" w:rsidRDefault="003D5DB4" w:rsidP="000A5389">
          <w:pPr>
            <w:spacing w:line="240" w:lineRule="auto"/>
          </w:pPr>
        </w:p>
        <w:p w14:paraId="2E00BC3F" w14:textId="77777777" w:rsidR="003D5DB4" w:rsidRPr="000D0101" w:rsidRDefault="003D5DB4" w:rsidP="000A5389">
          <w:pPr>
            <w:spacing w:line="240" w:lineRule="auto"/>
          </w:pPr>
          <w:r w:rsidRPr="000D0101">
            <w:t>e. Las alternativas de renovación y cese del Acuerdo</w:t>
          </w:r>
        </w:p>
        <w:p w14:paraId="6D4288B6" w14:textId="77777777" w:rsidR="003D5DB4" w:rsidRPr="000D0101" w:rsidRDefault="003D5DB4" w:rsidP="000A5389">
          <w:pPr>
            <w:spacing w:line="240" w:lineRule="auto"/>
          </w:pPr>
        </w:p>
        <w:p w14:paraId="2C83A76D" w14:textId="77777777" w:rsidR="003D5DB4" w:rsidRPr="000D0101" w:rsidRDefault="003D5DB4" w:rsidP="000A5389">
          <w:pPr>
            <w:spacing w:line="240" w:lineRule="auto"/>
            <w:rPr>
              <w:lang w:val="es-MX"/>
            </w:rPr>
          </w:pPr>
          <w:r w:rsidRPr="000D0101">
            <w:t>Descripción: El cede del acuerdo se aprecia en la CLÁUSULA VIGESIMA: TERMINACIÓN DEL CONTRATO</w:t>
          </w:r>
        </w:p>
        <w:p w14:paraId="51BADD6F" w14:textId="77777777" w:rsidR="003D5DB4" w:rsidRPr="000D0101" w:rsidRDefault="003D5DB4" w:rsidP="000A5389">
          <w:pPr>
            <w:spacing w:line="240" w:lineRule="auto"/>
          </w:pPr>
        </w:p>
        <w:p w14:paraId="08CDC731" w14:textId="77777777" w:rsidR="003D5DB4" w:rsidRPr="000D0101" w:rsidRDefault="003D5DB4" w:rsidP="000A5389">
          <w:pPr>
            <w:spacing w:line="240" w:lineRule="auto"/>
          </w:pPr>
          <w:r w:rsidRPr="000D0101">
            <w:t>Observaciones: No se tiene ninguna observación</w:t>
          </w:r>
        </w:p>
        <w:p w14:paraId="595F4A70" w14:textId="77777777" w:rsidR="003D5DB4" w:rsidRPr="000D0101" w:rsidRDefault="003D5DB4" w:rsidP="000A5389">
          <w:pPr>
            <w:spacing w:line="240" w:lineRule="auto"/>
          </w:pPr>
        </w:p>
        <w:p w14:paraId="37B787E6" w14:textId="77777777" w:rsidR="003D5DB4" w:rsidRPr="000D0101" w:rsidRDefault="003D5DB4" w:rsidP="000A5389">
          <w:pPr>
            <w:spacing w:line="240" w:lineRule="auto"/>
            <w:rPr>
              <w:lang w:val="es-MX"/>
            </w:rPr>
          </w:pPr>
          <w:r w:rsidRPr="000D0101">
            <w:rPr>
              <w:lang w:val="es-MX"/>
            </w:rPr>
            <w:t>f. Cambios en el acuerdo de concesión que se realicen durante el periodo fiscal</w:t>
          </w:r>
        </w:p>
        <w:p w14:paraId="16E55AE6" w14:textId="77777777" w:rsidR="003D5DB4" w:rsidRPr="000D0101" w:rsidRDefault="003D5DB4" w:rsidP="000A5389">
          <w:pPr>
            <w:spacing w:line="240" w:lineRule="auto"/>
            <w:rPr>
              <w:lang w:val="es-MX"/>
            </w:rPr>
          </w:pPr>
        </w:p>
        <w:p w14:paraId="77DCE2F2" w14:textId="77777777" w:rsidR="003D5DB4" w:rsidRPr="000D0101" w:rsidRDefault="003D5DB4" w:rsidP="000A5389">
          <w:pPr>
            <w:spacing w:line="240" w:lineRule="auto"/>
          </w:pPr>
          <w:r w:rsidRPr="000D0101">
            <w:t>Adiciones o modificaciones en tiempo</w:t>
          </w:r>
        </w:p>
        <w:p w14:paraId="6FFB635C" w14:textId="77777777" w:rsidR="003D5DB4" w:rsidRPr="000D0101" w:rsidRDefault="003D5DB4" w:rsidP="000A5389">
          <w:pPr>
            <w:spacing w:line="240" w:lineRule="auto"/>
          </w:pPr>
          <w:r w:rsidRPr="000D0101">
            <w:t>Fechas de las adiciones o modificaciones: Modificación No. 005 (19-jun-1998) Se adicionan 20 años al plazo original</w:t>
          </w:r>
        </w:p>
        <w:p w14:paraId="1A1FAD98" w14:textId="77777777" w:rsidR="003D5DB4" w:rsidRPr="000D0101" w:rsidRDefault="003D5DB4" w:rsidP="000A5389">
          <w:pPr>
            <w:spacing w:line="240" w:lineRule="auto"/>
          </w:pPr>
          <w:r w:rsidRPr="000D0101">
            <w:t>Nueva fecha de finalización estimada: Nueva fecha de terminación del Contrato: 14 de diciembre de 2033</w:t>
          </w:r>
        </w:p>
        <w:p w14:paraId="4C536CB8" w14:textId="77777777" w:rsidR="003D5DB4" w:rsidRPr="000D0101" w:rsidRDefault="003D5DB4" w:rsidP="000A5389">
          <w:pPr>
            <w:spacing w:line="240" w:lineRule="auto"/>
          </w:pPr>
          <w:r w:rsidRPr="000D0101">
            <w:t>Observaciones: Actualmente el contrato está en período de prórroga vigente hasta el 14 de diciembre de 2033.</w:t>
          </w:r>
        </w:p>
        <w:p w14:paraId="377EBA24" w14:textId="77777777" w:rsidR="003D5DB4" w:rsidRPr="000D0101" w:rsidRDefault="003D5DB4" w:rsidP="000A5389">
          <w:pPr>
            <w:spacing w:line="240" w:lineRule="auto"/>
          </w:pPr>
          <w:r w:rsidRPr="000D0101">
            <w:t>Adiciones o modificaciones en valor</w:t>
          </w:r>
        </w:p>
        <w:p w14:paraId="13B7D51E" w14:textId="77777777" w:rsidR="003D5DB4" w:rsidRPr="000D0101" w:rsidRDefault="003D5DB4" w:rsidP="000A5389">
          <w:pPr>
            <w:spacing w:line="240" w:lineRule="auto"/>
          </w:pPr>
          <w:r w:rsidRPr="000D0101">
            <w:t>Valor de la adición o modificación: Otrosí No. 2 (27-ago-1993) Modificación de la contraprestación anual inicial: US$607.453,00 - Otrosí No. 4 (29-sep-1993) Incremento de la contraprestación: US$5.495.200,00 - Modificación No. 005 (19-jun-1998) Plan de inversiones en infraestructura y equipos US$13.994.852,00</w:t>
          </w:r>
        </w:p>
        <w:p w14:paraId="0E7791CE" w14:textId="77777777" w:rsidR="003D5DB4" w:rsidRPr="000D0101" w:rsidRDefault="003D5DB4" w:rsidP="000A5389">
          <w:pPr>
            <w:spacing w:line="240" w:lineRule="auto"/>
          </w:pPr>
          <w:r w:rsidRPr="000D0101">
            <w:t>Nuevo valor del acuerdo: Valor final del contrato tras modificaciones e inversiones US$13.994.852,00 (según Modificación No. 005 de 1998).</w:t>
          </w:r>
        </w:p>
        <w:p w14:paraId="1C213E44" w14:textId="77777777" w:rsidR="003D5DB4" w:rsidRPr="000D0101" w:rsidRDefault="003D5DB4" w:rsidP="000A5389">
          <w:pPr>
            <w:spacing w:line="240" w:lineRule="auto"/>
          </w:pPr>
          <w:r w:rsidRPr="000D0101">
            <w:t>Observaciones: No se tiene ninguna observación</w:t>
          </w:r>
        </w:p>
        <w:p w14:paraId="3C838838" w14:textId="77777777" w:rsidR="003D5DB4" w:rsidRPr="000D0101" w:rsidRDefault="003D5DB4" w:rsidP="000A5389">
          <w:pPr>
            <w:spacing w:line="240" w:lineRule="auto"/>
            <w:rPr>
              <w:rFonts w:eastAsia="Times New Roman"/>
              <w:lang w:eastAsia="es-CO"/>
            </w:rPr>
          </w:pPr>
        </w:p>
        <w:p w14:paraId="1D0D9554" w14:textId="77777777" w:rsidR="003D5DB4" w:rsidRPr="000D0101" w:rsidRDefault="003D5DB4" w:rsidP="000A5389">
          <w:pPr>
            <w:spacing w:line="240" w:lineRule="auto"/>
            <w:rPr>
              <w:rFonts w:eastAsia="Times New Roman"/>
              <w:lang w:eastAsia="es-CO"/>
            </w:rPr>
          </w:pPr>
        </w:p>
        <w:p w14:paraId="2D2667D9" w14:textId="77777777" w:rsidR="003D5DB4" w:rsidRPr="00EE35D4" w:rsidRDefault="003D5DB4" w:rsidP="000A5389">
          <w:pPr>
            <w:spacing w:line="240" w:lineRule="auto"/>
            <w:rPr>
              <w:rFonts w:eastAsia="Times New Roman"/>
              <w:i/>
              <w:iCs/>
              <w:lang w:eastAsia="es-CO"/>
            </w:rPr>
          </w:pPr>
          <w:r w:rsidRPr="00EE35D4">
            <w:rPr>
              <w:rFonts w:eastAsia="Times New Roman"/>
              <w:i/>
              <w:iCs/>
              <w:lang w:eastAsia="es-CO"/>
            </w:rPr>
            <w:t xml:space="preserve">SOCIEDAD PORTUARIA REGIONAL DE CARTAGENA S.A. - MUELLE 9 </w:t>
          </w:r>
        </w:p>
        <w:p w14:paraId="356AA961" w14:textId="77777777" w:rsidR="003D5DB4" w:rsidRPr="000D0101" w:rsidRDefault="003D5DB4" w:rsidP="000A5389">
          <w:pPr>
            <w:spacing w:line="240" w:lineRule="auto"/>
            <w:rPr>
              <w:rFonts w:eastAsia="Times New Roman"/>
              <w:lang w:eastAsia="es-CO"/>
            </w:rPr>
          </w:pPr>
        </w:p>
        <w:p w14:paraId="57F0B4E5" w14:textId="77777777" w:rsidR="003D5DB4" w:rsidRPr="000D0101" w:rsidRDefault="003D5DB4" w:rsidP="000A5389">
          <w:pPr>
            <w:spacing w:line="240" w:lineRule="auto"/>
          </w:pPr>
          <w:r w:rsidRPr="000D0101">
            <w:t>a. Descripción del Acuerdo</w:t>
          </w:r>
        </w:p>
        <w:p w14:paraId="48589A0B" w14:textId="77777777" w:rsidR="003D5DB4" w:rsidRPr="000D0101" w:rsidRDefault="003D5DB4" w:rsidP="000A5389">
          <w:pPr>
            <w:spacing w:line="240" w:lineRule="auto"/>
          </w:pPr>
        </w:p>
        <w:p w14:paraId="0A1A8492" w14:textId="77777777" w:rsidR="003D5DB4" w:rsidRPr="000D0101" w:rsidRDefault="003D5DB4" w:rsidP="000A5389">
          <w:pPr>
            <w:spacing w:line="240" w:lineRule="auto"/>
          </w:pPr>
          <w:r w:rsidRPr="000D0101">
            <w:t>Número del Acuerdo de Concesión: 004 de 2010</w:t>
          </w:r>
        </w:p>
        <w:p w14:paraId="365C9015" w14:textId="77777777" w:rsidR="003D5DB4" w:rsidRPr="000D0101" w:rsidRDefault="003D5DB4" w:rsidP="000A5389">
          <w:pPr>
            <w:spacing w:line="240" w:lineRule="auto"/>
          </w:pPr>
        </w:p>
        <w:p w14:paraId="18105491" w14:textId="77777777" w:rsidR="003D5DB4" w:rsidRPr="000D0101" w:rsidRDefault="003D5DB4" w:rsidP="000A5389">
          <w:pPr>
            <w:spacing w:line="240" w:lineRule="auto"/>
          </w:pPr>
          <w:r w:rsidRPr="000D0101">
            <w:t xml:space="preserve">Objeto / Descripción: El INCO en virtud del presente contrato de concesión portuaria, permite al CONCESIONARIO la ocupación en forma temporal y exclusiva de las playas los terrenos de bajamar y zonas accesorias a aquellas o estos, para la construcción, </w:t>
          </w:r>
          <w:r w:rsidRPr="000D0101">
            <w:lastRenderedPageBreak/>
            <w:t>administración y operación de un puerto y la consolidación un terreno adyacente ( zona de uso público), localizado en la Bahía de Cartagena, sector occidental del terminal Marítimo de Manga, Distrito de Cartagena, Departamento de Bolívar, por el termino de veinte (20) años  a cambio de la contraprestación establecida en la cláusula octava de este contrato.</w:t>
          </w:r>
        </w:p>
        <w:p w14:paraId="4588F779" w14:textId="77777777" w:rsidR="003D5DB4" w:rsidRPr="000D0101" w:rsidRDefault="003D5DB4" w:rsidP="000A5389">
          <w:pPr>
            <w:spacing w:line="240" w:lineRule="auto"/>
          </w:pPr>
        </w:p>
        <w:p w14:paraId="328AAAA9" w14:textId="77777777" w:rsidR="003D5DB4" w:rsidRPr="000D0101" w:rsidRDefault="003D5DB4" w:rsidP="000A5389">
          <w:pPr>
            <w:spacing w:line="240" w:lineRule="auto"/>
          </w:pPr>
          <w:r w:rsidRPr="000D0101">
            <w:t xml:space="preserve">Valor inicial: </w:t>
          </w:r>
          <w:r w:rsidRPr="000D0101">
            <w:rPr>
              <w:lang w:val="pt-PT"/>
            </w:rPr>
            <w:t>USD 1.203.652 Cláusula Octava/Contrato No. 004 de 2010</w:t>
          </w:r>
        </w:p>
        <w:p w14:paraId="0357ACC3" w14:textId="77777777" w:rsidR="003D5DB4" w:rsidRPr="000D0101" w:rsidRDefault="003D5DB4" w:rsidP="000A5389">
          <w:pPr>
            <w:spacing w:line="240" w:lineRule="auto"/>
          </w:pPr>
          <w:r w:rsidRPr="000D0101">
            <w:t>Fecha de inicio: 8/06/2010</w:t>
          </w:r>
        </w:p>
        <w:p w14:paraId="558B6CBC" w14:textId="77777777" w:rsidR="003D5DB4" w:rsidRPr="000D0101" w:rsidRDefault="003D5DB4" w:rsidP="000A5389">
          <w:pPr>
            <w:spacing w:line="240" w:lineRule="auto"/>
          </w:pPr>
          <w:r w:rsidRPr="000D0101">
            <w:t>Fecha de finalización estimada: 7/06/2030</w:t>
          </w:r>
        </w:p>
        <w:p w14:paraId="60D75577" w14:textId="77777777" w:rsidR="003D5DB4" w:rsidRPr="000D0101" w:rsidRDefault="003D5DB4" w:rsidP="000A5389">
          <w:pPr>
            <w:spacing w:line="240" w:lineRule="auto"/>
          </w:pPr>
          <w:r w:rsidRPr="000D0101">
            <w:t xml:space="preserve">Tipo ID: </w:t>
          </w:r>
          <w:r w:rsidRPr="000D0101">
            <w:rPr>
              <w:rStyle w:val="Estilo5"/>
              <w:rFonts w:cs="Times New Roman"/>
              <w:szCs w:val="24"/>
            </w:rPr>
            <w:t>NIT</w:t>
          </w:r>
          <w:r w:rsidRPr="000D0101">
            <w:t>Número ID: 800.200.969</w:t>
          </w:r>
        </w:p>
        <w:p w14:paraId="3FF6A905" w14:textId="77777777" w:rsidR="003D5DB4" w:rsidRPr="000D0101" w:rsidRDefault="003D5DB4" w:rsidP="000A5389">
          <w:pPr>
            <w:spacing w:line="240" w:lineRule="auto"/>
          </w:pPr>
          <w:r w:rsidRPr="000D0101">
            <w:t>Razón social del concesionario: Sociedad Portuaria Regional de Cartagena S.A</w:t>
          </w:r>
        </w:p>
        <w:p w14:paraId="74BF0924" w14:textId="77777777" w:rsidR="003D5DB4" w:rsidRPr="000D0101" w:rsidRDefault="003D5DB4" w:rsidP="000A5389">
          <w:pPr>
            <w:spacing w:line="240" w:lineRule="auto"/>
          </w:pPr>
          <w:r w:rsidRPr="000D0101">
            <w:t>Nombre del proyecto: Sociedad Portuaria Regional de Cartagena S.A - Muelle 9</w:t>
          </w:r>
        </w:p>
        <w:p w14:paraId="5FCEB299" w14:textId="77777777" w:rsidR="003D5DB4" w:rsidRPr="000D0101" w:rsidRDefault="003D5DB4" w:rsidP="000A5389">
          <w:pPr>
            <w:spacing w:line="240" w:lineRule="auto"/>
            <w:rPr>
              <w:lang w:val="es-MX"/>
            </w:rPr>
          </w:pPr>
        </w:p>
        <w:p w14:paraId="17A66FA0" w14:textId="77777777" w:rsidR="003D5DB4" w:rsidRPr="000D0101" w:rsidRDefault="003D5DB4" w:rsidP="000A5389">
          <w:pPr>
            <w:spacing w:line="240" w:lineRule="auto"/>
            <w:rPr>
              <w:lang w:val="es-MX"/>
            </w:rPr>
          </w:pPr>
          <w:r w:rsidRPr="000D0101">
            <w:rPr>
              <w:lang w:val="es-MX"/>
            </w:rPr>
            <w:t>b. Términos significativos del Acuerdo que puedan afectar su valor, el calendario y la certeza de los flujos</w:t>
          </w:r>
        </w:p>
        <w:p w14:paraId="67151102" w14:textId="77777777" w:rsidR="003D5DB4" w:rsidRPr="000D0101" w:rsidRDefault="003D5DB4" w:rsidP="000A5389">
          <w:pPr>
            <w:spacing w:line="240" w:lineRule="auto"/>
          </w:pPr>
        </w:p>
        <w:p w14:paraId="2E3A694C" w14:textId="77777777" w:rsidR="003D5DB4" w:rsidRPr="000D0101" w:rsidRDefault="003D5DB4" w:rsidP="000A5389">
          <w:pPr>
            <w:spacing w:line="240" w:lineRule="auto"/>
          </w:pPr>
          <w:r w:rsidRPr="000D0101">
            <w:t>Términos de valor: 1. Tarifas: Al ser el terminal marítimo de servicio público la Ley 1 de 1991 establece: Las sociedades portuarias que operan puertos de servicio público las tarifas requieren ser aprobadas según la metodología establecida por la Superintendencia General de Puertos hoy Superintendencia de Transporte. 2. Contraprestación portuaria: De acuerdo con el último documento contractual vigente la metodología de contraprestación vigente es CONPES 2680 DE 1993 (Productividad). Se establece en la cláusula octava del Contrato que el CONCESIONARIO deberá pagar por concepto de zona de uso público la suma anual de (USD 147.631), de dicho pago el 80% le corresponde a la Nación Instituto nacional de vías (INVIAS) y el 20% restante al distrito de Cartagena de acuerdo con lo establecido en el parágrafo 1 del artículo 1 de la ley 856 del 21 de diciembre de 2003, que modifica el artículo 7 de la ley 1ª de 1991. 3. Plan de Inversiones: está establecido en la cláusula séptima del contrato, donde indica que el plan de inversión será de USD 32.390.906 en valores corrientes. 4. Obligaciones del CONCESIONARIO: se encuentran descritas en la cláusula décima quinta. 5. Multas y sanciones: están establecidas en la cláusula décima octava. Al 31 de diciembre de 2019 no se han fijado multas. 6. Penal pecuniaria: en la cláusula décima novena se establece que en el evento en que el INCO hoy ANI declare la caducidad o el incumplimiento del presente contrato, se podrá imponer una penalidad pecuniaria.7.Riesgos: están descritos en la cláusula trigésima, el CONCESIONARIO acepta la totalidad de los riesgos inherentes a la ejecución del contrato en su etapa preoperativa, de construcciones operación, y de reversión incluyendo el riesgo inherente a la aprobación del trámite de declaratoria de existencia como zona franca permanente especial de servicios del área portuaria, serán asumidos por EL, y que la ocurrencia de algún riesgo, no dará derecho a indemnización o reconocimiento alguno a favor del CONCESIONARIO.</w:t>
          </w:r>
        </w:p>
        <w:p w14:paraId="11E64DD9" w14:textId="77777777" w:rsidR="003D5DB4" w:rsidRPr="000D0101" w:rsidRDefault="003D5DB4" w:rsidP="000A5389">
          <w:pPr>
            <w:spacing w:line="240" w:lineRule="auto"/>
          </w:pPr>
        </w:p>
        <w:p w14:paraId="4B452B03" w14:textId="77777777" w:rsidR="003D5DB4" w:rsidRPr="000D0101" w:rsidRDefault="003D5DB4" w:rsidP="000A5389">
          <w:pPr>
            <w:spacing w:line="240" w:lineRule="auto"/>
          </w:pPr>
          <w:r w:rsidRPr="000D0101">
            <w:t xml:space="preserve">Términos de calendario: 1. Tarifas: Aprobadas según la metodología establecida por la Superintendencia General de Puertos hoy Superintendencia de Transporte. 2. Contraprestación portuaria: la contraprestación se debe pagar de manera anual anticipada desde el mes de junio de cada año. 3. Plan de inversiones: se estableció en la cláusula séptima del Contrato No. 004 de 2010, la ejecución de inversiones en el periodo de tiempo </w:t>
          </w:r>
          <w:r w:rsidRPr="000D0101">
            <w:lastRenderedPageBreak/>
            <w:t xml:space="preserve">comprendido entre el año 2010 a 2011. 4. Multas: están establecidas en la cláusula décima octava. </w:t>
          </w:r>
        </w:p>
        <w:p w14:paraId="3790003C" w14:textId="77777777" w:rsidR="003D5DB4" w:rsidRPr="000D0101" w:rsidRDefault="003D5DB4" w:rsidP="000A5389">
          <w:pPr>
            <w:spacing w:line="240" w:lineRule="auto"/>
          </w:pPr>
        </w:p>
        <w:p w14:paraId="2A65D816" w14:textId="77777777" w:rsidR="003D5DB4" w:rsidRPr="000D0101" w:rsidRDefault="003D5DB4" w:rsidP="000A5389">
          <w:pPr>
            <w:spacing w:line="240" w:lineRule="auto"/>
          </w:pPr>
          <w:r w:rsidRPr="000D0101">
            <w:t>Términos de certeza de flujos de efectivo futuros: Se otorga a EL CONCESIONARIO el derecho de ocupar y utilizar en forma temporal y exclusiva las playas, los terrenos de bajamar y zonas accesorias a aquellas o estos, descritos en la cláusula segunda del contrato, a cambio de la contraprestación económica. Cláusula Octava, parágrafo segundo. Del valor a pagar por concepto de contraprestación por Zona de Uso público el 80% le corresponde a la Nación-INVIAS y el 20 % al Distrito turístico de Cartagena de Indias y por Infraestructura el 100% a la Nación-INVIAS.</w:t>
          </w:r>
        </w:p>
        <w:p w14:paraId="201F991D" w14:textId="77777777" w:rsidR="003D5DB4" w:rsidRPr="000D0101" w:rsidRDefault="003D5DB4" w:rsidP="000A5389">
          <w:pPr>
            <w:spacing w:line="240" w:lineRule="auto"/>
            <w:rPr>
              <w:lang w:val="es-MX"/>
            </w:rPr>
          </w:pPr>
        </w:p>
        <w:p w14:paraId="7741AE32" w14:textId="77777777" w:rsidR="003D5DB4" w:rsidRPr="000D0101" w:rsidRDefault="003D5DB4" w:rsidP="000A5389">
          <w:pPr>
            <w:spacing w:line="240" w:lineRule="auto"/>
            <w:rPr>
              <w:lang w:val="es-MX"/>
            </w:rPr>
          </w:pPr>
          <w:r w:rsidRPr="000D0101">
            <w:rPr>
              <w:lang w:val="es-MX"/>
            </w:rPr>
            <w:t>c. Naturaleza y alcance del derecho a utilizar activos especificados y los aspectos pactados en torno a lo que se espera que el concesionario proporcione en relación con el acuerdo de concesión</w:t>
          </w:r>
        </w:p>
        <w:p w14:paraId="2DC4AB00" w14:textId="77777777" w:rsidR="003D5DB4" w:rsidRPr="000D0101" w:rsidRDefault="003D5DB4" w:rsidP="000A5389">
          <w:pPr>
            <w:spacing w:line="240" w:lineRule="auto"/>
          </w:pPr>
        </w:p>
        <w:p w14:paraId="6CE0FC22" w14:textId="77777777" w:rsidR="003D5DB4" w:rsidRPr="000D0101" w:rsidRDefault="003D5DB4" w:rsidP="000A5389">
          <w:pPr>
            <w:spacing w:line="240" w:lineRule="auto"/>
          </w:pPr>
          <w:r w:rsidRPr="000D0101">
            <w:t>Naturaleza y alcance del derecho de uso de los activos</w:t>
          </w:r>
        </w:p>
        <w:p w14:paraId="0E359C17" w14:textId="77777777" w:rsidR="003D5DB4" w:rsidRPr="000D0101" w:rsidRDefault="003D5DB4" w:rsidP="000A5389">
          <w:pPr>
            <w:spacing w:line="240" w:lineRule="auto"/>
          </w:pPr>
        </w:p>
        <w:p w14:paraId="39B1DC06" w14:textId="77777777" w:rsidR="003D5DB4" w:rsidRPr="000D0101" w:rsidRDefault="003D5DB4" w:rsidP="000A5389">
          <w:pPr>
            <w:spacing w:line="240" w:lineRule="auto"/>
          </w:pPr>
          <w:r w:rsidRPr="000D0101">
            <w:t>Descripción: Activos reconocidos Alcance del derecho de uso de los activos: Descripción del proyecto, especificaciones técnicas, modalidades de operación: las condiciones especiales de operación del puerto están establecidas en la cláusula quinta del Contrato de concesión portuaria No.004 de 2010.Área entregada en concesión: La descripción de la ubicación, linderos y extensión de los bienes de uso público (playas y terrenos de baja mar, zonas marítimas accesorias de maniobras) entregados en concesión están establecidos en la cláusula tercera del Contrato de concesión portuaria No.004 de 2010.Infraestructura y equipos entregados en concesión en el contrato de concesión portuaria no fueron entregados activos relacionados con infraestructura y equipos, el plan de inversiones desarrolla la infraestructura y la adquisición de equipos para su posterior reversión a la Nación.</w:t>
          </w:r>
        </w:p>
        <w:p w14:paraId="77529876" w14:textId="77777777" w:rsidR="003D5DB4" w:rsidRPr="000D0101" w:rsidRDefault="003D5DB4" w:rsidP="000A5389">
          <w:pPr>
            <w:spacing w:line="240" w:lineRule="auto"/>
          </w:pPr>
        </w:p>
        <w:p w14:paraId="36AFCF3E" w14:textId="77777777" w:rsidR="003D5DB4" w:rsidRPr="000D0101" w:rsidRDefault="003D5DB4" w:rsidP="000A5389">
          <w:pPr>
            <w:spacing w:line="240" w:lineRule="auto"/>
          </w:pPr>
          <w:r w:rsidRPr="000D0101">
            <w:t xml:space="preserve">Observaciones: </w:t>
          </w:r>
          <w:r w:rsidRPr="000D0101">
            <w:rPr>
              <w:rStyle w:val="Estilo6"/>
              <w:rFonts w:cs="Times New Roman"/>
              <w:szCs w:val="24"/>
            </w:rPr>
            <w:t>No hay Observaciones</w:t>
          </w:r>
        </w:p>
        <w:p w14:paraId="11AE586A" w14:textId="77777777" w:rsidR="003D5DB4" w:rsidRPr="000D0101" w:rsidRDefault="003D5DB4" w:rsidP="000A5389">
          <w:pPr>
            <w:spacing w:line="240" w:lineRule="auto"/>
          </w:pPr>
        </w:p>
        <w:p w14:paraId="68829AA5" w14:textId="77777777" w:rsidR="003D5DB4" w:rsidRPr="000D0101" w:rsidRDefault="003D5DB4" w:rsidP="000A5389">
          <w:pPr>
            <w:spacing w:line="240" w:lineRule="auto"/>
          </w:pPr>
          <w:r w:rsidRPr="000D0101">
            <w:t>Retribución al concesionario</w:t>
          </w:r>
        </w:p>
        <w:p w14:paraId="6EA8FB41" w14:textId="77777777" w:rsidR="003D5DB4" w:rsidRPr="000D0101" w:rsidRDefault="003D5DB4" w:rsidP="000A5389">
          <w:pPr>
            <w:spacing w:line="240" w:lineRule="auto"/>
          </w:pPr>
          <w:r w:rsidRPr="000D0101">
            <w:t>Descripción: Cláusula primera Contrato 004 de 2010: Se otorga a EL CONCESIONARIO el derecho de ocupar y utilizar en forma temporal y exclusiva las playas, los terrenos de bajamar y zonas accesorias a aquellas o estos, descritos en la cláusula segunda del contrato, a cambio de la contraprestación económica.</w:t>
          </w:r>
        </w:p>
        <w:p w14:paraId="63BBD3F0" w14:textId="77777777" w:rsidR="003D5DB4" w:rsidRPr="000D0101" w:rsidRDefault="003D5DB4" w:rsidP="000A5389">
          <w:pPr>
            <w:spacing w:line="240" w:lineRule="auto"/>
          </w:pPr>
        </w:p>
        <w:p w14:paraId="37BE8A9C" w14:textId="77777777" w:rsidR="003D5DB4" w:rsidRPr="000D0101" w:rsidRDefault="003D5DB4" w:rsidP="000A5389">
          <w:pPr>
            <w:spacing w:line="240" w:lineRule="auto"/>
          </w:pPr>
          <w:r w:rsidRPr="000D0101">
            <w:t>Tasa de retribución: N/A</w:t>
          </w:r>
        </w:p>
        <w:p w14:paraId="23D85625" w14:textId="77777777" w:rsidR="003D5DB4" w:rsidRPr="000D0101" w:rsidRDefault="003D5DB4" w:rsidP="000A5389">
          <w:pPr>
            <w:spacing w:line="240" w:lineRule="auto"/>
          </w:pPr>
        </w:p>
        <w:p w14:paraId="3D6D8A41" w14:textId="77777777" w:rsidR="003D5DB4" w:rsidRPr="000D0101" w:rsidRDefault="003D5DB4" w:rsidP="000A5389">
          <w:pPr>
            <w:spacing w:line="240" w:lineRule="auto"/>
          </w:pPr>
          <w:r w:rsidRPr="000D0101">
            <w:t>d. Derechos a recibir activos especificados al final del acuerdo de concesión</w:t>
          </w:r>
        </w:p>
        <w:p w14:paraId="2E5DBE06" w14:textId="77777777" w:rsidR="003D5DB4" w:rsidRPr="000D0101" w:rsidRDefault="003D5DB4" w:rsidP="000A5389">
          <w:pPr>
            <w:spacing w:line="240" w:lineRule="auto"/>
          </w:pPr>
        </w:p>
        <w:p w14:paraId="5D4FC0EC" w14:textId="77777777" w:rsidR="003D5DB4" w:rsidRPr="000D0101" w:rsidRDefault="003D5DB4" w:rsidP="000A5389">
          <w:pPr>
            <w:spacing w:line="240" w:lineRule="auto"/>
          </w:pPr>
          <w:r w:rsidRPr="000D0101">
            <w:t>Descripción: de acuerdo con el Artículo 8º de la Ley 1 de 1991 en el modo portuario el concesionario no tiene derechos finales sobre activos los debe revertir a la Nación al final del Contrato de Concesión.</w:t>
          </w:r>
        </w:p>
        <w:p w14:paraId="57A90848" w14:textId="77777777" w:rsidR="003D5DB4" w:rsidRPr="000D0101" w:rsidRDefault="003D5DB4" w:rsidP="000A5389">
          <w:pPr>
            <w:spacing w:line="240" w:lineRule="auto"/>
          </w:pPr>
        </w:p>
        <w:p w14:paraId="0AAF973D" w14:textId="77777777" w:rsidR="003D5DB4" w:rsidRPr="000D0101" w:rsidRDefault="003D5DB4" w:rsidP="000A5389">
          <w:pPr>
            <w:spacing w:line="240" w:lineRule="auto"/>
          </w:pPr>
          <w:r w:rsidRPr="000D0101">
            <w:lastRenderedPageBreak/>
            <w:t>Observaciones: Reversión: de acuerdo con lo establecido en la cláusula décimo segunda del contrato de concesión No.004 de 2010, todas las construcciones e inmuebles por destinación, que se encuentren instalados en la zona de uso público otorgada en concesión revertirán gratuitamente por el Concesionario. Para tal fin, en el momento de la reversión el CONCESIONARIO elaborará un inventario de los bienes y los enviará para su revisión y aprobación. La ANI es la entidad concedente pero la titularidad de los activos al final de la concesión es del Instituto Nacional de Vías INVIAS.</w:t>
          </w:r>
        </w:p>
        <w:p w14:paraId="0D49B3EA" w14:textId="77777777" w:rsidR="003D5DB4" w:rsidRPr="000D0101" w:rsidRDefault="003D5DB4" w:rsidP="000A5389">
          <w:pPr>
            <w:spacing w:line="240" w:lineRule="auto"/>
          </w:pPr>
        </w:p>
        <w:p w14:paraId="5F87C6B0" w14:textId="77777777" w:rsidR="003D5DB4" w:rsidRPr="000D0101" w:rsidRDefault="003D5DB4" w:rsidP="000A5389">
          <w:pPr>
            <w:spacing w:line="240" w:lineRule="auto"/>
          </w:pPr>
          <w:r w:rsidRPr="000D0101">
            <w:t>e. Las alternativas de renovación y cese del Acuerdo</w:t>
          </w:r>
        </w:p>
        <w:p w14:paraId="76DE2DFE" w14:textId="77777777" w:rsidR="003D5DB4" w:rsidRPr="000D0101" w:rsidRDefault="003D5DB4" w:rsidP="000A5389">
          <w:pPr>
            <w:spacing w:line="240" w:lineRule="auto"/>
          </w:pPr>
        </w:p>
        <w:p w14:paraId="4497643B" w14:textId="77777777" w:rsidR="003D5DB4" w:rsidRPr="000D0101" w:rsidRDefault="003D5DB4" w:rsidP="000A5389">
          <w:pPr>
            <w:spacing w:line="240" w:lineRule="auto"/>
            <w:rPr>
              <w:lang w:val="es-MX"/>
            </w:rPr>
          </w:pPr>
          <w:r w:rsidRPr="000D0101">
            <w:t>Descripción: N/A</w:t>
          </w:r>
        </w:p>
        <w:p w14:paraId="7EED081E" w14:textId="77777777" w:rsidR="003D5DB4" w:rsidRPr="000D0101" w:rsidRDefault="003D5DB4" w:rsidP="000A5389">
          <w:pPr>
            <w:spacing w:line="240" w:lineRule="auto"/>
          </w:pPr>
        </w:p>
        <w:p w14:paraId="665D5B2F" w14:textId="77777777" w:rsidR="003D5DB4" w:rsidRPr="000D0101" w:rsidRDefault="003D5DB4" w:rsidP="000A5389">
          <w:pPr>
            <w:spacing w:line="240" w:lineRule="auto"/>
          </w:pPr>
          <w:r w:rsidRPr="000D0101">
            <w:t>Observaciones: N/A</w:t>
          </w:r>
        </w:p>
        <w:p w14:paraId="268016AF" w14:textId="77777777" w:rsidR="003D5DB4" w:rsidRPr="000D0101" w:rsidRDefault="003D5DB4" w:rsidP="000A5389">
          <w:pPr>
            <w:spacing w:line="240" w:lineRule="auto"/>
          </w:pPr>
        </w:p>
        <w:p w14:paraId="1AF2EDAD" w14:textId="77777777" w:rsidR="003D5DB4" w:rsidRPr="000D0101" w:rsidRDefault="003D5DB4" w:rsidP="000A5389">
          <w:pPr>
            <w:spacing w:line="240" w:lineRule="auto"/>
            <w:rPr>
              <w:lang w:val="es-MX"/>
            </w:rPr>
          </w:pPr>
          <w:r w:rsidRPr="000D0101">
            <w:rPr>
              <w:lang w:val="es-MX"/>
            </w:rPr>
            <w:t>f. Cambios en el acuerdo de concesión que se realicen durante el periodo fiscal</w:t>
          </w:r>
        </w:p>
        <w:p w14:paraId="7494BEDD" w14:textId="77777777" w:rsidR="003D5DB4" w:rsidRPr="000D0101" w:rsidRDefault="003D5DB4" w:rsidP="000A5389">
          <w:pPr>
            <w:spacing w:line="240" w:lineRule="auto"/>
            <w:rPr>
              <w:lang w:val="es-MX"/>
            </w:rPr>
          </w:pPr>
        </w:p>
        <w:p w14:paraId="096B2D42" w14:textId="77777777" w:rsidR="003D5DB4" w:rsidRPr="000D0101" w:rsidRDefault="003D5DB4" w:rsidP="000A5389">
          <w:pPr>
            <w:spacing w:line="240" w:lineRule="auto"/>
          </w:pPr>
          <w:r w:rsidRPr="000D0101">
            <w:t>Adiciones o modificaciones en tiempo</w:t>
          </w:r>
        </w:p>
        <w:p w14:paraId="6FB3F1F3" w14:textId="77777777" w:rsidR="003D5DB4" w:rsidRPr="000D0101" w:rsidRDefault="003D5DB4" w:rsidP="000A5389">
          <w:pPr>
            <w:spacing w:line="240" w:lineRule="auto"/>
            <w:rPr>
              <w:lang w:eastAsia="es-CO"/>
            </w:rPr>
          </w:pPr>
          <w:r w:rsidRPr="000D0101">
            <w:t xml:space="preserve">Fechas de las adiciones o modificaciones: </w:t>
          </w:r>
          <w:r w:rsidRPr="000D0101">
            <w:rPr>
              <w:lang w:eastAsia="es-CO"/>
            </w:rPr>
            <w:t>N/A</w:t>
          </w:r>
        </w:p>
        <w:p w14:paraId="6555E139" w14:textId="77777777" w:rsidR="003D5DB4" w:rsidRPr="000D0101" w:rsidRDefault="003D5DB4" w:rsidP="000A5389">
          <w:pPr>
            <w:spacing w:line="240" w:lineRule="auto"/>
            <w:rPr>
              <w:lang w:eastAsia="es-CO"/>
            </w:rPr>
          </w:pPr>
          <w:r w:rsidRPr="000D0101">
            <w:t xml:space="preserve">Nueva fecha de finalización estimada: </w:t>
          </w:r>
          <w:r w:rsidRPr="000D0101">
            <w:rPr>
              <w:lang w:eastAsia="es-CO"/>
            </w:rPr>
            <w:t>N/A</w:t>
          </w:r>
        </w:p>
        <w:p w14:paraId="2AAE41EB" w14:textId="77777777" w:rsidR="003D5DB4" w:rsidRPr="000D0101" w:rsidRDefault="003D5DB4" w:rsidP="000A5389">
          <w:pPr>
            <w:spacing w:line="240" w:lineRule="auto"/>
          </w:pPr>
          <w:r w:rsidRPr="000D0101">
            <w:t xml:space="preserve">Observaciones: </w:t>
          </w:r>
          <w:r w:rsidRPr="000D0101">
            <w:rPr>
              <w:lang w:eastAsia="es-CO"/>
            </w:rPr>
            <w:t>N/A</w:t>
          </w:r>
        </w:p>
        <w:p w14:paraId="7A2391A9" w14:textId="77777777" w:rsidR="003D5DB4" w:rsidRPr="000D0101" w:rsidRDefault="003D5DB4" w:rsidP="000A5389">
          <w:pPr>
            <w:spacing w:line="240" w:lineRule="auto"/>
          </w:pPr>
          <w:r w:rsidRPr="000D0101">
            <w:t>Adiciones o modificaciones en valor</w:t>
          </w:r>
        </w:p>
        <w:p w14:paraId="4197F090" w14:textId="77777777" w:rsidR="003D5DB4" w:rsidRPr="000D0101" w:rsidRDefault="003D5DB4" w:rsidP="000A5389">
          <w:pPr>
            <w:spacing w:line="240" w:lineRule="auto"/>
            <w:rPr>
              <w:lang w:eastAsia="es-CO"/>
            </w:rPr>
          </w:pPr>
          <w:r w:rsidRPr="000D0101">
            <w:t xml:space="preserve">Valor de la adición o modificación: </w:t>
          </w:r>
          <w:r w:rsidRPr="000D0101">
            <w:rPr>
              <w:lang w:eastAsia="es-CO"/>
            </w:rPr>
            <w:t>N/A</w:t>
          </w:r>
        </w:p>
        <w:p w14:paraId="7CF49B00" w14:textId="77777777" w:rsidR="003D5DB4" w:rsidRPr="000D0101" w:rsidRDefault="003D5DB4" w:rsidP="000A5389">
          <w:pPr>
            <w:spacing w:line="240" w:lineRule="auto"/>
            <w:rPr>
              <w:lang w:eastAsia="es-CO"/>
            </w:rPr>
          </w:pPr>
          <w:r w:rsidRPr="000D0101">
            <w:t xml:space="preserve">Nuevo valor del acuerdo: </w:t>
          </w:r>
          <w:r w:rsidRPr="000D0101">
            <w:rPr>
              <w:lang w:eastAsia="es-CO"/>
            </w:rPr>
            <w:t>N/A</w:t>
          </w:r>
        </w:p>
        <w:p w14:paraId="4EEB5545" w14:textId="77777777" w:rsidR="003D5DB4" w:rsidRDefault="003D5DB4" w:rsidP="000A5389">
          <w:pPr>
            <w:spacing w:line="240" w:lineRule="auto"/>
            <w:rPr>
              <w:lang w:eastAsia="es-CO"/>
            </w:rPr>
          </w:pPr>
          <w:r w:rsidRPr="000D0101">
            <w:t xml:space="preserve">Observaciones: </w:t>
          </w:r>
          <w:r w:rsidRPr="000D0101">
            <w:rPr>
              <w:lang w:eastAsia="es-CO"/>
            </w:rPr>
            <w:t>N/A</w:t>
          </w:r>
        </w:p>
        <w:p w14:paraId="57A8C6F0" w14:textId="77777777" w:rsidR="001B234E" w:rsidRDefault="001B234E" w:rsidP="000A5389">
          <w:pPr>
            <w:spacing w:line="240" w:lineRule="auto"/>
            <w:rPr>
              <w:lang w:eastAsia="es-CO"/>
            </w:rPr>
          </w:pPr>
        </w:p>
        <w:p w14:paraId="668652EA" w14:textId="77777777" w:rsidR="001B234E" w:rsidRPr="000D0101" w:rsidRDefault="001B234E" w:rsidP="000A5389">
          <w:pPr>
            <w:spacing w:line="240" w:lineRule="auto"/>
          </w:pPr>
        </w:p>
        <w:p w14:paraId="0622A1D9" w14:textId="77777777" w:rsidR="003D5DB4" w:rsidRPr="00C933C5" w:rsidRDefault="003D5DB4" w:rsidP="000A5389">
          <w:pPr>
            <w:spacing w:line="240" w:lineRule="auto"/>
            <w:rPr>
              <w:rFonts w:eastAsia="Times New Roman"/>
              <w:i/>
              <w:iCs/>
              <w:lang w:eastAsia="es-CO"/>
            </w:rPr>
          </w:pPr>
          <w:r w:rsidRPr="00C933C5">
            <w:rPr>
              <w:rFonts w:eastAsia="Times New Roman"/>
              <w:i/>
              <w:iCs/>
              <w:lang w:eastAsia="es-CO"/>
            </w:rPr>
            <w:t xml:space="preserve">SOCIEDAD PORTUARIA REGIONAL DE SANTA MARTA S.A. </w:t>
          </w:r>
        </w:p>
        <w:p w14:paraId="79A7C809" w14:textId="77777777" w:rsidR="003D5DB4" w:rsidRPr="000D0101" w:rsidRDefault="003D5DB4" w:rsidP="000A5389">
          <w:pPr>
            <w:spacing w:line="240" w:lineRule="auto"/>
          </w:pPr>
        </w:p>
        <w:p w14:paraId="34B2090A" w14:textId="77777777" w:rsidR="003D5DB4" w:rsidRPr="000D0101" w:rsidRDefault="003D5DB4" w:rsidP="000A5389">
          <w:pPr>
            <w:spacing w:line="240" w:lineRule="auto"/>
          </w:pPr>
          <w:r w:rsidRPr="000D0101">
            <w:t>a. Descripción del Acuerdo</w:t>
          </w:r>
        </w:p>
        <w:p w14:paraId="2D11A392" w14:textId="77777777" w:rsidR="003D5DB4" w:rsidRPr="000D0101" w:rsidRDefault="003D5DB4" w:rsidP="000A5389">
          <w:pPr>
            <w:spacing w:line="240" w:lineRule="auto"/>
          </w:pPr>
        </w:p>
        <w:p w14:paraId="18BCD0D6" w14:textId="77777777" w:rsidR="003D5DB4" w:rsidRPr="000D0101" w:rsidRDefault="003D5DB4" w:rsidP="000A5389">
          <w:pPr>
            <w:spacing w:line="240" w:lineRule="auto"/>
          </w:pPr>
          <w:r w:rsidRPr="000D0101">
            <w:t>Número del Acuerdo de Concesión: 006-1993</w:t>
          </w:r>
        </w:p>
        <w:p w14:paraId="1EA46F72" w14:textId="77777777" w:rsidR="003D5DB4" w:rsidRPr="000D0101" w:rsidRDefault="003D5DB4" w:rsidP="000A5389">
          <w:pPr>
            <w:spacing w:line="240" w:lineRule="auto"/>
          </w:pPr>
        </w:p>
        <w:p w14:paraId="255429C1" w14:textId="77777777" w:rsidR="003D5DB4" w:rsidRPr="000D0101" w:rsidRDefault="003D5DB4" w:rsidP="000A5389">
          <w:pPr>
            <w:spacing w:line="240" w:lineRule="auto"/>
          </w:pPr>
          <w:r w:rsidRPr="000D0101">
            <w:t xml:space="preserve">Objeto / Descripción: Se otorga al concesionario el derecho de ocupar y utilizar en forma temporal y exclusiva las playas, los terrenos de bajamar y zonas accesorias a aquellas descritos en la Cláusula Segunda del Contrato a cambio de una contraprestación en los términos de la Cláusula Décima Primera del Contrato a favor de la Nación y del municipio de Santa Marta. </w:t>
          </w:r>
        </w:p>
        <w:p w14:paraId="28D29394" w14:textId="77777777" w:rsidR="003D5DB4" w:rsidRPr="000D0101" w:rsidRDefault="003D5DB4" w:rsidP="000A5389">
          <w:pPr>
            <w:spacing w:line="240" w:lineRule="auto"/>
          </w:pPr>
        </w:p>
        <w:p w14:paraId="31744CAA" w14:textId="77777777" w:rsidR="003D5DB4" w:rsidRPr="000D0101" w:rsidRDefault="003D5DB4" w:rsidP="000A5389">
          <w:pPr>
            <w:spacing w:line="240" w:lineRule="auto"/>
          </w:pPr>
          <w:r w:rsidRPr="000D0101">
            <w:t xml:space="preserve">Valor inicial: USD 8.191.336 liquidados a la trm del último día del mes anterior. </w:t>
          </w:r>
        </w:p>
        <w:p w14:paraId="55ADDC90" w14:textId="77777777" w:rsidR="003D5DB4" w:rsidRPr="000D0101" w:rsidRDefault="003D5DB4" w:rsidP="000A5389">
          <w:pPr>
            <w:spacing w:line="240" w:lineRule="auto"/>
          </w:pPr>
          <w:r w:rsidRPr="000D0101">
            <w:t>Fecha de inicio: 24/06/1993</w:t>
          </w:r>
        </w:p>
        <w:p w14:paraId="09F3731B" w14:textId="77777777" w:rsidR="003D5DB4" w:rsidRPr="000D0101" w:rsidRDefault="003D5DB4" w:rsidP="000A5389">
          <w:pPr>
            <w:spacing w:line="240" w:lineRule="auto"/>
          </w:pPr>
          <w:r w:rsidRPr="000D0101">
            <w:t>Fecha de finalización estimada: 8/11/2003</w:t>
          </w:r>
        </w:p>
        <w:p w14:paraId="5B9390C6" w14:textId="77777777" w:rsidR="003D5DB4" w:rsidRPr="000D0101" w:rsidRDefault="003D5DB4" w:rsidP="000A5389">
          <w:pPr>
            <w:spacing w:line="240" w:lineRule="auto"/>
          </w:pPr>
          <w:r w:rsidRPr="000D0101">
            <w:t>Tipo ID: NIT</w:t>
          </w:r>
        </w:p>
        <w:p w14:paraId="4725DE16" w14:textId="77777777" w:rsidR="003D5DB4" w:rsidRPr="000D0101" w:rsidRDefault="003D5DB4" w:rsidP="000A5389">
          <w:pPr>
            <w:spacing w:line="240" w:lineRule="auto"/>
          </w:pPr>
          <w:r w:rsidRPr="000D0101">
            <w:t>Número ID: 800187234-1</w:t>
          </w:r>
        </w:p>
        <w:p w14:paraId="12C5C9E3" w14:textId="77777777" w:rsidR="003D5DB4" w:rsidRPr="000D0101" w:rsidRDefault="003D5DB4" w:rsidP="000A5389">
          <w:pPr>
            <w:spacing w:line="240" w:lineRule="auto"/>
          </w:pPr>
          <w:r w:rsidRPr="000D0101">
            <w:t>Razón social del concesionario: Sociedad Portuaria Regional de Santa Marta S.A.</w:t>
          </w:r>
        </w:p>
        <w:p w14:paraId="246216F5" w14:textId="5E6241A3" w:rsidR="003D5DB4" w:rsidRPr="000D0101" w:rsidRDefault="003D5DB4" w:rsidP="000A5389">
          <w:pPr>
            <w:spacing w:line="240" w:lineRule="auto"/>
            <w:rPr>
              <w:lang w:val="es-MX"/>
            </w:rPr>
          </w:pPr>
          <w:r w:rsidRPr="000D0101">
            <w:lastRenderedPageBreak/>
            <w:t>Nombre del proyecto: Sociedad Portuaria Regional de Santa Marta S.A.</w:t>
          </w:r>
        </w:p>
        <w:p w14:paraId="6217797D" w14:textId="77777777" w:rsidR="003D5DB4" w:rsidRPr="000D0101" w:rsidRDefault="003D5DB4" w:rsidP="000A5389">
          <w:pPr>
            <w:spacing w:line="240" w:lineRule="auto"/>
            <w:rPr>
              <w:lang w:val="es-MX"/>
            </w:rPr>
          </w:pPr>
        </w:p>
        <w:p w14:paraId="399C8B00" w14:textId="77777777" w:rsidR="003D5DB4" w:rsidRPr="000D0101" w:rsidRDefault="003D5DB4" w:rsidP="000A5389">
          <w:pPr>
            <w:spacing w:line="240" w:lineRule="auto"/>
            <w:rPr>
              <w:lang w:val="es-MX"/>
            </w:rPr>
          </w:pPr>
          <w:r w:rsidRPr="000D0101">
            <w:rPr>
              <w:lang w:val="es-MX"/>
            </w:rPr>
            <w:t>b. Términos significativos del Acuerdo que puedan afectar su valor, el calendario y la certeza de los flujos</w:t>
          </w:r>
        </w:p>
        <w:p w14:paraId="458D49A1" w14:textId="77777777" w:rsidR="003D5DB4" w:rsidRPr="000D0101" w:rsidRDefault="003D5DB4" w:rsidP="000A5389">
          <w:pPr>
            <w:spacing w:line="240" w:lineRule="auto"/>
          </w:pPr>
        </w:p>
        <w:p w14:paraId="584E7C08" w14:textId="77777777" w:rsidR="003D5DB4" w:rsidRPr="000D0101" w:rsidRDefault="003D5DB4" w:rsidP="000A5389">
          <w:pPr>
            <w:spacing w:line="240" w:lineRule="auto"/>
          </w:pPr>
          <w:r w:rsidRPr="000D0101">
            <w:t xml:space="preserve">Términos de valor: Tarifas reguladas y pago de contraprestación según lo señalado en el Decreto 1873 de 2008. </w:t>
          </w:r>
        </w:p>
        <w:p w14:paraId="55F910E0" w14:textId="77777777" w:rsidR="003D5DB4" w:rsidRPr="000D0101" w:rsidRDefault="003D5DB4" w:rsidP="000A5389">
          <w:pPr>
            <w:spacing w:line="240" w:lineRule="auto"/>
          </w:pPr>
        </w:p>
        <w:p w14:paraId="4F0956A3" w14:textId="77777777" w:rsidR="003D5DB4" w:rsidRPr="000D0101" w:rsidRDefault="003D5DB4" w:rsidP="000A5389">
          <w:pPr>
            <w:spacing w:line="240" w:lineRule="auto"/>
          </w:pPr>
          <w:r w:rsidRPr="000D0101">
            <w:t>Términos de calendario: Pago de contraprestación: Semestral (Enero a Junio) Fecha esperada de entrega de infraestructura 2033.</w:t>
          </w:r>
        </w:p>
        <w:p w14:paraId="344D8F52" w14:textId="77777777" w:rsidR="003D5DB4" w:rsidRPr="000D0101" w:rsidRDefault="003D5DB4" w:rsidP="000A5389">
          <w:pPr>
            <w:spacing w:line="240" w:lineRule="auto"/>
          </w:pPr>
        </w:p>
        <w:p w14:paraId="1E800A0B" w14:textId="77777777" w:rsidR="003D5DB4" w:rsidRPr="000D0101" w:rsidRDefault="003D5DB4" w:rsidP="000A5389">
          <w:pPr>
            <w:spacing w:line="240" w:lineRule="auto"/>
          </w:pPr>
          <w:r w:rsidRPr="000D0101">
            <w:t>Términos de certeza de flujos de efectivo futuros: Flujos corrientes.</w:t>
          </w:r>
        </w:p>
        <w:p w14:paraId="310E05E3" w14:textId="77777777" w:rsidR="003D5DB4" w:rsidRPr="000D0101" w:rsidRDefault="003D5DB4" w:rsidP="000A5389">
          <w:pPr>
            <w:spacing w:line="240" w:lineRule="auto"/>
            <w:rPr>
              <w:lang w:val="es-MX"/>
            </w:rPr>
          </w:pPr>
        </w:p>
        <w:p w14:paraId="0204B0A8" w14:textId="77777777" w:rsidR="003D5DB4" w:rsidRPr="000D0101" w:rsidRDefault="003D5DB4" w:rsidP="000A5389">
          <w:pPr>
            <w:spacing w:line="240" w:lineRule="auto"/>
            <w:rPr>
              <w:lang w:val="es-MX"/>
            </w:rPr>
          </w:pPr>
          <w:r w:rsidRPr="000D0101">
            <w:rPr>
              <w:lang w:val="es-MX"/>
            </w:rPr>
            <w:t>c. Naturaleza y alcance del derecho a utilizar activos especificados y los aspectos pactados en torno a lo que se espera que el concesionario proporcione en relación con el acuerdo de concesión</w:t>
          </w:r>
        </w:p>
        <w:p w14:paraId="08F9D2AF" w14:textId="77777777" w:rsidR="003D5DB4" w:rsidRPr="000D0101" w:rsidRDefault="003D5DB4" w:rsidP="000A5389">
          <w:pPr>
            <w:spacing w:line="240" w:lineRule="auto"/>
          </w:pPr>
        </w:p>
        <w:p w14:paraId="73143926" w14:textId="77777777" w:rsidR="003D5DB4" w:rsidRPr="000D0101" w:rsidRDefault="003D5DB4" w:rsidP="000A5389">
          <w:pPr>
            <w:spacing w:line="240" w:lineRule="auto"/>
          </w:pPr>
          <w:r w:rsidRPr="000D0101">
            <w:t>Naturaleza y alcance del derecho de uso de los activos</w:t>
          </w:r>
        </w:p>
        <w:p w14:paraId="69E152C4" w14:textId="77777777" w:rsidR="003D5DB4" w:rsidRPr="000D0101" w:rsidRDefault="003D5DB4" w:rsidP="000A5389">
          <w:pPr>
            <w:spacing w:line="240" w:lineRule="auto"/>
          </w:pPr>
        </w:p>
        <w:p w14:paraId="04311062" w14:textId="77777777" w:rsidR="003D5DB4" w:rsidRPr="000D0101" w:rsidRDefault="003D5DB4" w:rsidP="000A5389">
          <w:pPr>
            <w:spacing w:line="240" w:lineRule="auto"/>
          </w:pPr>
          <w:r w:rsidRPr="000D0101">
            <w:t xml:space="preserve">Descripción: Se otorga al concesionario el derecho a ocupar y utilizar en forma temporal y exclusiva las playas, los terrenos de bajamar y zonas accesorias a aquellas descritos en la Cláusula Segunda del Contrato a cambio de una contraprestación en los términos de la Cláusula Décima Primera del Contrato, a favor de la Nación y del municipio de Santa Marta. </w:t>
          </w:r>
        </w:p>
        <w:p w14:paraId="694E37A5" w14:textId="77777777" w:rsidR="003D5DB4" w:rsidRPr="000D0101" w:rsidRDefault="003D5DB4" w:rsidP="000A5389">
          <w:pPr>
            <w:spacing w:line="240" w:lineRule="auto"/>
          </w:pPr>
        </w:p>
        <w:p w14:paraId="06A3A6E9" w14:textId="52D9BAAD" w:rsidR="003D5DB4" w:rsidRPr="000D0101" w:rsidRDefault="003D5DB4" w:rsidP="000A5389">
          <w:pPr>
            <w:spacing w:line="240" w:lineRule="auto"/>
          </w:pPr>
          <w:r w:rsidRPr="000D0101">
            <w:t>Observaciones: Sin observaciones.</w:t>
          </w:r>
        </w:p>
        <w:p w14:paraId="4F46F782" w14:textId="77777777" w:rsidR="003D5DB4" w:rsidRPr="000D0101" w:rsidRDefault="003D5DB4" w:rsidP="000A5389">
          <w:pPr>
            <w:spacing w:line="240" w:lineRule="auto"/>
          </w:pPr>
          <w:r w:rsidRPr="000D0101">
            <w:t>Retribución al concesionario</w:t>
          </w:r>
        </w:p>
        <w:p w14:paraId="30C6B399" w14:textId="77777777" w:rsidR="003D5DB4" w:rsidRPr="000D0101" w:rsidRDefault="003D5DB4" w:rsidP="000A5389">
          <w:pPr>
            <w:spacing w:line="240" w:lineRule="auto"/>
          </w:pPr>
          <w:r w:rsidRPr="000D0101">
            <w:t>Descripción: NA</w:t>
          </w:r>
        </w:p>
        <w:p w14:paraId="51E4AF1A" w14:textId="77777777" w:rsidR="003D5DB4" w:rsidRPr="000D0101" w:rsidRDefault="003D5DB4" w:rsidP="000A5389">
          <w:pPr>
            <w:spacing w:line="240" w:lineRule="auto"/>
          </w:pPr>
        </w:p>
        <w:p w14:paraId="4D1E4CF7" w14:textId="77777777" w:rsidR="003D5DB4" w:rsidRPr="000D0101" w:rsidRDefault="003D5DB4" w:rsidP="000A5389">
          <w:pPr>
            <w:spacing w:line="240" w:lineRule="auto"/>
          </w:pPr>
          <w:r w:rsidRPr="000D0101">
            <w:t>Tasa de retribución: NA</w:t>
          </w:r>
        </w:p>
        <w:p w14:paraId="1E7B7560" w14:textId="77777777" w:rsidR="003D5DB4" w:rsidRPr="000D0101" w:rsidRDefault="003D5DB4" w:rsidP="000A5389">
          <w:pPr>
            <w:spacing w:line="240" w:lineRule="auto"/>
          </w:pPr>
        </w:p>
        <w:p w14:paraId="5C0EA0A1" w14:textId="402B0D3D" w:rsidR="003D5DB4" w:rsidRPr="000D0101" w:rsidRDefault="003D5DB4" w:rsidP="000A5389">
          <w:pPr>
            <w:spacing w:line="240" w:lineRule="auto"/>
          </w:pPr>
          <w:r w:rsidRPr="000D0101">
            <w:t>d. Derechos a recibir activos especificados al final del acuerdo de concesión</w:t>
          </w:r>
        </w:p>
        <w:p w14:paraId="38352019" w14:textId="77777777" w:rsidR="003D5DB4" w:rsidRPr="000D0101" w:rsidRDefault="003D5DB4" w:rsidP="000A5389">
          <w:pPr>
            <w:spacing w:line="240" w:lineRule="auto"/>
          </w:pPr>
          <w:r w:rsidRPr="000D0101">
            <w:t xml:space="preserve">Descripción: Activos intangibles asociados al Plan Maestro de Inversiones. </w:t>
          </w:r>
        </w:p>
        <w:p w14:paraId="2187E2A0" w14:textId="77777777" w:rsidR="003D5DB4" w:rsidRPr="000D0101" w:rsidRDefault="003D5DB4" w:rsidP="000A5389">
          <w:pPr>
            <w:spacing w:line="240" w:lineRule="auto"/>
          </w:pPr>
          <w:r w:rsidRPr="000D0101">
            <w:t>Observaciones: No se tiene ninguna observación.</w:t>
          </w:r>
        </w:p>
        <w:p w14:paraId="750DC81F" w14:textId="77777777" w:rsidR="003D5DB4" w:rsidRPr="000D0101" w:rsidRDefault="003D5DB4" w:rsidP="000A5389">
          <w:pPr>
            <w:spacing w:line="240" w:lineRule="auto"/>
          </w:pPr>
        </w:p>
        <w:p w14:paraId="2CC34FB7" w14:textId="77777777" w:rsidR="003D5DB4" w:rsidRPr="000D0101" w:rsidRDefault="003D5DB4" w:rsidP="000A5389">
          <w:pPr>
            <w:spacing w:line="240" w:lineRule="auto"/>
          </w:pPr>
          <w:r w:rsidRPr="000D0101">
            <w:t>e. Las alternativas de renovación y cese del Acuerdo</w:t>
          </w:r>
        </w:p>
        <w:p w14:paraId="5BD5DC19" w14:textId="77777777" w:rsidR="003D5DB4" w:rsidRPr="000D0101" w:rsidRDefault="003D5DB4" w:rsidP="000A5389">
          <w:pPr>
            <w:spacing w:line="240" w:lineRule="auto"/>
          </w:pPr>
        </w:p>
        <w:p w14:paraId="366982E6" w14:textId="77777777" w:rsidR="003D5DB4" w:rsidRPr="000D0101" w:rsidRDefault="003D5DB4" w:rsidP="000A5389">
          <w:pPr>
            <w:spacing w:line="240" w:lineRule="auto"/>
            <w:rPr>
              <w:lang w:val="es-MX"/>
            </w:rPr>
          </w:pPr>
          <w:r w:rsidRPr="000D0101">
            <w:t>Descripción: En los términos enunciados en el artículo 8 de la Ley 1 de 1991, en concordancia con el artículo 17 de la misma Sociedad Portuaria tiene interés en la renovación del Contrato de Concesión.</w:t>
          </w:r>
        </w:p>
        <w:p w14:paraId="08CF86E7" w14:textId="77777777" w:rsidR="003D5DB4" w:rsidRPr="000D0101" w:rsidRDefault="003D5DB4" w:rsidP="000A5389">
          <w:pPr>
            <w:spacing w:line="240" w:lineRule="auto"/>
          </w:pPr>
        </w:p>
        <w:p w14:paraId="1C76FB20" w14:textId="77777777" w:rsidR="003D5DB4" w:rsidRPr="000D0101" w:rsidRDefault="003D5DB4" w:rsidP="000A5389">
          <w:pPr>
            <w:spacing w:line="240" w:lineRule="auto"/>
          </w:pPr>
          <w:r w:rsidRPr="000D0101">
            <w:t>Observaciones: No se tiene ninguna observación</w:t>
          </w:r>
        </w:p>
        <w:p w14:paraId="1B8CBEBD" w14:textId="77777777" w:rsidR="003D5DB4" w:rsidRPr="000D0101" w:rsidRDefault="003D5DB4" w:rsidP="000A5389">
          <w:pPr>
            <w:spacing w:line="240" w:lineRule="auto"/>
          </w:pPr>
        </w:p>
        <w:p w14:paraId="017E1069" w14:textId="77777777" w:rsidR="003D5DB4" w:rsidRPr="000D0101" w:rsidRDefault="003D5DB4" w:rsidP="000A5389">
          <w:pPr>
            <w:spacing w:line="240" w:lineRule="auto"/>
            <w:rPr>
              <w:lang w:val="es-MX"/>
            </w:rPr>
          </w:pPr>
          <w:r w:rsidRPr="000D0101">
            <w:rPr>
              <w:lang w:val="es-MX"/>
            </w:rPr>
            <w:t>f. Cambios en el acuerdo de concesión que se realicen durante el periodo fiscal</w:t>
          </w:r>
        </w:p>
        <w:p w14:paraId="5C484504" w14:textId="77777777" w:rsidR="003D5DB4" w:rsidRPr="000D0101" w:rsidRDefault="003D5DB4" w:rsidP="000A5389">
          <w:pPr>
            <w:spacing w:line="240" w:lineRule="auto"/>
            <w:rPr>
              <w:lang w:val="es-MX"/>
            </w:rPr>
          </w:pPr>
        </w:p>
        <w:p w14:paraId="5B8C7F1F" w14:textId="77777777" w:rsidR="003D5DB4" w:rsidRPr="000D0101" w:rsidRDefault="003D5DB4" w:rsidP="000A5389">
          <w:pPr>
            <w:spacing w:line="240" w:lineRule="auto"/>
          </w:pPr>
          <w:r w:rsidRPr="000D0101">
            <w:lastRenderedPageBreak/>
            <w:t>Adiciones o modificaciones en tiempo</w:t>
          </w:r>
        </w:p>
        <w:p w14:paraId="37F5B74E" w14:textId="77777777" w:rsidR="003D5DB4" w:rsidRPr="000D0101" w:rsidRDefault="003D5DB4" w:rsidP="000A5389">
          <w:pPr>
            <w:spacing w:line="240" w:lineRule="auto"/>
          </w:pPr>
          <w:r w:rsidRPr="000D0101">
            <w:t>Fechas de las adiciones o modificaciones: NA</w:t>
          </w:r>
        </w:p>
        <w:p w14:paraId="68860C84" w14:textId="77777777" w:rsidR="003D5DB4" w:rsidRPr="000D0101" w:rsidRDefault="003D5DB4" w:rsidP="000A5389">
          <w:pPr>
            <w:spacing w:line="240" w:lineRule="auto"/>
          </w:pPr>
          <w:r w:rsidRPr="000D0101">
            <w:t>Nueva fecha de finalización estimada: NA</w:t>
          </w:r>
        </w:p>
        <w:p w14:paraId="799B1458" w14:textId="77777777" w:rsidR="003D5DB4" w:rsidRPr="000D0101" w:rsidRDefault="003D5DB4" w:rsidP="000A5389">
          <w:pPr>
            <w:spacing w:line="240" w:lineRule="auto"/>
          </w:pPr>
          <w:r w:rsidRPr="000D0101">
            <w:t>Observaciones: No se tiene ninguna observación</w:t>
          </w:r>
        </w:p>
        <w:p w14:paraId="4D685F7E" w14:textId="77777777" w:rsidR="003D5DB4" w:rsidRPr="000D0101" w:rsidRDefault="003D5DB4" w:rsidP="000A5389">
          <w:pPr>
            <w:spacing w:line="240" w:lineRule="auto"/>
          </w:pPr>
          <w:r w:rsidRPr="000D0101">
            <w:t>Adiciones o modificaciones en valor</w:t>
          </w:r>
        </w:p>
        <w:p w14:paraId="3824316D" w14:textId="77777777" w:rsidR="003D5DB4" w:rsidRPr="000D0101" w:rsidRDefault="003D5DB4" w:rsidP="000A5389">
          <w:pPr>
            <w:spacing w:line="240" w:lineRule="auto"/>
          </w:pPr>
          <w:r w:rsidRPr="000D0101">
            <w:t>Valor de la adición o modificación: NA</w:t>
          </w:r>
        </w:p>
        <w:p w14:paraId="5F88F577" w14:textId="77777777" w:rsidR="003D5DB4" w:rsidRPr="000D0101" w:rsidRDefault="003D5DB4" w:rsidP="000A5389">
          <w:pPr>
            <w:spacing w:line="240" w:lineRule="auto"/>
          </w:pPr>
          <w:r w:rsidRPr="000D0101">
            <w:t>Nuevo valor del acuerdo: NA</w:t>
          </w:r>
        </w:p>
        <w:p w14:paraId="56A886EE" w14:textId="1F298849" w:rsidR="003D5DB4" w:rsidRPr="000D0101" w:rsidRDefault="003D5DB4" w:rsidP="000A5389">
          <w:pPr>
            <w:spacing w:line="240" w:lineRule="auto"/>
          </w:pPr>
          <w:r w:rsidRPr="000D0101">
            <w:t xml:space="preserve">Observaciones: NA </w:t>
          </w:r>
        </w:p>
        <w:p w14:paraId="1A4D38E5" w14:textId="77777777" w:rsidR="003D5DB4" w:rsidRPr="000D0101" w:rsidRDefault="003D5DB4" w:rsidP="000A5389">
          <w:pPr>
            <w:spacing w:line="240" w:lineRule="auto"/>
            <w:rPr>
              <w:rFonts w:eastAsia="Times New Roman"/>
              <w:lang w:eastAsia="es-CO"/>
            </w:rPr>
          </w:pPr>
        </w:p>
        <w:p w14:paraId="1F8C7A44" w14:textId="77777777" w:rsidR="003D5DB4" w:rsidRPr="000D0101" w:rsidRDefault="003D5DB4" w:rsidP="000A5389">
          <w:pPr>
            <w:spacing w:line="240" w:lineRule="auto"/>
            <w:rPr>
              <w:rFonts w:eastAsia="Times New Roman"/>
              <w:lang w:eastAsia="es-CO"/>
            </w:rPr>
          </w:pPr>
        </w:p>
        <w:p w14:paraId="6B3B4AB5" w14:textId="77777777" w:rsidR="003D5DB4" w:rsidRPr="000D0101" w:rsidRDefault="003D5DB4" w:rsidP="000A5389">
          <w:pPr>
            <w:spacing w:line="240" w:lineRule="auto"/>
            <w:rPr>
              <w:rFonts w:eastAsia="Times New Roman"/>
              <w:lang w:eastAsia="es-CO"/>
            </w:rPr>
          </w:pPr>
          <w:r w:rsidRPr="00C933C5">
            <w:rPr>
              <w:rFonts w:eastAsia="Times New Roman"/>
              <w:i/>
              <w:iCs/>
              <w:lang w:eastAsia="es-CO"/>
            </w:rPr>
            <w:t>SOCIEDAD PORTUARIA REGIONAL TUMACO PACIFIC PORT S.A</w:t>
          </w:r>
          <w:r w:rsidRPr="000D0101">
            <w:rPr>
              <w:rFonts w:eastAsia="Times New Roman"/>
              <w:lang w:eastAsia="es-CO"/>
            </w:rPr>
            <w:t xml:space="preserve">.  </w:t>
          </w:r>
        </w:p>
        <w:p w14:paraId="5CADF0F2" w14:textId="77777777" w:rsidR="003D5DB4" w:rsidRPr="000D0101" w:rsidRDefault="003D5DB4" w:rsidP="000A5389">
          <w:pPr>
            <w:spacing w:line="240" w:lineRule="auto"/>
            <w:rPr>
              <w:rFonts w:eastAsia="Times New Roman"/>
              <w:lang w:eastAsia="es-CO"/>
            </w:rPr>
          </w:pPr>
        </w:p>
        <w:p w14:paraId="18016309" w14:textId="77777777" w:rsidR="003D5DB4" w:rsidRPr="000D0101" w:rsidRDefault="003D5DB4" w:rsidP="000A5389">
          <w:pPr>
            <w:spacing w:line="240" w:lineRule="auto"/>
          </w:pPr>
          <w:r w:rsidRPr="000D0101">
            <w:t>a. Descripción del Acuerdo</w:t>
          </w:r>
        </w:p>
        <w:p w14:paraId="0841120F" w14:textId="77777777" w:rsidR="003D5DB4" w:rsidRPr="000D0101" w:rsidRDefault="003D5DB4" w:rsidP="000A5389">
          <w:pPr>
            <w:spacing w:line="240" w:lineRule="auto"/>
          </w:pPr>
        </w:p>
        <w:p w14:paraId="435E8F5C" w14:textId="77777777" w:rsidR="003D5DB4" w:rsidRPr="000D0101" w:rsidRDefault="003D5DB4" w:rsidP="000A5389">
          <w:pPr>
            <w:spacing w:line="240" w:lineRule="auto"/>
          </w:pPr>
          <w:r w:rsidRPr="000D0101">
            <w:t xml:space="preserve">Número del Acuerdo de Concesión: </w:t>
          </w:r>
          <w:r w:rsidRPr="000D0101">
            <w:rPr>
              <w:rStyle w:val="EncabezadoCar"/>
              <w:rFonts w:cs="Times New Roman"/>
              <w:szCs w:val="24"/>
            </w:rPr>
            <w:t>002 de 2017</w:t>
          </w:r>
        </w:p>
        <w:p w14:paraId="1DAE81F5" w14:textId="77777777" w:rsidR="003D5DB4" w:rsidRPr="000D0101" w:rsidRDefault="003D5DB4" w:rsidP="000A5389">
          <w:pPr>
            <w:spacing w:line="240" w:lineRule="auto"/>
          </w:pPr>
        </w:p>
        <w:p w14:paraId="4ABC5D0F" w14:textId="77777777" w:rsidR="003D5DB4" w:rsidRDefault="003D5DB4" w:rsidP="000A5389">
          <w:pPr>
            <w:spacing w:line="240" w:lineRule="auto"/>
            <w:rPr>
              <w:rStyle w:val="EncabezadoCar"/>
              <w:rFonts w:cs="Times New Roman"/>
              <w:szCs w:val="24"/>
            </w:rPr>
          </w:pPr>
          <w:r w:rsidRPr="000D0101">
            <w:t xml:space="preserve">Objeto / Descripción: </w:t>
          </w:r>
          <w:r w:rsidRPr="000D0101">
            <w:rPr>
              <w:rStyle w:val="EncabezadoCar"/>
              <w:rFonts w:cs="Times New Roman"/>
              <w:szCs w:val="24"/>
            </w:rPr>
            <w:t>Otorgamiento al CONCESIONARIO por parte del CONCEDENTE, de una concesión para autorizar la ocupación en forma temporal y exclusiva de los bienes de uso público descritos en la CLAUSULA 2 BIENES CONCESIONADOS ubicados en aguas interiores de la bahía de Tumaco en el municipio de San Andrés de Tumaco, departamento de Nariño, con el propósito de operar, mantener y administrar el terminal marítimo a cambio de una contraprestación económica a favor del CONCEDENTE en los términos descritos en la CLAUSULA 13 – VALOR DEL CONTRATO Y DE LA CONTRAPRESTACION de este contrato.</w:t>
          </w:r>
        </w:p>
        <w:p w14:paraId="15B1DCF9" w14:textId="77777777" w:rsidR="00C933C5" w:rsidRPr="000D0101" w:rsidRDefault="00C933C5" w:rsidP="000A5389">
          <w:pPr>
            <w:spacing w:line="240" w:lineRule="auto"/>
          </w:pPr>
        </w:p>
        <w:p w14:paraId="374AE61C" w14:textId="77777777" w:rsidR="003D5DB4" w:rsidRPr="000D0101" w:rsidRDefault="003D5DB4" w:rsidP="000A5389">
          <w:pPr>
            <w:spacing w:line="240" w:lineRule="auto"/>
          </w:pPr>
          <w:r w:rsidRPr="000D0101">
            <w:t>Valor inicial: CUATRO MILLONES QUINIENTOS SESENTA Y NUEVE MIL DOSCIENTOS NOVENTA Y CUATRO DOLARES (USD $4.569.294) Constantes de diciembre de 2016, Cláusula 13 / Contrato de concesión No. 002 de 2017</w:t>
          </w:r>
        </w:p>
        <w:p w14:paraId="4F6A9BF5" w14:textId="77777777" w:rsidR="003D5DB4" w:rsidRPr="000D0101" w:rsidRDefault="003D5DB4" w:rsidP="000A5389">
          <w:pPr>
            <w:spacing w:line="240" w:lineRule="auto"/>
          </w:pPr>
          <w:r w:rsidRPr="000D0101">
            <w:t>Fecha de inicio: 4/08/2017</w:t>
          </w:r>
        </w:p>
        <w:p w14:paraId="47EDF366" w14:textId="77777777" w:rsidR="003D5DB4" w:rsidRPr="000D0101" w:rsidRDefault="003D5DB4" w:rsidP="000A5389">
          <w:pPr>
            <w:spacing w:line="240" w:lineRule="auto"/>
          </w:pPr>
          <w:r w:rsidRPr="000D0101">
            <w:t>Fecha de finalización estimada: 3/08/2047</w:t>
          </w:r>
        </w:p>
        <w:p w14:paraId="0E9F7164" w14:textId="77777777" w:rsidR="003D5DB4" w:rsidRPr="000D0101" w:rsidRDefault="003D5DB4" w:rsidP="000A5389">
          <w:pPr>
            <w:spacing w:line="240" w:lineRule="auto"/>
          </w:pPr>
          <w:r w:rsidRPr="000D0101">
            <w:t xml:space="preserve">Tipo ID: </w:t>
          </w:r>
          <w:r w:rsidRPr="000D0101">
            <w:rPr>
              <w:rStyle w:val="Estilo5"/>
              <w:rFonts w:cs="Times New Roman"/>
              <w:szCs w:val="24"/>
            </w:rPr>
            <w:t>NIT</w:t>
          </w:r>
        </w:p>
        <w:p w14:paraId="15CDBAEF" w14:textId="77777777" w:rsidR="003D5DB4" w:rsidRPr="000D0101" w:rsidRDefault="003D5DB4" w:rsidP="000A5389">
          <w:pPr>
            <w:spacing w:line="240" w:lineRule="auto"/>
          </w:pPr>
          <w:r w:rsidRPr="000D0101">
            <w:t xml:space="preserve">Número ID: </w:t>
          </w:r>
          <w:r w:rsidRPr="000D0101">
            <w:rPr>
              <w:rStyle w:val="Estilo6"/>
              <w:rFonts w:cs="Times New Roman"/>
              <w:szCs w:val="24"/>
            </w:rPr>
            <w:t>901057588-2</w:t>
          </w:r>
        </w:p>
        <w:p w14:paraId="10891FBF" w14:textId="77777777" w:rsidR="003D5DB4" w:rsidRPr="000D0101" w:rsidRDefault="003D5DB4" w:rsidP="000A5389">
          <w:pPr>
            <w:spacing w:line="240" w:lineRule="auto"/>
          </w:pPr>
          <w:r w:rsidRPr="000D0101">
            <w:t>Razón social del concesionario: Sociedad Portuaria Regional Tumaco Pacific Port S.A.</w:t>
          </w:r>
        </w:p>
        <w:p w14:paraId="77938959" w14:textId="77777777" w:rsidR="003D5DB4" w:rsidRPr="000D0101" w:rsidRDefault="003D5DB4" w:rsidP="000A5389">
          <w:pPr>
            <w:spacing w:line="240" w:lineRule="auto"/>
          </w:pPr>
          <w:r w:rsidRPr="000D0101">
            <w:t>Nombre del proyecto: Sociedad Portuaria Regional Tumaco Pacific Port S.A.</w:t>
          </w:r>
        </w:p>
        <w:p w14:paraId="7209068D" w14:textId="77777777" w:rsidR="003D5DB4" w:rsidRPr="000D0101" w:rsidRDefault="003D5DB4" w:rsidP="000A5389">
          <w:pPr>
            <w:spacing w:line="240" w:lineRule="auto"/>
            <w:rPr>
              <w:lang w:val="es-MX"/>
            </w:rPr>
          </w:pPr>
        </w:p>
        <w:p w14:paraId="5F4D4CBA" w14:textId="77777777" w:rsidR="003D5DB4" w:rsidRPr="000D0101" w:rsidRDefault="003D5DB4" w:rsidP="000A5389">
          <w:pPr>
            <w:spacing w:line="240" w:lineRule="auto"/>
            <w:rPr>
              <w:lang w:val="es-MX"/>
            </w:rPr>
          </w:pPr>
          <w:r w:rsidRPr="000D0101">
            <w:rPr>
              <w:lang w:val="es-MX"/>
            </w:rPr>
            <w:t>b. Términos significativos del Acuerdo que puedan afectar su valor, el calendario y la certeza de los flujos</w:t>
          </w:r>
        </w:p>
        <w:p w14:paraId="33855F00" w14:textId="77777777" w:rsidR="003D5DB4" w:rsidRPr="000D0101" w:rsidRDefault="003D5DB4" w:rsidP="000A5389">
          <w:pPr>
            <w:spacing w:line="240" w:lineRule="auto"/>
          </w:pPr>
        </w:p>
        <w:p w14:paraId="1E9A5E44" w14:textId="1FFCD07D" w:rsidR="003D5DB4" w:rsidRPr="000D0101" w:rsidRDefault="003D5DB4" w:rsidP="000A5389">
          <w:pPr>
            <w:spacing w:line="240" w:lineRule="auto"/>
          </w:pPr>
          <w:r w:rsidRPr="000D0101">
            <w:t xml:space="preserve">Términos de valor: 1) Tarifas: Al ser el terminal marítimo de servicio público, las tarifas requieren ser aprobadas según metodología establecida por la Superintendencia General de Puertos hoy Superintendencia de Transporte.2) Contraprestación portuaria: De acuerdo con el contrato de concesión No. 002 de 2017, la metodología de contraprestación corresponde al Conpes 3744 de 2013. A febrero de 2024, el CONCESIONARIO debió pagar la suma de USD 680.235 por deuda por contraprestación.  El numeral 13.1 de la Cláusula 13 del contrato </w:t>
          </w:r>
          <w:r w:rsidRPr="000D0101">
            <w:lastRenderedPageBreak/>
            <w:t>establece que por el pago de contraprestación por el uso y goce temporal y exclusivo de las zonas de uso público la Nación (INVIAS-ANI) recibirá el 80% y el municipio de Tumaco el restante 20% de acuerdo con lo establecido en el parágrafo 1 del artículo 1 de la Ley 856 del 21 de diciembre de 2003, que modifica el artículo 7 de la ley 1ª de 1991. Las contraprestaciones por el uso de la infraestructura le corresponden el 100% a la Nación (INVIAS-ANI).3) Plan de Inversiones: Está establecido en la Cláusula 12 del contrato y modificado por el otrosí 1 al contrato de concesión  el plan de inversión será de CINCO MILLONES CIENTO VEINTINUEVE MIL SEISCIENTOS CUARENTA Y DOS DOLARES DE LOS ESTADOS UNIDOS CON DIECISEIS CENTAVOS DE DÓLAR (USD 5.129.642,16), constante de diciembre de 20164) Obligaciones del CONCESIONARIO: se encuentran descritas en la Cláusula 20 del contrato. 5) Multas y sanciones: están establecidas en la Cláusula 23 del contrato.6) Penal Pecuniaria: En la Cláusula 24 se establece que en el evento en que el concedente declare la caducidad o el incumplimiento del contrato, el Concesionario deberá pagar la suma equivalente al 10% del valor total de la contraprestación, o proporcionalmente por incumplimiento parcial, como sanción pecuniaria.</w:t>
          </w:r>
        </w:p>
        <w:p w14:paraId="231F1352" w14:textId="77777777" w:rsidR="003D5DB4" w:rsidRPr="000D0101" w:rsidRDefault="003D5DB4" w:rsidP="000A5389">
          <w:pPr>
            <w:spacing w:line="240" w:lineRule="auto"/>
          </w:pPr>
        </w:p>
        <w:p w14:paraId="7A35089A" w14:textId="77777777" w:rsidR="003D5DB4" w:rsidRPr="000D0101" w:rsidRDefault="003D5DB4" w:rsidP="000A5389">
          <w:pPr>
            <w:spacing w:line="240" w:lineRule="auto"/>
          </w:pPr>
          <w:r w:rsidRPr="000D0101">
            <w:t>Términos de calendario: Tarifas: Aprobadas según la metodología establecida por la Superintendencia General de Puertos, hoy Superintendencia de Transporte. Contraprestación portuaria: la contraprestación se debe pagar de manera anual anticipada en el mes de febrero de cada año.   Plan de inversiones: Se estableció en la Cláusula 12 del contrato, cuya ejecución de inversiones deberá corresponder a los periodos año1, año 2 y año 4. Multas: Cláusula 23 del contrato</w:t>
          </w:r>
        </w:p>
        <w:p w14:paraId="5F97F7A6" w14:textId="77777777" w:rsidR="003D5DB4" w:rsidRPr="000D0101" w:rsidRDefault="003D5DB4" w:rsidP="000A5389">
          <w:pPr>
            <w:spacing w:line="240" w:lineRule="auto"/>
          </w:pPr>
          <w:r w:rsidRPr="000D0101">
            <w:t>Términos de certeza de flujos de efectivo futuros: Se otorga a EL CONCESIONARIO el derecho de ocupar en forma temporal y exclusiva de los bienes de uso público descritos en la Cláusula 2 Bienes Concesionados ubicados en aguas interiores de la bahía de Tumaco, a cambio de la contraprestación económica de que trata la Cláusula 13 del contrato 002 de 2017.Cláusula 13, numeral 13.1, del valor a pagar por concepto de contraprestación por Zona de Uso público y componente variable el 80% le corresponde a la Nación-INVIAS y el 20 % al municipio de Cartagena y por Infraestructura el 100% a la  Nación-INVIAS.</w:t>
          </w:r>
        </w:p>
        <w:p w14:paraId="6404974F" w14:textId="77777777" w:rsidR="003D5DB4" w:rsidRPr="000D0101" w:rsidRDefault="003D5DB4" w:rsidP="000A5389">
          <w:pPr>
            <w:spacing w:line="240" w:lineRule="auto"/>
            <w:rPr>
              <w:lang w:val="es-MX"/>
            </w:rPr>
          </w:pPr>
        </w:p>
        <w:p w14:paraId="1F2DA325" w14:textId="77777777" w:rsidR="003D5DB4" w:rsidRPr="000D0101" w:rsidRDefault="003D5DB4" w:rsidP="000A5389">
          <w:pPr>
            <w:spacing w:line="240" w:lineRule="auto"/>
            <w:rPr>
              <w:lang w:val="es-MX"/>
            </w:rPr>
          </w:pPr>
          <w:r w:rsidRPr="000D0101">
            <w:rPr>
              <w:lang w:val="es-MX"/>
            </w:rPr>
            <w:t>c. Naturaleza y alcance del derecho a utilizar activos especificados y los aspectos pactados en torno a lo que se espera que el concesionario proporcione en relación con el acuerdo de concesión</w:t>
          </w:r>
        </w:p>
        <w:p w14:paraId="34D87611" w14:textId="77777777" w:rsidR="003D5DB4" w:rsidRPr="000D0101" w:rsidRDefault="003D5DB4" w:rsidP="000A5389">
          <w:pPr>
            <w:spacing w:line="240" w:lineRule="auto"/>
          </w:pPr>
        </w:p>
        <w:p w14:paraId="6F3649C8" w14:textId="77777777" w:rsidR="003D5DB4" w:rsidRPr="000D0101" w:rsidRDefault="003D5DB4" w:rsidP="000A5389">
          <w:pPr>
            <w:spacing w:line="240" w:lineRule="auto"/>
          </w:pPr>
          <w:r w:rsidRPr="000D0101">
            <w:t>Naturaleza y alcance del derecho de uso de los activos</w:t>
          </w:r>
        </w:p>
        <w:p w14:paraId="10B9752C" w14:textId="77777777" w:rsidR="003D5DB4" w:rsidRPr="000D0101" w:rsidRDefault="003D5DB4" w:rsidP="000A5389">
          <w:pPr>
            <w:spacing w:line="240" w:lineRule="auto"/>
          </w:pPr>
        </w:p>
        <w:p w14:paraId="35D0C1AC" w14:textId="77777777" w:rsidR="003D5DB4" w:rsidRPr="000D0101" w:rsidRDefault="003D5DB4" w:rsidP="000A5389">
          <w:pPr>
            <w:spacing w:line="240" w:lineRule="auto"/>
          </w:pPr>
          <w:r w:rsidRPr="000D0101">
            <w:t xml:space="preserve">Descripción: Descripción del proyecto, especificaciones técnicas, modalidades de operación: las condiciones especiales de operación del puerto están establecidas en la cláusula quinta del Contrato de Concesión Área entregada en concesión: La descripción de la ubicación, linderos y extensión de los bienes de uso público (playas y terrenos de baja mar, zonas marítimas accesorias de maniobras) entregados en concesión están establecidos en la cláusula segunda Infraestructura y equipos entregados en concesión: En la cláusula quinta del Contrato, se describe que lo entregado en concesión fue: Planta de suministro de </w:t>
          </w:r>
          <w:r w:rsidRPr="000D0101">
            <w:lastRenderedPageBreak/>
            <w:t>combustibles Tanques de almacenamiento de combustibles Tanques de almacenamiento de aceites. Bodegas para almacenamiento de carga general</w:t>
          </w:r>
        </w:p>
        <w:p w14:paraId="24A2AF2A" w14:textId="77777777" w:rsidR="003D5DB4" w:rsidRPr="000D0101" w:rsidRDefault="003D5DB4" w:rsidP="000A5389">
          <w:pPr>
            <w:spacing w:line="240" w:lineRule="auto"/>
          </w:pPr>
          <w:r w:rsidRPr="000D0101">
            <w:t>Observaciones: No se tiene ninguna observación</w:t>
          </w:r>
        </w:p>
        <w:p w14:paraId="1026A345" w14:textId="77777777" w:rsidR="003D5DB4" w:rsidRDefault="003D5DB4" w:rsidP="000A5389">
          <w:pPr>
            <w:spacing w:line="240" w:lineRule="auto"/>
          </w:pPr>
          <w:r w:rsidRPr="000D0101">
            <w:t>Retribución al concesionario</w:t>
          </w:r>
        </w:p>
        <w:p w14:paraId="0E89011B" w14:textId="77777777" w:rsidR="001B234E" w:rsidRPr="000D0101" w:rsidRDefault="001B234E" w:rsidP="000A5389">
          <w:pPr>
            <w:spacing w:line="240" w:lineRule="auto"/>
          </w:pPr>
        </w:p>
        <w:p w14:paraId="35524CB5" w14:textId="77777777" w:rsidR="003D5DB4" w:rsidRPr="000D0101" w:rsidRDefault="003D5DB4" w:rsidP="000A5389">
          <w:pPr>
            <w:spacing w:line="240" w:lineRule="auto"/>
          </w:pPr>
          <w:r w:rsidRPr="000D0101">
            <w:t>Descripción: Descripción del proyecto, especificaciones técnicas, modalidades de operación: las condiciones especiales de operación del puerto están establecidas en la cláusula quinta del Contrato de Concesión Área entregada en concesión: La descripción de la ubicación, linderos y extensión de los bienes de uso público (playas y terrenos de baja mar, zonas marítimas accesorias de maniobras) entregados en concesión están establecidos en la cláusula segunda Infraestructura y equipos entregados en concesión: En la cláusula quinta del Contrato, se describe que lo entregado en concesión fue: Planta de suministro de combustibles Tanques de almacenamiento de combustibles  Tanques de almacenamiento de aceites. Bodegas para almacenamiento de carga general</w:t>
          </w:r>
        </w:p>
        <w:p w14:paraId="31558FE6" w14:textId="77777777" w:rsidR="003D5DB4" w:rsidRPr="000D0101" w:rsidRDefault="003D5DB4" w:rsidP="000A5389">
          <w:pPr>
            <w:spacing w:line="240" w:lineRule="auto"/>
          </w:pPr>
          <w:r w:rsidRPr="000D0101">
            <w:t xml:space="preserve">Tasa de retribución: </w:t>
          </w:r>
          <w:r w:rsidRPr="000D0101">
            <w:rPr>
              <w:rStyle w:val="Estilo6"/>
              <w:rFonts w:cs="Times New Roman"/>
              <w:szCs w:val="24"/>
            </w:rPr>
            <w:t>N/A</w:t>
          </w:r>
        </w:p>
        <w:p w14:paraId="3A7E43B8" w14:textId="77777777" w:rsidR="003D5DB4" w:rsidRPr="000D0101" w:rsidRDefault="003D5DB4" w:rsidP="000A5389">
          <w:pPr>
            <w:spacing w:line="240" w:lineRule="auto"/>
          </w:pPr>
        </w:p>
        <w:p w14:paraId="18F8C988" w14:textId="77777777" w:rsidR="003D5DB4" w:rsidRPr="000D0101" w:rsidRDefault="003D5DB4" w:rsidP="000A5389">
          <w:pPr>
            <w:spacing w:line="240" w:lineRule="auto"/>
          </w:pPr>
          <w:r w:rsidRPr="000D0101">
            <w:t>d. Derechos a recibir activos especificados al final del acuerdo de concesión</w:t>
          </w:r>
        </w:p>
        <w:p w14:paraId="1B581829" w14:textId="77777777" w:rsidR="003D5DB4" w:rsidRPr="000D0101" w:rsidRDefault="003D5DB4" w:rsidP="000A5389">
          <w:pPr>
            <w:spacing w:line="240" w:lineRule="auto"/>
          </w:pPr>
        </w:p>
        <w:p w14:paraId="1DA3A7C0" w14:textId="77777777" w:rsidR="003D5DB4" w:rsidRPr="000D0101" w:rsidRDefault="003D5DB4" w:rsidP="000A5389">
          <w:pPr>
            <w:spacing w:line="240" w:lineRule="auto"/>
          </w:pPr>
          <w:r w:rsidRPr="000D0101">
            <w:t>Descripción: De acuerdo con el Artículo 8º de la Ley 1 de 1991 en el modo portuario el concesionario no tiene derechos finales sobre activos los debe revertir a la Nación al final del contrato de concesión</w:t>
          </w:r>
        </w:p>
        <w:p w14:paraId="2A6735D6" w14:textId="77777777" w:rsidR="003D5DB4" w:rsidRPr="000D0101" w:rsidRDefault="003D5DB4" w:rsidP="000A5389">
          <w:pPr>
            <w:spacing w:line="240" w:lineRule="auto"/>
          </w:pPr>
          <w:r w:rsidRPr="000D0101">
            <w:t>Observaciones: Reversión: De acuerdo con lo establecido en la cláusula trigésima cuarta del contrato de concesión, todas las construcciones e inmuebles por destinación, que se encuentren instalados en la zona de uso público otorgada en concesión revertirán gratuitamente por el Concesionario. Para tal fin, en el momento de la reversión el CONCESIONARIO elaborará un inventario de los bienes y los enviará para su revisión y aprobación. La ANI es la entidad concedente pero la titularidad de los activos al final de la concesión es del Instituto Nacional de Vías INVIAS</w:t>
          </w:r>
        </w:p>
        <w:p w14:paraId="5489185A" w14:textId="77777777" w:rsidR="003D5DB4" w:rsidRPr="000D0101" w:rsidRDefault="003D5DB4" w:rsidP="000A5389">
          <w:pPr>
            <w:spacing w:line="240" w:lineRule="auto"/>
          </w:pPr>
          <w:r w:rsidRPr="000D0101">
            <w:t>e. Las alternativas de renovación y cese del Acuerdo</w:t>
          </w:r>
        </w:p>
        <w:p w14:paraId="2A7804B8" w14:textId="77777777" w:rsidR="003D5DB4" w:rsidRPr="000D0101" w:rsidRDefault="003D5DB4" w:rsidP="000A5389">
          <w:pPr>
            <w:spacing w:line="240" w:lineRule="auto"/>
          </w:pPr>
        </w:p>
        <w:p w14:paraId="5959E062" w14:textId="77777777" w:rsidR="003D5DB4" w:rsidRPr="000D0101" w:rsidRDefault="003D5DB4" w:rsidP="000A5389">
          <w:pPr>
            <w:spacing w:line="240" w:lineRule="auto"/>
          </w:pPr>
          <w:r w:rsidRPr="000D0101">
            <w:t>Descripción: La prórroga de la Concesión se encuentra en la CLÁUSULA 11. El cese del acuerdo se encuentra en la CLÁUSULA 30 y CLÁUSULA 33 del Contrato de Concesión.</w:t>
          </w:r>
        </w:p>
        <w:p w14:paraId="6801EBC3" w14:textId="77777777" w:rsidR="003D5DB4" w:rsidRPr="000D0101" w:rsidRDefault="003D5DB4" w:rsidP="000A5389">
          <w:pPr>
            <w:spacing w:line="240" w:lineRule="auto"/>
            <w:rPr>
              <w:rStyle w:val="Estilo3"/>
              <w:rFonts w:cs="Times New Roman"/>
              <w:szCs w:val="24"/>
            </w:rPr>
          </w:pPr>
          <w:r w:rsidRPr="000D0101">
            <w:t>Observaciones: No se tiene ninguna observación</w:t>
          </w:r>
        </w:p>
        <w:p w14:paraId="2CBE81B7" w14:textId="77777777" w:rsidR="003D5DB4" w:rsidRPr="000D0101" w:rsidRDefault="003D5DB4" w:rsidP="000A5389">
          <w:pPr>
            <w:spacing w:line="240" w:lineRule="auto"/>
          </w:pPr>
        </w:p>
        <w:p w14:paraId="23831636" w14:textId="77777777" w:rsidR="003D5DB4" w:rsidRPr="000D0101" w:rsidRDefault="003D5DB4" w:rsidP="000A5389">
          <w:pPr>
            <w:spacing w:line="240" w:lineRule="auto"/>
            <w:rPr>
              <w:lang w:val="es-MX"/>
            </w:rPr>
          </w:pPr>
          <w:r w:rsidRPr="000D0101">
            <w:rPr>
              <w:lang w:val="es-MX"/>
            </w:rPr>
            <w:t>f. Cambios en el acuerdo de concesión que se realicen durante el periodo fiscal</w:t>
          </w:r>
        </w:p>
        <w:p w14:paraId="76F7C917" w14:textId="77777777" w:rsidR="003D5DB4" w:rsidRPr="000D0101" w:rsidRDefault="003D5DB4" w:rsidP="000A5389">
          <w:pPr>
            <w:spacing w:line="240" w:lineRule="auto"/>
            <w:rPr>
              <w:lang w:val="es-MX"/>
            </w:rPr>
          </w:pPr>
        </w:p>
        <w:p w14:paraId="1AEA6F65" w14:textId="77777777" w:rsidR="003D5DB4" w:rsidRPr="000D0101" w:rsidRDefault="003D5DB4" w:rsidP="000A5389">
          <w:pPr>
            <w:spacing w:line="240" w:lineRule="auto"/>
          </w:pPr>
          <w:r w:rsidRPr="000D0101">
            <w:t>Adiciones o modificaciones en tiempo</w:t>
          </w:r>
        </w:p>
        <w:p w14:paraId="2EC028DE" w14:textId="77777777" w:rsidR="003D5DB4" w:rsidRPr="000D0101" w:rsidRDefault="003D5DB4" w:rsidP="000A5389">
          <w:pPr>
            <w:spacing w:line="240" w:lineRule="auto"/>
          </w:pPr>
          <w:r w:rsidRPr="000D0101">
            <w:t>Fechas de las adiciones o modificaciones: 03/08/2021 Otrosí N° 1</w:t>
          </w:r>
        </w:p>
        <w:p w14:paraId="1CECA8D0" w14:textId="77777777" w:rsidR="003D5DB4" w:rsidRPr="000D0101" w:rsidRDefault="003D5DB4" w:rsidP="000A5389">
          <w:pPr>
            <w:spacing w:line="240" w:lineRule="auto"/>
          </w:pPr>
          <w:r w:rsidRPr="000D0101">
            <w:t>Nueva fecha de finalización estimada: No aplica</w:t>
          </w:r>
        </w:p>
        <w:p w14:paraId="3E14F713" w14:textId="77777777" w:rsidR="003D5DB4" w:rsidRPr="000D0101" w:rsidRDefault="003D5DB4" w:rsidP="000A5389">
          <w:pPr>
            <w:spacing w:line="240" w:lineRule="auto"/>
          </w:pPr>
          <w:r w:rsidRPr="000D0101">
            <w:t>Observaciones: No se tiene ninguna observación</w:t>
          </w:r>
        </w:p>
        <w:p w14:paraId="455760A1" w14:textId="77777777" w:rsidR="003D5DB4" w:rsidRPr="000D0101" w:rsidRDefault="003D5DB4" w:rsidP="000A5389">
          <w:pPr>
            <w:spacing w:line="240" w:lineRule="auto"/>
          </w:pPr>
          <w:r w:rsidRPr="000D0101">
            <w:t>Adiciones o modificaciones en valor</w:t>
          </w:r>
        </w:p>
        <w:p w14:paraId="4422DA54" w14:textId="77777777" w:rsidR="003D5DB4" w:rsidRPr="000D0101" w:rsidRDefault="003D5DB4" w:rsidP="000A5389">
          <w:pPr>
            <w:spacing w:line="240" w:lineRule="auto"/>
            <w:rPr>
              <w:rStyle w:val="Estilo6"/>
              <w:rFonts w:cs="Times New Roman"/>
              <w:b/>
              <w:bCs/>
              <w:szCs w:val="24"/>
            </w:rPr>
          </w:pPr>
          <w:r w:rsidRPr="000D0101">
            <w:t xml:space="preserve">Valor de la adición o modificación: </w:t>
          </w:r>
          <w:r w:rsidRPr="000D0101">
            <w:rPr>
              <w:rStyle w:val="Estilo6"/>
              <w:rFonts w:cs="Times New Roman"/>
              <w:szCs w:val="24"/>
            </w:rPr>
            <w:t>N/A</w:t>
          </w:r>
        </w:p>
        <w:p w14:paraId="081E9A31" w14:textId="77777777" w:rsidR="003D5DB4" w:rsidRPr="000D0101" w:rsidRDefault="003D5DB4" w:rsidP="000A5389">
          <w:pPr>
            <w:spacing w:line="240" w:lineRule="auto"/>
          </w:pPr>
          <w:r w:rsidRPr="000D0101">
            <w:t xml:space="preserve">Nuevo valor del acuerdo: </w:t>
          </w:r>
          <w:r w:rsidRPr="000D0101">
            <w:rPr>
              <w:rStyle w:val="Estilo6"/>
              <w:rFonts w:cs="Times New Roman"/>
              <w:szCs w:val="24"/>
            </w:rPr>
            <w:t>N/A</w:t>
          </w:r>
        </w:p>
        <w:p w14:paraId="190DFCD4" w14:textId="77777777" w:rsidR="003D5DB4" w:rsidRPr="000D0101" w:rsidRDefault="003D5DB4" w:rsidP="000A5389">
          <w:pPr>
            <w:spacing w:line="240" w:lineRule="auto"/>
          </w:pPr>
          <w:r w:rsidRPr="000D0101">
            <w:t>Observaciones: No se tiene ninguna observación</w:t>
          </w:r>
        </w:p>
        <w:p w14:paraId="430DC4C5" w14:textId="77777777" w:rsidR="003D5DB4" w:rsidRPr="00C933C5" w:rsidRDefault="003D5DB4" w:rsidP="000A5389">
          <w:pPr>
            <w:spacing w:line="240" w:lineRule="auto"/>
            <w:rPr>
              <w:rFonts w:eastAsia="Times New Roman"/>
              <w:i/>
              <w:iCs/>
              <w:lang w:eastAsia="es-CO"/>
            </w:rPr>
          </w:pPr>
          <w:r w:rsidRPr="00C933C5">
            <w:rPr>
              <w:rFonts w:eastAsia="Times New Roman"/>
              <w:i/>
              <w:iCs/>
              <w:lang w:eastAsia="es-CO"/>
            </w:rPr>
            <w:lastRenderedPageBreak/>
            <w:t xml:space="preserve">SOCIEDAD PORTUARIA TERMINAL DE CONTENEDORES DE BUENAVENTURA S.A. - TC-BUEN </w:t>
          </w:r>
        </w:p>
        <w:p w14:paraId="02429A74" w14:textId="77777777" w:rsidR="003D5DB4" w:rsidRPr="000D0101" w:rsidRDefault="003D5DB4" w:rsidP="000A5389">
          <w:pPr>
            <w:spacing w:line="240" w:lineRule="auto"/>
          </w:pPr>
        </w:p>
        <w:p w14:paraId="502C024C" w14:textId="77777777" w:rsidR="003D5DB4" w:rsidRPr="000D0101" w:rsidRDefault="003D5DB4" w:rsidP="000A5389">
          <w:pPr>
            <w:spacing w:line="240" w:lineRule="auto"/>
          </w:pPr>
          <w:r w:rsidRPr="000D0101">
            <w:t>a. Descripción del Acuerdo</w:t>
          </w:r>
        </w:p>
        <w:p w14:paraId="4360F341" w14:textId="77777777" w:rsidR="003D5DB4" w:rsidRPr="000D0101" w:rsidRDefault="003D5DB4" w:rsidP="000A5389">
          <w:pPr>
            <w:spacing w:line="240" w:lineRule="auto"/>
          </w:pPr>
        </w:p>
        <w:p w14:paraId="7960E6B1" w14:textId="77777777" w:rsidR="003D5DB4" w:rsidRPr="000D0101" w:rsidRDefault="003D5DB4" w:rsidP="000A5389">
          <w:pPr>
            <w:spacing w:line="240" w:lineRule="auto"/>
          </w:pPr>
          <w:r w:rsidRPr="000D0101">
            <w:t>Número del Acuerdo de concesión:</w:t>
          </w:r>
          <w:r w:rsidRPr="000D0101">
            <w:tab/>
            <w:t xml:space="preserve">005 de 2007 </w:t>
          </w:r>
        </w:p>
        <w:p w14:paraId="157F0B97" w14:textId="77777777" w:rsidR="003D5DB4" w:rsidRPr="000D0101" w:rsidRDefault="003D5DB4" w:rsidP="000A5389">
          <w:pPr>
            <w:spacing w:line="240" w:lineRule="auto"/>
          </w:pPr>
        </w:p>
        <w:p w14:paraId="45EC59ED" w14:textId="77777777" w:rsidR="003D5DB4" w:rsidRPr="000D0101" w:rsidRDefault="003D5DB4" w:rsidP="000A5389">
          <w:pPr>
            <w:spacing w:line="240" w:lineRule="auto"/>
          </w:pPr>
          <w:r w:rsidRPr="000D0101">
            <w:t>Objeto / Descripción:</w:t>
          </w:r>
          <w:r w:rsidRPr="000D0101">
            <w:tab/>
            <w:t>Otorgar al Concesionario, una concesión portuaria para ocupar y utilizar en forma temporal y exclusiva la zona de uso público que incluye el sector de playa, terrenos de bajamar y las zonas accesorias a aquellas o éstos, que se encuentran ubicados al oriente del Terminal Marítimo de Buenaventura – Valle del Cauca, entre los esteros de El Piñal, El Aguacate y Brazo Angosto del municipio de Buenaventura – Valle del Cauca, hasta el 21 de agosto de 2044, a cambio de la contraprestación establecida en la Cláusula Cuarta del Otrosí 3 del 2014, para que construya, opere y mantenga la infraestructura de un Terminal de servicio público especializado en la prestación de servicios portuarios de manejo y almacenamiento de carga general y en contenedores, ubicado en jurisdicción de la ciudad de Buenaventura – Valle del Cauca.</w:t>
          </w:r>
        </w:p>
        <w:p w14:paraId="1742AA2C" w14:textId="77777777" w:rsidR="003D5DB4" w:rsidRPr="000D0101" w:rsidRDefault="003D5DB4" w:rsidP="000A5389">
          <w:pPr>
            <w:spacing w:line="240" w:lineRule="auto"/>
          </w:pPr>
        </w:p>
        <w:p w14:paraId="738721FD" w14:textId="77777777" w:rsidR="003D5DB4" w:rsidRPr="000D0101" w:rsidRDefault="003D5DB4" w:rsidP="000A5389">
          <w:pPr>
            <w:spacing w:line="240" w:lineRule="auto"/>
          </w:pPr>
          <w:r w:rsidRPr="000D0101">
            <w:t>Valor inicial:</w:t>
          </w:r>
          <w:r w:rsidRPr="000D0101">
            <w:tab/>
            <w:t>USD $4.331.762, a valor presente, liquidados a la TRM del día de Pago. Cláusula octava / Contrato No. 005 de 2007. Valor actualizado: USD$13.457.197 Clausula 4, Otrosí 3 de 2014</w:t>
          </w:r>
        </w:p>
        <w:p w14:paraId="222FD61B" w14:textId="77777777" w:rsidR="003D5DB4" w:rsidRPr="000D0101" w:rsidRDefault="003D5DB4" w:rsidP="000A5389">
          <w:pPr>
            <w:spacing w:line="240" w:lineRule="auto"/>
          </w:pPr>
        </w:p>
        <w:p w14:paraId="20359291" w14:textId="77777777" w:rsidR="003D5DB4" w:rsidRPr="000D0101" w:rsidRDefault="003D5DB4" w:rsidP="000A5389">
          <w:pPr>
            <w:spacing w:line="240" w:lineRule="auto"/>
          </w:pPr>
          <w:r w:rsidRPr="000D0101">
            <w:t>Fecha de inicio: 22/06/2007</w:t>
          </w:r>
        </w:p>
        <w:p w14:paraId="42448677" w14:textId="77777777" w:rsidR="003D5DB4" w:rsidRPr="000D0101" w:rsidRDefault="003D5DB4" w:rsidP="000A5389">
          <w:pPr>
            <w:spacing w:line="240" w:lineRule="auto"/>
          </w:pPr>
          <w:r w:rsidRPr="000D0101">
            <w:t>Fecha de finalización estimada: 21/08/2044</w:t>
          </w:r>
        </w:p>
        <w:p w14:paraId="59E74923" w14:textId="77777777" w:rsidR="003D5DB4" w:rsidRPr="000D0101" w:rsidRDefault="003D5DB4" w:rsidP="000A5389">
          <w:pPr>
            <w:spacing w:line="240" w:lineRule="auto"/>
          </w:pPr>
          <w:r w:rsidRPr="000D0101">
            <w:t>Tipo ID: NIT</w:t>
          </w:r>
        </w:p>
        <w:p w14:paraId="18EDAF9D" w14:textId="77777777" w:rsidR="003D5DB4" w:rsidRPr="000D0101" w:rsidRDefault="003D5DB4" w:rsidP="000A5389">
          <w:pPr>
            <w:spacing w:line="240" w:lineRule="auto"/>
          </w:pPr>
          <w:r w:rsidRPr="000D0101">
            <w:t>Número ID: 900.096.574-2</w:t>
          </w:r>
        </w:p>
        <w:p w14:paraId="7176E316" w14:textId="77777777" w:rsidR="003D5DB4" w:rsidRPr="000D0101" w:rsidRDefault="003D5DB4" w:rsidP="000A5389">
          <w:pPr>
            <w:spacing w:line="240" w:lineRule="auto"/>
          </w:pPr>
          <w:r w:rsidRPr="000D0101">
            <w:t>Razón social del concesionario: Sociedad Portuaria Terminal de Contenedores de Buenaventura S.A.</w:t>
          </w:r>
        </w:p>
        <w:p w14:paraId="78F2C703" w14:textId="77777777" w:rsidR="003D5DB4" w:rsidRPr="000D0101" w:rsidRDefault="003D5DB4" w:rsidP="000A5389">
          <w:pPr>
            <w:spacing w:line="240" w:lineRule="auto"/>
          </w:pPr>
          <w:r w:rsidRPr="000D0101">
            <w:t>Nombre del proyecto: Sociedad Portuaria Terminal de Contenedores de Buenaventura S.A.</w:t>
          </w:r>
        </w:p>
        <w:p w14:paraId="14C9C065" w14:textId="77777777" w:rsidR="003D5DB4" w:rsidRPr="000D0101" w:rsidRDefault="003D5DB4" w:rsidP="000A5389">
          <w:pPr>
            <w:spacing w:line="240" w:lineRule="auto"/>
          </w:pPr>
        </w:p>
        <w:p w14:paraId="1AE69160" w14:textId="77777777" w:rsidR="003D5DB4" w:rsidRPr="000D0101" w:rsidRDefault="003D5DB4" w:rsidP="000A5389">
          <w:pPr>
            <w:spacing w:line="240" w:lineRule="auto"/>
          </w:pPr>
          <w:r w:rsidRPr="000D0101">
            <w:t>b. Términos significativos del Acuerdo que puedan afectar su valor, el calendario y la certeza de los flujos de efectivo futuros</w:t>
          </w:r>
        </w:p>
        <w:p w14:paraId="1A63C993" w14:textId="77777777" w:rsidR="003D5DB4" w:rsidRPr="000D0101" w:rsidRDefault="003D5DB4" w:rsidP="000A5389">
          <w:pPr>
            <w:spacing w:line="240" w:lineRule="auto"/>
          </w:pPr>
        </w:p>
        <w:p w14:paraId="0138BAA3" w14:textId="77777777" w:rsidR="003D5DB4" w:rsidRPr="000D0101" w:rsidRDefault="003D5DB4" w:rsidP="000A5389">
          <w:pPr>
            <w:spacing w:line="240" w:lineRule="auto"/>
          </w:pPr>
          <w:r w:rsidRPr="000D0101">
            <w:t xml:space="preserve">Términos de valor: 1: Tarifas: Al ser el terminal marítimo de servicio público la Ley 1 de 1991 establece: Las sociedades portuarias que operan puertos de servicio público las tarifas requieren ser aprobadas según la metodología establecida por la Superintendencia General de Puertos hoy Superintendencia de Transporte.2: Contraprestación portuaria: De acuerdo con el último documento contractual vigente la metodología de contraprestación vigente es CONPES 3744 de 2013 (Componentes Fijo y Variable. A febrero de 2025 el CONCESIONARIO pagó por concepto de contraprestación la suma de USD $2.885.200,8. El valor correspondiente a la contraprestación por zona de uso público resultará de la diferencia entre el valor de la liquidación total y el valor de la infraestructura. Y el recaudo se realizará de conformidad con la ley 856 de 2003, es decir, ZUP el 80% le corresponde a la Nación Instituto nacional de vías (INVIAS) y el 20% restante al distrito de Buenaventura. 3: </w:t>
          </w:r>
          <w:r w:rsidRPr="000D0101">
            <w:lastRenderedPageBreak/>
            <w:t>Plan de Inversiones: Está establecido en la cláusula séptima del contrato, modificado por el Otrosí No.3 de 2014 que estableció en la cláusula tercera, el plan de inversión será de USD 283.244.345 en valores constantes de 2006.Obligaciones del CONCESIONARIO: se encuentran descritas en la cláusula décima quinta del Contrato 005 de 2007.Multas y sanciones: Están establecidas en la cláusula décima octava del contrato 005 de 2007. Penal pecuniario: En la cláusula décima novena se establece que en el evento en que el INCO hoy ANI declare la caducidad o el incumplimiento del presente contrato se podrá imponer una penalidad pecuniaria.</w:t>
          </w:r>
        </w:p>
        <w:p w14:paraId="785CB576" w14:textId="77777777" w:rsidR="003D5DB4" w:rsidRPr="000D0101" w:rsidRDefault="003D5DB4" w:rsidP="000A5389">
          <w:pPr>
            <w:spacing w:line="240" w:lineRule="auto"/>
          </w:pPr>
        </w:p>
        <w:p w14:paraId="17AA5D31" w14:textId="77777777" w:rsidR="003D5DB4" w:rsidRPr="000D0101" w:rsidRDefault="003D5DB4" w:rsidP="000A5389">
          <w:pPr>
            <w:spacing w:line="240" w:lineRule="auto"/>
          </w:pPr>
          <w:r w:rsidRPr="000D0101">
            <w:t>Términos de calendario: 1: Tarifas: Aprobadas según la metodología establecida por la Superintendencia General de Puertos hoy Superintendencia de Transporte.</w:t>
          </w:r>
        </w:p>
        <w:p w14:paraId="7DC5E069" w14:textId="77777777" w:rsidR="003D5DB4" w:rsidRPr="000D0101" w:rsidRDefault="003D5DB4" w:rsidP="000A5389">
          <w:pPr>
            <w:spacing w:line="240" w:lineRule="auto"/>
          </w:pPr>
        </w:p>
        <w:p w14:paraId="2B3F2484" w14:textId="77777777" w:rsidR="003D5DB4" w:rsidRPr="000D0101" w:rsidRDefault="003D5DB4" w:rsidP="000A5389">
          <w:pPr>
            <w:spacing w:line="240" w:lineRule="auto"/>
          </w:pPr>
          <w:r w:rsidRPr="000D0101">
            <w:t>2: Contraprestación portuaria: Contraprestación portuaria: Anexo 2 Conpes 3744 de 2013 “(…) Antes de finalizar los meses de febrero cada concesionario deberá corregir su liquidación del año anterior según el movimiento de carga real y la indexación del valor de referencia por metro cuadrado, del avalúo de la infraestructura concesionada y de los cargos, así como realizar el pago anticipado del año en curso con base en lo proyectado en el FCL definitivo”</w:t>
          </w:r>
        </w:p>
        <w:p w14:paraId="3068A5E9" w14:textId="77777777" w:rsidR="003D5DB4" w:rsidRPr="000D0101" w:rsidRDefault="003D5DB4" w:rsidP="000A5389">
          <w:pPr>
            <w:spacing w:line="240" w:lineRule="auto"/>
          </w:pPr>
        </w:p>
        <w:p w14:paraId="39B199D6" w14:textId="77777777" w:rsidR="003D5DB4" w:rsidRPr="000D0101" w:rsidRDefault="003D5DB4" w:rsidP="000A5389">
          <w:pPr>
            <w:spacing w:line="240" w:lineRule="auto"/>
          </w:pPr>
          <w:r w:rsidRPr="000D0101">
            <w:t>3: Plan de inversiones: Está establecido en la cláusula séptima del contrato, modificado por la Otrosí No.3 de 2014 que estableció en la cláusula tercera en el periodo comprendido entre los años 2008 a 2015.</w:t>
          </w:r>
        </w:p>
        <w:p w14:paraId="6D677770" w14:textId="77777777" w:rsidR="003D5DB4" w:rsidRPr="000D0101" w:rsidRDefault="003D5DB4" w:rsidP="000A5389">
          <w:pPr>
            <w:spacing w:line="240" w:lineRule="auto"/>
          </w:pPr>
        </w:p>
        <w:p w14:paraId="355DF594" w14:textId="77777777" w:rsidR="003D5DB4" w:rsidRPr="000D0101" w:rsidRDefault="003D5DB4" w:rsidP="000A5389">
          <w:pPr>
            <w:spacing w:line="240" w:lineRule="auto"/>
          </w:pPr>
        </w:p>
        <w:p w14:paraId="70A30C33" w14:textId="77777777" w:rsidR="003D5DB4" w:rsidRPr="000D0101" w:rsidRDefault="003D5DB4" w:rsidP="000A5389">
          <w:pPr>
            <w:spacing w:line="240" w:lineRule="auto"/>
          </w:pPr>
          <w:r w:rsidRPr="000D0101">
            <w:t xml:space="preserve">4. Multas y sanciones: Están establecidas en la cláusula décima octava del contrato 005 de 2007. </w:t>
          </w:r>
        </w:p>
        <w:p w14:paraId="3A17EDC6" w14:textId="77777777" w:rsidR="003D5DB4" w:rsidRPr="000D0101" w:rsidRDefault="003D5DB4" w:rsidP="000A5389">
          <w:pPr>
            <w:spacing w:line="240" w:lineRule="auto"/>
          </w:pPr>
        </w:p>
        <w:p w14:paraId="4309987A" w14:textId="77777777" w:rsidR="003D5DB4" w:rsidRPr="000D0101" w:rsidRDefault="003D5DB4" w:rsidP="000A5389">
          <w:pPr>
            <w:spacing w:line="240" w:lineRule="auto"/>
          </w:pPr>
          <w:r w:rsidRPr="000D0101">
            <w:t xml:space="preserve">Términos de certeza de flujos de efectivo futuros: En virtud del Contrato de concesión y sus modificaciones, se permite al CONCESIONARIO ocupar y utilizar en forma temporal y exclusiva la zona de uso público que incluye el sector de playa, terrenos de bajamar y zonas accesoria a aquellas o estos, que se encuentren ubicados al oriente del Terminal Marítimo de Buenaventura-Valle del Cauca, entre los esteros de El Piñal, El Aguacate y Brazo Angosto del municipio de Buenaventura- Valle del Cauca, por el termino establecido en la Cláusula Sexta del Otrosí No 03 de 2014, a cambio de la contraprestación establecida en la Cláusula cuarta del mismo. Cláusula cuarta numeral 8.3 establece lo indicado en el parágrafo 1ª del artículo 1ª de la Ley 856 de diciembre del 2003 que modifica el artículo 7 de la Ley 1ª de 1991 en la cual el ochenta por ciento (80%) de la misma que corresponde a la NACIÓN- Instituto Nacional de Vías y el veinte por ciento (20%) restante al Municipio de Buenaventura. En virtud del Contrato de concesión y sus modificaciones, se permite al CONCESIONARIO ocupar y utilizar en forma temporal y exclusiva la zona de uso público que incluye el sector de playa, terrenos de bajamar y zonas accesoria a aquellas o estos, que se encuentren ubicados al oriente del Terminal Marítimo de Buenaventura-Valle del Cauca, entre los esteros de El Piñal, El Aguacate y Brazo Angosto del municipio de Buenaventura- </w:t>
          </w:r>
          <w:r w:rsidRPr="000D0101">
            <w:lastRenderedPageBreak/>
            <w:t>Valle del Cauca, por el termino establecido en la Cláusula Sexta del Otrosí No 03 de 2014, a cambio de la contraprestación establecida en la Cláusula cuarta del mismo..</w:t>
          </w:r>
        </w:p>
        <w:p w14:paraId="622B481A" w14:textId="77777777" w:rsidR="003D5DB4" w:rsidRPr="000D0101" w:rsidRDefault="003D5DB4" w:rsidP="000A5389">
          <w:pPr>
            <w:spacing w:line="240" w:lineRule="auto"/>
          </w:pPr>
        </w:p>
        <w:p w14:paraId="3179E7BC" w14:textId="77777777" w:rsidR="003D5DB4" w:rsidRPr="000D0101" w:rsidRDefault="003D5DB4" w:rsidP="000A5389">
          <w:pPr>
            <w:spacing w:line="240" w:lineRule="auto"/>
          </w:pPr>
          <w:r w:rsidRPr="000D0101">
            <w:t>c. Naturaleza y alcance del derecho a utilizar Activos y los aspectos pactados en torno a lo que se espera que el concesionario proporcione en relación con el Acuerdo de concesión</w:t>
          </w:r>
        </w:p>
        <w:p w14:paraId="2CBBEC6B" w14:textId="77777777" w:rsidR="003D5DB4" w:rsidRPr="000D0101" w:rsidRDefault="003D5DB4" w:rsidP="000A5389">
          <w:pPr>
            <w:spacing w:line="240" w:lineRule="auto"/>
          </w:pPr>
        </w:p>
        <w:p w14:paraId="40698589" w14:textId="77777777" w:rsidR="003D5DB4" w:rsidRPr="000D0101" w:rsidRDefault="003D5DB4" w:rsidP="000A5389">
          <w:pPr>
            <w:spacing w:line="240" w:lineRule="auto"/>
          </w:pPr>
          <w:r w:rsidRPr="000D0101">
            <w:t>Naturaleza y alcance del derecho de uso de los Activos</w:t>
          </w:r>
        </w:p>
        <w:p w14:paraId="2B34A93E" w14:textId="77777777" w:rsidR="003D5DB4" w:rsidRPr="000D0101" w:rsidRDefault="003D5DB4" w:rsidP="000A5389">
          <w:pPr>
            <w:spacing w:line="240" w:lineRule="auto"/>
          </w:pPr>
        </w:p>
        <w:p w14:paraId="20144107" w14:textId="5E50ACB7" w:rsidR="003D5DB4" w:rsidRPr="000D0101" w:rsidRDefault="003D5DB4" w:rsidP="000A5389">
          <w:pPr>
            <w:spacing w:line="240" w:lineRule="auto"/>
          </w:pPr>
          <w:r w:rsidRPr="000D0101">
            <w:t>Descripción:</w:t>
          </w:r>
          <w:r w:rsidRPr="000D0101">
            <w:tab/>
            <w:t>Descripción del proyecto, especificaciones técnicas, modalidades de operación: las condiciones especiales de operación del puerto están establecidas en la cláusula quinta del Contrato de Concesión No.005 de 2007 y cláusula segunda de su Otrosí No.3 de 2014Área entregada en concesión: La descripción de la ubicación, linderos y extensión de los bienes de uso público (playas y terrenos de baja mar, zonas marítimas accesorias de maniobras) entregados en concesión están establecidos en la cláusula segunda del Contrato de concesión No.005 de 2007, modificada por la cláusula primera del Otrosí No.2 de 2008Infraestructura y equipos entregados en concesión: en el contrato de concesión portuaria no fueron entregados activos relacionados con infraestructura y equipos, el plan de inversiones desarrolla la infraestructura y la adquisición de equipos para su posterior reversión a la Nación.</w:t>
          </w:r>
        </w:p>
        <w:p w14:paraId="440F6F4D" w14:textId="77777777" w:rsidR="003D5DB4" w:rsidRPr="000D0101" w:rsidRDefault="003D5DB4" w:rsidP="000A5389">
          <w:pPr>
            <w:spacing w:line="240" w:lineRule="auto"/>
          </w:pPr>
          <w:r w:rsidRPr="000D0101">
            <w:t>Observaciones: N/A</w:t>
          </w:r>
          <w:r w:rsidRPr="000D0101">
            <w:tab/>
          </w:r>
        </w:p>
        <w:p w14:paraId="1F2DBAEF" w14:textId="77777777" w:rsidR="003D5DB4" w:rsidRPr="000D0101" w:rsidRDefault="003D5DB4" w:rsidP="000A5389">
          <w:pPr>
            <w:spacing w:line="240" w:lineRule="auto"/>
          </w:pPr>
        </w:p>
        <w:p w14:paraId="3869341F" w14:textId="77777777" w:rsidR="003D5DB4" w:rsidRPr="000D0101" w:rsidRDefault="003D5DB4" w:rsidP="000A5389">
          <w:pPr>
            <w:spacing w:line="240" w:lineRule="auto"/>
          </w:pPr>
          <w:r w:rsidRPr="000D0101">
            <w:t>Retribución al concesionario</w:t>
          </w:r>
        </w:p>
        <w:p w14:paraId="3701662C" w14:textId="77777777" w:rsidR="003D5DB4" w:rsidRPr="000D0101" w:rsidRDefault="003D5DB4" w:rsidP="000A5389">
          <w:pPr>
            <w:spacing w:line="240" w:lineRule="auto"/>
          </w:pPr>
        </w:p>
        <w:p w14:paraId="4BB988D0" w14:textId="77777777" w:rsidR="003D5DB4" w:rsidRPr="000D0101" w:rsidRDefault="003D5DB4" w:rsidP="000A5389">
          <w:pPr>
            <w:spacing w:line="240" w:lineRule="auto"/>
          </w:pPr>
          <w:r w:rsidRPr="000D0101">
            <w:t>Descripción: En virtud del Contrato de concesión y sus modificaciones, se permite al CONCESIONARIO ocupar y utilizar en forma temporal y exclusiva la zona de uso público que incluye el sector de playa, terrenos de bajamar y zonas accesoria a aquellas o estos, que se encuentren ubicados al oriente del Terminal Marítimo de Buenaventura-Valle del Cauca, entre los esteros de El Piñal, El Aguacate y Brazo Angosto del municipio de Buenaventura- Valle del Cauca, por el termino establecido en la Cláusula Sexta del Otrosí No 03 de 2014, a cambio de la contraprestación establecida en la Cláusula cuarta del mismo.</w:t>
          </w:r>
        </w:p>
        <w:p w14:paraId="27C283CF" w14:textId="77777777" w:rsidR="003D5DB4" w:rsidRPr="000D0101" w:rsidRDefault="003D5DB4" w:rsidP="000A5389">
          <w:pPr>
            <w:spacing w:line="240" w:lineRule="auto"/>
          </w:pPr>
        </w:p>
        <w:p w14:paraId="6C47536B" w14:textId="77777777" w:rsidR="003D5DB4" w:rsidRPr="000D0101" w:rsidRDefault="003D5DB4" w:rsidP="000A5389">
          <w:pPr>
            <w:spacing w:line="240" w:lineRule="auto"/>
          </w:pPr>
          <w:r w:rsidRPr="000D0101">
            <w:t>Tasa de retribución: N/A</w:t>
          </w:r>
        </w:p>
        <w:p w14:paraId="07582B0F" w14:textId="77777777" w:rsidR="003D5DB4" w:rsidRPr="000D0101" w:rsidRDefault="003D5DB4" w:rsidP="000A5389">
          <w:pPr>
            <w:spacing w:line="240" w:lineRule="auto"/>
          </w:pPr>
        </w:p>
        <w:p w14:paraId="5C78833D" w14:textId="77777777" w:rsidR="003D5DB4" w:rsidRPr="000D0101" w:rsidRDefault="003D5DB4" w:rsidP="000A5389">
          <w:pPr>
            <w:spacing w:line="240" w:lineRule="auto"/>
          </w:pPr>
          <w:r w:rsidRPr="000D0101">
            <w:t>d. Derechos a recibir Activos especificados al final del acuerdo de concesión</w:t>
          </w:r>
        </w:p>
        <w:p w14:paraId="164F9C1F" w14:textId="77777777" w:rsidR="003D5DB4" w:rsidRPr="000D0101" w:rsidRDefault="003D5DB4" w:rsidP="000A5389">
          <w:pPr>
            <w:spacing w:line="240" w:lineRule="auto"/>
          </w:pPr>
          <w:r w:rsidRPr="000D0101">
            <w:t>Descripción: De acuerdo con el Artículo 8º de la Ley 1 de 1991 en el modo portuario el concesionario no tiene derechos finales sobre activos, los debe revertir a la Nación al final del contrato de concesión.</w:t>
          </w:r>
        </w:p>
        <w:p w14:paraId="07250664" w14:textId="77777777" w:rsidR="003D5DB4" w:rsidRPr="000D0101" w:rsidRDefault="003D5DB4" w:rsidP="000A5389">
          <w:pPr>
            <w:spacing w:line="240" w:lineRule="auto"/>
          </w:pPr>
        </w:p>
        <w:p w14:paraId="3272D57D" w14:textId="77777777" w:rsidR="003D5DB4" w:rsidRPr="000D0101" w:rsidRDefault="003D5DB4" w:rsidP="000A5389">
          <w:pPr>
            <w:spacing w:line="240" w:lineRule="auto"/>
          </w:pPr>
          <w:r w:rsidRPr="000D0101">
            <w:t>Observaciones: N/A</w:t>
          </w:r>
        </w:p>
        <w:p w14:paraId="7A74E7DC" w14:textId="77777777" w:rsidR="003D5DB4" w:rsidRPr="000D0101" w:rsidRDefault="003D5DB4" w:rsidP="000A5389">
          <w:pPr>
            <w:spacing w:line="240" w:lineRule="auto"/>
          </w:pPr>
        </w:p>
        <w:p w14:paraId="71EFDFC0" w14:textId="77777777" w:rsidR="003D5DB4" w:rsidRPr="000D0101" w:rsidRDefault="003D5DB4" w:rsidP="000A5389">
          <w:pPr>
            <w:spacing w:line="240" w:lineRule="auto"/>
          </w:pPr>
          <w:r w:rsidRPr="000D0101">
            <w:t>e. Las alternativas de renovación y cese del acuerdo</w:t>
          </w:r>
        </w:p>
        <w:p w14:paraId="1A67BA45" w14:textId="77777777" w:rsidR="003D5DB4" w:rsidRPr="000D0101" w:rsidRDefault="003D5DB4" w:rsidP="000A5389">
          <w:pPr>
            <w:spacing w:line="240" w:lineRule="auto"/>
          </w:pPr>
        </w:p>
        <w:p w14:paraId="1861A3BD" w14:textId="77777777" w:rsidR="003D5DB4" w:rsidRPr="000D0101" w:rsidRDefault="003D5DB4" w:rsidP="000A5389">
          <w:pPr>
            <w:spacing w:line="240" w:lineRule="auto"/>
          </w:pPr>
          <w:r w:rsidRPr="000D0101">
            <w:lastRenderedPageBreak/>
            <w:t>Descripción: La CÁUSULA DÉCIMA PRIMERA establece la alternativa de renovación o prórroga del contrato. La CLÁUSULA DÉCIMA SEGUNDA establece el cede del acuerdo o terminación del acuerdo.</w:t>
          </w:r>
        </w:p>
        <w:p w14:paraId="74D345C0" w14:textId="77777777" w:rsidR="003D5DB4" w:rsidRPr="000D0101" w:rsidRDefault="003D5DB4" w:rsidP="000A5389">
          <w:pPr>
            <w:spacing w:line="240" w:lineRule="auto"/>
          </w:pPr>
        </w:p>
        <w:p w14:paraId="6827CA83" w14:textId="77777777" w:rsidR="003D5DB4" w:rsidRPr="000D0101" w:rsidRDefault="003D5DB4" w:rsidP="000A5389">
          <w:pPr>
            <w:spacing w:line="240" w:lineRule="auto"/>
          </w:pPr>
          <w:r w:rsidRPr="000D0101">
            <w:t>Observaciones: N/A</w:t>
          </w:r>
        </w:p>
        <w:p w14:paraId="5990F5DB" w14:textId="77777777" w:rsidR="003D5DB4" w:rsidRPr="000D0101" w:rsidRDefault="003D5DB4" w:rsidP="000A5389">
          <w:pPr>
            <w:spacing w:line="240" w:lineRule="auto"/>
          </w:pPr>
        </w:p>
        <w:p w14:paraId="2934AC79" w14:textId="77777777" w:rsidR="003D5DB4" w:rsidRPr="000D0101" w:rsidRDefault="003D5DB4" w:rsidP="000A5389">
          <w:pPr>
            <w:spacing w:line="240" w:lineRule="auto"/>
          </w:pPr>
          <w:r w:rsidRPr="000D0101">
            <w:t>f. Cambios en el acuerdo de concesión que se realicen durante el periodo fiscal</w:t>
          </w:r>
        </w:p>
        <w:p w14:paraId="64C97698" w14:textId="77777777" w:rsidR="003D5DB4" w:rsidRPr="000D0101" w:rsidRDefault="003D5DB4" w:rsidP="000A5389">
          <w:pPr>
            <w:spacing w:line="240" w:lineRule="auto"/>
          </w:pPr>
        </w:p>
        <w:p w14:paraId="1FD7A0DA" w14:textId="77777777" w:rsidR="003D5DB4" w:rsidRPr="000D0101" w:rsidRDefault="003D5DB4" w:rsidP="000A5389">
          <w:pPr>
            <w:spacing w:line="240" w:lineRule="auto"/>
          </w:pPr>
          <w:r w:rsidRPr="000D0101">
            <w:t>Adiciones o modificaciones en tiempo</w:t>
          </w:r>
        </w:p>
        <w:p w14:paraId="2E4299CC" w14:textId="77777777" w:rsidR="003D5DB4" w:rsidRPr="000D0101" w:rsidRDefault="003D5DB4" w:rsidP="000A5389">
          <w:pPr>
            <w:spacing w:line="240" w:lineRule="auto"/>
          </w:pPr>
          <w:r w:rsidRPr="000D0101">
            <w:t>Fechas de las adiciones o modificaciones:</w:t>
          </w:r>
          <w:r w:rsidRPr="000D0101">
            <w:tab/>
            <w:t>N/A</w:t>
          </w:r>
        </w:p>
        <w:p w14:paraId="4C12EF57" w14:textId="77777777" w:rsidR="003D5DB4" w:rsidRPr="000D0101" w:rsidRDefault="003D5DB4" w:rsidP="000A5389">
          <w:pPr>
            <w:spacing w:line="240" w:lineRule="auto"/>
          </w:pPr>
          <w:r w:rsidRPr="000D0101">
            <w:t>Nueva fecha de finalización estimada: N/A</w:t>
          </w:r>
        </w:p>
        <w:p w14:paraId="0D74BA58" w14:textId="77777777" w:rsidR="003D5DB4" w:rsidRPr="000D0101" w:rsidRDefault="003D5DB4" w:rsidP="000A5389">
          <w:pPr>
            <w:spacing w:line="240" w:lineRule="auto"/>
          </w:pPr>
          <w:r w:rsidRPr="000D0101">
            <w:t>Observaciones: N/A</w:t>
          </w:r>
        </w:p>
        <w:p w14:paraId="521D7E5C" w14:textId="77777777" w:rsidR="003D5DB4" w:rsidRPr="000D0101" w:rsidRDefault="003D5DB4" w:rsidP="000A5389">
          <w:pPr>
            <w:spacing w:line="240" w:lineRule="auto"/>
          </w:pPr>
          <w:r w:rsidRPr="000D0101">
            <w:t>Adiciones o modificaciones en valor</w:t>
          </w:r>
        </w:p>
        <w:p w14:paraId="508578B2" w14:textId="77777777" w:rsidR="003D5DB4" w:rsidRPr="000D0101" w:rsidRDefault="003D5DB4" w:rsidP="000A5389">
          <w:pPr>
            <w:spacing w:line="240" w:lineRule="auto"/>
          </w:pPr>
          <w:r w:rsidRPr="000D0101">
            <w:t>Valor de la adición o modificación: N/A</w:t>
          </w:r>
        </w:p>
        <w:p w14:paraId="2B74265F" w14:textId="77777777" w:rsidR="003D5DB4" w:rsidRPr="000D0101" w:rsidRDefault="003D5DB4" w:rsidP="000A5389">
          <w:pPr>
            <w:spacing w:line="240" w:lineRule="auto"/>
          </w:pPr>
          <w:r w:rsidRPr="000D0101">
            <w:t>Nuevo valor del acuerdo: N/A</w:t>
          </w:r>
        </w:p>
        <w:p w14:paraId="21F0DEF5" w14:textId="77777777" w:rsidR="003D5DB4" w:rsidRPr="000D0101" w:rsidRDefault="003D5DB4" w:rsidP="000A5389">
          <w:pPr>
            <w:spacing w:line="240" w:lineRule="auto"/>
          </w:pPr>
          <w:r w:rsidRPr="000D0101">
            <w:t>Observaciones: N/A</w:t>
          </w:r>
        </w:p>
        <w:p w14:paraId="71E68168" w14:textId="77777777" w:rsidR="003D5DB4" w:rsidRPr="000D0101" w:rsidRDefault="003D5DB4" w:rsidP="000A5389">
          <w:pPr>
            <w:spacing w:line="240" w:lineRule="auto"/>
            <w:rPr>
              <w:rFonts w:eastAsia="Times New Roman"/>
              <w:lang w:eastAsia="es-CO"/>
            </w:rPr>
          </w:pPr>
        </w:p>
        <w:p w14:paraId="32FF72C3" w14:textId="77777777" w:rsidR="003D5DB4" w:rsidRPr="000D0101" w:rsidRDefault="003D5DB4" w:rsidP="000A5389">
          <w:pPr>
            <w:spacing w:line="240" w:lineRule="auto"/>
            <w:rPr>
              <w:rFonts w:eastAsia="Times New Roman"/>
              <w:lang w:eastAsia="es-CO"/>
            </w:rPr>
          </w:pPr>
        </w:p>
        <w:p w14:paraId="0CE25F9C" w14:textId="77777777" w:rsidR="003D5DB4" w:rsidRPr="00C933C5" w:rsidRDefault="003D5DB4" w:rsidP="000A5389">
          <w:pPr>
            <w:spacing w:line="240" w:lineRule="auto"/>
            <w:rPr>
              <w:rFonts w:eastAsia="Times New Roman"/>
              <w:i/>
              <w:iCs/>
              <w:lang w:eastAsia="es-CO"/>
            </w:rPr>
          </w:pPr>
          <w:r w:rsidRPr="00C933C5">
            <w:rPr>
              <w:rFonts w:eastAsia="Times New Roman"/>
              <w:i/>
              <w:iCs/>
              <w:lang w:eastAsia="es-CO"/>
            </w:rPr>
            <w:t xml:space="preserve">SOCIEDAD PORTUARIA TERMINALES MARITIMOS DEL PACIFICO S.A. </w:t>
          </w:r>
        </w:p>
        <w:p w14:paraId="637AA30F" w14:textId="77777777" w:rsidR="003D5DB4" w:rsidRPr="000D0101" w:rsidRDefault="003D5DB4" w:rsidP="000A5389">
          <w:pPr>
            <w:spacing w:line="240" w:lineRule="auto"/>
          </w:pPr>
        </w:p>
        <w:p w14:paraId="72CE69E9" w14:textId="77777777" w:rsidR="003D5DB4" w:rsidRPr="000D0101" w:rsidRDefault="003D5DB4" w:rsidP="000A5389">
          <w:pPr>
            <w:spacing w:line="240" w:lineRule="auto"/>
            <w:rPr>
              <w:rFonts w:eastAsia="Times New Roman"/>
              <w:lang w:eastAsia="es-CO"/>
            </w:rPr>
          </w:pPr>
          <w:r w:rsidRPr="000D0101">
            <w:rPr>
              <w:rFonts w:eastAsia="Times New Roman"/>
              <w:lang w:eastAsia="es-CO"/>
            </w:rPr>
            <w:t>a. Descripción del Acuerdo</w:t>
          </w:r>
        </w:p>
        <w:p w14:paraId="73C20C53" w14:textId="77777777" w:rsidR="003D5DB4" w:rsidRPr="000D0101" w:rsidRDefault="003D5DB4" w:rsidP="000A5389">
          <w:pPr>
            <w:spacing w:line="240" w:lineRule="auto"/>
            <w:rPr>
              <w:rFonts w:eastAsia="Times New Roman"/>
              <w:lang w:eastAsia="es-CO"/>
            </w:rPr>
          </w:pPr>
        </w:p>
        <w:p w14:paraId="765FAF94" w14:textId="77777777" w:rsidR="003D5DB4" w:rsidRPr="000D0101" w:rsidRDefault="003D5DB4" w:rsidP="000A5389">
          <w:pPr>
            <w:spacing w:line="240" w:lineRule="auto"/>
            <w:rPr>
              <w:rFonts w:eastAsia="Times New Roman"/>
              <w:lang w:eastAsia="es-CO"/>
            </w:rPr>
          </w:pPr>
          <w:r w:rsidRPr="000D0101">
            <w:rPr>
              <w:rFonts w:eastAsia="Times New Roman"/>
              <w:lang w:eastAsia="es-CO"/>
            </w:rPr>
            <w:t>Número del Acuerdo de concesión: Resolución 704 de 2017</w:t>
          </w:r>
        </w:p>
        <w:p w14:paraId="4FDFC277" w14:textId="77777777" w:rsidR="003D5DB4" w:rsidRPr="000D0101" w:rsidRDefault="003D5DB4" w:rsidP="000A5389">
          <w:pPr>
            <w:spacing w:line="240" w:lineRule="auto"/>
            <w:rPr>
              <w:rFonts w:eastAsia="Times New Roman"/>
              <w:lang w:eastAsia="es-CO"/>
            </w:rPr>
          </w:pPr>
        </w:p>
        <w:p w14:paraId="56343941" w14:textId="77777777" w:rsidR="003D5DB4" w:rsidRPr="000D0101" w:rsidRDefault="003D5DB4" w:rsidP="000A5389">
          <w:pPr>
            <w:spacing w:line="240" w:lineRule="auto"/>
            <w:rPr>
              <w:rFonts w:eastAsia="Times New Roman"/>
              <w:lang w:eastAsia="es-CO"/>
            </w:rPr>
          </w:pPr>
          <w:r w:rsidRPr="000D0101">
            <w:rPr>
              <w:rFonts w:eastAsia="Times New Roman"/>
              <w:lang w:eastAsia="es-CO"/>
            </w:rPr>
            <w:t xml:space="preserve">Objeto / Descripción: Otorgar al CONCESIONARIO, una concesión portuaria para embarcadero a fin de operar el muelle ubicado en la Bahía interior de Buenaventura, contiguo al parque Néstor Urbano Tenorio </w:t>
          </w:r>
        </w:p>
        <w:p w14:paraId="2C854D47" w14:textId="77777777" w:rsidR="003D5DB4" w:rsidRPr="000D0101" w:rsidRDefault="003D5DB4" w:rsidP="000A5389">
          <w:pPr>
            <w:spacing w:line="240" w:lineRule="auto"/>
            <w:rPr>
              <w:rFonts w:eastAsia="Times New Roman"/>
              <w:lang w:eastAsia="es-CO"/>
            </w:rPr>
          </w:pPr>
        </w:p>
        <w:p w14:paraId="10F26E65" w14:textId="77777777" w:rsidR="003D5DB4" w:rsidRPr="000D0101" w:rsidRDefault="003D5DB4" w:rsidP="000A5389">
          <w:pPr>
            <w:spacing w:line="240" w:lineRule="auto"/>
            <w:rPr>
              <w:rFonts w:eastAsia="Times New Roman"/>
              <w:lang w:eastAsia="es-CO"/>
            </w:rPr>
          </w:pPr>
          <w:r w:rsidRPr="000D0101">
            <w:rPr>
              <w:rFonts w:eastAsia="Times New Roman"/>
              <w:lang w:eastAsia="es-CO"/>
            </w:rPr>
            <w:t>Valor inicial:</w:t>
          </w:r>
          <w:r w:rsidRPr="000D0101">
            <w:rPr>
              <w:rFonts w:eastAsia="Times New Roman"/>
              <w:lang w:eastAsia="es-CO"/>
            </w:rPr>
            <w:tab/>
            <w:t>USD 174.095</w:t>
          </w:r>
        </w:p>
        <w:p w14:paraId="3F81C4C0" w14:textId="77777777" w:rsidR="003D5DB4" w:rsidRPr="000D0101" w:rsidRDefault="003D5DB4" w:rsidP="000A5389">
          <w:pPr>
            <w:spacing w:line="240" w:lineRule="auto"/>
            <w:rPr>
              <w:rFonts w:eastAsia="Times New Roman"/>
              <w:lang w:eastAsia="es-CO"/>
            </w:rPr>
          </w:pPr>
          <w:r w:rsidRPr="000D0101">
            <w:rPr>
              <w:rFonts w:eastAsia="Times New Roman"/>
              <w:lang w:eastAsia="es-CO"/>
            </w:rPr>
            <w:t>Fecha de inicio: 16/09/2017</w:t>
          </w:r>
        </w:p>
        <w:p w14:paraId="7065CC18" w14:textId="77777777" w:rsidR="003D5DB4" w:rsidRPr="000D0101" w:rsidRDefault="003D5DB4" w:rsidP="000A5389">
          <w:pPr>
            <w:spacing w:line="240" w:lineRule="auto"/>
            <w:rPr>
              <w:rFonts w:eastAsia="Times New Roman"/>
              <w:lang w:eastAsia="es-CO"/>
            </w:rPr>
          </w:pPr>
          <w:r w:rsidRPr="000D0101">
            <w:rPr>
              <w:rFonts w:eastAsia="Times New Roman"/>
              <w:lang w:eastAsia="es-CO"/>
            </w:rPr>
            <w:t>Fecha de finalización estimada: 15/09/2021</w:t>
          </w:r>
        </w:p>
        <w:p w14:paraId="0C53A677" w14:textId="77777777" w:rsidR="003D5DB4" w:rsidRPr="000D0101" w:rsidRDefault="003D5DB4" w:rsidP="000A5389">
          <w:pPr>
            <w:spacing w:line="240" w:lineRule="auto"/>
            <w:rPr>
              <w:rFonts w:eastAsia="Times New Roman"/>
              <w:lang w:eastAsia="es-CO"/>
            </w:rPr>
          </w:pPr>
          <w:r w:rsidRPr="000D0101">
            <w:rPr>
              <w:rFonts w:eastAsia="Times New Roman"/>
              <w:lang w:eastAsia="es-CO"/>
            </w:rPr>
            <w:t>Tipo ID: NIT</w:t>
          </w:r>
        </w:p>
        <w:p w14:paraId="0025CC85" w14:textId="77777777" w:rsidR="003D5DB4" w:rsidRPr="000D0101" w:rsidRDefault="003D5DB4" w:rsidP="000A5389">
          <w:pPr>
            <w:spacing w:line="240" w:lineRule="auto"/>
            <w:rPr>
              <w:rFonts w:eastAsia="Times New Roman"/>
              <w:lang w:eastAsia="es-CO"/>
            </w:rPr>
          </w:pPr>
          <w:r w:rsidRPr="000D0101">
            <w:rPr>
              <w:rFonts w:eastAsia="Times New Roman"/>
              <w:lang w:eastAsia="es-CO"/>
            </w:rPr>
            <w:t>Número ID: 901.007.311-6</w:t>
          </w:r>
        </w:p>
        <w:p w14:paraId="4523C104" w14:textId="77777777" w:rsidR="003D5DB4" w:rsidRPr="000D0101" w:rsidRDefault="003D5DB4" w:rsidP="000A5389">
          <w:pPr>
            <w:spacing w:line="240" w:lineRule="auto"/>
            <w:rPr>
              <w:rFonts w:eastAsia="Times New Roman"/>
              <w:lang w:eastAsia="es-CO"/>
            </w:rPr>
          </w:pPr>
          <w:r w:rsidRPr="000D0101">
            <w:rPr>
              <w:rFonts w:eastAsia="Times New Roman"/>
              <w:lang w:eastAsia="es-CO"/>
            </w:rPr>
            <w:t>Razón social del concesionario: TERMINALES MARÍTIMOS DEL PACÍFICO S.A</w:t>
          </w:r>
        </w:p>
        <w:p w14:paraId="07B080DD" w14:textId="77777777" w:rsidR="003D5DB4" w:rsidRPr="000D0101" w:rsidRDefault="003D5DB4" w:rsidP="000A5389">
          <w:pPr>
            <w:spacing w:line="240" w:lineRule="auto"/>
            <w:rPr>
              <w:rFonts w:eastAsia="Times New Roman"/>
              <w:lang w:eastAsia="es-CO"/>
            </w:rPr>
          </w:pPr>
          <w:r w:rsidRPr="000D0101">
            <w:rPr>
              <w:rFonts w:eastAsia="Times New Roman"/>
              <w:lang w:eastAsia="es-CO"/>
            </w:rPr>
            <w:t>Nombre del proyecto: TERMINALES MARÍTIMOS DEL PACÍFICO S.A</w:t>
          </w:r>
        </w:p>
        <w:p w14:paraId="194C47F3" w14:textId="77777777" w:rsidR="003D5DB4" w:rsidRPr="000D0101" w:rsidRDefault="003D5DB4" w:rsidP="000A5389">
          <w:pPr>
            <w:spacing w:line="240" w:lineRule="auto"/>
            <w:rPr>
              <w:rFonts w:eastAsia="Times New Roman"/>
              <w:lang w:eastAsia="es-CO"/>
            </w:rPr>
          </w:pPr>
        </w:p>
        <w:p w14:paraId="1E70E875" w14:textId="77777777" w:rsidR="003D5DB4" w:rsidRPr="000D0101" w:rsidRDefault="003D5DB4" w:rsidP="000A5389">
          <w:pPr>
            <w:spacing w:line="240" w:lineRule="auto"/>
            <w:rPr>
              <w:rFonts w:eastAsia="Times New Roman"/>
              <w:lang w:eastAsia="es-CO"/>
            </w:rPr>
          </w:pPr>
          <w:r w:rsidRPr="000D0101">
            <w:rPr>
              <w:rFonts w:eastAsia="Times New Roman"/>
              <w:lang w:eastAsia="es-CO"/>
            </w:rPr>
            <w:t>b. Términos significativos del Acuerdo que puedan afectar su valor, el calendario y la certeza de los flujos de efectivo futuros</w:t>
          </w:r>
        </w:p>
        <w:p w14:paraId="6C92864D" w14:textId="77777777" w:rsidR="003D5DB4" w:rsidRPr="000D0101" w:rsidRDefault="003D5DB4" w:rsidP="000A5389">
          <w:pPr>
            <w:spacing w:line="240" w:lineRule="auto"/>
            <w:rPr>
              <w:rFonts w:eastAsia="Times New Roman"/>
              <w:lang w:eastAsia="es-CO"/>
            </w:rPr>
          </w:pPr>
        </w:p>
        <w:p w14:paraId="4C3721D9" w14:textId="77777777" w:rsidR="003D5DB4" w:rsidRPr="000D0101" w:rsidRDefault="003D5DB4" w:rsidP="000A5389">
          <w:pPr>
            <w:spacing w:line="240" w:lineRule="auto"/>
            <w:rPr>
              <w:rFonts w:eastAsia="Times New Roman"/>
              <w:lang w:eastAsia="es-CO"/>
            </w:rPr>
          </w:pPr>
          <w:r w:rsidRPr="000D0101">
            <w:rPr>
              <w:rFonts w:eastAsia="Times New Roman"/>
              <w:lang w:eastAsia="es-CO"/>
            </w:rPr>
            <w:t xml:space="preserve">Términos de valor: 1: Tarifas: Al ser el terminal marítimo de servicio público la Ley 1 de 1991 establece: Las sociedades portuarias que operan puertos de servicio público las tarifas requieren ser aprobadas según la metodología establecida por la Superintendencia General de Puertos hoy Superintendencia de Transporte.2: Contraprestación portuaria: De acuerdo con el último documento contractual vigente la metodología de contraprestación vigente es </w:t>
          </w:r>
          <w:r w:rsidRPr="000D0101">
            <w:rPr>
              <w:rFonts w:eastAsia="Times New Roman"/>
              <w:lang w:eastAsia="es-CO"/>
            </w:rPr>
            <w:lastRenderedPageBreak/>
            <w:t>CONPES 3744 DE 2013. Se establece en el artículo cuarto de la resolución No. 704 del 2017 que el CONCESIONARIO deberá pagar por concepto de zona de uso público la suma anual de (USD 49.417), de dicho pago el 80% le corresponde a la Nación (INVIAS-ANI) y el 20% restante al municipio de Cartagena de acuerdo con lo establecido en el parágrafo 1 del artículo 1 de la ley 856 del 21 de diciembre de 2003, que modifica el artículo 7 de la ley 1ª de 1991; así mismo el CONCESIONARIO deberá pagar por concepo de uso de la infraestructura ubicada en la zona de uso público la suma anual de (USD 53.595), de dicho pago el 100% corresponde a la Nación (INVIAS-ANI) de acuerdo a los establecido en el inciso 2 del artículo 1 de la ley 856 del 21 de diciembre de 2003.</w:t>
          </w:r>
        </w:p>
        <w:p w14:paraId="7A1A4EA1" w14:textId="77777777" w:rsidR="003D5DB4" w:rsidRPr="000D0101" w:rsidRDefault="003D5DB4" w:rsidP="000A5389">
          <w:pPr>
            <w:spacing w:line="240" w:lineRule="auto"/>
            <w:rPr>
              <w:rFonts w:eastAsia="Times New Roman"/>
              <w:lang w:eastAsia="es-CO"/>
            </w:rPr>
          </w:pPr>
        </w:p>
        <w:p w14:paraId="77AC89F1" w14:textId="2549D80A" w:rsidR="003D5DB4" w:rsidRPr="000D0101" w:rsidRDefault="003D5DB4" w:rsidP="000A5389">
          <w:pPr>
            <w:spacing w:line="240" w:lineRule="auto"/>
            <w:rPr>
              <w:rFonts w:eastAsia="Times New Roman"/>
              <w:lang w:eastAsia="es-CO"/>
            </w:rPr>
          </w:pPr>
          <w:r w:rsidRPr="000D0101">
            <w:rPr>
              <w:rFonts w:eastAsia="Times New Roman"/>
              <w:lang w:eastAsia="es-CO"/>
            </w:rPr>
            <w:t>Términos de calendario: NA</w:t>
          </w:r>
        </w:p>
        <w:p w14:paraId="3134E2AE" w14:textId="77777777" w:rsidR="003D5DB4" w:rsidRPr="000D0101" w:rsidRDefault="003D5DB4" w:rsidP="000A5389">
          <w:pPr>
            <w:spacing w:line="240" w:lineRule="auto"/>
            <w:rPr>
              <w:rFonts w:eastAsia="Times New Roman"/>
              <w:lang w:eastAsia="es-CO"/>
            </w:rPr>
          </w:pPr>
          <w:r w:rsidRPr="000D0101">
            <w:rPr>
              <w:rFonts w:eastAsia="Times New Roman"/>
              <w:lang w:eastAsia="es-CO"/>
            </w:rPr>
            <w:t>Términos de certeza de flujos de efectivo futuros: N/A</w:t>
          </w:r>
        </w:p>
        <w:p w14:paraId="54E8F810" w14:textId="77777777" w:rsidR="003D5DB4" w:rsidRPr="000D0101" w:rsidRDefault="003D5DB4" w:rsidP="000A5389">
          <w:pPr>
            <w:spacing w:line="240" w:lineRule="auto"/>
            <w:rPr>
              <w:rFonts w:eastAsia="Times New Roman"/>
              <w:lang w:eastAsia="es-CO"/>
            </w:rPr>
          </w:pPr>
        </w:p>
        <w:p w14:paraId="08816943" w14:textId="77777777" w:rsidR="003D5DB4" w:rsidRPr="000D0101" w:rsidRDefault="003D5DB4" w:rsidP="000A5389">
          <w:pPr>
            <w:spacing w:line="240" w:lineRule="auto"/>
            <w:rPr>
              <w:rFonts w:eastAsia="Times New Roman"/>
              <w:lang w:eastAsia="es-CO"/>
            </w:rPr>
          </w:pPr>
          <w:r w:rsidRPr="000D0101">
            <w:rPr>
              <w:rFonts w:eastAsia="Times New Roman"/>
              <w:lang w:eastAsia="es-CO"/>
            </w:rPr>
            <w:t>c. Naturaleza y alcance del derecho a utilizar Activos y los aspectos pactados en torno a lo que se espera que el concesionario proporcione en relación con el Acuerdo de concesión</w:t>
          </w:r>
        </w:p>
        <w:p w14:paraId="67AFF4F2" w14:textId="77777777" w:rsidR="003D5DB4" w:rsidRPr="000D0101" w:rsidRDefault="003D5DB4" w:rsidP="000A5389">
          <w:pPr>
            <w:spacing w:line="240" w:lineRule="auto"/>
            <w:rPr>
              <w:rFonts w:eastAsia="Times New Roman"/>
              <w:lang w:eastAsia="es-CO"/>
            </w:rPr>
          </w:pPr>
        </w:p>
        <w:p w14:paraId="6454DE4D" w14:textId="77777777" w:rsidR="003D5DB4" w:rsidRPr="000D0101" w:rsidRDefault="003D5DB4" w:rsidP="000A5389">
          <w:pPr>
            <w:spacing w:line="240" w:lineRule="auto"/>
            <w:rPr>
              <w:rFonts w:eastAsia="Times New Roman"/>
              <w:lang w:eastAsia="es-CO"/>
            </w:rPr>
          </w:pPr>
          <w:r w:rsidRPr="000D0101">
            <w:rPr>
              <w:rFonts w:eastAsia="Times New Roman"/>
              <w:lang w:eastAsia="es-CO"/>
            </w:rPr>
            <w:t>Naturaleza y alcance del derecho de uso de los Activos</w:t>
          </w:r>
        </w:p>
        <w:p w14:paraId="26E10984" w14:textId="77777777" w:rsidR="003D5DB4" w:rsidRPr="000D0101" w:rsidRDefault="003D5DB4" w:rsidP="000A5389">
          <w:pPr>
            <w:spacing w:line="240" w:lineRule="auto"/>
            <w:rPr>
              <w:rFonts w:eastAsia="Times New Roman"/>
              <w:lang w:eastAsia="es-CO"/>
            </w:rPr>
          </w:pPr>
        </w:p>
        <w:p w14:paraId="2236C2C1" w14:textId="77777777" w:rsidR="003D5DB4" w:rsidRPr="000D0101" w:rsidRDefault="003D5DB4" w:rsidP="000A5389">
          <w:pPr>
            <w:spacing w:line="240" w:lineRule="auto"/>
            <w:rPr>
              <w:rFonts w:eastAsia="Times New Roman"/>
              <w:lang w:eastAsia="es-CO"/>
            </w:rPr>
          </w:pPr>
          <w:r w:rsidRPr="000D0101">
            <w:rPr>
              <w:rFonts w:eastAsia="Times New Roman"/>
              <w:lang w:eastAsia="es-CO"/>
            </w:rPr>
            <w:t>Descripción:  Articulo 1 de la resolución 704 de 2017, hacer uso de embarcadero a fin de operar el muelle ubicado en la Bahía interior de Buenaventura, contiguo al parque Néstor Urbano Tenorio.</w:t>
          </w:r>
        </w:p>
        <w:p w14:paraId="29DA29A0" w14:textId="77777777" w:rsidR="003D5DB4" w:rsidRPr="000D0101" w:rsidRDefault="003D5DB4" w:rsidP="000A5389">
          <w:pPr>
            <w:spacing w:line="240" w:lineRule="auto"/>
            <w:rPr>
              <w:rFonts w:eastAsia="Times New Roman"/>
              <w:lang w:eastAsia="es-CO"/>
            </w:rPr>
          </w:pPr>
        </w:p>
        <w:p w14:paraId="317BABDA" w14:textId="77777777" w:rsidR="003D5DB4" w:rsidRPr="000D0101" w:rsidRDefault="003D5DB4" w:rsidP="000A5389">
          <w:pPr>
            <w:spacing w:line="240" w:lineRule="auto"/>
            <w:rPr>
              <w:rFonts w:eastAsia="Times New Roman"/>
              <w:lang w:eastAsia="es-CO"/>
            </w:rPr>
          </w:pPr>
          <w:r w:rsidRPr="000D0101">
            <w:rPr>
              <w:rFonts w:eastAsia="Times New Roman"/>
              <w:lang w:eastAsia="es-CO"/>
            </w:rPr>
            <w:t>Observaciones: NA</w:t>
          </w:r>
        </w:p>
        <w:p w14:paraId="3C82FD17" w14:textId="7AE420E3" w:rsidR="003D5DB4" w:rsidRPr="000D0101" w:rsidRDefault="003D5DB4" w:rsidP="000A5389">
          <w:pPr>
            <w:spacing w:line="240" w:lineRule="auto"/>
            <w:rPr>
              <w:rFonts w:eastAsia="Times New Roman"/>
              <w:lang w:eastAsia="es-CO"/>
            </w:rPr>
          </w:pPr>
          <w:r w:rsidRPr="000D0101">
            <w:rPr>
              <w:rFonts w:eastAsia="Times New Roman"/>
              <w:lang w:eastAsia="es-CO"/>
            </w:rPr>
            <w:t>Retribución al concesionario</w:t>
          </w:r>
        </w:p>
        <w:p w14:paraId="56458CB2" w14:textId="34371C75" w:rsidR="003D5DB4" w:rsidRPr="000D0101" w:rsidRDefault="003D5DB4" w:rsidP="000A5389">
          <w:pPr>
            <w:spacing w:line="240" w:lineRule="auto"/>
            <w:rPr>
              <w:rFonts w:eastAsia="Times New Roman"/>
              <w:lang w:eastAsia="es-CO"/>
            </w:rPr>
          </w:pPr>
          <w:r w:rsidRPr="000D0101">
            <w:rPr>
              <w:rFonts w:eastAsia="Times New Roman"/>
              <w:lang w:eastAsia="es-CO"/>
            </w:rPr>
            <w:t>Descripción: N/A</w:t>
          </w:r>
        </w:p>
        <w:p w14:paraId="453377A2" w14:textId="77777777" w:rsidR="003D5DB4" w:rsidRPr="000D0101" w:rsidRDefault="003D5DB4" w:rsidP="000A5389">
          <w:pPr>
            <w:spacing w:line="240" w:lineRule="auto"/>
            <w:rPr>
              <w:rFonts w:eastAsia="Times New Roman"/>
              <w:lang w:eastAsia="es-CO"/>
            </w:rPr>
          </w:pPr>
          <w:r w:rsidRPr="000D0101">
            <w:rPr>
              <w:rFonts w:eastAsia="Times New Roman"/>
              <w:lang w:eastAsia="es-CO"/>
            </w:rPr>
            <w:t>Tasa de retribución:</w:t>
          </w:r>
          <w:r w:rsidRPr="000D0101">
            <w:rPr>
              <w:rFonts w:eastAsia="Times New Roman"/>
              <w:lang w:eastAsia="es-CO"/>
            </w:rPr>
            <w:tab/>
            <w:t>N/A</w:t>
          </w:r>
        </w:p>
        <w:p w14:paraId="62815C10" w14:textId="77777777" w:rsidR="003D5DB4" w:rsidRPr="000D0101" w:rsidRDefault="003D5DB4" w:rsidP="000A5389">
          <w:pPr>
            <w:spacing w:line="240" w:lineRule="auto"/>
            <w:rPr>
              <w:rFonts w:eastAsia="Times New Roman"/>
              <w:lang w:eastAsia="es-CO"/>
            </w:rPr>
          </w:pPr>
        </w:p>
        <w:p w14:paraId="17B5C654" w14:textId="77777777" w:rsidR="003D5DB4" w:rsidRPr="000D0101" w:rsidRDefault="003D5DB4" w:rsidP="000A5389">
          <w:pPr>
            <w:spacing w:line="240" w:lineRule="auto"/>
            <w:rPr>
              <w:rFonts w:eastAsia="Times New Roman"/>
              <w:lang w:eastAsia="es-CO"/>
            </w:rPr>
          </w:pPr>
          <w:r w:rsidRPr="000D0101">
            <w:rPr>
              <w:rFonts w:eastAsia="Times New Roman"/>
              <w:lang w:eastAsia="es-CO"/>
            </w:rPr>
            <w:t>d. Derechos a recibir Activos especificados al final del acuerdo de concesión</w:t>
          </w:r>
        </w:p>
        <w:p w14:paraId="3386494D" w14:textId="77777777" w:rsidR="003D5DB4" w:rsidRPr="000D0101" w:rsidRDefault="003D5DB4" w:rsidP="000A5389">
          <w:pPr>
            <w:spacing w:line="240" w:lineRule="auto"/>
            <w:rPr>
              <w:rFonts w:eastAsia="Times New Roman"/>
              <w:lang w:eastAsia="es-CO"/>
            </w:rPr>
          </w:pPr>
        </w:p>
        <w:p w14:paraId="41B6DF12" w14:textId="77777777" w:rsidR="003D5DB4" w:rsidRPr="000D0101" w:rsidRDefault="003D5DB4" w:rsidP="000A5389">
          <w:pPr>
            <w:spacing w:line="240" w:lineRule="auto"/>
            <w:rPr>
              <w:rFonts w:eastAsia="Times New Roman"/>
              <w:lang w:eastAsia="es-CO"/>
            </w:rPr>
          </w:pPr>
          <w:r w:rsidRPr="000D0101">
            <w:rPr>
              <w:rFonts w:eastAsia="Times New Roman"/>
              <w:lang w:eastAsia="es-CO"/>
            </w:rPr>
            <w:t>Descripción:</w:t>
          </w:r>
          <w:r w:rsidRPr="000D0101">
            <w:rPr>
              <w:rFonts w:eastAsia="Times New Roman"/>
              <w:lang w:eastAsia="es-CO"/>
            </w:rPr>
            <w:tab/>
            <w:t>De acuerdo con el Artículo 8º de la Ley 1 de 1991 en el modo portuario el concesionario no tiene derechos finales sobre activos los debe revertir a la Nación al final del contrato de concesión.</w:t>
          </w:r>
        </w:p>
        <w:p w14:paraId="1F98960D" w14:textId="77777777" w:rsidR="003D5DB4" w:rsidRPr="000D0101" w:rsidRDefault="003D5DB4" w:rsidP="000A5389">
          <w:pPr>
            <w:spacing w:line="240" w:lineRule="auto"/>
            <w:rPr>
              <w:rFonts w:eastAsia="Times New Roman"/>
              <w:lang w:eastAsia="es-CO"/>
            </w:rPr>
          </w:pPr>
        </w:p>
        <w:p w14:paraId="3BC12267" w14:textId="77777777" w:rsidR="003D5DB4" w:rsidRPr="000D0101" w:rsidRDefault="003D5DB4" w:rsidP="000A5389">
          <w:pPr>
            <w:spacing w:line="240" w:lineRule="auto"/>
            <w:rPr>
              <w:rFonts w:eastAsia="Times New Roman"/>
              <w:lang w:eastAsia="es-CO"/>
            </w:rPr>
          </w:pPr>
          <w:r w:rsidRPr="000D0101">
            <w:rPr>
              <w:rFonts w:eastAsia="Times New Roman"/>
              <w:lang w:eastAsia="es-CO"/>
            </w:rPr>
            <w:t>Observaciones: Reversión: De acuerdo con lo establecido en el artículo noveno de la resolución No. 704 de 2017, al expirar el plazo de la concesión portuaria otorgado mediante la presente resolución, las construcciones levantadas en la zona objeto de la misma y los inmuebles por designación que hagan parte de ellas, revertirán gratuitamente a la Nación en buen estado de operación y mantenimiento.</w:t>
          </w:r>
        </w:p>
        <w:p w14:paraId="7B518D4D" w14:textId="77777777" w:rsidR="003D5DB4" w:rsidRPr="000D0101" w:rsidRDefault="003D5DB4" w:rsidP="000A5389">
          <w:pPr>
            <w:spacing w:line="240" w:lineRule="auto"/>
            <w:rPr>
              <w:rFonts w:eastAsia="Times New Roman"/>
              <w:lang w:eastAsia="es-CO"/>
            </w:rPr>
          </w:pPr>
        </w:p>
        <w:p w14:paraId="02A6B28C" w14:textId="77777777" w:rsidR="003D5DB4" w:rsidRPr="000D0101" w:rsidRDefault="003D5DB4" w:rsidP="000A5389">
          <w:pPr>
            <w:spacing w:line="240" w:lineRule="auto"/>
            <w:rPr>
              <w:rFonts w:eastAsia="Times New Roman"/>
              <w:lang w:eastAsia="es-CO"/>
            </w:rPr>
          </w:pPr>
          <w:r w:rsidRPr="000D0101">
            <w:rPr>
              <w:rFonts w:eastAsia="Times New Roman"/>
              <w:lang w:eastAsia="es-CO"/>
            </w:rPr>
            <w:t>e. Las alternativas de renovación y cese del acuerdo</w:t>
          </w:r>
        </w:p>
        <w:p w14:paraId="501C43CE" w14:textId="77777777" w:rsidR="003D5DB4" w:rsidRPr="000D0101" w:rsidRDefault="003D5DB4" w:rsidP="000A5389">
          <w:pPr>
            <w:spacing w:line="240" w:lineRule="auto"/>
            <w:rPr>
              <w:rFonts w:eastAsia="Times New Roman"/>
              <w:lang w:eastAsia="es-CO"/>
            </w:rPr>
          </w:pPr>
        </w:p>
        <w:p w14:paraId="67621059" w14:textId="77777777" w:rsidR="003D5DB4" w:rsidRPr="000D0101" w:rsidRDefault="003D5DB4" w:rsidP="000A5389">
          <w:pPr>
            <w:spacing w:line="240" w:lineRule="auto"/>
            <w:rPr>
              <w:rFonts w:eastAsia="Times New Roman"/>
              <w:lang w:eastAsia="es-CO"/>
            </w:rPr>
          </w:pPr>
          <w:r w:rsidRPr="000D0101">
            <w:rPr>
              <w:rFonts w:eastAsia="Times New Roman"/>
              <w:lang w:eastAsia="es-CO"/>
            </w:rPr>
            <w:t>Descripción: NA</w:t>
          </w:r>
        </w:p>
        <w:p w14:paraId="5E64C604" w14:textId="550FCB82" w:rsidR="003D5DB4" w:rsidRPr="000D0101" w:rsidRDefault="003D5DB4" w:rsidP="000A5389">
          <w:pPr>
            <w:spacing w:line="240" w:lineRule="auto"/>
            <w:rPr>
              <w:rFonts w:eastAsia="Times New Roman"/>
              <w:lang w:eastAsia="es-CO"/>
            </w:rPr>
          </w:pPr>
          <w:r w:rsidRPr="000D0101">
            <w:rPr>
              <w:rFonts w:eastAsia="Times New Roman"/>
              <w:lang w:eastAsia="es-CO"/>
            </w:rPr>
            <w:t>Observaciones: NA</w:t>
          </w:r>
        </w:p>
        <w:p w14:paraId="5B0D803C" w14:textId="77777777" w:rsidR="003D5DB4" w:rsidRPr="000D0101" w:rsidRDefault="003D5DB4" w:rsidP="000A5389">
          <w:pPr>
            <w:spacing w:line="240" w:lineRule="auto"/>
            <w:rPr>
              <w:rFonts w:eastAsia="Times New Roman"/>
              <w:lang w:eastAsia="es-CO"/>
            </w:rPr>
          </w:pPr>
        </w:p>
        <w:p w14:paraId="2FFD7682" w14:textId="77777777" w:rsidR="003D5DB4" w:rsidRPr="000D0101" w:rsidRDefault="003D5DB4" w:rsidP="000A5389">
          <w:pPr>
            <w:spacing w:line="240" w:lineRule="auto"/>
            <w:rPr>
              <w:rFonts w:eastAsia="Times New Roman"/>
              <w:lang w:eastAsia="es-CO"/>
            </w:rPr>
          </w:pPr>
          <w:r w:rsidRPr="000D0101">
            <w:rPr>
              <w:rFonts w:eastAsia="Times New Roman"/>
              <w:lang w:eastAsia="es-CO"/>
            </w:rPr>
            <w:lastRenderedPageBreak/>
            <w:t>f. Cambios en el acuerdo de concesión que se realicen durante el periodo fiscal</w:t>
          </w:r>
        </w:p>
        <w:p w14:paraId="29B8249B" w14:textId="77777777" w:rsidR="003D5DB4" w:rsidRPr="000D0101" w:rsidRDefault="003D5DB4" w:rsidP="000A5389">
          <w:pPr>
            <w:spacing w:line="240" w:lineRule="auto"/>
            <w:rPr>
              <w:rFonts w:eastAsia="Times New Roman"/>
              <w:lang w:eastAsia="es-CO"/>
            </w:rPr>
          </w:pPr>
        </w:p>
        <w:p w14:paraId="18611DCF" w14:textId="77777777" w:rsidR="003D5DB4" w:rsidRPr="000D0101" w:rsidRDefault="003D5DB4" w:rsidP="000A5389">
          <w:pPr>
            <w:spacing w:line="240" w:lineRule="auto"/>
            <w:rPr>
              <w:rFonts w:eastAsia="Times New Roman"/>
              <w:lang w:eastAsia="es-CO"/>
            </w:rPr>
          </w:pPr>
          <w:r w:rsidRPr="000D0101">
            <w:rPr>
              <w:rFonts w:eastAsia="Times New Roman"/>
              <w:lang w:eastAsia="es-CO"/>
            </w:rPr>
            <w:t>Adiciones o modificaciones en tiempo</w:t>
          </w:r>
        </w:p>
        <w:p w14:paraId="60C15D52" w14:textId="77777777" w:rsidR="003D5DB4" w:rsidRPr="000D0101" w:rsidRDefault="003D5DB4" w:rsidP="000A5389">
          <w:pPr>
            <w:spacing w:line="240" w:lineRule="auto"/>
            <w:rPr>
              <w:rFonts w:eastAsia="Times New Roman"/>
              <w:lang w:eastAsia="es-CO"/>
            </w:rPr>
          </w:pPr>
          <w:r w:rsidRPr="000D0101">
            <w:rPr>
              <w:rFonts w:eastAsia="Times New Roman"/>
              <w:lang w:eastAsia="es-CO"/>
            </w:rPr>
            <w:t>Fechas de las adiciones o modificaciones:</w:t>
          </w:r>
          <w:r w:rsidRPr="000D0101">
            <w:rPr>
              <w:rFonts w:eastAsia="Times New Roman"/>
              <w:lang w:eastAsia="es-CO"/>
            </w:rPr>
            <w:tab/>
            <w:t>N/A</w:t>
          </w:r>
        </w:p>
        <w:p w14:paraId="75260BCC" w14:textId="77777777" w:rsidR="003D5DB4" w:rsidRPr="000D0101" w:rsidRDefault="003D5DB4" w:rsidP="000A5389">
          <w:pPr>
            <w:spacing w:line="240" w:lineRule="auto"/>
            <w:rPr>
              <w:rFonts w:eastAsia="Times New Roman"/>
              <w:lang w:eastAsia="es-CO"/>
            </w:rPr>
          </w:pPr>
          <w:r w:rsidRPr="000D0101">
            <w:rPr>
              <w:rFonts w:eastAsia="Times New Roman"/>
              <w:lang w:eastAsia="es-CO"/>
            </w:rPr>
            <w:t>Nueva fecha de finalización estimada: N/A</w:t>
          </w:r>
        </w:p>
        <w:p w14:paraId="4F9F785C" w14:textId="77777777" w:rsidR="003D5DB4" w:rsidRPr="000D0101" w:rsidRDefault="003D5DB4" w:rsidP="000A5389">
          <w:pPr>
            <w:spacing w:line="240" w:lineRule="auto"/>
            <w:rPr>
              <w:rFonts w:eastAsia="Times New Roman"/>
              <w:lang w:eastAsia="es-CO"/>
            </w:rPr>
          </w:pPr>
          <w:r w:rsidRPr="000D0101">
            <w:rPr>
              <w:rFonts w:eastAsia="Times New Roman"/>
              <w:lang w:eastAsia="es-CO"/>
            </w:rPr>
            <w:t>Observaciones: N/A</w:t>
          </w:r>
        </w:p>
        <w:p w14:paraId="33D946F3" w14:textId="77777777" w:rsidR="003D5DB4" w:rsidRPr="000D0101" w:rsidRDefault="003D5DB4" w:rsidP="000A5389">
          <w:pPr>
            <w:spacing w:line="240" w:lineRule="auto"/>
            <w:rPr>
              <w:rFonts w:eastAsia="Times New Roman"/>
              <w:lang w:eastAsia="es-CO"/>
            </w:rPr>
          </w:pPr>
          <w:r w:rsidRPr="000D0101">
            <w:rPr>
              <w:rFonts w:eastAsia="Times New Roman"/>
              <w:lang w:eastAsia="es-CO"/>
            </w:rPr>
            <w:t>Adiciones o modificaciones en valor</w:t>
          </w:r>
        </w:p>
        <w:p w14:paraId="3183B6D7" w14:textId="77777777" w:rsidR="003D5DB4" w:rsidRPr="000D0101" w:rsidRDefault="003D5DB4" w:rsidP="000A5389">
          <w:pPr>
            <w:spacing w:line="240" w:lineRule="auto"/>
            <w:rPr>
              <w:rFonts w:eastAsia="Times New Roman"/>
              <w:lang w:eastAsia="es-CO"/>
            </w:rPr>
          </w:pPr>
          <w:r w:rsidRPr="000D0101">
            <w:rPr>
              <w:rFonts w:eastAsia="Times New Roman"/>
              <w:lang w:eastAsia="es-CO"/>
            </w:rPr>
            <w:t>Valor de la adición o modificación: N/A</w:t>
          </w:r>
        </w:p>
        <w:p w14:paraId="250A126D" w14:textId="77777777" w:rsidR="003D5DB4" w:rsidRPr="000D0101" w:rsidRDefault="003D5DB4" w:rsidP="000A5389">
          <w:pPr>
            <w:spacing w:line="240" w:lineRule="auto"/>
            <w:rPr>
              <w:rFonts w:eastAsia="Times New Roman"/>
              <w:lang w:eastAsia="es-CO"/>
            </w:rPr>
          </w:pPr>
          <w:r w:rsidRPr="000D0101">
            <w:rPr>
              <w:rFonts w:eastAsia="Times New Roman"/>
              <w:lang w:eastAsia="es-CO"/>
            </w:rPr>
            <w:t>Nuevo valor del acuerdo: N/A</w:t>
          </w:r>
        </w:p>
        <w:p w14:paraId="0E719B8B" w14:textId="77777777" w:rsidR="003D5DB4" w:rsidRPr="000D0101" w:rsidRDefault="003D5DB4" w:rsidP="000A5389">
          <w:pPr>
            <w:spacing w:line="240" w:lineRule="auto"/>
            <w:rPr>
              <w:rFonts w:eastAsia="Times New Roman"/>
              <w:lang w:eastAsia="es-CO"/>
            </w:rPr>
          </w:pPr>
        </w:p>
        <w:p w14:paraId="3768E2F6" w14:textId="77777777" w:rsidR="003D5DB4" w:rsidRDefault="003D5DB4" w:rsidP="000A5389">
          <w:pPr>
            <w:spacing w:line="240" w:lineRule="auto"/>
            <w:rPr>
              <w:rFonts w:eastAsia="Times New Roman"/>
              <w:lang w:eastAsia="es-CO"/>
            </w:rPr>
          </w:pPr>
          <w:r w:rsidRPr="000D0101">
            <w:rPr>
              <w:rFonts w:eastAsia="Times New Roman"/>
              <w:lang w:eastAsia="es-CO"/>
            </w:rPr>
            <w:t>Observaciones: N/A</w:t>
          </w:r>
        </w:p>
        <w:p w14:paraId="60B55733" w14:textId="77777777" w:rsidR="00D1143E" w:rsidRDefault="00D1143E" w:rsidP="000A5389">
          <w:pPr>
            <w:spacing w:line="240" w:lineRule="auto"/>
            <w:rPr>
              <w:rFonts w:eastAsia="Times New Roman"/>
              <w:lang w:eastAsia="es-CO"/>
            </w:rPr>
          </w:pPr>
        </w:p>
        <w:p w14:paraId="39356AC6" w14:textId="77777777" w:rsidR="00D1143E" w:rsidRPr="000D0101" w:rsidRDefault="00D1143E" w:rsidP="000A5389">
          <w:pPr>
            <w:spacing w:line="240" w:lineRule="auto"/>
            <w:rPr>
              <w:rFonts w:eastAsia="Times New Roman"/>
              <w:lang w:eastAsia="es-CO"/>
            </w:rPr>
          </w:pPr>
        </w:p>
        <w:p w14:paraId="3E1916E8" w14:textId="77777777" w:rsidR="003D5DB4" w:rsidRPr="00C933C5" w:rsidRDefault="003D5DB4" w:rsidP="000A5389">
          <w:pPr>
            <w:spacing w:line="240" w:lineRule="auto"/>
            <w:rPr>
              <w:rFonts w:eastAsia="Times New Roman"/>
              <w:i/>
              <w:iCs/>
              <w:lang w:eastAsia="es-CO"/>
            </w:rPr>
          </w:pPr>
          <w:r w:rsidRPr="00C933C5">
            <w:rPr>
              <w:rFonts w:eastAsia="Times New Roman"/>
              <w:i/>
              <w:iCs/>
              <w:lang w:eastAsia="es-CO"/>
            </w:rPr>
            <w:t xml:space="preserve">SOCIEDAD PORTUARIA TRANSMARSYP S.A. </w:t>
          </w:r>
        </w:p>
        <w:p w14:paraId="63909A05" w14:textId="77777777" w:rsidR="003D5DB4" w:rsidRPr="000D0101" w:rsidRDefault="003D5DB4" w:rsidP="000A5389">
          <w:pPr>
            <w:spacing w:line="240" w:lineRule="auto"/>
            <w:rPr>
              <w:rFonts w:eastAsia="Times New Roman"/>
              <w:lang w:eastAsia="es-CO"/>
            </w:rPr>
          </w:pPr>
        </w:p>
        <w:p w14:paraId="3D71A68E" w14:textId="77777777" w:rsidR="003D5DB4" w:rsidRPr="000D0101" w:rsidRDefault="003D5DB4" w:rsidP="000A5389">
          <w:pPr>
            <w:spacing w:line="240" w:lineRule="auto"/>
          </w:pPr>
          <w:r w:rsidRPr="000D0101">
            <w:t>a. Descripción del Acuerdo</w:t>
          </w:r>
        </w:p>
        <w:p w14:paraId="4C0F6F46" w14:textId="77777777" w:rsidR="003D5DB4" w:rsidRPr="000D0101" w:rsidRDefault="003D5DB4" w:rsidP="000A5389">
          <w:pPr>
            <w:spacing w:line="240" w:lineRule="auto"/>
          </w:pPr>
        </w:p>
        <w:p w14:paraId="072CBA88" w14:textId="77777777" w:rsidR="003D5DB4" w:rsidRPr="000D0101" w:rsidRDefault="003D5DB4" w:rsidP="000A5389">
          <w:pPr>
            <w:spacing w:line="240" w:lineRule="auto"/>
          </w:pPr>
          <w:r w:rsidRPr="000D0101">
            <w:t xml:space="preserve">Número del Acuerdo de Concesión: </w:t>
          </w:r>
          <w:r w:rsidRPr="000D0101">
            <w:rPr>
              <w:rStyle w:val="EncabezadoCar"/>
              <w:rFonts w:cs="Times New Roman"/>
              <w:szCs w:val="24"/>
            </w:rPr>
            <w:t>001 de 2006</w:t>
          </w:r>
        </w:p>
        <w:p w14:paraId="4DC5F053" w14:textId="77777777" w:rsidR="003D5DB4" w:rsidRPr="000D0101" w:rsidRDefault="003D5DB4" w:rsidP="000A5389">
          <w:pPr>
            <w:spacing w:line="240" w:lineRule="auto"/>
          </w:pPr>
          <w:r w:rsidRPr="000D0101">
            <w:t>Objeto / Descripción: En virtud del Contrato de concesión y sus modificaciones, se permite al CONCESIONARIO una concesión portuaria para ocupar y utilizar en forma temporal y exclusiva la zona de uso público e infraestructura que se describe a continuación y la cual está conformada por una línea de playa, terrenos de bajamar y zonas accesorias a aquellas o estos, para que opere, mantenga y/o construya la infraestructura de un muelle de uso público, para el cargue y descargue de mercancías en rutas de cabotaje, a cambio de la contraprestación establecida en la Cláusula Octava de este contrato.</w:t>
          </w:r>
        </w:p>
        <w:p w14:paraId="3DA172F3" w14:textId="77777777" w:rsidR="003D5DB4" w:rsidRPr="000D0101" w:rsidRDefault="003D5DB4" w:rsidP="000A5389">
          <w:pPr>
            <w:spacing w:line="240" w:lineRule="auto"/>
          </w:pPr>
          <w:r w:rsidRPr="000D0101">
            <w:t>Valor inicial: USD $1.001.738.54, Cláusula Primera/Otrosí No. 02 de 26 de septiembre de 2008.</w:t>
          </w:r>
        </w:p>
        <w:p w14:paraId="75C3A319" w14:textId="77777777" w:rsidR="003D5DB4" w:rsidRPr="000D0101" w:rsidRDefault="003D5DB4" w:rsidP="000A5389">
          <w:pPr>
            <w:spacing w:line="240" w:lineRule="auto"/>
          </w:pPr>
          <w:r w:rsidRPr="000D0101">
            <w:t>Fecha de inicio: 16/08/2006</w:t>
          </w:r>
        </w:p>
        <w:p w14:paraId="6D54F994" w14:textId="77777777" w:rsidR="003D5DB4" w:rsidRPr="000D0101" w:rsidRDefault="003D5DB4" w:rsidP="000A5389">
          <w:pPr>
            <w:spacing w:line="240" w:lineRule="auto"/>
          </w:pPr>
          <w:r w:rsidRPr="000D0101">
            <w:t>Fecha de finalización estimada: 15/08/2026</w:t>
          </w:r>
        </w:p>
        <w:p w14:paraId="6FF79A93" w14:textId="77777777" w:rsidR="003D5DB4" w:rsidRPr="000D0101" w:rsidRDefault="003D5DB4" w:rsidP="000A5389">
          <w:pPr>
            <w:spacing w:line="240" w:lineRule="auto"/>
          </w:pPr>
          <w:r w:rsidRPr="000D0101">
            <w:t xml:space="preserve">Tipo ID: </w:t>
          </w:r>
          <w:r w:rsidRPr="000D0101">
            <w:rPr>
              <w:rStyle w:val="Estilo5"/>
              <w:rFonts w:cs="Times New Roman"/>
              <w:szCs w:val="24"/>
            </w:rPr>
            <w:t>NIT</w:t>
          </w:r>
        </w:p>
        <w:p w14:paraId="08F1E454" w14:textId="77777777" w:rsidR="003D5DB4" w:rsidRPr="000D0101" w:rsidRDefault="003D5DB4" w:rsidP="000A5389">
          <w:pPr>
            <w:spacing w:line="240" w:lineRule="auto"/>
          </w:pPr>
          <w:r w:rsidRPr="000D0101">
            <w:t xml:space="preserve">Número ID: </w:t>
          </w:r>
          <w:r w:rsidRPr="000D0101">
            <w:rPr>
              <w:rStyle w:val="Estilo6"/>
              <w:rFonts w:cs="Times New Roman"/>
              <w:szCs w:val="24"/>
            </w:rPr>
            <w:t>806016841-1</w:t>
          </w:r>
        </w:p>
        <w:p w14:paraId="42D125C9" w14:textId="77777777" w:rsidR="003D5DB4" w:rsidRPr="000D0101" w:rsidRDefault="003D5DB4" w:rsidP="000A5389">
          <w:pPr>
            <w:spacing w:line="240" w:lineRule="auto"/>
          </w:pPr>
          <w:r w:rsidRPr="000D0101">
            <w:t>Razón social del concesionario: Sociedad Portuaria TRANSMARSYP S.A.</w:t>
          </w:r>
        </w:p>
        <w:p w14:paraId="6CA35D7E" w14:textId="77777777" w:rsidR="003D5DB4" w:rsidRPr="000D0101" w:rsidRDefault="003D5DB4" w:rsidP="000A5389">
          <w:pPr>
            <w:spacing w:line="240" w:lineRule="auto"/>
          </w:pPr>
          <w:r w:rsidRPr="000D0101">
            <w:t>Nombre del proyecto: Sociedad Portuaria TRANSMARSYP S.A.</w:t>
          </w:r>
        </w:p>
        <w:p w14:paraId="5246A3EF" w14:textId="77777777" w:rsidR="003D5DB4" w:rsidRPr="000D0101" w:rsidRDefault="003D5DB4" w:rsidP="000A5389">
          <w:pPr>
            <w:spacing w:line="240" w:lineRule="auto"/>
            <w:rPr>
              <w:lang w:val="es-MX"/>
            </w:rPr>
          </w:pPr>
          <w:r w:rsidRPr="000D0101">
            <w:rPr>
              <w:lang w:val="es-MX"/>
            </w:rPr>
            <w:t>b. Términos significativos del Acuerdo que puedan afectar su valor, el calendario y la certeza de los flujos</w:t>
          </w:r>
        </w:p>
        <w:p w14:paraId="7B0BD6B8" w14:textId="77777777" w:rsidR="003D5DB4" w:rsidRPr="000D0101" w:rsidRDefault="003D5DB4" w:rsidP="000A5389">
          <w:pPr>
            <w:spacing w:line="240" w:lineRule="auto"/>
          </w:pPr>
        </w:p>
        <w:p w14:paraId="10395B51" w14:textId="77777777" w:rsidR="003D5DB4" w:rsidRPr="000D0101" w:rsidRDefault="003D5DB4" w:rsidP="000A5389">
          <w:pPr>
            <w:spacing w:line="240" w:lineRule="auto"/>
          </w:pPr>
          <w:r w:rsidRPr="000D0101">
            <w:t xml:space="preserve">Términos de valor: </w:t>
          </w:r>
          <w:r w:rsidRPr="000D0101">
            <w:rPr>
              <w:rStyle w:val="EncabezadoCar"/>
              <w:rFonts w:cs="Times New Roman"/>
              <w:szCs w:val="24"/>
            </w:rPr>
            <w:t xml:space="preserve">1: Tarifas: Al ser el terminal marítimo de servicio público la Ley 1 de 1991 establece: las sociedades portuarias que operan puertos de servicio público las tarifas requieren ser aprobadas según la metodología establecida por la Superintendencia General de Puertos hoy Superintendencia de Transporte.2: Contraprestación portuaria: De acuerdo con el último documento contractual vigente la metodología de contraprestación vigente es CONPES 2680 DE 1993 (Productividad). Se establece en la Cláusula Octava del contrato y modificada mediante otrosí No. 2 de fecha 26 de septiembre de 2008 que el CONCESIONARIO deberá pagar por concepto de zona de uso público la suma trimestral de </w:t>
          </w:r>
          <w:r w:rsidRPr="000D0101">
            <w:rPr>
              <w:rStyle w:val="EncabezadoCar"/>
              <w:rFonts w:cs="Times New Roman"/>
              <w:szCs w:val="24"/>
            </w:rPr>
            <w:lastRenderedPageBreak/>
            <w:t>(USD 26.527,80), de dicho pago el 80% le corresponde a la Nación Instituto nacional de vías (INVIAS) y el 20% restante al distrito de Cartagena de acuerdo con lo establecido en el parágrafo 1 del artículo 1 de la ley 856 del 21 de diciembre de 2003, que modifica el artículo 7 de la ley 1ª de 1991. Así mismo, por concepto de infraestructura el CONCESIONARIO deberá pagar la suma trimestral de (USD 4.691,78), el cual corresponde en un 100% a la Nación - Instituto Nacional de Vías (INVIAS) de acuerdo con lo establecido en el artículo 1 de la ley 856 del 21 diciembre de 2003.3: Plan de Inversiones: está establecido en el Artículo Primero de la Resolución No. 1455 de fecha 17 de enero de 2013 y Resolución No. 149 del 21 de enero de 2014 que el plan de inversión será de USD $617.511,00.Obras Adicionales:  Mediante Otrosí No. 04 de 2021 se autorizaron obras adicionales a cuenta y riesgo del Concesionario por un valor de USD $414.331 CUATROCIENTOS CATORCE MIL TRESCIENTOS TREINTA Y UN DÓLARES CORRIENTES. Obligaciones del Concesionario: se encuentran descritas en la Cláusula Décima quinta. Multas y sanciones: están establecidas en la Cláusula Décima Octava. Penal pecuniaria: En la Cláusula Décima Novena se establece que en el evento en que el INCO hoy ANI declare la caducidad o el incumplimiento del presente contrato se podrá imponer una penalidad pecuniaria.</w:t>
          </w:r>
        </w:p>
        <w:p w14:paraId="0370D951" w14:textId="77777777" w:rsidR="003D5DB4" w:rsidRDefault="003D5DB4" w:rsidP="000A5389">
          <w:pPr>
            <w:spacing w:line="240" w:lineRule="auto"/>
            <w:rPr>
              <w:rStyle w:val="EncabezadoCar"/>
              <w:rFonts w:cs="Times New Roman"/>
              <w:szCs w:val="24"/>
            </w:rPr>
          </w:pPr>
          <w:r w:rsidRPr="000D0101">
            <w:t xml:space="preserve">Términos de calendario: </w:t>
          </w:r>
          <w:r w:rsidRPr="000D0101">
            <w:rPr>
              <w:rStyle w:val="EncabezadoCar"/>
              <w:rFonts w:cs="Times New Roman"/>
              <w:szCs w:val="24"/>
            </w:rPr>
            <w:t>Se otorga a EL CONCESIONARIO el derecho de ocupar y utilizar en forma temporal y exclusiva los bienes pertenecientes a la Nación determinados en la Cláusula Segunda del contrato, a cambio de la contraprestación económica. Cláusula Octava y modificada mediante Otrosí No. 2 de fecha 26 de septiembre de 2008, del valor a pagar por concepto de contraprestación por Zona de Uso público, el 80% le corresponde a la Nación-INVIAS y el 20 % al Distrito Turístico de Cartagena de Indias y por Infraestructura el 100% a la Nación-INVIAS.</w:t>
          </w:r>
        </w:p>
        <w:p w14:paraId="3671B85C" w14:textId="77777777" w:rsidR="001B234E" w:rsidRPr="000D0101" w:rsidRDefault="001B234E" w:rsidP="000A5389">
          <w:pPr>
            <w:spacing w:line="240" w:lineRule="auto"/>
          </w:pPr>
        </w:p>
        <w:p w14:paraId="1B4DB652" w14:textId="77777777" w:rsidR="003D5DB4" w:rsidRDefault="003D5DB4" w:rsidP="000A5389">
          <w:pPr>
            <w:spacing w:line="240" w:lineRule="auto"/>
            <w:rPr>
              <w:rStyle w:val="EncabezadoCar"/>
              <w:rFonts w:cs="Times New Roman"/>
              <w:szCs w:val="24"/>
            </w:rPr>
          </w:pPr>
          <w:r w:rsidRPr="000D0101">
            <w:t xml:space="preserve">Términos de certeza de flujos de efectivo futuros: </w:t>
          </w:r>
          <w:r w:rsidRPr="000D0101">
            <w:rPr>
              <w:rStyle w:val="EncabezadoCar"/>
              <w:rFonts w:cs="Times New Roman"/>
              <w:szCs w:val="24"/>
            </w:rPr>
            <w:t>Se otorga a EL CONCESIONARIO el derecho de ocupar y utilizar en forma temporal y exclusiva los bienes pertenecientes a la Nación determinados en la Cláusula Segunda del contrato, a cambio de la contraprestación económica. Cláusula Octava y modificada mediante Otrosí No. 2 de fecha 26 de septiembre de 2008, del valor a pagar por concepto de contraprestación por Zona de Uso público, el 80% le corresponde a la Nación-INVIAS y el 20 % al Distrito Turístico de Cartagena de Indias y por Infraestructura el 100% a la Nación-INVIAS.</w:t>
          </w:r>
        </w:p>
        <w:p w14:paraId="63D28E1D" w14:textId="77777777" w:rsidR="001B234E" w:rsidRPr="000D0101" w:rsidRDefault="001B234E" w:rsidP="000A5389">
          <w:pPr>
            <w:spacing w:line="240" w:lineRule="auto"/>
          </w:pPr>
        </w:p>
        <w:p w14:paraId="0F581C9E" w14:textId="77777777" w:rsidR="003D5DB4" w:rsidRPr="000D0101" w:rsidRDefault="003D5DB4" w:rsidP="000A5389">
          <w:pPr>
            <w:spacing w:line="240" w:lineRule="auto"/>
            <w:rPr>
              <w:lang w:val="es-MX"/>
            </w:rPr>
          </w:pPr>
          <w:r w:rsidRPr="000D0101">
            <w:rPr>
              <w:lang w:val="es-MX"/>
            </w:rPr>
            <w:t>c. Naturaleza y alcance del derecho a utilizar activos especificados y los aspectos pactados en torno a lo que se espera que el concesionario proporcione en relación con el acuerdo de concesión</w:t>
          </w:r>
        </w:p>
        <w:p w14:paraId="424E8F0C" w14:textId="77777777" w:rsidR="003D5DB4" w:rsidRPr="000D0101" w:rsidRDefault="003D5DB4" w:rsidP="000A5389">
          <w:pPr>
            <w:spacing w:line="240" w:lineRule="auto"/>
          </w:pPr>
        </w:p>
        <w:p w14:paraId="5AD29B4C" w14:textId="77777777" w:rsidR="003D5DB4" w:rsidRPr="000D0101" w:rsidRDefault="003D5DB4" w:rsidP="000A5389">
          <w:pPr>
            <w:spacing w:line="240" w:lineRule="auto"/>
          </w:pPr>
          <w:r w:rsidRPr="000D0101">
            <w:t>Naturaleza y alcance del derecho de uso de los activos</w:t>
          </w:r>
        </w:p>
        <w:p w14:paraId="5C9C8794" w14:textId="77777777" w:rsidR="003D5DB4" w:rsidRPr="000D0101" w:rsidRDefault="003D5DB4" w:rsidP="000A5389">
          <w:pPr>
            <w:spacing w:line="240" w:lineRule="auto"/>
          </w:pPr>
        </w:p>
        <w:p w14:paraId="7C0A11DA" w14:textId="77777777" w:rsidR="003D5DB4" w:rsidRPr="000D0101" w:rsidRDefault="003D5DB4" w:rsidP="000A5389">
          <w:pPr>
            <w:spacing w:line="240" w:lineRule="auto"/>
          </w:pPr>
          <w:r w:rsidRPr="000D0101">
            <w:t xml:space="preserve">Descripción: Descripción del proyecto, especificaciones técnicas, modalidades de operación: las condiciones especiales de operación del puerto están establecidas en la cláusula quinta del Contrato de Concesión. Área entregada en concesión: La descripción de la ubicación, linderos y extensión de los bienes de uso público (playas y terrenos de baja mar, zonas marítimas accesorias de maniobras) entregados en concesión están establecidos en la cláusula segunda. Infraestructura y equipos entregados en concesión: En la cláusula segunda del </w:t>
          </w:r>
          <w:r w:rsidRPr="000D0101">
            <w:lastRenderedPageBreak/>
            <w:t>Contrato, se describe que lo entregado en concesión fue: Infraestructura: Una dársena, un tablestacado en pilotes de ferro cemento, una viga corona, un sistema de anclaje de tablestacado, 4 bitas de amarre.</w:t>
          </w:r>
        </w:p>
        <w:p w14:paraId="295BD747" w14:textId="77777777" w:rsidR="003D5DB4" w:rsidRPr="000D0101" w:rsidRDefault="003D5DB4" w:rsidP="000A5389">
          <w:pPr>
            <w:spacing w:line="240" w:lineRule="auto"/>
          </w:pPr>
          <w:r w:rsidRPr="000D0101">
            <w:t xml:space="preserve">Observaciones: </w:t>
          </w:r>
          <w:r w:rsidRPr="000D0101">
            <w:rPr>
              <w:rStyle w:val="Estilo6"/>
              <w:rFonts w:cs="Times New Roman"/>
              <w:szCs w:val="24"/>
            </w:rPr>
            <w:t>N/A</w:t>
          </w:r>
        </w:p>
        <w:p w14:paraId="435E74AB" w14:textId="77777777" w:rsidR="003D5DB4" w:rsidRPr="000D0101" w:rsidRDefault="003D5DB4" w:rsidP="000A5389">
          <w:pPr>
            <w:spacing w:line="240" w:lineRule="auto"/>
          </w:pPr>
          <w:r w:rsidRPr="000D0101">
            <w:t>Retribución al concesionario</w:t>
          </w:r>
        </w:p>
        <w:p w14:paraId="19AE8E9A" w14:textId="77777777" w:rsidR="003D5DB4" w:rsidRPr="000D0101" w:rsidRDefault="003D5DB4" w:rsidP="000A5389">
          <w:pPr>
            <w:spacing w:line="240" w:lineRule="auto"/>
          </w:pPr>
        </w:p>
        <w:p w14:paraId="58A1728D" w14:textId="77777777" w:rsidR="003D5DB4" w:rsidRPr="000D0101" w:rsidRDefault="003D5DB4" w:rsidP="000A5389">
          <w:pPr>
            <w:spacing w:line="240" w:lineRule="auto"/>
          </w:pPr>
          <w:r w:rsidRPr="000D0101">
            <w:t>Descripción: Cláusula primera Contrato 007 de 1993: Se otorga a EL CONCESIONARIO el derecho de ocupar y utilizar en forma temporal y exclusiva las playas, los terrenos de bajamar y zonas accesorias a aquellas o estos, descritos en la cláusula segunda del contrato, a cambio de la contraprestación económica.</w:t>
          </w:r>
        </w:p>
        <w:p w14:paraId="44B46570" w14:textId="77777777" w:rsidR="003D5DB4" w:rsidRPr="000D0101" w:rsidRDefault="003D5DB4" w:rsidP="000A5389">
          <w:pPr>
            <w:spacing w:line="240" w:lineRule="auto"/>
          </w:pPr>
          <w:r w:rsidRPr="000D0101">
            <w:t xml:space="preserve">Tasa de retribución: </w:t>
          </w:r>
          <w:r w:rsidRPr="000D0101">
            <w:rPr>
              <w:rStyle w:val="Estilo6"/>
              <w:rFonts w:cs="Times New Roman"/>
              <w:szCs w:val="24"/>
            </w:rPr>
            <w:t>N/A</w:t>
          </w:r>
        </w:p>
        <w:p w14:paraId="57A447D6" w14:textId="77777777" w:rsidR="003D5DB4" w:rsidRPr="000D0101" w:rsidRDefault="003D5DB4" w:rsidP="000A5389">
          <w:pPr>
            <w:spacing w:line="240" w:lineRule="auto"/>
          </w:pPr>
          <w:r w:rsidRPr="000D0101">
            <w:t>d. Derechos a recibir activos especificados al final del acuerdo de concesión</w:t>
          </w:r>
        </w:p>
        <w:p w14:paraId="5464C7E4" w14:textId="77777777" w:rsidR="003D5DB4" w:rsidRPr="000D0101" w:rsidRDefault="003D5DB4" w:rsidP="000A5389">
          <w:pPr>
            <w:spacing w:line="240" w:lineRule="auto"/>
          </w:pPr>
        </w:p>
        <w:p w14:paraId="395545ED" w14:textId="77777777" w:rsidR="003D5DB4" w:rsidRPr="000D0101" w:rsidRDefault="003D5DB4" w:rsidP="000A5389">
          <w:pPr>
            <w:spacing w:line="240" w:lineRule="auto"/>
          </w:pPr>
          <w:r w:rsidRPr="000D0101">
            <w:t>Descripción: De acuerdo con el Artículo 8º de la Ley 1 de 1991 en el modo portuario el concesionario no tiene derechos finales sobre activos los debe revertir a la Nación al final del contrato de concesión.</w:t>
          </w:r>
        </w:p>
        <w:p w14:paraId="1768759C" w14:textId="77777777" w:rsidR="003D5DB4" w:rsidRPr="000D0101" w:rsidRDefault="003D5DB4" w:rsidP="000A5389">
          <w:pPr>
            <w:spacing w:line="240" w:lineRule="auto"/>
          </w:pPr>
          <w:r w:rsidRPr="000D0101">
            <w:t xml:space="preserve">Observaciones: </w:t>
          </w:r>
          <w:r w:rsidRPr="000D0101">
            <w:rPr>
              <w:rStyle w:val="Estilo6"/>
              <w:rFonts w:cs="Times New Roman"/>
              <w:szCs w:val="24"/>
            </w:rPr>
            <w:t>Sin observaciones.</w:t>
          </w:r>
        </w:p>
        <w:p w14:paraId="1D74935A" w14:textId="77777777" w:rsidR="003D5DB4" w:rsidRPr="000D0101" w:rsidRDefault="003D5DB4" w:rsidP="000A5389">
          <w:pPr>
            <w:spacing w:line="240" w:lineRule="auto"/>
          </w:pPr>
          <w:r w:rsidRPr="000D0101">
            <w:t>e. Las alternativas de renovación y cese del Acuerdo</w:t>
          </w:r>
        </w:p>
        <w:p w14:paraId="1C45A795" w14:textId="77777777" w:rsidR="003D5DB4" w:rsidRPr="000D0101" w:rsidRDefault="003D5DB4" w:rsidP="000A5389">
          <w:pPr>
            <w:spacing w:line="240" w:lineRule="auto"/>
          </w:pPr>
        </w:p>
        <w:p w14:paraId="373AC856" w14:textId="77777777" w:rsidR="003D5DB4" w:rsidRPr="000D0101" w:rsidRDefault="003D5DB4" w:rsidP="000A5389">
          <w:pPr>
            <w:spacing w:line="240" w:lineRule="auto"/>
          </w:pPr>
          <w:r w:rsidRPr="000D0101">
            <w:t>Descripción: La cláusula vigésima tercera del contrato de concesión, estipula los parámetros para la terminación del contrato</w:t>
          </w:r>
        </w:p>
        <w:p w14:paraId="65245079" w14:textId="77777777" w:rsidR="003D5DB4" w:rsidRPr="000D0101" w:rsidRDefault="003D5DB4" w:rsidP="000A5389">
          <w:pPr>
            <w:spacing w:line="240" w:lineRule="auto"/>
            <w:rPr>
              <w:rStyle w:val="Estilo3"/>
              <w:rFonts w:cs="Times New Roman"/>
              <w:szCs w:val="24"/>
            </w:rPr>
          </w:pPr>
          <w:r w:rsidRPr="000D0101">
            <w:t>Observaciones: Actualmente se encuentra en proceso de prórroga para 20 años mas</w:t>
          </w:r>
        </w:p>
        <w:p w14:paraId="3D302BDE" w14:textId="77777777" w:rsidR="003D5DB4" w:rsidRPr="000D0101" w:rsidRDefault="003D5DB4" w:rsidP="000A5389">
          <w:pPr>
            <w:spacing w:line="240" w:lineRule="auto"/>
          </w:pPr>
        </w:p>
        <w:p w14:paraId="7C0FAB6D" w14:textId="77777777" w:rsidR="003D5DB4" w:rsidRPr="000D0101" w:rsidRDefault="003D5DB4" w:rsidP="000A5389">
          <w:pPr>
            <w:spacing w:line="240" w:lineRule="auto"/>
            <w:rPr>
              <w:lang w:val="es-MX"/>
            </w:rPr>
          </w:pPr>
          <w:r w:rsidRPr="000D0101">
            <w:rPr>
              <w:lang w:val="es-MX"/>
            </w:rPr>
            <w:t>f. Cambios en el acuerdo de concesión que se realicen durante el periodo fiscal</w:t>
          </w:r>
        </w:p>
        <w:p w14:paraId="00307541" w14:textId="77777777" w:rsidR="003D5DB4" w:rsidRPr="000D0101" w:rsidRDefault="003D5DB4" w:rsidP="000A5389">
          <w:pPr>
            <w:spacing w:line="240" w:lineRule="auto"/>
            <w:rPr>
              <w:lang w:val="es-MX"/>
            </w:rPr>
          </w:pPr>
        </w:p>
        <w:p w14:paraId="5E0EED71" w14:textId="77777777" w:rsidR="003D5DB4" w:rsidRPr="000D0101" w:rsidRDefault="003D5DB4" w:rsidP="000A5389">
          <w:pPr>
            <w:spacing w:line="240" w:lineRule="auto"/>
          </w:pPr>
          <w:r w:rsidRPr="000D0101">
            <w:t>Adiciones o modificaciones en tiempo</w:t>
          </w:r>
        </w:p>
        <w:p w14:paraId="7DB7F60B" w14:textId="77777777" w:rsidR="003D5DB4" w:rsidRPr="000D0101" w:rsidRDefault="003D5DB4" w:rsidP="000A5389">
          <w:pPr>
            <w:spacing w:line="240" w:lineRule="auto"/>
          </w:pPr>
          <w:r w:rsidRPr="000D0101">
            <w:t xml:space="preserve">Fechas de las adiciones o modificaciones: </w:t>
          </w:r>
          <w:r w:rsidRPr="000D0101">
            <w:rPr>
              <w:rStyle w:val="Estilo6"/>
              <w:rFonts w:cs="Times New Roman"/>
              <w:szCs w:val="24"/>
            </w:rPr>
            <w:t>N/A</w:t>
          </w:r>
        </w:p>
        <w:p w14:paraId="1567051A" w14:textId="77777777" w:rsidR="003D5DB4" w:rsidRPr="000D0101" w:rsidRDefault="003D5DB4" w:rsidP="000A5389">
          <w:pPr>
            <w:spacing w:line="240" w:lineRule="auto"/>
            <w:rPr>
              <w:rStyle w:val="Estilo6"/>
              <w:rFonts w:cs="Times New Roman"/>
              <w:szCs w:val="24"/>
            </w:rPr>
          </w:pPr>
          <w:r w:rsidRPr="000D0101">
            <w:t xml:space="preserve">Nueva fecha de finalización estimada: </w:t>
          </w:r>
          <w:r w:rsidRPr="000D0101">
            <w:rPr>
              <w:rStyle w:val="Estilo6"/>
              <w:rFonts w:cs="Times New Roman"/>
              <w:szCs w:val="24"/>
            </w:rPr>
            <w:t>N/A</w:t>
          </w:r>
        </w:p>
        <w:p w14:paraId="2C3B68B9" w14:textId="77777777" w:rsidR="003D5DB4" w:rsidRPr="000D0101" w:rsidRDefault="003D5DB4" w:rsidP="000A5389">
          <w:pPr>
            <w:spacing w:line="240" w:lineRule="auto"/>
          </w:pPr>
          <w:r w:rsidRPr="000D0101">
            <w:t xml:space="preserve">Observaciones: </w:t>
          </w:r>
          <w:r w:rsidRPr="000D0101">
            <w:rPr>
              <w:rStyle w:val="Estilo6"/>
              <w:rFonts w:cs="Times New Roman"/>
              <w:szCs w:val="24"/>
            </w:rPr>
            <w:t>Sin observaciones</w:t>
          </w:r>
        </w:p>
        <w:p w14:paraId="7E2D5679" w14:textId="77777777" w:rsidR="003D5DB4" w:rsidRPr="000D0101" w:rsidRDefault="003D5DB4" w:rsidP="000A5389">
          <w:pPr>
            <w:spacing w:line="240" w:lineRule="auto"/>
          </w:pPr>
          <w:r w:rsidRPr="000D0101">
            <w:t>Adiciones o modificaciones en valor</w:t>
          </w:r>
        </w:p>
        <w:p w14:paraId="2C5B54EC" w14:textId="77777777" w:rsidR="003D5DB4" w:rsidRPr="000D0101" w:rsidRDefault="003D5DB4" w:rsidP="000A5389">
          <w:pPr>
            <w:spacing w:line="240" w:lineRule="auto"/>
            <w:rPr>
              <w:rStyle w:val="Estilo6"/>
              <w:rFonts w:cs="Times New Roman"/>
              <w:szCs w:val="24"/>
            </w:rPr>
          </w:pPr>
          <w:r w:rsidRPr="000D0101">
            <w:t xml:space="preserve">Valor de la adición o modificación: </w:t>
          </w:r>
          <w:r w:rsidRPr="000D0101">
            <w:rPr>
              <w:rStyle w:val="Estilo6"/>
              <w:rFonts w:cs="Times New Roman"/>
              <w:szCs w:val="24"/>
            </w:rPr>
            <w:t>N/A</w:t>
          </w:r>
        </w:p>
        <w:p w14:paraId="46D5AA0A" w14:textId="77777777" w:rsidR="003D5DB4" w:rsidRPr="000D0101" w:rsidRDefault="003D5DB4" w:rsidP="000A5389">
          <w:pPr>
            <w:spacing w:line="240" w:lineRule="auto"/>
            <w:rPr>
              <w:rStyle w:val="Estilo6"/>
              <w:rFonts w:cs="Times New Roman"/>
              <w:szCs w:val="24"/>
            </w:rPr>
          </w:pPr>
          <w:r w:rsidRPr="000D0101">
            <w:t xml:space="preserve">Nuevo valor del acuerdo: </w:t>
          </w:r>
          <w:r w:rsidRPr="000D0101">
            <w:rPr>
              <w:rStyle w:val="Estilo6"/>
              <w:rFonts w:cs="Times New Roman"/>
              <w:szCs w:val="24"/>
            </w:rPr>
            <w:t>N/A</w:t>
          </w:r>
        </w:p>
        <w:p w14:paraId="0DE92657" w14:textId="77777777" w:rsidR="003D5DB4" w:rsidRDefault="003D5DB4" w:rsidP="000A5389">
          <w:pPr>
            <w:spacing w:line="240" w:lineRule="auto"/>
            <w:rPr>
              <w:rStyle w:val="Estilo6"/>
              <w:rFonts w:cs="Times New Roman"/>
              <w:szCs w:val="24"/>
            </w:rPr>
          </w:pPr>
          <w:r w:rsidRPr="000D0101">
            <w:t xml:space="preserve">Observaciones: </w:t>
          </w:r>
          <w:r w:rsidRPr="000D0101">
            <w:rPr>
              <w:rStyle w:val="Estilo6"/>
              <w:rFonts w:cs="Times New Roman"/>
              <w:szCs w:val="24"/>
            </w:rPr>
            <w:t>N/A</w:t>
          </w:r>
        </w:p>
        <w:p w14:paraId="14AE2F53" w14:textId="77777777" w:rsidR="00C933C5" w:rsidRPr="000D0101" w:rsidRDefault="00C933C5" w:rsidP="000A5389">
          <w:pPr>
            <w:spacing w:line="240" w:lineRule="auto"/>
          </w:pPr>
        </w:p>
        <w:p w14:paraId="44708FE0" w14:textId="77777777" w:rsidR="003D5DB4" w:rsidRPr="000D0101" w:rsidRDefault="003D5DB4" w:rsidP="000A5389">
          <w:pPr>
            <w:spacing w:line="240" w:lineRule="auto"/>
          </w:pPr>
        </w:p>
        <w:p w14:paraId="2D4C6E06" w14:textId="77777777" w:rsidR="003D5DB4" w:rsidRPr="00C933C5" w:rsidRDefault="003D5DB4" w:rsidP="000A5389">
          <w:pPr>
            <w:spacing w:line="240" w:lineRule="auto"/>
            <w:rPr>
              <w:rFonts w:eastAsia="Times New Roman"/>
              <w:i/>
              <w:iCs/>
              <w:lang w:eastAsia="es-CO"/>
            </w:rPr>
          </w:pPr>
          <w:r w:rsidRPr="00C933C5">
            <w:rPr>
              <w:rFonts w:eastAsia="Times New Roman"/>
              <w:i/>
              <w:iCs/>
              <w:lang w:eastAsia="es-CO"/>
            </w:rPr>
            <w:t>SOCIEDAD PUERTO INDUSTRIAL AGUADULCE S.A.</w:t>
          </w:r>
        </w:p>
        <w:p w14:paraId="6825BA5D" w14:textId="77777777" w:rsidR="003D5DB4" w:rsidRPr="000D0101" w:rsidRDefault="003D5DB4" w:rsidP="000A5389">
          <w:pPr>
            <w:spacing w:line="240" w:lineRule="auto"/>
            <w:rPr>
              <w:rFonts w:eastAsia="Times New Roman"/>
              <w:lang w:eastAsia="es-CO"/>
            </w:rPr>
          </w:pPr>
        </w:p>
        <w:p w14:paraId="0A6B67FE" w14:textId="77777777" w:rsidR="003D5DB4" w:rsidRPr="000D0101" w:rsidRDefault="003D5DB4" w:rsidP="000A5389">
          <w:pPr>
            <w:spacing w:line="240" w:lineRule="auto"/>
          </w:pPr>
          <w:r w:rsidRPr="000D0101">
            <w:t>a. Descripción del Acuerdo</w:t>
          </w:r>
        </w:p>
        <w:p w14:paraId="55812575" w14:textId="77777777" w:rsidR="003D5DB4" w:rsidRPr="000D0101" w:rsidRDefault="003D5DB4" w:rsidP="000A5389">
          <w:pPr>
            <w:spacing w:line="240" w:lineRule="auto"/>
          </w:pPr>
        </w:p>
        <w:p w14:paraId="0EEAB72F" w14:textId="287BCADE" w:rsidR="003D5DB4" w:rsidRPr="000D0101" w:rsidRDefault="003D5DB4" w:rsidP="000A5389">
          <w:pPr>
            <w:spacing w:line="240" w:lineRule="auto"/>
          </w:pPr>
          <w:r w:rsidRPr="000D0101">
            <w:t>Número del Acuerdo de Concesión: 010 de 2007</w:t>
          </w:r>
        </w:p>
        <w:p w14:paraId="5D824C35" w14:textId="77777777" w:rsidR="003D5DB4" w:rsidRPr="000D0101" w:rsidRDefault="003D5DB4" w:rsidP="000A5389">
          <w:pPr>
            <w:spacing w:line="240" w:lineRule="auto"/>
          </w:pPr>
          <w:r w:rsidRPr="000D0101">
            <w:t xml:space="preserve">Objeto / Descripción: Otorgar formalmente a la SOCIEDAD PUERTO INDUSTRIAL DE AGUADULCE S.A. una concesión portuaria para ocupar y utilizar en forma temporal y exclusiva la zona de uso público que incluye el sector de playa, terrenos de bajamar y las zonas marítimas accesorias a aquellos o estos, que se encuentran ubicados en la Bahía Interior </w:t>
          </w:r>
          <w:r w:rsidRPr="000D0101">
            <w:lastRenderedPageBreak/>
            <w:t>de Buenaventura, por el termino de treinta (30) años, a cambio de la contraprestación establecida en la Cláusula Octava  de este contrato, para la planeación, construcción, establecimiento, administración y operación de un puerto multipropósito de servicio público orientado a la satisfacción de los requerimientos y necesidades del tráfico y el comercio nacional e internacional.</w:t>
          </w:r>
        </w:p>
        <w:p w14:paraId="6AB267B1" w14:textId="77777777" w:rsidR="003D5DB4" w:rsidRPr="000D0101" w:rsidRDefault="003D5DB4" w:rsidP="000A5389">
          <w:pPr>
            <w:spacing w:line="240" w:lineRule="auto"/>
          </w:pPr>
        </w:p>
        <w:p w14:paraId="5940D45B" w14:textId="77777777" w:rsidR="003D5DB4" w:rsidRPr="000D0101" w:rsidRDefault="003D5DB4" w:rsidP="000A5389">
          <w:pPr>
            <w:spacing w:line="240" w:lineRule="auto"/>
          </w:pPr>
          <w:r w:rsidRPr="000D0101">
            <w:t xml:space="preserve">Valor inicial: </w:t>
          </w:r>
          <w:r w:rsidRPr="000D0101">
            <w:rPr>
              <w:lang w:val="pt-PT"/>
            </w:rPr>
            <w:t>USD $11.910.002 Cláusula Octava/Contrato No. 010 de 2007.</w:t>
          </w:r>
        </w:p>
        <w:p w14:paraId="271F85D8" w14:textId="77777777" w:rsidR="003D5DB4" w:rsidRPr="000D0101" w:rsidRDefault="003D5DB4" w:rsidP="000A5389">
          <w:pPr>
            <w:spacing w:line="240" w:lineRule="auto"/>
          </w:pPr>
          <w:r w:rsidRPr="000D0101">
            <w:t>Fecha de inicio: 28/12/2007</w:t>
          </w:r>
        </w:p>
        <w:p w14:paraId="7F5E80B0" w14:textId="77777777" w:rsidR="003D5DB4" w:rsidRPr="000D0101" w:rsidRDefault="003D5DB4" w:rsidP="000A5389">
          <w:pPr>
            <w:spacing w:line="240" w:lineRule="auto"/>
          </w:pPr>
          <w:r w:rsidRPr="000D0101">
            <w:t>Fecha de finalización estimada: 27/12/2037</w:t>
          </w:r>
        </w:p>
        <w:p w14:paraId="677BDC3E" w14:textId="77777777" w:rsidR="003D5DB4" w:rsidRPr="000D0101" w:rsidRDefault="003D5DB4" w:rsidP="000A5389">
          <w:pPr>
            <w:spacing w:line="240" w:lineRule="auto"/>
          </w:pPr>
          <w:r w:rsidRPr="000D0101">
            <w:t xml:space="preserve">Tipo ID: </w:t>
          </w:r>
          <w:r w:rsidRPr="000D0101">
            <w:rPr>
              <w:rStyle w:val="Estilo5"/>
              <w:rFonts w:cs="Times New Roman"/>
              <w:szCs w:val="24"/>
            </w:rPr>
            <w:t>NIT</w:t>
          </w:r>
        </w:p>
        <w:p w14:paraId="15BD1D8E" w14:textId="77777777" w:rsidR="003D5DB4" w:rsidRPr="000D0101" w:rsidRDefault="003D5DB4" w:rsidP="000A5389">
          <w:pPr>
            <w:spacing w:line="240" w:lineRule="auto"/>
          </w:pPr>
          <w:r w:rsidRPr="000D0101">
            <w:t>Número ID: 835.000.149-8.</w:t>
          </w:r>
        </w:p>
        <w:p w14:paraId="13237AB3" w14:textId="77777777" w:rsidR="003D5DB4" w:rsidRPr="000D0101" w:rsidRDefault="003D5DB4" w:rsidP="000A5389">
          <w:pPr>
            <w:spacing w:line="240" w:lineRule="auto"/>
          </w:pPr>
          <w:r w:rsidRPr="000D0101">
            <w:t>Razón social del concesionario: Sociedad Puerto Industrial Aguadulce S.A.</w:t>
          </w:r>
        </w:p>
        <w:p w14:paraId="5326DBA6" w14:textId="77777777" w:rsidR="003D5DB4" w:rsidRPr="000D0101" w:rsidRDefault="003D5DB4" w:rsidP="000A5389">
          <w:pPr>
            <w:spacing w:line="240" w:lineRule="auto"/>
          </w:pPr>
          <w:r w:rsidRPr="000D0101">
            <w:t>Nombre del proyecto: Sociedad Puerto Industrial Aguadulce S.A.</w:t>
          </w:r>
        </w:p>
        <w:p w14:paraId="14C5591B" w14:textId="77777777" w:rsidR="003D5DB4" w:rsidRPr="000D0101" w:rsidRDefault="003D5DB4" w:rsidP="000A5389">
          <w:pPr>
            <w:spacing w:line="240" w:lineRule="auto"/>
            <w:rPr>
              <w:lang w:val="es-MX"/>
            </w:rPr>
          </w:pPr>
        </w:p>
        <w:p w14:paraId="71F82690" w14:textId="77777777" w:rsidR="003D5DB4" w:rsidRPr="000D0101" w:rsidRDefault="003D5DB4" w:rsidP="000A5389">
          <w:pPr>
            <w:spacing w:line="240" w:lineRule="auto"/>
            <w:rPr>
              <w:lang w:val="es-MX"/>
            </w:rPr>
          </w:pPr>
          <w:r w:rsidRPr="000D0101">
            <w:rPr>
              <w:lang w:val="es-MX"/>
            </w:rPr>
            <w:t>b. Términos significativos del Acuerdo que puedan afectar su valor, el calendario y la certeza de los flujos</w:t>
          </w:r>
        </w:p>
        <w:p w14:paraId="57EC66A2" w14:textId="77777777" w:rsidR="003D5DB4" w:rsidRPr="000D0101" w:rsidRDefault="003D5DB4" w:rsidP="000A5389">
          <w:pPr>
            <w:spacing w:line="240" w:lineRule="auto"/>
          </w:pPr>
        </w:p>
        <w:p w14:paraId="232A4CAA" w14:textId="77777777" w:rsidR="003D5DB4" w:rsidRPr="000D0101" w:rsidRDefault="003D5DB4" w:rsidP="000A5389">
          <w:pPr>
            <w:spacing w:line="240" w:lineRule="auto"/>
          </w:pPr>
          <w:r w:rsidRPr="000D0101">
            <w:t xml:space="preserve">Términos de valor: Tarifas: Las sociedades portuarias que operan puertos de servicio público las tarifas requieren ser aprobadas según la metodología establecida por la Superintendencia General de Puertos hoy Superintendencia de Transporte. Contraprestación portuaria: De acuerdo con el último documento contractual vigente la metodología de contraprestación vigente es CONPES 2680 DE 1993 (Productividad). Se establece en la cláusula octava del Contrato que el CONCESIONARIO deberá pagar por concepto de zona de uso público la suma anual de (USD 1.424.303), de dicho pago el 80% le corresponde a la Nación Instituto nacional de vías (INVIAS) y el 20% restante al municipio de Buenaventura de acuerdo con lo establecido en el parágrafo 1 del artículo 1 de la ley 856 del 21 de diciembre de 2003, que modifica el artículo 7 de la ley 1ª de 1991. Plan de Inversiones:  El Plan de Inversiones está establecido en la Cláusula Séptima del Contrato, modificado por el Otrosí No. 3 de 2014, en su Cláusula Segunda, que dispuso un plan de inversión por un valor de USD 322.019.889 en valores corrientes. Posteriormente, el Otrosí No. 5, en su Cláusula Primera, modificó tanto el valor como el cronograma de las inversiones, estableciendo un nuevo valor para el Plan de Inversiones de USD 370.166.045 en dólares corrientes. Obligaciones del CONCESIONARIO: se encuentran descritas en la cláusula décima quinta. Multas y sanciones: están establecidas en la cláusula décima octava.  Al 31 de diciembre de 2019 no se han fijado multas. Penal pecuniaria: En la cláusula décima novena se establece que en el evento en que el INCO hoy ANI declare la caducidad o el incumplimiento del presente contrato se podrá imponer una penalidad pecuniaria. Riesgos: están descritos en la cláusula décima segunda del Otrosí No. 1 de 2009, el CONCESIONARIO acepta la totalidad de los riesgos inherentes a la ejecución del contrato en su etapa preoperativa, de construcciones operación, y de reversión, serán asumidos por EL, y que la ocurrencia de algún riesgo no dará derecho a indemnización o reconocimiento alguno a favor del CONCESIONARIO. </w:t>
          </w:r>
        </w:p>
        <w:p w14:paraId="28CBDA3E" w14:textId="77777777" w:rsidR="003D5DB4" w:rsidRPr="000D0101" w:rsidRDefault="003D5DB4" w:rsidP="000A5389">
          <w:pPr>
            <w:spacing w:line="240" w:lineRule="auto"/>
          </w:pPr>
        </w:p>
        <w:p w14:paraId="2F80571D" w14:textId="77777777" w:rsidR="003D5DB4" w:rsidRPr="000D0101" w:rsidRDefault="003D5DB4" w:rsidP="000A5389">
          <w:pPr>
            <w:spacing w:line="240" w:lineRule="auto"/>
          </w:pPr>
          <w:r w:rsidRPr="000D0101">
            <w:t xml:space="preserve">Términos de calendario: Tarifas: Aprobadas según la metodología establecida por la Superintendencia General de Puertos, hoy Superintendencia de Transporte. Contraprestación </w:t>
          </w:r>
          <w:r w:rsidRPr="000D0101">
            <w:lastRenderedPageBreak/>
            <w:t>portuaria: la contraprestación se debe pagar de manera anual anticipada desde el mes de enero de cada año. Plan de inversiones: Se estableció en la Resolución 1118 de 2016, la ejecución de inversiones en el periodo de tiempo comprendido entre el año 2013 a 2021. Multas: están establecidas en la cláusula décima octava.</w:t>
          </w:r>
        </w:p>
        <w:p w14:paraId="699ABE29" w14:textId="77777777" w:rsidR="003D5DB4" w:rsidRPr="000D0101" w:rsidRDefault="003D5DB4" w:rsidP="000A5389">
          <w:pPr>
            <w:spacing w:line="240" w:lineRule="auto"/>
          </w:pPr>
        </w:p>
        <w:p w14:paraId="707E27CC" w14:textId="77777777" w:rsidR="003D5DB4" w:rsidRPr="000D0101" w:rsidRDefault="003D5DB4" w:rsidP="000A5389">
          <w:pPr>
            <w:spacing w:line="240" w:lineRule="auto"/>
          </w:pPr>
          <w:r w:rsidRPr="000D0101">
            <w:t>Términos de certeza de flujos de efectivo futuros: Se otorga a EL CONCESIONARIO el derecho de ocupar y utilizar en forma temporal y exclusiva las playas, los terrenos de bajamar y zonas accesorias a aquellas o estos, descritos en la cláusula primera del contrato, a cambio de la contraprestación económica. Cláusula sexta, parágrafo segundo Del valor a pagar por concepto de contraprestación por Zona de Uso público el 80% le corresponde a la Nación-INVIAS y el 20 % al municipio de Buenaventura y por Infraestructura el 100% a la Nación-INVIAS.</w:t>
          </w:r>
        </w:p>
        <w:p w14:paraId="32C9B572" w14:textId="77777777" w:rsidR="003D5DB4" w:rsidRPr="000D0101" w:rsidRDefault="003D5DB4" w:rsidP="000A5389">
          <w:pPr>
            <w:spacing w:line="240" w:lineRule="auto"/>
            <w:rPr>
              <w:lang w:val="es-MX"/>
            </w:rPr>
          </w:pPr>
        </w:p>
        <w:p w14:paraId="7F42A576" w14:textId="77777777" w:rsidR="003D5DB4" w:rsidRPr="000D0101" w:rsidRDefault="003D5DB4" w:rsidP="000A5389">
          <w:pPr>
            <w:spacing w:line="240" w:lineRule="auto"/>
            <w:rPr>
              <w:lang w:val="es-MX"/>
            </w:rPr>
          </w:pPr>
          <w:r w:rsidRPr="000D0101">
            <w:rPr>
              <w:lang w:val="es-MX"/>
            </w:rPr>
            <w:t>c. Naturaleza y alcance del derecho a utilizar activos especificados y los aspectos pactados en torno a lo que se espera que el concesionario proporcione en relación con el acuerdo de concesión</w:t>
          </w:r>
        </w:p>
        <w:p w14:paraId="3AD291E9" w14:textId="77777777" w:rsidR="003D5DB4" w:rsidRPr="000D0101" w:rsidRDefault="003D5DB4" w:rsidP="000A5389">
          <w:pPr>
            <w:spacing w:line="240" w:lineRule="auto"/>
          </w:pPr>
        </w:p>
        <w:p w14:paraId="3B345CCE" w14:textId="77777777" w:rsidR="003D5DB4" w:rsidRPr="000D0101" w:rsidRDefault="003D5DB4" w:rsidP="000A5389">
          <w:pPr>
            <w:spacing w:line="240" w:lineRule="auto"/>
          </w:pPr>
          <w:r w:rsidRPr="000D0101">
            <w:t>Naturaleza y alcance del derecho de uso de los activos</w:t>
          </w:r>
        </w:p>
        <w:p w14:paraId="62D91769" w14:textId="77777777" w:rsidR="003D5DB4" w:rsidRPr="000D0101" w:rsidRDefault="003D5DB4" w:rsidP="000A5389">
          <w:pPr>
            <w:spacing w:line="240" w:lineRule="auto"/>
          </w:pPr>
        </w:p>
        <w:p w14:paraId="3D640969" w14:textId="77777777" w:rsidR="003D5DB4" w:rsidRPr="000D0101" w:rsidRDefault="003D5DB4" w:rsidP="000A5389">
          <w:pPr>
            <w:spacing w:line="240" w:lineRule="auto"/>
          </w:pPr>
          <w:r w:rsidRPr="000D0101">
            <w:t>Descripción: Activos reconocidos Alcance del derecho de uso de los activos: Descripción del proyecto, especificaciones técnicas, modalidades de operación: Las condiciones especiales de operación del puerto están establecidas en la Cláusula Primera del Otrosí No. 3 de 2014, el cual modifica la Clausula Tercera del Otrosí No. 1 de 2009 que a su vez modifico la Clausula Quinta del Contrato de Concesión portuaria. Área entregada en concesión: La descripción de la ubicación, linderos y extensión de los bienes de uso público (playas, terrenos de baja mar, las aguas accesorias y de maniobra) entregados en concesión están establecidos en la Cláusula Segunda del Otrosí No. 1 de 2009 Infraestructura y equipos entregados en concesión: En el contrato de concesión portuaria no fueron entregados activos relacionados con infraestructura y equipos.</w:t>
          </w:r>
        </w:p>
        <w:p w14:paraId="41C9DB0F" w14:textId="77777777" w:rsidR="003D5DB4" w:rsidRPr="000D0101" w:rsidRDefault="003D5DB4" w:rsidP="000A5389">
          <w:pPr>
            <w:spacing w:line="240" w:lineRule="auto"/>
          </w:pPr>
        </w:p>
        <w:p w14:paraId="77E5A716" w14:textId="77777777" w:rsidR="003D5DB4" w:rsidRPr="000D0101" w:rsidRDefault="003D5DB4" w:rsidP="000A5389">
          <w:pPr>
            <w:spacing w:line="240" w:lineRule="auto"/>
          </w:pPr>
          <w:r w:rsidRPr="000D0101">
            <w:t>Observaciones: N/A</w:t>
          </w:r>
        </w:p>
        <w:p w14:paraId="4047F2A0" w14:textId="77777777" w:rsidR="003D5DB4" w:rsidRPr="000D0101" w:rsidRDefault="003D5DB4" w:rsidP="000A5389">
          <w:pPr>
            <w:spacing w:line="240" w:lineRule="auto"/>
          </w:pPr>
        </w:p>
        <w:p w14:paraId="2333B2E0" w14:textId="77777777" w:rsidR="003D5DB4" w:rsidRPr="000D0101" w:rsidRDefault="003D5DB4" w:rsidP="000A5389">
          <w:pPr>
            <w:spacing w:line="240" w:lineRule="auto"/>
          </w:pPr>
          <w:r w:rsidRPr="000D0101">
            <w:t>Retribución al concesionario</w:t>
          </w:r>
        </w:p>
        <w:p w14:paraId="1162118C" w14:textId="77777777" w:rsidR="003D5DB4" w:rsidRPr="000D0101" w:rsidRDefault="003D5DB4" w:rsidP="000A5389">
          <w:pPr>
            <w:spacing w:line="240" w:lineRule="auto"/>
          </w:pPr>
        </w:p>
        <w:p w14:paraId="7A47D6FC" w14:textId="77777777" w:rsidR="003D5DB4" w:rsidRPr="000D0101" w:rsidRDefault="003D5DB4" w:rsidP="000A5389">
          <w:pPr>
            <w:spacing w:line="240" w:lineRule="auto"/>
          </w:pPr>
          <w:r w:rsidRPr="000D0101">
            <w:t>Descripción: Cláusula primera Contrato 010 de 2010: Se otorga a EL CONCESIONARIO el derecho de ocupar y utilizar en forma temporal y exclusiva las playas, los terrenos de bajamar y zonas accesorias a aquellas o estos, descritos en la cláusula segunda del contrato, a cambio de la contraprestación económica.</w:t>
          </w:r>
        </w:p>
        <w:p w14:paraId="310F8B6B" w14:textId="77777777" w:rsidR="003D5DB4" w:rsidRPr="000D0101" w:rsidRDefault="003D5DB4" w:rsidP="000A5389">
          <w:pPr>
            <w:spacing w:line="240" w:lineRule="auto"/>
          </w:pPr>
        </w:p>
        <w:p w14:paraId="3C6443BD" w14:textId="77777777" w:rsidR="003D5DB4" w:rsidRPr="000D0101" w:rsidRDefault="003D5DB4" w:rsidP="000A5389">
          <w:pPr>
            <w:spacing w:line="240" w:lineRule="auto"/>
          </w:pPr>
          <w:r w:rsidRPr="000D0101">
            <w:t>Tasa de retribución: N/A</w:t>
          </w:r>
        </w:p>
        <w:p w14:paraId="6D878884" w14:textId="77777777" w:rsidR="003D5DB4" w:rsidRPr="000D0101" w:rsidRDefault="003D5DB4" w:rsidP="000A5389">
          <w:pPr>
            <w:spacing w:line="240" w:lineRule="auto"/>
          </w:pPr>
        </w:p>
        <w:p w14:paraId="038D2E83" w14:textId="77777777" w:rsidR="003D5DB4" w:rsidRPr="000D0101" w:rsidRDefault="003D5DB4" w:rsidP="000A5389">
          <w:pPr>
            <w:spacing w:line="240" w:lineRule="auto"/>
          </w:pPr>
          <w:r w:rsidRPr="000D0101">
            <w:t>d. Derechos a recibir activos especificados al final del acuerdo de concesión</w:t>
          </w:r>
        </w:p>
        <w:p w14:paraId="5A3E031F" w14:textId="77777777" w:rsidR="003D5DB4" w:rsidRPr="000D0101" w:rsidRDefault="003D5DB4" w:rsidP="000A5389">
          <w:pPr>
            <w:spacing w:line="240" w:lineRule="auto"/>
          </w:pPr>
        </w:p>
        <w:p w14:paraId="180AAA8F" w14:textId="77777777" w:rsidR="003D5DB4" w:rsidRPr="000D0101" w:rsidRDefault="003D5DB4" w:rsidP="000A5389">
          <w:pPr>
            <w:spacing w:line="240" w:lineRule="auto"/>
          </w:pPr>
          <w:r w:rsidRPr="000D0101">
            <w:lastRenderedPageBreak/>
            <w:t>Descripción: De acuerdo con el Artículo 8º de la Ley 1 de 1991 en el modo portuario el concesionario no tiene derechos finales sobre activos los debe revertir a la Nación al final del contrato de concesión.</w:t>
          </w:r>
        </w:p>
        <w:p w14:paraId="6C3DF1CF" w14:textId="77777777" w:rsidR="003D5DB4" w:rsidRPr="000D0101" w:rsidRDefault="003D5DB4" w:rsidP="000A5389">
          <w:pPr>
            <w:spacing w:line="240" w:lineRule="auto"/>
          </w:pPr>
        </w:p>
        <w:p w14:paraId="1F728571" w14:textId="77777777" w:rsidR="003D5DB4" w:rsidRPr="000D0101" w:rsidRDefault="003D5DB4" w:rsidP="000A5389">
          <w:pPr>
            <w:spacing w:line="240" w:lineRule="auto"/>
          </w:pPr>
          <w:r w:rsidRPr="000D0101">
            <w:t>Observaciones: Reversión: De acuerdo con lo establecido en la cláusula décima segunda del contrato de concesión, la zona de uso público y todas las construcciones y equipos entregadas en concesión se revertirán a la Nación en buenas condiciones de operación tecnológica, mantenimiento y de adecuada eficiencia al término de este contrato y de las prórrogas si la hubiere. Igualmente procederá la reversión al ser declarado la caducidad o la terminación unilateral. Para tal fin, en el momento de la reversión el CONCESIONARIO deberá hacer entrega de un avalúo comercial actualizado y valoración técnica de las condiciones de operación de la infraestructura portuaria, equipos e inmuebles por destinación que habitualmente se encuentren instalados en las zonas de uso público que se revierten y que son propiedad de la Nación.</w:t>
          </w:r>
        </w:p>
        <w:p w14:paraId="0776019E" w14:textId="77777777" w:rsidR="003D5DB4" w:rsidRPr="000D0101" w:rsidRDefault="003D5DB4" w:rsidP="000A5389">
          <w:pPr>
            <w:spacing w:line="240" w:lineRule="auto"/>
          </w:pPr>
        </w:p>
        <w:p w14:paraId="5528BB67" w14:textId="77777777" w:rsidR="003D5DB4" w:rsidRPr="000D0101" w:rsidRDefault="003D5DB4" w:rsidP="000A5389">
          <w:pPr>
            <w:spacing w:line="240" w:lineRule="auto"/>
          </w:pPr>
          <w:r w:rsidRPr="000D0101">
            <w:t>e. Las alternativas de renovación y cese del Acuerdo</w:t>
          </w:r>
        </w:p>
        <w:p w14:paraId="16AA3051" w14:textId="77777777" w:rsidR="003D5DB4" w:rsidRPr="000D0101" w:rsidRDefault="003D5DB4" w:rsidP="000A5389">
          <w:pPr>
            <w:spacing w:line="240" w:lineRule="auto"/>
          </w:pPr>
        </w:p>
        <w:p w14:paraId="1A0C5B5C" w14:textId="77777777" w:rsidR="003D5DB4" w:rsidRPr="000D0101" w:rsidRDefault="003D5DB4" w:rsidP="000A5389">
          <w:pPr>
            <w:spacing w:line="240" w:lineRule="auto"/>
            <w:rPr>
              <w:lang w:val="es-MX"/>
            </w:rPr>
          </w:pPr>
          <w:r w:rsidRPr="000D0101">
            <w:t>Descripción: La prórroga solo podrá darse si está autorizada en la ley y debe ser tramitada ante el órgano competente siguiendo el procedimiento normativo vigente.</w:t>
          </w:r>
        </w:p>
        <w:p w14:paraId="67199A48" w14:textId="77777777" w:rsidR="003D5DB4" w:rsidRPr="000D0101" w:rsidRDefault="003D5DB4" w:rsidP="000A5389">
          <w:pPr>
            <w:spacing w:line="240" w:lineRule="auto"/>
          </w:pPr>
        </w:p>
        <w:p w14:paraId="5C40AF65" w14:textId="77777777" w:rsidR="003D5DB4" w:rsidRPr="000D0101" w:rsidRDefault="003D5DB4" w:rsidP="000A5389">
          <w:pPr>
            <w:spacing w:line="240" w:lineRule="auto"/>
          </w:pPr>
          <w:r w:rsidRPr="000D0101">
            <w:t xml:space="preserve">Observaciones: N/A </w:t>
          </w:r>
        </w:p>
        <w:p w14:paraId="38959D78" w14:textId="77777777" w:rsidR="003D5DB4" w:rsidRPr="000D0101" w:rsidRDefault="003D5DB4" w:rsidP="000A5389">
          <w:pPr>
            <w:spacing w:line="240" w:lineRule="auto"/>
          </w:pPr>
        </w:p>
        <w:p w14:paraId="5EC6CE06" w14:textId="77777777" w:rsidR="003D5DB4" w:rsidRPr="000D0101" w:rsidRDefault="003D5DB4" w:rsidP="000A5389">
          <w:pPr>
            <w:spacing w:line="240" w:lineRule="auto"/>
            <w:rPr>
              <w:lang w:val="es-MX"/>
            </w:rPr>
          </w:pPr>
          <w:r w:rsidRPr="000D0101">
            <w:rPr>
              <w:lang w:val="es-MX"/>
            </w:rPr>
            <w:t>f. Cambios en el acuerdo de concesión que se realicen durante el periodo fiscal</w:t>
          </w:r>
        </w:p>
        <w:p w14:paraId="0BDA9652" w14:textId="77777777" w:rsidR="003D5DB4" w:rsidRPr="000D0101" w:rsidRDefault="003D5DB4" w:rsidP="000A5389">
          <w:pPr>
            <w:spacing w:line="240" w:lineRule="auto"/>
            <w:rPr>
              <w:lang w:val="es-MX"/>
            </w:rPr>
          </w:pPr>
        </w:p>
        <w:p w14:paraId="5BC58EF8" w14:textId="77777777" w:rsidR="003D5DB4" w:rsidRPr="000D0101" w:rsidRDefault="003D5DB4" w:rsidP="000A5389">
          <w:pPr>
            <w:spacing w:line="240" w:lineRule="auto"/>
          </w:pPr>
          <w:r w:rsidRPr="000D0101">
            <w:t>Adiciones o modificaciones en tiempo</w:t>
          </w:r>
        </w:p>
        <w:p w14:paraId="450AAF5D" w14:textId="77777777" w:rsidR="003D5DB4" w:rsidRPr="000D0101" w:rsidRDefault="003D5DB4" w:rsidP="000A5389">
          <w:pPr>
            <w:spacing w:line="240" w:lineRule="auto"/>
            <w:rPr>
              <w:rStyle w:val="Estilo6"/>
              <w:rFonts w:cs="Times New Roman"/>
              <w:szCs w:val="24"/>
            </w:rPr>
          </w:pPr>
          <w:r w:rsidRPr="000D0101">
            <w:t xml:space="preserve">Fechas de las adiciones o modificaciones: </w:t>
          </w:r>
          <w:r w:rsidRPr="000D0101">
            <w:rPr>
              <w:rStyle w:val="Estilo6"/>
              <w:rFonts w:cs="Times New Roman"/>
              <w:szCs w:val="24"/>
            </w:rPr>
            <w:t>N/A</w:t>
          </w:r>
        </w:p>
        <w:p w14:paraId="45F65282" w14:textId="77777777" w:rsidR="003D5DB4" w:rsidRPr="000D0101" w:rsidRDefault="003D5DB4" w:rsidP="000A5389">
          <w:pPr>
            <w:spacing w:line="240" w:lineRule="auto"/>
            <w:rPr>
              <w:rStyle w:val="Estilo6"/>
              <w:rFonts w:cs="Times New Roman"/>
              <w:szCs w:val="24"/>
            </w:rPr>
          </w:pPr>
          <w:r w:rsidRPr="000D0101">
            <w:t xml:space="preserve">Nueva fecha de finalización estimada: </w:t>
          </w:r>
          <w:r w:rsidRPr="000D0101">
            <w:rPr>
              <w:rStyle w:val="Estilo6"/>
              <w:rFonts w:cs="Times New Roman"/>
              <w:szCs w:val="24"/>
            </w:rPr>
            <w:t>N/A</w:t>
          </w:r>
        </w:p>
        <w:p w14:paraId="15C82942" w14:textId="77777777" w:rsidR="003D5DB4" w:rsidRPr="000D0101" w:rsidRDefault="003D5DB4" w:rsidP="000A5389">
          <w:pPr>
            <w:spacing w:line="240" w:lineRule="auto"/>
          </w:pPr>
          <w:r w:rsidRPr="000D0101">
            <w:t xml:space="preserve">Observaciones: </w:t>
          </w:r>
          <w:r w:rsidRPr="000D0101">
            <w:rPr>
              <w:rStyle w:val="Estilo6"/>
              <w:rFonts w:cs="Times New Roman"/>
              <w:szCs w:val="24"/>
            </w:rPr>
            <w:t>N/A</w:t>
          </w:r>
        </w:p>
        <w:p w14:paraId="3AE38F43" w14:textId="77777777" w:rsidR="003D5DB4" w:rsidRPr="000D0101" w:rsidRDefault="003D5DB4" w:rsidP="000A5389">
          <w:pPr>
            <w:spacing w:line="240" w:lineRule="auto"/>
          </w:pPr>
          <w:r w:rsidRPr="000D0101">
            <w:t>Adiciones o modificaciones en valor</w:t>
          </w:r>
        </w:p>
        <w:p w14:paraId="46FBBF5A" w14:textId="77777777" w:rsidR="003D5DB4" w:rsidRPr="000D0101" w:rsidRDefault="003D5DB4" w:rsidP="000A5389">
          <w:pPr>
            <w:spacing w:line="240" w:lineRule="auto"/>
          </w:pPr>
          <w:r w:rsidRPr="000D0101">
            <w:t>Valor de la adición o modificación: Ajuste Plan de Inversión Otrosí 5 (USD 370.166.045) según Resolución 1118 de 2016 _ Artículo Primero</w:t>
          </w:r>
        </w:p>
        <w:p w14:paraId="42E8BA82" w14:textId="77777777" w:rsidR="003D5DB4" w:rsidRPr="000D0101" w:rsidRDefault="003D5DB4" w:rsidP="000A5389">
          <w:pPr>
            <w:spacing w:line="240" w:lineRule="auto"/>
          </w:pPr>
          <w:r w:rsidRPr="000D0101">
            <w:t>Nuevo valor del acuerdo: USD 322.019.889</w:t>
          </w:r>
        </w:p>
        <w:p w14:paraId="7547ECC2" w14:textId="77777777" w:rsidR="003D5DB4" w:rsidRPr="000D0101" w:rsidRDefault="003D5DB4" w:rsidP="000A5389">
          <w:pPr>
            <w:spacing w:line="240" w:lineRule="auto"/>
          </w:pPr>
          <w:r w:rsidRPr="000D0101">
            <w:t>Observaciones: Incluye ajuste de cronograma e inversiones</w:t>
          </w:r>
        </w:p>
        <w:p w14:paraId="7876F60F" w14:textId="77777777" w:rsidR="003D5DB4" w:rsidRPr="000D0101" w:rsidRDefault="003D5DB4" w:rsidP="000A5389">
          <w:pPr>
            <w:spacing w:line="240" w:lineRule="auto"/>
            <w:rPr>
              <w:rFonts w:eastAsia="Times New Roman"/>
              <w:lang w:eastAsia="es-CO"/>
            </w:rPr>
          </w:pPr>
        </w:p>
        <w:p w14:paraId="06CA9616" w14:textId="77777777" w:rsidR="003D5DB4" w:rsidRPr="000D0101" w:rsidRDefault="003D5DB4" w:rsidP="000A5389">
          <w:pPr>
            <w:spacing w:line="240" w:lineRule="auto"/>
            <w:rPr>
              <w:rFonts w:eastAsia="Times New Roman"/>
              <w:lang w:eastAsia="es-CO"/>
            </w:rPr>
          </w:pPr>
        </w:p>
        <w:p w14:paraId="24EC8E8E" w14:textId="77777777" w:rsidR="003D5DB4" w:rsidRPr="00804139" w:rsidRDefault="003D5DB4" w:rsidP="000A5389">
          <w:pPr>
            <w:spacing w:line="240" w:lineRule="auto"/>
            <w:rPr>
              <w:rFonts w:eastAsia="Times New Roman"/>
              <w:i/>
              <w:iCs/>
              <w:lang w:eastAsia="es-CO"/>
            </w:rPr>
          </w:pPr>
          <w:r w:rsidRPr="00804139">
            <w:rPr>
              <w:rFonts w:eastAsia="Times New Roman"/>
              <w:i/>
              <w:iCs/>
              <w:lang w:eastAsia="es-CO"/>
            </w:rPr>
            <w:t xml:space="preserve">TERMINAL DE CONTENEDORES DE CARTAGENA S.A. CONTECAR </w:t>
          </w:r>
        </w:p>
        <w:p w14:paraId="222598C8" w14:textId="77777777" w:rsidR="003D5DB4" w:rsidRPr="000D0101" w:rsidRDefault="003D5DB4" w:rsidP="000A5389">
          <w:pPr>
            <w:spacing w:line="240" w:lineRule="auto"/>
            <w:rPr>
              <w:rFonts w:eastAsia="Times New Roman"/>
              <w:lang w:eastAsia="es-CO"/>
            </w:rPr>
          </w:pPr>
        </w:p>
        <w:p w14:paraId="1762F72B" w14:textId="77777777" w:rsidR="003D5DB4" w:rsidRPr="000D0101" w:rsidRDefault="003D5DB4" w:rsidP="000A5389">
          <w:pPr>
            <w:spacing w:line="240" w:lineRule="auto"/>
          </w:pPr>
          <w:r w:rsidRPr="000D0101">
            <w:t>a. Descripción del Acuerdo</w:t>
          </w:r>
        </w:p>
        <w:p w14:paraId="4AB0DD2D" w14:textId="77777777" w:rsidR="003D5DB4" w:rsidRPr="000D0101" w:rsidRDefault="003D5DB4" w:rsidP="000A5389">
          <w:pPr>
            <w:spacing w:line="240" w:lineRule="auto"/>
          </w:pPr>
        </w:p>
        <w:p w14:paraId="7E21D5CB" w14:textId="77777777" w:rsidR="003D5DB4" w:rsidRPr="000D0101" w:rsidRDefault="003D5DB4" w:rsidP="000A5389">
          <w:pPr>
            <w:spacing w:line="240" w:lineRule="auto"/>
          </w:pPr>
          <w:r w:rsidRPr="000D0101">
            <w:t>Número del Acuerdo de Concesión: 003 de 2008</w:t>
          </w:r>
        </w:p>
        <w:p w14:paraId="5AAFEC54" w14:textId="77777777" w:rsidR="003D5DB4" w:rsidRPr="000D0101" w:rsidRDefault="003D5DB4" w:rsidP="000A5389">
          <w:pPr>
            <w:spacing w:line="240" w:lineRule="auto"/>
          </w:pPr>
          <w:r w:rsidRPr="000D0101">
            <w:t xml:space="preserve">Objeto / Descripción: En virtud del Contrato de concesión, se permite al CONCESIONARIO la ocupación en forma temporal y exclusiva de una zona de playas, de bajamar y aguas marítimas accesorias junto con las construcciones e inmuebles por destinación que allí se </w:t>
          </w:r>
          <w:r w:rsidRPr="000D0101">
            <w:lastRenderedPageBreak/>
            <w:t>encuentra, para la construcción, operación y el desarrollo de actividades portuarias de servicio público, conforme lo establece la Cláusula Primera del Contrato.</w:t>
          </w:r>
        </w:p>
        <w:p w14:paraId="2A0A4289" w14:textId="77777777" w:rsidR="003D5DB4" w:rsidRPr="000D0101" w:rsidRDefault="003D5DB4" w:rsidP="000A5389">
          <w:pPr>
            <w:spacing w:line="240" w:lineRule="auto"/>
          </w:pPr>
        </w:p>
        <w:p w14:paraId="66A74A73" w14:textId="77777777" w:rsidR="003D5DB4" w:rsidRPr="000D0101" w:rsidRDefault="003D5DB4" w:rsidP="000A5389">
          <w:pPr>
            <w:spacing w:line="240" w:lineRule="auto"/>
          </w:pPr>
          <w:r w:rsidRPr="000D0101">
            <w:t>Valor inicial: USD 15.854.066 Cláusula décima/Contrato No. 003 de 2008</w:t>
          </w:r>
        </w:p>
        <w:p w14:paraId="3ADFFEF6" w14:textId="77777777" w:rsidR="003D5DB4" w:rsidRPr="000D0101" w:rsidRDefault="003D5DB4" w:rsidP="000A5389">
          <w:pPr>
            <w:spacing w:line="240" w:lineRule="auto"/>
          </w:pPr>
          <w:r w:rsidRPr="000D0101">
            <w:t xml:space="preserve">Fecha de inicio: </w:t>
          </w:r>
          <w:r w:rsidRPr="000D0101">
            <w:rPr>
              <w:lang w:val="es-MX"/>
            </w:rPr>
            <w:t>30/12/2008</w:t>
          </w:r>
        </w:p>
        <w:p w14:paraId="3E44ED66" w14:textId="77777777" w:rsidR="003D5DB4" w:rsidRPr="000D0101" w:rsidRDefault="003D5DB4" w:rsidP="000A5389">
          <w:pPr>
            <w:spacing w:line="240" w:lineRule="auto"/>
          </w:pPr>
          <w:r w:rsidRPr="000D0101">
            <w:t xml:space="preserve">Fecha de finalización estimada: </w:t>
          </w:r>
          <w:r w:rsidRPr="000D0101">
            <w:rPr>
              <w:lang w:val="es-MX"/>
            </w:rPr>
            <w:t>29/12/2038</w:t>
          </w:r>
        </w:p>
        <w:p w14:paraId="75542736" w14:textId="77777777" w:rsidR="003D5DB4" w:rsidRPr="000D0101" w:rsidRDefault="003D5DB4" w:rsidP="000A5389">
          <w:pPr>
            <w:spacing w:line="240" w:lineRule="auto"/>
          </w:pPr>
          <w:r w:rsidRPr="000D0101">
            <w:t xml:space="preserve">Tipo ID: </w:t>
          </w:r>
          <w:r w:rsidRPr="000D0101">
            <w:rPr>
              <w:rStyle w:val="Estilo5"/>
              <w:rFonts w:cs="Times New Roman"/>
              <w:szCs w:val="24"/>
            </w:rPr>
            <w:t>NIT</w:t>
          </w:r>
        </w:p>
        <w:p w14:paraId="3871358F" w14:textId="77777777" w:rsidR="003D5DB4" w:rsidRPr="000D0101" w:rsidRDefault="003D5DB4" w:rsidP="000A5389">
          <w:pPr>
            <w:spacing w:line="240" w:lineRule="auto"/>
          </w:pPr>
          <w:r w:rsidRPr="000D0101">
            <w:t>Número ID: 800.116.164-0</w:t>
          </w:r>
        </w:p>
        <w:p w14:paraId="6A207B00" w14:textId="77777777" w:rsidR="003D5DB4" w:rsidRPr="000D0101" w:rsidRDefault="003D5DB4" w:rsidP="000A5389">
          <w:pPr>
            <w:spacing w:line="240" w:lineRule="auto"/>
          </w:pPr>
          <w:r w:rsidRPr="000D0101">
            <w:t>Razón social del concesionario: SOCIEDAD PORTUARIA TERMINAL DE CONTENEDORES DE CARTAGENA S.A.</w:t>
          </w:r>
        </w:p>
        <w:p w14:paraId="7B1B96D9" w14:textId="77777777" w:rsidR="003D5DB4" w:rsidRPr="000D0101" w:rsidRDefault="003D5DB4" w:rsidP="000A5389">
          <w:pPr>
            <w:spacing w:line="240" w:lineRule="auto"/>
          </w:pPr>
          <w:r w:rsidRPr="000D0101">
            <w:t>Nombre del proyecto: SOCIEDAD PORTUARIA TERMINAL DE CONTENEDORES DE CARTAGENA S.A.</w:t>
          </w:r>
        </w:p>
        <w:p w14:paraId="6C76F997" w14:textId="77777777" w:rsidR="003D5DB4" w:rsidRPr="000D0101" w:rsidRDefault="003D5DB4" w:rsidP="000A5389">
          <w:pPr>
            <w:spacing w:line="240" w:lineRule="auto"/>
            <w:rPr>
              <w:lang w:val="es-MX"/>
            </w:rPr>
          </w:pPr>
        </w:p>
        <w:p w14:paraId="2B521250" w14:textId="77777777" w:rsidR="003D5DB4" w:rsidRPr="000D0101" w:rsidRDefault="003D5DB4" w:rsidP="000A5389">
          <w:pPr>
            <w:spacing w:line="240" w:lineRule="auto"/>
            <w:rPr>
              <w:lang w:val="es-MX"/>
            </w:rPr>
          </w:pPr>
          <w:r w:rsidRPr="000D0101">
            <w:rPr>
              <w:lang w:val="es-MX"/>
            </w:rPr>
            <w:t>b. Términos significativos del Acuerdo que puedan afectar su valor, el calendario y la certeza de los flujos</w:t>
          </w:r>
        </w:p>
        <w:p w14:paraId="069555AB" w14:textId="77777777" w:rsidR="003D5DB4" w:rsidRPr="000D0101" w:rsidRDefault="003D5DB4" w:rsidP="000A5389">
          <w:pPr>
            <w:spacing w:line="240" w:lineRule="auto"/>
          </w:pPr>
        </w:p>
        <w:p w14:paraId="2A0422FE" w14:textId="77777777" w:rsidR="003D5DB4" w:rsidRPr="000D0101" w:rsidRDefault="003D5DB4" w:rsidP="000A5389">
          <w:pPr>
            <w:spacing w:line="240" w:lineRule="auto"/>
          </w:pPr>
          <w:r w:rsidRPr="000D0101">
            <w:t>Términos de valor: 1. Tarifas: Al ser el terminal marítimo de servicio público la Ley 1 de 1991 establece: Las sociedades portuarias que operan puertos de servicio público las tarifas requieren ser aprobadas según la metodología establecida por la Superintendencia General de Puertos hoy Superintendencia de Transporte.2. Contraprestación portuaria: De acuerdo con el último documento contractual vigente la metodología de contraprestación vigente esCONPES 2680 DE 1993 (Productividad). Se establece en la cláusula décima del Contrato que el CONCESIONARIO deberá pagar por concepto de zona de uso público la suma anual de (USD 2.078.961), de dicho pago el 80% le corresponde a la Nación (INVIAS-ANI) y el 20% restante al distrito de Cartagena de acuerdo con lo establecido en el parágrafo 1 del artículo 1 de la ley 856 del 21 de diciembre de 2003, que modifica el artículo 7 de la ley 1ª de 1991. Así mismo, por concepto de infraestructura el CONCESIONARIO deberá pagar la suma anual de (USD 217.207), el cual corresponde en un 100% a la Nación - (INVIAS-ANI) de acuerdo con lo establecido en el artículo 1 de la ley 856 del 21 diciembre de 2003.3. Plan de Inversiones: está establecido en la cláusula séptima del contrato, el plan de inversión será de USD $156.608.998 en valorescorrientes.4. Obligaciones del CONCESIONARIO: se encuentran descritas en la cláusula décima séptima.5. Multas y sanciones: están establecidas en la cláusula Vigésima. 6. Penal pecuniaria: En la cláusula Vigésima Primera se establece que en el evento en que el INCO hoy ANI declare la caducidad o el incumplimiento del presente contrato se podrá imponer una penalidad pecuniaria.7. Riesgos: están descritos en la cláusula trigésima segunda, el CONCESIONARIO acepta la totalidad de los riesgos inherentes a la ejecución del contrato en su etapa preoperativa, de construcciones operación, y de reversión, serán asumidos por EL, y que la ocurrencia de algún riesgo no dará derecho a indemnización o reconocimiento alguno a favor del CONCESIONARIO.</w:t>
          </w:r>
        </w:p>
        <w:p w14:paraId="7BBF21A4" w14:textId="77777777" w:rsidR="003D5DB4" w:rsidRPr="000D0101" w:rsidRDefault="003D5DB4" w:rsidP="000A5389">
          <w:pPr>
            <w:spacing w:line="240" w:lineRule="auto"/>
          </w:pPr>
        </w:p>
        <w:p w14:paraId="6E7A99B2" w14:textId="77777777" w:rsidR="003D5DB4" w:rsidRPr="000D0101" w:rsidRDefault="003D5DB4" w:rsidP="000A5389">
          <w:pPr>
            <w:spacing w:line="240" w:lineRule="auto"/>
          </w:pPr>
          <w:r w:rsidRPr="000D0101">
            <w:t xml:space="preserve">Términos de calendario: 1. Tarifas: Aprobadas según la metodología establecida por la Superintendencia General de Puertos hoy Superintendencia de Transporte. 2. Contraprestación portuaria: la contraprestación se debe pagar de manera anual anticipada desde el mes de enero de cada año. 3. Plan de inversiones: Se estableció en la cláusula séptima </w:t>
          </w:r>
          <w:r w:rsidRPr="000D0101">
            <w:lastRenderedPageBreak/>
            <w:t>del Contrato No. 003 de 2008, la ejecución de inversiones en el periodo de tiempo comprendido entre el año 2008 a 2016. 4. Multas: están establecidas en la cláusula vigésima.</w:t>
          </w:r>
        </w:p>
        <w:p w14:paraId="70672B16" w14:textId="77777777" w:rsidR="003D5DB4" w:rsidRPr="000D0101" w:rsidRDefault="003D5DB4" w:rsidP="000A5389">
          <w:pPr>
            <w:spacing w:line="240" w:lineRule="auto"/>
          </w:pPr>
        </w:p>
        <w:p w14:paraId="40ECDAB6" w14:textId="77777777" w:rsidR="003D5DB4" w:rsidRPr="000D0101" w:rsidRDefault="003D5DB4" w:rsidP="000A5389">
          <w:pPr>
            <w:spacing w:line="240" w:lineRule="auto"/>
          </w:pPr>
          <w:r w:rsidRPr="000D0101">
            <w:t>Términos de certeza de flujos de efectivo futuros: Se otorga a EL CONCESIONARIO el derecho de ocupar y utilizar en forma temporal y exclusiva las playas, los terrenos de bajamar y zonas accesorias a aquellas o estos, descritos en la cláusula segunda del contrato, a cambio de la contraprestación económica. Cláusula Décima, Parágrafo segundo. Del valor a pagar por concepto de contraprestación por Zona de Uso público el 80% le corresponde a la Nación-(INVIAS-ANI) y el 20 % al Distrito turístico de Cartagena de Indias y por Infraestructura el 100% a la Nación (INVIAS-ANI).</w:t>
          </w:r>
        </w:p>
        <w:p w14:paraId="598F4B5C" w14:textId="77777777" w:rsidR="003D5DB4" w:rsidRPr="000D0101" w:rsidRDefault="003D5DB4" w:rsidP="000A5389">
          <w:pPr>
            <w:spacing w:line="240" w:lineRule="auto"/>
            <w:rPr>
              <w:lang w:val="es-MX"/>
            </w:rPr>
          </w:pPr>
        </w:p>
        <w:p w14:paraId="694B010E" w14:textId="77777777" w:rsidR="003D5DB4" w:rsidRPr="000D0101" w:rsidRDefault="003D5DB4" w:rsidP="000A5389">
          <w:pPr>
            <w:spacing w:line="240" w:lineRule="auto"/>
            <w:rPr>
              <w:lang w:val="es-MX"/>
            </w:rPr>
          </w:pPr>
          <w:r w:rsidRPr="000D0101">
            <w:rPr>
              <w:lang w:val="es-MX"/>
            </w:rPr>
            <w:t>c. Naturaleza y alcance del derecho a utilizar activos especificados y los aspectos pactados en torno a lo que se espera que el concesionario proporcione en relación con el acuerdo de concesión</w:t>
          </w:r>
        </w:p>
        <w:p w14:paraId="7D7460DB" w14:textId="77777777" w:rsidR="003D5DB4" w:rsidRPr="000D0101" w:rsidRDefault="003D5DB4" w:rsidP="000A5389">
          <w:pPr>
            <w:spacing w:line="240" w:lineRule="auto"/>
          </w:pPr>
        </w:p>
        <w:p w14:paraId="74B4AB8A" w14:textId="77777777" w:rsidR="003D5DB4" w:rsidRPr="000D0101" w:rsidRDefault="003D5DB4" w:rsidP="000A5389">
          <w:pPr>
            <w:spacing w:line="240" w:lineRule="auto"/>
          </w:pPr>
          <w:r w:rsidRPr="000D0101">
            <w:t>Naturaleza y alcance del derecho de uso de los activos</w:t>
          </w:r>
        </w:p>
        <w:p w14:paraId="5225C23F" w14:textId="77777777" w:rsidR="003D5DB4" w:rsidRPr="000D0101" w:rsidRDefault="003D5DB4" w:rsidP="000A5389">
          <w:pPr>
            <w:spacing w:line="240" w:lineRule="auto"/>
          </w:pPr>
        </w:p>
        <w:p w14:paraId="0D99C122" w14:textId="77777777" w:rsidR="003D5DB4" w:rsidRPr="000D0101" w:rsidRDefault="003D5DB4" w:rsidP="000A5389">
          <w:pPr>
            <w:spacing w:line="240" w:lineRule="auto"/>
          </w:pPr>
          <w:r w:rsidRPr="000D0101">
            <w:t>Descripción: Activos reconocidos Alcance del derecho de uso de los activos: Descripción del proyecto, especificaciones técnicas, modalidades de operación: las condiciones especiales de operación del puerto están establecidas en la cláusula quinta. Área entregada en concesión: La descripción de la ubicación, linderos y extensión de los bienes de uso público (playas y terrenos de baja mar, zonas marítimas accesorias de maniobras) entregados en concesión están establecidos en la cláusula segunda. Infraestructura y equipos entregados en concesión: En la cláusula segunda del Contrato (otrosí), se describe que lo entregado en concesión fue: Infraestructura: Muelle de carga, bodega, una garita de portería, oficinas de dirección de puerto, oficina de soporte operacional, Equipos: No se contemplan equipos entregados en concesión, actualmente se cuenta con 13 grúas pórtico.</w:t>
          </w:r>
        </w:p>
        <w:p w14:paraId="5E92EB73" w14:textId="77777777" w:rsidR="003D5DB4" w:rsidRPr="000D0101" w:rsidRDefault="003D5DB4" w:rsidP="000A5389">
          <w:pPr>
            <w:spacing w:line="240" w:lineRule="auto"/>
          </w:pPr>
        </w:p>
        <w:p w14:paraId="455F7A29" w14:textId="77777777" w:rsidR="003D5DB4" w:rsidRPr="000D0101" w:rsidRDefault="003D5DB4" w:rsidP="000A5389">
          <w:pPr>
            <w:spacing w:line="240" w:lineRule="auto"/>
          </w:pPr>
          <w:r w:rsidRPr="000D0101">
            <w:t>Observaciones: N/A</w:t>
          </w:r>
        </w:p>
        <w:p w14:paraId="7ADE597F" w14:textId="77777777" w:rsidR="003D5DB4" w:rsidRPr="000D0101" w:rsidRDefault="003D5DB4" w:rsidP="000A5389">
          <w:pPr>
            <w:spacing w:line="240" w:lineRule="auto"/>
          </w:pPr>
        </w:p>
        <w:p w14:paraId="3F1C5ED7" w14:textId="77777777" w:rsidR="003D5DB4" w:rsidRPr="000D0101" w:rsidRDefault="003D5DB4" w:rsidP="000A5389">
          <w:pPr>
            <w:spacing w:line="240" w:lineRule="auto"/>
          </w:pPr>
          <w:r w:rsidRPr="000D0101">
            <w:t>Retribución al concesionario</w:t>
          </w:r>
        </w:p>
        <w:p w14:paraId="3E6F21C4" w14:textId="77777777" w:rsidR="003D5DB4" w:rsidRPr="000D0101" w:rsidRDefault="003D5DB4" w:rsidP="000A5389">
          <w:pPr>
            <w:spacing w:line="240" w:lineRule="auto"/>
          </w:pPr>
        </w:p>
        <w:p w14:paraId="486F36DE" w14:textId="77777777" w:rsidR="003D5DB4" w:rsidRPr="000D0101" w:rsidRDefault="003D5DB4" w:rsidP="000A5389">
          <w:pPr>
            <w:spacing w:line="240" w:lineRule="auto"/>
          </w:pPr>
          <w:r w:rsidRPr="000D0101">
            <w:t>Descripción: Cláusula primera Contrato 003 de 2008: Se otorga a EL CONCESIONARIO el derecho de ocupar y utilizar en forma temporal y exclusiva las playas, los terrenos de bajamar y zonas accesorias a aquellas o estos, descritos en la cláusula segunda del contrato, a cambio de la contraprestación económica.</w:t>
          </w:r>
        </w:p>
        <w:p w14:paraId="6D98B43E" w14:textId="77777777" w:rsidR="003D5DB4" w:rsidRPr="000D0101" w:rsidRDefault="003D5DB4" w:rsidP="000A5389">
          <w:pPr>
            <w:spacing w:line="240" w:lineRule="auto"/>
          </w:pPr>
        </w:p>
        <w:p w14:paraId="1647A750" w14:textId="77777777" w:rsidR="003D5DB4" w:rsidRPr="000D0101" w:rsidRDefault="003D5DB4" w:rsidP="000A5389">
          <w:pPr>
            <w:spacing w:line="240" w:lineRule="auto"/>
          </w:pPr>
          <w:r w:rsidRPr="000D0101">
            <w:t>Tasa de retribución: N/A</w:t>
          </w:r>
        </w:p>
        <w:p w14:paraId="55EA540B" w14:textId="77777777" w:rsidR="003D5DB4" w:rsidRPr="000D0101" w:rsidRDefault="003D5DB4" w:rsidP="000A5389">
          <w:pPr>
            <w:spacing w:line="240" w:lineRule="auto"/>
          </w:pPr>
        </w:p>
        <w:p w14:paraId="19A71BBD" w14:textId="77777777" w:rsidR="003D5DB4" w:rsidRPr="000D0101" w:rsidRDefault="003D5DB4" w:rsidP="000A5389">
          <w:pPr>
            <w:spacing w:line="240" w:lineRule="auto"/>
          </w:pPr>
          <w:r w:rsidRPr="000D0101">
            <w:t>d. Derechos a recibir activos especificados al final del acuerdo de concesión</w:t>
          </w:r>
        </w:p>
        <w:p w14:paraId="3C338105" w14:textId="77777777" w:rsidR="003D5DB4" w:rsidRPr="000D0101" w:rsidRDefault="003D5DB4" w:rsidP="000A5389">
          <w:pPr>
            <w:spacing w:line="240" w:lineRule="auto"/>
          </w:pPr>
          <w:r w:rsidRPr="000D0101">
            <w:t>Descripción: De acuerdo con el Artículo 8º de la Ley 1 de 1991 en el modo portuario el concesionario no tiene derechos finales sobre activos los debe revertir a la Nación al final del contrato de concesión.</w:t>
          </w:r>
        </w:p>
        <w:p w14:paraId="1EE96F77" w14:textId="77777777" w:rsidR="003D5DB4" w:rsidRPr="000D0101" w:rsidRDefault="003D5DB4" w:rsidP="000A5389">
          <w:pPr>
            <w:spacing w:line="240" w:lineRule="auto"/>
          </w:pPr>
        </w:p>
        <w:p w14:paraId="7C65E91D" w14:textId="77777777" w:rsidR="003D5DB4" w:rsidRPr="000D0101" w:rsidRDefault="003D5DB4" w:rsidP="000A5389">
          <w:pPr>
            <w:spacing w:line="240" w:lineRule="auto"/>
          </w:pPr>
          <w:r w:rsidRPr="000D0101">
            <w:lastRenderedPageBreak/>
            <w:t>Observaciones: De acuerdo con lo establecido en la cláusula décimo segunda del contrato de concesión, la zona de uso público y todas las construcciones y equipos entregadas en concesión se revertirán a la Nación en buenas condiciones de operación tecnológica, mantenimiento y de adecuada eficiencia al término de este contrato y de las prórrogas si la hubiere. Igualmente procederá la reversión al ser declarado la caducidad o la terminación unilateral. Para tal fin, en el momento de la reversión el CONCESIONARIO deberá hacer entrega de un avaluó comercial actualizado y valoración técnica de las condiciones de operación de la infraestructura portuaria, equipos e inmuebles por destinación que habitualmente se encuentren instalados en las zonas de uso público que se revierten y que son propiedad de la Nación.</w:t>
          </w:r>
        </w:p>
        <w:p w14:paraId="6CAD0946" w14:textId="77777777" w:rsidR="003D5DB4" w:rsidRPr="000D0101" w:rsidRDefault="003D5DB4" w:rsidP="000A5389">
          <w:pPr>
            <w:spacing w:line="240" w:lineRule="auto"/>
          </w:pPr>
        </w:p>
        <w:p w14:paraId="4549B97E" w14:textId="77777777" w:rsidR="003D5DB4" w:rsidRPr="000D0101" w:rsidRDefault="003D5DB4" w:rsidP="000A5389">
          <w:pPr>
            <w:spacing w:line="240" w:lineRule="auto"/>
          </w:pPr>
          <w:r w:rsidRPr="000D0101">
            <w:t>e. Las alternativas de renovación y cese del Acuerdo</w:t>
          </w:r>
        </w:p>
        <w:p w14:paraId="385DE260" w14:textId="77777777" w:rsidR="003D5DB4" w:rsidRPr="000D0101" w:rsidRDefault="003D5DB4" w:rsidP="000A5389">
          <w:pPr>
            <w:spacing w:line="240" w:lineRule="auto"/>
          </w:pPr>
        </w:p>
        <w:p w14:paraId="04C26148" w14:textId="77777777" w:rsidR="003D5DB4" w:rsidRPr="000D0101" w:rsidRDefault="003D5DB4" w:rsidP="000A5389">
          <w:pPr>
            <w:spacing w:line="240" w:lineRule="auto"/>
            <w:rPr>
              <w:lang w:val="es-MX"/>
            </w:rPr>
          </w:pPr>
          <w:r w:rsidRPr="000D0101">
            <w:t>Descripción: El cese del acuerdo se encuentra en la CLAUSULA DECIMA CUARTA del contrato</w:t>
          </w:r>
        </w:p>
        <w:p w14:paraId="301AC9EB" w14:textId="77777777" w:rsidR="003D5DB4" w:rsidRPr="000D0101" w:rsidRDefault="003D5DB4" w:rsidP="000A5389">
          <w:pPr>
            <w:spacing w:line="240" w:lineRule="auto"/>
          </w:pPr>
        </w:p>
        <w:p w14:paraId="0EC11025" w14:textId="77777777" w:rsidR="003D5DB4" w:rsidRPr="000D0101" w:rsidRDefault="003D5DB4" w:rsidP="000A5389">
          <w:pPr>
            <w:spacing w:line="240" w:lineRule="auto"/>
          </w:pPr>
          <w:r w:rsidRPr="000D0101">
            <w:t>Observaciones: La prórroga solo podrá darse si está autorizada en la ley y debe ser tramitada ante el órgano competente siguiendo el procedimiento normativo vigente.</w:t>
          </w:r>
        </w:p>
        <w:p w14:paraId="1F9511C4" w14:textId="77777777" w:rsidR="003D5DB4" w:rsidRPr="000D0101" w:rsidRDefault="003D5DB4" w:rsidP="000A5389">
          <w:pPr>
            <w:spacing w:line="240" w:lineRule="auto"/>
          </w:pPr>
        </w:p>
        <w:p w14:paraId="34D75A21" w14:textId="77777777" w:rsidR="003D5DB4" w:rsidRPr="000D0101" w:rsidRDefault="003D5DB4" w:rsidP="000A5389">
          <w:pPr>
            <w:spacing w:line="240" w:lineRule="auto"/>
            <w:rPr>
              <w:lang w:val="es-MX"/>
            </w:rPr>
          </w:pPr>
          <w:r w:rsidRPr="000D0101">
            <w:rPr>
              <w:lang w:val="es-MX"/>
            </w:rPr>
            <w:t>f. Cambios en el acuerdo de concesión que se realicen durante el periodo fiscal</w:t>
          </w:r>
        </w:p>
        <w:p w14:paraId="44A97A3B" w14:textId="77777777" w:rsidR="003D5DB4" w:rsidRPr="000D0101" w:rsidRDefault="003D5DB4" w:rsidP="000A5389">
          <w:pPr>
            <w:spacing w:line="240" w:lineRule="auto"/>
            <w:rPr>
              <w:lang w:val="es-MX"/>
            </w:rPr>
          </w:pPr>
        </w:p>
        <w:p w14:paraId="34C305E5" w14:textId="77777777" w:rsidR="003D5DB4" w:rsidRPr="000D0101" w:rsidRDefault="003D5DB4" w:rsidP="000A5389">
          <w:pPr>
            <w:spacing w:line="240" w:lineRule="auto"/>
          </w:pPr>
          <w:r w:rsidRPr="000D0101">
            <w:t>Adiciones o modificaciones en tiempo</w:t>
          </w:r>
        </w:p>
        <w:p w14:paraId="38C60193" w14:textId="77777777" w:rsidR="003D5DB4" w:rsidRPr="000D0101" w:rsidRDefault="003D5DB4" w:rsidP="000A5389">
          <w:pPr>
            <w:spacing w:line="240" w:lineRule="auto"/>
          </w:pPr>
          <w:r w:rsidRPr="000D0101">
            <w:t xml:space="preserve">Fechas de las adiciones o modificaciones: N/A </w:t>
          </w:r>
        </w:p>
        <w:p w14:paraId="1F374703" w14:textId="77777777" w:rsidR="003D5DB4" w:rsidRPr="000D0101" w:rsidRDefault="003D5DB4" w:rsidP="000A5389">
          <w:pPr>
            <w:spacing w:line="240" w:lineRule="auto"/>
          </w:pPr>
          <w:r w:rsidRPr="000D0101">
            <w:t>Nueva fecha de finalización estimada: N/A</w:t>
          </w:r>
        </w:p>
        <w:p w14:paraId="26ABF311" w14:textId="77777777" w:rsidR="003D5DB4" w:rsidRPr="000D0101" w:rsidRDefault="003D5DB4" w:rsidP="000A5389">
          <w:pPr>
            <w:spacing w:line="240" w:lineRule="auto"/>
          </w:pPr>
          <w:r w:rsidRPr="000D0101">
            <w:t>Observaciones: No se tiene ninguna observación</w:t>
          </w:r>
        </w:p>
        <w:p w14:paraId="2D9896C3" w14:textId="77777777" w:rsidR="003D5DB4" w:rsidRPr="000D0101" w:rsidRDefault="003D5DB4" w:rsidP="000A5389">
          <w:pPr>
            <w:spacing w:line="240" w:lineRule="auto"/>
          </w:pPr>
          <w:r w:rsidRPr="000D0101">
            <w:t>Adiciones o modificaciones en valor</w:t>
          </w:r>
        </w:p>
        <w:p w14:paraId="51DC8A89" w14:textId="77777777" w:rsidR="003D5DB4" w:rsidRPr="000D0101" w:rsidRDefault="003D5DB4" w:rsidP="000A5389">
          <w:pPr>
            <w:spacing w:line="240" w:lineRule="auto"/>
          </w:pPr>
          <w:r w:rsidRPr="000D0101">
            <w:t>Valor de la adición o modificación: Inversión adicional de (USD $4.200.000)</w:t>
          </w:r>
        </w:p>
        <w:p w14:paraId="14BB7F7E" w14:textId="77777777" w:rsidR="003D5DB4" w:rsidRPr="000D0101" w:rsidRDefault="003D5DB4" w:rsidP="000A5389">
          <w:pPr>
            <w:spacing w:line="240" w:lineRule="auto"/>
          </w:pPr>
          <w:r w:rsidRPr="000D0101">
            <w:t xml:space="preserve">Nuevo valor del acuerdo: Otrosí No. 01 -Nuevo valor actualizado del contrato USD $20.054.066,00. </w:t>
          </w:r>
        </w:p>
        <w:p w14:paraId="197C4E60" w14:textId="2C84F2C7" w:rsidR="003D5DB4" w:rsidRPr="000D0101" w:rsidRDefault="003D5DB4" w:rsidP="000A5389">
          <w:pPr>
            <w:spacing w:line="240" w:lineRule="auto"/>
          </w:pPr>
          <w:r w:rsidRPr="000D0101">
            <w:t>Observaciones: No se tiene ninguna observación</w:t>
          </w:r>
        </w:p>
        <w:p w14:paraId="50D772A5" w14:textId="77777777" w:rsidR="003D5DB4" w:rsidRPr="000D0101" w:rsidRDefault="003D5DB4" w:rsidP="000A5389">
          <w:pPr>
            <w:spacing w:line="240" w:lineRule="auto"/>
            <w:rPr>
              <w:rFonts w:eastAsia="Times New Roman"/>
              <w:lang w:eastAsia="es-CO"/>
            </w:rPr>
          </w:pPr>
        </w:p>
        <w:p w14:paraId="7455FF80" w14:textId="77777777" w:rsidR="003D5DB4" w:rsidRPr="000D0101" w:rsidRDefault="003D5DB4" w:rsidP="000A5389">
          <w:pPr>
            <w:spacing w:line="240" w:lineRule="auto"/>
            <w:rPr>
              <w:rFonts w:eastAsia="Times New Roman"/>
              <w:lang w:eastAsia="es-CO"/>
            </w:rPr>
          </w:pPr>
        </w:p>
        <w:p w14:paraId="2237D05B" w14:textId="77777777" w:rsidR="003D5DB4" w:rsidRPr="00804139" w:rsidRDefault="003D5DB4" w:rsidP="000A5389">
          <w:pPr>
            <w:spacing w:line="240" w:lineRule="auto"/>
            <w:rPr>
              <w:rFonts w:eastAsia="Times New Roman"/>
              <w:i/>
              <w:iCs/>
              <w:lang w:eastAsia="es-CO"/>
            </w:rPr>
          </w:pPr>
          <w:r w:rsidRPr="00804139">
            <w:rPr>
              <w:rFonts w:eastAsia="Times New Roman"/>
              <w:i/>
              <w:iCs/>
              <w:lang w:eastAsia="es-CO"/>
            </w:rPr>
            <w:t xml:space="preserve">TRANSPETROL LTDA. </w:t>
          </w:r>
        </w:p>
        <w:p w14:paraId="5240FA77" w14:textId="77777777" w:rsidR="003D5DB4" w:rsidRPr="000D0101" w:rsidRDefault="003D5DB4" w:rsidP="000A5389">
          <w:pPr>
            <w:spacing w:line="240" w:lineRule="auto"/>
            <w:rPr>
              <w:rFonts w:eastAsia="Times New Roman"/>
              <w:lang w:eastAsia="es-CO"/>
            </w:rPr>
          </w:pPr>
        </w:p>
        <w:p w14:paraId="21D5850B" w14:textId="77777777" w:rsidR="003D5DB4" w:rsidRPr="000D0101" w:rsidRDefault="003D5DB4" w:rsidP="000A5389">
          <w:pPr>
            <w:spacing w:line="240" w:lineRule="auto"/>
          </w:pPr>
          <w:r w:rsidRPr="000D0101">
            <w:t>a. Descripción del Acuerdo</w:t>
          </w:r>
        </w:p>
        <w:p w14:paraId="175DBA5C" w14:textId="77777777" w:rsidR="003D5DB4" w:rsidRPr="000D0101" w:rsidRDefault="003D5DB4" w:rsidP="000A5389">
          <w:pPr>
            <w:spacing w:line="240" w:lineRule="auto"/>
          </w:pPr>
        </w:p>
        <w:p w14:paraId="01C31A37" w14:textId="77777777" w:rsidR="003D5DB4" w:rsidRPr="000D0101" w:rsidRDefault="003D5DB4" w:rsidP="000A5389">
          <w:pPr>
            <w:spacing w:line="240" w:lineRule="auto"/>
          </w:pPr>
          <w:r w:rsidRPr="000D0101">
            <w:t>Número del Acuerdo de concesión: 001 de 2012</w:t>
          </w:r>
        </w:p>
        <w:p w14:paraId="611D82F3" w14:textId="77777777" w:rsidR="003D5DB4" w:rsidRPr="000D0101" w:rsidRDefault="003D5DB4" w:rsidP="000A5389">
          <w:pPr>
            <w:spacing w:line="240" w:lineRule="auto"/>
          </w:pPr>
          <w:r w:rsidRPr="000D0101">
            <w:t xml:space="preserve">Objeto / Descripción: En virtud del Contrato de concesión se otorga a LA SOCIEDAD CONCESIONARIA, la ocupación y utilización en forma temporal y exclusiva el área de uso público descrita en la Cláusula Segunda del contrato, a cambio de la contraprestación económica de que trata la Cláusula Octava a favor de la Nación -(INVIAS-ANI)- y el municipio de Cartagena de Indias, o a favor y en las condiciones que determine la ley. El objeto del presente contrato es entonces, la entrega a LA SOCIEDAD CONCESIONARIA del uso y explotación de una zona de uso público perteneciente a la Nación por el tiempo de </w:t>
          </w:r>
          <w:r w:rsidRPr="000D0101">
            <w:lastRenderedPageBreak/>
            <w:t>ejecución estipulado y para que sea destinada al servicio establecido en la solicitud a cambio de la contraprestación establecida en la Cláusula Octava de este contrato.</w:t>
          </w:r>
        </w:p>
        <w:p w14:paraId="44359BB7" w14:textId="77777777" w:rsidR="003D5DB4" w:rsidRPr="000D0101" w:rsidRDefault="003D5DB4" w:rsidP="000A5389">
          <w:pPr>
            <w:spacing w:line="240" w:lineRule="auto"/>
          </w:pPr>
        </w:p>
        <w:p w14:paraId="57A3837C" w14:textId="77777777" w:rsidR="003D5DB4" w:rsidRPr="000D0101" w:rsidRDefault="003D5DB4" w:rsidP="000A5389">
          <w:pPr>
            <w:spacing w:line="240" w:lineRule="auto"/>
          </w:pPr>
          <w:r w:rsidRPr="000D0101">
            <w:t>Valor inicial:</w:t>
          </w:r>
          <w:r w:rsidRPr="000D0101">
            <w:tab/>
            <w:t>USD $127.658 Cláusula octava / Contrato No 001 de 2012.</w:t>
          </w:r>
        </w:p>
        <w:p w14:paraId="36F81B3E" w14:textId="77777777" w:rsidR="003D5DB4" w:rsidRPr="000D0101" w:rsidRDefault="003D5DB4" w:rsidP="000A5389">
          <w:pPr>
            <w:spacing w:line="240" w:lineRule="auto"/>
          </w:pPr>
          <w:r w:rsidRPr="000D0101">
            <w:t>Fecha de inicio: 7/02/2012</w:t>
          </w:r>
        </w:p>
        <w:p w14:paraId="6739E247" w14:textId="77777777" w:rsidR="003D5DB4" w:rsidRPr="000D0101" w:rsidRDefault="003D5DB4" w:rsidP="000A5389">
          <w:pPr>
            <w:spacing w:line="240" w:lineRule="auto"/>
          </w:pPr>
          <w:r w:rsidRPr="000D0101">
            <w:t>Fecha de finalización estimada: 6/02/2032</w:t>
          </w:r>
        </w:p>
        <w:p w14:paraId="32AAA5F2" w14:textId="77777777" w:rsidR="003D5DB4" w:rsidRPr="000D0101" w:rsidRDefault="003D5DB4" w:rsidP="000A5389">
          <w:pPr>
            <w:spacing w:line="240" w:lineRule="auto"/>
          </w:pPr>
          <w:r w:rsidRPr="000D0101">
            <w:t>Tipo ID: NIT</w:t>
          </w:r>
        </w:p>
        <w:p w14:paraId="57ACFAD2" w14:textId="77777777" w:rsidR="003D5DB4" w:rsidRPr="000D0101" w:rsidRDefault="003D5DB4" w:rsidP="000A5389">
          <w:pPr>
            <w:spacing w:line="240" w:lineRule="auto"/>
          </w:pPr>
          <w:r w:rsidRPr="000D0101">
            <w:t>Número ID: 890.106.493-3</w:t>
          </w:r>
        </w:p>
        <w:p w14:paraId="221F3630" w14:textId="77777777" w:rsidR="003D5DB4" w:rsidRPr="000D0101" w:rsidRDefault="003D5DB4" w:rsidP="000A5389">
          <w:pPr>
            <w:spacing w:line="240" w:lineRule="auto"/>
          </w:pPr>
          <w:r w:rsidRPr="000D0101">
            <w:t>Razón social del concesionario: Sociedad Transpetrol Limitada</w:t>
          </w:r>
        </w:p>
        <w:p w14:paraId="226E987F" w14:textId="77777777" w:rsidR="003D5DB4" w:rsidRPr="000D0101" w:rsidRDefault="003D5DB4" w:rsidP="000A5389">
          <w:pPr>
            <w:spacing w:line="240" w:lineRule="auto"/>
          </w:pPr>
          <w:r w:rsidRPr="000D0101">
            <w:t>Nombre del proyecto: Sociedad Transpetrol Limitada</w:t>
          </w:r>
        </w:p>
        <w:p w14:paraId="07DCF770" w14:textId="77777777" w:rsidR="003D5DB4" w:rsidRPr="000D0101" w:rsidRDefault="003D5DB4" w:rsidP="000A5389">
          <w:pPr>
            <w:spacing w:line="240" w:lineRule="auto"/>
          </w:pPr>
        </w:p>
        <w:p w14:paraId="430D391D" w14:textId="77777777" w:rsidR="003D5DB4" w:rsidRPr="000D0101" w:rsidRDefault="003D5DB4" w:rsidP="000A5389">
          <w:pPr>
            <w:spacing w:line="240" w:lineRule="auto"/>
          </w:pPr>
          <w:r w:rsidRPr="000D0101">
            <w:t>b. Términos significativos del Acuerdo que puedan afectar su valor, el calendario y la certeza de los flujos de efectivo futuros</w:t>
          </w:r>
        </w:p>
        <w:p w14:paraId="6D54D491" w14:textId="77777777" w:rsidR="003D5DB4" w:rsidRPr="000D0101" w:rsidRDefault="003D5DB4" w:rsidP="000A5389">
          <w:pPr>
            <w:spacing w:line="240" w:lineRule="auto"/>
          </w:pPr>
        </w:p>
        <w:p w14:paraId="6A6BA001" w14:textId="77777777" w:rsidR="003D5DB4" w:rsidRPr="000D0101" w:rsidRDefault="003D5DB4" w:rsidP="000A5389">
          <w:pPr>
            <w:spacing w:line="240" w:lineRule="auto"/>
          </w:pPr>
          <w:r w:rsidRPr="000D0101">
            <w:t>Términos de valor: 1: Tarifas: Al ser el terminal marítimo de servicio privado la Ley 1 de 1991 establece: Las sociedades portuarias que operan puertos de servicio privado podrán fijar libremente sus tarifas, pero mantendrán informada sobre ellas a la Superintendencia General de Puertos hoy Superintendencia de Transporte.2: Contraprestación portuaria: De acuerdo con el último documento contractual vigente la metodología de contraprestación vigente es CONPES 2680 DE 1993 (Productividad). Se establece en la cláusula octava del Contrato que el CONCESIONARIO deberá pagar por concepto de zona de uso público la suma anual de (USD 10.255), de dicho pago el 80% le corresponde a la Nación (INVIAS-ANI) y el 20% restante al distrito de Cartagena de acuerdo con lo establecido en el parágrafo 1 del artículo 1 de la ley 856 del 21 de diciembre de 2003, que modifica el artículo 7 de la ley 1ª de 1991. Así mismo, por concepto de infraestructura el CONCESIONARIO deberá pagar la suma anual de (USD 5.005), el cual corresponde en un 100% a la Nación - (INVIAS-ANI) de acuerdo con lo establecido en el artículo 1 de la ley 856 del 21 diciembre de 2003.Para el caso de este contrato, en el año 2018 el Concesionario pagó de manera anticipada la totalidad de la contraprestación.3: Plan de Inversiones: está establecido en la cláusula séptima del contrato, el valor presente del plan de inversión será de USD $116.635.Obligaciones del CONCESIONARIO: se encuentran descritas en la cláusula décima quinta del contrato. Multas y sanciones: están establecidas en la cláusula décima octava del contrato. Penal pecuniario: En la cláusula vigésima se establece que en el evento en que el INCO hoy ANI declare la caducidad o el incumplimiento del presente contrato se podrá imponer una penalidad pecuniaria del 10% del valor total de la contraprestación.</w:t>
          </w:r>
        </w:p>
        <w:p w14:paraId="3DE644C5" w14:textId="77777777" w:rsidR="003D5DB4" w:rsidRPr="000D0101" w:rsidRDefault="003D5DB4" w:rsidP="000A5389">
          <w:pPr>
            <w:spacing w:line="240" w:lineRule="auto"/>
          </w:pPr>
        </w:p>
        <w:p w14:paraId="45E8FD74" w14:textId="77777777" w:rsidR="003D5DB4" w:rsidRPr="000D0101" w:rsidRDefault="003D5DB4" w:rsidP="000A5389">
          <w:pPr>
            <w:spacing w:line="240" w:lineRule="auto"/>
          </w:pPr>
          <w:r w:rsidRPr="000D0101">
            <w:t>Términos de calendario: 1: Tarifas: Aprobadas según la metodología establecida por la Superintendencia General de Puertos hoy Superintendencia de Transporte.2: Contraprestación portuaria: la contraprestación se debe pagar de manera anual anticipada desde el mes de febrero de cada año3: Plan de inversiones: Se estableció en la cláusula séptima del contrato ejecución de inversiones en el periodo de tiempo comprendido entre el año 2012 a 2025.4: Multas: Cláusula décima octava contrato 001 de 2012.</w:t>
          </w:r>
        </w:p>
        <w:p w14:paraId="16501459" w14:textId="77777777" w:rsidR="003D5DB4" w:rsidRPr="000D0101" w:rsidRDefault="003D5DB4" w:rsidP="000A5389">
          <w:pPr>
            <w:spacing w:line="240" w:lineRule="auto"/>
          </w:pPr>
        </w:p>
        <w:p w14:paraId="19295F92" w14:textId="77777777" w:rsidR="003D5DB4" w:rsidRPr="000D0101" w:rsidRDefault="003D5DB4" w:rsidP="000A5389">
          <w:pPr>
            <w:spacing w:line="240" w:lineRule="auto"/>
          </w:pPr>
          <w:r w:rsidRPr="000D0101">
            <w:lastRenderedPageBreak/>
            <w:t>Términos de certeza de flujos de efectivo futuros: Se otorga a EL CONCESIONARIO el derecho de ocupar y utilizar en forma temporal y exclusiva las playas, los terrenos de bajamar y zonas accesorias a aquellas o estos, descritos en la cláusula segunda del contrato, a cambio de la contraprestación económica. Cláusula Octava, numeral 1 Del valor a pagar por concepto de contraprestación por Zona de Uso público el 80% le corresponde a la Nación-(INVIAS-ANI) y el 20 % al Distrito turístico de Cartagena de Indias y por Infraestructura el 100% a la Nación-(INVIAS-ANI).</w:t>
          </w:r>
        </w:p>
        <w:p w14:paraId="63441138" w14:textId="77777777" w:rsidR="003D5DB4" w:rsidRPr="000D0101" w:rsidRDefault="003D5DB4" w:rsidP="000A5389">
          <w:pPr>
            <w:spacing w:line="240" w:lineRule="auto"/>
          </w:pPr>
        </w:p>
        <w:p w14:paraId="45557F7D" w14:textId="77777777" w:rsidR="003D5DB4" w:rsidRPr="000D0101" w:rsidRDefault="003D5DB4" w:rsidP="000A5389">
          <w:pPr>
            <w:spacing w:line="240" w:lineRule="auto"/>
          </w:pPr>
          <w:r w:rsidRPr="000D0101">
            <w:t>c. Naturaleza y alcance del derecho a utilizar Activos y los aspectos pactados en torno a lo que se espera que el concesionario proporcione en relación con el Acuerdo de concesión</w:t>
          </w:r>
        </w:p>
        <w:p w14:paraId="7C08B8B2" w14:textId="77777777" w:rsidR="003D5DB4" w:rsidRPr="000D0101" w:rsidRDefault="003D5DB4" w:rsidP="000A5389">
          <w:pPr>
            <w:spacing w:line="240" w:lineRule="auto"/>
          </w:pPr>
        </w:p>
        <w:p w14:paraId="75A28025" w14:textId="77777777" w:rsidR="003D5DB4" w:rsidRPr="000D0101" w:rsidRDefault="003D5DB4" w:rsidP="000A5389">
          <w:pPr>
            <w:spacing w:line="240" w:lineRule="auto"/>
          </w:pPr>
          <w:r w:rsidRPr="000D0101">
            <w:t>Naturaleza y alcance del derecho de uso de los Activos</w:t>
          </w:r>
        </w:p>
        <w:p w14:paraId="761AF277" w14:textId="77777777" w:rsidR="003D5DB4" w:rsidRPr="000D0101" w:rsidRDefault="003D5DB4" w:rsidP="000A5389">
          <w:pPr>
            <w:spacing w:line="240" w:lineRule="auto"/>
          </w:pPr>
        </w:p>
        <w:p w14:paraId="02D4B625" w14:textId="77777777" w:rsidR="003D5DB4" w:rsidRPr="000D0101" w:rsidRDefault="003D5DB4" w:rsidP="000A5389">
          <w:pPr>
            <w:spacing w:line="240" w:lineRule="auto"/>
          </w:pPr>
          <w:r w:rsidRPr="000D0101">
            <w:t>Descripción:</w:t>
          </w:r>
          <w:r w:rsidRPr="000D0101">
            <w:tab/>
            <w:t>Descripción del proyecto, especificaciones técnicas, modalidades de operación: las condiciones especiales de operación del puerto están establecidas en la cláusula quinta del Contrato de Concesión. Área entregada en concesión: La descripción de la ubicación, linderos y extensión de los bienes de uso público (playas y terrenos de baja mar, zonas marítimas accesorias de maniobras) entregados en concesión están establecidos en la cláusula segunda. Infraestructura y equipos entregados en concesión: En la cláusula segunda del Contrato, se describe que lo entregado en concesión fue: Infraestructura: Muelle marginal tipo T de concreto para embarcaciones mayores, Muelle de servicios para embarcaciones menores construido en madera.</w:t>
          </w:r>
        </w:p>
        <w:p w14:paraId="355C671C" w14:textId="77777777" w:rsidR="003D5DB4" w:rsidRPr="000D0101" w:rsidRDefault="003D5DB4" w:rsidP="000A5389">
          <w:pPr>
            <w:spacing w:line="240" w:lineRule="auto"/>
          </w:pPr>
        </w:p>
        <w:p w14:paraId="34EC6375" w14:textId="77777777" w:rsidR="003D5DB4" w:rsidRPr="000D0101" w:rsidRDefault="003D5DB4" w:rsidP="000A5389">
          <w:pPr>
            <w:spacing w:line="240" w:lineRule="auto"/>
          </w:pPr>
          <w:r w:rsidRPr="000D0101">
            <w:t>Observaciones: N/A</w:t>
          </w:r>
        </w:p>
        <w:p w14:paraId="6BB05884" w14:textId="77777777" w:rsidR="003D5DB4" w:rsidRPr="000D0101" w:rsidRDefault="003D5DB4" w:rsidP="000A5389">
          <w:pPr>
            <w:spacing w:line="240" w:lineRule="auto"/>
          </w:pPr>
        </w:p>
        <w:p w14:paraId="6740B810" w14:textId="77777777" w:rsidR="003D5DB4" w:rsidRPr="000D0101" w:rsidRDefault="003D5DB4" w:rsidP="000A5389">
          <w:pPr>
            <w:spacing w:line="240" w:lineRule="auto"/>
          </w:pPr>
          <w:r w:rsidRPr="000D0101">
            <w:t>Retribución al concesionario</w:t>
          </w:r>
        </w:p>
        <w:p w14:paraId="38E21E3F" w14:textId="77777777" w:rsidR="003D5DB4" w:rsidRPr="000D0101" w:rsidRDefault="003D5DB4" w:rsidP="000A5389">
          <w:pPr>
            <w:spacing w:line="240" w:lineRule="auto"/>
          </w:pPr>
        </w:p>
        <w:p w14:paraId="55AF27F5" w14:textId="77777777" w:rsidR="003D5DB4" w:rsidRPr="000D0101" w:rsidRDefault="003D5DB4" w:rsidP="000A5389">
          <w:pPr>
            <w:spacing w:line="240" w:lineRule="auto"/>
          </w:pPr>
          <w:r w:rsidRPr="000D0101">
            <w:t>Descripción:</w:t>
          </w:r>
          <w:r w:rsidRPr="000D0101">
            <w:tab/>
            <w:t>Cláusula primera Contrato 001 de 2012: Se otorga a EL CONCESIONARIO el derecho de ocupar y utilizar en forma temporal y exclusiva las playas, los terrenos de bajamar y zonas accesorias a aquellas o estos, descritos en la cláusula segunda del contrato, a cambio de la contraprestación económica.</w:t>
          </w:r>
        </w:p>
        <w:p w14:paraId="3B9CD060" w14:textId="77777777" w:rsidR="003D5DB4" w:rsidRPr="000D0101" w:rsidRDefault="003D5DB4" w:rsidP="000A5389">
          <w:pPr>
            <w:spacing w:line="240" w:lineRule="auto"/>
          </w:pPr>
        </w:p>
        <w:p w14:paraId="09F2BBB5" w14:textId="77777777" w:rsidR="003D5DB4" w:rsidRPr="000D0101" w:rsidRDefault="003D5DB4" w:rsidP="000A5389">
          <w:pPr>
            <w:spacing w:line="240" w:lineRule="auto"/>
          </w:pPr>
          <w:r w:rsidRPr="000D0101">
            <w:t>Tasa de retribución: N/A</w:t>
          </w:r>
        </w:p>
        <w:p w14:paraId="4017D782" w14:textId="77777777" w:rsidR="003D5DB4" w:rsidRPr="000D0101" w:rsidRDefault="003D5DB4" w:rsidP="000A5389">
          <w:pPr>
            <w:spacing w:line="240" w:lineRule="auto"/>
          </w:pPr>
        </w:p>
        <w:p w14:paraId="6DB37E60" w14:textId="77777777" w:rsidR="003D5DB4" w:rsidRPr="000D0101" w:rsidRDefault="003D5DB4" w:rsidP="000A5389">
          <w:pPr>
            <w:spacing w:line="240" w:lineRule="auto"/>
          </w:pPr>
          <w:r w:rsidRPr="000D0101">
            <w:t>d. Derechos a recibir Activos especificados al final del acuerdo de concesión</w:t>
          </w:r>
        </w:p>
        <w:p w14:paraId="1A041526" w14:textId="77777777" w:rsidR="003D5DB4" w:rsidRPr="000D0101" w:rsidRDefault="003D5DB4" w:rsidP="000A5389">
          <w:pPr>
            <w:spacing w:line="240" w:lineRule="auto"/>
          </w:pPr>
        </w:p>
        <w:p w14:paraId="29AC186A" w14:textId="77777777" w:rsidR="003D5DB4" w:rsidRPr="000D0101" w:rsidRDefault="003D5DB4" w:rsidP="000A5389">
          <w:pPr>
            <w:spacing w:line="240" w:lineRule="auto"/>
          </w:pPr>
          <w:r w:rsidRPr="000D0101">
            <w:t>Descripción:</w:t>
          </w:r>
          <w:r w:rsidRPr="000D0101">
            <w:tab/>
            <w:t>De acuerdo con el Artículo 8º de la Ley 1 de 1991 en el modo portuario el concesionario no tiene derechos finales sobre activos, los debe revertir a la Nación al final del contrato de concesión.</w:t>
          </w:r>
        </w:p>
        <w:p w14:paraId="4A316A88" w14:textId="77777777" w:rsidR="003D5DB4" w:rsidRPr="000D0101" w:rsidRDefault="003D5DB4" w:rsidP="000A5389">
          <w:pPr>
            <w:spacing w:line="240" w:lineRule="auto"/>
          </w:pPr>
        </w:p>
        <w:p w14:paraId="64D0BCF2" w14:textId="77777777" w:rsidR="003D5DB4" w:rsidRPr="000D0101" w:rsidRDefault="003D5DB4" w:rsidP="000A5389">
          <w:pPr>
            <w:spacing w:line="240" w:lineRule="auto"/>
          </w:pPr>
          <w:r w:rsidRPr="000D0101">
            <w:t xml:space="preserve">Observaciones: Reversión: De acuerdo con lo establecido en la cláusula décimo segunda del contrato de concesión, la zona de uso público y todas las construcciones y equipos entregadas en concesión se revertirán a la Nación en buenas condiciones de operación tecnológica, mantenimiento y de adecuada eficiencia al término de este contrato y de las prórrogas si la </w:t>
          </w:r>
          <w:r w:rsidRPr="000D0101">
            <w:lastRenderedPageBreak/>
            <w:t>hubiere. Igualmente procederá la reversión al ser declarado la caducidad o la terminación unilateral. Para tal fin, en el momento de la reversión el CONCESIONARIO deberá hacer entrega de un avaluó comercial actualizado y valoración técnica de las condiciones de operación de la infraestructura portuaria, equipos e inmuebles por destinación que habitualmente se encuentren instalados en las zonas de uso público que se revierten y que son propiedad de la Nación. Obras Adicionales: De acuerdo con lo establecido en la cláusula décima tercera, las obras e inversiones adicionales deben ser siempre aprobadas a través de un acto administrativo debidamente motivado por la ANI, se deberán revertir gratuitamente a la Nación, las obras adicionales serán asumidas por el CONCESIONARIO a su cuenta y riesgo, partiendo del principio que la inversión realizada será recuperada durante el término de la concesión, por tal motivo no dará derecho a indemnización alguna a favor del CONCESIONARIO. La ANI es la entidad concedente pero la titularidad de los activos al final de la concesión es del Instituto Nacional de Vías INVIAS.</w:t>
          </w:r>
        </w:p>
        <w:p w14:paraId="36ED6C14" w14:textId="77777777" w:rsidR="003D5DB4" w:rsidRPr="000D0101" w:rsidRDefault="003D5DB4" w:rsidP="000A5389">
          <w:pPr>
            <w:spacing w:line="240" w:lineRule="auto"/>
          </w:pPr>
        </w:p>
        <w:p w14:paraId="4D57FEC7" w14:textId="77777777" w:rsidR="003D5DB4" w:rsidRPr="000D0101" w:rsidRDefault="003D5DB4" w:rsidP="000A5389">
          <w:pPr>
            <w:spacing w:line="240" w:lineRule="auto"/>
          </w:pPr>
          <w:r w:rsidRPr="000D0101">
            <w:t>e. Las alternativas de renovación y cese del acuerdo</w:t>
          </w:r>
        </w:p>
        <w:p w14:paraId="43D5E505" w14:textId="77777777" w:rsidR="003D5DB4" w:rsidRPr="000D0101" w:rsidRDefault="003D5DB4" w:rsidP="000A5389">
          <w:pPr>
            <w:spacing w:line="240" w:lineRule="auto"/>
          </w:pPr>
        </w:p>
        <w:p w14:paraId="7FBFCAA7" w14:textId="77777777" w:rsidR="003D5DB4" w:rsidRPr="000D0101" w:rsidRDefault="003D5DB4" w:rsidP="000A5389">
          <w:pPr>
            <w:spacing w:line="240" w:lineRule="auto"/>
          </w:pPr>
          <w:r w:rsidRPr="000D0101">
            <w:t>Descripción:</w:t>
          </w:r>
          <w:r w:rsidRPr="000D0101">
            <w:tab/>
            <w:t>El cese del acuerdo se encuentra en las CLÁUSULA VIGÉSIMA SEGUNDA y CLÁUSULA VIGÉSIMA QUINTA del Contrato de Concesión.</w:t>
          </w:r>
        </w:p>
        <w:p w14:paraId="7BCE60B3" w14:textId="77777777" w:rsidR="003D5DB4" w:rsidRPr="000D0101" w:rsidRDefault="003D5DB4" w:rsidP="000A5389">
          <w:pPr>
            <w:spacing w:line="240" w:lineRule="auto"/>
          </w:pPr>
        </w:p>
        <w:p w14:paraId="3760B2EE" w14:textId="77777777" w:rsidR="003D5DB4" w:rsidRPr="000D0101" w:rsidRDefault="003D5DB4" w:rsidP="000A5389">
          <w:pPr>
            <w:spacing w:line="240" w:lineRule="auto"/>
          </w:pPr>
          <w:r w:rsidRPr="000D0101">
            <w:t>Observaciones: No se tiene ninguna observación</w:t>
          </w:r>
        </w:p>
        <w:p w14:paraId="13BD30B3" w14:textId="77777777" w:rsidR="003D5DB4" w:rsidRPr="000D0101" w:rsidRDefault="003D5DB4" w:rsidP="000A5389">
          <w:pPr>
            <w:spacing w:line="240" w:lineRule="auto"/>
          </w:pPr>
        </w:p>
        <w:p w14:paraId="5C020D81" w14:textId="77777777" w:rsidR="003D5DB4" w:rsidRPr="000D0101" w:rsidRDefault="003D5DB4" w:rsidP="000A5389">
          <w:pPr>
            <w:spacing w:line="240" w:lineRule="auto"/>
          </w:pPr>
          <w:r w:rsidRPr="000D0101">
            <w:t>f. Cambios en el acuerdo de concesión que se realicen durante el periodo fiscal</w:t>
          </w:r>
        </w:p>
        <w:p w14:paraId="55CCFCD5" w14:textId="77777777" w:rsidR="003D5DB4" w:rsidRPr="000D0101" w:rsidRDefault="003D5DB4" w:rsidP="000A5389">
          <w:pPr>
            <w:spacing w:line="240" w:lineRule="auto"/>
          </w:pPr>
        </w:p>
        <w:p w14:paraId="340C5198" w14:textId="77777777" w:rsidR="003D5DB4" w:rsidRPr="000D0101" w:rsidRDefault="003D5DB4" w:rsidP="000A5389">
          <w:pPr>
            <w:spacing w:line="240" w:lineRule="auto"/>
          </w:pPr>
          <w:r w:rsidRPr="000D0101">
            <w:t>Adiciones o modificaciones en tiempo</w:t>
          </w:r>
        </w:p>
        <w:p w14:paraId="57A3025E" w14:textId="77777777" w:rsidR="003D5DB4" w:rsidRPr="000D0101" w:rsidRDefault="003D5DB4" w:rsidP="000A5389">
          <w:pPr>
            <w:spacing w:line="240" w:lineRule="auto"/>
          </w:pPr>
          <w:r w:rsidRPr="000D0101">
            <w:t>Fechas de las adiciones o modificaciones: No aplica</w:t>
          </w:r>
        </w:p>
        <w:p w14:paraId="239EBB4C" w14:textId="77777777" w:rsidR="003D5DB4" w:rsidRPr="000D0101" w:rsidRDefault="003D5DB4" w:rsidP="000A5389">
          <w:pPr>
            <w:spacing w:line="240" w:lineRule="auto"/>
          </w:pPr>
          <w:r w:rsidRPr="000D0101">
            <w:t>Nueva fecha de finalización estimada: No aplica</w:t>
          </w:r>
        </w:p>
        <w:p w14:paraId="1B8422B6" w14:textId="77777777" w:rsidR="003D5DB4" w:rsidRPr="000D0101" w:rsidRDefault="003D5DB4" w:rsidP="000A5389">
          <w:pPr>
            <w:spacing w:line="240" w:lineRule="auto"/>
          </w:pPr>
          <w:r w:rsidRPr="000D0101">
            <w:t>Observaciones: No aplica</w:t>
          </w:r>
        </w:p>
        <w:p w14:paraId="37345A43" w14:textId="77777777" w:rsidR="003D5DB4" w:rsidRPr="000D0101" w:rsidRDefault="003D5DB4" w:rsidP="000A5389">
          <w:pPr>
            <w:spacing w:line="240" w:lineRule="auto"/>
          </w:pPr>
          <w:r w:rsidRPr="000D0101">
            <w:t>Adiciones o modificaciones en valor</w:t>
          </w:r>
        </w:p>
        <w:p w14:paraId="6E779461" w14:textId="77777777" w:rsidR="003D5DB4" w:rsidRPr="000D0101" w:rsidRDefault="003D5DB4" w:rsidP="000A5389">
          <w:pPr>
            <w:spacing w:line="240" w:lineRule="auto"/>
          </w:pPr>
          <w:r w:rsidRPr="000D0101">
            <w:t>Valor de la adición o modificación: No aplica</w:t>
          </w:r>
        </w:p>
        <w:p w14:paraId="7C84377C" w14:textId="77777777" w:rsidR="003D5DB4" w:rsidRPr="000D0101" w:rsidRDefault="003D5DB4" w:rsidP="000A5389">
          <w:pPr>
            <w:spacing w:line="240" w:lineRule="auto"/>
          </w:pPr>
          <w:r w:rsidRPr="000D0101">
            <w:t>Nuevo valor del acuerdo: No aplica</w:t>
          </w:r>
        </w:p>
        <w:p w14:paraId="579DEF1F" w14:textId="0F181A2C" w:rsidR="003D5DB4" w:rsidRPr="000D0101" w:rsidRDefault="003D5DB4" w:rsidP="000A5389">
          <w:pPr>
            <w:spacing w:line="240" w:lineRule="auto"/>
            <w:rPr>
              <w:rFonts w:eastAsia="Times New Roman"/>
              <w:lang w:eastAsia="es-CO"/>
            </w:rPr>
          </w:pPr>
          <w:r w:rsidRPr="000D0101">
            <w:t>Observaciones: No aplica</w:t>
          </w:r>
        </w:p>
        <w:p w14:paraId="60EB6A00" w14:textId="77777777" w:rsidR="003D5DB4" w:rsidRPr="000D0101" w:rsidRDefault="003D5DB4" w:rsidP="000A5389">
          <w:pPr>
            <w:spacing w:line="240" w:lineRule="auto"/>
            <w:rPr>
              <w:rFonts w:eastAsia="Times New Roman"/>
              <w:lang w:eastAsia="es-CO"/>
            </w:rPr>
          </w:pPr>
        </w:p>
        <w:p w14:paraId="424E77DD" w14:textId="77777777" w:rsidR="003D5DB4" w:rsidRPr="000D0101" w:rsidRDefault="003D5DB4" w:rsidP="000A5389">
          <w:pPr>
            <w:spacing w:line="240" w:lineRule="auto"/>
            <w:rPr>
              <w:rFonts w:eastAsia="Times New Roman"/>
              <w:lang w:eastAsia="es-CO"/>
            </w:rPr>
          </w:pPr>
        </w:p>
        <w:p w14:paraId="57592869" w14:textId="77777777" w:rsidR="003D5DB4" w:rsidRPr="00804139" w:rsidRDefault="003D5DB4" w:rsidP="000A5389">
          <w:pPr>
            <w:spacing w:line="240" w:lineRule="auto"/>
            <w:rPr>
              <w:rFonts w:eastAsia="Times New Roman"/>
              <w:i/>
              <w:iCs/>
              <w:lang w:eastAsia="es-CO"/>
            </w:rPr>
          </w:pPr>
          <w:r w:rsidRPr="00804139">
            <w:rPr>
              <w:rFonts w:eastAsia="Times New Roman"/>
              <w:i/>
              <w:iCs/>
              <w:lang w:eastAsia="es-CO"/>
            </w:rPr>
            <w:t xml:space="preserve">VOPAK COLOMBIA S.A. </w:t>
          </w:r>
        </w:p>
        <w:p w14:paraId="127016CB" w14:textId="77777777" w:rsidR="003D5DB4" w:rsidRPr="000D0101" w:rsidRDefault="003D5DB4" w:rsidP="000A5389">
          <w:pPr>
            <w:spacing w:line="240" w:lineRule="auto"/>
            <w:rPr>
              <w:lang w:val="es-MX"/>
            </w:rPr>
          </w:pPr>
        </w:p>
        <w:p w14:paraId="71272AA2" w14:textId="77777777" w:rsidR="003D5DB4" w:rsidRPr="000D0101" w:rsidRDefault="003D5DB4" w:rsidP="000A5389">
          <w:pPr>
            <w:spacing w:line="240" w:lineRule="auto"/>
          </w:pPr>
          <w:r w:rsidRPr="000D0101">
            <w:t>a. Descripción del Acuerdo</w:t>
          </w:r>
        </w:p>
        <w:p w14:paraId="069B6E3C" w14:textId="77777777" w:rsidR="003D5DB4" w:rsidRPr="000D0101" w:rsidRDefault="003D5DB4" w:rsidP="000A5389">
          <w:pPr>
            <w:spacing w:line="240" w:lineRule="auto"/>
          </w:pPr>
        </w:p>
        <w:p w14:paraId="13E09E22" w14:textId="77777777" w:rsidR="003D5DB4" w:rsidRPr="000D0101" w:rsidRDefault="003D5DB4" w:rsidP="000A5389">
          <w:pPr>
            <w:spacing w:line="240" w:lineRule="auto"/>
          </w:pPr>
          <w:r w:rsidRPr="000D0101">
            <w:t>Número del Acuerdo de concesión: 003 de 2005.</w:t>
          </w:r>
        </w:p>
        <w:p w14:paraId="2B1F49E2" w14:textId="77777777" w:rsidR="003D5DB4" w:rsidRPr="000D0101" w:rsidRDefault="003D5DB4" w:rsidP="000A5389">
          <w:pPr>
            <w:spacing w:line="240" w:lineRule="auto"/>
          </w:pPr>
        </w:p>
        <w:p w14:paraId="6A621A2C" w14:textId="77777777" w:rsidR="003D5DB4" w:rsidRPr="000D0101" w:rsidRDefault="003D5DB4" w:rsidP="000A5389">
          <w:pPr>
            <w:spacing w:line="240" w:lineRule="auto"/>
          </w:pPr>
          <w:r w:rsidRPr="000D0101">
            <w:t xml:space="preserve">Objeto / Descripción: EL INCO en virtud del presente contrato, otorga formalmente una concesión portuaria al CONCESIONARIO, para ocupar y utilizar temporalmente y exclusiva los bienes pertenecientes a la Nación determinados en la cláusula segunda del presente contrato, ubicados en el Distrito de Cartagena, Departamento de Bolívar, destinados a la prestación del servicio de cargue y descargue (bombeo) y almacenamiento de productos </w:t>
          </w:r>
          <w:r w:rsidRPr="000D0101">
            <w:lastRenderedPageBreak/>
            <w:t>químicos líquidos a granel, por el tiempo de ejecución estipulado, a cambio de la contraprestación establecida en la Cláusula Octava de éste contrato.</w:t>
          </w:r>
        </w:p>
        <w:p w14:paraId="5092F73B" w14:textId="77777777" w:rsidR="003D5DB4" w:rsidRPr="000D0101" w:rsidRDefault="003D5DB4" w:rsidP="000A5389">
          <w:pPr>
            <w:spacing w:line="240" w:lineRule="auto"/>
          </w:pPr>
        </w:p>
        <w:p w14:paraId="312365D4" w14:textId="77777777" w:rsidR="003D5DB4" w:rsidRPr="000D0101" w:rsidRDefault="003D5DB4" w:rsidP="000A5389">
          <w:pPr>
            <w:spacing w:line="240" w:lineRule="auto"/>
          </w:pPr>
          <w:r w:rsidRPr="000D0101">
            <w:t>Valor inicial:</w:t>
          </w:r>
          <w:r w:rsidRPr="000D0101">
            <w:tab/>
            <w:t>USD $1.001.738.54, Cláusula Primera/Otrosí No. 02 de 26 de septiembre de 2008.</w:t>
          </w:r>
        </w:p>
        <w:p w14:paraId="36065639" w14:textId="77777777" w:rsidR="003D5DB4" w:rsidRPr="000D0101" w:rsidRDefault="003D5DB4" w:rsidP="000A5389">
          <w:pPr>
            <w:spacing w:line="240" w:lineRule="auto"/>
          </w:pPr>
          <w:r w:rsidRPr="000D0101">
            <w:t>Fecha de inicio: 29/12/2005</w:t>
          </w:r>
        </w:p>
        <w:p w14:paraId="2C26AB3D" w14:textId="77777777" w:rsidR="003D5DB4" w:rsidRPr="000D0101" w:rsidRDefault="003D5DB4" w:rsidP="000A5389">
          <w:pPr>
            <w:spacing w:line="240" w:lineRule="auto"/>
          </w:pPr>
          <w:r w:rsidRPr="000D0101">
            <w:t>Fecha de finalización estimada: 28/01/2026, según acta de suspensión del contrato de fecha 26/12/2025.</w:t>
          </w:r>
        </w:p>
        <w:p w14:paraId="62841787" w14:textId="77777777" w:rsidR="003D5DB4" w:rsidRPr="000D0101" w:rsidRDefault="003D5DB4" w:rsidP="000A5389">
          <w:pPr>
            <w:spacing w:line="240" w:lineRule="auto"/>
          </w:pPr>
          <w:r w:rsidRPr="000D0101">
            <w:t>Tipo ID: NIT</w:t>
          </w:r>
        </w:p>
        <w:p w14:paraId="0087841E" w14:textId="77777777" w:rsidR="003D5DB4" w:rsidRPr="000D0101" w:rsidRDefault="003D5DB4" w:rsidP="000A5389">
          <w:pPr>
            <w:spacing w:line="240" w:lineRule="auto"/>
          </w:pPr>
          <w:r w:rsidRPr="000D0101">
            <w:t>Número ID: 860.040.201-5</w:t>
          </w:r>
        </w:p>
        <w:p w14:paraId="69E41FDA" w14:textId="77777777" w:rsidR="003D5DB4" w:rsidRPr="000D0101" w:rsidRDefault="003D5DB4" w:rsidP="000A5389">
          <w:pPr>
            <w:spacing w:line="240" w:lineRule="auto"/>
          </w:pPr>
          <w:r w:rsidRPr="000D0101">
            <w:t>Razón social del concesionario: Sociedad Vopak Colombia S.A.</w:t>
          </w:r>
        </w:p>
        <w:p w14:paraId="71FD9D39" w14:textId="18C1108C" w:rsidR="003D5DB4" w:rsidRPr="000D0101" w:rsidRDefault="003D5DB4" w:rsidP="000A5389">
          <w:pPr>
            <w:spacing w:line="240" w:lineRule="auto"/>
          </w:pPr>
          <w:r w:rsidRPr="000D0101">
            <w:t>Nombre del proyecto: Sociedad Vopak Colombia S.A.</w:t>
          </w:r>
        </w:p>
        <w:p w14:paraId="29858620" w14:textId="77777777" w:rsidR="003D5DB4" w:rsidRPr="000D0101" w:rsidRDefault="003D5DB4" w:rsidP="000A5389">
          <w:pPr>
            <w:spacing w:line="240" w:lineRule="auto"/>
          </w:pPr>
        </w:p>
        <w:p w14:paraId="02773B31" w14:textId="77777777" w:rsidR="003D5DB4" w:rsidRPr="000D0101" w:rsidRDefault="003D5DB4" w:rsidP="000A5389">
          <w:pPr>
            <w:spacing w:line="240" w:lineRule="auto"/>
          </w:pPr>
          <w:r w:rsidRPr="000D0101">
            <w:t>b. Términos significativos del Acuerdo que puedan afectar su valor, el calendario y la certeza de los flujos de efectivo futuros</w:t>
          </w:r>
        </w:p>
        <w:p w14:paraId="332677CE" w14:textId="77777777" w:rsidR="003D5DB4" w:rsidRPr="000D0101" w:rsidRDefault="003D5DB4" w:rsidP="000A5389">
          <w:pPr>
            <w:spacing w:line="240" w:lineRule="auto"/>
          </w:pPr>
        </w:p>
        <w:p w14:paraId="65CEEBBC" w14:textId="77777777" w:rsidR="003D5DB4" w:rsidRPr="000D0101" w:rsidRDefault="003D5DB4" w:rsidP="000A5389">
          <w:pPr>
            <w:spacing w:line="240" w:lineRule="auto"/>
          </w:pPr>
          <w:r w:rsidRPr="000D0101">
            <w:t>Términos de valor:</w:t>
          </w:r>
          <w:r w:rsidRPr="000D0101">
            <w:tab/>
            <w:t xml:space="preserve">1: Tarifas: Al ser el terminal marítimo de servicio público la Ley 1 de 1991 establece: las sociedades portuarias que operan puertos de servicio público las tarifas requieren ser aprobadas según la metodología establecida por la Superintendencia General de Puertos hoy Superintendencia de Transporte. </w:t>
          </w:r>
        </w:p>
        <w:p w14:paraId="4E366A3B" w14:textId="77777777" w:rsidR="003D5DB4" w:rsidRPr="000D0101" w:rsidRDefault="003D5DB4" w:rsidP="000A5389">
          <w:pPr>
            <w:spacing w:line="240" w:lineRule="auto"/>
          </w:pPr>
        </w:p>
        <w:p w14:paraId="18963898" w14:textId="77777777" w:rsidR="003D5DB4" w:rsidRPr="000D0101" w:rsidRDefault="003D5DB4" w:rsidP="000A5389">
          <w:pPr>
            <w:spacing w:line="240" w:lineRule="auto"/>
          </w:pPr>
          <w:r w:rsidRPr="000D0101">
            <w:t xml:space="preserve">2: Contraprestación portuaria: De acuerdo con el último documento contractual vigente la metodología de contraprestación vigente es CONPES 2680 DE 1993 (Productividad). Se establece en la Cláusula Octava del contrato y modificada mediante otrosí No. 2 de fecha 26 de septiembre de 2008 que el CONCESIONARIO deberá pagar por concepto de zona de uso público la suma trimestral de (USD 26.527,80), de dicho pago el 80% le corresponde a la Nación Instituto nacional de vías (INVIAS) y el 20% restante al distrito de Cartagena de acuerdo con lo establecido en el parágrafo 1 del artículo 1 de la ley 856 del 21 de diciembre de 2003, que modifica el artículo 7 de la ley 1ª de 1991. Así mismo, por concepto de infraestructura el CONCESIONARIO deberá pagar la suma trimestral de (USD 4.691,78), el cual corresponde en un 100% a la Nación - Instituto Nacional de Vías (INVIAS) de acuerdo con lo establecido en el artículo 1 de la ley 856 del 21 diciembre de 2003. </w:t>
          </w:r>
        </w:p>
        <w:p w14:paraId="5605ECEB" w14:textId="77777777" w:rsidR="003D5DB4" w:rsidRPr="000D0101" w:rsidRDefault="003D5DB4" w:rsidP="000A5389">
          <w:pPr>
            <w:spacing w:line="240" w:lineRule="auto"/>
          </w:pPr>
        </w:p>
        <w:p w14:paraId="3C5EDB13" w14:textId="77777777" w:rsidR="003D5DB4" w:rsidRPr="000D0101" w:rsidRDefault="003D5DB4" w:rsidP="000A5389">
          <w:pPr>
            <w:spacing w:line="240" w:lineRule="auto"/>
          </w:pPr>
          <w:r w:rsidRPr="000D0101">
            <w:t xml:space="preserve">3: Plan de Inversiones: está establecido en el Artículo Primero de la Resolución No. 1455 de fecha 17 de enero de 2013 y Resolución No. 149 del 21 de enero de 2014 que el plan de inversión será de USD $617.511,00. Obras Adicionales: Mediante Otrosí No. 04 de 2021 se autorizaron obras adicionales a cuenta y riesgo del Concesionario por un valor de USD $414.331 CUATROCIENTOS CATORCE MIL TRESCIENTOS TREINTA Y UN DÓLARES CORRIENTES. </w:t>
          </w:r>
        </w:p>
        <w:p w14:paraId="13F1100C" w14:textId="77777777" w:rsidR="003D5DB4" w:rsidRPr="000D0101" w:rsidRDefault="003D5DB4" w:rsidP="000A5389">
          <w:pPr>
            <w:spacing w:line="240" w:lineRule="auto"/>
          </w:pPr>
          <w:r w:rsidRPr="000D0101">
            <w:t xml:space="preserve">4. Obligaciones del Concesionario: se encuentran descritas en la Cláusula Décima quinta. </w:t>
          </w:r>
        </w:p>
        <w:p w14:paraId="2201632B" w14:textId="77777777" w:rsidR="003D5DB4" w:rsidRPr="000D0101" w:rsidRDefault="003D5DB4" w:rsidP="000A5389">
          <w:pPr>
            <w:spacing w:line="240" w:lineRule="auto"/>
          </w:pPr>
        </w:p>
        <w:p w14:paraId="2A46350D" w14:textId="77777777" w:rsidR="003D5DB4" w:rsidRPr="000D0101" w:rsidRDefault="003D5DB4" w:rsidP="000A5389">
          <w:pPr>
            <w:spacing w:line="240" w:lineRule="auto"/>
          </w:pPr>
          <w:r w:rsidRPr="000D0101">
            <w:t xml:space="preserve">5. Multas y sanciones: están establecidas en la Cláusula Décima Octava. Penal pecuniario: En la Cláusula Décima Novena se establece que en el evento en que el INCO hoy ANI declare </w:t>
          </w:r>
          <w:r w:rsidRPr="000D0101">
            <w:lastRenderedPageBreak/>
            <w:t>la caducidad o el incumplimiento del presente contrato se podrá imponer una penalidad pecuniaria.</w:t>
          </w:r>
        </w:p>
        <w:p w14:paraId="626DF1B0" w14:textId="77777777" w:rsidR="003D5DB4" w:rsidRPr="000D0101" w:rsidRDefault="003D5DB4" w:rsidP="000A5389">
          <w:pPr>
            <w:spacing w:line="240" w:lineRule="auto"/>
          </w:pPr>
          <w:r w:rsidRPr="000D0101">
            <w:t>Términos de calendario:</w:t>
          </w:r>
          <w:r w:rsidRPr="000D0101">
            <w:tab/>
            <w:t xml:space="preserve">1: Tarifas: Aprobadas según la metodología establecida por la Superintendencia General de Puertos hoy Superintendencia de Transporte. </w:t>
          </w:r>
        </w:p>
        <w:p w14:paraId="2EDDCF18" w14:textId="77777777" w:rsidR="003D5DB4" w:rsidRPr="000D0101" w:rsidRDefault="003D5DB4" w:rsidP="000A5389">
          <w:pPr>
            <w:spacing w:line="240" w:lineRule="auto"/>
          </w:pPr>
        </w:p>
        <w:p w14:paraId="0E5EA39D" w14:textId="77777777" w:rsidR="003D5DB4" w:rsidRPr="000D0101" w:rsidRDefault="003D5DB4" w:rsidP="000A5389">
          <w:pPr>
            <w:spacing w:line="240" w:lineRule="auto"/>
          </w:pPr>
          <w:r w:rsidRPr="000D0101">
            <w:t>2: Contraprestación portuaria: la contraprestación se debe pagar de manera trimestral anticipada desde el mes de enero de cada año.</w:t>
          </w:r>
        </w:p>
        <w:p w14:paraId="5FB773FB" w14:textId="77777777" w:rsidR="003D5DB4" w:rsidRPr="000D0101" w:rsidRDefault="003D5DB4" w:rsidP="000A5389">
          <w:pPr>
            <w:spacing w:line="240" w:lineRule="auto"/>
          </w:pPr>
        </w:p>
        <w:p w14:paraId="1BE95BFF" w14:textId="77777777" w:rsidR="003D5DB4" w:rsidRPr="000D0101" w:rsidRDefault="003D5DB4" w:rsidP="000A5389">
          <w:pPr>
            <w:spacing w:line="240" w:lineRule="auto"/>
          </w:pPr>
          <w:r w:rsidRPr="000D0101">
            <w:t xml:space="preserve">3: Plan de inversiones: está establecido en el Artículo Primero de la Resolución No. 1455 de fecha 17 de enero de 2013 y Resolución No. 149 del 21 de enero de 2014 de tiempo comprendido entre el año 2006 a 2013. </w:t>
          </w:r>
        </w:p>
        <w:p w14:paraId="627B0A1F" w14:textId="77777777" w:rsidR="003D5DB4" w:rsidRPr="000D0101" w:rsidRDefault="003D5DB4" w:rsidP="000A5389">
          <w:pPr>
            <w:spacing w:line="240" w:lineRule="auto"/>
          </w:pPr>
        </w:p>
        <w:p w14:paraId="254021DA" w14:textId="77777777" w:rsidR="003D5DB4" w:rsidRPr="000D0101" w:rsidRDefault="003D5DB4" w:rsidP="000A5389">
          <w:pPr>
            <w:spacing w:line="240" w:lineRule="auto"/>
          </w:pPr>
          <w:r w:rsidRPr="000D0101">
            <w:t>4: Multas y sanciones: están establecidas en la Cláusula Décima Octava.</w:t>
          </w:r>
        </w:p>
        <w:p w14:paraId="285F72D3" w14:textId="77777777" w:rsidR="003D5DB4" w:rsidRPr="000D0101" w:rsidRDefault="003D5DB4" w:rsidP="000A5389">
          <w:pPr>
            <w:spacing w:line="240" w:lineRule="auto"/>
          </w:pPr>
        </w:p>
        <w:p w14:paraId="70C4DF31" w14:textId="77777777" w:rsidR="003D5DB4" w:rsidRPr="000D0101" w:rsidRDefault="003D5DB4" w:rsidP="000A5389">
          <w:pPr>
            <w:spacing w:line="240" w:lineRule="auto"/>
          </w:pPr>
          <w:r w:rsidRPr="000D0101">
            <w:t>Términos de certeza de flujos de efectivo futuros: Se otorga a EL CONCESIONARIO el derecho de ocupar y utilizar en forma temporal y exclusiva los bienes pertenecientes a la Nación determinados en la Cláusula Segunda del contrato, a cambio de la contraprestación económica. Cláusula Octava y modificada mediante Otrosí No. 2 de fecha 26 de septiembre de 2008, del valor a pagar por concepto de contraprestación por Zona de Uso público, el 80% le corresponde a la Nación-INVIAS y el 20 % al Distrito Turístico de Cartagena de Indias y por Infraestructura el 100% a la Nación-INVIAS.</w:t>
          </w:r>
        </w:p>
        <w:p w14:paraId="4BB35323" w14:textId="77777777" w:rsidR="003D5DB4" w:rsidRPr="000D0101" w:rsidRDefault="003D5DB4" w:rsidP="000A5389">
          <w:pPr>
            <w:spacing w:line="240" w:lineRule="auto"/>
          </w:pPr>
        </w:p>
        <w:p w14:paraId="398934C4" w14:textId="77777777" w:rsidR="003D5DB4" w:rsidRPr="000D0101" w:rsidRDefault="003D5DB4" w:rsidP="000A5389">
          <w:pPr>
            <w:spacing w:line="240" w:lineRule="auto"/>
          </w:pPr>
          <w:r w:rsidRPr="000D0101">
            <w:t>c. Naturaleza y alcance del derecho a utilizar Activos y los aspectos pactados en torno a lo que se espera que el concesionario proporcione en relación con el Acuerdo de concesión</w:t>
          </w:r>
        </w:p>
        <w:p w14:paraId="5FBA0EE1" w14:textId="77777777" w:rsidR="003D5DB4" w:rsidRPr="000D0101" w:rsidRDefault="003D5DB4" w:rsidP="000A5389">
          <w:pPr>
            <w:spacing w:line="240" w:lineRule="auto"/>
          </w:pPr>
        </w:p>
        <w:p w14:paraId="7FD9B91B" w14:textId="77777777" w:rsidR="003D5DB4" w:rsidRPr="000D0101" w:rsidRDefault="003D5DB4" w:rsidP="000A5389">
          <w:pPr>
            <w:spacing w:line="240" w:lineRule="auto"/>
          </w:pPr>
          <w:r w:rsidRPr="000D0101">
            <w:t>Naturaleza y alcance del derecho de uso de los Activos</w:t>
          </w:r>
        </w:p>
        <w:p w14:paraId="5E9F4C2C" w14:textId="77777777" w:rsidR="003D5DB4" w:rsidRPr="000D0101" w:rsidRDefault="003D5DB4" w:rsidP="000A5389">
          <w:pPr>
            <w:spacing w:line="240" w:lineRule="auto"/>
          </w:pPr>
        </w:p>
        <w:p w14:paraId="203A2E7F" w14:textId="77777777" w:rsidR="003D5DB4" w:rsidRPr="000D0101" w:rsidRDefault="003D5DB4" w:rsidP="000A5389">
          <w:pPr>
            <w:spacing w:line="240" w:lineRule="auto"/>
          </w:pPr>
          <w:r w:rsidRPr="000D0101">
            <w:t>Descripción:</w:t>
          </w:r>
          <w:r w:rsidRPr="000D0101">
            <w:tab/>
            <w:t>Descripción del proyecto, especificaciones técnicas, modalidades de operación: las condiciones especiales de operación del puerto están establecidas en la Cláusula Quinta del Contrato de Concesión. Área entregada en concesión: la descripción de la ubicación, linderos y extensión de los bienes de uso público (playas y terrenos de bajamar, aguas accesorias y de maniobras) entregados en concesión están establecidos en la Cláusula Primera del Contrato de Concesión. Infraestructura y equipos entregados en concesión: En la Cláusula Quinta del Contrato, se describen las instalaciones portuarias entregadas en Concesión, así:  Infraestructura: Un (1) muelle en espigón que consta de, dos (2) piñas de atraque, dos (2) piñas de amarre, plataforma de maniobras de concreto, soportadas sobre pilotes de ferro-concreto y una pasarela.</w:t>
          </w:r>
        </w:p>
        <w:p w14:paraId="731670EF" w14:textId="77777777" w:rsidR="003D5DB4" w:rsidRPr="000D0101" w:rsidRDefault="003D5DB4" w:rsidP="000A5389">
          <w:pPr>
            <w:spacing w:line="240" w:lineRule="auto"/>
          </w:pPr>
        </w:p>
        <w:p w14:paraId="3EF786DF" w14:textId="77777777" w:rsidR="003D5DB4" w:rsidRPr="000D0101" w:rsidRDefault="003D5DB4" w:rsidP="000A5389">
          <w:pPr>
            <w:spacing w:line="240" w:lineRule="auto"/>
          </w:pPr>
          <w:r w:rsidRPr="000D0101">
            <w:t>Observaciones: NA</w:t>
          </w:r>
        </w:p>
        <w:p w14:paraId="38FDF134" w14:textId="77777777" w:rsidR="003D5DB4" w:rsidRPr="000D0101" w:rsidRDefault="003D5DB4" w:rsidP="000A5389">
          <w:pPr>
            <w:spacing w:line="240" w:lineRule="auto"/>
          </w:pPr>
        </w:p>
        <w:p w14:paraId="011B29B7" w14:textId="77777777" w:rsidR="003D5DB4" w:rsidRPr="000D0101" w:rsidRDefault="003D5DB4" w:rsidP="000A5389">
          <w:pPr>
            <w:spacing w:line="240" w:lineRule="auto"/>
          </w:pPr>
          <w:r w:rsidRPr="000D0101">
            <w:t>Retribución al concesionario</w:t>
          </w:r>
        </w:p>
        <w:p w14:paraId="0A1C1272" w14:textId="77777777" w:rsidR="003D5DB4" w:rsidRPr="000D0101" w:rsidRDefault="003D5DB4" w:rsidP="000A5389">
          <w:pPr>
            <w:spacing w:line="240" w:lineRule="auto"/>
          </w:pPr>
        </w:p>
        <w:p w14:paraId="71FC6565" w14:textId="77777777" w:rsidR="003D5DB4" w:rsidRPr="000D0101" w:rsidRDefault="003D5DB4" w:rsidP="000A5389">
          <w:pPr>
            <w:spacing w:line="240" w:lineRule="auto"/>
          </w:pPr>
          <w:r w:rsidRPr="000D0101">
            <w:t>Descripción:</w:t>
          </w:r>
          <w:r w:rsidRPr="000D0101">
            <w:tab/>
            <w:t xml:space="preserve">Cláusula primera Contrato 007 de 1993: Se otorga a EL CONCESIONARIO el derecho de ocupar y utilizar en forma temporal y exclusiva las playas, los terrenos de </w:t>
          </w:r>
          <w:r w:rsidRPr="000D0101">
            <w:lastRenderedPageBreak/>
            <w:t>bajamar y zonas accesorias a aquellas o estos, descritos en la cláusula segunda del contrato, a cambio de la contraprestación económica.</w:t>
          </w:r>
        </w:p>
        <w:p w14:paraId="7ACAD20E" w14:textId="77777777" w:rsidR="003D5DB4" w:rsidRPr="000D0101" w:rsidRDefault="003D5DB4" w:rsidP="000A5389">
          <w:pPr>
            <w:spacing w:line="240" w:lineRule="auto"/>
          </w:pPr>
        </w:p>
        <w:p w14:paraId="51E95D25" w14:textId="77777777" w:rsidR="003D5DB4" w:rsidRPr="000D0101" w:rsidRDefault="003D5DB4" w:rsidP="000A5389">
          <w:pPr>
            <w:spacing w:line="240" w:lineRule="auto"/>
          </w:pPr>
          <w:r w:rsidRPr="000D0101">
            <w:t>Tasa de retribución:</w:t>
          </w:r>
          <w:r w:rsidRPr="000D0101">
            <w:tab/>
            <w:t>NA</w:t>
          </w:r>
        </w:p>
        <w:p w14:paraId="00A72A3D" w14:textId="77777777" w:rsidR="003D5DB4" w:rsidRPr="000D0101" w:rsidRDefault="003D5DB4" w:rsidP="000A5389">
          <w:pPr>
            <w:spacing w:line="240" w:lineRule="auto"/>
          </w:pPr>
        </w:p>
        <w:p w14:paraId="280C18D0" w14:textId="77777777" w:rsidR="003D5DB4" w:rsidRPr="000D0101" w:rsidRDefault="003D5DB4" w:rsidP="000A5389">
          <w:pPr>
            <w:spacing w:line="240" w:lineRule="auto"/>
          </w:pPr>
          <w:r w:rsidRPr="000D0101">
            <w:t>d. Derechos a recibir Activos especificados al final del acuerdo de concesión</w:t>
          </w:r>
        </w:p>
        <w:p w14:paraId="7320B54F" w14:textId="77777777" w:rsidR="003D5DB4" w:rsidRPr="000D0101" w:rsidRDefault="003D5DB4" w:rsidP="000A5389">
          <w:pPr>
            <w:spacing w:line="240" w:lineRule="auto"/>
          </w:pPr>
        </w:p>
        <w:p w14:paraId="48D8838F" w14:textId="77777777" w:rsidR="003D5DB4" w:rsidRPr="000D0101" w:rsidRDefault="003D5DB4" w:rsidP="000A5389">
          <w:pPr>
            <w:spacing w:line="240" w:lineRule="auto"/>
          </w:pPr>
          <w:r w:rsidRPr="000D0101">
            <w:t>Descripción:</w:t>
          </w:r>
          <w:r w:rsidRPr="000D0101">
            <w:tab/>
            <w:t>De acuerdo con el Artículo 8º de la Ley 1 de 1991 en el modo portuario el concesionario no tiene derechos finales sobre activos los debe revertir a la Nación al final del contrato de concesión.</w:t>
          </w:r>
        </w:p>
        <w:p w14:paraId="353BDDBD" w14:textId="77777777" w:rsidR="003D5DB4" w:rsidRPr="000D0101" w:rsidRDefault="003D5DB4" w:rsidP="000A5389">
          <w:pPr>
            <w:spacing w:line="240" w:lineRule="auto"/>
          </w:pPr>
        </w:p>
        <w:p w14:paraId="54B67EDD" w14:textId="77777777" w:rsidR="003D5DB4" w:rsidRPr="000D0101" w:rsidRDefault="003D5DB4" w:rsidP="000A5389">
          <w:pPr>
            <w:spacing w:line="240" w:lineRule="auto"/>
          </w:pPr>
          <w:r w:rsidRPr="000D0101">
            <w:t>Observaciones: la Cláusula Décimo Quinta del Contrato de Concesión establece que, la zona de uso público y todas las construcciones (obras e inversiones) otorgadas en concesión revertirán a la Nación en buenas condiciones de operación tecnológica, mantenimiento y de adecuada eficiencia al término de este contrato y de la prórroga si la hubiere. Igualmente procederá la reversión al ser declarado la caducidad o la terminación unilateral. Para tal fin, en el momento de la reversión el CONCESIONARIO deberá hacer entrega de un avalúo comercial actualizado y valoración técnica de las condiciones de operación de la infraestructura portuaria, equipos e inmuebles por destinación que habitualmente se encuentren instalados en las zonas de uso público que se revierten y que son propiedad de la Nación. La ANI es la entidad concedente pero la titularidad de los activos al final de la concesión es del Instituto Nacional de Vías INVIAS.</w:t>
          </w:r>
        </w:p>
        <w:p w14:paraId="782DD101" w14:textId="77777777" w:rsidR="003D5DB4" w:rsidRPr="000D0101" w:rsidRDefault="003D5DB4" w:rsidP="000A5389">
          <w:pPr>
            <w:spacing w:line="240" w:lineRule="auto"/>
          </w:pPr>
        </w:p>
        <w:p w14:paraId="10B802B6" w14:textId="77777777" w:rsidR="003D5DB4" w:rsidRPr="000D0101" w:rsidRDefault="003D5DB4" w:rsidP="000A5389">
          <w:pPr>
            <w:spacing w:line="240" w:lineRule="auto"/>
          </w:pPr>
          <w:r w:rsidRPr="000D0101">
            <w:t>e. Las alternativas de renovación y cese del acuerdo</w:t>
          </w:r>
        </w:p>
        <w:p w14:paraId="7E4CB098" w14:textId="77777777" w:rsidR="003D5DB4" w:rsidRPr="000D0101" w:rsidRDefault="003D5DB4" w:rsidP="000A5389">
          <w:pPr>
            <w:spacing w:line="240" w:lineRule="auto"/>
          </w:pPr>
        </w:p>
        <w:p w14:paraId="5F1FA510" w14:textId="77777777" w:rsidR="003D5DB4" w:rsidRPr="000D0101" w:rsidRDefault="003D5DB4" w:rsidP="000A5389">
          <w:pPr>
            <w:spacing w:line="240" w:lineRule="auto"/>
          </w:pPr>
          <w:r w:rsidRPr="000D0101">
            <w:t>Descripción:</w:t>
          </w:r>
          <w:r w:rsidRPr="000D0101">
            <w:tab/>
            <w:t>La cláusula vigésima tercera del contrato de concesión, estipula los parámetros para la terminación del contrato</w:t>
          </w:r>
        </w:p>
        <w:p w14:paraId="5C0C3BBD" w14:textId="77777777" w:rsidR="003D5DB4" w:rsidRPr="000D0101" w:rsidRDefault="003D5DB4" w:rsidP="000A5389">
          <w:pPr>
            <w:spacing w:line="240" w:lineRule="auto"/>
          </w:pPr>
        </w:p>
        <w:p w14:paraId="5C5CB533" w14:textId="77777777" w:rsidR="003D5DB4" w:rsidRPr="000D0101" w:rsidRDefault="003D5DB4" w:rsidP="000A5389">
          <w:pPr>
            <w:spacing w:line="240" w:lineRule="auto"/>
          </w:pPr>
          <w:r w:rsidRPr="000D0101">
            <w:t>Observaciones: No observaciones</w:t>
          </w:r>
        </w:p>
        <w:p w14:paraId="6BA042D0" w14:textId="77777777" w:rsidR="003D5DB4" w:rsidRPr="000D0101" w:rsidRDefault="003D5DB4" w:rsidP="000A5389">
          <w:pPr>
            <w:spacing w:line="240" w:lineRule="auto"/>
          </w:pPr>
        </w:p>
        <w:p w14:paraId="7E3004DE" w14:textId="77777777" w:rsidR="003D5DB4" w:rsidRPr="000D0101" w:rsidRDefault="003D5DB4" w:rsidP="000A5389">
          <w:pPr>
            <w:spacing w:line="240" w:lineRule="auto"/>
          </w:pPr>
          <w:r w:rsidRPr="000D0101">
            <w:t>f. Cambios en el acuerdo de concesión que se realicen durante el periodo fiscal</w:t>
          </w:r>
        </w:p>
        <w:p w14:paraId="1337BAA7" w14:textId="77777777" w:rsidR="003D5DB4" w:rsidRPr="000D0101" w:rsidRDefault="003D5DB4" w:rsidP="000A5389">
          <w:pPr>
            <w:spacing w:line="240" w:lineRule="auto"/>
          </w:pPr>
        </w:p>
        <w:p w14:paraId="5C0051D6" w14:textId="77777777" w:rsidR="003D5DB4" w:rsidRPr="000D0101" w:rsidRDefault="003D5DB4" w:rsidP="000A5389">
          <w:pPr>
            <w:spacing w:line="240" w:lineRule="auto"/>
          </w:pPr>
          <w:r w:rsidRPr="000D0101">
            <w:t>Adiciones o modificaciones en tiempo</w:t>
          </w:r>
        </w:p>
        <w:p w14:paraId="13506F4A" w14:textId="77777777" w:rsidR="003D5DB4" w:rsidRPr="000D0101" w:rsidRDefault="003D5DB4" w:rsidP="000A5389">
          <w:pPr>
            <w:spacing w:line="240" w:lineRule="auto"/>
          </w:pPr>
          <w:r w:rsidRPr="000D0101">
            <w:t>Fechas de las adiciones o modificaciones:</w:t>
          </w:r>
          <w:r w:rsidRPr="000D0101">
            <w:tab/>
            <w:t>Otrosí N° 1 del 04/05/2021 y Otrosí N° 2 del 02/11/2021</w:t>
          </w:r>
        </w:p>
        <w:p w14:paraId="0FCA169E" w14:textId="77777777" w:rsidR="003D5DB4" w:rsidRPr="000D0101" w:rsidRDefault="003D5DB4" w:rsidP="000A5389">
          <w:pPr>
            <w:spacing w:line="240" w:lineRule="auto"/>
          </w:pPr>
          <w:r w:rsidRPr="000D0101">
            <w:t>Nueva fecha de finalización estimada: NA</w:t>
          </w:r>
        </w:p>
        <w:p w14:paraId="56D26FBB" w14:textId="77777777" w:rsidR="003D5DB4" w:rsidRPr="000D0101" w:rsidRDefault="003D5DB4" w:rsidP="000A5389">
          <w:pPr>
            <w:spacing w:line="240" w:lineRule="auto"/>
          </w:pPr>
          <w:r w:rsidRPr="000D0101">
            <w:t>Observaciones: No observaciones</w:t>
          </w:r>
        </w:p>
        <w:p w14:paraId="62154BF2" w14:textId="77777777" w:rsidR="003D5DB4" w:rsidRPr="000D0101" w:rsidRDefault="003D5DB4" w:rsidP="000A5389">
          <w:pPr>
            <w:spacing w:line="240" w:lineRule="auto"/>
          </w:pPr>
          <w:r w:rsidRPr="000D0101">
            <w:t>Adiciones o modificaciones en valor</w:t>
          </w:r>
        </w:p>
        <w:p w14:paraId="660F7C25" w14:textId="77777777" w:rsidR="003D5DB4" w:rsidRPr="000D0101" w:rsidRDefault="003D5DB4" w:rsidP="000A5389">
          <w:pPr>
            <w:spacing w:line="240" w:lineRule="auto"/>
          </w:pPr>
          <w:r w:rsidRPr="000D0101">
            <w:t>Valor de la adición o modificación: NA</w:t>
          </w:r>
        </w:p>
        <w:p w14:paraId="7B1A9398" w14:textId="77777777" w:rsidR="003D5DB4" w:rsidRPr="000D0101" w:rsidRDefault="003D5DB4" w:rsidP="000A5389">
          <w:pPr>
            <w:spacing w:line="240" w:lineRule="auto"/>
          </w:pPr>
          <w:r w:rsidRPr="000D0101">
            <w:t>Nuevo valor del acuerdo: NA</w:t>
          </w:r>
        </w:p>
        <w:p w14:paraId="0B112EE1" w14:textId="3091E278" w:rsidR="003D5DB4" w:rsidRPr="000D0101" w:rsidRDefault="003D5DB4" w:rsidP="000A5389">
          <w:pPr>
            <w:spacing w:line="240" w:lineRule="auto"/>
            <w:rPr>
              <w:rFonts w:eastAsia="Times New Roman"/>
              <w:lang w:eastAsia="es-CO"/>
            </w:rPr>
          </w:pPr>
          <w:r w:rsidRPr="000D0101">
            <w:t>Observaciones: No observaciones</w:t>
          </w:r>
        </w:p>
        <w:p w14:paraId="2D40117B" w14:textId="77777777" w:rsidR="003D5DB4" w:rsidRPr="000D0101" w:rsidRDefault="003D5DB4" w:rsidP="000A5389">
          <w:pPr>
            <w:spacing w:line="240" w:lineRule="auto"/>
            <w:rPr>
              <w:rFonts w:eastAsia="Times New Roman"/>
              <w:lang w:eastAsia="es-CO"/>
            </w:rPr>
          </w:pPr>
        </w:p>
        <w:p w14:paraId="0DEB67D0" w14:textId="77777777" w:rsidR="003D5DB4" w:rsidRPr="00804139" w:rsidRDefault="003D5DB4" w:rsidP="000A5389">
          <w:pPr>
            <w:spacing w:line="240" w:lineRule="auto"/>
            <w:rPr>
              <w:rFonts w:eastAsia="Times New Roman"/>
              <w:i/>
              <w:iCs/>
              <w:lang w:eastAsia="es-CO"/>
            </w:rPr>
          </w:pPr>
          <w:r w:rsidRPr="00804139">
            <w:rPr>
              <w:rFonts w:eastAsia="Times New Roman"/>
              <w:i/>
              <w:iCs/>
              <w:lang w:eastAsia="es-CO"/>
            </w:rPr>
            <w:t xml:space="preserve">ZONA FRANCA ARGOS S.A.S. </w:t>
          </w:r>
        </w:p>
        <w:p w14:paraId="1AFA5F05" w14:textId="77777777" w:rsidR="003D5DB4" w:rsidRPr="000D0101" w:rsidRDefault="003D5DB4" w:rsidP="000A5389">
          <w:pPr>
            <w:spacing w:line="240" w:lineRule="auto"/>
            <w:rPr>
              <w:rFonts w:eastAsia="Times New Roman"/>
              <w:lang w:eastAsia="es-CO"/>
            </w:rPr>
          </w:pPr>
        </w:p>
        <w:p w14:paraId="121C0F19" w14:textId="77777777" w:rsidR="003D5DB4" w:rsidRPr="000D0101" w:rsidRDefault="003D5DB4" w:rsidP="000A5389">
          <w:pPr>
            <w:spacing w:line="240" w:lineRule="auto"/>
          </w:pPr>
          <w:r w:rsidRPr="000D0101">
            <w:lastRenderedPageBreak/>
            <w:t>a. Descripción del Acuerdo</w:t>
          </w:r>
        </w:p>
        <w:p w14:paraId="597BE21C" w14:textId="77777777" w:rsidR="003D5DB4" w:rsidRPr="000D0101" w:rsidRDefault="003D5DB4" w:rsidP="000A5389">
          <w:pPr>
            <w:spacing w:line="240" w:lineRule="auto"/>
          </w:pPr>
        </w:p>
        <w:p w14:paraId="009E3693" w14:textId="77777777" w:rsidR="003D5DB4" w:rsidRPr="000D0101" w:rsidRDefault="003D5DB4" w:rsidP="000A5389">
          <w:pPr>
            <w:spacing w:line="240" w:lineRule="auto"/>
          </w:pPr>
          <w:r w:rsidRPr="000D0101">
            <w:t>Número del Acuerdo de Concesión: 003 de 2010</w:t>
          </w:r>
        </w:p>
        <w:p w14:paraId="50A0562E" w14:textId="77777777" w:rsidR="003D5DB4" w:rsidRPr="000D0101" w:rsidRDefault="003D5DB4" w:rsidP="000A5389">
          <w:pPr>
            <w:spacing w:line="240" w:lineRule="auto"/>
          </w:pPr>
        </w:p>
        <w:p w14:paraId="32170611" w14:textId="77777777" w:rsidR="003D5DB4" w:rsidRPr="000D0101" w:rsidRDefault="003D5DB4" w:rsidP="000A5389">
          <w:pPr>
            <w:spacing w:line="240" w:lineRule="auto"/>
          </w:pPr>
          <w:r w:rsidRPr="000D0101">
            <w:t>Objeto / Descripción: En virtud del presente contrato de concesión portuaria, se permite al CONCESIONARIO, la ocupación en forma temporal y exclusiva de una zona de playas, bajamar y aguas marítimas accesorias junto con las construcciones e inmuebles por destinación que allí se encuentran, para la construcción, operación y el desarrollo de actividades portuarias de servicio privado, conforme lo establece la Cláusula Primera del Contrato.</w:t>
          </w:r>
        </w:p>
        <w:p w14:paraId="385099EF" w14:textId="77777777" w:rsidR="003D5DB4" w:rsidRPr="000D0101" w:rsidRDefault="003D5DB4" w:rsidP="000A5389">
          <w:pPr>
            <w:spacing w:line="240" w:lineRule="auto"/>
          </w:pPr>
        </w:p>
        <w:p w14:paraId="072E44E9" w14:textId="77777777" w:rsidR="003D5DB4" w:rsidRPr="000D0101" w:rsidRDefault="003D5DB4" w:rsidP="000A5389">
          <w:pPr>
            <w:spacing w:line="240" w:lineRule="auto"/>
          </w:pPr>
          <w:r w:rsidRPr="000D0101">
            <w:t>Valor inicial: USD $ 3.851.957.00, Cláusula Octava/Contrato de Concesión No. 003 de 2010.</w:t>
          </w:r>
        </w:p>
        <w:p w14:paraId="15166561" w14:textId="77777777" w:rsidR="003D5DB4" w:rsidRPr="000D0101" w:rsidRDefault="003D5DB4" w:rsidP="000A5389">
          <w:pPr>
            <w:spacing w:line="240" w:lineRule="auto"/>
          </w:pPr>
          <w:r w:rsidRPr="000D0101">
            <w:t>Fecha de inicio: 8/03/2010</w:t>
          </w:r>
        </w:p>
        <w:p w14:paraId="173BFFB3" w14:textId="77777777" w:rsidR="003D5DB4" w:rsidRPr="000D0101" w:rsidRDefault="003D5DB4" w:rsidP="000A5389">
          <w:pPr>
            <w:spacing w:line="240" w:lineRule="auto"/>
          </w:pPr>
          <w:r w:rsidRPr="000D0101">
            <w:t>Fecha de finalización estimada: 7/03/2030</w:t>
          </w:r>
        </w:p>
        <w:p w14:paraId="73CD381C" w14:textId="77777777" w:rsidR="003D5DB4" w:rsidRPr="000D0101" w:rsidRDefault="003D5DB4" w:rsidP="000A5389">
          <w:pPr>
            <w:spacing w:line="240" w:lineRule="auto"/>
          </w:pPr>
          <w:r w:rsidRPr="000D0101">
            <w:t xml:space="preserve">Tipo ID: </w:t>
          </w:r>
          <w:r w:rsidRPr="000D0101">
            <w:rPr>
              <w:rStyle w:val="Estilo5"/>
              <w:rFonts w:cs="Times New Roman"/>
              <w:szCs w:val="24"/>
            </w:rPr>
            <w:t>NIT</w:t>
          </w:r>
        </w:p>
        <w:p w14:paraId="22EE9252" w14:textId="77777777" w:rsidR="003D5DB4" w:rsidRPr="000D0101" w:rsidRDefault="003D5DB4" w:rsidP="000A5389">
          <w:pPr>
            <w:spacing w:line="240" w:lineRule="auto"/>
          </w:pPr>
          <w:r w:rsidRPr="000D0101">
            <w:t xml:space="preserve">Número ID: </w:t>
          </w:r>
          <w:r w:rsidRPr="000D0101">
            <w:rPr>
              <w:rStyle w:val="Estilo6"/>
              <w:rFonts w:cs="Times New Roman"/>
              <w:szCs w:val="24"/>
            </w:rPr>
            <w:t>900.164.755-0</w:t>
          </w:r>
        </w:p>
        <w:p w14:paraId="357008EA" w14:textId="77777777" w:rsidR="003D5DB4" w:rsidRPr="000D0101" w:rsidRDefault="003D5DB4" w:rsidP="000A5389">
          <w:pPr>
            <w:spacing w:line="240" w:lineRule="auto"/>
          </w:pPr>
          <w:r w:rsidRPr="000D0101">
            <w:t>Razón social del concesionario: Sociedad Zona Franca Argos S.A.S.</w:t>
          </w:r>
        </w:p>
        <w:p w14:paraId="2612CA88" w14:textId="77777777" w:rsidR="003D5DB4" w:rsidRPr="000D0101" w:rsidRDefault="003D5DB4" w:rsidP="000A5389">
          <w:pPr>
            <w:spacing w:line="240" w:lineRule="auto"/>
          </w:pPr>
          <w:r w:rsidRPr="000D0101">
            <w:t>Nombre del proyecto: Sociedad Zona Franca Argos S.A.S.</w:t>
          </w:r>
        </w:p>
        <w:p w14:paraId="39F08EDC" w14:textId="77777777" w:rsidR="003D5DB4" w:rsidRPr="000D0101" w:rsidRDefault="003D5DB4" w:rsidP="000A5389">
          <w:pPr>
            <w:spacing w:line="240" w:lineRule="auto"/>
            <w:rPr>
              <w:lang w:val="es-MX"/>
            </w:rPr>
          </w:pPr>
        </w:p>
        <w:p w14:paraId="5CA56463" w14:textId="77777777" w:rsidR="003D5DB4" w:rsidRPr="000D0101" w:rsidRDefault="003D5DB4" w:rsidP="000A5389">
          <w:pPr>
            <w:spacing w:line="240" w:lineRule="auto"/>
            <w:rPr>
              <w:lang w:val="es-MX"/>
            </w:rPr>
          </w:pPr>
          <w:r w:rsidRPr="000D0101">
            <w:rPr>
              <w:lang w:val="es-MX"/>
            </w:rPr>
            <w:t>b. Términos significativos del Acuerdo que puedan afectar su valor, el calendario y la certeza de los flujos</w:t>
          </w:r>
        </w:p>
        <w:p w14:paraId="50091B55" w14:textId="77777777" w:rsidR="003D5DB4" w:rsidRPr="000D0101" w:rsidRDefault="003D5DB4" w:rsidP="000A5389">
          <w:pPr>
            <w:spacing w:line="240" w:lineRule="auto"/>
          </w:pPr>
        </w:p>
        <w:p w14:paraId="086A5EE7" w14:textId="77777777" w:rsidR="003D5DB4" w:rsidRPr="000D0101" w:rsidRDefault="003D5DB4" w:rsidP="000A5389">
          <w:pPr>
            <w:spacing w:line="240" w:lineRule="auto"/>
          </w:pPr>
          <w:r w:rsidRPr="000D0101">
            <w:t xml:space="preserve">Términos de valor: Tarifas: Al ser el terminal marítimo de servicio privado la Ley 1 de 1991 establece: Las sociedades portuarias que operan puertos de servicio privado podrán fijar libremente sus tarifas, pero mantendrán informada sobre ellas a la Superintendencia General de Puertos hoy Superintendencia de Transporte. Contraprestación: De acuerdo con el último documento contractual vigente la metodología de contraprestación vigente es CONPES 2680 de 1993 (Productividad). Se establece en la Cláusula Octava del Contrato que el CONCESIONARIO deberá pagar por concepto de Zona de Uso Público la suma anual de (USD $470.070), de dicho pago el 80% le corresponde a la Nación Instituto Nacional de Vías (INVIAS) y el 20% restante al Distrito de Cartagena de acuerdo con lo establecido en el parágrafo 1 del artículo 1 de la ley 856 del 21 de diciembre de 2003, que modifica el artículo 7 de la ley 1ª de 1991. Así mismo, por concepto de Infraestructura el CONCESIONARIO deberá pagar la suma anual de (USD $55.165), el cual corresponde en un 100% a la Nación - Instituto Nacional de Vías (INVIAS) de acuerdo con lo establecido en el artículo 1 de la ley 856 del 21 diciembre de 2003. Plan de Inversiones:  a través de Acuerdo Conciliatorio de 12 de julio de 2022, las partes acordaron la modificación de la Cláusula Séptima del Contrato de Concesión No. 003 de 2010, modificado a su vez por la Cláusula Primera del Otrosí 1 de 2015. Con dicho acuerdo el Plan de Inversión será de USD 44.603.101en valores corrientes. Obligaciones del CONCESIONARIO: Se encuentran descritas en la Cláusula Décima Quinta del Contrato de Concesión. Multas y sanciones: Están establecidas en la Cláusula Décima Octava. A 31 de diciembre de 2019 fue fijada una multa mediante Resolución No.1380 del 31 de julio de 2018, ratificada por la Resolución No. 832 del 10 de junio de 2019 por incumplimiento al año 6 del plan de inversiones contractual, por un valor de USD $ 770.391. </w:t>
          </w:r>
          <w:r w:rsidRPr="000D0101">
            <w:lastRenderedPageBreak/>
            <w:t>Penal Pecuniaria: En la Cláusula Décima Novena se establece que en el evento en que el INCO hoy ANI declare la Caducidad o el Incumplimiento del Contrato de Concesión, se podrá imponer una Penalidad Pecuniaria. Riesgos: Están descritos en la Cláusula Trigésima, el CONCESIONARIO acepta que la totalidad de los riesgos inherentes a la ejecución del Contrato en su etapa preoperativa, de construcción, de operación y de reversión, serán asumidos por él, y que la ocurrencia de algún riesgo no dará derecho a indemnización o reconocimiento alguno a favor del CONCESIONARIO.</w:t>
          </w:r>
        </w:p>
        <w:p w14:paraId="73C78148" w14:textId="77777777" w:rsidR="003D5DB4" w:rsidRPr="000D0101" w:rsidRDefault="003D5DB4" w:rsidP="000A5389">
          <w:pPr>
            <w:spacing w:line="240" w:lineRule="auto"/>
          </w:pPr>
        </w:p>
        <w:p w14:paraId="47B79E4B" w14:textId="77777777" w:rsidR="003D5DB4" w:rsidRPr="000D0101" w:rsidRDefault="003D5DB4" w:rsidP="000A5389">
          <w:pPr>
            <w:spacing w:line="240" w:lineRule="auto"/>
          </w:pPr>
          <w:r w:rsidRPr="000D0101">
            <w:t xml:space="preserve">Términos de calendario: Tarifas: Al ser el terminal marítimo de servicio privado la Ley 1 de 1991 establece: Las sociedades portuarias que operan puertos de servicio privado podrán fijar libremente sus tarifas, pero mantendrán informada sobre ellas a la Superintendencia General de Puertos hoy Superintendencia de Transporte. Contraprestación: De acuerdo con el último documento contractual vigente la metodología de contraprestación vigente es CONPES 2680 de 1993 (Productividad). Se establece en la Cláusula Octava del Contrato que el CONCESIONARIO deberá pagar por concepto de Zona de Uso Público la suma anual de (USD $470.070), de dicho pago el 80% le corresponde a la Nación Instituto Nacional de Vías (INVÍAS) y el 20% restante al Distrito de Cartagena de acuerdo con lo establecido en el parágrafo 1 del artículo 1 de la ley 856 del 21 de diciembre de 2023, que modifica el artículo 7 de la ley 1ª de 1991. Así mismo, por concepto de Infraestructura el CONCESIONARIO deberá pagar la suma anual de (USD $55.165), el cual corresponde en un 100% a la Nación – Instituto Nacional de Vías (INVÍAS) de acuerdo con lo establecido en el artículo 1 de la ley 856 del 21 de diciembre de 2003. Plan de inversiones: A través de acuerdo conciliatorio del 12 de julio de 2022, las partes acordaron la modificación de la Cláusula Séptima del Contrato de Concesión No. 003 de 2010, modificado a su vez por la Cláusula Primera del Otrosí 1 de 2015. Con dicho acuerdo el Plan de Inversión será de USD 44.603.101 en valores corrientes. Obligaciones del CONCESIONARIO: Se encuentran descritas en la Cláusula Décima Quinta del Contrato de Concesión. Multas y sanciones: Están establecidas en la Cláusula Décima Octava. A 31 de diciembre de 2019 fue fijada una multa mediante Resolución No. 1380 del 31 de julio de 2018, ratificada por la Resolución No. 832 del 10 de junio de 2019 por incumplimiento al año 6 del plan de inversiones contractual, por un valor de USD $ 770.391. Penal Pecuniaria: En la Cláusula Décima Novena se establece que en el evento en que el INCO hoy ANI declare la Caducidad o el Incumplimiento del Contrato de Concesión, se podrá imponer una Penalidad Pecuniaria. Riesgos: Están descritos en la Cláusula Trigésima, el CONCESIONARIO acepta que la totalidad de los riesgos inherentes a la ejecución del Contrato en su etapa preoperativa, de construcción, de operación y de reversión, serán asumidos por él y que la ocurrencia de algún riesgo no dará derecho a indemnización o reconocimiento alguno a favor del CONCESIONARIO.          </w:t>
          </w:r>
        </w:p>
        <w:p w14:paraId="6A4075E4" w14:textId="77777777" w:rsidR="003D5DB4" w:rsidRPr="000D0101" w:rsidRDefault="003D5DB4" w:rsidP="000A5389">
          <w:pPr>
            <w:spacing w:line="240" w:lineRule="auto"/>
          </w:pPr>
        </w:p>
        <w:p w14:paraId="45F79314" w14:textId="77777777" w:rsidR="003D5DB4" w:rsidRPr="000D0101" w:rsidRDefault="003D5DB4" w:rsidP="000A5389">
          <w:pPr>
            <w:spacing w:line="240" w:lineRule="auto"/>
          </w:pPr>
          <w:r w:rsidRPr="000D0101">
            <w:t xml:space="preserve">Términos de certeza de flujos de efectivo futuros: Se permite al CONCESIONARIO la ocupación en forma temporal y exclusiva de una zona de playas, de bajamar y aguas marítimas accesorias junto con las construcciones e inmuebles por destinación que allí se encuentra, para la construcción, operación y el desarrollo de actividades portuarias de servicio privado, conforme lo establece la Cláusula Primera del Contrato. Cláusula Octava, Parágrafo Segundo, del valor a pagar por concepto de Contraprestación por Zona de Uso </w:t>
          </w:r>
          <w:r w:rsidRPr="000D0101">
            <w:lastRenderedPageBreak/>
            <w:t>Público el 80% le corresponde a la Nación-INVIAS y el 20 % al Distrito Turístico de Cartagena de Indias y por Infraestructura el 100% a la Nación-INVIAS.</w:t>
          </w:r>
        </w:p>
        <w:p w14:paraId="45D24BA5" w14:textId="77777777" w:rsidR="003D5DB4" w:rsidRPr="000D0101" w:rsidRDefault="003D5DB4" w:rsidP="000A5389">
          <w:pPr>
            <w:spacing w:line="240" w:lineRule="auto"/>
            <w:rPr>
              <w:lang w:val="es-MX"/>
            </w:rPr>
          </w:pPr>
        </w:p>
        <w:p w14:paraId="2FACC991" w14:textId="77777777" w:rsidR="003D5DB4" w:rsidRPr="000D0101" w:rsidRDefault="003D5DB4" w:rsidP="000A5389">
          <w:pPr>
            <w:spacing w:line="240" w:lineRule="auto"/>
            <w:rPr>
              <w:lang w:val="es-MX"/>
            </w:rPr>
          </w:pPr>
          <w:r w:rsidRPr="000D0101">
            <w:rPr>
              <w:lang w:val="es-MX"/>
            </w:rPr>
            <w:t>c. Naturaleza y alcance del derecho a utilizar activos especificados y los aspectos pactados en torno a lo que se espera que el concesionario proporcione en relación con el acuerdo de concesión</w:t>
          </w:r>
        </w:p>
        <w:p w14:paraId="12BD843D" w14:textId="77777777" w:rsidR="003D5DB4" w:rsidRPr="000D0101" w:rsidRDefault="003D5DB4" w:rsidP="000A5389">
          <w:pPr>
            <w:spacing w:line="240" w:lineRule="auto"/>
          </w:pPr>
        </w:p>
        <w:p w14:paraId="0B86D35B" w14:textId="77777777" w:rsidR="003D5DB4" w:rsidRPr="000D0101" w:rsidRDefault="003D5DB4" w:rsidP="000A5389">
          <w:pPr>
            <w:spacing w:line="240" w:lineRule="auto"/>
          </w:pPr>
          <w:r w:rsidRPr="000D0101">
            <w:t>Naturaleza y alcance del derecho de uso de los activos</w:t>
          </w:r>
        </w:p>
        <w:p w14:paraId="4E671091" w14:textId="77777777" w:rsidR="003D5DB4" w:rsidRPr="000D0101" w:rsidRDefault="003D5DB4" w:rsidP="000A5389">
          <w:pPr>
            <w:spacing w:line="240" w:lineRule="auto"/>
          </w:pPr>
        </w:p>
        <w:p w14:paraId="62F36197" w14:textId="77777777" w:rsidR="003D5DB4" w:rsidRPr="000D0101" w:rsidRDefault="003D5DB4" w:rsidP="000A5389">
          <w:pPr>
            <w:spacing w:line="240" w:lineRule="auto"/>
          </w:pPr>
          <w:r w:rsidRPr="000D0101">
            <w:t>Descripción: Activos reconocidos Alcance del derecho de uso de los activos: Esta infraestructura se entrega al CONCESIONARIO con quien se acuerda que asumirá su administración, custodia y mantenimiento, advirtiendo que todo el programa de obras y/o actividades que allí pretenda desarrollar debe ser previamente autorizada por el INCO hoy ANI. La entrega del área y de las construcciones de que trata la Cláusula Segunda, no confiere ni reconoce título alguno de dominio sobre la propiedad del suelo ni del Subsuelo por parte de EL INCO hoy ANI, al CONCESIONARIO. Descripción del proyecto, especificaciones técnicas, modalidades de operación: Las condiciones especiales de operación del puerto están establecidas en la Cláusula Quinta. Área entregada en concesión: La descripción de la ubicación, linderos y extensión de los bienes de uso público (playas y terrenos de baja mar, zonas marítimas accesorias de maniobras) entregados en concesión están establecidos en la Cláusula Segunda del Contrato. Infraestructura y equipos entregados en concesión: En la Cláusula Segunda del Contrato, se describe que los bienes de uso público y su infraestructura asociada entregados en Concesión fueron: •Infraestructura: Muelle de carga, una plataforma de acceso, una plataforma de maniobra, una bodega, una garita de portería, oficinas de dirección de puerto, oficina de soporte operacional, una batería de baños, un sistema de aguas escorrentías. •Equipos: a) Tolva de Exportación, b) Apilador, Marca Urbasa. c) Cargador Urbasa, d) Zaranda intersección, e) Banda 11.000 Urbasa, f) Banda (2) TC-O Carbón, g) Banda (l) Carbón, h) Tolva Banda (1) Carbón. i) Banda (2) TC I Carbón. j) Banda (3) Carbón, k) Banda (4) Carbón. l) Banda (5) Carbón. m) Banda (6) Carbón. n) Banda (7) Carbón, ñ) Banda (8) Carbón, o) Banda (9) Carbón, p) Banda TC-2 Carbón, q) Rieles del Apilador Carbón, r) Banda TC-4 Carbón, s) Tolva TC-4. Carbón, t) Grúa Munk, u) Grúa de pedestal Bucyrus, w) Zaranda.</w:t>
          </w:r>
        </w:p>
        <w:p w14:paraId="2DF3D2AC" w14:textId="77777777" w:rsidR="003D5DB4" w:rsidRPr="000D0101" w:rsidRDefault="003D5DB4" w:rsidP="000A5389">
          <w:pPr>
            <w:spacing w:line="240" w:lineRule="auto"/>
          </w:pPr>
        </w:p>
        <w:p w14:paraId="73A11A44" w14:textId="52BDD148" w:rsidR="003D5DB4" w:rsidRPr="000D0101" w:rsidRDefault="003D5DB4" w:rsidP="000A5389">
          <w:pPr>
            <w:spacing w:line="240" w:lineRule="auto"/>
          </w:pPr>
          <w:r w:rsidRPr="000D0101">
            <w:t xml:space="preserve">Observaciones: </w:t>
          </w:r>
          <w:r w:rsidRPr="000D0101">
            <w:rPr>
              <w:rStyle w:val="Estilo6"/>
              <w:rFonts w:cs="Times New Roman"/>
              <w:szCs w:val="24"/>
            </w:rPr>
            <w:t>No hay observaciones</w:t>
          </w:r>
        </w:p>
        <w:p w14:paraId="0679AB27" w14:textId="77777777" w:rsidR="003D5DB4" w:rsidRPr="000D0101" w:rsidRDefault="003D5DB4" w:rsidP="000A5389">
          <w:pPr>
            <w:spacing w:line="240" w:lineRule="auto"/>
          </w:pPr>
          <w:r w:rsidRPr="000D0101">
            <w:t>Retribución al concesionario</w:t>
          </w:r>
        </w:p>
        <w:p w14:paraId="04A7A1CE" w14:textId="77777777" w:rsidR="003D5DB4" w:rsidRPr="000D0101" w:rsidRDefault="003D5DB4" w:rsidP="000A5389">
          <w:pPr>
            <w:spacing w:line="240" w:lineRule="auto"/>
          </w:pPr>
        </w:p>
        <w:p w14:paraId="2DF71CE0" w14:textId="77777777" w:rsidR="003D5DB4" w:rsidRPr="000D0101" w:rsidRDefault="003D5DB4" w:rsidP="000A5389">
          <w:pPr>
            <w:spacing w:line="240" w:lineRule="auto"/>
          </w:pPr>
          <w:r w:rsidRPr="000D0101">
            <w:t>Descripción: Se permite al CONCESIONARIO la ocupación en forma temporal y exclusiva de una zona de playas, de bajamar y aguas marítimas accesorias junto con las construcciones e inmuebles por destinación que allí se encuentra, para la construcción, operación y el desarrollo de actividades portuarias de servicio privado, conforme lo establece la Cláusula Primera del Contrato.</w:t>
          </w:r>
        </w:p>
        <w:p w14:paraId="7C1B8A53" w14:textId="77777777" w:rsidR="003D5DB4" w:rsidRPr="000D0101" w:rsidRDefault="003D5DB4" w:rsidP="000A5389">
          <w:pPr>
            <w:spacing w:line="240" w:lineRule="auto"/>
          </w:pPr>
        </w:p>
        <w:p w14:paraId="479680E5" w14:textId="77777777" w:rsidR="003D5DB4" w:rsidRPr="000D0101" w:rsidRDefault="003D5DB4" w:rsidP="000A5389">
          <w:pPr>
            <w:spacing w:line="240" w:lineRule="auto"/>
          </w:pPr>
          <w:r w:rsidRPr="000D0101">
            <w:t>Tasa de retribución: N/A</w:t>
          </w:r>
        </w:p>
        <w:p w14:paraId="73DBBD03" w14:textId="77777777" w:rsidR="003D5DB4" w:rsidRPr="000D0101" w:rsidRDefault="003D5DB4" w:rsidP="000A5389">
          <w:pPr>
            <w:spacing w:line="240" w:lineRule="auto"/>
          </w:pPr>
        </w:p>
        <w:p w14:paraId="4FEF048A" w14:textId="77777777" w:rsidR="003D5DB4" w:rsidRPr="000D0101" w:rsidRDefault="003D5DB4" w:rsidP="000A5389">
          <w:pPr>
            <w:spacing w:line="240" w:lineRule="auto"/>
          </w:pPr>
          <w:r w:rsidRPr="000D0101">
            <w:lastRenderedPageBreak/>
            <w:t>d. Derechos a recibir activos especificados al final del acuerdo de concesión</w:t>
          </w:r>
        </w:p>
        <w:p w14:paraId="1F8E0411" w14:textId="77777777" w:rsidR="003D5DB4" w:rsidRPr="000D0101" w:rsidRDefault="003D5DB4" w:rsidP="000A5389">
          <w:pPr>
            <w:spacing w:line="240" w:lineRule="auto"/>
          </w:pPr>
        </w:p>
        <w:p w14:paraId="263EC32A" w14:textId="77777777" w:rsidR="003D5DB4" w:rsidRPr="000D0101" w:rsidRDefault="003D5DB4" w:rsidP="000A5389">
          <w:pPr>
            <w:spacing w:line="240" w:lineRule="auto"/>
          </w:pPr>
          <w:r w:rsidRPr="000D0101">
            <w:t>Descripción: De acuerdo con el Artículo 8º de la Ley 1 de 1991 en el modo portuario el concesionario no tiene derechos finales sobre activos, los debe revertir a la Nación al final del Contrato de Concesión.</w:t>
          </w:r>
        </w:p>
        <w:p w14:paraId="50D1E492" w14:textId="77777777" w:rsidR="003D5DB4" w:rsidRPr="000D0101" w:rsidRDefault="003D5DB4" w:rsidP="000A5389">
          <w:pPr>
            <w:spacing w:line="240" w:lineRule="auto"/>
          </w:pPr>
        </w:p>
        <w:p w14:paraId="1F3A855D" w14:textId="77777777" w:rsidR="003D5DB4" w:rsidRPr="000D0101" w:rsidRDefault="003D5DB4" w:rsidP="000A5389">
          <w:pPr>
            <w:spacing w:line="240" w:lineRule="auto"/>
          </w:pPr>
          <w:r w:rsidRPr="000D0101">
            <w:t>Observaciones: Reversión: De acuerdo con lo establecido en la Cláusula Décimo Segunda del Contrato de Concesión, la Zona de Uso Público y todas las construcciones (obras e inversiones) e inmuebles por destinación (equipos e inversiones) afectos a la operación del muelle entregadas en concesión se revertirán a la Nación en buenas condiciones de operación tecnológica, mantenimiento y de adecuada eficiencia al término del contrato y de las prórrogas si las hubiere. Igualmente procederá la Reversión al ser declarada la Caducidad o la Terminación Unilateral. Para tal fin, en el momento de la Reversión el CONCESIONARIO deberá hacer entrega de un avaluó comercial actualizado y valoración técnica de las condiciones de operación de la infraestructura portuaria, equipos e inmuebles por destinación que habitualmente se encuentren instalados en las Zonas de Uso Público que se revierten y que son propiedad de la Nación.</w:t>
          </w:r>
        </w:p>
        <w:p w14:paraId="231B0FD6" w14:textId="77777777" w:rsidR="003D5DB4" w:rsidRPr="000D0101" w:rsidRDefault="003D5DB4" w:rsidP="000A5389">
          <w:pPr>
            <w:spacing w:line="240" w:lineRule="auto"/>
          </w:pPr>
        </w:p>
        <w:p w14:paraId="603B506B" w14:textId="77777777" w:rsidR="003D5DB4" w:rsidRPr="000D0101" w:rsidRDefault="003D5DB4" w:rsidP="000A5389">
          <w:pPr>
            <w:spacing w:line="240" w:lineRule="auto"/>
          </w:pPr>
          <w:r w:rsidRPr="000D0101">
            <w:t>e. Las alternativas de renovación y cese del Acuerdo</w:t>
          </w:r>
        </w:p>
        <w:p w14:paraId="5E89043E" w14:textId="77777777" w:rsidR="003D5DB4" w:rsidRPr="000D0101" w:rsidRDefault="003D5DB4" w:rsidP="000A5389">
          <w:pPr>
            <w:spacing w:line="240" w:lineRule="auto"/>
          </w:pPr>
        </w:p>
        <w:p w14:paraId="4974A387" w14:textId="77777777" w:rsidR="003D5DB4" w:rsidRPr="000D0101" w:rsidRDefault="003D5DB4" w:rsidP="000A5389">
          <w:pPr>
            <w:spacing w:line="240" w:lineRule="auto"/>
            <w:rPr>
              <w:lang w:val="es-MX"/>
            </w:rPr>
          </w:pPr>
          <w:r w:rsidRPr="000D0101">
            <w:t>Descripción: De acuerdo con la Cláusula Decima Primera, la prórroga solo podrá darse si está autorizada en la ley y debe ser tramitada ante el órgano competente siguiendo el procedimiento normativo vigente.</w:t>
          </w:r>
        </w:p>
        <w:p w14:paraId="1AB24631" w14:textId="77777777" w:rsidR="003D5DB4" w:rsidRPr="000D0101" w:rsidRDefault="003D5DB4" w:rsidP="000A5389">
          <w:pPr>
            <w:spacing w:line="240" w:lineRule="auto"/>
          </w:pPr>
        </w:p>
        <w:p w14:paraId="443B789A" w14:textId="77777777" w:rsidR="003D5DB4" w:rsidRPr="000D0101" w:rsidRDefault="003D5DB4" w:rsidP="000A5389">
          <w:pPr>
            <w:spacing w:line="240" w:lineRule="auto"/>
          </w:pPr>
          <w:r w:rsidRPr="000D0101">
            <w:t xml:space="preserve">Observaciones: </w:t>
          </w:r>
          <w:r w:rsidRPr="000D0101">
            <w:rPr>
              <w:rStyle w:val="Estilo6"/>
              <w:rFonts w:cs="Times New Roman"/>
              <w:szCs w:val="24"/>
            </w:rPr>
            <w:t>En la Cláusula Vigésima primera del Contrato se contemplan las posibilidades de Terminación</w:t>
          </w:r>
        </w:p>
        <w:p w14:paraId="388E8BA1" w14:textId="77777777" w:rsidR="003D5DB4" w:rsidRPr="000D0101" w:rsidRDefault="003D5DB4" w:rsidP="000A5389">
          <w:pPr>
            <w:spacing w:line="240" w:lineRule="auto"/>
          </w:pPr>
        </w:p>
        <w:p w14:paraId="4F8F779A" w14:textId="77777777" w:rsidR="003D5DB4" w:rsidRPr="000D0101" w:rsidRDefault="003D5DB4" w:rsidP="000A5389">
          <w:pPr>
            <w:spacing w:line="240" w:lineRule="auto"/>
            <w:rPr>
              <w:lang w:val="es-MX"/>
            </w:rPr>
          </w:pPr>
          <w:r w:rsidRPr="000D0101">
            <w:rPr>
              <w:lang w:val="es-MX"/>
            </w:rPr>
            <w:t>f. Cambios en el acuerdo de concesión que se realicen durante el periodo fiscal</w:t>
          </w:r>
        </w:p>
        <w:p w14:paraId="4DEC4029" w14:textId="77777777" w:rsidR="003D5DB4" w:rsidRPr="000D0101" w:rsidRDefault="003D5DB4" w:rsidP="000A5389">
          <w:pPr>
            <w:spacing w:line="240" w:lineRule="auto"/>
            <w:rPr>
              <w:lang w:val="es-MX"/>
            </w:rPr>
          </w:pPr>
        </w:p>
        <w:p w14:paraId="7B665057" w14:textId="77777777" w:rsidR="003D5DB4" w:rsidRPr="000D0101" w:rsidRDefault="003D5DB4" w:rsidP="000A5389">
          <w:pPr>
            <w:spacing w:line="240" w:lineRule="auto"/>
          </w:pPr>
          <w:r w:rsidRPr="000D0101">
            <w:t>Adiciones o modificaciones en tiempo</w:t>
          </w:r>
        </w:p>
        <w:p w14:paraId="1F250594" w14:textId="77777777" w:rsidR="003D5DB4" w:rsidRPr="000D0101" w:rsidRDefault="003D5DB4" w:rsidP="000A5389">
          <w:pPr>
            <w:spacing w:line="240" w:lineRule="auto"/>
          </w:pPr>
          <w:r w:rsidRPr="000D0101">
            <w:t>Fechas de las adiciones o modificaciones: N/A</w:t>
          </w:r>
        </w:p>
        <w:p w14:paraId="6A53CEDD" w14:textId="77777777" w:rsidR="003D5DB4" w:rsidRPr="000D0101" w:rsidRDefault="003D5DB4" w:rsidP="000A5389">
          <w:pPr>
            <w:spacing w:line="240" w:lineRule="auto"/>
          </w:pPr>
          <w:r w:rsidRPr="000D0101">
            <w:t>Nueva fecha de finalización estimada: N/A</w:t>
          </w:r>
        </w:p>
        <w:p w14:paraId="2C33D4CB" w14:textId="77777777" w:rsidR="003D5DB4" w:rsidRPr="000D0101" w:rsidRDefault="003D5DB4" w:rsidP="000A5389">
          <w:pPr>
            <w:spacing w:line="240" w:lineRule="auto"/>
          </w:pPr>
          <w:r w:rsidRPr="000D0101">
            <w:t>Observaciones: N/A</w:t>
          </w:r>
        </w:p>
        <w:p w14:paraId="5B7747C9" w14:textId="77777777" w:rsidR="003D5DB4" w:rsidRPr="000D0101" w:rsidRDefault="003D5DB4" w:rsidP="000A5389">
          <w:pPr>
            <w:spacing w:line="240" w:lineRule="auto"/>
          </w:pPr>
          <w:r w:rsidRPr="000D0101">
            <w:t>Adiciones o modificaciones en valor</w:t>
          </w:r>
        </w:p>
        <w:p w14:paraId="0A09D445" w14:textId="77777777" w:rsidR="003D5DB4" w:rsidRPr="000D0101" w:rsidRDefault="003D5DB4" w:rsidP="000A5389">
          <w:pPr>
            <w:spacing w:line="240" w:lineRule="auto"/>
          </w:pPr>
          <w:r w:rsidRPr="000D0101">
            <w:t>Valor de la adición o modificación: Acuerdo Conciliatorio del 11 de Julio de 2022</w:t>
          </w:r>
        </w:p>
        <w:p w14:paraId="36212446" w14:textId="77777777" w:rsidR="003D5DB4" w:rsidRPr="000D0101" w:rsidRDefault="003D5DB4" w:rsidP="000A5389">
          <w:pPr>
            <w:spacing w:line="240" w:lineRule="auto"/>
          </w:pPr>
          <w:r w:rsidRPr="000D0101">
            <w:t>Nuevo valor del acuerdo: USD 44.603.101 (Se adicionan Inversiones por USD$14.830.906)</w:t>
          </w:r>
        </w:p>
        <w:p w14:paraId="307956AA" w14:textId="77777777" w:rsidR="003D5DB4" w:rsidRPr="000D0101" w:rsidRDefault="003D5DB4" w:rsidP="000A5389">
          <w:pPr>
            <w:spacing w:line="240" w:lineRule="auto"/>
          </w:pPr>
          <w:r w:rsidRPr="000D0101">
            <w:t>Observaciones: Se modifica el Valor del Plan de inversiones en la Claúsula Segunda del Acuerdo</w:t>
          </w:r>
        </w:p>
        <w:p w14:paraId="39FE8B4E" w14:textId="77777777" w:rsidR="003D5DB4" w:rsidRPr="000D0101" w:rsidRDefault="003D5DB4" w:rsidP="000A5389">
          <w:pPr>
            <w:spacing w:line="240" w:lineRule="auto"/>
          </w:pPr>
        </w:p>
        <w:p w14:paraId="7532F71D" w14:textId="77777777" w:rsidR="003D5DB4" w:rsidRPr="000D0101" w:rsidRDefault="003D5DB4" w:rsidP="000A5389">
          <w:pPr>
            <w:spacing w:line="240" w:lineRule="auto"/>
            <w:rPr>
              <w:rFonts w:eastAsia="Times New Roman"/>
              <w:lang w:eastAsia="es-CO"/>
            </w:rPr>
          </w:pPr>
        </w:p>
        <w:p w14:paraId="3F3F1430" w14:textId="77777777" w:rsidR="003D5DB4" w:rsidRPr="00804139" w:rsidRDefault="003D5DB4" w:rsidP="000A5389">
          <w:pPr>
            <w:spacing w:line="240" w:lineRule="auto"/>
            <w:rPr>
              <w:rFonts w:eastAsia="Times New Roman"/>
              <w:i/>
              <w:iCs/>
              <w:lang w:eastAsia="es-CO"/>
            </w:rPr>
          </w:pPr>
          <w:r w:rsidRPr="00804139">
            <w:rPr>
              <w:rFonts w:eastAsia="Times New Roman"/>
              <w:i/>
              <w:iCs/>
              <w:lang w:eastAsia="es-CO"/>
            </w:rPr>
            <w:t xml:space="preserve">SALINAS MARÍTIMAS DE MANAURE LIMITADA </w:t>
          </w:r>
        </w:p>
        <w:p w14:paraId="71F64AA1" w14:textId="77777777" w:rsidR="003D5DB4" w:rsidRPr="000D0101" w:rsidRDefault="003D5DB4" w:rsidP="000A5389">
          <w:pPr>
            <w:spacing w:line="240" w:lineRule="auto"/>
          </w:pPr>
        </w:p>
        <w:p w14:paraId="1099F07C" w14:textId="77777777" w:rsidR="003D5DB4" w:rsidRPr="000D0101" w:rsidRDefault="003D5DB4" w:rsidP="000A5389">
          <w:pPr>
            <w:spacing w:line="240" w:lineRule="auto"/>
          </w:pPr>
          <w:r w:rsidRPr="000D0101">
            <w:t>a. Descripción del Acuerdo</w:t>
          </w:r>
        </w:p>
        <w:p w14:paraId="7CAB9165" w14:textId="77777777" w:rsidR="003D5DB4" w:rsidRPr="000D0101" w:rsidRDefault="003D5DB4" w:rsidP="000A5389">
          <w:pPr>
            <w:spacing w:line="240" w:lineRule="auto"/>
          </w:pPr>
        </w:p>
        <w:p w14:paraId="5CF5D36A" w14:textId="77777777" w:rsidR="003D5DB4" w:rsidRPr="000D0101" w:rsidRDefault="003D5DB4" w:rsidP="000A5389">
          <w:pPr>
            <w:spacing w:line="240" w:lineRule="auto"/>
          </w:pPr>
          <w:r w:rsidRPr="000D0101">
            <w:lastRenderedPageBreak/>
            <w:t>Número del Acuerdo de concesión: 793 de 2007.</w:t>
          </w:r>
        </w:p>
        <w:p w14:paraId="5DBC6FEF" w14:textId="77777777" w:rsidR="003D5DB4" w:rsidRPr="000D0101" w:rsidRDefault="003D5DB4" w:rsidP="000A5389">
          <w:pPr>
            <w:spacing w:line="240" w:lineRule="auto"/>
          </w:pPr>
        </w:p>
        <w:p w14:paraId="211F0948" w14:textId="77777777" w:rsidR="003D5DB4" w:rsidRPr="000D0101" w:rsidRDefault="003D5DB4" w:rsidP="000A5389">
          <w:pPr>
            <w:spacing w:line="240" w:lineRule="auto"/>
          </w:pPr>
          <w:r w:rsidRPr="000D0101">
            <w:t>Objeto / Descripción: La ocupación en forma temporal y exclusiva de las playas, los terrenos de bajamar y zonas accesorias a aquellas o estos junto con las instalaciones portuarias existentes en el terminal salinero de la planta de producción de Manaure, para la operación y desarrollo de actividades de servicio público, conforme lo establece el Artículo primero de la resolución 793 de 2007.</w:t>
          </w:r>
        </w:p>
        <w:p w14:paraId="3EB3C062" w14:textId="77777777" w:rsidR="003D5DB4" w:rsidRPr="000D0101" w:rsidRDefault="003D5DB4" w:rsidP="000A5389">
          <w:pPr>
            <w:spacing w:line="240" w:lineRule="auto"/>
          </w:pPr>
        </w:p>
        <w:p w14:paraId="10E85668" w14:textId="77777777" w:rsidR="003D5DB4" w:rsidRPr="000D0101" w:rsidRDefault="003D5DB4" w:rsidP="000A5389">
          <w:pPr>
            <w:spacing w:line="240" w:lineRule="auto"/>
          </w:pPr>
          <w:r w:rsidRPr="000D0101">
            <w:t>Valor inicial:</w:t>
          </w:r>
          <w:r w:rsidRPr="000D0101">
            <w:tab/>
            <w:t>USD $48.870 Artículo Noveno/Resolución No. 793 de 2007Valor actualizado: USD $49.385 Artículo Cuarto/Resolución No. 387 de 2010. USD $ 51.143 Artículo Tercero/Resolución No. 348 de 2011.</w:t>
          </w:r>
        </w:p>
        <w:p w14:paraId="3C478F5A" w14:textId="77777777" w:rsidR="003D5DB4" w:rsidRPr="000D0101" w:rsidRDefault="003D5DB4" w:rsidP="000A5389">
          <w:pPr>
            <w:spacing w:line="240" w:lineRule="auto"/>
          </w:pPr>
          <w:r w:rsidRPr="000D0101">
            <w:t>Fecha de inicio: 19/12/2007</w:t>
          </w:r>
        </w:p>
        <w:p w14:paraId="205332AF" w14:textId="77777777" w:rsidR="003D5DB4" w:rsidRPr="000D0101" w:rsidRDefault="003D5DB4" w:rsidP="000A5389">
          <w:pPr>
            <w:spacing w:line="240" w:lineRule="auto"/>
          </w:pPr>
          <w:r w:rsidRPr="000D0101">
            <w:t>Fecha de finalización estimada: 6/08/2012</w:t>
          </w:r>
        </w:p>
        <w:p w14:paraId="32CC25E3" w14:textId="77777777" w:rsidR="003D5DB4" w:rsidRPr="000D0101" w:rsidRDefault="003D5DB4" w:rsidP="000A5389">
          <w:pPr>
            <w:spacing w:line="240" w:lineRule="auto"/>
          </w:pPr>
          <w:r w:rsidRPr="000D0101">
            <w:t>Tipo ID: NIT</w:t>
          </w:r>
        </w:p>
        <w:p w14:paraId="5CD645C9" w14:textId="77777777" w:rsidR="003D5DB4" w:rsidRPr="000D0101" w:rsidRDefault="003D5DB4" w:rsidP="000A5389">
          <w:pPr>
            <w:spacing w:line="240" w:lineRule="auto"/>
          </w:pPr>
          <w:r w:rsidRPr="000D0101">
            <w:t>Número ID: 900.009.767-6</w:t>
          </w:r>
        </w:p>
        <w:p w14:paraId="2340256F" w14:textId="77777777" w:rsidR="003D5DB4" w:rsidRPr="000D0101" w:rsidRDefault="003D5DB4" w:rsidP="000A5389">
          <w:pPr>
            <w:spacing w:line="240" w:lineRule="auto"/>
          </w:pPr>
          <w:r w:rsidRPr="000D0101">
            <w:t>Razón social del concesionario: Sociedad Salinas Marítimas de Manaure Limitada – SAMA LTDA</w:t>
          </w:r>
        </w:p>
        <w:p w14:paraId="6EE8DF00" w14:textId="77777777" w:rsidR="003D5DB4" w:rsidRPr="000D0101" w:rsidRDefault="003D5DB4" w:rsidP="000A5389">
          <w:pPr>
            <w:spacing w:line="240" w:lineRule="auto"/>
          </w:pPr>
          <w:r w:rsidRPr="000D0101">
            <w:t>Nombre del proyecto: Sociedad Salinas Marítimas de Manaure Limitada – SAMA LTDA</w:t>
          </w:r>
        </w:p>
        <w:p w14:paraId="76BFEE5F" w14:textId="77777777" w:rsidR="003D5DB4" w:rsidRPr="000D0101" w:rsidRDefault="003D5DB4" w:rsidP="000A5389">
          <w:pPr>
            <w:spacing w:line="240" w:lineRule="auto"/>
          </w:pPr>
        </w:p>
        <w:p w14:paraId="3C289797" w14:textId="77777777" w:rsidR="003D5DB4" w:rsidRPr="000D0101" w:rsidRDefault="003D5DB4" w:rsidP="000A5389">
          <w:pPr>
            <w:spacing w:line="240" w:lineRule="auto"/>
          </w:pPr>
          <w:r w:rsidRPr="000D0101">
            <w:t>b. Términos significativos del Acuerdo que puedan afectar su valor, el calendario y la certeza de los flujos de efectivo futuros</w:t>
          </w:r>
        </w:p>
        <w:p w14:paraId="7C4C570A" w14:textId="77777777" w:rsidR="003D5DB4" w:rsidRPr="000D0101" w:rsidRDefault="003D5DB4" w:rsidP="000A5389">
          <w:pPr>
            <w:spacing w:line="240" w:lineRule="auto"/>
          </w:pPr>
        </w:p>
        <w:p w14:paraId="17B41D03" w14:textId="77777777" w:rsidR="003D5DB4" w:rsidRPr="000D0101" w:rsidRDefault="003D5DB4" w:rsidP="000A5389">
          <w:pPr>
            <w:spacing w:line="240" w:lineRule="auto"/>
          </w:pPr>
          <w:r w:rsidRPr="000D0101">
            <w:t xml:space="preserve">Términos de valor: Tarifas: Al ser el terminal marítimo de servicio público la Ley 1 de 1991 establece que: Las sociedades portuarias que operan puertos de servicio público las tarifas requieren ser aprobadas según la metodología establecida por la Superintendencia General de Puertos hoy Superintendencia de Transporte.2: Contraprestación portuaria: De acuerdo con el último documento contractual vigente la metodología de contraprestación vigente es CONPES 2680 DE 1993 (Productividad). Se establece en el artículo tercero de la resolución 348/2011 que el CONCESIONARIO deberá pagar por concepto de zona de uso público la suma anual de (USD 46.370,00), de dicho pago el 80% le corresponde a la Nación Instituto nacional de vías (INVIAS) y el 20% restante al municipio de Manaure Departamento de la Guajira de acuerdo con lo establecido en el parágrafo 1 del artículo 1 de la ley 856 del 21 de diciembre de 2003, que modifica el artículo 7 de la ley 1ª de 1991. Así mismo, por concepto de infraestructura el CONCESIONARIO deberá pagar la suma anual de (USD 4.773.,00), el cual corresponde en un 100% a la Nación - Instituto Nacional de Vías (INVIAS) de acuerdo con lo establecido en el artículo 1 de la ley 856 del 21 diciembre de 2003.La Sociedad Salinas Marítimas de Manaure Ltda. – SAMA LTDA no realizó el pago y que por tanto mediante Resolución No. 468 de fecha 28 de marzo de 2016 se declaró el incumplimiento. Obligaciones del CONCESIONARIO: Lo establecido en el Artículo Tercero de la Resolución 387/2010, Artículo Segundo de la Resolución 348/2011 y Artículo Tercero de la Resolución 348/2011.Multas y sanciones:  Mediante la Resolución No. 468 de fecha 28 de marzo de 2016 se declaró multa por valor de $ 658.168.549,00 actualizada a valor de $ 783.941.018 a agosto de 2021. Que este valor fue comunicado a la SuperSociedades en virtud del acuerdo </w:t>
          </w:r>
          <w:r w:rsidRPr="000D0101">
            <w:lastRenderedPageBreak/>
            <w:t>de reestructuración y del cual la Entidad solicito ante SuperSociedades ser parte de los acreedores.</w:t>
          </w:r>
        </w:p>
        <w:p w14:paraId="73C9B1A9" w14:textId="77777777" w:rsidR="003D5DB4" w:rsidRPr="000D0101" w:rsidRDefault="003D5DB4" w:rsidP="000A5389">
          <w:pPr>
            <w:spacing w:line="240" w:lineRule="auto"/>
          </w:pPr>
        </w:p>
        <w:p w14:paraId="1BB19BBB" w14:textId="77777777" w:rsidR="003D5DB4" w:rsidRPr="000D0101" w:rsidRDefault="003D5DB4" w:rsidP="000A5389">
          <w:pPr>
            <w:spacing w:line="240" w:lineRule="auto"/>
          </w:pPr>
          <w:r w:rsidRPr="000D0101">
            <w:t>Términos de calendario: Tarifas: Aprobadas según la metodología establecida por la Superintendencia General de Puertos hoy Superintendencia de Transporte. Contraprestación portuaria: la contraprestación se debe pagar de manera anticipada anual desde el mes de julio de cada año.</w:t>
          </w:r>
        </w:p>
        <w:p w14:paraId="07B007D0" w14:textId="77777777" w:rsidR="003D5DB4" w:rsidRPr="000D0101" w:rsidRDefault="003D5DB4" w:rsidP="000A5389">
          <w:pPr>
            <w:spacing w:line="240" w:lineRule="auto"/>
          </w:pPr>
        </w:p>
        <w:p w14:paraId="072876DB" w14:textId="77777777" w:rsidR="003D5DB4" w:rsidRPr="000D0101" w:rsidRDefault="003D5DB4" w:rsidP="000A5389">
          <w:pPr>
            <w:spacing w:line="240" w:lineRule="auto"/>
          </w:pPr>
          <w:r w:rsidRPr="000D0101">
            <w:t>Términos de certeza de flujos de efectivo futuros: Que mediante Resolución 793 del 19 de diciembre de 2007, el INCO otorgó una autorización temporal a SAMA LTDA, para ocupar y utilizar en forma temporal y exclusiva las playas, los terrenos de bajamar y zonas accesorias a aquellas o estos junto con las instalaciones portuarias existentes en el terminal salinero de la planta de producción de Manaure, para la operación y desarrollo de actividades de servicio público, conforme lo establece el Artículo primero de la resolución 793 de 2007.</w:t>
          </w:r>
        </w:p>
        <w:p w14:paraId="36645D31" w14:textId="77777777" w:rsidR="003D5DB4" w:rsidRPr="000D0101" w:rsidRDefault="003D5DB4" w:rsidP="000A5389">
          <w:pPr>
            <w:spacing w:line="240" w:lineRule="auto"/>
          </w:pPr>
        </w:p>
        <w:p w14:paraId="4357EC07" w14:textId="77777777" w:rsidR="003D5DB4" w:rsidRPr="000D0101" w:rsidRDefault="003D5DB4" w:rsidP="000A5389">
          <w:pPr>
            <w:spacing w:line="240" w:lineRule="auto"/>
          </w:pPr>
          <w:r w:rsidRPr="000D0101">
            <w:t>c. Naturaleza y alcance del derecho a utilizar Activos y los aspectos pactados en torno a lo que se espera que el concesionario proporcione en relación con el Acuerdo de concesión</w:t>
          </w:r>
        </w:p>
        <w:p w14:paraId="1F06B079" w14:textId="77777777" w:rsidR="003D5DB4" w:rsidRPr="000D0101" w:rsidRDefault="003D5DB4" w:rsidP="000A5389">
          <w:pPr>
            <w:spacing w:line="240" w:lineRule="auto"/>
          </w:pPr>
        </w:p>
        <w:p w14:paraId="5EACC2F5" w14:textId="77777777" w:rsidR="003D5DB4" w:rsidRPr="000D0101" w:rsidRDefault="003D5DB4" w:rsidP="000A5389">
          <w:pPr>
            <w:spacing w:line="240" w:lineRule="auto"/>
          </w:pPr>
          <w:r w:rsidRPr="000D0101">
            <w:t>Naturaleza y alcance del derecho de uso de los Activos</w:t>
          </w:r>
        </w:p>
        <w:p w14:paraId="24C02944" w14:textId="77777777" w:rsidR="003D5DB4" w:rsidRPr="000D0101" w:rsidRDefault="003D5DB4" w:rsidP="000A5389">
          <w:pPr>
            <w:spacing w:line="240" w:lineRule="auto"/>
          </w:pPr>
        </w:p>
        <w:p w14:paraId="7AFBDDA2" w14:textId="77777777" w:rsidR="003D5DB4" w:rsidRPr="000D0101" w:rsidRDefault="003D5DB4" w:rsidP="000A5389">
          <w:pPr>
            <w:spacing w:line="240" w:lineRule="auto"/>
          </w:pPr>
          <w:r w:rsidRPr="000D0101">
            <w:t>Descripción: Descripción del proyecto, especificaciones técnicas, modalidades de operación: las condiciones especiales de operación están establecidas en el Artículo Cuarto de la Resolución No. 793 de 2007. Área entregada en concesión: La descripción de la ubicación, linderos y extensión de los bienes de uso público (playas y terrenos de baja mar, zonas marítimas accesorias de maniobras) entregados en concesión están establecidos en el Artículo Segundo de la Resolución No. 793 de 2007.Infraestructura y equipos entregados mediante la autorización temporal: En el Artículo Quinto de la Resolución No. 793 de 2007, se describe que lo entregado así:  Infraestructura: viaducto de 510 metros de longitud, plataforma de servicio, dos (2) piñas de atraque, dos (2) piñas de amarre, escaleras metálicas/madera, banda transportadora, soporte estructura banda. Equipos: Banda Transportadora con capacidad de diseño de 400 ton/hora.</w:t>
          </w:r>
        </w:p>
        <w:p w14:paraId="2B727814" w14:textId="77777777" w:rsidR="003D5DB4" w:rsidRPr="000D0101" w:rsidRDefault="003D5DB4" w:rsidP="000A5389">
          <w:pPr>
            <w:spacing w:line="240" w:lineRule="auto"/>
          </w:pPr>
        </w:p>
        <w:p w14:paraId="6F9280B9" w14:textId="5259F5D7" w:rsidR="003D5DB4" w:rsidRPr="000D0101" w:rsidRDefault="003D5DB4" w:rsidP="000A5389">
          <w:pPr>
            <w:spacing w:line="240" w:lineRule="auto"/>
          </w:pPr>
          <w:r w:rsidRPr="000D0101">
            <w:t>Observaciones: No se tiene observaciones</w:t>
          </w:r>
        </w:p>
        <w:p w14:paraId="626124E1" w14:textId="77777777" w:rsidR="003D5DB4" w:rsidRPr="000D0101" w:rsidRDefault="003D5DB4" w:rsidP="000A5389">
          <w:pPr>
            <w:spacing w:line="240" w:lineRule="auto"/>
          </w:pPr>
          <w:r w:rsidRPr="000D0101">
            <w:t>Retribución al concesionario</w:t>
          </w:r>
        </w:p>
        <w:p w14:paraId="43D0A654" w14:textId="77777777" w:rsidR="003D5DB4" w:rsidRPr="000D0101" w:rsidRDefault="003D5DB4" w:rsidP="000A5389">
          <w:pPr>
            <w:spacing w:line="240" w:lineRule="auto"/>
          </w:pPr>
        </w:p>
        <w:p w14:paraId="3689AF25" w14:textId="77777777" w:rsidR="003D5DB4" w:rsidRPr="000D0101" w:rsidRDefault="003D5DB4" w:rsidP="000A5389">
          <w:pPr>
            <w:spacing w:line="240" w:lineRule="auto"/>
          </w:pPr>
          <w:r w:rsidRPr="000D0101">
            <w:t>Descripción: Artículo Primero de la Resolución No. 793 de 2007: Se otorga a EL CONCESIONARIO la ocupación en forma temporal y exclusiva de las playas, los terrenos de bajamar y zonas accesorias a aquellas o estos estos junto con las instalaciones portuarias existentes en el terminal salinero de la planta de producción de Manaure, descritos en el Artículo Quinto de la mencionada resolución, a cambio de la contraprestación económica descrita en el Artículo Tercero de la Resolución No. 348 de 2011.</w:t>
          </w:r>
        </w:p>
        <w:p w14:paraId="5B10F4FB" w14:textId="77777777" w:rsidR="003D5DB4" w:rsidRPr="000D0101" w:rsidRDefault="003D5DB4" w:rsidP="000A5389">
          <w:pPr>
            <w:spacing w:line="240" w:lineRule="auto"/>
          </w:pPr>
        </w:p>
        <w:p w14:paraId="34933985" w14:textId="77777777" w:rsidR="003D5DB4" w:rsidRPr="000D0101" w:rsidRDefault="003D5DB4" w:rsidP="000A5389">
          <w:pPr>
            <w:spacing w:line="240" w:lineRule="auto"/>
          </w:pPr>
          <w:r w:rsidRPr="000D0101">
            <w:t>Tasa de retribución: N/A</w:t>
          </w:r>
        </w:p>
        <w:p w14:paraId="0F127238" w14:textId="77777777" w:rsidR="003D5DB4" w:rsidRPr="000D0101" w:rsidRDefault="003D5DB4" w:rsidP="000A5389">
          <w:pPr>
            <w:spacing w:line="240" w:lineRule="auto"/>
          </w:pPr>
        </w:p>
        <w:p w14:paraId="51B48C15" w14:textId="77777777" w:rsidR="003D5DB4" w:rsidRPr="000D0101" w:rsidRDefault="003D5DB4" w:rsidP="000A5389">
          <w:pPr>
            <w:spacing w:line="240" w:lineRule="auto"/>
          </w:pPr>
          <w:r w:rsidRPr="000D0101">
            <w:lastRenderedPageBreak/>
            <w:t>d. Derechos a recibir Activos especificados al final del acuerdo de concesión</w:t>
          </w:r>
        </w:p>
        <w:p w14:paraId="166EF53F" w14:textId="77777777" w:rsidR="003D5DB4" w:rsidRPr="000D0101" w:rsidRDefault="003D5DB4" w:rsidP="000A5389">
          <w:pPr>
            <w:spacing w:line="240" w:lineRule="auto"/>
          </w:pPr>
        </w:p>
        <w:p w14:paraId="39C32FC7" w14:textId="77777777" w:rsidR="003D5DB4" w:rsidRPr="000D0101" w:rsidRDefault="003D5DB4" w:rsidP="000A5389">
          <w:pPr>
            <w:spacing w:line="240" w:lineRule="auto"/>
          </w:pPr>
          <w:r w:rsidRPr="000D0101">
            <w:t>Descripción: De acuerdo con el Artículo 8º de la Ley 1 de 1991 en el modo portuario el concesionario no tiene derechos finales sobre activos los debe revertir a la Nación al final del contrato de concesión.</w:t>
          </w:r>
        </w:p>
        <w:p w14:paraId="100CC07C" w14:textId="77777777" w:rsidR="003D5DB4" w:rsidRPr="000D0101" w:rsidRDefault="003D5DB4" w:rsidP="000A5389">
          <w:pPr>
            <w:spacing w:line="240" w:lineRule="auto"/>
          </w:pPr>
        </w:p>
        <w:p w14:paraId="54410AB2" w14:textId="77777777" w:rsidR="003D5DB4" w:rsidRPr="000D0101" w:rsidRDefault="003D5DB4" w:rsidP="000A5389">
          <w:pPr>
            <w:spacing w:line="240" w:lineRule="auto"/>
          </w:pPr>
          <w:r w:rsidRPr="000D0101">
            <w:t>Observaciones: Reversión: De acuerdo con lo establecido en el Artículo Tercero de la Resolución No. 387 de 2010, dentro de los noventa (90) días siguientes al vencimiento de la Autorización Temporal, deberá revertir a la Nación las playas, los terrenos de bajamar y zonas accesorias a aquellas y las construcciones e inmuebles por destinación que se encuentren habitualmente instalados, en los términos establecidos en el artículo 8 de la Ley 1° de 1991.La ANI es la entidad concedente pero la titularidad de los activos al final de la concesión es del Instituto Nacional de Vías INVIAS.A la fecha la Agencia ha adelantado los mecanismos más expeditos tendientes a la recuperación de las Zonas de Uso Público e infraestructura que a la fecha se encuentran en ocupación irregular y abandono por parte de la Sociedad Salinas Marítimas de Manaure Limitada – SAMA LTDA.</w:t>
          </w:r>
        </w:p>
        <w:p w14:paraId="5E442A99" w14:textId="77777777" w:rsidR="003D5DB4" w:rsidRPr="000D0101" w:rsidRDefault="003D5DB4" w:rsidP="000A5389">
          <w:pPr>
            <w:spacing w:line="240" w:lineRule="auto"/>
          </w:pPr>
        </w:p>
        <w:p w14:paraId="78232AE9" w14:textId="77777777" w:rsidR="003D5DB4" w:rsidRPr="000D0101" w:rsidRDefault="003D5DB4" w:rsidP="000A5389">
          <w:pPr>
            <w:spacing w:line="240" w:lineRule="auto"/>
          </w:pPr>
          <w:r w:rsidRPr="000D0101">
            <w:t>e. Las alternativas de renovación y cese del acuerdo</w:t>
          </w:r>
        </w:p>
        <w:p w14:paraId="78322C18" w14:textId="77777777" w:rsidR="003D5DB4" w:rsidRPr="000D0101" w:rsidRDefault="003D5DB4" w:rsidP="000A5389">
          <w:pPr>
            <w:spacing w:line="240" w:lineRule="auto"/>
          </w:pPr>
        </w:p>
        <w:p w14:paraId="247FB54B" w14:textId="36755268" w:rsidR="003D5DB4" w:rsidRPr="000D0101" w:rsidRDefault="003D5DB4" w:rsidP="000A5389">
          <w:pPr>
            <w:spacing w:line="240" w:lineRule="auto"/>
          </w:pPr>
          <w:r w:rsidRPr="000D0101">
            <w:t>Descripción: NA</w:t>
          </w:r>
        </w:p>
        <w:p w14:paraId="525ACB92" w14:textId="77777777" w:rsidR="003D5DB4" w:rsidRPr="000D0101" w:rsidRDefault="003D5DB4" w:rsidP="000A5389">
          <w:pPr>
            <w:spacing w:line="240" w:lineRule="auto"/>
          </w:pPr>
          <w:r w:rsidRPr="000D0101">
            <w:t>Observaciones: NA</w:t>
          </w:r>
        </w:p>
        <w:p w14:paraId="00408B44" w14:textId="77777777" w:rsidR="003D5DB4" w:rsidRPr="000D0101" w:rsidRDefault="003D5DB4" w:rsidP="000A5389">
          <w:pPr>
            <w:spacing w:line="240" w:lineRule="auto"/>
          </w:pPr>
        </w:p>
        <w:p w14:paraId="472B6068" w14:textId="77777777" w:rsidR="003D5DB4" w:rsidRPr="000D0101" w:rsidRDefault="003D5DB4" w:rsidP="000A5389">
          <w:pPr>
            <w:spacing w:line="240" w:lineRule="auto"/>
          </w:pPr>
          <w:r w:rsidRPr="000D0101">
            <w:t>f. Cambios en el acuerdo de concesión que se realicen durante el periodo fiscal</w:t>
          </w:r>
        </w:p>
        <w:p w14:paraId="661E522B" w14:textId="77777777" w:rsidR="003D5DB4" w:rsidRPr="000D0101" w:rsidRDefault="003D5DB4" w:rsidP="000A5389">
          <w:pPr>
            <w:spacing w:line="240" w:lineRule="auto"/>
          </w:pPr>
        </w:p>
        <w:p w14:paraId="3443226C" w14:textId="77777777" w:rsidR="003D5DB4" w:rsidRPr="000D0101" w:rsidRDefault="003D5DB4" w:rsidP="000A5389">
          <w:pPr>
            <w:spacing w:line="240" w:lineRule="auto"/>
          </w:pPr>
          <w:r w:rsidRPr="000D0101">
            <w:t>Adiciones o modificaciones en tiempo</w:t>
          </w:r>
        </w:p>
        <w:p w14:paraId="0E8C6B2B" w14:textId="77777777" w:rsidR="003D5DB4" w:rsidRPr="000D0101" w:rsidRDefault="003D5DB4" w:rsidP="000A5389">
          <w:pPr>
            <w:spacing w:line="240" w:lineRule="auto"/>
          </w:pPr>
          <w:r w:rsidRPr="000D0101">
            <w:t>Fechas de las adiciones o modificaciones: Resolución 387 de 2010, por la cual se prorroga la Autorización Temporal a la Sociedad Salinas Maritimas de Manuare Limitada -SAMA LTDA.       Resolución 348 de 2011, por la cual se prorroga la Autorización Temporal a la Sociedad Salinas Maritimas de Manuare Limitada -SAMA LTDA.</w:t>
          </w:r>
        </w:p>
        <w:p w14:paraId="3BF8139C" w14:textId="77777777" w:rsidR="003D5DB4" w:rsidRPr="000D0101" w:rsidRDefault="003D5DB4" w:rsidP="000A5389">
          <w:pPr>
            <w:spacing w:line="240" w:lineRule="auto"/>
          </w:pPr>
          <w:r w:rsidRPr="000D0101">
            <w:t>Nueva fecha de finalización estimada: No aplica</w:t>
          </w:r>
        </w:p>
        <w:p w14:paraId="371509FC" w14:textId="77777777" w:rsidR="003D5DB4" w:rsidRPr="000D0101" w:rsidRDefault="003D5DB4" w:rsidP="000A5389">
          <w:pPr>
            <w:spacing w:line="240" w:lineRule="auto"/>
          </w:pPr>
          <w:r w:rsidRPr="000D0101">
            <w:t>Observaciones: No se tiene ninguna observación</w:t>
          </w:r>
        </w:p>
        <w:p w14:paraId="3D2CD8DF" w14:textId="77777777" w:rsidR="003D5DB4" w:rsidRPr="000D0101" w:rsidRDefault="003D5DB4" w:rsidP="000A5389">
          <w:pPr>
            <w:spacing w:line="240" w:lineRule="auto"/>
          </w:pPr>
          <w:r w:rsidRPr="000D0101">
            <w:t>Adiciones o modificaciones en valor</w:t>
          </w:r>
        </w:p>
        <w:p w14:paraId="7C88B20F" w14:textId="77777777" w:rsidR="003D5DB4" w:rsidRPr="000D0101" w:rsidRDefault="003D5DB4" w:rsidP="000A5389">
          <w:pPr>
            <w:spacing w:line="240" w:lineRule="auto"/>
          </w:pPr>
          <w:r w:rsidRPr="000D0101">
            <w:t>Valor de la adición o modificación: No aplica</w:t>
          </w:r>
        </w:p>
        <w:p w14:paraId="2323DB7E" w14:textId="77777777" w:rsidR="003D5DB4" w:rsidRPr="000D0101" w:rsidRDefault="003D5DB4" w:rsidP="000A5389">
          <w:pPr>
            <w:spacing w:line="240" w:lineRule="auto"/>
          </w:pPr>
          <w:r w:rsidRPr="000D0101">
            <w:t>Nuevo valor del acuerdo: No aplica</w:t>
          </w:r>
        </w:p>
        <w:p w14:paraId="1D29DE67" w14:textId="2DC3AD5C" w:rsidR="003D5DB4" w:rsidRPr="000D0101" w:rsidRDefault="003D5DB4" w:rsidP="000A5389">
          <w:pPr>
            <w:spacing w:line="240" w:lineRule="auto"/>
          </w:pPr>
          <w:r w:rsidRPr="000D0101">
            <w:t>Observaciones: No se tiene ninguna observación</w:t>
          </w:r>
        </w:p>
        <w:p w14:paraId="6A45E151" w14:textId="77777777" w:rsidR="003D5DB4" w:rsidRPr="000D0101" w:rsidRDefault="003D5DB4" w:rsidP="000A5389">
          <w:pPr>
            <w:spacing w:line="240" w:lineRule="auto"/>
            <w:rPr>
              <w:rFonts w:eastAsia="Times New Roman"/>
              <w:lang w:eastAsia="es-CO"/>
            </w:rPr>
          </w:pPr>
        </w:p>
        <w:p w14:paraId="15E1E0B5" w14:textId="77777777" w:rsidR="003D5DB4" w:rsidRPr="000D0101" w:rsidRDefault="003D5DB4" w:rsidP="000A5389">
          <w:pPr>
            <w:spacing w:line="240" w:lineRule="auto"/>
            <w:rPr>
              <w:rFonts w:eastAsia="Times New Roman"/>
              <w:lang w:eastAsia="es-CO"/>
            </w:rPr>
          </w:pPr>
        </w:p>
        <w:p w14:paraId="15763209" w14:textId="77777777" w:rsidR="003D5DB4" w:rsidRPr="00804139" w:rsidRDefault="003D5DB4" w:rsidP="000A5389">
          <w:pPr>
            <w:spacing w:line="240" w:lineRule="auto"/>
            <w:rPr>
              <w:rFonts w:eastAsia="Times New Roman"/>
              <w:i/>
              <w:iCs/>
              <w:lang w:eastAsia="es-CO"/>
            </w:rPr>
          </w:pPr>
          <w:r w:rsidRPr="00804139">
            <w:rPr>
              <w:rFonts w:eastAsia="Times New Roman"/>
              <w:i/>
              <w:iCs/>
              <w:lang w:eastAsia="es-CO"/>
            </w:rPr>
            <w:t xml:space="preserve">ROMERO Y BURGOS &amp; CIA S. </w:t>
          </w:r>
          <w:bookmarkStart w:id="1082" w:name="_Toc159952454"/>
        </w:p>
        <w:p w14:paraId="726A322C" w14:textId="77777777" w:rsidR="003D5DB4" w:rsidRPr="000D0101" w:rsidRDefault="003D5DB4" w:rsidP="000A5389">
          <w:pPr>
            <w:spacing w:line="240" w:lineRule="auto"/>
            <w:rPr>
              <w:rFonts w:eastAsia="Times New Roman"/>
              <w:lang w:eastAsia="es-CO"/>
            </w:rPr>
          </w:pPr>
        </w:p>
        <w:p w14:paraId="6F13B6F2" w14:textId="77777777" w:rsidR="003D5DB4" w:rsidRPr="000D0101" w:rsidRDefault="003D5DB4" w:rsidP="000A5389">
          <w:pPr>
            <w:spacing w:line="240" w:lineRule="auto"/>
          </w:pPr>
          <w:r w:rsidRPr="000D0101">
            <w:t>Descripción del Acuerdo</w:t>
          </w:r>
        </w:p>
        <w:p w14:paraId="625E5095" w14:textId="77777777" w:rsidR="003D5DB4" w:rsidRPr="000D0101" w:rsidRDefault="003D5DB4" w:rsidP="000A5389">
          <w:pPr>
            <w:spacing w:line="240" w:lineRule="auto"/>
            <w:rPr>
              <w:rFonts w:eastAsia="Times New Roman"/>
              <w:lang w:eastAsia="es-CO"/>
            </w:rPr>
          </w:pPr>
        </w:p>
        <w:p w14:paraId="574648E8" w14:textId="77777777" w:rsidR="003D5DB4" w:rsidRPr="000D0101" w:rsidRDefault="003D5DB4" w:rsidP="000A5389">
          <w:pPr>
            <w:spacing w:line="240" w:lineRule="auto"/>
          </w:pPr>
          <w:r w:rsidRPr="000D0101">
            <w:t>Número del Acuerdo de concesión: 519 de 1997.</w:t>
          </w:r>
        </w:p>
        <w:p w14:paraId="2FEBB0A1" w14:textId="77777777" w:rsidR="003D5DB4" w:rsidRPr="000D0101" w:rsidRDefault="003D5DB4" w:rsidP="000A5389">
          <w:pPr>
            <w:spacing w:line="240" w:lineRule="auto"/>
          </w:pPr>
          <w:r w:rsidRPr="000D0101">
            <w:t xml:space="preserve">Objeto / Descripción: En virtud de la Resolución de concesión y sus modificaciones, se permite al CONCESIONARIO la ocupación y utilización en forma temporal y exclusiva de </w:t>
          </w:r>
          <w:r w:rsidRPr="000D0101">
            <w:lastRenderedPageBreak/>
            <w:t>las playas, los terrenos de bajamar y zonas accesorias y para la operación y el desarrollo de actividades portuarias de servicio público, conforme lo establece el artículo Primero de la Resolución.</w:t>
          </w:r>
        </w:p>
        <w:p w14:paraId="7FE3EF0B" w14:textId="77777777" w:rsidR="003D5DB4" w:rsidRPr="000D0101" w:rsidRDefault="003D5DB4" w:rsidP="000A5389">
          <w:pPr>
            <w:spacing w:line="240" w:lineRule="auto"/>
          </w:pPr>
        </w:p>
        <w:p w14:paraId="6656820A" w14:textId="77777777" w:rsidR="003D5DB4" w:rsidRPr="000D0101" w:rsidRDefault="003D5DB4" w:rsidP="000A5389">
          <w:pPr>
            <w:spacing w:line="240" w:lineRule="auto"/>
          </w:pPr>
          <w:r w:rsidRPr="000D0101">
            <w:t>Valor inicial:</w:t>
          </w:r>
          <w:r w:rsidRPr="000D0101">
            <w:tab/>
            <w:t>Valor inicial: USD $1.203,31 Artículo cuarto / Resolución No. 519 de 1997.Valor del Contrato actualizado: USD $8.101 /Artículo tercero / Resolución No. 581 de 2011.</w:t>
          </w:r>
        </w:p>
        <w:p w14:paraId="1FC79C04" w14:textId="77777777" w:rsidR="003D5DB4" w:rsidRPr="000D0101" w:rsidRDefault="003D5DB4" w:rsidP="000A5389">
          <w:pPr>
            <w:spacing w:line="240" w:lineRule="auto"/>
          </w:pPr>
          <w:r w:rsidRPr="000D0101">
            <w:t>Fecha de inicio: 29/08/1997</w:t>
          </w:r>
        </w:p>
        <w:p w14:paraId="47B90BE3" w14:textId="77777777" w:rsidR="003D5DB4" w:rsidRPr="000D0101" w:rsidRDefault="003D5DB4" w:rsidP="000A5389">
          <w:pPr>
            <w:spacing w:line="240" w:lineRule="auto"/>
          </w:pPr>
          <w:r w:rsidRPr="000D0101">
            <w:t>Fecha de finalización estimada: 14/12/2013</w:t>
          </w:r>
        </w:p>
        <w:p w14:paraId="2109D36A" w14:textId="77777777" w:rsidR="003D5DB4" w:rsidRPr="000D0101" w:rsidRDefault="003D5DB4" w:rsidP="000A5389">
          <w:pPr>
            <w:spacing w:line="240" w:lineRule="auto"/>
          </w:pPr>
          <w:r w:rsidRPr="000D0101">
            <w:t>Tipo ID: NIT</w:t>
          </w:r>
        </w:p>
        <w:p w14:paraId="11005C15" w14:textId="77777777" w:rsidR="003D5DB4" w:rsidRPr="000D0101" w:rsidRDefault="003D5DB4" w:rsidP="000A5389">
          <w:pPr>
            <w:spacing w:line="240" w:lineRule="auto"/>
          </w:pPr>
          <w:r w:rsidRPr="000D0101">
            <w:t>Número ID: 840.000.082.</w:t>
          </w:r>
        </w:p>
        <w:p w14:paraId="55D94B8C" w14:textId="77777777" w:rsidR="003D5DB4" w:rsidRPr="000D0101" w:rsidRDefault="003D5DB4" w:rsidP="000A5389">
          <w:pPr>
            <w:spacing w:line="240" w:lineRule="auto"/>
          </w:pPr>
          <w:r w:rsidRPr="000D0101">
            <w:t>Razón social del concesionario: Sociedad Romero y Burgos CIA. S. en C.</w:t>
          </w:r>
        </w:p>
        <w:p w14:paraId="0C34235D" w14:textId="77777777" w:rsidR="003D5DB4" w:rsidRPr="000D0101" w:rsidRDefault="003D5DB4" w:rsidP="000A5389">
          <w:pPr>
            <w:spacing w:line="240" w:lineRule="auto"/>
          </w:pPr>
          <w:r w:rsidRPr="000D0101">
            <w:t>Nombre del proyecto: Sociedad Romero y Burgos CIA. S. en C.</w:t>
          </w:r>
        </w:p>
        <w:p w14:paraId="473D50AC" w14:textId="77777777" w:rsidR="003D5DB4" w:rsidRPr="000D0101" w:rsidRDefault="003D5DB4" w:rsidP="000A5389">
          <w:pPr>
            <w:spacing w:line="240" w:lineRule="auto"/>
          </w:pPr>
        </w:p>
        <w:p w14:paraId="164C9E91" w14:textId="77777777" w:rsidR="003D5DB4" w:rsidRPr="000D0101" w:rsidRDefault="003D5DB4" w:rsidP="000A5389">
          <w:pPr>
            <w:spacing w:line="240" w:lineRule="auto"/>
          </w:pPr>
          <w:r w:rsidRPr="000D0101">
            <w:t>b. Términos significativos del Acuerdo que puedan afectar su valor, el calendario y la certeza de los flujos de efectivo futuros</w:t>
          </w:r>
        </w:p>
        <w:p w14:paraId="146BF07A" w14:textId="77777777" w:rsidR="003D5DB4" w:rsidRPr="000D0101" w:rsidRDefault="003D5DB4" w:rsidP="000A5389">
          <w:pPr>
            <w:spacing w:line="240" w:lineRule="auto"/>
          </w:pPr>
        </w:p>
        <w:p w14:paraId="0BF53CF5" w14:textId="77777777" w:rsidR="003D5DB4" w:rsidRPr="000D0101" w:rsidRDefault="003D5DB4" w:rsidP="000A5389">
          <w:pPr>
            <w:spacing w:line="240" w:lineRule="auto"/>
          </w:pPr>
          <w:r w:rsidRPr="000D0101">
            <w:t>Términos de valor:</w:t>
          </w:r>
          <w:r w:rsidRPr="000D0101">
            <w:tab/>
            <w:t>1: Tarifas: Al ser el terminal marítimo de servicio público la Ley 1 de 1991 establece: Las sociedades portuarias que operan puertos de servicio público las tarifas requieren ser aprobadas según la metodología establecida por la Superintendencia General de Puertos hoy Superintendencia de Transporte.2: Contraprestación portuaria: De acuerdo con el último documento contractual vigente la metodología de contraprestación vigente es CONPES 2680 DE 1993 (Productividad). Se establece en el artículo tercero de la resolución No. 581 del 2011 que el CONCESIONARIO deberá pagar por concepto de zona de uso público la suma anual de (USD 3.721), de dicho pago el 80% le corresponde a la Nación (INVIAS-ANI) y el 20% restante al municipio de San Andrés de Tumaco (Nariño) de acuerdo con lo establecido en el parágrafo 1 del artículo 1 de la ley 856 del 21 de diciembre de 2003, que modifica el artículo 7 de la ley 1ª de 1991. Así mismo, por concepto de infraestructura el CONCESIONARIO deberá pagar la suma anual de (USD 427), el cual corresponde en un 100% a la Nación -(INVIAS-ANI) de acuerdo con lo establecido en el artículo 1 de la ley 856 del 21 diciembre de 2003.3: Plan de Inversiones: Se establece en el artículo tercero de la resolución 288 de 2010, donde indica que el plan de inversión será de USD 8.741 en valores corrientes. Obligaciones del CONCESIONARIO: se encuentran descritas en el artículo quinto de la resolución No. 581 de 2011.Multas y sanciones: están establecidas en artículo sexto de la resolución No. 581 de 2011.Penal pecuniaria: N/A</w:t>
          </w:r>
        </w:p>
        <w:p w14:paraId="5A30452A" w14:textId="77777777" w:rsidR="003D5DB4" w:rsidRPr="000D0101" w:rsidRDefault="003D5DB4" w:rsidP="000A5389">
          <w:pPr>
            <w:spacing w:line="240" w:lineRule="auto"/>
          </w:pPr>
        </w:p>
        <w:p w14:paraId="08DA4503" w14:textId="77777777" w:rsidR="003D5DB4" w:rsidRPr="000D0101" w:rsidRDefault="003D5DB4" w:rsidP="000A5389">
          <w:pPr>
            <w:spacing w:line="240" w:lineRule="auto"/>
          </w:pPr>
          <w:r w:rsidRPr="000D0101">
            <w:t>Términos de calendario: 1: Tarifas: Aprobadas según la metodología establecida por la Superintendencia General de Puertos hoy Superintendencia de Transporte.2: Contraprestación portuaria: la contraprestación se debe pagar de manera anual vencida desde el mes de diciembre de cada año.3: Plan de inversiones: Se estableció en el artículo tercero de la resolución 288 de 2010 ejecución de inversiones en el periodo de tiempo comprendido entre el año 2010 a 2011.4: Multas: Artículo sexto de la resolución No. 581 de 2011.</w:t>
          </w:r>
        </w:p>
        <w:p w14:paraId="38963505" w14:textId="77777777" w:rsidR="003D5DB4" w:rsidRPr="000D0101" w:rsidRDefault="003D5DB4" w:rsidP="000A5389">
          <w:pPr>
            <w:spacing w:line="240" w:lineRule="auto"/>
          </w:pPr>
        </w:p>
        <w:p w14:paraId="757CCBBE" w14:textId="77777777" w:rsidR="003D5DB4" w:rsidRPr="000D0101" w:rsidRDefault="003D5DB4" w:rsidP="000A5389">
          <w:pPr>
            <w:spacing w:line="240" w:lineRule="auto"/>
          </w:pPr>
          <w:r w:rsidRPr="000D0101">
            <w:lastRenderedPageBreak/>
            <w:t>Términos de certeza de flujos de efectivo futuros: Se permite al CONCESIONARIO la ocupación y utilización en forma temporal y exclusiva de las playas, los terrenos de bajamar y zonas accesorias y para la operación y el desarrollo de actividades portuarias de servicio público, conforme lo establece el artículo Primero de la Resolución No. 519 de 1997.Artículo Tercer, resolución No. 581 del 2011 Del valor a pagar por concepto de contraprestación por Zona de Uso público el 80% le corresponde a la Nación-(INVIAS-ANI) y el 20 % al municipio de San Andrés de Tumaco (Nariño) y por Infraestructura el 100% a la Nación-(INVIAS-ANI).</w:t>
          </w:r>
        </w:p>
        <w:p w14:paraId="4FA12A70" w14:textId="77777777" w:rsidR="003D5DB4" w:rsidRPr="000D0101" w:rsidRDefault="003D5DB4" w:rsidP="000A5389">
          <w:pPr>
            <w:spacing w:line="240" w:lineRule="auto"/>
          </w:pPr>
        </w:p>
        <w:p w14:paraId="74E5F29C" w14:textId="77777777" w:rsidR="003D5DB4" w:rsidRPr="000D0101" w:rsidRDefault="003D5DB4" w:rsidP="000A5389">
          <w:pPr>
            <w:spacing w:line="240" w:lineRule="auto"/>
          </w:pPr>
          <w:r w:rsidRPr="000D0101">
            <w:t>c. Naturaleza y alcance del derecho a utilizar Activos y los aspectos pactados en torno a lo que se espera que el concesionario proporcione en relación con el Acuerdo de concesión</w:t>
          </w:r>
        </w:p>
        <w:p w14:paraId="34994867" w14:textId="77777777" w:rsidR="003D5DB4" w:rsidRPr="000D0101" w:rsidRDefault="003D5DB4" w:rsidP="000A5389">
          <w:pPr>
            <w:spacing w:line="240" w:lineRule="auto"/>
          </w:pPr>
        </w:p>
        <w:p w14:paraId="777B6976" w14:textId="77777777" w:rsidR="003D5DB4" w:rsidRPr="000D0101" w:rsidRDefault="003D5DB4" w:rsidP="000A5389">
          <w:pPr>
            <w:spacing w:line="240" w:lineRule="auto"/>
          </w:pPr>
          <w:r w:rsidRPr="000D0101">
            <w:t>Naturaleza y alcance del derecho de uso de los Activos</w:t>
          </w:r>
        </w:p>
        <w:p w14:paraId="5489D019" w14:textId="77777777" w:rsidR="003D5DB4" w:rsidRPr="000D0101" w:rsidRDefault="003D5DB4" w:rsidP="000A5389">
          <w:pPr>
            <w:spacing w:line="240" w:lineRule="auto"/>
          </w:pPr>
        </w:p>
        <w:p w14:paraId="46012F37" w14:textId="77777777" w:rsidR="003D5DB4" w:rsidRPr="000D0101" w:rsidRDefault="003D5DB4" w:rsidP="000A5389">
          <w:pPr>
            <w:spacing w:line="240" w:lineRule="auto"/>
          </w:pPr>
          <w:r w:rsidRPr="000D0101">
            <w:t>Descripción:</w:t>
          </w:r>
          <w:r w:rsidRPr="000D0101">
            <w:tab/>
            <w:t>Descripción del proyecto, especificaciones técnicas, modalidades de operación: las condiciones especiales de operación del puerto están establecidas en el artículo Tercero. Área entregada en concesión: La descripción de la ubicación, linderos y extensión de los bienes de uso público (playas y terrenos de baja mar, zonas marítimas accesorias de maniobras) entregados en concesión están establecidos en el artículo Primero de la Resolución 581 del 14 de diciembre de 2011. Infraestructura y equipos entregados en concesión: En el artículo Primero de la Resolución 581 del 14 de diciembre de 2011, se describe que lo entregado en concesión fue: Infraestructura: embarcadero en forma de “T”, Muelle – Caseta, Escaleras, tubería.</w:t>
          </w:r>
        </w:p>
        <w:p w14:paraId="367D2C8B" w14:textId="77777777" w:rsidR="003D5DB4" w:rsidRPr="000D0101" w:rsidRDefault="003D5DB4" w:rsidP="000A5389">
          <w:pPr>
            <w:spacing w:line="240" w:lineRule="auto"/>
          </w:pPr>
        </w:p>
        <w:p w14:paraId="7B22A8FC" w14:textId="77777777" w:rsidR="003D5DB4" w:rsidRPr="000D0101" w:rsidRDefault="003D5DB4" w:rsidP="000A5389">
          <w:pPr>
            <w:spacing w:line="240" w:lineRule="auto"/>
          </w:pPr>
          <w:r w:rsidRPr="000D0101">
            <w:t>Observaciones: N/A</w:t>
          </w:r>
        </w:p>
        <w:p w14:paraId="7BB9B93D" w14:textId="77777777" w:rsidR="003D5DB4" w:rsidRPr="000D0101" w:rsidRDefault="003D5DB4" w:rsidP="000A5389">
          <w:pPr>
            <w:spacing w:line="240" w:lineRule="auto"/>
          </w:pPr>
        </w:p>
        <w:p w14:paraId="1F04565E" w14:textId="77777777" w:rsidR="003D5DB4" w:rsidRPr="000D0101" w:rsidRDefault="003D5DB4" w:rsidP="000A5389">
          <w:pPr>
            <w:spacing w:line="240" w:lineRule="auto"/>
          </w:pPr>
          <w:r w:rsidRPr="000D0101">
            <w:t>Retribución al concesionario</w:t>
          </w:r>
        </w:p>
        <w:p w14:paraId="04721BB5" w14:textId="77777777" w:rsidR="003D5DB4" w:rsidRPr="000D0101" w:rsidRDefault="003D5DB4" w:rsidP="000A5389">
          <w:pPr>
            <w:spacing w:line="240" w:lineRule="auto"/>
          </w:pPr>
        </w:p>
        <w:p w14:paraId="289DB424" w14:textId="77777777" w:rsidR="003D5DB4" w:rsidRPr="000D0101" w:rsidRDefault="003D5DB4" w:rsidP="000A5389">
          <w:pPr>
            <w:spacing w:line="240" w:lineRule="auto"/>
          </w:pPr>
          <w:r w:rsidRPr="000D0101">
            <w:t>Descripción:</w:t>
          </w:r>
          <w:r w:rsidRPr="000D0101">
            <w:tab/>
            <w:t>Artículo primero Resolución No. 519 de 1997: Se otorga a EL CONCESIONARIO el derecho de ocupar y utilizar en forma temporal y exclusiva las playas, los terrenos de bajamar y zonas accesorias a aquellas o estos, conforme lo establece el artículo Primero de la resolución, a cambio de la contraprestación económica.</w:t>
          </w:r>
        </w:p>
        <w:p w14:paraId="45148432" w14:textId="77777777" w:rsidR="003D5DB4" w:rsidRPr="000D0101" w:rsidRDefault="003D5DB4" w:rsidP="000A5389">
          <w:pPr>
            <w:spacing w:line="240" w:lineRule="auto"/>
          </w:pPr>
        </w:p>
        <w:p w14:paraId="3F205811" w14:textId="77777777" w:rsidR="003D5DB4" w:rsidRPr="000D0101" w:rsidRDefault="003D5DB4" w:rsidP="000A5389">
          <w:pPr>
            <w:spacing w:line="240" w:lineRule="auto"/>
          </w:pPr>
          <w:r w:rsidRPr="000D0101">
            <w:t>Tasa de retribución:</w:t>
          </w:r>
          <w:r w:rsidRPr="000D0101">
            <w:tab/>
            <w:t>N/A</w:t>
          </w:r>
        </w:p>
        <w:p w14:paraId="52548F0E" w14:textId="77777777" w:rsidR="003D5DB4" w:rsidRPr="000D0101" w:rsidRDefault="003D5DB4" w:rsidP="000A5389">
          <w:pPr>
            <w:spacing w:line="240" w:lineRule="auto"/>
          </w:pPr>
          <w:r w:rsidRPr="000D0101">
            <w:t>d. Derechos a recibir Activos especificados al final del acuerdo de concesión</w:t>
          </w:r>
        </w:p>
        <w:p w14:paraId="1100F045" w14:textId="77777777" w:rsidR="003D5DB4" w:rsidRPr="000D0101" w:rsidRDefault="003D5DB4" w:rsidP="000A5389">
          <w:pPr>
            <w:spacing w:line="240" w:lineRule="auto"/>
          </w:pPr>
        </w:p>
        <w:p w14:paraId="6C0E34EC" w14:textId="77777777" w:rsidR="003D5DB4" w:rsidRPr="000D0101" w:rsidRDefault="003D5DB4" w:rsidP="000A5389">
          <w:pPr>
            <w:spacing w:line="240" w:lineRule="auto"/>
          </w:pPr>
          <w:r w:rsidRPr="000D0101">
            <w:t>Descripción:</w:t>
          </w:r>
          <w:r w:rsidRPr="000D0101">
            <w:tab/>
            <w:t>De acuerdo con el Artículo 8º de la Ley 1 de 1991 en el modo portuario el concesionario no tiene derechos finales sobre activos los debe revertir a la Nación al final del contrato de concesión.</w:t>
          </w:r>
        </w:p>
        <w:p w14:paraId="781121DD" w14:textId="77777777" w:rsidR="003D5DB4" w:rsidRPr="000D0101" w:rsidRDefault="003D5DB4" w:rsidP="000A5389">
          <w:pPr>
            <w:spacing w:line="240" w:lineRule="auto"/>
          </w:pPr>
        </w:p>
        <w:p w14:paraId="444D1D49" w14:textId="77777777" w:rsidR="003D5DB4" w:rsidRPr="000D0101" w:rsidRDefault="003D5DB4" w:rsidP="000A5389">
          <w:pPr>
            <w:spacing w:line="240" w:lineRule="auto"/>
          </w:pPr>
          <w:r w:rsidRPr="000D0101">
            <w:t xml:space="preserve">Observaciones: Reversión: De acuerdo con lo establecido en el artículo séptimo de la resolución No.581 de 2011, las construcciones levantadas en la zona de uso público y los inmuebles por destinación que hagan parte de ellas revertirán a la nación en buen estado de operación. Para tal fin, en el momento de la reversión el CONCESIONARIO elaborará un </w:t>
          </w:r>
          <w:r w:rsidRPr="000D0101">
            <w:lastRenderedPageBreak/>
            <w:t>inventario de los bienes y los enviará para su revisión y aprobación. La ANI es la entidad concedente pero la titularidad de los activos al final de la concesión es del Instituto Nacional de Vías INVIAS.</w:t>
          </w:r>
        </w:p>
        <w:p w14:paraId="5D69590D" w14:textId="77777777" w:rsidR="003D5DB4" w:rsidRPr="000D0101" w:rsidRDefault="003D5DB4" w:rsidP="000A5389">
          <w:pPr>
            <w:spacing w:line="240" w:lineRule="auto"/>
          </w:pPr>
        </w:p>
        <w:p w14:paraId="2D8A3844" w14:textId="77777777" w:rsidR="003D5DB4" w:rsidRPr="000D0101" w:rsidRDefault="003D5DB4" w:rsidP="000A5389">
          <w:pPr>
            <w:spacing w:line="240" w:lineRule="auto"/>
          </w:pPr>
          <w:r w:rsidRPr="000D0101">
            <w:t>e. Las alternativas de renovación y cese del acuerdo</w:t>
          </w:r>
        </w:p>
        <w:p w14:paraId="2A9D5BCD" w14:textId="77777777" w:rsidR="003D5DB4" w:rsidRPr="000D0101" w:rsidRDefault="003D5DB4" w:rsidP="000A5389">
          <w:pPr>
            <w:spacing w:line="240" w:lineRule="auto"/>
          </w:pPr>
        </w:p>
        <w:p w14:paraId="71D78BCE" w14:textId="77777777" w:rsidR="003D5DB4" w:rsidRPr="000D0101" w:rsidRDefault="003D5DB4" w:rsidP="000A5389">
          <w:pPr>
            <w:spacing w:line="240" w:lineRule="auto"/>
          </w:pPr>
          <w:r w:rsidRPr="000D0101">
            <w:t>Descripción: NA</w:t>
          </w:r>
        </w:p>
        <w:p w14:paraId="33F98E24" w14:textId="77777777" w:rsidR="003D5DB4" w:rsidRPr="000D0101" w:rsidRDefault="003D5DB4" w:rsidP="000A5389">
          <w:pPr>
            <w:spacing w:line="240" w:lineRule="auto"/>
          </w:pPr>
          <w:r w:rsidRPr="000D0101">
            <w:t>Observaciones: NA</w:t>
          </w:r>
        </w:p>
        <w:p w14:paraId="07CED7EB" w14:textId="77777777" w:rsidR="003D5DB4" w:rsidRPr="000D0101" w:rsidRDefault="003D5DB4" w:rsidP="000A5389">
          <w:pPr>
            <w:spacing w:line="240" w:lineRule="auto"/>
          </w:pPr>
        </w:p>
        <w:p w14:paraId="253E07DF" w14:textId="77777777" w:rsidR="003D5DB4" w:rsidRPr="000D0101" w:rsidRDefault="003D5DB4" w:rsidP="000A5389">
          <w:pPr>
            <w:spacing w:line="240" w:lineRule="auto"/>
          </w:pPr>
          <w:r w:rsidRPr="000D0101">
            <w:t>f. Cambios en el acuerdo de concesión que se realicen durante el periodo fiscal</w:t>
          </w:r>
        </w:p>
        <w:p w14:paraId="57C0C403" w14:textId="77777777" w:rsidR="003D5DB4" w:rsidRPr="000D0101" w:rsidRDefault="003D5DB4" w:rsidP="000A5389">
          <w:pPr>
            <w:spacing w:line="240" w:lineRule="auto"/>
          </w:pPr>
        </w:p>
        <w:p w14:paraId="192C844E" w14:textId="77777777" w:rsidR="003D5DB4" w:rsidRPr="000D0101" w:rsidRDefault="003D5DB4" w:rsidP="000A5389">
          <w:pPr>
            <w:spacing w:line="240" w:lineRule="auto"/>
          </w:pPr>
          <w:r w:rsidRPr="000D0101">
            <w:t>Adiciones o modificaciones en tiempo</w:t>
          </w:r>
        </w:p>
        <w:p w14:paraId="5BDC5650" w14:textId="77777777" w:rsidR="003D5DB4" w:rsidRPr="000D0101" w:rsidRDefault="003D5DB4" w:rsidP="000A5389">
          <w:pPr>
            <w:spacing w:line="240" w:lineRule="auto"/>
          </w:pPr>
          <w:r w:rsidRPr="000D0101">
            <w:t>Fechas de las adiciones o modificaciones:</w:t>
          </w:r>
          <w:r w:rsidRPr="000D0101">
            <w:tab/>
            <w:t>N/A</w:t>
          </w:r>
        </w:p>
        <w:p w14:paraId="2EE81AD2" w14:textId="77777777" w:rsidR="003D5DB4" w:rsidRPr="000D0101" w:rsidRDefault="003D5DB4" w:rsidP="000A5389">
          <w:pPr>
            <w:spacing w:line="240" w:lineRule="auto"/>
          </w:pPr>
          <w:r w:rsidRPr="000D0101">
            <w:t>Nueva fecha de finalización estimada: N/A</w:t>
          </w:r>
        </w:p>
        <w:p w14:paraId="1959C960" w14:textId="77777777" w:rsidR="003D5DB4" w:rsidRPr="000D0101" w:rsidRDefault="003D5DB4" w:rsidP="000A5389">
          <w:pPr>
            <w:spacing w:line="240" w:lineRule="auto"/>
          </w:pPr>
          <w:r w:rsidRPr="000D0101">
            <w:t>Observaciones: N/A</w:t>
          </w:r>
        </w:p>
        <w:p w14:paraId="4F8E66DE" w14:textId="77777777" w:rsidR="001B234E" w:rsidRDefault="001B234E" w:rsidP="000A5389">
          <w:pPr>
            <w:spacing w:line="240" w:lineRule="auto"/>
          </w:pPr>
        </w:p>
        <w:p w14:paraId="248F2E9C" w14:textId="6EF88836" w:rsidR="003D5DB4" w:rsidRPr="000D0101" w:rsidRDefault="003D5DB4" w:rsidP="000A5389">
          <w:pPr>
            <w:spacing w:line="240" w:lineRule="auto"/>
          </w:pPr>
          <w:r w:rsidRPr="000D0101">
            <w:t>Adiciones o modificaciones en valor</w:t>
          </w:r>
        </w:p>
        <w:p w14:paraId="23FBDC22" w14:textId="77777777" w:rsidR="003D5DB4" w:rsidRPr="000D0101" w:rsidRDefault="003D5DB4" w:rsidP="000A5389">
          <w:pPr>
            <w:spacing w:line="240" w:lineRule="auto"/>
          </w:pPr>
          <w:r w:rsidRPr="000D0101">
            <w:t>Valor de la adición o modificación: N/A</w:t>
          </w:r>
        </w:p>
        <w:p w14:paraId="1038C671" w14:textId="77777777" w:rsidR="003D5DB4" w:rsidRPr="000D0101" w:rsidRDefault="003D5DB4" w:rsidP="000A5389">
          <w:pPr>
            <w:spacing w:line="240" w:lineRule="auto"/>
          </w:pPr>
          <w:r w:rsidRPr="000D0101">
            <w:t>Nuevo valor del acuerdo: N/A</w:t>
          </w:r>
        </w:p>
        <w:p w14:paraId="6D219877" w14:textId="77777777" w:rsidR="003D5DB4" w:rsidRPr="000D0101" w:rsidRDefault="003D5DB4" w:rsidP="000A5389">
          <w:pPr>
            <w:spacing w:line="240" w:lineRule="auto"/>
          </w:pPr>
          <w:r w:rsidRPr="000D0101">
            <w:t>Observaciones: N/A</w:t>
          </w:r>
        </w:p>
        <w:p w14:paraId="4D20B159" w14:textId="77777777" w:rsidR="00A634DA" w:rsidRDefault="00A634DA" w:rsidP="000A5389">
          <w:pPr>
            <w:spacing w:line="240" w:lineRule="auto"/>
            <w:rPr>
              <w:color w:val="1F3864" w:themeColor="accent1" w:themeShade="80"/>
            </w:rPr>
          </w:pPr>
        </w:p>
        <w:p w14:paraId="18060789" w14:textId="77777777" w:rsidR="00A634DA" w:rsidRDefault="00A634DA" w:rsidP="000A5389">
          <w:pPr>
            <w:spacing w:line="240" w:lineRule="auto"/>
            <w:rPr>
              <w:color w:val="1F3864" w:themeColor="accent1" w:themeShade="80"/>
            </w:rPr>
          </w:pPr>
        </w:p>
        <w:p w14:paraId="3CE30F02" w14:textId="7A40839D" w:rsidR="003D5DB4" w:rsidRPr="00A634DA" w:rsidRDefault="003D5DB4" w:rsidP="000A5389">
          <w:pPr>
            <w:spacing w:line="240" w:lineRule="auto"/>
            <w:rPr>
              <w:b/>
              <w:bCs/>
              <w:i/>
              <w:iCs/>
              <w:color w:val="1F3864" w:themeColor="accent1" w:themeShade="80"/>
            </w:rPr>
          </w:pPr>
          <w:r w:rsidRPr="00A634DA">
            <w:rPr>
              <w:b/>
              <w:bCs/>
              <w:i/>
              <w:iCs/>
              <w:color w:val="1F3864" w:themeColor="accent1" w:themeShade="80"/>
            </w:rPr>
            <w:t>PROYECTOS FERREOS</w:t>
          </w:r>
        </w:p>
        <w:bookmarkEnd w:id="1080"/>
        <w:bookmarkEnd w:id="1082"/>
        <w:p w14:paraId="6DC38A47" w14:textId="77777777" w:rsidR="003D5DB4" w:rsidRDefault="003D5DB4" w:rsidP="000A5389">
          <w:pPr>
            <w:spacing w:line="240" w:lineRule="auto"/>
          </w:pPr>
        </w:p>
        <w:sdt>
          <w:sdtPr>
            <w:rPr>
              <w:i/>
              <w:iCs/>
            </w:rPr>
            <w:id w:val="-1912066975"/>
            <w:placeholder>
              <w:docPart w:val="4B0134A7F13343FB9243A7570F88E5CE"/>
            </w:placeholder>
            <w:text/>
          </w:sdtPr>
          <w:sdtContent>
            <w:p w14:paraId="65CA19FE" w14:textId="77777777" w:rsidR="00A634DA" w:rsidRPr="00A634DA" w:rsidRDefault="00A634DA" w:rsidP="00A634DA">
              <w:pPr>
                <w:spacing w:line="240" w:lineRule="auto"/>
                <w:rPr>
                  <w:i/>
                  <w:iCs/>
                </w:rPr>
              </w:pPr>
              <w:r w:rsidRPr="00A634DA">
                <w:rPr>
                  <w:i/>
                  <w:iCs/>
                </w:rPr>
                <w:t>CONTRATO DE CONCESIÓN No. O-ATLA-00-99 DEL 09 DE SEPTIEMBRE DE 1999 PROYECTO RED FÉRREA DEL ATLÁNTICO</w:t>
              </w:r>
            </w:p>
          </w:sdtContent>
        </w:sdt>
        <w:p w14:paraId="7165B47D" w14:textId="77777777" w:rsidR="00A634DA" w:rsidRPr="000D0101" w:rsidRDefault="00A634DA" w:rsidP="000A5389">
          <w:pPr>
            <w:spacing w:line="240" w:lineRule="auto"/>
          </w:pPr>
        </w:p>
        <w:p w14:paraId="74DACB2C" w14:textId="77777777" w:rsidR="003D5DB4" w:rsidRPr="000D0101" w:rsidRDefault="003D5DB4" w:rsidP="000A5389">
          <w:pPr>
            <w:spacing w:line="240" w:lineRule="auto"/>
          </w:pPr>
          <w:r w:rsidRPr="000D0101">
            <w:t>Descripción del Acuerdo</w:t>
          </w:r>
        </w:p>
        <w:p w14:paraId="08B159D0" w14:textId="77777777" w:rsidR="003D5DB4" w:rsidRPr="000D0101" w:rsidRDefault="003D5DB4" w:rsidP="000A5389">
          <w:pPr>
            <w:spacing w:line="240" w:lineRule="auto"/>
          </w:pPr>
        </w:p>
        <w:p w14:paraId="16CF4520" w14:textId="77777777" w:rsidR="003D5DB4" w:rsidRPr="000D0101" w:rsidRDefault="003D5DB4" w:rsidP="000A5389">
          <w:pPr>
            <w:spacing w:line="240" w:lineRule="auto"/>
          </w:pPr>
          <w:r w:rsidRPr="000D0101">
            <w:t>Número del Acuerdo de concesión:  O ATLA 00-99</w:t>
          </w:r>
        </w:p>
        <w:p w14:paraId="289B97D2" w14:textId="77777777" w:rsidR="003D5DB4" w:rsidRPr="000D0101" w:rsidRDefault="003D5DB4" w:rsidP="000A5389">
          <w:pPr>
            <w:spacing w:line="240" w:lineRule="auto"/>
          </w:pPr>
          <w:r w:rsidRPr="000D0101">
            <w:t>Objeto / Descripción: Otorgar en Concesión para su Construcción, Rehabilitación-Reconstrucción, Conservación, Operación y Explotación, La infraestructura de Transporte Férreo de la Red del Atlántico, para la prestación de Transporte Ferroviario de carga, Infraestructura que está conformada por los siguientes tramos: Chiriguaná (PK724)-Ciénaga (PK934), Ciénaga(PK934)-Santa Marta(PK969), Bogotá(KM5)-Belencito(PK262), La Caro(PK34)-Lenguazaque(PK110), Bogotá(KM5)-Dorada(PK200), Dorada(PK200)-Barrancabermeja(PK444), Barrancabermeja(PK444)-Chiriguaná(PK724)  Y Puerto Berrio(PK333)-Medellín(Bello)(PK509), Incluyendo los bienes inmuebles, los bienes muebles y el material rodante Consignados en los anexos del Pliego de condiciones que dio origen al presente contrato. La presente concesión de infraestructura conlleva también la concesión de las obras de conservación respecto de los tramos mencionados, en los términos previstos en el artículo 30 de la Ley 105 de 1993.</w:t>
          </w:r>
        </w:p>
        <w:p w14:paraId="1C572177" w14:textId="77777777" w:rsidR="00A634DA" w:rsidRDefault="00A634DA" w:rsidP="000A5389">
          <w:pPr>
            <w:spacing w:line="240" w:lineRule="auto"/>
          </w:pPr>
        </w:p>
        <w:p w14:paraId="741C19CB" w14:textId="6270CC36" w:rsidR="003D5DB4" w:rsidRPr="000D0101" w:rsidRDefault="003D5DB4" w:rsidP="000A5389">
          <w:pPr>
            <w:spacing w:line="240" w:lineRule="auto"/>
          </w:pPr>
          <w:r w:rsidRPr="000D0101">
            <w:t>Valor inicial:</w:t>
          </w:r>
          <w:r w:rsidRPr="000D0101">
            <w:tab/>
          </w:r>
          <w:sdt>
            <w:sdtPr>
              <w:id w:val="-1024708121"/>
              <w:placeholder>
                <w:docPart w:val="9FC0F417A0864406AB2B9791AC469656"/>
              </w:placeholder>
              <w:text/>
            </w:sdtPr>
            <w:sdtContent>
              <w:r w:rsidRPr="000D0101">
                <w:t>Indeterminado (Clausula 149)</w:t>
              </w:r>
            </w:sdtContent>
          </w:sdt>
        </w:p>
        <w:p w14:paraId="75167E06" w14:textId="77777777" w:rsidR="003D5DB4" w:rsidRPr="000D0101" w:rsidRDefault="003D5DB4" w:rsidP="000A5389">
          <w:pPr>
            <w:spacing w:line="240" w:lineRule="auto"/>
          </w:pPr>
          <w:r w:rsidRPr="000D0101">
            <w:lastRenderedPageBreak/>
            <w:t xml:space="preserve">Fecha de inicio: </w:t>
          </w:r>
          <w:sdt>
            <w:sdtPr>
              <w:id w:val="823401556"/>
              <w:placeholder>
                <w:docPart w:val="163EA0CB5CF34D599FE1198BF01F4466"/>
              </w:placeholder>
              <w:date>
                <w:dateFormat w:val="d/MM/yyyy"/>
                <w:lid w:val="es-CO"/>
                <w:storeMappedDataAs w:val="dateTime"/>
                <w:calendar w:val="gregorian"/>
              </w:date>
            </w:sdtPr>
            <w:sdtContent>
              <w:r w:rsidRPr="000D0101">
                <w:t>03 de marzo de 2000</w:t>
              </w:r>
            </w:sdtContent>
          </w:sdt>
        </w:p>
        <w:p w14:paraId="7AEDA0FD" w14:textId="77777777" w:rsidR="003D5DB4" w:rsidRPr="000D0101" w:rsidRDefault="003D5DB4" w:rsidP="000A5389">
          <w:pPr>
            <w:spacing w:line="240" w:lineRule="auto"/>
          </w:pPr>
          <w:r w:rsidRPr="000D0101">
            <w:t>Fecha de finalización estimada: 03 de marzo de 2030</w:t>
          </w:r>
        </w:p>
        <w:p w14:paraId="09461102" w14:textId="77777777" w:rsidR="003D5DB4" w:rsidRPr="000D0101" w:rsidRDefault="003D5DB4" w:rsidP="000A5389">
          <w:pPr>
            <w:spacing w:line="240" w:lineRule="auto"/>
          </w:pPr>
          <w:r w:rsidRPr="000D0101">
            <w:t>Tipo ID: NIT</w:t>
          </w:r>
        </w:p>
        <w:p w14:paraId="60074062" w14:textId="77777777" w:rsidR="003D5DB4" w:rsidRPr="000D0101" w:rsidRDefault="003D5DB4" w:rsidP="000A5389">
          <w:pPr>
            <w:spacing w:line="240" w:lineRule="auto"/>
          </w:pPr>
          <w:r w:rsidRPr="000D0101">
            <w:t>Número ID: 830.061.724-6</w:t>
          </w:r>
        </w:p>
        <w:p w14:paraId="113DD475" w14:textId="77777777" w:rsidR="003D5DB4" w:rsidRPr="000D0101" w:rsidRDefault="003D5DB4" w:rsidP="000A5389">
          <w:pPr>
            <w:spacing w:line="240" w:lineRule="auto"/>
          </w:pPr>
          <w:r w:rsidRPr="000D0101">
            <w:t>Razón social del concesionario: Ferrocarriles del Norte de Colombia S.A. –FENOCO S.A</w:t>
          </w:r>
        </w:p>
        <w:p w14:paraId="0C0C52B7" w14:textId="77777777" w:rsidR="003D5DB4" w:rsidRPr="000D0101" w:rsidRDefault="003D5DB4" w:rsidP="000A5389">
          <w:pPr>
            <w:spacing w:line="240" w:lineRule="auto"/>
          </w:pPr>
          <w:r w:rsidRPr="000D0101">
            <w:t>Nombre del proyecto: CONTRATO DE CONCESIÓN No. O-ATLA-00-99 DEL 09 DE SEPTIEMBRE DE 1999 PROYECTO RED FÉRREA DEL ATLÁNTICO</w:t>
          </w:r>
        </w:p>
        <w:p w14:paraId="4FCDF186" w14:textId="77777777" w:rsidR="003D5DB4" w:rsidRPr="000D0101" w:rsidRDefault="003D5DB4" w:rsidP="000A5389">
          <w:pPr>
            <w:spacing w:line="240" w:lineRule="auto"/>
          </w:pPr>
        </w:p>
        <w:p w14:paraId="2AB7809E" w14:textId="77777777" w:rsidR="003D5DB4" w:rsidRPr="000D0101" w:rsidRDefault="003D5DB4" w:rsidP="000A5389">
          <w:pPr>
            <w:spacing w:line="240" w:lineRule="auto"/>
          </w:pPr>
          <w:r w:rsidRPr="000D0101">
            <w:t>Términos significativos del Acuerdo que puedan afectar su valor, el calendario y la certeza de los flujos de efectivo futuros</w:t>
          </w:r>
        </w:p>
        <w:p w14:paraId="12FBD6EC" w14:textId="77777777" w:rsidR="00A634DA" w:rsidRDefault="00A634DA" w:rsidP="000A5389">
          <w:pPr>
            <w:spacing w:line="240" w:lineRule="auto"/>
          </w:pPr>
        </w:p>
        <w:p w14:paraId="5CCDE631" w14:textId="7D14688D" w:rsidR="003D5DB4" w:rsidRPr="000D0101" w:rsidRDefault="003D5DB4" w:rsidP="000A5389">
          <w:pPr>
            <w:spacing w:line="240" w:lineRule="auto"/>
          </w:pPr>
          <w:r w:rsidRPr="000D0101">
            <w:t xml:space="preserve">Términos de valor: La Cláusula 27 del Contrato contempló inicialmente la financiación del proyecto de la siguiente manera: Aportes del Contratante por las sumas a continuación: Aportes del contratante Por 80 millones de dólares americanos entre marzo de 2000 y abril de 2003.Aportes del Concesionario por la suma de cuarenta y dos millones de dólares (USD 42.000.000) el día 30 de abril del año 2003, con las mismas condiciones que los pagos indicados anteriormente. Así mismo, la Cláusula 27 estableció la obligación del Contratante (FERROVIAS/INCO en su momento) de transferir al Concesionario los ingresos derivados del contrato celebrado por FERROVIAS y Drummond Ltd., cuya destinación era la conservación de la infraestructura y superestructura de vía e instalaciones ferroviarias del proyecto y la rehabilitación de la red férrea. Respecto a los ingresos por transporte de carbón, el numeral 27.3 contempló el pago del 10% de los ingresos por peajes o uso de vía a favor de la entidad contratante, hasta el vencimiento de cualquier contrato suscrito por el Concesionario. </w:t>
          </w:r>
        </w:p>
        <w:p w14:paraId="383FA7C8" w14:textId="77777777" w:rsidR="00A634DA" w:rsidRDefault="00A634DA" w:rsidP="000A5389">
          <w:pPr>
            <w:spacing w:line="240" w:lineRule="auto"/>
          </w:pPr>
        </w:p>
        <w:p w14:paraId="6204D9DD" w14:textId="05CA2D7C" w:rsidR="003D5DB4" w:rsidRPr="000D0101" w:rsidRDefault="003D5DB4" w:rsidP="000A5389">
          <w:pPr>
            <w:spacing w:line="240" w:lineRule="auto"/>
          </w:pPr>
          <w:r w:rsidRPr="000D0101">
            <w:t xml:space="preserve">MODIFICACIONES OTROSÍ 12 DEL 28 DE MARZO DE 2006 Mediante Otrosí No. 12 se realiza modificación del objeto con el fin de aumentar la capacidad hasta 80 millones de toneladas para poder transportar carbón y otras cargas, a través de la construcción de las obras necesarias y suficientes para la ampliación de la capacidad de la vía existente y la construcción de la segunda vía paralela a la actualmente existente. Las inversiones de acuerdo con el Otro si 12, ya se cumplieron y fueron las siguientes: Los valores estimados de inversión fueron los siguientes: • Expansión de la línea existente: USD 8,5 millones   • Diseño y construcción de la segunda línea: USD 205,5 millones • Sistema de señalización y comunicaciones (CTC): USD 28,5 millones • Compra de acciones de Fenoco: USD 92,5 millones Inversión total estimada: USD 335 millones. De igual forma, en lo que concierne al área financiera, se modificó la Cláusula 3 del Contrato de Concesión, respecto a la remuneración de la Concesión, de la cual se exponen los siguientes términos: “CLÁUSULA 3. REMUNERACIÓN DE LA CONCESIÓN. La remuneración del CONCESIONARIO por la concesión será: </w:t>
          </w:r>
        </w:p>
        <w:p w14:paraId="22ED545D" w14:textId="77777777" w:rsidR="00A634DA" w:rsidRDefault="00A634DA" w:rsidP="000A5389">
          <w:pPr>
            <w:spacing w:line="240" w:lineRule="auto"/>
          </w:pPr>
        </w:p>
        <w:p w14:paraId="6F26DAFC" w14:textId="00F3C586" w:rsidR="003D5DB4" w:rsidRPr="000D0101" w:rsidRDefault="003D5DB4" w:rsidP="000A5389">
          <w:pPr>
            <w:spacing w:line="240" w:lineRule="auto"/>
          </w:pPr>
          <w:r w:rsidRPr="000D0101">
            <w:t xml:space="preserve">3.1. Los recursos derivados de la cesión del recaudo de la tarifa, en los términos establecidos por el Ministerio de Transporte en su resolución de fijación de tarifas y otros aspectos para el tramo Chiriguaná (PK 724) – Ciénaga (PK 934), y Ciénaga (PK 934) – Santa Marta (PK 969). </w:t>
          </w:r>
        </w:p>
        <w:p w14:paraId="3CA929F6" w14:textId="77777777" w:rsidR="00A634DA" w:rsidRDefault="00A634DA" w:rsidP="000A5389">
          <w:pPr>
            <w:spacing w:line="240" w:lineRule="auto"/>
          </w:pPr>
        </w:p>
        <w:p w14:paraId="40ABDE5F" w14:textId="05D0F73A" w:rsidR="003D5DB4" w:rsidRPr="000D0101" w:rsidRDefault="003D5DB4" w:rsidP="000A5389">
          <w:pPr>
            <w:spacing w:line="240" w:lineRule="auto"/>
          </w:pPr>
          <w:r w:rsidRPr="000D0101">
            <w:t>3.2. Los recursos derivados del recaudo de los derechos de ingreso durante el año 2006.</w:t>
          </w:r>
        </w:p>
        <w:p w14:paraId="78982C98" w14:textId="77777777" w:rsidR="00A634DA" w:rsidRDefault="00A634DA" w:rsidP="000A5389">
          <w:pPr>
            <w:spacing w:line="240" w:lineRule="auto"/>
          </w:pPr>
        </w:p>
        <w:p w14:paraId="1C7EC0D9" w14:textId="40BB9D8E" w:rsidR="003D5DB4" w:rsidRPr="000D0101" w:rsidRDefault="003D5DB4" w:rsidP="000A5389">
          <w:pPr>
            <w:spacing w:line="240" w:lineRule="auto"/>
          </w:pPr>
          <w:r w:rsidRPr="000D0101">
            <w:t xml:space="preserve">3.3. La totalidad de los recursos que EL CONCESIONARIO obtenga como producto de la explotación comercial de la infraestructura recibida en concesión, incluyendo las sumas que, en virtud del presente contrato, cancelen terceros diferentes a EL CONCESIONARIO por el servicio de trasporte de carga prestado por EL CONCESIONARIO en la infraestructura concesionada. </w:t>
          </w:r>
        </w:p>
        <w:p w14:paraId="24D1204D" w14:textId="77777777" w:rsidR="00A634DA" w:rsidRDefault="00A634DA" w:rsidP="000A5389">
          <w:pPr>
            <w:spacing w:line="240" w:lineRule="auto"/>
          </w:pPr>
        </w:p>
        <w:p w14:paraId="45B9129C" w14:textId="5EB6C5DA" w:rsidR="003D5DB4" w:rsidRPr="000D0101" w:rsidRDefault="003D5DB4" w:rsidP="000A5389">
          <w:pPr>
            <w:spacing w:line="240" w:lineRule="auto"/>
          </w:pPr>
          <w:r w:rsidRPr="000D0101">
            <w:t xml:space="preserve">3.4 Los ingresos derivados de la explotación del Contrato Operacional de Drummond Ltda. Los ingresos percibidos como remuneración serán considerados para todos los efectos como ingresos propios del Concesionario afectos en primer lugar al cumplimiento de las obligaciones del contrato de concesión. De los recursos antes citados, CONCESIONARIO girará al INCO, quincenalmente y con fundamento en la certificación que al respecto emitida el revisor fiscal de la entidad fiduciaria donde se establezca el fideicomiso de administración y pagos: La suma de USD$0,22 (veintidós centavos de dólar por cada tonelada de carga transportada durante el Periodo de Transición. La suma de USD$1,07 (un dólar y siete centavos de dólar) por cada tonelada de carga transportada una vez finalizado el Periodo de Transición. Parágrafo 1.- Del recaudo de los derechos de ingreso que se cobren después del año 2006, el Concesionario girará el cincuenta por ciento (50%) al INCO. Parágrafo 2.- El Concesionario facturará las tarifas a los operadores a los cuales les preste el servicio, detallando el valor de los ingresos exentos de retención que para el caso son los que corresponden al INCO en virtud de lo establecido en el artículo 22 del Estatuto Tributario, con el fin de que el responsable de efectuar la retención se abstenga de practicarla dado que por la naturaleza del INCO no es sujeto de dicho impuesto.” (Cursiva fuera de texto). Según lo expuesto en el numeral 3.1 anterior, la Resolución 1070 de 2006 establece las tarifas contractuales máximas a cobrar por el uso de la vía férrea. Así mismo, el artículo sexto de dicha resolución contempla que las tarifas deberán ajustarse anualmente con base en el cien por ciento (100%) de la variación del Índice de Precios al Productor de los Estados Unidos de América, correspondientes a bienes de capital reportado por la Dirección del Departamento del Trabajo de los Estados Unidos de América. Según lo anterior, para la vigencia 2023 se aplicó una tarifa actualizada de uso de vía de tres dólares con siete centavos de dólar (US $3.07) por tonelada métrica transportada y una tarifa actualizada de un dólar con cincuenta y cuatro centavos de dólar (US $1,54) por tonelada, por concepto de explotación comercial.   </w:t>
          </w:r>
        </w:p>
        <w:p w14:paraId="244DFB84" w14:textId="77777777" w:rsidR="00A634DA" w:rsidRDefault="00A634DA" w:rsidP="000A5389">
          <w:pPr>
            <w:spacing w:line="240" w:lineRule="auto"/>
          </w:pPr>
        </w:p>
        <w:p w14:paraId="4DC92B4A" w14:textId="77777777" w:rsidR="001B234E" w:rsidRDefault="003D5DB4" w:rsidP="000A5389">
          <w:pPr>
            <w:spacing w:line="240" w:lineRule="auto"/>
          </w:pPr>
          <w:r w:rsidRPr="000D0101">
            <w:t>Para la vigencia 2024 se aplicó la tarifa actualizada de uso de vía de tres dólares con veinticuatro centavos de dólar (US $3.16) por tonelada métrica transportada y una tarifa actualizada de un dólar con sesenta y dos centavos de dólar (US $ 1,58) por tonelada, por concepto de explotación comercial.</w:t>
          </w:r>
        </w:p>
        <w:p w14:paraId="2E4BF0F3" w14:textId="77777777" w:rsidR="001B234E" w:rsidRDefault="001B234E" w:rsidP="000A5389">
          <w:pPr>
            <w:spacing w:line="240" w:lineRule="auto"/>
          </w:pPr>
        </w:p>
        <w:p w14:paraId="4C92038E" w14:textId="77777777" w:rsidR="001B234E" w:rsidRDefault="003D5DB4" w:rsidP="000A5389">
          <w:pPr>
            <w:spacing w:line="240" w:lineRule="auto"/>
          </w:pPr>
          <w:r w:rsidRPr="000D0101">
            <w:t xml:space="preserve">Para la vigencia 2025 se aplicó la tarifa actualizada de uso de vía de tres dólares con veinticinco centavos de dólar (US $3.25) por tonelada métrica y transportada y una tarifa </w:t>
          </w:r>
          <w:r w:rsidRPr="000D0101">
            <w:lastRenderedPageBreak/>
            <w:t>actualizada de un dólar con sesenta y tres centavos de dólar (US $ 1,63) por tonelada, por concepto de explotación comercial</w:t>
          </w:r>
        </w:p>
        <w:p w14:paraId="2F6F9D55" w14:textId="77777777" w:rsidR="001B234E" w:rsidRDefault="001B234E" w:rsidP="000A5389">
          <w:pPr>
            <w:spacing w:line="240" w:lineRule="auto"/>
          </w:pPr>
        </w:p>
        <w:p w14:paraId="6931A7A1" w14:textId="3B3767BE" w:rsidR="001B234E" w:rsidRDefault="003D5DB4" w:rsidP="000A5389">
          <w:pPr>
            <w:spacing w:line="240" w:lineRule="auto"/>
          </w:pPr>
          <w:r w:rsidRPr="000D0101">
            <w:t>Ahora bien, es importante mencionar que el Otrosí No. 12 también modificó la Cláusula 27 del Contrato de Concesión, correspondiente a las fuentes de financiación del proyecto, de la siguiente manera:</w:t>
          </w:r>
        </w:p>
        <w:p w14:paraId="5B4EE8CA" w14:textId="77777777" w:rsidR="001B234E" w:rsidRDefault="001B234E" w:rsidP="000A5389">
          <w:pPr>
            <w:spacing w:line="240" w:lineRule="auto"/>
          </w:pPr>
        </w:p>
        <w:p w14:paraId="680BB2FA" w14:textId="5BAF252A" w:rsidR="003D5DB4" w:rsidRDefault="003D5DB4" w:rsidP="000A5389">
          <w:pPr>
            <w:spacing w:line="240" w:lineRule="auto"/>
          </w:pPr>
          <w:r w:rsidRPr="000D0101">
            <w:t>Las fuentes de financiación del Concesionario, para el cumplimiento de sus obligaciones contractuales son: • Recursos derivados del Contrato Operacional Drummond Ltda.   • Recursos obtenidos por concepto de recaudo de tarifas. • Recursos obtenidos por concepto de los derechos de ingreso. • Recursos obtenidos por concepto de la realización de actividades comerciales sobre la infraestructura férrea. • Recursos propios del Concesionario. • Recursos de financiamiento que obtenga el Concesionario.</w:t>
          </w:r>
        </w:p>
        <w:p w14:paraId="0730F4E9" w14:textId="77777777" w:rsidR="001B234E" w:rsidRPr="000D0101" w:rsidRDefault="001B234E" w:rsidP="000A5389">
          <w:pPr>
            <w:spacing w:line="240" w:lineRule="auto"/>
          </w:pPr>
        </w:p>
        <w:p w14:paraId="23DE0587" w14:textId="77777777" w:rsidR="003D5DB4" w:rsidRPr="000D0101" w:rsidRDefault="003D5DB4" w:rsidP="000A5389">
          <w:pPr>
            <w:spacing w:line="240" w:lineRule="auto"/>
          </w:pPr>
          <w:r w:rsidRPr="000D0101">
            <w:t>Términos de calendario: Clausula 23, Plan de Obras de Construcción, Clausula 24, iniciación de la construcción.  Las actividades correspondientes al cumplimiento de estas cláusulas del contrato se desarrollaron, desde 2007 hasta 2016. En ese periodo se construyeron las obras correspondientes a la segunda línea actual en longitud de 165.5 Km y se instaló el sistema de control y comunicaciones ITCS, a través de los cuales se alcanzó la capacidad de más 80 millones de toneladas lo que permite el transporte de carbón y otras cargas De acuerdo con la Cláusula 25, CRONOGRAMA DE ACTIVIDADES, el concesionario debe presentar para cada periodo quinquenal un cronograma de mantenimiento y su respectivo programa de aseguramiento de la calidad para periodos de cinco (5) años, hasta la reversión de la  concesión. Dichos cronogramas, planes de obras y programas de aseguramiento de la calidad formarán parte del contrato de concesión, y su cumplimiento estricto obligará al concesionario. En adelanto de esta parte del contrato y durante la vigencia 2025, el concesionario realiza las actividades correspondientes al Plan Quinquenal con vigencia desde 2022 a 2027</w:t>
          </w:r>
        </w:p>
        <w:p w14:paraId="1D8C74AD" w14:textId="77777777" w:rsidR="00A634DA" w:rsidRDefault="00A634DA" w:rsidP="000A5389">
          <w:pPr>
            <w:spacing w:line="240" w:lineRule="auto"/>
          </w:pPr>
        </w:p>
        <w:p w14:paraId="1786C451" w14:textId="1EA43B87" w:rsidR="003D5DB4" w:rsidRPr="000D0101" w:rsidRDefault="003D5DB4" w:rsidP="000A5389">
          <w:pPr>
            <w:spacing w:line="240" w:lineRule="auto"/>
          </w:pPr>
          <w:r w:rsidRPr="000D0101">
            <w:t xml:space="preserve">Términos de certeza de flujos de efectivo futuros: </w:t>
          </w:r>
        </w:p>
        <w:p w14:paraId="28261AB7" w14:textId="77777777" w:rsidR="003D5DB4" w:rsidRPr="000D0101" w:rsidRDefault="003D5DB4" w:rsidP="000A5389">
          <w:pPr>
            <w:spacing w:line="240" w:lineRule="auto"/>
          </w:pPr>
          <w:r w:rsidRPr="000D0101">
            <w:t>Naturaleza y alcance del derecho a utilizar Activos y los aspectos pactados en torno a lo que se espera que el concesionario proporcione en relación con el Acuerdo de concesión</w:t>
          </w:r>
        </w:p>
        <w:p w14:paraId="58DB964D" w14:textId="77777777" w:rsidR="003D5DB4" w:rsidRPr="000D0101" w:rsidRDefault="003D5DB4" w:rsidP="000A5389">
          <w:pPr>
            <w:spacing w:line="240" w:lineRule="auto"/>
          </w:pPr>
          <w:r w:rsidRPr="000D0101">
            <w:t>Naturaleza y alcance del derecho de uso de los Activos</w:t>
          </w:r>
        </w:p>
        <w:p w14:paraId="217EF5B1" w14:textId="77777777" w:rsidR="00A634DA" w:rsidRDefault="00A634DA" w:rsidP="000A5389">
          <w:pPr>
            <w:spacing w:line="240" w:lineRule="auto"/>
          </w:pPr>
        </w:p>
        <w:p w14:paraId="1D8E0282" w14:textId="77777777" w:rsidR="00246C78" w:rsidRDefault="003D5DB4" w:rsidP="000A5389">
          <w:pPr>
            <w:spacing w:line="240" w:lineRule="auto"/>
          </w:pPr>
          <w:r w:rsidRPr="000D0101">
            <w:t>Descripción: A continuación se citan las cláusulas 9, 10, 11 y 12 del Contrato de Concesión, que se relacionan con los derechos que cedió la Entidad Contratante al Concesionario para explotar los activos en concesión; las actividades o los servicios que éste desarrollará durante el plazo del acuerdo de concesión; y los activos que entregó al concesionario para el desarrollo del acuerdo de concesión (junto con las mejoras o rehabilitaciones que éste les haya realizado) y de los activos que el concesionario adquiera, construya o desarrolle durante el plazo del acuerdo. “CAPÍTULO III - REGIMEN DE BIENES DEL CONTRATO CLÁUSULA9.ENTREGA</w:t>
          </w:r>
          <w:r w:rsidR="00246C78">
            <w:t xml:space="preserve"> </w:t>
          </w:r>
          <w:r w:rsidRPr="000D0101">
            <w:t xml:space="preserve">En la misma fecha de suscripción del acta de iniciación del presente contrato se suscribirá el acta de entrega _de los bienes afectados a la· concesión, que formará parte del presente contrato, de acuerdo con la cual:  9.1. AL CONCESIONARIO </w:t>
          </w:r>
          <w:r w:rsidRPr="000D0101">
            <w:lastRenderedPageBreak/>
            <w:t>se le transfiere la tenencia de la totalidad de los bienes que se entregan en concesión de infraestructura; a los que hace referencia la cláusula 1 del presente contrato, para su explotación, rehabilitación - reconstrucción y conservación. La entrega de la infraestructura que se concede en concesión se efectuará mediante inventario descriptivo de los bienes correspondientes.</w:t>
          </w:r>
        </w:p>
        <w:p w14:paraId="468F1419" w14:textId="77777777" w:rsidR="00246C78" w:rsidRDefault="00246C78" w:rsidP="000A5389">
          <w:pPr>
            <w:spacing w:line="240" w:lineRule="auto"/>
          </w:pPr>
        </w:p>
        <w:p w14:paraId="7B21EE2C" w14:textId="6C02E81A" w:rsidR="003D5DB4" w:rsidRPr="000D0101" w:rsidRDefault="003D5DB4" w:rsidP="000A5389">
          <w:pPr>
            <w:spacing w:line="240" w:lineRule="auto"/>
          </w:pPr>
          <w:r w:rsidRPr="000D0101">
            <w:t xml:space="preserve">9.2. A EL CONCESIONARIO se le concede, a partir de la fecha de suscripción del acta de entrega, el libre acceso a la infraestructura sobre la cual se confiere la concesión de obras de conservación a la que se hace referencia la cláusula 1 del presente contrato, para que sobre la misma desarrolle las labores de conservación que le corresponde en los términos previstos en este contrato.  9.3. La entrega de bienes se surtirá en los términos y condiciones previstos en el Anexo 6 del pliego de condiciones que rigió la licitación pública que ha dado lugar al presente contrato.                  </w:t>
          </w:r>
        </w:p>
        <w:p w14:paraId="69757784" w14:textId="77777777" w:rsidR="00A634DA" w:rsidRDefault="00A634DA" w:rsidP="000A5389">
          <w:pPr>
            <w:spacing w:line="240" w:lineRule="auto"/>
          </w:pPr>
        </w:p>
        <w:p w14:paraId="5A07A53C" w14:textId="77777777" w:rsidR="00246C78" w:rsidRDefault="003D5DB4" w:rsidP="000A5389">
          <w:pPr>
            <w:spacing w:line="240" w:lineRule="auto"/>
          </w:pPr>
          <w:r w:rsidRPr="000D0101">
            <w:t xml:space="preserve">EL CONCESIONARIO al suscribir el presente contrato, así como el acta de entrega respectiva, recibe los bienes en la calidad en la que se entregan, y reconoce haber tenido acceso pleno a los bienes correspondientes para su inspección, y por lo tanto los recibe con pleno conocimiento de causa sobre el estado en el que se encuentran.  </w:t>
          </w:r>
        </w:p>
        <w:p w14:paraId="5FBB04E5" w14:textId="7A02D739" w:rsidR="003D5DB4" w:rsidRPr="000D0101" w:rsidRDefault="003D5DB4" w:rsidP="000A5389">
          <w:pPr>
            <w:spacing w:line="240" w:lineRule="auto"/>
          </w:pPr>
          <w:r w:rsidRPr="000D0101">
            <w:t xml:space="preserve">                                                                                           </w:t>
          </w:r>
        </w:p>
        <w:p w14:paraId="24B7A939" w14:textId="77777777" w:rsidR="003D5DB4" w:rsidRPr="000D0101" w:rsidRDefault="003D5DB4" w:rsidP="000A5389">
          <w:pPr>
            <w:spacing w:line="240" w:lineRule="auto"/>
          </w:pPr>
          <w:r w:rsidRPr="000D0101">
            <w:t xml:space="preserve">CLAUSULA 10. OBJECIONES Y EXCLUSION DE BIENES      En la fecha de suscripción del acta de entrega, EL CONCESIONARIO podrá objetar por escrito el contenido del inventario descriptivo de bienes, con el fin de que se excluyan de este aquellos bienes a los que no pueda tener acceso por encontrarse invadidos u ocupados por terceros ilegalmente. Si se presentaran controversias alrededor de la entrega de los bienes, se acudirá a los mecanismos previstos en el presente contrato para la solución de conflictos.                                                                                                     </w:t>
          </w:r>
        </w:p>
        <w:p w14:paraId="4FD9C6D9" w14:textId="77777777" w:rsidR="00A634DA" w:rsidRDefault="00A634DA" w:rsidP="000A5389">
          <w:pPr>
            <w:spacing w:line="240" w:lineRule="auto"/>
          </w:pPr>
        </w:p>
        <w:p w14:paraId="34E3B5FE" w14:textId="20B5DC8B" w:rsidR="003D5DB4" w:rsidRPr="000D0101" w:rsidRDefault="003D5DB4" w:rsidP="000A5389">
          <w:pPr>
            <w:spacing w:line="240" w:lineRule="auto"/>
          </w:pPr>
          <w:r w:rsidRPr="000D0101">
            <w:t xml:space="preserve">CLAUSULA 11. RESPONSABILIDAD Y RIESGO. A partir de la fecha de suscripción del presente contrato y de la respectiva acta de entrega, EL CONCESIONARIO asume las siguientes responsabilidades y riesgos relacionados con los bienes involucrados en la concesión: 11.1. EL CONCESIONARIO asume y será totalmente responsable por todos y cualesquiera daños, perjuicios o pérdidas de los bienes que integran la infraestructura que se entrega en concesión, sin perjuicio de su facultad de exigir a terceros diferentes de FERROVIAS la reparación o indemnización de perjuicios cuando a ello haya lugar.11.2. EL CONCESIONARIO asume y será totalmente responsable por el deterioro que sufra la infraestructura cuyas obras de conservación se confieren en concesión, sin perjuicio de su facultad de exigir a terceros diferentes de FERROVIAS la reparación o indemnización de perjuicios cuando a ello haya lugar.  11.3. EL CONCESIONARIO asume y será totalmente responsable por todos y cualesquiera daños, perjuicios, ocupaciones de hecho o pérdidas de los bienes que se entregan en concesión, o de aquellos que incorpore con sus propios recursos a la infraestructura entregada en concesión, sin perjuicio de su facultad de exigir a terceros diferentes de FERROVIAS la reparación o indemnización de perjuicios cuando a ello haya lugar.                                            </w:t>
          </w:r>
        </w:p>
        <w:p w14:paraId="3A5E3B45" w14:textId="77777777" w:rsidR="00A634DA" w:rsidRDefault="00A634DA" w:rsidP="000A5389">
          <w:pPr>
            <w:spacing w:line="240" w:lineRule="auto"/>
          </w:pPr>
        </w:p>
        <w:p w14:paraId="1EC9934A" w14:textId="4F1CB092" w:rsidR="003D5DB4" w:rsidRPr="000D0101" w:rsidRDefault="003D5DB4" w:rsidP="000A5389">
          <w:pPr>
            <w:spacing w:line="240" w:lineRule="auto"/>
          </w:pPr>
          <w:r w:rsidRPr="000D0101">
            <w:lastRenderedPageBreak/>
            <w:t xml:space="preserve">CLAUSULA 12. INVENTARIOS. A partir del acta de iniciación, EL CONCESIONARIO deberá llevar un sistema de inventarios utilizando los procedimientos y metodologías aceptados por las normas y la práctica de la contabilidad pública, con actualizaciones trimestrales máximo, en el cual se clasifiquen y valoren la totalidad de los bienes que incorporan la infraestructura recibida en concesión, el que incorporará un anexo en el que se clasifiquen la totalidad de los bienes entre revertibles y no revertibles, de acuerdo con lo previsto en la CLAUSULA 128 del presente contrato.” (Cursiva fuera de texto)  Conforme lo expuesto, El 03 de marzo de 2000 las partes suscribieron el Acta de Entrega de la Concesión de Infraestructura y Obras de Conservación de la Red Atlántico, correspondiente a la infraestructura existente en los siguientes tramos:  Infraestructura Red Férrea del Atlántico  Bogotá(Km.5)– Belencito (PK 262) La Caro (PK 34) - Lenguazaque (PK 110) Bogotá (Km.5) – Dorada (PK 200) Dorada (PK 200) – Barrancabermeja (PK 444)    Barrancabermeja (PK 444) – Chiriguaná (PK 724) Chiriguaná (PK 724) – Ciénaga (PK 934) Ciénaga (PK 934) Santa Marta (PK969) Puerto Berrío (PK 333) – Medellín (Bello) (PK509)                                    </w:t>
          </w:r>
        </w:p>
        <w:p w14:paraId="150B7211" w14:textId="77777777" w:rsidR="00A634DA" w:rsidRDefault="00A634DA" w:rsidP="000A5389">
          <w:pPr>
            <w:spacing w:line="240" w:lineRule="auto"/>
          </w:pPr>
        </w:p>
        <w:p w14:paraId="36243255" w14:textId="1AAE9F0B" w:rsidR="003D5DB4" w:rsidRDefault="003D5DB4" w:rsidP="000A5389">
          <w:pPr>
            <w:spacing w:line="240" w:lineRule="auto"/>
          </w:pPr>
          <w:r w:rsidRPr="000D0101">
            <w:t>Los tramos definidos en el objeto antes mencionado, así como el alcance del Contrato de Concesión fueron modificados a través del otrosí No. 12, desafectando del contrato el material rodante, estaciones y tramos férreos al sur de Chiriguaná, quedando a cargo del contrato los siguientes tramos:   Chiriguaná (722+683)-Ciénaga (934) Ciénaga (934) - Santa Marta(968+990) Long. Total 246.3 Km. Así mismo, el Otrosí No.12 establece la obligación de construir una segunda línea férrea, paralela a la existente, entre la Estación La Loma y Puerto Drummond, por un total de 191 Km.</w:t>
          </w:r>
        </w:p>
        <w:p w14:paraId="108A79D0" w14:textId="77777777" w:rsidR="00246C78" w:rsidRPr="000D0101" w:rsidRDefault="00246C78" w:rsidP="000A5389">
          <w:pPr>
            <w:spacing w:line="240" w:lineRule="auto"/>
          </w:pPr>
        </w:p>
        <w:p w14:paraId="25ABC66A" w14:textId="77777777" w:rsidR="003D5DB4" w:rsidRPr="000D0101" w:rsidRDefault="003D5DB4" w:rsidP="000A5389">
          <w:pPr>
            <w:spacing w:line="240" w:lineRule="auto"/>
          </w:pPr>
          <w:r w:rsidRPr="000D0101">
            <w:t xml:space="preserve">Observaciones: </w:t>
          </w:r>
        </w:p>
        <w:p w14:paraId="49E79AB0" w14:textId="77777777" w:rsidR="003D5DB4" w:rsidRPr="000D0101" w:rsidRDefault="003D5DB4" w:rsidP="000A5389">
          <w:pPr>
            <w:spacing w:line="240" w:lineRule="auto"/>
          </w:pPr>
        </w:p>
        <w:p w14:paraId="55262508" w14:textId="77777777" w:rsidR="003D5DB4" w:rsidRPr="000D0101" w:rsidRDefault="003D5DB4" w:rsidP="000A5389">
          <w:pPr>
            <w:spacing w:line="240" w:lineRule="auto"/>
          </w:pPr>
          <w:r w:rsidRPr="000D0101">
            <w:t>Retribución al concesionario</w:t>
          </w:r>
        </w:p>
        <w:p w14:paraId="5D9A11AA" w14:textId="77777777" w:rsidR="00A634DA" w:rsidRDefault="00A634DA" w:rsidP="000A5389">
          <w:pPr>
            <w:spacing w:line="240" w:lineRule="auto"/>
          </w:pPr>
        </w:p>
        <w:p w14:paraId="33678E9B" w14:textId="6C3237F8" w:rsidR="003D5DB4" w:rsidRPr="000D0101" w:rsidRDefault="003D5DB4" w:rsidP="000A5389">
          <w:pPr>
            <w:spacing w:line="240" w:lineRule="auto"/>
          </w:pPr>
          <w:r w:rsidRPr="000D0101">
            <w:t xml:space="preserve">Descripción: CLAUSULA 2. CONTRAPRESTACION POR EL CONTRATO DE CONCESION Como contraprestación por la concesión de infraestructura aludida en la cláusula 1 del presente contrato, EL CONCESIONARIO deberá efectuar a su costo y riesgo, la construcción, rehabilitación - reconstrucción, conservación y operación de la infraestructura concedida, en cuanto sea necesario para garantizar tanto la operación eficiente de tal infraestructura como la adecuada prestación del servicio público de transporte férreo mediante la misma, para lo cual efectuará por su cuenta y riesgo las obras y actividades que se requieran, lo que incluye la obligación de efectuar la reposición y la rehabilitación - reconstrucción futura que sea necesaria para asegurar la capacidad de la vía férrea para atender el tráfico que deberá soportar durante el lapso de la concesión.                                                                  </w:t>
          </w:r>
        </w:p>
        <w:p w14:paraId="28D771B7" w14:textId="77777777" w:rsidR="00A634DA" w:rsidRDefault="00A634DA" w:rsidP="000A5389">
          <w:pPr>
            <w:spacing w:line="240" w:lineRule="auto"/>
          </w:pPr>
        </w:p>
        <w:p w14:paraId="26D69CF6" w14:textId="09EECA66" w:rsidR="003D5DB4" w:rsidRPr="000D0101" w:rsidRDefault="003D5DB4" w:rsidP="000A5389">
          <w:pPr>
            <w:spacing w:line="240" w:lineRule="auto"/>
          </w:pPr>
          <w:r w:rsidRPr="000D0101">
            <w:t xml:space="preserve">CLAUSULA 3. REMUNERACION DE LA CONCESION. La remuneración del CONCESIONARIO por la concesión será: 3.1. Los recursos derivados de la cesión del recaudo de la tarifa, en los términos establecidos por el Ministerio de Transporte en su resolución de fijación de tarifas y otros aspectos para el tramo Chiriguaná (PK 724) - Ciénaga (PK 934), y Ciénaga (PK 934) - Santa Marta (PK 969). 3.2. Los recursos derivados del recaudo de los derechos de ingreso durante el año 2006. 3.3. La totalidad de los recursos que </w:t>
          </w:r>
          <w:r w:rsidRPr="000D0101">
            <w:lastRenderedPageBreak/>
            <w:t xml:space="preserve">EL CONCESIONARIO obtenga como producto de la explotación comercial de la infraestructura recibida en concesión, incluyendo las sumas que, en virtud del presente contrato, cancelen terceros diferentes a EL CONCESIONARIO por el servicio de transporte de carga prestado por EL CONCESIONARIO en la infraestructura concesionada. 3.4. Los ingresos derivados de la explotación del Contrato Operacional de Drummond Ud. Los ingresos percibidos como remuneración serán considerados para todos los efectos como ingresos propios del CONCESIONARIO afectos en primer lugar al cumplimiento de las obligaciones del contrato de concesión. De los recursos antes citados, CONCESIONARIO girará al INCO, quincenalmente y con fundamento en la certificación que al respecto emita el revisor fiscal de la entidad fiduciaria donde se establezca el fideicomiso de administración y pagos: La suma de US$0,22 (veintidós centavos de dólar de los Estados Unidos de América) por cada tonelada de carga transportada durante el Período de Transición. 2) La suma de US $1, 07 (un dólar y siete centavos de dólar de los Estados Unidos de América) por cada tonelada de carga transportada una vez finalizado el Período de Transición.                                                                                               Parágrafo 1.- Del recaudo de los derechos de ingreso que se cobren después del año 2006, EL CONCESIONARIO girará el cincuenta por ciento (50%) al INCO. Parágrafo 2.- El concesionario facturará las tarifas a los operadores a los cuales les preste el servicio, detallando el valor de los ingresos exentos de retención que para el caso son los que corresponden al INCO en virtud de lo establecido en el artículo 22 del Estatuto Tributario, con el fin de que el responsable de efectuar la retención se abstenga de practicarla dado que por la naturaleza del INCO no es sujeto de dicho impuesto.                                                        </w:t>
          </w:r>
        </w:p>
        <w:p w14:paraId="7E2C70C2" w14:textId="77777777" w:rsidR="00A634DA" w:rsidRDefault="00A634DA" w:rsidP="000A5389">
          <w:pPr>
            <w:spacing w:line="240" w:lineRule="auto"/>
          </w:pPr>
        </w:p>
        <w:p w14:paraId="12505C3E" w14:textId="6AACB1C3" w:rsidR="003D5DB4" w:rsidRPr="000D0101" w:rsidRDefault="003D5DB4" w:rsidP="000A5389">
          <w:pPr>
            <w:spacing w:line="240" w:lineRule="auto"/>
          </w:pPr>
          <w:r w:rsidRPr="000D0101">
            <w:t xml:space="preserve">CLAUSULA PRIMERA. OTROSÍ 20 al contrato de concesión No O-ATLA-00-99 de 1999, donde se incorpora el documento Política de Acceso, donde se establecen los criterios y/o procedimientos aplicables para acceder a la vía férrea entre Chiriguaná - Santa Marta, a cargo del Concesionario de Fenoco S.A.,  y además se define el valor de Derecho de Ingreso que pagarán los solicitantes exitosos que ingresen a operar en este corredor, entré otros aspectos.                                                                                                           </w:t>
          </w:r>
        </w:p>
        <w:p w14:paraId="7FAEA995" w14:textId="38AE555B" w:rsidR="00A634DA" w:rsidRDefault="003D5DB4" w:rsidP="000A5389">
          <w:pPr>
            <w:spacing w:line="240" w:lineRule="auto"/>
          </w:pPr>
          <w:r w:rsidRPr="000D0101">
            <w:t>CLAUSULA SEGUNDA. VALOR DERECHO DE INGRESO- Para prestar el servicio de transporte ferroviario de carga en la vía férrea concesionada tramo Chiriguaná - Santa Marta, todo usuario nuevo diferente al inversionista Privado o a un Usuario Existente, deberá pagar al Concesionario un derecho de Ingreso, al igual que todo Usuario y/o Inversionista Privado que solicite un Volumen adicional al contratado. Para el caso en que el Usuario y/o Inversionista privado solicite un Volumen Garantizado adicional al establecido en su contrato de Usuario, deberán pagar el Derecho de Ingreso con base en el Volumen Garantizado adicional solicitado. En todo caso, los Usuarios solo podrán solicitar Volúmenes adicionales si demuestran que han copado al menos el 90% del Volumen Garantizado por ellos contratado inicialmente. El Derecho de Ingreso se calculará con referencia al año en el cual (i) un Solicitante Exitoso nuevo suscribe el Contrato de Usuario para tener acceso a la vía férrea o (ii) en el año en que un Usuario incrementa su Volumen Garantizado; teniendo en cuenta la siguiente tabla:</w:t>
          </w:r>
        </w:p>
        <w:p w14:paraId="00C72A07" w14:textId="77777777" w:rsidR="00246C78" w:rsidRDefault="00246C78" w:rsidP="000A5389">
          <w:pPr>
            <w:spacing w:line="240" w:lineRule="auto"/>
          </w:pPr>
        </w:p>
        <w:p w14:paraId="28BA26DF" w14:textId="77777777" w:rsidR="00246C78" w:rsidRDefault="003D5DB4" w:rsidP="000A5389">
          <w:pPr>
            <w:spacing w:line="240" w:lineRule="auto"/>
          </w:pPr>
          <w:r w:rsidRPr="000D0101">
            <w:t>Año suscripción del contrato de usuario Tarifa del Derecho de Ingreso (USD (Dic-2005)</w:t>
          </w:r>
        </w:p>
        <w:p w14:paraId="0E271AA9" w14:textId="4F7FD714" w:rsidR="003D5DB4" w:rsidRPr="000D0101" w:rsidRDefault="003D5DB4" w:rsidP="000A5389">
          <w:pPr>
            <w:spacing w:line="240" w:lineRule="auto"/>
          </w:pPr>
          <w:r w:rsidRPr="000D0101">
            <w:t>2024</w:t>
          </w:r>
          <w:r w:rsidR="00246C78">
            <w:t xml:space="preserve"> </w:t>
          </w:r>
          <w:r w:rsidRPr="000D0101">
            <w:t xml:space="preserve">USD 1,59938    </w:t>
          </w:r>
        </w:p>
        <w:p w14:paraId="0D3670C8" w14:textId="1BFFD6CE" w:rsidR="003D5DB4" w:rsidRPr="000D0101" w:rsidRDefault="003D5DB4" w:rsidP="000A5389">
          <w:pPr>
            <w:spacing w:line="240" w:lineRule="auto"/>
            <w:rPr>
              <w:lang w:val="de-DE"/>
            </w:rPr>
          </w:pPr>
          <w:r w:rsidRPr="000D0101">
            <w:rPr>
              <w:lang w:val="de-DE"/>
            </w:rPr>
            <w:t xml:space="preserve">2025 USD  1,37767     </w:t>
          </w:r>
        </w:p>
        <w:p w14:paraId="7C9162A6" w14:textId="1B0509F1" w:rsidR="003D5DB4" w:rsidRPr="000D0101" w:rsidRDefault="003D5DB4" w:rsidP="000A5389">
          <w:pPr>
            <w:spacing w:line="240" w:lineRule="auto"/>
            <w:rPr>
              <w:lang w:val="de-DE"/>
            </w:rPr>
          </w:pPr>
          <w:r w:rsidRPr="000D0101">
            <w:rPr>
              <w:lang w:val="de-DE"/>
            </w:rPr>
            <w:lastRenderedPageBreak/>
            <w:t>2026</w:t>
          </w:r>
          <w:r w:rsidR="00246C78">
            <w:rPr>
              <w:lang w:val="de-DE"/>
            </w:rPr>
            <w:t xml:space="preserve"> </w:t>
          </w:r>
          <w:r w:rsidRPr="000D0101">
            <w:rPr>
              <w:lang w:val="de-DE"/>
            </w:rPr>
            <w:t xml:space="preserve">USD  1,14266                                                                                          </w:t>
          </w:r>
        </w:p>
        <w:p w14:paraId="70826AC5" w14:textId="5F8B948F" w:rsidR="003D5DB4" w:rsidRPr="000D0101" w:rsidRDefault="003D5DB4" w:rsidP="000A5389">
          <w:pPr>
            <w:spacing w:line="240" w:lineRule="auto"/>
            <w:rPr>
              <w:lang w:val="de-DE"/>
            </w:rPr>
          </w:pPr>
          <w:r w:rsidRPr="000D0101">
            <w:rPr>
              <w:lang w:val="de-DE"/>
            </w:rPr>
            <w:t>2027</w:t>
          </w:r>
          <w:r w:rsidR="00246C78">
            <w:rPr>
              <w:lang w:val="de-DE"/>
            </w:rPr>
            <w:t xml:space="preserve"> </w:t>
          </w:r>
          <w:r w:rsidRPr="000D0101">
            <w:rPr>
              <w:lang w:val="de-DE"/>
            </w:rPr>
            <w:t xml:space="preserve">USD  0,89354       </w:t>
          </w:r>
        </w:p>
        <w:p w14:paraId="5646FA21" w14:textId="0ACA6D22" w:rsidR="003D5DB4" w:rsidRPr="000D0101" w:rsidRDefault="003D5DB4" w:rsidP="000A5389">
          <w:pPr>
            <w:spacing w:line="240" w:lineRule="auto"/>
            <w:rPr>
              <w:lang w:val="de-DE"/>
            </w:rPr>
          </w:pPr>
          <w:r w:rsidRPr="000D0101">
            <w:rPr>
              <w:lang w:val="de-DE"/>
            </w:rPr>
            <w:t>2028</w:t>
          </w:r>
          <w:r w:rsidR="00246C78">
            <w:rPr>
              <w:lang w:val="de-DE"/>
            </w:rPr>
            <w:t xml:space="preserve"> </w:t>
          </w:r>
          <w:r w:rsidRPr="000D0101">
            <w:rPr>
              <w:lang w:val="de-DE"/>
            </w:rPr>
            <w:t xml:space="preserve">USD  0,62948      </w:t>
          </w:r>
        </w:p>
        <w:p w14:paraId="7BF6B9D9" w14:textId="567DE489" w:rsidR="003D5DB4" w:rsidRPr="000D0101" w:rsidRDefault="003D5DB4" w:rsidP="000A5389">
          <w:pPr>
            <w:spacing w:line="240" w:lineRule="auto"/>
            <w:rPr>
              <w:lang w:val="de-DE"/>
            </w:rPr>
          </w:pPr>
          <w:r w:rsidRPr="000D0101">
            <w:rPr>
              <w:lang w:val="de-DE"/>
            </w:rPr>
            <w:t>2029</w:t>
          </w:r>
          <w:r w:rsidR="00246C78">
            <w:rPr>
              <w:lang w:val="de-DE"/>
            </w:rPr>
            <w:t xml:space="preserve"> </w:t>
          </w:r>
          <w:r w:rsidRPr="000D0101">
            <w:rPr>
              <w:lang w:val="de-DE"/>
            </w:rPr>
            <w:t xml:space="preserve">USD  0,34957                                                                                     </w:t>
          </w:r>
        </w:p>
        <w:p w14:paraId="4344AF52" w14:textId="36B54113" w:rsidR="003D5DB4" w:rsidRPr="000D0101" w:rsidRDefault="003D5DB4" w:rsidP="000A5389">
          <w:pPr>
            <w:spacing w:line="240" w:lineRule="auto"/>
          </w:pPr>
          <w:r w:rsidRPr="000D0101">
            <w:t xml:space="preserve">2030USD  0,05287                                                                    </w:t>
          </w:r>
        </w:p>
        <w:p w14:paraId="640B30F6" w14:textId="77777777" w:rsidR="00A634DA" w:rsidRDefault="00A634DA" w:rsidP="000A5389">
          <w:pPr>
            <w:spacing w:line="240" w:lineRule="auto"/>
          </w:pPr>
        </w:p>
        <w:p w14:paraId="3D06AF6F" w14:textId="1DC32FBD" w:rsidR="003D5DB4" w:rsidRPr="000D0101" w:rsidRDefault="003D5DB4" w:rsidP="000A5389">
          <w:pPr>
            <w:spacing w:line="240" w:lineRule="auto"/>
          </w:pPr>
          <w:r w:rsidRPr="000D0101">
            <w:t>PARÁGRAFO PRIMERO. Las tarifas señaladas en el literal anterior son por tonelada métrica, se expresan en dólares constantes (PPI diciembre de 2005) y serán actualizadas anualmente con el porcentaje de la variación del PPI del año calendario inmediatamente anterior conforme al procedimiento establecido en el documento Política de Acceso.  PARÁGRAFO SEGUNDO. Al Derecho de Ingreso pagado por los Usuarios, se le aplicará lo indicado en la cláusula sexta del Otrosí No. 12 de 2006 al Contrato de Concesión que modificó la cláusula 3 del mismo y que indica lo siguiente: Parágrafo 1 “Del recaudo de los derechos de ingresos que se cobren después del año 2006, EL CONCESIONARIO girará el cincuenta por ciento (50%) al INCO (hoy ANI)”. El Concesionario deberá girar lo correspondiente a la ANI dentro de los ocho (8) Días siguientes al pago realizado por el Usuario, incluyendo el giro correspondiente al cincuenta por ciento (50%) de los intereses moratorios que se hayan causado por pagos extemporáneos. Para el cálculo del valor a pagar por el Derecho de Ingreso y las condiciones de pago, se tendrán en cuenta las consideraciones previstas en el Artículo 32 de la Política de Acceso. PARÁGRAFO TERCERO: Se exceptúan de esta condición de pago del 50% a la ANI, los casos en que el solicitante exitoso realice un acuerdo de cesión de volumen garantizado con un Usuario o inversionista privado, de acuerdo con lo previsto en las cláusulas 11 y 12 de la Política de Acceso.</w:t>
          </w:r>
        </w:p>
        <w:p w14:paraId="44851C93" w14:textId="77777777" w:rsidR="003D5DB4" w:rsidRPr="000D0101" w:rsidRDefault="003D5DB4" w:rsidP="000A5389">
          <w:pPr>
            <w:spacing w:line="240" w:lineRule="auto"/>
          </w:pPr>
          <w:r w:rsidRPr="000D0101">
            <w:t>Tasa de retribución:</w:t>
          </w:r>
          <w:r w:rsidRPr="000D0101">
            <w:tab/>
            <w:t>No Aplica</w:t>
          </w:r>
        </w:p>
        <w:p w14:paraId="41A618C8" w14:textId="77777777" w:rsidR="003D5DB4" w:rsidRPr="000D0101" w:rsidRDefault="003D5DB4" w:rsidP="000A5389">
          <w:pPr>
            <w:spacing w:line="240" w:lineRule="auto"/>
          </w:pPr>
        </w:p>
        <w:p w14:paraId="1C118148" w14:textId="77777777" w:rsidR="003D5DB4" w:rsidRPr="000D0101" w:rsidRDefault="003D5DB4" w:rsidP="000A5389">
          <w:pPr>
            <w:spacing w:line="240" w:lineRule="auto"/>
          </w:pPr>
          <w:r w:rsidRPr="000D0101">
            <w:t>Derechos a recibir Activos especificados al final del acuerdo de concesión</w:t>
          </w:r>
        </w:p>
        <w:p w14:paraId="66996BB7" w14:textId="77777777" w:rsidR="003D5DB4" w:rsidRPr="000D0101" w:rsidRDefault="003D5DB4" w:rsidP="000A5389">
          <w:pPr>
            <w:spacing w:line="240" w:lineRule="auto"/>
          </w:pPr>
          <w:r w:rsidRPr="000D0101">
            <w:t xml:space="preserve">Descripción: </w:t>
          </w:r>
        </w:p>
        <w:p w14:paraId="26C62D0A" w14:textId="77777777" w:rsidR="003D5DB4" w:rsidRPr="000D0101" w:rsidRDefault="003D5DB4" w:rsidP="000A5389">
          <w:pPr>
            <w:spacing w:line="240" w:lineRule="auto"/>
          </w:pPr>
          <w:r w:rsidRPr="000D0101">
            <w:t xml:space="preserve">Observaciones: </w:t>
          </w:r>
        </w:p>
        <w:p w14:paraId="1BBA9F25" w14:textId="77777777" w:rsidR="003D5DB4" w:rsidRPr="000D0101" w:rsidRDefault="003D5DB4" w:rsidP="000A5389">
          <w:pPr>
            <w:spacing w:line="240" w:lineRule="auto"/>
          </w:pPr>
          <w:r w:rsidRPr="000D0101">
            <w:t>Las alternativas de renovación y cese del acuerdo</w:t>
          </w:r>
        </w:p>
        <w:p w14:paraId="64E0C3C4" w14:textId="77777777" w:rsidR="00A634DA" w:rsidRDefault="00A634DA" w:rsidP="000A5389">
          <w:pPr>
            <w:spacing w:line="240" w:lineRule="auto"/>
          </w:pPr>
        </w:p>
        <w:p w14:paraId="6177FEFE" w14:textId="1C362972" w:rsidR="003D5DB4" w:rsidRDefault="003D5DB4" w:rsidP="000A5389">
          <w:pPr>
            <w:spacing w:line="240" w:lineRule="auto"/>
          </w:pPr>
          <w:r w:rsidRPr="000D0101">
            <w:t>Descripción:</w:t>
          </w:r>
          <w:r w:rsidRPr="000D0101">
            <w:tab/>
            <w:t xml:space="preserve">Dentro de la obligación contractual que tiene el concesionario de devolver los activos en concesión una vez finalice el plazo del acuerdo de concesión, así como la naturaleza de tales activos y las condiciones en que deben ser devueltos, se hace mención de las siguientes clausulas: “CAPITULO XXIV REVERSION DE LA INFRAESTRUCTURA CONCESIONADA   CLAUSULA 127. OBLIGACION DE REVERSION. Al finalizar el término de la concesión, EL CONCESIONARIO revertirá a FERROVIAS la infraestructura concesionada y los demás bienes que se determinen como revertibles, sin lugar o derecho alguno a indemnización o compensación por este concepto. Se deberá tal reversión, igualmente, en el caso en que se produzca la terminación anticipada del contrato de concesión, por cualquiera de las causales previstas para tal efecto en el presente contrato.     CLAUSULA 128. INFRAESTRUCTURA REVERTIBLE. La infraestructura revertible está constituida por los siguientes bienes: 128.1. Los bienes que conforman la infraestructura que fue entregada en concesión, conforme a lo previsto la CLAUSULA 1 del presente contrato, y aquellos que los hayan reemplazado o sustituido; 128.2. Todos los equipos necesarios para </w:t>
          </w:r>
          <w:r w:rsidRPr="000D0101">
            <w:lastRenderedPageBreak/>
            <w:t xml:space="preserve">el desarrollo de las actividades que adelantó EL CONCESIONARIO para la conservación de la infraestructura; 128.3. Los sistemas de comunicación y demás instalaciones de seguridad; 128.4. Los equipos necesarios para el manejo de carga; y 128.5. Las adiciones y mejoras que EL CONCESIONARIO haya incorporado a la infraestructura entregada en concesión. Los bienes y particularmente el material rodante que EL CONCESIONARIO haya incorporado para .la prestación del servicio de transporte ferroviario, que no impliquen el reemplazo de bienes concesionados, son de propiedad de EL CONCESIONARIO y no deberán ser revertidos a FERROVIAS al término de la concesión.       CLAUSULA 129. PROCEDIMIENTO PARA LA REVERSIÓN El CONCESIONARIO, a la terminación del contrato, deberá hacer entrega de la infraestructura revertible a FERROVIAS o a quien esta disponga, en adecuadas condiciones de funcionamiento para la prestación del servicio de transporte férreo. Se entenderá que la infraestructura entregada en concesión se encuentra en adecuadas condiciones para la prestación del servicio de transporte férreo, siempre que cumpla con las especificaciones mínimas que tales bienes debieron mantener durante la concesión, de acuerdo con lo previsto en el presente contrato y en sus anexos.” (Cursiva fuera de texto). </w:t>
          </w:r>
        </w:p>
        <w:p w14:paraId="78F9A4DA" w14:textId="77777777" w:rsidR="00A634DA" w:rsidRPr="000D0101" w:rsidRDefault="00A634DA" w:rsidP="000A5389">
          <w:pPr>
            <w:spacing w:line="240" w:lineRule="auto"/>
          </w:pPr>
        </w:p>
        <w:p w14:paraId="537E4B16" w14:textId="77777777" w:rsidR="003D5DB4" w:rsidRPr="000D0101" w:rsidRDefault="003D5DB4" w:rsidP="000A5389">
          <w:pPr>
            <w:spacing w:line="240" w:lineRule="auto"/>
          </w:pPr>
          <w:r w:rsidRPr="000D0101">
            <w:t xml:space="preserve">“CLAUSULA 59. SUSTITUCION DE INFRAESTRUCTURA. Cuando FERROVIAS lo considere necesario para permitir la adecuada prestación  del servicio  de transporte de pasajeros, podrá sustituir los tramos de la infraestructura concesionada por otros que se integrarán a la concesión de infraestructura, consistentes en infraestructura alterna que permita una operación ferroviaria de iguales o mejores características que la existente  y  que facilite el adecuado desarrollo de la prestación del servicio ferroviario de  transporte  de carga por el cual debe responder EL CONCESIONARIO. Dicha infraestructura sustitutiva se integrará a la CONCESION, y tendrá que ser entregada por FERROVIAS al CONCESIONARIO, como condición para que éste ceda los tramos que se sustituirán. En este caso, no habrá lugar a indemnización alguna a cargo de FERROVIAS.” (Cursiva fuera de texto)Respecto a los activos del proyecto, correspondientes a bienes inmuebles y bienes muebles (propiedad, planta y equipo), se realizaron esta Interventoría realizó las valoraciones correspondientes, conforme a la metodología expuesta en el formato “gcsp-f-289_bienes_uso_publico_ppe_ferreo_RFA 2025”, a partir de las inspecciones realizadas en el corredor, en ejercicio de sus funciones de supervisión, así como de la información disponible remitida por el Concesionario,  a continuación se resumen las cifras obtenidas en la estimación por esta Interventoría para reportar en los registros contables para la vigencia 2025: </w:t>
          </w:r>
        </w:p>
        <w:p w14:paraId="3667BA89" w14:textId="77777777" w:rsidR="007559A9" w:rsidRDefault="007559A9" w:rsidP="000A5389">
          <w:pPr>
            <w:spacing w:line="240" w:lineRule="auto"/>
            <w:sectPr w:rsidR="007559A9" w:rsidSect="006556E0">
              <w:type w:val="continuous"/>
              <w:pgSz w:w="12240" w:h="15840"/>
              <w:pgMar w:top="2127" w:right="1701" w:bottom="1417" w:left="1701" w:header="708" w:footer="708" w:gutter="0"/>
              <w:cols w:space="708"/>
              <w:docGrid w:linePitch="360"/>
            </w:sectPr>
          </w:pPr>
        </w:p>
        <w:p w14:paraId="357777E6" w14:textId="77777777" w:rsidR="00A634DA" w:rsidRDefault="00A634DA" w:rsidP="000A5389">
          <w:pPr>
            <w:spacing w:line="240" w:lineRule="auto"/>
          </w:pPr>
        </w:p>
        <w:p w14:paraId="2F136BA7" w14:textId="4D1B9031" w:rsidR="003D5DB4" w:rsidRPr="000D0101" w:rsidRDefault="003D5DB4" w:rsidP="004C6FF3">
          <w:pPr>
            <w:spacing w:line="240" w:lineRule="auto"/>
            <w:jc w:val="center"/>
          </w:pPr>
          <w:r w:rsidRPr="000D0101">
            <w:t xml:space="preserve">CONCEPTO     </w:t>
          </w:r>
          <w:r w:rsidRPr="000D0101">
            <w:tab/>
          </w:r>
          <w:r w:rsidRPr="000D0101">
            <w:tab/>
            <w:t>VALOR ESTIMADO VIGENCIA</w:t>
          </w:r>
        </w:p>
        <w:p w14:paraId="1715A549" w14:textId="12C0040B" w:rsidR="003D5DB4" w:rsidRPr="000D0101" w:rsidRDefault="003D5DB4" w:rsidP="004C6FF3">
          <w:pPr>
            <w:spacing w:line="240" w:lineRule="auto"/>
            <w:jc w:val="center"/>
          </w:pPr>
          <w:r w:rsidRPr="000D0101">
            <w:t>Vía Férrea</w:t>
          </w:r>
          <w:r w:rsidRPr="000D0101">
            <w:tab/>
          </w:r>
          <w:r w:rsidRPr="000D0101">
            <w:tab/>
          </w:r>
          <w:r w:rsidRPr="000D0101">
            <w:tab/>
            <w:t xml:space="preserve"> $ 1.092.499.284.109</w:t>
          </w:r>
        </w:p>
        <w:p w14:paraId="34729D2A" w14:textId="6B67D99C" w:rsidR="003D5DB4" w:rsidRPr="000D0101" w:rsidRDefault="003D5DB4" w:rsidP="00742703">
          <w:pPr>
            <w:spacing w:line="240" w:lineRule="auto"/>
            <w:ind w:left="-567" w:right="-340"/>
            <w:jc w:val="center"/>
          </w:pPr>
          <w:r w:rsidRPr="000D0101">
            <w:t>Superestructura</w:t>
          </w:r>
          <w:r w:rsidRPr="000D0101">
            <w:tab/>
          </w:r>
          <w:r w:rsidRPr="000D0101">
            <w:tab/>
            <w:t xml:space="preserve"> $     511.428.894.681</w:t>
          </w:r>
        </w:p>
        <w:p w14:paraId="2C041E37" w14:textId="0A1417AF" w:rsidR="003D5DB4" w:rsidRPr="000D0101" w:rsidRDefault="003D5DB4" w:rsidP="00742703">
          <w:pPr>
            <w:spacing w:line="240" w:lineRule="auto"/>
            <w:ind w:left="-567" w:right="-340"/>
            <w:jc w:val="center"/>
          </w:pPr>
          <w:r w:rsidRPr="000D0101">
            <w:t>Infraestructura</w:t>
          </w:r>
          <w:r w:rsidRPr="000D0101">
            <w:tab/>
          </w:r>
          <w:r w:rsidRPr="000D0101">
            <w:tab/>
          </w:r>
          <w:r w:rsidRPr="000D0101">
            <w:tab/>
            <w:t xml:space="preserve"> $     581.070.389.428</w:t>
          </w:r>
        </w:p>
        <w:p w14:paraId="3507E22C" w14:textId="3FDD382A" w:rsidR="003D5DB4" w:rsidRPr="000D0101" w:rsidRDefault="003D5DB4" w:rsidP="00742703">
          <w:pPr>
            <w:spacing w:line="240" w:lineRule="auto"/>
            <w:ind w:left="-567" w:right="-340"/>
            <w:jc w:val="center"/>
          </w:pPr>
          <w:r w:rsidRPr="000D0101">
            <w:t>Propiedad Planta y Equipo</w:t>
          </w:r>
          <w:r w:rsidRPr="000D0101">
            <w:tab/>
            <w:t xml:space="preserve"> $       36.535.901.828</w:t>
          </w:r>
        </w:p>
        <w:p w14:paraId="0A7C82B0" w14:textId="57C7E724" w:rsidR="003D5DB4" w:rsidRPr="000D0101" w:rsidRDefault="003D5DB4" w:rsidP="00742703">
          <w:pPr>
            <w:spacing w:line="240" w:lineRule="auto"/>
            <w:ind w:left="-567" w:right="-340"/>
            <w:jc w:val="center"/>
          </w:pPr>
          <w:r w:rsidRPr="000D0101">
            <w:t xml:space="preserve">Bienes Inmuebles </w:t>
          </w:r>
          <w:r w:rsidRPr="000D0101">
            <w:tab/>
          </w:r>
          <w:r w:rsidRPr="000D0101">
            <w:tab/>
            <w:t xml:space="preserve"> $        8.983.748.080</w:t>
          </w:r>
        </w:p>
        <w:p w14:paraId="65AE3F1A" w14:textId="626F02B6" w:rsidR="003D5DB4" w:rsidRPr="000D0101" w:rsidRDefault="003D5DB4" w:rsidP="00742703">
          <w:pPr>
            <w:spacing w:line="240" w:lineRule="auto"/>
            <w:ind w:left="-567" w:right="-340"/>
            <w:jc w:val="center"/>
          </w:pPr>
          <w:r w:rsidRPr="000D0101">
            <w:t xml:space="preserve">Bienes Muebles </w:t>
          </w:r>
          <w:r w:rsidRPr="000D0101">
            <w:tab/>
          </w:r>
          <w:r w:rsidRPr="000D0101">
            <w:tab/>
            <w:t xml:space="preserve"> $        1.072.532.124</w:t>
          </w:r>
        </w:p>
        <w:p w14:paraId="68B7A5E1" w14:textId="394E60DE" w:rsidR="003D5DB4" w:rsidRPr="000D0101" w:rsidRDefault="003D5DB4" w:rsidP="00742703">
          <w:pPr>
            <w:spacing w:line="240" w:lineRule="auto"/>
            <w:ind w:left="-567" w:right="-340"/>
            <w:jc w:val="center"/>
          </w:pPr>
          <w:r w:rsidRPr="000D0101">
            <w:t xml:space="preserve">Material Rodante </w:t>
          </w:r>
          <w:r w:rsidRPr="000D0101">
            <w:tab/>
          </w:r>
          <w:r w:rsidRPr="000D0101">
            <w:tab/>
            <w:t xml:space="preserve"> $       12.584.114.792</w:t>
          </w:r>
        </w:p>
        <w:p w14:paraId="686395FB" w14:textId="4F47CCE0" w:rsidR="003D5DB4" w:rsidRPr="000D0101" w:rsidRDefault="003D5DB4" w:rsidP="00742703">
          <w:pPr>
            <w:spacing w:line="240" w:lineRule="auto"/>
            <w:ind w:left="-567" w:right="-340"/>
            <w:jc w:val="center"/>
          </w:pPr>
          <w:r w:rsidRPr="000D0101">
            <w:t>Equipo Operativo</w:t>
          </w:r>
          <w:r w:rsidRPr="000D0101">
            <w:tab/>
          </w:r>
          <w:r w:rsidRPr="000D0101">
            <w:tab/>
            <w:t xml:space="preserve"> $       13.895.506.833</w:t>
          </w:r>
        </w:p>
        <w:p w14:paraId="4F7DB7F1" w14:textId="108B80C6" w:rsidR="003D5DB4" w:rsidRPr="000D0101" w:rsidRDefault="003D5DB4" w:rsidP="00742703">
          <w:pPr>
            <w:spacing w:line="240" w:lineRule="auto"/>
            <w:ind w:left="-567" w:right="-340"/>
            <w:jc w:val="center"/>
          </w:pPr>
          <w:r w:rsidRPr="000D0101">
            <w:t>Intangibles</w:t>
          </w:r>
          <w:r w:rsidRPr="000D0101">
            <w:tab/>
            <w:t xml:space="preserve"> </w:t>
          </w:r>
          <w:r w:rsidRPr="000D0101">
            <w:tab/>
          </w:r>
          <w:r w:rsidRPr="000D0101">
            <w:tab/>
            <w:t xml:space="preserve"> $       78.755.655.745</w:t>
          </w:r>
        </w:p>
        <w:p w14:paraId="250678C3" w14:textId="52D7E5C6" w:rsidR="003D5DB4" w:rsidRPr="000D0101" w:rsidRDefault="003D5DB4" w:rsidP="00742703">
          <w:pPr>
            <w:spacing w:line="240" w:lineRule="auto"/>
            <w:ind w:left="-567" w:right="-340"/>
            <w:jc w:val="center"/>
          </w:pPr>
        </w:p>
        <w:p w14:paraId="04538D03" w14:textId="3F96BF76" w:rsidR="003D5DB4" w:rsidRPr="000D0101" w:rsidRDefault="003D5DB4" w:rsidP="00742703">
          <w:pPr>
            <w:spacing w:line="240" w:lineRule="auto"/>
            <w:ind w:left="-567" w:right="-340"/>
            <w:jc w:val="center"/>
          </w:pPr>
          <w:r w:rsidRPr="000D0101">
            <w:t>DEPRECIACIÓN ACUMULADA A DICIEMBRE DE 2025</w:t>
          </w:r>
        </w:p>
        <w:p w14:paraId="14555A19" w14:textId="153BE63D" w:rsidR="003D5DB4" w:rsidRPr="000D0101" w:rsidRDefault="003D5DB4" w:rsidP="00742703">
          <w:pPr>
            <w:spacing w:line="240" w:lineRule="auto"/>
            <w:ind w:left="-567" w:right="-340"/>
            <w:jc w:val="center"/>
          </w:pPr>
          <w:r w:rsidRPr="000D0101">
            <w:t>CONCEPTO</w:t>
          </w:r>
          <w:r w:rsidRPr="000D0101">
            <w:tab/>
            <w:t>DEPRECIACION ACUM. 2025</w:t>
          </w:r>
        </w:p>
        <w:p w14:paraId="296E38CA" w14:textId="35FC79DE" w:rsidR="003D5DB4" w:rsidRPr="000D0101" w:rsidRDefault="003D5DB4" w:rsidP="00742703">
          <w:pPr>
            <w:spacing w:line="240" w:lineRule="auto"/>
            <w:ind w:left="-567" w:right="-340"/>
            <w:jc w:val="center"/>
          </w:pPr>
          <w:r w:rsidRPr="000D0101">
            <w:lastRenderedPageBreak/>
            <w:t>Vía Férrea</w:t>
          </w:r>
          <w:r w:rsidRPr="000D0101">
            <w:tab/>
          </w:r>
          <w:r w:rsidRPr="000D0101">
            <w:tab/>
          </w:r>
          <w:r w:rsidRPr="000D0101">
            <w:tab/>
            <w:t xml:space="preserve"> $      94.056.095.775</w:t>
          </w:r>
        </w:p>
        <w:p w14:paraId="048570B5" w14:textId="31DC0CF8" w:rsidR="003D5DB4" w:rsidRPr="000D0101" w:rsidRDefault="003D5DB4" w:rsidP="00742703">
          <w:pPr>
            <w:spacing w:line="240" w:lineRule="auto"/>
            <w:ind w:left="-567" w:right="-340"/>
            <w:jc w:val="center"/>
          </w:pPr>
          <w:r w:rsidRPr="000D0101">
            <w:t xml:space="preserve">Superestructura      </w:t>
          </w:r>
          <w:r w:rsidRPr="000D0101">
            <w:tab/>
          </w:r>
          <w:r w:rsidRPr="000D0101">
            <w:tab/>
            <w:t xml:space="preserve"> $      44.030.239.470</w:t>
          </w:r>
        </w:p>
        <w:p w14:paraId="0E4182A2" w14:textId="61EA5F55" w:rsidR="003D5DB4" w:rsidRPr="000D0101" w:rsidRDefault="003D5DB4" w:rsidP="00742703">
          <w:pPr>
            <w:spacing w:line="240" w:lineRule="auto"/>
            <w:ind w:left="-567" w:right="-340"/>
            <w:jc w:val="center"/>
          </w:pPr>
          <w:r w:rsidRPr="000D0101">
            <w:t>Infraestructura</w:t>
          </w:r>
          <w:r w:rsidRPr="000D0101">
            <w:tab/>
          </w:r>
          <w:r w:rsidRPr="000D0101">
            <w:tab/>
          </w:r>
          <w:r w:rsidRPr="000D0101">
            <w:tab/>
            <w:t xml:space="preserve"> $      50.025.856.305</w:t>
          </w:r>
        </w:p>
        <w:p w14:paraId="023D4125" w14:textId="0BCB0368" w:rsidR="003D5DB4" w:rsidRPr="000D0101" w:rsidRDefault="003D5DB4" w:rsidP="00742703">
          <w:pPr>
            <w:spacing w:line="240" w:lineRule="auto"/>
            <w:ind w:left="-567" w:right="-340"/>
            <w:jc w:val="center"/>
          </w:pPr>
          <w:r w:rsidRPr="000D0101">
            <w:t>Propiedad Planta y Equipo</w:t>
          </w:r>
          <w:r w:rsidRPr="000D0101">
            <w:tab/>
            <w:t xml:space="preserve"> $        3.145.470.511</w:t>
          </w:r>
        </w:p>
        <w:p w14:paraId="02F8D614" w14:textId="14C20913" w:rsidR="003D5DB4" w:rsidRPr="000D0101" w:rsidRDefault="003D5DB4" w:rsidP="00742703">
          <w:pPr>
            <w:spacing w:line="240" w:lineRule="auto"/>
            <w:ind w:left="-567" w:right="-340"/>
            <w:jc w:val="center"/>
          </w:pPr>
          <w:r w:rsidRPr="000D0101">
            <w:t xml:space="preserve">Bienes Inmuebles                </w:t>
          </w:r>
          <w:r w:rsidRPr="000D0101">
            <w:tab/>
            <w:t xml:space="preserve"> $        </w:t>
          </w:r>
          <w:r w:rsidR="005059CF">
            <w:t xml:space="preserve"> </w:t>
          </w:r>
          <w:r w:rsidRPr="000D0101">
            <w:t xml:space="preserve">  773.434.163</w:t>
          </w:r>
        </w:p>
        <w:p w14:paraId="1F396223" w14:textId="4F92DDE8" w:rsidR="003D5DB4" w:rsidRPr="000D0101" w:rsidRDefault="003D5DB4" w:rsidP="00742703">
          <w:pPr>
            <w:spacing w:line="240" w:lineRule="auto"/>
            <w:ind w:left="-567" w:right="-340"/>
            <w:jc w:val="center"/>
          </w:pPr>
          <w:r w:rsidRPr="000D0101">
            <w:t>Bienes Muebles              $    92.337.071</w:t>
          </w:r>
        </w:p>
        <w:p w14:paraId="77768AE9" w14:textId="1F79E58E" w:rsidR="003D5DB4" w:rsidRPr="000D0101" w:rsidRDefault="003D5DB4" w:rsidP="00742703">
          <w:pPr>
            <w:spacing w:line="240" w:lineRule="auto"/>
            <w:ind w:left="-567" w:right="-340"/>
            <w:jc w:val="center"/>
          </w:pPr>
          <w:r w:rsidRPr="000D0101">
            <w:t>Material Rodante</w:t>
          </w:r>
          <w:r w:rsidRPr="000D0101">
            <w:tab/>
          </w:r>
          <w:r w:rsidRPr="000D0101">
            <w:tab/>
            <w:t xml:space="preserve"> $        1.083.399.068</w:t>
          </w:r>
        </w:p>
        <w:p w14:paraId="19BBF9AB" w14:textId="22683CFF" w:rsidR="003D5DB4" w:rsidRPr="000D0101" w:rsidRDefault="003D5DB4" w:rsidP="00742703">
          <w:pPr>
            <w:spacing w:line="240" w:lineRule="auto"/>
            <w:ind w:left="-567" w:right="-340"/>
            <w:jc w:val="center"/>
          </w:pPr>
          <w:r w:rsidRPr="000D0101">
            <w:t>Equipo Operativo</w:t>
          </w:r>
          <w:r w:rsidRPr="000D0101">
            <w:tab/>
            <w:t xml:space="preserve"> </w:t>
          </w:r>
          <w:r w:rsidRPr="000D0101">
            <w:tab/>
            <w:t xml:space="preserve"> $        1.196.300.209</w:t>
          </w:r>
        </w:p>
        <w:p w14:paraId="446BF170" w14:textId="77777777" w:rsidR="007559A9" w:rsidRDefault="003D5DB4" w:rsidP="00742703">
          <w:pPr>
            <w:spacing w:line="240" w:lineRule="auto"/>
            <w:ind w:left="-567" w:right="-340"/>
            <w:jc w:val="center"/>
            <w:sectPr w:rsidR="007559A9" w:rsidSect="007559A9">
              <w:type w:val="continuous"/>
              <w:pgSz w:w="12240" w:h="15840"/>
              <w:pgMar w:top="2127" w:right="1701" w:bottom="1417" w:left="1701" w:header="708" w:footer="708" w:gutter="0"/>
              <w:cols w:num="2" w:space="708"/>
              <w:docGrid w:linePitch="360"/>
            </w:sectPr>
          </w:pPr>
          <w:r w:rsidRPr="000D0101">
            <w:t>Intangibles                               $      76.870.107.805</w:t>
          </w:r>
        </w:p>
        <w:p w14:paraId="5B65D3AF" w14:textId="1186466C" w:rsidR="003D5DB4" w:rsidRPr="000D0101" w:rsidRDefault="003D5DB4" w:rsidP="00742703">
          <w:pPr>
            <w:spacing w:line="240" w:lineRule="auto"/>
            <w:ind w:left="-567" w:right="-340"/>
            <w:jc w:val="center"/>
          </w:pPr>
        </w:p>
        <w:p w14:paraId="6C76D41C" w14:textId="77777777" w:rsidR="003D5DB4" w:rsidRPr="000D0101" w:rsidRDefault="003D5DB4" w:rsidP="005059CF">
          <w:pPr>
            <w:spacing w:line="240" w:lineRule="auto"/>
          </w:pPr>
        </w:p>
        <w:p w14:paraId="25B439D3" w14:textId="77777777" w:rsidR="003D5DB4" w:rsidRDefault="003D5DB4" w:rsidP="000A5389">
          <w:pPr>
            <w:spacing w:line="240" w:lineRule="auto"/>
          </w:pPr>
          <w:r w:rsidRPr="000D0101">
            <w:t>(*) Nota Aclaratoria Fenoco S.A. Fenoco S.A. aclara que no ha intervenido en la metodología utilizada para la valoración de los activos de la Nación, pues es una labor que históricamente ha venido adelantando la interventoría. En relación con este formato GCSP-F- 288 y el formato GCSP-F- 289 Fenoco S.A. aclara que de las cifras incluidas, Fenoco solamente conoce y da constancia respecto de las cifras contenidas en los Estados Financieros y sus revelaciones, estas son: i) COP $477.371 millones reportadas como Inversión de la Infraestructura en el Formato GCSP -F-010 (INFORME DE INVERSIÓN CAPITAL PRIVADO - MODO FÉRREO - SEMESTRAL con corte a 31 de diciembre de 2025, la cual incluye el valor invertido en el sistema ITCS; ii) COP $24.614 millones que corresponden a los bienes recibidos en concesión identificados en los listados de inventarios "EM-H-C-P" y que hacen parte de los bienes del informe de inventarios concesionados que se auditan anualmente y que se reporta a la ANI en mayo de cada año. Según las indicaciones del test de deterioro ANGE, no se incluirán los COP $2.938 millones, que corresponden a los bienes que se encuentran en proceso de baja.</w:t>
          </w:r>
        </w:p>
        <w:p w14:paraId="5AEE7791" w14:textId="77777777" w:rsidR="005059CF" w:rsidRPr="000D0101" w:rsidRDefault="005059CF" w:rsidP="000A5389">
          <w:pPr>
            <w:spacing w:line="240" w:lineRule="auto"/>
          </w:pPr>
        </w:p>
        <w:p w14:paraId="0E1B0CAD" w14:textId="77777777" w:rsidR="003D5DB4" w:rsidRPr="000D0101" w:rsidRDefault="003D5DB4" w:rsidP="000A5389">
          <w:pPr>
            <w:spacing w:line="240" w:lineRule="auto"/>
          </w:pPr>
          <w:r w:rsidRPr="000D0101">
            <w:t xml:space="preserve">Observaciones: LAS ALTERNATIVAS DE RENOVACIÓN Y CESE DEL ACUERDO                                                                                                                Los términos contractuales con relación a los plazos de ejecución, extensión o terminación de manera anticipada del acuerdo de concesión son: “CAPITULO II – PLAZO DE LA CONCESIÓNCLAUSULA 5. PLAZO DE LA CONCESIÓN.  El plazo o término del presente contrato de concesión será de TREINTA (30) AÑOS, el cual se empezará a contar a partir de la fecha de suscripción del acta de iniciación de la concesión. Para todos los efectos legales. y en especial para la interpretación de las estipulaciones contractuales en las cuales se haga referencia a un determinado número de años de la concesión, se entenderá por "año de concesión" el periodo anual de doce meses corridos y subsiguientes, contados a partir de la fecha de suscripción del acta de iniciación de la concesión.                                                               </w:t>
          </w:r>
        </w:p>
        <w:p w14:paraId="7BE7CC35" w14:textId="77777777" w:rsidR="00A634DA" w:rsidRDefault="00A634DA" w:rsidP="000A5389">
          <w:pPr>
            <w:spacing w:line="240" w:lineRule="auto"/>
          </w:pPr>
        </w:p>
        <w:p w14:paraId="3EC20517" w14:textId="2FF24257" w:rsidR="003D5DB4" w:rsidRPr="000D0101" w:rsidRDefault="003D5DB4" w:rsidP="000A5389">
          <w:pPr>
            <w:spacing w:line="240" w:lineRule="auto"/>
          </w:pPr>
          <w:r w:rsidRPr="000D0101">
            <w:t xml:space="preserve">CLAUSULA 6. ACTA DE INICIACIÓN DE LA CONCESIÓN. El acta de iniciación de la concesión es el acto bilateral que da comienzo al transcurso del plazo del contrato, sin perjuicio de la plena vigencia jurídica que el contrato adquiere con sola la firma de las partes. El acta de iniciación de la concesión deberá ser suscrita por los contratantes dentro de los tres (3) meses subsiguientes a la firma del presente contrato. Como condición necesaria para la suscripción del acta de iniciación de la concesión, el CONCESIONARIO deberá aportar a FERROVIAS, dentro de los primeros diez (10) días hábiles siguientes, salvo lo previsto en el numeral 6.4. que deberá aportarse en los términos indicados en la cláusula 84, contados a partir de la firma del presente contrato, los siguientes documentos: 6.1 El original de los contratos de asistencia técnica debidamente suscritos por el concesionario y el asistente técnico respectivo. Los contratos de asistencia técnica deberán estar amparados por una </w:t>
          </w:r>
          <w:r w:rsidRPr="000D0101">
            <w:lastRenderedPageBreak/>
            <w:t xml:space="preserve">garantía de cumplimiento expedida en los términos y condiciones previstos en la cláusula 3.19. de los pliegos de condiciones y en el numeral V del adendo No. 5. 6.2 El original del contrato de fiducia para la administración de los aportes de FERROVIAS, debidamente suscrito entre el fideicomitente y la fiduciaria.6.3 La constancia de cancelación de los derechos de publicación en el Diario Único de Contratación Pública, según lo establecido en el artículo 59 de la ley 190 de 1995.6.4 La garantía única y de estabilidad de obra debidamente constituidas.6.5 El nombramiento del conciliador del contrato por parte de la Cámara de Comercio de Bogotá. Una vez allegados los documentos referidos, FERROVIAS evaluará que los mismos cumplan con los requisitos previstos en el pliego de condiciones, y en un término máximo de diez (10) días hábiles le comunicará a EL CONCESIONARIO por escrito su conformidad con los documentos mencionados, y le señalará la fecha, hora y sitio en los que se llevará a cabo la suscripción del acta de iniciación del contrato de concesión. En dicha acta se dejará constancia del cumplimiento de la totalidad de los requisitos previstos para la suscripción del contrato de concesión, declarará en consecuencia el inicio del contrato en mención, y hará entrega a cada una de las partes de un ejemplar original del acta debidamente suscrita por ambas partes.”                                                                                                  </w:t>
          </w:r>
        </w:p>
        <w:p w14:paraId="4470A18C" w14:textId="77777777" w:rsidR="00A634DA" w:rsidRDefault="00A634DA" w:rsidP="000A5389">
          <w:pPr>
            <w:spacing w:line="240" w:lineRule="auto"/>
          </w:pPr>
        </w:p>
        <w:p w14:paraId="344A1EB2" w14:textId="4540079B" w:rsidR="003D5DB4" w:rsidRPr="000D0101" w:rsidRDefault="003D5DB4" w:rsidP="000A5389">
          <w:pPr>
            <w:spacing w:line="240" w:lineRule="auto"/>
          </w:pPr>
          <w:r w:rsidRPr="000D0101">
            <w:t xml:space="preserve">CLÁUSULA 7. EXTENSIÓN DEL PLAZO DE LA CONCESIÓN El plazo del contrato de concesión podrá extenderse en la medida en que se presenten situaciones que alteren de manera relevante las condiciones de ejecución del contrato, de forma que sea necesaria tal extensión para la preservación de la ecuación contractual, en los términos previstos en el artículo 27 de la Ley 80 de 1993. Sin embargo, no constituirán causales de extensión del plazo del contrato las alteraciones, retrasos o sobrecostos del plan de obras de rehabilitación - reconstrucción, salvo que dichas circunstancias sean directa y exclusivamente imputables a la mora de FERROVIAS en la realización del depósito fiduciario de los recursos que le corresponde aportar según lo previsto en el numeral 3.11.2 del pliego de condiciones, o en el incumplimiento por parte de FERROVIAS de cualquiera de sus obligaciones cuando con ello se afecte substancialmente el equilibrio económico del contrato. Tampoco serán causales de extensión del plazo, aquellas que constituyan contingencias propias del negocio ferroviario. </w:t>
          </w:r>
        </w:p>
        <w:p w14:paraId="1A885641" w14:textId="77777777" w:rsidR="003D5DB4" w:rsidRDefault="003D5DB4" w:rsidP="000A5389">
          <w:pPr>
            <w:spacing w:line="240" w:lineRule="auto"/>
          </w:pPr>
          <w:r w:rsidRPr="000D0101">
            <w:t xml:space="preserve">CLÁUSULA 8. PROCEDIMIENTO PARA LA EXTENSIÓN DEL PLAZO. Cuando sucedan eventos que en criterio de EL CONCESIONARIO y de acuerdo a lo establecido en el pliego de condiciones, puedan ajustarse a los presupuestos previstos para la extensión del plazo del contrato, se seguirá el siguiente procedimiento: 8.1. EL CONCESIONARIO solicitará por escrito a FERROVIAS la extensión del plazo, exponiendo las situaciones que en su criterio constituyen causal para la extensión, demostrando la alteración del equilibrio contractual, y señalando el plazo de extensión que en su criterio restablecería el equilibrio contractual, consignando la justificación técnica que lo demuestre. 8.2. FERROVIAS tendrá un término de dos (2) meses para evaluar la solicitud de EL CONCESIONARIO, dentro del cual, si la encuentra viable, comunicará por escrito su aceptación, señalando la fecha, hora y lugar en el que se suscribirá la adición al contrato.8.3. Si FERROVIAS no encuentra aceptable la solicitud de EL CONCESIONARIO, deberá manifestarlo así mediante escrito· en el que comunique su posición, debidamente motivado. En este caso, EL CONCESIONARIO podrá acudir a los mecanismos para la solución de conflictos previstos en el presente contrato con el propósito de llegar a una definición. 8.4. Si FERROVIAS no </w:t>
          </w:r>
          <w:r w:rsidRPr="000D0101">
            <w:lastRenderedPageBreak/>
            <w:t xml:space="preserve">da respuesta a la solicitud de EL CONCESIONARIO dentro del término dispuesto para el efecto· en· la presente cláusula, se entenderá que acepta la solicitud de EL CONCESIONARIO en los términos en que éste ha hecho su solicitud, y por lo tanto se encontrará obligado a suscribir la correspondiente adición al contrato dentro de los cinco (5) días siguientes al vencimiento del plazo aquí previsto para absolver la solicitud de EL CONCESIONARIO.” (Cursiva fuera de texto) “CAPÍTULO XX - CESIÓN DE LA CONCESIÓN, SUBCONTRATOS Y CESIÓN DE CONTRATOS QUE AFECTAN LA CONCESIÓN CLAUSULA 108. CESIÓN DE LA CONCESIÓN Toda cesión total o parcial del contrato por parte de EL CONCESIONARIO requerirá aprobación previa de FERROVIAS.FERROVIAS se encontrará obligado a impartir tal autorización, sin más condiciones, cuando el cesionario acredite la experiencia y capacidad financiera que se requirió a los PROPONENTES en los términos de referencia de la licitación que dio origen al presente contrato y que el cesionario acepte de manera expresa ante FERROVIAS las responsabilidades que  se derivan de su calidad de integrante de la sociedad concesionaria, en los términos y con el alcance previstos en el presente pliego de condiciones, y suscriba el documento de cesión correspondiente donde expresamente se consagre  que su responsabilidad es solidaria, siempre y cuando se encuentre a partir de la constitución de la sociedad, durante el período de la rehabilitación y un año más y que el cedente manifieste expresamente en el documento de cesión su responsabilidad solidaria en dicho término. CAPITULO XXII - TERMINACIÓN DEL CONTRATO CLAUSULA 115. CAUSALES DE TERMINACIÓN  </w:t>
          </w:r>
        </w:p>
        <w:p w14:paraId="3CB69B5C" w14:textId="77777777" w:rsidR="00986D75" w:rsidRPr="000D0101" w:rsidRDefault="00986D75" w:rsidP="000A5389">
          <w:pPr>
            <w:spacing w:line="240" w:lineRule="auto"/>
          </w:pPr>
        </w:p>
        <w:p w14:paraId="7B61A8F1" w14:textId="77777777" w:rsidR="003D5DB4" w:rsidRPr="000D0101" w:rsidRDefault="003D5DB4" w:rsidP="000A5389">
          <w:pPr>
            <w:spacing w:line="240" w:lineRule="auto"/>
          </w:pPr>
          <w:r w:rsidRPr="000D0101">
            <w:t>El contrato de concesión terminará de manera ordinaria por el vencimiento del plazo previsto en la CLAUSULA 5 del presente contrato, y de manera extraordinaria en cualquiera de los siguientes eventos:115.1.A solicitud de cualquiera de las partes, por causa del incumplimiento grave que impida la ejecución del contrato por culpa imputable a la contraparte;115.2.Por el acaecimiento de circunstancias de fuerza mayor, caso fortuito o hechos de un tercero que hagan imposible la ejecución del contrato para cualquiera de las partes.115.3.</w:t>
          </w:r>
          <w:r w:rsidRPr="000D0101">
            <w:tab/>
            <w:t>Por mutuo acuerdo entre las partes.115.4. En el periodo del año 2025 no se realizaron modificaciones contractuales al contrato O ATLA 00 99 Por presentarse la caducidad del contrato en los términos del artículo 18 de la ley 80 de 1993.115.5 Por declararse la terminación unilateral del contrato en los términos del artículo 17 de la ley 80 de 1993.Y siguientes: CLAUSULA 116. TERMINACION ANTICIPADA DEL CONTRATO POR CAUSA IMPUTABLE AFERROVIAS, CLAUSULA 117. TERMINACION ANTICIPADA DEL CONTRATO POR CAUSA IMPUTABLE AL CONCESIONARIO, CLAUSULA 118. RESTABLECIMIENTO DEL INCUMPLIMIENTO, CLAUSULA 119. TERMINACION ANTICIPADA DEL CONTRATO POR FUERZA MAYOR O CASO FORTUITO, CLAUSULA 120. TERMINACION ANTICIPADA DEL CONTRATO POR MUTUO ACUERDO ENTRE LAS PARTES, CLAUSULA 121.  PROCEDIMIENTO PARA LA TERMINACIÓN ANTICIPADA DEL CONTRATO DE CONCESIÓN y CLAUSULA 122. CONTINUIDAD DEL SERVICIO.</w:t>
          </w:r>
        </w:p>
        <w:p w14:paraId="6C9B21A1" w14:textId="77777777" w:rsidR="003D5DB4" w:rsidRPr="000D0101" w:rsidRDefault="003D5DB4" w:rsidP="000A5389">
          <w:pPr>
            <w:spacing w:line="240" w:lineRule="auto"/>
          </w:pPr>
        </w:p>
        <w:p w14:paraId="166615E7" w14:textId="77777777" w:rsidR="003D5DB4" w:rsidRPr="000D0101" w:rsidRDefault="003D5DB4" w:rsidP="000A5389">
          <w:pPr>
            <w:spacing w:line="240" w:lineRule="auto"/>
          </w:pPr>
          <w:r w:rsidRPr="000D0101">
            <w:t>Cambios en el acuerdo de concesión que se realicen durante el periodo fiscal</w:t>
          </w:r>
        </w:p>
        <w:p w14:paraId="6562EE7F" w14:textId="77777777" w:rsidR="003D5DB4" w:rsidRPr="000D0101" w:rsidRDefault="003D5DB4" w:rsidP="000A5389">
          <w:pPr>
            <w:spacing w:line="240" w:lineRule="auto"/>
          </w:pPr>
          <w:r w:rsidRPr="000D0101">
            <w:t>Adiciones o modificaciones en tiempo</w:t>
          </w:r>
        </w:p>
        <w:p w14:paraId="1F646517" w14:textId="77777777" w:rsidR="003D5DB4" w:rsidRPr="000D0101" w:rsidRDefault="003D5DB4" w:rsidP="000A5389">
          <w:pPr>
            <w:spacing w:line="240" w:lineRule="auto"/>
          </w:pPr>
          <w:r w:rsidRPr="000D0101">
            <w:lastRenderedPageBreak/>
            <w:t xml:space="preserve">Fechas de las adiciones o modificaciones: </w:t>
          </w:r>
        </w:p>
        <w:p w14:paraId="6986ECDC" w14:textId="77777777" w:rsidR="003D5DB4" w:rsidRPr="000D0101" w:rsidRDefault="003D5DB4" w:rsidP="000A5389">
          <w:pPr>
            <w:spacing w:line="240" w:lineRule="auto"/>
          </w:pPr>
          <w:r w:rsidRPr="000D0101">
            <w:t xml:space="preserve">Nueva Fecha de finalización estimada: </w:t>
          </w:r>
        </w:p>
        <w:p w14:paraId="78399507" w14:textId="77777777" w:rsidR="003D5DB4" w:rsidRPr="000D0101" w:rsidRDefault="003D5DB4" w:rsidP="000A5389">
          <w:pPr>
            <w:spacing w:line="240" w:lineRule="auto"/>
          </w:pPr>
          <w:r w:rsidRPr="000D0101">
            <w:t>Observaciones: En el periodo del año 2025 no se realizaron modificaciones contractuales al contrato O ATLA 00 99</w:t>
          </w:r>
        </w:p>
        <w:p w14:paraId="541716F7" w14:textId="77777777" w:rsidR="003D5DB4" w:rsidRPr="000D0101" w:rsidRDefault="003D5DB4" w:rsidP="000A5389">
          <w:pPr>
            <w:spacing w:line="240" w:lineRule="auto"/>
          </w:pPr>
        </w:p>
        <w:p w14:paraId="14D8F174" w14:textId="77777777" w:rsidR="003D5DB4" w:rsidRPr="000D0101" w:rsidRDefault="003D5DB4" w:rsidP="000A5389">
          <w:pPr>
            <w:spacing w:line="240" w:lineRule="auto"/>
          </w:pPr>
          <w:r w:rsidRPr="000D0101">
            <w:t>Adiciones o modificaciones en valor</w:t>
          </w:r>
        </w:p>
        <w:p w14:paraId="61B39BF2" w14:textId="77777777" w:rsidR="003D5DB4" w:rsidRPr="000D0101" w:rsidRDefault="003D5DB4" w:rsidP="000A5389">
          <w:pPr>
            <w:spacing w:line="240" w:lineRule="auto"/>
          </w:pPr>
          <w:r w:rsidRPr="000D0101">
            <w:t>Valor de la adición o modificación: No Aplica</w:t>
          </w:r>
        </w:p>
        <w:p w14:paraId="42728495" w14:textId="77777777" w:rsidR="003D5DB4" w:rsidRPr="000D0101" w:rsidRDefault="003D5DB4" w:rsidP="000A5389">
          <w:pPr>
            <w:spacing w:line="240" w:lineRule="auto"/>
          </w:pPr>
          <w:r w:rsidRPr="000D0101">
            <w:t>Nuevo valor del acuerdo: No Aplica</w:t>
          </w:r>
        </w:p>
        <w:p w14:paraId="3E5510A9" w14:textId="77777777" w:rsidR="003D5DB4" w:rsidRDefault="003D5DB4" w:rsidP="000A5389">
          <w:pPr>
            <w:spacing w:line="240" w:lineRule="auto"/>
          </w:pPr>
          <w:r w:rsidRPr="000D0101">
            <w:t>Observaciones: En el periodo del año 2025 no se realizaron modificaciones contractuales al contrato O ATLA 00 99.</w:t>
          </w:r>
        </w:p>
        <w:p w14:paraId="0C19C0F9" w14:textId="77777777" w:rsidR="00567B2B" w:rsidRPr="000D0101" w:rsidRDefault="00567B2B" w:rsidP="000A5389">
          <w:pPr>
            <w:spacing w:line="240" w:lineRule="auto"/>
          </w:pPr>
        </w:p>
        <w:p w14:paraId="606CF6A3" w14:textId="77777777" w:rsidR="003D5DB4" w:rsidRPr="000D0101" w:rsidRDefault="003D5DB4" w:rsidP="000A5389">
          <w:pPr>
            <w:spacing w:line="240" w:lineRule="auto"/>
          </w:pPr>
        </w:p>
        <w:p w14:paraId="4F3EC3D9" w14:textId="77777777" w:rsidR="003D5DB4" w:rsidRPr="00986D75" w:rsidRDefault="003D5DB4" w:rsidP="000A5389">
          <w:pPr>
            <w:spacing w:line="240" w:lineRule="auto"/>
            <w:rPr>
              <w:i/>
              <w:iCs/>
            </w:rPr>
          </w:pPr>
          <w:r w:rsidRPr="00986D75">
            <w:rPr>
              <w:i/>
              <w:iCs/>
            </w:rPr>
            <w:t>RED FERREA DEL PACIFICO</w:t>
          </w:r>
        </w:p>
        <w:p w14:paraId="5D6756B6" w14:textId="77777777" w:rsidR="00986D75" w:rsidRDefault="00986D75" w:rsidP="000A5389">
          <w:pPr>
            <w:spacing w:line="240" w:lineRule="auto"/>
          </w:pPr>
        </w:p>
        <w:p w14:paraId="445D7BEE" w14:textId="6A9E3649" w:rsidR="003D5DB4" w:rsidRPr="000D0101" w:rsidRDefault="003D5DB4" w:rsidP="000A5389">
          <w:pPr>
            <w:spacing w:line="240" w:lineRule="auto"/>
          </w:pPr>
          <w:r w:rsidRPr="000D0101">
            <w:t>Descripción del Acuerdo</w:t>
          </w:r>
        </w:p>
        <w:p w14:paraId="51682836" w14:textId="77777777" w:rsidR="003D5DB4" w:rsidRPr="000D0101" w:rsidRDefault="003D5DB4" w:rsidP="000A5389">
          <w:pPr>
            <w:spacing w:line="240" w:lineRule="auto"/>
          </w:pPr>
          <w:r w:rsidRPr="000D0101">
            <w:t>Número del Acuerdo de concesión:  09-CONP-98</w:t>
          </w:r>
        </w:p>
        <w:p w14:paraId="23DB75C9" w14:textId="77777777" w:rsidR="003D5DB4" w:rsidRPr="000D0101" w:rsidRDefault="003D5DB4" w:rsidP="000A5389">
          <w:pPr>
            <w:spacing w:line="240" w:lineRule="auto"/>
          </w:pPr>
          <w:r w:rsidRPr="000D0101">
            <w:t>Objeto / Descripción: Otorgar en CONCESIÓN la infraestructura de transporte férreo que forma parte de la red Pacífica. según determinación que de la misma se hace en el numeral 3.2 del Pliego de Condiciones. para su rehabilitación, conservación. operación y explotación por parte del CONCESIONARIO, infraestructura que se detalla en el ANEXO 7 del pliego de condiciones de la Licitación Pública No. 001-98. y que incluye las siguientes líneas: Buenaventura (PK 0) - Cali (PK); Cali (PK) - La Felisa (PK 459); Zarzal (PK 304)- La Tebaida (PK 343).</w:t>
          </w:r>
        </w:p>
        <w:p w14:paraId="35427584" w14:textId="77777777" w:rsidR="003D5DB4" w:rsidRPr="000D0101" w:rsidRDefault="003D5DB4" w:rsidP="000A5389">
          <w:pPr>
            <w:spacing w:line="240" w:lineRule="auto"/>
          </w:pPr>
          <w:r w:rsidRPr="000D0101">
            <w:t>Valor inicial:</w:t>
          </w:r>
          <w:r w:rsidRPr="000D0101">
            <w:tab/>
          </w:r>
          <w:sdt>
            <w:sdtPr>
              <w:id w:val="-1275629247"/>
              <w:placeholder>
                <w:docPart w:val="FBAD81B007544948834B6238F374F38D"/>
              </w:placeholder>
              <w:text/>
            </w:sdtPr>
            <w:sdtContent>
              <w:r w:rsidRPr="000D0101">
                <w:t>Indeterminado según la Cláusula No. 141 del contrato de concesión</w:t>
              </w:r>
            </w:sdtContent>
          </w:sdt>
        </w:p>
        <w:p w14:paraId="51A30618" w14:textId="77777777" w:rsidR="003D5DB4" w:rsidRPr="000D0101" w:rsidRDefault="003D5DB4" w:rsidP="000A5389">
          <w:pPr>
            <w:spacing w:line="240" w:lineRule="auto"/>
          </w:pPr>
          <w:r w:rsidRPr="000D0101">
            <w:t xml:space="preserve">Fecha de inicio: </w:t>
          </w:r>
          <w:sdt>
            <w:sdtPr>
              <w:id w:val="813994005"/>
              <w:placeholder>
                <w:docPart w:val="23DF008662E7412A916D3ED40323CD8C"/>
              </w:placeholder>
              <w:date>
                <w:dateFormat w:val="d/MM/yyyy"/>
                <w:lid w:val="es-CO"/>
                <w:storeMappedDataAs w:val="dateTime"/>
                <w:calendar w:val="gregorian"/>
              </w:date>
            </w:sdtPr>
            <w:sdtContent>
              <w:r w:rsidRPr="000D0101">
                <w:t>14 de marzo de 2000</w:t>
              </w:r>
            </w:sdtContent>
          </w:sdt>
        </w:p>
        <w:p w14:paraId="762DA8F2" w14:textId="77777777" w:rsidR="003D5DB4" w:rsidRPr="000D0101" w:rsidRDefault="003D5DB4" w:rsidP="000A5389">
          <w:pPr>
            <w:spacing w:line="240" w:lineRule="auto"/>
          </w:pPr>
          <w:r w:rsidRPr="000D0101">
            <w:t>Fecha de finalización estimada: Finalizó con la resolución 1685 del 12 de noviembre de 2019, la cual declaró la caducidad del contrato.</w:t>
          </w:r>
        </w:p>
        <w:p w14:paraId="50B75123" w14:textId="77777777" w:rsidR="003D5DB4" w:rsidRPr="000D0101" w:rsidRDefault="003D5DB4" w:rsidP="000A5389">
          <w:pPr>
            <w:spacing w:line="240" w:lineRule="auto"/>
          </w:pPr>
          <w:r w:rsidRPr="000D0101">
            <w:t>Tipo ID: NIT</w:t>
          </w:r>
        </w:p>
        <w:p w14:paraId="23B0840F" w14:textId="77777777" w:rsidR="003D5DB4" w:rsidRPr="000D0101" w:rsidRDefault="003D5DB4" w:rsidP="000A5389">
          <w:pPr>
            <w:spacing w:line="240" w:lineRule="auto"/>
          </w:pPr>
          <w:r w:rsidRPr="000D0101">
            <w:t>Número ID: 900.225.133</w:t>
          </w:r>
        </w:p>
        <w:p w14:paraId="45C6ECD8" w14:textId="77777777" w:rsidR="003D5DB4" w:rsidRPr="000D0101" w:rsidRDefault="003D5DB4" w:rsidP="000A5389">
          <w:pPr>
            <w:spacing w:line="240" w:lineRule="auto"/>
          </w:pPr>
          <w:r w:rsidRPr="000D0101">
            <w:t>Razón social del concesionario: FERROCARRIL DEL PACIFICO S.A.S. - EN LIQUIDACION JUDICIAL</w:t>
          </w:r>
        </w:p>
        <w:p w14:paraId="7B78F98D" w14:textId="77777777" w:rsidR="003D5DB4" w:rsidRPr="000D0101" w:rsidRDefault="003D5DB4" w:rsidP="000A5389">
          <w:pPr>
            <w:spacing w:line="240" w:lineRule="auto"/>
          </w:pPr>
          <w:r w:rsidRPr="000D0101">
            <w:t>Nombre delproyecto: Red Férrea del Pacífico</w:t>
          </w:r>
        </w:p>
        <w:p w14:paraId="6B0A8351" w14:textId="77777777" w:rsidR="003D5DB4" w:rsidRPr="000D0101" w:rsidRDefault="003D5DB4" w:rsidP="000A5389">
          <w:pPr>
            <w:spacing w:line="240" w:lineRule="auto"/>
          </w:pPr>
        </w:p>
        <w:p w14:paraId="0D5CA640" w14:textId="77777777" w:rsidR="003D5DB4" w:rsidRDefault="003D5DB4" w:rsidP="000A5389">
          <w:pPr>
            <w:spacing w:line="240" w:lineRule="auto"/>
          </w:pPr>
          <w:r w:rsidRPr="000D0101">
            <w:t>Términos significativos del Acuerdo que puedan afectar su valor, el calendario y la certeza de los flujos de efectivo futuros</w:t>
          </w:r>
        </w:p>
        <w:p w14:paraId="7C10C2E1" w14:textId="77777777" w:rsidR="00567B2B" w:rsidRPr="000D0101" w:rsidRDefault="00567B2B" w:rsidP="000A5389">
          <w:pPr>
            <w:spacing w:line="240" w:lineRule="auto"/>
          </w:pPr>
        </w:p>
        <w:p w14:paraId="3662A76A" w14:textId="77777777" w:rsidR="003D5DB4" w:rsidRPr="000D0101" w:rsidRDefault="003D5DB4" w:rsidP="000A5389">
          <w:pPr>
            <w:spacing w:line="240" w:lineRule="auto"/>
          </w:pPr>
          <w:r w:rsidRPr="000D0101">
            <w:t xml:space="preserve">Términos de valor: Lo contemplado en el contrato en la Cláusula 10 Responsabilidad y Riesgo y Cláusula 141 Valor del Contrato. Mediante Resolución 1685 del 12 de noviembre de 2019, se declaró el INCUMPLIMIENTO GRAVE del CONCESIONARIO (FDP) por i) Suspensión en la prestación del servicio de carga. ii) Mantenimiento y conservación de la infraestructura entregada en concesión y iii) mantenimiento de los equipos férreos, por ende, se declaró la Caducidad del Contrato de Concesión 09-CONP-98. mediante Resolución 1685 del 12 de noviembre de 2019, se declaró el INCUMPLIMIENTO GRAVE del CONCESIONARIO (FDP) por i) Suspensión en la prestación del servicio de carga. ii) </w:t>
          </w:r>
          <w:r w:rsidRPr="000D0101">
            <w:lastRenderedPageBreak/>
            <w:t xml:space="preserve">Mantenimiento y conservación de la infraestructura entregada en concesión y iii) mantenimiento de los equipos férreos, por ende, se declaró la Caducidad del Contrato de Concesión 09-CONP-98 y se interpuso la suma de $97.969.201.936 al CONCESIONARIO correspondientes a los perjuicios causados a la entidad. El 11 de agosto de 2020 con Resolución 7443, la Superintendencia de Transportes convocó a la Sociedad FDP al trámite de liquidación Judicial con la Superintendencia de Sociedades quién designó en el año 2021 al señor GUSTAVO TRUJILLO BETANCOURT como liquidador judicial de dicha sociedad, este asumió la vigilancia y custodia del corredor férreo y los bienes en calidad de nuevo representante legal y secuestre de los mismos. Seguido, en el año 2022, La Agencia mediante Resolución No. 20223070021395 del 23 de diciembre de 2022, en cumplimiento de lo dispuesto en el artículo 60 de la Ley 80 de 1993 en concordancia con lo establecido en el artículo 11 de la Ley 1150 de 2007, liquidó unilateralmente y de forma definitiva, el Contrato de Concesión, de la cual el liquidador de FDP interpuso el día 16 de enero de 2023, recurso de reposición en contra de dicha resolución. Finalmente, una vez revisados los argumentos esgrimidos por el recurrente en su escrito de censura, la Agencia mediante Resolución No. 20233070002345 del 28 de febrero de 2023, resolvió confirmar la resolución No. 20223070021395 del 23 de diciembre de 2022, con una tasación de las obligaciones no ejecutadas por el concesionario indicado en el artículo primero por $942.718.084.040.De acuerdo con la liquidación unilateral, con memorial radicado No. 2023-01-573690 del 12 de julio de 2023, el apoderado de la Agencia (la firma Ortegón y Pulido), radicó a la Superintendencia de Sociedades las actas de liquidación Unilateral solicitando lo siguiente:• Reconocer  la  suma  de  novecientos  cuarenta  y  dos  mil  setecientos  dieciocho millones  ochenta  y  cuatro  mil  cuarenta  ($942.718.084.040)  pesos  colombianos de conformidad    con    lo    dispuesto    en    la Resolución    de    Liquidación    Unilateral 20223070021395 del 23 de diciembre de 2022.• Realizar el pago de los gastos de administración a favor de la Agencia Nacional de Infraestructura. Finalmente, el 4 de septiembre de 2023 se llevó a cabo la "Audiencia de resolución de objeciones, aprobación del proyecto de calificación y graduación de créditos y determinación de derechos de voto, inventario valorado de bienes y fijación de honorarios del Liquidador", audiencia en la que la Superintendencia de Sociedades reconoció el valor dispuesto en el acta de liquidación, clasificándose como crédito extemporáneo de quinta clase quirografario.  </w:t>
          </w:r>
        </w:p>
        <w:p w14:paraId="71DDCF0D" w14:textId="77777777" w:rsidR="00567B2B" w:rsidRDefault="00567B2B" w:rsidP="000A5389">
          <w:pPr>
            <w:spacing w:line="240" w:lineRule="auto"/>
          </w:pPr>
        </w:p>
        <w:p w14:paraId="01BD4FE6" w14:textId="2A1139A9" w:rsidR="003D5DB4" w:rsidRPr="000D0101" w:rsidRDefault="003D5DB4" w:rsidP="000A5389">
          <w:pPr>
            <w:spacing w:line="240" w:lineRule="auto"/>
          </w:pPr>
          <w:r w:rsidRPr="000D0101">
            <w:t>Términos de calendario: Clausula 3, Plazo de la Concesión y lo indicado n de Obras de Construcción, Clausula 24, iniciación de la construcción.  Las actividades correspondientes en la Resolución de Caducidad.</w:t>
          </w:r>
        </w:p>
        <w:p w14:paraId="56AEDB7B" w14:textId="77777777" w:rsidR="003D5DB4" w:rsidRPr="000D0101" w:rsidRDefault="003D5DB4" w:rsidP="000A5389">
          <w:pPr>
            <w:spacing w:line="240" w:lineRule="auto"/>
          </w:pPr>
          <w:r w:rsidRPr="000D0101">
            <w:t>Términos de certeza de flujos de efectivo futuros: No Aplica</w:t>
          </w:r>
        </w:p>
        <w:p w14:paraId="0D26EEFB" w14:textId="77777777" w:rsidR="003D5DB4" w:rsidRPr="000D0101" w:rsidRDefault="003D5DB4" w:rsidP="000A5389">
          <w:pPr>
            <w:spacing w:line="240" w:lineRule="auto"/>
          </w:pPr>
        </w:p>
        <w:p w14:paraId="29AACFE1" w14:textId="77777777" w:rsidR="003D5DB4" w:rsidRPr="000D0101" w:rsidRDefault="003D5DB4" w:rsidP="000A5389">
          <w:pPr>
            <w:spacing w:line="240" w:lineRule="auto"/>
          </w:pPr>
          <w:r w:rsidRPr="000D0101">
            <w:t>Naturaleza y alcance del derecho a utilizar Activos y los aspectos pactados en torno a lo que se espera que el concesionario proporcione en relación con el Acuerdo de concesión</w:t>
          </w:r>
        </w:p>
        <w:p w14:paraId="18F5A329" w14:textId="2E1181C2" w:rsidR="003D5DB4" w:rsidRPr="000D0101" w:rsidRDefault="003D5DB4" w:rsidP="000A5389">
          <w:pPr>
            <w:spacing w:line="240" w:lineRule="auto"/>
          </w:pPr>
          <w:r w:rsidRPr="000D0101">
            <w:t>Naturaleza y alcance del derecho de uso de los Activos</w:t>
          </w:r>
        </w:p>
        <w:p w14:paraId="22812D1E" w14:textId="77777777" w:rsidR="003D5DB4" w:rsidRPr="000D0101" w:rsidRDefault="003D5DB4" w:rsidP="000A5389">
          <w:pPr>
            <w:spacing w:line="240" w:lineRule="auto"/>
          </w:pPr>
          <w:r w:rsidRPr="000D0101">
            <w:t xml:space="preserve">Descripción: Las enunciadas en el contrato en la Cláusula 12. Derechos del Concesionario Derivados de la Concesión y en la Cláusula 13. Obligaciones del Concesionario Derivadas de la Concesión. </w:t>
          </w:r>
        </w:p>
        <w:p w14:paraId="07C96AB9" w14:textId="77777777" w:rsidR="00986D75" w:rsidRDefault="00986D75" w:rsidP="000A5389">
          <w:pPr>
            <w:spacing w:line="240" w:lineRule="auto"/>
          </w:pPr>
        </w:p>
        <w:p w14:paraId="50ACADD7" w14:textId="4DF33F1F" w:rsidR="003D5DB4" w:rsidRPr="000D0101" w:rsidRDefault="003D5DB4" w:rsidP="000A5389">
          <w:pPr>
            <w:spacing w:line="240" w:lineRule="auto"/>
          </w:pPr>
          <w:r w:rsidRPr="000D0101">
            <w:lastRenderedPageBreak/>
            <w:t>Observaciones: El Otrosí No.15 de 2008 indica que los tramos a cargo son Buenaventura-Cali, Cali-Cartago y Zarzal-La Tebaida. El contrato se liquidó mediante la Resolución No. 20233070002345 del 28 de febrero de 2023.</w:t>
          </w:r>
        </w:p>
        <w:p w14:paraId="0B95F80F" w14:textId="77777777" w:rsidR="003D5DB4" w:rsidRPr="000D0101" w:rsidRDefault="003D5DB4" w:rsidP="000A5389">
          <w:pPr>
            <w:spacing w:line="240" w:lineRule="auto"/>
          </w:pPr>
          <w:r w:rsidRPr="000D0101">
            <w:t>Retribución al concesionario</w:t>
          </w:r>
        </w:p>
        <w:p w14:paraId="135A20F5" w14:textId="77777777" w:rsidR="003D5DB4" w:rsidRPr="000D0101" w:rsidRDefault="003D5DB4" w:rsidP="000A5389">
          <w:pPr>
            <w:spacing w:line="240" w:lineRule="auto"/>
          </w:pPr>
          <w:r w:rsidRPr="000D0101">
            <w:t xml:space="preserve">Descripción: Cláusula 40. Remuneración del Servicio de Transporte. </w:t>
          </w:r>
        </w:p>
        <w:p w14:paraId="03AF11C0" w14:textId="77777777" w:rsidR="003D5DB4" w:rsidRDefault="003D5DB4" w:rsidP="000A5389">
          <w:pPr>
            <w:spacing w:line="240" w:lineRule="auto"/>
          </w:pPr>
          <w:r w:rsidRPr="000D0101">
            <w:t>Tasa de retribución:</w:t>
          </w:r>
        </w:p>
        <w:p w14:paraId="3CE8E703" w14:textId="77777777" w:rsidR="00986D75" w:rsidRPr="000D0101" w:rsidRDefault="00986D75" w:rsidP="000A5389">
          <w:pPr>
            <w:spacing w:line="240" w:lineRule="auto"/>
          </w:pPr>
        </w:p>
        <w:p w14:paraId="6E48B5CF" w14:textId="77777777" w:rsidR="003D5DB4" w:rsidRPr="000D0101" w:rsidRDefault="003D5DB4" w:rsidP="000A5389">
          <w:pPr>
            <w:spacing w:line="240" w:lineRule="auto"/>
          </w:pPr>
          <w:r w:rsidRPr="000D0101">
            <w:t>Derechos a recibir Activos especificados al final del acuerdo de concesión</w:t>
          </w:r>
        </w:p>
        <w:p w14:paraId="05380990" w14:textId="77777777" w:rsidR="00567B2B" w:rsidRDefault="00567B2B" w:rsidP="000A5389">
          <w:pPr>
            <w:spacing w:line="240" w:lineRule="auto"/>
          </w:pPr>
        </w:p>
        <w:p w14:paraId="7673B5D7" w14:textId="70ABADD0" w:rsidR="003D5DB4" w:rsidRDefault="003D5DB4" w:rsidP="000A5389">
          <w:pPr>
            <w:spacing w:line="240" w:lineRule="auto"/>
          </w:pPr>
          <w:r w:rsidRPr="000D0101">
            <w:t>Descripción: el corredor férreo del Pacífico se encuentra en proceso de reversión, por lo cual se suscribió con el liquidador judicial de la sociedad FDP el día 5 de marzo de 2024 el  "Acta de inicio de la reversión de los bienes revertibles que conforman parte del proyecto red férrea del Pacífico - Corredor Buenaventura - Zaragoza y el Ramal Zarzal - La Tebaida, Según contrato de Concesión 09-CONP-98".  También se informa que desde el mes de octubre de 2024 el corredor de la Red férrea del Pacifico es administrado a través de contrato de obra PAF-ANIFERREO-O-084-2024 derivado del contrato interadministrativo VE 809 2023 suscrito entre la ANI y Findeter y mediante el cual se están llevando a cabo el diagnóstico del material rodante y el levantamiento de inventarios, para que, la Agencia junto con el liquidador delegado por la Superintendencia de Sociedades, finalicen el proceso de reversión del corredor férreo del Pacífico. En desarrollo del proceso de reversión iniciado, la Agencia Nacional de Infraestructura y el liquidador judicial de la sociedad Ferrocarril del Pacífico S.A.S. – en Liquidación han venido adelantando de manera progresiva la identificación y verificación física, técnica y jurídica de los bienes revertibles asociados al proyecto Red Férrea del Pacífico, conforme a lo dispuesto en el Contrato de Concesión 09-CONP-98 y la normatividad aplicable. En este marco, a la fecha se ha suscrito un (1) Acta Parcial de Reversión, el 25 de abril de 2025, correspondiente a cuatro (4) locomotoras, las cuales fueron identificadas y verificadas por FINDETER, y recibidas por la Agencia en los términos allí consignados, actualmente bajo la custodia del administrador férreo mediante el contrato interadministrativo No. VE-809-2023.De otra parte, las controversias surgidas entre la Agencia Nacional de Infraestructura y el concesionario FDP, con ocasión de la ejecución y terminación del contrato, fueron conocidas en sede arbitral, mediante tramite 158421, la cual fue admitida en el auto No. 3 contenido en el Acta No. 2 del del día 9 de septiembre de 2025 y, notificado a esta entidad en la misma fecha, actuaciones que se desarrollaron de manera independiente al proceso administrativo de liquidación unilateral y al trámite de reversión de bienes adelantados por la Agencia Nacional de Infraestructura, sin que dichas instancias actualmente hayan modificado o suspendido las actuaciones orientadas a la reversión y protección de los bienes de uso público. Asimismo, en el marco de la iniciativa regional, se suscribió el Convenio No. CI-009 de 2025 el 7 de noviembre de 2025 con la Gobernación del Valle del Cauca, cuyo objeto es la reactivación del modo férreo en el tramo priorizado Buga – Palmira. En virtud de dicho convenio, se realizó la entrega en comodato de una (1) locomotora U10B a la Gobernación, correspondiente a bienes revertidos en el proceso adelantado con FDP, como parte de las acciones orientadas a la puesta en operación del corredor. Por otra parte, la Agencia Nacional de Infraestructura en la vigencia 2025 público en SECOP II para la Red Férrea del Pacífico el proceso para el contrato de obra VJ-VE-LP-</w:t>
          </w:r>
          <w:r w:rsidRPr="000D0101">
            <w:lastRenderedPageBreak/>
            <w:t>001-2025 y el proceso para el contrato de interventoría VJ-VGCON-CM-017-2025, los cuales están proyectados sean adjudicados en la vigencia 2026.</w:t>
          </w:r>
        </w:p>
        <w:p w14:paraId="027DECAF" w14:textId="77777777" w:rsidR="00986D75" w:rsidRPr="000D0101" w:rsidRDefault="00986D75" w:rsidP="000A5389">
          <w:pPr>
            <w:spacing w:line="240" w:lineRule="auto"/>
          </w:pPr>
        </w:p>
        <w:p w14:paraId="5013EBD2" w14:textId="77777777" w:rsidR="003D5DB4" w:rsidRPr="000D0101" w:rsidRDefault="003D5DB4" w:rsidP="000A5389">
          <w:pPr>
            <w:spacing w:line="240" w:lineRule="auto"/>
          </w:pPr>
          <w:r w:rsidRPr="000D0101">
            <w:t>Observaciones: El Otrosí No.15 de 2008 indica que los tramos a cargo son Buenaventura-Cali, Cali-Cartago y Zarzal-La Tebaida. El contrato se liquidó mediante la Resolución No. 20233070002345 del 28 de febrero de 2023.</w:t>
          </w:r>
        </w:p>
        <w:p w14:paraId="274AB4BA" w14:textId="77777777" w:rsidR="003D5DB4" w:rsidRPr="000D0101" w:rsidRDefault="003D5DB4" w:rsidP="000A5389">
          <w:pPr>
            <w:spacing w:line="240" w:lineRule="auto"/>
          </w:pPr>
          <w:r w:rsidRPr="000D0101">
            <w:t>Las alternativas de renovación y cese del acuerdo</w:t>
          </w:r>
        </w:p>
        <w:p w14:paraId="6D5B5B41" w14:textId="77777777" w:rsidR="00986D75" w:rsidRDefault="00986D75" w:rsidP="000A5389">
          <w:pPr>
            <w:spacing w:line="240" w:lineRule="auto"/>
          </w:pPr>
        </w:p>
        <w:p w14:paraId="78040A73" w14:textId="26BE4B4C" w:rsidR="003D5DB4" w:rsidRPr="000D0101" w:rsidRDefault="003D5DB4" w:rsidP="000A5389">
          <w:pPr>
            <w:spacing w:line="240" w:lineRule="auto"/>
          </w:pPr>
          <w:r w:rsidRPr="000D0101">
            <w:t>Descripción:</w:t>
          </w:r>
          <w:r w:rsidRPr="000D0101">
            <w:tab/>
          </w:r>
        </w:p>
        <w:p w14:paraId="25E03E2F" w14:textId="77777777" w:rsidR="00986D75" w:rsidRDefault="00986D75" w:rsidP="000A5389">
          <w:pPr>
            <w:spacing w:line="240" w:lineRule="auto"/>
          </w:pPr>
        </w:p>
        <w:p w14:paraId="4E11D789" w14:textId="14FF6C08" w:rsidR="003D5DB4" w:rsidRPr="000D0101" w:rsidRDefault="003D5DB4" w:rsidP="000A5389">
          <w:pPr>
            <w:spacing w:line="240" w:lineRule="auto"/>
          </w:pPr>
          <w:r w:rsidRPr="000D0101">
            <w:t xml:space="preserve">Observaciones: </w:t>
          </w:r>
        </w:p>
        <w:p w14:paraId="1D86830E" w14:textId="77777777" w:rsidR="003D5DB4" w:rsidRPr="000D0101" w:rsidRDefault="003D5DB4" w:rsidP="000A5389">
          <w:pPr>
            <w:spacing w:line="240" w:lineRule="auto"/>
          </w:pPr>
          <w:r w:rsidRPr="000D0101">
            <w:t>Cambios en el acuerdo de concesión que se realicen durante el periodo fiscal</w:t>
          </w:r>
        </w:p>
        <w:p w14:paraId="4C5E7339" w14:textId="77777777" w:rsidR="003D5DB4" w:rsidRPr="000D0101" w:rsidRDefault="003D5DB4" w:rsidP="000A5389">
          <w:pPr>
            <w:spacing w:line="240" w:lineRule="auto"/>
          </w:pPr>
          <w:r w:rsidRPr="000D0101">
            <w:t>Adiciones o modificaciones en tiempo</w:t>
          </w:r>
        </w:p>
        <w:p w14:paraId="5E7721F4" w14:textId="77777777" w:rsidR="003D5DB4" w:rsidRPr="000D0101" w:rsidRDefault="003D5DB4" w:rsidP="000A5389">
          <w:pPr>
            <w:spacing w:line="240" w:lineRule="auto"/>
          </w:pPr>
          <w:r w:rsidRPr="000D0101">
            <w:t xml:space="preserve">Fechas de las adiciones o modificaciones: </w:t>
          </w:r>
        </w:p>
        <w:p w14:paraId="1B5E7C16" w14:textId="77777777" w:rsidR="003D5DB4" w:rsidRPr="000D0101" w:rsidRDefault="003D5DB4" w:rsidP="000A5389">
          <w:pPr>
            <w:spacing w:line="240" w:lineRule="auto"/>
          </w:pPr>
          <w:r w:rsidRPr="000D0101">
            <w:t xml:space="preserve">Nueva Fecha de finalización estimada: </w:t>
          </w:r>
        </w:p>
        <w:p w14:paraId="182D1806" w14:textId="77777777" w:rsidR="00986D75" w:rsidRDefault="00986D75" w:rsidP="000A5389">
          <w:pPr>
            <w:spacing w:line="240" w:lineRule="auto"/>
          </w:pPr>
        </w:p>
        <w:p w14:paraId="12CB27CB" w14:textId="787E165E" w:rsidR="003D5DB4" w:rsidRPr="000D0101" w:rsidRDefault="003D5DB4" w:rsidP="000A5389">
          <w:pPr>
            <w:spacing w:line="240" w:lineRule="auto"/>
          </w:pPr>
          <w:r w:rsidRPr="000D0101">
            <w:t xml:space="preserve">Observaciones: </w:t>
          </w:r>
        </w:p>
        <w:p w14:paraId="16C25B62" w14:textId="77777777" w:rsidR="003D5DB4" w:rsidRPr="000D0101" w:rsidRDefault="003D5DB4" w:rsidP="000A5389">
          <w:pPr>
            <w:spacing w:line="240" w:lineRule="auto"/>
          </w:pPr>
          <w:r w:rsidRPr="000D0101">
            <w:t>Adiciones o modificaciones en valor</w:t>
          </w:r>
        </w:p>
        <w:p w14:paraId="393880C4" w14:textId="77777777" w:rsidR="003D5DB4" w:rsidRPr="000D0101" w:rsidRDefault="003D5DB4" w:rsidP="000A5389">
          <w:pPr>
            <w:spacing w:line="240" w:lineRule="auto"/>
          </w:pPr>
          <w:r w:rsidRPr="000D0101">
            <w:t xml:space="preserve">Valor de la adición o modificación: </w:t>
          </w:r>
        </w:p>
        <w:p w14:paraId="47B0A197" w14:textId="77777777" w:rsidR="003D5DB4" w:rsidRPr="000D0101" w:rsidRDefault="003D5DB4" w:rsidP="000A5389">
          <w:pPr>
            <w:spacing w:line="240" w:lineRule="auto"/>
          </w:pPr>
          <w:r w:rsidRPr="000D0101">
            <w:t xml:space="preserve">Nuevo valor del acuerdo: </w:t>
          </w:r>
        </w:p>
        <w:p w14:paraId="5E33F525" w14:textId="77777777" w:rsidR="003D5DB4" w:rsidRPr="000D0101" w:rsidRDefault="003D5DB4" w:rsidP="000A5389">
          <w:pPr>
            <w:spacing w:line="240" w:lineRule="auto"/>
          </w:pPr>
          <w:r w:rsidRPr="000D0101">
            <w:t xml:space="preserve">Observaciones: </w:t>
          </w:r>
        </w:p>
        <w:p w14:paraId="0A507DBD" w14:textId="77777777" w:rsidR="003D5DB4" w:rsidRDefault="003D5DB4" w:rsidP="000A5389">
          <w:pPr>
            <w:spacing w:line="240" w:lineRule="auto"/>
          </w:pPr>
        </w:p>
        <w:p w14:paraId="3E2E57A3" w14:textId="77777777" w:rsidR="00567B2B" w:rsidRPr="000D0101" w:rsidRDefault="00567B2B" w:rsidP="000A5389">
          <w:pPr>
            <w:spacing w:line="240" w:lineRule="auto"/>
          </w:pPr>
        </w:p>
        <w:p w14:paraId="4CF46159" w14:textId="77777777" w:rsidR="003D5DB4" w:rsidRPr="00986D75" w:rsidRDefault="003D5DB4" w:rsidP="000A5389">
          <w:pPr>
            <w:spacing w:line="240" w:lineRule="auto"/>
            <w:rPr>
              <w:i/>
              <w:iCs/>
            </w:rPr>
          </w:pPr>
          <w:r w:rsidRPr="00986D75">
            <w:rPr>
              <w:i/>
              <w:iCs/>
            </w:rPr>
            <w:t xml:space="preserve">CORREDOR FÉRREO DORADA - CHIRIGUANÁ </w:t>
          </w:r>
        </w:p>
        <w:p w14:paraId="4FB7755A" w14:textId="77777777" w:rsidR="00986D75" w:rsidRPr="000D0101" w:rsidRDefault="00986D75" w:rsidP="000A5389">
          <w:pPr>
            <w:spacing w:line="240" w:lineRule="auto"/>
          </w:pPr>
        </w:p>
        <w:p w14:paraId="56477B2E" w14:textId="77777777" w:rsidR="003D5DB4" w:rsidRPr="000D0101" w:rsidRDefault="003D5DB4" w:rsidP="000A5389">
          <w:pPr>
            <w:spacing w:line="240" w:lineRule="auto"/>
          </w:pPr>
          <w:r w:rsidRPr="000D0101">
            <w:t>Descripción del Acuerdo</w:t>
          </w:r>
        </w:p>
        <w:p w14:paraId="0F4D8A7A" w14:textId="77777777" w:rsidR="003D5DB4" w:rsidRDefault="003D5DB4" w:rsidP="000A5389">
          <w:pPr>
            <w:spacing w:line="240" w:lineRule="auto"/>
          </w:pPr>
          <w:r w:rsidRPr="000D0101">
            <w:t>Número del Acuerdo de concesión:  APP N°001 DE 2025</w:t>
          </w:r>
        </w:p>
        <w:p w14:paraId="2E0B09A7" w14:textId="77777777" w:rsidR="00986D75" w:rsidRPr="000D0101" w:rsidRDefault="00986D75" w:rsidP="000A5389">
          <w:pPr>
            <w:spacing w:line="240" w:lineRule="auto"/>
          </w:pPr>
        </w:p>
        <w:p w14:paraId="2CC619FA" w14:textId="77777777" w:rsidR="003D5DB4" w:rsidRPr="000D0101" w:rsidRDefault="003D5DB4" w:rsidP="000A5389">
          <w:pPr>
            <w:spacing w:line="240" w:lineRule="auto"/>
          </w:pPr>
          <w:r w:rsidRPr="000D0101">
            <w:t>Objeto / Descripción: El otorgamiento de una concesión para que, de conformidad con lo previsto en este Contrato y en sus Apéndices, el Concesionario, por su cuenta y riesgo, lleve a cabo (i) todas las actividades necesarias para la financiación, Gestión Predial, Gestión Social y Ambiental y de Redes, la elaboración de los Estudios de Detalle, la Construcción, la Rehabilitación, el Mejoramiento, la Operación, el Mantenimiento y la Reversión de la Infraestructura Férrea y de la Infraestructura Logística correspondiente al Corredor del Proyecto comprendido entre los municipios de La Dorada en el departamento de Caldas y Chiriguaná en el departamento del Cesar con sus respectivos ramales; y (ii) la Puesta a Punto, Operación y Mantenimiento del Material Rodante del Proyecto y la Prestación del Servicio Público de Transporte Ferroviario de Carga.</w:t>
          </w:r>
        </w:p>
        <w:p w14:paraId="46DF5360" w14:textId="77777777" w:rsidR="003D5DB4" w:rsidRPr="000D0101" w:rsidRDefault="003D5DB4" w:rsidP="000A5389">
          <w:pPr>
            <w:spacing w:line="240" w:lineRule="auto"/>
          </w:pPr>
          <w:r w:rsidRPr="000D0101">
            <w:t>Valor inicial:</w:t>
          </w:r>
          <w:r w:rsidRPr="000D0101">
            <w:tab/>
          </w:r>
          <w:sdt>
            <w:sdtPr>
              <w:id w:val="-1249031203"/>
              <w:placeholder>
                <w:docPart w:val="1497B48770D5477EB2F1BF29B19B36AE"/>
              </w:placeholder>
              <w:text/>
            </w:sdtPr>
            <w:sdtContent>
              <w:r w:rsidRPr="000D0101">
                <w:t xml:space="preserve"> $ 3.399.000.152.000 (expresado en pesos del mes de referencia).</w:t>
              </w:r>
            </w:sdtContent>
          </w:sdt>
        </w:p>
        <w:p w14:paraId="008E75A0" w14:textId="77777777" w:rsidR="003D5DB4" w:rsidRPr="000D0101" w:rsidRDefault="003D5DB4" w:rsidP="000A5389">
          <w:pPr>
            <w:spacing w:line="240" w:lineRule="auto"/>
          </w:pPr>
          <w:r w:rsidRPr="000D0101">
            <w:t>Fecha de inicio: 02 de agosto de 2025</w:t>
          </w:r>
        </w:p>
        <w:p w14:paraId="7443363E" w14:textId="77777777" w:rsidR="003D5DB4" w:rsidRPr="000D0101" w:rsidRDefault="003D5DB4" w:rsidP="000A5389">
          <w:pPr>
            <w:spacing w:line="240" w:lineRule="auto"/>
          </w:pPr>
          <w:r w:rsidRPr="000D0101">
            <w:t>Fecha de finalización estimada: 31 de julio de 2035.</w:t>
          </w:r>
        </w:p>
        <w:p w14:paraId="5184CE6D" w14:textId="77777777" w:rsidR="003D5DB4" w:rsidRPr="000D0101" w:rsidRDefault="003D5DB4" w:rsidP="000A5389">
          <w:pPr>
            <w:spacing w:line="240" w:lineRule="auto"/>
          </w:pPr>
          <w:r w:rsidRPr="000D0101">
            <w:t>Tipo ID: NIT</w:t>
          </w:r>
        </w:p>
        <w:p w14:paraId="6EF0122C" w14:textId="77777777" w:rsidR="003D5DB4" w:rsidRPr="000D0101" w:rsidRDefault="003D5DB4" w:rsidP="000A5389">
          <w:pPr>
            <w:spacing w:line="240" w:lineRule="auto"/>
          </w:pPr>
          <w:r w:rsidRPr="000D0101">
            <w:t>Número ID: 901.936.505-3</w:t>
          </w:r>
        </w:p>
        <w:p w14:paraId="0AF61561" w14:textId="77777777" w:rsidR="003D5DB4" w:rsidRPr="000D0101" w:rsidRDefault="003D5DB4" w:rsidP="000A5389">
          <w:pPr>
            <w:spacing w:line="240" w:lineRule="auto"/>
          </w:pPr>
          <w:r w:rsidRPr="000D0101">
            <w:t xml:space="preserve">Razón social del concesionario: Concesión Línea Férrea Central SAS </w:t>
          </w:r>
        </w:p>
        <w:p w14:paraId="1D9ED33A" w14:textId="77777777" w:rsidR="003D5DB4" w:rsidRPr="000D0101" w:rsidRDefault="003D5DB4" w:rsidP="000A5389">
          <w:pPr>
            <w:spacing w:line="240" w:lineRule="auto"/>
          </w:pPr>
          <w:r w:rsidRPr="000D0101">
            <w:lastRenderedPageBreak/>
            <w:t>Nombre del proyecto: Corredor Férreo Dorada - Chiriguaná</w:t>
          </w:r>
        </w:p>
        <w:p w14:paraId="711A1941" w14:textId="77777777" w:rsidR="003D5DB4" w:rsidRPr="000D0101" w:rsidRDefault="003D5DB4" w:rsidP="000A5389">
          <w:pPr>
            <w:spacing w:line="240" w:lineRule="auto"/>
          </w:pPr>
        </w:p>
        <w:p w14:paraId="1147D3DE" w14:textId="77777777" w:rsidR="003D5DB4" w:rsidRPr="000D0101" w:rsidRDefault="003D5DB4" w:rsidP="000A5389">
          <w:pPr>
            <w:spacing w:line="240" w:lineRule="auto"/>
          </w:pPr>
          <w:r w:rsidRPr="000D0101">
            <w:t>Términos significativos del Acuerdo que puedan afectar su valor, el calendario y la certeza de los flujos de efectivo futuros</w:t>
          </w:r>
        </w:p>
        <w:p w14:paraId="72FD3687" w14:textId="77777777" w:rsidR="00567B2B" w:rsidRDefault="00567B2B" w:rsidP="000A5389">
          <w:pPr>
            <w:spacing w:line="240" w:lineRule="auto"/>
          </w:pPr>
        </w:p>
        <w:p w14:paraId="69950C40" w14:textId="77777777" w:rsidR="00567B2B" w:rsidRDefault="003D5DB4" w:rsidP="000A5389">
          <w:pPr>
            <w:spacing w:line="240" w:lineRule="auto"/>
          </w:pPr>
          <w:r w:rsidRPr="000D0101">
            <w:t xml:space="preserve">Términos de valor: El valor contractual se establece en $3.399.000.152.000, expresado en pesos del mes de referencia. La retribución al concesionario está sujeta a los componentes definidos en la cláusula 4.4 del contrato, que incluyen los componentes A, B, C y D de la </w:t>
          </w:r>
        </w:p>
        <w:p w14:paraId="0B97ABDE" w14:textId="7721DFD6" w:rsidR="003D5DB4" w:rsidRDefault="003D5DB4" w:rsidP="000A5389">
          <w:pPr>
            <w:spacing w:line="240" w:lineRule="auto"/>
          </w:pPr>
          <w:r w:rsidRPr="000D0101">
            <w:t xml:space="preserve">retribución semestral. Los pagos estarán indexados al Índice de Precios al Consumidor (IPC) conforme al capítulo IV. Existen deducciones y sanciones en caso de incumplimientos de desempeño (cláusula 4.6 y capítulo XVI). </w:t>
          </w:r>
        </w:p>
        <w:p w14:paraId="61746081" w14:textId="77777777" w:rsidR="00986D75" w:rsidRPr="000D0101" w:rsidRDefault="00986D75" w:rsidP="000A5389">
          <w:pPr>
            <w:spacing w:line="240" w:lineRule="auto"/>
          </w:pPr>
        </w:p>
        <w:p w14:paraId="54A90A4F" w14:textId="77777777" w:rsidR="003D5DB4" w:rsidRPr="000D0101" w:rsidRDefault="003D5DB4" w:rsidP="000A5389">
          <w:pPr>
            <w:spacing w:line="240" w:lineRule="auto"/>
          </w:pPr>
          <w:r w:rsidRPr="000D0101">
            <w:t xml:space="preserve">Son fuentes para el pago de la Retribución: (i) Los recursos del presupuesto general de la Nación asignados a la ANI a través de vigencias futuras, y que la ANI se obliga a consignar en los montos, plazos y condiciones establecidos en la Sección 6.2(h)(iv) de este Contrato y en el Apéndice Financiero 3; (ii) Los demás saldos de las subcuentas de la Subcuenta Aportes ANI, en adición de los recursos de los que trata la Sección 4. l(k)(i) anterior; (iii) El cincuenta por ciento (50,00%) de los Ingresos por Recaudo de Tarifa por Uso de la Infraestructura Férrea pagados por Terceros Operadores; (iv) El ochenta y cinco por ciento (85,00%) de los Ingresos por Explotación Comercial; (v) El cincuenta y nueve coma ochenta y ocho por ciento (59,88%) de los Ingresos por Prestación de Servicios Logísticos pagados por Terceros Operadores; (vi) Los Ingresos por la Prestación del Servicio Público de Transporte Ferroviario de Carga; y (vii) De ser el caso, los recursos de la Subcuenta Excedentes ANI. </w:t>
          </w:r>
        </w:p>
        <w:p w14:paraId="73FD6E69" w14:textId="77777777" w:rsidR="003D5DB4" w:rsidRDefault="003D5DB4" w:rsidP="000A5389">
          <w:pPr>
            <w:spacing w:line="240" w:lineRule="auto"/>
          </w:pPr>
          <w:r w:rsidRPr="000D0101">
            <w:t>Términos de calendario: El contrato prevé una duración total de diez (10) años contados a partir del acta de inicio. Se establece una Fase de Preconstrucción, seguida de la Fase de Construcción, Operación y Mantenimiento y una Etapa de Reversión, conforme a lo dispuesto en las cláusulas 3.8 y 14.1. Las fechas de verificación y cálculo de la retribución son semestrales, de acuerdo con la cláusula 4.2 del contrato.</w:t>
          </w:r>
        </w:p>
        <w:p w14:paraId="5A515255" w14:textId="77777777" w:rsidR="00986D75" w:rsidRPr="000D0101" w:rsidRDefault="00986D75" w:rsidP="000A5389">
          <w:pPr>
            <w:spacing w:line="240" w:lineRule="auto"/>
          </w:pPr>
        </w:p>
        <w:p w14:paraId="5C8199B2" w14:textId="77777777" w:rsidR="003D5DB4" w:rsidRDefault="003D5DB4" w:rsidP="000A5389">
          <w:pPr>
            <w:spacing w:line="240" w:lineRule="auto"/>
          </w:pPr>
          <w:r w:rsidRPr="000D0101">
            <w:t>Términos de certeza de flujos de efectivo futuros: Los flujos de efectivo del proyecto dependen de los pagos derivados de la retribución establecida contractualmente, los ingresos por explotación comercial y por prestación de servicios logísticos (cláusula 4.8). La ANI conserva la titularidad de los activos revertibles y el derecho a los ingresos asociados a la infraestructura férrea. Los riesgos asociados al flujo de ingresos se encuentran distribuidos conforme al capítulo XIX.</w:t>
          </w:r>
        </w:p>
        <w:p w14:paraId="5E37F834" w14:textId="77777777" w:rsidR="00986D75" w:rsidRPr="000D0101" w:rsidRDefault="00986D75" w:rsidP="000A5389">
          <w:pPr>
            <w:spacing w:line="240" w:lineRule="auto"/>
          </w:pPr>
        </w:p>
        <w:p w14:paraId="72F21CB3" w14:textId="77777777" w:rsidR="003D5DB4" w:rsidRPr="000D0101" w:rsidRDefault="003D5DB4" w:rsidP="000A5389">
          <w:pPr>
            <w:spacing w:line="240" w:lineRule="auto"/>
          </w:pPr>
          <w:r w:rsidRPr="000D0101">
            <w:t>Naturaleza y alcance del derecho a utilizar Activos y los aspectos pactados en torno a lo que se espera que el concesionario proporcione en relación con el Acuerdo de concesión</w:t>
          </w:r>
        </w:p>
        <w:p w14:paraId="2F018D70" w14:textId="77777777" w:rsidR="00567B2B" w:rsidRDefault="00567B2B" w:rsidP="000A5389">
          <w:pPr>
            <w:spacing w:line="240" w:lineRule="auto"/>
          </w:pPr>
        </w:p>
        <w:p w14:paraId="4D43F377" w14:textId="1603E8AA" w:rsidR="003D5DB4" w:rsidRPr="000D0101" w:rsidRDefault="003D5DB4" w:rsidP="000A5389">
          <w:pPr>
            <w:spacing w:line="240" w:lineRule="auto"/>
          </w:pPr>
          <w:r w:rsidRPr="000D0101">
            <w:t>Naturaleza y alcance del derecho de uso de los Activos</w:t>
          </w:r>
        </w:p>
        <w:p w14:paraId="18227FAC" w14:textId="77777777" w:rsidR="00567B2B" w:rsidRDefault="00567B2B" w:rsidP="000A5389">
          <w:pPr>
            <w:spacing w:line="240" w:lineRule="auto"/>
          </w:pPr>
        </w:p>
        <w:p w14:paraId="42E0008F" w14:textId="699BC6B2" w:rsidR="003D5DB4" w:rsidRDefault="003D5DB4" w:rsidP="000A5389">
          <w:pPr>
            <w:spacing w:line="240" w:lineRule="auto"/>
          </w:pPr>
          <w:r w:rsidRPr="000D0101">
            <w:t xml:space="preserve">Descripción: De acuerdo con la Sección 3.l (a) del Capítulo XII, Administración de la infraestructura férrea y de la infraestructura logística, contenido en el contrato de concesión, dentro de las obligaciones a cargo del Concesionario se encuentra administrar, operar y </w:t>
          </w:r>
          <w:r w:rsidRPr="000D0101">
            <w:lastRenderedPageBreak/>
            <w:t>mantener la Infraestructura del Proyecto desde el momento de la Fecha de Inicio y garantizar la operación continua de la Vía Férrea. Y (b) El Concesionario tiene la obligación de operar y mantener, directamente o a través de terceros, la Infraestructura del Proyecto, de manera técnica, segura y eficiente cumpliendo con lo exigido en la Ley Aplicable y en los Apéndices Técnicos 1 a 4 e impidiendo el acceso a terceros no autorizados, con el fin de garantizar la Circulación y el tránsito de carga y/o pasajeros en condiciones de open access, garantizando la libre competencia, la igualdad de condiciones, la transparencia y la no discriminación en el ingreso y la Circulación en la Vía Férrea.</w:t>
          </w:r>
        </w:p>
        <w:p w14:paraId="42D6ED72" w14:textId="77777777" w:rsidR="00986D75" w:rsidRPr="000D0101" w:rsidRDefault="00986D75" w:rsidP="000A5389">
          <w:pPr>
            <w:spacing w:line="240" w:lineRule="auto"/>
          </w:pPr>
        </w:p>
        <w:p w14:paraId="2682501B" w14:textId="77777777" w:rsidR="003D5DB4" w:rsidRPr="000D0101" w:rsidRDefault="003D5DB4" w:rsidP="000A5389">
          <w:pPr>
            <w:spacing w:line="240" w:lineRule="auto"/>
          </w:pPr>
          <w:r w:rsidRPr="000D0101">
            <w:t>Observaciones: No Aplica</w:t>
          </w:r>
        </w:p>
        <w:p w14:paraId="7047F3B2" w14:textId="77777777" w:rsidR="003D5DB4" w:rsidRPr="000D0101" w:rsidRDefault="003D5DB4" w:rsidP="000A5389">
          <w:pPr>
            <w:spacing w:line="240" w:lineRule="auto"/>
          </w:pPr>
          <w:r w:rsidRPr="000D0101">
            <w:t>Retribución al concesionario</w:t>
          </w:r>
        </w:p>
        <w:p w14:paraId="135CF658" w14:textId="77777777" w:rsidR="003D5DB4" w:rsidRPr="000D0101" w:rsidRDefault="003D5DB4" w:rsidP="000A5389">
          <w:pPr>
            <w:spacing w:line="240" w:lineRule="auto"/>
          </w:pPr>
          <w:r w:rsidRPr="000D0101">
            <w:t xml:space="preserve">Descripción: Cláusula 40. Remuneración del Servicio de Transporte. </w:t>
          </w:r>
        </w:p>
        <w:p w14:paraId="7063390D" w14:textId="77777777" w:rsidR="003D5DB4" w:rsidRDefault="003D5DB4" w:rsidP="000A5389">
          <w:pPr>
            <w:spacing w:line="240" w:lineRule="auto"/>
          </w:pPr>
          <w:r w:rsidRPr="000D0101">
            <w:t>Tasa de retribución:</w:t>
          </w:r>
        </w:p>
        <w:p w14:paraId="174F2DFA" w14:textId="77777777" w:rsidR="00986D75" w:rsidRPr="000D0101" w:rsidRDefault="00986D75" w:rsidP="000A5389">
          <w:pPr>
            <w:spacing w:line="240" w:lineRule="auto"/>
          </w:pPr>
        </w:p>
        <w:p w14:paraId="29909292" w14:textId="77777777" w:rsidR="003D5DB4" w:rsidRPr="000D0101" w:rsidRDefault="003D5DB4" w:rsidP="000A5389">
          <w:pPr>
            <w:spacing w:line="240" w:lineRule="auto"/>
          </w:pPr>
          <w:r w:rsidRPr="000D0101">
            <w:t>Derechos a recibir Activos especificados al final del acuerdo de concesión</w:t>
          </w:r>
        </w:p>
        <w:p w14:paraId="591FE4DE" w14:textId="77777777" w:rsidR="00567B2B" w:rsidRDefault="00567B2B" w:rsidP="000A5389">
          <w:pPr>
            <w:spacing w:line="240" w:lineRule="auto"/>
          </w:pPr>
        </w:p>
        <w:p w14:paraId="2A53C5C7" w14:textId="7E889743" w:rsidR="003D5DB4" w:rsidRDefault="003D5DB4" w:rsidP="000A5389">
          <w:pPr>
            <w:spacing w:line="240" w:lineRule="auto"/>
          </w:pPr>
          <w:r w:rsidRPr="000D0101">
            <w:t>Descripción: La retribución al concesionario se encuentra definida en el capítulo IV del contrato, y corresponde a pagos semestrales basados en los componentes A, B, C y D. Estos se calculan conforme a las actas de cálculo de retribución mensual y semestral suscritas entre el interventor y el concesionario. La retribución al concesionario está regulada en la Cláusula 4.1 literal k y se financia con las siguientes fuentes:(i) Recursos del Presupuesto General de la Nación asignados a la ANI mediante vigencias futuras, conforme a la Sección 6.2(h)(iv) y Apéndice Financiero 3;(ii) Saldos de la Subcuenta Aportes ANI;(iii) 50% de los Ingresos por Recaudo de Tarifa por Uso de la Infraestructura Férrea pagados por terceros operadores;(iv) 85% de los Ingresos por Explotación Comercial;(v) 59,88% de los Ingresos por Prestación de Servicios Logísticos;(vi) Ingresos por Prestación del Servicio Público de Transporte Ferroviario de Carga; y (vii) Recursos de la Subcuenta Excedentes ANI. Las tarifas de ingresos por uso de infraestructura férrea y prestación de servicios logísticos se encuentran sujetas a las resoluciones vigentes expedidas por la Agencia Nacional de Infraestructura, en especial las que fijan las tarifas del modo férreo.</w:t>
          </w:r>
        </w:p>
        <w:p w14:paraId="60E75A42" w14:textId="77777777" w:rsidR="00986D75" w:rsidRPr="000D0101" w:rsidRDefault="00986D75" w:rsidP="000A5389">
          <w:pPr>
            <w:spacing w:line="240" w:lineRule="auto"/>
          </w:pPr>
        </w:p>
        <w:p w14:paraId="6AD73BDB" w14:textId="77777777" w:rsidR="003D5DB4" w:rsidRPr="000D0101" w:rsidRDefault="003D5DB4" w:rsidP="000A5389">
          <w:pPr>
            <w:spacing w:line="240" w:lineRule="auto"/>
          </w:pPr>
          <w:r w:rsidRPr="000D0101">
            <w:t>Observaciones: La retribución al concesionario no se establece con una tasa fija; los pagos dependen del cumplimiento de los indicadores de desempeño definidos en el Apéndice Técnico 4 - Indicadores, y se calculan conforme a las reglas de las Cláusulas 4.2, 4.3 y 4.4 del Contrato de Concesión. Los valores se actualizan con base en el Índice de Precios al Consumidor (IPC), según lo previsto en la Cláusula 4.13.</w:t>
          </w:r>
        </w:p>
        <w:p w14:paraId="5E203538" w14:textId="77777777" w:rsidR="003D5DB4" w:rsidRPr="000D0101" w:rsidRDefault="003D5DB4" w:rsidP="000A5389">
          <w:pPr>
            <w:spacing w:line="240" w:lineRule="auto"/>
          </w:pPr>
        </w:p>
        <w:p w14:paraId="14A69E81" w14:textId="77777777" w:rsidR="003D5DB4" w:rsidRPr="000D0101" w:rsidRDefault="003D5DB4" w:rsidP="000A5389">
          <w:pPr>
            <w:spacing w:line="240" w:lineRule="auto"/>
          </w:pPr>
          <w:r w:rsidRPr="000D0101">
            <w:t>Las alternativas de renovación y cese del acuerdo</w:t>
          </w:r>
        </w:p>
        <w:p w14:paraId="571B89B0" w14:textId="77777777" w:rsidR="003D5DB4" w:rsidRPr="000D0101" w:rsidRDefault="003D5DB4" w:rsidP="000A5389">
          <w:pPr>
            <w:spacing w:line="240" w:lineRule="auto"/>
          </w:pPr>
          <w:r w:rsidRPr="000D0101">
            <w:t>Descripción:</w:t>
          </w:r>
          <w:r w:rsidRPr="000D0101">
            <w:tab/>
            <w:t>El contrato podrá terminar anticipadamente por las causales establecidas en el capítulo XXIII, tales como incumplimiento grave, caducidad o mutuo acuerdo entre las partes. No se prevén cláusulas automáticas de prórroga o renovación.</w:t>
          </w:r>
        </w:p>
        <w:p w14:paraId="567E0213" w14:textId="77777777" w:rsidR="003D5DB4" w:rsidRPr="000D0101" w:rsidRDefault="003D5DB4" w:rsidP="000A5389">
          <w:pPr>
            <w:spacing w:line="240" w:lineRule="auto"/>
          </w:pPr>
          <w:r w:rsidRPr="000D0101">
            <w:t>Observaciones: No Aplica.</w:t>
          </w:r>
        </w:p>
        <w:p w14:paraId="75986CBC" w14:textId="77777777" w:rsidR="00567B2B" w:rsidRDefault="00567B2B" w:rsidP="000A5389">
          <w:pPr>
            <w:spacing w:line="240" w:lineRule="auto"/>
          </w:pPr>
        </w:p>
        <w:p w14:paraId="3B226446" w14:textId="379BF87C" w:rsidR="003D5DB4" w:rsidRPr="000D0101" w:rsidRDefault="003D5DB4" w:rsidP="000A5389">
          <w:pPr>
            <w:spacing w:line="240" w:lineRule="auto"/>
          </w:pPr>
          <w:r w:rsidRPr="000D0101">
            <w:t>Cambios en el acuerdo de concesión que se realicen durante el periodo fiscal</w:t>
          </w:r>
        </w:p>
        <w:p w14:paraId="316DB54F" w14:textId="77777777" w:rsidR="003D5DB4" w:rsidRPr="000D0101" w:rsidRDefault="003D5DB4" w:rsidP="000A5389">
          <w:pPr>
            <w:spacing w:line="240" w:lineRule="auto"/>
          </w:pPr>
          <w:r w:rsidRPr="000D0101">
            <w:lastRenderedPageBreak/>
            <w:t>Adiciones o modificaciones en tiempo</w:t>
          </w:r>
        </w:p>
        <w:p w14:paraId="58D17668" w14:textId="77777777" w:rsidR="003D5DB4" w:rsidRPr="000D0101" w:rsidRDefault="003D5DB4" w:rsidP="000A5389">
          <w:pPr>
            <w:spacing w:line="240" w:lineRule="auto"/>
          </w:pPr>
          <w:r w:rsidRPr="000D0101">
            <w:t>Fechas de las adiciones o modificaciones: No Aplica</w:t>
          </w:r>
        </w:p>
        <w:p w14:paraId="76B86465" w14:textId="77777777" w:rsidR="003D5DB4" w:rsidRPr="000D0101" w:rsidRDefault="003D5DB4" w:rsidP="000A5389">
          <w:pPr>
            <w:spacing w:line="240" w:lineRule="auto"/>
          </w:pPr>
          <w:r w:rsidRPr="000D0101">
            <w:t>Nueva Fecha de finalización estimada: No Aplica</w:t>
          </w:r>
        </w:p>
        <w:p w14:paraId="028AB058" w14:textId="77777777" w:rsidR="00567B2B" w:rsidRDefault="00567B2B" w:rsidP="000A5389">
          <w:pPr>
            <w:spacing w:line="240" w:lineRule="auto"/>
          </w:pPr>
        </w:p>
        <w:p w14:paraId="1AF0771F" w14:textId="73905145" w:rsidR="003D5DB4" w:rsidRPr="000D0101" w:rsidRDefault="003D5DB4" w:rsidP="000A5389">
          <w:pPr>
            <w:spacing w:line="240" w:lineRule="auto"/>
          </w:pPr>
          <w:r w:rsidRPr="000D0101">
            <w:t>Observaciones: No hay cambios ni modificaciones en el periodo fiscal reportado.</w:t>
          </w:r>
        </w:p>
        <w:p w14:paraId="7B037101" w14:textId="77777777" w:rsidR="00567B2B" w:rsidRDefault="00567B2B" w:rsidP="000A5389">
          <w:pPr>
            <w:spacing w:line="240" w:lineRule="auto"/>
          </w:pPr>
        </w:p>
        <w:p w14:paraId="1616A0A1" w14:textId="1D9BBF37" w:rsidR="003D5DB4" w:rsidRPr="000D0101" w:rsidRDefault="003D5DB4" w:rsidP="000A5389">
          <w:pPr>
            <w:spacing w:line="240" w:lineRule="auto"/>
          </w:pPr>
          <w:r w:rsidRPr="000D0101">
            <w:t>Adiciones o modificaciones en valor</w:t>
          </w:r>
        </w:p>
        <w:p w14:paraId="7D1CF516" w14:textId="77777777" w:rsidR="003D5DB4" w:rsidRPr="000D0101" w:rsidRDefault="003D5DB4" w:rsidP="000A5389">
          <w:pPr>
            <w:spacing w:line="240" w:lineRule="auto"/>
          </w:pPr>
          <w:r w:rsidRPr="000D0101">
            <w:t>Valor de la adición o modificación: No Aplica</w:t>
          </w:r>
        </w:p>
        <w:p w14:paraId="5AF33A76" w14:textId="77777777" w:rsidR="003D5DB4" w:rsidRPr="000D0101" w:rsidRDefault="003D5DB4" w:rsidP="000A5389">
          <w:pPr>
            <w:spacing w:line="240" w:lineRule="auto"/>
          </w:pPr>
          <w:r w:rsidRPr="000D0101">
            <w:t>Nuevo valor del acuerdo: No Aplica</w:t>
          </w:r>
        </w:p>
        <w:p w14:paraId="40678A56" w14:textId="60002A28" w:rsidR="003D5DB4" w:rsidRPr="000D0101" w:rsidRDefault="003D5DB4" w:rsidP="000A5389">
          <w:pPr>
            <w:spacing w:line="240" w:lineRule="auto"/>
          </w:pPr>
          <w:r w:rsidRPr="000D0101">
            <w:t>Observaciones: No hay modificaciones o adiciones al valor del contrato, dentro de la vigencia reportada.</w:t>
          </w:r>
        </w:p>
        <w:p w14:paraId="5F32E4C6" w14:textId="77777777" w:rsidR="003D5DB4" w:rsidRPr="000D0101" w:rsidRDefault="003D5DB4" w:rsidP="000A5389">
          <w:pPr>
            <w:spacing w:line="240" w:lineRule="auto"/>
          </w:pPr>
        </w:p>
        <w:p w14:paraId="3E7F7079" w14:textId="77777777" w:rsidR="003D5DB4" w:rsidRPr="000D0101" w:rsidRDefault="00000000" w:rsidP="000A5389">
          <w:pPr>
            <w:spacing w:line="240" w:lineRule="auto"/>
          </w:pPr>
        </w:p>
      </w:sdtContent>
    </w:sdt>
    <w:p w14:paraId="3A0AA50E" w14:textId="77777777" w:rsidR="003D5DB4" w:rsidRPr="00C72CFB" w:rsidRDefault="003D5DB4" w:rsidP="000A5389">
      <w:pPr>
        <w:spacing w:line="240" w:lineRule="auto"/>
        <w:rPr>
          <w:b/>
          <w:bCs/>
          <w:i/>
          <w:iCs/>
        </w:rPr>
      </w:pPr>
      <w:r w:rsidRPr="00C72CFB">
        <w:rPr>
          <w:b/>
          <w:bCs/>
          <w:i/>
          <w:iCs/>
        </w:rPr>
        <w:t>PROYECTO FLUVIAL</w:t>
      </w:r>
    </w:p>
    <w:p w14:paraId="2D7DD1E3" w14:textId="77777777" w:rsidR="003D5DB4" w:rsidRPr="000D0101" w:rsidRDefault="003D5DB4" w:rsidP="000A5389">
      <w:pPr>
        <w:spacing w:line="240" w:lineRule="auto"/>
        <w:rPr>
          <w:u w:val="single"/>
        </w:rPr>
      </w:pPr>
    </w:p>
    <w:p w14:paraId="4EE9C456" w14:textId="77777777" w:rsidR="003D5DB4" w:rsidRPr="00986D75" w:rsidRDefault="003D5DB4" w:rsidP="000A5389">
      <w:pPr>
        <w:spacing w:line="240" w:lineRule="auto"/>
        <w:rPr>
          <w:rFonts w:eastAsia="Times New Roman"/>
          <w:i/>
          <w:iCs/>
          <w:lang w:val="es-MX"/>
        </w:rPr>
      </w:pPr>
      <w:r w:rsidRPr="00986D75">
        <w:rPr>
          <w:rFonts w:eastAsia="Times New Roman"/>
          <w:i/>
          <w:iCs/>
          <w:lang w:val="es-MX"/>
        </w:rPr>
        <w:t>CANAL DEL DIQUE</w:t>
      </w:r>
    </w:p>
    <w:p w14:paraId="791DED08" w14:textId="77777777" w:rsidR="003D5DB4" w:rsidRPr="000D0101" w:rsidRDefault="003D5DB4" w:rsidP="000A5389">
      <w:pPr>
        <w:spacing w:line="240" w:lineRule="auto"/>
      </w:pPr>
    </w:p>
    <w:p w14:paraId="0C1B4B4A" w14:textId="77777777" w:rsidR="003D5DB4" w:rsidRPr="000D0101" w:rsidRDefault="003D5DB4" w:rsidP="000A5389">
      <w:pPr>
        <w:spacing w:line="240" w:lineRule="auto"/>
      </w:pPr>
      <w:r w:rsidRPr="000D0101">
        <w:t>a. Descripción del Acuerdo</w:t>
      </w:r>
    </w:p>
    <w:p w14:paraId="0E240145" w14:textId="77777777" w:rsidR="003D5DB4" w:rsidRPr="000D0101" w:rsidRDefault="003D5DB4" w:rsidP="000A5389">
      <w:pPr>
        <w:spacing w:line="240" w:lineRule="auto"/>
      </w:pPr>
    </w:p>
    <w:p w14:paraId="4CF825EB" w14:textId="1EFEEC95" w:rsidR="003D5DB4" w:rsidRPr="000D0101" w:rsidRDefault="003D5DB4" w:rsidP="000A5389">
      <w:pPr>
        <w:spacing w:line="240" w:lineRule="auto"/>
      </w:pPr>
      <w:r w:rsidRPr="000D0101">
        <w:t>Número del Acuerdo de Concesión: 005 de 2022</w:t>
      </w:r>
    </w:p>
    <w:p w14:paraId="66D3747F" w14:textId="77777777" w:rsidR="003D5DB4" w:rsidRPr="000D0101" w:rsidRDefault="003D5DB4" w:rsidP="000A5389">
      <w:pPr>
        <w:spacing w:line="240" w:lineRule="auto"/>
      </w:pPr>
      <w:r w:rsidRPr="000D0101">
        <w:t xml:space="preserve">Objeto / Descripción: </w:t>
      </w:r>
      <w:r w:rsidRPr="000D0101">
        <w:rPr>
          <w:rStyle w:val="Estilo6"/>
          <w:rFonts w:cs="Times New Roman"/>
          <w:szCs w:val="24"/>
        </w:rPr>
        <w:t>El presente Contrato de Concesión bajo un esquema de asociación publico privado en los términos de la Ley 1508 de 2012, tiene por objeto el otorgamiento de una Concesión para que, de conformidad con lo previsto en este contrato, el Concesionario, por su cuenta y riesgo lleve a cabo el proyecto. El Concesionario se encargará de la realización de estudios y diseños, la Ejecución de las intervenciones de conformidad con el Apéndice Técnico No. 1, la financiación de las intervenciones, la Operación y Mantenimiento de acuerdo con lo dispuesto en los Apéndices Técnicos 2, 3 y 4, la Gestión Predial, Gestión Social y Ambiental y revisión y la ejecución de las demás obligaciones contempladas en el contrato de concesión y sus Apéndices.</w:t>
      </w:r>
    </w:p>
    <w:p w14:paraId="59291AF4" w14:textId="77777777" w:rsidR="003D5DB4" w:rsidRPr="000D0101" w:rsidRDefault="003D5DB4" w:rsidP="000A5389">
      <w:pPr>
        <w:spacing w:line="240" w:lineRule="auto"/>
      </w:pPr>
      <w:r w:rsidRPr="000D0101">
        <w:t xml:space="preserve">Valor inicial: </w:t>
      </w:r>
      <w:r w:rsidRPr="000D0101">
        <w:rPr>
          <w:rStyle w:val="Estilo6"/>
          <w:rFonts w:cs="Times New Roman"/>
          <w:szCs w:val="24"/>
        </w:rPr>
        <w:t>Tres Billones Doscientos Cincuenta y Seis Mil Seiscientos Diecinueve Millones Quince Mil Ochocientos Setenta y Un ($3.256.619.015.871) pesos mes de referencia.</w:t>
      </w:r>
    </w:p>
    <w:p w14:paraId="18FBF549" w14:textId="77777777" w:rsidR="003D5DB4" w:rsidRPr="000D0101" w:rsidRDefault="003D5DB4" w:rsidP="000A5389">
      <w:pPr>
        <w:spacing w:line="240" w:lineRule="auto"/>
      </w:pPr>
      <w:r w:rsidRPr="000D0101">
        <w:t>Fecha de inicio: 1/06/2023</w:t>
      </w:r>
    </w:p>
    <w:p w14:paraId="14FDA18D" w14:textId="77777777" w:rsidR="003D5DB4" w:rsidRPr="000D0101" w:rsidRDefault="003D5DB4" w:rsidP="000A5389">
      <w:pPr>
        <w:spacing w:line="240" w:lineRule="auto"/>
      </w:pPr>
      <w:r w:rsidRPr="000D0101">
        <w:t>Fecha de finalización estimada: 31/05/2038</w:t>
      </w:r>
    </w:p>
    <w:p w14:paraId="612B6241" w14:textId="77777777" w:rsidR="003D5DB4" w:rsidRPr="000D0101" w:rsidRDefault="003D5DB4" w:rsidP="000A5389">
      <w:pPr>
        <w:spacing w:line="240" w:lineRule="auto"/>
      </w:pPr>
      <w:r w:rsidRPr="000D0101">
        <w:t xml:space="preserve">Tipo ID: </w:t>
      </w:r>
      <w:r w:rsidRPr="000D0101">
        <w:rPr>
          <w:rStyle w:val="Estilo5"/>
          <w:rFonts w:cs="Times New Roman"/>
          <w:szCs w:val="24"/>
        </w:rPr>
        <w:t>NIT</w:t>
      </w:r>
    </w:p>
    <w:p w14:paraId="5865551E" w14:textId="77777777" w:rsidR="003D5DB4" w:rsidRPr="000D0101" w:rsidRDefault="003D5DB4" w:rsidP="000A5389">
      <w:pPr>
        <w:spacing w:line="240" w:lineRule="auto"/>
      </w:pPr>
      <w:r w:rsidRPr="000D0101">
        <w:t xml:space="preserve">Número ID: </w:t>
      </w:r>
      <w:r w:rsidRPr="000D0101">
        <w:rPr>
          <w:rStyle w:val="Estilo6"/>
          <w:rFonts w:cs="Times New Roman"/>
          <w:szCs w:val="24"/>
        </w:rPr>
        <w:t>901.616.426</w:t>
      </w:r>
    </w:p>
    <w:p w14:paraId="427F4341" w14:textId="77777777" w:rsidR="003D5DB4" w:rsidRPr="000D0101" w:rsidRDefault="003D5DB4" w:rsidP="000A5389">
      <w:pPr>
        <w:spacing w:line="240" w:lineRule="auto"/>
      </w:pPr>
      <w:r w:rsidRPr="000D0101">
        <w:t xml:space="preserve">Razón social del concesionario: </w:t>
      </w:r>
      <w:r w:rsidRPr="000D0101">
        <w:rPr>
          <w:rStyle w:val="Estilo6"/>
          <w:rFonts w:cs="Times New Roman"/>
          <w:szCs w:val="24"/>
        </w:rPr>
        <w:t>Ecosistemas del Dique S.A.S.</w:t>
      </w:r>
    </w:p>
    <w:p w14:paraId="2743E8E9" w14:textId="77777777" w:rsidR="003D5DB4" w:rsidRPr="000D0101" w:rsidRDefault="003D5DB4" w:rsidP="000A5389">
      <w:pPr>
        <w:spacing w:line="240" w:lineRule="auto"/>
      </w:pPr>
      <w:r w:rsidRPr="000D0101">
        <w:t xml:space="preserve">Nombre del proyecto: </w:t>
      </w:r>
      <w:r w:rsidRPr="000D0101">
        <w:rPr>
          <w:rStyle w:val="Estilo6"/>
          <w:rFonts w:cs="Times New Roman"/>
          <w:szCs w:val="24"/>
        </w:rPr>
        <w:t>Restauración de ecosistemas degradados del Canal del Dique</w:t>
      </w:r>
    </w:p>
    <w:p w14:paraId="734AF361" w14:textId="77777777" w:rsidR="003D5DB4" w:rsidRPr="000D0101" w:rsidRDefault="003D5DB4" w:rsidP="000A5389">
      <w:pPr>
        <w:spacing w:line="240" w:lineRule="auto"/>
        <w:rPr>
          <w:lang w:val="es-MX"/>
        </w:rPr>
      </w:pPr>
    </w:p>
    <w:p w14:paraId="1D67CE0C" w14:textId="77777777" w:rsidR="003D5DB4" w:rsidRPr="000D0101" w:rsidRDefault="003D5DB4" w:rsidP="000A5389">
      <w:pPr>
        <w:spacing w:line="240" w:lineRule="auto"/>
        <w:rPr>
          <w:lang w:val="es-MX"/>
        </w:rPr>
      </w:pPr>
      <w:r w:rsidRPr="000D0101">
        <w:rPr>
          <w:lang w:val="es-MX"/>
        </w:rPr>
        <w:t>b. Términos significativos del Acuerdo que puedan afectar su valor, el calendario y la certeza de los flujos</w:t>
      </w:r>
    </w:p>
    <w:p w14:paraId="325854F0" w14:textId="77777777" w:rsidR="003D5DB4" w:rsidRPr="000D0101" w:rsidRDefault="003D5DB4" w:rsidP="000A5389">
      <w:pPr>
        <w:spacing w:line="240" w:lineRule="auto"/>
      </w:pPr>
    </w:p>
    <w:p w14:paraId="07A98B5E" w14:textId="77777777" w:rsidR="00567B2B" w:rsidRDefault="003D5DB4" w:rsidP="000A5389">
      <w:pPr>
        <w:spacing w:line="240" w:lineRule="auto"/>
      </w:pPr>
      <w:r w:rsidRPr="000D0101">
        <w:t xml:space="preserve">Términos de valor: En la sección 2.2 literal (a) establece que el valor del contrato en Tres Billones Doscientos Cincuenta y Seis Mil Seiscientos Diecinueve Millones quince Mil Ochocientos Setenta y Un ($3.256.619.015.871) pesos mes de referencia. En la sección 3.2. </w:t>
      </w:r>
      <w:r w:rsidRPr="000D0101">
        <w:lastRenderedPageBreak/>
        <w:t>literal (b) romanito (ii) tabla 1. Valor de los aportes ANI por valor de Cinco billones seiscientos setenta y dos mil ochocientos ochenta y ocho millones cuatrocientos doce mil treinta y cinco ($5.672.888.412.035) pesos mes de referencia, que en este misma sección en el literal (c) tabla N°2 se presenta los porcentajes de distribución de los aportes ANI y en el capítulo 1 numeral 1.33 establece el valor de un monto mínimo de deuda para el proyecto, en los términos señalados en el presente contrato, especialmente en la sección 3.9, cuyo valor es de Ochocientos veinticinco mil ciento diecisiete millones setecientos sesenta y seis mil cuatrocientos cincuenta y seis ($825.117.766.456) Pesos del Mes de Referencia. La sección 3.10 se relacionan los aportes Equity a realizar por el Concesionario durante la ejecución del contrato por un valor de Quinientos sesenta y siete mil novecientos treinta y seis millones cuatrocientos noventa y tres mil novecientos treinta y un pesos mes de referencia ($567.936.493.931)</w:t>
      </w:r>
    </w:p>
    <w:p w14:paraId="50C986F0" w14:textId="77777777" w:rsidR="00567B2B" w:rsidRDefault="00567B2B" w:rsidP="000A5389">
      <w:pPr>
        <w:spacing w:line="240" w:lineRule="auto"/>
      </w:pPr>
    </w:p>
    <w:p w14:paraId="21EBF936" w14:textId="0E543D8A" w:rsidR="003D5DB4" w:rsidRPr="000D0101" w:rsidRDefault="003D5DB4" w:rsidP="000A5389">
      <w:pPr>
        <w:spacing w:line="240" w:lineRule="auto"/>
      </w:pPr>
      <w:r w:rsidRPr="000D0101">
        <w:t xml:space="preserve">Términos de calendario: </w:t>
      </w:r>
      <w:r w:rsidRPr="000D0101">
        <w:rPr>
          <w:rStyle w:val="Estilo6"/>
          <w:rFonts w:cs="Times New Roman"/>
          <w:szCs w:val="24"/>
        </w:rPr>
        <w:t>Los pesos de referencia del contrato corresponden a diciembre del 2020, numeral 1.114 tabla definiciones. En la sección 3.2. literal (b) romanito (ii) tabla 1 se informa las fechas de los Aportes ANI del Contrato de Concesión.</w:t>
      </w:r>
    </w:p>
    <w:p w14:paraId="20310903" w14:textId="77777777" w:rsidR="00567B2B" w:rsidRDefault="003D5DB4" w:rsidP="000A5389">
      <w:pPr>
        <w:spacing w:line="240" w:lineRule="auto"/>
      </w:pPr>
      <w:r w:rsidRPr="000D0101">
        <w:t xml:space="preserve">Términos de certeza de flujos de efectivo futuros: </w:t>
      </w:r>
      <w:r w:rsidRPr="000D0101">
        <w:rPr>
          <w:rStyle w:val="Estilo6"/>
          <w:rFonts w:cs="Times New Roman"/>
          <w:szCs w:val="24"/>
        </w:rPr>
        <w:t>Las Fuentes de Retribución establecidas en la sección 3.2 literal (a) son los aportes ANI, recursos de Recaudo Tarifario, los ingresos por explotación comercial.</w:t>
      </w:r>
    </w:p>
    <w:p w14:paraId="183E96F9" w14:textId="77777777" w:rsidR="00567B2B" w:rsidRDefault="00567B2B" w:rsidP="000A5389">
      <w:pPr>
        <w:spacing w:line="240" w:lineRule="auto"/>
      </w:pPr>
    </w:p>
    <w:p w14:paraId="2B317AFC" w14:textId="13757F8E" w:rsidR="003D5DB4" w:rsidRPr="000D0101" w:rsidRDefault="003D5DB4" w:rsidP="000A5389">
      <w:pPr>
        <w:spacing w:line="240" w:lineRule="auto"/>
        <w:rPr>
          <w:lang w:val="es-MX"/>
        </w:rPr>
      </w:pPr>
      <w:r w:rsidRPr="000D0101">
        <w:rPr>
          <w:lang w:val="es-MX"/>
        </w:rPr>
        <w:t xml:space="preserve"> Naturaleza y alcance del derecho a utilizar activos especificados y los aspectos pactados en torno a lo que se espera que el concesionario proporcione en relación con el acuerdo de concesión</w:t>
      </w:r>
    </w:p>
    <w:p w14:paraId="75DD0476" w14:textId="77777777" w:rsidR="003D5DB4" w:rsidRPr="000D0101" w:rsidRDefault="003D5DB4" w:rsidP="000A5389">
      <w:pPr>
        <w:spacing w:line="240" w:lineRule="auto"/>
      </w:pPr>
      <w:r w:rsidRPr="000D0101">
        <w:t>Naturaleza y alcance del derecho de uso de los activos</w:t>
      </w:r>
    </w:p>
    <w:p w14:paraId="3B0128EA" w14:textId="77777777" w:rsidR="003D5DB4" w:rsidRPr="000D0101" w:rsidRDefault="003D5DB4" w:rsidP="000A5389">
      <w:pPr>
        <w:spacing w:line="240" w:lineRule="auto"/>
      </w:pPr>
    </w:p>
    <w:p w14:paraId="1E82835A" w14:textId="56C948DC" w:rsidR="003D5DB4" w:rsidRPr="000D0101" w:rsidRDefault="003D5DB4" w:rsidP="000A5389">
      <w:pPr>
        <w:spacing w:line="240" w:lineRule="auto"/>
      </w:pPr>
      <w:r w:rsidRPr="000D0101">
        <w:t>Descripción: En la sección 2.3 literal (b) romanito (xi)" La entrega de la Infraestructura programada para ser recibida por el Concesionario al inicio del Contrato, en las condiciones establecidas en la sección 1.63."El Concesionario asumirá desde el recibo de la infraestructura, todas las obligaciones de resultado que se prevean en el presente Contrato y sus Apéndices."</w:t>
      </w:r>
    </w:p>
    <w:p w14:paraId="0FF5D4A9" w14:textId="77777777" w:rsidR="003D5DB4" w:rsidRPr="000D0101" w:rsidRDefault="003D5DB4" w:rsidP="000A5389">
      <w:pPr>
        <w:spacing w:line="240" w:lineRule="auto"/>
      </w:pPr>
      <w:r w:rsidRPr="000D0101">
        <w:t xml:space="preserve">Observaciones: </w:t>
      </w:r>
      <w:r w:rsidRPr="000D0101">
        <w:rPr>
          <w:rStyle w:val="Estilo6"/>
          <w:rFonts w:cs="Times New Roman"/>
          <w:szCs w:val="24"/>
        </w:rPr>
        <w:t>Sin observaciones</w:t>
      </w:r>
    </w:p>
    <w:p w14:paraId="64EC1D60" w14:textId="77777777" w:rsidR="003D5DB4" w:rsidRPr="000D0101" w:rsidRDefault="003D5DB4" w:rsidP="000A5389">
      <w:pPr>
        <w:spacing w:line="240" w:lineRule="auto"/>
      </w:pPr>
    </w:p>
    <w:p w14:paraId="512FDEBD" w14:textId="77777777" w:rsidR="003D5DB4" w:rsidRPr="000D0101" w:rsidRDefault="003D5DB4" w:rsidP="000A5389">
      <w:pPr>
        <w:spacing w:line="240" w:lineRule="auto"/>
      </w:pPr>
      <w:r w:rsidRPr="000D0101">
        <w:t>Retribución al concesionario</w:t>
      </w:r>
    </w:p>
    <w:p w14:paraId="3480E3F5" w14:textId="77777777" w:rsidR="003D5DB4" w:rsidRPr="000D0101" w:rsidRDefault="003D5DB4" w:rsidP="000A5389">
      <w:pPr>
        <w:spacing w:line="240" w:lineRule="auto"/>
      </w:pPr>
    </w:p>
    <w:p w14:paraId="4FB60C0A" w14:textId="77777777" w:rsidR="003D5DB4" w:rsidRPr="000D0101" w:rsidRDefault="003D5DB4" w:rsidP="000A5389">
      <w:pPr>
        <w:spacing w:line="240" w:lineRule="auto"/>
        <w:rPr>
          <w:rStyle w:val="Estilo3"/>
          <w:rFonts w:cs="Times New Roman"/>
          <w:szCs w:val="24"/>
        </w:rPr>
      </w:pPr>
      <w:r w:rsidRPr="000D0101">
        <w:t xml:space="preserve">Descripción: </w:t>
      </w:r>
      <w:r w:rsidRPr="000D0101">
        <w:rPr>
          <w:rStyle w:val="Estilo6"/>
          <w:rFonts w:cs="Times New Roman"/>
          <w:szCs w:val="24"/>
        </w:rPr>
        <w:t>En la sección 3.2 literal (a) y la sección 3.5 del Contrato de Concesión se establecen los mecanismos de retribución al Concesionario.</w:t>
      </w:r>
    </w:p>
    <w:p w14:paraId="15F8B3E7" w14:textId="77777777" w:rsidR="003D5DB4" w:rsidRPr="000D0101" w:rsidRDefault="003D5DB4" w:rsidP="000A5389">
      <w:pPr>
        <w:spacing w:line="240" w:lineRule="auto"/>
      </w:pPr>
    </w:p>
    <w:p w14:paraId="21A65129" w14:textId="7C02A5A3" w:rsidR="00567B2B" w:rsidRDefault="003D5DB4" w:rsidP="000A5389">
      <w:pPr>
        <w:spacing w:line="240" w:lineRule="auto"/>
        <w:rPr>
          <w:rStyle w:val="Estilo6"/>
          <w:rFonts w:cs="Times New Roman"/>
          <w:szCs w:val="24"/>
        </w:rPr>
      </w:pPr>
      <w:r w:rsidRPr="000D0101">
        <w:t xml:space="preserve">Tasa de retribución: </w:t>
      </w:r>
      <w:r w:rsidRPr="000D0101">
        <w:rPr>
          <w:rStyle w:val="Estilo6"/>
          <w:rFonts w:cs="Times New Roman"/>
          <w:szCs w:val="24"/>
        </w:rPr>
        <w:t xml:space="preserve">De acuerdo con lo establecido con el concesionario y el auditor independiente los porcentajes preliminares establecidos para la retribución serían los siguientes:  </w:t>
      </w:r>
    </w:p>
    <w:p w14:paraId="6A95AE2C" w14:textId="126757F7" w:rsidR="003D5DB4" w:rsidRPr="000D0101" w:rsidRDefault="003D5DB4" w:rsidP="000A5389">
      <w:pPr>
        <w:spacing w:line="240" w:lineRule="auto"/>
        <w:rPr>
          <w:rStyle w:val="Estilo6"/>
          <w:rFonts w:cs="Times New Roman"/>
          <w:szCs w:val="24"/>
        </w:rPr>
      </w:pPr>
      <w:r w:rsidRPr="000D0101">
        <w:rPr>
          <w:rStyle w:val="Estilo6"/>
          <w:rFonts w:cs="Times New Roman"/>
          <w:szCs w:val="24"/>
        </w:rPr>
        <w:t xml:space="preserve">Unidad Funcional 0= 9.26% </w:t>
      </w:r>
      <w:r w:rsidRPr="000D0101">
        <w:rPr>
          <w:rStyle w:val="Estilo6"/>
          <w:rFonts w:cs="Times New Roman"/>
          <w:szCs w:val="24"/>
        </w:rPr>
        <w:tab/>
      </w:r>
      <w:r w:rsidRPr="000D0101">
        <w:rPr>
          <w:rStyle w:val="Estilo6"/>
          <w:rFonts w:cs="Times New Roman"/>
          <w:szCs w:val="24"/>
        </w:rPr>
        <w:tab/>
        <w:t xml:space="preserve">Unidad Funcional 1 = 3.94% </w:t>
      </w:r>
    </w:p>
    <w:p w14:paraId="0B47BAB6" w14:textId="77777777" w:rsidR="003D5DB4" w:rsidRPr="000D0101" w:rsidRDefault="003D5DB4" w:rsidP="000A5389">
      <w:pPr>
        <w:spacing w:line="240" w:lineRule="auto"/>
        <w:rPr>
          <w:rStyle w:val="Estilo6"/>
          <w:rFonts w:cs="Times New Roman"/>
          <w:szCs w:val="24"/>
        </w:rPr>
      </w:pPr>
      <w:r w:rsidRPr="000D0101">
        <w:rPr>
          <w:rStyle w:val="Estilo6"/>
          <w:rFonts w:cs="Times New Roman"/>
          <w:szCs w:val="24"/>
        </w:rPr>
        <w:t>Unidad Funcional 2 = 7.21%</w:t>
      </w:r>
      <w:r w:rsidRPr="000D0101">
        <w:rPr>
          <w:rStyle w:val="Estilo6"/>
          <w:rFonts w:cs="Times New Roman"/>
          <w:szCs w:val="24"/>
        </w:rPr>
        <w:tab/>
      </w:r>
      <w:r w:rsidRPr="000D0101">
        <w:rPr>
          <w:rStyle w:val="Estilo6"/>
          <w:rFonts w:cs="Times New Roman"/>
          <w:szCs w:val="24"/>
        </w:rPr>
        <w:tab/>
        <w:t xml:space="preserve">Unidad Funcional 3 = 22.84% </w:t>
      </w:r>
    </w:p>
    <w:p w14:paraId="59D28632" w14:textId="77777777" w:rsidR="003D5DB4" w:rsidRPr="000D0101" w:rsidRDefault="003D5DB4" w:rsidP="000A5389">
      <w:pPr>
        <w:spacing w:line="240" w:lineRule="auto"/>
        <w:rPr>
          <w:rStyle w:val="Estilo6"/>
          <w:rFonts w:cs="Times New Roman"/>
          <w:szCs w:val="24"/>
        </w:rPr>
      </w:pPr>
      <w:r w:rsidRPr="000D0101">
        <w:rPr>
          <w:rStyle w:val="Estilo6"/>
          <w:rFonts w:cs="Times New Roman"/>
          <w:szCs w:val="24"/>
        </w:rPr>
        <w:t xml:space="preserve">Unidad Funcional 4 = 3.05% </w:t>
      </w:r>
      <w:r w:rsidRPr="000D0101">
        <w:rPr>
          <w:rStyle w:val="Estilo6"/>
          <w:rFonts w:cs="Times New Roman"/>
          <w:szCs w:val="24"/>
        </w:rPr>
        <w:tab/>
        <w:t xml:space="preserve">Unidad Funcional 5 = 8.47% </w:t>
      </w:r>
    </w:p>
    <w:p w14:paraId="7C732133" w14:textId="77777777" w:rsidR="003D5DB4" w:rsidRPr="000D0101" w:rsidRDefault="003D5DB4" w:rsidP="000A5389">
      <w:pPr>
        <w:spacing w:line="240" w:lineRule="auto"/>
        <w:rPr>
          <w:rStyle w:val="Estilo6"/>
          <w:rFonts w:cs="Times New Roman"/>
          <w:szCs w:val="24"/>
        </w:rPr>
      </w:pPr>
      <w:r w:rsidRPr="000D0101">
        <w:rPr>
          <w:rStyle w:val="Estilo6"/>
          <w:rFonts w:cs="Times New Roman"/>
          <w:szCs w:val="24"/>
        </w:rPr>
        <w:t xml:space="preserve">Unidad Funcional 6 = 0.80% </w:t>
      </w:r>
      <w:r w:rsidRPr="000D0101">
        <w:rPr>
          <w:rStyle w:val="Estilo6"/>
          <w:rFonts w:cs="Times New Roman"/>
          <w:szCs w:val="24"/>
        </w:rPr>
        <w:tab/>
        <w:t xml:space="preserve">Unidad Funcional 7 = 4.13% </w:t>
      </w:r>
    </w:p>
    <w:p w14:paraId="67CD9716" w14:textId="77777777" w:rsidR="003D5DB4" w:rsidRPr="000D0101" w:rsidRDefault="003D5DB4" w:rsidP="000A5389">
      <w:pPr>
        <w:spacing w:line="240" w:lineRule="auto"/>
        <w:rPr>
          <w:rStyle w:val="Estilo6"/>
          <w:rFonts w:cs="Times New Roman"/>
          <w:szCs w:val="24"/>
        </w:rPr>
      </w:pPr>
      <w:r w:rsidRPr="000D0101">
        <w:rPr>
          <w:rStyle w:val="Estilo6"/>
          <w:rFonts w:cs="Times New Roman"/>
          <w:szCs w:val="24"/>
        </w:rPr>
        <w:lastRenderedPageBreak/>
        <w:t xml:space="preserve">Unidad Funcional 8 = 19.89% </w:t>
      </w:r>
      <w:r w:rsidRPr="000D0101">
        <w:rPr>
          <w:rStyle w:val="Estilo6"/>
          <w:rFonts w:cs="Times New Roman"/>
          <w:szCs w:val="24"/>
        </w:rPr>
        <w:tab/>
        <w:t>Unidad Funcional 9 = 3.59%</w:t>
      </w:r>
    </w:p>
    <w:p w14:paraId="552A270B" w14:textId="77777777" w:rsidR="003D5DB4" w:rsidRPr="000D0101" w:rsidRDefault="003D5DB4" w:rsidP="000A5389">
      <w:pPr>
        <w:spacing w:line="240" w:lineRule="auto"/>
        <w:rPr>
          <w:rStyle w:val="Estilo6"/>
          <w:rFonts w:cs="Times New Roman"/>
          <w:szCs w:val="24"/>
        </w:rPr>
      </w:pPr>
      <w:r w:rsidRPr="000D0101">
        <w:rPr>
          <w:rStyle w:val="Estilo6"/>
          <w:rFonts w:cs="Times New Roman"/>
          <w:szCs w:val="24"/>
        </w:rPr>
        <w:t xml:space="preserve">Unidad Funcional 10 = 2.20% </w:t>
      </w:r>
      <w:r w:rsidRPr="000D0101">
        <w:rPr>
          <w:rStyle w:val="Estilo6"/>
          <w:rFonts w:cs="Times New Roman"/>
          <w:szCs w:val="24"/>
        </w:rPr>
        <w:tab/>
        <w:t xml:space="preserve">Unidad Funcional 11 = 3.43% </w:t>
      </w:r>
    </w:p>
    <w:p w14:paraId="4D28BB18" w14:textId="77777777" w:rsidR="003D5DB4" w:rsidRPr="000D0101" w:rsidRDefault="003D5DB4" w:rsidP="000A5389">
      <w:pPr>
        <w:spacing w:line="240" w:lineRule="auto"/>
        <w:rPr>
          <w:rStyle w:val="Estilo6"/>
          <w:rFonts w:cs="Times New Roman"/>
          <w:szCs w:val="24"/>
        </w:rPr>
      </w:pPr>
      <w:r w:rsidRPr="000D0101">
        <w:rPr>
          <w:rStyle w:val="Estilo6"/>
          <w:rFonts w:cs="Times New Roman"/>
          <w:szCs w:val="24"/>
        </w:rPr>
        <w:t>Unidad Funcional 12 = 3.92%</w:t>
      </w:r>
      <w:r w:rsidRPr="000D0101">
        <w:rPr>
          <w:rStyle w:val="Estilo6"/>
          <w:rFonts w:cs="Times New Roman"/>
          <w:szCs w:val="24"/>
        </w:rPr>
        <w:tab/>
        <w:t>Unidad Funcional 13 = 2.20%</w:t>
      </w:r>
    </w:p>
    <w:p w14:paraId="2E9E695A" w14:textId="77777777" w:rsidR="003D5DB4" w:rsidRPr="000D0101" w:rsidRDefault="003D5DB4" w:rsidP="000A5389">
      <w:pPr>
        <w:spacing w:line="240" w:lineRule="auto"/>
        <w:rPr>
          <w:rStyle w:val="Estilo3"/>
          <w:rFonts w:cs="Times New Roman"/>
          <w:szCs w:val="24"/>
        </w:rPr>
      </w:pPr>
      <w:r w:rsidRPr="000D0101">
        <w:rPr>
          <w:rStyle w:val="Estilo6"/>
          <w:rFonts w:cs="Times New Roman"/>
          <w:szCs w:val="24"/>
        </w:rPr>
        <w:t>Unidad Funcional 14= 5.07%</w:t>
      </w:r>
    </w:p>
    <w:p w14:paraId="0E3C6F2D" w14:textId="77777777" w:rsidR="003D5DB4" w:rsidRPr="000D0101" w:rsidRDefault="003D5DB4" w:rsidP="000A5389">
      <w:pPr>
        <w:spacing w:line="240" w:lineRule="auto"/>
      </w:pPr>
    </w:p>
    <w:p w14:paraId="3F81BDC8" w14:textId="77777777" w:rsidR="003D5DB4" w:rsidRPr="000D0101" w:rsidRDefault="003D5DB4" w:rsidP="000A5389">
      <w:pPr>
        <w:spacing w:line="240" w:lineRule="auto"/>
      </w:pPr>
      <w:r w:rsidRPr="000D0101">
        <w:t>d. Derechos a recibir activos especificados al final del acuerdo de concesión</w:t>
      </w:r>
    </w:p>
    <w:p w14:paraId="6F5A707A" w14:textId="77777777" w:rsidR="003D5DB4" w:rsidRPr="000D0101" w:rsidRDefault="003D5DB4" w:rsidP="000A5389">
      <w:pPr>
        <w:spacing w:line="240" w:lineRule="auto"/>
      </w:pPr>
    </w:p>
    <w:p w14:paraId="7B99FBD1" w14:textId="77777777" w:rsidR="003D5DB4" w:rsidRPr="000D0101" w:rsidRDefault="003D5DB4" w:rsidP="000A5389">
      <w:pPr>
        <w:spacing w:line="240" w:lineRule="auto"/>
      </w:pPr>
      <w:r w:rsidRPr="000D0101">
        <w:t xml:space="preserve">Descripción: </w:t>
      </w:r>
      <w:r w:rsidRPr="000D0101">
        <w:rPr>
          <w:rStyle w:val="Estilo6"/>
          <w:rFonts w:cs="Times New Roman"/>
          <w:szCs w:val="24"/>
        </w:rPr>
        <w:t>En el numeral 1.163 Reversión correspondiente al Capítulo I establece "Corresponde al procedimiento señalado en la sección 9.9, mediante el cual el Concesionario entrega los bienes asociados al proyecto a la ANI para dar por terminado el Contrato".</w:t>
      </w:r>
    </w:p>
    <w:p w14:paraId="5D5E78BC" w14:textId="77777777" w:rsidR="003D5DB4" w:rsidRPr="000D0101" w:rsidRDefault="003D5DB4" w:rsidP="000A5389">
      <w:pPr>
        <w:spacing w:line="240" w:lineRule="auto"/>
      </w:pPr>
      <w:r w:rsidRPr="000D0101">
        <w:t xml:space="preserve">Observaciones: </w:t>
      </w:r>
      <w:r w:rsidRPr="000D0101">
        <w:rPr>
          <w:rStyle w:val="Estilo6"/>
          <w:rFonts w:cs="Times New Roman"/>
          <w:szCs w:val="24"/>
        </w:rPr>
        <w:t>Relacionada en el Formato GCSP-F-301 PPYE (Pendiente socializar por parte de la ANI).</w:t>
      </w:r>
    </w:p>
    <w:p w14:paraId="0C4AAF39" w14:textId="77777777" w:rsidR="003D5DB4" w:rsidRPr="000D0101" w:rsidRDefault="003D5DB4" w:rsidP="000A5389">
      <w:pPr>
        <w:spacing w:line="240" w:lineRule="auto"/>
      </w:pPr>
    </w:p>
    <w:p w14:paraId="2830D8E7" w14:textId="77777777" w:rsidR="003D5DB4" w:rsidRPr="000D0101" w:rsidRDefault="003D5DB4" w:rsidP="000A5389">
      <w:pPr>
        <w:spacing w:line="240" w:lineRule="auto"/>
      </w:pPr>
      <w:r w:rsidRPr="000D0101">
        <w:t>e. Las alternativas de renovación y cese del Acuerdo</w:t>
      </w:r>
    </w:p>
    <w:p w14:paraId="74FDDC6C" w14:textId="77777777" w:rsidR="003D5DB4" w:rsidRPr="000D0101" w:rsidRDefault="003D5DB4" w:rsidP="000A5389">
      <w:pPr>
        <w:spacing w:line="240" w:lineRule="auto"/>
      </w:pPr>
    </w:p>
    <w:p w14:paraId="49FE1884" w14:textId="77777777" w:rsidR="003D5DB4" w:rsidRPr="000D0101" w:rsidRDefault="003D5DB4" w:rsidP="000A5389">
      <w:pPr>
        <w:spacing w:line="240" w:lineRule="auto"/>
      </w:pPr>
      <w:r w:rsidRPr="000D0101">
        <w:t xml:space="preserve">Descripción: </w:t>
      </w:r>
      <w:r w:rsidRPr="000D0101">
        <w:rPr>
          <w:rStyle w:val="Estilo6"/>
          <w:rFonts w:cs="Times New Roman"/>
          <w:szCs w:val="24"/>
        </w:rPr>
        <w:t>Como modificación del acuerdo el Contrato de Concesión en la Sección 19.11 indica: "Modificación del contrato: El Contrato junto con sus Apéndices no podrá ser modificado sino por acuerdo escrito debidamente firmado por representantes autorizados de las Partes y con el cumplimiento de los requisitos que impone la Ley Aplicable, sin perjuicio de lo dispuesto en cuanto a la modificación unilateral del mismo por parte de la ANI en los términos de este Contrato y la Ley Aplicable." En concordancia con la Ley 1508 de 2012 y Ley 80 de 1993.Como terminación anticipada el Contrato de Concesión especifica las causales de terminación anticipada por causas imputables al Concesionario, a la ANI y a ninguna de las partes establecida en la Sección 17.2 literales (a), (b) y (c).</w:t>
      </w:r>
    </w:p>
    <w:p w14:paraId="33FF4E67" w14:textId="77777777" w:rsidR="003D5DB4" w:rsidRPr="000D0101" w:rsidRDefault="003D5DB4" w:rsidP="000A5389">
      <w:pPr>
        <w:spacing w:line="240" w:lineRule="auto"/>
      </w:pPr>
      <w:r w:rsidRPr="000D0101">
        <w:t xml:space="preserve">Observaciones: </w:t>
      </w:r>
      <w:r w:rsidRPr="000D0101">
        <w:rPr>
          <w:rStyle w:val="Estilo6"/>
          <w:rFonts w:cs="Times New Roman"/>
          <w:szCs w:val="24"/>
        </w:rPr>
        <w:t>Sin observaciones</w:t>
      </w:r>
    </w:p>
    <w:p w14:paraId="646FA613" w14:textId="77777777" w:rsidR="003D5DB4" w:rsidRPr="000D0101" w:rsidRDefault="003D5DB4" w:rsidP="000A5389">
      <w:pPr>
        <w:spacing w:line="240" w:lineRule="auto"/>
        <w:rPr>
          <w:lang w:val="es-MX"/>
        </w:rPr>
      </w:pPr>
      <w:r w:rsidRPr="000D0101">
        <w:rPr>
          <w:lang w:val="es-MX"/>
        </w:rPr>
        <w:t>f. Cambios en el acuerdo de concesión que se realicen durante el periodo fiscal</w:t>
      </w:r>
    </w:p>
    <w:p w14:paraId="2A430CE2" w14:textId="77777777" w:rsidR="003D5DB4" w:rsidRPr="000D0101" w:rsidRDefault="003D5DB4" w:rsidP="000A5389">
      <w:pPr>
        <w:spacing w:line="240" w:lineRule="auto"/>
        <w:rPr>
          <w:lang w:val="es-MX"/>
        </w:rPr>
      </w:pPr>
    </w:p>
    <w:p w14:paraId="6951F5BE" w14:textId="77777777" w:rsidR="003D5DB4" w:rsidRPr="000D0101" w:rsidRDefault="003D5DB4" w:rsidP="000A5389">
      <w:pPr>
        <w:spacing w:line="240" w:lineRule="auto"/>
      </w:pPr>
      <w:r w:rsidRPr="000D0101">
        <w:t>Adiciones o modificaciones en tiempo</w:t>
      </w:r>
    </w:p>
    <w:p w14:paraId="084D6A58" w14:textId="77777777" w:rsidR="003D5DB4" w:rsidRPr="000D0101" w:rsidRDefault="003D5DB4" w:rsidP="000A5389">
      <w:pPr>
        <w:spacing w:line="240" w:lineRule="auto"/>
      </w:pPr>
    </w:p>
    <w:p w14:paraId="1CF57029" w14:textId="77777777" w:rsidR="003D5DB4" w:rsidRDefault="003D5DB4" w:rsidP="000A5389">
      <w:pPr>
        <w:spacing w:line="240" w:lineRule="auto"/>
      </w:pPr>
      <w:r w:rsidRPr="000D0101">
        <w:t>Fechas de las adiciones o modificaciones: El Contrato de Concesión en la sección 2.5 literal (a) numeral (2) establece la duración de la Fase de preconstrucción de 18 meses y la sección 3.9 literal (a) establece el plazo para que el Concesionario presente la totalidad de la documentación para acreditar el cierre financiero de 16 meses contados desde la Fecha de Inicio.</w:t>
      </w:r>
    </w:p>
    <w:p w14:paraId="7C33F730" w14:textId="77777777" w:rsidR="00C72CFB" w:rsidRPr="000D0101" w:rsidRDefault="00C72CFB" w:rsidP="000A5389">
      <w:pPr>
        <w:spacing w:line="240" w:lineRule="auto"/>
      </w:pPr>
    </w:p>
    <w:p w14:paraId="0EDCA598" w14:textId="77777777" w:rsidR="003D5DB4" w:rsidRPr="000D0101" w:rsidRDefault="003D5DB4" w:rsidP="000A5389">
      <w:pPr>
        <w:spacing w:line="240" w:lineRule="auto"/>
      </w:pPr>
      <w:r w:rsidRPr="000D0101">
        <w:t>Nueva fecha de finalización estimada: La Cláusula Segunda del Otrosí N°2 de 22 de abril de 2025, se modificó la sección 2.5(a)(i)(2) correspondiente a la duración de la fase de preconstrucción a 45 meses y a su vez la Cláusula Tercera de la sección 3.9 (a) modificó el plazo para acreditar el cierre financiero a 45 meses contados desde la fecha de inicio.</w:t>
      </w:r>
    </w:p>
    <w:p w14:paraId="41C983BF" w14:textId="77777777" w:rsidR="003D5DB4" w:rsidRDefault="003D5DB4" w:rsidP="000A5389">
      <w:pPr>
        <w:spacing w:line="240" w:lineRule="auto"/>
        <w:rPr>
          <w:rStyle w:val="Estilo6"/>
          <w:rFonts w:cs="Times New Roman"/>
          <w:szCs w:val="24"/>
        </w:rPr>
      </w:pPr>
      <w:r w:rsidRPr="000D0101">
        <w:t xml:space="preserve">Observaciones: </w:t>
      </w:r>
      <w:r w:rsidRPr="000D0101">
        <w:rPr>
          <w:rStyle w:val="Estilo6"/>
          <w:rFonts w:cs="Times New Roman"/>
          <w:szCs w:val="24"/>
        </w:rPr>
        <w:t>La prórroga de la Fase de Preconstrucción obedece a la activación del Riesgo ANI de licenciamiento ambiental, prevista en la Sección 13.3 (a) (iv) del Contrato de Concesión</w:t>
      </w:r>
    </w:p>
    <w:p w14:paraId="18647B19" w14:textId="77777777" w:rsidR="00C72CFB" w:rsidRPr="000D0101" w:rsidRDefault="00C72CFB" w:rsidP="000A5389">
      <w:pPr>
        <w:spacing w:line="240" w:lineRule="auto"/>
      </w:pPr>
    </w:p>
    <w:p w14:paraId="6AD013D2" w14:textId="77777777" w:rsidR="003D5DB4" w:rsidRPr="000D0101" w:rsidRDefault="003D5DB4" w:rsidP="000A5389">
      <w:pPr>
        <w:spacing w:line="240" w:lineRule="auto"/>
      </w:pPr>
      <w:r w:rsidRPr="000D0101">
        <w:t>Adiciones o modificaciones en valor</w:t>
      </w:r>
    </w:p>
    <w:p w14:paraId="4B954C89" w14:textId="77777777" w:rsidR="003D5DB4" w:rsidRPr="000D0101" w:rsidRDefault="003D5DB4" w:rsidP="000A5389">
      <w:pPr>
        <w:spacing w:line="240" w:lineRule="auto"/>
      </w:pPr>
      <w:r w:rsidRPr="000D0101">
        <w:lastRenderedPageBreak/>
        <w:t xml:space="preserve">Valor de la adición o modificación: </w:t>
      </w:r>
      <w:r w:rsidRPr="000D0101">
        <w:rPr>
          <w:rStyle w:val="Estilo6"/>
          <w:rFonts w:cs="Times New Roman"/>
          <w:szCs w:val="24"/>
        </w:rPr>
        <w:t>No aplica</w:t>
      </w:r>
    </w:p>
    <w:p w14:paraId="39A5F751" w14:textId="77777777" w:rsidR="003D5DB4" w:rsidRPr="000D0101" w:rsidRDefault="003D5DB4" w:rsidP="000A5389">
      <w:pPr>
        <w:spacing w:line="240" w:lineRule="auto"/>
      </w:pPr>
      <w:r w:rsidRPr="000D0101">
        <w:t xml:space="preserve">Nuevo valor del acuerdo: </w:t>
      </w:r>
      <w:r w:rsidRPr="000D0101">
        <w:rPr>
          <w:rStyle w:val="Estilo6"/>
          <w:rFonts w:cs="Times New Roman"/>
          <w:szCs w:val="24"/>
        </w:rPr>
        <w:t>No aplica</w:t>
      </w:r>
    </w:p>
    <w:p w14:paraId="7B10EC20" w14:textId="130AD5A8" w:rsidR="00C72CFB" w:rsidRDefault="003D5DB4" w:rsidP="000A5389">
      <w:pPr>
        <w:spacing w:line="240" w:lineRule="auto"/>
        <w:rPr>
          <w:rFonts w:cs="Times New Roman"/>
          <w:szCs w:val="24"/>
        </w:rPr>
      </w:pPr>
      <w:r w:rsidRPr="000D0101">
        <w:t xml:space="preserve">Observaciones: </w:t>
      </w:r>
      <w:r w:rsidRPr="000D0101">
        <w:rPr>
          <w:rStyle w:val="Estilo6"/>
          <w:rFonts w:cs="Times New Roman"/>
          <w:szCs w:val="24"/>
        </w:rPr>
        <w:t>Sin observaciones</w:t>
      </w:r>
    </w:p>
    <w:p w14:paraId="401B4DF4" w14:textId="77777777" w:rsidR="00C72CFB" w:rsidRPr="000D0101" w:rsidRDefault="00C72CFB" w:rsidP="000A5389">
      <w:pPr>
        <w:spacing w:line="240" w:lineRule="auto"/>
        <w:rPr>
          <w:rFonts w:cs="Times New Roman"/>
          <w:szCs w:val="24"/>
        </w:rPr>
      </w:pPr>
    </w:p>
    <w:p w14:paraId="13D9B120" w14:textId="362772EB" w:rsidR="00915693" w:rsidRPr="00951AB1" w:rsidRDefault="00915693" w:rsidP="000A5389">
      <w:pPr>
        <w:pStyle w:val="Ttulo1"/>
        <w:spacing w:line="240" w:lineRule="auto"/>
        <w:rPr>
          <w:rFonts w:cs="Times New Roman"/>
        </w:rPr>
      </w:pPr>
      <w:bookmarkStart w:id="1083" w:name="_Toc191369587"/>
      <w:bookmarkStart w:id="1084" w:name="_Toc191456914"/>
      <w:bookmarkStart w:id="1085" w:name="_Toc191457024"/>
      <w:bookmarkStart w:id="1086" w:name="_Toc191457134"/>
      <w:bookmarkStart w:id="1087" w:name="_Toc191475760"/>
      <w:bookmarkStart w:id="1088" w:name="_Toc191475869"/>
      <w:bookmarkStart w:id="1089" w:name="_Toc191475978"/>
      <w:bookmarkStart w:id="1090" w:name="_Toc191475501"/>
      <w:bookmarkStart w:id="1091" w:name="_Toc191505878"/>
      <w:bookmarkStart w:id="1092" w:name="_Toc222824291"/>
      <w:bookmarkStart w:id="1093" w:name="_Toc222955558"/>
      <w:r w:rsidRPr="00951AB1">
        <w:rPr>
          <w:rFonts w:cs="Times New Roman"/>
        </w:rPr>
        <w:t>NOTA 3</w:t>
      </w:r>
      <w:r w:rsidR="00553E30" w:rsidRPr="00951AB1">
        <w:rPr>
          <w:rFonts w:cs="Times New Roman"/>
        </w:rPr>
        <w:t>5</w:t>
      </w:r>
      <w:r w:rsidRPr="00951AB1">
        <w:rPr>
          <w:rFonts w:cs="Times New Roman"/>
        </w:rPr>
        <w:t>. EFECTOS DE LAS VARIACIONES EN LAS TASAS DE CAMBIO</w:t>
      </w:r>
      <w:r w:rsidR="71684D34" w:rsidRPr="00951AB1">
        <w:rPr>
          <w:rFonts w:cs="Times New Roman"/>
        </w:rPr>
        <w:t xml:space="preserve"> </w:t>
      </w:r>
      <w:r w:rsidRPr="00951AB1">
        <w:rPr>
          <w:rFonts w:cs="Times New Roman"/>
        </w:rPr>
        <w:t>DE LA MONEDA EXTRANJERA</w:t>
      </w:r>
      <w:bookmarkEnd w:id="1083"/>
      <w:bookmarkEnd w:id="1084"/>
      <w:bookmarkEnd w:id="1085"/>
      <w:bookmarkEnd w:id="1086"/>
      <w:bookmarkEnd w:id="1087"/>
      <w:bookmarkEnd w:id="1088"/>
      <w:bookmarkEnd w:id="1089"/>
      <w:bookmarkEnd w:id="1090"/>
      <w:bookmarkEnd w:id="1091"/>
      <w:bookmarkEnd w:id="1092"/>
      <w:bookmarkEnd w:id="1093"/>
    </w:p>
    <w:p w14:paraId="216CC97B" w14:textId="77777777" w:rsidR="00915693" w:rsidRPr="00951AB1" w:rsidRDefault="00915693" w:rsidP="000A5389">
      <w:pPr>
        <w:spacing w:line="240" w:lineRule="auto"/>
        <w:rPr>
          <w:rFonts w:cs="Times New Roman"/>
        </w:rPr>
      </w:pPr>
    </w:p>
    <w:p w14:paraId="657A37A4" w14:textId="77777777" w:rsidR="00915693" w:rsidRPr="00951AB1" w:rsidRDefault="00915693" w:rsidP="000A5389">
      <w:pPr>
        <w:pStyle w:val="Ttulo2"/>
        <w:numPr>
          <w:ilvl w:val="0"/>
          <w:numId w:val="0"/>
        </w:numPr>
        <w:spacing w:line="240" w:lineRule="auto"/>
        <w:rPr>
          <w:rFonts w:cs="Times New Roman"/>
        </w:rPr>
      </w:pPr>
      <w:bookmarkStart w:id="1094" w:name="_Toc191369588"/>
      <w:bookmarkStart w:id="1095" w:name="_Toc191456915"/>
      <w:bookmarkStart w:id="1096" w:name="_Toc191457025"/>
      <w:bookmarkStart w:id="1097" w:name="_Toc191457135"/>
      <w:bookmarkStart w:id="1098" w:name="_Toc191475761"/>
      <w:bookmarkStart w:id="1099" w:name="_Toc191475870"/>
      <w:bookmarkStart w:id="1100" w:name="_Toc191475979"/>
      <w:bookmarkStart w:id="1101" w:name="_Toc191475502"/>
      <w:bookmarkStart w:id="1102" w:name="_Toc191505879"/>
      <w:bookmarkStart w:id="1103" w:name="_Toc222824292"/>
      <w:bookmarkStart w:id="1104" w:name="_Toc222955559"/>
      <w:r w:rsidRPr="00951AB1">
        <w:rPr>
          <w:rFonts w:cs="Times New Roman"/>
        </w:rPr>
        <w:t>Composición</w:t>
      </w:r>
      <w:bookmarkEnd w:id="1094"/>
      <w:bookmarkEnd w:id="1095"/>
      <w:bookmarkEnd w:id="1096"/>
      <w:bookmarkEnd w:id="1097"/>
      <w:bookmarkEnd w:id="1098"/>
      <w:bookmarkEnd w:id="1099"/>
      <w:bookmarkEnd w:id="1100"/>
      <w:bookmarkEnd w:id="1101"/>
      <w:bookmarkEnd w:id="1102"/>
      <w:bookmarkEnd w:id="1103"/>
      <w:bookmarkEnd w:id="1104"/>
    </w:p>
    <w:p w14:paraId="17701F1A" w14:textId="77777777" w:rsidR="002909D8" w:rsidRPr="00951AB1" w:rsidRDefault="002909D8" w:rsidP="000A5389">
      <w:pPr>
        <w:spacing w:line="240" w:lineRule="auto"/>
        <w:rPr>
          <w:rFonts w:cs="Times New Roman"/>
        </w:rPr>
      </w:pPr>
    </w:p>
    <w:tbl>
      <w:tblPr>
        <w:tblW w:w="8828"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ook w:val="06A0" w:firstRow="1" w:lastRow="0" w:firstColumn="1" w:lastColumn="0" w:noHBand="1" w:noVBand="1"/>
      </w:tblPr>
      <w:tblGrid>
        <w:gridCol w:w="1027"/>
        <w:gridCol w:w="623"/>
        <w:gridCol w:w="2873"/>
        <w:gridCol w:w="1422"/>
        <w:gridCol w:w="1286"/>
        <w:gridCol w:w="1597"/>
      </w:tblGrid>
      <w:tr w:rsidR="005A73C0" w:rsidRPr="00951AB1" w14:paraId="1465AF16" w14:textId="77777777" w:rsidTr="00447F02">
        <w:trPr>
          <w:trHeight w:val="434"/>
        </w:trPr>
        <w:tc>
          <w:tcPr>
            <w:tcW w:w="4510" w:type="dxa"/>
            <w:gridSpan w:val="3"/>
            <w:shd w:val="clear" w:color="auto" w:fill="FFFFFF" w:themeFill="background1"/>
            <w:tcMar>
              <w:top w:w="15" w:type="dxa"/>
              <w:left w:w="15" w:type="dxa"/>
              <w:right w:w="15" w:type="dxa"/>
            </w:tcMar>
            <w:vAlign w:val="center"/>
          </w:tcPr>
          <w:p w14:paraId="62D152D0" w14:textId="08453C9D" w:rsidR="4DBE4A8A" w:rsidRPr="00951AB1" w:rsidRDefault="17399E98" w:rsidP="000A5389">
            <w:pPr>
              <w:spacing w:line="240" w:lineRule="auto"/>
              <w:jc w:val="center"/>
              <w:rPr>
                <w:rFonts w:eastAsia="Times New Roman" w:cs="Times New Roman"/>
                <w:b/>
                <w:sz w:val="18"/>
                <w:szCs w:val="18"/>
              </w:rPr>
            </w:pPr>
            <w:r w:rsidRPr="00951AB1">
              <w:rPr>
                <w:rFonts w:eastAsia="Times New Roman" w:cs="Times New Roman"/>
                <w:b/>
                <w:sz w:val="18"/>
                <w:szCs w:val="18"/>
              </w:rPr>
              <w:t>DESCRIPCIÓN</w:t>
            </w:r>
          </w:p>
        </w:tc>
        <w:tc>
          <w:tcPr>
            <w:tcW w:w="2713" w:type="dxa"/>
            <w:gridSpan w:val="2"/>
            <w:shd w:val="clear" w:color="auto" w:fill="FFFFFF" w:themeFill="background1"/>
            <w:tcMar>
              <w:top w:w="15" w:type="dxa"/>
              <w:left w:w="15" w:type="dxa"/>
              <w:right w:w="15" w:type="dxa"/>
            </w:tcMar>
            <w:vAlign w:val="center"/>
          </w:tcPr>
          <w:p w14:paraId="4CEAAD77" w14:textId="016778BC" w:rsidR="4DBE4A8A" w:rsidRPr="00951AB1" w:rsidRDefault="17399E98" w:rsidP="000A5389">
            <w:pPr>
              <w:spacing w:line="240" w:lineRule="auto"/>
              <w:jc w:val="center"/>
              <w:rPr>
                <w:rFonts w:eastAsia="Times New Roman" w:cs="Times New Roman"/>
                <w:b/>
                <w:sz w:val="18"/>
                <w:szCs w:val="18"/>
              </w:rPr>
            </w:pPr>
            <w:r w:rsidRPr="00951AB1">
              <w:rPr>
                <w:rFonts w:eastAsia="Times New Roman" w:cs="Times New Roman"/>
                <w:b/>
                <w:sz w:val="18"/>
                <w:szCs w:val="18"/>
              </w:rPr>
              <w:t>SALDOS A CORTES DE LA VIGENCIA</w:t>
            </w:r>
          </w:p>
        </w:tc>
        <w:tc>
          <w:tcPr>
            <w:tcW w:w="1605" w:type="dxa"/>
            <w:shd w:val="clear" w:color="auto" w:fill="FFFFFF" w:themeFill="background1"/>
            <w:tcMar>
              <w:top w:w="15" w:type="dxa"/>
              <w:left w:w="15" w:type="dxa"/>
              <w:right w:w="15" w:type="dxa"/>
            </w:tcMar>
            <w:vAlign w:val="center"/>
          </w:tcPr>
          <w:p w14:paraId="5CFA0288" w14:textId="021D4492" w:rsidR="4DBE4A8A" w:rsidRPr="00951AB1" w:rsidRDefault="17399E98" w:rsidP="000A5389">
            <w:pPr>
              <w:spacing w:line="240" w:lineRule="auto"/>
              <w:jc w:val="center"/>
              <w:rPr>
                <w:rFonts w:eastAsia="Times New Roman" w:cs="Times New Roman"/>
                <w:b/>
                <w:sz w:val="18"/>
                <w:szCs w:val="18"/>
              </w:rPr>
            </w:pPr>
            <w:r w:rsidRPr="00951AB1">
              <w:rPr>
                <w:rFonts w:eastAsia="Times New Roman" w:cs="Times New Roman"/>
                <w:b/>
                <w:sz w:val="18"/>
                <w:szCs w:val="18"/>
              </w:rPr>
              <w:t>VARIACIÓN</w:t>
            </w:r>
          </w:p>
        </w:tc>
      </w:tr>
      <w:tr w:rsidR="005A6065" w:rsidRPr="00951AB1" w14:paraId="11528C43" w14:textId="77777777" w:rsidTr="004004C5">
        <w:trPr>
          <w:trHeight w:val="458"/>
        </w:trPr>
        <w:tc>
          <w:tcPr>
            <w:tcW w:w="972" w:type="dxa"/>
            <w:vMerge w:val="restart"/>
            <w:shd w:val="clear" w:color="auto" w:fill="FFFFFF" w:themeFill="background1"/>
            <w:tcMar>
              <w:top w:w="15" w:type="dxa"/>
              <w:left w:w="15" w:type="dxa"/>
              <w:right w:w="15" w:type="dxa"/>
            </w:tcMar>
            <w:vAlign w:val="center"/>
          </w:tcPr>
          <w:p w14:paraId="4FA6F64E" w14:textId="48160C6C" w:rsidR="167E9BB5" w:rsidRPr="00951AB1" w:rsidRDefault="16764069" w:rsidP="000A5389">
            <w:pPr>
              <w:spacing w:line="240" w:lineRule="auto"/>
              <w:jc w:val="center"/>
              <w:rPr>
                <w:rFonts w:eastAsia="Times New Roman" w:cs="Times New Roman"/>
                <w:b/>
                <w:sz w:val="18"/>
                <w:szCs w:val="18"/>
              </w:rPr>
            </w:pPr>
            <w:r w:rsidRPr="00951AB1">
              <w:rPr>
                <w:rFonts w:eastAsia="Times New Roman" w:cs="Times New Roman"/>
                <w:b/>
                <w:sz w:val="18"/>
                <w:szCs w:val="18"/>
              </w:rPr>
              <w:t>CÓDIGO CONTABLE</w:t>
            </w:r>
          </w:p>
        </w:tc>
        <w:tc>
          <w:tcPr>
            <w:tcW w:w="628" w:type="dxa"/>
            <w:vMerge w:val="restart"/>
            <w:shd w:val="clear" w:color="auto" w:fill="FFFFFF" w:themeFill="background1"/>
            <w:tcMar>
              <w:top w:w="15" w:type="dxa"/>
              <w:left w:w="15" w:type="dxa"/>
              <w:right w:w="15" w:type="dxa"/>
            </w:tcMar>
            <w:vAlign w:val="center"/>
          </w:tcPr>
          <w:p w14:paraId="7248C10B" w14:textId="6DD51EF4" w:rsidR="167E9BB5" w:rsidRPr="00951AB1" w:rsidRDefault="16764069" w:rsidP="000A5389">
            <w:pPr>
              <w:spacing w:line="240" w:lineRule="auto"/>
              <w:jc w:val="center"/>
              <w:rPr>
                <w:rFonts w:eastAsia="Times New Roman" w:cs="Times New Roman"/>
                <w:b/>
                <w:sz w:val="18"/>
                <w:szCs w:val="18"/>
              </w:rPr>
            </w:pPr>
            <w:r w:rsidRPr="00951AB1">
              <w:rPr>
                <w:rFonts w:eastAsia="Times New Roman" w:cs="Times New Roman"/>
                <w:b/>
                <w:sz w:val="18"/>
                <w:szCs w:val="18"/>
              </w:rPr>
              <w:t>NAT</w:t>
            </w:r>
          </w:p>
        </w:tc>
        <w:tc>
          <w:tcPr>
            <w:tcW w:w="2910" w:type="dxa"/>
            <w:shd w:val="clear" w:color="auto" w:fill="FFFFFF" w:themeFill="background1"/>
            <w:tcMar>
              <w:top w:w="15" w:type="dxa"/>
              <w:left w:w="15" w:type="dxa"/>
              <w:right w:w="15" w:type="dxa"/>
            </w:tcMar>
            <w:vAlign w:val="center"/>
          </w:tcPr>
          <w:p w14:paraId="37EE466A" w14:textId="739951FE" w:rsidR="167E9BB5" w:rsidRPr="00951AB1" w:rsidRDefault="167E9BB5" w:rsidP="000A5389">
            <w:pPr>
              <w:spacing w:line="240" w:lineRule="auto"/>
              <w:jc w:val="center"/>
              <w:rPr>
                <w:rFonts w:eastAsia="Times New Roman" w:cs="Times New Roman"/>
                <w:b/>
                <w:sz w:val="18"/>
                <w:szCs w:val="18"/>
              </w:rPr>
            </w:pPr>
            <w:r w:rsidRPr="00951AB1">
              <w:rPr>
                <w:rFonts w:eastAsia="Times New Roman" w:cs="Times New Roman"/>
                <w:b/>
                <w:sz w:val="18"/>
                <w:szCs w:val="18"/>
              </w:rPr>
              <w:t>CONCEPTO</w:t>
            </w:r>
          </w:p>
        </w:tc>
        <w:tc>
          <w:tcPr>
            <w:tcW w:w="1426" w:type="dxa"/>
            <w:shd w:val="clear" w:color="auto" w:fill="FFFFFF" w:themeFill="background1"/>
            <w:tcMar>
              <w:top w:w="15" w:type="dxa"/>
              <w:left w:w="15" w:type="dxa"/>
              <w:right w:w="15" w:type="dxa"/>
            </w:tcMar>
            <w:vAlign w:val="center"/>
          </w:tcPr>
          <w:p w14:paraId="488803B3" w14:textId="0ACD8CB3" w:rsidR="167E9BB5" w:rsidRPr="00951AB1" w:rsidRDefault="167E9BB5" w:rsidP="000A5389">
            <w:pPr>
              <w:spacing w:line="240" w:lineRule="auto"/>
              <w:jc w:val="center"/>
              <w:rPr>
                <w:rFonts w:eastAsia="Times New Roman" w:cs="Times New Roman"/>
                <w:b/>
                <w:sz w:val="18"/>
                <w:szCs w:val="18"/>
              </w:rPr>
            </w:pPr>
            <w:r w:rsidRPr="00951AB1">
              <w:rPr>
                <w:rFonts w:eastAsia="Times New Roman" w:cs="Times New Roman"/>
                <w:b/>
                <w:sz w:val="18"/>
                <w:szCs w:val="18"/>
              </w:rPr>
              <w:t xml:space="preserve">2025 </w:t>
            </w:r>
          </w:p>
        </w:tc>
        <w:tc>
          <w:tcPr>
            <w:tcW w:w="1287" w:type="dxa"/>
            <w:shd w:val="clear" w:color="auto" w:fill="FFFFFF" w:themeFill="background1"/>
            <w:tcMar>
              <w:top w:w="15" w:type="dxa"/>
              <w:left w:w="15" w:type="dxa"/>
              <w:right w:w="15" w:type="dxa"/>
            </w:tcMar>
            <w:vAlign w:val="center"/>
          </w:tcPr>
          <w:p w14:paraId="6DE59878" w14:textId="09F90856" w:rsidR="167E9BB5" w:rsidRPr="00951AB1" w:rsidRDefault="167E9BB5" w:rsidP="000A5389">
            <w:pPr>
              <w:spacing w:line="240" w:lineRule="auto"/>
              <w:jc w:val="center"/>
              <w:rPr>
                <w:rFonts w:eastAsia="Times New Roman" w:cs="Times New Roman"/>
                <w:b/>
                <w:sz w:val="18"/>
                <w:szCs w:val="18"/>
              </w:rPr>
            </w:pPr>
            <w:r w:rsidRPr="00951AB1">
              <w:rPr>
                <w:rFonts w:eastAsia="Times New Roman" w:cs="Times New Roman"/>
                <w:b/>
                <w:sz w:val="18"/>
                <w:szCs w:val="18"/>
              </w:rPr>
              <w:t xml:space="preserve">2024 </w:t>
            </w:r>
          </w:p>
        </w:tc>
        <w:tc>
          <w:tcPr>
            <w:tcW w:w="1605" w:type="dxa"/>
            <w:shd w:val="clear" w:color="auto" w:fill="FFFFFF" w:themeFill="background1"/>
            <w:tcMar>
              <w:top w:w="15" w:type="dxa"/>
              <w:left w:w="15" w:type="dxa"/>
              <w:right w:w="15" w:type="dxa"/>
            </w:tcMar>
            <w:vAlign w:val="center"/>
          </w:tcPr>
          <w:p w14:paraId="5ADA2A26" w14:textId="78055BFD" w:rsidR="167E9BB5" w:rsidRPr="00951AB1" w:rsidRDefault="167E9BB5" w:rsidP="000A5389">
            <w:pPr>
              <w:spacing w:line="240" w:lineRule="auto"/>
              <w:jc w:val="center"/>
              <w:rPr>
                <w:rFonts w:eastAsia="Times New Roman" w:cs="Times New Roman"/>
                <w:b/>
                <w:sz w:val="18"/>
                <w:szCs w:val="18"/>
              </w:rPr>
            </w:pPr>
            <w:r w:rsidRPr="00951AB1">
              <w:rPr>
                <w:rFonts w:eastAsia="Times New Roman" w:cs="Times New Roman"/>
                <w:b/>
                <w:sz w:val="18"/>
                <w:szCs w:val="18"/>
              </w:rPr>
              <w:t>VARIACIÓN</w:t>
            </w:r>
          </w:p>
        </w:tc>
      </w:tr>
      <w:tr w:rsidR="008640F8" w:rsidRPr="00951AB1" w14:paraId="0A07ADAF" w14:textId="77777777" w:rsidTr="004004C5">
        <w:trPr>
          <w:trHeight w:val="570"/>
        </w:trPr>
        <w:tc>
          <w:tcPr>
            <w:tcW w:w="972" w:type="dxa"/>
            <w:vMerge/>
            <w:vAlign w:val="center"/>
          </w:tcPr>
          <w:p w14:paraId="262B8742" w14:textId="0BC2B5F5" w:rsidR="49676925" w:rsidRPr="00951AB1" w:rsidRDefault="49676925" w:rsidP="000A5389">
            <w:pPr>
              <w:spacing w:line="240" w:lineRule="auto"/>
              <w:rPr>
                <w:rFonts w:eastAsia="Times New Roman" w:cs="Times New Roman"/>
                <w:sz w:val="18"/>
                <w:szCs w:val="18"/>
              </w:rPr>
            </w:pPr>
          </w:p>
        </w:tc>
        <w:tc>
          <w:tcPr>
            <w:tcW w:w="628" w:type="dxa"/>
            <w:vMerge/>
            <w:vAlign w:val="center"/>
          </w:tcPr>
          <w:p w14:paraId="14B65153" w14:textId="48C64329" w:rsidR="49676925" w:rsidRPr="00951AB1" w:rsidRDefault="49676925" w:rsidP="000A5389">
            <w:pPr>
              <w:spacing w:line="240" w:lineRule="auto"/>
              <w:rPr>
                <w:rFonts w:eastAsia="Times New Roman" w:cs="Times New Roman"/>
                <w:sz w:val="18"/>
                <w:szCs w:val="18"/>
              </w:rPr>
            </w:pPr>
          </w:p>
        </w:tc>
        <w:tc>
          <w:tcPr>
            <w:tcW w:w="2910" w:type="dxa"/>
            <w:vAlign w:val="center"/>
          </w:tcPr>
          <w:p w14:paraId="1B3A0411" w14:textId="75A73A54" w:rsidR="49676925" w:rsidRPr="00951AB1" w:rsidRDefault="49676925" w:rsidP="000A5389">
            <w:pPr>
              <w:spacing w:line="240" w:lineRule="auto"/>
              <w:jc w:val="center"/>
              <w:rPr>
                <w:rFonts w:eastAsia="Times New Roman" w:cs="Times New Roman"/>
                <w:b/>
                <w:color w:val="000000" w:themeColor="text1"/>
                <w:sz w:val="18"/>
                <w:szCs w:val="18"/>
              </w:rPr>
            </w:pPr>
            <w:r w:rsidRPr="00951AB1">
              <w:rPr>
                <w:rFonts w:eastAsia="Times New Roman" w:cs="Times New Roman"/>
                <w:b/>
                <w:color w:val="000000" w:themeColor="text1"/>
                <w:sz w:val="18"/>
                <w:szCs w:val="18"/>
              </w:rPr>
              <w:t>VALOR NETO DEL AJUSTE POR DIFERENCIA EN CAMBIO</w:t>
            </w:r>
          </w:p>
        </w:tc>
        <w:tc>
          <w:tcPr>
            <w:tcW w:w="1426" w:type="dxa"/>
            <w:vAlign w:val="center"/>
          </w:tcPr>
          <w:p w14:paraId="0FEF1C81" w14:textId="0CE994FD" w:rsidR="49676925" w:rsidRPr="00951AB1" w:rsidRDefault="49676925" w:rsidP="000A5389">
            <w:pPr>
              <w:spacing w:line="240" w:lineRule="auto"/>
              <w:jc w:val="right"/>
              <w:rPr>
                <w:rFonts w:eastAsia="Times New Roman" w:cs="Times New Roman"/>
                <w:b/>
                <w:color w:val="000000" w:themeColor="text1"/>
                <w:sz w:val="18"/>
                <w:szCs w:val="18"/>
              </w:rPr>
            </w:pPr>
            <w:r w:rsidRPr="00951AB1">
              <w:rPr>
                <w:rFonts w:eastAsia="Times New Roman" w:cs="Times New Roman"/>
                <w:b/>
                <w:color w:val="000000" w:themeColor="text1"/>
                <w:sz w:val="18"/>
                <w:szCs w:val="18"/>
              </w:rPr>
              <w:t>-7.090.998.095</w:t>
            </w:r>
          </w:p>
        </w:tc>
        <w:tc>
          <w:tcPr>
            <w:tcW w:w="1287" w:type="dxa"/>
            <w:vAlign w:val="center"/>
          </w:tcPr>
          <w:p w14:paraId="657A270A" w14:textId="5A8881B8" w:rsidR="49676925" w:rsidRPr="00951AB1" w:rsidRDefault="49676925" w:rsidP="000A5389">
            <w:pPr>
              <w:spacing w:line="240" w:lineRule="auto"/>
              <w:jc w:val="right"/>
              <w:rPr>
                <w:rFonts w:eastAsia="Times New Roman" w:cs="Times New Roman"/>
                <w:b/>
                <w:color w:val="000000" w:themeColor="text1"/>
                <w:sz w:val="18"/>
                <w:szCs w:val="18"/>
              </w:rPr>
            </w:pPr>
            <w:r w:rsidRPr="00951AB1">
              <w:rPr>
                <w:rFonts w:eastAsia="Times New Roman" w:cs="Times New Roman"/>
                <w:b/>
                <w:color w:val="000000" w:themeColor="text1"/>
                <w:sz w:val="18"/>
                <w:szCs w:val="18"/>
              </w:rPr>
              <w:t>6.385.521.120</w:t>
            </w:r>
          </w:p>
        </w:tc>
        <w:tc>
          <w:tcPr>
            <w:tcW w:w="1605" w:type="dxa"/>
            <w:vAlign w:val="center"/>
          </w:tcPr>
          <w:p w14:paraId="2F3B6B72" w14:textId="4EBB40DD" w:rsidR="49676925" w:rsidRPr="00951AB1" w:rsidRDefault="4B78E9C5" w:rsidP="000A5389">
            <w:pPr>
              <w:spacing w:line="240" w:lineRule="auto"/>
              <w:jc w:val="right"/>
              <w:rPr>
                <w:rFonts w:eastAsia="Times New Roman" w:cs="Times New Roman"/>
                <w:b/>
                <w:color w:val="000000" w:themeColor="text1"/>
                <w:sz w:val="18"/>
                <w:szCs w:val="18"/>
              </w:rPr>
            </w:pPr>
            <w:r w:rsidRPr="00951AB1">
              <w:rPr>
                <w:rFonts w:eastAsia="Times New Roman" w:cs="Times New Roman"/>
                <w:b/>
                <w:color w:val="000000" w:themeColor="text1"/>
                <w:sz w:val="18"/>
                <w:szCs w:val="18"/>
              </w:rPr>
              <w:t>-705.</w:t>
            </w:r>
            <w:r w:rsidR="49676925" w:rsidRPr="00951AB1">
              <w:rPr>
                <w:rFonts w:eastAsia="Times New Roman" w:cs="Times New Roman"/>
                <w:b/>
                <w:color w:val="000000" w:themeColor="text1"/>
                <w:sz w:val="18"/>
                <w:szCs w:val="18"/>
              </w:rPr>
              <w:t>476.</w:t>
            </w:r>
            <w:r w:rsidRPr="00951AB1">
              <w:rPr>
                <w:rFonts w:eastAsia="Times New Roman" w:cs="Times New Roman"/>
                <w:b/>
                <w:color w:val="000000" w:themeColor="text1"/>
                <w:sz w:val="18"/>
                <w:szCs w:val="18"/>
              </w:rPr>
              <w:t>975</w:t>
            </w:r>
          </w:p>
        </w:tc>
      </w:tr>
      <w:tr w:rsidR="008640F8" w:rsidRPr="00951AB1" w14:paraId="5FD03109" w14:textId="77777777" w:rsidTr="004004C5">
        <w:trPr>
          <w:trHeight w:val="600"/>
        </w:trPr>
        <w:tc>
          <w:tcPr>
            <w:tcW w:w="972" w:type="dxa"/>
            <w:vAlign w:val="center"/>
          </w:tcPr>
          <w:p w14:paraId="13F9D2D4" w14:textId="1CD2B121" w:rsidR="49676925" w:rsidRPr="00951AB1" w:rsidRDefault="49676925" w:rsidP="000A5389">
            <w:pPr>
              <w:spacing w:line="240" w:lineRule="auto"/>
              <w:rPr>
                <w:rFonts w:eastAsia="Times New Roman" w:cs="Times New Roman"/>
                <w:color w:val="000000" w:themeColor="text1"/>
                <w:sz w:val="18"/>
                <w:szCs w:val="18"/>
              </w:rPr>
            </w:pPr>
            <w:r w:rsidRPr="00951AB1">
              <w:rPr>
                <w:rFonts w:eastAsia="Times New Roman" w:cs="Times New Roman"/>
                <w:color w:val="000000" w:themeColor="text1"/>
                <w:sz w:val="18"/>
                <w:szCs w:val="18"/>
              </w:rPr>
              <w:t>4.8.06 (+)</w:t>
            </w:r>
          </w:p>
        </w:tc>
        <w:tc>
          <w:tcPr>
            <w:tcW w:w="628" w:type="dxa"/>
            <w:vAlign w:val="center"/>
          </w:tcPr>
          <w:p w14:paraId="7521A2DC" w14:textId="6711DA71" w:rsidR="49676925" w:rsidRPr="00951AB1" w:rsidRDefault="49676925" w:rsidP="000A5389">
            <w:pPr>
              <w:spacing w:line="240" w:lineRule="auto"/>
              <w:jc w:val="center"/>
              <w:rPr>
                <w:rFonts w:eastAsia="Times New Roman" w:cs="Times New Roman"/>
                <w:color w:val="000000" w:themeColor="text1"/>
                <w:sz w:val="18"/>
                <w:szCs w:val="18"/>
              </w:rPr>
            </w:pPr>
            <w:r w:rsidRPr="00951AB1">
              <w:rPr>
                <w:rFonts w:eastAsia="Times New Roman" w:cs="Times New Roman"/>
                <w:color w:val="000000" w:themeColor="text1"/>
                <w:sz w:val="18"/>
                <w:szCs w:val="18"/>
              </w:rPr>
              <w:t>Cr</w:t>
            </w:r>
          </w:p>
        </w:tc>
        <w:tc>
          <w:tcPr>
            <w:tcW w:w="2910" w:type="dxa"/>
            <w:vAlign w:val="center"/>
          </w:tcPr>
          <w:p w14:paraId="7F0E36C3" w14:textId="6D74A5AF" w:rsidR="49676925" w:rsidRPr="00951AB1" w:rsidRDefault="49676925" w:rsidP="000A5389">
            <w:pPr>
              <w:spacing w:line="240" w:lineRule="auto"/>
              <w:rPr>
                <w:rFonts w:eastAsia="Times New Roman" w:cs="Times New Roman"/>
                <w:color w:val="000000" w:themeColor="text1"/>
                <w:sz w:val="18"/>
                <w:szCs w:val="18"/>
              </w:rPr>
            </w:pPr>
            <w:r w:rsidRPr="00951AB1">
              <w:rPr>
                <w:rFonts w:eastAsia="Times New Roman" w:cs="Times New Roman"/>
                <w:color w:val="000000" w:themeColor="text1"/>
                <w:sz w:val="18"/>
                <w:szCs w:val="18"/>
              </w:rPr>
              <w:t>Incrementos (ingresos) por ajuste por diferencia en cambio</w:t>
            </w:r>
          </w:p>
        </w:tc>
        <w:tc>
          <w:tcPr>
            <w:tcW w:w="1426" w:type="dxa"/>
            <w:vAlign w:val="center"/>
          </w:tcPr>
          <w:p w14:paraId="177706BC" w14:textId="70BA5F1E" w:rsidR="49676925" w:rsidRPr="00951AB1" w:rsidRDefault="49676925" w:rsidP="000A5389">
            <w:pPr>
              <w:spacing w:line="240" w:lineRule="auto"/>
              <w:jc w:val="right"/>
              <w:rPr>
                <w:rFonts w:eastAsia="Times New Roman" w:cs="Times New Roman"/>
                <w:color w:val="000000" w:themeColor="text1"/>
                <w:sz w:val="18"/>
                <w:szCs w:val="18"/>
              </w:rPr>
            </w:pPr>
            <w:r w:rsidRPr="00951AB1">
              <w:rPr>
                <w:rFonts w:eastAsia="Times New Roman" w:cs="Times New Roman"/>
                <w:color w:val="000000" w:themeColor="text1"/>
                <w:sz w:val="18"/>
                <w:szCs w:val="18"/>
              </w:rPr>
              <w:t>0</w:t>
            </w:r>
          </w:p>
        </w:tc>
        <w:tc>
          <w:tcPr>
            <w:tcW w:w="1287" w:type="dxa"/>
            <w:vAlign w:val="center"/>
          </w:tcPr>
          <w:p w14:paraId="0B641BE5" w14:textId="56DB802B" w:rsidR="49676925" w:rsidRPr="00951AB1" w:rsidRDefault="49676925" w:rsidP="000A5389">
            <w:pPr>
              <w:spacing w:line="240" w:lineRule="auto"/>
              <w:jc w:val="right"/>
              <w:rPr>
                <w:rFonts w:eastAsia="Times New Roman" w:cs="Times New Roman"/>
                <w:color w:val="000000" w:themeColor="text1"/>
                <w:sz w:val="18"/>
                <w:szCs w:val="18"/>
              </w:rPr>
            </w:pPr>
            <w:r w:rsidRPr="00951AB1">
              <w:rPr>
                <w:rFonts w:eastAsia="Times New Roman" w:cs="Times New Roman"/>
                <w:color w:val="000000" w:themeColor="text1"/>
                <w:sz w:val="18"/>
                <w:szCs w:val="18"/>
              </w:rPr>
              <w:t>6.385.521.120</w:t>
            </w:r>
          </w:p>
        </w:tc>
        <w:tc>
          <w:tcPr>
            <w:tcW w:w="1605" w:type="dxa"/>
            <w:vAlign w:val="center"/>
          </w:tcPr>
          <w:p w14:paraId="64AED0D1" w14:textId="5EEAA7E4" w:rsidR="49676925" w:rsidRPr="00951AB1" w:rsidRDefault="49676925" w:rsidP="000A5389">
            <w:pPr>
              <w:spacing w:line="240" w:lineRule="auto"/>
              <w:jc w:val="right"/>
              <w:rPr>
                <w:rFonts w:eastAsia="Times New Roman" w:cs="Times New Roman"/>
                <w:color w:val="000000" w:themeColor="text1"/>
                <w:sz w:val="18"/>
                <w:szCs w:val="18"/>
              </w:rPr>
            </w:pPr>
            <w:r w:rsidRPr="00951AB1">
              <w:rPr>
                <w:rFonts w:eastAsia="Times New Roman" w:cs="Times New Roman"/>
                <w:color w:val="000000" w:themeColor="text1"/>
                <w:sz w:val="18"/>
                <w:szCs w:val="18"/>
              </w:rPr>
              <w:t>-6.385.521.120</w:t>
            </w:r>
          </w:p>
        </w:tc>
      </w:tr>
      <w:tr w:rsidR="008640F8" w:rsidRPr="00951AB1" w14:paraId="488F789A" w14:textId="77777777" w:rsidTr="004004C5">
        <w:trPr>
          <w:trHeight w:val="600"/>
        </w:trPr>
        <w:tc>
          <w:tcPr>
            <w:tcW w:w="972" w:type="dxa"/>
            <w:vAlign w:val="center"/>
          </w:tcPr>
          <w:p w14:paraId="3B28A252" w14:textId="75752021" w:rsidR="49676925" w:rsidRPr="00951AB1" w:rsidRDefault="49676925" w:rsidP="000A5389">
            <w:pPr>
              <w:spacing w:line="240" w:lineRule="auto"/>
              <w:rPr>
                <w:rFonts w:eastAsia="Times New Roman" w:cs="Times New Roman"/>
                <w:color w:val="000000" w:themeColor="text1"/>
                <w:sz w:val="18"/>
                <w:szCs w:val="18"/>
              </w:rPr>
            </w:pPr>
            <w:r w:rsidRPr="00951AB1">
              <w:rPr>
                <w:rFonts w:eastAsia="Times New Roman" w:cs="Times New Roman"/>
                <w:color w:val="000000" w:themeColor="text1"/>
                <w:sz w:val="18"/>
                <w:szCs w:val="18"/>
              </w:rPr>
              <w:t>5.8.03 (-)</w:t>
            </w:r>
          </w:p>
        </w:tc>
        <w:tc>
          <w:tcPr>
            <w:tcW w:w="628" w:type="dxa"/>
            <w:vAlign w:val="center"/>
          </w:tcPr>
          <w:p w14:paraId="36AFBC60" w14:textId="722C792E" w:rsidR="49676925" w:rsidRPr="00951AB1" w:rsidRDefault="49676925" w:rsidP="000A5389">
            <w:pPr>
              <w:spacing w:line="240" w:lineRule="auto"/>
              <w:jc w:val="center"/>
              <w:rPr>
                <w:rFonts w:eastAsia="Times New Roman" w:cs="Times New Roman"/>
                <w:color w:val="000000" w:themeColor="text1"/>
                <w:sz w:val="18"/>
                <w:szCs w:val="18"/>
              </w:rPr>
            </w:pPr>
            <w:r w:rsidRPr="00951AB1">
              <w:rPr>
                <w:rFonts w:eastAsia="Times New Roman" w:cs="Times New Roman"/>
                <w:color w:val="000000" w:themeColor="text1"/>
                <w:sz w:val="18"/>
                <w:szCs w:val="18"/>
              </w:rPr>
              <w:t>Db</w:t>
            </w:r>
          </w:p>
        </w:tc>
        <w:tc>
          <w:tcPr>
            <w:tcW w:w="2910" w:type="dxa"/>
            <w:vAlign w:val="center"/>
          </w:tcPr>
          <w:p w14:paraId="7C3F68FC" w14:textId="7E728E45" w:rsidR="49676925" w:rsidRPr="00951AB1" w:rsidRDefault="49676925" w:rsidP="000A5389">
            <w:pPr>
              <w:spacing w:line="240" w:lineRule="auto"/>
              <w:rPr>
                <w:rFonts w:eastAsia="Times New Roman" w:cs="Times New Roman"/>
                <w:color w:val="000000" w:themeColor="text1"/>
                <w:sz w:val="18"/>
                <w:szCs w:val="18"/>
              </w:rPr>
            </w:pPr>
            <w:r w:rsidRPr="00951AB1">
              <w:rPr>
                <w:rFonts w:eastAsia="Times New Roman" w:cs="Times New Roman"/>
                <w:color w:val="000000" w:themeColor="text1"/>
                <w:sz w:val="18"/>
                <w:szCs w:val="18"/>
              </w:rPr>
              <w:t>Reducciones (gastos) por ajuste por diferencia en cambio</w:t>
            </w:r>
          </w:p>
        </w:tc>
        <w:tc>
          <w:tcPr>
            <w:tcW w:w="1426" w:type="dxa"/>
            <w:vAlign w:val="center"/>
          </w:tcPr>
          <w:p w14:paraId="639AC484" w14:textId="051D612F" w:rsidR="49676925" w:rsidRPr="00951AB1" w:rsidRDefault="49676925" w:rsidP="000A5389">
            <w:pPr>
              <w:spacing w:line="240" w:lineRule="auto"/>
              <w:jc w:val="right"/>
              <w:rPr>
                <w:rFonts w:eastAsia="Times New Roman" w:cs="Times New Roman"/>
                <w:color w:val="000000" w:themeColor="text1"/>
                <w:sz w:val="18"/>
                <w:szCs w:val="18"/>
              </w:rPr>
            </w:pPr>
            <w:r w:rsidRPr="00951AB1">
              <w:rPr>
                <w:rFonts w:eastAsia="Times New Roman" w:cs="Times New Roman"/>
                <w:color w:val="000000" w:themeColor="text1"/>
                <w:sz w:val="18"/>
                <w:szCs w:val="18"/>
              </w:rPr>
              <w:t>7.090.998.095</w:t>
            </w:r>
          </w:p>
        </w:tc>
        <w:tc>
          <w:tcPr>
            <w:tcW w:w="1287" w:type="dxa"/>
            <w:vAlign w:val="center"/>
          </w:tcPr>
          <w:p w14:paraId="5BA4B22A" w14:textId="39C32778" w:rsidR="49676925" w:rsidRPr="00951AB1" w:rsidRDefault="49676925" w:rsidP="000A5389">
            <w:pPr>
              <w:spacing w:line="240" w:lineRule="auto"/>
              <w:jc w:val="right"/>
              <w:rPr>
                <w:rFonts w:eastAsia="Times New Roman" w:cs="Times New Roman"/>
                <w:color w:val="000000" w:themeColor="text1"/>
                <w:sz w:val="18"/>
                <w:szCs w:val="18"/>
              </w:rPr>
            </w:pPr>
            <w:r w:rsidRPr="00951AB1">
              <w:rPr>
                <w:rFonts w:eastAsia="Times New Roman" w:cs="Times New Roman"/>
                <w:color w:val="000000" w:themeColor="text1"/>
                <w:sz w:val="18"/>
                <w:szCs w:val="18"/>
              </w:rPr>
              <w:t>0</w:t>
            </w:r>
          </w:p>
        </w:tc>
        <w:tc>
          <w:tcPr>
            <w:tcW w:w="1605" w:type="dxa"/>
            <w:vAlign w:val="center"/>
          </w:tcPr>
          <w:p w14:paraId="754DB64A" w14:textId="0ACB9BB1" w:rsidR="49676925" w:rsidRPr="00951AB1" w:rsidRDefault="49676925" w:rsidP="000A5389">
            <w:pPr>
              <w:spacing w:line="240" w:lineRule="auto"/>
              <w:jc w:val="right"/>
              <w:rPr>
                <w:rFonts w:eastAsia="Times New Roman" w:cs="Times New Roman"/>
                <w:color w:val="000000" w:themeColor="text1"/>
                <w:sz w:val="18"/>
                <w:szCs w:val="18"/>
              </w:rPr>
            </w:pPr>
            <w:r w:rsidRPr="00951AB1">
              <w:rPr>
                <w:rFonts w:eastAsia="Times New Roman" w:cs="Times New Roman"/>
                <w:color w:val="000000" w:themeColor="text1"/>
                <w:sz w:val="18"/>
                <w:szCs w:val="18"/>
              </w:rPr>
              <w:t>7.090.998.095</w:t>
            </w:r>
          </w:p>
        </w:tc>
      </w:tr>
    </w:tbl>
    <w:p w14:paraId="58A6B06E" w14:textId="77777777" w:rsidR="002909D8" w:rsidRPr="00951AB1" w:rsidRDefault="002909D8" w:rsidP="000A5389">
      <w:pPr>
        <w:spacing w:line="240" w:lineRule="auto"/>
        <w:rPr>
          <w:rFonts w:cs="Times New Roman"/>
          <w:sz w:val="16"/>
          <w:szCs w:val="16"/>
        </w:rPr>
      </w:pPr>
      <w:r w:rsidRPr="00951AB1">
        <w:rPr>
          <w:rFonts w:cs="Times New Roman"/>
          <w:sz w:val="16"/>
          <w:szCs w:val="16"/>
        </w:rPr>
        <w:t xml:space="preserve">Cifras expresadas en pesos </w:t>
      </w:r>
    </w:p>
    <w:p w14:paraId="01A703FB" w14:textId="31BC9895" w:rsidR="00241ABA" w:rsidRDefault="00241ABA" w:rsidP="000A5389">
      <w:pPr>
        <w:spacing w:line="240" w:lineRule="auto"/>
        <w:rPr>
          <w:rFonts w:cs="Times New Roman"/>
          <w:sz w:val="16"/>
          <w:szCs w:val="16"/>
        </w:rPr>
      </w:pPr>
    </w:p>
    <w:p w14:paraId="0E7E95C6" w14:textId="77777777" w:rsidR="00FE1E23" w:rsidRPr="00951AB1" w:rsidRDefault="00FE1E23" w:rsidP="000A5389">
      <w:pPr>
        <w:spacing w:line="240" w:lineRule="auto"/>
        <w:rPr>
          <w:rFonts w:cs="Times New Roman"/>
          <w:sz w:val="16"/>
          <w:szCs w:val="16"/>
        </w:rPr>
      </w:pPr>
    </w:p>
    <w:p w14:paraId="2D2667D2" w14:textId="0BAE4FE1" w:rsidR="002909D8" w:rsidRPr="00951AB1" w:rsidRDefault="00241ABA" w:rsidP="000A5389">
      <w:pPr>
        <w:pStyle w:val="Ttulo2"/>
        <w:numPr>
          <w:ilvl w:val="1"/>
          <w:numId w:val="24"/>
        </w:numPr>
        <w:spacing w:line="240" w:lineRule="auto"/>
        <w:rPr>
          <w:rFonts w:cs="Times New Roman"/>
          <w:lang w:eastAsia="es-CO"/>
        </w:rPr>
      </w:pPr>
      <w:bookmarkStart w:id="1105" w:name="_Toc191369589"/>
      <w:bookmarkStart w:id="1106" w:name="_Toc191456916"/>
      <w:bookmarkStart w:id="1107" w:name="_Toc191457026"/>
      <w:bookmarkStart w:id="1108" w:name="_Toc191457136"/>
      <w:bookmarkStart w:id="1109" w:name="_Toc191475762"/>
      <w:bookmarkStart w:id="1110" w:name="_Toc191475871"/>
      <w:bookmarkStart w:id="1111" w:name="_Toc191475980"/>
      <w:bookmarkStart w:id="1112" w:name="_Toc191475503"/>
      <w:bookmarkStart w:id="1113" w:name="_Toc191505880"/>
      <w:bookmarkStart w:id="1114" w:name="_Toc222824293"/>
      <w:bookmarkStart w:id="1115" w:name="_Toc222955560"/>
      <w:r w:rsidRPr="00951AB1">
        <w:rPr>
          <w:rFonts w:cs="Times New Roman"/>
          <w:lang w:eastAsia="es-CO"/>
        </w:rPr>
        <w:t>Conciliación de ajustes por diferencia en cambio</w:t>
      </w:r>
      <w:bookmarkEnd w:id="1105"/>
      <w:bookmarkEnd w:id="1106"/>
      <w:bookmarkEnd w:id="1107"/>
      <w:bookmarkEnd w:id="1108"/>
      <w:bookmarkEnd w:id="1109"/>
      <w:bookmarkEnd w:id="1110"/>
      <w:bookmarkEnd w:id="1111"/>
      <w:bookmarkEnd w:id="1112"/>
      <w:bookmarkEnd w:id="1113"/>
      <w:bookmarkEnd w:id="1114"/>
      <w:bookmarkEnd w:id="1115"/>
    </w:p>
    <w:p w14:paraId="5F314EC0" w14:textId="77777777" w:rsidR="00241ABA" w:rsidRPr="00951AB1" w:rsidRDefault="00241ABA" w:rsidP="000A5389">
      <w:pPr>
        <w:spacing w:line="240" w:lineRule="auto"/>
        <w:rPr>
          <w:rFonts w:cs="Times New Roman"/>
        </w:rPr>
      </w:pPr>
    </w:p>
    <w:tbl>
      <w:tblPr>
        <w:tblW w:w="88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49"/>
        <w:gridCol w:w="1209"/>
        <w:gridCol w:w="1302"/>
        <w:gridCol w:w="1484"/>
        <w:gridCol w:w="1232"/>
        <w:gridCol w:w="1247"/>
        <w:gridCol w:w="1195"/>
      </w:tblGrid>
      <w:tr w:rsidR="005A6065" w:rsidRPr="00951AB1" w14:paraId="2B96B300" w14:textId="77777777" w:rsidTr="00FE1E23">
        <w:trPr>
          <w:trHeight w:val="600"/>
          <w:tblHeader/>
        </w:trPr>
        <w:tc>
          <w:tcPr>
            <w:tcW w:w="1149" w:type="dxa"/>
            <w:vMerge w:val="restart"/>
            <w:tcMar>
              <w:left w:w="70" w:type="dxa"/>
              <w:right w:w="70" w:type="dxa"/>
            </w:tcMar>
            <w:vAlign w:val="center"/>
          </w:tcPr>
          <w:p w14:paraId="071F0E80" w14:textId="0F44E992" w:rsidR="5ABC2B28" w:rsidRPr="00951AB1" w:rsidRDefault="5ABC2B28" w:rsidP="000A5389">
            <w:pPr>
              <w:spacing w:line="240" w:lineRule="auto"/>
              <w:jc w:val="center"/>
              <w:rPr>
                <w:rFonts w:eastAsia="Times New Roman" w:cs="Times New Roman"/>
                <w:b/>
                <w:sz w:val="16"/>
                <w:szCs w:val="16"/>
              </w:rPr>
            </w:pPr>
            <w:r w:rsidRPr="00951AB1">
              <w:rPr>
                <w:rFonts w:eastAsia="Times New Roman" w:cs="Times New Roman"/>
                <w:b/>
                <w:sz w:val="14"/>
                <w:szCs w:val="14"/>
              </w:rPr>
              <w:t>CONCEPTO</w:t>
            </w:r>
          </w:p>
        </w:tc>
        <w:tc>
          <w:tcPr>
            <w:tcW w:w="3995" w:type="dxa"/>
            <w:gridSpan w:val="3"/>
            <w:tcMar>
              <w:left w:w="70" w:type="dxa"/>
              <w:right w:w="70" w:type="dxa"/>
            </w:tcMar>
            <w:vAlign w:val="center"/>
          </w:tcPr>
          <w:p w14:paraId="084D2EF0" w14:textId="191C07FB" w:rsidR="5ABC2B28" w:rsidRPr="00951AB1" w:rsidRDefault="5ABC2B28" w:rsidP="000A5389">
            <w:pPr>
              <w:spacing w:line="240" w:lineRule="auto"/>
              <w:jc w:val="center"/>
              <w:rPr>
                <w:rFonts w:eastAsia="Times New Roman" w:cs="Times New Roman"/>
                <w:b/>
                <w:sz w:val="14"/>
                <w:szCs w:val="14"/>
              </w:rPr>
            </w:pPr>
            <w:r w:rsidRPr="00951AB1">
              <w:rPr>
                <w:rFonts w:eastAsia="Times New Roman" w:cs="Times New Roman"/>
                <w:b/>
                <w:sz w:val="14"/>
                <w:szCs w:val="14"/>
              </w:rPr>
              <w:t>EFECTOS EN EL RESULTADO</w:t>
            </w:r>
            <w:r w:rsidRPr="00951AB1">
              <w:rPr>
                <w:rFonts w:cs="Times New Roman"/>
                <w:sz w:val="14"/>
                <w:szCs w:val="14"/>
              </w:rPr>
              <w:br/>
            </w:r>
            <w:r w:rsidRPr="00951AB1">
              <w:rPr>
                <w:rFonts w:eastAsia="Times New Roman" w:cs="Times New Roman"/>
                <w:b/>
                <w:sz w:val="14"/>
                <w:szCs w:val="14"/>
              </w:rPr>
              <w:t xml:space="preserve"> VIGENCIA ACTUAL</w:t>
            </w:r>
          </w:p>
        </w:tc>
        <w:tc>
          <w:tcPr>
            <w:tcW w:w="3674" w:type="dxa"/>
            <w:gridSpan w:val="3"/>
            <w:tcMar>
              <w:left w:w="70" w:type="dxa"/>
              <w:right w:w="70" w:type="dxa"/>
            </w:tcMar>
            <w:vAlign w:val="center"/>
          </w:tcPr>
          <w:p w14:paraId="7D3B9C70" w14:textId="6A408A81" w:rsidR="5ABC2B28" w:rsidRPr="00951AB1" w:rsidRDefault="5ABC2B28" w:rsidP="000A5389">
            <w:pPr>
              <w:spacing w:line="240" w:lineRule="auto"/>
              <w:jc w:val="center"/>
              <w:rPr>
                <w:rFonts w:eastAsia="Times New Roman" w:cs="Times New Roman"/>
                <w:b/>
                <w:sz w:val="14"/>
                <w:szCs w:val="14"/>
              </w:rPr>
            </w:pPr>
            <w:r w:rsidRPr="00951AB1">
              <w:rPr>
                <w:rFonts w:eastAsia="Times New Roman" w:cs="Times New Roman"/>
                <w:b/>
                <w:sz w:val="14"/>
                <w:szCs w:val="14"/>
              </w:rPr>
              <w:t>EFECTOS EN EL PATRIMONIO POR AJUSTES</w:t>
            </w:r>
            <w:r w:rsidRPr="00951AB1">
              <w:rPr>
                <w:rFonts w:cs="Times New Roman"/>
                <w:sz w:val="14"/>
                <w:szCs w:val="14"/>
              </w:rPr>
              <w:br/>
            </w:r>
            <w:r w:rsidRPr="00951AB1">
              <w:rPr>
                <w:rFonts w:eastAsia="Times New Roman" w:cs="Times New Roman"/>
                <w:b/>
                <w:sz w:val="14"/>
                <w:szCs w:val="14"/>
              </w:rPr>
              <w:t xml:space="preserve"> DE VIGENCIAS ANTERIORES</w:t>
            </w:r>
          </w:p>
        </w:tc>
      </w:tr>
      <w:tr w:rsidR="005A73C0" w:rsidRPr="00951AB1" w14:paraId="55CB26B3" w14:textId="77777777" w:rsidTr="004004C5">
        <w:trPr>
          <w:trHeight w:val="420"/>
        </w:trPr>
        <w:tc>
          <w:tcPr>
            <w:tcW w:w="1149" w:type="dxa"/>
            <w:vMerge/>
            <w:vAlign w:val="center"/>
          </w:tcPr>
          <w:p w14:paraId="1FBEA04A" w14:textId="77777777" w:rsidR="0099476D" w:rsidRPr="00951AB1" w:rsidRDefault="0099476D" w:rsidP="000A5389">
            <w:pPr>
              <w:spacing w:line="240" w:lineRule="auto"/>
              <w:rPr>
                <w:rFonts w:cs="Times New Roman"/>
                <w:sz w:val="16"/>
                <w:szCs w:val="16"/>
              </w:rPr>
            </w:pPr>
          </w:p>
        </w:tc>
        <w:tc>
          <w:tcPr>
            <w:tcW w:w="1209" w:type="dxa"/>
            <w:tcMar>
              <w:left w:w="70" w:type="dxa"/>
              <w:right w:w="70" w:type="dxa"/>
            </w:tcMar>
            <w:vAlign w:val="center"/>
          </w:tcPr>
          <w:p w14:paraId="6E236EEE" w14:textId="7A4957EB" w:rsidR="5ABC2B28" w:rsidRPr="00951AB1" w:rsidRDefault="5ABC2B28" w:rsidP="000A5389">
            <w:pPr>
              <w:spacing w:line="240" w:lineRule="auto"/>
              <w:jc w:val="center"/>
              <w:rPr>
                <w:rFonts w:eastAsia="Times New Roman" w:cs="Times New Roman"/>
                <w:b/>
                <w:sz w:val="14"/>
                <w:szCs w:val="14"/>
              </w:rPr>
            </w:pPr>
            <w:r w:rsidRPr="00951AB1">
              <w:rPr>
                <w:rFonts w:eastAsia="Times New Roman" w:cs="Times New Roman"/>
                <w:b/>
                <w:sz w:val="14"/>
                <w:szCs w:val="14"/>
              </w:rPr>
              <w:t>(+) INCREMENTOS</w:t>
            </w:r>
          </w:p>
        </w:tc>
        <w:tc>
          <w:tcPr>
            <w:tcW w:w="1302" w:type="dxa"/>
            <w:tcMar>
              <w:left w:w="70" w:type="dxa"/>
              <w:right w:w="70" w:type="dxa"/>
            </w:tcMar>
            <w:vAlign w:val="center"/>
          </w:tcPr>
          <w:p w14:paraId="2D409F27" w14:textId="72D32E9B" w:rsidR="5ABC2B28" w:rsidRPr="00951AB1" w:rsidRDefault="5ABC2B28" w:rsidP="000A5389">
            <w:pPr>
              <w:spacing w:line="240" w:lineRule="auto"/>
              <w:jc w:val="center"/>
              <w:rPr>
                <w:rFonts w:eastAsia="Times New Roman" w:cs="Times New Roman"/>
                <w:b/>
                <w:sz w:val="14"/>
                <w:szCs w:val="14"/>
              </w:rPr>
            </w:pPr>
            <w:r w:rsidRPr="00951AB1">
              <w:rPr>
                <w:rFonts w:eastAsia="Times New Roman" w:cs="Times New Roman"/>
                <w:b/>
                <w:sz w:val="14"/>
                <w:szCs w:val="14"/>
              </w:rPr>
              <w:t>(-) REDUCCIONES</w:t>
            </w:r>
          </w:p>
        </w:tc>
        <w:tc>
          <w:tcPr>
            <w:tcW w:w="1484" w:type="dxa"/>
            <w:tcMar>
              <w:left w:w="70" w:type="dxa"/>
              <w:right w:w="70" w:type="dxa"/>
            </w:tcMar>
            <w:vAlign w:val="center"/>
          </w:tcPr>
          <w:p w14:paraId="4D4CD69C" w14:textId="2DAE6BAC" w:rsidR="5ABC2B28" w:rsidRPr="00951AB1" w:rsidRDefault="5ABC2B28" w:rsidP="000A5389">
            <w:pPr>
              <w:spacing w:line="240" w:lineRule="auto"/>
              <w:jc w:val="center"/>
              <w:rPr>
                <w:rFonts w:eastAsia="Times New Roman" w:cs="Times New Roman"/>
                <w:b/>
                <w:sz w:val="14"/>
                <w:szCs w:val="14"/>
              </w:rPr>
            </w:pPr>
            <w:r w:rsidRPr="00951AB1">
              <w:rPr>
                <w:rFonts w:eastAsia="Times New Roman" w:cs="Times New Roman"/>
                <w:b/>
                <w:sz w:val="14"/>
                <w:szCs w:val="14"/>
              </w:rPr>
              <w:t>(=) NETO EN RESULTADO</w:t>
            </w:r>
          </w:p>
        </w:tc>
        <w:tc>
          <w:tcPr>
            <w:tcW w:w="1232" w:type="dxa"/>
            <w:tcMar>
              <w:left w:w="70" w:type="dxa"/>
              <w:right w:w="70" w:type="dxa"/>
            </w:tcMar>
            <w:vAlign w:val="center"/>
          </w:tcPr>
          <w:p w14:paraId="4EC7C99D" w14:textId="351A271B" w:rsidR="5ABC2B28" w:rsidRPr="00951AB1" w:rsidRDefault="5ABC2B28" w:rsidP="000A5389">
            <w:pPr>
              <w:spacing w:line="240" w:lineRule="auto"/>
              <w:jc w:val="center"/>
              <w:rPr>
                <w:rFonts w:eastAsia="Times New Roman" w:cs="Times New Roman"/>
                <w:b/>
                <w:sz w:val="14"/>
                <w:szCs w:val="14"/>
              </w:rPr>
            </w:pPr>
            <w:r w:rsidRPr="00951AB1">
              <w:rPr>
                <w:rFonts w:eastAsia="Times New Roman" w:cs="Times New Roman"/>
                <w:b/>
                <w:sz w:val="14"/>
                <w:szCs w:val="14"/>
              </w:rPr>
              <w:t>(+) INCREMENTOS</w:t>
            </w:r>
          </w:p>
        </w:tc>
        <w:tc>
          <w:tcPr>
            <w:tcW w:w="1247" w:type="dxa"/>
            <w:tcMar>
              <w:left w:w="70" w:type="dxa"/>
              <w:right w:w="70" w:type="dxa"/>
            </w:tcMar>
            <w:vAlign w:val="center"/>
          </w:tcPr>
          <w:p w14:paraId="66495F4F" w14:textId="73DB3B03" w:rsidR="5ABC2B28" w:rsidRPr="00951AB1" w:rsidRDefault="5ABC2B28" w:rsidP="000A5389">
            <w:pPr>
              <w:spacing w:line="240" w:lineRule="auto"/>
              <w:jc w:val="center"/>
              <w:rPr>
                <w:rFonts w:eastAsia="Times New Roman" w:cs="Times New Roman"/>
                <w:b/>
                <w:sz w:val="14"/>
                <w:szCs w:val="14"/>
              </w:rPr>
            </w:pPr>
            <w:r w:rsidRPr="00951AB1">
              <w:rPr>
                <w:rFonts w:eastAsia="Times New Roman" w:cs="Times New Roman"/>
                <w:b/>
                <w:sz w:val="14"/>
                <w:szCs w:val="14"/>
              </w:rPr>
              <w:t>(-) REDUCCIONES</w:t>
            </w:r>
          </w:p>
        </w:tc>
        <w:tc>
          <w:tcPr>
            <w:tcW w:w="1195" w:type="dxa"/>
            <w:tcMar>
              <w:left w:w="70" w:type="dxa"/>
              <w:right w:w="70" w:type="dxa"/>
            </w:tcMar>
            <w:vAlign w:val="center"/>
          </w:tcPr>
          <w:p w14:paraId="5CFCB00C" w14:textId="59A18471" w:rsidR="5ABC2B28" w:rsidRPr="00951AB1" w:rsidRDefault="5ABC2B28" w:rsidP="000A5389">
            <w:pPr>
              <w:spacing w:line="240" w:lineRule="auto"/>
              <w:jc w:val="center"/>
              <w:rPr>
                <w:rFonts w:eastAsia="Times New Roman" w:cs="Times New Roman"/>
                <w:b/>
                <w:sz w:val="14"/>
                <w:szCs w:val="14"/>
              </w:rPr>
            </w:pPr>
            <w:r w:rsidRPr="00951AB1">
              <w:rPr>
                <w:rFonts w:eastAsia="Times New Roman" w:cs="Times New Roman"/>
                <w:b/>
                <w:sz w:val="14"/>
                <w:szCs w:val="14"/>
              </w:rPr>
              <w:t>(=) NETO EN PATRIMONIO</w:t>
            </w:r>
          </w:p>
        </w:tc>
      </w:tr>
      <w:tr w:rsidR="005A73C0" w:rsidRPr="00951AB1" w14:paraId="00D2F52C" w14:textId="77777777" w:rsidTr="004004C5">
        <w:trPr>
          <w:trHeight w:val="420"/>
        </w:trPr>
        <w:tc>
          <w:tcPr>
            <w:tcW w:w="1149" w:type="dxa"/>
            <w:tcMar>
              <w:left w:w="70" w:type="dxa"/>
              <w:right w:w="70" w:type="dxa"/>
            </w:tcMar>
            <w:vAlign w:val="center"/>
          </w:tcPr>
          <w:p w14:paraId="741AB9A6" w14:textId="647E29C9" w:rsidR="5ABC2B28" w:rsidRPr="00951AB1" w:rsidRDefault="5ABC2B28" w:rsidP="000A5389">
            <w:pPr>
              <w:spacing w:line="240" w:lineRule="auto"/>
              <w:rPr>
                <w:rFonts w:eastAsia="Times New Roman" w:cs="Times New Roman"/>
                <w:b/>
                <w:sz w:val="16"/>
                <w:szCs w:val="16"/>
              </w:rPr>
            </w:pPr>
            <w:r w:rsidRPr="00951AB1">
              <w:rPr>
                <w:rFonts w:eastAsia="Times New Roman" w:cs="Times New Roman"/>
                <w:b/>
                <w:sz w:val="16"/>
                <w:szCs w:val="16"/>
              </w:rPr>
              <w:t>INGRESOS POR AJUSTE POR DIFERENCIA EN CAMBIO</w:t>
            </w:r>
          </w:p>
        </w:tc>
        <w:tc>
          <w:tcPr>
            <w:tcW w:w="1209" w:type="dxa"/>
            <w:tcMar>
              <w:left w:w="70" w:type="dxa"/>
              <w:right w:w="70" w:type="dxa"/>
            </w:tcMar>
            <w:vAlign w:val="center"/>
          </w:tcPr>
          <w:p w14:paraId="6BB9E067" w14:textId="7EEAE8FE" w:rsidR="5ABC2B28" w:rsidRPr="00951AB1" w:rsidRDefault="139CA818" w:rsidP="000A5389">
            <w:pPr>
              <w:spacing w:line="240" w:lineRule="auto"/>
              <w:jc w:val="right"/>
              <w:rPr>
                <w:rFonts w:eastAsia="Times New Roman" w:cs="Times New Roman"/>
                <w:b/>
                <w:sz w:val="16"/>
                <w:szCs w:val="16"/>
              </w:rPr>
            </w:pPr>
            <w:r w:rsidRPr="00951AB1">
              <w:rPr>
                <w:rFonts w:eastAsia="Times New Roman" w:cs="Times New Roman"/>
                <w:b/>
                <w:sz w:val="16"/>
                <w:szCs w:val="16"/>
              </w:rPr>
              <w:t>0</w:t>
            </w:r>
          </w:p>
        </w:tc>
        <w:tc>
          <w:tcPr>
            <w:tcW w:w="1302" w:type="dxa"/>
            <w:tcMar>
              <w:left w:w="70" w:type="dxa"/>
              <w:right w:w="70" w:type="dxa"/>
            </w:tcMar>
            <w:vAlign w:val="center"/>
          </w:tcPr>
          <w:p w14:paraId="69D8BC2A" w14:textId="7FBA0020" w:rsidR="5ABC2B28" w:rsidRPr="00951AB1" w:rsidRDefault="139CA818" w:rsidP="000A5389">
            <w:pPr>
              <w:spacing w:line="240" w:lineRule="auto"/>
              <w:jc w:val="right"/>
              <w:rPr>
                <w:rFonts w:eastAsia="Times New Roman" w:cs="Times New Roman"/>
                <w:color w:val="000000" w:themeColor="text1"/>
                <w:sz w:val="16"/>
                <w:szCs w:val="16"/>
              </w:rPr>
            </w:pPr>
            <w:r w:rsidRPr="00951AB1">
              <w:rPr>
                <w:rFonts w:eastAsia="Times New Roman" w:cs="Times New Roman"/>
                <w:color w:val="000000" w:themeColor="text1"/>
                <w:sz w:val="16"/>
                <w:szCs w:val="16"/>
              </w:rPr>
              <w:t>7.090.998.095</w:t>
            </w:r>
          </w:p>
        </w:tc>
        <w:tc>
          <w:tcPr>
            <w:tcW w:w="1484" w:type="dxa"/>
            <w:tcMar>
              <w:left w:w="70" w:type="dxa"/>
              <w:right w:w="70" w:type="dxa"/>
            </w:tcMar>
            <w:vAlign w:val="center"/>
          </w:tcPr>
          <w:p w14:paraId="17D7342B" w14:textId="24621A34" w:rsidR="62D06C88" w:rsidRPr="00951AB1" w:rsidRDefault="62D06C88" w:rsidP="000A5389">
            <w:pPr>
              <w:spacing w:line="240" w:lineRule="auto"/>
              <w:jc w:val="right"/>
              <w:rPr>
                <w:rFonts w:eastAsia="Times New Roman" w:cs="Times New Roman"/>
                <w:color w:val="000000" w:themeColor="text1"/>
                <w:sz w:val="16"/>
                <w:szCs w:val="16"/>
              </w:rPr>
            </w:pPr>
            <w:r w:rsidRPr="00951AB1">
              <w:rPr>
                <w:rFonts w:eastAsia="Times New Roman" w:cs="Times New Roman"/>
                <w:color w:val="000000" w:themeColor="text1"/>
                <w:sz w:val="16"/>
                <w:szCs w:val="16"/>
              </w:rPr>
              <w:t>7.090.998.095</w:t>
            </w:r>
          </w:p>
        </w:tc>
        <w:tc>
          <w:tcPr>
            <w:tcW w:w="1232" w:type="dxa"/>
            <w:tcMar>
              <w:left w:w="70" w:type="dxa"/>
              <w:right w:w="70" w:type="dxa"/>
            </w:tcMar>
            <w:vAlign w:val="center"/>
          </w:tcPr>
          <w:p w14:paraId="76E187B7" w14:textId="4A4C37F2" w:rsidR="5ABC2B28" w:rsidRPr="00951AB1" w:rsidRDefault="06DEEC9F" w:rsidP="000A5389">
            <w:pPr>
              <w:spacing w:line="240" w:lineRule="auto"/>
              <w:jc w:val="right"/>
              <w:rPr>
                <w:rFonts w:eastAsia="Times New Roman" w:cs="Times New Roman"/>
                <w:b/>
                <w:sz w:val="16"/>
                <w:szCs w:val="16"/>
              </w:rPr>
            </w:pPr>
            <w:r w:rsidRPr="00951AB1">
              <w:rPr>
                <w:rFonts w:eastAsia="Times New Roman" w:cs="Times New Roman"/>
                <w:b/>
                <w:sz w:val="16"/>
                <w:szCs w:val="16"/>
              </w:rPr>
              <w:t>0</w:t>
            </w:r>
          </w:p>
        </w:tc>
        <w:tc>
          <w:tcPr>
            <w:tcW w:w="1247" w:type="dxa"/>
            <w:tcMar>
              <w:left w:w="70" w:type="dxa"/>
              <w:right w:w="70" w:type="dxa"/>
            </w:tcMar>
            <w:vAlign w:val="center"/>
          </w:tcPr>
          <w:p w14:paraId="409A7DF0" w14:textId="035847AE" w:rsidR="5ABC2B28" w:rsidRPr="00951AB1" w:rsidRDefault="06DEEC9F" w:rsidP="000A5389">
            <w:pPr>
              <w:spacing w:line="240" w:lineRule="auto"/>
              <w:jc w:val="right"/>
              <w:rPr>
                <w:rFonts w:eastAsia="Times New Roman" w:cs="Times New Roman"/>
                <w:b/>
                <w:sz w:val="16"/>
                <w:szCs w:val="16"/>
              </w:rPr>
            </w:pPr>
            <w:r w:rsidRPr="00951AB1">
              <w:rPr>
                <w:rFonts w:eastAsia="Times New Roman" w:cs="Times New Roman"/>
                <w:b/>
                <w:sz w:val="16"/>
                <w:szCs w:val="16"/>
              </w:rPr>
              <w:t>0</w:t>
            </w:r>
          </w:p>
        </w:tc>
        <w:tc>
          <w:tcPr>
            <w:tcW w:w="1195" w:type="dxa"/>
            <w:tcMar>
              <w:left w:w="70" w:type="dxa"/>
              <w:right w:w="70" w:type="dxa"/>
            </w:tcMar>
            <w:vAlign w:val="center"/>
          </w:tcPr>
          <w:p w14:paraId="2C3AF112" w14:textId="75E0DE30" w:rsidR="5ABC2B28" w:rsidRPr="00951AB1" w:rsidRDefault="06DEEC9F" w:rsidP="000A5389">
            <w:pPr>
              <w:spacing w:line="240" w:lineRule="auto"/>
              <w:jc w:val="right"/>
              <w:rPr>
                <w:rFonts w:eastAsia="Times New Roman" w:cs="Times New Roman"/>
                <w:b/>
                <w:sz w:val="16"/>
                <w:szCs w:val="16"/>
              </w:rPr>
            </w:pPr>
            <w:r w:rsidRPr="00951AB1">
              <w:rPr>
                <w:rFonts w:eastAsia="Times New Roman" w:cs="Times New Roman"/>
                <w:b/>
                <w:sz w:val="16"/>
                <w:szCs w:val="16"/>
              </w:rPr>
              <w:t>0</w:t>
            </w:r>
          </w:p>
        </w:tc>
      </w:tr>
      <w:tr w:rsidR="00CB09BB" w:rsidRPr="00951AB1" w14:paraId="34B6E914" w14:textId="77777777" w:rsidTr="004004C5">
        <w:trPr>
          <w:trHeight w:val="225"/>
        </w:trPr>
        <w:tc>
          <w:tcPr>
            <w:tcW w:w="1149" w:type="dxa"/>
            <w:tcMar>
              <w:left w:w="70" w:type="dxa"/>
              <w:right w:w="70" w:type="dxa"/>
            </w:tcMar>
            <w:vAlign w:val="center"/>
          </w:tcPr>
          <w:p w14:paraId="22E68DBB" w14:textId="230FBA12" w:rsidR="5ABC2B28" w:rsidRPr="00951AB1" w:rsidRDefault="5ABC2B28" w:rsidP="000A5389">
            <w:pPr>
              <w:spacing w:line="240" w:lineRule="auto"/>
              <w:rPr>
                <w:rFonts w:eastAsia="Times New Roman" w:cs="Times New Roman"/>
                <w:sz w:val="16"/>
                <w:szCs w:val="16"/>
              </w:rPr>
            </w:pPr>
            <w:r w:rsidRPr="00951AB1">
              <w:rPr>
                <w:rFonts w:eastAsia="Times New Roman" w:cs="Times New Roman"/>
                <w:sz w:val="16"/>
                <w:szCs w:val="16"/>
              </w:rPr>
              <w:t>Cuentas por cobrar</w:t>
            </w:r>
          </w:p>
        </w:tc>
        <w:tc>
          <w:tcPr>
            <w:tcW w:w="1209" w:type="dxa"/>
            <w:tcMar>
              <w:left w:w="70" w:type="dxa"/>
              <w:right w:w="70" w:type="dxa"/>
            </w:tcMar>
            <w:vAlign w:val="center"/>
          </w:tcPr>
          <w:p w14:paraId="2089F360" w14:textId="1F30F04E" w:rsidR="5ABC2B28" w:rsidRPr="00951AB1" w:rsidRDefault="27FFE1A4" w:rsidP="000A5389">
            <w:pPr>
              <w:spacing w:line="240" w:lineRule="auto"/>
              <w:jc w:val="right"/>
              <w:rPr>
                <w:rFonts w:eastAsia="Times New Roman" w:cs="Times New Roman"/>
                <w:sz w:val="16"/>
                <w:szCs w:val="16"/>
              </w:rPr>
            </w:pPr>
            <w:r w:rsidRPr="00951AB1">
              <w:rPr>
                <w:rFonts w:eastAsia="Times New Roman" w:cs="Times New Roman"/>
                <w:sz w:val="16"/>
                <w:szCs w:val="16"/>
              </w:rPr>
              <w:t>0</w:t>
            </w:r>
          </w:p>
        </w:tc>
        <w:tc>
          <w:tcPr>
            <w:tcW w:w="1302" w:type="dxa"/>
            <w:tcMar>
              <w:left w:w="70" w:type="dxa"/>
              <w:right w:w="70" w:type="dxa"/>
            </w:tcMar>
            <w:vAlign w:val="center"/>
          </w:tcPr>
          <w:p w14:paraId="649894BE" w14:textId="31F2D1E0" w:rsidR="5ABC2B28" w:rsidRPr="00951AB1" w:rsidRDefault="1A096FDA" w:rsidP="000A5389">
            <w:pPr>
              <w:spacing w:line="240" w:lineRule="auto"/>
              <w:jc w:val="right"/>
              <w:rPr>
                <w:rFonts w:eastAsia="Times New Roman" w:cs="Times New Roman"/>
                <w:color w:val="000000" w:themeColor="text1"/>
                <w:sz w:val="16"/>
                <w:szCs w:val="16"/>
              </w:rPr>
            </w:pPr>
            <w:r w:rsidRPr="00951AB1">
              <w:rPr>
                <w:rFonts w:eastAsia="Times New Roman" w:cs="Times New Roman"/>
                <w:color w:val="000000" w:themeColor="text1"/>
                <w:sz w:val="16"/>
                <w:szCs w:val="16"/>
              </w:rPr>
              <w:t>7.090.998.095</w:t>
            </w:r>
          </w:p>
        </w:tc>
        <w:tc>
          <w:tcPr>
            <w:tcW w:w="1484" w:type="dxa"/>
            <w:tcMar>
              <w:left w:w="70" w:type="dxa"/>
              <w:right w:w="70" w:type="dxa"/>
            </w:tcMar>
            <w:vAlign w:val="center"/>
          </w:tcPr>
          <w:p w14:paraId="6AF8A890" w14:textId="4D2BF5E5" w:rsidR="62D06C88" w:rsidRPr="00951AB1" w:rsidRDefault="62D06C88" w:rsidP="000A5389">
            <w:pPr>
              <w:spacing w:line="240" w:lineRule="auto"/>
              <w:jc w:val="right"/>
              <w:rPr>
                <w:rFonts w:eastAsia="Times New Roman" w:cs="Times New Roman"/>
                <w:color w:val="000000" w:themeColor="text1"/>
                <w:sz w:val="16"/>
                <w:szCs w:val="16"/>
              </w:rPr>
            </w:pPr>
            <w:r w:rsidRPr="00951AB1">
              <w:rPr>
                <w:rFonts w:eastAsia="Times New Roman" w:cs="Times New Roman"/>
                <w:color w:val="000000" w:themeColor="text1"/>
                <w:sz w:val="16"/>
                <w:szCs w:val="16"/>
              </w:rPr>
              <w:t>7.090.998.095</w:t>
            </w:r>
          </w:p>
        </w:tc>
        <w:tc>
          <w:tcPr>
            <w:tcW w:w="1232" w:type="dxa"/>
            <w:tcMar>
              <w:left w:w="70" w:type="dxa"/>
              <w:right w:w="70" w:type="dxa"/>
            </w:tcMar>
            <w:vAlign w:val="center"/>
          </w:tcPr>
          <w:p w14:paraId="51C56903" w14:textId="6837AFB4" w:rsidR="5ABC2B28" w:rsidRPr="00951AB1" w:rsidRDefault="6DE37CED" w:rsidP="000A5389">
            <w:pPr>
              <w:spacing w:line="240" w:lineRule="auto"/>
              <w:jc w:val="right"/>
              <w:rPr>
                <w:rFonts w:eastAsia="Times New Roman" w:cs="Times New Roman"/>
                <w:sz w:val="16"/>
                <w:szCs w:val="16"/>
              </w:rPr>
            </w:pPr>
            <w:r w:rsidRPr="00951AB1">
              <w:rPr>
                <w:rFonts w:eastAsia="Times New Roman" w:cs="Times New Roman"/>
                <w:sz w:val="16"/>
                <w:szCs w:val="16"/>
              </w:rPr>
              <w:t>0</w:t>
            </w:r>
          </w:p>
        </w:tc>
        <w:tc>
          <w:tcPr>
            <w:tcW w:w="1247" w:type="dxa"/>
            <w:tcMar>
              <w:left w:w="70" w:type="dxa"/>
              <w:right w:w="70" w:type="dxa"/>
            </w:tcMar>
            <w:vAlign w:val="center"/>
          </w:tcPr>
          <w:p w14:paraId="63967557" w14:textId="0BEB4B37" w:rsidR="5ABC2B28" w:rsidRPr="00951AB1" w:rsidRDefault="6DE37CED" w:rsidP="000A5389">
            <w:pPr>
              <w:spacing w:line="240" w:lineRule="auto"/>
              <w:jc w:val="right"/>
              <w:rPr>
                <w:rFonts w:eastAsia="Times New Roman" w:cs="Times New Roman"/>
                <w:sz w:val="16"/>
                <w:szCs w:val="16"/>
              </w:rPr>
            </w:pPr>
            <w:r w:rsidRPr="00951AB1">
              <w:rPr>
                <w:rFonts w:eastAsia="Times New Roman" w:cs="Times New Roman"/>
                <w:sz w:val="16"/>
                <w:szCs w:val="16"/>
              </w:rPr>
              <w:t>0</w:t>
            </w:r>
          </w:p>
        </w:tc>
        <w:tc>
          <w:tcPr>
            <w:tcW w:w="1195" w:type="dxa"/>
            <w:tcMar>
              <w:left w:w="70" w:type="dxa"/>
              <w:right w:w="70" w:type="dxa"/>
            </w:tcMar>
            <w:vAlign w:val="center"/>
          </w:tcPr>
          <w:p w14:paraId="29E01D64" w14:textId="5D369745" w:rsidR="5ABC2B28" w:rsidRPr="00951AB1" w:rsidRDefault="6DE37CED" w:rsidP="000A5389">
            <w:pPr>
              <w:spacing w:line="240" w:lineRule="auto"/>
              <w:jc w:val="right"/>
              <w:rPr>
                <w:rFonts w:eastAsia="Times New Roman" w:cs="Times New Roman"/>
                <w:sz w:val="16"/>
                <w:szCs w:val="16"/>
              </w:rPr>
            </w:pPr>
            <w:r w:rsidRPr="00951AB1">
              <w:rPr>
                <w:rFonts w:eastAsia="Times New Roman" w:cs="Times New Roman"/>
                <w:sz w:val="16"/>
                <w:szCs w:val="16"/>
              </w:rPr>
              <w:t>0</w:t>
            </w:r>
          </w:p>
        </w:tc>
      </w:tr>
    </w:tbl>
    <w:p w14:paraId="441D223C" w14:textId="77777777" w:rsidR="002909D8" w:rsidRPr="00951AB1" w:rsidRDefault="002909D8" w:rsidP="000A5389">
      <w:pPr>
        <w:spacing w:line="240" w:lineRule="auto"/>
        <w:rPr>
          <w:rFonts w:cs="Times New Roman"/>
          <w:sz w:val="16"/>
          <w:szCs w:val="16"/>
        </w:rPr>
      </w:pPr>
      <w:r w:rsidRPr="00951AB1">
        <w:rPr>
          <w:rFonts w:cs="Times New Roman"/>
          <w:sz w:val="16"/>
          <w:szCs w:val="16"/>
        </w:rPr>
        <w:t xml:space="preserve">Cifras expresadas en pesos </w:t>
      </w:r>
    </w:p>
    <w:p w14:paraId="6E0F20C1" w14:textId="60CC10A2" w:rsidR="5ABC2B28" w:rsidRPr="00951AB1" w:rsidRDefault="5ABC2B28" w:rsidP="000A5389">
      <w:pPr>
        <w:spacing w:line="240" w:lineRule="auto"/>
        <w:rPr>
          <w:rFonts w:cs="Times New Roman"/>
        </w:rPr>
      </w:pPr>
    </w:p>
    <w:p w14:paraId="45B1544E" w14:textId="2F4CC995" w:rsidR="2BB8AB4B" w:rsidRPr="00951AB1" w:rsidRDefault="2BB8AB4B" w:rsidP="000A5389">
      <w:pPr>
        <w:spacing w:line="240" w:lineRule="auto"/>
        <w:rPr>
          <w:rFonts w:eastAsia="Times New Roman" w:cs="Times New Roman"/>
          <w:szCs w:val="24"/>
        </w:rPr>
      </w:pPr>
      <w:r w:rsidRPr="00951AB1">
        <w:rPr>
          <w:rFonts w:eastAsia="Times New Roman" w:cs="Times New Roman"/>
          <w:szCs w:val="24"/>
        </w:rPr>
        <w:t>Las partidas relacionadas, corresponden a multas contractuales impuestas a los concesionarios del modo de transporte portuario en dólares estadounidenses (USD). Las variaciones originadas por diferencias en cambio se estimaron utilizando la Tasa Representativa del Mercado (TRM) en la fecha del cierre del periodo contable.</w:t>
      </w:r>
    </w:p>
    <w:p w14:paraId="43718382" w14:textId="739FE90A" w:rsidR="5ABC2B28" w:rsidRPr="00951AB1" w:rsidRDefault="5ABC2B28" w:rsidP="000A5389">
      <w:pPr>
        <w:spacing w:line="240" w:lineRule="auto"/>
        <w:rPr>
          <w:rFonts w:eastAsia="Times New Roman" w:cs="Times New Roman"/>
          <w:szCs w:val="24"/>
          <w:highlight w:val="yellow"/>
        </w:rPr>
      </w:pPr>
    </w:p>
    <w:p w14:paraId="021CBBFE" w14:textId="41B877F7" w:rsidR="127E5AE4" w:rsidRPr="00951AB1" w:rsidRDefault="127E5AE4" w:rsidP="000A5389">
      <w:pPr>
        <w:spacing w:line="240" w:lineRule="auto"/>
        <w:rPr>
          <w:rFonts w:cs="Times New Roman"/>
        </w:rPr>
      </w:pPr>
      <w:r w:rsidRPr="00951AB1">
        <w:rPr>
          <w:rFonts w:eastAsia="Times New Roman" w:cs="Times New Roman"/>
          <w:szCs w:val="24"/>
        </w:rPr>
        <w:t>Se relacionan las diferencias en cambio reconocidas en el resultado del periodo, a nivel de terceros:</w:t>
      </w:r>
    </w:p>
    <w:p w14:paraId="685023E6" w14:textId="3A1F372D" w:rsidR="5ABC2B28" w:rsidRPr="00951AB1" w:rsidRDefault="5ABC2B28" w:rsidP="000A5389">
      <w:pPr>
        <w:spacing w:line="240" w:lineRule="auto"/>
        <w:rPr>
          <w:rFonts w:cs="Times New Roman"/>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58"/>
        <w:gridCol w:w="3570"/>
      </w:tblGrid>
      <w:tr w:rsidR="005A73C0" w:rsidRPr="009A0894" w14:paraId="42262F4D" w14:textId="77777777" w:rsidTr="009A0894">
        <w:trPr>
          <w:trHeight w:val="375"/>
        </w:trPr>
        <w:tc>
          <w:tcPr>
            <w:tcW w:w="2978" w:type="pct"/>
            <w:tcMar>
              <w:left w:w="70" w:type="dxa"/>
              <w:right w:w="70" w:type="dxa"/>
            </w:tcMar>
            <w:vAlign w:val="center"/>
          </w:tcPr>
          <w:p w14:paraId="25770035" w14:textId="29939D70" w:rsidR="2310A2C0" w:rsidRPr="009A0894" w:rsidRDefault="2310A2C0" w:rsidP="000A5389">
            <w:pPr>
              <w:spacing w:line="240" w:lineRule="auto"/>
              <w:jc w:val="center"/>
              <w:rPr>
                <w:rFonts w:eastAsia="Times New Roman" w:cs="Times New Roman"/>
                <w:b/>
                <w:bCs/>
                <w:color w:val="000000" w:themeColor="text1"/>
                <w:sz w:val="16"/>
                <w:szCs w:val="16"/>
              </w:rPr>
            </w:pPr>
            <w:r w:rsidRPr="009A0894">
              <w:rPr>
                <w:rFonts w:eastAsia="Times New Roman" w:cs="Times New Roman"/>
                <w:b/>
                <w:bCs/>
                <w:color w:val="000000" w:themeColor="text1"/>
                <w:sz w:val="16"/>
                <w:szCs w:val="16"/>
              </w:rPr>
              <w:t>ENTIDAD</w:t>
            </w:r>
          </w:p>
        </w:tc>
        <w:tc>
          <w:tcPr>
            <w:tcW w:w="2022" w:type="pct"/>
            <w:tcMar>
              <w:left w:w="70" w:type="dxa"/>
              <w:right w:w="70" w:type="dxa"/>
            </w:tcMar>
            <w:vAlign w:val="center"/>
          </w:tcPr>
          <w:p w14:paraId="009533B1" w14:textId="21D547CD" w:rsidR="5ABC2B28" w:rsidRPr="009A0894" w:rsidRDefault="5ABC2B28" w:rsidP="000A5389">
            <w:pPr>
              <w:spacing w:line="240" w:lineRule="auto"/>
              <w:jc w:val="center"/>
              <w:rPr>
                <w:rFonts w:cs="Times New Roman"/>
                <w:sz w:val="16"/>
                <w:szCs w:val="16"/>
              </w:rPr>
            </w:pPr>
            <w:r w:rsidRPr="009A0894">
              <w:rPr>
                <w:rFonts w:eastAsia="Times New Roman" w:cs="Times New Roman"/>
                <w:b/>
                <w:bCs/>
                <w:color w:val="000000" w:themeColor="text1"/>
                <w:sz w:val="16"/>
                <w:szCs w:val="16"/>
              </w:rPr>
              <w:t>EFECTOS DE LAS VARIACIONES EN LAS TASAS DE CAMBIO</w:t>
            </w:r>
          </w:p>
        </w:tc>
      </w:tr>
      <w:tr w:rsidR="005A6065" w:rsidRPr="009A0894" w14:paraId="13E5E1FD" w14:textId="77777777" w:rsidTr="009A0894">
        <w:trPr>
          <w:trHeight w:val="315"/>
        </w:trPr>
        <w:tc>
          <w:tcPr>
            <w:tcW w:w="2978" w:type="pct"/>
            <w:tcMar>
              <w:left w:w="70" w:type="dxa"/>
              <w:right w:w="70" w:type="dxa"/>
            </w:tcMar>
            <w:vAlign w:val="center"/>
          </w:tcPr>
          <w:p w14:paraId="1ED32C46" w14:textId="3820E435" w:rsidR="5ABC2B28" w:rsidRPr="009A0894" w:rsidRDefault="00953C90" w:rsidP="000A5389">
            <w:pPr>
              <w:spacing w:line="240" w:lineRule="auto"/>
              <w:rPr>
                <w:rFonts w:cs="Times New Roman"/>
                <w:sz w:val="16"/>
                <w:szCs w:val="16"/>
              </w:rPr>
            </w:pPr>
            <w:r w:rsidRPr="009A0894">
              <w:rPr>
                <w:rFonts w:eastAsia="Times New Roman" w:cs="Times New Roman"/>
                <w:color w:val="000000" w:themeColor="text1"/>
                <w:sz w:val="16"/>
                <w:szCs w:val="16"/>
              </w:rPr>
              <w:t>Sociedad Portuaria Bullpesa S. A</w:t>
            </w:r>
          </w:p>
        </w:tc>
        <w:tc>
          <w:tcPr>
            <w:tcW w:w="2022" w:type="pct"/>
            <w:tcMar>
              <w:left w:w="70" w:type="dxa"/>
              <w:right w:w="70" w:type="dxa"/>
            </w:tcMar>
            <w:vAlign w:val="center"/>
          </w:tcPr>
          <w:p w14:paraId="6BA18D2D" w14:textId="7A8A4406" w:rsidR="5ABC2B28" w:rsidRPr="009A0894" w:rsidRDefault="6D397E32" w:rsidP="000A5389">
            <w:pPr>
              <w:spacing w:line="240" w:lineRule="auto"/>
              <w:jc w:val="right"/>
              <w:rPr>
                <w:rFonts w:eastAsia="Times New Roman" w:cs="Times New Roman"/>
                <w:color w:val="000000" w:themeColor="text1"/>
                <w:sz w:val="16"/>
                <w:szCs w:val="16"/>
              </w:rPr>
            </w:pPr>
            <w:r w:rsidRPr="009A0894">
              <w:rPr>
                <w:rFonts w:eastAsia="Times New Roman" w:cs="Times New Roman"/>
                <w:color w:val="000000" w:themeColor="text1"/>
                <w:sz w:val="16"/>
                <w:szCs w:val="16"/>
              </w:rPr>
              <w:t>6.643.890.09</w:t>
            </w:r>
            <w:r w:rsidR="00953C90" w:rsidRPr="009A0894">
              <w:rPr>
                <w:rFonts w:eastAsia="Times New Roman" w:cs="Times New Roman"/>
                <w:color w:val="000000" w:themeColor="text1"/>
                <w:sz w:val="16"/>
                <w:szCs w:val="16"/>
              </w:rPr>
              <w:t>5</w:t>
            </w:r>
          </w:p>
        </w:tc>
      </w:tr>
      <w:tr w:rsidR="003D2671" w:rsidRPr="009A0894" w14:paraId="504368FD" w14:textId="77777777" w:rsidTr="009A0894">
        <w:trPr>
          <w:trHeight w:val="207"/>
        </w:trPr>
        <w:tc>
          <w:tcPr>
            <w:tcW w:w="2978" w:type="pct"/>
            <w:tcMar>
              <w:left w:w="70" w:type="dxa"/>
              <w:right w:w="70" w:type="dxa"/>
            </w:tcMar>
            <w:vAlign w:val="center"/>
          </w:tcPr>
          <w:p w14:paraId="50AFAB4D" w14:textId="7CEA38C5" w:rsidR="5ABC2B28" w:rsidRPr="009A0894" w:rsidRDefault="00953C90" w:rsidP="000A5389">
            <w:pPr>
              <w:spacing w:line="240" w:lineRule="auto"/>
              <w:rPr>
                <w:rFonts w:cs="Times New Roman"/>
                <w:sz w:val="16"/>
                <w:szCs w:val="16"/>
              </w:rPr>
            </w:pPr>
            <w:r w:rsidRPr="009A0894">
              <w:rPr>
                <w:rFonts w:eastAsia="Times New Roman" w:cs="Times New Roman"/>
                <w:color w:val="000000" w:themeColor="text1"/>
                <w:sz w:val="16"/>
                <w:szCs w:val="16"/>
              </w:rPr>
              <w:lastRenderedPageBreak/>
              <w:t>Sociedad Portuaria Terminal De Ifo's S.A.</w:t>
            </w:r>
          </w:p>
        </w:tc>
        <w:tc>
          <w:tcPr>
            <w:tcW w:w="2022" w:type="pct"/>
            <w:tcMar>
              <w:left w:w="70" w:type="dxa"/>
              <w:right w:w="70" w:type="dxa"/>
            </w:tcMar>
            <w:vAlign w:val="center"/>
          </w:tcPr>
          <w:p w14:paraId="7C99326C" w14:textId="24445ADE" w:rsidR="5ABC2B28" w:rsidRPr="009A0894" w:rsidRDefault="536D7454" w:rsidP="000A5389">
            <w:pPr>
              <w:spacing w:line="240" w:lineRule="auto"/>
              <w:jc w:val="right"/>
              <w:rPr>
                <w:rFonts w:eastAsia="Times New Roman" w:cs="Times New Roman"/>
                <w:color w:val="000000" w:themeColor="text1"/>
                <w:sz w:val="16"/>
                <w:szCs w:val="16"/>
              </w:rPr>
            </w:pPr>
            <w:r w:rsidRPr="009A0894">
              <w:rPr>
                <w:rFonts w:eastAsia="Times New Roman" w:cs="Times New Roman"/>
                <w:color w:val="000000" w:themeColor="text1"/>
                <w:sz w:val="16"/>
                <w:szCs w:val="16"/>
              </w:rPr>
              <w:t>431.070.945</w:t>
            </w:r>
          </w:p>
        </w:tc>
      </w:tr>
      <w:tr w:rsidR="003D2671" w:rsidRPr="009A0894" w14:paraId="10CE22D7" w14:textId="77777777" w:rsidTr="009A0894">
        <w:trPr>
          <w:trHeight w:val="280"/>
        </w:trPr>
        <w:tc>
          <w:tcPr>
            <w:tcW w:w="2978" w:type="pct"/>
            <w:tcMar>
              <w:left w:w="70" w:type="dxa"/>
              <w:right w:w="70" w:type="dxa"/>
            </w:tcMar>
            <w:vAlign w:val="center"/>
          </w:tcPr>
          <w:p w14:paraId="34F94221" w14:textId="0D62854E" w:rsidR="5ABC2B28" w:rsidRPr="009A0894" w:rsidRDefault="00953C90" w:rsidP="000A5389">
            <w:pPr>
              <w:spacing w:line="240" w:lineRule="auto"/>
              <w:rPr>
                <w:rFonts w:cs="Times New Roman"/>
                <w:sz w:val="16"/>
                <w:szCs w:val="16"/>
              </w:rPr>
            </w:pPr>
            <w:r w:rsidRPr="009A0894">
              <w:rPr>
                <w:rFonts w:eastAsia="Times New Roman" w:cs="Times New Roman"/>
                <w:color w:val="000000" w:themeColor="text1"/>
                <w:sz w:val="16"/>
                <w:szCs w:val="16"/>
              </w:rPr>
              <w:t>Sociedad Portuaria Puerto Hondo S.A.</w:t>
            </w:r>
          </w:p>
        </w:tc>
        <w:tc>
          <w:tcPr>
            <w:tcW w:w="2022" w:type="pct"/>
            <w:tcMar>
              <w:left w:w="70" w:type="dxa"/>
              <w:right w:w="70" w:type="dxa"/>
            </w:tcMar>
            <w:vAlign w:val="center"/>
          </w:tcPr>
          <w:p w14:paraId="2B81D933" w14:textId="4A8EC3E2" w:rsidR="5ABC2B28" w:rsidRPr="009A0894" w:rsidRDefault="477BF11F" w:rsidP="000A5389">
            <w:pPr>
              <w:spacing w:line="240" w:lineRule="auto"/>
              <w:jc w:val="right"/>
              <w:rPr>
                <w:rFonts w:eastAsia="Times New Roman" w:cs="Times New Roman"/>
                <w:color w:val="000000" w:themeColor="text1"/>
                <w:sz w:val="16"/>
                <w:szCs w:val="16"/>
              </w:rPr>
            </w:pPr>
            <w:r w:rsidRPr="009A0894">
              <w:rPr>
                <w:rFonts w:eastAsia="Times New Roman" w:cs="Times New Roman"/>
                <w:color w:val="000000" w:themeColor="text1"/>
                <w:sz w:val="16"/>
                <w:szCs w:val="16"/>
              </w:rPr>
              <w:t>9.024.55</w:t>
            </w:r>
            <w:r w:rsidR="00953C90" w:rsidRPr="009A0894">
              <w:rPr>
                <w:rFonts w:eastAsia="Times New Roman" w:cs="Times New Roman"/>
                <w:color w:val="000000" w:themeColor="text1"/>
                <w:sz w:val="16"/>
                <w:szCs w:val="16"/>
              </w:rPr>
              <w:t>8</w:t>
            </w:r>
          </w:p>
        </w:tc>
      </w:tr>
      <w:tr w:rsidR="003D2671" w:rsidRPr="009A0894" w14:paraId="1472D6D5" w14:textId="77777777" w:rsidTr="009A0894">
        <w:trPr>
          <w:trHeight w:val="129"/>
        </w:trPr>
        <w:tc>
          <w:tcPr>
            <w:tcW w:w="2978" w:type="pct"/>
            <w:tcMar>
              <w:left w:w="70" w:type="dxa"/>
              <w:right w:w="70" w:type="dxa"/>
            </w:tcMar>
            <w:vAlign w:val="center"/>
          </w:tcPr>
          <w:p w14:paraId="02404321" w14:textId="6B9E0882" w:rsidR="5ABC2B28" w:rsidRPr="009A0894" w:rsidRDefault="00953C90" w:rsidP="000A5389">
            <w:pPr>
              <w:spacing w:line="240" w:lineRule="auto"/>
              <w:rPr>
                <w:rFonts w:cs="Times New Roman"/>
                <w:sz w:val="16"/>
                <w:szCs w:val="16"/>
              </w:rPr>
            </w:pPr>
            <w:r w:rsidRPr="009A0894">
              <w:rPr>
                <w:rFonts w:eastAsia="Times New Roman" w:cs="Times New Roman"/>
                <w:color w:val="000000" w:themeColor="text1"/>
                <w:sz w:val="16"/>
                <w:szCs w:val="16"/>
              </w:rPr>
              <w:t>Sociedad Portuaria De La Península</w:t>
            </w:r>
          </w:p>
        </w:tc>
        <w:tc>
          <w:tcPr>
            <w:tcW w:w="2022" w:type="pct"/>
            <w:tcMar>
              <w:left w:w="70" w:type="dxa"/>
              <w:right w:w="70" w:type="dxa"/>
            </w:tcMar>
            <w:vAlign w:val="center"/>
          </w:tcPr>
          <w:p w14:paraId="7AFC5A7F" w14:textId="28ADE0C4" w:rsidR="5ABC2B28" w:rsidRPr="009A0894" w:rsidRDefault="2A73EAAC" w:rsidP="000A5389">
            <w:pPr>
              <w:spacing w:line="240" w:lineRule="auto"/>
              <w:jc w:val="right"/>
              <w:rPr>
                <w:rFonts w:eastAsia="Times New Roman" w:cs="Times New Roman"/>
                <w:color w:val="000000" w:themeColor="text1"/>
                <w:sz w:val="16"/>
                <w:szCs w:val="16"/>
              </w:rPr>
            </w:pPr>
            <w:r w:rsidRPr="009A0894">
              <w:rPr>
                <w:rFonts w:eastAsia="Times New Roman" w:cs="Times New Roman"/>
                <w:color w:val="000000" w:themeColor="text1"/>
                <w:sz w:val="16"/>
                <w:szCs w:val="16"/>
              </w:rPr>
              <w:t>7.012.49</w:t>
            </w:r>
            <w:r w:rsidR="00953C90" w:rsidRPr="009A0894">
              <w:rPr>
                <w:rFonts w:eastAsia="Times New Roman" w:cs="Times New Roman"/>
                <w:color w:val="000000" w:themeColor="text1"/>
                <w:sz w:val="16"/>
                <w:szCs w:val="16"/>
              </w:rPr>
              <w:t>8</w:t>
            </w:r>
          </w:p>
        </w:tc>
      </w:tr>
    </w:tbl>
    <w:p w14:paraId="2CB7201B" w14:textId="77777777" w:rsidR="002909D8" w:rsidRPr="00951AB1" w:rsidRDefault="002909D8" w:rsidP="000A5389">
      <w:pPr>
        <w:spacing w:line="240" w:lineRule="auto"/>
        <w:rPr>
          <w:rFonts w:cs="Times New Roman"/>
          <w:sz w:val="16"/>
          <w:szCs w:val="16"/>
        </w:rPr>
      </w:pPr>
      <w:r w:rsidRPr="00951AB1">
        <w:rPr>
          <w:rFonts w:cs="Times New Roman"/>
          <w:sz w:val="16"/>
          <w:szCs w:val="16"/>
        </w:rPr>
        <w:t xml:space="preserve">Cifras expresadas en pesos </w:t>
      </w:r>
    </w:p>
    <w:p w14:paraId="4368CADC" w14:textId="2CF060EF" w:rsidR="00241ABA" w:rsidRPr="00951AB1" w:rsidRDefault="00241ABA" w:rsidP="000A5389">
      <w:pPr>
        <w:spacing w:line="240" w:lineRule="auto"/>
        <w:rPr>
          <w:rFonts w:cs="Times New Roman"/>
        </w:rPr>
      </w:pPr>
    </w:p>
    <w:p w14:paraId="2BF82F2A" w14:textId="414B581A" w:rsidR="65E81BB0" w:rsidRPr="00951AB1" w:rsidRDefault="65E81BB0" w:rsidP="000A5389">
      <w:pPr>
        <w:spacing w:line="240" w:lineRule="auto"/>
        <w:rPr>
          <w:rFonts w:eastAsia="Times New Roman" w:cs="Times New Roman"/>
          <w:szCs w:val="24"/>
        </w:rPr>
      </w:pPr>
      <w:r w:rsidRPr="00951AB1">
        <w:rPr>
          <w:rFonts w:eastAsia="Times New Roman" w:cs="Times New Roman"/>
          <w:szCs w:val="24"/>
        </w:rPr>
        <w:t xml:space="preserve">La Tasa Representativa del Mercado (TRM) utilizada para la medición posterior y reexpresión al cierre del período, fue de </w:t>
      </w:r>
      <w:r w:rsidR="16D60B18" w:rsidRPr="00951AB1">
        <w:rPr>
          <w:rFonts w:eastAsia="Times New Roman" w:cs="Times New Roman"/>
          <w:szCs w:val="24"/>
        </w:rPr>
        <w:t xml:space="preserve">$3.757,08 </w:t>
      </w:r>
      <w:r w:rsidRPr="00951AB1">
        <w:rPr>
          <w:rFonts w:eastAsia="Times New Roman" w:cs="Times New Roman"/>
          <w:szCs w:val="24"/>
        </w:rPr>
        <w:t>colombianos.</w:t>
      </w:r>
    </w:p>
    <w:p w14:paraId="0773ADFD" w14:textId="432E40A8" w:rsidR="65E81BB0" w:rsidRPr="00951AB1" w:rsidRDefault="65E81BB0" w:rsidP="000A5389">
      <w:pPr>
        <w:spacing w:line="240" w:lineRule="auto"/>
        <w:rPr>
          <w:rFonts w:cs="Times New Roman"/>
        </w:rPr>
      </w:pPr>
      <w:r w:rsidRPr="00951AB1">
        <w:rPr>
          <w:rFonts w:eastAsia="Times New Roman" w:cs="Times New Roman"/>
          <w:szCs w:val="24"/>
        </w:rPr>
        <w:t xml:space="preserve"> </w:t>
      </w:r>
    </w:p>
    <w:p w14:paraId="1194F5BA" w14:textId="65D9C7FF" w:rsidR="65E81BB0" w:rsidRPr="00951AB1" w:rsidRDefault="65E81BB0" w:rsidP="000A5389">
      <w:pPr>
        <w:spacing w:line="240" w:lineRule="auto"/>
        <w:rPr>
          <w:rFonts w:cs="Times New Roman"/>
        </w:rPr>
      </w:pPr>
      <w:r w:rsidRPr="00951AB1">
        <w:rPr>
          <w:rFonts w:eastAsia="Times New Roman" w:cs="Times New Roman"/>
          <w:szCs w:val="24"/>
        </w:rPr>
        <w:t>Para el cierre del período contable, no se reconocieron diferencias en cambio en el patrimonio.</w:t>
      </w:r>
    </w:p>
    <w:p w14:paraId="01B8B746" w14:textId="77777777" w:rsidR="00C72CFB" w:rsidRDefault="00C72CFB" w:rsidP="000A5389">
      <w:pPr>
        <w:spacing w:line="240" w:lineRule="auto"/>
        <w:rPr>
          <w:rFonts w:cs="Times New Roman"/>
        </w:rPr>
      </w:pPr>
    </w:p>
    <w:p w14:paraId="23FBCAAF" w14:textId="77777777" w:rsidR="00C72CFB" w:rsidRDefault="00C72CFB" w:rsidP="000A5389">
      <w:pPr>
        <w:spacing w:line="240" w:lineRule="auto"/>
        <w:rPr>
          <w:rFonts w:cs="Times New Roman"/>
        </w:rPr>
      </w:pPr>
    </w:p>
    <w:p w14:paraId="430437BA" w14:textId="77777777" w:rsidR="001958E2" w:rsidRDefault="001958E2" w:rsidP="000A5389">
      <w:pPr>
        <w:spacing w:line="240" w:lineRule="auto"/>
        <w:rPr>
          <w:rFonts w:cs="Times New Roman"/>
        </w:rPr>
      </w:pPr>
    </w:p>
    <w:p w14:paraId="631D32F9" w14:textId="77777777" w:rsidR="00F333D8" w:rsidRPr="00FF6C94" w:rsidRDefault="00F333D8" w:rsidP="00F333D8">
      <w:pPr>
        <w:pStyle w:val="Textoindependiente"/>
      </w:pPr>
      <w:r w:rsidRPr="00FF6C94">
        <w:t xml:space="preserve">Bogotá D.C., </w:t>
      </w:r>
      <w:bookmarkStart w:id="1116" w:name="_Hlk150935207"/>
      <w:r w:rsidRPr="00FF6C94">
        <w:t>veintis</w:t>
      </w:r>
      <w:r>
        <w:t>é</w:t>
      </w:r>
      <w:r w:rsidRPr="00FF6C94">
        <w:t>i</w:t>
      </w:r>
      <w:r>
        <w:t>s</w:t>
      </w:r>
      <w:r w:rsidRPr="00FF6C94">
        <w:t xml:space="preserve"> (2</w:t>
      </w:r>
      <w:r>
        <w:t>6</w:t>
      </w:r>
      <w:r w:rsidRPr="00FF6C94">
        <w:t>) días del mes de febrero de 202</w:t>
      </w:r>
      <w:bookmarkEnd w:id="1116"/>
      <w:r>
        <w:t>6</w:t>
      </w:r>
      <w:r w:rsidRPr="00FF6C94">
        <w:t>.</w:t>
      </w:r>
    </w:p>
    <w:p w14:paraId="36EDD28C" w14:textId="77777777" w:rsidR="00D83661" w:rsidRDefault="00D83661" w:rsidP="000A5389">
      <w:pPr>
        <w:spacing w:line="240" w:lineRule="auto"/>
        <w:rPr>
          <w:rFonts w:cs="Times New Roman"/>
          <w:lang w:val="es-ES"/>
        </w:rPr>
      </w:pPr>
    </w:p>
    <w:p w14:paraId="2B20A5DD" w14:textId="77777777" w:rsidR="00F333D8" w:rsidRDefault="00F333D8" w:rsidP="000A5389">
      <w:pPr>
        <w:spacing w:line="240" w:lineRule="auto"/>
        <w:rPr>
          <w:rFonts w:cs="Times New Roman"/>
          <w:lang w:val="es-ES"/>
        </w:rPr>
      </w:pPr>
    </w:p>
    <w:p w14:paraId="5C69806E" w14:textId="77777777" w:rsidR="00F333D8" w:rsidRPr="00F333D8" w:rsidRDefault="00F333D8" w:rsidP="000A5389">
      <w:pPr>
        <w:spacing w:line="240" w:lineRule="auto"/>
        <w:rPr>
          <w:rFonts w:cs="Times New Roman"/>
          <w:lang w:val="es-ES"/>
        </w:rPr>
      </w:pPr>
    </w:p>
    <w:p w14:paraId="38D2577A" w14:textId="77777777" w:rsidR="00742703" w:rsidRDefault="00742703" w:rsidP="000A5389">
      <w:pPr>
        <w:spacing w:line="240" w:lineRule="auto"/>
        <w:rPr>
          <w:rFonts w:cs="Times New Roman"/>
        </w:rPr>
      </w:pPr>
    </w:p>
    <w:p w14:paraId="65149C76" w14:textId="77777777" w:rsidR="00742703" w:rsidRDefault="00742703" w:rsidP="000A5389">
      <w:pPr>
        <w:spacing w:line="240" w:lineRule="auto"/>
        <w:rPr>
          <w:rFonts w:cs="Times New Roman"/>
        </w:rPr>
      </w:pPr>
    </w:p>
    <w:p w14:paraId="7CB9B5B0" w14:textId="77777777" w:rsidR="003D5DB4" w:rsidRDefault="003D5DB4" w:rsidP="000A5389">
      <w:pPr>
        <w:spacing w:line="240" w:lineRule="auto"/>
        <w:rPr>
          <w:rFonts w:cs="Times New Roman"/>
        </w:rPr>
      </w:pPr>
    </w:p>
    <w:p w14:paraId="5E394822" w14:textId="44B39D4A" w:rsidR="00D83661" w:rsidRDefault="00D83661" w:rsidP="000A5389">
      <w:pPr>
        <w:spacing w:line="240" w:lineRule="auto"/>
        <w:jc w:val="center"/>
        <w:rPr>
          <w:rFonts w:cs="Times New Roman"/>
        </w:rPr>
      </w:pPr>
      <w:r w:rsidRPr="003D5DB4">
        <w:rPr>
          <w:rFonts w:ascii="Arial" w:eastAsia="Times New Roman" w:hAnsi="Arial" w:cs="Arial"/>
          <w:b/>
          <w:bCs/>
          <w:kern w:val="0"/>
          <w:sz w:val="20"/>
          <w:szCs w:val="20"/>
          <w:lang w:eastAsia="es-CO"/>
          <w14:ligatures w14:val="none"/>
        </w:rPr>
        <w:t>OSCAR JAVIER TORRES YARZAGARAY</w:t>
      </w:r>
    </w:p>
    <w:p w14:paraId="0EDFEA44" w14:textId="60889FB8" w:rsidR="00D83661" w:rsidRDefault="00D83661" w:rsidP="000A5389">
      <w:pPr>
        <w:spacing w:line="240" w:lineRule="auto"/>
        <w:jc w:val="center"/>
        <w:rPr>
          <w:rFonts w:cs="Times New Roman"/>
        </w:rPr>
      </w:pPr>
      <w:r w:rsidRPr="003D5DB4">
        <w:rPr>
          <w:rFonts w:ascii="Arial" w:eastAsia="Times New Roman" w:hAnsi="Arial" w:cs="Arial"/>
          <w:b/>
          <w:bCs/>
          <w:kern w:val="0"/>
          <w:sz w:val="20"/>
          <w:szCs w:val="20"/>
          <w:lang w:eastAsia="es-CO"/>
          <w14:ligatures w14:val="none"/>
        </w:rPr>
        <w:t>Representante Legal</w:t>
      </w:r>
    </w:p>
    <w:p w14:paraId="7109B1D0" w14:textId="17314FD7" w:rsidR="00D83661" w:rsidRDefault="00D83661" w:rsidP="000A5389">
      <w:pPr>
        <w:spacing w:line="240" w:lineRule="auto"/>
        <w:jc w:val="center"/>
        <w:rPr>
          <w:rFonts w:cs="Times New Roman"/>
        </w:rPr>
      </w:pPr>
      <w:r w:rsidRPr="003D5DB4">
        <w:rPr>
          <w:rFonts w:ascii="Arial" w:eastAsia="Times New Roman" w:hAnsi="Arial" w:cs="Arial"/>
          <w:kern w:val="0"/>
          <w:sz w:val="20"/>
          <w:szCs w:val="20"/>
          <w:lang w:eastAsia="es-CO"/>
          <w14:ligatures w14:val="none"/>
        </w:rPr>
        <w:t>C.C. No. 92.522.276</w:t>
      </w:r>
    </w:p>
    <w:p w14:paraId="629D6495" w14:textId="77777777" w:rsidR="003D5DB4" w:rsidRDefault="003D5DB4" w:rsidP="000A5389">
      <w:pPr>
        <w:spacing w:line="240" w:lineRule="auto"/>
        <w:jc w:val="center"/>
        <w:rPr>
          <w:rFonts w:cs="Times New Roman"/>
        </w:rPr>
      </w:pPr>
    </w:p>
    <w:p w14:paraId="2958F833" w14:textId="77777777" w:rsidR="00D83661" w:rsidRDefault="00D83661" w:rsidP="000A5389">
      <w:pPr>
        <w:spacing w:line="240" w:lineRule="auto"/>
        <w:jc w:val="center"/>
        <w:rPr>
          <w:rFonts w:cs="Times New Roman"/>
        </w:rPr>
      </w:pPr>
    </w:p>
    <w:p w14:paraId="25CC9885" w14:textId="77777777" w:rsidR="00D83661" w:rsidRDefault="00D83661" w:rsidP="000A5389">
      <w:pPr>
        <w:spacing w:line="240" w:lineRule="auto"/>
        <w:jc w:val="center"/>
        <w:rPr>
          <w:rFonts w:cs="Times New Roman"/>
        </w:rPr>
      </w:pPr>
    </w:p>
    <w:p w14:paraId="38536652" w14:textId="77777777" w:rsidR="00742703" w:rsidRDefault="00742703" w:rsidP="000A5389">
      <w:pPr>
        <w:spacing w:line="240" w:lineRule="auto"/>
        <w:jc w:val="center"/>
        <w:rPr>
          <w:rFonts w:cs="Times New Roman"/>
        </w:rPr>
      </w:pPr>
    </w:p>
    <w:p w14:paraId="782B3A01" w14:textId="77777777" w:rsidR="00742703" w:rsidRDefault="00742703" w:rsidP="000A5389">
      <w:pPr>
        <w:spacing w:line="240" w:lineRule="auto"/>
        <w:jc w:val="center"/>
        <w:rPr>
          <w:rFonts w:cs="Times New Roman"/>
        </w:rPr>
      </w:pPr>
    </w:p>
    <w:p w14:paraId="6D8C1632" w14:textId="77777777" w:rsidR="00742703" w:rsidRDefault="00742703" w:rsidP="000A5389">
      <w:pPr>
        <w:spacing w:line="240" w:lineRule="auto"/>
        <w:jc w:val="center"/>
        <w:rPr>
          <w:rFonts w:cs="Times New Roman"/>
        </w:rPr>
      </w:pPr>
    </w:p>
    <w:p w14:paraId="36406AB2" w14:textId="33D094BC" w:rsidR="00D83661" w:rsidRDefault="00D83661" w:rsidP="000A5389">
      <w:pPr>
        <w:spacing w:line="240" w:lineRule="auto"/>
        <w:jc w:val="center"/>
        <w:rPr>
          <w:rFonts w:cs="Times New Roman"/>
        </w:rPr>
      </w:pPr>
      <w:r w:rsidRPr="003D5DB4">
        <w:rPr>
          <w:rFonts w:ascii="Arial" w:eastAsia="Times New Roman" w:hAnsi="Arial" w:cs="Arial"/>
          <w:b/>
          <w:bCs/>
          <w:kern w:val="0"/>
          <w:sz w:val="20"/>
          <w:szCs w:val="20"/>
          <w:lang w:eastAsia="es-CO"/>
          <w14:ligatures w14:val="none"/>
        </w:rPr>
        <w:t>CARMEN ESTELA HERRERA GUERRA</w:t>
      </w:r>
    </w:p>
    <w:p w14:paraId="1A01C057" w14:textId="47B96E9E" w:rsidR="003D5DB4" w:rsidRDefault="00D83661" w:rsidP="000A5389">
      <w:pPr>
        <w:spacing w:line="240" w:lineRule="auto"/>
        <w:jc w:val="center"/>
        <w:rPr>
          <w:rFonts w:cs="Times New Roman"/>
        </w:rPr>
      </w:pPr>
      <w:r w:rsidRPr="003D5DB4">
        <w:rPr>
          <w:rFonts w:ascii="Arial" w:eastAsia="Times New Roman" w:hAnsi="Arial" w:cs="Arial"/>
          <w:b/>
          <w:bCs/>
          <w:kern w:val="0"/>
          <w:sz w:val="20"/>
          <w:szCs w:val="20"/>
          <w:lang w:eastAsia="es-CO"/>
          <w14:ligatures w14:val="none"/>
        </w:rPr>
        <w:t>Experto G3 06 con funciones de Contador</w:t>
      </w:r>
      <w:r w:rsidR="00F333D8">
        <w:rPr>
          <w:rFonts w:ascii="Arial" w:eastAsia="Times New Roman" w:hAnsi="Arial" w:cs="Arial"/>
          <w:b/>
          <w:bCs/>
          <w:kern w:val="0"/>
          <w:sz w:val="20"/>
          <w:szCs w:val="20"/>
          <w:lang w:eastAsia="es-CO"/>
          <w14:ligatures w14:val="none"/>
        </w:rPr>
        <w:t>a</w:t>
      </w:r>
    </w:p>
    <w:p w14:paraId="72098FDC" w14:textId="2307B251" w:rsidR="003D5DB4" w:rsidRDefault="00D83661" w:rsidP="000A5389">
      <w:pPr>
        <w:spacing w:line="240" w:lineRule="auto"/>
        <w:jc w:val="center"/>
        <w:rPr>
          <w:rFonts w:ascii="Arial" w:eastAsia="Times New Roman" w:hAnsi="Arial" w:cs="Arial"/>
          <w:kern w:val="0"/>
          <w:sz w:val="20"/>
          <w:szCs w:val="20"/>
          <w:lang w:eastAsia="es-CO"/>
          <w14:ligatures w14:val="none"/>
        </w:rPr>
      </w:pPr>
      <w:r w:rsidRPr="003D5DB4">
        <w:rPr>
          <w:rFonts w:ascii="Arial" w:eastAsia="Times New Roman" w:hAnsi="Arial" w:cs="Arial"/>
          <w:kern w:val="0"/>
          <w:sz w:val="20"/>
          <w:szCs w:val="20"/>
          <w:lang w:eastAsia="es-CO"/>
          <w14:ligatures w14:val="none"/>
        </w:rPr>
        <w:t>C.C. No. 64.696.912</w:t>
      </w:r>
    </w:p>
    <w:p w14:paraId="10119431" w14:textId="5AFCF534" w:rsidR="00D83661" w:rsidRDefault="00D83661" w:rsidP="000A5389">
      <w:pPr>
        <w:spacing w:line="240" w:lineRule="auto"/>
        <w:jc w:val="center"/>
        <w:rPr>
          <w:rFonts w:ascii="Arial" w:eastAsia="Times New Roman" w:hAnsi="Arial" w:cs="Arial"/>
          <w:kern w:val="0"/>
          <w:sz w:val="20"/>
          <w:szCs w:val="20"/>
          <w:lang w:eastAsia="es-CO"/>
          <w14:ligatures w14:val="none"/>
        </w:rPr>
      </w:pPr>
      <w:r w:rsidRPr="003D5DB4">
        <w:rPr>
          <w:rFonts w:ascii="Arial" w:eastAsia="Times New Roman" w:hAnsi="Arial" w:cs="Arial"/>
          <w:kern w:val="0"/>
          <w:sz w:val="20"/>
          <w:szCs w:val="20"/>
          <w:lang w:eastAsia="es-CO"/>
          <w14:ligatures w14:val="none"/>
        </w:rPr>
        <w:t xml:space="preserve">T.P. </w:t>
      </w:r>
      <w:r w:rsidR="007D2448" w:rsidRPr="003D5DB4">
        <w:rPr>
          <w:rFonts w:ascii="Arial" w:eastAsia="Times New Roman" w:hAnsi="Arial" w:cs="Arial"/>
          <w:kern w:val="0"/>
          <w:sz w:val="20"/>
          <w:szCs w:val="20"/>
          <w:lang w:eastAsia="es-CO"/>
          <w14:ligatures w14:val="none"/>
        </w:rPr>
        <w:t>No. 104408</w:t>
      </w:r>
      <w:r w:rsidRPr="003D5DB4">
        <w:rPr>
          <w:rFonts w:ascii="Arial" w:eastAsia="Times New Roman" w:hAnsi="Arial" w:cs="Arial"/>
          <w:kern w:val="0"/>
          <w:sz w:val="20"/>
          <w:szCs w:val="20"/>
          <w:lang w:eastAsia="es-CO"/>
          <w14:ligatures w14:val="none"/>
        </w:rPr>
        <w:t xml:space="preserve"> - T</w:t>
      </w:r>
    </w:p>
    <w:p w14:paraId="72CCFD87" w14:textId="6ED14DB0" w:rsidR="00D83661" w:rsidRDefault="00D83661" w:rsidP="000A5389">
      <w:pPr>
        <w:spacing w:line="240" w:lineRule="auto"/>
        <w:rPr>
          <w:rFonts w:cs="Times New Roman"/>
        </w:rPr>
      </w:pPr>
    </w:p>
    <w:sectPr w:rsidR="00D83661" w:rsidSect="006556E0">
      <w:type w:val="continuous"/>
      <w:pgSz w:w="12240" w:h="15840"/>
      <w:pgMar w:top="212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38C282" w14:textId="77777777" w:rsidR="00986EC3" w:rsidRDefault="00986EC3" w:rsidP="00757B36">
      <w:r>
        <w:separator/>
      </w:r>
    </w:p>
  </w:endnote>
  <w:endnote w:type="continuationSeparator" w:id="0">
    <w:p w14:paraId="07AEF466" w14:textId="77777777" w:rsidR="00986EC3" w:rsidRDefault="00986EC3" w:rsidP="00757B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quot;Times New Roman&quot;,serif">
    <w:altName w:val="Cambria"/>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Arial Negrita">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 w:name="ArialNarrow-Bold">
    <w:altName w:val="Arial"/>
    <w:panose1 w:val="00000000000000000000"/>
    <w:charset w:val="00"/>
    <w:family w:val="roman"/>
    <w:notTrueType/>
    <w:pitch w:val="default"/>
  </w:font>
  <w:font w:name="MS Mincho">
    <w:altName w:val="ＭＳ 明朝"/>
    <w:panose1 w:val="02020609040205080304"/>
    <w:charset w:val="80"/>
    <w:family w:val="modern"/>
    <w:pitch w:val="fixed"/>
    <w:sig w:usb0="E00002FF" w:usb1="6AC7FDFB" w:usb2="08000012" w:usb3="00000000" w:csb0="0002009F" w:csb1="00000000"/>
  </w:font>
  <w:font w:name="Brooklynesque-Bold">
    <w:altName w:val="Courier New"/>
    <w:charset w:val="00"/>
    <w:family w:val="auto"/>
    <w:pitch w:val="variable"/>
  </w:font>
  <w:font w:name="Times">
    <w:panose1 w:val="02020603050405020304"/>
    <w:charset w:val="00"/>
    <w:family w:val="roman"/>
    <w:pitch w:val="variable"/>
    <w:sig w:usb0="E0002EFF" w:usb1="C000785B" w:usb2="00000009" w:usb3="00000000" w:csb0="000001FF" w:csb1="00000000"/>
  </w:font>
  <w:font w:name="Futura Light">
    <w:altName w:val="Times New Roman"/>
    <w:charset w:val="00"/>
    <w:family w:val="auto"/>
    <w:pitch w:val="variable"/>
    <w:sig w:usb0="00000287" w:usb1="00000000" w:usb2="00000000" w:usb3="00000000" w:csb0="0000009F" w:csb1="00000000"/>
  </w:font>
  <w:font w:name="Arial Unicode MS">
    <w:panose1 w:val="020B0604020202020204"/>
    <w:charset w:val="80"/>
    <w:family w:val="swiss"/>
    <w:pitch w:val="variable"/>
    <w:sig w:usb0="F7FFAEFF" w:usb1="F9DFFFFF" w:usb2="0000007F" w:usb3="00000000" w:csb0="003F01FF" w:csb1="00000000"/>
  </w:font>
  <w:font w:name="Cambria">
    <w:panose1 w:val="02040503050406030204"/>
    <w:charset w:val="00"/>
    <w:family w:val="roman"/>
    <w:pitch w:val="variable"/>
    <w:sig w:usb0="E00006FF" w:usb1="420024FF" w:usb2="02000000" w:usb3="00000000" w:csb0="0000019F" w:csb1="00000000"/>
  </w:font>
  <w:font w:name="Arial-ItalicMT">
    <w:altName w:val="Times New Roman"/>
    <w:panose1 w:val="00000000000000000000"/>
    <w:charset w:val="00"/>
    <w:family w:val="roman"/>
    <w:notTrueType/>
    <w:pitch w:val="default"/>
    <w:sig w:usb0="00000003" w:usb1="00000000" w:usb2="00000000" w:usb3="00000000" w:csb0="00000001" w:csb1="00000000"/>
  </w:font>
  <w:font w:name="OpenSymbol">
    <w:charset w:val="00"/>
    <w:family w:val="auto"/>
    <w:pitch w:val="variable"/>
    <w:sig w:usb0="800000AF" w:usb1="1001ECEA" w:usb2="00000000" w:usb3="00000000" w:csb0="80000001" w:csb1="00000000"/>
  </w:font>
  <w:font w:name="Helvetica">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lang w:val="es-ES"/>
      </w:rPr>
      <w:id w:val="283157753"/>
      <w:docPartObj>
        <w:docPartGallery w:val="Page Numbers (Bottom of Page)"/>
        <w:docPartUnique/>
      </w:docPartObj>
    </w:sdtPr>
    <w:sdtContent>
      <w:p w14:paraId="324BE145" w14:textId="5339BCBC" w:rsidR="00D34D20" w:rsidRDefault="00040131">
        <w:pPr>
          <w:pStyle w:val="Piedepgina"/>
          <w:jc w:val="right"/>
        </w:pPr>
        <w:r w:rsidRPr="009A46BB">
          <w:rPr>
            <w:noProof/>
            <w:lang w:eastAsia="es-CO"/>
          </w:rPr>
          <mc:AlternateContent>
            <mc:Choice Requires="wps">
              <w:drawing>
                <wp:anchor distT="0" distB="0" distL="114300" distR="114300" simplePos="0" relativeHeight="251658241" behindDoc="0" locked="0" layoutInCell="1" allowOverlap="1" wp14:anchorId="690A5103" wp14:editId="1643B874">
                  <wp:simplePos x="0" y="0"/>
                  <wp:positionH relativeFrom="page">
                    <wp:align>right</wp:align>
                  </wp:positionH>
                  <wp:positionV relativeFrom="paragraph">
                    <wp:posOffset>-314640</wp:posOffset>
                  </wp:positionV>
                  <wp:extent cx="1553845" cy="1860550"/>
                  <wp:effectExtent l="18098" t="20002" r="26352" b="26353"/>
                  <wp:wrapNone/>
                  <wp:docPr id="1800457872" name="Triángulo rectángulo 18004578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6200000">
                            <a:off x="0" y="0"/>
                            <a:ext cx="1553845" cy="1860550"/>
                          </a:xfrm>
                          <a:prstGeom prst="rtTriangle">
                            <a:avLst/>
                          </a:prstGeom>
                          <a:solidFill>
                            <a:schemeClr val="accent1">
                              <a:lumMod val="75000"/>
                              <a:lumOff val="0"/>
                            </a:schemeClr>
                          </a:solidFill>
                          <a:ln w="9525">
                            <a:solidFill>
                              <a:schemeClr val="accent1">
                                <a:lumMod val="75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arto="http://schemas.microsoft.com/office/word/2006/arto">
              <w:pict w14:anchorId="6500AA51">
                <v:shapetype id="_x0000_t6" coordsize="21600,21600" o:spt="6" path="m,l,21600r21600,xe" w14:anchorId="24E706F7">
                  <v:stroke joinstyle="miter"/>
                  <v:path textboxrect="1800,12600,12600,19800" gradientshapeok="t" o:connecttype="custom" o:connectlocs="0,0;0,10800;0,21600;10800,21600;21600,21600;10800,10800"/>
                </v:shapetype>
                <v:shape id="Triángulo rectángulo 120" style="position:absolute;margin-left:71.15pt;margin-top:-24.75pt;width:122.35pt;height:146.5pt;rotation:-90;z-index:251663360;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page;mso-height-relative:page;v-text-anchor:top" o:spid="_x0000_s1026" fillcolor="#2f5496 [2404]" strokecolor="#2f5496 [2404]" type="#_x0000_t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">
                  <w10:wrap anchorx="page"/>
                </v:shape>
              </w:pict>
            </mc:Fallback>
          </mc:AlternateContent>
        </w:r>
        <w:r w:rsidR="00D34D20">
          <w:rPr>
            <w:lang w:val="es-ES"/>
          </w:rPr>
          <w:t xml:space="preserve">Página | </w:t>
        </w:r>
        <w:r w:rsidR="00D34D20">
          <w:fldChar w:fldCharType="begin"/>
        </w:r>
        <w:r w:rsidR="00D34D20">
          <w:instrText>PAGE   \* MERGEFORMAT</w:instrText>
        </w:r>
        <w:r w:rsidR="00D34D20">
          <w:fldChar w:fldCharType="separate"/>
        </w:r>
        <w:r w:rsidR="006173C1" w:rsidRPr="006173C1">
          <w:rPr>
            <w:noProof/>
            <w:lang w:val="es-ES"/>
          </w:rPr>
          <w:t>1</w:t>
        </w:r>
        <w:r w:rsidR="00D34D20">
          <w:fldChar w:fldCharType="end"/>
        </w:r>
        <w:r w:rsidR="00D34D20">
          <w:rPr>
            <w:lang w:val="es-ES"/>
          </w:rPr>
          <w:t xml:space="preserve"> </w:t>
        </w:r>
      </w:p>
    </w:sdtContent>
  </w:sdt>
  <w:p w14:paraId="409F4B9A" w14:textId="79830460" w:rsidR="00D34D20" w:rsidRPr="00D34D20" w:rsidRDefault="00D34D20" w:rsidP="00D34D20">
    <w:pPr>
      <w:spacing w:line="276" w:lineRule="auto"/>
      <w:rPr>
        <w:rFonts w:ascii="Helvetica" w:hAnsi="Helvetic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18C959" w14:textId="77777777" w:rsidR="00986EC3" w:rsidRDefault="00986EC3" w:rsidP="00757B36">
      <w:r>
        <w:separator/>
      </w:r>
    </w:p>
  </w:footnote>
  <w:footnote w:type="continuationSeparator" w:id="0">
    <w:p w14:paraId="2616E9C5" w14:textId="77777777" w:rsidR="00986EC3" w:rsidRDefault="00986EC3" w:rsidP="00757B3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B0436C" w14:textId="5004C48E" w:rsidR="00ED0C97" w:rsidRDefault="00BC7E39" w:rsidP="00ED0C97">
    <w:pPr>
      <w:pStyle w:val="Encabezado"/>
      <w:jc w:val="right"/>
      <w:rPr>
        <w:rFonts w:cstheme="minorHAnsi"/>
        <w:b/>
        <w:sz w:val="20"/>
        <w:szCs w:val="20"/>
      </w:rPr>
    </w:pPr>
    <w:r>
      <w:rPr>
        <w:noProof/>
      </w:rPr>
      <w:drawing>
        <wp:anchor distT="0" distB="0" distL="114300" distR="114300" simplePos="0" relativeHeight="251658240" behindDoc="1" locked="0" layoutInCell="1" allowOverlap="1" wp14:anchorId="61F55A38" wp14:editId="1C92FFFF">
          <wp:simplePos x="0" y="0"/>
          <wp:positionH relativeFrom="margin">
            <wp:posOffset>2472690</wp:posOffset>
          </wp:positionH>
          <wp:positionV relativeFrom="paragraph">
            <wp:posOffset>-173355</wp:posOffset>
          </wp:positionV>
          <wp:extent cx="666750" cy="973095"/>
          <wp:effectExtent l="0" t="0" r="0" b="0"/>
          <wp:wrapNone/>
          <wp:docPr id="89258387"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5643812" name="Imagen 1695643812"/>
                  <pic:cNvPicPr/>
                </pic:nvPicPr>
                <pic:blipFill>
                  <a:blip r:embed="rId1">
                    <a:extLst>
                      <a:ext uri="{28A0092B-C50C-407E-A947-70E740481C1C}">
                        <a14:useLocalDpi xmlns:a14="http://schemas.microsoft.com/office/drawing/2010/main" val="0"/>
                      </a:ext>
                    </a:extLst>
                  </a:blip>
                  <a:stretch>
                    <a:fillRect/>
                  </a:stretch>
                </pic:blipFill>
                <pic:spPr>
                  <a:xfrm>
                    <a:off x="0" y="0"/>
                    <a:ext cx="666750" cy="973095"/>
                  </a:xfrm>
                  <a:prstGeom prst="rect">
                    <a:avLst/>
                  </a:prstGeom>
                </pic:spPr>
              </pic:pic>
            </a:graphicData>
          </a:graphic>
          <wp14:sizeRelH relativeFrom="margin">
            <wp14:pctWidth>0</wp14:pctWidth>
          </wp14:sizeRelH>
          <wp14:sizeRelV relativeFrom="margin">
            <wp14:pctHeight>0</wp14:pctHeight>
          </wp14:sizeRelV>
        </wp:anchor>
      </w:drawing>
    </w:r>
    <w:r w:rsidR="00ED0C97" w:rsidRPr="004E3FFA">
      <w:rPr>
        <w:rFonts w:cstheme="minorHAnsi"/>
        <w:b/>
        <w:sz w:val="20"/>
        <w:szCs w:val="20"/>
      </w:rPr>
      <w:t xml:space="preserve">  </w:t>
    </w:r>
  </w:p>
  <w:p w14:paraId="4E176EE9" w14:textId="77777777" w:rsidR="00ED0C97" w:rsidRDefault="00ED0C97" w:rsidP="00ED0C97">
    <w:pPr>
      <w:pStyle w:val="Encabezado"/>
      <w:jc w:val="right"/>
      <w:rPr>
        <w:rFonts w:cstheme="minorHAnsi"/>
        <w:b/>
        <w:sz w:val="20"/>
        <w:szCs w:val="20"/>
      </w:rPr>
    </w:pPr>
  </w:p>
  <w:p w14:paraId="7406B0F7" w14:textId="77777777" w:rsidR="00ED0C97" w:rsidRDefault="00ED0C97" w:rsidP="00ED0C97">
    <w:pPr>
      <w:pStyle w:val="Encabezado"/>
      <w:jc w:val="right"/>
      <w:rPr>
        <w:rFonts w:cstheme="minorHAnsi"/>
        <w:b/>
        <w:sz w:val="20"/>
        <w:szCs w:val="20"/>
      </w:rPr>
    </w:pPr>
  </w:p>
</w:hdr>
</file>

<file path=word/intelligence2.xml><?xml version="1.0" encoding="utf-8"?>
<int2:intelligence xmlns:int2="http://schemas.microsoft.com/office/intelligence/2020/intelligence" xmlns:oel="http://schemas.microsoft.com/office/2019/extlst">
  <int2:observations>
    <int2:textHash int2:hashCode="D1Oxm9LQWRaJ7i" int2:id="vWYSTe8G">
      <int2:state int2:value="Rejected" int2:type="spell"/>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B24CC57C"/>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B5EE7A29"/>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02E71187"/>
    <w:multiLevelType w:val="hybridMultilevel"/>
    <w:tmpl w:val="34B80536"/>
    <w:lvl w:ilvl="0" w:tplc="FEB400A2">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034D570E"/>
    <w:multiLevelType w:val="hybridMultilevel"/>
    <w:tmpl w:val="EDEC2466"/>
    <w:lvl w:ilvl="0" w:tplc="F118A446">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038E1816"/>
    <w:multiLevelType w:val="multilevel"/>
    <w:tmpl w:val="683434EC"/>
    <w:lvl w:ilvl="0">
      <w:start w:val="23"/>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5885667"/>
    <w:multiLevelType w:val="hybridMultilevel"/>
    <w:tmpl w:val="0DF85456"/>
    <w:lvl w:ilvl="0" w:tplc="0E30A0F6">
      <w:numFmt w:val="bullet"/>
      <w:lvlText w:val="-"/>
      <w:lvlJc w:val="left"/>
      <w:pPr>
        <w:ind w:left="1080" w:hanging="360"/>
      </w:pPr>
      <w:rPr>
        <w:rFonts w:ascii="Times New Roman" w:hAnsi="Times New Roman" w:hint="default"/>
        <w:sz w:val="24"/>
      </w:rPr>
    </w:lvl>
    <w:lvl w:ilvl="1" w:tplc="240A0003" w:tentative="1">
      <w:start w:val="1"/>
      <w:numFmt w:val="bullet"/>
      <w:lvlText w:val="o"/>
      <w:lvlJc w:val="left"/>
      <w:pPr>
        <w:ind w:left="1800" w:hanging="360"/>
      </w:pPr>
      <w:rPr>
        <w:rFonts w:ascii="Courier New" w:hAnsi="Courier New" w:cs="Courier New" w:hint="default"/>
      </w:rPr>
    </w:lvl>
    <w:lvl w:ilvl="2" w:tplc="240A0005" w:tentative="1">
      <w:start w:val="1"/>
      <w:numFmt w:val="bullet"/>
      <w:lvlText w:val=""/>
      <w:lvlJc w:val="left"/>
      <w:pPr>
        <w:ind w:left="2520" w:hanging="360"/>
      </w:pPr>
      <w:rPr>
        <w:rFonts w:ascii="Wingdings" w:hAnsi="Wingdings" w:hint="default"/>
      </w:rPr>
    </w:lvl>
    <w:lvl w:ilvl="3" w:tplc="240A0001" w:tentative="1">
      <w:start w:val="1"/>
      <w:numFmt w:val="bullet"/>
      <w:lvlText w:val=""/>
      <w:lvlJc w:val="left"/>
      <w:pPr>
        <w:ind w:left="3240" w:hanging="360"/>
      </w:pPr>
      <w:rPr>
        <w:rFonts w:ascii="Symbol" w:hAnsi="Symbol" w:hint="default"/>
      </w:rPr>
    </w:lvl>
    <w:lvl w:ilvl="4" w:tplc="240A0003" w:tentative="1">
      <w:start w:val="1"/>
      <w:numFmt w:val="bullet"/>
      <w:lvlText w:val="o"/>
      <w:lvlJc w:val="left"/>
      <w:pPr>
        <w:ind w:left="3960" w:hanging="360"/>
      </w:pPr>
      <w:rPr>
        <w:rFonts w:ascii="Courier New" w:hAnsi="Courier New" w:cs="Courier New" w:hint="default"/>
      </w:rPr>
    </w:lvl>
    <w:lvl w:ilvl="5" w:tplc="240A0005" w:tentative="1">
      <w:start w:val="1"/>
      <w:numFmt w:val="bullet"/>
      <w:lvlText w:val=""/>
      <w:lvlJc w:val="left"/>
      <w:pPr>
        <w:ind w:left="4680" w:hanging="360"/>
      </w:pPr>
      <w:rPr>
        <w:rFonts w:ascii="Wingdings" w:hAnsi="Wingdings" w:hint="default"/>
      </w:rPr>
    </w:lvl>
    <w:lvl w:ilvl="6" w:tplc="240A0001" w:tentative="1">
      <w:start w:val="1"/>
      <w:numFmt w:val="bullet"/>
      <w:lvlText w:val=""/>
      <w:lvlJc w:val="left"/>
      <w:pPr>
        <w:ind w:left="5400" w:hanging="360"/>
      </w:pPr>
      <w:rPr>
        <w:rFonts w:ascii="Symbol" w:hAnsi="Symbol" w:hint="default"/>
      </w:rPr>
    </w:lvl>
    <w:lvl w:ilvl="7" w:tplc="240A0003" w:tentative="1">
      <w:start w:val="1"/>
      <w:numFmt w:val="bullet"/>
      <w:lvlText w:val="o"/>
      <w:lvlJc w:val="left"/>
      <w:pPr>
        <w:ind w:left="6120" w:hanging="360"/>
      </w:pPr>
      <w:rPr>
        <w:rFonts w:ascii="Courier New" w:hAnsi="Courier New" w:cs="Courier New" w:hint="default"/>
      </w:rPr>
    </w:lvl>
    <w:lvl w:ilvl="8" w:tplc="240A0005" w:tentative="1">
      <w:start w:val="1"/>
      <w:numFmt w:val="bullet"/>
      <w:lvlText w:val=""/>
      <w:lvlJc w:val="left"/>
      <w:pPr>
        <w:ind w:left="6840" w:hanging="360"/>
      </w:pPr>
      <w:rPr>
        <w:rFonts w:ascii="Wingdings" w:hAnsi="Wingdings" w:hint="default"/>
      </w:rPr>
    </w:lvl>
  </w:abstractNum>
  <w:abstractNum w:abstractNumId="6" w15:restartNumberingAfterBreak="0">
    <w:nsid w:val="07032AED"/>
    <w:multiLevelType w:val="hybridMultilevel"/>
    <w:tmpl w:val="0A86F8C6"/>
    <w:lvl w:ilvl="0" w:tplc="F118A446">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15:restartNumberingAfterBreak="0">
    <w:nsid w:val="07531BCC"/>
    <w:multiLevelType w:val="hybridMultilevel"/>
    <w:tmpl w:val="1B5E6410"/>
    <w:lvl w:ilvl="0" w:tplc="A094F61E">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8" w15:restartNumberingAfterBreak="0">
    <w:nsid w:val="079A43A9"/>
    <w:multiLevelType w:val="hybridMultilevel"/>
    <w:tmpl w:val="FB269B3E"/>
    <w:lvl w:ilvl="0" w:tplc="F118A446">
      <w:start w:val="1"/>
      <w:numFmt w:val="bullet"/>
      <w:lvlText w:val="-"/>
      <w:lvlJc w:val="left"/>
      <w:pPr>
        <w:ind w:left="1068" w:hanging="360"/>
      </w:pPr>
      <w:rPr>
        <w:rFonts w:ascii="Symbol" w:hAnsi="Symbol" w:hint="default"/>
      </w:rPr>
    </w:lvl>
    <w:lvl w:ilvl="1" w:tplc="240A0003" w:tentative="1">
      <w:start w:val="1"/>
      <w:numFmt w:val="bullet"/>
      <w:lvlText w:val="o"/>
      <w:lvlJc w:val="left"/>
      <w:pPr>
        <w:ind w:left="1788" w:hanging="360"/>
      </w:pPr>
      <w:rPr>
        <w:rFonts w:ascii="Courier New" w:hAnsi="Courier New" w:cs="Courier New" w:hint="default"/>
      </w:rPr>
    </w:lvl>
    <w:lvl w:ilvl="2" w:tplc="240A0005" w:tentative="1">
      <w:start w:val="1"/>
      <w:numFmt w:val="bullet"/>
      <w:lvlText w:val=""/>
      <w:lvlJc w:val="left"/>
      <w:pPr>
        <w:ind w:left="2508" w:hanging="360"/>
      </w:pPr>
      <w:rPr>
        <w:rFonts w:ascii="Wingdings" w:hAnsi="Wingdings" w:hint="default"/>
      </w:rPr>
    </w:lvl>
    <w:lvl w:ilvl="3" w:tplc="240A0001" w:tentative="1">
      <w:start w:val="1"/>
      <w:numFmt w:val="bullet"/>
      <w:lvlText w:val=""/>
      <w:lvlJc w:val="left"/>
      <w:pPr>
        <w:ind w:left="3228" w:hanging="360"/>
      </w:pPr>
      <w:rPr>
        <w:rFonts w:ascii="Symbol" w:hAnsi="Symbol" w:hint="default"/>
      </w:rPr>
    </w:lvl>
    <w:lvl w:ilvl="4" w:tplc="240A0003" w:tentative="1">
      <w:start w:val="1"/>
      <w:numFmt w:val="bullet"/>
      <w:lvlText w:val="o"/>
      <w:lvlJc w:val="left"/>
      <w:pPr>
        <w:ind w:left="3948" w:hanging="360"/>
      </w:pPr>
      <w:rPr>
        <w:rFonts w:ascii="Courier New" w:hAnsi="Courier New" w:cs="Courier New" w:hint="default"/>
      </w:rPr>
    </w:lvl>
    <w:lvl w:ilvl="5" w:tplc="240A0005" w:tentative="1">
      <w:start w:val="1"/>
      <w:numFmt w:val="bullet"/>
      <w:lvlText w:val=""/>
      <w:lvlJc w:val="left"/>
      <w:pPr>
        <w:ind w:left="4668" w:hanging="360"/>
      </w:pPr>
      <w:rPr>
        <w:rFonts w:ascii="Wingdings" w:hAnsi="Wingdings" w:hint="default"/>
      </w:rPr>
    </w:lvl>
    <w:lvl w:ilvl="6" w:tplc="240A0001" w:tentative="1">
      <w:start w:val="1"/>
      <w:numFmt w:val="bullet"/>
      <w:lvlText w:val=""/>
      <w:lvlJc w:val="left"/>
      <w:pPr>
        <w:ind w:left="5388" w:hanging="360"/>
      </w:pPr>
      <w:rPr>
        <w:rFonts w:ascii="Symbol" w:hAnsi="Symbol" w:hint="default"/>
      </w:rPr>
    </w:lvl>
    <w:lvl w:ilvl="7" w:tplc="240A0003" w:tentative="1">
      <w:start w:val="1"/>
      <w:numFmt w:val="bullet"/>
      <w:lvlText w:val="o"/>
      <w:lvlJc w:val="left"/>
      <w:pPr>
        <w:ind w:left="6108" w:hanging="360"/>
      </w:pPr>
      <w:rPr>
        <w:rFonts w:ascii="Courier New" w:hAnsi="Courier New" w:cs="Courier New" w:hint="default"/>
      </w:rPr>
    </w:lvl>
    <w:lvl w:ilvl="8" w:tplc="240A0005" w:tentative="1">
      <w:start w:val="1"/>
      <w:numFmt w:val="bullet"/>
      <w:lvlText w:val=""/>
      <w:lvlJc w:val="left"/>
      <w:pPr>
        <w:ind w:left="6828" w:hanging="360"/>
      </w:pPr>
      <w:rPr>
        <w:rFonts w:ascii="Wingdings" w:hAnsi="Wingdings" w:hint="default"/>
      </w:rPr>
    </w:lvl>
  </w:abstractNum>
  <w:abstractNum w:abstractNumId="9" w15:restartNumberingAfterBreak="0">
    <w:nsid w:val="07BBA9CD"/>
    <w:multiLevelType w:val="hybridMultilevel"/>
    <w:tmpl w:val="15281CFE"/>
    <w:lvl w:ilvl="0" w:tplc="B66A80B6">
      <w:start w:val="1"/>
      <w:numFmt w:val="bullet"/>
      <w:lvlText w:val=""/>
      <w:lvlJc w:val="left"/>
      <w:pPr>
        <w:ind w:left="720" w:hanging="360"/>
      </w:pPr>
      <w:rPr>
        <w:rFonts w:ascii="Symbol" w:hAnsi="Symbol" w:hint="default"/>
      </w:rPr>
    </w:lvl>
    <w:lvl w:ilvl="1" w:tplc="6F7EAA7A">
      <w:start w:val="1"/>
      <w:numFmt w:val="bullet"/>
      <w:lvlText w:val="o"/>
      <w:lvlJc w:val="left"/>
      <w:pPr>
        <w:ind w:left="1440" w:hanging="360"/>
      </w:pPr>
      <w:rPr>
        <w:rFonts w:ascii="Courier New" w:hAnsi="Courier New" w:hint="default"/>
      </w:rPr>
    </w:lvl>
    <w:lvl w:ilvl="2" w:tplc="966E7ADE">
      <w:start w:val="1"/>
      <w:numFmt w:val="bullet"/>
      <w:lvlText w:val=""/>
      <w:lvlJc w:val="left"/>
      <w:pPr>
        <w:ind w:left="2160" w:hanging="360"/>
      </w:pPr>
      <w:rPr>
        <w:rFonts w:ascii="Wingdings" w:hAnsi="Wingdings" w:hint="default"/>
      </w:rPr>
    </w:lvl>
    <w:lvl w:ilvl="3" w:tplc="28A0DFCC">
      <w:start w:val="1"/>
      <w:numFmt w:val="bullet"/>
      <w:lvlText w:val=""/>
      <w:lvlJc w:val="left"/>
      <w:pPr>
        <w:ind w:left="2880" w:hanging="360"/>
      </w:pPr>
      <w:rPr>
        <w:rFonts w:ascii="Symbol" w:hAnsi="Symbol" w:hint="default"/>
      </w:rPr>
    </w:lvl>
    <w:lvl w:ilvl="4" w:tplc="3FA4F5BC">
      <w:start w:val="1"/>
      <w:numFmt w:val="bullet"/>
      <w:lvlText w:val="o"/>
      <w:lvlJc w:val="left"/>
      <w:pPr>
        <w:ind w:left="3600" w:hanging="360"/>
      </w:pPr>
      <w:rPr>
        <w:rFonts w:ascii="Courier New" w:hAnsi="Courier New" w:hint="default"/>
      </w:rPr>
    </w:lvl>
    <w:lvl w:ilvl="5" w:tplc="E6B0A0DE">
      <w:start w:val="1"/>
      <w:numFmt w:val="bullet"/>
      <w:lvlText w:val=""/>
      <w:lvlJc w:val="left"/>
      <w:pPr>
        <w:ind w:left="4320" w:hanging="360"/>
      </w:pPr>
      <w:rPr>
        <w:rFonts w:ascii="Wingdings" w:hAnsi="Wingdings" w:hint="default"/>
      </w:rPr>
    </w:lvl>
    <w:lvl w:ilvl="6" w:tplc="DA4C5076">
      <w:start w:val="1"/>
      <w:numFmt w:val="bullet"/>
      <w:lvlText w:val=""/>
      <w:lvlJc w:val="left"/>
      <w:pPr>
        <w:ind w:left="5040" w:hanging="360"/>
      </w:pPr>
      <w:rPr>
        <w:rFonts w:ascii="Symbol" w:hAnsi="Symbol" w:hint="default"/>
      </w:rPr>
    </w:lvl>
    <w:lvl w:ilvl="7" w:tplc="122C7C12">
      <w:start w:val="1"/>
      <w:numFmt w:val="bullet"/>
      <w:lvlText w:val="o"/>
      <w:lvlJc w:val="left"/>
      <w:pPr>
        <w:ind w:left="5760" w:hanging="360"/>
      </w:pPr>
      <w:rPr>
        <w:rFonts w:ascii="Courier New" w:hAnsi="Courier New" w:hint="default"/>
      </w:rPr>
    </w:lvl>
    <w:lvl w:ilvl="8" w:tplc="1D84CADC">
      <w:start w:val="1"/>
      <w:numFmt w:val="bullet"/>
      <w:lvlText w:val=""/>
      <w:lvlJc w:val="left"/>
      <w:pPr>
        <w:ind w:left="6480" w:hanging="360"/>
      </w:pPr>
      <w:rPr>
        <w:rFonts w:ascii="Wingdings" w:hAnsi="Wingdings" w:hint="default"/>
      </w:rPr>
    </w:lvl>
  </w:abstractNum>
  <w:abstractNum w:abstractNumId="10" w15:restartNumberingAfterBreak="0">
    <w:nsid w:val="07E62406"/>
    <w:multiLevelType w:val="hybridMultilevel"/>
    <w:tmpl w:val="4E581B9A"/>
    <w:lvl w:ilvl="0" w:tplc="539CEBD0">
      <w:start w:val="1"/>
      <w:numFmt w:val="decimal"/>
      <w:pStyle w:val="Subttulo"/>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1" w15:restartNumberingAfterBreak="0">
    <w:nsid w:val="0887511F"/>
    <w:multiLevelType w:val="hybridMultilevel"/>
    <w:tmpl w:val="8EEEAF2C"/>
    <w:lvl w:ilvl="0" w:tplc="F83EFCAA">
      <w:start w:val="25"/>
      <w:numFmt w:val="bullet"/>
      <w:lvlText w:val="-"/>
      <w:lvlJc w:val="left"/>
      <w:pPr>
        <w:ind w:left="720" w:hanging="360"/>
      </w:pPr>
      <w:rPr>
        <w:rFonts w:ascii="Times New Roman" w:hAnsi="Times New Roman" w:hint="default"/>
      </w:rPr>
    </w:lvl>
    <w:lvl w:ilvl="1" w:tplc="240A0003">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2" w15:restartNumberingAfterBreak="0">
    <w:nsid w:val="0A3261D4"/>
    <w:multiLevelType w:val="hybridMultilevel"/>
    <w:tmpl w:val="A6DE11DE"/>
    <w:lvl w:ilvl="0" w:tplc="0E30A0F6">
      <w:numFmt w:val="bullet"/>
      <w:lvlText w:val="-"/>
      <w:lvlJc w:val="left"/>
      <w:pPr>
        <w:ind w:left="720" w:hanging="360"/>
      </w:pPr>
      <w:rPr>
        <w:rFonts w:ascii="Times New Roman" w:hAnsi="Times New Roman" w:hint="default"/>
        <w:sz w:val="24"/>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3" w15:restartNumberingAfterBreak="0">
    <w:nsid w:val="0ADE1505"/>
    <w:multiLevelType w:val="hybridMultilevel"/>
    <w:tmpl w:val="ABA44F3E"/>
    <w:lvl w:ilvl="0" w:tplc="F118A446">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4" w15:restartNumberingAfterBreak="0">
    <w:nsid w:val="0BAF6D1D"/>
    <w:multiLevelType w:val="hybridMultilevel"/>
    <w:tmpl w:val="960CB8EC"/>
    <w:lvl w:ilvl="0" w:tplc="F118A446">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15" w15:restartNumberingAfterBreak="0">
    <w:nsid w:val="0C3C7C11"/>
    <w:multiLevelType w:val="hybridMultilevel"/>
    <w:tmpl w:val="EDC65F18"/>
    <w:lvl w:ilvl="0" w:tplc="0E30A0F6">
      <w:numFmt w:val="bullet"/>
      <w:lvlText w:val="-"/>
      <w:lvlJc w:val="left"/>
      <w:pPr>
        <w:ind w:left="1080" w:hanging="360"/>
      </w:pPr>
      <w:rPr>
        <w:rFonts w:ascii="Times New Roman" w:hAnsi="Times New Roman" w:hint="default"/>
        <w:sz w:val="24"/>
      </w:rPr>
    </w:lvl>
    <w:lvl w:ilvl="1" w:tplc="240A0003" w:tentative="1">
      <w:start w:val="1"/>
      <w:numFmt w:val="bullet"/>
      <w:lvlText w:val="o"/>
      <w:lvlJc w:val="left"/>
      <w:pPr>
        <w:ind w:left="1800" w:hanging="360"/>
      </w:pPr>
      <w:rPr>
        <w:rFonts w:ascii="Courier New" w:hAnsi="Courier New" w:cs="Courier New" w:hint="default"/>
      </w:rPr>
    </w:lvl>
    <w:lvl w:ilvl="2" w:tplc="240A0005" w:tentative="1">
      <w:start w:val="1"/>
      <w:numFmt w:val="bullet"/>
      <w:lvlText w:val=""/>
      <w:lvlJc w:val="left"/>
      <w:pPr>
        <w:ind w:left="2520" w:hanging="360"/>
      </w:pPr>
      <w:rPr>
        <w:rFonts w:ascii="Wingdings" w:hAnsi="Wingdings" w:hint="default"/>
      </w:rPr>
    </w:lvl>
    <w:lvl w:ilvl="3" w:tplc="240A0001" w:tentative="1">
      <w:start w:val="1"/>
      <w:numFmt w:val="bullet"/>
      <w:lvlText w:val=""/>
      <w:lvlJc w:val="left"/>
      <w:pPr>
        <w:ind w:left="3240" w:hanging="360"/>
      </w:pPr>
      <w:rPr>
        <w:rFonts w:ascii="Symbol" w:hAnsi="Symbol" w:hint="default"/>
      </w:rPr>
    </w:lvl>
    <w:lvl w:ilvl="4" w:tplc="240A0003" w:tentative="1">
      <w:start w:val="1"/>
      <w:numFmt w:val="bullet"/>
      <w:lvlText w:val="o"/>
      <w:lvlJc w:val="left"/>
      <w:pPr>
        <w:ind w:left="3960" w:hanging="360"/>
      </w:pPr>
      <w:rPr>
        <w:rFonts w:ascii="Courier New" w:hAnsi="Courier New" w:cs="Courier New" w:hint="default"/>
      </w:rPr>
    </w:lvl>
    <w:lvl w:ilvl="5" w:tplc="240A0005" w:tentative="1">
      <w:start w:val="1"/>
      <w:numFmt w:val="bullet"/>
      <w:lvlText w:val=""/>
      <w:lvlJc w:val="left"/>
      <w:pPr>
        <w:ind w:left="4680" w:hanging="360"/>
      </w:pPr>
      <w:rPr>
        <w:rFonts w:ascii="Wingdings" w:hAnsi="Wingdings" w:hint="default"/>
      </w:rPr>
    </w:lvl>
    <w:lvl w:ilvl="6" w:tplc="240A0001" w:tentative="1">
      <w:start w:val="1"/>
      <w:numFmt w:val="bullet"/>
      <w:lvlText w:val=""/>
      <w:lvlJc w:val="left"/>
      <w:pPr>
        <w:ind w:left="5400" w:hanging="360"/>
      </w:pPr>
      <w:rPr>
        <w:rFonts w:ascii="Symbol" w:hAnsi="Symbol" w:hint="default"/>
      </w:rPr>
    </w:lvl>
    <w:lvl w:ilvl="7" w:tplc="240A0003" w:tentative="1">
      <w:start w:val="1"/>
      <w:numFmt w:val="bullet"/>
      <w:lvlText w:val="o"/>
      <w:lvlJc w:val="left"/>
      <w:pPr>
        <w:ind w:left="6120" w:hanging="360"/>
      </w:pPr>
      <w:rPr>
        <w:rFonts w:ascii="Courier New" w:hAnsi="Courier New" w:cs="Courier New" w:hint="default"/>
      </w:rPr>
    </w:lvl>
    <w:lvl w:ilvl="8" w:tplc="240A0005" w:tentative="1">
      <w:start w:val="1"/>
      <w:numFmt w:val="bullet"/>
      <w:lvlText w:val=""/>
      <w:lvlJc w:val="left"/>
      <w:pPr>
        <w:ind w:left="6840" w:hanging="360"/>
      </w:pPr>
      <w:rPr>
        <w:rFonts w:ascii="Wingdings" w:hAnsi="Wingdings" w:hint="default"/>
      </w:rPr>
    </w:lvl>
  </w:abstractNum>
  <w:abstractNum w:abstractNumId="16" w15:restartNumberingAfterBreak="0">
    <w:nsid w:val="0CDC0D29"/>
    <w:multiLevelType w:val="hybridMultilevel"/>
    <w:tmpl w:val="384AF490"/>
    <w:lvl w:ilvl="0" w:tplc="F118A446">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7" w15:restartNumberingAfterBreak="0">
    <w:nsid w:val="0D5814CF"/>
    <w:multiLevelType w:val="hybridMultilevel"/>
    <w:tmpl w:val="18C47214"/>
    <w:lvl w:ilvl="0" w:tplc="F118A446">
      <w:start w:val="1"/>
      <w:numFmt w:val="bullet"/>
      <w:lvlText w:val="-"/>
      <w:lvlJc w:val="left"/>
      <w:pPr>
        <w:ind w:left="1080" w:hanging="360"/>
      </w:pPr>
      <w:rPr>
        <w:rFonts w:ascii="Symbol" w:hAnsi="Symbol" w:hint="default"/>
      </w:rPr>
    </w:lvl>
    <w:lvl w:ilvl="1" w:tplc="240A0003" w:tentative="1">
      <w:start w:val="1"/>
      <w:numFmt w:val="bullet"/>
      <w:lvlText w:val="o"/>
      <w:lvlJc w:val="left"/>
      <w:pPr>
        <w:ind w:left="1800" w:hanging="360"/>
      </w:pPr>
      <w:rPr>
        <w:rFonts w:ascii="Courier New" w:hAnsi="Courier New" w:cs="Courier New" w:hint="default"/>
      </w:rPr>
    </w:lvl>
    <w:lvl w:ilvl="2" w:tplc="240A0005" w:tentative="1">
      <w:start w:val="1"/>
      <w:numFmt w:val="bullet"/>
      <w:lvlText w:val=""/>
      <w:lvlJc w:val="left"/>
      <w:pPr>
        <w:ind w:left="2520" w:hanging="360"/>
      </w:pPr>
      <w:rPr>
        <w:rFonts w:ascii="Wingdings" w:hAnsi="Wingdings" w:hint="default"/>
      </w:rPr>
    </w:lvl>
    <w:lvl w:ilvl="3" w:tplc="240A0001" w:tentative="1">
      <w:start w:val="1"/>
      <w:numFmt w:val="bullet"/>
      <w:lvlText w:val=""/>
      <w:lvlJc w:val="left"/>
      <w:pPr>
        <w:ind w:left="3240" w:hanging="360"/>
      </w:pPr>
      <w:rPr>
        <w:rFonts w:ascii="Symbol" w:hAnsi="Symbol" w:hint="default"/>
      </w:rPr>
    </w:lvl>
    <w:lvl w:ilvl="4" w:tplc="240A0003" w:tentative="1">
      <w:start w:val="1"/>
      <w:numFmt w:val="bullet"/>
      <w:lvlText w:val="o"/>
      <w:lvlJc w:val="left"/>
      <w:pPr>
        <w:ind w:left="3960" w:hanging="360"/>
      </w:pPr>
      <w:rPr>
        <w:rFonts w:ascii="Courier New" w:hAnsi="Courier New" w:cs="Courier New" w:hint="default"/>
      </w:rPr>
    </w:lvl>
    <w:lvl w:ilvl="5" w:tplc="240A0005" w:tentative="1">
      <w:start w:val="1"/>
      <w:numFmt w:val="bullet"/>
      <w:lvlText w:val=""/>
      <w:lvlJc w:val="left"/>
      <w:pPr>
        <w:ind w:left="4680" w:hanging="360"/>
      </w:pPr>
      <w:rPr>
        <w:rFonts w:ascii="Wingdings" w:hAnsi="Wingdings" w:hint="default"/>
      </w:rPr>
    </w:lvl>
    <w:lvl w:ilvl="6" w:tplc="240A0001" w:tentative="1">
      <w:start w:val="1"/>
      <w:numFmt w:val="bullet"/>
      <w:lvlText w:val=""/>
      <w:lvlJc w:val="left"/>
      <w:pPr>
        <w:ind w:left="5400" w:hanging="360"/>
      </w:pPr>
      <w:rPr>
        <w:rFonts w:ascii="Symbol" w:hAnsi="Symbol" w:hint="default"/>
      </w:rPr>
    </w:lvl>
    <w:lvl w:ilvl="7" w:tplc="240A0003" w:tentative="1">
      <w:start w:val="1"/>
      <w:numFmt w:val="bullet"/>
      <w:lvlText w:val="o"/>
      <w:lvlJc w:val="left"/>
      <w:pPr>
        <w:ind w:left="6120" w:hanging="360"/>
      </w:pPr>
      <w:rPr>
        <w:rFonts w:ascii="Courier New" w:hAnsi="Courier New" w:cs="Courier New" w:hint="default"/>
      </w:rPr>
    </w:lvl>
    <w:lvl w:ilvl="8" w:tplc="240A0005" w:tentative="1">
      <w:start w:val="1"/>
      <w:numFmt w:val="bullet"/>
      <w:lvlText w:val=""/>
      <w:lvlJc w:val="left"/>
      <w:pPr>
        <w:ind w:left="6840" w:hanging="360"/>
      </w:pPr>
      <w:rPr>
        <w:rFonts w:ascii="Wingdings" w:hAnsi="Wingdings" w:hint="default"/>
      </w:rPr>
    </w:lvl>
  </w:abstractNum>
  <w:abstractNum w:abstractNumId="18" w15:restartNumberingAfterBreak="0">
    <w:nsid w:val="0D760A1E"/>
    <w:multiLevelType w:val="hybridMultilevel"/>
    <w:tmpl w:val="AFFE2D1E"/>
    <w:lvl w:ilvl="0" w:tplc="0E30A0F6">
      <w:numFmt w:val="bullet"/>
      <w:lvlText w:val="-"/>
      <w:lvlJc w:val="left"/>
      <w:pPr>
        <w:ind w:left="360" w:hanging="360"/>
      </w:pPr>
      <w:rPr>
        <w:rFonts w:ascii="Times New Roman" w:hAnsi="Times New Roman" w:hint="default"/>
        <w:sz w:val="24"/>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9" w15:restartNumberingAfterBreak="0">
    <w:nsid w:val="0FBE12DF"/>
    <w:multiLevelType w:val="hybridMultilevel"/>
    <w:tmpl w:val="9EE67088"/>
    <w:lvl w:ilvl="0" w:tplc="F118A446">
      <w:start w:val="1"/>
      <w:numFmt w:val="bullet"/>
      <w:lvlText w:val="-"/>
      <w:lvlJc w:val="left"/>
      <w:pPr>
        <w:ind w:left="1080" w:hanging="360"/>
      </w:pPr>
      <w:rPr>
        <w:rFonts w:ascii="Symbol" w:hAnsi="Symbol" w:hint="default"/>
      </w:rPr>
    </w:lvl>
    <w:lvl w:ilvl="1" w:tplc="240A0003" w:tentative="1">
      <w:start w:val="1"/>
      <w:numFmt w:val="bullet"/>
      <w:lvlText w:val="o"/>
      <w:lvlJc w:val="left"/>
      <w:pPr>
        <w:ind w:left="1800" w:hanging="360"/>
      </w:pPr>
      <w:rPr>
        <w:rFonts w:ascii="Courier New" w:hAnsi="Courier New" w:cs="Courier New" w:hint="default"/>
      </w:rPr>
    </w:lvl>
    <w:lvl w:ilvl="2" w:tplc="240A0005" w:tentative="1">
      <w:start w:val="1"/>
      <w:numFmt w:val="bullet"/>
      <w:lvlText w:val=""/>
      <w:lvlJc w:val="left"/>
      <w:pPr>
        <w:ind w:left="2520" w:hanging="360"/>
      </w:pPr>
      <w:rPr>
        <w:rFonts w:ascii="Wingdings" w:hAnsi="Wingdings" w:hint="default"/>
      </w:rPr>
    </w:lvl>
    <w:lvl w:ilvl="3" w:tplc="240A0001" w:tentative="1">
      <w:start w:val="1"/>
      <w:numFmt w:val="bullet"/>
      <w:lvlText w:val=""/>
      <w:lvlJc w:val="left"/>
      <w:pPr>
        <w:ind w:left="3240" w:hanging="360"/>
      </w:pPr>
      <w:rPr>
        <w:rFonts w:ascii="Symbol" w:hAnsi="Symbol" w:hint="default"/>
      </w:rPr>
    </w:lvl>
    <w:lvl w:ilvl="4" w:tplc="240A0003" w:tentative="1">
      <w:start w:val="1"/>
      <w:numFmt w:val="bullet"/>
      <w:lvlText w:val="o"/>
      <w:lvlJc w:val="left"/>
      <w:pPr>
        <w:ind w:left="3960" w:hanging="360"/>
      </w:pPr>
      <w:rPr>
        <w:rFonts w:ascii="Courier New" w:hAnsi="Courier New" w:cs="Courier New" w:hint="default"/>
      </w:rPr>
    </w:lvl>
    <w:lvl w:ilvl="5" w:tplc="240A0005" w:tentative="1">
      <w:start w:val="1"/>
      <w:numFmt w:val="bullet"/>
      <w:lvlText w:val=""/>
      <w:lvlJc w:val="left"/>
      <w:pPr>
        <w:ind w:left="4680" w:hanging="360"/>
      </w:pPr>
      <w:rPr>
        <w:rFonts w:ascii="Wingdings" w:hAnsi="Wingdings" w:hint="default"/>
      </w:rPr>
    </w:lvl>
    <w:lvl w:ilvl="6" w:tplc="240A0001" w:tentative="1">
      <w:start w:val="1"/>
      <w:numFmt w:val="bullet"/>
      <w:lvlText w:val=""/>
      <w:lvlJc w:val="left"/>
      <w:pPr>
        <w:ind w:left="5400" w:hanging="360"/>
      </w:pPr>
      <w:rPr>
        <w:rFonts w:ascii="Symbol" w:hAnsi="Symbol" w:hint="default"/>
      </w:rPr>
    </w:lvl>
    <w:lvl w:ilvl="7" w:tplc="240A0003" w:tentative="1">
      <w:start w:val="1"/>
      <w:numFmt w:val="bullet"/>
      <w:lvlText w:val="o"/>
      <w:lvlJc w:val="left"/>
      <w:pPr>
        <w:ind w:left="6120" w:hanging="360"/>
      </w:pPr>
      <w:rPr>
        <w:rFonts w:ascii="Courier New" w:hAnsi="Courier New" w:cs="Courier New" w:hint="default"/>
      </w:rPr>
    </w:lvl>
    <w:lvl w:ilvl="8" w:tplc="240A0005" w:tentative="1">
      <w:start w:val="1"/>
      <w:numFmt w:val="bullet"/>
      <w:lvlText w:val=""/>
      <w:lvlJc w:val="left"/>
      <w:pPr>
        <w:ind w:left="6840" w:hanging="360"/>
      </w:pPr>
      <w:rPr>
        <w:rFonts w:ascii="Wingdings" w:hAnsi="Wingdings" w:hint="default"/>
      </w:rPr>
    </w:lvl>
  </w:abstractNum>
  <w:abstractNum w:abstractNumId="20" w15:restartNumberingAfterBreak="0">
    <w:nsid w:val="11EB1FC6"/>
    <w:multiLevelType w:val="multilevel"/>
    <w:tmpl w:val="5130FE22"/>
    <w:lvl w:ilvl="0">
      <w:start w:val="10"/>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Zero"/>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122F4537"/>
    <w:multiLevelType w:val="hybridMultilevel"/>
    <w:tmpl w:val="400A2860"/>
    <w:lvl w:ilvl="0" w:tplc="A094F61E">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2" w15:restartNumberingAfterBreak="0">
    <w:nsid w:val="137A5BB3"/>
    <w:multiLevelType w:val="hybridMultilevel"/>
    <w:tmpl w:val="2A68445A"/>
    <w:lvl w:ilvl="0" w:tplc="FEB400A2">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 w15:restartNumberingAfterBreak="0">
    <w:nsid w:val="13F13700"/>
    <w:multiLevelType w:val="singleLevel"/>
    <w:tmpl w:val="6840BDD8"/>
    <w:lvl w:ilvl="0">
      <w:start w:val="1"/>
      <w:numFmt w:val="bullet"/>
      <w:pStyle w:val="Lista"/>
      <w:lvlText w:val=""/>
      <w:lvlJc w:val="left"/>
      <w:pPr>
        <w:tabs>
          <w:tab w:val="num" w:pos="717"/>
        </w:tabs>
        <w:ind w:left="360" w:hanging="3"/>
      </w:pPr>
      <w:rPr>
        <w:rFonts w:ascii="Wingdings" w:hAnsi="Wingdings" w:hint="default"/>
      </w:rPr>
    </w:lvl>
  </w:abstractNum>
  <w:abstractNum w:abstractNumId="24" w15:restartNumberingAfterBreak="0">
    <w:nsid w:val="153719B2"/>
    <w:multiLevelType w:val="hybridMultilevel"/>
    <w:tmpl w:val="004E1480"/>
    <w:lvl w:ilvl="0" w:tplc="240A0001">
      <w:start w:val="1"/>
      <w:numFmt w:val="bullet"/>
      <w:lvlText w:val=""/>
      <w:lvlJc w:val="left"/>
      <w:pPr>
        <w:ind w:left="1080" w:hanging="360"/>
      </w:pPr>
      <w:rPr>
        <w:rFonts w:ascii="Symbol" w:hAnsi="Symbol" w:hint="default"/>
      </w:rPr>
    </w:lvl>
    <w:lvl w:ilvl="1" w:tplc="240A0003" w:tentative="1">
      <w:start w:val="1"/>
      <w:numFmt w:val="bullet"/>
      <w:lvlText w:val="o"/>
      <w:lvlJc w:val="left"/>
      <w:pPr>
        <w:ind w:left="1800" w:hanging="360"/>
      </w:pPr>
      <w:rPr>
        <w:rFonts w:ascii="Courier New" w:hAnsi="Courier New" w:cs="Courier New" w:hint="default"/>
      </w:rPr>
    </w:lvl>
    <w:lvl w:ilvl="2" w:tplc="240A0005" w:tentative="1">
      <w:start w:val="1"/>
      <w:numFmt w:val="bullet"/>
      <w:lvlText w:val=""/>
      <w:lvlJc w:val="left"/>
      <w:pPr>
        <w:ind w:left="2520" w:hanging="360"/>
      </w:pPr>
      <w:rPr>
        <w:rFonts w:ascii="Wingdings" w:hAnsi="Wingdings" w:hint="default"/>
      </w:rPr>
    </w:lvl>
    <w:lvl w:ilvl="3" w:tplc="240A0001" w:tentative="1">
      <w:start w:val="1"/>
      <w:numFmt w:val="bullet"/>
      <w:lvlText w:val=""/>
      <w:lvlJc w:val="left"/>
      <w:pPr>
        <w:ind w:left="3240" w:hanging="360"/>
      </w:pPr>
      <w:rPr>
        <w:rFonts w:ascii="Symbol" w:hAnsi="Symbol" w:hint="default"/>
      </w:rPr>
    </w:lvl>
    <w:lvl w:ilvl="4" w:tplc="240A0003" w:tentative="1">
      <w:start w:val="1"/>
      <w:numFmt w:val="bullet"/>
      <w:lvlText w:val="o"/>
      <w:lvlJc w:val="left"/>
      <w:pPr>
        <w:ind w:left="3960" w:hanging="360"/>
      </w:pPr>
      <w:rPr>
        <w:rFonts w:ascii="Courier New" w:hAnsi="Courier New" w:cs="Courier New" w:hint="default"/>
      </w:rPr>
    </w:lvl>
    <w:lvl w:ilvl="5" w:tplc="240A0005" w:tentative="1">
      <w:start w:val="1"/>
      <w:numFmt w:val="bullet"/>
      <w:lvlText w:val=""/>
      <w:lvlJc w:val="left"/>
      <w:pPr>
        <w:ind w:left="4680" w:hanging="360"/>
      </w:pPr>
      <w:rPr>
        <w:rFonts w:ascii="Wingdings" w:hAnsi="Wingdings" w:hint="default"/>
      </w:rPr>
    </w:lvl>
    <w:lvl w:ilvl="6" w:tplc="240A0001" w:tentative="1">
      <w:start w:val="1"/>
      <w:numFmt w:val="bullet"/>
      <w:lvlText w:val=""/>
      <w:lvlJc w:val="left"/>
      <w:pPr>
        <w:ind w:left="5400" w:hanging="360"/>
      </w:pPr>
      <w:rPr>
        <w:rFonts w:ascii="Symbol" w:hAnsi="Symbol" w:hint="default"/>
      </w:rPr>
    </w:lvl>
    <w:lvl w:ilvl="7" w:tplc="240A0003" w:tentative="1">
      <w:start w:val="1"/>
      <w:numFmt w:val="bullet"/>
      <w:lvlText w:val="o"/>
      <w:lvlJc w:val="left"/>
      <w:pPr>
        <w:ind w:left="6120" w:hanging="360"/>
      </w:pPr>
      <w:rPr>
        <w:rFonts w:ascii="Courier New" w:hAnsi="Courier New" w:cs="Courier New" w:hint="default"/>
      </w:rPr>
    </w:lvl>
    <w:lvl w:ilvl="8" w:tplc="240A0005" w:tentative="1">
      <w:start w:val="1"/>
      <w:numFmt w:val="bullet"/>
      <w:lvlText w:val=""/>
      <w:lvlJc w:val="left"/>
      <w:pPr>
        <w:ind w:left="6840" w:hanging="360"/>
      </w:pPr>
      <w:rPr>
        <w:rFonts w:ascii="Wingdings" w:hAnsi="Wingdings" w:hint="default"/>
      </w:rPr>
    </w:lvl>
  </w:abstractNum>
  <w:abstractNum w:abstractNumId="25" w15:restartNumberingAfterBreak="0">
    <w:nsid w:val="158A0725"/>
    <w:multiLevelType w:val="multilevel"/>
    <w:tmpl w:val="8ACEA53A"/>
    <w:lvl w:ilvl="0">
      <w:start w:val="35"/>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15F93270"/>
    <w:multiLevelType w:val="hybridMultilevel"/>
    <w:tmpl w:val="7958B806"/>
    <w:lvl w:ilvl="0" w:tplc="A094F61E">
      <w:start w:val="1"/>
      <w:numFmt w:val="bullet"/>
      <w:lvlText w:val=""/>
      <w:lvlJc w:val="left"/>
      <w:pPr>
        <w:ind w:left="1080" w:hanging="360"/>
      </w:pPr>
      <w:rPr>
        <w:rFonts w:ascii="Symbol" w:hAnsi="Symbol" w:hint="default"/>
      </w:rPr>
    </w:lvl>
    <w:lvl w:ilvl="1" w:tplc="240A0003" w:tentative="1">
      <w:start w:val="1"/>
      <w:numFmt w:val="bullet"/>
      <w:lvlText w:val="o"/>
      <w:lvlJc w:val="left"/>
      <w:pPr>
        <w:ind w:left="1800" w:hanging="360"/>
      </w:pPr>
      <w:rPr>
        <w:rFonts w:ascii="Courier New" w:hAnsi="Courier New" w:cs="Courier New" w:hint="default"/>
      </w:rPr>
    </w:lvl>
    <w:lvl w:ilvl="2" w:tplc="240A0005" w:tentative="1">
      <w:start w:val="1"/>
      <w:numFmt w:val="bullet"/>
      <w:lvlText w:val=""/>
      <w:lvlJc w:val="left"/>
      <w:pPr>
        <w:ind w:left="2520" w:hanging="360"/>
      </w:pPr>
      <w:rPr>
        <w:rFonts w:ascii="Wingdings" w:hAnsi="Wingdings" w:hint="default"/>
      </w:rPr>
    </w:lvl>
    <w:lvl w:ilvl="3" w:tplc="240A0001" w:tentative="1">
      <w:start w:val="1"/>
      <w:numFmt w:val="bullet"/>
      <w:lvlText w:val=""/>
      <w:lvlJc w:val="left"/>
      <w:pPr>
        <w:ind w:left="3240" w:hanging="360"/>
      </w:pPr>
      <w:rPr>
        <w:rFonts w:ascii="Symbol" w:hAnsi="Symbol" w:hint="default"/>
      </w:rPr>
    </w:lvl>
    <w:lvl w:ilvl="4" w:tplc="240A0003" w:tentative="1">
      <w:start w:val="1"/>
      <w:numFmt w:val="bullet"/>
      <w:lvlText w:val="o"/>
      <w:lvlJc w:val="left"/>
      <w:pPr>
        <w:ind w:left="3960" w:hanging="360"/>
      </w:pPr>
      <w:rPr>
        <w:rFonts w:ascii="Courier New" w:hAnsi="Courier New" w:cs="Courier New" w:hint="default"/>
      </w:rPr>
    </w:lvl>
    <w:lvl w:ilvl="5" w:tplc="240A0005" w:tentative="1">
      <w:start w:val="1"/>
      <w:numFmt w:val="bullet"/>
      <w:lvlText w:val=""/>
      <w:lvlJc w:val="left"/>
      <w:pPr>
        <w:ind w:left="4680" w:hanging="360"/>
      </w:pPr>
      <w:rPr>
        <w:rFonts w:ascii="Wingdings" w:hAnsi="Wingdings" w:hint="default"/>
      </w:rPr>
    </w:lvl>
    <w:lvl w:ilvl="6" w:tplc="240A0001" w:tentative="1">
      <w:start w:val="1"/>
      <w:numFmt w:val="bullet"/>
      <w:lvlText w:val=""/>
      <w:lvlJc w:val="left"/>
      <w:pPr>
        <w:ind w:left="5400" w:hanging="360"/>
      </w:pPr>
      <w:rPr>
        <w:rFonts w:ascii="Symbol" w:hAnsi="Symbol" w:hint="default"/>
      </w:rPr>
    </w:lvl>
    <w:lvl w:ilvl="7" w:tplc="240A0003" w:tentative="1">
      <w:start w:val="1"/>
      <w:numFmt w:val="bullet"/>
      <w:lvlText w:val="o"/>
      <w:lvlJc w:val="left"/>
      <w:pPr>
        <w:ind w:left="6120" w:hanging="360"/>
      </w:pPr>
      <w:rPr>
        <w:rFonts w:ascii="Courier New" w:hAnsi="Courier New" w:cs="Courier New" w:hint="default"/>
      </w:rPr>
    </w:lvl>
    <w:lvl w:ilvl="8" w:tplc="240A0005" w:tentative="1">
      <w:start w:val="1"/>
      <w:numFmt w:val="bullet"/>
      <w:lvlText w:val=""/>
      <w:lvlJc w:val="left"/>
      <w:pPr>
        <w:ind w:left="6840" w:hanging="360"/>
      </w:pPr>
      <w:rPr>
        <w:rFonts w:ascii="Wingdings" w:hAnsi="Wingdings" w:hint="default"/>
      </w:rPr>
    </w:lvl>
  </w:abstractNum>
  <w:abstractNum w:abstractNumId="27" w15:restartNumberingAfterBreak="0">
    <w:nsid w:val="19FA334B"/>
    <w:multiLevelType w:val="hybridMultilevel"/>
    <w:tmpl w:val="AA36894A"/>
    <w:lvl w:ilvl="0" w:tplc="240A0019">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8" w15:restartNumberingAfterBreak="0">
    <w:nsid w:val="1A1664CD"/>
    <w:multiLevelType w:val="hybridMultilevel"/>
    <w:tmpl w:val="B95CAF4A"/>
    <w:lvl w:ilvl="0" w:tplc="A094F61E">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9" w15:restartNumberingAfterBreak="0">
    <w:nsid w:val="1B1657C9"/>
    <w:multiLevelType w:val="hybridMultilevel"/>
    <w:tmpl w:val="90DCBCA2"/>
    <w:lvl w:ilvl="0" w:tplc="0E30A0F6">
      <w:numFmt w:val="bullet"/>
      <w:lvlText w:val="-"/>
      <w:lvlJc w:val="left"/>
      <w:pPr>
        <w:ind w:left="720" w:hanging="360"/>
      </w:pPr>
      <w:rPr>
        <w:rFonts w:ascii="Times New Roman" w:hAnsi="Times New Roman" w:hint="default"/>
        <w:sz w:val="24"/>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0" w15:restartNumberingAfterBreak="0">
    <w:nsid w:val="1BA65957"/>
    <w:multiLevelType w:val="hybridMultilevel"/>
    <w:tmpl w:val="70A2668A"/>
    <w:lvl w:ilvl="0" w:tplc="F118A446">
      <w:start w:val="1"/>
      <w:numFmt w:val="bullet"/>
      <w:lvlText w:val="-"/>
      <w:lvlJc w:val="left"/>
      <w:pPr>
        <w:ind w:left="1068" w:hanging="360"/>
      </w:pPr>
      <w:rPr>
        <w:rFonts w:ascii="Symbol" w:hAnsi="Symbol" w:hint="default"/>
      </w:rPr>
    </w:lvl>
    <w:lvl w:ilvl="1" w:tplc="240A0003" w:tentative="1">
      <w:start w:val="1"/>
      <w:numFmt w:val="bullet"/>
      <w:lvlText w:val="o"/>
      <w:lvlJc w:val="left"/>
      <w:pPr>
        <w:ind w:left="1788" w:hanging="360"/>
      </w:pPr>
      <w:rPr>
        <w:rFonts w:ascii="Courier New" w:hAnsi="Courier New" w:cs="Courier New" w:hint="default"/>
      </w:rPr>
    </w:lvl>
    <w:lvl w:ilvl="2" w:tplc="240A0005" w:tentative="1">
      <w:start w:val="1"/>
      <w:numFmt w:val="bullet"/>
      <w:lvlText w:val=""/>
      <w:lvlJc w:val="left"/>
      <w:pPr>
        <w:ind w:left="2508" w:hanging="360"/>
      </w:pPr>
      <w:rPr>
        <w:rFonts w:ascii="Wingdings" w:hAnsi="Wingdings" w:hint="default"/>
      </w:rPr>
    </w:lvl>
    <w:lvl w:ilvl="3" w:tplc="240A0001" w:tentative="1">
      <w:start w:val="1"/>
      <w:numFmt w:val="bullet"/>
      <w:lvlText w:val=""/>
      <w:lvlJc w:val="left"/>
      <w:pPr>
        <w:ind w:left="3228" w:hanging="360"/>
      </w:pPr>
      <w:rPr>
        <w:rFonts w:ascii="Symbol" w:hAnsi="Symbol" w:hint="default"/>
      </w:rPr>
    </w:lvl>
    <w:lvl w:ilvl="4" w:tplc="240A0003" w:tentative="1">
      <w:start w:val="1"/>
      <w:numFmt w:val="bullet"/>
      <w:lvlText w:val="o"/>
      <w:lvlJc w:val="left"/>
      <w:pPr>
        <w:ind w:left="3948" w:hanging="360"/>
      </w:pPr>
      <w:rPr>
        <w:rFonts w:ascii="Courier New" w:hAnsi="Courier New" w:cs="Courier New" w:hint="default"/>
      </w:rPr>
    </w:lvl>
    <w:lvl w:ilvl="5" w:tplc="240A0005" w:tentative="1">
      <w:start w:val="1"/>
      <w:numFmt w:val="bullet"/>
      <w:lvlText w:val=""/>
      <w:lvlJc w:val="left"/>
      <w:pPr>
        <w:ind w:left="4668" w:hanging="360"/>
      </w:pPr>
      <w:rPr>
        <w:rFonts w:ascii="Wingdings" w:hAnsi="Wingdings" w:hint="default"/>
      </w:rPr>
    </w:lvl>
    <w:lvl w:ilvl="6" w:tplc="240A0001" w:tentative="1">
      <w:start w:val="1"/>
      <w:numFmt w:val="bullet"/>
      <w:lvlText w:val=""/>
      <w:lvlJc w:val="left"/>
      <w:pPr>
        <w:ind w:left="5388" w:hanging="360"/>
      </w:pPr>
      <w:rPr>
        <w:rFonts w:ascii="Symbol" w:hAnsi="Symbol" w:hint="default"/>
      </w:rPr>
    </w:lvl>
    <w:lvl w:ilvl="7" w:tplc="240A0003" w:tentative="1">
      <w:start w:val="1"/>
      <w:numFmt w:val="bullet"/>
      <w:lvlText w:val="o"/>
      <w:lvlJc w:val="left"/>
      <w:pPr>
        <w:ind w:left="6108" w:hanging="360"/>
      </w:pPr>
      <w:rPr>
        <w:rFonts w:ascii="Courier New" w:hAnsi="Courier New" w:cs="Courier New" w:hint="default"/>
      </w:rPr>
    </w:lvl>
    <w:lvl w:ilvl="8" w:tplc="240A0005" w:tentative="1">
      <w:start w:val="1"/>
      <w:numFmt w:val="bullet"/>
      <w:lvlText w:val=""/>
      <w:lvlJc w:val="left"/>
      <w:pPr>
        <w:ind w:left="6828" w:hanging="360"/>
      </w:pPr>
      <w:rPr>
        <w:rFonts w:ascii="Wingdings" w:hAnsi="Wingdings" w:hint="default"/>
      </w:rPr>
    </w:lvl>
  </w:abstractNum>
  <w:abstractNum w:abstractNumId="31" w15:restartNumberingAfterBreak="0">
    <w:nsid w:val="1C9D701C"/>
    <w:multiLevelType w:val="multilevel"/>
    <w:tmpl w:val="6EFC1B88"/>
    <w:lvl w:ilvl="0">
      <w:start w:val="7"/>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15:restartNumberingAfterBreak="0">
    <w:nsid w:val="1E4883C9"/>
    <w:multiLevelType w:val="hybridMultilevel"/>
    <w:tmpl w:val="60A6573A"/>
    <w:lvl w:ilvl="0" w:tplc="DAAEC704">
      <w:start w:val="1"/>
      <w:numFmt w:val="bullet"/>
      <w:lvlText w:val=""/>
      <w:lvlJc w:val="left"/>
      <w:pPr>
        <w:ind w:left="720" w:hanging="360"/>
      </w:pPr>
      <w:rPr>
        <w:rFonts w:ascii="Symbol" w:hAnsi="Symbol" w:hint="default"/>
      </w:rPr>
    </w:lvl>
    <w:lvl w:ilvl="1" w:tplc="5C72E662">
      <w:start w:val="1"/>
      <w:numFmt w:val="bullet"/>
      <w:lvlText w:val="o"/>
      <w:lvlJc w:val="left"/>
      <w:pPr>
        <w:ind w:left="1440" w:hanging="360"/>
      </w:pPr>
      <w:rPr>
        <w:rFonts w:ascii="Courier New" w:hAnsi="Courier New" w:hint="default"/>
      </w:rPr>
    </w:lvl>
    <w:lvl w:ilvl="2" w:tplc="C17C6DCC">
      <w:start w:val="1"/>
      <w:numFmt w:val="bullet"/>
      <w:lvlText w:val=""/>
      <w:lvlJc w:val="left"/>
      <w:pPr>
        <w:ind w:left="2160" w:hanging="360"/>
      </w:pPr>
      <w:rPr>
        <w:rFonts w:ascii="Wingdings" w:hAnsi="Wingdings" w:hint="default"/>
      </w:rPr>
    </w:lvl>
    <w:lvl w:ilvl="3" w:tplc="A2343EA2">
      <w:start w:val="1"/>
      <w:numFmt w:val="bullet"/>
      <w:lvlText w:val=""/>
      <w:lvlJc w:val="left"/>
      <w:pPr>
        <w:ind w:left="2880" w:hanging="360"/>
      </w:pPr>
      <w:rPr>
        <w:rFonts w:ascii="Symbol" w:hAnsi="Symbol" w:hint="default"/>
      </w:rPr>
    </w:lvl>
    <w:lvl w:ilvl="4" w:tplc="5E58C2BE">
      <w:start w:val="1"/>
      <w:numFmt w:val="bullet"/>
      <w:lvlText w:val="o"/>
      <w:lvlJc w:val="left"/>
      <w:pPr>
        <w:ind w:left="3600" w:hanging="360"/>
      </w:pPr>
      <w:rPr>
        <w:rFonts w:ascii="Courier New" w:hAnsi="Courier New" w:hint="default"/>
      </w:rPr>
    </w:lvl>
    <w:lvl w:ilvl="5" w:tplc="67A0E376">
      <w:start w:val="1"/>
      <w:numFmt w:val="bullet"/>
      <w:lvlText w:val=""/>
      <w:lvlJc w:val="left"/>
      <w:pPr>
        <w:ind w:left="4320" w:hanging="360"/>
      </w:pPr>
      <w:rPr>
        <w:rFonts w:ascii="Wingdings" w:hAnsi="Wingdings" w:hint="default"/>
      </w:rPr>
    </w:lvl>
    <w:lvl w:ilvl="6" w:tplc="A1085994">
      <w:start w:val="1"/>
      <w:numFmt w:val="bullet"/>
      <w:lvlText w:val=""/>
      <w:lvlJc w:val="left"/>
      <w:pPr>
        <w:ind w:left="5040" w:hanging="360"/>
      </w:pPr>
      <w:rPr>
        <w:rFonts w:ascii="Symbol" w:hAnsi="Symbol" w:hint="default"/>
      </w:rPr>
    </w:lvl>
    <w:lvl w:ilvl="7" w:tplc="F94EA944">
      <w:start w:val="1"/>
      <w:numFmt w:val="bullet"/>
      <w:lvlText w:val="o"/>
      <w:lvlJc w:val="left"/>
      <w:pPr>
        <w:ind w:left="5760" w:hanging="360"/>
      </w:pPr>
      <w:rPr>
        <w:rFonts w:ascii="Courier New" w:hAnsi="Courier New" w:hint="default"/>
      </w:rPr>
    </w:lvl>
    <w:lvl w:ilvl="8" w:tplc="16CE5120">
      <w:start w:val="1"/>
      <w:numFmt w:val="bullet"/>
      <w:lvlText w:val=""/>
      <w:lvlJc w:val="left"/>
      <w:pPr>
        <w:ind w:left="6480" w:hanging="360"/>
      </w:pPr>
      <w:rPr>
        <w:rFonts w:ascii="Wingdings" w:hAnsi="Wingdings" w:hint="default"/>
      </w:rPr>
    </w:lvl>
  </w:abstractNum>
  <w:abstractNum w:abstractNumId="33" w15:restartNumberingAfterBreak="0">
    <w:nsid w:val="20E812A6"/>
    <w:multiLevelType w:val="hybridMultilevel"/>
    <w:tmpl w:val="6D26E61E"/>
    <w:lvl w:ilvl="0" w:tplc="240A000D">
      <w:start w:val="1"/>
      <w:numFmt w:val="decimal"/>
      <w:pStyle w:val="Titulo4"/>
      <w:lvlText w:val="%1.1.1.1"/>
      <w:lvlJc w:val="left"/>
      <w:pPr>
        <w:ind w:left="1428" w:hanging="360"/>
      </w:pPr>
      <w:rPr>
        <w:rFonts w:hint="default"/>
      </w:rPr>
    </w:lvl>
    <w:lvl w:ilvl="1" w:tplc="240A0003" w:tentative="1">
      <w:start w:val="1"/>
      <w:numFmt w:val="lowerLetter"/>
      <w:lvlText w:val="%2."/>
      <w:lvlJc w:val="left"/>
      <w:pPr>
        <w:ind w:left="2148" w:hanging="360"/>
      </w:pPr>
    </w:lvl>
    <w:lvl w:ilvl="2" w:tplc="240A0005" w:tentative="1">
      <w:start w:val="1"/>
      <w:numFmt w:val="lowerRoman"/>
      <w:lvlText w:val="%3."/>
      <w:lvlJc w:val="right"/>
      <w:pPr>
        <w:ind w:left="2868" w:hanging="180"/>
      </w:pPr>
    </w:lvl>
    <w:lvl w:ilvl="3" w:tplc="240A0001" w:tentative="1">
      <w:start w:val="1"/>
      <w:numFmt w:val="decimal"/>
      <w:lvlText w:val="%4."/>
      <w:lvlJc w:val="left"/>
      <w:pPr>
        <w:ind w:left="3588" w:hanging="360"/>
      </w:pPr>
    </w:lvl>
    <w:lvl w:ilvl="4" w:tplc="240A0003" w:tentative="1">
      <w:start w:val="1"/>
      <w:numFmt w:val="lowerLetter"/>
      <w:lvlText w:val="%5."/>
      <w:lvlJc w:val="left"/>
      <w:pPr>
        <w:ind w:left="4308" w:hanging="360"/>
      </w:pPr>
    </w:lvl>
    <w:lvl w:ilvl="5" w:tplc="240A0005" w:tentative="1">
      <w:start w:val="1"/>
      <w:numFmt w:val="lowerRoman"/>
      <w:lvlText w:val="%6."/>
      <w:lvlJc w:val="right"/>
      <w:pPr>
        <w:ind w:left="5028" w:hanging="180"/>
      </w:pPr>
    </w:lvl>
    <w:lvl w:ilvl="6" w:tplc="240A0001" w:tentative="1">
      <w:start w:val="1"/>
      <w:numFmt w:val="decimal"/>
      <w:lvlText w:val="%7."/>
      <w:lvlJc w:val="left"/>
      <w:pPr>
        <w:ind w:left="5748" w:hanging="360"/>
      </w:pPr>
    </w:lvl>
    <w:lvl w:ilvl="7" w:tplc="240A0003" w:tentative="1">
      <w:start w:val="1"/>
      <w:numFmt w:val="lowerLetter"/>
      <w:lvlText w:val="%8."/>
      <w:lvlJc w:val="left"/>
      <w:pPr>
        <w:ind w:left="6468" w:hanging="360"/>
      </w:pPr>
    </w:lvl>
    <w:lvl w:ilvl="8" w:tplc="240A0005" w:tentative="1">
      <w:start w:val="1"/>
      <w:numFmt w:val="lowerRoman"/>
      <w:lvlText w:val="%9."/>
      <w:lvlJc w:val="right"/>
      <w:pPr>
        <w:ind w:left="7188" w:hanging="180"/>
      </w:pPr>
    </w:lvl>
  </w:abstractNum>
  <w:abstractNum w:abstractNumId="34" w15:restartNumberingAfterBreak="0">
    <w:nsid w:val="224858EC"/>
    <w:multiLevelType w:val="hybridMultilevel"/>
    <w:tmpl w:val="3BE65E24"/>
    <w:lvl w:ilvl="0" w:tplc="F118A446">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5" w15:restartNumberingAfterBreak="0">
    <w:nsid w:val="22B06211"/>
    <w:multiLevelType w:val="hybridMultilevel"/>
    <w:tmpl w:val="277C04DC"/>
    <w:lvl w:ilvl="0" w:tplc="4606AAC4">
      <w:start w:val="1"/>
      <w:numFmt w:val="bullet"/>
      <w:lvlText w:val=""/>
      <w:lvlJc w:val="left"/>
      <w:pPr>
        <w:ind w:left="720" w:hanging="360"/>
      </w:pPr>
      <w:rPr>
        <w:rFonts w:ascii="Wingdings" w:hAnsi="Wingdings" w:hint="default"/>
      </w:rPr>
    </w:lvl>
    <w:lvl w:ilvl="1" w:tplc="AE5EFC48" w:tentative="1">
      <w:start w:val="1"/>
      <w:numFmt w:val="bullet"/>
      <w:lvlText w:val="o"/>
      <w:lvlJc w:val="left"/>
      <w:pPr>
        <w:ind w:left="1440" w:hanging="360"/>
      </w:pPr>
      <w:rPr>
        <w:rFonts w:ascii="Courier New" w:hAnsi="Courier New" w:hint="default"/>
      </w:rPr>
    </w:lvl>
    <w:lvl w:ilvl="2" w:tplc="E2A096CA" w:tentative="1">
      <w:start w:val="1"/>
      <w:numFmt w:val="bullet"/>
      <w:lvlText w:val=""/>
      <w:lvlJc w:val="left"/>
      <w:pPr>
        <w:ind w:left="2160" w:hanging="360"/>
      </w:pPr>
      <w:rPr>
        <w:rFonts w:ascii="Wingdings" w:hAnsi="Wingdings" w:hint="default"/>
      </w:rPr>
    </w:lvl>
    <w:lvl w:ilvl="3" w:tplc="6D84F6DA" w:tentative="1">
      <w:start w:val="1"/>
      <w:numFmt w:val="bullet"/>
      <w:lvlText w:val=""/>
      <w:lvlJc w:val="left"/>
      <w:pPr>
        <w:ind w:left="2880" w:hanging="360"/>
      </w:pPr>
      <w:rPr>
        <w:rFonts w:ascii="Symbol" w:hAnsi="Symbol" w:hint="default"/>
      </w:rPr>
    </w:lvl>
    <w:lvl w:ilvl="4" w:tplc="B07ABDFC" w:tentative="1">
      <w:start w:val="1"/>
      <w:numFmt w:val="bullet"/>
      <w:lvlText w:val="o"/>
      <w:lvlJc w:val="left"/>
      <w:pPr>
        <w:ind w:left="3600" w:hanging="360"/>
      </w:pPr>
      <w:rPr>
        <w:rFonts w:ascii="Courier New" w:hAnsi="Courier New" w:hint="default"/>
      </w:rPr>
    </w:lvl>
    <w:lvl w:ilvl="5" w:tplc="1BCA9EFA" w:tentative="1">
      <w:start w:val="1"/>
      <w:numFmt w:val="bullet"/>
      <w:lvlText w:val=""/>
      <w:lvlJc w:val="left"/>
      <w:pPr>
        <w:ind w:left="4320" w:hanging="360"/>
      </w:pPr>
      <w:rPr>
        <w:rFonts w:ascii="Wingdings" w:hAnsi="Wingdings" w:hint="default"/>
      </w:rPr>
    </w:lvl>
    <w:lvl w:ilvl="6" w:tplc="5094C736" w:tentative="1">
      <w:start w:val="1"/>
      <w:numFmt w:val="bullet"/>
      <w:lvlText w:val=""/>
      <w:lvlJc w:val="left"/>
      <w:pPr>
        <w:ind w:left="5040" w:hanging="360"/>
      </w:pPr>
      <w:rPr>
        <w:rFonts w:ascii="Symbol" w:hAnsi="Symbol" w:hint="default"/>
      </w:rPr>
    </w:lvl>
    <w:lvl w:ilvl="7" w:tplc="FD0C6CF0" w:tentative="1">
      <w:start w:val="1"/>
      <w:numFmt w:val="bullet"/>
      <w:lvlText w:val="o"/>
      <w:lvlJc w:val="left"/>
      <w:pPr>
        <w:ind w:left="5760" w:hanging="360"/>
      </w:pPr>
      <w:rPr>
        <w:rFonts w:ascii="Courier New" w:hAnsi="Courier New" w:hint="default"/>
      </w:rPr>
    </w:lvl>
    <w:lvl w:ilvl="8" w:tplc="D05612CC" w:tentative="1">
      <w:start w:val="1"/>
      <w:numFmt w:val="bullet"/>
      <w:lvlText w:val=""/>
      <w:lvlJc w:val="left"/>
      <w:pPr>
        <w:ind w:left="6480" w:hanging="360"/>
      </w:pPr>
      <w:rPr>
        <w:rFonts w:ascii="Wingdings" w:hAnsi="Wingdings" w:hint="default"/>
      </w:rPr>
    </w:lvl>
  </w:abstractNum>
  <w:abstractNum w:abstractNumId="36" w15:restartNumberingAfterBreak="0">
    <w:nsid w:val="22EE3113"/>
    <w:multiLevelType w:val="hybridMultilevel"/>
    <w:tmpl w:val="D1A2B38A"/>
    <w:lvl w:ilvl="0" w:tplc="0E30A0F6">
      <w:numFmt w:val="bullet"/>
      <w:lvlText w:val="-"/>
      <w:lvlJc w:val="left"/>
      <w:pPr>
        <w:ind w:left="360" w:hanging="360"/>
      </w:pPr>
      <w:rPr>
        <w:rFonts w:ascii="Times New Roman" w:hAnsi="Times New Roman" w:hint="default"/>
        <w:sz w:val="24"/>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37" w15:restartNumberingAfterBreak="0">
    <w:nsid w:val="23C20886"/>
    <w:multiLevelType w:val="multilevel"/>
    <w:tmpl w:val="5582C8CC"/>
    <w:lvl w:ilvl="0">
      <w:start w:val="5"/>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24191C61"/>
    <w:multiLevelType w:val="hybridMultilevel"/>
    <w:tmpl w:val="60BEE15C"/>
    <w:lvl w:ilvl="0" w:tplc="FEB400A2">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9" w15:restartNumberingAfterBreak="0">
    <w:nsid w:val="252F24F4"/>
    <w:multiLevelType w:val="hybridMultilevel"/>
    <w:tmpl w:val="6FEADB7C"/>
    <w:lvl w:ilvl="0" w:tplc="F83EFCAA">
      <w:start w:val="25"/>
      <w:numFmt w:val="bullet"/>
      <w:lvlText w:val="-"/>
      <w:lvlJc w:val="left"/>
      <w:pPr>
        <w:ind w:left="720" w:hanging="360"/>
      </w:pPr>
      <w:rPr>
        <w:rFonts w:ascii="Times New Roman" w:hAnsi="Times New Roman" w:hint="default"/>
      </w:rPr>
    </w:lvl>
    <w:lvl w:ilvl="1" w:tplc="C8C0FFD2" w:tentative="1">
      <w:start w:val="1"/>
      <w:numFmt w:val="bullet"/>
      <w:lvlText w:val="o"/>
      <w:lvlJc w:val="left"/>
      <w:pPr>
        <w:ind w:left="1440" w:hanging="360"/>
      </w:pPr>
      <w:rPr>
        <w:rFonts w:ascii="Courier New" w:hAnsi="Courier New" w:hint="default"/>
      </w:rPr>
    </w:lvl>
    <w:lvl w:ilvl="2" w:tplc="E6920BF2" w:tentative="1">
      <w:start w:val="1"/>
      <w:numFmt w:val="bullet"/>
      <w:lvlText w:val=""/>
      <w:lvlJc w:val="left"/>
      <w:pPr>
        <w:ind w:left="2160" w:hanging="360"/>
      </w:pPr>
      <w:rPr>
        <w:rFonts w:ascii="Wingdings" w:hAnsi="Wingdings" w:hint="default"/>
      </w:rPr>
    </w:lvl>
    <w:lvl w:ilvl="3" w:tplc="A2D68592" w:tentative="1">
      <w:start w:val="1"/>
      <w:numFmt w:val="bullet"/>
      <w:lvlText w:val=""/>
      <w:lvlJc w:val="left"/>
      <w:pPr>
        <w:ind w:left="2880" w:hanging="360"/>
      </w:pPr>
      <w:rPr>
        <w:rFonts w:ascii="Symbol" w:hAnsi="Symbol" w:hint="default"/>
      </w:rPr>
    </w:lvl>
    <w:lvl w:ilvl="4" w:tplc="976EF426" w:tentative="1">
      <w:start w:val="1"/>
      <w:numFmt w:val="bullet"/>
      <w:lvlText w:val="o"/>
      <w:lvlJc w:val="left"/>
      <w:pPr>
        <w:ind w:left="3600" w:hanging="360"/>
      </w:pPr>
      <w:rPr>
        <w:rFonts w:ascii="Courier New" w:hAnsi="Courier New" w:hint="default"/>
      </w:rPr>
    </w:lvl>
    <w:lvl w:ilvl="5" w:tplc="DFD8EB4A" w:tentative="1">
      <w:start w:val="1"/>
      <w:numFmt w:val="bullet"/>
      <w:lvlText w:val=""/>
      <w:lvlJc w:val="left"/>
      <w:pPr>
        <w:ind w:left="4320" w:hanging="360"/>
      </w:pPr>
      <w:rPr>
        <w:rFonts w:ascii="Wingdings" w:hAnsi="Wingdings" w:hint="default"/>
      </w:rPr>
    </w:lvl>
    <w:lvl w:ilvl="6" w:tplc="298071C8" w:tentative="1">
      <w:start w:val="1"/>
      <w:numFmt w:val="bullet"/>
      <w:lvlText w:val=""/>
      <w:lvlJc w:val="left"/>
      <w:pPr>
        <w:ind w:left="5040" w:hanging="360"/>
      </w:pPr>
      <w:rPr>
        <w:rFonts w:ascii="Symbol" w:hAnsi="Symbol" w:hint="default"/>
      </w:rPr>
    </w:lvl>
    <w:lvl w:ilvl="7" w:tplc="7E62EA9E" w:tentative="1">
      <w:start w:val="1"/>
      <w:numFmt w:val="bullet"/>
      <w:lvlText w:val="o"/>
      <w:lvlJc w:val="left"/>
      <w:pPr>
        <w:ind w:left="5760" w:hanging="360"/>
      </w:pPr>
      <w:rPr>
        <w:rFonts w:ascii="Courier New" w:hAnsi="Courier New" w:hint="default"/>
      </w:rPr>
    </w:lvl>
    <w:lvl w:ilvl="8" w:tplc="34DC42EA" w:tentative="1">
      <w:start w:val="1"/>
      <w:numFmt w:val="bullet"/>
      <w:lvlText w:val=""/>
      <w:lvlJc w:val="left"/>
      <w:pPr>
        <w:ind w:left="6480" w:hanging="360"/>
      </w:pPr>
      <w:rPr>
        <w:rFonts w:ascii="Wingdings" w:hAnsi="Wingdings" w:hint="default"/>
      </w:rPr>
    </w:lvl>
  </w:abstractNum>
  <w:abstractNum w:abstractNumId="40" w15:restartNumberingAfterBreak="0">
    <w:nsid w:val="254F0542"/>
    <w:multiLevelType w:val="hybridMultilevel"/>
    <w:tmpl w:val="15ACDEDE"/>
    <w:lvl w:ilvl="0" w:tplc="F118A446">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1" w15:restartNumberingAfterBreak="0">
    <w:nsid w:val="25E16F38"/>
    <w:multiLevelType w:val="hybridMultilevel"/>
    <w:tmpl w:val="12E06352"/>
    <w:lvl w:ilvl="0" w:tplc="F118A446">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2" w15:restartNumberingAfterBreak="0">
    <w:nsid w:val="27E99C91"/>
    <w:multiLevelType w:val="hybridMultilevel"/>
    <w:tmpl w:val="D3B666AC"/>
    <w:lvl w:ilvl="0" w:tplc="5A889210">
      <w:start w:val="1"/>
      <w:numFmt w:val="bullet"/>
      <w:lvlText w:val=""/>
      <w:lvlJc w:val="left"/>
      <w:pPr>
        <w:ind w:left="720" w:hanging="360"/>
      </w:pPr>
      <w:rPr>
        <w:rFonts w:ascii="Symbol" w:hAnsi="Symbol" w:hint="default"/>
      </w:rPr>
    </w:lvl>
    <w:lvl w:ilvl="1" w:tplc="0F0E130E">
      <w:start w:val="1"/>
      <w:numFmt w:val="bullet"/>
      <w:lvlText w:val="o"/>
      <w:lvlJc w:val="left"/>
      <w:pPr>
        <w:ind w:left="1440" w:hanging="360"/>
      </w:pPr>
      <w:rPr>
        <w:rFonts w:ascii="Courier New" w:hAnsi="Courier New" w:hint="default"/>
      </w:rPr>
    </w:lvl>
    <w:lvl w:ilvl="2" w:tplc="641E3CF2">
      <w:start w:val="1"/>
      <w:numFmt w:val="bullet"/>
      <w:lvlText w:val=""/>
      <w:lvlJc w:val="left"/>
      <w:pPr>
        <w:ind w:left="2160" w:hanging="360"/>
      </w:pPr>
      <w:rPr>
        <w:rFonts w:ascii="Wingdings" w:hAnsi="Wingdings" w:hint="default"/>
      </w:rPr>
    </w:lvl>
    <w:lvl w:ilvl="3" w:tplc="5E66CF12">
      <w:start w:val="1"/>
      <w:numFmt w:val="bullet"/>
      <w:lvlText w:val=""/>
      <w:lvlJc w:val="left"/>
      <w:pPr>
        <w:ind w:left="2880" w:hanging="360"/>
      </w:pPr>
      <w:rPr>
        <w:rFonts w:ascii="Symbol" w:hAnsi="Symbol" w:hint="default"/>
      </w:rPr>
    </w:lvl>
    <w:lvl w:ilvl="4" w:tplc="9580E7EA">
      <w:start w:val="1"/>
      <w:numFmt w:val="bullet"/>
      <w:lvlText w:val="o"/>
      <w:lvlJc w:val="left"/>
      <w:pPr>
        <w:ind w:left="3600" w:hanging="360"/>
      </w:pPr>
      <w:rPr>
        <w:rFonts w:ascii="Courier New" w:hAnsi="Courier New" w:hint="default"/>
      </w:rPr>
    </w:lvl>
    <w:lvl w:ilvl="5" w:tplc="BE34866E">
      <w:start w:val="1"/>
      <w:numFmt w:val="bullet"/>
      <w:lvlText w:val=""/>
      <w:lvlJc w:val="left"/>
      <w:pPr>
        <w:ind w:left="4320" w:hanging="360"/>
      </w:pPr>
      <w:rPr>
        <w:rFonts w:ascii="Wingdings" w:hAnsi="Wingdings" w:hint="default"/>
      </w:rPr>
    </w:lvl>
    <w:lvl w:ilvl="6" w:tplc="CF2A21E8">
      <w:start w:val="1"/>
      <w:numFmt w:val="bullet"/>
      <w:lvlText w:val=""/>
      <w:lvlJc w:val="left"/>
      <w:pPr>
        <w:ind w:left="5040" w:hanging="360"/>
      </w:pPr>
      <w:rPr>
        <w:rFonts w:ascii="Symbol" w:hAnsi="Symbol" w:hint="default"/>
      </w:rPr>
    </w:lvl>
    <w:lvl w:ilvl="7" w:tplc="02700244">
      <w:start w:val="1"/>
      <w:numFmt w:val="bullet"/>
      <w:lvlText w:val="o"/>
      <w:lvlJc w:val="left"/>
      <w:pPr>
        <w:ind w:left="5760" w:hanging="360"/>
      </w:pPr>
      <w:rPr>
        <w:rFonts w:ascii="Courier New" w:hAnsi="Courier New" w:hint="default"/>
      </w:rPr>
    </w:lvl>
    <w:lvl w:ilvl="8" w:tplc="5E4CE592">
      <w:start w:val="1"/>
      <w:numFmt w:val="bullet"/>
      <w:lvlText w:val=""/>
      <w:lvlJc w:val="left"/>
      <w:pPr>
        <w:ind w:left="6480" w:hanging="360"/>
      </w:pPr>
      <w:rPr>
        <w:rFonts w:ascii="Wingdings" w:hAnsi="Wingdings" w:hint="default"/>
      </w:rPr>
    </w:lvl>
  </w:abstractNum>
  <w:abstractNum w:abstractNumId="43" w15:restartNumberingAfterBreak="0">
    <w:nsid w:val="29317A88"/>
    <w:multiLevelType w:val="hybridMultilevel"/>
    <w:tmpl w:val="094889A2"/>
    <w:lvl w:ilvl="0" w:tplc="F118A446">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4" w15:restartNumberingAfterBreak="0">
    <w:nsid w:val="293E6426"/>
    <w:multiLevelType w:val="hybridMultilevel"/>
    <w:tmpl w:val="A0F8D6C6"/>
    <w:lvl w:ilvl="0" w:tplc="F118A446">
      <w:start w:val="1"/>
      <w:numFmt w:val="bullet"/>
      <w:lvlText w:val="-"/>
      <w:lvlJc w:val="left"/>
      <w:pPr>
        <w:ind w:left="1080" w:hanging="360"/>
      </w:pPr>
      <w:rPr>
        <w:rFonts w:ascii="Symbol" w:hAnsi="Symbol" w:hint="default"/>
      </w:rPr>
    </w:lvl>
    <w:lvl w:ilvl="1" w:tplc="240A0003" w:tentative="1">
      <w:start w:val="1"/>
      <w:numFmt w:val="bullet"/>
      <w:lvlText w:val="o"/>
      <w:lvlJc w:val="left"/>
      <w:pPr>
        <w:ind w:left="1800" w:hanging="360"/>
      </w:pPr>
      <w:rPr>
        <w:rFonts w:ascii="Courier New" w:hAnsi="Courier New" w:cs="Courier New" w:hint="default"/>
      </w:rPr>
    </w:lvl>
    <w:lvl w:ilvl="2" w:tplc="240A0005" w:tentative="1">
      <w:start w:val="1"/>
      <w:numFmt w:val="bullet"/>
      <w:lvlText w:val=""/>
      <w:lvlJc w:val="left"/>
      <w:pPr>
        <w:ind w:left="2520" w:hanging="360"/>
      </w:pPr>
      <w:rPr>
        <w:rFonts w:ascii="Wingdings" w:hAnsi="Wingdings" w:hint="default"/>
      </w:rPr>
    </w:lvl>
    <w:lvl w:ilvl="3" w:tplc="240A0001" w:tentative="1">
      <w:start w:val="1"/>
      <w:numFmt w:val="bullet"/>
      <w:lvlText w:val=""/>
      <w:lvlJc w:val="left"/>
      <w:pPr>
        <w:ind w:left="3240" w:hanging="360"/>
      </w:pPr>
      <w:rPr>
        <w:rFonts w:ascii="Symbol" w:hAnsi="Symbol" w:hint="default"/>
      </w:rPr>
    </w:lvl>
    <w:lvl w:ilvl="4" w:tplc="240A0003" w:tentative="1">
      <w:start w:val="1"/>
      <w:numFmt w:val="bullet"/>
      <w:lvlText w:val="o"/>
      <w:lvlJc w:val="left"/>
      <w:pPr>
        <w:ind w:left="3960" w:hanging="360"/>
      </w:pPr>
      <w:rPr>
        <w:rFonts w:ascii="Courier New" w:hAnsi="Courier New" w:cs="Courier New" w:hint="default"/>
      </w:rPr>
    </w:lvl>
    <w:lvl w:ilvl="5" w:tplc="240A0005" w:tentative="1">
      <w:start w:val="1"/>
      <w:numFmt w:val="bullet"/>
      <w:lvlText w:val=""/>
      <w:lvlJc w:val="left"/>
      <w:pPr>
        <w:ind w:left="4680" w:hanging="360"/>
      </w:pPr>
      <w:rPr>
        <w:rFonts w:ascii="Wingdings" w:hAnsi="Wingdings" w:hint="default"/>
      </w:rPr>
    </w:lvl>
    <w:lvl w:ilvl="6" w:tplc="240A0001" w:tentative="1">
      <w:start w:val="1"/>
      <w:numFmt w:val="bullet"/>
      <w:lvlText w:val=""/>
      <w:lvlJc w:val="left"/>
      <w:pPr>
        <w:ind w:left="5400" w:hanging="360"/>
      </w:pPr>
      <w:rPr>
        <w:rFonts w:ascii="Symbol" w:hAnsi="Symbol" w:hint="default"/>
      </w:rPr>
    </w:lvl>
    <w:lvl w:ilvl="7" w:tplc="240A0003" w:tentative="1">
      <w:start w:val="1"/>
      <w:numFmt w:val="bullet"/>
      <w:lvlText w:val="o"/>
      <w:lvlJc w:val="left"/>
      <w:pPr>
        <w:ind w:left="6120" w:hanging="360"/>
      </w:pPr>
      <w:rPr>
        <w:rFonts w:ascii="Courier New" w:hAnsi="Courier New" w:cs="Courier New" w:hint="default"/>
      </w:rPr>
    </w:lvl>
    <w:lvl w:ilvl="8" w:tplc="240A0005" w:tentative="1">
      <w:start w:val="1"/>
      <w:numFmt w:val="bullet"/>
      <w:lvlText w:val=""/>
      <w:lvlJc w:val="left"/>
      <w:pPr>
        <w:ind w:left="6840" w:hanging="360"/>
      </w:pPr>
      <w:rPr>
        <w:rFonts w:ascii="Wingdings" w:hAnsi="Wingdings" w:hint="default"/>
      </w:rPr>
    </w:lvl>
  </w:abstractNum>
  <w:abstractNum w:abstractNumId="45" w15:restartNumberingAfterBreak="0">
    <w:nsid w:val="298479AD"/>
    <w:multiLevelType w:val="hybridMultilevel"/>
    <w:tmpl w:val="98E62F10"/>
    <w:lvl w:ilvl="0" w:tplc="FEB400A2">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6" w15:restartNumberingAfterBreak="0">
    <w:nsid w:val="29B54300"/>
    <w:multiLevelType w:val="multilevel"/>
    <w:tmpl w:val="4A4A532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2A536432"/>
    <w:multiLevelType w:val="multilevel"/>
    <w:tmpl w:val="1F0EB770"/>
    <w:lvl w:ilvl="0">
      <w:start w:val="21"/>
      <w:numFmt w:val="decimal"/>
      <w:lvlText w:val="%1."/>
      <w:lvlJc w:val="left"/>
      <w:pPr>
        <w:ind w:left="480" w:hanging="480"/>
      </w:pPr>
      <w:rPr>
        <w:rFonts w:hint="default"/>
        <w:u w:val="none"/>
      </w:rPr>
    </w:lvl>
    <w:lvl w:ilvl="1">
      <w:start w:val="1"/>
      <w:numFmt w:val="decimal"/>
      <w:lvlText w:val="%1.%2."/>
      <w:lvlJc w:val="left"/>
      <w:pPr>
        <w:ind w:left="480" w:hanging="480"/>
      </w:pPr>
      <w:rPr>
        <w:rFonts w:hint="default"/>
        <w:u w:val="none"/>
      </w:rPr>
    </w:lvl>
    <w:lvl w:ilvl="2">
      <w:start w:val="1"/>
      <w:numFmt w:val="decimal"/>
      <w:lvlText w:val="%1.%2.%3."/>
      <w:lvlJc w:val="left"/>
      <w:pPr>
        <w:ind w:left="720" w:hanging="720"/>
      </w:pPr>
      <w:rPr>
        <w:rFonts w:hint="default"/>
        <w:u w:val="none"/>
      </w:rPr>
    </w:lvl>
    <w:lvl w:ilvl="3">
      <w:start w:val="1"/>
      <w:numFmt w:val="decimal"/>
      <w:lvlText w:val="%1.%2.%3.%4."/>
      <w:lvlJc w:val="left"/>
      <w:pPr>
        <w:ind w:left="720" w:hanging="720"/>
      </w:pPr>
      <w:rPr>
        <w:rFonts w:hint="default"/>
        <w:u w:val="none"/>
      </w:rPr>
    </w:lvl>
    <w:lvl w:ilvl="4">
      <w:start w:val="1"/>
      <w:numFmt w:val="decimal"/>
      <w:lvlText w:val="%1.%2.%3.%4.%5."/>
      <w:lvlJc w:val="left"/>
      <w:pPr>
        <w:ind w:left="1080" w:hanging="1080"/>
      </w:pPr>
      <w:rPr>
        <w:rFonts w:hint="default"/>
        <w:u w:val="none"/>
      </w:rPr>
    </w:lvl>
    <w:lvl w:ilvl="5">
      <w:start w:val="1"/>
      <w:numFmt w:val="decimal"/>
      <w:lvlText w:val="%1.%2.%3.%4.%5.%6."/>
      <w:lvlJc w:val="left"/>
      <w:pPr>
        <w:ind w:left="1080" w:hanging="1080"/>
      </w:pPr>
      <w:rPr>
        <w:rFonts w:hint="default"/>
        <w:u w:val="none"/>
      </w:rPr>
    </w:lvl>
    <w:lvl w:ilvl="6">
      <w:start w:val="1"/>
      <w:numFmt w:val="decimal"/>
      <w:lvlText w:val="%1.%2.%3.%4.%5.%6.%7."/>
      <w:lvlJc w:val="left"/>
      <w:pPr>
        <w:ind w:left="1440" w:hanging="1440"/>
      </w:pPr>
      <w:rPr>
        <w:rFonts w:hint="default"/>
        <w:u w:val="none"/>
      </w:rPr>
    </w:lvl>
    <w:lvl w:ilvl="7">
      <w:start w:val="1"/>
      <w:numFmt w:val="decimal"/>
      <w:lvlText w:val="%1.%2.%3.%4.%5.%6.%7.%8."/>
      <w:lvlJc w:val="left"/>
      <w:pPr>
        <w:ind w:left="1440" w:hanging="1440"/>
      </w:pPr>
      <w:rPr>
        <w:rFonts w:hint="default"/>
        <w:u w:val="none"/>
      </w:rPr>
    </w:lvl>
    <w:lvl w:ilvl="8">
      <w:start w:val="1"/>
      <w:numFmt w:val="decimal"/>
      <w:lvlText w:val="%1.%2.%3.%4.%5.%6.%7.%8.%9."/>
      <w:lvlJc w:val="left"/>
      <w:pPr>
        <w:ind w:left="1800" w:hanging="1800"/>
      </w:pPr>
      <w:rPr>
        <w:rFonts w:hint="default"/>
        <w:u w:val="none"/>
      </w:rPr>
    </w:lvl>
  </w:abstractNum>
  <w:abstractNum w:abstractNumId="48" w15:restartNumberingAfterBreak="0">
    <w:nsid w:val="2D263572"/>
    <w:multiLevelType w:val="multilevel"/>
    <w:tmpl w:val="44168144"/>
    <w:lvl w:ilvl="0">
      <w:start w:val="22"/>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9" w15:restartNumberingAfterBreak="0">
    <w:nsid w:val="2D8D4364"/>
    <w:multiLevelType w:val="hybridMultilevel"/>
    <w:tmpl w:val="B1C448EC"/>
    <w:lvl w:ilvl="0" w:tplc="0E30A0F6">
      <w:numFmt w:val="bullet"/>
      <w:lvlText w:val="-"/>
      <w:lvlJc w:val="left"/>
      <w:pPr>
        <w:ind w:left="1080" w:hanging="360"/>
      </w:pPr>
      <w:rPr>
        <w:rFonts w:ascii="Times New Roman" w:hAnsi="Times New Roman" w:hint="default"/>
        <w:sz w:val="24"/>
      </w:rPr>
    </w:lvl>
    <w:lvl w:ilvl="1" w:tplc="240A0003" w:tentative="1">
      <w:start w:val="1"/>
      <w:numFmt w:val="bullet"/>
      <w:lvlText w:val="o"/>
      <w:lvlJc w:val="left"/>
      <w:pPr>
        <w:ind w:left="1800" w:hanging="360"/>
      </w:pPr>
      <w:rPr>
        <w:rFonts w:ascii="Courier New" w:hAnsi="Courier New" w:cs="Courier New" w:hint="default"/>
      </w:rPr>
    </w:lvl>
    <w:lvl w:ilvl="2" w:tplc="240A0005" w:tentative="1">
      <w:start w:val="1"/>
      <w:numFmt w:val="bullet"/>
      <w:lvlText w:val=""/>
      <w:lvlJc w:val="left"/>
      <w:pPr>
        <w:ind w:left="2520" w:hanging="360"/>
      </w:pPr>
      <w:rPr>
        <w:rFonts w:ascii="Wingdings" w:hAnsi="Wingdings" w:hint="default"/>
      </w:rPr>
    </w:lvl>
    <w:lvl w:ilvl="3" w:tplc="240A0001" w:tentative="1">
      <w:start w:val="1"/>
      <w:numFmt w:val="bullet"/>
      <w:lvlText w:val=""/>
      <w:lvlJc w:val="left"/>
      <w:pPr>
        <w:ind w:left="3240" w:hanging="360"/>
      </w:pPr>
      <w:rPr>
        <w:rFonts w:ascii="Symbol" w:hAnsi="Symbol" w:hint="default"/>
      </w:rPr>
    </w:lvl>
    <w:lvl w:ilvl="4" w:tplc="240A0003" w:tentative="1">
      <w:start w:val="1"/>
      <w:numFmt w:val="bullet"/>
      <w:lvlText w:val="o"/>
      <w:lvlJc w:val="left"/>
      <w:pPr>
        <w:ind w:left="3960" w:hanging="360"/>
      </w:pPr>
      <w:rPr>
        <w:rFonts w:ascii="Courier New" w:hAnsi="Courier New" w:cs="Courier New" w:hint="default"/>
      </w:rPr>
    </w:lvl>
    <w:lvl w:ilvl="5" w:tplc="240A0005" w:tentative="1">
      <w:start w:val="1"/>
      <w:numFmt w:val="bullet"/>
      <w:lvlText w:val=""/>
      <w:lvlJc w:val="left"/>
      <w:pPr>
        <w:ind w:left="4680" w:hanging="360"/>
      </w:pPr>
      <w:rPr>
        <w:rFonts w:ascii="Wingdings" w:hAnsi="Wingdings" w:hint="default"/>
      </w:rPr>
    </w:lvl>
    <w:lvl w:ilvl="6" w:tplc="240A0001" w:tentative="1">
      <w:start w:val="1"/>
      <w:numFmt w:val="bullet"/>
      <w:lvlText w:val=""/>
      <w:lvlJc w:val="left"/>
      <w:pPr>
        <w:ind w:left="5400" w:hanging="360"/>
      </w:pPr>
      <w:rPr>
        <w:rFonts w:ascii="Symbol" w:hAnsi="Symbol" w:hint="default"/>
      </w:rPr>
    </w:lvl>
    <w:lvl w:ilvl="7" w:tplc="240A0003" w:tentative="1">
      <w:start w:val="1"/>
      <w:numFmt w:val="bullet"/>
      <w:lvlText w:val="o"/>
      <w:lvlJc w:val="left"/>
      <w:pPr>
        <w:ind w:left="6120" w:hanging="360"/>
      </w:pPr>
      <w:rPr>
        <w:rFonts w:ascii="Courier New" w:hAnsi="Courier New" w:cs="Courier New" w:hint="default"/>
      </w:rPr>
    </w:lvl>
    <w:lvl w:ilvl="8" w:tplc="240A0005" w:tentative="1">
      <w:start w:val="1"/>
      <w:numFmt w:val="bullet"/>
      <w:lvlText w:val=""/>
      <w:lvlJc w:val="left"/>
      <w:pPr>
        <w:ind w:left="6840" w:hanging="360"/>
      </w:pPr>
      <w:rPr>
        <w:rFonts w:ascii="Wingdings" w:hAnsi="Wingdings" w:hint="default"/>
      </w:rPr>
    </w:lvl>
  </w:abstractNum>
  <w:abstractNum w:abstractNumId="50" w15:restartNumberingAfterBreak="0">
    <w:nsid w:val="2E2203C8"/>
    <w:multiLevelType w:val="hybridMultilevel"/>
    <w:tmpl w:val="816A23C4"/>
    <w:lvl w:ilvl="0" w:tplc="5F1C3586">
      <w:start w:val="1"/>
      <w:numFmt w:val="bullet"/>
      <w:pStyle w:val="Ttulo2"/>
      <w:lvlText w:val="-"/>
      <w:lvlJc w:val="left"/>
      <w:pPr>
        <w:ind w:left="360" w:hanging="360"/>
      </w:pPr>
      <w:rPr>
        <w:rFonts w:ascii="Symbol" w:hAnsi="Symbol" w:hint="default"/>
      </w:rPr>
    </w:lvl>
    <w:lvl w:ilvl="1" w:tplc="B2EA4742" w:tentative="1">
      <w:start w:val="1"/>
      <w:numFmt w:val="lowerLetter"/>
      <w:lvlText w:val="%2."/>
      <w:lvlJc w:val="left"/>
      <w:pPr>
        <w:ind w:left="1080" w:hanging="360"/>
      </w:pPr>
    </w:lvl>
    <w:lvl w:ilvl="2" w:tplc="34D05A48" w:tentative="1">
      <w:start w:val="1"/>
      <w:numFmt w:val="lowerRoman"/>
      <w:lvlText w:val="%3."/>
      <w:lvlJc w:val="right"/>
      <w:pPr>
        <w:ind w:left="1800" w:hanging="180"/>
      </w:pPr>
    </w:lvl>
    <w:lvl w:ilvl="3" w:tplc="135E487A" w:tentative="1">
      <w:start w:val="1"/>
      <w:numFmt w:val="decimal"/>
      <w:lvlText w:val="%4."/>
      <w:lvlJc w:val="left"/>
      <w:pPr>
        <w:ind w:left="2520" w:hanging="360"/>
      </w:pPr>
    </w:lvl>
    <w:lvl w:ilvl="4" w:tplc="C43A6138" w:tentative="1">
      <w:start w:val="1"/>
      <w:numFmt w:val="lowerLetter"/>
      <w:lvlText w:val="%5."/>
      <w:lvlJc w:val="left"/>
      <w:pPr>
        <w:ind w:left="3240" w:hanging="360"/>
      </w:pPr>
    </w:lvl>
    <w:lvl w:ilvl="5" w:tplc="FD068B06" w:tentative="1">
      <w:start w:val="1"/>
      <w:numFmt w:val="lowerRoman"/>
      <w:lvlText w:val="%6."/>
      <w:lvlJc w:val="right"/>
      <w:pPr>
        <w:ind w:left="3960" w:hanging="180"/>
      </w:pPr>
    </w:lvl>
    <w:lvl w:ilvl="6" w:tplc="09E29770" w:tentative="1">
      <w:start w:val="1"/>
      <w:numFmt w:val="decimal"/>
      <w:lvlText w:val="%7."/>
      <w:lvlJc w:val="left"/>
      <w:pPr>
        <w:ind w:left="4680" w:hanging="360"/>
      </w:pPr>
    </w:lvl>
    <w:lvl w:ilvl="7" w:tplc="16F07E6A" w:tentative="1">
      <w:start w:val="1"/>
      <w:numFmt w:val="lowerLetter"/>
      <w:lvlText w:val="%8."/>
      <w:lvlJc w:val="left"/>
      <w:pPr>
        <w:ind w:left="5400" w:hanging="360"/>
      </w:pPr>
    </w:lvl>
    <w:lvl w:ilvl="8" w:tplc="0EC0505A" w:tentative="1">
      <w:start w:val="1"/>
      <w:numFmt w:val="lowerRoman"/>
      <w:lvlText w:val="%9."/>
      <w:lvlJc w:val="right"/>
      <w:pPr>
        <w:ind w:left="6120" w:hanging="180"/>
      </w:pPr>
    </w:lvl>
  </w:abstractNum>
  <w:abstractNum w:abstractNumId="51" w15:restartNumberingAfterBreak="0">
    <w:nsid w:val="2EBB75BC"/>
    <w:multiLevelType w:val="hybridMultilevel"/>
    <w:tmpl w:val="A9B410AE"/>
    <w:lvl w:ilvl="0" w:tplc="A094F61E">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52" w15:restartNumberingAfterBreak="0">
    <w:nsid w:val="2FD07263"/>
    <w:multiLevelType w:val="hybridMultilevel"/>
    <w:tmpl w:val="44C49724"/>
    <w:lvl w:ilvl="0" w:tplc="A094F61E">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3" w15:restartNumberingAfterBreak="0">
    <w:nsid w:val="303822B1"/>
    <w:multiLevelType w:val="hybridMultilevel"/>
    <w:tmpl w:val="AB58F4CE"/>
    <w:lvl w:ilvl="0" w:tplc="FEB400A2">
      <w:start w:val="1"/>
      <w:numFmt w:val="bullet"/>
      <w:lvlText w:val=""/>
      <w:lvlJc w:val="left"/>
      <w:pPr>
        <w:ind w:left="780" w:hanging="360"/>
      </w:pPr>
      <w:rPr>
        <w:rFonts w:ascii="Symbol" w:hAnsi="Symbol" w:hint="default"/>
      </w:rPr>
    </w:lvl>
    <w:lvl w:ilvl="1" w:tplc="FFFFFFFF" w:tentative="1">
      <w:start w:val="1"/>
      <w:numFmt w:val="bullet"/>
      <w:lvlText w:val="o"/>
      <w:lvlJc w:val="left"/>
      <w:pPr>
        <w:ind w:left="1500" w:hanging="360"/>
      </w:pPr>
      <w:rPr>
        <w:rFonts w:ascii="Courier New" w:hAnsi="Courier New" w:cs="Courier New" w:hint="default"/>
      </w:rPr>
    </w:lvl>
    <w:lvl w:ilvl="2" w:tplc="FFFFFFFF" w:tentative="1">
      <w:start w:val="1"/>
      <w:numFmt w:val="bullet"/>
      <w:lvlText w:val=""/>
      <w:lvlJc w:val="left"/>
      <w:pPr>
        <w:ind w:left="2220" w:hanging="360"/>
      </w:pPr>
      <w:rPr>
        <w:rFonts w:ascii="Wingdings" w:hAnsi="Wingdings" w:hint="default"/>
      </w:rPr>
    </w:lvl>
    <w:lvl w:ilvl="3" w:tplc="FFFFFFFF" w:tentative="1">
      <w:start w:val="1"/>
      <w:numFmt w:val="bullet"/>
      <w:lvlText w:val=""/>
      <w:lvlJc w:val="left"/>
      <w:pPr>
        <w:ind w:left="2940" w:hanging="360"/>
      </w:pPr>
      <w:rPr>
        <w:rFonts w:ascii="Symbol" w:hAnsi="Symbol" w:hint="default"/>
      </w:rPr>
    </w:lvl>
    <w:lvl w:ilvl="4" w:tplc="FFFFFFFF" w:tentative="1">
      <w:start w:val="1"/>
      <w:numFmt w:val="bullet"/>
      <w:lvlText w:val="o"/>
      <w:lvlJc w:val="left"/>
      <w:pPr>
        <w:ind w:left="3660" w:hanging="360"/>
      </w:pPr>
      <w:rPr>
        <w:rFonts w:ascii="Courier New" w:hAnsi="Courier New" w:cs="Courier New" w:hint="default"/>
      </w:rPr>
    </w:lvl>
    <w:lvl w:ilvl="5" w:tplc="FFFFFFFF" w:tentative="1">
      <w:start w:val="1"/>
      <w:numFmt w:val="bullet"/>
      <w:lvlText w:val=""/>
      <w:lvlJc w:val="left"/>
      <w:pPr>
        <w:ind w:left="4380" w:hanging="360"/>
      </w:pPr>
      <w:rPr>
        <w:rFonts w:ascii="Wingdings" w:hAnsi="Wingdings" w:hint="default"/>
      </w:rPr>
    </w:lvl>
    <w:lvl w:ilvl="6" w:tplc="FFFFFFFF" w:tentative="1">
      <w:start w:val="1"/>
      <w:numFmt w:val="bullet"/>
      <w:lvlText w:val=""/>
      <w:lvlJc w:val="left"/>
      <w:pPr>
        <w:ind w:left="5100" w:hanging="360"/>
      </w:pPr>
      <w:rPr>
        <w:rFonts w:ascii="Symbol" w:hAnsi="Symbol" w:hint="default"/>
      </w:rPr>
    </w:lvl>
    <w:lvl w:ilvl="7" w:tplc="FFFFFFFF" w:tentative="1">
      <w:start w:val="1"/>
      <w:numFmt w:val="bullet"/>
      <w:lvlText w:val="o"/>
      <w:lvlJc w:val="left"/>
      <w:pPr>
        <w:ind w:left="5820" w:hanging="360"/>
      </w:pPr>
      <w:rPr>
        <w:rFonts w:ascii="Courier New" w:hAnsi="Courier New" w:cs="Courier New" w:hint="default"/>
      </w:rPr>
    </w:lvl>
    <w:lvl w:ilvl="8" w:tplc="FFFFFFFF" w:tentative="1">
      <w:start w:val="1"/>
      <w:numFmt w:val="bullet"/>
      <w:lvlText w:val=""/>
      <w:lvlJc w:val="left"/>
      <w:pPr>
        <w:ind w:left="6540" w:hanging="360"/>
      </w:pPr>
      <w:rPr>
        <w:rFonts w:ascii="Wingdings" w:hAnsi="Wingdings" w:hint="default"/>
      </w:rPr>
    </w:lvl>
  </w:abstractNum>
  <w:abstractNum w:abstractNumId="54" w15:restartNumberingAfterBreak="0">
    <w:nsid w:val="31457017"/>
    <w:multiLevelType w:val="multilevel"/>
    <w:tmpl w:val="D94839B6"/>
    <w:lvl w:ilvl="0">
      <w:start w:val="24"/>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5" w15:restartNumberingAfterBreak="0">
    <w:nsid w:val="3291352B"/>
    <w:multiLevelType w:val="hybridMultilevel"/>
    <w:tmpl w:val="41420888"/>
    <w:lvl w:ilvl="0" w:tplc="F118A446">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6" w15:restartNumberingAfterBreak="0">
    <w:nsid w:val="35391FD0"/>
    <w:multiLevelType w:val="hybridMultilevel"/>
    <w:tmpl w:val="C5221E64"/>
    <w:lvl w:ilvl="0" w:tplc="3DD8EFA6">
      <w:start w:val="1"/>
      <w:numFmt w:val="bullet"/>
      <w:lvlText w:val=""/>
      <w:lvlJc w:val="left"/>
      <w:pPr>
        <w:ind w:left="720" w:hanging="360"/>
      </w:pPr>
      <w:rPr>
        <w:rFonts w:ascii="Symbol" w:hAnsi="Symbol" w:hint="default"/>
      </w:rPr>
    </w:lvl>
    <w:lvl w:ilvl="1" w:tplc="75000AEC">
      <w:start w:val="1"/>
      <w:numFmt w:val="bullet"/>
      <w:lvlText w:val="o"/>
      <w:lvlJc w:val="left"/>
      <w:pPr>
        <w:ind w:left="1440" w:hanging="360"/>
      </w:pPr>
      <w:rPr>
        <w:rFonts w:ascii="Courier New" w:hAnsi="Courier New" w:hint="default"/>
      </w:rPr>
    </w:lvl>
    <w:lvl w:ilvl="2" w:tplc="5D9207AA">
      <w:start w:val="1"/>
      <w:numFmt w:val="bullet"/>
      <w:lvlText w:val=""/>
      <w:lvlJc w:val="left"/>
      <w:pPr>
        <w:ind w:left="2160" w:hanging="360"/>
      </w:pPr>
      <w:rPr>
        <w:rFonts w:ascii="Wingdings" w:hAnsi="Wingdings" w:hint="default"/>
      </w:rPr>
    </w:lvl>
    <w:lvl w:ilvl="3" w:tplc="82B4B152">
      <w:start w:val="1"/>
      <w:numFmt w:val="bullet"/>
      <w:lvlText w:val=""/>
      <w:lvlJc w:val="left"/>
      <w:pPr>
        <w:ind w:left="2880" w:hanging="360"/>
      </w:pPr>
      <w:rPr>
        <w:rFonts w:ascii="Symbol" w:hAnsi="Symbol" w:hint="default"/>
      </w:rPr>
    </w:lvl>
    <w:lvl w:ilvl="4" w:tplc="22BE2652">
      <w:start w:val="1"/>
      <w:numFmt w:val="bullet"/>
      <w:lvlText w:val="o"/>
      <w:lvlJc w:val="left"/>
      <w:pPr>
        <w:ind w:left="3600" w:hanging="360"/>
      </w:pPr>
      <w:rPr>
        <w:rFonts w:ascii="Courier New" w:hAnsi="Courier New" w:hint="default"/>
      </w:rPr>
    </w:lvl>
    <w:lvl w:ilvl="5" w:tplc="A3B25DE4">
      <w:start w:val="1"/>
      <w:numFmt w:val="bullet"/>
      <w:lvlText w:val=""/>
      <w:lvlJc w:val="left"/>
      <w:pPr>
        <w:ind w:left="4320" w:hanging="360"/>
      </w:pPr>
      <w:rPr>
        <w:rFonts w:ascii="Wingdings" w:hAnsi="Wingdings" w:hint="default"/>
      </w:rPr>
    </w:lvl>
    <w:lvl w:ilvl="6" w:tplc="91665AA6">
      <w:start w:val="1"/>
      <w:numFmt w:val="bullet"/>
      <w:lvlText w:val=""/>
      <w:lvlJc w:val="left"/>
      <w:pPr>
        <w:ind w:left="5040" w:hanging="360"/>
      </w:pPr>
      <w:rPr>
        <w:rFonts w:ascii="Symbol" w:hAnsi="Symbol" w:hint="default"/>
      </w:rPr>
    </w:lvl>
    <w:lvl w:ilvl="7" w:tplc="1D8E572E">
      <w:start w:val="1"/>
      <w:numFmt w:val="bullet"/>
      <w:lvlText w:val="o"/>
      <w:lvlJc w:val="left"/>
      <w:pPr>
        <w:ind w:left="5760" w:hanging="360"/>
      </w:pPr>
      <w:rPr>
        <w:rFonts w:ascii="Courier New" w:hAnsi="Courier New" w:hint="default"/>
      </w:rPr>
    </w:lvl>
    <w:lvl w:ilvl="8" w:tplc="E0523E02">
      <w:start w:val="1"/>
      <w:numFmt w:val="bullet"/>
      <w:lvlText w:val=""/>
      <w:lvlJc w:val="left"/>
      <w:pPr>
        <w:ind w:left="6480" w:hanging="360"/>
      </w:pPr>
      <w:rPr>
        <w:rFonts w:ascii="Wingdings" w:hAnsi="Wingdings" w:hint="default"/>
      </w:rPr>
    </w:lvl>
  </w:abstractNum>
  <w:abstractNum w:abstractNumId="57" w15:restartNumberingAfterBreak="0">
    <w:nsid w:val="37724EBC"/>
    <w:multiLevelType w:val="multilevel"/>
    <w:tmpl w:val="A07C5956"/>
    <w:lvl w:ilvl="0">
      <w:start w:val="27"/>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37C95C54"/>
    <w:multiLevelType w:val="hybridMultilevel"/>
    <w:tmpl w:val="6D70EAD2"/>
    <w:lvl w:ilvl="0" w:tplc="F83EFCAA">
      <w:start w:val="25"/>
      <w:numFmt w:val="bullet"/>
      <w:lvlText w:val="-"/>
      <w:lvlJc w:val="left"/>
      <w:pPr>
        <w:ind w:left="720" w:hanging="360"/>
      </w:pPr>
      <w:rPr>
        <w:rFonts w:ascii="Times New Roman" w:hAnsi="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9" w15:restartNumberingAfterBreak="0">
    <w:nsid w:val="388C16B7"/>
    <w:multiLevelType w:val="hybridMultilevel"/>
    <w:tmpl w:val="501A4D20"/>
    <w:lvl w:ilvl="0" w:tplc="F83EFCAA">
      <w:start w:val="25"/>
      <w:numFmt w:val="bullet"/>
      <w:lvlText w:val="-"/>
      <w:lvlJc w:val="left"/>
      <w:pPr>
        <w:ind w:left="720" w:hanging="360"/>
      </w:pPr>
      <w:rPr>
        <w:rFonts w:ascii="Times New Roman" w:hAnsi="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0" w15:restartNumberingAfterBreak="0">
    <w:nsid w:val="397B5C2B"/>
    <w:multiLevelType w:val="hybridMultilevel"/>
    <w:tmpl w:val="06182394"/>
    <w:lvl w:ilvl="0" w:tplc="FEB400A2">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61" w15:restartNumberingAfterBreak="0">
    <w:nsid w:val="3A73040C"/>
    <w:multiLevelType w:val="hybridMultilevel"/>
    <w:tmpl w:val="F0383A8A"/>
    <w:lvl w:ilvl="0" w:tplc="A094F61E">
      <w:start w:val="1"/>
      <w:numFmt w:val="bullet"/>
      <w:lvlText w:val=""/>
      <w:lvlJc w:val="left"/>
      <w:pPr>
        <w:ind w:left="1080" w:hanging="360"/>
      </w:pPr>
      <w:rPr>
        <w:rFonts w:ascii="Symbol" w:hAnsi="Symbol" w:hint="default"/>
      </w:rPr>
    </w:lvl>
    <w:lvl w:ilvl="1" w:tplc="240A0003" w:tentative="1">
      <w:start w:val="1"/>
      <w:numFmt w:val="bullet"/>
      <w:lvlText w:val="o"/>
      <w:lvlJc w:val="left"/>
      <w:pPr>
        <w:ind w:left="1800" w:hanging="360"/>
      </w:pPr>
      <w:rPr>
        <w:rFonts w:ascii="Courier New" w:hAnsi="Courier New" w:cs="Courier New" w:hint="default"/>
      </w:rPr>
    </w:lvl>
    <w:lvl w:ilvl="2" w:tplc="240A0005" w:tentative="1">
      <w:start w:val="1"/>
      <w:numFmt w:val="bullet"/>
      <w:lvlText w:val=""/>
      <w:lvlJc w:val="left"/>
      <w:pPr>
        <w:ind w:left="2520" w:hanging="360"/>
      </w:pPr>
      <w:rPr>
        <w:rFonts w:ascii="Wingdings" w:hAnsi="Wingdings" w:hint="default"/>
      </w:rPr>
    </w:lvl>
    <w:lvl w:ilvl="3" w:tplc="240A0001" w:tentative="1">
      <w:start w:val="1"/>
      <w:numFmt w:val="bullet"/>
      <w:lvlText w:val=""/>
      <w:lvlJc w:val="left"/>
      <w:pPr>
        <w:ind w:left="3240" w:hanging="360"/>
      </w:pPr>
      <w:rPr>
        <w:rFonts w:ascii="Symbol" w:hAnsi="Symbol" w:hint="default"/>
      </w:rPr>
    </w:lvl>
    <w:lvl w:ilvl="4" w:tplc="240A0003" w:tentative="1">
      <w:start w:val="1"/>
      <w:numFmt w:val="bullet"/>
      <w:lvlText w:val="o"/>
      <w:lvlJc w:val="left"/>
      <w:pPr>
        <w:ind w:left="3960" w:hanging="360"/>
      </w:pPr>
      <w:rPr>
        <w:rFonts w:ascii="Courier New" w:hAnsi="Courier New" w:cs="Courier New" w:hint="default"/>
      </w:rPr>
    </w:lvl>
    <w:lvl w:ilvl="5" w:tplc="240A0005" w:tentative="1">
      <w:start w:val="1"/>
      <w:numFmt w:val="bullet"/>
      <w:lvlText w:val=""/>
      <w:lvlJc w:val="left"/>
      <w:pPr>
        <w:ind w:left="4680" w:hanging="360"/>
      </w:pPr>
      <w:rPr>
        <w:rFonts w:ascii="Wingdings" w:hAnsi="Wingdings" w:hint="default"/>
      </w:rPr>
    </w:lvl>
    <w:lvl w:ilvl="6" w:tplc="240A0001" w:tentative="1">
      <w:start w:val="1"/>
      <w:numFmt w:val="bullet"/>
      <w:lvlText w:val=""/>
      <w:lvlJc w:val="left"/>
      <w:pPr>
        <w:ind w:left="5400" w:hanging="360"/>
      </w:pPr>
      <w:rPr>
        <w:rFonts w:ascii="Symbol" w:hAnsi="Symbol" w:hint="default"/>
      </w:rPr>
    </w:lvl>
    <w:lvl w:ilvl="7" w:tplc="240A0003" w:tentative="1">
      <w:start w:val="1"/>
      <w:numFmt w:val="bullet"/>
      <w:lvlText w:val="o"/>
      <w:lvlJc w:val="left"/>
      <w:pPr>
        <w:ind w:left="6120" w:hanging="360"/>
      </w:pPr>
      <w:rPr>
        <w:rFonts w:ascii="Courier New" w:hAnsi="Courier New" w:cs="Courier New" w:hint="default"/>
      </w:rPr>
    </w:lvl>
    <w:lvl w:ilvl="8" w:tplc="240A0005" w:tentative="1">
      <w:start w:val="1"/>
      <w:numFmt w:val="bullet"/>
      <w:lvlText w:val=""/>
      <w:lvlJc w:val="left"/>
      <w:pPr>
        <w:ind w:left="6840" w:hanging="360"/>
      </w:pPr>
      <w:rPr>
        <w:rFonts w:ascii="Wingdings" w:hAnsi="Wingdings" w:hint="default"/>
      </w:rPr>
    </w:lvl>
  </w:abstractNum>
  <w:abstractNum w:abstractNumId="62" w15:restartNumberingAfterBreak="0">
    <w:nsid w:val="3BE50841"/>
    <w:multiLevelType w:val="hybridMultilevel"/>
    <w:tmpl w:val="D14E49F0"/>
    <w:lvl w:ilvl="0" w:tplc="A094F61E">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63" w15:restartNumberingAfterBreak="0">
    <w:nsid w:val="3C542120"/>
    <w:multiLevelType w:val="hybridMultilevel"/>
    <w:tmpl w:val="9C38A334"/>
    <w:lvl w:ilvl="0" w:tplc="06AE890E">
      <w:numFmt w:val="bullet"/>
      <w:lvlText w:val="-"/>
      <w:lvlJc w:val="left"/>
      <w:pPr>
        <w:ind w:left="360" w:hanging="360"/>
      </w:pPr>
      <w:rPr>
        <w:rFonts w:ascii="Times New Roman" w:hAnsi="Times New Roman" w:hint="default"/>
      </w:rPr>
    </w:lvl>
    <w:lvl w:ilvl="1" w:tplc="46049DF2" w:tentative="1">
      <w:start w:val="1"/>
      <w:numFmt w:val="bullet"/>
      <w:lvlText w:val="o"/>
      <w:lvlJc w:val="left"/>
      <w:pPr>
        <w:ind w:left="1080" w:hanging="360"/>
      </w:pPr>
      <w:rPr>
        <w:rFonts w:ascii="Courier New" w:hAnsi="Courier New" w:hint="default"/>
      </w:rPr>
    </w:lvl>
    <w:lvl w:ilvl="2" w:tplc="DCDEDAB0" w:tentative="1">
      <w:start w:val="1"/>
      <w:numFmt w:val="bullet"/>
      <w:lvlText w:val=""/>
      <w:lvlJc w:val="left"/>
      <w:pPr>
        <w:ind w:left="1800" w:hanging="360"/>
      </w:pPr>
      <w:rPr>
        <w:rFonts w:ascii="Wingdings" w:hAnsi="Wingdings" w:hint="default"/>
      </w:rPr>
    </w:lvl>
    <w:lvl w:ilvl="3" w:tplc="24AE9782" w:tentative="1">
      <w:start w:val="1"/>
      <w:numFmt w:val="bullet"/>
      <w:lvlText w:val=""/>
      <w:lvlJc w:val="left"/>
      <w:pPr>
        <w:ind w:left="2520" w:hanging="360"/>
      </w:pPr>
      <w:rPr>
        <w:rFonts w:ascii="Symbol" w:hAnsi="Symbol" w:hint="default"/>
      </w:rPr>
    </w:lvl>
    <w:lvl w:ilvl="4" w:tplc="D552300A" w:tentative="1">
      <w:start w:val="1"/>
      <w:numFmt w:val="bullet"/>
      <w:lvlText w:val="o"/>
      <w:lvlJc w:val="left"/>
      <w:pPr>
        <w:ind w:left="3240" w:hanging="360"/>
      </w:pPr>
      <w:rPr>
        <w:rFonts w:ascii="Courier New" w:hAnsi="Courier New" w:hint="default"/>
      </w:rPr>
    </w:lvl>
    <w:lvl w:ilvl="5" w:tplc="4ACCCE4E" w:tentative="1">
      <w:start w:val="1"/>
      <w:numFmt w:val="bullet"/>
      <w:lvlText w:val=""/>
      <w:lvlJc w:val="left"/>
      <w:pPr>
        <w:ind w:left="3960" w:hanging="360"/>
      </w:pPr>
      <w:rPr>
        <w:rFonts w:ascii="Wingdings" w:hAnsi="Wingdings" w:hint="default"/>
      </w:rPr>
    </w:lvl>
    <w:lvl w:ilvl="6" w:tplc="0D4EAE6A" w:tentative="1">
      <w:start w:val="1"/>
      <w:numFmt w:val="bullet"/>
      <w:lvlText w:val=""/>
      <w:lvlJc w:val="left"/>
      <w:pPr>
        <w:ind w:left="4680" w:hanging="360"/>
      </w:pPr>
      <w:rPr>
        <w:rFonts w:ascii="Symbol" w:hAnsi="Symbol" w:hint="default"/>
      </w:rPr>
    </w:lvl>
    <w:lvl w:ilvl="7" w:tplc="CB24C016" w:tentative="1">
      <w:start w:val="1"/>
      <w:numFmt w:val="bullet"/>
      <w:lvlText w:val="o"/>
      <w:lvlJc w:val="left"/>
      <w:pPr>
        <w:ind w:left="5400" w:hanging="360"/>
      </w:pPr>
      <w:rPr>
        <w:rFonts w:ascii="Courier New" w:hAnsi="Courier New" w:hint="default"/>
      </w:rPr>
    </w:lvl>
    <w:lvl w:ilvl="8" w:tplc="81C4D5D8" w:tentative="1">
      <w:start w:val="1"/>
      <w:numFmt w:val="bullet"/>
      <w:lvlText w:val=""/>
      <w:lvlJc w:val="left"/>
      <w:pPr>
        <w:ind w:left="6120" w:hanging="360"/>
      </w:pPr>
      <w:rPr>
        <w:rFonts w:ascii="Wingdings" w:hAnsi="Wingdings" w:hint="default"/>
      </w:rPr>
    </w:lvl>
  </w:abstractNum>
  <w:abstractNum w:abstractNumId="64" w15:restartNumberingAfterBreak="0">
    <w:nsid w:val="3D3D0A9C"/>
    <w:multiLevelType w:val="hybridMultilevel"/>
    <w:tmpl w:val="F28EE142"/>
    <w:lvl w:ilvl="0" w:tplc="240A0019">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5" w15:restartNumberingAfterBreak="0">
    <w:nsid w:val="3D8A25C2"/>
    <w:multiLevelType w:val="hybridMultilevel"/>
    <w:tmpl w:val="8A989266"/>
    <w:lvl w:ilvl="0" w:tplc="F83EFCAA">
      <w:start w:val="25"/>
      <w:numFmt w:val="bullet"/>
      <w:lvlText w:val="-"/>
      <w:lvlJc w:val="left"/>
      <w:pPr>
        <w:ind w:left="720" w:hanging="360"/>
      </w:pPr>
      <w:rPr>
        <w:rFonts w:ascii="Times New Roman" w:hAnsi="Times New Roman"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66" w15:restartNumberingAfterBreak="0">
    <w:nsid w:val="3DE94993"/>
    <w:multiLevelType w:val="multilevel"/>
    <w:tmpl w:val="928ECC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7" w15:restartNumberingAfterBreak="0">
    <w:nsid w:val="40826CF2"/>
    <w:multiLevelType w:val="multilevel"/>
    <w:tmpl w:val="79005D36"/>
    <w:lvl w:ilvl="0">
      <w:start w:val="25"/>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411E657F"/>
    <w:multiLevelType w:val="hybridMultilevel"/>
    <w:tmpl w:val="1212C144"/>
    <w:lvl w:ilvl="0" w:tplc="52EEC84E">
      <w:start w:val="1"/>
      <w:numFmt w:val="bullet"/>
      <w:lvlText w:val="-"/>
      <w:lvlJc w:val="left"/>
      <w:pPr>
        <w:ind w:left="720" w:hanging="360"/>
      </w:pPr>
      <w:rPr>
        <w:rFonts w:ascii="Arial Narrow" w:eastAsia="Times New Roman" w:hAnsi="Arial Narrow"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69" w15:restartNumberingAfterBreak="0">
    <w:nsid w:val="425E4858"/>
    <w:multiLevelType w:val="multilevel"/>
    <w:tmpl w:val="CD966A6C"/>
    <w:lvl w:ilvl="0">
      <w:start w:val="3"/>
      <w:numFmt w:val="decimal"/>
      <w:lvlText w:val="%1."/>
      <w:lvlJc w:val="left"/>
      <w:pPr>
        <w:tabs>
          <w:tab w:val="num" w:pos="720"/>
        </w:tabs>
        <w:ind w:left="720" w:hanging="360"/>
      </w:pPr>
    </w:lvl>
    <w:lvl w:ilvl="1">
      <w:start w:val="1"/>
      <w:numFmt w:val="lowerLetter"/>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0" w15:restartNumberingAfterBreak="0">
    <w:nsid w:val="43D03F9C"/>
    <w:multiLevelType w:val="hybridMultilevel"/>
    <w:tmpl w:val="585C4A90"/>
    <w:lvl w:ilvl="0" w:tplc="E23A47FC">
      <w:start w:val="1"/>
      <w:numFmt w:val="lowerLetter"/>
      <w:lvlText w:val="%1."/>
      <w:lvlJc w:val="left"/>
      <w:pPr>
        <w:ind w:left="720" w:hanging="360"/>
      </w:pPr>
      <w:rPr>
        <w:rFonts w:hint="default"/>
        <w:b/>
        <w:bCs/>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71" w15:restartNumberingAfterBreak="0">
    <w:nsid w:val="43EDDE08"/>
    <w:multiLevelType w:val="hybridMultilevel"/>
    <w:tmpl w:val="7892DDE6"/>
    <w:lvl w:ilvl="0" w:tplc="49D27934">
      <w:start w:val="1"/>
      <w:numFmt w:val="bullet"/>
      <w:lvlText w:val=""/>
      <w:lvlJc w:val="left"/>
      <w:pPr>
        <w:ind w:left="720" w:hanging="360"/>
      </w:pPr>
      <w:rPr>
        <w:rFonts w:ascii="Symbol" w:hAnsi="Symbol" w:hint="default"/>
      </w:rPr>
    </w:lvl>
    <w:lvl w:ilvl="1" w:tplc="2B7A63A8">
      <w:start w:val="1"/>
      <w:numFmt w:val="bullet"/>
      <w:lvlText w:val="o"/>
      <w:lvlJc w:val="left"/>
      <w:pPr>
        <w:ind w:left="1440" w:hanging="360"/>
      </w:pPr>
      <w:rPr>
        <w:rFonts w:ascii="Courier New" w:hAnsi="Courier New" w:hint="default"/>
      </w:rPr>
    </w:lvl>
    <w:lvl w:ilvl="2" w:tplc="8006DA9C">
      <w:start w:val="1"/>
      <w:numFmt w:val="bullet"/>
      <w:lvlText w:val=""/>
      <w:lvlJc w:val="left"/>
      <w:pPr>
        <w:ind w:left="2160" w:hanging="360"/>
      </w:pPr>
      <w:rPr>
        <w:rFonts w:ascii="Wingdings" w:hAnsi="Wingdings" w:hint="default"/>
      </w:rPr>
    </w:lvl>
    <w:lvl w:ilvl="3" w:tplc="3C7E0BB2">
      <w:start w:val="1"/>
      <w:numFmt w:val="bullet"/>
      <w:lvlText w:val=""/>
      <w:lvlJc w:val="left"/>
      <w:pPr>
        <w:ind w:left="2880" w:hanging="360"/>
      </w:pPr>
      <w:rPr>
        <w:rFonts w:ascii="Symbol" w:hAnsi="Symbol" w:hint="default"/>
      </w:rPr>
    </w:lvl>
    <w:lvl w:ilvl="4" w:tplc="0074C076">
      <w:start w:val="1"/>
      <w:numFmt w:val="bullet"/>
      <w:lvlText w:val="o"/>
      <w:lvlJc w:val="left"/>
      <w:pPr>
        <w:ind w:left="3600" w:hanging="360"/>
      </w:pPr>
      <w:rPr>
        <w:rFonts w:ascii="Courier New" w:hAnsi="Courier New" w:hint="default"/>
      </w:rPr>
    </w:lvl>
    <w:lvl w:ilvl="5" w:tplc="21840594">
      <w:start w:val="1"/>
      <w:numFmt w:val="bullet"/>
      <w:lvlText w:val=""/>
      <w:lvlJc w:val="left"/>
      <w:pPr>
        <w:ind w:left="4320" w:hanging="360"/>
      </w:pPr>
      <w:rPr>
        <w:rFonts w:ascii="Wingdings" w:hAnsi="Wingdings" w:hint="default"/>
      </w:rPr>
    </w:lvl>
    <w:lvl w:ilvl="6" w:tplc="80CE0728">
      <w:start w:val="1"/>
      <w:numFmt w:val="bullet"/>
      <w:lvlText w:val=""/>
      <w:lvlJc w:val="left"/>
      <w:pPr>
        <w:ind w:left="5040" w:hanging="360"/>
      </w:pPr>
      <w:rPr>
        <w:rFonts w:ascii="Symbol" w:hAnsi="Symbol" w:hint="default"/>
      </w:rPr>
    </w:lvl>
    <w:lvl w:ilvl="7" w:tplc="E586CC3C">
      <w:start w:val="1"/>
      <w:numFmt w:val="bullet"/>
      <w:lvlText w:val="o"/>
      <w:lvlJc w:val="left"/>
      <w:pPr>
        <w:ind w:left="5760" w:hanging="360"/>
      </w:pPr>
      <w:rPr>
        <w:rFonts w:ascii="Courier New" w:hAnsi="Courier New" w:hint="default"/>
      </w:rPr>
    </w:lvl>
    <w:lvl w:ilvl="8" w:tplc="ADECD25E">
      <w:start w:val="1"/>
      <w:numFmt w:val="bullet"/>
      <w:lvlText w:val=""/>
      <w:lvlJc w:val="left"/>
      <w:pPr>
        <w:ind w:left="6480" w:hanging="360"/>
      </w:pPr>
      <w:rPr>
        <w:rFonts w:ascii="Wingdings" w:hAnsi="Wingdings" w:hint="default"/>
      </w:rPr>
    </w:lvl>
  </w:abstractNum>
  <w:abstractNum w:abstractNumId="72" w15:restartNumberingAfterBreak="0">
    <w:nsid w:val="44FB1585"/>
    <w:multiLevelType w:val="hybridMultilevel"/>
    <w:tmpl w:val="A3A2F0D2"/>
    <w:lvl w:ilvl="0" w:tplc="F118A446">
      <w:start w:val="1"/>
      <w:numFmt w:val="bullet"/>
      <w:lvlText w:val="-"/>
      <w:lvlJc w:val="left"/>
      <w:pPr>
        <w:ind w:left="1080" w:hanging="360"/>
      </w:pPr>
      <w:rPr>
        <w:rFonts w:ascii="Symbol" w:hAnsi="Symbol" w:hint="default"/>
      </w:rPr>
    </w:lvl>
    <w:lvl w:ilvl="1" w:tplc="240A0003" w:tentative="1">
      <w:start w:val="1"/>
      <w:numFmt w:val="bullet"/>
      <w:lvlText w:val="o"/>
      <w:lvlJc w:val="left"/>
      <w:pPr>
        <w:ind w:left="1800" w:hanging="360"/>
      </w:pPr>
      <w:rPr>
        <w:rFonts w:ascii="Courier New" w:hAnsi="Courier New" w:cs="Courier New" w:hint="default"/>
      </w:rPr>
    </w:lvl>
    <w:lvl w:ilvl="2" w:tplc="240A0005" w:tentative="1">
      <w:start w:val="1"/>
      <w:numFmt w:val="bullet"/>
      <w:lvlText w:val=""/>
      <w:lvlJc w:val="left"/>
      <w:pPr>
        <w:ind w:left="2520" w:hanging="360"/>
      </w:pPr>
      <w:rPr>
        <w:rFonts w:ascii="Wingdings" w:hAnsi="Wingdings" w:hint="default"/>
      </w:rPr>
    </w:lvl>
    <w:lvl w:ilvl="3" w:tplc="240A0001" w:tentative="1">
      <w:start w:val="1"/>
      <w:numFmt w:val="bullet"/>
      <w:lvlText w:val=""/>
      <w:lvlJc w:val="left"/>
      <w:pPr>
        <w:ind w:left="3240" w:hanging="360"/>
      </w:pPr>
      <w:rPr>
        <w:rFonts w:ascii="Symbol" w:hAnsi="Symbol" w:hint="default"/>
      </w:rPr>
    </w:lvl>
    <w:lvl w:ilvl="4" w:tplc="240A0003" w:tentative="1">
      <w:start w:val="1"/>
      <w:numFmt w:val="bullet"/>
      <w:lvlText w:val="o"/>
      <w:lvlJc w:val="left"/>
      <w:pPr>
        <w:ind w:left="3960" w:hanging="360"/>
      </w:pPr>
      <w:rPr>
        <w:rFonts w:ascii="Courier New" w:hAnsi="Courier New" w:cs="Courier New" w:hint="default"/>
      </w:rPr>
    </w:lvl>
    <w:lvl w:ilvl="5" w:tplc="240A0005" w:tentative="1">
      <w:start w:val="1"/>
      <w:numFmt w:val="bullet"/>
      <w:lvlText w:val=""/>
      <w:lvlJc w:val="left"/>
      <w:pPr>
        <w:ind w:left="4680" w:hanging="360"/>
      </w:pPr>
      <w:rPr>
        <w:rFonts w:ascii="Wingdings" w:hAnsi="Wingdings" w:hint="default"/>
      </w:rPr>
    </w:lvl>
    <w:lvl w:ilvl="6" w:tplc="240A0001" w:tentative="1">
      <w:start w:val="1"/>
      <w:numFmt w:val="bullet"/>
      <w:lvlText w:val=""/>
      <w:lvlJc w:val="left"/>
      <w:pPr>
        <w:ind w:left="5400" w:hanging="360"/>
      </w:pPr>
      <w:rPr>
        <w:rFonts w:ascii="Symbol" w:hAnsi="Symbol" w:hint="default"/>
      </w:rPr>
    </w:lvl>
    <w:lvl w:ilvl="7" w:tplc="240A0003" w:tentative="1">
      <w:start w:val="1"/>
      <w:numFmt w:val="bullet"/>
      <w:lvlText w:val="o"/>
      <w:lvlJc w:val="left"/>
      <w:pPr>
        <w:ind w:left="6120" w:hanging="360"/>
      </w:pPr>
      <w:rPr>
        <w:rFonts w:ascii="Courier New" w:hAnsi="Courier New" w:cs="Courier New" w:hint="default"/>
      </w:rPr>
    </w:lvl>
    <w:lvl w:ilvl="8" w:tplc="240A0005" w:tentative="1">
      <w:start w:val="1"/>
      <w:numFmt w:val="bullet"/>
      <w:lvlText w:val=""/>
      <w:lvlJc w:val="left"/>
      <w:pPr>
        <w:ind w:left="6840" w:hanging="360"/>
      </w:pPr>
      <w:rPr>
        <w:rFonts w:ascii="Wingdings" w:hAnsi="Wingdings" w:hint="default"/>
      </w:rPr>
    </w:lvl>
  </w:abstractNum>
  <w:abstractNum w:abstractNumId="73" w15:restartNumberingAfterBreak="0">
    <w:nsid w:val="45E65154"/>
    <w:multiLevelType w:val="hybridMultilevel"/>
    <w:tmpl w:val="791A3F9E"/>
    <w:lvl w:ilvl="0" w:tplc="A094F61E">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4" w15:restartNumberingAfterBreak="0">
    <w:nsid w:val="46E9224F"/>
    <w:multiLevelType w:val="hybridMultilevel"/>
    <w:tmpl w:val="B7E42EF0"/>
    <w:lvl w:ilvl="0" w:tplc="F118A446">
      <w:start w:val="1"/>
      <w:numFmt w:val="bullet"/>
      <w:lvlText w:val="-"/>
      <w:lvlJc w:val="left"/>
      <w:pPr>
        <w:ind w:left="1080" w:hanging="360"/>
      </w:pPr>
      <w:rPr>
        <w:rFonts w:ascii="Symbol" w:hAnsi="Symbol" w:hint="default"/>
      </w:rPr>
    </w:lvl>
    <w:lvl w:ilvl="1" w:tplc="240A0003" w:tentative="1">
      <w:start w:val="1"/>
      <w:numFmt w:val="bullet"/>
      <w:lvlText w:val="o"/>
      <w:lvlJc w:val="left"/>
      <w:pPr>
        <w:ind w:left="1800" w:hanging="360"/>
      </w:pPr>
      <w:rPr>
        <w:rFonts w:ascii="Courier New" w:hAnsi="Courier New" w:cs="Courier New" w:hint="default"/>
      </w:rPr>
    </w:lvl>
    <w:lvl w:ilvl="2" w:tplc="240A0005" w:tentative="1">
      <w:start w:val="1"/>
      <w:numFmt w:val="bullet"/>
      <w:lvlText w:val=""/>
      <w:lvlJc w:val="left"/>
      <w:pPr>
        <w:ind w:left="2520" w:hanging="360"/>
      </w:pPr>
      <w:rPr>
        <w:rFonts w:ascii="Wingdings" w:hAnsi="Wingdings" w:hint="default"/>
      </w:rPr>
    </w:lvl>
    <w:lvl w:ilvl="3" w:tplc="240A0001" w:tentative="1">
      <w:start w:val="1"/>
      <w:numFmt w:val="bullet"/>
      <w:lvlText w:val=""/>
      <w:lvlJc w:val="left"/>
      <w:pPr>
        <w:ind w:left="3240" w:hanging="360"/>
      </w:pPr>
      <w:rPr>
        <w:rFonts w:ascii="Symbol" w:hAnsi="Symbol" w:hint="default"/>
      </w:rPr>
    </w:lvl>
    <w:lvl w:ilvl="4" w:tplc="240A0003" w:tentative="1">
      <w:start w:val="1"/>
      <w:numFmt w:val="bullet"/>
      <w:lvlText w:val="o"/>
      <w:lvlJc w:val="left"/>
      <w:pPr>
        <w:ind w:left="3960" w:hanging="360"/>
      </w:pPr>
      <w:rPr>
        <w:rFonts w:ascii="Courier New" w:hAnsi="Courier New" w:cs="Courier New" w:hint="default"/>
      </w:rPr>
    </w:lvl>
    <w:lvl w:ilvl="5" w:tplc="240A0005" w:tentative="1">
      <w:start w:val="1"/>
      <w:numFmt w:val="bullet"/>
      <w:lvlText w:val=""/>
      <w:lvlJc w:val="left"/>
      <w:pPr>
        <w:ind w:left="4680" w:hanging="360"/>
      </w:pPr>
      <w:rPr>
        <w:rFonts w:ascii="Wingdings" w:hAnsi="Wingdings" w:hint="default"/>
      </w:rPr>
    </w:lvl>
    <w:lvl w:ilvl="6" w:tplc="240A0001" w:tentative="1">
      <w:start w:val="1"/>
      <w:numFmt w:val="bullet"/>
      <w:lvlText w:val=""/>
      <w:lvlJc w:val="left"/>
      <w:pPr>
        <w:ind w:left="5400" w:hanging="360"/>
      </w:pPr>
      <w:rPr>
        <w:rFonts w:ascii="Symbol" w:hAnsi="Symbol" w:hint="default"/>
      </w:rPr>
    </w:lvl>
    <w:lvl w:ilvl="7" w:tplc="240A0003" w:tentative="1">
      <w:start w:val="1"/>
      <w:numFmt w:val="bullet"/>
      <w:lvlText w:val="o"/>
      <w:lvlJc w:val="left"/>
      <w:pPr>
        <w:ind w:left="6120" w:hanging="360"/>
      </w:pPr>
      <w:rPr>
        <w:rFonts w:ascii="Courier New" w:hAnsi="Courier New" w:cs="Courier New" w:hint="default"/>
      </w:rPr>
    </w:lvl>
    <w:lvl w:ilvl="8" w:tplc="240A0005" w:tentative="1">
      <w:start w:val="1"/>
      <w:numFmt w:val="bullet"/>
      <w:lvlText w:val=""/>
      <w:lvlJc w:val="left"/>
      <w:pPr>
        <w:ind w:left="6840" w:hanging="360"/>
      </w:pPr>
      <w:rPr>
        <w:rFonts w:ascii="Wingdings" w:hAnsi="Wingdings" w:hint="default"/>
      </w:rPr>
    </w:lvl>
  </w:abstractNum>
  <w:abstractNum w:abstractNumId="75" w15:restartNumberingAfterBreak="0">
    <w:nsid w:val="4981194A"/>
    <w:multiLevelType w:val="hybridMultilevel"/>
    <w:tmpl w:val="1F58DA4E"/>
    <w:lvl w:ilvl="0" w:tplc="FEB400A2">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76" w15:restartNumberingAfterBreak="0">
    <w:nsid w:val="4AAF2055"/>
    <w:multiLevelType w:val="hybridMultilevel"/>
    <w:tmpl w:val="FFFFFFFF"/>
    <w:lvl w:ilvl="0" w:tplc="BDD42354">
      <w:start w:val="1"/>
      <w:numFmt w:val="bullet"/>
      <w:lvlText w:val="-"/>
      <w:lvlJc w:val="left"/>
      <w:pPr>
        <w:ind w:left="720" w:hanging="360"/>
      </w:pPr>
      <w:rPr>
        <w:rFonts w:ascii="&quot;Times New Roman&quot;,serif" w:hAnsi="&quot;Times New Roman&quot;,serif" w:hint="default"/>
      </w:rPr>
    </w:lvl>
    <w:lvl w:ilvl="1" w:tplc="C0A64830">
      <w:start w:val="1"/>
      <w:numFmt w:val="bullet"/>
      <w:lvlText w:val="o"/>
      <w:lvlJc w:val="left"/>
      <w:pPr>
        <w:ind w:left="1440" w:hanging="360"/>
      </w:pPr>
      <w:rPr>
        <w:rFonts w:ascii="Courier New" w:hAnsi="Courier New" w:hint="default"/>
      </w:rPr>
    </w:lvl>
    <w:lvl w:ilvl="2" w:tplc="A8B0ECC4">
      <w:start w:val="1"/>
      <w:numFmt w:val="bullet"/>
      <w:lvlText w:val=""/>
      <w:lvlJc w:val="left"/>
      <w:pPr>
        <w:ind w:left="2160" w:hanging="360"/>
      </w:pPr>
      <w:rPr>
        <w:rFonts w:ascii="Wingdings" w:hAnsi="Wingdings" w:hint="default"/>
      </w:rPr>
    </w:lvl>
    <w:lvl w:ilvl="3" w:tplc="B9DA8BC2">
      <w:start w:val="1"/>
      <w:numFmt w:val="bullet"/>
      <w:lvlText w:val=""/>
      <w:lvlJc w:val="left"/>
      <w:pPr>
        <w:ind w:left="2880" w:hanging="360"/>
      </w:pPr>
      <w:rPr>
        <w:rFonts w:ascii="Symbol" w:hAnsi="Symbol" w:hint="default"/>
      </w:rPr>
    </w:lvl>
    <w:lvl w:ilvl="4" w:tplc="10920464">
      <w:start w:val="1"/>
      <w:numFmt w:val="bullet"/>
      <w:lvlText w:val="o"/>
      <w:lvlJc w:val="left"/>
      <w:pPr>
        <w:ind w:left="3600" w:hanging="360"/>
      </w:pPr>
      <w:rPr>
        <w:rFonts w:ascii="Courier New" w:hAnsi="Courier New" w:hint="default"/>
      </w:rPr>
    </w:lvl>
    <w:lvl w:ilvl="5" w:tplc="C1B4B5CE">
      <w:start w:val="1"/>
      <w:numFmt w:val="bullet"/>
      <w:lvlText w:val=""/>
      <w:lvlJc w:val="left"/>
      <w:pPr>
        <w:ind w:left="4320" w:hanging="360"/>
      </w:pPr>
      <w:rPr>
        <w:rFonts w:ascii="Wingdings" w:hAnsi="Wingdings" w:hint="default"/>
      </w:rPr>
    </w:lvl>
    <w:lvl w:ilvl="6" w:tplc="1C72C05E">
      <w:start w:val="1"/>
      <w:numFmt w:val="bullet"/>
      <w:lvlText w:val=""/>
      <w:lvlJc w:val="left"/>
      <w:pPr>
        <w:ind w:left="5040" w:hanging="360"/>
      </w:pPr>
      <w:rPr>
        <w:rFonts w:ascii="Symbol" w:hAnsi="Symbol" w:hint="default"/>
      </w:rPr>
    </w:lvl>
    <w:lvl w:ilvl="7" w:tplc="75104140">
      <w:start w:val="1"/>
      <w:numFmt w:val="bullet"/>
      <w:lvlText w:val="o"/>
      <w:lvlJc w:val="left"/>
      <w:pPr>
        <w:ind w:left="5760" w:hanging="360"/>
      </w:pPr>
      <w:rPr>
        <w:rFonts w:ascii="Courier New" w:hAnsi="Courier New" w:hint="default"/>
      </w:rPr>
    </w:lvl>
    <w:lvl w:ilvl="8" w:tplc="BE24EDCA">
      <w:start w:val="1"/>
      <w:numFmt w:val="bullet"/>
      <w:lvlText w:val=""/>
      <w:lvlJc w:val="left"/>
      <w:pPr>
        <w:ind w:left="6480" w:hanging="360"/>
      </w:pPr>
      <w:rPr>
        <w:rFonts w:ascii="Wingdings" w:hAnsi="Wingdings" w:hint="default"/>
      </w:rPr>
    </w:lvl>
  </w:abstractNum>
  <w:abstractNum w:abstractNumId="77" w15:restartNumberingAfterBreak="0">
    <w:nsid w:val="4CEB297F"/>
    <w:multiLevelType w:val="hybridMultilevel"/>
    <w:tmpl w:val="BB32EDCC"/>
    <w:lvl w:ilvl="0" w:tplc="0E30A0F6">
      <w:numFmt w:val="bullet"/>
      <w:lvlText w:val="-"/>
      <w:lvlJc w:val="left"/>
      <w:pPr>
        <w:ind w:left="360" w:hanging="360"/>
      </w:pPr>
      <w:rPr>
        <w:rFonts w:ascii="Times New Roman" w:hAnsi="Times New Roman" w:hint="default"/>
        <w:sz w:val="24"/>
      </w:rPr>
    </w:lvl>
    <w:lvl w:ilvl="1" w:tplc="7C485DBC" w:tentative="1">
      <w:start w:val="1"/>
      <w:numFmt w:val="bullet"/>
      <w:lvlText w:val="o"/>
      <w:lvlJc w:val="left"/>
      <w:pPr>
        <w:ind w:left="1080" w:hanging="360"/>
      </w:pPr>
      <w:rPr>
        <w:rFonts w:ascii="Courier New" w:hAnsi="Courier New" w:hint="default"/>
      </w:rPr>
    </w:lvl>
    <w:lvl w:ilvl="2" w:tplc="6ECC199E" w:tentative="1">
      <w:start w:val="1"/>
      <w:numFmt w:val="bullet"/>
      <w:lvlText w:val=""/>
      <w:lvlJc w:val="left"/>
      <w:pPr>
        <w:ind w:left="1800" w:hanging="360"/>
      </w:pPr>
      <w:rPr>
        <w:rFonts w:ascii="Wingdings" w:hAnsi="Wingdings" w:hint="default"/>
      </w:rPr>
    </w:lvl>
    <w:lvl w:ilvl="3" w:tplc="2064115C" w:tentative="1">
      <w:start w:val="1"/>
      <w:numFmt w:val="bullet"/>
      <w:lvlText w:val=""/>
      <w:lvlJc w:val="left"/>
      <w:pPr>
        <w:ind w:left="2520" w:hanging="360"/>
      </w:pPr>
      <w:rPr>
        <w:rFonts w:ascii="Symbol" w:hAnsi="Symbol" w:hint="default"/>
      </w:rPr>
    </w:lvl>
    <w:lvl w:ilvl="4" w:tplc="3746D340" w:tentative="1">
      <w:start w:val="1"/>
      <w:numFmt w:val="bullet"/>
      <w:lvlText w:val="o"/>
      <w:lvlJc w:val="left"/>
      <w:pPr>
        <w:ind w:left="3240" w:hanging="360"/>
      </w:pPr>
      <w:rPr>
        <w:rFonts w:ascii="Courier New" w:hAnsi="Courier New" w:hint="default"/>
      </w:rPr>
    </w:lvl>
    <w:lvl w:ilvl="5" w:tplc="E2FC95C2" w:tentative="1">
      <w:start w:val="1"/>
      <w:numFmt w:val="bullet"/>
      <w:lvlText w:val=""/>
      <w:lvlJc w:val="left"/>
      <w:pPr>
        <w:ind w:left="3960" w:hanging="360"/>
      </w:pPr>
      <w:rPr>
        <w:rFonts w:ascii="Wingdings" w:hAnsi="Wingdings" w:hint="default"/>
      </w:rPr>
    </w:lvl>
    <w:lvl w:ilvl="6" w:tplc="C8CCCFBA" w:tentative="1">
      <w:start w:val="1"/>
      <w:numFmt w:val="bullet"/>
      <w:lvlText w:val=""/>
      <w:lvlJc w:val="left"/>
      <w:pPr>
        <w:ind w:left="4680" w:hanging="360"/>
      </w:pPr>
      <w:rPr>
        <w:rFonts w:ascii="Symbol" w:hAnsi="Symbol" w:hint="default"/>
      </w:rPr>
    </w:lvl>
    <w:lvl w:ilvl="7" w:tplc="97EE29BC" w:tentative="1">
      <w:start w:val="1"/>
      <w:numFmt w:val="bullet"/>
      <w:lvlText w:val="o"/>
      <w:lvlJc w:val="left"/>
      <w:pPr>
        <w:ind w:left="5400" w:hanging="360"/>
      </w:pPr>
      <w:rPr>
        <w:rFonts w:ascii="Courier New" w:hAnsi="Courier New" w:hint="default"/>
      </w:rPr>
    </w:lvl>
    <w:lvl w:ilvl="8" w:tplc="7A2EAEBE" w:tentative="1">
      <w:start w:val="1"/>
      <w:numFmt w:val="bullet"/>
      <w:lvlText w:val=""/>
      <w:lvlJc w:val="left"/>
      <w:pPr>
        <w:ind w:left="6120" w:hanging="360"/>
      </w:pPr>
      <w:rPr>
        <w:rFonts w:ascii="Wingdings" w:hAnsi="Wingdings" w:hint="default"/>
      </w:rPr>
    </w:lvl>
  </w:abstractNum>
  <w:abstractNum w:abstractNumId="78" w15:restartNumberingAfterBreak="0">
    <w:nsid w:val="4DB37F9C"/>
    <w:multiLevelType w:val="hybridMultilevel"/>
    <w:tmpl w:val="98A68300"/>
    <w:lvl w:ilvl="0" w:tplc="A094F61E">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79" w15:restartNumberingAfterBreak="0">
    <w:nsid w:val="4E084DFA"/>
    <w:multiLevelType w:val="multilevel"/>
    <w:tmpl w:val="5AB2D09A"/>
    <w:lvl w:ilvl="0">
      <w:start w:val="33"/>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4E29349A"/>
    <w:multiLevelType w:val="hybridMultilevel"/>
    <w:tmpl w:val="DACEB3AE"/>
    <w:lvl w:ilvl="0" w:tplc="FEB400A2">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81" w15:restartNumberingAfterBreak="0">
    <w:nsid w:val="53AB0CDA"/>
    <w:multiLevelType w:val="hybridMultilevel"/>
    <w:tmpl w:val="70D88C4C"/>
    <w:lvl w:ilvl="0" w:tplc="F118A446">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2" w15:restartNumberingAfterBreak="0">
    <w:nsid w:val="54807313"/>
    <w:multiLevelType w:val="hybridMultilevel"/>
    <w:tmpl w:val="EDF2F304"/>
    <w:lvl w:ilvl="0" w:tplc="A094F61E">
      <w:start w:val="1"/>
      <w:numFmt w:val="bullet"/>
      <w:lvlText w:val=""/>
      <w:lvlJc w:val="left"/>
      <w:pPr>
        <w:ind w:left="1080" w:hanging="360"/>
      </w:pPr>
      <w:rPr>
        <w:rFonts w:ascii="Symbol" w:hAnsi="Symbol" w:hint="default"/>
      </w:rPr>
    </w:lvl>
    <w:lvl w:ilvl="1" w:tplc="240A0003" w:tentative="1">
      <w:start w:val="1"/>
      <w:numFmt w:val="bullet"/>
      <w:lvlText w:val="o"/>
      <w:lvlJc w:val="left"/>
      <w:pPr>
        <w:ind w:left="1800" w:hanging="360"/>
      </w:pPr>
      <w:rPr>
        <w:rFonts w:ascii="Courier New" w:hAnsi="Courier New" w:cs="Courier New" w:hint="default"/>
      </w:rPr>
    </w:lvl>
    <w:lvl w:ilvl="2" w:tplc="240A0005" w:tentative="1">
      <w:start w:val="1"/>
      <w:numFmt w:val="bullet"/>
      <w:lvlText w:val=""/>
      <w:lvlJc w:val="left"/>
      <w:pPr>
        <w:ind w:left="2520" w:hanging="360"/>
      </w:pPr>
      <w:rPr>
        <w:rFonts w:ascii="Wingdings" w:hAnsi="Wingdings" w:hint="default"/>
      </w:rPr>
    </w:lvl>
    <w:lvl w:ilvl="3" w:tplc="240A0001" w:tentative="1">
      <w:start w:val="1"/>
      <w:numFmt w:val="bullet"/>
      <w:lvlText w:val=""/>
      <w:lvlJc w:val="left"/>
      <w:pPr>
        <w:ind w:left="3240" w:hanging="360"/>
      </w:pPr>
      <w:rPr>
        <w:rFonts w:ascii="Symbol" w:hAnsi="Symbol" w:hint="default"/>
      </w:rPr>
    </w:lvl>
    <w:lvl w:ilvl="4" w:tplc="240A0003" w:tentative="1">
      <w:start w:val="1"/>
      <w:numFmt w:val="bullet"/>
      <w:lvlText w:val="o"/>
      <w:lvlJc w:val="left"/>
      <w:pPr>
        <w:ind w:left="3960" w:hanging="360"/>
      </w:pPr>
      <w:rPr>
        <w:rFonts w:ascii="Courier New" w:hAnsi="Courier New" w:cs="Courier New" w:hint="default"/>
      </w:rPr>
    </w:lvl>
    <w:lvl w:ilvl="5" w:tplc="240A0005" w:tentative="1">
      <w:start w:val="1"/>
      <w:numFmt w:val="bullet"/>
      <w:lvlText w:val=""/>
      <w:lvlJc w:val="left"/>
      <w:pPr>
        <w:ind w:left="4680" w:hanging="360"/>
      </w:pPr>
      <w:rPr>
        <w:rFonts w:ascii="Wingdings" w:hAnsi="Wingdings" w:hint="default"/>
      </w:rPr>
    </w:lvl>
    <w:lvl w:ilvl="6" w:tplc="240A0001" w:tentative="1">
      <w:start w:val="1"/>
      <w:numFmt w:val="bullet"/>
      <w:lvlText w:val=""/>
      <w:lvlJc w:val="left"/>
      <w:pPr>
        <w:ind w:left="5400" w:hanging="360"/>
      </w:pPr>
      <w:rPr>
        <w:rFonts w:ascii="Symbol" w:hAnsi="Symbol" w:hint="default"/>
      </w:rPr>
    </w:lvl>
    <w:lvl w:ilvl="7" w:tplc="240A0003" w:tentative="1">
      <w:start w:val="1"/>
      <w:numFmt w:val="bullet"/>
      <w:lvlText w:val="o"/>
      <w:lvlJc w:val="left"/>
      <w:pPr>
        <w:ind w:left="6120" w:hanging="360"/>
      </w:pPr>
      <w:rPr>
        <w:rFonts w:ascii="Courier New" w:hAnsi="Courier New" w:cs="Courier New" w:hint="default"/>
      </w:rPr>
    </w:lvl>
    <w:lvl w:ilvl="8" w:tplc="240A0005" w:tentative="1">
      <w:start w:val="1"/>
      <w:numFmt w:val="bullet"/>
      <w:lvlText w:val=""/>
      <w:lvlJc w:val="left"/>
      <w:pPr>
        <w:ind w:left="6840" w:hanging="360"/>
      </w:pPr>
      <w:rPr>
        <w:rFonts w:ascii="Wingdings" w:hAnsi="Wingdings" w:hint="default"/>
      </w:rPr>
    </w:lvl>
  </w:abstractNum>
  <w:abstractNum w:abstractNumId="83" w15:restartNumberingAfterBreak="0">
    <w:nsid w:val="55555FD6"/>
    <w:multiLevelType w:val="hybridMultilevel"/>
    <w:tmpl w:val="F02EC71A"/>
    <w:lvl w:ilvl="0" w:tplc="0E30A0F6">
      <w:numFmt w:val="bullet"/>
      <w:lvlText w:val="-"/>
      <w:lvlJc w:val="left"/>
      <w:pPr>
        <w:ind w:left="720" w:hanging="360"/>
      </w:pPr>
      <w:rPr>
        <w:rFonts w:ascii="Times New Roman" w:hAnsi="Times New Roman" w:hint="default"/>
        <w:sz w:val="24"/>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4" w15:restartNumberingAfterBreak="0">
    <w:nsid w:val="56110D4F"/>
    <w:multiLevelType w:val="hybridMultilevel"/>
    <w:tmpl w:val="5DE0E6BE"/>
    <w:lvl w:ilvl="0" w:tplc="0C4E61B8">
      <w:start w:val="1"/>
      <w:numFmt w:val="lowerLetter"/>
      <w:lvlText w:val="%1."/>
      <w:lvlJc w:val="left"/>
      <w:pPr>
        <w:ind w:left="720" w:hanging="360"/>
      </w:pPr>
      <w:rPr>
        <w:rFonts w:ascii="Times New Roman" w:hAnsi="Times New Roman"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85" w15:restartNumberingAfterBreak="0">
    <w:nsid w:val="57B165B7"/>
    <w:multiLevelType w:val="multilevel"/>
    <w:tmpl w:val="C986B428"/>
    <w:lvl w:ilvl="0">
      <w:start w:val="11"/>
      <w:numFmt w:val="decimal"/>
      <w:lvlText w:val="%1."/>
      <w:lvlJc w:val="left"/>
      <w:pPr>
        <w:ind w:left="480" w:hanging="480"/>
      </w:pPr>
      <w:rPr>
        <w:rFonts w:hint="default"/>
      </w:rPr>
    </w:lvl>
    <w:lvl w:ilvl="1">
      <w:start w:val="1"/>
      <w:numFmt w:val="decimal"/>
      <w:lvlText w:val="%1.%2."/>
      <w:lvlJc w:val="left"/>
      <w:pPr>
        <w:ind w:left="1047"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86" w15:restartNumberingAfterBreak="0">
    <w:nsid w:val="595E2F10"/>
    <w:multiLevelType w:val="hybridMultilevel"/>
    <w:tmpl w:val="9FBC72B6"/>
    <w:lvl w:ilvl="0" w:tplc="FEB400A2">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7" w15:restartNumberingAfterBreak="0">
    <w:nsid w:val="59CD4C36"/>
    <w:multiLevelType w:val="hybridMultilevel"/>
    <w:tmpl w:val="0AEC4694"/>
    <w:lvl w:ilvl="0" w:tplc="240A0019">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88" w15:restartNumberingAfterBreak="0">
    <w:nsid w:val="5A6A62F0"/>
    <w:multiLevelType w:val="hybridMultilevel"/>
    <w:tmpl w:val="DAA8F850"/>
    <w:lvl w:ilvl="0" w:tplc="580A000F">
      <w:start w:val="1"/>
      <w:numFmt w:val="decimal"/>
      <w:lvlText w:val="%1."/>
      <w:lvlJc w:val="left"/>
      <w:pPr>
        <w:ind w:left="720" w:hanging="360"/>
      </w:pPr>
    </w:lvl>
    <w:lvl w:ilvl="1" w:tplc="580A0019">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89" w15:restartNumberingAfterBreak="0">
    <w:nsid w:val="5B7738DC"/>
    <w:multiLevelType w:val="hybridMultilevel"/>
    <w:tmpl w:val="2CBA40D4"/>
    <w:lvl w:ilvl="0" w:tplc="F83EFCAA">
      <w:start w:val="25"/>
      <w:numFmt w:val="bullet"/>
      <w:lvlText w:val="-"/>
      <w:lvlJc w:val="left"/>
      <w:pPr>
        <w:ind w:left="720" w:hanging="360"/>
      </w:pPr>
      <w:rPr>
        <w:rFonts w:ascii="Times New Roman" w:hAnsi="Times New Roman" w:hint="default"/>
      </w:rPr>
    </w:lvl>
    <w:lvl w:ilvl="1" w:tplc="240A0003">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0" w15:restartNumberingAfterBreak="0">
    <w:nsid w:val="5BE9325A"/>
    <w:multiLevelType w:val="multilevel"/>
    <w:tmpl w:val="E4ECAE00"/>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1" w15:restartNumberingAfterBreak="0">
    <w:nsid w:val="5EA3670E"/>
    <w:multiLevelType w:val="hybridMultilevel"/>
    <w:tmpl w:val="C65409D0"/>
    <w:lvl w:ilvl="0" w:tplc="A094F61E">
      <w:start w:val="1"/>
      <w:numFmt w:val="bullet"/>
      <w:lvlText w:val=""/>
      <w:lvlJc w:val="left"/>
      <w:pPr>
        <w:ind w:left="1068" w:hanging="360"/>
      </w:pPr>
      <w:rPr>
        <w:rFonts w:ascii="Symbol" w:hAnsi="Symbol" w:hint="default"/>
      </w:rPr>
    </w:lvl>
    <w:lvl w:ilvl="1" w:tplc="240A0003" w:tentative="1">
      <w:start w:val="1"/>
      <w:numFmt w:val="bullet"/>
      <w:lvlText w:val="o"/>
      <w:lvlJc w:val="left"/>
      <w:pPr>
        <w:ind w:left="1788" w:hanging="360"/>
      </w:pPr>
      <w:rPr>
        <w:rFonts w:ascii="Courier New" w:hAnsi="Courier New" w:cs="Courier New" w:hint="default"/>
      </w:rPr>
    </w:lvl>
    <w:lvl w:ilvl="2" w:tplc="240A0005" w:tentative="1">
      <w:start w:val="1"/>
      <w:numFmt w:val="bullet"/>
      <w:lvlText w:val=""/>
      <w:lvlJc w:val="left"/>
      <w:pPr>
        <w:ind w:left="2508" w:hanging="360"/>
      </w:pPr>
      <w:rPr>
        <w:rFonts w:ascii="Wingdings" w:hAnsi="Wingdings" w:hint="default"/>
      </w:rPr>
    </w:lvl>
    <w:lvl w:ilvl="3" w:tplc="240A0001" w:tentative="1">
      <w:start w:val="1"/>
      <w:numFmt w:val="bullet"/>
      <w:lvlText w:val=""/>
      <w:lvlJc w:val="left"/>
      <w:pPr>
        <w:ind w:left="3228" w:hanging="360"/>
      </w:pPr>
      <w:rPr>
        <w:rFonts w:ascii="Symbol" w:hAnsi="Symbol" w:hint="default"/>
      </w:rPr>
    </w:lvl>
    <w:lvl w:ilvl="4" w:tplc="240A0003" w:tentative="1">
      <w:start w:val="1"/>
      <w:numFmt w:val="bullet"/>
      <w:lvlText w:val="o"/>
      <w:lvlJc w:val="left"/>
      <w:pPr>
        <w:ind w:left="3948" w:hanging="360"/>
      </w:pPr>
      <w:rPr>
        <w:rFonts w:ascii="Courier New" w:hAnsi="Courier New" w:cs="Courier New" w:hint="default"/>
      </w:rPr>
    </w:lvl>
    <w:lvl w:ilvl="5" w:tplc="240A0005" w:tentative="1">
      <w:start w:val="1"/>
      <w:numFmt w:val="bullet"/>
      <w:lvlText w:val=""/>
      <w:lvlJc w:val="left"/>
      <w:pPr>
        <w:ind w:left="4668" w:hanging="360"/>
      </w:pPr>
      <w:rPr>
        <w:rFonts w:ascii="Wingdings" w:hAnsi="Wingdings" w:hint="default"/>
      </w:rPr>
    </w:lvl>
    <w:lvl w:ilvl="6" w:tplc="240A0001" w:tentative="1">
      <w:start w:val="1"/>
      <w:numFmt w:val="bullet"/>
      <w:lvlText w:val=""/>
      <w:lvlJc w:val="left"/>
      <w:pPr>
        <w:ind w:left="5388" w:hanging="360"/>
      </w:pPr>
      <w:rPr>
        <w:rFonts w:ascii="Symbol" w:hAnsi="Symbol" w:hint="default"/>
      </w:rPr>
    </w:lvl>
    <w:lvl w:ilvl="7" w:tplc="240A0003" w:tentative="1">
      <w:start w:val="1"/>
      <w:numFmt w:val="bullet"/>
      <w:lvlText w:val="o"/>
      <w:lvlJc w:val="left"/>
      <w:pPr>
        <w:ind w:left="6108" w:hanging="360"/>
      </w:pPr>
      <w:rPr>
        <w:rFonts w:ascii="Courier New" w:hAnsi="Courier New" w:cs="Courier New" w:hint="default"/>
      </w:rPr>
    </w:lvl>
    <w:lvl w:ilvl="8" w:tplc="240A0005" w:tentative="1">
      <w:start w:val="1"/>
      <w:numFmt w:val="bullet"/>
      <w:lvlText w:val=""/>
      <w:lvlJc w:val="left"/>
      <w:pPr>
        <w:ind w:left="6828" w:hanging="360"/>
      </w:pPr>
      <w:rPr>
        <w:rFonts w:ascii="Wingdings" w:hAnsi="Wingdings" w:hint="default"/>
      </w:rPr>
    </w:lvl>
  </w:abstractNum>
  <w:abstractNum w:abstractNumId="92" w15:restartNumberingAfterBreak="0">
    <w:nsid w:val="600742EA"/>
    <w:multiLevelType w:val="hybridMultilevel"/>
    <w:tmpl w:val="468E4240"/>
    <w:lvl w:ilvl="0" w:tplc="F118A446">
      <w:start w:val="1"/>
      <w:numFmt w:val="bullet"/>
      <w:lvlText w:val="-"/>
      <w:lvlJc w:val="left"/>
      <w:pPr>
        <w:ind w:left="1068" w:hanging="360"/>
      </w:pPr>
      <w:rPr>
        <w:rFonts w:ascii="Symbol" w:hAnsi="Symbol" w:hint="default"/>
      </w:rPr>
    </w:lvl>
    <w:lvl w:ilvl="1" w:tplc="FFFFFFFF" w:tentative="1">
      <w:start w:val="1"/>
      <w:numFmt w:val="bullet"/>
      <w:lvlText w:val="o"/>
      <w:lvlJc w:val="left"/>
      <w:pPr>
        <w:ind w:left="1788" w:hanging="360"/>
      </w:pPr>
      <w:rPr>
        <w:rFonts w:ascii="Courier New" w:hAnsi="Courier New" w:cs="Courier New" w:hint="default"/>
      </w:rPr>
    </w:lvl>
    <w:lvl w:ilvl="2" w:tplc="FFFFFFFF" w:tentative="1">
      <w:start w:val="1"/>
      <w:numFmt w:val="bullet"/>
      <w:lvlText w:val=""/>
      <w:lvlJc w:val="left"/>
      <w:pPr>
        <w:ind w:left="2508" w:hanging="360"/>
      </w:pPr>
      <w:rPr>
        <w:rFonts w:ascii="Wingdings" w:hAnsi="Wingdings"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cs="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cs="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93" w15:restartNumberingAfterBreak="0">
    <w:nsid w:val="61E267C3"/>
    <w:multiLevelType w:val="hybridMultilevel"/>
    <w:tmpl w:val="58006E26"/>
    <w:lvl w:ilvl="0" w:tplc="FEB400A2">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94" w15:restartNumberingAfterBreak="0">
    <w:nsid w:val="63E75F64"/>
    <w:multiLevelType w:val="hybridMultilevel"/>
    <w:tmpl w:val="BCC0C9C2"/>
    <w:lvl w:ilvl="0" w:tplc="580A0001">
      <w:start w:val="1"/>
      <w:numFmt w:val="bullet"/>
      <w:lvlText w:val=""/>
      <w:lvlJc w:val="left"/>
      <w:pPr>
        <w:ind w:left="720" w:hanging="360"/>
      </w:pPr>
      <w:rPr>
        <w:rFonts w:ascii="Symbol" w:hAnsi="Symbol" w:hint="default"/>
      </w:rPr>
    </w:lvl>
    <w:lvl w:ilvl="1" w:tplc="580A0003">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95" w15:restartNumberingAfterBreak="0">
    <w:nsid w:val="64F00B77"/>
    <w:multiLevelType w:val="hybridMultilevel"/>
    <w:tmpl w:val="F2449BEE"/>
    <w:lvl w:ilvl="0" w:tplc="F118A446">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6" w15:restartNumberingAfterBreak="0">
    <w:nsid w:val="65F40D07"/>
    <w:multiLevelType w:val="multilevel"/>
    <w:tmpl w:val="D2C8EBE6"/>
    <w:lvl w:ilvl="0">
      <w:start w:val="14"/>
      <w:numFmt w:val="decimal"/>
      <w:lvlText w:val="%1."/>
      <w:lvlJc w:val="left"/>
      <w:pPr>
        <w:ind w:left="480" w:hanging="480"/>
      </w:pPr>
      <w:rPr>
        <w:rFonts w:hint="default"/>
      </w:rPr>
    </w:lvl>
    <w:lvl w:ilvl="1">
      <w:start w:val="1"/>
      <w:numFmt w:val="decimal"/>
      <w:lvlText w:val="%1.%2."/>
      <w:lvlJc w:val="left"/>
      <w:pPr>
        <w:ind w:left="1047" w:hanging="4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97" w15:restartNumberingAfterBreak="0">
    <w:nsid w:val="68165544"/>
    <w:multiLevelType w:val="hybridMultilevel"/>
    <w:tmpl w:val="994ED69C"/>
    <w:lvl w:ilvl="0" w:tplc="A094F61E">
      <w:start w:val="1"/>
      <w:numFmt w:val="bullet"/>
      <w:lvlText w:val=""/>
      <w:lvlJc w:val="left"/>
      <w:pPr>
        <w:ind w:left="1080" w:hanging="360"/>
      </w:pPr>
      <w:rPr>
        <w:rFonts w:ascii="Symbol" w:hAnsi="Symbol" w:hint="default"/>
      </w:rPr>
    </w:lvl>
    <w:lvl w:ilvl="1" w:tplc="240A0003" w:tentative="1">
      <w:start w:val="1"/>
      <w:numFmt w:val="bullet"/>
      <w:lvlText w:val="o"/>
      <w:lvlJc w:val="left"/>
      <w:pPr>
        <w:ind w:left="1800" w:hanging="360"/>
      </w:pPr>
      <w:rPr>
        <w:rFonts w:ascii="Courier New" w:hAnsi="Courier New" w:cs="Courier New" w:hint="default"/>
      </w:rPr>
    </w:lvl>
    <w:lvl w:ilvl="2" w:tplc="240A0005" w:tentative="1">
      <w:start w:val="1"/>
      <w:numFmt w:val="bullet"/>
      <w:lvlText w:val=""/>
      <w:lvlJc w:val="left"/>
      <w:pPr>
        <w:ind w:left="2520" w:hanging="360"/>
      </w:pPr>
      <w:rPr>
        <w:rFonts w:ascii="Wingdings" w:hAnsi="Wingdings" w:hint="default"/>
      </w:rPr>
    </w:lvl>
    <w:lvl w:ilvl="3" w:tplc="240A0001" w:tentative="1">
      <w:start w:val="1"/>
      <w:numFmt w:val="bullet"/>
      <w:lvlText w:val=""/>
      <w:lvlJc w:val="left"/>
      <w:pPr>
        <w:ind w:left="3240" w:hanging="360"/>
      </w:pPr>
      <w:rPr>
        <w:rFonts w:ascii="Symbol" w:hAnsi="Symbol" w:hint="default"/>
      </w:rPr>
    </w:lvl>
    <w:lvl w:ilvl="4" w:tplc="240A0003" w:tentative="1">
      <w:start w:val="1"/>
      <w:numFmt w:val="bullet"/>
      <w:lvlText w:val="o"/>
      <w:lvlJc w:val="left"/>
      <w:pPr>
        <w:ind w:left="3960" w:hanging="360"/>
      </w:pPr>
      <w:rPr>
        <w:rFonts w:ascii="Courier New" w:hAnsi="Courier New" w:cs="Courier New" w:hint="default"/>
      </w:rPr>
    </w:lvl>
    <w:lvl w:ilvl="5" w:tplc="240A0005" w:tentative="1">
      <w:start w:val="1"/>
      <w:numFmt w:val="bullet"/>
      <w:lvlText w:val=""/>
      <w:lvlJc w:val="left"/>
      <w:pPr>
        <w:ind w:left="4680" w:hanging="360"/>
      </w:pPr>
      <w:rPr>
        <w:rFonts w:ascii="Wingdings" w:hAnsi="Wingdings" w:hint="default"/>
      </w:rPr>
    </w:lvl>
    <w:lvl w:ilvl="6" w:tplc="240A0001" w:tentative="1">
      <w:start w:val="1"/>
      <w:numFmt w:val="bullet"/>
      <w:lvlText w:val=""/>
      <w:lvlJc w:val="left"/>
      <w:pPr>
        <w:ind w:left="5400" w:hanging="360"/>
      </w:pPr>
      <w:rPr>
        <w:rFonts w:ascii="Symbol" w:hAnsi="Symbol" w:hint="default"/>
      </w:rPr>
    </w:lvl>
    <w:lvl w:ilvl="7" w:tplc="240A0003" w:tentative="1">
      <w:start w:val="1"/>
      <w:numFmt w:val="bullet"/>
      <w:lvlText w:val="o"/>
      <w:lvlJc w:val="left"/>
      <w:pPr>
        <w:ind w:left="6120" w:hanging="360"/>
      </w:pPr>
      <w:rPr>
        <w:rFonts w:ascii="Courier New" w:hAnsi="Courier New" w:cs="Courier New" w:hint="default"/>
      </w:rPr>
    </w:lvl>
    <w:lvl w:ilvl="8" w:tplc="240A0005" w:tentative="1">
      <w:start w:val="1"/>
      <w:numFmt w:val="bullet"/>
      <w:lvlText w:val=""/>
      <w:lvlJc w:val="left"/>
      <w:pPr>
        <w:ind w:left="6840" w:hanging="360"/>
      </w:pPr>
      <w:rPr>
        <w:rFonts w:ascii="Wingdings" w:hAnsi="Wingdings" w:hint="default"/>
      </w:rPr>
    </w:lvl>
  </w:abstractNum>
  <w:abstractNum w:abstractNumId="98" w15:restartNumberingAfterBreak="0">
    <w:nsid w:val="68543EBC"/>
    <w:multiLevelType w:val="hybridMultilevel"/>
    <w:tmpl w:val="FD7039AE"/>
    <w:lvl w:ilvl="0" w:tplc="A094F61E">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99" w15:restartNumberingAfterBreak="0">
    <w:nsid w:val="689A0B0A"/>
    <w:multiLevelType w:val="hybridMultilevel"/>
    <w:tmpl w:val="79C877CA"/>
    <w:lvl w:ilvl="0" w:tplc="0B168CE8">
      <w:start w:val="1"/>
      <w:numFmt w:val="bullet"/>
      <w:lvlText w:val=""/>
      <w:lvlJc w:val="left"/>
      <w:pPr>
        <w:ind w:left="720" w:hanging="360"/>
      </w:pPr>
      <w:rPr>
        <w:rFonts w:ascii="Symbol" w:hAnsi="Symbol" w:hint="default"/>
      </w:rPr>
    </w:lvl>
    <w:lvl w:ilvl="1" w:tplc="433A616A">
      <w:start w:val="1"/>
      <w:numFmt w:val="bullet"/>
      <w:lvlText w:val="o"/>
      <w:lvlJc w:val="left"/>
      <w:pPr>
        <w:ind w:left="1440" w:hanging="360"/>
      </w:pPr>
      <w:rPr>
        <w:rFonts w:ascii="Courier New" w:hAnsi="Courier New" w:hint="default"/>
      </w:rPr>
    </w:lvl>
    <w:lvl w:ilvl="2" w:tplc="98FC7556">
      <w:start w:val="1"/>
      <w:numFmt w:val="bullet"/>
      <w:lvlText w:val=""/>
      <w:lvlJc w:val="left"/>
      <w:pPr>
        <w:ind w:left="2160" w:hanging="360"/>
      </w:pPr>
      <w:rPr>
        <w:rFonts w:ascii="Wingdings" w:hAnsi="Wingdings" w:hint="default"/>
      </w:rPr>
    </w:lvl>
    <w:lvl w:ilvl="3" w:tplc="BF48C3CC">
      <w:start w:val="1"/>
      <w:numFmt w:val="bullet"/>
      <w:lvlText w:val=""/>
      <w:lvlJc w:val="left"/>
      <w:pPr>
        <w:ind w:left="2880" w:hanging="360"/>
      </w:pPr>
      <w:rPr>
        <w:rFonts w:ascii="Symbol" w:hAnsi="Symbol" w:hint="default"/>
      </w:rPr>
    </w:lvl>
    <w:lvl w:ilvl="4" w:tplc="F08AA6B0">
      <w:start w:val="1"/>
      <w:numFmt w:val="bullet"/>
      <w:lvlText w:val="o"/>
      <w:lvlJc w:val="left"/>
      <w:pPr>
        <w:ind w:left="3600" w:hanging="360"/>
      </w:pPr>
      <w:rPr>
        <w:rFonts w:ascii="Courier New" w:hAnsi="Courier New" w:hint="default"/>
      </w:rPr>
    </w:lvl>
    <w:lvl w:ilvl="5" w:tplc="5D68B1A0">
      <w:start w:val="1"/>
      <w:numFmt w:val="bullet"/>
      <w:lvlText w:val=""/>
      <w:lvlJc w:val="left"/>
      <w:pPr>
        <w:ind w:left="4320" w:hanging="360"/>
      </w:pPr>
      <w:rPr>
        <w:rFonts w:ascii="Wingdings" w:hAnsi="Wingdings" w:hint="default"/>
      </w:rPr>
    </w:lvl>
    <w:lvl w:ilvl="6" w:tplc="D3D63042">
      <w:start w:val="1"/>
      <w:numFmt w:val="bullet"/>
      <w:lvlText w:val=""/>
      <w:lvlJc w:val="left"/>
      <w:pPr>
        <w:ind w:left="5040" w:hanging="360"/>
      </w:pPr>
      <w:rPr>
        <w:rFonts w:ascii="Symbol" w:hAnsi="Symbol" w:hint="default"/>
      </w:rPr>
    </w:lvl>
    <w:lvl w:ilvl="7" w:tplc="D758CD16">
      <w:start w:val="1"/>
      <w:numFmt w:val="bullet"/>
      <w:lvlText w:val="o"/>
      <w:lvlJc w:val="left"/>
      <w:pPr>
        <w:ind w:left="5760" w:hanging="360"/>
      </w:pPr>
      <w:rPr>
        <w:rFonts w:ascii="Courier New" w:hAnsi="Courier New" w:hint="default"/>
      </w:rPr>
    </w:lvl>
    <w:lvl w:ilvl="8" w:tplc="392A7BFE">
      <w:start w:val="1"/>
      <w:numFmt w:val="bullet"/>
      <w:lvlText w:val=""/>
      <w:lvlJc w:val="left"/>
      <w:pPr>
        <w:ind w:left="6480" w:hanging="360"/>
      </w:pPr>
      <w:rPr>
        <w:rFonts w:ascii="Wingdings" w:hAnsi="Wingdings" w:hint="default"/>
      </w:rPr>
    </w:lvl>
  </w:abstractNum>
  <w:abstractNum w:abstractNumId="100" w15:restartNumberingAfterBreak="0">
    <w:nsid w:val="68F84AA6"/>
    <w:multiLevelType w:val="hybridMultilevel"/>
    <w:tmpl w:val="2EE2E360"/>
    <w:lvl w:ilvl="0" w:tplc="A094F61E">
      <w:start w:val="1"/>
      <w:numFmt w:val="bullet"/>
      <w:lvlText w:val=""/>
      <w:lvlJc w:val="left"/>
      <w:pPr>
        <w:ind w:left="1080" w:hanging="360"/>
      </w:pPr>
      <w:rPr>
        <w:rFonts w:ascii="Symbol" w:hAnsi="Symbol" w:hint="default"/>
      </w:rPr>
    </w:lvl>
    <w:lvl w:ilvl="1" w:tplc="240A0003" w:tentative="1">
      <w:start w:val="1"/>
      <w:numFmt w:val="bullet"/>
      <w:lvlText w:val="o"/>
      <w:lvlJc w:val="left"/>
      <w:pPr>
        <w:ind w:left="1800" w:hanging="360"/>
      </w:pPr>
      <w:rPr>
        <w:rFonts w:ascii="Courier New" w:hAnsi="Courier New" w:cs="Courier New" w:hint="default"/>
      </w:rPr>
    </w:lvl>
    <w:lvl w:ilvl="2" w:tplc="240A0005" w:tentative="1">
      <w:start w:val="1"/>
      <w:numFmt w:val="bullet"/>
      <w:lvlText w:val=""/>
      <w:lvlJc w:val="left"/>
      <w:pPr>
        <w:ind w:left="2520" w:hanging="360"/>
      </w:pPr>
      <w:rPr>
        <w:rFonts w:ascii="Wingdings" w:hAnsi="Wingdings" w:hint="default"/>
      </w:rPr>
    </w:lvl>
    <w:lvl w:ilvl="3" w:tplc="240A0001" w:tentative="1">
      <w:start w:val="1"/>
      <w:numFmt w:val="bullet"/>
      <w:lvlText w:val=""/>
      <w:lvlJc w:val="left"/>
      <w:pPr>
        <w:ind w:left="3240" w:hanging="360"/>
      </w:pPr>
      <w:rPr>
        <w:rFonts w:ascii="Symbol" w:hAnsi="Symbol" w:hint="default"/>
      </w:rPr>
    </w:lvl>
    <w:lvl w:ilvl="4" w:tplc="240A0003" w:tentative="1">
      <w:start w:val="1"/>
      <w:numFmt w:val="bullet"/>
      <w:lvlText w:val="o"/>
      <w:lvlJc w:val="left"/>
      <w:pPr>
        <w:ind w:left="3960" w:hanging="360"/>
      </w:pPr>
      <w:rPr>
        <w:rFonts w:ascii="Courier New" w:hAnsi="Courier New" w:cs="Courier New" w:hint="default"/>
      </w:rPr>
    </w:lvl>
    <w:lvl w:ilvl="5" w:tplc="240A0005" w:tentative="1">
      <w:start w:val="1"/>
      <w:numFmt w:val="bullet"/>
      <w:lvlText w:val=""/>
      <w:lvlJc w:val="left"/>
      <w:pPr>
        <w:ind w:left="4680" w:hanging="360"/>
      </w:pPr>
      <w:rPr>
        <w:rFonts w:ascii="Wingdings" w:hAnsi="Wingdings" w:hint="default"/>
      </w:rPr>
    </w:lvl>
    <w:lvl w:ilvl="6" w:tplc="240A0001" w:tentative="1">
      <w:start w:val="1"/>
      <w:numFmt w:val="bullet"/>
      <w:lvlText w:val=""/>
      <w:lvlJc w:val="left"/>
      <w:pPr>
        <w:ind w:left="5400" w:hanging="360"/>
      </w:pPr>
      <w:rPr>
        <w:rFonts w:ascii="Symbol" w:hAnsi="Symbol" w:hint="default"/>
      </w:rPr>
    </w:lvl>
    <w:lvl w:ilvl="7" w:tplc="240A0003" w:tentative="1">
      <w:start w:val="1"/>
      <w:numFmt w:val="bullet"/>
      <w:lvlText w:val="o"/>
      <w:lvlJc w:val="left"/>
      <w:pPr>
        <w:ind w:left="6120" w:hanging="360"/>
      </w:pPr>
      <w:rPr>
        <w:rFonts w:ascii="Courier New" w:hAnsi="Courier New" w:cs="Courier New" w:hint="default"/>
      </w:rPr>
    </w:lvl>
    <w:lvl w:ilvl="8" w:tplc="240A0005" w:tentative="1">
      <w:start w:val="1"/>
      <w:numFmt w:val="bullet"/>
      <w:lvlText w:val=""/>
      <w:lvlJc w:val="left"/>
      <w:pPr>
        <w:ind w:left="6840" w:hanging="360"/>
      </w:pPr>
      <w:rPr>
        <w:rFonts w:ascii="Wingdings" w:hAnsi="Wingdings" w:hint="default"/>
      </w:rPr>
    </w:lvl>
  </w:abstractNum>
  <w:abstractNum w:abstractNumId="101" w15:restartNumberingAfterBreak="0">
    <w:nsid w:val="6A797E21"/>
    <w:multiLevelType w:val="multilevel"/>
    <w:tmpl w:val="12C8DA10"/>
    <w:lvl w:ilvl="0">
      <w:start w:val="28"/>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2" w15:restartNumberingAfterBreak="0">
    <w:nsid w:val="6A982898"/>
    <w:multiLevelType w:val="hybridMultilevel"/>
    <w:tmpl w:val="0B5AD20A"/>
    <w:lvl w:ilvl="0" w:tplc="A094F61E">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3" w15:restartNumberingAfterBreak="0">
    <w:nsid w:val="6B4C2817"/>
    <w:multiLevelType w:val="hybridMultilevel"/>
    <w:tmpl w:val="D57A67CC"/>
    <w:lvl w:ilvl="0" w:tplc="8F6A4080">
      <w:start w:val="1"/>
      <w:numFmt w:val="bullet"/>
      <w:lvlText w:val=""/>
      <w:lvlJc w:val="left"/>
      <w:pPr>
        <w:ind w:left="720" w:hanging="360"/>
      </w:pPr>
      <w:rPr>
        <w:rFonts w:ascii="Symbol" w:hAnsi="Symbol" w:hint="default"/>
      </w:rPr>
    </w:lvl>
    <w:lvl w:ilvl="1" w:tplc="C922D428">
      <w:start w:val="1"/>
      <w:numFmt w:val="bullet"/>
      <w:lvlText w:val="-"/>
      <w:lvlJc w:val="left"/>
      <w:pPr>
        <w:ind w:left="1440" w:hanging="360"/>
      </w:pPr>
      <w:rPr>
        <w:rFonts w:ascii="&quot;Times New Roman&quot;,serif" w:hAnsi="&quot;Times New Roman&quot;,serif" w:hint="default"/>
      </w:rPr>
    </w:lvl>
    <w:lvl w:ilvl="2" w:tplc="828C937C">
      <w:start w:val="1"/>
      <w:numFmt w:val="bullet"/>
      <w:lvlText w:val=""/>
      <w:lvlJc w:val="left"/>
      <w:pPr>
        <w:ind w:left="2160" w:hanging="360"/>
      </w:pPr>
      <w:rPr>
        <w:rFonts w:ascii="Wingdings" w:hAnsi="Wingdings" w:hint="default"/>
      </w:rPr>
    </w:lvl>
    <w:lvl w:ilvl="3" w:tplc="7040BECA">
      <w:start w:val="1"/>
      <w:numFmt w:val="bullet"/>
      <w:lvlText w:val=""/>
      <w:lvlJc w:val="left"/>
      <w:pPr>
        <w:ind w:left="2880" w:hanging="360"/>
      </w:pPr>
      <w:rPr>
        <w:rFonts w:ascii="Symbol" w:hAnsi="Symbol" w:hint="default"/>
      </w:rPr>
    </w:lvl>
    <w:lvl w:ilvl="4" w:tplc="0434B700">
      <w:start w:val="1"/>
      <w:numFmt w:val="bullet"/>
      <w:lvlText w:val="o"/>
      <w:lvlJc w:val="left"/>
      <w:pPr>
        <w:ind w:left="3600" w:hanging="360"/>
      </w:pPr>
      <w:rPr>
        <w:rFonts w:ascii="Courier New" w:hAnsi="Courier New" w:hint="default"/>
      </w:rPr>
    </w:lvl>
    <w:lvl w:ilvl="5" w:tplc="FFAC2898">
      <w:start w:val="1"/>
      <w:numFmt w:val="bullet"/>
      <w:lvlText w:val=""/>
      <w:lvlJc w:val="left"/>
      <w:pPr>
        <w:ind w:left="4320" w:hanging="360"/>
      </w:pPr>
      <w:rPr>
        <w:rFonts w:ascii="Wingdings" w:hAnsi="Wingdings" w:hint="default"/>
      </w:rPr>
    </w:lvl>
    <w:lvl w:ilvl="6" w:tplc="9B3CFCE4">
      <w:start w:val="1"/>
      <w:numFmt w:val="bullet"/>
      <w:lvlText w:val=""/>
      <w:lvlJc w:val="left"/>
      <w:pPr>
        <w:ind w:left="5040" w:hanging="360"/>
      </w:pPr>
      <w:rPr>
        <w:rFonts w:ascii="Symbol" w:hAnsi="Symbol" w:hint="default"/>
      </w:rPr>
    </w:lvl>
    <w:lvl w:ilvl="7" w:tplc="491E6024">
      <w:start w:val="1"/>
      <w:numFmt w:val="bullet"/>
      <w:lvlText w:val="o"/>
      <w:lvlJc w:val="left"/>
      <w:pPr>
        <w:ind w:left="5760" w:hanging="360"/>
      </w:pPr>
      <w:rPr>
        <w:rFonts w:ascii="Courier New" w:hAnsi="Courier New" w:hint="default"/>
      </w:rPr>
    </w:lvl>
    <w:lvl w:ilvl="8" w:tplc="A25413C8">
      <w:start w:val="1"/>
      <w:numFmt w:val="bullet"/>
      <w:lvlText w:val=""/>
      <w:lvlJc w:val="left"/>
      <w:pPr>
        <w:ind w:left="6480" w:hanging="360"/>
      </w:pPr>
      <w:rPr>
        <w:rFonts w:ascii="Wingdings" w:hAnsi="Wingdings" w:hint="default"/>
      </w:rPr>
    </w:lvl>
  </w:abstractNum>
  <w:abstractNum w:abstractNumId="104" w15:restartNumberingAfterBreak="0">
    <w:nsid w:val="6B6E2562"/>
    <w:multiLevelType w:val="multilevel"/>
    <w:tmpl w:val="8F78586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5" w15:restartNumberingAfterBreak="0">
    <w:nsid w:val="6B805424"/>
    <w:multiLevelType w:val="multilevel"/>
    <w:tmpl w:val="0DC0D570"/>
    <w:lvl w:ilvl="0">
      <w:numFmt w:val="bullet"/>
      <w:lvlText w:val="-"/>
      <w:lvlJc w:val="left"/>
      <w:pPr>
        <w:tabs>
          <w:tab w:val="num" w:pos="720"/>
        </w:tabs>
        <w:ind w:left="720" w:hanging="360"/>
      </w:pPr>
      <w:rPr>
        <w:rFonts w:ascii="Times New Roman" w:hAnsi="Times New Roman" w:hint="default"/>
        <w:sz w:val="24"/>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6" w15:restartNumberingAfterBreak="0">
    <w:nsid w:val="6B9CE716"/>
    <w:multiLevelType w:val="hybridMultilevel"/>
    <w:tmpl w:val="FFFFFFFF"/>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07" w15:restartNumberingAfterBreak="0">
    <w:nsid w:val="6BF2841D"/>
    <w:multiLevelType w:val="hybridMultilevel"/>
    <w:tmpl w:val="BB32EDCC"/>
    <w:styleLink w:val="EstiloVieta-HTAEsquemanumeradoIzquierda113cmSangraf"/>
    <w:lvl w:ilvl="0" w:tplc="0E30A0F6">
      <w:numFmt w:val="bullet"/>
      <w:lvlText w:val="-"/>
      <w:lvlJc w:val="left"/>
      <w:pPr>
        <w:ind w:left="360" w:hanging="360"/>
      </w:pPr>
      <w:rPr>
        <w:rFonts w:ascii="Times New Roman" w:hAnsi="Times New Roman" w:hint="default"/>
        <w:sz w:val="24"/>
      </w:rPr>
    </w:lvl>
    <w:lvl w:ilvl="1" w:tplc="7C485DBC" w:tentative="1">
      <w:start w:val="1"/>
      <w:numFmt w:val="bullet"/>
      <w:lvlText w:val="o"/>
      <w:lvlJc w:val="left"/>
      <w:pPr>
        <w:ind w:left="1080" w:hanging="360"/>
      </w:pPr>
      <w:rPr>
        <w:rFonts w:ascii="Courier New" w:hAnsi="Courier New" w:hint="default"/>
      </w:rPr>
    </w:lvl>
    <w:lvl w:ilvl="2" w:tplc="6ECC199E" w:tentative="1">
      <w:start w:val="1"/>
      <w:numFmt w:val="bullet"/>
      <w:lvlText w:val=""/>
      <w:lvlJc w:val="left"/>
      <w:pPr>
        <w:ind w:left="1800" w:hanging="360"/>
      </w:pPr>
      <w:rPr>
        <w:rFonts w:ascii="Wingdings" w:hAnsi="Wingdings" w:hint="default"/>
      </w:rPr>
    </w:lvl>
    <w:lvl w:ilvl="3" w:tplc="2064115C" w:tentative="1">
      <w:start w:val="1"/>
      <w:numFmt w:val="bullet"/>
      <w:lvlText w:val=""/>
      <w:lvlJc w:val="left"/>
      <w:pPr>
        <w:ind w:left="2520" w:hanging="360"/>
      </w:pPr>
      <w:rPr>
        <w:rFonts w:ascii="Symbol" w:hAnsi="Symbol" w:hint="default"/>
      </w:rPr>
    </w:lvl>
    <w:lvl w:ilvl="4" w:tplc="3746D340" w:tentative="1">
      <w:start w:val="1"/>
      <w:numFmt w:val="bullet"/>
      <w:lvlText w:val="o"/>
      <w:lvlJc w:val="left"/>
      <w:pPr>
        <w:ind w:left="3240" w:hanging="360"/>
      </w:pPr>
      <w:rPr>
        <w:rFonts w:ascii="Courier New" w:hAnsi="Courier New" w:hint="default"/>
      </w:rPr>
    </w:lvl>
    <w:lvl w:ilvl="5" w:tplc="E2FC95C2" w:tentative="1">
      <w:start w:val="1"/>
      <w:numFmt w:val="bullet"/>
      <w:lvlText w:val=""/>
      <w:lvlJc w:val="left"/>
      <w:pPr>
        <w:ind w:left="3960" w:hanging="360"/>
      </w:pPr>
      <w:rPr>
        <w:rFonts w:ascii="Wingdings" w:hAnsi="Wingdings" w:hint="default"/>
      </w:rPr>
    </w:lvl>
    <w:lvl w:ilvl="6" w:tplc="C8CCCFBA" w:tentative="1">
      <w:start w:val="1"/>
      <w:numFmt w:val="bullet"/>
      <w:lvlText w:val=""/>
      <w:lvlJc w:val="left"/>
      <w:pPr>
        <w:ind w:left="4680" w:hanging="360"/>
      </w:pPr>
      <w:rPr>
        <w:rFonts w:ascii="Symbol" w:hAnsi="Symbol" w:hint="default"/>
      </w:rPr>
    </w:lvl>
    <w:lvl w:ilvl="7" w:tplc="97EE29BC" w:tentative="1">
      <w:start w:val="1"/>
      <w:numFmt w:val="bullet"/>
      <w:lvlText w:val="o"/>
      <w:lvlJc w:val="left"/>
      <w:pPr>
        <w:ind w:left="5400" w:hanging="360"/>
      </w:pPr>
      <w:rPr>
        <w:rFonts w:ascii="Courier New" w:hAnsi="Courier New" w:hint="default"/>
      </w:rPr>
    </w:lvl>
    <w:lvl w:ilvl="8" w:tplc="7A2EAEBE" w:tentative="1">
      <w:start w:val="1"/>
      <w:numFmt w:val="bullet"/>
      <w:lvlText w:val=""/>
      <w:lvlJc w:val="left"/>
      <w:pPr>
        <w:ind w:left="6120" w:hanging="360"/>
      </w:pPr>
      <w:rPr>
        <w:rFonts w:ascii="Wingdings" w:hAnsi="Wingdings" w:hint="default"/>
      </w:rPr>
    </w:lvl>
  </w:abstractNum>
  <w:abstractNum w:abstractNumId="108" w15:restartNumberingAfterBreak="0">
    <w:nsid w:val="6C5B297C"/>
    <w:multiLevelType w:val="hybridMultilevel"/>
    <w:tmpl w:val="786658EE"/>
    <w:lvl w:ilvl="0" w:tplc="0E30A0F6">
      <w:numFmt w:val="bullet"/>
      <w:lvlText w:val="-"/>
      <w:lvlJc w:val="left"/>
      <w:pPr>
        <w:ind w:left="360" w:hanging="360"/>
      </w:pPr>
      <w:rPr>
        <w:rFonts w:ascii="Times New Roman" w:hAnsi="Times New Roman" w:hint="default"/>
        <w:sz w:val="24"/>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09" w15:restartNumberingAfterBreak="0">
    <w:nsid w:val="6D3E32D7"/>
    <w:multiLevelType w:val="hybridMultilevel"/>
    <w:tmpl w:val="4C1E90B0"/>
    <w:lvl w:ilvl="0" w:tplc="682AA7CA">
      <w:start w:val="2"/>
      <w:numFmt w:val="bullet"/>
      <w:lvlText w:val="-"/>
      <w:lvlJc w:val="left"/>
      <w:pPr>
        <w:ind w:left="360" w:hanging="360"/>
      </w:pPr>
      <w:rPr>
        <w:rFonts w:ascii="Calibri" w:hAnsi="Calibri" w:hint="default"/>
      </w:rPr>
    </w:lvl>
    <w:lvl w:ilvl="1" w:tplc="7812BDCA" w:tentative="1">
      <w:start w:val="1"/>
      <w:numFmt w:val="bullet"/>
      <w:lvlText w:val="o"/>
      <w:lvlJc w:val="left"/>
      <w:pPr>
        <w:ind w:left="1080" w:hanging="360"/>
      </w:pPr>
      <w:rPr>
        <w:rFonts w:ascii="Courier New" w:hAnsi="Courier New" w:hint="default"/>
      </w:rPr>
    </w:lvl>
    <w:lvl w:ilvl="2" w:tplc="6AEC3F1A" w:tentative="1">
      <w:start w:val="1"/>
      <w:numFmt w:val="bullet"/>
      <w:lvlText w:val=""/>
      <w:lvlJc w:val="left"/>
      <w:pPr>
        <w:ind w:left="1800" w:hanging="360"/>
      </w:pPr>
      <w:rPr>
        <w:rFonts w:ascii="Wingdings" w:hAnsi="Wingdings" w:hint="default"/>
      </w:rPr>
    </w:lvl>
    <w:lvl w:ilvl="3" w:tplc="53C29EA8" w:tentative="1">
      <w:start w:val="1"/>
      <w:numFmt w:val="bullet"/>
      <w:lvlText w:val=""/>
      <w:lvlJc w:val="left"/>
      <w:pPr>
        <w:ind w:left="2520" w:hanging="360"/>
      </w:pPr>
      <w:rPr>
        <w:rFonts w:ascii="Symbol" w:hAnsi="Symbol" w:hint="default"/>
      </w:rPr>
    </w:lvl>
    <w:lvl w:ilvl="4" w:tplc="0C185B70" w:tentative="1">
      <w:start w:val="1"/>
      <w:numFmt w:val="bullet"/>
      <w:lvlText w:val="o"/>
      <w:lvlJc w:val="left"/>
      <w:pPr>
        <w:ind w:left="3240" w:hanging="360"/>
      </w:pPr>
      <w:rPr>
        <w:rFonts w:ascii="Courier New" w:hAnsi="Courier New" w:hint="default"/>
      </w:rPr>
    </w:lvl>
    <w:lvl w:ilvl="5" w:tplc="352A0DCA" w:tentative="1">
      <w:start w:val="1"/>
      <w:numFmt w:val="bullet"/>
      <w:lvlText w:val=""/>
      <w:lvlJc w:val="left"/>
      <w:pPr>
        <w:ind w:left="3960" w:hanging="360"/>
      </w:pPr>
      <w:rPr>
        <w:rFonts w:ascii="Wingdings" w:hAnsi="Wingdings" w:hint="default"/>
      </w:rPr>
    </w:lvl>
    <w:lvl w:ilvl="6" w:tplc="3FF62F9C" w:tentative="1">
      <w:start w:val="1"/>
      <w:numFmt w:val="bullet"/>
      <w:lvlText w:val=""/>
      <w:lvlJc w:val="left"/>
      <w:pPr>
        <w:ind w:left="4680" w:hanging="360"/>
      </w:pPr>
      <w:rPr>
        <w:rFonts w:ascii="Symbol" w:hAnsi="Symbol" w:hint="default"/>
      </w:rPr>
    </w:lvl>
    <w:lvl w:ilvl="7" w:tplc="EA3A77B8" w:tentative="1">
      <w:start w:val="1"/>
      <w:numFmt w:val="bullet"/>
      <w:lvlText w:val="o"/>
      <w:lvlJc w:val="left"/>
      <w:pPr>
        <w:ind w:left="5400" w:hanging="360"/>
      </w:pPr>
      <w:rPr>
        <w:rFonts w:ascii="Courier New" w:hAnsi="Courier New" w:hint="default"/>
      </w:rPr>
    </w:lvl>
    <w:lvl w:ilvl="8" w:tplc="394097B0" w:tentative="1">
      <w:start w:val="1"/>
      <w:numFmt w:val="bullet"/>
      <w:lvlText w:val=""/>
      <w:lvlJc w:val="left"/>
      <w:pPr>
        <w:ind w:left="6120" w:hanging="360"/>
      </w:pPr>
      <w:rPr>
        <w:rFonts w:ascii="Wingdings" w:hAnsi="Wingdings" w:hint="default"/>
      </w:rPr>
    </w:lvl>
  </w:abstractNum>
  <w:abstractNum w:abstractNumId="110" w15:restartNumberingAfterBreak="0">
    <w:nsid w:val="6DB224EC"/>
    <w:multiLevelType w:val="hybridMultilevel"/>
    <w:tmpl w:val="7206AF92"/>
    <w:lvl w:ilvl="0" w:tplc="020CD644">
      <w:numFmt w:val="bullet"/>
      <w:lvlText w:val="-"/>
      <w:lvlJc w:val="left"/>
      <w:pPr>
        <w:ind w:left="1068" w:hanging="360"/>
      </w:pPr>
      <w:rPr>
        <w:rFonts w:ascii="Arial Narrow" w:eastAsia="Times New Roman" w:hAnsi="Arial Narrow" w:cs="Times New Roman" w:hint="default"/>
      </w:rPr>
    </w:lvl>
    <w:lvl w:ilvl="1" w:tplc="240A0003">
      <w:start w:val="1"/>
      <w:numFmt w:val="bullet"/>
      <w:lvlText w:val="o"/>
      <w:lvlJc w:val="left"/>
      <w:pPr>
        <w:ind w:left="1788" w:hanging="360"/>
      </w:pPr>
      <w:rPr>
        <w:rFonts w:ascii="Courier New" w:hAnsi="Courier New" w:cs="Courier New" w:hint="default"/>
      </w:rPr>
    </w:lvl>
    <w:lvl w:ilvl="2" w:tplc="240A0005" w:tentative="1">
      <w:start w:val="1"/>
      <w:numFmt w:val="bullet"/>
      <w:lvlText w:val=""/>
      <w:lvlJc w:val="left"/>
      <w:pPr>
        <w:ind w:left="2508" w:hanging="360"/>
      </w:pPr>
      <w:rPr>
        <w:rFonts w:ascii="Wingdings" w:hAnsi="Wingdings" w:hint="default"/>
      </w:rPr>
    </w:lvl>
    <w:lvl w:ilvl="3" w:tplc="240A0001" w:tentative="1">
      <w:start w:val="1"/>
      <w:numFmt w:val="bullet"/>
      <w:lvlText w:val=""/>
      <w:lvlJc w:val="left"/>
      <w:pPr>
        <w:ind w:left="3228" w:hanging="360"/>
      </w:pPr>
      <w:rPr>
        <w:rFonts w:ascii="Symbol" w:hAnsi="Symbol" w:hint="default"/>
      </w:rPr>
    </w:lvl>
    <w:lvl w:ilvl="4" w:tplc="240A0003" w:tentative="1">
      <w:start w:val="1"/>
      <w:numFmt w:val="bullet"/>
      <w:lvlText w:val="o"/>
      <w:lvlJc w:val="left"/>
      <w:pPr>
        <w:ind w:left="3948" w:hanging="360"/>
      </w:pPr>
      <w:rPr>
        <w:rFonts w:ascii="Courier New" w:hAnsi="Courier New" w:cs="Courier New" w:hint="default"/>
      </w:rPr>
    </w:lvl>
    <w:lvl w:ilvl="5" w:tplc="240A0005" w:tentative="1">
      <w:start w:val="1"/>
      <w:numFmt w:val="bullet"/>
      <w:lvlText w:val=""/>
      <w:lvlJc w:val="left"/>
      <w:pPr>
        <w:ind w:left="4668" w:hanging="360"/>
      </w:pPr>
      <w:rPr>
        <w:rFonts w:ascii="Wingdings" w:hAnsi="Wingdings" w:hint="default"/>
      </w:rPr>
    </w:lvl>
    <w:lvl w:ilvl="6" w:tplc="240A0001" w:tentative="1">
      <w:start w:val="1"/>
      <w:numFmt w:val="bullet"/>
      <w:lvlText w:val=""/>
      <w:lvlJc w:val="left"/>
      <w:pPr>
        <w:ind w:left="5388" w:hanging="360"/>
      </w:pPr>
      <w:rPr>
        <w:rFonts w:ascii="Symbol" w:hAnsi="Symbol" w:hint="default"/>
      </w:rPr>
    </w:lvl>
    <w:lvl w:ilvl="7" w:tplc="240A0003" w:tentative="1">
      <w:start w:val="1"/>
      <w:numFmt w:val="bullet"/>
      <w:lvlText w:val="o"/>
      <w:lvlJc w:val="left"/>
      <w:pPr>
        <w:ind w:left="6108" w:hanging="360"/>
      </w:pPr>
      <w:rPr>
        <w:rFonts w:ascii="Courier New" w:hAnsi="Courier New" w:cs="Courier New" w:hint="default"/>
      </w:rPr>
    </w:lvl>
    <w:lvl w:ilvl="8" w:tplc="240A0005" w:tentative="1">
      <w:start w:val="1"/>
      <w:numFmt w:val="bullet"/>
      <w:lvlText w:val=""/>
      <w:lvlJc w:val="left"/>
      <w:pPr>
        <w:ind w:left="6828" w:hanging="360"/>
      </w:pPr>
      <w:rPr>
        <w:rFonts w:ascii="Wingdings" w:hAnsi="Wingdings" w:hint="default"/>
      </w:rPr>
    </w:lvl>
  </w:abstractNum>
  <w:abstractNum w:abstractNumId="111" w15:restartNumberingAfterBreak="0">
    <w:nsid w:val="6E2141EE"/>
    <w:multiLevelType w:val="hybridMultilevel"/>
    <w:tmpl w:val="F524FC88"/>
    <w:lvl w:ilvl="0" w:tplc="FEB400A2">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12" w15:restartNumberingAfterBreak="0">
    <w:nsid w:val="6EB14278"/>
    <w:multiLevelType w:val="multilevel"/>
    <w:tmpl w:val="1E6A508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13" w15:restartNumberingAfterBreak="0">
    <w:nsid w:val="6F1662AA"/>
    <w:multiLevelType w:val="multilevel"/>
    <w:tmpl w:val="DDE07D10"/>
    <w:styleLink w:val="Listaactual1"/>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4" w15:restartNumberingAfterBreak="0">
    <w:nsid w:val="71EE0D6C"/>
    <w:multiLevelType w:val="hybridMultilevel"/>
    <w:tmpl w:val="ECD69756"/>
    <w:lvl w:ilvl="0" w:tplc="240A0019">
      <w:start w:val="1"/>
      <w:numFmt w:val="lowerLetter"/>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15" w15:restartNumberingAfterBreak="0">
    <w:nsid w:val="723A97BE"/>
    <w:multiLevelType w:val="hybridMultilevel"/>
    <w:tmpl w:val="C728BE26"/>
    <w:lvl w:ilvl="0" w:tplc="5582E560">
      <w:start w:val="1"/>
      <w:numFmt w:val="bullet"/>
      <w:lvlText w:val=""/>
      <w:lvlJc w:val="left"/>
      <w:pPr>
        <w:ind w:left="720" w:hanging="360"/>
      </w:pPr>
      <w:rPr>
        <w:rFonts w:ascii="Symbol" w:hAnsi="Symbol" w:hint="default"/>
      </w:rPr>
    </w:lvl>
    <w:lvl w:ilvl="1" w:tplc="25B6FE04">
      <w:start w:val="1"/>
      <w:numFmt w:val="bullet"/>
      <w:lvlText w:val="o"/>
      <w:lvlJc w:val="left"/>
      <w:pPr>
        <w:ind w:left="1440" w:hanging="360"/>
      </w:pPr>
      <w:rPr>
        <w:rFonts w:ascii="Courier New" w:hAnsi="Courier New" w:hint="default"/>
      </w:rPr>
    </w:lvl>
    <w:lvl w:ilvl="2" w:tplc="736A34E0">
      <w:start w:val="1"/>
      <w:numFmt w:val="bullet"/>
      <w:lvlText w:val=""/>
      <w:lvlJc w:val="left"/>
      <w:pPr>
        <w:ind w:left="2160" w:hanging="360"/>
      </w:pPr>
      <w:rPr>
        <w:rFonts w:ascii="Wingdings" w:hAnsi="Wingdings" w:hint="default"/>
      </w:rPr>
    </w:lvl>
    <w:lvl w:ilvl="3" w:tplc="E222F7EE">
      <w:start w:val="1"/>
      <w:numFmt w:val="bullet"/>
      <w:lvlText w:val=""/>
      <w:lvlJc w:val="left"/>
      <w:pPr>
        <w:ind w:left="2880" w:hanging="360"/>
      </w:pPr>
      <w:rPr>
        <w:rFonts w:ascii="Symbol" w:hAnsi="Symbol" w:hint="default"/>
      </w:rPr>
    </w:lvl>
    <w:lvl w:ilvl="4" w:tplc="30EC582A">
      <w:start w:val="1"/>
      <w:numFmt w:val="bullet"/>
      <w:lvlText w:val="o"/>
      <w:lvlJc w:val="left"/>
      <w:pPr>
        <w:ind w:left="3600" w:hanging="360"/>
      </w:pPr>
      <w:rPr>
        <w:rFonts w:ascii="Courier New" w:hAnsi="Courier New" w:hint="default"/>
      </w:rPr>
    </w:lvl>
    <w:lvl w:ilvl="5" w:tplc="97180D96">
      <w:start w:val="1"/>
      <w:numFmt w:val="bullet"/>
      <w:lvlText w:val=""/>
      <w:lvlJc w:val="left"/>
      <w:pPr>
        <w:ind w:left="4320" w:hanging="360"/>
      </w:pPr>
      <w:rPr>
        <w:rFonts w:ascii="Wingdings" w:hAnsi="Wingdings" w:hint="default"/>
      </w:rPr>
    </w:lvl>
    <w:lvl w:ilvl="6" w:tplc="9808F600">
      <w:start w:val="1"/>
      <w:numFmt w:val="bullet"/>
      <w:lvlText w:val=""/>
      <w:lvlJc w:val="left"/>
      <w:pPr>
        <w:ind w:left="5040" w:hanging="360"/>
      </w:pPr>
      <w:rPr>
        <w:rFonts w:ascii="Symbol" w:hAnsi="Symbol" w:hint="default"/>
      </w:rPr>
    </w:lvl>
    <w:lvl w:ilvl="7" w:tplc="07EC2AAE">
      <w:start w:val="1"/>
      <w:numFmt w:val="bullet"/>
      <w:lvlText w:val="o"/>
      <w:lvlJc w:val="left"/>
      <w:pPr>
        <w:ind w:left="5760" w:hanging="360"/>
      </w:pPr>
      <w:rPr>
        <w:rFonts w:ascii="Courier New" w:hAnsi="Courier New" w:hint="default"/>
      </w:rPr>
    </w:lvl>
    <w:lvl w:ilvl="8" w:tplc="A574F5DA">
      <w:start w:val="1"/>
      <w:numFmt w:val="bullet"/>
      <w:lvlText w:val=""/>
      <w:lvlJc w:val="left"/>
      <w:pPr>
        <w:ind w:left="6480" w:hanging="360"/>
      </w:pPr>
      <w:rPr>
        <w:rFonts w:ascii="Wingdings" w:hAnsi="Wingdings" w:hint="default"/>
      </w:rPr>
    </w:lvl>
  </w:abstractNum>
  <w:abstractNum w:abstractNumId="116" w15:restartNumberingAfterBreak="0">
    <w:nsid w:val="74605390"/>
    <w:multiLevelType w:val="hybridMultilevel"/>
    <w:tmpl w:val="FFFFFFFF"/>
    <w:lvl w:ilvl="0" w:tplc="F118A446">
      <w:start w:val="1"/>
      <w:numFmt w:val="bullet"/>
      <w:lvlText w:val="-"/>
      <w:lvlJc w:val="left"/>
      <w:pPr>
        <w:ind w:left="720" w:hanging="360"/>
      </w:pPr>
      <w:rPr>
        <w:rFonts w:ascii="Symbol" w:hAnsi="Symbol" w:hint="default"/>
      </w:rPr>
    </w:lvl>
    <w:lvl w:ilvl="1" w:tplc="805235FA">
      <w:start w:val="1"/>
      <w:numFmt w:val="bullet"/>
      <w:lvlText w:val="o"/>
      <w:lvlJc w:val="left"/>
      <w:pPr>
        <w:ind w:left="1440" w:hanging="360"/>
      </w:pPr>
      <w:rPr>
        <w:rFonts w:ascii="Courier New" w:hAnsi="Courier New" w:hint="default"/>
      </w:rPr>
    </w:lvl>
    <w:lvl w:ilvl="2" w:tplc="31E8E584">
      <w:start w:val="1"/>
      <w:numFmt w:val="bullet"/>
      <w:lvlText w:val=""/>
      <w:lvlJc w:val="left"/>
      <w:pPr>
        <w:ind w:left="2160" w:hanging="360"/>
      </w:pPr>
      <w:rPr>
        <w:rFonts w:ascii="Wingdings" w:hAnsi="Wingdings" w:hint="default"/>
      </w:rPr>
    </w:lvl>
    <w:lvl w:ilvl="3" w:tplc="BAF4C632">
      <w:start w:val="1"/>
      <w:numFmt w:val="bullet"/>
      <w:lvlText w:val=""/>
      <w:lvlJc w:val="left"/>
      <w:pPr>
        <w:ind w:left="2880" w:hanging="360"/>
      </w:pPr>
      <w:rPr>
        <w:rFonts w:ascii="Symbol" w:hAnsi="Symbol" w:hint="default"/>
      </w:rPr>
    </w:lvl>
    <w:lvl w:ilvl="4" w:tplc="EF30A8DA">
      <w:start w:val="1"/>
      <w:numFmt w:val="bullet"/>
      <w:lvlText w:val="o"/>
      <w:lvlJc w:val="left"/>
      <w:pPr>
        <w:ind w:left="3600" w:hanging="360"/>
      </w:pPr>
      <w:rPr>
        <w:rFonts w:ascii="Courier New" w:hAnsi="Courier New" w:hint="default"/>
      </w:rPr>
    </w:lvl>
    <w:lvl w:ilvl="5" w:tplc="515A56EA">
      <w:start w:val="1"/>
      <w:numFmt w:val="bullet"/>
      <w:lvlText w:val=""/>
      <w:lvlJc w:val="left"/>
      <w:pPr>
        <w:ind w:left="4320" w:hanging="360"/>
      </w:pPr>
      <w:rPr>
        <w:rFonts w:ascii="Wingdings" w:hAnsi="Wingdings" w:hint="default"/>
      </w:rPr>
    </w:lvl>
    <w:lvl w:ilvl="6" w:tplc="C5A6EB9A">
      <w:start w:val="1"/>
      <w:numFmt w:val="bullet"/>
      <w:lvlText w:val=""/>
      <w:lvlJc w:val="left"/>
      <w:pPr>
        <w:ind w:left="5040" w:hanging="360"/>
      </w:pPr>
      <w:rPr>
        <w:rFonts w:ascii="Symbol" w:hAnsi="Symbol" w:hint="default"/>
      </w:rPr>
    </w:lvl>
    <w:lvl w:ilvl="7" w:tplc="13062142">
      <w:start w:val="1"/>
      <w:numFmt w:val="bullet"/>
      <w:lvlText w:val="o"/>
      <w:lvlJc w:val="left"/>
      <w:pPr>
        <w:ind w:left="5760" w:hanging="360"/>
      </w:pPr>
      <w:rPr>
        <w:rFonts w:ascii="Courier New" w:hAnsi="Courier New" w:hint="default"/>
      </w:rPr>
    </w:lvl>
    <w:lvl w:ilvl="8" w:tplc="2F0AE9B2">
      <w:start w:val="1"/>
      <w:numFmt w:val="bullet"/>
      <w:lvlText w:val=""/>
      <w:lvlJc w:val="left"/>
      <w:pPr>
        <w:ind w:left="6480" w:hanging="360"/>
      </w:pPr>
      <w:rPr>
        <w:rFonts w:ascii="Wingdings" w:hAnsi="Wingdings" w:hint="default"/>
      </w:rPr>
    </w:lvl>
  </w:abstractNum>
  <w:abstractNum w:abstractNumId="117" w15:restartNumberingAfterBreak="0">
    <w:nsid w:val="77793A7B"/>
    <w:multiLevelType w:val="hybridMultilevel"/>
    <w:tmpl w:val="58CE4360"/>
    <w:lvl w:ilvl="0" w:tplc="DD209598">
      <w:start w:val="1"/>
      <w:numFmt w:val="lowerRoman"/>
      <w:lvlText w:val="%1)"/>
      <w:lvlJc w:val="left"/>
      <w:pPr>
        <w:ind w:left="1080" w:hanging="720"/>
      </w:pPr>
      <w:rPr>
        <w:rFonts w:hint="default"/>
        <w:b/>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18" w15:restartNumberingAfterBreak="0">
    <w:nsid w:val="7AEE32FA"/>
    <w:multiLevelType w:val="hybridMultilevel"/>
    <w:tmpl w:val="D3D6509C"/>
    <w:lvl w:ilvl="0" w:tplc="C4126750">
      <w:start w:val="1"/>
      <w:numFmt w:val="bullet"/>
      <w:lvlText w:val="-"/>
      <w:lvlJc w:val="left"/>
      <w:pPr>
        <w:ind w:left="720" w:hanging="360"/>
      </w:pPr>
      <w:rPr>
        <w:rFonts w:ascii="Aptos" w:hAnsi="Aptos" w:hint="default"/>
      </w:rPr>
    </w:lvl>
    <w:lvl w:ilvl="1" w:tplc="D3E8FEA2">
      <w:start w:val="1"/>
      <w:numFmt w:val="bullet"/>
      <w:lvlText w:val="o"/>
      <w:lvlJc w:val="left"/>
      <w:pPr>
        <w:ind w:left="1440" w:hanging="360"/>
      </w:pPr>
      <w:rPr>
        <w:rFonts w:ascii="Courier New" w:hAnsi="Courier New" w:hint="default"/>
      </w:rPr>
    </w:lvl>
    <w:lvl w:ilvl="2" w:tplc="2DD808AA">
      <w:start w:val="1"/>
      <w:numFmt w:val="bullet"/>
      <w:lvlText w:val=""/>
      <w:lvlJc w:val="left"/>
      <w:pPr>
        <w:ind w:left="2160" w:hanging="360"/>
      </w:pPr>
      <w:rPr>
        <w:rFonts w:ascii="Wingdings" w:hAnsi="Wingdings" w:hint="default"/>
      </w:rPr>
    </w:lvl>
    <w:lvl w:ilvl="3" w:tplc="CC764824">
      <w:start w:val="1"/>
      <w:numFmt w:val="bullet"/>
      <w:lvlText w:val=""/>
      <w:lvlJc w:val="left"/>
      <w:pPr>
        <w:ind w:left="2880" w:hanging="360"/>
      </w:pPr>
      <w:rPr>
        <w:rFonts w:ascii="Symbol" w:hAnsi="Symbol" w:hint="default"/>
      </w:rPr>
    </w:lvl>
    <w:lvl w:ilvl="4" w:tplc="FD80BF68">
      <w:start w:val="1"/>
      <w:numFmt w:val="bullet"/>
      <w:lvlText w:val="o"/>
      <w:lvlJc w:val="left"/>
      <w:pPr>
        <w:ind w:left="3600" w:hanging="360"/>
      </w:pPr>
      <w:rPr>
        <w:rFonts w:ascii="Courier New" w:hAnsi="Courier New" w:hint="default"/>
      </w:rPr>
    </w:lvl>
    <w:lvl w:ilvl="5" w:tplc="8502152E">
      <w:start w:val="1"/>
      <w:numFmt w:val="bullet"/>
      <w:lvlText w:val=""/>
      <w:lvlJc w:val="left"/>
      <w:pPr>
        <w:ind w:left="4320" w:hanging="360"/>
      </w:pPr>
      <w:rPr>
        <w:rFonts w:ascii="Wingdings" w:hAnsi="Wingdings" w:hint="default"/>
      </w:rPr>
    </w:lvl>
    <w:lvl w:ilvl="6" w:tplc="0A165FA4">
      <w:start w:val="1"/>
      <w:numFmt w:val="bullet"/>
      <w:lvlText w:val=""/>
      <w:lvlJc w:val="left"/>
      <w:pPr>
        <w:ind w:left="5040" w:hanging="360"/>
      </w:pPr>
      <w:rPr>
        <w:rFonts w:ascii="Symbol" w:hAnsi="Symbol" w:hint="default"/>
      </w:rPr>
    </w:lvl>
    <w:lvl w:ilvl="7" w:tplc="750CC054">
      <w:start w:val="1"/>
      <w:numFmt w:val="bullet"/>
      <w:lvlText w:val="o"/>
      <w:lvlJc w:val="left"/>
      <w:pPr>
        <w:ind w:left="5760" w:hanging="360"/>
      </w:pPr>
      <w:rPr>
        <w:rFonts w:ascii="Courier New" w:hAnsi="Courier New" w:hint="default"/>
      </w:rPr>
    </w:lvl>
    <w:lvl w:ilvl="8" w:tplc="C82016A2">
      <w:start w:val="1"/>
      <w:numFmt w:val="bullet"/>
      <w:lvlText w:val=""/>
      <w:lvlJc w:val="left"/>
      <w:pPr>
        <w:ind w:left="6480" w:hanging="360"/>
      </w:pPr>
      <w:rPr>
        <w:rFonts w:ascii="Wingdings" w:hAnsi="Wingdings" w:hint="default"/>
      </w:rPr>
    </w:lvl>
  </w:abstractNum>
  <w:abstractNum w:abstractNumId="119" w15:restartNumberingAfterBreak="0">
    <w:nsid w:val="7DCF4439"/>
    <w:multiLevelType w:val="hybridMultilevel"/>
    <w:tmpl w:val="FCBEA3CE"/>
    <w:lvl w:ilvl="0" w:tplc="F118A446">
      <w:start w:val="1"/>
      <w:numFmt w:val="bullet"/>
      <w:lvlText w:val="-"/>
      <w:lvlJc w:val="left"/>
      <w:pPr>
        <w:ind w:left="1069" w:hanging="360"/>
      </w:pPr>
      <w:rPr>
        <w:rFonts w:ascii="Symbol" w:hAnsi="Symbol" w:hint="default"/>
      </w:rPr>
    </w:lvl>
    <w:lvl w:ilvl="1" w:tplc="240A0003" w:tentative="1">
      <w:start w:val="1"/>
      <w:numFmt w:val="bullet"/>
      <w:lvlText w:val="o"/>
      <w:lvlJc w:val="left"/>
      <w:pPr>
        <w:ind w:left="1789" w:hanging="360"/>
      </w:pPr>
      <w:rPr>
        <w:rFonts w:ascii="Courier New" w:hAnsi="Courier New" w:cs="Courier New" w:hint="default"/>
      </w:rPr>
    </w:lvl>
    <w:lvl w:ilvl="2" w:tplc="240A0005" w:tentative="1">
      <w:start w:val="1"/>
      <w:numFmt w:val="bullet"/>
      <w:lvlText w:val=""/>
      <w:lvlJc w:val="left"/>
      <w:pPr>
        <w:ind w:left="2509" w:hanging="360"/>
      </w:pPr>
      <w:rPr>
        <w:rFonts w:ascii="Wingdings" w:hAnsi="Wingdings" w:hint="default"/>
      </w:rPr>
    </w:lvl>
    <w:lvl w:ilvl="3" w:tplc="240A0001" w:tentative="1">
      <w:start w:val="1"/>
      <w:numFmt w:val="bullet"/>
      <w:lvlText w:val=""/>
      <w:lvlJc w:val="left"/>
      <w:pPr>
        <w:ind w:left="3229" w:hanging="360"/>
      </w:pPr>
      <w:rPr>
        <w:rFonts w:ascii="Symbol" w:hAnsi="Symbol" w:hint="default"/>
      </w:rPr>
    </w:lvl>
    <w:lvl w:ilvl="4" w:tplc="240A0003" w:tentative="1">
      <w:start w:val="1"/>
      <w:numFmt w:val="bullet"/>
      <w:lvlText w:val="o"/>
      <w:lvlJc w:val="left"/>
      <w:pPr>
        <w:ind w:left="3949" w:hanging="360"/>
      </w:pPr>
      <w:rPr>
        <w:rFonts w:ascii="Courier New" w:hAnsi="Courier New" w:cs="Courier New" w:hint="default"/>
      </w:rPr>
    </w:lvl>
    <w:lvl w:ilvl="5" w:tplc="240A0005" w:tentative="1">
      <w:start w:val="1"/>
      <w:numFmt w:val="bullet"/>
      <w:lvlText w:val=""/>
      <w:lvlJc w:val="left"/>
      <w:pPr>
        <w:ind w:left="4669" w:hanging="360"/>
      </w:pPr>
      <w:rPr>
        <w:rFonts w:ascii="Wingdings" w:hAnsi="Wingdings" w:hint="default"/>
      </w:rPr>
    </w:lvl>
    <w:lvl w:ilvl="6" w:tplc="240A0001" w:tentative="1">
      <w:start w:val="1"/>
      <w:numFmt w:val="bullet"/>
      <w:lvlText w:val=""/>
      <w:lvlJc w:val="left"/>
      <w:pPr>
        <w:ind w:left="5389" w:hanging="360"/>
      </w:pPr>
      <w:rPr>
        <w:rFonts w:ascii="Symbol" w:hAnsi="Symbol" w:hint="default"/>
      </w:rPr>
    </w:lvl>
    <w:lvl w:ilvl="7" w:tplc="240A0003" w:tentative="1">
      <w:start w:val="1"/>
      <w:numFmt w:val="bullet"/>
      <w:lvlText w:val="o"/>
      <w:lvlJc w:val="left"/>
      <w:pPr>
        <w:ind w:left="6109" w:hanging="360"/>
      </w:pPr>
      <w:rPr>
        <w:rFonts w:ascii="Courier New" w:hAnsi="Courier New" w:cs="Courier New" w:hint="default"/>
      </w:rPr>
    </w:lvl>
    <w:lvl w:ilvl="8" w:tplc="240A0005" w:tentative="1">
      <w:start w:val="1"/>
      <w:numFmt w:val="bullet"/>
      <w:lvlText w:val=""/>
      <w:lvlJc w:val="left"/>
      <w:pPr>
        <w:ind w:left="6829" w:hanging="360"/>
      </w:pPr>
      <w:rPr>
        <w:rFonts w:ascii="Wingdings" w:hAnsi="Wingdings" w:hint="default"/>
      </w:rPr>
    </w:lvl>
  </w:abstractNum>
  <w:abstractNum w:abstractNumId="120" w15:restartNumberingAfterBreak="0">
    <w:nsid w:val="7DE207F7"/>
    <w:multiLevelType w:val="hybridMultilevel"/>
    <w:tmpl w:val="BEF434EE"/>
    <w:styleLink w:val="EstiloNegrita2"/>
    <w:lvl w:ilvl="0" w:tplc="729AE05C">
      <w:start w:val="1"/>
      <w:numFmt w:val="bullet"/>
      <w:lvlText w:val=""/>
      <w:lvlJc w:val="left"/>
      <w:pPr>
        <w:ind w:left="720" w:hanging="360"/>
      </w:pPr>
      <w:rPr>
        <w:rFonts w:ascii="Symbol" w:hAnsi="Symbol" w:hint="default"/>
      </w:rPr>
    </w:lvl>
    <w:lvl w:ilvl="1" w:tplc="EF18F16C" w:tentative="1">
      <w:start w:val="1"/>
      <w:numFmt w:val="bullet"/>
      <w:lvlText w:val="o"/>
      <w:lvlJc w:val="left"/>
      <w:pPr>
        <w:ind w:left="1440" w:hanging="360"/>
      </w:pPr>
      <w:rPr>
        <w:rFonts w:ascii="Courier New" w:hAnsi="Courier New" w:hint="default"/>
      </w:rPr>
    </w:lvl>
    <w:lvl w:ilvl="2" w:tplc="5880B4B6" w:tentative="1">
      <w:start w:val="1"/>
      <w:numFmt w:val="bullet"/>
      <w:lvlText w:val=""/>
      <w:lvlJc w:val="left"/>
      <w:pPr>
        <w:ind w:left="2160" w:hanging="360"/>
      </w:pPr>
      <w:rPr>
        <w:rFonts w:ascii="Wingdings" w:hAnsi="Wingdings" w:hint="default"/>
      </w:rPr>
    </w:lvl>
    <w:lvl w:ilvl="3" w:tplc="433486DC" w:tentative="1">
      <w:start w:val="1"/>
      <w:numFmt w:val="bullet"/>
      <w:lvlText w:val=""/>
      <w:lvlJc w:val="left"/>
      <w:pPr>
        <w:ind w:left="2880" w:hanging="360"/>
      </w:pPr>
      <w:rPr>
        <w:rFonts w:ascii="Symbol" w:hAnsi="Symbol" w:hint="default"/>
      </w:rPr>
    </w:lvl>
    <w:lvl w:ilvl="4" w:tplc="1B26EC5C" w:tentative="1">
      <w:start w:val="1"/>
      <w:numFmt w:val="bullet"/>
      <w:lvlText w:val="o"/>
      <w:lvlJc w:val="left"/>
      <w:pPr>
        <w:ind w:left="3600" w:hanging="360"/>
      </w:pPr>
      <w:rPr>
        <w:rFonts w:ascii="Courier New" w:hAnsi="Courier New" w:hint="default"/>
      </w:rPr>
    </w:lvl>
    <w:lvl w:ilvl="5" w:tplc="4140AB24" w:tentative="1">
      <w:start w:val="1"/>
      <w:numFmt w:val="bullet"/>
      <w:lvlText w:val=""/>
      <w:lvlJc w:val="left"/>
      <w:pPr>
        <w:ind w:left="4320" w:hanging="360"/>
      </w:pPr>
      <w:rPr>
        <w:rFonts w:ascii="Wingdings" w:hAnsi="Wingdings" w:hint="default"/>
      </w:rPr>
    </w:lvl>
    <w:lvl w:ilvl="6" w:tplc="270C52A4" w:tentative="1">
      <w:start w:val="1"/>
      <w:numFmt w:val="bullet"/>
      <w:lvlText w:val=""/>
      <w:lvlJc w:val="left"/>
      <w:pPr>
        <w:ind w:left="5040" w:hanging="360"/>
      </w:pPr>
      <w:rPr>
        <w:rFonts w:ascii="Symbol" w:hAnsi="Symbol" w:hint="default"/>
      </w:rPr>
    </w:lvl>
    <w:lvl w:ilvl="7" w:tplc="C60E9A9E" w:tentative="1">
      <w:start w:val="1"/>
      <w:numFmt w:val="bullet"/>
      <w:lvlText w:val="o"/>
      <w:lvlJc w:val="left"/>
      <w:pPr>
        <w:ind w:left="5760" w:hanging="360"/>
      </w:pPr>
      <w:rPr>
        <w:rFonts w:ascii="Courier New" w:hAnsi="Courier New" w:hint="default"/>
      </w:rPr>
    </w:lvl>
    <w:lvl w:ilvl="8" w:tplc="08C4B942" w:tentative="1">
      <w:start w:val="1"/>
      <w:numFmt w:val="bullet"/>
      <w:lvlText w:val=""/>
      <w:lvlJc w:val="left"/>
      <w:pPr>
        <w:ind w:left="6480" w:hanging="360"/>
      </w:pPr>
      <w:rPr>
        <w:rFonts w:ascii="Wingdings" w:hAnsi="Wingdings" w:hint="default"/>
      </w:rPr>
    </w:lvl>
  </w:abstractNum>
  <w:abstractNum w:abstractNumId="121" w15:restartNumberingAfterBreak="0">
    <w:nsid w:val="7DED3A28"/>
    <w:multiLevelType w:val="hybridMultilevel"/>
    <w:tmpl w:val="2FCE6BF6"/>
    <w:lvl w:ilvl="0" w:tplc="A094F61E">
      <w:start w:val="1"/>
      <w:numFmt w:val="bullet"/>
      <w:lvlText w:val=""/>
      <w:lvlJc w:val="left"/>
      <w:pPr>
        <w:ind w:left="360" w:hanging="360"/>
      </w:pPr>
      <w:rPr>
        <w:rFonts w:ascii="Symbol" w:hAnsi="Symbol" w:hint="default"/>
      </w:rPr>
    </w:lvl>
    <w:lvl w:ilvl="1" w:tplc="240A0003" w:tentative="1">
      <w:start w:val="1"/>
      <w:numFmt w:val="bullet"/>
      <w:lvlText w:val="o"/>
      <w:lvlJc w:val="left"/>
      <w:pPr>
        <w:ind w:left="1080" w:hanging="360"/>
      </w:pPr>
      <w:rPr>
        <w:rFonts w:ascii="Courier New" w:hAnsi="Courier New" w:cs="Courier New"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122" w15:restartNumberingAfterBreak="0">
    <w:nsid w:val="7E857A65"/>
    <w:multiLevelType w:val="hybridMultilevel"/>
    <w:tmpl w:val="6B50547E"/>
    <w:lvl w:ilvl="0" w:tplc="97562A70">
      <w:start w:val="1"/>
      <w:numFmt w:val="upperRoman"/>
      <w:lvlText w:val="%1."/>
      <w:lvlJc w:val="left"/>
      <w:pPr>
        <w:ind w:left="720" w:hanging="720"/>
      </w:pPr>
      <w:rPr>
        <w:rFonts w:hint="default"/>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123" w15:restartNumberingAfterBreak="0">
    <w:nsid w:val="7FEF44ED"/>
    <w:multiLevelType w:val="hybridMultilevel"/>
    <w:tmpl w:val="D06C6912"/>
    <w:lvl w:ilvl="0" w:tplc="2064F172">
      <w:start w:val="1"/>
      <w:numFmt w:val="bullet"/>
      <w:lvlText w:val=""/>
      <w:lvlJc w:val="left"/>
      <w:pPr>
        <w:ind w:left="360" w:hanging="360"/>
      </w:pPr>
      <w:rPr>
        <w:rFonts w:ascii="Wingdings" w:hAnsi="Wingdings" w:hint="default"/>
      </w:rPr>
    </w:lvl>
    <w:lvl w:ilvl="1" w:tplc="393E4E96" w:tentative="1">
      <w:start w:val="1"/>
      <w:numFmt w:val="bullet"/>
      <w:lvlText w:val="o"/>
      <w:lvlJc w:val="left"/>
      <w:pPr>
        <w:ind w:left="1080" w:hanging="360"/>
      </w:pPr>
      <w:rPr>
        <w:rFonts w:ascii="Courier New" w:hAnsi="Courier New" w:hint="default"/>
      </w:rPr>
    </w:lvl>
    <w:lvl w:ilvl="2" w:tplc="406832CC" w:tentative="1">
      <w:start w:val="1"/>
      <w:numFmt w:val="bullet"/>
      <w:lvlText w:val=""/>
      <w:lvlJc w:val="left"/>
      <w:pPr>
        <w:ind w:left="1800" w:hanging="360"/>
      </w:pPr>
      <w:rPr>
        <w:rFonts w:ascii="Wingdings" w:hAnsi="Wingdings" w:hint="default"/>
      </w:rPr>
    </w:lvl>
    <w:lvl w:ilvl="3" w:tplc="2B861AF2" w:tentative="1">
      <w:start w:val="1"/>
      <w:numFmt w:val="bullet"/>
      <w:lvlText w:val=""/>
      <w:lvlJc w:val="left"/>
      <w:pPr>
        <w:ind w:left="2520" w:hanging="360"/>
      </w:pPr>
      <w:rPr>
        <w:rFonts w:ascii="Symbol" w:hAnsi="Symbol" w:hint="default"/>
      </w:rPr>
    </w:lvl>
    <w:lvl w:ilvl="4" w:tplc="2408C322" w:tentative="1">
      <w:start w:val="1"/>
      <w:numFmt w:val="bullet"/>
      <w:lvlText w:val="o"/>
      <w:lvlJc w:val="left"/>
      <w:pPr>
        <w:ind w:left="3240" w:hanging="360"/>
      </w:pPr>
      <w:rPr>
        <w:rFonts w:ascii="Courier New" w:hAnsi="Courier New" w:hint="default"/>
      </w:rPr>
    </w:lvl>
    <w:lvl w:ilvl="5" w:tplc="9A5A13F8" w:tentative="1">
      <w:start w:val="1"/>
      <w:numFmt w:val="bullet"/>
      <w:lvlText w:val=""/>
      <w:lvlJc w:val="left"/>
      <w:pPr>
        <w:ind w:left="3960" w:hanging="360"/>
      </w:pPr>
      <w:rPr>
        <w:rFonts w:ascii="Wingdings" w:hAnsi="Wingdings" w:hint="default"/>
      </w:rPr>
    </w:lvl>
    <w:lvl w:ilvl="6" w:tplc="7A84B364" w:tentative="1">
      <w:start w:val="1"/>
      <w:numFmt w:val="bullet"/>
      <w:lvlText w:val=""/>
      <w:lvlJc w:val="left"/>
      <w:pPr>
        <w:ind w:left="4680" w:hanging="360"/>
      </w:pPr>
      <w:rPr>
        <w:rFonts w:ascii="Symbol" w:hAnsi="Symbol" w:hint="default"/>
      </w:rPr>
    </w:lvl>
    <w:lvl w:ilvl="7" w:tplc="BB123118" w:tentative="1">
      <w:start w:val="1"/>
      <w:numFmt w:val="bullet"/>
      <w:lvlText w:val="o"/>
      <w:lvlJc w:val="left"/>
      <w:pPr>
        <w:ind w:left="5400" w:hanging="360"/>
      </w:pPr>
      <w:rPr>
        <w:rFonts w:ascii="Courier New" w:hAnsi="Courier New" w:hint="default"/>
      </w:rPr>
    </w:lvl>
    <w:lvl w:ilvl="8" w:tplc="C6B816F2" w:tentative="1">
      <w:start w:val="1"/>
      <w:numFmt w:val="bullet"/>
      <w:lvlText w:val=""/>
      <w:lvlJc w:val="left"/>
      <w:pPr>
        <w:ind w:left="6120" w:hanging="360"/>
      </w:pPr>
      <w:rPr>
        <w:rFonts w:ascii="Wingdings" w:hAnsi="Wingdings" w:hint="default"/>
      </w:rPr>
    </w:lvl>
  </w:abstractNum>
  <w:num w:numId="1" w16cid:durableId="998190308">
    <w:abstractNumId w:val="42"/>
  </w:num>
  <w:num w:numId="2" w16cid:durableId="1900706616">
    <w:abstractNumId w:val="56"/>
  </w:num>
  <w:num w:numId="3" w16cid:durableId="1245065489">
    <w:abstractNumId w:val="115"/>
  </w:num>
  <w:num w:numId="4" w16cid:durableId="613056434">
    <w:abstractNumId w:val="71"/>
  </w:num>
  <w:num w:numId="5" w16cid:durableId="437918130">
    <w:abstractNumId w:val="9"/>
  </w:num>
  <w:num w:numId="6" w16cid:durableId="258949739">
    <w:abstractNumId w:val="103"/>
  </w:num>
  <w:num w:numId="7" w16cid:durableId="386420465">
    <w:abstractNumId w:val="99"/>
  </w:num>
  <w:num w:numId="8" w16cid:durableId="888615131">
    <w:abstractNumId w:val="32"/>
  </w:num>
  <w:num w:numId="9" w16cid:durableId="1660189811">
    <w:abstractNumId w:val="116"/>
  </w:num>
  <w:num w:numId="10" w16cid:durableId="797914408">
    <w:abstractNumId w:val="35"/>
  </w:num>
  <w:num w:numId="11" w16cid:durableId="2127239097">
    <w:abstractNumId w:val="10"/>
  </w:num>
  <w:num w:numId="12" w16cid:durableId="1266765789">
    <w:abstractNumId w:val="50"/>
  </w:num>
  <w:num w:numId="13" w16cid:durableId="1324354114">
    <w:abstractNumId w:val="85"/>
  </w:num>
  <w:num w:numId="14" w16cid:durableId="1197742433">
    <w:abstractNumId w:val="96"/>
  </w:num>
  <w:num w:numId="15" w16cid:durableId="90467117">
    <w:abstractNumId w:val="23"/>
  </w:num>
  <w:num w:numId="16" w16cid:durableId="652950674">
    <w:abstractNumId w:val="33"/>
  </w:num>
  <w:num w:numId="17" w16cid:durableId="565065530">
    <w:abstractNumId w:val="77"/>
  </w:num>
  <w:num w:numId="18" w16cid:durableId="751239373">
    <w:abstractNumId w:val="120"/>
  </w:num>
  <w:num w:numId="19" w16cid:durableId="7486745">
    <w:abstractNumId w:val="107"/>
  </w:num>
  <w:num w:numId="20" w16cid:durableId="111945443">
    <w:abstractNumId w:val="123"/>
  </w:num>
  <w:num w:numId="21" w16cid:durableId="503323888">
    <w:abstractNumId w:val="88"/>
  </w:num>
  <w:num w:numId="22" w16cid:durableId="297422532">
    <w:abstractNumId w:val="101"/>
  </w:num>
  <w:num w:numId="23" w16cid:durableId="651521017">
    <w:abstractNumId w:val="79"/>
  </w:num>
  <w:num w:numId="24" w16cid:durableId="701131337">
    <w:abstractNumId w:val="25"/>
  </w:num>
  <w:num w:numId="25" w16cid:durableId="2012177502">
    <w:abstractNumId w:val="39"/>
  </w:num>
  <w:num w:numId="26" w16cid:durableId="1848516304">
    <w:abstractNumId w:val="109"/>
  </w:num>
  <w:num w:numId="27" w16cid:durableId="1256744792">
    <w:abstractNumId w:val="48"/>
  </w:num>
  <w:num w:numId="28" w16cid:durableId="47728224">
    <w:abstractNumId w:val="63"/>
  </w:num>
  <w:num w:numId="29" w16cid:durableId="51007677">
    <w:abstractNumId w:val="76"/>
  </w:num>
  <w:num w:numId="30" w16cid:durableId="1697080636">
    <w:abstractNumId w:val="121"/>
  </w:num>
  <w:num w:numId="31" w16cid:durableId="98185611">
    <w:abstractNumId w:val="51"/>
  </w:num>
  <w:num w:numId="32" w16cid:durableId="564339462">
    <w:abstractNumId w:val="78"/>
  </w:num>
  <w:num w:numId="33" w16cid:durableId="1890921583">
    <w:abstractNumId w:val="98"/>
  </w:num>
  <w:num w:numId="34" w16cid:durableId="864370665">
    <w:abstractNumId w:val="7"/>
  </w:num>
  <w:num w:numId="35" w16cid:durableId="1843163559">
    <w:abstractNumId w:val="91"/>
  </w:num>
  <w:num w:numId="36" w16cid:durableId="1255284726">
    <w:abstractNumId w:val="100"/>
  </w:num>
  <w:num w:numId="37" w16cid:durableId="1843739767">
    <w:abstractNumId w:val="97"/>
  </w:num>
  <w:num w:numId="38" w16cid:durableId="1255626209">
    <w:abstractNumId w:val="82"/>
  </w:num>
  <w:num w:numId="39" w16cid:durableId="795952397">
    <w:abstractNumId w:val="62"/>
  </w:num>
  <w:num w:numId="40" w16cid:durableId="2116247108">
    <w:abstractNumId w:val="52"/>
  </w:num>
  <w:num w:numId="41" w16cid:durableId="2032753558">
    <w:abstractNumId w:val="73"/>
  </w:num>
  <w:num w:numId="42" w16cid:durableId="1512375226">
    <w:abstractNumId w:val="0"/>
  </w:num>
  <w:num w:numId="43" w16cid:durableId="40793421">
    <w:abstractNumId w:val="102"/>
  </w:num>
  <w:num w:numId="44" w16cid:durableId="2047682008">
    <w:abstractNumId w:val="21"/>
  </w:num>
  <w:num w:numId="45" w16cid:durableId="1580404173">
    <w:abstractNumId w:val="26"/>
  </w:num>
  <w:num w:numId="46" w16cid:durableId="2076394494">
    <w:abstractNumId w:val="55"/>
  </w:num>
  <w:num w:numId="47" w16cid:durableId="1635326707">
    <w:abstractNumId w:val="6"/>
  </w:num>
  <w:num w:numId="48" w16cid:durableId="107118044">
    <w:abstractNumId w:val="72"/>
  </w:num>
  <w:num w:numId="49" w16cid:durableId="1326130385">
    <w:abstractNumId w:val="28"/>
  </w:num>
  <w:num w:numId="50" w16cid:durableId="373164176">
    <w:abstractNumId w:val="61"/>
  </w:num>
  <w:num w:numId="51" w16cid:durableId="1677076117">
    <w:abstractNumId w:val="122"/>
  </w:num>
  <w:num w:numId="52" w16cid:durableId="717238868">
    <w:abstractNumId w:val="60"/>
  </w:num>
  <w:num w:numId="53" w16cid:durableId="1226720773">
    <w:abstractNumId w:val="4"/>
  </w:num>
  <w:num w:numId="54" w16cid:durableId="649746228">
    <w:abstractNumId w:val="54"/>
  </w:num>
  <w:num w:numId="55" w16cid:durableId="796408593">
    <w:abstractNumId w:val="67"/>
  </w:num>
  <w:num w:numId="56" w16cid:durableId="1910992517">
    <w:abstractNumId w:val="47"/>
  </w:num>
  <w:num w:numId="57" w16cid:durableId="1037387125">
    <w:abstractNumId w:val="80"/>
  </w:num>
  <w:num w:numId="58" w16cid:durableId="124858677">
    <w:abstractNumId w:val="111"/>
  </w:num>
  <w:num w:numId="59" w16cid:durableId="2098213712">
    <w:abstractNumId w:val="38"/>
  </w:num>
  <w:num w:numId="60" w16cid:durableId="1506901307">
    <w:abstractNumId w:val="75"/>
  </w:num>
  <w:num w:numId="61" w16cid:durableId="1177310662">
    <w:abstractNumId w:val="57"/>
  </w:num>
  <w:num w:numId="62" w16cid:durableId="309673462">
    <w:abstractNumId w:val="53"/>
  </w:num>
  <w:num w:numId="63" w16cid:durableId="1005597173">
    <w:abstractNumId w:val="45"/>
  </w:num>
  <w:num w:numId="64" w16cid:durableId="510147624">
    <w:abstractNumId w:val="22"/>
  </w:num>
  <w:num w:numId="65" w16cid:durableId="691297203">
    <w:abstractNumId w:val="2"/>
  </w:num>
  <w:num w:numId="66" w16cid:durableId="1649280794">
    <w:abstractNumId w:val="93"/>
  </w:num>
  <w:num w:numId="67" w16cid:durableId="176964163">
    <w:abstractNumId w:val="20"/>
  </w:num>
  <w:num w:numId="68" w16cid:durableId="623006306">
    <w:abstractNumId w:val="86"/>
  </w:num>
  <w:num w:numId="69" w16cid:durableId="1209146111">
    <w:abstractNumId w:val="68"/>
  </w:num>
  <w:num w:numId="70" w16cid:durableId="417096395">
    <w:abstractNumId w:val="110"/>
  </w:num>
  <w:num w:numId="71" w16cid:durableId="980962655">
    <w:abstractNumId w:val="106"/>
  </w:num>
  <w:num w:numId="72" w16cid:durableId="1048919620">
    <w:abstractNumId w:val="1"/>
  </w:num>
  <w:num w:numId="73" w16cid:durableId="1652098875">
    <w:abstractNumId w:val="66"/>
  </w:num>
  <w:num w:numId="74" w16cid:durableId="1552383956">
    <w:abstractNumId w:val="104"/>
  </w:num>
  <w:num w:numId="75" w16cid:durableId="478424065">
    <w:abstractNumId w:val="69"/>
  </w:num>
  <w:num w:numId="76" w16cid:durableId="1270622933">
    <w:abstractNumId w:val="117"/>
  </w:num>
  <w:num w:numId="77" w16cid:durableId="1564372797">
    <w:abstractNumId w:val="90"/>
  </w:num>
  <w:num w:numId="78" w16cid:durableId="604270149">
    <w:abstractNumId w:val="16"/>
  </w:num>
  <w:num w:numId="79" w16cid:durableId="1960450345">
    <w:abstractNumId w:val="94"/>
  </w:num>
  <w:num w:numId="80" w16cid:durableId="472335124">
    <w:abstractNumId w:val="14"/>
  </w:num>
  <w:num w:numId="81" w16cid:durableId="2026008269">
    <w:abstractNumId w:val="95"/>
  </w:num>
  <w:num w:numId="82" w16cid:durableId="563102993">
    <w:abstractNumId w:val="13"/>
  </w:num>
  <w:num w:numId="83" w16cid:durableId="2121411428">
    <w:abstractNumId w:val="43"/>
  </w:num>
  <w:num w:numId="84" w16cid:durableId="1415125364">
    <w:abstractNumId w:val="92"/>
  </w:num>
  <w:num w:numId="85" w16cid:durableId="458374691">
    <w:abstractNumId w:val="119"/>
  </w:num>
  <w:num w:numId="86" w16cid:durableId="100532619">
    <w:abstractNumId w:val="81"/>
  </w:num>
  <w:num w:numId="87" w16cid:durableId="1880976027">
    <w:abstractNumId w:val="40"/>
  </w:num>
  <w:num w:numId="88" w16cid:durableId="1659267859">
    <w:abstractNumId w:val="8"/>
  </w:num>
  <w:num w:numId="89" w16cid:durableId="703602537">
    <w:abstractNumId w:val="74"/>
  </w:num>
  <w:num w:numId="90" w16cid:durableId="575945128">
    <w:abstractNumId w:val="34"/>
  </w:num>
  <w:num w:numId="91" w16cid:durableId="322392449">
    <w:abstractNumId w:val="41"/>
  </w:num>
  <w:num w:numId="92" w16cid:durableId="1825122176">
    <w:abstractNumId w:val="3"/>
  </w:num>
  <w:num w:numId="93" w16cid:durableId="1864708022">
    <w:abstractNumId w:val="19"/>
  </w:num>
  <w:num w:numId="94" w16cid:durableId="1415207472">
    <w:abstractNumId w:val="30"/>
  </w:num>
  <w:num w:numId="95" w16cid:durableId="459111999">
    <w:abstractNumId w:val="17"/>
  </w:num>
  <w:num w:numId="96" w16cid:durableId="1124540428">
    <w:abstractNumId w:val="44"/>
  </w:num>
  <w:num w:numId="97" w16cid:durableId="938754275">
    <w:abstractNumId w:val="112"/>
  </w:num>
  <w:num w:numId="98" w16cid:durableId="1809547079">
    <w:abstractNumId w:val="46"/>
  </w:num>
  <w:num w:numId="99" w16cid:durableId="1852063365">
    <w:abstractNumId w:val="37"/>
  </w:num>
  <w:num w:numId="100" w16cid:durableId="1111515939">
    <w:abstractNumId w:val="12"/>
  </w:num>
  <w:num w:numId="101" w16cid:durableId="1159922388">
    <w:abstractNumId w:val="36"/>
  </w:num>
  <w:num w:numId="102" w16cid:durableId="551506285">
    <w:abstractNumId w:val="18"/>
  </w:num>
  <w:num w:numId="103" w16cid:durableId="1869024275">
    <w:abstractNumId w:val="108"/>
  </w:num>
  <w:num w:numId="104" w16cid:durableId="1080521228">
    <w:abstractNumId w:val="5"/>
  </w:num>
  <w:num w:numId="105" w16cid:durableId="10189624">
    <w:abstractNumId w:val="83"/>
  </w:num>
  <w:num w:numId="106" w16cid:durableId="731655340">
    <w:abstractNumId w:val="15"/>
  </w:num>
  <w:num w:numId="107" w16cid:durableId="1791894521">
    <w:abstractNumId w:val="49"/>
  </w:num>
  <w:num w:numId="108" w16cid:durableId="1450247084">
    <w:abstractNumId w:val="29"/>
  </w:num>
  <w:num w:numId="109" w16cid:durableId="720397255">
    <w:abstractNumId w:val="105"/>
  </w:num>
  <w:num w:numId="110" w16cid:durableId="1232544570">
    <w:abstractNumId w:val="31"/>
  </w:num>
  <w:num w:numId="111" w16cid:durableId="1924030584">
    <w:abstractNumId w:val="118"/>
  </w:num>
  <w:num w:numId="112" w16cid:durableId="1436512579">
    <w:abstractNumId w:val="70"/>
  </w:num>
  <w:num w:numId="113" w16cid:durableId="1528911353">
    <w:abstractNumId w:val="84"/>
  </w:num>
  <w:num w:numId="114" w16cid:durableId="111020625">
    <w:abstractNumId w:val="64"/>
  </w:num>
  <w:num w:numId="115" w16cid:durableId="666245201">
    <w:abstractNumId w:val="87"/>
  </w:num>
  <w:num w:numId="116" w16cid:durableId="1710453329">
    <w:abstractNumId w:val="27"/>
  </w:num>
  <w:num w:numId="117" w16cid:durableId="625819568">
    <w:abstractNumId w:val="114"/>
  </w:num>
  <w:num w:numId="118" w16cid:durableId="1520848767">
    <w:abstractNumId w:val="113"/>
  </w:num>
  <w:num w:numId="119" w16cid:durableId="16659826">
    <w:abstractNumId w:val="24"/>
  </w:num>
  <w:num w:numId="120" w16cid:durableId="1124272289">
    <w:abstractNumId w:val="58"/>
  </w:num>
  <w:num w:numId="121" w16cid:durableId="2118014642">
    <w:abstractNumId w:val="59"/>
  </w:num>
  <w:num w:numId="122" w16cid:durableId="1219709888">
    <w:abstractNumId w:val="65"/>
  </w:num>
  <w:num w:numId="123" w16cid:durableId="1800420050">
    <w:abstractNumId w:val="89"/>
  </w:num>
  <w:num w:numId="124" w16cid:durableId="2009401764">
    <w:abstractNumId w:val="11"/>
  </w:num>
  <w:numIdMacAtCleanup w:val="1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57B36"/>
    <w:rsid w:val="000010A6"/>
    <w:rsid w:val="0000150B"/>
    <w:rsid w:val="000016D4"/>
    <w:rsid w:val="00001929"/>
    <w:rsid w:val="000020DC"/>
    <w:rsid w:val="0000281E"/>
    <w:rsid w:val="00002D62"/>
    <w:rsid w:val="00002F28"/>
    <w:rsid w:val="00002F71"/>
    <w:rsid w:val="00003527"/>
    <w:rsid w:val="0000364C"/>
    <w:rsid w:val="0000370F"/>
    <w:rsid w:val="000046B6"/>
    <w:rsid w:val="00004772"/>
    <w:rsid w:val="00004DF8"/>
    <w:rsid w:val="00004E68"/>
    <w:rsid w:val="0000529C"/>
    <w:rsid w:val="000052B7"/>
    <w:rsid w:val="0000560B"/>
    <w:rsid w:val="00005C21"/>
    <w:rsid w:val="00005E21"/>
    <w:rsid w:val="000060FA"/>
    <w:rsid w:val="000067D5"/>
    <w:rsid w:val="0000723F"/>
    <w:rsid w:val="000073B8"/>
    <w:rsid w:val="00007B95"/>
    <w:rsid w:val="00007F5F"/>
    <w:rsid w:val="000104D1"/>
    <w:rsid w:val="00010762"/>
    <w:rsid w:val="00010A11"/>
    <w:rsid w:val="00010B9A"/>
    <w:rsid w:val="00010C4F"/>
    <w:rsid w:val="00011DEF"/>
    <w:rsid w:val="000122FA"/>
    <w:rsid w:val="00012468"/>
    <w:rsid w:val="000125DA"/>
    <w:rsid w:val="00013017"/>
    <w:rsid w:val="000134BC"/>
    <w:rsid w:val="00013D99"/>
    <w:rsid w:val="000144FA"/>
    <w:rsid w:val="000145E3"/>
    <w:rsid w:val="0001492B"/>
    <w:rsid w:val="00014990"/>
    <w:rsid w:val="00014CA8"/>
    <w:rsid w:val="00014E71"/>
    <w:rsid w:val="000164F7"/>
    <w:rsid w:val="00016A06"/>
    <w:rsid w:val="00016B27"/>
    <w:rsid w:val="00016E0B"/>
    <w:rsid w:val="00017A92"/>
    <w:rsid w:val="00017FFB"/>
    <w:rsid w:val="00020038"/>
    <w:rsid w:val="00020574"/>
    <w:rsid w:val="0002085C"/>
    <w:rsid w:val="000209C5"/>
    <w:rsid w:val="00020BFE"/>
    <w:rsid w:val="00020C6E"/>
    <w:rsid w:val="00021149"/>
    <w:rsid w:val="00021D4B"/>
    <w:rsid w:val="000223EE"/>
    <w:rsid w:val="000233D2"/>
    <w:rsid w:val="000239DD"/>
    <w:rsid w:val="00023C07"/>
    <w:rsid w:val="00024088"/>
    <w:rsid w:val="00024413"/>
    <w:rsid w:val="00024B26"/>
    <w:rsid w:val="0002558B"/>
    <w:rsid w:val="00025C48"/>
    <w:rsid w:val="00025D18"/>
    <w:rsid w:val="00025E58"/>
    <w:rsid w:val="00026DAF"/>
    <w:rsid w:val="000270BA"/>
    <w:rsid w:val="00027D4F"/>
    <w:rsid w:val="000305F4"/>
    <w:rsid w:val="00030681"/>
    <w:rsid w:val="000316BD"/>
    <w:rsid w:val="000318D4"/>
    <w:rsid w:val="000319A0"/>
    <w:rsid w:val="00031BAD"/>
    <w:rsid w:val="00031E75"/>
    <w:rsid w:val="0003246F"/>
    <w:rsid w:val="0003328E"/>
    <w:rsid w:val="000332B0"/>
    <w:rsid w:val="00034739"/>
    <w:rsid w:val="0003482C"/>
    <w:rsid w:val="00034865"/>
    <w:rsid w:val="00035013"/>
    <w:rsid w:val="000354B4"/>
    <w:rsid w:val="00035980"/>
    <w:rsid w:val="00035EB0"/>
    <w:rsid w:val="000364BC"/>
    <w:rsid w:val="00036A02"/>
    <w:rsid w:val="000370EA"/>
    <w:rsid w:val="00037E34"/>
    <w:rsid w:val="00040131"/>
    <w:rsid w:val="000405AC"/>
    <w:rsid w:val="00040617"/>
    <w:rsid w:val="00041536"/>
    <w:rsid w:val="00041835"/>
    <w:rsid w:val="00041B1B"/>
    <w:rsid w:val="000423E2"/>
    <w:rsid w:val="000434FE"/>
    <w:rsid w:val="00043657"/>
    <w:rsid w:val="00043E12"/>
    <w:rsid w:val="000443AC"/>
    <w:rsid w:val="00044CB4"/>
    <w:rsid w:val="0004540D"/>
    <w:rsid w:val="000458A0"/>
    <w:rsid w:val="000459C5"/>
    <w:rsid w:val="00045D05"/>
    <w:rsid w:val="0004623D"/>
    <w:rsid w:val="00046A94"/>
    <w:rsid w:val="000470EE"/>
    <w:rsid w:val="000475D9"/>
    <w:rsid w:val="00047945"/>
    <w:rsid w:val="00047E41"/>
    <w:rsid w:val="00050778"/>
    <w:rsid w:val="00050B0B"/>
    <w:rsid w:val="00050CAF"/>
    <w:rsid w:val="000515CB"/>
    <w:rsid w:val="00051882"/>
    <w:rsid w:val="00051904"/>
    <w:rsid w:val="00051C28"/>
    <w:rsid w:val="00051F0B"/>
    <w:rsid w:val="0005299F"/>
    <w:rsid w:val="00053508"/>
    <w:rsid w:val="00053967"/>
    <w:rsid w:val="00053FC0"/>
    <w:rsid w:val="00054048"/>
    <w:rsid w:val="00054049"/>
    <w:rsid w:val="0005598C"/>
    <w:rsid w:val="00055EA9"/>
    <w:rsid w:val="0005617F"/>
    <w:rsid w:val="000563A2"/>
    <w:rsid w:val="00056405"/>
    <w:rsid w:val="000565D6"/>
    <w:rsid w:val="0005667F"/>
    <w:rsid w:val="00056D87"/>
    <w:rsid w:val="00057445"/>
    <w:rsid w:val="0005746B"/>
    <w:rsid w:val="000600E9"/>
    <w:rsid w:val="0006028F"/>
    <w:rsid w:val="000602B8"/>
    <w:rsid w:val="00060775"/>
    <w:rsid w:val="000610ED"/>
    <w:rsid w:val="000611E3"/>
    <w:rsid w:val="000620C6"/>
    <w:rsid w:val="00063451"/>
    <w:rsid w:val="00063C8B"/>
    <w:rsid w:val="00065364"/>
    <w:rsid w:val="000655B3"/>
    <w:rsid w:val="0006592C"/>
    <w:rsid w:val="00065E08"/>
    <w:rsid w:val="00066328"/>
    <w:rsid w:val="000663B1"/>
    <w:rsid w:val="00066493"/>
    <w:rsid w:val="000665F9"/>
    <w:rsid w:val="00066A31"/>
    <w:rsid w:val="00066A6E"/>
    <w:rsid w:val="000672C6"/>
    <w:rsid w:val="00067881"/>
    <w:rsid w:val="0006793B"/>
    <w:rsid w:val="00067BB1"/>
    <w:rsid w:val="000701CF"/>
    <w:rsid w:val="000709F8"/>
    <w:rsid w:val="0007124F"/>
    <w:rsid w:val="0007160C"/>
    <w:rsid w:val="00071A8A"/>
    <w:rsid w:val="00071DCE"/>
    <w:rsid w:val="00071E01"/>
    <w:rsid w:val="00071FBC"/>
    <w:rsid w:val="00072220"/>
    <w:rsid w:val="000728EE"/>
    <w:rsid w:val="0007432C"/>
    <w:rsid w:val="000744AC"/>
    <w:rsid w:val="00074951"/>
    <w:rsid w:val="00075146"/>
    <w:rsid w:val="00075CDF"/>
    <w:rsid w:val="00075D0E"/>
    <w:rsid w:val="00075E06"/>
    <w:rsid w:val="00076808"/>
    <w:rsid w:val="000770CD"/>
    <w:rsid w:val="000770F1"/>
    <w:rsid w:val="000817CF"/>
    <w:rsid w:val="000820F9"/>
    <w:rsid w:val="00082206"/>
    <w:rsid w:val="0008276E"/>
    <w:rsid w:val="00082C41"/>
    <w:rsid w:val="00083B10"/>
    <w:rsid w:val="00084324"/>
    <w:rsid w:val="00084A68"/>
    <w:rsid w:val="00085430"/>
    <w:rsid w:val="0008598C"/>
    <w:rsid w:val="00086983"/>
    <w:rsid w:val="000907A4"/>
    <w:rsid w:val="000911A8"/>
    <w:rsid w:val="00091739"/>
    <w:rsid w:val="00091985"/>
    <w:rsid w:val="00091D10"/>
    <w:rsid w:val="0009256E"/>
    <w:rsid w:val="00092863"/>
    <w:rsid w:val="00092C81"/>
    <w:rsid w:val="0009300E"/>
    <w:rsid w:val="0009363F"/>
    <w:rsid w:val="00093D2F"/>
    <w:rsid w:val="0009435D"/>
    <w:rsid w:val="000943E9"/>
    <w:rsid w:val="00094463"/>
    <w:rsid w:val="0009525E"/>
    <w:rsid w:val="00095558"/>
    <w:rsid w:val="00095C3A"/>
    <w:rsid w:val="000965B6"/>
    <w:rsid w:val="0009680F"/>
    <w:rsid w:val="00097293"/>
    <w:rsid w:val="00097397"/>
    <w:rsid w:val="00097869"/>
    <w:rsid w:val="00097B47"/>
    <w:rsid w:val="00097B4E"/>
    <w:rsid w:val="00097FE2"/>
    <w:rsid w:val="000A02EF"/>
    <w:rsid w:val="000A0389"/>
    <w:rsid w:val="000A0609"/>
    <w:rsid w:val="000A0E19"/>
    <w:rsid w:val="000A1174"/>
    <w:rsid w:val="000A130B"/>
    <w:rsid w:val="000A192E"/>
    <w:rsid w:val="000A1AAC"/>
    <w:rsid w:val="000A1D4E"/>
    <w:rsid w:val="000A2572"/>
    <w:rsid w:val="000A2FBF"/>
    <w:rsid w:val="000A3913"/>
    <w:rsid w:val="000A3FAC"/>
    <w:rsid w:val="000A48D6"/>
    <w:rsid w:val="000A5389"/>
    <w:rsid w:val="000A54B4"/>
    <w:rsid w:val="000A5617"/>
    <w:rsid w:val="000A59BB"/>
    <w:rsid w:val="000A5D51"/>
    <w:rsid w:val="000A6009"/>
    <w:rsid w:val="000A6905"/>
    <w:rsid w:val="000A71A7"/>
    <w:rsid w:val="000A779E"/>
    <w:rsid w:val="000A7E6D"/>
    <w:rsid w:val="000B010F"/>
    <w:rsid w:val="000B0164"/>
    <w:rsid w:val="000B06C9"/>
    <w:rsid w:val="000B09CE"/>
    <w:rsid w:val="000B0F6D"/>
    <w:rsid w:val="000B146C"/>
    <w:rsid w:val="000B1472"/>
    <w:rsid w:val="000B1730"/>
    <w:rsid w:val="000B1872"/>
    <w:rsid w:val="000B1E5F"/>
    <w:rsid w:val="000B21E3"/>
    <w:rsid w:val="000B22ED"/>
    <w:rsid w:val="000B2E4B"/>
    <w:rsid w:val="000B3479"/>
    <w:rsid w:val="000B3A7E"/>
    <w:rsid w:val="000B3AA8"/>
    <w:rsid w:val="000B68B2"/>
    <w:rsid w:val="000B6AB8"/>
    <w:rsid w:val="000B6E76"/>
    <w:rsid w:val="000B6E7D"/>
    <w:rsid w:val="000B7E17"/>
    <w:rsid w:val="000B7F34"/>
    <w:rsid w:val="000C00E7"/>
    <w:rsid w:val="000C111C"/>
    <w:rsid w:val="000C1350"/>
    <w:rsid w:val="000C176A"/>
    <w:rsid w:val="000C18F1"/>
    <w:rsid w:val="000C194B"/>
    <w:rsid w:val="000C1A0D"/>
    <w:rsid w:val="000C1A7F"/>
    <w:rsid w:val="000C1B34"/>
    <w:rsid w:val="000C1DC8"/>
    <w:rsid w:val="000C293B"/>
    <w:rsid w:val="000C2CA7"/>
    <w:rsid w:val="000C3E5B"/>
    <w:rsid w:val="000C4381"/>
    <w:rsid w:val="000C446D"/>
    <w:rsid w:val="000C4FB1"/>
    <w:rsid w:val="000C5E4C"/>
    <w:rsid w:val="000C5F88"/>
    <w:rsid w:val="000C6391"/>
    <w:rsid w:val="000C6820"/>
    <w:rsid w:val="000C70A5"/>
    <w:rsid w:val="000C7146"/>
    <w:rsid w:val="000C7E91"/>
    <w:rsid w:val="000C7EDE"/>
    <w:rsid w:val="000D1A67"/>
    <w:rsid w:val="000D22A3"/>
    <w:rsid w:val="000D2874"/>
    <w:rsid w:val="000D2AAD"/>
    <w:rsid w:val="000D35B9"/>
    <w:rsid w:val="000D394B"/>
    <w:rsid w:val="000D3DCA"/>
    <w:rsid w:val="000D41CA"/>
    <w:rsid w:val="000D4815"/>
    <w:rsid w:val="000D4A07"/>
    <w:rsid w:val="000D60C1"/>
    <w:rsid w:val="000D66C1"/>
    <w:rsid w:val="000D67F8"/>
    <w:rsid w:val="000D68B3"/>
    <w:rsid w:val="000D744F"/>
    <w:rsid w:val="000E0315"/>
    <w:rsid w:val="000E03E2"/>
    <w:rsid w:val="000E09A6"/>
    <w:rsid w:val="000E0ADE"/>
    <w:rsid w:val="000E0C21"/>
    <w:rsid w:val="000E1220"/>
    <w:rsid w:val="000E12B1"/>
    <w:rsid w:val="000E2BD8"/>
    <w:rsid w:val="000E2C67"/>
    <w:rsid w:val="000E30F5"/>
    <w:rsid w:val="000E345E"/>
    <w:rsid w:val="000E3886"/>
    <w:rsid w:val="000E3A41"/>
    <w:rsid w:val="000E4318"/>
    <w:rsid w:val="000E4737"/>
    <w:rsid w:val="000E5493"/>
    <w:rsid w:val="000E59C6"/>
    <w:rsid w:val="000E5A80"/>
    <w:rsid w:val="000E5FC7"/>
    <w:rsid w:val="000E640C"/>
    <w:rsid w:val="000E667E"/>
    <w:rsid w:val="000E7089"/>
    <w:rsid w:val="000E7521"/>
    <w:rsid w:val="000E75FA"/>
    <w:rsid w:val="000E764B"/>
    <w:rsid w:val="000E76FE"/>
    <w:rsid w:val="000E7792"/>
    <w:rsid w:val="000F06AA"/>
    <w:rsid w:val="000F103B"/>
    <w:rsid w:val="000F166B"/>
    <w:rsid w:val="000F1980"/>
    <w:rsid w:val="000F229B"/>
    <w:rsid w:val="000F256C"/>
    <w:rsid w:val="000F2595"/>
    <w:rsid w:val="000F380F"/>
    <w:rsid w:val="000F3948"/>
    <w:rsid w:val="000F3CDB"/>
    <w:rsid w:val="000F455B"/>
    <w:rsid w:val="000F4DEF"/>
    <w:rsid w:val="000F50F7"/>
    <w:rsid w:val="000F5A4A"/>
    <w:rsid w:val="000F5B52"/>
    <w:rsid w:val="000F6797"/>
    <w:rsid w:val="000F7266"/>
    <w:rsid w:val="000F780C"/>
    <w:rsid w:val="001007DD"/>
    <w:rsid w:val="00101487"/>
    <w:rsid w:val="00101590"/>
    <w:rsid w:val="00101659"/>
    <w:rsid w:val="00102517"/>
    <w:rsid w:val="00102BCC"/>
    <w:rsid w:val="00102FF2"/>
    <w:rsid w:val="00103070"/>
    <w:rsid w:val="001036BD"/>
    <w:rsid w:val="00103931"/>
    <w:rsid w:val="00104840"/>
    <w:rsid w:val="00104902"/>
    <w:rsid w:val="00104D89"/>
    <w:rsid w:val="00104DA5"/>
    <w:rsid w:val="00104E6E"/>
    <w:rsid w:val="00104F78"/>
    <w:rsid w:val="00105807"/>
    <w:rsid w:val="00105F3C"/>
    <w:rsid w:val="00106209"/>
    <w:rsid w:val="0010646D"/>
    <w:rsid w:val="00106690"/>
    <w:rsid w:val="00106B4A"/>
    <w:rsid w:val="00106B4B"/>
    <w:rsid w:val="00107D3E"/>
    <w:rsid w:val="00110541"/>
    <w:rsid w:val="001107CB"/>
    <w:rsid w:val="001108C2"/>
    <w:rsid w:val="001109C0"/>
    <w:rsid w:val="00110D6A"/>
    <w:rsid w:val="001111B1"/>
    <w:rsid w:val="0011130E"/>
    <w:rsid w:val="001122BF"/>
    <w:rsid w:val="001127AD"/>
    <w:rsid w:val="00112AEE"/>
    <w:rsid w:val="00112E0D"/>
    <w:rsid w:val="0011304C"/>
    <w:rsid w:val="001139D4"/>
    <w:rsid w:val="00113E52"/>
    <w:rsid w:val="001145D3"/>
    <w:rsid w:val="00114D0A"/>
    <w:rsid w:val="001152A0"/>
    <w:rsid w:val="001156B9"/>
    <w:rsid w:val="00115AEF"/>
    <w:rsid w:val="00115D2C"/>
    <w:rsid w:val="001160E4"/>
    <w:rsid w:val="00116101"/>
    <w:rsid w:val="001165D0"/>
    <w:rsid w:val="00116BE8"/>
    <w:rsid w:val="00120002"/>
    <w:rsid w:val="00120176"/>
    <w:rsid w:val="001207F8"/>
    <w:rsid w:val="0012082C"/>
    <w:rsid w:val="00120898"/>
    <w:rsid w:val="0012098B"/>
    <w:rsid w:val="001213D2"/>
    <w:rsid w:val="001213F3"/>
    <w:rsid w:val="0012194D"/>
    <w:rsid w:val="001228F6"/>
    <w:rsid w:val="00122A88"/>
    <w:rsid w:val="00122A8E"/>
    <w:rsid w:val="0012343A"/>
    <w:rsid w:val="00123542"/>
    <w:rsid w:val="001237DA"/>
    <w:rsid w:val="001243DD"/>
    <w:rsid w:val="00124449"/>
    <w:rsid w:val="001245F1"/>
    <w:rsid w:val="0012497C"/>
    <w:rsid w:val="00124F3B"/>
    <w:rsid w:val="00124FF9"/>
    <w:rsid w:val="001255AE"/>
    <w:rsid w:val="001258AF"/>
    <w:rsid w:val="0012635C"/>
    <w:rsid w:val="00127A4C"/>
    <w:rsid w:val="0013007E"/>
    <w:rsid w:val="00130322"/>
    <w:rsid w:val="001303E8"/>
    <w:rsid w:val="0013072E"/>
    <w:rsid w:val="001308E7"/>
    <w:rsid w:val="00130C87"/>
    <w:rsid w:val="00130E89"/>
    <w:rsid w:val="0013119D"/>
    <w:rsid w:val="00131267"/>
    <w:rsid w:val="00131A29"/>
    <w:rsid w:val="00131F1B"/>
    <w:rsid w:val="00131FE6"/>
    <w:rsid w:val="001321A0"/>
    <w:rsid w:val="0013267A"/>
    <w:rsid w:val="001329BF"/>
    <w:rsid w:val="00132C35"/>
    <w:rsid w:val="00133432"/>
    <w:rsid w:val="001334AD"/>
    <w:rsid w:val="00133987"/>
    <w:rsid w:val="00133E8E"/>
    <w:rsid w:val="001344F8"/>
    <w:rsid w:val="001348A2"/>
    <w:rsid w:val="00134D29"/>
    <w:rsid w:val="00134F80"/>
    <w:rsid w:val="00134FD5"/>
    <w:rsid w:val="00135695"/>
    <w:rsid w:val="00135C80"/>
    <w:rsid w:val="001362C3"/>
    <w:rsid w:val="0013639B"/>
    <w:rsid w:val="00137324"/>
    <w:rsid w:val="001377D0"/>
    <w:rsid w:val="00137DD9"/>
    <w:rsid w:val="00137F9E"/>
    <w:rsid w:val="00140001"/>
    <w:rsid w:val="001400D3"/>
    <w:rsid w:val="001407B8"/>
    <w:rsid w:val="001410C2"/>
    <w:rsid w:val="0014126A"/>
    <w:rsid w:val="0014192E"/>
    <w:rsid w:val="00141BD1"/>
    <w:rsid w:val="00141CD3"/>
    <w:rsid w:val="00141D66"/>
    <w:rsid w:val="00142049"/>
    <w:rsid w:val="00142408"/>
    <w:rsid w:val="0014246B"/>
    <w:rsid w:val="00142593"/>
    <w:rsid w:val="0014263D"/>
    <w:rsid w:val="00142958"/>
    <w:rsid w:val="00142D60"/>
    <w:rsid w:val="00142E4D"/>
    <w:rsid w:val="0014349F"/>
    <w:rsid w:val="00143801"/>
    <w:rsid w:val="001445A1"/>
    <w:rsid w:val="0014541A"/>
    <w:rsid w:val="00145D30"/>
    <w:rsid w:val="00146265"/>
    <w:rsid w:val="00146915"/>
    <w:rsid w:val="00147090"/>
    <w:rsid w:val="00147572"/>
    <w:rsid w:val="001475C8"/>
    <w:rsid w:val="00147869"/>
    <w:rsid w:val="00147F75"/>
    <w:rsid w:val="001501C6"/>
    <w:rsid w:val="001507D0"/>
    <w:rsid w:val="0015168D"/>
    <w:rsid w:val="00151A79"/>
    <w:rsid w:val="00151F81"/>
    <w:rsid w:val="00152040"/>
    <w:rsid w:val="001526DA"/>
    <w:rsid w:val="0015276B"/>
    <w:rsid w:val="001527D8"/>
    <w:rsid w:val="00152906"/>
    <w:rsid w:val="00153670"/>
    <w:rsid w:val="00153A02"/>
    <w:rsid w:val="001542B9"/>
    <w:rsid w:val="00155C14"/>
    <w:rsid w:val="001561BD"/>
    <w:rsid w:val="00156522"/>
    <w:rsid w:val="00156AC5"/>
    <w:rsid w:val="00156D53"/>
    <w:rsid w:val="00156F81"/>
    <w:rsid w:val="00157B73"/>
    <w:rsid w:val="00157DF9"/>
    <w:rsid w:val="00157E19"/>
    <w:rsid w:val="0016024A"/>
    <w:rsid w:val="00161236"/>
    <w:rsid w:val="0016131F"/>
    <w:rsid w:val="00161FEF"/>
    <w:rsid w:val="00162015"/>
    <w:rsid w:val="0016386B"/>
    <w:rsid w:val="00163ABE"/>
    <w:rsid w:val="00163E88"/>
    <w:rsid w:val="00163F5D"/>
    <w:rsid w:val="00164208"/>
    <w:rsid w:val="0016422F"/>
    <w:rsid w:val="00164355"/>
    <w:rsid w:val="00164961"/>
    <w:rsid w:val="00164A2F"/>
    <w:rsid w:val="00164E80"/>
    <w:rsid w:val="0016531C"/>
    <w:rsid w:val="001655AF"/>
    <w:rsid w:val="00165777"/>
    <w:rsid w:val="00166450"/>
    <w:rsid w:val="00166749"/>
    <w:rsid w:val="001667BC"/>
    <w:rsid w:val="00166D40"/>
    <w:rsid w:val="00166F9A"/>
    <w:rsid w:val="001679D9"/>
    <w:rsid w:val="001701B9"/>
    <w:rsid w:val="00170794"/>
    <w:rsid w:val="001708EA"/>
    <w:rsid w:val="00170C47"/>
    <w:rsid w:val="00170E65"/>
    <w:rsid w:val="00171222"/>
    <w:rsid w:val="001723B9"/>
    <w:rsid w:val="00172759"/>
    <w:rsid w:val="0017293A"/>
    <w:rsid w:val="001731CE"/>
    <w:rsid w:val="00173794"/>
    <w:rsid w:val="001738CA"/>
    <w:rsid w:val="00174154"/>
    <w:rsid w:val="0017529B"/>
    <w:rsid w:val="001762AB"/>
    <w:rsid w:val="0017634F"/>
    <w:rsid w:val="00176AE6"/>
    <w:rsid w:val="00176DB6"/>
    <w:rsid w:val="00177A32"/>
    <w:rsid w:val="00177C7C"/>
    <w:rsid w:val="001803CF"/>
    <w:rsid w:val="0018088D"/>
    <w:rsid w:val="00180BC3"/>
    <w:rsid w:val="00180C3A"/>
    <w:rsid w:val="00180C7F"/>
    <w:rsid w:val="00180FD4"/>
    <w:rsid w:val="00181110"/>
    <w:rsid w:val="001814BD"/>
    <w:rsid w:val="00181863"/>
    <w:rsid w:val="00181F73"/>
    <w:rsid w:val="00181FFA"/>
    <w:rsid w:val="00182206"/>
    <w:rsid w:val="00182FDB"/>
    <w:rsid w:val="00183BE2"/>
    <w:rsid w:val="0018407E"/>
    <w:rsid w:val="001854F1"/>
    <w:rsid w:val="00185B50"/>
    <w:rsid w:val="00185F35"/>
    <w:rsid w:val="00186077"/>
    <w:rsid w:val="0018650F"/>
    <w:rsid w:val="00186649"/>
    <w:rsid w:val="0018741E"/>
    <w:rsid w:val="00187F16"/>
    <w:rsid w:val="001900F2"/>
    <w:rsid w:val="0019028B"/>
    <w:rsid w:val="00190D3D"/>
    <w:rsid w:val="00190DC3"/>
    <w:rsid w:val="00191584"/>
    <w:rsid w:val="001917B9"/>
    <w:rsid w:val="001919E2"/>
    <w:rsid w:val="00191AF6"/>
    <w:rsid w:val="00192261"/>
    <w:rsid w:val="0019247C"/>
    <w:rsid w:val="001926F8"/>
    <w:rsid w:val="00192F74"/>
    <w:rsid w:val="0019322F"/>
    <w:rsid w:val="0019375B"/>
    <w:rsid w:val="00194370"/>
    <w:rsid w:val="00195226"/>
    <w:rsid w:val="00195757"/>
    <w:rsid w:val="001958E2"/>
    <w:rsid w:val="00195A5B"/>
    <w:rsid w:val="00195E3F"/>
    <w:rsid w:val="0019600B"/>
    <w:rsid w:val="00196744"/>
    <w:rsid w:val="00196E9E"/>
    <w:rsid w:val="0019727C"/>
    <w:rsid w:val="00197C0D"/>
    <w:rsid w:val="00197C31"/>
    <w:rsid w:val="001A0236"/>
    <w:rsid w:val="001A0238"/>
    <w:rsid w:val="001A08ED"/>
    <w:rsid w:val="001A0D50"/>
    <w:rsid w:val="001A0D96"/>
    <w:rsid w:val="001A0EBD"/>
    <w:rsid w:val="001A1117"/>
    <w:rsid w:val="001A158B"/>
    <w:rsid w:val="001A15D0"/>
    <w:rsid w:val="001A1B49"/>
    <w:rsid w:val="001A1E39"/>
    <w:rsid w:val="001A1EEB"/>
    <w:rsid w:val="001A22D4"/>
    <w:rsid w:val="001A2F2F"/>
    <w:rsid w:val="001A31E2"/>
    <w:rsid w:val="001A3366"/>
    <w:rsid w:val="001A336C"/>
    <w:rsid w:val="001A371F"/>
    <w:rsid w:val="001A3A38"/>
    <w:rsid w:val="001A3D05"/>
    <w:rsid w:val="001A4BE5"/>
    <w:rsid w:val="001A5082"/>
    <w:rsid w:val="001A5094"/>
    <w:rsid w:val="001A58BC"/>
    <w:rsid w:val="001A5E55"/>
    <w:rsid w:val="001A5FB6"/>
    <w:rsid w:val="001A60FF"/>
    <w:rsid w:val="001A62C3"/>
    <w:rsid w:val="001A64A1"/>
    <w:rsid w:val="001A6942"/>
    <w:rsid w:val="001A727B"/>
    <w:rsid w:val="001A7BCE"/>
    <w:rsid w:val="001A7BE1"/>
    <w:rsid w:val="001B007D"/>
    <w:rsid w:val="001B10F3"/>
    <w:rsid w:val="001B22E8"/>
    <w:rsid w:val="001B234E"/>
    <w:rsid w:val="001B23ED"/>
    <w:rsid w:val="001B25E8"/>
    <w:rsid w:val="001B2C5C"/>
    <w:rsid w:val="001B310B"/>
    <w:rsid w:val="001B404C"/>
    <w:rsid w:val="001B4A7B"/>
    <w:rsid w:val="001B51E6"/>
    <w:rsid w:val="001B5391"/>
    <w:rsid w:val="001B5A8B"/>
    <w:rsid w:val="001B5DEC"/>
    <w:rsid w:val="001B5FF2"/>
    <w:rsid w:val="001B649E"/>
    <w:rsid w:val="001B64B2"/>
    <w:rsid w:val="001B698B"/>
    <w:rsid w:val="001B712E"/>
    <w:rsid w:val="001B71D5"/>
    <w:rsid w:val="001B72B8"/>
    <w:rsid w:val="001B7690"/>
    <w:rsid w:val="001B7EBC"/>
    <w:rsid w:val="001C01B3"/>
    <w:rsid w:val="001C0699"/>
    <w:rsid w:val="001C0778"/>
    <w:rsid w:val="001C0939"/>
    <w:rsid w:val="001C0B10"/>
    <w:rsid w:val="001C0C6C"/>
    <w:rsid w:val="001C1A12"/>
    <w:rsid w:val="001C1DF8"/>
    <w:rsid w:val="001C2274"/>
    <w:rsid w:val="001C22E8"/>
    <w:rsid w:val="001C2D49"/>
    <w:rsid w:val="001C307C"/>
    <w:rsid w:val="001C371C"/>
    <w:rsid w:val="001C389B"/>
    <w:rsid w:val="001C443E"/>
    <w:rsid w:val="001C455B"/>
    <w:rsid w:val="001C4A07"/>
    <w:rsid w:val="001C4A4A"/>
    <w:rsid w:val="001C4E95"/>
    <w:rsid w:val="001C536F"/>
    <w:rsid w:val="001C5FB0"/>
    <w:rsid w:val="001C6EE1"/>
    <w:rsid w:val="001C731F"/>
    <w:rsid w:val="001C73AF"/>
    <w:rsid w:val="001C73F7"/>
    <w:rsid w:val="001D02B7"/>
    <w:rsid w:val="001D0346"/>
    <w:rsid w:val="001D0552"/>
    <w:rsid w:val="001D056A"/>
    <w:rsid w:val="001D060D"/>
    <w:rsid w:val="001D0619"/>
    <w:rsid w:val="001D0844"/>
    <w:rsid w:val="001D098E"/>
    <w:rsid w:val="001D0C39"/>
    <w:rsid w:val="001D0E17"/>
    <w:rsid w:val="001D0F51"/>
    <w:rsid w:val="001D13E2"/>
    <w:rsid w:val="001D17E3"/>
    <w:rsid w:val="001D19B7"/>
    <w:rsid w:val="001D1FA8"/>
    <w:rsid w:val="001D2434"/>
    <w:rsid w:val="001D314A"/>
    <w:rsid w:val="001D3566"/>
    <w:rsid w:val="001D3B35"/>
    <w:rsid w:val="001D3BCA"/>
    <w:rsid w:val="001D3C67"/>
    <w:rsid w:val="001D3E2C"/>
    <w:rsid w:val="001D41CF"/>
    <w:rsid w:val="001D4708"/>
    <w:rsid w:val="001D484F"/>
    <w:rsid w:val="001D4A9A"/>
    <w:rsid w:val="001D4AED"/>
    <w:rsid w:val="001D4E08"/>
    <w:rsid w:val="001D5634"/>
    <w:rsid w:val="001D5897"/>
    <w:rsid w:val="001D59D0"/>
    <w:rsid w:val="001D5E34"/>
    <w:rsid w:val="001D6B7F"/>
    <w:rsid w:val="001D7B33"/>
    <w:rsid w:val="001D7D2C"/>
    <w:rsid w:val="001E0A65"/>
    <w:rsid w:val="001E0AB5"/>
    <w:rsid w:val="001E18F7"/>
    <w:rsid w:val="001E1B68"/>
    <w:rsid w:val="001E1D12"/>
    <w:rsid w:val="001E27A0"/>
    <w:rsid w:val="001E28DC"/>
    <w:rsid w:val="001E2F9E"/>
    <w:rsid w:val="001E32CB"/>
    <w:rsid w:val="001E3376"/>
    <w:rsid w:val="001E39D7"/>
    <w:rsid w:val="001E3D79"/>
    <w:rsid w:val="001E3DDC"/>
    <w:rsid w:val="001E3E8D"/>
    <w:rsid w:val="001E3ECD"/>
    <w:rsid w:val="001E53A2"/>
    <w:rsid w:val="001E6452"/>
    <w:rsid w:val="001E6815"/>
    <w:rsid w:val="001E79E6"/>
    <w:rsid w:val="001E7CE7"/>
    <w:rsid w:val="001F0408"/>
    <w:rsid w:val="001F1558"/>
    <w:rsid w:val="001F1621"/>
    <w:rsid w:val="001F19F0"/>
    <w:rsid w:val="001F1B5A"/>
    <w:rsid w:val="001F1C1E"/>
    <w:rsid w:val="001F1E7D"/>
    <w:rsid w:val="001F212C"/>
    <w:rsid w:val="001F2A6A"/>
    <w:rsid w:val="001F2DB6"/>
    <w:rsid w:val="001F2FF6"/>
    <w:rsid w:val="001F36C1"/>
    <w:rsid w:val="001F37F9"/>
    <w:rsid w:val="001F4686"/>
    <w:rsid w:val="001F476E"/>
    <w:rsid w:val="001F49A0"/>
    <w:rsid w:val="001F5415"/>
    <w:rsid w:val="001F5A42"/>
    <w:rsid w:val="001F5B89"/>
    <w:rsid w:val="001F6589"/>
    <w:rsid w:val="001F76FB"/>
    <w:rsid w:val="001F7B70"/>
    <w:rsid w:val="001F7D5A"/>
    <w:rsid w:val="002003BB"/>
    <w:rsid w:val="0020090C"/>
    <w:rsid w:val="00200A20"/>
    <w:rsid w:val="00200A5D"/>
    <w:rsid w:val="00200EB6"/>
    <w:rsid w:val="00201416"/>
    <w:rsid w:val="00201667"/>
    <w:rsid w:val="00201A4E"/>
    <w:rsid w:val="00201BDF"/>
    <w:rsid w:val="00202127"/>
    <w:rsid w:val="00202330"/>
    <w:rsid w:val="002024A1"/>
    <w:rsid w:val="00202860"/>
    <w:rsid w:val="00202885"/>
    <w:rsid w:val="00202AE3"/>
    <w:rsid w:val="00202BE5"/>
    <w:rsid w:val="002031EE"/>
    <w:rsid w:val="00203E36"/>
    <w:rsid w:val="00204608"/>
    <w:rsid w:val="0020464F"/>
    <w:rsid w:val="00204667"/>
    <w:rsid w:val="0020484B"/>
    <w:rsid w:val="00204EA6"/>
    <w:rsid w:val="002053D7"/>
    <w:rsid w:val="0020545F"/>
    <w:rsid w:val="00205597"/>
    <w:rsid w:val="002055A0"/>
    <w:rsid w:val="00205768"/>
    <w:rsid w:val="002060F2"/>
    <w:rsid w:val="00206A2C"/>
    <w:rsid w:val="00206C43"/>
    <w:rsid w:val="0020705E"/>
    <w:rsid w:val="002072E3"/>
    <w:rsid w:val="00207599"/>
    <w:rsid w:val="00210067"/>
    <w:rsid w:val="00210ADF"/>
    <w:rsid w:val="00210E51"/>
    <w:rsid w:val="002111F2"/>
    <w:rsid w:val="002113BF"/>
    <w:rsid w:val="002118DC"/>
    <w:rsid w:val="00211AFF"/>
    <w:rsid w:val="00212060"/>
    <w:rsid w:val="00212517"/>
    <w:rsid w:val="00212B85"/>
    <w:rsid w:val="00213256"/>
    <w:rsid w:val="002133C9"/>
    <w:rsid w:val="0021397D"/>
    <w:rsid w:val="00214254"/>
    <w:rsid w:val="002143EC"/>
    <w:rsid w:val="00214870"/>
    <w:rsid w:val="0021493D"/>
    <w:rsid w:val="0021505B"/>
    <w:rsid w:val="00215168"/>
    <w:rsid w:val="002154BC"/>
    <w:rsid w:val="0021558B"/>
    <w:rsid w:val="002155CB"/>
    <w:rsid w:val="00215BC2"/>
    <w:rsid w:val="00215F96"/>
    <w:rsid w:val="00217A96"/>
    <w:rsid w:val="00217BAA"/>
    <w:rsid w:val="00217F0A"/>
    <w:rsid w:val="00220351"/>
    <w:rsid w:val="00221317"/>
    <w:rsid w:val="002213C6"/>
    <w:rsid w:val="00221F8F"/>
    <w:rsid w:val="00222133"/>
    <w:rsid w:val="00222378"/>
    <w:rsid w:val="00222723"/>
    <w:rsid w:val="002231A9"/>
    <w:rsid w:val="002237E8"/>
    <w:rsid w:val="00223DE7"/>
    <w:rsid w:val="0022447F"/>
    <w:rsid w:val="00224A8A"/>
    <w:rsid w:val="00224CE4"/>
    <w:rsid w:val="0022505D"/>
    <w:rsid w:val="00225220"/>
    <w:rsid w:val="00225A4D"/>
    <w:rsid w:val="00225E69"/>
    <w:rsid w:val="002266D8"/>
    <w:rsid w:val="00226A65"/>
    <w:rsid w:val="00226AD8"/>
    <w:rsid w:val="002274E1"/>
    <w:rsid w:val="00227A05"/>
    <w:rsid w:val="00227EE4"/>
    <w:rsid w:val="00227F1D"/>
    <w:rsid w:val="00230D2D"/>
    <w:rsid w:val="00231356"/>
    <w:rsid w:val="00231A57"/>
    <w:rsid w:val="00231B4B"/>
    <w:rsid w:val="00231E37"/>
    <w:rsid w:val="00232C84"/>
    <w:rsid w:val="00233160"/>
    <w:rsid w:val="002335BC"/>
    <w:rsid w:val="00233804"/>
    <w:rsid w:val="0023390C"/>
    <w:rsid w:val="00233A79"/>
    <w:rsid w:val="002340B1"/>
    <w:rsid w:val="002341D2"/>
    <w:rsid w:val="00234D51"/>
    <w:rsid w:val="00234DCE"/>
    <w:rsid w:val="00234F06"/>
    <w:rsid w:val="00235731"/>
    <w:rsid w:val="00236CDC"/>
    <w:rsid w:val="00236D99"/>
    <w:rsid w:val="00236F03"/>
    <w:rsid w:val="002401FB"/>
    <w:rsid w:val="00240233"/>
    <w:rsid w:val="002407CE"/>
    <w:rsid w:val="002407F1"/>
    <w:rsid w:val="00240891"/>
    <w:rsid w:val="00240A8E"/>
    <w:rsid w:val="00240AB6"/>
    <w:rsid w:val="00240F39"/>
    <w:rsid w:val="00240F59"/>
    <w:rsid w:val="002410B0"/>
    <w:rsid w:val="002412FA"/>
    <w:rsid w:val="002415F3"/>
    <w:rsid w:val="00241626"/>
    <w:rsid w:val="00241966"/>
    <w:rsid w:val="00241ABA"/>
    <w:rsid w:val="00241CF5"/>
    <w:rsid w:val="00242186"/>
    <w:rsid w:val="002435B0"/>
    <w:rsid w:val="002437E6"/>
    <w:rsid w:val="00244097"/>
    <w:rsid w:val="002440D7"/>
    <w:rsid w:val="0024417C"/>
    <w:rsid w:val="00244C96"/>
    <w:rsid w:val="00244EA8"/>
    <w:rsid w:val="00245AF1"/>
    <w:rsid w:val="00246091"/>
    <w:rsid w:val="00246C78"/>
    <w:rsid w:val="00246C95"/>
    <w:rsid w:val="00246DB9"/>
    <w:rsid w:val="00247106"/>
    <w:rsid w:val="00247C28"/>
    <w:rsid w:val="00247DC7"/>
    <w:rsid w:val="002505C4"/>
    <w:rsid w:val="00250E79"/>
    <w:rsid w:val="00250F48"/>
    <w:rsid w:val="0025186C"/>
    <w:rsid w:val="002519BB"/>
    <w:rsid w:val="00251A48"/>
    <w:rsid w:val="00251A49"/>
    <w:rsid w:val="00251D44"/>
    <w:rsid w:val="00253183"/>
    <w:rsid w:val="00253285"/>
    <w:rsid w:val="0025371E"/>
    <w:rsid w:val="002543C6"/>
    <w:rsid w:val="00254CBB"/>
    <w:rsid w:val="00255542"/>
    <w:rsid w:val="002555EF"/>
    <w:rsid w:val="0025574E"/>
    <w:rsid w:val="002557E8"/>
    <w:rsid w:val="00255CD7"/>
    <w:rsid w:val="00255D11"/>
    <w:rsid w:val="00255F48"/>
    <w:rsid w:val="00256310"/>
    <w:rsid w:val="0025689B"/>
    <w:rsid w:val="00256928"/>
    <w:rsid w:val="00256D7E"/>
    <w:rsid w:val="00257947"/>
    <w:rsid w:val="00257C03"/>
    <w:rsid w:val="00257C0D"/>
    <w:rsid w:val="002605F6"/>
    <w:rsid w:val="002608F3"/>
    <w:rsid w:val="00261002"/>
    <w:rsid w:val="00261063"/>
    <w:rsid w:val="00261DDB"/>
    <w:rsid w:val="0026235B"/>
    <w:rsid w:val="00262C66"/>
    <w:rsid w:val="00262D8C"/>
    <w:rsid w:val="00262ECF"/>
    <w:rsid w:val="00262ED4"/>
    <w:rsid w:val="00263C8F"/>
    <w:rsid w:val="002645B3"/>
    <w:rsid w:val="00265056"/>
    <w:rsid w:val="00265362"/>
    <w:rsid w:val="002654D4"/>
    <w:rsid w:val="002654F2"/>
    <w:rsid w:val="00265748"/>
    <w:rsid w:val="00265BAA"/>
    <w:rsid w:val="00265CF8"/>
    <w:rsid w:val="00266049"/>
    <w:rsid w:val="002660D5"/>
    <w:rsid w:val="0026612B"/>
    <w:rsid w:val="00267C0A"/>
    <w:rsid w:val="00267C93"/>
    <w:rsid w:val="00267CAB"/>
    <w:rsid w:val="00267E68"/>
    <w:rsid w:val="0027063A"/>
    <w:rsid w:val="00271141"/>
    <w:rsid w:val="00271531"/>
    <w:rsid w:val="00271DB6"/>
    <w:rsid w:val="00271EC2"/>
    <w:rsid w:val="0027245A"/>
    <w:rsid w:val="00273391"/>
    <w:rsid w:val="002733B2"/>
    <w:rsid w:val="00273B35"/>
    <w:rsid w:val="002745C8"/>
    <w:rsid w:val="0027464D"/>
    <w:rsid w:val="0027486D"/>
    <w:rsid w:val="00274875"/>
    <w:rsid w:val="00274CD0"/>
    <w:rsid w:val="00274D57"/>
    <w:rsid w:val="002753B1"/>
    <w:rsid w:val="0027545E"/>
    <w:rsid w:val="00275476"/>
    <w:rsid w:val="002754DB"/>
    <w:rsid w:val="0027579C"/>
    <w:rsid w:val="002757F6"/>
    <w:rsid w:val="00275A17"/>
    <w:rsid w:val="002762FA"/>
    <w:rsid w:val="00276714"/>
    <w:rsid w:val="00277349"/>
    <w:rsid w:val="00280009"/>
    <w:rsid w:val="002802A9"/>
    <w:rsid w:val="002805B5"/>
    <w:rsid w:val="00281A65"/>
    <w:rsid w:val="00281D41"/>
    <w:rsid w:val="0028211F"/>
    <w:rsid w:val="002821C6"/>
    <w:rsid w:val="002822FC"/>
    <w:rsid w:val="00282A14"/>
    <w:rsid w:val="00282CBA"/>
    <w:rsid w:val="00282E5E"/>
    <w:rsid w:val="002835F1"/>
    <w:rsid w:val="00283641"/>
    <w:rsid w:val="00283B07"/>
    <w:rsid w:val="00283DAF"/>
    <w:rsid w:val="00283F0A"/>
    <w:rsid w:val="00284817"/>
    <w:rsid w:val="00284948"/>
    <w:rsid w:val="0028511D"/>
    <w:rsid w:val="00285756"/>
    <w:rsid w:val="00285820"/>
    <w:rsid w:val="00285AD1"/>
    <w:rsid w:val="00285FEB"/>
    <w:rsid w:val="00285FFD"/>
    <w:rsid w:val="00286225"/>
    <w:rsid w:val="0028624E"/>
    <w:rsid w:val="00286341"/>
    <w:rsid w:val="00286D1A"/>
    <w:rsid w:val="00287495"/>
    <w:rsid w:val="00287635"/>
    <w:rsid w:val="00287D46"/>
    <w:rsid w:val="0029042D"/>
    <w:rsid w:val="00290517"/>
    <w:rsid w:val="002909D8"/>
    <w:rsid w:val="00290BE0"/>
    <w:rsid w:val="00291168"/>
    <w:rsid w:val="00291398"/>
    <w:rsid w:val="002917DF"/>
    <w:rsid w:val="00291D1B"/>
    <w:rsid w:val="00291E9D"/>
    <w:rsid w:val="00291F3A"/>
    <w:rsid w:val="00292292"/>
    <w:rsid w:val="00292BB9"/>
    <w:rsid w:val="00292D1C"/>
    <w:rsid w:val="0029423A"/>
    <w:rsid w:val="00294765"/>
    <w:rsid w:val="0029502A"/>
    <w:rsid w:val="002954EF"/>
    <w:rsid w:val="00295978"/>
    <w:rsid w:val="00295FE5"/>
    <w:rsid w:val="002961B5"/>
    <w:rsid w:val="002968A8"/>
    <w:rsid w:val="002970E5"/>
    <w:rsid w:val="0029715B"/>
    <w:rsid w:val="002973F7"/>
    <w:rsid w:val="002974A2"/>
    <w:rsid w:val="00297D3F"/>
    <w:rsid w:val="00297E57"/>
    <w:rsid w:val="002A03D6"/>
    <w:rsid w:val="002A0C1A"/>
    <w:rsid w:val="002A0C9F"/>
    <w:rsid w:val="002A0E29"/>
    <w:rsid w:val="002A102D"/>
    <w:rsid w:val="002A1344"/>
    <w:rsid w:val="002A13D5"/>
    <w:rsid w:val="002A2276"/>
    <w:rsid w:val="002A234C"/>
    <w:rsid w:val="002A23B6"/>
    <w:rsid w:val="002A2728"/>
    <w:rsid w:val="002A2F45"/>
    <w:rsid w:val="002A3162"/>
    <w:rsid w:val="002A33AB"/>
    <w:rsid w:val="002A3674"/>
    <w:rsid w:val="002A3782"/>
    <w:rsid w:val="002A387D"/>
    <w:rsid w:val="002A3B84"/>
    <w:rsid w:val="002A49CC"/>
    <w:rsid w:val="002A4BBE"/>
    <w:rsid w:val="002A5978"/>
    <w:rsid w:val="002A5EC2"/>
    <w:rsid w:val="002A67B9"/>
    <w:rsid w:val="002A724D"/>
    <w:rsid w:val="002A7BB9"/>
    <w:rsid w:val="002A7BDB"/>
    <w:rsid w:val="002B017B"/>
    <w:rsid w:val="002B02CE"/>
    <w:rsid w:val="002B072E"/>
    <w:rsid w:val="002B07FA"/>
    <w:rsid w:val="002B11A1"/>
    <w:rsid w:val="002B14EF"/>
    <w:rsid w:val="002B260E"/>
    <w:rsid w:val="002B2928"/>
    <w:rsid w:val="002B2C72"/>
    <w:rsid w:val="002B2EEE"/>
    <w:rsid w:val="002B3268"/>
    <w:rsid w:val="002B3859"/>
    <w:rsid w:val="002B3878"/>
    <w:rsid w:val="002B3A07"/>
    <w:rsid w:val="002B3ABB"/>
    <w:rsid w:val="002B3ADC"/>
    <w:rsid w:val="002B4173"/>
    <w:rsid w:val="002B42FC"/>
    <w:rsid w:val="002B4B25"/>
    <w:rsid w:val="002B4F8E"/>
    <w:rsid w:val="002B4F8F"/>
    <w:rsid w:val="002B52CB"/>
    <w:rsid w:val="002B5658"/>
    <w:rsid w:val="002B5854"/>
    <w:rsid w:val="002B604D"/>
    <w:rsid w:val="002B6295"/>
    <w:rsid w:val="002B6474"/>
    <w:rsid w:val="002B650A"/>
    <w:rsid w:val="002B6CF3"/>
    <w:rsid w:val="002B7103"/>
    <w:rsid w:val="002B730C"/>
    <w:rsid w:val="002B7C4A"/>
    <w:rsid w:val="002C0212"/>
    <w:rsid w:val="002C06A5"/>
    <w:rsid w:val="002C0727"/>
    <w:rsid w:val="002C08DE"/>
    <w:rsid w:val="002C0911"/>
    <w:rsid w:val="002C0971"/>
    <w:rsid w:val="002C0AC2"/>
    <w:rsid w:val="002C0BA3"/>
    <w:rsid w:val="002C0CF4"/>
    <w:rsid w:val="002C0D58"/>
    <w:rsid w:val="002C0E12"/>
    <w:rsid w:val="002C12A8"/>
    <w:rsid w:val="002C1474"/>
    <w:rsid w:val="002C1AF9"/>
    <w:rsid w:val="002C1D08"/>
    <w:rsid w:val="002C1D4C"/>
    <w:rsid w:val="002C294E"/>
    <w:rsid w:val="002C318F"/>
    <w:rsid w:val="002C3537"/>
    <w:rsid w:val="002C3B30"/>
    <w:rsid w:val="002C41E6"/>
    <w:rsid w:val="002C4398"/>
    <w:rsid w:val="002C5A49"/>
    <w:rsid w:val="002C62C2"/>
    <w:rsid w:val="002C69F0"/>
    <w:rsid w:val="002C6B51"/>
    <w:rsid w:val="002C6EBD"/>
    <w:rsid w:val="002C7367"/>
    <w:rsid w:val="002D0A3A"/>
    <w:rsid w:val="002D0B21"/>
    <w:rsid w:val="002D1038"/>
    <w:rsid w:val="002D1257"/>
    <w:rsid w:val="002D15CA"/>
    <w:rsid w:val="002D1714"/>
    <w:rsid w:val="002D18BC"/>
    <w:rsid w:val="002D1A0D"/>
    <w:rsid w:val="002D1CD8"/>
    <w:rsid w:val="002D2090"/>
    <w:rsid w:val="002D26C9"/>
    <w:rsid w:val="002D356B"/>
    <w:rsid w:val="002D35C1"/>
    <w:rsid w:val="002D3A42"/>
    <w:rsid w:val="002D3E53"/>
    <w:rsid w:val="002D4C6E"/>
    <w:rsid w:val="002D4E6A"/>
    <w:rsid w:val="002D5134"/>
    <w:rsid w:val="002D52CD"/>
    <w:rsid w:val="002D53AF"/>
    <w:rsid w:val="002D6214"/>
    <w:rsid w:val="002D7A05"/>
    <w:rsid w:val="002E003C"/>
    <w:rsid w:val="002E048A"/>
    <w:rsid w:val="002E0820"/>
    <w:rsid w:val="002E0981"/>
    <w:rsid w:val="002E0D53"/>
    <w:rsid w:val="002E133A"/>
    <w:rsid w:val="002E1B4B"/>
    <w:rsid w:val="002E1FE1"/>
    <w:rsid w:val="002E255B"/>
    <w:rsid w:val="002E2816"/>
    <w:rsid w:val="002E2893"/>
    <w:rsid w:val="002E2EC5"/>
    <w:rsid w:val="002E3117"/>
    <w:rsid w:val="002E32DE"/>
    <w:rsid w:val="002E333D"/>
    <w:rsid w:val="002E3A34"/>
    <w:rsid w:val="002E3C63"/>
    <w:rsid w:val="002E43CB"/>
    <w:rsid w:val="002E4917"/>
    <w:rsid w:val="002E5353"/>
    <w:rsid w:val="002E5BC3"/>
    <w:rsid w:val="002E5DFD"/>
    <w:rsid w:val="002E5E3E"/>
    <w:rsid w:val="002E5E81"/>
    <w:rsid w:val="002E6932"/>
    <w:rsid w:val="002E7981"/>
    <w:rsid w:val="002E7D5C"/>
    <w:rsid w:val="002E7F05"/>
    <w:rsid w:val="002E7F2F"/>
    <w:rsid w:val="002F093D"/>
    <w:rsid w:val="002F0B8E"/>
    <w:rsid w:val="002F0C09"/>
    <w:rsid w:val="002F177C"/>
    <w:rsid w:val="002F18FC"/>
    <w:rsid w:val="002F2AF3"/>
    <w:rsid w:val="002F37E3"/>
    <w:rsid w:val="002F3900"/>
    <w:rsid w:val="002F3CF9"/>
    <w:rsid w:val="002F3DA1"/>
    <w:rsid w:val="002F4844"/>
    <w:rsid w:val="002F48E9"/>
    <w:rsid w:val="002F4F09"/>
    <w:rsid w:val="002F51E2"/>
    <w:rsid w:val="002F5287"/>
    <w:rsid w:val="002F532A"/>
    <w:rsid w:val="002F570C"/>
    <w:rsid w:val="002F5B47"/>
    <w:rsid w:val="002F5B4D"/>
    <w:rsid w:val="002F5E3B"/>
    <w:rsid w:val="002F637F"/>
    <w:rsid w:val="002F6541"/>
    <w:rsid w:val="002F65B1"/>
    <w:rsid w:val="002F672E"/>
    <w:rsid w:val="002F6E4E"/>
    <w:rsid w:val="002F7335"/>
    <w:rsid w:val="002F75C2"/>
    <w:rsid w:val="002F76BE"/>
    <w:rsid w:val="002F78EC"/>
    <w:rsid w:val="002F79B1"/>
    <w:rsid w:val="002F79CB"/>
    <w:rsid w:val="003002B3"/>
    <w:rsid w:val="003003CC"/>
    <w:rsid w:val="00300753"/>
    <w:rsid w:val="00300CAC"/>
    <w:rsid w:val="00301208"/>
    <w:rsid w:val="003014BC"/>
    <w:rsid w:val="0030160D"/>
    <w:rsid w:val="00301D06"/>
    <w:rsid w:val="003021BA"/>
    <w:rsid w:val="00302247"/>
    <w:rsid w:val="0030290A"/>
    <w:rsid w:val="00302BCA"/>
    <w:rsid w:val="00302EE7"/>
    <w:rsid w:val="00302F55"/>
    <w:rsid w:val="00303043"/>
    <w:rsid w:val="003046B2"/>
    <w:rsid w:val="0030489C"/>
    <w:rsid w:val="003050F4"/>
    <w:rsid w:val="0030559D"/>
    <w:rsid w:val="003059C8"/>
    <w:rsid w:val="00305BF0"/>
    <w:rsid w:val="00305EE9"/>
    <w:rsid w:val="003065DD"/>
    <w:rsid w:val="00306FF4"/>
    <w:rsid w:val="00307162"/>
    <w:rsid w:val="003072E0"/>
    <w:rsid w:val="00307427"/>
    <w:rsid w:val="003076E2"/>
    <w:rsid w:val="003079BB"/>
    <w:rsid w:val="00307B55"/>
    <w:rsid w:val="00307F97"/>
    <w:rsid w:val="00310340"/>
    <w:rsid w:val="00310DC5"/>
    <w:rsid w:val="00311A92"/>
    <w:rsid w:val="00312165"/>
    <w:rsid w:val="00312BE1"/>
    <w:rsid w:val="00312D73"/>
    <w:rsid w:val="003131E3"/>
    <w:rsid w:val="00313EF1"/>
    <w:rsid w:val="00314086"/>
    <w:rsid w:val="00314910"/>
    <w:rsid w:val="00314B63"/>
    <w:rsid w:val="00315361"/>
    <w:rsid w:val="00315F2F"/>
    <w:rsid w:val="00316560"/>
    <w:rsid w:val="0031696D"/>
    <w:rsid w:val="00316A26"/>
    <w:rsid w:val="0031742E"/>
    <w:rsid w:val="003176E5"/>
    <w:rsid w:val="003204BF"/>
    <w:rsid w:val="003204EC"/>
    <w:rsid w:val="00320554"/>
    <w:rsid w:val="0032071B"/>
    <w:rsid w:val="00320853"/>
    <w:rsid w:val="00320B83"/>
    <w:rsid w:val="0032156D"/>
    <w:rsid w:val="003218C7"/>
    <w:rsid w:val="00321D25"/>
    <w:rsid w:val="00322154"/>
    <w:rsid w:val="00322549"/>
    <w:rsid w:val="00322702"/>
    <w:rsid w:val="003227D8"/>
    <w:rsid w:val="00322EA6"/>
    <w:rsid w:val="00323A65"/>
    <w:rsid w:val="00323DBE"/>
    <w:rsid w:val="00323E1B"/>
    <w:rsid w:val="003244AE"/>
    <w:rsid w:val="0032453C"/>
    <w:rsid w:val="00324A9E"/>
    <w:rsid w:val="00325293"/>
    <w:rsid w:val="00325A72"/>
    <w:rsid w:val="003260BB"/>
    <w:rsid w:val="003265CD"/>
    <w:rsid w:val="00326DE7"/>
    <w:rsid w:val="003272E6"/>
    <w:rsid w:val="003274D3"/>
    <w:rsid w:val="00327966"/>
    <w:rsid w:val="00327ACA"/>
    <w:rsid w:val="00330161"/>
    <w:rsid w:val="003306C5"/>
    <w:rsid w:val="003307F6"/>
    <w:rsid w:val="00330D18"/>
    <w:rsid w:val="00331382"/>
    <w:rsid w:val="003317DD"/>
    <w:rsid w:val="003318D6"/>
    <w:rsid w:val="00332B8D"/>
    <w:rsid w:val="003331A6"/>
    <w:rsid w:val="003332BF"/>
    <w:rsid w:val="00333385"/>
    <w:rsid w:val="00333463"/>
    <w:rsid w:val="00333C11"/>
    <w:rsid w:val="00334816"/>
    <w:rsid w:val="00334A43"/>
    <w:rsid w:val="00334C05"/>
    <w:rsid w:val="003357B8"/>
    <w:rsid w:val="00335C8D"/>
    <w:rsid w:val="00335FE3"/>
    <w:rsid w:val="00336104"/>
    <w:rsid w:val="00336139"/>
    <w:rsid w:val="003361A4"/>
    <w:rsid w:val="003361FB"/>
    <w:rsid w:val="00336900"/>
    <w:rsid w:val="00336B47"/>
    <w:rsid w:val="00336E8F"/>
    <w:rsid w:val="00336F95"/>
    <w:rsid w:val="00336FA0"/>
    <w:rsid w:val="00340222"/>
    <w:rsid w:val="00340379"/>
    <w:rsid w:val="00340870"/>
    <w:rsid w:val="00340DC1"/>
    <w:rsid w:val="00341121"/>
    <w:rsid w:val="00341AF7"/>
    <w:rsid w:val="00341D9B"/>
    <w:rsid w:val="003426DD"/>
    <w:rsid w:val="003435DF"/>
    <w:rsid w:val="003437A3"/>
    <w:rsid w:val="00343D03"/>
    <w:rsid w:val="00343E25"/>
    <w:rsid w:val="00343E61"/>
    <w:rsid w:val="003443AB"/>
    <w:rsid w:val="00344522"/>
    <w:rsid w:val="00344888"/>
    <w:rsid w:val="003449AF"/>
    <w:rsid w:val="00344AF7"/>
    <w:rsid w:val="003455BF"/>
    <w:rsid w:val="003460EC"/>
    <w:rsid w:val="00346E6B"/>
    <w:rsid w:val="003477D0"/>
    <w:rsid w:val="003504B1"/>
    <w:rsid w:val="0035052F"/>
    <w:rsid w:val="00350A0E"/>
    <w:rsid w:val="00351A4F"/>
    <w:rsid w:val="00351C72"/>
    <w:rsid w:val="003521EB"/>
    <w:rsid w:val="00352BAF"/>
    <w:rsid w:val="0035349C"/>
    <w:rsid w:val="00353752"/>
    <w:rsid w:val="00354198"/>
    <w:rsid w:val="00354525"/>
    <w:rsid w:val="00354AF0"/>
    <w:rsid w:val="00354CB4"/>
    <w:rsid w:val="0035545A"/>
    <w:rsid w:val="003556F0"/>
    <w:rsid w:val="00355D4F"/>
    <w:rsid w:val="003560ED"/>
    <w:rsid w:val="00356A23"/>
    <w:rsid w:val="0035733A"/>
    <w:rsid w:val="0035786A"/>
    <w:rsid w:val="00357CAC"/>
    <w:rsid w:val="00360187"/>
    <w:rsid w:val="003601A8"/>
    <w:rsid w:val="003603F2"/>
    <w:rsid w:val="0036072E"/>
    <w:rsid w:val="00360C79"/>
    <w:rsid w:val="0036137E"/>
    <w:rsid w:val="003614A2"/>
    <w:rsid w:val="00361BA9"/>
    <w:rsid w:val="00361DF3"/>
    <w:rsid w:val="0036223E"/>
    <w:rsid w:val="0036299D"/>
    <w:rsid w:val="00362AC8"/>
    <w:rsid w:val="00362DC3"/>
    <w:rsid w:val="003639F0"/>
    <w:rsid w:val="00363B42"/>
    <w:rsid w:val="00363F30"/>
    <w:rsid w:val="00364458"/>
    <w:rsid w:val="00364852"/>
    <w:rsid w:val="00365D3D"/>
    <w:rsid w:val="003665CD"/>
    <w:rsid w:val="00366948"/>
    <w:rsid w:val="00367E7C"/>
    <w:rsid w:val="0037037D"/>
    <w:rsid w:val="0037051A"/>
    <w:rsid w:val="00370887"/>
    <w:rsid w:val="00370BD2"/>
    <w:rsid w:val="00370C27"/>
    <w:rsid w:val="00370CAC"/>
    <w:rsid w:val="003715B8"/>
    <w:rsid w:val="00371D6B"/>
    <w:rsid w:val="00371E2B"/>
    <w:rsid w:val="00372288"/>
    <w:rsid w:val="00372C3F"/>
    <w:rsid w:val="0037312A"/>
    <w:rsid w:val="00373173"/>
    <w:rsid w:val="00373528"/>
    <w:rsid w:val="00374CBC"/>
    <w:rsid w:val="00374EAE"/>
    <w:rsid w:val="003751B8"/>
    <w:rsid w:val="00375473"/>
    <w:rsid w:val="00375A6C"/>
    <w:rsid w:val="003760C4"/>
    <w:rsid w:val="00376490"/>
    <w:rsid w:val="003765C5"/>
    <w:rsid w:val="003766CA"/>
    <w:rsid w:val="003771DA"/>
    <w:rsid w:val="0037735F"/>
    <w:rsid w:val="00377CDF"/>
    <w:rsid w:val="003804BA"/>
    <w:rsid w:val="00380866"/>
    <w:rsid w:val="00380FEF"/>
    <w:rsid w:val="003812F8"/>
    <w:rsid w:val="00381494"/>
    <w:rsid w:val="00381851"/>
    <w:rsid w:val="0038229C"/>
    <w:rsid w:val="00382359"/>
    <w:rsid w:val="00382ADB"/>
    <w:rsid w:val="00382CD8"/>
    <w:rsid w:val="00382D21"/>
    <w:rsid w:val="00382F03"/>
    <w:rsid w:val="003835E1"/>
    <w:rsid w:val="003836AE"/>
    <w:rsid w:val="00384494"/>
    <w:rsid w:val="00384E12"/>
    <w:rsid w:val="003851DC"/>
    <w:rsid w:val="003855CF"/>
    <w:rsid w:val="00385B29"/>
    <w:rsid w:val="00385C3A"/>
    <w:rsid w:val="00385EFF"/>
    <w:rsid w:val="003862EF"/>
    <w:rsid w:val="0038659C"/>
    <w:rsid w:val="00386B63"/>
    <w:rsid w:val="003873D7"/>
    <w:rsid w:val="0038761E"/>
    <w:rsid w:val="00387931"/>
    <w:rsid w:val="00390199"/>
    <w:rsid w:val="00390299"/>
    <w:rsid w:val="0039091F"/>
    <w:rsid w:val="003916C5"/>
    <w:rsid w:val="00391AF5"/>
    <w:rsid w:val="00391D8E"/>
    <w:rsid w:val="0039248B"/>
    <w:rsid w:val="0039262C"/>
    <w:rsid w:val="00392927"/>
    <w:rsid w:val="00392CBC"/>
    <w:rsid w:val="003933E4"/>
    <w:rsid w:val="00393B11"/>
    <w:rsid w:val="00393EF3"/>
    <w:rsid w:val="00394CE4"/>
    <w:rsid w:val="003954A3"/>
    <w:rsid w:val="003954D7"/>
    <w:rsid w:val="00396134"/>
    <w:rsid w:val="00396520"/>
    <w:rsid w:val="003974E6"/>
    <w:rsid w:val="003977C7"/>
    <w:rsid w:val="003A01D9"/>
    <w:rsid w:val="003A109E"/>
    <w:rsid w:val="003A1585"/>
    <w:rsid w:val="003A1E25"/>
    <w:rsid w:val="003A1F36"/>
    <w:rsid w:val="003A32FB"/>
    <w:rsid w:val="003A35AB"/>
    <w:rsid w:val="003A36DF"/>
    <w:rsid w:val="003A36F4"/>
    <w:rsid w:val="003A3911"/>
    <w:rsid w:val="003A3A59"/>
    <w:rsid w:val="003A3D58"/>
    <w:rsid w:val="003A3E1E"/>
    <w:rsid w:val="003A3FD5"/>
    <w:rsid w:val="003A4637"/>
    <w:rsid w:val="003A4E2E"/>
    <w:rsid w:val="003A4EBB"/>
    <w:rsid w:val="003A5126"/>
    <w:rsid w:val="003A5769"/>
    <w:rsid w:val="003A5A84"/>
    <w:rsid w:val="003A60BB"/>
    <w:rsid w:val="003A620D"/>
    <w:rsid w:val="003B046C"/>
    <w:rsid w:val="003B0891"/>
    <w:rsid w:val="003B0E05"/>
    <w:rsid w:val="003B0FF7"/>
    <w:rsid w:val="003B14D1"/>
    <w:rsid w:val="003B17A6"/>
    <w:rsid w:val="003B1C4F"/>
    <w:rsid w:val="003B1C95"/>
    <w:rsid w:val="003B1F72"/>
    <w:rsid w:val="003B30D3"/>
    <w:rsid w:val="003B41B1"/>
    <w:rsid w:val="003B4510"/>
    <w:rsid w:val="003B4B76"/>
    <w:rsid w:val="003B4DC8"/>
    <w:rsid w:val="003B4FCB"/>
    <w:rsid w:val="003B51F9"/>
    <w:rsid w:val="003B5757"/>
    <w:rsid w:val="003B5BB0"/>
    <w:rsid w:val="003B5ED7"/>
    <w:rsid w:val="003B6312"/>
    <w:rsid w:val="003B63C9"/>
    <w:rsid w:val="003B6C57"/>
    <w:rsid w:val="003B75E5"/>
    <w:rsid w:val="003B7806"/>
    <w:rsid w:val="003B7BC4"/>
    <w:rsid w:val="003C00BC"/>
    <w:rsid w:val="003C0AD3"/>
    <w:rsid w:val="003C0D50"/>
    <w:rsid w:val="003C12DD"/>
    <w:rsid w:val="003C14DC"/>
    <w:rsid w:val="003C153A"/>
    <w:rsid w:val="003C191A"/>
    <w:rsid w:val="003C1942"/>
    <w:rsid w:val="003C2273"/>
    <w:rsid w:val="003C2394"/>
    <w:rsid w:val="003C2BC0"/>
    <w:rsid w:val="003C2E8A"/>
    <w:rsid w:val="003C3010"/>
    <w:rsid w:val="003C3392"/>
    <w:rsid w:val="003C36A7"/>
    <w:rsid w:val="003C3A0B"/>
    <w:rsid w:val="003C3F14"/>
    <w:rsid w:val="003C400F"/>
    <w:rsid w:val="003C43E3"/>
    <w:rsid w:val="003C43FD"/>
    <w:rsid w:val="003C4943"/>
    <w:rsid w:val="003C52A7"/>
    <w:rsid w:val="003C592E"/>
    <w:rsid w:val="003C5DDA"/>
    <w:rsid w:val="003C64A5"/>
    <w:rsid w:val="003C6F9B"/>
    <w:rsid w:val="003C71CF"/>
    <w:rsid w:val="003D0A9B"/>
    <w:rsid w:val="003D0D24"/>
    <w:rsid w:val="003D134B"/>
    <w:rsid w:val="003D14AE"/>
    <w:rsid w:val="003D17B6"/>
    <w:rsid w:val="003D1F4E"/>
    <w:rsid w:val="003D2032"/>
    <w:rsid w:val="003D2671"/>
    <w:rsid w:val="003D401D"/>
    <w:rsid w:val="003D40F0"/>
    <w:rsid w:val="003D425D"/>
    <w:rsid w:val="003D4B8D"/>
    <w:rsid w:val="003D4D71"/>
    <w:rsid w:val="003D4F03"/>
    <w:rsid w:val="003D4FF8"/>
    <w:rsid w:val="003D537D"/>
    <w:rsid w:val="003D5584"/>
    <w:rsid w:val="003D59F4"/>
    <w:rsid w:val="003D5DB4"/>
    <w:rsid w:val="003D67DD"/>
    <w:rsid w:val="003D6C30"/>
    <w:rsid w:val="003D6DE3"/>
    <w:rsid w:val="003D6E3E"/>
    <w:rsid w:val="003D73ED"/>
    <w:rsid w:val="003D77CA"/>
    <w:rsid w:val="003D7FE0"/>
    <w:rsid w:val="003E0200"/>
    <w:rsid w:val="003E028F"/>
    <w:rsid w:val="003E0467"/>
    <w:rsid w:val="003E07DE"/>
    <w:rsid w:val="003E0B22"/>
    <w:rsid w:val="003E0BD8"/>
    <w:rsid w:val="003E113F"/>
    <w:rsid w:val="003E1330"/>
    <w:rsid w:val="003E16A9"/>
    <w:rsid w:val="003E1833"/>
    <w:rsid w:val="003E183E"/>
    <w:rsid w:val="003E21AF"/>
    <w:rsid w:val="003E2FD2"/>
    <w:rsid w:val="003E31C8"/>
    <w:rsid w:val="003E3589"/>
    <w:rsid w:val="003E3795"/>
    <w:rsid w:val="003E3CDD"/>
    <w:rsid w:val="003E40D8"/>
    <w:rsid w:val="003E4303"/>
    <w:rsid w:val="003E43B9"/>
    <w:rsid w:val="003E4911"/>
    <w:rsid w:val="003E4D55"/>
    <w:rsid w:val="003E4F97"/>
    <w:rsid w:val="003E521A"/>
    <w:rsid w:val="003E558A"/>
    <w:rsid w:val="003E6309"/>
    <w:rsid w:val="003E63A9"/>
    <w:rsid w:val="003E672F"/>
    <w:rsid w:val="003E6768"/>
    <w:rsid w:val="003E6C44"/>
    <w:rsid w:val="003E6D0D"/>
    <w:rsid w:val="003E6E67"/>
    <w:rsid w:val="003E7127"/>
    <w:rsid w:val="003E7457"/>
    <w:rsid w:val="003E75A5"/>
    <w:rsid w:val="003E7824"/>
    <w:rsid w:val="003F00A3"/>
    <w:rsid w:val="003F09AF"/>
    <w:rsid w:val="003F1F2C"/>
    <w:rsid w:val="003F2FCC"/>
    <w:rsid w:val="003F37FA"/>
    <w:rsid w:val="003F44F7"/>
    <w:rsid w:val="003F48B2"/>
    <w:rsid w:val="003F5285"/>
    <w:rsid w:val="003F5EDF"/>
    <w:rsid w:val="003F5F73"/>
    <w:rsid w:val="003F6311"/>
    <w:rsid w:val="003F65B7"/>
    <w:rsid w:val="003F6B48"/>
    <w:rsid w:val="003F6E94"/>
    <w:rsid w:val="003F7EEF"/>
    <w:rsid w:val="004000F9"/>
    <w:rsid w:val="00400108"/>
    <w:rsid w:val="00400290"/>
    <w:rsid w:val="00400472"/>
    <w:rsid w:val="004004C5"/>
    <w:rsid w:val="00400DDE"/>
    <w:rsid w:val="00401809"/>
    <w:rsid w:val="0040192B"/>
    <w:rsid w:val="00401B25"/>
    <w:rsid w:val="00401BEA"/>
    <w:rsid w:val="00402165"/>
    <w:rsid w:val="004026C4"/>
    <w:rsid w:val="00402D6B"/>
    <w:rsid w:val="00403077"/>
    <w:rsid w:val="004034CC"/>
    <w:rsid w:val="004040BB"/>
    <w:rsid w:val="00404261"/>
    <w:rsid w:val="004042F1"/>
    <w:rsid w:val="004043BF"/>
    <w:rsid w:val="004043DE"/>
    <w:rsid w:val="00404637"/>
    <w:rsid w:val="00404D5B"/>
    <w:rsid w:val="00405888"/>
    <w:rsid w:val="00406FCB"/>
    <w:rsid w:val="004070D9"/>
    <w:rsid w:val="00407357"/>
    <w:rsid w:val="004078AD"/>
    <w:rsid w:val="00407BF2"/>
    <w:rsid w:val="00410024"/>
    <w:rsid w:val="00410C70"/>
    <w:rsid w:val="00410E35"/>
    <w:rsid w:val="00411593"/>
    <w:rsid w:val="004118F8"/>
    <w:rsid w:val="00411987"/>
    <w:rsid w:val="00411BC3"/>
    <w:rsid w:val="00412DBC"/>
    <w:rsid w:val="00413B46"/>
    <w:rsid w:val="00413B9D"/>
    <w:rsid w:val="0041415A"/>
    <w:rsid w:val="00414B26"/>
    <w:rsid w:val="00414B5F"/>
    <w:rsid w:val="00414B71"/>
    <w:rsid w:val="00414CBE"/>
    <w:rsid w:val="00415DB4"/>
    <w:rsid w:val="0041619D"/>
    <w:rsid w:val="004164A2"/>
    <w:rsid w:val="0041741F"/>
    <w:rsid w:val="00417452"/>
    <w:rsid w:val="004174BA"/>
    <w:rsid w:val="004178BF"/>
    <w:rsid w:val="0042006C"/>
    <w:rsid w:val="004200A9"/>
    <w:rsid w:val="00420150"/>
    <w:rsid w:val="00420481"/>
    <w:rsid w:val="00420B50"/>
    <w:rsid w:val="00420EC3"/>
    <w:rsid w:val="004210C3"/>
    <w:rsid w:val="004222C9"/>
    <w:rsid w:val="00422ED2"/>
    <w:rsid w:val="004234EA"/>
    <w:rsid w:val="00423A11"/>
    <w:rsid w:val="00424773"/>
    <w:rsid w:val="004248CC"/>
    <w:rsid w:val="00424930"/>
    <w:rsid w:val="004249BF"/>
    <w:rsid w:val="004269BC"/>
    <w:rsid w:val="004271F0"/>
    <w:rsid w:val="00427689"/>
    <w:rsid w:val="00427D1A"/>
    <w:rsid w:val="004300EF"/>
    <w:rsid w:val="00430BCA"/>
    <w:rsid w:val="00431190"/>
    <w:rsid w:val="00431A8C"/>
    <w:rsid w:val="00431D93"/>
    <w:rsid w:val="0043272F"/>
    <w:rsid w:val="00432A01"/>
    <w:rsid w:val="00432C16"/>
    <w:rsid w:val="00433989"/>
    <w:rsid w:val="00433B01"/>
    <w:rsid w:val="00433F0E"/>
    <w:rsid w:val="00434B41"/>
    <w:rsid w:val="00434C52"/>
    <w:rsid w:val="004359D3"/>
    <w:rsid w:val="00435FCA"/>
    <w:rsid w:val="00436730"/>
    <w:rsid w:val="00436CEC"/>
    <w:rsid w:val="00436E05"/>
    <w:rsid w:val="00437B3F"/>
    <w:rsid w:val="004406DB"/>
    <w:rsid w:val="00441A79"/>
    <w:rsid w:val="00441C37"/>
    <w:rsid w:val="00441E24"/>
    <w:rsid w:val="0044204D"/>
    <w:rsid w:val="00442119"/>
    <w:rsid w:val="00442242"/>
    <w:rsid w:val="0044244F"/>
    <w:rsid w:val="004436B2"/>
    <w:rsid w:val="00443F28"/>
    <w:rsid w:val="00444206"/>
    <w:rsid w:val="00444394"/>
    <w:rsid w:val="0044454C"/>
    <w:rsid w:val="00444603"/>
    <w:rsid w:val="00444907"/>
    <w:rsid w:val="0044513A"/>
    <w:rsid w:val="00445AA5"/>
    <w:rsid w:val="004460B9"/>
    <w:rsid w:val="0044750F"/>
    <w:rsid w:val="0044772D"/>
    <w:rsid w:val="00447A5E"/>
    <w:rsid w:val="00447A7B"/>
    <w:rsid w:val="00447B48"/>
    <w:rsid w:val="00447BAC"/>
    <w:rsid w:val="00447D60"/>
    <w:rsid w:val="00447F02"/>
    <w:rsid w:val="00447FC5"/>
    <w:rsid w:val="00450349"/>
    <w:rsid w:val="00450525"/>
    <w:rsid w:val="004505B7"/>
    <w:rsid w:val="00450766"/>
    <w:rsid w:val="004509E4"/>
    <w:rsid w:val="00450F82"/>
    <w:rsid w:val="00451F36"/>
    <w:rsid w:val="00452124"/>
    <w:rsid w:val="004522A5"/>
    <w:rsid w:val="00452D69"/>
    <w:rsid w:val="00453B41"/>
    <w:rsid w:val="00453E8A"/>
    <w:rsid w:val="00454428"/>
    <w:rsid w:val="004544B4"/>
    <w:rsid w:val="00454DEE"/>
    <w:rsid w:val="00454EF4"/>
    <w:rsid w:val="00455566"/>
    <w:rsid w:val="004556BD"/>
    <w:rsid w:val="00455AA3"/>
    <w:rsid w:val="00455F72"/>
    <w:rsid w:val="00456017"/>
    <w:rsid w:val="004565DF"/>
    <w:rsid w:val="00456A44"/>
    <w:rsid w:val="00457475"/>
    <w:rsid w:val="00457956"/>
    <w:rsid w:val="004579AC"/>
    <w:rsid w:val="00457A42"/>
    <w:rsid w:val="00457AD8"/>
    <w:rsid w:val="00457C99"/>
    <w:rsid w:val="00457F13"/>
    <w:rsid w:val="0046002E"/>
    <w:rsid w:val="00460293"/>
    <w:rsid w:val="0046031D"/>
    <w:rsid w:val="0046040E"/>
    <w:rsid w:val="00460804"/>
    <w:rsid w:val="00460B45"/>
    <w:rsid w:val="00461075"/>
    <w:rsid w:val="004618FB"/>
    <w:rsid w:val="00461BB9"/>
    <w:rsid w:val="0046243C"/>
    <w:rsid w:val="004624A7"/>
    <w:rsid w:val="00462F55"/>
    <w:rsid w:val="0046354C"/>
    <w:rsid w:val="004639ED"/>
    <w:rsid w:val="00463CD4"/>
    <w:rsid w:val="00463D3A"/>
    <w:rsid w:val="004645BD"/>
    <w:rsid w:val="0046499D"/>
    <w:rsid w:val="004649ED"/>
    <w:rsid w:val="00464A5D"/>
    <w:rsid w:val="00464F50"/>
    <w:rsid w:val="00465B1E"/>
    <w:rsid w:val="004665B3"/>
    <w:rsid w:val="00467028"/>
    <w:rsid w:val="00467696"/>
    <w:rsid w:val="00467990"/>
    <w:rsid w:val="00467B30"/>
    <w:rsid w:val="00470468"/>
    <w:rsid w:val="00470ACF"/>
    <w:rsid w:val="00470D33"/>
    <w:rsid w:val="00470D68"/>
    <w:rsid w:val="00470E87"/>
    <w:rsid w:val="004712FE"/>
    <w:rsid w:val="00471AD9"/>
    <w:rsid w:val="00471B24"/>
    <w:rsid w:val="00471F79"/>
    <w:rsid w:val="00472876"/>
    <w:rsid w:val="00472ABB"/>
    <w:rsid w:val="004730CB"/>
    <w:rsid w:val="00473914"/>
    <w:rsid w:val="004743F6"/>
    <w:rsid w:val="0047475C"/>
    <w:rsid w:val="00474B72"/>
    <w:rsid w:val="00474DA1"/>
    <w:rsid w:val="00475198"/>
    <w:rsid w:val="00475579"/>
    <w:rsid w:val="004757A7"/>
    <w:rsid w:val="00475880"/>
    <w:rsid w:val="00475C65"/>
    <w:rsid w:val="004764A1"/>
    <w:rsid w:val="00476990"/>
    <w:rsid w:val="00477384"/>
    <w:rsid w:val="00477C56"/>
    <w:rsid w:val="00477C6B"/>
    <w:rsid w:val="0048048B"/>
    <w:rsid w:val="00480D18"/>
    <w:rsid w:val="004811C3"/>
    <w:rsid w:val="00481A60"/>
    <w:rsid w:val="00482A5B"/>
    <w:rsid w:val="00483887"/>
    <w:rsid w:val="0048396E"/>
    <w:rsid w:val="00484078"/>
    <w:rsid w:val="004845D5"/>
    <w:rsid w:val="00484EDD"/>
    <w:rsid w:val="004857B8"/>
    <w:rsid w:val="004859E9"/>
    <w:rsid w:val="00485A52"/>
    <w:rsid w:val="00485AC2"/>
    <w:rsid w:val="00485EEE"/>
    <w:rsid w:val="0048638E"/>
    <w:rsid w:val="004865AB"/>
    <w:rsid w:val="00486700"/>
    <w:rsid w:val="00486F2F"/>
    <w:rsid w:val="004871D7"/>
    <w:rsid w:val="00487329"/>
    <w:rsid w:val="00487935"/>
    <w:rsid w:val="00487DAF"/>
    <w:rsid w:val="0049084A"/>
    <w:rsid w:val="00490E69"/>
    <w:rsid w:val="004912A5"/>
    <w:rsid w:val="004917BC"/>
    <w:rsid w:val="00491B0A"/>
    <w:rsid w:val="00491E17"/>
    <w:rsid w:val="00492267"/>
    <w:rsid w:val="004925F4"/>
    <w:rsid w:val="00492C41"/>
    <w:rsid w:val="00492E13"/>
    <w:rsid w:val="004937B8"/>
    <w:rsid w:val="00493847"/>
    <w:rsid w:val="00493EFE"/>
    <w:rsid w:val="00493F75"/>
    <w:rsid w:val="004944A7"/>
    <w:rsid w:val="00494EEE"/>
    <w:rsid w:val="004950C7"/>
    <w:rsid w:val="00495F41"/>
    <w:rsid w:val="004964B5"/>
    <w:rsid w:val="0049706D"/>
    <w:rsid w:val="00497392"/>
    <w:rsid w:val="004974F1"/>
    <w:rsid w:val="00497B43"/>
    <w:rsid w:val="00497B8E"/>
    <w:rsid w:val="004A00D7"/>
    <w:rsid w:val="004A01F3"/>
    <w:rsid w:val="004A0708"/>
    <w:rsid w:val="004A08C6"/>
    <w:rsid w:val="004A0A34"/>
    <w:rsid w:val="004A0CF8"/>
    <w:rsid w:val="004A0D95"/>
    <w:rsid w:val="004A161B"/>
    <w:rsid w:val="004A1BC5"/>
    <w:rsid w:val="004A1F75"/>
    <w:rsid w:val="004A3F43"/>
    <w:rsid w:val="004A4071"/>
    <w:rsid w:val="004A5201"/>
    <w:rsid w:val="004A5768"/>
    <w:rsid w:val="004A58A3"/>
    <w:rsid w:val="004A60A4"/>
    <w:rsid w:val="004A632E"/>
    <w:rsid w:val="004A6371"/>
    <w:rsid w:val="004A65BF"/>
    <w:rsid w:val="004A7790"/>
    <w:rsid w:val="004B0782"/>
    <w:rsid w:val="004B08EF"/>
    <w:rsid w:val="004B098C"/>
    <w:rsid w:val="004B0B8A"/>
    <w:rsid w:val="004B0C81"/>
    <w:rsid w:val="004B0D82"/>
    <w:rsid w:val="004B105E"/>
    <w:rsid w:val="004B1526"/>
    <w:rsid w:val="004B17B7"/>
    <w:rsid w:val="004B1AEE"/>
    <w:rsid w:val="004B1CD0"/>
    <w:rsid w:val="004B232D"/>
    <w:rsid w:val="004B2722"/>
    <w:rsid w:val="004B3142"/>
    <w:rsid w:val="004B328C"/>
    <w:rsid w:val="004B3C48"/>
    <w:rsid w:val="004B3C62"/>
    <w:rsid w:val="004B3E67"/>
    <w:rsid w:val="004B3F29"/>
    <w:rsid w:val="004B3F5B"/>
    <w:rsid w:val="004B421E"/>
    <w:rsid w:val="004B430B"/>
    <w:rsid w:val="004B5B0C"/>
    <w:rsid w:val="004B5F60"/>
    <w:rsid w:val="004B6296"/>
    <w:rsid w:val="004B6BE5"/>
    <w:rsid w:val="004B6FA6"/>
    <w:rsid w:val="004B6FDE"/>
    <w:rsid w:val="004B746C"/>
    <w:rsid w:val="004B776C"/>
    <w:rsid w:val="004B7803"/>
    <w:rsid w:val="004B78D2"/>
    <w:rsid w:val="004B7C2F"/>
    <w:rsid w:val="004B7D70"/>
    <w:rsid w:val="004C0D6F"/>
    <w:rsid w:val="004C0FA9"/>
    <w:rsid w:val="004C2317"/>
    <w:rsid w:val="004C2747"/>
    <w:rsid w:val="004C29ED"/>
    <w:rsid w:val="004C2B81"/>
    <w:rsid w:val="004C2D12"/>
    <w:rsid w:val="004C3133"/>
    <w:rsid w:val="004C4413"/>
    <w:rsid w:val="004C4605"/>
    <w:rsid w:val="004C4845"/>
    <w:rsid w:val="004C54E7"/>
    <w:rsid w:val="004C5629"/>
    <w:rsid w:val="004C5787"/>
    <w:rsid w:val="004C5E74"/>
    <w:rsid w:val="004C6372"/>
    <w:rsid w:val="004C683F"/>
    <w:rsid w:val="004C68D0"/>
    <w:rsid w:val="004C6BE0"/>
    <w:rsid w:val="004C6E97"/>
    <w:rsid w:val="004C6FF3"/>
    <w:rsid w:val="004C776B"/>
    <w:rsid w:val="004C7929"/>
    <w:rsid w:val="004D01E3"/>
    <w:rsid w:val="004D036A"/>
    <w:rsid w:val="004D13D2"/>
    <w:rsid w:val="004D24C9"/>
    <w:rsid w:val="004D2BF7"/>
    <w:rsid w:val="004D3068"/>
    <w:rsid w:val="004D3377"/>
    <w:rsid w:val="004D34CC"/>
    <w:rsid w:val="004D38FD"/>
    <w:rsid w:val="004D3EE3"/>
    <w:rsid w:val="004D48A0"/>
    <w:rsid w:val="004D54A6"/>
    <w:rsid w:val="004D57AC"/>
    <w:rsid w:val="004D5BEB"/>
    <w:rsid w:val="004D5EFD"/>
    <w:rsid w:val="004D6AC8"/>
    <w:rsid w:val="004D6C9A"/>
    <w:rsid w:val="004D7C92"/>
    <w:rsid w:val="004E03CB"/>
    <w:rsid w:val="004E058A"/>
    <w:rsid w:val="004E09EC"/>
    <w:rsid w:val="004E0F43"/>
    <w:rsid w:val="004E2253"/>
    <w:rsid w:val="004E2654"/>
    <w:rsid w:val="004E2D10"/>
    <w:rsid w:val="004E31B8"/>
    <w:rsid w:val="004E42E4"/>
    <w:rsid w:val="004E4867"/>
    <w:rsid w:val="004E4AD5"/>
    <w:rsid w:val="004E584C"/>
    <w:rsid w:val="004E5913"/>
    <w:rsid w:val="004E59D1"/>
    <w:rsid w:val="004E5A7F"/>
    <w:rsid w:val="004E5CB6"/>
    <w:rsid w:val="004E5DE2"/>
    <w:rsid w:val="004E645C"/>
    <w:rsid w:val="004E6533"/>
    <w:rsid w:val="004E6B51"/>
    <w:rsid w:val="004E7A17"/>
    <w:rsid w:val="004F00B8"/>
    <w:rsid w:val="004F0CC2"/>
    <w:rsid w:val="004F146D"/>
    <w:rsid w:val="004F17F9"/>
    <w:rsid w:val="004F186A"/>
    <w:rsid w:val="004F1A0C"/>
    <w:rsid w:val="004F1E19"/>
    <w:rsid w:val="004F1E4A"/>
    <w:rsid w:val="004F1F43"/>
    <w:rsid w:val="004F2717"/>
    <w:rsid w:val="004F313A"/>
    <w:rsid w:val="004F3CE8"/>
    <w:rsid w:val="004F4544"/>
    <w:rsid w:val="004F4847"/>
    <w:rsid w:val="004F49F9"/>
    <w:rsid w:val="004F4AD0"/>
    <w:rsid w:val="004F4B36"/>
    <w:rsid w:val="004F4FE1"/>
    <w:rsid w:val="004F5ADB"/>
    <w:rsid w:val="004F5C69"/>
    <w:rsid w:val="004F5D6C"/>
    <w:rsid w:val="004F653F"/>
    <w:rsid w:val="004F6E27"/>
    <w:rsid w:val="004F6E79"/>
    <w:rsid w:val="004F721B"/>
    <w:rsid w:val="004F729A"/>
    <w:rsid w:val="004F72E0"/>
    <w:rsid w:val="004F7C56"/>
    <w:rsid w:val="00500CD1"/>
    <w:rsid w:val="00501638"/>
    <w:rsid w:val="0050166B"/>
    <w:rsid w:val="00501A3B"/>
    <w:rsid w:val="00501C59"/>
    <w:rsid w:val="00501D4A"/>
    <w:rsid w:val="00502144"/>
    <w:rsid w:val="00502776"/>
    <w:rsid w:val="00502A50"/>
    <w:rsid w:val="00502FBB"/>
    <w:rsid w:val="00503573"/>
    <w:rsid w:val="005046C3"/>
    <w:rsid w:val="005059CF"/>
    <w:rsid w:val="00505C23"/>
    <w:rsid w:val="005060B2"/>
    <w:rsid w:val="00507467"/>
    <w:rsid w:val="00510387"/>
    <w:rsid w:val="00510450"/>
    <w:rsid w:val="0051051E"/>
    <w:rsid w:val="0051091E"/>
    <w:rsid w:val="005114DA"/>
    <w:rsid w:val="0051188A"/>
    <w:rsid w:val="005119B2"/>
    <w:rsid w:val="00511BB1"/>
    <w:rsid w:val="00512B77"/>
    <w:rsid w:val="00514267"/>
    <w:rsid w:val="0051445E"/>
    <w:rsid w:val="005147C9"/>
    <w:rsid w:val="00514DA3"/>
    <w:rsid w:val="00515221"/>
    <w:rsid w:val="00515E57"/>
    <w:rsid w:val="00516BA4"/>
    <w:rsid w:val="00516FCB"/>
    <w:rsid w:val="00517065"/>
    <w:rsid w:val="00517247"/>
    <w:rsid w:val="005172B2"/>
    <w:rsid w:val="00517768"/>
    <w:rsid w:val="00517A24"/>
    <w:rsid w:val="00517B45"/>
    <w:rsid w:val="00520721"/>
    <w:rsid w:val="0052081A"/>
    <w:rsid w:val="0052089B"/>
    <w:rsid w:val="005208D3"/>
    <w:rsid w:val="00520999"/>
    <w:rsid w:val="00520A17"/>
    <w:rsid w:val="00520A6E"/>
    <w:rsid w:val="005213A5"/>
    <w:rsid w:val="00521683"/>
    <w:rsid w:val="00522055"/>
    <w:rsid w:val="00522627"/>
    <w:rsid w:val="00522B84"/>
    <w:rsid w:val="00522B89"/>
    <w:rsid w:val="00522D2E"/>
    <w:rsid w:val="00523E7F"/>
    <w:rsid w:val="00523FE2"/>
    <w:rsid w:val="005240E2"/>
    <w:rsid w:val="0052412D"/>
    <w:rsid w:val="00524388"/>
    <w:rsid w:val="00524638"/>
    <w:rsid w:val="00524ACB"/>
    <w:rsid w:val="00524F19"/>
    <w:rsid w:val="00525538"/>
    <w:rsid w:val="0052558A"/>
    <w:rsid w:val="00527293"/>
    <w:rsid w:val="005272CB"/>
    <w:rsid w:val="00527C3D"/>
    <w:rsid w:val="00527C92"/>
    <w:rsid w:val="00527CCB"/>
    <w:rsid w:val="00530758"/>
    <w:rsid w:val="00530A40"/>
    <w:rsid w:val="00530F5B"/>
    <w:rsid w:val="00531333"/>
    <w:rsid w:val="005313A7"/>
    <w:rsid w:val="00531926"/>
    <w:rsid w:val="00532A1F"/>
    <w:rsid w:val="00533023"/>
    <w:rsid w:val="005330EB"/>
    <w:rsid w:val="005335AB"/>
    <w:rsid w:val="00534539"/>
    <w:rsid w:val="0053475B"/>
    <w:rsid w:val="00535FE2"/>
    <w:rsid w:val="0053635C"/>
    <w:rsid w:val="005364F0"/>
    <w:rsid w:val="00536CB2"/>
    <w:rsid w:val="00536CED"/>
    <w:rsid w:val="00536E35"/>
    <w:rsid w:val="00537585"/>
    <w:rsid w:val="00537596"/>
    <w:rsid w:val="00537890"/>
    <w:rsid w:val="005406B9"/>
    <w:rsid w:val="00541695"/>
    <w:rsid w:val="00541931"/>
    <w:rsid w:val="005421B9"/>
    <w:rsid w:val="00542745"/>
    <w:rsid w:val="00542802"/>
    <w:rsid w:val="0054307B"/>
    <w:rsid w:val="0054307D"/>
    <w:rsid w:val="0054355F"/>
    <w:rsid w:val="005439B9"/>
    <w:rsid w:val="00543CDE"/>
    <w:rsid w:val="0054405D"/>
    <w:rsid w:val="005445E9"/>
    <w:rsid w:val="00544EA0"/>
    <w:rsid w:val="0054527D"/>
    <w:rsid w:val="005456F9"/>
    <w:rsid w:val="0054585B"/>
    <w:rsid w:val="00545B1C"/>
    <w:rsid w:val="00546C12"/>
    <w:rsid w:val="00546CC9"/>
    <w:rsid w:val="00547520"/>
    <w:rsid w:val="005477C6"/>
    <w:rsid w:val="00547B69"/>
    <w:rsid w:val="005506DA"/>
    <w:rsid w:val="00550B4B"/>
    <w:rsid w:val="00550BCA"/>
    <w:rsid w:val="00550D90"/>
    <w:rsid w:val="00550F32"/>
    <w:rsid w:val="00551475"/>
    <w:rsid w:val="00551619"/>
    <w:rsid w:val="00551684"/>
    <w:rsid w:val="00552600"/>
    <w:rsid w:val="0055315C"/>
    <w:rsid w:val="00553699"/>
    <w:rsid w:val="00553E30"/>
    <w:rsid w:val="00554D45"/>
    <w:rsid w:val="00554E95"/>
    <w:rsid w:val="0055508F"/>
    <w:rsid w:val="00555311"/>
    <w:rsid w:val="00555DA7"/>
    <w:rsid w:val="00555FD0"/>
    <w:rsid w:val="005564E8"/>
    <w:rsid w:val="00556B29"/>
    <w:rsid w:val="00557171"/>
    <w:rsid w:val="005571A9"/>
    <w:rsid w:val="0055722A"/>
    <w:rsid w:val="0055773A"/>
    <w:rsid w:val="005601D0"/>
    <w:rsid w:val="005605CC"/>
    <w:rsid w:val="005613E8"/>
    <w:rsid w:val="00561870"/>
    <w:rsid w:val="005619DD"/>
    <w:rsid w:val="005621E9"/>
    <w:rsid w:val="005624D0"/>
    <w:rsid w:val="00562CF8"/>
    <w:rsid w:val="00562DA2"/>
    <w:rsid w:val="00562DAA"/>
    <w:rsid w:val="00562E8F"/>
    <w:rsid w:val="005630DB"/>
    <w:rsid w:val="0056324D"/>
    <w:rsid w:val="0056330A"/>
    <w:rsid w:val="00563708"/>
    <w:rsid w:val="00563E04"/>
    <w:rsid w:val="005640D6"/>
    <w:rsid w:val="00564837"/>
    <w:rsid w:val="00564DBD"/>
    <w:rsid w:val="00564FC4"/>
    <w:rsid w:val="00565453"/>
    <w:rsid w:val="00565506"/>
    <w:rsid w:val="00565BBB"/>
    <w:rsid w:val="00565EC2"/>
    <w:rsid w:val="00565F59"/>
    <w:rsid w:val="00565F9E"/>
    <w:rsid w:val="00566497"/>
    <w:rsid w:val="00567B2B"/>
    <w:rsid w:val="00570279"/>
    <w:rsid w:val="005714C2"/>
    <w:rsid w:val="0057160E"/>
    <w:rsid w:val="005718AE"/>
    <w:rsid w:val="00571A12"/>
    <w:rsid w:val="00571C55"/>
    <w:rsid w:val="00571F80"/>
    <w:rsid w:val="0057201C"/>
    <w:rsid w:val="00572155"/>
    <w:rsid w:val="0057243D"/>
    <w:rsid w:val="005726F4"/>
    <w:rsid w:val="00572B19"/>
    <w:rsid w:val="00572B1A"/>
    <w:rsid w:val="00572D73"/>
    <w:rsid w:val="00573446"/>
    <w:rsid w:val="00573529"/>
    <w:rsid w:val="00573B66"/>
    <w:rsid w:val="00574002"/>
    <w:rsid w:val="00574455"/>
    <w:rsid w:val="00574578"/>
    <w:rsid w:val="0057472D"/>
    <w:rsid w:val="00576231"/>
    <w:rsid w:val="0057644A"/>
    <w:rsid w:val="0057731C"/>
    <w:rsid w:val="0057772E"/>
    <w:rsid w:val="00577928"/>
    <w:rsid w:val="005779B5"/>
    <w:rsid w:val="00577C39"/>
    <w:rsid w:val="00580586"/>
    <w:rsid w:val="00580759"/>
    <w:rsid w:val="00581083"/>
    <w:rsid w:val="005813BF"/>
    <w:rsid w:val="00581B2C"/>
    <w:rsid w:val="00582310"/>
    <w:rsid w:val="00583272"/>
    <w:rsid w:val="00583991"/>
    <w:rsid w:val="00583A9A"/>
    <w:rsid w:val="00583BDA"/>
    <w:rsid w:val="005840DE"/>
    <w:rsid w:val="00584576"/>
    <w:rsid w:val="005848B7"/>
    <w:rsid w:val="00584E76"/>
    <w:rsid w:val="00584E9A"/>
    <w:rsid w:val="00585094"/>
    <w:rsid w:val="005854F1"/>
    <w:rsid w:val="0058751B"/>
    <w:rsid w:val="00587718"/>
    <w:rsid w:val="00587C30"/>
    <w:rsid w:val="00587EB5"/>
    <w:rsid w:val="00587F54"/>
    <w:rsid w:val="00590024"/>
    <w:rsid w:val="00590669"/>
    <w:rsid w:val="005906DE"/>
    <w:rsid w:val="00590766"/>
    <w:rsid w:val="00590A3B"/>
    <w:rsid w:val="00590B18"/>
    <w:rsid w:val="00590BD1"/>
    <w:rsid w:val="00590EEB"/>
    <w:rsid w:val="005912AB"/>
    <w:rsid w:val="00593298"/>
    <w:rsid w:val="0059337B"/>
    <w:rsid w:val="0059341F"/>
    <w:rsid w:val="00593BFD"/>
    <w:rsid w:val="00593C31"/>
    <w:rsid w:val="0059469E"/>
    <w:rsid w:val="00595D7C"/>
    <w:rsid w:val="00596AF1"/>
    <w:rsid w:val="00597D1D"/>
    <w:rsid w:val="00597DBB"/>
    <w:rsid w:val="00597DE6"/>
    <w:rsid w:val="00597F0F"/>
    <w:rsid w:val="005A061B"/>
    <w:rsid w:val="005A08FA"/>
    <w:rsid w:val="005A1A2D"/>
    <w:rsid w:val="005A1AD7"/>
    <w:rsid w:val="005A205E"/>
    <w:rsid w:val="005A2136"/>
    <w:rsid w:val="005A2A89"/>
    <w:rsid w:val="005A2E45"/>
    <w:rsid w:val="005A2E69"/>
    <w:rsid w:val="005A3725"/>
    <w:rsid w:val="005A3A03"/>
    <w:rsid w:val="005A3F21"/>
    <w:rsid w:val="005A4BF1"/>
    <w:rsid w:val="005A4C0D"/>
    <w:rsid w:val="005A4E42"/>
    <w:rsid w:val="005A51A6"/>
    <w:rsid w:val="005A5864"/>
    <w:rsid w:val="005A5CF3"/>
    <w:rsid w:val="005A5EF1"/>
    <w:rsid w:val="005A6065"/>
    <w:rsid w:val="005A73C0"/>
    <w:rsid w:val="005A79E8"/>
    <w:rsid w:val="005B0470"/>
    <w:rsid w:val="005B07AB"/>
    <w:rsid w:val="005B0AB6"/>
    <w:rsid w:val="005B0DE4"/>
    <w:rsid w:val="005B1397"/>
    <w:rsid w:val="005B18FE"/>
    <w:rsid w:val="005B1B1A"/>
    <w:rsid w:val="005B1C6C"/>
    <w:rsid w:val="005B2152"/>
    <w:rsid w:val="005B215E"/>
    <w:rsid w:val="005B34BA"/>
    <w:rsid w:val="005B43F2"/>
    <w:rsid w:val="005B472A"/>
    <w:rsid w:val="005B4989"/>
    <w:rsid w:val="005B4A06"/>
    <w:rsid w:val="005B4BE0"/>
    <w:rsid w:val="005B5177"/>
    <w:rsid w:val="005B56A8"/>
    <w:rsid w:val="005B59A4"/>
    <w:rsid w:val="005B5B88"/>
    <w:rsid w:val="005B6112"/>
    <w:rsid w:val="005B6265"/>
    <w:rsid w:val="005B6589"/>
    <w:rsid w:val="005B72F1"/>
    <w:rsid w:val="005B7FDC"/>
    <w:rsid w:val="005C030A"/>
    <w:rsid w:val="005C0405"/>
    <w:rsid w:val="005C12E4"/>
    <w:rsid w:val="005C19AC"/>
    <w:rsid w:val="005C1C73"/>
    <w:rsid w:val="005C22F4"/>
    <w:rsid w:val="005C24E6"/>
    <w:rsid w:val="005C2779"/>
    <w:rsid w:val="005C2899"/>
    <w:rsid w:val="005C3599"/>
    <w:rsid w:val="005C35BB"/>
    <w:rsid w:val="005C3877"/>
    <w:rsid w:val="005C3A26"/>
    <w:rsid w:val="005C4D1E"/>
    <w:rsid w:val="005C4E5C"/>
    <w:rsid w:val="005C5248"/>
    <w:rsid w:val="005C5CB5"/>
    <w:rsid w:val="005C624A"/>
    <w:rsid w:val="005C6864"/>
    <w:rsid w:val="005C6E16"/>
    <w:rsid w:val="005C70B8"/>
    <w:rsid w:val="005C7460"/>
    <w:rsid w:val="005C7E58"/>
    <w:rsid w:val="005C7F25"/>
    <w:rsid w:val="005D02B6"/>
    <w:rsid w:val="005D090D"/>
    <w:rsid w:val="005D09B5"/>
    <w:rsid w:val="005D16A2"/>
    <w:rsid w:val="005D1715"/>
    <w:rsid w:val="005D19DC"/>
    <w:rsid w:val="005D2145"/>
    <w:rsid w:val="005D2CED"/>
    <w:rsid w:val="005D2F29"/>
    <w:rsid w:val="005D34DA"/>
    <w:rsid w:val="005D362B"/>
    <w:rsid w:val="005D3E21"/>
    <w:rsid w:val="005D459B"/>
    <w:rsid w:val="005D47DB"/>
    <w:rsid w:val="005D5520"/>
    <w:rsid w:val="005D57A0"/>
    <w:rsid w:val="005D6148"/>
    <w:rsid w:val="005D6A47"/>
    <w:rsid w:val="005D6F4D"/>
    <w:rsid w:val="005D78CA"/>
    <w:rsid w:val="005E0F4B"/>
    <w:rsid w:val="005E171F"/>
    <w:rsid w:val="005E1A42"/>
    <w:rsid w:val="005E1E4A"/>
    <w:rsid w:val="005E237F"/>
    <w:rsid w:val="005E250D"/>
    <w:rsid w:val="005E2D5A"/>
    <w:rsid w:val="005E35C7"/>
    <w:rsid w:val="005E3863"/>
    <w:rsid w:val="005E3A9A"/>
    <w:rsid w:val="005E3E76"/>
    <w:rsid w:val="005E3FCC"/>
    <w:rsid w:val="005E4430"/>
    <w:rsid w:val="005E530B"/>
    <w:rsid w:val="005E558C"/>
    <w:rsid w:val="005E59C2"/>
    <w:rsid w:val="005E5D88"/>
    <w:rsid w:val="005E5FFF"/>
    <w:rsid w:val="005E64D9"/>
    <w:rsid w:val="005E6522"/>
    <w:rsid w:val="005E6587"/>
    <w:rsid w:val="005E6920"/>
    <w:rsid w:val="005E6D2E"/>
    <w:rsid w:val="005E7D03"/>
    <w:rsid w:val="005F08C3"/>
    <w:rsid w:val="005F0BCD"/>
    <w:rsid w:val="005F19E4"/>
    <w:rsid w:val="005F1A44"/>
    <w:rsid w:val="005F2139"/>
    <w:rsid w:val="005F24E9"/>
    <w:rsid w:val="005F36B4"/>
    <w:rsid w:val="005F37CC"/>
    <w:rsid w:val="005F3AB5"/>
    <w:rsid w:val="005F4803"/>
    <w:rsid w:val="005F4EEE"/>
    <w:rsid w:val="005F4FA9"/>
    <w:rsid w:val="005F5603"/>
    <w:rsid w:val="005F5C0B"/>
    <w:rsid w:val="005F5D30"/>
    <w:rsid w:val="005F5DBF"/>
    <w:rsid w:val="005F5EF3"/>
    <w:rsid w:val="005F601E"/>
    <w:rsid w:val="005F67CD"/>
    <w:rsid w:val="005F6A37"/>
    <w:rsid w:val="005F6B7B"/>
    <w:rsid w:val="006001B7"/>
    <w:rsid w:val="00600240"/>
    <w:rsid w:val="00600956"/>
    <w:rsid w:val="00600CCD"/>
    <w:rsid w:val="00600E25"/>
    <w:rsid w:val="00601034"/>
    <w:rsid w:val="00601660"/>
    <w:rsid w:val="006016F6"/>
    <w:rsid w:val="00601E19"/>
    <w:rsid w:val="006021D7"/>
    <w:rsid w:val="0060233C"/>
    <w:rsid w:val="00602A2D"/>
    <w:rsid w:val="00603191"/>
    <w:rsid w:val="00603290"/>
    <w:rsid w:val="006033A7"/>
    <w:rsid w:val="00603505"/>
    <w:rsid w:val="006036FD"/>
    <w:rsid w:val="00603892"/>
    <w:rsid w:val="00603B49"/>
    <w:rsid w:val="006041DE"/>
    <w:rsid w:val="00604B1C"/>
    <w:rsid w:val="0060510E"/>
    <w:rsid w:val="00605561"/>
    <w:rsid w:val="00605648"/>
    <w:rsid w:val="00605908"/>
    <w:rsid w:val="00605D21"/>
    <w:rsid w:val="00605FC9"/>
    <w:rsid w:val="00606288"/>
    <w:rsid w:val="00606956"/>
    <w:rsid w:val="006071CB"/>
    <w:rsid w:val="0060735E"/>
    <w:rsid w:val="00607C31"/>
    <w:rsid w:val="00607DA7"/>
    <w:rsid w:val="00607DDB"/>
    <w:rsid w:val="00607F54"/>
    <w:rsid w:val="006103B6"/>
    <w:rsid w:val="0061079C"/>
    <w:rsid w:val="006110C3"/>
    <w:rsid w:val="006118D2"/>
    <w:rsid w:val="00611E42"/>
    <w:rsid w:val="00611F90"/>
    <w:rsid w:val="0061200B"/>
    <w:rsid w:val="006121BB"/>
    <w:rsid w:val="0061224E"/>
    <w:rsid w:val="0061230A"/>
    <w:rsid w:val="00612313"/>
    <w:rsid w:val="006125A6"/>
    <w:rsid w:val="006127B6"/>
    <w:rsid w:val="00612925"/>
    <w:rsid w:val="0061353E"/>
    <w:rsid w:val="006136EA"/>
    <w:rsid w:val="00613F49"/>
    <w:rsid w:val="00614055"/>
    <w:rsid w:val="006144FC"/>
    <w:rsid w:val="00614B41"/>
    <w:rsid w:val="00615050"/>
    <w:rsid w:val="0061589E"/>
    <w:rsid w:val="0061688C"/>
    <w:rsid w:val="006173C1"/>
    <w:rsid w:val="00617956"/>
    <w:rsid w:val="00617CC9"/>
    <w:rsid w:val="00617DD7"/>
    <w:rsid w:val="00620BE0"/>
    <w:rsid w:val="00620ED4"/>
    <w:rsid w:val="00620F92"/>
    <w:rsid w:val="006214DF"/>
    <w:rsid w:val="006216E8"/>
    <w:rsid w:val="0062176E"/>
    <w:rsid w:val="00622511"/>
    <w:rsid w:val="00622D6D"/>
    <w:rsid w:val="00622D96"/>
    <w:rsid w:val="00623347"/>
    <w:rsid w:val="00623862"/>
    <w:rsid w:val="006238CB"/>
    <w:rsid w:val="00623A1F"/>
    <w:rsid w:val="00623AA4"/>
    <w:rsid w:val="0062422E"/>
    <w:rsid w:val="00624618"/>
    <w:rsid w:val="00624795"/>
    <w:rsid w:val="006253EC"/>
    <w:rsid w:val="0062575F"/>
    <w:rsid w:val="00625840"/>
    <w:rsid w:val="00625A2C"/>
    <w:rsid w:val="00626105"/>
    <w:rsid w:val="00626A76"/>
    <w:rsid w:val="00626E95"/>
    <w:rsid w:val="00626ECC"/>
    <w:rsid w:val="006270D5"/>
    <w:rsid w:val="00627224"/>
    <w:rsid w:val="00627661"/>
    <w:rsid w:val="006304F4"/>
    <w:rsid w:val="006316D6"/>
    <w:rsid w:val="0063172C"/>
    <w:rsid w:val="00631ACA"/>
    <w:rsid w:val="00632C41"/>
    <w:rsid w:val="00633172"/>
    <w:rsid w:val="0063338B"/>
    <w:rsid w:val="0063359E"/>
    <w:rsid w:val="00633D4A"/>
    <w:rsid w:val="00633EB2"/>
    <w:rsid w:val="00633FEC"/>
    <w:rsid w:val="00634C62"/>
    <w:rsid w:val="00635183"/>
    <w:rsid w:val="00635781"/>
    <w:rsid w:val="006358EF"/>
    <w:rsid w:val="0063723E"/>
    <w:rsid w:val="006374D7"/>
    <w:rsid w:val="0063781E"/>
    <w:rsid w:val="0063791D"/>
    <w:rsid w:val="00637967"/>
    <w:rsid w:val="006402EA"/>
    <w:rsid w:val="00640726"/>
    <w:rsid w:val="00640C3F"/>
    <w:rsid w:val="00640E72"/>
    <w:rsid w:val="006419AA"/>
    <w:rsid w:val="006422E4"/>
    <w:rsid w:val="00642C46"/>
    <w:rsid w:val="006432C1"/>
    <w:rsid w:val="0064339E"/>
    <w:rsid w:val="00643A0C"/>
    <w:rsid w:val="00643BAD"/>
    <w:rsid w:val="00643C32"/>
    <w:rsid w:val="0064435D"/>
    <w:rsid w:val="00644DF6"/>
    <w:rsid w:val="00645479"/>
    <w:rsid w:val="006455DF"/>
    <w:rsid w:val="00645667"/>
    <w:rsid w:val="00645FF4"/>
    <w:rsid w:val="006460EC"/>
    <w:rsid w:val="00646154"/>
    <w:rsid w:val="00646A00"/>
    <w:rsid w:val="00646C5C"/>
    <w:rsid w:val="00646E40"/>
    <w:rsid w:val="00647930"/>
    <w:rsid w:val="00647E8E"/>
    <w:rsid w:val="0065028F"/>
    <w:rsid w:val="006502F8"/>
    <w:rsid w:val="006507A6"/>
    <w:rsid w:val="00650CD9"/>
    <w:rsid w:val="00651018"/>
    <w:rsid w:val="00651B77"/>
    <w:rsid w:val="00651D85"/>
    <w:rsid w:val="0065262E"/>
    <w:rsid w:val="00652BCE"/>
    <w:rsid w:val="0065316B"/>
    <w:rsid w:val="006533B9"/>
    <w:rsid w:val="006539E0"/>
    <w:rsid w:val="00653E7B"/>
    <w:rsid w:val="0065500F"/>
    <w:rsid w:val="006550E5"/>
    <w:rsid w:val="00655357"/>
    <w:rsid w:val="006556E0"/>
    <w:rsid w:val="00655833"/>
    <w:rsid w:val="00656F97"/>
    <w:rsid w:val="00657080"/>
    <w:rsid w:val="006571E7"/>
    <w:rsid w:val="00657309"/>
    <w:rsid w:val="00657529"/>
    <w:rsid w:val="0065757C"/>
    <w:rsid w:val="00660168"/>
    <w:rsid w:val="006603D2"/>
    <w:rsid w:val="006606C1"/>
    <w:rsid w:val="006609F8"/>
    <w:rsid w:val="00660F2E"/>
    <w:rsid w:val="0066264E"/>
    <w:rsid w:val="0066277B"/>
    <w:rsid w:val="00662A50"/>
    <w:rsid w:val="00662BD0"/>
    <w:rsid w:val="00662C8D"/>
    <w:rsid w:val="006631E9"/>
    <w:rsid w:val="00663234"/>
    <w:rsid w:val="006637BC"/>
    <w:rsid w:val="006649C5"/>
    <w:rsid w:val="006651BF"/>
    <w:rsid w:val="00665594"/>
    <w:rsid w:val="0066570B"/>
    <w:rsid w:val="00665ADE"/>
    <w:rsid w:val="00665D2B"/>
    <w:rsid w:val="00665DDE"/>
    <w:rsid w:val="00665E6C"/>
    <w:rsid w:val="006660C5"/>
    <w:rsid w:val="006660CF"/>
    <w:rsid w:val="00666C59"/>
    <w:rsid w:val="00666D48"/>
    <w:rsid w:val="00666F3C"/>
    <w:rsid w:val="00667A13"/>
    <w:rsid w:val="00670EB1"/>
    <w:rsid w:val="00670F5E"/>
    <w:rsid w:val="006714AB"/>
    <w:rsid w:val="006714F5"/>
    <w:rsid w:val="00671B3D"/>
    <w:rsid w:val="006722A1"/>
    <w:rsid w:val="00672C35"/>
    <w:rsid w:val="00672E05"/>
    <w:rsid w:val="00672EB0"/>
    <w:rsid w:val="0067327A"/>
    <w:rsid w:val="006735E6"/>
    <w:rsid w:val="00673EDA"/>
    <w:rsid w:val="00674263"/>
    <w:rsid w:val="00674493"/>
    <w:rsid w:val="00674855"/>
    <w:rsid w:val="00674A0B"/>
    <w:rsid w:val="00674A52"/>
    <w:rsid w:val="00674A83"/>
    <w:rsid w:val="00674E7C"/>
    <w:rsid w:val="00674FCD"/>
    <w:rsid w:val="0067512D"/>
    <w:rsid w:val="00675CBE"/>
    <w:rsid w:val="00676812"/>
    <w:rsid w:val="00676842"/>
    <w:rsid w:val="00676BD4"/>
    <w:rsid w:val="00677AD7"/>
    <w:rsid w:val="00677B75"/>
    <w:rsid w:val="00677C11"/>
    <w:rsid w:val="00677DB1"/>
    <w:rsid w:val="006805FC"/>
    <w:rsid w:val="00680AC2"/>
    <w:rsid w:val="00680B06"/>
    <w:rsid w:val="00680B94"/>
    <w:rsid w:val="00680F83"/>
    <w:rsid w:val="006815F0"/>
    <w:rsid w:val="00681E38"/>
    <w:rsid w:val="006820ED"/>
    <w:rsid w:val="00682351"/>
    <w:rsid w:val="00682498"/>
    <w:rsid w:val="00682E3D"/>
    <w:rsid w:val="006831C2"/>
    <w:rsid w:val="006833E6"/>
    <w:rsid w:val="00683F7A"/>
    <w:rsid w:val="0068415C"/>
    <w:rsid w:val="00684AC4"/>
    <w:rsid w:val="00684C05"/>
    <w:rsid w:val="00684C2C"/>
    <w:rsid w:val="00684D84"/>
    <w:rsid w:val="00684E2D"/>
    <w:rsid w:val="00685430"/>
    <w:rsid w:val="00685932"/>
    <w:rsid w:val="0068642D"/>
    <w:rsid w:val="00686B11"/>
    <w:rsid w:val="006872EC"/>
    <w:rsid w:val="00687505"/>
    <w:rsid w:val="0069134F"/>
    <w:rsid w:val="00691564"/>
    <w:rsid w:val="00691EB1"/>
    <w:rsid w:val="00691F25"/>
    <w:rsid w:val="00692C50"/>
    <w:rsid w:val="00692C5B"/>
    <w:rsid w:val="0069354B"/>
    <w:rsid w:val="00693B84"/>
    <w:rsid w:val="006947AE"/>
    <w:rsid w:val="00695C9D"/>
    <w:rsid w:val="00696044"/>
    <w:rsid w:val="006961BB"/>
    <w:rsid w:val="006973EB"/>
    <w:rsid w:val="00697647"/>
    <w:rsid w:val="006976B7"/>
    <w:rsid w:val="00697824"/>
    <w:rsid w:val="00697B54"/>
    <w:rsid w:val="00697FC6"/>
    <w:rsid w:val="006A090B"/>
    <w:rsid w:val="006A11A5"/>
    <w:rsid w:val="006A13A2"/>
    <w:rsid w:val="006A1851"/>
    <w:rsid w:val="006A1EF5"/>
    <w:rsid w:val="006A254E"/>
    <w:rsid w:val="006A2E2B"/>
    <w:rsid w:val="006A2E62"/>
    <w:rsid w:val="006A30D7"/>
    <w:rsid w:val="006A311C"/>
    <w:rsid w:val="006A3400"/>
    <w:rsid w:val="006A34B6"/>
    <w:rsid w:val="006A36E0"/>
    <w:rsid w:val="006A3C7E"/>
    <w:rsid w:val="006A4B96"/>
    <w:rsid w:val="006A4E14"/>
    <w:rsid w:val="006A4FB7"/>
    <w:rsid w:val="006A51A5"/>
    <w:rsid w:val="006A527E"/>
    <w:rsid w:val="006A52CB"/>
    <w:rsid w:val="006A53FB"/>
    <w:rsid w:val="006A5844"/>
    <w:rsid w:val="006A5ADF"/>
    <w:rsid w:val="006A5CDD"/>
    <w:rsid w:val="006A68AA"/>
    <w:rsid w:val="006A6FC5"/>
    <w:rsid w:val="006A7157"/>
    <w:rsid w:val="006A7333"/>
    <w:rsid w:val="006A7379"/>
    <w:rsid w:val="006A7A85"/>
    <w:rsid w:val="006A7AEC"/>
    <w:rsid w:val="006A7C6E"/>
    <w:rsid w:val="006A7FCC"/>
    <w:rsid w:val="006B01FF"/>
    <w:rsid w:val="006B02A9"/>
    <w:rsid w:val="006B0589"/>
    <w:rsid w:val="006B064E"/>
    <w:rsid w:val="006B1295"/>
    <w:rsid w:val="006B12CC"/>
    <w:rsid w:val="006B1618"/>
    <w:rsid w:val="006B19A1"/>
    <w:rsid w:val="006B2836"/>
    <w:rsid w:val="006B2D72"/>
    <w:rsid w:val="006B2E2F"/>
    <w:rsid w:val="006B3D0A"/>
    <w:rsid w:val="006B3D97"/>
    <w:rsid w:val="006B3EB7"/>
    <w:rsid w:val="006B3FBE"/>
    <w:rsid w:val="006B4E5A"/>
    <w:rsid w:val="006B5803"/>
    <w:rsid w:val="006B5B89"/>
    <w:rsid w:val="006B5B97"/>
    <w:rsid w:val="006B5FB5"/>
    <w:rsid w:val="006B6358"/>
    <w:rsid w:val="006B6755"/>
    <w:rsid w:val="006B6AE4"/>
    <w:rsid w:val="006B6F5B"/>
    <w:rsid w:val="006B7523"/>
    <w:rsid w:val="006B7B6E"/>
    <w:rsid w:val="006B7D1C"/>
    <w:rsid w:val="006B7F34"/>
    <w:rsid w:val="006C005C"/>
    <w:rsid w:val="006C0211"/>
    <w:rsid w:val="006C0627"/>
    <w:rsid w:val="006C07E3"/>
    <w:rsid w:val="006C0B13"/>
    <w:rsid w:val="006C1A27"/>
    <w:rsid w:val="006C2A13"/>
    <w:rsid w:val="006C2F03"/>
    <w:rsid w:val="006C3B26"/>
    <w:rsid w:val="006C3F38"/>
    <w:rsid w:val="006C40EB"/>
    <w:rsid w:val="006C69E8"/>
    <w:rsid w:val="006C6BCB"/>
    <w:rsid w:val="006C6D83"/>
    <w:rsid w:val="006C737A"/>
    <w:rsid w:val="006D08D1"/>
    <w:rsid w:val="006D0D1A"/>
    <w:rsid w:val="006D110F"/>
    <w:rsid w:val="006D14E3"/>
    <w:rsid w:val="006D2492"/>
    <w:rsid w:val="006D2624"/>
    <w:rsid w:val="006D2876"/>
    <w:rsid w:val="006D390C"/>
    <w:rsid w:val="006D3C0C"/>
    <w:rsid w:val="006D45B4"/>
    <w:rsid w:val="006D4927"/>
    <w:rsid w:val="006D50B9"/>
    <w:rsid w:val="006D545E"/>
    <w:rsid w:val="006D5868"/>
    <w:rsid w:val="006D5BFD"/>
    <w:rsid w:val="006D65E9"/>
    <w:rsid w:val="006D6DD2"/>
    <w:rsid w:val="006D79FB"/>
    <w:rsid w:val="006E0179"/>
    <w:rsid w:val="006E0506"/>
    <w:rsid w:val="006E052E"/>
    <w:rsid w:val="006E2A28"/>
    <w:rsid w:val="006E2D9B"/>
    <w:rsid w:val="006E2DE7"/>
    <w:rsid w:val="006E3659"/>
    <w:rsid w:val="006E36F7"/>
    <w:rsid w:val="006E397F"/>
    <w:rsid w:val="006E4115"/>
    <w:rsid w:val="006E4272"/>
    <w:rsid w:val="006E4761"/>
    <w:rsid w:val="006E4890"/>
    <w:rsid w:val="006E4A2E"/>
    <w:rsid w:val="006E4CAD"/>
    <w:rsid w:val="006E5094"/>
    <w:rsid w:val="006E568B"/>
    <w:rsid w:val="006E5930"/>
    <w:rsid w:val="006E61E0"/>
    <w:rsid w:val="006E63CD"/>
    <w:rsid w:val="006E6CF1"/>
    <w:rsid w:val="006E713E"/>
    <w:rsid w:val="006F0951"/>
    <w:rsid w:val="006F1348"/>
    <w:rsid w:val="006F1590"/>
    <w:rsid w:val="006F1CBF"/>
    <w:rsid w:val="006F2058"/>
    <w:rsid w:val="006F2308"/>
    <w:rsid w:val="006F2758"/>
    <w:rsid w:val="006F2A7A"/>
    <w:rsid w:val="006F3577"/>
    <w:rsid w:val="006F3BCE"/>
    <w:rsid w:val="006F3C78"/>
    <w:rsid w:val="006F4549"/>
    <w:rsid w:val="006F48AC"/>
    <w:rsid w:val="006F4AEF"/>
    <w:rsid w:val="006F4E18"/>
    <w:rsid w:val="006F52CF"/>
    <w:rsid w:val="006F54F8"/>
    <w:rsid w:val="006F61D8"/>
    <w:rsid w:val="006F64B2"/>
    <w:rsid w:val="006F71EA"/>
    <w:rsid w:val="006F7703"/>
    <w:rsid w:val="006F785C"/>
    <w:rsid w:val="006F789D"/>
    <w:rsid w:val="006F7BD9"/>
    <w:rsid w:val="0070052B"/>
    <w:rsid w:val="0070064B"/>
    <w:rsid w:val="007006D1"/>
    <w:rsid w:val="00700B76"/>
    <w:rsid w:val="00702B8C"/>
    <w:rsid w:val="00703092"/>
    <w:rsid w:val="00703AB3"/>
    <w:rsid w:val="0070430C"/>
    <w:rsid w:val="007053EC"/>
    <w:rsid w:val="0070603E"/>
    <w:rsid w:val="00706EDE"/>
    <w:rsid w:val="00706F14"/>
    <w:rsid w:val="00707C6B"/>
    <w:rsid w:val="00710504"/>
    <w:rsid w:val="00710E3D"/>
    <w:rsid w:val="0071107B"/>
    <w:rsid w:val="00711C1A"/>
    <w:rsid w:val="00712363"/>
    <w:rsid w:val="00712644"/>
    <w:rsid w:val="007128FA"/>
    <w:rsid w:val="0071316D"/>
    <w:rsid w:val="007132E0"/>
    <w:rsid w:val="00713863"/>
    <w:rsid w:val="00713E98"/>
    <w:rsid w:val="00714A88"/>
    <w:rsid w:val="007150DD"/>
    <w:rsid w:val="007154B6"/>
    <w:rsid w:val="00715DF7"/>
    <w:rsid w:val="007171AC"/>
    <w:rsid w:val="00717F59"/>
    <w:rsid w:val="0072000B"/>
    <w:rsid w:val="00721E0A"/>
    <w:rsid w:val="00721EFD"/>
    <w:rsid w:val="007220B5"/>
    <w:rsid w:val="00722818"/>
    <w:rsid w:val="0072320E"/>
    <w:rsid w:val="0072387F"/>
    <w:rsid w:val="007239EE"/>
    <w:rsid w:val="00723FCF"/>
    <w:rsid w:val="0072428F"/>
    <w:rsid w:val="007249F5"/>
    <w:rsid w:val="00724AE5"/>
    <w:rsid w:val="00724B75"/>
    <w:rsid w:val="007251A6"/>
    <w:rsid w:val="0072556A"/>
    <w:rsid w:val="007256AC"/>
    <w:rsid w:val="00725905"/>
    <w:rsid w:val="00725DA2"/>
    <w:rsid w:val="0072635B"/>
    <w:rsid w:val="0072647E"/>
    <w:rsid w:val="007264C6"/>
    <w:rsid w:val="00726762"/>
    <w:rsid w:val="00726C7A"/>
    <w:rsid w:val="00727B53"/>
    <w:rsid w:val="00727D8E"/>
    <w:rsid w:val="007301EE"/>
    <w:rsid w:val="0073048B"/>
    <w:rsid w:val="00730538"/>
    <w:rsid w:val="007311DF"/>
    <w:rsid w:val="007312F0"/>
    <w:rsid w:val="00731388"/>
    <w:rsid w:val="00732362"/>
    <w:rsid w:val="0073240D"/>
    <w:rsid w:val="00732ACF"/>
    <w:rsid w:val="00732D0E"/>
    <w:rsid w:val="0073316A"/>
    <w:rsid w:val="007336BB"/>
    <w:rsid w:val="007336C7"/>
    <w:rsid w:val="007337D3"/>
    <w:rsid w:val="00733AD0"/>
    <w:rsid w:val="00734046"/>
    <w:rsid w:val="00735490"/>
    <w:rsid w:val="00736337"/>
    <w:rsid w:val="007364B8"/>
    <w:rsid w:val="007368C7"/>
    <w:rsid w:val="007372AB"/>
    <w:rsid w:val="00737322"/>
    <w:rsid w:val="00737500"/>
    <w:rsid w:val="00737B6E"/>
    <w:rsid w:val="007402A8"/>
    <w:rsid w:val="0074097E"/>
    <w:rsid w:val="00740D28"/>
    <w:rsid w:val="00741A97"/>
    <w:rsid w:val="00742703"/>
    <w:rsid w:val="00742900"/>
    <w:rsid w:val="00742AA8"/>
    <w:rsid w:val="007430B5"/>
    <w:rsid w:val="00743383"/>
    <w:rsid w:val="00743EB9"/>
    <w:rsid w:val="00744229"/>
    <w:rsid w:val="0074445D"/>
    <w:rsid w:val="007445D4"/>
    <w:rsid w:val="00745369"/>
    <w:rsid w:val="00745686"/>
    <w:rsid w:val="0074615E"/>
    <w:rsid w:val="007461C0"/>
    <w:rsid w:val="00746343"/>
    <w:rsid w:val="007475DA"/>
    <w:rsid w:val="0074782A"/>
    <w:rsid w:val="00747BA5"/>
    <w:rsid w:val="0075024C"/>
    <w:rsid w:val="00750358"/>
    <w:rsid w:val="007515C6"/>
    <w:rsid w:val="007516D7"/>
    <w:rsid w:val="00751AD3"/>
    <w:rsid w:val="00752E41"/>
    <w:rsid w:val="00753282"/>
    <w:rsid w:val="00753401"/>
    <w:rsid w:val="00753BD6"/>
    <w:rsid w:val="00753F01"/>
    <w:rsid w:val="00754628"/>
    <w:rsid w:val="00754FDC"/>
    <w:rsid w:val="00755936"/>
    <w:rsid w:val="007559A9"/>
    <w:rsid w:val="00756018"/>
    <w:rsid w:val="007561BE"/>
    <w:rsid w:val="00756C64"/>
    <w:rsid w:val="00756E68"/>
    <w:rsid w:val="00756E75"/>
    <w:rsid w:val="00757B36"/>
    <w:rsid w:val="00757DCB"/>
    <w:rsid w:val="0076034B"/>
    <w:rsid w:val="007608D5"/>
    <w:rsid w:val="00760B22"/>
    <w:rsid w:val="00760C07"/>
    <w:rsid w:val="00761171"/>
    <w:rsid w:val="0076192A"/>
    <w:rsid w:val="00761A69"/>
    <w:rsid w:val="00761B6E"/>
    <w:rsid w:val="00761D79"/>
    <w:rsid w:val="00762264"/>
    <w:rsid w:val="007625C3"/>
    <w:rsid w:val="00762C9E"/>
    <w:rsid w:val="00763087"/>
    <w:rsid w:val="00763A4D"/>
    <w:rsid w:val="00764293"/>
    <w:rsid w:val="0076482D"/>
    <w:rsid w:val="007652AA"/>
    <w:rsid w:val="00765818"/>
    <w:rsid w:val="00765901"/>
    <w:rsid w:val="00765D76"/>
    <w:rsid w:val="0076636B"/>
    <w:rsid w:val="007665E5"/>
    <w:rsid w:val="00766664"/>
    <w:rsid w:val="007668C7"/>
    <w:rsid w:val="00766F66"/>
    <w:rsid w:val="00767836"/>
    <w:rsid w:val="00770576"/>
    <w:rsid w:val="0077065C"/>
    <w:rsid w:val="00770AC7"/>
    <w:rsid w:val="00771520"/>
    <w:rsid w:val="007715A5"/>
    <w:rsid w:val="00771FD3"/>
    <w:rsid w:val="00772315"/>
    <w:rsid w:val="00772928"/>
    <w:rsid w:val="00772BE2"/>
    <w:rsid w:val="00772C6A"/>
    <w:rsid w:val="00773A4F"/>
    <w:rsid w:val="00773F08"/>
    <w:rsid w:val="007743AD"/>
    <w:rsid w:val="00774AB2"/>
    <w:rsid w:val="00774D67"/>
    <w:rsid w:val="00775D69"/>
    <w:rsid w:val="0077620C"/>
    <w:rsid w:val="007764F9"/>
    <w:rsid w:val="00776E0E"/>
    <w:rsid w:val="007800EF"/>
    <w:rsid w:val="007803EE"/>
    <w:rsid w:val="00780862"/>
    <w:rsid w:val="007809FA"/>
    <w:rsid w:val="00780C93"/>
    <w:rsid w:val="00780F97"/>
    <w:rsid w:val="00781782"/>
    <w:rsid w:val="00781AEA"/>
    <w:rsid w:val="00781C90"/>
    <w:rsid w:val="00781D73"/>
    <w:rsid w:val="0078248B"/>
    <w:rsid w:val="00782515"/>
    <w:rsid w:val="00783898"/>
    <w:rsid w:val="007839AB"/>
    <w:rsid w:val="0078405F"/>
    <w:rsid w:val="00785C18"/>
    <w:rsid w:val="0078611A"/>
    <w:rsid w:val="00786226"/>
    <w:rsid w:val="007864D3"/>
    <w:rsid w:val="00786A1B"/>
    <w:rsid w:val="00790263"/>
    <w:rsid w:val="00792C24"/>
    <w:rsid w:val="00792D43"/>
    <w:rsid w:val="00793062"/>
    <w:rsid w:val="007930E0"/>
    <w:rsid w:val="00793D88"/>
    <w:rsid w:val="00793FFE"/>
    <w:rsid w:val="007943C8"/>
    <w:rsid w:val="00794401"/>
    <w:rsid w:val="00794C0D"/>
    <w:rsid w:val="00795D42"/>
    <w:rsid w:val="00796108"/>
    <w:rsid w:val="007965F1"/>
    <w:rsid w:val="00796A61"/>
    <w:rsid w:val="00796DE8"/>
    <w:rsid w:val="0079767D"/>
    <w:rsid w:val="007A02AF"/>
    <w:rsid w:val="007A0581"/>
    <w:rsid w:val="007A0C67"/>
    <w:rsid w:val="007A0E01"/>
    <w:rsid w:val="007A10E1"/>
    <w:rsid w:val="007A2436"/>
    <w:rsid w:val="007A265F"/>
    <w:rsid w:val="007A29F0"/>
    <w:rsid w:val="007A2E0F"/>
    <w:rsid w:val="007A303C"/>
    <w:rsid w:val="007A3192"/>
    <w:rsid w:val="007A3C3B"/>
    <w:rsid w:val="007A4155"/>
    <w:rsid w:val="007A4896"/>
    <w:rsid w:val="007A5449"/>
    <w:rsid w:val="007A555C"/>
    <w:rsid w:val="007A55D0"/>
    <w:rsid w:val="007A5880"/>
    <w:rsid w:val="007A5C2C"/>
    <w:rsid w:val="007A5EF0"/>
    <w:rsid w:val="007A6209"/>
    <w:rsid w:val="007A6544"/>
    <w:rsid w:val="007A6C3B"/>
    <w:rsid w:val="007A7210"/>
    <w:rsid w:val="007A7AC7"/>
    <w:rsid w:val="007A7BFB"/>
    <w:rsid w:val="007A7C5E"/>
    <w:rsid w:val="007B018B"/>
    <w:rsid w:val="007B0215"/>
    <w:rsid w:val="007B0269"/>
    <w:rsid w:val="007B026E"/>
    <w:rsid w:val="007B04A1"/>
    <w:rsid w:val="007B05DF"/>
    <w:rsid w:val="007B060B"/>
    <w:rsid w:val="007B0ECD"/>
    <w:rsid w:val="007B1127"/>
    <w:rsid w:val="007B176C"/>
    <w:rsid w:val="007B2160"/>
    <w:rsid w:val="007B228B"/>
    <w:rsid w:val="007B2389"/>
    <w:rsid w:val="007B2546"/>
    <w:rsid w:val="007B27B8"/>
    <w:rsid w:val="007B2824"/>
    <w:rsid w:val="007B3F18"/>
    <w:rsid w:val="007B4112"/>
    <w:rsid w:val="007B4128"/>
    <w:rsid w:val="007B42CC"/>
    <w:rsid w:val="007B44ED"/>
    <w:rsid w:val="007B45E8"/>
    <w:rsid w:val="007B479B"/>
    <w:rsid w:val="007B4F41"/>
    <w:rsid w:val="007B579D"/>
    <w:rsid w:val="007B5BAE"/>
    <w:rsid w:val="007B7022"/>
    <w:rsid w:val="007B7F03"/>
    <w:rsid w:val="007B7F29"/>
    <w:rsid w:val="007C0607"/>
    <w:rsid w:val="007C0D83"/>
    <w:rsid w:val="007C111A"/>
    <w:rsid w:val="007C1BEA"/>
    <w:rsid w:val="007C1CDE"/>
    <w:rsid w:val="007C24AC"/>
    <w:rsid w:val="007C283F"/>
    <w:rsid w:val="007C2931"/>
    <w:rsid w:val="007C334B"/>
    <w:rsid w:val="007C3726"/>
    <w:rsid w:val="007C3BB0"/>
    <w:rsid w:val="007C3D35"/>
    <w:rsid w:val="007C3D91"/>
    <w:rsid w:val="007C3E30"/>
    <w:rsid w:val="007C568D"/>
    <w:rsid w:val="007C5997"/>
    <w:rsid w:val="007C5B7E"/>
    <w:rsid w:val="007C671E"/>
    <w:rsid w:val="007C6F64"/>
    <w:rsid w:val="007C7133"/>
    <w:rsid w:val="007C73ED"/>
    <w:rsid w:val="007D000F"/>
    <w:rsid w:val="007D0403"/>
    <w:rsid w:val="007D0704"/>
    <w:rsid w:val="007D0F4A"/>
    <w:rsid w:val="007D1254"/>
    <w:rsid w:val="007D1894"/>
    <w:rsid w:val="007D1A50"/>
    <w:rsid w:val="007D2448"/>
    <w:rsid w:val="007D3257"/>
    <w:rsid w:val="007D3C36"/>
    <w:rsid w:val="007D401E"/>
    <w:rsid w:val="007D4266"/>
    <w:rsid w:val="007D44E8"/>
    <w:rsid w:val="007D6D60"/>
    <w:rsid w:val="007D7B7F"/>
    <w:rsid w:val="007D7FAA"/>
    <w:rsid w:val="007E0129"/>
    <w:rsid w:val="007E0383"/>
    <w:rsid w:val="007E03EF"/>
    <w:rsid w:val="007E0769"/>
    <w:rsid w:val="007E0B67"/>
    <w:rsid w:val="007E128F"/>
    <w:rsid w:val="007E139D"/>
    <w:rsid w:val="007E1CB8"/>
    <w:rsid w:val="007E1F64"/>
    <w:rsid w:val="007E2B13"/>
    <w:rsid w:val="007E2B6E"/>
    <w:rsid w:val="007E3C9C"/>
    <w:rsid w:val="007E46A4"/>
    <w:rsid w:val="007E488D"/>
    <w:rsid w:val="007E49AA"/>
    <w:rsid w:val="007E4E1C"/>
    <w:rsid w:val="007E4F79"/>
    <w:rsid w:val="007E6652"/>
    <w:rsid w:val="007E6BBF"/>
    <w:rsid w:val="007E6C86"/>
    <w:rsid w:val="007E6DAC"/>
    <w:rsid w:val="007E7EBC"/>
    <w:rsid w:val="007F0124"/>
    <w:rsid w:val="007F02FF"/>
    <w:rsid w:val="007F1132"/>
    <w:rsid w:val="007F1179"/>
    <w:rsid w:val="007F11B3"/>
    <w:rsid w:val="007F130A"/>
    <w:rsid w:val="007F152B"/>
    <w:rsid w:val="007F1602"/>
    <w:rsid w:val="007F1A8F"/>
    <w:rsid w:val="007F1C00"/>
    <w:rsid w:val="007F1E95"/>
    <w:rsid w:val="007F1F75"/>
    <w:rsid w:val="007F2005"/>
    <w:rsid w:val="007F235A"/>
    <w:rsid w:val="007F244F"/>
    <w:rsid w:val="007F2D05"/>
    <w:rsid w:val="007F3965"/>
    <w:rsid w:val="007F4117"/>
    <w:rsid w:val="007F42A7"/>
    <w:rsid w:val="007F4841"/>
    <w:rsid w:val="007F5156"/>
    <w:rsid w:val="007F530F"/>
    <w:rsid w:val="007F5536"/>
    <w:rsid w:val="007F6A5F"/>
    <w:rsid w:val="007F7283"/>
    <w:rsid w:val="00800400"/>
    <w:rsid w:val="008012A0"/>
    <w:rsid w:val="00801403"/>
    <w:rsid w:val="008015DD"/>
    <w:rsid w:val="008016B1"/>
    <w:rsid w:val="008016D4"/>
    <w:rsid w:val="008016F3"/>
    <w:rsid w:val="008018D4"/>
    <w:rsid w:val="008019E9"/>
    <w:rsid w:val="00802088"/>
    <w:rsid w:val="008025C1"/>
    <w:rsid w:val="00802722"/>
    <w:rsid w:val="00804139"/>
    <w:rsid w:val="00804632"/>
    <w:rsid w:val="008049FB"/>
    <w:rsid w:val="00804BD4"/>
    <w:rsid w:val="0080500F"/>
    <w:rsid w:val="00805BC7"/>
    <w:rsid w:val="00805E41"/>
    <w:rsid w:val="00805E45"/>
    <w:rsid w:val="008079F0"/>
    <w:rsid w:val="008100C5"/>
    <w:rsid w:val="00810C77"/>
    <w:rsid w:val="00811018"/>
    <w:rsid w:val="008113DC"/>
    <w:rsid w:val="00811B23"/>
    <w:rsid w:val="008124D7"/>
    <w:rsid w:val="00812980"/>
    <w:rsid w:val="00812E12"/>
    <w:rsid w:val="00812FD1"/>
    <w:rsid w:val="0081320D"/>
    <w:rsid w:val="00813A55"/>
    <w:rsid w:val="00813AC0"/>
    <w:rsid w:val="00814518"/>
    <w:rsid w:val="00814AF3"/>
    <w:rsid w:val="00814B22"/>
    <w:rsid w:val="00814BB7"/>
    <w:rsid w:val="008157F8"/>
    <w:rsid w:val="008163AF"/>
    <w:rsid w:val="00816A86"/>
    <w:rsid w:val="00816E68"/>
    <w:rsid w:val="0081788A"/>
    <w:rsid w:val="008201B4"/>
    <w:rsid w:val="008203C2"/>
    <w:rsid w:val="00820878"/>
    <w:rsid w:val="00820D88"/>
    <w:rsid w:val="00820E63"/>
    <w:rsid w:val="00820F6D"/>
    <w:rsid w:val="008210DA"/>
    <w:rsid w:val="00821456"/>
    <w:rsid w:val="0082162B"/>
    <w:rsid w:val="00821ACA"/>
    <w:rsid w:val="00821F59"/>
    <w:rsid w:val="00822251"/>
    <w:rsid w:val="008225B2"/>
    <w:rsid w:val="00822D43"/>
    <w:rsid w:val="00823A36"/>
    <w:rsid w:val="00823AFF"/>
    <w:rsid w:val="00825214"/>
    <w:rsid w:val="008255AF"/>
    <w:rsid w:val="00825663"/>
    <w:rsid w:val="0082656F"/>
    <w:rsid w:val="00826A3C"/>
    <w:rsid w:val="0082751B"/>
    <w:rsid w:val="00830611"/>
    <w:rsid w:val="00830912"/>
    <w:rsid w:val="00830C3C"/>
    <w:rsid w:val="00831521"/>
    <w:rsid w:val="00831BFE"/>
    <w:rsid w:val="00831F73"/>
    <w:rsid w:val="0083202B"/>
    <w:rsid w:val="008321B8"/>
    <w:rsid w:val="008332D5"/>
    <w:rsid w:val="008337C5"/>
    <w:rsid w:val="00833A10"/>
    <w:rsid w:val="00833CAB"/>
    <w:rsid w:val="008343F5"/>
    <w:rsid w:val="00834926"/>
    <w:rsid w:val="008356A7"/>
    <w:rsid w:val="008366B9"/>
    <w:rsid w:val="00836C81"/>
    <w:rsid w:val="00837259"/>
    <w:rsid w:val="00837471"/>
    <w:rsid w:val="00840152"/>
    <w:rsid w:val="00840252"/>
    <w:rsid w:val="00840455"/>
    <w:rsid w:val="00840892"/>
    <w:rsid w:val="008418E1"/>
    <w:rsid w:val="00841A5A"/>
    <w:rsid w:val="008421D7"/>
    <w:rsid w:val="00842339"/>
    <w:rsid w:val="008425E0"/>
    <w:rsid w:val="00842BAB"/>
    <w:rsid w:val="00842D3B"/>
    <w:rsid w:val="008430C1"/>
    <w:rsid w:val="008433D7"/>
    <w:rsid w:val="0084398B"/>
    <w:rsid w:val="00844252"/>
    <w:rsid w:val="008442DF"/>
    <w:rsid w:val="00845392"/>
    <w:rsid w:val="008454B8"/>
    <w:rsid w:val="008455CE"/>
    <w:rsid w:val="008459FB"/>
    <w:rsid w:val="00846689"/>
    <w:rsid w:val="00846BDF"/>
    <w:rsid w:val="008470FF"/>
    <w:rsid w:val="0084720F"/>
    <w:rsid w:val="00847387"/>
    <w:rsid w:val="0084759E"/>
    <w:rsid w:val="008477F3"/>
    <w:rsid w:val="00847CCF"/>
    <w:rsid w:val="008503BF"/>
    <w:rsid w:val="008507F7"/>
    <w:rsid w:val="00850C11"/>
    <w:rsid w:val="00850F68"/>
    <w:rsid w:val="00850F75"/>
    <w:rsid w:val="00850FA5"/>
    <w:rsid w:val="008515FA"/>
    <w:rsid w:val="00851608"/>
    <w:rsid w:val="008520E8"/>
    <w:rsid w:val="00852378"/>
    <w:rsid w:val="008525FD"/>
    <w:rsid w:val="0085357A"/>
    <w:rsid w:val="00853FE8"/>
    <w:rsid w:val="008543AE"/>
    <w:rsid w:val="00854937"/>
    <w:rsid w:val="008555DE"/>
    <w:rsid w:val="00855645"/>
    <w:rsid w:val="008567AA"/>
    <w:rsid w:val="008568C0"/>
    <w:rsid w:val="00856A08"/>
    <w:rsid w:val="00856CBD"/>
    <w:rsid w:val="00857A24"/>
    <w:rsid w:val="00857C44"/>
    <w:rsid w:val="0086030F"/>
    <w:rsid w:val="00860E76"/>
    <w:rsid w:val="00861B72"/>
    <w:rsid w:val="00861C4C"/>
    <w:rsid w:val="00861FD8"/>
    <w:rsid w:val="0086244F"/>
    <w:rsid w:val="008629CF"/>
    <w:rsid w:val="00862B14"/>
    <w:rsid w:val="00862BCB"/>
    <w:rsid w:val="00863221"/>
    <w:rsid w:val="00863A63"/>
    <w:rsid w:val="008640F8"/>
    <w:rsid w:val="00864255"/>
    <w:rsid w:val="00864FF0"/>
    <w:rsid w:val="00864FF6"/>
    <w:rsid w:val="008654A8"/>
    <w:rsid w:val="0086589B"/>
    <w:rsid w:val="00866121"/>
    <w:rsid w:val="0086627F"/>
    <w:rsid w:val="0086697C"/>
    <w:rsid w:val="00866AB9"/>
    <w:rsid w:val="00866BB4"/>
    <w:rsid w:val="008677BE"/>
    <w:rsid w:val="0086794E"/>
    <w:rsid w:val="00867AFF"/>
    <w:rsid w:val="00867D88"/>
    <w:rsid w:val="008700E7"/>
    <w:rsid w:val="008704A9"/>
    <w:rsid w:val="00870BF4"/>
    <w:rsid w:val="008711E8"/>
    <w:rsid w:val="008717F2"/>
    <w:rsid w:val="00871FE5"/>
    <w:rsid w:val="00872250"/>
    <w:rsid w:val="0087285B"/>
    <w:rsid w:val="0087308B"/>
    <w:rsid w:val="008731D1"/>
    <w:rsid w:val="00873937"/>
    <w:rsid w:val="00873EE6"/>
    <w:rsid w:val="0087448B"/>
    <w:rsid w:val="0087451A"/>
    <w:rsid w:val="00874BBD"/>
    <w:rsid w:val="00874EA5"/>
    <w:rsid w:val="00875180"/>
    <w:rsid w:val="008751D6"/>
    <w:rsid w:val="008755F5"/>
    <w:rsid w:val="008763AB"/>
    <w:rsid w:val="008763BE"/>
    <w:rsid w:val="00876603"/>
    <w:rsid w:val="00876674"/>
    <w:rsid w:val="0087753A"/>
    <w:rsid w:val="0087760B"/>
    <w:rsid w:val="008778C5"/>
    <w:rsid w:val="0088073E"/>
    <w:rsid w:val="00880DE1"/>
    <w:rsid w:val="00881E91"/>
    <w:rsid w:val="00882750"/>
    <w:rsid w:val="008828AD"/>
    <w:rsid w:val="0088297E"/>
    <w:rsid w:val="00882ED6"/>
    <w:rsid w:val="00883118"/>
    <w:rsid w:val="00883C00"/>
    <w:rsid w:val="00883F0F"/>
    <w:rsid w:val="00884300"/>
    <w:rsid w:val="00884C9F"/>
    <w:rsid w:val="008855BC"/>
    <w:rsid w:val="0088598B"/>
    <w:rsid w:val="00885C18"/>
    <w:rsid w:val="0088619B"/>
    <w:rsid w:val="00886305"/>
    <w:rsid w:val="008864A5"/>
    <w:rsid w:val="00886980"/>
    <w:rsid w:val="00886B36"/>
    <w:rsid w:val="00886ECC"/>
    <w:rsid w:val="00886FAC"/>
    <w:rsid w:val="008873C3"/>
    <w:rsid w:val="008878B4"/>
    <w:rsid w:val="00887B4E"/>
    <w:rsid w:val="00887EFC"/>
    <w:rsid w:val="00887FDB"/>
    <w:rsid w:val="00890019"/>
    <w:rsid w:val="00890AC8"/>
    <w:rsid w:val="00890EA1"/>
    <w:rsid w:val="00890F08"/>
    <w:rsid w:val="00892325"/>
    <w:rsid w:val="00892625"/>
    <w:rsid w:val="008927C1"/>
    <w:rsid w:val="00893A61"/>
    <w:rsid w:val="00893B64"/>
    <w:rsid w:val="008943A5"/>
    <w:rsid w:val="00895190"/>
    <w:rsid w:val="00895CAF"/>
    <w:rsid w:val="00896514"/>
    <w:rsid w:val="00896EAA"/>
    <w:rsid w:val="00897460"/>
    <w:rsid w:val="008974E7"/>
    <w:rsid w:val="0089759A"/>
    <w:rsid w:val="00897A97"/>
    <w:rsid w:val="00897F48"/>
    <w:rsid w:val="008A06B2"/>
    <w:rsid w:val="008A092E"/>
    <w:rsid w:val="008A0C68"/>
    <w:rsid w:val="008A135D"/>
    <w:rsid w:val="008A15EB"/>
    <w:rsid w:val="008A1C91"/>
    <w:rsid w:val="008A2093"/>
    <w:rsid w:val="008A2A82"/>
    <w:rsid w:val="008A2CBE"/>
    <w:rsid w:val="008A34ED"/>
    <w:rsid w:val="008A3755"/>
    <w:rsid w:val="008A3936"/>
    <w:rsid w:val="008A4248"/>
    <w:rsid w:val="008A4719"/>
    <w:rsid w:val="008A47E0"/>
    <w:rsid w:val="008A4FB5"/>
    <w:rsid w:val="008A583B"/>
    <w:rsid w:val="008A61A0"/>
    <w:rsid w:val="008A6A46"/>
    <w:rsid w:val="008A7079"/>
    <w:rsid w:val="008A74BD"/>
    <w:rsid w:val="008A79AF"/>
    <w:rsid w:val="008A7CF6"/>
    <w:rsid w:val="008A7EAA"/>
    <w:rsid w:val="008B036C"/>
    <w:rsid w:val="008B04A2"/>
    <w:rsid w:val="008B0B00"/>
    <w:rsid w:val="008B1B1C"/>
    <w:rsid w:val="008B1F54"/>
    <w:rsid w:val="008B200F"/>
    <w:rsid w:val="008B23FF"/>
    <w:rsid w:val="008B2966"/>
    <w:rsid w:val="008B3235"/>
    <w:rsid w:val="008B35C9"/>
    <w:rsid w:val="008B3671"/>
    <w:rsid w:val="008B4585"/>
    <w:rsid w:val="008B4841"/>
    <w:rsid w:val="008B4B69"/>
    <w:rsid w:val="008B51A1"/>
    <w:rsid w:val="008B550E"/>
    <w:rsid w:val="008B565B"/>
    <w:rsid w:val="008B572A"/>
    <w:rsid w:val="008B58BB"/>
    <w:rsid w:val="008B67C5"/>
    <w:rsid w:val="008B6A5E"/>
    <w:rsid w:val="008B6E9A"/>
    <w:rsid w:val="008B7F40"/>
    <w:rsid w:val="008B7F83"/>
    <w:rsid w:val="008C0162"/>
    <w:rsid w:val="008C0163"/>
    <w:rsid w:val="008C0703"/>
    <w:rsid w:val="008C101C"/>
    <w:rsid w:val="008C122C"/>
    <w:rsid w:val="008C1734"/>
    <w:rsid w:val="008C216D"/>
    <w:rsid w:val="008C2C46"/>
    <w:rsid w:val="008C3130"/>
    <w:rsid w:val="008C3847"/>
    <w:rsid w:val="008C39A8"/>
    <w:rsid w:val="008C4213"/>
    <w:rsid w:val="008C490E"/>
    <w:rsid w:val="008C4D64"/>
    <w:rsid w:val="008C5747"/>
    <w:rsid w:val="008C6777"/>
    <w:rsid w:val="008C6A0D"/>
    <w:rsid w:val="008C74BC"/>
    <w:rsid w:val="008C79CA"/>
    <w:rsid w:val="008C7B3C"/>
    <w:rsid w:val="008C7C1B"/>
    <w:rsid w:val="008C7C3B"/>
    <w:rsid w:val="008C7D8D"/>
    <w:rsid w:val="008D05F5"/>
    <w:rsid w:val="008D06C8"/>
    <w:rsid w:val="008D080D"/>
    <w:rsid w:val="008D0F96"/>
    <w:rsid w:val="008D1A02"/>
    <w:rsid w:val="008D1C43"/>
    <w:rsid w:val="008D1C50"/>
    <w:rsid w:val="008D2239"/>
    <w:rsid w:val="008D3392"/>
    <w:rsid w:val="008D36C2"/>
    <w:rsid w:val="008D389B"/>
    <w:rsid w:val="008D4212"/>
    <w:rsid w:val="008D43FB"/>
    <w:rsid w:val="008D4FD3"/>
    <w:rsid w:val="008D5022"/>
    <w:rsid w:val="008D5224"/>
    <w:rsid w:val="008D5305"/>
    <w:rsid w:val="008D53E2"/>
    <w:rsid w:val="008D570E"/>
    <w:rsid w:val="008D591A"/>
    <w:rsid w:val="008D5AA4"/>
    <w:rsid w:val="008D5D86"/>
    <w:rsid w:val="008D61B9"/>
    <w:rsid w:val="008D6757"/>
    <w:rsid w:val="008D67C8"/>
    <w:rsid w:val="008D6B76"/>
    <w:rsid w:val="008D6CE0"/>
    <w:rsid w:val="008D6DC1"/>
    <w:rsid w:val="008D7092"/>
    <w:rsid w:val="008D73AD"/>
    <w:rsid w:val="008D757D"/>
    <w:rsid w:val="008D75AF"/>
    <w:rsid w:val="008D789E"/>
    <w:rsid w:val="008E0245"/>
    <w:rsid w:val="008E03D0"/>
    <w:rsid w:val="008E040E"/>
    <w:rsid w:val="008E0830"/>
    <w:rsid w:val="008E0B95"/>
    <w:rsid w:val="008E0E5E"/>
    <w:rsid w:val="008E104D"/>
    <w:rsid w:val="008E133C"/>
    <w:rsid w:val="008E1555"/>
    <w:rsid w:val="008E1A4E"/>
    <w:rsid w:val="008E1B5B"/>
    <w:rsid w:val="008E1C9F"/>
    <w:rsid w:val="008E1ECB"/>
    <w:rsid w:val="008E21D5"/>
    <w:rsid w:val="008E240F"/>
    <w:rsid w:val="008E2835"/>
    <w:rsid w:val="008E2F56"/>
    <w:rsid w:val="008E2FBB"/>
    <w:rsid w:val="008E4E45"/>
    <w:rsid w:val="008E54D8"/>
    <w:rsid w:val="008E5D53"/>
    <w:rsid w:val="008E5E97"/>
    <w:rsid w:val="008E5F15"/>
    <w:rsid w:val="008E5F40"/>
    <w:rsid w:val="008E6444"/>
    <w:rsid w:val="008E6C72"/>
    <w:rsid w:val="008F000C"/>
    <w:rsid w:val="008F05B9"/>
    <w:rsid w:val="008F0B24"/>
    <w:rsid w:val="008F0EA6"/>
    <w:rsid w:val="008F0FEA"/>
    <w:rsid w:val="008F15D7"/>
    <w:rsid w:val="008F1A12"/>
    <w:rsid w:val="008F1AE6"/>
    <w:rsid w:val="008F242A"/>
    <w:rsid w:val="008F26EE"/>
    <w:rsid w:val="008F2A72"/>
    <w:rsid w:val="008F367D"/>
    <w:rsid w:val="008F3856"/>
    <w:rsid w:val="008F3996"/>
    <w:rsid w:val="008F4A36"/>
    <w:rsid w:val="008F51CB"/>
    <w:rsid w:val="008F5D32"/>
    <w:rsid w:val="008F5FB1"/>
    <w:rsid w:val="008F61E3"/>
    <w:rsid w:val="008F65B7"/>
    <w:rsid w:val="008F67E7"/>
    <w:rsid w:val="008F713C"/>
    <w:rsid w:val="008F7B64"/>
    <w:rsid w:val="008F7D0F"/>
    <w:rsid w:val="008F7E18"/>
    <w:rsid w:val="00900784"/>
    <w:rsid w:val="00900D7B"/>
    <w:rsid w:val="0090122B"/>
    <w:rsid w:val="00901F3D"/>
    <w:rsid w:val="009021CE"/>
    <w:rsid w:val="009021F7"/>
    <w:rsid w:val="009028A8"/>
    <w:rsid w:val="00902BA3"/>
    <w:rsid w:val="00903FC0"/>
    <w:rsid w:val="00904906"/>
    <w:rsid w:val="00904BED"/>
    <w:rsid w:val="00904E39"/>
    <w:rsid w:val="00904F0A"/>
    <w:rsid w:val="00905E90"/>
    <w:rsid w:val="0090640A"/>
    <w:rsid w:val="009075A4"/>
    <w:rsid w:val="00907DC8"/>
    <w:rsid w:val="0091141F"/>
    <w:rsid w:val="00912835"/>
    <w:rsid w:val="00913249"/>
    <w:rsid w:val="0091360D"/>
    <w:rsid w:val="00913625"/>
    <w:rsid w:val="0091393E"/>
    <w:rsid w:val="00913B0F"/>
    <w:rsid w:val="00913E14"/>
    <w:rsid w:val="00913F26"/>
    <w:rsid w:val="00913FCE"/>
    <w:rsid w:val="00914328"/>
    <w:rsid w:val="009145D4"/>
    <w:rsid w:val="009146F4"/>
    <w:rsid w:val="00914BBC"/>
    <w:rsid w:val="00914D3F"/>
    <w:rsid w:val="00914D85"/>
    <w:rsid w:val="00915693"/>
    <w:rsid w:val="0091573D"/>
    <w:rsid w:val="00915785"/>
    <w:rsid w:val="00915852"/>
    <w:rsid w:val="0091594B"/>
    <w:rsid w:val="00915CA1"/>
    <w:rsid w:val="00916B52"/>
    <w:rsid w:val="00916B6B"/>
    <w:rsid w:val="00916BA8"/>
    <w:rsid w:val="00917EB9"/>
    <w:rsid w:val="009200AA"/>
    <w:rsid w:val="00920440"/>
    <w:rsid w:val="00920956"/>
    <w:rsid w:val="009209AB"/>
    <w:rsid w:val="00920CED"/>
    <w:rsid w:val="00920ECB"/>
    <w:rsid w:val="00920F56"/>
    <w:rsid w:val="009211C8"/>
    <w:rsid w:val="009214F6"/>
    <w:rsid w:val="009218C4"/>
    <w:rsid w:val="009219A3"/>
    <w:rsid w:val="00921C1B"/>
    <w:rsid w:val="00921F92"/>
    <w:rsid w:val="009228E8"/>
    <w:rsid w:val="00922A34"/>
    <w:rsid w:val="00922AE2"/>
    <w:rsid w:val="00922DB6"/>
    <w:rsid w:val="009231D4"/>
    <w:rsid w:val="00923261"/>
    <w:rsid w:val="009235AD"/>
    <w:rsid w:val="009238D5"/>
    <w:rsid w:val="009244AC"/>
    <w:rsid w:val="0092485E"/>
    <w:rsid w:val="00924AFE"/>
    <w:rsid w:val="00924EF1"/>
    <w:rsid w:val="0092523A"/>
    <w:rsid w:val="00925785"/>
    <w:rsid w:val="00925F35"/>
    <w:rsid w:val="00926049"/>
    <w:rsid w:val="00926CE8"/>
    <w:rsid w:val="009275E2"/>
    <w:rsid w:val="009278B6"/>
    <w:rsid w:val="009278E2"/>
    <w:rsid w:val="00930206"/>
    <w:rsid w:val="0093098D"/>
    <w:rsid w:val="00930B9B"/>
    <w:rsid w:val="0093181A"/>
    <w:rsid w:val="00931954"/>
    <w:rsid w:val="009319E9"/>
    <w:rsid w:val="00931CE2"/>
    <w:rsid w:val="0093224C"/>
    <w:rsid w:val="00932784"/>
    <w:rsid w:val="009329D6"/>
    <w:rsid w:val="00932CB3"/>
    <w:rsid w:val="00933134"/>
    <w:rsid w:val="009332C4"/>
    <w:rsid w:val="00933A91"/>
    <w:rsid w:val="00933ECF"/>
    <w:rsid w:val="00933FD2"/>
    <w:rsid w:val="0093450D"/>
    <w:rsid w:val="00934779"/>
    <w:rsid w:val="00934AB7"/>
    <w:rsid w:val="0093565A"/>
    <w:rsid w:val="00935AA8"/>
    <w:rsid w:val="00935FB5"/>
    <w:rsid w:val="009360AA"/>
    <w:rsid w:val="009361DF"/>
    <w:rsid w:val="00936701"/>
    <w:rsid w:val="00936E3C"/>
    <w:rsid w:val="0093716D"/>
    <w:rsid w:val="0093730B"/>
    <w:rsid w:val="00937B20"/>
    <w:rsid w:val="00939618"/>
    <w:rsid w:val="00940380"/>
    <w:rsid w:val="009405AD"/>
    <w:rsid w:val="00940F5A"/>
    <w:rsid w:val="00941AC1"/>
    <w:rsid w:val="00942248"/>
    <w:rsid w:val="00942324"/>
    <w:rsid w:val="0094342E"/>
    <w:rsid w:val="00943456"/>
    <w:rsid w:val="00943731"/>
    <w:rsid w:val="0094390F"/>
    <w:rsid w:val="00943A78"/>
    <w:rsid w:val="00943EA5"/>
    <w:rsid w:val="0094424B"/>
    <w:rsid w:val="0094461D"/>
    <w:rsid w:val="009448CE"/>
    <w:rsid w:val="009452DA"/>
    <w:rsid w:val="0094544B"/>
    <w:rsid w:val="00945737"/>
    <w:rsid w:val="00945E38"/>
    <w:rsid w:val="009464F3"/>
    <w:rsid w:val="00946A5F"/>
    <w:rsid w:val="00947634"/>
    <w:rsid w:val="00947DFF"/>
    <w:rsid w:val="00950918"/>
    <w:rsid w:val="009509BB"/>
    <w:rsid w:val="00950A03"/>
    <w:rsid w:val="00951038"/>
    <w:rsid w:val="00951327"/>
    <w:rsid w:val="00951729"/>
    <w:rsid w:val="00951AB1"/>
    <w:rsid w:val="00951FDA"/>
    <w:rsid w:val="0095222F"/>
    <w:rsid w:val="00952517"/>
    <w:rsid w:val="00952B45"/>
    <w:rsid w:val="00953188"/>
    <w:rsid w:val="00953774"/>
    <w:rsid w:val="00953AA2"/>
    <w:rsid w:val="00953B7F"/>
    <w:rsid w:val="00953B9A"/>
    <w:rsid w:val="00953C90"/>
    <w:rsid w:val="009547B8"/>
    <w:rsid w:val="009563E7"/>
    <w:rsid w:val="00956906"/>
    <w:rsid w:val="0095714D"/>
    <w:rsid w:val="00957FFA"/>
    <w:rsid w:val="00960305"/>
    <w:rsid w:val="00960783"/>
    <w:rsid w:val="0096155C"/>
    <w:rsid w:val="009615A8"/>
    <w:rsid w:val="00961D53"/>
    <w:rsid w:val="00961F1F"/>
    <w:rsid w:val="009621E4"/>
    <w:rsid w:val="00962985"/>
    <w:rsid w:val="00962FBA"/>
    <w:rsid w:val="009636CB"/>
    <w:rsid w:val="009644C3"/>
    <w:rsid w:val="00965564"/>
    <w:rsid w:val="00965594"/>
    <w:rsid w:val="00965982"/>
    <w:rsid w:val="00965F92"/>
    <w:rsid w:val="0096722A"/>
    <w:rsid w:val="00967A4C"/>
    <w:rsid w:val="00967BF7"/>
    <w:rsid w:val="0097076E"/>
    <w:rsid w:val="00970DFD"/>
    <w:rsid w:val="0097108B"/>
    <w:rsid w:val="00972252"/>
    <w:rsid w:val="00972E49"/>
    <w:rsid w:val="00973349"/>
    <w:rsid w:val="009737AC"/>
    <w:rsid w:val="009741EF"/>
    <w:rsid w:val="00974A06"/>
    <w:rsid w:val="00975115"/>
    <w:rsid w:val="00975300"/>
    <w:rsid w:val="00975466"/>
    <w:rsid w:val="00975BD3"/>
    <w:rsid w:val="00976258"/>
    <w:rsid w:val="00976365"/>
    <w:rsid w:val="0097683D"/>
    <w:rsid w:val="00976ADA"/>
    <w:rsid w:val="009810E8"/>
    <w:rsid w:val="00981221"/>
    <w:rsid w:val="00981582"/>
    <w:rsid w:val="00981A72"/>
    <w:rsid w:val="00981B08"/>
    <w:rsid w:val="00981FD8"/>
    <w:rsid w:val="00982071"/>
    <w:rsid w:val="009824B4"/>
    <w:rsid w:val="00982941"/>
    <w:rsid w:val="00982DD4"/>
    <w:rsid w:val="00983643"/>
    <w:rsid w:val="00983856"/>
    <w:rsid w:val="00983CAF"/>
    <w:rsid w:val="00983CE8"/>
    <w:rsid w:val="00985479"/>
    <w:rsid w:val="0098557D"/>
    <w:rsid w:val="009863C1"/>
    <w:rsid w:val="0098696A"/>
    <w:rsid w:val="00986D75"/>
    <w:rsid w:val="00986EC3"/>
    <w:rsid w:val="009879B8"/>
    <w:rsid w:val="00987B29"/>
    <w:rsid w:val="009906A6"/>
    <w:rsid w:val="00990BCF"/>
    <w:rsid w:val="00990D9D"/>
    <w:rsid w:val="00991591"/>
    <w:rsid w:val="009919F7"/>
    <w:rsid w:val="00991B24"/>
    <w:rsid w:val="00991C6D"/>
    <w:rsid w:val="00993DD7"/>
    <w:rsid w:val="0099476D"/>
    <w:rsid w:val="00995BB6"/>
    <w:rsid w:val="00995BFD"/>
    <w:rsid w:val="00996DD7"/>
    <w:rsid w:val="00997369"/>
    <w:rsid w:val="00997465"/>
    <w:rsid w:val="00997520"/>
    <w:rsid w:val="0099756E"/>
    <w:rsid w:val="00997E2A"/>
    <w:rsid w:val="009A00A6"/>
    <w:rsid w:val="009A059A"/>
    <w:rsid w:val="009A0894"/>
    <w:rsid w:val="009A0EC0"/>
    <w:rsid w:val="009A12BC"/>
    <w:rsid w:val="009A13FE"/>
    <w:rsid w:val="009A1822"/>
    <w:rsid w:val="009A1B49"/>
    <w:rsid w:val="009A1C11"/>
    <w:rsid w:val="009A2765"/>
    <w:rsid w:val="009A2D62"/>
    <w:rsid w:val="009A2DB0"/>
    <w:rsid w:val="009A2E11"/>
    <w:rsid w:val="009A3810"/>
    <w:rsid w:val="009A3D73"/>
    <w:rsid w:val="009A4321"/>
    <w:rsid w:val="009A51CE"/>
    <w:rsid w:val="009A5315"/>
    <w:rsid w:val="009A5576"/>
    <w:rsid w:val="009A5982"/>
    <w:rsid w:val="009A5A9A"/>
    <w:rsid w:val="009A5B24"/>
    <w:rsid w:val="009A5B6D"/>
    <w:rsid w:val="009A5DF9"/>
    <w:rsid w:val="009A6119"/>
    <w:rsid w:val="009A6514"/>
    <w:rsid w:val="009A6679"/>
    <w:rsid w:val="009A69E6"/>
    <w:rsid w:val="009A6A76"/>
    <w:rsid w:val="009A6E2A"/>
    <w:rsid w:val="009A7D33"/>
    <w:rsid w:val="009A7E71"/>
    <w:rsid w:val="009B080D"/>
    <w:rsid w:val="009B1275"/>
    <w:rsid w:val="009B12CF"/>
    <w:rsid w:val="009B1445"/>
    <w:rsid w:val="009B21DE"/>
    <w:rsid w:val="009B2480"/>
    <w:rsid w:val="009B286D"/>
    <w:rsid w:val="009B2A6C"/>
    <w:rsid w:val="009B3C9A"/>
    <w:rsid w:val="009B4078"/>
    <w:rsid w:val="009B453C"/>
    <w:rsid w:val="009B4832"/>
    <w:rsid w:val="009B48DF"/>
    <w:rsid w:val="009B4C5F"/>
    <w:rsid w:val="009B53DC"/>
    <w:rsid w:val="009B5A6B"/>
    <w:rsid w:val="009B5EA1"/>
    <w:rsid w:val="009B6AE4"/>
    <w:rsid w:val="009B6DB8"/>
    <w:rsid w:val="009B6F35"/>
    <w:rsid w:val="009B78A6"/>
    <w:rsid w:val="009B7D38"/>
    <w:rsid w:val="009B7D75"/>
    <w:rsid w:val="009B7D9D"/>
    <w:rsid w:val="009C04C3"/>
    <w:rsid w:val="009C07D5"/>
    <w:rsid w:val="009C0A8C"/>
    <w:rsid w:val="009C1AF4"/>
    <w:rsid w:val="009C1F27"/>
    <w:rsid w:val="009C21C5"/>
    <w:rsid w:val="009C3213"/>
    <w:rsid w:val="009C34BA"/>
    <w:rsid w:val="009C38E5"/>
    <w:rsid w:val="009C39E7"/>
    <w:rsid w:val="009C4227"/>
    <w:rsid w:val="009C469B"/>
    <w:rsid w:val="009C4A0C"/>
    <w:rsid w:val="009C4AF2"/>
    <w:rsid w:val="009C4F5F"/>
    <w:rsid w:val="009C505C"/>
    <w:rsid w:val="009C52A0"/>
    <w:rsid w:val="009C5A9A"/>
    <w:rsid w:val="009C5B35"/>
    <w:rsid w:val="009C5DAE"/>
    <w:rsid w:val="009C6908"/>
    <w:rsid w:val="009C6949"/>
    <w:rsid w:val="009C6C07"/>
    <w:rsid w:val="009C70ED"/>
    <w:rsid w:val="009C7514"/>
    <w:rsid w:val="009C7DFD"/>
    <w:rsid w:val="009CB17D"/>
    <w:rsid w:val="009D0111"/>
    <w:rsid w:val="009D0288"/>
    <w:rsid w:val="009D0FC0"/>
    <w:rsid w:val="009D1060"/>
    <w:rsid w:val="009D2398"/>
    <w:rsid w:val="009D26AB"/>
    <w:rsid w:val="009D2A7B"/>
    <w:rsid w:val="009D2B6E"/>
    <w:rsid w:val="009D2D8D"/>
    <w:rsid w:val="009D30CB"/>
    <w:rsid w:val="009D3372"/>
    <w:rsid w:val="009D42B7"/>
    <w:rsid w:val="009D46D7"/>
    <w:rsid w:val="009D4956"/>
    <w:rsid w:val="009D49DA"/>
    <w:rsid w:val="009D4D51"/>
    <w:rsid w:val="009D5723"/>
    <w:rsid w:val="009D5B56"/>
    <w:rsid w:val="009D65E7"/>
    <w:rsid w:val="009D6A6F"/>
    <w:rsid w:val="009D7FF4"/>
    <w:rsid w:val="009E0660"/>
    <w:rsid w:val="009E169C"/>
    <w:rsid w:val="009E176C"/>
    <w:rsid w:val="009E20A5"/>
    <w:rsid w:val="009E2E23"/>
    <w:rsid w:val="009E3858"/>
    <w:rsid w:val="009E39FB"/>
    <w:rsid w:val="009E3B41"/>
    <w:rsid w:val="009E3E8E"/>
    <w:rsid w:val="009E4007"/>
    <w:rsid w:val="009E45E5"/>
    <w:rsid w:val="009E5029"/>
    <w:rsid w:val="009E5044"/>
    <w:rsid w:val="009E5BFE"/>
    <w:rsid w:val="009E5CC3"/>
    <w:rsid w:val="009E65EA"/>
    <w:rsid w:val="009E670B"/>
    <w:rsid w:val="009E6AD6"/>
    <w:rsid w:val="009E7141"/>
    <w:rsid w:val="009E7163"/>
    <w:rsid w:val="009E7667"/>
    <w:rsid w:val="009E79CF"/>
    <w:rsid w:val="009E7E52"/>
    <w:rsid w:val="009E7F81"/>
    <w:rsid w:val="009F007B"/>
    <w:rsid w:val="009F0A23"/>
    <w:rsid w:val="009F0A36"/>
    <w:rsid w:val="009F0C93"/>
    <w:rsid w:val="009F0E0A"/>
    <w:rsid w:val="009F0F37"/>
    <w:rsid w:val="009F121B"/>
    <w:rsid w:val="009F1819"/>
    <w:rsid w:val="009F20AB"/>
    <w:rsid w:val="009F27B6"/>
    <w:rsid w:val="009F2CE7"/>
    <w:rsid w:val="009F3406"/>
    <w:rsid w:val="009F3661"/>
    <w:rsid w:val="009F367F"/>
    <w:rsid w:val="009F3D16"/>
    <w:rsid w:val="009F3FC8"/>
    <w:rsid w:val="009F416F"/>
    <w:rsid w:val="009F4BEA"/>
    <w:rsid w:val="009F59B8"/>
    <w:rsid w:val="009F5AD7"/>
    <w:rsid w:val="009F60D4"/>
    <w:rsid w:val="009F6E26"/>
    <w:rsid w:val="009F71AA"/>
    <w:rsid w:val="009F736B"/>
    <w:rsid w:val="009F766A"/>
    <w:rsid w:val="009F7687"/>
    <w:rsid w:val="009F78DC"/>
    <w:rsid w:val="00A00174"/>
    <w:rsid w:val="00A003CB"/>
    <w:rsid w:val="00A01B77"/>
    <w:rsid w:val="00A02348"/>
    <w:rsid w:val="00A02737"/>
    <w:rsid w:val="00A02CA8"/>
    <w:rsid w:val="00A02D59"/>
    <w:rsid w:val="00A03166"/>
    <w:rsid w:val="00A03679"/>
    <w:rsid w:val="00A03798"/>
    <w:rsid w:val="00A03B57"/>
    <w:rsid w:val="00A03BEF"/>
    <w:rsid w:val="00A0432C"/>
    <w:rsid w:val="00A04698"/>
    <w:rsid w:val="00A05F5C"/>
    <w:rsid w:val="00A0732B"/>
    <w:rsid w:val="00A076C7"/>
    <w:rsid w:val="00A07C48"/>
    <w:rsid w:val="00A0CCD9"/>
    <w:rsid w:val="00A10082"/>
    <w:rsid w:val="00A10156"/>
    <w:rsid w:val="00A10546"/>
    <w:rsid w:val="00A10948"/>
    <w:rsid w:val="00A109CF"/>
    <w:rsid w:val="00A10B5E"/>
    <w:rsid w:val="00A11119"/>
    <w:rsid w:val="00A113BB"/>
    <w:rsid w:val="00A121B8"/>
    <w:rsid w:val="00A1256B"/>
    <w:rsid w:val="00A12684"/>
    <w:rsid w:val="00A126ED"/>
    <w:rsid w:val="00A12AB1"/>
    <w:rsid w:val="00A12CCE"/>
    <w:rsid w:val="00A13185"/>
    <w:rsid w:val="00A13276"/>
    <w:rsid w:val="00A135E4"/>
    <w:rsid w:val="00A1384C"/>
    <w:rsid w:val="00A14186"/>
    <w:rsid w:val="00A14254"/>
    <w:rsid w:val="00A14615"/>
    <w:rsid w:val="00A1494F"/>
    <w:rsid w:val="00A14982"/>
    <w:rsid w:val="00A14D84"/>
    <w:rsid w:val="00A14DD0"/>
    <w:rsid w:val="00A15258"/>
    <w:rsid w:val="00A154BE"/>
    <w:rsid w:val="00A1574D"/>
    <w:rsid w:val="00A15A9B"/>
    <w:rsid w:val="00A15AB8"/>
    <w:rsid w:val="00A15B96"/>
    <w:rsid w:val="00A15F2C"/>
    <w:rsid w:val="00A16396"/>
    <w:rsid w:val="00A16A9A"/>
    <w:rsid w:val="00A16E4E"/>
    <w:rsid w:val="00A16F59"/>
    <w:rsid w:val="00A17051"/>
    <w:rsid w:val="00A171B0"/>
    <w:rsid w:val="00A173FB"/>
    <w:rsid w:val="00A177DA"/>
    <w:rsid w:val="00A17BD5"/>
    <w:rsid w:val="00A20BBF"/>
    <w:rsid w:val="00A20C49"/>
    <w:rsid w:val="00A215D0"/>
    <w:rsid w:val="00A21848"/>
    <w:rsid w:val="00A21EE8"/>
    <w:rsid w:val="00A21F36"/>
    <w:rsid w:val="00A21FF4"/>
    <w:rsid w:val="00A22004"/>
    <w:rsid w:val="00A2202C"/>
    <w:rsid w:val="00A221C8"/>
    <w:rsid w:val="00A23180"/>
    <w:rsid w:val="00A2339B"/>
    <w:rsid w:val="00A233A7"/>
    <w:rsid w:val="00A233F7"/>
    <w:rsid w:val="00A234A8"/>
    <w:rsid w:val="00A23747"/>
    <w:rsid w:val="00A2387C"/>
    <w:rsid w:val="00A23934"/>
    <w:rsid w:val="00A23D1E"/>
    <w:rsid w:val="00A23DF0"/>
    <w:rsid w:val="00A24148"/>
    <w:rsid w:val="00A2477A"/>
    <w:rsid w:val="00A24790"/>
    <w:rsid w:val="00A24BAE"/>
    <w:rsid w:val="00A24EB9"/>
    <w:rsid w:val="00A24FC3"/>
    <w:rsid w:val="00A257FF"/>
    <w:rsid w:val="00A259DA"/>
    <w:rsid w:val="00A25B8B"/>
    <w:rsid w:val="00A25C0F"/>
    <w:rsid w:val="00A25D3F"/>
    <w:rsid w:val="00A26173"/>
    <w:rsid w:val="00A26406"/>
    <w:rsid w:val="00A269B2"/>
    <w:rsid w:val="00A26F62"/>
    <w:rsid w:val="00A27B1E"/>
    <w:rsid w:val="00A27FE8"/>
    <w:rsid w:val="00A30339"/>
    <w:rsid w:val="00A304D8"/>
    <w:rsid w:val="00A308A4"/>
    <w:rsid w:val="00A312C3"/>
    <w:rsid w:val="00A312C8"/>
    <w:rsid w:val="00A31337"/>
    <w:rsid w:val="00A31782"/>
    <w:rsid w:val="00A31D44"/>
    <w:rsid w:val="00A323A2"/>
    <w:rsid w:val="00A326D7"/>
    <w:rsid w:val="00A32AC3"/>
    <w:rsid w:val="00A33C6B"/>
    <w:rsid w:val="00A3488E"/>
    <w:rsid w:val="00A34A7A"/>
    <w:rsid w:val="00A354B1"/>
    <w:rsid w:val="00A35924"/>
    <w:rsid w:val="00A35B38"/>
    <w:rsid w:val="00A36A72"/>
    <w:rsid w:val="00A36E82"/>
    <w:rsid w:val="00A3712E"/>
    <w:rsid w:val="00A37746"/>
    <w:rsid w:val="00A37947"/>
    <w:rsid w:val="00A37A36"/>
    <w:rsid w:val="00A37B4A"/>
    <w:rsid w:val="00A400B7"/>
    <w:rsid w:val="00A40409"/>
    <w:rsid w:val="00A408B3"/>
    <w:rsid w:val="00A40E47"/>
    <w:rsid w:val="00A41312"/>
    <w:rsid w:val="00A41F87"/>
    <w:rsid w:val="00A421A7"/>
    <w:rsid w:val="00A4228A"/>
    <w:rsid w:val="00A43286"/>
    <w:rsid w:val="00A4399B"/>
    <w:rsid w:val="00A43B09"/>
    <w:rsid w:val="00A43F84"/>
    <w:rsid w:val="00A4444B"/>
    <w:rsid w:val="00A444BF"/>
    <w:rsid w:val="00A447D8"/>
    <w:rsid w:val="00A44A7A"/>
    <w:rsid w:val="00A45098"/>
    <w:rsid w:val="00A45EFF"/>
    <w:rsid w:val="00A4754F"/>
    <w:rsid w:val="00A478DD"/>
    <w:rsid w:val="00A506CC"/>
    <w:rsid w:val="00A509DE"/>
    <w:rsid w:val="00A50B44"/>
    <w:rsid w:val="00A51DF5"/>
    <w:rsid w:val="00A51E5B"/>
    <w:rsid w:val="00A52A92"/>
    <w:rsid w:val="00A532FF"/>
    <w:rsid w:val="00A536CC"/>
    <w:rsid w:val="00A538AF"/>
    <w:rsid w:val="00A53F8A"/>
    <w:rsid w:val="00A53F8C"/>
    <w:rsid w:val="00A5412F"/>
    <w:rsid w:val="00A541AB"/>
    <w:rsid w:val="00A54B33"/>
    <w:rsid w:val="00A54B4F"/>
    <w:rsid w:val="00A54D72"/>
    <w:rsid w:val="00A5529E"/>
    <w:rsid w:val="00A553CC"/>
    <w:rsid w:val="00A55730"/>
    <w:rsid w:val="00A561F8"/>
    <w:rsid w:val="00A56224"/>
    <w:rsid w:val="00A57326"/>
    <w:rsid w:val="00A57378"/>
    <w:rsid w:val="00A600FD"/>
    <w:rsid w:val="00A60734"/>
    <w:rsid w:val="00A60A5F"/>
    <w:rsid w:val="00A60EAC"/>
    <w:rsid w:val="00A61293"/>
    <w:rsid w:val="00A61C2F"/>
    <w:rsid w:val="00A62643"/>
    <w:rsid w:val="00A62FFA"/>
    <w:rsid w:val="00A634DA"/>
    <w:rsid w:val="00A637CB"/>
    <w:rsid w:val="00A63A83"/>
    <w:rsid w:val="00A63C1C"/>
    <w:rsid w:val="00A649A1"/>
    <w:rsid w:val="00A64A35"/>
    <w:rsid w:val="00A64AE8"/>
    <w:rsid w:val="00A6510E"/>
    <w:rsid w:val="00A65531"/>
    <w:rsid w:val="00A65948"/>
    <w:rsid w:val="00A65BF2"/>
    <w:rsid w:val="00A6609F"/>
    <w:rsid w:val="00A66473"/>
    <w:rsid w:val="00A6696A"/>
    <w:rsid w:val="00A66D5C"/>
    <w:rsid w:val="00A673F4"/>
    <w:rsid w:val="00A67B05"/>
    <w:rsid w:val="00A7006F"/>
    <w:rsid w:val="00A70225"/>
    <w:rsid w:val="00A70AB3"/>
    <w:rsid w:val="00A70D02"/>
    <w:rsid w:val="00A710F3"/>
    <w:rsid w:val="00A7143E"/>
    <w:rsid w:val="00A715F3"/>
    <w:rsid w:val="00A71BBC"/>
    <w:rsid w:val="00A71DD0"/>
    <w:rsid w:val="00A72334"/>
    <w:rsid w:val="00A727AE"/>
    <w:rsid w:val="00A731C5"/>
    <w:rsid w:val="00A734A8"/>
    <w:rsid w:val="00A739FF"/>
    <w:rsid w:val="00A73CC6"/>
    <w:rsid w:val="00A73D7B"/>
    <w:rsid w:val="00A73DC4"/>
    <w:rsid w:val="00A74288"/>
    <w:rsid w:val="00A74327"/>
    <w:rsid w:val="00A74517"/>
    <w:rsid w:val="00A75106"/>
    <w:rsid w:val="00A75D0E"/>
    <w:rsid w:val="00A75E78"/>
    <w:rsid w:val="00A7641B"/>
    <w:rsid w:val="00A76763"/>
    <w:rsid w:val="00A76D17"/>
    <w:rsid w:val="00A77910"/>
    <w:rsid w:val="00A77F32"/>
    <w:rsid w:val="00A803D4"/>
    <w:rsid w:val="00A804FF"/>
    <w:rsid w:val="00A8056A"/>
    <w:rsid w:val="00A80B03"/>
    <w:rsid w:val="00A80DBF"/>
    <w:rsid w:val="00A818E9"/>
    <w:rsid w:val="00A820A6"/>
    <w:rsid w:val="00A8235E"/>
    <w:rsid w:val="00A82514"/>
    <w:rsid w:val="00A8269E"/>
    <w:rsid w:val="00A82A19"/>
    <w:rsid w:val="00A833E0"/>
    <w:rsid w:val="00A839A6"/>
    <w:rsid w:val="00A83C50"/>
    <w:rsid w:val="00A83C5E"/>
    <w:rsid w:val="00A840C4"/>
    <w:rsid w:val="00A843BE"/>
    <w:rsid w:val="00A8472A"/>
    <w:rsid w:val="00A8472E"/>
    <w:rsid w:val="00A84D4D"/>
    <w:rsid w:val="00A853F0"/>
    <w:rsid w:val="00A86718"/>
    <w:rsid w:val="00A87329"/>
    <w:rsid w:val="00A87780"/>
    <w:rsid w:val="00A90918"/>
    <w:rsid w:val="00A90A14"/>
    <w:rsid w:val="00A91430"/>
    <w:rsid w:val="00A91883"/>
    <w:rsid w:val="00A92501"/>
    <w:rsid w:val="00A93954"/>
    <w:rsid w:val="00A94759"/>
    <w:rsid w:val="00A948E1"/>
    <w:rsid w:val="00A95207"/>
    <w:rsid w:val="00A9538E"/>
    <w:rsid w:val="00A95532"/>
    <w:rsid w:val="00A9557B"/>
    <w:rsid w:val="00A95D81"/>
    <w:rsid w:val="00A95E7F"/>
    <w:rsid w:val="00A96282"/>
    <w:rsid w:val="00A97F2D"/>
    <w:rsid w:val="00AA02A2"/>
    <w:rsid w:val="00AA058A"/>
    <w:rsid w:val="00AA0AA4"/>
    <w:rsid w:val="00AA10B2"/>
    <w:rsid w:val="00AA1C1A"/>
    <w:rsid w:val="00AA295C"/>
    <w:rsid w:val="00AA31BD"/>
    <w:rsid w:val="00AA3306"/>
    <w:rsid w:val="00AA334C"/>
    <w:rsid w:val="00AA388A"/>
    <w:rsid w:val="00AA3E90"/>
    <w:rsid w:val="00AA49A5"/>
    <w:rsid w:val="00AA57BD"/>
    <w:rsid w:val="00AA60B5"/>
    <w:rsid w:val="00AA682E"/>
    <w:rsid w:val="00AA7770"/>
    <w:rsid w:val="00AA777F"/>
    <w:rsid w:val="00AA7DFA"/>
    <w:rsid w:val="00AB0683"/>
    <w:rsid w:val="00AB120E"/>
    <w:rsid w:val="00AB15D6"/>
    <w:rsid w:val="00AB21CC"/>
    <w:rsid w:val="00AB2DC6"/>
    <w:rsid w:val="00AB317A"/>
    <w:rsid w:val="00AB3654"/>
    <w:rsid w:val="00AB401E"/>
    <w:rsid w:val="00AB4524"/>
    <w:rsid w:val="00AB462C"/>
    <w:rsid w:val="00AB484C"/>
    <w:rsid w:val="00AB4D05"/>
    <w:rsid w:val="00AB51B7"/>
    <w:rsid w:val="00AB5450"/>
    <w:rsid w:val="00AB5945"/>
    <w:rsid w:val="00AB5A63"/>
    <w:rsid w:val="00AB621F"/>
    <w:rsid w:val="00AB6BFB"/>
    <w:rsid w:val="00AB6E76"/>
    <w:rsid w:val="00AB701A"/>
    <w:rsid w:val="00AB72C2"/>
    <w:rsid w:val="00AB73C1"/>
    <w:rsid w:val="00AB767A"/>
    <w:rsid w:val="00AB7935"/>
    <w:rsid w:val="00AC0866"/>
    <w:rsid w:val="00AC0ADB"/>
    <w:rsid w:val="00AC0E68"/>
    <w:rsid w:val="00AC0E81"/>
    <w:rsid w:val="00AC0FA8"/>
    <w:rsid w:val="00AC1340"/>
    <w:rsid w:val="00AC13B7"/>
    <w:rsid w:val="00AC1EED"/>
    <w:rsid w:val="00AC2003"/>
    <w:rsid w:val="00AC2C3E"/>
    <w:rsid w:val="00AC2CF2"/>
    <w:rsid w:val="00AC2EC6"/>
    <w:rsid w:val="00AC329A"/>
    <w:rsid w:val="00AC3636"/>
    <w:rsid w:val="00AC3B82"/>
    <w:rsid w:val="00AC3F87"/>
    <w:rsid w:val="00AC40B5"/>
    <w:rsid w:val="00AC4C84"/>
    <w:rsid w:val="00AC544F"/>
    <w:rsid w:val="00AC5626"/>
    <w:rsid w:val="00AC58E6"/>
    <w:rsid w:val="00AC5A4F"/>
    <w:rsid w:val="00AC5C85"/>
    <w:rsid w:val="00AC6295"/>
    <w:rsid w:val="00AC6805"/>
    <w:rsid w:val="00AC69AF"/>
    <w:rsid w:val="00AC6B75"/>
    <w:rsid w:val="00AC6F84"/>
    <w:rsid w:val="00AC721B"/>
    <w:rsid w:val="00AC799B"/>
    <w:rsid w:val="00AC7B74"/>
    <w:rsid w:val="00AC7D90"/>
    <w:rsid w:val="00AC7E33"/>
    <w:rsid w:val="00AC7F47"/>
    <w:rsid w:val="00AD1594"/>
    <w:rsid w:val="00AD1768"/>
    <w:rsid w:val="00AD1835"/>
    <w:rsid w:val="00AD19F3"/>
    <w:rsid w:val="00AD1F42"/>
    <w:rsid w:val="00AD2B60"/>
    <w:rsid w:val="00AD2EB4"/>
    <w:rsid w:val="00AD3918"/>
    <w:rsid w:val="00AD3A35"/>
    <w:rsid w:val="00AD3E33"/>
    <w:rsid w:val="00AD41D4"/>
    <w:rsid w:val="00AD597D"/>
    <w:rsid w:val="00AD5E46"/>
    <w:rsid w:val="00AD6217"/>
    <w:rsid w:val="00AD6472"/>
    <w:rsid w:val="00AD6B89"/>
    <w:rsid w:val="00AD6C57"/>
    <w:rsid w:val="00AD6E89"/>
    <w:rsid w:val="00AD6ED0"/>
    <w:rsid w:val="00AD717F"/>
    <w:rsid w:val="00AD748A"/>
    <w:rsid w:val="00AD74F5"/>
    <w:rsid w:val="00AD7675"/>
    <w:rsid w:val="00AD7910"/>
    <w:rsid w:val="00AE0380"/>
    <w:rsid w:val="00AE0B9B"/>
    <w:rsid w:val="00AE0E7A"/>
    <w:rsid w:val="00AE0F3F"/>
    <w:rsid w:val="00AE11A1"/>
    <w:rsid w:val="00AE134E"/>
    <w:rsid w:val="00AE13DA"/>
    <w:rsid w:val="00AE199D"/>
    <w:rsid w:val="00AE1B3C"/>
    <w:rsid w:val="00AE2111"/>
    <w:rsid w:val="00AE2396"/>
    <w:rsid w:val="00AE25C8"/>
    <w:rsid w:val="00AE2CC7"/>
    <w:rsid w:val="00AE31A7"/>
    <w:rsid w:val="00AE3B94"/>
    <w:rsid w:val="00AE3DCA"/>
    <w:rsid w:val="00AE4236"/>
    <w:rsid w:val="00AE4CD9"/>
    <w:rsid w:val="00AE4F6F"/>
    <w:rsid w:val="00AE5001"/>
    <w:rsid w:val="00AE5139"/>
    <w:rsid w:val="00AE5409"/>
    <w:rsid w:val="00AE5CD7"/>
    <w:rsid w:val="00AE601B"/>
    <w:rsid w:val="00AE62BD"/>
    <w:rsid w:val="00AE64F5"/>
    <w:rsid w:val="00AE6B1F"/>
    <w:rsid w:val="00AE6BA7"/>
    <w:rsid w:val="00AE7390"/>
    <w:rsid w:val="00AE75D9"/>
    <w:rsid w:val="00AE7886"/>
    <w:rsid w:val="00AE796D"/>
    <w:rsid w:val="00AE7E1E"/>
    <w:rsid w:val="00AF0D80"/>
    <w:rsid w:val="00AF0E5F"/>
    <w:rsid w:val="00AF12FF"/>
    <w:rsid w:val="00AF1FFC"/>
    <w:rsid w:val="00AF2318"/>
    <w:rsid w:val="00AF3250"/>
    <w:rsid w:val="00AF3D40"/>
    <w:rsid w:val="00AF3E21"/>
    <w:rsid w:val="00AF4213"/>
    <w:rsid w:val="00AF49D8"/>
    <w:rsid w:val="00AF4AF1"/>
    <w:rsid w:val="00AF5579"/>
    <w:rsid w:val="00AF6006"/>
    <w:rsid w:val="00AF6085"/>
    <w:rsid w:val="00AF6306"/>
    <w:rsid w:val="00AF640D"/>
    <w:rsid w:val="00AF64E6"/>
    <w:rsid w:val="00AF656F"/>
    <w:rsid w:val="00AF680A"/>
    <w:rsid w:val="00AF6BDF"/>
    <w:rsid w:val="00AF7147"/>
    <w:rsid w:val="00AF767C"/>
    <w:rsid w:val="00AF7896"/>
    <w:rsid w:val="00B001A4"/>
    <w:rsid w:val="00B00580"/>
    <w:rsid w:val="00B00F6F"/>
    <w:rsid w:val="00B0108D"/>
    <w:rsid w:val="00B01185"/>
    <w:rsid w:val="00B0135C"/>
    <w:rsid w:val="00B01519"/>
    <w:rsid w:val="00B016E9"/>
    <w:rsid w:val="00B02B12"/>
    <w:rsid w:val="00B02CA9"/>
    <w:rsid w:val="00B02D22"/>
    <w:rsid w:val="00B02FB2"/>
    <w:rsid w:val="00B03704"/>
    <w:rsid w:val="00B0380B"/>
    <w:rsid w:val="00B038AC"/>
    <w:rsid w:val="00B03ADC"/>
    <w:rsid w:val="00B0411E"/>
    <w:rsid w:val="00B04E88"/>
    <w:rsid w:val="00B0579D"/>
    <w:rsid w:val="00B05ADF"/>
    <w:rsid w:val="00B05B6F"/>
    <w:rsid w:val="00B05CA8"/>
    <w:rsid w:val="00B05F3F"/>
    <w:rsid w:val="00B06464"/>
    <w:rsid w:val="00B066C4"/>
    <w:rsid w:val="00B067F7"/>
    <w:rsid w:val="00B06A07"/>
    <w:rsid w:val="00B06EC9"/>
    <w:rsid w:val="00B072F3"/>
    <w:rsid w:val="00B07BB1"/>
    <w:rsid w:val="00B07FA1"/>
    <w:rsid w:val="00B10025"/>
    <w:rsid w:val="00B10437"/>
    <w:rsid w:val="00B1053B"/>
    <w:rsid w:val="00B11392"/>
    <w:rsid w:val="00B11B18"/>
    <w:rsid w:val="00B11C54"/>
    <w:rsid w:val="00B11EE5"/>
    <w:rsid w:val="00B12DA7"/>
    <w:rsid w:val="00B13227"/>
    <w:rsid w:val="00B13847"/>
    <w:rsid w:val="00B1413A"/>
    <w:rsid w:val="00B141F9"/>
    <w:rsid w:val="00B14E97"/>
    <w:rsid w:val="00B151A4"/>
    <w:rsid w:val="00B1539B"/>
    <w:rsid w:val="00B153A1"/>
    <w:rsid w:val="00B166C9"/>
    <w:rsid w:val="00B16708"/>
    <w:rsid w:val="00B167CF"/>
    <w:rsid w:val="00B1691B"/>
    <w:rsid w:val="00B17B99"/>
    <w:rsid w:val="00B20286"/>
    <w:rsid w:val="00B2060B"/>
    <w:rsid w:val="00B20A38"/>
    <w:rsid w:val="00B20B21"/>
    <w:rsid w:val="00B20B5A"/>
    <w:rsid w:val="00B20D57"/>
    <w:rsid w:val="00B2168A"/>
    <w:rsid w:val="00B2182C"/>
    <w:rsid w:val="00B21A45"/>
    <w:rsid w:val="00B227CA"/>
    <w:rsid w:val="00B22D98"/>
    <w:rsid w:val="00B22FC9"/>
    <w:rsid w:val="00B23F14"/>
    <w:rsid w:val="00B241E5"/>
    <w:rsid w:val="00B24595"/>
    <w:rsid w:val="00B247AF"/>
    <w:rsid w:val="00B24EFA"/>
    <w:rsid w:val="00B26167"/>
    <w:rsid w:val="00B26405"/>
    <w:rsid w:val="00B26DE5"/>
    <w:rsid w:val="00B27050"/>
    <w:rsid w:val="00B27AC4"/>
    <w:rsid w:val="00B27C22"/>
    <w:rsid w:val="00B27F6A"/>
    <w:rsid w:val="00B31647"/>
    <w:rsid w:val="00B31C0E"/>
    <w:rsid w:val="00B31FF2"/>
    <w:rsid w:val="00B32A7B"/>
    <w:rsid w:val="00B33C03"/>
    <w:rsid w:val="00B343E1"/>
    <w:rsid w:val="00B35023"/>
    <w:rsid w:val="00B351A3"/>
    <w:rsid w:val="00B35446"/>
    <w:rsid w:val="00B36494"/>
    <w:rsid w:val="00B36808"/>
    <w:rsid w:val="00B37518"/>
    <w:rsid w:val="00B379BF"/>
    <w:rsid w:val="00B37D42"/>
    <w:rsid w:val="00B37FAC"/>
    <w:rsid w:val="00B40925"/>
    <w:rsid w:val="00B40EE3"/>
    <w:rsid w:val="00B41C03"/>
    <w:rsid w:val="00B42207"/>
    <w:rsid w:val="00B42283"/>
    <w:rsid w:val="00B43C41"/>
    <w:rsid w:val="00B4409E"/>
    <w:rsid w:val="00B440FC"/>
    <w:rsid w:val="00B44489"/>
    <w:rsid w:val="00B44743"/>
    <w:rsid w:val="00B44C69"/>
    <w:rsid w:val="00B44D10"/>
    <w:rsid w:val="00B454C2"/>
    <w:rsid w:val="00B45E02"/>
    <w:rsid w:val="00B46448"/>
    <w:rsid w:val="00B465AD"/>
    <w:rsid w:val="00B46660"/>
    <w:rsid w:val="00B46C18"/>
    <w:rsid w:val="00B46D4B"/>
    <w:rsid w:val="00B46F27"/>
    <w:rsid w:val="00B4787B"/>
    <w:rsid w:val="00B500D5"/>
    <w:rsid w:val="00B50341"/>
    <w:rsid w:val="00B505C1"/>
    <w:rsid w:val="00B50B19"/>
    <w:rsid w:val="00B50B29"/>
    <w:rsid w:val="00B511A9"/>
    <w:rsid w:val="00B5150C"/>
    <w:rsid w:val="00B51CEC"/>
    <w:rsid w:val="00B5254F"/>
    <w:rsid w:val="00B525CA"/>
    <w:rsid w:val="00B528AC"/>
    <w:rsid w:val="00B52C0C"/>
    <w:rsid w:val="00B53275"/>
    <w:rsid w:val="00B53AEC"/>
    <w:rsid w:val="00B53CC2"/>
    <w:rsid w:val="00B53FFA"/>
    <w:rsid w:val="00B540D9"/>
    <w:rsid w:val="00B547EE"/>
    <w:rsid w:val="00B549C1"/>
    <w:rsid w:val="00B54D04"/>
    <w:rsid w:val="00B54EA2"/>
    <w:rsid w:val="00B55979"/>
    <w:rsid w:val="00B55FDE"/>
    <w:rsid w:val="00B560A4"/>
    <w:rsid w:val="00B57064"/>
    <w:rsid w:val="00B572C1"/>
    <w:rsid w:val="00B5734E"/>
    <w:rsid w:val="00B57B0B"/>
    <w:rsid w:val="00B57EAB"/>
    <w:rsid w:val="00B57FCE"/>
    <w:rsid w:val="00B615A2"/>
    <w:rsid w:val="00B619EB"/>
    <w:rsid w:val="00B61D54"/>
    <w:rsid w:val="00B61FA5"/>
    <w:rsid w:val="00B627E6"/>
    <w:rsid w:val="00B638BA"/>
    <w:rsid w:val="00B6404E"/>
    <w:rsid w:val="00B6469B"/>
    <w:rsid w:val="00B65649"/>
    <w:rsid w:val="00B65AE6"/>
    <w:rsid w:val="00B661BC"/>
    <w:rsid w:val="00B66BC4"/>
    <w:rsid w:val="00B66BC6"/>
    <w:rsid w:val="00B67517"/>
    <w:rsid w:val="00B701BB"/>
    <w:rsid w:val="00B703E7"/>
    <w:rsid w:val="00B708EA"/>
    <w:rsid w:val="00B70CCF"/>
    <w:rsid w:val="00B70F1E"/>
    <w:rsid w:val="00B70F6B"/>
    <w:rsid w:val="00B71592"/>
    <w:rsid w:val="00B71BEB"/>
    <w:rsid w:val="00B7241A"/>
    <w:rsid w:val="00B72648"/>
    <w:rsid w:val="00B7311E"/>
    <w:rsid w:val="00B739F5"/>
    <w:rsid w:val="00B73B0D"/>
    <w:rsid w:val="00B743AA"/>
    <w:rsid w:val="00B74695"/>
    <w:rsid w:val="00B74702"/>
    <w:rsid w:val="00B74D04"/>
    <w:rsid w:val="00B750BA"/>
    <w:rsid w:val="00B750E5"/>
    <w:rsid w:val="00B7519A"/>
    <w:rsid w:val="00B759C5"/>
    <w:rsid w:val="00B75A18"/>
    <w:rsid w:val="00B75D91"/>
    <w:rsid w:val="00B75FCE"/>
    <w:rsid w:val="00B7619C"/>
    <w:rsid w:val="00B768C5"/>
    <w:rsid w:val="00B769A6"/>
    <w:rsid w:val="00B77260"/>
    <w:rsid w:val="00B804A6"/>
    <w:rsid w:val="00B81278"/>
    <w:rsid w:val="00B81902"/>
    <w:rsid w:val="00B819F4"/>
    <w:rsid w:val="00B81E2F"/>
    <w:rsid w:val="00B820C1"/>
    <w:rsid w:val="00B82831"/>
    <w:rsid w:val="00B8284E"/>
    <w:rsid w:val="00B82854"/>
    <w:rsid w:val="00B82F45"/>
    <w:rsid w:val="00B82FDF"/>
    <w:rsid w:val="00B8402A"/>
    <w:rsid w:val="00B8458F"/>
    <w:rsid w:val="00B84CBE"/>
    <w:rsid w:val="00B857E0"/>
    <w:rsid w:val="00B85C86"/>
    <w:rsid w:val="00B85CAC"/>
    <w:rsid w:val="00B85E49"/>
    <w:rsid w:val="00B85EDC"/>
    <w:rsid w:val="00B86072"/>
    <w:rsid w:val="00B8630D"/>
    <w:rsid w:val="00B86351"/>
    <w:rsid w:val="00B86FED"/>
    <w:rsid w:val="00B8727C"/>
    <w:rsid w:val="00B87541"/>
    <w:rsid w:val="00B87CF2"/>
    <w:rsid w:val="00B87D65"/>
    <w:rsid w:val="00B904AE"/>
    <w:rsid w:val="00B90607"/>
    <w:rsid w:val="00B908ED"/>
    <w:rsid w:val="00B909F8"/>
    <w:rsid w:val="00B90CDE"/>
    <w:rsid w:val="00B90D05"/>
    <w:rsid w:val="00B91103"/>
    <w:rsid w:val="00B914C6"/>
    <w:rsid w:val="00B914E9"/>
    <w:rsid w:val="00B91D44"/>
    <w:rsid w:val="00B925B8"/>
    <w:rsid w:val="00B93165"/>
    <w:rsid w:val="00B93200"/>
    <w:rsid w:val="00B93AA6"/>
    <w:rsid w:val="00B93F18"/>
    <w:rsid w:val="00B93FAC"/>
    <w:rsid w:val="00B9401D"/>
    <w:rsid w:val="00B945F1"/>
    <w:rsid w:val="00B94620"/>
    <w:rsid w:val="00B9487B"/>
    <w:rsid w:val="00B95A0E"/>
    <w:rsid w:val="00B95A5E"/>
    <w:rsid w:val="00B962C6"/>
    <w:rsid w:val="00B96AB2"/>
    <w:rsid w:val="00B97875"/>
    <w:rsid w:val="00BA04EB"/>
    <w:rsid w:val="00BA0AB7"/>
    <w:rsid w:val="00BA12EC"/>
    <w:rsid w:val="00BA13A2"/>
    <w:rsid w:val="00BA1945"/>
    <w:rsid w:val="00BA1D06"/>
    <w:rsid w:val="00BA22A4"/>
    <w:rsid w:val="00BA2521"/>
    <w:rsid w:val="00BA254A"/>
    <w:rsid w:val="00BA33CE"/>
    <w:rsid w:val="00BA3BD4"/>
    <w:rsid w:val="00BA3BD9"/>
    <w:rsid w:val="00BA421F"/>
    <w:rsid w:val="00BA4256"/>
    <w:rsid w:val="00BA429A"/>
    <w:rsid w:val="00BA456D"/>
    <w:rsid w:val="00BA5B75"/>
    <w:rsid w:val="00BA645E"/>
    <w:rsid w:val="00BA6996"/>
    <w:rsid w:val="00BA747D"/>
    <w:rsid w:val="00BA774A"/>
    <w:rsid w:val="00BB0056"/>
    <w:rsid w:val="00BB0A24"/>
    <w:rsid w:val="00BB30C8"/>
    <w:rsid w:val="00BB3359"/>
    <w:rsid w:val="00BB407A"/>
    <w:rsid w:val="00BB43CF"/>
    <w:rsid w:val="00BB4858"/>
    <w:rsid w:val="00BB499A"/>
    <w:rsid w:val="00BB5207"/>
    <w:rsid w:val="00BB5378"/>
    <w:rsid w:val="00BB5511"/>
    <w:rsid w:val="00BB5F5A"/>
    <w:rsid w:val="00BB74AB"/>
    <w:rsid w:val="00BB7889"/>
    <w:rsid w:val="00BB7BC5"/>
    <w:rsid w:val="00BC0E19"/>
    <w:rsid w:val="00BC1104"/>
    <w:rsid w:val="00BC1551"/>
    <w:rsid w:val="00BC205E"/>
    <w:rsid w:val="00BC2082"/>
    <w:rsid w:val="00BC2A26"/>
    <w:rsid w:val="00BC3788"/>
    <w:rsid w:val="00BC3B85"/>
    <w:rsid w:val="00BC4630"/>
    <w:rsid w:val="00BC494F"/>
    <w:rsid w:val="00BC4E5E"/>
    <w:rsid w:val="00BC56F3"/>
    <w:rsid w:val="00BC605D"/>
    <w:rsid w:val="00BC6B27"/>
    <w:rsid w:val="00BC6DA7"/>
    <w:rsid w:val="00BC6EDD"/>
    <w:rsid w:val="00BC72C3"/>
    <w:rsid w:val="00BC737F"/>
    <w:rsid w:val="00BC7860"/>
    <w:rsid w:val="00BC7BD7"/>
    <w:rsid w:val="00BC7E39"/>
    <w:rsid w:val="00BD0163"/>
    <w:rsid w:val="00BD0215"/>
    <w:rsid w:val="00BD040C"/>
    <w:rsid w:val="00BD054C"/>
    <w:rsid w:val="00BD05F0"/>
    <w:rsid w:val="00BD05F1"/>
    <w:rsid w:val="00BD0B2C"/>
    <w:rsid w:val="00BD0B78"/>
    <w:rsid w:val="00BD10E6"/>
    <w:rsid w:val="00BD11A8"/>
    <w:rsid w:val="00BD137E"/>
    <w:rsid w:val="00BD159D"/>
    <w:rsid w:val="00BD246B"/>
    <w:rsid w:val="00BD2970"/>
    <w:rsid w:val="00BD301B"/>
    <w:rsid w:val="00BD318B"/>
    <w:rsid w:val="00BD3B74"/>
    <w:rsid w:val="00BD41F8"/>
    <w:rsid w:val="00BD42AB"/>
    <w:rsid w:val="00BD47E5"/>
    <w:rsid w:val="00BD4A82"/>
    <w:rsid w:val="00BD4CB7"/>
    <w:rsid w:val="00BD57BD"/>
    <w:rsid w:val="00BD6085"/>
    <w:rsid w:val="00BD6AFB"/>
    <w:rsid w:val="00BD721F"/>
    <w:rsid w:val="00BD7313"/>
    <w:rsid w:val="00BD7C32"/>
    <w:rsid w:val="00BD7FC1"/>
    <w:rsid w:val="00BE029D"/>
    <w:rsid w:val="00BE0415"/>
    <w:rsid w:val="00BE166C"/>
    <w:rsid w:val="00BE171D"/>
    <w:rsid w:val="00BE1799"/>
    <w:rsid w:val="00BE226A"/>
    <w:rsid w:val="00BE27D4"/>
    <w:rsid w:val="00BE373A"/>
    <w:rsid w:val="00BE38AF"/>
    <w:rsid w:val="00BE4243"/>
    <w:rsid w:val="00BE543B"/>
    <w:rsid w:val="00BE5B6D"/>
    <w:rsid w:val="00BE65C4"/>
    <w:rsid w:val="00BE712F"/>
    <w:rsid w:val="00BE713E"/>
    <w:rsid w:val="00BE720F"/>
    <w:rsid w:val="00BE797C"/>
    <w:rsid w:val="00BF01FE"/>
    <w:rsid w:val="00BF05BA"/>
    <w:rsid w:val="00BF0C1F"/>
    <w:rsid w:val="00BF0CB7"/>
    <w:rsid w:val="00BF105C"/>
    <w:rsid w:val="00BF114D"/>
    <w:rsid w:val="00BF1D87"/>
    <w:rsid w:val="00BF2619"/>
    <w:rsid w:val="00BF264F"/>
    <w:rsid w:val="00BF26D0"/>
    <w:rsid w:val="00BF28E1"/>
    <w:rsid w:val="00BF2919"/>
    <w:rsid w:val="00BF2E74"/>
    <w:rsid w:val="00BF3E47"/>
    <w:rsid w:val="00BF406F"/>
    <w:rsid w:val="00BF40F3"/>
    <w:rsid w:val="00BF4185"/>
    <w:rsid w:val="00BF42E5"/>
    <w:rsid w:val="00BF51FF"/>
    <w:rsid w:val="00BF546B"/>
    <w:rsid w:val="00BF6E48"/>
    <w:rsid w:val="00BF748C"/>
    <w:rsid w:val="00BF79E0"/>
    <w:rsid w:val="00BF7B82"/>
    <w:rsid w:val="00C00E0A"/>
    <w:rsid w:val="00C01945"/>
    <w:rsid w:val="00C01D15"/>
    <w:rsid w:val="00C03219"/>
    <w:rsid w:val="00C03908"/>
    <w:rsid w:val="00C03D10"/>
    <w:rsid w:val="00C04D4B"/>
    <w:rsid w:val="00C054BB"/>
    <w:rsid w:val="00C05505"/>
    <w:rsid w:val="00C07362"/>
    <w:rsid w:val="00C076FA"/>
    <w:rsid w:val="00C07AA9"/>
    <w:rsid w:val="00C115B3"/>
    <w:rsid w:val="00C11694"/>
    <w:rsid w:val="00C116EE"/>
    <w:rsid w:val="00C11D44"/>
    <w:rsid w:val="00C11FB1"/>
    <w:rsid w:val="00C1268E"/>
    <w:rsid w:val="00C12E30"/>
    <w:rsid w:val="00C12E89"/>
    <w:rsid w:val="00C12F2C"/>
    <w:rsid w:val="00C13204"/>
    <w:rsid w:val="00C1337A"/>
    <w:rsid w:val="00C13841"/>
    <w:rsid w:val="00C13AA1"/>
    <w:rsid w:val="00C14233"/>
    <w:rsid w:val="00C143EF"/>
    <w:rsid w:val="00C144E7"/>
    <w:rsid w:val="00C1468B"/>
    <w:rsid w:val="00C148C2"/>
    <w:rsid w:val="00C14EAC"/>
    <w:rsid w:val="00C15654"/>
    <w:rsid w:val="00C15CEE"/>
    <w:rsid w:val="00C160AC"/>
    <w:rsid w:val="00C17676"/>
    <w:rsid w:val="00C176F6"/>
    <w:rsid w:val="00C17E31"/>
    <w:rsid w:val="00C2026E"/>
    <w:rsid w:val="00C20CCF"/>
    <w:rsid w:val="00C2104A"/>
    <w:rsid w:val="00C21225"/>
    <w:rsid w:val="00C2145D"/>
    <w:rsid w:val="00C224FC"/>
    <w:rsid w:val="00C22805"/>
    <w:rsid w:val="00C22D32"/>
    <w:rsid w:val="00C22E23"/>
    <w:rsid w:val="00C23490"/>
    <w:rsid w:val="00C2393D"/>
    <w:rsid w:val="00C23C72"/>
    <w:rsid w:val="00C2402B"/>
    <w:rsid w:val="00C24048"/>
    <w:rsid w:val="00C24A68"/>
    <w:rsid w:val="00C2552B"/>
    <w:rsid w:val="00C25540"/>
    <w:rsid w:val="00C258FA"/>
    <w:rsid w:val="00C25E99"/>
    <w:rsid w:val="00C25FFC"/>
    <w:rsid w:val="00C264D1"/>
    <w:rsid w:val="00C26699"/>
    <w:rsid w:val="00C27329"/>
    <w:rsid w:val="00C27350"/>
    <w:rsid w:val="00C274B9"/>
    <w:rsid w:val="00C279C8"/>
    <w:rsid w:val="00C30301"/>
    <w:rsid w:val="00C30726"/>
    <w:rsid w:val="00C30C18"/>
    <w:rsid w:val="00C30CE6"/>
    <w:rsid w:val="00C314C3"/>
    <w:rsid w:val="00C31956"/>
    <w:rsid w:val="00C31C45"/>
    <w:rsid w:val="00C31D62"/>
    <w:rsid w:val="00C321B2"/>
    <w:rsid w:val="00C32B93"/>
    <w:rsid w:val="00C32DDD"/>
    <w:rsid w:val="00C33138"/>
    <w:rsid w:val="00C33645"/>
    <w:rsid w:val="00C34544"/>
    <w:rsid w:val="00C35758"/>
    <w:rsid w:val="00C35BE2"/>
    <w:rsid w:val="00C35D56"/>
    <w:rsid w:val="00C36016"/>
    <w:rsid w:val="00C361CD"/>
    <w:rsid w:val="00C3645E"/>
    <w:rsid w:val="00C36DD3"/>
    <w:rsid w:val="00C36F01"/>
    <w:rsid w:val="00C37181"/>
    <w:rsid w:val="00C3727E"/>
    <w:rsid w:val="00C374FA"/>
    <w:rsid w:val="00C376D8"/>
    <w:rsid w:val="00C37983"/>
    <w:rsid w:val="00C4046D"/>
    <w:rsid w:val="00C40A7D"/>
    <w:rsid w:val="00C40CA2"/>
    <w:rsid w:val="00C4188F"/>
    <w:rsid w:val="00C419DC"/>
    <w:rsid w:val="00C41FEA"/>
    <w:rsid w:val="00C420DA"/>
    <w:rsid w:val="00C42190"/>
    <w:rsid w:val="00C425C6"/>
    <w:rsid w:val="00C4299E"/>
    <w:rsid w:val="00C42F0F"/>
    <w:rsid w:val="00C43575"/>
    <w:rsid w:val="00C43C9D"/>
    <w:rsid w:val="00C43D7D"/>
    <w:rsid w:val="00C43DC6"/>
    <w:rsid w:val="00C43ECD"/>
    <w:rsid w:val="00C43EE1"/>
    <w:rsid w:val="00C44689"/>
    <w:rsid w:val="00C44A5C"/>
    <w:rsid w:val="00C463AC"/>
    <w:rsid w:val="00C47274"/>
    <w:rsid w:val="00C476B9"/>
    <w:rsid w:val="00C47B67"/>
    <w:rsid w:val="00C500C6"/>
    <w:rsid w:val="00C50392"/>
    <w:rsid w:val="00C50734"/>
    <w:rsid w:val="00C507CF"/>
    <w:rsid w:val="00C50C26"/>
    <w:rsid w:val="00C5132B"/>
    <w:rsid w:val="00C5133D"/>
    <w:rsid w:val="00C5148C"/>
    <w:rsid w:val="00C51C8C"/>
    <w:rsid w:val="00C52DCE"/>
    <w:rsid w:val="00C535A7"/>
    <w:rsid w:val="00C541E3"/>
    <w:rsid w:val="00C548D1"/>
    <w:rsid w:val="00C55139"/>
    <w:rsid w:val="00C55AEE"/>
    <w:rsid w:val="00C55FC3"/>
    <w:rsid w:val="00C56B96"/>
    <w:rsid w:val="00C56D72"/>
    <w:rsid w:val="00C57172"/>
    <w:rsid w:val="00C57F45"/>
    <w:rsid w:val="00C60552"/>
    <w:rsid w:val="00C60956"/>
    <w:rsid w:val="00C61545"/>
    <w:rsid w:val="00C6293D"/>
    <w:rsid w:val="00C62AF1"/>
    <w:rsid w:val="00C62CDC"/>
    <w:rsid w:val="00C62DD3"/>
    <w:rsid w:val="00C630AD"/>
    <w:rsid w:val="00C6380D"/>
    <w:rsid w:val="00C63839"/>
    <w:rsid w:val="00C63A20"/>
    <w:rsid w:val="00C63F21"/>
    <w:rsid w:val="00C64917"/>
    <w:rsid w:val="00C64EA6"/>
    <w:rsid w:val="00C64FE9"/>
    <w:rsid w:val="00C653C6"/>
    <w:rsid w:val="00C657D0"/>
    <w:rsid w:val="00C65ABC"/>
    <w:rsid w:val="00C65BD8"/>
    <w:rsid w:val="00C65D42"/>
    <w:rsid w:val="00C663A5"/>
    <w:rsid w:val="00C66663"/>
    <w:rsid w:val="00C67DC8"/>
    <w:rsid w:val="00C67F1F"/>
    <w:rsid w:val="00C7033E"/>
    <w:rsid w:val="00C70422"/>
    <w:rsid w:val="00C70839"/>
    <w:rsid w:val="00C70C21"/>
    <w:rsid w:val="00C70C31"/>
    <w:rsid w:val="00C71E92"/>
    <w:rsid w:val="00C727AC"/>
    <w:rsid w:val="00C728B9"/>
    <w:rsid w:val="00C72ACB"/>
    <w:rsid w:val="00C72CFB"/>
    <w:rsid w:val="00C72D6E"/>
    <w:rsid w:val="00C72E35"/>
    <w:rsid w:val="00C7430C"/>
    <w:rsid w:val="00C745FA"/>
    <w:rsid w:val="00C7476A"/>
    <w:rsid w:val="00C74D76"/>
    <w:rsid w:val="00C7511D"/>
    <w:rsid w:val="00C7604A"/>
    <w:rsid w:val="00C7610D"/>
    <w:rsid w:val="00C76781"/>
    <w:rsid w:val="00C7697B"/>
    <w:rsid w:val="00C76F2B"/>
    <w:rsid w:val="00C772BD"/>
    <w:rsid w:val="00C77524"/>
    <w:rsid w:val="00C77672"/>
    <w:rsid w:val="00C779A7"/>
    <w:rsid w:val="00C779B3"/>
    <w:rsid w:val="00C77E04"/>
    <w:rsid w:val="00C80071"/>
    <w:rsid w:val="00C804CA"/>
    <w:rsid w:val="00C80C02"/>
    <w:rsid w:val="00C812B4"/>
    <w:rsid w:val="00C817CB"/>
    <w:rsid w:val="00C8383A"/>
    <w:rsid w:val="00C8408D"/>
    <w:rsid w:val="00C84AB3"/>
    <w:rsid w:val="00C85522"/>
    <w:rsid w:val="00C8562B"/>
    <w:rsid w:val="00C860BE"/>
    <w:rsid w:val="00C8612C"/>
    <w:rsid w:val="00C8622D"/>
    <w:rsid w:val="00C86879"/>
    <w:rsid w:val="00C86C46"/>
    <w:rsid w:val="00C86CE7"/>
    <w:rsid w:val="00C86E2C"/>
    <w:rsid w:val="00C878F5"/>
    <w:rsid w:val="00C879C8"/>
    <w:rsid w:val="00C87CB8"/>
    <w:rsid w:val="00C901DE"/>
    <w:rsid w:val="00C9044C"/>
    <w:rsid w:val="00C90765"/>
    <w:rsid w:val="00C9088D"/>
    <w:rsid w:val="00C90BBA"/>
    <w:rsid w:val="00C91449"/>
    <w:rsid w:val="00C9156B"/>
    <w:rsid w:val="00C9187E"/>
    <w:rsid w:val="00C91B3C"/>
    <w:rsid w:val="00C91FAE"/>
    <w:rsid w:val="00C923AA"/>
    <w:rsid w:val="00C927C1"/>
    <w:rsid w:val="00C92C02"/>
    <w:rsid w:val="00C92F46"/>
    <w:rsid w:val="00C933C5"/>
    <w:rsid w:val="00C93837"/>
    <w:rsid w:val="00C93A64"/>
    <w:rsid w:val="00C94438"/>
    <w:rsid w:val="00C9467D"/>
    <w:rsid w:val="00C9468E"/>
    <w:rsid w:val="00C95841"/>
    <w:rsid w:val="00C959A8"/>
    <w:rsid w:val="00C95AC6"/>
    <w:rsid w:val="00C95EDD"/>
    <w:rsid w:val="00C95FBA"/>
    <w:rsid w:val="00C96254"/>
    <w:rsid w:val="00C96E94"/>
    <w:rsid w:val="00C96F58"/>
    <w:rsid w:val="00C972E2"/>
    <w:rsid w:val="00C97361"/>
    <w:rsid w:val="00C97A86"/>
    <w:rsid w:val="00C97B6E"/>
    <w:rsid w:val="00CA0148"/>
    <w:rsid w:val="00CA0999"/>
    <w:rsid w:val="00CA0E31"/>
    <w:rsid w:val="00CA0F83"/>
    <w:rsid w:val="00CA1191"/>
    <w:rsid w:val="00CA11E9"/>
    <w:rsid w:val="00CA13C5"/>
    <w:rsid w:val="00CA1642"/>
    <w:rsid w:val="00CA1752"/>
    <w:rsid w:val="00CA18E8"/>
    <w:rsid w:val="00CA1A25"/>
    <w:rsid w:val="00CA1B50"/>
    <w:rsid w:val="00CA1C7C"/>
    <w:rsid w:val="00CA1CCA"/>
    <w:rsid w:val="00CA1EB9"/>
    <w:rsid w:val="00CA2219"/>
    <w:rsid w:val="00CA2384"/>
    <w:rsid w:val="00CA29BF"/>
    <w:rsid w:val="00CA3261"/>
    <w:rsid w:val="00CA38C7"/>
    <w:rsid w:val="00CA3B42"/>
    <w:rsid w:val="00CA4232"/>
    <w:rsid w:val="00CA4263"/>
    <w:rsid w:val="00CA4266"/>
    <w:rsid w:val="00CA4519"/>
    <w:rsid w:val="00CA4935"/>
    <w:rsid w:val="00CA4CA6"/>
    <w:rsid w:val="00CA4EBC"/>
    <w:rsid w:val="00CA5069"/>
    <w:rsid w:val="00CA526B"/>
    <w:rsid w:val="00CA5584"/>
    <w:rsid w:val="00CA5B94"/>
    <w:rsid w:val="00CA62CC"/>
    <w:rsid w:val="00CA6717"/>
    <w:rsid w:val="00CA67F8"/>
    <w:rsid w:val="00CA6A80"/>
    <w:rsid w:val="00CA6AEF"/>
    <w:rsid w:val="00CA6B56"/>
    <w:rsid w:val="00CA6D1F"/>
    <w:rsid w:val="00CA701E"/>
    <w:rsid w:val="00CA7088"/>
    <w:rsid w:val="00CA7A3A"/>
    <w:rsid w:val="00CB08D9"/>
    <w:rsid w:val="00CB09BB"/>
    <w:rsid w:val="00CB1E23"/>
    <w:rsid w:val="00CB1EF1"/>
    <w:rsid w:val="00CB2119"/>
    <w:rsid w:val="00CB247B"/>
    <w:rsid w:val="00CB2880"/>
    <w:rsid w:val="00CB2A59"/>
    <w:rsid w:val="00CB2F57"/>
    <w:rsid w:val="00CB4D81"/>
    <w:rsid w:val="00CB51E1"/>
    <w:rsid w:val="00CB5DFC"/>
    <w:rsid w:val="00CB6DC9"/>
    <w:rsid w:val="00CB7A42"/>
    <w:rsid w:val="00CB7DE1"/>
    <w:rsid w:val="00CC124F"/>
    <w:rsid w:val="00CC1825"/>
    <w:rsid w:val="00CC20EF"/>
    <w:rsid w:val="00CC2417"/>
    <w:rsid w:val="00CC2424"/>
    <w:rsid w:val="00CC2A78"/>
    <w:rsid w:val="00CC365E"/>
    <w:rsid w:val="00CC3985"/>
    <w:rsid w:val="00CC41F5"/>
    <w:rsid w:val="00CC48B0"/>
    <w:rsid w:val="00CC4C5D"/>
    <w:rsid w:val="00CC4CE7"/>
    <w:rsid w:val="00CC4E70"/>
    <w:rsid w:val="00CC5092"/>
    <w:rsid w:val="00CC5486"/>
    <w:rsid w:val="00CC55AF"/>
    <w:rsid w:val="00CC596B"/>
    <w:rsid w:val="00CC7446"/>
    <w:rsid w:val="00CC7772"/>
    <w:rsid w:val="00CD1E35"/>
    <w:rsid w:val="00CD1F9F"/>
    <w:rsid w:val="00CD24AE"/>
    <w:rsid w:val="00CD254B"/>
    <w:rsid w:val="00CD2844"/>
    <w:rsid w:val="00CD30A6"/>
    <w:rsid w:val="00CD30A7"/>
    <w:rsid w:val="00CD34FC"/>
    <w:rsid w:val="00CD4413"/>
    <w:rsid w:val="00CD4563"/>
    <w:rsid w:val="00CD460C"/>
    <w:rsid w:val="00CD4939"/>
    <w:rsid w:val="00CD4A7A"/>
    <w:rsid w:val="00CD4AF8"/>
    <w:rsid w:val="00CD4B20"/>
    <w:rsid w:val="00CD4C67"/>
    <w:rsid w:val="00CD5039"/>
    <w:rsid w:val="00CD53B2"/>
    <w:rsid w:val="00CD53BA"/>
    <w:rsid w:val="00CD62A3"/>
    <w:rsid w:val="00CD6503"/>
    <w:rsid w:val="00CD6679"/>
    <w:rsid w:val="00CD6B0C"/>
    <w:rsid w:val="00CD6D6E"/>
    <w:rsid w:val="00CD7A9E"/>
    <w:rsid w:val="00CE09CE"/>
    <w:rsid w:val="00CE0D51"/>
    <w:rsid w:val="00CE0E91"/>
    <w:rsid w:val="00CE14B1"/>
    <w:rsid w:val="00CE155F"/>
    <w:rsid w:val="00CE1BC7"/>
    <w:rsid w:val="00CE1DB6"/>
    <w:rsid w:val="00CE22F8"/>
    <w:rsid w:val="00CE2D1A"/>
    <w:rsid w:val="00CE308A"/>
    <w:rsid w:val="00CE3250"/>
    <w:rsid w:val="00CE510F"/>
    <w:rsid w:val="00CE54B8"/>
    <w:rsid w:val="00CE56C7"/>
    <w:rsid w:val="00CE57FE"/>
    <w:rsid w:val="00CE5969"/>
    <w:rsid w:val="00CE5FA6"/>
    <w:rsid w:val="00CE64CB"/>
    <w:rsid w:val="00CE65D7"/>
    <w:rsid w:val="00CE66AD"/>
    <w:rsid w:val="00CE6702"/>
    <w:rsid w:val="00CE67CB"/>
    <w:rsid w:val="00CE6973"/>
    <w:rsid w:val="00CE70B0"/>
    <w:rsid w:val="00CE72B7"/>
    <w:rsid w:val="00CF0001"/>
    <w:rsid w:val="00CF0316"/>
    <w:rsid w:val="00CF0BD6"/>
    <w:rsid w:val="00CF10F0"/>
    <w:rsid w:val="00CF13FD"/>
    <w:rsid w:val="00CF15CA"/>
    <w:rsid w:val="00CF15CC"/>
    <w:rsid w:val="00CF211C"/>
    <w:rsid w:val="00CF21B5"/>
    <w:rsid w:val="00CF23C1"/>
    <w:rsid w:val="00CF2987"/>
    <w:rsid w:val="00CF3844"/>
    <w:rsid w:val="00CF3F2C"/>
    <w:rsid w:val="00CF41DB"/>
    <w:rsid w:val="00CF42DF"/>
    <w:rsid w:val="00CF47C0"/>
    <w:rsid w:val="00CF4855"/>
    <w:rsid w:val="00CF4D38"/>
    <w:rsid w:val="00CF56BB"/>
    <w:rsid w:val="00CF56C7"/>
    <w:rsid w:val="00CF590D"/>
    <w:rsid w:val="00CF64CE"/>
    <w:rsid w:val="00CF67D9"/>
    <w:rsid w:val="00CF6976"/>
    <w:rsid w:val="00CF6E80"/>
    <w:rsid w:val="00CF724D"/>
    <w:rsid w:val="00CF7296"/>
    <w:rsid w:val="00CF73EA"/>
    <w:rsid w:val="00CF7A58"/>
    <w:rsid w:val="00CF7A72"/>
    <w:rsid w:val="00D00B05"/>
    <w:rsid w:val="00D00E6B"/>
    <w:rsid w:val="00D01A70"/>
    <w:rsid w:val="00D01B1D"/>
    <w:rsid w:val="00D01CF9"/>
    <w:rsid w:val="00D025A4"/>
    <w:rsid w:val="00D02DAB"/>
    <w:rsid w:val="00D030FC"/>
    <w:rsid w:val="00D03A18"/>
    <w:rsid w:val="00D03A6D"/>
    <w:rsid w:val="00D03DE3"/>
    <w:rsid w:val="00D041EB"/>
    <w:rsid w:val="00D0420B"/>
    <w:rsid w:val="00D044FF"/>
    <w:rsid w:val="00D04734"/>
    <w:rsid w:val="00D0491B"/>
    <w:rsid w:val="00D04B7F"/>
    <w:rsid w:val="00D04C10"/>
    <w:rsid w:val="00D04C69"/>
    <w:rsid w:val="00D0500D"/>
    <w:rsid w:val="00D05B6E"/>
    <w:rsid w:val="00D060EB"/>
    <w:rsid w:val="00D068D6"/>
    <w:rsid w:val="00D06977"/>
    <w:rsid w:val="00D069B1"/>
    <w:rsid w:val="00D073A3"/>
    <w:rsid w:val="00D07417"/>
    <w:rsid w:val="00D07D43"/>
    <w:rsid w:val="00D07F9C"/>
    <w:rsid w:val="00D11278"/>
    <w:rsid w:val="00D11338"/>
    <w:rsid w:val="00D1143E"/>
    <w:rsid w:val="00D11812"/>
    <w:rsid w:val="00D12381"/>
    <w:rsid w:val="00D1255D"/>
    <w:rsid w:val="00D127A8"/>
    <w:rsid w:val="00D13FF7"/>
    <w:rsid w:val="00D14631"/>
    <w:rsid w:val="00D14931"/>
    <w:rsid w:val="00D14D77"/>
    <w:rsid w:val="00D1548A"/>
    <w:rsid w:val="00D154FA"/>
    <w:rsid w:val="00D16101"/>
    <w:rsid w:val="00D16E9E"/>
    <w:rsid w:val="00D17289"/>
    <w:rsid w:val="00D17510"/>
    <w:rsid w:val="00D17650"/>
    <w:rsid w:val="00D17757"/>
    <w:rsid w:val="00D17CFE"/>
    <w:rsid w:val="00D17F35"/>
    <w:rsid w:val="00D20202"/>
    <w:rsid w:val="00D213DD"/>
    <w:rsid w:val="00D21409"/>
    <w:rsid w:val="00D2213B"/>
    <w:rsid w:val="00D2214B"/>
    <w:rsid w:val="00D22764"/>
    <w:rsid w:val="00D22B18"/>
    <w:rsid w:val="00D22DFF"/>
    <w:rsid w:val="00D23689"/>
    <w:rsid w:val="00D24C39"/>
    <w:rsid w:val="00D255DD"/>
    <w:rsid w:val="00D255F3"/>
    <w:rsid w:val="00D25B05"/>
    <w:rsid w:val="00D25DB0"/>
    <w:rsid w:val="00D25FEA"/>
    <w:rsid w:val="00D26B9D"/>
    <w:rsid w:val="00D26DF7"/>
    <w:rsid w:val="00D27CA3"/>
    <w:rsid w:val="00D27CFF"/>
    <w:rsid w:val="00D27F44"/>
    <w:rsid w:val="00D3006C"/>
    <w:rsid w:val="00D302CF"/>
    <w:rsid w:val="00D306C4"/>
    <w:rsid w:val="00D30C14"/>
    <w:rsid w:val="00D31E69"/>
    <w:rsid w:val="00D325D2"/>
    <w:rsid w:val="00D3427D"/>
    <w:rsid w:val="00D34D20"/>
    <w:rsid w:val="00D34FD1"/>
    <w:rsid w:val="00D35354"/>
    <w:rsid w:val="00D35BAF"/>
    <w:rsid w:val="00D35CD9"/>
    <w:rsid w:val="00D36225"/>
    <w:rsid w:val="00D36BDF"/>
    <w:rsid w:val="00D371A8"/>
    <w:rsid w:val="00D37464"/>
    <w:rsid w:val="00D37527"/>
    <w:rsid w:val="00D3783C"/>
    <w:rsid w:val="00D40288"/>
    <w:rsid w:val="00D408E3"/>
    <w:rsid w:val="00D40BB5"/>
    <w:rsid w:val="00D40D1B"/>
    <w:rsid w:val="00D40EFD"/>
    <w:rsid w:val="00D411BC"/>
    <w:rsid w:val="00D41457"/>
    <w:rsid w:val="00D41655"/>
    <w:rsid w:val="00D41CF8"/>
    <w:rsid w:val="00D41DDB"/>
    <w:rsid w:val="00D423EB"/>
    <w:rsid w:val="00D42911"/>
    <w:rsid w:val="00D43079"/>
    <w:rsid w:val="00D43285"/>
    <w:rsid w:val="00D43B1A"/>
    <w:rsid w:val="00D43BF5"/>
    <w:rsid w:val="00D44188"/>
    <w:rsid w:val="00D441A0"/>
    <w:rsid w:val="00D44247"/>
    <w:rsid w:val="00D44C8B"/>
    <w:rsid w:val="00D459EE"/>
    <w:rsid w:val="00D45D86"/>
    <w:rsid w:val="00D461BB"/>
    <w:rsid w:val="00D466A7"/>
    <w:rsid w:val="00D4690D"/>
    <w:rsid w:val="00D46B28"/>
    <w:rsid w:val="00D46B5F"/>
    <w:rsid w:val="00D46BEC"/>
    <w:rsid w:val="00D472FA"/>
    <w:rsid w:val="00D476C9"/>
    <w:rsid w:val="00D476DE"/>
    <w:rsid w:val="00D47C1D"/>
    <w:rsid w:val="00D47CAF"/>
    <w:rsid w:val="00D502F0"/>
    <w:rsid w:val="00D50355"/>
    <w:rsid w:val="00D506F6"/>
    <w:rsid w:val="00D50997"/>
    <w:rsid w:val="00D50CAE"/>
    <w:rsid w:val="00D515A4"/>
    <w:rsid w:val="00D51A87"/>
    <w:rsid w:val="00D53679"/>
    <w:rsid w:val="00D539A4"/>
    <w:rsid w:val="00D53DD7"/>
    <w:rsid w:val="00D54F9D"/>
    <w:rsid w:val="00D55BD6"/>
    <w:rsid w:val="00D56B31"/>
    <w:rsid w:val="00D56BD4"/>
    <w:rsid w:val="00D56FF4"/>
    <w:rsid w:val="00D5722B"/>
    <w:rsid w:val="00D60DA6"/>
    <w:rsid w:val="00D60DA7"/>
    <w:rsid w:val="00D616C5"/>
    <w:rsid w:val="00D61CCE"/>
    <w:rsid w:val="00D633EB"/>
    <w:rsid w:val="00D63EFA"/>
    <w:rsid w:val="00D641B2"/>
    <w:rsid w:val="00D647AC"/>
    <w:rsid w:val="00D649A0"/>
    <w:rsid w:val="00D6637F"/>
    <w:rsid w:val="00D66DDA"/>
    <w:rsid w:val="00D675BE"/>
    <w:rsid w:val="00D678E4"/>
    <w:rsid w:val="00D67B2B"/>
    <w:rsid w:val="00D67F80"/>
    <w:rsid w:val="00D7074E"/>
    <w:rsid w:val="00D708A2"/>
    <w:rsid w:val="00D70B43"/>
    <w:rsid w:val="00D7180D"/>
    <w:rsid w:val="00D71950"/>
    <w:rsid w:val="00D71C15"/>
    <w:rsid w:val="00D71CD1"/>
    <w:rsid w:val="00D724FD"/>
    <w:rsid w:val="00D72779"/>
    <w:rsid w:val="00D72920"/>
    <w:rsid w:val="00D72ED0"/>
    <w:rsid w:val="00D73040"/>
    <w:rsid w:val="00D73076"/>
    <w:rsid w:val="00D73172"/>
    <w:rsid w:val="00D74085"/>
    <w:rsid w:val="00D74681"/>
    <w:rsid w:val="00D749F2"/>
    <w:rsid w:val="00D74A57"/>
    <w:rsid w:val="00D74B76"/>
    <w:rsid w:val="00D751C2"/>
    <w:rsid w:val="00D7547F"/>
    <w:rsid w:val="00D75798"/>
    <w:rsid w:val="00D7648D"/>
    <w:rsid w:val="00D76504"/>
    <w:rsid w:val="00D76C7C"/>
    <w:rsid w:val="00D771C9"/>
    <w:rsid w:val="00D776F5"/>
    <w:rsid w:val="00D77927"/>
    <w:rsid w:val="00D77F5D"/>
    <w:rsid w:val="00D7BDE0"/>
    <w:rsid w:val="00D8025C"/>
    <w:rsid w:val="00D80343"/>
    <w:rsid w:val="00D8057D"/>
    <w:rsid w:val="00D80E37"/>
    <w:rsid w:val="00D81C95"/>
    <w:rsid w:val="00D81D10"/>
    <w:rsid w:val="00D8278F"/>
    <w:rsid w:val="00D82807"/>
    <w:rsid w:val="00D82C45"/>
    <w:rsid w:val="00D8301A"/>
    <w:rsid w:val="00D83661"/>
    <w:rsid w:val="00D836B8"/>
    <w:rsid w:val="00D83BA9"/>
    <w:rsid w:val="00D83CAF"/>
    <w:rsid w:val="00D84069"/>
    <w:rsid w:val="00D84093"/>
    <w:rsid w:val="00D845E4"/>
    <w:rsid w:val="00D84659"/>
    <w:rsid w:val="00D84781"/>
    <w:rsid w:val="00D84EE3"/>
    <w:rsid w:val="00D850BC"/>
    <w:rsid w:val="00D8525B"/>
    <w:rsid w:val="00D85E25"/>
    <w:rsid w:val="00D85FDD"/>
    <w:rsid w:val="00D87A9E"/>
    <w:rsid w:val="00D87F25"/>
    <w:rsid w:val="00D90565"/>
    <w:rsid w:val="00D90950"/>
    <w:rsid w:val="00D90CFA"/>
    <w:rsid w:val="00D9211D"/>
    <w:rsid w:val="00D92F13"/>
    <w:rsid w:val="00D92FCE"/>
    <w:rsid w:val="00D93300"/>
    <w:rsid w:val="00D93348"/>
    <w:rsid w:val="00D9357A"/>
    <w:rsid w:val="00D93AA4"/>
    <w:rsid w:val="00D942E6"/>
    <w:rsid w:val="00D948FB"/>
    <w:rsid w:val="00D954C2"/>
    <w:rsid w:val="00D959D8"/>
    <w:rsid w:val="00D95A75"/>
    <w:rsid w:val="00D95E41"/>
    <w:rsid w:val="00D961F2"/>
    <w:rsid w:val="00D96321"/>
    <w:rsid w:val="00D96878"/>
    <w:rsid w:val="00D96ED6"/>
    <w:rsid w:val="00D96F2C"/>
    <w:rsid w:val="00D974A9"/>
    <w:rsid w:val="00D97784"/>
    <w:rsid w:val="00D97A82"/>
    <w:rsid w:val="00D97BDE"/>
    <w:rsid w:val="00DA0129"/>
    <w:rsid w:val="00DA04D9"/>
    <w:rsid w:val="00DA084B"/>
    <w:rsid w:val="00DA0D3B"/>
    <w:rsid w:val="00DA10EA"/>
    <w:rsid w:val="00DA15F3"/>
    <w:rsid w:val="00DA1AD7"/>
    <w:rsid w:val="00DA1BF2"/>
    <w:rsid w:val="00DA1E03"/>
    <w:rsid w:val="00DA2240"/>
    <w:rsid w:val="00DA230C"/>
    <w:rsid w:val="00DA291E"/>
    <w:rsid w:val="00DA2FBF"/>
    <w:rsid w:val="00DA2FC0"/>
    <w:rsid w:val="00DA3052"/>
    <w:rsid w:val="00DA31BE"/>
    <w:rsid w:val="00DA3CB5"/>
    <w:rsid w:val="00DA51B9"/>
    <w:rsid w:val="00DA52BF"/>
    <w:rsid w:val="00DA534E"/>
    <w:rsid w:val="00DA563C"/>
    <w:rsid w:val="00DA5F18"/>
    <w:rsid w:val="00DA6779"/>
    <w:rsid w:val="00DA78C3"/>
    <w:rsid w:val="00DA7FF2"/>
    <w:rsid w:val="00DB004F"/>
    <w:rsid w:val="00DB01E2"/>
    <w:rsid w:val="00DB024C"/>
    <w:rsid w:val="00DB0734"/>
    <w:rsid w:val="00DB13A8"/>
    <w:rsid w:val="00DB158A"/>
    <w:rsid w:val="00DB1BCC"/>
    <w:rsid w:val="00DB2094"/>
    <w:rsid w:val="00DB2570"/>
    <w:rsid w:val="00DB2661"/>
    <w:rsid w:val="00DB2DA7"/>
    <w:rsid w:val="00DB2E49"/>
    <w:rsid w:val="00DB3264"/>
    <w:rsid w:val="00DB35E8"/>
    <w:rsid w:val="00DB380E"/>
    <w:rsid w:val="00DB3AB8"/>
    <w:rsid w:val="00DB3C03"/>
    <w:rsid w:val="00DB4453"/>
    <w:rsid w:val="00DB452A"/>
    <w:rsid w:val="00DB4A71"/>
    <w:rsid w:val="00DB51A2"/>
    <w:rsid w:val="00DB5296"/>
    <w:rsid w:val="00DB53F1"/>
    <w:rsid w:val="00DB5A0C"/>
    <w:rsid w:val="00DB5D55"/>
    <w:rsid w:val="00DB617E"/>
    <w:rsid w:val="00DB640A"/>
    <w:rsid w:val="00DB65A2"/>
    <w:rsid w:val="00DB6D3B"/>
    <w:rsid w:val="00DB7316"/>
    <w:rsid w:val="00DC05E7"/>
    <w:rsid w:val="00DC1F0B"/>
    <w:rsid w:val="00DC210B"/>
    <w:rsid w:val="00DC2907"/>
    <w:rsid w:val="00DC2BC7"/>
    <w:rsid w:val="00DC3055"/>
    <w:rsid w:val="00DC3359"/>
    <w:rsid w:val="00DC33E7"/>
    <w:rsid w:val="00DC36A3"/>
    <w:rsid w:val="00DC3971"/>
    <w:rsid w:val="00DC41C1"/>
    <w:rsid w:val="00DC4407"/>
    <w:rsid w:val="00DC4646"/>
    <w:rsid w:val="00DC564C"/>
    <w:rsid w:val="00DC59F4"/>
    <w:rsid w:val="00DC5A81"/>
    <w:rsid w:val="00DC5BBB"/>
    <w:rsid w:val="00DC5CD8"/>
    <w:rsid w:val="00DC6557"/>
    <w:rsid w:val="00DC68C2"/>
    <w:rsid w:val="00DC6E61"/>
    <w:rsid w:val="00DC7002"/>
    <w:rsid w:val="00DC76A2"/>
    <w:rsid w:val="00DD0FE3"/>
    <w:rsid w:val="00DD1217"/>
    <w:rsid w:val="00DD15F9"/>
    <w:rsid w:val="00DD1921"/>
    <w:rsid w:val="00DD1A03"/>
    <w:rsid w:val="00DD33B1"/>
    <w:rsid w:val="00DD3D62"/>
    <w:rsid w:val="00DD3FF0"/>
    <w:rsid w:val="00DD4756"/>
    <w:rsid w:val="00DD476E"/>
    <w:rsid w:val="00DD4C1E"/>
    <w:rsid w:val="00DD4D98"/>
    <w:rsid w:val="00DD4EA2"/>
    <w:rsid w:val="00DD4FEC"/>
    <w:rsid w:val="00DD5316"/>
    <w:rsid w:val="00DD576F"/>
    <w:rsid w:val="00DD57BD"/>
    <w:rsid w:val="00DD6137"/>
    <w:rsid w:val="00DD6AC7"/>
    <w:rsid w:val="00DD6EED"/>
    <w:rsid w:val="00DD702D"/>
    <w:rsid w:val="00DD737F"/>
    <w:rsid w:val="00DD79E3"/>
    <w:rsid w:val="00DD7CC4"/>
    <w:rsid w:val="00DD7EC9"/>
    <w:rsid w:val="00DE0685"/>
    <w:rsid w:val="00DE06A0"/>
    <w:rsid w:val="00DE0DAE"/>
    <w:rsid w:val="00DE1B1F"/>
    <w:rsid w:val="00DE1B25"/>
    <w:rsid w:val="00DE1D6D"/>
    <w:rsid w:val="00DE2B80"/>
    <w:rsid w:val="00DE2EC7"/>
    <w:rsid w:val="00DE35DC"/>
    <w:rsid w:val="00DE37A0"/>
    <w:rsid w:val="00DE3818"/>
    <w:rsid w:val="00DE3C30"/>
    <w:rsid w:val="00DE4675"/>
    <w:rsid w:val="00DE4D5D"/>
    <w:rsid w:val="00DE527A"/>
    <w:rsid w:val="00DE57B1"/>
    <w:rsid w:val="00DE596B"/>
    <w:rsid w:val="00DE5A4A"/>
    <w:rsid w:val="00DE6A0A"/>
    <w:rsid w:val="00DE79A9"/>
    <w:rsid w:val="00DE7B09"/>
    <w:rsid w:val="00DE7C35"/>
    <w:rsid w:val="00DF00D8"/>
    <w:rsid w:val="00DF0A56"/>
    <w:rsid w:val="00DF197B"/>
    <w:rsid w:val="00DF1AB1"/>
    <w:rsid w:val="00DF1F35"/>
    <w:rsid w:val="00DF227F"/>
    <w:rsid w:val="00DF25A8"/>
    <w:rsid w:val="00DF30B2"/>
    <w:rsid w:val="00DF48F3"/>
    <w:rsid w:val="00DF4990"/>
    <w:rsid w:val="00DF4EEA"/>
    <w:rsid w:val="00DF521F"/>
    <w:rsid w:val="00DF531A"/>
    <w:rsid w:val="00DF5410"/>
    <w:rsid w:val="00DF5754"/>
    <w:rsid w:val="00DF5839"/>
    <w:rsid w:val="00DF58FF"/>
    <w:rsid w:val="00DF5938"/>
    <w:rsid w:val="00DF640E"/>
    <w:rsid w:val="00DF68BD"/>
    <w:rsid w:val="00DF7A74"/>
    <w:rsid w:val="00DF7D29"/>
    <w:rsid w:val="00DF7E83"/>
    <w:rsid w:val="00E0023E"/>
    <w:rsid w:val="00E00F67"/>
    <w:rsid w:val="00E011AB"/>
    <w:rsid w:val="00E016B4"/>
    <w:rsid w:val="00E017FC"/>
    <w:rsid w:val="00E01A27"/>
    <w:rsid w:val="00E01B49"/>
    <w:rsid w:val="00E02433"/>
    <w:rsid w:val="00E02AC1"/>
    <w:rsid w:val="00E03074"/>
    <w:rsid w:val="00E045C1"/>
    <w:rsid w:val="00E04A5A"/>
    <w:rsid w:val="00E04B76"/>
    <w:rsid w:val="00E05137"/>
    <w:rsid w:val="00E0560C"/>
    <w:rsid w:val="00E05B2A"/>
    <w:rsid w:val="00E064C7"/>
    <w:rsid w:val="00E0675D"/>
    <w:rsid w:val="00E07583"/>
    <w:rsid w:val="00E07901"/>
    <w:rsid w:val="00E07952"/>
    <w:rsid w:val="00E07B11"/>
    <w:rsid w:val="00E07DB4"/>
    <w:rsid w:val="00E10F92"/>
    <w:rsid w:val="00E11876"/>
    <w:rsid w:val="00E122F5"/>
    <w:rsid w:val="00E123DD"/>
    <w:rsid w:val="00E124F4"/>
    <w:rsid w:val="00E1267E"/>
    <w:rsid w:val="00E12879"/>
    <w:rsid w:val="00E1298F"/>
    <w:rsid w:val="00E129D6"/>
    <w:rsid w:val="00E12AA6"/>
    <w:rsid w:val="00E12B9B"/>
    <w:rsid w:val="00E12FCB"/>
    <w:rsid w:val="00E13AD5"/>
    <w:rsid w:val="00E13E99"/>
    <w:rsid w:val="00E145C7"/>
    <w:rsid w:val="00E14EFB"/>
    <w:rsid w:val="00E153E8"/>
    <w:rsid w:val="00E1553C"/>
    <w:rsid w:val="00E168BF"/>
    <w:rsid w:val="00E17327"/>
    <w:rsid w:val="00E17A2F"/>
    <w:rsid w:val="00E17AFD"/>
    <w:rsid w:val="00E17CD0"/>
    <w:rsid w:val="00E20414"/>
    <w:rsid w:val="00E21551"/>
    <w:rsid w:val="00E21755"/>
    <w:rsid w:val="00E21D24"/>
    <w:rsid w:val="00E2232F"/>
    <w:rsid w:val="00E2235D"/>
    <w:rsid w:val="00E22368"/>
    <w:rsid w:val="00E22B00"/>
    <w:rsid w:val="00E22BA6"/>
    <w:rsid w:val="00E22D4A"/>
    <w:rsid w:val="00E23D4C"/>
    <w:rsid w:val="00E24445"/>
    <w:rsid w:val="00E24A75"/>
    <w:rsid w:val="00E24E29"/>
    <w:rsid w:val="00E2527C"/>
    <w:rsid w:val="00E253CC"/>
    <w:rsid w:val="00E25601"/>
    <w:rsid w:val="00E256E6"/>
    <w:rsid w:val="00E258D0"/>
    <w:rsid w:val="00E258D7"/>
    <w:rsid w:val="00E26B46"/>
    <w:rsid w:val="00E26C79"/>
    <w:rsid w:val="00E3024B"/>
    <w:rsid w:val="00E30339"/>
    <w:rsid w:val="00E309BA"/>
    <w:rsid w:val="00E3106A"/>
    <w:rsid w:val="00E31548"/>
    <w:rsid w:val="00E323B2"/>
    <w:rsid w:val="00E32B31"/>
    <w:rsid w:val="00E32E62"/>
    <w:rsid w:val="00E331C8"/>
    <w:rsid w:val="00E33303"/>
    <w:rsid w:val="00E337E8"/>
    <w:rsid w:val="00E33C37"/>
    <w:rsid w:val="00E340E4"/>
    <w:rsid w:val="00E344A7"/>
    <w:rsid w:val="00E34EC4"/>
    <w:rsid w:val="00E3524F"/>
    <w:rsid w:val="00E35BC1"/>
    <w:rsid w:val="00E35CCA"/>
    <w:rsid w:val="00E3664F"/>
    <w:rsid w:val="00E36D0F"/>
    <w:rsid w:val="00E36E0C"/>
    <w:rsid w:val="00E3760F"/>
    <w:rsid w:val="00E40693"/>
    <w:rsid w:val="00E408A8"/>
    <w:rsid w:val="00E40D38"/>
    <w:rsid w:val="00E41113"/>
    <w:rsid w:val="00E41C96"/>
    <w:rsid w:val="00E41FC9"/>
    <w:rsid w:val="00E42B76"/>
    <w:rsid w:val="00E43289"/>
    <w:rsid w:val="00E44382"/>
    <w:rsid w:val="00E44514"/>
    <w:rsid w:val="00E454DF"/>
    <w:rsid w:val="00E45527"/>
    <w:rsid w:val="00E4567F"/>
    <w:rsid w:val="00E45A46"/>
    <w:rsid w:val="00E45B81"/>
    <w:rsid w:val="00E46009"/>
    <w:rsid w:val="00E46349"/>
    <w:rsid w:val="00E4676C"/>
    <w:rsid w:val="00E46826"/>
    <w:rsid w:val="00E46F93"/>
    <w:rsid w:val="00E4702D"/>
    <w:rsid w:val="00E4723C"/>
    <w:rsid w:val="00E47AA4"/>
    <w:rsid w:val="00E47C72"/>
    <w:rsid w:val="00E47CE4"/>
    <w:rsid w:val="00E47DE7"/>
    <w:rsid w:val="00E50767"/>
    <w:rsid w:val="00E509D9"/>
    <w:rsid w:val="00E50B92"/>
    <w:rsid w:val="00E5157B"/>
    <w:rsid w:val="00E515F2"/>
    <w:rsid w:val="00E51643"/>
    <w:rsid w:val="00E5178B"/>
    <w:rsid w:val="00E51B89"/>
    <w:rsid w:val="00E51BC3"/>
    <w:rsid w:val="00E524C7"/>
    <w:rsid w:val="00E524D3"/>
    <w:rsid w:val="00E528EC"/>
    <w:rsid w:val="00E52998"/>
    <w:rsid w:val="00E52F68"/>
    <w:rsid w:val="00E53288"/>
    <w:rsid w:val="00E53888"/>
    <w:rsid w:val="00E53995"/>
    <w:rsid w:val="00E54811"/>
    <w:rsid w:val="00E549CF"/>
    <w:rsid w:val="00E54C19"/>
    <w:rsid w:val="00E54EB4"/>
    <w:rsid w:val="00E54F93"/>
    <w:rsid w:val="00E556DA"/>
    <w:rsid w:val="00E55982"/>
    <w:rsid w:val="00E55A4A"/>
    <w:rsid w:val="00E55F13"/>
    <w:rsid w:val="00E56218"/>
    <w:rsid w:val="00E56711"/>
    <w:rsid w:val="00E5696C"/>
    <w:rsid w:val="00E56978"/>
    <w:rsid w:val="00E56995"/>
    <w:rsid w:val="00E5717A"/>
    <w:rsid w:val="00E57445"/>
    <w:rsid w:val="00E57507"/>
    <w:rsid w:val="00E57574"/>
    <w:rsid w:val="00E575C1"/>
    <w:rsid w:val="00E576C0"/>
    <w:rsid w:val="00E5792C"/>
    <w:rsid w:val="00E57FAA"/>
    <w:rsid w:val="00E601B3"/>
    <w:rsid w:val="00E6073C"/>
    <w:rsid w:val="00E607F9"/>
    <w:rsid w:val="00E60A56"/>
    <w:rsid w:val="00E61B5B"/>
    <w:rsid w:val="00E622F7"/>
    <w:rsid w:val="00E625BB"/>
    <w:rsid w:val="00E62A6C"/>
    <w:rsid w:val="00E62FD7"/>
    <w:rsid w:val="00E631DA"/>
    <w:rsid w:val="00E63324"/>
    <w:rsid w:val="00E63DD0"/>
    <w:rsid w:val="00E64752"/>
    <w:rsid w:val="00E64814"/>
    <w:rsid w:val="00E64983"/>
    <w:rsid w:val="00E64BEE"/>
    <w:rsid w:val="00E64D26"/>
    <w:rsid w:val="00E654D7"/>
    <w:rsid w:val="00E655BC"/>
    <w:rsid w:val="00E659D0"/>
    <w:rsid w:val="00E659D3"/>
    <w:rsid w:val="00E65B95"/>
    <w:rsid w:val="00E663B5"/>
    <w:rsid w:val="00E66456"/>
    <w:rsid w:val="00E668AA"/>
    <w:rsid w:val="00E66DC3"/>
    <w:rsid w:val="00E66EAC"/>
    <w:rsid w:val="00E67143"/>
    <w:rsid w:val="00E67195"/>
    <w:rsid w:val="00E706B6"/>
    <w:rsid w:val="00E707C0"/>
    <w:rsid w:val="00E719EC"/>
    <w:rsid w:val="00E71F68"/>
    <w:rsid w:val="00E72055"/>
    <w:rsid w:val="00E72856"/>
    <w:rsid w:val="00E72A0F"/>
    <w:rsid w:val="00E73175"/>
    <w:rsid w:val="00E73642"/>
    <w:rsid w:val="00E73726"/>
    <w:rsid w:val="00E738A9"/>
    <w:rsid w:val="00E73B3B"/>
    <w:rsid w:val="00E74447"/>
    <w:rsid w:val="00E74526"/>
    <w:rsid w:val="00E74590"/>
    <w:rsid w:val="00E747AB"/>
    <w:rsid w:val="00E752E0"/>
    <w:rsid w:val="00E7581B"/>
    <w:rsid w:val="00E7598E"/>
    <w:rsid w:val="00E75D4E"/>
    <w:rsid w:val="00E76A68"/>
    <w:rsid w:val="00E76B6F"/>
    <w:rsid w:val="00E77166"/>
    <w:rsid w:val="00E774B0"/>
    <w:rsid w:val="00E775A4"/>
    <w:rsid w:val="00E7798D"/>
    <w:rsid w:val="00E80C41"/>
    <w:rsid w:val="00E814BD"/>
    <w:rsid w:val="00E814F5"/>
    <w:rsid w:val="00E81EDB"/>
    <w:rsid w:val="00E8259B"/>
    <w:rsid w:val="00E82A39"/>
    <w:rsid w:val="00E8306F"/>
    <w:rsid w:val="00E83ADC"/>
    <w:rsid w:val="00E83D52"/>
    <w:rsid w:val="00E83D71"/>
    <w:rsid w:val="00E840A0"/>
    <w:rsid w:val="00E846B6"/>
    <w:rsid w:val="00E847E2"/>
    <w:rsid w:val="00E84961"/>
    <w:rsid w:val="00E84C4A"/>
    <w:rsid w:val="00E850AE"/>
    <w:rsid w:val="00E85220"/>
    <w:rsid w:val="00E85423"/>
    <w:rsid w:val="00E859A4"/>
    <w:rsid w:val="00E85C6D"/>
    <w:rsid w:val="00E85D43"/>
    <w:rsid w:val="00E85F14"/>
    <w:rsid w:val="00E8613C"/>
    <w:rsid w:val="00E86373"/>
    <w:rsid w:val="00E86B94"/>
    <w:rsid w:val="00E86C67"/>
    <w:rsid w:val="00E86E14"/>
    <w:rsid w:val="00E87690"/>
    <w:rsid w:val="00E90536"/>
    <w:rsid w:val="00E909F0"/>
    <w:rsid w:val="00E90D5A"/>
    <w:rsid w:val="00E90EC8"/>
    <w:rsid w:val="00E910B9"/>
    <w:rsid w:val="00E9176D"/>
    <w:rsid w:val="00E91858"/>
    <w:rsid w:val="00E91D4C"/>
    <w:rsid w:val="00E91F5C"/>
    <w:rsid w:val="00E92426"/>
    <w:rsid w:val="00E92998"/>
    <w:rsid w:val="00E92A3C"/>
    <w:rsid w:val="00E92C84"/>
    <w:rsid w:val="00E931F6"/>
    <w:rsid w:val="00E93328"/>
    <w:rsid w:val="00E9333F"/>
    <w:rsid w:val="00E9370C"/>
    <w:rsid w:val="00E937B2"/>
    <w:rsid w:val="00E93D6C"/>
    <w:rsid w:val="00E941B5"/>
    <w:rsid w:val="00E94657"/>
    <w:rsid w:val="00E953C9"/>
    <w:rsid w:val="00E95B3A"/>
    <w:rsid w:val="00E96009"/>
    <w:rsid w:val="00E9621C"/>
    <w:rsid w:val="00E96E29"/>
    <w:rsid w:val="00E96FEA"/>
    <w:rsid w:val="00E97262"/>
    <w:rsid w:val="00E972E0"/>
    <w:rsid w:val="00E97E3E"/>
    <w:rsid w:val="00EA062A"/>
    <w:rsid w:val="00EA073A"/>
    <w:rsid w:val="00EA0BB3"/>
    <w:rsid w:val="00EA0BFD"/>
    <w:rsid w:val="00EA1618"/>
    <w:rsid w:val="00EA183E"/>
    <w:rsid w:val="00EA1A8A"/>
    <w:rsid w:val="00EA2240"/>
    <w:rsid w:val="00EA259F"/>
    <w:rsid w:val="00EA2C46"/>
    <w:rsid w:val="00EA358F"/>
    <w:rsid w:val="00EA3D3B"/>
    <w:rsid w:val="00EA4060"/>
    <w:rsid w:val="00EA4586"/>
    <w:rsid w:val="00EA45AC"/>
    <w:rsid w:val="00EA47CA"/>
    <w:rsid w:val="00EA4854"/>
    <w:rsid w:val="00EA526D"/>
    <w:rsid w:val="00EA560A"/>
    <w:rsid w:val="00EA56A8"/>
    <w:rsid w:val="00EA5CCC"/>
    <w:rsid w:val="00EA5EE8"/>
    <w:rsid w:val="00EA6DFB"/>
    <w:rsid w:val="00EA6EE1"/>
    <w:rsid w:val="00EA7091"/>
    <w:rsid w:val="00EA7BA9"/>
    <w:rsid w:val="00EB0265"/>
    <w:rsid w:val="00EB06EC"/>
    <w:rsid w:val="00EB09AF"/>
    <w:rsid w:val="00EB0C43"/>
    <w:rsid w:val="00EB2155"/>
    <w:rsid w:val="00EB2926"/>
    <w:rsid w:val="00EB3155"/>
    <w:rsid w:val="00EB329D"/>
    <w:rsid w:val="00EB32F3"/>
    <w:rsid w:val="00EB34FA"/>
    <w:rsid w:val="00EB384D"/>
    <w:rsid w:val="00EB3AAC"/>
    <w:rsid w:val="00EB4338"/>
    <w:rsid w:val="00EB4DBD"/>
    <w:rsid w:val="00EB4E8B"/>
    <w:rsid w:val="00EB5049"/>
    <w:rsid w:val="00EB53D4"/>
    <w:rsid w:val="00EB552E"/>
    <w:rsid w:val="00EB5C7E"/>
    <w:rsid w:val="00EB5D6E"/>
    <w:rsid w:val="00EB6E66"/>
    <w:rsid w:val="00EB70CB"/>
    <w:rsid w:val="00EB7AD5"/>
    <w:rsid w:val="00EB7C36"/>
    <w:rsid w:val="00EC00A1"/>
    <w:rsid w:val="00EC0AFD"/>
    <w:rsid w:val="00EC1CBC"/>
    <w:rsid w:val="00EC2213"/>
    <w:rsid w:val="00EC2341"/>
    <w:rsid w:val="00EC2A79"/>
    <w:rsid w:val="00EC34A7"/>
    <w:rsid w:val="00EC3CCC"/>
    <w:rsid w:val="00EC49BA"/>
    <w:rsid w:val="00EC4B66"/>
    <w:rsid w:val="00EC4BEE"/>
    <w:rsid w:val="00EC51E8"/>
    <w:rsid w:val="00EC594D"/>
    <w:rsid w:val="00EC5966"/>
    <w:rsid w:val="00EC5B60"/>
    <w:rsid w:val="00EC5F73"/>
    <w:rsid w:val="00EC654C"/>
    <w:rsid w:val="00EC658F"/>
    <w:rsid w:val="00EC731B"/>
    <w:rsid w:val="00EC7797"/>
    <w:rsid w:val="00EC779F"/>
    <w:rsid w:val="00EC7B3F"/>
    <w:rsid w:val="00ED0233"/>
    <w:rsid w:val="00ED0C97"/>
    <w:rsid w:val="00ED0E02"/>
    <w:rsid w:val="00ED155D"/>
    <w:rsid w:val="00ED1718"/>
    <w:rsid w:val="00ED2563"/>
    <w:rsid w:val="00ED26FC"/>
    <w:rsid w:val="00ED27A4"/>
    <w:rsid w:val="00ED2CFA"/>
    <w:rsid w:val="00ED307B"/>
    <w:rsid w:val="00ED312B"/>
    <w:rsid w:val="00ED3219"/>
    <w:rsid w:val="00ED3257"/>
    <w:rsid w:val="00ED3370"/>
    <w:rsid w:val="00ED41E0"/>
    <w:rsid w:val="00ED41EA"/>
    <w:rsid w:val="00ED4AE3"/>
    <w:rsid w:val="00ED5094"/>
    <w:rsid w:val="00ED50A2"/>
    <w:rsid w:val="00ED546E"/>
    <w:rsid w:val="00ED5E5E"/>
    <w:rsid w:val="00ED608B"/>
    <w:rsid w:val="00ED610E"/>
    <w:rsid w:val="00ED61D4"/>
    <w:rsid w:val="00ED6AB1"/>
    <w:rsid w:val="00ED70C2"/>
    <w:rsid w:val="00ED79CE"/>
    <w:rsid w:val="00ED7B5F"/>
    <w:rsid w:val="00EE01AA"/>
    <w:rsid w:val="00EE08F6"/>
    <w:rsid w:val="00EE0AF8"/>
    <w:rsid w:val="00EE0C23"/>
    <w:rsid w:val="00EE1757"/>
    <w:rsid w:val="00EE2116"/>
    <w:rsid w:val="00EE232C"/>
    <w:rsid w:val="00EE2F5C"/>
    <w:rsid w:val="00EE32D4"/>
    <w:rsid w:val="00EE35D4"/>
    <w:rsid w:val="00EE39A3"/>
    <w:rsid w:val="00EE3EB3"/>
    <w:rsid w:val="00EE4012"/>
    <w:rsid w:val="00EE4426"/>
    <w:rsid w:val="00EE4672"/>
    <w:rsid w:val="00EE46D7"/>
    <w:rsid w:val="00EE4B23"/>
    <w:rsid w:val="00EE5041"/>
    <w:rsid w:val="00EE5775"/>
    <w:rsid w:val="00EE732F"/>
    <w:rsid w:val="00EF0731"/>
    <w:rsid w:val="00EF0CE6"/>
    <w:rsid w:val="00EF0E86"/>
    <w:rsid w:val="00EF11FF"/>
    <w:rsid w:val="00EF1525"/>
    <w:rsid w:val="00EF1BCD"/>
    <w:rsid w:val="00EF1CE9"/>
    <w:rsid w:val="00EF2182"/>
    <w:rsid w:val="00EF2FF6"/>
    <w:rsid w:val="00EF3676"/>
    <w:rsid w:val="00EF52ED"/>
    <w:rsid w:val="00EF5B06"/>
    <w:rsid w:val="00EF5CE3"/>
    <w:rsid w:val="00EF616E"/>
    <w:rsid w:val="00EF6758"/>
    <w:rsid w:val="00EF6952"/>
    <w:rsid w:val="00EF69DD"/>
    <w:rsid w:val="00EF7023"/>
    <w:rsid w:val="00EF7572"/>
    <w:rsid w:val="00F00147"/>
    <w:rsid w:val="00F00198"/>
    <w:rsid w:val="00F0019F"/>
    <w:rsid w:val="00F0035E"/>
    <w:rsid w:val="00F00FBA"/>
    <w:rsid w:val="00F0182B"/>
    <w:rsid w:val="00F0192B"/>
    <w:rsid w:val="00F01B0B"/>
    <w:rsid w:val="00F02AA4"/>
    <w:rsid w:val="00F035A4"/>
    <w:rsid w:val="00F038D7"/>
    <w:rsid w:val="00F03A42"/>
    <w:rsid w:val="00F04487"/>
    <w:rsid w:val="00F04887"/>
    <w:rsid w:val="00F04B6B"/>
    <w:rsid w:val="00F04F4B"/>
    <w:rsid w:val="00F05532"/>
    <w:rsid w:val="00F06BEA"/>
    <w:rsid w:val="00F06C2D"/>
    <w:rsid w:val="00F0719E"/>
    <w:rsid w:val="00F0722C"/>
    <w:rsid w:val="00F0751E"/>
    <w:rsid w:val="00F07EFD"/>
    <w:rsid w:val="00F10883"/>
    <w:rsid w:val="00F108C6"/>
    <w:rsid w:val="00F10E84"/>
    <w:rsid w:val="00F10F7B"/>
    <w:rsid w:val="00F113CF"/>
    <w:rsid w:val="00F1183B"/>
    <w:rsid w:val="00F11845"/>
    <w:rsid w:val="00F11B39"/>
    <w:rsid w:val="00F126EB"/>
    <w:rsid w:val="00F12976"/>
    <w:rsid w:val="00F129C6"/>
    <w:rsid w:val="00F12ACB"/>
    <w:rsid w:val="00F12DAD"/>
    <w:rsid w:val="00F138C7"/>
    <w:rsid w:val="00F13B55"/>
    <w:rsid w:val="00F14B13"/>
    <w:rsid w:val="00F14C97"/>
    <w:rsid w:val="00F1525F"/>
    <w:rsid w:val="00F15824"/>
    <w:rsid w:val="00F158E9"/>
    <w:rsid w:val="00F15CFA"/>
    <w:rsid w:val="00F16856"/>
    <w:rsid w:val="00F16DB5"/>
    <w:rsid w:val="00F171C7"/>
    <w:rsid w:val="00F17242"/>
    <w:rsid w:val="00F172F9"/>
    <w:rsid w:val="00F173B6"/>
    <w:rsid w:val="00F1757E"/>
    <w:rsid w:val="00F17B3A"/>
    <w:rsid w:val="00F20C7A"/>
    <w:rsid w:val="00F20D4A"/>
    <w:rsid w:val="00F20EDC"/>
    <w:rsid w:val="00F20F18"/>
    <w:rsid w:val="00F21119"/>
    <w:rsid w:val="00F2121F"/>
    <w:rsid w:val="00F21948"/>
    <w:rsid w:val="00F22455"/>
    <w:rsid w:val="00F22703"/>
    <w:rsid w:val="00F22FAF"/>
    <w:rsid w:val="00F23B47"/>
    <w:rsid w:val="00F23F8F"/>
    <w:rsid w:val="00F24283"/>
    <w:rsid w:val="00F24461"/>
    <w:rsid w:val="00F24921"/>
    <w:rsid w:val="00F24B81"/>
    <w:rsid w:val="00F2589F"/>
    <w:rsid w:val="00F261AE"/>
    <w:rsid w:val="00F26231"/>
    <w:rsid w:val="00F26656"/>
    <w:rsid w:val="00F26B32"/>
    <w:rsid w:val="00F26B81"/>
    <w:rsid w:val="00F27A11"/>
    <w:rsid w:val="00F27B6B"/>
    <w:rsid w:val="00F30382"/>
    <w:rsid w:val="00F3093E"/>
    <w:rsid w:val="00F30A4B"/>
    <w:rsid w:val="00F30E3B"/>
    <w:rsid w:val="00F31660"/>
    <w:rsid w:val="00F31FDC"/>
    <w:rsid w:val="00F32698"/>
    <w:rsid w:val="00F326EE"/>
    <w:rsid w:val="00F3292B"/>
    <w:rsid w:val="00F32B37"/>
    <w:rsid w:val="00F32C10"/>
    <w:rsid w:val="00F32E47"/>
    <w:rsid w:val="00F3304D"/>
    <w:rsid w:val="00F333D8"/>
    <w:rsid w:val="00F337BE"/>
    <w:rsid w:val="00F33A9E"/>
    <w:rsid w:val="00F33C43"/>
    <w:rsid w:val="00F34422"/>
    <w:rsid w:val="00F34CFF"/>
    <w:rsid w:val="00F359F6"/>
    <w:rsid w:val="00F361F7"/>
    <w:rsid w:val="00F36AE0"/>
    <w:rsid w:val="00F36B95"/>
    <w:rsid w:val="00F36D33"/>
    <w:rsid w:val="00F36EFA"/>
    <w:rsid w:val="00F3701F"/>
    <w:rsid w:val="00F37422"/>
    <w:rsid w:val="00F37447"/>
    <w:rsid w:val="00F3780E"/>
    <w:rsid w:val="00F37EDE"/>
    <w:rsid w:val="00F37F85"/>
    <w:rsid w:val="00F4039D"/>
    <w:rsid w:val="00F403D5"/>
    <w:rsid w:val="00F40451"/>
    <w:rsid w:val="00F408A8"/>
    <w:rsid w:val="00F40E28"/>
    <w:rsid w:val="00F40FAD"/>
    <w:rsid w:val="00F41987"/>
    <w:rsid w:val="00F41BE5"/>
    <w:rsid w:val="00F42109"/>
    <w:rsid w:val="00F42B70"/>
    <w:rsid w:val="00F43135"/>
    <w:rsid w:val="00F43A94"/>
    <w:rsid w:val="00F43BD8"/>
    <w:rsid w:val="00F43E52"/>
    <w:rsid w:val="00F45303"/>
    <w:rsid w:val="00F456BA"/>
    <w:rsid w:val="00F45D5E"/>
    <w:rsid w:val="00F462B0"/>
    <w:rsid w:val="00F46341"/>
    <w:rsid w:val="00F46497"/>
    <w:rsid w:val="00F46A39"/>
    <w:rsid w:val="00F46A78"/>
    <w:rsid w:val="00F46C61"/>
    <w:rsid w:val="00F46F41"/>
    <w:rsid w:val="00F475C3"/>
    <w:rsid w:val="00F47FDC"/>
    <w:rsid w:val="00F503B2"/>
    <w:rsid w:val="00F504FD"/>
    <w:rsid w:val="00F50B38"/>
    <w:rsid w:val="00F50C54"/>
    <w:rsid w:val="00F50FED"/>
    <w:rsid w:val="00F51348"/>
    <w:rsid w:val="00F51475"/>
    <w:rsid w:val="00F51511"/>
    <w:rsid w:val="00F52101"/>
    <w:rsid w:val="00F5221B"/>
    <w:rsid w:val="00F52579"/>
    <w:rsid w:val="00F52B07"/>
    <w:rsid w:val="00F52C54"/>
    <w:rsid w:val="00F535D6"/>
    <w:rsid w:val="00F5367D"/>
    <w:rsid w:val="00F53FAA"/>
    <w:rsid w:val="00F540CB"/>
    <w:rsid w:val="00F543A5"/>
    <w:rsid w:val="00F544CC"/>
    <w:rsid w:val="00F545D2"/>
    <w:rsid w:val="00F54C72"/>
    <w:rsid w:val="00F5589A"/>
    <w:rsid w:val="00F55ACF"/>
    <w:rsid w:val="00F56139"/>
    <w:rsid w:val="00F567D5"/>
    <w:rsid w:val="00F568C9"/>
    <w:rsid w:val="00F56DB2"/>
    <w:rsid w:val="00F56FFA"/>
    <w:rsid w:val="00F57398"/>
    <w:rsid w:val="00F57C62"/>
    <w:rsid w:val="00F602C7"/>
    <w:rsid w:val="00F60ABA"/>
    <w:rsid w:val="00F6138E"/>
    <w:rsid w:val="00F616E6"/>
    <w:rsid w:val="00F61E34"/>
    <w:rsid w:val="00F62007"/>
    <w:rsid w:val="00F62040"/>
    <w:rsid w:val="00F621AA"/>
    <w:rsid w:val="00F622C5"/>
    <w:rsid w:val="00F62758"/>
    <w:rsid w:val="00F62844"/>
    <w:rsid w:val="00F62B72"/>
    <w:rsid w:val="00F62F93"/>
    <w:rsid w:val="00F63007"/>
    <w:rsid w:val="00F63D72"/>
    <w:rsid w:val="00F63F7A"/>
    <w:rsid w:val="00F64464"/>
    <w:rsid w:val="00F64688"/>
    <w:rsid w:val="00F64AD4"/>
    <w:rsid w:val="00F64B39"/>
    <w:rsid w:val="00F64CCC"/>
    <w:rsid w:val="00F65153"/>
    <w:rsid w:val="00F65979"/>
    <w:rsid w:val="00F65E08"/>
    <w:rsid w:val="00F65FCC"/>
    <w:rsid w:val="00F6631F"/>
    <w:rsid w:val="00F6686D"/>
    <w:rsid w:val="00F66B04"/>
    <w:rsid w:val="00F66C06"/>
    <w:rsid w:val="00F66D68"/>
    <w:rsid w:val="00F670B7"/>
    <w:rsid w:val="00F67500"/>
    <w:rsid w:val="00F67AB4"/>
    <w:rsid w:val="00F67C8D"/>
    <w:rsid w:val="00F67E41"/>
    <w:rsid w:val="00F67E8B"/>
    <w:rsid w:val="00F704DE"/>
    <w:rsid w:val="00F708C9"/>
    <w:rsid w:val="00F7094E"/>
    <w:rsid w:val="00F70971"/>
    <w:rsid w:val="00F70B6C"/>
    <w:rsid w:val="00F712AB"/>
    <w:rsid w:val="00F7165E"/>
    <w:rsid w:val="00F718A1"/>
    <w:rsid w:val="00F718DD"/>
    <w:rsid w:val="00F71B0B"/>
    <w:rsid w:val="00F721F8"/>
    <w:rsid w:val="00F72839"/>
    <w:rsid w:val="00F72BFA"/>
    <w:rsid w:val="00F72C82"/>
    <w:rsid w:val="00F72D1F"/>
    <w:rsid w:val="00F72D93"/>
    <w:rsid w:val="00F73B83"/>
    <w:rsid w:val="00F73E92"/>
    <w:rsid w:val="00F73F0F"/>
    <w:rsid w:val="00F7437E"/>
    <w:rsid w:val="00F74EFF"/>
    <w:rsid w:val="00F75D16"/>
    <w:rsid w:val="00F77194"/>
    <w:rsid w:val="00F77255"/>
    <w:rsid w:val="00F77557"/>
    <w:rsid w:val="00F80998"/>
    <w:rsid w:val="00F80BF9"/>
    <w:rsid w:val="00F80E57"/>
    <w:rsid w:val="00F81393"/>
    <w:rsid w:val="00F813F1"/>
    <w:rsid w:val="00F817E9"/>
    <w:rsid w:val="00F81AE2"/>
    <w:rsid w:val="00F81E77"/>
    <w:rsid w:val="00F827FD"/>
    <w:rsid w:val="00F8292D"/>
    <w:rsid w:val="00F82BA8"/>
    <w:rsid w:val="00F82BF6"/>
    <w:rsid w:val="00F83242"/>
    <w:rsid w:val="00F83268"/>
    <w:rsid w:val="00F83423"/>
    <w:rsid w:val="00F83485"/>
    <w:rsid w:val="00F84C5A"/>
    <w:rsid w:val="00F84D9F"/>
    <w:rsid w:val="00F84DB4"/>
    <w:rsid w:val="00F8565D"/>
    <w:rsid w:val="00F85FE6"/>
    <w:rsid w:val="00F860B9"/>
    <w:rsid w:val="00F86145"/>
    <w:rsid w:val="00F86826"/>
    <w:rsid w:val="00F87EEA"/>
    <w:rsid w:val="00F906E9"/>
    <w:rsid w:val="00F9103F"/>
    <w:rsid w:val="00F91723"/>
    <w:rsid w:val="00F91855"/>
    <w:rsid w:val="00F91A8C"/>
    <w:rsid w:val="00F9262B"/>
    <w:rsid w:val="00F92BDE"/>
    <w:rsid w:val="00F92D13"/>
    <w:rsid w:val="00F92D2D"/>
    <w:rsid w:val="00F93085"/>
    <w:rsid w:val="00F936CC"/>
    <w:rsid w:val="00F93D53"/>
    <w:rsid w:val="00F93E29"/>
    <w:rsid w:val="00F9415F"/>
    <w:rsid w:val="00F9465F"/>
    <w:rsid w:val="00F948AF"/>
    <w:rsid w:val="00F94AE8"/>
    <w:rsid w:val="00F95BEE"/>
    <w:rsid w:val="00F960A5"/>
    <w:rsid w:val="00F96788"/>
    <w:rsid w:val="00F96801"/>
    <w:rsid w:val="00F968AD"/>
    <w:rsid w:val="00F96AE5"/>
    <w:rsid w:val="00F97473"/>
    <w:rsid w:val="00F97BF8"/>
    <w:rsid w:val="00FA002D"/>
    <w:rsid w:val="00FA038D"/>
    <w:rsid w:val="00FA0CB4"/>
    <w:rsid w:val="00FA0CF0"/>
    <w:rsid w:val="00FA11F5"/>
    <w:rsid w:val="00FA1A65"/>
    <w:rsid w:val="00FA1D09"/>
    <w:rsid w:val="00FA20A0"/>
    <w:rsid w:val="00FA2647"/>
    <w:rsid w:val="00FA286D"/>
    <w:rsid w:val="00FA29A7"/>
    <w:rsid w:val="00FA2FED"/>
    <w:rsid w:val="00FA36F4"/>
    <w:rsid w:val="00FA3856"/>
    <w:rsid w:val="00FA3D17"/>
    <w:rsid w:val="00FA3F2D"/>
    <w:rsid w:val="00FA415E"/>
    <w:rsid w:val="00FA4297"/>
    <w:rsid w:val="00FA4431"/>
    <w:rsid w:val="00FA4500"/>
    <w:rsid w:val="00FA49D2"/>
    <w:rsid w:val="00FA51AD"/>
    <w:rsid w:val="00FA5205"/>
    <w:rsid w:val="00FA5884"/>
    <w:rsid w:val="00FA5E63"/>
    <w:rsid w:val="00FA616B"/>
    <w:rsid w:val="00FA74A5"/>
    <w:rsid w:val="00FA778F"/>
    <w:rsid w:val="00FB0034"/>
    <w:rsid w:val="00FB049C"/>
    <w:rsid w:val="00FB0707"/>
    <w:rsid w:val="00FB0837"/>
    <w:rsid w:val="00FB0B5B"/>
    <w:rsid w:val="00FB0BEF"/>
    <w:rsid w:val="00FB136D"/>
    <w:rsid w:val="00FB16FA"/>
    <w:rsid w:val="00FB17A4"/>
    <w:rsid w:val="00FB1BD1"/>
    <w:rsid w:val="00FB205C"/>
    <w:rsid w:val="00FB2643"/>
    <w:rsid w:val="00FB27F2"/>
    <w:rsid w:val="00FB2D17"/>
    <w:rsid w:val="00FB339C"/>
    <w:rsid w:val="00FB3843"/>
    <w:rsid w:val="00FB3FBF"/>
    <w:rsid w:val="00FB3FEA"/>
    <w:rsid w:val="00FB4421"/>
    <w:rsid w:val="00FB46FE"/>
    <w:rsid w:val="00FB4B23"/>
    <w:rsid w:val="00FB53B5"/>
    <w:rsid w:val="00FB54B0"/>
    <w:rsid w:val="00FB5F89"/>
    <w:rsid w:val="00FB60FF"/>
    <w:rsid w:val="00FB6B9A"/>
    <w:rsid w:val="00FB6D94"/>
    <w:rsid w:val="00FB6F32"/>
    <w:rsid w:val="00FC0077"/>
    <w:rsid w:val="00FC0592"/>
    <w:rsid w:val="00FC116A"/>
    <w:rsid w:val="00FC171A"/>
    <w:rsid w:val="00FC1B89"/>
    <w:rsid w:val="00FC1D7D"/>
    <w:rsid w:val="00FC1FA2"/>
    <w:rsid w:val="00FC1FE7"/>
    <w:rsid w:val="00FC2069"/>
    <w:rsid w:val="00FC2589"/>
    <w:rsid w:val="00FC3168"/>
    <w:rsid w:val="00FC366D"/>
    <w:rsid w:val="00FC4102"/>
    <w:rsid w:val="00FC4C84"/>
    <w:rsid w:val="00FC5002"/>
    <w:rsid w:val="00FC5609"/>
    <w:rsid w:val="00FC5FEB"/>
    <w:rsid w:val="00FC620C"/>
    <w:rsid w:val="00FC6EE2"/>
    <w:rsid w:val="00FC7329"/>
    <w:rsid w:val="00FD0549"/>
    <w:rsid w:val="00FD0A34"/>
    <w:rsid w:val="00FD135C"/>
    <w:rsid w:val="00FD1892"/>
    <w:rsid w:val="00FD1E5A"/>
    <w:rsid w:val="00FD1E8B"/>
    <w:rsid w:val="00FD1F8C"/>
    <w:rsid w:val="00FD20CF"/>
    <w:rsid w:val="00FD2F4F"/>
    <w:rsid w:val="00FD31D8"/>
    <w:rsid w:val="00FD3662"/>
    <w:rsid w:val="00FD45A9"/>
    <w:rsid w:val="00FD4853"/>
    <w:rsid w:val="00FD51A8"/>
    <w:rsid w:val="00FD55FB"/>
    <w:rsid w:val="00FD5882"/>
    <w:rsid w:val="00FD5BEA"/>
    <w:rsid w:val="00FD5EEA"/>
    <w:rsid w:val="00FD5F2C"/>
    <w:rsid w:val="00FD71C4"/>
    <w:rsid w:val="00FD72D5"/>
    <w:rsid w:val="00FD738B"/>
    <w:rsid w:val="00FD7A3A"/>
    <w:rsid w:val="00FD7C04"/>
    <w:rsid w:val="00FD7DC9"/>
    <w:rsid w:val="00FE0515"/>
    <w:rsid w:val="00FE087C"/>
    <w:rsid w:val="00FE09CA"/>
    <w:rsid w:val="00FE0B1D"/>
    <w:rsid w:val="00FE0C3F"/>
    <w:rsid w:val="00FE106D"/>
    <w:rsid w:val="00FE120C"/>
    <w:rsid w:val="00FE1E23"/>
    <w:rsid w:val="00FE2056"/>
    <w:rsid w:val="00FE229F"/>
    <w:rsid w:val="00FE2440"/>
    <w:rsid w:val="00FE2465"/>
    <w:rsid w:val="00FE2F34"/>
    <w:rsid w:val="00FE3EE6"/>
    <w:rsid w:val="00FE4094"/>
    <w:rsid w:val="00FE47A2"/>
    <w:rsid w:val="00FE4E17"/>
    <w:rsid w:val="00FE54A7"/>
    <w:rsid w:val="00FE593B"/>
    <w:rsid w:val="00FE5F81"/>
    <w:rsid w:val="00FE64BD"/>
    <w:rsid w:val="00FE6719"/>
    <w:rsid w:val="00FE6C03"/>
    <w:rsid w:val="00FE6C47"/>
    <w:rsid w:val="00FE6D05"/>
    <w:rsid w:val="00FE7275"/>
    <w:rsid w:val="00FE79F3"/>
    <w:rsid w:val="00FE7E9A"/>
    <w:rsid w:val="00FE7FBD"/>
    <w:rsid w:val="00FF0924"/>
    <w:rsid w:val="00FF171E"/>
    <w:rsid w:val="00FF1BC3"/>
    <w:rsid w:val="00FF23C2"/>
    <w:rsid w:val="00FF2A22"/>
    <w:rsid w:val="00FF2C4A"/>
    <w:rsid w:val="00FF2FBC"/>
    <w:rsid w:val="00FF3B70"/>
    <w:rsid w:val="00FF3CA2"/>
    <w:rsid w:val="00FF412D"/>
    <w:rsid w:val="00FF440D"/>
    <w:rsid w:val="00FF44D9"/>
    <w:rsid w:val="00FF45C7"/>
    <w:rsid w:val="00FF47B6"/>
    <w:rsid w:val="00FF4D1D"/>
    <w:rsid w:val="00FF4DDB"/>
    <w:rsid w:val="00FF5C5B"/>
    <w:rsid w:val="00FF603C"/>
    <w:rsid w:val="00FF6303"/>
    <w:rsid w:val="00FF65EF"/>
    <w:rsid w:val="00FF6A40"/>
    <w:rsid w:val="00FF728C"/>
    <w:rsid w:val="00FF72A4"/>
    <w:rsid w:val="0102963B"/>
    <w:rsid w:val="0110539C"/>
    <w:rsid w:val="012A6C64"/>
    <w:rsid w:val="014785CC"/>
    <w:rsid w:val="0154B08A"/>
    <w:rsid w:val="01851B9A"/>
    <w:rsid w:val="01C9411A"/>
    <w:rsid w:val="01E94669"/>
    <w:rsid w:val="0207546C"/>
    <w:rsid w:val="021EE729"/>
    <w:rsid w:val="02255C47"/>
    <w:rsid w:val="02407AF6"/>
    <w:rsid w:val="02415987"/>
    <w:rsid w:val="0245E4F7"/>
    <w:rsid w:val="0263CFE0"/>
    <w:rsid w:val="028F1D72"/>
    <w:rsid w:val="029235D3"/>
    <w:rsid w:val="02A03898"/>
    <w:rsid w:val="02C72C13"/>
    <w:rsid w:val="031194EC"/>
    <w:rsid w:val="03122174"/>
    <w:rsid w:val="0342F471"/>
    <w:rsid w:val="034E355E"/>
    <w:rsid w:val="036B5F98"/>
    <w:rsid w:val="036CCCBB"/>
    <w:rsid w:val="037B4313"/>
    <w:rsid w:val="0380446E"/>
    <w:rsid w:val="039191D5"/>
    <w:rsid w:val="03927298"/>
    <w:rsid w:val="03A28F71"/>
    <w:rsid w:val="03AD5897"/>
    <w:rsid w:val="03BDE126"/>
    <w:rsid w:val="03D6C8F8"/>
    <w:rsid w:val="03DCF936"/>
    <w:rsid w:val="03E553F8"/>
    <w:rsid w:val="03ED3091"/>
    <w:rsid w:val="03EF59DF"/>
    <w:rsid w:val="040D805C"/>
    <w:rsid w:val="042F6897"/>
    <w:rsid w:val="0461D10A"/>
    <w:rsid w:val="046421BF"/>
    <w:rsid w:val="046549E2"/>
    <w:rsid w:val="046F0950"/>
    <w:rsid w:val="047E4F5A"/>
    <w:rsid w:val="04A3CEAA"/>
    <w:rsid w:val="04A78368"/>
    <w:rsid w:val="04A78E88"/>
    <w:rsid w:val="04A87A83"/>
    <w:rsid w:val="04BE2404"/>
    <w:rsid w:val="04C19BE1"/>
    <w:rsid w:val="04C942A2"/>
    <w:rsid w:val="04E4DFA6"/>
    <w:rsid w:val="04E6FC11"/>
    <w:rsid w:val="04EDC8E4"/>
    <w:rsid w:val="04FAA390"/>
    <w:rsid w:val="051D74BC"/>
    <w:rsid w:val="0550DA8C"/>
    <w:rsid w:val="0551BF2A"/>
    <w:rsid w:val="055A5BDB"/>
    <w:rsid w:val="0576EBDB"/>
    <w:rsid w:val="057E42F9"/>
    <w:rsid w:val="05828DDB"/>
    <w:rsid w:val="05847985"/>
    <w:rsid w:val="05A5BF34"/>
    <w:rsid w:val="05A8E8EA"/>
    <w:rsid w:val="05BE5B43"/>
    <w:rsid w:val="05D0E7C8"/>
    <w:rsid w:val="05D317FB"/>
    <w:rsid w:val="05F6C422"/>
    <w:rsid w:val="05FCEAAD"/>
    <w:rsid w:val="061623F6"/>
    <w:rsid w:val="0649D868"/>
    <w:rsid w:val="064ABC5B"/>
    <w:rsid w:val="065C2E35"/>
    <w:rsid w:val="065E8E9D"/>
    <w:rsid w:val="068DD5A6"/>
    <w:rsid w:val="0697E901"/>
    <w:rsid w:val="0698DE1D"/>
    <w:rsid w:val="069E81E4"/>
    <w:rsid w:val="06C5BC6F"/>
    <w:rsid w:val="06DEEC9F"/>
    <w:rsid w:val="0731E2AF"/>
    <w:rsid w:val="0732A554"/>
    <w:rsid w:val="073EC803"/>
    <w:rsid w:val="074593BF"/>
    <w:rsid w:val="074A00C7"/>
    <w:rsid w:val="075C054C"/>
    <w:rsid w:val="07729563"/>
    <w:rsid w:val="07A86F8F"/>
    <w:rsid w:val="07A9B970"/>
    <w:rsid w:val="07B2FE66"/>
    <w:rsid w:val="07B81D1D"/>
    <w:rsid w:val="0829D007"/>
    <w:rsid w:val="0831DAE3"/>
    <w:rsid w:val="083574A7"/>
    <w:rsid w:val="08378D06"/>
    <w:rsid w:val="084D6DC8"/>
    <w:rsid w:val="08514D49"/>
    <w:rsid w:val="085800FE"/>
    <w:rsid w:val="085B059B"/>
    <w:rsid w:val="087505EB"/>
    <w:rsid w:val="0884CA76"/>
    <w:rsid w:val="0892EAEA"/>
    <w:rsid w:val="08DC7F59"/>
    <w:rsid w:val="08ECD66B"/>
    <w:rsid w:val="08FCC3DB"/>
    <w:rsid w:val="090F78C6"/>
    <w:rsid w:val="091E2CA6"/>
    <w:rsid w:val="091ECD43"/>
    <w:rsid w:val="09331D72"/>
    <w:rsid w:val="093383BE"/>
    <w:rsid w:val="0966584B"/>
    <w:rsid w:val="09854171"/>
    <w:rsid w:val="098C066E"/>
    <w:rsid w:val="098D9214"/>
    <w:rsid w:val="098E6A5E"/>
    <w:rsid w:val="09BDBC2A"/>
    <w:rsid w:val="09D97A92"/>
    <w:rsid w:val="0A1681EC"/>
    <w:rsid w:val="0A1744E3"/>
    <w:rsid w:val="0A1FC87F"/>
    <w:rsid w:val="0A27C7FA"/>
    <w:rsid w:val="0A332D71"/>
    <w:rsid w:val="0A3FEAD0"/>
    <w:rsid w:val="0A55B1FE"/>
    <w:rsid w:val="0A62EB0A"/>
    <w:rsid w:val="0A8164F6"/>
    <w:rsid w:val="0AB4C614"/>
    <w:rsid w:val="0AC7E423"/>
    <w:rsid w:val="0AC944BF"/>
    <w:rsid w:val="0B0EB3C2"/>
    <w:rsid w:val="0B2797AF"/>
    <w:rsid w:val="0B3CC769"/>
    <w:rsid w:val="0B470BB6"/>
    <w:rsid w:val="0B4CE21F"/>
    <w:rsid w:val="0B5BFD3A"/>
    <w:rsid w:val="0B602B2D"/>
    <w:rsid w:val="0B76722D"/>
    <w:rsid w:val="0B812AC2"/>
    <w:rsid w:val="0B88A8CB"/>
    <w:rsid w:val="0B9B8ECB"/>
    <w:rsid w:val="0BB2DCD5"/>
    <w:rsid w:val="0BB45ED4"/>
    <w:rsid w:val="0BB568F8"/>
    <w:rsid w:val="0BE5038D"/>
    <w:rsid w:val="0BF27198"/>
    <w:rsid w:val="0C026C93"/>
    <w:rsid w:val="0C26F4F1"/>
    <w:rsid w:val="0C478AE4"/>
    <w:rsid w:val="0C80A8A0"/>
    <w:rsid w:val="0CA54D70"/>
    <w:rsid w:val="0CB32BE2"/>
    <w:rsid w:val="0CBA6BDC"/>
    <w:rsid w:val="0D08DA4A"/>
    <w:rsid w:val="0D15BB6E"/>
    <w:rsid w:val="0D1795AF"/>
    <w:rsid w:val="0D5709AF"/>
    <w:rsid w:val="0D575F55"/>
    <w:rsid w:val="0D716CB1"/>
    <w:rsid w:val="0D9A69BF"/>
    <w:rsid w:val="0DB800ED"/>
    <w:rsid w:val="0DB8AC50"/>
    <w:rsid w:val="0DC164CC"/>
    <w:rsid w:val="0DDDAD5A"/>
    <w:rsid w:val="0DF5DF4F"/>
    <w:rsid w:val="0E0A6736"/>
    <w:rsid w:val="0E19FD93"/>
    <w:rsid w:val="0E1F33AF"/>
    <w:rsid w:val="0E687CB0"/>
    <w:rsid w:val="0E6CE60B"/>
    <w:rsid w:val="0E6DB2EF"/>
    <w:rsid w:val="0E916554"/>
    <w:rsid w:val="0E95352B"/>
    <w:rsid w:val="0EA2C6B4"/>
    <w:rsid w:val="0EA865B6"/>
    <w:rsid w:val="0EA97E74"/>
    <w:rsid w:val="0EC89CED"/>
    <w:rsid w:val="0EE33353"/>
    <w:rsid w:val="0F2AD94D"/>
    <w:rsid w:val="0F34D1B1"/>
    <w:rsid w:val="0F3CD95B"/>
    <w:rsid w:val="0F96F722"/>
    <w:rsid w:val="0FBCD629"/>
    <w:rsid w:val="0FE536F6"/>
    <w:rsid w:val="0FE79E64"/>
    <w:rsid w:val="1007C224"/>
    <w:rsid w:val="1020A230"/>
    <w:rsid w:val="104D8515"/>
    <w:rsid w:val="106E6939"/>
    <w:rsid w:val="10737B5B"/>
    <w:rsid w:val="107FD7FD"/>
    <w:rsid w:val="108B6459"/>
    <w:rsid w:val="109219C6"/>
    <w:rsid w:val="10A7ADE9"/>
    <w:rsid w:val="10CEC9D9"/>
    <w:rsid w:val="10D2F0B7"/>
    <w:rsid w:val="10DE3A13"/>
    <w:rsid w:val="10E0DE21"/>
    <w:rsid w:val="10F168D0"/>
    <w:rsid w:val="111EA0C6"/>
    <w:rsid w:val="112F24AA"/>
    <w:rsid w:val="112FB0BE"/>
    <w:rsid w:val="11305AB1"/>
    <w:rsid w:val="11402C4D"/>
    <w:rsid w:val="11531E3C"/>
    <w:rsid w:val="11B7F739"/>
    <w:rsid w:val="11D059E0"/>
    <w:rsid w:val="11D6C4F6"/>
    <w:rsid w:val="11F061AA"/>
    <w:rsid w:val="1213B25D"/>
    <w:rsid w:val="123EDE21"/>
    <w:rsid w:val="127E5AE4"/>
    <w:rsid w:val="1282DF38"/>
    <w:rsid w:val="12A36F85"/>
    <w:rsid w:val="12AC4723"/>
    <w:rsid w:val="12C8E3FC"/>
    <w:rsid w:val="12F7ECA3"/>
    <w:rsid w:val="130A51E3"/>
    <w:rsid w:val="131095B5"/>
    <w:rsid w:val="1343333E"/>
    <w:rsid w:val="135E915A"/>
    <w:rsid w:val="1368966A"/>
    <w:rsid w:val="13966AEE"/>
    <w:rsid w:val="13982DF3"/>
    <w:rsid w:val="139AD6EF"/>
    <w:rsid w:val="139B738A"/>
    <w:rsid w:val="139CA818"/>
    <w:rsid w:val="13A8CC03"/>
    <w:rsid w:val="13AC39F2"/>
    <w:rsid w:val="13B948CB"/>
    <w:rsid w:val="13BA434E"/>
    <w:rsid w:val="13D48488"/>
    <w:rsid w:val="13EBB62B"/>
    <w:rsid w:val="1401ED10"/>
    <w:rsid w:val="14116D89"/>
    <w:rsid w:val="1412555D"/>
    <w:rsid w:val="14191CDB"/>
    <w:rsid w:val="14296A8A"/>
    <w:rsid w:val="14489D7C"/>
    <w:rsid w:val="145954B0"/>
    <w:rsid w:val="14595D9E"/>
    <w:rsid w:val="145CE8BE"/>
    <w:rsid w:val="145EC9A2"/>
    <w:rsid w:val="14819BA6"/>
    <w:rsid w:val="148FC23F"/>
    <w:rsid w:val="149058AF"/>
    <w:rsid w:val="1493020D"/>
    <w:rsid w:val="1496270A"/>
    <w:rsid w:val="149B1884"/>
    <w:rsid w:val="14C6F027"/>
    <w:rsid w:val="14E0ECBC"/>
    <w:rsid w:val="14E181E0"/>
    <w:rsid w:val="14E40159"/>
    <w:rsid w:val="15013C83"/>
    <w:rsid w:val="1503529B"/>
    <w:rsid w:val="15135780"/>
    <w:rsid w:val="151DE753"/>
    <w:rsid w:val="15316FB5"/>
    <w:rsid w:val="15400947"/>
    <w:rsid w:val="154214A8"/>
    <w:rsid w:val="155316A6"/>
    <w:rsid w:val="1586ADCE"/>
    <w:rsid w:val="158A91A8"/>
    <w:rsid w:val="15A39D20"/>
    <w:rsid w:val="15A707FD"/>
    <w:rsid w:val="15DFFE2E"/>
    <w:rsid w:val="15F033E7"/>
    <w:rsid w:val="15F7B2B1"/>
    <w:rsid w:val="1603836C"/>
    <w:rsid w:val="1608BA9C"/>
    <w:rsid w:val="16093B3F"/>
    <w:rsid w:val="16224C55"/>
    <w:rsid w:val="1629F420"/>
    <w:rsid w:val="1630D422"/>
    <w:rsid w:val="164E5B4E"/>
    <w:rsid w:val="1668B633"/>
    <w:rsid w:val="16764069"/>
    <w:rsid w:val="16786E98"/>
    <w:rsid w:val="167E9BB5"/>
    <w:rsid w:val="1685835E"/>
    <w:rsid w:val="1685BF26"/>
    <w:rsid w:val="168A98B4"/>
    <w:rsid w:val="168D7154"/>
    <w:rsid w:val="168E7A90"/>
    <w:rsid w:val="1692F7CB"/>
    <w:rsid w:val="16C866E5"/>
    <w:rsid w:val="16C90E49"/>
    <w:rsid w:val="16CDDB3B"/>
    <w:rsid w:val="16CDDE9C"/>
    <w:rsid w:val="16CF6066"/>
    <w:rsid w:val="16D60B18"/>
    <w:rsid w:val="16E19B70"/>
    <w:rsid w:val="16E47EA0"/>
    <w:rsid w:val="17107349"/>
    <w:rsid w:val="171B1A1A"/>
    <w:rsid w:val="171BE0C2"/>
    <w:rsid w:val="17399E98"/>
    <w:rsid w:val="174A6D92"/>
    <w:rsid w:val="175E8EA8"/>
    <w:rsid w:val="177738A8"/>
    <w:rsid w:val="17C36E50"/>
    <w:rsid w:val="17DFD28F"/>
    <w:rsid w:val="17E3636A"/>
    <w:rsid w:val="1815DD2A"/>
    <w:rsid w:val="182852EC"/>
    <w:rsid w:val="18461A3E"/>
    <w:rsid w:val="18AA0D5E"/>
    <w:rsid w:val="18E6D9C3"/>
    <w:rsid w:val="190E615E"/>
    <w:rsid w:val="19195DB0"/>
    <w:rsid w:val="192D4B55"/>
    <w:rsid w:val="192EC5AD"/>
    <w:rsid w:val="1939E74D"/>
    <w:rsid w:val="19483F57"/>
    <w:rsid w:val="194C9DA9"/>
    <w:rsid w:val="195B8285"/>
    <w:rsid w:val="198BD5D1"/>
    <w:rsid w:val="199C5B09"/>
    <w:rsid w:val="19DB5B37"/>
    <w:rsid w:val="19FB5128"/>
    <w:rsid w:val="1A06D1C6"/>
    <w:rsid w:val="1A096FDA"/>
    <w:rsid w:val="1A0F7EAF"/>
    <w:rsid w:val="1A1CCD61"/>
    <w:rsid w:val="1A1D5924"/>
    <w:rsid w:val="1A2618F7"/>
    <w:rsid w:val="1A2C83BB"/>
    <w:rsid w:val="1A70F7EE"/>
    <w:rsid w:val="1A725E03"/>
    <w:rsid w:val="1AB12E41"/>
    <w:rsid w:val="1AB88996"/>
    <w:rsid w:val="1AC77704"/>
    <w:rsid w:val="1ACC1562"/>
    <w:rsid w:val="1AFB01DB"/>
    <w:rsid w:val="1B09D222"/>
    <w:rsid w:val="1B206E7B"/>
    <w:rsid w:val="1B3BCAE9"/>
    <w:rsid w:val="1B62040D"/>
    <w:rsid w:val="1B645408"/>
    <w:rsid w:val="1B66DFA5"/>
    <w:rsid w:val="1B70AE0F"/>
    <w:rsid w:val="1BC1A7AE"/>
    <w:rsid w:val="1BCDF003"/>
    <w:rsid w:val="1BDC0304"/>
    <w:rsid w:val="1BF8921A"/>
    <w:rsid w:val="1BFE304E"/>
    <w:rsid w:val="1C147451"/>
    <w:rsid w:val="1C259A6A"/>
    <w:rsid w:val="1C26845C"/>
    <w:rsid w:val="1C35CC51"/>
    <w:rsid w:val="1C37F40E"/>
    <w:rsid w:val="1C671183"/>
    <w:rsid w:val="1C6FD584"/>
    <w:rsid w:val="1C88A687"/>
    <w:rsid w:val="1C8B51DC"/>
    <w:rsid w:val="1CA59F77"/>
    <w:rsid w:val="1CA9FC2A"/>
    <w:rsid w:val="1CC750FB"/>
    <w:rsid w:val="1CCED6D5"/>
    <w:rsid w:val="1D0B5296"/>
    <w:rsid w:val="1D17F6ED"/>
    <w:rsid w:val="1D1B500D"/>
    <w:rsid w:val="1D29146F"/>
    <w:rsid w:val="1D3BA617"/>
    <w:rsid w:val="1D4EDF39"/>
    <w:rsid w:val="1D74589C"/>
    <w:rsid w:val="1D7A62E9"/>
    <w:rsid w:val="1D9B3B7A"/>
    <w:rsid w:val="1DA0E628"/>
    <w:rsid w:val="1DB03FC9"/>
    <w:rsid w:val="1DC6EF47"/>
    <w:rsid w:val="1DC95BAB"/>
    <w:rsid w:val="1DCE6D06"/>
    <w:rsid w:val="1DD52136"/>
    <w:rsid w:val="1DDBFBF1"/>
    <w:rsid w:val="1E1D437D"/>
    <w:rsid w:val="1E2888C1"/>
    <w:rsid w:val="1E3826F6"/>
    <w:rsid w:val="1E5E603C"/>
    <w:rsid w:val="1E72B393"/>
    <w:rsid w:val="1EABCD45"/>
    <w:rsid w:val="1EB51AE4"/>
    <w:rsid w:val="1EDDAAFE"/>
    <w:rsid w:val="1EE58DF4"/>
    <w:rsid w:val="1EEE44CC"/>
    <w:rsid w:val="1EEF9C78"/>
    <w:rsid w:val="1EF400F3"/>
    <w:rsid w:val="1F30E97C"/>
    <w:rsid w:val="1F3153D8"/>
    <w:rsid w:val="1F34BEDF"/>
    <w:rsid w:val="1F3B4FFE"/>
    <w:rsid w:val="1F4C86BF"/>
    <w:rsid w:val="1F8F2E1E"/>
    <w:rsid w:val="1FDC820D"/>
    <w:rsid w:val="1FDDCA28"/>
    <w:rsid w:val="1FE0395A"/>
    <w:rsid w:val="1FEC5AB2"/>
    <w:rsid w:val="1FF9E8EE"/>
    <w:rsid w:val="20128632"/>
    <w:rsid w:val="201ABA2C"/>
    <w:rsid w:val="20242E5E"/>
    <w:rsid w:val="20295DF7"/>
    <w:rsid w:val="203213E5"/>
    <w:rsid w:val="203BD238"/>
    <w:rsid w:val="203CF867"/>
    <w:rsid w:val="2089C34C"/>
    <w:rsid w:val="20AB5985"/>
    <w:rsid w:val="20AB7792"/>
    <w:rsid w:val="212083EE"/>
    <w:rsid w:val="213CF4BE"/>
    <w:rsid w:val="213D66B0"/>
    <w:rsid w:val="2179CFCB"/>
    <w:rsid w:val="2188CEB1"/>
    <w:rsid w:val="218ABF49"/>
    <w:rsid w:val="21AA72DF"/>
    <w:rsid w:val="21FE1461"/>
    <w:rsid w:val="2209ACCB"/>
    <w:rsid w:val="221605FE"/>
    <w:rsid w:val="2216FFF8"/>
    <w:rsid w:val="221CE033"/>
    <w:rsid w:val="226FBB66"/>
    <w:rsid w:val="22792A5F"/>
    <w:rsid w:val="22925150"/>
    <w:rsid w:val="22B9E4E7"/>
    <w:rsid w:val="22D59763"/>
    <w:rsid w:val="22F68BA7"/>
    <w:rsid w:val="22FBB451"/>
    <w:rsid w:val="22FC4147"/>
    <w:rsid w:val="22FD381C"/>
    <w:rsid w:val="2310A2C0"/>
    <w:rsid w:val="2317FB62"/>
    <w:rsid w:val="2336F494"/>
    <w:rsid w:val="236EE1AC"/>
    <w:rsid w:val="238D8277"/>
    <w:rsid w:val="23A242CA"/>
    <w:rsid w:val="23EFBC1E"/>
    <w:rsid w:val="23F7A897"/>
    <w:rsid w:val="23F9162F"/>
    <w:rsid w:val="2403E929"/>
    <w:rsid w:val="240C738F"/>
    <w:rsid w:val="24141D90"/>
    <w:rsid w:val="243E1B5E"/>
    <w:rsid w:val="243F7349"/>
    <w:rsid w:val="2440964B"/>
    <w:rsid w:val="244D8573"/>
    <w:rsid w:val="245C176E"/>
    <w:rsid w:val="2465DC55"/>
    <w:rsid w:val="2470A587"/>
    <w:rsid w:val="24750AA4"/>
    <w:rsid w:val="24857CF7"/>
    <w:rsid w:val="249BD923"/>
    <w:rsid w:val="24A22A84"/>
    <w:rsid w:val="24B49B19"/>
    <w:rsid w:val="24BE571F"/>
    <w:rsid w:val="24C9D902"/>
    <w:rsid w:val="24D2E279"/>
    <w:rsid w:val="24D49AFF"/>
    <w:rsid w:val="24DD8108"/>
    <w:rsid w:val="2505B1C3"/>
    <w:rsid w:val="25066E11"/>
    <w:rsid w:val="2521BE84"/>
    <w:rsid w:val="2530F0D8"/>
    <w:rsid w:val="253CA047"/>
    <w:rsid w:val="2543131B"/>
    <w:rsid w:val="258AFA47"/>
    <w:rsid w:val="25BD33D2"/>
    <w:rsid w:val="25C6BFA7"/>
    <w:rsid w:val="25CE7AF7"/>
    <w:rsid w:val="25D0DC34"/>
    <w:rsid w:val="25D1BE8D"/>
    <w:rsid w:val="25D302B5"/>
    <w:rsid w:val="25D57089"/>
    <w:rsid w:val="25DE5CBB"/>
    <w:rsid w:val="25E0B3DD"/>
    <w:rsid w:val="25F5D00C"/>
    <w:rsid w:val="25FF966F"/>
    <w:rsid w:val="263E0847"/>
    <w:rsid w:val="265FC8D6"/>
    <w:rsid w:val="268A5FA0"/>
    <w:rsid w:val="269F46A8"/>
    <w:rsid w:val="26D2C005"/>
    <w:rsid w:val="27023338"/>
    <w:rsid w:val="2705C4C6"/>
    <w:rsid w:val="271D0C16"/>
    <w:rsid w:val="2738A9AF"/>
    <w:rsid w:val="273D7242"/>
    <w:rsid w:val="2741DC8D"/>
    <w:rsid w:val="27A6F0CA"/>
    <w:rsid w:val="27ACD112"/>
    <w:rsid w:val="27B6F11C"/>
    <w:rsid w:val="27BCE255"/>
    <w:rsid w:val="27D2291C"/>
    <w:rsid w:val="27D85446"/>
    <w:rsid w:val="27F388B8"/>
    <w:rsid w:val="27FF770C"/>
    <w:rsid w:val="27FFE1A4"/>
    <w:rsid w:val="2803BD9E"/>
    <w:rsid w:val="2826A826"/>
    <w:rsid w:val="2828772A"/>
    <w:rsid w:val="285A9A00"/>
    <w:rsid w:val="286BD903"/>
    <w:rsid w:val="2895209D"/>
    <w:rsid w:val="2896115F"/>
    <w:rsid w:val="289F5166"/>
    <w:rsid w:val="28B62C36"/>
    <w:rsid w:val="28C77139"/>
    <w:rsid w:val="29094DC9"/>
    <w:rsid w:val="291DE428"/>
    <w:rsid w:val="29244A2D"/>
    <w:rsid w:val="293D4C2C"/>
    <w:rsid w:val="2944CDAA"/>
    <w:rsid w:val="295229E9"/>
    <w:rsid w:val="2970C894"/>
    <w:rsid w:val="297D5747"/>
    <w:rsid w:val="29AB4B0E"/>
    <w:rsid w:val="29BB6CE1"/>
    <w:rsid w:val="29C9B7B0"/>
    <w:rsid w:val="29CAE2DF"/>
    <w:rsid w:val="29E04A38"/>
    <w:rsid w:val="29EC363D"/>
    <w:rsid w:val="29FA8864"/>
    <w:rsid w:val="29FAEF14"/>
    <w:rsid w:val="29FB65D1"/>
    <w:rsid w:val="2A085367"/>
    <w:rsid w:val="2A17B162"/>
    <w:rsid w:val="2A2BFC0F"/>
    <w:rsid w:val="2A2E53B4"/>
    <w:rsid w:val="2A31D791"/>
    <w:rsid w:val="2A5E075F"/>
    <w:rsid w:val="2A73EAAC"/>
    <w:rsid w:val="2A7CDBA6"/>
    <w:rsid w:val="2A89FF58"/>
    <w:rsid w:val="2AB4E02E"/>
    <w:rsid w:val="2AC46C44"/>
    <w:rsid w:val="2B049D29"/>
    <w:rsid w:val="2B12E725"/>
    <w:rsid w:val="2B1D2106"/>
    <w:rsid w:val="2B321CD3"/>
    <w:rsid w:val="2B4C574A"/>
    <w:rsid w:val="2B55790A"/>
    <w:rsid w:val="2B5CA669"/>
    <w:rsid w:val="2B66C808"/>
    <w:rsid w:val="2B67D87B"/>
    <w:rsid w:val="2B75CF56"/>
    <w:rsid w:val="2B7B493F"/>
    <w:rsid w:val="2BA633F4"/>
    <w:rsid w:val="2BAF16D2"/>
    <w:rsid w:val="2BB1B65E"/>
    <w:rsid w:val="2BB8AB4B"/>
    <w:rsid w:val="2BB8B9F0"/>
    <w:rsid w:val="2BE660B0"/>
    <w:rsid w:val="2C33187F"/>
    <w:rsid w:val="2C436935"/>
    <w:rsid w:val="2C4A914A"/>
    <w:rsid w:val="2C815D03"/>
    <w:rsid w:val="2C891426"/>
    <w:rsid w:val="2C8A1658"/>
    <w:rsid w:val="2C932125"/>
    <w:rsid w:val="2C9F3575"/>
    <w:rsid w:val="2CE38769"/>
    <w:rsid w:val="2CFFEB6B"/>
    <w:rsid w:val="2D2754B9"/>
    <w:rsid w:val="2D6E5D37"/>
    <w:rsid w:val="2DB8AF33"/>
    <w:rsid w:val="2E06880E"/>
    <w:rsid w:val="2E23E260"/>
    <w:rsid w:val="2E32CF07"/>
    <w:rsid w:val="2E4037E0"/>
    <w:rsid w:val="2E50EFC5"/>
    <w:rsid w:val="2E6C096C"/>
    <w:rsid w:val="2E7B74A7"/>
    <w:rsid w:val="2E877FCF"/>
    <w:rsid w:val="2E8A4F79"/>
    <w:rsid w:val="2E8B23C3"/>
    <w:rsid w:val="2E9797EA"/>
    <w:rsid w:val="2EB1E570"/>
    <w:rsid w:val="2EB2EFAF"/>
    <w:rsid w:val="2EB585ED"/>
    <w:rsid w:val="2ED232D0"/>
    <w:rsid w:val="2ED4E393"/>
    <w:rsid w:val="2ED9083C"/>
    <w:rsid w:val="2F0BADAC"/>
    <w:rsid w:val="2F28E8FD"/>
    <w:rsid w:val="2F41B1E9"/>
    <w:rsid w:val="2F52531C"/>
    <w:rsid w:val="2F560527"/>
    <w:rsid w:val="2F56E225"/>
    <w:rsid w:val="2F823DF3"/>
    <w:rsid w:val="2FB331A0"/>
    <w:rsid w:val="2FB4EA5D"/>
    <w:rsid w:val="2FCCBE89"/>
    <w:rsid w:val="2FE385BB"/>
    <w:rsid w:val="300BD6CC"/>
    <w:rsid w:val="304FC74E"/>
    <w:rsid w:val="3055E046"/>
    <w:rsid w:val="307FFC60"/>
    <w:rsid w:val="30AD2B47"/>
    <w:rsid w:val="30B027D0"/>
    <w:rsid w:val="30C3B1D2"/>
    <w:rsid w:val="30C50A23"/>
    <w:rsid w:val="30DA1F44"/>
    <w:rsid w:val="30E38E6E"/>
    <w:rsid w:val="30EF33C3"/>
    <w:rsid w:val="30FF4175"/>
    <w:rsid w:val="31154C5C"/>
    <w:rsid w:val="313C10E1"/>
    <w:rsid w:val="314B57E3"/>
    <w:rsid w:val="3170E300"/>
    <w:rsid w:val="3174B8C6"/>
    <w:rsid w:val="319C524D"/>
    <w:rsid w:val="31A62680"/>
    <w:rsid w:val="31AB5197"/>
    <w:rsid w:val="31C319B6"/>
    <w:rsid w:val="31D9A470"/>
    <w:rsid w:val="31DCF931"/>
    <w:rsid w:val="31EBCE7B"/>
    <w:rsid w:val="31F7C897"/>
    <w:rsid w:val="321BB4C5"/>
    <w:rsid w:val="32224E36"/>
    <w:rsid w:val="32234729"/>
    <w:rsid w:val="323CE2D3"/>
    <w:rsid w:val="32626EA1"/>
    <w:rsid w:val="32635467"/>
    <w:rsid w:val="327E2DA8"/>
    <w:rsid w:val="32D6DBCA"/>
    <w:rsid w:val="32DE9736"/>
    <w:rsid w:val="33122AAB"/>
    <w:rsid w:val="33183127"/>
    <w:rsid w:val="3330C343"/>
    <w:rsid w:val="3345E2BC"/>
    <w:rsid w:val="33587BF8"/>
    <w:rsid w:val="335C25E1"/>
    <w:rsid w:val="3377745D"/>
    <w:rsid w:val="337F0DAE"/>
    <w:rsid w:val="3381F09F"/>
    <w:rsid w:val="33B719FD"/>
    <w:rsid w:val="33BCAFC0"/>
    <w:rsid w:val="33F98DC2"/>
    <w:rsid w:val="3431E696"/>
    <w:rsid w:val="346C8B3E"/>
    <w:rsid w:val="34B12AA5"/>
    <w:rsid w:val="34CB386A"/>
    <w:rsid w:val="34E4EA01"/>
    <w:rsid w:val="34E4EFAC"/>
    <w:rsid w:val="34F826E7"/>
    <w:rsid w:val="351BAA98"/>
    <w:rsid w:val="3526FB77"/>
    <w:rsid w:val="3528CA2C"/>
    <w:rsid w:val="3532CD37"/>
    <w:rsid w:val="354B0862"/>
    <w:rsid w:val="35863BA0"/>
    <w:rsid w:val="35A3FDBE"/>
    <w:rsid w:val="35A57367"/>
    <w:rsid w:val="35A96CA1"/>
    <w:rsid w:val="35BF31F6"/>
    <w:rsid w:val="35C04E63"/>
    <w:rsid w:val="35CA6D14"/>
    <w:rsid w:val="35CFA94D"/>
    <w:rsid w:val="35D713D1"/>
    <w:rsid w:val="35F59F33"/>
    <w:rsid w:val="362CFDE9"/>
    <w:rsid w:val="36378D86"/>
    <w:rsid w:val="36609064"/>
    <w:rsid w:val="366231BC"/>
    <w:rsid w:val="3665B298"/>
    <w:rsid w:val="369AC061"/>
    <w:rsid w:val="369EB297"/>
    <w:rsid w:val="36B19264"/>
    <w:rsid w:val="36B1A47D"/>
    <w:rsid w:val="36D7EE12"/>
    <w:rsid w:val="371B81D5"/>
    <w:rsid w:val="3740D3F2"/>
    <w:rsid w:val="376ADA84"/>
    <w:rsid w:val="379C2565"/>
    <w:rsid w:val="37AC7125"/>
    <w:rsid w:val="37ADD742"/>
    <w:rsid w:val="37D0E809"/>
    <w:rsid w:val="37F4AED9"/>
    <w:rsid w:val="38087D95"/>
    <w:rsid w:val="3814B14F"/>
    <w:rsid w:val="38193636"/>
    <w:rsid w:val="38204315"/>
    <w:rsid w:val="38715FF8"/>
    <w:rsid w:val="3873BF4A"/>
    <w:rsid w:val="38754C7A"/>
    <w:rsid w:val="38850B11"/>
    <w:rsid w:val="39079502"/>
    <w:rsid w:val="390B375C"/>
    <w:rsid w:val="3915DE39"/>
    <w:rsid w:val="3923660C"/>
    <w:rsid w:val="39256E10"/>
    <w:rsid w:val="3929F14A"/>
    <w:rsid w:val="3943066F"/>
    <w:rsid w:val="396B637A"/>
    <w:rsid w:val="3983D3BB"/>
    <w:rsid w:val="39842B92"/>
    <w:rsid w:val="399A6F83"/>
    <w:rsid w:val="39C54243"/>
    <w:rsid w:val="39D4EF20"/>
    <w:rsid w:val="39F00F3F"/>
    <w:rsid w:val="3A031316"/>
    <w:rsid w:val="3A0EFC6D"/>
    <w:rsid w:val="3A39F752"/>
    <w:rsid w:val="3A6BCE45"/>
    <w:rsid w:val="3AC6D788"/>
    <w:rsid w:val="3ACD4332"/>
    <w:rsid w:val="3ADC7BEA"/>
    <w:rsid w:val="3B1403B2"/>
    <w:rsid w:val="3B2D798C"/>
    <w:rsid w:val="3B412C45"/>
    <w:rsid w:val="3B6AD82A"/>
    <w:rsid w:val="3B9B9094"/>
    <w:rsid w:val="3B9DA97A"/>
    <w:rsid w:val="3BA0C448"/>
    <w:rsid w:val="3BA82A16"/>
    <w:rsid w:val="3BD8FA38"/>
    <w:rsid w:val="3BD9AE48"/>
    <w:rsid w:val="3BDA4CE3"/>
    <w:rsid w:val="3BEA3985"/>
    <w:rsid w:val="3BF3EBFE"/>
    <w:rsid w:val="3C1ADEFC"/>
    <w:rsid w:val="3C29B892"/>
    <w:rsid w:val="3C2F091C"/>
    <w:rsid w:val="3C42F0AB"/>
    <w:rsid w:val="3C62E8E4"/>
    <w:rsid w:val="3C7ED4A1"/>
    <w:rsid w:val="3C806645"/>
    <w:rsid w:val="3C8603C3"/>
    <w:rsid w:val="3C8C763A"/>
    <w:rsid w:val="3C99DB87"/>
    <w:rsid w:val="3CC457B8"/>
    <w:rsid w:val="3CD88903"/>
    <w:rsid w:val="3CE76A81"/>
    <w:rsid w:val="3D067A0B"/>
    <w:rsid w:val="3D0816B3"/>
    <w:rsid w:val="3D35309A"/>
    <w:rsid w:val="3D7DFE9E"/>
    <w:rsid w:val="3DC7A87A"/>
    <w:rsid w:val="3DD9BDF5"/>
    <w:rsid w:val="3DD9D2CA"/>
    <w:rsid w:val="3E1D6188"/>
    <w:rsid w:val="3E83D3D3"/>
    <w:rsid w:val="3E9AA73D"/>
    <w:rsid w:val="3E9C610E"/>
    <w:rsid w:val="3E9D7980"/>
    <w:rsid w:val="3EB1152A"/>
    <w:rsid w:val="3EC6FCCE"/>
    <w:rsid w:val="3EF34FE7"/>
    <w:rsid w:val="3EF620A0"/>
    <w:rsid w:val="3F4758B6"/>
    <w:rsid w:val="3F4F8ED6"/>
    <w:rsid w:val="3F531822"/>
    <w:rsid w:val="3F96E174"/>
    <w:rsid w:val="3FDC7772"/>
    <w:rsid w:val="3FF76DA4"/>
    <w:rsid w:val="40047441"/>
    <w:rsid w:val="4049636D"/>
    <w:rsid w:val="40498D4C"/>
    <w:rsid w:val="4067C740"/>
    <w:rsid w:val="4096F3EB"/>
    <w:rsid w:val="40C14522"/>
    <w:rsid w:val="40EB75FD"/>
    <w:rsid w:val="4110A597"/>
    <w:rsid w:val="411A8568"/>
    <w:rsid w:val="41249E2F"/>
    <w:rsid w:val="4126F326"/>
    <w:rsid w:val="41287E55"/>
    <w:rsid w:val="41346058"/>
    <w:rsid w:val="416884F1"/>
    <w:rsid w:val="417FBFCF"/>
    <w:rsid w:val="4193CD80"/>
    <w:rsid w:val="4195F844"/>
    <w:rsid w:val="419CD3A2"/>
    <w:rsid w:val="41E87378"/>
    <w:rsid w:val="4230AA93"/>
    <w:rsid w:val="4241DE8D"/>
    <w:rsid w:val="4254DA37"/>
    <w:rsid w:val="427F6061"/>
    <w:rsid w:val="429DB5BE"/>
    <w:rsid w:val="42E18F78"/>
    <w:rsid w:val="42EFDDDE"/>
    <w:rsid w:val="4358F592"/>
    <w:rsid w:val="436392AE"/>
    <w:rsid w:val="4392DE52"/>
    <w:rsid w:val="4396AC62"/>
    <w:rsid w:val="43A65935"/>
    <w:rsid w:val="4417E18E"/>
    <w:rsid w:val="44241444"/>
    <w:rsid w:val="44299C17"/>
    <w:rsid w:val="442B1DEC"/>
    <w:rsid w:val="445686E9"/>
    <w:rsid w:val="4468679E"/>
    <w:rsid w:val="44802F0B"/>
    <w:rsid w:val="44ACA3BC"/>
    <w:rsid w:val="44E35D3F"/>
    <w:rsid w:val="44E90400"/>
    <w:rsid w:val="450DE954"/>
    <w:rsid w:val="4547DC1E"/>
    <w:rsid w:val="4553F457"/>
    <w:rsid w:val="45829299"/>
    <w:rsid w:val="45AA0F0A"/>
    <w:rsid w:val="45C167DD"/>
    <w:rsid w:val="45EC5F97"/>
    <w:rsid w:val="45F6BFC1"/>
    <w:rsid w:val="45FE901B"/>
    <w:rsid w:val="4600DEDE"/>
    <w:rsid w:val="4609B608"/>
    <w:rsid w:val="460F010D"/>
    <w:rsid w:val="461485A8"/>
    <w:rsid w:val="461768A4"/>
    <w:rsid w:val="4626D6F0"/>
    <w:rsid w:val="463E162C"/>
    <w:rsid w:val="465FC298"/>
    <w:rsid w:val="4668A909"/>
    <w:rsid w:val="46708DDF"/>
    <w:rsid w:val="468C9B45"/>
    <w:rsid w:val="46AAE657"/>
    <w:rsid w:val="46F08C7E"/>
    <w:rsid w:val="4705C5CD"/>
    <w:rsid w:val="4710DA78"/>
    <w:rsid w:val="47313041"/>
    <w:rsid w:val="473245DB"/>
    <w:rsid w:val="473FA8AD"/>
    <w:rsid w:val="474725AC"/>
    <w:rsid w:val="4768A28C"/>
    <w:rsid w:val="4770A058"/>
    <w:rsid w:val="477BF11F"/>
    <w:rsid w:val="477C6EBC"/>
    <w:rsid w:val="4789B79B"/>
    <w:rsid w:val="4796446F"/>
    <w:rsid w:val="47C1AD64"/>
    <w:rsid w:val="47C286FC"/>
    <w:rsid w:val="47EF99B9"/>
    <w:rsid w:val="480A8581"/>
    <w:rsid w:val="481327A4"/>
    <w:rsid w:val="481EA49C"/>
    <w:rsid w:val="482B4C00"/>
    <w:rsid w:val="483AA639"/>
    <w:rsid w:val="48683269"/>
    <w:rsid w:val="4881D1DC"/>
    <w:rsid w:val="48A572FC"/>
    <w:rsid w:val="48B3D914"/>
    <w:rsid w:val="48DD272D"/>
    <w:rsid w:val="48E448D0"/>
    <w:rsid w:val="48F01F12"/>
    <w:rsid w:val="48FECCA8"/>
    <w:rsid w:val="495A60B2"/>
    <w:rsid w:val="49676925"/>
    <w:rsid w:val="49704735"/>
    <w:rsid w:val="497B87D9"/>
    <w:rsid w:val="49A82153"/>
    <w:rsid w:val="49B6847B"/>
    <w:rsid w:val="49F29394"/>
    <w:rsid w:val="4A01BC56"/>
    <w:rsid w:val="4A1BF92F"/>
    <w:rsid w:val="4A40DDCF"/>
    <w:rsid w:val="4A4CA5A3"/>
    <w:rsid w:val="4A5BBA5C"/>
    <w:rsid w:val="4A735257"/>
    <w:rsid w:val="4AAC99F7"/>
    <w:rsid w:val="4ABD59EC"/>
    <w:rsid w:val="4AC7C8E7"/>
    <w:rsid w:val="4AC9369E"/>
    <w:rsid w:val="4AF518F1"/>
    <w:rsid w:val="4B005F41"/>
    <w:rsid w:val="4B123A9D"/>
    <w:rsid w:val="4B29347D"/>
    <w:rsid w:val="4B2F762E"/>
    <w:rsid w:val="4B4B2F1F"/>
    <w:rsid w:val="4B78E9C5"/>
    <w:rsid w:val="4B81F06E"/>
    <w:rsid w:val="4B8CCFD8"/>
    <w:rsid w:val="4BFDDEC1"/>
    <w:rsid w:val="4C1F1AC6"/>
    <w:rsid w:val="4C8F1DC7"/>
    <w:rsid w:val="4C99875A"/>
    <w:rsid w:val="4C9AC5A4"/>
    <w:rsid w:val="4C9C0C3C"/>
    <w:rsid w:val="4CB7EA5A"/>
    <w:rsid w:val="4CD3D2A9"/>
    <w:rsid w:val="4D32C52D"/>
    <w:rsid w:val="4D32EFCD"/>
    <w:rsid w:val="4D36850E"/>
    <w:rsid w:val="4D6A9681"/>
    <w:rsid w:val="4D7D7DC1"/>
    <w:rsid w:val="4D8A76C8"/>
    <w:rsid w:val="4DAC56E0"/>
    <w:rsid w:val="4DAC84C2"/>
    <w:rsid w:val="4DBE4A8A"/>
    <w:rsid w:val="4DCABA3E"/>
    <w:rsid w:val="4DD8696D"/>
    <w:rsid w:val="4DE7FF22"/>
    <w:rsid w:val="4DF33137"/>
    <w:rsid w:val="4E00A491"/>
    <w:rsid w:val="4E1AFB0A"/>
    <w:rsid w:val="4E252882"/>
    <w:rsid w:val="4E2A111A"/>
    <w:rsid w:val="4E627953"/>
    <w:rsid w:val="4E6A2FDB"/>
    <w:rsid w:val="4E7DD619"/>
    <w:rsid w:val="4E889353"/>
    <w:rsid w:val="4E9174B2"/>
    <w:rsid w:val="4E936BBC"/>
    <w:rsid w:val="4E93D92E"/>
    <w:rsid w:val="4ECE493D"/>
    <w:rsid w:val="4ED394F6"/>
    <w:rsid w:val="4EDADBC7"/>
    <w:rsid w:val="4EDF8952"/>
    <w:rsid w:val="4EE8BF3D"/>
    <w:rsid w:val="4EEEFEF3"/>
    <w:rsid w:val="4F24CCC2"/>
    <w:rsid w:val="4F286EEE"/>
    <w:rsid w:val="4F30D324"/>
    <w:rsid w:val="4F37E90F"/>
    <w:rsid w:val="4F4B6D1E"/>
    <w:rsid w:val="4F530EBC"/>
    <w:rsid w:val="4F5F4B80"/>
    <w:rsid w:val="4F67A22B"/>
    <w:rsid w:val="4F680E21"/>
    <w:rsid w:val="4F89A859"/>
    <w:rsid w:val="4F89D1C5"/>
    <w:rsid w:val="4FB9188D"/>
    <w:rsid w:val="4FBA27C3"/>
    <w:rsid w:val="4FDCFAD2"/>
    <w:rsid w:val="4FE568F6"/>
    <w:rsid w:val="4FF28DFC"/>
    <w:rsid w:val="4FF44071"/>
    <w:rsid w:val="50104533"/>
    <w:rsid w:val="502E9C05"/>
    <w:rsid w:val="504DAA7A"/>
    <w:rsid w:val="509A8EBA"/>
    <w:rsid w:val="509DCF85"/>
    <w:rsid w:val="50A8AFD3"/>
    <w:rsid w:val="50BCAB89"/>
    <w:rsid w:val="50C4DA22"/>
    <w:rsid w:val="50C8C0A6"/>
    <w:rsid w:val="50CAA504"/>
    <w:rsid w:val="50E1E89B"/>
    <w:rsid w:val="50ED8853"/>
    <w:rsid w:val="50EF1F0A"/>
    <w:rsid w:val="50F96680"/>
    <w:rsid w:val="51055B68"/>
    <w:rsid w:val="51130679"/>
    <w:rsid w:val="511A0799"/>
    <w:rsid w:val="5132D885"/>
    <w:rsid w:val="513353EE"/>
    <w:rsid w:val="51564308"/>
    <w:rsid w:val="515BCDEC"/>
    <w:rsid w:val="5162146A"/>
    <w:rsid w:val="516EAC5D"/>
    <w:rsid w:val="5194091B"/>
    <w:rsid w:val="51C7FEDC"/>
    <w:rsid w:val="51DB1EEB"/>
    <w:rsid w:val="521B903A"/>
    <w:rsid w:val="521D3A11"/>
    <w:rsid w:val="521F4DD4"/>
    <w:rsid w:val="5232F6FE"/>
    <w:rsid w:val="523EB321"/>
    <w:rsid w:val="5252E025"/>
    <w:rsid w:val="52755390"/>
    <w:rsid w:val="52C5B4DE"/>
    <w:rsid w:val="52C6743F"/>
    <w:rsid w:val="52D010BD"/>
    <w:rsid w:val="52D4C249"/>
    <w:rsid w:val="52E05E22"/>
    <w:rsid w:val="52E774D1"/>
    <w:rsid w:val="52EFFADC"/>
    <w:rsid w:val="52F0AF93"/>
    <w:rsid w:val="531C1F48"/>
    <w:rsid w:val="531F83BE"/>
    <w:rsid w:val="533317AB"/>
    <w:rsid w:val="53420B30"/>
    <w:rsid w:val="5353A8A4"/>
    <w:rsid w:val="5368C0D0"/>
    <w:rsid w:val="536D7454"/>
    <w:rsid w:val="537C7E46"/>
    <w:rsid w:val="538610D2"/>
    <w:rsid w:val="53879C72"/>
    <w:rsid w:val="538CF9FF"/>
    <w:rsid w:val="538EE965"/>
    <w:rsid w:val="5399ECD1"/>
    <w:rsid w:val="53A81438"/>
    <w:rsid w:val="53B30AA5"/>
    <w:rsid w:val="53DF10EB"/>
    <w:rsid w:val="53ECEBCE"/>
    <w:rsid w:val="53FC0CB8"/>
    <w:rsid w:val="541A2572"/>
    <w:rsid w:val="543BBD38"/>
    <w:rsid w:val="54467551"/>
    <w:rsid w:val="545A544A"/>
    <w:rsid w:val="545F0E32"/>
    <w:rsid w:val="547CAE7B"/>
    <w:rsid w:val="54ABAE7D"/>
    <w:rsid w:val="54BA9D9A"/>
    <w:rsid w:val="54CDDA69"/>
    <w:rsid w:val="54ED88AD"/>
    <w:rsid w:val="5500AC85"/>
    <w:rsid w:val="5503FCC1"/>
    <w:rsid w:val="550B4D68"/>
    <w:rsid w:val="555388DA"/>
    <w:rsid w:val="5553DB43"/>
    <w:rsid w:val="5555BA42"/>
    <w:rsid w:val="55A674B7"/>
    <w:rsid w:val="55A8EAD9"/>
    <w:rsid w:val="55CB9815"/>
    <w:rsid w:val="55D45DED"/>
    <w:rsid w:val="55D8A8EB"/>
    <w:rsid w:val="5618A304"/>
    <w:rsid w:val="5630E995"/>
    <w:rsid w:val="56489D17"/>
    <w:rsid w:val="5658D529"/>
    <w:rsid w:val="5658DD5B"/>
    <w:rsid w:val="56B0C800"/>
    <w:rsid w:val="56B76788"/>
    <w:rsid w:val="56BA451A"/>
    <w:rsid w:val="56BC2ADE"/>
    <w:rsid w:val="56D6CBA2"/>
    <w:rsid w:val="5718C011"/>
    <w:rsid w:val="571AE6B8"/>
    <w:rsid w:val="574603D0"/>
    <w:rsid w:val="575F7331"/>
    <w:rsid w:val="577E48B7"/>
    <w:rsid w:val="5787E00C"/>
    <w:rsid w:val="57AB26EB"/>
    <w:rsid w:val="57C5B98C"/>
    <w:rsid w:val="57D3B974"/>
    <w:rsid w:val="57E019DE"/>
    <w:rsid w:val="57E1F302"/>
    <w:rsid w:val="57EA5DF3"/>
    <w:rsid w:val="5820A095"/>
    <w:rsid w:val="583A5650"/>
    <w:rsid w:val="5863944A"/>
    <w:rsid w:val="58726C77"/>
    <w:rsid w:val="587C8A48"/>
    <w:rsid w:val="58A5DD9C"/>
    <w:rsid w:val="58A75CB0"/>
    <w:rsid w:val="58AC32D4"/>
    <w:rsid w:val="58B821B7"/>
    <w:rsid w:val="58BD9826"/>
    <w:rsid w:val="58F5FC53"/>
    <w:rsid w:val="5907B60A"/>
    <w:rsid w:val="5907E71A"/>
    <w:rsid w:val="5915FD9E"/>
    <w:rsid w:val="592B0142"/>
    <w:rsid w:val="5945CB0E"/>
    <w:rsid w:val="59609DC3"/>
    <w:rsid w:val="59917EDC"/>
    <w:rsid w:val="599556B9"/>
    <w:rsid w:val="59956A35"/>
    <w:rsid w:val="59A428BB"/>
    <w:rsid w:val="59AD6B23"/>
    <w:rsid w:val="59AEBE0E"/>
    <w:rsid w:val="59C07B28"/>
    <w:rsid w:val="59D86A59"/>
    <w:rsid w:val="59E1162C"/>
    <w:rsid w:val="59E50908"/>
    <w:rsid w:val="59EF1CA5"/>
    <w:rsid w:val="5A079109"/>
    <w:rsid w:val="5A39B797"/>
    <w:rsid w:val="5A3B0578"/>
    <w:rsid w:val="5A44386A"/>
    <w:rsid w:val="5A4E01A8"/>
    <w:rsid w:val="5A5AB3E8"/>
    <w:rsid w:val="5A61B37C"/>
    <w:rsid w:val="5A804A70"/>
    <w:rsid w:val="5AAB14D1"/>
    <w:rsid w:val="5AAEB5FD"/>
    <w:rsid w:val="5ABC2B28"/>
    <w:rsid w:val="5ABD679E"/>
    <w:rsid w:val="5AD49094"/>
    <w:rsid w:val="5AE92405"/>
    <w:rsid w:val="5B017292"/>
    <w:rsid w:val="5B0C84B6"/>
    <w:rsid w:val="5B3ACF53"/>
    <w:rsid w:val="5B42E54F"/>
    <w:rsid w:val="5B46FF66"/>
    <w:rsid w:val="5B48B9A4"/>
    <w:rsid w:val="5B8BF92F"/>
    <w:rsid w:val="5BA191E7"/>
    <w:rsid w:val="5BA9D332"/>
    <w:rsid w:val="5BD0C884"/>
    <w:rsid w:val="5C09F450"/>
    <w:rsid w:val="5C27FD7D"/>
    <w:rsid w:val="5C3DB3C6"/>
    <w:rsid w:val="5C468A44"/>
    <w:rsid w:val="5C48BE57"/>
    <w:rsid w:val="5C50550D"/>
    <w:rsid w:val="5C86FF3E"/>
    <w:rsid w:val="5C9924F4"/>
    <w:rsid w:val="5CC540BA"/>
    <w:rsid w:val="5CC93F38"/>
    <w:rsid w:val="5CC96E89"/>
    <w:rsid w:val="5CD19D83"/>
    <w:rsid w:val="5CEACEC1"/>
    <w:rsid w:val="5CFEFCAB"/>
    <w:rsid w:val="5D123E80"/>
    <w:rsid w:val="5D167CE6"/>
    <w:rsid w:val="5D1A054C"/>
    <w:rsid w:val="5D2CB908"/>
    <w:rsid w:val="5D556DA3"/>
    <w:rsid w:val="5D5B488C"/>
    <w:rsid w:val="5D835EC9"/>
    <w:rsid w:val="5D992ED3"/>
    <w:rsid w:val="5DA54794"/>
    <w:rsid w:val="5DAA4128"/>
    <w:rsid w:val="5DC51016"/>
    <w:rsid w:val="5DDAF0C2"/>
    <w:rsid w:val="5E0AA0C3"/>
    <w:rsid w:val="5E30A27B"/>
    <w:rsid w:val="5E4A8C5A"/>
    <w:rsid w:val="5E7568CB"/>
    <w:rsid w:val="5E8133EE"/>
    <w:rsid w:val="5E8E3DE9"/>
    <w:rsid w:val="5E951416"/>
    <w:rsid w:val="5EA10505"/>
    <w:rsid w:val="5EB25364"/>
    <w:rsid w:val="5EC56149"/>
    <w:rsid w:val="5ED62383"/>
    <w:rsid w:val="5ED86151"/>
    <w:rsid w:val="5F0098B9"/>
    <w:rsid w:val="5F23F11E"/>
    <w:rsid w:val="5F284725"/>
    <w:rsid w:val="5F2F00F2"/>
    <w:rsid w:val="5F351803"/>
    <w:rsid w:val="5F372E59"/>
    <w:rsid w:val="5F521DA1"/>
    <w:rsid w:val="5F7135CF"/>
    <w:rsid w:val="5F79CE1D"/>
    <w:rsid w:val="5F7BBB4B"/>
    <w:rsid w:val="5F9F42CE"/>
    <w:rsid w:val="5FAFBC59"/>
    <w:rsid w:val="5FE0D405"/>
    <w:rsid w:val="5FE69126"/>
    <w:rsid w:val="60012E3A"/>
    <w:rsid w:val="600EB807"/>
    <w:rsid w:val="60324B86"/>
    <w:rsid w:val="606A75C6"/>
    <w:rsid w:val="60752827"/>
    <w:rsid w:val="6085F91D"/>
    <w:rsid w:val="608AE0AF"/>
    <w:rsid w:val="60D1B685"/>
    <w:rsid w:val="60D688E7"/>
    <w:rsid w:val="60DFBBED"/>
    <w:rsid w:val="60E347D5"/>
    <w:rsid w:val="6107C67E"/>
    <w:rsid w:val="610AE0A6"/>
    <w:rsid w:val="6128CC0D"/>
    <w:rsid w:val="614B90F6"/>
    <w:rsid w:val="615118C8"/>
    <w:rsid w:val="616445E8"/>
    <w:rsid w:val="618EDDE8"/>
    <w:rsid w:val="61921AC6"/>
    <w:rsid w:val="61977D3C"/>
    <w:rsid w:val="61BB4B7A"/>
    <w:rsid w:val="61BC5989"/>
    <w:rsid w:val="61C084C6"/>
    <w:rsid w:val="61C1F7CF"/>
    <w:rsid w:val="61C7535D"/>
    <w:rsid w:val="6215854E"/>
    <w:rsid w:val="6225E7F3"/>
    <w:rsid w:val="62276B67"/>
    <w:rsid w:val="623A25BD"/>
    <w:rsid w:val="625C613A"/>
    <w:rsid w:val="62734402"/>
    <w:rsid w:val="627A2C20"/>
    <w:rsid w:val="6296A7A5"/>
    <w:rsid w:val="62A07E3E"/>
    <w:rsid w:val="62B020EA"/>
    <w:rsid w:val="62C7DD69"/>
    <w:rsid w:val="62D06C88"/>
    <w:rsid w:val="62DA23B1"/>
    <w:rsid w:val="62E85796"/>
    <w:rsid w:val="62EF59A4"/>
    <w:rsid w:val="62FD0BC9"/>
    <w:rsid w:val="63237DB8"/>
    <w:rsid w:val="6331111C"/>
    <w:rsid w:val="6331CFF3"/>
    <w:rsid w:val="633444AD"/>
    <w:rsid w:val="63361D7C"/>
    <w:rsid w:val="63885BFE"/>
    <w:rsid w:val="639519AC"/>
    <w:rsid w:val="63966719"/>
    <w:rsid w:val="6398F1B2"/>
    <w:rsid w:val="63A6EFA0"/>
    <w:rsid w:val="63B01397"/>
    <w:rsid w:val="63FA1626"/>
    <w:rsid w:val="640B1A70"/>
    <w:rsid w:val="642E94C2"/>
    <w:rsid w:val="642EC63B"/>
    <w:rsid w:val="643F90CA"/>
    <w:rsid w:val="6444AE5D"/>
    <w:rsid w:val="6473AAC8"/>
    <w:rsid w:val="64846675"/>
    <w:rsid w:val="6484905F"/>
    <w:rsid w:val="64A0DA4E"/>
    <w:rsid w:val="64A3065F"/>
    <w:rsid w:val="64A87059"/>
    <w:rsid w:val="64BBE536"/>
    <w:rsid w:val="64C2748C"/>
    <w:rsid w:val="64D554FD"/>
    <w:rsid w:val="64E1D844"/>
    <w:rsid w:val="64F7A8C8"/>
    <w:rsid w:val="652F330C"/>
    <w:rsid w:val="655EFDD0"/>
    <w:rsid w:val="656DC900"/>
    <w:rsid w:val="6572B638"/>
    <w:rsid w:val="657887F3"/>
    <w:rsid w:val="65919AA4"/>
    <w:rsid w:val="6596BF5F"/>
    <w:rsid w:val="65BE183F"/>
    <w:rsid w:val="65E09D9A"/>
    <w:rsid w:val="65E81BB0"/>
    <w:rsid w:val="65EBE727"/>
    <w:rsid w:val="65FDA302"/>
    <w:rsid w:val="661FDC06"/>
    <w:rsid w:val="66216B6C"/>
    <w:rsid w:val="6631358A"/>
    <w:rsid w:val="664982B1"/>
    <w:rsid w:val="665094C6"/>
    <w:rsid w:val="668D50B8"/>
    <w:rsid w:val="66AE9758"/>
    <w:rsid w:val="6717EF38"/>
    <w:rsid w:val="671F731E"/>
    <w:rsid w:val="6750C249"/>
    <w:rsid w:val="6751B36C"/>
    <w:rsid w:val="675272DC"/>
    <w:rsid w:val="6755F436"/>
    <w:rsid w:val="6768E58F"/>
    <w:rsid w:val="67940E80"/>
    <w:rsid w:val="6795F411"/>
    <w:rsid w:val="6796922C"/>
    <w:rsid w:val="67AD48DE"/>
    <w:rsid w:val="67D11A74"/>
    <w:rsid w:val="680296BF"/>
    <w:rsid w:val="680E8EB5"/>
    <w:rsid w:val="6853E0E8"/>
    <w:rsid w:val="686BB885"/>
    <w:rsid w:val="68715903"/>
    <w:rsid w:val="6873D59E"/>
    <w:rsid w:val="68936502"/>
    <w:rsid w:val="68A815A5"/>
    <w:rsid w:val="68B1A2A3"/>
    <w:rsid w:val="68B7379A"/>
    <w:rsid w:val="68C27870"/>
    <w:rsid w:val="68CA51BD"/>
    <w:rsid w:val="68D38F74"/>
    <w:rsid w:val="68DC4A12"/>
    <w:rsid w:val="691F47A6"/>
    <w:rsid w:val="69211195"/>
    <w:rsid w:val="69251832"/>
    <w:rsid w:val="69354401"/>
    <w:rsid w:val="69403185"/>
    <w:rsid w:val="69482BBD"/>
    <w:rsid w:val="6964383C"/>
    <w:rsid w:val="696E68C1"/>
    <w:rsid w:val="69711900"/>
    <w:rsid w:val="69796150"/>
    <w:rsid w:val="6989361D"/>
    <w:rsid w:val="699836D9"/>
    <w:rsid w:val="69A82A27"/>
    <w:rsid w:val="69AD4526"/>
    <w:rsid w:val="69F5629C"/>
    <w:rsid w:val="6A1FB200"/>
    <w:rsid w:val="6A215ABF"/>
    <w:rsid w:val="6A30012E"/>
    <w:rsid w:val="6A713F00"/>
    <w:rsid w:val="6A78575F"/>
    <w:rsid w:val="6AD0F53A"/>
    <w:rsid w:val="6ADB53DD"/>
    <w:rsid w:val="6AE2BA2F"/>
    <w:rsid w:val="6B30179F"/>
    <w:rsid w:val="6B3E307E"/>
    <w:rsid w:val="6B603C27"/>
    <w:rsid w:val="6BF79FB9"/>
    <w:rsid w:val="6C135F46"/>
    <w:rsid w:val="6C6EB652"/>
    <w:rsid w:val="6C6ECD41"/>
    <w:rsid w:val="6C89F96F"/>
    <w:rsid w:val="6C8F9E9C"/>
    <w:rsid w:val="6C9974FD"/>
    <w:rsid w:val="6CB58774"/>
    <w:rsid w:val="6CB8804A"/>
    <w:rsid w:val="6CC4BEF6"/>
    <w:rsid w:val="6CE936AA"/>
    <w:rsid w:val="6CEEF181"/>
    <w:rsid w:val="6D0D11FF"/>
    <w:rsid w:val="6D22F939"/>
    <w:rsid w:val="6D2C3533"/>
    <w:rsid w:val="6D367086"/>
    <w:rsid w:val="6D397E32"/>
    <w:rsid w:val="6D3F1501"/>
    <w:rsid w:val="6D405FCD"/>
    <w:rsid w:val="6D4CC2DB"/>
    <w:rsid w:val="6D7EE3A7"/>
    <w:rsid w:val="6D978959"/>
    <w:rsid w:val="6DB87CB7"/>
    <w:rsid w:val="6DD92736"/>
    <w:rsid w:val="6DE37CED"/>
    <w:rsid w:val="6DE70A96"/>
    <w:rsid w:val="6DE9000D"/>
    <w:rsid w:val="6DF83DE2"/>
    <w:rsid w:val="6E0A7491"/>
    <w:rsid w:val="6E22624C"/>
    <w:rsid w:val="6E901378"/>
    <w:rsid w:val="6E92D504"/>
    <w:rsid w:val="6EAC418F"/>
    <w:rsid w:val="6EAE1E17"/>
    <w:rsid w:val="6EB638B5"/>
    <w:rsid w:val="6ECDF90F"/>
    <w:rsid w:val="6F18757F"/>
    <w:rsid w:val="6F1B3A17"/>
    <w:rsid w:val="6F265860"/>
    <w:rsid w:val="6F39DAA9"/>
    <w:rsid w:val="6F984EAB"/>
    <w:rsid w:val="6FB323AD"/>
    <w:rsid w:val="6FC750E0"/>
    <w:rsid w:val="6FD42BF2"/>
    <w:rsid w:val="6FEB1DC0"/>
    <w:rsid w:val="6FF1D95F"/>
    <w:rsid w:val="7089198F"/>
    <w:rsid w:val="708B53CD"/>
    <w:rsid w:val="70903E45"/>
    <w:rsid w:val="709A41F0"/>
    <w:rsid w:val="70A46EBC"/>
    <w:rsid w:val="70A60F62"/>
    <w:rsid w:val="70BF24BD"/>
    <w:rsid w:val="70C46DF1"/>
    <w:rsid w:val="70CE5872"/>
    <w:rsid w:val="70E53652"/>
    <w:rsid w:val="70EB1942"/>
    <w:rsid w:val="70F5772B"/>
    <w:rsid w:val="70F7C3D0"/>
    <w:rsid w:val="7108C5C6"/>
    <w:rsid w:val="71231F43"/>
    <w:rsid w:val="71436F01"/>
    <w:rsid w:val="71471984"/>
    <w:rsid w:val="7152A863"/>
    <w:rsid w:val="71684D34"/>
    <w:rsid w:val="71B16FC0"/>
    <w:rsid w:val="71BBCBB8"/>
    <w:rsid w:val="71D5D2F4"/>
    <w:rsid w:val="71E56E87"/>
    <w:rsid w:val="72713744"/>
    <w:rsid w:val="728B9417"/>
    <w:rsid w:val="729BC6C3"/>
    <w:rsid w:val="72CE0456"/>
    <w:rsid w:val="72EA327E"/>
    <w:rsid w:val="72F680C9"/>
    <w:rsid w:val="730416B8"/>
    <w:rsid w:val="7316FB6F"/>
    <w:rsid w:val="7366E359"/>
    <w:rsid w:val="736F698B"/>
    <w:rsid w:val="7382DFE4"/>
    <w:rsid w:val="73A85671"/>
    <w:rsid w:val="73B33DEB"/>
    <w:rsid w:val="73B5E2CF"/>
    <w:rsid w:val="73C1E680"/>
    <w:rsid w:val="73C7A39E"/>
    <w:rsid w:val="73DADAF0"/>
    <w:rsid w:val="73E245B9"/>
    <w:rsid w:val="745D2F9F"/>
    <w:rsid w:val="7478D0BA"/>
    <w:rsid w:val="747B3F01"/>
    <w:rsid w:val="749CB83C"/>
    <w:rsid w:val="74BDF8C2"/>
    <w:rsid w:val="74C17A7F"/>
    <w:rsid w:val="74D2EB1C"/>
    <w:rsid w:val="74E04D63"/>
    <w:rsid w:val="74E209D3"/>
    <w:rsid w:val="74F136DA"/>
    <w:rsid w:val="74F3429B"/>
    <w:rsid w:val="752A04B3"/>
    <w:rsid w:val="752CBA9F"/>
    <w:rsid w:val="753447B2"/>
    <w:rsid w:val="753B92FE"/>
    <w:rsid w:val="756F7170"/>
    <w:rsid w:val="757ECFEC"/>
    <w:rsid w:val="759A7C32"/>
    <w:rsid w:val="75BD4C9E"/>
    <w:rsid w:val="75C1FDC3"/>
    <w:rsid w:val="75DC2FDE"/>
    <w:rsid w:val="75E284C9"/>
    <w:rsid w:val="760B9C8D"/>
    <w:rsid w:val="7610FF8B"/>
    <w:rsid w:val="7619BD53"/>
    <w:rsid w:val="761C49B0"/>
    <w:rsid w:val="7645AA1E"/>
    <w:rsid w:val="76581070"/>
    <w:rsid w:val="766C325D"/>
    <w:rsid w:val="766CF9EF"/>
    <w:rsid w:val="767616C2"/>
    <w:rsid w:val="767A9372"/>
    <w:rsid w:val="767E0EC3"/>
    <w:rsid w:val="76823663"/>
    <w:rsid w:val="76A2303F"/>
    <w:rsid w:val="76A86FB5"/>
    <w:rsid w:val="76B8E1E4"/>
    <w:rsid w:val="76CB31A3"/>
    <w:rsid w:val="76D3A669"/>
    <w:rsid w:val="76DBC722"/>
    <w:rsid w:val="76E4BA78"/>
    <w:rsid w:val="76EE12A0"/>
    <w:rsid w:val="76FFF320"/>
    <w:rsid w:val="77065A72"/>
    <w:rsid w:val="77078766"/>
    <w:rsid w:val="7726CC26"/>
    <w:rsid w:val="772E853F"/>
    <w:rsid w:val="775F0971"/>
    <w:rsid w:val="77C374E6"/>
    <w:rsid w:val="77C3C301"/>
    <w:rsid w:val="77C5278A"/>
    <w:rsid w:val="77DD8A3C"/>
    <w:rsid w:val="7804E150"/>
    <w:rsid w:val="7823FD11"/>
    <w:rsid w:val="7830AEE4"/>
    <w:rsid w:val="783E05D5"/>
    <w:rsid w:val="78481C8C"/>
    <w:rsid w:val="784FB563"/>
    <w:rsid w:val="786E0D62"/>
    <w:rsid w:val="78738455"/>
    <w:rsid w:val="787DDAB5"/>
    <w:rsid w:val="787FD441"/>
    <w:rsid w:val="7889E124"/>
    <w:rsid w:val="7892AC3B"/>
    <w:rsid w:val="789630D1"/>
    <w:rsid w:val="78A54BD5"/>
    <w:rsid w:val="78D19CC5"/>
    <w:rsid w:val="790E393D"/>
    <w:rsid w:val="7918C4D9"/>
    <w:rsid w:val="791D3EFE"/>
    <w:rsid w:val="792D6664"/>
    <w:rsid w:val="7968328A"/>
    <w:rsid w:val="798D9278"/>
    <w:rsid w:val="79968744"/>
    <w:rsid w:val="79AAC624"/>
    <w:rsid w:val="79B8DDA2"/>
    <w:rsid w:val="79DE9747"/>
    <w:rsid w:val="79DFDBA5"/>
    <w:rsid w:val="7A0F7C65"/>
    <w:rsid w:val="7A2A3827"/>
    <w:rsid w:val="7A2AEC83"/>
    <w:rsid w:val="7A715410"/>
    <w:rsid w:val="7A8072F3"/>
    <w:rsid w:val="7AA3C66B"/>
    <w:rsid w:val="7ACA11A8"/>
    <w:rsid w:val="7ADB33E6"/>
    <w:rsid w:val="7B26B01E"/>
    <w:rsid w:val="7B41A307"/>
    <w:rsid w:val="7B570205"/>
    <w:rsid w:val="7B664CFF"/>
    <w:rsid w:val="7BA31A77"/>
    <w:rsid w:val="7BBEC4CE"/>
    <w:rsid w:val="7BC554E1"/>
    <w:rsid w:val="7BD1E51C"/>
    <w:rsid w:val="7BE4A56A"/>
    <w:rsid w:val="7BF251AC"/>
    <w:rsid w:val="7C026E6C"/>
    <w:rsid w:val="7C15058F"/>
    <w:rsid w:val="7C1CD9E8"/>
    <w:rsid w:val="7C3A5775"/>
    <w:rsid w:val="7C539857"/>
    <w:rsid w:val="7C6DD814"/>
    <w:rsid w:val="7CA069BB"/>
    <w:rsid w:val="7CA78045"/>
    <w:rsid w:val="7CAD3914"/>
    <w:rsid w:val="7CD33A93"/>
    <w:rsid w:val="7CE9C558"/>
    <w:rsid w:val="7D01C523"/>
    <w:rsid w:val="7D25CF10"/>
    <w:rsid w:val="7DA24ACD"/>
    <w:rsid w:val="7DAD6FFB"/>
    <w:rsid w:val="7DC1B99B"/>
    <w:rsid w:val="7DC69E4A"/>
    <w:rsid w:val="7DCF926D"/>
    <w:rsid w:val="7DD55542"/>
    <w:rsid w:val="7DDAE0AA"/>
    <w:rsid w:val="7DDEACEE"/>
    <w:rsid w:val="7DF60F80"/>
    <w:rsid w:val="7EA638F1"/>
    <w:rsid w:val="7EC9B7CE"/>
    <w:rsid w:val="7ED2A7AF"/>
    <w:rsid w:val="7ED67581"/>
    <w:rsid w:val="7EDBA1B3"/>
    <w:rsid w:val="7EECF5A4"/>
    <w:rsid w:val="7F2086AA"/>
    <w:rsid w:val="7F24743C"/>
    <w:rsid w:val="7F4A5F4B"/>
    <w:rsid w:val="7F53DD9C"/>
    <w:rsid w:val="7F6D5B71"/>
    <w:rsid w:val="7F77E1E3"/>
    <w:rsid w:val="7F8C9EEF"/>
    <w:rsid w:val="7F8FEBF8"/>
    <w:rsid w:val="7FAF5289"/>
    <w:rsid w:val="7FBC4B2C"/>
    <w:rsid w:val="7FE7D667"/>
    <w:rsid w:val="7FFD4646"/>
  </w:rsids>
  <m:mathPr>
    <m:mathFont m:val="Cambria Math"/>
    <m:brkBin m:val="before"/>
    <m:brkBinSub m:val="--"/>
    <m:smallFrac m:val="0"/>
    <m:dispDef/>
    <m:lMargin m:val="0"/>
    <m:rMargin m:val="0"/>
    <m:defJc m:val="centerGroup"/>
    <m:wrapIndent m:val="1440"/>
    <m:intLim m:val="subSup"/>
    <m:naryLim m:val="undOvr"/>
  </m:mathPr>
  <w:themeFontLang w:val="es-CO"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9C4308"/>
  <w15:chartTrackingRefBased/>
  <w15:docId w15:val="{A1DBB7FF-B5BD-4335-BC4C-EFB873185D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C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qFormat="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65E08"/>
    <w:pPr>
      <w:spacing w:after="0" w:line="360" w:lineRule="auto"/>
      <w:jc w:val="both"/>
    </w:pPr>
    <w:rPr>
      <w:rFonts w:ascii="Times New Roman" w:hAnsi="Times New Roman"/>
      <w:sz w:val="24"/>
    </w:rPr>
  </w:style>
  <w:style w:type="paragraph" w:styleId="Ttulo1">
    <w:name w:val="heading 1"/>
    <w:aliases w:val="INFITULUA-T2,BONUS-T1,MT1,título 1,Título 1_HTA"/>
    <w:basedOn w:val="Normal"/>
    <w:next w:val="Normal"/>
    <w:link w:val="Ttulo1Car"/>
    <w:uiPriority w:val="9"/>
    <w:qFormat/>
    <w:rsid w:val="00AC0E68"/>
    <w:pPr>
      <w:keepNext/>
      <w:keepLines/>
      <w:outlineLvl w:val="0"/>
    </w:pPr>
    <w:rPr>
      <w:rFonts w:eastAsiaTheme="majorEastAsia" w:cstheme="majorBidi"/>
      <w:b/>
      <w:color w:val="1F3864" w:themeColor="accent1" w:themeShade="80"/>
      <w:spacing w:val="-2"/>
      <w:kern w:val="0"/>
      <w:sz w:val="26"/>
      <w:szCs w:val="32"/>
      <w14:ligatures w14:val="none"/>
    </w:rPr>
  </w:style>
  <w:style w:type="paragraph" w:styleId="Ttulo2">
    <w:name w:val="heading 2"/>
    <w:aliases w:val="BONUS-T2,Edgar 2,Título 2 -BCN"/>
    <w:basedOn w:val="Normal"/>
    <w:next w:val="Normal"/>
    <w:link w:val="Ttulo2Car"/>
    <w:uiPriority w:val="9"/>
    <w:unhideWhenUsed/>
    <w:qFormat/>
    <w:rsid w:val="00AC0E68"/>
    <w:pPr>
      <w:keepNext/>
      <w:keepLines/>
      <w:numPr>
        <w:numId w:val="12"/>
      </w:numPr>
      <w:spacing w:line="256" w:lineRule="auto"/>
      <w:outlineLvl w:val="1"/>
    </w:pPr>
    <w:rPr>
      <w:rFonts w:eastAsiaTheme="majorEastAsia" w:cstheme="majorBidi"/>
      <w:b/>
      <w:color w:val="1F3864" w:themeColor="accent1" w:themeShade="80"/>
      <w:kern w:val="0"/>
      <w:szCs w:val="26"/>
      <w14:ligatures w14:val="none"/>
    </w:rPr>
  </w:style>
  <w:style w:type="paragraph" w:styleId="Ttulo3">
    <w:name w:val="heading 3"/>
    <w:aliases w:val="BONUS-T3 Final,Edgar 3,1.1.1Título 3,Título 3-BCN,3 bullet,H3,1Título 3"/>
    <w:basedOn w:val="Normal"/>
    <w:next w:val="Normal"/>
    <w:link w:val="Ttulo3Car"/>
    <w:uiPriority w:val="9"/>
    <w:unhideWhenUsed/>
    <w:qFormat/>
    <w:rsid w:val="00AC0E68"/>
    <w:pPr>
      <w:keepNext/>
      <w:keepLines/>
      <w:spacing w:line="256" w:lineRule="auto"/>
      <w:outlineLvl w:val="2"/>
    </w:pPr>
    <w:rPr>
      <w:rFonts w:eastAsiaTheme="majorEastAsia" w:cstheme="majorBidi"/>
      <w:b/>
      <w:kern w:val="0"/>
      <w:szCs w:val="24"/>
      <w14:ligatures w14:val="none"/>
    </w:rPr>
  </w:style>
  <w:style w:type="paragraph" w:styleId="Ttulo4">
    <w:name w:val="heading 4"/>
    <w:basedOn w:val="Normal"/>
    <w:next w:val="Normal"/>
    <w:link w:val="Ttulo4Car"/>
    <w:uiPriority w:val="9"/>
    <w:qFormat/>
    <w:rsid w:val="00AC0E68"/>
    <w:pPr>
      <w:keepNext/>
      <w:spacing w:before="240"/>
      <w:outlineLvl w:val="3"/>
    </w:pPr>
    <w:rPr>
      <w:rFonts w:ascii="Arial Negrita" w:eastAsia="Times New Roman" w:hAnsi="Arial Negrita" w:cs="Times New Roman"/>
      <w:b/>
      <w:kern w:val="0"/>
      <w:lang w:val="es-ES_tradnl"/>
      <w14:ligatures w14:val="none"/>
    </w:rPr>
  </w:style>
  <w:style w:type="paragraph" w:styleId="Ttulo5">
    <w:name w:val="heading 5"/>
    <w:aliases w:val="Titulo de Quinto Nivel,Título 5 - PDE"/>
    <w:basedOn w:val="Normal"/>
    <w:next w:val="Normal"/>
    <w:link w:val="Ttulo5Car"/>
    <w:uiPriority w:val="9"/>
    <w:qFormat/>
    <w:rsid w:val="00AC0E68"/>
    <w:pPr>
      <w:keepNext/>
      <w:tabs>
        <w:tab w:val="left" w:pos="2127"/>
        <w:tab w:val="left" w:pos="5670"/>
        <w:tab w:val="right" w:pos="7939"/>
      </w:tabs>
      <w:spacing w:before="120" w:line="240" w:lineRule="atLeast"/>
      <w:jc w:val="center"/>
      <w:outlineLvl w:val="4"/>
    </w:pPr>
    <w:rPr>
      <w:rFonts w:ascii="Arial" w:eastAsia="Times New Roman" w:hAnsi="Arial" w:cs="Times New Roman"/>
      <w:b/>
      <w:i/>
      <w:kern w:val="0"/>
      <w:sz w:val="28"/>
      <w:lang w:val="es-ES_tradnl"/>
      <w14:ligatures w14:val="none"/>
    </w:rPr>
  </w:style>
  <w:style w:type="paragraph" w:styleId="Ttulo6">
    <w:name w:val="heading 6"/>
    <w:basedOn w:val="Normal"/>
    <w:next w:val="Normal"/>
    <w:link w:val="Ttulo6Car"/>
    <w:qFormat/>
    <w:rsid w:val="00AC0E68"/>
    <w:pPr>
      <w:keepNext/>
      <w:spacing w:before="480"/>
      <w:jc w:val="center"/>
      <w:outlineLvl w:val="5"/>
    </w:pPr>
    <w:rPr>
      <w:rFonts w:ascii="Arial Negrita" w:eastAsia="Times New Roman" w:hAnsi="Arial Negrita" w:cs="Times New Roman"/>
      <w:b/>
      <w:i/>
      <w:caps/>
      <w:color w:val="0000FF"/>
      <w:kern w:val="0"/>
      <w:sz w:val="28"/>
      <w:lang w:val="es-ES_tradnl"/>
      <w14:ligatures w14:val="none"/>
    </w:rPr>
  </w:style>
  <w:style w:type="paragraph" w:styleId="Ttulo7">
    <w:name w:val="heading 7"/>
    <w:basedOn w:val="Normal"/>
    <w:next w:val="Normal"/>
    <w:link w:val="Ttulo7Car"/>
    <w:uiPriority w:val="9"/>
    <w:unhideWhenUsed/>
    <w:qFormat/>
    <w:rsid w:val="00AC0E68"/>
    <w:pPr>
      <w:keepNext/>
      <w:keepLines/>
      <w:spacing w:before="200"/>
      <w:ind w:left="1296" w:hanging="1296"/>
      <w:outlineLvl w:val="6"/>
    </w:pPr>
    <w:rPr>
      <w:rFonts w:asciiTheme="majorHAnsi" w:eastAsiaTheme="majorEastAsia" w:hAnsiTheme="majorHAnsi" w:cstheme="majorBidi"/>
      <w:i/>
      <w:iCs/>
      <w:color w:val="404040" w:themeColor="text1" w:themeTint="BF"/>
      <w:kern w:val="0"/>
      <w:szCs w:val="24"/>
      <w:lang w:val="es-ES_tradnl" w:eastAsia="es-ES"/>
      <w14:ligatures w14:val="none"/>
    </w:rPr>
  </w:style>
  <w:style w:type="paragraph" w:styleId="Ttulo8">
    <w:name w:val="heading 8"/>
    <w:basedOn w:val="Normal"/>
    <w:next w:val="Normal"/>
    <w:link w:val="Ttulo8Car"/>
    <w:uiPriority w:val="9"/>
    <w:unhideWhenUsed/>
    <w:qFormat/>
    <w:rsid w:val="00AC0E68"/>
    <w:pPr>
      <w:keepNext/>
      <w:keepLines/>
      <w:spacing w:before="200"/>
      <w:ind w:left="1440" w:hanging="1440"/>
      <w:outlineLvl w:val="7"/>
    </w:pPr>
    <w:rPr>
      <w:rFonts w:asciiTheme="majorHAnsi" w:eastAsiaTheme="majorEastAsia" w:hAnsiTheme="majorHAnsi" w:cstheme="majorBidi"/>
      <w:color w:val="404040" w:themeColor="text1" w:themeTint="BF"/>
      <w:kern w:val="0"/>
      <w:sz w:val="20"/>
      <w:szCs w:val="20"/>
      <w:lang w:val="es-ES_tradnl" w:eastAsia="es-ES"/>
      <w14:ligatures w14:val="none"/>
    </w:rPr>
  </w:style>
  <w:style w:type="paragraph" w:styleId="Ttulo9">
    <w:name w:val="heading 9"/>
    <w:basedOn w:val="Normal"/>
    <w:next w:val="Normal"/>
    <w:link w:val="Ttulo9Car"/>
    <w:uiPriority w:val="9"/>
    <w:unhideWhenUsed/>
    <w:qFormat/>
    <w:rsid w:val="00AC0E68"/>
    <w:pPr>
      <w:keepNext/>
      <w:keepLines/>
      <w:spacing w:before="200"/>
      <w:ind w:left="1584" w:hanging="1584"/>
      <w:outlineLvl w:val="8"/>
    </w:pPr>
    <w:rPr>
      <w:rFonts w:asciiTheme="majorHAnsi" w:eastAsiaTheme="majorEastAsia" w:hAnsiTheme="majorHAnsi" w:cstheme="majorBidi"/>
      <w:i/>
      <w:iCs/>
      <w:color w:val="404040" w:themeColor="text1" w:themeTint="BF"/>
      <w:kern w:val="0"/>
      <w:sz w:val="20"/>
      <w:szCs w:val="20"/>
      <w:lang w:val="es-ES_tradnl" w:eastAsia="es-ES"/>
      <w14:ligatures w14:val="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aliases w:val="Encabezado1,encabezado,Encabezado Car Car,Haut de page,h,h8,h9,h10,h18"/>
    <w:basedOn w:val="Normal"/>
    <w:link w:val="EncabezadoCar"/>
    <w:unhideWhenUsed/>
    <w:qFormat/>
    <w:rsid w:val="00757B36"/>
    <w:pPr>
      <w:tabs>
        <w:tab w:val="center" w:pos="4419"/>
        <w:tab w:val="right" w:pos="8838"/>
      </w:tabs>
    </w:pPr>
  </w:style>
  <w:style w:type="paragraph" w:styleId="Piedepgina">
    <w:name w:val="footer"/>
    <w:basedOn w:val="Normal"/>
    <w:link w:val="PiedepginaCar"/>
    <w:uiPriority w:val="99"/>
    <w:unhideWhenUsed/>
    <w:rsid w:val="00757B36"/>
    <w:pPr>
      <w:tabs>
        <w:tab w:val="center" w:pos="4419"/>
        <w:tab w:val="right" w:pos="8838"/>
      </w:tabs>
    </w:pPr>
  </w:style>
  <w:style w:type="character" w:styleId="Hipervnculo">
    <w:name w:val="Hyperlink"/>
    <w:basedOn w:val="Fuentedeprrafopredeter"/>
    <w:uiPriority w:val="99"/>
    <w:unhideWhenUsed/>
    <w:rsid w:val="00757B36"/>
    <w:rPr>
      <w:color w:val="0563C1" w:themeColor="hyperlink"/>
      <w:u w:val="single"/>
    </w:rPr>
  </w:style>
  <w:style w:type="character" w:customStyle="1" w:styleId="Mencinsinresolver1">
    <w:name w:val="Mención sin resolver1"/>
    <w:basedOn w:val="Fuentedeprrafopredeter"/>
    <w:uiPriority w:val="99"/>
    <w:semiHidden/>
    <w:unhideWhenUsed/>
    <w:rsid w:val="00757B36"/>
    <w:rPr>
      <w:color w:val="605E5C"/>
      <w:shd w:val="clear" w:color="auto" w:fill="E1DFDD"/>
    </w:rPr>
  </w:style>
  <w:style w:type="paragraph" w:styleId="Prrafodelista">
    <w:name w:val="List Paragraph"/>
    <w:aliases w:val="Subtítulo Subcontenido numerado,Lista 123,LISTA,Bolita,Guión,Viñeta 2,Párrafo de lista3,BOLA,Párrafo de lista21,Titulo 8,Párrafo de lista2,HOJA,Párrafo de lista31,BOLADEF,Párrafo de lista5,Colorful List - Accent 11,TITULO,titulo 3,a,Ha"/>
    <w:basedOn w:val="Normal"/>
    <w:link w:val="PrrafodelistaCar"/>
    <w:uiPriority w:val="34"/>
    <w:qFormat/>
    <w:rsid w:val="00757B36"/>
    <w:pPr>
      <w:ind w:left="720"/>
      <w:contextualSpacing/>
    </w:pPr>
  </w:style>
  <w:style w:type="table" w:styleId="Tablaconcuadrcula">
    <w:name w:val="Table Grid"/>
    <w:aliases w:val="sin cuadricula,SGI,Tabla GEOCOL,Petrominerales,petro,Tabla sin cuadrícula,Tabla con cuadrícula-1,Capítulo 2 EIA - Fotografía,Tabla Yago,Tabla P_1222,Capítulo 4 EIA - Fotografía,ASI,con,cuadrícula,sin,cuadricula,GEOCOL,cuadrícula-1"/>
    <w:basedOn w:val="Tablanormal"/>
    <w:uiPriority w:val="39"/>
    <w:qFormat/>
    <w:rsid w:val="002E693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nespaciado">
    <w:name w:val="No Spacing"/>
    <w:aliases w:val="Subtitulo,VT2,AEROCIVIL CITA"/>
    <w:link w:val="SinespaciadoCar"/>
    <w:uiPriority w:val="1"/>
    <w:qFormat/>
    <w:rsid w:val="0088073E"/>
    <w:pPr>
      <w:spacing w:after="0" w:line="240" w:lineRule="auto"/>
      <w:jc w:val="both"/>
    </w:pPr>
    <w:rPr>
      <w:rFonts w:ascii="Verdana" w:eastAsia="Calibri" w:hAnsi="Verdana" w:cs="Times New Roman"/>
      <w:kern w:val="0"/>
      <w:sz w:val="19"/>
      <w14:ligatures w14:val="none"/>
    </w:rPr>
  </w:style>
  <w:style w:type="numbering" w:customStyle="1" w:styleId="Sinlista1">
    <w:name w:val="Sin lista1"/>
    <w:next w:val="Sinlista"/>
    <w:uiPriority w:val="99"/>
    <w:semiHidden/>
    <w:unhideWhenUsed/>
    <w:rsid w:val="00AC0E68"/>
  </w:style>
  <w:style w:type="paragraph" w:styleId="Textodeglobo">
    <w:name w:val="Balloon Text"/>
    <w:basedOn w:val="Normal"/>
    <w:link w:val="TextodegloboCar"/>
    <w:uiPriority w:val="99"/>
    <w:semiHidden/>
    <w:unhideWhenUsed/>
    <w:rsid w:val="00AC0E68"/>
    <w:rPr>
      <w:rFonts w:ascii="Segoe UI" w:eastAsia="Calibri" w:hAnsi="Segoe UI" w:cs="Segoe UI"/>
      <w:kern w:val="0"/>
      <w:sz w:val="18"/>
      <w:szCs w:val="18"/>
      <w14:ligatures w14:val="none"/>
    </w:rPr>
  </w:style>
  <w:style w:type="character" w:styleId="Refdecomentario">
    <w:name w:val="annotation reference"/>
    <w:uiPriority w:val="99"/>
    <w:unhideWhenUsed/>
    <w:rsid w:val="00AC0E68"/>
    <w:rPr>
      <w:sz w:val="16"/>
      <w:szCs w:val="16"/>
    </w:rPr>
  </w:style>
  <w:style w:type="paragraph" w:styleId="Textocomentario">
    <w:name w:val="annotation text"/>
    <w:basedOn w:val="Normal"/>
    <w:link w:val="TextocomentarioCar"/>
    <w:uiPriority w:val="99"/>
    <w:unhideWhenUsed/>
    <w:rsid w:val="00AC0E68"/>
    <w:rPr>
      <w:rFonts w:ascii="Calibri" w:eastAsia="Calibri" w:hAnsi="Calibri" w:cs="Times New Roman"/>
      <w:kern w:val="0"/>
      <w:sz w:val="20"/>
      <w:szCs w:val="20"/>
      <w14:ligatures w14:val="none"/>
    </w:rPr>
  </w:style>
  <w:style w:type="paragraph" w:styleId="Asuntodelcomentario">
    <w:name w:val="annotation subject"/>
    <w:basedOn w:val="Textocomentario"/>
    <w:next w:val="Textocomentario"/>
    <w:link w:val="AsuntodelcomentarioCar"/>
    <w:uiPriority w:val="99"/>
    <w:unhideWhenUsed/>
    <w:rsid w:val="00AC0E68"/>
    <w:rPr>
      <w:b/>
      <w:bCs/>
    </w:rPr>
  </w:style>
  <w:style w:type="table" w:customStyle="1" w:styleId="cuadrcula-11">
    <w:name w:val="cuadrícula-11"/>
    <w:basedOn w:val="Tablanormal"/>
    <w:next w:val="Tablaconcuadrcula"/>
    <w:uiPriority w:val="59"/>
    <w:qFormat/>
    <w:rsid w:val="00AC0E68"/>
    <w:pPr>
      <w:spacing w:after="0" w:line="240" w:lineRule="auto"/>
    </w:pPr>
    <w:rPr>
      <w:rFonts w:ascii="Calibri" w:eastAsia="Calibri" w:hAnsi="Calibri" w:cs="Times New Roman"/>
      <w:kern w:val="0"/>
      <w:sz w:val="20"/>
      <w:szCs w:val="20"/>
      <w:lang w:eastAsia="es-CO"/>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n">
    <w:name w:val="Revision"/>
    <w:hidden/>
    <w:uiPriority w:val="99"/>
    <w:semiHidden/>
    <w:rsid w:val="00AC0E68"/>
    <w:pPr>
      <w:spacing w:after="0" w:line="240" w:lineRule="auto"/>
    </w:pPr>
    <w:rPr>
      <w:rFonts w:ascii="Calibri" w:eastAsia="Calibri" w:hAnsi="Calibri" w:cs="Times New Roman"/>
      <w:kern w:val="0"/>
      <w14:ligatures w14:val="none"/>
    </w:rPr>
  </w:style>
  <w:style w:type="paragraph" w:styleId="Subttulo">
    <w:name w:val="Subtitle"/>
    <w:basedOn w:val="Normal"/>
    <w:next w:val="Normal"/>
    <w:link w:val="SubttuloCar"/>
    <w:uiPriority w:val="11"/>
    <w:qFormat/>
    <w:rsid w:val="00AC0E68"/>
    <w:pPr>
      <w:numPr>
        <w:numId w:val="11"/>
      </w:numPr>
      <w:spacing w:line="256" w:lineRule="auto"/>
      <w:ind w:left="0" w:firstLine="0"/>
    </w:pPr>
    <w:rPr>
      <w:rFonts w:eastAsiaTheme="minorEastAsia"/>
      <w:b/>
      <w:color w:val="1F3864" w:themeColor="accent1" w:themeShade="80"/>
      <w:spacing w:val="15"/>
      <w:kern w:val="0"/>
      <w14:ligatures w14:val="none"/>
    </w:rPr>
  </w:style>
  <w:style w:type="paragraph" w:styleId="TtuloTDC">
    <w:name w:val="TOC Heading"/>
    <w:basedOn w:val="Ttulo1"/>
    <w:next w:val="Normal"/>
    <w:uiPriority w:val="39"/>
    <w:unhideWhenUsed/>
    <w:qFormat/>
    <w:rsid w:val="00AC0E68"/>
    <w:pPr>
      <w:spacing w:before="240"/>
      <w:jc w:val="left"/>
      <w:outlineLvl w:val="9"/>
    </w:pPr>
    <w:rPr>
      <w:rFonts w:asciiTheme="majorHAnsi" w:hAnsiTheme="majorHAnsi"/>
      <w:b w:val="0"/>
      <w:color w:val="2F5496" w:themeColor="accent1" w:themeShade="BF"/>
      <w:sz w:val="32"/>
      <w:lang w:eastAsia="es-CO"/>
    </w:rPr>
  </w:style>
  <w:style w:type="paragraph" w:styleId="TDC1">
    <w:name w:val="toc 1"/>
    <w:basedOn w:val="Normal"/>
    <w:next w:val="Normal"/>
    <w:autoRedefine/>
    <w:uiPriority w:val="39"/>
    <w:unhideWhenUsed/>
    <w:rsid w:val="00AC0E68"/>
    <w:pPr>
      <w:spacing w:after="100" w:line="256" w:lineRule="auto"/>
    </w:pPr>
    <w:rPr>
      <w:rFonts w:ascii="Calibri" w:eastAsia="Calibri" w:hAnsi="Calibri" w:cs="Times New Roman"/>
      <w:kern w:val="0"/>
      <w14:ligatures w14:val="none"/>
    </w:rPr>
  </w:style>
  <w:style w:type="paragraph" w:styleId="TDC2">
    <w:name w:val="toc 2"/>
    <w:basedOn w:val="Normal"/>
    <w:next w:val="Normal"/>
    <w:autoRedefine/>
    <w:uiPriority w:val="39"/>
    <w:unhideWhenUsed/>
    <w:rsid w:val="00AC0E68"/>
    <w:pPr>
      <w:spacing w:after="100" w:line="256" w:lineRule="auto"/>
      <w:ind w:left="220"/>
    </w:pPr>
    <w:rPr>
      <w:rFonts w:eastAsiaTheme="minorEastAsia" w:cs="Times New Roman"/>
      <w:kern w:val="0"/>
      <w:lang w:eastAsia="es-CO"/>
      <w14:ligatures w14:val="none"/>
    </w:rPr>
  </w:style>
  <w:style w:type="paragraph" w:styleId="TDC3">
    <w:name w:val="toc 3"/>
    <w:basedOn w:val="Normal"/>
    <w:next w:val="Normal"/>
    <w:autoRedefine/>
    <w:uiPriority w:val="39"/>
    <w:unhideWhenUsed/>
    <w:rsid w:val="00AC0E68"/>
    <w:pPr>
      <w:spacing w:after="100" w:line="256" w:lineRule="auto"/>
      <w:ind w:left="440"/>
    </w:pPr>
    <w:rPr>
      <w:rFonts w:eastAsiaTheme="minorEastAsia" w:cs="Times New Roman"/>
      <w:kern w:val="0"/>
      <w:lang w:eastAsia="es-CO"/>
      <w14:ligatures w14:val="none"/>
    </w:rPr>
  </w:style>
  <w:style w:type="paragraph" w:styleId="Ttulo">
    <w:name w:val="Title"/>
    <w:basedOn w:val="Normal"/>
    <w:next w:val="Normal"/>
    <w:link w:val="TtuloCar"/>
    <w:uiPriority w:val="10"/>
    <w:qFormat/>
    <w:rsid w:val="00AC0E68"/>
    <w:pPr>
      <w:contextualSpacing/>
    </w:pPr>
    <w:rPr>
      <w:rFonts w:eastAsiaTheme="majorEastAsia" w:cstheme="majorBidi"/>
      <w:b/>
      <w:color w:val="1F3864" w:themeColor="accent1" w:themeShade="80"/>
      <w:spacing w:val="-10"/>
      <w:kern w:val="28"/>
      <w:sz w:val="26"/>
      <w:szCs w:val="56"/>
      <w14:ligatures w14:val="none"/>
    </w:rPr>
  </w:style>
  <w:style w:type="paragraph" w:styleId="TDC4">
    <w:name w:val="toc 4"/>
    <w:basedOn w:val="Normal"/>
    <w:next w:val="Normal"/>
    <w:autoRedefine/>
    <w:uiPriority w:val="39"/>
    <w:unhideWhenUsed/>
    <w:rsid w:val="00AC0E68"/>
    <w:pPr>
      <w:spacing w:after="100" w:line="256" w:lineRule="auto"/>
      <w:ind w:left="660"/>
    </w:pPr>
    <w:rPr>
      <w:rFonts w:eastAsiaTheme="minorEastAsia"/>
      <w:kern w:val="0"/>
      <w:lang w:eastAsia="es-CO"/>
      <w14:ligatures w14:val="none"/>
    </w:rPr>
  </w:style>
  <w:style w:type="paragraph" w:styleId="TDC5">
    <w:name w:val="toc 5"/>
    <w:basedOn w:val="Normal"/>
    <w:next w:val="Normal"/>
    <w:autoRedefine/>
    <w:uiPriority w:val="39"/>
    <w:unhideWhenUsed/>
    <w:rsid w:val="00AC0E68"/>
    <w:pPr>
      <w:spacing w:after="100" w:line="256" w:lineRule="auto"/>
      <w:ind w:left="880"/>
    </w:pPr>
    <w:rPr>
      <w:rFonts w:eastAsiaTheme="minorEastAsia"/>
      <w:kern w:val="0"/>
      <w:lang w:eastAsia="es-CO"/>
      <w14:ligatures w14:val="none"/>
    </w:rPr>
  </w:style>
  <w:style w:type="paragraph" w:styleId="TDC6">
    <w:name w:val="toc 6"/>
    <w:basedOn w:val="Normal"/>
    <w:next w:val="Normal"/>
    <w:autoRedefine/>
    <w:uiPriority w:val="39"/>
    <w:unhideWhenUsed/>
    <w:rsid w:val="00AC0E68"/>
    <w:pPr>
      <w:spacing w:after="100" w:line="256" w:lineRule="auto"/>
      <w:ind w:left="1100"/>
    </w:pPr>
    <w:rPr>
      <w:rFonts w:eastAsiaTheme="minorEastAsia"/>
      <w:kern w:val="0"/>
      <w:lang w:eastAsia="es-CO"/>
      <w14:ligatures w14:val="none"/>
    </w:rPr>
  </w:style>
  <w:style w:type="paragraph" w:styleId="TDC7">
    <w:name w:val="toc 7"/>
    <w:basedOn w:val="Normal"/>
    <w:next w:val="Normal"/>
    <w:autoRedefine/>
    <w:uiPriority w:val="39"/>
    <w:unhideWhenUsed/>
    <w:rsid w:val="00AC0E68"/>
    <w:pPr>
      <w:spacing w:after="100" w:line="256" w:lineRule="auto"/>
      <w:ind w:left="1320"/>
    </w:pPr>
    <w:rPr>
      <w:rFonts w:eastAsiaTheme="minorEastAsia"/>
      <w:kern w:val="0"/>
      <w:lang w:eastAsia="es-CO"/>
      <w14:ligatures w14:val="none"/>
    </w:rPr>
  </w:style>
  <w:style w:type="paragraph" w:styleId="TDC8">
    <w:name w:val="toc 8"/>
    <w:basedOn w:val="Normal"/>
    <w:next w:val="Normal"/>
    <w:autoRedefine/>
    <w:uiPriority w:val="39"/>
    <w:unhideWhenUsed/>
    <w:rsid w:val="00AC0E68"/>
    <w:pPr>
      <w:spacing w:after="100" w:line="256" w:lineRule="auto"/>
      <w:ind w:left="1540"/>
    </w:pPr>
    <w:rPr>
      <w:rFonts w:eastAsiaTheme="minorEastAsia"/>
      <w:kern w:val="0"/>
      <w:lang w:eastAsia="es-CO"/>
      <w14:ligatures w14:val="none"/>
    </w:rPr>
  </w:style>
  <w:style w:type="paragraph" w:styleId="TDC9">
    <w:name w:val="toc 9"/>
    <w:basedOn w:val="Normal"/>
    <w:next w:val="Normal"/>
    <w:autoRedefine/>
    <w:uiPriority w:val="39"/>
    <w:unhideWhenUsed/>
    <w:rsid w:val="00AC0E68"/>
    <w:pPr>
      <w:spacing w:after="100" w:line="256" w:lineRule="auto"/>
      <w:ind w:left="1760"/>
    </w:pPr>
    <w:rPr>
      <w:rFonts w:eastAsiaTheme="minorEastAsia"/>
      <w:kern w:val="0"/>
      <w:lang w:eastAsia="es-CO"/>
      <w14:ligatures w14:val="none"/>
    </w:rPr>
  </w:style>
  <w:style w:type="character" w:styleId="Mencinsinresolver">
    <w:name w:val="Unresolved Mention"/>
    <w:basedOn w:val="Fuentedeprrafopredeter"/>
    <w:uiPriority w:val="99"/>
    <w:semiHidden/>
    <w:unhideWhenUsed/>
    <w:rsid w:val="00AC0E68"/>
    <w:rPr>
      <w:color w:val="605E5C"/>
      <w:shd w:val="clear" w:color="auto" w:fill="E1DFDD"/>
    </w:rPr>
  </w:style>
  <w:style w:type="paragraph" w:styleId="Saludo">
    <w:name w:val="Salutation"/>
    <w:basedOn w:val="Normal"/>
    <w:next w:val="Normal"/>
    <w:link w:val="SaludoCar"/>
    <w:uiPriority w:val="99"/>
    <w:unhideWhenUsed/>
    <w:rsid w:val="00AC0E68"/>
    <w:rPr>
      <w:rFonts w:eastAsiaTheme="minorEastAsia"/>
      <w:kern w:val="0"/>
      <w:szCs w:val="24"/>
      <w:lang w:val="es-ES_tradnl"/>
      <w14:ligatures w14:val="none"/>
    </w:rPr>
  </w:style>
  <w:style w:type="paragraph" w:styleId="Textonotapie">
    <w:name w:val="footnote text"/>
    <w:aliases w:val="Footnote Text Char Char Char Char Char,Footnote Text Char Char Char Char,Footnote reference,FA Fu,Footnote Text Cha,Footnote Text Char Char Char,FA Fußnotentext,FA Fuﬂnotentext,Footnote Text Char Char,texto de nota al p,FA Fu Car Car Car"/>
    <w:basedOn w:val="Normal"/>
    <w:link w:val="TextonotapieCar"/>
    <w:uiPriority w:val="99"/>
    <w:unhideWhenUsed/>
    <w:rsid w:val="00AC0E68"/>
    <w:rPr>
      <w:kern w:val="0"/>
      <w:sz w:val="20"/>
      <w:szCs w:val="20"/>
      <w:lang w:val="es-ES"/>
      <w14:ligatures w14:val="none"/>
    </w:rPr>
  </w:style>
  <w:style w:type="character" w:styleId="Refdenotaalpie">
    <w:name w:val="footnote reference"/>
    <w:aliases w:val="Ref. de nota al pie 2,Pie de Página,FC,Texto de nota al pie,Texto de nota al pi,Appel note de bas de page,Footnotes refss,Footnote number,referencia nota al pie,BVI fnr,f,4_G,16 Point,Superscript 6 Point,Texto nota al pie,Footnote"/>
    <w:basedOn w:val="Fuentedeprrafopredeter"/>
    <w:link w:val="4GChar"/>
    <w:uiPriority w:val="99"/>
    <w:unhideWhenUsed/>
    <w:qFormat/>
    <w:rsid w:val="00AC0E68"/>
    <w:rPr>
      <w:vertAlign w:val="superscript"/>
    </w:rPr>
  </w:style>
  <w:style w:type="paragraph" w:styleId="Textoindependiente">
    <w:name w:val="Body Text"/>
    <w:aliases w:val="bt,body text,t,text,BODY TEXT,EDStext,sp,bodytext,bullet title,txt1,T1,Title 1,Text,sbs,block text,1,bt4,body text4,bt5,body text5,bt1,body text1,Teh2xt,Block text,tx,Resume Text,RFP Text,BT,heading_txt,bodytxy2,Justified,pp,P"/>
    <w:basedOn w:val="Normal"/>
    <w:link w:val="TextoindependienteCar"/>
    <w:uiPriority w:val="1"/>
    <w:qFormat/>
    <w:rsid w:val="00AC0E68"/>
    <w:pPr>
      <w:widowControl w:val="0"/>
      <w:autoSpaceDE w:val="0"/>
      <w:autoSpaceDN w:val="0"/>
    </w:pPr>
    <w:rPr>
      <w:rFonts w:eastAsia="Times New Roman" w:cs="Times New Roman"/>
      <w:kern w:val="0"/>
      <w:szCs w:val="24"/>
      <w:lang w:val="es-ES" w:eastAsia="es-ES" w:bidi="es-ES"/>
      <w14:ligatures w14:val="none"/>
    </w:rPr>
  </w:style>
  <w:style w:type="paragraph" w:customStyle="1" w:styleId="TableParagraph">
    <w:name w:val="Table Paragraph"/>
    <w:basedOn w:val="Normal"/>
    <w:uiPriority w:val="1"/>
    <w:qFormat/>
    <w:rsid w:val="00AC0E68"/>
    <w:pPr>
      <w:widowControl w:val="0"/>
      <w:autoSpaceDE w:val="0"/>
      <w:autoSpaceDN w:val="0"/>
      <w:ind w:left="107"/>
    </w:pPr>
    <w:rPr>
      <w:rFonts w:eastAsia="Times New Roman" w:cs="Times New Roman"/>
      <w:kern w:val="0"/>
      <w:lang w:val="es-ES" w:eastAsia="es-ES" w:bidi="es-ES"/>
      <w14:ligatures w14:val="none"/>
    </w:rPr>
  </w:style>
  <w:style w:type="paragraph" w:customStyle="1" w:styleId="Default">
    <w:name w:val="Default"/>
    <w:link w:val="DefaultCar"/>
    <w:qFormat/>
    <w:rsid w:val="00AC0E68"/>
    <w:pPr>
      <w:autoSpaceDE w:val="0"/>
      <w:autoSpaceDN w:val="0"/>
      <w:adjustRightInd w:val="0"/>
      <w:spacing w:after="0" w:line="240" w:lineRule="auto"/>
    </w:pPr>
    <w:rPr>
      <w:rFonts w:ascii="Verdana" w:eastAsia="Calibri" w:hAnsi="Verdana" w:cs="Verdana"/>
      <w:color w:val="000000"/>
      <w:kern w:val="0"/>
      <w:sz w:val="24"/>
      <w:szCs w:val="24"/>
      <w:lang w:eastAsia="es-CO"/>
      <w14:ligatures w14:val="none"/>
    </w:rPr>
  </w:style>
  <w:style w:type="paragraph" w:styleId="Textoindependiente2">
    <w:name w:val="Body Text 2"/>
    <w:basedOn w:val="Normal"/>
    <w:link w:val="Textoindependiente2Car"/>
    <w:unhideWhenUsed/>
    <w:rsid w:val="00AC0E68"/>
    <w:pPr>
      <w:spacing w:after="120" w:line="480" w:lineRule="auto"/>
    </w:pPr>
    <w:rPr>
      <w:rFonts w:ascii="Calibri" w:eastAsia="Calibri" w:hAnsi="Calibri" w:cs="Times New Roman"/>
      <w:kern w:val="0"/>
      <w14:ligatures w14:val="none"/>
    </w:rPr>
  </w:style>
  <w:style w:type="character" w:customStyle="1" w:styleId="normaltextrun">
    <w:name w:val="normaltextrun"/>
    <w:basedOn w:val="Fuentedeprrafopredeter"/>
    <w:rsid w:val="00AC0E68"/>
  </w:style>
  <w:style w:type="character" w:customStyle="1" w:styleId="eop">
    <w:name w:val="eop"/>
    <w:basedOn w:val="Fuentedeprrafopredeter"/>
    <w:rsid w:val="00AC0E68"/>
  </w:style>
  <w:style w:type="character" w:customStyle="1" w:styleId="normaltextrun1">
    <w:name w:val="normaltextrun1"/>
    <w:basedOn w:val="Fuentedeprrafopredeter"/>
    <w:rsid w:val="00AC0E68"/>
  </w:style>
  <w:style w:type="paragraph" w:customStyle="1" w:styleId="paragraph">
    <w:name w:val="paragraph"/>
    <w:basedOn w:val="Normal"/>
    <w:rsid w:val="00AC0E68"/>
    <w:pPr>
      <w:spacing w:before="100" w:beforeAutospacing="1" w:after="100" w:afterAutospacing="1"/>
    </w:pPr>
    <w:rPr>
      <w:rFonts w:eastAsia="Times New Roman" w:cs="Times New Roman"/>
      <w:kern w:val="0"/>
      <w:szCs w:val="24"/>
      <w:lang w:eastAsia="es-CO"/>
      <w14:ligatures w14:val="none"/>
    </w:rPr>
  </w:style>
  <w:style w:type="paragraph" w:customStyle="1" w:styleId="xmsoheader">
    <w:name w:val="x_msoheader"/>
    <w:basedOn w:val="Normal"/>
    <w:rsid w:val="00AC0E68"/>
    <w:rPr>
      <w:rFonts w:ascii="Calibri" w:hAnsi="Calibri" w:cs="Calibri"/>
      <w:kern w:val="0"/>
      <w:lang w:val="es-ES" w:eastAsia="es-ES"/>
      <w14:ligatures w14:val="none"/>
    </w:rPr>
  </w:style>
  <w:style w:type="table" w:customStyle="1" w:styleId="Tablaconcuadrcula1">
    <w:name w:val="Tabla con cuadrícula1"/>
    <w:basedOn w:val="Tablanormal"/>
    <w:next w:val="Tablaconcuadrcula"/>
    <w:uiPriority w:val="59"/>
    <w:rsid w:val="00AC0E68"/>
    <w:pPr>
      <w:spacing w:after="0" w:line="240" w:lineRule="auto"/>
    </w:pPr>
    <w:rPr>
      <w:rFonts w:ascii="Calibri" w:eastAsia="Calibri" w:hAnsi="Calibri" w:cs="Times New Roman"/>
      <w:kern w:val="0"/>
      <w:sz w:val="20"/>
      <w:szCs w:val="20"/>
      <w:lang w:eastAsia="es-CO"/>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
    <w:name w:val="Tabla con cuadrícula2"/>
    <w:basedOn w:val="Tablanormal"/>
    <w:next w:val="Tablaconcuadrcula"/>
    <w:uiPriority w:val="59"/>
    <w:rsid w:val="00AC0E68"/>
    <w:pPr>
      <w:spacing w:after="0" w:line="240" w:lineRule="auto"/>
    </w:pPr>
    <w:rPr>
      <w:rFonts w:ascii="Calibri" w:eastAsia="Calibri" w:hAnsi="Calibri" w:cs="Times New Roman"/>
      <w:kern w:val="0"/>
      <w:sz w:val="20"/>
      <w:szCs w:val="20"/>
      <w:lang w:eastAsia="es-CO"/>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
    <w:name w:val="Tabla con cuadrícula3"/>
    <w:basedOn w:val="Tablanormal"/>
    <w:next w:val="Tablaconcuadrcula"/>
    <w:uiPriority w:val="59"/>
    <w:rsid w:val="00AC0E68"/>
    <w:pPr>
      <w:spacing w:after="0" w:line="240" w:lineRule="auto"/>
    </w:pPr>
    <w:rPr>
      <w:rFonts w:ascii="Calibri" w:eastAsia="Calibri" w:hAnsi="Calibri" w:cs="Times New Roman"/>
      <w:kern w:val="0"/>
      <w:sz w:val="20"/>
      <w:szCs w:val="20"/>
      <w:lang w:eastAsia="es-CO"/>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
    <w:name w:val="Tabla con cuadrícula4"/>
    <w:basedOn w:val="Tablanormal"/>
    <w:next w:val="Tablaconcuadrcula"/>
    <w:uiPriority w:val="59"/>
    <w:rsid w:val="00AC0E68"/>
    <w:pPr>
      <w:spacing w:after="0" w:line="240" w:lineRule="auto"/>
    </w:pPr>
    <w:rPr>
      <w:rFonts w:ascii="Calibri" w:eastAsia="Calibri" w:hAnsi="Calibri" w:cs="Times New Roman"/>
      <w:kern w:val="0"/>
      <w:sz w:val="20"/>
      <w:szCs w:val="20"/>
      <w:lang w:eastAsia="es-CO"/>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msonormal">
    <w:name w:val="x_msonormal"/>
    <w:basedOn w:val="Normal"/>
    <w:rsid w:val="00AC0E68"/>
    <w:pPr>
      <w:spacing w:before="100" w:beforeAutospacing="1" w:after="100" w:afterAutospacing="1"/>
    </w:pPr>
    <w:rPr>
      <w:rFonts w:eastAsia="Times New Roman" w:cs="Times New Roman"/>
      <w:kern w:val="0"/>
      <w:szCs w:val="24"/>
      <w:lang w:eastAsia="es-CO"/>
      <w14:ligatures w14:val="none"/>
    </w:rPr>
  </w:style>
  <w:style w:type="character" w:customStyle="1" w:styleId="fontstyle01">
    <w:name w:val="fontstyle01"/>
    <w:basedOn w:val="Fuentedeprrafopredeter"/>
    <w:rsid w:val="00AC0E68"/>
    <w:rPr>
      <w:rFonts w:ascii="ArialNarrow-Bold" w:hAnsi="ArialNarrow-Bold" w:hint="default"/>
      <w:b/>
      <w:bCs/>
      <w:i w:val="0"/>
      <w:iCs w:val="0"/>
      <w:color w:val="000000"/>
      <w:sz w:val="20"/>
      <w:szCs w:val="20"/>
    </w:rPr>
  </w:style>
  <w:style w:type="character" w:styleId="Fuerte">
    <w:name w:val="Strong"/>
    <w:basedOn w:val="Fuentedeprrafopredeter"/>
    <w:uiPriority w:val="22"/>
    <w:qFormat/>
    <w:rsid w:val="00AC0E68"/>
    <w:rPr>
      <w:b/>
      <w:bCs/>
    </w:rPr>
  </w:style>
  <w:style w:type="paragraph" w:styleId="Sangra3detindependiente">
    <w:name w:val="Body Text Indent 3"/>
    <w:basedOn w:val="Normal"/>
    <w:link w:val="Sangra3detindependienteCar"/>
    <w:rsid w:val="00AC0E68"/>
    <w:rPr>
      <w:rFonts w:ascii="Arial" w:eastAsia="Times New Roman" w:hAnsi="Arial" w:cs="Arial"/>
      <w:kern w:val="0"/>
      <w:szCs w:val="24"/>
      <w:lang w:val="es-ES"/>
      <w14:ligatures w14:val="none"/>
    </w:rPr>
  </w:style>
  <w:style w:type="paragraph" w:customStyle="1" w:styleId="Diana2">
    <w:name w:val="Diana 2"/>
    <w:basedOn w:val="Normal"/>
    <w:link w:val="Diana2Car"/>
    <w:rsid w:val="00AC0E68"/>
    <w:rPr>
      <w:rFonts w:ascii="Arial" w:eastAsia="Times New Roman" w:hAnsi="Arial" w:cs="Arial"/>
      <w:b/>
      <w:smallCaps/>
      <w:kern w:val="0"/>
      <w:szCs w:val="24"/>
      <w:u w:val="single"/>
      <w:lang w:val="es-ES"/>
      <w14:ligatures w14:val="none"/>
    </w:rPr>
  </w:style>
  <w:style w:type="character" w:customStyle="1" w:styleId="Diana2Car">
    <w:name w:val="Diana 2 Car"/>
    <w:link w:val="Diana2"/>
    <w:rsid w:val="00AC0E68"/>
    <w:rPr>
      <w:rFonts w:ascii="Arial" w:eastAsia="Times New Roman" w:hAnsi="Arial" w:cs="Arial"/>
      <w:b/>
      <w:smallCaps/>
      <w:kern w:val="0"/>
      <w:sz w:val="24"/>
      <w:szCs w:val="24"/>
      <w:u w:val="single"/>
      <w:lang w:val="es-ES"/>
      <w14:ligatures w14:val="none"/>
    </w:rPr>
  </w:style>
  <w:style w:type="paragraph" w:styleId="NormalWeb">
    <w:name w:val="Normal (Web)"/>
    <w:basedOn w:val="Normal"/>
    <w:uiPriority w:val="99"/>
    <w:unhideWhenUsed/>
    <w:rsid w:val="00AC0E68"/>
    <w:pPr>
      <w:spacing w:before="100" w:beforeAutospacing="1" w:after="100" w:afterAutospacing="1"/>
    </w:pPr>
    <w:rPr>
      <w:rFonts w:eastAsia="Times New Roman" w:cs="Times New Roman"/>
      <w:kern w:val="0"/>
      <w:szCs w:val="24"/>
      <w:lang w:eastAsia="es-CO"/>
      <w14:ligatures w14:val="none"/>
    </w:rPr>
  </w:style>
  <w:style w:type="paragraph" w:customStyle="1" w:styleId="Normal1">
    <w:name w:val="Normal 1"/>
    <w:basedOn w:val="Sangranormal"/>
    <w:uiPriority w:val="99"/>
    <w:qFormat/>
    <w:rsid w:val="00AC0E68"/>
    <w:pPr>
      <w:spacing w:line="240" w:lineRule="auto"/>
      <w:ind w:hanging="720"/>
    </w:pPr>
    <w:rPr>
      <w:rFonts w:ascii="Times New Roman" w:eastAsia="MS Mincho" w:hAnsi="Times New Roman"/>
      <w:szCs w:val="24"/>
      <w:lang w:val="es-ES_tradnl" w:eastAsia="es-ES"/>
    </w:rPr>
  </w:style>
  <w:style w:type="paragraph" w:styleId="Sangranormal">
    <w:name w:val="Normal Indent"/>
    <w:basedOn w:val="Normal"/>
    <w:uiPriority w:val="99"/>
    <w:unhideWhenUsed/>
    <w:rsid w:val="00AC0E68"/>
    <w:pPr>
      <w:spacing w:line="256" w:lineRule="auto"/>
      <w:ind w:left="720"/>
    </w:pPr>
    <w:rPr>
      <w:rFonts w:ascii="Calibri" w:eastAsia="Calibri" w:hAnsi="Calibri" w:cs="Times New Roman"/>
      <w:kern w:val="0"/>
      <w14:ligatures w14:val="none"/>
    </w:rPr>
  </w:style>
  <w:style w:type="paragraph" w:styleId="Descripcin">
    <w:name w:val="caption"/>
    <w:aliases w:val="Epígrafe1,Titulo Tabla,FIGURA Car,Epígrafe11,A,Epígrafe Car Car,Figs y tabs,Tablas,Tablas Car,Indice de figura,Car Car Car Car Car,Car, Car Car Car Car Car,Epígrafe Car1,Epígrafe Car2,Epígrafe Car3,Epígrafe Car4,Epígrafe Car5,Cuadro No,D"/>
    <w:basedOn w:val="Normal"/>
    <w:next w:val="Normal"/>
    <w:link w:val="DescripcinCar"/>
    <w:qFormat/>
    <w:rsid w:val="00AC0E68"/>
    <w:pPr>
      <w:spacing w:before="120" w:after="120"/>
      <w:jc w:val="center"/>
    </w:pPr>
    <w:rPr>
      <w:rFonts w:ascii="Arial" w:eastAsia="Times New Roman" w:hAnsi="Arial" w:cs="Times New Roman"/>
      <w:b/>
      <w:bCs/>
      <w:kern w:val="0"/>
      <w:sz w:val="20"/>
      <w:szCs w:val="20"/>
      <w:lang w:val="x-none" w:eastAsia="es-CO"/>
      <w14:ligatures w14:val="none"/>
    </w:rPr>
  </w:style>
  <w:style w:type="character" w:customStyle="1" w:styleId="Cuerpodeltexto">
    <w:name w:val="Cuerpo del texto_"/>
    <w:basedOn w:val="Fuentedeprrafopredeter"/>
    <w:link w:val="Cuerpodeltexto0"/>
    <w:rsid w:val="00AC0E68"/>
    <w:rPr>
      <w:rFonts w:ascii="Times New Roman" w:eastAsia="Times New Roman" w:hAnsi="Times New Roman"/>
      <w:b/>
      <w:bCs/>
      <w:sz w:val="21"/>
      <w:szCs w:val="21"/>
      <w:shd w:val="clear" w:color="auto" w:fill="FFFFFF"/>
    </w:rPr>
  </w:style>
  <w:style w:type="paragraph" w:customStyle="1" w:styleId="Cuerpodeltexto0">
    <w:name w:val="Cuerpo del texto"/>
    <w:basedOn w:val="Normal"/>
    <w:link w:val="Cuerpodeltexto"/>
    <w:rsid w:val="00AC0E68"/>
    <w:pPr>
      <w:widowControl w:val="0"/>
      <w:shd w:val="clear" w:color="auto" w:fill="FFFFFF"/>
      <w:spacing w:line="0" w:lineRule="atLeast"/>
      <w:ind w:hanging="880"/>
      <w:jc w:val="center"/>
    </w:pPr>
    <w:rPr>
      <w:rFonts w:eastAsia="Times New Roman"/>
      <w:b/>
      <w:bCs/>
      <w:sz w:val="21"/>
      <w:szCs w:val="21"/>
    </w:rPr>
  </w:style>
  <w:style w:type="character" w:customStyle="1" w:styleId="Cuerpodeltexto8">
    <w:name w:val="Cuerpo del texto + 8"/>
    <w:aliases w:val="5 pto,Sin negrita"/>
    <w:basedOn w:val="Cuerpodeltexto"/>
    <w:rsid w:val="00AC0E68"/>
    <w:rPr>
      <w:rFonts w:ascii="Times New Roman" w:eastAsia="Times New Roman" w:hAnsi="Times New Roman"/>
      <w:b/>
      <w:bCs/>
      <w:color w:val="000000"/>
      <w:spacing w:val="0"/>
      <w:w w:val="100"/>
      <w:position w:val="0"/>
      <w:sz w:val="17"/>
      <w:szCs w:val="17"/>
      <w:shd w:val="clear" w:color="auto" w:fill="FFFFFF"/>
      <w:lang w:val="es-ES" w:eastAsia="es-ES" w:bidi="es-ES"/>
    </w:rPr>
  </w:style>
  <w:style w:type="paragraph" w:customStyle="1" w:styleId="name">
    <w:name w:val="name"/>
    <w:basedOn w:val="Normal"/>
    <w:rsid w:val="00AC0E68"/>
    <w:pPr>
      <w:spacing w:line="220" w:lineRule="exact"/>
    </w:pPr>
    <w:rPr>
      <w:rFonts w:ascii="Brooklynesque-Bold" w:eastAsia="Times" w:hAnsi="Brooklynesque-Bold" w:cs="Times New Roman"/>
      <w:kern w:val="0"/>
      <w:sz w:val="19"/>
      <w:szCs w:val="20"/>
      <w:lang w:val="en-US"/>
      <w14:ligatures w14:val="none"/>
    </w:rPr>
  </w:style>
  <w:style w:type="table" w:customStyle="1" w:styleId="Tabladecuadrcula4-nfasis18">
    <w:name w:val="Tabla de cuadrícula 4 - Énfasis 18"/>
    <w:basedOn w:val="Tablanormal"/>
    <w:uiPriority w:val="49"/>
    <w:rsid w:val="00AC0E68"/>
    <w:pPr>
      <w:spacing w:after="0" w:line="240" w:lineRule="auto"/>
    </w:pPr>
    <w:rPr>
      <w:rFonts w:ascii="Calibri" w:eastAsia="Calibri" w:hAnsi="Calibri" w:cs="Times New Roman"/>
      <w:kern w:val="0"/>
      <w:sz w:val="20"/>
      <w:szCs w:val="20"/>
      <w:lang w:eastAsia="es-CO"/>
      <w14:ligatures w14:val="none"/>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Tablaconcuadrcula4-nfasis5">
    <w:name w:val="Grid Table 4 Accent 5"/>
    <w:basedOn w:val="Tablanormal"/>
    <w:uiPriority w:val="49"/>
    <w:rsid w:val="00AC0E68"/>
    <w:pPr>
      <w:spacing w:after="0" w:line="240" w:lineRule="auto"/>
    </w:pPr>
    <w:rPr>
      <w:rFonts w:ascii="Calibri" w:eastAsia="Calibri" w:hAnsi="Calibri" w:cs="Times New Roman"/>
      <w:kern w:val="0"/>
      <w:sz w:val="20"/>
      <w:szCs w:val="20"/>
      <w:lang w:eastAsia="es-CO"/>
      <w14:ligatures w14:val="none"/>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paragraph" w:customStyle="1" w:styleId="VIETAS">
    <w:name w:val="VIÑETAS"/>
    <w:basedOn w:val="Normal"/>
    <w:qFormat/>
    <w:rsid w:val="00AC0E68"/>
    <w:pPr>
      <w:tabs>
        <w:tab w:val="num" w:pos="360"/>
      </w:tabs>
      <w:ind w:left="360" w:hanging="360"/>
    </w:pPr>
    <w:rPr>
      <w:rFonts w:eastAsia="Times New Roman" w:cs="Times New Roman"/>
      <w:kern w:val="0"/>
      <w:sz w:val="20"/>
      <w:szCs w:val="20"/>
      <w:lang w:val="es-ES" w:eastAsia="es-ES"/>
      <w14:ligatures w14:val="none"/>
    </w:rPr>
  </w:style>
  <w:style w:type="character" w:styleId="Nmerodepgina">
    <w:name w:val="page number"/>
    <w:basedOn w:val="Fuentedeprrafopredeter"/>
    <w:rsid w:val="00AC0E68"/>
  </w:style>
  <w:style w:type="character" w:customStyle="1" w:styleId="Revisin1">
    <w:name w:val="Revisión1"/>
    <w:rsid w:val="00AC0E68"/>
    <w:rPr>
      <w:color w:val="FF0000"/>
    </w:rPr>
  </w:style>
  <w:style w:type="paragraph" w:customStyle="1" w:styleId="StyleTOC3Left0cm">
    <w:name w:val="Style TOC 3 + Left:  0 cm"/>
    <w:basedOn w:val="TDC3"/>
    <w:rsid w:val="00AC0E68"/>
    <w:pPr>
      <w:tabs>
        <w:tab w:val="left" w:pos="709"/>
        <w:tab w:val="right" w:leader="dot" w:pos="9112"/>
      </w:tabs>
      <w:spacing w:before="40" w:after="0" w:line="240" w:lineRule="auto"/>
      <w:ind w:left="0"/>
    </w:pPr>
    <w:rPr>
      <w:rFonts w:ascii="Arial" w:eastAsia="Times New Roman" w:hAnsi="Arial"/>
      <w:noProof/>
      <w:lang w:val="es-ES_tradnl" w:eastAsia="en-US"/>
    </w:rPr>
  </w:style>
  <w:style w:type="paragraph" w:styleId="Lista">
    <w:name w:val="List"/>
    <w:basedOn w:val="Normal"/>
    <w:rsid w:val="00AC0E68"/>
    <w:pPr>
      <w:numPr>
        <w:numId w:val="15"/>
      </w:numPr>
      <w:spacing w:before="120"/>
      <w:ind w:left="0" w:firstLine="0"/>
    </w:pPr>
    <w:rPr>
      <w:rFonts w:ascii="Arial" w:eastAsia="Times New Roman" w:hAnsi="Arial" w:cs="Times New Roman"/>
      <w:kern w:val="0"/>
      <w:lang w:val="es-ES_tradnl"/>
      <w14:ligatures w14:val="none"/>
    </w:rPr>
  </w:style>
  <w:style w:type="paragraph" w:customStyle="1" w:styleId="StyleTOC2Left0cm">
    <w:name w:val="Style TOC 2 + Left:  0 cm"/>
    <w:basedOn w:val="TDC2"/>
    <w:rsid w:val="00AC0E68"/>
    <w:pPr>
      <w:tabs>
        <w:tab w:val="left" w:pos="709"/>
        <w:tab w:val="right" w:leader="dot" w:pos="9112"/>
      </w:tabs>
      <w:spacing w:before="40" w:after="0" w:line="240" w:lineRule="auto"/>
      <w:ind w:left="0"/>
    </w:pPr>
    <w:rPr>
      <w:rFonts w:ascii="Arial" w:eastAsia="Times New Roman" w:hAnsi="Arial"/>
      <w:caps/>
      <w:noProof/>
      <w:lang w:val="es-ES_tradnl" w:eastAsia="en-US"/>
    </w:rPr>
  </w:style>
  <w:style w:type="paragraph" w:customStyle="1" w:styleId="ecuacin">
    <w:name w:val="ecuación"/>
    <w:basedOn w:val="Normal"/>
    <w:next w:val="Normal"/>
    <w:rsid w:val="00AC0E68"/>
    <w:pPr>
      <w:tabs>
        <w:tab w:val="center" w:pos="4536"/>
        <w:tab w:val="right" w:pos="9072"/>
      </w:tabs>
      <w:spacing w:before="120" w:after="120"/>
    </w:pPr>
    <w:rPr>
      <w:rFonts w:ascii="Arial" w:eastAsia="Times New Roman" w:hAnsi="Arial" w:cs="Times New Roman"/>
      <w:snapToGrid w:val="0"/>
      <w:kern w:val="0"/>
      <w:lang w:val="es-ES" w:eastAsia="es-ES"/>
      <w14:ligatures w14:val="none"/>
    </w:rPr>
  </w:style>
  <w:style w:type="paragraph" w:customStyle="1" w:styleId="titulodefigura">
    <w:name w:val="titulo de figura"/>
    <w:basedOn w:val="Encabezado"/>
    <w:next w:val="Normal"/>
    <w:semiHidden/>
    <w:rsid w:val="00AC0E68"/>
    <w:pPr>
      <w:tabs>
        <w:tab w:val="clear" w:pos="4419"/>
        <w:tab w:val="clear" w:pos="8838"/>
      </w:tabs>
      <w:spacing w:before="120" w:after="120"/>
      <w:jc w:val="center"/>
    </w:pPr>
    <w:rPr>
      <w:rFonts w:ascii="Arial" w:eastAsia="Times New Roman" w:hAnsi="Arial" w:cs="Times New Roman"/>
      <w:b/>
      <w:i/>
      <w:snapToGrid w:val="0"/>
      <w:kern w:val="0"/>
      <w:sz w:val="18"/>
      <w:lang w:val="es-ES" w:eastAsia="es-ES"/>
      <w14:ligatures w14:val="none"/>
    </w:rPr>
  </w:style>
  <w:style w:type="paragraph" w:customStyle="1" w:styleId="textotabla">
    <w:name w:val="texto tabla"/>
    <w:basedOn w:val="titulodefigura"/>
    <w:semiHidden/>
    <w:rsid w:val="00AC0E68"/>
    <w:pPr>
      <w:spacing w:before="40" w:after="40"/>
    </w:pPr>
    <w:rPr>
      <w:b w:val="0"/>
      <w:i w:val="0"/>
      <w:sz w:val="16"/>
    </w:rPr>
  </w:style>
  <w:style w:type="paragraph" w:customStyle="1" w:styleId="titulodetabla">
    <w:name w:val="titulo de tabla"/>
    <w:basedOn w:val="titulodefigura"/>
    <w:next w:val="Normal"/>
    <w:semiHidden/>
    <w:rsid w:val="00AC0E68"/>
  </w:style>
  <w:style w:type="paragraph" w:styleId="Listaconvietas">
    <w:name w:val="List Bullet"/>
    <w:basedOn w:val="Normal"/>
    <w:autoRedefine/>
    <w:rsid w:val="00AC0E68"/>
    <w:pPr>
      <w:spacing w:after="240"/>
      <w:ind w:left="567" w:hanging="567"/>
    </w:pPr>
    <w:rPr>
      <w:rFonts w:ascii="Arial" w:eastAsia="Times New Roman" w:hAnsi="Arial" w:cs="Times New Roman"/>
      <w:kern w:val="0"/>
      <w:lang w:val="es-ES_tradnl"/>
      <w14:ligatures w14:val="none"/>
    </w:rPr>
  </w:style>
  <w:style w:type="paragraph" w:styleId="ndice1">
    <w:name w:val="index 1"/>
    <w:basedOn w:val="Normal"/>
    <w:next w:val="Normal"/>
    <w:autoRedefine/>
    <w:semiHidden/>
    <w:rsid w:val="00AC0E68"/>
    <w:pPr>
      <w:tabs>
        <w:tab w:val="right" w:leader="dot" w:pos="8222"/>
      </w:tabs>
      <w:spacing w:after="240"/>
      <w:ind w:left="240" w:hanging="240"/>
    </w:pPr>
    <w:rPr>
      <w:rFonts w:ascii="Arial" w:eastAsia="Times New Roman" w:hAnsi="Arial" w:cs="Times New Roman"/>
      <w:kern w:val="0"/>
      <w:lang w:val="es-ES_tradnl"/>
      <w14:ligatures w14:val="none"/>
    </w:rPr>
  </w:style>
  <w:style w:type="paragraph" w:styleId="Tabladeilustraciones">
    <w:name w:val="table of figures"/>
    <w:basedOn w:val="Normal"/>
    <w:next w:val="Normal"/>
    <w:autoRedefine/>
    <w:uiPriority w:val="99"/>
    <w:rsid w:val="00AC0E68"/>
    <w:pPr>
      <w:tabs>
        <w:tab w:val="left" w:pos="1276"/>
        <w:tab w:val="right" w:leader="dot" w:pos="9072"/>
      </w:tabs>
      <w:ind w:left="1276" w:right="851" w:hanging="1276"/>
    </w:pPr>
    <w:rPr>
      <w:rFonts w:ascii="Arial" w:eastAsia="Times New Roman" w:hAnsi="Arial" w:cs="Times New Roman"/>
      <w:iCs/>
      <w:noProof/>
      <w:kern w:val="0"/>
      <w:lang w:val="es-ES_tradnl"/>
      <w14:ligatures w14:val="none"/>
    </w:rPr>
  </w:style>
  <w:style w:type="paragraph" w:customStyle="1" w:styleId="TextoIndependiente0">
    <w:name w:val="Texto Independiente"/>
    <w:basedOn w:val="Normal"/>
    <w:semiHidden/>
    <w:rsid w:val="00AC0E68"/>
    <w:pPr>
      <w:spacing w:before="20" w:after="20"/>
    </w:pPr>
    <w:rPr>
      <w:rFonts w:ascii="Arial" w:eastAsia="Times New Roman" w:hAnsi="Arial" w:cs="Times New Roman"/>
      <w:kern w:val="0"/>
      <w:lang w:val="es-ES_tradnl"/>
      <w14:ligatures w14:val="none"/>
    </w:rPr>
  </w:style>
  <w:style w:type="paragraph" w:styleId="Sangradetextonormal">
    <w:name w:val="Body Text Indent"/>
    <w:basedOn w:val="Normal"/>
    <w:link w:val="SangradetextonormalCar"/>
    <w:uiPriority w:val="99"/>
    <w:semiHidden/>
    <w:rsid w:val="00AC0E68"/>
    <w:pPr>
      <w:tabs>
        <w:tab w:val="left" w:pos="4678"/>
        <w:tab w:val="left" w:pos="7655"/>
      </w:tabs>
      <w:ind w:left="1418"/>
    </w:pPr>
    <w:rPr>
      <w:rFonts w:ascii="Futura Light" w:eastAsia="Times New Roman" w:hAnsi="Futura Light" w:cs="Times New Roman"/>
      <w:kern w:val="0"/>
      <w:lang w:val="en-GB"/>
      <w14:ligatures w14:val="none"/>
    </w:rPr>
  </w:style>
  <w:style w:type="paragraph" w:customStyle="1" w:styleId="Absatz3">
    <w:name w:val="Absatz3"/>
    <w:basedOn w:val="Normal"/>
    <w:rsid w:val="00AC0E68"/>
    <w:pPr>
      <w:spacing w:line="300" w:lineRule="atLeast"/>
      <w:ind w:left="170"/>
    </w:pPr>
    <w:rPr>
      <w:rFonts w:ascii="Arial" w:eastAsia="Times New Roman" w:hAnsi="Arial" w:cs="Times New Roman"/>
      <w:kern w:val="0"/>
      <w:lang w:val="en-GB"/>
      <w14:ligatures w14:val="none"/>
    </w:rPr>
  </w:style>
  <w:style w:type="paragraph" w:styleId="Listaconvietas2">
    <w:name w:val="List Bullet 2"/>
    <w:basedOn w:val="Normal"/>
    <w:autoRedefine/>
    <w:rsid w:val="00AC0E68"/>
    <w:pPr>
      <w:spacing w:before="120"/>
    </w:pPr>
    <w:rPr>
      <w:rFonts w:ascii="Arial" w:eastAsia="Arial Unicode MS" w:hAnsi="Arial" w:cs="Times New Roman"/>
      <w:kern w:val="0"/>
      <w:lang w:val="es-ES"/>
      <w14:ligatures w14:val="none"/>
    </w:rPr>
  </w:style>
  <w:style w:type="paragraph" w:customStyle="1" w:styleId="Estilo1">
    <w:name w:val="Estilo1"/>
    <w:basedOn w:val="Listaconvietas4"/>
    <w:semiHidden/>
    <w:rsid w:val="00AC0E68"/>
    <w:rPr>
      <w:rFonts w:eastAsia="MS Mincho"/>
      <w:lang w:val="en-GB"/>
    </w:rPr>
  </w:style>
  <w:style w:type="paragraph" w:styleId="Listaconvietas4">
    <w:name w:val="List Bullet 4"/>
    <w:basedOn w:val="Normal"/>
    <w:autoRedefine/>
    <w:semiHidden/>
    <w:rsid w:val="00AC0E68"/>
    <w:pPr>
      <w:spacing w:before="120"/>
    </w:pPr>
    <w:rPr>
      <w:rFonts w:ascii="Arial" w:eastAsia="Times New Roman" w:hAnsi="Arial" w:cs="Times New Roman"/>
      <w:kern w:val="0"/>
      <w:lang w:val="es-ES"/>
      <w14:ligatures w14:val="none"/>
    </w:rPr>
  </w:style>
  <w:style w:type="paragraph" w:customStyle="1" w:styleId="Listaconvieta4">
    <w:name w:val="Lista con viñeta 4"/>
    <w:basedOn w:val="Listaconvietas3"/>
    <w:semiHidden/>
    <w:rsid w:val="00AC0E68"/>
    <w:rPr>
      <w:rFonts w:eastAsia="MS Mincho"/>
      <w:lang w:val="en-GB"/>
    </w:rPr>
  </w:style>
  <w:style w:type="paragraph" w:styleId="Listaconvietas3">
    <w:name w:val="List Bullet 3"/>
    <w:basedOn w:val="Normal"/>
    <w:autoRedefine/>
    <w:semiHidden/>
    <w:rsid w:val="00AC0E68"/>
    <w:pPr>
      <w:spacing w:before="120"/>
    </w:pPr>
    <w:rPr>
      <w:rFonts w:ascii="Arial" w:eastAsia="Times New Roman" w:hAnsi="Arial" w:cs="Times New Roman"/>
      <w:kern w:val="0"/>
      <w:lang w:val="es-ES"/>
      <w14:ligatures w14:val="none"/>
    </w:rPr>
  </w:style>
  <w:style w:type="paragraph" w:styleId="Sangra2detindependiente">
    <w:name w:val="Body Text Indent 2"/>
    <w:basedOn w:val="Normal"/>
    <w:link w:val="Sangra2detindependienteCar"/>
    <w:semiHidden/>
    <w:rsid w:val="00AC0E68"/>
    <w:pPr>
      <w:tabs>
        <w:tab w:val="left" w:pos="5103"/>
      </w:tabs>
      <w:spacing w:before="240"/>
      <w:ind w:left="2552" w:hanging="2552"/>
    </w:pPr>
    <w:rPr>
      <w:rFonts w:ascii="Arial" w:eastAsia="Times New Roman" w:hAnsi="Arial" w:cs="Times New Roman"/>
      <w:kern w:val="0"/>
      <w:lang w:val="es-ES_tradnl"/>
      <w14:ligatures w14:val="none"/>
    </w:rPr>
  </w:style>
  <w:style w:type="paragraph" w:customStyle="1" w:styleId="Numeral">
    <w:name w:val="Numeral"/>
    <w:basedOn w:val="Normal"/>
    <w:semiHidden/>
    <w:rsid w:val="00AC0E68"/>
    <w:pPr>
      <w:tabs>
        <w:tab w:val="num" w:pos="1080"/>
      </w:tabs>
      <w:spacing w:before="240"/>
      <w:ind w:left="1080" w:hanging="360"/>
    </w:pPr>
    <w:rPr>
      <w:rFonts w:ascii="Arial" w:eastAsia="Times New Roman" w:hAnsi="Arial" w:cs="Times New Roman"/>
      <w:kern w:val="0"/>
      <w:lang w:val="es-ES_tradnl"/>
      <w14:ligatures w14:val="none"/>
    </w:rPr>
  </w:style>
  <w:style w:type="paragraph" w:customStyle="1" w:styleId="StyleTOC3ArialNegritaNotItalicLeft15cmBefore2">
    <w:name w:val="Style TOC 3 + Arial Negrita Not Italic Left:  15 cm Before:  2 ..."/>
    <w:basedOn w:val="TDC3"/>
    <w:autoRedefine/>
    <w:semiHidden/>
    <w:rsid w:val="00AC0E68"/>
    <w:pPr>
      <w:tabs>
        <w:tab w:val="left" w:pos="851"/>
        <w:tab w:val="right" w:leader="dot" w:pos="9072"/>
      </w:tabs>
      <w:spacing w:before="40" w:after="0" w:line="240" w:lineRule="auto"/>
      <w:ind w:left="851" w:right="851" w:hanging="851"/>
    </w:pPr>
    <w:rPr>
      <w:rFonts w:ascii="Arial Negrita" w:eastAsia="Times New Roman" w:hAnsi="Arial Negrita"/>
      <w:i/>
      <w:iCs/>
      <w:noProof/>
      <w:lang w:val="es-ES_tradnl" w:eastAsia="en-US"/>
    </w:rPr>
  </w:style>
  <w:style w:type="paragraph" w:customStyle="1" w:styleId="StyleArial11ptJustified">
    <w:name w:val="Style Arial 11 pt Justified"/>
    <w:basedOn w:val="Normal"/>
    <w:autoRedefine/>
    <w:rsid w:val="00AC0E68"/>
    <w:pPr>
      <w:overflowPunct w:val="0"/>
      <w:autoSpaceDE w:val="0"/>
      <w:autoSpaceDN w:val="0"/>
      <w:adjustRightInd w:val="0"/>
      <w:spacing w:before="120"/>
      <w:textAlignment w:val="baseline"/>
    </w:pPr>
    <w:rPr>
      <w:rFonts w:ascii="Arial" w:eastAsia="Times New Roman" w:hAnsi="Arial" w:cs="Times New Roman"/>
      <w:kern w:val="0"/>
      <w:sz w:val="20"/>
      <w:szCs w:val="20"/>
      <w:lang w:val="es-ES"/>
      <w14:ligatures w14:val="none"/>
    </w:rPr>
  </w:style>
  <w:style w:type="character" w:customStyle="1" w:styleId="CharChar9">
    <w:name w:val="Char Char9"/>
    <w:rsid w:val="00AC0E68"/>
    <w:rPr>
      <w:rFonts w:ascii="Arial" w:hAnsi="Arial" w:cs="Arial"/>
      <w:b/>
      <w:bCs/>
      <w:sz w:val="26"/>
      <w:szCs w:val="26"/>
      <w:lang w:val="de-DE" w:eastAsia="de-DE" w:bidi="ar-SA"/>
    </w:rPr>
  </w:style>
  <w:style w:type="paragraph" w:customStyle="1" w:styleId="Inhalt">
    <w:name w:val="Inhalt"/>
    <w:basedOn w:val="Normal"/>
    <w:rsid w:val="00AC0E68"/>
    <w:pPr>
      <w:overflowPunct w:val="0"/>
      <w:autoSpaceDE w:val="0"/>
      <w:autoSpaceDN w:val="0"/>
      <w:adjustRightInd w:val="0"/>
      <w:spacing w:line="288" w:lineRule="exact"/>
      <w:textAlignment w:val="baseline"/>
    </w:pPr>
    <w:rPr>
      <w:rFonts w:ascii="Arial" w:eastAsia="Times New Roman" w:hAnsi="Arial" w:cs="Times New Roman"/>
      <w:b/>
      <w:kern w:val="0"/>
      <w:szCs w:val="20"/>
      <w:lang w:eastAsia="de-DE"/>
      <w14:ligatures w14:val="none"/>
    </w:rPr>
  </w:style>
  <w:style w:type="paragraph" w:customStyle="1" w:styleId="Anschrift">
    <w:name w:val="Anschrift"/>
    <w:basedOn w:val="Normal"/>
    <w:rsid w:val="00AC0E68"/>
    <w:pPr>
      <w:tabs>
        <w:tab w:val="left" w:pos="6550"/>
      </w:tabs>
      <w:overflowPunct w:val="0"/>
      <w:autoSpaceDE w:val="0"/>
      <w:autoSpaceDN w:val="0"/>
      <w:adjustRightInd w:val="0"/>
      <w:textAlignment w:val="baseline"/>
    </w:pPr>
    <w:rPr>
      <w:rFonts w:ascii="Arial" w:eastAsia="Times New Roman" w:hAnsi="Arial" w:cs="Times New Roman"/>
      <w:kern w:val="0"/>
      <w:szCs w:val="20"/>
      <w:lang w:eastAsia="de-DE"/>
      <w14:ligatures w14:val="none"/>
    </w:rPr>
  </w:style>
  <w:style w:type="paragraph" w:customStyle="1" w:styleId="EstiloNegrita">
    <w:name w:val="Estilo Negrita"/>
    <w:basedOn w:val="Normal"/>
    <w:autoRedefine/>
    <w:semiHidden/>
    <w:rsid w:val="00AC0E68"/>
    <w:pPr>
      <w:spacing w:before="120"/>
      <w:jc w:val="center"/>
    </w:pPr>
    <w:rPr>
      <w:rFonts w:ascii="Arial" w:eastAsia="Times New Roman" w:hAnsi="Arial" w:cs="Times New Roman"/>
      <w:b/>
      <w:bCs/>
      <w:kern w:val="0"/>
      <w:szCs w:val="20"/>
      <w:lang w:val="es-ES_tradnl"/>
      <w14:ligatures w14:val="none"/>
    </w:rPr>
  </w:style>
  <w:style w:type="character" w:customStyle="1" w:styleId="EstiloNegrita1">
    <w:name w:val="Estilo Negrita1"/>
    <w:rsid w:val="00AC0E68"/>
    <w:rPr>
      <w:rFonts w:ascii="Arial" w:hAnsi="Arial"/>
      <w:b/>
      <w:bCs/>
      <w:sz w:val="22"/>
    </w:rPr>
  </w:style>
  <w:style w:type="numbering" w:customStyle="1" w:styleId="EstiloVieta-HTAEsquemanumeradoIzquierda113cmSangraf">
    <w:name w:val="Estilo Viñeta-HTA + Esquema numerado Izquierda:  1.13 cm Sangría f..."/>
    <w:basedOn w:val="Sinlista"/>
    <w:rsid w:val="00AC0E68"/>
    <w:pPr>
      <w:numPr>
        <w:numId w:val="19"/>
      </w:numPr>
    </w:pPr>
  </w:style>
  <w:style w:type="numbering" w:customStyle="1" w:styleId="EstiloNegrita2">
    <w:name w:val="Estilo Negrita2"/>
    <w:basedOn w:val="EstiloVieta-HTAEsquemanumeradoIzquierda113cmSangraf"/>
    <w:rsid w:val="00AC0E68"/>
    <w:pPr>
      <w:numPr>
        <w:numId w:val="18"/>
      </w:numPr>
    </w:pPr>
  </w:style>
  <w:style w:type="paragraph" w:customStyle="1" w:styleId="EstiloTabladeilustracionesDerecha1cm">
    <w:name w:val="Estilo Tabla de ilustraciones + Derecha:  1 cm"/>
    <w:basedOn w:val="Tabladeilustraciones"/>
    <w:autoRedefine/>
    <w:semiHidden/>
    <w:rsid w:val="00AC0E68"/>
    <w:pPr>
      <w:ind w:left="1134" w:right="1701"/>
    </w:pPr>
    <w:rPr>
      <w:szCs w:val="20"/>
    </w:rPr>
  </w:style>
  <w:style w:type="paragraph" w:customStyle="1" w:styleId="EstiloTabladeilustracionesIzquierda0cmSangrafrancesa">
    <w:name w:val="Estilo Tabla de ilustraciones + Izquierda:  0 cm Sangría francesa: ..."/>
    <w:basedOn w:val="Tabladeilustraciones"/>
    <w:autoRedefine/>
    <w:semiHidden/>
    <w:rsid w:val="00AC0E68"/>
    <w:pPr>
      <w:ind w:right="1134"/>
    </w:pPr>
    <w:rPr>
      <w:szCs w:val="20"/>
    </w:rPr>
  </w:style>
  <w:style w:type="paragraph" w:customStyle="1" w:styleId="EstiloTabladeilustracionesIzquierda0cmSangrafrancesa1">
    <w:name w:val="Estilo Tabla de ilustraciones + Izquierda:  0 cm Sangría francesa: ...1"/>
    <w:basedOn w:val="Tabladeilustraciones"/>
    <w:autoRedefine/>
    <w:semiHidden/>
    <w:rsid w:val="00AC0E68"/>
    <w:rPr>
      <w:iCs w:val="0"/>
      <w:caps/>
    </w:rPr>
  </w:style>
  <w:style w:type="paragraph" w:customStyle="1" w:styleId="EstiloTabladeilustracionesIzquierda0cmSangrafrancesa2">
    <w:name w:val="Estilo Tabla de ilustraciones + Izquierda:  0 cm Sangría francesa: ...2"/>
    <w:basedOn w:val="Tabladeilustraciones"/>
    <w:autoRedefine/>
    <w:rsid w:val="00AC0E68"/>
    <w:rPr>
      <w:iCs w:val="0"/>
      <w:szCs w:val="20"/>
    </w:rPr>
  </w:style>
  <w:style w:type="paragraph" w:customStyle="1" w:styleId="EstiloTDC2">
    <w:name w:val="Estilo TDC 2 +"/>
    <w:basedOn w:val="TDC2"/>
    <w:rsid w:val="00AC0E68"/>
    <w:pPr>
      <w:tabs>
        <w:tab w:val="left" w:pos="851"/>
        <w:tab w:val="right" w:leader="dot" w:pos="9072"/>
      </w:tabs>
      <w:spacing w:before="120" w:after="0" w:line="240" w:lineRule="auto"/>
      <w:ind w:left="851" w:right="1134" w:hanging="851"/>
      <w:contextualSpacing/>
    </w:pPr>
    <w:rPr>
      <w:rFonts w:ascii="Arial" w:eastAsia="Times New Roman" w:hAnsi="Arial"/>
      <w:i/>
      <w:iCs/>
      <w:noProof/>
      <w:szCs w:val="20"/>
      <w:lang w:val="es-ES_tradnl" w:eastAsia="en-US"/>
    </w:rPr>
  </w:style>
  <w:style w:type="paragraph" w:customStyle="1" w:styleId="EstiloTDC3">
    <w:name w:val="Estilo TDC 3"/>
    <w:basedOn w:val="TDC3"/>
    <w:autoRedefine/>
    <w:semiHidden/>
    <w:rsid w:val="00AC0E68"/>
    <w:pPr>
      <w:tabs>
        <w:tab w:val="left" w:pos="851"/>
        <w:tab w:val="right" w:leader="dot" w:pos="9072"/>
      </w:tabs>
      <w:spacing w:after="0" w:line="240" w:lineRule="auto"/>
      <w:ind w:left="851" w:right="851" w:hanging="851"/>
    </w:pPr>
    <w:rPr>
      <w:rFonts w:ascii="Arial" w:eastAsia="Times New Roman" w:hAnsi="Arial"/>
      <w:i/>
      <w:iCs/>
      <w:caps/>
      <w:noProof/>
      <w:lang w:val="es-ES_tradnl" w:eastAsia="en-US"/>
    </w:rPr>
  </w:style>
  <w:style w:type="paragraph" w:customStyle="1" w:styleId="StyleTableofFiguresLeft0Hanging081Right052">
    <w:name w:val="Style Table of Figures + Left:  0&quot; Hanging:  0.81&quot; Right:  0.52&quot;"/>
    <w:basedOn w:val="Tabladeilustraciones"/>
    <w:semiHidden/>
    <w:rsid w:val="00AC0E68"/>
    <w:pPr>
      <w:spacing w:after="120"/>
      <w:ind w:left="1166" w:right="749" w:hanging="1166"/>
    </w:pPr>
    <w:rPr>
      <w:szCs w:val="20"/>
    </w:rPr>
  </w:style>
  <w:style w:type="table" w:styleId="Tablaelegante">
    <w:name w:val="Table Elegant"/>
    <w:basedOn w:val="Tablanormal"/>
    <w:semiHidden/>
    <w:rsid w:val="00AC0E68"/>
    <w:pPr>
      <w:spacing w:after="0" w:line="240" w:lineRule="auto"/>
    </w:pPr>
    <w:rPr>
      <w:rFonts w:ascii="Times New Roman" w:eastAsia="Times New Roman" w:hAnsi="Times New Roman" w:cs="Times New Roman"/>
      <w:kern w:val="0"/>
      <w:sz w:val="20"/>
      <w:szCs w:val="20"/>
      <w:lang w:eastAsia="es-CO"/>
      <w14:ligatures w14:val="none"/>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TABLAINDICE">
    <w:name w:val="TABLA INDICE"/>
    <w:basedOn w:val="Normal"/>
    <w:next w:val="Normal"/>
    <w:autoRedefine/>
    <w:rsid w:val="00AC0E68"/>
    <w:pPr>
      <w:spacing w:before="120"/>
    </w:pPr>
    <w:rPr>
      <w:rFonts w:ascii="Arial" w:eastAsia="Times New Roman" w:hAnsi="Arial" w:cs="Times New Roman"/>
      <w:kern w:val="0"/>
      <w:lang w:val="es-ES_tradnl"/>
      <w14:ligatures w14:val="none"/>
    </w:rPr>
  </w:style>
  <w:style w:type="paragraph" w:styleId="Textoindependiente3">
    <w:name w:val="Body Text 3"/>
    <w:basedOn w:val="Normal"/>
    <w:link w:val="Textoindependiente3Car"/>
    <w:semiHidden/>
    <w:rsid w:val="00AC0E68"/>
    <w:pPr>
      <w:spacing w:before="120" w:after="120"/>
    </w:pPr>
    <w:rPr>
      <w:rFonts w:ascii="Arial" w:eastAsia="Times New Roman" w:hAnsi="Arial" w:cs="Times New Roman"/>
      <w:kern w:val="0"/>
      <w:sz w:val="16"/>
      <w:szCs w:val="16"/>
      <w:lang w:val="es-ES_tradnl"/>
      <w14:ligatures w14:val="none"/>
    </w:rPr>
  </w:style>
  <w:style w:type="table" w:customStyle="1" w:styleId="TablaHTA">
    <w:name w:val="Tabla HTA"/>
    <w:basedOn w:val="Tablanormal"/>
    <w:rsid w:val="00AC0E68"/>
    <w:pPr>
      <w:spacing w:before="120" w:after="0" w:line="240" w:lineRule="auto"/>
      <w:jc w:val="both"/>
    </w:pPr>
    <w:rPr>
      <w:rFonts w:ascii="Arial" w:eastAsia="Times New Roman" w:hAnsi="Arial" w:cs="Times New Roman"/>
      <w:kern w:val="0"/>
      <w:sz w:val="20"/>
      <w:szCs w:val="20"/>
      <w:lang w:eastAsia="es-CO"/>
      <w14:ligatures w14:val="none"/>
    </w:rPr>
    <w:tblP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Pr>
    <w:tblStylePr w:type="firstRow">
      <w:pPr>
        <w:jc w:val="center"/>
      </w:pPr>
      <w:rPr>
        <w:rFonts w:ascii="Arial" w:hAnsi="Arial"/>
        <w:b/>
        <w:sz w:val="20"/>
      </w:rPr>
      <w:tblPr/>
      <w:tcPr>
        <w:tcBorders>
          <w:top w:val="single" w:sz="12" w:space="0" w:color="auto"/>
          <w:left w:val="single" w:sz="12" w:space="0" w:color="auto"/>
          <w:bottom w:val="single" w:sz="12" w:space="0" w:color="auto"/>
          <w:right w:val="single" w:sz="12" w:space="0" w:color="auto"/>
        </w:tcBorders>
        <w:shd w:val="clear" w:color="auto" w:fill="D9D9D9"/>
      </w:tcPr>
    </w:tblStylePr>
  </w:style>
  <w:style w:type="paragraph" w:customStyle="1" w:styleId="TABLA">
    <w:name w:val="TABLA"/>
    <w:basedOn w:val="Normal"/>
    <w:link w:val="TABLACar"/>
    <w:qFormat/>
    <w:rsid w:val="00AC0E68"/>
    <w:pPr>
      <w:autoSpaceDE w:val="0"/>
      <w:autoSpaceDN w:val="0"/>
      <w:adjustRightInd w:val="0"/>
      <w:jc w:val="center"/>
    </w:pPr>
    <w:rPr>
      <w:rFonts w:ascii="Arial" w:hAnsi="Arial" w:cs="Arial"/>
      <w:b/>
      <w:kern w:val="0"/>
      <w:lang w:val="es-MX"/>
      <w14:ligatures w14:val="none"/>
    </w:rPr>
  </w:style>
  <w:style w:type="character" w:customStyle="1" w:styleId="TABLACar">
    <w:name w:val="TABLA Car"/>
    <w:basedOn w:val="Fuentedeprrafopredeter"/>
    <w:link w:val="TABLA"/>
    <w:rsid w:val="00AC0E68"/>
    <w:rPr>
      <w:rFonts w:ascii="Arial" w:hAnsi="Arial" w:cs="Arial"/>
      <w:b/>
      <w:kern w:val="0"/>
      <w:lang w:val="es-MX"/>
      <w14:ligatures w14:val="none"/>
    </w:rPr>
  </w:style>
  <w:style w:type="paragraph" w:customStyle="1" w:styleId="FIGURA">
    <w:name w:val="FIGURA"/>
    <w:basedOn w:val="Normal"/>
    <w:qFormat/>
    <w:rsid w:val="00AC0E68"/>
    <w:pPr>
      <w:autoSpaceDE w:val="0"/>
      <w:autoSpaceDN w:val="0"/>
      <w:adjustRightInd w:val="0"/>
      <w:jc w:val="center"/>
    </w:pPr>
    <w:rPr>
      <w:rFonts w:ascii="Verdana" w:hAnsi="Verdana" w:cs="Calibri"/>
      <w:b/>
      <w:kern w:val="0"/>
      <w:sz w:val="20"/>
      <w:szCs w:val="20"/>
      <w:lang w:val="es-MX"/>
      <w14:ligatures w14:val="none"/>
    </w:rPr>
  </w:style>
  <w:style w:type="paragraph" w:customStyle="1" w:styleId="NormTablaIAI">
    <w:name w:val="NormTablaIAI"/>
    <w:basedOn w:val="Normal"/>
    <w:link w:val="NormTablaIAICar"/>
    <w:qFormat/>
    <w:rsid w:val="00AC0E68"/>
    <w:pPr>
      <w:spacing w:before="60" w:after="60"/>
      <w:ind w:left="73"/>
    </w:pPr>
    <w:rPr>
      <w:rFonts w:ascii="Arial" w:eastAsia="Times New Roman" w:hAnsi="Arial" w:cs="Times New Roman"/>
      <w:snapToGrid w:val="0"/>
      <w:kern w:val="0"/>
      <w:sz w:val="20"/>
      <w:lang w:eastAsia="es-ES"/>
      <w14:ligatures w14:val="none"/>
    </w:rPr>
  </w:style>
  <w:style w:type="character" w:customStyle="1" w:styleId="NormTablaIAICar">
    <w:name w:val="NormTablaIAI Car"/>
    <w:link w:val="NormTablaIAI"/>
    <w:rsid w:val="00AC0E68"/>
    <w:rPr>
      <w:rFonts w:ascii="Arial" w:eastAsia="Times New Roman" w:hAnsi="Arial" w:cs="Times New Roman"/>
      <w:snapToGrid w:val="0"/>
      <w:kern w:val="0"/>
      <w:sz w:val="20"/>
      <w:lang w:eastAsia="es-ES"/>
      <w14:ligatures w14:val="none"/>
    </w:rPr>
  </w:style>
  <w:style w:type="paragraph" w:customStyle="1" w:styleId="FiguraIAI">
    <w:name w:val="FiguraIAI"/>
    <w:basedOn w:val="Normal"/>
    <w:link w:val="FiguraIAICar"/>
    <w:qFormat/>
    <w:rsid w:val="00AC0E68"/>
    <w:pPr>
      <w:spacing w:before="60"/>
      <w:ind w:hanging="14"/>
      <w:jc w:val="center"/>
    </w:pPr>
    <w:rPr>
      <w:rFonts w:ascii="Arial" w:eastAsia="Calibri" w:hAnsi="Arial" w:cs="Times New Roman"/>
      <w:b/>
      <w:kern w:val="0"/>
      <w:sz w:val="20"/>
      <w14:ligatures w14:val="none"/>
    </w:rPr>
  </w:style>
  <w:style w:type="character" w:customStyle="1" w:styleId="FiguraIAICar">
    <w:name w:val="FiguraIAI Car"/>
    <w:link w:val="FiguraIAI"/>
    <w:rsid w:val="00AC0E68"/>
    <w:rPr>
      <w:rFonts w:ascii="Arial" w:eastAsia="Calibri" w:hAnsi="Arial" w:cs="Times New Roman"/>
      <w:b/>
      <w:kern w:val="0"/>
      <w:sz w:val="20"/>
      <w14:ligatures w14:val="none"/>
    </w:rPr>
  </w:style>
  <w:style w:type="paragraph" w:customStyle="1" w:styleId="TextoDocumento">
    <w:name w:val="Texto Documento"/>
    <w:basedOn w:val="Normal"/>
    <w:rsid w:val="00AC0E68"/>
    <w:rPr>
      <w:rFonts w:ascii="Arial" w:eastAsia="Times New Roman" w:hAnsi="Arial" w:cs="Times New Roman"/>
      <w:snapToGrid w:val="0"/>
      <w:kern w:val="0"/>
      <w:szCs w:val="20"/>
      <w:lang w:eastAsia="es-ES"/>
      <w14:ligatures w14:val="none"/>
    </w:rPr>
  </w:style>
  <w:style w:type="paragraph" w:customStyle="1" w:styleId="DefaultText">
    <w:name w:val="Default Text"/>
    <w:basedOn w:val="Normal"/>
    <w:rsid w:val="00AC0E68"/>
    <w:pPr>
      <w:autoSpaceDE w:val="0"/>
      <w:autoSpaceDN w:val="0"/>
      <w:adjustRightInd w:val="0"/>
    </w:pPr>
    <w:rPr>
      <w:rFonts w:eastAsia="Times New Roman" w:cs="Times New Roman"/>
      <w:noProof/>
      <w:kern w:val="0"/>
      <w:szCs w:val="24"/>
      <w:lang w:val="es-ES" w:eastAsia="es-ES"/>
      <w14:ligatures w14:val="none"/>
    </w:rPr>
  </w:style>
  <w:style w:type="paragraph" w:customStyle="1" w:styleId="Titulo4">
    <w:name w:val="Titulo 4"/>
    <w:basedOn w:val="Normal"/>
    <w:rsid w:val="00AC0E68"/>
    <w:pPr>
      <w:numPr>
        <w:numId w:val="16"/>
      </w:numPr>
      <w:ind w:left="0" w:firstLine="0"/>
    </w:pPr>
    <w:rPr>
      <w:rFonts w:ascii="Arial" w:eastAsia="Times New Roman" w:hAnsi="Arial" w:cs="Arial"/>
      <w:b/>
      <w:i/>
      <w:noProof/>
      <w:kern w:val="0"/>
      <w:szCs w:val="24"/>
      <w:lang w:eastAsia="es-ES"/>
      <w14:ligatures w14:val="none"/>
    </w:rPr>
  </w:style>
  <w:style w:type="character" w:customStyle="1" w:styleId="apple-converted-space">
    <w:name w:val="apple-converted-space"/>
    <w:basedOn w:val="Fuentedeprrafopredeter"/>
    <w:rsid w:val="00AC0E68"/>
  </w:style>
  <w:style w:type="character" w:styleId="nfasis">
    <w:name w:val="Emphasis"/>
    <w:basedOn w:val="Fuentedeprrafopredeter"/>
    <w:qFormat/>
    <w:rsid w:val="00AC0E68"/>
    <w:rPr>
      <w:i/>
      <w:iCs/>
    </w:rPr>
  </w:style>
  <w:style w:type="paragraph" w:customStyle="1" w:styleId="Foto">
    <w:name w:val="Foto"/>
    <w:basedOn w:val="Prrafodelista"/>
    <w:link w:val="FotoCar"/>
    <w:qFormat/>
    <w:rsid w:val="00AC0E68"/>
    <w:pPr>
      <w:spacing w:after="200" w:line="276" w:lineRule="auto"/>
      <w:jc w:val="center"/>
    </w:pPr>
    <w:rPr>
      <w:rFonts w:ascii="Arial" w:eastAsia="Calibri" w:hAnsi="Arial" w:cs="Arial"/>
      <w:kern w:val="0"/>
      <w:lang w:val="es-MX"/>
      <w14:ligatures w14:val="none"/>
    </w:rPr>
  </w:style>
  <w:style w:type="character" w:customStyle="1" w:styleId="FotoCar">
    <w:name w:val="Foto Car"/>
    <w:basedOn w:val="Fuentedeprrafopredeter"/>
    <w:link w:val="Foto"/>
    <w:rsid w:val="00AC0E68"/>
    <w:rPr>
      <w:rFonts w:ascii="Arial" w:eastAsia="Calibri" w:hAnsi="Arial" w:cs="Arial"/>
      <w:kern w:val="0"/>
      <w:lang w:val="es-MX"/>
      <w14:ligatures w14:val="none"/>
    </w:rPr>
  </w:style>
  <w:style w:type="paragraph" w:customStyle="1" w:styleId="NoSpacing2">
    <w:name w:val="No Spacing2"/>
    <w:rsid w:val="00AC0E68"/>
    <w:pPr>
      <w:spacing w:after="0" w:line="240" w:lineRule="auto"/>
    </w:pPr>
    <w:rPr>
      <w:rFonts w:ascii="Calibri" w:eastAsia="Times New Roman" w:hAnsi="Calibri" w:cs="Times New Roman"/>
      <w:kern w:val="0"/>
      <w:lang w:val="es-ES"/>
      <w14:ligatures w14:val="none"/>
    </w:rPr>
  </w:style>
  <w:style w:type="paragraph" w:customStyle="1" w:styleId="Notas">
    <w:name w:val="Notas"/>
    <w:basedOn w:val="Normal"/>
    <w:next w:val="Normal"/>
    <w:link w:val="NotasCar"/>
    <w:qFormat/>
    <w:rsid w:val="00AC0E68"/>
    <w:pPr>
      <w:tabs>
        <w:tab w:val="center" w:pos="4419"/>
        <w:tab w:val="right" w:pos="8838"/>
      </w:tabs>
      <w:spacing w:line="276" w:lineRule="auto"/>
      <w:contextualSpacing/>
      <w:jc w:val="center"/>
    </w:pPr>
    <w:rPr>
      <w:rFonts w:eastAsia="Calibri" w:cs="Times New Roman"/>
      <w:kern w:val="0"/>
      <w:sz w:val="16"/>
      <w:szCs w:val="16"/>
      <w14:ligatures w14:val="none"/>
    </w:rPr>
  </w:style>
  <w:style w:type="character" w:customStyle="1" w:styleId="NotasCar">
    <w:name w:val="Notas Car"/>
    <w:link w:val="Notas"/>
    <w:rsid w:val="00AC0E68"/>
    <w:rPr>
      <w:rFonts w:ascii="Times New Roman" w:eastAsia="Calibri" w:hAnsi="Times New Roman" w:cs="Times New Roman"/>
      <w:kern w:val="0"/>
      <w:sz w:val="16"/>
      <w:szCs w:val="16"/>
      <w14:ligatures w14:val="none"/>
    </w:rPr>
  </w:style>
  <w:style w:type="table" w:customStyle="1" w:styleId="Gminis">
    <w:name w:val="Géminis"/>
    <w:basedOn w:val="Tablanormal"/>
    <w:rsid w:val="00AC0E68"/>
    <w:pPr>
      <w:spacing w:after="0" w:line="240" w:lineRule="auto"/>
      <w:jc w:val="center"/>
    </w:pPr>
    <w:rPr>
      <w:rFonts w:asciiTheme="majorHAnsi" w:eastAsia="Calibri" w:hAnsiTheme="majorHAnsi" w:cs="Times New Roman"/>
      <w:kern w:val="0"/>
      <w:szCs w:val="20"/>
      <w:lang w:eastAsia="es-CO"/>
      <w14:ligatures w14:val="none"/>
    </w:rPr>
    <w:tblPr>
      <w:jc w:val="center"/>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tblCellSpacing w:w="0" w:type="dxa"/>
      <w:jc w:val="center"/>
    </w:trPr>
    <w:tcPr>
      <w:shd w:val="clear" w:color="auto" w:fill="auto"/>
      <w:tcMar>
        <w:top w:w="0" w:type="dxa"/>
        <w:left w:w="108" w:type="dxa"/>
        <w:bottom w:w="0" w:type="dxa"/>
        <w:right w:w="108" w:type="dxa"/>
      </w:tcMar>
    </w:tcPr>
    <w:tblStylePr w:type="firstRow">
      <w:rPr>
        <w:b/>
      </w:rPr>
      <w:tblPr/>
      <w:tcPr>
        <w:tcBorders>
          <w:bottom w:val="nil"/>
          <w:right w:val="nil"/>
          <w:insideH w:val="nil"/>
        </w:tcBorders>
        <w:shd w:val="clear" w:color="auto" w:fill="A6A6A6" w:themeFill="background1" w:themeFillShade="A6"/>
      </w:tcPr>
    </w:tblStylePr>
    <w:tblStylePr w:type="lastRow">
      <w:tblPr/>
      <w:tcPr>
        <w:tcBorders>
          <w:bottom w:val="nil"/>
          <w:right w:val="nil"/>
          <w:insideH w:val="nil"/>
        </w:tcBorders>
      </w:tcPr>
    </w:tblStylePr>
    <w:tblStylePr w:type="firstCol">
      <w:tblPr/>
      <w:tcPr>
        <w:tcBorders>
          <w:top w:val="nil"/>
          <w:left w:val="nil"/>
        </w:tcBorders>
      </w:tcPr>
    </w:tblStylePr>
    <w:tblStylePr w:type="lastCol">
      <w:tblPr/>
      <w:tcPr>
        <w:tcBorders>
          <w:top w:val="nil"/>
          <w:left w:val="nil"/>
        </w:tcBorders>
      </w:tcPr>
    </w:tblStylePr>
    <w:tblStylePr w:type="band1Vert">
      <w:tblPr/>
      <w:tcPr>
        <w:tcBorders>
          <w:top w:val="nil"/>
          <w:left w:val="nil"/>
        </w:tcBorders>
      </w:tcPr>
    </w:tblStylePr>
    <w:tblStylePr w:type="band2Vert">
      <w:tblPr/>
      <w:tcPr>
        <w:tcBorders>
          <w:top w:val="nil"/>
          <w:left w:val="nil"/>
        </w:tcBorders>
      </w:tcPr>
    </w:tblStylePr>
    <w:tblStylePr w:type="band1Horz">
      <w:tblPr/>
      <w:tcPr>
        <w:tcBorders>
          <w:bottom w:val="nil"/>
          <w:right w:val="nil"/>
          <w:insideH w:val="nil"/>
        </w:tcBorders>
      </w:tcPr>
    </w:tblStylePr>
    <w:tblStylePr w:type="band2Horz">
      <w:tblPr/>
      <w:tcPr>
        <w:tcBorders>
          <w:bottom w:val="nil"/>
          <w:right w:val="nil"/>
          <w:insideH w:val="nil"/>
        </w:tcBorders>
      </w:tcPr>
    </w:tblStylePr>
    <w:tblStylePr w:type="neCell">
      <w:tblPr/>
      <w:tcPr>
        <w:tcBorders>
          <w:top w:val="nil"/>
          <w:left w:val="nil"/>
        </w:tcBorders>
      </w:tcPr>
    </w:tblStylePr>
    <w:tblStylePr w:type="nwCell">
      <w:tblPr/>
      <w:tcPr>
        <w:tcBorders>
          <w:top w:val="nil"/>
          <w:left w:val="nil"/>
        </w:tcBorders>
      </w:tcPr>
    </w:tblStylePr>
    <w:tblStylePr w:type="seCell">
      <w:tblPr/>
      <w:tcPr>
        <w:tcBorders>
          <w:top w:val="nil"/>
          <w:left w:val="nil"/>
        </w:tcBorders>
      </w:tcPr>
    </w:tblStylePr>
    <w:tblStylePr w:type="swCell">
      <w:tblPr/>
      <w:tcPr>
        <w:tcBorders>
          <w:top w:val="nil"/>
          <w:left w:val="nil"/>
        </w:tcBorders>
      </w:tcPr>
    </w:tblStylePr>
  </w:style>
  <w:style w:type="character" w:customStyle="1" w:styleId="ecxapple-converted-space">
    <w:name w:val="ecxapple-converted-space"/>
    <w:basedOn w:val="Fuentedeprrafopredeter"/>
    <w:rsid w:val="00AC0E68"/>
  </w:style>
  <w:style w:type="paragraph" w:customStyle="1" w:styleId="tablavieta">
    <w:name w:val="tabla viñeta"/>
    <w:basedOn w:val="Normal"/>
    <w:uiPriority w:val="99"/>
    <w:qFormat/>
    <w:rsid w:val="00AC0E68"/>
    <w:pPr>
      <w:spacing w:line="276" w:lineRule="auto"/>
      <w:ind w:left="720" w:hanging="360"/>
      <w:contextualSpacing/>
    </w:pPr>
    <w:rPr>
      <w:rFonts w:ascii="Cambria" w:eastAsia="Calibri" w:hAnsi="Cambria" w:cs="Times New Roman"/>
      <w:kern w:val="0"/>
      <w:sz w:val="20"/>
      <w14:ligatures w14:val="none"/>
    </w:rPr>
  </w:style>
  <w:style w:type="paragraph" w:customStyle="1" w:styleId="Estilotabla">
    <w:name w:val="Estilo tabla"/>
    <w:basedOn w:val="Normal"/>
    <w:next w:val="Normal"/>
    <w:qFormat/>
    <w:rsid w:val="00AC0E68"/>
    <w:pPr>
      <w:spacing w:line="276" w:lineRule="auto"/>
      <w:contextualSpacing/>
    </w:pPr>
    <w:rPr>
      <w:rFonts w:ascii="Cambria" w:eastAsia="Calibri" w:hAnsi="Cambria" w:cs="Times New Roman"/>
      <w:kern w:val="0"/>
      <w:sz w:val="20"/>
      <w14:ligatures w14:val="none"/>
    </w:rPr>
  </w:style>
  <w:style w:type="paragraph" w:styleId="Textonotaalfinal">
    <w:name w:val="endnote text"/>
    <w:basedOn w:val="Normal"/>
    <w:link w:val="TextonotaalfinalCar"/>
    <w:rsid w:val="00AC0E68"/>
    <w:rPr>
      <w:rFonts w:ascii="Arial" w:eastAsia="Times New Roman" w:hAnsi="Arial" w:cs="Times New Roman"/>
      <w:kern w:val="0"/>
      <w:sz w:val="20"/>
      <w:szCs w:val="20"/>
      <w:lang w:val="es-ES_tradnl"/>
      <w14:ligatures w14:val="none"/>
    </w:rPr>
  </w:style>
  <w:style w:type="character" w:styleId="Refdenotaalfinal">
    <w:name w:val="endnote reference"/>
    <w:basedOn w:val="Fuentedeprrafopredeter"/>
    <w:rsid w:val="00AC0E68"/>
    <w:rPr>
      <w:vertAlign w:val="superscript"/>
    </w:rPr>
  </w:style>
  <w:style w:type="table" w:customStyle="1" w:styleId="Tablaconcuadrcula11">
    <w:name w:val="Tabla con cuadrícula11"/>
    <w:basedOn w:val="Tablanormal"/>
    <w:next w:val="Tablaconcuadrcula"/>
    <w:uiPriority w:val="59"/>
    <w:rsid w:val="00AC0E68"/>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2">
    <w:name w:val="Mención sin resolver2"/>
    <w:basedOn w:val="Fuentedeprrafopredeter"/>
    <w:uiPriority w:val="99"/>
    <w:semiHidden/>
    <w:unhideWhenUsed/>
    <w:rsid w:val="00AC0E68"/>
    <w:rPr>
      <w:color w:val="605E5C"/>
      <w:shd w:val="clear" w:color="auto" w:fill="E1DFDD"/>
    </w:rPr>
  </w:style>
  <w:style w:type="table" w:styleId="Cuadrculavistosa">
    <w:name w:val="Colorful Grid"/>
    <w:basedOn w:val="Tablanormal"/>
    <w:uiPriority w:val="73"/>
    <w:rsid w:val="00AC0E68"/>
    <w:pPr>
      <w:spacing w:after="0" w:line="240" w:lineRule="auto"/>
    </w:pPr>
    <w:rPr>
      <w:rFonts w:ascii="Calibri" w:eastAsia="Calibri" w:hAnsi="Calibri" w:cs="Times New Roman"/>
      <w:color w:val="000000" w:themeColor="text1"/>
      <w:kern w:val="0"/>
      <w:sz w:val="20"/>
      <w:szCs w:val="20"/>
      <w:lang w:eastAsia="es-CO"/>
      <w14:ligatures w14:val="none"/>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character" w:customStyle="1" w:styleId="TextonotapieCar1">
    <w:name w:val="Texto nota pie Car1"/>
    <w:basedOn w:val="Fuentedeprrafopredeter"/>
    <w:uiPriority w:val="99"/>
    <w:semiHidden/>
    <w:rsid w:val="00AC0E68"/>
    <w:rPr>
      <w:sz w:val="20"/>
      <w:szCs w:val="20"/>
    </w:r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rsid w:val="00AC0E68"/>
    <w:rPr>
      <w:vertAlign w:val="superscript"/>
    </w:rPr>
  </w:style>
  <w:style w:type="character" w:customStyle="1" w:styleId="fontstyle21">
    <w:name w:val="fontstyle21"/>
    <w:basedOn w:val="Fuentedeprrafopredeter"/>
    <w:rsid w:val="00AC0E68"/>
    <w:rPr>
      <w:rFonts w:ascii="Arial-ItalicMT" w:hAnsi="Arial-ItalicMT" w:hint="default"/>
      <w:b w:val="0"/>
      <w:bCs w:val="0"/>
      <w:i/>
      <w:iCs/>
      <w:color w:val="2D2D2D"/>
      <w:sz w:val="14"/>
      <w:szCs w:val="14"/>
    </w:rPr>
  </w:style>
  <w:style w:type="table" w:customStyle="1" w:styleId="TableNormal1">
    <w:name w:val="Table Normal1"/>
    <w:uiPriority w:val="2"/>
    <w:semiHidden/>
    <w:unhideWhenUsed/>
    <w:qFormat/>
    <w:rsid w:val="00AC0E68"/>
    <w:pPr>
      <w:widowControl w:val="0"/>
      <w:autoSpaceDE w:val="0"/>
      <w:autoSpaceDN w:val="0"/>
      <w:spacing w:after="0" w:line="240" w:lineRule="auto"/>
    </w:pPr>
    <w:rPr>
      <w:kern w:val="0"/>
      <w:lang w:val="en-US"/>
      <w14:ligatures w14:val="none"/>
    </w:rPr>
    <w:tblPr>
      <w:tblInd w:w="0" w:type="dxa"/>
      <w:tblCellMar>
        <w:top w:w="0" w:type="dxa"/>
        <w:left w:w="0" w:type="dxa"/>
        <w:bottom w:w="0" w:type="dxa"/>
        <w:right w:w="0" w:type="dxa"/>
      </w:tblCellMar>
    </w:tblPr>
  </w:style>
  <w:style w:type="table" w:customStyle="1" w:styleId="TableNormal2">
    <w:name w:val="Table Normal2"/>
    <w:uiPriority w:val="2"/>
    <w:semiHidden/>
    <w:unhideWhenUsed/>
    <w:qFormat/>
    <w:rsid w:val="00AC0E68"/>
    <w:pPr>
      <w:widowControl w:val="0"/>
      <w:autoSpaceDE w:val="0"/>
      <w:autoSpaceDN w:val="0"/>
      <w:spacing w:after="0" w:line="240" w:lineRule="auto"/>
    </w:pPr>
    <w:rPr>
      <w:kern w:val="0"/>
      <w:lang w:val="en-US"/>
      <w14:ligatures w14:val="none"/>
    </w:rPr>
    <w:tblPr>
      <w:tblInd w:w="0" w:type="dxa"/>
      <w:tblCellMar>
        <w:top w:w="0" w:type="dxa"/>
        <w:left w:w="0" w:type="dxa"/>
        <w:bottom w:w="0" w:type="dxa"/>
        <w:right w:w="0" w:type="dxa"/>
      </w:tblCellMar>
    </w:tblPr>
  </w:style>
  <w:style w:type="table" w:customStyle="1" w:styleId="TableNormal3">
    <w:name w:val="Table Normal3"/>
    <w:uiPriority w:val="2"/>
    <w:semiHidden/>
    <w:unhideWhenUsed/>
    <w:qFormat/>
    <w:rsid w:val="00AC0E68"/>
    <w:pPr>
      <w:widowControl w:val="0"/>
      <w:autoSpaceDE w:val="0"/>
      <w:autoSpaceDN w:val="0"/>
      <w:spacing w:after="0" w:line="240" w:lineRule="auto"/>
    </w:pPr>
    <w:rPr>
      <w:kern w:val="0"/>
      <w:lang w:val="en-US"/>
      <w14:ligatures w14:val="none"/>
    </w:rPr>
    <w:tblPr>
      <w:tblInd w:w="0" w:type="dxa"/>
      <w:tblCellMar>
        <w:top w:w="0" w:type="dxa"/>
        <w:left w:w="0" w:type="dxa"/>
        <w:bottom w:w="0" w:type="dxa"/>
        <w:right w:w="0" w:type="dxa"/>
      </w:tblCellMar>
    </w:tblPr>
  </w:style>
  <w:style w:type="table" w:customStyle="1" w:styleId="TableNormal4">
    <w:name w:val="Table Normal4"/>
    <w:uiPriority w:val="2"/>
    <w:semiHidden/>
    <w:unhideWhenUsed/>
    <w:qFormat/>
    <w:rsid w:val="00AC0E68"/>
    <w:pPr>
      <w:widowControl w:val="0"/>
      <w:autoSpaceDE w:val="0"/>
      <w:autoSpaceDN w:val="0"/>
      <w:spacing w:after="0" w:line="240" w:lineRule="auto"/>
    </w:pPr>
    <w:rPr>
      <w:kern w:val="0"/>
      <w:lang w:val="en-US"/>
      <w14:ligatures w14:val="none"/>
    </w:rPr>
    <w:tblPr>
      <w:tblInd w:w="0" w:type="dxa"/>
      <w:tblCellMar>
        <w:top w:w="0" w:type="dxa"/>
        <w:left w:w="0" w:type="dxa"/>
        <w:bottom w:w="0" w:type="dxa"/>
        <w:right w:w="0" w:type="dxa"/>
      </w:tblCellMar>
    </w:tblPr>
  </w:style>
  <w:style w:type="table" w:customStyle="1" w:styleId="TableNormal5">
    <w:name w:val="Table Normal5"/>
    <w:uiPriority w:val="2"/>
    <w:semiHidden/>
    <w:unhideWhenUsed/>
    <w:qFormat/>
    <w:rsid w:val="00AC0E68"/>
    <w:pPr>
      <w:widowControl w:val="0"/>
      <w:autoSpaceDE w:val="0"/>
      <w:autoSpaceDN w:val="0"/>
      <w:spacing w:after="0" w:line="240" w:lineRule="auto"/>
    </w:pPr>
    <w:rPr>
      <w:kern w:val="0"/>
      <w:lang w:val="en-US"/>
      <w14:ligatures w14:val="none"/>
    </w:rPr>
    <w:tblPr>
      <w:tblInd w:w="0" w:type="dxa"/>
      <w:tblCellMar>
        <w:top w:w="0" w:type="dxa"/>
        <w:left w:w="0" w:type="dxa"/>
        <w:bottom w:w="0" w:type="dxa"/>
        <w:right w:w="0" w:type="dxa"/>
      </w:tblCellMar>
    </w:tblPr>
  </w:style>
  <w:style w:type="table" w:customStyle="1" w:styleId="TableNormal6">
    <w:name w:val="Table Normal6"/>
    <w:uiPriority w:val="2"/>
    <w:semiHidden/>
    <w:unhideWhenUsed/>
    <w:qFormat/>
    <w:rsid w:val="00AC0E68"/>
    <w:pPr>
      <w:widowControl w:val="0"/>
      <w:autoSpaceDE w:val="0"/>
      <w:autoSpaceDN w:val="0"/>
      <w:spacing w:after="0" w:line="240" w:lineRule="auto"/>
    </w:pPr>
    <w:rPr>
      <w:kern w:val="0"/>
      <w:lang w:val="en-US"/>
      <w14:ligatures w14:val="none"/>
    </w:rPr>
    <w:tblPr>
      <w:tblInd w:w="0" w:type="dxa"/>
      <w:tblCellMar>
        <w:top w:w="0" w:type="dxa"/>
        <w:left w:w="0" w:type="dxa"/>
        <w:bottom w:w="0" w:type="dxa"/>
        <w:right w:w="0" w:type="dxa"/>
      </w:tblCellMar>
    </w:tblPr>
  </w:style>
  <w:style w:type="table" w:customStyle="1" w:styleId="TableNormal7">
    <w:name w:val="Table Normal7"/>
    <w:uiPriority w:val="2"/>
    <w:semiHidden/>
    <w:unhideWhenUsed/>
    <w:qFormat/>
    <w:rsid w:val="00AC0E68"/>
    <w:pPr>
      <w:widowControl w:val="0"/>
      <w:autoSpaceDE w:val="0"/>
      <w:autoSpaceDN w:val="0"/>
      <w:spacing w:after="0" w:line="240" w:lineRule="auto"/>
    </w:pPr>
    <w:rPr>
      <w:kern w:val="0"/>
      <w:lang w:val="en-US"/>
      <w14:ligatures w14:val="none"/>
    </w:rPr>
    <w:tblPr>
      <w:tblInd w:w="0" w:type="dxa"/>
      <w:tblCellMar>
        <w:top w:w="0" w:type="dxa"/>
        <w:left w:w="0" w:type="dxa"/>
        <w:bottom w:w="0" w:type="dxa"/>
        <w:right w:w="0" w:type="dxa"/>
      </w:tblCellMar>
    </w:tblPr>
  </w:style>
  <w:style w:type="table" w:customStyle="1" w:styleId="TableNormal8">
    <w:name w:val="Table Normal8"/>
    <w:uiPriority w:val="2"/>
    <w:semiHidden/>
    <w:unhideWhenUsed/>
    <w:qFormat/>
    <w:rsid w:val="00AC0E68"/>
    <w:pPr>
      <w:widowControl w:val="0"/>
      <w:autoSpaceDE w:val="0"/>
      <w:autoSpaceDN w:val="0"/>
      <w:spacing w:after="0" w:line="240" w:lineRule="auto"/>
    </w:pPr>
    <w:rPr>
      <w:kern w:val="0"/>
      <w:lang w:val="en-US"/>
      <w14:ligatures w14:val="none"/>
    </w:rPr>
    <w:tblPr>
      <w:tblInd w:w="0" w:type="dxa"/>
      <w:tblCellMar>
        <w:top w:w="0" w:type="dxa"/>
        <w:left w:w="0" w:type="dxa"/>
        <w:bottom w:w="0" w:type="dxa"/>
        <w:right w:w="0" w:type="dxa"/>
      </w:tblCellMar>
    </w:tblPr>
  </w:style>
  <w:style w:type="character" w:styleId="Hipervnculovisitado">
    <w:name w:val="FollowedHyperlink"/>
    <w:basedOn w:val="Fuentedeprrafopredeter"/>
    <w:uiPriority w:val="99"/>
    <w:semiHidden/>
    <w:unhideWhenUsed/>
    <w:rsid w:val="00AC0E68"/>
    <w:rPr>
      <w:color w:val="954F72"/>
      <w:u w:val="single"/>
    </w:rPr>
  </w:style>
  <w:style w:type="paragraph" w:customStyle="1" w:styleId="msonormal0">
    <w:name w:val="msonormal"/>
    <w:basedOn w:val="Normal"/>
    <w:rsid w:val="00AC0E68"/>
    <w:pPr>
      <w:spacing w:before="100" w:beforeAutospacing="1" w:after="100" w:afterAutospacing="1"/>
    </w:pPr>
    <w:rPr>
      <w:rFonts w:eastAsia="Times New Roman" w:cs="Times New Roman"/>
      <w:kern w:val="0"/>
      <w:szCs w:val="24"/>
      <w:lang w:eastAsia="es-CO"/>
      <w14:ligatures w14:val="none"/>
    </w:rPr>
  </w:style>
  <w:style w:type="paragraph" w:customStyle="1" w:styleId="xl64">
    <w:name w:val="xl64"/>
    <w:basedOn w:val="Normal"/>
    <w:rsid w:val="00AC0E68"/>
    <w:pPr>
      <w:shd w:val="clear" w:color="000000" w:fill="FFFFFF"/>
      <w:spacing w:before="100" w:beforeAutospacing="1" w:after="100" w:afterAutospacing="1"/>
      <w:jc w:val="center"/>
    </w:pPr>
    <w:rPr>
      <w:rFonts w:eastAsia="Times New Roman" w:cs="Times New Roman"/>
      <w:kern w:val="0"/>
      <w:sz w:val="18"/>
      <w:szCs w:val="18"/>
      <w:lang w:eastAsia="es-CO"/>
      <w14:ligatures w14:val="none"/>
    </w:rPr>
  </w:style>
  <w:style w:type="paragraph" w:customStyle="1" w:styleId="xl65">
    <w:name w:val="xl65"/>
    <w:basedOn w:val="Normal"/>
    <w:rsid w:val="00AC0E68"/>
    <w:pPr>
      <w:shd w:val="clear" w:color="000000" w:fill="FFFFFF"/>
      <w:spacing w:before="100" w:beforeAutospacing="1" w:after="100" w:afterAutospacing="1"/>
    </w:pPr>
    <w:rPr>
      <w:rFonts w:eastAsia="Times New Roman" w:cs="Times New Roman"/>
      <w:kern w:val="0"/>
      <w:sz w:val="18"/>
      <w:szCs w:val="18"/>
      <w:lang w:eastAsia="es-CO"/>
      <w14:ligatures w14:val="none"/>
    </w:rPr>
  </w:style>
  <w:style w:type="paragraph" w:customStyle="1" w:styleId="xl66">
    <w:name w:val="xl66"/>
    <w:basedOn w:val="Normal"/>
    <w:rsid w:val="00AC0E68"/>
    <w:pPr>
      <w:shd w:val="clear" w:color="000000" w:fill="FFFFFF"/>
      <w:spacing w:before="100" w:beforeAutospacing="1" w:after="100" w:afterAutospacing="1"/>
    </w:pPr>
    <w:rPr>
      <w:rFonts w:eastAsia="Times New Roman" w:cs="Times New Roman"/>
      <w:kern w:val="0"/>
      <w:sz w:val="18"/>
      <w:szCs w:val="18"/>
      <w:lang w:eastAsia="es-CO"/>
      <w14:ligatures w14:val="none"/>
    </w:rPr>
  </w:style>
  <w:style w:type="paragraph" w:customStyle="1" w:styleId="xl67">
    <w:name w:val="xl67"/>
    <w:basedOn w:val="Normal"/>
    <w:rsid w:val="00AC0E6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eastAsia="Times New Roman" w:cs="Times New Roman"/>
      <w:b/>
      <w:bCs/>
      <w:kern w:val="0"/>
      <w:sz w:val="18"/>
      <w:szCs w:val="18"/>
      <w:lang w:eastAsia="es-CO"/>
      <w14:ligatures w14:val="none"/>
    </w:rPr>
  </w:style>
  <w:style w:type="paragraph" w:customStyle="1" w:styleId="xl68">
    <w:name w:val="xl68"/>
    <w:basedOn w:val="Normal"/>
    <w:rsid w:val="00AC0E6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eastAsia="Times New Roman" w:cs="Times New Roman"/>
      <w:b/>
      <w:bCs/>
      <w:kern w:val="0"/>
      <w:sz w:val="18"/>
      <w:szCs w:val="18"/>
      <w:lang w:eastAsia="es-CO"/>
      <w14:ligatures w14:val="none"/>
    </w:rPr>
  </w:style>
  <w:style w:type="paragraph" w:customStyle="1" w:styleId="xl69">
    <w:name w:val="xl69"/>
    <w:basedOn w:val="Normal"/>
    <w:rsid w:val="00AC0E6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eastAsia="Times New Roman" w:cs="Times New Roman"/>
      <w:kern w:val="0"/>
      <w:sz w:val="18"/>
      <w:szCs w:val="18"/>
      <w:lang w:eastAsia="es-CO"/>
      <w14:ligatures w14:val="none"/>
    </w:rPr>
  </w:style>
  <w:style w:type="paragraph" w:customStyle="1" w:styleId="xl70">
    <w:name w:val="xl70"/>
    <w:basedOn w:val="Normal"/>
    <w:rsid w:val="00AC0E6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color w:val="000000"/>
      <w:kern w:val="0"/>
      <w:sz w:val="18"/>
      <w:szCs w:val="18"/>
      <w:lang w:eastAsia="es-CO"/>
      <w14:ligatures w14:val="none"/>
    </w:rPr>
  </w:style>
  <w:style w:type="paragraph" w:customStyle="1" w:styleId="xl71">
    <w:name w:val="xl71"/>
    <w:basedOn w:val="Normal"/>
    <w:rsid w:val="00AC0E6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eastAsia="Times New Roman" w:cs="Times New Roman"/>
      <w:kern w:val="0"/>
      <w:sz w:val="18"/>
      <w:szCs w:val="18"/>
      <w:lang w:eastAsia="es-CO"/>
      <w14:ligatures w14:val="none"/>
    </w:rPr>
  </w:style>
  <w:style w:type="paragraph" w:customStyle="1" w:styleId="xl72">
    <w:name w:val="xl72"/>
    <w:basedOn w:val="Normal"/>
    <w:rsid w:val="00AC0E68"/>
    <w:pPr>
      <w:pBdr>
        <w:top w:val="single" w:sz="4" w:space="0" w:color="auto"/>
        <w:left w:val="single" w:sz="4" w:space="0" w:color="auto"/>
        <w:bottom w:val="single" w:sz="4" w:space="0" w:color="auto"/>
      </w:pBdr>
      <w:shd w:val="clear" w:color="000000" w:fill="FFFFFF"/>
      <w:spacing w:before="100" w:beforeAutospacing="1" w:after="100" w:afterAutospacing="1"/>
      <w:jc w:val="center"/>
    </w:pPr>
    <w:rPr>
      <w:rFonts w:eastAsia="Times New Roman" w:cs="Times New Roman"/>
      <w:b/>
      <w:bCs/>
      <w:kern w:val="0"/>
      <w:sz w:val="18"/>
      <w:szCs w:val="18"/>
      <w:lang w:eastAsia="es-CO"/>
      <w14:ligatures w14:val="none"/>
    </w:rPr>
  </w:style>
  <w:style w:type="paragraph" w:customStyle="1" w:styleId="xl73">
    <w:name w:val="xl73"/>
    <w:basedOn w:val="Normal"/>
    <w:rsid w:val="00AC0E68"/>
    <w:pPr>
      <w:pBdr>
        <w:top w:val="single" w:sz="4" w:space="0" w:color="auto"/>
        <w:bottom w:val="single" w:sz="4" w:space="0" w:color="auto"/>
      </w:pBdr>
      <w:shd w:val="clear" w:color="000000" w:fill="FFFFFF"/>
      <w:spacing w:before="100" w:beforeAutospacing="1" w:after="100" w:afterAutospacing="1"/>
      <w:jc w:val="center"/>
    </w:pPr>
    <w:rPr>
      <w:rFonts w:eastAsia="Times New Roman" w:cs="Times New Roman"/>
      <w:b/>
      <w:bCs/>
      <w:kern w:val="0"/>
      <w:sz w:val="18"/>
      <w:szCs w:val="18"/>
      <w:lang w:eastAsia="es-CO"/>
      <w14:ligatures w14:val="none"/>
    </w:rPr>
  </w:style>
  <w:style w:type="paragraph" w:customStyle="1" w:styleId="xl74">
    <w:name w:val="xl74"/>
    <w:basedOn w:val="Normal"/>
    <w:rsid w:val="00AC0E68"/>
    <w:pPr>
      <w:pBdr>
        <w:top w:val="single" w:sz="4" w:space="0" w:color="auto"/>
        <w:bottom w:val="single" w:sz="4" w:space="0" w:color="auto"/>
        <w:right w:val="single" w:sz="4" w:space="0" w:color="auto"/>
      </w:pBdr>
      <w:shd w:val="clear" w:color="000000" w:fill="FFFFFF"/>
      <w:spacing w:before="100" w:beforeAutospacing="1" w:after="100" w:afterAutospacing="1"/>
      <w:jc w:val="center"/>
    </w:pPr>
    <w:rPr>
      <w:rFonts w:eastAsia="Times New Roman" w:cs="Times New Roman"/>
      <w:b/>
      <w:bCs/>
      <w:kern w:val="0"/>
      <w:sz w:val="18"/>
      <w:szCs w:val="18"/>
      <w:lang w:eastAsia="es-CO"/>
      <w14:ligatures w14:val="none"/>
    </w:rPr>
  </w:style>
  <w:style w:type="paragraph" w:customStyle="1" w:styleId="xl75">
    <w:name w:val="xl75"/>
    <w:basedOn w:val="Normal"/>
    <w:rsid w:val="00AC0E6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eastAsia="Times New Roman" w:cs="Times New Roman"/>
      <w:b/>
      <w:bCs/>
      <w:kern w:val="0"/>
      <w:sz w:val="18"/>
      <w:szCs w:val="18"/>
      <w:lang w:eastAsia="es-CO"/>
      <w14:ligatures w14:val="none"/>
    </w:rPr>
  </w:style>
  <w:style w:type="paragraph" w:customStyle="1" w:styleId="xl76">
    <w:name w:val="xl76"/>
    <w:basedOn w:val="Normal"/>
    <w:rsid w:val="00AC0E68"/>
    <w:pPr>
      <w:shd w:val="clear" w:color="000000" w:fill="FFFFFF"/>
      <w:spacing w:before="100" w:beforeAutospacing="1" w:after="100" w:afterAutospacing="1"/>
    </w:pPr>
    <w:rPr>
      <w:rFonts w:eastAsia="Times New Roman" w:cs="Times New Roman"/>
      <w:kern w:val="0"/>
      <w:sz w:val="18"/>
      <w:szCs w:val="18"/>
      <w:lang w:eastAsia="es-CO"/>
      <w14:ligatures w14:val="none"/>
    </w:rPr>
  </w:style>
  <w:style w:type="paragraph" w:customStyle="1" w:styleId="xl77">
    <w:name w:val="xl77"/>
    <w:basedOn w:val="Normal"/>
    <w:rsid w:val="00AC0E6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eastAsia="Times New Roman" w:cs="Times New Roman"/>
      <w:kern w:val="0"/>
      <w:sz w:val="18"/>
      <w:szCs w:val="18"/>
      <w:lang w:eastAsia="es-CO"/>
      <w14:ligatures w14:val="none"/>
    </w:rPr>
  </w:style>
  <w:style w:type="paragraph" w:customStyle="1" w:styleId="xl78">
    <w:name w:val="xl78"/>
    <w:basedOn w:val="Normal"/>
    <w:rsid w:val="00AC0E6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color w:val="000000"/>
      <w:kern w:val="0"/>
      <w:sz w:val="18"/>
      <w:szCs w:val="18"/>
      <w:lang w:eastAsia="es-CO"/>
      <w14:ligatures w14:val="none"/>
    </w:rPr>
  </w:style>
  <w:style w:type="paragraph" w:customStyle="1" w:styleId="xl79">
    <w:name w:val="xl79"/>
    <w:basedOn w:val="Normal"/>
    <w:rsid w:val="00AC0E68"/>
    <w:pPr>
      <w:shd w:val="clear" w:color="000000" w:fill="FFFFFF"/>
      <w:spacing w:before="100" w:beforeAutospacing="1" w:after="100" w:afterAutospacing="1"/>
    </w:pPr>
    <w:rPr>
      <w:rFonts w:eastAsia="Times New Roman" w:cs="Times New Roman"/>
      <w:kern w:val="0"/>
      <w:sz w:val="18"/>
      <w:szCs w:val="18"/>
      <w:lang w:eastAsia="es-CO"/>
      <w14:ligatures w14:val="none"/>
    </w:rPr>
  </w:style>
  <w:style w:type="paragraph" w:customStyle="1" w:styleId="xl80">
    <w:name w:val="xl80"/>
    <w:basedOn w:val="Normal"/>
    <w:rsid w:val="00AC0E68"/>
    <w:pPr>
      <w:shd w:val="clear" w:color="000000" w:fill="FFFFFF"/>
      <w:spacing w:before="100" w:beforeAutospacing="1" w:after="100" w:afterAutospacing="1"/>
      <w:jc w:val="center"/>
    </w:pPr>
    <w:rPr>
      <w:rFonts w:eastAsia="Times New Roman" w:cs="Times New Roman"/>
      <w:kern w:val="0"/>
      <w:sz w:val="18"/>
      <w:szCs w:val="18"/>
      <w:lang w:eastAsia="es-CO"/>
      <w14:ligatures w14:val="none"/>
    </w:rPr>
  </w:style>
  <w:style w:type="paragraph" w:customStyle="1" w:styleId="xl81">
    <w:name w:val="xl81"/>
    <w:basedOn w:val="Normal"/>
    <w:rsid w:val="00AC0E6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color w:val="000000"/>
      <w:kern w:val="0"/>
      <w:sz w:val="18"/>
      <w:szCs w:val="18"/>
      <w:lang w:eastAsia="es-CO"/>
      <w14:ligatures w14:val="none"/>
    </w:rPr>
  </w:style>
  <w:style w:type="character" w:customStyle="1" w:styleId="ms-button-flexcontainer">
    <w:name w:val="ms-button-flexcontainer"/>
    <w:basedOn w:val="Fuentedeprrafopredeter"/>
    <w:rsid w:val="00AC0E68"/>
  </w:style>
  <w:style w:type="numbering" w:customStyle="1" w:styleId="Sinlista11">
    <w:name w:val="Sin lista11"/>
    <w:next w:val="Sinlista"/>
    <w:uiPriority w:val="99"/>
    <w:semiHidden/>
    <w:unhideWhenUsed/>
    <w:rsid w:val="00AC0E68"/>
  </w:style>
  <w:style w:type="table" w:customStyle="1" w:styleId="nfasisTabladecuadrcula4-17">
    <w:name w:val="Énfasis Tabla de cuadrícula 4 - 17"/>
    <w:basedOn w:val="Tablanormal"/>
    <w:uiPriority w:val="49"/>
    <w:rsid w:val="00AC0E68"/>
    <w:pPr>
      <w:spacing w:after="0" w:line="240" w:lineRule="auto"/>
    </w:pPr>
    <w:rPr>
      <w:rFonts w:ascii="Calibri" w:eastAsia="Calibri" w:hAnsi="Calibri" w:cs="Times New Roman"/>
      <w:kern w:val="0"/>
      <w:sz w:val="20"/>
      <w:szCs w:val="20"/>
      <w14:ligatures w14:val="none"/>
    </w:rPr>
    <w:tblPr>
      <w:tblStyleRowBandSize w:val="1"/>
      <w:tblStyleColBandSize w:val="1"/>
      <w:tblInd w:w="0" w:type="nil"/>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Tablaconcuadrcula4-nfasis1">
    <w:name w:val="Grid Table 4 Accent 1"/>
    <w:basedOn w:val="Tablanormal"/>
    <w:uiPriority w:val="49"/>
    <w:rsid w:val="00AC0E68"/>
    <w:pPr>
      <w:spacing w:after="0" w:line="240" w:lineRule="auto"/>
    </w:pPr>
    <w:rPr>
      <w:rFonts w:ascii="Calibri" w:eastAsia="Calibri" w:hAnsi="Calibri" w:cs="Times New Roman"/>
      <w:kern w:val="0"/>
      <w:sz w:val="20"/>
      <w:szCs w:val="20"/>
      <w:lang w:eastAsia="es-CO"/>
      <w14:ligatures w14:val="none"/>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styleId="Textodelmarcadordeposicin">
    <w:name w:val="Placeholder Text"/>
    <w:basedOn w:val="Fuentedeprrafopredeter"/>
    <w:uiPriority w:val="99"/>
    <w:semiHidden/>
    <w:rsid w:val="00AC0E68"/>
    <w:rPr>
      <w:color w:val="808080"/>
    </w:rPr>
  </w:style>
  <w:style w:type="paragraph" w:customStyle="1" w:styleId="2">
    <w:name w:val="2"/>
    <w:basedOn w:val="Normal"/>
    <w:next w:val="Normal"/>
    <w:qFormat/>
    <w:rsid w:val="00AC0E68"/>
    <w:rPr>
      <w:rFonts w:ascii="Arial" w:eastAsia="Times New Roman" w:hAnsi="Arial" w:cs="Times New Roman"/>
      <w:bCs/>
      <w:kern w:val="0"/>
      <w:szCs w:val="20"/>
      <w14:ligatures w14:val="none"/>
    </w:rPr>
  </w:style>
  <w:style w:type="table" w:customStyle="1" w:styleId="cuadrcula-111">
    <w:name w:val="cuadrícula-111"/>
    <w:basedOn w:val="Tablanormal"/>
    <w:next w:val="Tablaconcuadrcula"/>
    <w:uiPriority w:val="59"/>
    <w:qFormat/>
    <w:rsid w:val="00AC0E68"/>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0">
    <w:name w:val="Table Grid0"/>
    <w:rsid w:val="00AC0E68"/>
    <w:pPr>
      <w:spacing w:after="0" w:line="240" w:lineRule="auto"/>
    </w:pPr>
    <w:rPr>
      <w:rFonts w:eastAsiaTheme="minorEastAsia"/>
      <w:kern w:val="0"/>
      <w:lang w:eastAsia="es-CO"/>
      <w14:ligatures w14:val="none"/>
    </w:rPr>
    <w:tblPr>
      <w:tblCellMar>
        <w:top w:w="0" w:type="dxa"/>
        <w:left w:w="0" w:type="dxa"/>
        <w:bottom w:w="0" w:type="dxa"/>
        <w:right w:w="0" w:type="dxa"/>
      </w:tblCellMar>
    </w:tblPr>
  </w:style>
  <w:style w:type="paragraph" w:customStyle="1" w:styleId="default0">
    <w:name w:val="default"/>
    <w:basedOn w:val="Normal"/>
    <w:rsid w:val="00AC0E68"/>
    <w:pPr>
      <w:spacing w:before="100" w:beforeAutospacing="1" w:after="100" w:afterAutospacing="1"/>
    </w:pPr>
    <w:rPr>
      <w:rFonts w:eastAsia="Times New Roman" w:cs="Times New Roman"/>
      <w:kern w:val="0"/>
      <w:szCs w:val="24"/>
      <w:lang w:val="es-MX" w:eastAsia="es-MX"/>
      <w14:ligatures w14:val="none"/>
    </w:rPr>
  </w:style>
  <w:style w:type="paragraph" w:customStyle="1" w:styleId="xl82">
    <w:name w:val="xl82"/>
    <w:basedOn w:val="Normal"/>
    <w:rsid w:val="00AC0E68"/>
    <w:pPr>
      <w:pBdr>
        <w:top w:val="single" w:sz="4" w:space="0" w:color="A6A6A6"/>
        <w:bottom w:val="single" w:sz="4" w:space="0" w:color="A6A6A6"/>
        <w:right w:val="single" w:sz="4" w:space="0" w:color="A6A6A6"/>
      </w:pBdr>
      <w:spacing w:before="100" w:beforeAutospacing="1" w:after="100" w:afterAutospacing="1"/>
      <w:textAlignment w:val="center"/>
    </w:pPr>
    <w:rPr>
      <w:rFonts w:eastAsia="Times New Roman" w:cs="Times New Roman"/>
      <w:b/>
      <w:bCs/>
      <w:kern w:val="0"/>
      <w:szCs w:val="24"/>
      <w:lang w:val="es-ES" w:eastAsia="es-ES"/>
      <w14:ligatures w14:val="none"/>
    </w:rPr>
  </w:style>
  <w:style w:type="paragraph" w:customStyle="1" w:styleId="xl83">
    <w:name w:val="xl83"/>
    <w:basedOn w:val="Normal"/>
    <w:rsid w:val="00AC0E68"/>
    <w:pPr>
      <w:pBdr>
        <w:top w:val="single" w:sz="4" w:space="0" w:color="A6A6A6"/>
        <w:left w:val="single" w:sz="4" w:space="0" w:color="A6A6A6"/>
        <w:bottom w:val="single" w:sz="4" w:space="0" w:color="A6A6A6"/>
        <w:right w:val="single" w:sz="4" w:space="0" w:color="A6A6A6"/>
      </w:pBdr>
      <w:shd w:val="clear" w:color="000000" w:fill="3366CC"/>
      <w:spacing w:before="100" w:beforeAutospacing="1" w:after="100" w:afterAutospacing="1"/>
      <w:jc w:val="center"/>
      <w:textAlignment w:val="center"/>
    </w:pPr>
    <w:rPr>
      <w:rFonts w:eastAsia="Times New Roman" w:cs="Times New Roman"/>
      <w:b/>
      <w:bCs/>
      <w:color w:val="FFFFFF"/>
      <w:kern w:val="0"/>
      <w:sz w:val="18"/>
      <w:szCs w:val="18"/>
      <w:lang w:val="es-ES" w:eastAsia="es-ES"/>
      <w14:ligatures w14:val="none"/>
    </w:rPr>
  </w:style>
  <w:style w:type="paragraph" w:customStyle="1" w:styleId="xl84">
    <w:name w:val="xl84"/>
    <w:basedOn w:val="Normal"/>
    <w:rsid w:val="00AC0E68"/>
    <w:pPr>
      <w:pBdr>
        <w:top w:val="single" w:sz="4" w:space="0" w:color="A6A6A6"/>
        <w:left w:val="single" w:sz="4" w:space="0" w:color="A6A6A6"/>
        <w:bottom w:val="single" w:sz="4" w:space="0" w:color="A6A6A6"/>
        <w:right w:val="single" w:sz="4" w:space="0" w:color="A6A6A6"/>
      </w:pBdr>
      <w:shd w:val="clear" w:color="000000" w:fill="FFF2CC"/>
      <w:spacing w:before="100" w:beforeAutospacing="1" w:after="100" w:afterAutospacing="1"/>
      <w:textAlignment w:val="center"/>
    </w:pPr>
    <w:rPr>
      <w:rFonts w:eastAsia="Times New Roman" w:cs="Times New Roman"/>
      <w:b/>
      <w:bCs/>
      <w:kern w:val="0"/>
      <w:szCs w:val="24"/>
      <w:lang w:val="es-ES" w:eastAsia="es-ES"/>
      <w14:ligatures w14:val="none"/>
    </w:rPr>
  </w:style>
  <w:style w:type="paragraph" w:customStyle="1" w:styleId="xl85">
    <w:name w:val="xl85"/>
    <w:basedOn w:val="Normal"/>
    <w:rsid w:val="00AC0E68"/>
    <w:pPr>
      <w:pBdr>
        <w:top w:val="single" w:sz="4" w:space="0" w:color="A6A6A6"/>
        <w:left w:val="single" w:sz="4" w:space="0" w:color="A6A6A6"/>
        <w:bottom w:val="single" w:sz="4" w:space="0" w:color="A6A6A6"/>
        <w:right w:val="single" w:sz="4" w:space="0" w:color="A6A6A6"/>
      </w:pBdr>
      <w:spacing w:before="100" w:beforeAutospacing="1" w:after="100" w:afterAutospacing="1"/>
      <w:textAlignment w:val="center"/>
    </w:pPr>
    <w:rPr>
      <w:rFonts w:eastAsia="Times New Roman" w:cs="Times New Roman"/>
      <w:b/>
      <w:bCs/>
      <w:kern w:val="0"/>
      <w:szCs w:val="24"/>
      <w:lang w:val="es-ES" w:eastAsia="es-ES"/>
      <w14:ligatures w14:val="none"/>
    </w:rPr>
  </w:style>
  <w:style w:type="paragraph" w:customStyle="1" w:styleId="xl86">
    <w:name w:val="xl86"/>
    <w:basedOn w:val="Normal"/>
    <w:rsid w:val="00AC0E68"/>
    <w:pPr>
      <w:pBdr>
        <w:top w:val="single" w:sz="4" w:space="0" w:color="A6A6A6"/>
        <w:left w:val="single" w:sz="4" w:space="0" w:color="A6A6A6"/>
        <w:bottom w:val="single" w:sz="4" w:space="0" w:color="A6A6A6"/>
        <w:right w:val="single" w:sz="4" w:space="0" w:color="A6A6A6"/>
      </w:pBdr>
      <w:shd w:val="clear" w:color="000000" w:fill="FFF2CC"/>
      <w:spacing w:before="100" w:beforeAutospacing="1" w:after="100" w:afterAutospacing="1"/>
      <w:textAlignment w:val="center"/>
    </w:pPr>
    <w:rPr>
      <w:rFonts w:eastAsia="Times New Roman" w:cs="Times New Roman"/>
      <w:kern w:val="0"/>
      <w:szCs w:val="24"/>
      <w:lang w:val="es-ES" w:eastAsia="es-ES"/>
      <w14:ligatures w14:val="none"/>
    </w:rPr>
  </w:style>
  <w:style w:type="paragraph" w:customStyle="1" w:styleId="xl87">
    <w:name w:val="xl87"/>
    <w:basedOn w:val="Normal"/>
    <w:rsid w:val="00AC0E68"/>
    <w:pPr>
      <w:pBdr>
        <w:top w:val="single" w:sz="4" w:space="0" w:color="A6A6A6"/>
        <w:left w:val="single" w:sz="4" w:space="0" w:color="A6A6A6"/>
        <w:bottom w:val="single" w:sz="4" w:space="0" w:color="A6A6A6"/>
        <w:right w:val="single" w:sz="4" w:space="0" w:color="A6A6A6"/>
      </w:pBdr>
      <w:spacing w:before="100" w:beforeAutospacing="1" w:after="100" w:afterAutospacing="1"/>
      <w:textAlignment w:val="center"/>
    </w:pPr>
    <w:rPr>
      <w:rFonts w:eastAsia="Times New Roman" w:cs="Times New Roman"/>
      <w:kern w:val="0"/>
      <w:szCs w:val="24"/>
      <w:lang w:val="es-ES" w:eastAsia="es-ES"/>
      <w14:ligatures w14:val="none"/>
    </w:rPr>
  </w:style>
  <w:style w:type="paragraph" w:customStyle="1" w:styleId="xl88">
    <w:name w:val="xl88"/>
    <w:basedOn w:val="Normal"/>
    <w:rsid w:val="00AC0E68"/>
    <w:pPr>
      <w:pBdr>
        <w:top w:val="single" w:sz="4" w:space="0" w:color="A6A6A6"/>
        <w:left w:val="single" w:sz="4" w:space="0" w:color="A6A6A6"/>
        <w:bottom w:val="single" w:sz="4" w:space="0" w:color="A6A6A6"/>
      </w:pBdr>
      <w:shd w:val="clear" w:color="000000" w:fill="000000"/>
      <w:spacing w:before="100" w:beforeAutospacing="1" w:after="100" w:afterAutospacing="1"/>
      <w:jc w:val="center"/>
      <w:textAlignment w:val="center"/>
    </w:pPr>
    <w:rPr>
      <w:rFonts w:eastAsia="Times New Roman" w:cs="Times New Roman"/>
      <w:b/>
      <w:bCs/>
      <w:kern w:val="0"/>
      <w:szCs w:val="24"/>
      <w:lang w:val="es-ES" w:eastAsia="es-ES"/>
      <w14:ligatures w14:val="none"/>
    </w:rPr>
  </w:style>
  <w:style w:type="paragraph" w:customStyle="1" w:styleId="xl89">
    <w:name w:val="xl89"/>
    <w:basedOn w:val="Normal"/>
    <w:rsid w:val="00AC0E68"/>
    <w:pPr>
      <w:pBdr>
        <w:top w:val="single" w:sz="4" w:space="0" w:color="A6A6A6"/>
        <w:left w:val="single" w:sz="4" w:space="0" w:color="A6A6A6"/>
        <w:bottom w:val="single" w:sz="4" w:space="0" w:color="A6A6A6"/>
        <w:right w:val="single" w:sz="4" w:space="0" w:color="A6A6A6"/>
      </w:pBdr>
      <w:spacing w:before="100" w:beforeAutospacing="1" w:after="100" w:afterAutospacing="1"/>
      <w:jc w:val="center"/>
      <w:textAlignment w:val="center"/>
    </w:pPr>
    <w:rPr>
      <w:rFonts w:eastAsia="Times New Roman" w:cs="Times New Roman"/>
      <w:b/>
      <w:bCs/>
      <w:kern w:val="0"/>
      <w:szCs w:val="24"/>
      <w:lang w:val="es-ES" w:eastAsia="es-ES"/>
      <w14:ligatures w14:val="none"/>
    </w:rPr>
  </w:style>
  <w:style w:type="paragraph" w:customStyle="1" w:styleId="xl90">
    <w:name w:val="xl90"/>
    <w:basedOn w:val="Normal"/>
    <w:rsid w:val="00AC0E68"/>
    <w:pPr>
      <w:pBdr>
        <w:top w:val="single" w:sz="4" w:space="0" w:color="A6A6A6"/>
        <w:left w:val="single" w:sz="4" w:space="0" w:color="A6A6A6"/>
        <w:bottom w:val="single" w:sz="4" w:space="0" w:color="A6A6A6"/>
        <w:right w:val="single" w:sz="4" w:space="0" w:color="A6A6A6"/>
      </w:pBdr>
      <w:shd w:val="clear" w:color="000000" w:fill="D0CECE"/>
      <w:spacing w:before="100" w:beforeAutospacing="1" w:after="100" w:afterAutospacing="1"/>
      <w:textAlignment w:val="center"/>
    </w:pPr>
    <w:rPr>
      <w:rFonts w:eastAsia="Times New Roman" w:cs="Times New Roman"/>
      <w:b/>
      <w:bCs/>
      <w:kern w:val="0"/>
      <w:szCs w:val="24"/>
      <w:lang w:val="es-ES" w:eastAsia="es-ES"/>
      <w14:ligatures w14:val="none"/>
    </w:rPr>
  </w:style>
  <w:style w:type="paragraph" w:customStyle="1" w:styleId="xl91">
    <w:name w:val="xl91"/>
    <w:basedOn w:val="Normal"/>
    <w:rsid w:val="00AC0E68"/>
    <w:pPr>
      <w:pBdr>
        <w:top w:val="single" w:sz="4" w:space="0" w:color="A6A6A6"/>
        <w:left w:val="single" w:sz="4" w:space="0" w:color="A6A6A6"/>
        <w:bottom w:val="single" w:sz="4" w:space="0" w:color="A6A6A6"/>
        <w:right w:val="single" w:sz="4" w:space="0" w:color="A6A6A6"/>
      </w:pBdr>
      <w:shd w:val="clear" w:color="000000" w:fill="3366CC"/>
      <w:spacing w:before="100" w:beforeAutospacing="1" w:after="100" w:afterAutospacing="1"/>
      <w:jc w:val="center"/>
      <w:textAlignment w:val="center"/>
    </w:pPr>
    <w:rPr>
      <w:rFonts w:eastAsia="Times New Roman" w:cs="Times New Roman"/>
      <w:b/>
      <w:bCs/>
      <w:color w:val="FFFFFF"/>
      <w:kern w:val="0"/>
      <w:szCs w:val="24"/>
      <w:lang w:val="es-ES" w:eastAsia="es-ES"/>
      <w14:ligatures w14:val="none"/>
    </w:rPr>
  </w:style>
  <w:style w:type="paragraph" w:customStyle="1" w:styleId="xl92">
    <w:name w:val="xl92"/>
    <w:basedOn w:val="Normal"/>
    <w:rsid w:val="00AC0E68"/>
    <w:pPr>
      <w:pBdr>
        <w:top w:val="single" w:sz="4" w:space="0" w:color="A6A6A6"/>
        <w:bottom w:val="single" w:sz="4" w:space="0" w:color="A6A6A6"/>
      </w:pBdr>
      <w:spacing w:before="100" w:beforeAutospacing="1" w:after="100" w:afterAutospacing="1"/>
      <w:textAlignment w:val="center"/>
    </w:pPr>
    <w:rPr>
      <w:rFonts w:eastAsia="Times New Roman" w:cs="Times New Roman"/>
      <w:kern w:val="0"/>
      <w:szCs w:val="24"/>
      <w:lang w:val="es-ES" w:eastAsia="es-ES"/>
      <w14:ligatures w14:val="none"/>
    </w:rPr>
  </w:style>
  <w:style w:type="paragraph" w:customStyle="1" w:styleId="xl93">
    <w:name w:val="xl93"/>
    <w:basedOn w:val="Normal"/>
    <w:rsid w:val="00AC0E68"/>
    <w:pPr>
      <w:pBdr>
        <w:top w:val="single" w:sz="4" w:space="0" w:color="A6A6A6"/>
        <w:left w:val="single" w:sz="4" w:space="0" w:color="A6A6A6"/>
        <w:bottom w:val="single" w:sz="4" w:space="0" w:color="A6A6A6"/>
      </w:pBdr>
      <w:spacing w:before="100" w:beforeAutospacing="1" w:after="100" w:afterAutospacing="1"/>
      <w:textAlignment w:val="center"/>
    </w:pPr>
    <w:rPr>
      <w:rFonts w:eastAsia="Times New Roman" w:cs="Times New Roman"/>
      <w:b/>
      <w:bCs/>
      <w:kern w:val="0"/>
      <w:szCs w:val="24"/>
      <w:lang w:val="es-ES" w:eastAsia="es-ES"/>
      <w14:ligatures w14:val="none"/>
    </w:rPr>
  </w:style>
  <w:style w:type="paragraph" w:customStyle="1" w:styleId="xl94">
    <w:name w:val="xl94"/>
    <w:basedOn w:val="Normal"/>
    <w:rsid w:val="00AC0E68"/>
    <w:pPr>
      <w:pBdr>
        <w:top w:val="single" w:sz="4" w:space="0" w:color="A6A6A6"/>
        <w:bottom w:val="single" w:sz="4" w:space="0" w:color="A6A6A6"/>
      </w:pBdr>
      <w:spacing w:before="100" w:beforeAutospacing="1" w:after="100" w:afterAutospacing="1"/>
      <w:textAlignment w:val="center"/>
    </w:pPr>
    <w:rPr>
      <w:rFonts w:eastAsia="Times New Roman" w:cs="Times New Roman"/>
      <w:kern w:val="0"/>
      <w:szCs w:val="24"/>
      <w:lang w:val="es-ES" w:eastAsia="es-ES"/>
      <w14:ligatures w14:val="none"/>
    </w:rPr>
  </w:style>
  <w:style w:type="paragraph" w:customStyle="1" w:styleId="xl95">
    <w:name w:val="xl95"/>
    <w:basedOn w:val="Normal"/>
    <w:rsid w:val="00AC0E68"/>
    <w:pPr>
      <w:pBdr>
        <w:top w:val="single" w:sz="4" w:space="0" w:color="A6A6A6"/>
        <w:left w:val="single" w:sz="4" w:space="0" w:color="A6A6A6"/>
        <w:bottom w:val="single" w:sz="4" w:space="0" w:color="A6A6A6"/>
      </w:pBdr>
      <w:spacing w:before="100" w:beforeAutospacing="1" w:after="100" w:afterAutospacing="1"/>
      <w:textAlignment w:val="center"/>
    </w:pPr>
    <w:rPr>
      <w:rFonts w:eastAsia="Times New Roman" w:cs="Times New Roman"/>
      <w:b/>
      <w:bCs/>
      <w:kern w:val="0"/>
      <w:szCs w:val="24"/>
      <w:lang w:val="es-ES" w:eastAsia="es-ES"/>
      <w14:ligatures w14:val="none"/>
    </w:rPr>
  </w:style>
  <w:style w:type="character" w:customStyle="1" w:styleId="DefaultCar">
    <w:name w:val="Default Car"/>
    <w:link w:val="Default"/>
    <w:locked/>
    <w:rsid w:val="00AC0E68"/>
    <w:rPr>
      <w:rFonts w:ascii="Verdana" w:eastAsia="Calibri" w:hAnsi="Verdana" w:cs="Verdana"/>
      <w:color w:val="000000"/>
      <w:kern w:val="0"/>
      <w:sz w:val="24"/>
      <w:szCs w:val="24"/>
      <w:lang w:eastAsia="es-CO"/>
      <w14:ligatures w14:val="none"/>
    </w:rPr>
  </w:style>
  <w:style w:type="character" w:customStyle="1" w:styleId="ui-provider">
    <w:name w:val="ui-provider"/>
    <w:basedOn w:val="Fuentedeprrafopredeter"/>
    <w:rsid w:val="00AC0E68"/>
  </w:style>
  <w:style w:type="paragraph" w:styleId="Textoindependienteprimerasangra2">
    <w:name w:val="Body Text First Indent 2"/>
    <w:basedOn w:val="Sangradetextonormal"/>
    <w:link w:val="Textoindependienteprimerasangra2Car"/>
    <w:uiPriority w:val="99"/>
    <w:unhideWhenUsed/>
    <w:rsid w:val="00AC0E68"/>
    <w:pPr>
      <w:tabs>
        <w:tab w:val="clear" w:pos="4678"/>
        <w:tab w:val="clear" w:pos="7655"/>
      </w:tabs>
      <w:spacing w:after="160" w:line="259" w:lineRule="auto"/>
      <w:ind w:left="360" w:firstLine="360"/>
    </w:pPr>
    <w:rPr>
      <w:rFonts w:ascii="Calibri" w:eastAsia="Calibri" w:hAnsi="Calibri"/>
      <w:sz w:val="22"/>
      <w:lang w:val="es-CO"/>
    </w:rPr>
  </w:style>
  <w:style w:type="character" w:customStyle="1" w:styleId="fui-primitive">
    <w:name w:val="fui-primitive"/>
    <w:basedOn w:val="Fuentedeprrafopredeter"/>
    <w:rsid w:val="00AC0E68"/>
  </w:style>
  <w:style w:type="table" w:customStyle="1" w:styleId="TableNormal9">
    <w:name w:val="Table Normal9"/>
    <w:uiPriority w:val="2"/>
    <w:semiHidden/>
    <w:unhideWhenUsed/>
    <w:qFormat/>
    <w:rsid w:val="00AC0E68"/>
    <w:pPr>
      <w:widowControl w:val="0"/>
      <w:autoSpaceDE w:val="0"/>
      <w:autoSpaceDN w:val="0"/>
      <w:spacing w:after="0" w:line="240" w:lineRule="auto"/>
    </w:pPr>
    <w:rPr>
      <w:kern w:val="0"/>
      <w:lang w:val="en-US"/>
      <w14:ligatures w14:val="none"/>
    </w:rPr>
    <w:tblPr>
      <w:tblInd w:w="0" w:type="dxa"/>
      <w:tblCellMar>
        <w:top w:w="0" w:type="dxa"/>
        <w:left w:w="0" w:type="dxa"/>
        <w:bottom w:w="0" w:type="dxa"/>
        <w:right w:w="0" w:type="dxa"/>
      </w:tblCellMar>
    </w:tblPr>
  </w:style>
  <w:style w:type="character" w:customStyle="1" w:styleId="Estilo3">
    <w:name w:val="Estilo3"/>
    <w:basedOn w:val="Fuentedeprrafopredeter"/>
    <w:uiPriority w:val="1"/>
    <w:rsid w:val="00AC0E68"/>
    <w:rPr>
      <w:rFonts w:ascii="Times New Roman" w:hAnsi="Times New Roman"/>
      <w:sz w:val="24"/>
    </w:rPr>
  </w:style>
  <w:style w:type="character" w:customStyle="1" w:styleId="contentcontrolboundarysink">
    <w:name w:val="contentcontrolboundarysink"/>
    <w:basedOn w:val="Fuentedeprrafopredeter"/>
    <w:rsid w:val="00AC0E68"/>
  </w:style>
  <w:style w:type="paragraph" w:customStyle="1" w:styleId="xl63">
    <w:name w:val="xl63"/>
    <w:basedOn w:val="Normal"/>
    <w:rsid w:val="00AC0E68"/>
    <w:pPr>
      <w:spacing w:before="100" w:beforeAutospacing="1" w:after="100" w:afterAutospacing="1"/>
    </w:pPr>
    <w:rPr>
      <w:rFonts w:eastAsia="Times New Roman" w:cs="Times New Roman"/>
      <w:b/>
      <w:bCs/>
      <w:kern w:val="0"/>
      <w:szCs w:val="24"/>
      <w:lang w:eastAsia="es-CO"/>
      <w14:ligatures w14:val="none"/>
    </w:rPr>
  </w:style>
  <w:style w:type="character" w:styleId="Mencionar">
    <w:name w:val="Mention"/>
    <w:basedOn w:val="Fuentedeprrafopredeter"/>
    <w:uiPriority w:val="99"/>
    <w:unhideWhenUsed/>
    <w:rsid w:val="00AC0E68"/>
    <w:rPr>
      <w:color w:val="2B579A"/>
      <w:shd w:val="clear" w:color="auto" w:fill="E1DFDD"/>
    </w:rPr>
  </w:style>
  <w:style w:type="paragraph" w:styleId="Cita">
    <w:name w:val="Quote"/>
    <w:basedOn w:val="Normal"/>
    <w:next w:val="Normal"/>
    <w:link w:val="CitaCar"/>
    <w:uiPriority w:val="29"/>
    <w:qFormat/>
    <w:rsid w:val="00AC0E68"/>
    <w:pPr>
      <w:spacing w:before="160"/>
      <w:jc w:val="center"/>
    </w:pPr>
    <w:rPr>
      <w:rFonts w:ascii="Calibri" w:eastAsia="Calibri" w:hAnsi="Calibri" w:cs="Times New Roman"/>
      <w:i/>
      <w:iCs/>
      <w:color w:val="404040" w:themeColor="text1" w:themeTint="BF"/>
      <w:kern w:val="0"/>
      <w14:ligatures w14:val="none"/>
    </w:rPr>
  </w:style>
  <w:style w:type="character" w:styleId="nfasisintenso">
    <w:name w:val="Intense Emphasis"/>
    <w:basedOn w:val="Fuentedeprrafopredeter"/>
    <w:uiPriority w:val="21"/>
    <w:qFormat/>
    <w:rsid w:val="00AC0E68"/>
    <w:rPr>
      <w:i/>
      <w:iCs/>
      <w:color w:val="2F5496" w:themeColor="accent1" w:themeShade="BF"/>
    </w:rPr>
  </w:style>
  <w:style w:type="paragraph" w:styleId="Citadestacada">
    <w:name w:val="Intense Quote"/>
    <w:basedOn w:val="Normal"/>
    <w:next w:val="Normal"/>
    <w:link w:val="CitadestacadaCar"/>
    <w:uiPriority w:val="30"/>
    <w:qFormat/>
    <w:rsid w:val="00AC0E68"/>
    <w:pPr>
      <w:pBdr>
        <w:top w:val="single" w:sz="4" w:space="10" w:color="2F5496" w:themeColor="accent1" w:themeShade="BF"/>
        <w:bottom w:val="single" w:sz="4" w:space="10" w:color="2F5496" w:themeColor="accent1" w:themeShade="BF"/>
      </w:pBdr>
      <w:spacing w:before="360" w:after="360"/>
      <w:ind w:left="864" w:right="864"/>
      <w:jc w:val="center"/>
    </w:pPr>
    <w:rPr>
      <w:rFonts w:ascii="Calibri" w:eastAsia="Calibri" w:hAnsi="Calibri" w:cs="Times New Roman"/>
      <w:i/>
      <w:iCs/>
      <w:color w:val="2F5496" w:themeColor="accent1" w:themeShade="BF"/>
      <w:kern w:val="0"/>
      <w14:ligatures w14:val="none"/>
    </w:rPr>
  </w:style>
  <w:style w:type="character" w:styleId="Referenciaintensa">
    <w:name w:val="Intense Reference"/>
    <w:basedOn w:val="Fuentedeprrafopredeter"/>
    <w:uiPriority w:val="32"/>
    <w:qFormat/>
    <w:rsid w:val="00AC0E68"/>
    <w:rPr>
      <w:b/>
      <w:bCs/>
      <w:smallCaps/>
      <w:color w:val="2F5496" w:themeColor="accent1" w:themeShade="BF"/>
      <w:spacing w:val="5"/>
    </w:rPr>
  </w:style>
  <w:style w:type="character" w:customStyle="1" w:styleId="scxw185282510">
    <w:name w:val="scxw185282510"/>
    <w:basedOn w:val="Fuentedeprrafopredeter"/>
    <w:rsid w:val="00AC0E68"/>
  </w:style>
  <w:style w:type="character" w:customStyle="1" w:styleId="tabchar">
    <w:name w:val="tabchar"/>
    <w:basedOn w:val="Fuentedeprrafopredeter"/>
    <w:rsid w:val="00AC0E68"/>
  </w:style>
  <w:style w:type="character" w:customStyle="1" w:styleId="scxw140980088">
    <w:name w:val="scxw140980088"/>
    <w:basedOn w:val="Fuentedeprrafopredeter"/>
    <w:rsid w:val="00AC0E68"/>
  </w:style>
  <w:style w:type="character" w:customStyle="1" w:styleId="Estilo5">
    <w:name w:val="Estilo5"/>
    <w:basedOn w:val="Fuentedeprrafopredeter"/>
    <w:uiPriority w:val="1"/>
    <w:rsid w:val="00AC0E68"/>
    <w:rPr>
      <w:rFonts w:ascii="Times New Roman" w:hAnsi="Times New Roman"/>
      <w:sz w:val="24"/>
    </w:rPr>
  </w:style>
  <w:style w:type="character" w:customStyle="1" w:styleId="xcontentpasted0">
    <w:name w:val="x_contentpasted0"/>
    <w:basedOn w:val="Fuentedeprrafopredeter"/>
    <w:rsid w:val="00AC0E68"/>
  </w:style>
  <w:style w:type="character" w:customStyle="1" w:styleId="DescripcinCar">
    <w:name w:val="Descripción Car"/>
    <w:aliases w:val="Epígrafe1 Car,Titulo Tabla Car,FIGURA Car Car,Epígrafe11 Car,A Car,Epígrafe Car Car Car,Figs y tabs Car,Tablas Car1,Tablas Car Car,Indice de figura Car,Car Car Car Car Car Car,Car Car, Car Car Car Car Car Car,Epígrafe Car1 Car,D Car"/>
    <w:link w:val="Descripcin"/>
    <w:qFormat/>
    <w:rsid w:val="7AA3C66B"/>
    <w:rPr>
      <w:rFonts w:ascii="Arial" w:eastAsia="Times New Roman" w:hAnsi="Arial" w:cs="Times New Roman"/>
      <w:b/>
      <w:bCs/>
      <w:sz w:val="20"/>
      <w:szCs w:val="20"/>
      <w:lang w:val="en-US" w:eastAsia="es-CO"/>
    </w:rPr>
  </w:style>
  <w:style w:type="character" w:customStyle="1" w:styleId="PrrafodelistaCar">
    <w:name w:val="Párrafo de lista Car"/>
    <w:aliases w:val="Subtítulo Subcontenido numerado Car,Lista 123 Car,LISTA Car,Bolita Car,Guión Car,Viñeta 2 Car,Párrafo de lista3 Car,BOLA Car,Párrafo de lista21 Car,Titulo 8 Car,Párrafo de lista2 Car,HOJA Car,Párrafo de lista31 Car,BOLADEF Car,a Car"/>
    <w:link w:val="Prrafodelista"/>
    <w:uiPriority w:val="34"/>
    <w:qFormat/>
    <w:rsid w:val="7AA3C66B"/>
  </w:style>
  <w:style w:type="character" w:customStyle="1" w:styleId="Textoindependiente2Car">
    <w:name w:val="Texto independiente 2 Car"/>
    <w:basedOn w:val="Fuentedeprrafopredeter"/>
    <w:link w:val="Textoindependiente2"/>
    <w:rsid w:val="7AA3C66B"/>
    <w:rPr>
      <w:rFonts w:ascii="Calibri" w:eastAsia="Calibri" w:hAnsi="Calibri" w:cs="Times New Roman"/>
    </w:rPr>
  </w:style>
  <w:style w:type="character" w:customStyle="1" w:styleId="Textoindependiente3Car">
    <w:name w:val="Texto independiente 3 Car"/>
    <w:basedOn w:val="Fuentedeprrafopredeter"/>
    <w:link w:val="Textoindependiente3"/>
    <w:semiHidden/>
    <w:rsid w:val="7AA3C66B"/>
    <w:rPr>
      <w:rFonts w:ascii="Arial" w:eastAsia="Times New Roman" w:hAnsi="Arial" w:cs="Times New Roman"/>
      <w:sz w:val="16"/>
      <w:szCs w:val="16"/>
      <w:lang w:val="es-ES"/>
    </w:rPr>
  </w:style>
  <w:style w:type="character" w:customStyle="1" w:styleId="TextoindependienteCar">
    <w:name w:val="Texto independiente Car"/>
    <w:aliases w:val="bt Car,body text Car,t Car,text Car,BODY TEXT Car,EDStext Car,sp Car,bodytext Car,bullet title Car,txt1 Car,T1 Car,Title 1 Car,Text Car,sbs Car,block text Car,1 Car,bt4 Car,body text4 Car,bt5 Car,body text5 Car,bt1 Car,Teh2xt Car"/>
    <w:basedOn w:val="Fuentedeprrafopredeter"/>
    <w:link w:val="Textoindependiente"/>
    <w:uiPriority w:val="1"/>
    <w:rsid w:val="7AA3C66B"/>
    <w:rPr>
      <w:rFonts w:ascii="Times New Roman" w:eastAsia="Times New Roman" w:hAnsi="Times New Roman" w:cs="Times New Roman"/>
      <w:sz w:val="24"/>
      <w:szCs w:val="24"/>
      <w:lang w:val="es-ES" w:eastAsia="es-ES" w:bidi="es-ES"/>
    </w:rPr>
  </w:style>
  <w:style w:type="character" w:customStyle="1" w:styleId="Sangra2detindependienteCar">
    <w:name w:val="Sangría 2 de t. independiente Car"/>
    <w:basedOn w:val="Fuentedeprrafopredeter"/>
    <w:link w:val="Sangra2detindependiente"/>
    <w:semiHidden/>
    <w:rsid w:val="7AA3C66B"/>
    <w:rPr>
      <w:rFonts w:ascii="Arial" w:eastAsia="Times New Roman" w:hAnsi="Arial" w:cs="Times New Roman"/>
      <w:lang w:val="es-ES"/>
    </w:rPr>
  </w:style>
  <w:style w:type="character" w:customStyle="1" w:styleId="Sangra3detindependienteCar">
    <w:name w:val="Sangría 3 de t. independiente Car"/>
    <w:basedOn w:val="Fuentedeprrafopredeter"/>
    <w:link w:val="Sangra3detindependiente"/>
    <w:rsid w:val="7AA3C66B"/>
    <w:rPr>
      <w:rFonts w:ascii="Arial" w:eastAsia="Times New Roman" w:hAnsi="Arial" w:cs="Arial"/>
      <w:sz w:val="24"/>
      <w:szCs w:val="24"/>
      <w:lang w:val="es-ES"/>
    </w:rPr>
  </w:style>
  <w:style w:type="character" w:customStyle="1" w:styleId="TextonotaalfinalCar">
    <w:name w:val="Texto nota al final Car"/>
    <w:basedOn w:val="Fuentedeprrafopredeter"/>
    <w:link w:val="Textonotaalfinal"/>
    <w:rsid w:val="7AA3C66B"/>
    <w:rPr>
      <w:rFonts w:ascii="Arial" w:eastAsia="Times New Roman" w:hAnsi="Arial" w:cs="Times New Roman"/>
      <w:sz w:val="20"/>
      <w:szCs w:val="20"/>
      <w:lang w:val="es-ES"/>
    </w:rPr>
  </w:style>
  <w:style w:type="character" w:customStyle="1" w:styleId="Ttulo6Car">
    <w:name w:val="Título 6 Car"/>
    <w:basedOn w:val="Fuentedeprrafopredeter"/>
    <w:link w:val="Ttulo6"/>
    <w:rsid w:val="7AA3C66B"/>
    <w:rPr>
      <w:rFonts w:ascii="Arial Negrita" w:eastAsia="Times New Roman" w:hAnsi="Arial Negrita" w:cs="Times New Roman"/>
      <w:b/>
      <w:bCs/>
      <w:i/>
      <w:iCs/>
      <w:caps/>
      <w:color w:val="0000FF"/>
      <w:sz w:val="28"/>
      <w:szCs w:val="28"/>
      <w:lang w:val="es-ES"/>
    </w:rPr>
  </w:style>
  <w:style w:type="character" w:customStyle="1" w:styleId="SinespaciadoCar">
    <w:name w:val="Sin espaciado Car"/>
    <w:aliases w:val="Subtitulo Car,VT2 Car,AEROCIVIL CITA Car"/>
    <w:link w:val="Sinespaciado"/>
    <w:uiPriority w:val="1"/>
    <w:rsid w:val="7AA3C66B"/>
    <w:rPr>
      <w:rFonts w:ascii="Verdana" w:hAnsi="Verdana" w:cs="Times New Roman"/>
      <w:sz w:val="19"/>
      <w:szCs w:val="19"/>
    </w:rPr>
  </w:style>
  <w:style w:type="character" w:customStyle="1" w:styleId="Ttulo1Car">
    <w:name w:val="Título 1 Car"/>
    <w:aliases w:val="INFITULUA-T2 Car,BONUS-T1 Car,MT1 Car,título 1 Car,Título 1_HTA Car"/>
    <w:basedOn w:val="Fuentedeprrafopredeter"/>
    <w:link w:val="Ttulo1"/>
    <w:uiPriority w:val="9"/>
    <w:rsid w:val="7AA3C66B"/>
    <w:rPr>
      <w:rFonts w:ascii="Times New Roman" w:eastAsiaTheme="majorEastAsia" w:hAnsi="Times New Roman" w:cstheme="majorBidi"/>
      <w:b/>
      <w:bCs/>
      <w:color w:val="1F3864" w:themeColor="accent1" w:themeShade="80"/>
      <w:sz w:val="26"/>
      <w:szCs w:val="26"/>
    </w:rPr>
  </w:style>
  <w:style w:type="character" w:customStyle="1" w:styleId="Ttulo2Car">
    <w:name w:val="Título 2 Car"/>
    <w:aliases w:val="BONUS-T2 Car,Edgar 2 Car,Título 2 -BCN Car"/>
    <w:basedOn w:val="Fuentedeprrafopredeter"/>
    <w:link w:val="Ttulo2"/>
    <w:uiPriority w:val="9"/>
    <w:rsid w:val="7AA3C66B"/>
    <w:rPr>
      <w:rFonts w:ascii="Times New Roman" w:eastAsiaTheme="majorEastAsia" w:hAnsi="Times New Roman" w:cstheme="majorBidi"/>
      <w:b/>
      <w:color w:val="1F3864" w:themeColor="accent1" w:themeShade="80"/>
      <w:kern w:val="0"/>
      <w:sz w:val="24"/>
      <w:szCs w:val="26"/>
      <w14:ligatures w14:val="none"/>
    </w:rPr>
  </w:style>
  <w:style w:type="character" w:customStyle="1" w:styleId="Ttulo3Car">
    <w:name w:val="Título 3 Car"/>
    <w:aliases w:val="BONUS-T3 Final Car,Edgar 3 Car,1.1.1Título 3 Car,Título 3-BCN Car,3 bullet Car,H3 Car,1Título 3 Car"/>
    <w:basedOn w:val="Fuentedeprrafopredeter"/>
    <w:link w:val="Ttulo3"/>
    <w:uiPriority w:val="9"/>
    <w:rsid w:val="7AA3C66B"/>
    <w:rPr>
      <w:rFonts w:ascii="Times New Roman" w:eastAsiaTheme="majorEastAsia" w:hAnsi="Times New Roman" w:cstheme="majorBidi"/>
      <w:b/>
      <w:bCs/>
      <w:sz w:val="24"/>
      <w:szCs w:val="24"/>
    </w:rPr>
  </w:style>
  <w:style w:type="character" w:customStyle="1" w:styleId="Ttulo4Car">
    <w:name w:val="Título 4 Car"/>
    <w:basedOn w:val="Fuentedeprrafopredeter"/>
    <w:link w:val="Ttulo4"/>
    <w:uiPriority w:val="9"/>
    <w:rsid w:val="7AA3C66B"/>
    <w:rPr>
      <w:rFonts w:ascii="Arial Negrita" w:eastAsia="Times New Roman" w:hAnsi="Arial Negrita" w:cs="Times New Roman"/>
      <w:b/>
      <w:bCs/>
      <w:lang w:val="es-ES"/>
    </w:rPr>
  </w:style>
  <w:style w:type="character" w:customStyle="1" w:styleId="Ttulo5Car">
    <w:name w:val="Título 5 Car"/>
    <w:aliases w:val="Titulo de Quinto Nivel Car,Título 5 - PDE Car"/>
    <w:basedOn w:val="Fuentedeprrafopredeter"/>
    <w:link w:val="Ttulo5"/>
    <w:uiPriority w:val="9"/>
    <w:rsid w:val="7AA3C66B"/>
    <w:rPr>
      <w:rFonts w:ascii="Arial" w:eastAsia="Times New Roman" w:hAnsi="Arial" w:cs="Times New Roman"/>
      <w:b/>
      <w:bCs/>
      <w:i/>
      <w:iCs/>
      <w:sz w:val="28"/>
      <w:szCs w:val="28"/>
      <w:lang w:val="es-ES"/>
    </w:rPr>
  </w:style>
  <w:style w:type="character" w:customStyle="1" w:styleId="Ttulo7Car">
    <w:name w:val="Título 7 Car"/>
    <w:basedOn w:val="Fuentedeprrafopredeter"/>
    <w:link w:val="Ttulo7"/>
    <w:uiPriority w:val="9"/>
    <w:rsid w:val="7AA3C66B"/>
    <w:rPr>
      <w:rFonts w:asciiTheme="majorHAnsi" w:eastAsiaTheme="majorEastAsia" w:hAnsiTheme="majorHAnsi" w:cstheme="majorBidi"/>
      <w:i/>
      <w:iCs/>
      <w:color w:val="404040" w:themeColor="text1" w:themeTint="BF"/>
      <w:sz w:val="24"/>
      <w:szCs w:val="24"/>
      <w:lang w:val="es-ES" w:eastAsia="es-ES"/>
    </w:rPr>
  </w:style>
  <w:style w:type="character" w:customStyle="1" w:styleId="Ttulo8Car">
    <w:name w:val="Título 8 Car"/>
    <w:basedOn w:val="Fuentedeprrafopredeter"/>
    <w:link w:val="Ttulo8"/>
    <w:uiPriority w:val="9"/>
    <w:rsid w:val="7AA3C66B"/>
    <w:rPr>
      <w:rFonts w:asciiTheme="majorHAnsi" w:eastAsiaTheme="majorEastAsia" w:hAnsiTheme="majorHAnsi" w:cstheme="majorBidi"/>
      <w:color w:val="404040" w:themeColor="text1" w:themeTint="BF"/>
      <w:sz w:val="20"/>
      <w:szCs w:val="20"/>
      <w:lang w:val="es-ES" w:eastAsia="es-ES"/>
    </w:rPr>
  </w:style>
  <w:style w:type="character" w:customStyle="1" w:styleId="Ttulo9Car">
    <w:name w:val="Título 9 Car"/>
    <w:basedOn w:val="Fuentedeprrafopredeter"/>
    <w:link w:val="Ttulo9"/>
    <w:uiPriority w:val="9"/>
    <w:rsid w:val="7AA3C66B"/>
    <w:rPr>
      <w:rFonts w:asciiTheme="majorHAnsi" w:eastAsiaTheme="majorEastAsia" w:hAnsiTheme="majorHAnsi" w:cstheme="majorBidi"/>
      <w:i/>
      <w:iCs/>
      <w:color w:val="404040" w:themeColor="text1" w:themeTint="BF"/>
      <w:sz w:val="20"/>
      <w:szCs w:val="20"/>
      <w:lang w:val="es-ES" w:eastAsia="es-ES"/>
    </w:rPr>
  </w:style>
  <w:style w:type="character" w:customStyle="1" w:styleId="TtuloCar">
    <w:name w:val="Título Car"/>
    <w:basedOn w:val="Fuentedeprrafopredeter"/>
    <w:link w:val="Ttulo"/>
    <w:uiPriority w:val="10"/>
    <w:rsid w:val="7AA3C66B"/>
    <w:rPr>
      <w:rFonts w:ascii="Times New Roman" w:eastAsiaTheme="majorEastAsia" w:hAnsi="Times New Roman" w:cstheme="majorBidi"/>
      <w:b/>
      <w:bCs/>
      <w:color w:val="1F3864" w:themeColor="accent1" w:themeShade="80"/>
      <w:sz w:val="26"/>
      <w:szCs w:val="26"/>
    </w:rPr>
  </w:style>
  <w:style w:type="character" w:customStyle="1" w:styleId="SubttuloCar">
    <w:name w:val="Subtítulo Car"/>
    <w:basedOn w:val="Fuentedeprrafopredeter"/>
    <w:link w:val="Subttulo"/>
    <w:uiPriority w:val="11"/>
    <w:rsid w:val="7AA3C66B"/>
    <w:rPr>
      <w:rFonts w:ascii="Times New Roman" w:eastAsiaTheme="minorEastAsia" w:hAnsi="Times New Roman"/>
      <w:b/>
      <w:color w:val="1F3864" w:themeColor="accent1" w:themeShade="80"/>
      <w:spacing w:val="15"/>
      <w:kern w:val="0"/>
      <w:sz w:val="24"/>
      <w14:ligatures w14:val="none"/>
    </w:rPr>
  </w:style>
  <w:style w:type="character" w:customStyle="1" w:styleId="CitaCar">
    <w:name w:val="Cita Car"/>
    <w:basedOn w:val="Fuentedeprrafopredeter"/>
    <w:link w:val="Cita"/>
    <w:uiPriority w:val="29"/>
    <w:rsid w:val="7AA3C66B"/>
    <w:rPr>
      <w:rFonts w:ascii="Calibri" w:eastAsia="Calibri" w:hAnsi="Calibri" w:cs="Times New Roman"/>
      <w:i/>
      <w:iCs/>
      <w:color w:val="404040" w:themeColor="text1" w:themeTint="BF"/>
    </w:rPr>
  </w:style>
  <w:style w:type="character" w:customStyle="1" w:styleId="CitadestacadaCar">
    <w:name w:val="Cita destacada Car"/>
    <w:basedOn w:val="Fuentedeprrafopredeter"/>
    <w:link w:val="Citadestacada"/>
    <w:uiPriority w:val="30"/>
    <w:rsid w:val="7AA3C66B"/>
    <w:rPr>
      <w:rFonts w:ascii="Calibri" w:eastAsia="Calibri" w:hAnsi="Calibri" w:cs="Times New Roman"/>
      <w:i/>
      <w:iCs/>
      <w:color w:val="2F5496" w:themeColor="accent1" w:themeShade="BF"/>
    </w:rPr>
  </w:style>
  <w:style w:type="character" w:customStyle="1" w:styleId="TextodegloboCar">
    <w:name w:val="Texto de globo Car"/>
    <w:basedOn w:val="Fuentedeprrafopredeter"/>
    <w:link w:val="Textodeglobo"/>
    <w:uiPriority w:val="99"/>
    <w:semiHidden/>
    <w:rsid w:val="7AA3C66B"/>
    <w:rPr>
      <w:rFonts w:ascii="Segoe UI" w:eastAsia="Calibri" w:hAnsi="Segoe UI" w:cs="Segoe UI"/>
      <w:sz w:val="18"/>
      <w:szCs w:val="18"/>
    </w:rPr>
  </w:style>
  <w:style w:type="character" w:customStyle="1" w:styleId="Textoindependienteprimerasangra2Car">
    <w:name w:val="Texto independiente primera sangría 2 Car"/>
    <w:basedOn w:val="SangradetextonormalCar"/>
    <w:link w:val="Textoindependienteprimerasangra2"/>
    <w:uiPriority w:val="99"/>
    <w:rsid w:val="7AA3C66B"/>
    <w:rPr>
      <w:rFonts w:ascii="Calibri" w:eastAsia="Calibri" w:hAnsi="Calibri" w:cs="Times New Roman"/>
      <w:sz w:val="24"/>
      <w:szCs w:val="24"/>
      <w:lang w:val="en-GB"/>
    </w:rPr>
  </w:style>
  <w:style w:type="character" w:customStyle="1" w:styleId="SangradetextonormalCar">
    <w:name w:val="Sangría de texto normal Car"/>
    <w:basedOn w:val="Fuentedeprrafopredeter"/>
    <w:link w:val="Sangradetextonormal"/>
    <w:uiPriority w:val="99"/>
    <w:semiHidden/>
    <w:rsid w:val="7AA3C66B"/>
    <w:rPr>
      <w:rFonts w:ascii="Futura Light" w:eastAsia="Times New Roman" w:hAnsi="Futura Light" w:cs="Times New Roman"/>
      <w:sz w:val="24"/>
      <w:szCs w:val="24"/>
      <w:lang w:val="en-GB"/>
    </w:rPr>
  </w:style>
  <w:style w:type="character" w:customStyle="1" w:styleId="AsuntodelcomentarioCar">
    <w:name w:val="Asunto del comentario Car"/>
    <w:basedOn w:val="TextocomentarioCar"/>
    <w:link w:val="Asuntodelcomentario"/>
    <w:uiPriority w:val="99"/>
    <w:rsid w:val="7AA3C66B"/>
    <w:rPr>
      <w:rFonts w:ascii="Calibri" w:eastAsia="Calibri" w:hAnsi="Calibri" w:cs="Times New Roman"/>
      <w:b/>
      <w:bCs/>
      <w:sz w:val="20"/>
      <w:szCs w:val="20"/>
    </w:rPr>
  </w:style>
  <w:style w:type="character" w:customStyle="1" w:styleId="TextocomentarioCar">
    <w:name w:val="Texto comentario Car"/>
    <w:basedOn w:val="Fuentedeprrafopredeter"/>
    <w:link w:val="Textocomentario"/>
    <w:uiPriority w:val="99"/>
    <w:rsid w:val="7AA3C66B"/>
    <w:rPr>
      <w:rFonts w:ascii="Calibri" w:eastAsia="Calibri" w:hAnsi="Calibri" w:cs="Times New Roman"/>
      <w:sz w:val="20"/>
      <w:szCs w:val="20"/>
    </w:rPr>
  </w:style>
  <w:style w:type="character" w:customStyle="1" w:styleId="PiedepginaCar">
    <w:name w:val="Pie de página Car"/>
    <w:basedOn w:val="Fuentedeprrafopredeter"/>
    <w:link w:val="Piedepgina"/>
    <w:uiPriority w:val="99"/>
    <w:rsid w:val="7AA3C66B"/>
  </w:style>
  <w:style w:type="character" w:customStyle="1" w:styleId="TextonotapieCar">
    <w:name w:val="Texto nota pie Car"/>
    <w:aliases w:val="Footnote Text Char Char Char Char Char Car,Footnote Text Char Char Char Char Car,Footnote reference Car,FA Fu Car,Footnote Text Cha Car,Footnote Text Char Char Char Car,FA Fußnotentext Car,FA Fuﬂnotentext Car,texto de nota al p Car"/>
    <w:basedOn w:val="Fuentedeprrafopredeter"/>
    <w:link w:val="Textonotapie"/>
    <w:uiPriority w:val="99"/>
    <w:rsid w:val="7AA3C66B"/>
    <w:rPr>
      <w:sz w:val="20"/>
      <w:szCs w:val="20"/>
      <w:lang w:val="es-ES"/>
    </w:rPr>
  </w:style>
  <w:style w:type="character" w:customStyle="1" w:styleId="EncabezadoCar">
    <w:name w:val="Encabezado Car"/>
    <w:aliases w:val="Encabezado1 Car,encabezado Car,Encabezado Car Car Car,Haut de page Car,h Car,h8 Car,h9 Car,h10 Car,h18 Car"/>
    <w:basedOn w:val="Fuentedeprrafopredeter"/>
    <w:link w:val="Encabezado"/>
    <w:rsid w:val="7AA3C66B"/>
  </w:style>
  <w:style w:type="character" w:customStyle="1" w:styleId="SaludoCar">
    <w:name w:val="Saludo Car"/>
    <w:basedOn w:val="Fuentedeprrafopredeter"/>
    <w:link w:val="Saludo"/>
    <w:uiPriority w:val="99"/>
    <w:rsid w:val="7AA3C66B"/>
    <w:rPr>
      <w:rFonts w:eastAsiaTheme="minorEastAsia"/>
      <w:sz w:val="24"/>
      <w:szCs w:val="24"/>
      <w:lang w:val="es-ES"/>
    </w:rPr>
  </w:style>
  <w:style w:type="paragraph" w:customStyle="1" w:styleId="a">
    <w:uiPriority w:val="22"/>
    <w:qFormat/>
    <w:rsid w:val="0096722A"/>
  </w:style>
  <w:style w:type="table" w:customStyle="1" w:styleId="TableNormal10">
    <w:name w:val="Table Normal10"/>
    <w:uiPriority w:val="99"/>
    <w:semiHidden/>
    <w:unhideWhenUsed/>
    <w:rsid w:val="00DE3818"/>
    <w:tblPr>
      <w:tblInd w:w="0" w:type="dxa"/>
      <w:tblCellMar>
        <w:top w:w="0" w:type="dxa"/>
        <w:left w:w="108" w:type="dxa"/>
        <w:bottom w:w="0" w:type="dxa"/>
        <w:right w:w="108" w:type="dxa"/>
      </w:tblCellMar>
    </w:tblPr>
  </w:style>
  <w:style w:type="character" w:customStyle="1" w:styleId="Estilo6">
    <w:name w:val="Estilo6"/>
    <w:basedOn w:val="Fuentedeprrafopredeter"/>
    <w:uiPriority w:val="1"/>
    <w:rsid w:val="003D5DB4"/>
    <w:rPr>
      <w:rFonts w:ascii="Times New Roman" w:hAnsi="Times New Roman"/>
      <w:sz w:val="24"/>
    </w:rPr>
  </w:style>
  <w:style w:type="numbering" w:customStyle="1" w:styleId="Listaactual1">
    <w:name w:val="Lista actual1"/>
    <w:uiPriority w:val="99"/>
    <w:rsid w:val="003D5DB4"/>
    <w:pPr>
      <w:numPr>
        <w:numId w:val="118"/>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901358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5.emf"/><Relationship Id="rId18" Type="http://schemas.openxmlformats.org/officeDocument/2006/relationships/fontTable" Target="fontTable.xml"/><Relationship Id="rId3" Type="http://schemas.openxmlformats.org/officeDocument/2006/relationships/styles" Target="styles.xml"/><Relationship Id="rId21" Type="http://schemas.microsoft.com/office/2020/10/relationships/intelligence" Target="intelligence2.xml"/><Relationship Id="rId7" Type="http://schemas.openxmlformats.org/officeDocument/2006/relationships/endnotes" Target="endnotes.xml"/><Relationship Id="rId12" Type="http://schemas.openxmlformats.org/officeDocument/2006/relationships/image" Target="media/image4.emf"/><Relationship Id="rId17" Type="http://schemas.openxmlformats.org/officeDocument/2006/relationships/image" Target="media/image9.emf"/><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7.png"/><Relationship Id="rId10" Type="http://schemas.openxmlformats.org/officeDocument/2006/relationships/header" Target="header1.xml"/><Relationship Id="rId19"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image" Target="media/image6.emf"/></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FC0F417A0864406AB2B9791AC469656"/>
        <w:category>
          <w:name w:val="General"/>
          <w:gallery w:val="placeholder"/>
        </w:category>
        <w:types>
          <w:type w:val="bbPlcHdr"/>
        </w:types>
        <w:behaviors>
          <w:behavior w:val="content"/>
        </w:behaviors>
        <w:guid w:val="{BC2BE58E-9229-4CCD-9BF3-77D059CD53F2}"/>
      </w:docPartPr>
      <w:docPartBody>
        <w:p w:rsidR="000E4C9E" w:rsidRDefault="00C62766" w:rsidP="00C62766">
          <w:pPr>
            <w:pStyle w:val="9FC0F417A0864406AB2B9791AC469656"/>
          </w:pPr>
          <w:r w:rsidRPr="00917FBF">
            <w:rPr>
              <w:rStyle w:val="Textodelmarcadordeposicin"/>
            </w:rPr>
            <w:t>Haga clic o pulse aquí para escribir texto.</w:t>
          </w:r>
        </w:p>
      </w:docPartBody>
    </w:docPart>
    <w:docPart>
      <w:docPartPr>
        <w:name w:val="163EA0CB5CF34D599FE1198BF01F4466"/>
        <w:category>
          <w:name w:val="General"/>
          <w:gallery w:val="placeholder"/>
        </w:category>
        <w:types>
          <w:type w:val="bbPlcHdr"/>
        </w:types>
        <w:behaviors>
          <w:behavior w:val="content"/>
        </w:behaviors>
        <w:guid w:val="{377970D0-2CB4-4EF3-85F9-DC30BBC00BCC}"/>
      </w:docPartPr>
      <w:docPartBody>
        <w:p w:rsidR="000E4C9E" w:rsidRDefault="00C62766" w:rsidP="00C62766">
          <w:pPr>
            <w:pStyle w:val="163EA0CB5CF34D599FE1198BF01F4466"/>
          </w:pPr>
          <w:r w:rsidRPr="008748E6">
            <w:rPr>
              <w:rStyle w:val="Textodelmarcadordeposicin"/>
            </w:rPr>
            <w:t>Haga clic aquí o pulse para escribir una fecha.</w:t>
          </w:r>
        </w:p>
      </w:docPartBody>
    </w:docPart>
    <w:docPart>
      <w:docPartPr>
        <w:name w:val="FBAD81B007544948834B6238F374F38D"/>
        <w:category>
          <w:name w:val="General"/>
          <w:gallery w:val="placeholder"/>
        </w:category>
        <w:types>
          <w:type w:val="bbPlcHdr"/>
        </w:types>
        <w:behaviors>
          <w:behavior w:val="content"/>
        </w:behaviors>
        <w:guid w:val="{FEB0B0AD-4A95-4787-9F88-C1BB1BA93CAF}"/>
      </w:docPartPr>
      <w:docPartBody>
        <w:p w:rsidR="000E4C9E" w:rsidRDefault="00C62766" w:rsidP="00C62766">
          <w:pPr>
            <w:pStyle w:val="FBAD81B007544948834B6238F374F38D"/>
          </w:pPr>
          <w:r w:rsidRPr="00917FBF">
            <w:rPr>
              <w:rStyle w:val="Textodelmarcadordeposicin"/>
            </w:rPr>
            <w:t>Haga clic o pulse aquí para escribir texto.</w:t>
          </w:r>
        </w:p>
      </w:docPartBody>
    </w:docPart>
    <w:docPart>
      <w:docPartPr>
        <w:name w:val="23DF008662E7412A916D3ED40323CD8C"/>
        <w:category>
          <w:name w:val="General"/>
          <w:gallery w:val="placeholder"/>
        </w:category>
        <w:types>
          <w:type w:val="bbPlcHdr"/>
        </w:types>
        <w:behaviors>
          <w:behavior w:val="content"/>
        </w:behaviors>
        <w:guid w:val="{7046D231-F54F-40F9-83F9-F5991B6B4478}"/>
      </w:docPartPr>
      <w:docPartBody>
        <w:p w:rsidR="000E4C9E" w:rsidRDefault="00C62766" w:rsidP="00C62766">
          <w:pPr>
            <w:pStyle w:val="23DF008662E7412A916D3ED40323CD8C"/>
          </w:pPr>
          <w:r w:rsidRPr="008748E6">
            <w:rPr>
              <w:rStyle w:val="Textodelmarcadordeposicin"/>
            </w:rPr>
            <w:t>Haga clic aquí o pulse para escribir una fecha.</w:t>
          </w:r>
        </w:p>
      </w:docPartBody>
    </w:docPart>
    <w:docPart>
      <w:docPartPr>
        <w:name w:val="1497B48770D5477EB2F1BF29B19B36AE"/>
        <w:category>
          <w:name w:val="General"/>
          <w:gallery w:val="placeholder"/>
        </w:category>
        <w:types>
          <w:type w:val="bbPlcHdr"/>
        </w:types>
        <w:behaviors>
          <w:behavior w:val="content"/>
        </w:behaviors>
        <w:guid w:val="{F15EDDFB-1A86-467E-BB8F-489AF92B9794}"/>
      </w:docPartPr>
      <w:docPartBody>
        <w:p w:rsidR="000E4C9E" w:rsidRDefault="00C62766" w:rsidP="00C62766">
          <w:pPr>
            <w:pStyle w:val="1497B48770D5477EB2F1BF29B19B36AE"/>
          </w:pPr>
          <w:r w:rsidRPr="00917FBF">
            <w:rPr>
              <w:rStyle w:val="Textodelmarcadordeposicin"/>
            </w:rPr>
            <w:t>Haga clic o pulse aquí para escribir texto.</w:t>
          </w:r>
        </w:p>
      </w:docPartBody>
    </w:docPart>
    <w:docPart>
      <w:docPartPr>
        <w:name w:val="4B0134A7F13343FB9243A7570F88E5CE"/>
        <w:category>
          <w:name w:val="General"/>
          <w:gallery w:val="placeholder"/>
        </w:category>
        <w:types>
          <w:type w:val="bbPlcHdr"/>
        </w:types>
        <w:behaviors>
          <w:behavior w:val="content"/>
        </w:behaviors>
        <w:guid w:val="{1F62E7F8-117A-4C0F-A827-22C2DD4266B3}"/>
      </w:docPartPr>
      <w:docPartBody>
        <w:p w:rsidR="009A7D2A" w:rsidRDefault="00B8684F" w:rsidP="00B8684F">
          <w:pPr>
            <w:pStyle w:val="4B0134A7F13343FB9243A7570F88E5CE"/>
          </w:pPr>
          <w:r w:rsidRPr="00917FBF">
            <w:rPr>
              <w:rStyle w:val="Textodelmarcadordeposicin"/>
            </w:rPr>
            <w:t>Haga clic o pulse aquí para escribir texto.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quot;Times New Roman&quot;,serif">
    <w:altName w:val="Cambria"/>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Arial Negrita">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 w:name="ArialNarrow-Bold">
    <w:altName w:val="Arial"/>
    <w:panose1 w:val="00000000000000000000"/>
    <w:charset w:val="00"/>
    <w:family w:val="roman"/>
    <w:notTrueType/>
    <w:pitch w:val="default"/>
  </w:font>
  <w:font w:name="MS Mincho">
    <w:altName w:val="ＭＳ 明朝"/>
    <w:panose1 w:val="02020609040205080304"/>
    <w:charset w:val="80"/>
    <w:family w:val="modern"/>
    <w:pitch w:val="fixed"/>
    <w:sig w:usb0="E00002FF" w:usb1="6AC7FDFB" w:usb2="08000012" w:usb3="00000000" w:csb0="0002009F" w:csb1="00000000"/>
  </w:font>
  <w:font w:name="Brooklynesque-Bold">
    <w:altName w:val="Courier New"/>
    <w:charset w:val="00"/>
    <w:family w:val="auto"/>
    <w:pitch w:val="variable"/>
  </w:font>
  <w:font w:name="Times">
    <w:panose1 w:val="02020603050405020304"/>
    <w:charset w:val="00"/>
    <w:family w:val="roman"/>
    <w:pitch w:val="variable"/>
    <w:sig w:usb0="E0002EFF" w:usb1="C000785B" w:usb2="00000009" w:usb3="00000000" w:csb0="000001FF" w:csb1="00000000"/>
  </w:font>
  <w:font w:name="Futura Light">
    <w:altName w:val="Times New Roman"/>
    <w:charset w:val="00"/>
    <w:family w:val="auto"/>
    <w:pitch w:val="variable"/>
    <w:sig w:usb0="00000287" w:usb1="00000000" w:usb2="00000000" w:usb3="00000000" w:csb0="0000009F" w:csb1="00000000"/>
  </w:font>
  <w:font w:name="Arial Unicode MS">
    <w:panose1 w:val="020B0604020202020204"/>
    <w:charset w:val="80"/>
    <w:family w:val="swiss"/>
    <w:pitch w:val="variable"/>
    <w:sig w:usb0="F7FFAEFF" w:usb1="F9DFFFFF" w:usb2="0000007F" w:usb3="00000000" w:csb0="003F01FF" w:csb1="00000000"/>
  </w:font>
  <w:font w:name="Cambria">
    <w:panose1 w:val="02040503050406030204"/>
    <w:charset w:val="00"/>
    <w:family w:val="roman"/>
    <w:pitch w:val="variable"/>
    <w:sig w:usb0="E00006FF" w:usb1="420024FF" w:usb2="02000000" w:usb3="00000000" w:csb0="0000019F" w:csb1="00000000"/>
  </w:font>
  <w:font w:name="Arial-ItalicMT">
    <w:altName w:val="Times New Roman"/>
    <w:panose1 w:val="00000000000000000000"/>
    <w:charset w:val="00"/>
    <w:family w:val="roman"/>
    <w:notTrueType/>
    <w:pitch w:val="default"/>
    <w:sig w:usb0="00000003" w:usb1="00000000" w:usb2="00000000" w:usb3="00000000" w:csb0="00000001" w:csb1="00000000"/>
  </w:font>
  <w:font w:name="OpenSymbol">
    <w:charset w:val="00"/>
    <w:family w:val="auto"/>
    <w:pitch w:val="variable"/>
    <w:sig w:usb0="800000AF" w:usb1="1001ECEA" w:usb2="00000000" w:usb3="00000000" w:csb0="80000001" w:csb1="00000000"/>
  </w:font>
  <w:font w:name="Helvetica">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2766"/>
    <w:rsid w:val="00085859"/>
    <w:rsid w:val="000E4C9E"/>
    <w:rsid w:val="00117254"/>
    <w:rsid w:val="001B51E6"/>
    <w:rsid w:val="003065DD"/>
    <w:rsid w:val="003204EC"/>
    <w:rsid w:val="00386B63"/>
    <w:rsid w:val="00485331"/>
    <w:rsid w:val="0063353A"/>
    <w:rsid w:val="00642D8D"/>
    <w:rsid w:val="006C005C"/>
    <w:rsid w:val="009A7D2A"/>
    <w:rsid w:val="00B03ADC"/>
    <w:rsid w:val="00B8684F"/>
    <w:rsid w:val="00C37305"/>
    <w:rsid w:val="00C62766"/>
    <w:rsid w:val="00C817CB"/>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s-CO" w:eastAsia="es-CO"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B8684F"/>
    <w:rPr>
      <w:color w:val="808080"/>
    </w:rPr>
  </w:style>
  <w:style w:type="paragraph" w:customStyle="1" w:styleId="9FC0F417A0864406AB2B9791AC469656">
    <w:name w:val="9FC0F417A0864406AB2B9791AC469656"/>
    <w:rsid w:val="00C62766"/>
  </w:style>
  <w:style w:type="paragraph" w:customStyle="1" w:styleId="163EA0CB5CF34D599FE1198BF01F4466">
    <w:name w:val="163EA0CB5CF34D599FE1198BF01F4466"/>
    <w:rsid w:val="00C62766"/>
  </w:style>
  <w:style w:type="paragraph" w:customStyle="1" w:styleId="FBAD81B007544948834B6238F374F38D">
    <w:name w:val="FBAD81B007544948834B6238F374F38D"/>
    <w:rsid w:val="00C62766"/>
  </w:style>
  <w:style w:type="paragraph" w:customStyle="1" w:styleId="23DF008662E7412A916D3ED40323CD8C">
    <w:name w:val="23DF008662E7412A916D3ED40323CD8C"/>
    <w:rsid w:val="00C62766"/>
  </w:style>
  <w:style w:type="paragraph" w:customStyle="1" w:styleId="1497B48770D5477EB2F1BF29B19B36AE">
    <w:name w:val="1497B48770D5477EB2F1BF29B19B36AE"/>
    <w:rsid w:val="00C62766"/>
  </w:style>
  <w:style w:type="paragraph" w:customStyle="1" w:styleId="4B0134A7F13343FB9243A7570F88E5CE">
    <w:name w:val="4B0134A7F13343FB9243A7570F88E5CE"/>
    <w:rsid w:val="00B8684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FD1D1B8-AEF5-426B-84B6-2FED92E3F8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242</TotalTime>
  <Pages>584</Pages>
  <Words>224621</Words>
  <Characters>1247593</Characters>
  <Application>Microsoft Office Word</Application>
  <DocSecurity>0</DocSecurity>
  <Lines>36258</Lines>
  <Paragraphs>17318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1468484</CharactersWithSpaces>
  <SharedDoc>false</SharedDoc>
  <HLinks>
    <vt:vector size="666" baseType="variant">
      <vt:variant>
        <vt:i4>1769527</vt:i4>
      </vt:variant>
      <vt:variant>
        <vt:i4>662</vt:i4>
      </vt:variant>
      <vt:variant>
        <vt:i4>0</vt:i4>
      </vt:variant>
      <vt:variant>
        <vt:i4>5</vt:i4>
      </vt:variant>
      <vt:variant>
        <vt:lpwstr/>
      </vt:variant>
      <vt:variant>
        <vt:lpwstr>_Toc222910670</vt:lpwstr>
      </vt:variant>
      <vt:variant>
        <vt:i4>1703991</vt:i4>
      </vt:variant>
      <vt:variant>
        <vt:i4>656</vt:i4>
      </vt:variant>
      <vt:variant>
        <vt:i4>0</vt:i4>
      </vt:variant>
      <vt:variant>
        <vt:i4>5</vt:i4>
      </vt:variant>
      <vt:variant>
        <vt:lpwstr/>
      </vt:variant>
      <vt:variant>
        <vt:lpwstr>_Toc222910669</vt:lpwstr>
      </vt:variant>
      <vt:variant>
        <vt:i4>1703991</vt:i4>
      </vt:variant>
      <vt:variant>
        <vt:i4>650</vt:i4>
      </vt:variant>
      <vt:variant>
        <vt:i4>0</vt:i4>
      </vt:variant>
      <vt:variant>
        <vt:i4>5</vt:i4>
      </vt:variant>
      <vt:variant>
        <vt:lpwstr/>
      </vt:variant>
      <vt:variant>
        <vt:lpwstr>_Toc222910668</vt:lpwstr>
      </vt:variant>
      <vt:variant>
        <vt:i4>1703991</vt:i4>
      </vt:variant>
      <vt:variant>
        <vt:i4>644</vt:i4>
      </vt:variant>
      <vt:variant>
        <vt:i4>0</vt:i4>
      </vt:variant>
      <vt:variant>
        <vt:i4>5</vt:i4>
      </vt:variant>
      <vt:variant>
        <vt:lpwstr/>
      </vt:variant>
      <vt:variant>
        <vt:lpwstr>_Toc222910667</vt:lpwstr>
      </vt:variant>
      <vt:variant>
        <vt:i4>1703991</vt:i4>
      </vt:variant>
      <vt:variant>
        <vt:i4>638</vt:i4>
      </vt:variant>
      <vt:variant>
        <vt:i4>0</vt:i4>
      </vt:variant>
      <vt:variant>
        <vt:i4>5</vt:i4>
      </vt:variant>
      <vt:variant>
        <vt:lpwstr/>
      </vt:variant>
      <vt:variant>
        <vt:lpwstr>_Toc222910666</vt:lpwstr>
      </vt:variant>
      <vt:variant>
        <vt:i4>1703991</vt:i4>
      </vt:variant>
      <vt:variant>
        <vt:i4>632</vt:i4>
      </vt:variant>
      <vt:variant>
        <vt:i4>0</vt:i4>
      </vt:variant>
      <vt:variant>
        <vt:i4>5</vt:i4>
      </vt:variant>
      <vt:variant>
        <vt:lpwstr/>
      </vt:variant>
      <vt:variant>
        <vt:lpwstr>_Toc222910665</vt:lpwstr>
      </vt:variant>
      <vt:variant>
        <vt:i4>1703991</vt:i4>
      </vt:variant>
      <vt:variant>
        <vt:i4>626</vt:i4>
      </vt:variant>
      <vt:variant>
        <vt:i4>0</vt:i4>
      </vt:variant>
      <vt:variant>
        <vt:i4>5</vt:i4>
      </vt:variant>
      <vt:variant>
        <vt:lpwstr/>
      </vt:variant>
      <vt:variant>
        <vt:lpwstr>_Toc222910664</vt:lpwstr>
      </vt:variant>
      <vt:variant>
        <vt:i4>1703991</vt:i4>
      </vt:variant>
      <vt:variant>
        <vt:i4>620</vt:i4>
      </vt:variant>
      <vt:variant>
        <vt:i4>0</vt:i4>
      </vt:variant>
      <vt:variant>
        <vt:i4>5</vt:i4>
      </vt:variant>
      <vt:variant>
        <vt:lpwstr/>
      </vt:variant>
      <vt:variant>
        <vt:lpwstr>_Toc222910663</vt:lpwstr>
      </vt:variant>
      <vt:variant>
        <vt:i4>1703991</vt:i4>
      </vt:variant>
      <vt:variant>
        <vt:i4>614</vt:i4>
      </vt:variant>
      <vt:variant>
        <vt:i4>0</vt:i4>
      </vt:variant>
      <vt:variant>
        <vt:i4>5</vt:i4>
      </vt:variant>
      <vt:variant>
        <vt:lpwstr/>
      </vt:variant>
      <vt:variant>
        <vt:lpwstr>_Toc222910662</vt:lpwstr>
      </vt:variant>
      <vt:variant>
        <vt:i4>1703991</vt:i4>
      </vt:variant>
      <vt:variant>
        <vt:i4>608</vt:i4>
      </vt:variant>
      <vt:variant>
        <vt:i4>0</vt:i4>
      </vt:variant>
      <vt:variant>
        <vt:i4>5</vt:i4>
      </vt:variant>
      <vt:variant>
        <vt:lpwstr/>
      </vt:variant>
      <vt:variant>
        <vt:lpwstr>_Toc222910661</vt:lpwstr>
      </vt:variant>
      <vt:variant>
        <vt:i4>1703991</vt:i4>
      </vt:variant>
      <vt:variant>
        <vt:i4>602</vt:i4>
      </vt:variant>
      <vt:variant>
        <vt:i4>0</vt:i4>
      </vt:variant>
      <vt:variant>
        <vt:i4>5</vt:i4>
      </vt:variant>
      <vt:variant>
        <vt:lpwstr/>
      </vt:variant>
      <vt:variant>
        <vt:lpwstr>_Toc222910660</vt:lpwstr>
      </vt:variant>
      <vt:variant>
        <vt:i4>1638455</vt:i4>
      </vt:variant>
      <vt:variant>
        <vt:i4>596</vt:i4>
      </vt:variant>
      <vt:variant>
        <vt:i4>0</vt:i4>
      </vt:variant>
      <vt:variant>
        <vt:i4>5</vt:i4>
      </vt:variant>
      <vt:variant>
        <vt:lpwstr/>
      </vt:variant>
      <vt:variant>
        <vt:lpwstr>_Toc222910659</vt:lpwstr>
      </vt:variant>
      <vt:variant>
        <vt:i4>1638455</vt:i4>
      </vt:variant>
      <vt:variant>
        <vt:i4>590</vt:i4>
      </vt:variant>
      <vt:variant>
        <vt:i4>0</vt:i4>
      </vt:variant>
      <vt:variant>
        <vt:i4>5</vt:i4>
      </vt:variant>
      <vt:variant>
        <vt:lpwstr/>
      </vt:variant>
      <vt:variant>
        <vt:lpwstr>_Toc222910658</vt:lpwstr>
      </vt:variant>
      <vt:variant>
        <vt:i4>1638455</vt:i4>
      </vt:variant>
      <vt:variant>
        <vt:i4>584</vt:i4>
      </vt:variant>
      <vt:variant>
        <vt:i4>0</vt:i4>
      </vt:variant>
      <vt:variant>
        <vt:i4>5</vt:i4>
      </vt:variant>
      <vt:variant>
        <vt:lpwstr/>
      </vt:variant>
      <vt:variant>
        <vt:lpwstr>_Toc222910657</vt:lpwstr>
      </vt:variant>
      <vt:variant>
        <vt:i4>1638455</vt:i4>
      </vt:variant>
      <vt:variant>
        <vt:i4>578</vt:i4>
      </vt:variant>
      <vt:variant>
        <vt:i4>0</vt:i4>
      </vt:variant>
      <vt:variant>
        <vt:i4>5</vt:i4>
      </vt:variant>
      <vt:variant>
        <vt:lpwstr/>
      </vt:variant>
      <vt:variant>
        <vt:lpwstr>_Toc222910656</vt:lpwstr>
      </vt:variant>
      <vt:variant>
        <vt:i4>1638455</vt:i4>
      </vt:variant>
      <vt:variant>
        <vt:i4>572</vt:i4>
      </vt:variant>
      <vt:variant>
        <vt:i4>0</vt:i4>
      </vt:variant>
      <vt:variant>
        <vt:i4>5</vt:i4>
      </vt:variant>
      <vt:variant>
        <vt:lpwstr/>
      </vt:variant>
      <vt:variant>
        <vt:lpwstr>_Toc222910655</vt:lpwstr>
      </vt:variant>
      <vt:variant>
        <vt:i4>1638455</vt:i4>
      </vt:variant>
      <vt:variant>
        <vt:i4>566</vt:i4>
      </vt:variant>
      <vt:variant>
        <vt:i4>0</vt:i4>
      </vt:variant>
      <vt:variant>
        <vt:i4>5</vt:i4>
      </vt:variant>
      <vt:variant>
        <vt:lpwstr/>
      </vt:variant>
      <vt:variant>
        <vt:lpwstr>_Toc222910654</vt:lpwstr>
      </vt:variant>
      <vt:variant>
        <vt:i4>1638455</vt:i4>
      </vt:variant>
      <vt:variant>
        <vt:i4>560</vt:i4>
      </vt:variant>
      <vt:variant>
        <vt:i4>0</vt:i4>
      </vt:variant>
      <vt:variant>
        <vt:i4>5</vt:i4>
      </vt:variant>
      <vt:variant>
        <vt:lpwstr/>
      </vt:variant>
      <vt:variant>
        <vt:lpwstr>_Toc222910653</vt:lpwstr>
      </vt:variant>
      <vt:variant>
        <vt:i4>1638455</vt:i4>
      </vt:variant>
      <vt:variant>
        <vt:i4>554</vt:i4>
      </vt:variant>
      <vt:variant>
        <vt:i4>0</vt:i4>
      </vt:variant>
      <vt:variant>
        <vt:i4>5</vt:i4>
      </vt:variant>
      <vt:variant>
        <vt:lpwstr/>
      </vt:variant>
      <vt:variant>
        <vt:lpwstr>_Toc222910652</vt:lpwstr>
      </vt:variant>
      <vt:variant>
        <vt:i4>1638455</vt:i4>
      </vt:variant>
      <vt:variant>
        <vt:i4>548</vt:i4>
      </vt:variant>
      <vt:variant>
        <vt:i4>0</vt:i4>
      </vt:variant>
      <vt:variant>
        <vt:i4>5</vt:i4>
      </vt:variant>
      <vt:variant>
        <vt:lpwstr/>
      </vt:variant>
      <vt:variant>
        <vt:lpwstr>_Toc222910651</vt:lpwstr>
      </vt:variant>
      <vt:variant>
        <vt:i4>1638455</vt:i4>
      </vt:variant>
      <vt:variant>
        <vt:i4>542</vt:i4>
      </vt:variant>
      <vt:variant>
        <vt:i4>0</vt:i4>
      </vt:variant>
      <vt:variant>
        <vt:i4>5</vt:i4>
      </vt:variant>
      <vt:variant>
        <vt:lpwstr/>
      </vt:variant>
      <vt:variant>
        <vt:lpwstr>_Toc222910650</vt:lpwstr>
      </vt:variant>
      <vt:variant>
        <vt:i4>1572919</vt:i4>
      </vt:variant>
      <vt:variant>
        <vt:i4>536</vt:i4>
      </vt:variant>
      <vt:variant>
        <vt:i4>0</vt:i4>
      </vt:variant>
      <vt:variant>
        <vt:i4>5</vt:i4>
      </vt:variant>
      <vt:variant>
        <vt:lpwstr/>
      </vt:variant>
      <vt:variant>
        <vt:lpwstr>_Toc222910649</vt:lpwstr>
      </vt:variant>
      <vt:variant>
        <vt:i4>1572919</vt:i4>
      </vt:variant>
      <vt:variant>
        <vt:i4>530</vt:i4>
      </vt:variant>
      <vt:variant>
        <vt:i4>0</vt:i4>
      </vt:variant>
      <vt:variant>
        <vt:i4>5</vt:i4>
      </vt:variant>
      <vt:variant>
        <vt:lpwstr/>
      </vt:variant>
      <vt:variant>
        <vt:lpwstr>_Toc222910648</vt:lpwstr>
      </vt:variant>
      <vt:variant>
        <vt:i4>1572919</vt:i4>
      </vt:variant>
      <vt:variant>
        <vt:i4>524</vt:i4>
      </vt:variant>
      <vt:variant>
        <vt:i4>0</vt:i4>
      </vt:variant>
      <vt:variant>
        <vt:i4>5</vt:i4>
      </vt:variant>
      <vt:variant>
        <vt:lpwstr/>
      </vt:variant>
      <vt:variant>
        <vt:lpwstr>_Toc222910647</vt:lpwstr>
      </vt:variant>
      <vt:variant>
        <vt:i4>1572919</vt:i4>
      </vt:variant>
      <vt:variant>
        <vt:i4>518</vt:i4>
      </vt:variant>
      <vt:variant>
        <vt:i4>0</vt:i4>
      </vt:variant>
      <vt:variant>
        <vt:i4>5</vt:i4>
      </vt:variant>
      <vt:variant>
        <vt:lpwstr/>
      </vt:variant>
      <vt:variant>
        <vt:lpwstr>_Toc222910646</vt:lpwstr>
      </vt:variant>
      <vt:variant>
        <vt:i4>1572919</vt:i4>
      </vt:variant>
      <vt:variant>
        <vt:i4>512</vt:i4>
      </vt:variant>
      <vt:variant>
        <vt:i4>0</vt:i4>
      </vt:variant>
      <vt:variant>
        <vt:i4>5</vt:i4>
      </vt:variant>
      <vt:variant>
        <vt:lpwstr/>
      </vt:variant>
      <vt:variant>
        <vt:lpwstr>_Toc222910645</vt:lpwstr>
      </vt:variant>
      <vt:variant>
        <vt:i4>1572919</vt:i4>
      </vt:variant>
      <vt:variant>
        <vt:i4>506</vt:i4>
      </vt:variant>
      <vt:variant>
        <vt:i4>0</vt:i4>
      </vt:variant>
      <vt:variant>
        <vt:i4>5</vt:i4>
      </vt:variant>
      <vt:variant>
        <vt:lpwstr/>
      </vt:variant>
      <vt:variant>
        <vt:lpwstr>_Toc222910644</vt:lpwstr>
      </vt:variant>
      <vt:variant>
        <vt:i4>1572919</vt:i4>
      </vt:variant>
      <vt:variant>
        <vt:i4>500</vt:i4>
      </vt:variant>
      <vt:variant>
        <vt:i4>0</vt:i4>
      </vt:variant>
      <vt:variant>
        <vt:i4>5</vt:i4>
      </vt:variant>
      <vt:variant>
        <vt:lpwstr/>
      </vt:variant>
      <vt:variant>
        <vt:lpwstr>_Toc222910643</vt:lpwstr>
      </vt:variant>
      <vt:variant>
        <vt:i4>1572919</vt:i4>
      </vt:variant>
      <vt:variant>
        <vt:i4>494</vt:i4>
      </vt:variant>
      <vt:variant>
        <vt:i4>0</vt:i4>
      </vt:variant>
      <vt:variant>
        <vt:i4>5</vt:i4>
      </vt:variant>
      <vt:variant>
        <vt:lpwstr/>
      </vt:variant>
      <vt:variant>
        <vt:lpwstr>_Toc222910642</vt:lpwstr>
      </vt:variant>
      <vt:variant>
        <vt:i4>1572919</vt:i4>
      </vt:variant>
      <vt:variant>
        <vt:i4>488</vt:i4>
      </vt:variant>
      <vt:variant>
        <vt:i4>0</vt:i4>
      </vt:variant>
      <vt:variant>
        <vt:i4>5</vt:i4>
      </vt:variant>
      <vt:variant>
        <vt:lpwstr/>
      </vt:variant>
      <vt:variant>
        <vt:lpwstr>_Toc222910641</vt:lpwstr>
      </vt:variant>
      <vt:variant>
        <vt:i4>1572919</vt:i4>
      </vt:variant>
      <vt:variant>
        <vt:i4>482</vt:i4>
      </vt:variant>
      <vt:variant>
        <vt:i4>0</vt:i4>
      </vt:variant>
      <vt:variant>
        <vt:i4>5</vt:i4>
      </vt:variant>
      <vt:variant>
        <vt:lpwstr/>
      </vt:variant>
      <vt:variant>
        <vt:lpwstr>_Toc222910640</vt:lpwstr>
      </vt:variant>
      <vt:variant>
        <vt:i4>2031671</vt:i4>
      </vt:variant>
      <vt:variant>
        <vt:i4>476</vt:i4>
      </vt:variant>
      <vt:variant>
        <vt:i4>0</vt:i4>
      </vt:variant>
      <vt:variant>
        <vt:i4>5</vt:i4>
      </vt:variant>
      <vt:variant>
        <vt:lpwstr/>
      </vt:variant>
      <vt:variant>
        <vt:lpwstr>_Toc222910639</vt:lpwstr>
      </vt:variant>
      <vt:variant>
        <vt:i4>2031671</vt:i4>
      </vt:variant>
      <vt:variant>
        <vt:i4>470</vt:i4>
      </vt:variant>
      <vt:variant>
        <vt:i4>0</vt:i4>
      </vt:variant>
      <vt:variant>
        <vt:i4>5</vt:i4>
      </vt:variant>
      <vt:variant>
        <vt:lpwstr/>
      </vt:variant>
      <vt:variant>
        <vt:lpwstr>_Toc222910638</vt:lpwstr>
      </vt:variant>
      <vt:variant>
        <vt:i4>2031671</vt:i4>
      </vt:variant>
      <vt:variant>
        <vt:i4>464</vt:i4>
      </vt:variant>
      <vt:variant>
        <vt:i4>0</vt:i4>
      </vt:variant>
      <vt:variant>
        <vt:i4>5</vt:i4>
      </vt:variant>
      <vt:variant>
        <vt:lpwstr/>
      </vt:variant>
      <vt:variant>
        <vt:lpwstr>_Toc222910637</vt:lpwstr>
      </vt:variant>
      <vt:variant>
        <vt:i4>2031671</vt:i4>
      </vt:variant>
      <vt:variant>
        <vt:i4>458</vt:i4>
      </vt:variant>
      <vt:variant>
        <vt:i4>0</vt:i4>
      </vt:variant>
      <vt:variant>
        <vt:i4>5</vt:i4>
      </vt:variant>
      <vt:variant>
        <vt:lpwstr/>
      </vt:variant>
      <vt:variant>
        <vt:lpwstr>_Toc222910636</vt:lpwstr>
      </vt:variant>
      <vt:variant>
        <vt:i4>2031671</vt:i4>
      </vt:variant>
      <vt:variant>
        <vt:i4>452</vt:i4>
      </vt:variant>
      <vt:variant>
        <vt:i4>0</vt:i4>
      </vt:variant>
      <vt:variant>
        <vt:i4>5</vt:i4>
      </vt:variant>
      <vt:variant>
        <vt:lpwstr/>
      </vt:variant>
      <vt:variant>
        <vt:lpwstr>_Toc222910635</vt:lpwstr>
      </vt:variant>
      <vt:variant>
        <vt:i4>2031671</vt:i4>
      </vt:variant>
      <vt:variant>
        <vt:i4>446</vt:i4>
      </vt:variant>
      <vt:variant>
        <vt:i4>0</vt:i4>
      </vt:variant>
      <vt:variant>
        <vt:i4>5</vt:i4>
      </vt:variant>
      <vt:variant>
        <vt:lpwstr/>
      </vt:variant>
      <vt:variant>
        <vt:lpwstr>_Toc222910634</vt:lpwstr>
      </vt:variant>
      <vt:variant>
        <vt:i4>2031671</vt:i4>
      </vt:variant>
      <vt:variant>
        <vt:i4>440</vt:i4>
      </vt:variant>
      <vt:variant>
        <vt:i4>0</vt:i4>
      </vt:variant>
      <vt:variant>
        <vt:i4>5</vt:i4>
      </vt:variant>
      <vt:variant>
        <vt:lpwstr/>
      </vt:variant>
      <vt:variant>
        <vt:lpwstr>_Toc222910633</vt:lpwstr>
      </vt:variant>
      <vt:variant>
        <vt:i4>2031671</vt:i4>
      </vt:variant>
      <vt:variant>
        <vt:i4>434</vt:i4>
      </vt:variant>
      <vt:variant>
        <vt:i4>0</vt:i4>
      </vt:variant>
      <vt:variant>
        <vt:i4>5</vt:i4>
      </vt:variant>
      <vt:variant>
        <vt:lpwstr/>
      </vt:variant>
      <vt:variant>
        <vt:lpwstr>_Toc222910632</vt:lpwstr>
      </vt:variant>
      <vt:variant>
        <vt:i4>2031671</vt:i4>
      </vt:variant>
      <vt:variant>
        <vt:i4>428</vt:i4>
      </vt:variant>
      <vt:variant>
        <vt:i4>0</vt:i4>
      </vt:variant>
      <vt:variant>
        <vt:i4>5</vt:i4>
      </vt:variant>
      <vt:variant>
        <vt:lpwstr/>
      </vt:variant>
      <vt:variant>
        <vt:lpwstr>_Toc222910631</vt:lpwstr>
      </vt:variant>
      <vt:variant>
        <vt:i4>2031671</vt:i4>
      </vt:variant>
      <vt:variant>
        <vt:i4>422</vt:i4>
      </vt:variant>
      <vt:variant>
        <vt:i4>0</vt:i4>
      </vt:variant>
      <vt:variant>
        <vt:i4>5</vt:i4>
      </vt:variant>
      <vt:variant>
        <vt:lpwstr/>
      </vt:variant>
      <vt:variant>
        <vt:lpwstr>_Toc222910630</vt:lpwstr>
      </vt:variant>
      <vt:variant>
        <vt:i4>1966135</vt:i4>
      </vt:variant>
      <vt:variant>
        <vt:i4>416</vt:i4>
      </vt:variant>
      <vt:variant>
        <vt:i4>0</vt:i4>
      </vt:variant>
      <vt:variant>
        <vt:i4>5</vt:i4>
      </vt:variant>
      <vt:variant>
        <vt:lpwstr/>
      </vt:variant>
      <vt:variant>
        <vt:lpwstr>_Toc222910629</vt:lpwstr>
      </vt:variant>
      <vt:variant>
        <vt:i4>1966135</vt:i4>
      </vt:variant>
      <vt:variant>
        <vt:i4>410</vt:i4>
      </vt:variant>
      <vt:variant>
        <vt:i4>0</vt:i4>
      </vt:variant>
      <vt:variant>
        <vt:i4>5</vt:i4>
      </vt:variant>
      <vt:variant>
        <vt:lpwstr/>
      </vt:variant>
      <vt:variant>
        <vt:lpwstr>_Toc222910628</vt:lpwstr>
      </vt:variant>
      <vt:variant>
        <vt:i4>1966135</vt:i4>
      </vt:variant>
      <vt:variant>
        <vt:i4>404</vt:i4>
      </vt:variant>
      <vt:variant>
        <vt:i4>0</vt:i4>
      </vt:variant>
      <vt:variant>
        <vt:i4>5</vt:i4>
      </vt:variant>
      <vt:variant>
        <vt:lpwstr/>
      </vt:variant>
      <vt:variant>
        <vt:lpwstr>_Toc222910627</vt:lpwstr>
      </vt:variant>
      <vt:variant>
        <vt:i4>1966135</vt:i4>
      </vt:variant>
      <vt:variant>
        <vt:i4>398</vt:i4>
      </vt:variant>
      <vt:variant>
        <vt:i4>0</vt:i4>
      </vt:variant>
      <vt:variant>
        <vt:i4>5</vt:i4>
      </vt:variant>
      <vt:variant>
        <vt:lpwstr/>
      </vt:variant>
      <vt:variant>
        <vt:lpwstr>_Toc222910626</vt:lpwstr>
      </vt:variant>
      <vt:variant>
        <vt:i4>1966135</vt:i4>
      </vt:variant>
      <vt:variant>
        <vt:i4>392</vt:i4>
      </vt:variant>
      <vt:variant>
        <vt:i4>0</vt:i4>
      </vt:variant>
      <vt:variant>
        <vt:i4>5</vt:i4>
      </vt:variant>
      <vt:variant>
        <vt:lpwstr/>
      </vt:variant>
      <vt:variant>
        <vt:lpwstr>_Toc222910625</vt:lpwstr>
      </vt:variant>
      <vt:variant>
        <vt:i4>1966135</vt:i4>
      </vt:variant>
      <vt:variant>
        <vt:i4>386</vt:i4>
      </vt:variant>
      <vt:variant>
        <vt:i4>0</vt:i4>
      </vt:variant>
      <vt:variant>
        <vt:i4>5</vt:i4>
      </vt:variant>
      <vt:variant>
        <vt:lpwstr/>
      </vt:variant>
      <vt:variant>
        <vt:lpwstr>_Toc222910624</vt:lpwstr>
      </vt:variant>
      <vt:variant>
        <vt:i4>1966135</vt:i4>
      </vt:variant>
      <vt:variant>
        <vt:i4>380</vt:i4>
      </vt:variant>
      <vt:variant>
        <vt:i4>0</vt:i4>
      </vt:variant>
      <vt:variant>
        <vt:i4>5</vt:i4>
      </vt:variant>
      <vt:variant>
        <vt:lpwstr/>
      </vt:variant>
      <vt:variant>
        <vt:lpwstr>_Toc222910623</vt:lpwstr>
      </vt:variant>
      <vt:variant>
        <vt:i4>1966135</vt:i4>
      </vt:variant>
      <vt:variant>
        <vt:i4>374</vt:i4>
      </vt:variant>
      <vt:variant>
        <vt:i4>0</vt:i4>
      </vt:variant>
      <vt:variant>
        <vt:i4>5</vt:i4>
      </vt:variant>
      <vt:variant>
        <vt:lpwstr/>
      </vt:variant>
      <vt:variant>
        <vt:lpwstr>_Toc222910622</vt:lpwstr>
      </vt:variant>
      <vt:variant>
        <vt:i4>1966135</vt:i4>
      </vt:variant>
      <vt:variant>
        <vt:i4>368</vt:i4>
      </vt:variant>
      <vt:variant>
        <vt:i4>0</vt:i4>
      </vt:variant>
      <vt:variant>
        <vt:i4>5</vt:i4>
      </vt:variant>
      <vt:variant>
        <vt:lpwstr/>
      </vt:variant>
      <vt:variant>
        <vt:lpwstr>_Toc222910621</vt:lpwstr>
      </vt:variant>
      <vt:variant>
        <vt:i4>1966135</vt:i4>
      </vt:variant>
      <vt:variant>
        <vt:i4>362</vt:i4>
      </vt:variant>
      <vt:variant>
        <vt:i4>0</vt:i4>
      </vt:variant>
      <vt:variant>
        <vt:i4>5</vt:i4>
      </vt:variant>
      <vt:variant>
        <vt:lpwstr/>
      </vt:variant>
      <vt:variant>
        <vt:lpwstr>_Toc222910620</vt:lpwstr>
      </vt:variant>
      <vt:variant>
        <vt:i4>1900599</vt:i4>
      </vt:variant>
      <vt:variant>
        <vt:i4>356</vt:i4>
      </vt:variant>
      <vt:variant>
        <vt:i4>0</vt:i4>
      </vt:variant>
      <vt:variant>
        <vt:i4>5</vt:i4>
      </vt:variant>
      <vt:variant>
        <vt:lpwstr/>
      </vt:variant>
      <vt:variant>
        <vt:lpwstr>_Toc222910619</vt:lpwstr>
      </vt:variant>
      <vt:variant>
        <vt:i4>1900599</vt:i4>
      </vt:variant>
      <vt:variant>
        <vt:i4>350</vt:i4>
      </vt:variant>
      <vt:variant>
        <vt:i4>0</vt:i4>
      </vt:variant>
      <vt:variant>
        <vt:i4>5</vt:i4>
      </vt:variant>
      <vt:variant>
        <vt:lpwstr/>
      </vt:variant>
      <vt:variant>
        <vt:lpwstr>_Toc222910618</vt:lpwstr>
      </vt:variant>
      <vt:variant>
        <vt:i4>1900599</vt:i4>
      </vt:variant>
      <vt:variant>
        <vt:i4>344</vt:i4>
      </vt:variant>
      <vt:variant>
        <vt:i4>0</vt:i4>
      </vt:variant>
      <vt:variant>
        <vt:i4>5</vt:i4>
      </vt:variant>
      <vt:variant>
        <vt:lpwstr/>
      </vt:variant>
      <vt:variant>
        <vt:lpwstr>_Toc222910617</vt:lpwstr>
      </vt:variant>
      <vt:variant>
        <vt:i4>1900599</vt:i4>
      </vt:variant>
      <vt:variant>
        <vt:i4>338</vt:i4>
      </vt:variant>
      <vt:variant>
        <vt:i4>0</vt:i4>
      </vt:variant>
      <vt:variant>
        <vt:i4>5</vt:i4>
      </vt:variant>
      <vt:variant>
        <vt:lpwstr/>
      </vt:variant>
      <vt:variant>
        <vt:lpwstr>_Toc222910616</vt:lpwstr>
      </vt:variant>
      <vt:variant>
        <vt:i4>1900599</vt:i4>
      </vt:variant>
      <vt:variant>
        <vt:i4>332</vt:i4>
      </vt:variant>
      <vt:variant>
        <vt:i4>0</vt:i4>
      </vt:variant>
      <vt:variant>
        <vt:i4>5</vt:i4>
      </vt:variant>
      <vt:variant>
        <vt:lpwstr/>
      </vt:variant>
      <vt:variant>
        <vt:lpwstr>_Toc222910615</vt:lpwstr>
      </vt:variant>
      <vt:variant>
        <vt:i4>1900599</vt:i4>
      </vt:variant>
      <vt:variant>
        <vt:i4>326</vt:i4>
      </vt:variant>
      <vt:variant>
        <vt:i4>0</vt:i4>
      </vt:variant>
      <vt:variant>
        <vt:i4>5</vt:i4>
      </vt:variant>
      <vt:variant>
        <vt:lpwstr/>
      </vt:variant>
      <vt:variant>
        <vt:lpwstr>_Toc222910614</vt:lpwstr>
      </vt:variant>
      <vt:variant>
        <vt:i4>1900599</vt:i4>
      </vt:variant>
      <vt:variant>
        <vt:i4>320</vt:i4>
      </vt:variant>
      <vt:variant>
        <vt:i4>0</vt:i4>
      </vt:variant>
      <vt:variant>
        <vt:i4>5</vt:i4>
      </vt:variant>
      <vt:variant>
        <vt:lpwstr/>
      </vt:variant>
      <vt:variant>
        <vt:lpwstr>_Toc222910613</vt:lpwstr>
      </vt:variant>
      <vt:variant>
        <vt:i4>1900599</vt:i4>
      </vt:variant>
      <vt:variant>
        <vt:i4>314</vt:i4>
      </vt:variant>
      <vt:variant>
        <vt:i4>0</vt:i4>
      </vt:variant>
      <vt:variant>
        <vt:i4>5</vt:i4>
      </vt:variant>
      <vt:variant>
        <vt:lpwstr/>
      </vt:variant>
      <vt:variant>
        <vt:lpwstr>_Toc222910612</vt:lpwstr>
      </vt:variant>
      <vt:variant>
        <vt:i4>1900599</vt:i4>
      </vt:variant>
      <vt:variant>
        <vt:i4>308</vt:i4>
      </vt:variant>
      <vt:variant>
        <vt:i4>0</vt:i4>
      </vt:variant>
      <vt:variant>
        <vt:i4>5</vt:i4>
      </vt:variant>
      <vt:variant>
        <vt:lpwstr/>
      </vt:variant>
      <vt:variant>
        <vt:lpwstr>_Toc222910611</vt:lpwstr>
      </vt:variant>
      <vt:variant>
        <vt:i4>1900599</vt:i4>
      </vt:variant>
      <vt:variant>
        <vt:i4>302</vt:i4>
      </vt:variant>
      <vt:variant>
        <vt:i4>0</vt:i4>
      </vt:variant>
      <vt:variant>
        <vt:i4>5</vt:i4>
      </vt:variant>
      <vt:variant>
        <vt:lpwstr/>
      </vt:variant>
      <vt:variant>
        <vt:lpwstr>_Toc222910610</vt:lpwstr>
      </vt:variant>
      <vt:variant>
        <vt:i4>1835063</vt:i4>
      </vt:variant>
      <vt:variant>
        <vt:i4>296</vt:i4>
      </vt:variant>
      <vt:variant>
        <vt:i4>0</vt:i4>
      </vt:variant>
      <vt:variant>
        <vt:i4>5</vt:i4>
      </vt:variant>
      <vt:variant>
        <vt:lpwstr/>
      </vt:variant>
      <vt:variant>
        <vt:lpwstr>_Toc222910609</vt:lpwstr>
      </vt:variant>
      <vt:variant>
        <vt:i4>1835063</vt:i4>
      </vt:variant>
      <vt:variant>
        <vt:i4>290</vt:i4>
      </vt:variant>
      <vt:variant>
        <vt:i4>0</vt:i4>
      </vt:variant>
      <vt:variant>
        <vt:i4>5</vt:i4>
      </vt:variant>
      <vt:variant>
        <vt:lpwstr/>
      </vt:variant>
      <vt:variant>
        <vt:lpwstr>_Toc222910608</vt:lpwstr>
      </vt:variant>
      <vt:variant>
        <vt:i4>1835063</vt:i4>
      </vt:variant>
      <vt:variant>
        <vt:i4>284</vt:i4>
      </vt:variant>
      <vt:variant>
        <vt:i4>0</vt:i4>
      </vt:variant>
      <vt:variant>
        <vt:i4>5</vt:i4>
      </vt:variant>
      <vt:variant>
        <vt:lpwstr/>
      </vt:variant>
      <vt:variant>
        <vt:lpwstr>_Toc222910607</vt:lpwstr>
      </vt:variant>
      <vt:variant>
        <vt:i4>1835063</vt:i4>
      </vt:variant>
      <vt:variant>
        <vt:i4>278</vt:i4>
      </vt:variant>
      <vt:variant>
        <vt:i4>0</vt:i4>
      </vt:variant>
      <vt:variant>
        <vt:i4>5</vt:i4>
      </vt:variant>
      <vt:variant>
        <vt:lpwstr/>
      </vt:variant>
      <vt:variant>
        <vt:lpwstr>_Toc222910606</vt:lpwstr>
      </vt:variant>
      <vt:variant>
        <vt:i4>1835063</vt:i4>
      </vt:variant>
      <vt:variant>
        <vt:i4>272</vt:i4>
      </vt:variant>
      <vt:variant>
        <vt:i4>0</vt:i4>
      </vt:variant>
      <vt:variant>
        <vt:i4>5</vt:i4>
      </vt:variant>
      <vt:variant>
        <vt:lpwstr/>
      </vt:variant>
      <vt:variant>
        <vt:lpwstr>_Toc222910605</vt:lpwstr>
      </vt:variant>
      <vt:variant>
        <vt:i4>1835063</vt:i4>
      </vt:variant>
      <vt:variant>
        <vt:i4>266</vt:i4>
      </vt:variant>
      <vt:variant>
        <vt:i4>0</vt:i4>
      </vt:variant>
      <vt:variant>
        <vt:i4>5</vt:i4>
      </vt:variant>
      <vt:variant>
        <vt:lpwstr/>
      </vt:variant>
      <vt:variant>
        <vt:lpwstr>_Toc222910604</vt:lpwstr>
      </vt:variant>
      <vt:variant>
        <vt:i4>1835063</vt:i4>
      </vt:variant>
      <vt:variant>
        <vt:i4>260</vt:i4>
      </vt:variant>
      <vt:variant>
        <vt:i4>0</vt:i4>
      </vt:variant>
      <vt:variant>
        <vt:i4>5</vt:i4>
      </vt:variant>
      <vt:variant>
        <vt:lpwstr/>
      </vt:variant>
      <vt:variant>
        <vt:lpwstr>_Toc222910603</vt:lpwstr>
      </vt:variant>
      <vt:variant>
        <vt:i4>1835063</vt:i4>
      </vt:variant>
      <vt:variant>
        <vt:i4>254</vt:i4>
      </vt:variant>
      <vt:variant>
        <vt:i4>0</vt:i4>
      </vt:variant>
      <vt:variant>
        <vt:i4>5</vt:i4>
      </vt:variant>
      <vt:variant>
        <vt:lpwstr/>
      </vt:variant>
      <vt:variant>
        <vt:lpwstr>_Toc222910602</vt:lpwstr>
      </vt:variant>
      <vt:variant>
        <vt:i4>1835063</vt:i4>
      </vt:variant>
      <vt:variant>
        <vt:i4>248</vt:i4>
      </vt:variant>
      <vt:variant>
        <vt:i4>0</vt:i4>
      </vt:variant>
      <vt:variant>
        <vt:i4>5</vt:i4>
      </vt:variant>
      <vt:variant>
        <vt:lpwstr/>
      </vt:variant>
      <vt:variant>
        <vt:lpwstr>_Toc222910601</vt:lpwstr>
      </vt:variant>
      <vt:variant>
        <vt:i4>1835063</vt:i4>
      </vt:variant>
      <vt:variant>
        <vt:i4>242</vt:i4>
      </vt:variant>
      <vt:variant>
        <vt:i4>0</vt:i4>
      </vt:variant>
      <vt:variant>
        <vt:i4>5</vt:i4>
      </vt:variant>
      <vt:variant>
        <vt:lpwstr/>
      </vt:variant>
      <vt:variant>
        <vt:lpwstr>_Toc222910600</vt:lpwstr>
      </vt:variant>
      <vt:variant>
        <vt:i4>1376308</vt:i4>
      </vt:variant>
      <vt:variant>
        <vt:i4>236</vt:i4>
      </vt:variant>
      <vt:variant>
        <vt:i4>0</vt:i4>
      </vt:variant>
      <vt:variant>
        <vt:i4>5</vt:i4>
      </vt:variant>
      <vt:variant>
        <vt:lpwstr/>
      </vt:variant>
      <vt:variant>
        <vt:lpwstr>_Toc222910599</vt:lpwstr>
      </vt:variant>
      <vt:variant>
        <vt:i4>1376308</vt:i4>
      </vt:variant>
      <vt:variant>
        <vt:i4>230</vt:i4>
      </vt:variant>
      <vt:variant>
        <vt:i4>0</vt:i4>
      </vt:variant>
      <vt:variant>
        <vt:i4>5</vt:i4>
      </vt:variant>
      <vt:variant>
        <vt:lpwstr/>
      </vt:variant>
      <vt:variant>
        <vt:lpwstr>_Toc222910598</vt:lpwstr>
      </vt:variant>
      <vt:variant>
        <vt:i4>1376308</vt:i4>
      </vt:variant>
      <vt:variant>
        <vt:i4>224</vt:i4>
      </vt:variant>
      <vt:variant>
        <vt:i4>0</vt:i4>
      </vt:variant>
      <vt:variant>
        <vt:i4>5</vt:i4>
      </vt:variant>
      <vt:variant>
        <vt:lpwstr/>
      </vt:variant>
      <vt:variant>
        <vt:lpwstr>_Toc222910597</vt:lpwstr>
      </vt:variant>
      <vt:variant>
        <vt:i4>1376308</vt:i4>
      </vt:variant>
      <vt:variant>
        <vt:i4>218</vt:i4>
      </vt:variant>
      <vt:variant>
        <vt:i4>0</vt:i4>
      </vt:variant>
      <vt:variant>
        <vt:i4>5</vt:i4>
      </vt:variant>
      <vt:variant>
        <vt:lpwstr/>
      </vt:variant>
      <vt:variant>
        <vt:lpwstr>_Toc222910596</vt:lpwstr>
      </vt:variant>
      <vt:variant>
        <vt:i4>1376308</vt:i4>
      </vt:variant>
      <vt:variant>
        <vt:i4>212</vt:i4>
      </vt:variant>
      <vt:variant>
        <vt:i4>0</vt:i4>
      </vt:variant>
      <vt:variant>
        <vt:i4>5</vt:i4>
      </vt:variant>
      <vt:variant>
        <vt:lpwstr/>
      </vt:variant>
      <vt:variant>
        <vt:lpwstr>_Toc222910595</vt:lpwstr>
      </vt:variant>
      <vt:variant>
        <vt:i4>1376308</vt:i4>
      </vt:variant>
      <vt:variant>
        <vt:i4>206</vt:i4>
      </vt:variant>
      <vt:variant>
        <vt:i4>0</vt:i4>
      </vt:variant>
      <vt:variant>
        <vt:i4>5</vt:i4>
      </vt:variant>
      <vt:variant>
        <vt:lpwstr/>
      </vt:variant>
      <vt:variant>
        <vt:lpwstr>_Toc222910594</vt:lpwstr>
      </vt:variant>
      <vt:variant>
        <vt:i4>1376308</vt:i4>
      </vt:variant>
      <vt:variant>
        <vt:i4>200</vt:i4>
      </vt:variant>
      <vt:variant>
        <vt:i4>0</vt:i4>
      </vt:variant>
      <vt:variant>
        <vt:i4>5</vt:i4>
      </vt:variant>
      <vt:variant>
        <vt:lpwstr/>
      </vt:variant>
      <vt:variant>
        <vt:lpwstr>_Toc222910593</vt:lpwstr>
      </vt:variant>
      <vt:variant>
        <vt:i4>1376308</vt:i4>
      </vt:variant>
      <vt:variant>
        <vt:i4>194</vt:i4>
      </vt:variant>
      <vt:variant>
        <vt:i4>0</vt:i4>
      </vt:variant>
      <vt:variant>
        <vt:i4>5</vt:i4>
      </vt:variant>
      <vt:variant>
        <vt:lpwstr/>
      </vt:variant>
      <vt:variant>
        <vt:lpwstr>_Toc222910592</vt:lpwstr>
      </vt:variant>
      <vt:variant>
        <vt:i4>1376308</vt:i4>
      </vt:variant>
      <vt:variant>
        <vt:i4>188</vt:i4>
      </vt:variant>
      <vt:variant>
        <vt:i4>0</vt:i4>
      </vt:variant>
      <vt:variant>
        <vt:i4>5</vt:i4>
      </vt:variant>
      <vt:variant>
        <vt:lpwstr/>
      </vt:variant>
      <vt:variant>
        <vt:lpwstr>_Toc222910591</vt:lpwstr>
      </vt:variant>
      <vt:variant>
        <vt:i4>1376308</vt:i4>
      </vt:variant>
      <vt:variant>
        <vt:i4>182</vt:i4>
      </vt:variant>
      <vt:variant>
        <vt:i4>0</vt:i4>
      </vt:variant>
      <vt:variant>
        <vt:i4>5</vt:i4>
      </vt:variant>
      <vt:variant>
        <vt:lpwstr/>
      </vt:variant>
      <vt:variant>
        <vt:lpwstr>_Toc222910590</vt:lpwstr>
      </vt:variant>
      <vt:variant>
        <vt:i4>1310772</vt:i4>
      </vt:variant>
      <vt:variant>
        <vt:i4>176</vt:i4>
      </vt:variant>
      <vt:variant>
        <vt:i4>0</vt:i4>
      </vt:variant>
      <vt:variant>
        <vt:i4>5</vt:i4>
      </vt:variant>
      <vt:variant>
        <vt:lpwstr/>
      </vt:variant>
      <vt:variant>
        <vt:lpwstr>_Toc222910589</vt:lpwstr>
      </vt:variant>
      <vt:variant>
        <vt:i4>1310772</vt:i4>
      </vt:variant>
      <vt:variant>
        <vt:i4>170</vt:i4>
      </vt:variant>
      <vt:variant>
        <vt:i4>0</vt:i4>
      </vt:variant>
      <vt:variant>
        <vt:i4>5</vt:i4>
      </vt:variant>
      <vt:variant>
        <vt:lpwstr/>
      </vt:variant>
      <vt:variant>
        <vt:lpwstr>_Toc222910588</vt:lpwstr>
      </vt:variant>
      <vt:variant>
        <vt:i4>1310772</vt:i4>
      </vt:variant>
      <vt:variant>
        <vt:i4>164</vt:i4>
      </vt:variant>
      <vt:variant>
        <vt:i4>0</vt:i4>
      </vt:variant>
      <vt:variant>
        <vt:i4>5</vt:i4>
      </vt:variant>
      <vt:variant>
        <vt:lpwstr/>
      </vt:variant>
      <vt:variant>
        <vt:lpwstr>_Toc222910587</vt:lpwstr>
      </vt:variant>
      <vt:variant>
        <vt:i4>1310772</vt:i4>
      </vt:variant>
      <vt:variant>
        <vt:i4>158</vt:i4>
      </vt:variant>
      <vt:variant>
        <vt:i4>0</vt:i4>
      </vt:variant>
      <vt:variant>
        <vt:i4>5</vt:i4>
      </vt:variant>
      <vt:variant>
        <vt:lpwstr/>
      </vt:variant>
      <vt:variant>
        <vt:lpwstr>_Toc222910586</vt:lpwstr>
      </vt:variant>
      <vt:variant>
        <vt:i4>1310772</vt:i4>
      </vt:variant>
      <vt:variant>
        <vt:i4>152</vt:i4>
      </vt:variant>
      <vt:variant>
        <vt:i4>0</vt:i4>
      </vt:variant>
      <vt:variant>
        <vt:i4>5</vt:i4>
      </vt:variant>
      <vt:variant>
        <vt:lpwstr/>
      </vt:variant>
      <vt:variant>
        <vt:lpwstr>_Toc222910585</vt:lpwstr>
      </vt:variant>
      <vt:variant>
        <vt:i4>1310772</vt:i4>
      </vt:variant>
      <vt:variant>
        <vt:i4>146</vt:i4>
      </vt:variant>
      <vt:variant>
        <vt:i4>0</vt:i4>
      </vt:variant>
      <vt:variant>
        <vt:i4>5</vt:i4>
      </vt:variant>
      <vt:variant>
        <vt:lpwstr/>
      </vt:variant>
      <vt:variant>
        <vt:lpwstr>_Toc222910584</vt:lpwstr>
      </vt:variant>
      <vt:variant>
        <vt:i4>1310772</vt:i4>
      </vt:variant>
      <vt:variant>
        <vt:i4>140</vt:i4>
      </vt:variant>
      <vt:variant>
        <vt:i4>0</vt:i4>
      </vt:variant>
      <vt:variant>
        <vt:i4>5</vt:i4>
      </vt:variant>
      <vt:variant>
        <vt:lpwstr/>
      </vt:variant>
      <vt:variant>
        <vt:lpwstr>_Toc222910583</vt:lpwstr>
      </vt:variant>
      <vt:variant>
        <vt:i4>1310772</vt:i4>
      </vt:variant>
      <vt:variant>
        <vt:i4>134</vt:i4>
      </vt:variant>
      <vt:variant>
        <vt:i4>0</vt:i4>
      </vt:variant>
      <vt:variant>
        <vt:i4>5</vt:i4>
      </vt:variant>
      <vt:variant>
        <vt:lpwstr/>
      </vt:variant>
      <vt:variant>
        <vt:lpwstr>_Toc222910582</vt:lpwstr>
      </vt:variant>
      <vt:variant>
        <vt:i4>1310772</vt:i4>
      </vt:variant>
      <vt:variant>
        <vt:i4>128</vt:i4>
      </vt:variant>
      <vt:variant>
        <vt:i4>0</vt:i4>
      </vt:variant>
      <vt:variant>
        <vt:i4>5</vt:i4>
      </vt:variant>
      <vt:variant>
        <vt:lpwstr/>
      </vt:variant>
      <vt:variant>
        <vt:lpwstr>_Toc222910581</vt:lpwstr>
      </vt:variant>
      <vt:variant>
        <vt:i4>1310772</vt:i4>
      </vt:variant>
      <vt:variant>
        <vt:i4>122</vt:i4>
      </vt:variant>
      <vt:variant>
        <vt:i4>0</vt:i4>
      </vt:variant>
      <vt:variant>
        <vt:i4>5</vt:i4>
      </vt:variant>
      <vt:variant>
        <vt:lpwstr/>
      </vt:variant>
      <vt:variant>
        <vt:lpwstr>_Toc222910580</vt:lpwstr>
      </vt:variant>
      <vt:variant>
        <vt:i4>1769524</vt:i4>
      </vt:variant>
      <vt:variant>
        <vt:i4>116</vt:i4>
      </vt:variant>
      <vt:variant>
        <vt:i4>0</vt:i4>
      </vt:variant>
      <vt:variant>
        <vt:i4>5</vt:i4>
      </vt:variant>
      <vt:variant>
        <vt:lpwstr/>
      </vt:variant>
      <vt:variant>
        <vt:lpwstr>_Toc222910579</vt:lpwstr>
      </vt:variant>
      <vt:variant>
        <vt:i4>1769524</vt:i4>
      </vt:variant>
      <vt:variant>
        <vt:i4>110</vt:i4>
      </vt:variant>
      <vt:variant>
        <vt:i4>0</vt:i4>
      </vt:variant>
      <vt:variant>
        <vt:i4>5</vt:i4>
      </vt:variant>
      <vt:variant>
        <vt:lpwstr/>
      </vt:variant>
      <vt:variant>
        <vt:lpwstr>_Toc222910578</vt:lpwstr>
      </vt:variant>
      <vt:variant>
        <vt:i4>1769524</vt:i4>
      </vt:variant>
      <vt:variant>
        <vt:i4>104</vt:i4>
      </vt:variant>
      <vt:variant>
        <vt:i4>0</vt:i4>
      </vt:variant>
      <vt:variant>
        <vt:i4>5</vt:i4>
      </vt:variant>
      <vt:variant>
        <vt:lpwstr/>
      </vt:variant>
      <vt:variant>
        <vt:lpwstr>_Toc222910577</vt:lpwstr>
      </vt:variant>
      <vt:variant>
        <vt:i4>1769524</vt:i4>
      </vt:variant>
      <vt:variant>
        <vt:i4>98</vt:i4>
      </vt:variant>
      <vt:variant>
        <vt:i4>0</vt:i4>
      </vt:variant>
      <vt:variant>
        <vt:i4>5</vt:i4>
      </vt:variant>
      <vt:variant>
        <vt:lpwstr/>
      </vt:variant>
      <vt:variant>
        <vt:lpwstr>_Toc222910576</vt:lpwstr>
      </vt:variant>
      <vt:variant>
        <vt:i4>1769524</vt:i4>
      </vt:variant>
      <vt:variant>
        <vt:i4>92</vt:i4>
      </vt:variant>
      <vt:variant>
        <vt:i4>0</vt:i4>
      </vt:variant>
      <vt:variant>
        <vt:i4>5</vt:i4>
      </vt:variant>
      <vt:variant>
        <vt:lpwstr/>
      </vt:variant>
      <vt:variant>
        <vt:lpwstr>_Toc222910575</vt:lpwstr>
      </vt:variant>
      <vt:variant>
        <vt:i4>1769524</vt:i4>
      </vt:variant>
      <vt:variant>
        <vt:i4>86</vt:i4>
      </vt:variant>
      <vt:variant>
        <vt:i4>0</vt:i4>
      </vt:variant>
      <vt:variant>
        <vt:i4>5</vt:i4>
      </vt:variant>
      <vt:variant>
        <vt:lpwstr/>
      </vt:variant>
      <vt:variant>
        <vt:lpwstr>_Toc222910574</vt:lpwstr>
      </vt:variant>
      <vt:variant>
        <vt:i4>1769524</vt:i4>
      </vt:variant>
      <vt:variant>
        <vt:i4>80</vt:i4>
      </vt:variant>
      <vt:variant>
        <vt:i4>0</vt:i4>
      </vt:variant>
      <vt:variant>
        <vt:i4>5</vt:i4>
      </vt:variant>
      <vt:variant>
        <vt:lpwstr/>
      </vt:variant>
      <vt:variant>
        <vt:lpwstr>_Toc222910573</vt:lpwstr>
      </vt:variant>
      <vt:variant>
        <vt:i4>1769524</vt:i4>
      </vt:variant>
      <vt:variant>
        <vt:i4>74</vt:i4>
      </vt:variant>
      <vt:variant>
        <vt:i4>0</vt:i4>
      </vt:variant>
      <vt:variant>
        <vt:i4>5</vt:i4>
      </vt:variant>
      <vt:variant>
        <vt:lpwstr/>
      </vt:variant>
      <vt:variant>
        <vt:lpwstr>_Toc222910572</vt:lpwstr>
      </vt:variant>
      <vt:variant>
        <vt:i4>1769524</vt:i4>
      </vt:variant>
      <vt:variant>
        <vt:i4>68</vt:i4>
      </vt:variant>
      <vt:variant>
        <vt:i4>0</vt:i4>
      </vt:variant>
      <vt:variant>
        <vt:i4>5</vt:i4>
      </vt:variant>
      <vt:variant>
        <vt:lpwstr/>
      </vt:variant>
      <vt:variant>
        <vt:lpwstr>_Toc222910571</vt:lpwstr>
      </vt:variant>
      <vt:variant>
        <vt:i4>1769524</vt:i4>
      </vt:variant>
      <vt:variant>
        <vt:i4>62</vt:i4>
      </vt:variant>
      <vt:variant>
        <vt:i4>0</vt:i4>
      </vt:variant>
      <vt:variant>
        <vt:i4>5</vt:i4>
      </vt:variant>
      <vt:variant>
        <vt:lpwstr/>
      </vt:variant>
      <vt:variant>
        <vt:lpwstr>_Toc222910570</vt:lpwstr>
      </vt:variant>
      <vt:variant>
        <vt:i4>1703988</vt:i4>
      </vt:variant>
      <vt:variant>
        <vt:i4>56</vt:i4>
      </vt:variant>
      <vt:variant>
        <vt:i4>0</vt:i4>
      </vt:variant>
      <vt:variant>
        <vt:i4>5</vt:i4>
      </vt:variant>
      <vt:variant>
        <vt:lpwstr/>
      </vt:variant>
      <vt:variant>
        <vt:lpwstr>_Toc222910569</vt:lpwstr>
      </vt:variant>
      <vt:variant>
        <vt:i4>1703988</vt:i4>
      </vt:variant>
      <vt:variant>
        <vt:i4>50</vt:i4>
      </vt:variant>
      <vt:variant>
        <vt:i4>0</vt:i4>
      </vt:variant>
      <vt:variant>
        <vt:i4>5</vt:i4>
      </vt:variant>
      <vt:variant>
        <vt:lpwstr/>
      </vt:variant>
      <vt:variant>
        <vt:lpwstr>_Toc222910568</vt:lpwstr>
      </vt:variant>
      <vt:variant>
        <vt:i4>1703988</vt:i4>
      </vt:variant>
      <vt:variant>
        <vt:i4>44</vt:i4>
      </vt:variant>
      <vt:variant>
        <vt:i4>0</vt:i4>
      </vt:variant>
      <vt:variant>
        <vt:i4>5</vt:i4>
      </vt:variant>
      <vt:variant>
        <vt:lpwstr/>
      </vt:variant>
      <vt:variant>
        <vt:lpwstr>_Toc222910567</vt:lpwstr>
      </vt:variant>
      <vt:variant>
        <vt:i4>1703988</vt:i4>
      </vt:variant>
      <vt:variant>
        <vt:i4>38</vt:i4>
      </vt:variant>
      <vt:variant>
        <vt:i4>0</vt:i4>
      </vt:variant>
      <vt:variant>
        <vt:i4>5</vt:i4>
      </vt:variant>
      <vt:variant>
        <vt:lpwstr/>
      </vt:variant>
      <vt:variant>
        <vt:lpwstr>_Toc222910566</vt:lpwstr>
      </vt:variant>
      <vt:variant>
        <vt:i4>1703988</vt:i4>
      </vt:variant>
      <vt:variant>
        <vt:i4>32</vt:i4>
      </vt:variant>
      <vt:variant>
        <vt:i4>0</vt:i4>
      </vt:variant>
      <vt:variant>
        <vt:i4>5</vt:i4>
      </vt:variant>
      <vt:variant>
        <vt:lpwstr/>
      </vt:variant>
      <vt:variant>
        <vt:lpwstr>_Toc222910565</vt:lpwstr>
      </vt:variant>
      <vt:variant>
        <vt:i4>1703988</vt:i4>
      </vt:variant>
      <vt:variant>
        <vt:i4>26</vt:i4>
      </vt:variant>
      <vt:variant>
        <vt:i4>0</vt:i4>
      </vt:variant>
      <vt:variant>
        <vt:i4>5</vt:i4>
      </vt:variant>
      <vt:variant>
        <vt:lpwstr/>
      </vt:variant>
      <vt:variant>
        <vt:lpwstr>_Toc222910564</vt:lpwstr>
      </vt:variant>
      <vt:variant>
        <vt:i4>1703988</vt:i4>
      </vt:variant>
      <vt:variant>
        <vt:i4>20</vt:i4>
      </vt:variant>
      <vt:variant>
        <vt:i4>0</vt:i4>
      </vt:variant>
      <vt:variant>
        <vt:i4>5</vt:i4>
      </vt:variant>
      <vt:variant>
        <vt:lpwstr/>
      </vt:variant>
      <vt:variant>
        <vt:lpwstr>_Toc222910563</vt:lpwstr>
      </vt:variant>
      <vt:variant>
        <vt:i4>1703988</vt:i4>
      </vt:variant>
      <vt:variant>
        <vt:i4>14</vt:i4>
      </vt:variant>
      <vt:variant>
        <vt:i4>0</vt:i4>
      </vt:variant>
      <vt:variant>
        <vt:i4>5</vt:i4>
      </vt:variant>
      <vt:variant>
        <vt:lpwstr/>
      </vt:variant>
      <vt:variant>
        <vt:lpwstr>_Toc222910562</vt:lpwstr>
      </vt:variant>
      <vt:variant>
        <vt:i4>1703988</vt:i4>
      </vt:variant>
      <vt:variant>
        <vt:i4>8</vt:i4>
      </vt:variant>
      <vt:variant>
        <vt:i4>0</vt:i4>
      </vt:variant>
      <vt:variant>
        <vt:i4>5</vt:i4>
      </vt:variant>
      <vt:variant>
        <vt:lpwstr/>
      </vt:variant>
      <vt:variant>
        <vt:lpwstr>_Toc222910561</vt:lpwstr>
      </vt:variant>
      <vt:variant>
        <vt:i4>1703988</vt:i4>
      </vt:variant>
      <vt:variant>
        <vt:i4>2</vt:i4>
      </vt:variant>
      <vt:variant>
        <vt:i4>0</vt:i4>
      </vt:variant>
      <vt:variant>
        <vt:i4>5</vt:i4>
      </vt:variant>
      <vt:variant>
        <vt:lpwstr/>
      </vt:variant>
      <vt:variant>
        <vt:lpwstr>_Toc222910560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William Camilo  Baracaldo Godoy</dc:creator>
  <cp:keywords/>
  <dc:description/>
  <cp:lastModifiedBy>Nathalia Ximena Arismendy Otalora</cp:lastModifiedBy>
  <cp:revision>88</cp:revision>
  <cp:lastPrinted>2023-05-08T11:22:00Z</cp:lastPrinted>
  <dcterms:created xsi:type="dcterms:W3CDTF">2026-02-26T00:56:00Z</dcterms:created>
  <dcterms:modified xsi:type="dcterms:W3CDTF">2026-02-26T20:36:00Z</dcterms:modified>
</cp:coreProperties>
</file>